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80E6D" w14:textId="77777777" w:rsidR="0036247B" w:rsidRPr="004C78D8" w:rsidRDefault="0036247B" w:rsidP="00FB7C1F">
      <w:pPr>
        <w:pStyle w:val="Title"/>
        <w:jc w:val="center"/>
        <w:rPr>
          <w:lang w:val="en-GB"/>
        </w:rPr>
      </w:pPr>
      <w:bookmarkStart w:id="0" w:name="_Hlk34080648"/>
      <w:bookmarkEnd w:id="0"/>
      <w:r w:rsidRPr="004C78D8">
        <w:rPr>
          <w:noProof/>
          <w:lang w:val="en-GB" w:eastAsia="en-GB"/>
        </w:rPr>
        <w:drawing>
          <wp:inline distT="0" distB="0" distL="0" distR="0" wp14:anchorId="459CE05F" wp14:editId="2E5873BB">
            <wp:extent cx="3409950" cy="1343025"/>
            <wp:effectExtent l="0" t="0" r="0" b="9525"/>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iversity Logo.png"/>
                    <pic:cNvPicPr/>
                  </pic:nvPicPr>
                  <pic:blipFill>
                    <a:blip r:embed="rId8">
                      <a:extLst>
                        <a:ext uri="{28A0092B-C50C-407E-A947-70E740481C1C}">
                          <a14:useLocalDpi xmlns:a14="http://schemas.microsoft.com/office/drawing/2010/main" val="0"/>
                        </a:ext>
                      </a:extLst>
                    </a:blip>
                    <a:stretch>
                      <a:fillRect/>
                    </a:stretch>
                  </pic:blipFill>
                  <pic:spPr>
                    <a:xfrm>
                      <a:off x="0" y="0"/>
                      <a:ext cx="3409950" cy="1343025"/>
                    </a:xfrm>
                    <a:prstGeom prst="rect">
                      <a:avLst/>
                    </a:prstGeom>
                  </pic:spPr>
                </pic:pic>
              </a:graphicData>
            </a:graphic>
          </wp:inline>
        </w:drawing>
      </w:r>
    </w:p>
    <w:p w14:paraId="6A1E48F5" w14:textId="2E4BBC0C" w:rsidR="0036247B" w:rsidRPr="004C78D8" w:rsidRDefault="00FB5A72" w:rsidP="00FB7C1F">
      <w:pPr>
        <w:pStyle w:val="Heading1"/>
        <w:jc w:val="center"/>
        <w:rPr>
          <w:sz w:val="40"/>
          <w:szCs w:val="40"/>
        </w:rPr>
      </w:pPr>
      <w:bookmarkStart w:id="1" w:name="_Toc93566837"/>
      <w:bookmarkStart w:id="2" w:name="_Toc93567407"/>
      <w:bookmarkStart w:id="3" w:name="_Toc111630681"/>
      <w:r w:rsidRPr="004C78D8">
        <w:rPr>
          <w:sz w:val="40"/>
          <w:szCs w:val="40"/>
        </w:rPr>
        <w:t>C</w:t>
      </w:r>
      <w:r w:rsidR="008C1FCE" w:rsidRPr="004C78D8">
        <w:rPr>
          <w:sz w:val="40"/>
          <w:szCs w:val="40"/>
        </w:rPr>
        <w:t>ommunity-based falls prevention</w:t>
      </w:r>
      <w:r w:rsidR="0085081E" w:rsidRPr="004C78D8">
        <w:rPr>
          <w:sz w:val="40"/>
          <w:szCs w:val="40"/>
        </w:rPr>
        <w:t xml:space="preserve"> </w:t>
      </w:r>
      <w:r w:rsidRPr="004C78D8">
        <w:rPr>
          <w:sz w:val="40"/>
          <w:szCs w:val="40"/>
        </w:rPr>
        <w:t>for older persons</w:t>
      </w:r>
      <w:r w:rsidR="008C1FCE" w:rsidRPr="004C78D8">
        <w:rPr>
          <w:sz w:val="40"/>
          <w:szCs w:val="40"/>
        </w:rPr>
        <w:t xml:space="preserve">: </w:t>
      </w:r>
      <w:r w:rsidR="00E751BB" w:rsidRPr="004C78D8">
        <w:rPr>
          <w:sz w:val="40"/>
          <w:szCs w:val="40"/>
        </w:rPr>
        <w:t>a case study in economic</w:t>
      </w:r>
      <w:r w:rsidRPr="004C78D8">
        <w:rPr>
          <w:sz w:val="40"/>
          <w:szCs w:val="40"/>
        </w:rPr>
        <w:t xml:space="preserve"> modelling </w:t>
      </w:r>
      <w:r w:rsidR="00E751BB" w:rsidRPr="004C78D8">
        <w:rPr>
          <w:sz w:val="40"/>
          <w:szCs w:val="40"/>
        </w:rPr>
        <w:t>of geriatric public health intervention</w:t>
      </w:r>
      <w:bookmarkEnd w:id="1"/>
      <w:bookmarkEnd w:id="2"/>
      <w:r w:rsidR="003F1E2F" w:rsidRPr="004C78D8">
        <w:rPr>
          <w:sz w:val="40"/>
          <w:szCs w:val="40"/>
        </w:rPr>
        <w:t>s</w:t>
      </w:r>
      <w:bookmarkEnd w:id="3"/>
    </w:p>
    <w:p w14:paraId="26E1C548" w14:textId="77777777" w:rsidR="0036247B" w:rsidRPr="004C78D8" w:rsidRDefault="0036247B" w:rsidP="00FB7C1F"/>
    <w:p w14:paraId="3E5A32AC" w14:textId="77777777" w:rsidR="0036247B" w:rsidRPr="004C78D8" w:rsidRDefault="0036247B" w:rsidP="00FB7C1F"/>
    <w:p w14:paraId="2556D052" w14:textId="3C225E68" w:rsidR="0036247B" w:rsidRPr="004C78D8" w:rsidRDefault="0036247B" w:rsidP="00FB7C1F">
      <w:pPr>
        <w:jc w:val="center"/>
        <w:rPr>
          <w:sz w:val="28"/>
          <w:szCs w:val="28"/>
        </w:rPr>
      </w:pPr>
      <w:r w:rsidRPr="004C78D8">
        <w:rPr>
          <w:sz w:val="28"/>
          <w:szCs w:val="28"/>
        </w:rPr>
        <w:t xml:space="preserve">By: </w:t>
      </w:r>
      <w:r w:rsidR="00AF7B89" w:rsidRPr="004C78D8">
        <w:rPr>
          <w:sz w:val="28"/>
          <w:szCs w:val="28"/>
        </w:rPr>
        <w:t>Joseph (</w:t>
      </w:r>
      <w:r w:rsidRPr="004C78D8">
        <w:rPr>
          <w:sz w:val="28"/>
          <w:szCs w:val="28"/>
        </w:rPr>
        <w:t>Joonhyung) Kwon</w:t>
      </w:r>
    </w:p>
    <w:p w14:paraId="0E82997B" w14:textId="77777777" w:rsidR="0036247B" w:rsidRPr="004C78D8" w:rsidRDefault="0036247B" w:rsidP="00FB7C1F">
      <w:pPr>
        <w:rPr>
          <w:sz w:val="28"/>
          <w:szCs w:val="28"/>
        </w:rPr>
      </w:pPr>
    </w:p>
    <w:p w14:paraId="4346C64C" w14:textId="77777777" w:rsidR="0036247B" w:rsidRPr="004C78D8" w:rsidRDefault="0036247B" w:rsidP="00FB7C1F">
      <w:pPr>
        <w:jc w:val="center"/>
        <w:rPr>
          <w:sz w:val="26"/>
          <w:szCs w:val="26"/>
        </w:rPr>
      </w:pPr>
      <w:r w:rsidRPr="004C78D8">
        <w:rPr>
          <w:sz w:val="26"/>
          <w:szCs w:val="26"/>
        </w:rPr>
        <w:t>Thesis submitted for the degree of Doctor of Philosophy in Public Health, Economics and Decision Science</w:t>
      </w:r>
    </w:p>
    <w:p w14:paraId="0D321772" w14:textId="4B8EDFD8" w:rsidR="0036247B" w:rsidRPr="004C78D8" w:rsidRDefault="0036247B" w:rsidP="00FB7C1F">
      <w:pPr>
        <w:jc w:val="center"/>
        <w:rPr>
          <w:sz w:val="26"/>
          <w:szCs w:val="26"/>
        </w:rPr>
      </w:pPr>
      <w:r w:rsidRPr="004C78D8">
        <w:rPr>
          <w:sz w:val="26"/>
          <w:szCs w:val="26"/>
        </w:rPr>
        <w:t>Supervised by Professor Tracey Young, Dr Hazel Squires</w:t>
      </w:r>
      <w:r w:rsidR="006F3DA8" w:rsidRPr="004C78D8">
        <w:rPr>
          <w:sz w:val="26"/>
          <w:szCs w:val="26"/>
        </w:rPr>
        <w:t xml:space="preserve"> and Dr Janet Harris</w:t>
      </w:r>
    </w:p>
    <w:p w14:paraId="55BA2EFA" w14:textId="77777777" w:rsidR="0036247B" w:rsidRPr="004C78D8" w:rsidRDefault="0036247B" w:rsidP="00FB7C1F">
      <w:pPr>
        <w:jc w:val="center"/>
        <w:rPr>
          <w:sz w:val="26"/>
          <w:szCs w:val="26"/>
        </w:rPr>
      </w:pPr>
    </w:p>
    <w:p w14:paraId="62A9205C" w14:textId="2671F736" w:rsidR="0036247B" w:rsidRPr="004C78D8" w:rsidRDefault="003A10AA" w:rsidP="00FB7C1F">
      <w:pPr>
        <w:jc w:val="center"/>
        <w:rPr>
          <w:sz w:val="26"/>
          <w:szCs w:val="26"/>
        </w:rPr>
      </w:pPr>
      <w:r w:rsidRPr="004C78D8">
        <w:rPr>
          <w:sz w:val="26"/>
          <w:szCs w:val="26"/>
        </w:rPr>
        <w:t>March 2022</w:t>
      </w:r>
    </w:p>
    <w:p w14:paraId="0D4B46B6" w14:textId="77777777" w:rsidR="0036247B" w:rsidRPr="004C78D8" w:rsidRDefault="0036247B" w:rsidP="00FB7C1F">
      <w:pPr>
        <w:rPr>
          <w:sz w:val="28"/>
          <w:szCs w:val="28"/>
        </w:rPr>
      </w:pPr>
    </w:p>
    <w:p w14:paraId="1BE46D11" w14:textId="77777777" w:rsidR="0036247B" w:rsidRPr="004C78D8" w:rsidRDefault="0036247B" w:rsidP="00FB7C1F">
      <w:pPr>
        <w:rPr>
          <w:sz w:val="28"/>
          <w:szCs w:val="28"/>
        </w:rPr>
      </w:pPr>
    </w:p>
    <w:p w14:paraId="2538DA74" w14:textId="77777777" w:rsidR="0036247B" w:rsidRPr="004C78D8" w:rsidRDefault="0036247B" w:rsidP="00FB7C1F">
      <w:pPr>
        <w:jc w:val="center"/>
        <w:rPr>
          <w:sz w:val="28"/>
          <w:szCs w:val="28"/>
        </w:rPr>
      </w:pPr>
      <w:r w:rsidRPr="004C78D8">
        <w:rPr>
          <w:sz w:val="28"/>
          <w:szCs w:val="28"/>
        </w:rPr>
        <w:t>School of Health and Related Research</w:t>
      </w:r>
    </w:p>
    <w:p w14:paraId="11214D3D" w14:textId="77777777" w:rsidR="0036247B" w:rsidRPr="004C78D8" w:rsidRDefault="0036247B" w:rsidP="00FB7C1F">
      <w:pPr>
        <w:jc w:val="center"/>
        <w:rPr>
          <w:sz w:val="28"/>
          <w:szCs w:val="28"/>
        </w:rPr>
      </w:pPr>
      <w:r w:rsidRPr="004C78D8">
        <w:rPr>
          <w:sz w:val="28"/>
          <w:szCs w:val="28"/>
        </w:rPr>
        <w:t>University of Sheffield</w:t>
      </w:r>
    </w:p>
    <w:p w14:paraId="0CDE32DB" w14:textId="7C6E48A1" w:rsidR="00207064" w:rsidRPr="004C78D8" w:rsidRDefault="00207064" w:rsidP="00FB7C1F"/>
    <w:p w14:paraId="31312D1B" w14:textId="78C07801" w:rsidR="000A04D3" w:rsidRPr="004C78D8" w:rsidRDefault="000A04D3" w:rsidP="00FB7C1F"/>
    <w:p w14:paraId="0AC8B6ED" w14:textId="77777777" w:rsidR="000A04D3" w:rsidRPr="004C78D8" w:rsidRDefault="000A04D3" w:rsidP="00FB7C1F">
      <w:r w:rsidRPr="004C78D8">
        <w:br w:type="page"/>
      </w:r>
    </w:p>
    <w:p w14:paraId="4A970C28" w14:textId="77777777" w:rsidR="000A04D3" w:rsidRPr="004C78D8" w:rsidRDefault="000A04D3" w:rsidP="00FB7C1F">
      <w:pPr>
        <w:pStyle w:val="Heading1"/>
      </w:pPr>
      <w:bookmarkStart w:id="4" w:name="_Toc93566838"/>
      <w:bookmarkStart w:id="5" w:name="_Toc93567408"/>
      <w:bookmarkStart w:id="6" w:name="_Toc111630682"/>
      <w:r w:rsidRPr="004C78D8">
        <w:lastRenderedPageBreak/>
        <w:t>Acknowledgements</w:t>
      </w:r>
      <w:bookmarkEnd w:id="4"/>
      <w:bookmarkEnd w:id="5"/>
      <w:bookmarkEnd w:id="6"/>
    </w:p>
    <w:p w14:paraId="2FE59D83" w14:textId="39EFAD1D" w:rsidR="008E5584" w:rsidRPr="004C78D8" w:rsidRDefault="000A04D3" w:rsidP="00FB7C1F">
      <w:r w:rsidRPr="004C78D8">
        <w:t xml:space="preserve">I would </w:t>
      </w:r>
      <w:r w:rsidR="003F2B54" w:rsidRPr="004C78D8">
        <w:t xml:space="preserve">first </w:t>
      </w:r>
      <w:r w:rsidRPr="004C78D8">
        <w:t>like to thank</w:t>
      </w:r>
      <w:r w:rsidR="003F2B54" w:rsidRPr="004C78D8">
        <w:t xml:space="preserve"> my supervisors</w:t>
      </w:r>
      <w:r w:rsidR="008E5584" w:rsidRPr="004C78D8">
        <w:t xml:space="preserve"> </w:t>
      </w:r>
      <w:r w:rsidR="003F2B54" w:rsidRPr="004C78D8">
        <w:t xml:space="preserve">who in their different styles and </w:t>
      </w:r>
      <w:r w:rsidR="00992353" w:rsidRPr="004C78D8">
        <w:t xml:space="preserve">areas of </w:t>
      </w:r>
      <w:r w:rsidR="003F2B54" w:rsidRPr="004C78D8">
        <w:t>expertise guided me from thesis inception to finish. Janet, despite her early</w:t>
      </w:r>
      <w:r w:rsidR="004A7595" w:rsidRPr="004C78D8">
        <w:t xml:space="preserve"> </w:t>
      </w:r>
      <w:r w:rsidR="00B85A6B" w:rsidRPr="004C78D8">
        <w:t xml:space="preserve">and </w:t>
      </w:r>
      <w:r w:rsidR="004A7595" w:rsidRPr="004C78D8">
        <w:t>unexpected</w:t>
      </w:r>
      <w:r w:rsidR="003F2B54" w:rsidRPr="004C78D8">
        <w:t xml:space="preserve"> retirement, </w:t>
      </w:r>
      <w:r w:rsidR="004A7595" w:rsidRPr="004C78D8">
        <w:t xml:space="preserve">helped conceptualise the qualitative research in Chapter 2 and provided guidance until </w:t>
      </w:r>
      <w:r w:rsidR="00B85A6B" w:rsidRPr="004C78D8">
        <w:t xml:space="preserve">its </w:t>
      </w:r>
      <w:r w:rsidR="004A7595" w:rsidRPr="004C78D8">
        <w:t xml:space="preserve">completion and publication in </w:t>
      </w:r>
      <w:r w:rsidR="004A7595" w:rsidRPr="004C78D8">
        <w:rPr>
          <w:i/>
          <w:iCs/>
        </w:rPr>
        <w:t>BMC Health Services Research</w:t>
      </w:r>
      <w:r w:rsidR="004A7595" w:rsidRPr="004C78D8">
        <w:t>. We wish her a speedy recovery from illness and a happy retirement ahead.</w:t>
      </w:r>
      <w:r w:rsidR="008E5584" w:rsidRPr="004C78D8">
        <w:t xml:space="preserve"> Hazel provided highly constructive and detailed feedbacks on all </w:t>
      </w:r>
      <w:r w:rsidR="00615812" w:rsidRPr="004C78D8">
        <w:t>research plans and written drafts</w:t>
      </w:r>
      <w:r w:rsidR="008E5584" w:rsidRPr="004C78D8">
        <w:t xml:space="preserve">. Her own PhD work on the conceptual framework for developing structures of public health economic models provided the main thesis structure. Indeed, this thesis </w:t>
      </w:r>
      <w:r w:rsidR="00691F9D" w:rsidRPr="004C78D8">
        <w:t xml:space="preserve">can be seen as a case study in the framework’s application. </w:t>
      </w:r>
      <w:r w:rsidR="00DE7E6F" w:rsidRPr="004C78D8">
        <w:t xml:space="preserve">I would also like to thank Dr Thaison Tong who stepped in during Hazel’s maternity leave and </w:t>
      </w:r>
      <w:r w:rsidR="004A7DF5" w:rsidRPr="004C78D8">
        <w:t>helped</w:t>
      </w:r>
      <w:r w:rsidR="00DE7E6F" w:rsidRPr="004C78D8">
        <w:t xml:space="preserve"> me plan the statistical analyses and Simul8 modelling. </w:t>
      </w:r>
      <w:r w:rsidR="008E5584" w:rsidRPr="004C78D8">
        <w:t>Tracey</w:t>
      </w:r>
      <w:r w:rsidR="00691F9D" w:rsidRPr="004C78D8">
        <w:t xml:space="preserve">’s </w:t>
      </w:r>
      <w:r w:rsidR="00A97BE5" w:rsidRPr="004C78D8">
        <w:t>expertise</w:t>
      </w:r>
      <w:r w:rsidR="00691F9D" w:rsidRPr="004C78D8">
        <w:t xml:space="preserve"> </w:t>
      </w:r>
      <w:r w:rsidR="004A7DF5" w:rsidRPr="004C78D8">
        <w:t>in</w:t>
      </w:r>
      <w:r w:rsidR="00691F9D" w:rsidRPr="004C78D8">
        <w:t xml:space="preserve"> </w:t>
      </w:r>
      <w:r w:rsidR="00A97BE5" w:rsidRPr="004C78D8">
        <w:t>diverse</w:t>
      </w:r>
      <w:r w:rsidR="00691F9D" w:rsidRPr="004C78D8">
        <w:t xml:space="preserve"> aspects of health economic evaluation</w:t>
      </w:r>
      <w:r w:rsidR="00B85A6B" w:rsidRPr="004C78D8">
        <w:t xml:space="preserve"> enabled her to</w:t>
      </w:r>
      <w:r w:rsidR="008E5584" w:rsidRPr="004C78D8">
        <w:t xml:space="preserve"> </w:t>
      </w:r>
      <w:r w:rsidR="00B85A6B" w:rsidRPr="004C78D8">
        <w:t>guide</w:t>
      </w:r>
      <w:r w:rsidR="00691F9D" w:rsidRPr="004C78D8">
        <w:t xml:space="preserve"> all aspects of the project</w:t>
      </w:r>
      <w:r w:rsidR="00B85A6B" w:rsidRPr="004C78D8">
        <w:t>. Especially in the early project stages, she helped discern whether and how each research endeavour would contribute towards the main thesis aim.</w:t>
      </w:r>
      <w:r w:rsidR="00691F9D" w:rsidRPr="004C78D8">
        <w:t xml:space="preserve"> </w:t>
      </w:r>
    </w:p>
    <w:p w14:paraId="0D2CB9A9" w14:textId="34877BF8" w:rsidR="00547C43" w:rsidRPr="004C78D8" w:rsidRDefault="00547C43" w:rsidP="00FB7C1F">
      <w:r w:rsidRPr="004C78D8">
        <w:t xml:space="preserve">Ms Yujin Lee, medical statistician at University of Warwick, was involved in several aspects of the study. She helped gather the audio recordings of focus groups and interviews with older persons in Chapter 2 and transcribed parts of the data. She was the second independent reviewer in the systematic overview of systematic reviews in </w:t>
      </w:r>
      <w:r w:rsidR="003D28E1" w:rsidRPr="004C78D8">
        <w:t>Appendix C</w:t>
      </w:r>
      <w:r w:rsidRPr="004C78D8">
        <w:t xml:space="preserve"> and the systematic review in Chapter </w:t>
      </w:r>
      <w:r w:rsidR="003D28E1" w:rsidRPr="004C78D8">
        <w:t>4</w:t>
      </w:r>
      <w:r w:rsidRPr="004C78D8">
        <w:t>.</w:t>
      </w:r>
      <w:r w:rsidR="00D51D09" w:rsidRPr="004C78D8">
        <w:t xml:space="preserve"> I would also like to thank Dr Andrew Booth who </w:t>
      </w:r>
      <w:r w:rsidR="00884261" w:rsidRPr="004C78D8">
        <w:t>read and commented on the systematic overview manuscript that was submitted for publication.</w:t>
      </w:r>
    </w:p>
    <w:p w14:paraId="5EC4638B" w14:textId="49F5B3DA" w:rsidR="00547C43" w:rsidRPr="004C78D8" w:rsidRDefault="00547C43" w:rsidP="00FB7C1F">
      <w:r w:rsidRPr="004C78D8">
        <w:t xml:space="preserve">I am indebted to all stakeholders who participated in the model conceptualisation. </w:t>
      </w:r>
      <w:r w:rsidR="00333772" w:rsidRPr="004C78D8">
        <w:t xml:space="preserve">The following </w:t>
      </w:r>
      <w:r w:rsidR="0040701A" w:rsidRPr="004C78D8">
        <w:t>individuals</w:t>
      </w:r>
      <w:r w:rsidR="00333772" w:rsidRPr="004C78D8">
        <w:t xml:space="preserve"> helped organise</w:t>
      </w:r>
      <w:r w:rsidRPr="004C78D8">
        <w:t xml:space="preserve"> the qualitative research with older persons in Sheffield: Dr Jennifer Lang and Dr Rachel Steen allowed one of their regular patient group meetings at the Northern General Hospital to be used as a focus group; Dance to Health Sheffield, particularly coordinator Ms Jenny Johnson and instructor Ms Charlotte Armitage, allowed several of their sessions to be used as focus groups; and Zest Community, particularly coordinator Ms Kathy Brooke, allowed </w:t>
      </w:r>
      <w:r w:rsidR="00333772" w:rsidRPr="004C78D8">
        <w:t>her</w:t>
      </w:r>
      <w:r w:rsidRPr="004C78D8">
        <w:t xml:space="preserve"> social dinning group to be used as a focus group. </w:t>
      </w:r>
      <w:r w:rsidR="00333772" w:rsidRPr="004C78D8">
        <w:t>Most importantly</w:t>
      </w:r>
      <w:r w:rsidR="00E92200" w:rsidRPr="004C78D8">
        <w:t>, I am indebted to all focus group and interview participants</w:t>
      </w:r>
      <w:r w:rsidR="00333772" w:rsidRPr="004C78D8">
        <w:t xml:space="preserve"> who remain anonymous in this study</w:t>
      </w:r>
      <w:r w:rsidR="00E92200" w:rsidRPr="004C78D8">
        <w:t xml:space="preserve">. I would </w:t>
      </w:r>
      <w:r w:rsidR="00333772" w:rsidRPr="004C78D8">
        <w:t xml:space="preserve">similarly </w:t>
      </w:r>
      <w:r w:rsidR="00E92200" w:rsidRPr="004C78D8">
        <w:t xml:space="preserve">like to thank all commissioners and falls prevention professionals </w:t>
      </w:r>
      <w:r w:rsidR="00360F2A" w:rsidRPr="004C78D8">
        <w:t>who contributed as stakeholders</w:t>
      </w:r>
      <w:r w:rsidR="00E92200" w:rsidRPr="004C78D8">
        <w:t>: Ms Mandy Philbin, Ms Sarah Burt, and Mr Andy Eames at the Sheffield Clinical Commissioning Group; Mr John Soady and Dr Christopher Gibbons at the Sheffield City Council; Dr Boon Loo and his staff at the Sheffield Falls Clinic</w:t>
      </w:r>
      <w:r w:rsidR="00333772" w:rsidRPr="004C78D8">
        <w:t>; Dr Rachel Smith and Dr Laura Evans at Sheffield Teaching Hospitals; Ms Helena Lee at Foundry Medical Group; and Ms Teresa Barker, Mr Steve Chu and Ms Joanna Woodward at Age UK Sheffield.</w:t>
      </w:r>
    </w:p>
    <w:p w14:paraId="668C2177" w14:textId="6F1F4D79" w:rsidR="00360F2A" w:rsidRPr="004C78D8" w:rsidRDefault="00360F2A" w:rsidP="00FB7C1F">
      <w:r w:rsidRPr="004C78D8">
        <w:t>Several health economist</w:t>
      </w:r>
      <w:r w:rsidR="00EC4433" w:rsidRPr="004C78D8">
        <w:t>s</w:t>
      </w:r>
      <w:r w:rsidRPr="004C78D8">
        <w:t xml:space="preserve"> and modellers likewise contributed to model conceptualisation, development and validation. </w:t>
      </w:r>
      <w:r w:rsidR="0040701A" w:rsidRPr="004C78D8">
        <w:t xml:space="preserve">Dr Matt Franklin informed </w:t>
      </w:r>
      <w:r w:rsidR="00D51D09" w:rsidRPr="004C78D8">
        <w:t xml:space="preserve">both </w:t>
      </w:r>
      <w:r w:rsidR="0040701A" w:rsidRPr="004C78D8">
        <w:t xml:space="preserve">conceptual and technical aspects </w:t>
      </w:r>
      <w:r w:rsidR="00D51D09" w:rsidRPr="004C78D8">
        <w:t xml:space="preserve">of the model from the project commencement and helped revise the systematic overview and systematic review </w:t>
      </w:r>
      <w:r w:rsidR="00884261" w:rsidRPr="004C78D8">
        <w:t>manuscripts that were submitted for publication</w:t>
      </w:r>
      <w:r w:rsidR="0040701A" w:rsidRPr="004C78D8">
        <w:t xml:space="preserve">. Dr Praveen Thokala provided feedback on the initial conceptual model. Prof Matt Stevenson and Dr Fiona Sampson offered critical inputs as my confirmation reviewers. Mr Sebastian Hinde </w:t>
      </w:r>
      <w:r w:rsidR="00884261" w:rsidRPr="004C78D8">
        <w:t>and Dr Daniel Howdon of University of York</w:t>
      </w:r>
      <w:r w:rsidR="0040701A" w:rsidRPr="004C78D8">
        <w:t xml:space="preserve"> read through the </w:t>
      </w:r>
      <w:r w:rsidR="00884261" w:rsidRPr="004C78D8">
        <w:t>model parameterisation draft</w:t>
      </w:r>
      <w:r w:rsidR="0040701A" w:rsidRPr="004C78D8">
        <w:t xml:space="preserve"> </w:t>
      </w:r>
      <w:r w:rsidR="00884261" w:rsidRPr="004C78D8">
        <w:t xml:space="preserve">in Chapter </w:t>
      </w:r>
      <w:r w:rsidR="003D28E1" w:rsidRPr="004C78D8">
        <w:t xml:space="preserve">5 </w:t>
      </w:r>
      <w:r w:rsidR="0040701A" w:rsidRPr="004C78D8">
        <w:t xml:space="preserve">to </w:t>
      </w:r>
      <w:r w:rsidR="00884261" w:rsidRPr="004C78D8">
        <w:t xml:space="preserve">provide </w:t>
      </w:r>
      <w:r w:rsidR="0040701A" w:rsidRPr="004C78D8">
        <w:t xml:space="preserve">face validation. </w:t>
      </w:r>
      <w:r w:rsidR="00D51D09" w:rsidRPr="004C78D8">
        <w:t xml:space="preserve">Prof Alan Brennan similarly offered feedback based on my online presentation of the Chapter </w:t>
      </w:r>
      <w:r w:rsidR="003D28E1" w:rsidRPr="004C78D8">
        <w:t xml:space="preserve">5 </w:t>
      </w:r>
      <w:r w:rsidR="00D51D09" w:rsidRPr="004C78D8">
        <w:t xml:space="preserve">content. </w:t>
      </w:r>
      <w:r w:rsidR="0040701A" w:rsidRPr="004C78D8">
        <w:t xml:space="preserve">Ms Rami Cosulich </w:t>
      </w:r>
      <w:r w:rsidR="00D51D09" w:rsidRPr="004C78D8">
        <w:t xml:space="preserve">internally validated the model by stepping through the Simul8 codes and conducting scenario analyses. </w:t>
      </w:r>
    </w:p>
    <w:p w14:paraId="756CC880" w14:textId="7091A928" w:rsidR="00E80179" w:rsidRPr="004C78D8" w:rsidRDefault="00CD7B5A" w:rsidP="00FB7C1F">
      <w:r w:rsidRPr="004C78D8">
        <w:t>Finally, m</w:t>
      </w:r>
      <w:r w:rsidR="00E80179" w:rsidRPr="004C78D8">
        <w:t xml:space="preserve">y financial sponsor Wellcome Trust (funding reference [108903/B/15/Z]) provided highly conscientious support, particularly during the Covid-19 pandemic. Its funded extension of the thesis deadline in response to the pandemic helped my progress significantly. The pandemic </w:t>
      </w:r>
      <w:r w:rsidR="0096528B" w:rsidRPr="004C78D8">
        <w:t xml:space="preserve">had </w:t>
      </w:r>
      <w:r w:rsidR="00E80179" w:rsidRPr="004C78D8">
        <w:t xml:space="preserve">ruled out my </w:t>
      </w:r>
      <w:r w:rsidR="0096528B" w:rsidRPr="004C78D8">
        <w:t xml:space="preserve">initial </w:t>
      </w:r>
      <w:r w:rsidR="00E80179" w:rsidRPr="004C78D8">
        <w:t>plan to access patient routine data from the Sheffield Clinical Commissioning Group</w:t>
      </w:r>
      <w:r w:rsidR="0096528B" w:rsidRPr="004C78D8">
        <w:t xml:space="preserve">, and the extension helped cover the time lost from changing the research plans. </w:t>
      </w:r>
    </w:p>
    <w:p w14:paraId="580DE6C8" w14:textId="28019DDD" w:rsidR="000A04D3" w:rsidRPr="004C78D8" w:rsidRDefault="004C26FB" w:rsidP="00FB7C1F">
      <w:pPr>
        <w:pStyle w:val="Heading1"/>
      </w:pPr>
      <w:bookmarkStart w:id="7" w:name="_Toc93566839"/>
      <w:bookmarkStart w:id="8" w:name="_Toc93567409"/>
      <w:bookmarkStart w:id="9" w:name="_Toc111630683"/>
      <w:r w:rsidRPr="004C78D8">
        <w:lastRenderedPageBreak/>
        <w:t xml:space="preserve">Statement of </w:t>
      </w:r>
      <w:r w:rsidR="00D97F19" w:rsidRPr="004C78D8">
        <w:t>a</w:t>
      </w:r>
      <w:r w:rsidRPr="004C78D8">
        <w:t>uthorship</w:t>
      </w:r>
      <w:r w:rsidR="00AF709B" w:rsidRPr="004C78D8">
        <w:t xml:space="preserve"> and </w:t>
      </w:r>
      <w:r w:rsidR="00D97F19" w:rsidRPr="004C78D8">
        <w:t>d</w:t>
      </w:r>
      <w:r w:rsidR="00AF709B" w:rsidRPr="004C78D8">
        <w:t>issemination</w:t>
      </w:r>
      <w:bookmarkEnd w:id="7"/>
      <w:bookmarkEnd w:id="8"/>
      <w:bookmarkEnd w:id="9"/>
    </w:p>
    <w:p w14:paraId="1AD06E5A" w14:textId="59D99103" w:rsidR="004C26FB" w:rsidRPr="004C78D8" w:rsidRDefault="004C26FB" w:rsidP="00FB7C1F">
      <w:r w:rsidRPr="004C78D8">
        <w:t>Chapters 2</w:t>
      </w:r>
      <w:r w:rsidR="003D28E1" w:rsidRPr="004C78D8">
        <w:t xml:space="preserve"> and</w:t>
      </w:r>
      <w:r w:rsidRPr="004C78D8">
        <w:t xml:space="preserve"> 4 and </w:t>
      </w:r>
      <w:r w:rsidR="003D28E1" w:rsidRPr="004C78D8">
        <w:t xml:space="preserve">Appendix C </w:t>
      </w:r>
      <w:r w:rsidRPr="004C78D8">
        <w:t xml:space="preserve">feature </w:t>
      </w:r>
      <w:r w:rsidR="00E83030" w:rsidRPr="004C78D8">
        <w:t>contents</w:t>
      </w:r>
      <w:r w:rsidRPr="004C78D8">
        <w:t xml:space="preserve"> that have been published or submitted for publication. Chapter 2</w:t>
      </w:r>
      <w:r w:rsidR="003D28E1" w:rsidRPr="004C78D8">
        <w:t>, Appendix C,</w:t>
      </w:r>
      <w:r w:rsidRPr="004C78D8">
        <w:t xml:space="preserve"> </w:t>
      </w:r>
      <w:r w:rsidR="00151172" w:rsidRPr="004C78D8">
        <w:t xml:space="preserve">and </w:t>
      </w:r>
      <w:r w:rsidR="003D28E1" w:rsidRPr="004C78D8">
        <w:t xml:space="preserve">a </w:t>
      </w:r>
      <w:r w:rsidR="00151172" w:rsidRPr="004C78D8">
        <w:t xml:space="preserve">part of Chapter </w:t>
      </w:r>
      <w:r w:rsidR="003D28E1" w:rsidRPr="004C78D8">
        <w:t xml:space="preserve">4 </w:t>
      </w:r>
      <w:r w:rsidR="00151172" w:rsidRPr="004C78D8">
        <w:t xml:space="preserve">have been </w:t>
      </w:r>
      <w:r w:rsidRPr="004C78D8">
        <w:t xml:space="preserve">published in </w:t>
      </w:r>
      <w:r w:rsidRPr="004C78D8">
        <w:rPr>
          <w:i/>
          <w:iCs/>
        </w:rPr>
        <w:t>BMC Health Services Research</w:t>
      </w:r>
      <w:r w:rsidRPr="004C78D8">
        <w:t xml:space="preserve">. A </w:t>
      </w:r>
      <w:r w:rsidR="00151172" w:rsidRPr="004C78D8">
        <w:t xml:space="preserve">further </w:t>
      </w:r>
      <w:r w:rsidRPr="004C78D8">
        <w:t xml:space="preserve">part of Chapter </w:t>
      </w:r>
      <w:r w:rsidR="003D28E1" w:rsidRPr="004C78D8">
        <w:t xml:space="preserve">4 </w:t>
      </w:r>
      <w:r w:rsidR="00151172" w:rsidRPr="004C78D8">
        <w:t xml:space="preserve">has been </w:t>
      </w:r>
      <w:r w:rsidR="003D28E1" w:rsidRPr="004C78D8">
        <w:t>published</w:t>
      </w:r>
      <w:r w:rsidRPr="004C78D8">
        <w:t xml:space="preserve"> in </w:t>
      </w:r>
      <w:r w:rsidRPr="004C78D8">
        <w:rPr>
          <w:i/>
          <w:iCs/>
        </w:rPr>
        <w:t>Cost Effectiveness and Resource Allocation</w:t>
      </w:r>
      <w:r w:rsidRPr="004C78D8">
        <w:t>.</w:t>
      </w:r>
      <w:r w:rsidR="00AF709B" w:rsidRPr="004C78D8">
        <w:t xml:space="preserve"> The references for these papers are listed below:</w:t>
      </w:r>
    </w:p>
    <w:p w14:paraId="0790E3B2" w14:textId="055882BB" w:rsidR="009E000C" w:rsidRPr="004C78D8" w:rsidRDefault="00AF709B" w:rsidP="00FB7C1F">
      <w:r w:rsidRPr="004C78D8">
        <w:rPr>
          <w:b/>
          <w:bCs/>
        </w:rPr>
        <w:t>Chapter 2:</w:t>
      </w:r>
      <w:r w:rsidRPr="004C78D8">
        <w:t xml:space="preserve"> Kwon, J., Lee, Y., Young, T., Squires, H., and Harris, J. </w:t>
      </w:r>
      <w:r w:rsidR="005B4A80" w:rsidRPr="004C78D8">
        <w:t xml:space="preserve">Qualitative research to inform economic modelling: a case study in older people’s views on implementing the NICE falls prevention guideline. </w:t>
      </w:r>
      <w:r w:rsidR="005B4A80" w:rsidRPr="004C78D8">
        <w:rPr>
          <w:i/>
          <w:iCs/>
        </w:rPr>
        <w:t xml:space="preserve">BMC Health Services Research </w:t>
      </w:r>
      <w:r w:rsidR="005B4A80" w:rsidRPr="004C78D8">
        <w:t xml:space="preserve">September </w:t>
      </w:r>
      <w:r w:rsidR="00151172" w:rsidRPr="004C78D8">
        <w:t>(</w:t>
      </w:r>
      <w:r w:rsidR="005B4A80" w:rsidRPr="004C78D8">
        <w:t>2021</w:t>
      </w:r>
      <w:r w:rsidR="00151172" w:rsidRPr="004C78D8">
        <w:t xml:space="preserve">) </w:t>
      </w:r>
      <w:r w:rsidR="005B4A80" w:rsidRPr="004C78D8">
        <w:t>21</w:t>
      </w:r>
      <w:r w:rsidR="00796B79" w:rsidRPr="004C78D8">
        <w:t>:1020</w:t>
      </w:r>
      <w:r w:rsidR="005B4A80" w:rsidRPr="004C78D8">
        <w:t>; DOI: 10.1186/s12913-021-07056-1.</w:t>
      </w:r>
    </w:p>
    <w:p w14:paraId="33538B44" w14:textId="60CE1920" w:rsidR="00AF709B" w:rsidRPr="004C78D8" w:rsidRDefault="00657561" w:rsidP="00FB7C1F">
      <w:r w:rsidRPr="004C78D8">
        <w:rPr>
          <w:b/>
          <w:bCs/>
        </w:rPr>
        <w:t>Appendix C</w:t>
      </w:r>
      <w:r w:rsidR="00FF5D1C" w:rsidRPr="004C78D8">
        <w:rPr>
          <w:b/>
          <w:bCs/>
        </w:rPr>
        <w:t>:</w:t>
      </w:r>
      <w:r w:rsidR="00FF5D1C" w:rsidRPr="004C78D8">
        <w:t xml:space="preserve"> Kwon, J., Squires, H., Franklin, M., Lee, Y., and Young, T. </w:t>
      </w:r>
      <w:r w:rsidR="00110BA4" w:rsidRPr="004C78D8">
        <w:t xml:space="preserve">Economic evaluation of community-based falls prevention interventions for older populations: a systematic methodological overview of systematic reviews. </w:t>
      </w:r>
      <w:r w:rsidR="00110BA4" w:rsidRPr="004C78D8">
        <w:rPr>
          <w:i/>
          <w:iCs/>
        </w:rPr>
        <w:t>BMC Health Services Research</w:t>
      </w:r>
      <w:r w:rsidR="00110BA4" w:rsidRPr="004C78D8">
        <w:t xml:space="preserve"> (2022) 22:401; https://doi.org/10.1186/s12913-022-07764-2.</w:t>
      </w:r>
    </w:p>
    <w:p w14:paraId="296AE396" w14:textId="67994A45" w:rsidR="00FF5D1C" w:rsidRPr="004C78D8" w:rsidRDefault="00FF5D1C" w:rsidP="00FB7C1F">
      <w:r w:rsidRPr="004C78D8">
        <w:rPr>
          <w:b/>
          <w:bCs/>
        </w:rPr>
        <w:t xml:space="preserve">Chapter </w:t>
      </w:r>
      <w:r w:rsidR="00657561" w:rsidRPr="004C78D8">
        <w:rPr>
          <w:b/>
          <w:bCs/>
        </w:rPr>
        <w:t>4</w:t>
      </w:r>
      <w:r w:rsidRPr="004C78D8">
        <w:rPr>
          <w:b/>
          <w:bCs/>
        </w:rPr>
        <w:t>:</w:t>
      </w:r>
      <w:r w:rsidRPr="004C78D8">
        <w:t xml:space="preserve"> Kwon, J., Squires, H., Franklin, M., Lee, Y., and Young, T. Economic models of community-based falls prevention: a systematic review with subsequent commissioning and methodological recommendations. </w:t>
      </w:r>
      <w:r w:rsidRPr="004C78D8">
        <w:rPr>
          <w:i/>
          <w:iCs/>
        </w:rPr>
        <w:t>BMC Health Services Research</w:t>
      </w:r>
      <w:r w:rsidR="002F2AE9" w:rsidRPr="004C78D8">
        <w:rPr>
          <w:i/>
          <w:iCs/>
        </w:rPr>
        <w:t xml:space="preserve"> </w:t>
      </w:r>
      <w:r w:rsidR="00151172" w:rsidRPr="004C78D8">
        <w:t xml:space="preserve">(2022) 22:316; DOI: 10.1186/s12913-022-07647-6. </w:t>
      </w:r>
    </w:p>
    <w:p w14:paraId="1ED86721" w14:textId="0BEC76D8" w:rsidR="00966908" w:rsidRPr="004C78D8" w:rsidRDefault="00FF5D1C" w:rsidP="00FB7C1F">
      <w:r w:rsidRPr="004C78D8">
        <w:rPr>
          <w:b/>
          <w:bCs/>
        </w:rPr>
        <w:t xml:space="preserve">Chapter </w:t>
      </w:r>
      <w:r w:rsidR="00657561" w:rsidRPr="004C78D8">
        <w:rPr>
          <w:b/>
          <w:bCs/>
        </w:rPr>
        <w:t>4</w:t>
      </w:r>
      <w:r w:rsidRPr="004C78D8">
        <w:rPr>
          <w:b/>
          <w:bCs/>
        </w:rPr>
        <w:t>:</w:t>
      </w:r>
      <w:r w:rsidRPr="004C78D8">
        <w:t xml:space="preserve"> Kwon, J., Squires, H., Franklin, M., and Young, T., 202</w:t>
      </w:r>
      <w:r w:rsidR="009C3869" w:rsidRPr="004C78D8">
        <w:t>2</w:t>
      </w:r>
      <w:r w:rsidRPr="004C78D8">
        <w:t xml:space="preserve">. </w:t>
      </w:r>
      <w:r w:rsidR="00657561" w:rsidRPr="004C78D8">
        <w:t xml:space="preserve">Systematic review and critical methodological appraisal of community-based falls prevention economic models. </w:t>
      </w:r>
      <w:r w:rsidR="00657561" w:rsidRPr="00972766">
        <w:rPr>
          <w:i/>
          <w:iCs/>
        </w:rPr>
        <w:t>Cost Effectiveness and Resource Allocation</w:t>
      </w:r>
      <w:r w:rsidR="00657561" w:rsidRPr="004C78D8">
        <w:t xml:space="preserve"> (2022) 20:33; https://doi.org/10.1186/s12962-022-00367-y.</w:t>
      </w:r>
    </w:p>
    <w:p w14:paraId="290E7567" w14:textId="181642F0" w:rsidR="001750A8" w:rsidRPr="004C78D8" w:rsidRDefault="001750A8" w:rsidP="00FB7C1F">
      <w:r w:rsidRPr="004C78D8">
        <w:t>See the Appendix for the statements on author contributions for each article.</w:t>
      </w:r>
    </w:p>
    <w:p w14:paraId="4A6A9107" w14:textId="3361249B" w:rsidR="00615812" w:rsidRPr="004C78D8" w:rsidRDefault="00615812" w:rsidP="00FB7C1F"/>
    <w:p w14:paraId="30C61A4A" w14:textId="77777777" w:rsidR="00615812" w:rsidRPr="004C78D8" w:rsidRDefault="00615812" w:rsidP="00FB7C1F">
      <w:r w:rsidRPr="004C78D8">
        <w:br w:type="page"/>
      </w:r>
    </w:p>
    <w:bookmarkStart w:id="10" w:name="_Toc111630684" w:displacedByCustomXml="next"/>
    <w:sdt>
      <w:sdtPr>
        <w:rPr>
          <w:rFonts w:eastAsiaTheme="minorEastAsia" w:cstheme="minorBidi"/>
          <w:b w:val="0"/>
          <w:color w:val="auto"/>
          <w:sz w:val="22"/>
          <w:szCs w:val="22"/>
        </w:rPr>
        <w:id w:val="-554690140"/>
        <w:docPartObj>
          <w:docPartGallery w:val="Table of Contents"/>
          <w:docPartUnique/>
        </w:docPartObj>
      </w:sdtPr>
      <w:sdtEndPr>
        <w:rPr>
          <w:bCs/>
          <w:noProof/>
        </w:rPr>
      </w:sdtEndPr>
      <w:sdtContent>
        <w:p w14:paraId="3DC0A999" w14:textId="77777777" w:rsidR="00B96EFF" w:rsidRPr="004C78D8" w:rsidRDefault="00FD5753" w:rsidP="00972766">
          <w:pPr>
            <w:pStyle w:val="Heading1"/>
          </w:pPr>
          <w:r w:rsidRPr="004C78D8">
            <w:t>Contents</w:t>
          </w:r>
          <w:bookmarkEnd w:id="10"/>
        </w:p>
        <w:p w14:paraId="5A4CFA3E" w14:textId="7BE295B4" w:rsidR="00E151CE" w:rsidRPr="004C78D8" w:rsidRDefault="00FD5753" w:rsidP="00FB7C1F">
          <w:pPr>
            <w:pStyle w:val="TOC1"/>
            <w:rPr>
              <w:rFonts w:asciiTheme="minorHAnsi" w:hAnsiTheme="minorHAnsi"/>
              <w:noProof/>
            </w:rPr>
          </w:pPr>
          <w:r w:rsidRPr="004C78D8">
            <w:rPr>
              <w:rFonts w:eastAsiaTheme="majorEastAsia" w:cstheme="majorBidi"/>
              <w:color w:val="000000" w:themeColor="text1"/>
              <w:sz w:val="32"/>
              <w:szCs w:val="32"/>
            </w:rPr>
            <w:fldChar w:fldCharType="begin"/>
          </w:r>
          <w:r w:rsidRPr="004C78D8">
            <w:instrText xml:space="preserve"> TOC \o "1-3" \h \z \u </w:instrText>
          </w:r>
          <w:r w:rsidRPr="004C78D8">
            <w:rPr>
              <w:rFonts w:eastAsiaTheme="majorEastAsia" w:cstheme="majorBidi"/>
              <w:color w:val="000000" w:themeColor="text1"/>
              <w:sz w:val="32"/>
              <w:szCs w:val="32"/>
            </w:rPr>
            <w:fldChar w:fldCharType="separate"/>
          </w:r>
          <w:hyperlink w:anchor="_Toc111630681" w:history="1">
            <w:r w:rsidR="00E151CE" w:rsidRPr="004C78D8">
              <w:rPr>
                <w:rStyle w:val="Hyperlink"/>
                <w:noProof/>
              </w:rPr>
              <w:t>Community-based falls prevention for older persons: a case study in economic modelling of geriatric public health interventions</w:t>
            </w:r>
            <w:r w:rsidR="00E151CE" w:rsidRPr="004C78D8">
              <w:rPr>
                <w:noProof/>
                <w:webHidden/>
              </w:rPr>
              <w:tab/>
            </w:r>
            <w:r w:rsidR="00E151CE" w:rsidRPr="004C78D8">
              <w:rPr>
                <w:noProof/>
                <w:webHidden/>
              </w:rPr>
              <w:fldChar w:fldCharType="begin"/>
            </w:r>
            <w:r w:rsidR="00E151CE" w:rsidRPr="004C78D8">
              <w:rPr>
                <w:noProof/>
                <w:webHidden/>
              </w:rPr>
              <w:instrText xml:space="preserve"> PAGEREF _Toc111630681 \h </w:instrText>
            </w:r>
            <w:r w:rsidR="00E151CE" w:rsidRPr="004C78D8">
              <w:rPr>
                <w:noProof/>
                <w:webHidden/>
              </w:rPr>
            </w:r>
            <w:r w:rsidR="00E151CE" w:rsidRPr="004C78D8">
              <w:rPr>
                <w:noProof/>
                <w:webHidden/>
              </w:rPr>
              <w:fldChar w:fldCharType="separate"/>
            </w:r>
            <w:r w:rsidR="00E151CE" w:rsidRPr="004C78D8">
              <w:rPr>
                <w:noProof/>
                <w:webHidden/>
              </w:rPr>
              <w:t>i</w:t>
            </w:r>
            <w:r w:rsidR="00E151CE" w:rsidRPr="004C78D8">
              <w:rPr>
                <w:noProof/>
                <w:webHidden/>
              </w:rPr>
              <w:fldChar w:fldCharType="end"/>
            </w:r>
          </w:hyperlink>
        </w:p>
        <w:p w14:paraId="5629032D" w14:textId="7ADDDE36" w:rsidR="00E151CE" w:rsidRPr="004C78D8" w:rsidRDefault="00E151CE" w:rsidP="00FB7C1F">
          <w:pPr>
            <w:pStyle w:val="TOC1"/>
            <w:rPr>
              <w:rFonts w:asciiTheme="minorHAnsi" w:hAnsiTheme="minorHAnsi"/>
              <w:noProof/>
            </w:rPr>
          </w:pPr>
          <w:hyperlink w:anchor="_Toc111630682" w:history="1">
            <w:r w:rsidRPr="004C78D8">
              <w:rPr>
                <w:rStyle w:val="Hyperlink"/>
                <w:noProof/>
              </w:rPr>
              <w:t>Acknowledgements</w:t>
            </w:r>
            <w:r w:rsidRPr="004C78D8">
              <w:rPr>
                <w:noProof/>
                <w:webHidden/>
              </w:rPr>
              <w:tab/>
            </w:r>
            <w:r w:rsidRPr="004C78D8">
              <w:rPr>
                <w:noProof/>
                <w:webHidden/>
              </w:rPr>
              <w:fldChar w:fldCharType="begin"/>
            </w:r>
            <w:r w:rsidRPr="004C78D8">
              <w:rPr>
                <w:noProof/>
                <w:webHidden/>
              </w:rPr>
              <w:instrText xml:space="preserve"> PAGEREF _Toc111630682 \h </w:instrText>
            </w:r>
            <w:r w:rsidRPr="004C78D8">
              <w:rPr>
                <w:noProof/>
                <w:webHidden/>
              </w:rPr>
            </w:r>
            <w:r w:rsidRPr="004C78D8">
              <w:rPr>
                <w:noProof/>
                <w:webHidden/>
              </w:rPr>
              <w:fldChar w:fldCharType="separate"/>
            </w:r>
            <w:r w:rsidRPr="004C78D8">
              <w:rPr>
                <w:noProof/>
                <w:webHidden/>
              </w:rPr>
              <w:t>ii</w:t>
            </w:r>
            <w:r w:rsidRPr="004C78D8">
              <w:rPr>
                <w:noProof/>
                <w:webHidden/>
              </w:rPr>
              <w:fldChar w:fldCharType="end"/>
            </w:r>
          </w:hyperlink>
        </w:p>
        <w:p w14:paraId="7E6BA957" w14:textId="73DF4149" w:rsidR="00E151CE" w:rsidRPr="004C78D8" w:rsidRDefault="00E151CE" w:rsidP="00FB7C1F">
          <w:pPr>
            <w:pStyle w:val="TOC1"/>
            <w:rPr>
              <w:rFonts w:asciiTheme="minorHAnsi" w:hAnsiTheme="minorHAnsi"/>
              <w:noProof/>
            </w:rPr>
          </w:pPr>
          <w:hyperlink w:anchor="_Toc111630683" w:history="1">
            <w:r w:rsidRPr="004C78D8">
              <w:rPr>
                <w:rStyle w:val="Hyperlink"/>
                <w:noProof/>
              </w:rPr>
              <w:t>Statement of authorship and dissemination</w:t>
            </w:r>
            <w:r w:rsidRPr="004C78D8">
              <w:rPr>
                <w:noProof/>
                <w:webHidden/>
              </w:rPr>
              <w:tab/>
            </w:r>
            <w:r w:rsidRPr="004C78D8">
              <w:rPr>
                <w:noProof/>
                <w:webHidden/>
              </w:rPr>
              <w:fldChar w:fldCharType="begin"/>
            </w:r>
            <w:r w:rsidRPr="004C78D8">
              <w:rPr>
                <w:noProof/>
                <w:webHidden/>
              </w:rPr>
              <w:instrText xml:space="preserve"> PAGEREF _Toc111630683 \h </w:instrText>
            </w:r>
            <w:r w:rsidRPr="004C78D8">
              <w:rPr>
                <w:noProof/>
                <w:webHidden/>
              </w:rPr>
            </w:r>
            <w:r w:rsidRPr="004C78D8">
              <w:rPr>
                <w:noProof/>
                <w:webHidden/>
              </w:rPr>
              <w:fldChar w:fldCharType="separate"/>
            </w:r>
            <w:r w:rsidRPr="004C78D8">
              <w:rPr>
                <w:noProof/>
                <w:webHidden/>
              </w:rPr>
              <w:t>iii</w:t>
            </w:r>
            <w:r w:rsidRPr="004C78D8">
              <w:rPr>
                <w:noProof/>
                <w:webHidden/>
              </w:rPr>
              <w:fldChar w:fldCharType="end"/>
            </w:r>
          </w:hyperlink>
        </w:p>
        <w:p w14:paraId="034C6033" w14:textId="3680A834" w:rsidR="00E151CE" w:rsidRPr="004C78D8" w:rsidRDefault="00E151CE" w:rsidP="00FB7C1F">
          <w:pPr>
            <w:pStyle w:val="TOC1"/>
            <w:rPr>
              <w:rFonts w:asciiTheme="minorHAnsi" w:hAnsiTheme="minorHAnsi"/>
              <w:noProof/>
            </w:rPr>
          </w:pPr>
          <w:hyperlink w:anchor="_Toc111630684" w:history="1">
            <w:r w:rsidRPr="004C78D8">
              <w:rPr>
                <w:rStyle w:val="Hyperlink"/>
                <w:noProof/>
              </w:rPr>
              <w:t>Contents</w:t>
            </w:r>
            <w:r w:rsidRPr="004C78D8">
              <w:rPr>
                <w:noProof/>
                <w:webHidden/>
              </w:rPr>
              <w:tab/>
            </w:r>
            <w:r w:rsidRPr="004C78D8">
              <w:rPr>
                <w:noProof/>
                <w:webHidden/>
              </w:rPr>
              <w:fldChar w:fldCharType="begin"/>
            </w:r>
            <w:r w:rsidRPr="004C78D8">
              <w:rPr>
                <w:noProof/>
                <w:webHidden/>
              </w:rPr>
              <w:instrText xml:space="preserve"> PAGEREF _Toc111630684 \h </w:instrText>
            </w:r>
            <w:r w:rsidRPr="004C78D8">
              <w:rPr>
                <w:noProof/>
                <w:webHidden/>
              </w:rPr>
            </w:r>
            <w:r w:rsidRPr="004C78D8">
              <w:rPr>
                <w:noProof/>
                <w:webHidden/>
              </w:rPr>
              <w:fldChar w:fldCharType="separate"/>
            </w:r>
            <w:r w:rsidRPr="004C78D8">
              <w:rPr>
                <w:noProof/>
                <w:webHidden/>
              </w:rPr>
              <w:t>iv</w:t>
            </w:r>
            <w:r w:rsidRPr="004C78D8">
              <w:rPr>
                <w:noProof/>
                <w:webHidden/>
              </w:rPr>
              <w:fldChar w:fldCharType="end"/>
            </w:r>
          </w:hyperlink>
        </w:p>
        <w:p w14:paraId="24134617" w14:textId="357A1903" w:rsidR="00E151CE" w:rsidRPr="004C78D8" w:rsidRDefault="00E151CE" w:rsidP="00FB7C1F">
          <w:pPr>
            <w:pStyle w:val="TOC1"/>
            <w:rPr>
              <w:rFonts w:asciiTheme="minorHAnsi" w:hAnsiTheme="minorHAnsi"/>
              <w:noProof/>
            </w:rPr>
          </w:pPr>
          <w:hyperlink w:anchor="_Toc111630685" w:history="1">
            <w:r w:rsidRPr="004C78D8">
              <w:rPr>
                <w:rStyle w:val="Hyperlink"/>
                <w:noProof/>
              </w:rPr>
              <w:t>List of Tables and Figures</w:t>
            </w:r>
            <w:r w:rsidRPr="004C78D8">
              <w:rPr>
                <w:noProof/>
                <w:webHidden/>
              </w:rPr>
              <w:tab/>
            </w:r>
            <w:r w:rsidRPr="004C78D8">
              <w:rPr>
                <w:noProof/>
                <w:webHidden/>
              </w:rPr>
              <w:fldChar w:fldCharType="begin"/>
            </w:r>
            <w:r w:rsidRPr="004C78D8">
              <w:rPr>
                <w:noProof/>
                <w:webHidden/>
              </w:rPr>
              <w:instrText xml:space="preserve"> PAGEREF _Toc111630685 \h </w:instrText>
            </w:r>
            <w:r w:rsidRPr="004C78D8">
              <w:rPr>
                <w:noProof/>
                <w:webHidden/>
              </w:rPr>
            </w:r>
            <w:r w:rsidRPr="004C78D8">
              <w:rPr>
                <w:noProof/>
                <w:webHidden/>
              </w:rPr>
              <w:fldChar w:fldCharType="separate"/>
            </w:r>
            <w:r w:rsidRPr="004C78D8">
              <w:rPr>
                <w:noProof/>
                <w:webHidden/>
              </w:rPr>
              <w:t>viii</w:t>
            </w:r>
            <w:r w:rsidRPr="004C78D8">
              <w:rPr>
                <w:noProof/>
                <w:webHidden/>
              </w:rPr>
              <w:fldChar w:fldCharType="end"/>
            </w:r>
          </w:hyperlink>
        </w:p>
        <w:p w14:paraId="1274B7BA" w14:textId="37986878" w:rsidR="00E151CE" w:rsidRPr="004C78D8" w:rsidRDefault="00E151CE" w:rsidP="00FB7C1F">
          <w:pPr>
            <w:pStyle w:val="TOC1"/>
            <w:rPr>
              <w:rFonts w:asciiTheme="minorHAnsi" w:hAnsiTheme="minorHAnsi"/>
              <w:noProof/>
            </w:rPr>
          </w:pPr>
          <w:hyperlink w:anchor="_Toc111630686" w:history="1">
            <w:r w:rsidRPr="004C78D8">
              <w:rPr>
                <w:rStyle w:val="Hyperlink"/>
                <w:noProof/>
              </w:rPr>
              <w:t>List of abbreviations</w:t>
            </w:r>
            <w:r w:rsidRPr="004C78D8">
              <w:rPr>
                <w:noProof/>
                <w:webHidden/>
              </w:rPr>
              <w:tab/>
            </w:r>
            <w:r w:rsidRPr="004C78D8">
              <w:rPr>
                <w:noProof/>
                <w:webHidden/>
              </w:rPr>
              <w:fldChar w:fldCharType="begin"/>
            </w:r>
            <w:r w:rsidRPr="004C78D8">
              <w:rPr>
                <w:noProof/>
                <w:webHidden/>
              </w:rPr>
              <w:instrText xml:space="preserve"> PAGEREF _Toc111630686 \h </w:instrText>
            </w:r>
            <w:r w:rsidRPr="004C78D8">
              <w:rPr>
                <w:noProof/>
                <w:webHidden/>
              </w:rPr>
            </w:r>
            <w:r w:rsidRPr="004C78D8">
              <w:rPr>
                <w:noProof/>
                <w:webHidden/>
              </w:rPr>
              <w:fldChar w:fldCharType="separate"/>
            </w:r>
            <w:r w:rsidRPr="004C78D8">
              <w:rPr>
                <w:noProof/>
                <w:webHidden/>
              </w:rPr>
              <w:t>xii</w:t>
            </w:r>
            <w:r w:rsidRPr="004C78D8">
              <w:rPr>
                <w:noProof/>
                <w:webHidden/>
              </w:rPr>
              <w:fldChar w:fldCharType="end"/>
            </w:r>
          </w:hyperlink>
        </w:p>
        <w:p w14:paraId="22B91D1C" w14:textId="538B6FCF" w:rsidR="00E151CE" w:rsidRPr="004C78D8" w:rsidRDefault="00E151CE" w:rsidP="00FB7C1F">
          <w:pPr>
            <w:pStyle w:val="TOC1"/>
            <w:rPr>
              <w:rFonts w:asciiTheme="minorHAnsi" w:hAnsiTheme="minorHAnsi"/>
              <w:noProof/>
            </w:rPr>
          </w:pPr>
          <w:hyperlink w:anchor="_Toc111630687" w:history="1">
            <w:r w:rsidRPr="004C78D8">
              <w:rPr>
                <w:rStyle w:val="Hyperlink"/>
                <w:noProof/>
              </w:rPr>
              <w:t>Abstract</w:t>
            </w:r>
            <w:r w:rsidRPr="004C78D8">
              <w:rPr>
                <w:noProof/>
                <w:webHidden/>
              </w:rPr>
              <w:tab/>
            </w:r>
            <w:r w:rsidRPr="004C78D8">
              <w:rPr>
                <w:noProof/>
                <w:webHidden/>
              </w:rPr>
              <w:fldChar w:fldCharType="begin"/>
            </w:r>
            <w:r w:rsidRPr="004C78D8">
              <w:rPr>
                <w:noProof/>
                <w:webHidden/>
              </w:rPr>
              <w:instrText xml:space="preserve"> PAGEREF _Toc111630687 \h </w:instrText>
            </w:r>
            <w:r w:rsidRPr="004C78D8">
              <w:rPr>
                <w:noProof/>
                <w:webHidden/>
              </w:rPr>
            </w:r>
            <w:r w:rsidRPr="004C78D8">
              <w:rPr>
                <w:noProof/>
                <w:webHidden/>
              </w:rPr>
              <w:fldChar w:fldCharType="separate"/>
            </w:r>
            <w:r w:rsidRPr="004C78D8">
              <w:rPr>
                <w:noProof/>
                <w:webHidden/>
              </w:rPr>
              <w:t>xiv</w:t>
            </w:r>
            <w:r w:rsidRPr="004C78D8">
              <w:rPr>
                <w:noProof/>
                <w:webHidden/>
              </w:rPr>
              <w:fldChar w:fldCharType="end"/>
            </w:r>
          </w:hyperlink>
        </w:p>
        <w:p w14:paraId="329E7A0A" w14:textId="4C98A97F" w:rsidR="00E151CE" w:rsidRPr="004C78D8" w:rsidRDefault="00E151CE" w:rsidP="00FB7C1F">
          <w:pPr>
            <w:pStyle w:val="TOC1"/>
            <w:rPr>
              <w:rFonts w:asciiTheme="minorHAnsi" w:hAnsiTheme="minorHAnsi"/>
              <w:noProof/>
            </w:rPr>
          </w:pPr>
          <w:hyperlink w:anchor="_Toc111630688" w:history="1">
            <w:r w:rsidRPr="004C78D8">
              <w:rPr>
                <w:rStyle w:val="Hyperlink"/>
                <w:noProof/>
              </w:rPr>
              <w:t>Chapter 1. Introduction</w:t>
            </w:r>
            <w:r w:rsidRPr="004C78D8">
              <w:rPr>
                <w:noProof/>
                <w:webHidden/>
              </w:rPr>
              <w:tab/>
            </w:r>
            <w:r w:rsidRPr="004C78D8">
              <w:rPr>
                <w:noProof/>
                <w:webHidden/>
              </w:rPr>
              <w:fldChar w:fldCharType="begin"/>
            </w:r>
            <w:r w:rsidRPr="004C78D8">
              <w:rPr>
                <w:noProof/>
                <w:webHidden/>
              </w:rPr>
              <w:instrText xml:space="preserve"> PAGEREF _Toc111630688 \h </w:instrText>
            </w:r>
            <w:r w:rsidRPr="004C78D8">
              <w:rPr>
                <w:noProof/>
                <w:webHidden/>
              </w:rPr>
            </w:r>
            <w:r w:rsidRPr="004C78D8">
              <w:rPr>
                <w:noProof/>
                <w:webHidden/>
              </w:rPr>
              <w:fldChar w:fldCharType="separate"/>
            </w:r>
            <w:r w:rsidRPr="004C78D8">
              <w:rPr>
                <w:noProof/>
                <w:webHidden/>
              </w:rPr>
              <w:t>1</w:t>
            </w:r>
            <w:r w:rsidRPr="004C78D8">
              <w:rPr>
                <w:noProof/>
                <w:webHidden/>
              </w:rPr>
              <w:fldChar w:fldCharType="end"/>
            </w:r>
          </w:hyperlink>
        </w:p>
        <w:p w14:paraId="04BC9453" w14:textId="2A2643FD" w:rsidR="00E151CE" w:rsidRPr="004C78D8" w:rsidRDefault="00E151CE" w:rsidP="00FB7C1F">
          <w:pPr>
            <w:pStyle w:val="TOC2"/>
            <w:tabs>
              <w:tab w:val="right" w:leader="dot" w:pos="9016"/>
            </w:tabs>
            <w:rPr>
              <w:rFonts w:asciiTheme="minorHAnsi" w:hAnsiTheme="minorHAnsi"/>
              <w:noProof/>
            </w:rPr>
          </w:pPr>
          <w:hyperlink w:anchor="_Toc111630689" w:history="1">
            <w:r w:rsidRPr="004C78D8">
              <w:rPr>
                <w:rStyle w:val="Hyperlink"/>
                <w:noProof/>
              </w:rPr>
              <w:t>1.1 Chapter outline</w:t>
            </w:r>
            <w:r w:rsidRPr="004C78D8">
              <w:rPr>
                <w:noProof/>
                <w:webHidden/>
              </w:rPr>
              <w:tab/>
            </w:r>
            <w:r w:rsidRPr="004C78D8">
              <w:rPr>
                <w:noProof/>
                <w:webHidden/>
              </w:rPr>
              <w:fldChar w:fldCharType="begin"/>
            </w:r>
            <w:r w:rsidRPr="004C78D8">
              <w:rPr>
                <w:noProof/>
                <w:webHidden/>
              </w:rPr>
              <w:instrText xml:space="preserve"> PAGEREF _Toc111630689 \h </w:instrText>
            </w:r>
            <w:r w:rsidRPr="004C78D8">
              <w:rPr>
                <w:noProof/>
                <w:webHidden/>
              </w:rPr>
            </w:r>
            <w:r w:rsidRPr="004C78D8">
              <w:rPr>
                <w:noProof/>
                <w:webHidden/>
              </w:rPr>
              <w:fldChar w:fldCharType="separate"/>
            </w:r>
            <w:r w:rsidRPr="004C78D8">
              <w:rPr>
                <w:noProof/>
                <w:webHidden/>
              </w:rPr>
              <w:t>1</w:t>
            </w:r>
            <w:r w:rsidRPr="004C78D8">
              <w:rPr>
                <w:noProof/>
                <w:webHidden/>
              </w:rPr>
              <w:fldChar w:fldCharType="end"/>
            </w:r>
          </w:hyperlink>
        </w:p>
        <w:p w14:paraId="5192DA97" w14:textId="78399890" w:rsidR="00E151CE" w:rsidRPr="004C78D8" w:rsidRDefault="00E151CE" w:rsidP="00FB7C1F">
          <w:pPr>
            <w:pStyle w:val="TOC2"/>
            <w:tabs>
              <w:tab w:val="right" w:leader="dot" w:pos="9016"/>
            </w:tabs>
            <w:rPr>
              <w:rFonts w:asciiTheme="minorHAnsi" w:hAnsiTheme="minorHAnsi"/>
              <w:noProof/>
            </w:rPr>
          </w:pPr>
          <w:hyperlink w:anchor="_Toc111630690" w:history="1">
            <w:r w:rsidRPr="004C78D8">
              <w:rPr>
                <w:rStyle w:val="Hyperlink"/>
                <w:noProof/>
              </w:rPr>
              <w:t>1.2 Thesis aim and objectives</w:t>
            </w:r>
            <w:r w:rsidRPr="004C78D8">
              <w:rPr>
                <w:noProof/>
                <w:webHidden/>
              </w:rPr>
              <w:tab/>
            </w:r>
            <w:r w:rsidRPr="004C78D8">
              <w:rPr>
                <w:noProof/>
                <w:webHidden/>
              </w:rPr>
              <w:fldChar w:fldCharType="begin"/>
            </w:r>
            <w:r w:rsidRPr="004C78D8">
              <w:rPr>
                <w:noProof/>
                <w:webHidden/>
              </w:rPr>
              <w:instrText xml:space="preserve"> PAGEREF _Toc111630690 \h </w:instrText>
            </w:r>
            <w:r w:rsidRPr="004C78D8">
              <w:rPr>
                <w:noProof/>
                <w:webHidden/>
              </w:rPr>
            </w:r>
            <w:r w:rsidRPr="004C78D8">
              <w:rPr>
                <w:noProof/>
                <w:webHidden/>
              </w:rPr>
              <w:fldChar w:fldCharType="separate"/>
            </w:r>
            <w:r w:rsidRPr="004C78D8">
              <w:rPr>
                <w:noProof/>
                <w:webHidden/>
              </w:rPr>
              <w:t>1</w:t>
            </w:r>
            <w:r w:rsidRPr="004C78D8">
              <w:rPr>
                <w:noProof/>
                <w:webHidden/>
              </w:rPr>
              <w:fldChar w:fldCharType="end"/>
            </w:r>
          </w:hyperlink>
        </w:p>
        <w:p w14:paraId="09D8B3AB" w14:textId="6E414CB7" w:rsidR="00E151CE" w:rsidRPr="004C78D8" w:rsidRDefault="00E151CE" w:rsidP="00FB7C1F">
          <w:pPr>
            <w:pStyle w:val="TOC2"/>
            <w:tabs>
              <w:tab w:val="right" w:leader="dot" w:pos="9016"/>
            </w:tabs>
            <w:rPr>
              <w:rFonts w:asciiTheme="minorHAnsi" w:hAnsiTheme="minorHAnsi"/>
              <w:noProof/>
            </w:rPr>
          </w:pPr>
          <w:hyperlink w:anchor="_Toc111630691" w:history="1">
            <w:r w:rsidRPr="004C78D8">
              <w:rPr>
                <w:rStyle w:val="Hyperlink"/>
                <w:noProof/>
              </w:rPr>
              <w:t>1.3 Rationale for the research</w:t>
            </w:r>
            <w:r w:rsidRPr="004C78D8">
              <w:rPr>
                <w:noProof/>
                <w:webHidden/>
              </w:rPr>
              <w:tab/>
            </w:r>
            <w:r w:rsidRPr="004C78D8">
              <w:rPr>
                <w:noProof/>
                <w:webHidden/>
              </w:rPr>
              <w:fldChar w:fldCharType="begin"/>
            </w:r>
            <w:r w:rsidRPr="004C78D8">
              <w:rPr>
                <w:noProof/>
                <w:webHidden/>
              </w:rPr>
              <w:instrText xml:space="preserve"> PAGEREF _Toc111630691 \h </w:instrText>
            </w:r>
            <w:r w:rsidRPr="004C78D8">
              <w:rPr>
                <w:noProof/>
                <w:webHidden/>
              </w:rPr>
            </w:r>
            <w:r w:rsidRPr="004C78D8">
              <w:rPr>
                <w:noProof/>
                <w:webHidden/>
              </w:rPr>
              <w:fldChar w:fldCharType="separate"/>
            </w:r>
            <w:r w:rsidRPr="004C78D8">
              <w:rPr>
                <w:noProof/>
                <w:webHidden/>
              </w:rPr>
              <w:t>1</w:t>
            </w:r>
            <w:r w:rsidRPr="004C78D8">
              <w:rPr>
                <w:noProof/>
                <w:webHidden/>
              </w:rPr>
              <w:fldChar w:fldCharType="end"/>
            </w:r>
          </w:hyperlink>
        </w:p>
        <w:p w14:paraId="59714E4F" w14:textId="12740B23" w:rsidR="00E151CE" w:rsidRPr="004C78D8" w:rsidRDefault="00E151CE" w:rsidP="00FB7C1F">
          <w:pPr>
            <w:pStyle w:val="TOC3"/>
            <w:tabs>
              <w:tab w:val="right" w:leader="dot" w:pos="9016"/>
            </w:tabs>
            <w:rPr>
              <w:rFonts w:asciiTheme="minorHAnsi" w:hAnsiTheme="minorHAnsi"/>
              <w:noProof/>
            </w:rPr>
          </w:pPr>
          <w:hyperlink w:anchor="_Toc111630692" w:history="1">
            <w:r w:rsidRPr="004C78D8">
              <w:rPr>
                <w:rStyle w:val="Hyperlink"/>
                <w:noProof/>
              </w:rPr>
              <w:t>1.3.1 Geriatric health challenges including falls and frailty</w:t>
            </w:r>
            <w:r w:rsidRPr="004C78D8">
              <w:rPr>
                <w:noProof/>
                <w:webHidden/>
              </w:rPr>
              <w:tab/>
            </w:r>
            <w:r w:rsidRPr="004C78D8">
              <w:rPr>
                <w:noProof/>
                <w:webHidden/>
              </w:rPr>
              <w:fldChar w:fldCharType="begin"/>
            </w:r>
            <w:r w:rsidRPr="004C78D8">
              <w:rPr>
                <w:noProof/>
                <w:webHidden/>
              </w:rPr>
              <w:instrText xml:space="preserve"> PAGEREF _Toc111630692 \h </w:instrText>
            </w:r>
            <w:r w:rsidRPr="004C78D8">
              <w:rPr>
                <w:noProof/>
                <w:webHidden/>
              </w:rPr>
            </w:r>
            <w:r w:rsidRPr="004C78D8">
              <w:rPr>
                <w:noProof/>
                <w:webHidden/>
              </w:rPr>
              <w:fldChar w:fldCharType="separate"/>
            </w:r>
            <w:r w:rsidRPr="004C78D8">
              <w:rPr>
                <w:noProof/>
                <w:webHidden/>
              </w:rPr>
              <w:t>2</w:t>
            </w:r>
            <w:r w:rsidRPr="004C78D8">
              <w:rPr>
                <w:noProof/>
                <w:webHidden/>
              </w:rPr>
              <w:fldChar w:fldCharType="end"/>
            </w:r>
          </w:hyperlink>
        </w:p>
        <w:p w14:paraId="6AD60676" w14:textId="2C71C6AC" w:rsidR="00E151CE" w:rsidRPr="004C78D8" w:rsidRDefault="00E151CE" w:rsidP="00FB7C1F">
          <w:pPr>
            <w:pStyle w:val="TOC3"/>
            <w:tabs>
              <w:tab w:val="right" w:leader="dot" w:pos="9016"/>
            </w:tabs>
            <w:rPr>
              <w:rFonts w:asciiTheme="minorHAnsi" w:hAnsiTheme="minorHAnsi"/>
              <w:noProof/>
            </w:rPr>
          </w:pPr>
          <w:hyperlink w:anchor="_Toc111630693" w:history="1">
            <w:r w:rsidRPr="004C78D8">
              <w:rPr>
                <w:rStyle w:val="Hyperlink"/>
                <w:noProof/>
              </w:rPr>
              <w:t>1.3.2 Geriatric public health interventions</w:t>
            </w:r>
            <w:r w:rsidRPr="004C78D8">
              <w:rPr>
                <w:noProof/>
                <w:webHidden/>
              </w:rPr>
              <w:tab/>
            </w:r>
            <w:r w:rsidRPr="004C78D8">
              <w:rPr>
                <w:noProof/>
                <w:webHidden/>
              </w:rPr>
              <w:fldChar w:fldCharType="begin"/>
            </w:r>
            <w:r w:rsidRPr="004C78D8">
              <w:rPr>
                <w:noProof/>
                <w:webHidden/>
              </w:rPr>
              <w:instrText xml:space="preserve"> PAGEREF _Toc111630693 \h </w:instrText>
            </w:r>
            <w:r w:rsidRPr="004C78D8">
              <w:rPr>
                <w:noProof/>
                <w:webHidden/>
              </w:rPr>
            </w:r>
            <w:r w:rsidRPr="004C78D8">
              <w:rPr>
                <w:noProof/>
                <w:webHidden/>
              </w:rPr>
              <w:fldChar w:fldCharType="separate"/>
            </w:r>
            <w:r w:rsidRPr="004C78D8">
              <w:rPr>
                <w:noProof/>
                <w:webHidden/>
              </w:rPr>
              <w:t>7</w:t>
            </w:r>
            <w:r w:rsidRPr="004C78D8">
              <w:rPr>
                <w:noProof/>
                <w:webHidden/>
              </w:rPr>
              <w:fldChar w:fldCharType="end"/>
            </w:r>
          </w:hyperlink>
        </w:p>
        <w:p w14:paraId="2FC2CDEF" w14:textId="604F6619" w:rsidR="00E151CE" w:rsidRPr="004C78D8" w:rsidRDefault="00E151CE" w:rsidP="00FB7C1F">
          <w:pPr>
            <w:pStyle w:val="TOC3"/>
            <w:tabs>
              <w:tab w:val="right" w:leader="dot" w:pos="9016"/>
            </w:tabs>
            <w:rPr>
              <w:rFonts w:asciiTheme="minorHAnsi" w:hAnsiTheme="minorHAnsi"/>
              <w:noProof/>
            </w:rPr>
          </w:pPr>
          <w:hyperlink w:anchor="_Toc111630694" w:history="1">
            <w:r w:rsidRPr="004C78D8">
              <w:rPr>
                <w:rStyle w:val="Hyperlink"/>
                <w:noProof/>
              </w:rPr>
              <w:t>1.3.3 Geriatric falls prevention</w:t>
            </w:r>
            <w:r w:rsidRPr="004C78D8">
              <w:rPr>
                <w:noProof/>
                <w:webHidden/>
              </w:rPr>
              <w:tab/>
            </w:r>
            <w:r w:rsidRPr="004C78D8">
              <w:rPr>
                <w:noProof/>
                <w:webHidden/>
              </w:rPr>
              <w:fldChar w:fldCharType="begin"/>
            </w:r>
            <w:r w:rsidRPr="004C78D8">
              <w:rPr>
                <w:noProof/>
                <w:webHidden/>
              </w:rPr>
              <w:instrText xml:space="preserve"> PAGEREF _Toc111630694 \h </w:instrText>
            </w:r>
            <w:r w:rsidRPr="004C78D8">
              <w:rPr>
                <w:noProof/>
                <w:webHidden/>
              </w:rPr>
            </w:r>
            <w:r w:rsidRPr="004C78D8">
              <w:rPr>
                <w:noProof/>
                <w:webHidden/>
              </w:rPr>
              <w:fldChar w:fldCharType="separate"/>
            </w:r>
            <w:r w:rsidRPr="004C78D8">
              <w:rPr>
                <w:noProof/>
                <w:webHidden/>
              </w:rPr>
              <w:t>9</w:t>
            </w:r>
            <w:r w:rsidRPr="004C78D8">
              <w:rPr>
                <w:noProof/>
                <w:webHidden/>
              </w:rPr>
              <w:fldChar w:fldCharType="end"/>
            </w:r>
          </w:hyperlink>
        </w:p>
        <w:p w14:paraId="5F632768" w14:textId="5E117969" w:rsidR="00E151CE" w:rsidRPr="004C78D8" w:rsidRDefault="00E151CE" w:rsidP="00FB7C1F">
          <w:pPr>
            <w:pStyle w:val="TOC3"/>
            <w:tabs>
              <w:tab w:val="right" w:leader="dot" w:pos="9016"/>
            </w:tabs>
            <w:rPr>
              <w:rFonts w:asciiTheme="minorHAnsi" w:hAnsiTheme="minorHAnsi"/>
              <w:noProof/>
            </w:rPr>
          </w:pPr>
          <w:hyperlink w:anchor="_Toc111630695" w:history="1">
            <w:r w:rsidRPr="004C78D8">
              <w:rPr>
                <w:rStyle w:val="Hyperlink"/>
                <w:noProof/>
              </w:rPr>
              <w:t>1.3.4 Health economic evaluation</w:t>
            </w:r>
            <w:r w:rsidRPr="004C78D8">
              <w:rPr>
                <w:noProof/>
                <w:webHidden/>
              </w:rPr>
              <w:tab/>
            </w:r>
            <w:r w:rsidRPr="004C78D8">
              <w:rPr>
                <w:noProof/>
                <w:webHidden/>
              </w:rPr>
              <w:fldChar w:fldCharType="begin"/>
            </w:r>
            <w:r w:rsidRPr="004C78D8">
              <w:rPr>
                <w:noProof/>
                <w:webHidden/>
              </w:rPr>
              <w:instrText xml:space="preserve"> PAGEREF _Toc111630695 \h </w:instrText>
            </w:r>
            <w:r w:rsidRPr="004C78D8">
              <w:rPr>
                <w:noProof/>
                <w:webHidden/>
              </w:rPr>
            </w:r>
            <w:r w:rsidRPr="004C78D8">
              <w:rPr>
                <w:noProof/>
                <w:webHidden/>
              </w:rPr>
              <w:fldChar w:fldCharType="separate"/>
            </w:r>
            <w:r w:rsidRPr="004C78D8">
              <w:rPr>
                <w:noProof/>
                <w:webHidden/>
              </w:rPr>
              <w:t>12</w:t>
            </w:r>
            <w:r w:rsidRPr="004C78D8">
              <w:rPr>
                <w:noProof/>
                <w:webHidden/>
              </w:rPr>
              <w:fldChar w:fldCharType="end"/>
            </w:r>
          </w:hyperlink>
        </w:p>
        <w:p w14:paraId="79EBBBF6" w14:textId="22CCAA0B" w:rsidR="00E151CE" w:rsidRPr="004C78D8" w:rsidRDefault="00E151CE" w:rsidP="00FB7C1F">
          <w:pPr>
            <w:pStyle w:val="TOC3"/>
            <w:tabs>
              <w:tab w:val="right" w:leader="dot" w:pos="9016"/>
            </w:tabs>
            <w:rPr>
              <w:rFonts w:asciiTheme="minorHAnsi" w:hAnsiTheme="minorHAnsi"/>
              <w:noProof/>
            </w:rPr>
          </w:pPr>
          <w:hyperlink w:anchor="_Toc111630696" w:history="1">
            <w:r w:rsidRPr="004C78D8">
              <w:rPr>
                <w:rStyle w:val="Hyperlink"/>
                <w:noProof/>
              </w:rPr>
              <w:t>1.3.5 Developing and evaluating a falls prevention economic model</w:t>
            </w:r>
            <w:r w:rsidRPr="004C78D8">
              <w:rPr>
                <w:noProof/>
                <w:webHidden/>
              </w:rPr>
              <w:tab/>
            </w:r>
            <w:r w:rsidRPr="004C78D8">
              <w:rPr>
                <w:noProof/>
                <w:webHidden/>
              </w:rPr>
              <w:fldChar w:fldCharType="begin"/>
            </w:r>
            <w:r w:rsidRPr="004C78D8">
              <w:rPr>
                <w:noProof/>
                <w:webHidden/>
              </w:rPr>
              <w:instrText xml:space="preserve"> PAGEREF _Toc111630696 \h </w:instrText>
            </w:r>
            <w:r w:rsidRPr="004C78D8">
              <w:rPr>
                <w:noProof/>
                <w:webHidden/>
              </w:rPr>
            </w:r>
            <w:r w:rsidRPr="004C78D8">
              <w:rPr>
                <w:noProof/>
                <w:webHidden/>
              </w:rPr>
              <w:fldChar w:fldCharType="separate"/>
            </w:r>
            <w:r w:rsidRPr="004C78D8">
              <w:rPr>
                <w:noProof/>
                <w:webHidden/>
              </w:rPr>
              <w:t>15</w:t>
            </w:r>
            <w:r w:rsidRPr="004C78D8">
              <w:rPr>
                <w:noProof/>
                <w:webHidden/>
              </w:rPr>
              <w:fldChar w:fldCharType="end"/>
            </w:r>
          </w:hyperlink>
        </w:p>
        <w:p w14:paraId="6396BDE2" w14:textId="2FFC2BA9" w:rsidR="00E151CE" w:rsidRPr="004C78D8" w:rsidRDefault="00E151CE" w:rsidP="00FB7C1F">
          <w:pPr>
            <w:pStyle w:val="TOC3"/>
            <w:tabs>
              <w:tab w:val="right" w:leader="dot" w:pos="9016"/>
            </w:tabs>
            <w:rPr>
              <w:rFonts w:asciiTheme="minorHAnsi" w:hAnsiTheme="minorHAnsi"/>
              <w:noProof/>
            </w:rPr>
          </w:pPr>
          <w:hyperlink w:anchor="_Toc111630697" w:history="1">
            <w:r w:rsidRPr="004C78D8">
              <w:rPr>
                <w:rStyle w:val="Hyperlink"/>
                <w:noProof/>
              </w:rPr>
              <w:t>1.3.6 Summary of research rationale</w:t>
            </w:r>
            <w:r w:rsidRPr="004C78D8">
              <w:rPr>
                <w:noProof/>
                <w:webHidden/>
              </w:rPr>
              <w:tab/>
            </w:r>
            <w:r w:rsidRPr="004C78D8">
              <w:rPr>
                <w:noProof/>
                <w:webHidden/>
              </w:rPr>
              <w:fldChar w:fldCharType="begin"/>
            </w:r>
            <w:r w:rsidRPr="004C78D8">
              <w:rPr>
                <w:noProof/>
                <w:webHidden/>
              </w:rPr>
              <w:instrText xml:space="preserve"> PAGEREF _Toc111630697 \h </w:instrText>
            </w:r>
            <w:r w:rsidRPr="004C78D8">
              <w:rPr>
                <w:noProof/>
                <w:webHidden/>
              </w:rPr>
            </w:r>
            <w:r w:rsidRPr="004C78D8">
              <w:rPr>
                <w:noProof/>
                <w:webHidden/>
              </w:rPr>
              <w:fldChar w:fldCharType="separate"/>
            </w:r>
            <w:r w:rsidRPr="004C78D8">
              <w:rPr>
                <w:noProof/>
                <w:webHidden/>
              </w:rPr>
              <w:t>17</w:t>
            </w:r>
            <w:r w:rsidRPr="004C78D8">
              <w:rPr>
                <w:noProof/>
                <w:webHidden/>
              </w:rPr>
              <w:fldChar w:fldCharType="end"/>
            </w:r>
          </w:hyperlink>
        </w:p>
        <w:p w14:paraId="28FF6823" w14:textId="4BCBD12C" w:rsidR="00E151CE" w:rsidRPr="004C78D8" w:rsidRDefault="00E151CE" w:rsidP="00FB7C1F">
          <w:pPr>
            <w:pStyle w:val="TOC2"/>
            <w:tabs>
              <w:tab w:val="right" w:leader="dot" w:pos="9016"/>
            </w:tabs>
            <w:rPr>
              <w:rFonts w:asciiTheme="minorHAnsi" w:hAnsiTheme="minorHAnsi"/>
              <w:noProof/>
            </w:rPr>
          </w:pPr>
          <w:hyperlink w:anchor="_Toc111630698" w:history="1">
            <w:r w:rsidRPr="004C78D8">
              <w:rPr>
                <w:rStyle w:val="Hyperlink"/>
                <w:noProof/>
              </w:rPr>
              <w:t>1.4 Personal, academic and philosophical position</w:t>
            </w:r>
            <w:r w:rsidRPr="004C78D8">
              <w:rPr>
                <w:noProof/>
                <w:webHidden/>
              </w:rPr>
              <w:tab/>
            </w:r>
            <w:r w:rsidRPr="004C78D8">
              <w:rPr>
                <w:noProof/>
                <w:webHidden/>
              </w:rPr>
              <w:fldChar w:fldCharType="begin"/>
            </w:r>
            <w:r w:rsidRPr="004C78D8">
              <w:rPr>
                <w:noProof/>
                <w:webHidden/>
              </w:rPr>
              <w:instrText xml:space="preserve"> PAGEREF _Toc111630698 \h </w:instrText>
            </w:r>
            <w:r w:rsidRPr="004C78D8">
              <w:rPr>
                <w:noProof/>
                <w:webHidden/>
              </w:rPr>
            </w:r>
            <w:r w:rsidRPr="004C78D8">
              <w:rPr>
                <w:noProof/>
                <w:webHidden/>
              </w:rPr>
              <w:fldChar w:fldCharType="separate"/>
            </w:r>
            <w:r w:rsidRPr="004C78D8">
              <w:rPr>
                <w:noProof/>
                <w:webHidden/>
              </w:rPr>
              <w:t>18</w:t>
            </w:r>
            <w:r w:rsidRPr="004C78D8">
              <w:rPr>
                <w:noProof/>
                <w:webHidden/>
              </w:rPr>
              <w:fldChar w:fldCharType="end"/>
            </w:r>
          </w:hyperlink>
        </w:p>
        <w:p w14:paraId="694AC2CE" w14:textId="1E06927D" w:rsidR="00E151CE" w:rsidRPr="004C78D8" w:rsidRDefault="00E151CE" w:rsidP="00FB7C1F">
          <w:pPr>
            <w:pStyle w:val="TOC2"/>
            <w:tabs>
              <w:tab w:val="right" w:leader="dot" w:pos="9016"/>
            </w:tabs>
            <w:rPr>
              <w:rFonts w:asciiTheme="minorHAnsi" w:hAnsiTheme="minorHAnsi"/>
              <w:noProof/>
            </w:rPr>
          </w:pPr>
          <w:hyperlink w:anchor="_Toc111630699" w:history="1">
            <w:r w:rsidRPr="004C78D8">
              <w:rPr>
                <w:rStyle w:val="Hyperlink"/>
                <w:noProof/>
              </w:rPr>
              <w:t>1.5 Thesis structure</w:t>
            </w:r>
            <w:r w:rsidRPr="004C78D8">
              <w:rPr>
                <w:noProof/>
                <w:webHidden/>
              </w:rPr>
              <w:tab/>
            </w:r>
            <w:r w:rsidRPr="004C78D8">
              <w:rPr>
                <w:noProof/>
                <w:webHidden/>
              </w:rPr>
              <w:fldChar w:fldCharType="begin"/>
            </w:r>
            <w:r w:rsidRPr="004C78D8">
              <w:rPr>
                <w:noProof/>
                <w:webHidden/>
              </w:rPr>
              <w:instrText xml:space="preserve"> PAGEREF _Toc111630699 \h </w:instrText>
            </w:r>
            <w:r w:rsidRPr="004C78D8">
              <w:rPr>
                <w:noProof/>
                <w:webHidden/>
              </w:rPr>
            </w:r>
            <w:r w:rsidRPr="004C78D8">
              <w:rPr>
                <w:noProof/>
                <w:webHidden/>
              </w:rPr>
              <w:fldChar w:fldCharType="separate"/>
            </w:r>
            <w:r w:rsidRPr="004C78D8">
              <w:rPr>
                <w:noProof/>
                <w:webHidden/>
              </w:rPr>
              <w:t>18</w:t>
            </w:r>
            <w:r w:rsidRPr="004C78D8">
              <w:rPr>
                <w:noProof/>
                <w:webHidden/>
              </w:rPr>
              <w:fldChar w:fldCharType="end"/>
            </w:r>
          </w:hyperlink>
        </w:p>
        <w:p w14:paraId="74204C99" w14:textId="77A0F492" w:rsidR="00E151CE" w:rsidRPr="004C78D8" w:rsidRDefault="00E151CE" w:rsidP="00FB7C1F">
          <w:pPr>
            <w:pStyle w:val="TOC1"/>
            <w:rPr>
              <w:rFonts w:asciiTheme="minorHAnsi" w:hAnsiTheme="minorHAnsi"/>
              <w:noProof/>
            </w:rPr>
          </w:pPr>
          <w:hyperlink w:anchor="_Toc111630700" w:history="1">
            <w:r w:rsidRPr="004C78D8">
              <w:rPr>
                <w:rStyle w:val="Hyperlink"/>
                <w:noProof/>
              </w:rPr>
              <w:t>Chapter 2. Qualitative research to inform implementation and economic modelling of falls prevention</w:t>
            </w:r>
            <w:r w:rsidRPr="004C78D8">
              <w:rPr>
                <w:noProof/>
                <w:webHidden/>
              </w:rPr>
              <w:tab/>
            </w:r>
            <w:r w:rsidRPr="004C78D8">
              <w:rPr>
                <w:noProof/>
                <w:webHidden/>
              </w:rPr>
              <w:fldChar w:fldCharType="begin"/>
            </w:r>
            <w:r w:rsidRPr="004C78D8">
              <w:rPr>
                <w:noProof/>
                <w:webHidden/>
              </w:rPr>
              <w:instrText xml:space="preserve"> PAGEREF _Toc111630700 \h </w:instrText>
            </w:r>
            <w:r w:rsidRPr="004C78D8">
              <w:rPr>
                <w:noProof/>
                <w:webHidden/>
              </w:rPr>
            </w:r>
            <w:r w:rsidRPr="004C78D8">
              <w:rPr>
                <w:noProof/>
                <w:webHidden/>
              </w:rPr>
              <w:fldChar w:fldCharType="separate"/>
            </w:r>
            <w:r w:rsidRPr="004C78D8">
              <w:rPr>
                <w:noProof/>
                <w:webHidden/>
              </w:rPr>
              <w:t>21</w:t>
            </w:r>
            <w:r w:rsidRPr="004C78D8">
              <w:rPr>
                <w:noProof/>
                <w:webHidden/>
              </w:rPr>
              <w:fldChar w:fldCharType="end"/>
            </w:r>
          </w:hyperlink>
        </w:p>
        <w:p w14:paraId="16277BC7" w14:textId="2815AA56" w:rsidR="00E151CE" w:rsidRPr="004C78D8" w:rsidRDefault="00E151CE" w:rsidP="00FB7C1F">
          <w:pPr>
            <w:pStyle w:val="TOC2"/>
            <w:tabs>
              <w:tab w:val="right" w:leader="dot" w:pos="9016"/>
            </w:tabs>
            <w:rPr>
              <w:rFonts w:asciiTheme="minorHAnsi" w:hAnsiTheme="minorHAnsi"/>
              <w:noProof/>
            </w:rPr>
          </w:pPr>
          <w:hyperlink w:anchor="_Toc111630701" w:history="1">
            <w:r w:rsidRPr="004C78D8">
              <w:rPr>
                <w:rStyle w:val="Hyperlink"/>
                <w:noProof/>
              </w:rPr>
              <w:t>2.1 Chapter outline</w:t>
            </w:r>
            <w:r w:rsidRPr="004C78D8">
              <w:rPr>
                <w:noProof/>
                <w:webHidden/>
              </w:rPr>
              <w:tab/>
            </w:r>
            <w:r w:rsidRPr="004C78D8">
              <w:rPr>
                <w:noProof/>
                <w:webHidden/>
              </w:rPr>
              <w:fldChar w:fldCharType="begin"/>
            </w:r>
            <w:r w:rsidRPr="004C78D8">
              <w:rPr>
                <w:noProof/>
                <w:webHidden/>
              </w:rPr>
              <w:instrText xml:space="preserve"> PAGEREF _Toc111630701 \h </w:instrText>
            </w:r>
            <w:r w:rsidRPr="004C78D8">
              <w:rPr>
                <w:noProof/>
                <w:webHidden/>
              </w:rPr>
            </w:r>
            <w:r w:rsidRPr="004C78D8">
              <w:rPr>
                <w:noProof/>
                <w:webHidden/>
              </w:rPr>
              <w:fldChar w:fldCharType="separate"/>
            </w:r>
            <w:r w:rsidRPr="004C78D8">
              <w:rPr>
                <w:noProof/>
                <w:webHidden/>
              </w:rPr>
              <w:t>21</w:t>
            </w:r>
            <w:r w:rsidRPr="004C78D8">
              <w:rPr>
                <w:noProof/>
                <w:webHidden/>
              </w:rPr>
              <w:fldChar w:fldCharType="end"/>
            </w:r>
          </w:hyperlink>
        </w:p>
        <w:p w14:paraId="03C42DE1" w14:textId="1AF46FBE" w:rsidR="00E151CE" w:rsidRPr="004C78D8" w:rsidRDefault="00E151CE" w:rsidP="00FB7C1F">
          <w:pPr>
            <w:pStyle w:val="TOC2"/>
            <w:tabs>
              <w:tab w:val="right" w:leader="dot" w:pos="9016"/>
            </w:tabs>
            <w:rPr>
              <w:rFonts w:asciiTheme="minorHAnsi" w:hAnsiTheme="minorHAnsi"/>
              <w:noProof/>
            </w:rPr>
          </w:pPr>
          <w:hyperlink w:anchor="_Toc111630702" w:history="1">
            <w:r w:rsidRPr="004C78D8">
              <w:rPr>
                <w:rStyle w:val="Hyperlink"/>
                <w:noProof/>
              </w:rPr>
              <w:t>2.2 Qualitative study background</w:t>
            </w:r>
            <w:r w:rsidRPr="004C78D8">
              <w:rPr>
                <w:noProof/>
                <w:webHidden/>
              </w:rPr>
              <w:tab/>
            </w:r>
            <w:r w:rsidRPr="004C78D8">
              <w:rPr>
                <w:noProof/>
                <w:webHidden/>
              </w:rPr>
              <w:fldChar w:fldCharType="begin"/>
            </w:r>
            <w:r w:rsidRPr="004C78D8">
              <w:rPr>
                <w:noProof/>
                <w:webHidden/>
              </w:rPr>
              <w:instrText xml:space="preserve"> PAGEREF _Toc111630702 \h </w:instrText>
            </w:r>
            <w:r w:rsidRPr="004C78D8">
              <w:rPr>
                <w:noProof/>
                <w:webHidden/>
              </w:rPr>
            </w:r>
            <w:r w:rsidRPr="004C78D8">
              <w:rPr>
                <w:noProof/>
                <w:webHidden/>
              </w:rPr>
              <w:fldChar w:fldCharType="separate"/>
            </w:r>
            <w:r w:rsidRPr="004C78D8">
              <w:rPr>
                <w:noProof/>
                <w:webHidden/>
              </w:rPr>
              <w:t>21</w:t>
            </w:r>
            <w:r w:rsidRPr="004C78D8">
              <w:rPr>
                <w:noProof/>
                <w:webHidden/>
              </w:rPr>
              <w:fldChar w:fldCharType="end"/>
            </w:r>
          </w:hyperlink>
        </w:p>
        <w:p w14:paraId="1820C724" w14:textId="41B0EF69" w:rsidR="00E151CE" w:rsidRPr="004C78D8" w:rsidRDefault="00E151CE" w:rsidP="00FB7C1F">
          <w:pPr>
            <w:pStyle w:val="TOC2"/>
            <w:tabs>
              <w:tab w:val="right" w:leader="dot" w:pos="9016"/>
            </w:tabs>
            <w:rPr>
              <w:rFonts w:asciiTheme="minorHAnsi" w:hAnsiTheme="minorHAnsi"/>
              <w:noProof/>
            </w:rPr>
          </w:pPr>
          <w:hyperlink w:anchor="_Toc111630703" w:history="1">
            <w:r w:rsidRPr="004C78D8">
              <w:rPr>
                <w:rStyle w:val="Hyperlink"/>
                <w:noProof/>
              </w:rPr>
              <w:t>2.3 Qualitative study methods</w:t>
            </w:r>
            <w:r w:rsidRPr="004C78D8">
              <w:rPr>
                <w:noProof/>
                <w:webHidden/>
              </w:rPr>
              <w:tab/>
            </w:r>
            <w:r w:rsidRPr="004C78D8">
              <w:rPr>
                <w:noProof/>
                <w:webHidden/>
              </w:rPr>
              <w:fldChar w:fldCharType="begin"/>
            </w:r>
            <w:r w:rsidRPr="004C78D8">
              <w:rPr>
                <w:noProof/>
                <w:webHidden/>
              </w:rPr>
              <w:instrText xml:space="preserve"> PAGEREF _Toc111630703 \h </w:instrText>
            </w:r>
            <w:r w:rsidRPr="004C78D8">
              <w:rPr>
                <w:noProof/>
                <w:webHidden/>
              </w:rPr>
            </w:r>
            <w:r w:rsidRPr="004C78D8">
              <w:rPr>
                <w:noProof/>
                <w:webHidden/>
              </w:rPr>
              <w:fldChar w:fldCharType="separate"/>
            </w:r>
            <w:r w:rsidRPr="004C78D8">
              <w:rPr>
                <w:noProof/>
                <w:webHidden/>
              </w:rPr>
              <w:t>22</w:t>
            </w:r>
            <w:r w:rsidRPr="004C78D8">
              <w:rPr>
                <w:noProof/>
                <w:webHidden/>
              </w:rPr>
              <w:fldChar w:fldCharType="end"/>
            </w:r>
          </w:hyperlink>
        </w:p>
        <w:p w14:paraId="3C845E9C" w14:textId="6A1C041D" w:rsidR="00E151CE" w:rsidRPr="004C78D8" w:rsidRDefault="00E151CE" w:rsidP="00FB7C1F">
          <w:pPr>
            <w:pStyle w:val="TOC3"/>
            <w:tabs>
              <w:tab w:val="right" w:leader="dot" w:pos="9016"/>
            </w:tabs>
            <w:rPr>
              <w:rFonts w:asciiTheme="minorHAnsi" w:hAnsiTheme="minorHAnsi"/>
              <w:noProof/>
            </w:rPr>
          </w:pPr>
          <w:hyperlink w:anchor="_Toc111630704" w:history="1">
            <w:r w:rsidRPr="004C78D8">
              <w:rPr>
                <w:rStyle w:val="Hyperlink"/>
                <w:noProof/>
              </w:rPr>
              <w:t>2.3.1 Target population and sampling</w:t>
            </w:r>
            <w:r w:rsidRPr="004C78D8">
              <w:rPr>
                <w:noProof/>
                <w:webHidden/>
              </w:rPr>
              <w:tab/>
            </w:r>
            <w:r w:rsidRPr="004C78D8">
              <w:rPr>
                <w:noProof/>
                <w:webHidden/>
              </w:rPr>
              <w:fldChar w:fldCharType="begin"/>
            </w:r>
            <w:r w:rsidRPr="004C78D8">
              <w:rPr>
                <w:noProof/>
                <w:webHidden/>
              </w:rPr>
              <w:instrText xml:space="preserve"> PAGEREF _Toc111630704 \h </w:instrText>
            </w:r>
            <w:r w:rsidRPr="004C78D8">
              <w:rPr>
                <w:noProof/>
                <w:webHidden/>
              </w:rPr>
            </w:r>
            <w:r w:rsidRPr="004C78D8">
              <w:rPr>
                <w:noProof/>
                <w:webHidden/>
              </w:rPr>
              <w:fldChar w:fldCharType="separate"/>
            </w:r>
            <w:r w:rsidRPr="004C78D8">
              <w:rPr>
                <w:noProof/>
                <w:webHidden/>
              </w:rPr>
              <w:t>23</w:t>
            </w:r>
            <w:r w:rsidRPr="004C78D8">
              <w:rPr>
                <w:noProof/>
                <w:webHidden/>
              </w:rPr>
              <w:fldChar w:fldCharType="end"/>
            </w:r>
          </w:hyperlink>
        </w:p>
        <w:p w14:paraId="3D2E58CB" w14:textId="5CFD295F" w:rsidR="00E151CE" w:rsidRPr="004C78D8" w:rsidRDefault="00E151CE" w:rsidP="00FB7C1F">
          <w:pPr>
            <w:pStyle w:val="TOC3"/>
            <w:tabs>
              <w:tab w:val="right" w:leader="dot" w:pos="9016"/>
            </w:tabs>
            <w:rPr>
              <w:rFonts w:asciiTheme="minorHAnsi" w:hAnsiTheme="minorHAnsi"/>
              <w:noProof/>
            </w:rPr>
          </w:pPr>
          <w:hyperlink w:anchor="_Toc111630705" w:history="1">
            <w:r w:rsidRPr="004C78D8">
              <w:rPr>
                <w:rStyle w:val="Hyperlink"/>
                <w:noProof/>
              </w:rPr>
              <w:t>2.3.2 Discussion topics and data collection</w:t>
            </w:r>
            <w:r w:rsidRPr="004C78D8">
              <w:rPr>
                <w:noProof/>
                <w:webHidden/>
              </w:rPr>
              <w:tab/>
            </w:r>
            <w:r w:rsidRPr="004C78D8">
              <w:rPr>
                <w:noProof/>
                <w:webHidden/>
              </w:rPr>
              <w:fldChar w:fldCharType="begin"/>
            </w:r>
            <w:r w:rsidRPr="004C78D8">
              <w:rPr>
                <w:noProof/>
                <w:webHidden/>
              </w:rPr>
              <w:instrText xml:space="preserve"> PAGEREF _Toc111630705 \h </w:instrText>
            </w:r>
            <w:r w:rsidRPr="004C78D8">
              <w:rPr>
                <w:noProof/>
                <w:webHidden/>
              </w:rPr>
            </w:r>
            <w:r w:rsidRPr="004C78D8">
              <w:rPr>
                <w:noProof/>
                <w:webHidden/>
              </w:rPr>
              <w:fldChar w:fldCharType="separate"/>
            </w:r>
            <w:r w:rsidRPr="004C78D8">
              <w:rPr>
                <w:noProof/>
                <w:webHidden/>
              </w:rPr>
              <w:t>24</w:t>
            </w:r>
            <w:r w:rsidRPr="004C78D8">
              <w:rPr>
                <w:noProof/>
                <w:webHidden/>
              </w:rPr>
              <w:fldChar w:fldCharType="end"/>
            </w:r>
          </w:hyperlink>
        </w:p>
        <w:p w14:paraId="36114095" w14:textId="5B4595C0" w:rsidR="00E151CE" w:rsidRPr="004C78D8" w:rsidRDefault="00E151CE" w:rsidP="00FB7C1F">
          <w:pPr>
            <w:pStyle w:val="TOC3"/>
            <w:tabs>
              <w:tab w:val="right" w:leader="dot" w:pos="9016"/>
            </w:tabs>
            <w:rPr>
              <w:rFonts w:asciiTheme="minorHAnsi" w:hAnsiTheme="minorHAnsi"/>
              <w:noProof/>
            </w:rPr>
          </w:pPr>
          <w:hyperlink w:anchor="_Toc111630706" w:history="1">
            <w:r w:rsidRPr="004C78D8">
              <w:rPr>
                <w:rStyle w:val="Hyperlink"/>
                <w:noProof/>
              </w:rPr>
              <w:t>2.3.3 Data analysis</w:t>
            </w:r>
            <w:r w:rsidRPr="004C78D8">
              <w:rPr>
                <w:noProof/>
                <w:webHidden/>
              </w:rPr>
              <w:tab/>
            </w:r>
            <w:r w:rsidRPr="004C78D8">
              <w:rPr>
                <w:noProof/>
                <w:webHidden/>
              </w:rPr>
              <w:fldChar w:fldCharType="begin"/>
            </w:r>
            <w:r w:rsidRPr="004C78D8">
              <w:rPr>
                <w:noProof/>
                <w:webHidden/>
              </w:rPr>
              <w:instrText xml:space="preserve"> PAGEREF _Toc111630706 \h </w:instrText>
            </w:r>
            <w:r w:rsidRPr="004C78D8">
              <w:rPr>
                <w:noProof/>
                <w:webHidden/>
              </w:rPr>
            </w:r>
            <w:r w:rsidRPr="004C78D8">
              <w:rPr>
                <w:noProof/>
                <w:webHidden/>
              </w:rPr>
              <w:fldChar w:fldCharType="separate"/>
            </w:r>
            <w:r w:rsidRPr="004C78D8">
              <w:rPr>
                <w:noProof/>
                <w:webHidden/>
              </w:rPr>
              <w:t>24</w:t>
            </w:r>
            <w:r w:rsidRPr="004C78D8">
              <w:rPr>
                <w:noProof/>
                <w:webHidden/>
              </w:rPr>
              <w:fldChar w:fldCharType="end"/>
            </w:r>
          </w:hyperlink>
        </w:p>
        <w:p w14:paraId="4EE76FFE" w14:textId="3BC9C0E1" w:rsidR="00E151CE" w:rsidRPr="004C78D8" w:rsidRDefault="00E151CE" w:rsidP="00FB7C1F">
          <w:pPr>
            <w:pStyle w:val="TOC2"/>
            <w:tabs>
              <w:tab w:val="right" w:leader="dot" w:pos="9016"/>
            </w:tabs>
            <w:rPr>
              <w:rFonts w:asciiTheme="minorHAnsi" w:hAnsiTheme="minorHAnsi"/>
              <w:noProof/>
            </w:rPr>
          </w:pPr>
          <w:hyperlink w:anchor="_Toc111630707" w:history="1">
            <w:r w:rsidRPr="004C78D8">
              <w:rPr>
                <w:rStyle w:val="Hyperlink"/>
                <w:noProof/>
              </w:rPr>
              <w:t>2.4 Qualitative study results</w:t>
            </w:r>
            <w:r w:rsidRPr="004C78D8">
              <w:rPr>
                <w:noProof/>
                <w:webHidden/>
              </w:rPr>
              <w:tab/>
            </w:r>
            <w:r w:rsidRPr="004C78D8">
              <w:rPr>
                <w:noProof/>
                <w:webHidden/>
              </w:rPr>
              <w:fldChar w:fldCharType="begin"/>
            </w:r>
            <w:r w:rsidRPr="004C78D8">
              <w:rPr>
                <w:noProof/>
                <w:webHidden/>
              </w:rPr>
              <w:instrText xml:space="preserve"> PAGEREF _Toc111630707 \h </w:instrText>
            </w:r>
            <w:r w:rsidRPr="004C78D8">
              <w:rPr>
                <w:noProof/>
                <w:webHidden/>
              </w:rPr>
            </w:r>
            <w:r w:rsidRPr="004C78D8">
              <w:rPr>
                <w:noProof/>
                <w:webHidden/>
              </w:rPr>
              <w:fldChar w:fldCharType="separate"/>
            </w:r>
            <w:r w:rsidRPr="004C78D8">
              <w:rPr>
                <w:noProof/>
                <w:webHidden/>
              </w:rPr>
              <w:t>25</w:t>
            </w:r>
            <w:r w:rsidRPr="004C78D8">
              <w:rPr>
                <w:noProof/>
                <w:webHidden/>
              </w:rPr>
              <w:fldChar w:fldCharType="end"/>
            </w:r>
          </w:hyperlink>
        </w:p>
        <w:p w14:paraId="1FC03147" w14:textId="05A5CE05" w:rsidR="00E151CE" w:rsidRPr="004C78D8" w:rsidRDefault="00E151CE" w:rsidP="00FB7C1F">
          <w:pPr>
            <w:pStyle w:val="TOC3"/>
            <w:tabs>
              <w:tab w:val="right" w:leader="dot" w:pos="9016"/>
            </w:tabs>
            <w:rPr>
              <w:rFonts w:asciiTheme="minorHAnsi" w:hAnsiTheme="minorHAnsi"/>
              <w:noProof/>
            </w:rPr>
          </w:pPr>
          <w:hyperlink w:anchor="_Toc111630708" w:history="1">
            <w:r w:rsidRPr="004C78D8">
              <w:rPr>
                <w:rStyle w:val="Hyperlink"/>
                <w:noProof/>
              </w:rPr>
              <w:t>2.4.1 Participant characteristics</w:t>
            </w:r>
            <w:r w:rsidRPr="004C78D8">
              <w:rPr>
                <w:noProof/>
                <w:webHidden/>
              </w:rPr>
              <w:tab/>
            </w:r>
            <w:r w:rsidRPr="004C78D8">
              <w:rPr>
                <w:noProof/>
                <w:webHidden/>
              </w:rPr>
              <w:fldChar w:fldCharType="begin"/>
            </w:r>
            <w:r w:rsidRPr="004C78D8">
              <w:rPr>
                <w:noProof/>
                <w:webHidden/>
              </w:rPr>
              <w:instrText xml:space="preserve"> PAGEREF _Toc111630708 \h </w:instrText>
            </w:r>
            <w:r w:rsidRPr="004C78D8">
              <w:rPr>
                <w:noProof/>
                <w:webHidden/>
              </w:rPr>
            </w:r>
            <w:r w:rsidRPr="004C78D8">
              <w:rPr>
                <w:noProof/>
                <w:webHidden/>
              </w:rPr>
              <w:fldChar w:fldCharType="separate"/>
            </w:r>
            <w:r w:rsidRPr="004C78D8">
              <w:rPr>
                <w:noProof/>
                <w:webHidden/>
              </w:rPr>
              <w:t>26</w:t>
            </w:r>
            <w:r w:rsidRPr="004C78D8">
              <w:rPr>
                <w:noProof/>
                <w:webHidden/>
              </w:rPr>
              <w:fldChar w:fldCharType="end"/>
            </w:r>
          </w:hyperlink>
        </w:p>
        <w:p w14:paraId="2B2F27A4" w14:textId="3B2AD793" w:rsidR="00E151CE" w:rsidRPr="004C78D8" w:rsidRDefault="00E151CE" w:rsidP="00FB7C1F">
          <w:pPr>
            <w:pStyle w:val="TOC3"/>
            <w:tabs>
              <w:tab w:val="right" w:leader="dot" w:pos="9016"/>
            </w:tabs>
            <w:rPr>
              <w:rFonts w:asciiTheme="minorHAnsi" w:hAnsiTheme="minorHAnsi"/>
              <w:noProof/>
            </w:rPr>
          </w:pPr>
          <w:hyperlink w:anchor="_Toc111630709" w:history="1">
            <w:r w:rsidRPr="004C78D8">
              <w:rPr>
                <w:rStyle w:val="Hyperlink"/>
                <w:noProof/>
              </w:rPr>
              <w:t>2.4.2 Framework (I): Facilitators and barriers and cross-component and contextual factors</w:t>
            </w:r>
            <w:r w:rsidRPr="004C78D8">
              <w:rPr>
                <w:noProof/>
                <w:webHidden/>
              </w:rPr>
              <w:tab/>
            </w:r>
            <w:r w:rsidRPr="004C78D8">
              <w:rPr>
                <w:noProof/>
                <w:webHidden/>
              </w:rPr>
              <w:fldChar w:fldCharType="begin"/>
            </w:r>
            <w:r w:rsidRPr="004C78D8">
              <w:rPr>
                <w:noProof/>
                <w:webHidden/>
              </w:rPr>
              <w:instrText xml:space="preserve"> PAGEREF _Toc111630709 \h </w:instrText>
            </w:r>
            <w:r w:rsidRPr="004C78D8">
              <w:rPr>
                <w:noProof/>
                <w:webHidden/>
              </w:rPr>
            </w:r>
            <w:r w:rsidRPr="004C78D8">
              <w:rPr>
                <w:noProof/>
                <w:webHidden/>
              </w:rPr>
              <w:fldChar w:fldCharType="separate"/>
            </w:r>
            <w:r w:rsidRPr="004C78D8">
              <w:rPr>
                <w:noProof/>
                <w:webHidden/>
              </w:rPr>
              <w:t>27</w:t>
            </w:r>
            <w:r w:rsidRPr="004C78D8">
              <w:rPr>
                <w:noProof/>
                <w:webHidden/>
              </w:rPr>
              <w:fldChar w:fldCharType="end"/>
            </w:r>
          </w:hyperlink>
        </w:p>
        <w:p w14:paraId="4B1096EB" w14:textId="28C4E573" w:rsidR="00E151CE" w:rsidRPr="004C78D8" w:rsidRDefault="00E151CE" w:rsidP="00FB7C1F">
          <w:pPr>
            <w:pStyle w:val="TOC3"/>
            <w:tabs>
              <w:tab w:val="right" w:leader="dot" w:pos="9016"/>
            </w:tabs>
            <w:rPr>
              <w:rFonts w:asciiTheme="minorHAnsi" w:hAnsiTheme="minorHAnsi"/>
              <w:noProof/>
            </w:rPr>
          </w:pPr>
          <w:hyperlink w:anchor="_Toc111630710" w:history="1">
            <w:r w:rsidRPr="004C78D8">
              <w:rPr>
                <w:rStyle w:val="Hyperlink"/>
                <w:noProof/>
              </w:rPr>
              <w:t>2.4.3 Framework (II): Potential commissioning strategies</w:t>
            </w:r>
            <w:r w:rsidRPr="004C78D8">
              <w:rPr>
                <w:noProof/>
                <w:webHidden/>
              </w:rPr>
              <w:tab/>
            </w:r>
            <w:r w:rsidRPr="004C78D8">
              <w:rPr>
                <w:noProof/>
                <w:webHidden/>
              </w:rPr>
              <w:fldChar w:fldCharType="begin"/>
            </w:r>
            <w:r w:rsidRPr="004C78D8">
              <w:rPr>
                <w:noProof/>
                <w:webHidden/>
              </w:rPr>
              <w:instrText xml:space="preserve"> PAGEREF _Toc111630710 \h </w:instrText>
            </w:r>
            <w:r w:rsidRPr="004C78D8">
              <w:rPr>
                <w:noProof/>
                <w:webHidden/>
              </w:rPr>
            </w:r>
            <w:r w:rsidRPr="004C78D8">
              <w:rPr>
                <w:noProof/>
                <w:webHidden/>
              </w:rPr>
              <w:fldChar w:fldCharType="separate"/>
            </w:r>
            <w:r w:rsidRPr="004C78D8">
              <w:rPr>
                <w:noProof/>
                <w:webHidden/>
              </w:rPr>
              <w:t>32</w:t>
            </w:r>
            <w:r w:rsidRPr="004C78D8">
              <w:rPr>
                <w:noProof/>
                <w:webHidden/>
              </w:rPr>
              <w:fldChar w:fldCharType="end"/>
            </w:r>
          </w:hyperlink>
        </w:p>
        <w:p w14:paraId="567A9521" w14:textId="1661A65F" w:rsidR="00E151CE" w:rsidRPr="004C78D8" w:rsidRDefault="00E151CE" w:rsidP="00FB7C1F">
          <w:pPr>
            <w:pStyle w:val="TOC3"/>
            <w:tabs>
              <w:tab w:val="right" w:leader="dot" w:pos="9016"/>
            </w:tabs>
            <w:rPr>
              <w:rFonts w:asciiTheme="minorHAnsi" w:hAnsiTheme="minorHAnsi"/>
              <w:noProof/>
            </w:rPr>
          </w:pPr>
          <w:hyperlink w:anchor="_Toc111630711" w:history="1">
            <w:r w:rsidRPr="004C78D8">
              <w:rPr>
                <w:rStyle w:val="Hyperlink"/>
                <w:noProof/>
              </w:rPr>
              <w:t>2.4.4 Framework (III): Challenges for public health economic modelling</w:t>
            </w:r>
            <w:r w:rsidRPr="004C78D8">
              <w:rPr>
                <w:noProof/>
                <w:webHidden/>
              </w:rPr>
              <w:tab/>
            </w:r>
            <w:r w:rsidRPr="004C78D8">
              <w:rPr>
                <w:noProof/>
                <w:webHidden/>
              </w:rPr>
              <w:fldChar w:fldCharType="begin"/>
            </w:r>
            <w:r w:rsidRPr="004C78D8">
              <w:rPr>
                <w:noProof/>
                <w:webHidden/>
              </w:rPr>
              <w:instrText xml:space="preserve"> PAGEREF _Toc111630711 \h </w:instrText>
            </w:r>
            <w:r w:rsidRPr="004C78D8">
              <w:rPr>
                <w:noProof/>
                <w:webHidden/>
              </w:rPr>
            </w:r>
            <w:r w:rsidRPr="004C78D8">
              <w:rPr>
                <w:noProof/>
                <w:webHidden/>
              </w:rPr>
              <w:fldChar w:fldCharType="separate"/>
            </w:r>
            <w:r w:rsidRPr="004C78D8">
              <w:rPr>
                <w:noProof/>
                <w:webHidden/>
              </w:rPr>
              <w:t>34</w:t>
            </w:r>
            <w:r w:rsidRPr="004C78D8">
              <w:rPr>
                <w:noProof/>
                <w:webHidden/>
              </w:rPr>
              <w:fldChar w:fldCharType="end"/>
            </w:r>
          </w:hyperlink>
        </w:p>
        <w:p w14:paraId="37B7F213" w14:textId="471C7DC1" w:rsidR="00E151CE" w:rsidRPr="004C78D8" w:rsidRDefault="00E151CE" w:rsidP="00FB7C1F">
          <w:pPr>
            <w:pStyle w:val="TOC2"/>
            <w:tabs>
              <w:tab w:val="right" w:leader="dot" w:pos="9016"/>
            </w:tabs>
            <w:rPr>
              <w:rFonts w:asciiTheme="minorHAnsi" w:hAnsiTheme="minorHAnsi"/>
              <w:noProof/>
            </w:rPr>
          </w:pPr>
          <w:hyperlink w:anchor="_Toc111630712" w:history="1">
            <w:r w:rsidRPr="004C78D8">
              <w:rPr>
                <w:rStyle w:val="Hyperlink"/>
                <w:noProof/>
              </w:rPr>
              <w:t>2.5 Discussion</w:t>
            </w:r>
            <w:r w:rsidRPr="004C78D8">
              <w:rPr>
                <w:noProof/>
                <w:webHidden/>
              </w:rPr>
              <w:tab/>
            </w:r>
            <w:r w:rsidRPr="004C78D8">
              <w:rPr>
                <w:noProof/>
                <w:webHidden/>
              </w:rPr>
              <w:fldChar w:fldCharType="begin"/>
            </w:r>
            <w:r w:rsidRPr="004C78D8">
              <w:rPr>
                <w:noProof/>
                <w:webHidden/>
              </w:rPr>
              <w:instrText xml:space="preserve"> PAGEREF _Toc111630712 \h </w:instrText>
            </w:r>
            <w:r w:rsidRPr="004C78D8">
              <w:rPr>
                <w:noProof/>
                <w:webHidden/>
              </w:rPr>
            </w:r>
            <w:r w:rsidRPr="004C78D8">
              <w:rPr>
                <w:noProof/>
                <w:webHidden/>
              </w:rPr>
              <w:fldChar w:fldCharType="separate"/>
            </w:r>
            <w:r w:rsidRPr="004C78D8">
              <w:rPr>
                <w:noProof/>
                <w:webHidden/>
              </w:rPr>
              <w:t>36</w:t>
            </w:r>
            <w:r w:rsidRPr="004C78D8">
              <w:rPr>
                <w:noProof/>
                <w:webHidden/>
              </w:rPr>
              <w:fldChar w:fldCharType="end"/>
            </w:r>
          </w:hyperlink>
        </w:p>
        <w:p w14:paraId="26CE89A3" w14:textId="622D5DE3" w:rsidR="00E151CE" w:rsidRPr="004C78D8" w:rsidRDefault="00E151CE" w:rsidP="00FB7C1F">
          <w:pPr>
            <w:pStyle w:val="TOC2"/>
            <w:tabs>
              <w:tab w:val="right" w:leader="dot" w:pos="9016"/>
            </w:tabs>
            <w:rPr>
              <w:rFonts w:asciiTheme="minorHAnsi" w:hAnsiTheme="minorHAnsi"/>
              <w:noProof/>
            </w:rPr>
          </w:pPr>
          <w:hyperlink w:anchor="_Toc111630713" w:history="1">
            <w:r w:rsidRPr="004C78D8">
              <w:rPr>
                <w:rStyle w:val="Hyperlink"/>
                <w:noProof/>
              </w:rPr>
              <w:t>2.6 Conclusion and chapter summary</w:t>
            </w:r>
            <w:r w:rsidRPr="004C78D8">
              <w:rPr>
                <w:noProof/>
                <w:webHidden/>
              </w:rPr>
              <w:tab/>
            </w:r>
            <w:r w:rsidRPr="004C78D8">
              <w:rPr>
                <w:noProof/>
                <w:webHidden/>
              </w:rPr>
              <w:fldChar w:fldCharType="begin"/>
            </w:r>
            <w:r w:rsidRPr="004C78D8">
              <w:rPr>
                <w:noProof/>
                <w:webHidden/>
              </w:rPr>
              <w:instrText xml:space="preserve"> PAGEREF _Toc111630713 \h </w:instrText>
            </w:r>
            <w:r w:rsidRPr="004C78D8">
              <w:rPr>
                <w:noProof/>
                <w:webHidden/>
              </w:rPr>
            </w:r>
            <w:r w:rsidRPr="004C78D8">
              <w:rPr>
                <w:noProof/>
                <w:webHidden/>
              </w:rPr>
              <w:fldChar w:fldCharType="separate"/>
            </w:r>
            <w:r w:rsidRPr="004C78D8">
              <w:rPr>
                <w:noProof/>
                <w:webHidden/>
              </w:rPr>
              <w:t>38</w:t>
            </w:r>
            <w:r w:rsidRPr="004C78D8">
              <w:rPr>
                <w:noProof/>
                <w:webHidden/>
              </w:rPr>
              <w:fldChar w:fldCharType="end"/>
            </w:r>
          </w:hyperlink>
        </w:p>
        <w:p w14:paraId="5C82F7AC" w14:textId="57E004B2" w:rsidR="00E151CE" w:rsidRPr="004C78D8" w:rsidRDefault="00E151CE" w:rsidP="00FB7C1F">
          <w:pPr>
            <w:pStyle w:val="TOC1"/>
            <w:rPr>
              <w:rFonts w:asciiTheme="minorHAnsi" w:hAnsiTheme="minorHAnsi"/>
              <w:noProof/>
            </w:rPr>
          </w:pPr>
          <w:hyperlink w:anchor="_Toc111630714" w:history="1">
            <w:r w:rsidRPr="004C78D8">
              <w:rPr>
                <w:rStyle w:val="Hyperlink"/>
                <w:noProof/>
              </w:rPr>
              <w:t>Chapter 3. Understanding the Problem for Falls Prevention Economic Model Development (Conceptual Model)</w:t>
            </w:r>
            <w:r w:rsidRPr="004C78D8">
              <w:rPr>
                <w:noProof/>
                <w:webHidden/>
              </w:rPr>
              <w:tab/>
            </w:r>
            <w:r w:rsidRPr="004C78D8">
              <w:rPr>
                <w:noProof/>
                <w:webHidden/>
              </w:rPr>
              <w:fldChar w:fldCharType="begin"/>
            </w:r>
            <w:r w:rsidRPr="004C78D8">
              <w:rPr>
                <w:noProof/>
                <w:webHidden/>
              </w:rPr>
              <w:instrText xml:space="preserve"> PAGEREF _Toc111630714 \h </w:instrText>
            </w:r>
            <w:r w:rsidRPr="004C78D8">
              <w:rPr>
                <w:noProof/>
                <w:webHidden/>
              </w:rPr>
            </w:r>
            <w:r w:rsidRPr="004C78D8">
              <w:rPr>
                <w:noProof/>
                <w:webHidden/>
              </w:rPr>
              <w:fldChar w:fldCharType="separate"/>
            </w:r>
            <w:r w:rsidRPr="004C78D8">
              <w:rPr>
                <w:noProof/>
                <w:webHidden/>
              </w:rPr>
              <w:t>40</w:t>
            </w:r>
            <w:r w:rsidRPr="004C78D8">
              <w:rPr>
                <w:noProof/>
                <w:webHidden/>
              </w:rPr>
              <w:fldChar w:fldCharType="end"/>
            </w:r>
          </w:hyperlink>
        </w:p>
        <w:p w14:paraId="276469F0" w14:textId="43266C3C" w:rsidR="00E151CE" w:rsidRPr="004C78D8" w:rsidRDefault="00E151CE" w:rsidP="00FB7C1F">
          <w:pPr>
            <w:pStyle w:val="TOC2"/>
            <w:tabs>
              <w:tab w:val="right" w:leader="dot" w:pos="9016"/>
            </w:tabs>
            <w:rPr>
              <w:rFonts w:asciiTheme="minorHAnsi" w:hAnsiTheme="minorHAnsi"/>
              <w:noProof/>
            </w:rPr>
          </w:pPr>
          <w:hyperlink w:anchor="_Toc111630715" w:history="1">
            <w:r w:rsidRPr="004C78D8">
              <w:rPr>
                <w:rStyle w:val="Hyperlink"/>
                <w:noProof/>
              </w:rPr>
              <w:t>3.1 Chapter outline</w:t>
            </w:r>
            <w:r w:rsidRPr="004C78D8">
              <w:rPr>
                <w:noProof/>
                <w:webHidden/>
              </w:rPr>
              <w:tab/>
            </w:r>
            <w:r w:rsidRPr="004C78D8">
              <w:rPr>
                <w:noProof/>
                <w:webHidden/>
              </w:rPr>
              <w:fldChar w:fldCharType="begin"/>
            </w:r>
            <w:r w:rsidRPr="004C78D8">
              <w:rPr>
                <w:noProof/>
                <w:webHidden/>
              </w:rPr>
              <w:instrText xml:space="preserve"> PAGEREF _Toc111630715 \h </w:instrText>
            </w:r>
            <w:r w:rsidRPr="004C78D8">
              <w:rPr>
                <w:noProof/>
                <w:webHidden/>
              </w:rPr>
            </w:r>
            <w:r w:rsidRPr="004C78D8">
              <w:rPr>
                <w:noProof/>
                <w:webHidden/>
              </w:rPr>
              <w:fldChar w:fldCharType="separate"/>
            </w:r>
            <w:r w:rsidRPr="004C78D8">
              <w:rPr>
                <w:noProof/>
                <w:webHidden/>
              </w:rPr>
              <w:t>40</w:t>
            </w:r>
            <w:r w:rsidRPr="004C78D8">
              <w:rPr>
                <w:noProof/>
                <w:webHidden/>
              </w:rPr>
              <w:fldChar w:fldCharType="end"/>
            </w:r>
          </w:hyperlink>
        </w:p>
        <w:p w14:paraId="5240D79B" w14:textId="1CD64D7C" w:rsidR="00E151CE" w:rsidRPr="004C78D8" w:rsidRDefault="00E151CE" w:rsidP="00FB7C1F">
          <w:pPr>
            <w:pStyle w:val="TOC2"/>
            <w:tabs>
              <w:tab w:val="right" w:leader="dot" w:pos="9016"/>
            </w:tabs>
            <w:rPr>
              <w:rFonts w:asciiTheme="minorHAnsi" w:hAnsiTheme="minorHAnsi"/>
              <w:noProof/>
            </w:rPr>
          </w:pPr>
          <w:hyperlink w:anchor="_Toc111630716" w:history="1">
            <w:r w:rsidRPr="004C78D8">
              <w:rPr>
                <w:rStyle w:val="Hyperlink"/>
                <w:noProof/>
              </w:rPr>
              <w:t>3.2 Methods for developing the falls prevention conceptual model</w:t>
            </w:r>
            <w:r w:rsidRPr="004C78D8">
              <w:rPr>
                <w:noProof/>
                <w:webHidden/>
              </w:rPr>
              <w:tab/>
            </w:r>
            <w:r w:rsidRPr="004C78D8">
              <w:rPr>
                <w:noProof/>
                <w:webHidden/>
              </w:rPr>
              <w:fldChar w:fldCharType="begin"/>
            </w:r>
            <w:r w:rsidRPr="004C78D8">
              <w:rPr>
                <w:noProof/>
                <w:webHidden/>
              </w:rPr>
              <w:instrText xml:space="preserve"> PAGEREF _Toc111630716 \h </w:instrText>
            </w:r>
            <w:r w:rsidRPr="004C78D8">
              <w:rPr>
                <w:noProof/>
                <w:webHidden/>
              </w:rPr>
            </w:r>
            <w:r w:rsidRPr="004C78D8">
              <w:rPr>
                <w:noProof/>
                <w:webHidden/>
              </w:rPr>
              <w:fldChar w:fldCharType="separate"/>
            </w:r>
            <w:r w:rsidRPr="004C78D8">
              <w:rPr>
                <w:noProof/>
                <w:webHidden/>
              </w:rPr>
              <w:t>40</w:t>
            </w:r>
            <w:r w:rsidRPr="004C78D8">
              <w:rPr>
                <w:noProof/>
                <w:webHidden/>
              </w:rPr>
              <w:fldChar w:fldCharType="end"/>
            </w:r>
          </w:hyperlink>
        </w:p>
        <w:p w14:paraId="1C9C30B9" w14:textId="058F0A17" w:rsidR="00E151CE" w:rsidRPr="004C78D8" w:rsidRDefault="00E151CE" w:rsidP="00FB7C1F">
          <w:pPr>
            <w:pStyle w:val="TOC2"/>
            <w:tabs>
              <w:tab w:val="right" w:leader="dot" w:pos="9016"/>
            </w:tabs>
            <w:rPr>
              <w:rFonts w:asciiTheme="minorHAnsi" w:hAnsiTheme="minorHAnsi"/>
              <w:noProof/>
            </w:rPr>
          </w:pPr>
          <w:hyperlink w:anchor="_Toc111630717" w:history="1">
            <w:r w:rsidRPr="004C78D8">
              <w:rPr>
                <w:rStyle w:val="Hyperlink"/>
                <w:noProof/>
              </w:rPr>
              <w:t>3.3 Understanding the local context for model development</w:t>
            </w:r>
            <w:r w:rsidRPr="004C78D8">
              <w:rPr>
                <w:noProof/>
                <w:webHidden/>
              </w:rPr>
              <w:tab/>
            </w:r>
            <w:r w:rsidRPr="004C78D8">
              <w:rPr>
                <w:noProof/>
                <w:webHidden/>
              </w:rPr>
              <w:fldChar w:fldCharType="begin"/>
            </w:r>
            <w:r w:rsidRPr="004C78D8">
              <w:rPr>
                <w:noProof/>
                <w:webHidden/>
              </w:rPr>
              <w:instrText xml:space="preserve"> PAGEREF _Toc111630717 \h </w:instrText>
            </w:r>
            <w:r w:rsidRPr="004C78D8">
              <w:rPr>
                <w:noProof/>
                <w:webHidden/>
              </w:rPr>
            </w:r>
            <w:r w:rsidRPr="004C78D8">
              <w:rPr>
                <w:noProof/>
                <w:webHidden/>
              </w:rPr>
              <w:fldChar w:fldCharType="separate"/>
            </w:r>
            <w:r w:rsidRPr="004C78D8">
              <w:rPr>
                <w:noProof/>
                <w:webHidden/>
              </w:rPr>
              <w:t>41</w:t>
            </w:r>
            <w:r w:rsidRPr="004C78D8">
              <w:rPr>
                <w:noProof/>
                <w:webHidden/>
              </w:rPr>
              <w:fldChar w:fldCharType="end"/>
            </w:r>
          </w:hyperlink>
        </w:p>
        <w:p w14:paraId="2F05F3C3" w14:textId="3F80CE18" w:rsidR="00E151CE" w:rsidRPr="004C78D8" w:rsidRDefault="00E151CE" w:rsidP="00FB7C1F">
          <w:pPr>
            <w:pStyle w:val="TOC3"/>
            <w:tabs>
              <w:tab w:val="right" w:leader="dot" w:pos="9016"/>
            </w:tabs>
            <w:rPr>
              <w:rFonts w:asciiTheme="minorHAnsi" w:hAnsiTheme="minorHAnsi"/>
              <w:noProof/>
            </w:rPr>
          </w:pPr>
          <w:hyperlink w:anchor="_Toc111630718" w:history="1">
            <w:r w:rsidRPr="004C78D8">
              <w:rPr>
                <w:rStyle w:val="Hyperlink"/>
                <w:noProof/>
              </w:rPr>
              <w:t>3.3.1 Identifying relevant local stakeholders</w:t>
            </w:r>
            <w:r w:rsidRPr="004C78D8">
              <w:rPr>
                <w:noProof/>
                <w:webHidden/>
              </w:rPr>
              <w:tab/>
            </w:r>
            <w:r w:rsidRPr="004C78D8">
              <w:rPr>
                <w:noProof/>
                <w:webHidden/>
              </w:rPr>
              <w:fldChar w:fldCharType="begin"/>
            </w:r>
            <w:r w:rsidRPr="004C78D8">
              <w:rPr>
                <w:noProof/>
                <w:webHidden/>
              </w:rPr>
              <w:instrText xml:space="preserve"> PAGEREF _Toc111630718 \h </w:instrText>
            </w:r>
            <w:r w:rsidRPr="004C78D8">
              <w:rPr>
                <w:noProof/>
                <w:webHidden/>
              </w:rPr>
            </w:r>
            <w:r w:rsidRPr="004C78D8">
              <w:rPr>
                <w:noProof/>
                <w:webHidden/>
              </w:rPr>
              <w:fldChar w:fldCharType="separate"/>
            </w:r>
            <w:r w:rsidRPr="004C78D8">
              <w:rPr>
                <w:noProof/>
                <w:webHidden/>
              </w:rPr>
              <w:t>41</w:t>
            </w:r>
            <w:r w:rsidRPr="004C78D8">
              <w:rPr>
                <w:noProof/>
                <w:webHidden/>
              </w:rPr>
              <w:fldChar w:fldCharType="end"/>
            </w:r>
          </w:hyperlink>
        </w:p>
        <w:p w14:paraId="12654F6B" w14:textId="7A25488C" w:rsidR="00E151CE" w:rsidRPr="004C78D8" w:rsidRDefault="00E151CE" w:rsidP="00FB7C1F">
          <w:pPr>
            <w:pStyle w:val="TOC3"/>
            <w:tabs>
              <w:tab w:val="right" w:leader="dot" w:pos="9016"/>
            </w:tabs>
            <w:rPr>
              <w:rFonts w:asciiTheme="minorHAnsi" w:hAnsiTheme="minorHAnsi"/>
              <w:noProof/>
            </w:rPr>
          </w:pPr>
          <w:hyperlink w:anchor="_Toc111630719" w:history="1">
            <w:r w:rsidRPr="004C78D8">
              <w:rPr>
                <w:rStyle w:val="Hyperlink"/>
                <w:noProof/>
              </w:rPr>
              <w:t>3.3.2 Choosing the mode of stakeholder engagement</w:t>
            </w:r>
            <w:r w:rsidRPr="004C78D8">
              <w:rPr>
                <w:noProof/>
                <w:webHidden/>
              </w:rPr>
              <w:tab/>
            </w:r>
            <w:r w:rsidRPr="004C78D8">
              <w:rPr>
                <w:noProof/>
                <w:webHidden/>
              </w:rPr>
              <w:fldChar w:fldCharType="begin"/>
            </w:r>
            <w:r w:rsidRPr="004C78D8">
              <w:rPr>
                <w:noProof/>
                <w:webHidden/>
              </w:rPr>
              <w:instrText xml:space="preserve"> PAGEREF _Toc111630719 \h </w:instrText>
            </w:r>
            <w:r w:rsidRPr="004C78D8">
              <w:rPr>
                <w:noProof/>
                <w:webHidden/>
              </w:rPr>
            </w:r>
            <w:r w:rsidRPr="004C78D8">
              <w:rPr>
                <w:noProof/>
                <w:webHidden/>
              </w:rPr>
              <w:fldChar w:fldCharType="separate"/>
            </w:r>
            <w:r w:rsidRPr="004C78D8">
              <w:rPr>
                <w:noProof/>
                <w:webHidden/>
              </w:rPr>
              <w:t>42</w:t>
            </w:r>
            <w:r w:rsidRPr="004C78D8">
              <w:rPr>
                <w:noProof/>
                <w:webHidden/>
              </w:rPr>
              <w:fldChar w:fldCharType="end"/>
            </w:r>
          </w:hyperlink>
        </w:p>
        <w:p w14:paraId="53A46B99" w14:textId="378C536E" w:rsidR="00E151CE" w:rsidRPr="004C78D8" w:rsidRDefault="00E151CE" w:rsidP="00FB7C1F">
          <w:pPr>
            <w:pStyle w:val="TOC3"/>
            <w:tabs>
              <w:tab w:val="right" w:leader="dot" w:pos="9016"/>
            </w:tabs>
            <w:rPr>
              <w:rFonts w:asciiTheme="minorHAnsi" w:hAnsiTheme="minorHAnsi"/>
              <w:noProof/>
            </w:rPr>
          </w:pPr>
          <w:hyperlink w:anchor="_Toc111630720" w:history="1">
            <w:r w:rsidRPr="004C78D8">
              <w:rPr>
                <w:rStyle w:val="Hyperlink"/>
                <w:noProof/>
              </w:rPr>
              <w:t>3.3.3 Establishing approaches to evidence searching</w:t>
            </w:r>
            <w:r w:rsidRPr="004C78D8">
              <w:rPr>
                <w:noProof/>
                <w:webHidden/>
              </w:rPr>
              <w:tab/>
            </w:r>
            <w:r w:rsidRPr="004C78D8">
              <w:rPr>
                <w:noProof/>
                <w:webHidden/>
              </w:rPr>
              <w:fldChar w:fldCharType="begin"/>
            </w:r>
            <w:r w:rsidRPr="004C78D8">
              <w:rPr>
                <w:noProof/>
                <w:webHidden/>
              </w:rPr>
              <w:instrText xml:space="preserve"> PAGEREF _Toc111630720 \h </w:instrText>
            </w:r>
            <w:r w:rsidRPr="004C78D8">
              <w:rPr>
                <w:noProof/>
                <w:webHidden/>
              </w:rPr>
            </w:r>
            <w:r w:rsidRPr="004C78D8">
              <w:rPr>
                <w:noProof/>
                <w:webHidden/>
              </w:rPr>
              <w:fldChar w:fldCharType="separate"/>
            </w:r>
            <w:r w:rsidRPr="004C78D8">
              <w:rPr>
                <w:noProof/>
                <w:webHidden/>
              </w:rPr>
              <w:t>42</w:t>
            </w:r>
            <w:r w:rsidRPr="004C78D8">
              <w:rPr>
                <w:noProof/>
                <w:webHidden/>
              </w:rPr>
              <w:fldChar w:fldCharType="end"/>
            </w:r>
          </w:hyperlink>
        </w:p>
        <w:p w14:paraId="65C0C178" w14:textId="7071912A" w:rsidR="00E151CE" w:rsidRPr="004C78D8" w:rsidRDefault="00E151CE" w:rsidP="00FB7C1F">
          <w:pPr>
            <w:pStyle w:val="TOC3"/>
            <w:tabs>
              <w:tab w:val="right" w:leader="dot" w:pos="9016"/>
            </w:tabs>
            <w:rPr>
              <w:rFonts w:asciiTheme="minorHAnsi" w:hAnsiTheme="minorHAnsi"/>
              <w:noProof/>
            </w:rPr>
          </w:pPr>
          <w:hyperlink w:anchor="_Toc111630721" w:history="1">
            <w:r w:rsidRPr="004C78D8">
              <w:rPr>
                <w:rStyle w:val="Hyperlink"/>
                <w:noProof/>
              </w:rPr>
              <w:t>3.3.4 Establishing time and resource availability and producing a protocol document</w:t>
            </w:r>
            <w:r w:rsidRPr="004C78D8">
              <w:rPr>
                <w:noProof/>
                <w:webHidden/>
              </w:rPr>
              <w:tab/>
            </w:r>
            <w:r w:rsidRPr="004C78D8">
              <w:rPr>
                <w:noProof/>
                <w:webHidden/>
              </w:rPr>
              <w:fldChar w:fldCharType="begin"/>
            </w:r>
            <w:r w:rsidRPr="004C78D8">
              <w:rPr>
                <w:noProof/>
                <w:webHidden/>
              </w:rPr>
              <w:instrText xml:space="preserve"> PAGEREF _Toc111630721 \h </w:instrText>
            </w:r>
            <w:r w:rsidRPr="004C78D8">
              <w:rPr>
                <w:noProof/>
                <w:webHidden/>
              </w:rPr>
            </w:r>
            <w:r w:rsidRPr="004C78D8">
              <w:rPr>
                <w:noProof/>
                <w:webHidden/>
              </w:rPr>
              <w:fldChar w:fldCharType="separate"/>
            </w:r>
            <w:r w:rsidRPr="004C78D8">
              <w:rPr>
                <w:noProof/>
                <w:webHidden/>
              </w:rPr>
              <w:t>44</w:t>
            </w:r>
            <w:r w:rsidRPr="004C78D8">
              <w:rPr>
                <w:noProof/>
                <w:webHidden/>
              </w:rPr>
              <w:fldChar w:fldCharType="end"/>
            </w:r>
          </w:hyperlink>
        </w:p>
        <w:p w14:paraId="2ECB0039" w14:textId="7071321F" w:rsidR="00E151CE" w:rsidRPr="004C78D8" w:rsidRDefault="00E151CE" w:rsidP="00FB7C1F">
          <w:pPr>
            <w:pStyle w:val="TOC2"/>
            <w:tabs>
              <w:tab w:val="right" w:leader="dot" w:pos="9016"/>
            </w:tabs>
            <w:rPr>
              <w:rFonts w:asciiTheme="minorHAnsi" w:hAnsiTheme="minorHAnsi"/>
              <w:noProof/>
            </w:rPr>
          </w:pPr>
          <w:hyperlink w:anchor="_Toc111630722" w:history="1">
            <w:r w:rsidRPr="004C78D8">
              <w:rPr>
                <w:rStyle w:val="Hyperlink"/>
                <w:noProof/>
              </w:rPr>
              <w:t>3.4 What is the problem?</w:t>
            </w:r>
            <w:r w:rsidRPr="004C78D8">
              <w:rPr>
                <w:noProof/>
                <w:webHidden/>
              </w:rPr>
              <w:tab/>
            </w:r>
            <w:r w:rsidRPr="004C78D8">
              <w:rPr>
                <w:noProof/>
                <w:webHidden/>
              </w:rPr>
              <w:fldChar w:fldCharType="begin"/>
            </w:r>
            <w:r w:rsidRPr="004C78D8">
              <w:rPr>
                <w:noProof/>
                <w:webHidden/>
              </w:rPr>
              <w:instrText xml:space="preserve"> PAGEREF _Toc111630722 \h </w:instrText>
            </w:r>
            <w:r w:rsidRPr="004C78D8">
              <w:rPr>
                <w:noProof/>
                <w:webHidden/>
              </w:rPr>
            </w:r>
            <w:r w:rsidRPr="004C78D8">
              <w:rPr>
                <w:noProof/>
                <w:webHidden/>
              </w:rPr>
              <w:fldChar w:fldCharType="separate"/>
            </w:r>
            <w:r w:rsidRPr="004C78D8">
              <w:rPr>
                <w:noProof/>
                <w:webHidden/>
              </w:rPr>
              <w:t>44</w:t>
            </w:r>
            <w:r w:rsidRPr="004C78D8">
              <w:rPr>
                <w:noProof/>
                <w:webHidden/>
              </w:rPr>
              <w:fldChar w:fldCharType="end"/>
            </w:r>
          </w:hyperlink>
        </w:p>
        <w:p w14:paraId="3CD44633" w14:textId="133F5647" w:rsidR="00E151CE" w:rsidRPr="004C78D8" w:rsidRDefault="00E151CE" w:rsidP="00FB7C1F">
          <w:pPr>
            <w:pStyle w:val="TOC3"/>
            <w:tabs>
              <w:tab w:val="right" w:leader="dot" w:pos="9016"/>
            </w:tabs>
            <w:rPr>
              <w:rFonts w:asciiTheme="minorHAnsi" w:hAnsiTheme="minorHAnsi"/>
              <w:noProof/>
            </w:rPr>
          </w:pPr>
          <w:hyperlink w:anchor="_Toc111630723" w:history="1">
            <w:r w:rsidRPr="004C78D8">
              <w:rPr>
                <w:rStyle w:val="Hyperlink"/>
                <w:noProof/>
              </w:rPr>
              <w:t>3.4.1 Economic evaluation of integrated care</w:t>
            </w:r>
            <w:r w:rsidRPr="004C78D8">
              <w:rPr>
                <w:noProof/>
                <w:webHidden/>
              </w:rPr>
              <w:tab/>
            </w:r>
            <w:r w:rsidRPr="004C78D8">
              <w:rPr>
                <w:noProof/>
                <w:webHidden/>
              </w:rPr>
              <w:fldChar w:fldCharType="begin"/>
            </w:r>
            <w:r w:rsidRPr="004C78D8">
              <w:rPr>
                <w:noProof/>
                <w:webHidden/>
              </w:rPr>
              <w:instrText xml:space="preserve"> PAGEREF _Toc111630723 \h </w:instrText>
            </w:r>
            <w:r w:rsidRPr="004C78D8">
              <w:rPr>
                <w:noProof/>
                <w:webHidden/>
              </w:rPr>
            </w:r>
            <w:r w:rsidRPr="004C78D8">
              <w:rPr>
                <w:noProof/>
                <w:webHidden/>
              </w:rPr>
              <w:fldChar w:fldCharType="separate"/>
            </w:r>
            <w:r w:rsidRPr="004C78D8">
              <w:rPr>
                <w:noProof/>
                <w:webHidden/>
              </w:rPr>
              <w:t>44</w:t>
            </w:r>
            <w:r w:rsidRPr="004C78D8">
              <w:rPr>
                <w:noProof/>
                <w:webHidden/>
              </w:rPr>
              <w:fldChar w:fldCharType="end"/>
            </w:r>
          </w:hyperlink>
        </w:p>
        <w:p w14:paraId="3695F4E9" w14:textId="2E8A363D" w:rsidR="00E151CE" w:rsidRPr="004C78D8" w:rsidRDefault="00E151CE" w:rsidP="00FB7C1F">
          <w:pPr>
            <w:pStyle w:val="TOC3"/>
            <w:tabs>
              <w:tab w:val="right" w:leader="dot" w:pos="9016"/>
            </w:tabs>
            <w:rPr>
              <w:rFonts w:asciiTheme="minorHAnsi" w:hAnsiTheme="minorHAnsi"/>
              <w:noProof/>
            </w:rPr>
          </w:pPr>
          <w:hyperlink w:anchor="_Toc111630724" w:history="1">
            <w:r w:rsidRPr="004C78D8">
              <w:rPr>
                <w:rStyle w:val="Hyperlink"/>
                <w:noProof/>
              </w:rPr>
              <w:t>3.4.2 Economic evaluation of community-based falls prevention</w:t>
            </w:r>
            <w:r w:rsidRPr="004C78D8">
              <w:rPr>
                <w:noProof/>
                <w:webHidden/>
              </w:rPr>
              <w:tab/>
            </w:r>
            <w:r w:rsidRPr="004C78D8">
              <w:rPr>
                <w:noProof/>
                <w:webHidden/>
              </w:rPr>
              <w:fldChar w:fldCharType="begin"/>
            </w:r>
            <w:r w:rsidRPr="004C78D8">
              <w:rPr>
                <w:noProof/>
                <w:webHidden/>
              </w:rPr>
              <w:instrText xml:space="preserve"> PAGEREF _Toc111630724 \h </w:instrText>
            </w:r>
            <w:r w:rsidRPr="004C78D8">
              <w:rPr>
                <w:noProof/>
                <w:webHidden/>
              </w:rPr>
            </w:r>
            <w:r w:rsidRPr="004C78D8">
              <w:rPr>
                <w:noProof/>
                <w:webHidden/>
              </w:rPr>
              <w:fldChar w:fldCharType="separate"/>
            </w:r>
            <w:r w:rsidRPr="004C78D8">
              <w:rPr>
                <w:noProof/>
                <w:webHidden/>
              </w:rPr>
              <w:t>46</w:t>
            </w:r>
            <w:r w:rsidRPr="004C78D8">
              <w:rPr>
                <w:noProof/>
                <w:webHidden/>
              </w:rPr>
              <w:fldChar w:fldCharType="end"/>
            </w:r>
          </w:hyperlink>
        </w:p>
        <w:p w14:paraId="31E15514" w14:textId="5C0B138D" w:rsidR="00E151CE" w:rsidRPr="004C78D8" w:rsidRDefault="00E151CE" w:rsidP="00FB7C1F">
          <w:pPr>
            <w:pStyle w:val="TOC2"/>
            <w:tabs>
              <w:tab w:val="right" w:leader="dot" w:pos="9016"/>
            </w:tabs>
            <w:rPr>
              <w:rFonts w:asciiTheme="minorHAnsi" w:hAnsiTheme="minorHAnsi"/>
              <w:noProof/>
            </w:rPr>
          </w:pPr>
          <w:hyperlink w:anchor="_Toc111630725" w:history="1">
            <w:r w:rsidRPr="004C78D8">
              <w:rPr>
                <w:rStyle w:val="Hyperlink"/>
                <w:noProof/>
              </w:rPr>
              <w:t>3.5 Why is this a problem?</w:t>
            </w:r>
            <w:r w:rsidRPr="004C78D8">
              <w:rPr>
                <w:noProof/>
                <w:webHidden/>
              </w:rPr>
              <w:tab/>
            </w:r>
            <w:r w:rsidRPr="004C78D8">
              <w:rPr>
                <w:noProof/>
                <w:webHidden/>
              </w:rPr>
              <w:fldChar w:fldCharType="begin"/>
            </w:r>
            <w:r w:rsidRPr="004C78D8">
              <w:rPr>
                <w:noProof/>
                <w:webHidden/>
              </w:rPr>
              <w:instrText xml:space="preserve"> PAGEREF _Toc111630725 \h </w:instrText>
            </w:r>
            <w:r w:rsidRPr="004C78D8">
              <w:rPr>
                <w:noProof/>
                <w:webHidden/>
              </w:rPr>
            </w:r>
            <w:r w:rsidRPr="004C78D8">
              <w:rPr>
                <w:noProof/>
                <w:webHidden/>
              </w:rPr>
              <w:fldChar w:fldCharType="separate"/>
            </w:r>
            <w:r w:rsidRPr="004C78D8">
              <w:rPr>
                <w:noProof/>
                <w:webHidden/>
              </w:rPr>
              <w:t>46</w:t>
            </w:r>
            <w:r w:rsidRPr="004C78D8">
              <w:rPr>
                <w:noProof/>
                <w:webHidden/>
              </w:rPr>
              <w:fldChar w:fldCharType="end"/>
            </w:r>
          </w:hyperlink>
        </w:p>
        <w:p w14:paraId="2C89B037" w14:textId="63A2BB70" w:rsidR="00E151CE" w:rsidRPr="004C78D8" w:rsidRDefault="00E151CE" w:rsidP="00FB7C1F">
          <w:pPr>
            <w:pStyle w:val="TOC3"/>
            <w:tabs>
              <w:tab w:val="right" w:leader="dot" w:pos="9016"/>
            </w:tabs>
            <w:rPr>
              <w:rFonts w:asciiTheme="minorHAnsi" w:hAnsiTheme="minorHAnsi"/>
              <w:noProof/>
            </w:rPr>
          </w:pPr>
          <w:hyperlink w:anchor="_Toc111630726" w:history="1">
            <w:r w:rsidRPr="004C78D8">
              <w:rPr>
                <w:rStyle w:val="Hyperlink"/>
                <w:noProof/>
              </w:rPr>
              <w:t>3.5.1 Outcome range of falls and falls prevention</w:t>
            </w:r>
            <w:r w:rsidRPr="004C78D8">
              <w:rPr>
                <w:noProof/>
                <w:webHidden/>
              </w:rPr>
              <w:tab/>
            </w:r>
            <w:r w:rsidRPr="004C78D8">
              <w:rPr>
                <w:noProof/>
                <w:webHidden/>
              </w:rPr>
              <w:fldChar w:fldCharType="begin"/>
            </w:r>
            <w:r w:rsidRPr="004C78D8">
              <w:rPr>
                <w:noProof/>
                <w:webHidden/>
              </w:rPr>
              <w:instrText xml:space="preserve"> PAGEREF _Toc111630726 \h </w:instrText>
            </w:r>
            <w:r w:rsidRPr="004C78D8">
              <w:rPr>
                <w:noProof/>
                <w:webHidden/>
              </w:rPr>
            </w:r>
            <w:r w:rsidRPr="004C78D8">
              <w:rPr>
                <w:noProof/>
                <w:webHidden/>
              </w:rPr>
              <w:fldChar w:fldCharType="separate"/>
            </w:r>
            <w:r w:rsidRPr="004C78D8">
              <w:rPr>
                <w:noProof/>
                <w:webHidden/>
              </w:rPr>
              <w:t>48</w:t>
            </w:r>
            <w:r w:rsidRPr="004C78D8">
              <w:rPr>
                <w:noProof/>
                <w:webHidden/>
              </w:rPr>
              <w:fldChar w:fldCharType="end"/>
            </w:r>
          </w:hyperlink>
        </w:p>
        <w:p w14:paraId="393A008D" w14:textId="731F88BA" w:rsidR="00E151CE" w:rsidRPr="004C78D8" w:rsidRDefault="00E151CE" w:rsidP="00FB7C1F">
          <w:pPr>
            <w:pStyle w:val="TOC3"/>
            <w:tabs>
              <w:tab w:val="right" w:leader="dot" w:pos="9016"/>
            </w:tabs>
            <w:rPr>
              <w:rFonts w:asciiTheme="minorHAnsi" w:hAnsiTheme="minorHAnsi"/>
              <w:noProof/>
            </w:rPr>
          </w:pPr>
          <w:hyperlink w:anchor="_Toc111630727" w:history="1">
            <w:r w:rsidRPr="004C78D8">
              <w:rPr>
                <w:rStyle w:val="Hyperlink"/>
                <w:noProof/>
              </w:rPr>
              <w:t>3.5.2 Heterogeneity and dynamic complexity</w:t>
            </w:r>
            <w:r w:rsidRPr="004C78D8">
              <w:rPr>
                <w:noProof/>
                <w:webHidden/>
              </w:rPr>
              <w:tab/>
            </w:r>
            <w:r w:rsidRPr="004C78D8">
              <w:rPr>
                <w:noProof/>
                <w:webHidden/>
              </w:rPr>
              <w:fldChar w:fldCharType="begin"/>
            </w:r>
            <w:r w:rsidRPr="004C78D8">
              <w:rPr>
                <w:noProof/>
                <w:webHidden/>
              </w:rPr>
              <w:instrText xml:space="preserve"> PAGEREF _Toc111630727 \h </w:instrText>
            </w:r>
            <w:r w:rsidRPr="004C78D8">
              <w:rPr>
                <w:noProof/>
                <w:webHidden/>
              </w:rPr>
            </w:r>
            <w:r w:rsidRPr="004C78D8">
              <w:rPr>
                <w:noProof/>
                <w:webHidden/>
              </w:rPr>
              <w:fldChar w:fldCharType="separate"/>
            </w:r>
            <w:r w:rsidRPr="004C78D8">
              <w:rPr>
                <w:noProof/>
                <w:webHidden/>
              </w:rPr>
              <w:t>49</w:t>
            </w:r>
            <w:r w:rsidRPr="004C78D8">
              <w:rPr>
                <w:noProof/>
                <w:webHidden/>
              </w:rPr>
              <w:fldChar w:fldCharType="end"/>
            </w:r>
          </w:hyperlink>
        </w:p>
        <w:p w14:paraId="01340182" w14:textId="1501C971" w:rsidR="00E151CE" w:rsidRPr="004C78D8" w:rsidRDefault="00E151CE" w:rsidP="00FB7C1F">
          <w:pPr>
            <w:pStyle w:val="TOC3"/>
            <w:tabs>
              <w:tab w:val="right" w:leader="dot" w:pos="9016"/>
            </w:tabs>
            <w:rPr>
              <w:rFonts w:asciiTheme="minorHAnsi" w:hAnsiTheme="minorHAnsi"/>
              <w:noProof/>
            </w:rPr>
          </w:pPr>
          <w:hyperlink w:anchor="_Toc111630728" w:history="1">
            <w:r w:rsidRPr="004C78D8">
              <w:rPr>
                <w:rStyle w:val="Hyperlink"/>
                <w:noProof/>
              </w:rPr>
              <w:t>3.5.3 Behavioural factors and implementation challenges</w:t>
            </w:r>
            <w:r w:rsidRPr="004C78D8">
              <w:rPr>
                <w:noProof/>
                <w:webHidden/>
              </w:rPr>
              <w:tab/>
            </w:r>
            <w:r w:rsidRPr="004C78D8">
              <w:rPr>
                <w:noProof/>
                <w:webHidden/>
              </w:rPr>
              <w:fldChar w:fldCharType="begin"/>
            </w:r>
            <w:r w:rsidRPr="004C78D8">
              <w:rPr>
                <w:noProof/>
                <w:webHidden/>
              </w:rPr>
              <w:instrText xml:space="preserve"> PAGEREF _Toc111630728 \h </w:instrText>
            </w:r>
            <w:r w:rsidRPr="004C78D8">
              <w:rPr>
                <w:noProof/>
                <w:webHidden/>
              </w:rPr>
            </w:r>
            <w:r w:rsidRPr="004C78D8">
              <w:rPr>
                <w:noProof/>
                <w:webHidden/>
              </w:rPr>
              <w:fldChar w:fldCharType="separate"/>
            </w:r>
            <w:r w:rsidRPr="004C78D8">
              <w:rPr>
                <w:noProof/>
                <w:webHidden/>
              </w:rPr>
              <w:t>49</w:t>
            </w:r>
            <w:r w:rsidRPr="004C78D8">
              <w:rPr>
                <w:noProof/>
                <w:webHidden/>
              </w:rPr>
              <w:fldChar w:fldCharType="end"/>
            </w:r>
          </w:hyperlink>
        </w:p>
        <w:p w14:paraId="432A9B5D" w14:textId="366807FF" w:rsidR="00E151CE" w:rsidRPr="004C78D8" w:rsidRDefault="00E151CE" w:rsidP="00FB7C1F">
          <w:pPr>
            <w:pStyle w:val="TOC3"/>
            <w:tabs>
              <w:tab w:val="right" w:leader="dot" w:pos="9016"/>
            </w:tabs>
            <w:rPr>
              <w:rFonts w:asciiTheme="minorHAnsi" w:hAnsiTheme="minorHAnsi"/>
              <w:noProof/>
            </w:rPr>
          </w:pPr>
          <w:hyperlink w:anchor="_Toc111630729" w:history="1">
            <w:r w:rsidRPr="004C78D8">
              <w:rPr>
                <w:rStyle w:val="Hyperlink"/>
                <w:noProof/>
              </w:rPr>
              <w:t>3.5.4 Issues of equity</w:t>
            </w:r>
            <w:r w:rsidRPr="004C78D8">
              <w:rPr>
                <w:noProof/>
                <w:webHidden/>
              </w:rPr>
              <w:tab/>
            </w:r>
            <w:r w:rsidRPr="004C78D8">
              <w:rPr>
                <w:noProof/>
                <w:webHidden/>
              </w:rPr>
              <w:fldChar w:fldCharType="begin"/>
            </w:r>
            <w:r w:rsidRPr="004C78D8">
              <w:rPr>
                <w:noProof/>
                <w:webHidden/>
              </w:rPr>
              <w:instrText xml:space="preserve"> PAGEREF _Toc111630729 \h </w:instrText>
            </w:r>
            <w:r w:rsidRPr="004C78D8">
              <w:rPr>
                <w:noProof/>
                <w:webHidden/>
              </w:rPr>
            </w:r>
            <w:r w:rsidRPr="004C78D8">
              <w:rPr>
                <w:noProof/>
                <w:webHidden/>
              </w:rPr>
              <w:fldChar w:fldCharType="separate"/>
            </w:r>
            <w:r w:rsidRPr="004C78D8">
              <w:rPr>
                <w:noProof/>
                <w:webHidden/>
              </w:rPr>
              <w:t>50</w:t>
            </w:r>
            <w:r w:rsidRPr="004C78D8">
              <w:rPr>
                <w:noProof/>
                <w:webHidden/>
              </w:rPr>
              <w:fldChar w:fldCharType="end"/>
            </w:r>
          </w:hyperlink>
        </w:p>
        <w:p w14:paraId="54970F09" w14:textId="1B46B088" w:rsidR="00E151CE" w:rsidRPr="004C78D8" w:rsidRDefault="00E151CE" w:rsidP="00FB7C1F">
          <w:pPr>
            <w:pStyle w:val="TOC2"/>
            <w:tabs>
              <w:tab w:val="right" w:leader="dot" w:pos="9016"/>
            </w:tabs>
            <w:rPr>
              <w:rFonts w:asciiTheme="minorHAnsi" w:hAnsiTheme="minorHAnsi"/>
              <w:noProof/>
            </w:rPr>
          </w:pPr>
          <w:hyperlink w:anchor="_Toc111630730" w:history="1">
            <w:r w:rsidRPr="004C78D8">
              <w:rPr>
                <w:rStyle w:val="Hyperlink"/>
                <w:noProof/>
              </w:rPr>
              <w:t>3.6 Identifying causal links in the disease process</w:t>
            </w:r>
            <w:r w:rsidRPr="004C78D8">
              <w:rPr>
                <w:noProof/>
                <w:webHidden/>
              </w:rPr>
              <w:tab/>
            </w:r>
            <w:r w:rsidRPr="004C78D8">
              <w:rPr>
                <w:noProof/>
                <w:webHidden/>
              </w:rPr>
              <w:fldChar w:fldCharType="begin"/>
            </w:r>
            <w:r w:rsidRPr="004C78D8">
              <w:rPr>
                <w:noProof/>
                <w:webHidden/>
              </w:rPr>
              <w:instrText xml:space="preserve"> PAGEREF _Toc111630730 \h </w:instrText>
            </w:r>
            <w:r w:rsidRPr="004C78D8">
              <w:rPr>
                <w:noProof/>
                <w:webHidden/>
              </w:rPr>
            </w:r>
            <w:r w:rsidRPr="004C78D8">
              <w:rPr>
                <w:noProof/>
                <w:webHidden/>
              </w:rPr>
              <w:fldChar w:fldCharType="separate"/>
            </w:r>
            <w:r w:rsidRPr="004C78D8">
              <w:rPr>
                <w:noProof/>
                <w:webHidden/>
              </w:rPr>
              <w:t>50</w:t>
            </w:r>
            <w:r w:rsidRPr="004C78D8">
              <w:rPr>
                <w:noProof/>
                <w:webHidden/>
              </w:rPr>
              <w:fldChar w:fldCharType="end"/>
            </w:r>
          </w:hyperlink>
        </w:p>
        <w:p w14:paraId="42289FD1" w14:textId="79AE077E" w:rsidR="00E151CE" w:rsidRPr="004C78D8" w:rsidRDefault="00E151CE" w:rsidP="00FB7C1F">
          <w:pPr>
            <w:pStyle w:val="TOC3"/>
            <w:tabs>
              <w:tab w:val="right" w:leader="dot" w:pos="9016"/>
            </w:tabs>
            <w:rPr>
              <w:rFonts w:asciiTheme="minorHAnsi" w:hAnsiTheme="minorHAnsi"/>
              <w:noProof/>
            </w:rPr>
          </w:pPr>
          <w:hyperlink w:anchor="_Toc111630731" w:history="1">
            <w:r w:rsidRPr="004C78D8">
              <w:rPr>
                <w:rStyle w:val="Hyperlink"/>
                <w:noProof/>
              </w:rPr>
              <w:t>3.6.1 Sociodemographic variables</w:t>
            </w:r>
            <w:r w:rsidRPr="004C78D8">
              <w:rPr>
                <w:noProof/>
                <w:webHidden/>
              </w:rPr>
              <w:tab/>
            </w:r>
            <w:r w:rsidRPr="004C78D8">
              <w:rPr>
                <w:noProof/>
                <w:webHidden/>
              </w:rPr>
              <w:fldChar w:fldCharType="begin"/>
            </w:r>
            <w:r w:rsidRPr="004C78D8">
              <w:rPr>
                <w:noProof/>
                <w:webHidden/>
              </w:rPr>
              <w:instrText xml:space="preserve"> PAGEREF _Toc111630731 \h </w:instrText>
            </w:r>
            <w:r w:rsidRPr="004C78D8">
              <w:rPr>
                <w:noProof/>
                <w:webHidden/>
              </w:rPr>
            </w:r>
            <w:r w:rsidRPr="004C78D8">
              <w:rPr>
                <w:noProof/>
                <w:webHidden/>
              </w:rPr>
              <w:fldChar w:fldCharType="separate"/>
            </w:r>
            <w:r w:rsidRPr="004C78D8">
              <w:rPr>
                <w:noProof/>
                <w:webHidden/>
              </w:rPr>
              <w:t>51</w:t>
            </w:r>
            <w:r w:rsidRPr="004C78D8">
              <w:rPr>
                <w:noProof/>
                <w:webHidden/>
              </w:rPr>
              <w:fldChar w:fldCharType="end"/>
            </w:r>
          </w:hyperlink>
        </w:p>
        <w:p w14:paraId="2B87DCB5" w14:textId="615CD684" w:rsidR="00E151CE" w:rsidRPr="004C78D8" w:rsidRDefault="00E151CE" w:rsidP="00FB7C1F">
          <w:pPr>
            <w:pStyle w:val="TOC3"/>
            <w:tabs>
              <w:tab w:val="right" w:leader="dot" w:pos="9016"/>
            </w:tabs>
            <w:rPr>
              <w:rFonts w:asciiTheme="minorHAnsi" w:hAnsiTheme="minorHAnsi"/>
              <w:noProof/>
            </w:rPr>
          </w:pPr>
          <w:hyperlink w:anchor="_Toc111630732" w:history="1">
            <w:r w:rsidRPr="004C78D8">
              <w:rPr>
                <w:rStyle w:val="Hyperlink"/>
                <w:noProof/>
              </w:rPr>
              <w:t>3.6.2 Fall-related variables</w:t>
            </w:r>
            <w:r w:rsidRPr="004C78D8">
              <w:rPr>
                <w:noProof/>
                <w:webHidden/>
              </w:rPr>
              <w:tab/>
            </w:r>
            <w:r w:rsidRPr="004C78D8">
              <w:rPr>
                <w:noProof/>
                <w:webHidden/>
              </w:rPr>
              <w:fldChar w:fldCharType="begin"/>
            </w:r>
            <w:r w:rsidRPr="004C78D8">
              <w:rPr>
                <w:noProof/>
                <w:webHidden/>
              </w:rPr>
              <w:instrText xml:space="preserve"> PAGEREF _Toc111630732 \h </w:instrText>
            </w:r>
            <w:r w:rsidRPr="004C78D8">
              <w:rPr>
                <w:noProof/>
                <w:webHidden/>
              </w:rPr>
            </w:r>
            <w:r w:rsidRPr="004C78D8">
              <w:rPr>
                <w:noProof/>
                <w:webHidden/>
              </w:rPr>
              <w:fldChar w:fldCharType="separate"/>
            </w:r>
            <w:r w:rsidRPr="004C78D8">
              <w:rPr>
                <w:noProof/>
                <w:webHidden/>
              </w:rPr>
              <w:t>52</w:t>
            </w:r>
            <w:r w:rsidRPr="004C78D8">
              <w:rPr>
                <w:noProof/>
                <w:webHidden/>
              </w:rPr>
              <w:fldChar w:fldCharType="end"/>
            </w:r>
          </w:hyperlink>
        </w:p>
        <w:p w14:paraId="162AE60C" w14:textId="6112ECA4" w:rsidR="00E151CE" w:rsidRPr="004C78D8" w:rsidRDefault="00E151CE" w:rsidP="00FB7C1F">
          <w:pPr>
            <w:pStyle w:val="TOC3"/>
            <w:tabs>
              <w:tab w:val="right" w:leader="dot" w:pos="9016"/>
            </w:tabs>
            <w:rPr>
              <w:rFonts w:asciiTheme="minorHAnsi" w:hAnsiTheme="minorHAnsi"/>
              <w:noProof/>
            </w:rPr>
          </w:pPr>
          <w:hyperlink w:anchor="_Toc111630733" w:history="1">
            <w:r w:rsidRPr="004C78D8">
              <w:rPr>
                <w:rStyle w:val="Hyperlink"/>
                <w:noProof/>
              </w:rPr>
              <w:t>3.6.3 Frailty and intrinsic variables</w:t>
            </w:r>
            <w:r w:rsidRPr="004C78D8">
              <w:rPr>
                <w:noProof/>
                <w:webHidden/>
              </w:rPr>
              <w:tab/>
            </w:r>
            <w:r w:rsidRPr="004C78D8">
              <w:rPr>
                <w:noProof/>
                <w:webHidden/>
              </w:rPr>
              <w:fldChar w:fldCharType="begin"/>
            </w:r>
            <w:r w:rsidRPr="004C78D8">
              <w:rPr>
                <w:noProof/>
                <w:webHidden/>
              </w:rPr>
              <w:instrText xml:space="preserve"> PAGEREF _Toc111630733 \h </w:instrText>
            </w:r>
            <w:r w:rsidRPr="004C78D8">
              <w:rPr>
                <w:noProof/>
                <w:webHidden/>
              </w:rPr>
            </w:r>
            <w:r w:rsidRPr="004C78D8">
              <w:rPr>
                <w:noProof/>
                <w:webHidden/>
              </w:rPr>
              <w:fldChar w:fldCharType="separate"/>
            </w:r>
            <w:r w:rsidRPr="004C78D8">
              <w:rPr>
                <w:noProof/>
                <w:webHidden/>
              </w:rPr>
              <w:t>52</w:t>
            </w:r>
            <w:r w:rsidRPr="004C78D8">
              <w:rPr>
                <w:noProof/>
                <w:webHidden/>
              </w:rPr>
              <w:fldChar w:fldCharType="end"/>
            </w:r>
          </w:hyperlink>
        </w:p>
        <w:p w14:paraId="06C8091E" w14:textId="2C4A4A33" w:rsidR="00E151CE" w:rsidRPr="004C78D8" w:rsidRDefault="00E151CE" w:rsidP="00FB7C1F">
          <w:pPr>
            <w:pStyle w:val="TOC3"/>
            <w:tabs>
              <w:tab w:val="right" w:leader="dot" w:pos="9016"/>
            </w:tabs>
            <w:rPr>
              <w:rFonts w:asciiTheme="minorHAnsi" w:hAnsiTheme="minorHAnsi"/>
              <w:noProof/>
            </w:rPr>
          </w:pPr>
          <w:hyperlink w:anchor="_Toc111630734" w:history="1">
            <w:r w:rsidRPr="004C78D8">
              <w:rPr>
                <w:rStyle w:val="Hyperlink"/>
                <w:noProof/>
              </w:rPr>
              <w:t>3.6.4 Environmental variables</w:t>
            </w:r>
            <w:r w:rsidRPr="004C78D8">
              <w:rPr>
                <w:noProof/>
                <w:webHidden/>
              </w:rPr>
              <w:tab/>
            </w:r>
            <w:r w:rsidRPr="004C78D8">
              <w:rPr>
                <w:noProof/>
                <w:webHidden/>
              </w:rPr>
              <w:fldChar w:fldCharType="begin"/>
            </w:r>
            <w:r w:rsidRPr="004C78D8">
              <w:rPr>
                <w:noProof/>
                <w:webHidden/>
              </w:rPr>
              <w:instrText xml:space="preserve"> PAGEREF _Toc111630734 \h </w:instrText>
            </w:r>
            <w:r w:rsidRPr="004C78D8">
              <w:rPr>
                <w:noProof/>
                <w:webHidden/>
              </w:rPr>
            </w:r>
            <w:r w:rsidRPr="004C78D8">
              <w:rPr>
                <w:noProof/>
                <w:webHidden/>
              </w:rPr>
              <w:fldChar w:fldCharType="separate"/>
            </w:r>
            <w:r w:rsidRPr="004C78D8">
              <w:rPr>
                <w:noProof/>
                <w:webHidden/>
              </w:rPr>
              <w:t>53</w:t>
            </w:r>
            <w:r w:rsidRPr="004C78D8">
              <w:rPr>
                <w:noProof/>
                <w:webHidden/>
              </w:rPr>
              <w:fldChar w:fldCharType="end"/>
            </w:r>
          </w:hyperlink>
        </w:p>
        <w:p w14:paraId="43128490" w14:textId="709CBC3F" w:rsidR="00E151CE" w:rsidRPr="004C78D8" w:rsidRDefault="00E151CE" w:rsidP="00FB7C1F">
          <w:pPr>
            <w:pStyle w:val="TOC2"/>
            <w:tabs>
              <w:tab w:val="right" w:leader="dot" w:pos="9016"/>
            </w:tabs>
            <w:rPr>
              <w:rFonts w:asciiTheme="minorHAnsi" w:hAnsiTheme="minorHAnsi"/>
              <w:noProof/>
            </w:rPr>
          </w:pPr>
          <w:hyperlink w:anchor="_Toc111630735" w:history="1">
            <w:r w:rsidRPr="004C78D8">
              <w:rPr>
                <w:rStyle w:val="Hyperlink"/>
                <w:noProof/>
              </w:rPr>
              <w:t>3.7 Identifying relevant interventions</w:t>
            </w:r>
            <w:r w:rsidRPr="004C78D8">
              <w:rPr>
                <w:noProof/>
                <w:webHidden/>
              </w:rPr>
              <w:tab/>
            </w:r>
            <w:r w:rsidRPr="004C78D8">
              <w:rPr>
                <w:noProof/>
                <w:webHidden/>
              </w:rPr>
              <w:fldChar w:fldCharType="begin"/>
            </w:r>
            <w:r w:rsidRPr="004C78D8">
              <w:rPr>
                <w:noProof/>
                <w:webHidden/>
              </w:rPr>
              <w:instrText xml:space="preserve"> PAGEREF _Toc111630735 \h </w:instrText>
            </w:r>
            <w:r w:rsidRPr="004C78D8">
              <w:rPr>
                <w:noProof/>
                <w:webHidden/>
              </w:rPr>
            </w:r>
            <w:r w:rsidRPr="004C78D8">
              <w:rPr>
                <w:noProof/>
                <w:webHidden/>
              </w:rPr>
              <w:fldChar w:fldCharType="separate"/>
            </w:r>
            <w:r w:rsidRPr="004C78D8">
              <w:rPr>
                <w:noProof/>
                <w:webHidden/>
              </w:rPr>
              <w:t>54</w:t>
            </w:r>
            <w:r w:rsidRPr="004C78D8">
              <w:rPr>
                <w:noProof/>
                <w:webHidden/>
              </w:rPr>
              <w:fldChar w:fldCharType="end"/>
            </w:r>
          </w:hyperlink>
        </w:p>
        <w:p w14:paraId="387458C9" w14:textId="5C809D27" w:rsidR="00E151CE" w:rsidRPr="004C78D8" w:rsidRDefault="00E151CE" w:rsidP="00FB7C1F">
          <w:pPr>
            <w:pStyle w:val="TOC3"/>
            <w:tabs>
              <w:tab w:val="right" w:leader="dot" w:pos="9016"/>
            </w:tabs>
            <w:rPr>
              <w:rFonts w:asciiTheme="minorHAnsi" w:hAnsiTheme="minorHAnsi"/>
              <w:noProof/>
            </w:rPr>
          </w:pPr>
          <w:hyperlink w:anchor="_Toc111630736" w:history="1">
            <w:r w:rsidRPr="004C78D8">
              <w:rPr>
                <w:rStyle w:val="Hyperlink"/>
                <w:noProof/>
              </w:rPr>
              <w:t>3.7.1 Current falls prevention in Sheffield</w:t>
            </w:r>
            <w:r w:rsidRPr="004C78D8">
              <w:rPr>
                <w:noProof/>
                <w:webHidden/>
              </w:rPr>
              <w:tab/>
            </w:r>
            <w:r w:rsidRPr="004C78D8">
              <w:rPr>
                <w:noProof/>
                <w:webHidden/>
              </w:rPr>
              <w:fldChar w:fldCharType="begin"/>
            </w:r>
            <w:r w:rsidRPr="004C78D8">
              <w:rPr>
                <w:noProof/>
                <w:webHidden/>
              </w:rPr>
              <w:instrText xml:space="preserve"> PAGEREF _Toc111630736 \h </w:instrText>
            </w:r>
            <w:r w:rsidRPr="004C78D8">
              <w:rPr>
                <w:noProof/>
                <w:webHidden/>
              </w:rPr>
            </w:r>
            <w:r w:rsidRPr="004C78D8">
              <w:rPr>
                <w:noProof/>
                <w:webHidden/>
              </w:rPr>
              <w:fldChar w:fldCharType="separate"/>
            </w:r>
            <w:r w:rsidRPr="004C78D8">
              <w:rPr>
                <w:noProof/>
                <w:webHidden/>
              </w:rPr>
              <w:t>54</w:t>
            </w:r>
            <w:r w:rsidRPr="004C78D8">
              <w:rPr>
                <w:noProof/>
                <w:webHidden/>
              </w:rPr>
              <w:fldChar w:fldCharType="end"/>
            </w:r>
          </w:hyperlink>
        </w:p>
        <w:p w14:paraId="627EF401" w14:textId="4602487A" w:rsidR="00E151CE" w:rsidRPr="004C78D8" w:rsidRDefault="00E151CE" w:rsidP="00FB7C1F">
          <w:pPr>
            <w:pStyle w:val="TOC3"/>
            <w:tabs>
              <w:tab w:val="right" w:leader="dot" w:pos="9016"/>
            </w:tabs>
            <w:rPr>
              <w:rFonts w:asciiTheme="minorHAnsi" w:hAnsiTheme="minorHAnsi"/>
              <w:noProof/>
            </w:rPr>
          </w:pPr>
          <w:hyperlink w:anchor="_Toc111630737" w:history="1">
            <w:r w:rsidRPr="004C78D8">
              <w:rPr>
                <w:rStyle w:val="Hyperlink"/>
                <w:noProof/>
              </w:rPr>
              <w:t>3.7.2 Recommended falls prevention in UK guidelines</w:t>
            </w:r>
            <w:r w:rsidRPr="004C78D8">
              <w:rPr>
                <w:noProof/>
                <w:webHidden/>
              </w:rPr>
              <w:tab/>
            </w:r>
            <w:r w:rsidRPr="004C78D8">
              <w:rPr>
                <w:noProof/>
                <w:webHidden/>
              </w:rPr>
              <w:fldChar w:fldCharType="begin"/>
            </w:r>
            <w:r w:rsidRPr="004C78D8">
              <w:rPr>
                <w:noProof/>
                <w:webHidden/>
              </w:rPr>
              <w:instrText xml:space="preserve"> PAGEREF _Toc111630737 \h </w:instrText>
            </w:r>
            <w:r w:rsidRPr="004C78D8">
              <w:rPr>
                <w:noProof/>
                <w:webHidden/>
              </w:rPr>
            </w:r>
            <w:r w:rsidRPr="004C78D8">
              <w:rPr>
                <w:noProof/>
                <w:webHidden/>
              </w:rPr>
              <w:fldChar w:fldCharType="separate"/>
            </w:r>
            <w:r w:rsidRPr="004C78D8">
              <w:rPr>
                <w:noProof/>
                <w:webHidden/>
              </w:rPr>
              <w:t>56</w:t>
            </w:r>
            <w:r w:rsidRPr="004C78D8">
              <w:rPr>
                <w:noProof/>
                <w:webHidden/>
              </w:rPr>
              <w:fldChar w:fldCharType="end"/>
            </w:r>
          </w:hyperlink>
        </w:p>
        <w:p w14:paraId="3B63B42A" w14:textId="658C65A9" w:rsidR="00E151CE" w:rsidRPr="004C78D8" w:rsidRDefault="00E151CE" w:rsidP="00FB7C1F">
          <w:pPr>
            <w:pStyle w:val="TOC3"/>
            <w:tabs>
              <w:tab w:val="right" w:leader="dot" w:pos="9016"/>
            </w:tabs>
            <w:rPr>
              <w:rFonts w:asciiTheme="minorHAnsi" w:hAnsiTheme="minorHAnsi"/>
              <w:noProof/>
            </w:rPr>
          </w:pPr>
          <w:hyperlink w:anchor="_Toc111630738" w:history="1">
            <w:r w:rsidRPr="004C78D8">
              <w:rPr>
                <w:rStyle w:val="Hyperlink"/>
                <w:noProof/>
              </w:rPr>
              <w:t>3.7.3 Cognitively impaired persons and persons with intervention history</w:t>
            </w:r>
            <w:r w:rsidRPr="004C78D8">
              <w:rPr>
                <w:noProof/>
                <w:webHidden/>
              </w:rPr>
              <w:tab/>
            </w:r>
            <w:r w:rsidRPr="004C78D8">
              <w:rPr>
                <w:noProof/>
                <w:webHidden/>
              </w:rPr>
              <w:fldChar w:fldCharType="begin"/>
            </w:r>
            <w:r w:rsidRPr="004C78D8">
              <w:rPr>
                <w:noProof/>
                <w:webHidden/>
              </w:rPr>
              <w:instrText xml:space="preserve"> PAGEREF _Toc111630738 \h </w:instrText>
            </w:r>
            <w:r w:rsidRPr="004C78D8">
              <w:rPr>
                <w:noProof/>
                <w:webHidden/>
              </w:rPr>
            </w:r>
            <w:r w:rsidRPr="004C78D8">
              <w:rPr>
                <w:noProof/>
                <w:webHidden/>
              </w:rPr>
              <w:fldChar w:fldCharType="separate"/>
            </w:r>
            <w:r w:rsidRPr="004C78D8">
              <w:rPr>
                <w:noProof/>
                <w:webHidden/>
              </w:rPr>
              <w:t>58</w:t>
            </w:r>
            <w:r w:rsidRPr="004C78D8">
              <w:rPr>
                <w:noProof/>
                <w:webHidden/>
              </w:rPr>
              <w:fldChar w:fldCharType="end"/>
            </w:r>
          </w:hyperlink>
        </w:p>
        <w:p w14:paraId="7B037503" w14:textId="6F4DA957" w:rsidR="00E151CE" w:rsidRPr="004C78D8" w:rsidRDefault="00E151CE" w:rsidP="00FB7C1F">
          <w:pPr>
            <w:pStyle w:val="TOC3"/>
            <w:tabs>
              <w:tab w:val="right" w:leader="dot" w:pos="9016"/>
            </w:tabs>
            <w:rPr>
              <w:rFonts w:asciiTheme="minorHAnsi" w:hAnsiTheme="minorHAnsi"/>
              <w:noProof/>
            </w:rPr>
          </w:pPr>
          <w:hyperlink w:anchor="_Toc111630739" w:history="1">
            <w:r w:rsidRPr="004C78D8">
              <w:rPr>
                <w:rStyle w:val="Hyperlink"/>
                <w:noProof/>
              </w:rPr>
              <w:t>3.7.4 Additional falls prevention strategies</w:t>
            </w:r>
            <w:r w:rsidRPr="004C78D8">
              <w:rPr>
                <w:noProof/>
                <w:webHidden/>
              </w:rPr>
              <w:tab/>
            </w:r>
            <w:r w:rsidRPr="004C78D8">
              <w:rPr>
                <w:noProof/>
                <w:webHidden/>
              </w:rPr>
              <w:fldChar w:fldCharType="begin"/>
            </w:r>
            <w:r w:rsidRPr="004C78D8">
              <w:rPr>
                <w:noProof/>
                <w:webHidden/>
              </w:rPr>
              <w:instrText xml:space="preserve"> PAGEREF _Toc111630739 \h </w:instrText>
            </w:r>
            <w:r w:rsidRPr="004C78D8">
              <w:rPr>
                <w:noProof/>
                <w:webHidden/>
              </w:rPr>
            </w:r>
            <w:r w:rsidRPr="004C78D8">
              <w:rPr>
                <w:noProof/>
                <w:webHidden/>
              </w:rPr>
              <w:fldChar w:fldCharType="separate"/>
            </w:r>
            <w:r w:rsidRPr="004C78D8">
              <w:rPr>
                <w:noProof/>
                <w:webHidden/>
              </w:rPr>
              <w:t>59</w:t>
            </w:r>
            <w:r w:rsidRPr="004C78D8">
              <w:rPr>
                <w:noProof/>
                <w:webHidden/>
              </w:rPr>
              <w:fldChar w:fldCharType="end"/>
            </w:r>
          </w:hyperlink>
        </w:p>
        <w:p w14:paraId="4EACF86A" w14:textId="5A72EAEF" w:rsidR="00E151CE" w:rsidRPr="004C78D8" w:rsidRDefault="00E151CE" w:rsidP="00FB7C1F">
          <w:pPr>
            <w:pStyle w:val="TOC2"/>
            <w:tabs>
              <w:tab w:val="right" w:leader="dot" w:pos="9016"/>
            </w:tabs>
            <w:rPr>
              <w:rFonts w:asciiTheme="minorHAnsi" w:hAnsiTheme="minorHAnsi"/>
              <w:noProof/>
            </w:rPr>
          </w:pPr>
          <w:hyperlink w:anchor="_Toc111630740" w:history="1">
            <w:r w:rsidRPr="004C78D8">
              <w:rPr>
                <w:rStyle w:val="Hyperlink"/>
                <w:noProof/>
              </w:rPr>
              <w:t>3.8 Discussion</w:t>
            </w:r>
            <w:r w:rsidRPr="004C78D8">
              <w:rPr>
                <w:noProof/>
                <w:webHidden/>
              </w:rPr>
              <w:tab/>
            </w:r>
            <w:r w:rsidRPr="004C78D8">
              <w:rPr>
                <w:noProof/>
                <w:webHidden/>
              </w:rPr>
              <w:fldChar w:fldCharType="begin"/>
            </w:r>
            <w:r w:rsidRPr="004C78D8">
              <w:rPr>
                <w:noProof/>
                <w:webHidden/>
              </w:rPr>
              <w:instrText xml:space="preserve"> PAGEREF _Toc111630740 \h </w:instrText>
            </w:r>
            <w:r w:rsidRPr="004C78D8">
              <w:rPr>
                <w:noProof/>
                <w:webHidden/>
              </w:rPr>
            </w:r>
            <w:r w:rsidRPr="004C78D8">
              <w:rPr>
                <w:noProof/>
                <w:webHidden/>
              </w:rPr>
              <w:fldChar w:fldCharType="separate"/>
            </w:r>
            <w:r w:rsidRPr="004C78D8">
              <w:rPr>
                <w:noProof/>
                <w:webHidden/>
              </w:rPr>
              <w:t>59</w:t>
            </w:r>
            <w:r w:rsidRPr="004C78D8">
              <w:rPr>
                <w:noProof/>
                <w:webHidden/>
              </w:rPr>
              <w:fldChar w:fldCharType="end"/>
            </w:r>
          </w:hyperlink>
        </w:p>
        <w:p w14:paraId="5CC2CBF4" w14:textId="39197FDB" w:rsidR="00E151CE" w:rsidRPr="004C78D8" w:rsidRDefault="00E151CE" w:rsidP="00FB7C1F">
          <w:pPr>
            <w:pStyle w:val="TOC3"/>
            <w:tabs>
              <w:tab w:val="right" w:leader="dot" w:pos="9016"/>
            </w:tabs>
            <w:rPr>
              <w:rFonts w:asciiTheme="minorHAnsi" w:hAnsiTheme="minorHAnsi"/>
              <w:noProof/>
            </w:rPr>
          </w:pPr>
          <w:hyperlink w:anchor="_Toc111630741" w:history="1">
            <w:r w:rsidRPr="004C78D8">
              <w:rPr>
                <w:rStyle w:val="Hyperlink"/>
                <w:noProof/>
              </w:rPr>
              <w:t>3.8.1 From conceptual to methodological challenges</w:t>
            </w:r>
            <w:r w:rsidRPr="004C78D8">
              <w:rPr>
                <w:noProof/>
                <w:webHidden/>
              </w:rPr>
              <w:tab/>
            </w:r>
            <w:r w:rsidRPr="004C78D8">
              <w:rPr>
                <w:noProof/>
                <w:webHidden/>
              </w:rPr>
              <w:fldChar w:fldCharType="begin"/>
            </w:r>
            <w:r w:rsidRPr="004C78D8">
              <w:rPr>
                <w:noProof/>
                <w:webHidden/>
              </w:rPr>
              <w:instrText xml:space="preserve"> PAGEREF _Toc111630741 \h </w:instrText>
            </w:r>
            <w:r w:rsidRPr="004C78D8">
              <w:rPr>
                <w:noProof/>
                <w:webHidden/>
              </w:rPr>
            </w:r>
            <w:r w:rsidRPr="004C78D8">
              <w:rPr>
                <w:noProof/>
                <w:webHidden/>
              </w:rPr>
              <w:fldChar w:fldCharType="separate"/>
            </w:r>
            <w:r w:rsidRPr="004C78D8">
              <w:rPr>
                <w:noProof/>
                <w:webHidden/>
              </w:rPr>
              <w:t>59</w:t>
            </w:r>
            <w:r w:rsidRPr="004C78D8">
              <w:rPr>
                <w:noProof/>
                <w:webHidden/>
              </w:rPr>
              <w:fldChar w:fldCharType="end"/>
            </w:r>
          </w:hyperlink>
        </w:p>
        <w:p w14:paraId="38173A7D" w14:textId="3FCDD4FF" w:rsidR="00E151CE" w:rsidRPr="004C78D8" w:rsidRDefault="00E151CE" w:rsidP="00FB7C1F">
          <w:pPr>
            <w:pStyle w:val="TOC3"/>
            <w:tabs>
              <w:tab w:val="right" w:leader="dot" w:pos="9016"/>
            </w:tabs>
            <w:rPr>
              <w:rFonts w:asciiTheme="minorHAnsi" w:hAnsiTheme="minorHAnsi"/>
              <w:noProof/>
            </w:rPr>
          </w:pPr>
          <w:hyperlink w:anchor="_Toc111630742" w:history="1">
            <w:r w:rsidRPr="004C78D8">
              <w:rPr>
                <w:rStyle w:val="Hyperlink"/>
                <w:noProof/>
              </w:rPr>
              <w:t>3.8.2 Intersections between the key methodological challenges</w:t>
            </w:r>
            <w:r w:rsidRPr="004C78D8">
              <w:rPr>
                <w:noProof/>
                <w:webHidden/>
              </w:rPr>
              <w:tab/>
            </w:r>
            <w:r w:rsidRPr="004C78D8">
              <w:rPr>
                <w:noProof/>
                <w:webHidden/>
              </w:rPr>
              <w:fldChar w:fldCharType="begin"/>
            </w:r>
            <w:r w:rsidRPr="004C78D8">
              <w:rPr>
                <w:noProof/>
                <w:webHidden/>
              </w:rPr>
              <w:instrText xml:space="preserve"> PAGEREF _Toc111630742 \h </w:instrText>
            </w:r>
            <w:r w:rsidRPr="004C78D8">
              <w:rPr>
                <w:noProof/>
                <w:webHidden/>
              </w:rPr>
            </w:r>
            <w:r w:rsidRPr="004C78D8">
              <w:rPr>
                <w:noProof/>
                <w:webHidden/>
              </w:rPr>
              <w:fldChar w:fldCharType="separate"/>
            </w:r>
            <w:r w:rsidRPr="004C78D8">
              <w:rPr>
                <w:noProof/>
                <w:webHidden/>
              </w:rPr>
              <w:t>60</w:t>
            </w:r>
            <w:r w:rsidRPr="004C78D8">
              <w:rPr>
                <w:noProof/>
                <w:webHidden/>
              </w:rPr>
              <w:fldChar w:fldCharType="end"/>
            </w:r>
          </w:hyperlink>
        </w:p>
        <w:p w14:paraId="6E2BA7FF" w14:textId="150691DD" w:rsidR="00E151CE" w:rsidRPr="004C78D8" w:rsidRDefault="00E151CE" w:rsidP="00FB7C1F">
          <w:pPr>
            <w:pStyle w:val="TOC3"/>
            <w:tabs>
              <w:tab w:val="right" w:leader="dot" w:pos="9016"/>
            </w:tabs>
            <w:rPr>
              <w:rFonts w:asciiTheme="minorHAnsi" w:hAnsiTheme="minorHAnsi"/>
              <w:noProof/>
            </w:rPr>
          </w:pPr>
          <w:hyperlink w:anchor="_Toc111630743" w:history="1">
            <w:r w:rsidRPr="004C78D8">
              <w:rPr>
                <w:rStyle w:val="Hyperlink"/>
                <w:noProof/>
              </w:rPr>
              <w:t>3.8.3 Relevance to further geriatric public health challenges</w:t>
            </w:r>
            <w:r w:rsidRPr="004C78D8">
              <w:rPr>
                <w:noProof/>
                <w:webHidden/>
              </w:rPr>
              <w:tab/>
            </w:r>
            <w:r w:rsidRPr="004C78D8">
              <w:rPr>
                <w:noProof/>
                <w:webHidden/>
              </w:rPr>
              <w:fldChar w:fldCharType="begin"/>
            </w:r>
            <w:r w:rsidRPr="004C78D8">
              <w:rPr>
                <w:noProof/>
                <w:webHidden/>
              </w:rPr>
              <w:instrText xml:space="preserve"> PAGEREF _Toc111630743 \h </w:instrText>
            </w:r>
            <w:r w:rsidRPr="004C78D8">
              <w:rPr>
                <w:noProof/>
                <w:webHidden/>
              </w:rPr>
            </w:r>
            <w:r w:rsidRPr="004C78D8">
              <w:rPr>
                <w:noProof/>
                <w:webHidden/>
              </w:rPr>
              <w:fldChar w:fldCharType="separate"/>
            </w:r>
            <w:r w:rsidRPr="004C78D8">
              <w:rPr>
                <w:noProof/>
                <w:webHidden/>
              </w:rPr>
              <w:t>61</w:t>
            </w:r>
            <w:r w:rsidRPr="004C78D8">
              <w:rPr>
                <w:noProof/>
                <w:webHidden/>
              </w:rPr>
              <w:fldChar w:fldCharType="end"/>
            </w:r>
          </w:hyperlink>
        </w:p>
        <w:p w14:paraId="1BD8D2A2" w14:textId="16966DC4" w:rsidR="00E151CE" w:rsidRPr="004C78D8" w:rsidRDefault="00E151CE" w:rsidP="00FB7C1F">
          <w:pPr>
            <w:pStyle w:val="TOC3"/>
            <w:tabs>
              <w:tab w:val="right" w:leader="dot" w:pos="9016"/>
            </w:tabs>
            <w:rPr>
              <w:rFonts w:asciiTheme="minorHAnsi" w:hAnsiTheme="minorHAnsi"/>
              <w:noProof/>
            </w:rPr>
          </w:pPr>
          <w:hyperlink w:anchor="_Toc111630744" w:history="1">
            <w:r w:rsidRPr="004C78D8">
              <w:rPr>
                <w:rStyle w:val="Hyperlink"/>
                <w:noProof/>
              </w:rPr>
              <w:t>3.8.4 Strengths and limitations of conceptual model</w:t>
            </w:r>
            <w:r w:rsidRPr="004C78D8">
              <w:rPr>
                <w:noProof/>
                <w:webHidden/>
              </w:rPr>
              <w:tab/>
            </w:r>
            <w:r w:rsidRPr="004C78D8">
              <w:rPr>
                <w:noProof/>
                <w:webHidden/>
              </w:rPr>
              <w:fldChar w:fldCharType="begin"/>
            </w:r>
            <w:r w:rsidRPr="004C78D8">
              <w:rPr>
                <w:noProof/>
                <w:webHidden/>
              </w:rPr>
              <w:instrText xml:space="preserve"> PAGEREF _Toc111630744 \h </w:instrText>
            </w:r>
            <w:r w:rsidRPr="004C78D8">
              <w:rPr>
                <w:noProof/>
                <w:webHidden/>
              </w:rPr>
            </w:r>
            <w:r w:rsidRPr="004C78D8">
              <w:rPr>
                <w:noProof/>
                <w:webHidden/>
              </w:rPr>
              <w:fldChar w:fldCharType="separate"/>
            </w:r>
            <w:r w:rsidRPr="004C78D8">
              <w:rPr>
                <w:noProof/>
                <w:webHidden/>
              </w:rPr>
              <w:t>61</w:t>
            </w:r>
            <w:r w:rsidRPr="004C78D8">
              <w:rPr>
                <w:noProof/>
                <w:webHidden/>
              </w:rPr>
              <w:fldChar w:fldCharType="end"/>
            </w:r>
          </w:hyperlink>
        </w:p>
        <w:p w14:paraId="68154107" w14:textId="61EA5A55" w:rsidR="00E151CE" w:rsidRPr="004C78D8" w:rsidRDefault="00E151CE" w:rsidP="00FB7C1F">
          <w:pPr>
            <w:pStyle w:val="TOC2"/>
            <w:tabs>
              <w:tab w:val="right" w:leader="dot" w:pos="9016"/>
            </w:tabs>
            <w:rPr>
              <w:rFonts w:asciiTheme="minorHAnsi" w:hAnsiTheme="minorHAnsi"/>
              <w:noProof/>
            </w:rPr>
          </w:pPr>
          <w:hyperlink w:anchor="_Toc111630745" w:history="1">
            <w:r w:rsidRPr="004C78D8">
              <w:rPr>
                <w:rStyle w:val="Hyperlink"/>
                <w:noProof/>
              </w:rPr>
              <w:t>3.9 Chapter summary</w:t>
            </w:r>
            <w:r w:rsidRPr="004C78D8">
              <w:rPr>
                <w:noProof/>
                <w:webHidden/>
              </w:rPr>
              <w:tab/>
            </w:r>
            <w:r w:rsidRPr="004C78D8">
              <w:rPr>
                <w:noProof/>
                <w:webHidden/>
              </w:rPr>
              <w:fldChar w:fldCharType="begin"/>
            </w:r>
            <w:r w:rsidRPr="004C78D8">
              <w:rPr>
                <w:noProof/>
                <w:webHidden/>
              </w:rPr>
              <w:instrText xml:space="preserve"> PAGEREF _Toc111630745 \h </w:instrText>
            </w:r>
            <w:r w:rsidRPr="004C78D8">
              <w:rPr>
                <w:noProof/>
                <w:webHidden/>
              </w:rPr>
            </w:r>
            <w:r w:rsidRPr="004C78D8">
              <w:rPr>
                <w:noProof/>
                <w:webHidden/>
              </w:rPr>
              <w:fldChar w:fldCharType="separate"/>
            </w:r>
            <w:r w:rsidRPr="004C78D8">
              <w:rPr>
                <w:noProof/>
                <w:webHidden/>
              </w:rPr>
              <w:t>62</w:t>
            </w:r>
            <w:r w:rsidRPr="004C78D8">
              <w:rPr>
                <w:noProof/>
                <w:webHidden/>
              </w:rPr>
              <w:fldChar w:fldCharType="end"/>
            </w:r>
          </w:hyperlink>
        </w:p>
        <w:p w14:paraId="126CA1E2" w14:textId="37355C2C" w:rsidR="00E151CE" w:rsidRPr="004C78D8" w:rsidRDefault="00E151CE" w:rsidP="00FB7C1F">
          <w:pPr>
            <w:pStyle w:val="TOC1"/>
            <w:rPr>
              <w:rFonts w:asciiTheme="minorHAnsi" w:hAnsiTheme="minorHAnsi"/>
              <w:noProof/>
            </w:rPr>
          </w:pPr>
          <w:hyperlink w:anchor="_Toc111630746" w:history="1">
            <w:r w:rsidRPr="004C78D8">
              <w:rPr>
                <w:rStyle w:val="Hyperlink"/>
                <w:noProof/>
              </w:rPr>
              <w:t>Chapter 4. Systematic Review of Falls Prevention Economic Models</w:t>
            </w:r>
            <w:r w:rsidRPr="004C78D8">
              <w:rPr>
                <w:noProof/>
                <w:webHidden/>
              </w:rPr>
              <w:tab/>
            </w:r>
            <w:r w:rsidRPr="004C78D8">
              <w:rPr>
                <w:noProof/>
                <w:webHidden/>
              </w:rPr>
              <w:fldChar w:fldCharType="begin"/>
            </w:r>
            <w:r w:rsidRPr="004C78D8">
              <w:rPr>
                <w:noProof/>
                <w:webHidden/>
              </w:rPr>
              <w:instrText xml:space="preserve"> PAGEREF _Toc111630746 \h </w:instrText>
            </w:r>
            <w:r w:rsidRPr="004C78D8">
              <w:rPr>
                <w:noProof/>
                <w:webHidden/>
              </w:rPr>
            </w:r>
            <w:r w:rsidRPr="004C78D8">
              <w:rPr>
                <w:noProof/>
                <w:webHidden/>
              </w:rPr>
              <w:fldChar w:fldCharType="separate"/>
            </w:r>
            <w:r w:rsidRPr="004C78D8">
              <w:rPr>
                <w:noProof/>
                <w:webHidden/>
              </w:rPr>
              <w:t>63</w:t>
            </w:r>
            <w:r w:rsidRPr="004C78D8">
              <w:rPr>
                <w:noProof/>
                <w:webHidden/>
              </w:rPr>
              <w:fldChar w:fldCharType="end"/>
            </w:r>
          </w:hyperlink>
        </w:p>
        <w:p w14:paraId="6C8B03A3" w14:textId="6415AD70" w:rsidR="00E151CE" w:rsidRPr="004C78D8" w:rsidRDefault="00E151CE" w:rsidP="00FB7C1F">
          <w:pPr>
            <w:pStyle w:val="TOC2"/>
            <w:tabs>
              <w:tab w:val="right" w:leader="dot" w:pos="9016"/>
            </w:tabs>
            <w:rPr>
              <w:rFonts w:asciiTheme="minorHAnsi" w:hAnsiTheme="minorHAnsi"/>
              <w:noProof/>
            </w:rPr>
          </w:pPr>
          <w:hyperlink w:anchor="_Toc111630747" w:history="1">
            <w:r w:rsidRPr="004C78D8">
              <w:rPr>
                <w:rStyle w:val="Hyperlink"/>
                <w:noProof/>
              </w:rPr>
              <w:t>4.1 Chapter outline</w:t>
            </w:r>
            <w:r w:rsidRPr="004C78D8">
              <w:rPr>
                <w:noProof/>
                <w:webHidden/>
              </w:rPr>
              <w:tab/>
            </w:r>
            <w:r w:rsidRPr="004C78D8">
              <w:rPr>
                <w:noProof/>
                <w:webHidden/>
              </w:rPr>
              <w:fldChar w:fldCharType="begin"/>
            </w:r>
            <w:r w:rsidRPr="004C78D8">
              <w:rPr>
                <w:noProof/>
                <w:webHidden/>
              </w:rPr>
              <w:instrText xml:space="preserve"> PAGEREF _Toc111630747 \h </w:instrText>
            </w:r>
            <w:r w:rsidRPr="004C78D8">
              <w:rPr>
                <w:noProof/>
                <w:webHidden/>
              </w:rPr>
            </w:r>
            <w:r w:rsidRPr="004C78D8">
              <w:rPr>
                <w:noProof/>
                <w:webHidden/>
              </w:rPr>
              <w:fldChar w:fldCharType="separate"/>
            </w:r>
            <w:r w:rsidRPr="004C78D8">
              <w:rPr>
                <w:noProof/>
                <w:webHidden/>
              </w:rPr>
              <w:t>63</w:t>
            </w:r>
            <w:r w:rsidRPr="004C78D8">
              <w:rPr>
                <w:noProof/>
                <w:webHidden/>
              </w:rPr>
              <w:fldChar w:fldCharType="end"/>
            </w:r>
          </w:hyperlink>
        </w:p>
        <w:p w14:paraId="2C176852" w14:textId="347BA9C5" w:rsidR="00E151CE" w:rsidRPr="004C78D8" w:rsidRDefault="00E151CE" w:rsidP="00FB7C1F">
          <w:pPr>
            <w:pStyle w:val="TOC2"/>
            <w:tabs>
              <w:tab w:val="right" w:leader="dot" w:pos="9016"/>
            </w:tabs>
            <w:rPr>
              <w:rFonts w:asciiTheme="minorHAnsi" w:hAnsiTheme="minorHAnsi"/>
              <w:noProof/>
            </w:rPr>
          </w:pPr>
          <w:hyperlink w:anchor="_Toc111630748" w:history="1">
            <w:r w:rsidRPr="004C78D8">
              <w:rPr>
                <w:rStyle w:val="Hyperlink"/>
                <w:noProof/>
              </w:rPr>
              <w:t>4.2 Systematic review background</w:t>
            </w:r>
            <w:r w:rsidRPr="004C78D8">
              <w:rPr>
                <w:noProof/>
                <w:webHidden/>
              </w:rPr>
              <w:tab/>
            </w:r>
            <w:r w:rsidRPr="004C78D8">
              <w:rPr>
                <w:noProof/>
                <w:webHidden/>
              </w:rPr>
              <w:fldChar w:fldCharType="begin"/>
            </w:r>
            <w:r w:rsidRPr="004C78D8">
              <w:rPr>
                <w:noProof/>
                <w:webHidden/>
              </w:rPr>
              <w:instrText xml:space="preserve"> PAGEREF _Toc111630748 \h </w:instrText>
            </w:r>
            <w:r w:rsidRPr="004C78D8">
              <w:rPr>
                <w:noProof/>
                <w:webHidden/>
              </w:rPr>
            </w:r>
            <w:r w:rsidRPr="004C78D8">
              <w:rPr>
                <w:noProof/>
                <w:webHidden/>
              </w:rPr>
              <w:fldChar w:fldCharType="separate"/>
            </w:r>
            <w:r w:rsidRPr="004C78D8">
              <w:rPr>
                <w:noProof/>
                <w:webHidden/>
              </w:rPr>
              <w:t>63</w:t>
            </w:r>
            <w:r w:rsidRPr="004C78D8">
              <w:rPr>
                <w:noProof/>
                <w:webHidden/>
              </w:rPr>
              <w:fldChar w:fldCharType="end"/>
            </w:r>
          </w:hyperlink>
        </w:p>
        <w:p w14:paraId="1909DF0B" w14:textId="28D9F901" w:rsidR="00E151CE" w:rsidRPr="004C78D8" w:rsidRDefault="00E151CE" w:rsidP="00FB7C1F">
          <w:pPr>
            <w:pStyle w:val="TOC2"/>
            <w:tabs>
              <w:tab w:val="right" w:leader="dot" w:pos="9016"/>
            </w:tabs>
            <w:rPr>
              <w:rFonts w:asciiTheme="minorHAnsi" w:hAnsiTheme="minorHAnsi"/>
              <w:noProof/>
            </w:rPr>
          </w:pPr>
          <w:hyperlink w:anchor="_Toc111630749" w:history="1">
            <w:r w:rsidRPr="004C78D8">
              <w:rPr>
                <w:rStyle w:val="Hyperlink"/>
                <w:noProof/>
              </w:rPr>
              <w:t>4.3 Systematic review methods</w:t>
            </w:r>
            <w:r w:rsidRPr="004C78D8">
              <w:rPr>
                <w:noProof/>
                <w:webHidden/>
              </w:rPr>
              <w:tab/>
            </w:r>
            <w:r w:rsidRPr="004C78D8">
              <w:rPr>
                <w:noProof/>
                <w:webHidden/>
              </w:rPr>
              <w:fldChar w:fldCharType="begin"/>
            </w:r>
            <w:r w:rsidRPr="004C78D8">
              <w:rPr>
                <w:noProof/>
                <w:webHidden/>
              </w:rPr>
              <w:instrText xml:space="preserve"> PAGEREF _Toc111630749 \h </w:instrText>
            </w:r>
            <w:r w:rsidRPr="004C78D8">
              <w:rPr>
                <w:noProof/>
                <w:webHidden/>
              </w:rPr>
            </w:r>
            <w:r w:rsidRPr="004C78D8">
              <w:rPr>
                <w:noProof/>
                <w:webHidden/>
              </w:rPr>
              <w:fldChar w:fldCharType="separate"/>
            </w:r>
            <w:r w:rsidRPr="004C78D8">
              <w:rPr>
                <w:noProof/>
                <w:webHidden/>
              </w:rPr>
              <w:t>64</w:t>
            </w:r>
            <w:r w:rsidRPr="004C78D8">
              <w:rPr>
                <w:noProof/>
                <w:webHidden/>
              </w:rPr>
              <w:fldChar w:fldCharType="end"/>
            </w:r>
          </w:hyperlink>
        </w:p>
        <w:p w14:paraId="2ABE66E3" w14:textId="184DF222" w:rsidR="00E151CE" w:rsidRPr="004C78D8" w:rsidRDefault="00E151CE" w:rsidP="00FB7C1F">
          <w:pPr>
            <w:pStyle w:val="TOC3"/>
            <w:tabs>
              <w:tab w:val="right" w:leader="dot" w:pos="9016"/>
            </w:tabs>
            <w:rPr>
              <w:rFonts w:asciiTheme="minorHAnsi" w:hAnsiTheme="minorHAnsi"/>
              <w:noProof/>
            </w:rPr>
          </w:pPr>
          <w:hyperlink w:anchor="_Toc111630750" w:history="1">
            <w:r w:rsidRPr="004C78D8">
              <w:rPr>
                <w:rStyle w:val="Hyperlink"/>
                <w:noProof/>
              </w:rPr>
              <w:t>4.3.1 Data sources and study selection</w:t>
            </w:r>
            <w:r w:rsidRPr="004C78D8">
              <w:rPr>
                <w:noProof/>
                <w:webHidden/>
              </w:rPr>
              <w:tab/>
            </w:r>
            <w:r w:rsidRPr="004C78D8">
              <w:rPr>
                <w:noProof/>
                <w:webHidden/>
              </w:rPr>
              <w:fldChar w:fldCharType="begin"/>
            </w:r>
            <w:r w:rsidRPr="004C78D8">
              <w:rPr>
                <w:noProof/>
                <w:webHidden/>
              </w:rPr>
              <w:instrText xml:space="preserve"> PAGEREF _Toc111630750 \h </w:instrText>
            </w:r>
            <w:r w:rsidRPr="004C78D8">
              <w:rPr>
                <w:noProof/>
                <w:webHidden/>
              </w:rPr>
            </w:r>
            <w:r w:rsidRPr="004C78D8">
              <w:rPr>
                <w:noProof/>
                <w:webHidden/>
              </w:rPr>
              <w:fldChar w:fldCharType="separate"/>
            </w:r>
            <w:r w:rsidRPr="004C78D8">
              <w:rPr>
                <w:noProof/>
                <w:webHidden/>
              </w:rPr>
              <w:t>64</w:t>
            </w:r>
            <w:r w:rsidRPr="004C78D8">
              <w:rPr>
                <w:noProof/>
                <w:webHidden/>
              </w:rPr>
              <w:fldChar w:fldCharType="end"/>
            </w:r>
          </w:hyperlink>
        </w:p>
        <w:p w14:paraId="657DEDA7" w14:textId="08ABE138" w:rsidR="00E151CE" w:rsidRPr="004C78D8" w:rsidRDefault="00E151CE" w:rsidP="00FB7C1F">
          <w:pPr>
            <w:pStyle w:val="TOC3"/>
            <w:tabs>
              <w:tab w:val="right" w:leader="dot" w:pos="9016"/>
            </w:tabs>
            <w:rPr>
              <w:rFonts w:asciiTheme="minorHAnsi" w:hAnsiTheme="minorHAnsi"/>
              <w:noProof/>
            </w:rPr>
          </w:pPr>
          <w:hyperlink w:anchor="_Toc111630751" w:history="1">
            <w:r w:rsidRPr="004C78D8">
              <w:rPr>
                <w:rStyle w:val="Hyperlink"/>
                <w:noProof/>
              </w:rPr>
              <w:t>4.3.2 Data extraction and synthesis</w:t>
            </w:r>
            <w:r w:rsidRPr="004C78D8">
              <w:rPr>
                <w:noProof/>
                <w:webHidden/>
              </w:rPr>
              <w:tab/>
            </w:r>
            <w:r w:rsidRPr="004C78D8">
              <w:rPr>
                <w:noProof/>
                <w:webHidden/>
              </w:rPr>
              <w:fldChar w:fldCharType="begin"/>
            </w:r>
            <w:r w:rsidRPr="004C78D8">
              <w:rPr>
                <w:noProof/>
                <w:webHidden/>
              </w:rPr>
              <w:instrText xml:space="preserve"> PAGEREF _Toc111630751 \h </w:instrText>
            </w:r>
            <w:r w:rsidRPr="004C78D8">
              <w:rPr>
                <w:noProof/>
                <w:webHidden/>
              </w:rPr>
            </w:r>
            <w:r w:rsidRPr="004C78D8">
              <w:rPr>
                <w:noProof/>
                <w:webHidden/>
              </w:rPr>
              <w:fldChar w:fldCharType="separate"/>
            </w:r>
            <w:r w:rsidRPr="004C78D8">
              <w:rPr>
                <w:noProof/>
                <w:webHidden/>
              </w:rPr>
              <w:t>65</w:t>
            </w:r>
            <w:r w:rsidRPr="004C78D8">
              <w:rPr>
                <w:noProof/>
                <w:webHidden/>
              </w:rPr>
              <w:fldChar w:fldCharType="end"/>
            </w:r>
          </w:hyperlink>
        </w:p>
        <w:p w14:paraId="2B12FBAE" w14:textId="071DA415" w:rsidR="00E151CE" w:rsidRPr="004C78D8" w:rsidRDefault="00E151CE" w:rsidP="00FB7C1F">
          <w:pPr>
            <w:pStyle w:val="TOC2"/>
            <w:tabs>
              <w:tab w:val="right" w:leader="dot" w:pos="9016"/>
            </w:tabs>
            <w:rPr>
              <w:rFonts w:asciiTheme="minorHAnsi" w:hAnsiTheme="minorHAnsi"/>
              <w:noProof/>
            </w:rPr>
          </w:pPr>
          <w:hyperlink w:anchor="_Toc111630752" w:history="1">
            <w:r w:rsidRPr="004C78D8">
              <w:rPr>
                <w:rStyle w:val="Hyperlink"/>
                <w:noProof/>
              </w:rPr>
              <w:t>4.4 Systematic review results part 1: overview</w:t>
            </w:r>
            <w:r w:rsidRPr="004C78D8">
              <w:rPr>
                <w:noProof/>
                <w:webHidden/>
              </w:rPr>
              <w:tab/>
            </w:r>
            <w:r w:rsidRPr="004C78D8">
              <w:rPr>
                <w:noProof/>
                <w:webHidden/>
              </w:rPr>
              <w:fldChar w:fldCharType="begin"/>
            </w:r>
            <w:r w:rsidRPr="004C78D8">
              <w:rPr>
                <w:noProof/>
                <w:webHidden/>
              </w:rPr>
              <w:instrText xml:space="preserve"> PAGEREF _Toc111630752 \h </w:instrText>
            </w:r>
            <w:r w:rsidRPr="004C78D8">
              <w:rPr>
                <w:noProof/>
                <w:webHidden/>
              </w:rPr>
            </w:r>
            <w:r w:rsidRPr="004C78D8">
              <w:rPr>
                <w:noProof/>
                <w:webHidden/>
              </w:rPr>
              <w:fldChar w:fldCharType="separate"/>
            </w:r>
            <w:r w:rsidRPr="004C78D8">
              <w:rPr>
                <w:noProof/>
                <w:webHidden/>
              </w:rPr>
              <w:t>66</w:t>
            </w:r>
            <w:r w:rsidRPr="004C78D8">
              <w:rPr>
                <w:noProof/>
                <w:webHidden/>
              </w:rPr>
              <w:fldChar w:fldCharType="end"/>
            </w:r>
          </w:hyperlink>
        </w:p>
        <w:p w14:paraId="124E1E27" w14:textId="6846E104" w:rsidR="00E151CE" w:rsidRPr="004C78D8" w:rsidRDefault="00E151CE" w:rsidP="00FB7C1F">
          <w:pPr>
            <w:pStyle w:val="TOC3"/>
            <w:tabs>
              <w:tab w:val="right" w:leader="dot" w:pos="9016"/>
            </w:tabs>
            <w:rPr>
              <w:rFonts w:asciiTheme="minorHAnsi" w:hAnsiTheme="minorHAnsi"/>
              <w:noProof/>
            </w:rPr>
          </w:pPr>
          <w:hyperlink w:anchor="_Toc111630753" w:history="1">
            <w:r w:rsidRPr="004C78D8">
              <w:rPr>
                <w:rStyle w:val="Hyperlink"/>
                <w:noProof/>
              </w:rPr>
              <w:t>4.4.1 Systematic review search results</w:t>
            </w:r>
            <w:r w:rsidRPr="004C78D8">
              <w:rPr>
                <w:noProof/>
                <w:webHidden/>
              </w:rPr>
              <w:tab/>
            </w:r>
            <w:r w:rsidRPr="004C78D8">
              <w:rPr>
                <w:noProof/>
                <w:webHidden/>
              </w:rPr>
              <w:fldChar w:fldCharType="begin"/>
            </w:r>
            <w:r w:rsidRPr="004C78D8">
              <w:rPr>
                <w:noProof/>
                <w:webHidden/>
              </w:rPr>
              <w:instrText xml:space="preserve"> PAGEREF _Toc111630753 \h </w:instrText>
            </w:r>
            <w:r w:rsidRPr="004C78D8">
              <w:rPr>
                <w:noProof/>
                <w:webHidden/>
              </w:rPr>
            </w:r>
            <w:r w:rsidRPr="004C78D8">
              <w:rPr>
                <w:noProof/>
                <w:webHidden/>
              </w:rPr>
              <w:fldChar w:fldCharType="separate"/>
            </w:r>
            <w:r w:rsidRPr="004C78D8">
              <w:rPr>
                <w:noProof/>
                <w:webHidden/>
              </w:rPr>
              <w:t>66</w:t>
            </w:r>
            <w:r w:rsidRPr="004C78D8">
              <w:rPr>
                <w:noProof/>
                <w:webHidden/>
              </w:rPr>
              <w:fldChar w:fldCharType="end"/>
            </w:r>
          </w:hyperlink>
        </w:p>
        <w:p w14:paraId="59E76CC6" w14:textId="07EC3B55" w:rsidR="00E151CE" w:rsidRPr="004C78D8" w:rsidRDefault="00E151CE" w:rsidP="00FB7C1F">
          <w:pPr>
            <w:pStyle w:val="TOC3"/>
            <w:tabs>
              <w:tab w:val="right" w:leader="dot" w:pos="9016"/>
            </w:tabs>
            <w:rPr>
              <w:rFonts w:asciiTheme="minorHAnsi" w:hAnsiTheme="minorHAnsi"/>
              <w:noProof/>
            </w:rPr>
          </w:pPr>
          <w:hyperlink w:anchor="_Toc111630754" w:history="1">
            <w:r w:rsidRPr="004C78D8">
              <w:rPr>
                <w:rStyle w:val="Hyperlink"/>
                <w:noProof/>
              </w:rPr>
              <w:t>4.4.2 Overview of included decision models</w:t>
            </w:r>
            <w:r w:rsidRPr="004C78D8">
              <w:rPr>
                <w:noProof/>
                <w:webHidden/>
              </w:rPr>
              <w:tab/>
            </w:r>
            <w:r w:rsidRPr="004C78D8">
              <w:rPr>
                <w:noProof/>
                <w:webHidden/>
              </w:rPr>
              <w:fldChar w:fldCharType="begin"/>
            </w:r>
            <w:r w:rsidRPr="004C78D8">
              <w:rPr>
                <w:noProof/>
                <w:webHidden/>
              </w:rPr>
              <w:instrText xml:space="preserve"> PAGEREF _Toc111630754 \h </w:instrText>
            </w:r>
            <w:r w:rsidRPr="004C78D8">
              <w:rPr>
                <w:noProof/>
                <w:webHidden/>
              </w:rPr>
            </w:r>
            <w:r w:rsidRPr="004C78D8">
              <w:rPr>
                <w:noProof/>
                <w:webHidden/>
              </w:rPr>
              <w:fldChar w:fldCharType="separate"/>
            </w:r>
            <w:r w:rsidRPr="004C78D8">
              <w:rPr>
                <w:noProof/>
                <w:webHidden/>
              </w:rPr>
              <w:t>68</w:t>
            </w:r>
            <w:r w:rsidRPr="004C78D8">
              <w:rPr>
                <w:noProof/>
                <w:webHidden/>
              </w:rPr>
              <w:fldChar w:fldCharType="end"/>
            </w:r>
          </w:hyperlink>
        </w:p>
        <w:p w14:paraId="1E44C106" w14:textId="6DDF14DF" w:rsidR="00E151CE" w:rsidRPr="004C78D8" w:rsidRDefault="00E151CE" w:rsidP="00FB7C1F">
          <w:pPr>
            <w:pStyle w:val="TOC3"/>
            <w:tabs>
              <w:tab w:val="right" w:leader="dot" w:pos="9016"/>
            </w:tabs>
            <w:rPr>
              <w:rFonts w:asciiTheme="minorHAnsi" w:hAnsiTheme="minorHAnsi"/>
              <w:noProof/>
            </w:rPr>
          </w:pPr>
          <w:hyperlink w:anchor="_Toc111630755" w:history="1">
            <w:r w:rsidRPr="004C78D8">
              <w:rPr>
                <w:rStyle w:val="Hyperlink"/>
                <w:noProof/>
              </w:rPr>
              <w:t>4.4.3 Checklist scores for methodological and reporting quality</w:t>
            </w:r>
            <w:r w:rsidRPr="004C78D8">
              <w:rPr>
                <w:noProof/>
                <w:webHidden/>
              </w:rPr>
              <w:tab/>
            </w:r>
            <w:r w:rsidRPr="004C78D8">
              <w:rPr>
                <w:noProof/>
                <w:webHidden/>
              </w:rPr>
              <w:fldChar w:fldCharType="begin"/>
            </w:r>
            <w:r w:rsidRPr="004C78D8">
              <w:rPr>
                <w:noProof/>
                <w:webHidden/>
              </w:rPr>
              <w:instrText xml:space="preserve"> PAGEREF _Toc111630755 \h </w:instrText>
            </w:r>
            <w:r w:rsidRPr="004C78D8">
              <w:rPr>
                <w:noProof/>
                <w:webHidden/>
              </w:rPr>
            </w:r>
            <w:r w:rsidRPr="004C78D8">
              <w:rPr>
                <w:noProof/>
                <w:webHidden/>
              </w:rPr>
              <w:fldChar w:fldCharType="separate"/>
            </w:r>
            <w:r w:rsidRPr="004C78D8">
              <w:rPr>
                <w:noProof/>
                <w:webHidden/>
              </w:rPr>
              <w:t>72</w:t>
            </w:r>
            <w:r w:rsidRPr="004C78D8">
              <w:rPr>
                <w:noProof/>
                <w:webHidden/>
              </w:rPr>
              <w:fldChar w:fldCharType="end"/>
            </w:r>
          </w:hyperlink>
        </w:p>
        <w:p w14:paraId="4EADB588" w14:textId="034586C2" w:rsidR="00E151CE" w:rsidRPr="004C78D8" w:rsidRDefault="00E151CE" w:rsidP="00FB7C1F">
          <w:pPr>
            <w:pStyle w:val="TOC2"/>
            <w:tabs>
              <w:tab w:val="right" w:leader="dot" w:pos="9016"/>
            </w:tabs>
            <w:rPr>
              <w:rFonts w:asciiTheme="minorHAnsi" w:hAnsiTheme="minorHAnsi"/>
              <w:noProof/>
            </w:rPr>
          </w:pPr>
          <w:hyperlink w:anchor="_Toc111630756" w:history="1">
            <w:r w:rsidRPr="004C78D8">
              <w:rPr>
                <w:rStyle w:val="Hyperlink"/>
                <w:noProof/>
              </w:rPr>
              <w:t>4.5 Systematic review results part 2: narrative synthesis and appraisal</w:t>
            </w:r>
            <w:r w:rsidRPr="004C78D8">
              <w:rPr>
                <w:noProof/>
                <w:webHidden/>
              </w:rPr>
              <w:tab/>
            </w:r>
            <w:r w:rsidRPr="004C78D8">
              <w:rPr>
                <w:noProof/>
                <w:webHidden/>
              </w:rPr>
              <w:fldChar w:fldCharType="begin"/>
            </w:r>
            <w:r w:rsidRPr="004C78D8">
              <w:rPr>
                <w:noProof/>
                <w:webHidden/>
              </w:rPr>
              <w:instrText xml:space="preserve"> PAGEREF _Toc111630756 \h </w:instrText>
            </w:r>
            <w:r w:rsidRPr="004C78D8">
              <w:rPr>
                <w:noProof/>
                <w:webHidden/>
              </w:rPr>
            </w:r>
            <w:r w:rsidRPr="004C78D8">
              <w:rPr>
                <w:noProof/>
                <w:webHidden/>
              </w:rPr>
              <w:fldChar w:fldCharType="separate"/>
            </w:r>
            <w:r w:rsidRPr="004C78D8">
              <w:rPr>
                <w:noProof/>
                <w:webHidden/>
              </w:rPr>
              <w:t>72</w:t>
            </w:r>
            <w:r w:rsidRPr="004C78D8">
              <w:rPr>
                <w:noProof/>
                <w:webHidden/>
              </w:rPr>
              <w:fldChar w:fldCharType="end"/>
            </w:r>
          </w:hyperlink>
        </w:p>
        <w:p w14:paraId="7919FEA4" w14:textId="6D35D0A3" w:rsidR="00E151CE" w:rsidRPr="004C78D8" w:rsidRDefault="00E151CE" w:rsidP="00FB7C1F">
          <w:pPr>
            <w:pStyle w:val="TOC3"/>
            <w:tabs>
              <w:tab w:val="right" w:leader="dot" w:pos="9016"/>
            </w:tabs>
            <w:rPr>
              <w:rFonts w:asciiTheme="minorHAnsi" w:hAnsiTheme="minorHAnsi"/>
              <w:noProof/>
            </w:rPr>
          </w:pPr>
          <w:hyperlink w:anchor="_Toc111630757" w:history="1">
            <w:r w:rsidRPr="004C78D8">
              <w:rPr>
                <w:rStyle w:val="Hyperlink"/>
                <w:noProof/>
              </w:rPr>
              <w:t>4.5.1 Falls epidemiology features</w:t>
            </w:r>
            <w:r w:rsidRPr="004C78D8">
              <w:rPr>
                <w:noProof/>
                <w:webHidden/>
              </w:rPr>
              <w:tab/>
            </w:r>
            <w:r w:rsidRPr="004C78D8">
              <w:rPr>
                <w:noProof/>
                <w:webHidden/>
              </w:rPr>
              <w:fldChar w:fldCharType="begin"/>
            </w:r>
            <w:r w:rsidRPr="004C78D8">
              <w:rPr>
                <w:noProof/>
                <w:webHidden/>
              </w:rPr>
              <w:instrText xml:space="preserve"> PAGEREF _Toc111630757 \h </w:instrText>
            </w:r>
            <w:r w:rsidRPr="004C78D8">
              <w:rPr>
                <w:noProof/>
                <w:webHidden/>
              </w:rPr>
            </w:r>
            <w:r w:rsidRPr="004C78D8">
              <w:rPr>
                <w:noProof/>
                <w:webHidden/>
              </w:rPr>
              <w:fldChar w:fldCharType="separate"/>
            </w:r>
            <w:r w:rsidRPr="004C78D8">
              <w:rPr>
                <w:noProof/>
                <w:webHidden/>
              </w:rPr>
              <w:t>72</w:t>
            </w:r>
            <w:r w:rsidRPr="004C78D8">
              <w:rPr>
                <w:noProof/>
                <w:webHidden/>
              </w:rPr>
              <w:fldChar w:fldCharType="end"/>
            </w:r>
          </w:hyperlink>
        </w:p>
        <w:p w14:paraId="754ACA6B" w14:textId="31F05260" w:rsidR="00E151CE" w:rsidRPr="004C78D8" w:rsidRDefault="00E151CE" w:rsidP="00FB7C1F">
          <w:pPr>
            <w:pStyle w:val="TOC3"/>
            <w:tabs>
              <w:tab w:val="right" w:leader="dot" w:pos="9016"/>
            </w:tabs>
            <w:rPr>
              <w:rFonts w:asciiTheme="minorHAnsi" w:hAnsiTheme="minorHAnsi"/>
              <w:noProof/>
            </w:rPr>
          </w:pPr>
          <w:hyperlink w:anchor="_Toc111630758" w:history="1">
            <w:r w:rsidRPr="004C78D8">
              <w:rPr>
                <w:rStyle w:val="Hyperlink"/>
                <w:noProof/>
              </w:rPr>
              <w:t>4.5.2 Falls prevention intervention features</w:t>
            </w:r>
            <w:r w:rsidRPr="004C78D8">
              <w:rPr>
                <w:noProof/>
                <w:webHidden/>
              </w:rPr>
              <w:tab/>
            </w:r>
            <w:r w:rsidRPr="004C78D8">
              <w:rPr>
                <w:noProof/>
                <w:webHidden/>
              </w:rPr>
              <w:fldChar w:fldCharType="begin"/>
            </w:r>
            <w:r w:rsidRPr="004C78D8">
              <w:rPr>
                <w:noProof/>
                <w:webHidden/>
              </w:rPr>
              <w:instrText xml:space="preserve"> PAGEREF _Toc111630758 \h </w:instrText>
            </w:r>
            <w:r w:rsidRPr="004C78D8">
              <w:rPr>
                <w:noProof/>
                <w:webHidden/>
              </w:rPr>
            </w:r>
            <w:r w:rsidRPr="004C78D8">
              <w:rPr>
                <w:noProof/>
                <w:webHidden/>
              </w:rPr>
              <w:fldChar w:fldCharType="separate"/>
            </w:r>
            <w:r w:rsidRPr="004C78D8">
              <w:rPr>
                <w:noProof/>
                <w:webHidden/>
              </w:rPr>
              <w:t>82</w:t>
            </w:r>
            <w:r w:rsidRPr="004C78D8">
              <w:rPr>
                <w:noProof/>
                <w:webHidden/>
              </w:rPr>
              <w:fldChar w:fldCharType="end"/>
            </w:r>
          </w:hyperlink>
        </w:p>
        <w:p w14:paraId="514459FD" w14:textId="130B2DF1" w:rsidR="00E151CE" w:rsidRPr="004C78D8" w:rsidRDefault="00E151CE" w:rsidP="00FB7C1F">
          <w:pPr>
            <w:pStyle w:val="TOC3"/>
            <w:tabs>
              <w:tab w:val="right" w:leader="dot" w:pos="9016"/>
            </w:tabs>
            <w:rPr>
              <w:rFonts w:asciiTheme="minorHAnsi" w:hAnsiTheme="minorHAnsi"/>
              <w:noProof/>
            </w:rPr>
          </w:pPr>
          <w:hyperlink w:anchor="_Toc111630759" w:history="1">
            <w:r w:rsidRPr="004C78D8">
              <w:rPr>
                <w:rStyle w:val="Hyperlink"/>
                <w:noProof/>
              </w:rPr>
              <w:t>4.5.3 Key challenges for public health economic modelling</w:t>
            </w:r>
            <w:r w:rsidRPr="004C78D8">
              <w:rPr>
                <w:noProof/>
                <w:webHidden/>
              </w:rPr>
              <w:tab/>
            </w:r>
            <w:r w:rsidRPr="004C78D8">
              <w:rPr>
                <w:noProof/>
                <w:webHidden/>
              </w:rPr>
              <w:fldChar w:fldCharType="begin"/>
            </w:r>
            <w:r w:rsidRPr="004C78D8">
              <w:rPr>
                <w:noProof/>
                <w:webHidden/>
              </w:rPr>
              <w:instrText xml:space="preserve"> PAGEREF _Toc111630759 \h </w:instrText>
            </w:r>
            <w:r w:rsidRPr="004C78D8">
              <w:rPr>
                <w:noProof/>
                <w:webHidden/>
              </w:rPr>
            </w:r>
            <w:r w:rsidRPr="004C78D8">
              <w:rPr>
                <w:noProof/>
                <w:webHidden/>
              </w:rPr>
              <w:fldChar w:fldCharType="separate"/>
            </w:r>
            <w:r w:rsidRPr="004C78D8">
              <w:rPr>
                <w:noProof/>
                <w:webHidden/>
              </w:rPr>
              <w:t>91</w:t>
            </w:r>
            <w:r w:rsidRPr="004C78D8">
              <w:rPr>
                <w:noProof/>
                <w:webHidden/>
              </w:rPr>
              <w:fldChar w:fldCharType="end"/>
            </w:r>
          </w:hyperlink>
        </w:p>
        <w:p w14:paraId="463D2723" w14:textId="32FF2136" w:rsidR="00E151CE" w:rsidRPr="004C78D8" w:rsidRDefault="00E151CE" w:rsidP="00FB7C1F">
          <w:pPr>
            <w:pStyle w:val="TOC3"/>
            <w:tabs>
              <w:tab w:val="right" w:leader="dot" w:pos="9016"/>
            </w:tabs>
            <w:rPr>
              <w:rFonts w:asciiTheme="minorHAnsi" w:hAnsiTheme="minorHAnsi"/>
              <w:noProof/>
            </w:rPr>
          </w:pPr>
          <w:hyperlink w:anchor="_Toc111630760" w:history="1">
            <w:r w:rsidRPr="004C78D8">
              <w:rPr>
                <w:rStyle w:val="Hyperlink"/>
                <w:noProof/>
              </w:rPr>
              <w:t>4.5.4 Evaluation methods</w:t>
            </w:r>
            <w:r w:rsidRPr="004C78D8">
              <w:rPr>
                <w:noProof/>
                <w:webHidden/>
              </w:rPr>
              <w:tab/>
            </w:r>
            <w:r w:rsidRPr="004C78D8">
              <w:rPr>
                <w:noProof/>
                <w:webHidden/>
              </w:rPr>
              <w:fldChar w:fldCharType="begin"/>
            </w:r>
            <w:r w:rsidRPr="004C78D8">
              <w:rPr>
                <w:noProof/>
                <w:webHidden/>
              </w:rPr>
              <w:instrText xml:space="preserve"> PAGEREF _Toc111630760 \h </w:instrText>
            </w:r>
            <w:r w:rsidRPr="004C78D8">
              <w:rPr>
                <w:noProof/>
                <w:webHidden/>
              </w:rPr>
            </w:r>
            <w:r w:rsidRPr="004C78D8">
              <w:rPr>
                <w:noProof/>
                <w:webHidden/>
              </w:rPr>
              <w:fldChar w:fldCharType="separate"/>
            </w:r>
            <w:r w:rsidRPr="004C78D8">
              <w:rPr>
                <w:noProof/>
                <w:webHidden/>
              </w:rPr>
              <w:t>101</w:t>
            </w:r>
            <w:r w:rsidRPr="004C78D8">
              <w:rPr>
                <w:noProof/>
                <w:webHidden/>
              </w:rPr>
              <w:fldChar w:fldCharType="end"/>
            </w:r>
          </w:hyperlink>
        </w:p>
        <w:p w14:paraId="33133698" w14:textId="4E8DF4AC" w:rsidR="00E151CE" w:rsidRPr="004C78D8" w:rsidRDefault="00E151CE" w:rsidP="00FB7C1F">
          <w:pPr>
            <w:pStyle w:val="TOC3"/>
            <w:tabs>
              <w:tab w:val="right" w:leader="dot" w:pos="9016"/>
            </w:tabs>
            <w:rPr>
              <w:rFonts w:asciiTheme="minorHAnsi" w:hAnsiTheme="minorHAnsi"/>
              <w:noProof/>
            </w:rPr>
          </w:pPr>
          <w:hyperlink w:anchor="_Toc111630761" w:history="1">
            <w:r w:rsidRPr="004C78D8">
              <w:rPr>
                <w:rStyle w:val="Hyperlink"/>
                <w:noProof/>
              </w:rPr>
              <w:t>4.5.5 Evaluation outcomes leading to commissioning recommendations</w:t>
            </w:r>
            <w:r w:rsidRPr="004C78D8">
              <w:rPr>
                <w:noProof/>
                <w:webHidden/>
              </w:rPr>
              <w:tab/>
            </w:r>
            <w:r w:rsidRPr="004C78D8">
              <w:rPr>
                <w:noProof/>
                <w:webHidden/>
              </w:rPr>
              <w:fldChar w:fldCharType="begin"/>
            </w:r>
            <w:r w:rsidRPr="004C78D8">
              <w:rPr>
                <w:noProof/>
                <w:webHidden/>
              </w:rPr>
              <w:instrText xml:space="preserve"> PAGEREF _Toc111630761 \h </w:instrText>
            </w:r>
            <w:r w:rsidRPr="004C78D8">
              <w:rPr>
                <w:noProof/>
                <w:webHidden/>
              </w:rPr>
            </w:r>
            <w:r w:rsidRPr="004C78D8">
              <w:rPr>
                <w:noProof/>
                <w:webHidden/>
              </w:rPr>
              <w:fldChar w:fldCharType="separate"/>
            </w:r>
            <w:r w:rsidRPr="004C78D8">
              <w:rPr>
                <w:noProof/>
                <w:webHidden/>
              </w:rPr>
              <w:t>102</w:t>
            </w:r>
            <w:r w:rsidRPr="004C78D8">
              <w:rPr>
                <w:noProof/>
                <w:webHidden/>
              </w:rPr>
              <w:fldChar w:fldCharType="end"/>
            </w:r>
          </w:hyperlink>
        </w:p>
        <w:p w14:paraId="032226A3" w14:textId="7A146F3E" w:rsidR="00E151CE" w:rsidRPr="004C78D8" w:rsidRDefault="00E151CE" w:rsidP="00FB7C1F">
          <w:pPr>
            <w:pStyle w:val="TOC2"/>
            <w:tabs>
              <w:tab w:val="right" w:leader="dot" w:pos="9016"/>
            </w:tabs>
            <w:rPr>
              <w:rFonts w:asciiTheme="minorHAnsi" w:hAnsiTheme="minorHAnsi"/>
              <w:noProof/>
            </w:rPr>
          </w:pPr>
          <w:hyperlink w:anchor="_Toc111630762" w:history="1">
            <w:r w:rsidRPr="004C78D8">
              <w:rPr>
                <w:rStyle w:val="Hyperlink"/>
                <w:noProof/>
              </w:rPr>
              <w:t>4.6 Systematic review results part 3: methodological and commissioning recommendations</w:t>
            </w:r>
            <w:r w:rsidRPr="004C78D8">
              <w:rPr>
                <w:noProof/>
                <w:webHidden/>
              </w:rPr>
              <w:tab/>
            </w:r>
            <w:r w:rsidRPr="004C78D8">
              <w:rPr>
                <w:noProof/>
                <w:webHidden/>
              </w:rPr>
              <w:fldChar w:fldCharType="begin"/>
            </w:r>
            <w:r w:rsidRPr="004C78D8">
              <w:rPr>
                <w:noProof/>
                <w:webHidden/>
              </w:rPr>
              <w:instrText xml:space="preserve"> PAGEREF _Toc111630762 \h </w:instrText>
            </w:r>
            <w:r w:rsidRPr="004C78D8">
              <w:rPr>
                <w:noProof/>
                <w:webHidden/>
              </w:rPr>
            </w:r>
            <w:r w:rsidRPr="004C78D8">
              <w:rPr>
                <w:noProof/>
                <w:webHidden/>
              </w:rPr>
              <w:fldChar w:fldCharType="separate"/>
            </w:r>
            <w:r w:rsidRPr="004C78D8">
              <w:rPr>
                <w:noProof/>
                <w:webHidden/>
              </w:rPr>
              <w:t>108</w:t>
            </w:r>
            <w:r w:rsidRPr="004C78D8">
              <w:rPr>
                <w:noProof/>
                <w:webHidden/>
              </w:rPr>
              <w:fldChar w:fldCharType="end"/>
            </w:r>
          </w:hyperlink>
        </w:p>
        <w:p w14:paraId="5030DE48" w14:textId="69F1A3BE" w:rsidR="00E151CE" w:rsidRPr="004C78D8" w:rsidRDefault="00E151CE" w:rsidP="00FB7C1F">
          <w:pPr>
            <w:pStyle w:val="TOC3"/>
            <w:tabs>
              <w:tab w:val="right" w:leader="dot" w:pos="9016"/>
            </w:tabs>
            <w:rPr>
              <w:rFonts w:asciiTheme="minorHAnsi" w:hAnsiTheme="minorHAnsi"/>
              <w:noProof/>
            </w:rPr>
          </w:pPr>
          <w:hyperlink w:anchor="_Toc111630763" w:history="1">
            <w:r w:rsidRPr="004C78D8">
              <w:rPr>
                <w:rStyle w:val="Hyperlink"/>
                <w:noProof/>
              </w:rPr>
              <w:t>4.6.1 Methodological recommendations</w:t>
            </w:r>
            <w:r w:rsidRPr="004C78D8">
              <w:rPr>
                <w:noProof/>
                <w:webHidden/>
              </w:rPr>
              <w:tab/>
            </w:r>
            <w:r w:rsidRPr="004C78D8">
              <w:rPr>
                <w:noProof/>
                <w:webHidden/>
              </w:rPr>
              <w:fldChar w:fldCharType="begin"/>
            </w:r>
            <w:r w:rsidRPr="004C78D8">
              <w:rPr>
                <w:noProof/>
                <w:webHidden/>
              </w:rPr>
              <w:instrText xml:space="preserve"> PAGEREF _Toc111630763 \h </w:instrText>
            </w:r>
            <w:r w:rsidRPr="004C78D8">
              <w:rPr>
                <w:noProof/>
                <w:webHidden/>
              </w:rPr>
            </w:r>
            <w:r w:rsidRPr="004C78D8">
              <w:rPr>
                <w:noProof/>
                <w:webHidden/>
              </w:rPr>
              <w:fldChar w:fldCharType="separate"/>
            </w:r>
            <w:r w:rsidRPr="004C78D8">
              <w:rPr>
                <w:noProof/>
                <w:webHidden/>
              </w:rPr>
              <w:t>108</w:t>
            </w:r>
            <w:r w:rsidRPr="004C78D8">
              <w:rPr>
                <w:noProof/>
                <w:webHidden/>
              </w:rPr>
              <w:fldChar w:fldCharType="end"/>
            </w:r>
          </w:hyperlink>
        </w:p>
        <w:p w14:paraId="7DCC4A4B" w14:textId="7BF820DB" w:rsidR="00E151CE" w:rsidRPr="004C78D8" w:rsidRDefault="00E151CE" w:rsidP="00FB7C1F">
          <w:pPr>
            <w:pStyle w:val="TOC3"/>
            <w:tabs>
              <w:tab w:val="right" w:leader="dot" w:pos="9016"/>
            </w:tabs>
            <w:rPr>
              <w:rFonts w:asciiTheme="minorHAnsi" w:hAnsiTheme="minorHAnsi"/>
              <w:noProof/>
            </w:rPr>
          </w:pPr>
          <w:hyperlink w:anchor="_Toc111630764" w:history="1">
            <w:r w:rsidRPr="004C78D8">
              <w:rPr>
                <w:rStyle w:val="Hyperlink"/>
                <w:noProof/>
              </w:rPr>
              <w:t>4.6.2 Commissioning recommendations based on the review results</w:t>
            </w:r>
            <w:r w:rsidRPr="004C78D8">
              <w:rPr>
                <w:noProof/>
                <w:webHidden/>
              </w:rPr>
              <w:tab/>
            </w:r>
            <w:r w:rsidRPr="004C78D8">
              <w:rPr>
                <w:noProof/>
                <w:webHidden/>
              </w:rPr>
              <w:fldChar w:fldCharType="begin"/>
            </w:r>
            <w:r w:rsidRPr="004C78D8">
              <w:rPr>
                <w:noProof/>
                <w:webHidden/>
              </w:rPr>
              <w:instrText xml:space="preserve"> PAGEREF _Toc111630764 \h </w:instrText>
            </w:r>
            <w:r w:rsidRPr="004C78D8">
              <w:rPr>
                <w:noProof/>
                <w:webHidden/>
              </w:rPr>
            </w:r>
            <w:r w:rsidRPr="004C78D8">
              <w:rPr>
                <w:noProof/>
                <w:webHidden/>
              </w:rPr>
              <w:fldChar w:fldCharType="separate"/>
            </w:r>
            <w:r w:rsidRPr="004C78D8">
              <w:rPr>
                <w:noProof/>
                <w:webHidden/>
              </w:rPr>
              <w:t>110</w:t>
            </w:r>
            <w:r w:rsidRPr="004C78D8">
              <w:rPr>
                <w:noProof/>
                <w:webHidden/>
              </w:rPr>
              <w:fldChar w:fldCharType="end"/>
            </w:r>
          </w:hyperlink>
        </w:p>
        <w:p w14:paraId="214B23CC" w14:textId="74983796" w:rsidR="00E151CE" w:rsidRPr="004C78D8" w:rsidRDefault="00E151CE" w:rsidP="00FB7C1F">
          <w:pPr>
            <w:pStyle w:val="TOC2"/>
            <w:tabs>
              <w:tab w:val="right" w:leader="dot" w:pos="9016"/>
            </w:tabs>
            <w:rPr>
              <w:rFonts w:asciiTheme="minorHAnsi" w:hAnsiTheme="minorHAnsi"/>
              <w:noProof/>
            </w:rPr>
          </w:pPr>
          <w:hyperlink w:anchor="_Toc111630765" w:history="1">
            <w:r w:rsidRPr="004C78D8">
              <w:rPr>
                <w:rStyle w:val="Hyperlink"/>
                <w:noProof/>
              </w:rPr>
              <w:t>4.7 Discussion</w:t>
            </w:r>
            <w:r w:rsidRPr="004C78D8">
              <w:rPr>
                <w:noProof/>
                <w:webHidden/>
              </w:rPr>
              <w:tab/>
            </w:r>
            <w:r w:rsidRPr="004C78D8">
              <w:rPr>
                <w:noProof/>
                <w:webHidden/>
              </w:rPr>
              <w:fldChar w:fldCharType="begin"/>
            </w:r>
            <w:r w:rsidRPr="004C78D8">
              <w:rPr>
                <w:noProof/>
                <w:webHidden/>
              </w:rPr>
              <w:instrText xml:space="preserve"> PAGEREF _Toc111630765 \h </w:instrText>
            </w:r>
            <w:r w:rsidRPr="004C78D8">
              <w:rPr>
                <w:noProof/>
                <w:webHidden/>
              </w:rPr>
            </w:r>
            <w:r w:rsidRPr="004C78D8">
              <w:rPr>
                <w:noProof/>
                <w:webHidden/>
              </w:rPr>
              <w:fldChar w:fldCharType="separate"/>
            </w:r>
            <w:r w:rsidRPr="004C78D8">
              <w:rPr>
                <w:noProof/>
                <w:webHidden/>
              </w:rPr>
              <w:t>110</w:t>
            </w:r>
            <w:r w:rsidRPr="004C78D8">
              <w:rPr>
                <w:noProof/>
                <w:webHidden/>
              </w:rPr>
              <w:fldChar w:fldCharType="end"/>
            </w:r>
          </w:hyperlink>
        </w:p>
        <w:p w14:paraId="5AA90906" w14:textId="20B3AFB6" w:rsidR="00E151CE" w:rsidRPr="004C78D8" w:rsidRDefault="00E151CE" w:rsidP="00FB7C1F">
          <w:pPr>
            <w:pStyle w:val="TOC3"/>
            <w:tabs>
              <w:tab w:val="right" w:leader="dot" w:pos="9016"/>
            </w:tabs>
            <w:rPr>
              <w:rFonts w:asciiTheme="minorHAnsi" w:hAnsiTheme="minorHAnsi"/>
              <w:noProof/>
            </w:rPr>
          </w:pPr>
          <w:hyperlink w:anchor="_Toc111630766" w:history="1">
            <w:r w:rsidRPr="004C78D8">
              <w:rPr>
                <w:rStyle w:val="Hyperlink"/>
                <w:noProof/>
              </w:rPr>
              <w:t>4.7.1 Commissioning recommendations and existing guidelines</w:t>
            </w:r>
            <w:r w:rsidRPr="004C78D8">
              <w:rPr>
                <w:noProof/>
                <w:webHidden/>
              </w:rPr>
              <w:tab/>
            </w:r>
            <w:r w:rsidRPr="004C78D8">
              <w:rPr>
                <w:noProof/>
                <w:webHidden/>
              </w:rPr>
              <w:fldChar w:fldCharType="begin"/>
            </w:r>
            <w:r w:rsidRPr="004C78D8">
              <w:rPr>
                <w:noProof/>
                <w:webHidden/>
              </w:rPr>
              <w:instrText xml:space="preserve"> PAGEREF _Toc111630766 \h </w:instrText>
            </w:r>
            <w:r w:rsidRPr="004C78D8">
              <w:rPr>
                <w:noProof/>
                <w:webHidden/>
              </w:rPr>
            </w:r>
            <w:r w:rsidRPr="004C78D8">
              <w:rPr>
                <w:noProof/>
                <w:webHidden/>
              </w:rPr>
              <w:fldChar w:fldCharType="separate"/>
            </w:r>
            <w:r w:rsidRPr="004C78D8">
              <w:rPr>
                <w:noProof/>
                <w:webHidden/>
              </w:rPr>
              <w:t>111</w:t>
            </w:r>
            <w:r w:rsidRPr="004C78D8">
              <w:rPr>
                <w:noProof/>
                <w:webHidden/>
              </w:rPr>
              <w:fldChar w:fldCharType="end"/>
            </w:r>
          </w:hyperlink>
        </w:p>
        <w:p w14:paraId="21CC02B3" w14:textId="3E834C7C" w:rsidR="00E151CE" w:rsidRPr="004C78D8" w:rsidRDefault="00E151CE" w:rsidP="00FB7C1F">
          <w:pPr>
            <w:pStyle w:val="TOC3"/>
            <w:tabs>
              <w:tab w:val="right" w:leader="dot" w:pos="9016"/>
            </w:tabs>
            <w:rPr>
              <w:rFonts w:asciiTheme="minorHAnsi" w:hAnsiTheme="minorHAnsi"/>
              <w:noProof/>
            </w:rPr>
          </w:pPr>
          <w:hyperlink w:anchor="_Toc111630767" w:history="1">
            <w:r w:rsidRPr="004C78D8">
              <w:rPr>
                <w:rStyle w:val="Hyperlink"/>
                <w:noProof/>
              </w:rPr>
              <w:t>4.7.2 Conducting methodological appraisal of previous models</w:t>
            </w:r>
            <w:r w:rsidRPr="004C78D8">
              <w:rPr>
                <w:noProof/>
                <w:webHidden/>
              </w:rPr>
              <w:tab/>
            </w:r>
            <w:r w:rsidRPr="004C78D8">
              <w:rPr>
                <w:noProof/>
                <w:webHidden/>
              </w:rPr>
              <w:fldChar w:fldCharType="begin"/>
            </w:r>
            <w:r w:rsidRPr="004C78D8">
              <w:rPr>
                <w:noProof/>
                <w:webHidden/>
              </w:rPr>
              <w:instrText xml:space="preserve"> PAGEREF _Toc111630767 \h </w:instrText>
            </w:r>
            <w:r w:rsidRPr="004C78D8">
              <w:rPr>
                <w:noProof/>
                <w:webHidden/>
              </w:rPr>
            </w:r>
            <w:r w:rsidRPr="004C78D8">
              <w:rPr>
                <w:noProof/>
                <w:webHidden/>
              </w:rPr>
              <w:fldChar w:fldCharType="separate"/>
            </w:r>
            <w:r w:rsidRPr="004C78D8">
              <w:rPr>
                <w:noProof/>
                <w:webHidden/>
              </w:rPr>
              <w:t>111</w:t>
            </w:r>
            <w:r w:rsidRPr="004C78D8">
              <w:rPr>
                <w:noProof/>
                <w:webHidden/>
              </w:rPr>
              <w:fldChar w:fldCharType="end"/>
            </w:r>
          </w:hyperlink>
        </w:p>
        <w:p w14:paraId="2A904680" w14:textId="1ADFF174" w:rsidR="00E151CE" w:rsidRPr="004C78D8" w:rsidRDefault="00E151CE" w:rsidP="00FB7C1F">
          <w:pPr>
            <w:pStyle w:val="TOC3"/>
            <w:tabs>
              <w:tab w:val="right" w:leader="dot" w:pos="9016"/>
            </w:tabs>
            <w:rPr>
              <w:rFonts w:asciiTheme="minorHAnsi" w:hAnsiTheme="minorHAnsi"/>
              <w:noProof/>
            </w:rPr>
          </w:pPr>
          <w:hyperlink w:anchor="_Toc111630768" w:history="1">
            <w:r w:rsidRPr="004C78D8">
              <w:rPr>
                <w:rStyle w:val="Hyperlink"/>
                <w:noProof/>
              </w:rPr>
              <w:t>4.7.3 Key methodological limitations of previous models</w:t>
            </w:r>
            <w:r w:rsidRPr="004C78D8">
              <w:rPr>
                <w:noProof/>
                <w:webHidden/>
              </w:rPr>
              <w:tab/>
            </w:r>
            <w:r w:rsidRPr="004C78D8">
              <w:rPr>
                <w:noProof/>
                <w:webHidden/>
              </w:rPr>
              <w:fldChar w:fldCharType="begin"/>
            </w:r>
            <w:r w:rsidRPr="004C78D8">
              <w:rPr>
                <w:noProof/>
                <w:webHidden/>
              </w:rPr>
              <w:instrText xml:space="preserve"> PAGEREF _Toc111630768 \h </w:instrText>
            </w:r>
            <w:r w:rsidRPr="004C78D8">
              <w:rPr>
                <w:noProof/>
                <w:webHidden/>
              </w:rPr>
            </w:r>
            <w:r w:rsidRPr="004C78D8">
              <w:rPr>
                <w:noProof/>
                <w:webHidden/>
              </w:rPr>
              <w:fldChar w:fldCharType="separate"/>
            </w:r>
            <w:r w:rsidRPr="004C78D8">
              <w:rPr>
                <w:noProof/>
                <w:webHidden/>
              </w:rPr>
              <w:t>112</w:t>
            </w:r>
            <w:r w:rsidRPr="004C78D8">
              <w:rPr>
                <w:noProof/>
                <w:webHidden/>
              </w:rPr>
              <w:fldChar w:fldCharType="end"/>
            </w:r>
          </w:hyperlink>
        </w:p>
        <w:p w14:paraId="7BED5C30" w14:textId="54296045" w:rsidR="00E151CE" w:rsidRPr="004C78D8" w:rsidRDefault="00E151CE" w:rsidP="00FB7C1F">
          <w:pPr>
            <w:pStyle w:val="TOC3"/>
            <w:tabs>
              <w:tab w:val="right" w:leader="dot" w:pos="9016"/>
            </w:tabs>
            <w:rPr>
              <w:rFonts w:asciiTheme="minorHAnsi" w:hAnsiTheme="minorHAnsi"/>
              <w:noProof/>
            </w:rPr>
          </w:pPr>
          <w:hyperlink w:anchor="_Toc111630769" w:history="1">
            <w:r w:rsidRPr="004C78D8">
              <w:rPr>
                <w:rStyle w:val="Hyperlink"/>
                <w:noProof/>
              </w:rPr>
              <w:t>4.7.4 Strengths and limitations of systematic review</w:t>
            </w:r>
            <w:r w:rsidRPr="004C78D8">
              <w:rPr>
                <w:noProof/>
                <w:webHidden/>
              </w:rPr>
              <w:tab/>
            </w:r>
            <w:r w:rsidRPr="004C78D8">
              <w:rPr>
                <w:noProof/>
                <w:webHidden/>
              </w:rPr>
              <w:fldChar w:fldCharType="begin"/>
            </w:r>
            <w:r w:rsidRPr="004C78D8">
              <w:rPr>
                <w:noProof/>
                <w:webHidden/>
              </w:rPr>
              <w:instrText xml:space="preserve"> PAGEREF _Toc111630769 \h </w:instrText>
            </w:r>
            <w:r w:rsidRPr="004C78D8">
              <w:rPr>
                <w:noProof/>
                <w:webHidden/>
              </w:rPr>
            </w:r>
            <w:r w:rsidRPr="004C78D8">
              <w:rPr>
                <w:noProof/>
                <w:webHidden/>
              </w:rPr>
              <w:fldChar w:fldCharType="separate"/>
            </w:r>
            <w:r w:rsidRPr="004C78D8">
              <w:rPr>
                <w:noProof/>
                <w:webHidden/>
              </w:rPr>
              <w:t>113</w:t>
            </w:r>
            <w:r w:rsidRPr="004C78D8">
              <w:rPr>
                <w:noProof/>
                <w:webHidden/>
              </w:rPr>
              <w:fldChar w:fldCharType="end"/>
            </w:r>
          </w:hyperlink>
        </w:p>
        <w:p w14:paraId="5BF68669" w14:textId="6CC26125" w:rsidR="00E151CE" w:rsidRPr="004C78D8" w:rsidRDefault="00E151CE" w:rsidP="00FB7C1F">
          <w:pPr>
            <w:pStyle w:val="TOC2"/>
            <w:tabs>
              <w:tab w:val="right" w:leader="dot" w:pos="9016"/>
            </w:tabs>
            <w:rPr>
              <w:rFonts w:asciiTheme="minorHAnsi" w:hAnsiTheme="minorHAnsi"/>
              <w:noProof/>
            </w:rPr>
          </w:pPr>
          <w:hyperlink w:anchor="_Toc111630770" w:history="1">
            <w:r w:rsidRPr="004C78D8">
              <w:rPr>
                <w:rStyle w:val="Hyperlink"/>
                <w:noProof/>
              </w:rPr>
              <w:t>4.8 Chapter summary</w:t>
            </w:r>
            <w:r w:rsidRPr="004C78D8">
              <w:rPr>
                <w:noProof/>
                <w:webHidden/>
              </w:rPr>
              <w:tab/>
            </w:r>
            <w:r w:rsidRPr="004C78D8">
              <w:rPr>
                <w:noProof/>
                <w:webHidden/>
              </w:rPr>
              <w:fldChar w:fldCharType="begin"/>
            </w:r>
            <w:r w:rsidRPr="004C78D8">
              <w:rPr>
                <w:noProof/>
                <w:webHidden/>
              </w:rPr>
              <w:instrText xml:space="preserve"> PAGEREF _Toc111630770 \h </w:instrText>
            </w:r>
            <w:r w:rsidRPr="004C78D8">
              <w:rPr>
                <w:noProof/>
                <w:webHidden/>
              </w:rPr>
            </w:r>
            <w:r w:rsidRPr="004C78D8">
              <w:rPr>
                <w:noProof/>
                <w:webHidden/>
              </w:rPr>
              <w:fldChar w:fldCharType="separate"/>
            </w:r>
            <w:r w:rsidRPr="004C78D8">
              <w:rPr>
                <w:noProof/>
                <w:webHidden/>
              </w:rPr>
              <w:t>113</w:t>
            </w:r>
            <w:r w:rsidRPr="004C78D8">
              <w:rPr>
                <w:noProof/>
                <w:webHidden/>
              </w:rPr>
              <w:fldChar w:fldCharType="end"/>
            </w:r>
          </w:hyperlink>
        </w:p>
        <w:p w14:paraId="1B8F566B" w14:textId="0250C7A1" w:rsidR="00E151CE" w:rsidRPr="004C78D8" w:rsidRDefault="00E151CE" w:rsidP="00FB7C1F">
          <w:pPr>
            <w:pStyle w:val="TOC1"/>
            <w:rPr>
              <w:rFonts w:asciiTheme="minorHAnsi" w:hAnsiTheme="minorHAnsi"/>
              <w:noProof/>
            </w:rPr>
          </w:pPr>
          <w:hyperlink w:anchor="_Toc111630771" w:history="1">
            <w:r w:rsidRPr="004C78D8">
              <w:rPr>
                <w:rStyle w:val="Hyperlink"/>
                <w:noProof/>
              </w:rPr>
              <w:t>Chapter 5. Falls Prevention Economic Model Development</w:t>
            </w:r>
            <w:r w:rsidRPr="004C78D8">
              <w:rPr>
                <w:noProof/>
                <w:webHidden/>
              </w:rPr>
              <w:tab/>
            </w:r>
            <w:r w:rsidRPr="004C78D8">
              <w:rPr>
                <w:noProof/>
                <w:webHidden/>
              </w:rPr>
              <w:fldChar w:fldCharType="begin"/>
            </w:r>
            <w:r w:rsidRPr="004C78D8">
              <w:rPr>
                <w:noProof/>
                <w:webHidden/>
              </w:rPr>
              <w:instrText xml:space="preserve"> PAGEREF _Toc111630771 \h </w:instrText>
            </w:r>
            <w:r w:rsidRPr="004C78D8">
              <w:rPr>
                <w:noProof/>
                <w:webHidden/>
              </w:rPr>
            </w:r>
            <w:r w:rsidRPr="004C78D8">
              <w:rPr>
                <w:noProof/>
                <w:webHidden/>
              </w:rPr>
              <w:fldChar w:fldCharType="separate"/>
            </w:r>
            <w:r w:rsidRPr="004C78D8">
              <w:rPr>
                <w:noProof/>
                <w:webHidden/>
              </w:rPr>
              <w:t>114</w:t>
            </w:r>
            <w:r w:rsidRPr="004C78D8">
              <w:rPr>
                <w:noProof/>
                <w:webHidden/>
              </w:rPr>
              <w:fldChar w:fldCharType="end"/>
            </w:r>
          </w:hyperlink>
        </w:p>
        <w:p w14:paraId="64F30C67" w14:textId="781EABAF" w:rsidR="00E151CE" w:rsidRPr="004C78D8" w:rsidRDefault="00E151CE" w:rsidP="00FB7C1F">
          <w:pPr>
            <w:pStyle w:val="TOC2"/>
            <w:tabs>
              <w:tab w:val="right" w:leader="dot" w:pos="9016"/>
            </w:tabs>
            <w:rPr>
              <w:rFonts w:asciiTheme="minorHAnsi" w:hAnsiTheme="minorHAnsi"/>
              <w:noProof/>
            </w:rPr>
          </w:pPr>
          <w:hyperlink w:anchor="_Toc111630772" w:history="1">
            <w:r w:rsidRPr="004C78D8">
              <w:rPr>
                <w:rStyle w:val="Hyperlink"/>
                <w:noProof/>
              </w:rPr>
              <w:t>5.1 Chapter outline</w:t>
            </w:r>
            <w:r w:rsidRPr="004C78D8">
              <w:rPr>
                <w:noProof/>
                <w:webHidden/>
              </w:rPr>
              <w:tab/>
            </w:r>
            <w:r w:rsidRPr="004C78D8">
              <w:rPr>
                <w:noProof/>
                <w:webHidden/>
              </w:rPr>
              <w:fldChar w:fldCharType="begin"/>
            </w:r>
            <w:r w:rsidRPr="004C78D8">
              <w:rPr>
                <w:noProof/>
                <w:webHidden/>
              </w:rPr>
              <w:instrText xml:space="preserve"> PAGEREF _Toc111630772 \h </w:instrText>
            </w:r>
            <w:r w:rsidRPr="004C78D8">
              <w:rPr>
                <w:noProof/>
                <w:webHidden/>
              </w:rPr>
            </w:r>
            <w:r w:rsidRPr="004C78D8">
              <w:rPr>
                <w:noProof/>
                <w:webHidden/>
              </w:rPr>
              <w:fldChar w:fldCharType="separate"/>
            </w:r>
            <w:r w:rsidRPr="004C78D8">
              <w:rPr>
                <w:noProof/>
                <w:webHidden/>
              </w:rPr>
              <w:t>114</w:t>
            </w:r>
            <w:r w:rsidRPr="004C78D8">
              <w:rPr>
                <w:noProof/>
                <w:webHidden/>
              </w:rPr>
              <w:fldChar w:fldCharType="end"/>
            </w:r>
          </w:hyperlink>
        </w:p>
        <w:p w14:paraId="5B2FBAD6" w14:textId="5292B188" w:rsidR="00E151CE" w:rsidRPr="004C78D8" w:rsidRDefault="00E151CE" w:rsidP="00FB7C1F">
          <w:pPr>
            <w:pStyle w:val="TOC2"/>
            <w:tabs>
              <w:tab w:val="right" w:leader="dot" w:pos="9016"/>
            </w:tabs>
            <w:rPr>
              <w:rFonts w:asciiTheme="minorHAnsi" w:hAnsiTheme="minorHAnsi"/>
              <w:noProof/>
            </w:rPr>
          </w:pPr>
          <w:hyperlink w:anchor="_Toc111630773" w:history="1">
            <w:r w:rsidRPr="004C78D8">
              <w:rPr>
                <w:rStyle w:val="Hyperlink"/>
                <w:noProof/>
              </w:rPr>
              <w:t>5.2 Model development</w:t>
            </w:r>
            <w:r w:rsidRPr="004C78D8">
              <w:rPr>
                <w:noProof/>
                <w:webHidden/>
              </w:rPr>
              <w:tab/>
            </w:r>
            <w:r w:rsidRPr="004C78D8">
              <w:rPr>
                <w:noProof/>
                <w:webHidden/>
              </w:rPr>
              <w:fldChar w:fldCharType="begin"/>
            </w:r>
            <w:r w:rsidRPr="004C78D8">
              <w:rPr>
                <w:noProof/>
                <w:webHidden/>
              </w:rPr>
              <w:instrText xml:space="preserve"> PAGEREF _Toc111630773 \h </w:instrText>
            </w:r>
            <w:r w:rsidRPr="004C78D8">
              <w:rPr>
                <w:noProof/>
                <w:webHidden/>
              </w:rPr>
            </w:r>
            <w:r w:rsidRPr="004C78D8">
              <w:rPr>
                <w:noProof/>
                <w:webHidden/>
              </w:rPr>
              <w:fldChar w:fldCharType="separate"/>
            </w:r>
            <w:r w:rsidRPr="004C78D8">
              <w:rPr>
                <w:noProof/>
                <w:webHidden/>
              </w:rPr>
              <w:t>114</w:t>
            </w:r>
            <w:r w:rsidRPr="004C78D8">
              <w:rPr>
                <w:noProof/>
                <w:webHidden/>
              </w:rPr>
              <w:fldChar w:fldCharType="end"/>
            </w:r>
          </w:hyperlink>
        </w:p>
        <w:p w14:paraId="511F8167" w14:textId="6721A251" w:rsidR="00E151CE" w:rsidRPr="004C78D8" w:rsidRDefault="00E151CE" w:rsidP="00FB7C1F">
          <w:pPr>
            <w:pStyle w:val="TOC3"/>
            <w:tabs>
              <w:tab w:val="right" w:leader="dot" w:pos="9016"/>
            </w:tabs>
            <w:rPr>
              <w:rFonts w:asciiTheme="minorHAnsi" w:hAnsiTheme="minorHAnsi"/>
              <w:noProof/>
            </w:rPr>
          </w:pPr>
          <w:hyperlink w:anchor="_Toc111630774" w:history="1">
            <w:r w:rsidRPr="004C78D8">
              <w:rPr>
                <w:rStyle w:val="Hyperlink"/>
                <w:noProof/>
              </w:rPr>
              <w:t>5.2.1 Evaluation and model overview</w:t>
            </w:r>
            <w:r w:rsidRPr="004C78D8">
              <w:rPr>
                <w:noProof/>
                <w:webHidden/>
              </w:rPr>
              <w:tab/>
            </w:r>
            <w:r w:rsidRPr="004C78D8">
              <w:rPr>
                <w:noProof/>
                <w:webHidden/>
              </w:rPr>
              <w:fldChar w:fldCharType="begin"/>
            </w:r>
            <w:r w:rsidRPr="004C78D8">
              <w:rPr>
                <w:noProof/>
                <w:webHidden/>
              </w:rPr>
              <w:instrText xml:space="preserve"> PAGEREF _Toc111630774 \h </w:instrText>
            </w:r>
            <w:r w:rsidRPr="004C78D8">
              <w:rPr>
                <w:noProof/>
                <w:webHidden/>
              </w:rPr>
            </w:r>
            <w:r w:rsidRPr="004C78D8">
              <w:rPr>
                <w:noProof/>
                <w:webHidden/>
              </w:rPr>
              <w:fldChar w:fldCharType="separate"/>
            </w:r>
            <w:r w:rsidRPr="004C78D8">
              <w:rPr>
                <w:noProof/>
                <w:webHidden/>
              </w:rPr>
              <w:t>114</w:t>
            </w:r>
            <w:r w:rsidRPr="004C78D8">
              <w:rPr>
                <w:noProof/>
                <w:webHidden/>
              </w:rPr>
              <w:fldChar w:fldCharType="end"/>
            </w:r>
          </w:hyperlink>
        </w:p>
        <w:p w14:paraId="40B42835" w14:textId="274DCC29" w:rsidR="00E151CE" w:rsidRPr="004C78D8" w:rsidRDefault="00E151CE" w:rsidP="00FB7C1F">
          <w:pPr>
            <w:pStyle w:val="TOC3"/>
            <w:tabs>
              <w:tab w:val="right" w:leader="dot" w:pos="9016"/>
            </w:tabs>
            <w:rPr>
              <w:rFonts w:asciiTheme="minorHAnsi" w:hAnsiTheme="minorHAnsi"/>
              <w:noProof/>
            </w:rPr>
          </w:pPr>
          <w:hyperlink w:anchor="_Toc111630775" w:history="1">
            <w:r w:rsidRPr="004C78D8">
              <w:rPr>
                <w:rStyle w:val="Hyperlink"/>
                <w:noProof/>
              </w:rPr>
              <w:t>5.2.2 Baseline characteristics</w:t>
            </w:r>
            <w:r w:rsidRPr="004C78D8">
              <w:rPr>
                <w:noProof/>
                <w:webHidden/>
              </w:rPr>
              <w:tab/>
            </w:r>
            <w:r w:rsidRPr="004C78D8">
              <w:rPr>
                <w:noProof/>
                <w:webHidden/>
              </w:rPr>
              <w:fldChar w:fldCharType="begin"/>
            </w:r>
            <w:r w:rsidRPr="004C78D8">
              <w:rPr>
                <w:noProof/>
                <w:webHidden/>
              </w:rPr>
              <w:instrText xml:space="preserve"> PAGEREF _Toc111630775 \h </w:instrText>
            </w:r>
            <w:r w:rsidRPr="004C78D8">
              <w:rPr>
                <w:noProof/>
                <w:webHidden/>
              </w:rPr>
            </w:r>
            <w:r w:rsidRPr="004C78D8">
              <w:rPr>
                <w:noProof/>
                <w:webHidden/>
              </w:rPr>
              <w:fldChar w:fldCharType="separate"/>
            </w:r>
            <w:r w:rsidRPr="004C78D8">
              <w:rPr>
                <w:noProof/>
                <w:webHidden/>
              </w:rPr>
              <w:t>121</w:t>
            </w:r>
            <w:r w:rsidRPr="004C78D8">
              <w:rPr>
                <w:noProof/>
                <w:webHidden/>
              </w:rPr>
              <w:fldChar w:fldCharType="end"/>
            </w:r>
          </w:hyperlink>
        </w:p>
        <w:p w14:paraId="5A774049" w14:textId="64A943F8" w:rsidR="00E151CE" w:rsidRPr="004C78D8" w:rsidRDefault="00E151CE" w:rsidP="00FB7C1F">
          <w:pPr>
            <w:pStyle w:val="TOC3"/>
            <w:tabs>
              <w:tab w:val="right" w:leader="dot" w:pos="9016"/>
            </w:tabs>
            <w:rPr>
              <w:rFonts w:asciiTheme="minorHAnsi" w:hAnsiTheme="minorHAnsi"/>
              <w:noProof/>
            </w:rPr>
          </w:pPr>
          <w:hyperlink w:anchor="_Toc111630776" w:history="1">
            <w:r w:rsidRPr="004C78D8">
              <w:rPr>
                <w:rStyle w:val="Hyperlink"/>
                <w:noProof/>
              </w:rPr>
              <w:t>5.2.3 Outcomes estimated at baseline</w:t>
            </w:r>
            <w:r w:rsidRPr="004C78D8">
              <w:rPr>
                <w:noProof/>
                <w:webHidden/>
              </w:rPr>
              <w:tab/>
            </w:r>
            <w:r w:rsidRPr="004C78D8">
              <w:rPr>
                <w:noProof/>
                <w:webHidden/>
              </w:rPr>
              <w:fldChar w:fldCharType="begin"/>
            </w:r>
            <w:r w:rsidRPr="004C78D8">
              <w:rPr>
                <w:noProof/>
                <w:webHidden/>
              </w:rPr>
              <w:instrText xml:space="preserve"> PAGEREF _Toc111630776 \h </w:instrText>
            </w:r>
            <w:r w:rsidRPr="004C78D8">
              <w:rPr>
                <w:noProof/>
                <w:webHidden/>
              </w:rPr>
            </w:r>
            <w:r w:rsidRPr="004C78D8">
              <w:rPr>
                <w:noProof/>
                <w:webHidden/>
              </w:rPr>
              <w:fldChar w:fldCharType="separate"/>
            </w:r>
            <w:r w:rsidRPr="004C78D8">
              <w:rPr>
                <w:noProof/>
                <w:webHidden/>
              </w:rPr>
              <w:t>131</w:t>
            </w:r>
            <w:r w:rsidRPr="004C78D8">
              <w:rPr>
                <w:noProof/>
                <w:webHidden/>
              </w:rPr>
              <w:fldChar w:fldCharType="end"/>
            </w:r>
          </w:hyperlink>
        </w:p>
        <w:p w14:paraId="2BEA11DA" w14:textId="2E262C87" w:rsidR="00E151CE" w:rsidRPr="004C78D8" w:rsidRDefault="00E151CE" w:rsidP="00FB7C1F">
          <w:pPr>
            <w:pStyle w:val="TOC3"/>
            <w:tabs>
              <w:tab w:val="right" w:leader="dot" w:pos="9016"/>
            </w:tabs>
            <w:rPr>
              <w:rFonts w:asciiTheme="minorHAnsi" w:hAnsiTheme="minorHAnsi"/>
              <w:noProof/>
            </w:rPr>
          </w:pPr>
          <w:hyperlink w:anchor="_Toc111630777" w:history="1">
            <w:r w:rsidRPr="004C78D8">
              <w:rPr>
                <w:rStyle w:val="Hyperlink"/>
                <w:noProof/>
              </w:rPr>
              <w:t>5.2.4 Falls prevention strategy</w:t>
            </w:r>
            <w:r w:rsidRPr="004C78D8">
              <w:rPr>
                <w:noProof/>
                <w:webHidden/>
              </w:rPr>
              <w:tab/>
            </w:r>
            <w:r w:rsidRPr="004C78D8">
              <w:rPr>
                <w:noProof/>
                <w:webHidden/>
              </w:rPr>
              <w:fldChar w:fldCharType="begin"/>
            </w:r>
            <w:r w:rsidRPr="004C78D8">
              <w:rPr>
                <w:noProof/>
                <w:webHidden/>
              </w:rPr>
              <w:instrText xml:space="preserve"> PAGEREF _Toc111630777 \h </w:instrText>
            </w:r>
            <w:r w:rsidRPr="004C78D8">
              <w:rPr>
                <w:noProof/>
                <w:webHidden/>
              </w:rPr>
            </w:r>
            <w:r w:rsidRPr="004C78D8">
              <w:rPr>
                <w:noProof/>
                <w:webHidden/>
              </w:rPr>
              <w:fldChar w:fldCharType="separate"/>
            </w:r>
            <w:r w:rsidRPr="004C78D8">
              <w:rPr>
                <w:noProof/>
                <w:webHidden/>
              </w:rPr>
              <w:t>141</w:t>
            </w:r>
            <w:r w:rsidRPr="004C78D8">
              <w:rPr>
                <w:noProof/>
                <w:webHidden/>
              </w:rPr>
              <w:fldChar w:fldCharType="end"/>
            </w:r>
          </w:hyperlink>
        </w:p>
        <w:p w14:paraId="4DBBB029" w14:textId="0BD1C2EB" w:rsidR="00E151CE" w:rsidRPr="004C78D8" w:rsidRDefault="00E151CE" w:rsidP="00FB7C1F">
          <w:pPr>
            <w:pStyle w:val="TOC3"/>
            <w:tabs>
              <w:tab w:val="right" w:leader="dot" w:pos="9016"/>
            </w:tabs>
            <w:rPr>
              <w:rFonts w:asciiTheme="minorHAnsi" w:hAnsiTheme="minorHAnsi"/>
              <w:noProof/>
            </w:rPr>
          </w:pPr>
          <w:hyperlink w:anchor="_Toc111630778" w:history="1">
            <w:r w:rsidRPr="004C78D8">
              <w:rPr>
                <w:rStyle w:val="Hyperlink"/>
                <w:noProof/>
              </w:rPr>
              <w:t>5.2.5 Mortality risks and falls epidemiology</w:t>
            </w:r>
            <w:r w:rsidRPr="004C78D8">
              <w:rPr>
                <w:noProof/>
                <w:webHidden/>
              </w:rPr>
              <w:tab/>
            </w:r>
            <w:r w:rsidRPr="004C78D8">
              <w:rPr>
                <w:noProof/>
                <w:webHidden/>
              </w:rPr>
              <w:fldChar w:fldCharType="begin"/>
            </w:r>
            <w:r w:rsidRPr="004C78D8">
              <w:rPr>
                <w:noProof/>
                <w:webHidden/>
              </w:rPr>
              <w:instrText xml:space="preserve"> PAGEREF _Toc111630778 \h </w:instrText>
            </w:r>
            <w:r w:rsidRPr="004C78D8">
              <w:rPr>
                <w:noProof/>
                <w:webHidden/>
              </w:rPr>
            </w:r>
            <w:r w:rsidRPr="004C78D8">
              <w:rPr>
                <w:noProof/>
                <w:webHidden/>
              </w:rPr>
              <w:fldChar w:fldCharType="separate"/>
            </w:r>
            <w:r w:rsidRPr="004C78D8">
              <w:rPr>
                <w:noProof/>
                <w:webHidden/>
              </w:rPr>
              <w:t>161</w:t>
            </w:r>
            <w:r w:rsidRPr="004C78D8">
              <w:rPr>
                <w:noProof/>
                <w:webHidden/>
              </w:rPr>
              <w:fldChar w:fldCharType="end"/>
            </w:r>
          </w:hyperlink>
        </w:p>
        <w:p w14:paraId="3461F82D" w14:textId="126D1FCA" w:rsidR="00E151CE" w:rsidRPr="004C78D8" w:rsidRDefault="00E151CE" w:rsidP="00FB7C1F">
          <w:pPr>
            <w:pStyle w:val="TOC3"/>
            <w:tabs>
              <w:tab w:val="right" w:leader="dot" w:pos="9016"/>
            </w:tabs>
            <w:rPr>
              <w:rFonts w:asciiTheme="minorHAnsi" w:hAnsiTheme="minorHAnsi"/>
              <w:noProof/>
            </w:rPr>
          </w:pPr>
          <w:hyperlink w:anchor="_Toc111630779" w:history="1">
            <w:r w:rsidRPr="004C78D8">
              <w:rPr>
                <w:rStyle w:val="Hyperlink"/>
                <w:noProof/>
              </w:rPr>
              <w:t>5.2.6 Dynamic transitions</w:t>
            </w:r>
            <w:r w:rsidRPr="004C78D8">
              <w:rPr>
                <w:noProof/>
                <w:webHidden/>
              </w:rPr>
              <w:tab/>
            </w:r>
            <w:r w:rsidRPr="004C78D8">
              <w:rPr>
                <w:noProof/>
                <w:webHidden/>
              </w:rPr>
              <w:fldChar w:fldCharType="begin"/>
            </w:r>
            <w:r w:rsidRPr="004C78D8">
              <w:rPr>
                <w:noProof/>
                <w:webHidden/>
              </w:rPr>
              <w:instrText xml:space="preserve"> PAGEREF _Toc111630779 \h </w:instrText>
            </w:r>
            <w:r w:rsidRPr="004C78D8">
              <w:rPr>
                <w:noProof/>
                <w:webHidden/>
              </w:rPr>
            </w:r>
            <w:r w:rsidRPr="004C78D8">
              <w:rPr>
                <w:noProof/>
                <w:webHidden/>
              </w:rPr>
              <w:fldChar w:fldCharType="separate"/>
            </w:r>
            <w:r w:rsidRPr="004C78D8">
              <w:rPr>
                <w:noProof/>
                <w:webHidden/>
              </w:rPr>
              <w:t>168</w:t>
            </w:r>
            <w:r w:rsidRPr="004C78D8">
              <w:rPr>
                <w:noProof/>
                <w:webHidden/>
              </w:rPr>
              <w:fldChar w:fldCharType="end"/>
            </w:r>
          </w:hyperlink>
        </w:p>
        <w:p w14:paraId="2D7AA3AD" w14:textId="24772DC4" w:rsidR="00E151CE" w:rsidRPr="004C78D8" w:rsidRDefault="00E151CE" w:rsidP="00FB7C1F">
          <w:pPr>
            <w:pStyle w:val="TOC2"/>
            <w:tabs>
              <w:tab w:val="right" w:leader="dot" w:pos="9016"/>
            </w:tabs>
            <w:rPr>
              <w:rFonts w:asciiTheme="minorHAnsi" w:hAnsiTheme="minorHAnsi"/>
              <w:noProof/>
            </w:rPr>
          </w:pPr>
          <w:hyperlink w:anchor="_Toc111630780" w:history="1">
            <w:r w:rsidRPr="004C78D8">
              <w:rPr>
                <w:rStyle w:val="Hyperlink"/>
                <w:noProof/>
              </w:rPr>
              <w:t>5.3 Model validation</w:t>
            </w:r>
            <w:r w:rsidRPr="004C78D8">
              <w:rPr>
                <w:noProof/>
                <w:webHidden/>
              </w:rPr>
              <w:tab/>
            </w:r>
            <w:r w:rsidRPr="004C78D8">
              <w:rPr>
                <w:noProof/>
                <w:webHidden/>
              </w:rPr>
              <w:fldChar w:fldCharType="begin"/>
            </w:r>
            <w:r w:rsidRPr="004C78D8">
              <w:rPr>
                <w:noProof/>
                <w:webHidden/>
              </w:rPr>
              <w:instrText xml:space="preserve"> PAGEREF _Toc111630780 \h </w:instrText>
            </w:r>
            <w:r w:rsidRPr="004C78D8">
              <w:rPr>
                <w:noProof/>
                <w:webHidden/>
              </w:rPr>
            </w:r>
            <w:r w:rsidRPr="004C78D8">
              <w:rPr>
                <w:noProof/>
                <w:webHidden/>
              </w:rPr>
              <w:fldChar w:fldCharType="separate"/>
            </w:r>
            <w:r w:rsidRPr="004C78D8">
              <w:rPr>
                <w:noProof/>
                <w:webHidden/>
              </w:rPr>
              <w:t>174</w:t>
            </w:r>
            <w:r w:rsidRPr="004C78D8">
              <w:rPr>
                <w:noProof/>
                <w:webHidden/>
              </w:rPr>
              <w:fldChar w:fldCharType="end"/>
            </w:r>
          </w:hyperlink>
        </w:p>
        <w:p w14:paraId="54E5E8B5" w14:textId="62F32328" w:rsidR="00E151CE" w:rsidRPr="004C78D8" w:rsidRDefault="00E151CE" w:rsidP="00FB7C1F">
          <w:pPr>
            <w:pStyle w:val="TOC3"/>
            <w:tabs>
              <w:tab w:val="right" w:leader="dot" w:pos="9016"/>
            </w:tabs>
            <w:rPr>
              <w:rFonts w:asciiTheme="minorHAnsi" w:hAnsiTheme="minorHAnsi"/>
              <w:noProof/>
            </w:rPr>
          </w:pPr>
          <w:hyperlink w:anchor="_Toc111630781" w:history="1">
            <w:r w:rsidRPr="004C78D8">
              <w:rPr>
                <w:rStyle w:val="Hyperlink"/>
                <w:noProof/>
              </w:rPr>
              <w:t>5.3.1 Face validity</w:t>
            </w:r>
            <w:r w:rsidRPr="004C78D8">
              <w:rPr>
                <w:noProof/>
                <w:webHidden/>
              </w:rPr>
              <w:tab/>
            </w:r>
            <w:r w:rsidRPr="004C78D8">
              <w:rPr>
                <w:noProof/>
                <w:webHidden/>
              </w:rPr>
              <w:fldChar w:fldCharType="begin"/>
            </w:r>
            <w:r w:rsidRPr="004C78D8">
              <w:rPr>
                <w:noProof/>
                <w:webHidden/>
              </w:rPr>
              <w:instrText xml:space="preserve"> PAGEREF _Toc111630781 \h </w:instrText>
            </w:r>
            <w:r w:rsidRPr="004C78D8">
              <w:rPr>
                <w:noProof/>
                <w:webHidden/>
              </w:rPr>
            </w:r>
            <w:r w:rsidRPr="004C78D8">
              <w:rPr>
                <w:noProof/>
                <w:webHidden/>
              </w:rPr>
              <w:fldChar w:fldCharType="separate"/>
            </w:r>
            <w:r w:rsidRPr="004C78D8">
              <w:rPr>
                <w:noProof/>
                <w:webHidden/>
              </w:rPr>
              <w:t>174</w:t>
            </w:r>
            <w:r w:rsidRPr="004C78D8">
              <w:rPr>
                <w:noProof/>
                <w:webHidden/>
              </w:rPr>
              <w:fldChar w:fldCharType="end"/>
            </w:r>
          </w:hyperlink>
        </w:p>
        <w:p w14:paraId="131D3ED3" w14:textId="2AB9CD57" w:rsidR="00E151CE" w:rsidRPr="004C78D8" w:rsidRDefault="00E151CE" w:rsidP="00FB7C1F">
          <w:pPr>
            <w:pStyle w:val="TOC3"/>
            <w:tabs>
              <w:tab w:val="right" w:leader="dot" w:pos="9016"/>
            </w:tabs>
            <w:rPr>
              <w:rFonts w:asciiTheme="minorHAnsi" w:hAnsiTheme="minorHAnsi"/>
              <w:noProof/>
            </w:rPr>
          </w:pPr>
          <w:hyperlink w:anchor="_Toc111630782" w:history="1">
            <w:r w:rsidRPr="004C78D8">
              <w:rPr>
                <w:rStyle w:val="Hyperlink"/>
                <w:noProof/>
              </w:rPr>
              <w:t>5.3.2 Internal validity</w:t>
            </w:r>
            <w:r w:rsidRPr="004C78D8">
              <w:rPr>
                <w:noProof/>
                <w:webHidden/>
              </w:rPr>
              <w:tab/>
            </w:r>
            <w:r w:rsidRPr="004C78D8">
              <w:rPr>
                <w:noProof/>
                <w:webHidden/>
              </w:rPr>
              <w:fldChar w:fldCharType="begin"/>
            </w:r>
            <w:r w:rsidRPr="004C78D8">
              <w:rPr>
                <w:noProof/>
                <w:webHidden/>
              </w:rPr>
              <w:instrText xml:space="preserve"> PAGEREF _Toc111630782 \h </w:instrText>
            </w:r>
            <w:r w:rsidRPr="004C78D8">
              <w:rPr>
                <w:noProof/>
                <w:webHidden/>
              </w:rPr>
            </w:r>
            <w:r w:rsidRPr="004C78D8">
              <w:rPr>
                <w:noProof/>
                <w:webHidden/>
              </w:rPr>
              <w:fldChar w:fldCharType="separate"/>
            </w:r>
            <w:r w:rsidRPr="004C78D8">
              <w:rPr>
                <w:noProof/>
                <w:webHidden/>
              </w:rPr>
              <w:t>175</w:t>
            </w:r>
            <w:r w:rsidRPr="004C78D8">
              <w:rPr>
                <w:noProof/>
                <w:webHidden/>
              </w:rPr>
              <w:fldChar w:fldCharType="end"/>
            </w:r>
          </w:hyperlink>
        </w:p>
        <w:p w14:paraId="63FFDAAC" w14:textId="5626C13A" w:rsidR="00E151CE" w:rsidRPr="004C78D8" w:rsidRDefault="00E151CE" w:rsidP="00FB7C1F">
          <w:pPr>
            <w:pStyle w:val="TOC3"/>
            <w:tabs>
              <w:tab w:val="right" w:leader="dot" w:pos="9016"/>
            </w:tabs>
            <w:rPr>
              <w:rFonts w:asciiTheme="minorHAnsi" w:hAnsiTheme="minorHAnsi"/>
              <w:noProof/>
            </w:rPr>
          </w:pPr>
          <w:hyperlink w:anchor="_Toc111630783" w:history="1">
            <w:r w:rsidRPr="004C78D8">
              <w:rPr>
                <w:rStyle w:val="Hyperlink"/>
                <w:noProof/>
              </w:rPr>
              <w:t>5.3.3 External validity</w:t>
            </w:r>
            <w:r w:rsidRPr="004C78D8">
              <w:rPr>
                <w:noProof/>
                <w:webHidden/>
              </w:rPr>
              <w:tab/>
            </w:r>
            <w:r w:rsidRPr="004C78D8">
              <w:rPr>
                <w:noProof/>
                <w:webHidden/>
              </w:rPr>
              <w:fldChar w:fldCharType="begin"/>
            </w:r>
            <w:r w:rsidRPr="004C78D8">
              <w:rPr>
                <w:noProof/>
                <w:webHidden/>
              </w:rPr>
              <w:instrText xml:space="preserve"> PAGEREF _Toc111630783 \h </w:instrText>
            </w:r>
            <w:r w:rsidRPr="004C78D8">
              <w:rPr>
                <w:noProof/>
                <w:webHidden/>
              </w:rPr>
            </w:r>
            <w:r w:rsidRPr="004C78D8">
              <w:rPr>
                <w:noProof/>
                <w:webHidden/>
              </w:rPr>
              <w:fldChar w:fldCharType="separate"/>
            </w:r>
            <w:r w:rsidRPr="004C78D8">
              <w:rPr>
                <w:noProof/>
                <w:webHidden/>
              </w:rPr>
              <w:t>175</w:t>
            </w:r>
            <w:r w:rsidRPr="004C78D8">
              <w:rPr>
                <w:noProof/>
                <w:webHidden/>
              </w:rPr>
              <w:fldChar w:fldCharType="end"/>
            </w:r>
          </w:hyperlink>
        </w:p>
        <w:p w14:paraId="6974F743" w14:textId="5E4AF30D" w:rsidR="00E151CE" w:rsidRPr="004C78D8" w:rsidRDefault="00E151CE" w:rsidP="00FB7C1F">
          <w:pPr>
            <w:pStyle w:val="TOC2"/>
            <w:tabs>
              <w:tab w:val="right" w:leader="dot" w:pos="9016"/>
            </w:tabs>
            <w:rPr>
              <w:rFonts w:asciiTheme="minorHAnsi" w:hAnsiTheme="minorHAnsi"/>
              <w:noProof/>
            </w:rPr>
          </w:pPr>
          <w:hyperlink w:anchor="_Toc111630784" w:history="1">
            <w:r w:rsidRPr="004C78D8">
              <w:rPr>
                <w:rStyle w:val="Hyperlink"/>
                <w:noProof/>
              </w:rPr>
              <w:t>5.4 Model evaluation methods</w:t>
            </w:r>
            <w:r w:rsidRPr="004C78D8">
              <w:rPr>
                <w:noProof/>
                <w:webHidden/>
              </w:rPr>
              <w:tab/>
            </w:r>
            <w:r w:rsidRPr="004C78D8">
              <w:rPr>
                <w:noProof/>
                <w:webHidden/>
              </w:rPr>
              <w:fldChar w:fldCharType="begin"/>
            </w:r>
            <w:r w:rsidRPr="004C78D8">
              <w:rPr>
                <w:noProof/>
                <w:webHidden/>
              </w:rPr>
              <w:instrText xml:space="preserve"> PAGEREF _Toc111630784 \h </w:instrText>
            </w:r>
            <w:r w:rsidRPr="004C78D8">
              <w:rPr>
                <w:noProof/>
                <w:webHidden/>
              </w:rPr>
            </w:r>
            <w:r w:rsidRPr="004C78D8">
              <w:rPr>
                <w:noProof/>
                <w:webHidden/>
              </w:rPr>
              <w:fldChar w:fldCharType="separate"/>
            </w:r>
            <w:r w:rsidRPr="004C78D8">
              <w:rPr>
                <w:noProof/>
                <w:webHidden/>
              </w:rPr>
              <w:t>176</w:t>
            </w:r>
            <w:r w:rsidRPr="004C78D8">
              <w:rPr>
                <w:noProof/>
                <w:webHidden/>
              </w:rPr>
              <w:fldChar w:fldCharType="end"/>
            </w:r>
          </w:hyperlink>
        </w:p>
        <w:p w14:paraId="473EAC11" w14:textId="4F012FBB" w:rsidR="00E151CE" w:rsidRPr="004C78D8" w:rsidRDefault="00E151CE" w:rsidP="00FB7C1F">
          <w:pPr>
            <w:pStyle w:val="TOC3"/>
            <w:tabs>
              <w:tab w:val="right" w:leader="dot" w:pos="9016"/>
            </w:tabs>
            <w:rPr>
              <w:rFonts w:asciiTheme="minorHAnsi" w:hAnsiTheme="minorHAnsi"/>
              <w:noProof/>
            </w:rPr>
          </w:pPr>
          <w:hyperlink w:anchor="_Toc111630785" w:history="1">
            <w:r w:rsidRPr="004C78D8">
              <w:rPr>
                <w:rStyle w:val="Hyperlink"/>
                <w:noProof/>
              </w:rPr>
              <w:t>5.4.1 Base case comparison</w:t>
            </w:r>
            <w:r w:rsidRPr="004C78D8">
              <w:rPr>
                <w:noProof/>
                <w:webHidden/>
              </w:rPr>
              <w:tab/>
            </w:r>
            <w:r w:rsidRPr="004C78D8">
              <w:rPr>
                <w:noProof/>
                <w:webHidden/>
              </w:rPr>
              <w:fldChar w:fldCharType="begin"/>
            </w:r>
            <w:r w:rsidRPr="004C78D8">
              <w:rPr>
                <w:noProof/>
                <w:webHidden/>
              </w:rPr>
              <w:instrText xml:space="preserve"> PAGEREF _Toc111630785 \h </w:instrText>
            </w:r>
            <w:r w:rsidRPr="004C78D8">
              <w:rPr>
                <w:noProof/>
                <w:webHidden/>
              </w:rPr>
            </w:r>
            <w:r w:rsidRPr="004C78D8">
              <w:rPr>
                <w:noProof/>
                <w:webHidden/>
              </w:rPr>
              <w:fldChar w:fldCharType="separate"/>
            </w:r>
            <w:r w:rsidRPr="004C78D8">
              <w:rPr>
                <w:noProof/>
                <w:webHidden/>
              </w:rPr>
              <w:t>177</w:t>
            </w:r>
            <w:r w:rsidRPr="004C78D8">
              <w:rPr>
                <w:noProof/>
                <w:webHidden/>
              </w:rPr>
              <w:fldChar w:fldCharType="end"/>
            </w:r>
          </w:hyperlink>
        </w:p>
        <w:p w14:paraId="4A5BE323" w14:textId="7AC374C9" w:rsidR="00E151CE" w:rsidRPr="004C78D8" w:rsidRDefault="00E151CE" w:rsidP="00FB7C1F">
          <w:pPr>
            <w:pStyle w:val="TOC3"/>
            <w:tabs>
              <w:tab w:val="right" w:leader="dot" w:pos="9016"/>
            </w:tabs>
            <w:rPr>
              <w:rFonts w:asciiTheme="minorHAnsi" w:hAnsiTheme="minorHAnsi"/>
              <w:noProof/>
            </w:rPr>
          </w:pPr>
          <w:hyperlink w:anchor="_Toc111630786" w:history="1">
            <w:r w:rsidRPr="004C78D8">
              <w:rPr>
                <w:rStyle w:val="Hyperlink"/>
                <w:noProof/>
              </w:rPr>
              <w:t>5.4.2 Alternative falls prevention strategies and commissioning recommendations</w:t>
            </w:r>
            <w:r w:rsidRPr="004C78D8">
              <w:rPr>
                <w:noProof/>
                <w:webHidden/>
              </w:rPr>
              <w:tab/>
            </w:r>
            <w:r w:rsidRPr="004C78D8">
              <w:rPr>
                <w:noProof/>
                <w:webHidden/>
              </w:rPr>
              <w:fldChar w:fldCharType="begin"/>
            </w:r>
            <w:r w:rsidRPr="004C78D8">
              <w:rPr>
                <w:noProof/>
                <w:webHidden/>
              </w:rPr>
              <w:instrText xml:space="preserve"> PAGEREF _Toc111630786 \h </w:instrText>
            </w:r>
            <w:r w:rsidRPr="004C78D8">
              <w:rPr>
                <w:noProof/>
                <w:webHidden/>
              </w:rPr>
            </w:r>
            <w:r w:rsidRPr="004C78D8">
              <w:rPr>
                <w:noProof/>
                <w:webHidden/>
              </w:rPr>
              <w:fldChar w:fldCharType="separate"/>
            </w:r>
            <w:r w:rsidRPr="004C78D8">
              <w:rPr>
                <w:noProof/>
                <w:webHidden/>
              </w:rPr>
              <w:t>182</w:t>
            </w:r>
            <w:r w:rsidRPr="004C78D8">
              <w:rPr>
                <w:noProof/>
                <w:webHidden/>
              </w:rPr>
              <w:fldChar w:fldCharType="end"/>
            </w:r>
          </w:hyperlink>
        </w:p>
        <w:p w14:paraId="4225A32F" w14:textId="4BFD6EF1" w:rsidR="00E151CE" w:rsidRPr="004C78D8" w:rsidRDefault="00E151CE" w:rsidP="00FB7C1F">
          <w:pPr>
            <w:pStyle w:val="TOC2"/>
            <w:tabs>
              <w:tab w:val="right" w:leader="dot" w:pos="9016"/>
            </w:tabs>
            <w:rPr>
              <w:rFonts w:asciiTheme="minorHAnsi" w:hAnsiTheme="minorHAnsi"/>
              <w:noProof/>
            </w:rPr>
          </w:pPr>
          <w:hyperlink w:anchor="_Toc111630787" w:history="1">
            <w:r w:rsidRPr="004C78D8">
              <w:rPr>
                <w:rStyle w:val="Hyperlink"/>
                <w:noProof/>
              </w:rPr>
              <w:t>5.5 Chapter summary</w:t>
            </w:r>
            <w:r w:rsidRPr="004C78D8">
              <w:rPr>
                <w:noProof/>
                <w:webHidden/>
              </w:rPr>
              <w:tab/>
            </w:r>
            <w:r w:rsidRPr="004C78D8">
              <w:rPr>
                <w:noProof/>
                <w:webHidden/>
              </w:rPr>
              <w:fldChar w:fldCharType="begin"/>
            </w:r>
            <w:r w:rsidRPr="004C78D8">
              <w:rPr>
                <w:noProof/>
                <w:webHidden/>
              </w:rPr>
              <w:instrText xml:space="preserve"> PAGEREF _Toc111630787 \h </w:instrText>
            </w:r>
            <w:r w:rsidRPr="004C78D8">
              <w:rPr>
                <w:noProof/>
                <w:webHidden/>
              </w:rPr>
            </w:r>
            <w:r w:rsidRPr="004C78D8">
              <w:rPr>
                <w:noProof/>
                <w:webHidden/>
              </w:rPr>
              <w:fldChar w:fldCharType="separate"/>
            </w:r>
            <w:r w:rsidRPr="004C78D8">
              <w:rPr>
                <w:noProof/>
                <w:webHidden/>
              </w:rPr>
              <w:t>183</w:t>
            </w:r>
            <w:r w:rsidRPr="004C78D8">
              <w:rPr>
                <w:noProof/>
                <w:webHidden/>
              </w:rPr>
              <w:fldChar w:fldCharType="end"/>
            </w:r>
          </w:hyperlink>
        </w:p>
        <w:p w14:paraId="38F22A60" w14:textId="335E4168" w:rsidR="00E151CE" w:rsidRPr="004C78D8" w:rsidRDefault="00E151CE" w:rsidP="00FB7C1F">
          <w:pPr>
            <w:pStyle w:val="TOC1"/>
            <w:rPr>
              <w:rFonts w:asciiTheme="minorHAnsi" w:hAnsiTheme="minorHAnsi"/>
              <w:noProof/>
            </w:rPr>
          </w:pPr>
          <w:hyperlink w:anchor="_Toc111630788" w:history="1">
            <w:r w:rsidRPr="004C78D8">
              <w:rPr>
                <w:rStyle w:val="Hyperlink"/>
                <w:noProof/>
              </w:rPr>
              <w:t>Chapter 6. Falls Prevention Economic Model Results</w:t>
            </w:r>
            <w:r w:rsidRPr="004C78D8">
              <w:rPr>
                <w:noProof/>
                <w:webHidden/>
              </w:rPr>
              <w:tab/>
            </w:r>
            <w:r w:rsidRPr="004C78D8">
              <w:rPr>
                <w:noProof/>
                <w:webHidden/>
              </w:rPr>
              <w:fldChar w:fldCharType="begin"/>
            </w:r>
            <w:r w:rsidRPr="004C78D8">
              <w:rPr>
                <w:noProof/>
                <w:webHidden/>
              </w:rPr>
              <w:instrText xml:space="preserve"> PAGEREF _Toc111630788 \h </w:instrText>
            </w:r>
            <w:r w:rsidRPr="004C78D8">
              <w:rPr>
                <w:noProof/>
                <w:webHidden/>
              </w:rPr>
            </w:r>
            <w:r w:rsidRPr="004C78D8">
              <w:rPr>
                <w:noProof/>
                <w:webHidden/>
              </w:rPr>
              <w:fldChar w:fldCharType="separate"/>
            </w:r>
            <w:r w:rsidRPr="004C78D8">
              <w:rPr>
                <w:noProof/>
                <w:webHidden/>
              </w:rPr>
              <w:t>184</w:t>
            </w:r>
            <w:r w:rsidRPr="004C78D8">
              <w:rPr>
                <w:noProof/>
                <w:webHidden/>
              </w:rPr>
              <w:fldChar w:fldCharType="end"/>
            </w:r>
          </w:hyperlink>
        </w:p>
        <w:p w14:paraId="3D5078B8" w14:textId="01148413" w:rsidR="00E151CE" w:rsidRPr="004C78D8" w:rsidRDefault="00E151CE" w:rsidP="00FB7C1F">
          <w:pPr>
            <w:pStyle w:val="TOC2"/>
            <w:tabs>
              <w:tab w:val="right" w:leader="dot" w:pos="9016"/>
            </w:tabs>
            <w:rPr>
              <w:rFonts w:asciiTheme="minorHAnsi" w:hAnsiTheme="minorHAnsi"/>
              <w:noProof/>
            </w:rPr>
          </w:pPr>
          <w:hyperlink w:anchor="_Toc111630789" w:history="1">
            <w:r w:rsidRPr="004C78D8">
              <w:rPr>
                <w:rStyle w:val="Hyperlink"/>
                <w:noProof/>
              </w:rPr>
              <w:t>6.1 Chapter outline</w:t>
            </w:r>
            <w:r w:rsidRPr="004C78D8">
              <w:rPr>
                <w:noProof/>
                <w:webHidden/>
              </w:rPr>
              <w:tab/>
            </w:r>
            <w:r w:rsidRPr="004C78D8">
              <w:rPr>
                <w:noProof/>
                <w:webHidden/>
              </w:rPr>
              <w:fldChar w:fldCharType="begin"/>
            </w:r>
            <w:r w:rsidRPr="004C78D8">
              <w:rPr>
                <w:noProof/>
                <w:webHidden/>
              </w:rPr>
              <w:instrText xml:space="preserve"> PAGEREF _Toc111630789 \h </w:instrText>
            </w:r>
            <w:r w:rsidRPr="004C78D8">
              <w:rPr>
                <w:noProof/>
                <w:webHidden/>
              </w:rPr>
            </w:r>
            <w:r w:rsidRPr="004C78D8">
              <w:rPr>
                <w:noProof/>
                <w:webHidden/>
              </w:rPr>
              <w:fldChar w:fldCharType="separate"/>
            </w:r>
            <w:r w:rsidRPr="004C78D8">
              <w:rPr>
                <w:noProof/>
                <w:webHidden/>
              </w:rPr>
              <w:t>184</w:t>
            </w:r>
            <w:r w:rsidRPr="004C78D8">
              <w:rPr>
                <w:noProof/>
                <w:webHidden/>
              </w:rPr>
              <w:fldChar w:fldCharType="end"/>
            </w:r>
          </w:hyperlink>
        </w:p>
        <w:p w14:paraId="53340E7F" w14:textId="2AA3BD06" w:rsidR="00E151CE" w:rsidRPr="004C78D8" w:rsidRDefault="00E151CE" w:rsidP="00FB7C1F">
          <w:pPr>
            <w:pStyle w:val="TOC2"/>
            <w:tabs>
              <w:tab w:val="right" w:leader="dot" w:pos="9016"/>
            </w:tabs>
            <w:rPr>
              <w:rFonts w:asciiTheme="minorHAnsi" w:hAnsiTheme="minorHAnsi"/>
              <w:noProof/>
            </w:rPr>
          </w:pPr>
          <w:hyperlink w:anchor="_Toc111630790" w:history="1">
            <w:r w:rsidRPr="004C78D8">
              <w:rPr>
                <w:rStyle w:val="Hyperlink"/>
                <w:noProof/>
              </w:rPr>
              <w:t>6.2 Base case comparison results</w:t>
            </w:r>
            <w:r w:rsidRPr="004C78D8">
              <w:rPr>
                <w:noProof/>
                <w:webHidden/>
              </w:rPr>
              <w:tab/>
            </w:r>
            <w:r w:rsidRPr="004C78D8">
              <w:rPr>
                <w:noProof/>
                <w:webHidden/>
              </w:rPr>
              <w:fldChar w:fldCharType="begin"/>
            </w:r>
            <w:r w:rsidRPr="004C78D8">
              <w:rPr>
                <w:noProof/>
                <w:webHidden/>
              </w:rPr>
              <w:instrText xml:space="preserve"> PAGEREF _Toc111630790 \h </w:instrText>
            </w:r>
            <w:r w:rsidRPr="004C78D8">
              <w:rPr>
                <w:noProof/>
                <w:webHidden/>
              </w:rPr>
            </w:r>
            <w:r w:rsidRPr="004C78D8">
              <w:rPr>
                <w:noProof/>
                <w:webHidden/>
              </w:rPr>
              <w:fldChar w:fldCharType="separate"/>
            </w:r>
            <w:r w:rsidRPr="004C78D8">
              <w:rPr>
                <w:noProof/>
                <w:webHidden/>
              </w:rPr>
              <w:t>184</w:t>
            </w:r>
            <w:r w:rsidRPr="004C78D8">
              <w:rPr>
                <w:noProof/>
                <w:webHidden/>
              </w:rPr>
              <w:fldChar w:fldCharType="end"/>
            </w:r>
          </w:hyperlink>
        </w:p>
        <w:p w14:paraId="0F1D0E4F" w14:textId="3B1A9888" w:rsidR="00E151CE" w:rsidRPr="004C78D8" w:rsidRDefault="00E151CE" w:rsidP="00FB7C1F">
          <w:pPr>
            <w:pStyle w:val="TOC3"/>
            <w:tabs>
              <w:tab w:val="right" w:leader="dot" w:pos="9016"/>
            </w:tabs>
            <w:rPr>
              <w:rFonts w:asciiTheme="minorHAnsi" w:hAnsiTheme="minorHAnsi"/>
              <w:noProof/>
            </w:rPr>
          </w:pPr>
          <w:hyperlink w:anchor="_Toc111630791" w:history="1">
            <w:r w:rsidRPr="004C78D8">
              <w:rPr>
                <w:rStyle w:val="Hyperlink"/>
                <w:noProof/>
              </w:rPr>
              <w:t>6.2.1 Deterministic outcomes with first-order uncertainty</w:t>
            </w:r>
            <w:r w:rsidRPr="004C78D8">
              <w:rPr>
                <w:noProof/>
                <w:webHidden/>
              </w:rPr>
              <w:tab/>
            </w:r>
            <w:r w:rsidRPr="004C78D8">
              <w:rPr>
                <w:noProof/>
                <w:webHidden/>
              </w:rPr>
              <w:fldChar w:fldCharType="begin"/>
            </w:r>
            <w:r w:rsidRPr="004C78D8">
              <w:rPr>
                <w:noProof/>
                <w:webHidden/>
              </w:rPr>
              <w:instrText xml:space="preserve"> PAGEREF _Toc111630791 \h </w:instrText>
            </w:r>
            <w:r w:rsidRPr="004C78D8">
              <w:rPr>
                <w:noProof/>
                <w:webHidden/>
              </w:rPr>
            </w:r>
            <w:r w:rsidRPr="004C78D8">
              <w:rPr>
                <w:noProof/>
                <w:webHidden/>
              </w:rPr>
              <w:fldChar w:fldCharType="separate"/>
            </w:r>
            <w:r w:rsidRPr="004C78D8">
              <w:rPr>
                <w:noProof/>
                <w:webHidden/>
              </w:rPr>
              <w:t>184</w:t>
            </w:r>
            <w:r w:rsidRPr="004C78D8">
              <w:rPr>
                <w:noProof/>
                <w:webHidden/>
              </w:rPr>
              <w:fldChar w:fldCharType="end"/>
            </w:r>
          </w:hyperlink>
        </w:p>
        <w:p w14:paraId="68BA9CF3" w14:textId="3D3FAE6C" w:rsidR="00E151CE" w:rsidRPr="004C78D8" w:rsidRDefault="00E151CE" w:rsidP="00FB7C1F">
          <w:pPr>
            <w:pStyle w:val="TOC3"/>
            <w:tabs>
              <w:tab w:val="right" w:leader="dot" w:pos="9016"/>
            </w:tabs>
            <w:rPr>
              <w:rFonts w:asciiTheme="minorHAnsi" w:hAnsiTheme="minorHAnsi"/>
              <w:noProof/>
            </w:rPr>
          </w:pPr>
          <w:hyperlink w:anchor="_Toc111630792" w:history="1">
            <w:r w:rsidRPr="004C78D8">
              <w:rPr>
                <w:rStyle w:val="Hyperlink"/>
                <w:noProof/>
              </w:rPr>
              <w:t>6.2.2 Probabilistic sensitivity analysis</w:t>
            </w:r>
            <w:r w:rsidRPr="004C78D8">
              <w:rPr>
                <w:noProof/>
                <w:webHidden/>
              </w:rPr>
              <w:tab/>
            </w:r>
            <w:r w:rsidRPr="004C78D8">
              <w:rPr>
                <w:noProof/>
                <w:webHidden/>
              </w:rPr>
              <w:fldChar w:fldCharType="begin"/>
            </w:r>
            <w:r w:rsidRPr="004C78D8">
              <w:rPr>
                <w:noProof/>
                <w:webHidden/>
              </w:rPr>
              <w:instrText xml:space="preserve"> PAGEREF _Toc111630792 \h </w:instrText>
            </w:r>
            <w:r w:rsidRPr="004C78D8">
              <w:rPr>
                <w:noProof/>
                <w:webHidden/>
              </w:rPr>
            </w:r>
            <w:r w:rsidRPr="004C78D8">
              <w:rPr>
                <w:noProof/>
                <w:webHidden/>
              </w:rPr>
              <w:fldChar w:fldCharType="separate"/>
            </w:r>
            <w:r w:rsidRPr="004C78D8">
              <w:rPr>
                <w:noProof/>
                <w:webHidden/>
              </w:rPr>
              <w:t>188</w:t>
            </w:r>
            <w:r w:rsidRPr="004C78D8">
              <w:rPr>
                <w:noProof/>
                <w:webHidden/>
              </w:rPr>
              <w:fldChar w:fldCharType="end"/>
            </w:r>
          </w:hyperlink>
        </w:p>
        <w:p w14:paraId="5A241594" w14:textId="5F030885" w:rsidR="00E151CE" w:rsidRPr="004C78D8" w:rsidRDefault="00E151CE" w:rsidP="00FB7C1F">
          <w:pPr>
            <w:pStyle w:val="TOC3"/>
            <w:tabs>
              <w:tab w:val="right" w:leader="dot" w:pos="9016"/>
            </w:tabs>
            <w:rPr>
              <w:rFonts w:asciiTheme="minorHAnsi" w:hAnsiTheme="minorHAnsi"/>
              <w:noProof/>
            </w:rPr>
          </w:pPr>
          <w:hyperlink w:anchor="_Toc111630793" w:history="1">
            <w:r w:rsidRPr="004C78D8">
              <w:rPr>
                <w:rStyle w:val="Hyperlink"/>
                <w:noProof/>
              </w:rPr>
              <w:t>6.2.3 Deterministic sensitivity analysis</w:t>
            </w:r>
            <w:r w:rsidRPr="004C78D8">
              <w:rPr>
                <w:noProof/>
                <w:webHidden/>
              </w:rPr>
              <w:tab/>
            </w:r>
            <w:r w:rsidRPr="004C78D8">
              <w:rPr>
                <w:noProof/>
                <w:webHidden/>
              </w:rPr>
              <w:fldChar w:fldCharType="begin"/>
            </w:r>
            <w:r w:rsidRPr="004C78D8">
              <w:rPr>
                <w:noProof/>
                <w:webHidden/>
              </w:rPr>
              <w:instrText xml:space="preserve"> PAGEREF _Toc111630793 \h </w:instrText>
            </w:r>
            <w:r w:rsidRPr="004C78D8">
              <w:rPr>
                <w:noProof/>
                <w:webHidden/>
              </w:rPr>
            </w:r>
            <w:r w:rsidRPr="004C78D8">
              <w:rPr>
                <w:noProof/>
                <w:webHidden/>
              </w:rPr>
              <w:fldChar w:fldCharType="separate"/>
            </w:r>
            <w:r w:rsidRPr="004C78D8">
              <w:rPr>
                <w:noProof/>
                <w:webHidden/>
              </w:rPr>
              <w:t>190</w:t>
            </w:r>
            <w:r w:rsidRPr="004C78D8">
              <w:rPr>
                <w:noProof/>
                <w:webHidden/>
              </w:rPr>
              <w:fldChar w:fldCharType="end"/>
            </w:r>
          </w:hyperlink>
        </w:p>
        <w:p w14:paraId="355CBFE9" w14:textId="10726C47" w:rsidR="00E151CE" w:rsidRPr="004C78D8" w:rsidRDefault="00E151CE" w:rsidP="00FB7C1F">
          <w:pPr>
            <w:pStyle w:val="TOC3"/>
            <w:tabs>
              <w:tab w:val="right" w:leader="dot" w:pos="9016"/>
            </w:tabs>
            <w:rPr>
              <w:rFonts w:asciiTheme="minorHAnsi" w:hAnsiTheme="minorHAnsi"/>
              <w:noProof/>
            </w:rPr>
          </w:pPr>
          <w:hyperlink w:anchor="_Toc111630794" w:history="1">
            <w:r w:rsidRPr="004C78D8">
              <w:rPr>
                <w:rStyle w:val="Hyperlink"/>
                <w:noProof/>
              </w:rPr>
              <w:t>6.2.4 Subgroup analysis</w:t>
            </w:r>
            <w:r w:rsidRPr="004C78D8">
              <w:rPr>
                <w:noProof/>
                <w:webHidden/>
              </w:rPr>
              <w:tab/>
            </w:r>
            <w:r w:rsidRPr="004C78D8">
              <w:rPr>
                <w:noProof/>
                <w:webHidden/>
              </w:rPr>
              <w:fldChar w:fldCharType="begin"/>
            </w:r>
            <w:r w:rsidRPr="004C78D8">
              <w:rPr>
                <w:noProof/>
                <w:webHidden/>
              </w:rPr>
              <w:instrText xml:space="preserve"> PAGEREF _Toc111630794 \h </w:instrText>
            </w:r>
            <w:r w:rsidRPr="004C78D8">
              <w:rPr>
                <w:noProof/>
                <w:webHidden/>
              </w:rPr>
            </w:r>
            <w:r w:rsidRPr="004C78D8">
              <w:rPr>
                <w:noProof/>
                <w:webHidden/>
              </w:rPr>
              <w:fldChar w:fldCharType="separate"/>
            </w:r>
            <w:r w:rsidRPr="004C78D8">
              <w:rPr>
                <w:noProof/>
                <w:webHidden/>
              </w:rPr>
              <w:t>191</w:t>
            </w:r>
            <w:r w:rsidRPr="004C78D8">
              <w:rPr>
                <w:noProof/>
                <w:webHidden/>
              </w:rPr>
              <w:fldChar w:fldCharType="end"/>
            </w:r>
          </w:hyperlink>
        </w:p>
        <w:p w14:paraId="423B0BC3" w14:textId="1837597E" w:rsidR="00E151CE" w:rsidRPr="004C78D8" w:rsidRDefault="00E151CE" w:rsidP="00FB7C1F">
          <w:pPr>
            <w:pStyle w:val="TOC3"/>
            <w:tabs>
              <w:tab w:val="right" w:leader="dot" w:pos="9016"/>
            </w:tabs>
            <w:rPr>
              <w:rFonts w:asciiTheme="minorHAnsi" w:hAnsiTheme="minorHAnsi"/>
              <w:noProof/>
            </w:rPr>
          </w:pPr>
          <w:hyperlink w:anchor="_Toc111630795" w:history="1">
            <w:r w:rsidRPr="004C78D8">
              <w:rPr>
                <w:rStyle w:val="Hyperlink"/>
                <w:noProof/>
              </w:rPr>
              <w:t>6.2.5 Evaluation framework and falls epidemiology scenarios</w:t>
            </w:r>
            <w:r w:rsidRPr="004C78D8">
              <w:rPr>
                <w:noProof/>
                <w:webHidden/>
              </w:rPr>
              <w:tab/>
            </w:r>
            <w:r w:rsidRPr="004C78D8">
              <w:rPr>
                <w:noProof/>
                <w:webHidden/>
              </w:rPr>
              <w:fldChar w:fldCharType="begin"/>
            </w:r>
            <w:r w:rsidRPr="004C78D8">
              <w:rPr>
                <w:noProof/>
                <w:webHidden/>
              </w:rPr>
              <w:instrText xml:space="preserve"> PAGEREF _Toc111630795 \h </w:instrText>
            </w:r>
            <w:r w:rsidRPr="004C78D8">
              <w:rPr>
                <w:noProof/>
                <w:webHidden/>
              </w:rPr>
            </w:r>
            <w:r w:rsidRPr="004C78D8">
              <w:rPr>
                <w:noProof/>
                <w:webHidden/>
              </w:rPr>
              <w:fldChar w:fldCharType="separate"/>
            </w:r>
            <w:r w:rsidRPr="004C78D8">
              <w:rPr>
                <w:noProof/>
                <w:webHidden/>
              </w:rPr>
              <w:t>196</w:t>
            </w:r>
            <w:r w:rsidRPr="004C78D8">
              <w:rPr>
                <w:noProof/>
                <w:webHidden/>
              </w:rPr>
              <w:fldChar w:fldCharType="end"/>
            </w:r>
          </w:hyperlink>
        </w:p>
        <w:p w14:paraId="6E3F0191" w14:textId="7ABF320A" w:rsidR="00E151CE" w:rsidRPr="004C78D8" w:rsidRDefault="00E151CE" w:rsidP="00FB7C1F">
          <w:pPr>
            <w:pStyle w:val="TOC3"/>
            <w:tabs>
              <w:tab w:val="right" w:leader="dot" w:pos="9016"/>
            </w:tabs>
            <w:rPr>
              <w:rFonts w:asciiTheme="minorHAnsi" w:hAnsiTheme="minorHAnsi"/>
              <w:noProof/>
            </w:rPr>
          </w:pPr>
          <w:hyperlink w:anchor="_Toc111630796" w:history="1">
            <w:r w:rsidRPr="004C78D8">
              <w:rPr>
                <w:rStyle w:val="Hyperlink"/>
                <w:noProof/>
              </w:rPr>
              <w:t>6.2.6 Summary of results under base case comparison</w:t>
            </w:r>
            <w:r w:rsidRPr="004C78D8">
              <w:rPr>
                <w:noProof/>
                <w:webHidden/>
              </w:rPr>
              <w:tab/>
            </w:r>
            <w:r w:rsidRPr="004C78D8">
              <w:rPr>
                <w:noProof/>
                <w:webHidden/>
              </w:rPr>
              <w:fldChar w:fldCharType="begin"/>
            </w:r>
            <w:r w:rsidRPr="004C78D8">
              <w:rPr>
                <w:noProof/>
                <w:webHidden/>
              </w:rPr>
              <w:instrText xml:space="preserve"> PAGEREF _Toc111630796 \h </w:instrText>
            </w:r>
            <w:r w:rsidRPr="004C78D8">
              <w:rPr>
                <w:noProof/>
                <w:webHidden/>
              </w:rPr>
            </w:r>
            <w:r w:rsidRPr="004C78D8">
              <w:rPr>
                <w:noProof/>
                <w:webHidden/>
              </w:rPr>
              <w:fldChar w:fldCharType="separate"/>
            </w:r>
            <w:r w:rsidRPr="004C78D8">
              <w:rPr>
                <w:noProof/>
                <w:webHidden/>
              </w:rPr>
              <w:t>201</w:t>
            </w:r>
            <w:r w:rsidRPr="004C78D8">
              <w:rPr>
                <w:noProof/>
                <w:webHidden/>
              </w:rPr>
              <w:fldChar w:fldCharType="end"/>
            </w:r>
          </w:hyperlink>
        </w:p>
        <w:p w14:paraId="022C0DB1" w14:textId="0B9C3302" w:rsidR="00E151CE" w:rsidRPr="004C78D8" w:rsidRDefault="00E151CE" w:rsidP="00FB7C1F">
          <w:pPr>
            <w:pStyle w:val="TOC2"/>
            <w:tabs>
              <w:tab w:val="right" w:leader="dot" w:pos="9016"/>
            </w:tabs>
            <w:rPr>
              <w:rFonts w:asciiTheme="minorHAnsi" w:hAnsiTheme="minorHAnsi"/>
              <w:noProof/>
            </w:rPr>
          </w:pPr>
          <w:hyperlink w:anchor="_Toc111630797" w:history="1">
            <w:r w:rsidRPr="004C78D8">
              <w:rPr>
                <w:rStyle w:val="Hyperlink"/>
                <w:noProof/>
              </w:rPr>
              <w:t>6.3 Alternative falls prevention strategies and commissioning recommendations</w:t>
            </w:r>
            <w:r w:rsidRPr="004C78D8">
              <w:rPr>
                <w:noProof/>
                <w:webHidden/>
              </w:rPr>
              <w:tab/>
            </w:r>
            <w:r w:rsidRPr="004C78D8">
              <w:rPr>
                <w:noProof/>
                <w:webHidden/>
              </w:rPr>
              <w:fldChar w:fldCharType="begin"/>
            </w:r>
            <w:r w:rsidRPr="004C78D8">
              <w:rPr>
                <w:noProof/>
                <w:webHidden/>
              </w:rPr>
              <w:instrText xml:space="preserve"> PAGEREF _Toc111630797 \h </w:instrText>
            </w:r>
            <w:r w:rsidRPr="004C78D8">
              <w:rPr>
                <w:noProof/>
                <w:webHidden/>
              </w:rPr>
            </w:r>
            <w:r w:rsidRPr="004C78D8">
              <w:rPr>
                <w:noProof/>
                <w:webHidden/>
              </w:rPr>
              <w:fldChar w:fldCharType="separate"/>
            </w:r>
            <w:r w:rsidRPr="004C78D8">
              <w:rPr>
                <w:noProof/>
                <w:webHidden/>
              </w:rPr>
              <w:t>202</w:t>
            </w:r>
            <w:r w:rsidRPr="004C78D8">
              <w:rPr>
                <w:noProof/>
                <w:webHidden/>
              </w:rPr>
              <w:fldChar w:fldCharType="end"/>
            </w:r>
          </w:hyperlink>
        </w:p>
        <w:p w14:paraId="6F15F612" w14:textId="264B61F8" w:rsidR="00E151CE" w:rsidRPr="004C78D8" w:rsidRDefault="00E151CE" w:rsidP="00FB7C1F">
          <w:pPr>
            <w:pStyle w:val="TOC3"/>
            <w:tabs>
              <w:tab w:val="right" w:leader="dot" w:pos="9016"/>
            </w:tabs>
            <w:rPr>
              <w:rFonts w:asciiTheme="minorHAnsi" w:hAnsiTheme="minorHAnsi"/>
              <w:noProof/>
            </w:rPr>
          </w:pPr>
          <w:hyperlink w:anchor="_Toc111630798" w:history="1">
            <w:r w:rsidRPr="004C78D8">
              <w:rPr>
                <w:rStyle w:val="Hyperlink"/>
                <w:noProof/>
              </w:rPr>
              <w:t>6.3.1 Evaluation of alternative falls prevention strategies</w:t>
            </w:r>
            <w:r w:rsidRPr="004C78D8">
              <w:rPr>
                <w:noProof/>
                <w:webHidden/>
              </w:rPr>
              <w:tab/>
            </w:r>
            <w:r w:rsidRPr="004C78D8">
              <w:rPr>
                <w:noProof/>
                <w:webHidden/>
              </w:rPr>
              <w:fldChar w:fldCharType="begin"/>
            </w:r>
            <w:r w:rsidRPr="004C78D8">
              <w:rPr>
                <w:noProof/>
                <w:webHidden/>
              </w:rPr>
              <w:instrText xml:space="preserve"> PAGEREF _Toc111630798 \h </w:instrText>
            </w:r>
            <w:r w:rsidRPr="004C78D8">
              <w:rPr>
                <w:noProof/>
                <w:webHidden/>
              </w:rPr>
            </w:r>
            <w:r w:rsidRPr="004C78D8">
              <w:rPr>
                <w:noProof/>
                <w:webHidden/>
              </w:rPr>
              <w:fldChar w:fldCharType="separate"/>
            </w:r>
            <w:r w:rsidRPr="004C78D8">
              <w:rPr>
                <w:noProof/>
                <w:webHidden/>
              </w:rPr>
              <w:t>202</w:t>
            </w:r>
            <w:r w:rsidRPr="004C78D8">
              <w:rPr>
                <w:noProof/>
                <w:webHidden/>
              </w:rPr>
              <w:fldChar w:fldCharType="end"/>
            </w:r>
          </w:hyperlink>
        </w:p>
        <w:p w14:paraId="388E0847" w14:textId="76E16E63" w:rsidR="00E151CE" w:rsidRPr="004C78D8" w:rsidRDefault="00E151CE" w:rsidP="00FB7C1F">
          <w:pPr>
            <w:pStyle w:val="TOC3"/>
            <w:tabs>
              <w:tab w:val="right" w:leader="dot" w:pos="9016"/>
            </w:tabs>
            <w:rPr>
              <w:rFonts w:asciiTheme="minorHAnsi" w:hAnsiTheme="minorHAnsi"/>
              <w:noProof/>
            </w:rPr>
          </w:pPr>
          <w:hyperlink w:anchor="_Toc111630799" w:history="1">
            <w:r w:rsidRPr="004C78D8">
              <w:rPr>
                <w:rStyle w:val="Hyperlink"/>
                <w:noProof/>
              </w:rPr>
              <w:t>6.3.2 Comparison of intervention strategies</w:t>
            </w:r>
            <w:r w:rsidRPr="004C78D8">
              <w:rPr>
                <w:noProof/>
                <w:webHidden/>
              </w:rPr>
              <w:tab/>
            </w:r>
            <w:r w:rsidRPr="004C78D8">
              <w:rPr>
                <w:noProof/>
                <w:webHidden/>
              </w:rPr>
              <w:fldChar w:fldCharType="begin"/>
            </w:r>
            <w:r w:rsidRPr="004C78D8">
              <w:rPr>
                <w:noProof/>
                <w:webHidden/>
              </w:rPr>
              <w:instrText xml:space="preserve"> PAGEREF _Toc111630799 \h </w:instrText>
            </w:r>
            <w:r w:rsidRPr="004C78D8">
              <w:rPr>
                <w:noProof/>
                <w:webHidden/>
              </w:rPr>
            </w:r>
            <w:r w:rsidRPr="004C78D8">
              <w:rPr>
                <w:noProof/>
                <w:webHidden/>
              </w:rPr>
              <w:fldChar w:fldCharType="separate"/>
            </w:r>
            <w:r w:rsidRPr="004C78D8">
              <w:rPr>
                <w:noProof/>
                <w:webHidden/>
              </w:rPr>
              <w:t>211</w:t>
            </w:r>
            <w:r w:rsidRPr="004C78D8">
              <w:rPr>
                <w:noProof/>
                <w:webHidden/>
              </w:rPr>
              <w:fldChar w:fldCharType="end"/>
            </w:r>
          </w:hyperlink>
        </w:p>
        <w:p w14:paraId="3BE06063" w14:textId="341BCE9E" w:rsidR="00E151CE" w:rsidRPr="004C78D8" w:rsidRDefault="00E151CE" w:rsidP="00FB7C1F">
          <w:pPr>
            <w:pStyle w:val="TOC3"/>
            <w:tabs>
              <w:tab w:val="right" w:leader="dot" w:pos="9016"/>
            </w:tabs>
            <w:rPr>
              <w:rFonts w:asciiTheme="minorHAnsi" w:hAnsiTheme="minorHAnsi"/>
              <w:noProof/>
            </w:rPr>
          </w:pPr>
          <w:hyperlink w:anchor="_Toc111630800" w:history="1">
            <w:r w:rsidRPr="004C78D8">
              <w:rPr>
                <w:rStyle w:val="Hyperlink"/>
                <w:noProof/>
              </w:rPr>
              <w:t>6.3.3 Commissioning recommendations</w:t>
            </w:r>
            <w:r w:rsidRPr="004C78D8">
              <w:rPr>
                <w:noProof/>
                <w:webHidden/>
              </w:rPr>
              <w:tab/>
            </w:r>
            <w:r w:rsidRPr="004C78D8">
              <w:rPr>
                <w:noProof/>
                <w:webHidden/>
              </w:rPr>
              <w:fldChar w:fldCharType="begin"/>
            </w:r>
            <w:r w:rsidRPr="004C78D8">
              <w:rPr>
                <w:noProof/>
                <w:webHidden/>
              </w:rPr>
              <w:instrText xml:space="preserve"> PAGEREF _Toc111630800 \h </w:instrText>
            </w:r>
            <w:r w:rsidRPr="004C78D8">
              <w:rPr>
                <w:noProof/>
                <w:webHidden/>
              </w:rPr>
            </w:r>
            <w:r w:rsidRPr="004C78D8">
              <w:rPr>
                <w:noProof/>
                <w:webHidden/>
              </w:rPr>
              <w:fldChar w:fldCharType="separate"/>
            </w:r>
            <w:r w:rsidRPr="004C78D8">
              <w:rPr>
                <w:noProof/>
                <w:webHidden/>
              </w:rPr>
              <w:t>218</w:t>
            </w:r>
            <w:r w:rsidRPr="004C78D8">
              <w:rPr>
                <w:noProof/>
                <w:webHidden/>
              </w:rPr>
              <w:fldChar w:fldCharType="end"/>
            </w:r>
          </w:hyperlink>
        </w:p>
        <w:p w14:paraId="29DE9294" w14:textId="130BD83F" w:rsidR="00E151CE" w:rsidRPr="004C78D8" w:rsidRDefault="00E151CE" w:rsidP="00FB7C1F">
          <w:pPr>
            <w:pStyle w:val="TOC2"/>
            <w:tabs>
              <w:tab w:val="right" w:leader="dot" w:pos="9016"/>
            </w:tabs>
            <w:rPr>
              <w:rFonts w:asciiTheme="minorHAnsi" w:hAnsiTheme="minorHAnsi"/>
              <w:noProof/>
            </w:rPr>
          </w:pPr>
          <w:hyperlink w:anchor="_Toc111630801" w:history="1">
            <w:r w:rsidRPr="004C78D8">
              <w:rPr>
                <w:rStyle w:val="Hyperlink"/>
                <w:noProof/>
              </w:rPr>
              <w:t>6.4 Discussion</w:t>
            </w:r>
            <w:r w:rsidRPr="004C78D8">
              <w:rPr>
                <w:noProof/>
                <w:webHidden/>
              </w:rPr>
              <w:tab/>
            </w:r>
            <w:r w:rsidRPr="004C78D8">
              <w:rPr>
                <w:noProof/>
                <w:webHidden/>
              </w:rPr>
              <w:fldChar w:fldCharType="begin"/>
            </w:r>
            <w:r w:rsidRPr="004C78D8">
              <w:rPr>
                <w:noProof/>
                <w:webHidden/>
              </w:rPr>
              <w:instrText xml:space="preserve"> PAGEREF _Toc111630801 \h </w:instrText>
            </w:r>
            <w:r w:rsidRPr="004C78D8">
              <w:rPr>
                <w:noProof/>
                <w:webHidden/>
              </w:rPr>
            </w:r>
            <w:r w:rsidRPr="004C78D8">
              <w:rPr>
                <w:noProof/>
                <w:webHidden/>
              </w:rPr>
              <w:fldChar w:fldCharType="separate"/>
            </w:r>
            <w:r w:rsidRPr="004C78D8">
              <w:rPr>
                <w:noProof/>
                <w:webHidden/>
              </w:rPr>
              <w:t>221</w:t>
            </w:r>
            <w:r w:rsidRPr="004C78D8">
              <w:rPr>
                <w:noProof/>
                <w:webHidden/>
              </w:rPr>
              <w:fldChar w:fldCharType="end"/>
            </w:r>
          </w:hyperlink>
        </w:p>
        <w:p w14:paraId="5AA9FEB9" w14:textId="3AB05DA3" w:rsidR="00E151CE" w:rsidRPr="004C78D8" w:rsidRDefault="00E151CE" w:rsidP="00FB7C1F">
          <w:pPr>
            <w:pStyle w:val="TOC3"/>
            <w:tabs>
              <w:tab w:val="right" w:leader="dot" w:pos="9016"/>
            </w:tabs>
            <w:rPr>
              <w:rFonts w:asciiTheme="minorHAnsi" w:hAnsiTheme="minorHAnsi"/>
              <w:noProof/>
            </w:rPr>
          </w:pPr>
          <w:hyperlink w:anchor="_Toc111630802" w:history="1">
            <w:r w:rsidRPr="004C78D8">
              <w:rPr>
                <w:rStyle w:val="Hyperlink"/>
                <w:noProof/>
              </w:rPr>
              <w:t>6.4.1 Comparison to previous falls prevention model results</w:t>
            </w:r>
            <w:r w:rsidRPr="004C78D8">
              <w:rPr>
                <w:noProof/>
                <w:webHidden/>
              </w:rPr>
              <w:tab/>
            </w:r>
            <w:r w:rsidRPr="004C78D8">
              <w:rPr>
                <w:noProof/>
                <w:webHidden/>
              </w:rPr>
              <w:fldChar w:fldCharType="begin"/>
            </w:r>
            <w:r w:rsidRPr="004C78D8">
              <w:rPr>
                <w:noProof/>
                <w:webHidden/>
              </w:rPr>
              <w:instrText xml:space="preserve"> PAGEREF _Toc111630802 \h </w:instrText>
            </w:r>
            <w:r w:rsidRPr="004C78D8">
              <w:rPr>
                <w:noProof/>
                <w:webHidden/>
              </w:rPr>
            </w:r>
            <w:r w:rsidRPr="004C78D8">
              <w:rPr>
                <w:noProof/>
                <w:webHidden/>
              </w:rPr>
              <w:fldChar w:fldCharType="separate"/>
            </w:r>
            <w:r w:rsidRPr="004C78D8">
              <w:rPr>
                <w:noProof/>
                <w:webHidden/>
              </w:rPr>
              <w:t>221</w:t>
            </w:r>
            <w:r w:rsidRPr="004C78D8">
              <w:rPr>
                <w:noProof/>
                <w:webHidden/>
              </w:rPr>
              <w:fldChar w:fldCharType="end"/>
            </w:r>
          </w:hyperlink>
        </w:p>
        <w:p w14:paraId="469DD992" w14:textId="0F78131F" w:rsidR="00E151CE" w:rsidRPr="004C78D8" w:rsidRDefault="00E151CE" w:rsidP="00FB7C1F">
          <w:pPr>
            <w:pStyle w:val="TOC3"/>
            <w:tabs>
              <w:tab w:val="right" w:leader="dot" w:pos="9016"/>
            </w:tabs>
            <w:rPr>
              <w:rFonts w:asciiTheme="minorHAnsi" w:hAnsiTheme="minorHAnsi"/>
              <w:noProof/>
            </w:rPr>
          </w:pPr>
          <w:hyperlink w:anchor="_Toc111630803" w:history="1">
            <w:r w:rsidRPr="004C78D8">
              <w:rPr>
                <w:rStyle w:val="Hyperlink"/>
                <w:noProof/>
              </w:rPr>
              <w:t>6.4.2 Informing commissioning in Sheffield</w:t>
            </w:r>
            <w:r w:rsidRPr="004C78D8">
              <w:rPr>
                <w:noProof/>
                <w:webHidden/>
              </w:rPr>
              <w:tab/>
            </w:r>
            <w:r w:rsidRPr="004C78D8">
              <w:rPr>
                <w:noProof/>
                <w:webHidden/>
              </w:rPr>
              <w:fldChar w:fldCharType="begin"/>
            </w:r>
            <w:r w:rsidRPr="004C78D8">
              <w:rPr>
                <w:noProof/>
                <w:webHidden/>
              </w:rPr>
              <w:instrText xml:space="preserve"> PAGEREF _Toc111630803 \h </w:instrText>
            </w:r>
            <w:r w:rsidRPr="004C78D8">
              <w:rPr>
                <w:noProof/>
                <w:webHidden/>
              </w:rPr>
            </w:r>
            <w:r w:rsidRPr="004C78D8">
              <w:rPr>
                <w:noProof/>
                <w:webHidden/>
              </w:rPr>
              <w:fldChar w:fldCharType="separate"/>
            </w:r>
            <w:r w:rsidRPr="004C78D8">
              <w:rPr>
                <w:noProof/>
                <w:webHidden/>
              </w:rPr>
              <w:t>222</w:t>
            </w:r>
            <w:r w:rsidRPr="004C78D8">
              <w:rPr>
                <w:noProof/>
                <w:webHidden/>
              </w:rPr>
              <w:fldChar w:fldCharType="end"/>
            </w:r>
          </w:hyperlink>
        </w:p>
        <w:p w14:paraId="30B09221" w14:textId="21DF90E2" w:rsidR="00E151CE" w:rsidRPr="004C78D8" w:rsidRDefault="00E151CE" w:rsidP="00FB7C1F">
          <w:pPr>
            <w:pStyle w:val="TOC3"/>
            <w:tabs>
              <w:tab w:val="right" w:leader="dot" w:pos="9016"/>
            </w:tabs>
            <w:rPr>
              <w:rFonts w:asciiTheme="minorHAnsi" w:hAnsiTheme="minorHAnsi"/>
              <w:noProof/>
            </w:rPr>
          </w:pPr>
          <w:hyperlink w:anchor="_Toc111630804" w:history="1">
            <w:r w:rsidRPr="004C78D8">
              <w:rPr>
                <w:rStyle w:val="Hyperlink"/>
                <w:noProof/>
              </w:rPr>
              <w:t>6.4.3 Methodological checklist score of the current model</w:t>
            </w:r>
            <w:r w:rsidRPr="004C78D8">
              <w:rPr>
                <w:noProof/>
                <w:webHidden/>
              </w:rPr>
              <w:tab/>
            </w:r>
            <w:r w:rsidRPr="004C78D8">
              <w:rPr>
                <w:noProof/>
                <w:webHidden/>
              </w:rPr>
              <w:fldChar w:fldCharType="begin"/>
            </w:r>
            <w:r w:rsidRPr="004C78D8">
              <w:rPr>
                <w:noProof/>
                <w:webHidden/>
              </w:rPr>
              <w:instrText xml:space="preserve"> PAGEREF _Toc111630804 \h </w:instrText>
            </w:r>
            <w:r w:rsidRPr="004C78D8">
              <w:rPr>
                <w:noProof/>
                <w:webHidden/>
              </w:rPr>
            </w:r>
            <w:r w:rsidRPr="004C78D8">
              <w:rPr>
                <w:noProof/>
                <w:webHidden/>
              </w:rPr>
              <w:fldChar w:fldCharType="separate"/>
            </w:r>
            <w:r w:rsidRPr="004C78D8">
              <w:rPr>
                <w:noProof/>
                <w:webHidden/>
              </w:rPr>
              <w:t>223</w:t>
            </w:r>
            <w:r w:rsidRPr="004C78D8">
              <w:rPr>
                <w:noProof/>
                <w:webHidden/>
              </w:rPr>
              <w:fldChar w:fldCharType="end"/>
            </w:r>
          </w:hyperlink>
        </w:p>
        <w:p w14:paraId="00E2B889" w14:textId="1564D5EC" w:rsidR="00E151CE" w:rsidRPr="004C78D8" w:rsidRDefault="00E151CE" w:rsidP="00FB7C1F">
          <w:pPr>
            <w:pStyle w:val="TOC3"/>
            <w:tabs>
              <w:tab w:val="right" w:leader="dot" w:pos="9016"/>
            </w:tabs>
            <w:rPr>
              <w:rFonts w:asciiTheme="minorHAnsi" w:hAnsiTheme="minorHAnsi"/>
              <w:noProof/>
            </w:rPr>
          </w:pPr>
          <w:hyperlink w:anchor="_Toc111630805" w:history="1">
            <w:r w:rsidRPr="004C78D8">
              <w:rPr>
                <w:rStyle w:val="Hyperlink"/>
                <w:noProof/>
              </w:rPr>
              <w:t>6.4.4 Appraisal of current model according to methodological recommendations</w:t>
            </w:r>
            <w:r w:rsidRPr="004C78D8">
              <w:rPr>
                <w:noProof/>
                <w:webHidden/>
              </w:rPr>
              <w:tab/>
            </w:r>
            <w:r w:rsidRPr="004C78D8">
              <w:rPr>
                <w:noProof/>
                <w:webHidden/>
              </w:rPr>
              <w:fldChar w:fldCharType="begin"/>
            </w:r>
            <w:r w:rsidRPr="004C78D8">
              <w:rPr>
                <w:noProof/>
                <w:webHidden/>
              </w:rPr>
              <w:instrText xml:space="preserve"> PAGEREF _Toc111630805 \h </w:instrText>
            </w:r>
            <w:r w:rsidRPr="004C78D8">
              <w:rPr>
                <w:noProof/>
                <w:webHidden/>
              </w:rPr>
            </w:r>
            <w:r w:rsidRPr="004C78D8">
              <w:rPr>
                <w:noProof/>
                <w:webHidden/>
              </w:rPr>
              <w:fldChar w:fldCharType="separate"/>
            </w:r>
            <w:r w:rsidRPr="004C78D8">
              <w:rPr>
                <w:noProof/>
                <w:webHidden/>
              </w:rPr>
              <w:t>224</w:t>
            </w:r>
            <w:r w:rsidRPr="004C78D8">
              <w:rPr>
                <w:noProof/>
                <w:webHidden/>
              </w:rPr>
              <w:fldChar w:fldCharType="end"/>
            </w:r>
          </w:hyperlink>
        </w:p>
        <w:p w14:paraId="14CE0A42" w14:textId="2BEAB9EF" w:rsidR="00E151CE" w:rsidRPr="004C78D8" w:rsidRDefault="00E151CE" w:rsidP="00FB7C1F">
          <w:pPr>
            <w:pStyle w:val="TOC2"/>
            <w:tabs>
              <w:tab w:val="right" w:leader="dot" w:pos="9016"/>
            </w:tabs>
            <w:rPr>
              <w:rFonts w:asciiTheme="minorHAnsi" w:hAnsiTheme="minorHAnsi"/>
              <w:noProof/>
            </w:rPr>
          </w:pPr>
          <w:hyperlink w:anchor="_Toc111630806" w:history="1">
            <w:r w:rsidRPr="004C78D8">
              <w:rPr>
                <w:rStyle w:val="Hyperlink"/>
                <w:noProof/>
              </w:rPr>
              <w:t>6.5 Chapter summary</w:t>
            </w:r>
            <w:r w:rsidRPr="004C78D8">
              <w:rPr>
                <w:noProof/>
                <w:webHidden/>
              </w:rPr>
              <w:tab/>
            </w:r>
            <w:r w:rsidRPr="004C78D8">
              <w:rPr>
                <w:noProof/>
                <w:webHidden/>
              </w:rPr>
              <w:fldChar w:fldCharType="begin"/>
            </w:r>
            <w:r w:rsidRPr="004C78D8">
              <w:rPr>
                <w:noProof/>
                <w:webHidden/>
              </w:rPr>
              <w:instrText xml:space="preserve"> PAGEREF _Toc111630806 \h </w:instrText>
            </w:r>
            <w:r w:rsidRPr="004C78D8">
              <w:rPr>
                <w:noProof/>
                <w:webHidden/>
              </w:rPr>
            </w:r>
            <w:r w:rsidRPr="004C78D8">
              <w:rPr>
                <w:noProof/>
                <w:webHidden/>
              </w:rPr>
              <w:fldChar w:fldCharType="separate"/>
            </w:r>
            <w:r w:rsidRPr="004C78D8">
              <w:rPr>
                <w:noProof/>
                <w:webHidden/>
              </w:rPr>
              <w:t>225</w:t>
            </w:r>
            <w:r w:rsidRPr="004C78D8">
              <w:rPr>
                <w:noProof/>
                <w:webHidden/>
              </w:rPr>
              <w:fldChar w:fldCharType="end"/>
            </w:r>
          </w:hyperlink>
        </w:p>
        <w:p w14:paraId="3F6C3914" w14:textId="25B2772E" w:rsidR="00E151CE" w:rsidRPr="004C78D8" w:rsidRDefault="00E151CE" w:rsidP="00FB7C1F">
          <w:pPr>
            <w:pStyle w:val="TOC1"/>
            <w:rPr>
              <w:rFonts w:asciiTheme="minorHAnsi" w:hAnsiTheme="minorHAnsi"/>
              <w:noProof/>
            </w:rPr>
          </w:pPr>
          <w:hyperlink w:anchor="_Toc111630807" w:history="1">
            <w:r w:rsidRPr="004C78D8">
              <w:rPr>
                <w:rStyle w:val="Hyperlink"/>
                <w:noProof/>
              </w:rPr>
              <w:t>Chapter 7. Discussion, Further Research and Conclusion</w:t>
            </w:r>
            <w:r w:rsidRPr="004C78D8">
              <w:rPr>
                <w:noProof/>
                <w:webHidden/>
              </w:rPr>
              <w:tab/>
            </w:r>
            <w:r w:rsidRPr="004C78D8">
              <w:rPr>
                <w:noProof/>
                <w:webHidden/>
              </w:rPr>
              <w:fldChar w:fldCharType="begin"/>
            </w:r>
            <w:r w:rsidRPr="004C78D8">
              <w:rPr>
                <w:noProof/>
                <w:webHidden/>
              </w:rPr>
              <w:instrText xml:space="preserve"> PAGEREF _Toc111630807 \h </w:instrText>
            </w:r>
            <w:r w:rsidRPr="004C78D8">
              <w:rPr>
                <w:noProof/>
                <w:webHidden/>
              </w:rPr>
            </w:r>
            <w:r w:rsidRPr="004C78D8">
              <w:rPr>
                <w:noProof/>
                <w:webHidden/>
              </w:rPr>
              <w:fldChar w:fldCharType="separate"/>
            </w:r>
            <w:r w:rsidRPr="004C78D8">
              <w:rPr>
                <w:noProof/>
                <w:webHidden/>
              </w:rPr>
              <w:t>226</w:t>
            </w:r>
            <w:r w:rsidRPr="004C78D8">
              <w:rPr>
                <w:noProof/>
                <w:webHidden/>
              </w:rPr>
              <w:fldChar w:fldCharType="end"/>
            </w:r>
          </w:hyperlink>
        </w:p>
        <w:p w14:paraId="35D694F6" w14:textId="155F0D5C" w:rsidR="00E151CE" w:rsidRPr="004C78D8" w:rsidRDefault="00E151CE" w:rsidP="00FB7C1F">
          <w:pPr>
            <w:pStyle w:val="TOC2"/>
            <w:tabs>
              <w:tab w:val="right" w:leader="dot" w:pos="9016"/>
            </w:tabs>
            <w:rPr>
              <w:rFonts w:asciiTheme="minorHAnsi" w:hAnsiTheme="minorHAnsi"/>
              <w:noProof/>
            </w:rPr>
          </w:pPr>
          <w:hyperlink w:anchor="_Toc111630808" w:history="1">
            <w:r w:rsidRPr="004C78D8">
              <w:rPr>
                <w:rStyle w:val="Hyperlink"/>
                <w:noProof/>
              </w:rPr>
              <w:t>7.1 Chapter outline</w:t>
            </w:r>
            <w:r w:rsidRPr="004C78D8">
              <w:rPr>
                <w:noProof/>
                <w:webHidden/>
              </w:rPr>
              <w:tab/>
            </w:r>
            <w:r w:rsidRPr="004C78D8">
              <w:rPr>
                <w:noProof/>
                <w:webHidden/>
              </w:rPr>
              <w:fldChar w:fldCharType="begin"/>
            </w:r>
            <w:r w:rsidRPr="004C78D8">
              <w:rPr>
                <w:noProof/>
                <w:webHidden/>
              </w:rPr>
              <w:instrText xml:space="preserve"> PAGEREF _Toc111630808 \h </w:instrText>
            </w:r>
            <w:r w:rsidRPr="004C78D8">
              <w:rPr>
                <w:noProof/>
                <w:webHidden/>
              </w:rPr>
            </w:r>
            <w:r w:rsidRPr="004C78D8">
              <w:rPr>
                <w:noProof/>
                <w:webHidden/>
              </w:rPr>
              <w:fldChar w:fldCharType="separate"/>
            </w:r>
            <w:r w:rsidRPr="004C78D8">
              <w:rPr>
                <w:noProof/>
                <w:webHidden/>
              </w:rPr>
              <w:t>226</w:t>
            </w:r>
            <w:r w:rsidRPr="004C78D8">
              <w:rPr>
                <w:noProof/>
                <w:webHidden/>
              </w:rPr>
              <w:fldChar w:fldCharType="end"/>
            </w:r>
          </w:hyperlink>
        </w:p>
        <w:p w14:paraId="041D77B0" w14:textId="505F91AB" w:rsidR="00E151CE" w:rsidRPr="004C78D8" w:rsidRDefault="00E151CE" w:rsidP="00FB7C1F">
          <w:pPr>
            <w:pStyle w:val="TOC2"/>
            <w:tabs>
              <w:tab w:val="right" w:leader="dot" w:pos="9016"/>
            </w:tabs>
            <w:rPr>
              <w:rFonts w:asciiTheme="minorHAnsi" w:hAnsiTheme="minorHAnsi"/>
              <w:noProof/>
            </w:rPr>
          </w:pPr>
          <w:hyperlink w:anchor="_Toc111630809" w:history="1">
            <w:r w:rsidRPr="004C78D8">
              <w:rPr>
                <w:rStyle w:val="Hyperlink"/>
                <w:noProof/>
              </w:rPr>
              <w:t>7.2 What this study contributes</w:t>
            </w:r>
            <w:r w:rsidRPr="004C78D8">
              <w:rPr>
                <w:noProof/>
                <w:webHidden/>
              </w:rPr>
              <w:tab/>
            </w:r>
            <w:r w:rsidRPr="004C78D8">
              <w:rPr>
                <w:noProof/>
                <w:webHidden/>
              </w:rPr>
              <w:fldChar w:fldCharType="begin"/>
            </w:r>
            <w:r w:rsidRPr="004C78D8">
              <w:rPr>
                <w:noProof/>
                <w:webHidden/>
              </w:rPr>
              <w:instrText xml:space="preserve"> PAGEREF _Toc111630809 \h </w:instrText>
            </w:r>
            <w:r w:rsidRPr="004C78D8">
              <w:rPr>
                <w:noProof/>
                <w:webHidden/>
              </w:rPr>
            </w:r>
            <w:r w:rsidRPr="004C78D8">
              <w:rPr>
                <w:noProof/>
                <w:webHidden/>
              </w:rPr>
              <w:fldChar w:fldCharType="separate"/>
            </w:r>
            <w:r w:rsidRPr="004C78D8">
              <w:rPr>
                <w:noProof/>
                <w:webHidden/>
              </w:rPr>
              <w:t>226</w:t>
            </w:r>
            <w:r w:rsidRPr="004C78D8">
              <w:rPr>
                <w:noProof/>
                <w:webHidden/>
              </w:rPr>
              <w:fldChar w:fldCharType="end"/>
            </w:r>
          </w:hyperlink>
        </w:p>
        <w:p w14:paraId="79855800" w14:textId="7A2A4FBE" w:rsidR="00E151CE" w:rsidRPr="004C78D8" w:rsidRDefault="00E151CE" w:rsidP="00FB7C1F">
          <w:pPr>
            <w:pStyle w:val="TOC3"/>
            <w:tabs>
              <w:tab w:val="right" w:leader="dot" w:pos="9016"/>
            </w:tabs>
            <w:rPr>
              <w:rFonts w:asciiTheme="minorHAnsi" w:hAnsiTheme="minorHAnsi"/>
              <w:noProof/>
            </w:rPr>
          </w:pPr>
          <w:hyperlink w:anchor="_Toc111630810" w:history="1">
            <w:r w:rsidRPr="004C78D8">
              <w:rPr>
                <w:rStyle w:val="Hyperlink"/>
                <w:noProof/>
              </w:rPr>
              <w:t>7.2.1 Developing a conceptual model of falls prevention</w:t>
            </w:r>
            <w:r w:rsidRPr="004C78D8">
              <w:rPr>
                <w:noProof/>
                <w:webHidden/>
              </w:rPr>
              <w:tab/>
            </w:r>
            <w:r w:rsidRPr="004C78D8">
              <w:rPr>
                <w:noProof/>
                <w:webHidden/>
              </w:rPr>
              <w:fldChar w:fldCharType="begin"/>
            </w:r>
            <w:r w:rsidRPr="004C78D8">
              <w:rPr>
                <w:noProof/>
                <w:webHidden/>
              </w:rPr>
              <w:instrText xml:space="preserve"> PAGEREF _Toc111630810 \h </w:instrText>
            </w:r>
            <w:r w:rsidRPr="004C78D8">
              <w:rPr>
                <w:noProof/>
                <w:webHidden/>
              </w:rPr>
            </w:r>
            <w:r w:rsidRPr="004C78D8">
              <w:rPr>
                <w:noProof/>
                <w:webHidden/>
              </w:rPr>
              <w:fldChar w:fldCharType="separate"/>
            </w:r>
            <w:r w:rsidRPr="004C78D8">
              <w:rPr>
                <w:noProof/>
                <w:webHidden/>
              </w:rPr>
              <w:t>226</w:t>
            </w:r>
            <w:r w:rsidRPr="004C78D8">
              <w:rPr>
                <w:noProof/>
                <w:webHidden/>
              </w:rPr>
              <w:fldChar w:fldCharType="end"/>
            </w:r>
          </w:hyperlink>
        </w:p>
        <w:p w14:paraId="0B8DF9A1" w14:textId="68F5573E" w:rsidR="00E151CE" w:rsidRPr="004C78D8" w:rsidRDefault="00E151CE" w:rsidP="00FB7C1F">
          <w:pPr>
            <w:pStyle w:val="TOC3"/>
            <w:tabs>
              <w:tab w:val="right" w:leader="dot" w:pos="9016"/>
            </w:tabs>
            <w:rPr>
              <w:rFonts w:asciiTheme="minorHAnsi" w:hAnsiTheme="minorHAnsi"/>
              <w:noProof/>
            </w:rPr>
          </w:pPr>
          <w:hyperlink w:anchor="_Toc111630811" w:history="1">
            <w:r w:rsidRPr="004C78D8">
              <w:rPr>
                <w:rStyle w:val="Hyperlink"/>
                <w:noProof/>
              </w:rPr>
              <w:t>7.2.2 Conducting a systematic review of falls prevention models</w:t>
            </w:r>
            <w:r w:rsidRPr="004C78D8">
              <w:rPr>
                <w:noProof/>
                <w:webHidden/>
              </w:rPr>
              <w:tab/>
            </w:r>
            <w:r w:rsidRPr="004C78D8">
              <w:rPr>
                <w:noProof/>
                <w:webHidden/>
              </w:rPr>
              <w:fldChar w:fldCharType="begin"/>
            </w:r>
            <w:r w:rsidRPr="004C78D8">
              <w:rPr>
                <w:noProof/>
                <w:webHidden/>
              </w:rPr>
              <w:instrText xml:space="preserve"> PAGEREF _Toc111630811 \h </w:instrText>
            </w:r>
            <w:r w:rsidRPr="004C78D8">
              <w:rPr>
                <w:noProof/>
                <w:webHidden/>
              </w:rPr>
            </w:r>
            <w:r w:rsidRPr="004C78D8">
              <w:rPr>
                <w:noProof/>
                <w:webHidden/>
              </w:rPr>
              <w:fldChar w:fldCharType="separate"/>
            </w:r>
            <w:r w:rsidRPr="004C78D8">
              <w:rPr>
                <w:noProof/>
                <w:webHidden/>
              </w:rPr>
              <w:t>227</w:t>
            </w:r>
            <w:r w:rsidRPr="004C78D8">
              <w:rPr>
                <w:noProof/>
                <w:webHidden/>
              </w:rPr>
              <w:fldChar w:fldCharType="end"/>
            </w:r>
          </w:hyperlink>
        </w:p>
        <w:p w14:paraId="60AE5241" w14:textId="2C93E8E8" w:rsidR="00E151CE" w:rsidRPr="004C78D8" w:rsidRDefault="00E151CE" w:rsidP="00FB7C1F">
          <w:pPr>
            <w:pStyle w:val="TOC3"/>
            <w:tabs>
              <w:tab w:val="right" w:leader="dot" w:pos="9016"/>
            </w:tabs>
            <w:rPr>
              <w:rFonts w:asciiTheme="minorHAnsi" w:hAnsiTheme="minorHAnsi"/>
              <w:noProof/>
            </w:rPr>
          </w:pPr>
          <w:hyperlink w:anchor="_Toc111630812" w:history="1">
            <w:r w:rsidRPr="004C78D8">
              <w:rPr>
                <w:rStyle w:val="Hyperlink"/>
                <w:noProof/>
              </w:rPr>
              <w:t>7.2.3 Developing and analysing the falls prevention model</w:t>
            </w:r>
            <w:r w:rsidRPr="004C78D8">
              <w:rPr>
                <w:noProof/>
                <w:webHidden/>
              </w:rPr>
              <w:tab/>
            </w:r>
            <w:r w:rsidRPr="004C78D8">
              <w:rPr>
                <w:noProof/>
                <w:webHidden/>
              </w:rPr>
              <w:fldChar w:fldCharType="begin"/>
            </w:r>
            <w:r w:rsidRPr="004C78D8">
              <w:rPr>
                <w:noProof/>
                <w:webHidden/>
              </w:rPr>
              <w:instrText xml:space="preserve"> PAGEREF _Toc111630812 \h </w:instrText>
            </w:r>
            <w:r w:rsidRPr="004C78D8">
              <w:rPr>
                <w:noProof/>
                <w:webHidden/>
              </w:rPr>
            </w:r>
            <w:r w:rsidRPr="004C78D8">
              <w:rPr>
                <w:noProof/>
                <w:webHidden/>
              </w:rPr>
              <w:fldChar w:fldCharType="separate"/>
            </w:r>
            <w:r w:rsidRPr="004C78D8">
              <w:rPr>
                <w:noProof/>
                <w:webHidden/>
              </w:rPr>
              <w:t>228</w:t>
            </w:r>
            <w:r w:rsidRPr="004C78D8">
              <w:rPr>
                <w:noProof/>
                <w:webHidden/>
              </w:rPr>
              <w:fldChar w:fldCharType="end"/>
            </w:r>
          </w:hyperlink>
        </w:p>
        <w:p w14:paraId="1A966D5E" w14:textId="7D81D635" w:rsidR="00E151CE" w:rsidRPr="004C78D8" w:rsidRDefault="00E151CE" w:rsidP="00FB7C1F">
          <w:pPr>
            <w:pStyle w:val="TOC2"/>
            <w:tabs>
              <w:tab w:val="right" w:leader="dot" w:pos="9016"/>
            </w:tabs>
            <w:rPr>
              <w:rFonts w:asciiTheme="minorHAnsi" w:hAnsiTheme="minorHAnsi"/>
              <w:noProof/>
            </w:rPr>
          </w:pPr>
          <w:hyperlink w:anchor="_Toc111630813" w:history="1">
            <w:r w:rsidRPr="004C78D8">
              <w:rPr>
                <w:rStyle w:val="Hyperlink"/>
                <w:noProof/>
              </w:rPr>
              <w:t>7.3 Implications for further geriatric public health economic modelling</w:t>
            </w:r>
            <w:r w:rsidRPr="004C78D8">
              <w:rPr>
                <w:noProof/>
                <w:webHidden/>
              </w:rPr>
              <w:tab/>
            </w:r>
            <w:r w:rsidRPr="004C78D8">
              <w:rPr>
                <w:noProof/>
                <w:webHidden/>
              </w:rPr>
              <w:fldChar w:fldCharType="begin"/>
            </w:r>
            <w:r w:rsidRPr="004C78D8">
              <w:rPr>
                <w:noProof/>
                <w:webHidden/>
              </w:rPr>
              <w:instrText xml:space="preserve"> PAGEREF _Toc111630813 \h </w:instrText>
            </w:r>
            <w:r w:rsidRPr="004C78D8">
              <w:rPr>
                <w:noProof/>
                <w:webHidden/>
              </w:rPr>
            </w:r>
            <w:r w:rsidRPr="004C78D8">
              <w:rPr>
                <w:noProof/>
                <w:webHidden/>
              </w:rPr>
              <w:fldChar w:fldCharType="separate"/>
            </w:r>
            <w:r w:rsidRPr="004C78D8">
              <w:rPr>
                <w:noProof/>
                <w:webHidden/>
              </w:rPr>
              <w:t>232</w:t>
            </w:r>
            <w:r w:rsidRPr="004C78D8">
              <w:rPr>
                <w:noProof/>
                <w:webHidden/>
              </w:rPr>
              <w:fldChar w:fldCharType="end"/>
            </w:r>
          </w:hyperlink>
        </w:p>
        <w:p w14:paraId="17EE7C41" w14:textId="45F554C5" w:rsidR="00E151CE" w:rsidRPr="004C78D8" w:rsidRDefault="00E151CE" w:rsidP="00FB7C1F">
          <w:pPr>
            <w:pStyle w:val="TOC3"/>
            <w:tabs>
              <w:tab w:val="right" w:leader="dot" w:pos="9016"/>
            </w:tabs>
            <w:rPr>
              <w:rFonts w:asciiTheme="minorHAnsi" w:hAnsiTheme="minorHAnsi"/>
              <w:noProof/>
            </w:rPr>
          </w:pPr>
          <w:hyperlink w:anchor="_Toc111630814" w:history="1">
            <w:r w:rsidRPr="004C78D8">
              <w:rPr>
                <w:rStyle w:val="Hyperlink"/>
                <w:noProof/>
              </w:rPr>
              <w:t>7.3.1 Concern on bias in geriatric economic evaluation</w:t>
            </w:r>
            <w:r w:rsidRPr="004C78D8">
              <w:rPr>
                <w:noProof/>
                <w:webHidden/>
              </w:rPr>
              <w:tab/>
            </w:r>
            <w:r w:rsidRPr="004C78D8">
              <w:rPr>
                <w:noProof/>
                <w:webHidden/>
              </w:rPr>
              <w:fldChar w:fldCharType="begin"/>
            </w:r>
            <w:r w:rsidRPr="004C78D8">
              <w:rPr>
                <w:noProof/>
                <w:webHidden/>
              </w:rPr>
              <w:instrText xml:space="preserve"> PAGEREF _Toc111630814 \h </w:instrText>
            </w:r>
            <w:r w:rsidRPr="004C78D8">
              <w:rPr>
                <w:noProof/>
                <w:webHidden/>
              </w:rPr>
            </w:r>
            <w:r w:rsidRPr="004C78D8">
              <w:rPr>
                <w:noProof/>
                <w:webHidden/>
              </w:rPr>
              <w:fldChar w:fldCharType="separate"/>
            </w:r>
            <w:r w:rsidRPr="004C78D8">
              <w:rPr>
                <w:noProof/>
                <w:webHidden/>
              </w:rPr>
              <w:t>233</w:t>
            </w:r>
            <w:r w:rsidRPr="004C78D8">
              <w:rPr>
                <w:noProof/>
                <w:webHidden/>
              </w:rPr>
              <w:fldChar w:fldCharType="end"/>
            </w:r>
          </w:hyperlink>
        </w:p>
        <w:p w14:paraId="33217992" w14:textId="58CB5D2A" w:rsidR="00E151CE" w:rsidRPr="004C78D8" w:rsidRDefault="00E151CE" w:rsidP="00FB7C1F">
          <w:pPr>
            <w:pStyle w:val="TOC3"/>
            <w:tabs>
              <w:tab w:val="right" w:leader="dot" w:pos="9016"/>
            </w:tabs>
            <w:rPr>
              <w:rFonts w:asciiTheme="minorHAnsi" w:hAnsiTheme="minorHAnsi"/>
              <w:noProof/>
            </w:rPr>
          </w:pPr>
          <w:hyperlink w:anchor="_Toc111630815" w:history="1">
            <w:r w:rsidRPr="004C78D8">
              <w:rPr>
                <w:rStyle w:val="Hyperlink"/>
                <w:noProof/>
              </w:rPr>
              <w:t>7.3.2 High integration of care</w:t>
            </w:r>
            <w:r w:rsidRPr="004C78D8">
              <w:rPr>
                <w:noProof/>
                <w:webHidden/>
              </w:rPr>
              <w:tab/>
            </w:r>
            <w:r w:rsidRPr="004C78D8">
              <w:rPr>
                <w:noProof/>
                <w:webHidden/>
              </w:rPr>
              <w:fldChar w:fldCharType="begin"/>
            </w:r>
            <w:r w:rsidRPr="004C78D8">
              <w:rPr>
                <w:noProof/>
                <w:webHidden/>
              </w:rPr>
              <w:instrText xml:space="preserve"> PAGEREF _Toc111630815 \h </w:instrText>
            </w:r>
            <w:r w:rsidRPr="004C78D8">
              <w:rPr>
                <w:noProof/>
                <w:webHidden/>
              </w:rPr>
            </w:r>
            <w:r w:rsidRPr="004C78D8">
              <w:rPr>
                <w:noProof/>
                <w:webHidden/>
              </w:rPr>
              <w:fldChar w:fldCharType="separate"/>
            </w:r>
            <w:r w:rsidRPr="004C78D8">
              <w:rPr>
                <w:noProof/>
                <w:webHidden/>
              </w:rPr>
              <w:t>234</w:t>
            </w:r>
            <w:r w:rsidRPr="004C78D8">
              <w:rPr>
                <w:noProof/>
                <w:webHidden/>
              </w:rPr>
              <w:fldChar w:fldCharType="end"/>
            </w:r>
          </w:hyperlink>
        </w:p>
        <w:p w14:paraId="2641931C" w14:textId="2E76D5C8" w:rsidR="00E151CE" w:rsidRPr="004C78D8" w:rsidRDefault="00E151CE" w:rsidP="00FB7C1F">
          <w:pPr>
            <w:pStyle w:val="TOC2"/>
            <w:tabs>
              <w:tab w:val="right" w:leader="dot" w:pos="9016"/>
            </w:tabs>
            <w:rPr>
              <w:rFonts w:asciiTheme="minorHAnsi" w:hAnsiTheme="minorHAnsi"/>
              <w:noProof/>
            </w:rPr>
          </w:pPr>
          <w:hyperlink w:anchor="_Toc111630816" w:history="1">
            <w:r w:rsidRPr="004C78D8">
              <w:rPr>
                <w:rStyle w:val="Hyperlink"/>
                <w:noProof/>
              </w:rPr>
              <w:t>7.4 Study strengths and limitations</w:t>
            </w:r>
            <w:r w:rsidRPr="004C78D8">
              <w:rPr>
                <w:noProof/>
                <w:webHidden/>
              </w:rPr>
              <w:tab/>
            </w:r>
            <w:r w:rsidRPr="004C78D8">
              <w:rPr>
                <w:noProof/>
                <w:webHidden/>
              </w:rPr>
              <w:fldChar w:fldCharType="begin"/>
            </w:r>
            <w:r w:rsidRPr="004C78D8">
              <w:rPr>
                <w:noProof/>
                <w:webHidden/>
              </w:rPr>
              <w:instrText xml:space="preserve"> PAGEREF _Toc111630816 \h </w:instrText>
            </w:r>
            <w:r w:rsidRPr="004C78D8">
              <w:rPr>
                <w:noProof/>
                <w:webHidden/>
              </w:rPr>
            </w:r>
            <w:r w:rsidRPr="004C78D8">
              <w:rPr>
                <w:noProof/>
                <w:webHidden/>
              </w:rPr>
              <w:fldChar w:fldCharType="separate"/>
            </w:r>
            <w:r w:rsidRPr="004C78D8">
              <w:rPr>
                <w:noProof/>
                <w:webHidden/>
              </w:rPr>
              <w:t>235</w:t>
            </w:r>
            <w:r w:rsidRPr="004C78D8">
              <w:rPr>
                <w:noProof/>
                <w:webHidden/>
              </w:rPr>
              <w:fldChar w:fldCharType="end"/>
            </w:r>
          </w:hyperlink>
        </w:p>
        <w:p w14:paraId="3CB54E12" w14:textId="6AB7829D" w:rsidR="00E151CE" w:rsidRPr="004C78D8" w:rsidRDefault="00E151CE" w:rsidP="00FB7C1F">
          <w:pPr>
            <w:pStyle w:val="TOC2"/>
            <w:tabs>
              <w:tab w:val="right" w:leader="dot" w:pos="9016"/>
            </w:tabs>
            <w:rPr>
              <w:rFonts w:asciiTheme="minorHAnsi" w:hAnsiTheme="minorHAnsi"/>
              <w:noProof/>
            </w:rPr>
          </w:pPr>
          <w:hyperlink w:anchor="_Toc111630817" w:history="1">
            <w:r w:rsidRPr="004C78D8">
              <w:rPr>
                <w:rStyle w:val="Hyperlink"/>
                <w:noProof/>
              </w:rPr>
              <w:t>7.5 Further research</w:t>
            </w:r>
            <w:r w:rsidRPr="004C78D8">
              <w:rPr>
                <w:noProof/>
                <w:webHidden/>
              </w:rPr>
              <w:tab/>
            </w:r>
            <w:r w:rsidRPr="004C78D8">
              <w:rPr>
                <w:noProof/>
                <w:webHidden/>
              </w:rPr>
              <w:fldChar w:fldCharType="begin"/>
            </w:r>
            <w:r w:rsidRPr="004C78D8">
              <w:rPr>
                <w:noProof/>
                <w:webHidden/>
              </w:rPr>
              <w:instrText xml:space="preserve"> PAGEREF _Toc111630817 \h </w:instrText>
            </w:r>
            <w:r w:rsidRPr="004C78D8">
              <w:rPr>
                <w:noProof/>
                <w:webHidden/>
              </w:rPr>
            </w:r>
            <w:r w:rsidRPr="004C78D8">
              <w:rPr>
                <w:noProof/>
                <w:webHidden/>
              </w:rPr>
              <w:fldChar w:fldCharType="separate"/>
            </w:r>
            <w:r w:rsidRPr="004C78D8">
              <w:rPr>
                <w:noProof/>
                <w:webHidden/>
              </w:rPr>
              <w:t>236</w:t>
            </w:r>
            <w:r w:rsidRPr="004C78D8">
              <w:rPr>
                <w:noProof/>
                <w:webHidden/>
              </w:rPr>
              <w:fldChar w:fldCharType="end"/>
            </w:r>
          </w:hyperlink>
        </w:p>
        <w:p w14:paraId="1280EB86" w14:textId="1525295A" w:rsidR="00E151CE" w:rsidRPr="004C78D8" w:rsidRDefault="00E151CE" w:rsidP="00FB7C1F">
          <w:pPr>
            <w:pStyle w:val="TOC3"/>
            <w:tabs>
              <w:tab w:val="right" w:leader="dot" w:pos="9016"/>
            </w:tabs>
            <w:rPr>
              <w:rFonts w:asciiTheme="minorHAnsi" w:hAnsiTheme="minorHAnsi"/>
              <w:noProof/>
            </w:rPr>
          </w:pPr>
          <w:hyperlink w:anchor="_Toc111630818" w:history="1">
            <w:r w:rsidRPr="004C78D8">
              <w:rPr>
                <w:rStyle w:val="Hyperlink"/>
                <w:noProof/>
              </w:rPr>
              <w:t>7.5.1 Conceptual modelling</w:t>
            </w:r>
            <w:r w:rsidRPr="004C78D8">
              <w:rPr>
                <w:noProof/>
                <w:webHidden/>
              </w:rPr>
              <w:tab/>
            </w:r>
            <w:r w:rsidRPr="004C78D8">
              <w:rPr>
                <w:noProof/>
                <w:webHidden/>
              </w:rPr>
              <w:fldChar w:fldCharType="begin"/>
            </w:r>
            <w:r w:rsidRPr="004C78D8">
              <w:rPr>
                <w:noProof/>
                <w:webHidden/>
              </w:rPr>
              <w:instrText xml:space="preserve"> PAGEREF _Toc111630818 \h </w:instrText>
            </w:r>
            <w:r w:rsidRPr="004C78D8">
              <w:rPr>
                <w:noProof/>
                <w:webHidden/>
              </w:rPr>
            </w:r>
            <w:r w:rsidRPr="004C78D8">
              <w:rPr>
                <w:noProof/>
                <w:webHidden/>
              </w:rPr>
              <w:fldChar w:fldCharType="separate"/>
            </w:r>
            <w:r w:rsidRPr="004C78D8">
              <w:rPr>
                <w:noProof/>
                <w:webHidden/>
              </w:rPr>
              <w:t>236</w:t>
            </w:r>
            <w:r w:rsidRPr="004C78D8">
              <w:rPr>
                <w:noProof/>
                <w:webHidden/>
              </w:rPr>
              <w:fldChar w:fldCharType="end"/>
            </w:r>
          </w:hyperlink>
        </w:p>
        <w:p w14:paraId="76D82521" w14:textId="176C104F" w:rsidR="00E151CE" w:rsidRPr="004C78D8" w:rsidRDefault="00E151CE" w:rsidP="00FB7C1F">
          <w:pPr>
            <w:pStyle w:val="TOC3"/>
            <w:tabs>
              <w:tab w:val="right" w:leader="dot" w:pos="9016"/>
            </w:tabs>
            <w:rPr>
              <w:rFonts w:asciiTheme="minorHAnsi" w:hAnsiTheme="minorHAnsi"/>
              <w:noProof/>
            </w:rPr>
          </w:pPr>
          <w:hyperlink w:anchor="_Toc111630819" w:history="1">
            <w:r w:rsidRPr="004C78D8">
              <w:rPr>
                <w:rStyle w:val="Hyperlink"/>
                <w:noProof/>
              </w:rPr>
              <w:t>7.5.2 Falls epidemiology and intervention modelling</w:t>
            </w:r>
            <w:r w:rsidRPr="004C78D8">
              <w:rPr>
                <w:noProof/>
                <w:webHidden/>
              </w:rPr>
              <w:tab/>
            </w:r>
            <w:r w:rsidRPr="004C78D8">
              <w:rPr>
                <w:noProof/>
                <w:webHidden/>
              </w:rPr>
              <w:fldChar w:fldCharType="begin"/>
            </w:r>
            <w:r w:rsidRPr="004C78D8">
              <w:rPr>
                <w:noProof/>
                <w:webHidden/>
              </w:rPr>
              <w:instrText xml:space="preserve"> PAGEREF _Toc111630819 \h </w:instrText>
            </w:r>
            <w:r w:rsidRPr="004C78D8">
              <w:rPr>
                <w:noProof/>
                <w:webHidden/>
              </w:rPr>
            </w:r>
            <w:r w:rsidRPr="004C78D8">
              <w:rPr>
                <w:noProof/>
                <w:webHidden/>
              </w:rPr>
              <w:fldChar w:fldCharType="separate"/>
            </w:r>
            <w:r w:rsidRPr="004C78D8">
              <w:rPr>
                <w:noProof/>
                <w:webHidden/>
              </w:rPr>
              <w:t>236</w:t>
            </w:r>
            <w:r w:rsidRPr="004C78D8">
              <w:rPr>
                <w:noProof/>
                <w:webHidden/>
              </w:rPr>
              <w:fldChar w:fldCharType="end"/>
            </w:r>
          </w:hyperlink>
        </w:p>
        <w:p w14:paraId="5D155EB2" w14:textId="551ABC65" w:rsidR="00E151CE" w:rsidRPr="004C78D8" w:rsidRDefault="00E151CE" w:rsidP="00FB7C1F">
          <w:pPr>
            <w:pStyle w:val="TOC3"/>
            <w:tabs>
              <w:tab w:val="right" w:leader="dot" w:pos="9016"/>
            </w:tabs>
            <w:rPr>
              <w:rFonts w:asciiTheme="minorHAnsi" w:hAnsiTheme="minorHAnsi"/>
              <w:noProof/>
            </w:rPr>
          </w:pPr>
          <w:hyperlink w:anchor="_Toc111630820" w:history="1">
            <w:r w:rsidRPr="004C78D8">
              <w:rPr>
                <w:rStyle w:val="Hyperlink"/>
                <w:noProof/>
              </w:rPr>
              <w:t>7.5.3 Key challenges for public health economic modelling</w:t>
            </w:r>
            <w:r w:rsidRPr="004C78D8">
              <w:rPr>
                <w:noProof/>
                <w:webHidden/>
              </w:rPr>
              <w:tab/>
            </w:r>
            <w:r w:rsidRPr="004C78D8">
              <w:rPr>
                <w:noProof/>
                <w:webHidden/>
              </w:rPr>
              <w:fldChar w:fldCharType="begin"/>
            </w:r>
            <w:r w:rsidRPr="004C78D8">
              <w:rPr>
                <w:noProof/>
                <w:webHidden/>
              </w:rPr>
              <w:instrText xml:space="preserve"> PAGEREF _Toc111630820 \h </w:instrText>
            </w:r>
            <w:r w:rsidRPr="004C78D8">
              <w:rPr>
                <w:noProof/>
                <w:webHidden/>
              </w:rPr>
            </w:r>
            <w:r w:rsidRPr="004C78D8">
              <w:rPr>
                <w:noProof/>
                <w:webHidden/>
              </w:rPr>
              <w:fldChar w:fldCharType="separate"/>
            </w:r>
            <w:r w:rsidRPr="004C78D8">
              <w:rPr>
                <w:noProof/>
                <w:webHidden/>
              </w:rPr>
              <w:t>237</w:t>
            </w:r>
            <w:r w:rsidRPr="004C78D8">
              <w:rPr>
                <w:noProof/>
                <w:webHidden/>
              </w:rPr>
              <w:fldChar w:fldCharType="end"/>
            </w:r>
          </w:hyperlink>
        </w:p>
        <w:p w14:paraId="17DEA84F" w14:textId="04D5D190" w:rsidR="00E151CE" w:rsidRPr="004C78D8" w:rsidRDefault="00E151CE" w:rsidP="00FB7C1F">
          <w:pPr>
            <w:pStyle w:val="TOC3"/>
            <w:tabs>
              <w:tab w:val="right" w:leader="dot" w:pos="9016"/>
            </w:tabs>
            <w:rPr>
              <w:rFonts w:asciiTheme="minorHAnsi" w:hAnsiTheme="minorHAnsi"/>
              <w:noProof/>
            </w:rPr>
          </w:pPr>
          <w:hyperlink w:anchor="_Toc111630821" w:history="1">
            <w:r w:rsidRPr="004C78D8">
              <w:rPr>
                <w:rStyle w:val="Hyperlink"/>
                <w:noProof/>
              </w:rPr>
              <w:t>7.5.4 Evaluation methods</w:t>
            </w:r>
            <w:r w:rsidRPr="004C78D8">
              <w:rPr>
                <w:noProof/>
                <w:webHidden/>
              </w:rPr>
              <w:tab/>
            </w:r>
            <w:r w:rsidRPr="004C78D8">
              <w:rPr>
                <w:noProof/>
                <w:webHidden/>
              </w:rPr>
              <w:fldChar w:fldCharType="begin"/>
            </w:r>
            <w:r w:rsidRPr="004C78D8">
              <w:rPr>
                <w:noProof/>
                <w:webHidden/>
              </w:rPr>
              <w:instrText xml:space="preserve"> PAGEREF _Toc111630821 \h </w:instrText>
            </w:r>
            <w:r w:rsidRPr="004C78D8">
              <w:rPr>
                <w:noProof/>
                <w:webHidden/>
              </w:rPr>
            </w:r>
            <w:r w:rsidRPr="004C78D8">
              <w:rPr>
                <w:noProof/>
                <w:webHidden/>
              </w:rPr>
              <w:fldChar w:fldCharType="separate"/>
            </w:r>
            <w:r w:rsidRPr="004C78D8">
              <w:rPr>
                <w:noProof/>
                <w:webHidden/>
              </w:rPr>
              <w:t>238</w:t>
            </w:r>
            <w:r w:rsidRPr="004C78D8">
              <w:rPr>
                <w:noProof/>
                <w:webHidden/>
              </w:rPr>
              <w:fldChar w:fldCharType="end"/>
            </w:r>
          </w:hyperlink>
        </w:p>
        <w:p w14:paraId="53EBA9C7" w14:textId="31ED44E9" w:rsidR="00E151CE" w:rsidRPr="004C78D8" w:rsidRDefault="00E151CE" w:rsidP="00FB7C1F">
          <w:pPr>
            <w:pStyle w:val="TOC2"/>
            <w:tabs>
              <w:tab w:val="right" w:leader="dot" w:pos="9016"/>
            </w:tabs>
            <w:rPr>
              <w:rFonts w:asciiTheme="minorHAnsi" w:hAnsiTheme="minorHAnsi"/>
              <w:noProof/>
            </w:rPr>
          </w:pPr>
          <w:hyperlink w:anchor="_Toc111630822" w:history="1">
            <w:r w:rsidRPr="004C78D8">
              <w:rPr>
                <w:rStyle w:val="Hyperlink"/>
                <w:noProof/>
              </w:rPr>
              <w:t>7.6 Conclusion</w:t>
            </w:r>
            <w:r w:rsidRPr="004C78D8">
              <w:rPr>
                <w:noProof/>
                <w:webHidden/>
              </w:rPr>
              <w:tab/>
            </w:r>
            <w:r w:rsidRPr="004C78D8">
              <w:rPr>
                <w:noProof/>
                <w:webHidden/>
              </w:rPr>
              <w:fldChar w:fldCharType="begin"/>
            </w:r>
            <w:r w:rsidRPr="004C78D8">
              <w:rPr>
                <w:noProof/>
                <w:webHidden/>
              </w:rPr>
              <w:instrText xml:space="preserve"> PAGEREF _Toc111630822 \h </w:instrText>
            </w:r>
            <w:r w:rsidRPr="004C78D8">
              <w:rPr>
                <w:noProof/>
                <w:webHidden/>
              </w:rPr>
            </w:r>
            <w:r w:rsidRPr="004C78D8">
              <w:rPr>
                <w:noProof/>
                <w:webHidden/>
              </w:rPr>
              <w:fldChar w:fldCharType="separate"/>
            </w:r>
            <w:r w:rsidRPr="004C78D8">
              <w:rPr>
                <w:noProof/>
                <w:webHidden/>
              </w:rPr>
              <w:t>239</w:t>
            </w:r>
            <w:r w:rsidRPr="004C78D8">
              <w:rPr>
                <w:noProof/>
                <w:webHidden/>
              </w:rPr>
              <w:fldChar w:fldCharType="end"/>
            </w:r>
          </w:hyperlink>
        </w:p>
        <w:p w14:paraId="12DD1149" w14:textId="7E320C77" w:rsidR="00E151CE" w:rsidRPr="004C78D8" w:rsidRDefault="00E151CE" w:rsidP="00FB7C1F">
          <w:pPr>
            <w:pStyle w:val="TOC1"/>
            <w:rPr>
              <w:rFonts w:asciiTheme="minorHAnsi" w:hAnsiTheme="minorHAnsi"/>
              <w:noProof/>
            </w:rPr>
          </w:pPr>
          <w:hyperlink w:anchor="_Toc111630823" w:history="1">
            <w:r w:rsidRPr="004C78D8">
              <w:rPr>
                <w:rStyle w:val="Hyperlink"/>
                <w:noProof/>
              </w:rPr>
              <w:t>References</w:t>
            </w:r>
            <w:r w:rsidRPr="004C78D8">
              <w:rPr>
                <w:noProof/>
                <w:webHidden/>
              </w:rPr>
              <w:tab/>
            </w:r>
            <w:r w:rsidRPr="004C78D8">
              <w:rPr>
                <w:noProof/>
                <w:webHidden/>
              </w:rPr>
              <w:fldChar w:fldCharType="begin"/>
            </w:r>
            <w:r w:rsidRPr="004C78D8">
              <w:rPr>
                <w:noProof/>
                <w:webHidden/>
              </w:rPr>
              <w:instrText xml:space="preserve"> PAGEREF _Toc111630823 \h </w:instrText>
            </w:r>
            <w:r w:rsidRPr="004C78D8">
              <w:rPr>
                <w:noProof/>
                <w:webHidden/>
              </w:rPr>
            </w:r>
            <w:r w:rsidRPr="004C78D8">
              <w:rPr>
                <w:noProof/>
                <w:webHidden/>
              </w:rPr>
              <w:fldChar w:fldCharType="separate"/>
            </w:r>
            <w:r w:rsidRPr="004C78D8">
              <w:rPr>
                <w:noProof/>
                <w:webHidden/>
              </w:rPr>
              <w:t>240</w:t>
            </w:r>
            <w:r w:rsidRPr="004C78D8">
              <w:rPr>
                <w:noProof/>
                <w:webHidden/>
              </w:rPr>
              <w:fldChar w:fldCharType="end"/>
            </w:r>
          </w:hyperlink>
        </w:p>
        <w:p w14:paraId="19B9A98D" w14:textId="2C9C3006" w:rsidR="00FD5753" w:rsidRPr="004C78D8" w:rsidRDefault="00FD5753" w:rsidP="00FB7C1F">
          <w:r w:rsidRPr="004C78D8">
            <w:rPr>
              <w:b/>
              <w:bCs/>
              <w:noProof/>
            </w:rPr>
            <w:fldChar w:fldCharType="end"/>
          </w:r>
        </w:p>
      </w:sdtContent>
    </w:sdt>
    <w:p w14:paraId="5167FE43" w14:textId="77777777" w:rsidR="00615812" w:rsidRPr="004C78D8" w:rsidRDefault="00615812" w:rsidP="00FB7C1F">
      <w:r w:rsidRPr="004C78D8">
        <w:br w:type="page"/>
      </w:r>
    </w:p>
    <w:p w14:paraId="2717DDAD" w14:textId="22839789" w:rsidR="001A1CA6" w:rsidRPr="004C78D8" w:rsidRDefault="001A1CA6" w:rsidP="00FB7C1F">
      <w:pPr>
        <w:pStyle w:val="Heading1"/>
      </w:pPr>
      <w:bookmarkStart w:id="11" w:name="_Toc93566841"/>
      <w:bookmarkStart w:id="12" w:name="_Toc111630685"/>
      <w:r w:rsidRPr="004C78D8">
        <w:lastRenderedPageBreak/>
        <w:t>List of Tables and Figures</w:t>
      </w:r>
      <w:bookmarkEnd w:id="11"/>
      <w:bookmarkEnd w:id="12"/>
    </w:p>
    <w:tbl>
      <w:tblPr>
        <w:tblStyle w:val="TableGrid"/>
        <w:tblW w:w="0" w:type="auto"/>
        <w:tblLook w:val="04A0" w:firstRow="1" w:lastRow="0" w:firstColumn="1" w:lastColumn="0" w:noHBand="0" w:noVBand="1"/>
      </w:tblPr>
      <w:tblGrid>
        <w:gridCol w:w="1271"/>
        <w:gridCol w:w="7745"/>
      </w:tblGrid>
      <w:tr w:rsidR="00B816B8" w:rsidRPr="004C78D8" w14:paraId="15CBE6CF" w14:textId="77777777" w:rsidTr="00ED34DC">
        <w:tc>
          <w:tcPr>
            <w:tcW w:w="1271" w:type="dxa"/>
          </w:tcPr>
          <w:p w14:paraId="2C9865AD" w14:textId="4BDAB073" w:rsidR="00B816B8" w:rsidRPr="004C78D8" w:rsidRDefault="000628EE" w:rsidP="00FB7C1F">
            <w:r w:rsidRPr="004C78D8">
              <w:t>Table 2.1</w:t>
            </w:r>
          </w:p>
        </w:tc>
        <w:tc>
          <w:tcPr>
            <w:tcW w:w="7745" w:type="dxa"/>
          </w:tcPr>
          <w:p w14:paraId="6D8155F7" w14:textId="315B641D" w:rsidR="00B816B8" w:rsidRPr="004C78D8" w:rsidRDefault="000628EE" w:rsidP="00FB7C1F">
            <w:pPr>
              <w:jc w:val="left"/>
            </w:pPr>
            <w:r w:rsidRPr="004C78D8">
              <w:t>Summary of qualitative study participant characteristics.</w:t>
            </w:r>
          </w:p>
        </w:tc>
      </w:tr>
      <w:tr w:rsidR="00B816B8" w:rsidRPr="004C78D8" w14:paraId="45744156" w14:textId="77777777" w:rsidTr="00ED34DC">
        <w:tc>
          <w:tcPr>
            <w:tcW w:w="1271" w:type="dxa"/>
          </w:tcPr>
          <w:p w14:paraId="4A625343" w14:textId="39BFFB15" w:rsidR="00B816B8" w:rsidRPr="004C78D8" w:rsidRDefault="00232E55" w:rsidP="00FB7C1F">
            <w:r w:rsidRPr="004C78D8">
              <w:t>Table 2.2</w:t>
            </w:r>
          </w:p>
        </w:tc>
        <w:tc>
          <w:tcPr>
            <w:tcW w:w="7745" w:type="dxa"/>
          </w:tcPr>
          <w:p w14:paraId="392116CB" w14:textId="1510143F" w:rsidR="00B816B8" w:rsidRPr="004C78D8" w:rsidRDefault="00232E55" w:rsidP="00FB7C1F">
            <w:pPr>
              <w:jc w:val="left"/>
            </w:pPr>
            <w:r w:rsidRPr="004C78D8">
              <w:t>Summary of identified facilitators and barriers to the falls prevention pathway components.</w:t>
            </w:r>
          </w:p>
        </w:tc>
      </w:tr>
      <w:tr w:rsidR="00B816B8" w:rsidRPr="004C78D8" w14:paraId="5FF05772" w14:textId="77777777" w:rsidTr="00ED34DC">
        <w:tc>
          <w:tcPr>
            <w:tcW w:w="1271" w:type="dxa"/>
          </w:tcPr>
          <w:p w14:paraId="17FB670C" w14:textId="07E14C74" w:rsidR="00B816B8" w:rsidRPr="004C78D8" w:rsidRDefault="006A5642" w:rsidP="00FB7C1F">
            <w:r w:rsidRPr="004C78D8">
              <w:t>Table 2.3</w:t>
            </w:r>
          </w:p>
        </w:tc>
        <w:tc>
          <w:tcPr>
            <w:tcW w:w="7745" w:type="dxa"/>
          </w:tcPr>
          <w:p w14:paraId="22ACF2EE" w14:textId="693EB476" w:rsidR="00B816B8" w:rsidRPr="004C78D8" w:rsidRDefault="006A5642" w:rsidP="00FB7C1F">
            <w:pPr>
              <w:jc w:val="left"/>
            </w:pPr>
            <w:r w:rsidRPr="004C78D8">
              <w:t>Summary of contextual factors influencing the falls prevention pathway.</w:t>
            </w:r>
          </w:p>
        </w:tc>
      </w:tr>
      <w:tr w:rsidR="00B816B8" w:rsidRPr="004C78D8" w14:paraId="2396FD43" w14:textId="77777777" w:rsidTr="00ED34DC">
        <w:tc>
          <w:tcPr>
            <w:tcW w:w="1271" w:type="dxa"/>
          </w:tcPr>
          <w:p w14:paraId="22579917" w14:textId="26193C90" w:rsidR="00B816B8" w:rsidRPr="004C78D8" w:rsidRDefault="00370509" w:rsidP="00FB7C1F">
            <w:r w:rsidRPr="004C78D8">
              <w:t>Table 2.4</w:t>
            </w:r>
          </w:p>
        </w:tc>
        <w:tc>
          <w:tcPr>
            <w:tcW w:w="7745" w:type="dxa"/>
          </w:tcPr>
          <w:p w14:paraId="1598D7AE" w14:textId="313519C9" w:rsidR="00B816B8" w:rsidRPr="004C78D8" w:rsidRDefault="00370509" w:rsidP="00FB7C1F">
            <w:pPr>
              <w:jc w:val="left"/>
            </w:pPr>
            <w:r w:rsidRPr="004C78D8">
              <w:t>Themes arranged by the CICI-HNA framework to inform commissioning decisions.</w:t>
            </w:r>
          </w:p>
        </w:tc>
      </w:tr>
      <w:tr w:rsidR="00370509" w:rsidRPr="004C78D8" w14:paraId="43488787" w14:textId="77777777" w:rsidTr="00ED34DC">
        <w:tc>
          <w:tcPr>
            <w:tcW w:w="1271" w:type="dxa"/>
          </w:tcPr>
          <w:p w14:paraId="13037EC5" w14:textId="60D1B379" w:rsidR="00370509" w:rsidRPr="004C78D8" w:rsidRDefault="003E7300" w:rsidP="00FB7C1F">
            <w:r w:rsidRPr="004C78D8">
              <w:t>Table 2.5</w:t>
            </w:r>
          </w:p>
        </w:tc>
        <w:tc>
          <w:tcPr>
            <w:tcW w:w="7745" w:type="dxa"/>
          </w:tcPr>
          <w:p w14:paraId="08230A23" w14:textId="67DF1168" w:rsidR="00370509" w:rsidRPr="004C78D8" w:rsidRDefault="003E7300" w:rsidP="00FB7C1F">
            <w:pPr>
              <w:jc w:val="left"/>
            </w:pPr>
            <w:r w:rsidRPr="004C78D8">
              <w:t>Methodological and evaluative challenges for falls prevention economic modelling.</w:t>
            </w:r>
          </w:p>
        </w:tc>
      </w:tr>
      <w:tr w:rsidR="00370509" w:rsidRPr="004C78D8" w14:paraId="532FD70D" w14:textId="77777777" w:rsidTr="00ED34DC">
        <w:tc>
          <w:tcPr>
            <w:tcW w:w="1271" w:type="dxa"/>
          </w:tcPr>
          <w:p w14:paraId="1D60764B" w14:textId="66D77626" w:rsidR="00370509" w:rsidRPr="004C78D8" w:rsidRDefault="00B07AD2" w:rsidP="00FB7C1F">
            <w:r w:rsidRPr="004C78D8">
              <w:t>Table 3.1</w:t>
            </w:r>
          </w:p>
        </w:tc>
        <w:tc>
          <w:tcPr>
            <w:tcW w:w="7745" w:type="dxa"/>
          </w:tcPr>
          <w:p w14:paraId="18A6D46B" w14:textId="15DCF708" w:rsidR="00370509" w:rsidRPr="004C78D8" w:rsidRDefault="00B07AD2" w:rsidP="00FB7C1F">
            <w:pPr>
              <w:jc w:val="left"/>
            </w:pPr>
            <w:r w:rsidRPr="004C78D8">
              <w:t>Stakeholder types and members for falls prevention conceptual model development.</w:t>
            </w:r>
          </w:p>
        </w:tc>
      </w:tr>
      <w:tr w:rsidR="00370509" w:rsidRPr="004C78D8" w14:paraId="7859940C" w14:textId="77777777" w:rsidTr="00ED34DC">
        <w:tc>
          <w:tcPr>
            <w:tcW w:w="1271" w:type="dxa"/>
          </w:tcPr>
          <w:p w14:paraId="610F72C6" w14:textId="241525FF" w:rsidR="00370509" w:rsidRPr="004C78D8" w:rsidRDefault="00B07AD2" w:rsidP="00FB7C1F">
            <w:r w:rsidRPr="004C78D8">
              <w:t>Table 3.2</w:t>
            </w:r>
          </w:p>
        </w:tc>
        <w:tc>
          <w:tcPr>
            <w:tcW w:w="7745" w:type="dxa"/>
          </w:tcPr>
          <w:p w14:paraId="28B30F2A" w14:textId="04330E4D" w:rsidR="00370509" w:rsidRPr="004C78D8" w:rsidRDefault="002974E1" w:rsidP="00FB7C1F">
            <w:pPr>
              <w:jc w:val="left"/>
            </w:pPr>
            <w:r w:rsidRPr="004C78D8">
              <w:t>Summary of evidence searching approaches for model conceptualisation.</w:t>
            </w:r>
          </w:p>
        </w:tc>
      </w:tr>
      <w:tr w:rsidR="002974E1" w:rsidRPr="004C78D8" w14:paraId="6334543D" w14:textId="77777777" w:rsidTr="00ED34DC">
        <w:tc>
          <w:tcPr>
            <w:tcW w:w="1271" w:type="dxa"/>
          </w:tcPr>
          <w:p w14:paraId="7171C96F" w14:textId="15F257A9" w:rsidR="002974E1" w:rsidRPr="004C78D8" w:rsidRDefault="002974E1" w:rsidP="00FB7C1F">
            <w:r w:rsidRPr="004C78D8">
              <w:t>Table 3.3</w:t>
            </w:r>
          </w:p>
        </w:tc>
        <w:tc>
          <w:tcPr>
            <w:tcW w:w="7745" w:type="dxa"/>
          </w:tcPr>
          <w:p w14:paraId="3549970B" w14:textId="6E2FB173" w:rsidR="002974E1" w:rsidRPr="004C78D8" w:rsidRDefault="000D29FA" w:rsidP="00FB7C1F">
            <w:pPr>
              <w:jc w:val="left"/>
            </w:pPr>
            <w:r w:rsidRPr="004C78D8">
              <w:t>Intervention components within the prospective Sheffield Active Support &amp; Recovery scheme in June 2018.</w:t>
            </w:r>
          </w:p>
        </w:tc>
      </w:tr>
      <w:tr w:rsidR="002974E1" w:rsidRPr="004C78D8" w14:paraId="57D6356E" w14:textId="77777777" w:rsidTr="00ED34DC">
        <w:tc>
          <w:tcPr>
            <w:tcW w:w="1271" w:type="dxa"/>
          </w:tcPr>
          <w:p w14:paraId="71509FEF" w14:textId="6102E8D0" w:rsidR="002974E1" w:rsidRPr="004C78D8" w:rsidRDefault="000D29FA" w:rsidP="00FB7C1F">
            <w:r w:rsidRPr="004C78D8">
              <w:t>Table 3.4</w:t>
            </w:r>
          </w:p>
        </w:tc>
        <w:tc>
          <w:tcPr>
            <w:tcW w:w="7745" w:type="dxa"/>
          </w:tcPr>
          <w:p w14:paraId="3D1488F0" w14:textId="2EA6F4B5" w:rsidR="002974E1" w:rsidRPr="004C78D8" w:rsidRDefault="00FA2537" w:rsidP="00FB7C1F">
            <w:pPr>
              <w:jc w:val="left"/>
            </w:pPr>
            <w:r w:rsidRPr="004C78D8">
              <w:t>Non-health outcomes and societal intervention costs of falls and falls prevention.</w:t>
            </w:r>
          </w:p>
        </w:tc>
      </w:tr>
      <w:tr w:rsidR="002974E1" w:rsidRPr="004C78D8" w14:paraId="772558F9" w14:textId="77777777" w:rsidTr="00ED34DC">
        <w:tc>
          <w:tcPr>
            <w:tcW w:w="1271" w:type="dxa"/>
          </w:tcPr>
          <w:p w14:paraId="205FC702" w14:textId="4C2AD456" w:rsidR="002974E1" w:rsidRPr="004C78D8" w:rsidRDefault="00A97DF3" w:rsidP="00FB7C1F">
            <w:r w:rsidRPr="004C78D8">
              <w:t>Table 3.5</w:t>
            </w:r>
          </w:p>
        </w:tc>
        <w:tc>
          <w:tcPr>
            <w:tcW w:w="7745" w:type="dxa"/>
          </w:tcPr>
          <w:p w14:paraId="15624CB4" w14:textId="2220D1DE" w:rsidR="002974E1" w:rsidRPr="004C78D8" w:rsidRDefault="00A97DF3" w:rsidP="00FB7C1F">
            <w:pPr>
              <w:jc w:val="left"/>
            </w:pPr>
            <w:r w:rsidRPr="004C78D8">
              <w:rPr>
                <w:bCs/>
              </w:rPr>
              <w:t>Implementation processes by demand and supply dimensions.</w:t>
            </w:r>
          </w:p>
        </w:tc>
      </w:tr>
      <w:tr w:rsidR="002974E1" w:rsidRPr="004C78D8" w14:paraId="30BC5D82" w14:textId="77777777" w:rsidTr="00ED34DC">
        <w:tc>
          <w:tcPr>
            <w:tcW w:w="1271" w:type="dxa"/>
          </w:tcPr>
          <w:p w14:paraId="06E9537B" w14:textId="19C76810" w:rsidR="002974E1" w:rsidRPr="004C78D8" w:rsidRDefault="00E12A56" w:rsidP="00FB7C1F">
            <w:r w:rsidRPr="004C78D8">
              <w:t>Table 3.6</w:t>
            </w:r>
          </w:p>
        </w:tc>
        <w:tc>
          <w:tcPr>
            <w:tcW w:w="7745" w:type="dxa"/>
          </w:tcPr>
          <w:p w14:paraId="40344809" w14:textId="11EFE3EA" w:rsidR="002974E1" w:rsidRPr="004C78D8" w:rsidRDefault="00E12A56" w:rsidP="00FB7C1F">
            <w:pPr>
              <w:jc w:val="left"/>
            </w:pPr>
            <w:r w:rsidRPr="004C78D8">
              <w:t>Summary of links between key causal variables and falls prevention model components.</w:t>
            </w:r>
          </w:p>
        </w:tc>
      </w:tr>
      <w:tr w:rsidR="002974E1" w:rsidRPr="004C78D8" w14:paraId="64753AEE" w14:textId="77777777" w:rsidTr="00ED34DC">
        <w:tc>
          <w:tcPr>
            <w:tcW w:w="1271" w:type="dxa"/>
          </w:tcPr>
          <w:p w14:paraId="42A6E9A3" w14:textId="01C519F3" w:rsidR="002974E1" w:rsidRPr="004C78D8" w:rsidRDefault="00445BC8" w:rsidP="00FB7C1F">
            <w:r w:rsidRPr="004C78D8">
              <w:t>Table 3.7</w:t>
            </w:r>
          </w:p>
        </w:tc>
        <w:tc>
          <w:tcPr>
            <w:tcW w:w="7745" w:type="dxa"/>
          </w:tcPr>
          <w:p w14:paraId="185DE05E" w14:textId="6A7FB9A3" w:rsidR="002974E1" w:rsidRPr="004C78D8" w:rsidRDefault="00445BC8" w:rsidP="00FB7C1F">
            <w:pPr>
              <w:jc w:val="left"/>
            </w:pPr>
            <w:r w:rsidRPr="004C78D8">
              <w:t xml:space="preserve">Current falls prevention </w:t>
            </w:r>
            <w:r w:rsidR="00E53935" w:rsidRPr="004C78D8">
              <w:t>intervention</w:t>
            </w:r>
            <w:r w:rsidRPr="004C78D8">
              <w:t>s in Sheffield by system owner/actor.</w:t>
            </w:r>
          </w:p>
        </w:tc>
      </w:tr>
      <w:tr w:rsidR="00591F23" w:rsidRPr="004C78D8" w14:paraId="3AA1AF70" w14:textId="77777777" w:rsidTr="00ED34DC">
        <w:tc>
          <w:tcPr>
            <w:tcW w:w="1271" w:type="dxa"/>
          </w:tcPr>
          <w:p w14:paraId="390082A8" w14:textId="07C0A478" w:rsidR="00591F23" w:rsidRPr="004C78D8" w:rsidRDefault="006C1A81" w:rsidP="00FB7C1F">
            <w:r w:rsidRPr="004C78D8">
              <w:t xml:space="preserve">Table </w:t>
            </w:r>
            <w:r w:rsidR="002406A2" w:rsidRPr="004C78D8">
              <w:t>4</w:t>
            </w:r>
            <w:r w:rsidRPr="004C78D8">
              <w:t>.1</w:t>
            </w:r>
          </w:p>
        </w:tc>
        <w:tc>
          <w:tcPr>
            <w:tcW w:w="7745" w:type="dxa"/>
          </w:tcPr>
          <w:p w14:paraId="63A13601" w14:textId="0A947086" w:rsidR="00591F23" w:rsidRPr="004C78D8" w:rsidRDefault="006C1A81" w:rsidP="00FB7C1F">
            <w:pPr>
              <w:jc w:val="left"/>
            </w:pPr>
            <w:r w:rsidRPr="004C78D8">
              <w:t>Data fields extracted from identified falls prevention decision models.</w:t>
            </w:r>
          </w:p>
        </w:tc>
      </w:tr>
      <w:tr w:rsidR="00591F23" w:rsidRPr="004C78D8" w14:paraId="1C61B7A1" w14:textId="77777777" w:rsidTr="00ED34DC">
        <w:tc>
          <w:tcPr>
            <w:tcW w:w="1271" w:type="dxa"/>
          </w:tcPr>
          <w:p w14:paraId="0A5A0141" w14:textId="04724E03" w:rsidR="00591F23" w:rsidRPr="004C78D8" w:rsidRDefault="006C1A81" w:rsidP="00FB7C1F">
            <w:r w:rsidRPr="004C78D8">
              <w:t xml:space="preserve">Table </w:t>
            </w:r>
            <w:r w:rsidR="002406A2" w:rsidRPr="004C78D8">
              <w:t>4</w:t>
            </w:r>
            <w:r w:rsidRPr="004C78D8">
              <w:t>.2</w:t>
            </w:r>
          </w:p>
        </w:tc>
        <w:tc>
          <w:tcPr>
            <w:tcW w:w="7745" w:type="dxa"/>
          </w:tcPr>
          <w:p w14:paraId="39EEE205" w14:textId="584FE24A" w:rsidR="00591F23" w:rsidRPr="004C78D8" w:rsidRDefault="006C1A81" w:rsidP="00FB7C1F">
            <w:pPr>
              <w:jc w:val="left"/>
            </w:pPr>
            <w:r w:rsidRPr="004C78D8">
              <w:t>Overview and quality score of included falls prevention decision models.</w:t>
            </w:r>
          </w:p>
        </w:tc>
      </w:tr>
      <w:tr w:rsidR="00B41E3F" w:rsidRPr="004C78D8" w14:paraId="7DE401BE" w14:textId="77777777" w:rsidTr="00ED34DC">
        <w:tc>
          <w:tcPr>
            <w:tcW w:w="1271" w:type="dxa"/>
          </w:tcPr>
          <w:p w14:paraId="07A2AC0B" w14:textId="30278855" w:rsidR="00B41E3F" w:rsidRPr="004C78D8" w:rsidRDefault="00AF7468" w:rsidP="00FB7C1F">
            <w:r w:rsidRPr="004C78D8">
              <w:t xml:space="preserve">Table </w:t>
            </w:r>
            <w:r w:rsidR="002406A2" w:rsidRPr="004C78D8">
              <w:t>4</w:t>
            </w:r>
            <w:r w:rsidRPr="004C78D8">
              <w:t>.3</w:t>
            </w:r>
          </w:p>
        </w:tc>
        <w:tc>
          <w:tcPr>
            <w:tcW w:w="7745" w:type="dxa"/>
          </w:tcPr>
          <w:p w14:paraId="06AEE06A" w14:textId="136B1B4E" w:rsidR="00B41E3F" w:rsidRPr="004C78D8" w:rsidRDefault="00AF7468" w:rsidP="00FB7C1F">
            <w:pPr>
              <w:jc w:val="left"/>
            </w:pPr>
            <w:r w:rsidRPr="004C78D8">
              <w:t>Evidence sources for baseline falls risk/rate used by falls prevention decision models.</w:t>
            </w:r>
          </w:p>
        </w:tc>
      </w:tr>
      <w:tr w:rsidR="00B41E3F" w:rsidRPr="004C78D8" w14:paraId="695717E3" w14:textId="77777777" w:rsidTr="00ED34DC">
        <w:tc>
          <w:tcPr>
            <w:tcW w:w="1271" w:type="dxa"/>
          </w:tcPr>
          <w:p w14:paraId="7851F939" w14:textId="77A5E40A" w:rsidR="00B41E3F" w:rsidRPr="004C78D8" w:rsidRDefault="006512E2" w:rsidP="00FB7C1F">
            <w:r w:rsidRPr="004C78D8">
              <w:t xml:space="preserve">Table </w:t>
            </w:r>
            <w:r w:rsidR="002406A2" w:rsidRPr="004C78D8">
              <w:t>4</w:t>
            </w:r>
            <w:r w:rsidRPr="004C78D8">
              <w:t>.4</w:t>
            </w:r>
          </w:p>
        </w:tc>
        <w:tc>
          <w:tcPr>
            <w:tcW w:w="7745" w:type="dxa"/>
          </w:tcPr>
          <w:p w14:paraId="7BD30440" w14:textId="3E46E9A6" w:rsidR="00B41E3F" w:rsidRPr="004C78D8" w:rsidRDefault="006512E2" w:rsidP="00FB7C1F">
            <w:pPr>
              <w:jc w:val="left"/>
            </w:pPr>
            <w:r w:rsidRPr="004C78D8">
              <w:t>Modelling methods for characterising recurrent falls.</w:t>
            </w:r>
          </w:p>
        </w:tc>
      </w:tr>
      <w:tr w:rsidR="00B41E3F" w:rsidRPr="004C78D8" w14:paraId="0522F93D" w14:textId="77777777" w:rsidTr="00ED34DC">
        <w:tc>
          <w:tcPr>
            <w:tcW w:w="1271" w:type="dxa"/>
          </w:tcPr>
          <w:p w14:paraId="5831806A" w14:textId="322A588F" w:rsidR="00B41E3F" w:rsidRPr="004C78D8" w:rsidRDefault="00E45731" w:rsidP="00FB7C1F">
            <w:r w:rsidRPr="004C78D8">
              <w:t xml:space="preserve">Table </w:t>
            </w:r>
            <w:r w:rsidR="002406A2" w:rsidRPr="004C78D8">
              <w:t>4</w:t>
            </w:r>
            <w:r w:rsidRPr="004C78D8">
              <w:t>.5</w:t>
            </w:r>
          </w:p>
        </w:tc>
        <w:tc>
          <w:tcPr>
            <w:tcW w:w="7745" w:type="dxa"/>
          </w:tcPr>
          <w:p w14:paraId="7E184BDB" w14:textId="79FFD922" w:rsidR="00B41E3F" w:rsidRPr="004C78D8" w:rsidRDefault="00E45731" w:rsidP="00FB7C1F">
            <w:pPr>
              <w:jc w:val="left"/>
            </w:pPr>
            <w:r w:rsidRPr="004C78D8">
              <w:t>Risk factors for fall-related events in models conducting primary analysis of epidemiological data or using published epidemiological evidence.</w:t>
            </w:r>
          </w:p>
        </w:tc>
      </w:tr>
      <w:tr w:rsidR="00B41E3F" w:rsidRPr="004C78D8" w14:paraId="7FDE7446" w14:textId="77777777" w:rsidTr="00ED34DC">
        <w:tc>
          <w:tcPr>
            <w:tcW w:w="1271" w:type="dxa"/>
          </w:tcPr>
          <w:p w14:paraId="2C59F1A2" w14:textId="1D94226B" w:rsidR="00B41E3F" w:rsidRPr="004C78D8" w:rsidRDefault="00F52A5F" w:rsidP="00FB7C1F">
            <w:r w:rsidRPr="004C78D8">
              <w:t xml:space="preserve">Table </w:t>
            </w:r>
            <w:r w:rsidR="002406A2" w:rsidRPr="004C78D8">
              <w:t>4</w:t>
            </w:r>
            <w:r w:rsidRPr="004C78D8">
              <w:t>.6</w:t>
            </w:r>
          </w:p>
        </w:tc>
        <w:tc>
          <w:tcPr>
            <w:tcW w:w="7745" w:type="dxa"/>
          </w:tcPr>
          <w:p w14:paraId="1197993D" w14:textId="0E44173F" w:rsidR="00B41E3F" w:rsidRPr="004C78D8" w:rsidRDefault="00F52A5F" w:rsidP="00FB7C1F">
            <w:pPr>
              <w:jc w:val="left"/>
            </w:pPr>
            <w:r w:rsidRPr="004C78D8">
              <w:t>Summary of health consequences of falls included in decision models.</w:t>
            </w:r>
          </w:p>
        </w:tc>
      </w:tr>
      <w:tr w:rsidR="00B41E3F" w:rsidRPr="004C78D8" w14:paraId="2896E45E" w14:textId="77777777" w:rsidTr="00ED34DC">
        <w:tc>
          <w:tcPr>
            <w:tcW w:w="1271" w:type="dxa"/>
          </w:tcPr>
          <w:p w14:paraId="1925A778" w14:textId="56F92CC0" w:rsidR="00B41E3F" w:rsidRPr="004C78D8" w:rsidRDefault="00F63C53" w:rsidP="00FB7C1F">
            <w:r w:rsidRPr="004C78D8">
              <w:t xml:space="preserve">Table </w:t>
            </w:r>
            <w:r w:rsidR="002406A2" w:rsidRPr="004C78D8">
              <w:t>4</w:t>
            </w:r>
            <w:r w:rsidRPr="004C78D8">
              <w:t>.7</w:t>
            </w:r>
          </w:p>
        </w:tc>
        <w:tc>
          <w:tcPr>
            <w:tcW w:w="7745" w:type="dxa"/>
          </w:tcPr>
          <w:p w14:paraId="54966469" w14:textId="1B6C4F7D" w:rsidR="00B41E3F" w:rsidRPr="004C78D8" w:rsidRDefault="00F63C53" w:rsidP="00FB7C1F">
            <w:pPr>
              <w:jc w:val="left"/>
            </w:pPr>
            <w:r w:rsidRPr="004C78D8">
              <w:t>Summary of economic consequences of falls from the health and social care perspective included in decision models.</w:t>
            </w:r>
          </w:p>
        </w:tc>
      </w:tr>
      <w:tr w:rsidR="00B41E3F" w:rsidRPr="004C78D8" w14:paraId="143A0952" w14:textId="77777777" w:rsidTr="00ED34DC">
        <w:tc>
          <w:tcPr>
            <w:tcW w:w="1271" w:type="dxa"/>
          </w:tcPr>
          <w:p w14:paraId="3B452E51" w14:textId="30369F56" w:rsidR="00B41E3F" w:rsidRPr="004C78D8" w:rsidRDefault="00042035" w:rsidP="00FB7C1F">
            <w:r w:rsidRPr="004C78D8">
              <w:t xml:space="preserve">Table </w:t>
            </w:r>
            <w:r w:rsidR="002406A2" w:rsidRPr="004C78D8">
              <w:t>4</w:t>
            </w:r>
            <w:r w:rsidRPr="004C78D8">
              <w:t>.8</w:t>
            </w:r>
          </w:p>
        </w:tc>
        <w:tc>
          <w:tcPr>
            <w:tcW w:w="7745" w:type="dxa"/>
          </w:tcPr>
          <w:p w14:paraId="680EA0C1" w14:textId="603EB201" w:rsidR="00B41E3F" w:rsidRPr="004C78D8" w:rsidRDefault="00042035" w:rsidP="00FB7C1F">
            <w:pPr>
              <w:jc w:val="left"/>
            </w:pPr>
            <w:r w:rsidRPr="004C78D8">
              <w:t>Intervention access pathways by intervention type.</w:t>
            </w:r>
          </w:p>
        </w:tc>
      </w:tr>
      <w:tr w:rsidR="00B41E3F" w:rsidRPr="004C78D8" w14:paraId="583863BC" w14:textId="77777777" w:rsidTr="00ED34DC">
        <w:tc>
          <w:tcPr>
            <w:tcW w:w="1271" w:type="dxa"/>
          </w:tcPr>
          <w:p w14:paraId="03C53913" w14:textId="3A8B7B10" w:rsidR="00B41E3F" w:rsidRPr="004C78D8" w:rsidRDefault="0025223A" w:rsidP="00FB7C1F">
            <w:r w:rsidRPr="004C78D8">
              <w:t xml:space="preserve">Table </w:t>
            </w:r>
            <w:r w:rsidR="002406A2" w:rsidRPr="004C78D8">
              <w:t>4</w:t>
            </w:r>
            <w:r w:rsidRPr="004C78D8">
              <w:t>.9</w:t>
            </w:r>
          </w:p>
        </w:tc>
        <w:tc>
          <w:tcPr>
            <w:tcW w:w="7745" w:type="dxa"/>
          </w:tcPr>
          <w:p w14:paraId="402B4D11" w14:textId="0FEAB25E" w:rsidR="00B41E3F" w:rsidRPr="004C78D8" w:rsidRDefault="0025223A" w:rsidP="00FB7C1F">
            <w:pPr>
              <w:jc w:val="left"/>
            </w:pPr>
            <w:r w:rsidRPr="004C78D8">
              <w:t>Intervention resource-use and cost from the public sector perspective in included decision models.</w:t>
            </w:r>
          </w:p>
        </w:tc>
      </w:tr>
      <w:tr w:rsidR="00B41E3F" w:rsidRPr="004C78D8" w14:paraId="593552D0" w14:textId="77777777" w:rsidTr="00ED34DC">
        <w:tc>
          <w:tcPr>
            <w:tcW w:w="1271" w:type="dxa"/>
          </w:tcPr>
          <w:p w14:paraId="6995F373" w14:textId="13FCDFF8" w:rsidR="00B41E3F" w:rsidRPr="004C78D8" w:rsidRDefault="00E75956" w:rsidP="00FB7C1F">
            <w:r w:rsidRPr="004C78D8">
              <w:t xml:space="preserve">Table </w:t>
            </w:r>
            <w:r w:rsidR="002406A2" w:rsidRPr="004C78D8">
              <w:t>4</w:t>
            </w:r>
            <w:r w:rsidRPr="004C78D8">
              <w:t>.10</w:t>
            </w:r>
          </w:p>
        </w:tc>
        <w:tc>
          <w:tcPr>
            <w:tcW w:w="7745" w:type="dxa"/>
          </w:tcPr>
          <w:p w14:paraId="38A97D36" w14:textId="696E86FF" w:rsidR="00B41E3F" w:rsidRPr="004C78D8" w:rsidRDefault="00E75956" w:rsidP="00FB7C1F">
            <w:pPr>
              <w:jc w:val="left"/>
            </w:pPr>
            <w:r w:rsidRPr="004C78D8">
              <w:rPr>
                <w:lang w:val="en-US"/>
              </w:rPr>
              <w:t>Summary of intervention efficacy data used by decision models.</w:t>
            </w:r>
          </w:p>
        </w:tc>
      </w:tr>
      <w:tr w:rsidR="00B41E3F" w:rsidRPr="004C78D8" w14:paraId="683C60E7" w14:textId="77777777" w:rsidTr="00ED34DC">
        <w:tc>
          <w:tcPr>
            <w:tcW w:w="1271" w:type="dxa"/>
          </w:tcPr>
          <w:p w14:paraId="7CEA7346" w14:textId="6728E7B0" w:rsidR="00B41E3F" w:rsidRPr="004C78D8" w:rsidRDefault="00C42EBD" w:rsidP="00FB7C1F">
            <w:r w:rsidRPr="004C78D8">
              <w:t xml:space="preserve">Table </w:t>
            </w:r>
            <w:r w:rsidR="002406A2" w:rsidRPr="004C78D8">
              <w:t>4</w:t>
            </w:r>
            <w:r w:rsidRPr="004C78D8">
              <w:t>.11</w:t>
            </w:r>
          </w:p>
        </w:tc>
        <w:tc>
          <w:tcPr>
            <w:tcW w:w="7745" w:type="dxa"/>
          </w:tcPr>
          <w:p w14:paraId="49554B73" w14:textId="31D89568" w:rsidR="00B41E3F" w:rsidRPr="004C78D8" w:rsidRDefault="00C42EBD" w:rsidP="00FB7C1F">
            <w:pPr>
              <w:jc w:val="left"/>
            </w:pPr>
            <w:r w:rsidRPr="004C78D8">
              <w:t>Non-health outcomes and societal intervention costs included in decision models.</w:t>
            </w:r>
          </w:p>
        </w:tc>
      </w:tr>
      <w:tr w:rsidR="00B41E3F" w:rsidRPr="004C78D8" w14:paraId="1C8799D4" w14:textId="77777777" w:rsidTr="00ED34DC">
        <w:tc>
          <w:tcPr>
            <w:tcW w:w="1271" w:type="dxa"/>
          </w:tcPr>
          <w:p w14:paraId="4493B404" w14:textId="274D266D" w:rsidR="00B41E3F" w:rsidRPr="004C78D8" w:rsidRDefault="00C42EBD" w:rsidP="00FB7C1F">
            <w:r w:rsidRPr="004C78D8">
              <w:t xml:space="preserve">Table </w:t>
            </w:r>
            <w:r w:rsidR="002406A2" w:rsidRPr="004C78D8">
              <w:t>4</w:t>
            </w:r>
            <w:r w:rsidRPr="004C78D8">
              <w:t>.12</w:t>
            </w:r>
          </w:p>
        </w:tc>
        <w:tc>
          <w:tcPr>
            <w:tcW w:w="7745" w:type="dxa"/>
          </w:tcPr>
          <w:p w14:paraId="716DCE13" w14:textId="4F52EE7B" w:rsidR="00B41E3F" w:rsidRPr="004C78D8" w:rsidRDefault="008C6076" w:rsidP="00FB7C1F">
            <w:pPr>
              <w:jc w:val="left"/>
            </w:pPr>
            <w:r w:rsidRPr="004C78D8">
              <w:rPr>
                <w:lang w:val="en-US"/>
              </w:rPr>
              <w:t>Methods for assessing heterogeneity in decision models.</w:t>
            </w:r>
          </w:p>
        </w:tc>
      </w:tr>
      <w:tr w:rsidR="00C42EBD" w:rsidRPr="004C78D8" w14:paraId="317890DD" w14:textId="77777777" w:rsidTr="00ED34DC">
        <w:tc>
          <w:tcPr>
            <w:tcW w:w="1271" w:type="dxa"/>
          </w:tcPr>
          <w:p w14:paraId="21025793" w14:textId="55C7F51E" w:rsidR="00C42EBD" w:rsidRPr="004C78D8" w:rsidRDefault="00C42EBD" w:rsidP="00FB7C1F">
            <w:r w:rsidRPr="004C78D8">
              <w:t xml:space="preserve">Table </w:t>
            </w:r>
            <w:r w:rsidR="002406A2" w:rsidRPr="004C78D8">
              <w:t>4</w:t>
            </w:r>
            <w:r w:rsidRPr="004C78D8">
              <w:t>.13</w:t>
            </w:r>
          </w:p>
        </w:tc>
        <w:tc>
          <w:tcPr>
            <w:tcW w:w="7745" w:type="dxa"/>
          </w:tcPr>
          <w:p w14:paraId="71E67738" w14:textId="6EA7FD38" w:rsidR="00C42EBD" w:rsidRPr="004C78D8" w:rsidRDefault="00840E31" w:rsidP="00FB7C1F">
            <w:pPr>
              <w:jc w:val="left"/>
            </w:pPr>
            <w:r w:rsidRPr="004C78D8">
              <w:t>Time-variant falls risk factors and determinants of background health utility and care cost progressions in non-binary models with horizons longer than five years.</w:t>
            </w:r>
          </w:p>
        </w:tc>
      </w:tr>
      <w:tr w:rsidR="00C42EBD" w:rsidRPr="004C78D8" w14:paraId="313CEB1B" w14:textId="77777777" w:rsidTr="00ED34DC">
        <w:tc>
          <w:tcPr>
            <w:tcW w:w="1271" w:type="dxa"/>
          </w:tcPr>
          <w:p w14:paraId="026ABBA3" w14:textId="731371B6" w:rsidR="00C42EBD" w:rsidRPr="004C78D8" w:rsidRDefault="00C42EBD" w:rsidP="00FB7C1F">
            <w:r w:rsidRPr="004C78D8">
              <w:t xml:space="preserve">Table </w:t>
            </w:r>
            <w:r w:rsidR="002406A2" w:rsidRPr="004C78D8">
              <w:t>4</w:t>
            </w:r>
            <w:r w:rsidRPr="004C78D8">
              <w:t>.14</w:t>
            </w:r>
          </w:p>
        </w:tc>
        <w:tc>
          <w:tcPr>
            <w:tcW w:w="7745" w:type="dxa"/>
          </w:tcPr>
          <w:p w14:paraId="53AD0F9D" w14:textId="327CE92D" w:rsidR="00C42EBD" w:rsidRPr="004C78D8" w:rsidRDefault="00CD54B2" w:rsidP="00FB7C1F">
            <w:pPr>
              <w:jc w:val="left"/>
            </w:pPr>
            <w:r w:rsidRPr="004C78D8">
              <w:t>Summary of base case implementation levels, evidence source and outcomes in associated sensitivity analyses.</w:t>
            </w:r>
          </w:p>
        </w:tc>
      </w:tr>
      <w:tr w:rsidR="00C42EBD" w:rsidRPr="004C78D8" w14:paraId="1F3BE6A9" w14:textId="77777777" w:rsidTr="00ED34DC">
        <w:tc>
          <w:tcPr>
            <w:tcW w:w="1271" w:type="dxa"/>
          </w:tcPr>
          <w:p w14:paraId="305E7A45" w14:textId="4BFE4FF3" w:rsidR="00C42EBD" w:rsidRPr="004C78D8" w:rsidRDefault="006349A9" w:rsidP="00FB7C1F">
            <w:r w:rsidRPr="004C78D8">
              <w:t xml:space="preserve">Table </w:t>
            </w:r>
            <w:r w:rsidR="002406A2" w:rsidRPr="004C78D8">
              <w:t>4</w:t>
            </w:r>
            <w:r w:rsidRPr="004C78D8">
              <w:t>.15</w:t>
            </w:r>
          </w:p>
        </w:tc>
        <w:tc>
          <w:tcPr>
            <w:tcW w:w="7745" w:type="dxa"/>
          </w:tcPr>
          <w:p w14:paraId="33856336" w14:textId="0E01B9EA" w:rsidR="00C42EBD" w:rsidRPr="004C78D8" w:rsidRDefault="001A6BCF" w:rsidP="00FB7C1F">
            <w:pPr>
              <w:jc w:val="left"/>
            </w:pPr>
            <w:r w:rsidRPr="004C78D8">
              <w:t>Social and severity subgroups in models and cause(s) of reduced capacity to benefit.</w:t>
            </w:r>
          </w:p>
        </w:tc>
      </w:tr>
      <w:tr w:rsidR="00C42EBD" w:rsidRPr="004C78D8" w14:paraId="3177CF91" w14:textId="77777777" w:rsidTr="00ED34DC">
        <w:tc>
          <w:tcPr>
            <w:tcW w:w="1271" w:type="dxa"/>
          </w:tcPr>
          <w:p w14:paraId="053BA906" w14:textId="764DE86D" w:rsidR="00C42EBD" w:rsidRPr="004C78D8" w:rsidRDefault="006F0785" w:rsidP="00FB7C1F">
            <w:r w:rsidRPr="004C78D8">
              <w:t xml:space="preserve">Table </w:t>
            </w:r>
            <w:r w:rsidR="002406A2" w:rsidRPr="004C78D8">
              <w:t>4</w:t>
            </w:r>
            <w:r w:rsidRPr="004C78D8">
              <w:t>.16</w:t>
            </w:r>
          </w:p>
        </w:tc>
        <w:tc>
          <w:tcPr>
            <w:tcW w:w="7745" w:type="dxa"/>
          </w:tcPr>
          <w:p w14:paraId="5CCFF85C" w14:textId="17349D57" w:rsidR="00C42EBD" w:rsidRPr="004C78D8" w:rsidRDefault="006F0785" w:rsidP="00FB7C1F">
            <w:pPr>
              <w:jc w:val="left"/>
            </w:pPr>
            <w:r w:rsidRPr="004C78D8">
              <w:t>Features and evaluation outcomes of general population, lifetime horizon decision models.</w:t>
            </w:r>
          </w:p>
        </w:tc>
      </w:tr>
      <w:tr w:rsidR="00B41E3F" w:rsidRPr="004C78D8" w14:paraId="001982F2" w14:textId="77777777" w:rsidTr="00ED34DC">
        <w:tc>
          <w:tcPr>
            <w:tcW w:w="1271" w:type="dxa"/>
          </w:tcPr>
          <w:p w14:paraId="427F2F6F" w14:textId="25DAA4EC" w:rsidR="00B41E3F" w:rsidRPr="004C78D8" w:rsidRDefault="00FB3677" w:rsidP="00FB7C1F">
            <w:r w:rsidRPr="004C78D8">
              <w:t xml:space="preserve">Table </w:t>
            </w:r>
            <w:r w:rsidR="002406A2" w:rsidRPr="004C78D8">
              <w:t>5</w:t>
            </w:r>
            <w:r w:rsidRPr="004C78D8">
              <w:t>.1</w:t>
            </w:r>
          </w:p>
        </w:tc>
        <w:tc>
          <w:tcPr>
            <w:tcW w:w="7745" w:type="dxa"/>
          </w:tcPr>
          <w:p w14:paraId="244B8427" w14:textId="2307888E" w:rsidR="00B41E3F" w:rsidRPr="004C78D8" w:rsidRDefault="00966BBE" w:rsidP="00FB7C1F">
            <w:pPr>
              <w:jc w:val="left"/>
            </w:pPr>
            <w:r w:rsidRPr="004C78D8">
              <w:t>I</w:t>
            </w:r>
            <w:r w:rsidR="00EB6AB0" w:rsidRPr="004C78D8">
              <w:t xml:space="preserve">ntervention </w:t>
            </w:r>
            <w:r w:rsidR="00175BE1" w:rsidRPr="004C78D8">
              <w:t>eligibility</w:t>
            </w:r>
            <w:r w:rsidR="00EB6AB0" w:rsidRPr="004C78D8">
              <w:t xml:space="preserve"> conditions by pathway and scenario under base case analysis.</w:t>
            </w:r>
          </w:p>
        </w:tc>
      </w:tr>
      <w:tr w:rsidR="00E07381" w:rsidRPr="004C78D8" w14:paraId="2645CC2D" w14:textId="77777777" w:rsidTr="00ED34DC">
        <w:tc>
          <w:tcPr>
            <w:tcW w:w="1271" w:type="dxa"/>
          </w:tcPr>
          <w:p w14:paraId="34097C99" w14:textId="4FF5A702" w:rsidR="00E07381" w:rsidRPr="004C78D8" w:rsidRDefault="00E07381" w:rsidP="00FB7C1F">
            <w:r w:rsidRPr="004C78D8">
              <w:t xml:space="preserve">Table </w:t>
            </w:r>
            <w:r w:rsidR="002406A2" w:rsidRPr="004C78D8">
              <w:t>5</w:t>
            </w:r>
            <w:r w:rsidRPr="004C78D8">
              <w:t>.2</w:t>
            </w:r>
          </w:p>
        </w:tc>
        <w:tc>
          <w:tcPr>
            <w:tcW w:w="7745" w:type="dxa"/>
          </w:tcPr>
          <w:p w14:paraId="6AFDD0F2" w14:textId="45D6D4CE" w:rsidR="00E07381" w:rsidRPr="004C78D8" w:rsidRDefault="00FE3315" w:rsidP="00FB7C1F">
            <w:pPr>
              <w:jc w:val="left"/>
            </w:pPr>
            <w:r w:rsidRPr="004C78D8">
              <w:t>Sources of community-based falls prevention randomised controlled trials.</w:t>
            </w:r>
          </w:p>
        </w:tc>
      </w:tr>
      <w:tr w:rsidR="00E07381" w:rsidRPr="004C78D8" w14:paraId="6A748036" w14:textId="77777777" w:rsidTr="00ED34DC">
        <w:tc>
          <w:tcPr>
            <w:tcW w:w="1271" w:type="dxa"/>
          </w:tcPr>
          <w:p w14:paraId="70A90495" w14:textId="1E14D730" w:rsidR="00E07381" w:rsidRPr="004C78D8" w:rsidRDefault="00E07381" w:rsidP="00FB7C1F">
            <w:r w:rsidRPr="004C78D8">
              <w:t xml:space="preserve">Table </w:t>
            </w:r>
            <w:r w:rsidR="002406A2" w:rsidRPr="004C78D8">
              <w:t>5</w:t>
            </w:r>
            <w:r w:rsidRPr="004C78D8">
              <w:t>.3</w:t>
            </w:r>
          </w:p>
        </w:tc>
        <w:tc>
          <w:tcPr>
            <w:tcW w:w="7745" w:type="dxa"/>
          </w:tcPr>
          <w:p w14:paraId="1F21B048" w14:textId="091ACFA6" w:rsidR="00E07381" w:rsidRPr="004C78D8" w:rsidRDefault="00325E11" w:rsidP="00FB7C1F">
            <w:pPr>
              <w:jc w:val="left"/>
            </w:pPr>
            <w:r w:rsidRPr="004C78D8">
              <w:t>UK community-based randomised controlled trials of falls prevention interventions aligned with current or recommended practice in Sheffield.</w:t>
            </w:r>
          </w:p>
        </w:tc>
      </w:tr>
      <w:tr w:rsidR="00713518" w:rsidRPr="004C78D8" w14:paraId="09C8E2E0" w14:textId="77777777" w:rsidTr="00ED34DC">
        <w:tc>
          <w:tcPr>
            <w:tcW w:w="1271" w:type="dxa"/>
          </w:tcPr>
          <w:p w14:paraId="42D4543A" w14:textId="20900FA7" w:rsidR="00713518" w:rsidRPr="004C78D8" w:rsidRDefault="009A0581" w:rsidP="00FB7C1F">
            <w:r w:rsidRPr="004C78D8">
              <w:t xml:space="preserve">Table </w:t>
            </w:r>
            <w:r w:rsidR="002406A2" w:rsidRPr="004C78D8">
              <w:t>5</w:t>
            </w:r>
            <w:r w:rsidRPr="004C78D8">
              <w:t>.</w:t>
            </w:r>
            <w:r w:rsidR="00A66604" w:rsidRPr="004C78D8">
              <w:t>4</w:t>
            </w:r>
          </w:p>
        </w:tc>
        <w:tc>
          <w:tcPr>
            <w:tcW w:w="7745" w:type="dxa"/>
          </w:tcPr>
          <w:p w14:paraId="66B00551" w14:textId="4FD0B243" w:rsidR="00713518" w:rsidRPr="004C78D8" w:rsidRDefault="009A0581" w:rsidP="00FB7C1F">
            <w:pPr>
              <w:jc w:val="left"/>
            </w:pPr>
            <w:r w:rsidRPr="004C78D8">
              <w:t>Community-dwelling Sheffield population for period 2021-2060: (a) initial cohort aged 60 and over in 2021; (b) new entry cohorts aged 60 between 2022 and 2060.</w:t>
            </w:r>
          </w:p>
        </w:tc>
      </w:tr>
      <w:tr w:rsidR="00713518" w:rsidRPr="004C78D8" w14:paraId="1FD1991A" w14:textId="77777777" w:rsidTr="00ED34DC">
        <w:tc>
          <w:tcPr>
            <w:tcW w:w="1271" w:type="dxa"/>
          </w:tcPr>
          <w:p w14:paraId="25448AB1" w14:textId="51B52A85" w:rsidR="00713518" w:rsidRPr="004C78D8" w:rsidRDefault="009A0581" w:rsidP="00FB7C1F">
            <w:r w:rsidRPr="004C78D8">
              <w:t xml:space="preserve">Table </w:t>
            </w:r>
            <w:r w:rsidR="002406A2" w:rsidRPr="004C78D8">
              <w:t>5</w:t>
            </w:r>
            <w:r w:rsidRPr="004C78D8">
              <w:t>.</w:t>
            </w:r>
            <w:r w:rsidR="00A66604" w:rsidRPr="004C78D8">
              <w:t>5</w:t>
            </w:r>
          </w:p>
        </w:tc>
        <w:tc>
          <w:tcPr>
            <w:tcW w:w="7745" w:type="dxa"/>
          </w:tcPr>
          <w:p w14:paraId="51896AC3" w14:textId="2843AE91" w:rsidR="00713518" w:rsidRPr="004C78D8" w:rsidRDefault="00CE6153" w:rsidP="00FB7C1F">
            <w:pPr>
              <w:jc w:val="left"/>
            </w:pPr>
            <w:r w:rsidRPr="004C78D8">
              <w:t>Proportions</w:t>
            </w:r>
            <w:r w:rsidR="002C7DF0" w:rsidRPr="004C78D8">
              <w:t xml:space="preserve"> of SES quartiles by five-year age group and sex in ELSA.</w:t>
            </w:r>
          </w:p>
        </w:tc>
      </w:tr>
      <w:tr w:rsidR="00735F00" w:rsidRPr="004C78D8" w14:paraId="01A899EE" w14:textId="77777777" w:rsidTr="00ED34DC">
        <w:tc>
          <w:tcPr>
            <w:tcW w:w="1271" w:type="dxa"/>
          </w:tcPr>
          <w:p w14:paraId="453F287E" w14:textId="2E2D1AA4" w:rsidR="00735F00" w:rsidRPr="004C78D8" w:rsidRDefault="00735F00" w:rsidP="00FB7C1F">
            <w:r w:rsidRPr="004C78D8">
              <w:t xml:space="preserve">Table </w:t>
            </w:r>
            <w:r w:rsidR="002406A2" w:rsidRPr="004C78D8">
              <w:t>5</w:t>
            </w:r>
            <w:r w:rsidRPr="004C78D8">
              <w:t>.</w:t>
            </w:r>
            <w:r w:rsidR="00A66604" w:rsidRPr="004C78D8">
              <w:t>6</w:t>
            </w:r>
          </w:p>
        </w:tc>
        <w:tc>
          <w:tcPr>
            <w:tcW w:w="7745" w:type="dxa"/>
          </w:tcPr>
          <w:p w14:paraId="23013DB2" w14:textId="107942A6" w:rsidR="00735F00" w:rsidRPr="004C78D8" w:rsidRDefault="004C4583" w:rsidP="00FB7C1F">
            <w:pPr>
              <w:jc w:val="left"/>
            </w:pPr>
            <w:r w:rsidRPr="004C78D8">
              <w:t>Proportions</w:t>
            </w:r>
            <w:r w:rsidR="00C61F57" w:rsidRPr="004C78D8">
              <w:t xml:space="preserve"> of baseline falls history types by age group, sex and SES quartile in ELSA.</w:t>
            </w:r>
          </w:p>
        </w:tc>
      </w:tr>
      <w:tr w:rsidR="00735F00" w:rsidRPr="004C78D8" w14:paraId="47212FA6" w14:textId="77777777" w:rsidTr="00ED34DC">
        <w:tc>
          <w:tcPr>
            <w:tcW w:w="1271" w:type="dxa"/>
          </w:tcPr>
          <w:p w14:paraId="250E4230" w14:textId="1363D5C1" w:rsidR="00735F00" w:rsidRPr="004C78D8" w:rsidRDefault="001B3157" w:rsidP="00FB7C1F">
            <w:r w:rsidRPr="004C78D8">
              <w:t xml:space="preserve">Table </w:t>
            </w:r>
            <w:r w:rsidR="002406A2" w:rsidRPr="004C78D8">
              <w:t>5</w:t>
            </w:r>
            <w:r w:rsidRPr="004C78D8">
              <w:t>.</w:t>
            </w:r>
            <w:r w:rsidR="00A66604" w:rsidRPr="004C78D8">
              <w:t>7</w:t>
            </w:r>
          </w:p>
        </w:tc>
        <w:tc>
          <w:tcPr>
            <w:tcW w:w="7745" w:type="dxa"/>
          </w:tcPr>
          <w:p w14:paraId="2F0DFFF5" w14:textId="4DA0A46A" w:rsidR="00735F00" w:rsidRPr="004C78D8" w:rsidRDefault="001B3157" w:rsidP="00FB7C1F">
            <w:pPr>
              <w:jc w:val="left"/>
            </w:pPr>
            <w:r w:rsidRPr="004C78D8">
              <w:t>Characteristics of multivariate frailty indices used in previous frailty and falls prevention studies and in this study.</w:t>
            </w:r>
          </w:p>
        </w:tc>
      </w:tr>
      <w:tr w:rsidR="00735F00" w:rsidRPr="004C78D8" w14:paraId="579CF136" w14:textId="77777777" w:rsidTr="00ED34DC">
        <w:tc>
          <w:tcPr>
            <w:tcW w:w="1271" w:type="dxa"/>
          </w:tcPr>
          <w:p w14:paraId="4CAA7377" w14:textId="780C0E39" w:rsidR="00735F00" w:rsidRPr="004C78D8" w:rsidRDefault="007A6A58" w:rsidP="00FB7C1F">
            <w:r w:rsidRPr="004C78D8">
              <w:t xml:space="preserve">Table </w:t>
            </w:r>
            <w:r w:rsidR="002406A2" w:rsidRPr="004C78D8">
              <w:t>5</w:t>
            </w:r>
            <w:r w:rsidRPr="004C78D8">
              <w:t>.</w:t>
            </w:r>
            <w:r w:rsidR="00A66604" w:rsidRPr="004C78D8">
              <w:t>8</w:t>
            </w:r>
          </w:p>
        </w:tc>
        <w:tc>
          <w:tcPr>
            <w:tcW w:w="7745" w:type="dxa"/>
          </w:tcPr>
          <w:p w14:paraId="421C6D61" w14:textId="7708A1C5" w:rsidR="00735F00" w:rsidRPr="004C78D8" w:rsidRDefault="007A6A58" w:rsidP="00FB7C1F">
            <w:pPr>
              <w:jc w:val="left"/>
            </w:pPr>
            <w:r w:rsidRPr="004C78D8">
              <w:t>Logistic regression coefficients for high physical activity from ELSA Waves 4 and 5.</w:t>
            </w:r>
          </w:p>
        </w:tc>
      </w:tr>
      <w:tr w:rsidR="00735F00" w:rsidRPr="004C78D8" w14:paraId="2A7C1E17" w14:textId="77777777" w:rsidTr="00ED34DC">
        <w:tc>
          <w:tcPr>
            <w:tcW w:w="1271" w:type="dxa"/>
          </w:tcPr>
          <w:p w14:paraId="07705A98" w14:textId="018A9AFE" w:rsidR="00735F00" w:rsidRPr="004C78D8" w:rsidRDefault="006E4470" w:rsidP="00FB7C1F">
            <w:r w:rsidRPr="004C78D8">
              <w:t xml:space="preserve">Table </w:t>
            </w:r>
            <w:r w:rsidR="002406A2" w:rsidRPr="004C78D8">
              <w:t>5</w:t>
            </w:r>
            <w:r w:rsidRPr="004C78D8">
              <w:t>.</w:t>
            </w:r>
            <w:r w:rsidR="00A66604" w:rsidRPr="004C78D8">
              <w:t>9</w:t>
            </w:r>
          </w:p>
        </w:tc>
        <w:tc>
          <w:tcPr>
            <w:tcW w:w="7745" w:type="dxa"/>
          </w:tcPr>
          <w:p w14:paraId="7C502A85" w14:textId="2D921106" w:rsidR="00735F00" w:rsidRPr="004C78D8" w:rsidRDefault="006E4470" w:rsidP="00FB7C1F">
            <w:pPr>
              <w:jc w:val="left"/>
            </w:pPr>
            <w:r w:rsidRPr="004C78D8">
              <w:t>Logistic regression coefficients for cognitive impairment from ELSA Waves 4 and 5.</w:t>
            </w:r>
          </w:p>
        </w:tc>
      </w:tr>
      <w:tr w:rsidR="00735F00" w:rsidRPr="004C78D8" w14:paraId="19B91885" w14:textId="77777777" w:rsidTr="00ED34DC">
        <w:tc>
          <w:tcPr>
            <w:tcW w:w="1271" w:type="dxa"/>
          </w:tcPr>
          <w:p w14:paraId="2D126E36" w14:textId="3D68C689" w:rsidR="00735F00" w:rsidRPr="004C78D8" w:rsidRDefault="006E4470" w:rsidP="00FB7C1F">
            <w:r w:rsidRPr="004C78D8">
              <w:t xml:space="preserve">Table </w:t>
            </w:r>
            <w:r w:rsidR="002406A2" w:rsidRPr="004C78D8">
              <w:t>5</w:t>
            </w:r>
            <w:r w:rsidRPr="004C78D8">
              <w:t>.</w:t>
            </w:r>
            <w:r w:rsidR="00A66604" w:rsidRPr="004C78D8">
              <w:t>10</w:t>
            </w:r>
          </w:p>
        </w:tc>
        <w:tc>
          <w:tcPr>
            <w:tcW w:w="7745" w:type="dxa"/>
          </w:tcPr>
          <w:p w14:paraId="371AC9B6" w14:textId="3D1295CA" w:rsidR="00735F00" w:rsidRPr="004C78D8" w:rsidRDefault="006E4470" w:rsidP="00FB7C1F">
            <w:pPr>
              <w:jc w:val="left"/>
            </w:pPr>
            <w:r w:rsidRPr="004C78D8">
              <w:t>Logistic regression coefficients for fear of falling from ELSA Waves 4 and 5.</w:t>
            </w:r>
          </w:p>
        </w:tc>
      </w:tr>
      <w:tr w:rsidR="00735F00" w:rsidRPr="004C78D8" w14:paraId="74641F3D" w14:textId="77777777" w:rsidTr="00ED34DC">
        <w:tc>
          <w:tcPr>
            <w:tcW w:w="1271" w:type="dxa"/>
          </w:tcPr>
          <w:p w14:paraId="4A1D5ACD" w14:textId="77953B73" w:rsidR="00735F00" w:rsidRPr="004C78D8" w:rsidRDefault="00DF0B75" w:rsidP="00FB7C1F">
            <w:r w:rsidRPr="004C78D8">
              <w:lastRenderedPageBreak/>
              <w:t xml:space="preserve">Table </w:t>
            </w:r>
            <w:r w:rsidR="002406A2" w:rsidRPr="004C78D8">
              <w:t>5</w:t>
            </w:r>
            <w:r w:rsidRPr="004C78D8">
              <w:t>.</w:t>
            </w:r>
            <w:r w:rsidR="00A66604" w:rsidRPr="004C78D8">
              <w:t>11</w:t>
            </w:r>
          </w:p>
        </w:tc>
        <w:tc>
          <w:tcPr>
            <w:tcW w:w="7745" w:type="dxa"/>
          </w:tcPr>
          <w:p w14:paraId="63314655" w14:textId="7ED12DC9" w:rsidR="00735F00" w:rsidRPr="004C78D8" w:rsidRDefault="00341CB4" w:rsidP="00FB7C1F">
            <w:pPr>
              <w:jc w:val="left"/>
            </w:pPr>
            <w:r w:rsidRPr="004C78D8">
              <w:t>Logistic regression coefficients for abnormal gait and/or balance from ELSA Waves 4 and 5.</w:t>
            </w:r>
          </w:p>
        </w:tc>
      </w:tr>
      <w:tr w:rsidR="00735F00" w:rsidRPr="004C78D8" w14:paraId="1BE3F83B" w14:textId="77777777" w:rsidTr="00ED34DC">
        <w:tc>
          <w:tcPr>
            <w:tcW w:w="1271" w:type="dxa"/>
          </w:tcPr>
          <w:p w14:paraId="52FFFAF9" w14:textId="3316B399" w:rsidR="00735F00" w:rsidRPr="004C78D8" w:rsidRDefault="006F1E4B" w:rsidP="00FB7C1F">
            <w:r w:rsidRPr="004C78D8">
              <w:t xml:space="preserve">Table </w:t>
            </w:r>
            <w:r w:rsidR="002406A2" w:rsidRPr="004C78D8">
              <w:t>5</w:t>
            </w:r>
            <w:r w:rsidRPr="004C78D8">
              <w:t>.1</w:t>
            </w:r>
            <w:r w:rsidR="00A66604" w:rsidRPr="004C78D8">
              <w:t>2</w:t>
            </w:r>
          </w:p>
        </w:tc>
        <w:tc>
          <w:tcPr>
            <w:tcW w:w="7745" w:type="dxa"/>
          </w:tcPr>
          <w:p w14:paraId="414C018B" w14:textId="4AE9EC9A" w:rsidR="00735F00" w:rsidRPr="004C78D8" w:rsidRDefault="006F1E4B" w:rsidP="00FB7C1F">
            <w:pPr>
              <w:jc w:val="left"/>
            </w:pPr>
            <w:r w:rsidRPr="004C78D8">
              <w:t>Proxy variable selection in ELSA to estimate EQ-5D-3L values.</w:t>
            </w:r>
          </w:p>
        </w:tc>
      </w:tr>
      <w:tr w:rsidR="00713518" w:rsidRPr="004C78D8" w14:paraId="2767CD93" w14:textId="77777777" w:rsidTr="00ED34DC">
        <w:tc>
          <w:tcPr>
            <w:tcW w:w="1271" w:type="dxa"/>
          </w:tcPr>
          <w:p w14:paraId="276D8EF7" w14:textId="08F4C223" w:rsidR="00713518" w:rsidRPr="004C78D8" w:rsidRDefault="00CE363E" w:rsidP="00FB7C1F">
            <w:r w:rsidRPr="004C78D8">
              <w:t xml:space="preserve">Table </w:t>
            </w:r>
            <w:r w:rsidR="002406A2" w:rsidRPr="004C78D8">
              <w:t>5</w:t>
            </w:r>
            <w:r w:rsidRPr="004C78D8">
              <w:t>.1</w:t>
            </w:r>
            <w:r w:rsidR="00A66604" w:rsidRPr="004C78D8">
              <w:t>3</w:t>
            </w:r>
          </w:p>
        </w:tc>
        <w:tc>
          <w:tcPr>
            <w:tcW w:w="7745" w:type="dxa"/>
          </w:tcPr>
          <w:p w14:paraId="31125586" w14:textId="019D6A35" w:rsidR="00713518" w:rsidRPr="004C78D8" w:rsidRDefault="00CE363E" w:rsidP="00FB7C1F">
            <w:pPr>
              <w:jc w:val="left"/>
            </w:pPr>
            <w:r w:rsidRPr="004C78D8">
              <w:t>Comparison between general population EQ-5D values estimated from ELSA Wave 4 and those reported in Health Survey for England.</w:t>
            </w:r>
          </w:p>
        </w:tc>
      </w:tr>
      <w:tr w:rsidR="00713518" w:rsidRPr="004C78D8" w14:paraId="0BDFF392" w14:textId="77777777" w:rsidTr="00ED34DC">
        <w:tc>
          <w:tcPr>
            <w:tcW w:w="1271" w:type="dxa"/>
          </w:tcPr>
          <w:p w14:paraId="26330BEE" w14:textId="30C86C1E" w:rsidR="00713518" w:rsidRPr="004C78D8" w:rsidRDefault="00CE363E" w:rsidP="00FB7C1F">
            <w:r w:rsidRPr="004C78D8">
              <w:t xml:space="preserve">Table </w:t>
            </w:r>
            <w:r w:rsidR="002406A2" w:rsidRPr="004C78D8">
              <w:t>5</w:t>
            </w:r>
            <w:r w:rsidRPr="004C78D8">
              <w:t>.1</w:t>
            </w:r>
            <w:r w:rsidR="00A66604" w:rsidRPr="004C78D8">
              <w:t>4</w:t>
            </w:r>
          </w:p>
        </w:tc>
        <w:tc>
          <w:tcPr>
            <w:tcW w:w="7745" w:type="dxa"/>
          </w:tcPr>
          <w:p w14:paraId="0F5D5DB0" w14:textId="0E54AC92" w:rsidR="00713518" w:rsidRPr="004C78D8" w:rsidRDefault="00CE363E" w:rsidP="00FB7C1F">
            <w:pPr>
              <w:jc w:val="left"/>
            </w:pPr>
            <w:r w:rsidRPr="004C78D8">
              <w:t>Linear regression coefficients for EQ-5D from ELSA Waves 4 and 5.</w:t>
            </w:r>
          </w:p>
        </w:tc>
      </w:tr>
      <w:tr w:rsidR="00497AC0" w:rsidRPr="004C78D8" w14:paraId="49AFFC6E" w14:textId="77777777" w:rsidTr="00ED34DC">
        <w:tc>
          <w:tcPr>
            <w:tcW w:w="1271" w:type="dxa"/>
          </w:tcPr>
          <w:p w14:paraId="3F96706B" w14:textId="13E8859B" w:rsidR="00497AC0" w:rsidRPr="004C78D8" w:rsidRDefault="00164540" w:rsidP="00FB7C1F">
            <w:r w:rsidRPr="004C78D8">
              <w:t xml:space="preserve">Table </w:t>
            </w:r>
            <w:r w:rsidR="002406A2" w:rsidRPr="004C78D8">
              <w:t>5</w:t>
            </w:r>
            <w:r w:rsidRPr="004C78D8">
              <w:t>.1</w:t>
            </w:r>
            <w:r w:rsidR="00A66604" w:rsidRPr="004C78D8">
              <w:t>5</w:t>
            </w:r>
          </w:p>
        </w:tc>
        <w:tc>
          <w:tcPr>
            <w:tcW w:w="7745" w:type="dxa"/>
          </w:tcPr>
          <w:p w14:paraId="09638347" w14:textId="5A8492E7" w:rsidR="00497AC0" w:rsidRPr="004C78D8" w:rsidRDefault="00164540" w:rsidP="00FB7C1F">
            <w:pPr>
              <w:jc w:val="left"/>
            </w:pPr>
            <w:r w:rsidRPr="004C78D8">
              <w:t>Logistic regression coefficients for paid employment status from ELSA Waves 4 and 5.</w:t>
            </w:r>
          </w:p>
        </w:tc>
      </w:tr>
      <w:tr w:rsidR="00497AC0" w:rsidRPr="004C78D8" w14:paraId="10286FFC" w14:textId="77777777" w:rsidTr="00ED34DC">
        <w:tc>
          <w:tcPr>
            <w:tcW w:w="1271" w:type="dxa"/>
          </w:tcPr>
          <w:p w14:paraId="46F9016C" w14:textId="5A5A4274" w:rsidR="00497AC0" w:rsidRPr="004C78D8" w:rsidRDefault="00C133AD" w:rsidP="00FB7C1F">
            <w:r w:rsidRPr="004C78D8">
              <w:t xml:space="preserve">Table </w:t>
            </w:r>
            <w:r w:rsidR="002406A2" w:rsidRPr="004C78D8">
              <w:t>5</w:t>
            </w:r>
            <w:r w:rsidRPr="004C78D8">
              <w:t>.1</w:t>
            </w:r>
            <w:r w:rsidR="001839D4" w:rsidRPr="004C78D8">
              <w:t>6</w:t>
            </w:r>
          </w:p>
        </w:tc>
        <w:tc>
          <w:tcPr>
            <w:tcW w:w="7745" w:type="dxa"/>
          </w:tcPr>
          <w:p w14:paraId="59B85883" w14:textId="088AB4C6" w:rsidR="00497AC0" w:rsidRPr="004C78D8" w:rsidRDefault="00C133AD" w:rsidP="00FB7C1F">
            <w:pPr>
              <w:jc w:val="left"/>
            </w:pPr>
            <w:r w:rsidRPr="004C78D8">
              <w:t>Logistic regression coefficients for weekly unpaid work from ELSA Waves 4 and 5.</w:t>
            </w:r>
          </w:p>
        </w:tc>
      </w:tr>
      <w:tr w:rsidR="00497AC0" w:rsidRPr="004C78D8" w14:paraId="563DFE2F" w14:textId="77777777" w:rsidTr="00ED34DC">
        <w:tc>
          <w:tcPr>
            <w:tcW w:w="1271" w:type="dxa"/>
          </w:tcPr>
          <w:p w14:paraId="7519037E" w14:textId="53B4505B" w:rsidR="00497AC0" w:rsidRPr="004C78D8" w:rsidRDefault="0055519F" w:rsidP="00FB7C1F">
            <w:r w:rsidRPr="004C78D8">
              <w:t xml:space="preserve">Table </w:t>
            </w:r>
            <w:r w:rsidR="002406A2" w:rsidRPr="004C78D8">
              <w:t>5</w:t>
            </w:r>
            <w:r w:rsidRPr="004C78D8">
              <w:t>.1</w:t>
            </w:r>
            <w:r w:rsidR="001839D4" w:rsidRPr="004C78D8">
              <w:t>7</w:t>
            </w:r>
          </w:p>
        </w:tc>
        <w:tc>
          <w:tcPr>
            <w:tcW w:w="7745" w:type="dxa"/>
          </w:tcPr>
          <w:p w14:paraId="5BA7FA66" w14:textId="3168699F" w:rsidR="00497AC0" w:rsidRPr="004C78D8" w:rsidRDefault="0055519F" w:rsidP="00FB7C1F">
            <w:pPr>
              <w:jc w:val="left"/>
            </w:pPr>
            <w:r w:rsidRPr="004C78D8">
              <w:t>Linear regression coefficients for CASP-19 scores from ELSA Waves 4 and 5.</w:t>
            </w:r>
          </w:p>
        </w:tc>
      </w:tr>
      <w:tr w:rsidR="00497AC0" w:rsidRPr="004C78D8" w14:paraId="5EBE4168" w14:textId="77777777" w:rsidTr="00ED34DC">
        <w:tc>
          <w:tcPr>
            <w:tcW w:w="1271" w:type="dxa"/>
          </w:tcPr>
          <w:p w14:paraId="1A6BC538" w14:textId="477B8255" w:rsidR="00497AC0" w:rsidRPr="004C78D8" w:rsidRDefault="005C6C2E" w:rsidP="00FB7C1F">
            <w:r w:rsidRPr="004C78D8">
              <w:t xml:space="preserve">Table </w:t>
            </w:r>
            <w:r w:rsidR="002406A2" w:rsidRPr="004C78D8">
              <w:t>5</w:t>
            </w:r>
            <w:r w:rsidRPr="004C78D8">
              <w:t>.1</w:t>
            </w:r>
            <w:r w:rsidR="001839D4" w:rsidRPr="004C78D8">
              <w:t>8</w:t>
            </w:r>
          </w:p>
        </w:tc>
        <w:tc>
          <w:tcPr>
            <w:tcW w:w="7745" w:type="dxa"/>
          </w:tcPr>
          <w:p w14:paraId="3379B269" w14:textId="686A9C14" w:rsidR="00497AC0" w:rsidRPr="004C78D8" w:rsidRDefault="005C6C2E" w:rsidP="00FB7C1F">
            <w:pPr>
              <w:jc w:val="left"/>
            </w:pPr>
            <w:r w:rsidRPr="004C78D8">
              <w:t>Annual all-cause and comorbidity primary and secondary healthcare costs by frailty category.</w:t>
            </w:r>
          </w:p>
        </w:tc>
      </w:tr>
      <w:tr w:rsidR="00497AC0" w:rsidRPr="004C78D8" w14:paraId="23593887" w14:textId="77777777" w:rsidTr="00ED34DC">
        <w:tc>
          <w:tcPr>
            <w:tcW w:w="1271" w:type="dxa"/>
          </w:tcPr>
          <w:p w14:paraId="1D3F4F61" w14:textId="6843D776" w:rsidR="00497AC0" w:rsidRPr="004C78D8" w:rsidRDefault="00D06F51" w:rsidP="00FB7C1F">
            <w:r w:rsidRPr="004C78D8">
              <w:t xml:space="preserve">Table </w:t>
            </w:r>
            <w:r w:rsidR="002406A2" w:rsidRPr="004C78D8">
              <w:t>5</w:t>
            </w:r>
            <w:r w:rsidRPr="004C78D8">
              <w:t>.1</w:t>
            </w:r>
            <w:r w:rsidR="001839D4" w:rsidRPr="004C78D8">
              <w:t>9</w:t>
            </w:r>
          </w:p>
        </w:tc>
        <w:tc>
          <w:tcPr>
            <w:tcW w:w="7745" w:type="dxa"/>
          </w:tcPr>
          <w:p w14:paraId="20D4EB72" w14:textId="03E93713" w:rsidR="00497AC0" w:rsidRPr="004C78D8" w:rsidRDefault="00D06F51" w:rsidP="00FB7C1F">
            <w:pPr>
              <w:jc w:val="left"/>
            </w:pPr>
            <w:r w:rsidRPr="004C78D8">
              <w:t>Annual all-cause short-term social care costs by frailty and cognitive status.</w:t>
            </w:r>
          </w:p>
        </w:tc>
      </w:tr>
      <w:tr w:rsidR="00497AC0" w:rsidRPr="004C78D8" w14:paraId="59D75850" w14:textId="77777777" w:rsidTr="00ED34DC">
        <w:tc>
          <w:tcPr>
            <w:tcW w:w="1271" w:type="dxa"/>
          </w:tcPr>
          <w:p w14:paraId="1B2EB012" w14:textId="0DADA8E1" w:rsidR="00497AC0" w:rsidRPr="004C78D8" w:rsidRDefault="009217D4" w:rsidP="00FB7C1F">
            <w:r w:rsidRPr="004C78D8">
              <w:t xml:space="preserve">Table </w:t>
            </w:r>
            <w:r w:rsidR="002406A2" w:rsidRPr="004C78D8">
              <w:t>5</w:t>
            </w:r>
            <w:r w:rsidRPr="004C78D8">
              <w:t>.</w:t>
            </w:r>
            <w:r w:rsidR="001839D4" w:rsidRPr="004C78D8">
              <w:t>20</w:t>
            </w:r>
          </w:p>
        </w:tc>
        <w:tc>
          <w:tcPr>
            <w:tcW w:w="7745" w:type="dxa"/>
          </w:tcPr>
          <w:p w14:paraId="69255FC1" w14:textId="2C2F3C1D" w:rsidR="00497AC0" w:rsidRPr="004C78D8" w:rsidRDefault="00E9716F" w:rsidP="00FB7C1F">
            <w:pPr>
              <w:jc w:val="left"/>
            </w:pPr>
            <w:r w:rsidRPr="004C78D8">
              <w:t>Logistic regression coefficients for out-of-pocket care receipt from ELSA Waves 4 and 5.</w:t>
            </w:r>
          </w:p>
        </w:tc>
      </w:tr>
      <w:tr w:rsidR="00497AC0" w:rsidRPr="004C78D8" w14:paraId="26F942B8" w14:textId="77777777" w:rsidTr="00ED34DC">
        <w:tc>
          <w:tcPr>
            <w:tcW w:w="1271" w:type="dxa"/>
          </w:tcPr>
          <w:p w14:paraId="7D9881EE" w14:textId="5A347F80" w:rsidR="00497AC0" w:rsidRPr="004C78D8" w:rsidRDefault="009217D4" w:rsidP="00FB7C1F">
            <w:r w:rsidRPr="004C78D8">
              <w:t xml:space="preserve">Table </w:t>
            </w:r>
            <w:r w:rsidR="002406A2" w:rsidRPr="004C78D8">
              <w:t>5</w:t>
            </w:r>
            <w:r w:rsidRPr="004C78D8">
              <w:t>.</w:t>
            </w:r>
            <w:r w:rsidR="001839D4" w:rsidRPr="004C78D8">
              <w:t>21</w:t>
            </w:r>
          </w:p>
        </w:tc>
        <w:tc>
          <w:tcPr>
            <w:tcW w:w="7745" w:type="dxa"/>
          </w:tcPr>
          <w:p w14:paraId="5EBD808B" w14:textId="4C162578" w:rsidR="00497AC0" w:rsidRPr="004C78D8" w:rsidRDefault="005D7369" w:rsidP="00FB7C1F">
            <w:pPr>
              <w:jc w:val="left"/>
            </w:pPr>
            <w:r w:rsidRPr="004C78D8">
              <w:t>Annual all-cause out-of-pocket care costs by SES quartile and frailty category.</w:t>
            </w:r>
          </w:p>
        </w:tc>
      </w:tr>
      <w:tr w:rsidR="00497AC0" w:rsidRPr="004C78D8" w14:paraId="312E1940" w14:textId="77777777" w:rsidTr="00ED34DC">
        <w:tc>
          <w:tcPr>
            <w:tcW w:w="1271" w:type="dxa"/>
          </w:tcPr>
          <w:p w14:paraId="7F358A6E" w14:textId="2B0C4172" w:rsidR="00497AC0" w:rsidRPr="004C78D8" w:rsidRDefault="009217D4" w:rsidP="00FB7C1F">
            <w:r w:rsidRPr="004C78D8">
              <w:t xml:space="preserve">Table </w:t>
            </w:r>
            <w:r w:rsidR="002406A2" w:rsidRPr="004C78D8">
              <w:t>5</w:t>
            </w:r>
            <w:r w:rsidRPr="004C78D8">
              <w:t>.2</w:t>
            </w:r>
            <w:r w:rsidR="001839D4" w:rsidRPr="004C78D8">
              <w:t>2</w:t>
            </w:r>
          </w:p>
        </w:tc>
        <w:tc>
          <w:tcPr>
            <w:tcW w:w="7745" w:type="dxa"/>
          </w:tcPr>
          <w:p w14:paraId="440C9147" w14:textId="128D034C" w:rsidR="00497AC0" w:rsidRPr="004C78D8" w:rsidRDefault="001352E0" w:rsidP="00FB7C1F">
            <w:pPr>
              <w:jc w:val="left"/>
            </w:pPr>
            <w:r w:rsidRPr="004C78D8">
              <w:t>Logistic regression coefficients for informal care receipt from ELSA Waves 4 and 5.</w:t>
            </w:r>
          </w:p>
        </w:tc>
      </w:tr>
      <w:tr w:rsidR="001352E0" w:rsidRPr="004C78D8" w14:paraId="0B069C65" w14:textId="77777777" w:rsidTr="00ED34DC">
        <w:tc>
          <w:tcPr>
            <w:tcW w:w="1271" w:type="dxa"/>
          </w:tcPr>
          <w:p w14:paraId="76A67ECD" w14:textId="10377421" w:rsidR="001352E0" w:rsidRPr="004C78D8" w:rsidRDefault="001352E0" w:rsidP="00FB7C1F">
            <w:r w:rsidRPr="004C78D8">
              <w:t xml:space="preserve">Table </w:t>
            </w:r>
            <w:r w:rsidR="002406A2" w:rsidRPr="004C78D8">
              <w:t>5</w:t>
            </w:r>
            <w:r w:rsidRPr="004C78D8">
              <w:t>.2</w:t>
            </w:r>
            <w:r w:rsidR="001839D4" w:rsidRPr="004C78D8">
              <w:t>3</w:t>
            </w:r>
          </w:p>
        </w:tc>
        <w:tc>
          <w:tcPr>
            <w:tcW w:w="7745" w:type="dxa"/>
          </w:tcPr>
          <w:p w14:paraId="6C5B70E3" w14:textId="5CDE1DD3" w:rsidR="001352E0" w:rsidRPr="004C78D8" w:rsidRDefault="00D46AD6" w:rsidP="00FB7C1F">
            <w:pPr>
              <w:jc w:val="left"/>
            </w:pPr>
            <w:r w:rsidRPr="004C78D8">
              <w:t>Logistic regression coefficients for multiple informal care needs given informal care receipt from ELSA Waves 4 and 5.</w:t>
            </w:r>
          </w:p>
        </w:tc>
      </w:tr>
      <w:tr w:rsidR="001352E0" w:rsidRPr="004C78D8" w14:paraId="1BAD0C13" w14:textId="77777777" w:rsidTr="00ED34DC">
        <w:tc>
          <w:tcPr>
            <w:tcW w:w="1271" w:type="dxa"/>
          </w:tcPr>
          <w:p w14:paraId="79164322" w14:textId="3A6ED4EE" w:rsidR="001352E0" w:rsidRPr="004C78D8" w:rsidRDefault="00D46AD6" w:rsidP="00FB7C1F">
            <w:r w:rsidRPr="004C78D8">
              <w:t xml:space="preserve">Table </w:t>
            </w:r>
            <w:r w:rsidR="002406A2" w:rsidRPr="004C78D8">
              <w:t>5</w:t>
            </w:r>
            <w:r w:rsidRPr="004C78D8">
              <w:t>.2</w:t>
            </w:r>
            <w:r w:rsidR="001839D4" w:rsidRPr="004C78D8">
              <w:t>4</w:t>
            </w:r>
          </w:p>
        </w:tc>
        <w:tc>
          <w:tcPr>
            <w:tcW w:w="7745" w:type="dxa"/>
          </w:tcPr>
          <w:p w14:paraId="661A57F4" w14:textId="4374883C" w:rsidR="001352E0" w:rsidRPr="004C78D8" w:rsidRDefault="00FE1A1C" w:rsidP="00FB7C1F">
            <w:pPr>
              <w:jc w:val="left"/>
            </w:pPr>
            <w:r w:rsidRPr="004C78D8">
              <w:t>Annual all-cause informal care cost by single vs. multiple care needs.</w:t>
            </w:r>
          </w:p>
        </w:tc>
      </w:tr>
      <w:tr w:rsidR="001352E0" w:rsidRPr="004C78D8" w14:paraId="64515BB7" w14:textId="77777777" w:rsidTr="00ED34DC">
        <w:tc>
          <w:tcPr>
            <w:tcW w:w="1271" w:type="dxa"/>
          </w:tcPr>
          <w:p w14:paraId="777300D8" w14:textId="48EB781D" w:rsidR="001352E0" w:rsidRPr="004C78D8" w:rsidRDefault="00654C0D" w:rsidP="00FB7C1F">
            <w:r w:rsidRPr="004C78D8">
              <w:t xml:space="preserve">Table </w:t>
            </w:r>
            <w:r w:rsidR="002406A2" w:rsidRPr="004C78D8">
              <w:t>5</w:t>
            </w:r>
            <w:r w:rsidRPr="004C78D8">
              <w:t>.2</w:t>
            </w:r>
            <w:r w:rsidR="001839D4" w:rsidRPr="004C78D8">
              <w:t>5</w:t>
            </w:r>
          </w:p>
        </w:tc>
        <w:tc>
          <w:tcPr>
            <w:tcW w:w="7745" w:type="dxa"/>
          </w:tcPr>
          <w:p w14:paraId="11F44D97" w14:textId="48436E76" w:rsidR="001352E0" w:rsidRPr="004C78D8" w:rsidRDefault="00654C0D" w:rsidP="00FB7C1F">
            <w:pPr>
              <w:jc w:val="left"/>
            </w:pPr>
            <w:r w:rsidRPr="004C78D8">
              <w:t>Falls prevention intervention features by intervention pathway and configuration.</w:t>
            </w:r>
          </w:p>
        </w:tc>
      </w:tr>
      <w:tr w:rsidR="001352E0" w:rsidRPr="004C78D8" w14:paraId="62E326BC" w14:textId="77777777" w:rsidTr="00ED34DC">
        <w:tc>
          <w:tcPr>
            <w:tcW w:w="1271" w:type="dxa"/>
          </w:tcPr>
          <w:p w14:paraId="02794D32" w14:textId="0C6BDF95" w:rsidR="001352E0" w:rsidRPr="004C78D8" w:rsidRDefault="00570BB3" w:rsidP="00FB7C1F">
            <w:r w:rsidRPr="004C78D8">
              <w:t xml:space="preserve">Table </w:t>
            </w:r>
            <w:r w:rsidR="002406A2" w:rsidRPr="004C78D8">
              <w:t>5</w:t>
            </w:r>
            <w:r w:rsidRPr="004C78D8">
              <w:t>.2</w:t>
            </w:r>
            <w:r w:rsidR="001839D4" w:rsidRPr="004C78D8">
              <w:t>6</w:t>
            </w:r>
          </w:p>
        </w:tc>
        <w:tc>
          <w:tcPr>
            <w:tcW w:w="7745" w:type="dxa"/>
          </w:tcPr>
          <w:p w14:paraId="02932AF2" w14:textId="0B62AA87" w:rsidR="001352E0" w:rsidRPr="004C78D8" w:rsidRDefault="00775757" w:rsidP="00FB7C1F">
            <w:pPr>
              <w:jc w:val="left"/>
            </w:pPr>
            <w:r w:rsidRPr="004C78D8">
              <w:t>Eligibility and access rates for the reactive falls prevention pathway under usual care and recommended care scenarios.</w:t>
            </w:r>
          </w:p>
        </w:tc>
      </w:tr>
      <w:tr w:rsidR="001C76C4" w:rsidRPr="004C78D8" w14:paraId="4216B729" w14:textId="77777777" w:rsidTr="00ED34DC">
        <w:tc>
          <w:tcPr>
            <w:tcW w:w="1271" w:type="dxa"/>
          </w:tcPr>
          <w:p w14:paraId="0AF20A78" w14:textId="216D11F3" w:rsidR="001C76C4" w:rsidRPr="004C78D8" w:rsidRDefault="00347E2E" w:rsidP="00FB7C1F">
            <w:r w:rsidRPr="004C78D8">
              <w:t xml:space="preserve">Table </w:t>
            </w:r>
            <w:r w:rsidR="002406A2" w:rsidRPr="004C78D8">
              <w:t>5</w:t>
            </w:r>
            <w:r w:rsidRPr="004C78D8">
              <w:t>.2</w:t>
            </w:r>
            <w:r w:rsidR="001839D4" w:rsidRPr="004C78D8">
              <w:t>7</w:t>
            </w:r>
          </w:p>
        </w:tc>
        <w:tc>
          <w:tcPr>
            <w:tcW w:w="7745" w:type="dxa"/>
          </w:tcPr>
          <w:p w14:paraId="02884DA0" w14:textId="1A0E15EB" w:rsidR="001C76C4" w:rsidRPr="004C78D8" w:rsidRDefault="00123CB4" w:rsidP="00FB7C1F">
            <w:pPr>
              <w:jc w:val="left"/>
            </w:pPr>
            <w:r w:rsidRPr="004C78D8">
              <w:t>Eligibility and access rates for the proactive falls prevention pathway under usual care and recommended care scenarios.</w:t>
            </w:r>
          </w:p>
        </w:tc>
      </w:tr>
      <w:tr w:rsidR="001C76C4" w:rsidRPr="004C78D8" w14:paraId="686E83E8" w14:textId="77777777" w:rsidTr="00ED34DC">
        <w:tc>
          <w:tcPr>
            <w:tcW w:w="1271" w:type="dxa"/>
          </w:tcPr>
          <w:p w14:paraId="380881CB" w14:textId="7056614E" w:rsidR="001C76C4" w:rsidRPr="004C78D8" w:rsidRDefault="00DD2611" w:rsidP="00FB7C1F">
            <w:r w:rsidRPr="004C78D8">
              <w:t xml:space="preserve">Table </w:t>
            </w:r>
            <w:r w:rsidR="002406A2" w:rsidRPr="004C78D8">
              <w:t>5</w:t>
            </w:r>
            <w:r w:rsidRPr="004C78D8">
              <w:t>.2</w:t>
            </w:r>
            <w:r w:rsidR="001839D4" w:rsidRPr="004C78D8">
              <w:t>8</w:t>
            </w:r>
          </w:p>
        </w:tc>
        <w:tc>
          <w:tcPr>
            <w:tcW w:w="7745" w:type="dxa"/>
          </w:tcPr>
          <w:p w14:paraId="3968115A" w14:textId="28B7816A" w:rsidR="001C76C4" w:rsidRPr="004C78D8" w:rsidRDefault="000D5E71" w:rsidP="00FB7C1F">
            <w:pPr>
              <w:jc w:val="left"/>
            </w:pPr>
            <w:r w:rsidRPr="004C78D8">
              <w:t>Logistic regression coefficients for GP contact from ELSA Waves 4 and 5.</w:t>
            </w:r>
          </w:p>
        </w:tc>
      </w:tr>
      <w:tr w:rsidR="001C76C4" w:rsidRPr="004C78D8" w14:paraId="2AEE7927" w14:textId="77777777" w:rsidTr="00ED34DC">
        <w:tc>
          <w:tcPr>
            <w:tcW w:w="1271" w:type="dxa"/>
          </w:tcPr>
          <w:p w14:paraId="1D816671" w14:textId="3CDFD8DC" w:rsidR="001C76C4" w:rsidRPr="004C78D8" w:rsidRDefault="00DD2611" w:rsidP="00FB7C1F">
            <w:r w:rsidRPr="004C78D8">
              <w:t xml:space="preserve">Table </w:t>
            </w:r>
            <w:r w:rsidR="002406A2" w:rsidRPr="004C78D8">
              <w:t>5</w:t>
            </w:r>
            <w:r w:rsidRPr="004C78D8">
              <w:t>.2</w:t>
            </w:r>
            <w:r w:rsidR="001839D4" w:rsidRPr="004C78D8">
              <w:t>9</w:t>
            </w:r>
          </w:p>
        </w:tc>
        <w:tc>
          <w:tcPr>
            <w:tcW w:w="7745" w:type="dxa"/>
          </w:tcPr>
          <w:p w14:paraId="0843C523" w14:textId="4B9E527E" w:rsidR="001C76C4" w:rsidRPr="004C78D8" w:rsidRDefault="003B42F1" w:rsidP="00FB7C1F">
            <w:pPr>
              <w:jc w:val="left"/>
            </w:pPr>
            <w:r w:rsidRPr="004C78D8">
              <w:t>Eligibility and access rates for the self-referred falls prevention pathway under usual care and recommended care scenarios.</w:t>
            </w:r>
          </w:p>
        </w:tc>
      </w:tr>
      <w:tr w:rsidR="001C76C4" w:rsidRPr="004C78D8" w14:paraId="7B4A5FE7" w14:textId="77777777" w:rsidTr="00ED34DC">
        <w:tc>
          <w:tcPr>
            <w:tcW w:w="1271" w:type="dxa"/>
          </w:tcPr>
          <w:p w14:paraId="36C51863" w14:textId="728F3C92" w:rsidR="001C76C4" w:rsidRPr="004C78D8" w:rsidRDefault="00DD2611" w:rsidP="00FB7C1F">
            <w:r w:rsidRPr="004C78D8">
              <w:t xml:space="preserve">Table </w:t>
            </w:r>
            <w:r w:rsidR="002406A2" w:rsidRPr="004C78D8">
              <w:t>5</w:t>
            </w:r>
            <w:r w:rsidRPr="004C78D8">
              <w:t>.</w:t>
            </w:r>
            <w:r w:rsidR="001839D4" w:rsidRPr="004C78D8">
              <w:t>30</w:t>
            </w:r>
          </w:p>
        </w:tc>
        <w:tc>
          <w:tcPr>
            <w:tcW w:w="7745" w:type="dxa"/>
          </w:tcPr>
          <w:p w14:paraId="42456542" w14:textId="1E343CD8" w:rsidR="001C76C4" w:rsidRPr="004C78D8" w:rsidRDefault="00E0049D" w:rsidP="00FB7C1F">
            <w:pPr>
              <w:jc w:val="left"/>
            </w:pPr>
            <w:r w:rsidRPr="004C78D8">
              <w:t>Logistic regression coefficients for self-referred exercise uptake from ELSA Waves 4 and 5.</w:t>
            </w:r>
          </w:p>
        </w:tc>
      </w:tr>
      <w:tr w:rsidR="00497AC0" w:rsidRPr="004C78D8" w14:paraId="4BD7C2B0" w14:textId="77777777" w:rsidTr="00ED34DC">
        <w:tc>
          <w:tcPr>
            <w:tcW w:w="1271" w:type="dxa"/>
          </w:tcPr>
          <w:p w14:paraId="1BBFF1BA" w14:textId="7C13A645" w:rsidR="00497AC0" w:rsidRPr="004C78D8" w:rsidRDefault="00DD2611" w:rsidP="00FB7C1F">
            <w:r w:rsidRPr="004C78D8">
              <w:t xml:space="preserve">Table </w:t>
            </w:r>
            <w:r w:rsidR="002406A2" w:rsidRPr="004C78D8">
              <w:t>5</w:t>
            </w:r>
            <w:r w:rsidRPr="004C78D8">
              <w:t>.</w:t>
            </w:r>
            <w:r w:rsidR="001839D4" w:rsidRPr="004C78D8">
              <w:t>31</w:t>
            </w:r>
          </w:p>
        </w:tc>
        <w:tc>
          <w:tcPr>
            <w:tcW w:w="7745" w:type="dxa"/>
          </w:tcPr>
          <w:p w14:paraId="2DA91D5A" w14:textId="6C5C2097" w:rsidR="00497AC0" w:rsidRPr="004C78D8" w:rsidRDefault="00F15D90" w:rsidP="00FB7C1F">
            <w:pPr>
              <w:jc w:val="left"/>
            </w:pPr>
            <w:r w:rsidRPr="004C78D8">
              <w:t>Resource use in UK-based randomised controlled trials of multifactorial interventions.</w:t>
            </w:r>
          </w:p>
        </w:tc>
      </w:tr>
      <w:tr w:rsidR="003D581B" w:rsidRPr="004C78D8" w14:paraId="39E4CDF9" w14:textId="77777777" w:rsidTr="00ED34DC">
        <w:tc>
          <w:tcPr>
            <w:tcW w:w="1271" w:type="dxa"/>
          </w:tcPr>
          <w:p w14:paraId="01D910A8" w14:textId="18DEA160" w:rsidR="003D581B" w:rsidRPr="004C78D8" w:rsidRDefault="004D4B7A" w:rsidP="00FB7C1F">
            <w:r w:rsidRPr="004C78D8">
              <w:t xml:space="preserve">Table </w:t>
            </w:r>
            <w:r w:rsidR="002406A2" w:rsidRPr="004C78D8">
              <w:t>5</w:t>
            </w:r>
            <w:r w:rsidRPr="004C78D8">
              <w:t>.3</w:t>
            </w:r>
            <w:r w:rsidR="001839D4" w:rsidRPr="004C78D8">
              <w:t>2</w:t>
            </w:r>
          </w:p>
        </w:tc>
        <w:tc>
          <w:tcPr>
            <w:tcW w:w="7745" w:type="dxa"/>
          </w:tcPr>
          <w:p w14:paraId="7F60A69D" w14:textId="61593D74" w:rsidR="003D581B" w:rsidRPr="004C78D8" w:rsidRDefault="006E6CA8" w:rsidP="00FB7C1F">
            <w:pPr>
              <w:jc w:val="left"/>
            </w:pPr>
            <w:r w:rsidRPr="004C78D8">
              <w:t>Resource use and cost of multifactorial interventions.</w:t>
            </w:r>
          </w:p>
        </w:tc>
      </w:tr>
      <w:tr w:rsidR="003D581B" w:rsidRPr="004C78D8" w14:paraId="7A07EE33" w14:textId="77777777" w:rsidTr="00ED34DC">
        <w:tc>
          <w:tcPr>
            <w:tcW w:w="1271" w:type="dxa"/>
          </w:tcPr>
          <w:p w14:paraId="48511073" w14:textId="2FE1A08A" w:rsidR="003D581B" w:rsidRPr="004C78D8" w:rsidRDefault="002C78D0" w:rsidP="00FB7C1F">
            <w:r w:rsidRPr="004C78D8">
              <w:t xml:space="preserve">Table </w:t>
            </w:r>
            <w:r w:rsidR="002406A2" w:rsidRPr="004C78D8">
              <w:t>5</w:t>
            </w:r>
            <w:r w:rsidRPr="004C78D8">
              <w:t>.3</w:t>
            </w:r>
            <w:r w:rsidR="001839D4" w:rsidRPr="004C78D8">
              <w:t>3</w:t>
            </w:r>
          </w:p>
        </w:tc>
        <w:tc>
          <w:tcPr>
            <w:tcW w:w="7745" w:type="dxa"/>
          </w:tcPr>
          <w:p w14:paraId="68F0D428" w14:textId="32B2BBE3" w:rsidR="003D581B" w:rsidRPr="004C78D8" w:rsidRDefault="002C78D0" w:rsidP="00FB7C1F">
            <w:pPr>
              <w:jc w:val="left"/>
            </w:pPr>
            <w:r w:rsidRPr="004C78D8">
              <w:t>Resource use in randomised controlled trials of single-component interventions.</w:t>
            </w:r>
          </w:p>
        </w:tc>
      </w:tr>
      <w:tr w:rsidR="003D581B" w:rsidRPr="004C78D8" w14:paraId="531CF0B0" w14:textId="77777777" w:rsidTr="00ED34DC">
        <w:tc>
          <w:tcPr>
            <w:tcW w:w="1271" w:type="dxa"/>
          </w:tcPr>
          <w:p w14:paraId="03BE51B8" w14:textId="7DD89E9A" w:rsidR="003D581B" w:rsidRPr="004C78D8" w:rsidRDefault="00600F54" w:rsidP="00FB7C1F">
            <w:r w:rsidRPr="004C78D8">
              <w:t xml:space="preserve">Table </w:t>
            </w:r>
            <w:r w:rsidR="002406A2" w:rsidRPr="004C78D8">
              <w:t>5</w:t>
            </w:r>
            <w:r w:rsidRPr="004C78D8">
              <w:t>.3</w:t>
            </w:r>
            <w:r w:rsidR="001839D4" w:rsidRPr="004C78D8">
              <w:t>4</w:t>
            </w:r>
          </w:p>
        </w:tc>
        <w:tc>
          <w:tcPr>
            <w:tcW w:w="7745" w:type="dxa"/>
          </w:tcPr>
          <w:p w14:paraId="3751AB14" w14:textId="37977A43" w:rsidR="003D581B" w:rsidRPr="004C78D8" w:rsidRDefault="009D0564" w:rsidP="00FB7C1F">
            <w:pPr>
              <w:jc w:val="left"/>
            </w:pPr>
            <w:r w:rsidRPr="004C78D8">
              <w:t>Resource use and cost of single-component interventions.</w:t>
            </w:r>
          </w:p>
        </w:tc>
      </w:tr>
      <w:tr w:rsidR="003D581B" w:rsidRPr="004C78D8" w14:paraId="13327A23" w14:textId="77777777" w:rsidTr="00ED34DC">
        <w:tc>
          <w:tcPr>
            <w:tcW w:w="1271" w:type="dxa"/>
          </w:tcPr>
          <w:p w14:paraId="1351280F" w14:textId="7A497D4B" w:rsidR="003D581B" w:rsidRPr="004C78D8" w:rsidRDefault="005D398D" w:rsidP="00FB7C1F">
            <w:r w:rsidRPr="004C78D8">
              <w:t xml:space="preserve">Table </w:t>
            </w:r>
            <w:r w:rsidR="002406A2" w:rsidRPr="004C78D8">
              <w:t>5</w:t>
            </w:r>
            <w:r w:rsidRPr="004C78D8">
              <w:t>.3</w:t>
            </w:r>
            <w:r w:rsidR="001839D4" w:rsidRPr="004C78D8">
              <w:t>5</w:t>
            </w:r>
          </w:p>
        </w:tc>
        <w:tc>
          <w:tcPr>
            <w:tcW w:w="7745" w:type="dxa"/>
          </w:tcPr>
          <w:p w14:paraId="2B7A7049" w14:textId="5A67BECB" w:rsidR="003D581B" w:rsidRPr="004C78D8" w:rsidRDefault="005D398D" w:rsidP="00FB7C1F">
            <w:pPr>
              <w:jc w:val="left"/>
            </w:pPr>
            <w:r w:rsidRPr="004C78D8">
              <w:t>Falls prevention intervention efficacy parameters for base case analysis.</w:t>
            </w:r>
          </w:p>
        </w:tc>
      </w:tr>
      <w:tr w:rsidR="003D581B" w:rsidRPr="004C78D8" w14:paraId="624AE353" w14:textId="77777777" w:rsidTr="00ED34DC">
        <w:tc>
          <w:tcPr>
            <w:tcW w:w="1271" w:type="dxa"/>
          </w:tcPr>
          <w:p w14:paraId="45B08ECA" w14:textId="7058901E" w:rsidR="003D581B" w:rsidRPr="004C78D8" w:rsidRDefault="004617D8" w:rsidP="00FB7C1F">
            <w:r w:rsidRPr="004C78D8">
              <w:t xml:space="preserve">Table </w:t>
            </w:r>
            <w:r w:rsidR="002406A2" w:rsidRPr="004C78D8">
              <w:t>5</w:t>
            </w:r>
            <w:r w:rsidRPr="004C78D8">
              <w:t>.3</w:t>
            </w:r>
            <w:r w:rsidR="001839D4" w:rsidRPr="004C78D8">
              <w:t>6</w:t>
            </w:r>
          </w:p>
        </w:tc>
        <w:tc>
          <w:tcPr>
            <w:tcW w:w="7745" w:type="dxa"/>
          </w:tcPr>
          <w:p w14:paraId="2162B1C7" w14:textId="3967B1FE" w:rsidR="003D581B" w:rsidRPr="004C78D8" w:rsidRDefault="004617D8" w:rsidP="00FB7C1F">
            <w:pPr>
              <w:jc w:val="left"/>
            </w:pPr>
            <w:r w:rsidRPr="004C78D8">
              <w:t>Annual fatal fall rate (range 0-1) by age group, sex and frailty category.</w:t>
            </w:r>
          </w:p>
        </w:tc>
      </w:tr>
      <w:tr w:rsidR="007151A6" w:rsidRPr="004C78D8" w14:paraId="73228063" w14:textId="77777777" w:rsidTr="00ED34DC">
        <w:tc>
          <w:tcPr>
            <w:tcW w:w="1271" w:type="dxa"/>
          </w:tcPr>
          <w:p w14:paraId="38CBDD06" w14:textId="762F412E" w:rsidR="007151A6" w:rsidRPr="004C78D8" w:rsidRDefault="00B90CF3" w:rsidP="00FB7C1F">
            <w:r w:rsidRPr="004C78D8">
              <w:t xml:space="preserve">Table </w:t>
            </w:r>
            <w:r w:rsidR="002406A2" w:rsidRPr="004C78D8">
              <w:t>5</w:t>
            </w:r>
            <w:r w:rsidRPr="004C78D8">
              <w:t>.</w:t>
            </w:r>
            <w:r w:rsidR="002406A2" w:rsidRPr="004C78D8">
              <w:t>37</w:t>
            </w:r>
          </w:p>
        </w:tc>
        <w:tc>
          <w:tcPr>
            <w:tcW w:w="7745" w:type="dxa"/>
          </w:tcPr>
          <w:p w14:paraId="7FEAF0BD" w14:textId="3A0307AB" w:rsidR="007151A6" w:rsidRPr="004C78D8" w:rsidRDefault="00B90CF3" w:rsidP="00FB7C1F">
            <w:pPr>
              <w:jc w:val="left"/>
            </w:pPr>
            <w:r w:rsidRPr="004C78D8">
              <w:t>Costs in final year of life by care sector and primary cause of death.</w:t>
            </w:r>
          </w:p>
        </w:tc>
      </w:tr>
      <w:tr w:rsidR="007151A6" w:rsidRPr="004C78D8" w14:paraId="17048660" w14:textId="77777777" w:rsidTr="00ED34DC">
        <w:tc>
          <w:tcPr>
            <w:tcW w:w="1271" w:type="dxa"/>
          </w:tcPr>
          <w:p w14:paraId="33F6CEE1" w14:textId="525A0598" w:rsidR="007151A6" w:rsidRPr="004C78D8" w:rsidRDefault="008D07EC" w:rsidP="00FB7C1F">
            <w:r w:rsidRPr="004C78D8">
              <w:t xml:space="preserve">Table </w:t>
            </w:r>
            <w:r w:rsidR="002406A2" w:rsidRPr="004C78D8">
              <w:t>5</w:t>
            </w:r>
            <w:r w:rsidRPr="004C78D8">
              <w:t>.</w:t>
            </w:r>
            <w:r w:rsidR="002406A2" w:rsidRPr="004C78D8">
              <w:t>38</w:t>
            </w:r>
          </w:p>
        </w:tc>
        <w:tc>
          <w:tcPr>
            <w:tcW w:w="7745" w:type="dxa"/>
          </w:tcPr>
          <w:p w14:paraId="1E6B5765" w14:textId="4C7DC28E" w:rsidR="007151A6" w:rsidRPr="004C78D8" w:rsidRDefault="008D07EC" w:rsidP="00FB7C1F">
            <w:pPr>
              <w:jc w:val="left"/>
            </w:pPr>
            <w:r w:rsidRPr="004C78D8">
              <w:t>Comparison of falls risk between: (1) ELSA falls incidence between Waves 4-5; (2) ELSA falls prevalence/history in Wave 4; and (3) estimates in literature.</w:t>
            </w:r>
          </w:p>
        </w:tc>
      </w:tr>
      <w:tr w:rsidR="007151A6" w:rsidRPr="004C78D8" w14:paraId="4EDA4456" w14:textId="77777777" w:rsidTr="00ED34DC">
        <w:tc>
          <w:tcPr>
            <w:tcW w:w="1271" w:type="dxa"/>
          </w:tcPr>
          <w:p w14:paraId="317AB2D3" w14:textId="1A84B847" w:rsidR="007151A6" w:rsidRPr="004C78D8" w:rsidRDefault="00A23AF0" w:rsidP="00FB7C1F">
            <w:r w:rsidRPr="004C78D8">
              <w:t xml:space="preserve">Table </w:t>
            </w:r>
            <w:r w:rsidR="002406A2" w:rsidRPr="004C78D8">
              <w:t>5</w:t>
            </w:r>
            <w:r w:rsidRPr="004C78D8">
              <w:t>.</w:t>
            </w:r>
            <w:r w:rsidR="002406A2" w:rsidRPr="004C78D8">
              <w:t>39</w:t>
            </w:r>
          </w:p>
        </w:tc>
        <w:tc>
          <w:tcPr>
            <w:tcW w:w="7745" w:type="dxa"/>
          </w:tcPr>
          <w:p w14:paraId="4B2B153B" w14:textId="05F3E902" w:rsidR="007151A6" w:rsidRPr="004C78D8" w:rsidRDefault="00A23AF0" w:rsidP="00FB7C1F">
            <w:pPr>
              <w:jc w:val="left"/>
            </w:pPr>
            <w:r w:rsidRPr="004C78D8">
              <w:t>Logistic regression coefficients for any fall incidence between ELSA Waves 4 and 5.</w:t>
            </w:r>
          </w:p>
        </w:tc>
      </w:tr>
      <w:tr w:rsidR="00A23AF0" w:rsidRPr="004C78D8" w14:paraId="0D0AC652" w14:textId="77777777" w:rsidTr="00ED34DC">
        <w:tc>
          <w:tcPr>
            <w:tcW w:w="1271" w:type="dxa"/>
          </w:tcPr>
          <w:p w14:paraId="32E37CEC" w14:textId="0320125C" w:rsidR="00A23AF0" w:rsidRPr="004C78D8" w:rsidRDefault="000F75FE" w:rsidP="00FB7C1F">
            <w:r w:rsidRPr="004C78D8">
              <w:t xml:space="preserve">Table </w:t>
            </w:r>
            <w:r w:rsidR="002406A2" w:rsidRPr="004C78D8">
              <w:t>5</w:t>
            </w:r>
            <w:r w:rsidRPr="004C78D8">
              <w:t>.</w:t>
            </w:r>
            <w:r w:rsidR="002406A2" w:rsidRPr="004C78D8">
              <w:t>40</w:t>
            </w:r>
          </w:p>
        </w:tc>
        <w:tc>
          <w:tcPr>
            <w:tcW w:w="7745" w:type="dxa"/>
          </w:tcPr>
          <w:p w14:paraId="5C3C36AF" w14:textId="54615B8E" w:rsidR="00A23AF0" w:rsidRPr="004C78D8" w:rsidRDefault="000F75FE" w:rsidP="00FB7C1F">
            <w:pPr>
              <w:jc w:val="left"/>
            </w:pPr>
            <w:r w:rsidRPr="004C78D8">
              <w:t>Logistic regression coefficients for incidence of recurrent falls given any fall between ELSA Waves 4 and 5.</w:t>
            </w:r>
          </w:p>
        </w:tc>
      </w:tr>
      <w:tr w:rsidR="00A23AF0" w:rsidRPr="004C78D8" w14:paraId="320AF709" w14:textId="77777777" w:rsidTr="00ED34DC">
        <w:tc>
          <w:tcPr>
            <w:tcW w:w="1271" w:type="dxa"/>
          </w:tcPr>
          <w:p w14:paraId="3C86EB3E" w14:textId="5F37C9E3" w:rsidR="00A23AF0" w:rsidRPr="004C78D8" w:rsidRDefault="007621F2" w:rsidP="00FB7C1F">
            <w:r w:rsidRPr="004C78D8">
              <w:t xml:space="preserve">Table </w:t>
            </w:r>
            <w:r w:rsidR="002406A2" w:rsidRPr="004C78D8">
              <w:t>5</w:t>
            </w:r>
            <w:r w:rsidRPr="004C78D8">
              <w:t>.</w:t>
            </w:r>
            <w:r w:rsidR="002406A2" w:rsidRPr="004C78D8">
              <w:t>41</w:t>
            </w:r>
          </w:p>
        </w:tc>
        <w:tc>
          <w:tcPr>
            <w:tcW w:w="7745" w:type="dxa"/>
          </w:tcPr>
          <w:p w14:paraId="1EFB8430" w14:textId="310C80E3" w:rsidR="00A23AF0" w:rsidRPr="004C78D8" w:rsidRDefault="007621F2" w:rsidP="00FB7C1F">
            <w:pPr>
              <w:jc w:val="left"/>
            </w:pPr>
            <w:r w:rsidRPr="004C78D8">
              <w:t>Logistic regression coefficients for incidence of MA fall given single fall between ELSA Waves 4 and 5.</w:t>
            </w:r>
          </w:p>
        </w:tc>
      </w:tr>
      <w:tr w:rsidR="00A23AF0" w:rsidRPr="004C78D8" w14:paraId="3253AE07" w14:textId="77777777" w:rsidTr="00ED34DC">
        <w:tc>
          <w:tcPr>
            <w:tcW w:w="1271" w:type="dxa"/>
          </w:tcPr>
          <w:p w14:paraId="388E39AF" w14:textId="79385C45" w:rsidR="00A23AF0" w:rsidRPr="004C78D8" w:rsidRDefault="004F71E7" w:rsidP="00FB7C1F">
            <w:r w:rsidRPr="004C78D8">
              <w:t xml:space="preserve">Table </w:t>
            </w:r>
            <w:r w:rsidR="002406A2" w:rsidRPr="004C78D8">
              <w:t>5</w:t>
            </w:r>
            <w:r w:rsidRPr="004C78D8">
              <w:t>.</w:t>
            </w:r>
            <w:r w:rsidR="002406A2" w:rsidRPr="004C78D8">
              <w:t>42</w:t>
            </w:r>
          </w:p>
        </w:tc>
        <w:tc>
          <w:tcPr>
            <w:tcW w:w="7745" w:type="dxa"/>
          </w:tcPr>
          <w:p w14:paraId="4347BE13" w14:textId="2A1FAB5E" w:rsidR="00A23AF0" w:rsidRPr="004C78D8" w:rsidRDefault="00193809" w:rsidP="00FB7C1F">
            <w:pPr>
              <w:jc w:val="left"/>
            </w:pPr>
            <w:r w:rsidRPr="004C78D8">
              <w:t>Logistic regression coefficients for incidence of MA fall given recurrent falls between ELSA Waves 4 and 5.</w:t>
            </w:r>
          </w:p>
        </w:tc>
      </w:tr>
      <w:tr w:rsidR="004F71E7" w:rsidRPr="004C78D8" w14:paraId="69BBCB9A" w14:textId="77777777" w:rsidTr="00ED34DC">
        <w:tc>
          <w:tcPr>
            <w:tcW w:w="1271" w:type="dxa"/>
          </w:tcPr>
          <w:p w14:paraId="1665B0FA" w14:textId="41303787" w:rsidR="004F71E7" w:rsidRPr="004C78D8" w:rsidRDefault="004F71E7" w:rsidP="00FB7C1F">
            <w:r w:rsidRPr="004C78D8">
              <w:t xml:space="preserve">Table </w:t>
            </w:r>
            <w:r w:rsidR="002406A2" w:rsidRPr="004C78D8">
              <w:t>5</w:t>
            </w:r>
            <w:r w:rsidRPr="004C78D8">
              <w:t>.</w:t>
            </w:r>
            <w:r w:rsidR="002406A2" w:rsidRPr="004C78D8">
              <w:t>43</w:t>
            </w:r>
          </w:p>
        </w:tc>
        <w:tc>
          <w:tcPr>
            <w:tcW w:w="7745" w:type="dxa"/>
          </w:tcPr>
          <w:p w14:paraId="56432A54" w14:textId="2C15ABB6" w:rsidR="004F71E7" w:rsidRPr="004C78D8" w:rsidRDefault="001E1EA6" w:rsidP="00FB7C1F">
            <w:pPr>
              <w:jc w:val="left"/>
            </w:pPr>
            <w:r w:rsidRPr="004C78D8">
              <w:t>Acute QALY loss associated with fall types.</w:t>
            </w:r>
          </w:p>
        </w:tc>
      </w:tr>
      <w:tr w:rsidR="004F71E7" w:rsidRPr="004C78D8" w14:paraId="3A95DA98" w14:textId="77777777" w:rsidTr="00ED34DC">
        <w:tc>
          <w:tcPr>
            <w:tcW w:w="1271" w:type="dxa"/>
          </w:tcPr>
          <w:p w14:paraId="26A563B6" w14:textId="12EB8A79" w:rsidR="004F71E7" w:rsidRPr="004C78D8" w:rsidRDefault="004F71E7" w:rsidP="00FB7C1F">
            <w:r w:rsidRPr="004C78D8">
              <w:t xml:space="preserve">Table </w:t>
            </w:r>
            <w:r w:rsidR="002406A2" w:rsidRPr="004C78D8">
              <w:t>5</w:t>
            </w:r>
            <w:r w:rsidRPr="004C78D8">
              <w:t>.</w:t>
            </w:r>
            <w:r w:rsidR="002406A2" w:rsidRPr="004C78D8">
              <w:t>44</w:t>
            </w:r>
          </w:p>
        </w:tc>
        <w:tc>
          <w:tcPr>
            <w:tcW w:w="7745" w:type="dxa"/>
          </w:tcPr>
          <w:p w14:paraId="31EF0B6B" w14:textId="37CA155E" w:rsidR="004F71E7" w:rsidRPr="004C78D8" w:rsidRDefault="00555F9D" w:rsidP="00FB7C1F">
            <w:pPr>
              <w:jc w:val="left"/>
            </w:pPr>
            <w:r w:rsidRPr="004C78D8">
              <w:t>D</w:t>
            </w:r>
            <w:r w:rsidR="0095576B" w:rsidRPr="004C78D8">
              <w:t>irect healthcare costs of falls in the year of incidence.</w:t>
            </w:r>
          </w:p>
        </w:tc>
      </w:tr>
      <w:tr w:rsidR="004F71E7" w:rsidRPr="004C78D8" w14:paraId="6DA0BE62" w14:textId="77777777" w:rsidTr="00ED34DC">
        <w:tc>
          <w:tcPr>
            <w:tcW w:w="1271" w:type="dxa"/>
          </w:tcPr>
          <w:p w14:paraId="6B2110E4" w14:textId="01784047" w:rsidR="004F71E7" w:rsidRPr="004C78D8" w:rsidRDefault="004F71E7" w:rsidP="00FB7C1F">
            <w:r w:rsidRPr="004C78D8">
              <w:t xml:space="preserve">Table </w:t>
            </w:r>
            <w:r w:rsidR="002406A2" w:rsidRPr="004C78D8">
              <w:t>5</w:t>
            </w:r>
            <w:r w:rsidRPr="004C78D8">
              <w:t>.</w:t>
            </w:r>
            <w:r w:rsidR="002406A2" w:rsidRPr="004C78D8">
              <w:t>45</w:t>
            </w:r>
          </w:p>
        </w:tc>
        <w:tc>
          <w:tcPr>
            <w:tcW w:w="7745" w:type="dxa"/>
          </w:tcPr>
          <w:p w14:paraId="6E91E23A" w14:textId="0B9FBA7F" w:rsidR="004F71E7" w:rsidRPr="004C78D8" w:rsidRDefault="00B902A8" w:rsidP="00FB7C1F">
            <w:pPr>
              <w:jc w:val="left"/>
            </w:pPr>
            <w:r w:rsidRPr="004C78D8">
              <w:t>Linear regression coefficients for two-year change in frailty (0-100) between ELSA Waves 4 and 5.</w:t>
            </w:r>
          </w:p>
        </w:tc>
      </w:tr>
      <w:tr w:rsidR="004F71E7" w:rsidRPr="004C78D8" w14:paraId="454BC079" w14:textId="77777777" w:rsidTr="00ED34DC">
        <w:tc>
          <w:tcPr>
            <w:tcW w:w="1271" w:type="dxa"/>
          </w:tcPr>
          <w:p w14:paraId="22D54ADB" w14:textId="327F0C4F" w:rsidR="004F71E7" w:rsidRPr="004C78D8" w:rsidRDefault="004F71E7" w:rsidP="00FB7C1F">
            <w:r w:rsidRPr="004C78D8">
              <w:t xml:space="preserve">Table </w:t>
            </w:r>
            <w:r w:rsidR="002406A2" w:rsidRPr="004C78D8">
              <w:t>5</w:t>
            </w:r>
            <w:r w:rsidRPr="004C78D8">
              <w:t>.</w:t>
            </w:r>
            <w:r w:rsidR="002406A2" w:rsidRPr="004C78D8">
              <w:t>46</w:t>
            </w:r>
          </w:p>
        </w:tc>
        <w:tc>
          <w:tcPr>
            <w:tcW w:w="7745" w:type="dxa"/>
          </w:tcPr>
          <w:p w14:paraId="6BA57378" w14:textId="7B5E01FE" w:rsidR="004F71E7" w:rsidRPr="004C78D8" w:rsidRDefault="001C65F6" w:rsidP="00FB7C1F">
            <w:pPr>
              <w:jc w:val="left"/>
            </w:pPr>
            <w:r w:rsidRPr="004C78D8">
              <w:t>Logistic regression coefficients for long-term care admission between ELSA Waves 4 and 5.</w:t>
            </w:r>
          </w:p>
        </w:tc>
      </w:tr>
      <w:tr w:rsidR="004F71E7" w:rsidRPr="004C78D8" w14:paraId="15D301C4" w14:textId="77777777" w:rsidTr="00ED34DC">
        <w:tc>
          <w:tcPr>
            <w:tcW w:w="1271" w:type="dxa"/>
          </w:tcPr>
          <w:p w14:paraId="18BDB34D" w14:textId="790AC3BD" w:rsidR="004F71E7" w:rsidRPr="004C78D8" w:rsidRDefault="004F71E7" w:rsidP="00FB7C1F">
            <w:r w:rsidRPr="004C78D8">
              <w:lastRenderedPageBreak/>
              <w:t xml:space="preserve">Table </w:t>
            </w:r>
            <w:r w:rsidR="002406A2" w:rsidRPr="004C78D8">
              <w:t>5</w:t>
            </w:r>
            <w:r w:rsidRPr="004C78D8">
              <w:t>.</w:t>
            </w:r>
            <w:r w:rsidR="002406A2" w:rsidRPr="004C78D8">
              <w:t>47</w:t>
            </w:r>
          </w:p>
        </w:tc>
        <w:tc>
          <w:tcPr>
            <w:tcW w:w="7745" w:type="dxa"/>
          </w:tcPr>
          <w:p w14:paraId="409456CE" w14:textId="4B4D6EE3" w:rsidR="004F71E7" w:rsidRPr="004C78D8" w:rsidRDefault="00EA70EF" w:rsidP="00FB7C1F">
            <w:pPr>
              <w:jc w:val="left"/>
            </w:pPr>
            <w:r w:rsidRPr="004C78D8">
              <w:t>Cost and health outcomes in long-term care admission.</w:t>
            </w:r>
          </w:p>
        </w:tc>
      </w:tr>
      <w:tr w:rsidR="00A23AF0" w:rsidRPr="004C78D8" w14:paraId="4E8E2548" w14:textId="77777777" w:rsidTr="00ED34DC">
        <w:tc>
          <w:tcPr>
            <w:tcW w:w="1271" w:type="dxa"/>
          </w:tcPr>
          <w:p w14:paraId="0F1D7A52" w14:textId="03135E37" w:rsidR="00A23AF0" w:rsidRPr="004C78D8" w:rsidRDefault="004F71E7" w:rsidP="00FB7C1F">
            <w:r w:rsidRPr="004C78D8">
              <w:t xml:space="preserve">Table </w:t>
            </w:r>
            <w:r w:rsidR="002406A2" w:rsidRPr="004C78D8">
              <w:t>5</w:t>
            </w:r>
            <w:r w:rsidRPr="004C78D8">
              <w:t>.</w:t>
            </w:r>
            <w:r w:rsidR="002406A2" w:rsidRPr="004C78D8">
              <w:t>48</w:t>
            </w:r>
          </w:p>
        </w:tc>
        <w:tc>
          <w:tcPr>
            <w:tcW w:w="7745" w:type="dxa"/>
          </w:tcPr>
          <w:p w14:paraId="78EA460C" w14:textId="3E14A23F" w:rsidR="00A23AF0" w:rsidRPr="004C78D8" w:rsidRDefault="007B563A" w:rsidP="00FB7C1F">
            <w:pPr>
              <w:jc w:val="left"/>
            </w:pPr>
            <w:r w:rsidRPr="004C78D8">
              <w:t>Logistic regression coefficients for high physical activity in ELSA Wave 5.</w:t>
            </w:r>
          </w:p>
        </w:tc>
      </w:tr>
      <w:tr w:rsidR="00A23AF0" w:rsidRPr="004C78D8" w14:paraId="1D188A42" w14:textId="77777777" w:rsidTr="00ED34DC">
        <w:tc>
          <w:tcPr>
            <w:tcW w:w="1271" w:type="dxa"/>
          </w:tcPr>
          <w:p w14:paraId="470250B8" w14:textId="66936FBF" w:rsidR="00A23AF0" w:rsidRPr="004C78D8" w:rsidRDefault="004F71E7" w:rsidP="00FB7C1F">
            <w:r w:rsidRPr="004C78D8">
              <w:t xml:space="preserve">Table </w:t>
            </w:r>
            <w:r w:rsidR="002406A2" w:rsidRPr="004C78D8">
              <w:t>5</w:t>
            </w:r>
            <w:r w:rsidRPr="004C78D8">
              <w:t>.</w:t>
            </w:r>
            <w:r w:rsidR="002406A2" w:rsidRPr="004C78D8">
              <w:t>49</w:t>
            </w:r>
          </w:p>
        </w:tc>
        <w:tc>
          <w:tcPr>
            <w:tcW w:w="7745" w:type="dxa"/>
          </w:tcPr>
          <w:p w14:paraId="3EDF71AB" w14:textId="65DE8100" w:rsidR="00A23AF0" w:rsidRPr="004C78D8" w:rsidRDefault="003D61F1" w:rsidP="00FB7C1F">
            <w:pPr>
              <w:jc w:val="left"/>
            </w:pPr>
            <w:r w:rsidRPr="004C78D8">
              <w:t>Logistic regression coefficients for self-referred exercise demand in ELSA Wave 5.</w:t>
            </w:r>
          </w:p>
        </w:tc>
      </w:tr>
      <w:tr w:rsidR="007151A6" w:rsidRPr="004C78D8" w14:paraId="492CEB36" w14:textId="77777777" w:rsidTr="00ED34DC">
        <w:tc>
          <w:tcPr>
            <w:tcW w:w="1271" w:type="dxa"/>
          </w:tcPr>
          <w:p w14:paraId="22F74141" w14:textId="5541B9B3" w:rsidR="007151A6" w:rsidRPr="004C78D8" w:rsidRDefault="004F71E7" w:rsidP="00FB7C1F">
            <w:r w:rsidRPr="004C78D8">
              <w:t xml:space="preserve">Table </w:t>
            </w:r>
            <w:r w:rsidR="002406A2" w:rsidRPr="004C78D8">
              <w:t>5</w:t>
            </w:r>
            <w:r w:rsidRPr="004C78D8">
              <w:t>.</w:t>
            </w:r>
            <w:r w:rsidR="002406A2" w:rsidRPr="004C78D8">
              <w:t>50</w:t>
            </w:r>
          </w:p>
        </w:tc>
        <w:tc>
          <w:tcPr>
            <w:tcW w:w="7745" w:type="dxa"/>
          </w:tcPr>
          <w:p w14:paraId="028F2938" w14:textId="0B587BDB" w:rsidR="007151A6" w:rsidRPr="004C78D8" w:rsidRDefault="003906DE" w:rsidP="00FB7C1F">
            <w:pPr>
              <w:jc w:val="left"/>
            </w:pPr>
            <w:r w:rsidRPr="004C78D8">
              <w:t>Linear regression coefficients for change in EQ-5D between ELSA Waves 4 and 5.</w:t>
            </w:r>
          </w:p>
        </w:tc>
      </w:tr>
      <w:tr w:rsidR="00B816B8" w:rsidRPr="004C78D8" w14:paraId="6A346EBA" w14:textId="77777777" w:rsidTr="00ED34DC">
        <w:tc>
          <w:tcPr>
            <w:tcW w:w="1271" w:type="dxa"/>
          </w:tcPr>
          <w:p w14:paraId="727EBF04" w14:textId="61B92F70" w:rsidR="00B816B8" w:rsidRPr="004C78D8" w:rsidRDefault="004F71E7" w:rsidP="00FB7C1F">
            <w:r w:rsidRPr="004C78D8">
              <w:t xml:space="preserve">Table </w:t>
            </w:r>
            <w:r w:rsidR="002406A2" w:rsidRPr="004C78D8">
              <w:t>5</w:t>
            </w:r>
            <w:r w:rsidRPr="004C78D8">
              <w:t>.</w:t>
            </w:r>
            <w:r w:rsidR="002406A2" w:rsidRPr="004C78D8">
              <w:t>51</w:t>
            </w:r>
          </w:p>
        </w:tc>
        <w:tc>
          <w:tcPr>
            <w:tcW w:w="7745" w:type="dxa"/>
          </w:tcPr>
          <w:p w14:paraId="0372E7D4" w14:textId="708FE2DC" w:rsidR="00B816B8" w:rsidRPr="004C78D8" w:rsidRDefault="005F05A2" w:rsidP="00FB7C1F">
            <w:pPr>
              <w:jc w:val="left"/>
            </w:pPr>
            <w:r w:rsidRPr="004C78D8">
              <w:t>Comparison of falls incidence rates between model simulation and UK falls prevention randomised controlled trial data.</w:t>
            </w:r>
          </w:p>
        </w:tc>
      </w:tr>
      <w:tr w:rsidR="004F71E7" w:rsidRPr="004C78D8" w14:paraId="0DD609E7" w14:textId="77777777" w:rsidTr="00ED34DC">
        <w:tc>
          <w:tcPr>
            <w:tcW w:w="1271" w:type="dxa"/>
          </w:tcPr>
          <w:p w14:paraId="0B5831E6" w14:textId="36842C2A" w:rsidR="004F71E7" w:rsidRPr="004C78D8" w:rsidRDefault="004F71E7" w:rsidP="00FB7C1F">
            <w:r w:rsidRPr="004C78D8">
              <w:t xml:space="preserve">Table </w:t>
            </w:r>
            <w:r w:rsidR="002406A2" w:rsidRPr="004C78D8">
              <w:t>5</w:t>
            </w:r>
            <w:r w:rsidRPr="004C78D8">
              <w:t>.</w:t>
            </w:r>
            <w:r w:rsidR="002406A2" w:rsidRPr="004C78D8">
              <w:t>52</w:t>
            </w:r>
          </w:p>
        </w:tc>
        <w:tc>
          <w:tcPr>
            <w:tcW w:w="7745" w:type="dxa"/>
          </w:tcPr>
          <w:p w14:paraId="517EF050" w14:textId="1191E55B" w:rsidR="004F71E7" w:rsidRPr="004C78D8" w:rsidRDefault="00E34037" w:rsidP="00FB7C1F">
            <w:pPr>
              <w:jc w:val="left"/>
            </w:pPr>
            <w:r w:rsidRPr="004C78D8">
              <w:t>Parameter distributions used for probabilistic sensitivity analysis.</w:t>
            </w:r>
          </w:p>
        </w:tc>
      </w:tr>
      <w:tr w:rsidR="00C13C93" w:rsidRPr="004C78D8" w14:paraId="1EB9057C" w14:textId="77777777" w:rsidTr="00ED34DC">
        <w:tc>
          <w:tcPr>
            <w:tcW w:w="1271" w:type="dxa"/>
          </w:tcPr>
          <w:p w14:paraId="0504B65D" w14:textId="4C63BF0B" w:rsidR="00C13C93" w:rsidRPr="004C78D8" w:rsidRDefault="00C13C93" w:rsidP="00FB7C1F">
            <w:r w:rsidRPr="004C78D8">
              <w:t>Table 5.53</w:t>
            </w:r>
          </w:p>
        </w:tc>
        <w:tc>
          <w:tcPr>
            <w:tcW w:w="7745" w:type="dxa"/>
          </w:tcPr>
          <w:p w14:paraId="20D4CC94" w14:textId="4A37AB0D" w:rsidR="00C13C93" w:rsidRPr="004C78D8" w:rsidRDefault="00C13C93" w:rsidP="00FB7C1F">
            <w:pPr>
              <w:jc w:val="left"/>
            </w:pPr>
            <w:r w:rsidRPr="004C78D8">
              <w:t>Stylised example of distributional cost-effectiveness analysis.</w:t>
            </w:r>
          </w:p>
        </w:tc>
      </w:tr>
      <w:tr w:rsidR="004F71E7" w:rsidRPr="004C78D8" w14:paraId="018E711F" w14:textId="77777777" w:rsidTr="00ED34DC">
        <w:tc>
          <w:tcPr>
            <w:tcW w:w="1271" w:type="dxa"/>
          </w:tcPr>
          <w:p w14:paraId="59115E39" w14:textId="079F2705" w:rsidR="004F71E7" w:rsidRPr="004C78D8" w:rsidRDefault="000330CB" w:rsidP="00FB7C1F">
            <w:r w:rsidRPr="004C78D8">
              <w:t xml:space="preserve">Table </w:t>
            </w:r>
            <w:r w:rsidR="00CF71D8" w:rsidRPr="004C78D8">
              <w:t>6</w:t>
            </w:r>
            <w:r w:rsidRPr="004C78D8">
              <w:t>.1</w:t>
            </w:r>
          </w:p>
        </w:tc>
        <w:tc>
          <w:tcPr>
            <w:tcW w:w="7745" w:type="dxa"/>
          </w:tcPr>
          <w:p w14:paraId="0A58890D" w14:textId="4FAD47D0" w:rsidR="004F71E7" w:rsidRPr="004C78D8" w:rsidRDefault="000330CB" w:rsidP="00FB7C1F">
            <w:pPr>
              <w:jc w:val="left"/>
            </w:pPr>
            <w:r w:rsidRPr="004C78D8">
              <w:t>Base case cost-utility analysis under societal perspective and 40-year horizon: deterministic outcomes with first-order uncertainty.</w:t>
            </w:r>
          </w:p>
        </w:tc>
      </w:tr>
      <w:tr w:rsidR="00951CEB" w:rsidRPr="004C78D8" w14:paraId="41948513" w14:textId="77777777" w:rsidTr="00ED34DC">
        <w:tc>
          <w:tcPr>
            <w:tcW w:w="1271" w:type="dxa"/>
          </w:tcPr>
          <w:p w14:paraId="3646E5B7" w14:textId="7FA8A389" w:rsidR="00951CEB" w:rsidRPr="004C78D8" w:rsidRDefault="00C14D84" w:rsidP="00FB7C1F">
            <w:r w:rsidRPr="004C78D8">
              <w:t xml:space="preserve">Table </w:t>
            </w:r>
            <w:r w:rsidR="00CF71D8" w:rsidRPr="004C78D8">
              <w:t>6</w:t>
            </w:r>
            <w:r w:rsidRPr="004C78D8">
              <w:t>.2</w:t>
            </w:r>
          </w:p>
        </w:tc>
        <w:tc>
          <w:tcPr>
            <w:tcW w:w="7745" w:type="dxa"/>
          </w:tcPr>
          <w:p w14:paraId="58E76EDA" w14:textId="7CBB6685" w:rsidR="00951CEB" w:rsidRPr="004C78D8" w:rsidRDefault="00C14D84" w:rsidP="00FB7C1F">
            <w:pPr>
              <w:jc w:val="left"/>
            </w:pPr>
            <w:r w:rsidRPr="004C78D8">
              <w:t>Comparison of individual-level lifetime outcomes for the group aged 65 at baseline (n=5,399) under the base case 40-year societal cost-utility analysis.</w:t>
            </w:r>
          </w:p>
        </w:tc>
      </w:tr>
      <w:tr w:rsidR="00951CEB" w:rsidRPr="004C78D8" w14:paraId="5B17E7B0" w14:textId="77777777" w:rsidTr="00ED34DC">
        <w:tc>
          <w:tcPr>
            <w:tcW w:w="1271" w:type="dxa"/>
          </w:tcPr>
          <w:p w14:paraId="2C8FA606" w14:textId="0396ABDE" w:rsidR="00951CEB" w:rsidRPr="004C78D8" w:rsidRDefault="00284905" w:rsidP="00FB7C1F">
            <w:r w:rsidRPr="004C78D8">
              <w:t xml:space="preserve">Table </w:t>
            </w:r>
            <w:r w:rsidR="00CF71D8" w:rsidRPr="004C78D8">
              <w:t>6</w:t>
            </w:r>
            <w:r w:rsidRPr="004C78D8">
              <w:t>.3</w:t>
            </w:r>
          </w:p>
        </w:tc>
        <w:tc>
          <w:tcPr>
            <w:tcW w:w="7745" w:type="dxa"/>
          </w:tcPr>
          <w:p w14:paraId="1DE0FB5D" w14:textId="7658B42C" w:rsidR="00951CEB" w:rsidRPr="004C78D8" w:rsidRDefault="00284905" w:rsidP="00FB7C1F">
            <w:pPr>
              <w:jc w:val="left"/>
            </w:pPr>
            <w:r w:rsidRPr="004C78D8">
              <w:t>Base case return on investment under public sector perspective and five-year horizon.</w:t>
            </w:r>
          </w:p>
        </w:tc>
      </w:tr>
      <w:tr w:rsidR="00952BAD" w:rsidRPr="004C78D8" w14:paraId="7D209577" w14:textId="77777777" w:rsidTr="00ED34DC">
        <w:tc>
          <w:tcPr>
            <w:tcW w:w="1271" w:type="dxa"/>
          </w:tcPr>
          <w:p w14:paraId="37DA9C70" w14:textId="464C291B" w:rsidR="00952BAD" w:rsidRPr="004C78D8" w:rsidRDefault="00952BAD" w:rsidP="00FB7C1F">
            <w:r w:rsidRPr="004C78D8">
              <w:t xml:space="preserve">Table </w:t>
            </w:r>
            <w:r w:rsidR="00CF71D8" w:rsidRPr="004C78D8">
              <w:t>6</w:t>
            </w:r>
            <w:r w:rsidRPr="004C78D8">
              <w:t>.4</w:t>
            </w:r>
          </w:p>
        </w:tc>
        <w:tc>
          <w:tcPr>
            <w:tcW w:w="7745" w:type="dxa"/>
          </w:tcPr>
          <w:p w14:paraId="58B043A9" w14:textId="6AD03612" w:rsidR="00952BAD" w:rsidRPr="004C78D8" w:rsidRDefault="00952BAD" w:rsidP="00FB7C1F">
            <w:pPr>
              <w:jc w:val="left"/>
            </w:pPr>
            <w:r w:rsidRPr="004C78D8">
              <w:t>Probabilistic outcomes of base case 40-year societal cost-utility analysis.</w:t>
            </w:r>
          </w:p>
        </w:tc>
      </w:tr>
      <w:tr w:rsidR="00951CEB" w:rsidRPr="004C78D8" w14:paraId="7F9B9045" w14:textId="77777777" w:rsidTr="00ED34DC">
        <w:tc>
          <w:tcPr>
            <w:tcW w:w="1271" w:type="dxa"/>
          </w:tcPr>
          <w:p w14:paraId="5A6348E6" w14:textId="72D1D941" w:rsidR="00951CEB" w:rsidRPr="004C78D8" w:rsidRDefault="00046B7D" w:rsidP="00FB7C1F">
            <w:r w:rsidRPr="004C78D8">
              <w:t xml:space="preserve">Table </w:t>
            </w:r>
            <w:r w:rsidR="00CF71D8" w:rsidRPr="004C78D8">
              <w:t>6</w:t>
            </w:r>
            <w:r w:rsidRPr="004C78D8">
              <w:t>.</w:t>
            </w:r>
            <w:r w:rsidR="00E66ACC" w:rsidRPr="004C78D8">
              <w:t>5</w:t>
            </w:r>
          </w:p>
        </w:tc>
        <w:tc>
          <w:tcPr>
            <w:tcW w:w="7745" w:type="dxa"/>
          </w:tcPr>
          <w:p w14:paraId="2DF087EE" w14:textId="77046860" w:rsidR="00951CEB" w:rsidRPr="004C78D8" w:rsidRDefault="00952BAD" w:rsidP="00FB7C1F">
            <w:pPr>
              <w:jc w:val="left"/>
            </w:pPr>
            <w:r w:rsidRPr="004C78D8">
              <w:t>D</w:t>
            </w:r>
            <w:r w:rsidR="00046B7D" w:rsidRPr="004C78D8">
              <w:t>eterministic sensitivity analysis</w:t>
            </w:r>
            <w:r w:rsidRPr="004C78D8">
              <w:t xml:space="preserve"> results</w:t>
            </w:r>
            <w:r w:rsidR="00046B7D" w:rsidRPr="004C78D8">
              <w:t>: parameters with top 20 highest impact on incremental cost-effectiveness ratio considering all-cause costs over 40-year horizon.</w:t>
            </w:r>
          </w:p>
        </w:tc>
      </w:tr>
      <w:tr w:rsidR="0076336F" w:rsidRPr="004C78D8" w14:paraId="308634BB" w14:textId="77777777" w:rsidTr="00ED34DC">
        <w:tc>
          <w:tcPr>
            <w:tcW w:w="1271" w:type="dxa"/>
          </w:tcPr>
          <w:p w14:paraId="433B5C47" w14:textId="4EA5DFF7" w:rsidR="0076336F" w:rsidRPr="004C78D8" w:rsidRDefault="0076336F" w:rsidP="00FB7C1F">
            <w:r w:rsidRPr="004C78D8">
              <w:t xml:space="preserve">Table </w:t>
            </w:r>
            <w:r w:rsidR="00CF71D8" w:rsidRPr="004C78D8">
              <w:t>6</w:t>
            </w:r>
            <w:r w:rsidRPr="004C78D8">
              <w:t>.</w:t>
            </w:r>
            <w:r w:rsidR="00CF71D8" w:rsidRPr="004C78D8">
              <w:t>6</w:t>
            </w:r>
          </w:p>
        </w:tc>
        <w:tc>
          <w:tcPr>
            <w:tcW w:w="7745" w:type="dxa"/>
          </w:tcPr>
          <w:p w14:paraId="574FEEBA" w14:textId="4C8DD854" w:rsidR="0076336F" w:rsidRPr="004C78D8" w:rsidRDefault="0080351F" w:rsidP="00FB7C1F">
            <w:pPr>
              <w:jc w:val="left"/>
            </w:pPr>
            <w:r w:rsidRPr="004C78D8">
              <w:t xml:space="preserve">Equally distributed equivalent </w:t>
            </w:r>
            <w:r w:rsidR="009362F4" w:rsidRPr="004C78D8">
              <w:t>net health benefit</w:t>
            </w:r>
            <w:r w:rsidRPr="004C78D8">
              <w:t xml:space="preserve"> across SES quartiles for </w:t>
            </w:r>
            <w:r w:rsidR="00CF71D8" w:rsidRPr="004C78D8">
              <w:t>base case comparison</w:t>
            </w:r>
            <w:r w:rsidRPr="004C78D8">
              <w:t>.</w:t>
            </w:r>
          </w:p>
        </w:tc>
      </w:tr>
      <w:tr w:rsidR="0076336F" w:rsidRPr="004C78D8" w14:paraId="31421548" w14:textId="77777777" w:rsidTr="00ED34DC">
        <w:tc>
          <w:tcPr>
            <w:tcW w:w="1271" w:type="dxa"/>
          </w:tcPr>
          <w:p w14:paraId="42CEE950" w14:textId="31F03839" w:rsidR="0076336F" w:rsidRPr="004C78D8" w:rsidRDefault="0076336F" w:rsidP="00FB7C1F">
            <w:r w:rsidRPr="004C78D8">
              <w:t xml:space="preserve">Table </w:t>
            </w:r>
            <w:r w:rsidR="00CF71D8" w:rsidRPr="004C78D8">
              <w:t>6</w:t>
            </w:r>
            <w:r w:rsidRPr="004C78D8">
              <w:t>.</w:t>
            </w:r>
            <w:r w:rsidR="00CF71D8" w:rsidRPr="004C78D8">
              <w:t>7</w:t>
            </w:r>
          </w:p>
        </w:tc>
        <w:tc>
          <w:tcPr>
            <w:tcW w:w="7745" w:type="dxa"/>
          </w:tcPr>
          <w:p w14:paraId="16D9814D" w14:textId="67A9B92C" w:rsidR="0076336F" w:rsidRPr="004C78D8" w:rsidRDefault="008B32C8" w:rsidP="00FB7C1F">
            <w:pPr>
              <w:jc w:val="left"/>
            </w:pPr>
            <w:r w:rsidRPr="004C78D8">
              <w:t xml:space="preserve">Equally distributed equivalent </w:t>
            </w:r>
            <w:r w:rsidR="00A43938" w:rsidRPr="004C78D8">
              <w:t>net health benefit</w:t>
            </w:r>
            <w:r w:rsidRPr="004C78D8">
              <w:t xml:space="preserve"> across initial frailty categories for </w:t>
            </w:r>
            <w:r w:rsidR="00CF71D8" w:rsidRPr="004C78D8">
              <w:t>base case comparison</w:t>
            </w:r>
            <w:r w:rsidRPr="004C78D8">
              <w:t>.</w:t>
            </w:r>
          </w:p>
        </w:tc>
      </w:tr>
      <w:tr w:rsidR="00B7008E" w:rsidRPr="004C78D8" w14:paraId="55728E80" w14:textId="77777777" w:rsidTr="00ED34DC">
        <w:tc>
          <w:tcPr>
            <w:tcW w:w="1271" w:type="dxa"/>
          </w:tcPr>
          <w:p w14:paraId="3226633F" w14:textId="106055B8" w:rsidR="00B7008E" w:rsidRPr="004C78D8" w:rsidRDefault="00B7008E" w:rsidP="00FB7C1F">
            <w:r w:rsidRPr="004C78D8">
              <w:t xml:space="preserve">Table </w:t>
            </w:r>
            <w:r w:rsidR="00971FE5" w:rsidRPr="004C78D8">
              <w:t>6</w:t>
            </w:r>
            <w:r w:rsidRPr="004C78D8">
              <w:t>.</w:t>
            </w:r>
            <w:r w:rsidR="00047BEE" w:rsidRPr="004C78D8">
              <w:t>8</w:t>
            </w:r>
          </w:p>
        </w:tc>
        <w:tc>
          <w:tcPr>
            <w:tcW w:w="7745" w:type="dxa"/>
          </w:tcPr>
          <w:p w14:paraId="05BA4194" w14:textId="70AFA8E5" w:rsidR="00B7008E" w:rsidRPr="004C78D8" w:rsidRDefault="00B7008E" w:rsidP="00FB7C1F">
            <w:pPr>
              <w:jc w:val="left"/>
            </w:pPr>
            <w:r w:rsidRPr="004C78D8">
              <w:t>SES-delineated EDE INHBs for recommended care relative to usual care under two frailty reduction scenarios.</w:t>
            </w:r>
          </w:p>
        </w:tc>
      </w:tr>
      <w:tr w:rsidR="00FE0120" w:rsidRPr="004C78D8" w14:paraId="3ED4CF7D" w14:textId="77777777" w:rsidTr="00ED34DC">
        <w:tc>
          <w:tcPr>
            <w:tcW w:w="1271" w:type="dxa"/>
          </w:tcPr>
          <w:p w14:paraId="5D6C4DA2" w14:textId="75248FD2" w:rsidR="00FE0120" w:rsidRPr="004C78D8" w:rsidRDefault="00FE0120" w:rsidP="00FB7C1F">
            <w:r w:rsidRPr="004C78D8">
              <w:t xml:space="preserve">Table </w:t>
            </w:r>
            <w:r w:rsidR="004239A6" w:rsidRPr="004C78D8">
              <w:t>6</w:t>
            </w:r>
            <w:r w:rsidRPr="004C78D8">
              <w:t>.</w:t>
            </w:r>
            <w:r w:rsidR="004239A6" w:rsidRPr="004C78D8">
              <w:t>9</w:t>
            </w:r>
          </w:p>
        </w:tc>
        <w:tc>
          <w:tcPr>
            <w:tcW w:w="7745" w:type="dxa"/>
          </w:tcPr>
          <w:p w14:paraId="1EEB2AC7" w14:textId="7C9E5BCA" w:rsidR="00FE0120" w:rsidRPr="004C78D8" w:rsidRDefault="00B06218" w:rsidP="00FB7C1F">
            <w:pPr>
              <w:jc w:val="left"/>
            </w:pPr>
            <w:r w:rsidRPr="004C78D8">
              <w:t>SES-delineated EDE INHBs for individual prevention pathways relative to usual care.</w:t>
            </w:r>
          </w:p>
        </w:tc>
      </w:tr>
      <w:tr w:rsidR="00BC5AAF" w:rsidRPr="004C78D8" w14:paraId="112A06BD" w14:textId="77777777" w:rsidTr="00ED34DC">
        <w:tc>
          <w:tcPr>
            <w:tcW w:w="1271" w:type="dxa"/>
          </w:tcPr>
          <w:p w14:paraId="4EEA89DA" w14:textId="0F381392" w:rsidR="00BC5AAF" w:rsidRPr="004C78D8" w:rsidRDefault="00BC5AAF" w:rsidP="00FB7C1F">
            <w:r w:rsidRPr="004C78D8">
              <w:t xml:space="preserve">Table </w:t>
            </w:r>
            <w:r w:rsidR="004239A6" w:rsidRPr="004C78D8">
              <w:t>6</w:t>
            </w:r>
            <w:r w:rsidRPr="004C78D8">
              <w:t>.</w:t>
            </w:r>
            <w:r w:rsidR="004239A6" w:rsidRPr="004C78D8">
              <w:t>10</w:t>
            </w:r>
          </w:p>
        </w:tc>
        <w:tc>
          <w:tcPr>
            <w:tcW w:w="7745" w:type="dxa"/>
          </w:tcPr>
          <w:p w14:paraId="16B74DA2" w14:textId="05C43A8A" w:rsidR="00BC5AAF" w:rsidRPr="004C78D8" w:rsidRDefault="00C17E93" w:rsidP="00FB7C1F">
            <w:pPr>
              <w:jc w:val="left"/>
            </w:pPr>
            <w:r w:rsidRPr="004C78D8">
              <w:t>SES-delineated EDE INHBs for combinations of two prevention pathways relative to usual care.</w:t>
            </w:r>
          </w:p>
        </w:tc>
      </w:tr>
      <w:tr w:rsidR="008556C9" w:rsidRPr="004C78D8" w14:paraId="5F5E55F8" w14:textId="77777777" w:rsidTr="00ED34DC">
        <w:tc>
          <w:tcPr>
            <w:tcW w:w="1271" w:type="dxa"/>
          </w:tcPr>
          <w:p w14:paraId="37549A64" w14:textId="069E2C50" w:rsidR="008556C9" w:rsidRPr="004C78D8" w:rsidRDefault="008556C9" w:rsidP="00FB7C1F">
            <w:r w:rsidRPr="004C78D8">
              <w:t xml:space="preserve">Table </w:t>
            </w:r>
            <w:r w:rsidR="00C11FB0" w:rsidRPr="004C78D8">
              <w:t>6</w:t>
            </w:r>
            <w:r w:rsidRPr="004C78D8">
              <w:t>.</w:t>
            </w:r>
            <w:r w:rsidR="00C11FB0" w:rsidRPr="004C78D8">
              <w:t>11</w:t>
            </w:r>
          </w:p>
        </w:tc>
        <w:tc>
          <w:tcPr>
            <w:tcW w:w="7745" w:type="dxa"/>
          </w:tcPr>
          <w:p w14:paraId="43B3AF71" w14:textId="54344B5B" w:rsidR="008556C9" w:rsidRPr="004C78D8" w:rsidRDefault="008556C9" w:rsidP="00FB7C1F">
            <w:pPr>
              <w:jc w:val="left"/>
            </w:pPr>
            <w:r w:rsidRPr="004C78D8">
              <w:t xml:space="preserve">Scenarios of constrained recommended care with different targeting strategies </w:t>
            </w:r>
            <w:r w:rsidR="00F26B64" w:rsidRPr="004C78D8">
              <w:t>relative to</w:t>
            </w:r>
            <w:r w:rsidRPr="004C78D8">
              <w:t xml:space="preserve"> usual care for 40-year societal cost-utility analysis.</w:t>
            </w:r>
          </w:p>
        </w:tc>
      </w:tr>
      <w:tr w:rsidR="008556C9" w:rsidRPr="004C78D8" w14:paraId="749BD179" w14:textId="77777777" w:rsidTr="00ED34DC">
        <w:tc>
          <w:tcPr>
            <w:tcW w:w="1271" w:type="dxa"/>
          </w:tcPr>
          <w:p w14:paraId="532E6709" w14:textId="52B26628" w:rsidR="008556C9" w:rsidRPr="004C78D8" w:rsidRDefault="008556C9" w:rsidP="00FB7C1F">
            <w:r w:rsidRPr="004C78D8">
              <w:t xml:space="preserve">Table </w:t>
            </w:r>
            <w:r w:rsidR="00C11FB0" w:rsidRPr="004C78D8">
              <w:t>6</w:t>
            </w:r>
            <w:r w:rsidRPr="004C78D8">
              <w:t>.</w:t>
            </w:r>
            <w:r w:rsidR="00C11FB0" w:rsidRPr="004C78D8">
              <w:t>12</w:t>
            </w:r>
          </w:p>
        </w:tc>
        <w:tc>
          <w:tcPr>
            <w:tcW w:w="7745" w:type="dxa"/>
          </w:tcPr>
          <w:p w14:paraId="363399B0" w14:textId="18104070" w:rsidR="008556C9" w:rsidRPr="004C78D8" w:rsidRDefault="001F2E23" w:rsidP="00FB7C1F">
            <w:pPr>
              <w:jc w:val="left"/>
            </w:pPr>
            <w:r w:rsidRPr="004C78D8">
              <w:t>SES-delineated EDE INHBs for targeting strategies under constrained recommended care relative to usual care.</w:t>
            </w:r>
          </w:p>
        </w:tc>
      </w:tr>
      <w:tr w:rsidR="00FA2717" w:rsidRPr="004C78D8" w14:paraId="1DFA0993" w14:textId="77777777" w:rsidTr="00ED34DC">
        <w:tc>
          <w:tcPr>
            <w:tcW w:w="1271" w:type="dxa"/>
          </w:tcPr>
          <w:p w14:paraId="5993C526" w14:textId="3CCC2D8B" w:rsidR="00FA2717" w:rsidRPr="004C78D8" w:rsidRDefault="00FA2717" w:rsidP="00FB7C1F">
            <w:r w:rsidRPr="004C78D8">
              <w:t xml:space="preserve">Table </w:t>
            </w:r>
            <w:r w:rsidR="002955E2" w:rsidRPr="004C78D8">
              <w:t>6</w:t>
            </w:r>
            <w:r w:rsidRPr="004C78D8">
              <w:t>.</w:t>
            </w:r>
            <w:r w:rsidR="002955E2" w:rsidRPr="004C78D8">
              <w:t>13</w:t>
            </w:r>
          </w:p>
        </w:tc>
        <w:tc>
          <w:tcPr>
            <w:tcW w:w="7745" w:type="dxa"/>
          </w:tcPr>
          <w:p w14:paraId="14FF3752" w14:textId="0BDF0E8D" w:rsidR="00FA2717" w:rsidRPr="004C78D8" w:rsidRDefault="00FA2717" w:rsidP="00FB7C1F">
            <w:pPr>
              <w:jc w:val="left"/>
            </w:pPr>
            <w:r w:rsidRPr="004C78D8">
              <w:t>Economic value of community involvement schemes supplementing constrained recommended care with falls risk targeting under 40-year societal cost-utility analysis.</w:t>
            </w:r>
          </w:p>
        </w:tc>
      </w:tr>
      <w:tr w:rsidR="00FA2717" w:rsidRPr="004C78D8" w14:paraId="4603EE21" w14:textId="77777777" w:rsidTr="00ED34DC">
        <w:tc>
          <w:tcPr>
            <w:tcW w:w="1271" w:type="dxa"/>
          </w:tcPr>
          <w:p w14:paraId="17C2821F" w14:textId="0F1895AE" w:rsidR="00FA2717" w:rsidRPr="004C78D8" w:rsidRDefault="00FA2717" w:rsidP="00FB7C1F">
            <w:r w:rsidRPr="004C78D8">
              <w:t xml:space="preserve">Table </w:t>
            </w:r>
            <w:r w:rsidR="002955E2" w:rsidRPr="004C78D8">
              <w:t>6</w:t>
            </w:r>
            <w:r w:rsidRPr="004C78D8">
              <w:t>.</w:t>
            </w:r>
            <w:r w:rsidR="002955E2" w:rsidRPr="004C78D8">
              <w:t>14</w:t>
            </w:r>
          </w:p>
        </w:tc>
        <w:tc>
          <w:tcPr>
            <w:tcW w:w="7745" w:type="dxa"/>
          </w:tcPr>
          <w:p w14:paraId="1C06A566" w14:textId="521E5D71" w:rsidR="00FA2717" w:rsidRPr="004C78D8" w:rsidRDefault="00527939" w:rsidP="00FB7C1F">
            <w:pPr>
              <w:jc w:val="left"/>
            </w:pPr>
            <w:r w:rsidRPr="004C78D8">
              <w:t>SES-delineated EDE INHBs for community involvement schemes supplementing CRC with falls risk targeting relative to no supplementation.</w:t>
            </w:r>
          </w:p>
        </w:tc>
      </w:tr>
      <w:tr w:rsidR="00FA2717" w:rsidRPr="004C78D8" w14:paraId="4F10D329" w14:textId="77777777" w:rsidTr="00ED34DC">
        <w:tc>
          <w:tcPr>
            <w:tcW w:w="1271" w:type="dxa"/>
          </w:tcPr>
          <w:p w14:paraId="074DA0E2" w14:textId="24E1594B" w:rsidR="00FA2717" w:rsidRPr="004C78D8" w:rsidRDefault="00983EF0" w:rsidP="00FB7C1F">
            <w:r w:rsidRPr="004C78D8">
              <w:t xml:space="preserve">Table </w:t>
            </w:r>
            <w:r w:rsidR="003D7E4C" w:rsidRPr="004C78D8">
              <w:t>6</w:t>
            </w:r>
            <w:r w:rsidRPr="004C78D8">
              <w:t>.</w:t>
            </w:r>
            <w:r w:rsidR="003D7E4C" w:rsidRPr="004C78D8">
              <w:t>15</w:t>
            </w:r>
          </w:p>
        </w:tc>
        <w:tc>
          <w:tcPr>
            <w:tcW w:w="7745" w:type="dxa"/>
          </w:tcPr>
          <w:p w14:paraId="4821ADAE" w14:textId="13D7F704" w:rsidR="00FA2717" w:rsidRPr="004C78D8" w:rsidRDefault="00983EF0" w:rsidP="00FB7C1F">
            <w:pPr>
              <w:jc w:val="left"/>
            </w:pPr>
            <w:r w:rsidRPr="004C78D8">
              <w:t>Impacts of (I) double jeopardy reducing intervention demands of 3</w:t>
            </w:r>
            <w:r w:rsidRPr="004C78D8">
              <w:rPr>
                <w:vertAlign w:val="superscript"/>
              </w:rPr>
              <w:t>rd</w:t>
            </w:r>
            <w:r w:rsidRPr="004C78D8">
              <w:t xml:space="preserve"> and 4</w:t>
            </w:r>
            <w:r w:rsidRPr="004C78D8">
              <w:rPr>
                <w:vertAlign w:val="superscript"/>
              </w:rPr>
              <w:t>th</w:t>
            </w:r>
            <w:r w:rsidRPr="004C78D8">
              <w:t xml:space="preserve"> SES quartile individuals and (II) public sector coverage of societal intervention costs under 40-year societal cost-utility analysis.</w:t>
            </w:r>
          </w:p>
        </w:tc>
      </w:tr>
      <w:tr w:rsidR="00983EF0" w:rsidRPr="004C78D8" w14:paraId="6B0D49AE" w14:textId="77777777" w:rsidTr="00ED34DC">
        <w:tc>
          <w:tcPr>
            <w:tcW w:w="1271" w:type="dxa"/>
          </w:tcPr>
          <w:p w14:paraId="4EC91D47" w14:textId="3E1579BD" w:rsidR="00983EF0" w:rsidRPr="004C78D8" w:rsidRDefault="00983EF0" w:rsidP="00FB7C1F">
            <w:r w:rsidRPr="004C78D8">
              <w:t xml:space="preserve">Table </w:t>
            </w:r>
            <w:r w:rsidR="003D7E4C" w:rsidRPr="004C78D8">
              <w:t>6</w:t>
            </w:r>
            <w:r w:rsidRPr="004C78D8">
              <w:t>.</w:t>
            </w:r>
            <w:r w:rsidR="003D7E4C" w:rsidRPr="004C78D8">
              <w:t>16</w:t>
            </w:r>
          </w:p>
        </w:tc>
        <w:tc>
          <w:tcPr>
            <w:tcW w:w="7745" w:type="dxa"/>
          </w:tcPr>
          <w:p w14:paraId="14751758" w14:textId="5DFAAC2A" w:rsidR="00983EF0" w:rsidRPr="004C78D8" w:rsidRDefault="00DA43CF" w:rsidP="00FB7C1F">
            <w:pPr>
              <w:jc w:val="left"/>
            </w:pPr>
            <w:r w:rsidRPr="004C78D8">
              <w:t>SES-delineated EDE INHBs for double jeopardy problem and public sector coverage scenarios relative to different comparators.</w:t>
            </w:r>
          </w:p>
        </w:tc>
      </w:tr>
      <w:tr w:rsidR="00FC588A" w:rsidRPr="004C78D8" w14:paraId="2BA7F95E" w14:textId="77777777" w:rsidTr="00ED34DC">
        <w:tc>
          <w:tcPr>
            <w:tcW w:w="1271" w:type="dxa"/>
          </w:tcPr>
          <w:p w14:paraId="6122E5AF" w14:textId="7EC096ED" w:rsidR="00FC588A" w:rsidRPr="004C78D8" w:rsidRDefault="00FC588A" w:rsidP="00FB7C1F">
            <w:r w:rsidRPr="004C78D8">
              <w:t xml:space="preserve">Table </w:t>
            </w:r>
            <w:r w:rsidR="003D7E4C" w:rsidRPr="004C78D8">
              <w:t>6</w:t>
            </w:r>
            <w:r w:rsidRPr="004C78D8">
              <w:t>.</w:t>
            </w:r>
            <w:r w:rsidR="003D7E4C" w:rsidRPr="004C78D8">
              <w:t>17</w:t>
            </w:r>
          </w:p>
        </w:tc>
        <w:tc>
          <w:tcPr>
            <w:tcW w:w="7745" w:type="dxa"/>
          </w:tcPr>
          <w:p w14:paraId="12D25F8A" w14:textId="7C50FC29" w:rsidR="00FC588A" w:rsidRPr="004C78D8" w:rsidRDefault="00CC4F16" w:rsidP="00FB7C1F">
            <w:pPr>
              <w:jc w:val="left"/>
            </w:pPr>
            <w:r w:rsidRPr="004C78D8">
              <w:t>SES-delineated EDE INHBs for environmental interventions relative to usual care.</w:t>
            </w:r>
          </w:p>
        </w:tc>
      </w:tr>
      <w:tr w:rsidR="00FC588A" w:rsidRPr="004C78D8" w14:paraId="685E6E61" w14:textId="77777777" w:rsidTr="00ED34DC">
        <w:tc>
          <w:tcPr>
            <w:tcW w:w="1271" w:type="dxa"/>
          </w:tcPr>
          <w:p w14:paraId="29355AD1" w14:textId="20C11FDB" w:rsidR="00FC588A" w:rsidRPr="004C78D8" w:rsidRDefault="00FC588A" w:rsidP="00FB7C1F">
            <w:r w:rsidRPr="004C78D8">
              <w:t xml:space="preserve">Table </w:t>
            </w:r>
            <w:r w:rsidR="00496097" w:rsidRPr="004C78D8">
              <w:t>6</w:t>
            </w:r>
            <w:r w:rsidRPr="004C78D8">
              <w:t>.</w:t>
            </w:r>
            <w:r w:rsidR="00496097" w:rsidRPr="004C78D8">
              <w:t>18</w:t>
            </w:r>
          </w:p>
        </w:tc>
        <w:tc>
          <w:tcPr>
            <w:tcW w:w="7745" w:type="dxa"/>
          </w:tcPr>
          <w:p w14:paraId="7EE9BF57" w14:textId="0128116E" w:rsidR="00FC588A" w:rsidRPr="004C78D8" w:rsidRDefault="006563DC" w:rsidP="00FB7C1F">
            <w:pPr>
              <w:jc w:val="left"/>
            </w:pPr>
            <w:r w:rsidRPr="004C78D8">
              <w:t>Comparison of intervention strategies under 40-year societal cost-utility analysis.</w:t>
            </w:r>
          </w:p>
        </w:tc>
      </w:tr>
      <w:tr w:rsidR="001C531A" w:rsidRPr="004C78D8" w14:paraId="41C483CE" w14:textId="77777777" w:rsidTr="00ED34DC">
        <w:tc>
          <w:tcPr>
            <w:tcW w:w="1271" w:type="dxa"/>
          </w:tcPr>
          <w:p w14:paraId="148284B2" w14:textId="271E2E36" w:rsidR="001C531A" w:rsidRPr="004C78D8" w:rsidRDefault="001C531A" w:rsidP="00FB7C1F">
            <w:r w:rsidRPr="004C78D8">
              <w:t xml:space="preserve">Table </w:t>
            </w:r>
            <w:r w:rsidR="00174650" w:rsidRPr="004C78D8">
              <w:t>6</w:t>
            </w:r>
            <w:r w:rsidRPr="004C78D8">
              <w:t>.</w:t>
            </w:r>
            <w:r w:rsidR="00174650" w:rsidRPr="004C78D8">
              <w:t>19</w:t>
            </w:r>
          </w:p>
        </w:tc>
        <w:tc>
          <w:tcPr>
            <w:tcW w:w="7745" w:type="dxa"/>
          </w:tcPr>
          <w:p w14:paraId="6E294EE4" w14:textId="30F77BD5" w:rsidR="001C531A" w:rsidRPr="004C78D8" w:rsidRDefault="001C531A" w:rsidP="00FB7C1F">
            <w:pPr>
              <w:jc w:val="left"/>
            </w:pPr>
            <w:r w:rsidRPr="004C78D8">
              <w:t>Incremental equally distributed equivalent societal net health benefits across SES quartiles of intervention strategies relative to usual care.</w:t>
            </w:r>
          </w:p>
        </w:tc>
      </w:tr>
      <w:tr w:rsidR="001C531A" w:rsidRPr="004C78D8" w14:paraId="4140F4F3" w14:textId="77777777" w:rsidTr="00ED34DC">
        <w:tc>
          <w:tcPr>
            <w:tcW w:w="1271" w:type="dxa"/>
          </w:tcPr>
          <w:p w14:paraId="57719842" w14:textId="19B605EE" w:rsidR="001C531A" w:rsidRPr="004C78D8" w:rsidRDefault="001C531A" w:rsidP="00FB7C1F">
            <w:r w:rsidRPr="004C78D8">
              <w:t xml:space="preserve">Table </w:t>
            </w:r>
            <w:r w:rsidR="00174650" w:rsidRPr="004C78D8">
              <w:t>6</w:t>
            </w:r>
            <w:r w:rsidRPr="004C78D8">
              <w:t>.</w:t>
            </w:r>
            <w:r w:rsidR="00174650" w:rsidRPr="004C78D8">
              <w:t>20</w:t>
            </w:r>
          </w:p>
        </w:tc>
        <w:tc>
          <w:tcPr>
            <w:tcW w:w="7745" w:type="dxa"/>
          </w:tcPr>
          <w:p w14:paraId="3BEAFEE2" w14:textId="5143BB56" w:rsidR="001C531A" w:rsidRPr="004C78D8" w:rsidRDefault="001C531A" w:rsidP="00FB7C1F">
            <w:pPr>
              <w:jc w:val="left"/>
            </w:pPr>
            <w:r w:rsidRPr="004C78D8">
              <w:t>Incremental individual-level lifetime outcomes of intervention strategies relative to usual care.</w:t>
            </w:r>
          </w:p>
        </w:tc>
      </w:tr>
      <w:tr w:rsidR="00D273B0" w:rsidRPr="004C78D8" w14:paraId="04DE7F3A" w14:textId="77777777" w:rsidTr="00ED34DC">
        <w:tc>
          <w:tcPr>
            <w:tcW w:w="1271" w:type="dxa"/>
          </w:tcPr>
          <w:p w14:paraId="3EC4415A" w14:textId="2B20AC47" w:rsidR="00D273B0" w:rsidRPr="004C78D8" w:rsidRDefault="00D273B0" w:rsidP="00FB7C1F">
            <w:r w:rsidRPr="004C78D8">
              <w:t xml:space="preserve">Table </w:t>
            </w:r>
            <w:r w:rsidR="00174650" w:rsidRPr="004C78D8">
              <w:t>6</w:t>
            </w:r>
            <w:r w:rsidRPr="004C78D8">
              <w:t>.</w:t>
            </w:r>
            <w:r w:rsidR="00174650" w:rsidRPr="004C78D8">
              <w:t>21</w:t>
            </w:r>
          </w:p>
        </w:tc>
        <w:tc>
          <w:tcPr>
            <w:tcW w:w="7745" w:type="dxa"/>
          </w:tcPr>
          <w:p w14:paraId="0A0BE1B4" w14:textId="22642A3C" w:rsidR="00D273B0" w:rsidRPr="004C78D8" w:rsidRDefault="00D273B0" w:rsidP="00FB7C1F">
            <w:pPr>
              <w:jc w:val="left"/>
            </w:pPr>
            <w:r w:rsidRPr="004C78D8">
              <w:t>Public sector returns on investment considering all-cause costs of intervention strategies relative to usual care under five-year horizon.</w:t>
            </w:r>
          </w:p>
        </w:tc>
      </w:tr>
      <w:tr w:rsidR="00A77933" w:rsidRPr="004C78D8" w14:paraId="74419C88" w14:textId="77777777" w:rsidTr="00ED34DC">
        <w:tc>
          <w:tcPr>
            <w:tcW w:w="1271" w:type="dxa"/>
          </w:tcPr>
          <w:p w14:paraId="73434DDD" w14:textId="149AA4C2" w:rsidR="00A77933" w:rsidRPr="004C78D8" w:rsidRDefault="00A77933" w:rsidP="00FB7C1F">
            <w:r w:rsidRPr="004C78D8">
              <w:t xml:space="preserve">Table </w:t>
            </w:r>
            <w:r w:rsidR="00174650" w:rsidRPr="004C78D8">
              <w:t>6</w:t>
            </w:r>
            <w:r w:rsidRPr="004C78D8">
              <w:t>.</w:t>
            </w:r>
            <w:r w:rsidR="00174650" w:rsidRPr="004C78D8">
              <w:t>22</w:t>
            </w:r>
          </w:p>
        </w:tc>
        <w:tc>
          <w:tcPr>
            <w:tcW w:w="7745" w:type="dxa"/>
          </w:tcPr>
          <w:p w14:paraId="780F0BB8" w14:textId="3F5BADAC" w:rsidR="00A77933" w:rsidRPr="004C78D8" w:rsidRDefault="00A77933" w:rsidP="00FB7C1F">
            <w:pPr>
              <w:jc w:val="left"/>
            </w:pPr>
            <w:r w:rsidRPr="004C78D8">
              <w:t>Candidate intervention strategies for commissioning.</w:t>
            </w:r>
          </w:p>
        </w:tc>
      </w:tr>
      <w:tr w:rsidR="00BA77AD" w:rsidRPr="004C78D8" w14:paraId="204D743B" w14:textId="77777777" w:rsidTr="00ED34DC">
        <w:tc>
          <w:tcPr>
            <w:tcW w:w="1271" w:type="dxa"/>
          </w:tcPr>
          <w:p w14:paraId="1C0065BA" w14:textId="21A570D9" w:rsidR="00BA77AD" w:rsidRPr="004C78D8" w:rsidRDefault="00BA77AD" w:rsidP="00FB7C1F">
            <w:r w:rsidRPr="004C78D8">
              <w:t xml:space="preserve">Table </w:t>
            </w:r>
            <w:r w:rsidR="00174650" w:rsidRPr="004C78D8">
              <w:t>6</w:t>
            </w:r>
            <w:r w:rsidRPr="004C78D8">
              <w:t>.</w:t>
            </w:r>
            <w:r w:rsidR="00174650" w:rsidRPr="004C78D8">
              <w:t>23</w:t>
            </w:r>
          </w:p>
        </w:tc>
        <w:tc>
          <w:tcPr>
            <w:tcW w:w="7745" w:type="dxa"/>
          </w:tcPr>
          <w:p w14:paraId="564B42C5" w14:textId="117F0657" w:rsidR="00BA77AD" w:rsidRPr="004C78D8" w:rsidRDefault="00BA77AD" w:rsidP="00FB7C1F">
            <w:pPr>
              <w:jc w:val="left"/>
            </w:pPr>
            <w:r w:rsidRPr="004C78D8">
              <w:t>Comparison of capacity constrained, non-environmental intervention strategies under 40-year societal cost-utility analysis.</w:t>
            </w:r>
          </w:p>
        </w:tc>
      </w:tr>
      <w:tr w:rsidR="0062008A" w:rsidRPr="004C78D8" w14:paraId="2E7E9B8D" w14:textId="77777777" w:rsidTr="00ED34DC">
        <w:tc>
          <w:tcPr>
            <w:tcW w:w="1271" w:type="dxa"/>
          </w:tcPr>
          <w:p w14:paraId="7888D70B" w14:textId="7AA9770F" w:rsidR="0062008A" w:rsidRPr="004C78D8" w:rsidRDefault="0062008A" w:rsidP="00FB7C1F">
            <w:r w:rsidRPr="004C78D8">
              <w:t>Figure 1.1</w:t>
            </w:r>
          </w:p>
        </w:tc>
        <w:tc>
          <w:tcPr>
            <w:tcW w:w="7745" w:type="dxa"/>
          </w:tcPr>
          <w:p w14:paraId="34AEBC67" w14:textId="524984B1" w:rsidR="0062008A" w:rsidRPr="004C78D8" w:rsidRDefault="0062008A" w:rsidP="00FB7C1F">
            <w:pPr>
              <w:jc w:val="left"/>
            </w:pPr>
            <w:r w:rsidRPr="004C78D8">
              <w:t>Dynamic relationship between falls and frailty.</w:t>
            </w:r>
          </w:p>
        </w:tc>
      </w:tr>
      <w:tr w:rsidR="0030583A" w:rsidRPr="004C78D8" w14:paraId="14D6E805" w14:textId="77777777" w:rsidTr="00ED34DC">
        <w:tc>
          <w:tcPr>
            <w:tcW w:w="1271" w:type="dxa"/>
          </w:tcPr>
          <w:p w14:paraId="3A025BCB" w14:textId="00E6F08D" w:rsidR="0030583A" w:rsidRPr="004C78D8" w:rsidRDefault="0030583A" w:rsidP="00FB7C1F">
            <w:r w:rsidRPr="004C78D8">
              <w:lastRenderedPageBreak/>
              <w:t>Figure 1.</w:t>
            </w:r>
            <w:r w:rsidR="00A86F28" w:rsidRPr="004C78D8">
              <w:t>2</w:t>
            </w:r>
          </w:p>
        </w:tc>
        <w:tc>
          <w:tcPr>
            <w:tcW w:w="7745" w:type="dxa"/>
          </w:tcPr>
          <w:p w14:paraId="0788594F" w14:textId="4053F72A" w:rsidR="0030583A" w:rsidRPr="004C78D8" w:rsidRDefault="0030583A" w:rsidP="00FB7C1F">
            <w:pPr>
              <w:jc w:val="left"/>
            </w:pPr>
            <w:r w:rsidRPr="004C78D8">
              <w:t>Thesis structure by chapter</w:t>
            </w:r>
            <w:r w:rsidR="00F2134E" w:rsidRPr="004C78D8">
              <w:t>.</w:t>
            </w:r>
          </w:p>
        </w:tc>
      </w:tr>
      <w:tr w:rsidR="0030583A" w:rsidRPr="004C78D8" w14:paraId="70E6749F" w14:textId="77777777" w:rsidTr="00ED34DC">
        <w:tc>
          <w:tcPr>
            <w:tcW w:w="1271" w:type="dxa"/>
          </w:tcPr>
          <w:p w14:paraId="2FFEB768" w14:textId="32E71874" w:rsidR="0030583A" w:rsidRPr="004C78D8" w:rsidRDefault="002F3F6A" w:rsidP="00FB7C1F">
            <w:r w:rsidRPr="004C78D8">
              <w:t>Figure 2.1</w:t>
            </w:r>
          </w:p>
        </w:tc>
        <w:tc>
          <w:tcPr>
            <w:tcW w:w="7745" w:type="dxa"/>
          </w:tcPr>
          <w:p w14:paraId="59CEE2FA" w14:textId="4665208E" w:rsidR="0030583A" w:rsidRPr="004C78D8" w:rsidRDefault="002F3F6A" w:rsidP="00FB7C1F">
            <w:pPr>
              <w:jc w:val="left"/>
            </w:pPr>
            <w:r w:rsidRPr="004C78D8">
              <w:t>Categories for qualitative study participant characteristics.</w:t>
            </w:r>
          </w:p>
        </w:tc>
      </w:tr>
      <w:tr w:rsidR="0030583A" w:rsidRPr="004C78D8" w14:paraId="214BE239" w14:textId="77777777" w:rsidTr="00ED34DC">
        <w:tc>
          <w:tcPr>
            <w:tcW w:w="1271" w:type="dxa"/>
          </w:tcPr>
          <w:p w14:paraId="19F4E3BE" w14:textId="3449761F" w:rsidR="0030583A" w:rsidRPr="004C78D8" w:rsidRDefault="005E45BF" w:rsidP="00FB7C1F">
            <w:r w:rsidRPr="004C78D8">
              <w:t>Figure 2.2</w:t>
            </w:r>
          </w:p>
        </w:tc>
        <w:tc>
          <w:tcPr>
            <w:tcW w:w="7745" w:type="dxa"/>
          </w:tcPr>
          <w:p w14:paraId="62D1AFA3" w14:textId="5E565180" w:rsidR="0030583A" w:rsidRPr="004C78D8" w:rsidRDefault="005E45BF" w:rsidP="00FB7C1F">
            <w:pPr>
              <w:jc w:val="left"/>
            </w:pPr>
            <w:r w:rsidRPr="004C78D8">
              <w:t>Graphical summary of the recommended falls prevention guideline used to introduce the discussion topics to focus group and interview participants.</w:t>
            </w:r>
          </w:p>
        </w:tc>
      </w:tr>
      <w:tr w:rsidR="00822AA7" w:rsidRPr="004C78D8" w14:paraId="3DD2F9DF" w14:textId="77777777" w:rsidTr="00ED34DC">
        <w:tc>
          <w:tcPr>
            <w:tcW w:w="1271" w:type="dxa"/>
          </w:tcPr>
          <w:p w14:paraId="28DBA6AA" w14:textId="772EFBCE" w:rsidR="00822AA7" w:rsidRPr="004C78D8" w:rsidRDefault="00822AA7" w:rsidP="00FB7C1F">
            <w:r w:rsidRPr="004C78D8">
              <w:t>Figure 3.1</w:t>
            </w:r>
          </w:p>
        </w:tc>
        <w:tc>
          <w:tcPr>
            <w:tcW w:w="7745" w:type="dxa"/>
          </w:tcPr>
          <w:p w14:paraId="0D959071" w14:textId="4F68E216" w:rsidR="00822AA7" w:rsidRPr="004C78D8" w:rsidRDefault="00822AA7" w:rsidP="00FB7C1F">
            <w:pPr>
              <w:jc w:val="left"/>
            </w:pPr>
            <w:r w:rsidRPr="004C78D8">
              <w:t>Conceptual model of the decision problem for community-based falls prevention.</w:t>
            </w:r>
          </w:p>
        </w:tc>
      </w:tr>
      <w:tr w:rsidR="00E12A56" w:rsidRPr="004C78D8" w14:paraId="7229043C" w14:textId="77777777" w:rsidTr="00ED34DC">
        <w:tc>
          <w:tcPr>
            <w:tcW w:w="1271" w:type="dxa"/>
          </w:tcPr>
          <w:p w14:paraId="334B6925" w14:textId="3CC13448" w:rsidR="00E12A56" w:rsidRPr="004C78D8" w:rsidRDefault="00E12A56" w:rsidP="00FB7C1F">
            <w:r w:rsidRPr="004C78D8">
              <w:t>Figure 3.</w:t>
            </w:r>
            <w:r w:rsidR="00822AA7" w:rsidRPr="004C78D8">
              <w:t>2</w:t>
            </w:r>
          </w:p>
        </w:tc>
        <w:tc>
          <w:tcPr>
            <w:tcW w:w="7745" w:type="dxa"/>
          </w:tcPr>
          <w:p w14:paraId="6F0D7406" w14:textId="504F575C" w:rsidR="00E12A56" w:rsidRPr="004C78D8" w:rsidRDefault="00D764F3" w:rsidP="00FB7C1F">
            <w:pPr>
              <w:jc w:val="left"/>
            </w:pPr>
            <w:r w:rsidRPr="004C78D8">
              <w:t>Conceptual diagram of community-based falls prevention recommended by UK guidelines.</w:t>
            </w:r>
          </w:p>
        </w:tc>
      </w:tr>
      <w:tr w:rsidR="00211C1C" w:rsidRPr="004C78D8" w14:paraId="54E2457F" w14:textId="77777777" w:rsidTr="00ED34DC">
        <w:tc>
          <w:tcPr>
            <w:tcW w:w="1271" w:type="dxa"/>
          </w:tcPr>
          <w:p w14:paraId="099AE059" w14:textId="096FB00D" w:rsidR="00211C1C" w:rsidRPr="004C78D8" w:rsidRDefault="00EE690B" w:rsidP="00FB7C1F">
            <w:r w:rsidRPr="004C78D8">
              <w:t>Figure 5.1</w:t>
            </w:r>
          </w:p>
        </w:tc>
        <w:tc>
          <w:tcPr>
            <w:tcW w:w="7745" w:type="dxa"/>
          </w:tcPr>
          <w:p w14:paraId="159D76C6" w14:textId="1CC1A290" w:rsidR="00211C1C" w:rsidRPr="004C78D8" w:rsidRDefault="00EE690B" w:rsidP="00FB7C1F">
            <w:pPr>
              <w:jc w:val="left"/>
            </w:pPr>
            <w:r w:rsidRPr="004C78D8">
              <w:t>Preferred Reporting Items for Systematic Reviews and Meta-Analyse flow diagram for systematic review of falls prevention decision models.</w:t>
            </w:r>
          </w:p>
        </w:tc>
      </w:tr>
      <w:tr w:rsidR="0062008A" w:rsidRPr="004C78D8" w14:paraId="158E48AB" w14:textId="77777777" w:rsidTr="00ED34DC">
        <w:tc>
          <w:tcPr>
            <w:tcW w:w="1271" w:type="dxa"/>
          </w:tcPr>
          <w:p w14:paraId="29C06294" w14:textId="62E70108" w:rsidR="0062008A" w:rsidRPr="004C78D8" w:rsidRDefault="00FB3677" w:rsidP="00FB7C1F">
            <w:r w:rsidRPr="004C78D8">
              <w:t xml:space="preserve">Figure </w:t>
            </w:r>
            <w:r w:rsidR="000E0914" w:rsidRPr="004C78D8">
              <w:t>5</w:t>
            </w:r>
            <w:r w:rsidRPr="004C78D8">
              <w:t>.1</w:t>
            </w:r>
          </w:p>
        </w:tc>
        <w:tc>
          <w:tcPr>
            <w:tcW w:w="7745" w:type="dxa"/>
          </w:tcPr>
          <w:p w14:paraId="54928F3F" w14:textId="332DDB2D" w:rsidR="0062008A" w:rsidRPr="004C78D8" w:rsidRDefault="00FB3677" w:rsidP="00FB7C1F">
            <w:pPr>
              <w:jc w:val="left"/>
            </w:pPr>
            <w:r w:rsidRPr="004C78D8">
              <w:t>Model representation diagram.</w:t>
            </w:r>
          </w:p>
        </w:tc>
      </w:tr>
      <w:tr w:rsidR="00FB3677" w:rsidRPr="004C78D8" w14:paraId="5A0063A1" w14:textId="77777777" w:rsidTr="00ED34DC">
        <w:tc>
          <w:tcPr>
            <w:tcW w:w="1271" w:type="dxa"/>
          </w:tcPr>
          <w:p w14:paraId="3AA142D1" w14:textId="531F85B1" w:rsidR="00FB3677" w:rsidRPr="004C78D8" w:rsidRDefault="008E2307" w:rsidP="00FB7C1F">
            <w:r w:rsidRPr="004C78D8">
              <w:t xml:space="preserve">Figure </w:t>
            </w:r>
            <w:r w:rsidR="000E0914" w:rsidRPr="004C78D8">
              <w:t>5</w:t>
            </w:r>
            <w:r w:rsidRPr="004C78D8">
              <w:t>.2</w:t>
            </w:r>
          </w:p>
        </w:tc>
        <w:tc>
          <w:tcPr>
            <w:tcW w:w="7745" w:type="dxa"/>
          </w:tcPr>
          <w:p w14:paraId="578D1235" w14:textId="610C212D" w:rsidR="00FB3677" w:rsidRPr="004C78D8" w:rsidRDefault="008E2307" w:rsidP="00FB7C1F">
            <w:pPr>
              <w:jc w:val="left"/>
            </w:pPr>
            <w:r w:rsidRPr="004C78D8">
              <w:t>Simul8 model schematic.</w:t>
            </w:r>
          </w:p>
        </w:tc>
      </w:tr>
      <w:tr w:rsidR="00E14EC0" w:rsidRPr="004C78D8" w14:paraId="2C7D294F" w14:textId="77777777" w:rsidTr="00ED34DC">
        <w:tc>
          <w:tcPr>
            <w:tcW w:w="1271" w:type="dxa"/>
          </w:tcPr>
          <w:p w14:paraId="11D90F12" w14:textId="471423EC" w:rsidR="00E14EC0" w:rsidRPr="004C78D8" w:rsidRDefault="00E14EC0" w:rsidP="00FB7C1F">
            <w:r w:rsidRPr="004C78D8">
              <w:t>Figure 5.3</w:t>
            </w:r>
          </w:p>
        </w:tc>
        <w:tc>
          <w:tcPr>
            <w:tcW w:w="7745" w:type="dxa"/>
          </w:tcPr>
          <w:p w14:paraId="4F23D3B2" w14:textId="0A896AF2" w:rsidR="00E14EC0" w:rsidRPr="004C78D8" w:rsidRDefault="00E14EC0" w:rsidP="00FB7C1F">
            <w:pPr>
              <w:jc w:val="left"/>
            </w:pPr>
            <w:r w:rsidRPr="004C78D8">
              <w:t xml:space="preserve">Annual other-cause mortality rate </w:t>
            </w:r>
            <w:r w:rsidR="00BE2A67" w:rsidRPr="004C78D8">
              <w:t xml:space="preserve">(range 0-1) </w:t>
            </w:r>
            <w:r w:rsidRPr="004C78D8">
              <w:t>by age, sex and frailty category.</w:t>
            </w:r>
          </w:p>
        </w:tc>
      </w:tr>
      <w:tr w:rsidR="00951CEB" w:rsidRPr="004C78D8" w14:paraId="1327934D" w14:textId="77777777" w:rsidTr="00ED34DC">
        <w:tc>
          <w:tcPr>
            <w:tcW w:w="1271" w:type="dxa"/>
          </w:tcPr>
          <w:p w14:paraId="4C5A4760" w14:textId="7B58C5D1" w:rsidR="00951CEB" w:rsidRPr="004C78D8" w:rsidRDefault="00951CEB" w:rsidP="00FB7C1F">
            <w:r w:rsidRPr="004C78D8">
              <w:t xml:space="preserve">Figure </w:t>
            </w:r>
            <w:r w:rsidR="00A97497" w:rsidRPr="004C78D8">
              <w:t>6</w:t>
            </w:r>
            <w:r w:rsidRPr="004C78D8">
              <w:t>.1</w:t>
            </w:r>
          </w:p>
        </w:tc>
        <w:tc>
          <w:tcPr>
            <w:tcW w:w="7745" w:type="dxa"/>
          </w:tcPr>
          <w:p w14:paraId="3E711461" w14:textId="2E902A93" w:rsidR="00951CEB" w:rsidRPr="004C78D8" w:rsidRDefault="0038207C" w:rsidP="00FB7C1F">
            <w:pPr>
              <w:jc w:val="left"/>
            </w:pPr>
            <w:r w:rsidRPr="004C78D8">
              <w:t>Number and change in person-years of non-fatal fall episode by type under base case analysis.</w:t>
            </w:r>
          </w:p>
        </w:tc>
      </w:tr>
      <w:tr w:rsidR="00951CEB" w:rsidRPr="004C78D8" w14:paraId="20309D0F" w14:textId="77777777" w:rsidTr="00ED34DC">
        <w:tc>
          <w:tcPr>
            <w:tcW w:w="1271" w:type="dxa"/>
          </w:tcPr>
          <w:p w14:paraId="6F446988" w14:textId="17A9E00F" w:rsidR="00951CEB" w:rsidRPr="004C78D8" w:rsidRDefault="0038207C" w:rsidP="00FB7C1F">
            <w:r w:rsidRPr="004C78D8">
              <w:t xml:space="preserve">Figure </w:t>
            </w:r>
            <w:r w:rsidR="00A97497" w:rsidRPr="004C78D8">
              <w:t>6</w:t>
            </w:r>
            <w:r w:rsidRPr="004C78D8">
              <w:t>.2</w:t>
            </w:r>
          </w:p>
        </w:tc>
        <w:tc>
          <w:tcPr>
            <w:tcW w:w="7745" w:type="dxa"/>
          </w:tcPr>
          <w:p w14:paraId="2E91888F" w14:textId="2EDF1984" w:rsidR="00951CEB" w:rsidRPr="004C78D8" w:rsidRDefault="008F196A" w:rsidP="00FB7C1F">
            <w:pPr>
              <w:jc w:val="left"/>
            </w:pPr>
            <w:r w:rsidRPr="004C78D8">
              <w:t>Scatter plot of probabilistic sensitivity analysis result for base case cost-utility analysis under societal perspective and 40-year horizon.</w:t>
            </w:r>
          </w:p>
        </w:tc>
      </w:tr>
      <w:tr w:rsidR="00951CEB" w:rsidRPr="004C78D8" w14:paraId="7CFB7424" w14:textId="77777777" w:rsidTr="00ED34DC">
        <w:tc>
          <w:tcPr>
            <w:tcW w:w="1271" w:type="dxa"/>
          </w:tcPr>
          <w:p w14:paraId="236E27DB" w14:textId="6B05601C" w:rsidR="00951CEB" w:rsidRPr="004C78D8" w:rsidRDefault="0038207C" w:rsidP="00FB7C1F">
            <w:r w:rsidRPr="004C78D8">
              <w:t xml:space="preserve">Figure </w:t>
            </w:r>
            <w:r w:rsidR="00A97497" w:rsidRPr="004C78D8">
              <w:t>6</w:t>
            </w:r>
            <w:r w:rsidRPr="004C78D8">
              <w:t>.3</w:t>
            </w:r>
          </w:p>
        </w:tc>
        <w:tc>
          <w:tcPr>
            <w:tcW w:w="7745" w:type="dxa"/>
          </w:tcPr>
          <w:p w14:paraId="53FBC683" w14:textId="03122EF0" w:rsidR="00951CEB" w:rsidRPr="004C78D8" w:rsidRDefault="008F196A" w:rsidP="00FB7C1F">
            <w:pPr>
              <w:jc w:val="left"/>
            </w:pPr>
            <w:r w:rsidRPr="004C78D8">
              <w:t>Cost-effectiveness acceptability curve for base case cost-utility analysis under societal perspective and 40-year horizon.</w:t>
            </w:r>
          </w:p>
        </w:tc>
      </w:tr>
      <w:tr w:rsidR="00B95C88" w:rsidRPr="004C78D8" w14:paraId="3D1D5FA5" w14:textId="77777777" w:rsidTr="00ED34DC">
        <w:tc>
          <w:tcPr>
            <w:tcW w:w="1271" w:type="dxa"/>
          </w:tcPr>
          <w:p w14:paraId="2BC88F22" w14:textId="48450902" w:rsidR="00B95C88" w:rsidRPr="004C78D8" w:rsidRDefault="00B95C88" w:rsidP="00FB7C1F">
            <w:r w:rsidRPr="004C78D8">
              <w:t xml:space="preserve">Figure </w:t>
            </w:r>
            <w:r w:rsidR="00A97497" w:rsidRPr="004C78D8">
              <w:t>6</w:t>
            </w:r>
            <w:r w:rsidRPr="004C78D8">
              <w:t>.4</w:t>
            </w:r>
          </w:p>
        </w:tc>
        <w:tc>
          <w:tcPr>
            <w:tcW w:w="7745" w:type="dxa"/>
          </w:tcPr>
          <w:p w14:paraId="4827E231" w14:textId="12EB6283" w:rsidR="00B95C88" w:rsidRPr="004C78D8" w:rsidRDefault="00B95C88" w:rsidP="00FB7C1F">
            <w:pPr>
              <w:jc w:val="left"/>
            </w:pPr>
            <w:r w:rsidRPr="004C78D8">
              <w:t>Incremental health gain per capita by SES quartile of recommended care relative to usual care considering all-cause costs and cost-effectiveness threshold of £30,000 per QALY gain</w:t>
            </w:r>
            <w:r w:rsidR="00C84BD6" w:rsidRPr="004C78D8">
              <w:t>ed</w:t>
            </w:r>
            <w:r w:rsidRPr="004C78D8">
              <w:t>.</w:t>
            </w:r>
          </w:p>
        </w:tc>
      </w:tr>
      <w:tr w:rsidR="00716D47" w:rsidRPr="004C78D8" w14:paraId="7234C08C" w14:textId="77777777" w:rsidTr="00ED34DC">
        <w:tc>
          <w:tcPr>
            <w:tcW w:w="1271" w:type="dxa"/>
          </w:tcPr>
          <w:p w14:paraId="0176231D" w14:textId="1B776EDD" w:rsidR="00716D47" w:rsidRPr="004C78D8" w:rsidRDefault="00716D47" w:rsidP="00FB7C1F">
            <w:r w:rsidRPr="004C78D8">
              <w:t xml:space="preserve">Figure </w:t>
            </w:r>
            <w:r w:rsidR="00A97497" w:rsidRPr="004C78D8">
              <w:t>6</w:t>
            </w:r>
            <w:r w:rsidRPr="004C78D8">
              <w:t>.</w:t>
            </w:r>
            <w:r w:rsidR="00E96729" w:rsidRPr="004C78D8">
              <w:t>5</w:t>
            </w:r>
          </w:p>
        </w:tc>
        <w:tc>
          <w:tcPr>
            <w:tcW w:w="7745" w:type="dxa"/>
          </w:tcPr>
          <w:p w14:paraId="2C2DC03D" w14:textId="4B05889E" w:rsidR="00716D47" w:rsidRPr="004C78D8" w:rsidRDefault="00716D47" w:rsidP="00FB7C1F">
            <w:pPr>
              <w:jc w:val="left"/>
            </w:pPr>
            <w:r w:rsidRPr="004C78D8">
              <w:t>Incremental health gain per capita by initial frailty category of recommended care relative to usual care considering all-cause costs and cost-effectiveness threshold of £30,000 per QALY gain</w:t>
            </w:r>
            <w:r w:rsidR="00C84BD6" w:rsidRPr="004C78D8">
              <w:t>ed</w:t>
            </w:r>
            <w:r w:rsidRPr="004C78D8">
              <w:t>.</w:t>
            </w:r>
          </w:p>
        </w:tc>
      </w:tr>
      <w:tr w:rsidR="00B85487" w:rsidRPr="004C78D8" w14:paraId="6E9413F2" w14:textId="77777777" w:rsidTr="00ED34DC">
        <w:tc>
          <w:tcPr>
            <w:tcW w:w="1271" w:type="dxa"/>
          </w:tcPr>
          <w:p w14:paraId="1516E30D" w14:textId="4FE4E5A8" w:rsidR="00B85487" w:rsidRPr="004C78D8" w:rsidRDefault="00B85487" w:rsidP="00FB7C1F">
            <w:r w:rsidRPr="004C78D8">
              <w:t xml:space="preserve">Figure </w:t>
            </w:r>
            <w:r w:rsidR="008120EE" w:rsidRPr="004C78D8">
              <w:t>6</w:t>
            </w:r>
            <w:r w:rsidRPr="004C78D8">
              <w:t>.</w:t>
            </w:r>
            <w:r w:rsidR="00E96729" w:rsidRPr="004C78D8">
              <w:t>6</w:t>
            </w:r>
          </w:p>
        </w:tc>
        <w:tc>
          <w:tcPr>
            <w:tcW w:w="7745" w:type="dxa"/>
          </w:tcPr>
          <w:p w14:paraId="2A1123B8" w14:textId="3EA6CF52" w:rsidR="00B85487" w:rsidRPr="004C78D8" w:rsidRDefault="0094712C" w:rsidP="00FB7C1F">
            <w:pPr>
              <w:jc w:val="left"/>
            </w:pPr>
            <w:r w:rsidRPr="004C78D8">
              <w:t>Societal and public sector incremental cost-effectiveness ratios by time horizon.</w:t>
            </w:r>
          </w:p>
        </w:tc>
      </w:tr>
      <w:tr w:rsidR="00B85487" w:rsidRPr="004C78D8" w14:paraId="52C49FAA" w14:textId="77777777" w:rsidTr="00ED34DC">
        <w:tc>
          <w:tcPr>
            <w:tcW w:w="1271" w:type="dxa"/>
          </w:tcPr>
          <w:p w14:paraId="2395DB70" w14:textId="1B4B41EA" w:rsidR="00B85487" w:rsidRPr="004C78D8" w:rsidRDefault="00D134A2" w:rsidP="00FB7C1F">
            <w:r w:rsidRPr="004C78D8">
              <w:t xml:space="preserve">Figure </w:t>
            </w:r>
            <w:r w:rsidR="008120EE" w:rsidRPr="004C78D8">
              <w:t>6</w:t>
            </w:r>
            <w:r w:rsidRPr="004C78D8">
              <w:t>.</w:t>
            </w:r>
            <w:r w:rsidR="00E96729" w:rsidRPr="004C78D8">
              <w:t>7</w:t>
            </w:r>
          </w:p>
        </w:tc>
        <w:tc>
          <w:tcPr>
            <w:tcW w:w="7745" w:type="dxa"/>
          </w:tcPr>
          <w:p w14:paraId="47102E14" w14:textId="7997FD25" w:rsidR="00B85487" w:rsidRPr="004C78D8" w:rsidRDefault="008561FB" w:rsidP="00FB7C1F">
            <w:pPr>
              <w:jc w:val="left"/>
            </w:pPr>
            <w:r w:rsidRPr="004C78D8">
              <w:t>SES-delineated equity analysis: incremental societal EDE INHBs by inequality aversion level and time horizon.</w:t>
            </w:r>
          </w:p>
        </w:tc>
      </w:tr>
      <w:tr w:rsidR="00585EDF" w:rsidRPr="004C78D8" w14:paraId="7EBABAFE" w14:textId="77777777" w:rsidTr="00ED34DC">
        <w:tc>
          <w:tcPr>
            <w:tcW w:w="1271" w:type="dxa"/>
          </w:tcPr>
          <w:p w14:paraId="5E11EA84" w14:textId="312C665B" w:rsidR="00585EDF" w:rsidRPr="004C78D8" w:rsidRDefault="00585EDF" w:rsidP="00FB7C1F">
            <w:r w:rsidRPr="004C78D8">
              <w:t xml:space="preserve">Figure </w:t>
            </w:r>
            <w:r w:rsidR="008120EE" w:rsidRPr="004C78D8">
              <w:t>6</w:t>
            </w:r>
            <w:r w:rsidRPr="004C78D8">
              <w:t>.</w:t>
            </w:r>
            <w:r w:rsidR="00E96729" w:rsidRPr="004C78D8">
              <w:t>8</w:t>
            </w:r>
          </w:p>
        </w:tc>
        <w:tc>
          <w:tcPr>
            <w:tcW w:w="7745" w:type="dxa"/>
          </w:tcPr>
          <w:p w14:paraId="705EC50F" w14:textId="7DB61758" w:rsidR="00585EDF" w:rsidRPr="004C78D8" w:rsidRDefault="005F551F" w:rsidP="00FB7C1F">
            <w:pPr>
              <w:jc w:val="left"/>
            </w:pPr>
            <w:r w:rsidRPr="004C78D8">
              <w:t>Societal per-capita INHBs for all-cause care costs by SES quartile in base case and in falls-frailty feedback removal scenario.</w:t>
            </w:r>
          </w:p>
        </w:tc>
      </w:tr>
      <w:tr w:rsidR="009C2E0B" w:rsidRPr="004C78D8" w14:paraId="599D8FB4" w14:textId="77777777" w:rsidTr="00ED34DC">
        <w:tc>
          <w:tcPr>
            <w:tcW w:w="1271" w:type="dxa"/>
          </w:tcPr>
          <w:p w14:paraId="02181261" w14:textId="0F5F7B51" w:rsidR="009C2E0B" w:rsidRPr="004C78D8" w:rsidRDefault="00642928" w:rsidP="00FB7C1F">
            <w:r w:rsidRPr="004C78D8">
              <w:t xml:space="preserve">Figure </w:t>
            </w:r>
            <w:r w:rsidR="008120EE" w:rsidRPr="004C78D8">
              <w:t>6</w:t>
            </w:r>
            <w:r w:rsidRPr="004C78D8">
              <w:t>.</w:t>
            </w:r>
            <w:r w:rsidR="00B01535" w:rsidRPr="004C78D8">
              <w:t>9</w:t>
            </w:r>
          </w:p>
        </w:tc>
        <w:tc>
          <w:tcPr>
            <w:tcW w:w="7745" w:type="dxa"/>
          </w:tcPr>
          <w:p w14:paraId="7085D732" w14:textId="3F54165C" w:rsidR="009C2E0B" w:rsidRPr="004C78D8" w:rsidRDefault="00642928" w:rsidP="00FB7C1F">
            <w:pPr>
              <w:jc w:val="left"/>
            </w:pPr>
            <w:r w:rsidRPr="004C78D8">
              <w:t>Societal per-capita INHBs for all-cause care costs by SES quartile in individual pathway implementation scenarios.</w:t>
            </w:r>
          </w:p>
        </w:tc>
      </w:tr>
      <w:tr w:rsidR="00642928" w:rsidRPr="004C78D8" w14:paraId="3A741F41" w14:textId="77777777" w:rsidTr="00ED34DC">
        <w:tc>
          <w:tcPr>
            <w:tcW w:w="1271" w:type="dxa"/>
          </w:tcPr>
          <w:p w14:paraId="1028767D" w14:textId="5D0A8620" w:rsidR="00642928" w:rsidRPr="004C78D8" w:rsidRDefault="00FC588A" w:rsidP="00FB7C1F">
            <w:r w:rsidRPr="004C78D8">
              <w:t xml:space="preserve">Figure </w:t>
            </w:r>
            <w:r w:rsidR="008120EE" w:rsidRPr="004C78D8">
              <w:t>6</w:t>
            </w:r>
            <w:r w:rsidRPr="004C78D8">
              <w:t>.1</w:t>
            </w:r>
            <w:r w:rsidR="00B01535" w:rsidRPr="004C78D8">
              <w:t>0</w:t>
            </w:r>
          </w:p>
        </w:tc>
        <w:tc>
          <w:tcPr>
            <w:tcW w:w="7745" w:type="dxa"/>
          </w:tcPr>
          <w:p w14:paraId="7B5657D2" w14:textId="531A2CDB" w:rsidR="00642928" w:rsidRPr="004C78D8" w:rsidRDefault="00F4428E" w:rsidP="00FB7C1F">
            <w:pPr>
              <w:jc w:val="left"/>
            </w:pPr>
            <w:r w:rsidRPr="004C78D8">
              <w:t>Incremental societal QALYs and public sector all-cause costs of intervention strategies relative to usual care under 40-year societal cost-utility analysis.</w:t>
            </w:r>
          </w:p>
        </w:tc>
      </w:tr>
    </w:tbl>
    <w:p w14:paraId="617DF8A9" w14:textId="7CA47978" w:rsidR="004A7DF5" w:rsidRPr="004C78D8" w:rsidRDefault="004A7DF5" w:rsidP="00FB7C1F"/>
    <w:p w14:paraId="4CD4EE07" w14:textId="77777777" w:rsidR="004A7DF5" w:rsidRPr="004C78D8" w:rsidRDefault="004A7DF5" w:rsidP="00FB7C1F">
      <w:r w:rsidRPr="004C78D8">
        <w:br w:type="page"/>
      </w:r>
    </w:p>
    <w:p w14:paraId="36AD5FF4" w14:textId="352FBBFA" w:rsidR="00F66FF6" w:rsidRPr="004C78D8" w:rsidRDefault="0020338D" w:rsidP="00FB7C1F">
      <w:pPr>
        <w:pStyle w:val="Heading1"/>
      </w:pPr>
      <w:bookmarkStart w:id="13" w:name="_Toc93566842"/>
      <w:bookmarkStart w:id="14" w:name="_Toc111630686"/>
      <w:r w:rsidRPr="004C78D8">
        <w:lastRenderedPageBreak/>
        <w:t>List of a</w:t>
      </w:r>
      <w:r w:rsidR="00F66FF6" w:rsidRPr="004C78D8">
        <w:t>bbreviations</w:t>
      </w:r>
      <w:bookmarkEnd w:id="13"/>
      <w:bookmarkEnd w:id="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036"/>
      </w:tblGrid>
      <w:tr w:rsidR="00F63C53" w:rsidRPr="004C78D8" w14:paraId="57F2747D" w14:textId="77777777" w:rsidTr="00150FED">
        <w:tc>
          <w:tcPr>
            <w:tcW w:w="1980" w:type="dxa"/>
          </w:tcPr>
          <w:p w14:paraId="50A6296C" w14:textId="41BC7ABF" w:rsidR="00F63C53" w:rsidRPr="004C78D8" w:rsidRDefault="00F63C53" w:rsidP="00FB7C1F">
            <w:r w:rsidRPr="004C78D8">
              <w:t>AC</w:t>
            </w:r>
          </w:p>
        </w:tc>
        <w:tc>
          <w:tcPr>
            <w:tcW w:w="7036" w:type="dxa"/>
          </w:tcPr>
          <w:p w14:paraId="118FE28A" w14:textId="2364F3FF" w:rsidR="00F63C53" w:rsidRPr="004C78D8" w:rsidRDefault="00F63C53" w:rsidP="00FB7C1F">
            <w:r w:rsidRPr="004C78D8">
              <w:t>All-Cause</w:t>
            </w:r>
          </w:p>
        </w:tc>
      </w:tr>
      <w:tr w:rsidR="00150FED" w:rsidRPr="004C78D8" w14:paraId="64D8F4D0" w14:textId="77777777" w:rsidTr="00150FED">
        <w:tc>
          <w:tcPr>
            <w:tcW w:w="1980" w:type="dxa"/>
          </w:tcPr>
          <w:p w14:paraId="7753D55B" w14:textId="77777777" w:rsidR="00150FED" w:rsidRPr="004C78D8" w:rsidRDefault="00150FED" w:rsidP="00FB7C1F">
            <w:r w:rsidRPr="004C78D8">
              <w:t>ADL</w:t>
            </w:r>
          </w:p>
        </w:tc>
        <w:tc>
          <w:tcPr>
            <w:tcW w:w="7036" w:type="dxa"/>
          </w:tcPr>
          <w:p w14:paraId="662CEEFB" w14:textId="77777777" w:rsidR="00150FED" w:rsidRPr="004C78D8" w:rsidRDefault="00150FED" w:rsidP="00FB7C1F">
            <w:r w:rsidRPr="004C78D8">
              <w:t>Activities of Daily Living</w:t>
            </w:r>
          </w:p>
        </w:tc>
      </w:tr>
      <w:tr w:rsidR="00150FED" w:rsidRPr="004C78D8" w14:paraId="428921E1" w14:textId="77777777" w:rsidTr="00150FED">
        <w:tc>
          <w:tcPr>
            <w:tcW w:w="1980" w:type="dxa"/>
          </w:tcPr>
          <w:p w14:paraId="7234C366" w14:textId="77777777" w:rsidR="00150FED" w:rsidRPr="004C78D8" w:rsidRDefault="00150FED" w:rsidP="00FB7C1F">
            <w:r w:rsidRPr="004C78D8">
              <w:t>A&amp;E</w:t>
            </w:r>
          </w:p>
        </w:tc>
        <w:tc>
          <w:tcPr>
            <w:tcW w:w="7036" w:type="dxa"/>
          </w:tcPr>
          <w:p w14:paraId="6D391936" w14:textId="77777777" w:rsidR="00150FED" w:rsidRPr="004C78D8" w:rsidRDefault="00150FED" w:rsidP="00FB7C1F">
            <w:r w:rsidRPr="004C78D8">
              <w:t>Accident and Emergency</w:t>
            </w:r>
          </w:p>
        </w:tc>
      </w:tr>
      <w:tr w:rsidR="00150FED" w:rsidRPr="004C78D8" w14:paraId="23B5D7FE" w14:textId="77777777" w:rsidTr="00150FED">
        <w:tc>
          <w:tcPr>
            <w:tcW w:w="1980" w:type="dxa"/>
          </w:tcPr>
          <w:p w14:paraId="21E598EB" w14:textId="77777777" w:rsidR="00150FED" w:rsidRPr="004C78D8" w:rsidRDefault="00150FED" w:rsidP="00FB7C1F">
            <w:r w:rsidRPr="004C78D8">
              <w:t>Aged 65+</w:t>
            </w:r>
          </w:p>
        </w:tc>
        <w:tc>
          <w:tcPr>
            <w:tcW w:w="7036" w:type="dxa"/>
          </w:tcPr>
          <w:p w14:paraId="00284398" w14:textId="77777777" w:rsidR="00150FED" w:rsidRPr="004C78D8" w:rsidRDefault="00150FED" w:rsidP="00FB7C1F">
            <w:r w:rsidRPr="004C78D8">
              <w:t>Aged 65 and over</w:t>
            </w:r>
          </w:p>
        </w:tc>
      </w:tr>
      <w:tr w:rsidR="0078160E" w:rsidRPr="004C78D8" w14:paraId="15ED27B8" w14:textId="77777777" w:rsidTr="00150FED">
        <w:tc>
          <w:tcPr>
            <w:tcW w:w="1980" w:type="dxa"/>
          </w:tcPr>
          <w:p w14:paraId="5C434081" w14:textId="294BFFFA" w:rsidR="0078160E" w:rsidRPr="004C78D8" w:rsidRDefault="0078160E" w:rsidP="00FB7C1F">
            <w:r w:rsidRPr="004C78D8">
              <w:t>AIC</w:t>
            </w:r>
          </w:p>
        </w:tc>
        <w:tc>
          <w:tcPr>
            <w:tcW w:w="7036" w:type="dxa"/>
          </w:tcPr>
          <w:p w14:paraId="1B0E7D64" w14:textId="6C0389B4" w:rsidR="0078160E" w:rsidRPr="004C78D8" w:rsidRDefault="0078160E" w:rsidP="00FB7C1F">
            <w:r w:rsidRPr="004C78D8">
              <w:t>Akaike Information Criterion</w:t>
            </w:r>
          </w:p>
        </w:tc>
      </w:tr>
      <w:tr w:rsidR="003E3DD5" w:rsidRPr="004C78D8" w14:paraId="75F3A4C0" w14:textId="77777777" w:rsidTr="00150FED">
        <w:tc>
          <w:tcPr>
            <w:tcW w:w="1980" w:type="dxa"/>
          </w:tcPr>
          <w:p w14:paraId="469D4DCD" w14:textId="31906E45" w:rsidR="003E3DD5" w:rsidRPr="004C78D8" w:rsidRDefault="003E3DD5" w:rsidP="00FB7C1F">
            <w:r w:rsidRPr="004C78D8">
              <w:t>AMSTAR</w:t>
            </w:r>
          </w:p>
        </w:tc>
        <w:tc>
          <w:tcPr>
            <w:tcW w:w="7036" w:type="dxa"/>
          </w:tcPr>
          <w:p w14:paraId="1BBE7DFA" w14:textId="1CA6D3B3" w:rsidR="003E3DD5" w:rsidRPr="004C78D8" w:rsidRDefault="003E3DD5" w:rsidP="00FB7C1F">
            <w:r w:rsidRPr="004C78D8">
              <w:t>A Mea</w:t>
            </w:r>
            <w:r w:rsidR="00DA5F13" w:rsidRPr="004C78D8">
              <w:t>s</w:t>
            </w:r>
            <w:r w:rsidRPr="004C78D8">
              <w:t>urement Tool to Assess systematic Reviews</w:t>
            </w:r>
          </w:p>
        </w:tc>
      </w:tr>
      <w:tr w:rsidR="000E0575" w:rsidRPr="004C78D8" w14:paraId="76200996" w14:textId="77777777" w:rsidTr="00150FED">
        <w:tc>
          <w:tcPr>
            <w:tcW w:w="1980" w:type="dxa"/>
          </w:tcPr>
          <w:p w14:paraId="70A18FA5" w14:textId="068457D9" w:rsidR="000E0575" w:rsidRPr="004C78D8" w:rsidRDefault="000E0575" w:rsidP="00FB7C1F">
            <w:r w:rsidRPr="004C78D8">
              <w:t>ARC</w:t>
            </w:r>
          </w:p>
        </w:tc>
        <w:tc>
          <w:tcPr>
            <w:tcW w:w="7036" w:type="dxa"/>
          </w:tcPr>
          <w:p w14:paraId="0110A1E9" w14:textId="1E2AC2D3" w:rsidR="000E0575" w:rsidRPr="004C78D8" w:rsidRDefault="000E0575" w:rsidP="00FB7C1F">
            <w:r w:rsidRPr="004C78D8">
              <w:t>Assessment and Rehabilitation Centre</w:t>
            </w:r>
          </w:p>
        </w:tc>
      </w:tr>
      <w:tr w:rsidR="00150FED" w:rsidRPr="004C78D8" w14:paraId="59759C47" w14:textId="77777777" w:rsidTr="00150FED">
        <w:tc>
          <w:tcPr>
            <w:tcW w:w="1980" w:type="dxa"/>
          </w:tcPr>
          <w:p w14:paraId="122BE07A" w14:textId="77777777" w:rsidR="00150FED" w:rsidRPr="004C78D8" w:rsidRDefault="00150FED" w:rsidP="00FB7C1F">
            <w:r w:rsidRPr="004C78D8">
              <w:t>AS&amp;R</w:t>
            </w:r>
          </w:p>
        </w:tc>
        <w:tc>
          <w:tcPr>
            <w:tcW w:w="7036" w:type="dxa"/>
          </w:tcPr>
          <w:p w14:paraId="384F68D6" w14:textId="77777777" w:rsidR="00150FED" w:rsidRPr="004C78D8" w:rsidRDefault="00150FED" w:rsidP="00FB7C1F">
            <w:r w:rsidRPr="004C78D8">
              <w:t>Active Support &amp; Recovery</w:t>
            </w:r>
          </w:p>
        </w:tc>
      </w:tr>
      <w:tr w:rsidR="00150FED" w:rsidRPr="004C78D8" w14:paraId="07DFB674" w14:textId="77777777" w:rsidTr="00150FED">
        <w:tc>
          <w:tcPr>
            <w:tcW w:w="1980" w:type="dxa"/>
          </w:tcPr>
          <w:p w14:paraId="0FF93506" w14:textId="77777777" w:rsidR="00150FED" w:rsidRPr="004C78D8" w:rsidRDefault="00150FED" w:rsidP="00FB7C1F">
            <w:r w:rsidRPr="004C78D8">
              <w:t>BCF</w:t>
            </w:r>
          </w:p>
        </w:tc>
        <w:tc>
          <w:tcPr>
            <w:tcW w:w="7036" w:type="dxa"/>
          </w:tcPr>
          <w:p w14:paraId="6673E9DD" w14:textId="77777777" w:rsidR="00150FED" w:rsidRPr="004C78D8" w:rsidRDefault="00150FED" w:rsidP="00FB7C1F">
            <w:r w:rsidRPr="004C78D8">
              <w:t>Better Care Fund</w:t>
            </w:r>
          </w:p>
        </w:tc>
      </w:tr>
      <w:tr w:rsidR="0078160E" w:rsidRPr="004C78D8" w14:paraId="0E113A8E" w14:textId="77777777" w:rsidTr="00150FED">
        <w:tc>
          <w:tcPr>
            <w:tcW w:w="1980" w:type="dxa"/>
          </w:tcPr>
          <w:p w14:paraId="57A15E5F" w14:textId="73AABEF2" w:rsidR="0078160E" w:rsidRPr="004C78D8" w:rsidRDefault="0078160E" w:rsidP="00FB7C1F">
            <w:r w:rsidRPr="004C78D8">
              <w:t>BIC</w:t>
            </w:r>
          </w:p>
        </w:tc>
        <w:tc>
          <w:tcPr>
            <w:tcW w:w="7036" w:type="dxa"/>
          </w:tcPr>
          <w:p w14:paraId="64AE4EC8" w14:textId="1293FEEC" w:rsidR="0078160E" w:rsidRPr="004C78D8" w:rsidRDefault="0078160E" w:rsidP="00FB7C1F">
            <w:r w:rsidRPr="004C78D8">
              <w:t>Bayesian Information Criterion</w:t>
            </w:r>
          </w:p>
        </w:tc>
      </w:tr>
      <w:tr w:rsidR="002E513C" w:rsidRPr="004C78D8" w14:paraId="20478E8B" w14:textId="77777777" w:rsidTr="00150FED">
        <w:tc>
          <w:tcPr>
            <w:tcW w:w="1980" w:type="dxa"/>
          </w:tcPr>
          <w:p w14:paraId="1643DB51" w14:textId="7FB0E71E" w:rsidR="002E513C" w:rsidRPr="004C78D8" w:rsidRDefault="002E513C" w:rsidP="00FB7C1F">
            <w:r w:rsidRPr="004C78D8">
              <w:t>BMD</w:t>
            </w:r>
          </w:p>
        </w:tc>
        <w:tc>
          <w:tcPr>
            <w:tcW w:w="7036" w:type="dxa"/>
          </w:tcPr>
          <w:p w14:paraId="444182E6" w14:textId="345AB156" w:rsidR="002E513C" w:rsidRPr="004C78D8" w:rsidRDefault="002E513C" w:rsidP="00FB7C1F">
            <w:r w:rsidRPr="004C78D8">
              <w:t>Bone Mass Density</w:t>
            </w:r>
          </w:p>
        </w:tc>
      </w:tr>
      <w:tr w:rsidR="004B1352" w:rsidRPr="004C78D8" w14:paraId="67D23DE4" w14:textId="77777777" w:rsidTr="00150FED">
        <w:tc>
          <w:tcPr>
            <w:tcW w:w="1980" w:type="dxa"/>
          </w:tcPr>
          <w:p w14:paraId="238DAEE9" w14:textId="6FA1382D" w:rsidR="004B1352" w:rsidRPr="004C78D8" w:rsidRDefault="004B1352" w:rsidP="00FB7C1F">
            <w:r w:rsidRPr="004C78D8">
              <w:t>BODE3</w:t>
            </w:r>
          </w:p>
        </w:tc>
        <w:tc>
          <w:tcPr>
            <w:tcW w:w="7036" w:type="dxa"/>
          </w:tcPr>
          <w:p w14:paraId="0D7BF77D" w14:textId="2C88079D" w:rsidR="004B1352" w:rsidRPr="004C78D8" w:rsidRDefault="00DB64E9" w:rsidP="00FB7C1F">
            <w:r w:rsidRPr="004C78D8">
              <w:t>Burden of Disease Epidemiology, Equity and Cost-Effectiveness</w:t>
            </w:r>
          </w:p>
        </w:tc>
      </w:tr>
      <w:tr w:rsidR="0055519F" w:rsidRPr="004C78D8" w14:paraId="35780DB2" w14:textId="77777777" w:rsidTr="00150FED">
        <w:tc>
          <w:tcPr>
            <w:tcW w:w="1980" w:type="dxa"/>
          </w:tcPr>
          <w:p w14:paraId="226C40D1" w14:textId="5A3DBC2E" w:rsidR="0055519F" w:rsidRPr="004C78D8" w:rsidRDefault="0055519F" w:rsidP="00FB7C1F">
            <w:r w:rsidRPr="004C78D8">
              <w:t>CALY</w:t>
            </w:r>
          </w:p>
        </w:tc>
        <w:tc>
          <w:tcPr>
            <w:tcW w:w="7036" w:type="dxa"/>
          </w:tcPr>
          <w:p w14:paraId="2DFF47F3" w14:textId="32AFEE04" w:rsidR="0055519F" w:rsidRPr="004C78D8" w:rsidRDefault="0055519F" w:rsidP="00FB7C1F">
            <w:r w:rsidRPr="004C78D8">
              <w:t>CASP-Adjusted Life Year</w:t>
            </w:r>
          </w:p>
        </w:tc>
      </w:tr>
      <w:tr w:rsidR="008D44A3" w:rsidRPr="004C78D8" w14:paraId="126801FD" w14:textId="77777777" w:rsidTr="00150FED">
        <w:tc>
          <w:tcPr>
            <w:tcW w:w="1980" w:type="dxa"/>
          </w:tcPr>
          <w:p w14:paraId="6229AC5C" w14:textId="3880DFE1" w:rsidR="008D44A3" w:rsidRPr="004C78D8" w:rsidRDefault="008D44A3" w:rsidP="00FB7C1F">
            <w:r w:rsidRPr="004C78D8">
              <w:t>CASP-19</w:t>
            </w:r>
          </w:p>
        </w:tc>
        <w:tc>
          <w:tcPr>
            <w:tcW w:w="7036" w:type="dxa"/>
          </w:tcPr>
          <w:p w14:paraId="73C61D89" w14:textId="7E335863" w:rsidR="008D44A3" w:rsidRPr="004C78D8" w:rsidRDefault="008D44A3" w:rsidP="00FB7C1F">
            <w:r w:rsidRPr="004C78D8">
              <w:t>Control, Autonomy, Self-realisation and Pleasure, 19 items</w:t>
            </w:r>
          </w:p>
        </w:tc>
      </w:tr>
      <w:tr w:rsidR="00150FED" w:rsidRPr="004C78D8" w14:paraId="0C6E31C3" w14:textId="77777777" w:rsidTr="00150FED">
        <w:tc>
          <w:tcPr>
            <w:tcW w:w="1980" w:type="dxa"/>
          </w:tcPr>
          <w:p w14:paraId="2C673A96" w14:textId="77777777" w:rsidR="00150FED" w:rsidRPr="004C78D8" w:rsidRDefault="00150FED" w:rsidP="00FB7C1F">
            <w:r w:rsidRPr="004C78D8">
              <w:t>CBA</w:t>
            </w:r>
          </w:p>
        </w:tc>
        <w:tc>
          <w:tcPr>
            <w:tcW w:w="7036" w:type="dxa"/>
          </w:tcPr>
          <w:p w14:paraId="0F3F5A0C" w14:textId="77777777" w:rsidR="00150FED" w:rsidRPr="004C78D8" w:rsidRDefault="00150FED" w:rsidP="00FB7C1F">
            <w:r w:rsidRPr="004C78D8">
              <w:t>Cost-Benefit Analysis</w:t>
            </w:r>
          </w:p>
        </w:tc>
      </w:tr>
      <w:tr w:rsidR="00CA47E3" w:rsidRPr="004C78D8" w14:paraId="5F55EABF" w14:textId="77777777" w:rsidTr="00150FED">
        <w:tc>
          <w:tcPr>
            <w:tcW w:w="1980" w:type="dxa"/>
          </w:tcPr>
          <w:p w14:paraId="04E2C873" w14:textId="70C7C838" w:rsidR="00CA47E3" w:rsidRPr="004C78D8" w:rsidRDefault="00CA47E3" w:rsidP="00FB7C1F">
            <w:r w:rsidRPr="004C78D8">
              <w:t>CBT</w:t>
            </w:r>
          </w:p>
        </w:tc>
        <w:tc>
          <w:tcPr>
            <w:tcW w:w="7036" w:type="dxa"/>
          </w:tcPr>
          <w:p w14:paraId="0B308473" w14:textId="0E1B5674" w:rsidR="00CA47E3" w:rsidRPr="004C78D8" w:rsidRDefault="00CA47E3" w:rsidP="00FB7C1F">
            <w:r w:rsidRPr="004C78D8">
              <w:t>Cognitive Behavioural Therapy</w:t>
            </w:r>
          </w:p>
        </w:tc>
      </w:tr>
      <w:tr w:rsidR="00150FED" w:rsidRPr="004C78D8" w14:paraId="43591494" w14:textId="77777777" w:rsidTr="00150FED">
        <w:tc>
          <w:tcPr>
            <w:tcW w:w="1980" w:type="dxa"/>
          </w:tcPr>
          <w:p w14:paraId="7A77D08A" w14:textId="77777777" w:rsidR="00150FED" w:rsidRPr="004C78D8" w:rsidRDefault="00150FED" w:rsidP="00FB7C1F">
            <w:r w:rsidRPr="004C78D8">
              <w:t>CCA</w:t>
            </w:r>
          </w:p>
        </w:tc>
        <w:tc>
          <w:tcPr>
            <w:tcW w:w="7036" w:type="dxa"/>
          </w:tcPr>
          <w:p w14:paraId="61884201" w14:textId="77777777" w:rsidR="00150FED" w:rsidRPr="004C78D8" w:rsidRDefault="00150FED" w:rsidP="00FB7C1F">
            <w:r w:rsidRPr="004C78D8">
              <w:t>Cost-Consequence Analysis</w:t>
            </w:r>
          </w:p>
        </w:tc>
      </w:tr>
      <w:tr w:rsidR="00150FED" w:rsidRPr="004C78D8" w14:paraId="5C2D05FD" w14:textId="77777777" w:rsidTr="00150FED">
        <w:tc>
          <w:tcPr>
            <w:tcW w:w="1980" w:type="dxa"/>
          </w:tcPr>
          <w:p w14:paraId="4B77410A" w14:textId="77777777" w:rsidR="00150FED" w:rsidRPr="004C78D8" w:rsidRDefault="00150FED" w:rsidP="00FB7C1F">
            <w:r w:rsidRPr="004C78D8">
              <w:t>CCG</w:t>
            </w:r>
          </w:p>
        </w:tc>
        <w:tc>
          <w:tcPr>
            <w:tcW w:w="7036" w:type="dxa"/>
          </w:tcPr>
          <w:p w14:paraId="3906FD37" w14:textId="77777777" w:rsidR="00150FED" w:rsidRPr="004C78D8" w:rsidRDefault="00150FED" w:rsidP="00FB7C1F">
            <w:r w:rsidRPr="004C78D8">
              <w:t>Clinical Commissioning Group</w:t>
            </w:r>
          </w:p>
        </w:tc>
      </w:tr>
      <w:tr w:rsidR="00CF4816" w:rsidRPr="004C78D8" w14:paraId="14DA269D" w14:textId="77777777" w:rsidTr="00150FED">
        <w:tc>
          <w:tcPr>
            <w:tcW w:w="1980" w:type="dxa"/>
          </w:tcPr>
          <w:p w14:paraId="1C68A1CC" w14:textId="1DF969C0" w:rsidR="00CF4816" w:rsidRPr="004C78D8" w:rsidRDefault="00CF4816" w:rsidP="00FB7C1F">
            <w:r w:rsidRPr="004C78D8">
              <w:t>CD</w:t>
            </w:r>
          </w:p>
        </w:tc>
        <w:tc>
          <w:tcPr>
            <w:tcW w:w="7036" w:type="dxa"/>
          </w:tcPr>
          <w:p w14:paraId="7513D4DD" w14:textId="5033960F" w:rsidR="00CF4816" w:rsidRPr="004C78D8" w:rsidRDefault="00CF4816" w:rsidP="00FB7C1F">
            <w:r w:rsidRPr="004C78D8">
              <w:t>Community-Dwelling</w:t>
            </w:r>
          </w:p>
        </w:tc>
      </w:tr>
      <w:tr w:rsidR="00150FED" w:rsidRPr="004C78D8" w14:paraId="3459EDB2" w14:textId="77777777" w:rsidTr="00150FED">
        <w:tc>
          <w:tcPr>
            <w:tcW w:w="1980" w:type="dxa"/>
          </w:tcPr>
          <w:p w14:paraId="464BA10A" w14:textId="77777777" w:rsidR="00150FED" w:rsidRPr="004C78D8" w:rsidRDefault="00150FED" w:rsidP="00FB7C1F">
            <w:r w:rsidRPr="004C78D8">
              <w:t>CEA</w:t>
            </w:r>
          </w:p>
        </w:tc>
        <w:tc>
          <w:tcPr>
            <w:tcW w:w="7036" w:type="dxa"/>
          </w:tcPr>
          <w:p w14:paraId="5E6DC636" w14:textId="77777777" w:rsidR="00150FED" w:rsidRPr="004C78D8" w:rsidRDefault="00150FED" w:rsidP="00FB7C1F">
            <w:r w:rsidRPr="004C78D8">
              <w:t>Cost-Effectiveness Analysis</w:t>
            </w:r>
          </w:p>
        </w:tc>
      </w:tr>
      <w:tr w:rsidR="00150FED" w:rsidRPr="004C78D8" w14:paraId="2E94877D" w14:textId="77777777" w:rsidTr="00150FED">
        <w:tc>
          <w:tcPr>
            <w:tcW w:w="1980" w:type="dxa"/>
          </w:tcPr>
          <w:p w14:paraId="7900849A" w14:textId="77777777" w:rsidR="00150FED" w:rsidRPr="004C78D8" w:rsidRDefault="00150FED" w:rsidP="00FB7C1F">
            <w:r w:rsidRPr="004C78D8">
              <w:t>CEAC</w:t>
            </w:r>
          </w:p>
        </w:tc>
        <w:tc>
          <w:tcPr>
            <w:tcW w:w="7036" w:type="dxa"/>
          </w:tcPr>
          <w:p w14:paraId="23EBF7F7" w14:textId="77777777" w:rsidR="00150FED" w:rsidRPr="004C78D8" w:rsidRDefault="00150FED" w:rsidP="00FB7C1F">
            <w:r w:rsidRPr="004C78D8">
              <w:t>Cost-Effectiveness Acceptability Curve</w:t>
            </w:r>
          </w:p>
        </w:tc>
      </w:tr>
      <w:tr w:rsidR="00150FED" w:rsidRPr="004C78D8" w14:paraId="71AE4B28" w14:textId="77777777" w:rsidTr="00150FED">
        <w:tc>
          <w:tcPr>
            <w:tcW w:w="1980" w:type="dxa"/>
          </w:tcPr>
          <w:p w14:paraId="1507CBC4" w14:textId="77777777" w:rsidR="00150FED" w:rsidRPr="004C78D8" w:rsidRDefault="00150FED" w:rsidP="00FB7C1F">
            <w:r w:rsidRPr="004C78D8">
              <w:t>CG</w:t>
            </w:r>
          </w:p>
        </w:tc>
        <w:tc>
          <w:tcPr>
            <w:tcW w:w="7036" w:type="dxa"/>
          </w:tcPr>
          <w:p w14:paraId="6720D593" w14:textId="77777777" w:rsidR="00150FED" w:rsidRPr="004C78D8" w:rsidRDefault="00150FED" w:rsidP="00FB7C1F">
            <w:r w:rsidRPr="004C78D8">
              <w:t>Clinical Guideline</w:t>
            </w:r>
          </w:p>
        </w:tc>
      </w:tr>
      <w:tr w:rsidR="00C30141" w:rsidRPr="004C78D8" w14:paraId="6EB9FBD9" w14:textId="77777777" w:rsidTr="00150FED">
        <w:tc>
          <w:tcPr>
            <w:tcW w:w="1980" w:type="dxa"/>
          </w:tcPr>
          <w:p w14:paraId="7ADDEF56" w14:textId="3C6BD478" w:rsidR="00C30141" w:rsidRPr="004C78D8" w:rsidRDefault="00C30141" w:rsidP="00FB7C1F">
            <w:r w:rsidRPr="004C78D8">
              <w:t>CI</w:t>
            </w:r>
          </w:p>
        </w:tc>
        <w:tc>
          <w:tcPr>
            <w:tcW w:w="7036" w:type="dxa"/>
          </w:tcPr>
          <w:p w14:paraId="2F33BBD7" w14:textId="7E81001E" w:rsidR="00C30141" w:rsidRPr="004C78D8" w:rsidRDefault="00C30141" w:rsidP="00FB7C1F">
            <w:r w:rsidRPr="004C78D8">
              <w:t>Cognitively Impaired</w:t>
            </w:r>
          </w:p>
        </w:tc>
      </w:tr>
      <w:tr w:rsidR="00150FED" w:rsidRPr="004C78D8" w14:paraId="3BEB1ED0" w14:textId="77777777" w:rsidTr="00150FED">
        <w:tc>
          <w:tcPr>
            <w:tcW w:w="1980" w:type="dxa"/>
          </w:tcPr>
          <w:p w14:paraId="468626CE" w14:textId="77777777" w:rsidR="00150FED" w:rsidRPr="004C78D8" w:rsidRDefault="00150FED" w:rsidP="00FB7C1F">
            <w:r w:rsidRPr="004C78D8">
              <w:t>CICI</w:t>
            </w:r>
          </w:p>
        </w:tc>
        <w:tc>
          <w:tcPr>
            <w:tcW w:w="7036" w:type="dxa"/>
          </w:tcPr>
          <w:p w14:paraId="238B8E9F" w14:textId="77777777" w:rsidR="00150FED" w:rsidRPr="004C78D8" w:rsidRDefault="00150FED" w:rsidP="00FB7C1F">
            <w:r w:rsidRPr="004C78D8">
              <w:t>Context and Implementation of Complex Interventions</w:t>
            </w:r>
          </w:p>
        </w:tc>
      </w:tr>
      <w:tr w:rsidR="004258E7" w:rsidRPr="004C78D8" w14:paraId="1AF09238" w14:textId="77777777" w:rsidTr="00150FED">
        <w:tc>
          <w:tcPr>
            <w:tcW w:w="1980" w:type="dxa"/>
          </w:tcPr>
          <w:p w14:paraId="4463E7C7" w14:textId="7F152F05" w:rsidR="004258E7" w:rsidRPr="004C78D8" w:rsidRDefault="004258E7" w:rsidP="00FB7C1F">
            <w:r w:rsidRPr="004C78D8">
              <w:t>CICS</w:t>
            </w:r>
          </w:p>
        </w:tc>
        <w:tc>
          <w:tcPr>
            <w:tcW w:w="7036" w:type="dxa"/>
          </w:tcPr>
          <w:p w14:paraId="47BF8F7D" w14:textId="2AE57A2E" w:rsidR="004258E7" w:rsidRPr="004C78D8" w:rsidRDefault="004258E7" w:rsidP="00FB7C1F">
            <w:r w:rsidRPr="004C78D8">
              <w:t>Community Intermediate Care Service</w:t>
            </w:r>
          </w:p>
        </w:tc>
      </w:tr>
      <w:tr w:rsidR="00C30141" w:rsidRPr="004C78D8" w14:paraId="4C94B4FA" w14:textId="77777777" w:rsidTr="00150FED">
        <w:tc>
          <w:tcPr>
            <w:tcW w:w="1980" w:type="dxa"/>
          </w:tcPr>
          <w:p w14:paraId="1E0A165A" w14:textId="7C97029A" w:rsidR="00C30141" w:rsidRPr="004C78D8" w:rsidRDefault="00C30141" w:rsidP="00FB7C1F">
            <w:r w:rsidRPr="004C78D8">
              <w:t>CInt</w:t>
            </w:r>
          </w:p>
        </w:tc>
        <w:tc>
          <w:tcPr>
            <w:tcW w:w="7036" w:type="dxa"/>
          </w:tcPr>
          <w:p w14:paraId="040846E7" w14:textId="29F19333" w:rsidR="00C30141" w:rsidRPr="004C78D8" w:rsidRDefault="00C30141" w:rsidP="00FB7C1F">
            <w:r w:rsidRPr="004C78D8">
              <w:t>Confidence Interval</w:t>
            </w:r>
          </w:p>
        </w:tc>
      </w:tr>
      <w:tr w:rsidR="00150FED" w:rsidRPr="004C78D8" w14:paraId="6B260A0C" w14:textId="77777777" w:rsidTr="00150FED">
        <w:tc>
          <w:tcPr>
            <w:tcW w:w="1980" w:type="dxa"/>
          </w:tcPr>
          <w:p w14:paraId="4609DC1E" w14:textId="77777777" w:rsidR="00150FED" w:rsidRPr="004C78D8" w:rsidRDefault="00150FED" w:rsidP="00FB7C1F">
            <w:r w:rsidRPr="004C78D8">
              <w:t>CMO</w:t>
            </w:r>
          </w:p>
        </w:tc>
        <w:tc>
          <w:tcPr>
            <w:tcW w:w="7036" w:type="dxa"/>
          </w:tcPr>
          <w:p w14:paraId="034E3A7A" w14:textId="77777777" w:rsidR="00150FED" w:rsidRPr="004C78D8" w:rsidRDefault="00150FED" w:rsidP="00FB7C1F">
            <w:r w:rsidRPr="004C78D8">
              <w:t>Chief Medical Officer</w:t>
            </w:r>
          </w:p>
        </w:tc>
      </w:tr>
      <w:tr w:rsidR="00267EA5" w:rsidRPr="004C78D8" w14:paraId="700E7622" w14:textId="77777777" w:rsidTr="00150FED">
        <w:tc>
          <w:tcPr>
            <w:tcW w:w="1980" w:type="dxa"/>
          </w:tcPr>
          <w:p w14:paraId="2B295E88" w14:textId="61DFE65C" w:rsidR="00267EA5" w:rsidRPr="004C78D8" w:rsidRDefault="00267EA5" w:rsidP="00FB7C1F">
            <w:r w:rsidRPr="004C78D8">
              <w:t>CPI</w:t>
            </w:r>
          </w:p>
        </w:tc>
        <w:tc>
          <w:tcPr>
            <w:tcW w:w="7036" w:type="dxa"/>
          </w:tcPr>
          <w:p w14:paraId="6D1C41A0" w14:textId="35C61A40" w:rsidR="00267EA5" w:rsidRPr="004C78D8" w:rsidRDefault="00267EA5" w:rsidP="00FB7C1F">
            <w:r w:rsidRPr="004C78D8">
              <w:t>Consumer Price Index</w:t>
            </w:r>
          </w:p>
        </w:tc>
      </w:tr>
      <w:tr w:rsidR="00FE1260" w:rsidRPr="004C78D8" w14:paraId="21DDC1D9" w14:textId="77777777" w:rsidTr="00150FED">
        <w:tc>
          <w:tcPr>
            <w:tcW w:w="1980" w:type="dxa"/>
          </w:tcPr>
          <w:p w14:paraId="2D5CE591" w14:textId="32B570E7" w:rsidR="00FE1260" w:rsidRPr="004C78D8" w:rsidRDefault="00FE1260" w:rsidP="00FB7C1F">
            <w:r w:rsidRPr="004C78D8">
              <w:t>CRC</w:t>
            </w:r>
          </w:p>
        </w:tc>
        <w:tc>
          <w:tcPr>
            <w:tcW w:w="7036" w:type="dxa"/>
          </w:tcPr>
          <w:p w14:paraId="5FDFA585" w14:textId="6C280B9F" w:rsidR="00FE1260" w:rsidRPr="004C78D8" w:rsidRDefault="00FE1260" w:rsidP="00FB7C1F">
            <w:r w:rsidRPr="004C78D8">
              <w:t>Constrained Recommended Care</w:t>
            </w:r>
          </w:p>
        </w:tc>
      </w:tr>
      <w:tr w:rsidR="00410D09" w:rsidRPr="004C78D8" w14:paraId="4D54F983" w14:textId="77777777" w:rsidTr="00150FED">
        <w:tc>
          <w:tcPr>
            <w:tcW w:w="1980" w:type="dxa"/>
          </w:tcPr>
          <w:p w14:paraId="3BAECC7F" w14:textId="713614EB" w:rsidR="00410D09" w:rsidRPr="004C78D8" w:rsidRDefault="00410D09" w:rsidP="00FB7C1F">
            <w:r w:rsidRPr="004C78D8">
              <w:t>CSP</w:t>
            </w:r>
          </w:p>
        </w:tc>
        <w:tc>
          <w:tcPr>
            <w:tcW w:w="7036" w:type="dxa"/>
          </w:tcPr>
          <w:p w14:paraId="3BE7F955" w14:textId="48430438" w:rsidR="00410D09" w:rsidRPr="004C78D8" w:rsidRDefault="00410D09" w:rsidP="00FB7C1F">
            <w:r w:rsidRPr="004C78D8">
              <w:t>Chartered Society of Physiotherapy</w:t>
            </w:r>
          </w:p>
        </w:tc>
      </w:tr>
      <w:tr w:rsidR="00150FED" w:rsidRPr="004C78D8" w14:paraId="76648E9C" w14:textId="77777777" w:rsidTr="00150FED">
        <w:tc>
          <w:tcPr>
            <w:tcW w:w="1980" w:type="dxa"/>
          </w:tcPr>
          <w:p w14:paraId="2D5C6340" w14:textId="77777777" w:rsidR="00150FED" w:rsidRPr="004C78D8" w:rsidRDefault="00150FED" w:rsidP="00FB7C1F">
            <w:r w:rsidRPr="004C78D8">
              <w:t>CUA</w:t>
            </w:r>
          </w:p>
        </w:tc>
        <w:tc>
          <w:tcPr>
            <w:tcW w:w="7036" w:type="dxa"/>
          </w:tcPr>
          <w:p w14:paraId="4C586697" w14:textId="77777777" w:rsidR="00150FED" w:rsidRPr="004C78D8" w:rsidRDefault="00150FED" w:rsidP="00FB7C1F">
            <w:r w:rsidRPr="004C78D8">
              <w:t>Cost-Utility Analysis</w:t>
            </w:r>
          </w:p>
        </w:tc>
      </w:tr>
      <w:tr w:rsidR="00150FED" w:rsidRPr="004C78D8" w14:paraId="383496F7" w14:textId="77777777" w:rsidTr="00150FED">
        <w:tc>
          <w:tcPr>
            <w:tcW w:w="1980" w:type="dxa"/>
          </w:tcPr>
          <w:p w14:paraId="0ABFFC1F" w14:textId="77777777" w:rsidR="00150FED" w:rsidRPr="004C78D8" w:rsidRDefault="00150FED" w:rsidP="00FB7C1F">
            <w:r w:rsidRPr="004C78D8">
              <w:t>DCEA</w:t>
            </w:r>
          </w:p>
        </w:tc>
        <w:tc>
          <w:tcPr>
            <w:tcW w:w="7036" w:type="dxa"/>
          </w:tcPr>
          <w:p w14:paraId="0237F813" w14:textId="77777777" w:rsidR="00150FED" w:rsidRPr="004C78D8" w:rsidRDefault="00150FED" w:rsidP="00FB7C1F">
            <w:r w:rsidRPr="004C78D8">
              <w:t>Distributional Cost-Effectiveness Analysis</w:t>
            </w:r>
          </w:p>
        </w:tc>
      </w:tr>
      <w:tr w:rsidR="0048342E" w:rsidRPr="004C78D8" w14:paraId="641EF137" w14:textId="77777777" w:rsidTr="00150FED">
        <w:tc>
          <w:tcPr>
            <w:tcW w:w="1980" w:type="dxa"/>
          </w:tcPr>
          <w:p w14:paraId="19536BD4" w14:textId="5A8E2EE3" w:rsidR="0048342E" w:rsidRPr="004C78D8" w:rsidRDefault="0048342E" w:rsidP="00FB7C1F">
            <w:r w:rsidRPr="004C78D8">
              <w:t>DJ</w:t>
            </w:r>
          </w:p>
        </w:tc>
        <w:tc>
          <w:tcPr>
            <w:tcW w:w="7036" w:type="dxa"/>
          </w:tcPr>
          <w:p w14:paraId="305C686D" w14:textId="108F3F35" w:rsidR="0048342E" w:rsidRPr="004C78D8" w:rsidRDefault="0048342E" w:rsidP="00FB7C1F">
            <w:r w:rsidRPr="004C78D8">
              <w:t>Double Jeopardy</w:t>
            </w:r>
          </w:p>
        </w:tc>
      </w:tr>
      <w:tr w:rsidR="00150FED" w:rsidRPr="004C78D8" w14:paraId="4CA99D7F" w14:textId="77777777" w:rsidTr="00150FED">
        <w:tc>
          <w:tcPr>
            <w:tcW w:w="1980" w:type="dxa"/>
          </w:tcPr>
          <w:p w14:paraId="54906610" w14:textId="77777777" w:rsidR="00150FED" w:rsidRPr="004C78D8" w:rsidRDefault="00150FED" w:rsidP="00FB7C1F">
            <w:r w:rsidRPr="004C78D8">
              <w:t>DSA</w:t>
            </w:r>
          </w:p>
        </w:tc>
        <w:tc>
          <w:tcPr>
            <w:tcW w:w="7036" w:type="dxa"/>
          </w:tcPr>
          <w:p w14:paraId="42A8469C" w14:textId="77777777" w:rsidR="00150FED" w:rsidRPr="004C78D8" w:rsidRDefault="00150FED" w:rsidP="00FB7C1F">
            <w:r w:rsidRPr="004C78D8">
              <w:t>Deterministic Sensitivity Analysis</w:t>
            </w:r>
          </w:p>
        </w:tc>
      </w:tr>
      <w:tr w:rsidR="005C3F89" w:rsidRPr="004C78D8" w14:paraId="279949B8" w14:textId="77777777" w:rsidTr="00150FED">
        <w:tc>
          <w:tcPr>
            <w:tcW w:w="1980" w:type="dxa"/>
          </w:tcPr>
          <w:p w14:paraId="69BD1744" w14:textId="368BA08E" w:rsidR="005C3F89" w:rsidRPr="004C78D8" w:rsidRDefault="005C3F89" w:rsidP="00FB7C1F">
            <w:r w:rsidRPr="004C78D8">
              <w:t>DSU</w:t>
            </w:r>
          </w:p>
        </w:tc>
        <w:tc>
          <w:tcPr>
            <w:tcW w:w="7036" w:type="dxa"/>
          </w:tcPr>
          <w:p w14:paraId="16326D56" w14:textId="7AAC0608" w:rsidR="005C3F89" w:rsidRPr="004C78D8" w:rsidRDefault="005C3F89" w:rsidP="00FB7C1F">
            <w:r w:rsidRPr="004C78D8">
              <w:t>Decision Support Unit</w:t>
            </w:r>
          </w:p>
        </w:tc>
      </w:tr>
      <w:tr w:rsidR="00150FED" w:rsidRPr="004C78D8" w14:paraId="044AD05B" w14:textId="77777777" w:rsidTr="00150FED">
        <w:tc>
          <w:tcPr>
            <w:tcW w:w="1980" w:type="dxa"/>
          </w:tcPr>
          <w:p w14:paraId="220BEE46" w14:textId="77777777" w:rsidR="00150FED" w:rsidRPr="004C78D8" w:rsidRDefault="00150FED" w:rsidP="00FB7C1F">
            <w:r w:rsidRPr="004C78D8">
              <w:t>ECEA</w:t>
            </w:r>
          </w:p>
        </w:tc>
        <w:tc>
          <w:tcPr>
            <w:tcW w:w="7036" w:type="dxa"/>
          </w:tcPr>
          <w:p w14:paraId="3EC0C4CD" w14:textId="77777777" w:rsidR="00150FED" w:rsidRPr="004C78D8" w:rsidRDefault="00150FED" w:rsidP="00FB7C1F">
            <w:r w:rsidRPr="004C78D8">
              <w:t>Extended Cost-Effectiveness Analysis</w:t>
            </w:r>
          </w:p>
        </w:tc>
      </w:tr>
      <w:tr w:rsidR="003D630E" w:rsidRPr="004C78D8" w14:paraId="6E1C22E9" w14:textId="77777777" w:rsidTr="00150FED">
        <w:tc>
          <w:tcPr>
            <w:tcW w:w="1980" w:type="dxa"/>
          </w:tcPr>
          <w:p w14:paraId="2C720DC0" w14:textId="2E7F5638" w:rsidR="003D630E" w:rsidRPr="004C78D8" w:rsidRDefault="003D630E" w:rsidP="00FB7C1F">
            <w:r w:rsidRPr="004C78D8">
              <w:t>ED</w:t>
            </w:r>
          </w:p>
        </w:tc>
        <w:tc>
          <w:tcPr>
            <w:tcW w:w="7036" w:type="dxa"/>
          </w:tcPr>
          <w:p w14:paraId="2E8637EC" w14:textId="18495E8C" w:rsidR="003D630E" w:rsidRPr="004C78D8" w:rsidRDefault="003D630E" w:rsidP="00FB7C1F">
            <w:r w:rsidRPr="004C78D8">
              <w:t>Emergency Department</w:t>
            </w:r>
          </w:p>
        </w:tc>
      </w:tr>
      <w:tr w:rsidR="003A120E" w:rsidRPr="004C78D8" w14:paraId="24C629FA" w14:textId="77777777" w:rsidTr="00150FED">
        <w:tc>
          <w:tcPr>
            <w:tcW w:w="1980" w:type="dxa"/>
          </w:tcPr>
          <w:p w14:paraId="3E394614" w14:textId="5B32542B" w:rsidR="003A120E" w:rsidRPr="004C78D8" w:rsidRDefault="003A120E" w:rsidP="00FB7C1F">
            <w:r w:rsidRPr="004C78D8">
              <w:t>EDE</w:t>
            </w:r>
          </w:p>
        </w:tc>
        <w:tc>
          <w:tcPr>
            <w:tcW w:w="7036" w:type="dxa"/>
          </w:tcPr>
          <w:p w14:paraId="364233B3" w14:textId="6147FAA2" w:rsidR="003A120E" w:rsidRPr="004C78D8" w:rsidRDefault="003A120E" w:rsidP="00FB7C1F">
            <w:r w:rsidRPr="004C78D8">
              <w:t>Equally Distributed Equivalent</w:t>
            </w:r>
          </w:p>
        </w:tc>
      </w:tr>
      <w:tr w:rsidR="0017592B" w:rsidRPr="004C78D8" w14:paraId="516564E7" w14:textId="77777777" w:rsidTr="00150FED">
        <w:tc>
          <w:tcPr>
            <w:tcW w:w="1980" w:type="dxa"/>
          </w:tcPr>
          <w:p w14:paraId="026E7FD4" w14:textId="4AEDF2FD" w:rsidR="0017592B" w:rsidRPr="004C78D8" w:rsidRDefault="0017592B" w:rsidP="00FB7C1F">
            <w:r w:rsidRPr="004C78D8">
              <w:t>eFI</w:t>
            </w:r>
          </w:p>
        </w:tc>
        <w:tc>
          <w:tcPr>
            <w:tcW w:w="7036" w:type="dxa"/>
          </w:tcPr>
          <w:p w14:paraId="642A9A11" w14:textId="53B37A49" w:rsidR="0017592B" w:rsidRPr="004C78D8" w:rsidRDefault="0017592B" w:rsidP="00FB7C1F">
            <w:r w:rsidRPr="004C78D8">
              <w:t>Electronic Frailty Index</w:t>
            </w:r>
          </w:p>
        </w:tc>
      </w:tr>
      <w:tr w:rsidR="00150FED" w:rsidRPr="004C78D8" w14:paraId="44739655" w14:textId="77777777" w:rsidTr="00150FED">
        <w:tc>
          <w:tcPr>
            <w:tcW w:w="1980" w:type="dxa"/>
          </w:tcPr>
          <w:p w14:paraId="4527EB68" w14:textId="77777777" w:rsidR="00150FED" w:rsidRPr="004C78D8" w:rsidRDefault="00150FED" w:rsidP="00FB7C1F">
            <w:r w:rsidRPr="004C78D8">
              <w:t>ELSA</w:t>
            </w:r>
          </w:p>
        </w:tc>
        <w:tc>
          <w:tcPr>
            <w:tcW w:w="7036" w:type="dxa"/>
          </w:tcPr>
          <w:p w14:paraId="277EBF09" w14:textId="77777777" w:rsidR="00150FED" w:rsidRPr="004C78D8" w:rsidRDefault="00150FED" w:rsidP="00FB7C1F">
            <w:r w:rsidRPr="004C78D8">
              <w:t>English Longitudinal Study of Ageing</w:t>
            </w:r>
          </w:p>
        </w:tc>
      </w:tr>
      <w:tr w:rsidR="00EE2452" w:rsidRPr="004C78D8" w14:paraId="6223F296" w14:textId="77777777" w:rsidTr="00150FED">
        <w:tc>
          <w:tcPr>
            <w:tcW w:w="1980" w:type="dxa"/>
          </w:tcPr>
          <w:p w14:paraId="3C0CF8BF" w14:textId="1D2E3FC3" w:rsidR="00EE2452" w:rsidRPr="004C78D8" w:rsidRDefault="00EE2452" w:rsidP="00FB7C1F">
            <w:r w:rsidRPr="004C78D8">
              <w:t>FaME</w:t>
            </w:r>
          </w:p>
        </w:tc>
        <w:tc>
          <w:tcPr>
            <w:tcW w:w="7036" w:type="dxa"/>
          </w:tcPr>
          <w:p w14:paraId="58AF8F93" w14:textId="41CF20DB" w:rsidR="00EE2452" w:rsidRPr="004C78D8" w:rsidRDefault="00EE2452" w:rsidP="00FB7C1F">
            <w:r w:rsidRPr="004C78D8">
              <w:t>Falls Management Exercise</w:t>
            </w:r>
          </w:p>
        </w:tc>
      </w:tr>
      <w:tr w:rsidR="00C00F56" w:rsidRPr="004C78D8" w14:paraId="111583AC" w14:textId="77777777" w:rsidTr="00150FED">
        <w:tc>
          <w:tcPr>
            <w:tcW w:w="1980" w:type="dxa"/>
          </w:tcPr>
          <w:p w14:paraId="0ED4B839" w14:textId="19590570" w:rsidR="00C00F56" w:rsidRPr="004C78D8" w:rsidRDefault="00C00F56" w:rsidP="00FB7C1F">
            <w:r w:rsidRPr="004C78D8">
              <w:t>FRAT</w:t>
            </w:r>
          </w:p>
        </w:tc>
        <w:tc>
          <w:tcPr>
            <w:tcW w:w="7036" w:type="dxa"/>
          </w:tcPr>
          <w:p w14:paraId="11AC1104" w14:textId="4FE1012A" w:rsidR="00C00F56" w:rsidRPr="004C78D8" w:rsidRDefault="00C00F56" w:rsidP="00FB7C1F">
            <w:r w:rsidRPr="004C78D8">
              <w:t>Falls Risk Assessment Tool</w:t>
            </w:r>
          </w:p>
        </w:tc>
      </w:tr>
      <w:tr w:rsidR="00C060BE" w:rsidRPr="004C78D8" w14:paraId="361A8F78" w14:textId="77777777" w:rsidTr="00150FED">
        <w:tc>
          <w:tcPr>
            <w:tcW w:w="1980" w:type="dxa"/>
          </w:tcPr>
          <w:p w14:paraId="776C6A41" w14:textId="570A9739" w:rsidR="00C060BE" w:rsidRPr="004C78D8" w:rsidRDefault="00C060BE" w:rsidP="00FB7C1F">
            <w:r w:rsidRPr="004C78D8">
              <w:t>FRID</w:t>
            </w:r>
          </w:p>
        </w:tc>
        <w:tc>
          <w:tcPr>
            <w:tcW w:w="7036" w:type="dxa"/>
          </w:tcPr>
          <w:p w14:paraId="15353AB9" w14:textId="6334B77A" w:rsidR="00C060BE" w:rsidRPr="004C78D8" w:rsidRDefault="00C060BE" w:rsidP="00FB7C1F">
            <w:r w:rsidRPr="004C78D8">
              <w:t>Fall Risk Increasing Drug</w:t>
            </w:r>
          </w:p>
        </w:tc>
      </w:tr>
      <w:tr w:rsidR="0025223A" w:rsidRPr="004C78D8" w14:paraId="404666A4" w14:textId="77777777" w:rsidTr="00150FED">
        <w:tc>
          <w:tcPr>
            <w:tcW w:w="1980" w:type="dxa"/>
          </w:tcPr>
          <w:p w14:paraId="6278D462" w14:textId="0C748DB5" w:rsidR="0025223A" w:rsidRPr="004C78D8" w:rsidRDefault="0025223A" w:rsidP="00FB7C1F">
            <w:r w:rsidRPr="004C78D8">
              <w:t>FRS</w:t>
            </w:r>
          </w:p>
        </w:tc>
        <w:tc>
          <w:tcPr>
            <w:tcW w:w="7036" w:type="dxa"/>
          </w:tcPr>
          <w:p w14:paraId="5078AB09" w14:textId="70618534" w:rsidR="0025223A" w:rsidRPr="004C78D8" w:rsidRDefault="0025223A" w:rsidP="00FB7C1F">
            <w:r w:rsidRPr="004C78D8">
              <w:t>Falls Risk Screening</w:t>
            </w:r>
          </w:p>
        </w:tc>
      </w:tr>
      <w:tr w:rsidR="009616E8" w:rsidRPr="004C78D8" w14:paraId="60EC86B1" w14:textId="77777777" w:rsidTr="00150FED">
        <w:tc>
          <w:tcPr>
            <w:tcW w:w="1980" w:type="dxa"/>
          </w:tcPr>
          <w:p w14:paraId="5D688418" w14:textId="1608CC97" w:rsidR="009616E8" w:rsidRPr="004C78D8" w:rsidRDefault="009616E8" w:rsidP="00FB7C1F">
            <w:r w:rsidRPr="004C78D8">
              <w:t>GBD</w:t>
            </w:r>
          </w:p>
        </w:tc>
        <w:tc>
          <w:tcPr>
            <w:tcW w:w="7036" w:type="dxa"/>
          </w:tcPr>
          <w:p w14:paraId="0DA07D1D" w14:textId="6A9D7619" w:rsidR="009616E8" w:rsidRPr="004C78D8" w:rsidRDefault="009616E8" w:rsidP="00FB7C1F">
            <w:r w:rsidRPr="004C78D8">
              <w:t>Global Burden of Disease</w:t>
            </w:r>
          </w:p>
        </w:tc>
      </w:tr>
      <w:tr w:rsidR="00150FED" w:rsidRPr="004C78D8" w14:paraId="0CADFAC2" w14:textId="77777777" w:rsidTr="00150FED">
        <w:tc>
          <w:tcPr>
            <w:tcW w:w="1980" w:type="dxa"/>
          </w:tcPr>
          <w:p w14:paraId="215B2175" w14:textId="77777777" w:rsidR="00150FED" w:rsidRPr="004C78D8" w:rsidRDefault="00150FED" w:rsidP="00FB7C1F">
            <w:r w:rsidRPr="004C78D8">
              <w:t>HAM</w:t>
            </w:r>
          </w:p>
        </w:tc>
        <w:tc>
          <w:tcPr>
            <w:tcW w:w="7036" w:type="dxa"/>
          </w:tcPr>
          <w:p w14:paraId="401F5288" w14:textId="77777777" w:rsidR="00150FED" w:rsidRPr="004C78D8" w:rsidRDefault="00150FED" w:rsidP="00FB7C1F">
            <w:r w:rsidRPr="004C78D8">
              <w:t>Home Assessment and Modification</w:t>
            </w:r>
          </w:p>
        </w:tc>
      </w:tr>
      <w:tr w:rsidR="004164A4" w:rsidRPr="004C78D8" w14:paraId="408F93EF" w14:textId="77777777" w:rsidTr="00150FED">
        <w:tc>
          <w:tcPr>
            <w:tcW w:w="1980" w:type="dxa"/>
          </w:tcPr>
          <w:p w14:paraId="250A9CA1" w14:textId="279D6669" w:rsidR="004164A4" w:rsidRPr="004C78D8" w:rsidRDefault="004164A4" w:rsidP="00FB7C1F">
            <w:r w:rsidRPr="004C78D8">
              <w:t>HES</w:t>
            </w:r>
          </w:p>
        </w:tc>
        <w:tc>
          <w:tcPr>
            <w:tcW w:w="7036" w:type="dxa"/>
          </w:tcPr>
          <w:p w14:paraId="23279519" w14:textId="07D7057B" w:rsidR="004164A4" w:rsidRPr="004C78D8" w:rsidRDefault="004164A4" w:rsidP="00FB7C1F">
            <w:r w:rsidRPr="004C78D8">
              <w:t>Hospital Episode Statistics</w:t>
            </w:r>
          </w:p>
        </w:tc>
      </w:tr>
      <w:tr w:rsidR="00150FED" w:rsidRPr="004C78D8" w14:paraId="02DDB173" w14:textId="77777777" w:rsidTr="00150FED">
        <w:tc>
          <w:tcPr>
            <w:tcW w:w="1980" w:type="dxa"/>
          </w:tcPr>
          <w:p w14:paraId="0979A5AB" w14:textId="77777777" w:rsidR="00150FED" w:rsidRPr="004C78D8" w:rsidRDefault="00150FED" w:rsidP="00FB7C1F">
            <w:r w:rsidRPr="004C78D8">
              <w:t>HNA</w:t>
            </w:r>
          </w:p>
        </w:tc>
        <w:tc>
          <w:tcPr>
            <w:tcW w:w="7036" w:type="dxa"/>
          </w:tcPr>
          <w:p w14:paraId="1AD545A6" w14:textId="77777777" w:rsidR="00150FED" w:rsidRPr="004C78D8" w:rsidRDefault="00150FED" w:rsidP="00FB7C1F">
            <w:r w:rsidRPr="004C78D8">
              <w:t>Health Needs Assessment</w:t>
            </w:r>
          </w:p>
        </w:tc>
      </w:tr>
      <w:tr w:rsidR="007B2AB3" w:rsidRPr="004C78D8" w14:paraId="147E379C" w14:textId="77777777" w:rsidTr="00150FED">
        <w:tc>
          <w:tcPr>
            <w:tcW w:w="1980" w:type="dxa"/>
          </w:tcPr>
          <w:p w14:paraId="07E83A0F" w14:textId="39081498" w:rsidR="007B2AB3" w:rsidRPr="004C78D8" w:rsidRDefault="007B2AB3" w:rsidP="00FB7C1F">
            <w:r w:rsidRPr="004C78D8">
              <w:t>HSE</w:t>
            </w:r>
          </w:p>
        </w:tc>
        <w:tc>
          <w:tcPr>
            <w:tcW w:w="7036" w:type="dxa"/>
          </w:tcPr>
          <w:p w14:paraId="7307FCE8" w14:textId="060AE9A2" w:rsidR="007B2AB3" w:rsidRPr="004C78D8" w:rsidRDefault="007B2AB3" w:rsidP="00FB7C1F">
            <w:r w:rsidRPr="004C78D8">
              <w:t>Health Survey for England</w:t>
            </w:r>
          </w:p>
        </w:tc>
      </w:tr>
      <w:tr w:rsidR="00150FED" w:rsidRPr="004C78D8" w14:paraId="6B76BCC6" w14:textId="77777777" w:rsidTr="00150FED">
        <w:tc>
          <w:tcPr>
            <w:tcW w:w="1980" w:type="dxa"/>
          </w:tcPr>
          <w:p w14:paraId="0DED287A" w14:textId="77777777" w:rsidR="00150FED" w:rsidRPr="004C78D8" w:rsidRDefault="00150FED" w:rsidP="00FB7C1F">
            <w:r w:rsidRPr="004C78D8">
              <w:t>HTA</w:t>
            </w:r>
          </w:p>
        </w:tc>
        <w:tc>
          <w:tcPr>
            <w:tcW w:w="7036" w:type="dxa"/>
          </w:tcPr>
          <w:p w14:paraId="5E367D6E" w14:textId="77777777" w:rsidR="00150FED" w:rsidRPr="004C78D8" w:rsidRDefault="00150FED" w:rsidP="00FB7C1F">
            <w:r w:rsidRPr="004C78D8">
              <w:t>Health Technology Assessment</w:t>
            </w:r>
          </w:p>
        </w:tc>
      </w:tr>
      <w:tr w:rsidR="00150FED" w:rsidRPr="004C78D8" w14:paraId="3A7C8800" w14:textId="77777777" w:rsidTr="00150FED">
        <w:tc>
          <w:tcPr>
            <w:tcW w:w="1980" w:type="dxa"/>
          </w:tcPr>
          <w:p w14:paraId="4534F3A3" w14:textId="77777777" w:rsidR="00150FED" w:rsidRPr="004C78D8" w:rsidRDefault="00150FED" w:rsidP="00FB7C1F">
            <w:r w:rsidRPr="004C78D8">
              <w:t>ICER</w:t>
            </w:r>
          </w:p>
        </w:tc>
        <w:tc>
          <w:tcPr>
            <w:tcW w:w="7036" w:type="dxa"/>
          </w:tcPr>
          <w:p w14:paraId="1B7389DC" w14:textId="77777777" w:rsidR="00150FED" w:rsidRPr="004C78D8" w:rsidRDefault="00150FED" w:rsidP="00FB7C1F">
            <w:r w:rsidRPr="004C78D8">
              <w:t>Incremental Cost-Effectiveness Ratio</w:t>
            </w:r>
          </w:p>
        </w:tc>
      </w:tr>
      <w:tr w:rsidR="005F7137" w:rsidRPr="004C78D8" w14:paraId="7F7E80CF" w14:textId="77777777" w:rsidTr="00150FED">
        <w:tc>
          <w:tcPr>
            <w:tcW w:w="1980" w:type="dxa"/>
          </w:tcPr>
          <w:p w14:paraId="3C23396B" w14:textId="05AD5494" w:rsidR="005F7137" w:rsidRPr="004C78D8" w:rsidRDefault="005F7137" w:rsidP="00FB7C1F">
            <w:r w:rsidRPr="004C78D8">
              <w:t>ICT</w:t>
            </w:r>
          </w:p>
        </w:tc>
        <w:tc>
          <w:tcPr>
            <w:tcW w:w="7036" w:type="dxa"/>
          </w:tcPr>
          <w:p w14:paraId="2E5EA220" w14:textId="6592647E" w:rsidR="005F7137" w:rsidRPr="004C78D8" w:rsidRDefault="005F7137" w:rsidP="00FB7C1F">
            <w:r w:rsidRPr="004C78D8">
              <w:t>Integrated Community Therapy</w:t>
            </w:r>
          </w:p>
        </w:tc>
      </w:tr>
      <w:tr w:rsidR="004B13D6" w:rsidRPr="004C78D8" w14:paraId="0C49725E" w14:textId="77777777" w:rsidTr="00150FED">
        <w:tc>
          <w:tcPr>
            <w:tcW w:w="1980" w:type="dxa"/>
          </w:tcPr>
          <w:p w14:paraId="5C0FE9ED" w14:textId="5CEBCEFA" w:rsidR="004B13D6" w:rsidRPr="004C78D8" w:rsidRDefault="004B13D6" w:rsidP="00FB7C1F">
            <w:r w:rsidRPr="004C78D8">
              <w:t>INHB</w:t>
            </w:r>
          </w:p>
        </w:tc>
        <w:tc>
          <w:tcPr>
            <w:tcW w:w="7036" w:type="dxa"/>
          </w:tcPr>
          <w:p w14:paraId="698E1F08" w14:textId="0B9561B8" w:rsidR="004B13D6" w:rsidRPr="004C78D8" w:rsidRDefault="004B13D6" w:rsidP="00FB7C1F">
            <w:r w:rsidRPr="004C78D8">
              <w:t>Incremental Net Health Benefit</w:t>
            </w:r>
          </w:p>
        </w:tc>
      </w:tr>
      <w:tr w:rsidR="00150FED" w:rsidRPr="004C78D8" w14:paraId="2D63CD77" w14:textId="77777777" w:rsidTr="00150FED">
        <w:tc>
          <w:tcPr>
            <w:tcW w:w="1980" w:type="dxa"/>
          </w:tcPr>
          <w:p w14:paraId="567A41FD" w14:textId="77777777" w:rsidR="00150FED" w:rsidRPr="004C78D8" w:rsidRDefault="00150FED" w:rsidP="00FB7C1F">
            <w:r w:rsidRPr="004C78D8">
              <w:lastRenderedPageBreak/>
              <w:t>INMB</w:t>
            </w:r>
          </w:p>
        </w:tc>
        <w:tc>
          <w:tcPr>
            <w:tcW w:w="7036" w:type="dxa"/>
          </w:tcPr>
          <w:p w14:paraId="2B426685" w14:textId="77777777" w:rsidR="00150FED" w:rsidRPr="004C78D8" w:rsidRDefault="00150FED" w:rsidP="00FB7C1F">
            <w:r w:rsidRPr="004C78D8">
              <w:t>Incremental Net Monetary Benefit</w:t>
            </w:r>
          </w:p>
        </w:tc>
      </w:tr>
      <w:tr w:rsidR="00EE2B73" w:rsidRPr="004C78D8" w14:paraId="1F5F3EFB" w14:textId="77777777" w:rsidTr="00150FED">
        <w:tc>
          <w:tcPr>
            <w:tcW w:w="1980" w:type="dxa"/>
          </w:tcPr>
          <w:p w14:paraId="08993A07" w14:textId="33D1180E" w:rsidR="00EE2B73" w:rsidRPr="004C78D8" w:rsidRDefault="00EE2B73" w:rsidP="00FB7C1F">
            <w:r w:rsidRPr="004C78D8">
              <w:t>Int</w:t>
            </w:r>
            <w:r w:rsidR="00F0043D" w:rsidRPr="004C78D8">
              <w:t>.</w:t>
            </w:r>
          </w:p>
        </w:tc>
        <w:tc>
          <w:tcPr>
            <w:tcW w:w="7036" w:type="dxa"/>
          </w:tcPr>
          <w:p w14:paraId="7953CFFE" w14:textId="7CC0EC7C" w:rsidR="00EE2B73" w:rsidRPr="004C78D8" w:rsidRDefault="00EE2B73" w:rsidP="00FB7C1F">
            <w:r w:rsidRPr="004C78D8">
              <w:t>Intervention</w:t>
            </w:r>
          </w:p>
        </w:tc>
      </w:tr>
      <w:tr w:rsidR="00C70027" w:rsidRPr="004C78D8" w14:paraId="56AFAFDF" w14:textId="77777777" w:rsidTr="00150FED">
        <w:tc>
          <w:tcPr>
            <w:tcW w:w="1980" w:type="dxa"/>
          </w:tcPr>
          <w:p w14:paraId="764ADF6D" w14:textId="7B26F9DB" w:rsidR="00C70027" w:rsidRPr="004C78D8" w:rsidRDefault="00C70027" w:rsidP="00FB7C1F">
            <w:r w:rsidRPr="004C78D8">
              <w:t>ISPOR</w:t>
            </w:r>
          </w:p>
        </w:tc>
        <w:tc>
          <w:tcPr>
            <w:tcW w:w="7036" w:type="dxa"/>
          </w:tcPr>
          <w:p w14:paraId="316A50EF" w14:textId="214C4CC2" w:rsidR="00C70027" w:rsidRPr="004C78D8" w:rsidRDefault="00C70027" w:rsidP="00FB7C1F">
            <w:r w:rsidRPr="004C78D8">
              <w:t>International Society for Pharmacoeconomics and Outcomes Research</w:t>
            </w:r>
          </w:p>
        </w:tc>
      </w:tr>
      <w:tr w:rsidR="00F0043D" w:rsidRPr="004C78D8" w14:paraId="72655093" w14:textId="77777777" w:rsidTr="00150FED">
        <w:tc>
          <w:tcPr>
            <w:tcW w:w="1980" w:type="dxa"/>
          </w:tcPr>
          <w:p w14:paraId="17BA6771" w14:textId="6E8514BB" w:rsidR="00F0043D" w:rsidRPr="004C78D8" w:rsidRDefault="00F0043D" w:rsidP="00FB7C1F">
            <w:r w:rsidRPr="004C78D8">
              <w:t>ITT</w:t>
            </w:r>
          </w:p>
        </w:tc>
        <w:tc>
          <w:tcPr>
            <w:tcW w:w="7036" w:type="dxa"/>
          </w:tcPr>
          <w:p w14:paraId="651F073B" w14:textId="72EB4848" w:rsidR="00F0043D" w:rsidRPr="004C78D8" w:rsidRDefault="00F0043D" w:rsidP="00FB7C1F">
            <w:r w:rsidRPr="004C78D8">
              <w:t>Intention-To-Treat</w:t>
            </w:r>
          </w:p>
        </w:tc>
      </w:tr>
      <w:tr w:rsidR="0048342E" w:rsidRPr="004C78D8" w14:paraId="6399C18F" w14:textId="77777777" w:rsidTr="00150FED">
        <w:tc>
          <w:tcPr>
            <w:tcW w:w="1980" w:type="dxa"/>
          </w:tcPr>
          <w:p w14:paraId="52D34AC0" w14:textId="4DED70AC" w:rsidR="0048342E" w:rsidRPr="004C78D8" w:rsidRDefault="0048342E" w:rsidP="00FB7C1F">
            <w:r w:rsidRPr="004C78D8">
              <w:t>LED</w:t>
            </w:r>
          </w:p>
        </w:tc>
        <w:tc>
          <w:tcPr>
            <w:tcW w:w="7036" w:type="dxa"/>
          </w:tcPr>
          <w:p w14:paraId="0EE789AF" w14:textId="5EA5440B" w:rsidR="0048342E" w:rsidRPr="004C78D8" w:rsidRDefault="0048342E" w:rsidP="00FB7C1F">
            <w:r w:rsidRPr="004C78D8">
              <w:t>Life Expectancy Differential</w:t>
            </w:r>
          </w:p>
        </w:tc>
      </w:tr>
      <w:tr w:rsidR="00150FED" w:rsidRPr="004C78D8" w14:paraId="1CD352DD" w14:textId="77777777" w:rsidTr="00150FED">
        <w:tc>
          <w:tcPr>
            <w:tcW w:w="1980" w:type="dxa"/>
          </w:tcPr>
          <w:p w14:paraId="68CE1D34" w14:textId="77777777" w:rsidR="00150FED" w:rsidRPr="004C78D8" w:rsidRDefault="00150FED" w:rsidP="00FB7C1F">
            <w:r w:rsidRPr="004C78D8">
              <w:t>LTC</w:t>
            </w:r>
          </w:p>
        </w:tc>
        <w:tc>
          <w:tcPr>
            <w:tcW w:w="7036" w:type="dxa"/>
          </w:tcPr>
          <w:p w14:paraId="46433EF7" w14:textId="77777777" w:rsidR="00150FED" w:rsidRPr="004C78D8" w:rsidRDefault="00150FED" w:rsidP="00FB7C1F">
            <w:r w:rsidRPr="004C78D8">
              <w:t>Long-Term Care</w:t>
            </w:r>
          </w:p>
        </w:tc>
      </w:tr>
      <w:tr w:rsidR="00150FED" w:rsidRPr="004C78D8" w14:paraId="15F46063" w14:textId="77777777" w:rsidTr="00150FED">
        <w:tc>
          <w:tcPr>
            <w:tcW w:w="1980" w:type="dxa"/>
          </w:tcPr>
          <w:p w14:paraId="721EA68C" w14:textId="77777777" w:rsidR="00150FED" w:rsidRPr="004C78D8" w:rsidRDefault="00150FED" w:rsidP="00FB7C1F">
            <w:r w:rsidRPr="004C78D8">
              <w:t>MA fall</w:t>
            </w:r>
          </w:p>
        </w:tc>
        <w:tc>
          <w:tcPr>
            <w:tcW w:w="7036" w:type="dxa"/>
          </w:tcPr>
          <w:p w14:paraId="1CE846E4" w14:textId="2202F4B4" w:rsidR="00150FED" w:rsidRPr="004C78D8" w:rsidRDefault="000D56E8" w:rsidP="00FB7C1F">
            <w:r w:rsidRPr="004C78D8">
              <w:t>F</w:t>
            </w:r>
            <w:r w:rsidR="00150FED" w:rsidRPr="004C78D8">
              <w:t>all requiring Medical Attention</w:t>
            </w:r>
          </w:p>
        </w:tc>
      </w:tr>
      <w:tr w:rsidR="005E2745" w:rsidRPr="004C78D8" w14:paraId="34F37678" w14:textId="77777777" w:rsidTr="00150FED">
        <w:tc>
          <w:tcPr>
            <w:tcW w:w="1980" w:type="dxa"/>
          </w:tcPr>
          <w:p w14:paraId="38F25EE3" w14:textId="16F9AAF1" w:rsidR="005E2745" w:rsidRPr="004C78D8" w:rsidRDefault="005E2745" w:rsidP="00FB7C1F">
            <w:r w:rsidRPr="004C78D8">
              <w:t>MC int.</w:t>
            </w:r>
          </w:p>
        </w:tc>
        <w:tc>
          <w:tcPr>
            <w:tcW w:w="7036" w:type="dxa"/>
          </w:tcPr>
          <w:p w14:paraId="452EF17F" w14:textId="31B0FF80" w:rsidR="005E2745" w:rsidRPr="004C78D8" w:rsidRDefault="005E2745" w:rsidP="00FB7C1F">
            <w:r w:rsidRPr="004C78D8">
              <w:t>Multiple-Component intervention</w:t>
            </w:r>
          </w:p>
        </w:tc>
      </w:tr>
      <w:tr w:rsidR="005E2745" w:rsidRPr="004C78D8" w14:paraId="465DD6FC" w14:textId="77777777" w:rsidTr="00150FED">
        <w:tc>
          <w:tcPr>
            <w:tcW w:w="1980" w:type="dxa"/>
          </w:tcPr>
          <w:p w14:paraId="077F0AD7" w14:textId="46A1C6F3" w:rsidR="005E2745" w:rsidRPr="004C78D8" w:rsidRDefault="005E2745" w:rsidP="00FB7C1F">
            <w:r w:rsidRPr="004C78D8">
              <w:t>MF int.</w:t>
            </w:r>
          </w:p>
        </w:tc>
        <w:tc>
          <w:tcPr>
            <w:tcW w:w="7036" w:type="dxa"/>
          </w:tcPr>
          <w:p w14:paraId="2FCF7F92" w14:textId="2E3CF3EC" w:rsidR="005E2745" w:rsidRPr="004C78D8" w:rsidRDefault="005E2745" w:rsidP="00FB7C1F">
            <w:r w:rsidRPr="004C78D8">
              <w:t>Multifactorial intervention</w:t>
            </w:r>
          </w:p>
        </w:tc>
      </w:tr>
      <w:tr w:rsidR="009A5410" w:rsidRPr="004C78D8" w14:paraId="7425AD5B" w14:textId="77777777" w:rsidTr="00150FED">
        <w:tc>
          <w:tcPr>
            <w:tcW w:w="1980" w:type="dxa"/>
          </w:tcPr>
          <w:p w14:paraId="41715BA3" w14:textId="5113C560" w:rsidR="009A5410" w:rsidRPr="004C78D8" w:rsidRDefault="009A5410" w:rsidP="00FB7C1F">
            <w:r w:rsidRPr="004C78D8">
              <w:t>MMSE</w:t>
            </w:r>
          </w:p>
        </w:tc>
        <w:tc>
          <w:tcPr>
            <w:tcW w:w="7036" w:type="dxa"/>
          </w:tcPr>
          <w:p w14:paraId="34D540DA" w14:textId="78E980BF" w:rsidR="009A5410" w:rsidRPr="004C78D8" w:rsidRDefault="009A5410" w:rsidP="00FB7C1F">
            <w:r w:rsidRPr="004C78D8">
              <w:t>Mini-Mental State Examination</w:t>
            </w:r>
          </w:p>
        </w:tc>
      </w:tr>
      <w:tr w:rsidR="00150FED" w:rsidRPr="004C78D8" w14:paraId="1FBD9F78" w14:textId="77777777" w:rsidTr="00150FED">
        <w:tc>
          <w:tcPr>
            <w:tcW w:w="1980" w:type="dxa"/>
          </w:tcPr>
          <w:p w14:paraId="5B227B59" w14:textId="77777777" w:rsidR="00150FED" w:rsidRPr="004C78D8" w:rsidRDefault="00150FED" w:rsidP="00FB7C1F">
            <w:r w:rsidRPr="004C78D8">
              <w:t>NCD</w:t>
            </w:r>
          </w:p>
        </w:tc>
        <w:tc>
          <w:tcPr>
            <w:tcW w:w="7036" w:type="dxa"/>
          </w:tcPr>
          <w:p w14:paraId="54E2E6D0" w14:textId="77777777" w:rsidR="00150FED" w:rsidRPr="004C78D8" w:rsidRDefault="00150FED" w:rsidP="00FB7C1F">
            <w:r w:rsidRPr="004C78D8">
              <w:t>Non-Communicable Disease</w:t>
            </w:r>
          </w:p>
        </w:tc>
      </w:tr>
      <w:tr w:rsidR="00150FED" w:rsidRPr="004C78D8" w14:paraId="74ED0541" w14:textId="77777777" w:rsidTr="00150FED">
        <w:tc>
          <w:tcPr>
            <w:tcW w:w="1980" w:type="dxa"/>
          </w:tcPr>
          <w:p w14:paraId="489B7345" w14:textId="77777777" w:rsidR="00150FED" w:rsidRPr="004C78D8" w:rsidRDefault="00150FED" w:rsidP="00FB7C1F">
            <w:r w:rsidRPr="004C78D8">
              <w:t>NHS</w:t>
            </w:r>
          </w:p>
        </w:tc>
        <w:tc>
          <w:tcPr>
            <w:tcW w:w="7036" w:type="dxa"/>
          </w:tcPr>
          <w:p w14:paraId="0EA1EC25" w14:textId="77777777" w:rsidR="00150FED" w:rsidRPr="004C78D8" w:rsidRDefault="00150FED" w:rsidP="00FB7C1F">
            <w:r w:rsidRPr="004C78D8">
              <w:t>National Health Service</w:t>
            </w:r>
          </w:p>
        </w:tc>
      </w:tr>
      <w:tr w:rsidR="00150FED" w:rsidRPr="004C78D8" w14:paraId="5DA9F62C" w14:textId="77777777" w:rsidTr="00150FED">
        <w:tc>
          <w:tcPr>
            <w:tcW w:w="1980" w:type="dxa"/>
          </w:tcPr>
          <w:p w14:paraId="43EF8932" w14:textId="77777777" w:rsidR="00150FED" w:rsidRPr="004C78D8" w:rsidRDefault="00150FED" w:rsidP="00FB7C1F">
            <w:r w:rsidRPr="004C78D8">
              <w:t>NICE</w:t>
            </w:r>
          </w:p>
        </w:tc>
        <w:tc>
          <w:tcPr>
            <w:tcW w:w="7036" w:type="dxa"/>
          </w:tcPr>
          <w:p w14:paraId="576F234C" w14:textId="77777777" w:rsidR="00150FED" w:rsidRPr="004C78D8" w:rsidRDefault="00150FED" w:rsidP="00FB7C1F">
            <w:r w:rsidRPr="004C78D8">
              <w:t>National Institute for Health and Care Excellence</w:t>
            </w:r>
          </w:p>
        </w:tc>
      </w:tr>
      <w:tr w:rsidR="004B1352" w:rsidRPr="004C78D8" w14:paraId="676B9650" w14:textId="77777777" w:rsidTr="00150FED">
        <w:tc>
          <w:tcPr>
            <w:tcW w:w="1980" w:type="dxa"/>
          </w:tcPr>
          <w:p w14:paraId="2620DC4D" w14:textId="70CC4FF6" w:rsidR="004B1352" w:rsidRPr="004C78D8" w:rsidRDefault="004B1352" w:rsidP="00FB7C1F">
            <w:r w:rsidRPr="004C78D8">
              <w:t>OMAS</w:t>
            </w:r>
          </w:p>
        </w:tc>
        <w:tc>
          <w:tcPr>
            <w:tcW w:w="7036" w:type="dxa"/>
          </w:tcPr>
          <w:p w14:paraId="55B04C4A" w14:textId="2467319A" w:rsidR="004B1352" w:rsidRPr="004C78D8" w:rsidRDefault="004B1352" w:rsidP="00FB7C1F">
            <w:r w:rsidRPr="004C78D8">
              <w:t>Ontario Medical Advisory Secretariat</w:t>
            </w:r>
          </w:p>
        </w:tc>
      </w:tr>
      <w:tr w:rsidR="00DD466D" w:rsidRPr="004C78D8" w14:paraId="69360AE4" w14:textId="77777777" w:rsidTr="00150FED">
        <w:tc>
          <w:tcPr>
            <w:tcW w:w="1980" w:type="dxa"/>
          </w:tcPr>
          <w:p w14:paraId="0EDF53A1" w14:textId="39CADC63" w:rsidR="00DD466D" w:rsidRPr="004C78D8" w:rsidRDefault="00DD466D" w:rsidP="00FB7C1F">
            <w:r w:rsidRPr="004C78D8">
              <w:t>ONS</w:t>
            </w:r>
          </w:p>
        </w:tc>
        <w:tc>
          <w:tcPr>
            <w:tcW w:w="7036" w:type="dxa"/>
          </w:tcPr>
          <w:p w14:paraId="2897F8F1" w14:textId="2D205A04" w:rsidR="00DD466D" w:rsidRPr="004C78D8" w:rsidRDefault="00DD466D" w:rsidP="00FB7C1F">
            <w:r w:rsidRPr="004C78D8">
              <w:t>Office for National Statistics</w:t>
            </w:r>
          </w:p>
        </w:tc>
      </w:tr>
      <w:tr w:rsidR="00150FED" w:rsidRPr="004C78D8" w14:paraId="1C1D0E83" w14:textId="77777777" w:rsidTr="00150FED">
        <w:tc>
          <w:tcPr>
            <w:tcW w:w="1980" w:type="dxa"/>
          </w:tcPr>
          <w:p w14:paraId="5C55CE79" w14:textId="77777777" w:rsidR="00150FED" w:rsidRPr="004C78D8" w:rsidRDefault="00150FED" w:rsidP="00FB7C1F">
            <w:r w:rsidRPr="004C78D8">
              <w:t>OOP</w:t>
            </w:r>
          </w:p>
        </w:tc>
        <w:tc>
          <w:tcPr>
            <w:tcW w:w="7036" w:type="dxa"/>
          </w:tcPr>
          <w:p w14:paraId="62DEE5A6" w14:textId="77777777" w:rsidR="00150FED" w:rsidRPr="004C78D8" w:rsidRDefault="00150FED" w:rsidP="00FB7C1F">
            <w:r w:rsidRPr="004C78D8">
              <w:t>Out-Of-Pocket</w:t>
            </w:r>
          </w:p>
        </w:tc>
      </w:tr>
      <w:tr w:rsidR="00150FED" w:rsidRPr="004C78D8" w14:paraId="1AA59B08" w14:textId="77777777" w:rsidTr="00150FED">
        <w:tc>
          <w:tcPr>
            <w:tcW w:w="1980" w:type="dxa"/>
          </w:tcPr>
          <w:p w14:paraId="21C27F13" w14:textId="77777777" w:rsidR="00150FED" w:rsidRPr="004C78D8" w:rsidRDefault="00150FED" w:rsidP="00FB7C1F">
            <w:r w:rsidRPr="004C78D8">
              <w:t>OT</w:t>
            </w:r>
          </w:p>
        </w:tc>
        <w:tc>
          <w:tcPr>
            <w:tcW w:w="7036" w:type="dxa"/>
          </w:tcPr>
          <w:p w14:paraId="3D91BA51" w14:textId="77777777" w:rsidR="00150FED" w:rsidRPr="004C78D8" w:rsidRDefault="00150FED" w:rsidP="00FB7C1F">
            <w:r w:rsidRPr="004C78D8">
              <w:t>Occupational Therapy</w:t>
            </w:r>
          </w:p>
        </w:tc>
      </w:tr>
      <w:tr w:rsidR="00E55B8A" w:rsidRPr="004C78D8" w14:paraId="32D331D0" w14:textId="77777777" w:rsidTr="00150FED">
        <w:tc>
          <w:tcPr>
            <w:tcW w:w="1980" w:type="dxa"/>
          </w:tcPr>
          <w:p w14:paraId="6E10F348" w14:textId="6374FAFF" w:rsidR="00E55B8A" w:rsidRPr="004C78D8" w:rsidRDefault="00E55B8A" w:rsidP="00FB7C1F">
            <w:r w:rsidRPr="004C78D8">
              <w:t>PA</w:t>
            </w:r>
          </w:p>
        </w:tc>
        <w:tc>
          <w:tcPr>
            <w:tcW w:w="7036" w:type="dxa"/>
          </w:tcPr>
          <w:p w14:paraId="1B51F93C" w14:textId="6E510E23" w:rsidR="00E55B8A" w:rsidRPr="004C78D8" w:rsidRDefault="00E55B8A" w:rsidP="00FB7C1F">
            <w:r w:rsidRPr="004C78D8">
              <w:t>Physical Activity</w:t>
            </w:r>
          </w:p>
        </w:tc>
      </w:tr>
      <w:tr w:rsidR="00150FED" w:rsidRPr="004C78D8" w14:paraId="7E2F57C2" w14:textId="77777777" w:rsidTr="00150FED">
        <w:tc>
          <w:tcPr>
            <w:tcW w:w="1980" w:type="dxa"/>
          </w:tcPr>
          <w:p w14:paraId="5E394112" w14:textId="77777777" w:rsidR="00150FED" w:rsidRPr="004C78D8" w:rsidRDefault="00150FED" w:rsidP="00FB7C1F">
            <w:r w:rsidRPr="004C78D8">
              <w:t>PHE</w:t>
            </w:r>
          </w:p>
        </w:tc>
        <w:tc>
          <w:tcPr>
            <w:tcW w:w="7036" w:type="dxa"/>
          </w:tcPr>
          <w:p w14:paraId="55822E19" w14:textId="77777777" w:rsidR="00150FED" w:rsidRPr="004C78D8" w:rsidRDefault="00150FED" w:rsidP="00FB7C1F">
            <w:r w:rsidRPr="004C78D8">
              <w:t>Public Health England</w:t>
            </w:r>
          </w:p>
        </w:tc>
      </w:tr>
      <w:tr w:rsidR="00150FED" w:rsidRPr="004C78D8" w14:paraId="64731E35" w14:textId="77777777" w:rsidTr="00150FED">
        <w:tc>
          <w:tcPr>
            <w:tcW w:w="1980" w:type="dxa"/>
          </w:tcPr>
          <w:p w14:paraId="7946B625" w14:textId="77777777" w:rsidR="00150FED" w:rsidRPr="004C78D8" w:rsidRDefault="00150FED" w:rsidP="00FB7C1F">
            <w:r w:rsidRPr="004C78D8">
              <w:t>PHP</w:t>
            </w:r>
          </w:p>
        </w:tc>
        <w:tc>
          <w:tcPr>
            <w:tcW w:w="7036" w:type="dxa"/>
          </w:tcPr>
          <w:p w14:paraId="28C68F45" w14:textId="77777777" w:rsidR="00150FED" w:rsidRPr="004C78D8" w:rsidRDefault="00150FED" w:rsidP="00FB7C1F">
            <w:r w:rsidRPr="004C78D8">
              <w:t>Public Health Principal</w:t>
            </w:r>
          </w:p>
        </w:tc>
      </w:tr>
      <w:tr w:rsidR="00150FED" w:rsidRPr="004C78D8" w14:paraId="3E0A5FB9" w14:textId="77777777" w:rsidTr="00150FED">
        <w:tc>
          <w:tcPr>
            <w:tcW w:w="1980" w:type="dxa"/>
          </w:tcPr>
          <w:p w14:paraId="2F5AD6C8" w14:textId="77777777" w:rsidR="00150FED" w:rsidRPr="004C78D8" w:rsidRDefault="00150FED" w:rsidP="00FB7C1F">
            <w:r w:rsidRPr="004C78D8">
              <w:t>PMG</w:t>
            </w:r>
          </w:p>
        </w:tc>
        <w:tc>
          <w:tcPr>
            <w:tcW w:w="7036" w:type="dxa"/>
          </w:tcPr>
          <w:p w14:paraId="4AEE9657" w14:textId="77777777" w:rsidR="00150FED" w:rsidRPr="004C78D8" w:rsidRDefault="00150FED" w:rsidP="00FB7C1F">
            <w:r w:rsidRPr="004C78D8">
              <w:t>Process and Methods Guideline</w:t>
            </w:r>
          </w:p>
        </w:tc>
      </w:tr>
      <w:tr w:rsidR="00267EA5" w:rsidRPr="004C78D8" w14:paraId="7FBDBB77" w14:textId="77777777" w:rsidTr="00150FED">
        <w:tc>
          <w:tcPr>
            <w:tcW w:w="1980" w:type="dxa"/>
          </w:tcPr>
          <w:p w14:paraId="700E2827" w14:textId="42F8F9A0" w:rsidR="00267EA5" w:rsidRPr="004C78D8" w:rsidRDefault="00267EA5" w:rsidP="00FB7C1F">
            <w:r w:rsidRPr="004C78D8">
              <w:t>PPP</w:t>
            </w:r>
          </w:p>
        </w:tc>
        <w:tc>
          <w:tcPr>
            <w:tcW w:w="7036" w:type="dxa"/>
          </w:tcPr>
          <w:p w14:paraId="6A274638" w14:textId="0495C046" w:rsidR="00267EA5" w:rsidRPr="004C78D8" w:rsidRDefault="00267EA5" w:rsidP="00FB7C1F">
            <w:r w:rsidRPr="004C78D8">
              <w:rPr>
                <w:lang w:val="en-US"/>
              </w:rPr>
              <w:t>Purchasing Power Parity</w:t>
            </w:r>
          </w:p>
        </w:tc>
      </w:tr>
      <w:tr w:rsidR="00B4739B" w:rsidRPr="004C78D8" w14:paraId="0DA3864C" w14:textId="77777777" w:rsidTr="00150FED">
        <w:tc>
          <w:tcPr>
            <w:tcW w:w="1980" w:type="dxa"/>
          </w:tcPr>
          <w:p w14:paraId="6F2E26DE" w14:textId="052FDAFA" w:rsidR="00B4739B" w:rsidRPr="004C78D8" w:rsidRDefault="00B4739B" w:rsidP="00FB7C1F">
            <w:r w:rsidRPr="004C78D8">
              <w:t>PRISMA</w:t>
            </w:r>
          </w:p>
        </w:tc>
        <w:tc>
          <w:tcPr>
            <w:tcW w:w="7036" w:type="dxa"/>
          </w:tcPr>
          <w:p w14:paraId="589600A4" w14:textId="17F06EBB" w:rsidR="00B4739B" w:rsidRPr="004C78D8" w:rsidRDefault="00B4739B" w:rsidP="00FB7C1F">
            <w:r w:rsidRPr="004C78D8">
              <w:t>Preferred Reporting Items for Systematic Reviews and Meta-Analyse</w:t>
            </w:r>
          </w:p>
        </w:tc>
      </w:tr>
      <w:tr w:rsidR="00150FED" w:rsidRPr="004C78D8" w14:paraId="059CFE2B" w14:textId="77777777" w:rsidTr="00150FED">
        <w:tc>
          <w:tcPr>
            <w:tcW w:w="1980" w:type="dxa"/>
          </w:tcPr>
          <w:p w14:paraId="2F070710" w14:textId="77777777" w:rsidR="00150FED" w:rsidRPr="004C78D8" w:rsidRDefault="00150FED" w:rsidP="00FB7C1F">
            <w:r w:rsidRPr="004C78D8">
              <w:t>PSA</w:t>
            </w:r>
          </w:p>
        </w:tc>
        <w:tc>
          <w:tcPr>
            <w:tcW w:w="7036" w:type="dxa"/>
          </w:tcPr>
          <w:p w14:paraId="3BA6B5E6" w14:textId="77777777" w:rsidR="00150FED" w:rsidRPr="004C78D8" w:rsidRDefault="00150FED" w:rsidP="00FB7C1F">
            <w:r w:rsidRPr="004C78D8">
              <w:t>Probabilistic Sensitivity Analysis</w:t>
            </w:r>
          </w:p>
        </w:tc>
      </w:tr>
      <w:tr w:rsidR="00A379D3" w:rsidRPr="004C78D8" w14:paraId="30794C6A" w14:textId="77777777" w:rsidTr="00150FED">
        <w:tc>
          <w:tcPr>
            <w:tcW w:w="1980" w:type="dxa"/>
          </w:tcPr>
          <w:p w14:paraId="4DA083FC" w14:textId="77E1DC4E" w:rsidR="00A379D3" w:rsidRPr="004C78D8" w:rsidRDefault="00A379D3" w:rsidP="00FB7C1F">
            <w:r w:rsidRPr="004C78D8">
              <w:t>PSI</w:t>
            </w:r>
          </w:p>
        </w:tc>
        <w:tc>
          <w:tcPr>
            <w:tcW w:w="7036" w:type="dxa"/>
          </w:tcPr>
          <w:p w14:paraId="21F433F0" w14:textId="31C6850F" w:rsidR="00A379D3" w:rsidRPr="004C78D8" w:rsidRDefault="00A379D3" w:rsidP="00FB7C1F">
            <w:r w:rsidRPr="004C78D8">
              <w:t>Postural Stability Instructor</w:t>
            </w:r>
          </w:p>
        </w:tc>
      </w:tr>
      <w:tr w:rsidR="00150FED" w:rsidRPr="004C78D8" w14:paraId="135FE8E7" w14:textId="77777777" w:rsidTr="00150FED">
        <w:tc>
          <w:tcPr>
            <w:tcW w:w="1980" w:type="dxa"/>
          </w:tcPr>
          <w:p w14:paraId="72CF6147" w14:textId="77777777" w:rsidR="00150FED" w:rsidRPr="004C78D8" w:rsidRDefault="00150FED" w:rsidP="00FB7C1F">
            <w:r w:rsidRPr="004C78D8">
              <w:t>PSS</w:t>
            </w:r>
          </w:p>
        </w:tc>
        <w:tc>
          <w:tcPr>
            <w:tcW w:w="7036" w:type="dxa"/>
          </w:tcPr>
          <w:p w14:paraId="18D3E0B3" w14:textId="77777777" w:rsidR="00150FED" w:rsidRPr="004C78D8" w:rsidRDefault="00150FED" w:rsidP="00FB7C1F">
            <w:r w:rsidRPr="004C78D8">
              <w:t>Personal Social Services</w:t>
            </w:r>
          </w:p>
        </w:tc>
      </w:tr>
      <w:tr w:rsidR="00E00B23" w:rsidRPr="004C78D8" w14:paraId="0003F15F" w14:textId="77777777" w:rsidTr="00150FED">
        <w:tc>
          <w:tcPr>
            <w:tcW w:w="1980" w:type="dxa"/>
          </w:tcPr>
          <w:p w14:paraId="6F0199E6" w14:textId="5D3E403B" w:rsidR="00E00B23" w:rsidRPr="004C78D8" w:rsidRDefault="00E00B23" w:rsidP="00FB7C1F">
            <w:r w:rsidRPr="004C78D8">
              <w:t>PSSRU</w:t>
            </w:r>
          </w:p>
        </w:tc>
        <w:tc>
          <w:tcPr>
            <w:tcW w:w="7036" w:type="dxa"/>
          </w:tcPr>
          <w:p w14:paraId="2B79F049" w14:textId="43FBE27F" w:rsidR="00E00B23" w:rsidRPr="004C78D8" w:rsidRDefault="00E00B23" w:rsidP="00FB7C1F">
            <w:r w:rsidRPr="004C78D8">
              <w:t>Personal Social Services Research Unit</w:t>
            </w:r>
          </w:p>
        </w:tc>
      </w:tr>
      <w:tr w:rsidR="00150FED" w:rsidRPr="004C78D8" w14:paraId="14FE8A9C" w14:textId="77777777" w:rsidTr="00150FED">
        <w:tc>
          <w:tcPr>
            <w:tcW w:w="1980" w:type="dxa"/>
          </w:tcPr>
          <w:p w14:paraId="6176B065" w14:textId="77777777" w:rsidR="00150FED" w:rsidRPr="004C78D8" w:rsidRDefault="00150FED" w:rsidP="00FB7C1F">
            <w:r w:rsidRPr="004C78D8">
              <w:t>PT</w:t>
            </w:r>
          </w:p>
        </w:tc>
        <w:tc>
          <w:tcPr>
            <w:tcW w:w="7036" w:type="dxa"/>
          </w:tcPr>
          <w:p w14:paraId="215A01AA" w14:textId="77777777" w:rsidR="00150FED" w:rsidRPr="004C78D8" w:rsidRDefault="00150FED" w:rsidP="00FB7C1F">
            <w:r w:rsidRPr="004C78D8">
              <w:t>Physiotherapy</w:t>
            </w:r>
          </w:p>
        </w:tc>
      </w:tr>
      <w:tr w:rsidR="00150FED" w:rsidRPr="004C78D8" w14:paraId="6B165FC9" w14:textId="77777777" w:rsidTr="00150FED">
        <w:tc>
          <w:tcPr>
            <w:tcW w:w="1980" w:type="dxa"/>
          </w:tcPr>
          <w:p w14:paraId="041850D3" w14:textId="77777777" w:rsidR="00150FED" w:rsidRPr="004C78D8" w:rsidRDefault="00150FED" w:rsidP="00FB7C1F">
            <w:r w:rsidRPr="004C78D8">
              <w:t>QALY</w:t>
            </w:r>
          </w:p>
        </w:tc>
        <w:tc>
          <w:tcPr>
            <w:tcW w:w="7036" w:type="dxa"/>
          </w:tcPr>
          <w:p w14:paraId="33E17370" w14:textId="77777777" w:rsidR="00150FED" w:rsidRPr="004C78D8" w:rsidRDefault="00150FED" w:rsidP="00FB7C1F">
            <w:r w:rsidRPr="004C78D8">
              <w:t>Quality-Adjusted Life Year</w:t>
            </w:r>
          </w:p>
        </w:tc>
      </w:tr>
      <w:tr w:rsidR="00C00F56" w:rsidRPr="004C78D8" w14:paraId="4AAD4BA4" w14:textId="77777777" w:rsidTr="00150FED">
        <w:tc>
          <w:tcPr>
            <w:tcW w:w="1980" w:type="dxa"/>
          </w:tcPr>
          <w:p w14:paraId="782970C5" w14:textId="03B1BC75" w:rsidR="00C00F56" w:rsidRPr="004C78D8" w:rsidRDefault="00C00F56" w:rsidP="00FB7C1F">
            <w:r w:rsidRPr="004C78D8">
              <w:t>QTUG</w:t>
            </w:r>
          </w:p>
        </w:tc>
        <w:tc>
          <w:tcPr>
            <w:tcW w:w="7036" w:type="dxa"/>
          </w:tcPr>
          <w:p w14:paraId="68D83D1C" w14:textId="77FD6505" w:rsidR="00C00F56" w:rsidRPr="004C78D8" w:rsidRDefault="00C00F56" w:rsidP="00FB7C1F">
            <w:r w:rsidRPr="004C78D8">
              <w:t>Quantitative Timed Up-and-Go</w:t>
            </w:r>
          </w:p>
        </w:tc>
      </w:tr>
      <w:tr w:rsidR="00606EF8" w:rsidRPr="004C78D8" w14:paraId="145CF077" w14:textId="77777777" w:rsidTr="00150FED">
        <w:tc>
          <w:tcPr>
            <w:tcW w:w="1980" w:type="dxa"/>
          </w:tcPr>
          <w:p w14:paraId="3B2AF766" w14:textId="2C19EE1F" w:rsidR="00606EF8" w:rsidRPr="004C78D8" w:rsidRDefault="00606EF8" w:rsidP="00FB7C1F">
            <w:r w:rsidRPr="004C78D8">
              <w:t>RaR</w:t>
            </w:r>
          </w:p>
        </w:tc>
        <w:tc>
          <w:tcPr>
            <w:tcW w:w="7036" w:type="dxa"/>
          </w:tcPr>
          <w:p w14:paraId="7A61C8B0" w14:textId="18AB2633" w:rsidR="00606EF8" w:rsidRPr="004C78D8" w:rsidRDefault="00606EF8" w:rsidP="00FB7C1F">
            <w:r w:rsidRPr="004C78D8">
              <w:t>Rate Ratio</w:t>
            </w:r>
          </w:p>
        </w:tc>
      </w:tr>
      <w:tr w:rsidR="00F8461D" w:rsidRPr="004C78D8" w14:paraId="73CA88F7" w14:textId="77777777" w:rsidTr="00150FED">
        <w:tc>
          <w:tcPr>
            <w:tcW w:w="1980" w:type="dxa"/>
          </w:tcPr>
          <w:p w14:paraId="0D444B7E" w14:textId="51F2794B" w:rsidR="00F8461D" w:rsidRPr="004C78D8" w:rsidRDefault="00F8461D" w:rsidP="00FB7C1F">
            <w:r w:rsidRPr="004C78D8">
              <w:t>RC</w:t>
            </w:r>
          </w:p>
        </w:tc>
        <w:tc>
          <w:tcPr>
            <w:tcW w:w="7036" w:type="dxa"/>
          </w:tcPr>
          <w:p w14:paraId="1010E915" w14:textId="7484A316" w:rsidR="00F8461D" w:rsidRPr="004C78D8" w:rsidRDefault="00F8461D" w:rsidP="00FB7C1F">
            <w:r w:rsidRPr="004C78D8">
              <w:t>Recommended Care</w:t>
            </w:r>
          </w:p>
        </w:tc>
      </w:tr>
      <w:tr w:rsidR="00D40350" w:rsidRPr="004C78D8" w14:paraId="617E1299" w14:textId="77777777" w:rsidTr="00150FED">
        <w:tc>
          <w:tcPr>
            <w:tcW w:w="1980" w:type="dxa"/>
          </w:tcPr>
          <w:p w14:paraId="3CA1AF9C" w14:textId="41BC9291" w:rsidR="00D40350" w:rsidRPr="004C78D8" w:rsidRDefault="00D40350" w:rsidP="00FB7C1F">
            <w:r w:rsidRPr="004C78D8">
              <w:t>RCN</w:t>
            </w:r>
          </w:p>
        </w:tc>
        <w:tc>
          <w:tcPr>
            <w:tcW w:w="7036" w:type="dxa"/>
          </w:tcPr>
          <w:p w14:paraId="21DAC9D7" w14:textId="22F05315" w:rsidR="00D40350" w:rsidRPr="004C78D8" w:rsidRDefault="00D40350" w:rsidP="00FB7C1F">
            <w:r w:rsidRPr="004C78D8">
              <w:t>Royal College of Nursing</w:t>
            </w:r>
          </w:p>
        </w:tc>
      </w:tr>
      <w:tr w:rsidR="00150FED" w:rsidRPr="004C78D8" w14:paraId="119308E1" w14:textId="77777777" w:rsidTr="00150FED">
        <w:tc>
          <w:tcPr>
            <w:tcW w:w="1980" w:type="dxa"/>
          </w:tcPr>
          <w:p w14:paraId="54658287" w14:textId="77777777" w:rsidR="00150FED" w:rsidRPr="004C78D8" w:rsidRDefault="00150FED" w:rsidP="00FB7C1F">
            <w:r w:rsidRPr="004C78D8">
              <w:t>RCT</w:t>
            </w:r>
          </w:p>
        </w:tc>
        <w:tc>
          <w:tcPr>
            <w:tcW w:w="7036" w:type="dxa"/>
          </w:tcPr>
          <w:p w14:paraId="554D4D15" w14:textId="77777777" w:rsidR="00150FED" w:rsidRPr="004C78D8" w:rsidRDefault="00150FED" w:rsidP="00FB7C1F">
            <w:r w:rsidRPr="004C78D8">
              <w:t>Randomised Controlled Trial</w:t>
            </w:r>
          </w:p>
        </w:tc>
      </w:tr>
      <w:tr w:rsidR="00150FED" w:rsidRPr="004C78D8" w14:paraId="3D5A725A" w14:textId="77777777" w:rsidTr="00150FED">
        <w:tc>
          <w:tcPr>
            <w:tcW w:w="1980" w:type="dxa"/>
          </w:tcPr>
          <w:p w14:paraId="50C868F1" w14:textId="77777777" w:rsidR="00150FED" w:rsidRPr="004C78D8" w:rsidRDefault="00150FED" w:rsidP="00FB7C1F">
            <w:r w:rsidRPr="004C78D8">
              <w:t>ROI</w:t>
            </w:r>
          </w:p>
        </w:tc>
        <w:tc>
          <w:tcPr>
            <w:tcW w:w="7036" w:type="dxa"/>
          </w:tcPr>
          <w:p w14:paraId="336ED126" w14:textId="77777777" w:rsidR="00150FED" w:rsidRPr="004C78D8" w:rsidRDefault="00150FED" w:rsidP="00FB7C1F">
            <w:r w:rsidRPr="004C78D8">
              <w:t>Return On Investment</w:t>
            </w:r>
          </w:p>
        </w:tc>
      </w:tr>
      <w:tr w:rsidR="00606EF8" w:rsidRPr="004C78D8" w14:paraId="2E0EAD1C" w14:textId="77777777" w:rsidTr="00150FED">
        <w:tc>
          <w:tcPr>
            <w:tcW w:w="1980" w:type="dxa"/>
          </w:tcPr>
          <w:p w14:paraId="6DF44AAF" w14:textId="09F21984" w:rsidR="00606EF8" w:rsidRPr="004C78D8" w:rsidRDefault="00606EF8" w:rsidP="00FB7C1F">
            <w:r w:rsidRPr="004C78D8">
              <w:t>RR</w:t>
            </w:r>
          </w:p>
        </w:tc>
        <w:tc>
          <w:tcPr>
            <w:tcW w:w="7036" w:type="dxa"/>
          </w:tcPr>
          <w:p w14:paraId="4FE20CB7" w14:textId="4D242B81" w:rsidR="00606EF8" w:rsidRPr="004C78D8" w:rsidRDefault="00606EF8" w:rsidP="00FB7C1F">
            <w:r w:rsidRPr="004C78D8">
              <w:t>Relative Risk</w:t>
            </w:r>
          </w:p>
        </w:tc>
      </w:tr>
      <w:tr w:rsidR="00691659" w:rsidRPr="004C78D8" w14:paraId="1FDC8899" w14:textId="77777777" w:rsidTr="00150FED">
        <w:tc>
          <w:tcPr>
            <w:tcW w:w="1980" w:type="dxa"/>
          </w:tcPr>
          <w:p w14:paraId="0D6637EB" w14:textId="43BE550C" w:rsidR="00691659" w:rsidRPr="004C78D8" w:rsidRDefault="00691659" w:rsidP="00FB7C1F">
            <w:r w:rsidRPr="004C78D8">
              <w:t>SCC</w:t>
            </w:r>
          </w:p>
        </w:tc>
        <w:tc>
          <w:tcPr>
            <w:tcW w:w="7036" w:type="dxa"/>
          </w:tcPr>
          <w:p w14:paraId="257BF7C2" w14:textId="6A3F25CF" w:rsidR="00691659" w:rsidRPr="004C78D8" w:rsidRDefault="00691659" w:rsidP="00FB7C1F">
            <w:r w:rsidRPr="004C78D8">
              <w:t>Sheffield City Council</w:t>
            </w:r>
          </w:p>
        </w:tc>
      </w:tr>
      <w:tr w:rsidR="00F42B27" w:rsidRPr="004C78D8" w14:paraId="5A5CFA85" w14:textId="77777777" w:rsidTr="00150FED">
        <w:tc>
          <w:tcPr>
            <w:tcW w:w="1980" w:type="dxa"/>
          </w:tcPr>
          <w:p w14:paraId="39183C9D" w14:textId="7290F2F1" w:rsidR="00F42B27" w:rsidRPr="004C78D8" w:rsidRDefault="00F42B27" w:rsidP="00FB7C1F">
            <w:r w:rsidRPr="004C78D8">
              <w:t>SD</w:t>
            </w:r>
          </w:p>
        </w:tc>
        <w:tc>
          <w:tcPr>
            <w:tcW w:w="7036" w:type="dxa"/>
          </w:tcPr>
          <w:p w14:paraId="71DA2F7E" w14:textId="1412EDFF" w:rsidR="00F42B27" w:rsidRPr="004C78D8" w:rsidRDefault="00F42B27" w:rsidP="00FB7C1F">
            <w:r w:rsidRPr="004C78D8">
              <w:t>Standard Deviation</w:t>
            </w:r>
          </w:p>
        </w:tc>
      </w:tr>
      <w:tr w:rsidR="00F61732" w:rsidRPr="004C78D8" w14:paraId="55075EAF" w14:textId="77777777" w:rsidTr="00150FED">
        <w:tc>
          <w:tcPr>
            <w:tcW w:w="1980" w:type="dxa"/>
          </w:tcPr>
          <w:p w14:paraId="56204093" w14:textId="1A1E8B61" w:rsidR="00F61732" w:rsidRPr="004C78D8" w:rsidRDefault="00F61732" w:rsidP="00FB7C1F">
            <w:r w:rsidRPr="004C78D8">
              <w:t>SE</w:t>
            </w:r>
          </w:p>
        </w:tc>
        <w:tc>
          <w:tcPr>
            <w:tcW w:w="7036" w:type="dxa"/>
          </w:tcPr>
          <w:p w14:paraId="2E5A309A" w14:textId="14970536" w:rsidR="00F61732" w:rsidRPr="004C78D8" w:rsidRDefault="00F61732" w:rsidP="00FB7C1F">
            <w:r w:rsidRPr="004C78D8">
              <w:t>Standard Error</w:t>
            </w:r>
          </w:p>
        </w:tc>
      </w:tr>
      <w:tr w:rsidR="00E55B8A" w:rsidRPr="004C78D8" w14:paraId="19CA69E4" w14:textId="77777777" w:rsidTr="00150FED">
        <w:tc>
          <w:tcPr>
            <w:tcW w:w="1980" w:type="dxa"/>
          </w:tcPr>
          <w:p w14:paraId="0F971003" w14:textId="71821BB1" w:rsidR="00E55B8A" w:rsidRPr="004C78D8" w:rsidRDefault="00E55B8A" w:rsidP="00FB7C1F">
            <w:r w:rsidRPr="004C78D8">
              <w:t>SES</w:t>
            </w:r>
          </w:p>
        </w:tc>
        <w:tc>
          <w:tcPr>
            <w:tcW w:w="7036" w:type="dxa"/>
          </w:tcPr>
          <w:p w14:paraId="314E0960" w14:textId="16C5DCA2" w:rsidR="00E55B8A" w:rsidRPr="004C78D8" w:rsidRDefault="00E55B8A" w:rsidP="00FB7C1F">
            <w:r w:rsidRPr="004C78D8">
              <w:t>Socioeconomic Status</w:t>
            </w:r>
          </w:p>
        </w:tc>
      </w:tr>
      <w:tr w:rsidR="00CC4D59" w:rsidRPr="004C78D8" w14:paraId="30CE836F" w14:textId="77777777" w:rsidTr="00150FED">
        <w:tc>
          <w:tcPr>
            <w:tcW w:w="1980" w:type="dxa"/>
          </w:tcPr>
          <w:p w14:paraId="53140DB7" w14:textId="062C92D8" w:rsidR="00CC4D59" w:rsidRPr="004C78D8" w:rsidRDefault="00CC4D59" w:rsidP="00FB7C1F">
            <w:r w:rsidRPr="004C78D8">
              <w:t>SPA</w:t>
            </w:r>
          </w:p>
        </w:tc>
        <w:tc>
          <w:tcPr>
            <w:tcW w:w="7036" w:type="dxa"/>
          </w:tcPr>
          <w:p w14:paraId="435F0EFB" w14:textId="31179E7E" w:rsidR="00CC4D59" w:rsidRPr="004C78D8" w:rsidRDefault="00CC4D59" w:rsidP="00FB7C1F">
            <w:r w:rsidRPr="004C78D8">
              <w:t>Single Point of Access</w:t>
            </w:r>
          </w:p>
        </w:tc>
      </w:tr>
      <w:tr w:rsidR="00B41017" w:rsidRPr="004C78D8" w14:paraId="583B100B" w14:textId="77777777" w:rsidTr="00150FED">
        <w:tc>
          <w:tcPr>
            <w:tcW w:w="1980" w:type="dxa"/>
          </w:tcPr>
          <w:p w14:paraId="5D846C20" w14:textId="66F93C3B" w:rsidR="00B41017" w:rsidRPr="004C78D8" w:rsidRDefault="00B41017" w:rsidP="00FB7C1F">
            <w:r w:rsidRPr="004C78D8">
              <w:t>SR</w:t>
            </w:r>
          </w:p>
        </w:tc>
        <w:tc>
          <w:tcPr>
            <w:tcW w:w="7036" w:type="dxa"/>
          </w:tcPr>
          <w:p w14:paraId="3C34FF83" w14:textId="19CFD1B9" w:rsidR="00B41017" w:rsidRPr="004C78D8" w:rsidRDefault="00B41017" w:rsidP="00FB7C1F">
            <w:r w:rsidRPr="004C78D8">
              <w:t>Surveillance Report</w:t>
            </w:r>
          </w:p>
        </w:tc>
      </w:tr>
      <w:tr w:rsidR="00E503AA" w:rsidRPr="004C78D8" w14:paraId="05F0C5B8" w14:textId="77777777" w:rsidTr="00150FED">
        <w:tc>
          <w:tcPr>
            <w:tcW w:w="1980" w:type="dxa"/>
          </w:tcPr>
          <w:p w14:paraId="42CB44C6" w14:textId="3755FFD7" w:rsidR="00E503AA" w:rsidRPr="004C78D8" w:rsidRDefault="00E503AA" w:rsidP="00FB7C1F">
            <w:r w:rsidRPr="004C78D8">
              <w:t>STH</w:t>
            </w:r>
          </w:p>
        </w:tc>
        <w:tc>
          <w:tcPr>
            <w:tcW w:w="7036" w:type="dxa"/>
          </w:tcPr>
          <w:p w14:paraId="0B1A2B03" w14:textId="5340D6FA" w:rsidR="00E503AA" w:rsidRPr="004C78D8" w:rsidRDefault="00E503AA" w:rsidP="00FB7C1F">
            <w:r w:rsidRPr="004C78D8">
              <w:t>Sheffield Teaching Hospitals</w:t>
            </w:r>
          </w:p>
        </w:tc>
      </w:tr>
      <w:tr w:rsidR="00142D0D" w:rsidRPr="004C78D8" w14:paraId="5BDEC490" w14:textId="77777777" w:rsidTr="00150FED">
        <w:tc>
          <w:tcPr>
            <w:tcW w:w="1980" w:type="dxa"/>
          </w:tcPr>
          <w:p w14:paraId="4D5086DA" w14:textId="07882DD0" w:rsidR="00142D0D" w:rsidRPr="004C78D8" w:rsidRDefault="00142D0D" w:rsidP="00FB7C1F">
            <w:r w:rsidRPr="004C78D8">
              <w:t>STIT</w:t>
            </w:r>
          </w:p>
        </w:tc>
        <w:tc>
          <w:tcPr>
            <w:tcW w:w="7036" w:type="dxa"/>
          </w:tcPr>
          <w:p w14:paraId="2552283F" w14:textId="58AC5A24" w:rsidR="00142D0D" w:rsidRPr="004C78D8" w:rsidRDefault="00142D0D" w:rsidP="00FB7C1F">
            <w:r w:rsidRPr="004C78D8">
              <w:t>Short Term Intervention Team</w:t>
            </w:r>
          </w:p>
        </w:tc>
      </w:tr>
      <w:tr w:rsidR="00150FED" w:rsidRPr="004C78D8" w14:paraId="4E272DCA" w14:textId="77777777" w:rsidTr="00150FED">
        <w:tc>
          <w:tcPr>
            <w:tcW w:w="1980" w:type="dxa"/>
          </w:tcPr>
          <w:p w14:paraId="51E1AE7A" w14:textId="77777777" w:rsidR="00150FED" w:rsidRPr="004C78D8" w:rsidRDefault="00150FED" w:rsidP="00FB7C1F">
            <w:r w:rsidRPr="004C78D8">
              <w:t>SVE</w:t>
            </w:r>
          </w:p>
        </w:tc>
        <w:tc>
          <w:tcPr>
            <w:tcW w:w="7036" w:type="dxa"/>
          </w:tcPr>
          <w:p w14:paraId="59EF589C" w14:textId="77777777" w:rsidR="00150FED" w:rsidRPr="004C78D8" w:rsidRDefault="00150FED" w:rsidP="00FB7C1F">
            <w:r w:rsidRPr="004C78D8">
              <w:t>Single-Vehicle Evaluation</w:t>
            </w:r>
          </w:p>
        </w:tc>
      </w:tr>
      <w:tr w:rsidR="00B25C2C" w:rsidRPr="004C78D8" w14:paraId="1A4DA29F" w14:textId="77777777" w:rsidTr="00150FED">
        <w:tc>
          <w:tcPr>
            <w:tcW w:w="1980" w:type="dxa"/>
          </w:tcPr>
          <w:p w14:paraId="618312B2" w14:textId="1BA83DD8" w:rsidR="00B25C2C" w:rsidRPr="004C78D8" w:rsidRDefault="00B25C2C" w:rsidP="00FB7C1F">
            <w:r w:rsidRPr="004C78D8">
              <w:t>TTO</w:t>
            </w:r>
          </w:p>
        </w:tc>
        <w:tc>
          <w:tcPr>
            <w:tcW w:w="7036" w:type="dxa"/>
          </w:tcPr>
          <w:p w14:paraId="7C711C0A" w14:textId="0281F2A7" w:rsidR="00B25C2C" w:rsidRPr="004C78D8" w:rsidRDefault="00B25C2C" w:rsidP="00FB7C1F">
            <w:r w:rsidRPr="004C78D8">
              <w:t>Time Trade-</w:t>
            </w:r>
            <w:r w:rsidR="007D18DC" w:rsidRPr="004C78D8">
              <w:t>O</w:t>
            </w:r>
            <w:r w:rsidRPr="004C78D8">
              <w:t>ff</w:t>
            </w:r>
          </w:p>
        </w:tc>
      </w:tr>
      <w:tr w:rsidR="00150FED" w:rsidRPr="004C78D8" w14:paraId="7298D362" w14:textId="77777777" w:rsidTr="00150FED">
        <w:tc>
          <w:tcPr>
            <w:tcW w:w="1980" w:type="dxa"/>
          </w:tcPr>
          <w:p w14:paraId="50148569" w14:textId="77777777" w:rsidR="00150FED" w:rsidRPr="004C78D8" w:rsidRDefault="00150FED" w:rsidP="00FB7C1F">
            <w:r w:rsidRPr="004C78D8">
              <w:t>TUG</w:t>
            </w:r>
          </w:p>
        </w:tc>
        <w:tc>
          <w:tcPr>
            <w:tcW w:w="7036" w:type="dxa"/>
          </w:tcPr>
          <w:p w14:paraId="3E4EDD9E" w14:textId="77777777" w:rsidR="00150FED" w:rsidRPr="004C78D8" w:rsidRDefault="00150FED" w:rsidP="00FB7C1F">
            <w:r w:rsidRPr="004C78D8">
              <w:t>Timed Up-and-Go</w:t>
            </w:r>
          </w:p>
        </w:tc>
      </w:tr>
      <w:tr w:rsidR="00F8461D" w:rsidRPr="004C78D8" w14:paraId="7E0BB399" w14:textId="77777777" w:rsidTr="00150FED">
        <w:tc>
          <w:tcPr>
            <w:tcW w:w="1980" w:type="dxa"/>
          </w:tcPr>
          <w:p w14:paraId="7B8D24E2" w14:textId="74690D01" w:rsidR="00F8461D" w:rsidRPr="004C78D8" w:rsidRDefault="00F8461D" w:rsidP="00FB7C1F">
            <w:r w:rsidRPr="004C78D8">
              <w:t>UC</w:t>
            </w:r>
          </w:p>
        </w:tc>
        <w:tc>
          <w:tcPr>
            <w:tcW w:w="7036" w:type="dxa"/>
          </w:tcPr>
          <w:p w14:paraId="70CCDB73" w14:textId="7A926FF6" w:rsidR="00F8461D" w:rsidRPr="004C78D8" w:rsidRDefault="00F8461D" w:rsidP="00FB7C1F">
            <w:r w:rsidRPr="004C78D8">
              <w:t>Usual Care</w:t>
            </w:r>
          </w:p>
        </w:tc>
      </w:tr>
      <w:tr w:rsidR="00A44875" w:rsidRPr="004C78D8" w14:paraId="47EE7B19" w14:textId="77777777" w:rsidTr="00150FED">
        <w:tc>
          <w:tcPr>
            <w:tcW w:w="1980" w:type="dxa"/>
          </w:tcPr>
          <w:p w14:paraId="191A25D8" w14:textId="02CFA460" w:rsidR="00A44875" w:rsidRPr="004C78D8" w:rsidRDefault="00A44875" w:rsidP="00FB7C1F">
            <w:r w:rsidRPr="004C78D8">
              <w:t>VoIM</w:t>
            </w:r>
          </w:p>
        </w:tc>
        <w:tc>
          <w:tcPr>
            <w:tcW w:w="7036" w:type="dxa"/>
          </w:tcPr>
          <w:p w14:paraId="1B2A7C47" w14:textId="2D8524FF" w:rsidR="00A44875" w:rsidRPr="004C78D8" w:rsidRDefault="00A44875" w:rsidP="00FB7C1F">
            <w:r w:rsidRPr="004C78D8">
              <w:t>Value of Implementation</w:t>
            </w:r>
          </w:p>
        </w:tc>
      </w:tr>
    </w:tbl>
    <w:p w14:paraId="276214B0" w14:textId="77777777" w:rsidR="000A04D3" w:rsidRPr="004C78D8" w:rsidRDefault="000A04D3" w:rsidP="00FB7C1F"/>
    <w:p w14:paraId="2DD4E5C1" w14:textId="77777777" w:rsidR="00F525A4" w:rsidRPr="004C78D8" w:rsidRDefault="00F525A4" w:rsidP="00FB7C1F"/>
    <w:p w14:paraId="2E313EB5" w14:textId="77777777" w:rsidR="00F525A4" w:rsidRPr="004C78D8" w:rsidRDefault="00F525A4" w:rsidP="00FB7C1F">
      <w:r w:rsidRPr="004C78D8">
        <w:br w:type="page"/>
      </w:r>
    </w:p>
    <w:p w14:paraId="63FCFB35" w14:textId="448D7421" w:rsidR="00F525A4" w:rsidRPr="004C78D8" w:rsidRDefault="00F525A4" w:rsidP="00FB7C1F">
      <w:pPr>
        <w:pStyle w:val="Heading1"/>
      </w:pPr>
      <w:bookmarkStart w:id="15" w:name="_Toc93566843"/>
      <w:bookmarkStart w:id="16" w:name="_Toc111630687"/>
      <w:r w:rsidRPr="004C78D8">
        <w:lastRenderedPageBreak/>
        <w:t>Abstract</w:t>
      </w:r>
      <w:bookmarkStart w:id="17" w:name="_Hlk92702838"/>
      <w:bookmarkEnd w:id="15"/>
      <w:bookmarkEnd w:id="16"/>
    </w:p>
    <w:bookmarkEnd w:id="17"/>
    <w:p w14:paraId="3CA95A78" w14:textId="1B4841B9" w:rsidR="00BD2C01" w:rsidRPr="004C78D8" w:rsidRDefault="00BD2C01" w:rsidP="00FB7C1F">
      <w:r w:rsidRPr="004C78D8">
        <w:rPr>
          <w:b/>
          <w:bCs/>
        </w:rPr>
        <w:t>Background:</w:t>
      </w:r>
      <w:r w:rsidRPr="004C78D8">
        <w:t xml:space="preserve"> Falls are one of the key geriatric syndromes that significantly impact geriatric health. This study aims to </w:t>
      </w:r>
      <w:r w:rsidR="002934A4">
        <w:t>seek</w:t>
      </w:r>
      <w:r w:rsidR="006642D7">
        <w:t xml:space="preserve"> methodological </w:t>
      </w:r>
      <w:r w:rsidR="002934A4">
        <w:t>solutions</w:t>
      </w:r>
      <w:r w:rsidR="006642D7">
        <w:t xml:space="preserve"> in</w:t>
      </w:r>
      <w:r w:rsidR="00023C3C" w:rsidRPr="004C78D8">
        <w:t xml:space="preserve"> </w:t>
      </w:r>
      <w:r w:rsidR="002934A4">
        <w:t>developing</w:t>
      </w:r>
      <w:r w:rsidR="006642D7">
        <w:t xml:space="preserve"> </w:t>
      </w:r>
      <w:r w:rsidR="00023C3C" w:rsidRPr="004C78D8">
        <w:t>a credible economic model</w:t>
      </w:r>
      <w:r w:rsidR="009B4BE4" w:rsidRPr="004C78D8">
        <w:t xml:space="preserve"> of</w:t>
      </w:r>
      <w:r w:rsidRPr="004C78D8">
        <w:t xml:space="preserve"> community-based falls prevention for older persons (aged 60 and over)</w:t>
      </w:r>
      <w:r w:rsidR="009B4BE4" w:rsidRPr="004C78D8">
        <w:t xml:space="preserve"> </w:t>
      </w:r>
      <w:r w:rsidR="00E151CE" w:rsidRPr="004C78D8">
        <w:t>which would inform</w:t>
      </w:r>
      <w:r w:rsidR="009B4BE4" w:rsidRPr="004C78D8">
        <w:t xml:space="preserve"> </w:t>
      </w:r>
      <w:r w:rsidR="00E151CE" w:rsidRPr="004C78D8">
        <w:t xml:space="preserve">the local </w:t>
      </w:r>
      <w:r w:rsidR="009B4BE4" w:rsidRPr="004C78D8">
        <w:t>commissioning</w:t>
      </w:r>
      <w:r w:rsidR="00E151CE" w:rsidRPr="004C78D8">
        <w:t xml:space="preserve"> </w:t>
      </w:r>
      <w:r w:rsidR="00C670BE" w:rsidRPr="004C78D8">
        <w:t>decision</w:t>
      </w:r>
      <w:r w:rsidR="00E151CE" w:rsidRPr="004C78D8">
        <w:t xml:space="preserve"> between current, recommended, and alternative falls prevention strategies</w:t>
      </w:r>
      <w:r w:rsidRPr="004C78D8">
        <w:t xml:space="preserve">. </w:t>
      </w:r>
    </w:p>
    <w:p w14:paraId="48007C6B" w14:textId="2F9491C7" w:rsidR="00BD2C01" w:rsidRPr="004C78D8" w:rsidRDefault="00BD2C01" w:rsidP="00FB7C1F">
      <w:r w:rsidRPr="004C78D8">
        <w:rPr>
          <w:b/>
          <w:bCs/>
        </w:rPr>
        <w:t>Methods:</w:t>
      </w:r>
      <w:r w:rsidRPr="004C78D8">
        <w:t xml:space="preserve"> The study involved: (1) problem conceptualisation</w:t>
      </w:r>
      <w:r w:rsidR="00C670BE" w:rsidRPr="004C78D8">
        <w:t xml:space="preserve"> involving stakeholder consultations and qualitative study of older persons</w:t>
      </w:r>
      <w:r w:rsidRPr="004C78D8">
        <w:t>; (2) systematic review of existing models</w:t>
      </w:r>
      <w:r w:rsidR="00C670BE" w:rsidRPr="004C78D8">
        <w:t xml:space="preserve"> to identify key modelling challenges</w:t>
      </w:r>
      <w:r w:rsidR="00FD30CD" w:rsidRPr="004C78D8">
        <w:t>/solutions</w:t>
      </w:r>
      <w:r w:rsidRPr="004C78D8">
        <w:t xml:space="preserve">; and (3) model development </w:t>
      </w:r>
      <w:r w:rsidR="001E712A" w:rsidRPr="004C78D8">
        <w:t>based on</w:t>
      </w:r>
      <w:r w:rsidRPr="004C78D8">
        <w:t xml:space="preserve"> stages (1)-(2) </w:t>
      </w:r>
      <w:r w:rsidR="00181E31" w:rsidRPr="004C78D8">
        <w:t>results</w:t>
      </w:r>
      <w:r w:rsidR="00FD30CD" w:rsidRPr="004C78D8">
        <w:t xml:space="preserve">, </w:t>
      </w:r>
      <w:r w:rsidR="00C670BE" w:rsidRPr="004C78D8">
        <w:t>model analysis</w:t>
      </w:r>
      <w:r w:rsidR="00FD30CD" w:rsidRPr="004C78D8">
        <w:t>, and formulating commissioning recommendations</w:t>
      </w:r>
      <w:r w:rsidRPr="004C78D8">
        <w:t xml:space="preserve">. </w:t>
      </w:r>
      <w:r w:rsidR="000B3A86" w:rsidRPr="004C78D8">
        <w:t xml:space="preserve">Key methodological developments </w:t>
      </w:r>
      <w:r w:rsidR="00C670BE" w:rsidRPr="004C78D8">
        <w:t xml:space="preserve">in (3) </w:t>
      </w:r>
      <w:r w:rsidR="000B3A86" w:rsidRPr="004C78D8">
        <w:t xml:space="preserve">included: (i) incorporating </w:t>
      </w:r>
      <w:r w:rsidR="001E712A" w:rsidRPr="004C78D8">
        <w:t>a wide range of</w:t>
      </w:r>
      <w:r w:rsidR="000B3A86" w:rsidRPr="004C78D8">
        <w:t xml:space="preserve"> societal outcomes; (ii) parameterising dynamic </w:t>
      </w:r>
      <w:r w:rsidR="001E712A" w:rsidRPr="004C78D8">
        <w:t xml:space="preserve">falls-frailty </w:t>
      </w:r>
      <w:r w:rsidR="000B3A86" w:rsidRPr="004C78D8">
        <w:t xml:space="preserve">feedback; (iii) incorporating intervention capacity constraints; and (iv) assessing joint equity-efficiency impacts. </w:t>
      </w:r>
      <w:r w:rsidR="00B46A4A" w:rsidRPr="004C78D8">
        <w:t>B</w:t>
      </w:r>
      <w:r w:rsidRPr="004C78D8">
        <w:t>ase case comparison</w:t>
      </w:r>
      <w:r w:rsidR="007E625D">
        <w:t>s</w:t>
      </w:r>
      <w:r w:rsidRPr="004C78D8">
        <w:t xml:space="preserve"> </w:t>
      </w:r>
      <w:r w:rsidR="000B3A86" w:rsidRPr="004C78D8">
        <w:t xml:space="preserve">evaluated the performance of UK guideline-recommended </w:t>
      </w:r>
      <w:r w:rsidR="001E712A" w:rsidRPr="004C78D8">
        <w:t>strategy</w:t>
      </w:r>
      <w:r w:rsidRPr="004C78D8">
        <w:t xml:space="preserve"> (RC) versus usual care (UC)</w:t>
      </w:r>
      <w:r w:rsidR="000B3A86" w:rsidRPr="004C78D8">
        <w:t xml:space="preserve"> representing current practice</w:t>
      </w:r>
      <w:r w:rsidRPr="004C78D8">
        <w:t xml:space="preserve">. </w:t>
      </w:r>
      <w:r w:rsidR="00B46A4A" w:rsidRPr="004C78D8">
        <w:t xml:space="preserve">Sensitivity, subgroup, and scenario analyses were conducted. RC was then compared to 22 alternative intervention strategies </w:t>
      </w:r>
      <w:r w:rsidR="001E712A" w:rsidRPr="004C78D8">
        <w:t xml:space="preserve">based on several decisional criteria </w:t>
      </w:r>
      <w:r w:rsidR="00B46A4A" w:rsidRPr="004C78D8">
        <w:t xml:space="preserve">before </w:t>
      </w:r>
      <w:r w:rsidR="002934A4">
        <w:t xml:space="preserve">formulating </w:t>
      </w:r>
      <w:r w:rsidR="00B46A4A" w:rsidRPr="004C78D8">
        <w:t>commissioning recommendations.</w:t>
      </w:r>
    </w:p>
    <w:p w14:paraId="55B1F202" w14:textId="7F5369B2" w:rsidR="00BD2C01" w:rsidRPr="004C78D8" w:rsidRDefault="00BD2C01" w:rsidP="00FB7C1F">
      <w:r w:rsidRPr="004C78D8">
        <w:rPr>
          <w:b/>
          <w:bCs/>
        </w:rPr>
        <w:t>Results:</w:t>
      </w:r>
      <w:r w:rsidRPr="004C78D8">
        <w:t xml:space="preserve"> </w:t>
      </w:r>
      <w:r w:rsidR="001E712A" w:rsidRPr="004C78D8">
        <w:t>RC had 93.4% probability of being cost-effective versus UC at cost-effectiveness threshold of £20,000 per QALY gained under 40-year societal cost-utility analysis and improved equity</w:t>
      </w:r>
      <w:r w:rsidR="00FD30CD" w:rsidRPr="004C78D8">
        <w:t xml:space="preserve"> delineated by socioeconomic status</w:t>
      </w:r>
      <w:r w:rsidR="001E712A" w:rsidRPr="004C78D8">
        <w:t xml:space="preserve">. RC is unlikely to be the optimal strategy when compared to alternative intervention strategies based on efficiency, joint efficiency-equity, or individual-level lifetime outcomes. Feasibilities of RC-level intervention capacity and environmental interventions significantly affected strategy rankings. If not feasible, then capacity-constrained form of RC supplemented by targeted risk screening </w:t>
      </w:r>
      <w:r w:rsidR="00FD30CD" w:rsidRPr="004C78D8">
        <w:t xml:space="preserve">of socially vulnerable subgroups </w:t>
      </w:r>
      <w:r w:rsidR="001E712A" w:rsidRPr="004C78D8">
        <w:t>by community organisations is likely the optimal strategy.</w:t>
      </w:r>
    </w:p>
    <w:p w14:paraId="75DD593E" w14:textId="51E3BFAB" w:rsidR="001E712A" w:rsidRPr="004C78D8" w:rsidRDefault="00BD2C01" w:rsidP="00FB7C1F">
      <w:r w:rsidRPr="004C78D8">
        <w:rPr>
          <w:b/>
          <w:bCs/>
        </w:rPr>
        <w:t xml:space="preserve">Conclusion: </w:t>
      </w:r>
      <w:r w:rsidR="001E712A" w:rsidRPr="004C78D8">
        <w:t>Guideline recommendation</w:t>
      </w:r>
      <w:r w:rsidR="007E625D">
        <w:t>s</w:t>
      </w:r>
      <w:r w:rsidR="001E712A" w:rsidRPr="004C78D8">
        <w:t xml:space="preserve"> on community-based falls prevention should be qualified by capacity implications, efficiency-equity impact, and environmental strategies. Modelling can inform economic evaluation of diverse geriatric public health interventions and integration of diverse geriatric policies, including wider welfare policies and community mobilisation. </w:t>
      </w:r>
    </w:p>
    <w:p w14:paraId="269E081A" w14:textId="0046CF9F" w:rsidR="00BD2C01" w:rsidRPr="004C78D8" w:rsidRDefault="00BD2C01" w:rsidP="00FB7C1F"/>
    <w:p w14:paraId="044AF3BF" w14:textId="4E19539C" w:rsidR="000A04D3" w:rsidRPr="004C78D8" w:rsidRDefault="000A04D3" w:rsidP="00FB7C1F">
      <w:r w:rsidRPr="004C78D8">
        <w:br w:type="page"/>
      </w:r>
    </w:p>
    <w:p w14:paraId="42482191" w14:textId="77777777" w:rsidR="00DD187D" w:rsidRPr="004C78D8" w:rsidRDefault="00DD187D" w:rsidP="00FB7C1F">
      <w:pPr>
        <w:sectPr w:rsidR="00DD187D" w:rsidRPr="004C78D8" w:rsidSect="006850C0">
          <w:footerReference w:type="default" r:id="rId9"/>
          <w:pgSz w:w="11906" w:h="16838"/>
          <w:pgMar w:top="1440" w:right="1440" w:bottom="1440" w:left="1440" w:header="708" w:footer="708" w:gutter="0"/>
          <w:pgNumType w:fmt="lowerRoman" w:start="1"/>
          <w:cols w:space="708"/>
          <w:docGrid w:linePitch="360"/>
        </w:sectPr>
      </w:pPr>
    </w:p>
    <w:p w14:paraId="7FB7A9DF" w14:textId="5FA99BE1" w:rsidR="001002D0" w:rsidRPr="004C78D8" w:rsidRDefault="001002D0" w:rsidP="00FB7C1F">
      <w:pPr>
        <w:pStyle w:val="Heading1"/>
      </w:pPr>
      <w:bookmarkStart w:id="18" w:name="_Toc93566844"/>
      <w:bookmarkStart w:id="19" w:name="_Toc111630688"/>
      <w:r w:rsidRPr="004C78D8">
        <w:lastRenderedPageBreak/>
        <w:t>Chapter 1. Introduction</w:t>
      </w:r>
      <w:bookmarkEnd w:id="18"/>
      <w:bookmarkEnd w:id="19"/>
    </w:p>
    <w:p w14:paraId="0592B8A1" w14:textId="77777777" w:rsidR="00FD5753" w:rsidRPr="004C78D8" w:rsidRDefault="00FD5753" w:rsidP="00FB7C1F">
      <w:bookmarkStart w:id="20" w:name="_Toc93566845"/>
    </w:p>
    <w:p w14:paraId="69A58894" w14:textId="265134D9" w:rsidR="001002D0" w:rsidRPr="004C78D8" w:rsidRDefault="00FD5753" w:rsidP="00FB7C1F">
      <w:pPr>
        <w:pStyle w:val="Heading2"/>
      </w:pPr>
      <w:bookmarkStart w:id="21" w:name="_Toc111630689"/>
      <w:r w:rsidRPr="004C78D8">
        <w:t xml:space="preserve">1.1 </w:t>
      </w:r>
      <w:r w:rsidR="001002D0" w:rsidRPr="004C78D8">
        <w:t>Chapter outline</w:t>
      </w:r>
      <w:bookmarkEnd w:id="20"/>
      <w:bookmarkEnd w:id="21"/>
    </w:p>
    <w:p w14:paraId="4105C4AA" w14:textId="612FB9B3" w:rsidR="00775F22" w:rsidRPr="004C78D8" w:rsidRDefault="00775F22" w:rsidP="00FB7C1F">
      <w:r w:rsidRPr="004C78D8">
        <w:t xml:space="preserve">The main research question addressed by this </w:t>
      </w:r>
      <w:r w:rsidR="000460F5" w:rsidRPr="004C78D8">
        <w:t>study</w:t>
      </w:r>
      <w:r w:rsidRPr="004C78D8">
        <w:t xml:space="preserve"> is ‘How can </w:t>
      </w:r>
      <w:r w:rsidR="0085081E" w:rsidRPr="004C78D8">
        <w:t xml:space="preserve">a </w:t>
      </w:r>
      <w:r w:rsidR="0032038A" w:rsidRPr="004C78D8">
        <w:t>credible</w:t>
      </w:r>
      <w:r w:rsidR="0085081E" w:rsidRPr="004C78D8">
        <w:t xml:space="preserve"> </w:t>
      </w:r>
      <w:r w:rsidR="00E75733" w:rsidRPr="004C78D8">
        <w:t xml:space="preserve">model of </w:t>
      </w:r>
      <w:r w:rsidRPr="004C78D8">
        <w:t>falls prevention interventions for older pe</w:t>
      </w:r>
      <w:r w:rsidR="00E75733" w:rsidRPr="004C78D8">
        <w:t>rsons</w:t>
      </w:r>
      <w:r w:rsidRPr="004C78D8">
        <w:t xml:space="preserve"> living in </w:t>
      </w:r>
      <w:r w:rsidR="00684BDF" w:rsidRPr="004C78D8">
        <w:t xml:space="preserve">the </w:t>
      </w:r>
      <w:r w:rsidRPr="004C78D8">
        <w:t xml:space="preserve">community be </w:t>
      </w:r>
      <w:r w:rsidR="00E75733" w:rsidRPr="004C78D8">
        <w:t xml:space="preserve">developed to inform commissioning decisions </w:t>
      </w:r>
      <w:r w:rsidRPr="004C78D8">
        <w:t xml:space="preserve">by </w:t>
      </w:r>
      <w:r w:rsidR="00FB5A72" w:rsidRPr="004C78D8">
        <w:t xml:space="preserve">local </w:t>
      </w:r>
      <w:r w:rsidRPr="004C78D8">
        <w:t>health authorities</w:t>
      </w:r>
      <w:r w:rsidR="00C94242" w:rsidRPr="004C78D8">
        <w:t>?’</w:t>
      </w:r>
      <w:r w:rsidRPr="004C78D8">
        <w:t xml:space="preserve"> </w:t>
      </w:r>
      <w:r w:rsidR="0032038A" w:rsidRPr="004C78D8">
        <w:t>M</w:t>
      </w:r>
      <w:r w:rsidR="00E75733" w:rsidRPr="004C78D8">
        <w:t xml:space="preserve">ethodological </w:t>
      </w:r>
      <w:r w:rsidR="00B96EFF" w:rsidRPr="004C78D8">
        <w:t xml:space="preserve">developments </w:t>
      </w:r>
      <w:r w:rsidR="0032038A" w:rsidRPr="004C78D8">
        <w:t>to falls prevention modelling are pursued to improve model credibility (e.g., simulating intervention capacity constraints that exist in reality)</w:t>
      </w:r>
      <w:r w:rsidR="00BB40DD" w:rsidRPr="004C78D8">
        <w:t>, and these developments</w:t>
      </w:r>
      <w:r w:rsidR="0032038A" w:rsidRPr="004C78D8">
        <w:t xml:space="preserve"> </w:t>
      </w:r>
      <w:r w:rsidR="00E75733" w:rsidRPr="004C78D8">
        <w:t xml:space="preserve">should inform model-based evaluations of </w:t>
      </w:r>
      <w:r w:rsidR="00035C46" w:rsidRPr="004C78D8">
        <w:t xml:space="preserve">further falls prevention </w:t>
      </w:r>
      <w:r w:rsidR="00FB5A72" w:rsidRPr="004C78D8">
        <w:t xml:space="preserve">initiatives </w:t>
      </w:r>
      <w:r w:rsidR="00CB72C5" w:rsidRPr="004C78D8">
        <w:t xml:space="preserve">as well as those of </w:t>
      </w:r>
      <w:r w:rsidR="00035C46" w:rsidRPr="004C78D8">
        <w:t xml:space="preserve">other geriatric public health </w:t>
      </w:r>
      <w:r w:rsidR="003F2B54" w:rsidRPr="004C78D8">
        <w:t>programmes</w:t>
      </w:r>
      <w:r w:rsidR="00035C46" w:rsidRPr="004C78D8">
        <w:t>.</w:t>
      </w:r>
      <w:r w:rsidR="00E75733" w:rsidRPr="004C78D8">
        <w:t xml:space="preserve"> </w:t>
      </w:r>
      <w:r w:rsidR="00E4157B" w:rsidRPr="004C78D8">
        <w:t xml:space="preserve">Section 1.2 describes the thesis aim and objectives and Section 1.3 explains the rationale for the research. </w:t>
      </w:r>
      <w:r w:rsidR="00CF293F" w:rsidRPr="004C78D8">
        <w:t xml:space="preserve">Section 1.4 describes my </w:t>
      </w:r>
      <w:r w:rsidR="003F2B54" w:rsidRPr="004C78D8">
        <w:t xml:space="preserve">personal, </w:t>
      </w:r>
      <w:r w:rsidR="00CF293F" w:rsidRPr="004C78D8">
        <w:t>academic and philosophical position</w:t>
      </w:r>
      <w:r w:rsidR="003F2B54" w:rsidRPr="004C78D8">
        <w:t>s</w:t>
      </w:r>
      <w:r w:rsidR="00CF293F" w:rsidRPr="004C78D8">
        <w:t xml:space="preserve"> and Section 1.5 introduces the </w:t>
      </w:r>
      <w:r w:rsidR="000460F5" w:rsidRPr="004C78D8">
        <w:t xml:space="preserve">thesis </w:t>
      </w:r>
      <w:r w:rsidR="00CF293F" w:rsidRPr="004C78D8">
        <w:t>structure.</w:t>
      </w:r>
    </w:p>
    <w:p w14:paraId="2FC295CD" w14:textId="62E244B6" w:rsidR="001002D0" w:rsidRPr="004C78D8" w:rsidRDefault="001002D0" w:rsidP="00FB7C1F"/>
    <w:p w14:paraId="3AA97119" w14:textId="580FD93A" w:rsidR="001002D0" w:rsidRPr="004C78D8" w:rsidRDefault="001002D0" w:rsidP="00FB7C1F">
      <w:pPr>
        <w:pStyle w:val="Heading2"/>
      </w:pPr>
      <w:bookmarkStart w:id="22" w:name="_Toc93566846"/>
      <w:bookmarkStart w:id="23" w:name="_Toc111630690"/>
      <w:r w:rsidRPr="004C78D8">
        <w:t>1.2 Thesis aim and objectives</w:t>
      </w:r>
      <w:bookmarkEnd w:id="22"/>
      <w:bookmarkEnd w:id="23"/>
    </w:p>
    <w:p w14:paraId="3D226747" w14:textId="369E5314" w:rsidR="00635898" w:rsidRPr="004C78D8" w:rsidRDefault="00635898" w:rsidP="00FB7C1F">
      <w:r w:rsidRPr="004C78D8">
        <w:t xml:space="preserve">The aim of this thesis is to </w:t>
      </w:r>
      <w:r w:rsidR="002934A4">
        <w:t xml:space="preserve">seek methodological solutions in </w:t>
      </w:r>
      <w:r w:rsidR="006E7E55" w:rsidRPr="004C78D8">
        <w:t>develop</w:t>
      </w:r>
      <w:r w:rsidR="002934A4">
        <w:t>ing</w:t>
      </w:r>
      <w:r w:rsidR="006E7E55" w:rsidRPr="004C78D8">
        <w:t xml:space="preserve"> a credible economic model</w:t>
      </w:r>
      <w:r w:rsidRPr="004C78D8">
        <w:t xml:space="preserve"> of </w:t>
      </w:r>
      <w:r w:rsidR="00684B6F" w:rsidRPr="004C78D8">
        <w:t xml:space="preserve">community-based </w:t>
      </w:r>
      <w:r w:rsidRPr="004C78D8">
        <w:t xml:space="preserve">falls prevention </w:t>
      </w:r>
      <w:r w:rsidR="00684B6F" w:rsidRPr="004C78D8">
        <w:t xml:space="preserve">interventions </w:t>
      </w:r>
      <w:r w:rsidRPr="004C78D8">
        <w:t xml:space="preserve">for </w:t>
      </w:r>
      <w:r w:rsidR="002E3CF6" w:rsidRPr="004C78D8">
        <w:t>older</w:t>
      </w:r>
      <w:r w:rsidRPr="004C78D8">
        <w:t xml:space="preserve"> persons (aged 60 and over) </w:t>
      </w:r>
      <w:r w:rsidR="00684B6F" w:rsidRPr="004C78D8">
        <w:t>which w</w:t>
      </w:r>
      <w:r w:rsidR="00F940B7" w:rsidRPr="004C78D8">
        <w:t>ill</w:t>
      </w:r>
      <w:r w:rsidR="00684B6F" w:rsidRPr="004C78D8">
        <w:t xml:space="preserve"> </w:t>
      </w:r>
      <w:r w:rsidR="00F940B7" w:rsidRPr="004C78D8">
        <w:t xml:space="preserve">assess </w:t>
      </w:r>
      <w:r w:rsidR="002940E2" w:rsidRPr="004C78D8">
        <w:t xml:space="preserve">the </w:t>
      </w:r>
      <w:r w:rsidR="00B75AF5" w:rsidRPr="004C78D8">
        <w:t xml:space="preserve">health economic </w:t>
      </w:r>
      <w:r w:rsidR="00B555E1" w:rsidRPr="004C78D8">
        <w:t>performance</w:t>
      </w:r>
      <w:r w:rsidR="00B75AF5" w:rsidRPr="004C78D8">
        <w:t xml:space="preserve"> of the </w:t>
      </w:r>
      <w:r w:rsidR="00F850F6" w:rsidRPr="004C78D8">
        <w:t xml:space="preserve">UK guideline-recommended </w:t>
      </w:r>
      <w:r w:rsidR="00B75AF5" w:rsidRPr="004C78D8">
        <w:t>falls prevention strategy</w:t>
      </w:r>
      <w:r w:rsidR="00F850F6" w:rsidRPr="004C78D8">
        <w:t xml:space="preserve"> </w:t>
      </w:r>
      <w:r w:rsidR="001A0597" w:rsidRPr="004C78D8">
        <w:t xml:space="preserve">relative to current practice </w:t>
      </w:r>
      <w:r w:rsidR="00E90D16" w:rsidRPr="004C78D8">
        <w:t xml:space="preserve">and alternative </w:t>
      </w:r>
      <w:r w:rsidR="007440CE" w:rsidRPr="004C78D8">
        <w:t xml:space="preserve">intervention </w:t>
      </w:r>
      <w:r w:rsidR="00E90D16" w:rsidRPr="004C78D8">
        <w:t xml:space="preserve">strategies </w:t>
      </w:r>
      <w:r w:rsidR="00F850F6" w:rsidRPr="004C78D8">
        <w:t>at the local health economy level</w:t>
      </w:r>
      <w:r w:rsidRPr="004C78D8">
        <w:t>. The objectives are to:</w:t>
      </w:r>
    </w:p>
    <w:p w14:paraId="3ED41AAB" w14:textId="72E5ECEC" w:rsidR="00635898" w:rsidRPr="004C78D8" w:rsidRDefault="00635898" w:rsidP="00FB7C1F">
      <w:pPr>
        <w:pStyle w:val="ListParagraph"/>
        <w:numPr>
          <w:ilvl w:val="0"/>
          <w:numId w:val="1"/>
        </w:numPr>
      </w:pPr>
      <w:r w:rsidRPr="004C78D8">
        <w:t xml:space="preserve">Apply a </w:t>
      </w:r>
      <w:r w:rsidR="002E3F6C" w:rsidRPr="004C78D8">
        <w:t xml:space="preserve">published </w:t>
      </w:r>
      <w:r w:rsidRPr="004C78D8">
        <w:t xml:space="preserve">conceptual framework for developing a credible </w:t>
      </w:r>
      <w:r w:rsidR="001C75DA" w:rsidRPr="004C78D8">
        <w:t>economic</w:t>
      </w:r>
      <w:r w:rsidRPr="004C78D8">
        <w:t xml:space="preserve"> model of </w:t>
      </w:r>
      <w:r w:rsidR="001C75DA" w:rsidRPr="004C78D8">
        <w:t>a public health</w:t>
      </w:r>
      <w:r w:rsidRPr="004C78D8">
        <w:t xml:space="preserve"> intervention</w:t>
      </w:r>
      <w:r w:rsidR="00193D11" w:rsidRPr="004C78D8">
        <w:t xml:space="preserve"> </w:t>
      </w:r>
      <w:r w:rsidR="00193D11" w:rsidRPr="004C78D8">
        <w:fldChar w:fldCharType="begin"/>
      </w:r>
      <w:r w:rsidR="00193D11" w:rsidRPr="004C78D8">
        <w:instrText xml:space="preserve"> ADDIN EN.CITE &lt;EndNote&gt;&lt;Cite&gt;&lt;Author&gt;Squires&lt;/Author&gt;&lt;Year&gt;2016&lt;/Year&gt;&lt;RecNum&gt;158&lt;/RecNum&gt;&lt;DisplayText&gt;[1]&lt;/DisplayText&gt;&lt;record&gt;&lt;rec-number&gt;158&lt;/rec-number&gt;&lt;foreign-keys&gt;&lt;key app="EN" db-id="tdtrdw9aepptzbefsat599syza29sxsd2wsp" timestamp="1609254669"&gt;158&lt;/key&gt;&lt;/foreign-keys&gt;&lt;ref-type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framework for developing the structure of public health economic models&lt;/title&gt;&lt;secondary-title&gt;Value in Health&lt;/secondary-title&gt;&lt;/titles&gt;&lt;periodical&gt;&lt;full-title&gt;Value in Health&lt;/full-title&gt;&lt;/periodical&gt;&lt;pages&gt;588-601&lt;/pages&gt;&lt;volume&gt;19&lt;/volume&gt;&lt;number&gt;5&lt;/number&gt;&lt;dates&gt;&lt;year&gt;2016&lt;/year&gt;&lt;/dates&gt;&lt;isbn&gt;1098-3015&lt;/isbn&gt;&lt;urls&gt;&lt;/urls&gt;&lt;research-notes&gt;1&lt;/research-notes&gt;&lt;/record&gt;&lt;/Cite&gt;&lt;/EndNote&gt;</w:instrText>
      </w:r>
      <w:r w:rsidR="00193D11" w:rsidRPr="004C78D8">
        <w:fldChar w:fldCharType="separate"/>
      </w:r>
      <w:r w:rsidR="00193D11" w:rsidRPr="004C78D8">
        <w:rPr>
          <w:noProof/>
        </w:rPr>
        <w:t>[1]</w:t>
      </w:r>
      <w:r w:rsidR="00193D11" w:rsidRPr="004C78D8">
        <w:fldChar w:fldCharType="end"/>
      </w:r>
      <w:r w:rsidRPr="004C78D8">
        <w:t xml:space="preserve">. </w:t>
      </w:r>
      <w:r w:rsidR="00424511" w:rsidRPr="004C78D8">
        <w:t xml:space="preserve">This framework was chosen because it remains the only published one to date on conceptualising public health economic models. </w:t>
      </w:r>
      <w:r w:rsidRPr="004C78D8">
        <w:t>Th</w:t>
      </w:r>
      <w:r w:rsidR="00300628" w:rsidRPr="004C78D8">
        <w:t>e application</w:t>
      </w:r>
      <w:r w:rsidRPr="004C78D8">
        <w:t xml:space="preserve"> involves: (i) </w:t>
      </w:r>
      <w:r w:rsidR="006C6B6B" w:rsidRPr="004C78D8">
        <w:t xml:space="preserve">understanding the decision problem in the local context by engaging with commissioners, professionals and older persons; and (ii) </w:t>
      </w:r>
      <w:r w:rsidRPr="004C78D8">
        <w:t xml:space="preserve">understanding the </w:t>
      </w:r>
      <w:r w:rsidR="00F5636A" w:rsidRPr="004C78D8">
        <w:t>key</w:t>
      </w:r>
      <w:r w:rsidRPr="004C78D8">
        <w:t xml:space="preserve"> </w:t>
      </w:r>
      <w:r w:rsidR="00F0316A" w:rsidRPr="004C78D8">
        <w:t xml:space="preserve">methodological </w:t>
      </w:r>
      <w:r w:rsidRPr="004C78D8">
        <w:t xml:space="preserve">challenges </w:t>
      </w:r>
      <w:r w:rsidR="00A0124E" w:rsidRPr="004C78D8">
        <w:t>associated with</w:t>
      </w:r>
      <w:r w:rsidRPr="004C78D8">
        <w:t xml:space="preserve"> </w:t>
      </w:r>
      <w:r w:rsidR="001C75DA" w:rsidRPr="004C78D8">
        <w:t xml:space="preserve">the development of </w:t>
      </w:r>
      <w:r w:rsidR="00A0124E" w:rsidRPr="004C78D8">
        <w:t>a falls prevention economic model</w:t>
      </w:r>
      <w:r w:rsidRPr="004C78D8">
        <w:t xml:space="preserve">.  </w:t>
      </w:r>
    </w:p>
    <w:p w14:paraId="6A0FF0C1" w14:textId="5233D248" w:rsidR="00635898" w:rsidRPr="004C78D8" w:rsidRDefault="00635898" w:rsidP="00FB7C1F">
      <w:pPr>
        <w:pStyle w:val="ListParagraph"/>
        <w:numPr>
          <w:ilvl w:val="0"/>
          <w:numId w:val="1"/>
        </w:numPr>
      </w:pPr>
      <w:r w:rsidRPr="004C78D8">
        <w:t xml:space="preserve">Conduct a systematic review of previous </w:t>
      </w:r>
      <w:r w:rsidR="00A0124E" w:rsidRPr="004C78D8">
        <w:t xml:space="preserve">falls prevention </w:t>
      </w:r>
      <w:r w:rsidR="006F2291" w:rsidRPr="004C78D8">
        <w:t>economic</w:t>
      </w:r>
      <w:r w:rsidRPr="004C78D8">
        <w:t xml:space="preserve"> models and </w:t>
      </w:r>
      <w:r w:rsidR="00A0124E" w:rsidRPr="004C78D8">
        <w:t>evaluate</w:t>
      </w:r>
      <w:r w:rsidRPr="004C78D8">
        <w:t xml:space="preserve"> how </w:t>
      </w:r>
      <w:r w:rsidR="00A0124E" w:rsidRPr="004C78D8">
        <w:t xml:space="preserve">they handled the </w:t>
      </w:r>
      <w:r w:rsidR="002D16CD">
        <w:t xml:space="preserve">key </w:t>
      </w:r>
      <w:r w:rsidR="00A0124E" w:rsidRPr="004C78D8">
        <w:t>methodological challenges of model development</w:t>
      </w:r>
      <w:r w:rsidR="006129E2" w:rsidRPr="004C78D8">
        <w:t xml:space="preserve">, which in turn would help formulate methodological recommendations for subsequent modelling. </w:t>
      </w:r>
    </w:p>
    <w:p w14:paraId="009405C4" w14:textId="129B6241" w:rsidR="00635898" w:rsidRPr="004C78D8" w:rsidRDefault="00635898" w:rsidP="00FB7C1F">
      <w:pPr>
        <w:pStyle w:val="ListParagraph"/>
        <w:numPr>
          <w:ilvl w:val="0"/>
          <w:numId w:val="1"/>
        </w:numPr>
      </w:pPr>
      <w:r w:rsidRPr="004C78D8">
        <w:t xml:space="preserve">Develop a </w:t>
      </w:r>
      <w:r w:rsidR="00A0124E" w:rsidRPr="004C78D8">
        <w:rPr>
          <w:i/>
          <w:iCs/>
        </w:rPr>
        <w:t>de novo</w:t>
      </w:r>
      <w:r w:rsidR="00B171D1" w:rsidRPr="004C78D8">
        <w:t>, validated</w:t>
      </w:r>
      <w:r w:rsidR="00A0124E" w:rsidRPr="004C78D8">
        <w:t xml:space="preserve"> falls prevention economic model for</w:t>
      </w:r>
      <w:r w:rsidRPr="004C78D8">
        <w:t xml:space="preserve"> Sheffield</w:t>
      </w:r>
      <w:r w:rsidR="00E5783F" w:rsidRPr="004C78D8">
        <w:t xml:space="preserve"> as a representative local health economy</w:t>
      </w:r>
      <w:r w:rsidR="005E1DCF" w:rsidRPr="004C78D8">
        <w:t xml:space="preserve">. </w:t>
      </w:r>
      <w:r w:rsidR="006129E2" w:rsidRPr="004C78D8">
        <w:t xml:space="preserve">The model should address the methodological challenges </w:t>
      </w:r>
      <w:r w:rsidR="0023683F" w:rsidRPr="004C78D8">
        <w:t xml:space="preserve">and recommendations </w:t>
      </w:r>
      <w:r w:rsidR="006129E2" w:rsidRPr="004C78D8">
        <w:t>identified in objectives (1) and (2)</w:t>
      </w:r>
      <w:r w:rsidR="00E078FA" w:rsidRPr="004C78D8">
        <w:t>. It should then</w:t>
      </w:r>
      <w:r w:rsidR="00B81DD8" w:rsidRPr="004C78D8">
        <w:t xml:space="preserve"> evaluate the performance of the falls prevention strategy recommended by the UK guidelines relative to the current practice in Sheffield, as well as </w:t>
      </w:r>
      <w:bookmarkStart w:id="24" w:name="_Hlk109837837"/>
      <w:r w:rsidR="006E1C85" w:rsidRPr="004C78D8">
        <w:t>alternative</w:t>
      </w:r>
      <w:r w:rsidR="00A51E5A" w:rsidRPr="004C78D8">
        <w:t xml:space="preserve"> </w:t>
      </w:r>
      <w:r w:rsidR="006E1C85" w:rsidRPr="004C78D8">
        <w:t xml:space="preserve">intervention </w:t>
      </w:r>
      <w:r w:rsidR="00A51E5A" w:rsidRPr="004C78D8">
        <w:t>strategies</w:t>
      </w:r>
      <w:r w:rsidR="00BE1074" w:rsidRPr="004C78D8">
        <w:t xml:space="preserve"> suggested by the understanding of the decision problem in (1)</w:t>
      </w:r>
      <w:bookmarkEnd w:id="24"/>
      <w:r w:rsidR="00B81DD8" w:rsidRPr="004C78D8">
        <w:t>. This would be followed by commissioning recommendations</w:t>
      </w:r>
      <w:r w:rsidR="00B75AF5" w:rsidRPr="004C78D8">
        <w:t xml:space="preserve"> using a wide set of decision criteria including efficiency, equity, capacity and budget constraints, and individual-level outcomes.</w:t>
      </w:r>
    </w:p>
    <w:p w14:paraId="3B3D7AEF" w14:textId="650E6B15" w:rsidR="006F2291" w:rsidRPr="004C78D8" w:rsidRDefault="00ED2A14" w:rsidP="00FB7C1F">
      <w:r w:rsidRPr="004C78D8">
        <w:t xml:space="preserve">The intended audience of this thesis are health economists, commissioners and public health practitioners – falls prevention specialists, clinical professionals and lay volunteers – who seek a </w:t>
      </w:r>
      <w:r w:rsidR="005E1DCF" w:rsidRPr="004C78D8">
        <w:t xml:space="preserve">successful </w:t>
      </w:r>
      <w:r w:rsidRPr="004C78D8">
        <w:t xml:space="preserve">population-wide implementation of falls prevention in </w:t>
      </w:r>
      <w:r w:rsidR="00915C70" w:rsidRPr="004C78D8">
        <w:t xml:space="preserve">their </w:t>
      </w:r>
      <w:r w:rsidR="00B171D1" w:rsidRPr="004C78D8">
        <w:t>local health economies</w:t>
      </w:r>
      <w:r w:rsidRPr="004C78D8">
        <w:t>.</w:t>
      </w:r>
      <w:r w:rsidR="00B171D1" w:rsidRPr="004C78D8">
        <w:t xml:space="preserve"> </w:t>
      </w:r>
      <w:r w:rsidR="002D16CD">
        <w:t xml:space="preserve">The modelling </w:t>
      </w:r>
      <w:r w:rsidR="00590388">
        <w:t>solutions achieved</w:t>
      </w:r>
      <w:r w:rsidR="002D16CD">
        <w:t xml:space="preserve"> should </w:t>
      </w:r>
      <w:r w:rsidR="00590388">
        <w:t>aid modellers in this topic area</w:t>
      </w:r>
      <w:r w:rsidR="002D16CD">
        <w:t xml:space="preserve">. </w:t>
      </w:r>
      <w:r w:rsidR="00590388" w:rsidRPr="004C78D8">
        <w:t xml:space="preserve">The current work also serves as a first full case study in applying the above-mentioned conceptual framework </w:t>
      </w:r>
      <w:r w:rsidR="00590388" w:rsidRPr="004C78D8">
        <w:fldChar w:fldCharType="begin"/>
      </w:r>
      <w:r w:rsidR="00590388" w:rsidRPr="004C78D8">
        <w:instrText xml:space="preserve"> ADDIN EN.CITE &lt;EndNote&gt;&lt;Cite&gt;&lt;Author&gt;Squires&lt;/Author&gt;&lt;Year&gt;2016&lt;/Year&gt;&lt;RecNum&gt;158&lt;/RecNum&gt;&lt;DisplayText&gt;[1]&lt;/DisplayText&gt;&lt;record&gt;&lt;rec-number&gt;158&lt;/rec-number&gt;&lt;foreign-keys&gt;&lt;key app="EN" db-id="tdtrdw9aepptzbefsat599syza29sxsd2wsp" timestamp="1609254669"&gt;158&lt;/key&gt;&lt;/foreign-keys&gt;&lt;ref-type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framework for developing the structure of public health economic models&lt;/title&gt;&lt;secondary-title&gt;Value in Health&lt;/secondary-title&gt;&lt;/titles&gt;&lt;periodical&gt;&lt;full-title&gt;Value in Health&lt;/full-title&gt;&lt;/periodical&gt;&lt;pages&gt;588-601&lt;/pages&gt;&lt;volume&gt;19&lt;/volume&gt;&lt;number&gt;5&lt;/number&gt;&lt;dates&gt;&lt;year&gt;2016&lt;/year&gt;&lt;/dates&gt;&lt;isbn&gt;1098-3015&lt;/isbn&gt;&lt;urls&gt;&lt;/urls&gt;&lt;research-notes&gt;1&lt;/research-notes&gt;&lt;/record&gt;&lt;/Cite&gt;&lt;/EndNote&gt;</w:instrText>
      </w:r>
      <w:r w:rsidR="00590388" w:rsidRPr="004C78D8">
        <w:fldChar w:fldCharType="separate"/>
      </w:r>
      <w:r w:rsidR="00590388" w:rsidRPr="004C78D8">
        <w:rPr>
          <w:noProof/>
        </w:rPr>
        <w:t>[1]</w:t>
      </w:r>
      <w:r w:rsidR="00590388" w:rsidRPr="004C78D8">
        <w:fldChar w:fldCharType="end"/>
      </w:r>
      <w:r w:rsidR="00590388" w:rsidRPr="004C78D8">
        <w:t xml:space="preserve">. </w:t>
      </w:r>
      <w:r w:rsidR="00590388">
        <w:t>It</w:t>
      </w:r>
      <w:r w:rsidR="00590388" w:rsidRPr="004C78D8">
        <w:t xml:space="preserve"> would </w:t>
      </w:r>
      <w:r w:rsidR="00590388">
        <w:t xml:space="preserve">hence </w:t>
      </w:r>
      <w:r w:rsidR="00590388" w:rsidRPr="004C78D8">
        <w:t>aid future projects in public health economic modelling, both geriatric and non-geriatric.</w:t>
      </w:r>
      <w:r w:rsidR="00590388">
        <w:t xml:space="preserve"> </w:t>
      </w:r>
    </w:p>
    <w:p w14:paraId="02D90CC5" w14:textId="77777777" w:rsidR="00ED2A14" w:rsidRPr="004C78D8" w:rsidRDefault="00ED2A14" w:rsidP="00FB7C1F"/>
    <w:p w14:paraId="50CCDE5C" w14:textId="65FCC48F" w:rsidR="006F2291" w:rsidRPr="004C78D8" w:rsidRDefault="006F2291" w:rsidP="00FB7C1F">
      <w:pPr>
        <w:pStyle w:val="Heading2"/>
      </w:pPr>
      <w:bookmarkStart w:id="25" w:name="_Toc93566847"/>
      <w:bookmarkStart w:id="26" w:name="_Toc111630691"/>
      <w:r w:rsidRPr="004C78D8">
        <w:t>1.3 Rationale for the research</w:t>
      </w:r>
      <w:bookmarkEnd w:id="25"/>
      <w:bookmarkEnd w:id="26"/>
    </w:p>
    <w:p w14:paraId="6158F9BC" w14:textId="74E90D14" w:rsidR="007B5B5F" w:rsidRPr="004C78D8" w:rsidRDefault="00D626FB" w:rsidP="00FB7C1F">
      <w:r w:rsidRPr="004C78D8">
        <w:t xml:space="preserve">This section </w:t>
      </w:r>
      <w:r w:rsidR="00425B31" w:rsidRPr="004C78D8">
        <w:t>discusses</w:t>
      </w:r>
      <w:r w:rsidR="008915AE" w:rsidRPr="004C78D8">
        <w:t xml:space="preserve"> the following topics that </w:t>
      </w:r>
      <w:r w:rsidR="00425B31" w:rsidRPr="004C78D8">
        <w:t>set the background</w:t>
      </w:r>
      <w:r w:rsidR="00135B5B" w:rsidRPr="004C78D8">
        <w:t xml:space="preserve"> to </w:t>
      </w:r>
      <w:r w:rsidR="008915AE" w:rsidRPr="004C78D8">
        <w:t>the research rationale</w:t>
      </w:r>
      <w:r w:rsidRPr="004C78D8">
        <w:t xml:space="preserve">: </w:t>
      </w:r>
    </w:p>
    <w:p w14:paraId="429E69EF" w14:textId="77777777" w:rsidR="007B5B5F" w:rsidRPr="004C78D8" w:rsidRDefault="007B5B5F" w:rsidP="00FB7C1F">
      <w:pPr>
        <w:pStyle w:val="ListParagraph"/>
        <w:numPr>
          <w:ilvl w:val="0"/>
          <w:numId w:val="10"/>
        </w:numPr>
      </w:pPr>
      <w:r w:rsidRPr="004C78D8">
        <w:t xml:space="preserve">Geriatric health challenges including falls and frailty </w:t>
      </w:r>
      <w:r w:rsidR="00D626FB" w:rsidRPr="004C78D8">
        <w:t xml:space="preserve">(Section 1.3.1) </w:t>
      </w:r>
    </w:p>
    <w:p w14:paraId="0540F838" w14:textId="0123E9B2" w:rsidR="007B5B5F" w:rsidRPr="004C78D8" w:rsidRDefault="00A145F4" w:rsidP="00FB7C1F">
      <w:pPr>
        <w:pStyle w:val="ListParagraph"/>
        <w:numPr>
          <w:ilvl w:val="0"/>
          <w:numId w:val="10"/>
        </w:numPr>
      </w:pPr>
      <w:r w:rsidRPr="004C78D8">
        <w:lastRenderedPageBreak/>
        <w:t xml:space="preserve">Geriatric public health </w:t>
      </w:r>
      <w:r w:rsidR="00D25E13" w:rsidRPr="004C78D8">
        <w:t>interventions</w:t>
      </w:r>
      <w:r w:rsidR="002C3953" w:rsidRPr="004C78D8">
        <w:t xml:space="preserve"> </w:t>
      </w:r>
      <w:r w:rsidR="00D626FB" w:rsidRPr="004C78D8">
        <w:t>(Section 1.3.2)</w:t>
      </w:r>
    </w:p>
    <w:p w14:paraId="1BFF727F" w14:textId="21D63A8B" w:rsidR="002C3953" w:rsidRPr="004C78D8" w:rsidRDefault="00AC0BCA" w:rsidP="00FB7C1F">
      <w:pPr>
        <w:pStyle w:val="ListParagraph"/>
        <w:numPr>
          <w:ilvl w:val="0"/>
          <w:numId w:val="10"/>
        </w:numPr>
      </w:pPr>
      <w:r w:rsidRPr="004C78D8">
        <w:t>Geriatric falls prevention</w:t>
      </w:r>
      <w:r w:rsidR="002C3953" w:rsidRPr="004C78D8">
        <w:t xml:space="preserve"> (Section 1.3.3)</w:t>
      </w:r>
    </w:p>
    <w:p w14:paraId="0EA287AA" w14:textId="3290A417" w:rsidR="007B5B5F" w:rsidRPr="004C78D8" w:rsidRDefault="007B5B5F" w:rsidP="00FB7C1F">
      <w:pPr>
        <w:pStyle w:val="ListParagraph"/>
        <w:numPr>
          <w:ilvl w:val="0"/>
          <w:numId w:val="10"/>
        </w:numPr>
      </w:pPr>
      <w:r w:rsidRPr="004C78D8">
        <w:t>Health economic evaluation (Section 1.3.</w:t>
      </w:r>
      <w:r w:rsidR="002C3953" w:rsidRPr="004C78D8">
        <w:t>4</w:t>
      </w:r>
      <w:r w:rsidRPr="004C78D8">
        <w:t>)</w:t>
      </w:r>
    </w:p>
    <w:p w14:paraId="177F28C1" w14:textId="1C37B745" w:rsidR="007B5B5F" w:rsidRPr="004C78D8" w:rsidRDefault="00AC0BCA" w:rsidP="00FB7C1F">
      <w:pPr>
        <w:pStyle w:val="ListParagraph"/>
        <w:numPr>
          <w:ilvl w:val="0"/>
          <w:numId w:val="10"/>
        </w:numPr>
      </w:pPr>
      <w:r w:rsidRPr="004C78D8">
        <w:t>D</w:t>
      </w:r>
      <w:r w:rsidR="00135B5B" w:rsidRPr="004C78D8">
        <w:t xml:space="preserve">eveloping </w:t>
      </w:r>
      <w:r w:rsidR="00F0316A" w:rsidRPr="004C78D8">
        <w:t xml:space="preserve">and evaluating </w:t>
      </w:r>
      <w:r w:rsidRPr="004C78D8">
        <w:t>a falls prevention economic model</w:t>
      </w:r>
      <w:r w:rsidR="00135B5B" w:rsidRPr="004C78D8">
        <w:t xml:space="preserve"> (Section 1.3.</w:t>
      </w:r>
      <w:r w:rsidR="002C3953" w:rsidRPr="004C78D8">
        <w:t>5</w:t>
      </w:r>
      <w:r w:rsidR="00135B5B" w:rsidRPr="004C78D8">
        <w:t xml:space="preserve">). </w:t>
      </w:r>
    </w:p>
    <w:p w14:paraId="367035BC" w14:textId="3EA10BE5" w:rsidR="00D626FB" w:rsidRPr="004C78D8" w:rsidRDefault="008915AE" w:rsidP="00FB7C1F">
      <w:r w:rsidRPr="004C78D8">
        <w:t>Section 1.3.</w:t>
      </w:r>
      <w:r w:rsidR="00C262A8" w:rsidRPr="004C78D8">
        <w:t>6</w:t>
      </w:r>
      <w:r w:rsidRPr="004C78D8">
        <w:t xml:space="preserve"> </w:t>
      </w:r>
      <w:r w:rsidR="00876588" w:rsidRPr="004C78D8">
        <w:t xml:space="preserve">then </w:t>
      </w:r>
      <w:r w:rsidR="007B5B5F" w:rsidRPr="004C78D8">
        <w:t>concludes by summari</w:t>
      </w:r>
      <w:r w:rsidR="00396E49" w:rsidRPr="004C78D8">
        <w:t>s</w:t>
      </w:r>
      <w:r w:rsidR="007B5B5F" w:rsidRPr="004C78D8">
        <w:t>ing</w:t>
      </w:r>
      <w:r w:rsidRPr="004C78D8">
        <w:t xml:space="preserve"> the rationale</w:t>
      </w:r>
      <w:r w:rsidR="00AC0BCA" w:rsidRPr="004C78D8">
        <w:t xml:space="preserve"> for the thesis aim and objectives</w:t>
      </w:r>
      <w:r w:rsidRPr="004C78D8">
        <w:t>.</w:t>
      </w:r>
    </w:p>
    <w:p w14:paraId="40C84C40" w14:textId="5DBC5727" w:rsidR="00D626FB" w:rsidRPr="004C78D8" w:rsidRDefault="00D626FB" w:rsidP="00FB7C1F">
      <w:pPr>
        <w:pStyle w:val="Heading3"/>
      </w:pPr>
      <w:bookmarkStart w:id="27" w:name="_Toc111630692"/>
      <w:r w:rsidRPr="004C78D8">
        <w:t xml:space="preserve">1.3.1 </w:t>
      </w:r>
      <w:r w:rsidR="008915AE" w:rsidRPr="004C78D8">
        <w:t>Geriatric h</w:t>
      </w:r>
      <w:r w:rsidRPr="004C78D8">
        <w:t xml:space="preserve">ealth </w:t>
      </w:r>
      <w:r w:rsidR="008915AE" w:rsidRPr="004C78D8">
        <w:t>challenges including falls and frailty</w:t>
      </w:r>
      <w:bookmarkEnd w:id="27"/>
    </w:p>
    <w:p w14:paraId="7C1791DB" w14:textId="7175C8B2" w:rsidR="00AF5F74" w:rsidRPr="004C78D8" w:rsidRDefault="00AF5F74" w:rsidP="00FB7C1F">
      <w:r w:rsidRPr="004C78D8">
        <w:t xml:space="preserve">This research is concerned with the health of </w:t>
      </w:r>
      <w:r w:rsidR="008F1AFC" w:rsidRPr="004C78D8">
        <w:t xml:space="preserve">the </w:t>
      </w:r>
      <w:r w:rsidRPr="004C78D8">
        <w:t>population aged 60 and over</w:t>
      </w:r>
      <w:r w:rsidR="00821160" w:rsidRPr="004C78D8">
        <w:t xml:space="preserve"> (60+)</w:t>
      </w:r>
      <w:r w:rsidRPr="004C78D8">
        <w:t xml:space="preserve">. Yet, to </w:t>
      </w:r>
      <w:r w:rsidR="00297368" w:rsidRPr="004C78D8">
        <w:t xml:space="preserve">better </w:t>
      </w:r>
      <w:r w:rsidRPr="004C78D8">
        <w:t>understand the nature of health challenges</w:t>
      </w:r>
      <w:r w:rsidR="00297368" w:rsidRPr="004C78D8">
        <w:t xml:space="preserve"> in this population</w:t>
      </w:r>
      <w:r w:rsidRPr="004C78D8">
        <w:t>, a distinction is needed between the bio</w:t>
      </w:r>
      <w:r w:rsidR="001A4C84" w:rsidRPr="004C78D8">
        <w:t>-</w:t>
      </w:r>
      <w:r w:rsidRPr="004C78D8">
        <w:t xml:space="preserve">social process of ‘ageing’ and advancement in chronological age (Section 1.3.1.1). </w:t>
      </w:r>
      <w:r w:rsidR="006E3DB3" w:rsidRPr="004C78D8">
        <w:t>G</w:t>
      </w:r>
      <w:r w:rsidR="005F4B9B" w:rsidRPr="004C78D8">
        <w:t>eriatric health research</w:t>
      </w:r>
      <w:r w:rsidR="00297368" w:rsidRPr="004C78D8">
        <w:t xml:space="preserve"> should consider </w:t>
      </w:r>
      <w:r w:rsidR="00CD2BF6" w:rsidRPr="004C78D8">
        <w:t xml:space="preserve">the </w:t>
      </w:r>
      <w:r w:rsidR="00A964D5" w:rsidRPr="004C78D8">
        <w:t>heterogeneous</w:t>
      </w:r>
      <w:r w:rsidR="00AF27D9" w:rsidRPr="004C78D8">
        <w:t xml:space="preserve"> ways in which ageing is experienced by subgroups of the </w:t>
      </w:r>
      <w:r w:rsidR="008601B7" w:rsidRPr="004C78D8">
        <w:t xml:space="preserve">older </w:t>
      </w:r>
      <w:r w:rsidR="00AF27D9" w:rsidRPr="004C78D8">
        <w:t xml:space="preserve">population and </w:t>
      </w:r>
      <w:r w:rsidR="00CD2BF6" w:rsidRPr="004C78D8">
        <w:t>the interaction</w:t>
      </w:r>
      <w:r w:rsidR="00AF27D9" w:rsidRPr="004C78D8">
        <w:t>s</w:t>
      </w:r>
      <w:r w:rsidR="00CD2BF6" w:rsidRPr="004C78D8">
        <w:t xml:space="preserve"> between diseases and symptoms</w:t>
      </w:r>
      <w:r w:rsidR="00AF27D9" w:rsidRPr="004C78D8">
        <w:t xml:space="preserve"> that give rise to geriatric syndromes including falls and frailty</w:t>
      </w:r>
      <w:r w:rsidR="00CD2BF6" w:rsidRPr="004C78D8">
        <w:t xml:space="preserve"> (Section 1.3.1.2). Finally,</w:t>
      </w:r>
      <w:r w:rsidR="005F4B9B" w:rsidRPr="004C78D8">
        <w:t xml:space="preserve"> the continued increase in the absolute and relative size</w:t>
      </w:r>
      <w:r w:rsidR="00915C70" w:rsidRPr="004C78D8">
        <w:t>s</w:t>
      </w:r>
      <w:r w:rsidR="005F4B9B" w:rsidRPr="004C78D8">
        <w:t xml:space="preserve"> of the </w:t>
      </w:r>
      <w:r w:rsidR="00400FF1" w:rsidRPr="004C78D8">
        <w:t>older</w:t>
      </w:r>
      <w:r w:rsidR="005F4B9B" w:rsidRPr="004C78D8">
        <w:t xml:space="preserve"> population augments the importance of geriatric health research</w:t>
      </w:r>
      <w:r w:rsidR="006E3DB3" w:rsidRPr="004C78D8">
        <w:t xml:space="preserve"> to ensure</w:t>
      </w:r>
      <w:r w:rsidR="005F4B9B" w:rsidRPr="004C78D8">
        <w:t xml:space="preserve"> that population ageing is </w:t>
      </w:r>
      <w:r w:rsidR="008F4867" w:rsidRPr="004C78D8">
        <w:t>characteri</w:t>
      </w:r>
      <w:r w:rsidR="00877EAB" w:rsidRPr="004C78D8">
        <w:t>s</w:t>
      </w:r>
      <w:r w:rsidR="008F4867" w:rsidRPr="004C78D8">
        <w:t xml:space="preserve">ed by </w:t>
      </w:r>
      <w:r w:rsidR="005F4B9B" w:rsidRPr="004C78D8">
        <w:t xml:space="preserve">healthy ageing (Section 1.3.1.3). </w:t>
      </w:r>
    </w:p>
    <w:p w14:paraId="5BDD2676" w14:textId="04991E55" w:rsidR="006E3DB3" w:rsidRPr="004C78D8" w:rsidRDefault="006E3DB3" w:rsidP="00FB7C1F">
      <w:pPr>
        <w:pStyle w:val="Heading4"/>
      </w:pPr>
      <w:r w:rsidRPr="004C78D8">
        <w:t>1.3.1.1 Ageing and old age</w:t>
      </w:r>
    </w:p>
    <w:p w14:paraId="51FAA89E" w14:textId="4AD0B112" w:rsidR="00257971" w:rsidRPr="004C78D8" w:rsidRDefault="007B0D08" w:rsidP="00FB7C1F">
      <w:r w:rsidRPr="004C78D8">
        <w:t xml:space="preserve">The concept of ageing encapsulates the multidimensional changes that occur over the life course in both the physical and psychosocial spheres of an individual </w:t>
      </w:r>
      <w:r w:rsidR="00877EAB" w:rsidRPr="004C78D8">
        <w:fldChar w:fldCharType="begin"/>
      </w:r>
      <w:r w:rsidR="00B1431E" w:rsidRPr="004C78D8">
        <w:instrText xml:space="preserve"> ADDIN EN.CITE &lt;EndNote&gt;&lt;Cite&gt;&lt;Author&gt;World Health Organization&lt;/Author&gt;&lt;Year&gt;2015&lt;/Year&gt;&lt;RecNum&gt;1&lt;/RecNum&gt;&lt;DisplayText&gt;[2]&lt;/DisplayText&gt;&lt;record&gt;&lt;rec-number&gt;1&lt;/rec-number&gt;&lt;foreign-keys&gt;&lt;key app="EN" db-id="tdtrdw9aepptzbefsat599syza29sxsd2wsp" timestamp="1596571129"&gt;1&lt;/key&gt;&lt;/foreign-keys&gt;&lt;ref-type name="Book"&gt;6&lt;/ref-type&gt;&lt;contributors&gt;&lt;authors&gt;&lt;author&gt;World Health Organization,&lt;/author&gt;&lt;/authors&gt;&lt;/contributors&gt;&lt;titles&gt;&lt;title&gt;World Report on Ageing and Health&lt;/title&gt;&lt;/titles&gt;&lt;dates&gt;&lt;year&gt;2015&lt;/year&gt;&lt;/dates&gt;&lt;publisher&gt;World Health Organization&lt;/publisher&gt;&lt;isbn&gt;9241565047&lt;/isbn&gt;&lt;urls&gt;&lt;/urls&gt;&lt;/record&gt;&lt;/Cite&gt;&lt;/EndNote&gt;</w:instrText>
      </w:r>
      <w:r w:rsidR="00877EAB" w:rsidRPr="004C78D8">
        <w:fldChar w:fldCharType="separate"/>
      </w:r>
      <w:r w:rsidR="00877EAB" w:rsidRPr="004C78D8">
        <w:rPr>
          <w:noProof/>
        </w:rPr>
        <w:t>[2]</w:t>
      </w:r>
      <w:r w:rsidR="00877EAB" w:rsidRPr="004C78D8">
        <w:fldChar w:fldCharType="end"/>
      </w:r>
      <w:r w:rsidRPr="004C78D8">
        <w:t xml:space="preserve">. At the physical level, ageing is associated with the gradual accumulation of a diverse range of molecular and cellular damages </w:t>
      </w:r>
      <w:r w:rsidR="00E20314" w:rsidRPr="004C78D8">
        <w:fldChar w:fldCharType="begin"/>
      </w:r>
      <w:r w:rsidR="00E20314" w:rsidRPr="004C78D8">
        <w:instrText xml:space="preserve"> ADDIN EN.CITE &lt;EndNote&gt;&lt;Cite&gt;&lt;Author&gt;Kirkwood&lt;/Author&gt;&lt;Year&gt;2008&lt;/Year&gt;&lt;RecNum&gt;159&lt;/RecNum&gt;&lt;DisplayText&gt;[3]&lt;/DisplayText&gt;&lt;record&gt;&lt;rec-number&gt;159&lt;/rec-number&gt;&lt;foreign-keys&gt;&lt;key app="EN" db-id="tdtrdw9aepptzbefsat599syza29sxsd2wsp" timestamp="1609254714"&gt;159&lt;/key&gt;&lt;/foreign-keys&gt;&lt;ref-type name="Journal Article"&gt;17&lt;/ref-type&gt;&lt;contributors&gt;&lt;authors&gt;&lt;author&gt;Kirkwood, Thomas BL&lt;/author&gt;&lt;/authors&gt;&lt;/contributors&gt;&lt;titles&gt;&lt;title&gt;A systematic look at an old problem&lt;/title&gt;&lt;secondary-title&gt;Nature&lt;/secondary-title&gt;&lt;/titles&gt;&lt;periodical&gt;&lt;full-title&gt;Nature&lt;/full-title&gt;&lt;/periodical&gt;&lt;pages&gt;644-647&lt;/pages&gt;&lt;volume&gt;451&lt;/volume&gt;&lt;number&gt;7179&lt;/number&gt;&lt;dates&gt;&lt;year&gt;2008&lt;/year&gt;&lt;/dates&gt;&lt;isbn&gt;1476-4687&lt;/isbn&gt;&lt;urls&gt;&lt;/urls&gt;&lt;research-notes&gt;2&lt;/research-notes&gt;&lt;/record&gt;&lt;/Cite&gt;&lt;/EndNote&gt;</w:instrText>
      </w:r>
      <w:r w:rsidR="00E20314" w:rsidRPr="004C78D8">
        <w:fldChar w:fldCharType="separate"/>
      </w:r>
      <w:r w:rsidR="00E20314" w:rsidRPr="004C78D8">
        <w:rPr>
          <w:noProof/>
        </w:rPr>
        <w:t>[3]</w:t>
      </w:r>
      <w:r w:rsidR="00E20314" w:rsidRPr="004C78D8">
        <w:fldChar w:fldCharType="end"/>
      </w:r>
      <w:r w:rsidRPr="004C78D8">
        <w:t>. These damages lead to progressive, generali</w:t>
      </w:r>
      <w:r w:rsidR="00E20314" w:rsidRPr="004C78D8">
        <w:t>s</w:t>
      </w:r>
      <w:r w:rsidRPr="004C78D8">
        <w:t xml:space="preserve">ed impairments in physical capacities such as </w:t>
      </w:r>
      <w:r w:rsidR="003135FE" w:rsidRPr="004C78D8">
        <w:t xml:space="preserve">muscle strength, </w:t>
      </w:r>
      <w:r w:rsidRPr="004C78D8">
        <w:t xml:space="preserve">mobility, cognition, vision and hearing </w:t>
      </w:r>
      <w:r w:rsidR="00E20314" w:rsidRPr="004C78D8">
        <w:fldChar w:fldCharType="begin">
          <w:fldData xml:space="preserve">PEVuZE5vdGU+PENpdGU+PEF1dGhvcj5CYWx0ZXM8L0F1dGhvcj48WWVhcj4xOTk3PC9ZZWFyPjxS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</w:fldData>
        </w:fldChar>
      </w:r>
      <w:r w:rsidR="00E20314" w:rsidRPr="004C78D8">
        <w:instrText xml:space="preserve"> ADDIN EN.CITE </w:instrText>
      </w:r>
      <w:r w:rsidR="00E20314" w:rsidRPr="004C78D8">
        <w:fldChar w:fldCharType="begin">
          <w:fldData xml:space="preserve">PEVuZE5vdGU+PENpdGU+PEF1dGhvcj5CYWx0ZXM8L0F1dGhvcj48WWVhcj4xOTk3PC9ZZWFyPjxS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</w:fldData>
        </w:fldChar>
      </w:r>
      <w:r w:rsidR="00E20314" w:rsidRPr="004C78D8">
        <w:instrText xml:space="preserve"> ADDIN EN.CITE.DATA </w:instrText>
      </w:r>
      <w:r w:rsidR="00E20314" w:rsidRPr="004C78D8">
        <w:fldChar w:fldCharType="end"/>
      </w:r>
      <w:r w:rsidR="00E20314" w:rsidRPr="004C78D8">
        <w:fldChar w:fldCharType="separate"/>
      </w:r>
      <w:r w:rsidR="00E20314" w:rsidRPr="004C78D8">
        <w:rPr>
          <w:noProof/>
        </w:rPr>
        <w:t>[4-6]</w:t>
      </w:r>
      <w:r w:rsidR="00E20314" w:rsidRPr="004C78D8">
        <w:fldChar w:fldCharType="end"/>
      </w:r>
      <w:r w:rsidRPr="004C78D8">
        <w:t>, increased risk</w:t>
      </w:r>
      <w:r w:rsidR="00D844E4" w:rsidRPr="004C78D8">
        <w:t>s</w:t>
      </w:r>
      <w:r w:rsidRPr="004C78D8">
        <w:t xml:space="preserve"> of chronic diseases </w:t>
      </w:r>
      <w:r w:rsidR="0086270E" w:rsidRPr="004C78D8">
        <w:fldChar w:fldCharType="begin"/>
      </w:r>
      <w:r w:rsidR="0086270E" w:rsidRPr="004C78D8">
        <w:instrText xml:space="preserve"> ADDIN EN.CITE &lt;EndNote&gt;&lt;Cite&gt;&lt;Author&gt;Roland&lt;/Author&gt;&lt;Year&gt;2013&lt;/Year&gt;&lt;RecNum&gt;20&lt;/RecNum&gt;&lt;DisplayText&gt;[7]&lt;/DisplayText&gt;&lt;record&gt;&lt;rec-number&gt;20&lt;/rec-number&gt;&lt;foreign-keys&gt;&lt;key app="EN" db-id="tdtrdw9aepptzbefsat599syza29sxsd2wsp" timestamp="1596631083"&gt;20&lt;/key&gt;&lt;/foreign-keys&gt;&lt;ref-type name="Journal Article"&gt;17&lt;/ref-type&gt;&lt;contributors&gt;&lt;authors&gt;&lt;author&gt;Roland, M.&lt;/author&gt;&lt;author&gt;Paddison, C.&lt;/author&gt;&lt;/authors&gt;&lt;/contributors&gt;&lt;auth-address&gt;Cambridge Institute of Public Health, University of Cambridge, Cambridge CB2 0SR, UK. mr108@cam.ac.uk&lt;/auth-address&gt;&lt;titles&gt;&lt;title&gt;Better management of patients with multimorbidity&lt;/title&gt;&lt;secondary-title&gt;BMJ&lt;/secondary-title&gt;&lt;/titles&gt;&lt;periodical&gt;&lt;full-title&gt;Bmj&lt;/full-title&gt;&lt;/periodical&gt;&lt;pages&gt;f2510&lt;/pages&gt;&lt;volume&gt;346&lt;/volume&gt;&lt;keywords&gt;&lt;keyword&gt;Chronic Disease/*therapy&lt;/keyword&gt;&lt;keyword&gt;Communication&lt;/keyword&gt;&lt;keyword&gt;Comorbidity&lt;/keyword&gt;&lt;keyword&gt;*Continuity of Patient Care&lt;/keyword&gt;&lt;keyword&gt;Decision Making&lt;/keyword&gt;&lt;keyword&gt;Humans&lt;/keyword&gt;&lt;keyword&gt;Patient Preference&lt;/keyword&gt;&lt;keyword&gt;Physician-Patient Relations&lt;/keyword&gt;&lt;keyword&gt;Practice Guidelines as Topic&lt;/keyword&gt;&lt;keyword&gt;Primary Health Care&lt;/keyword&gt;&lt;keyword&gt;Quality of Health Care&lt;/keyword&gt;&lt;/keywords&gt;&lt;dates&gt;&lt;year&gt;2013&lt;/year&gt;&lt;pub-dates&gt;&lt;date&gt;May 2&lt;/date&gt;&lt;/pub-dates&gt;&lt;/dates&gt;&lt;isbn&gt;1756-1833 (Electronic)&amp;#xD;0959-8138 (Linking)&lt;/isbn&gt;&lt;accession-num&gt;23641032&lt;/accession-num&gt;&lt;urls&gt;&lt;related-urls&gt;&lt;url&gt;https://www.ncbi.nlm.nih.gov/pubmed/23641032&lt;/url&gt;&lt;/related-urls&gt;&lt;/urls&gt;&lt;electronic-resource-num&gt;10.1136/bmj.f2510&lt;/electronic-resource-num&gt;&lt;/record&gt;&lt;/Cite&gt;&lt;/EndNote&gt;</w:instrText>
      </w:r>
      <w:r w:rsidR="0086270E" w:rsidRPr="004C78D8">
        <w:fldChar w:fldCharType="separate"/>
      </w:r>
      <w:r w:rsidR="0086270E" w:rsidRPr="004C78D8">
        <w:rPr>
          <w:noProof/>
        </w:rPr>
        <w:t>[7]</w:t>
      </w:r>
      <w:r w:rsidR="0086270E" w:rsidRPr="004C78D8">
        <w:fldChar w:fldCharType="end"/>
      </w:r>
      <w:r w:rsidRPr="004C78D8">
        <w:t xml:space="preserve">, greater vulnerability to environmental challenges such as </w:t>
      </w:r>
      <w:r w:rsidR="001A4C84" w:rsidRPr="004C78D8">
        <w:t>immun</w:t>
      </w:r>
      <w:r w:rsidR="00D844E4" w:rsidRPr="004C78D8">
        <w:t>o-</w:t>
      </w:r>
      <w:r w:rsidRPr="004C78D8">
        <w:t xml:space="preserve">senescence </w:t>
      </w:r>
      <w:r w:rsidR="0086270E" w:rsidRPr="004C78D8">
        <w:fldChar w:fldCharType="begin"/>
      </w:r>
      <w:r w:rsidR="0086270E" w:rsidRPr="004C78D8">
        <w:instrText xml:space="preserve"> ADDIN EN.CITE &lt;EndNote&gt;&lt;Cite&gt;&lt;Author&gt;Lang&lt;/Author&gt;&lt;Year&gt;2013&lt;/Year&gt;&lt;RecNum&gt;23&lt;/RecNum&gt;&lt;DisplayText&gt;[8]&lt;/DisplayText&gt;&lt;record&gt;&lt;rec-number&gt;23&lt;/rec-number&gt;&lt;foreign-keys&gt;&lt;key app="EN" db-id="tdtrdw9aepptzbefsat599syza29sxsd2wsp" timestamp="1596721595"&gt;23&lt;/key&gt;&lt;/foreign-keys&gt;&lt;ref-type name="Journal Article"&gt;17&lt;/ref-type&gt;&lt;contributors&gt;&lt;authors&gt;&lt;author&gt;Lang, Pierre Olivier&lt;/author&gt;&lt;author&gt;Govind, Sheila&lt;/author&gt;&lt;author&gt;Aspinall, Richard&lt;/author&gt;&lt;/authors&gt;&lt;/contributors&gt;&lt;titles&gt;&lt;title&gt;Reversing T cell immunosenescence: why, who, and how&lt;/title&gt;&lt;secondary-title&gt;Age&lt;/secondary-title&gt;&lt;/titles&gt;&lt;periodical&gt;&lt;full-title&gt;Age&lt;/full-title&gt;&lt;/periodical&gt;&lt;pages&gt;609-620&lt;/pages&gt;&lt;volume&gt;35&lt;/volume&gt;&lt;number&gt;3&lt;/number&gt;&lt;dates&gt;&lt;year&gt;2013&lt;/year&gt;&lt;/dates&gt;&lt;isbn&gt;0161-9152&lt;/isbn&gt;&lt;urls&gt;&lt;/urls&gt;&lt;/record&gt;&lt;/Cite&gt;&lt;/EndNote&gt;</w:instrText>
      </w:r>
      <w:r w:rsidR="0086270E" w:rsidRPr="004C78D8">
        <w:fldChar w:fldCharType="separate"/>
      </w:r>
      <w:r w:rsidR="0086270E" w:rsidRPr="004C78D8">
        <w:rPr>
          <w:noProof/>
        </w:rPr>
        <w:t>[8]</w:t>
      </w:r>
      <w:r w:rsidR="0086270E" w:rsidRPr="004C78D8">
        <w:fldChar w:fldCharType="end"/>
      </w:r>
      <w:r w:rsidRPr="004C78D8">
        <w:t>, and ultimately death</w:t>
      </w:r>
      <w:r w:rsidR="0086270E" w:rsidRPr="004C78D8">
        <w:t xml:space="preserve"> </w:t>
      </w:r>
      <w:r w:rsidR="0086270E" w:rsidRPr="004C78D8">
        <w:fldChar w:fldCharType="begin"/>
      </w:r>
      <w:r w:rsidR="0086270E" w:rsidRPr="004C78D8">
        <w:instrText xml:space="preserve"> ADDIN EN.CITE &lt;EndNote&gt;&lt;Cite&gt;&lt;Author&gt;Kirkwood&lt;/Author&gt;&lt;Year&gt;2008&lt;/Year&gt;&lt;RecNum&gt;159&lt;/RecNum&gt;&lt;DisplayText&gt;[3]&lt;/DisplayText&gt;&lt;record&gt;&lt;rec-number&gt;159&lt;/rec-number&gt;&lt;foreign-keys&gt;&lt;key app="EN" db-id="tdtrdw9aepptzbefsat599syza29sxsd2wsp" timestamp="1609254714"&gt;159&lt;/key&gt;&lt;/foreign-keys&gt;&lt;ref-type name="Journal Article"&gt;17&lt;/ref-type&gt;&lt;contributors&gt;&lt;authors&gt;&lt;author&gt;Kirkwood, Thomas BL&lt;/author&gt;&lt;/authors&gt;&lt;/contributors&gt;&lt;titles&gt;&lt;title&gt;A systematic look at an old problem&lt;/title&gt;&lt;secondary-title&gt;Nature&lt;/secondary-title&gt;&lt;/titles&gt;&lt;periodical&gt;&lt;full-title&gt;Nature&lt;/full-title&gt;&lt;/periodical&gt;&lt;pages&gt;644-647&lt;/pages&gt;&lt;volume&gt;451&lt;/volume&gt;&lt;number&gt;7179&lt;/number&gt;&lt;dates&gt;&lt;year&gt;2008&lt;/year&gt;&lt;/dates&gt;&lt;isbn&gt;1476-4687&lt;/isbn&gt;&lt;urls&gt;&lt;/urls&gt;&lt;research-notes&gt;2&lt;/research-notes&gt;&lt;/record&gt;&lt;/Cite&gt;&lt;/EndNote&gt;</w:instrText>
      </w:r>
      <w:r w:rsidR="0086270E" w:rsidRPr="004C78D8">
        <w:fldChar w:fldCharType="separate"/>
      </w:r>
      <w:r w:rsidR="0086270E" w:rsidRPr="004C78D8">
        <w:rPr>
          <w:noProof/>
        </w:rPr>
        <w:t>[3]</w:t>
      </w:r>
      <w:r w:rsidR="0086270E" w:rsidRPr="004C78D8">
        <w:fldChar w:fldCharType="end"/>
      </w:r>
      <w:r w:rsidRPr="004C78D8">
        <w:t>. At the psychosocial level, ageing typically involves shifts in social roles and circumstances, including increased risk</w:t>
      </w:r>
      <w:r w:rsidR="00D844E4" w:rsidRPr="004C78D8">
        <w:t>s</w:t>
      </w:r>
      <w:r w:rsidRPr="004C78D8">
        <w:t xml:space="preserve"> of financial stress and social isolation and emotional toll of bereaving the loss of close relations. These psychosocial stressors can combine with physical frailty to induce poor mental health and conditions such as anxiety and depression </w:t>
      </w:r>
      <w:r w:rsidR="0086270E" w:rsidRPr="004C78D8">
        <w:fldChar w:fldCharType="begin"/>
      </w:r>
      <w:r w:rsidR="0086270E" w:rsidRPr="004C78D8">
        <w:instrText xml:space="preserve"> ADDIN EN.CITE &lt;EndNote&gt;&lt;Cite&gt;&lt;Author&gt;Byles&lt;/Author&gt;&lt;Year&gt;2015&lt;/Year&gt;&lt;RecNum&gt;24&lt;/RecNum&gt;&lt;DisplayText&gt;[9]&lt;/DisplayText&gt;&lt;record&gt;&lt;rec-number&gt;24&lt;/rec-number&gt;&lt;foreign-keys&gt;&lt;key app="EN" db-id="tdtrdw9aepptzbefsat599syza29sxsd2wsp" timestamp="1596721671"&gt;24&lt;/key&gt;&lt;/foreign-keys&gt;&lt;ref-type name="Journal Article"&gt;17&lt;/ref-type&gt;&lt;contributors&gt;&lt;authors&gt;&lt;author&gt;Byles, JE&lt;/author&gt;&lt;author&gt;Tavener, M&lt;/author&gt;&lt;/authors&gt;&lt;/contributors&gt;&lt;titles&gt;&lt;title&gt;Health of older people&lt;/title&gt;&lt;secondary-title&gt;Oxford Textbook of Global Public Health&lt;/secondary-title&gt;&lt;/titles&gt;&lt;periodical&gt;&lt;full-title&gt;Oxford Textbook of Global Public Health&lt;/full-title&gt;&lt;/periodical&gt;&lt;pages&gt;1408-1424&lt;/pages&gt;&lt;dates&gt;&lt;year&gt;2015&lt;/year&gt;&lt;/dates&gt;&lt;urls&gt;&lt;/urls&gt;&lt;/record&gt;&lt;/Cite&gt;&lt;/EndNote&gt;</w:instrText>
      </w:r>
      <w:r w:rsidR="0086270E" w:rsidRPr="004C78D8">
        <w:fldChar w:fldCharType="separate"/>
      </w:r>
      <w:r w:rsidR="0086270E" w:rsidRPr="004C78D8">
        <w:rPr>
          <w:noProof/>
        </w:rPr>
        <w:t>[9]</w:t>
      </w:r>
      <w:r w:rsidR="0086270E" w:rsidRPr="004C78D8">
        <w:fldChar w:fldCharType="end"/>
      </w:r>
      <w:r w:rsidRPr="004C78D8">
        <w:t xml:space="preserve">. </w:t>
      </w:r>
    </w:p>
    <w:p w14:paraId="58DD624E" w14:textId="17D41DDA" w:rsidR="0086270E" w:rsidRPr="004C78D8" w:rsidRDefault="0086270E" w:rsidP="00FB7C1F">
      <w:r w:rsidRPr="004C78D8">
        <w:t>T</w:t>
      </w:r>
      <w:r w:rsidR="003135FE" w:rsidRPr="004C78D8">
        <w:t xml:space="preserve">he ageing process is not confined to individuals above a certain </w:t>
      </w:r>
      <w:r w:rsidR="003135FE" w:rsidRPr="004C78D8">
        <w:rPr>
          <w:i/>
          <w:iCs/>
        </w:rPr>
        <w:t>chronological</w:t>
      </w:r>
      <w:r w:rsidR="003135FE" w:rsidRPr="004C78D8">
        <w:t xml:space="preserve"> age such as 60 or 65. Indeed, t</w:t>
      </w:r>
      <w:r w:rsidR="007B0D08" w:rsidRPr="004C78D8">
        <w:t>he decline in physical capacity is thought to begin in the mid-twenties for the general population</w:t>
      </w:r>
      <w:r w:rsidRPr="004C78D8">
        <w:t xml:space="preserve"> </w:t>
      </w:r>
      <w:r w:rsidRPr="004C78D8">
        <w:fldChar w:fldCharType="begin"/>
      </w:r>
      <w:r w:rsidR="00B1431E" w:rsidRPr="004C78D8">
        <w:instrText xml:space="preserve"> ADDIN EN.CITE &lt;EndNote&gt;&lt;Cite&gt;&lt;Author&gt;World Health Organization&lt;/Author&gt;&lt;Year&gt;2015&lt;/Year&gt;&lt;RecNum&gt;1&lt;/RecNum&gt;&lt;DisplayText&gt;[2]&lt;/DisplayText&gt;&lt;record&gt;&lt;rec-number&gt;1&lt;/rec-number&gt;&lt;foreign-keys&gt;&lt;key app="EN" db-id="tdtrdw9aepptzbefsat599syza29sxsd2wsp" timestamp="1596571129"&gt;1&lt;/key&gt;&lt;/foreign-keys&gt;&lt;ref-type name="Book"&gt;6&lt;/ref-type&gt;&lt;contributors&gt;&lt;authors&gt;&lt;author&gt;World Health Organization,&lt;/author&gt;&lt;/authors&gt;&lt;/contributors&gt;&lt;titles&gt;&lt;title&gt;World Report on Ageing and Health&lt;/title&gt;&lt;/titles&gt;&lt;dates&gt;&lt;year&gt;2015&lt;/year&gt;&lt;/dates&gt;&lt;publisher&gt;World Health Organization&lt;/publisher&gt;&lt;isbn&gt;9241565047&lt;/isbn&gt;&lt;urls&gt;&lt;/urls&gt;&lt;/record&gt;&lt;/Cite&gt;&lt;/EndNote&gt;</w:instrText>
      </w:r>
      <w:r w:rsidRPr="004C78D8">
        <w:fldChar w:fldCharType="separate"/>
      </w:r>
      <w:r w:rsidRPr="004C78D8">
        <w:rPr>
          <w:noProof/>
        </w:rPr>
        <w:t>[2]</w:t>
      </w:r>
      <w:r w:rsidRPr="004C78D8">
        <w:fldChar w:fldCharType="end"/>
      </w:r>
      <w:r w:rsidR="00257971" w:rsidRPr="004C78D8">
        <w:t>;</w:t>
      </w:r>
      <w:r w:rsidR="003135FE" w:rsidRPr="004C78D8">
        <w:t xml:space="preserve"> and </w:t>
      </w:r>
      <w:r w:rsidR="00257971" w:rsidRPr="004C78D8">
        <w:t xml:space="preserve">premature ageing </w:t>
      </w:r>
      <w:r w:rsidR="003135FE" w:rsidRPr="004C78D8">
        <w:t xml:space="preserve">is on average more pronounced for those from socially deprived backgrounds who tend to show significant symptoms of ageing </w:t>
      </w:r>
      <w:r w:rsidR="00257971" w:rsidRPr="004C78D8">
        <w:t xml:space="preserve">(e.g., </w:t>
      </w:r>
      <w:r w:rsidR="003135FE" w:rsidRPr="004C78D8">
        <w:t>mobility impairment</w:t>
      </w:r>
      <w:r w:rsidR="00257971" w:rsidRPr="004C78D8">
        <w:t>)</w:t>
      </w:r>
      <w:r w:rsidR="003135FE" w:rsidRPr="004C78D8">
        <w:t xml:space="preserve"> before they reach age 65</w:t>
      </w:r>
      <w:r w:rsidRPr="004C78D8">
        <w:t xml:space="preserve"> </w:t>
      </w:r>
      <w:r w:rsidRPr="004C78D8">
        <w:fldChar w:fldCharType="begin"/>
      </w:r>
      <w:r w:rsidRPr="004C78D8">
        <w:instrText xml:space="preserve"> ADDIN EN.CITE &lt;EndNote&gt;&lt;Cite&gt;&lt;Author&gt;Marmot&lt;/Author&gt;&lt;Year&gt;2015&lt;/Year&gt;&lt;RecNum&gt;25&lt;/RecNum&gt;&lt;DisplayText&gt;[10]&lt;/DisplayText&gt;&lt;record&gt;&lt;rec-number&gt;25&lt;/rec-number&gt;&lt;foreign-keys&gt;&lt;key app="EN" db-id="tdtrdw9aepptzbefsat599syza29sxsd2wsp" timestamp="1596721934"&gt;25&lt;/key&gt;&lt;/foreign-keys&gt;&lt;ref-type name="Book"&gt;6&lt;/ref-type&gt;&lt;contributors&gt;&lt;authors&gt;&lt;author&gt;Marmot, Michael&lt;/author&gt;&lt;/authors&gt;&lt;/contributors&gt;&lt;titles&gt;&lt;title&gt;The Health Gap: The Challenge of an Unequal World&lt;/title&gt;&lt;/titles&gt;&lt;dates&gt;&lt;year&gt;2015&lt;/year&gt;&lt;/dates&gt;&lt;publisher&gt;Bloomsbury Paperbacks&lt;/publisher&gt;&lt;isbn&gt;1408857979&lt;/isbn&gt;&lt;urls&gt;&lt;/urls&gt;&lt;/record&gt;&lt;/Cite&gt;&lt;/EndNote&gt;</w:instrText>
      </w:r>
      <w:r w:rsidRPr="004C78D8">
        <w:fldChar w:fldCharType="separate"/>
      </w:r>
      <w:r w:rsidRPr="004C78D8">
        <w:rPr>
          <w:noProof/>
        </w:rPr>
        <w:t>[10]</w:t>
      </w:r>
      <w:r w:rsidRPr="004C78D8">
        <w:fldChar w:fldCharType="end"/>
      </w:r>
      <w:r w:rsidR="007B0D08" w:rsidRPr="004C78D8">
        <w:t>.</w:t>
      </w:r>
      <w:r w:rsidR="00257971" w:rsidRPr="004C78D8">
        <w:t xml:space="preserve"> Yet, advanced age is undoubtedly </w:t>
      </w:r>
      <w:r w:rsidR="00D07AA6" w:rsidRPr="004C78D8">
        <w:t>characteri</w:t>
      </w:r>
      <w:r w:rsidRPr="004C78D8">
        <w:t>s</w:t>
      </w:r>
      <w:r w:rsidR="00D07AA6" w:rsidRPr="004C78D8">
        <w:t xml:space="preserve">ed by </w:t>
      </w:r>
      <w:r w:rsidR="00257971" w:rsidRPr="004C78D8">
        <w:t xml:space="preserve">accelerated </w:t>
      </w:r>
      <w:r w:rsidR="00D07AA6" w:rsidRPr="004C78D8">
        <w:t>ageing</w:t>
      </w:r>
      <w:r w:rsidRPr="004C78D8">
        <w:t xml:space="preserve"> given the volume of diverse molecular and cellular damages accumulated over time</w:t>
      </w:r>
      <w:r w:rsidR="00D07AA6" w:rsidRPr="004C78D8">
        <w:t xml:space="preserve"> </w:t>
      </w:r>
      <w:r w:rsidRPr="004C78D8">
        <w:fldChar w:fldCharType="begin"/>
      </w:r>
      <w:r w:rsidRPr="004C78D8">
        <w:instrText xml:space="preserve"> ADDIN EN.CITE &lt;EndNote&gt;&lt;Cite&gt;&lt;Author&gt;Kirkwood&lt;/Author&gt;&lt;Year&gt;2008&lt;/Year&gt;&lt;RecNum&gt;159&lt;/RecNum&gt;&lt;DisplayText&gt;[3]&lt;/DisplayText&gt;&lt;record&gt;&lt;rec-number&gt;159&lt;/rec-number&gt;&lt;foreign-keys&gt;&lt;key app="EN" db-id="tdtrdw9aepptzbefsat599syza29sxsd2wsp" timestamp="1609254714"&gt;159&lt;/key&gt;&lt;/foreign-keys&gt;&lt;ref-type name="Journal Article"&gt;17&lt;/ref-type&gt;&lt;contributors&gt;&lt;authors&gt;&lt;author&gt;Kirkwood, Thomas BL&lt;/author&gt;&lt;/authors&gt;&lt;/contributors&gt;&lt;titles&gt;&lt;title&gt;A systematic look at an old problem&lt;/title&gt;&lt;secondary-title&gt;Nature&lt;/secondary-title&gt;&lt;/titles&gt;&lt;periodical&gt;&lt;full-title&gt;Nature&lt;/full-title&gt;&lt;/periodical&gt;&lt;pages&gt;644-647&lt;/pages&gt;&lt;volume&gt;451&lt;/volume&gt;&lt;number&gt;7179&lt;/number&gt;&lt;dates&gt;&lt;year&gt;2008&lt;/year&gt;&lt;/dates&gt;&lt;isbn&gt;1476-4687&lt;/isbn&gt;&lt;urls&gt;&lt;/urls&gt;&lt;research-notes&gt;2&lt;/research-notes&gt;&lt;/record&gt;&lt;/Cite&gt;&lt;/EndNote&gt;</w:instrText>
      </w:r>
      <w:r w:rsidRPr="004C78D8">
        <w:fldChar w:fldCharType="separate"/>
      </w:r>
      <w:r w:rsidRPr="004C78D8">
        <w:rPr>
          <w:noProof/>
        </w:rPr>
        <w:t>[3]</w:t>
      </w:r>
      <w:r w:rsidRPr="004C78D8">
        <w:fldChar w:fldCharType="end"/>
      </w:r>
      <w:r w:rsidR="00D07AA6" w:rsidRPr="004C78D8">
        <w:t>.</w:t>
      </w:r>
      <w:r w:rsidR="00E75CD3" w:rsidRPr="004C78D8">
        <w:t xml:space="preserve"> Hence, chronological age is still widely used to demarcate the geriatric population. The United Nations defines ‘old age’ as 60 years and over </w:t>
      </w:r>
      <w:r w:rsidRPr="004C78D8">
        <w:fldChar w:fldCharType="begin"/>
      </w:r>
      <w:r w:rsidRPr="004C78D8">
        <w:instrText xml:space="preserve"> ADDIN EN.CITE &lt;EndNote&gt;&lt;Cite&gt;&lt;Author&gt;Dugarova&lt;/Author&gt;&lt;Year&gt;2017&lt;/Year&gt;&lt;RecNum&gt;26&lt;/RecNum&gt;&lt;DisplayText&gt;[11]&lt;/DisplayText&gt;&lt;record&gt;&lt;rec-number&gt;26&lt;/rec-number&gt;&lt;foreign-keys&gt;&lt;key app="EN" db-id="tdtrdw9aepptzbefsat599syza29sxsd2wsp" timestamp="1596723251"&gt;26&lt;/key&gt;&lt;/foreign-keys&gt;&lt;ref-type name="Journal Article"&gt;17&lt;/ref-type&gt;&lt;contributors&gt;&lt;authors&gt;&lt;author&gt;Dugarova, E&lt;/author&gt;&lt;/authors&gt;&lt;/contributors&gt;&lt;titles&gt;&lt;title&gt;Ageing, Older Persons and the 2030 Agenda for Sustainable Development&lt;/title&gt;&lt;secondary-title&gt;United Nations Development Programme; New York&lt;/secondary-title&gt;&lt;/titles&gt;&lt;periodical&gt;&lt;full-title&gt;United Nations Development Programme; New York&lt;/full-title&gt;&lt;/periodical&gt;&lt;dates&gt;&lt;year&gt;2017&lt;/year&gt;&lt;/dates&gt;&lt;urls&gt;&lt;/urls&gt;&lt;/record&gt;&lt;/Cite&gt;&lt;/EndNote&gt;</w:instrText>
      </w:r>
      <w:r w:rsidRPr="004C78D8">
        <w:fldChar w:fldCharType="separate"/>
      </w:r>
      <w:r w:rsidRPr="004C78D8">
        <w:rPr>
          <w:noProof/>
        </w:rPr>
        <w:t>[11]</w:t>
      </w:r>
      <w:r w:rsidRPr="004C78D8">
        <w:fldChar w:fldCharType="end"/>
      </w:r>
      <w:r w:rsidRPr="004C78D8">
        <w:t>;</w:t>
      </w:r>
      <w:r w:rsidR="00E75CD3" w:rsidRPr="004C78D8">
        <w:t xml:space="preserve"> while in the UK, 65 years and over has traditionally been used because it corresponded (no longer so) with the start of state pension</w:t>
      </w:r>
      <w:r w:rsidRPr="004C78D8">
        <w:t xml:space="preserve"> eligibility </w:t>
      </w:r>
      <w:r w:rsidRPr="004C78D8">
        <w:fldChar w:fldCharType="begin"/>
      </w:r>
      <w:r w:rsidRPr="004C78D8">
        <w:instrText xml:space="preserve"> ADDIN EN.CITE &lt;EndNote&gt;&lt;Cite&gt;&lt;Author&gt;Office for National Statistics&lt;/Author&gt;&lt;Year&gt;2019&lt;/Year&gt;&lt;RecNum&gt;27&lt;/RecNum&gt;&lt;DisplayText&gt;[12]&lt;/DisplayText&gt;&lt;record&gt;&lt;rec-number&gt;27&lt;/rec-number&gt;&lt;foreign-keys&gt;&lt;key app="EN" db-id="tdtrdw9aepptzbefsat599syza29sxsd2wsp" timestamp="1596723510"&gt;27&lt;/key&gt;&lt;/foreign-keys&gt;&lt;ref-type name="Journal Article"&gt;17&lt;/ref-type&gt;&lt;contributors&gt;&lt;authors&gt;&lt;author&gt;Office for National Statistics,&lt;/author&gt;&lt;/authors&gt;&lt;/contributors&gt;&lt;titles&gt;&lt;title&gt;Living longer: Is age 70 the new age 65?&lt;/title&gt;&lt;/titles&gt;&lt;dates&gt;&lt;year&gt;2019&lt;/year&gt;&lt;/dates&gt;&lt;urls&gt;&lt;/urls&gt;&lt;/record&gt;&lt;/Cite&gt;&lt;/EndNote&gt;</w:instrText>
      </w:r>
      <w:r w:rsidRPr="004C78D8">
        <w:fldChar w:fldCharType="separate"/>
      </w:r>
      <w:r w:rsidRPr="004C78D8">
        <w:rPr>
          <w:noProof/>
        </w:rPr>
        <w:t>[12]</w:t>
      </w:r>
      <w:r w:rsidRPr="004C78D8">
        <w:fldChar w:fldCharType="end"/>
      </w:r>
      <w:r w:rsidR="00E75CD3" w:rsidRPr="004C78D8">
        <w:t xml:space="preserve">. </w:t>
      </w:r>
    </w:p>
    <w:p w14:paraId="680E616E" w14:textId="01F08FEE" w:rsidR="007B0D08" w:rsidRPr="004C78D8" w:rsidRDefault="00FE33D5" w:rsidP="00FB7C1F">
      <w:r w:rsidRPr="004C78D8">
        <w:t xml:space="preserve">Adopting a lower chronological age threshold to demarcate the research target population would help </w:t>
      </w:r>
      <w:r w:rsidR="00F9056B" w:rsidRPr="004C78D8">
        <w:t>identify</w:t>
      </w:r>
      <w:r w:rsidRPr="004C78D8">
        <w:t xml:space="preserve"> premature ageing among socially deprived subgroups. Therefore, despite its UK setting, </w:t>
      </w:r>
      <w:r w:rsidR="00B242E4" w:rsidRPr="004C78D8">
        <w:t xml:space="preserve">the falls prevention model parameterised in Chapter </w:t>
      </w:r>
      <w:r w:rsidR="002509F0" w:rsidRPr="004C78D8">
        <w:t xml:space="preserve">5 </w:t>
      </w:r>
      <w:r w:rsidRPr="004C78D8">
        <w:t>adopt</w:t>
      </w:r>
      <w:r w:rsidR="00C204F0" w:rsidRPr="004C78D8">
        <w:t>s</w:t>
      </w:r>
      <w:r w:rsidRPr="004C78D8">
        <w:t xml:space="preserve"> the lower age threshold of 60 rather than 65 to demarcate the target population.</w:t>
      </w:r>
      <w:r w:rsidR="00B242E4" w:rsidRPr="004C78D8">
        <w:t xml:space="preserve"> </w:t>
      </w:r>
      <w:r w:rsidR="00C204F0" w:rsidRPr="004C78D8">
        <w:t xml:space="preserve">The systematic review in Chapter 4 </w:t>
      </w:r>
      <w:r w:rsidR="00DB62BE" w:rsidRPr="004C78D8">
        <w:t>similarly adopt</w:t>
      </w:r>
      <w:r w:rsidR="002509F0" w:rsidRPr="004C78D8">
        <w:t>s</w:t>
      </w:r>
      <w:r w:rsidR="00DB62BE" w:rsidRPr="004C78D8">
        <w:t xml:space="preserve"> the lower threshold and include studies targeting populations aged 50-59 (at high falls risk) for earlier prevention. </w:t>
      </w:r>
      <w:r w:rsidR="00F255A9" w:rsidRPr="004C78D8">
        <w:t>T</w:t>
      </w:r>
      <w:r w:rsidR="00B242E4" w:rsidRPr="004C78D8">
        <w:t xml:space="preserve">he qualitative research in Chapter 2 uses the threshold of 65 </w:t>
      </w:r>
      <w:r w:rsidR="00F255A9" w:rsidRPr="004C78D8">
        <w:t xml:space="preserve">in </w:t>
      </w:r>
      <w:r w:rsidR="00DB62BE" w:rsidRPr="004C78D8">
        <w:t>line</w:t>
      </w:r>
      <w:r w:rsidR="00F255A9" w:rsidRPr="004C78D8">
        <w:t xml:space="preserve"> with</w:t>
      </w:r>
      <w:r w:rsidR="00B242E4" w:rsidRPr="004C78D8">
        <w:t xml:space="preserve"> the </w:t>
      </w:r>
      <w:r w:rsidR="00F255A9" w:rsidRPr="004C78D8">
        <w:t xml:space="preserve">National Institute for Health and Clinical Excellence (NICE) guideline on community-based falls prevention </w:t>
      </w:r>
      <w:r w:rsidR="00F255A9" w:rsidRPr="004C78D8">
        <w:fldChar w:fldCharType="begin"/>
      </w:r>
      <w:r w:rsidR="00F255A9"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00F255A9" w:rsidRPr="004C78D8">
        <w:fldChar w:fldCharType="separate"/>
      </w:r>
      <w:r w:rsidR="00F255A9" w:rsidRPr="004C78D8">
        <w:rPr>
          <w:noProof/>
        </w:rPr>
        <w:t>[13]</w:t>
      </w:r>
      <w:r w:rsidR="00F255A9" w:rsidRPr="004C78D8">
        <w:fldChar w:fldCharType="end"/>
      </w:r>
      <w:r w:rsidR="00C204F0" w:rsidRPr="004C78D8">
        <w:t xml:space="preserve">. This approach was required to explore the facilitators and barriers to implementing the NICE guideline. Yet the chapter also samples from those aged 50-64 eligible for earlier prevention. </w:t>
      </w:r>
    </w:p>
    <w:p w14:paraId="01835B30" w14:textId="0488CD05" w:rsidR="007B0D08" w:rsidRPr="004C78D8" w:rsidRDefault="00987447" w:rsidP="00FB7C1F">
      <w:pPr>
        <w:pStyle w:val="Heading4"/>
      </w:pPr>
      <w:r w:rsidRPr="004C78D8">
        <w:t>1.3.1.2 Unique features of geriatric health</w:t>
      </w:r>
    </w:p>
    <w:p w14:paraId="383B2C37" w14:textId="661AF555" w:rsidR="00850AFA" w:rsidRPr="004C78D8" w:rsidRDefault="00BC0F9A" w:rsidP="00FB7C1F">
      <w:r w:rsidRPr="004C78D8">
        <w:t>The h</w:t>
      </w:r>
      <w:r w:rsidR="000E0837" w:rsidRPr="004C78D8">
        <w:t>ealth of o</w:t>
      </w:r>
      <w:r w:rsidR="0029169A" w:rsidRPr="004C78D8">
        <w:t xml:space="preserve">lder populations </w:t>
      </w:r>
      <w:r w:rsidRPr="004C78D8">
        <w:t>is</w:t>
      </w:r>
      <w:r w:rsidR="0029169A" w:rsidRPr="004C78D8">
        <w:t xml:space="preserve"> characteri</w:t>
      </w:r>
      <w:r w:rsidR="000E0837" w:rsidRPr="004C78D8">
        <w:t>s</w:t>
      </w:r>
      <w:r w:rsidR="0029169A" w:rsidRPr="004C78D8">
        <w:t xml:space="preserve">ed by high levels of </w:t>
      </w:r>
      <w:r w:rsidR="00850AFA" w:rsidRPr="004C78D8">
        <w:t xml:space="preserve">heterogeneity and dynamic complexity </w:t>
      </w:r>
      <w:r w:rsidR="0029169A" w:rsidRPr="004C78D8">
        <w:t xml:space="preserve">and </w:t>
      </w:r>
      <w:r w:rsidR="00850AFA" w:rsidRPr="004C78D8">
        <w:t xml:space="preserve">high prevalence of geriatric syndromes including falls and frailty. </w:t>
      </w:r>
      <w:r w:rsidR="0029169A" w:rsidRPr="004C78D8">
        <w:t xml:space="preserve">Understanding the relationship between falls and frailty is important for capturing the full health and economic impact of falls and for </w:t>
      </w:r>
      <w:r w:rsidR="0029169A" w:rsidRPr="004C78D8">
        <w:lastRenderedPageBreak/>
        <w:t xml:space="preserve">understanding the nature of falls risk, both in how it progresses over </w:t>
      </w:r>
      <w:r w:rsidR="000E0837" w:rsidRPr="004C78D8">
        <w:t>time</w:t>
      </w:r>
      <w:r w:rsidR="0029169A" w:rsidRPr="004C78D8">
        <w:t xml:space="preserve"> and how it is distributed across individuals and sub</w:t>
      </w:r>
      <w:r w:rsidR="000E0837" w:rsidRPr="004C78D8">
        <w:t>group</w:t>
      </w:r>
      <w:r w:rsidR="0029169A" w:rsidRPr="004C78D8">
        <w:t xml:space="preserve">s. </w:t>
      </w:r>
    </w:p>
    <w:p w14:paraId="0D2786FB" w14:textId="5CD2041C" w:rsidR="00850AFA" w:rsidRPr="004C78D8" w:rsidRDefault="00850AFA" w:rsidP="00FB7C1F">
      <w:pPr>
        <w:pStyle w:val="Heading5"/>
      </w:pPr>
      <w:r w:rsidRPr="004C78D8">
        <w:t>Heterogeneity and dynamic complexity</w:t>
      </w:r>
    </w:p>
    <w:p w14:paraId="58882ACB" w14:textId="474F7B5F" w:rsidR="00644FD9" w:rsidRPr="004C78D8" w:rsidRDefault="00D00696" w:rsidP="00644FD9">
      <w:r w:rsidRPr="004C78D8">
        <w:t>As noted, the ageing process is highly multidimensional, affecting a wide range of organ and physiological systems at different rates according to individuals’ genetics, accumulated lifestyle and environmental exposures, and random molecular</w:t>
      </w:r>
      <w:r w:rsidR="00EF3CA5" w:rsidRPr="004C78D8">
        <w:t>/cellular</w:t>
      </w:r>
      <w:r w:rsidRPr="004C78D8">
        <w:t xml:space="preserve"> damages </w:t>
      </w:r>
      <w:r w:rsidR="000E0837" w:rsidRPr="004C78D8">
        <w:fldChar w:fldCharType="begin"/>
      </w:r>
      <w:r w:rsidR="000E0837" w:rsidRPr="004C78D8">
        <w:instrText xml:space="preserve"> ADDIN EN.CITE &lt;EndNote&gt;&lt;Cite&gt;&lt;Author&gt;Kirkwood&lt;/Author&gt;&lt;Year&gt;2008&lt;/Year&gt;&lt;RecNum&gt;159&lt;/RecNum&gt;&lt;DisplayText&gt;[3]&lt;/DisplayText&gt;&lt;record&gt;&lt;rec-number&gt;159&lt;/rec-number&gt;&lt;foreign-keys&gt;&lt;key app="EN" db-id="tdtrdw9aepptzbefsat599syza29sxsd2wsp" timestamp="1609254714"&gt;159&lt;/key&gt;&lt;/foreign-keys&gt;&lt;ref-type name="Journal Article"&gt;17&lt;/ref-type&gt;&lt;contributors&gt;&lt;authors&gt;&lt;author&gt;Kirkwood, Thomas BL&lt;/author&gt;&lt;/authors&gt;&lt;/contributors&gt;&lt;titles&gt;&lt;title&gt;A systematic look at an old problem&lt;/title&gt;&lt;secondary-title&gt;Nature&lt;/secondary-title&gt;&lt;/titles&gt;&lt;periodical&gt;&lt;full-title&gt;Nature&lt;/full-title&gt;&lt;/periodical&gt;&lt;pages&gt;644-647&lt;/pages&gt;&lt;volume&gt;451&lt;/volume&gt;&lt;number&gt;7179&lt;/number&gt;&lt;dates&gt;&lt;year&gt;2008&lt;/year&gt;&lt;/dates&gt;&lt;isbn&gt;1476-4687&lt;/isbn&gt;&lt;urls&gt;&lt;/urls&gt;&lt;research-notes&gt;2&lt;/research-notes&gt;&lt;/record&gt;&lt;/Cite&gt;&lt;/EndNote&gt;</w:instrText>
      </w:r>
      <w:r w:rsidR="000E0837" w:rsidRPr="004C78D8">
        <w:fldChar w:fldCharType="separate"/>
      </w:r>
      <w:r w:rsidR="000E0837" w:rsidRPr="004C78D8">
        <w:rPr>
          <w:noProof/>
        </w:rPr>
        <w:t>[3]</w:t>
      </w:r>
      <w:r w:rsidR="000E0837" w:rsidRPr="004C78D8">
        <w:fldChar w:fldCharType="end"/>
      </w:r>
      <w:r w:rsidRPr="004C78D8">
        <w:t>.</w:t>
      </w:r>
      <w:r w:rsidR="000E0837" w:rsidRPr="004C78D8">
        <w:t xml:space="preserve"> </w:t>
      </w:r>
      <w:r w:rsidR="001002D0" w:rsidRPr="004C78D8">
        <w:t xml:space="preserve">This multidimensionality in the ageing process results in high levels of heterogeneity in geriatric health whereby some individuals face </w:t>
      </w:r>
      <w:r w:rsidR="00D626FB" w:rsidRPr="004C78D8">
        <w:t>markedly</w:t>
      </w:r>
      <w:r w:rsidR="001002D0" w:rsidRPr="004C78D8">
        <w:t xml:space="preserve"> worse health </w:t>
      </w:r>
      <w:r w:rsidR="00974486" w:rsidRPr="004C78D8">
        <w:t xml:space="preserve">status </w:t>
      </w:r>
      <w:r w:rsidR="001002D0" w:rsidRPr="004C78D8">
        <w:t xml:space="preserve">than their peers </w:t>
      </w:r>
      <w:r w:rsidR="000E0837" w:rsidRPr="004C78D8">
        <w:fldChar w:fldCharType="begin"/>
      </w:r>
      <w:r w:rsidR="00B1431E" w:rsidRPr="004C78D8">
        <w:instrText xml:space="preserve"> ADDIN EN.CITE &lt;EndNote&gt;&lt;Cite&gt;&lt;Author&gt;World Health Organization&lt;/Author&gt;&lt;Year&gt;2015&lt;/Year&gt;&lt;RecNum&gt;1&lt;/RecNum&gt;&lt;DisplayText&gt;[2]&lt;/DisplayText&gt;&lt;record&gt;&lt;rec-number&gt;1&lt;/rec-number&gt;&lt;foreign-keys&gt;&lt;key app="EN" db-id="tdtrdw9aepptzbefsat599syza29sxsd2wsp" timestamp="1596571129"&gt;1&lt;/key&gt;&lt;/foreign-keys&gt;&lt;ref-type name="Book"&gt;6&lt;/ref-type&gt;&lt;contributors&gt;&lt;authors&gt;&lt;author&gt;World Health Organization,&lt;/author&gt;&lt;/authors&gt;&lt;/contributors&gt;&lt;titles&gt;&lt;title&gt;World Report on Ageing and Health&lt;/title&gt;&lt;/titles&gt;&lt;dates&gt;&lt;year&gt;2015&lt;/year&gt;&lt;/dates&gt;&lt;publisher&gt;World Health Organization&lt;/publisher&gt;&lt;isbn&gt;9241565047&lt;/isbn&gt;&lt;urls&gt;&lt;/urls&gt;&lt;/record&gt;&lt;/Cite&gt;&lt;/EndNote&gt;</w:instrText>
      </w:r>
      <w:r w:rsidR="000E0837" w:rsidRPr="004C78D8">
        <w:fldChar w:fldCharType="separate"/>
      </w:r>
      <w:r w:rsidR="000E0837" w:rsidRPr="004C78D8">
        <w:rPr>
          <w:noProof/>
        </w:rPr>
        <w:t>[2]</w:t>
      </w:r>
      <w:r w:rsidR="000E0837" w:rsidRPr="004C78D8">
        <w:fldChar w:fldCharType="end"/>
      </w:r>
      <w:r w:rsidR="001002D0" w:rsidRPr="004C78D8">
        <w:t xml:space="preserve">. </w:t>
      </w:r>
      <w:r w:rsidR="00644FD9" w:rsidRPr="004C78D8">
        <w:t xml:space="preserve">The heterogeneity </w:t>
      </w:r>
      <w:r w:rsidR="00644FD9">
        <w:t>is</w:t>
      </w:r>
      <w:r w:rsidR="00644FD9" w:rsidRPr="004C78D8">
        <w:t xml:space="preserve"> heightened if one considers not just physical health but also the capability to translate physical health to desired </w:t>
      </w:r>
      <w:r w:rsidR="007E625D">
        <w:t xml:space="preserve">levels of </w:t>
      </w:r>
      <w:r w:rsidR="00644FD9" w:rsidRPr="004C78D8">
        <w:t xml:space="preserve">functional ability </w:t>
      </w:r>
      <w:r w:rsidR="00644FD9" w:rsidRPr="004C78D8">
        <w:fldChar w:fldCharType="begin"/>
      </w:r>
      <w:r w:rsidR="00644FD9" w:rsidRPr="004C78D8">
        <w:instrText xml:space="preserve"> ADDIN EN.CITE &lt;EndNote&gt;&lt;Cite&gt;&lt;Author&gt;World Health Organization&lt;/Author&gt;&lt;Year&gt;2015&lt;/Year&gt;&lt;RecNum&gt;1&lt;/RecNum&gt;&lt;DisplayText&gt;[2]&lt;/DisplayText&gt;&lt;record&gt;&lt;rec-number&gt;1&lt;/rec-number&gt;&lt;foreign-keys&gt;&lt;key app="EN" db-id="tdtrdw9aepptzbefsat599syza29sxsd2wsp" timestamp="1596571129"&gt;1&lt;/key&gt;&lt;/foreign-keys&gt;&lt;ref-type name="Book"&gt;6&lt;/ref-type&gt;&lt;contributors&gt;&lt;authors&gt;&lt;author&gt;World Health Organization,&lt;/author&gt;&lt;/authors&gt;&lt;/contributors&gt;&lt;titles&gt;&lt;title&gt;World Report on Ageing and Health&lt;/title&gt;&lt;/titles&gt;&lt;dates&gt;&lt;year&gt;2015&lt;/year&gt;&lt;/dates&gt;&lt;publisher&gt;World Health Organization&lt;/publisher&gt;&lt;isbn&gt;9241565047&lt;/isbn&gt;&lt;urls&gt;&lt;/urls&gt;&lt;/record&gt;&lt;/Cite&gt;&lt;/EndNote&gt;</w:instrText>
      </w:r>
      <w:r w:rsidR="00644FD9" w:rsidRPr="004C78D8">
        <w:fldChar w:fldCharType="separate"/>
      </w:r>
      <w:r w:rsidR="00644FD9" w:rsidRPr="004C78D8">
        <w:rPr>
          <w:noProof/>
        </w:rPr>
        <w:t>[2]</w:t>
      </w:r>
      <w:r w:rsidR="00644FD9" w:rsidRPr="004C78D8">
        <w:fldChar w:fldCharType="end"/>
      </w:r>
      <w:r w:rsidR="00644FD9" w:rsidRPr="004C78D8">
        <w:t xml:space="preserve">. </w:t>
      </w:r>
      <w:r w:rsidR="00644FD9" w:rsidRPr="004C78D8">
        <w:t xml:space="preserve">Moreover, disparities in geriatric health are shaped strongly by exposures to social and environmental factors including adequate income and nutrition, good quality housing, social connectedness and healthcare access – both contemporaneously in old age and over the preceding life stages </w:t>
      </w:r>
      <w:r w:rsidR="00644FD9" w:rsidRPr="004C78D8">
        <w:fldChar w:fldCharType="begin"/>
      </w:r>
      <w:r w:rsidR="00644FD9" w:rsidRPr="004C78D8">
        <w:instrText xml:space="preserve"> ADDIN EN.CITE &lt;EndNote&gt;&lt;Cite&gt;&lt;Author&gt;World Health Organization&lt;/Author&gt;&lt;Year&gt;2015&lt;/Year&gt;&lt;RecNum&gt;1&lt;/RecNum&gt;&lt;DisplayText&gt;[2, 10]&lt;/DisplayText&gt;&lt;record&gt;&lt;rec-number&gt;1&lt;/rec-number&gt;&lt;foreign-keys&gt;&lt;key app="EN" db-id="tdtrdw9aepptzbefsat599syza29sxsd2wsp" timestamp="1596571129"&gt;1&lt;/key&gt;&lt;/foreign-keys&gt;&lt;ref-type name="Book"&gt;6&lt;/ref-type&gt;&lt;contributors&gt;&lt;authors&gt;&lt;author&gt;World Health Organization,&lt;/author&gt;&lt;/authors&gt;&lt;/contributors&gt;&lt;titles&gt;&lt;title&gt;World Report on Ageing and Health&lt;/title&gt;&lt;/titles&gt;&lt;dates&gt;&lt;year&gt;2015&lt;/year&gt;&lt;/dates&gt;&lt;publisher&gt;World Health Organization&lt;/publisher&gt;&lt;isbn&gt;9241565047&lt;/isbn&gt;&lt;urls&gt;&lt;/urls&gt;&lt;/record&gt;&lt;/Cite&gt;&lt;Cite&gt;&lt;Author&gt;Marmot&lt;/Author&gt;&lt;Year&gt;2015&lt;/Year&gt;&lt;RecNum&gt;25&lt;/RecNum&gt;&lt;record&gt;&lt;rec-number&gt;25&lt;/rec-number&gt;&lt;foreign-keys&gt;&lt;key app="EN" db-id="tdtrdw9aepptzbefsat599syza29sxsd2wsp" timestamp="1596721934"&gt;25&lt;/key&gt;&lt;/foreign-keys&gt;&lt;ref-type name="Book"&gt;6&lt;/ref-type&gt;&lt;contributors&gt;&lt;authors&gt;&lt;author&gt;Marmot, Michael&lt;/author&gt;&lt;/authors&gt;&lt;/contributors&gt;&lt;titles&gt;&lt;title&gt;The Health Gap: The Challenge of an Unequal World&lt;/title&gt;&lt;/titles&gt;&lt;dates&gt;&lt;year&gt;2015&lt;/year&gt;&lt;/dates&gt;&lt;publisher&gt;Bloomsbury Paperbacks&lt;/publisher&gt;&lt;isbn&gt;1408857979&lt;/isbn&gt;&lt;urls&gt;&lt;/urls&gt;&lt;/record&gt;&lt;/Cite&gt;&lt;/EndNote&gt;</w:instrText>
      </w:r>
      <w:r w:rsidR="00644FD9" w:rsidRPr="004C78D8">
        <w:fldChar w:fldCharType="separate"/>
      </w:r>
      <w:r w:rsidR="00644FD9" w:rsidRPr="004C78D8">
        <w:rPr>
          <w:noProof/>
        </w:rPr>
        <w:t>[2, 10]</w:t>
      </w:r>
      <w:r w:rsidR="00644FD9" w:rsidRPr="004C78D8">
        <w:fldChar w:fldCharType="end"/>
      </w:r>
      <w:r w:rsidR="00644FD9" w:rsidRPr="004C78D8">
        <w:t>. One study in Scotland, for example, found that the onset of multimorbidity – the concurrent presence of multiple non-communicable diseases (NCDs) in an individual – occurs 10</w:t>
      </w:r>
      <w:r w:rsidR="006642D7">
        <w:t>-</w:t>
      </w:r>
      <w:r w:rsidR="00644FD9" w:rsidRPr="004C78D8">
        <w:t xml:space="preserve">15 years earlier in people from the most deprived socioeconomic group than those from the most affluent one </w:t>
      </w:r>
      <w:r w:rsidR="00644FD9" w:rsidRPr="004C78D8">
        <w:fldChar w:fldCharType="begin"/>
      </w:r>
      <w:r w:rsidR="00720CEE">
        <w:instrText xml:space="preserve"> ADDIN EN.CITE &lt;EndNote&gt;&lt;Cite&gt;&lt;Author&gt;Barnett&lt;/Author&gt;&lt;Year&gt;2012&lt;/Year&gt;&lt;RecNum&gt;30&lt;/RecNum&gt;&lt;DisplayText&gt;[14]&lt;/DisplayText&gt;&lt;record&gt;&lt;rec-number&gt;30&lt;/rec-number&gt;&lt;foreign-keys&gt;&lt;key app="EN" db-id="tdtrdw9aepptzbefsat599syza29sxsd2wsp" timestamp="1596723916"&gt;30&lt;/key&gt;&lt;/foreign-keys&gt;&lt;ref-type name="Journal Article"&gt;17&lt;/ref-type&gt;&lt;contributors&gt;&lt;authors&gt;&lt;author&gt;Barnett, Karen&lt;/author&gt;&lt;author&gt;Mercer, Stewart W&lt;/author&gt;&lt;author&gt;Norbury, Michael&lt;/author&gt;&lt;author&gt;Watt, Graham&lt;/author&gt;&lt;author&gt;Wyke, Sally&lt;/author&gt;&lt;author&gt;Guthrie, Bruce&lt;/author&gt;&lt;/authors&gt;&lt;/contributors&gt;&lt;titles&gt;&lt;title&gt;Epidemiology of multimorbidity and implications for health care, research, and medical education: a cross-sectional study&lt;/title&gt;&lt;secondary-title&gt;The Lancet&lt;/secondary-title&gt;&lt;/titles&gt;&lt;periodical&gt;&lt;full-title&gt;The Lancet&lt;/full-title&gt;&lt;/periodical&gt;&lt;pages&gt;37-43&lt;/pages&gt;&lt;volume&gt;380&lt;/volume&gt;&lt;number&gt;9836&lt;/number&gt;&lt;dates&gt;&lt;year&gt;2012&lt;/year&gt;&lt;/dates&gt;&lt;isbn&gt;0140-6736&lt;/isbn&gt;&lt;urls&gt;&lt;/urls&gt;&lt;/record&gt;&lt;/Cite&gt;&lt;/EndNote&gt;</w:instrText>
      </w:r>
      <w:r w:rsidR="00644FD9" w:rsidRPr="004C78D8">
        <w:fldChar w:fldCharType="separate"/>
      </w:r>
      <w:r w:rsidR="00720CEE">
        <w:rPr>
          <w:noProof/>
        </w:rPr>
        <w:t>[14]</w:t>
      </w:r>
      <w:r w:rsidR="00644FD9" w:rsidRPr="004C78D8">
        <w:fldChar w:fldCharType="end"/>
      </w:r>
      <w:r w:rsidR="00644FD9" w:rsidRPr="004C78D8">
        <w:t xml:space="preserve">. Therefore, heterogeneity brings issues concerning social inequities of </w:t>
      </w:r>
      <w:r w:rsidR="006642D7">
        <w:t xml:space="preserve">geriatric </w:t>
      </w:r>
      <w:r w:rsidR="00644FD9" w:rsidRPr="004C78D8">
        <w:t xml:space="preserve">health </w:t>
      </w:r>
      <w:r w:rsidR="00644FD9" w:rsidRPr="004C78D8">
        <w:fldChar w:fldCharType="begin">
          <w:fldData xml:space="preserve">PEVuZE5vdGU+PENpdGU+PEF1dGhvcj5Db21taXNzaW9uIG9uIFNvY2lhbCBEZXRlcm1pbmFudHMg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</w:fldData>
        </w:fldChar>
      </w:r>
      <w:r w:rsidR="00720CEE">
        <w:instrText xml:space="preserve"> ADDIN EN.CITE </w:instrText>
      </w:r>
      <w:r w:rsidR="00720CEE">
        <w:fldChar w:fldCharType="begin">
          <w:fldData xml:space="preserve">PEVuZE5vdGU+PENpdGU+PEF1dGhvcj5Db21taXNzaW9uIG9uIFNvY2lhbCBEZXRlcm1pbmFudHMg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</w:fldData>
        </w:fldChar>
      </w:r>
      <w:r w:rsidR="00720CEE">
        <w:instrText xml:space="preserve"> ADDIN EN.CITE.DATA </w:instrText>
      </w:r>
      <w:r w:rsidR="00720CEE">
        <w:fldChar w:fldCharType="end"/>
      </w:r>
      <w:r w:rsidR="00644FD9" w:rsidRPr="004C78D8">
        <w:fldChar w:fldCharType="separate"/>
      </w:r>
      <w:r w:rsidR="00720CEE">
        <w:rPr>
          <w:noProof/>
        </w:rPr>
        <w:t>[15-17]</w:t>
      </w:r>
      <w:r w:rsidR="00644FD9" w:rsidRPr="004C78D8">
        <w:fldChar w:fldCharType="end"/>
      </w:r>
      <w:r w:rsidR="00644FD9" w:rsidRPr="004C78D8">
        <w:t xml:space="preserve">. </w:t>
      </w:r>
    </w:p>
    <w:p w14:paraId="7D3AD3E7" w14:textId="65AD38A8" w:rsidR="0004145B" w:rsidRPr="004C78D8" w:rsidRDefault="002E0EF9" w:rsidP="00FB7C1F">
      <w:r>
        <w:t xml:space="preserve">Another phenomenon is dynamic complexity wherein </w:t>
      </w:r>
      <w:r w:rsidR="00A91A84" w:rsidRPr="004C78D8">
        <w:t xml:space="preserve">intertemporal interactions between </w:t>
      </w:r>
      <w:r>
        <w:t xml:space="preserve">heterogeneous individuals and their environment result in population- and individual-level outcomes that are difficult to predict. </w:t>
      </w:r>
      <w:r w:rsidR="00F91F05">
        <w:t xml:space="preserve">One </w:t>
      </w:r>
      <w:r w:rsidR="00713259">
        <w:t>key aspect</w:t>
      </w:r>
      <w:r w:rsidR="00F91F05">
        <w:t xml:space="preserve"> of dynamic complexity is the presence of feedback loops: </w:t>
      </w:r>
      <w:r w:rsidR="002E211C" w:rsidRPr="004C78D8">
        <w:t>e.g., peer support for exercise encourages sustained exercise uptake which enlarges the peer support network</w:t>
      </w:r>
      <w:r w:rsidR="00513646" w:rsidRPr="004C78D8">
        <w:t xml:space="preserve"> </w:t>
      </w:r>
      <w:r w:rsidR="00513646" w:rsidRPr="004C78D8">
        <w:fldChar w:fldCharType="begin"/>
      </w:r>
      <w:r w:rsidR="00720CEE">
        <w:instrText xml:space="preserve"> ADDIN EN.CITE &lt;EndNote&gt;&lt;Cite&gt;&lt;Author&gt;Squires&lt;/Author&gt;&lt;Year&gt;2016&lt;/Year&gt;&lt;RecNum&gt;308&lt;/RecNum&gt;&lt;DisplayText&gt;[18]&lt;/DisplayText&gt;&lt;record&gt;&lt;rec-number&gt;308&lt;/rec-number&gt;&lt;foreign-keys&gt;&lt;key app="EN" db-id="tdtrdw9aepptzbefsat599syza29sxsd2wsp" timestamp="1612015645"&gt;308&lt;/key&gt;&lt;/foreign-keys&gt;&lt;ref-type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systematic literature review of the key challenges for developing the structure of public health economic models&lt;/title&gt;&lt;secondary-title&gt;International journal of public health&lt;/secondary-title&gt;&lt;/titles&gt;&lt;periodical&gt;&lt;full-title&gt;International journal of public health&lt;/full-title&gt;&lt;/periodical&gt;&lt;pages&gt;289-298&lt;/pages&gt;&lt;volume&gt;61&lt;/volume&gt;&lt;number&gt;3&lt;/number&gt;&lt;dates&gt;&lt;year&gt;2016&lt;/year&gt;&lt;/dates&gt;&lt;isbn&gt;1661-8556&lt;/isbn&gt;&lt;urls&gt;&lt;/urls&gt;&lt;/record&gt;&lt;/Cite&gt;&lt;/EndNote&gt;</w:instrText>
      </w:r>
      <w:r w:rsidR="00513646" w:rsidRPr="004C78D8">
        <w:fldChar w:fldCharType="separate"/>
      </w:r>
      <w:r w:rsidR="00720CEE">
        <w:rPr>
          <w:noProof/>
        </w:rPr>
        <w:t>[18]</w:t>
      </w:r>
      <w:r w:rsidR="00513646" w:rsidRPr="004C78D8">
        <w:fldChar w:fldCharType="end"/>
      </w:r>
      <w:r w:rsidR="002E211C" w:rsidRPr="004C78D8">
        <w:t xml:space="preserve">. </w:t>
      </w:r>
      <w:r w:rsidR="00BE302A">
        <w:t xml:space="preserve">Another example discussed below is the feedback between falls incidence, frailty progression, and falls prevention access. </w:t>
      </w:r>
      <w:r w:rsidR="00644FD9">
        <w:t xml:space="preserve">Dynamic complexity can reinforce heterogeneity if differences in initial endowments influence the subsequent interactions with biopsychosocial factors. </w:t>
      </w:r>
    </w:p>
    <w:p w14:paraId="614876F1" w14:textId="3F1B65AB" w:rsidR="00C02658" w:rsidRPr="004C78D8" w:rsidRDefault="00C02658" w:rsidP="00FB7C1F">
      <w:pPr>
        <w:pStyle w:val="Heading5"/>
      </w:pPr>
      <w:r w:rsidRPr="004C78D8">
        <w:t>Geriatric syndromes including falls and frailty</w:t>
      </w:r>
    </w:p>
    <w:p w14:paraId="3591C89A" w14:textId="602D243A" w:rsidR="000E0837" w:rsidRPr="004C78D8" w:rsidRDefault="00DB5238" w:rsidP="00FB7C1F">
      <w:r w:rsidRPr="004C78D8">
        <w:t>Geriatric syndromes – including falls, frailty, delirium, dizziness, syncope and urinary incontinence – are</w:t>
      </w:r>
      <w:r w:rsidR="00BB58E8" w:rsidRPr="004C78D8">
        <w:t xml:space="preserve"> clinical conditions experienced by older persons that do not correspond to discrete/binary disease categories </w:t>
      </w:r>
      <w:r w:rsidR="000E0837" w:rsidRPr="004C78D8">
        <w:t>but are symptoms of the age-related impairments to multiple organ and physiological systems</w:t>
      </w:r>
      <w:r w:rsidR="00473969" w:rsidRPr="004C78D8">
        <w:t xml:space="preserve"> (and hence closely associated with multimorbidity)</w:t>
      </w:r>
      <w:r w:rsidR="000E0837" w:rsidRPr="004C78D8">
        <w:t xml:space="preserve"> </w:t>
      </w:r>
      <w:r w:rsidR="000E0837" w:rsidRPr="004C78D8">
        <w:fldChar w:fldCharType="begin"/>
      </w:r>
      <w:r w:rsidR="00513646" w:rsidRPr="004C78D8">
        <w:instrText xml:space="preserve"> ADDIN EN.CITE &lt;EndNote&gt;&lt;Cite&gt;&lt;Author&gt;Inouye&lt;/Author&gt;&lt;Year&gt;2007&lt;/Year&gt;&lt;RecNum&gt;160&lt;/RecNum&gt;&lt;DisplayText&gt;[19, 20]&lt;/DisplayText&gt;&lt;record&gt;&lt;rec-number&gt;160&lt;/rec-number&gt;&lt;foreign-keys&gt;&lt;key app="EN" db-id="tdtrdw9aepptzbefsat599syza29sxsd2wsp" timestamp="1609258074"&gt;160&lt;/key&gt;&lt;/foreign-keys&gt;&lt;ref-type name="Journal Article"&gt;17&lt;/ref-type&gt;&lt;contributors&gt;&lt;authors&gt;&lt;author&gt;Inouye, Sharon K&lt;/author&gt;&lt;author&gt;Studenski, Stephanie&lt;/author&gt;&lt;author&gt;Tinetti, Mary E&lt;/author&gt;&lt;author&gt;Kuchel, George A&lt;/author&gt;&lt;/authors&gt;&lt;/contributors&gt;&lt;titles&gt;&lt;title&gt;Geriatric Syndromes: Clinical, Research, and Policy Implications of a Core Geriatric Concept&lt;/title&gt;&lt;secondary-title&gt;Journal of the American Geriatrics Society&lt;/secondary-title&gt;&lt;/titles&gt;&lt;periodical&gt;&lt;full-title&gt;Journal of the American Geriatrics Society&lt;/full-title&gt;&lt;/periodical&gt;&lt;pages&gt;780-791&lt;/pages&gt;&lt;volume&gt;55&lt;/volume&gt;&lt;number&gt;5&lt;/number&gt;&lt;dates&gt;&lt;year&gt;2007&lt;/year&gt;&lt;/dates&gt;&lt;isbn&gt;0002-8614&lt;/isbn&gt;&lt;urls&gt;&lt;/urls&gt;&lt;/record&gt;&lt;/Cite&gt;&lt;Cite&gt;&lt;Author&gt;Fried&lt;/Author&gt;&lt;Year&gt;2004&lt;/Year&gt;&lt;RecNum&gt;419&lt;/RecNum&gt;&lt;record&gt;&lt;rec-number&gt;419&lt;/rec-number&gt;&lt;foreign-keys&gt;&lt;key app="EN" db-id="tdtrdw9aepptzbefsat599syza29sxsd2wsp" timestamp="1616240549"&gt;419&lt;/key&gt;&lt;/foreign-keys&gt;&lt;ref-type name="Journal Article"&gt;17&lt;/ref-type&gt;&lt;contributors&gt;&lt;authors&gt;&lt;author&gt;Fried, Linda P&lt;/author&gt;&lt;author&gt;Ferrucci, Luigi&lt;/author&gt;&lt;author&gt;Darer, Jonathan&lt;/author&gt;&lt;author&gt;Williamson, Jeff D&lt;/author&gt;&lt;author&gt;Anderson, Gerard&lt;/author&gt;&lt;/authors&gt;&lt;/contributors&gt;&lt;titles&gt;&lt;title&gt;Untangling the concepts of disability, frailty, and comorbidity: implications for improved targeting and care&lt;/title&gt;&lt;secondary-title&gt;The Journals of Gerontology Series A: Biological Sciences and Medical Sciences&lt;/secondary-title&gt;&lt;/titles&gt;&lt;periodical&gt;&lt;full-title&gt;The Journals of Gerontology Series A: Biological Sciences and Medical Sciences&lt;/full-title&gt;&lt;/periodical&gt;&lt;pages&gt;M255-M263&lt;/pages&gt;&lt;volume&gt;59&lt;/volume&gt;&lt;number&gt;3&lt;/number&gt;&lt;dates&gt;&lt;year&gt;2004&lt;/year&gt;&lt;/dates&gt;&lt;isbn&gt;1758-535X&lt;/isbn&gt;&lt;urls&gt;&lt;/urls&gt;&lt;/record&gt;&lt;/Cite&gt;&lt;/EndNote&gt;</w:instrText>
      </w:r>
      <w:r w:rsidR="000E0837" w:rsidRPr="004C78D8">
        <w:fldChar w:fldCharType="separate"/>
      </w:r>
      <w:r w:rsidR="00513646" w:rsidRPr="004C78D8">
        <w:rPr>
          <w:noProof/>
        </w:rPr>
        <w:t>[19, 20]</w:t>
      </w:r>
      <w:r w:rsidR="000E0837" w:rsidRPr="004C78D8">
        <w:fldChar w:fldCharType="end"/>
      </w:r>
      <w:r w:rsidR="00BB58E8" w:rsidRPr="004C78D8">
        <w:t xml:space="preserve">. </w:t>
      </w:r>
      <w:r w:rsidR="000E0837" w:rsidRPr="004C78D8">
        <w:t>The</w:t>
      </w:r>
      <w:r w:rsidR="00CB7E2B" w:rsidRPr="004C78D8">
        <w:t xml:space="preserve"> syndromes impose significant barriers to normal functioning and can leave the </w:t>
      </w:r>
      <w:r w:rsidR="00F80376" w:rsidRPr="004C78D8">
        <w:t>older</w:t>
      </w:r>
      <w:r w:rsidR="00CB7E2B" w:rsidRPr="004C78D8">
        <w:t xml:space="preserve"> person permanently housebound and dependent on external care. Furthermore, their </w:t>
      </w:r>
      <w:r w:rsidR="002960BA" w:rsidRPr="004C78D8">
        <w:t>a</w:t>
      </w:r>
      <w:r w:rsidR="00CB7E2B" w:rsidRPr="004C78D8">
        <w:t xml:space="preserve">etiology cannot be narrowed to a specific disease which can be prevented or cured with </w:t>
      </w:r>
      <w:r w:rsidR="000E0837" w:rsidRPr="004C78D8">
        <w:t>a</w:t>
      </w:r>
      <w:r w:rsidR="00D000EA" w:rsidRPr="004C78D8">
        <w:t>n equally narrow</w:t>
      </w:r>
      <w:r w:rsidR="00CB7E2B" w:rsidRPr="004C78D8">
        <w:t xml:space="preserve"> treatment strategy</w:t>
      </w:r>
      <w:r w:rsidR="00D000EA" w:rsidRPr="004C78D8">
        <w:t xml:space="preserve"> </w:t>
      </w:r>
      <w:r w:rsidR="00D000EA" w:rsidRPr="004C78D8">
        <w:fldChar w:fldCharType="begin">
          <w:fldData xml:space="preserve">PEVuZE5vdGU+PENpdGU+PEF1dGhvcj5UaW5ldHRpPC9BdXRob3I+PFllYXI+MTk5NTwvWWVhcj48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</w:fldData>
        </w:fldChar>
      </w:r>
      <w:r w:rsidR="00513646" w:rsidRPr="004C78D8">
        <w:instrText xml:space="preserve"> ADDIN EN.CITE </w:instrText>
      </w:r>
      <w:r w:rsidR="00513646" w:rsidRPr="004C78D8">
        <w:fldChar w:fldCharType="begin">
          <w:fldData xml:space="preserve">PEVuZE5vdGU+PENpdGU+PEF1dGhvcj5UaW5ldHRpPC9BdXRob3I+PFllYXI+MTk5NTwvWWVhcj48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</w:fldData>
        </w:fldChar>
      </w:r>
      <w:r w:rsidR="00513646" w:rsidRPr="004C78D8">
        <w:instrText xml:space="preserve"> ADDIN EN.CITE.DATA </w:instrText>
      </w:r>
      <w:r w:rsidR="00513646" w:rsidRPr="004C78D8">
        <w:fldChar w:fldCharType="end"/>
      </w:r>
      <w:r w:rsidR="00D000EA" w:rsidRPr="004C78D8">
        <w:fldChar w:fldCharType="separate"/>
      </w:r>
      <w:r w:rsidR="00513646" w:rsidRPr="004C78D8">
        <w:rPr>
          <w:noProof/>
        </w:rPr>
        <w:t>[21-23]</w:t>
      </w:r>
      <w:r w:rsidR="00D000EA" w:rsidRPr="004C78D8">
        <w:fldChar w:fldCharType="end"/>
      </w:r>
      <w:r w:rsidR="00CB7E2B" w:rsidRPr="004C78D8">
        <w:t xml:space="preserve">. </w:t>
      </w:r>
    </w:p>
    <w:p w14:paraId="75CC58DC" w14:textId="03B4773B" w:rsidR="00F53C7F" w:rsidRPr="004C78D8" w:rsidRDefault="00CB7E2B" w:rsidP="00FB7C1F">
      <w:r w:rsidRPr="004C78D8">
        <w:t xml:space="preserve">Falls </w:t>
      </w:r>
      <w:r w:rsidR="000E0837" w:rsidRPr="004C78D8">
        <w:t xml:space="preserve">are </w:t>
      </w:r>
      <w:r w:rsidRPr="004C78D8">
        <w:t>defined as</w:t>
      </w:r>
      <w:r w:rsidR="000E0837" w:rsidRPr="004C78D8">
        <w:t xml:space="preserve">: </w:t>
      </w:r>
      <w:r w:rsidRPr="004C78D8">
        <w:t xml:space="preserve">inadvertently coming to rest on the ground or other lower level (excluding coming </w:t>
      </w:r>
      <w:r w:rsidR="000E0837" w:rsidRPr="004C78D8">
        <w:t>t</w:t>
      </w:r>
      <w:r w:rsidRPr="004C78D8">
        <w:t>o rest against furniture, wall, or other structure) with or without loss of consciousness and other than as a consequence of sudden onset of paralysis, epileptic seizure, excess alcohol intake, or overwhelming external force</w:t>
      </w:r>
      <w:r w:rsidR="000E0837" w:rsidRPr="004C78D8">
        <w:t xml:space="preserve"> </w:t>
      </w:r>
      <w:r w:rsidR="000E0837" w:rsidRPr="004C78D8">
        <w:fldChar w:fldCharType="begin">
          <w:fldData xml:space="preserve">PEVuZE5vdGU+PENpdGU+PEF1dGhvcj5MYW1iPC9BdXRob3I+PFllYXI+MjAwNTwvWWVhcj48UmVj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</w:fldData>
        </w:fldChar>
      </w:r>
      <w:r w:rsidR="00513646" w:rsidRPr="004C78D8">
        <w:instrText xml:space="preserve"> ADDIN EN.CITE </w:instrText>
      </w:r>
      <w:r w:rsidR="00513646" w:rsidRPr="004C78D8">
        <w:fldChar w:fldCharType="begin">
          <w:fldData xml:space="preserve">PEVuZE5vdGU+PENpdGU+PEF1dGhvcj5MYW1iPC9BdXRob3I+PFllYXI+MjAwNTwvWWVhcj48UmVj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</w:fldData>
        </w:fldChar>
      </w:r>
      <w:r w:rsidR="00513646" w:rsidRPr="004C78D8">
        <w:instrText xml:space="preserve"> ADDIN EN.CITE.DATA </w:instrText>
      </w:r>
      <w:r w:rsidR="00513646" w:rsidRPr="004C78D8">
        <w:fldChar w:fldCharType="end"/>
      </w:r>
      <w:r w:rsidR="000E0837" w:rsidRPr="004C78D8">
        <w:fldChar w:fldCharType="separate"/>
      </w:r>
      <w:r w:rsidR="00513646" w:rsidRPr="004C78D8">
        <w:rPr>
          <w:noProof/>
        </w:rPr>
        <w:t>[24, 25]</w:t>
      </w:r>
      <w:r w:rsidR="000E0837" w:rsidRPr="004C78D8">
        <w:fldChar w:fldCharType="end"/>
      </w:r>
      <w:r w:rsidR="00757F0C" w:rsidRPr="004C78D8">
        <w:t xml:space="preserve">. </w:t>
      </w:r>
      <w:r w:rsidR="00A23E6F" w:rsidRPr="004C78D8">
        <w:t>More than half of falls in populations aged 65</w:t>
      </w:r>
      <w:r w:rsidR="002C1263" w:rsidRPr="004C78D8">
        <w:t>+</w:t>
      </w:r>
      <w:r w:rsidR="00A23E6F" w:rsidRPr="004C78D8">
        <w:t xml:space="preserve"> occur in community setting</w:t>
      </w:r>
      <w:r w:rsidR="002C1263" w:rsidRPr="004C78D8">
        <w:t>s</w:t>
      </w:r>
      <w:r w:rsidR="00A23E6F" w:rsidRPr="004C78D8">
        <w:t xml:space="preserve">: i.e., excluding </w:t>
      </w:r>
      <w:r w:rsidR="00582438" w:rsidRPr="004C78D8">
        <w:t>residential</w:t>
      </w:r>
      <w:r w:rsidR="00A23E6F" w:rsidRPr="004C78D8">
        <w:t xml:space="preserve"> care settings such as nursing homes and hospital wards </w:t>
      </w:r>
      <w:r w:rsidR="00A23E6F" w:rsidRPr="004C78D8">
        <w:fldChar w:fldCharType="begin"/>
      </w:r>
      <w:r w:rsidR="00513646" w:rsidRPr="004C78D8">
        <w:instrText xml:space="preserve"> ADDIN EN.CITE &lt;EndNote&gt;&lt;Cite&gt;&lt;Author&gt;Campbell&lt;/Author&gt;&lt;Year&gt;1990&lt;/Year&gt;&lt;RecNum&gt;495&lt;/RecNum&gt;&lt;DisplayText&gt;[26]&lt;/DisplayText&gt;&lt;record&gt;&lt;rec-number&gt;495&lt;/rec-number&gt;&lt;foreign-keys&gt;&lt;key app="EN" db-id="tdtrdw9aepptzbefsat599syza29sxsd2wsp" timestamp="1617279570"&gt;495&lt;/key&gt;&lt;/foreign-keys&gt;&lt;ref-type name="Journal Article"&gt;17&lt;/ref-type&gt;&lt;contributors&gt;&lt;authors&gt;&lt;author&gt;Campbell, A. J.&lt;/author&gt;&lt;author&gt;Borrie, M. J.&lt;/author&gt;&lt;author&gt;Spears, G. F.&lt;/author&gt;&lt;author&gt;Jackson, S. L.&lt;/author&gt;&lt;author&gt;Brown, J. S.&lt;/author&gt;&lt;author&gt;Fitzgerald, J. L.&lt;/author&gt;&lt;/authors&gt;&lt;/contributors&gt;&lt;auth-address&gt;University of Otago Medical School, Dunedin, New Zealand.&lt;/auth-address&gt;&lt;titles&gt;&lt;title&gt;Circumstances and consequences of falls experienced by a community population 70 years and over during a prospective study&lt;/title&gt;&lt;secondary-title&gt;Age Ageing&lt;/secondary-title&gt;&lt;/titles&gt;&lt;periodical&gt;&lt;full-title&gt;Age Ageing&lt;/full-title&gt;&lt;/periodical&gt;&lt;pages&gt;136-41&lt;/pages&gt;&lt;volume&gt;19&lt;/volume&gt;&lt;number&gt;2&lt;/number&gt;&lt;keywords&gt;&lt;keyword&gt;Accidental Falls/mortality/*statistics &amp;amp; numerical data&lt;/keyword&gt;&lt;keyword&gt;Accidents/*statistics &amp;amp; numerical data&lt;/keyword&gt;&lt;keyword&gt;Accidents, Home/statistics &amp;amp; numerical data&lt;/keyword&gt;&lt;keyword&gt;Aged&lt;/keyword&gt;&lt;keyword&gt;Cross-Sectional Studies&lt;/keyword&gt;&lt;keyword&gt;Female&lt;/keyword&gt;&lt;keyword&gt;Follow-Up Studies&lt;/keyword&gt;&lt;keyword&gt;Humans&lt;/keyword&gt;&lt;keyword&gt;Incidence&lt;/keyword&gt;&lt;keyword&gt;Male&lt;/keyword&gt;&lt;keyword&gt;New Zealand/epidemiology&lt;/keyword&gt;&lt;keyword&gt;Risk Factors&lt;/keyword&gt;&lt;keyword&gt;*Rural Population&lt;/keyword&gt;&lt;keyword&gt;Survival Rate&lt;/keyword&gt;&lt;keyword&gt;Wounds and Injuries/mortality&lt;/keyword&gt;&lt;/keywords&gt;&lt;dates&gt;&lt;year&gt;1990&lt;/year&gt;&lt;pub-dates&gt;&lt;date&gt;Mar&lt;/date&gt;&lt;/pub-dates&gt;&lt;/dates&gt;&lt;isbn&gt;0002-0729 (Print)&amp;#xD;0002-0729 (Linking)&lt;/isbn&gt;&lt;accession-num&gt;2337010&lt;/accession-num&gt;&lt;urls&gt;&lt;related-urls&gt;&lt;url&gt;https://www.ncbi.nlm.nih.gov/pubmed/2337010&lt;/url&gt;&lt;/related-urls&gt;&lt;/urls&gt;&lt;/record&gt;&lt;/Cite&gt;&lt;/EndNote&gt;</w:instrText>
      </w:r>
      <w:r w:rsidR="00A23E6F" w:rsidRPr="004C78D8">
        <w:fldChar w:fldCharType="separate"/>
      </w:r>
      <w:r w:rsidR="00513646" w:rsidRPr="004C78D8">
        <w:rPr>
          <w:noProof/>
        </w:rPr>
        <w:t>[26]</w:t>
      </w:r>
      <w:r w:rsidR="00A23E6F" w:rsidRPr="004C78D8">
        <w:fldChar w:fldCharType="end"/>
      </w:r>
      <w:r w:rsidR="00A23E6F" w:rsidRPr="004C78D8">
        <w:t xml:space="preserve">. </w:t>
      </w:r>
      <w:r w:rsidR="00757F0C" w:rsidRPr="004C78D8">
        <w:t xml:space="preserve">It is estimated that around a third of </w:t>
      </w:r>
      <w:r w:rsidR="00A23E6F" w:rsidRPr="004C78D8">
        <w:t xml:space="preserve">community-dwelling </w:t>
      </w:r>
      <w:r w:rsidR="00757F0C" w:rsidRPr="004C78D8">
        <w:t>adults aged 65</w:t>
      </w:r>
      <w:r w:rsidR="002C1263" w:rsidRPr="004C78D8">
        <w:t>+</w:t>
      </w:r>
      <w:r w:rsidR="00757F0C" w:rsidRPr="004C78D8">
        <w:t xml:space="preserve"> and half of those aged 80</w:t>
      </w:r>
      <w:r w:rsidR="002C1263" w:rsidRPr="004C78D8">
        <w:t>+ f</w:t>
      </w:r>
      <w:r w:rsidR="00757F0C" w:rsidRPr="004C78D8">
        <w:t xml:space="preserve">all at least once each year </w:t>
      </w:r>
      <w:r w:rsidR="00757F0C" w:rsidRPr="004C78D8">
        <w:fldChar w:fldCharType="begin"/>
      </w:r>
      <w:r w:rsidR="00F255A9"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00757F0C" w:rsidRPr="004C78D8">
        <w:fldChar w:fldCharType="separate"/>
      </w:r>
      <w:r w:rsidR="00F255A9" w:rsidRPr="004C78D8">
        <w:rPr>
          <w:noProof/>
        </w:rPr>
        <w:t>[13]</w:t>
      </w:r>
      <w:r w:rsidR="00757F0C" w:rsidRPr="004C78D8">
        <w:fldChar w:fldCharType="end"/>
      </w:r>
      <w:r w:rsidR="00757F0C" w:rsidRPr="004C78D8">
        <w:t>.</w:t>
      </w:r>
      <w:r w:rsidRPr="004C78D8">
        <w:t xml:space="preserve"> </w:t>
      </w:r>
      <w:r w:rsidR="00A23E6F" w:rsidRPr="004C78D8">
        <w:t xml:space="preserve">Around half of fallers are known to experience one or more recurrent falls within a year from the initial fall </w:t>
      </w:r>
      <w:r w:rsidR="00A23E6F" w:rsidRPr="004C78D8">
        <w:fldChar w:fldCharType="begin"/>
      </w:r>
      <w:r w:rsidR="00513646" w:rsidRPr="004C78D8">
        <w:instrText xml:space="preserve"> ADDIN EN.CITE &lt;EndNote&gt;&lt;Cite&gt;&lt;Author&gt;Tinetti&lt;/Author&gt;&lt;Year&gt;2003&lt;/Year&gt;&lt;RecNum&gt;496&lt;/RecNum&gt;&lt;DisplayText&gt;[27]&lt;/DisplayText&gt;&lt;record&gt;&lt;rec-number&gt;496&lt;/rec-number&gt;&lt;foreign-keys&gt;&lt;key app="EN" db-id="tdtrdw9aepptzbefsat599syza29sxsd2wsp" timestamp="1617279788"&gt;496&lt;/key&gt;&lt;/foreign-keys&gt;&lt;ref-type name="Journal Article"&gt;17&lt;/ref-type&gt;&lt;contributors&gt;&lt;authors&gt;&lt;author&gt;Tinetti, Mary E&lt;/author&gt;&lt;/authors&gt;&lt;/contributors&gt;&lt;titles&gt;&lt;title&gt;Preventing falls in elderly persons&lt;/title&gt;&lt;secondary-title&gt;New England Journal of Medicine&lt;/secondary-title&gt;&lt;/titles&gt;&lt;periodical&gt;&lt;full-title&gt;New England journal of medicine&lt;/full-title&gt;&lt;/periodical&gt;&lt;pages&gt;42-49&lt;/pages&gt;&lt;volume&gt;348&lt;/volume&gt;&lt;number&gt;1&lt;/number&gt;&lt;dates&gt;&lt;year&gt;2003&lt;/year&gt;&lt;/dates&gt;&lt;isbn&gt;0028-4793&lt;/isbn&gt;&lt;urls&gt;&lt;/urls&gt;&lt;/record&gt;&lt;/Cite&gt;&lt;/EndNote&gt;</w:instrText>
      </w:r>
      <w:r w:rsidR="00A23E6F" w:rsidRPr="004C78D8">
        <w:fldChar w:fldCharType="separate"/>
      </w:r>
      <w:r w:rsidR="00513646" w:rsidRPr="004C78D8">
        <w:rPr>
          <w:noProof/>
        </w:rPr>
        <w:t>[27]</w:t>
      </w:r>
      <w:r w:rsidR="00A23E6F" w:rsidRPr="004C78D8">
        <w:fldChar w:fldCharType="end"/>
      </w:r>
      <w:r w:rsidR="00A23E6F" w:rsidRPr="004C78D8">
        <w:t xml:space="preserve">. </w:t>
      </w:r>
      <w:r w:rsidR="00FE6A82" w:rsidRPr="004C78D8">
        <w:t xml:space="preserve">Falls impose significant morbidity and mortality burdens on </w:t>
      </w:r>
      <w:r w:rsidR="00E764A0" w:rsidRPr="004C78D8">
        <w:t>older</w:t>
      </w:r>
      <w:r w:rsidR="00FE6A82" w:rsidRPr="004C78D8">
        <w:t xml:space="preserve"> people </w:t>
      </w:r>
      <w:r w:rsidR="00FE6A82" w:rsidRPr="004C78D8">
        <w:fldChar w:fldCharType="begin">
          <w:fldData xml:space="preserve">PEVuZE5vdGU+PENpdGU+PEF1dGhvcj5KYW1lczwvQXV0aG9yPjxZZWFyPjIwMjA8L1llYXI+PFJl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</w:fldData>
        </w:fldChar>
      </w:r>
      <w:r w:rsidR="00513646" w:rsidRPr="004C78D8">
        <w:instrText xml:space="preserve"> ADDIN EN.CITE </w:instrText>
      </w:r>
      <w:r w:rsidR="00513646" w:rsidRPr="004C78D8">
        <w:fldChar w:fldCharType="begin">
          <w:fldData xml:space="preserve">PEVuZE5vdGU+PENpdGU+PEF1dGhvcj5KYW1lczwvQXV0aG9yPjxZZWFyPjIwMjA8L1llYXI+PFJl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</w:fldData>
        </w:fldChar>
      </w:r>
      <w:r w:rsidR="00513646" w:rsidRPr="004C78D8">
        <w:instrText xml:space="preserve"> ADDIN EN.CITE.DATA </w:instrText>
      </w:r>
      <w:r w:rsidR="00513646" w:rsidRPr="004C78D8">
        <w:fldChar w:fldCharType="end"/>
      </w:r>
      <w:r w:rsidR="00FE6A82" w:rsidRPr="004C78D8">
        <w:fldChar w:fldCharType="separate"/>
      </w:r>
      <w:r w:rsidR="00513646" w:rsidRPr="004C78D8">
        <w:rPr>
          <w:noProof/>
        </w:rPr>
        <w:t>[28]</w:t>
      </w:r>
      <w:r w:rsidR="00FE6A82" w:rsidRPr="004C78D8">
        <w:fldChar w:fldCharType="end"/>
      </w:r>
      <w:r w:rsidR="00FE6A82" w:rsidRPr="004C78D8">
        <w:t xml:space="preserve">, including fear of falling </w:t>
      </w:r>
      <w:r w:rsidR="00FE6A82" w:rsidRPr="004C78D8">
        <w:fldChar w:fldCharType="begin">
          <w:fldData xml:space="preserve">PEVuZE5vdGU+PENpdGU+PEF1dGhvcj5Hb3R0c2NoYWxrPC9BdXRob3I+PFllYXI+MjAyMDwvWWVh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ZSBVU0E8L2FiYnItMT48L3BlcmlvZGljYWw+PHBhZ2VzPjg2OS03ODwvcGFnZXM+PHZvbHVtZT4y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==
</w:fldData>
        </w:fldChar>
      </w:r>
      <w:r w:rsidR="00513646" w:rsidRPr="004C78D8">
        <w:instrText xml:space="preserve"> ADDIN EN.CITE </w:instrText>
      </w:r>
      <w:r w:rsidR="00513646" w:rsidRPr="004C78D8">
        <w:fldChar w:fldCharType="begin">
          <w:fldData xml:space="preserve">PEVuZE5vdGU+PENpdGU+PEF1dGhvcj5Hb3R0c2NoYWxrPC9BdXRob3I+PFllYXI+MjAyMDwvWWVh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==
</w:fldData>
        </w:fldChar>
      </w:r>
      <w:r w:rsidR="00513646" w:rsidRPr="004C78D8">
        <w:instrText xml:space="preserve"> ADDIN EN.CITE.DATA </w:instrText>
      </w:r>
      <w:r w:rsidR="00513646" w:rsidRPr="004C78D8">
        <w:fldChar w:fldCharType="end"/>
      </w:r>
      <w:r w:rsidR="00FE6A82" w:rsidRPr="004C78D8">
        <w:fldChar w:fldCharType="separate"/>
      </w:r>
      <w:r w:rsidR="00513646" w:rsidRPr="004C78D8">
        <w:rPr>
          <w:noProof/>
        </w:rPr>
        <w:t>[29-31]</w:t>
      </w:r>
      <w:r w:rsidR="00FE6A82" w:rsidRPr="004C78D8">
        <w:fldChar w:fldCharType="end"/>
      </w:r>
      <w:r w:rsidR="00FE6A82" w:rsidRPr="004C78D8">
        <w:t xml:space="preserve">, depression </w:t>
      </w:r>
      <w:r w:rsidR="00FE6A82" w:rsidRPr="004C78D8">
        <w:fldChar w:fldCharType="begin"/>
      </w:r>
      <w:r w:rsidR="00513646" w:rsidRPr="004C78D8">
        <w:instrText xml:space="preserve"> ADDIN EN.CITE &lt;EndNote&gt;&lt;Cite&gt;&lt;Author&gt;Kim&lt;/Author&gt;&lt;Year&gt;2021&lt;/Year&gt;&lt;RecNum&gt;212&lt;/RecNum&gt;&lt;DisplayText&gt;[32]&lt;/DisplayText&gt;&lt;record&gt;&lt;rec-number&gt;212&lt;/rec-number&gt;&lt;foreign-keys&gt;&lt;key app="EN" db-id="tdtrdw9aepptzbefsat599syza29sxsd2wsp" timestamp="1610316500"&gt;212&lt;/key&gt;&lt;/foreign-keys&gt;&lt;ref-type name="Journal Article"&gt;17&lt;/ref-type&gt;&lt;contributors&gt;&lt;authors&gt;&lt;author&gt;Kim, J. H.&lt;/author&gt;&lt;/authors&gt;&lt;/contributors&gt;&lt;auth-address&gt;J.-H. Kim, Department of Health Administration, Dankook University, 119, Dandae-ro, Dongnam-gu, Cheonan-si, Chungnam 330-714, South Korea. E-mail: jaehyun@dankook.ac.kr&lt;/auth-address&gt;&lt;titles&gt;&lt;title&gt;Experiences of falling and depression: Results from the Korean Longitudinal Study of Ageing&lt;/title&gt;&lt;secondary-title&gt;Journal of Affective Disorders&lt;/secondary-title&gt;&lt;/titles&gt;&lt;periodical&gt;&lt;full-title&gt;Journal of Affective Disorders&lt;/full-title&gt;&lt;/periodical&gt;&lt;pages&gt;174-182&lt;/pages&gt;&lt;volume&gt;281&lt;/volume&gt;&lt;keywords&gt;&lt;keyword&gt;adult&lt;/keyword&gt;&lt;keyword&gt;*aging&lt;/keyword&gt;&lt;keyword&gt;article&lt;/keyword&gt;&lt;keyword&gt;controlled study&lt;/keyword&gt;&lt;keyword&gt;depression&lt;/keyword&gt;&lt;keyword&gt;female&lt;/keyword&gt;&lt;keyword&gt;human&lt;/keyword&gt;&lt;keyword&gt;*longitudinal study&lt;/keyword&gt;&lt;keyword&gt;major clinical study&lt;/keyword&gt;&lt;keyword&gt;male&lt;/keyword&gt;&lt;keyword&gt;prevention&lt;/keyword&gt;&lt;keyword&gt;risk assessment&lt;/keyword&gt;&lt;/keywords&gt;&lt;dates&gt;&lt;year&gt;2021&lt;/year&gt;&lt;/dates&gt;&lt;pub-location&gt;Netherlands&lt;/pub-location&gt;&lt;publisher&gt;Elsevier B.V.&lt;/publisher&gt;&lt;isbn&gt;0165-0327&amp;#xD;1573-2517&lt;/isbn&gt;&lt;urls&gt;&lt;related-urls&gt;&lt;url&gt;http://www.elsevier.com/locate/jad&lt;/url&gt;&lt;url&gt;http://ovidsp.ovid.com/ovidweb.cgi?T=JS&amp;amp;PAGE=reference&amp;amp;D=emexc&amp;amp;NEWS=N&amp;amp;AN=2010320884&lt;/url&gt;&lt;/related-urls&gt;&lt;/urls&gt;&lt;electronic-resource-num&gt;http://dx.doi.org/10.1016/j.jad.2020.12.026&lt;/electronic-resource-num&gt;&lt;remote-database-name&gt;Embase&lt;/remote-database-name&gt;&lt;language&gt;English&lt;/language&gt;&lt;/record&gt;&lt;/Cite&gt;&lt;/EndNote&gt;</w:instrText>
      </w:r>
      <w:r w:rsidR="00FE6A82" w:rsidRPr="004C78D8">
        <w:fldChar w:fldCharType="separate"/>
      </w:r>
      <w:r w:rsidR="00513646" w:rsidRPr="004C78D8">
        <w:rPr>
          <w:noProof/>
        </w:rPr>
        <w:t>[32]</w:t>
      </w:r>
      <w:r w:rsidR="00FE6A82" w:rsidRPr="004C78D8">
        <w:fldChar w:fldCharType="end"/>
      </w:r>
      <w:r w:rsidR="00924C6B" w:rsidRPr="004C78D8">
        <w:t xml:space="preserve">, and </w:t>
      </w:r>
      <w:r w:rsidR="00FE6A82" w:rsidRPr="004C78D8">
        <w:t xml:space="preserve">functional decline and dependence </w:t>
      </w:r>
      <w:r w:rsidR="00FE6A82" w:rsidRPr="004C78D8">
        <w:fldChar w:fldCharType="begin">
          <w:fldData xml:space="preserve">PEVuZE5vdGU+PENpdGU+PEF1dGhvcj5TZWthcmFuPC9BdXRob3I+PFllYXI+MjAxMzwvWWVhcj48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</w:fldData>
        </w:fldChar>
      </w:r>
      <w:r w:rsidR="00513646" w:rsidRPr="004C78D8">
        <w:instrText xml:space="preserve"> ADDIN EN.CITE </w:instrText>
      </w:r>
      <w:r w:rsidR="00513646" w:rsidRPr="004C78D8">
        <w:fldChar w:fldCharType="begin">
          <w:fldData xml:space="preserve">PEVuZE5vdGU+PENpdGU+PEF1dGhvcj5TZWthcmFuPC9BdXRob3I+PFllYXI+MjAxMzwvWWVhcj48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</w:fldData>
        </w:fldChar>
      </w:r>
      <w:r w:rsidR="00513646" w:rsidRPr="004C78D8">
        <w:instrText xml:space="preserve"> ADDIN EN.CITE.DATA </w:instrText>
      </w:r>
      <w:r w:rsidR="00513646" w:rsidRPr="004C78D8">
        <w:fldChar w:fldCharType="end"/>
      </w:r>
      <w:r w:rsidR="00FE6A82" w:rsidRPr="004C78D8">
        <w:fldChar w:fldCharType="separate"/>
      </w:r>
      <w:r w:rsidR="00513646" w:rsidRPr="004C78D8">
        <w:rPr>
          <w:noProof/>
        </w:rPr>
        <w:t>[33-36]</w:t>
      </w:r>
      <w:r w:rsidR="00FE6A82" w:rsidRPr="004C78D8">
        <w:fldChar w:fldCharType="end"/>
      </w:r>
      <w:r w:rsidR="00924C6B" w:rsidRPr="004C78D8">
        <w:t xml:space="preserve">. There is also a close relationship between falls and fractures with around 95% of hip fractures caused by falls </w:t>
      </w:r>
      <w:r w:rsidR="00924C6B" w:rsidRPr="004C78D8">
        <w:fldChar w:fldCharType="begin"/>
      </w:r>
      <w:r w:rsidR="00513646" w:rsidRPr="004C78D8">
        <w:instrText xml:space="preserve"> ADDIN EN.CITE &lt;EndNote&gt;&lt;Cite&gt;&lt;Author&gt;Todd&lt;/Author&gt;&lt;Year&gt;2004&lt;/Year&gt;&lt;RecNum&gt;497&lt;/RecNum&gt;&lt;DisplayText&gt;[37]&lt;/DisplayText&gt;&lt;record&gt;&lt;rec-number&gt;497&lt;/rec-number&gt;&lt;foreign-keys&gt;&lt;key app="EN" db-id="tdtrdw9aepptzbefsat599syza29sxsd2wsp" timestamp="1617281492"&gt;497&lt;/key&gt;&lt;/foreign-keys&gt;&lt;ref-type name="Journal Article"&gt;17&lt;/ref-type&gt;&lt;contributors&gt;&lt;authors&gt;&lt;author&gt;Todd, Chris&lt;/author&gt;&lt;author&gt;Skelton, Dawn&lt;/author&gt;&lt;/authors&gt;&lt;/contributors&gt;&lt;titles&gt;&lt;title&gt;What are the main risk factors for falls among older people and what are the most effective interventions to prevent these falls&lt;/title&gt;&lt;secondary-title&gt;Copenhagen, WHO Regional Office for Europe (Health Evidence Network report&lt;/secondary-title&gt;&lt;/titles&gt;&lt;periodical&gt;&lt;full-title&gt;Copenhagen, WHO Regional Office for Europe (Health Evidence Network report&lt;/full-title&gt;&lt;/periodical&gt;&lt;dates&gt;&lt;year&gt;2004&lt;/year&gt;&lt;/dates&gt;&lt;urls&gt;&lt;/urls&gt;&lt;/record&gt;&lt;/Cite&gt;&lt;/EndNote&gt;</w:instrText>
      </w:r>
      <w:r w:rsidR="00924C6B" w:rsidRPr="004C78D8">
        <w:fldChar w:fldCharType="separate"/>
      </w:r>
      <w:r w:rsidR="00513646" w:rsidRPr="004C78D8">
        <w:rPr>
          <w:noProof/>
        </w:rPr>
        <w:t>[37]</w:t>
      </w:r>
      <w:r w:rsidR="00924C6B" w:rsidRPr="004C78D8">
        <w:fldChar w:fldCharType="end"/>
      </w:r>
      <w:r w:rsidR="00924C6B" w:rsidRPr="004C78D8">
        <w:t>. S</w:t>
      </w:r>
      <w:r w:rsidR="00FE6A82" w:rsidRPr="004C78D8">
        <w:t>erious injuries such as hip fractures</w:t>
      </w:r>
      <w:r w:rsidR="00924C6B" w:rsidRPr="004C78D8">
        <w:t xml:space="preserve"> significantly raise the long-term mortality risk (if not immediately fatal)</w:t>
      </w:r>
      <w:r w:rsidR="00FE6A82" w:rsidRPr="004C78D8">
        <w:t xml:space="preserve"> </w:t>
      </w:r>
      <w:r w:rsidR="00FE6A82" w:rsidRPr="004C78D8">
        <w:fldChar w:fldCharType="begin">
          <w:fldData xml:space="preserve">PEVuZE5vdGU+PENpdGU+PEF1dGhvcj5EcmV2ZXQ8L0F1dGhvcj48WWVhcj4yMDE5PC9ZZWFyPjxS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</w:fldData>
        </w:fldChar>
      </w:r>
      <w:r w:rsidR="00513646" w:rsidRPr="004C78D8">
        <w:instrText xml:space="preserve"> ADDIN EN.CITE </w:instrText>
      </w:r>
      <w:r w:rsidR="00513646" w:rsidRPr="004C78D8">
        <w:fldChar w:fldCharType="begin">
          <w:fldData xml:space="preserve">PEVuZE5vdGU+PENpdGU+PEF1dGhvcj5EcmV2ZXQ8L0F1dGhvcj48WWVhcj4yMDE5PC9ZZWFyPjxS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</w:fldData>
        </w:fldChar>
      </w:r>
      <w:r w:rsidR="00513646" w:rsidRPr="004C78D8">
        <w:instrText xml:space="preserve"> ADDIN EN.CITE.DATA </w:instrText>
      </w:r>
      <w:r w:rsidR="00513646" w:rsidRPr="004C78D8">
        <w:fldChar w:fldCharType="end"/>
      </w:r>
      <w:r w:rsidR="00FE6A82" w:rsidRPr="004C78D8">
        <w:fldChar w:fldCharType="separate"/>
      </w:r>
      <w:r w:rsidR="00513646" w:rsidRPr="004C78D8">
        <w:rPr>
          <w:noProof/>
        </w:rPr>
        <w:t>[38-40]</w:t>
      </w:r>
      <w:r w:rsidR="00FE6A82" w:rsidRPr="004C78D8">
        <w:fldChar w:fldCharType="end"/>
      </w:r>
      <w:r w:rsidR="00924C6B" w:rsidRPr="004C78D8">
        <w:t>, while</w:t>
      </w:r>
      <w:r w:rsidR="00FE6A82" w:rsidRPr="004C78D8">
        <w:t xml:space="preserve"> </w:t>
      </w:r>
      <w:r w:rsidR="00924C6B" w:rsidRPr="004C78D8">
        <w:t>e</w:t>
      </w:r>
      <w:r w:rsidR="008313C0" w:rsidRPr="004C78D8">
        <w:t xml:space="preserve">ven non-injurious falls </w:t>
      </w:r>
      <w:r w:rsidR="00924C6B" w:rsidRPr="004C78D8">
        <w:t>can</w:t>
      </w:r>
      <w:r w:rsidR="008313C0" w:rsidRPr="004C78D8">
        <w:t xml:space="preserve"> be fatal if the person is unable to get up from the floor and summon help and is thereby exposed to dehydration and hypothermia </w:t>
      </w:r>
      <w:r w:rsidR="008313C0" w:rsidRPr="004C78D8">
        <w:fldChar w:fldCharType="begin"/>
      </w:r>
      <w:r w:rsidR="00513646" w:rsidRPr="004C78D8">
        <w:instrText xml:space="preserve"> ADDIN EN.CITE &lt;EndNote&gt;&lt;Cite&gt;&lt;Author&gt;Todd&lt;/Author&gt;&lt;Year&gt;2004&lt;/Year&gt;&lt;RecNum&gt;497&lt;/RecNum&gt;&lt;DisplayText&gt;[37]&lt;/DisplayText&gt;&lt;record&gt;&lt;rec-number&gt;497&lt;/rec-number&gt;&lt;foreign-keys&gt;&lt;key app="EN" db-id="tdtrdw9aepptzbefsat599syza29sxsd2wsp" timestamp="1617281492"&gt;497&lt;/key&gt;&lt;/foreign-keys&gt;&lt;ref-type name="Journal Article"&gt;17&lt;/ref-type&gt;&lt;contributors&gt;&lt;authors&gt;&lt;author&gt;Todd, Chris&lt;/author&gt;&lt;author&gt;Skelton, Dawn&lt;/author&gt;&lt;/authors&gt;&lt;/contributors&gt;&lt;titles&gt;&lt;title&gt;What are the main risk factors for falls among older people and what are the most effective interventions to prevent these falls&lt;/title&gt;&lt;secondary-title&gt;Copenhagen, WHO Regional Office for Europe (Health Evidence Network report&lt;/secondary-title&gt;&lt;/titles&gt;&lt;periodical&gt;&lt;full-title&gt;Copenhagen, WHO Regional Office for Europe (Health Evidence Network report&lt;/full-title&gt;&lt;/periodical&gt;&lt;dates&gt;&lt;year&gt;2004&lt;/year&gt;&lt;/dates&gt;&lt;urls&gt;&lt;/urls&gt;&lt;/record&gt;&lt;/Cite&gt;&lt;/EndNote&gt;</w:instrText>
      </w:r>
      <w:r w:rsidR="008313C0" w:rsidRPr="004C78D8">
        <w:fldChar w:fldCharType="separate"/>
      </w:r>
      <w:r w:rsidR="00513646" w:rsidRPr="004C78D8">
        <w:rPr>
          <w:noProof/>
        </w:rPr>
        <w:t>[37]</w:t>
      </w:r>
      <w:r w:rsidR="008313C0" w:rsidRPr="004C78D8">
        <w:fldChar w:fldCharType="end"/>
      </w:r>
      <w:r w:rsidR="008313C0" w:rsidRPr="004C78D8">
        <w:t>.</w:t>
      </w:r>
      <w:r w:rsidR="00924C6B" w:rsidRPr="004C78D8">
        <w:t xml:space="preserve"> </w:t>
      </w:r>
    </w:p>
    <w:p w14:paraId="1785221F" w14:textId="74AC920D" w:rsidR="00CB7E2B" w:rsidRPr="004C78D8" w:rsidRDefault="000E0837" w:rsidP="00FB7C1F">
      <w:r w:rsidRPr="004C78D8">
        <w:t xml:space="preserve">Like </w:t>
      </w:r>
      <w:r w:rsidR="00D000EA" w:rsidRPr="004C78D8">
        <w:t xml:space="preserve">other </w:t>
      </w:r>
      <w:r w:rsidRPr="004C78D8">
        <w:t>geriatric syndromes, falls</w:t>
      </w:r>
      <w:r w:rsidR="003235AB" w:rsidRPr="004C78D8">
        <w:t xml:space="preserve"> have a </w:t>
      </w:r>
      <w:r w:rsidR="003235AB" w:rsidRPr="004C78D8">
        <w:rPr>
          <w:i/>
          <w:iCs/>
        </w:rPr>
        <w:t>multifactorial</w:t>
      </w:r>
      <w:r w:rsidR="003235AB" w:rsidRPr="004C78D8">
        <w:t xml:space="preserve"> risk profile that includes age, sex, chronic diseases, sensory and physical impairments (e.g., vision problems, abnormal gait and balance), cognitive impairment, history of falls and environmental hazards </w:t>
      </w:r>
      <w:r w:rsidRPr="004C78D8">
        <w:fldChar w:fldCharType="begin">
          <w:fldData xml:space="preserve">PEVuZE5vdGU+PENpdGU+PEF1dGhvcj5OYXRpb25hbCBJbnN0aXR1dGUgZm9yIEhlYWx0aCBhbmQg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</w:fldData>
        </w:fldChar>
      </w:r>
      <w:r w:rsidR="00513646" w:rsidRPr="004C78D8">
        <w:instrText xml:space="preserve"> ADDIN EN.CITE </w:instrText>
      </w:r>
      <w:r w:rsidR="00513646" w:rsidRPr="004C78D8">
        <w:fldChar w:fldCharType="begin">
          <w:fldData xml:space="preserve">PEVuZE5vdGU+PENpdGU+PEF1dGhvcj5OYXRpb25hbCBJbnN0aXR1dGUgZm9yIEhlYWx0aCBhbmQg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</w:fldData>
        </w:fldChar>
      </w:r>
      <w:r w:rsidR="00513646" w:rsidRPr="004C78D8">
        <w:instrText xml:space="preserve"> ADDIN EN.CITE.DATA </w:instrText>
      </w:r>
      <w:r w:rsidR="00513646" w:rsidRPr="004C78D8">
        <w:fldChar w:fldCharType="end"/>
      </w:r>
      <w:r w:rsidRPr="004C78D8">
        <w:fldChar w:fldCharType="separate"/>
      </w:r>
      <w:r w:rsidR="00513646" w:rsidRPr="004C78D8">
        <w:rPr>
          <w:noProof/>
        </w:rPr>
        <w:t>[13, 41-43]</w:t>
      </w:r>
      <w:r w:rsidRPr="004C78D8">
        <w:fldChar w:fldCharType="end"/>
      </w:r>
      <w:r w:rsidR="003235AB" w:rsidRPr="004C78D8">
        <w:t xml:space="preserve">. </w:t>
      </w:r>
      <w:r w:rsidR="006470EB" w:rsidRPr="004C78D8">
        <w:t xml:space="preserve">Presence of </w:t>
      </w:r>
      <w:r w:rsidR="00D27B5B" w:rsidRPr="004C78D8">
        <w:t xml:space="preserve">a </w:t>
      </w:r>
      <w:r w:rsidRPr="004C78D8">
        <w:t>single</w:t>
      </w:r>
      <w:r w:rsidR="003235AB" w:rsidRPr="004C78D8">
        <w:t xml:space="preserve"> falls </w:t>
      </w:r>
      <w:r w:rsidR="003235AB" w:rsidRPr="004C78D8">
        <w:lastRenderedPageBreak/>
        <w:t xml:space="preserve">risk factor is seldom the sole cause of a fall </w:t>
      </w:r>
      <w:r w:rsidR="00D27E51" w:rsidRPr="004C78D8">
        <w:t>but</w:t>
      </w:r>
      <w:r w:rsidR="003235AB" w:rsidRPr="004C78D8">
        <w:t xml:space="preserve"> rather contributes towards a cumulative falls risk profile that can be expressed in a continuous probability </w:t>
      </w:r>
      <w:r w:rsidR="006470EB" w:rsidRPr="004C78D8">
        <w:t>scale</w:t>
      </w:r>
      <w:r w:rsidR="00060F45" w:rsidRPr="004C78D8">
        <w:t xml:space="preserve"> </w:t>
      </w:r>
      <w:r w:rsidRPr="004C78D8">
        <w:fldChar w:fldCharType="begin">
          <w:fldData xml:space="preserve">PEVuZE5vdGU+PENpdGU+PEF1dGhvcj5TbWl0aDwvQXV0aG9yPjxZZWFyPjIwMTY8L1llYXI+PFJl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</w:fldData>
        </w:fldChar>
      </w:r>
      <w:r w:rsidR="00513646" w:rsidRPr="004C78D8">
        <w:instrText xml:space="preserve"> ADDIN EN.CITE </w:instrText>
      </w:r>
      <w:r w:rsidR="00513646" w:rsidRPr="004C78D8">
        <w:fldChar w:fldCharType="begin">
          <w:fldData xml:space="preserve">PEVuZE5vdGU+PENpdGU+PEF1dGhvcj5TbWl0aDwvQXV0aG9yPjxZZWFyPjIwMTY8L1llYXI+PFJl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</w:fldData>
        </w:fldChar>
      </w:r>
      <w:r w:rsidR="00513646" w:rsidRPr="004C78D8">
        <w:instrText xml:space="preserve"> ADDIN EN.CITE.DATA </w:instrText>
      </w:r>
      <w:r w:rsidR="00513646" w:rsidRPr="004C78D8">
        <w:fldChar w:fldCharType="end"/>
      </w:r>
      <w:r w:rsidRPr="004C78D8">
        <w:fldChar w:fldCharType="separate"/>
      </w:r>
      <w:r w:rsidR="00513646" w:rsidRPr="004C78D8">
        <w:rPr>
          <w:noProof/>
        </w:rPr>
        <w:t>[44]</w:t>
      </w:r>
      <w:r w:rsidRPr="004C78D8">
        <w:fldChar w:fldCharType="end"/>
      </w:r>
      <w:r w:rsidR="003235AB" w:rsidRPr="004C78D8">
        <w:t xml:space="preserve">. </w:t>
      </w:r>
    </w:p>
    <w:p w14:paraId="59DD0DE0" w14:textId="766B5615" w:rsidR="002A0486" w:rsidRPr="004C78D8" w:rsidRDefault="006470EB" w:rsidP="00FB7C1F">
      <w:r w:rsidRPr="004C78D8">
        <w:t>Frailty</w:t>
      </w:r>
      <w:r w:rsidR="00D27E51" w:rsidRPr="004C78D8">
        <w:t xml:space="preserve"> is </w:t>
      </w:r>
      <w:r w:rsidR="000E0837" w:rsidRPr="004C78D8">
        <w:t xml:space="preserve">a </w:t>
      </w:r>
      <w:r w:rsidR="00D27E51" w:rsidRPr="004C78D8">
        <w:t xml:space="preserve">major health challenge for older people </w:t>
      </w:r>
      <w:r w:rsidR="00F24C93" w:rsidRPr="004C78D8">
        <w:t xml:space="preserve">and another geriatric syndrome </w:t>
      </w:r>
      <w:r w:rsidR="00F24C93" w:rsidRPr="004C78D8">
        <w:fldChar w:fldCharType="begin"/>
      </w:r>
      <w:r w:rsidR="00513646" w:rsidRPr="004C78D8">
        <w:instrText xml:space="preserve"> ADDIN EN.CITE &lt;EndNote&gt;&lt;Cite&gt;&lt;Author&gt;Inouye&lt;/Author&gt;&lt;Year&gt;2007&lt;/Year&gt;&lt;RecNum&gt;160&lt;/RecNum&gt;&lt;DisplayText&gt;[19, 45]&lt;/DisplayText&gt;&lt;record&gt;&lt;rec-number&gt;160&lt;/rec-number&gt;&lt;foreign-keys&gt;&lt;key app="EN" db-id="tdtrdw9aepptzbefsat599syza29sxsd2wsp" timestamp="1609258074"&gt;160&lt;/key&gt;&lt;/foreign-keys&gt;&lt;ref-type name="Journal Article"&gt;17&lt;/ref-type&gt;&lt;contributors&gt;&lt;authors&gt;&lt;author&gt;Inouye, Sharon K&lt;/author&gt;&lt;author&gt;Studenski, Stephanie&lt;/author&gt;&lt;author&gt;Tinetti, Mary E&lt;/author&gt;&lt;author&gt;Kuchel, George A&lt;/author&gt;&lt;/authors&gt;&lt;/contributors&gt;&lt;titles&gt;&lt;title&gt;Geriatric Syndromes: Clinical, Research, and Policy Implications of a Core Geriatric Concept&lt;/title&gt;&lt;secondary-title&gt;Journal of the American Geriatrics Society&lt;/secondary-title&gt;&lt;/titles&gt;&lt;periodical&gt;&lt;full-title&gt;Journal of the American Geriatrics Society&lt;/full-title&gt;&lt;/periodical&gt;&lt;pages&gt;780-791&lt;/pages&gt;&lt;volume&gt;55&lt;/volume&gt;&lt;number&gt;5&lt;/number&gt;&lt;dates&gt;&lt;year&gt;2007&lt;/year&gt;&lt;/dates&gt;&lt;isbn&gt;0002-8614&lt;/isbn&gt;&lt;urls&gt;&lt;/urls&gt;&lt;/record&gt;&lt;/Cite&gt;&lt;Cite&gt;&lt;Author&gt;Afzali&lt;/Author&gt;&lt;Year&gt;2019&lt;/Year&gt;&lt;RecNum&gt;165&lt;/RecNum&gt;&lt;record&gt;&lt;rec-number&gt;165&lt;/rec-number&gt;&lt;foreign-keys&gt;&lt;key app="EN" db-id="tdtrdw9aepptzbefsat599syza29sxsd2wsp" timestamp="1609275016"&gt;165&lt;/key&gt;&lt;/foreign-keys&gt;&lt;ref-type name="Journal Article"&gt;17&lt;/ref-type&gt;&lt;contributors&gt;&lt;authors&gt;&lt;author&gt;Afzali, Hossein Haji Ali&lt;/author&gt;&lt;author&gt;Karnon, Jonathan&lt;/author&gt;&lt;author&gt;Theou, Olga&lt;/author&gt;&lt;author&gt;Beilby, Justin&lt;/author&gt;&lt;author&gt;Cesari, Matteo&lt;/author&gt;&lt;author&gt;Visvanathan, Renuka&lt;/author&gt;&lt;/authors&gt;&lt;/contributors&gt;&lt;titles&gt;&lt;title&gt;Structuring a conceptual model for cost-effectiveness analysis of frailty interventions&lt;/title&gt;&lt;secondary-title&gt;PLoS One&lt;/secondary-title&gt;&lt;/titles&gt;&lt;periodical&gt;&lt;full-title&gt;PLoS One&lt;/full-title&gt;&lt;abbr-1&gt;PloS one&lt;/abbr-1&gt;&lt;/periodical&gt;&lt;volume&gt;14&lt;/volume&gt;&lt;number&gt;9&lt;/number&gt;&lt;dates&gt;&lt;year&gt;2019&lt;/year&gt;&lt;/dates&gt;&lt;urls&gt;&lt;/urls&gt;&lt;/record&gt;&lt;/Cite&gt;&lt;/EndNote&gt;</w:instrText>
      </w:r>
      <w:r w:rsidR="00F24C93" w:rsidRPr="004C78D8">
        <w:fldChar w:fldCharType="separate"/>
      </w:r>
      <w:r w:rsidR="00513646" w:rsidRPr="004C78D8">
        <w:rPr>
          <w:noProof/>
        </w:rPr>
        <w:t>[19, 45]</w:t>
      </w:r>
      <w:r w:rsidR="00F24C93" w:rsidRPr="004C78D8">
        <w:fldChar w:fldCharType="end"/>
      </w:r>
      <w:r w:rsidR="00D27E51" w:rsidRPr="004C78D8">
        <w:t>. In frail persons, a minor stressor event such as a fall or a seasonal flu can trigger sudden and irreversible health status changes, resulting in acute hospitali</w:t>
      </w:r>
      <w:r w:rsidR="00322A0C" w:rsidRPr="004C78D8">
        <w:t>s</w:t>
      </w:r>
      <w:r w:rsidR="00D27E51" w:rsidRPr="004C78D8">
        <w:t xml:space="preserve">ations, nursing home admissions and mortality </w:t>
      </w:r>
      <w:r w:rsidR="00F24C93" w:rsidRPr="004C78D8">
        <w:fldChar w:fldCharType="begin">
          <w:fldData xml:space="preserve">PEVuZE5vdGU+PENpdGU+PEF1dGhvcj5DbGVnZzwvQXV0aG9yPjxZZWFyPjIwMTM8L1llYXI+PFJl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</w:fldData>
        </w:fldChar>
      </w:r>
      <w:r w:rsidR="00513646" w:rsidRPr="004C78D8">
        <w:instrText xml:space="preserve"> ADDIN EN.CITE </w:instrText>
      </w:r>
      <w:r w:rsidR="00513646" w:rsidRPr="004C78D8">
        <w:fldChar w:fldCharType="begin">
          <w:fldData xml:space="preserve">PEVuZE5vdGU+PENpdGU+PEF1dGhvcj5DbGVnZzwvQXV0aG9yPjxZZWFyPjIwMTM8L1llYXI+PFJl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</w:fldData>
        </w:fldChar>
      </w:r>
      <w:r w:rsidR="00513646" w:rsidRPr="004C78D8">
        <w:instrText xml:space="preserve"> ADDIN EN.CITE.DATA </w:instrText>
      </w:r>
      <w:r w:rsidR="00513646" w:rsidRPr="004C78D8">
        <w:fldChar w:fldCharType="end"/>
      </w:r>
      <w:r w:rsidR="00F24C93" w:rsidRPr="004C78D8">
        <w:fldChar w:fldCharType="separate"/>
      </w:r>
      <w:r w:rsidR="00513646" w:rsidRPr="004C78D8">
        <w:rPr>
          <w:noProof/>
        </w:rPr>
        <w:t>[46-48]</w:t>
      </w:r>
      <w:r w:rsidR="00F24C93" w:rsidRPr="004C78D8">
        <w:fldChar w:fldCharType="end"/>
      </w:r>
      <w:r w:rsidR="00D27E51" w:rsidRPr="004C78D8">
        <w:t xml:space="preserve">. </w:t>
      </w:r>
      <w:r w:rsidR="00693C2E" w:rsidRPr="004C78D8">
        <w:t xml:space="preserve">Frailty, like </w:t>
      </w:r>
      <w:r w:rsidR="00F24C93" w:rsidRPr="004C78D8">
        <w:t xml:space="preserve">the </w:t>
      </w:r>
      <w:r w:rsidR="00693C2E" w:rsidRPr="004C78D8">
        <w:t xml:space="preserve">falls risk profile, can be expressed on a continuous scale of a </w:t>
      </w:r>
      <w:r w:rsidR="00F24C93" w:rsidRPr="004C78D8">
        <w:t xml:space="preserve">multivariate </w:t>
      </w:r>
      <w:r w:rsidR="00693C2E" w:rsidRPr="004C78D8">
        <w:t xml:space="preserve">frailty index which calculates the ratio between the actual and potential numbers of a wide range of pre-specified geriatric health deficits in an individual </w:t>
      </w:r>
      <w:r w:rsidR="00F24C93" w:rsidRPr="004C78D8">
        <w:fldChar w:fldCharType="begin">
          <w:fldData xml:space="preserve">PEVuZE5vdGU+PENpdGU+PEF1dGhvcj5TZWFybGU8L0F1dGhvcj48WWVhcj4yMDA4PC9ZZWFyPjxS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</w:fldData>
        </w:fldChar>
      </w:r>
      <w:r w:rsidR="00513646" w:rsidRPr="004C78D8">
        <w:instrText xml:space="preserve"> ADDIN EN.CITE </w:instrText>
      </w:r>
      <w:r w:rsidR="00513646" w:rsidRPr="004C78D8">
        <w:fldChar w:fldCharType="begin">
          <w:fldData xml:space="preserve">PEVuZE5vdGU+PENpdGU+PEF1dGhvcj5TZWFybGU8L0F1dGhvcj48WWVhcj4yMDA4PC9ZZWFyPjxS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</w:fldData>
        </w:fldChar>
      </w:r>
      <w:r w:rsidR="00513646" w:rsidRPr="004C78D8">
        <w:instrText xml:space="preserve"> ADDIN EN.CITE.DATA </w:instrText>
      </w:r>
      <w:r w:rsidR="00513646" w:rsidRPr="004C78D8">
        <w:fldChar w:fldCharType="end"/>
      </w:r>
      <w:r w:rsidR="00F24C93" w:rsidRPr="004C78D8">
        <w:fldChar w:fldCharType="separate"/>
      </w:r>
      <w:r w:rsidR="00513646" w:rsidRPr="004C78D8">
        <w:rPr>
          <w:noProof/>
        </w:rPr>
        <w:t>[49-51]</w:t>
      </w:r>
      <w:r w:rsidR="00F24C93" w:rsidRPr="004C78D8">
        <w:fldChar w:fldCharType="end"/>
      </w:r>
      <w:r w:rsidR="00693C2E" w:rsidRPr="004C78D8">
        <w:t xml:space="preserve">. </w:t>
      </w:r>
    </w:p>
    <w:p w14:paraId="54973128" w14:textId="409E1BA0" w:rsidR="002A0486" w:rsidRPr="004C78D8" w:rsidRDefault="002A0486" w:rsidP="00FB7C1F">
      <w:pPr>
        <w:pStyle w:val="Heading5"/>
      </w:pPr>
      <w:r w:rsidRPr="004C78D8">
        <w:t>Relationship between falls and frailty</w:t>
      </w:r>
    </w:p>
    <w:p w14:paraId="600659F3" w14:textId="1713ED24" w:rsidR="006470EB" w:rsidRPr="004C78D8" w:rsidRDefault="00693C2E" w:rsidP="00FB7C1F">
      <w:r w:rsidRPr="004C78D8">
        <w:t xml:space="preserve">There is a close </w:t>
      </w:r>
      <w:r w:rsidR="00954C6F" w:rsidRPr="004C78D8">
        <w:t>bidirectional</w:t>
      </w:r>
      <w:r w:rsidRPr="004C78D8">
        <w:t xml:space="preserve"> relationship between falls and frailty. A fall can cause physical impairments and functional limitations that are </w:t>
      </w:r>
      <w:r w:rsidR="00322A0C" w:rsidRPr="004C78D8">
        <w:t>components of frailty</w:t>
      </w:r>
      <w:r w:rsidRPr="004C78D8">
        <w:t xml:space="preserve"> </w:t>
      </w:r>
      <w:r w:rsidR="00F24C93" w:rsidRPr="004C78D8">
        <w:fldChar w:fldCharType="begin"/>
      </w:r>
      <w:r w:rsidR="00513646" w:rsidRPr="004C78D8">
        <w:instrText xml:space="preserve"> ADDIN EN.CITE &lt;EndNote&gt;&lt;Cite&gt;&lt;Author&gt;Sekaran&lt;/Author&gt;&lt;Year&gt;2013&lt;/Year&gt;&lt;RecNum&gt;168&lt;/RecNum&gt;&lt;DisplayText&gt;[33]&lt;/DisplayText&gt;&lt;record&gt;&lt;rec-number&gt;168&lt;/rec-number&gt;&lt;foreign-keys&gt;&lt;key app="EN" db-id="tdtrdw9aepptzbefsat599syza29sxsd2wsp" timestamp="1609275425"&gt;168&lt;/key&gt;&lt;/foreign-keys&gt;&lt;ref-type name="Journal Article"&gt;17&lt;/ref-type&gt;&lt;contributors&gt;&lt;authors&gt;&lt;author&gt;Sekaran, N. K.&lt;/author&gt;&lt;author&gt;Choi, H.&lt;/author&gt;&lt;author&gt;Hayward, R. A.&lt;/author&gt;&lt;author&gt;Langa, K. M.&lt;/author&gt;&lt;/authors&gt;&lt;/contributors&gt;&lt;auth-address&gt;Robert Wood Johnson Foundation Clinical Scholars Program, University of Michigan, Ann Arbor, Michigan 48109, USA. nishants@umich.edu&lt;/auth-address&gt;&lt;titles&gt;&lt;title&gt;Fall-associated difficulty with activities of daily living in functionally independent individuals aged 65 to 69 in the United States: a cohort study&lt;/title&gt;&lt;secondary-title&gt;J Am Geriatr Soc&lt;/secondary-title&gt;&lt;/titles&gt;&lt;periodical&gt;&lt;full-title&gt;J Am Geriatr Soc&lt;/full-title&gt;&lt;/periodical&gt;&lt;pages&gt;96-100&lt;/pages&gt;&lt;volume&gt;61&lt;/volume&gt;&lt;number&gt;1&lt;/number&gt;&lt;keywords&gt;&lt;keyword&gt;*Accidental Falls&lt;/keyword&gt;&lt;keyword&gt;*Activities of Daily Living&lt;/keyword&gt;&lt;keyword&gt;Aged&lt;/keyword&gt;&lt;keyword&gt;Aging/*physiology&lt;/keyword&gt;&lt;keyword&gt;Disability Evaluation&lt;/keyword&gt;&lt;keyword&gt;Disabled Persons/*rehabilitation&lt;/keyword&gt;&lt;keyword&gt;Female&lt;/keyword&gt;&lt;keyword&gt;Follow-Up Studies&lt;/keyword&gt;&lt;keyword&gt;Geriatric Assessment/*methods&lt;/keyword&gt;&lt;keyword&gt;*Health Status&lt;/keyword&gt;&lt;keyword&gt;Humans&lt;/keyword&gt;&lt;keyword&gt;Male&lt;/keyword&gt;&lt;keyword&gt;Odds Ratio&lt;/keyword&gt;&lt;keyword&gt;Retrospective Studies&lt;/keyword&gt;&lt;keyword&gt;Risk Factors&lt;/keyword&gt;&lt;keyword&gt;United States/epidemiology&lt;/keyword&gt;&lt;keyword&gt;Wounds and Injuries/*epidemiology/etiology/rehabilitation&lt;/keyword&gt;&lt;/keywords&gt;&lt;dates&gt;&lt;year&gt;2013&lt;/year&gt;&lt;pub-dates&gt;&lt;date&gt;Jan&lt;/date&gt;&lt;/pub-dates&gt;&lt;/dates&gt;&lt;isbn&gt;1532-5415 (Electronic)&amp;#xD;0002-8614 (Linking)&lt;/isbn&gt;&lt;accession-num&gt;23311555&lt;/accession-num&gt;&lt;urls&gt;&lt;related-urls&gt;&lt;url&gt;https://www.ncbi.nlm.nih.gov/pubmed/23311555&lt;/url&gt;&lt;/related-urls&gt;&lt;/urls&gt;&lt;custom2&gt;PMC3807864&lt;/custom2&gt;&lt;electronic-resource-num&gt;10.1111/jgs.12071&lt;/electronic-resource-num&gt;&lt;/record&gt;&lt;/Cite&gt;&lt;/EndNote&gt;</w:instrText>
      </w:r>
      <w:r w:rsidR="00F24C93" w:rsidRPr="004C78D8">
        <w:fldChar w:fldCharType="separate"/>
      </w:r>
      <w:r w:rsidR="00513646" w:rsidRPr="004C78D8">
        <w:rPr>
          <w:noProof/>
        </w:rPr>
        <w:t>[33]</w:t>
      </w:r>
      <w:r w:rsidR="00F24C93" w:rsidRPr="004C78D8">
        <w:fldChar w:fldCharType="end"/>
      </w:r>
      <w:r w:rsidRPr="004C78D8">
        <w:t xml:space="preserve">. </w:t>
      </w:r>
      <w:r w:rsidR="00DC367A" w:rsidRPr="004C78D8">
        <w:t xml:space="preserve">Frailty, in turn, is an independent risk factor for falls </w:t>
      </w:r>
      <w:r w:rsidR="00F24C93" w:rsidRPr="004C78D8">
        <w:fldChar w:fldCharType="begin">
          <w:fldData xml:space="preserve">PEVuZE5vdGU+PENpdGU+PEF1dGhvcj5GYW5nPC9BdXRob3I+PFllYXI+MjAxMjwvWWVhcj48UmVj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</w:fldData>
        </w:fldChar>
      </w:r>
      <w:r w:rsidR="00513646" w:rsidRPr="004C78D8">
        <w:instrText xml:space="preserve"> ADDIN EN.CITE </w:instrText>
      </w:r>
      <w:r w:rsidR="00513646" w:rsidRPr="004C78D8">
        <w:fldChar w:fldCharType="begin">
          <w:fldData xml:space="preserve">PEVuZE5vdGU+PENpdGU+PEF1dGhvcj5GYW5nPC9BdXRob3I+PFllYXI+MjAxMjwvWWVhcj48UmVj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</w:fldData>
        </w:fldChar>
      </w:r>
      <w:r w:rsidR="00513646" w:rsidRPr="004C78D8">
        <w:instrText xml:space="preserve"> ADDIN EN.CITE.DATA </w:instrText>
      </w:r>
      <w:r w:rsidR="00513646" w:rsidRPr="004C78D8">
        <w:fldChar w:fldCharType="end"/>
      </w:r>
      <w:r w:rsidR="00F24C93" w:rsidRPr="004C78D8">
        <w:fldChar w:fldCharType="separate"/>
      </w:r>
      <w:r w:rsidR="00513646" w:rsidRPr="004C78D8">
        <w:rPr>
          <w:noProof/>
        </w:rPr>
        <w:t>[52, 53]</w:t>
      </w:r>
      <w:r w:rsidR="00F24C93" w:rsidRPr="004C78D8">
        <w:fldChar w:fldCharType="end"/>
      </w:r>
      <w:r w:rsidR="00DC367A" w:rsidRPr="004C78D8">
        <w:t>.</w:t>
      </w:r>
      <w:r w:rsidR="004F04F7" w:rsidRPr="004C78D8">
        <w:t xml:space="preserve"> Figure 1.1 </w:t>
      </w:r>
      <w:r w:rsidR="00C4436C" w:rsidRPr="004C78D8">
        <w:t xml:space="preserve">– </w:t>
      </w:r>
      <w:r w:rsidR="002701F9" w:rsidRPr="004C78D8">
        <w:t xml:space="preserve">which was informed by the conceptual model developed and reported in Chapter 3 – </w:t>
      </w:r>
      <w:r w:rsidR="004F04F7" w:rsidRPr="004C78D8">
        <w:t>illustrates this dynamic bidirectional relationship.</w:t>
      </w:r>
    </w:p>
    <w:p w14:paraId="5BF6DC38" w14:textId="35DC1320" w:rsidR="004F04F7" w:rsidRPr="004C78D8" w:rsidRDefault="00243DEF" w:rsidP="00FB7C1F">
      <w:r w:rsidRPr="004C78D8">
        <w:rPr>
          <w:noProof/>
          <w:lang w:eastAsia="en-GB"/>
        </w:rPr>
        <w:drawing>
          <wp:inline distT="0" distB="0" distL="0" distR="0" wp14:anchorId="0172E94C" wp14:editId="21623315">
            <wp:extent cx="5731510" cy="2778760"/>
            <wp:effectExtent l="0" t="0" r="2540" b="254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778760"/>
                    </a:xfrm>
                    <a:prstGeom prst="rect">
                      <a:avLst/>
                    </a:prstGeom>
                    <a:noFill/>
                    <a:ln>
                      <a:noFill/>
                    </a:ln>
                  </pic:spPr>
                </pic:pic>
              </a:graphicData>
            </a:graphic>
          </wp:inline>
        </w:drawing>
      </w:r>
    </w:p>
    <w:p w14:paraId="5B1B845F" w14:textId="7B95DEB9" w:rsidR="004F04F7" w:rsidRPr="004C78D8" w:rsidRDefault="004F04F7" w:rsidP="00FB7C1F">
      <w:r w:rsidRPr="004C78D8">
        <w:rPr>
          <w:b/>
          <w:bCs/>
        </w:rPr>
        <w:t>Figure 1.1</w:t>
      </w:r>
      <w:r w:rsidRPr="004C78D8">
        <w:t xml:space="preserve"> Dynamic relationship between falls and frailty. </w:t>
      </w:r>
      <w:r w:rsidR="002F11B1" w:rsidRPr="004C78D8">
        <w:t xml:space="preserve">A&amp;E: accident and emergency; </w:t>
      </w:r>
      <w:r w:rsidRPr="004C78D8">
        <w:t>OOP: out-of-pocket.</w:t>
      </w:r>
    </w:p>
    <w:p w14:paraId="24124CD5" w14:textId="1CED26F3" w:rsidR="00A62089" w:rsidRPr="004C78D8" w:rsidRDefault="00A62089" w:rsidP="00FB7C1F">
      <w:r w:rsidRPr="004C78D8">
        <w:t xml:space="preserve">Incidence of a fall can </w:t>
      </w:r>
      <w:r w:rsidR="00273E06" w:rsidRPr="004C78D8">
        <w:t xml:space="preserve">first </w:t>
      </w:r>
      <w:r w:rsidRPr="004C78D8">
        <w:t xml:space="preserve">have several primary </w:t>
      </w:r>
      <w:r w:rsidR="004466C1" w:rsidRPr="004C78D8">
        <w:t xml:space="preserve">or direct </w:t>
      </w:r>
      <w:r w:rsidRPr="004C78D8">
        <w:t xml:space="preserve">effects, including </w:t>
      </w:r>
      <w:r w:rsidR="00EF24B3" w:rsidRPr="004C78D8">
        <w:t xml:space="preserve">acute </w:t>
      </w:r>
      <w:r w:rsidR="00680641" w:rsidRPr="004C78D8">
        <w:t>health utility</w:t>
      </w:r>
      <w:r w:rsidRPr="004C78D8">
        <w:t xml:space="preserve"> loss from injuries, fatality</w:t>
      </w:r>
      <w:r w:rsidR="00273E06" w:rsidRPr="004C78D8">
        <w:t xml:space="preserve"> and </w:t>
      </w:r>
      <w:r w:rsidRPr="004C78D8">
        <w:t xml:space="preserve">various </w:t>
      </w:r>
      <w:r w:rsidR="00273E06" w:rsidRPr="004C78D8">
        <w:t xml:space="preserve">acute </w:t>
      </w:r>
      <w:r w:rsidRPr="004C78D8">
        <w:t xml:space="preserve">care </w:t>
      </w:r>
      <w:r w:rsidR="00273E06" w:rsidRPr="004C78D8">
        <w:t>costs</w:t>
      </w:r>
      <w:r w:rsidRPr="004C78D8">
        <w:t xml:space="preserve">. </w:t>
      </w:r>
      <w:r w:rsidR="00EF24B3" w:rsidRPr="004C78D8">
        <w:t xml:space="preserve">This is then followed by progression in frailty, and the new frailty level brings about secondary </w:t>
      </w:r>
      <w:r w:rsidR="004466C1" w:rsidRPr="004C78D8">
        <w:t xml:space="preserve">or indirect </w:t>
      </w:r>
      <w:r w:rsidR="00EF24B3" w:rsidRPr="004C78D8">
        <w:t xml:space="preserve">effects of falls, including permanently lower </w:t>
      </w:r>
      <w:r w:rsidR="00680641" w:rsidRPr="004C78D8">
        <w:t>health utility</w:t>
      </w:r>
      <w:r w:rsidR="00EF24B3" w:rsidRPr="004C78D8">
        <w:t xml:space="preserve"> level, increased mortality risk and prolonged care expenditures and non-health effects</w:t>
      </w:r>
      <w:r w:rsidR="00273E06" w:rsidRPr="004C78D8">
        <w:t xml:space="preserve"> (e.g., </w:t>
      </w:r>
      <w:r w:rsidR="00243DEF" w:rsidRPr="004C78D8">
        <w:t>lower productivity)</w:t>
      </w:r>
      <w:r w:rsidR="00EF24B3" w:rsidRPr="004C78D8">
        <w:t xml:space="preserve">. Moreover, the new frailty level potentially influences </w:t>
      </w:r>
      <w:r w:rsidR="00974486" w:rsidRPr="004C78D8">
        <w:t xml:space="preserve">subsequent risks of falls and serious injuries. It can also influence falls prevention intervention access (and efficacy) if decision-makers prioritise intervention </w:t>
      </w:r>
      <w:r w:rsidR="00F3454B" w:rsidRPr="004C78D8">
        <w:t xml:space="preserve">access </w:t>
      </w:r>
      <w:r w:rsidR="00974486" w:rsidRPr="004C78D8">
        <w:t>by frailty level (or a related variable such as gait and balance</w:t>
      </w:r>
      <w:r w:rsidR="00F3454B" w:rsidRPr="004C78D8">
        <w:t xml:space="preserve"> impairments</w:t>
      </w:r>
      <w:r w:rsidR="00974486" w:rsidRPr="004C78D8">
        <w:t>). In all</w:t>
      </w:r>
      <w:r w:rsidR="00EF24B3" w:rsidRPr="004C78D8">
        <w:t>, understanding the dynamic</w:t>
      </w:r>
      <w:r w:rsidR="00E81706" w:rsidRPr="004C78D8">
        <w:t>ally complex</w:t>
      </w:r>
      <w:r w:rsidR="00EF24B3" w:rsidRPr="004C78D8">
        <w:t xml:space="preserve"> relationship between falls and frailty </w:t>
      </w:r>
      <w:r w:rsidR="00974486" w:rsidRPr="004C78D8">
        <w:t>enables full</w:t>
      </w:r>
      <w:r w:rsidR="00EF24B3" w:rsidRPr="004C78D8">
        <w:t xml:space="preserve"> accounting </w:t>
      </w:r>
      <w:r w:rsidR="00974486" w:rsidRPr="004C78D8">
        <w:t>of</w:t>
      </w:r>
      <w:r w:rsidR="00EF24B3" w:rsidRPr="004C78D8">
        <w:t xml:space="preserve"> the primary and secondary effects of falls</w:t>
      </w:r>
      <w:r w:rsidR="00974486" w:rsidRPr="004C78D8">
        <w:t>, subsequent falls risk trajectory and falls prevention intervention access.</w:t>
      </w:r>
    </w:p>
    <w:p w14:paraId="6FDA4A66" w14:textId="3A343731" w:rsidR="00987447" w:rsidRPr="004C78D8" w:rsidRDefault="00987447" w:rsidP="00FB7C1F">
      <w:pPr>
        <w:pStyle w:val="Heading4"/>
      </w:pPr>
      <w:r w:rsidRPr="004C78D8">
        <w:t>1.3.1.3 Population ageing and healthy ageing</w:t>
      </w:r>
    </w:p>
    <w:p w14:paraId="4F4953A5" w14:textId="0373260A" w:rsidR="00974486" w:rsidRPr="004C78D8" w:rsidRDefault="00AD1E21" w:rsidP="00FB7C1F">
      <w:r w:rsidRPr="004C78D8">
        <w:t xml:space="preserve">The </w:t>
      </w:r>
      <w:r w:rsidR="00AB3801" w:rsidRPr="004C78D8">
        <w:t xml:space="preserve">global </w:t>
      </w:r>
      <w:r w:rsidRPr="004C78D8">
        <w:t xml:space="preserve">demographic trend of population ageing </w:t>
      </w:r>
      <w:r w:rsidR="00AB3801" w:rsidRPr="004C78D8">
        <w:t xml:space="preserve">– </w:t>
      </w:r>
      <w:r w:rsidR="00EA0D7E" w:rsidRPr="004C78D8">
        <w:t xml:space="preserve">i.e., </w:t>
      </w:r>
      <w:r w:rsidR="00AB3801" w:rsidRPr="004C78D8">
        <w:t xml:space="preserve">increase in the size of the </w:t>
      </w:r>
      <w:r w:rsidR="00F66FF6" w:rsidRPr="004C78D8">
        <w:t>older</w:t>
      </w:r>
      <w:r w:rsidR="00AB3801" w:rsidRPr="004C78D8">
        <w:t xml:space="preserve"> population (defined by chronological age) in absolute number (‘numerical increase’) and as </w:t>
      </w:r>
      <w:r w:rsidR="00097B69" w:rsidRPr="004C78D8">
        <w:t xml:space="preserve">a </w:t>
      </w:r>
      <w:r w:rsidR="00AB3801" w:rsidRPr="004C78D8">
        <w:t xml:space="preserve">proportion of the whole population (‘structural increase’) </w:t>
      </w:r>
      <w:r w:rsidR="00AB3801" w:rsidRPr="004C78D8">
        <w:fldChar w:fldCharType="begin"/>
      </w:r>
      <w:r w:rsidR="00AB3801" w:rsidRPr="004C78D8">
        <w:instrText xml:space="preserve"> ADDIN EN.CITE &lt;EndNote&gt;&lt;Cite&gt;&lt;Author&gt;Byles&lt;/Author&gt;&lt;Year&gt;2015&lt;/Year&gt;&lt;RecNum&gt;24&lt;/RecNum&gt;&lt;DisplayText&gt;[9]&lt;/DisplayText&gt;&lt;record&gt;&lt;rec-number&gt;24&lt;/rec-number&gt;&lt;foreign-keys&gt;&lt;key app="EN" db-id="tdtrdw9aepptzbefsat599syza29sxsd2wsp" timestamp="1596721671"&gt;24&lt;/key&gt;&lt;/foreign-keys&gt;&lt;ref-type name="Journal Article"&gt;17&lt;/ref-type&gt;&lt;contributors&gt;&lt;authors&gt;&lt;author&gt;Byles, JE&lt;/author&gt;&lt;author&gt;Tavener, M&lt;/author&gt;&lt;/authors&gt;&lt;/contributors&gt;&lt;titles&gt;&lt;title&gt;Health of older people&lt;/title&gt;&lt;secondary-title&gt;Oxford Textbook of Global Public Health&lt;/secondary-title&gt;&lt;/titles&gt;&lt;periodical&gt;&lt;full-title&gt;Oxford Textbook of Global Public Health&lt;/full-title&gt;&lt;/periodical&gt;&lt;pages&gt;1408-1424&lt;/pages&gt;&lt;dates&gt;&lt;year&gt;2015&lt;/year&gt;&lt;/dates&gt;&lt;urls&gt;&lt;/urls&gt;&lt;/record&gt;&lt;/Cite&gt;&lt;/EndNote&gt;</w:instrText>
      </w:r>
      <w:r w:rsidR="00AB3801" w:rsidRPr="004C78D8">
        <w:fldChar w:fldCharType="separate"/>
      </w:r>
      <w:r w:rsidR="00AB3801" w:rsidRPr="004C78D8">
        <w:rPr>
          <w:noProof/>
        </w:rPr>
        <w:t>[9]</w:t>
      </w:r>
      <w:r w:rsidR="00AB3801" w:rsidRPr="004C78D8">
        <w:fldChar w:fldCharType="end"/>
      </w:r>
      <w:r w:rsidR="00AB3801" w:rsidRPr="004C78D8">
        <w:t xml:space="preserve"> – </w:t>
      </w:r>
      <w:r w:rsidR="00D353A7" w:rsidRPr="004C78D8">
        <w:t>will</w:t>
      </w:r>
      <w:r w:rsidRPr="004C78D8">
        <w:t xml:space="preserve"> increase the </w:t>
      </w:r>
      <w:r w:rsidR="00F0316A" w:rsidRPr="004C78D8">
        <w:t xml:space="preserve">need for </w:t>
      </w:r>
      <w:r w:rsidRPr="004C78D8">
        <w:t>greater</w:t>
      </w:r>
      <w:r w:rsidR="00F0316A" w:rsidRPr="004C78D8">
        <w:t xml:space="preserve"> understanding of geriatric health challenges </w:t>
      </w:r>
      <w:r w:rsidRPr="004C78D8">
        <w:t xml:space="preserve">and </w:t>
      </w:r>
      <w:r w:rsidR="00FA3A2C" w:rsidRPr="004C78D8">
        <w:t>related policy responses</w:t>
      </w:r>
      <w:r w:rsidRPr="004C78D8">
        <w:t xml:space="preserve"> </w:t>
      </w:r>
      <w:r w:rsidRPr="004C78D8">
        <w:fldChar w:fldCharType="begin"/>
      </w:r>
      <w:r w:rsidR="00B1431E" w:rsidRPr="004C78D8">
        <w:instrText xml:space="preserve"> ADDIN EN.CITE &lt;EndNote&gt;&lt;Cite&gt;&lt;Author&gt;World Health Organization&lt;/Author&gt;&lt;Year&gt;2015&lt;/Year&gt;&lt;RecNum&gt;1&lt;/RecNum&gt;&lt;DisplayText&gt;[2]&lt;/DisplayText&gt;&lt;record&gt;&lt;rec-number&gt;1&lt;/rec-number&gt;&lt;foreign-keys&gt;&lt;key app="EN" db-id="tdtrdw9aepptzbefsat599syza29sxsd2wsp" timestamp="1596571129"&gt;1&lt;/key&gt;&lt;/foreign-keys&gt;&lt;ref-type name="Book"&gt;6&lt;/ref-type&gt;&lt;contributors&gt;&lt;authors&gt;&lt;author&gt;World Health Organization,&lt;/author&gt;&lt;/authors&gt;&lt;/contributors&gt;&lt;titles&gt;&lt;title&gt;World Report on Ageing and Health&lt;/title&gt;&lt;/titles&gt;&lt;dates&gt;&lt;year&gt;2015&lt;/year&gt;&lt;/dates&gt;&lt;publisher&gt;World Health Organization&lt;/publisher&gt;&lt;isbn&gt;9241565047&lt;/isbn&gt;&lt;urls&gt;&lt;/urls&gt;&lt;/record&gt;&lt;/Cite&gt;&lt;/EndNote&gt;</w:instrText>
      </w:r>
      <w:r w:rsidRPr="004C78D8">
        <w:fldChar w:fldCharType="separate"/>
      </w:r>
      <w:r w:rsidRPr="004C78D8">
        <w:rPr>
          <w:noProof/>
        </w:rPr>
        <w:t>[2]</w:t>
      </w:r>
      <w:r w:rsidRPr="004C78D8">
        <w:fldChar w:fldCharType="end"/>
      </w:r>
      <w:r w:rsidR="00F0316A" w:rsidRPr="004C78D8">
        <w:t>. In the UK, the proportion of the population aged 65</w:t>
      </w:r>
      <w:r w:rsidR="00F66FF6" w:rsidRPr="004C78D8">
        <w:t>+</w:t>
      </w:r>
      <w:r w:rsidR="00F0316A" w:rsidRPr="004C78D8">
        <w:t xml:space="preserve"> is projected to increase from 18.3% in 2018 to 24.2% in 2038 </w:t>
      </w:r>
      <w:r w:rsidR="0068308A" w:rsidRPr="004C78D8">
        <w:fldChar w:fldCharType="begin"/>
      </w:r>
      <w:r w:rsidR="00513646" w:rsidRPr="004C78D8">
        <w:instrText xml:space="preserve"> ADDIN EN.CITE &lt;EndNote&gt;&lt;Cite&gt;&lt;Author&gt;Office for National Statistics&lt;/Author&gt;&lt;Year&gt;2019&lt;/Year&gt;&lt;RecNum&gt;164&lt;/RecNum&gt;&lt;DisplayText&gt;[54]&lt;/DisplayText&gt;&lt;record&gt;&lt;rec-number&gt;164&lt;/rec-number&gt;&lt;foreign-keys&gt;&lt;key app="EN" db-id="tdtrdw9aepptzbefsat599syza29sxsd2wsp" timestamp="1609271990"&gt;164&lt;/key&gt;&lt;/foreign-keys&gt;&lt;ref-type name="Journal Article"&gt;17&lt;/ref-type&gt;&lt;contributors&gt;&lt;authors&gt;&lt;author&gt;Office for National Statistics,&lt;/author&gt;&lt;/authors&gt;&lt;/contributors&gt;&lt;titles&gt;&lt;title&gt;Overview of the UK Population: August 2019&lt;/title&gt;&lt;secondary-title&gt;Office for National Statistics&lt;/secondary-title&gt;&lt;/titles&gt;&lt;periodical&gt;&lt;full-title&gt;Office for National Statistics&lt;/full-title&gt;&lt;/periodical&gt;&lt;dates&gt;&lt;year&gt;2019&lt;/year&gt;&lt;/dates&gt;&lt;urls&gt;&lt;/urls&gt;&lt;/record&gt;&lt;/Cite&gt;&lt;/EndNote&gt;</w:instrText>
      </w:r>
      <w:r w:rsidR="0068308A" w:rsidRPr="004C78D8">
        <w:fldChar w:fldCharType="separate"/>
      </w:r>
      <w:r w:rsidR="00513646" w:rsidRPr="004C78D8">
        <w:rPr>
          <w:noProof/>
        </w:rPr>
        <w:t>[54]</w:t>
      </w:r>
      <w:r w:rsidR="0068308A" w:rsidRPr="004C78D8">
        <w:fldChar w:fldCharType="end"/>
      </w:r>
      <w:r w:rsidR="00F0316A" w:rsidRPr="004C78D8">
        <w:t>.</w:t>
      </w:r>
      <w:r w:rsidR="001C6730" w:rsidRPr="004C78D8">
        <w:t xml:space="preserve"> </w:t>
      </w:r>
    </w:p>
    <w:p w14:paraId="68861EB1" w14:textId="448DA797" w:rsidR="0068308A" w:rsidRPr="004C78D8" w:rsidRDefault="00FE2D0B" w:rsidP="00FB7C1F">
      <w:r w:rsidRPr="004C78D8">
        <w:lastRenderedPageBreak/>
        <w:t xml:space="preserve">However, whether an ageing population imposes significant pressures on care systems and wider society (e.g., productivity loss) depends on the prevalence of geriatric health challenges. It is feasible that an ageing population is accompanied by better health in old age – ‘compression of morbidity’ – so that the economic and social pressures are minimised </w:t>
      </w:r>
      <w:r w:rsidRPr="004C78D8">
        <w:fldChar w:fldCharType="begin"/>
      </w:r>
      <w:r w:rsidR="00B1431E" w:rsidRPr="004C78D8">
        <w:instrText xml:space="preserve"> ADDIN EN.CITE &lt;EndNote&gt;&lt;Cite&gt;&lt;Author&gt;World Health Organization&lt;/Author&gt;&lt;Year&gt;2015&lt;/Year&gt;&lt;RecNum&gt;1&lt;/RecNum&gt;&lt;DisplayText&gt;[2, 9]&lt;/DisplayText&gt;&lt;record&gt;&lt;rec-number&gt;1&lt;/rec-number&gt;&lt;foreign-keys&gt;&lt;key app="EN" db-id="tdtrdw9aepptzbefsat599syza29sxsd2wsp" timestamp="1596571129"&gt;1&lt;/key&gt;&lt;/foreign-keys&gt;&lt;ref-type name="Book"&gt;6&lt;/ref-type&gt;&lt;contributors&gt;&lt;authors&gt;&lt;author&gt;World Health Organization,&lt;/author&gt;&lt;/authors&gt;&lt;/contributors&gt;&lt;titles&gt;&lt;title&gt;World Report on Ageing and Health&lt;/title&gt;&lt;/titles&gt;&lt;dates&gt;&lt;year&gt;2015&lt;/year&gt;&lt;/dates&gt;&lt;publisher&gt;World Health Organization&lt;/publisher&gt;&lt;isbn&gt;9241565047&lt;/isbn&gt;&lt;urls&gt;&lt;/urls&gt;&lt;/record&gt;&lt;/Cite&gt;&lt;Cite&gt;&lt;Author&gt;Byles&lt;/Author&gt;&lt;Year&gt;2015&lt;/Year&gt;&lt;RecNum&gt;24&lt;/RecNum&gt;&lt;record&gt;&lt;rec-number&gt;24&lt;/rec-number&gt;&lt;foreign-keys&gt;&lt;key app="EN" db-id="tdtrdw9aepptzbefsat599syza29sxsd2wsp" timestamp="1596721671"&gt;24&lt;/key&gt;&lt;/foreign-keys&gt;&lt;ref-type name="Journal Article"&gt;17&lt;/ref-type&gt;&lt;contributors&gt;&lt;authors&gt;&lt;author&gt;Byles, JE&lt;/author&gt;&lt;author&gt;Tavener, M&lt;/author&gt;&lt;/authors&gt;&lt;/contributors&gt;&lt;titles&gt;&lt;title&gt;Health of older people&lt;/title&gt;&lt;secondary-title&gt;Oxford Textbook of Global Public Health&lt;/secondary-title&gt;&lt;/titles&gt;&lt;periodical&gt;&lt;full-title&gt;Oxford Textbook of Global Public Health&lt;/full-title&gt;&lt;/periodical&gt;&lt;pages&gt;1408-1424&lt;/pages&gt;&lt;dates&gt;&lt;year&gt;2015&lt;/year&gt;&lt;/dates&gt;&lt;urls&gt;&lt;/urls&gt;&lt;/record&gt;&lt;/Cite&gt;&lt;/EndNote&gt;</w:instrText>
      </w:r>
      <w:r w:rsidRPr="004C78D8">
        <w:fldChar w:fldCharType="separate"/>
      </w:r>
      <w:r w:rsidRPr="004C78D8">
        <w:rPr>
          <w:noProof/>
        </w:rPr>
        <w:t>[2, 9]</w:t>
      </w:r>
      <w:r w:rsidRPr="004C78D8">
        <w:fldChar w:fldCharType="end"/>
      </w:r>
      <w:r w:rsidRPr="004C78D8">
        <w:t xml:space="preserve">. </w:t>
      </w:r>
      <w:r w:rsidR="004A163B" w:rsidRPr="004C78D8">
        <w:t xml:space="preserve">Empirical results are mixed as to whether recent decades in developed countries have seen morbidity compression or expansion. One secondary analysis of multiple prospective cohort data from the US, England and Europe found evidence of </w:t>
      </w:r>
      <w:r w:rsidR="007C78DF" w:rsidRPr="004C78D8">
        <w:t xml:space="preserve">morbidity </w:t>
      </w:r>
      <w:r w:rsidR="007C78DF" w:rsidRPr="004C78D8">
        <w:rPr>
          <w:i/>
          <w:iCs/>
        </w:rPr>
        <w:t>compression</w:t>
      </w:r>
      <w:r w:rsidR="007C78DF" w:rsidRPr="004C78D8">
        <w:t xml:space="preserve"> when morbidity was measured as limitation </w:t>
      </w:r>
      <w:r w:rsidR="007C71BA" w:rsidRPr="004C78D8">
        <w:t xml:space="preserve">to activities of daily living (ADL) </w:t>
      </w:r>
      <w:r w:rsidR="007C78DF" w:rsidRPr="004C78D8">
        <w:t xml:space="preserve">but of morbidity </w:t>
      </w:r>
      <w:r w:rsidR="007C78DF" w:rsidRPr="004C78D8">
        <w:rPr>
          <w:i/>
          <w:iCs/>
        </w:rPr>
        <w:t xml:space="preserve">expansion </w:t>
      </w:r>
      <w:r w:rsidR="007C78DF" w:rsidRPr="004C78D8">
        <w:t xml:space="preserve">when it was measured in chronic disease prevalence between 1995 and 2006 </w:t>
      </w:r>
      <w:r w:rsidR="007C78DF" w:rsidRPr="004C78D8">
        <w:fldChar w:fldCharType="begin"/>
      </w:r>
      <w:r w:rsidR="00513646" w:rsidRPr="004C78D8">
        <w:instrText xml:space="preserve"> ADDIN EN.CITE &lt;EndNote&gt;&lt;Cite&gt;&lt;Author&gt;Chatterji&lt;/Author&gt;&lt;Year&gt;2015&lt;/Year&gt;&lt;RecNum&gt;425&lt;/RecNum&gt;&lt;DisplayText&gt;[55]&lt;/DisplayText&gt;&lt;record&gt;&lt;rec-number&gt;425&lt;/rec-number&gt;&lt;foreign-keys&gt;&lt;key app="EN" db-id="tdtrdw9aepptzbefsat599syza29sxsd2wsp" timestamp="1616257748"&gt;425&lt;/key&gt;&lt;/foreign-keys&gt;&lt;ref-type name="Journal Article"&gt;17&lt;/ref-type&gt;&lt;contributors&gt;&lt;authors&gt;&lt;author&gt;Chatterji, Somnath&lt;/author&gt;&lt;author&gt;Byles, Julie&lt;/author&gt;&lt;author&gt;Cutler, David&lt;/author&gt;&lt;author&gt;Seeman, Teresa&lt;/author&gt;&lt;author&gt;Verdes, Emese&lt;/author&gt;&lt;/authors&gt;&lt;/contributors&gt;&lt;titles&gt;&lt;title&gt;Health, functioning, and disability in older adults—present status and future implications&lt;/title&gt;&lt;secondary-title&gt;The lancet&lt;/secondary-title&gt;&lt;/titles&gt;&lt;periodical&gt;&lt;full-title&gt;The Lancet&lt;/full-title&gt;&lt;/periodical&gt;&lt;pages&gt;563-575&lt;/pages&gt;&lt;volume&gt;385&lt;/volume&gt;&lt;number&gt;9967&lt;/number&gt;&lt;dates&gt;&lt;year&gt;2015&lt;/year&gt;&lt;/dates&gt;&lt;isbn&gt;0140-6736&lt;/isbn&gt;&lt;urls&gt;&lt;/urls&gt;&lt;/record&gt;&lt;/Cite&gt;&lt;/EndNote&gt;</w:instrText>
      </w:r>
      <w:r w:rsidR="007C78DF" w:rsidRPr="004C78D8">
        <w:fldChar w:fldCharType="separate"/>
      </w:r>
      <w:r w:rsidR="00513646" w:rsidRPr="004C78D8">
        <w:rPr>
          <w:noProof/>
        </w:rPr>
        <w:t>[55]</w:t>
      </w:r>
      <w:r w:rsidR="007C78DF" w:rsidRPr="004C78D8">
        <w:fldChar w:fldCharType="end"/>
      </w:r>
      <w:r w:rsidR="007C78DF" w:rsidRPr="004C78D8">
        <w:t xml:space="preserve">. </w:t>
      </w:r>
      <w:r w:rsidR="00095983" w:rsidRPr="004C78D8">
        <w:t>Regarding</w:t>
      </w:r>
      <w:r w:rsidR="00A9615E" w:rsidRPr="004C78D8">
        <w:t xml:space="preserve"> the near future, a simulation study using </w:t>
      </w:r>
      <w:r w:rsidR="00E64356" w:rsidRPr="004C78D8">
        <w:t xml:space="preserve">an </w:t>
      </w:r>
      <w:r w:rsidR="00A9615E" w:rsidRPr="004C78D8">
        <w:t>English prospective cohort study predicted that prevalence of multimorbidity (</w:t>
      </w:r>
      <w:r w:rsidR="004A77B3" w:rsidRPr="004C78D8">
        <w:t>four</w:t>
      </w:r>
      <w:r w:rsidR="00A9615E" w:rsidRPr="004C78D8">
        <w:t xml:space="preserve"> or more chronic diseases) among those aged 65-74 will increase from 45.7% in 2015 to 52.8% in 2035 </w:t>
      </w:r>
      <w:r w:rsidR="00A9615E" w:rsidRPr="004C78D8">
        <w:fldChar w:fldCharType="begin"/>
      </w:r>
      <w:r w:rsidR="00513646" w:rsidRPr="004C78D8">
        <w:instrText xml:space="preserve"> ADDIN EN.CITE &lt;EndNote&gt;&lt;Cite&gt;&lt;Author&gt;Kingston&lt;/Author&gt;&lt;Year&gt;2018&lt;/Year&gt;&lt;RecNum&gt;426&lt;/RecNum&gt;&lt;DisplayText&gt;[56]&lt;/DisplayText&gt;&lt;record&gt;&lt;rec-number&gt;426&lt;/rec-number&gt;&lt;foreign-keys&gt;&lt;key app="EN" db-id="tdtrdw9aepptzbefsat599syza29sxsd2wsp" timestamp="1616258252"&gt;426&lt;/key&gt;&lt;/foreign-keys&gt;&lt;ref-type name="Journal Article"&gt;17&lt;/ref-type&gt;&lt;contributors&gt;&lt;authors&gt;&lt;author&gt;Kingston, Andrew&lt;/author&gt;&lt;author&gt;Robinson, Louise&lt;/author&gt;&lt;author&gt;Booth, Heather&lt;/author&gt;&lt;author&gt;Knapp, Martin&lt;/author&gt;&lt;author&gt;Jagger, Carol&lt;/author&gt;&lt;author&gt;MODEM project&lt;/author&gt;&lt;/authors&gt;&lt;/contributors&gt;&lt;titles&gt;&lt;title&gt;Projections of multi-morbidity in the older population in England to 2035: estimates from the Population Ageing and Care Simulation (PACSim) model&lt;/title&gt;&lt;secondary-title&gt;Age and ageing&lt;/secondary-title&gt;&lt;/titles&gt;&lt;periodical&gt;&lt;full-title&gt;Age and ageing&lt;/full-title&gt;&lt;/periodical&gt;&lt;pages&gt;374-380&lt;/pages&gt;&lt;volume&gt;47&lt;/volume&gt;&lt;number&gt;3&lt;/number&gt;&lt;dates&gt;&lt;year&gt;2018&lt;/year&gt;&lt;/dates&gt;&lt;isbn&gt;0002-0729&lt;/isbn&gt;&lt;urls&gt;&lt;/urls&gt;&lt;/record&gt;&lt;/Cite&gt;&lt;/EndNote&gt;</w:instrText>
      </w:r>
      <w:r w:rsidR="00A9615E" w:rsidRPr="004C78D8">
        <w:fldChar w:fldCharType="separate"/>
      </w:r>
      <w:r w:rsidR="00513646" w:rsidRPr="004C78D8">
        <w:rPr>
          <w:noProof/>
        </w:rPr>
        <w:t>[56]</w:t>
      </w:r>
      <w:r w:rsidR="00A9615E" w:rsidRPr="004C78D8">
        <w:fldChar w:fldCharType="end"/>
      </w:r>
      <w:r w:rsidR="00A9615E" w:rsidRPr="004C78D8">
        <w:t xml:space="preserve">. These illustrate </w:t>
      </w:r>
      <w:r w:rsidR="000563D3" w:rsidRPr="004C78D8">
        <w:t>the need for</w:t>
      </w:r>
      <w:r w:rsidR="00A9615E" w:rsidRPr="004C78D8">
        <w:t xml:space="preserve"> </w:t>
      </w:r>
      <w:r w:rsidR="000563D3" w:rsidRPr="004C78D8">
        <w:t xml:space="preserve">sustained efforts – via public health interventions at all life stages – to ensure that population ageing </w:t>
      </w:r>
      <w:r w:rsidR="004A77B3" w:rsidRPr="004C78D8">
        <w:t>involves</w:t>
      </w:r>
      <w:r w:rsidR="000563D3" w:rsidRPr="004C78D8">
        <w:t xml:space="preserve"> health</w:t>
      </w:r>
      <w:r w:rsidR="00097B69" w:rsidRPr="004C78D8">
        <w:t>y</w:t>
      </w:r>
      <w:r w:rsidR="000563D3" w:rsidRPr="004C78D8">
        <w:t xml:space="preserve"> ageing. </w:t>
      </w:r>
    </w:p>
    <w:p w14:paraId="47C2E96A" w14:textId="26238848" w:rsidR="0068308A" w:rsidRPr="004C78D8" w:rsidRDefault="0068308A" w:rsidP="00FB7C1F">
      <w:pPr>
        <w:pStyle w:val="Heading4"/>
      </w:pPr>
      <w:r w:rsidRPr="004C78D8">
        <w:t>1.3.1.4 Consequences of unhealthy ageing</w:t>
      </w:r>
    </w:p>
    <w:p w14:paraId="4609705A" w14:textId="335E94BF" w:rsidR="000563D3" w:rsidRPr="004C78D8" w:rsidRDefault="000563D3" w:rsidP="00FB7C1F">
      <w:r w:rsidRPr="004C78D8">
        <w:t>Failure to promote healthy ageing would result in further challenges for the care systems and wider society, which can be categorised as follows:</w:t>
      </w:r>
    </w:p>
    <w:p w14:paraId="73280FAC" w14:textId="77777777" w:rsidR="000563D3" w:rsidRPr="004C78D8" w:rsidRDefault="000563D3" w:rsidP="00FB7C1F">
      <w:pPr>
        <w:pStyle w:val="ListParagraph"/>
        <w:numPr>
          <w:ilvl w:val="0"/>
          <w:numId w:val="13"/>
        </w:numPr>
      </w:pPr>
      <w:r w:rsidRPr="004C78D8">
        <w:t>Increased pressures on health and social care systems</w:t>
      </w:r>
    </w:p>
    <w:p w14:paraId="62EE37A9" w14:textId="77777777" w:rsidR="000563D3" w:rsidRPr="004C78D8" w:rsidRDefault="000563D3" w:rsidP="00FB7C1F">
      <w:pPr>
        <w:pStyle w:val="ListParagraph"/>
        <w:numPr>
          <w:ilvl w:val="0"/>
          <w:numId w:val="13"/>
        </w:numPr>
      </w:pPr>
      <w:r w:rsidRPr="004C78D8">
        <w:t>Illness-related poverty in old age</w:t>
      </w:r>
    </w:p>
    <w:p w14:paraId="67DA4A19" w14:textId="77777777" w:rsidR="000563D3" w:rsidRPr="004C78D8" w:rsidRDefault="000563D3" w:rsidP="00FB7C1F">
      <w:pPr>
        <w:pStyle w:val="ListParagraph"/>
        <w:numPr>
          <w:ilvl w:val="0"/>
          <w:numId w:val="13"/>
        </w:numPr>
      </w:pPr>
      <w:r w:rsidRPr="004C78D8">
        <w:t>Opportunity cost of informal caregiving</w:t>
      </w:r>
    </w:p>
    <w:p w14:paraId="3C599D04" w14:textId="77777777" w:rsidR="000563D3" w:rsidRPr="004C78D8" w:rsidRDefault="000563D3" w:rsidP="00FB7C1F">
      <w:pPr>
        <w:pStyle w:val="ListParagraph"/>
        <w:numPr>
          <w:ilvl w:val="0"/>
          <w:numId w:val="13"/>
        </w:numPr>
      </w:pPr>
      <w:r w:rsidRPr="004C78D8">
        <w:t>Reduction in the contributions of older people</w:t>
      </w:r>
    </w:p>
    <w:p w14:paraId="43BE2A77" w14:textId="77777777" w:rsidR="000563D3" w:rsidRPr="004C78D8" w:rsidRDefault="000563D3" w:rsidP="00FB7C1F">
      <w:pPr>
        <w:pStyle w:val="Heading5"/>
      </w:pPr>
      <w:r w:rsidRPr="004C78D8">
        <w:t>Increased pressures on health and social care systems</w:t>
      </w:r>
    </w:p>
    <w:p w14:paraId="64702BD6" w14:textId="1F7EF883" w:rsidR="0068308A" w:rsidRPr="004C78D8" w:rsidRDefault="00E5664B" w:rsidP="00FB7C1F">
      <w:r w:rsidRPr="004C78D8">
        <w:t xml:space="preserve">As noted, care expenditures are more closely associated with morbidity than chronological age. A study by the US Congressional Budget Office, for example, found that the increase in the median age of </w:t>
      </w:r>
      <w:r w:rsidR="0033171D" w:rsidRPr="004C78D8">
        <w:t xml:space="preserve">the </w:t>
      </w:r>
      <w:r w:rsidRPr="004C78D8">
        <w:t xml:space="preserve">population between 1940 and 1990 in the US contributed just 2% to the increase in per-capita healthcare expenditure, while the rising burden of </w:t>
      </w:r>
      <w:r w:rsidR="006A15FC" w:rsidRPr="004C78D8">
        <w:t>NCDs</w:t>
      </w:r>
      <w:r w:rsidRPr="004C78D8">
        <w:t xml:space="preserve"> and failure of primary prevention contributed somewhere between 38% and 62% </w:t>
      </w:r>
      <w:r w:rsidRPr="004C78D8">
        <w:fldChar w:fldCharType="begin"/>
      </w:r>
      <w:r w:rsidR="00513646" w:rsidRPr="004C78D8">
        <w:instrText xml:space="preserve"> ADDIN EN.CITE &lt;EndNote&gt;&lt;Cite&gt;&lt;Author&gt;Kingsley&lt;/Author&gt;&lt;Year&gt;2015&lt;/Year&gt;&lt;RecNum&gt;427&lt;/RecNum&gt;&lt;DisplayText&gt;[57]&lt;/DisplayText&gt;&lt;record&gt;&lt;rec-number&gt;427&lt;/rec-number&gt;&lt;foreign-keys&gt;&lt;key app="EN" db-id="tdtrdw9aepptzbefsat599syza29sxsd2wsp" timestamp="1616260067"&gt;427&lt;/key&gt;&lt;/foreign-keys&gt;&lt;ref-type name="Journal Article"&gt;17&lt;/ref-type&gt;&lt;contributors&gt;&lt;authors&gt;&lt;author&gt;Kingsley, David E&lt;/author&gt;&lt;/authors&gt;&lt;/contributors&gt;&lt;titles&gt;&lt;title&gt;Aging and health care costs: narrative versus reality&lt;/title&gt;&lt;secondary-title&gt;Poverty &amp;amp; Public Policy&lt;/secondary-title&gt;&lt;/titles&gt;&lt;periodical&gt;&lt;full-title&gt;Poverty &amp;amp; Public Policy&lt;/full-title&gt;&lt;/periodical&gt;&lt;pages&gt;3-21&lt;/pages&gt;&lt;volume&gt;7&lt;/volume&gt;&lt;number&gt;1&lt;/number&gt;&lt;dates&gt;&lt;year&gt;2015&lt;/year&gt;&lt;/dates&gt;&lt;isbn&gt;1944-2858&lt;/isbn&gt;&lt;urls&gt;&lt;/urls&gt;&lt;/record&gt;&lt;/Cite&gt;&lt;/EndNote&gt;</w:instrText>
      </w:r>
      <w:r w:rsidRPr="004C78D8">
        <w:fldChar w:fldCharType="separate"/>
      </w:r>
      <w:r w:rsidR="00513646" w:rsidRPr="004C78D8">
        <w:rPr>
          <w:noProof/>
        </w:rPr>
        <w:t>[57]</w:t>
      </w:r>
      <w:r w:rsidRPr="004C78D8">
        <w:fldChar w:fldCharType="end"/>
      </w:r>
      <w:r w:rsidRPr="004C78D8">
        <w:t>. A Swiss study similarly found that adults aged 65</w:t>
      </w:r>
      <w:r w:rsidR="006A15FC" w:rsidRPr="004C78D8">
        <w:t>+</w:t>
      </w:r>
      <w:r w:rsidRPr="004C78D8">
        <w:t xml:space="preserve"> with multimorbidity reported three times the number of healthcare consultations and 5.5 times the total healthcare cost than those without multimorbidity </w:t>
      </w:r>
      <w:r w:rsidRPr="004C78D8">
        <w:fldChar w:fldCharType="begin"/>
      </w:r>
      <w:r w:rsidR="00513646" w:rsidRPr="004C78D8">
        <w:instrText xml:space="preserve"> ADDIN EN.CITE &lt;EndNote&gt;&lt;Cite&gt;&lt;Author&gt;Bähler&lt;/Author&gt;&lt;Year&gt;2015&lt;/Year&gt;&lt;RecNum&gt;428&lt;/RecNum&gt;&lt;DisplayText&gt;[58]&lt;/DisplayText&gt;&lt;record&gt;&lt;rec-number&gt;428&lt;/rec-number&gt;&lt;foreign-keys&gt;&lt;key app="EN" db-id="tdtrdw9aepptzbefsat599syza29sxsd2wsp" timestamp="1616260147"&gt;428&lt;/key&gt;&lt;/foreign-keys&gt;&lt;ref-type name="Journal Article"&gt;17&lt;/ref-type&gt;&lt;contributors&gt;&lt;authors&gt;&lt;author&gt;Bähler, Caroline&lt;/author&gt;&lt;author&gt;Huber, Carola A&lt;/author&gt;&lt;author&gt;Brüngger, Beat&lt;/author&gt;&lt;author&gt;Reich, Oliver&lt;/author&gt;&lt;/authors&gt;&lt;/contributors&gt;&lt;titles&gt;&lt;title&gt;Multimorbidity, health care utilization and costs in an elderly community-dwelling population: a claims data based observational study&lt;/title&gt;&lt;secondary-title&gt;BMC health services research&lt;/secondary-title&gt;&lt;/titles&gt;&lt;periodical&gt;&lt;full-title&gt;BMC health services research&lt;/full-title&gt;&lt;/periodical&gt;&lt;pages&gt;23&lt;/pages&gt;&lt;volume&gt;15&lt;/volume&gt;&lt;number&gt;1&lt;/number&gt;&lt;dates&gt;&lt;year&gt;2015&lt;/year&gt;&lt;/dates&gt;&lt;isbn&gt;1472-6963&lt;/isbn&gt;&lt;urls&gt;&lt;/urls&gt;&lt;/record&gt;&lt;/Cite&gt;&lt;/EndNote&gt;</w:instrText>
      </w:r>
      <w:r w:rsidRPr="004C78D8">
        <w:fldChar w:fldCharType="separate"/>
      </w:r>
      <w:r w:rsidR="00513646" w:rsidRPr="004C78D8">
        <w:rPr>
          <w:noProof/>
        </w:rPr>
        <w:t>[58]</w:t>
      </w:r>
      <w:r w:rsidRPr="004C78D8">
        <w:fldChar w:fldCharType="end"/>
      </w:r>
      <w:r w:rsidRPr="004C78D8">
        <w:t xml:space="preserve">. Based on the recent demographic and morbidity trajectories, the European Union projects that public healthcare expenditures in its member countries will rise from 6.4% of the GDP in 2007 to 8.6% in 2060, and that long-term care </w:t>
      </w:r>
      <w:r w:rsidR="006A15FC" w:rsidRPr="004C78D8">
        <w:t xml:space="preserve">(LTC) </w:t>
      </w:r>
      <w:r w:rsidRPr="004C78D8">
        <w:t xml:space="preserve">expenditures by public sectors will similarly rise from 1.3% of GDP in 2007 to 2.9% in 2050 </w:t>
      </w:r>
      <w:r w:rsidRPr="004C78D8">
        <w:fldChar w:fldCharType="begin"/>
      </w:r>
      <w:r w:rsidR="00513646" w:rsidRPr="004C78D8">
        <w:instrText xml:space="preserve"> ADDIN EN.CITE &lt;EndNote&gt;&lt;Cite&gt;&lt;Author&gt;Scheil-Adlung&lt;/Author&gt;&lt;Year&gt;2012&lt;/Year&gt;&lt;RecNum&gt;429&lt;/RecNum&gt;&lt;DisplayText&gt;[59]&lt;/DisplayText&gt;&lt;record&gt;&lt;rec-number&gt;429&lt;/rec-number&gt;&lt;foreign-keys&gt;&lt;key app="EN" db-id="tdtrdw9aepptzbefsat599syza29sxsd2wsp" timestamp="1616260357"&gt;429&lt;/key&gt;&lt;/foreign-keys&gt;&lt;ref-type name="Book"&gt;6&lt;/ref-type&gt;&lt;contributors&gt;&lt;authors&gt;&lt;author&gt;Scheil-Adlung, Xenia&lt;/author&gt;&lt;author&gt;Bonan, Jacopo&lt;/author&gt;&lt;/authors&gt;&lt;/contributors&gt;&lt;titles&gt;&lt;title&gt;Can the European elderly afford the financial burden of health and long-term care: assessing impacts and policy implications&lt;/title&gt;&lt;/titles&gt;&lt;dates&gt;&lt;year&gt;2012&lt;/year&gt;&lt;/dates&gt;&lt;publisher&gt;ILO&lt;/publisher&gt;&lt;isbn&gt;9221262944&lt;/isbn&gt;&lt;urls&gt;&lt;/urls&gt;&lt;/record&gt;&lt;/Cite&gt;&lt;/EndNote&gt;</w:instrText>
      </w:r>
      <w:r w:rsidRPr="004C78D8">
        <w:fldChar w:fldCharType="separate"/>
      </w:r>
      <w:r w:rsidR="00513646" w:rsidRPr="004C78D8">
        <w:rPr>
          <w:noProof/>
        </w:rPr>
        <w:t>[59]</w:t>
      </w:r>
      <w:r w:rsidRPr="004C78D8">
        <w:fldChar w:fldCharType="end"/>
      </w:r>
      <w:r w:rsidRPr="004C78D8">
        <w:t xml:space="preserve">. </w:t>
      </w:r>
    </w:p>
    <w:p w14:paraId="11C9FA09" w14:textId="72ABCB5D" w:rsidR="00E5664B" w:rsidRPr="004C78D8" w:rsidRDefault="00AD2149" w:rsidP="00FB7C1F">
      <w:r w:rsidRPr="004C78D8">
        <w:t xml:space="preserve">Falls contribute a nontrivial amount to these care expenditures. </w:t>
      </w:r>
      <w:r w:rsidR="00DB3CAC" w:rsidRPr="004C78D8">
        <w:t>It is</w:t>
      </w:r>
      <w:r w:rsidRPr="004C78D8">
        <w:t xml:space="preserve"> estimated that falls cost the NHS around £2 billion per year</w:t>
      </w:r>
      <w:r w:rsidR="00462192" w:rsidRPr="004C78D8">
        <w:t xml:space="preserve"> (based on a study published in 2011)</w:t>
      </w:r>
      <w:r w:rsidRPr="004C78D8">
        <w:t xml:space="preserve"> </w:t>
      </w:r>
      <w:r w:rsidR="00DB3CAC" w:rsidRPr="004C78D8">
        <w:fldChar w:fldCharType="begin"/>
      </w:r>
      <w:r w:rsidR="00513646" w:rsidRPr="004C78D8">
        <w:instrText xml:space="preserve"> ADDIN EN.CITE &lt;EndNote&gt;&lt;Cite&gt;&lt;Author&gt;Tian&lt;/Author&gt;&lt;Year&gt;2013&lt;/Year&gt;&lt;RecNum&gt;258&lt;/RecNum&gt;&lt;DisplayText&gt;[60]&lt;/DisplayText&gt;&lt;record&gt;&lt;rec-number&gt;258&lt;/rec-number&gt;&lt;foreign-keys&gt;&lt;key app="EN" db-id="tdtrdw9aepptzbefsat599syza29sxsd2wsp" timestamp="1611686842"&gt;258&lt;/key&gt;&lt;/foreign-keys&gt;&lt;ref-type name="Book"&gt;6&lt;/ref-type&gt;&lt;contributors&gt;&lt;authors&gt;&lt;author&gt;Tian, Yang&lt;/author&gt;&lt;author&gt;Thompson, James&lt;/author&gt;&lt;author&gt;Buck, David&lt;/author&gt;&lt;author&gt;Sonola, Lara&lt;/author&gt;&lt;/authors&gt;&lt;/contributors&gt;&lt;titles&gt;&lt;title&gt;Exploring the system-wide costs of falls in older people in Torbay&lt;/title&gt;&lt;/titles&gt;&lt;dates&gt;&lt;year&gt;2013&lt;/year&gt;&lt;/dates&gt;&lt;publisher&gt;King&amp;apos;s Fund&lt;/publisher&gt;&lt;isbn&gt;1909029157&lt;/isbn&gt;&lt;urls&gt;&lt;/urls&gt;&lt;/record&gt;&lt;/Cite&gt;&lt;/EndNote&gt;</w:instrText>
      </w:r>
      <w:r w:rsidR="00DB3CAC" w:rsidRPr="004C78D8">
        <w:fldChar w:fldCharType="separate"/>
      </w:r>
      <w:r w:rsidR="00513646" w:rsidRPr="004C78D8">
        <w:rPr>
          <w:noProof/>
        </w:rPr>
        <w:t>[60]</w:t>
      </w:r>
      <w:r w:rsidR="00DB3CAC" w:rsidRPr="004C78D8">
        <w:fldChar w:fldCharType="end"/>
      </w:r>
      <w:r w:rsidR="00DB3CAC" w:rsidRPr="004C78D8">
        <w:t xml:space="preserve">. </w:t>
      </w:r>
      <w:r w:rsidR="00DD39E3" w:rsidRPr="004C78D8">
        <w:t>This includes costs of hospital inpatient care, ambulance callout, accident and emergency (A&amp;E) attendance and outpatient and GP visits</w:t>
      </w:r>
      <w:r w:rsidRPr="004C78D8">
        <w:t xml:space="preserve"> </w:t>
      </w:r>
      <w:r w:rsidR="007C10C8" w:rsidRPr="004C78D8">
        <w:t xml:space="preserve">directly related to falls </w:t>
      </w:r>
      <w:r w:rsidR="00DD39E3" w:rsidRPr="004C78D8">
        <w:fldChar w:fldCharType="begin"/>
      </w:r>
      <w:r w:rsidR="00513646" w:rsidRPr="004C78D8">
        <w:instrText xml:space="preserve"> ADDIN EN.CITE &lt;EndNote&gt;&lt;Cite&gt;&lt;Author&gt;Scuffham&lt;/Author&gt;&lt;Year&gt;2003&lt;/Year&gt;&lt;RecNum&gt;255&lt;/RecNum&gt;&lt;DisplayText&gt;[61]&lt;/DisplayText&gt;&lt;record&gt;&lt;rec-number&gt;255&lt;/rec-number&gt;&lt;foreign-keys&gt;&lt;key app="EN" db-id="tdtrdw9aepptzbefsat599syza29sxsd2wsp" timestamp="1611675332"&gt;255&lt;/key&gt;&lt;/foreign-keys&gt;&lt;ref-type name="Journal Article"&gt;17&lt;/ref-type&gt;&lt;contributors&gt;&lt;authors&gt;&lt;author&gt;Scuffham, P.&lt;/author&gt;&lt;author&gt;Chaplin, S.&lt;/author&gt;&lt;author&gt;Legood, R.&lt;/author&gt;&lt;/authors&gt;&lt;/contributors&gt;&lt;auth-address&gt;York Health Economics Consortium Ltd, University of York, UK. pas8@york.ac.uk&lt;/auth-address&gt;&lt;titles&gt;&lt;title&gt;Incidence and costs of unintentional falls in older people in the United Kingdom&lt;/title&gt;&lt;secondary-title&gt;J Epidemiol Community Health&lt;/secondary-title&gt;&lt;/titles&gt;&lt;periodical&gt;&lt;full-title&gt;J Epidemiol Community Health&lt;/full-title&gt;&lt;/periodical&gt;&lt;pages&gt;740-4&lt;/pages&gt;&lt;volume&gt;57&lt;/volume&gt;&lt;number&gt;9&lt;/number&gt;&lt;keywords&gt;&lt;keyword&gt;Accidental Falls/*economics/*statistics &amp;amp; numerical data&lt;/keyword&gt;&lt;keyword&gt;Aged&lt;/keyword&gt;&lt;keyword&gt;Emergency Service, Hospital/utilization&lt;/keyword&gt;&lt;keyword&gt;Female&lt;/keyword&gt;&lt;keyword&gt;Health Care Costs/*statistics &amp;amp; numerical data&lt;/keyword&gt;&lt;keyword&gt;Hospitalization/economics/statistics &amp;amp; numerical data&lt;/keyword&gt;&lt;keyword&gt;Humans&lt;/keyword&gt;&lt;keyword&gt;Incidence&lt;/keyword&gt;&lt;keyword&gt;Male&lt;/keyword&gt;&lt;keyword&gt;Middle Aged&lt;/keyword&gt;&lt;keyword&gt;State Medicine/economics&lt;/keyword&gt;&lt;keyword&gt;United Kingdom/epidemiology&lt;/keyword&gt;&lt;keyword&gt;Wounds and Injuries/economics/epidemiology&lt;/keyword&gt;&lt;/keywords&gt;&lt;dates&gt;&lt;year&gt;2003&lt;/year&gt;&lt;pub-dates&gt;&lt;date&gt;Sep&lt;/date&gt;&lt;/pub-dates&gt;&lt;/dates&gt;&lt;isbn&gt;0143-005X (Print)&amp;#xD;0143-005X (Linking)&lt;/isbn&gt;&lt;accession-num&gt;12933783&lt;/accession-num&gt;&lt;urls&gt;&lt;related-urls&gt;&lt;url&gt;https://www.ncbi.nlm.nih.gov/pubmed/12933783&lt;/url&gt;&lt;/related-urls&gt;&lt;/urls&gt;&lt;custom2&gt;PMC1732578&lt;/custom2&gt;&lt;/record&gt;&lt;/Cite&gt;&lt;/EndNote&gt;</w:instrText>
      </w:r>
      <w:r w:rsidR="00DD39E3" w:rsidRPr="004C78D8">
        <w:fldChar w:fldCharType="separate"/>
      </w:r>
      <w:r w:rsidR="00513646" w:rsidRPr="004C78D8">
        <w:rPr>
          <w:noProof/>
        </w:rPr>
        <w:t>[61]</w:t>
      </w:r>
      <w:r w:rsidR="00DD39E3" w:rsidRPr="004C78D8">
        <w:fldChar w:fldCharType="end"/>
      </w:r>
      <w:r w:rsidR="00DD39E3" w:rsidRPr="004C78D8">
        <w:t xml:space="preserve">. </w:t>
      </w:r>
      <w:r w:rsidR="00F754F7" w:rsidRPr="004C78D8">
        <w:t xml:space="preserve">According to one UK trial, patients admitted to A&amp;E for a fall comprised around 20% of all attendees for a </w:t>
      </w:r>
      <w:r w:rsidR="006C7B6A" w:rsidRPr="004C78D8">
        <w:t>six</w:t>
      </w:r>
      <w:r w:rsidR="00F754F7" w:rsidRPr="004C78D8">
        <w:t xml:space="preserve">-month period, and the median length of hospital stay for fall patients was 17 days </w:t>
      </w:r>
      <w:r w:rsidR="00A41B92" w:rsidRPr="004C78D8">
        <w:fldChar w:fldCharType="begin"/>
      </w:r>
      <w:r w:rsidR="00513646" w:rsidRPr="004C78D8">
        <w:instrText xml:space="preserve"> ADDIN EN.CITE &lt;EndNote&gt;&lt;Cite&gt;&lt;Author&gt;Close&lt;/Author&gt;&lt;Year&gt;1999&lt;/Year&gt;&lt;RecNum&gt;513&lt;/RecNum&gt;&lt;DisplayText&gt;[62]&lt;/DisplayText&gt;&lt;record&gt;&lt;rec-number&gt;513&lt;/rec-number&gt;&lt;foreign-keys&gt;&lt;key app="EN" db-id="tdtrdw9aepptzbefsat599syza29sxsd2wsp" timestamp="1617903389"&gt;513&lt;/key&gt;&lt;/foreign-keys&gt;&lt;ref-type name="Journal Article"&gt;17&lt;/ref-type&gt;&lt;contributors&gt;&lt;authors&gt;&lt;author&gt;Close, J.&lt;/author&gt;&lt;author&gt;Ellis, M.&lt;/author&gt;&lt;author&gt;Hooper, R.&lt;/author&gt;&lt;author&gt;Glucksman, E.&lt;/author&gt;&lt;author&gt;Jackson, S.&lt;/author&gt;&lt;author&gt;Swift, C.&lt;/author&gt;&lt;/authors&gt;&lt;/contributors&gt;&lt;auth-address&gt;Department of Health Care of the Elderly, Guy&amp;apos;s King&amp;apos;s, and St Thomas&amp;apos; School of Medicine, King&amp;apos;s College Hospital, London, UK. jacqueline.close@kcl.ac.uk&lt;/auth-address&gt;&lt;titles&gt;&lt;title&gt;Prevention of falls in the elderly trial (PROFET): a randomised controlled trial&lt;/title&gt;&lt;secondary-title&gt;Lancet&lt;/secondary-title&gt;&lt;/titles&gt;&lt;periodical&gt;&lt;full-title&gt;Lancet&lt;/full-title&gt;&lt;/periodical&gt;&lt;pages&gt;93-7&lt;/pages&gt;&lt;volume&gt;353&lt;/volume&gt;&lt;number&gt;9147&lt;/number&gt;&lt;keywords&gt;&lt;keyword&gt;Accidental Falls/*prevention &amp;amp; control&lt;/keyword&gt;&lt;keyword&gt;Activities of Daily Living/classification&lt;/keyword&gt;&lt;keyword&gt;Aged&lt;/keyword&gt;&lt;keyword&gt;Aged, 80 and over&lt;/keyword&gt;&lt;keyword&gt;Female&lt;/keyword&gt;&lt;keyword&gt;*Frail Elderly&lt;/keyword&gt;&lt;keyword&gt;Geriatric Assessment&lt;/keyword&gt;&lt;keyword&gt;Humans&lt;/keyword&gt;&lt;keyword&gt;Male&lt;/keyword&gt;&lt;keyword&gt;Occupational Therapy&lt;/keyword&gt;&lt;keyword&gt;*Patient Care Team&lt;/keyword&gt;&lt;keyword&gt;Recurrence&lt;/keyword&gt;&lt;keyword&gt;Referral and Consultation&lt;/keyword&gt;&lt;keyword&gt;Treatment Outcome&lt;/keyword&gt;&lt;/keywords&gt;&lt;dates&gt;&lt;year&gt;1999&lt;/year&gt;&lt;pub-dates&gt;&lt;date&gt;Jan 9&lt;/date&gt;&lt;/pub-dates&gt;&lt;/dates&gt;&lt;isbn&gt;0140-6736 (Print)&amp;#xD;0140-6736 (Linking)&lt;/isbn&gt;&lt;accession-num&gt;10023893&lt;/accession-num&gt;&lt;urls&gt;&lt;related-urls&gt;&lt;url&gt;https://www.ncbi.nlm.nih.gov/pubmed/10023893&lt;/url&gt;&lt;/related-urls&gt;&lt;/urls&gt;&lt;electronic-resource-num&gt;10.1016/S0140-6736(98)06119-4&lt;/electronic-resource-num&gt;&lt;/record&gt;&lt;/Cite&gt;&lt;/EndNote&gt;</w:instrText>
      </w:r>
      <w:r w:rsidR="00A41B92" w:rsidRPr="004C78D8">
        <w:fldChar w:fldCharType="separate"/>
      </w:r>
      <w:r w:rsidR="00513646" w:rsidRPr="004C78D8">
        <w:rPr>
          <w:noProof/>
        </w:rPr>
        <w:t>[62]</w:t>
      </w:r>
      <w:r w:rsidR="00A41B92" w:rsidRPr="004C78D8">
        <w:fldChar w:fldCharType="end"/>
      </w:r>
      <w:r w:rsidR="00A41B92" w:rsidRPr="004C78D8">
        <w:t xml:space="preserve">. </w:t>
      </w:r>
      <w:r w:rsidR="007C10C8" w:rsidRPr="004C78D8">
        <w:t xml:space="preserve">Falls also impose significant burdens on the social care system </w:t>
      </w:r>
      <w:r w:rsidR="00DD39E3" w:rsidRPr="004C78D8">
        <w:t xml:space="preserve">via short-term care support for daily functioning and long-term residential care and nursing home admissions </w:t>
      </w:r>
      <w:r w:rsidR="00DD39E3" w:rsidRPr="004C78D8">
        <w:fldChar w:fldCharType="begin">
          <w:fldData xml:space="preserve">PEVuZE5vdGU+PENpdGU+PEF1dGhvcj5Cb3Jnc3Ryw7ZtPC9BdXRob3I+PFllYXI+MjAwNzwvWWVh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</w:fldData>
        </w:fldChar>
      </w:r>
      <w:r w:rsidR="00513646" w:rsidRPr="004C78D8">
        <w:instrText xml:space="preserve"> ADDIN EN.CITE </w:instrText>
      </w:r>
      <w:r w:rsidR="00513646" w:rsidRPr="004C78D8">
        <w:fldChar w:fldCharType="begin">
          <w:fldData xml:space="preserve">PEVuZE5vdGU+PENpdGU+PEF1dGhvcj5Cb3Jnc3Ryw7ZtPC9BdXRob3I+PFllYXI+MjAwNzwvWWVh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</w:fldData>
        </w:fldChar>
      </w:r>
      <w:r w:rsidR="00513646" w:rsidRPr="004C78D8">
        <w:instrText xml:space="preserve"> ADDIN EN.CITE.DATA </w:instrText>
      </w:r>
      <w:r w:rsidR="00513646" w:rsidRPr="004C78D8">
        <w:fldChar w:fldCharType="end"/>
      </w:r>
      <w:r w:rsidR="00DD39E3" w:rsidRPr="004C78D8">
        <w:fldChar w:fldCharType="separate"/>
      </w:r>
      <w:r w:rsidR="00513646" w:rsidRPr="004C78D8">
        <w:rPr>
          <w:noProof/>
        </w:rPr>
        <w:t>[63, 64]</w:t>
      </w:r>
      <w:r w:rsidR="00DD39E3" w:rsidRPr="004C78D8">
        <w:fldChar w:fldCharType="end"/>
      </w:r>
      <w:r w:rsidR="00DD39E3" w:rsidRPr="004C78D8">
        <w:t xml:space="preserve">. In the UK, it is estimated that the social care costs incurred by the Personal Social Services (PSS) comprise around 40% of all public sector burden of falls </w:t>
      </w:r>
      <w:r w:rsidR="00DD39E3" w:rsidRPr="004C78D8">
        <w:fldChar w:fldCharType="begin"/>
      </w:r>
      <w:r w:rsidR="00513646" w:rsidRPr="004C78D8">
        <w:instrText xml:space="preserve"> ADDIN EN.CITE &lt;EndNote&gt;&lt;Cite&gt;&lt;Author&gt;Scuffham&lt;/Author&gt;&lt;Year&gt;2003&lt;/Year&gt;&lt;RecNum&gt;255&lt;/RecNum&gt;&lt;DisplayText&gt;[61]&lt;/DisplayText&gt;&lt;record&gt;&lt;rec-number&gt;255&lt;/rec-number&gt;&lt;foreign-keys&gt;&lt;key app="EN" db-id="tdtrdw9aepptzbefsat599syza29sxsd2wsp" timestamp="1611675332"&gt;255&lt;/key&gt;&lt;/foreign-keys&gt;&lt;ref-type name="Journal Article"&gt;17&lt;/ref-type&gt;&lt;contributors&gt;&lt;authors&gt;&lt;author&gt;Scuffham, P.&lt;/author&gt;&lt;author&gt;Chaplin, S.&lt;/author&gt;&lt;author&gt;Legood, R.&lt;/author&gt;&lt;/authors&gt;&lt;/contributors&gt;&lt;auth-address&gt;York Health Economics Consortium Ltd, University of York, UK. pas8@york.ac.uk&lt;/auth-address&gt;&lt;titles&gt;&lt;title&gt;Incidence and costs of unintentional falls in older people in the United Kingdom&lt;/title&gt;&lt;secondary-title&gt;J Epidemiol Community Health&lt;/secondary-title&gt;&lt;/titles&gt;&lt;periodical&gt;&lt;full-title&gt;J Epidemiol Community Health&lt;/full-title&gt;&lt;/periodical&gt;&lt;pages&gt;740-4&lt;/pages&gt;&lt;volume&gt;57&lt;/volume&gt;&lt;number&gt;9&lt;/number&gt;&lt;keywords&gt;&lt;keyword&gt;Accidental Falls/*economics/*statistics &amp;amp; numerical data&lt;/keyword&gt;&lt;keyword&gt;Aged&lt;/keyword&gt;&lt;keyword&gt;Emergency Service, Hospital/utilization&lt;/keyword&gt;&lt;keyword&gt;Female&lt;/keyword&gt;&lt;keyword&gt;Health Care Costs/*statistics &amp;amp; numerical data&lt;/keyword&gt;&lt;keyword&gt;Hospitalization/economics/statistics &amp;amp; numerical data&lt;/keyword&gt;&lt;keyword&gt;Humans&lt;/keyword&gt;&lt;keyword&gt;Incidence&lt;/keyword&gt;&lt;keyword&gt;Male&lt;/keyword&gt;&lt;keyword&gt;Middle Aged&lt;/keyword&gt;&lt;keyword&gt;State Medicine/economics&lt;/keyword&gt;&lt;keyword&gt;United Kingdom/epidemiology&lt;/keyword&gt;&lt;keyword&gt;Wounds and Injuries/economics/epidemiology&lt;/keyword&gt;&lt;/keywords&gt;&lt;dates&gt;&lt;year&gt;2003&lt;/year&gt;&lt;pub-dates&gt;&lt;date&gt;Sep&lt;/date&gt;&lt;/pub-dates&gt;&lt;/dates&gt;&lt;isbn&gt;0143-005X (Print)&amp;#xD;0143-005X (Linking)&lt;/isbn&gt;&lt;accession-num&gt;12933783&lt;/accession-num&gt;&lt;urls&gt;&lt;related-urls&gt;&lt;url&gt;https://www.ncbi.nlm.nih.gov/pubmed/12933783&lt;/url&gt;&lt;/related-urls&gt;&lt;/urls&gt;&lt;custom2&gt;PMC1732578&lt;/custom2&gt;&lt;/record&gt;&lt;/Cite&gt;&lt;/EndNote&gt;</w:instrText>
      </w:r>
      <w:r w:rsidR="00DD39E3" w:rsidRPr="004C78D8">
        <w:fldChar w:fldCharType="separate"/>
      </w:r>
      <w:r w:rsidR="00513646" w:rsidRPr="004C78D8">
        <w:rPr>
          <w:noProof/>
        </w:rPr>
        <w:t>[61]</w:t>
      </w:r>
      <w:r w:rsidR="00DD39E3" w:rsidRPr="004C78D8">
        <w:fldChar w:fldCharType="end"/>
      </w:r>
      <w:r w:rsidR="00DD39E3" w:rsidRPr="004C78D8">
        <w:t xml:space="preserve">. </w:t>
      </w:r>
      <w:r w:rsidR="007C10C8" w:rsidRPr="004C78D8">
        <w:t>In the US, 50% of hospitalised falls resulted in short-term or permanent nursing home admission</w:t>
      </w:r>
      <w:r w:rsidR="00C5336F" w:rsidRPr="004C78D8">
        <w:t xml:space="preserve"> </w:t>
      </w:r>
      <w:r w:rsidR="00C5336F" w:rsidRPr="004C78D8">
        <w:fldChar w:fldCharType="begin"/>
      </w:r>
      <w:r w:rsidR="00513646" w:rsidRPr="004C78D8">
        <w:instrText xml:space="preserve"> ADDIN EN.CITE &lt;EndNote&gt;&lt;Cite&gt;&lt;Author&gt;Sattin&lt;/Author&gt;&lt;Year&gt;1990&lt;/Year&gt;&lt;RecNum&gt;433&lt;/RecNum&gt;&lt;DisplayText&gt;[65]&lt;/DisplayText&gt;&lt;record&gt;&lt;rec-number&gt;433&lt;/rec-number&gt;&lt;foreign-keys&gt;&lt;key app="EN" db-id="tdtrdw9aepptzbefsat599syza29sxsd2wsp" timestamp="1616421981"&gt;433&lt;/key&gt;&lt;/foreign-keys&gt;&lt;ref-type name="Journal Article"&gt;17&lt;/ref-type&gt;&lt;contributors&gt;&lt;authors&gt;&lt;author&gt;Sattin, Richard W&lt;/author&gt;&lt;author&gt;Lambert Huber, Deborah A&lt;/author&gt;&lt;author&gt;DeVito, Carolee A&lt;/author&gt;&lt;author&gt;Rodriguez, Juan G&lt;/author&gt;&lt;author&gt;Ros, Alberto&lt;/author&gt;&lt;author&gt;Bacchelli, Sandro&lt;/author&gt;&lt;author&gt;Stevens, Judy A&lt;/author&gt;&lt;author&gt;Waxweiler, Richard J&lt;/author&gt;&lt;/authors&gt;&lt;/contributors&gt;&lt;titles&gt;&lt;title&gt;The incidence of fall injury events among the elderly in a defined population&lt;/title&gt;&lt;secondary-title&gt;American journal of epidemiology&lt;/secondary-title&gt;&lt;/titles&gt;&lt;periodical&gt;&lt;full-title&gt;American journal of epidemiology&lt;/full-title&gt;&lt;/periodical&gt;&lt;pages&gt;1028-1037&lt;/pages&gt;&lt;volume&gt;131&lt;/volume&gt;&lt;number&gt;6&lt;/number&gt;&lt;dates&gt;&lt;year&gt;1990&lt;/year&gt;&lt;/dates&gt;&lt;isbn&gt;1476-6256&lt;/isbn&gt;&lt;urls&gt;&lt;/urls&gt;&lt;/record&gt;&lt;/Cite&gt;&lt;/EndNote&gt;</w:instrText>
      </w:r>
      <w:r w:rsidR="00C5336F" w:rsidRPr="004C78D8">
        <w:fldChar w:fldCharType="separate"/>
      </w:r>
      <w:r w:rsidR="00513646" w:rsidRPr="004C78D8">
        <w:rPr>
          <w:noProof/>
        </w:rPr>
        <w:t>[65]</w:t>
      </w:r>
      <w:r w:rsidR="00C5336F" w:rsidRPr="004C78D8">
        <w:fldChar w:fldCharType="end"/>
      </w:r>
      <w:r w:rsidR="00C5336F" w:rsidRPr="004C78D8">
        <w:t xml:space="preserve">; and compared to all other hospitalised conditions in old age, falls were found to be the most common cause of long-term nursing home admission </w:t>
      </w:r>
      <w:r w:rsidR="00C5336F" w:rsidRPr="004C78D8">
        <w:fldChar w:fldCharType="begin">
          <w:fldData xml:space="preserve">PEVuZE5vdGU+PENpdGU+PEF1dGhvcj5BbGV4YW5kZXI8L0F1dGhvcj48WWVhcj4xOTkyPC9ZZWFy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</w:fldData>
        </w:fldChar>
      </w:r>
      <w:r w:rsidR="00513646" w:rsidRPr="004C78D8">
        <w:instrText xml:space="preserve"> ADDIN EN.CITE </w:instrText>
      </w:r>
      <w:r w:rsidR="00513646" w:rsidRPr="004C78D8">
        <w:fldChar w:fldCharType="begin">
          <w:fldData xml:space="preserve">PEVuZE5vdGU+PENpdGU+PEF1dGhvcj5BbGV4YW5kZXI8L0F1dGhvcj48WWVhcj4xOTkyPC9ZZWFy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</w:fldData>
        </w:fldChar>
      </w:r>
      <w:r w:rsidR="00513646" w:rsidRPr="004C78D8">
        <w:instrText xml:space="preserve"> ADDIN EN.CITE.DATA </w:instrText>
      </w:r>
      <w:r w:rsidR="00513646" w:rsidRPr="004C78D8">
        <w:fldChar w:fldCharType="end"/>
      </w:r>
      <w:r w:rsidR="00C5336F" w:rsidRPr="004C78D8">
        <w:fldChar w:fldCharType="separate"/>
      </w:r>
      <w:r w:rsidR="00513646" w:rsidRPr="004C78D8">
        <w:rPr>
          <w:noProof/>
        </w:rPr>
        <w:t>[66, 67]</w:t>
      </w:r>
      <w:r w:rsidR="00C5336F" w:rsidRPr="004C78D8">
        <w:fldChar w:fldCharType="end"/>
      </w:r>
      <w:r w:rsidR="007C10C8" w:rsidRPr="004C78D8">
        <w:t>.</w:t>
      </w:r>
      <w:r w:rsidR="00C5336F" w:rsidRPr="004C78D8">
        <w:t xml:space="preserve"> </w:t>
      </w:r>
      <w:r w:rsidR="007C10C8" w:rsidRPr="004C78D8">
        <w:t>Moreover,</w:t>
      </w:r>
      <w:r w:rsidR="00DD39E3" w:rsidRPr="004C78D8">
        <w:t xml:space="preserve"> </w:t>
      </w:r>
      <w:r w:rsidR="007C10C8" w:rsidRPr="004C78D8">
        <w:t xml:space="preserve">the full economic cost of falls would </w:t>
      </w:r>
      <w:r w:rsidR="00C5336F" w:rsidRPr="004C78D8">
        <w:t xml:space="preserve">include not only those directly and immediately associated with falls but also those incurred via long-run </w:t>
      </w:r>
      <w:r w:rsidR="007C10C8" w:rsidRPr="004C78D8">
        <w:t xml:space="preserve">functional decline </w:t>
      </w:r>
      <w:r w:rsidR="00C5336F" w:rsidRPr="004C78D8">
        <w:t xml:space="preserve">and </w:t>
      </w:r>
      <w:r w:rsidR="007C10C8" w:rsidRPr="004C78D8">
        <w:t xml:space="preserve">frailty </w:t>
      </w:r>
      <w:r w:rsidR="00C5336F" w:rsidRPr="004C78D8">
        <w:t xml:space="preserve">progression </w:t>
      </w:r>
      <w:r w:rsidR="007C10C8" w:rsidRPr="004C78D8">
        <w:t>(i.e., the secondary effects</w:t>
      </w:r>
      <w:r w:rsidR="00C5336F" w:rsidRPr="004C78D8">
        <w:t xml:space="preserve"> of falls</w:t>
      </w:r>
      <w:r w:rsidR="007C10C8" w:rsidRPr="004C78D8">
        <w:t>)</w:t>
      </w:r>
      <w:r w:rsidR="00411B29" w:rsidRPr="004C78D8">
        <w:t xml:space="preserve"> </w:t>
      </w:r>
      <w:r w:rsidR="00411B29" w:rsidRPr="004C78D8">
        <w:fldChar w:fldCharType="begin">
          <w:fldData xml:space="preserve">PEVuZE5vdGU+PENpdGU+PEF1dGhvcj5TZWthcmFuPC9BdXRob3I+PFllYXI+MjAxMzwvWWVhcj48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</w:fldData>
        </w:fldChar>
      </w:r>
      <w:r w:rsidR="00513646" w:rsidRPr="004C78D8">
        <w:instrText xml:space="preserve"> ADDIN EN.CITE </w:instrText>
      </w:r>
      <w:r w:rsidR="00513646" w:rsidRPr="004C78D8">
        <w:fldChar w:fldCharType="begin">
          <w:fldData xml:space="preserve">PEVuZE5vdGU+PENpdGU+PEF1dGhvcj5TZWthcmFuPC9BdXRob3I+PFllYXI+MjAxMzwvWWVhcj48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</w:fldData>
        </w:fldChar>
      </w:r>
      <w:r w:rsidR="00513646" w:rsidRPr="004C78D8">
        <w:instrText xml:space="preserve"> ADDIN EN.CITE.DATA </w:instrText>
      </w:r>
      <w:r w:rsidR="00513646" w:rsidRPr="004C78D8">
        <w:fldChar w:fldCharType="end"/>
      </w:r>
      <w:r w:rsidR="00411B29" w:rsidRPr="004C78D8">
        <w:fldChar w:fldCharType="separate"/>
      </w:r>
      <w:r w:rsidR="00513646" w:rsidRPr="004C78D8">
        <w:rPr>
          <w:noProof/>
        </w:rPr>
        <w:t>[33, 64]</w:t>
      </w:r>
      <w:r w:rsidR="00411B29" w:rsidRPr="004C78D8">
        <w:fldChar w:fldCharType="end"/>
      </w:r>
      <w:r w:rsidR="007C10C8" w:rsidRPr="004C78D8">
        <w:t>.</w:t>
      </w:r>
      <w:r w:rsidR="00411B29" w:rsidRPr="004C78D8">
        <w:t xml:space="preserve"> </w:t>
      </w:r>
    </w:p>
    <w:p w14:paraId="4C661D51" w14:textId="2725F15E" w:rsidR="00E01FC8" w:rsidRPr="004C78D8" w:rsidRDefault="00834A3E" w:rsidP="00FB7C1F">
      <w:pPr>
        <w:pStyle w:val="Heading5"/>
      </w:pPr>
      <w:r w:rsidRPr="004C78D8">
        <w:t>Illness-related poverty in old age</w:t>
      </w:r>
    </w:p>
    <w:p w14:paraId="75A96D2D" w14:textId="71BFEE2D" w:rsidR="00834A3E" w:rsidRPr="004C78D8" w:rsidRDefault="002960BA" w:rsidP="00FB7C1F">
      <w:r w:rsidRPr="004C78D8">
        <w:t xml:space="preserve">Unhealthy ageing and associated care expenditures may place pressure on the personal finances of </w:t>
      </w:r>
      <w:r w:rsidR="00501DBC" w:rsidRPr="004C78D8">
        <w:t>older</w:t>
      </w:r>
      <w:r w:rsidRPr="004C78D8">
        <w:t xml:space="preserve"> households who are likely to be without regular income-earning opportunities </w:t>
      </w:r>
      <w:r w:rsidRPr="004C78D8">
        <w:fldChar w:fldCharType="begin"/>
      </w:r>
      <w:r w:rsidR="00513646" w:rsidRPr="004C78D8">
        <w:instrText xml:space="preserve"> ADDIN EN.CITE &lt;EndNote&gt;&lt;Cite&gt;&lt;Author&gt;Scheil-Adlung&lt;/Author&gt;&lt;Year&gt;2012&lt;/Year&gt;&lt;RecNum&gt;429&lt;/RecNum&gt;&lt;DisplayText&gt;[59]&lt;/DisplayText&gt;&lt;record&gt;&lt;rec-number&gt;429&lt;/rec-number&gt;&lt;foreign-keys&gt;&lt;key app="EN" db-id="tdtrdw9aepptzbefsat599syza29sxsd2wsp" timestamp="1616260357"&gt;429&lt;/key&gt;&lt;/foreign-keys&gt;&lt;ref-type name="Book"&gt;6&lt;/ref-type&gt;&lt;contributors&gt;&lt;authors&gt;&lt;author&gt;Scheil-Adlung, Xenia&lt;/author&gt;&lt;author&gt;Bonan, Jacopo&lt;/author&gt;&lt;/authors&gt;&lt;/contributors&gt;&lt;titles&gt;&lt;title&gt;Can the European elderly afford the financial burden of health and long-term care: assessing impacts and policy implications&lt;/title&gt;&lt;/titles&gt;&lt;dates&gt;&lt;year&gt;2012&lt;/year&gt;&lt;/dates&gt;&lt;publisher&gt;ILO&lt;/publisher&gt;&lt;isbn&gt;9221262944&lt;/isbn&gt;&lt;urls&gt;&lt;/urls&gt;&lt;/record&gt;&lt;/Cite&gt;&lt;/EndNote&gt;</w:instrText>
      </w:r>
      <w:r w:rsidRPr="004C78D8">
        <w:fldChar w:fldCharType="separate"/>
      </w:r>
      <w:r w:rsidR="00513646" w:rsidRPr="004C78D8">
        <w:rPr>
          <w:noProof/>
        </w:rPr>
        <w:t>[59]</w:t>
      </w:r>
      <w:r w:rsidRPr="004C78D8">
        <w:fldChar w:fldCharType="end"/>
      </w:r>
      <w:r w:rsidRPr="004C78D8">
        <w:t>.</w:t>
      </w:r>
      <w:r w:rsidR="002E3552" w:rsidRPr="004C78D8">
        <w:t xml:space="preserve"> The causes of poverty in old age are complex and rooted in opportunities and decisions made in earlier life stages, </w:t>
      </w:r>
      <w:r w:rsidR="002E3552" w:rsidRPr="004C78D8">
        <w:lastRenderedPageBreak/>
        <w:t xml:space="preserve">including parental and early-life circumstances and upbringing, education, employment, living arrangements and pension and other welfare conditions </w:t>
      </w:r>
      <w:r w:rsidR="002E3552" w:rsidRPr="004C78D8">
        <w:fldChar w:fldCharType="begin"/>
      </w:r>
      <w:r w:rsidR="00513646" w:rsidRPr="004C78D8">
        <w:instrText xml:space="preserve"> ADDIN EN.CITE &lt;EndNote&gt;&lt;Cite&gt;&lt;Author&gt;Casey&lt;/Author&gt;&lt;Year&gt;2002&lt;/Year&gt;&lt;RecNum&gt;436&lt;/RecNum&gt;&lt;DisplayText&gt;[68]&lt;/DisplayText&gt;&lt;record&gt;&lt;rec-number&gt;436&lt;/rec-number&gt;&lt;foreign-keys&gt;&lt;key app="EN" db-id="tdtrdw9aepptzbefsat599syza29sxsd2wsp" timestamp="1616426197"&gt;436&lt;/key&gt;&lt;/foreign-keys&gt;&lt;ref-type name="Report"&gt;27&lt;/ref-type&gt;&lt;contributors&gt;&lt;authors&gt;&lt;author&gt;Casey, Bernard&lt;/author&gt;&lt;author&gt;Yamada, Atsuhiro&lt;/author&gt;&lt;/authors&gt;&lt;/contributors&gt;&lt;titles&gt;&lt;title&gt;Getting older, getting poorer? A study of the earnings, pensions, assets and living arrangements of older people in nine countries&lt;/title&gt;&lt;/titles&gt;&lt;dates&gt;&lt;year&gt;2002&lt;/year&gt;&lt;/dates&gt;&lt;publisher&gt;LIS Cross-National Data Center in Luxembourg&lt;/publisher&gt;&lt;urls&gt;&lt;/urls&gt;&lt;/record&gt;&lt;/Cite&gt;&lt;/EndNote&gt;</w:instrText>
      </w:r>
      <w:r w:rsidR="002E3552" w:rsidRPr="004C78D8">
        <w:fldChar w:fldCharType="separate"/>
      </w:r>
      <w:r w:rsidR="00513646" w:rsidRPr="004C78D8">
        <w:rPr>
          <w:noProof/>
        </w:rPr>
        <w:t>[68]</w:t>
      </w:r>
      <w:r w:rsidR="002E3552" w:rsidRPr="004C78D8">
        <w:fldChar w:fldCharType="end"/>
      </w:r>
      <w:r w:rsidR="002E3552" w:rsidRPr="004C78D8">
        <w:t xml:space="preserve">, as well as contemporaneous behaviours and policy support in old age </w:t>
      </w:r>
      <w:r w:rsidR="002E3552" w:rsidRPr="004C78D8">
        <w:fldChar w:fldCharType="begin"/>
      </w:r>
      <w:r w:rsidR="00B1431E" w:rsidRPr="004C78D8">
        <w:instrText xml:space="preserve"> ADDIN EN.CITE &lt;EndNote&gt;&lt;Cite&gt;&lt;Author&gt;World Health Organization&lt;/Author&gt;&lt;Year&gt;2015&lt;/Year&gt;&lt;RecNum&gt;1&lt;/RecNum&gt;&lt;DisplayText&gt;[2]&lt;/DisplayText&gt;&lt;record&gt;&lt;rec-number&gt;1&lt;/rec-number&gt;&lt;foreign-keys&gt;&lt;key app="EN" db-id="tdtrdw9aepptzbefsat599syza29sxsd2wsp" timestamp="1596571129"&gt;1&lt;/key&gt;&lt;/foreign-keys&gt;&lt;ref-type name="Book"&gt;6&lt;/ref-type&gt;&lt;contributors&gt;&lt;authors&gt;&lt;author&gt;World Health Organization,&lt;/author&gt;&lt;/authors&gt;&lt;/contributors&gt;&lt;titles&gt;&lt;title&gt;World Report on Ageing and Health&lt;/title&gt;&lt;/titles&gt;&lt;dates&gt;&lt;year&gt;2015&lt;/year&gt;&lt;/dates&gt;&lt;publisher&gt;World Health Organization&lt;/publisher&gt;&lt;isbn&gt;9241565047&lt;/isbn&gt;&lt;urls&gt;&lt;/urls&gt;&lt;/record&gt;&lt;/Cite&gt;&lt;/EndNote&gt;</w:instrText>
      </w:r>
      <w:r w:rsidR="002E3552" w:rsidRPr="004C78D8">
        <w:fldChar w:fldCharType="separate"/>
      </w:r>
      <w:r w:rsidR="002E3552" w:rsidRPr="004C78D8">
        <w:rPr>
          <w:noProof/>
        </w:rPr>
        <w:t>[2]</w:t>
      </w:r>
      <w:r w:rsidR="002E3552" w:rsidRPr="004C78D8">
        <w:fldChar w:fldCharType="end"/>
      </w:r>
      <w:r w:rsidR="002E3552" w:rsidRPr="004C78D8">
        <w:t>.</w:t>
      </w:r>
      <w:r w:rsidR="005A698D" w:rsidRPr="004C78D8">
        <w:t xml:space="preserve"> What is clear is that illness-related out-of-pocket (OOP) care expenditures would exacerbate any underlying financial vulnerability. </w:t>
      </w:r>
      <w:r w:rsidR="001F5A0D" w:rsidRPr="004C78D8">
        <w:t xml:space="preserve">This vulnerability in turn can restrict the basic activities and productivity of older persons </w:t>
      </w:r>
      <w:r w:rsidR="001F5A0D" w:rsidRPr="004C78D8">
        <w:fldChar w:fldCharType="begin"/>
      </w:r>
      <w:r w:rsidR="00513646" w:rsidRPr="004C78D8">
        <w:instrText xml:space="preserve"> ADDIN EN.CITE &lt;EndNote&gt;&lt;Cite&gt;&lt;Author&gt;Wilkie&lt;/Author&gt;&lt;Year&gt;2007&lt;/Year&gt;&lt;RecNum&gt;789&lt;/RecNum&gt;&lt;DisplayText&gt;[69, 70]&lt;/DisplayText&gt;&lt;record&gt;&lt;rec-number&gt;789&lt;/rec-number&gt;&lt;foreign-keys&gt;&lt;key app="EN" db-id="tdtrdw9aepptzbefsat599syza29sxsd2wsp" timestamp="1642948168"&gt;789&lt;/key&gt;&lt;/foreign-keys&gt;&lt;ref-type name="Journal Article"&gt;17&lt;/ref-type&gt;&lt;contributors&gt;&lt;authors&gt;&lt;author&gt;Wilkie, Ross&lt;/author&gt;&lt;author&gt;Peat, George&lt;/author&gt;&lt;author&gt;Thomas, Elaine&lt;/author&gt;&lt;author&gt;Croft, Peter&lt;/author&gt;&lt;/authors&gt;&lt;/contributors&gt;&lt;titles&gt;&lt;title&gt;Factors associated with participation restriction in community-dwelling adults aged 50 years and over&lt;/title&gt;&lt;secondary-title&gt;Quality of Life Research&lt;/secondary-title&gt;&lt;/titles&gt;&lt;periodical&gt;&lt;full-title&gt;Quality of Life Research&lt;/full-title&gt;&lt;/periodical&gt;&lt;pages&gt;1147-1156&lt;/pages&gt;&lt;volume&gt;16&lt;/volume&gt;&lt;number&gt;7&lt;/number&gt;&lt;dates&gt;&lt;year&gt;2007&lt;/year&gt;&lt;/dates&gt;&lt;isbn&gt;1573-2649&lt;/isbn&gt;&lt;urls&gt;&lt;/urls&gt;&lt;/record&gt;&lt;/Cite&gt;&lt;Cite&gt;&lt;Author&gt;Lowry&lt;/Author&gt;&lt;Year&gt;2012&lt;/Year&gt;&lt;RecNum&gt;790&lt;/RecNum&gt;&lt;record&gt;&lt;rec-number&gt;790&lt;/rec-number&gt;&lt;foreign-keys&gt;&lt;key app="EN" db-id="tdtrdw9aepptzbefsat599syza29sxsd2wsp" timestamp="1642948454"&gt;790&lt;/key&gt;&lt;/foreign-keys&gt;&lt;ref-type name="Journal Article"&gt;17&lt;/ref-type&gt;&lt;contributors&gt;&lt;authors&gt;&lt;author&gt;Lowry, Kristin A&lt;/author&gt;&lt;author&gt;Vallejo, Abbe N&lt;/author&gt;&lt;author&gt;Studenski, Stephanie A&lt;/author&gt;&lt;/authors&gt;&lt;/contributors&gt;&lt;titles&gt;&lt;title&gt;Successful aging as a continuum of functional independence: lessons from physical disability models of aging&lt;/title&gt;&lt;secondary-title&gt;Aging and disease&lt;/secondary-title&gt;&lt;/titles&gt;&lt;periodical&gt;&lt;full-title&gt;Aging and disease&lt;/full-title&gt;&lt;/periodical&gt;&lt;pages&gt;5&lt;/pages&gt;&lt;volume&gt;3&lt;/volume&gt;&lt;number&gt;1&lt;/number&gt;&lt;dates&gt;&lt;year&gt;2012&lt;/year&gt;&lt;/dates&gt;&lt;urls&gt;&lt;/urls&gt;&lt;/record&gt;&lt;/Cite&gt;&lt;/EndNote&gt;</w:instrText>
      </w:r>
      <w:r w:rsidR="001F5A0D" w:rsidRPr="004C78D8">
        <w:fldChar w:fldCharType="separate"/>
      </w:r>
      <w:r w:rsidR="00513646" w:rsidRPr="004C78D8">
        <w:rPr>
          <w:noProof/>
        </w:rPr>
        <w:t>[69, 70]</w:t>
      </w:r>
      <w:r w:rsidR="001F5A0D" w:rsidRPr="004C78D8">
        <w:fldChar w:fldCharType="end"/>
      </w:r>
      <w:r w:rsidR="001F5A0D" w:rsidRPr="004C78D8">
        <w:t xml:space="preserve">. </w:t>
      </w:r>
      <w:r w:rsidR="005A698D" w:rsidRPr="004C78D8">
        <w:t xml:space="preserve">Evidence also suggests that economic development and public care systems do not eliminate the incidence of potentially catastrophic OOP care expenditures: </w:t>
      </w:r>
      <w:r w:rsidR="002663B4" w:rsidRPr="004C78D8">
        <w:t xml:space="preserve">according to the 2004 wave of the Survey of Health, Ageing and Retirement in Europe (SHARE) study of 11 wealthy European countries, older people’s OOP payments for health and long-term care accounted for 9.6% on average and up to 25% of their household income </w:t>
      </w:r>
      <w:r w:rsidR="002663B4" w:rsidRPr="004C78D8">
        <w:fldChar w:fldCharType="begin"/>
      </w:r>
      <w:r w:rsidR="00513646" w:rsidRPr="004C78D8">
        <w:instrText xml:space="preserve"> ADDIN EN.CITE &lt;EndNote&gt;&lt;Cite&gt;&lt;Author&gt;Scheil-Adlung&lt;/Author&gt;&lt;Year&gt;2012&lt;/Year&gt;&lt;RecNum&gt;429&lt;/RecNum&gt;&lt;DisplayText&gt;[59]&lt;/DisplayText&gt;&lt;record&gt;&lt;rec-number&gt;429&lt;/rec-number&gt;&lt;foreign-keys&gt;&lt;key app="EN" db-id="tdtrdw9aepptzbefsat599syza29sxsd2wsp" timestamp="1616260357"&gt;429&lt;/key&gt;&lt;/foreign-keys&gt;&lt;ref-type name="Book"&gt;6&lt;/ref-type&gt;&lt;contributors&gt;&lt;authors&gt;&lt;author&gt;Scheil-Adlung, Xenia&lt;/author&gt;&lt;author&gt;Bonan, Jacopo&lt;/author&gt;&lt;/authors&gt;&lt;/contributors&gt;&lt;titles&gt;&lt;title&gt;Can the European elderly afford the financial burden of health and long-term care: assessing impacts and policy implications&lt;/title&gt;&lt;/titles&gt;&lt;dates&gt;&lt;year&gt;2012&lt;/year&gt;&lt;/dates&gt;&lt;publisher&gt;ILO&lt;/publisher&gt;&lt;isbn&gt;9221262944&lt;/isbn&gt;&lt;urls&gt;&lt;/urls&gt;&lt;/record&gt;&lt;/Cite&gt;&lt;/EndNote&gt;</w:instrText>
      </w:r>
      <w:r w:rsidR="002663B4" w:rsidRPr="004C78D8">
        <w:fldChar w:fldCharType="separate"/>
      </w:r>
      <w:r w:rsidR="00513646" w:rsidRPr="004C78D8">
        <w:rPr>
          <w:noProof/>
        </w:rPr>
        <w:t>[59]</w:t>
      </w:r>
      <w:r w:rsidR="002663B4" w:rsidRPr="004C78D8">
        <w:fldChar w:fldCharType="end"/>
      </w:r>
      <w:r w:rsidR="002663B4" w:rsidRPr="004C78D8">
        <w:t>. Minimisation of OOP expenditure</w:t>
      </w:r>
      <w:r w:rsidR="00B35381" w:rsidRPr="004C78D8">
        <w:t xml:space="preserve"> should be</w:t>
      </w:r>
      <w:r w:rsidR="002663B4" w:rsidRPr="004C78D8">
        <w:t xml:space="preserve"> one of the key aims of public care systems </w:t>
      </w:r>
      <w:r w:rsidR="002663B4" w:rsidRPr="004C78D8">
        <w:fldChar w:fldCharType="begin">
          <w:fldData xml:space="preserve">PEVuZE5vdGU+PENpdGU+PEF1dGhvcj5Ob3JoZWltPC9BdXRob3I+PFllYXI+MjAxNDwvWWVhcj48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</w:fldData>
        </w:fldChar>
      </w:r>
      <w:r w:rsidR="00513646" w:rsidRPr="004C78D8">
        <w:instrText xml:space="preserve"> ADDIN EN.CITE </w:instrText>
      </w:r>
      <w:r w:rsidR="00513646" w:rsidRPr="004C78D8">
        <w:fldChar w:fldCharType="begin">
          <w:fldData xml:space="preserve">PEVuZE5vdGU+PENpdGU+PEF1dGhvcj5Ob3JoZWltPC9BdXRob3I+PFllYXI+MjAxNDwvWWVhcj48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</w:fldData>
        </w:fldChar>
      </w:r>
      <w:r w:rsidR="00513646" w:rsidRPr="004C78D8">
        <w:instrText xml:space="preserve"> ADDIN EN.CITE.DATA </w:instrText>
      </w:r>
      <w:r w:rsidR="00513646" w:rsidRPr="004C78D8">
        <w:fldChar w:fldCharType="end"/>
      </w:r>
      <w:r w:rsidR="002663B4" w:rsidRPr="004C78D8">
        <w:fldChar w:fldCharType="separate"/>
      </w:r>
      <w:r w:rsidR="00513646" w:rsidRPr="004C78D8">
        <w:rPr>
          <w:noProof/>
        </w:rPr>
        <w:t>[71-73]</w:t>
      </w:r>
      <w:r w:rsidR="002663B4" w:rsidRPr="004C78D8">
        <w:fldChar w:fldCharType="end"/>
      </w:r>
      <w:r w:rsidR="002663B4" w:rsidRPr="004C78D8">
        <w:t>.</w:t>
      </w:r>
    </w:p>
    <w:p w14:paraId="0262D40C" w14:textId="2B3FAF40" w:rsidR="002663B4" w:rsidRPr="004C78D8" w:rsidRDefault="00A51D40" w:rsidP="00FB7C1F">
      <w:r w:rsidRPr="004C78D8">
        <w:t xml:space="preserve">Falls, like other geriatric health conditions, impose significant OOP care expenditures, though the magnitude varies by the care financing arrangement. Hence, a US study found that OOP expenditure comprised 15% of the total cost of falls requiring secondary care </w:t>
      </w:r>
      <w:r w:rsidRPr="004C78D8">
        <w:fldChar w:fldCharType="begin"/>
      </w:r>
      <w:r w:rsidR="00513646" w:rsidRPr="004C78D8">
        <w:instrText xml:space="preserve"> ADDIN EN.CITE &lt;EndNote&gt;&lt;Cite&gt;&lt;Author&gt;Hoffman&lt;/Author&gt;&lt;Year&gt;2017&lt;/Year&gt;&lt;RecNum&gt;439&lt;/RecNum&gt;&lt;DisplayText&gt;[74]&lt;/DisplayText&gt;&lt;record&gt;&lt;rec-number&gt;439&lt;/rec-number&gt;&lt;foreign-keys&gt;&lt;key app="EN" db-id="tdtrdw9aepptzbefsat599syza29sxsd2wsp" timestamp="1616427841"&gt;439&lt;/key&gt;&lt;/foreign-keys&gt;&lt;ref-type name="Journal Article"&gt;17&lt;/ref-type&gt;&lt;contributors&gt;&lt;authors&gt;&lt;author&gt;Hoffman, Geoffrey J&lt;/author&gt;&lt;author&gt;Hays, Ron D&lt;/author&gt;&lt;author&gt;Shapiro, Martin F&lt;/author&gt;&lt;author&gt;Wallace, Steven P&lt;/author&gt;&lt;author&gt;Ettner, Susan L&lt;/author&gt;&lt;/authors&gt;&lt;/contributors&gt;&lt;titles&gt;&lt;title&gt;The costs of fall‐related injuries among older adults: Annual per‐faller, service component, and patient out‐of‐pocket costs&lt;/title&gt;&lt;secondary-title&gt;Health services research&lt;/secondary-title&gt;&lt;/titles&gt;&lt;periodical&gt;&lt;full-title&gt;Health services research&lt;/full-title&gt;&lt;/periodical&gt;&lt;pages&gt;1794-1816&lt;/pages&gt;&lt;volume&gt;52&lt;/volume&gt;&lt;number&gt;5&lt;/number&gt;&lt;dates&gt;&lt;year&gt;2017&lt;/year&gt;&lt;/dates&gt;&lt;isbn&gt;0017-9124&lt;/isbn&gt;&lt;urls&gt;&lt;/urls&gt;&lt;/record&gt;&lt;/Cite&gt;&lt;/EndNote&gt;</w:instrText>
      </w:r>
      <w:r w:rsidRPr="004C78D8">
        <w:fldChar w:fldCharType="separate"/>
      </w:r>
      <w:r w:rsidR="00513646" w:rsidRPr="004C78D8">
        <w:rPr>
          <w:noProof/>
        </w:rPr>
        <w:t>[74]</w:t>
      </w:r>
      <w:r w:rsidRPr="004C78D8">
        <w:fldChar w:fldCharType="end"/>
      </w:r>
      <w:r w:rsidRPr="004C78D8">
        <w:t xml:space="preserve">; while the figures were around 12% in a UK trial of fallers requiring ambulance callout </w:t>
      </w:r>
      <w:r w:rsidRPr="004C78D8">
        <w:fldChar w:fldCharType="begin">
          <w:fldData xml:space="preserve">PEVuZE5vdGU+PENpdGU+PEF1dGhvcj5TYWNoPC9BdXRob3I+PFllYXI+MjAxMjwvWWVhcj48UmVj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</w:fldData>
        </w:fldChar>
      </w:r>
      <w:r w:rsidR="00513646" w:rsidRPr="004C78D8">
        <w:instrText xml:space="preserve"> ADDIN EN.CITE </w:instrText>
      </w:r>
      <w:r w:rsidR="00513646" w:rsidRPr="004C78D8">
        <w:fldChar w:fldCharType="begin">
          <w:fldData xml:space="preserve">PEVuZE5vdGU+PENpdGU+PEF1dGhvcj5TYWNoPC9BdXRob3I+PFllYXI+MjAxMjwvWWVhcj48UmVj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</w:fldData>
        </w:fldChar>
      </w:r>
      <w:r w:rsidR="00513646" w:rsidRPr="004C78D8">
        <w:instrText xml:space="preserve"> ADDIN EN.CITE.DATA </w:instrText>
      </w:r>
      <w:r w:rsidR="00513646" w:rsidRPr="004C78D8">
        <w:fldChar w:fldCharType="end"/>
      </w:r>
      <w:r w:rsidRPr="004C78D8">
        <w:fldChar w:fldCharType="separate"/>
      </w:r>
      <w:r w:rsidR="00513646" w:rsidRPr="004C78D8">
        <w:rPr>
          <w:noProof/>
        </w:rPr>
        <w:t>[75]</w:t>
      </w:r>
      <w:r w:rsidRPr="004C78D8">
        <w:fldChar w:fldCharType="end"/>
      </w:r>
      <w:r w:rsidR="0054619D" w:rsidRPr="004C78D8">
        <w:t xml:space="preserve"> and 4% for hospitalised fallers after discharge in a Dutch study </w:t>
      </w:r>
      <w:r w:rsidR="0054619D" w:rsidRPr="004C78D8">
        <w:fldChar w:fldCharType="begin"/>
      </w:r>
      <w:r w:rsidR="00513646" w:rsidRPr="004C78D8">
        <w:instrText xml:space="preserve"> ADDIN EN.CITE &lt;EndNote&gt;&lt;Cite&gt;&lt;Author&gt;Hall&lt;/Author&gt;&lt;Year&gt;2003&lt;/Year&gt;&lt;RecNum&gt;440&lt;/RecNum&gt;&lt;DisplayText&gt;[76]&lt;/DisplayText&gt;&lt;record&gt;&lt;rec-number&gt;440&lt;/rec-number&gt;&lt;foreign-keys&gt;&lt;key app="EN" db-id="tdtrdw9aepptzbefsat599syza29sxsd2wsp" timestamp="1616427901"&gt;440&lt;/key&gt;&lt;/foreign-keys&gt;&lt;ref-type name="Journal Article"&gt;17&lt;/ref-type&gt;&lt;contributors&gt;&lt;authors&gt;&lt;author&gt;Hall, Sonja E&lt;/author&gt;&lt;author&gt;Hendrie, Delia V&lt;/author&gt;&lt;/authors&gt;&lt;/contributors&gt;&lt;titles&gt;&lt;title&gt;A prospective study of the costs of falls in older adults living in the community&lt;/title&gt;&lt;secondary-title&gt;Australian and New Zealand journal of public health&lt;/secondary-title&gt;&lt;/titles&gt;&lt;periodical&gt;&lt;full-title&gt;Australian and New Zealand journal of public health&lt;/full-title&gt;&lt;/periodical&gt;&lt;pages&gt;343-351&lt;/pages&gt;&lt;volume&gt;27&lt;/volume&gt;&lt;number&gt;3&lt;/number&gt;&lt;dates&gt;&lt;year&gt;2003&lt;/year&gt;&lt;/dates&gt;&lt;isbn&gt;1326-0200&lt;/isbn&gt;&lt;urls&gt;&lt;/urls&gt;&lt;/record&gt;&lt;/Cite&gt;&lt;/EndNote&gt;</w:instrText>
      </w:r>
      <w:r w:rsidR="0054619D" w:rsidRPr="004C78D8">
        <w:fldChar w:fldCharType="separate"/>
      </w:r>
      <w:r w:rsidR="00513646" w:rsidRPr="004C78D8">
        <w:rPr>
          <w:noProof/>
        </w:rPr>
        <w:t>[76]</w:t>
      </w:r>
      <w:r w:rsidR="0054619D" w:rsidRPr="004C78D8">
        <w:fldChar w:fldCharType="end"/>
      </w:r>
      <w:r w:rsidR="0054619D" w:rsidRPr="004C78D8">
        <w:t xml:space="preserve">. Secondary effects of falls would add to the total OOP </w:t>
      </w:r>
      <w:r w:rsidR="00B35381" w:rsidRPr="004C78D8">
        <w:t xml:space="preserve">care </w:t>
      </w:r>
      <w:r w:rsidR="0054619D" w:rsidRPr="004C78D8">
        <w:t>expenditure.</w:t>
      </w:r>
      <w:r w:rsidRPr="004C78D8">
        <w:t xml:space="preserve"> </w:t>
      </w:r>
    </w:p>
    <w:p w14:paraId="26E831AA" w14:textId="5977F0FE" w:rsidR="00834A3E" w:rsidRPr="004C78D8" w:rsidRDefault="00834A3E" w:rsidP="00FB7C1F">
      <w:pPr>
        <w:pStyle w:val="Heading5"/>
      </w:pPr>
      <w:r w:rsidRPr="004C78D8">
        <w:t>Opportunity cost of informal caregiving</w:t>
      </w:r>
    </w:p>
    <w:p w14:paraId="14782DDD" w14:textId="2FA92FAD" w:rsidR="00C612EA" w:rsidRPr="004C78D8" w:rsidRDefault="00BB07A8" w:rsidP="00FB7C1F">
      <w:r w:rsidRPr="004C78D8">
        <w:t>Informal care is essentially the unpaid alternative (or complement) to the privately paid or publicly provided health, social and long-term care services for adverse health events.</w:t>
      </w:r>
      <w:r w:rsidR="00D07C1E" w:rsidRPr="004C78D8">
        <w:t xml:space="preserve"> However, unlike paid/commissioned care, informal care imposes opportunity costs on the informal caregiver. If the caregiver is employed, the care burden may induce him/her to give up the employment partially or completely, thus incurring a productivity opportunity cost </w:t>
      </w:r>
      <w:r w:rsidR="00D07C1E" w:rsidRPr="004C78D8">
        <w:fldChar w:fldCharType="begin">
          <w:fldData xml:space="preserve">PEVuZE5vdGU+PENpdGU+PEF1dGhvcj5TYWNoPC9BdXRob3I+PFllYXI+MjAxMjwvWWVhcj48UmVj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</w:fldData>
        </w:fldChar>
      </w:r>
      <w:r w:rsidR="00513646" w:rsidRPr="004C78D8">
        <w:instrText xml:space="preserve"> ADDIN EN.CITE </w:instrText>
      </w:r>
      <w:r w:rsidR="00513646" w:rsidRPr="004C78D8">
        <w:fldChar w:fldCharType="begin">
          <w:fldData xml:space="preserve">PEVuZE5vdGU+PENpdGU+PEF1dGhvcj5TYWNoPC9BdXRob3I+PFllYXI+MjAxMjwvWWVhcj48UmVj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</w:fldData>
        </w:fldChar>
      </w:r>
      <w:r w:rsidR="00513646" w:rsidRPr="004C78D8">
        <w:instrText xml:space="preserve"> ADDIN EN.CITE.DATA </w:instrText>
      </w:r>
      <w:r w:rsidR="00513646" w:rsidRPr="004C78D8">
        <w:fldChar w:fldCharType="end"/>
      </w:r>
      <w:r w:rsidR="00D07C1E" w:rsidRPr="004C78D8">
        <w:fldChar w:fldCharType="separate"/>
      </w:r>
      <w:r w:rsidR="00513646" w:rsidRPr="004C78D8">
        <w:rPr>
          <w:noProof/>
        </w:rPr>
        <w:t>[75]</w:t>
      </w:r>
      <w:r w:rsidR="00D07C1E" w:rsidRPr="004C78D8">
        <w:fldChar w:fldCharType="end"/>
      </w:r>
      <w:r w:rsidR="00D07C1E" w:rsidRPr="004C78D8">
        <w:t xml:space="preserve">. Such opportunity cost is less likely to be tolerated in modern societies characterised by weaker intergenerational solidarity and greater geographical distance between family members </w:t>
      </w:r>
      <w:r w:rsidR="00D07C1E" w:rsidRPr="004C78D8">
        <w:fldChar w:fldCharType="begin"/>
      </w:r>
      <w:r w:rsidR="00513646" w:rsidRPr="004C78D8">
        <w:instrText xml:space="preserve"> ADDIN EN.CITE &lt;EndNote&gt;&lt;Cite&gt;&lt;Author&gt;Ter Meulen&lt;/Author&gt;&lt;Year&gt;2005&lt;/Year&gt;&lt;RecNum&gt;441&lt;/RecNum&gt;&lt;DisplayText&gt;[77]&lt;/DisplayText&gt;&lt;record&gt;&lt;rec-number&gt;441&lt;/rec-number&gt;&lt;foreign-keys&gt;&lt;key app="EN" db-id="tdtrdw9aepptzbefsat599syza29sxsd2wsp" timestamp="1616431035"&gt;441&lt;/key&gt;&lt;/foreign-keys&gt;&lt;ref-type name="Book Section"&gt;5&lt;/ref-type&gt;&lt;contributors&gt;&lt;authors&gt;&lt;author&gt;Ter Meulen, Ruud&lt;/author&gt;&lt;author&gt;Ubachs‐moust, Josy&lt;/author&gt;&lt;/authors&gt;&lt;secondary-authors&gt;&lt;author&gt;Johnson, Malcolm L.&lt;/author&gt;&lt;/secondary-authors&gt;&lt;/contributors&gt;&lt;titles&gt;&lt;title&gt;Healthcare Rationing: Is Age a Proper Criterion?&lt;/title&gt;&lt;secondary-title&gt;The Cambridge Handbook of Age and Ageing&lt;/secondary-title&gt;&lt;tertiary-title&gt;Cambridge Handbooks in Psychology&lt;/tertiary-title&gt;&lt;/titles&gt;&lt;pages&gt;656-661&lt;/pages&gt;&lt;dates&gt;&lt;year&gt;2005&lt;/year&gt;&lt;/dates&gt;&lt;pub-location&gt;Cambridge&lt;/pub-location&gt;&lt;publisher&gt;Cambridge University Press&lt;/publisher&gt;&lt;isbn&gt;9780521533706&lt;/isbn&gt;&lt;urls&gt;&lt;related-urls&gt;&lt;url&gt;https://www.cambridge.org/core/books/cambridge-handbook-of-age-and-ageing/healthcare-rationing-is-age-a-proper-criterion/6A7977A8686094449F129738BC23C450&lt;/url&gt;&lt;/related-urls&gt;&lt;/urls&gt;&lt;electronic-resource-num&gt;DOI: 10.1017/CBO9780511610714.072&lt;/electronic-resource-num&gt;&lt;remote-database-name&gt;Cambridge Core&lt;/remote-database-name&gt;&lt;remote-database-provider&gt;Cambridge University Press&lt;/remote-database-provider&gt;&lt;/record&gt;&lt;/Cite&gt;&lt;/EndNote&gt;</w:instrText>
      </w:r>
      <w:r w:rsidR="00D07C1E" w:rsidRPr="004C78D8">
        <w:fldChar w:fldCharType="separate"/>
      </w:r>
      <w:r w:rsidR="00513646" w:rsidRPr="004C78D8">
        <w:rPr>
          <w:noProof/>
        </w:rPr>
        <w:t>[77]</w:t>
      </w:r>
      <w:r w:rsidR="00D07C1E" w:rsidRPr="004C78D8">
        <w:fldChar w:fldCharType="end"/>
      </w:r>
      <w:r w:rsidR="00D07C1E" w:rsidRPr="004C78D8">
        <w:t>. There are also concerns, particularly in developing countries, that extended commitment to informal caregiving</w:t>
      </w:r>
      <w:r w:rsidR="001C4C63" w:rsidRPr="004C78D8">
        <w:t xml:space="preserve">, typically </w:t>
      </w:r>
      <w:r w:rsidR="00D07C1E" w:rsidRPr="004C78D8">
        <w:t xml:space="preserve">by </w:t>
      </w:r>
      <w:r w:rsidR="001C4C63" w:rsidRPr="004C78D8">
        <w:t>daughter or daughter-in-law,</w:t>
      </w:r>
      <w:r w:rsidR="00D07C1E" w:rsidRPr="004C78D8">
        <w:t xml:space="preserve"> exacerbates </w:t>
      </w:r>
      <w:r w:rsidR="001C4C63" w:rsidRPr="004C78D8">
        <w:t>the</w:t>
      </w:r>
      <w:r w:rsidR="00D07C1E" w:rsidRPr="004C78D8">
        <w:t xml:space="preserve"> lack of opportunity </w:t>
      </w:r>
      <w:r w:rsidR="001C4C63" w:rsidRPr="004C78D8">
        <w:t xml:space="preserve">for women </w:t>
      </w:r>
      <w:r w:rsidR="00D07C1E" w:rsidRPr="004C78D8">
        <w:t>in finding secure and formal employment</w:t>
      </w:r>
      <w:r w:rsidR="001C4C63" w:rsidRPr="004C78D8">
        <w:t xml:space="preserve"> (and preparing for their own pension and care) </w:t>
      </w:r>
      <w:r w:rsidR="001C4C63" w:rsidRPr="004C78D8">
        <w:fldChar w:fldCharType="begin"/>
      </w:r>
      <w:r w:rsidR="00B1431E" w:rsidRPr="004C78D8">
        <w:instrText xml:space="preserve"> ADDIN EN.CITE &lt;EndNote&gt;&lt;Cite&gt;&lt;Author&gt;World Health Organization&lt;/Author&gt;&lt;Year&gt;2015&lt;/Year&gt;&lt;RecNum&gt;1&lt;/RecNum&gt;&lt;DisplayText&gt;[2]&lt;/DisplayText&gt;&lt;record&gt;&lt;rec-number&gt;1&lt;/rec-number&gt;&lt;foreign-keys&gt;&lt;key app="EN" db-id="tdtrdw9aepptzbefsat599syza29sxsd2wsp" timestamp="1596571129"&gt;1&lt;/key&gt;&lt;/foreign-keys&gt;&lt;ref-type name="Book"&gt;6&lt;/ref-type&gt;&lt;contributors&gt;&lt;authors&gt;&lt;author&gt;World Health Organization,&lt;/author&gt;&lt;/authors&gt;&lt;/contributors&gt;&lt;titles&gt;&lt;title&gt;World Report on Ageing and Health&lt;/title&gt;&lt;/titles&gt;&lt;dates&gt;&lt;year&gt;2015&lt;/year&gt;&lt;/dates&gt;&lt;publisher&gt;World Health Organization&lt;/publisher&gt;&lt;isbn&gt;9241565047&lt;/isbn&gt;&lt;urls&gt;&lt;/urls&gt;&lt;/record&gt;&lt;/Cite&gt;&lt;/EndNote&gt;</w:instrText>
      </w:r>
      <w:r w:rsidR="001C4C63" w:rsidRPr="004C78D8">
        <w:fldChar w:fldCharType="separate"/>
      </w:r>
      <w:r w:rsidR="001C4C63" w:rsidRPr="004C78D8">
        <w:rPr>
          <w:noProof/>
        </w:rPr>
        <w:t>[2]</w:t>
      </w:r>
      <w:r w:rsidR="001C4C63" w:rsidRPr="004C78D8">
        <w:fldChar w:fldCharType="end"/>
      </w:r>
      <w:r w:rsidR="00D07C1E" w:rsidRPr="004C78D8">
        <w:t>.</w:t>
      </w:r>
      <w:r w:rsidR="001C4C63" w:rsidRPr="004C78D8">
        <w:t xml:space="preserve"> </w:t>
      </w:r>
      <w:r w:rsidR="00CB601B" w:rsidRPr="004C78D8">
        <w:t>Other concerns</w:t>
      </w:r>
      <w:r w:rsidR="001C4C63" w:rsidRPr="004C78D8">
        <w:t xml:space="preserve"> </w:t>
      </w:r>
      <w:r w:rsidR="00CB601B" w:rsidRPr="004C78D8">
        <w:t>are</w:t>
      </w:r>
      <w:r w:rsidR="001C4C63" w:rsidRPr="004C78D8">
        <w:t xml:space="preserve"> that informal caregivers are often ill-equipped to handle the care burden associated with complex multimorbidity and frailty </w:t>
      </w:r>
      <w:r w:rsidR="00CB601B" w:rsidRPr="004C78D8">
        <w:fldChar w:fldCharType="begin"/>
      </w:r>
      <w:r w:rsidR="00513646" w:rsidRPr="004C78D8">
        <w:instrText xml:space="preserve"> ADDIN EN.CITE &lt;EndNote&gt;&lt;Cite&gt;&lt;Author&gt;World Health Organization&lt;/Author&gt;&lt;Year&gt;2002&lt;/Year&gt;&lt;RecNum&gt;442&lt;/RecNum&gt;&lt;DisplayText&gt;[78, 79]&lt;/DisplayText&gt;&lt;record&gt;&lt;rec-number&gt;442&lt;/rec-number&gt;&lt;foreign-keys&gt;&lt;key app="EN" db-id="tdtrdw9aepptzbefsat599syza29sxsd2wsp" timestamp="1616432009"&gt;442&lt;/key&gt;&lt;/foreign-keys&gt;&lt;ref-type name="Report"&gt;27&lt;/ref-type&gt;&lt;contributors&gt;&lt;authors&gt;&lt;author&gt;World Health Organization,&lt;/author&gt;&lt;/authors&gt;&lt;/contributors&gt;&lt;titles&gt;&lt;title&gt;Active ageing: A policy framework&lt;/title&gt;&lt;/titles&gt;&lt;dates&gt;&lt;year&gt;2002&lt;/year&gt;&lt;/dates&gt;&lt;publisher&gt;Geneva: World Health Organization&lt;/publisher&gt;&lt;urls&gt;&lt;/urls&gt;&lt;/record&gt;&lt;/Cite&gt;&lt;Cite&gt;&lt;Author&gt;Guzman&lt;/Author&gt;&lt;Year&gt;2012&lt;/Year&gt;&lt;RecNum&gt;443&lt;/RecNum&gt;&lt;record&gt;&lt;rec-number&gt;443&lt;/rec-number&gt;&lt;foreign-keys&gt;&lt;key app="EN" db-id="tdtrdw9aepptzbefsat599syza29sxsd2wsp" timestamp="1616432031"&gt;443&lt;/key&gt;&lt;/foreign-keys&gt;&lt;ref-type name="Journal Article"&gt;17&lt;/ref-type&gt;&lt;contributors&gt;&lt;authors&gt;&lt;author&gt;Guzman, JM&lt;/author&gt;&lt;author&gt;Pawliczko, A&lt;/author&gt;&lt;author&gt;Beales, S&lt;/author&gt;&lt;author&gt;Voelcker, I&lt;/author&gt;&lt;/authors&gt;&lt;/contributors&gt;&lt;titles&gt;&lt;title&gt;Overview of Available Policies and Legislation, Data and Research, and Institutional Arrangements Relating To Older Persons-Progress Since Madrid&lt;/title&gt;&lt;secondary-title&gt;United Nations Population Fund and HelpAge International&lt;/secondary-title&gt;&lt;/titles&gt;&lt;periodical&gt;&lt;full-title&gt;United Nations Population Fund and HelpAge International&lt;/full-title&gt;&lt;/periodical&gt;&lt;dates&gt;&lt;year&gt;2012&lt;/year&gt;&lt;/dates&gt;&lt;urls&gt;&lt;/urls&gt;&lt;/record&gt;&lt;/Cite&gt;&lt;/EndNote&gt;</w:instrText>
      </w:r>
      <w:r w:rsidR="00CB601B" w:rsidRPr="004C78D8">
        <w:fldChar w:fldCharType="separate"/>
      </w:r>
      <w:r w:rsidR="00513646" w:rsidRPr="004C78D8">
        <w:rPr>
          <w:noProof/>
        </w:rPr>
        <w:t>[78, 79]</w:t>
      </w:r>
      <w:r w:rsidR="00CB601B" w:rsidRPr="004C78D8">
        <w:fldChar w:fldCharType="end"/>
      </w:r>
      <w:r w:rsidR="00CB601B" w:rsidRPr="004C78D8">
        <w:t xml:space="preserve">, and/or that they are </w:t>
      </w:r>
      <w:r w:rsidR="00C612EA" w:rsidRPr="004C78D8">
        <w:t xml:space="preserve">themselves </w:t>
      </w:r>
      <w:r w:rsidR="005D293A" w:rsidRPr="004C78D8">
        <w:t>older</w:t>
      </w:r>
      <w:r w:rsidR="00CB601B" w:rsidRPr="004C78D8">
        <w:t xml:space="preserve"> and frail </w:t>
      </w:r>
      <w:r w:rsidR="00C612EA" w:rsidRPr="004C78D8">
        <w:t>and hence at risk of becoming</w:t>
      </w:r>
      <w:r w:rsidR="00CB601B" w:rsidRPr="004C78D8">
        <w:t xml:space="preserve"> emotionally and physically strained by the</w:t>
      </w:r>
      <w:r w:rsidR="00C612EA" w:rsidRPr="004C78D8">
        <w:t>ir</w:t>
      </w:r>
      <w:r w:rsidR="00CB601B" w:rsidRPr="004C78D8">
        <w:t xml:space="preserve"> caregiving role</w:t>
      </w:r>
      <w:r w:rsidR="00C612EA" w:rsidRPr="004C78D8">
        <w:t>s</w:t>
      </w:r>
      <w:r w:rsidR="00CB601B" w:rsidRPr="004C78D8">
        <w:t xml:space="preserve"> </w:t>
      </w:r>
      <w:r w:rsidR="00CB601B" w:rsidRPr="004C78D8">
        <w:fldChar w:fldCharType="begin">
          <w:fldData xml:space="preserve">PEVuZE5vdGU+PENpdGU+PEF1dGhvcj5Pc2Jvcm48L0F1dGhvcj48WWVhcj4yMDE0PC9ZZWFyPjxS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</w:fldData>
        </w:fldChar>
      </w:r>
      <w:r w:rsidR="00513646" w:rsidRPr="004C78D8">
        <w:instrText xml:space="preserve"> ADDIN EN.CITE </w:instrText>
      </w:r>
      <w:r w:rsidR="00513646" w:rsidRPr="004C78D8">
        <w:fldChar w:fldCharType="begin">
          <w:fldData xml:space="preserve">PEVuZE5vdGU+PENpdGU+PEF1dGhvcj5Pc2Jvcm48L0F1dGhvcj48WWVhcj4yMDE0PC9ZZWFyPjxS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</w:fldData>
        </w:fldChar>
      </w:r>
      <w:r w:rsidR="00513646" w:rsidRPr="004C78D8">
        <w:instrText xml:space="preserve"> ADDIN EN.CITE.DATA </w:instrText>
      </w:r>
      <w:r w:rsidR="00513646" w:rsidRPr="004C78D8">
        <w:fldChar w:fldCharType="end"/>
      </w:r>
      <w:r w:rsidR="00CB601B" w:rsidRPr="004C78D8">
        <w:fldChar w:fldCharType="separate"/>
      </w:r>
      <w:r w:rsidR="00513646" w:rsidRPr="004C78D8">
        <w:rPr>
          <w:noProof/>
        </w:rPr>
        <w:t>[80-82]</w:t>
      </w:r>
      <w:r w:rsidR="00CB601B" w:rsidRPr="004C78D8">
        <w:fldChar w:fldCharType="end"/>
      </w:r>
      <w:r w:rsidR="00CB601B" w:rsidRPr="004C78D8">
        <w:t xml:space="preserve">. </w:t>
      </w:r>
      <w:r w:rsidR="00C612EA" w:rsidRPr="004C78D8">
        <w:t>Therefore, r</w:t>
      </w:r>
      <w:r w:rsidR="00CB601B" w:rsidRPr="004C78D8">
        <w:t xml:space="preserve">educing the informal caregiver burden </w:t>
      </w:r>
      <w:r w:rsidR="00C612EA" w:rsidRPr="004C78D8">
        <w:t xml:space="preserve">through prevention of adverse health outcomes is </w:t>
      </w:r>
      <w:r w:rsidR="00CB601B" w:rsidRPr="004C78D8">
        <w:t>a key goal of geriatric public health interventions</w:t>
      </w:r>
      <w:r w:rsidR="00C612EA" w:rsidRPr="004C78D8">
        <w:t xml:space="preserve"> </w:t>
      </w:r>
      <w:r w:rsidR="00C612EA" w:rsidRPr="004C78D8">
        <w:fldChar w:fldCharType="begin"/>
      </w:r>
      <w:r w:rsidR="00513646" w:rsidRPr="004C78D8">
        <w:instrText xml:space="preserve"> ADDIN EN.CITE &lt;EndNote&gt;&lt;Cite&gt;&lt;Author&gt;Huter&lt;/Author&gt;&lt;Year&gt;2016&lt;/Year&gt;&lt;RecNum&gt;7&lt;/RecNum&gt;&lt;DisplayText&gt;[83]&lt;/DisplayText&gt;&lt;record&gt;&lt;rec-number&gt;7&lt;/rec-number&gt;&lt;foreign-keys&gt;&lt;key app="EN" db-id="tdtrdw9aepptzbefsat599syza29sxsd2wsp" timestamp="1596571805"&gt;7&lt;/key&gt;&lt;/foreign-keys&gt;&lt;ref-type name="Journal Article"&gt;17&lt;/ref-type&gt;&lt;contributors&gt;&lt;authors&gt;&lt;author&gt;Huter, Kai&lt;/author&gt;&lt;author&gt;Kocot, Ewa&lt;/author&gt;&lt;author&gt;Kissimova-Skarbek, Katarzyna&lt;/author&gt;&lt;author&gt;Dubas-Jakóbczyk, Katarzyna&lt;/author&gt;&lt;author&gt;Rothgang, Heinz&lt;/author&gt;&lt;/authors&gt;&lt;/contributors&gt;&lt;titles&gt;&lt;title&gt;Economic evaluation of health promotion for older people-methodological problems and challenges&lt;/title&gt;&lt;secondary-title&gt;BMC health services research&lt;/secondary-title&gt;&lt;/titles&gt;&lt;periodical&gt;&lt;full-title&gt;BMC health services research&lt;/full-title&gt;&lt;/periodical&gt;&lt;pages&gt;328&lt;/pages&gt;&lt;volume&gt;16&lt;/volume&gt;&lt;number&gt;5&lt;/number&gt;&lt;dates&gt;&lt;year&gt;2016&lt;/year&gt;&lt;/dates&gt;&lt;isbn&gt;1472-6963&lt;/isbn&gt;&lt;urls&gt;&lt;/urls&gt;&lt;/record&gt;&lt;/Cite&gt;&lt;/EndNote&gt;</w:instrText>
      </w:r>
      <w:r w:rsidR="00C612EA" w:rsidRPr="004C78D8">
        <w:fldChar w:fldCharType="separate"/>
      </w:r>
      <w:r w:rsidR="00513646" w:rsidRPr="004C78D8">
        <w:rPr>
          <w:noProof/>
        </w:rPr>
        <w:t>[83]</w:t>
      </w:r>
      <w:r w:rsidR="00C612EA" w:rsidRPr="004C78D8">
        <w:fldChar w:fldCharType="end"/>
      </w:r>
      <w:r w:rsidR="00C612EA" w:rsidRPr="004C78D8">
        <w:t>.</w:t>
      </w:r>
    </w:p>
    <w:p w14:paraId="3C206E16" w14:textId="4A58EB57" w:rsidR="001C4C63" w:rsidRPr="004C78D8" w:rsidRDefault="00C612EA" w:rsidP="00FB7C1F">
      <w:r w:rsidRPr="004C78D8">
        <w:t xml:space="preserve">Falls have significant impacts on informal caregiver burden and wellbeing. A </w:t>
      </w:r>
      <w:r w:rsidR="004E0E72" w:rsidRPr="004C78D8">
        <w:t xml:space="preserve">UK </w:t>
      </w:r>
      <w:r w:rsidRPr="004C78D8">
        <w:t xml:space="preserve">qualitative study of 27 older people who recently had a fall found that informal care and local support networks including family, friends and neighbours were as important as formal care in the aftermath of a fall </w:t>
      </w:r>
      <w:r w:rsidR="004E0E72" w:rsidRPr="004C78D8">
        <w:fldChar w:fldCharType="begin"/>
      </w:r>
      <w:r w:rsidR="00513646" w:rsidRPr="004C78D8">
        <w:instrText xml:space="preserve"> ADDIN EN.CITE &lt;EndNote&gt;&lt;Cite&gt;&lt;Author&gt;Roe&lt;/Author&gt;&lt;Year&gt;2009&lt;/Year&gt;&lt;RecNum&gt;446&lt;/RecNum&gt;&lt;DisplayText&gt;[84]&lt;/DisplayText&gt;&lt;record&gt;&lt;rec-number&gt;446&lt;/rec-number&gt;&lt;foreign-keys&gt;&lt;key app="EN" db-id="tdtrdw9aepptzbefsat599syza29sxsd2wsp" timestamp="1616439054"&gt;446&lt;/key&gt;&lt;/foreign-keys&gt;&lt;ref-type name="Journal Article"&gt;17&lt;/ref-type&gt;&lt;contributors&gt;&lt;authors&gt;&lt;author&gt;Roe, Brenda&lt;/author&gt;&lt;author&gt;Howell, Fiona&lt;/author&gt;&lt;author&gt;Riniotis, Konstantinos&lt;/author&gt;&lt;author&gt;Beech, Roger&lt;/author&gt;&lt;author&gt;Crome, Peter&lt;/author&gt;&lt;author&gt;Ong, Bie Nio&lt;/author&gt;&lt;/authors&gt;&lt;/contributors&gt;&lt;titles&gt;&lt;title&gt;Older people and falls: health status, quality of life, lifestyle, care networks, prevention and views on service use following a recent fall&lt;/title&gt;&lt;secondary-title&gt;Journal of clinical nursing&lt;/secondary-title&gt;&lt;/titles&gt;&lt;periodical&gt;&lt;full-title&gt;Journal of clinical nursing&lt;/full-title&gt;&lt;/periodical&gt;&lt;pages&gt;2261-2272&lt;/pages&gt;&lt;volume&gt;18&lt;/volume&gt;&lt;number&gt;16&lt;/number&gt;&lt;dates&gt;&lt;year&gt;2009&lt;/year&gt;&lt;/dates&gt;&lt;isbn&gt;0962-1067&lt;/isbn&gt;&lt;urls&gt;&lt;/urls&gt;&lt;/record&gt;&lt;/Cite&gt;&lt;/EndNote&gt;</w:instrText>
      </w:r>
      <w:r w:rsidR="004E0E72" w:rsidRPr="004C78D8">
        <w:fldChar w:fldCharType="separate"/>
      </w:r>
      <w:r w:rsidR="00513646" w:rsidRPr="004C78D8">
        <w:rPr>
          <w:noProof/>
        </w:rPr>
        <w:t>[84]</w:t>
      </w:r>
      <w:r w:rsidR="004E0E72" w:rsidRPr="004C78D8">
        <w:fldChar w:fldCharType="end"/>
      </w:r>
      <w:r w:rsidRPr="004C78D8">
        <w:t xml:space="preserve">. In </w:t>
      </w:r>
      <w:r w:rsidR="004E0E72" w:rsidRPr="004C78D8">
        <w:t xml:space="preserve">a </w:t>
      </w:r>
      <w:r w:rsidRPr="004C78D8">
        <w:t>Canad</w:t>
      </w:r>
      <w:r w:rsidR="004E0E72" w:rsidRPr="004C78D8">
        <w:t>i</w:t>
      </w:r>
      <w:r w:rsidRPr="004C78D8">
        <w:t>a</w:t>
      </w:r>
      <w:r w:rsidR="004E0E72" w:rsidRPr="004C78D8">
        <w:t xml:space="preserve">n trial sample of older persons who had experienced at least one fall in the past year, </w:t>
      </w:r>
      <w:r w:rsidRPr="004C78D8">
        <w:t xml:space="preserve">informal caregiving </w:t>
      </w:r>
      <w:r w:rsidR="004E0E72" w:rsidRPr="004C78D8">
        <w:t xml:space="preserve">cost comprised 22% of the total societal costs in </w:t>
      </w:r>
      <w:r w:rsidRPr="004C78D8">
        <w:t>the usual care group</w:t>
      </w:r>
      <w:r w:rsidR="004E0E72" w:rsidRPr="004C78D8">
        <w:t xml:space="preserve"> </w:t>
      </w:r>
      <w:r w:rsidR="004E0E72" w:rsidRPr="004C78D8">
        <w:fldChar w:fldCharType="begin"/>
      </w:r>
      <w:r w:rsidR="00513646" w:rsidRPr="004C78D8">
        <w:instrText xml:space="preserve"> ADDIN EN.CITE &lt;EndNote&gt;&lt;Cite&gt;&lt;Author&gt;Jenkyn&lt;/Author&gt;&lt;Year&gt;2012&lt;/Year&gt;&lt;RecNum&gt;329&lt;/RecNum&gt;&lt;DisplayText&gt;[85]&lt;/DisplayText&gt;&lt;record&gt;&lt;rec-number&gt;329&lt;/rec-number&gt;&lt;foreign-keys&gt;&lt;key app="EN" db-id="tdtrdw9aepptzbefsat599syza29sxsd2wsp" timestamp="1612210836"&gt;329&lt;/key&gt;&lt;/foreign-keys&gt;&lt;ref-type name="Journal Article"&gt;17&lt;/ref-type&gt;&lt;contributors&gt;&lt;authors&gt;&lt;author&gt;Jenkyn, Krista Bray&lt;/author&gt;&lt;author&gt;Hoch, Jeffrey S&lt;/author&gt;&lt;author&gt;Speechley, Mark&lt;/author&gt;&lt;/authors&gt;&lt;/contributors&gt;&lt;titles&gt;&lt;title&gt;How much are we willing to pay to prevent a fall? Cost-effectiveness of a multifactorial falls prevention program for community-dwelling older adults&lt;/title&gt;&lt;secondary-title&gt;Canadian Journal on Aging/La Revue canadienne du vieillissement&lt;/secondary-title&gt;&lt;/titles&gt;&lt;periodical&gt;&lt;full-title&gt;Canadian Journal on Aging/La Revue canadienne du vieillissement&lt;/full-title&gt;&lt;/periodical&gt;&lt;pages&gt;121-137&lt;/pages&gt;&lt;volume&gt;31&lt;/volume&gt;&lt;number&gt;2&lt;/number&gt;&lt;dates&gt;&lt;year&gt;2012&lt;/year&gt;&lt;/dates&gt;&lt;isbn&gt;1710-1107&lt;/isbn&gt;&lt;urls&gt;&lt;/urls&gt;&lt;/record&gt;&lt;/Cite&gt;&lt;/EndNote&gt;</w:instrText>
      </w:r>
      <w:r w:rsidR="004E0E72" w:rsidRPr="004C78D8">
        <w:fldChar w:fldCharType="separate"/>
      </w:r>
      <w:r w:rsidR="00513646" w:rsidRPr="004C78D8">
        <w:rPr>
          <w:noProof/>
        </w:rPr>
        <w:t>[85]</w:t>
      </w:r>
      <w:r w:rsidR="004E0E72" w:rsidRPr="004C78D8">
        <w:fldChar w:fldCharType="end"/>
      </w:r>
      <w:r w:rsidRPr="004C78D8">
        <w:t xml:space="preserve">. </w:t>
      </w:r>
      <w:r w:rsidR="004E0E72" w:rsidRPr="004C78D8">
        <w:t>As for emotional/health impact on informal caregivers, a Taiwanese</w:t>
      </w:r>
      <w:r w:rsidRPr="004C78D8">
        <w:t xml:space="preserve"> survey </w:t>
      </w:r>
      <w:r w:rsidR="004E0E72" w:rsidRPr="004C78D8">
        <w:t>found</w:t>
      </w:r>
      <w:r w:rsidRPr="004C78D8">
        <w:t xml:space="preserve"> 57% of 98 informal caregivers (mean age of 53) </w:t>
      </w:r>
      <w:r w:rsidR="004E0E72" w:rsidRPr="004C78D8">
        <w:t xml:space="preserve">caring </w:t>
      </w:r>
      <w:r w:rsidRPr="004C78D8">
        <w:t xml:space="preserve">for </w:t>
      </w:r>
      <w:r w:rsidR="00126012" w:rsidRPr="004C78D8">
        <w:t>older</w:t>
      </w:r>
      <w:r w:rsidRPr="004C78D8">
        <w:t xml:space="preserve"> hip fracture </w:t>
      </w:r>
      <w:r w:rsidR="004E0E72" w:rsidRPr="004C78D8">
        <w:t>patients reporting that</w:t>
      </w:r>
      <w:r w:rsidRPr="004C78D8">
        <w:t xml:space="preserve"> ‘Taking care of the sick elder at home makes me feel exhausted’</w:t>
      </w:r>
      <w:r w:rsidR="004E0E72" w:rsidRPr="004C78D8">
        <w:t xml:space="preserve"> </w:t>
      </w:r>
      <w:r w:rsidR="004E0E72" w:rsidRPr="004C78D8">
        <w:fldChar w:fldCharType="begin"/>
      </w:r>
      <w:r w:rsidR="00513646" w:rsidRPr="004C78D8">
        <w:instrText xml:space="preserve"> ADDIN EN.CITE &lt;EndNote&gt;&lt;Cite&gt;&lt;Author&gt;Lin&lt;/Author&gt;&lt;Year&gt;2005&lt;/Year&gt;&lt;RecNum&gt;447&lt;/RecNum&gt;&lt;DisplayText&gt;[86]&lt;/DisplayText&gt;&lt;record&gt;&lt;rec-number&gt;447&lt;/rec-number&gt;&lt;foreign-keys&gt;&lt;key app="EN" db-id="tdtrdw9aepptzbefsat599syza29sxsd2wsp" timestamp="1616439543"&gt;447&lt;/key&gt;&lt;/foreign-keys&gt;&lt;ref-type name="Journal Article"&gt;17&lt;/ref-type&gt;&lt;contributors&gt;&lt;authors&gt;&lt;author&gt;Lin, Pi‐Chu&lt;/author&gt;&lt;author&gt;Lu, Chang‐Ming&lt;/author&gt;&lt;/authors&gt;&lt;/contributors&gt;&lt;titles&gt;&lt;title&gt;Hip fracture: family caregivers’ burden and related factors for older people in Taiwan&lt;/title&gt;&lt;secondary-title&gt;Journal of Clinical Nursing&lt;/secondary-title&gt;&lt;/titles&gt;&lt;periodical&gt;&lt;full-title&gt;Journal of clinical nursing&lt;/full-title&gt;&lt;/periodical&gt;&lt;pages&gt;719-726&lt;/pages&gt;&lt;volume&gt;14&lt;/volume&gt;&lt;number&gt;6&lt;/number&gt;&lt;dates&gt;&lt;year&gt;2005&lt;/year&gt;&lt;/dates&gt;&lt;isbn&gt;0962-1067&lt;/isbn&gt;&lt;urls&gt;&lt;/urls&gt;&lt;/record&gt;&lt;/Cite&gt;&lt;/EndNote&gt;</w:instrText>
      </w:r>
      <w:r w:rsidR="004E0E72" w:rsidRPr="004C78D8">
        <w:fldChar w:fldCharType="separate"/>
      </w:r>
      <w:r w:rsidR="00513646" w:rsidRPr="004C78D8">
        <w:rPr>
          <w:noProof/>
        </w:rPr>
        <w:t>[86]</w:t>
      </w:r>
      <w:r w:rsidR="004E0E72" w:rsidRPr="004C78D8">
        <w:fldChar w:fldCharType="end"/>
      </w:r>
      <w:r w:rsidRPr="004C78D8">
        <w:t>.</w:t>
      </w:r>
      <w:r w:rsidR="00CB601B" w:rsidRPr="004C78D8">
        <w:t xml:space="preserve">  </w:t>
      </w:r>
    </w:p>
    <w:p w14:paraId="1FA14816" w14:textId="4EA470C7" w:rsidR="00834A3E" w:rsidRPr="004C78D8" w:rsidRDefault="00834A3E" w:rsidP="00FB7C1F">
      <w:pPr>
        <w:pStyle w:val="Heading5"/>
      </w:pPr>
      <w:r w:rsidRPr="004C78D8">
        <w:t>Reduction in the contributions of older people</w:t>
      </w:r>
    </w:p>
    <w:p w14:paraId="07E612C4" w14:textId="47136AA2" w:rsidR="00E13891" w:rsidRPr="004C78D8" w:rsidRDefault="004E6378" w:rsidP="00FB7C1F">
      <w:r w:rsidRPr="004C78D8">
        <w:t>The final</w:t>
      </w:r>
      <w:r w:rsidR="00814505" w:rsidRPr="004C78D8">
        <w:t xml:space="preserve"> </w:t>
      </w:r>
      <w:r w:rsidR="00E87E70" w:rsidRPr="004C78D8">
        <w:t xml:space="preserve">societal </w:t>
      </w:r>
      <w:r w:rsidRPr="004C78D8">
        <w:t xml:space="preserve">challenge </w:t>
      </w:r>
      <w:r w:rsidR="00E87E70" w:rsidRPr="004C78D8">
        <w:t>associated with unhealthy ageing</w:t>
      </w:r>
      <w:r w:rsidRPr="004C78D8">
        <w:t xml:space="preserve"> is the loss </w:t>
      </w:r>
      <w:r w:rsidR="00E87E70" w:rsidRPr="004C78D8">
        <w:t>of</w:t>
      </w:r>
      <w:r w:rsidRPr="004C78D8">
        <w:t xml:space="preserve"> economic productivity and other contributions of older people</w:t>
      </w:r>
      <w:r w:rsidR="00E13891" w:rsidRPr="004C78D8">
        <w:t xml:space="preserve"> </w:t>
      </w:r>
      <w:r w:rsidR="00E13891" w:rsidRPr="004C78D8">
        <w:fldChar w:fldCharType="begin"/>
      </w:r>
      <w:r w:rsidR="00B1431E" w:rsidRPr="004C78D8">
        <w:instrText xml:space="preserve"> ADDIN EN.CITE &lt;EndNote&gt;&lt;Cite&gt;&lt;Author&gt;World Health Organization&lt;/Author&gt;&lt;Year&gt;2015&lt;/Year&gt;&lt;RecNum&gt;1&lt;/RecNum&gt;&lt;DisplayText&gt;[2]&lt;/DisplayText&gt;&lt;record&gt;&lt;rec-number&gt;1&lt;/rec-number&gt;&lt;foreign-keys&gt;&lt;key app="EN" db-id="tdtrdw9aepptzbefsat599syza29sxsd2wsp" timestamp="1596571129"&gt;1&lt;/key&gt;&lt;/foreign-keys&gt;&lt;ref-type name="Book"&gt;6&lt;/ref-type&gt;&lt;contributors&gt;&lt;authors&gt;&lt;author&gt;World Health Organization,&lt;/author&gt;&lt;/authors&gt;&lt;/contributors&gt;&lt;titles&gt;&lt;title&gt;World Report on Ageing and Health&lt;/title&gt;&lt;/titles&gt;&lt;dates&gt;&lt;year&gt;2015&lt;/year&gt;&lt;/dates&gt;&lt;publisher&gt;World Health Organization&lt;/publisher&gt;&lt;isbn&gt;9241565047&lt;/isbn&gt;&lt;urls&gt;&lt;/urls&gt;&lt;/record&gt;&lt;/Cite&gt;&lt;/EndNote&gt;</w:instrText>
      </w:r>
      <w:r w:rsidR="00E13891" w:rsidRPr="004C78D8">
        <w:fldChar w:fldCharType="separate"/>
      </w:r>
      <w:r w:rsidR="00E13891" w:rsidRPr="004C78D8">
        <w:rPr>
          <w:noProof/>
        </w:rPr>
        <w:t>[2]</w:t>
      </w:r>
      <w:r w:rsidR="00E13891" w:rsidRPr="004C78D8">
        <w:fldChar w:fldCharType="end"/>
      </w:r>
      <w:r w:rsidRPr="004C78D8">
        <w:t xml:space="preserve">. </w:t>
      </w:r>
      <w:r w:rsidR="00E13891" w:rsidRPr="004C78D8">
        <w:t>Old age can, with appropriate</w:t>
      </w:r>
      <w:r w:rsidR="00700C59" w:rsidRPr="004C78D8">
        <w:t xml:space="preserve"> </w:t>
      </w:r>
      <w:r w:rsidR="00E13891" w:rsidRPr="004C78D8">
        <w:t xml:space="preserve">support, be a period of </w:t>
      </w:r>
      <w:r w:rsidR="00074DBC" w:rsidRPr="004C78D8">
        <w:t xml:space="preserve">active </w:t>
      </w:r>
      <w:r w:rsidR="00E13891" w:rsidRPr="004C78D8">
        <w:t xml:space="preserve">contribution, a ‘third age’ of personal achievement after childhood and working life, rather than a pathological state </w:t>
      </w:r>
      <w:r w:rsidR="00E13891" w:rsidRPr="004C78D8">
        <w:fldChar w:fldCharType="begin"/>
      </w:r>
      <w:r w:rsidR="00513646" w:rsidRPr="004C78D8">
        <w:instrText xml:space="preserve"> ADDIN EN.CITE &lt;EndNote&gt;&lt;Cite&gt;&lt;Author&gt;Byles&lt;/Author&gt;&lt;Year&gt;2015&lt;/Year&gt;&lt;RecNum&gt;24&lt;/RecNum&gt;&lt;DisplayText&gt;[9, 87]&lt;/DisplayText&gt;&lt;record&gt;&lt;rec-number&gt;24&lt;/rec-number&gt;&lt;foreign-keys&gt;&lt;key app="EN" db-id="tdtrdw9aepptzbefsat599syza29sxsd2wsp" timestamp="1596721671"&gt;24&lt;/key&gt;&lt;/foreign-keys&gt;&lt;ref-type name="Journal Article"&gt;17&lt;/ref-type&gt;&lt;contributors&gt;&lt;authors&gt;&lt;author&gt;Byles, JE&lt;/author&gt;&lt;author&gt;Tavener, M&lt;/author&gt;&lt;/authors&gt;&lt;/contributors&gt;&lt;titles&gt;&lt;title&gt;Health of older people&lt;/title&gt;&lt;secondary-title&gt;Oxford Textbook of Global Public Health&lt;/secondary-title&gt;&lt;/titles&gt;&lt;periodical&gt;&lt;full-title&gt;Oxford Textbook of Global Public Health&lt;/full-title&gt;&lt;/periodical&gt;&lt;pages&gt;1408-1424&lt;/pages&gt;&lt;dates&gt;&lt;year&gt;2015&lt;/year&gt;&lt;/dates&gt;&lt;urls&gt;&lt;/urls&gt;&lt;/record&gt;&lt;/Cite&gt;&lt;Cite&gt;&lt;Author&gt;Stephens&lt;/Author&gt;&lt;Year&gt;2015&lt;/Year&gt;&lt;RecNum&gt;448&lt;/RecNum&gt;&lt;record&gt;&lt;rec-number&gt;448&lt;/rec-number&gt;&lt;foreign-keys&gt;&lt;key app="EN" db-id="tdtrdw9aepptzbefsat599syza29sxsd2wsp" timestamp="1616441041"&gt;448&lt;/key&gt;&lt;/foreign-keys&gt;&lt;ref-type name="Journal Article"&gt;17&lt;/ref-type&gt;&lt;contributors&gt;&lt;authors&gt;&lt;author&gt;Stephens, Christine&lt;/author&gt;&lt;author&gt;Breheny, Mary&lt;/author&gt;&lt;author&gt;Mansvelt, Juliana&lt;/author&gt;&lt;/authors&gt;&lt;/contributors&gt;&lt;titles&gt;&lt;title&gt;Healthy ageing from the perspective of older people: A capability approach to resilience&lt;/title&gt;&lt;secondary-title&gt;Psychology &amp;amp; health&lt;/secondary-title&gt;&lt;/titles&gt;&lt;periodical&gt;&lt;full-title&gt;Psychology &amp;amp; health&lt;/full-title&gt;&lt;/periodical&gt;&lt;pages&gt;715-731&lt;/pages&gt;&lt;volume&gt;30&lt;/volume&gt;&lt;number&gt;6&lt;/number&gt;&lt;dates&gt;&lt;year&gt;2015&lt;/year&gt;&lt;/dates&gt;&lt;isbn&gt;0887-0446&lt;/isbn&gt;&lt;urls&gt;&lt;/urls&gt;&lt;/record&gt;&lt;/Cite&gt;&lt;/EndNote&gt;</w:instrText>
      </w:r>
      <w:r w:rsidR="00E13891" w:rsidRPr="004C78D8">
        <w:fldChar w:fldCharType="separate"/>
      </w:r>
      <w:r w:rsidR="00513646" w:rsidRPr="004C78D8">
        <w:rPr>
          <w:noProof/>
        </w:rPr>
        <w:t>[9, 87]</w:t>
      </w:r>
      <w:r w:rsidR="00E13891" w:rsidRPr="004C78D8">
        <w:fldChar w:fldCharType="end"/>
      </w:r>
      <w:r w:rsidR="00E13891" w:rsidRPr="004C78D8">
        <w:t xml:space="preserve">. </w:t>
      </w:r>
      <w:r w:rsidR="004D3829" w:rsidRPr="004C78D8">
        <w:t xml:space="preserve">Such productive ageing would foster sustainable economic development by harnessing the </w:t>
      </w:r>
      <w:r w:rsidR="00921191" w:rsidRPr="004C78D8">
        <w:t>contribution</w:t>
      </w:r>
      <w:r w:rsidR="004D3829" w:rsidRPr="004C78D8">
        <w:t xml:space="preserve"> of an increasingly large segment of the </w:t>
      </w:r>
      <w:r w:rsidR="00921191" w:rsidRPr="004C78D8">
        <w:t xml:space="preserve">global </w:t>
      </w:r>
      <w:r w:rsidR="004D3829" w:rsidRPr="004C78D8">
        <w:t>population</w:t>
      </w:r>
      <w:r w:rsidR="00921191" w:rsidRPr="004C78D8">
        <w:t xml:space="preserve"> </w:t>
      </w:r>
      <w:r w:rsidR="00921191" w:rsidRPr="004C78D8">
        <w:fldChar w:fldCharType="begin"/>
      </w:r>
      <w:r w:rsidR="00513646" w:rsidRPr="004C78D8">
        <w:instrText xml:space="preserve"> ADDIN EN.CITE &lt;EndNote&gt;&lt;Cite&gt;&lt;Author&gt;United Nations&lt;/Author&gt;&lt;Year&gt;2002&lt;/Year&gt;&lt;RecNum&gt;451&lt;/RecNum&gt;&lt;DisplayText&gt;[88]&lt;/DisplayText&gt;&lt;record&gt;&lt;rec-number&gt;451&lt;/rec-number&gt;&lt;foreign-keys&gt;&lt;key app="EN" db-id="tdtrdw9aepptzbefsat599syza29sxsd2wsp" timestamp="1616442156"&gt;451&lt;/key&gt;&lt;/foreign-keys&gt;&lt;ref-type name="Journal Article"&gt;17&lt;/ref-type&gt;&lt;contributors&gt;&lt;authors&gt;&lt;author&gt;United Nations,&lt;/author&gt;&lt;/authors&gt;&lt;/contributors&gt;&lt;titles&gt;&lt;title&gt;Political declaration and Madrid international plan of action on ageing&lt;/title&gt;&lt;secondary-title&gt;Second World Asembly of Aging&lt;/secondary-title&gt;&lt;/titles&gt;&lt;periodical&gt;&lt;full-title&gt;Second World Asembly of Aging&lt;/full-title&gt;&lt;/periodical&gt;&lt;dates&gt;&lt;year&gt;2002&lt;/year&gt;&lt;/dates&gt;&lt;urls&gt;&lt;/urls&gt;&lt;/record&gt;&lt;/Cite&gt;&lt;/EndNote&gt;</w:instrText>
      </w:r>
      <w:r w:rsidR="00921191" w:rsidRPr="004C78D8">
        <w:fldChar w:fldCharType="separate"/>
      </w:r>
      <w:r w:rsidR="00513646" w:rsidRPr="004C78D8">
        <w:rPr>
          <w:noProof/>
        </w:rPr>
        <w:t>[88]</w:t>
      </w:r>
      <w:r w:rsidR="00921191" w:rsidRPr="004C78D8">
        <w:fldChar w:fldCharType="end"/>
      </w:r>
      <w:r w:rsidR="004D3829" w:rsidRPr="004C78D8">
        <w:t xml:space="preserve">. </w:t>
      </w:r>
      <w:r w:rsidR="00E13891" w:rsidRPr="004C78D8">
        <w:t xml:space="preserve">Beyond paid work, older people are important contributors to voluntary activities in community settings, including implementations of various public health initiatives among peers </w:t>
      </w:r>
      <w:r w:rsidR="00E56196" w:rsidRPr="004C78D8">
        <w:fldChar w:fldCharType="begin"/>
      </w:r>
      <w:r w:rsidR="00513646" w:rsidRPr="004C78D8">
        <w:instrText xml:space="preserve"> ADDIN EN.CITE &lt;EndNote&gt;&lt;Cite&gt;&lt;Author&gt;Lorig&lt;/Author&gt;&lt;Year&gt;2001&lt;/Year&gt;&lt;RecNum&gt;453&lt;/RecNum&gt;&lt;DisplayText&gt;[89, 90]&lt;/DisplayText&gt;&lt;record&gt;&lt;rec-number&gt;453&lt;/rec-number&gt;&lt;foreign-keys&gt;&lt;key app="EN" db-id="tdtrdw9aepptzbefsat599syza29sxsd2wsp" timestamp="1616443463"&gt;453&lt;/key&gt;&lt;/foreign-keys&gt;&lt;ref-type name="Journal Article"&gt;17&lt;/ref-type&gt;&lt;contributors&gt;&lt;authors&gt;&lt;author&gt;Lorig, Kate R&lt;/author&gt;&lt;author&gt;Ritter, Philip&lt;/author&gt;&lt;author&gt;Stewart, Anita L&lt;/author&gt;&lt;author&gt;Sobel, David S&lt;/author&gt;&lt;author&gt;Brown Jr, Byron William&lt;/author&gt;&lt;author&gt;Bandura, Albert&lt;/author&gt;&lt;author&gt;Gonzalez, Virginia M&lt;/author&gt;&lt;author&gt;Laurent, Diana D&lt;/author&gt;&lt;author&gt;Holman, Halsted R&lt;/author&gt;&lt;/authors&gt;&lt;/contributors&gt;&lt;titles&gt;&lt;title&gt;Chronic disease self-management program: 2-year health status and health care utilization outcomes&lt;/title&gt;&lt;secondary-title&gt;Medical care&lt;/secondary-title&gt;&lt;/titles&gt;&lt;periodical&gt;&lt;full-title&gt;Medical care&lt;/full-title&gt;&lt;/periodical&gt;&lt;pages&gt;1217-1223&lt;/pages&gt;&lt;dates&gt;&lt;year&gt;2001&lt;/year&gt;&lt;/dates&gt;&lt;isbn&gt;0025-7079&lt;/isbn&gt;&lt;urls&gt;&lt;/urls&gt;&lt;/record&gt;&lt;/Cite&gt;&lt;Cite&gt;&lt;Author&gt;Haynes&lt;/Author&gt;&lt;Year&gt;2015&lt;/Year&gt;&lt;RecNum&gt;452&lt;/RecNum&gt;&lt;record&gt;&lt;rec-number&gt;452&lt;/rec-number&gt;&lt;foreign-keys&gt;&lt;key app="EN" db-id="tdtrdw9aepptzbefsat599syza29sxsd2wsp" timestamp="1616443439"&gt;452&lt;/key&gt;&lt;/foreign-keys&gt;&lt;ref-type name="Journal Article"&gt;17&lt;/ref-type&gt;&lt;contributors&gt;&lt;authors&gt;&lt;author&gt;Haynes, Margaret&lt;/author&gt;&lt;author&gt;League, Patricia&lt;/author&gt;&lt;author&gt;Neault, Gloria&lt;/author&gt;&lt;/authors&gt;&lt;/contributors&gt;&lt;titles&gt;&lt;title&gt;A matter of balance: older adults taking control of falls by building confidence&lt;/title&gt;&lt;secondary-title&gt;Frontiers in public health&lt;/secondary-title&gt;&lt;/titles&gt;&lt;periodical&gt;&lt;full-title&gt;Frontiers in public health&lt;/full-title&gt;&lt;/periodical&gt;&lt;pages&gt;274&lt;/pages&gt;&lt;volume&gt;2&lt;/volume&gt;&lt;dates&gt;&lt;year&gt;2015&lt;/year&gt;&lt;/dates&gt;&lt;isbn&gt;2296-2565&lt;/isbn&gt;&lt;urls&gt;&lt;/urls&gt;&lt;/record&gt;&lt;/Cite&gt;&lt;/EndNote&gt;</w:instrText>
      </w:r>
      <w:r w:rsidR="00E56196" w:rsidRPr="004C78D8">
        <w:fldChar w:fldCharType="separate"/>
      </w:r>
      <w:r w:rsidR="00513646" w:rsidRPr="004C78D8">
        <w:rPr>
          <w:noProof/>
        </w:rPr>
        <w:t>[89, 90]</w:t>
      </w:r>
      <w:r w:rsidR="00E56196" w:rsidRPr="004C78D8">
        <w:fldChar w:fldCharType="end"/>
      </w:r>
      <w:r w:rsidR="00E13891" w:rsidRPr="004C78D8">
        <w:t xml:space="preserve">, volunteering in </w:t>
      </w:r>
      <w:r w:rsidR="00E56196" w:rsidRPr="004C78D8">
        <w:t>charities</w:t>
      </w:r>
      <w:r w:rsidR="00E13891" w:rsidRPr="004C78D8">
        <w:t xml:space="preserve"> and childcare</w:t>
      </w:r>
      <w:r w:rsidR="00E56196" w:rsidRPr="004C78D8">
        <w:t xml:space="preserve"> </w:t>
      </w:r>
      <w:r w:rsidR="00E56196" w:rsidRPr="004C78D8">
        <w:fldChar w:fldCharType="begin"/>
      </w:r>
      <w:r w:rsidR="00513646" w:rsidRPr="004C78D8">
        <w:instrText xml:space="preserve"> ADDIN EN.CITE &lt;EndNote&gt;&lt;Cite&gt;&lt;Author&gt;Cook&lt;/Author&gt;&lt;Year&gt;2011&lt;/Year&gt;&lt;RecNum&gt;309&lt;/RecNum&gt;&lt;DisplayText&gt;[91]&lt;/DisplayText&gt;&lt;record&gt;&lt;rec-number&gt;309&lt;/rec-number&gt;&lt;foreign-keys&gt;&lt;key app="EN" db-id="tdtrdw9aepptzbefsat599syza29sxsd2wsp" timestamp="1612016125"&gt;309&lt;/key&gt;&lt;/foreign-keys&gt;&lt;ref-type name="Journal Article"&gt;17&lt;/ref-type&gt;&lt;contributors&gt;&lt;authors&gt;&lt;author&gt;Cook, Julia&lt;/author&gt;&lt;/authors&gt;&lt;/contributors&gt;&lt;titles&gt;&lt;title&gt;The socio‐economic contribution of older people in the UK&lt;/title&gt;&lt;secondary-title&gt;Working with Older People&lt;/secondary-title&gt;&lt;/titles&gt;&lt;periodical&gt;&lt;full-title&gt;Working with Older People&lt;/full-title&gt;&lt;/periodical&gt;&lt;dates&gt;&lt;year&gt;2011&lt;/year&gt;&lt;/dates&gt;&lt;urls&gt;&lt;/urls&gt;&lt;/record&gt;&lt;/Cite&gt;&lt;/EndNote&gt;</w:instrText>
      </w:r>
      <w:r w:rsidR="00E56196" w:rsidRPr="004C78D8">
        <w:fldChar w:fldCharType="separate"/>
      </w:r>
      <w:r w:rsidR="00513646" w:rsidRPr="004C78D8">
        <w:rPr>
          <w:noProof/>
        </w:rPr>
        <w:t>[91]</w:t>
      </w:r>
      <w:r w:rsidR="00E56196" w:rsidRPr="004C78D8">
        <w:fldChar w:fldCharType="end"/>
      </w:r>
      <w:r w:rsidR="00E56196" w:rsidRPr="004C78D8">
        <w:t xml:space="preserve">, and informal caregiving </w:t>
      </w:r>
      <w:r w:rsidR="00E56196" w:rsidRPr="004C78D8">
        <w:fldChar w:fldCharType="begin"/>
      </w:r>
      <w:r w:rsidR="00513646" w:rsidRPr="004C78D8">
        <w:instrText xml:space="preserve"> ADDIN EN.CITE &lt;EndNote&gt;&lt;Cite&gt;&lt;Author&gt;Huter&lt;/Author&gt;&lt;Year&gt;2016&lt;/Year&gt;&lt;RecNum&gt;7&lt;/RecNum&gt;&lt;DisplayText&gt;[83]&lt;/DisplayText&gt;&lt;record&gt;&lt;rec-number&gt;7&lt;/rec-number&gt;&lt;foreign-keys&gt;&lt;key app="EN" db-id="tdtrdw9aepptzbefsat599syza29sxsd2wsp" timestamp="1596571805"&gt;7&lt;/key&gt;&lt;/foreign-keys&gt;&lt;ref-type name="Journal Article"&gt;17&lt;/ref-type&gt;&lt;contributors&gt;&lt;authors&gt;&lt;author&gt;Huter, Kai&lt;/author&gt;&lt;author&gt;Kocot, Ewa&lt;/author&gt;&lt;author&gt;Kissimova-Skarbek, Katarzyna&lt;/author&gt;&lt;author&gt;Dubas-Jakóbczyk, Katarzyna&lt;/author&gt;&lt;author&gt;Rothgang, Heinz&lt;/author&gt;&lt;/authors&gt;&lt;/contributors&gt;&lt;titles&gt;&lt;title&gt;Economic evaluation of health promotion for older people-methodological problems and challenges&lt;/title&gt;&lt;secondary-title&gt;BMC health services research&lt;/secondary-title&gt;&lt;/titles&gt;&lt;periodical&gt;&lt;full-title&gt;BMC health services research&lt;/full-title&gt;&lt;/periodical&gt;&lt;pages&gt;328&lt;/pages&gt;&lt;volume&gt;16&lt;/volume&gt;&lt;number&gt;5&lt;/number&gt;&lt;dates&gt;&lt;year&gt;2016&lt;/year&gt;&lt;/dates&gt;&lt;isbn&gt;1472-6963&lt;/isbn&gt;&lt;urls&gt;&lt;/urls&gt;&lt;/record&gt;&lt;/Cite&gt;&lt;/EndNote&gt;</w:instrText>
      </w:r>
      <w:r w:rsidR="00E56196" w:rsidRPr="004C78D8">
        <w:fldChar w:fldCharType="separate"/>
      </w:r>
      <w:r w:rsidR="00513646" w:rsidRPr="004C78D8">
        <w:rPr>
          <w:noProof/>
        </w:rPr>
        <w:t>[83]</w:t>
      </w:r>
      <w:r w:rsidR="00E56196" w:rsidRPr="004C78D8">
        <w:fldChar w:fldCharType="end"/>
      </w:r>
      <w:r w:rsidR="00E13891" w:rsidRPr="004C78D8">
        <w:t xml:space="preserve">. In all, </w:t>
      </w:r>
      <w:r w:rsidR="003B5F95" w:rsidRPr="004C78D8">
        <w:t xml:space="preserve">promoting geriatric health complements other public </w:t>
      </w:r>
      <w:r w:rsidR="003B5F95" w:rsidRPr="004C78D8">
        <w:lastRenderedPageBreak/>
        <w:t xml:space="preserve">policies to support </w:t>
      </w:r>
      <w:r w:rsidR="00E9113C" w:rsidRPr="004C78D8">
        <w:t>older persons’</w:t>
      </w:r>
      <w:r w:rsidR="003B5F95" w:rsidRPr="004C78D8">
        <w:t xml:space="preserve"> participation in workplaces and communities </w:t>
      </w:r>
      <w:r w:rsidR="003B5F95" w:rsidRPr="004C78D8">
        <w:fldChar w:fldCharType="begin"/>
      </w:r>
      <w:r w:rsidR="00513646" w:rsidRPr="004C78D8">
        <w:instrText xml:space="preserve"> ADDIN EN.CITE &lt;EndNote&gt;&lt;Cite&gt;&lt;Author&gt;World Health Organization&lt;/Author&gt;&lt;Year&gt;2017&lt;/Year&gt;&lt;RecNum&gt;450&lt;/RecNum&gt;&lt;DisplayText&gt;[92-94]&lt;/DisplayText&gt;&lt;record&gt;&lt;rec-number&gt;450&lt;/rec-number&gt;&lt;foreign-keys&gt;&lt;key app="EN" db-id="tdtrdw9aepptzbefsat599syza29sxsd2wsp" timestamp="1616441553"&gt;450&lt;/key&gt;&lt;/foreign-keys&gt;&lt;ref-type name="Journal Article"&gt;17&lt;/ref-type&gt;&lt;contributors&gt;&lt;authors&gt;&lt;author&gt;World Health Organization,&lt;/author&gt;&lt;/authors&gt;&lt;/contributors&gt;&lt;titles&gt;&lt;title&gt;Global strategy and action plan on ageing and health&lt;/title&gt;&lt;/titles&gt;&lt;dates&gt;&lt;year&gt;2017&lt;/year&gt;&lt;/dates&gt;&lt;isbn&gt;9241513500&lt;/isbn&gt;&lt;urls&gt;&lt;/urls&gt;&lt;/record&gt;&lt;/Cite&gt;&lt;Cite&gt;&lt;Author&gt;Department of Health&lt;/Author&gt;&lt;Year&gt;2010&lt;/Year&gt;&lt;RecNum&gt;3&lt;/RecNum&gt;&lt;record&gt;&lt;rec-number&gt;3&lt;/rec-number&gt;&lt;foreign-keys&gt;&lt;key app="EN" db-id="tdtrdw9aepptzbefsat599syza29sxsd2wsp" timestamp="1596571158"&gt;3&lt;/key&gt;&lt;/foreign-keys&gt;&lt;ref-type name="Book"&gt;6&lt;/ref-type&gt;&lt;contributors&gt;&lt;authors&gt;&lt;author&gt;Department of Health,&lt;/author&gt;&lt;/authors&gt;&lt;/contributors&gt;&lt;titles&gt;&lt;title&gt;Healthy lives, healthy people: Our strategy for public health in England&lt;/title&gt;&lt;/titles&gt;&lt;volume&gt;7985&lt;/volume&gt;&lt;dates&gt;&lt;year&gt;2010&lt;/year&gt;&lt;/dates&gt;&lt;publisher&gt;The Stationery Office&lt;/publisher&gt;&lt;isbn&gt;0101798520&lt;/isbn&gt;&lt;urls&gt;&lt;/urls&gt;&lt;/record&gt;&lt;/Cite&gt;&lt;Cite&gt;&lt;Author&gt;Beard&lt;/Author&gt;&lt;Year&gt;2010&lt;/Year&gt;&lt;RecNum&gt;454&lt;/RecNum&gt;&lt;record&gt;&lt;rec-number&gt;454&lt;/rec-number&gt;&lt;foreign-keys&gt;&lt;key app="EN" db-id="tdtrdw9aepptzbefsat599syza29sxsd2wsp" timestamp="1616444254"&gt;454&lt;/key&gt;&lt;/foreign-keys&gt;&lt;ref-type name="Journal Article"&gt;17&lt;/ref-type&gt;&lt;contributors&gt;&lt;authors&gt;&lt;author&gt;Beard, John R&lt;/author&gt;&lt;author&gt;Petitot, Charles&lt;/author&gt;&lt;/authors&gt;&lt;/contributors&gt;&lt;titles&gt;&lt;title&gt;Ageing and urbanization: can cities be designed to foster active ageing?&lt;/title&gt;&lt;secondary-title&gt;Public Health Reviews&lt;/secondary-title&gt;&lt;/titles&gt;&lt;periodical&gt;&lt;full-title&gt;Public Health Reviews&lt;/full-title&gt;&lt;/periodical&gt;&lt;pages&gt;427-450&lt;/pages&gt;&lt;volume&gt;32&lt;/volume&gt;&lt;number&gt;2&lt;/number&gt;&lt;dates&gt;&lt;year&gt;2010&lt;/year&gt;&lt;/dates&gt;&lt;isbn&gt;2107-6952&lt;/isbn&gt;&lt;urls&gt;&lt;/urls&gt;&lt;/record&gt;&lt;/Cite&gt;&lt;/EndNote&gt;</w:instrText>
      </w:r>
      <w:r w:rsidR="003B5F95" w:rsidRPr="004C78D8">
        <w:fldChar w:fldCharType="separate"/>
      </w:r>
      <w:r w:rsidR="00513646" w:rsidRPr="004C78D8">
        <w:rPr>
          <w:noProof/>
        </w:rPr>
        <w:t>[92-94]</w:t>
      </w:r>
      <w:r w:rsidR="003B5F95" w:rsidRPr="004C78D8">
        <w:fldChar w:fldCharType="end"/>
      </w:r>
      <w:r w:rsidR="003B5F95" w:rsidRPr="004C78D8">
        <w:t xml:space="preserve">, </w:t>
      </w:r>
      <w:r w:rsidR="00074DBC" w:rsidRPr="004C78D8">
        <w:t>such as</w:t>
      </w:r>
      <w:r w:rsidR="003B5F95" w:rsidRPr="004C78D8">
        <w:t xml:space="preserve"> the UK government’s abolishment of the default retirement age of 65 in 2011 </w:t>
      </w:r>
      <w:r w:rsidR="003B5F95" w:rsidRPr="004C78D8">
        <w:fldChar w:fldCharType="begin"/>
      </w:r>
      <w:r w:rsidR="00513646" w:rsidRPr="004C78D8">
        <w:instrText xml:space="preserve"> ADDIN EN.CITE &lt;EndNote&gt;&lt;Cite&gt;&lt;Author&gt;Age UK&lt;/Author&gt;&lt;Year&gt;2020&lt;/Year&gt;&lt;RecNum&gt;449&lt;/RecNum&gt;&lt;DisplayText&gt;[95]&lt;/DisplayText&gt;&lt;record&gt;&lt;rec-number&gt;449&lt;/rec-number&gt;&lt;foreign-keys&gt;&lt;key app="EN" db-id="tdtrdw9aepptzbefsat599syza29sxsd2wsp" timestamp="1616441520"&gt;449&lt;/key&gt;&lt;/foreign-keys&gt;&lt;ref-type name="Web Page"&gt;12&lt;/ref-type&gt;&lt;contributors&gt;&lt;authors&gt;&lt;author&gt;Age UK,&lt;/author&gt;&lt;/authors&gt;&lt;/contributors&gt;&lt;titles&gt;&lt;title&gt;Retirement age&lt;/title&gt;&lt;/titles&gt;&lt;dates&gt;&lt;year&gt;2020&lt;/year&gt;&lt;/dates&gt;&lt;urls&gt;&lt;related-urls&gt;&lt;url&gt;https://www.ageuk.org.uk/information-advice/work-learning/retirement/retirement-age/&lt;/url&gt;&lt;/related-urls&gt;&lt;/urls&gt;&lt;/record&gt;&lt;/Cite&gt;&lt;/EndNote&gt;</w:instrText>
      </w:r>
      <w:r w:rsidR="003B5F95" w:rsidRPr="004C78D8">
        <w:fldChar w:fldCharType="separate"/>
      </w:r>
      <w:r w:rsidR="00513646" w:rsidRPr="004C78D8">
        <w:rPr>
          <w:noProof/>
        </w:rPr>
        <w:t>[95]</w:t>
      </w:r>
      <w:r w:rsidR="003B5F95" w:rsidRPr="004C78D8">
        <w:fldChar w:fldCharType="end"/>
      </w:r>
      <w:r w:rsidR="003B5F95" w:rsidRPr="004C78D8">
        <w:t xml:space="preserve">. </w:t>
      </w:r>
    </w:p>
    <w:p w14:paraId="264EF79B" w14:textId="3994CEB9" w:rsidR="003324DA" w:rsidRPr="004C78D8" w:rsidRDefault="003324DA" w:rsidP="00FB7C1F">
      <w:r w:rsidRPr="004C78D8">
        <w:t xml:space="preserve">To my knowledge, there is no study estimating the productivity loss </w:t>
      </w:r>
      <w:r w:rsidR="00921191" w:rsidRPr="004C78D8">
        <w:t>exclusively</w:t>
      </w:r>
      <w:r w:rsidRPr="004C78D8">
        <w:t xml:space="preserve"> attributable to falls, let alone the productivity loss associated with unpaid work such as childcare and volunteering. That said, </w:t>
      </w:r>
      <w:r w:rsidR="00921191" w:rsidRPr="004C78D8">
        <w:t xml:space="preserve">both the primary and secondary effects of falls on health and functioning </w:t>
      </w:r>
      <w:r w:rsidRPr="004C78D8">
        <w:t xml:space="preserve">can be assumed to </w:t>
      </w:r>
      <w:r w:rsidR="00921191" w:rsidRPr="004C78D8">
        <w:t>have a substantial negative impact on later life productivity</w:t>
      </w:r>
      <w:r w:rsidRPr="004C78D8">
        <w:t xml:space="preserve">. </w:t>
      </w:r>
    </w:p>
    <w:p w14:paraId="02DC262D" w14:textId="77777777" w:rsidR="00834A3E" w:rsidRPr="004C78D8" w:rsidRDefault="00834A3E" w:rsidP="00FB7C1F"/>
    <w:p w14:paraId="4FF66DED" w14:textId="0AC1242D" w:rsidR="005A71EA" w:rsidRPr="004C78D8" w:rsidRDefault="005A71EA" w:rsidP="00FB7C1F">
      <w:pPr>
        <w:pStyle w:val="Heading3"/>
      </w:pPr>
      <w:bookmarkStart w:id="28" w:name="_Toc111630693"/>
      <w:r w:rsidRPr="004C78D8">
        <w:t xml:space="preserve">1.3.2 </w:t>
      </w:r>
      <w:r w:rsidR="00487B75" w:rsidRPr="004C78D8">
        <w:t>Geriatric public health interventions</w:t>
      </w:r>
      <w:bookmarkEnd w:id="28"/>
    </w:p>
    <w:p w14:paraId="6B0CB1D6" w14:textId="2DBCFEB9" w:rsidR="00B81346" w:rsidRPr="004C78D8" w:rsidRDefault="00467CF8" w:rsidP="00FB7C1F">
      <w:r w:rsidRPr="004C78D8">
        <w:t xml:space="preserve">It is </w:t>
      </w:r>
      <w:r w:rsidR="00382806" w:rsidRPr="004C78D8">
        <w:t>often</w:t>
      </w:r>
      <w:r w:rsidRPr="004C78D8">
        <w:t xml:space="preserve"> feared that the current medical care paradigm </w:t>
      </w:r>
      <w:r w:rsidR="00ED1BD9" w:rsidRPr="004C78D8">
        <w:t>is</w:t>
      </w:r>
      <w:r w:rsidRPr="004C78D8">
        <w:t xml:space="preserve"> poorly equipped to handle the challenges </w:t>
      </w:r>
      <w:r w:rsidR="00ED1BD9" w:rsidRPr="004C78D8">
        <w:t>brought by</w:t>
      </w:r>
      <w:r w:rsidRPr="004C78D8">
        <w:t xml:space="preserve"> </w:t>
      </w:r>
      <w:r w:rsidR="00905D5C" w:rsidRPr="004C78D8">
        <w:t>an (unhealthy) ageing population</w:t>
      </w:r>
      <w:r w:rsidR="0094435F" w:rsidRPr="004C78D8">
        <w:t>,</w:t>
      </w:r>
      <w:r w:rsidRPr="004C78D8">
        <w:t xml:space="preserve"> </w:t>
      </w:r>
      <w:r w:rsidR="00ED1BD9" w:rsidRPr="004C78D8">
        <w:t xml:space="preserve">including </w:t>
      </w:r>
      <w:r w:rsidR="0094435F" w:rsidRPr="004C78D8">
        <w:t xml:space="preserve">the </w:t>
      </w:r>
      <w:r w:rsidR="00ED1BD9" w:rsidRPr="004C78D8">
        <w:t xml:space="preserve">high prevalence of multimorbidity and geriatric syndromes </w:t>
      </w:r>
      <w:r w:rsidR="00ED1BD9" w:rsidRPr="004C78D8">
        <w:fldChar w:fldCharType="begin">
          <w:fldData xml:space="preserve">PEVuZE5vdGU+PENpdGU+PEF1dGhvcj5TbWl0aDwvQXV0aG9yPjxZZWFyPjIwMTI8L1llYXI+PFJl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</w:fldData>
        </w:fldChar>
      </w:r>
      <w:r w:rsidR="00513646" w:rsidRPr="004C78D8">
        <w:instrText xml:space="preserve"> ADDIN EN.CITE </w:instrText>
      </w:r>
      <w:r w:rsidR="00513646" w:rsidRPr="004C78D8">
        <w:fldChar w:fldCharType="begin">
          <w:fldData xml:space="preserve">PEVuZE5vdGU+PENpdGU+PEF1dGhvcj5TbWl0aDwvQXV0aG9yPjxZZWFyPjIwMTI8L1llYXI+PFJl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</w:fldData>
        </w:fldChar>
      </w:r>
      <w:r w:rsidR="00513646" w:rsidRPr="004C78D8">
        <w:instrText xml:space="preserve"> ADDIN EN.CITE.DATA </w:instrText>
      </w:r>
      <w:r w:rsidR="00513646" w:rsidRPr="004C78D8">
        <w:fldChar w:fldCharType="end"/>
      </w:r>
      <w:r w:rsidR="00ED1BD9" w:rsidRPr="004C78D8">
        <w:fldChar w:fldCharType="separate"/>
      </w:r>
      <w:r w:rsidR="00513646" w:rsidRPr="004C78D8">
        <w:rPr>
          <w:noProof/>
        </w:rPr>
        <w:t>[96-98]</w:t>
      </w:r>
      <w:r w:rsidR="00ED1BD9" w:rsidRPr="004C78D8">
        <w:fldChar w:fldCharType="end"/>
      </w:r>
      <w:r w:rsidRPr="004C78D8">
        <w:t xml:space="preserve">. </w:t>
      </w:r>
      <w:r w:rsidR="00ED1BD9" w:rsidRPr="004C78D8">
        <w:t>The paradigm is primarily single disease- or organ-specific and curative</w:t>
      </w:r>
      <w:r w:rsidR="0094435F" w:rsidRPr="004C78D8">
        <w:t>,</w:t>
      </w:r>
      <w:r w:rsidR="00ED1BD9" w:rsidRPr="004C78D8">
        <w:t xml:space="preserve"> which </w:t>
      </w:r>
      <w:r w:rsidR="0094435F" w:rsidRPr="004C78D8">
        <w:t xml:space="preserve">can result in care fragmentation, iatrogenic harm </w:t>
      </w:r>
      <w:r w:rsidR="00CE3CC6" w:rsidRPr="004C78D8">
        <w:t xml:space="preserve">(unintended adverse effects of treatments) </w:t>
      </w:r>
      <w:r w:rsidR="0094435F" w:rsidRPr="004C78D8">
        <w:t xml:space="preserve">and neglect of prevention </w:t>
      </w:r>
      <w:r w:rsidR="0086684A" w:rsidRPr="004C78D8">
        <w:fldChar w:fldCharType="begin">
          <w:fldData xml:space="preserve">PEVuZE5vdGU+PENpdGU+PEF1dGhvcj5Pc2Jvcm48L0F1dGhvcj48WWVhcj4yMDE0PC9ZZWFyPjxS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</w:fldData>
        </w:fldChar>
      </w:r>
      <w:r w:rsidR="00513646" w:rsidRPr="004C78D8">
        <w:instrText xml:space="preserve"> ADDIN EN.CITE </w:instrText>
      </w:r>
      <w:r w:rsidR="00513646" w:rsidRPr="004C78D8">
        <w:fldChar w:fldCharType="begin">
          <w:fldData xml:space="preserve">PEVuZE5vdGU+PENpdGU+PEF1dGhvcj5Pc2Jvcm48L0F1dGhvcj48WWVhcj4yMDE0PC9ZZWFyPjxS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</w:fldData>
        </w:fldChar>
      </w:r>
      <w:r w:rsidR="00513646" w:rsidRPr="004C78D8">
        <w:instrText xml:space="preserve"> ADDIN EN.CITE.DATA </w:instrText>
      </w:r>
      <w:r w:rsidR="00513646" w:rsidRPr="004C78D8">
        <w:fldChar w:fldCharType="end"/>
      </w:r>
      <w:r w:rsidR="0086684A" w:rsidRPr="004C78D8">
        <w:fldChar w:fldCharType="separate"/>
      </w:r>
      <w:r w:rsidR="00513646" w:rsidRPr="004C78D8">
        <w:rPr>
          <w:noProof/>
        </w:rPr>
        <w:t>[80, 97, 99-101]</w:t>
      </w:r>
      <w:r w:rsidR="0086684A" w:rsidRPr="004C78D8">
        <w:fldChar w:fldCharType="end"/>
      </w:r>
      <w:r w:rsidR="0086684A" w:rsidRPr="004C78D8">
        <w:t xml:space="preserve">. </w:t>
      </w:r>
    </w:p>
    <w:p w14:paraId="7E170A3E" w14:textId="76993D3C" w:rsidR="00E04AC2" w:rsidRPr="004C78D8" w:rsidRDefault="00487B75" w:rsidP="00FB7C1F">
      <w:r w:rsidRPr="004C78D8">
        <w:t xml:space="preserve">Geriatric public health interventions </w:t>
      </w:r>
      <w:r w:rsidR="00E2784B" w:rsidRPr="004C78D8">
        <w:t xml:space="preserve">are primarily preventive (rather than curative) interventions targeting a broad geriatric population (rather than a narrow patient group with specific clinical need) that </w:t>
      </w:r>
      <w:r w:rsidR="009E56C2" w:rsidRPr="004C78D8">
        <w:t>aim</w:t>
      </w:r>
      <w:r w:rsidRPr="004C78D8">
        <w:t xml:space="preserve"> to address </w:t>
      </w:r>
      <w:r w:rsidR="00595815" w:rsidRPr="004C78D8">
        <w:t>the</w:t>
      </w:r>
      <w:r w:rsidR="00B81346" w:rsidRPr="004C78D8">
        <w:t xml:space="preserve"> above</w:t>
      </w:r>
      <w:r w:rsidRPr="004C78D8">
        <w:t xml:space="preserve"> shortcomings</w:t>
      </w:r>
      <w:r w:rsidR="009E56C2" w:rsidRPr="004C78D8">
        <w:t xml:space="preserve">. </w:t>
      </w:r>
      <w:r w:rsidR="007C019A" w:rsidRPr="004C78D8">
        <w:t>The desir</w:t>
      </w:r>
      <w:r w:rsidR="00A51588" w:rsidRPr="004C78D8">
        <w:t>ed</w:t>
      </w:r>
      <w:r w:rsidR="007C019A" w:rsidRPr="004C78D8">
        <w:t xml:space="preserve"> characteristics </w:t>
      </w:r>
      <w:r w:rsidR="001B7C58" w:rsidRPr="004C78D8">
        <w:t xml:space="preserve">or qualities </w:t>
      </w:r>
      <w:r w:rsidR="007C019A" w:rsidRPr="004C78D8">
        <w:t>of geriatric public health interventions can be categorised as follows</w:t>
      </w:r>
      <w:r w:rsidR="00CC038F" w:rsidRPr="004C78D8">
        <w:t>:</w:t>
      </w:r>
    </w:p>
    <w:p w14:paraId="7C94E0DC" w14:textId="2D430A6C" w:rsidR="00CC038F" w:rsidRPr="004C78D8" w:rsidRDefault="007C019A" w:rsidP="00FB7C1F">
      <w:pPr>
        <w:pStyle w:val="ListParagraph"/>
        <w:numPr>
          <w:ilvl w:val="0"/>
          <w:numId w:val="14"/>
        </w:numPr>
      </w:pPr>
      <w:r w:rsidRPr="004C78D8">
        <w:t>Person-centred care with holistic outcomes</w:t>
      </w:r>
      <w:r w:rsidR="00DB134C" w:rsidRPr="004C78D8">
        <w:t xml:space="preserve"> (Section 1.3.2.</w:t>
      </w:r>
      <w:r w:rsidR="00B81346" w:rsidRPr="004C78D8">
        <w:t>1</w:t>
      </w:r>
      <w:r w:rsidR="00DB134C" w:rsidRPr="004C78D8">
        <w:t>)</w:t>
      </w:r>
    </w:p>
    <w:p w14:paraId="7B2D7196" w14:textId="3FFCE056" w:rsidR="007C019A" w:rsidRPr="004C78D8" w:rsidRDefault="007C019A" w:rsidP="00FB7C1F">
      <w:pPr>
        <w:pStyle w:val="ListParagraph"/>
        <w:numPr>
          <w:ilvl w:val="0"/>
          <w:numId w:val="14"/>
        </w:numPr>
      </w:pPr>
      <w:r w:rsidRPr="004C78D8">
        <w:t>Handling heterogeneity at population level</w:t>
      </w:r>
      <w:r w:rsidR="00DB134C" w:rsidRPr="004C78D8">
        <w:t xml:space="preserve"> (Section 1.3.2.</w:t>
      </w:r>
      <w:r w:rsidR="00B81346" w:rsidRPr="004C78D8">
        <w:t>2</w:t>
      </w:r>
      <w:r w:rsidR="00DB134C" w:rsidRPr="004C78D8">
        <w:t>)</w:t>
      </w:r>
    </w:p>
    <w:p w14:paraId="57AF7A52" w14:textId="0D53BC69" w:rsidR="00AA556E" w:rsidRPr="004C78D8" w:rsidRDefault="001B7C58" w:rsidP="00FB7C1F">
      <w:pPr>
        <w:pStyle w:val="ListParagraph"/>
        <w:numPr>
          <w:ilvl w:val="0"/>
          <w:numId w:val="14"/>
        </w:numPr>
      </w:pPr>
      <w:r w:rsidRPr="004C78D8">
        <w:t>High i</w:t>
      </w:r>
      <w:r w:rsidR="00AA556E" w:rsidRPr="004C78D8">
        <w:t>ntegration of care (Section 1.3.2.3)</w:t>
      </w:r>
    </w:p>
    <w:p w14:paraId="025806B2" w14:textId="56343628" w:rsidR="00B81346" w:rsidRPr="004C78D8" w:rsidRDefault="00B81346" w:rsidP="00FB7C1F">
      <w:pPr>
        <w:pStyle w:val="ListParagraph"/>
        <w:numPr>
          <w:ilvl w:val="0"/>
          <w:numId w:val="14"/>
        </w:numPr>
      </w:pPr>
      <w:r w:rsidRPr="004C78D8">
        <w:t>Coherent implementation strategy (Section 1.3.2.</w:t>
      </w:r>
      <w:r w:rsidR="00AA556E" w:rsidRPr="004C78D8">
        <w:t>4</w:t>
      </w:r>
      <w:r w:rsidRPr="004C78D8">
        <w:t>)</w:t>
      </w:r>
    </w:p>
    <w:p w14:paraId="66FE3C15" w14:textId="3244445C" w:rsidR="00A51588" w:rsidRPr="004C78D8" w:rsidRDefault="00A51588" w:rsidP="00FB7C1F">
      <w:pPr>
        <w:pStyle w:val="Heading4"/>
      </w:pPr>
      <w:r w:rsidRPr="004C78D8">
        <w:t>1.3.2.1 Person-centred care with holistic outcomes</w:t>
      </w:r>
    </w:p>
    <w:p w14:paraId="517EA57A" w14:textId="645CE50B" w:rsidR="005847E6" w:rsidRPr="004C78D8" w:rsidRDefault="00A51588" w:rsidP="00FB7C1F">
      <w:r w:rsidRPr="004C78D8">
        <w:t>Person-centred care acknowledges</w:t>
      </w:r>
      <w:r w:rsidR="002016FD" w:rsidRPr="004C78D8">
        <w:t xml:space="preserve"> the </w:t>
      </w:r>
      <w:r w:rsidR="00400E16" w:rsidRPr="004C78D8">
        <w:t xml:space="preserve">multidimensional </w:t>
      </w:r>
      <w:r w:rsidR="002016FD" w:rsidRPr="004C78D8">
        <w:t xml:space="preserve">need matrix of each older person </w:t>
      </w:r>
      <w:r w:rsidR="00E5390B" w:rsidRPr="004C78D8">
        <w:t>that spans</w:t>
      </w:r>
      <w:r w:rsidR="002016FD" w:rsidRPr="004C78D8">
        <w:t xml:space="preserve"> both health and non-health domains </w:t>
      </w:r>
      <w:r w:rsidR="002016FD" w:rsidRPr="004C78D8">
        <w:fldChar w:fldCharType="begin"/>
      </w:r>
      <w:r w:rsidR="002016FD" w:rsidRPr="004C78D8">
        <w:instrText xml:space="preserve"> ADDIN EN.CITE &lt;EndNote&gt;&lt;Cite&gt;&lt;Author&gt;World Health Organization&lt;/Author&gt;&lt;Year&gt;2015&lt;/Year&gt;&lt;RecNum&gt;1&lt;/RecNum&gt;&lt;DisplayText&gt;[2]&lt;/DisplayText&gt;&lt;record&gt;&lt;rec-number&gt;1&lt;/rec-number&gt;&lt;foreign-keys&gt;&lt;key app="EN" db-id="tdtrdw9aepptzbefsat599syza29sxsd2wsp" timestamp="1596571129"&gt;1&lt;/key&gt;&lt;/foreign-keys&gt;&lt;ref-type name="Book"&gt;6&lt;/ref-type&gt;&lt;contributors&gt;&lt;authors&gt;&lt;author&gt;World Health Organization,&lt;/author&gt;&lt;/authors&gt;&lt;/contributors&gt;&lt;titles&gt;&lt;title&gt;World Report on Ageing and Health&lt;/title&gt;&lt;/titles&gt;&lt;dates&gt;&lt;year&gt;2015&lt;/year&gt;&lt;/dates&gt;&lt;publisher&gt;World Health Organization&lt;/publisher&gt;&lt;isbn&gt;9241565047&lt;/isbn&gt;&lt;urls&gt;&lt;/urls&gt;&lt;/record&gt;&lt;/Cite&gt;&lt;/EndNote&gt;</w:instrText>
      </w:r>
      <w:r w:rsidR="002016FD" w:rsidRPr="004C78D8">
        <w:fldChar w:fldCharType="separate"/>
      </w:r>
      <w:r w:rsidR="002016FD" w:rsidRPr="004C78D8">
        <w:rPr>
          <w:noProof/>
        </w:rPr>
        <w:t>[2]</w:t>
      </w:r>
      <w:r w:rsidR="002016FD" w:rsidRPr="004C78D8">
        <w:fldChar w:fldCharType="end"/>
      </w:r>
      <w:r w:rsidR="00400E16" w:rsidRPr="004C78D8">
        <w:t xml:space="preserve">. Thus, person-centred care would motivate </w:t>
      </w:r>
      <w:r w:rsidR="005F5FD3" w:rsidRPr="004C78D8">
        <w:t>two</w:t>
      </w:r>
      <w:r w:rsidR="00400E16" w:rsidRPr="004C78D8">
        <w:t xml:space="preserve"> intervention features: </w:t>
      </w:r>
      <w:r w:rsidRPr="004C78D8">
        <w:t>(1) multidimensional risk/need assessment; and (</w:t>
      </w:r>
      <w:r w:rsidR="005F5FD3" w:rsidRPr="004C78D8">
        <w:t>2</w:t>
      </w:r>
      <w:r w:rsidRPr="004C78D8">
        <w:t xml:space="preserve">) use of holistic outcomes. </w:t>
      </w:r>
      <w:r w:rsidR="00A45C50" w:rsidRPr="004C78D8">
        <w:t xml:space="preserve">An example of (1) is the </w:t>
      </w:r>
      <w:r w:rsidR="005F5FD3" w:rsidRPr="004C78D8">
        <w:t xml:space="preserve">approach of </w:t>
      </w:r>
      <w:r w:rsidR="00A45C50" w:rsidRPr="004C78D8">
        <w:t xml:space="preserve">comprehensive geriatric assessment (CGA) </w:t>
      </w:r>
      <w:r w:rsidR="0037286A" w:rsidRPr="004C78D8">
        <w:t xml:space="preserve">which seeks to </w:t>
      </w:r>
      <w:r w:rsidR="005F5FD3" w:rsidRPr="004C78D8">
        <w:t>simultaneously assess</w:t>
      </w:r>
      <w:r w:rsidR="0037286A" w:rsidRPr="004C78D8">
        <w:t xml:space="preserve"> an older person’s medical, psychosocial, functional, and environmental needs </w:t>
      </w:r>
      <w:r w:rsidR="0037286A" w:rsidRPr="004C78D8">
        <w:fldChar w:fldCharType="begin"/>
      </w:r>
      <w:r w:rsidR="00513646" w:rsidRPr="004C78D8">
        <w:instrText xml:space="preserve"> ADDIN EN.CITE &lt;EndNote&gt;&lt;Cite&gt;&lt;Author&gt;Stuck&lt;/Author&gt;&lt;Year&gt;2011&lt;/Year&gt;&lt;RecNum&gt;478&lt;/RecNum&gt;&lt;DisplayText&gt;[23, 102]&lt;/DisplayText&gt;&lt;record&gt;&lt;rec-number&gt;478&lt;/rec-number&gt;&lt;foreign-keys&gt;&lt;key app="EN" db-id="tdtrdw9aepptzbefsat599syza29sxsd2wsp" timestamp="1616530477"&gt;478&lt;/key&gt;&lt;/foreign-keys&gt;&lt;ref-type name="Journal Article"&gt;17&lt;/ref-type&gt;&lt;contributors&gt;&lt;authors&gt;&lt;author&gt;Stuck, A. E.&lt;/author&gt;&lt;author&gt;Iliffe, S.&lt;/author&gt;&lt;/authors&gt;&lt;/contributors&gt;&lt;titles&gt;&lt;title&gt;Comprehensive geriatric assessment for older adults&lt;/title&gt;&lt;secondary-title&gt;BMJ&lt;/secondary-title&gt;&lt;/titles&gt;&lt;periodical&gt;&lt;full-title&gt;Bmj&lt;/full-title&gt;&lt;/periodical&gt;&lt;pages&gt;d6799&lt;/pages&gt;&lt;volume&gt;343&lt;/volume&gt;&lt;keywords&gt;&lt;keyword&gt;*Geriatric Assessment&lt;/keyword&gt;&lt;keyword&gt;*Hospitalization&lt;/keyword&gt;&lt;keyword&gt;Humans&lt;/keyword&gt;&lt;/keywords&gt;&lt;dates&gt;&lt;year&gt;2011&lt;/year&gt;&lt;pub-dates&gt;&lt;date&gt;Oct 27&lt;/date&gt;&lt;/pub-dates&gt;&lt;/dates&gt;&lt;isbn&gt;1756-1833 (Electronic)&amp;#xD;0959-8138 (Linking)&lt;/isbn&gt;&lt;accession-num&gt;22034147&lt;/accession-num&gt;&lt;urls&gt;&lt;related-urls&gt;&lt;url&gt;https://www.ncbi.nlm.nih.gov/pubmed/22034147&lt;/url&gt;&lt;/related-urls&gt;&lt;/urls&gt;&lt;electronic-resource-num&gt;10.1136/bmj.d6799&lt;/electronic-resource-num&gt;&lt;research-notes&gt;Cited by: Beales and Tulloch (2013)&lt;/research-notes&gt;&lt;/record&gt;&lt;/Cite&gt;&lt;Cite&gt;&lt;Author&gt;Ellis&lt;/Author&gt;&lt;Year&gt;2011&lt;/Year&gt;&lt;RecNum&gt;10&lt;/RecNum&gt;&lt;record&gt;&lt;rec-number&gt;10&lt;/rec-number&gt;&lt;foreign-keys&gt;&lt;key app="EN" db-id="tdtrdw9aepptzbefsat599syza29sxsd2wsp" timestamp="1596618886"&gt;10&lt;/key&gt;&lt;/foreign-keys&gt;&lt;ref-type name="Journal Article"&gt;17&lt;/ref-type&gt;&lt;contributors&gt;&lt;authors&gt;&lt;author&gt;Ellis, Graham&lt;/author&gt;&lt;author&gt;Whitehead, Martin A&lt;/author&gt;&lt;author&gt;Robinson, David&lt;/author&gt;&lt;author&gt;O’Neill, Desmond&lt;/author&gt;&lt;author&gt;Langhorne, Peter&lt;/author&gt;&lt;/authors&gt;&lt;/contributors&gt;&lt;titles&gt;&lt;title&gt;Comprehensive geriatric assessment for older adults admitted to hospital: meta-analysis of randomised controlled trials&lt;/title&gt;&lt;secondary-title&gt;Bmj&lt;/secondary-title&gt;&lt;/titles&gt;&lt;periodical&gt;&lt;full-title&gt;Bmj&lt;/full-title&gt;&lt;/periodical&gt;&lt;pages&gt;d6553&lt;/pages&gt;&lt;volume&gt;343&lt;/volume&gt;&lt;dates&gt;&lt;year&gt;2011&lt;/year&gt;&lt;/dates&gt;&lt;isbn&gt;0959-8138&lt;/isbn&gt;&lt;urls&gt;&lt;/urls&gt;&lt;/record&gt;&lt;/Cite&gt;&lt;/EndNote&gt;</w:instrText>
      </w:r>
      <w:r w:rsidR="0037286A" w:rsidRPr="004C78D8">
        <w:fldChar w:fldCharType="separate"/>
      </w:r>
      <w:r w:rsidR="00513646" w:rsidRPr="004C78D8">
        <w:rPr>
          <w:noProof/>
        </w:rPr>
        <w:t>[23, 102]</w:t>
      </w:r>
      <w:r w:rsidR="0037286A" w:rsidRPr="004C78D8">
        <w:fldChar w:fldCharType="end"/>
      </w:r>
      <w:r w:rsidR="0037286A" w:rsidRPr="004C78D8">
        <w:t xml:space="preserve">. </w:t>
      </w:r>
      <w:r w:rsidR="005F5FD3" w:rsidRPr="004C78D8">
        <w:t xml:space="preserve">A corollary of (1) is the resource-intensive nature of operating a multidisciplinary team for assessments and treatments. </w:t>
      </w:r>
    </w:p>
    <w:p w14:paraId="67618867" w14:textId="3BCD4A3C" w:rsidR="005847E6" w:rsidRPr="004C78D8" w:rsidRDefault="005F5FD3" w:rsidP="00FB7C1F">
      <w:r w:rsidRPr="004C78D8">
        <w:t xml:space="preserve">Holistic outcomes </w:t>
      </w:r>
      <w:r w:rsidR="0087740A" w:rsidRPr="004C78D8">
        <w:t xml:space="preserve">of </w:t>
      </w:r>
      <w:r w:rsidRPr="004C78D8">
        <w:t xml:space="preserve">(2) are required to measure the impacts of </w:t>
      </w:r>
      <w:r w:rsidR="007808CC" w:rsidRPr="004C78D8">
        <w:t>multidi</w:t>
      </w:r>
      <w:r w:rsidR="0087740A" w:rsidRPr="004C78D8">
        <w:t>mensional</w:t>
      </w:r>
      <w:r w:rsidR="007808CC" w:rsidRPr="004C78D8">
        <w:t xml:space="preserve"> intervention</w:t>
      </w:r>
      <w:r w:rsidR="0087740A" w:rsidRPr="004C78D8">
        <w:t>s</w:t>
      </w:r>
      <w:r w:rsidR="007808CC" w:rsidRPr="004C78D8">
        <w:t xml:space="preserve">. The ICEpop index of CAPability for Older people (ICECAP-O), for example, has been developed to capture older persons’ capability encompassing their social connectedness and independence </w:t>
      </w:r>
      <w:r w:rsidR="007808CC" w:rsidRPr="004C78D8">
        <w:fldChar w:fldCharType="begin">
          <w:fldData xml:space="preserve">PEVuZE5vdGU+PENpdGU+PEF1dGhvcj5HcmV3YWw8L0F1dGhvcj48WWVhcj4yMDA2PC9ZZWFyPjxS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</w:fldData>
        </w:fldChar>
      </w:r>
      <w:r w:rsidR="00513646" w:rsidRPr="004C78D8">
        <w:instrText xml:space="preserve"> ADDIN EN.CITE </w:instrText>
      </w:r>
      <w:r w:rsidR="00513646" w:rsidRPr="004C78D8">
        <w:fldChar w:fldCharType="begin">
          <w:fldData xml:space="preserve">PEVuZE5vdGU+PENpdGU+PEF1dGhvcj5HcmV3YWw8L0F1dGhvcj48WWVhcj4yMDA2PC9ZZWFyPjxS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</w:fldData>
        </w:fldChar>
      </w:r>
      <w:r w:rsidR="00513646" w:rsidRPr="004C78D8">
        <w:instrText xml:space="preserve"> ADDIN EN.CITE.DATA </w:instrText>
      </w:r>
      <w:r w:rsidR="00513646" w:rsidRPr="004C78D8">
        <w:fldChar w:fldCharType="end"/>
      </w:r>
      <w:r w:rsidR="007808CC" w:rsidRPr="004C78D8">
        <w:fldChar w:fldCharType="separate"/>
      </w:r>
      <w:r w:rsidR="00513646" w:rsidRPr="004C78D8">
        <w:rPr>
          <w:noProof/>
        </w:rPr>
        <w:t>[103-105]</w:t>
      </w:r>
      <w:r w:rsidR="007808CC" w:rsidRPr="004C78D8">
        <w:fldChar w:fldCharType="end"/>
      </w:r>
      <w:r w:rsidR="007808CC" w:rsidRPr="004C78D8">
        <w:t xml:space="preserve">. Likewise, the Extending the QALY (E-QALY) measure is currently being developed to capture multidimensional impacts of public health interventions (for all age groups) that are broader than those captured by existing health utility measures such as EQ-5D </w:t>
      </w:r>
      <w:r w:rsidR="007808CC" w:rsidRPr="004C78D8">
        <w:fldChar w:fldCharType="begin"/>
      </w:r>
      <w:r w:rsidR="00513646" w:rsidRPr="004C78D8">
        <w:instrText xml:space="preserve"> ADDIN EN.CITE &lt;EndNote&gt;&lt;Cite&gt;&lt;Author&gt;Brazier&lt;/Author&gt;&lt;Year&gt;2018&lt;/Year&gt;&lt;RecNum&gt;776&lt;/RecNum&gt;&lt;DisplayText&gt;[106]&lt;/DisplayText&gt;&lt;record&gt;&lt;rec-number&gt;776&lt;/rec-number&gt;&lt;foreign-keys&gt;&lt;key app="EN" db-id="tdtrdw9aepptzbefsat599syza29sxsd2wsp" timestamp="1641501537"&gt;776&lt;/key&gt;&lt;/foreign-keys&gt;&lt;ref-type name="Manuscript"&gt;36&lt;/ref-type&gt;&lt;contributors&gt;&lt;authors&gt;&lt;author&gt;Brazier, J. E.&lt;/author&gt;&lt;/authors&gt;&lt;secondary-authors&gt;&lt;author&gt;University of Sheffield&lt;/author&gt;&lt;/secondary-authors&gt;&lt;/contributors&gt;&lt;titles&gt;&lt;title&gt;Extending the QALY: generating, selecting and testing items for a new generic measure of quality of life – preliminary results&lt;/title&gt;&lt;secondary-title&gt;Paper for EQ Plenary Meeting in Lisbon, Portugal September 2018&lt;/secondary-title&gt;&lt;/titles&gt;&lt;dates&gt;&lt;year&gt;2018&lt;/year&gt;&lt;/dates&gt;&lt;urls&gt;&lt;/urls&gt;&lt;/record&gt;&lt;/Cite&gt;&lt;/EndNote&gt;</w:instrText>
      </w:r>
      <w:r w:rsidR="007808CC" w:rsidRPr="004C78D8">
        <w:fldChar w:fldCharType="separate"/>
      </w:r>
      <w:r w:rsidR="00513646" w:rsidRPr="004C78D8">
        <w:rPr>
          <w:noProof/>
        </w:rPr>
        <w:t>[106]</w:t>
      </w:r>
      <w:r w:rsidR="007808CC" w:rsidRPr="004C78D8">
        <w:fldChar w:fldCharType="end"/>
      </w:r>
      <w:r w:rsidR="007808CC" w:rsidRPr="004C78D8">
        <w:t>.</w:t>
      </w:r>
      <w:r w:rsidR="00D37D57" w:rsidRPr="004C78D8">
        <w:t xml:space="preserve"> </w:t>
      </w:r>
      <w:r w:rsidR="005847E6" w:rsidRPr="004C78D8">
        <w:t xml:space="preserve">The principle </w:t>
      </w:r>
      <w:r w:rsidR="00E13E43" w:rsidRPr="004C78D8">
        <w:t xml:space="preserve">applies to the economic outcomes; the economic evaluation should capture not only the direct economic consequences of a given disease or syndrome but also the indirect and comorbidity care costs, including those incurred during life years extended by the intervention </w:t>
      </w:r>
      <w:r w:rsidR="00E13E43" w:rsidRPr="004C78D8">
        <w:fldChar w:fldCharType="begin"/>
      </w:r>
      <w:r w:rsidR="00513646" w:rsidRPr="004C78D8">
        <w:instrText xml:space="preserve"> ADDIN EN.CITE &lt;EndNote&gt;&lt;Cite&gt;&lt;Author&gt;Huter&lt;/Author&gt;&lt;Year&gt;2016&lt;/Year&gt;&lt;RecNum&gt;7&lt;/RecNum&gt;&lt;DisplayText&gt;[83]&lt;/DisplayText&gt;&lt;record&gt;&lt;rec-number&gt;7&lt;/rec-number&gt;&lt;foreign-keys&gt;&lt;key app="EN" db-id="tdtrdw9aepptzbefsat599syza29sxsd2wsp" timestamp="1596571805"&gt;7&lt;/key&gt;&lt;/foreign-keys&gt;&lt;ref-type name="Journal Article"&gt;17&lt;/ref-type&gt;&lt;contributors&gt;&lt;authors&gt;&lt;author&gt;Huter, Kai&lt;/author&gt;&lt;author&gt;Kocot, Ewa&lt;/author&gt;&lt;author&gt;Kissimova-Skarbek, Katarzyna&lt;/author&gt;&lt;author&gt;Dubas-Jakóbczyk, Katarzyna&lt;/author&gt;&lt;author&gt;Rothgang, Heinz&lt;/author&gt;&lt;/authors&gt;&lt;/contributors&gt;&lt;titles&gt;&lt;title&gt;Economic evaluation of health promotion for older people-methodological problems and challenges&lt;/title&gt;&lt;secondary-title&gt;BMC health services research&lt;/secondary-title&gt;&lt;/titles&gt;&lt;periodical&gt;&lt;full-title&gt;BMC health services research&lt;/full-title&gt;&lt;/periodical&gt;&lt;pages&gt;328&lt;/pages&gt;&lt;volume&gt;16&lt;/volume&gt;&lt;number&gt;5&lt;/number&gt;&lt;dates&gt;&lt;year&gt;2016&lt;/year&gt;&lt;/dates&gt;&lt;isbn&gt;1472-6963&lt;/isbn&gt;&lt;urls&gt;&lt;/urls&gt;&lt;/record&gt;&lt;/Cite&gt;&lt;/EndNote&gt;</w:instrText>
      </w:r>
      <w:r w:rsidR="00E13E43" w:rsidRPr="004C78D8">
        <w:fldChar w:fldCharType="separate"/>
      </w:r>
      <w:r w:rsidR="00513646" w:rsidRPr="004C78D8">
        <w:rPr>
          <w:noProof/>
        </w:rPr>
        <w:t>[83]</w:t>
      </w:r>
      <w:r w:rsidR="00E13E43" w:rsidRPr="004C78D8">
        <w:fldChar w:fldCharType="end"/>
      </w:r>
      <w:r w:rsidR="00E13E43" w:rsidRPr="004C78D8">
        <w:t xml:space="preserve">. A corollary to (2) is that the outcomes should ideally be assessed at the </w:t>
      </w:r>
      <w:r w:rsidR="00E13E43" w:rsidRPr="004C78D8">
        <w:rPr>
          <w:i/>
          <w:iCs/>
        </w:rPr>
        <w:t>individual</w:t>
      </w:r>
      <w:r w:rsidR="00E13E43" w:rsidRPr="004C78D8">
        <w:t xml:space="preserve"> level rather than as impersonal averages or totals. For example, the number of individuals enjoying productive later years is a more relevant outcome in the context of person-centred care than the total monetary value of productivity at the population level.</w:t>
      </w:r>
    </w:p>
    <w:p w14:paraId="4F216FE9" w14:textId="72239EE6" w:rsidR="00AA556E" w:rsidRPr="004C78D8" w:rsidRDefault="00AA556E" w:rsidP="00FB7C1F">
      <w:pPr>
        <w:pStyle w:val="Heading4"/>
      </w:pPr>
      <w:r w:rsidRPr="004C78D8">
        <w:t>1.3.2.2 Handling heterogeneity at population level</w:t>
      </w:r>
    </w:p>
    <w:p w14:paraId="323533B2" w14:textId="3CC932BD" w:rsidR="00AA556E" w:rsidRPr="004C78D8" w:rsidRDefault="00AA556E" w:rsidP="00FB7C1F">
      <w:r w:rsidRPr="004C78D8">
        <w:t xml:space="preserve">The complexity </w:t>
      </w:r>
      <w:r w:rsidR="004247C2" w:rsidRPr="004C78D8">
        <w:t xml:space="preserve">of needs </w:t>
      </w:r>
      <w:r w:rsidRPr="004C78D8">
        <w:t xml:space="preserve">at </w:t>
      </w:r>
      <w:r w:rsidR="00E13E43" w:rsidRPr="004C78D8">
        <w:t xml:space="preserve">the </w:t>
      </w:r>
      <w:r w:rsidRPr="004C78D8">
        <w:t xml:space="preserve">individual level translates to heterogeneity at </w:t>
      </w:r>
      <w:r w:rsidR="00E13E43" w:rsidRPr="004C78D8">
        <w:t xml:space="preserve">the </w:t>
      </w:r>
      <w:r w:rsidRPr="004C78D8">
        <w:t xml:space="preserve">population level. Geriatric public health commissioners would likely oversee several subgroups within the target population defined by heterogeneous risks, intervention needs and capacities to benefit. </w:t>
      </w:r>
      <w:r w:rsidR="00E26AB3" w:rsidRPr="004C78D8">
        <w:t xml:space="preserve">The first implication of heterogeneity is the need for commissioners to consider </w:t>
      </w:r>
      <w:r w:rsidRPr="004C78D8">
        <w:t xml:space="preserve">multiple parallel </w:t>
      </w:r>
      <w:r w:rsidR="00E26AB3" w:rsidRPr="004C78D8">
        <w:t xml:space="preserve">(i.e., non-mutually exclusive) </w:t>
      </w:r>
      <w:r w:rsidRPr="004C78D8">
        <w:t xml:space="preserve">intervention pathways accessible to different older subgroups depending on their </w:t>
      </w:r>
      <w:r w:rsidRPr="004C78D8">
        <w:lastRenderedPageBreak/>
        <w:t xml:space="preserve">characteristics and needs. </w:t>
      </w:r>
      <w:r w:rsidR="00E26AB3" w:rsidRPr="004C78D8">
        <w:t>The optimal commissioning strategy would place different resource priorities across the pathways rather than choose one as a mutually exclusive alternative to others.</w:t>
      </w:r>
      <w:r w:rsidR="00652D5A" w:rsidRPr="004C78D8">
        <w:t xml:space="preserve"> A corollary is the need for a population-wide risk identification infrastructure to identify distinct subgroups. </w:t>
      </w:r>
    </w:p>
    <w:p w14:paraId="3E0D0A6E" w14:textId="709F6672" w:rsidR="00AA556E" w:rsidRPr="004C78D8" w:rsidRDefault="00E26AB3" w:rsidP="00FB7C1F">
      <w:r w:rsidRPr="004C78D8">
        <w:t>The second implication of heterogeneity is the introduction of</w:t>
      </w:r>
      <w:r w:rsidR="00AA556E" w:rsidRPr="004C78D8">
        <w:t xml:space="preserve"> priority setting challenges that extend beyond </w:t>
      </w:r>
      <w:r w:rsidRPr="004C78D8">
        <w:t xml:space="preserve">the </w:t>
      </w:r>
      <w:r w:rsidR="00AA556E" w:rsidRPr="004C78D8">
        <w:t xml:space="preserve">consideration of cost-effectiveness alone </w:t>
      </w:r>
      <w:r w:rsidR="00AA556E" w:rsidRPr="004C78D8">
        <w:fldChar w:fldCharType="begin"/>
      </w:r>
      <w:r w:rsidR="00513646" w:rsidRPr="004C78D8">
        <w:instrText xml:space="preserve"> ADDIN EN.CITE &lt;EndNote&gt;&lt;Cite&gt;&lt;Author&gt;Norheim&lt;/Author&gt;&lt;Year&gt;2014&lt;/Year&gt;&lt;RecNum&gt;4&lt;/RecNum&gt;&lt;DisplayText&gt;[71]&lt;/DisplayText&gt;&lt;record&gt;&lt;rec-number&gt;4&lt;/rec-number&gt;&lt;foreign-keys&gt;&lt;key app="EN" db-id="tdtrdw9aepptzbefsat599syza29sxsd2wsp" timestamp="1596571466"&gt;4&lt;/key&gt;&lt;/foreign-keys&gt;&lt;ref-type name="Journal Article"&gt;17&lt;/ref-type&gt;&lt;contributors&gt;&lt;authors&gt;&lt;author&gt;Norheim, Ole F&lt;/author&gt;&lt;author&gt;Baltussen, Rob&lt;/author&gt;&lt;author&gt;Johri, Mira&lt;/author&gt;&lt;author&gt;Chisholm, Dan&lt;/author&gt;&lt;author&gt;Nord, Erik&lt;/author&gt;&lt;author&gt;Brock, DanW&lt;/author&gt;&lt;author&gt;Carlsson, Per&lt;/author&gt;&lt;author&gt;Cookson, Richard&lt;/author&gt;&lt;author&gt;Daniels, Norman&lt;/author&gt;&lt;author&gt;Danis, Marion&lt;/author&gt;&lt;/authors&gt;&lt;/contributors&gt;&lt;titles&gt;&lt;title&gt;Guidance on priority setting in health care (GPS-Health): the inclusion of equity criteria not captured by cost-effectiveness analysis&lt;/title&gt;&lt;secondary-title&gt;Cost Effectiveness and Resource Allocation&lt;/secondary-title&gt;&lt;/titles&gt;&lt;periodical&gt;&lt;full-title&gt;Cost Effectiveness and Resource Allocation&lt;/full-title&gt;&lt;/periodical&gt;&lt;pages&gt;18&lt;/pages&gt;&lt;volume&gt;12&lt;/volume&gt;&lt;number&gt;1&lt;/number&gt;&lt;dates&gt;&lt;year&gt;2014&lt;/year&gt;&lt;/dates&gt;&lt;isbn&gt;1478-7547&lt;/isbn&gt;&lt;urls&gt;&lt;/urls&gt;&lt;/record&gt;&lt;/Cite&gt;&lt;/EndNote&gt;</w:instrText>
      </w:r>
      <w:r w:rsidR="00AA556E" w:rsidRPr="004C78D8">
        <w:fldChar w:fldCharType="separate"/>
      </w:r>
      <w:r w:rsidR="00513646" w:rsidRPr="004C78D8">
        <w:rPr>
          <w:noProof/>
        </w:rPr>
        <w:t>[71]</w:t>
      </w:r>
      <w:r w:rsidR="00AA556E" w:rsidRPr="004C78D8">
        <w:fldChar w:fldCharType="end"/>
      </w:r>
      <w:r w:rsidR="00AA556E" w:rsidRPr="004C78D8">
        <w:t xml:space="preserve">. Specifically, the frailest and/or the most socially deprived (these categories often overlap) older subgroups are unlikely to yield favourable cost-effectiveness outcomes due to: (i) shorter remaining life expectancy from which to derive health benefits; and/or (ii) the ‘double jeopardy’ problem whereby vulnerable subgroups derive lower intervention efficacy and/or poor implementation quality owing to underlying barriers (e.g., intervention contraindicated by comorbidities, intervention uptake hampered by low disposable income) </w:t>
      </w:r>
      <w:r w:rsidR="00AA556E" w:rsidRPr="004C78D8">
        <w:fldChar w:fldCharType="begin"/>
      </w:r>
      <w:r w:rsidR="00513646" w:rsidRPr="004C78D8">
        <w:instrText xml:space="preserve"> ADDIN EN.CITE &lt;EndNote&gt;&lt;Cite&gt;&lt;Author&gt;Edlin&lt;/Author&gt;&lt;Year&gt;2008&lt;/Year&gt;&lt;RecNum&gt;485&lt;/RecNum&gt;&lt;DisplayText&gt;[107]&lt;/DisplayText&gt;&lt;record&gt;&lt;rec-number&gt;485&lt;/rec-number&gt;&lt;foreign-keys&gt;&lt;key app="EN" db-id="tdtrdw9aepptzbefsat599syza29sxsd2wsp" timestamp="1616691066"&gt;485&lt;/key&gt;&lt;/foreign-keys&gt;&lt;ref-type name="Journal Article"&gt;17&lt;/ref-type&gt;&lt;contributors&gt;&lt;authors&gt;&lt;author&gt;Edlin, Richard&lt;/author&gt;&lt;author&gt;Round, Jeff&lt;/author&gt;&lt;author&gt;McCabe, Christopher&lt;/author&gt;&lt;author&gt;Sculpher, Mark&lt;/author&gt;&lt;author&gt;Claxton, Karl&lt;/author&gt;&lt;author&gt;Cookson, Richard&lt;/author&gt;&lt;/authors&gt;&lt;/contributors&gt;&lt;titles&gt;&lt;title&gt;Cost-effectiveness analysis and ageism: a review of the theoretical literature&lt;/title&gt;&lt;secondary-title&gt;A report for the department of health. Leeds: University of Leeds&lt;/secondary-title&gt;&lt;/titles&gt;&lt;periodical&gt;&lt;full-title&gt;A report for the department of health. Leeds: University of Leeds&lt;/full-title&gt;&lt;/periodical&gt;&lt;dates&gt;&lt;year&gt;2008&lt;/year&gt;&lt;/dates&gt;&lt;urls&gt;&lt;/urls&gt;&lt;/record&gt;&lt;/Cite&gt;&lt;/EndNote&gt;</w:instrText>
      </w:r>
      <w:r w:rsidR="00AA556E" w:rsidRPr="004C78D8">
        <w:fldChar w:fldCharType="separate"/>
      </w:r>
      <w:r w:rsidR="00513646" w:rsidRPr="004C78D8">
        <w:rPr>
          <w:noProof/>
        </w:rPr>
        <w:t>[107]</w:t>
      </w:r>
      <w:r w:rsidR="00AA556E" w:rsidRPr="004C78D8">
        <w:fldChar w:fldCharType="end"/>
      </w:r>
      <w:r w:rsidR="00AA556E" w:rsidRPr="004C78D8">
        <w:t xml:space="preserve">. </w:t>
      </w:r>
      <w:r w:rsidR="00EC1479" w:rsidRPr="004C78D8">
        <w:t>A</w:t>
      </w:r>
      <w:r w:rsidR="00AA556E" w:rsidRPr="004C78D8">
        <w:t xml:space="preserve"> commissioning strategy </w:t>
      </w:r>
      <w:r w:rsidR="00EC1479" w:rsidRPr="004C78D8">
        <w:t xml:space="preserve">that selects the most cost-effective intervention(s) may </w:t>
      </w:r>
      <w:r w:rsidR="00AA556E" w:rsidRPr="004C78D8">
        <w:t xml:space="preserve">worsen </w:t>
      </w:r>
      <w:r w:rsidR="00EC1479" w:rsidRPr="004C78D8">
        <w:t xml:space="preserve">the </w:t>
      </w:r>
      <w:r w:rsidR="00AA556E" w:rsidRPr="004C78D8">
        <w:t xml:space="preserve">existing </w:t>
      </w:r>
      <w:r w:rsidR="00EC1479" w:rsidRPr="004C78D8">
        <w:t>health inequities</w:t>
      </w:r>
      <w:r w:rsidR="00AA556E" w:rsidRPr="004C78D8">
        <w:t>; alternative strategies may be preferred depending on the decision-maker’s pre-established equity criteria</w:t>
      </w:r>
      <w:r w:rsidR="00767DD4">
        <w:t xml:space="preserve"> if these exist</w:t>
      </w:r>
      <w:r w:rsidR="00AA556E" w:rsidRPr="004C78D8">
        <w:t xml:space="preserve"> </w:t>
      </w:r>
      <w:r w:rsidR="00AA556E" w:rsidRPr="004C78D8">
        <w:fldChar w:fldCharType="begin">
          <w:fldData xml:space="preserve">PEVuZE5vdGU+PENpdGU+PEF1dGhvcj5Db29rc29uPC9BdXRob3I+PFllYXI+MjAwOTwvWWVhcj48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=
</w:fldData>
        </w:fldChar>
      </w:r>
      <w:r w:rsidR="00513646" w:rsidRPr="004C78D8">
        <w:instrText xml:space="preserve"> ADDIN EN.CITE </w:instrText>
      </w:r>
      <w:r w:rsidR="00513646" w:rsidRPr="004C78D8">
        <w:fldChar w:fldCharType="begin">
          <w:fldData xml:space="preserve">PEVuZE5vdGU+PENpdGU+PEF1dGhvcj5Db29rc29uPC9BdXRob3I+PFllYXI+MjAwOTwvWWVhcj48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=
</w:fldData>
        </w:fldChar>
      </w:r>
      <w:r w:rsidR="00513646" w:rsidRPr="004C78D8">
        <w:instrText xml:space="preserve"> ADDIN EN.CITE.DATA </w:instrText>
      </w:r>
      <w:r w:rsidR="00513646" w:rsidRPr="004C78D8">
        <w:fldChar w:fldCharType="end"/>
      </w:r>
      <w:r w:rsidR="00AA556E" w:rsidRPr="004C78D8">
        <w:fldChar w:fldCharType="separate"/>
      </w:r>
      <w:r w:rsidR="00513646" w:rsidRPr="004C78D8">
        <w:rPr>
          <w:noProof/>
        </w:rPr>
        <w:t>[72, 108, 109]</w:t>
      </w:r>
      <w:r w:rsidR="00AA556E" w:rsidRPr="004C78D8">
        <w:fldChar w:fldCharType="end"/>
      </w:r>
      <w:r w:rsidR="00AA556E" w:rsidRPr="004C78D8">
        <w:t xml:space="preserve">. </w:t>
      </w:r>
    </w:p>
    <w:p w14:paraId="348D61A8" w14:textId="776DE501" w:rsidR="00CC038F" w:rsidRPr="004C78D8" w:rsidRDefault="005E3F1B" w:rsidP="00FB7C1F">
      <w:pPr>
        <w:pStyle w:val="Heading4"/>
      </w:pPr>
      <w:r w:rsidRPr="004C78D8">
        <w:t>1.3.2.</w:t>
      </w:r>
      <w:r w:rsidR="00AA556E" w:rsidRPr="004C78D8">
        <w:t>3</w:t>
      </w:r>
      <w:r w:rsidRPr="004C78D8">
        <w:t xml:space="preserve"> </w:t>
      </w:r>
      <w:r w:rsidR="001B7C58" w:rsidRPr="004C78D8">
        <w:t>High i</w:t>
      </w:r>
      <w:r w:rsidRPr="004C78D8">
        <w:t>ntegration of care</w:t>
      </w:r>
    </w:p>
    <w:p w14:paraId="27CE8FE5" w14:textId="3E17F6BC" w:rsidR="004A5D04" w:rsidRPr="004C78D8" w:rsidRDefault="003B7875" w:rsidP="00FB7C1F">
      <w:r w:rsidRPr="004C78D8">
        <w:t xml:space="preserve">This </w:t>
      </w:r>
      <w:r w:rsidR="001B7C58" w:rsidRPr="004C78D8">
        <w:t xml:space="preserve">quality underscores </w:t>
      </w:r>
      <w:r w:rsidR="002D7FBF" w:rsidRPr="004C78D8">
        <w:t xml:space="preserve">the </w:t>
      </w:r>
      <w:r w:rsidR="00920D4A" w:rsidRPr="004C78D8">
        <w:t xml:space="preserve">potential of </w:t>
      </w:r>
      <w:r w:rsidRPr="004C78D8">
        <w:t>geriatric public health scheme</w:t>
      </w:r>
      <w:r w:rsidR="007D6547" w:rsidRPr="004C78D8">
        <w:t>s</w:t>
      </w:r>
      <w:r w:rsidR="001B7C58" w:rsidRPr="004C78D8">
        <w:t xml:space="preserve"> or </w:t>
      </w:r>
      <w:r w:rsidRPr="004C78D8">
        <w:t>package</w:t>
      </w:r>
      <w:r w:rsidR="007D6547" w:rsidRPr="004C78D8">
        <w:t>s</w:t>
      </w:r>
      <w:r w:rsidR="00920D4A" w:rsidRPr="004C78D8">
        <w:t xml:space="preserve"> to integrate </w:t>
      </w:r>
      <w:r w:rsidR="001B7C58" w:rsidRPr="004C78D8">
        <w:t xml:space="preserve">diverse intervention </w:t>
      </w:r>
      <w:r w:rsidR="00920D4A" w:rsidRPr="004C78D8">
        <w:t xml:space="preserve">options </w:t>
      </w:r>
      <w:r w:rsidR="007D6547" w:rsidRPr="004C78D8">
        <w:t>that influence</w:t>
      </w:r>
      <w:r w:rsidR="001B7C58" w:rsidRPr="004C78D8">
        <w:t xml:space="preserve"> geriatric health and thereby generate </w:t>
      </w:r>
      <w:r w:rsidR="00920D4A" w:rsidRPr="004C78D8">
        <w:t>synergies</w:t>
      </w:r>
      <w:r w:rsidR="007D6547" w:rsidRPr="004C78D8">
        <w:t xml:space="preserve"> between them</w:t>
      </w:r>
      <w:r w:rsidRPr="004C78D8">
        <w:t xml:space="preserve">. </w:t>
      </w:r>
      <w:r w:rsidR="00892077" w:rsidRPr="004C78D8">
        <w:t xml:space="preserve">Indeed, </w:t>
      </w:r>
      <w:r w:rsidR="00637A2B" w:rsidRPr="004C78D8">
        <w:t xml:space="preserve">a </w:t>
      </w:r>
      <w:r w:rsidR="007D6547" w:rsidRPr="004C78D8">
        <w:t>high level of integration is required to enable</w:t>
      </w:r>
      <w:r w:rsidR="001B7C58" w:rsidRPr="004C78D8">
        <w:t xml:space="preserve"> </w:t>
      </w:r>
      <w:r w:rsidR="0095175D" w:rsidRPr="004C78D8">
        <w:t xml:space="preserve">the </w:t>
      </w:r>
      <w:r w:rsidR="00892077" w:rsidRPr="004C78D8">
        <w:t xml:space="preserve">person-centred </w:t>
      </w:r>
      <w:r w:rsidR="0095175D" w:rsidRPr="004C78D8">
        <w:t>multidisciplinary assessment and treatment described above</w:t>
      </w:r>
      <w:r w:rsidR="00892077" w:rsidRPr="004C78D8">
        <w:t>.</w:t>
      </w:r>
      <w:r w:rsidR="001B7C58" w:rsidRPr="004C78D8">
        <w:t xml:space="preserve"> </w:t>
      </w:r>
      <w:r w:rsidR="00892077" w:rsidRPr="004C78D8">
        <w:t>A</w:t>
      </w:r>
      <w:r w:rsidR="001B7C58" w:rsidRPr="004C78D8">
        <w:t xml:space="preserve"> distinction can be drawn between </w:t>
      </w:r>
      <w:r w:rsidR="00236157" w:rsidRPr="004C78D8">
        <w:t xml:space="preserve">‘multi-need’ </w:t>
      </w:r>
      <w:r w:rsidR="00DC7A92" w:rsidRPr="004C78D8">
        <w:t>integrat</w:t>
      </w:r>
      <w:r w:rsidR="00892077" w:rsidRPr="004C78D8">
        <w:t xml:space="preserve">ion </w:t>
      </w:r>
      <w:r w:rsidR="00236157" w:rsidRPr="004C78D8">
        <w:t xml:space="preserve">practices </w:t>
      </w:r>
      <w:r w:rsidR="00DC7A92" w:rsidRPr="004C78D8">
        <w:t xml:space="preserve">that </w:t>
      </w:r>
      <w:r w:rsidR="007D6547" w:rsidRPr="004C78D8">
        <w:t xml:space="preserve">concurrently </w:t>
      </w:r>
      <w:r w:rsidR="00DC7A92" w:rsidRPr="004C78D8">
        <w:t>target multiple diseases and need</w:t>
      </w:r>
      <w:r w:rsidR="00892077" w:rsidRPr="004C78D8">
        <w:t xml:space="preserve">s of individuals – e.g., a multimorbidity management scheme that integrates </w:t>
      </w:r>
      <w:r w:rsidR="00B411FA" w:rsidRPr="004C78D8">
        <w:t>preventive</w:t>
      </w:r>
      <w:r w:rsidR="00836786" w:rsidRPr="004C78D8">
        <w:t xml:space="preserve"> practices for major chronic conditions and risk factors including diabetes, cardiovascular disease, </w:t>
      </w:r>
      <w:r w:rsidR="00B411FA" w:rsidRPr="004C78D8">
        <w:t>asthma and smoking</w:t>
      </w:r>
      <w:r w:rsidR="00836786" w:rsidRPr="004C78D8">
        <w:t xml:space="preserve"> </w:t>
      </w:r>
      <w:r w:rsidR="00836786" w:rsidRPr="004C78D8">
        <w:fldChar w:fldCharType="begin"/>
      </w:r>
      <w:r w:rsidR="00513646" w:rsidRPr="004C78D8">
        <w:instrText xml:space="preserve"> ADDIN EN.CITE &lt;EndNote&gt;&lt;Cite&gt;&lt;Author&gt;Contant&lt;/Author&gt;&lt;Year&gt;2019&lt;/Year&gt;&lt;RecNum&gt;777&lt;/RecNum&gt;&lt;DisplayText&gt;[110]&lt;/DisplayText&gt;&lt;record&gt;&lt;rec-number&gt;777&lt;/rec-number&gt;&lt;foreign-keys&gt;&lt;key app="EN" db-id="tdtrdw9aepptzbefsat599syza29sxsd2wsp" timestamp="1641554307"&gt;777&lt;/key&gt;&lt;/foreign-keys&gt;&lt;ref-type name="Journal Article"&gt;17&lt;/ref-type&gt;&lt;contributors&gt;&lt;authors&gt;&lt;author&gt;Contant, Éric&lt;/author&gt;&lt;author&gt;Loignon, Christine&lt;/author&gt;&lt;author&gt;Bouhali, Tarek&lt;/author&gt;&lt;author&gt;Almirall, José&lt;/author&gt;&lt;author&gt;Fortin, Martin&lt;/author&gt;&lt;/authors&gt;&lt;/contributors&gt;&lt;titles&gt;&lt;title&gt;A multidisciplinary self-management intervention among patients with multimorbidity and the impact of socioeconomic factors on results&lt;/title&gt;&lt;secondary-title&gt;BMC family practice&lt;/secondary-title&gt;&lt;/titles&gt;&lt;periodical&gt;&lt;full-title&gt;BMC family practice&lt;/full-title&gt;&lt;/periodical&gt;&lt;pages&gt;1-8&lt;/pages&gt;&lt;volume&gt;20&lt;/volume&gt;&lt;number&gt;1&lt;/number&gt;&lt;dates&gt;&lt;year&gt;2019&lt;/year&gt;&lt;/dates&gt;&lt;isbn&gt;1471-2296&lt;/isbn&gt;&lt;urls&gt;&lt;/urls&gt;&lt;/record&gt;&lt;/Cite&gt;&lt;/EndNote&gt;</w:instrText>
      </w:r>
      <w:r w:rsidR="00836786" w:rsidRPr="004C78D8">
        <w:fldChar w:fldCharType="separate"/>
      </w:r>
      <w:r w:rsidR="00513646" w:rsidRPr="004C78D8">
        <w:rPr>
          <w:noProof/>
        </w:rPr>
        <w:t>[110]</w:t>
      </w:r>
      <w:r w:rsidR="00836786" w:rsidRPr="004C78D8">
        <w:fldChar w:fldCharType="end"/>
      </w:r>
      <w:r w:rsidR="007D6547" w:rsidRPr="004C78D8">
        <w:t xml:space="preserve"> – and </w:t>
      </w:r>
      <w:r w:rsidR="00236157" w:rsidRPr="004C78D8">
        <w:t xml:space="preserve">‘single-need’ </w:t>
      </w:r>
      <w:r w:rsidR="00F02CB6" w:rsidRPr="004C78D8">
        <w:t xml:space="preserve">integration </w:t>
      </w:r>
      <w:r w:rsidR="007D6547" w:rsidRPr="004C78D8">
        <w:t>practices that bring together multiple disciplines for addressing a single need</w:t>
      </w:r>
      <w:r w:rsidR="003B10E6" w:rsidRPr="004C78D8">
        <w:t>. The latter would have</w:t>
      </w:r>
      <w:r w:rsidR="00236157" w:rsidRPr="004C78D8">
        <w:t xml:space="preserve"> several sub-categories of needs requiring the multidisciplinary </w:t>
      </w:r>
      <w:r w:rsidR="009B4B75" w:rsidRPr="004C78D8">
        <w:t>contributions</w:t>
      </w:r>
      <w:r w:rsidR="007D6547" w:rsidRPr="004C78D8">
        <w:t xml:space="preserve">. Multifactorial falls prevention that integrates the </w:t>
      </w:r>
      <w:r w:rsidR="00236157" w:rsidRPr="004C78D8">
        <w:t>inputs of geriatricians, physiotherapists, occupational therapists, among others</w:t>
      </w:r>
      <w:r w:rsidR="00DD263A" w:rsidRPr="004C78D8">
        <w:t xml:space="preserve"> to address the multivariate nature of individuals’ falls risk profile</w:t>
      </w:r>
      <w:r w:rsidR="00B411FA" w:rsidRPr="004C78D8">
        <w:t xml:space="preserve"> </w:t>
      </w:r>
      <w:r w:rsidR="00B411FA" w:rsidRPr="004C78D8">
        <w:fldChar w:fldCharType="begin"/>
      </w:r>
      <w:r w:rsidR="00513646" w:rsidRPr="004C78D8">
        <w:instrText xml:space="preserve"> ADDIN EN.CITE &lt;EndNote&gt;&lt;Cite&gt;&lt;Author&gt;Tinetti&lt;/Author&gt;&lt;Year&gt;2003&lt;/Year&gt;&lt;RecNum&gt;496&lt;/RecNum&gt;&lt;DisplayText&gt;[27]&lt;/DisplayText&gt;&lt;record&gt;&lt;rec-number&gt;496&lt;/rec-number&gt;&lt;foreign-keys&gt;&lt;key app="EN" db-id="tdtrdw9aepptzbefsat599syza29sxsd2wsp" timestamp="1617279788"&gt;496&lt;/key&gt;&lt;/foreign-keys&gt;&lt;ref-type name="Journal Article"&gt;17&lt;/ref-type&gt;&lt;contributors&gt;&lt;authors&gt;&lt;author&gt;Tinetti, Mary E&lt;/author&gt;&lt;/authors&gt;&lt;/contributors&gt;&lt;titles&gt;&lt;title&gt;Preventing falls in elderly persons&lt;/title&gt;&lt;secondary-title&gt;New England Journal of Medicine&lt;/secondary-title&gt;&lt;/titles&gt;&lt;periodical&gt;&lt;full-title&gt;New England journal of medicine&lt;/full-title&gt;&lt;/periodical&gt;&lt;pages&gt;42-49&lt;/pages&gt;&lt;volume&gt;348&lt;/volume&gt;&lt;number&gt;1&lt;/number&gt;&lt;dates&gt;&lt;year&gt;2003&lt;/year&gt;&lt;/dates&gt;&lt;isbn&gt;0028-4793&lt;/isbn&gt;&lt;urls&gt;&lt;/urls&gt;&lt;/record&gt;&lt;/Cite&gt;&lt;/EndNote&gt;</w:instrText>
      </w:r>
      <w:r w:rsidR="00B411FA" w:rsidRPr="004C78D8">
        <w:fldChar w:fldCharType="separate"/>
      </w:r>
      <w:r w:rsidR="00513646" w:rsidRPr="004C78D8">
        <w:rPr>
          <w:noProof/>
        </w:rPr>
        <w:t>[27]</w:t>
      </w:r>
      <w:r w:rsidR="00B411FA" w:rsidRPr="004C78D8">
        <w:fldChar w:fldCharType="end"/>
      </w:r>
      <w:r w:rsidR="00236157" w:rsidRPr="004C78D8">
        <w:t xml:space="preserve">, </w:t>
      </w:r>
      <w:r w:rsidR="007D6547" w:rsidRPr="004C78D8">
        <w:t xml:space="preserve">is an example of </w:t>
      </w:r>
      <w:r w:rsidR="008C5A31" w:rsidRPr="004C78D8">
        <w:t>single-need integration</w:t>
      </w:r>
      <w:r w:rsidR="007D6547" w:rsidRPr="004C78D8">
        <w:t xml:space="preserve">. </w:t>
      </w:r>
    </w:p>
    <w:p w14:paraId="691FC4EA" w14:textId="1FA98C47" w:rsidR="00D63F29" w:rsidRPr="004C78D8" w:rsidRDefault="00313C6E" w:rsidP="00FB7C1F">
      <w:r w:rsidRPr="004C78D8">
        <w:t xml:space="preserve">Two </w:t>
      </w:r>
      <w:r w:rsidR="00276880" w:rsidRPr="004C78D8">
        <w:t>further</w:t>
      </w:r>
      <w:r w:rsidR="00B411FA" w:rsidRPr="004C78D8">
        <w:t xml:space="preserve"> </w:t>
      </w:r>
      <w:r w:rsidR="0095175D" w:rsidRPr="004C78D8">
        <w:t>integrati</w:t>
      </w:r>
      <w:r w:rsidR="00B411FA" w:rsidRPr="004C78D8">
        <w:t>ve activities</w:t>
      </w:r>
      <w:r w:rsidR="0095175D" w:rsidRPr="004C78D8">
        <w:t xml:space="preserve"> </w:t>
      </w:r>
      <w:r w:rsidR="00D93620" w:rsidRPr="004C78D8">
        <w:t xml:space="preserve">for geriatric public health </w:t>
      </w:r>
      <w:r w:rsidRPr="004C78D8">
        <w:t>are</w:t>
      </w:r>
      <w:r w:rsidR="00074669" w:rsidRPr="004C78D8">
        <w:t xml:space="preserve">: (1) </w:t>
      </w:r>
      <w:r w:rsidR="00B411FA" w:rsidRPr="004C78D8">
        <w:t>integration with initiatives taken at</w:t>
      </w:r>
      <w:r w:rsidR="00074669" w:rsidRPr="004C78D8">
        <w:t xml:space="preserve"> earlier life stages (life-course integration); and (2) </w:t>
      </w:r>
      <w:r w:rsidR="00510AE5" w:rsidRPr="004C78D8">
        <w:t xml:space="preserve">environmental </w:t>
      </w:r>
      <w:r w:rsidR="001F60F4" w:rsidRPr="004C78D8">
        <w:t>or</w:t>
      </w:r>
      <w:r w:rsidR="00510AE5" w:rsidRPr="004C78D8">
        <w:t xml:space="preserve"> </w:t>
      </w:r>
      <w:r w:rsidR="00074669" w:rsidRPr="004C78D8">
        <w:t>intersectoral integration.</w:t>
      </w:r>
      <w:r w:rsidR="00DD263A" w:rsidRPr="004C78D8">
        <w:t xml:space="preserve"> Regarding (1), t</w:t>
      </w:r>
      <w:r w:rsidR="007A6A9F" w:rsidRPr="004C78D8">
        <w:t>he determinants of health and wellbeing at old age are largely established at earl</w:t>
      </w:r>
      <w:r w:rsidR="00DD263A" w:rsidRPr="004C78D8">
        <w:t>ier</w:t>
      </w:r>
      <w:r w:rsidR="007A6A9F" w:rsidRPr="004C78D8">
        <w:t xml:space="preserve"> life</w:t>
      </w:r>
      <w:r w:rsidR="00DD263A" w:rsidRPr="004C78D8">
        <w:t xml:space="preserve"> stages</w:t>
      </w:r>
      <w:r w:rsidR="007A6A9F" w:rsidRPr="004C78D8">
        <w:t xml:space="preserve"> </w:t>
      </w:r>
      <w:r w:rsidR="00B66B12" w:rsidRPr="004C78D8">
        <w:fldChar w:fldCharType="begin">
          <w:fldData xml:space="preserve">PEVuZE5vdGU+PENpdGU+PEF1dGhvcj5NYXJtb3Q8L0F1dGhvcj48WWVhcj4yMDE1PC9ZZWFyPjxS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==
</w:fldData>
        </w:fldChar>
      </w:r>
      <w:r w:rsidR="00513646" w:rsidRPr="004C78D8">
        <w:instrText xml:space="preserve"> ADDIN EN.CITE </w:instrText>
      </w:r>
      <w:r w:rsidR="00513646" w:rsidRPr="004C78D8">
        <w:fldChar w:fldCharType="begin">
          <w:fldData xml:space="preserve">PEVuZE5vdGU+PENpdGU+PEF1dGhvcj5NYXJtb3Q8L0F1dGhvcj48WWVhcj4yMDE1PC9ZZWFyPjxS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==
</w:fldData>
        </w:fldChar>
      </w:r>
      <w:r w:rsidR="00513646" w:rsidRPr="004C78D8">
        <w:instrText xml:space="preserve"> ADDIN EN.CITE.DATA </w:instrText>
      </w:r>
      <w:r w:rsidR="00513646" w:rsidRPr="004C78D8">
        <w:fldChar w:fldCharType="end"/>
      </w:r>
      <w:r w:rsidR="00B66B12" w:rsidRPr="004C78D8">
        <w:fldChar w:fldCharType="separate"/>
      </w:r>
      <w:r w:rsidR="00513646" w:rsidRPr="004C78D8">
        <w:rPr>
          <w:noProof/>
        </w:rPr>
        <w:t>[10, 111, 112]</w:t>
      </w:r>
      <w:r w:rsidR="00B66B12" w:rsidRPr="004C78D8">
        <w:fldChar w:fldCharType="end"/>
      </w:r>
      <w:r w:rsidR="00DD263A" w:rsidRPr="004C78D8">
        <w:t>.</w:t>
      </w:r>
      <w:r w:rsidR="00CF1F37" w:rsidRPr="004C78D8">
        <w:t xml:space="preserve"> Key </w:t>
      </w:r>
      <w:r w:rsidR="00B66B12" w:rsidRPr="004C78D8">
        <w:t xml:space="preserve">‘upstream’ </w:t>
      </w:r>
      <w:r w:rsidR="00CF1F37" w:rsidRPr="004C78D8">
        <w:t>actions include increasing physical activity, improving nutrition,</w:t>
      </w:r>
      <w:r w:rsidR="00B66B12" w:rsidRPr="004C78D8">
        <w:t xml:space="preserve"> and</w:t>
      </w:r>
      <w:r w:rsidR="00CF1F37" w:rsidRPr="004C78D8">
        <w:t xml:space="preserve"> preventing</w:t>
      </w:r>
      <w:r w:rsidR="00B66B12" w:rsidRPr="004C78D8">
        <w:t>/</w:t>
      </w:r>
      <w:r w:rsidR="00CF1F37" w:rsidRPr="004C78D8">
        <w:t xml:space="preserve">controlling metabolic risk factors </w:t>
      </w:r>
      <w:r w:rsidR="00B66B12" w:rsidRPr="004C78D8">
        <w:fldChar w:fldCharType="begin">
          <w:fldData xml:space="preserve">PEVuZE5vdGU+PENpdGU+PEF1dGhvcj5Xb3JsZCBIZWFsdGggT3JnYW5pemF0aW9uPC9BdXRob3I+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</w:fldData>
        </w:fldChar>
      </w:r>
      <w:r w:rsidR="00513646" w:rsidRPr="004C78D8">
        <w:instrText xml:space="preserve"> ADDIN EN.CITE </w:instrText>
      </w:r>
      <w:r w:rsidR="00513646" w:rsidRPr="004C78D8">
        <w:fldChar w:fldCharType="begin">
          <w:fldData xml:space="preserve">PEVuZE5vdGU+PENpdGU+PEF1dGhvcj5Xb3JsZCBIZWFsdGggT3JnYW5pemF0aW9uPC9BdXRob3I+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</w:fldData>
        </w:fldChar>
      </w:r>
      <w:r w:rsidR="00513646" w:rsidRPr="004C78D8">
        <w:instrText xml:space="preserve"> ADDIN EN.CITE.DATA </w:instrText>
      </w:r>
      <w:r w:rsidR="00513646" w:rsidRPr="004C78D8">
        <w:fldChar w:fldCharType="end"/>
      </w:r>
      <w:r w:rsidR="00B66B12" w:rsidRPr="004C78D8">
        <w:fldChar w:fldCharType="separate"/>
      </w:r>
      <w:r w:rsidR="00513646" w:rsidRPr="004C78D8">
        <w:rPr>
          <w:noProof/>
        </w:rPr>
        <w:t>[2, 113, 114]</w:t>
      </w:r>
      <w:r w:rsidR="00B66B12" w:rsidRPr="004C78D8">
        <w:fldChar w:fldCharType="end"/>
      </w:r>
      <w:r w:rsidR="00CF1F37" w:rsidRPr="004C78D8">
        <w:t xml:space="preserve">. </w:t>
      </w:r>
      <w:r w:rsidR="00B66B12" w:rsidRPr="004C78D8">
        <w:t>Upstream</w:t>
      </w:r>
      <w:r w:rsidR="00CF1F37" w:rsidRPr="004C78D8">
        <w:t xml:space="preserve"> </w:t>
      </w:r>
      <w:r w:rsidR="00DD263A" w:rsidRPr="004C78D8">
        <w:t>actions</w:t>
      </w:r>
      <w:r w:rsidR="00CF1F37" w:rsidRPr="004C78D8">
        <w:t xml:space="preserve"> also present greater opportunities for addressing the social determinants of health </w:t>
      </w:r>
      <w:r w:rsidR="00B66B12" w:rsidRPr="004C78D8">
        <w:t xml:space="preserve">that produce </w:t>
      </w:r>
      <w:r w:rsidR="00CF1F37" w:rsidRPr="004C78D8">
        <w:t xml:space="preserve">potentially unfair cumulative advantage or disadvantage at old age </w:t>
      </w:r>
      <w:r w:rsidR="00276167" w:rsidRPr="004C78D8">
        <w:fldChar w:fldCharType="begin"/>
      </w:r>
      <w:r w:rsidR="00513646" w:rsidRPr="004C78D8">
        <w:instrText xml:space="preserve"> ADDIN EN.CITE &lt;EndNote&gt;&lt;Cite&gt;&lt;Author&gt;Marmot&lt;/Author&gt;&lt;Year&gt;2015&lt;/Year&gt;&lt;RecNum&gt;25&lt;/RecNum&gt;&lt;DisplayText&gt;[10, 115]&lt;/DisplayText&gt;&lt;record&gt;&lt;rec-number&gt;25&lt;/rec-number&gt;&lt;foreign-keys&gt;&lt;key app="EN" db-id="tdtrdw9aepptzbefsat599syza29sxsd2wsp" timestamp="1596721934"&gt;25&lt;/key&gt;&lt;/foreign-keys&gt;&lt;ref-type name="Book"&gt;6&lt;/ref-type&gt;&lt;contributors&gt;&lt;authors&gt;&lt;author&gt;Marmot, Michael&lt;/author&gt;&lt;/authors&gt;&lt;/contributors&gt;&lt;titles&gt;&lt;title&gt;The Health Gap: The Challenge of an Unequal World&lt;/title&gt;&lt;/titles&gt;&lt;dates&gt;&lt;year&gt;2015&lt;/year&gt;&lt;/dates&gt;&lt;publisher&gt;Bloomsbury Paperbacks&lt;/publisher&gt;&lt;isbn&gt;1408857979&lt;/isbn&gt;&lt;urls&gt;&lt;/urls&gt;&lt;/record&gt;&lt;/Cite&gt;&lt;Cite&gt;&lt;Author&gt;Shiell&lt;/Author&gt;&lt;Year&gt;2009&lt;/Year&gt;&lt;RecNum&gt;464&lt;/RecNum&gt;&lt;record&gt;&lt;rec-number&gt;464&lt;/rec-number&gt;&lt;foreign-keys&gt;&lt;key app="EN" db-id="tdtrdw9aepptzbefsat599syza29sxsd2wsp" timestamp="1616493734"&gt;464&lt;/key&gt;&lt;/foreign-keys&gt;&lt;ref-type name="Journal Article"&gt;17&lt;/ref-type&gt;&lt;contributors&gt;&lt;authors&gt;&lt;author&gt;Shiell, Alan&lt;/author&gt;&lt;/authors&gt;&lt;/contributors&gt;&lt;titles&gt;&lt;title&gt;Still waiting for the great leap forward&lt;/title&gt;&lt;secondary-title&gt;Health Economics, Policy and Law&lt;/secondary-title&gt;&lt;/titles&gt;&lt;periodical&gt;&lt;full-title&gt;Health Economics, Policy and Law&lt;/full-title&gt;&lt;/periodical&gt;&lt;pages&gt;255-260&lt;/pages&gt;&lt;volume&gt;4&lt;/volume&gt;&lt;number&gt;2&lt;/number&gt;&lt;dates&gt;&lt;year&gt;2009&lt;/year&gt;&lt;/dates&gt;&lt;isbn&gt;1744-134X&lt;/isbn&gt;&lt;urls&gt;&lt;/urls&gt;&lt;/record&gt;&lt;/Cite&gt;&lt;/EndNote&gt;</w:instrText>
      </w:r>
      <w:r w:rsidR="00276167" w:rsidRPr="004C78D8">
        <w:fldChar w:fldCharType="separate"/>
      </w:r>
      <w:r w:rsidR="00513646" w:rsidRPr="004C78D8">
        <w:rPr>
          <w:noProof/>
        </w:rPr>
        <w:t>[10, 115]</w:t>
      </w:r>
      <w:r w:rsidR="00276167" w:rsidRPr="004C78D8">
        <w:fldChar w:fldCharType="end"/>
      </w:r>
      <w:r w:rsidR="00CF1F37" w:rsidRPr="004C78D8">
        <w:t>.</w:t>
      </w:r>
      <w:r w:rsidR="00276167" w:rsidRPr="004C78D8">
        <w:t xml:space="preserve"> </w:t>
      </w:r>
      <w:r w:rsidR="00A41819" w:rsidRPr="004C78D8">
        <w:t xml:space="preserve">However, even with successful upstream </w:t>
      </w:r>
      <w:r w:rsidR="00DD263A" w:rsidRPr="004C78D8">
        <w:t>actions</w:t>
      </w:r>
      <w:r w:rsidR="00A41819" w:rsidRPr="004C78D8">
        <w:t xml:space="preserve">, it is likely that ‘downstream’ geriatric public health interventions </w:t>
      </w:r>
      <w:r w:rsidR="005841D7" w:rsidRPr="004C78D8">
        <w:t>are still</w:t>
      </w:r>
      <w:r w:rsidR="00A41819" w:rsidRPr="004C78D8">
        <w:t xml:space="preserve"> required, particularly for those from </w:t>
      </w:r>
      <w:r w:rsidR="005841D7" w:rsidRPr="004C78D8">
        <w:t>marginalised</w:t>
      </w:r>
      <w:r w:rsidR="00A41819" w:rsidRPr="004C78D8">
        <w:t xml:space="preserve"> backgrounds who </w:t>
      </w:r>
      <w:r w:rsidR="00BE4554" w:rsidRPr="004C78D8">
        <w:t>were initially</w:t>
      </w:r>
      <w:r w:rsidR="00A41819" w:rsidRPr="004C78D8">
        <w:t xml:space="preserve"> </w:t>
      </w:r>
      <w:r w:rsidR="005841D7" w:rsidRPr="004C78D8">
        <w:t>deprived</w:t>
      </w:r>
      <w:r w:rsidR="00A41819" w:rsidRPr="004C78D8">
        <w:t xml:space="preserve"> </w:t>
      </w:r>
      <w:r w:rsidR="005841D7" w:rsidRPr="004C78D8">
        <w:t>of</w:t>
      </w:r>
      <w:r w:rsidR="00A41819" w:rsidRPr="004C78D8">
        <w:t xml:space="preserve"> upstream intervention</w:t>
      </w:r>
      <w:r w:rsidR="00B3446F" w:rsidRPr="004C78D8">
        <w:t>s</w:t>
      </w:r>
      <w:r w:rsidR="00A41819" w:rsidRPr="004C78D8">
        <w:t xml:space="preserve"> </w:t>
      </w:r>
      <w:r w:rsidR="005841D7" w:rsidRPr="004C78D8">
        <w:t xml:space="preserve">due to existing barriers </w:t>
      </w:r>
      <w:r w:rsidR="005841D7" w:rsidRPr="004C78D8">
        <w:fldChar w:fldCharType="begin"/>
      </w:r>
      <w:r w:rsidR="00B1431E" w:rsidRPr="004C78D8">
        <w:instrText xml:space="preserve"> ADDIN EN.CITE &lt;EndNote&gt;&lt;Cite&gt;&lt;Author&gt;World Health Organization&lt;/Author&gt;&lt;Year&gt;2015&lt;/Year&gt;&lt;RecNum&gt;1&lt;/RecNum&gt;&lt;DisplayText&gt;[2]&lt;/DisplayText&gt;&lt;record&gt;&lt;rec-number&gt;1&lt;/rec-number&gt;&lt;foreign-keys&gt;&lt;key app="EN" db-id="tdtrdw9aepptzbefsat599syza29sxsd2wsp" timestamp="1596571129"&gt;1&lt;/key&gt;&lt;/foreign-keys&gt;&lt;ref-type name="Book"&gt;6&lt;/ref-type&gt;&lt;contributors&gt;&lt;authors&gt;&lt;author&gt;World Health Organization,&lt;/author&gt;&lt;/authors&gt;&lt;/contributors&gt;&lt;titles&gt;&lt;title&gt;World Report on Ageing and Health&lt;/title&gt;&lt;/titles&gt;&lt;dates&gt;&lt;year&gt;2015&lt;/year&gt;&lt;/dates&gt;&lt;publisher&gt;World Health Organization&lt;/publisher&gt;&lt;isbn&gt;9241565047&lt;/isbn&gt;&lt;urls&gt;&lt;/urls&gt;&lt;/record&gt;&lt;/Cite&gt;&lt;/EndNote&gt;</w:instrText>
      </w:r>
      <w:r w:rsidR="005841D7" w:rsidRPr="004C78D8">
        <w:fldChar w:fldCharType="separate"/>
      </w:r>
      <w:r w:rsidR="005841D7" w:rsidRPr="004C78D8">
        <w:rPr>
          <w:noProof/>
        </w:rPr>
        <w:t>[2]</w:t>
      </w:r>
      <w:r w:rsidR="005841D7" w:rsidRPr="004C78D8">
        <w:fldChar w:fldCharType="end"/>
      </w:r>
      <w:r w:rsidR="005841D7" w:rsidRPr="004C78D8">
        <w:t xml:space="preserve">. </w:t>
      </w:r>
      <w:r w:rsidR="00DD263A" w:rsidRPr="004C78D8">
        <w:t>L</w:t>
      </w:r>
      <w:r w:rsidR="007A6A9F" w:rsidRPr="004C78D8">
        <w:t xml:space="preserve">ife-course integration </w:t>
      </w:r>
      <w:r w:rsidR="00DD263A" w:rsidRPr="004C78D8">
        <w:t xml:space="preserve">between upstream and geriatric interventions is thus warranted. </w:t>
      </w:r>
      <w:r w:rsidR="00510AE5" w:rsidRPr="004C78D8">
        <w:t>There should at least be an</w:t>
      </w:r>
      <w:r w:rsidR="007A6A9F" w:rsidRPr="004C78D8">
        <w:t xml:space="preserve"> </w:t>
      </w:r>
      <w:r w:rsidR="00510AE5" w:rsidRPr="004C78D8">
        <w:t>exploration</w:t>
      </w:r>
      <w:r w:rsidR="007A6A9F" w:rsidRPr="004C78D8">
        <w:t xml:space="preserve"> of how </w:t>
      </w:r>
      <w:r w:rsidR="00510AE5" w:rsidRPr="004C78D8">
        <w:t>the evaluation results of geriatric interventions would be impacted by upstream interventions that alter the baseline characteristics of the geriatric population (e.g., the proportion engaging in high physical activity)</w:t>
      </w:r>
      <w:r w:rsidR="007A6A9F" w:rsidRPr="004C78D8">
        <w:t xml:space="preserve">. </w:t>
      </w:r>
    </w:p>
    <w:p w14:paraId="074D1FD0" w14:textId="7E1F99C5" w:rsidR="00791801" w:rsidRPr="004C78D8" w:rsidRDefault="00510AE5" w:rsidP="00FB7C1F">
      <w:r w:rsidRPr="004C78D8">
        <w:t xml:space="preserve">Regarding (2), </w:t>
      </w:r>
      <w:r w:rsidR="006028D1" w:rsidRPr="004C78D8">
        <w:t>t</w:t>
      </w:r>
      <w:r w:rsidR="00F37FCC" w:rsidRPr="004C78D8">
        <w:t>here is growing recognition of</w:t>
      </w:r>
      <w:r w:rsidR="00276167" w:rsidRPr="004C78D8">
        <w:t xml:space="preserve"> the significant interactions between </w:t>
      </w:r>
      <w:r w:rsidR="005B64CA" w:rsidRPr="004C78D8">
        <w:t>older</w:t>
      </w:r>
      <w:r w:rsidR="00276167" w:rsidRPr="004C78D8">
        <w:t xml:space="preserve"> persons’ intrinsic capacity (e.g., chronic disease</w:t>
      </w:r>
      <w:r w:rsidR="00B3446F" w:rsidRPr="004C78D8">
        <w:t xml:space="preserve"> profile</w:t>
      </w:r>
      <w:r w:rsidR="00276167" w:rsidRPr="004C78D8">
        <w:t xml:space="preserve">) and the environment extending across multiple sectors (e.g., </w:t>
      </w:r>
      <w:r w:rsidR="006028D1" w:rsidRPr="004C78D8">
        <w:t>physical environment</w:t>
      </w:r>
      <w:r w:rsidR="00276167" w:rsidRPr="004C78D8">
        <w:t>, public transport, pension) that shape the</w:t>
      </w:r>
      <w:r w:rsidR="00F37FCC" w:rsidRPr="004C78D8">
        <w:t xml:space="preserve"> </w:t>
      </w:r>
      <w:r w:rsidR="007C4A83" w:rsidRPr="004C78D8">
        <w:t xml:space="preserve">older </w:t>
      </w:r>
      <w:r w:rsidR="00F37FCC" w:rsidRPr="004C78D8">
        <w:t>persons’</w:t>
      </w:r>
      <w:r w:rsidR="00276167" w:rsidRPr="004C78D8">
        <w:t xml:space="preserve"> </w:t>
      </w:r>
      <w:r w:rsidR="009E15EA" w:rsidRPr="004C78D8">
        <w:t>functioning</w:t>
      </w:r>
      <w:r w:rsidR="00276167" w:rsidRPr="004C78D8">
        <w:t xml:space="preserve"> </w:t>
      </w:r>
      <w:r w:rsidR="00F37FCC" w:rsidRPr="004C78D8">
        <w:fldChar w:fldCharType="begin"/>
      </w:r>
      <w:r w:rsidR="00B1431E" w:rsidRPr="004C78D8">
        <w:instrText xml:space="preserve"> ADDIN EN.CITE &lt;EndNote&gt;&lt;Cite&gt;&lt;Author&gt;World Health Organization&lt;/Author&gt;&lt;Year&gt;2015&lt;/Year&gt;&lt;RecNum&gt;1&lt;/RecNum&gt;&lt;DisplayText&gt;[2]&lt;/DisplayText&gt;&lt;record&gt;&lt;rec-number&gt;1&lt;/rec-number&gt;&lt;foreign-keys&gt;&lt;key app="EN" db-id="tdtrdw9aepptzbefsat599syza29sxsd2wsp" timestamp="1596571129"&gt;1&lt;/key&gt;&lt;/foreign-keys&gt;&lt;ref-type name="Book"&gt;6&lt;/ref-type&gt;&lt;contributors&gt;&lt;authors&gt;&lt;author&gt;World Health Organization,&lt;/author&gt;&lt;/authors&gt;&lt;/contributors&gt;&lt;titles&gt;&lt;title&gt;World Report on Ageing and Health&lt;/title&gt;&lt;/titles&gt;&lt;dates&gt;&lt;year&gt;2015&lt;/year&gt;&lt;/dates&gt;&lt;publisher&gt;World Health Organization&lt;/publisher&gt;&lt;isbn&gt;9241565047&lt;/isbn&gt;&lt;urls&gt;&lt;/urls&gt;&lt;/record&gt;&lt;/Cite&gt;&lt;/EndNote&gt;</w:instrText>
      </w:r>
      <w:r w:rsidR="00F37FCC" w:rsidRPr="004C78D8">
        <w:fldChar w:fldCharType="separate"/>
      </w:r>
      <w:r w:rsidR="00F37FCC" w:rsidRPr="004C78D8">
        <w:rPr>
          <w:noProof/>
        </w:rPr>
        <w:t>[2]</w:t>
      </w:r>
      <w:r w:rsidR="00F37FCC" w:rsidRPr="004C78D8">
        <w:fldChar w:fldCharType="end"/>
      </w:r>
      <w:r w:rsidR="00F37FCC" w:rsidRPr="004C78D8">
        <w:t xml:space="preserve">. Environmental interventions aim to </w:t>
      </w:r>
      <w:r w:rsidR="001F60F4" w:rsidRPr="004C78D8">
        <w:t xml:space="preserve">directly reduce risk factors for a given condition (e.g., removing environmental hazards for falls) and alter health behaviours (e.g., physical activity level) that indirectly influence </w:t>
      </w:r>
      <w:r w:rsidR="00946CCF" w:rsidRPr="004C78D8">
        <w:t xml:space="preserve">the risk factors. </w:t>
      </w:r>
      <w:r w:rsidR="00F37FCC" w:rsidRPr="004C78D8">
        <w:t xml:space="preserve">One such initiative is the creation of an ‘age-friendly city’ to </w:t>
      </w:r>
      <w:r w:rsidR="009F3897" w:rsidRPr="004C78D8">
        <w:t>improve urban</w:t>
      </w:r>
      <w:r w:rsidR="00276167" w:rsidRPr="004C78D8">
        <w:t xml:space="preserve"> </w:t>
      </w:r>
      <w:r w:rsidR="00817433" w:rsidRPr="004C78D8">
        <w:t>older</w:t>
      </w:r>
      <w:r w:rsidR="00276167" w:rsidRPr="004C78D8">
        <w:t xml:space="preserve"> population’s living environment </w:t>
      </w:r>
      <w:r w:rsidR="00F37FCC" w:rsidRPr="004C78D8">
        <w:fldChar w:fldCharType="begin"/>
      </w:r>
      <w:r w:rsidR="00513646" w:rsidRPr="004C78D8">
        <w:instrText xml:space="preserve"> ADDIN EN.CITE &lt;EndNote&gt;&lt;Cite&gt;&lt;Author&gt;Beard&lt;/Author&gt;&lt;Year&gt;2010&lt;/Year&gt;&lt;RecNum&gt;454&lt;/RecNum&gt;&lt;DisplayText&gt;[94, 116]&lt;/DisplayText&gt;&lt;record&gt;&lt;rec-number&gt;454&lt;/rec-number&gt;&lt;foreign-keys&gt;&lt;key app="EN" db-id="tdtrdw9aepptzbefsat599syza29sxsd2wsp" timestamp="1616444254"&gt;454&lt;/key&gt;&lt;/foreign-keys&gt;&lt;ref-type name="Journal Article"&gt;17&lt;/ref-type&gt;&lt;contributors&gt;&lt;authors&gt;&lt;author&gt;Beard, John R&lt;/author&gt;&lt;author&gt;Petitot, Charles&lt;/author&gt;&lt;/authors&gt;&lt;/contributors&gt;&lt;titles&gt;&lt;title&gt;Ageing and urbanization: can cities be designed to foster active ageing?&lt;/title&gt;&lt;secondary-title&gt;Public Health Reviews&lt;/secondary-title&gt;&lt;/titles&gt;&lt;periodical&gt;&lt;full-title&gt;Public Health Reviews&lt;/full-title&gt;&lt;/periodical&gt;&lt;pages&gt;427-450&lt;/pages&gt;&lt;volume&gt;32&lt;/volume&gt;&lt;number&gt;2&lt;/number&gt;&lt;dates&gt;&lt;year&gt;2010&lt;/year&gt;&lt;/dates&gt;&lt;isbn&gt;2107-6952&lt;/isbn&gt;&lt;urls&gt;&lt;/urls&gt;&lt;/record&gt;&lt;/Cite&gt;&lt;Cite&gt;&lt;Author&gt;World Health Organization&lt;/Author&gt;&lt;Year&gt;2007&lt;/Year&gt;&lt;RecNum&gt;466&lt;/RecNum&gt;&lt;record&gt;&lt;rec-number&gt;466&lt;/rec-number&gt;&lt;foreign-keys&gt;&lt;key app="EN" db-id="tdtrdw9aepptzbefsat599syza29sxsd2wsp" timestamp="1616494600"&gt;466&lt;/key&gt;&lt;/foreign-keys&gt;&lt;ref-type name="Book"&gt;6&lt;/ref-type&gt;&lt;contributors&gt;&lt;authors&gt;&lt;author&gt;World Health Organization,&lt;/author&gt;&lt;/authors&gt;&lt;/contributors&gt;&lt;titles&gt;&lt;title&gt;Global age-friendly cities: A guide&lt;/title&gt;&lt;/titles&gt;&lt;dates&gt;&lt;year&gt;2007&lt;/year&gt;&lt;/dates&gt;&lt;publisher&gt;World Health Organization&lt;/publisher&gt;&lt;isbn&gt;9241547308&lt;/isbn&gt;&lt;urls&gt;&lt;/urls&gt;&lt;/record&gt;&lt;/Cite&gt;&lt;/EndNote&gt;</w:instrText>
      </w:r>
      <w:r w:rsidR="00F37FCC" w:rsidRPr="004C78D8">
        <w:fldChar w:fldCharType="separate"/>
      </w:r>
      <w:r w:rsidR="00513646" w:rsidRPr="004C78D8">
        <w:rPr>
          <w:noProof/>
        </w:rPr>
        <w:t>[94, 116]</w:t>
      </w:r>
      <w:r w:rsidR="00F37FCC" w:rsidRPr="004C78D8">
        <w:fldChar w:fldCharType="end"/>
      </w:r>
      <w:r w:rsidR="00276167" w:rsidRPr="004C78D8">
        <w:t>. Component</w:t>
      </w:r>
      <w:r w:rsidR="00F37FCC" w:rsidRPr="004C78D8">
        <w:t>s</w:t>
      </w:r>
      <w:r w:rsidR="00276167" w:rsidRPr="004C78D8">
        <w:t xml:space="preserve"> include </w:t>
      </w:r>
      <w:r w:rsidR="009F3897" w:rsidRPr="004C78D8">
        <w:t>improving home safe</w:t>
      </w:r>
      <w:r w:rsidR="001F60F4" w:rsidRPr="004C78D8">
        <w:t>t</w:t>
      </w:r>
      <w:r w:rsidR="009F3897" w:rsidRPr="004C78D8">
        <w:t>y</w:t>
      </w:r>
      <w:r w:rsidR="00276167" w:rsidRPr="004C78D8">
        <w:t xml:space="preserve">, providing physically accessible and affordable public transport, redesigning </w:t>
      </w:r>
      <w:r w:rsidR="00F66FF0" w:rsidRPr="004C78D8">
        <w:t>public spaces to promote health (e.g., more parks)</w:t>
      </w:r>
      <w:r w:rsidR="00276167" w:rsidRPr="004C78D8">
        <w:t>, and changing social attitude</w:t>
      </w:r>
      <w:r w:rsidR="001F60F4" w:rsidRPr="004C78D8">
        <w:t>s</w:t>
      </w:r>
      <w:r w:rsidR="00276167" w:rsidRPr="004C78D8">
        <w:t xml:space="preserve"> towards ageing and productivity in old age </w:t>
      </w:r>
      <w:r w:rsidR="00F37FCC" w:rsidRPr="004C78D8">
        <w:fldChar w:fldCharType="begin"/>
      </w:r>
      <w:r w:rsidR="00513646" w:rsidRPr="004C78D8">
        <w:instrText xml:space="preserve"> ADDIN EN.CITE &lt;EndNote&gt;&lt;Cite&gt;&lt;Author&gt;World Health Organization&lt;/Author&gt;&lt;Year&gt;2007&lt;/Year&gt;&lt;RecNum&gt;466&lt;/RecNum&gt;&lt;DisplayText&gt;[116]&lt;/DisplayText&gt;&lt;record&gt;&lt;rec-number&gt;466&lt;/rec-number&gt;&lt;foreign-keys&gt;&lt;key app="EN" db-id="tdtrdw9aepptzbefsat599syza29sxsd2wsp" timestamp="1616494600"&gt;466&lt;/key&gt;&lt;/foreign-keys&gt;&lt;ref-type name="Book"&gt;6&lt;/ref-type&gt;&lt;contributors&gt;&lt;authors&gt;&lt;author&gt;World Health Organization,&lt;/author&gt;&lt;/authors&gt;&lt;/contributors&gt;&lt;titles&gt;&lt;title&gt;Global age-friendly cities: A guide&lt;/title&gt;&lt;/titles&gt;&lt;dates&gt;&lt;year&gt;2007&lt;/year&gt;&lt;/dates&gt;&lt;publisher&gt;World Health Organization&lt;/publisher&gt;&lt;isbn&gt;9241547308&lt;/isbn&gt;&lt;urls&gt;&lt;/urls&gt;&lt;/record&gt;&lt;/Cite&gt;&lt;/EndNote&gt;</w:instrText>
      </w:r>
      <w:r w:rsidR="00F37FCC" w:rsidRPr="004C78D8">
        <w:fldChar w:fldCharType="separate"/>
      </w:r>
      <w:r w:rsidR="00513646" w:rsidRPr="004C78D8">
        <w:rPr>
          <w:noProof/>
        </w:rPr>
        <w:t>[116]</w:t>
      </w:r>
      <w:r w:rsidR="00F37FCC" w:rsidRPr="004C78D8">
        <w:fldChar w:fldCharType="end"/>
      </w:r>
      <w:r w:rsidR="00276167" w:rsidRPr="004C78D8">
        <w:t>.</w:t>
      </w:r>
      <w:r w:rsidR="00F37FCC" w:rsidRPr="004C78D8">
        <w:t xml:space="preserve"> </w:t>
      </w:r>
      <w:r w:rsidR="001F60F4" w:rsidRPr="004C78D8">
        <w:t>Separate</w:t>
      </w:r>
      <w:r w:rsidR="00F37FCC" w:rsidRPr="004C78D8">
        <w:t xml:space="preserve"> </w:t>
      </w:r>
      <w:r w:rsidR="001F60F4" w:rsidRPr="004C78D8">
        <w:t xml:space="preserve">but similarly thorough </w:t>
      </w:r>
      <w:r w:rsidR="00276167" w:rsidRPr="004C78D8">
        <w:t xml:space="preserve">considerations </w:t>
      </w:r>
      <w:r w:rsidR="001F60F4" w:rsidRPr="004C78D8">
        <w:t>are warranted</w:t>
      </w:r>
      <w:r w:rsidR="00276167" w:rsidRPr="004C78D8">
        <w:t xml:space="preserve"> for rural communities </w:t>
      </w:r>
      <w:r w:rsidR="00F37FCC" w:rsidRPr="004C78D8">
        <w:fldChar w:fldCharType="begin"/>
      </w:r>
      <w:r w:rsidR="00513646" w:rsidRPr="004C78D8">
        <w:instrText xml:space="preserve"> ADDIN EN.CITE &lt;EndNote&gt;&lt;Cite&gt;&lt;Author&gt;Keating&lt;/Author&gt;&lt;Year&gt;2013&lt;/Year&gt;&lt;RecNum&gt;467&lt;/RecNum&gt;&lt;DisplayText&gt;[117]&lt;/DisplayText&gt;&lt;record&gt;&lt;rec-number&gt;467&lt;/rec-number&gt;&lt;foreign-keys&gt;&lt;key app="EN" db-id="tdtrdw9aepptzbefsat599syza29sxsd2wsp" timestamp="1616494835"&gt;467&lt;/key&gt;&lt;/foreign-keys&gt;&lt;ref-type name="Journal Article"&gt;17&lt;/ref-type&gt;&lt;contributors&gt;&lt;authors&gt;&lt;author&gt;Keating, Norah&lt;/author&gt;&lt;author&gt;Eales, Jacquie&lt;/author&gt;&lt;author&gt;Phillips, Judith E&lt;/author&gt;&lt;/authors&gt;&lt;/contributors&gt;&lt;titles&gt;&lt;title&gt;Age-friendly rural communities: Conceptualizing ‘best-fit’&lt;/title&gt;&lt;secondary-title&gt;Canadian Journal on Aging/La Revue canadienne du vieillissement&lt;/secondary-title&gt;&lt;/titles&gt;&lt;periodical&gt;&lt;full-title&gt;Canadian Journal on Aging/La Revue canadienne du vieillissement&lt;/full-title&gt;&lt;/periodical&gt;&lt;pages&gt;319-332&lt;/pages&gt;&lt;volume&gt;32&lt;/volume&gt;&lt;number&gt;4&lt;/number&gt;&lt;dates&gt;&lt;year&gt;2013&lt;/year&gt;&lt;/dates&gt;&lt;isbn&gt;0714-9808&lt;/isbn&gt;&lt;urls&gt;&lt;/urls&gt;&lt;/record&gt;&lt;/Cite&gt;&lt;/EndNote&gt;</w:instrText>
      </w:r>
      <w:r w:rsidR="00F37FCC" w:rsidRPr="004C78D8">
        <w:fldChar w:fldCharType="separate"/>
      </w:r>
      <w:r w:rsidR="00513646" w:rsidRPr="004C78D8">
        <w:rPr>
          <w:noProof/>
        </w:rPr>
        <w:t>[117]</w:t>
      </w:r>
      <w:r w:rsidR="00F37FCC" w:rsidRPr="004C78D8">
        <w:fldChar w:fldCharType="end"/>
      </w:r>
      <w:r w:rsidR="00F37FCC" w:rsidRPr="004C78D8">
        <w:t>.</w:t>
      </w:r>
      <w:r w:rsidR="006028D1" w:rsidRPr="004C78D8">
        <w:t xml:space="preserve"> </w:t>
      </w:r>
      <w:r w:rsidR="00173A75" w:rsidRPr="004C78D8">
        <w:t>In all, f</w:t>
      </w:r>
      <w:r w:rsidR="00946CCF" w:rsidRPr="004C78D8">
        <w:t xml:space="preserve">or </w:t>
      </w:r>
      <w:r w:rsidR="00946CCF" w:rsidRPr="004C78D8">
        <w:lastRenderedPageBreak/>
        <w:t xml:space="preserve">any geriatric interventions operating within the healthcare sector, their </w:t>
      </w:r>
      <w:r w:rsidR="00D4699B" w:rsidRPr="004C78D8">
        <w:t xml:space="preserve">synergy </w:t>
      </w:r>
      <w:r w:rsidR="00946CCF" w:rsidRPr="004C78D8">
        <w:t>with broader environmental initiatives should be explored</w:t>
      </w:r>
      <w:r w:rsidR="00791801" w:rsidRPr="004C78D8">
        <w:t>.</w:t>
      </w:r>
    </w:p>
    <w:p w14:paraId="775285D8" w14:textId="31D7E49F" w:rsidR="00BE5467" w:rsidRPr="004C78D8" w:rsidRDefault="00173A75" w:rsidP="00FB7C1F">
      <w:r w:rsidRPr="004C78D8">
        <w:t>In addition</w:t>
      </w:r>
      <w:r w:rsidR="00FA34DD" w:rsidRPr="004C78D8">
        <w:t>, a</w:t>
      </w:r>
      <w:r w:rsidR="00C05B51" w:rsidRPr="004C78D8">
        <w:t xml:space="preserve"> systematic review of integrated care schemes noted that not all schemes </w:t>
      </w:r>
      <w:r w:rsidR="009A7C62" w:rsidRPr="004C78D8">
        <w:t>aim</w:t>
      </w:r>
      <w:r w:rsidRPr="004C78D8">
        <w:t>ed</w:t>
      </w:r>
      <w:r w:rsidR="009A7C62" w:rsidRPr="004C78D8">
        <w:t xml:space="preserve"> to</w:t>
      </w:r>
      <w:r w:rsidR="00FA34DD" w:rsidRPr="004C78D8">
        <w:t xml:space="preserve"> </w:t>
      </w:r>
      <w:r w:rsidR="009A7C62" w:rsidRPr="004C78D8">
        <w:t>improve</w:t>
      </w:r>
      <w:r w:rsidR="00C05B51" w:rsidRPr="004C78D8">
        <w:t xml:space="preserve"> patient </w:t>
      </w:r>
      <w:r w:rsidR="00540748" w:rsidRPr="004C78D8">
        <w:t>health</w:t>
      </w:r>
      <w:r w:rsidR="00FA34DD" w:rsidRPr="004C78D8">
        <w:t xml:space="preserve"> directly</w:t>
      </w:r>
      <w:r w:rsidR="00DD40A8" w:rsidRPr="004C78D8">
        <w:t>.</w:t>
      </w:r>
      <w:r w:rsidR="00C05B51" w:rsidRPr="004C78D8">
        <w:t xml:space="preserve"> </w:t>
      </w:r>
      <w:r w:rsidR="00DD40A8" w:rsidRPr="004C78D8">
        <w:t>T</w:t>
      </w:r>
      <w:r w:rsidR="009A7C62" w:rsidRPr="004C78D8">
        <w:t>hey instead</w:t>
      </w:r>
      <w:r w:rsidR="00C05B51" w:rsidRPr="004C78D8">
        <w:t xml:space="preserve"> focus</w:t>
      </w:r>
      <w:r w:rsidR="00DD40A8" w:rsidRPr="004C78D8">
        <w:t>ed</w:t>
      </w:r>
      <w:r w:rsidR="00C05B51" w:rsidRPr="004C78D8">
        <w:t xml:space="preserve"> on</w:t>
      </w:r>
      <w:r w:rsidR="00313C6E" w:rsidRPr="004C78D8">
        <w:t xml:space="preserve">: (i) organisational and system changes; </w:t>
      </w:r>
      <w:r w:rsidR="00C05B51" w:rsidRPr="004C78D8">
        <w:t xml:space="preserve">(ii) staff </w:t>
      </w:r>
      <w:r w:rsidR="009A7C62" w:rsidRPr="004C78D8">
        <w:t xml:space="preserve">employment and working practice changes; and (iii) financial or governance aspects of integration </w:t>
      </w:r>
      <w:r w:rsidR="009A7C62" w:rsidRPr="004C78D8">
        <w:fldChar w:fldCharType="begin"/>
      </w:r>
      <w:r w:rsidR="00513646" w:rsidRPr="004C78D8">
        <w:instrText xml:space="preserve"> ADDIN EN.CITE &lt;EndNote&gt;&lt;Cite&gt;&lt;Author&gt;Baxter&lt;/Author&gt;&lt;Year&gt;2018&lt;/Year&gt;&lt;RecNum&gt;459&lt;/RecNum&gt;&lt;DisplayText&gt;[118]&lt;/DisplayText&gt;&lt;record&gt;&lt;rec-number&gt;459&lt;/rec-number&gt;&lt;foreign-keys&gt;&lt;key app="EN" db-id="tdtrdw9aepptzbefsat599syza29sxsd2wsp" timestamp="1616451678"&gt;459&lt;/key&gt;&lt;/foreign-keys&gt;&lt;ref-type name="Journal Article"&gt;17&lt;/ref-type&gt;&lt;contributors&gt;&lt;authors&gt;&lt;author&gt;Baxter, Susan&lt;/author&gt;&lt;author&gt;Johnson, Maxine&lt;/author&gt;&lt;author&gt;Chambers, Duncan&lt;/author&gt;&lt;author&gt;Sutton, Anthea&lt;/author&gt;&lt;author&gt;Goyder, Elizabeth&lt;/author&gt;&lt;author&gt;Booth, Andrew&lt;/author&gt;&lt;/authors&gt;&lt;/contributors&gt;&lt;titles&gt;&lt;title&gt;The effects of integrated care: a systematic review of UK and international evidence&lt;/title&gt;&lt;secondary-title&gt;BMC health services research&lt;/secondary-title&gt;&lt;/titles&gt;&lt;periodical&gt;&lt;full-title&gt;BMC health services research&lt;/full-title&gt;&lt;/periodical&gt;&lt;pages&gt;350&lt;/pages&gt;&lt;volume&gt;18&lt;/volume&gt;&lt;number&gt;1&lt;/number&gt;&lt;dates&gt;&lt;year&gt;2018&lt;/year&gt;&lt;/dates&gt;&lt;isbn&gt;1472-6963&lt;/isbn&gt;&lt;urls&gt;&lt;/urls&gt;&lt;/record&gt;&lt;/Cite&gt;&lt;/EndNote&gt;</w:instrText>
      </w:r>
      <w:r w:rsidR="009A7C62" w:rsidRPr="004C78D8">
        <w:fldChar w:fldCharType="separate"/>
      </w:r>
      <w:r w:rsidR="00513646" w:rsidRPr="004C78D8">
        <w:rPr>
          <w:noProof/>
        </w:rPr>
        <w:t>[118]</w:t>
      </w:r>
      <w:r w:rsidR="009A7C62" w:rsidRPr="004C78D8">
        <w:fldChar w:fldCharType="end"/>
      </w:r>
      <w:r w:rsidR="009A7C62" w:rsidRPr="004C78D8">
        <w:t>.</w:t>
      </w:r>
      <w:r w:rsidR="00540748" w:rsidRPr="004C78D8">
        <w:t xml:space="preserve"> These primarily aimed to increase service access and patient and staff satisfaction rather than therapeutic eff</w:t>
      </w:r>
      <w:r w:rsidR="00FA34DD" w:rsidRPr="004C78D8">
        <w:t>ectiveness, thereby contributing to patient health indirectly.</w:t>
      </w:r>
    </w:p>
    <w:p w14:paraId="042BE682" w14:textId="5BD673DA" w:rsidR="00120196" w:rsidRPr="004C78D8" w:rsidRDefault="00BE5467" w:rsidP="00FB7C1F">
      <w:r w:rsidRPr="004C78D8">
        <w:t xml:space="preserve">Integrated care schemes have drawn much policy attention. </w:t>
      </w:r>
      <w:r w:rsidR="00950C1B" w:rsidRPr="004C78D8">
        <w:t xml:space="preserve">The </w:t>
      </w:r>
      <w:r w:rsidRPr="004C78D8">
        <w:t xml:space="preserve">2019 </w:t>
      </w:r>
      <w:r w:rsidRPr="004C78D8">
        <w:rPr>
          <w:i/>
          <w:iCs/>
        </w:rPr>
        <w:t xml:space="preserve">Long Term Plan </w:t>
      </w:r>
      <w:r w:rsidR="00950C1B" w:rsidRPr="004C78D8">
        <w:t>of NHS England</w:t>
      </w:r>
      <w:r w:rsidRPr="004C78D8">
        <w:t>, for example, earmarked</w:t>
      </w:r>
      <w:r w:rsidR="00950C1B" w:rsidRPr="004C78D8">
        <w:t xml:space="preserve"> £4.5 billion </w:t>
      </w:r>
      <w:r w:rsidRPr="004C78D8">
        <w:t>of investment</w:t>
      </w:r>
      <w:r w:rsidR="00CC40B1" w:rsidRPr="004C78D8">
        <w:t xml:space="preserve"> over</w:t>
      </w:r>
      <w:r w:rsidR="00237BEC" w:rsidRPr="004C78D8">
        <w:t xml:space="preserve"> </w:t>
      </w:r>
      <w:r w:rsidRPr="004C78D8">
        <w:t>five</w:t>
      </w:r>
      <w:r w:rsidR="00950C1B" w:rsidRPr="004C78D8">
        <w:t xml:space="preserve"> years on </w:t>
      </w:r>
      <w:r w:rsidR="00237BEC" w:rsidRPr="004C78D8">
        <w:t>out-of-hospital/</w:t>
      </w:r>
      <w:r w:rsidR="00DD40A8" w:rsidRPr="004C78D8">
        <w:t>community</w:t>
      </w:r>
      <w:r w:rsidR="00950C1B" w:rsidRPr="004C78D8">
        <w:t xml:space="preserve"> multidisciplinary teams </w:t>
      </w:r>
      <w:r w:rsidR="00E9073E" w:rsidRPr="004C78D8">
        <w:t>(including</w:t>
      </w:r>
      <w:r w:rsidR="00950C1B" w:rsidRPr="004C78D8">
        <w:t xml:space="preserve"> GPs, pharmacists, district nurses, community geriatricians, dementia workers, physiotherapists, social workers and the voluntary sector</w:t>
      </w:r>
      <w:r w:rsidR="00E9073E" w:rsidRPr="004C78D8">
        <w:t>) that</w:t>
      </w:r>
      <w:r w:rsidR="00950C1B" w:rsidRPr="004C78D8">
        <w:t xml:space="preserve"> would “work with [older] people to maintain their independence” through “a targeted and personalised approach” </w:t>
      </w:r>
      <w:r w:rsidR="00950C1B" w:rsidRPr="004C78D8">
        <w:fldChar w:fldCharType="begin"/>
      </w:r>
      <w:r w:rsidR="00513646" w:rsidRPr="004C78D8">
        <w:instrText xml:space="preserve"> ADDIN EN.CITE &lt;EndNote&gt;&lt;Cite&gt;&lt;Author&gt;NHS England&lt;/Author&gt;&lt;Year&gt;2019&lt;/Year&gt;&lt;RecNum&gt;14&lt;/RecNum&gt;&lt;DisplayText&gt;[98]&lt;/DisplayText&gt;&lt;record&gt;&lt;rec-number&gt;14&lt;/rec-number&gt;&lt;foreign-keys&gt;&lt;key app="EN" db-id="tdtrdw9aepptzbefsat599syza29sxsd2wsp" timestamp="1596619136"&gt;14&lt;/key&gt;&lt;/foreign-keys&gt;&lt;ref-type name="Journal Article"&gt;17&lt;/ref-type&gt;&lt;contributors&gt;&lt;authors&gt;&lt;author&gt;NHS England,&lt;/author&gt;&lt;/authors&gt;&lt;/contributors&gt;&lt;titles&gt;&lt;title&gt;The NHS Long Term Plan&lt;/title&gt;&lt;secondary-title&gt;www.longtermplan.nhs.uk&lt;/secondary-title&gt;&lt;/titles&gt;&lt;periodical&gt;&lt;full-title&gt;www.longtermplan.nhs.uk&lt;/full-title&gt;&lt;/periodical&gt;&lt;dates&gt;&lt;year&gt;2019&lt;/year&gt;&lt;/dates&gt;&lt;urls&gt;&lt;/urls&gt;&lt;/record&gt;&lt;/Cite&gt;&lt;/EndNote&gt;</w:instrText>
      </w:r>
      <w:r w:rsidR="00950C1B" w:rsidRPr="004C78D8">
        <w:fldChar w:fldCharType="separate"/>
      </w:r>
      <w:r w:rsidR="00513646" w:rsidRPr="004C78D8">
        <w:rPr>
          <w:noProof/>
        </w:rPr>
        <w:t>[98]</w:t>
      </w:r>
      <w:r w:rsidR="00950C1B" w:rsidRPr="004C78D8">
        <w:fldChar w:fldCharType="end"/>
      </w:r>
      <w:r w:rsidR="00950C1B" w:rsidRPr="004C78D8">
        <w:t xml:space="preserve">. </w:t>
      </w:r>
      <w:r w:rsidR="00E9073E" w:rsidRPr="004C78D8">
        <w:t xml:space="preserve">This </w:t>
      </w:r>
      <w:r w:rsidR="00950C1B" w:rsidRPr="004C78D8">
        <w:t xml:space="preserve">will be complemented by the Better Care Fund (BCF) </w:t>
      </w:r>
      <w:r w:rsidR="00237BEC" w:rsidRPr="004C78D8">
        <w:t>that would</w:t>
      </w:r>
      <w:r w:rsidR="00950C1B" w:rsidRPr="004C78D8">
        <w:t xml:space="preserve"> integrate health and social care, “so that people can manage their own health and wellbeing, and live independently in their communities for as long as possible”</w:t>
      </w:r>
      <w:r w:rsidR="00E9073E" w:rsidRPr="004C78D8">
        <w:t xml:space="preserve"> </w:t>
      </w:r>
      <w:r w:rsidR="00E9073E" w:rsidRPr="004C78D8">
        <w:fldChar w:fldCharType="begin"/>
      </w:r>
      <w:r w:rsidR="00513646" w:rsidRPr="004C78D8">
        <w:instrText xml:space="preserve"> ADDIN EN.CITE &lt;EndNote&gt;&lt;Cite&gt;&lt;Author&gt;NHS England&lt;/Author&gt;&lt;Year&gt;2020&lt;/Year&gt;&lt;RecNum&gt;469&lt;/RecNum&gt;&lt;DisplayText&gt;[119, 120]&lt;/DisplayText&gt;&lt;record&gt;&lt;rec-number&gt;469&lt;/rec-number&gt;&lt;foreign-keys&gt;&lt;key app="EN" db-id="tdtrdw9aepptzbefsat599syza29sxsd2wsp" timestamp="1616496401"&gt;469&lt;/key&gt;&lt;/foreign-keys&gt;&lt;ref-type name="Journal Article"&gt;17&lt;/ref-type&gt;&lt;contributors&gt;&lt;authors&gt;&lt;author&gt;NHS England,&lt;/author&gt;&lt;/authors&gt;&lt;/contributors&gt;&lt;titles&gt;&lt;title&gt;Better Care Fund&lt;/title&gt;&lt;secondary-title&gt;https://www.england.nhs.uk/ourwork/part-rel/transformation-fund/bcf-plan/&lt;/secondary-title&gt;&lt;/titles&gt;&lt;periodical&gt;&lt;full-title&gt;https://www.england.nhs.uk/ourwork/part-rel/transformation-fund/bcf-plan/&lt;/full-title&gt;&lt;/periodical&gt;&lt;dates&gt;&lt;year&gt;2020&lt;/year&gt;&lt;/dates&gt;&lt;urls&gt;&lt;/urls&gt;&lt;/record&gt;&lt;/Cite&gt;&lt;Cite&gt;&lt;Author&gt;Department of Health and Social Care&lt;/Author&gt;&lt;Year&gt;2019&lt;/Year&gt;&lt;RecNum&gt;470&lt;/RecNum&gt;&lt;record&gt;&lt;rec-number&gt;470&lt;/rec-number&gt;&lt;foreign-keys&gt;&lt;key app="EN" db-id="tdtrdw9aepptzbefsat599syza29sxsd2wsp" timestamp="1616496720"&gt;470&lt;/key&gt;&lt;/foreign-keys&gt;&lt;ref-type name="Journal Article"&gt;17&lt;/ref-type&gt;&lt;contributors&gt;&lt;authors&gt;&lt;author&gt;Department of Health and Social Care,&lt;/author&gt;&lt;author&gt;Ministry of Housing, Communities and Local Government,&lt;/author&gt;&lt;/authors&gt;&lt;/contributors&gt;&lt;titles&gt;&lt;title&gt;2019-20 Better Care Fund: Policy Framework&lt;/title&gt;&lt;secondary-title&gt;HM Government&lt;/secondary-title&gt;&lt;/titles&gt;&lt;periodical&gt;&lt;full-title&gt;HM Government&lt;/full-title&gt;&lt;/periodical&gt;&lt;dates&gt;&lt;year&gt;2019&lt;/year&gt;&lt;/dates&gt;&lt;urls&gt;&lt;/urls&gt;&lt;/record&gt;&lt;/Cite&gt;&lt;/EndNote&gt;</w:instrText>
      </w:r>
      <w:r w:rsidR="00E9073E" w:rsidRPr="004C78D8">
        <w:fldChar w:fldCharType="separate"/>
      </w:r>
      <w:r w:rsidR="00513646" w:rsidRPr="004C78D8">
        <w:rPr>
          <w:noProof/>
        </w:rPr>
        <w:t>[119, 120]</w:t>
      </w:r>
      <w:r w:rsidR="00E9073E" w:rsidRPr="004C78D8">
        <w:fldChar w:fldCharType="end"/>
      </w:r>
      <w:r w:rsidR="00950C1B" w:rsidRPr="004C78D8">
        <w:t xml:space="preserve">. Beginning in 2014, the BCF obliges local clinical commissioning groups (CCGs) and local </w:t>
      </w:r>
      <w:r w:rsidR="00E9073E" w:rsidRPr="004C78D8">
        <w:t>authorities</w:t>
      </w:r>
      <w:r w:rsidR="00950C1B" w:rsidRPr="004C78D8">
        <w:t xml:space="preserve"> to create a shared budget for health</w:t>
      </w:r>
      <w:r w:rsidR="00237BEC" w:rsidRPr="004C78D8">
        <w:t xml:space="preserve"> and</w:t>
      </w:r>
      <w:r w:rsidR="00950C1B" w:rsidRPr="004C78D8">
        <w:t xml:space="preserve"> social care and other public services, </w:t>
      </w:r>
      <w:r w:rsidR="00E9073E" w:rsidRPr="004C78D8">
        <w:t xml:space="preserve">and also invests its own capital (£6.4 billion in 2019-20) to facilitate integration </w:t>
      </w:r>
      <w:r w:rsidR="00E9073E" w:rsidRPr="004C78D8">
        <w:fldChar w:fldCharType="begin"/>
      </w:r>
      <w:r w:rsidR="00513646" w:rsidRPr="004C78D8">
        <w:instrText xml:space="preserve"> ADDIN EN.CITE &lt;EndNote&gt;&lt;Cite&gt;&lt;Author&gt;NHS England&lt;/Author&gt;&lt;Year&gt;2020&lt;/Year&gt;&lt;RecNum&gt;469&lt;/RecNum&gt;&lt;DisplayText&gt;[119]&lt;/DisplayText&gt;&lt;record&gt;&lt;rec-number&gt;469&lt;/rec-number&gt;&lt;foreign-keys&gt;&lt;key app="EN" db-id="tdtrdw9aepptzbefsat599syza29sxsd2wsp" timestamp="1616496401"&gt;469&lt;/key&gt;&lt;/foreign-keys&gt;&lt;ref-type name="Journal Article"&gt;17&lt;/ref-type&gt;&lt;contributors&gt;&lt;authors&gt;&lt;author&gt;NHS England,&lt;/author&gt;&lt;/authors&gt;&lt;/contributors&gt;&lt;titles&gt;&lt;title&gt;Better Care Fund&lt;/title&gt;&lt;secondary-title&gt;https://www.england.nhs.uk/ourwork/part-rel/transformation-fund/bcf-plan/&lt;/secondary-title&gt;&lt;/titles&gt;&lt;periodical&gt;&lt;full-title&gt;https://www.england.nhs.uk/ourwork/part-rel/transformation-fund/bcf-plan/&lt;/full-title&gt;&lt;/periodical&gt;&lt;dates&gt;&lt;year&gt;2020&lt;/year&gt;&lt;/dates&gt;&lt;urls&gt;&lt;/urls&gt;&lt;/record&gt;&lt;/Cite&gt;&lt;/EndNote&gt;</w:instrText>
      </w:r>
      <w:r w:rsidR="00E9073E" w:rsidRPr="004C78D8">
        <w:fldChar w:fldCharType="separate"/>
      </w:r>
      <w:r w:rsidR="00513646" w:rsidRPr="004C78D8">
        <w:rPr>
          <w:noProof/>
        </w:rPr>
        <w:t>[119]</w:t>
      </w:r>
      <w:r w:rsidR="00E9073E" w:rsidRPr="004C78D8">
        <w:fldChar w:fldCharType="end"/>
      </w:r>
      <w:r w:rsidR="00950C1B" w:rsidRPr="004C78D8">
        <w:t xml:space="preserve">. </w:t>
      </w:r>
      <w:r w:rsidRPr="004C78D8">
        <w:t xml:space="preserve">Nevertheless, it should </w:t>
      </w:r>
      <w:r w:rsidR="003D4506" w:rsidRPr="004C78D8">
        <w:t xml:space="preserve">now </w:t>
      </w:r>
      <w:r w:rsidRPr="004C78D8">
        <w:t xml:space="preserve">be clear that the term </w:t>
      </w:r>
      <w:r w:rsidR="005014A3" w:rsidRPr="004C78D8">
        <w:t>‘</w:t>
      </w:r>
      <w:r w:rsidRPr="004C78D8">
        <w:t>integrated care</w:t>
      </w:r>
      <w:r w:rsidR="005014A3" w:rsidRPr="004C78D8">
        <w:t>’</w:t>
      </w:r>
      <w:r w:rsidRPr="004C78D8">
        <w:t xml:space="preserve"> covers a wide variety of </w:t>
      </w:r>
      <w:r w:rsidR="003D4506" w:rsidRPr="004C78D8">
        <w:t>initiatives ranging from financial/governance integration to single-need integration around, say, falls prevention. Attention should be paid to what aspects of integration a given initiative promotes.</w:t>
      </w:r>
    </w:p>
    <w:p w14:paraId="53408A3D" w14:textId="7C2637E7" w:rsidR="00E151CB" w:rsidRPr="004C78D8" w:rsidRDefault="00AA556E" w:rsidP="00FB7C1F">
      <w:pPr>
        <w:pStyle w:val="Heading4"/>
      </w:pPr>
      <w:r w:rsidRPr="004C78D8">
        <w:t>1.3.2.4 Coherent</w:t>
      </w:r>
      <w:r w:rsidR="00E151CB" w:rsidRPr="004C78D8">
        <w:t xml:space="preserve"> implementation strateg</w:t>
      </w:r>
      <w:r w:rsidRPr="004C78D8">
        <w:t>y</w:t>
      </w:r>
    </w:p>
    <w:p w14:paraId="23C2A0F7" w14:textId="7A8D3000" w:rsidR="005B047A" w:rsidRPr="004C78D8" w:rsidRDefault="00B350ED" w:rsidP="00FB7C1F">
      <w:r w:rsidRPr="004C78D8">
        <w:t>The three desired characteristics described above generate significant</w:t>
      </w:r>
      <w:r w:rsidR="004D2689" w:rsidRPr="004C78D8">
        <w:t xml:space="preserve"> complexity </w:t>
      </w:r>
      <w:r w:rsidRPr="004C78D8">
        <w:t>in the</w:t>
      </w:r>
      <w:r w:rsidR="004D2689" w:rsidRPr="004C78D8">
        <w:t xml:space="preserve"> implementation</w:t>
      </w:r>
      <w:r w:rsidRPr="004C78D8">
        <w:t xml:space="preserve"> of geriatric public health interventions</w:t>
      </w:r>
      <w:r w:rsidR="00CF2FF2" w:rsidRPr="004C78D8">
        <w:t xml:space="preserve"> </w:t>
      </w:r>
      <w:r w:rsidR="005B047A" w:rsidRPr="004C78D8">
        <w:fldChar w:fldCharType="begin"/>
      </w:r>
      <w:r w:rsidR="00513646" w:rsidRPr="004C78D8">
        <w:instrText xml:space="preserve"> ADDIN EN.CITE &lt;EndNote&gt;&lt;Cite&gt;&lt;Author&gt;Kumpunen&lt;/Author&gt;&lt;Year&gt;2020&lt;/Year&gt;&lt;RecNum&gt;12&lt;/RecNum&gt;&lt;DisplayText&gt;[121, 122]&lt;/DisplayText&gt;&lt;record&gt;&lt;rec-number&gt;12&lt;/rec-number&gt;&lt;foreign-keys&gt;&lt;key app="EN" db-id="tdtrdw9aepptzbefsat599syza29sxsd2wsp" timestamp="1596618991"&gt;12&lt;/key&gt;&lt;/foreign-keys&gt;&lt;ref-type name="Journal Article"&gt;17&lt;/ref-type&gt;&lt;contributors&gt;&lt;authors&gt;&lt;author&gt;Kumpunen, Stephanie&lt;/author&gt;&lt;author&gt;Edwards, Nigel&lt;/author&gt;&lt;author&gt;Georghiou, Theo&lt;/author&gt;&lt;author&gt;Hughes, Gemma&lt;/author&gt;&lt;/authors&gt;&lt;/contributors&gt;&lt;titles&gt;&lt;title&gt;Why do evaluations of integrated care not produce the results we expect?&lt;/title&gt;&lt;secondary-title&gt;International Journal of Care Coordination&lt;/secondary-title&gt;&lt;/titles&gt;&lt;periodical&gt;&lt;full-title&gt;International Journal of Care Coordination&lt;/full-title&gt;&lt;/periodical&gt;&lt;pages&gt;2053434520909089&lt;/pages&gt;&lt;dates&gt;&lt;year&gt;2020&lt;/year&gt;&lt;/dates&gt;&lt;isbn&gt;2053-4345&lt;/isbn&gt;&lt;urls&gt;&lt;/urls&gt;&lt;/record&gt;&lt;/Cite&gt;&lt;Cite&gt;&lt;Author&gt;Stadnick&lt;/Author&gt;&lt;Year&gt;2019&lt;/Year&gt;&lt;RecNum&gt;484&lt;/RecNum&gt;&lt;record&gt;&lt;rec-number&gt;484&lt;/rec-number&gt;&lt;foreign-keys&gt;&lt;key app="EN" db-id="tdtrdw9aepptzbefsat599syza29sxsd2wsp" timestamp="1616669630"&gt;484&lt;/key&gt;&lt;/foreign-keys&gt;&lt;ref-type name="Journal Article"&gt;17&lt;/ref-type&gt;&lt;contributors&gt;&lt;authors&gt;&lt;author&gt;Stadnick, Nicole A&lt;/author&gt;&lt;author&gt;Sadler, Euan&lt;/author&gt;&lt;author&gt;Sandall, Jane&lt;/author&gt;&lt;author&gt;Turienzo, Cristina Fernandez&lt;/author&gt;&lt;author&gt;Bennett, Ian M&lt;/author&gt;&lt;author&gt;Borkan, Jeffrey&lt;/author&gt;&lt;author&gt;Oladeji, Bibilola&lt;/author&gt;&lt;author&gt;Gureje, Oye&lt;/author&gt;&lt;author&gt;Aarons, Gregory A&lt;/author&gt;&lt;author&gt;Sklar, Marisa&lt;/author&gt;&lt;/authors&gt;&lt;/contributors&gt;&lt;titles&gt;&lt;title&gt;Comparative case studies in integrated care implementation from across the globe: a quest for action&lt;/title&gt;&lt;secondary-title&gt;BMC health services research&lt;/secondary-title&gt;&lt;/titles&gt;&lt;periodical&gt;&lt;full-title&gt;BMC health services research&lt;/full-title&gt;&lt;/periodical&gt;&lt;pages&gt;1-12&lt;/pages&gt;&lt;volume&gt;19&lt;/volume&gt;&lt;number&gt;1&lt;/number&gt;&lt;dates&gt;&lt;year&gt;2019&lt;/year&gt;&lt;/dates&gt;&lt;isbn&gt;1472-6963&lt;/isbn&gt;&lt;urls&gt;&lt;/urls&gt;&lt;/record&gt;&lt;/Cite&gt;&lt;/EndNote&gt;</w:instrText>
      </w:r>
      <w:r w:rsidR="005B047A" w:rsidRPr="004C78D8">
        <w:fldChar w:fldCharType="separate"/>
      </w:r>
      <w:r w:rsidR="00513646" w:rsidRPr="004C78D8">
        <w:rPr>
          <w:noProof/>
        </w:rPr>
        <w:t>[121, 122]</w:t>
      </w:r>
      <w:r w:rsidR="005B047A" w:rsidRPr="004C78D8">
        <w:fldChar w:fldCharType="end"/>
      </w:r>
      <w:r w:rsidR="005B047A" w:rsidRPr="004C78D8">
        <w:t xml:space="preserve">. </w:t>
      </w:r>
      <w:r w:rsidR="00F24AEC" w:rsidRPr="004C78D8">
        <w:t xml:space="preserve">Therefore, coherent implementation strategies are required to generate the intended </w:t>
      </w:r>
      <w:r w:rsidR="00D44CEE" w:rsidRPr="004C78D8">
        <w:t>access and efficacy levels</w:t>
      </w:r>
      <w:r w:rsidR="00F24AEC" w:rsidRPr="004C78D8">
        <w:t xml:space="preserve">. </w:t>
      </w:r>
      <w:r w:rsidR="007D2D32" w:rsidRPr="004C78D8">
        <w:t xml:space="preserve">Attention </w:t>
      </w:r>
      <w:r w:rsidR="00D44CEE" w:rsidRPr="004C78D8">
        <w:t>should</w:t>
      </w:r>
      <w:r w:rsidR="007D2D32" w:rsidRPr="004C78D8">
        <w:t xml:space="preserve"> also be paid to how </w:t>
      </w:r>
      <w:r w:rsidRPr="004C78D8">
        <w:t>intervention access and experience vary</w:t>
      </w:r>
      <w:r w:rsidR="007D2D32" w:rsidRPr="004C78D8">
        <w:t xml:space="preserve"> across subgroups</w:t>
      </w:r>
      <w:r w:rsidR="00F24AEC" w:rsidRPr="004C78D8">
        <w:t xml:space="preserve"> to ensure that </w:t>
      </w:r>
      <w:r w:rsidR="007D2D32" w:rsidRPr="004C78D8">
        <w:t>already vulnerable groups are not further disadvantaged</w:t>
      </w:r>
      <w:r w:rsidRPr="004C78D8">
        <w:t xml:space="preserve"> </w:t>
      </w:r>
      <w:r w:rsidR="00F24AEC" w:rsidRPr="004C78D8">
        <w:t xml:space="preserve">by </w:t>
      </w:r>
      <w:r w:rsidR="00D44CEE" w:rsidRPr="004C78D8">
        <w:t xml:space="preserve">inequitable </w:t>
      </w:r>
      <w:r w:rsidR="00F24AEC" w:rsidRPr="004C78D8">
        <w:t>access</w:t>
      </w:r>
      <w:r w:rsidR="007D2D32" w:rsidRPr="004C78D8">
        <w:t xml:space="preserve"> </w:t>
      </w:r>
      <w:r w:rsidR="007D2D32" w:rsidRPr="004C78D8">
        <w:fldChar w:fldCharType="begin"/>
      </w:r>
      <w:r w:rsidR="00513646" w:rsidRPr="004C78D8">
        <w:instrText xml:space="preserve"> ADDIN EN.CITE &lt;EndNote&gt;&lt;Cite&gt;&lt;Author&gt;Asaria&lt;/Author&gt;&lt;Year&gt;2016&lt;/Year&gt;&lt;RecNum&gt;361&lt;/RecNum&gt;&lt;DisplayText&gt;[109]&lt;/DisplayText&gt;&lt;record&gt;&lt;rec-number&gt;361&lt;/rec-number&gt;&lt;foreign-keys&gt;&lt;key app="EN" db-id="tdtrdw9aepptzbefsat599syza29sxsd2wsp" timestamp="1612265402"&gt;361&lt;/key&gt;&lt;/foreign-keys&gt;&lt;ref-type name="Journal Article"&gt;17&lt;/ref-type&gt;&lt;contributors&gt;&lt;authors&gt;&lt;author&gt;Asaria, Miqdad&lt;/author&gt;&lt;author&gt;Griffin, Susan&lt;/author&gt;&lt;author&gt;Cookson, Richard&lt;/author&gt;&lt;/authors&gt;&lt;/contributors&gt;&lt;titles&gt;&lt;title&gt;Distributional Cost-Effectiveness Analysis: A Tutorial&lt;/title&gt;&lt;secondary-title&gt;Medical decision making&lt;/secondary-title&gt;&lt;/titles&gt;&lt;periodical&gt;&lt;full-title&gt;Medical Decision Making&lt;/full-title&gt;&lt;/periodical&gt;&lt;pages&gt;8-19&lt;/pages&gt;&lt;volume&gt;36&lt;/volume&gt;&lt;number&gt;1&lt;/number&gt;&lt;keywords&gt;&lt;keyword&gt;cost-effectiveness analysis&lt;/keyword&gt;&lt;keyword&gt;economic evaluation&lt;/keyword&gt;&lt;keyword&gt;efficiency&lt;/keyword&gt;&lt;keyword&gt;equality&lt;/keyword&gt;&lt;keyword&gt;equity&lt;/keyword&gt;&lt;keyword&gt;fairness&lt;/keyword&gt;&lt;keyword&gt;health distribution&lt;/keyword&gt;&lt;keyword&gt;health inequality&lt;/keyword&gt;&lt;keyword&gt;inequality measures&lt;/keyword&gt;&lt;keyword&gt;opportunity cost&lt;/keyword&gt;&lt;keyword&gt;social value judgments&lt;/keyword&gt;&lt;keyword&gt;social welfare functions&lt;/keyword&gt;&lt;keyword&gt;tradeoff&lt;/keyword&gt;&lt;/keywords&gt;&lt;dates&gt;&lt;year&gt;2016&lt;/year&gt;&lt;pub-dates&gt;&lt;date&gt;1/1&lt;/date&gt;&lt;/pub-dates&gt;&lt;/dates&gt;&lt;isbn&gt;0272-989X&lt;/isbn&gt;&lt;work-type&gt;Article&lt;/work-type&gt;&lt;urls&gt;&lt;related-urls&gt;&lt;url&gt;http://www.scopus.com/inward/record.url?scp=84950117843&amp;amp;partnerID=8YFLogxK&lt;/url&gt;&lt;/related-urls&gt;&lt;/urls&gt;&lt;electronic-resource-num&gt;10.1177/0272989X15583266&lt;/electronic-resource-num&gt;&lt;/record&gt;&lt;/Cite&gt;&lt;/EndNote&gt;</w:instrText>
      </w:r>
      <w:r w:rsidR="007D2D32" w:rsidRPr="004C78D8">
        <w:fldChar w:fldCharType="separate"/>
      </w:r>
      <w:r w:rsidR="00513646" w:rsidRPr="004C78D8">
        <w:rPr>
          <w:noProof/>
        </w:rPr>
        <w:t>[109]</w:t>
      </w:r>
      <w:r w:rsidR="007D2D32" w:rsidRPr="004C78D8">
        <w:fldChar w:fldCharType="end"/>
      </w:r>
      <w:r w:rsidR="007D2D32" w:rsidRPr="004C78D8">
        <w:t xml:space="preserve">. </w:t>
      </w:r>
      <w:r w:rsidR="007A4748" w:rsidRPr="004C78D8">
        <w:t>Moreover, the implementation strateg</w:t>
      </w:r>
      <w:r w:rsidR="00D44CEE" w:rsidRPr="004C78D8">
        <w:t>ies</w:t>
      </w:r>
      <w:r w:rsidR="007A4748" w:rsidRPr="004C78D8">
        <w:t xml:space="preserve"> would likely require the close involvement of nonclinical staff in the community to manage several aspects of the intervention pathway that </w:t>
      </w:r>
      <w:r w:rsidR="005014A3" w:rsidRPr="004C78D8">
        <w:t>require</w:t>
      </w:r>
      <w:r w:rsidR="00D44CEE" w:rsidRPr="004C78D8">
        <w:t xml:space="preserve"> intimate community knowledge</w:t>
      </w:r>
      <w:r w:rsidR="007A4748" w:rsidRPr="004C78D8">
        <w:t xml:space="preserve"> (e.g., </w:t>
      </w:r>
      <w:r w:rsidR="00D44CEE" w:rsidRPr="004C78D8">
        <w:t>peer-to-peer</w:t>
      </w:r>
      <w:r w:rsidR="007A4748" w:rsidRPr="004C78D8">
        <w:t xml:space="preserve"> marketing to raise intervention uptake)</w:t>
      </w:r>
      <w:r w:rsidR="00C91FD7" w:rsidRPr="004C78D8">
        <w:t xml:space="preserve"> </w:t>
      </w:r>
      <w:r w:rsidR="00C91FD7" w:rsidRPr="004C78D8">
        <w:fldChar w:fldCharType="begin"/>
      </w:r>
      <w:r w:rsidR="00513646" w:rsidRPr="004C78D8">
        <w:instrText xml:space="preserve"> ADDIN EN.CITE &lt;EndNote&gt;&lt;Cite&gt;&lt;Author&gt;Stoop&lt;/Author&gt;&lt;Year&gt;2019&lt;/Year&gt;&lt;RecNum&gt;494&lt;/RecNum&gt;&lt;DisplayText&gt;[123]&lt;/DisplayText&gt;&lt;record&gt;&lt;rec-number&gt;494&lt;/rec-number&gt;&lt;foreign-keys&gt;&lt;key app="EN" db-id="tdtrdw9aepptzbefsat599syza29sxsd2wsp" timestamp="1617271719"&gt;494&lt;/key&gt;&lt;/foreign-keys&gt;&lt;ref-type name="Journal Article"&gt;17&lt;/ref-type&gt;&lt;contributors&gt;&lt;authors&gt;&lt;author&gt;Stoop, Annerieke&lt;/author&gt;&lt;author&gt;De Bruin, Simone R&lt;/author&gt;&lt;author&gt;Wistow, Gerald&lt;/author&gt;&lt;author&gt;Billings, Jenny&lt;/author&gt;&lt;author&gt;Ruppe, Georg&lt;/author&gt;&lt;author&gt;Leichsenring, Kai&lt;/author&gt;&lt;author&gt;Obermann, Konrad&lt;/author&gt;&lt;author&gt;Baan, Caroline A&lt;/author&gt;&lt;author&gt;Nijpels, Giel&lt;/author&gt;&lt;/authors&gt;&lt;/contributors&gt;&lt;titles&gt;&lt;title&gt;Exploring improvement plans of fourteen European integrated care sites for older people with complex needs&lt;/title&gt;&lt;secondary-title&gt;Health Policy&lt;/secondary-title&gt;&lt;/titles&gt;&lt;periodical&gt;&lt;full-title&gt;Health Policy&lt;/full-title&gt;&lt;/periodical&gt;&lt;pages&gt;1135-1154&lt;/pages&gt;&lt;volume&gt;123&lt;/volume&gt;&lt;number&gt;12&lt;/number&gt;&lt;dates&gt;&lt;year&gt;2019&lt;/year&gt;&lt;/dates&gt;&lt;isbn&gt;0168-8510&lt;/isbn&gt;&lt;urls&gt;&lt;/urls&gt;&lt;/record&gt;&lt;/Cite&gt;&lt;/EndNote&gt;</w:instrText>
      </w:r>
      <w:r w:rsidR="00C91FD7" w:rsidRPr="004C78D8">
        <w:fldChar w:fldCharType="separate"/>
      </w:r>
      <w:r w:rsidR="00513646" w:rsidRPr="004C78D8">
        <w:rPr>
          <w:noProof/>
        </w:rPr>
        <w:t>[123]</w:t>
      </w:r>
      <w:r w:rsidR="00C91FD7" w:rsidRPr="004C78D8">
        <w:fldChar w:fldCharType="end"/>
      </w:r>
      <w:r w:rsidR="002D1689" w:rsidRPr="004C78D8">
        <w:t>.</w:t>
      </w:r>
      <w:r w:rsidR="00997A7E" w:rsidRPr="004C78D8">
        <w:t xml:space="preserve"> Accordingly, the </w:t>
      </w:r>
      <w:r w:rsidR="00CF2FF2" w:rsidRPr="004C78D8">
        <w:t xml:space="preserve">UK Department of Health emphasises the need for “strong partnerships between communities, business and the voluntary sector” to address geriatric health challenges </w:t>
      </w:r>
      <w:r w:rsidR="00CF2FF2" w:rsidRPr="004C78D8">
        <w:fldChar w:fldCharType="begin"/>
      </w:r>
      <w:r w:rsidR="00513646" w:rsidRPr="004C78D8">
        <w:instrText xml:space="preserve"> ADDIN EN.CITE &lt;EndNote&gt;&lt;Cite&gt;&lt;Author&gt;Department of Health&lt;/Author&gt;&lt;Year&gt;2010&lt;/Year&gt;&lt;RecNum&gt;3&lt;/RecNum&gt;&lt;DisplayText&gt;[93]&lt;/DisplayText&gt;&lt;record&gt;&lt;rec-number&gt;3&lt;/rec-number&gt;&lt;foreign-keys&gt;&lt;key app="EN" db-id="tdtrdw9aepptzbefsat599syza29sxsd2wsp" timestamp="1596571158"&gt;3&lt;/key&gt;&lt;/foreign-keys&gt;&lt;ref-type name="Book"&gt;6&lt;/ref-type&gt;&lt;contributors&gt;&lt;authors&gt;&lt;author&gt;Department of Health,&lt;/author&gt;&lt;/authors&gt;&lt;/contributors&gt;&lt;titles&gt;&lt;title&gt;Healthy lives, healthy people: Our strategy for public health in England&lt;/title&gt;&lt;/titles&gt;&lt;volume&gt;7985&lt;/volume&gt;&lt;dates&gt;&lt;year&gt;2010&lt;/year&gt;&lt;/dates&gt;&lt;publisher&gt;The Stationery Office&lt;/publisher&gt;&lt;isbn&gt;0101798520&lt;/isbn&gt;&lt;urls&gt;&lt;/urls&gt;&lt;/record&gt;&lt;/Cite&gt;&lt;/EndNote&gt;</w:instrText>
      </w:r>
      <w:r w:rsidR="00CF2FF2" w:rsidRPr="004C78D8">
        <w:fldChar w:fldCharType="separate"/>
      </w:r>
      <w:r w:rsidR="00513646" w:rsidRPr="004C78D8">
        <w:rPr>
          <w:noProof/>
        </w:rPr>
        <w:t>[93]</w:t>
      </w:r>
      <w:r w:rsidR="00CF2FF2" w:rsidRPr="004C78D8">
        <w:fldChar w:fldCharType="end"/>
      </w:r>
      <w:r w:rsidR="00CF2FF2" w:rsidRPr="004C78D8">
        <w:t xml:space="preserve">. </w:t>
      </w:r>
      <w:r w:rsidR="00D44CEE" w:rsidRPr="004C78D8">
        <w:t>The</w:t>
      </w:r>
      <w:r w:rsidR="0026421E" w:rsidRPr="004C78D8">
        <w:t>se</w:t>
      </w:r>
      <w:r w:rsidR="00D44CEE" w:rsidRPr="004C78D8">
        <w:t xml:space="preserve"> implementation strategies could be classified as organisational integration promoting access and/or intersectoral integration if involving diverse community organisations.</w:t>
      </w:r>
    </w:p>
    <w:p w14:paraId="7EC35FEC" w14:textId="7FC292AB" w:rsidR="00F64B5F" w:rsidRPr="004C78D8" w:rsidRDefault="00F64B5F" w:rsidP="00FB7C1F"/>
    <w:p w14:paraId="5EC277C6" w14:textId="6F656983" w:rsidR="009E70B1" w:rsidRPr="004C78D8" w:rsidRDefault="009E70B1" w:rsidP="00FB7C1F">
      <w:pPr>
        <w:pStyle w:val="Heading3"/>
      </w:pPr>
      <w:bookmarkStart w:id="29" w:name="_Toc111630694"/>
      <w:r w:rsidRPr="004C78D8">
        <w:t xml:space="preserve">1.3.3 </w:t>
      </w:r>
      <w:r w:rsidR="00F505AC" w:rsidRPr="004C78D8">
        <w:t>Geriatric f</w:t>
      </w:r>
      <w:r w:rsidRPr="004C78D8">
        <w:t>alls prevention</w:t>
      </w:r>
      <w:bookmarkEnd w:id="29"/>
    </w:p>
    <w:p w14:paraId="0C35CFAF" w14:textId="2BFB28F5" w:rsidR="004D19DD" w:rsidRPr="004C78D8" w:rsidRDefault="00C71774" w:rsidP="00FB7C1F">
      <w:r w:rsidRPr="004C78D8">
        <w:t xml:space="preserve">This section introduces the key strategies and components of geriatric community-based falls prevention as evaluated in randomised controlled trials (RCTs) (Section 1.3.3.1) and recommended in UK clinical and public health guidelines (Section 1.3.3.2). It then summarises how falls prevention </w:t>
      </w:r>
      <w:r w:rsidR="006D14A3" w:rsidRPr="004C78D8">
        <w:t xml:space="preserve">can be seen as a representative geriatric public health intervention </w:t>
      </w:r>
      <w:r w:rsidR="00613C1B" w:rsidRPr="004C78D8">
        <w:t>(Section 1.3.3.</w:t>
      </w:r>
      <w:r w:rsidRPr="004C78D8">
        <w:t>3</w:t>
      </w:r>
      <w:r w:rsidR="00613C1B" w:rsidRPr="004C78D8">
        <w:t xml:space="preserve">). </w:t>
      </w:r>
    </w:p>
    <w:p w14:paraId="0E6A97FC" w14:textId="1FE62B4C" w:rsidR="00C71774" w:rsidRPr="004C78D8" w:rsidRDefault="00C71774" w:rsidP="00FB7C1F">
      <w:pPr>
        <w:pStyle w:val="Heading4"/>
      </w:pPr>
      <w:r w:rsidRPr="004C78D8">
        <w:t>1.3.3.1 Range of efficacious community-based falls prevention interventions</w:t>
      </w:r>
    </w:p>
    <w:p w14:paraId="2A555ACA" w14:textId="055947FC" w:rsidR="00C71774" w:rsidRPr="004C78D8" w:rsidRDefault="00C71774" w:rsidP="00FB7C1F">
      <w:r w:rsidRPr="004C78D8">
        <w:t xml:space="preserve">In the comprehensive 2012 Cochrane Review of community-based falls prevention </w:t>
      </w:r>
      <w:r w:rsidR="0056361C" w:rsidRPr="004C78D8">
        <w:t>RCTs</w:t>
      </w:r>
      <w:r w:rsidRPr="004C78D8">
        <w:t xml:space="preserve"> the following range of interventions were identified </w:t>
      </w:r>
      <w:r w:rsidRPr="004C78D8">
        <w:fldChar w:fldCharType="begin"/>
      </w:r>
      <w:r w:rsidR="00513646" w:rsidRPr="004C78D8">
        <w:instrText xml:space="preserve"> ADDIN EN.CITE &lt;EndNote&gt;&lt;Cite&gt;&lt;Author&gt;Gillespie&lt;/Author&gt;&lt;Year&gt;2012&lt;/Year&gt;&lt;RecNum&gt;52&lt;/RecNum&gt;&lt;DisplayText&gt;[124]&lt;/DisplayText&gt;&lt;record&gt;&lt;rec-number&gt;52&lt;/rec-number&gt;&lt;foreign-keys&gt;&lt;key app="EN" db-id="tdtrdw9aepptzbefsat599syza29sxsd2wsp" timestamp="1597844815"&gt;52&lt;/key&gt;&lt;/foreign-keys&gt;&lt;ref-type name="Journal Article"&gt;17&lt;/ref-type&gt;&lt;contributors&gt;&lt;authors&gt;&lt;author&gt;Gillespie, Lesley D&lt;/author&gt;&lt;author&gt;Robertson, M Clare&lt;/author&gt;&lt;author&gt;Gillespie, William J&lt;/author&gt;&lt;author&gt;Sherrington, Catherine&lt;/author&gt;&lt;author&gt;Gates, Simon&lt;/author&gt;&lt;author&gt;Clemson, Lindy M&lt;/author&gt;&lt;author&gt;Lamb, Sarah E&lt;/author&gt;&lt;/authors&gt;&lt;/contributors&gt;&lt;titles&gt;&lt;title&gt;Interventions for preventing falls in older people living in the community&lt;/title&gt;&lt;secondary-title&gt;Cochrane database of systematic reviews&lt;/secondary-title&gt;&lt;/titles&gt;&lt;periodical&gt;&lt;full-title&gt;Cochrane database of systematic reviews&lt;/full-title&gt;&lt;/periodical&gt;&lt;number&gt;9&lt;/number&gt;&lt;dates&gt;&lt;year&gt;2012&lt;/year&gt;&lt;/dates&gt;&lt;isbn&gt;1465-1858&lt;/isbn&gt;&lt;urls&gt;&lt;/urls&gt;&lt;/record&gt;&lt;/Cite&gt;&lt;/EndNote&gt;</w:instrText>
      </w:r>
      <w:r w:rsidRPr="004C78D8">
        <w:fldChar w:fldCharType="separate"/>
      </w:r>
      <w:r w:rsidR="00513646" w:rsidRPr="004C78D8">
        <w:rPr>
          <w:noProof/>
        </w:rPr>
        <w:t>[124]</w:t>
      </w:r>
      <w:r w:rsidRPr="004C78D8">
        <w:fldChar w:fldCharType="end"/>
      </w:r>
      <w:r w:rsidRPr="004C78D8">
        <w:t>:</w:t>
      </w:r>
    </w:p>
    <w:p w14:paraId="2788D2B9" w14:textId="77777777" w:rsidR="00C71774" w:rsidRPr="004C78D8" w:rsidRDefault="00C71774" w:rsidP="00FB7C1F">
      <w:pPr>
        <w:pStyle w:val="ListParagraph"/>
        <w:numPr>
          <w:ilvl w:val="0"/>
          <w:numId w:val="18"/>
        </w:numPr>
      </w:pPr>
      <w:r w:rsidRPr="004C78D8">
        <w:t>Exercise treatments – group exercise, home exercise and Tai Chi</w:t>
      </w:r>
    </w:p>
    <w:p w14:paraId="4708C6CB" w14:textId="77777777" w:rsidR="00C71774" w:rsidRPr="004C78D8" w:rsidRDefault="00C71774" w:rsidP="00FB7C1F">
      <w:pPr>
        <w:pStyle w:val="ListParagraph"/>
        <w:numPr>
          <w:ilvl w:val="0"/>
          <w:numId w:val="18"/>
        </w:numPr>
      </w:pPr>
      <w:r w:rsidRPr="004C78D8">
        <w:t>Home assessment and modification (HAM)</w:t>
      </w:r>
    </w:p>
    <w:p w14:paraId="36BF2D71" w14:textId="77777777" w:rsidR="00C71774" w:rsidRPr="004C78D8" w:rsidRDefault="00C71774" w:rsidP="00FB7C1F">
      <w:pPr>
        <w:pStyle w:val="ListParagraph"/>
        <w:numPr>
          <w:ilvl w:val="0"/>
          <w:numId w:val="18"/>
        </w:numPr>
      </w:pPr>
      <w:r w:rsidRPr="004C78D8">
        <w:t>Expedited cataract surgery</w:t>
      </w:r>
    </w:p>
    <w:p w14:paraId="5F3F1DC4" w14:textId="77777777" w:rsidR="00C71774" w:rsidRPr="004C78D8" w:rsidRDefault="00C71774" w:rsidP="00FB7C1F">
      <w:pPr>
        <w:pStyle w:val="ListParagraph"/>
        <w:numPr>
          <w:ilvl w:val="0"/>
          <w:numId w:val="18"/>
        </w:numPr>
      </w:pPr>
      <w:r w:rsidRPr="004C78D8">
        <w:t>Vision improvement interventions other than cataract surgery</w:t>
      </w:r>
    </w:p>
    <w:p w14:paraId="1365E09E" w14:textId="77777777" w:rsidR="00C71774" w:rsidRPr="004C78D8" w:rsidRDefault="00C71774" w:rsidP="00FB7C1F">
      <w:pPr>
        <w:pStyle w:val="ListParagraph"/>
        <w:numPr>
          <w:ilvl w:val="0"/>
          <w:numId w:val="18"/>
        </w:numPr>
      </w:pPr>
      <w:r w:rsidRPr="004C78D8">
        <w:t>Medication review followed by withdrawal or modification if appropriate</w:t>
      </w:r>
    </w:p>
    <w:p w14:paraId="4666BCE7" w14:textId="77777777" w:rsidR="00C71774" w:rsidRPr="004C78D8" w:rsidRDefault="00C71774" w:rsidP="00FB7C1F">
      <w:pPr>
        <w:pStyle w:val="ListParagraph"/>
        <w:numPr>
          <w:ilvl w:val="0"/>
          <w:numId w:val="18"/>
        </w:numPr>
      </w:pPr>
      <w:r w:rsidRPr="004C78D8">
        <w:lastRenderedPageBreak/>
        <w:t>Vitamin D supplementation</w:t>
      </w:r>
    </w:p>
    <w:p w14:paraId="6E69C9E6" w14:textId="77777777" w:rsidR="00C71774" w:rsidRPr="004C78D8" w:rsidRDefault="00C71774" w:rsidP="00FB7C1F">
      <w:pPr>
        <w:pStyle w:val="ListParagraph"/>
        <w:numPr>
          <w:ilvl w:val="0"/>
          <w:numId w:val="18"/>
        </w:numPr>
      </w:pPr>
      <w:r w:rsidRPr="004C78D8">
        <w:t>Cardiac pacing</w:t>
      </w:r>
    </w:p>
    <w:p w14:paraId="6B73708B" w14:textId="77777777" w:rsidR="00C71774" w:rsidRPr="004C78D8" w:rsidRDefault="00C71774" w:rsidP="00FB7C1F">
      <w:pPr>
        <w:pStyle w:val="ListParagraph"/>
        <w:numPr>
          <w:ilvl w:val="0"/>
          <w:numId w:val="18"/>
        </w:numPr>
      </w:pPr>
      <w:r w:rsidRPr="004C78D8">
        <w:t>Podiatry</w:t>
      </w:r>
    </w:p>
    <w:p w14:paraId="46B1653A" w14:textId="77777777" w:rsidR="00C71774" w:rsidRPr="004C78D8" w:rsidRDefault="00C71774" w:rsidP="00FB7C1F">
      <w:pPr>
        <w:pStyle w:val="ListParagraph"/>
        <w:numPr>
          <w:ilvl w:val="0"/>
          <w:numId w:val="18"/>
        </w:numPr>
      </w:pPr>
      <w:r w:rsidRPr="004C78D8">
        <w:t xml:space="preserve">Footwear change </w:t>
      </w:r>
    </w:p>
    <w:p w14:paraId="1E854F18" w14:textId="77777777" w:rsidR="00C71774" w:rsidRPr="004C78D8" w:rsidRDefault="00C71774" w:rsidP="00FB7C1F">
      <w:pPr>
        <w:pStyle w:val="ListParagraph"/>
        <w:numPr>
          <w:ilvl w:val="0"/>
          <w:numId w:val="18"/>
        </w:numPr>
      </w:pPr>
      <w:r w:rsidRPr="004C78D8">
        <w:t>Assistive device</w:t>
      </w:r>
    </w:p>
    <w:p w14:paraId="7B380A35" w14:textId="77777777" w:rsidR="00C71774" w:rsidRPr="004C78D8" w:rsidRDefault="00C71774" w:rsidP="00FB7C1F">
      <w:pPr>
        <w:pStyle w:val="ListParagraph"/>
        <w:numPr>
          <w:ilvl w:val="0"/>
          <w:numId w:val="18"/>
        </w:numPr>
      </w:pPr>
      <w:r w:rsidRPr="004C78D8">
        <w:t>Cognitive behavioural interventions</w:t>
      </w:r>
    </w:p>
    <w:p w14:paraId="2FEC7FD4" w14:textId="77777777" w:rsidR="00C71774" w:rsidRPr="004C78D8" w:rsidRDefault="00C71774" w:rsidP="00FB7C1F">
      <w:pPr>
        <w:pStyle w:val="ListParagraph"/>
        <w:numPr>
          <w:ilvl w:val="0"/>
          <w:numId w:val="18"/>
        </w:numPr>
      </w:pPr>
      <w:r w:rsidRPr="004C78D8">
        <w:t>Falls prevention education</w:t>
      </w:r>
    </w:p>
    <w:p w14:paraId="1EF0A323" w14:textId="77777777" w:rsidR="00C71774" w:rsidRPr="004C78D8" w:rsidRDefault="00C71774" w:rsidP="00FB7C1F">
      <w:pPr>
        <w:pStyle w:val="ListParagraph"/>
        <w:numPr>
          <w:ilvl w:val="0"/>
          <w:numId w:val="18"/>
        </w:numPr>
      </w:pPr>
      <w:r w:rsidRPr="004C78D8">
        <w:t>Multiple-component intervention – combination of two or more interventions above without individual tailoring</w:t>
      </w:r>
    </w:p>
    <w:p w14:paraId="10AF3542" w14:textId="77777777" w:rsidR="00C71774" w:rsidRPr="004C78D8" w:rsidRDefault="00C71774" w:rsidP="00FB7C1F">
      <w:pPr>
        <w:pStyle w:val="ListParagraph"/>
        <w:numPr>
          <w:ilvl w:val="0"/>
          <w:numId w:val="18"/>
        </w:numPr>
      </w:pPr>
      <w:r w:rsidRPr="004C78D8">
        <w:t>Multifactorial risk assessment – multidisciplinary assessment of falls risk factors and referrals to individually tailored treatments but no direct provision of treatments</w:t>
      </w:r>
    </w:p>
    <w:p w14:paraId="2C9AD9A7" w14:textId="77777777" w:rsidR="00C71774" w:rsidRPr="004C78D8" w:rsidRDefault="00C71774" w:rsidP="00FB7C1F">
      <w:pPr>
        <w:pStyle w:val="ListParagraph"/>
        <w:numPr>
          <w:ilvl w:val="0"/>
          <w:numId w:val="18"/>
        </w:numPr>
      </w:pPr>
      <w:r w:rsidRPr="004C78D8">
        <w:t>Multifactorial intervention – multidisciplinary assessment of falls risk factors and direct provision of treatments</w:t>
      </w:r>
    </w:p>
    <w:p w14:paraId="5428C234" w14:textId="76E2268B" w:rsidR="00C71774" w:rsidRPr="004C78D8" w:rsidRDefault="00C71774" w:rsidP="00FB7C1F">
      <w:r w:rsidRPr="004C78D8">
        <w:t xml:space="preserve">All intervention types above were found to significantly reduce the number of falls and/or fallers, except for vision improvement other than cataract surgery, vitamin D supplementation, cognitive behavioural interventions and falls prevention education alone </w:t>
      </w:r>
      <w:r w:rsidRPr="004C78D8">
        <w:fldChar w:fldCharType="begin"/>
      </w:r>
      <w:r w:rsidR="00513646" w:rsidRPr="004C78D8">
        <w:instrText xml:space="preserve"> ADDIN EN.CITE &lt;EndNote&gt;&lt;Cite&gt;&lt;Author&gt;Gillespie&lt;/Author&gt;&lt;Year&gt;2012&lt;/Year&gt;&lt;RecNum&gt;52&lt;/RecNum&gt;&lt;DisplayText&gt;[124]&lt;/DisplayText&gt;&lt;record&gt;&lt;rec-number&gt;52&lt;/rec-number&gt;&lt;foreign-keys&gt;&lt;key app="EN" db-id="tdtrdw9aepptzbefsat599syza29sxsd2wsp" timestamp="1597844815"&gt;52&lt;/key&gt;&lt;/foreign-keys&gt;&lt;ref-type name="Journal Article"&gt;17&lt;/ref-type&gt;&lt;contributors&gt;&lt;authors&gt;&lt;author&gt;Gillespie, Lesley D&lt;/author&gt;&lt;author&gt;Robertson, M Clare&lt;/author&gt;&lt;author&gt;Gillespie, William J&lt;/author&gt;&lt;author&gt;Sherrington, Catherine&lt;/author&gt;&lt;author&gt;Gates, Simon&lt;/author&gt;&lt;author&gt;Clemson, Lindy M&lt;/author&gt;&lt;author&gt;Lamb, Sarah E&lt;/author&gt;&lt;/authors&gt;&lt;/contributors&gt;&lt;titles&gt;&lt;title&gt;Interventions for preventing falls in older people living in the community&lt;/title&gt;&lt;secondary-title&gt;Cochrane database of systematic reviews&lt;/secondary-title&gt;&lt;/titles&gt;&lt;periodical&gt;&lt;full-title&gt;Cochrane database of systematic reviews&lt;/full-title&gt;&lt;/periodical&gt;&lt;number&gt;9&lt;/number&gt;&lt;dates&gt;&lt;year&gt;2012&lt;/year&gt;&lt;/dates&gt;&lt;isbn&gt;1465-1858&lt;/isbn&gt;&lt;urls&gt;&lt;/urls&gt;&lt;/record&gt;&lt;/Cite&gt;&lt;/EndNote&gt;</w:instrText>
      </w:r>
      <w:r w:rsidRPr="004C78D8">
        <w:fldChar w:fldCharType="separate"/>
      </w:r>
      <w:r w:rsidR="00513646" w:rsidRPr="004C78D8">
        <w:rPr>
          <w:noProof/>
        </w:rPr>
        <w:t>[124]</w:t>
      </w:r>
      <w:r w:rsidRPr="004C78D8">
        <w:fldChar w:fldCharType="end"/>
      </w:r>
      <w:r w:rsidRPr="004C78D8">
        <w:t xml:space="preserve">. More recent updates of the Cochrane Review for community-based exercise interventions </w:t>
      </w:r>
      <w:r w:rsidRPr="004C78D8">
        <w:fldChar w:fldCharType="begin"/>
      </w:r>
      <w:r w:rsidR="00513646" w:rsidRPr="004C78D8">
        <w:instrText xml:space="preserve"> ADDIN EN.CITE &lt;EndNote&gt;&lt;Cite&gt;&lt;Author&gt;Sherrington&lt;/Author&gt;&lt;Year&gt;2019&lt;/Year&gt;&lt;RecNum&gt;310&lt;/RecNum&gt;&lt;DisplayText&gt;[125]&lt;/DisplayText&gt;&lt;record&gt;&lt;rec-number&gt;310&lt;/rec-number&gt;&lt;foreign-keys&gt;&lt;key app="EN" db-id="tdtrdw9aepptzbefsat599syza29sxsd2wsp" timestamp="1612016357"&gt;310&lt;/key&gt;&lt;/foreign-keys&gt;&lt;ref-type name="Journal Article"&gt;17&lt;/ref-type&gt;&lt;contributors&gt;&lt;authors&gt;&lt;author&gt;Sherrington, Catherine&lt;/author&gt;&lt;author&gt;Fairhall, Nicola J&lt;/author&gt;&lt;author&gt;Wallbank, Geraldine K&lt;/author&gt;&lt;author&gt;Tiedemann, Anne&lt;/author&gt;&lt;author&gt;Michaleff, Zoe A&lt;/author&gt;&lt;author&gt;Howard, Kirsten&lt;/author&gt;&lt;author&gt;Clemson, Lindy&lt;/author&gt;&lt;author&gt;Hopewell, Sally&lt;/author&gt;&lt;author&gt;Lamb, Sarah E&lt;/author&gt;&lt;/authors&gt;&lt;/contributors&gt;&lt;titles&gt;&lt;title&gt;Exercise for preventing falls in older people living in the community&lt;/title&gt;&lt;secondary-title&gt;Cochrane database of systematic reviews&lt;/secondary-title&gt;&lt;/titles&gt;&lt;periodical&gt;&lt;full-title&gt;Cochrane database of systematic reviews&lt;/full-title&gt;&lt;/periodical&gt;&lt;number&gt;1&lt;/number&gt;&lt;dates&gt;&lt;year&gt;2019&lt;/year&gt;&lt;/dates&gt;&lt;isbn&gt;1465-1858&lt;/isbn&gt;&lt;urls&gt;&lt;/urls&gt;&lt;/record&gt;&lt;/Cite&gt;&lt;/EndNote&gt;</w:instrText>
      </w:r>
      <w:r w:rsidRPr="004C78D8">
        <w:fldChar w:fldCharType="separate"/>
      </w:r>
      <w:r w:rsidR="00513646" w:rsidRPr="004C78D8">
        <w:rPr>
          <w:noProof/>
        </w:rPr>
        <w:t>[125]</w:t>
      </w:r>
      <w:r w:rsidRPr="004C78D8">
        <w:fldChar w:fldCharType="end"/>
      </w:r>
      <w:r w:rsidRPr="004C78D8">
        <w:t xml:space="preserve"> and multifactorial and multiple-component interventions </w:t>
      </w:r>
      <w:r w:rsidRPr="004C78D8">
        <w:fldChar w:fldCharType="begin"/>
      </w:r>
      <w:r w:rsidR="00513646" w:rsidRPr="004C78D8">
        <w:instrText xml:space="preserve"> ADDIN EN.CITE &lt;EndNote&gt;&lt;Cite&gt;&lt;Author&gt;Hopewell&lt;/Author&gt;&lt;Year&gt;2018&lt;/Year&gt;&lt;RecNum&gt;261&lt;/RecNum&gt;&lt;DisplayText&gt;[126]&lt;/DisplayText&gt;&lt;record&gt;&lt;rec-number&gt;261&lt;/rec-number&gt;&lt;foreign-keys&gt;&lt;key app="EN" db-id="tdtrdw9aepptzbefsat599syza29sxsd2wsp" timestamp="1611689483"&gt;261&lt;/key&gt;&lt;/foreign-keys&gt;&lt;ref-type name="Journal Article"&gt;17&lt;/ref-type&gt;&lt;contributors&gt;&lt;authors&gt;&lt;author&gt;Hopewell, Sally&lt;/author&gt;&lt;author&gt;Adedire, Olubusola&lt;/author&gt;&lt;author&gt;Copsey, Bethan J&lt;/author&gt;&lt;author&gt;Boniface, Graham J&lt;/author&gt;&lt;author&gt;Sherrington, Catherine&lt;/author&gt;&lt;author&gt;Clemson, Lindy&lt;/author&gt;&lt;author&gt;Close, Jacqueline CT&lt;/author&gt;&lt;author&gt;Lamb, Sarah E&lt;/author&gt;&lt;/authors&gt;&lt;/contributors&gt;&lt;titles&gt;&lt;title&gt;Multifactorial and multiple component interventions for preventing falls in older people living in the community&lt;/title&gt;&lt;secondary-title&gt;Cochrane database of systematic reviews&lt;/secondary-title&gt;&lt;/titles&gt;&lt;periodical&gt;&lt;full-title&gt;Cochrane database of systematic reviews&lt;/full-title&gt;&lt;/periodical&gt;&lt;number&gt;7&lt;/number&gt;&lt;dates&gt;&lt;year&gt;2018&lt;/year&gt;&lt;/dates&gt;&lt;isbn&gt;1465-1858&lt;/isbn&gt;&lt;urls&gt;&lt;/urls&gt;&lt;/record&gt;&lt;/Cite&gt;&lt;/EndNote&gt;</w:instrText>
      </w:r>
      <w:r w:rsidRPr="004C78D8">
        <w:fldChar w:fldCharType="separate"/>
      </w:r>
      <w:r w:rsidR="00513646" w:rsidRPr="004C78D8">
        <w:rPr>
          <w:noProof/>
        </w:rPr>
        <w:t>[126]</w:t>
      </w:r>
      <w:r w:rsidRPr="004C78D8">
        <w:fldChar w:fldCharType="end"/>
      </w:r>
      <w:r w:rsidRPr="004C78D8">
        <w:t xml:space="preserve"> confirmed the results that these interventions are efficacious in trial settings. </w:t>
      </w:r>
      <w:r w:rsidR="0056361C" w:rsidRPr="004C78D8">
        <w:t>Moreover, t</w:t>
      </w:r>
      <w:r w:rsidRPr="004C78D8">
        <w:t xml:space="preserve">he decision-maker also has available environmental interventions which have been evaluated to be effective in reducing serious falls and related costs in quasi-experimental studies </w:t>
      </w:r>
      <w:r w:rsidRPr="004C78D8">
        <w:fldChar w:fldCharType="begin">
          <w:fldData xml:space="preserve">PEVuZE5vdGU+PENpdGU+PEF1dGhvcj5CZWFyZDwvQXV0aG9yPjxZZWFyPjIwMDY8L1llYXI+PFJl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==
</w:fldData>
        </w:fldChar>
      </w:r>
      <w:r w:rsidR="00513646" w:rsidRPr="004C78D8">
        <w:instrText xml:space="preserve"> ADDIN EN.CITE </w:instrText>
      </w:r>
      <w:r w:rsidR="00513646" w:rsidRPr="004C78D8">
        <w:fldChar w:fldCharType="begin">
          <w:fldData xml:space="preserve">PEVuZE5vdGU+PENpdGU+PEF1dGhvcj5CZWFyZDwvQXV0aG9yPjxZZWFyPjIwMDY8L1llYXI+PFJl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==
</w:fldData>
        </w:fldChar>
      </w:r>
      <w:r w:rsidR="00513646" w:rsidRPr="004C78D8">
        <w:instrText xml:space="preserve"> ADDIN EN.CITE.DATA </w:instrText>
      </w:r>
      <w:r w:rsidR="00513646" w:rsidRPr="004C78D8">
        <w:fldChar w:fldCharType="end"/>
      </w:r>
      <w:r w:rsidRPr="004C78D8">
        <w:fldChar w:fldCharType="separate"/>
      </w:r>
      <w:r w:rsidR="00513646" w:rsidRPr="004C78D8">
        <w:rPr>
          <w:noProof/>
        </w:rPr>
        <w:t>[127, 128]</w:t>
      </w:r>
      <w:r w:rsidRPr="004C78D8">
        <w:fldChar w:fldCharType="end"/>
      </w:r>
      <w:r w:rsidRPr="004C78D8">
        <w:t xml:space="preserve">. </w:t>
      </w:r>
      <w:r w:rsidR="0056361C" w:rsidRPr="004C78D8">
        <w:t>Thus, the decision-maker has available a wide range of falls prevention interventions with proven efficacy. How th</w:t>
      </w:r>
      <w:r w:rsidR="007C6488" w:rsidRPr="004C78D8">
        <w:t>is</w:t>
      </w:r>
      <w:r w:rsidR="0056361C" w:rsidRPr="004C78D8">
        <w:t xml:space="preserve"> trial and quasi-experimental evidence can be translated to real-world delivery and other settings remains the key issue.</w:t>
      </w:r>
    </w:p>
    <w:p w14:paraId="28C89AD7" w14:textId="71C6D59F" w:rsidR="00C71774" w:rsidRPr="004C78D8" w:rsidRDefault="00C71774" w:rsidP="00FB7C1F">
      <w:pPr>
        <w:pStyle w:val="Heading4"/>
      </w:pPr>
      <w:r w:rsidRPr="004C78D8">
        <w:t>1.3.3.2 Guideline recommended community-based falls prevention strategy</w:t>
      </w:r>
    </w:p>
    <w:p w14:paraId="32E8E813" w14:textId="2497311F" w:rsidR="00C71774" w:rsidRPr="004C78D8" w:rsidRDefault="00C71774" w:rsidP="00FB7C1F">
      <w:r w:rsidRPr="004C78D8">
        <w:t xml:space="preserve">In </w:t>
      </w:r>
      <w:r w:rsidR="00B242E4" w:rsidRPr="004C78D8">
        <w:t>England and Wales</w:t>
      </w:r>
      <w:r w:rsidRPr="004C78D8">
        <w:t xml:space="preserve">, </w:t>
      </w:r>
      <w:r w:rsidR="00B242E4" w:rsidRPr="004C78D8">
        <w:t>NICE</w:t>
      </w:r>
      <w:r w:rsidRPr="004C78D8">
        <w:t xml:space="preserve"> published its clinical guideline (CG21) in 2004 on assessment and prevention of falls in older people (aged 65+) in community and extended care settings (e.g., nursing homes). In 2013, NICE updated CG21 to include a guideline on falls prevention in the hospital inpatient setting (CG161), but the guideline on community-based prevention from CG21 remained unchanged </w:t>
      </w:r>
      <w:r w:rsidRPr="004C78D8">
        <w:fldChar w:fldCharType="begin"/>
      </w:r>
      <w:r w:rsidR="00F255A9"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Pr="004C78D8">
        <w:fldChar w:fldCharType="separate"/>
      </w:r>
      <w:r w:rsidR="00F255A9" w:rsidRPr="004C78D8">
        <w:rPr>
          <w:noProof/>
        </w:rPr>
        <w:t>[13]</w:t>
      </w:r>
      <w:r w:rsidRPr="004C78D8">
        <w:fldChar w:fldCharType="end"/>
      </w:r>
      <w:r w:rsidRPr="004C78D8">
        <w:t xml:space="preserve">. An accompanying quality standard document (QS86) was published in 2015 </w:t>
      </w:r>
      <w:r w:rsidRPr="004C78D8">
        <w:fldChar w:fldCharType="begin"/>
      </w:r>
      <w:r w:rsidR="00513646" w:rsidRPr="004C78D8">
        <w:instrText xml:space="preserve"> ADDIN EN.CITE &lt;EndNote&gt;&lt;Cite&gt;&lt;Author&gt;National Institute for Health and Care Excellence&lt;/Author&gt;&lt;Year&gt;2015&lt;/Year&gt;&lt;RecNum&gt;498&lt;/RecNum&gt;&lt;DisplayText&gt;[129]&lt;/DisplayText&gt;&lt;record&gt;&lt;rec-number&gt;498&lt;/rec-number&gt;&lt;foreign-keys&gt;&lt;key app="EN" db-id="tdtrdw9aepptzbefsat599syza29sxsd2wsp" timestamp="1617284110"&gt;498&lt;/key&gt;&lt;/foreign-keys&gt;&lt;ref-type name="Journal Article"&gt;17&lt;/ref-type&gt;&lt;contributors&gt;&lt;authors&gt;&lt;author&gt;National Institute for Health and Care Excellence,&lt;/author&gt;&lt;/authors&gt;&lt;/contributors&gt;&lt;titles&gt;&lt;title&gt;Falls in older people (QS86)&lt;/title&gt;&lt;secondary-title&gt;NICE Quality Standard 86&lt;/secondary-title&gt;&lt;/titles&gt;&lt;periodical&gt;&lt;full-title&gt;NICE Quality Standard 86&lt;/full-title&gt;&lt;/periodical&gt;&lt;volume&gt;nice.org.uk/guidance/qs86&lt;/volume&gt;&lt;dates&gt;&lt;year&gt;2015&lt;/year&gt;&lt;/dates&gt;&lt;urls&gt;&lt;/urls&gt;&lt;/record&gt;&lt;/Cite&gt;&lt;/EndNote&gt;</w:instrText>
      </w:r>
      <w:r w:rsidRPr="004C78D8">
        <w:fldChar w:fldCharType="separate"/>
      </w:r>
      <w:r w:rsidR="00513646" w:rsidRPr="004C78D8">
        <w:rPr>
          <w:noProof/>
        </w:rPr>
        <w:t>[129]</w:t>
      </w:r>
      <w:r w:rsidRPr="004C78D8">
        <w:fldChar w:fldCharType="end"/>
      </w:r>
      <w:r w:rsidRPr="004C78D8">
        <w:t xml:space="preserve">, and a surveillance was conducted in 2019 for a potential update of CG161 </w:t>
      </w:r>
      <w:r w:rsidRPr="004C78D8">
        <w:fldChar w:fldCharType="begin"/>
      </w:r>
      <w:r w:rsidR="00513646" w:rsidRPr="004C78D8">
        <w:instrText xml:space="preserve"> ADDIN EN.CITE &lt;EndNote&gt;&lt;Cite&gt;&lt;Author&gt;National Institute for Health and Care Excellence&lt;/Author&gt;&lt;Year&gt;2019&lt;/Year&gt;&lt;RecNum&gt;499&lt;/RecNum&gt;&lt;DisplayText&gt;[130]&lt;/DisplayText&gt;&lt;record&gt;&lt;rec-number&gt;499&lt;/rec-number&gt;&lt;foreign-keys&gt;&lt;key app="EN" db-id="tdtrdw9aepptzbefsat599syza29sxsd2wsp" timestamp="1617284473"&gt;499&lt;/key&gt;&lt;/foreign-keys&gt;&lt;ref-type name="Journal Article"&gt;17&lt;/ref-type&gt;&lt;contributors&gt;&lt;authors&gt;&lt;author&gt;National Institute for Health and Care Excellence,&lt;/author&gt;&lt;/authors&gt;&lt;/contributors&gt;&lt;titles&gt;&lt;title&gt;2019 surveillance of falls in older people: assessing risk and prevention (NICE guideline CG161)&lt;/title&gt;&lt;secondary-title&gt;National Institute for Health and Care Excellence&lt;/secondary-title&gt;&lt;/titles&gt;&lt;periodical&gt;&lt;full-title&gt;National Institute for Health and Care Excellence&lt;/full-title&gt;&lt;/periodical&gt;&lt;volume&gt;Published: 23 May 2019&lt;/volume&gt;&lt;dates&gt;&lt;year&gt;2019&lt;/year&gt;&lt;/dates&gt;&lt;urls&gt;&lt;/urls&gt;&lt;/record&gt;&lt;/Cite&gt;&lt;/EndNote&gt;</w:instrText>
      </w:r>
      <w:r w:rsidRPr="004C78D8">
        <w:fldChar w:fldCharType="separate"/>
      </w:r>
      <w:r w:rsidR="00513646" w:rsidRPr="004C78D8">
        <w:rPr>
          <w:noProof/>
        </w:rPr>
        <w:t>[130]</w:t>
      </w:r>
      <w:r w:rsidRPr="004C78D8">
        <w:fldChar w:fldCharType="end"/>
      </w:r>
      <w:r w:rsidRPr="004C78D8">
        <w:t xml:space="preserve">. </w:t>
      </w:r>
      <w:r w:rsidR="00D74AFD" w:rsidRPr="004C78D8">
        <w:t>This update is due June 2024 but a</w:t>
      </w:r>
      <w:r w:rsidRPr="004C78D8">
        <w:t>t the time of writing (</w:t>
      </w:r>
      <w:r w:rsidR="00D74AFD" w:rsidRPr="004C78D8">
        <w:t>Febru</w:t>
      </w:r>
      <w:r w:rsidR="00392691" w:rsidRPr="004C78D8">
        <w:t xml:space="preserve">ary </w:t>
      </w:r>
      <w:r w:rsidRPr="004C78D8">
        <w:t>202</w:t>
      </w:r>
      <w:r w:rsidR="00392691" w:rsidRPr="004C78D8">
        <w:t>2</w:t>
      </w:r>
      <w:r w:rsidRPr="004C78D8">
        <w:t xml:space="preserve">), no </w:t>
      </w:r>
      <w:r w:rsidR="00D74AFD" w:rsidRPr="004C78D8">
        <w:t>major information</w:t>
      </w:r>
      <w:r w:rsidRPr="004C78D8">
        <w:t xml:space="preserve"> has been released</w:t>
      </w:r>
      <w:r w:rsidR="00D74AFD" w:rsidRPr="004C78D8">
        <w:t xml:space="preserve"> beyond the stakeholder list </w:t>
      </w:r>
      <w:r w:rsidR="00D74AFD" w:rsidRPr="004C78D8">
        <w:fldChar w:fldCharType="begin"/>
      </w:r>
      <w:r w:rsidR="00330E1E">
        <w:instrText xml:space="preserve"> ADDIN EN.CITE &lt;EndNote&gt;&lt;Cite&gt;&lt;Author&gt;National Institute for Health and Care Excellence&lt;/Author&gt;&lt;Year&gt;2022&lt;/Year&gt;&lt;RecNum&gt;796&lt;/RecNum&gt;&lt;DisplayText&gt;[131]&lt;/DisplayText&gt;&lt;record&gt;&lt;rec-number&gt;796&lt;/rec-number&gt;&lt;foreign-keys&gt;&lt;key app="EN" db-id="tdtrdw9aepptzbefsat599syza29sxsd2wsp" timestamp="1644919021"&gt;796&lt;/key&gt;&lt;/foreign-keys&gt;&lt;ref-type name="Web Page"&gt;12&lt;/ref-type&gt;&lt;contributors&gt;&lt;authors&gt;&lt;author&gt;National Institute for Health and Care Excellence,&lt;/author&gt;&lt;/authors&gt;&lt;secondary-authors&gt;&lt;author&gt;National Guideline Centre&lt;/author&gt;&lt;/secondary-authors&gt;&lt;/contributors&gt;&lt;titles&gt;&lt;title&gt;Falls in older people: assessing risk and prevention In development [GID-NG10228] Expected publication date: 13 June 2024&lt;/title&gt;&lt;/titles&gt;&lt;number&gt;14 September 2022&lt;/number&gt;&lt;dates&gt;&lt;year&gt;2022&lt;/year&gt;&lt;pub-dates&gt;&lt;date&gt;8 September 2022&lt;/date&gt;&lt;/pub-dates&gt;&lt;/dates&gt;&lt;pub-location&gt;https://www.nice.org.uk/guidance/indevelopment/gid-ng10228&lt;/pub-location&gt;&lt;urls&gt;&lt;/urls&gt;&lt;/record&gt;&lt;/Cite&gt;&lt;/EndNote&gt;</w:instrText>
      </w:r>
      <w:r w:rsidR="00D74AFD" w:rsidRPr="004C78D8">
        <w:fldChar w:fldCharType="separate"/>
      </w:r>
      <w:r w:rsidR="00513646" w:rsidRPr="004C78D8">
        <w:rPr>
          <w:noProof/>
        </w:rPr>
        <w:t>[131]</w:t>
      </w:r>
      <w:r w:rsidR="00D74AFD" w:rsidRPr="004C78D8">
        <w:fldChar w:fldCharType="end"/>
      </w:r>
      <w:r w:rsidRPr="004C78D8">
        <w:t>.</w:t>
      </w:r>
    </w:p>
    <w:p w14:paraId="2C1BDCB2" w14:textId="0F8E1454" w:rsidR="00C71774" w:rsidRPr="004C78D8" w:rsidRDefault="00C71774" w:rsidP="00FB7C1F">
      <w:r w:rsidRPr="004C78D8">
        <w:t>Two prevention pathways can be perceived in the NICE recommendations for community setting (see the conceptual model in Chapter 3 for greater detail): proactive and reactive. Under the proactive pathway, the guideline recommends: (i) falls risk screening at opportunistic contact between older persons and care professionals; and (ii) multifactorial intervention for those screened to be at high falls risk. At the screening process, older persons should be asked about falls in the past year and tested for abnormal gait and balance</w:t>
      </w:r>
      <w:r w:rsidR="004C5546" w:rsidRPr="004C78D8">
        <w:t>, ideally</w:t>
      </w:r>
      <w:r w:rsidRPr="004C78D8">
        <w:t xml:space="preserve"> by applying </w:t>
      </w:r>
      <w:r w:rsidR="002114C3" w:rsidRPr="004C78D8">
        <w:t>tests</w:t>
      </w:r>
      <w:r w:rsidRPr="004C78D8">
        <w:t xml:space="preserve"> such as timed-up-and-go (TUG) </w:t>
      </w:r>
      <w:r w:rsidRPr="004C78D8">
        <w:fldChar w:fldCharType="begin"/>
      </w:r>
      <w:r w:rsidR="00513646" w:rsidRPr="004C78D8">
        <w:instrText xml:space="preserve"> ADDIN EN.CITE &lt;EndNote&gt;&lt;Cite&gt;&lt;Author&gt;Greene&lt;/Author&gt;&lt;Year&gt;2017&lt;/Year&gt;&lt;RecNum&gt;501&lt;/RecNum&gt;&lt;DisplayText&gt;[132]&lt;/DisplayText&gt;&lt;record&gt;&lt;rec-number&gt;501&lt;/rec-number&gt;&lt;foreign-keys&gt;&lt;key app="EN" db-id="tdtrdw9aepptzbefsat599syza29sxsd2wsp" timestamp="1617305599"&gt;501&lt;/key&gt;&lt;/foreign-keys&gt;&lt;ref-type name="Journal Article"&gt;17&lt;/ref-type&gt;&lt;contributors&gt;&lt;authors&gt;&lt;author&gt;Greene, Barry R&lt;/author&gt;&lt;author&gt;Redmond, Stephen J&lt;/author&gt;&lt;author&gt;Caulfield, Brian&lt;/author&gt;&lt;/authors&gt;&lt;/contributors&gt;&lt;titles&gt;&lt;title&gt;Fall risk assessment through automatic combination of clinical fall risk factors and body-worn sensor data&lt;/title&gt;&lt;secondary-title&gt;IEEE journal of biomedical and health informatics&lt;/secondary-title&gt;&lt;/titles&gt;&lt;periodical&gt;&lt;full-title&gt;IEEE journal of biomedical and health informatics&lt;/full-title&gt;&lt;/periodical&gt;&lt;pages&gt;725-731&lt;/pages&gt;&lt;volume&gt;21&lt;/volume&gt;&lt;number&gt;3&lt;/number&gt;&lt;dates&gt;&lt;year&gt;2017&lt;/year&gt;&lt;/dates&gt;&lt;isbn&gt;2168-2194&lt;/isbn&gt;&lt;urls&gt;&lt;/urls&gt;&lt;/record&gt;&lt;/Cite&gt;&lt;/EndNote&gt;</w:instrText>
      </w:r>
      <w:r w:rsidRPr="004C78D8">
        <w:fldChar w:fldCharType="separate"/>
      </w:r>
      <w:r w:rsidR="00513646" w:rsidRPr="004C78D8">
        <w:rPr>
          <w:noProof/>
        </w:rPr>
        <w:t>[132]</w:t>
      </w:r>
      <w:r w:rsidRPr="004C78D8">
        <w:fldChar w:fldCharType="end"/>
      </w:r>
      <w:r w:rsidRPr="004C78D8">
        <w:t xml:space="preserve">. Those who report recurrent falls in the past year and/or demonstrate abnormal gait/balance are deemed to be at high falls risk and should be referred to multidisciplinary falls risk assessment </w:t>
      </w:r>
      <w:r w:rsidR="00ED28EE" w:rsidRPr="004C78D8">
        <w:t xml:space="preserve">conducted </w:t>
      </w:r>
      <w:r w:rsidRPr="004C78D8">
        <w:t xml:space="preserve">by a team of geriatrician, physiotherapists, occupational therapists and nurses in a dedicated setting such as a falls clinic. The range of falls risk factors assessed can include gait and balance abnormality (assessed using a wider range of tests), high blood pressure, vision impairment, polypharmacy and presence of hazards at home. Patients should then receive a tailored set of treatments, including exercise, HAM, medication modification and vision improvements. </w:t>
      </w:r>
    </w:p>
    <w:p w14:paraId="43EE708E" w14:textId="711D7233" w:rsidR="00C71774" w:rsidRPr="004C78D8" w:rsidRDefault="00C71774" w:rsidP="00FB7C1F">
      <w:r w:rsidRPr="004C78D8">
        <w:t xml:space="preserve">Under the reactive pathway, older persons receiving medical attention for a fall (e.g., at A&amp;E) should receive a multifactorial intervention at discharge. The guideline also mentions that those who were hospitalised and then discharged for a fall should receive HAM (within or without the multifactorial </w:t>
      </w:r>
      <w:r w:rsidRPr="004C78D8">
        <w:lastRenderedPageBreak/>
        <w:t xml:space="preserve">intervention). </w:t>
      </w:r>
      <w:r w:rsidR="001C13D1" w:rsidRPr="004C78D8">
        <w:t>Hence, the NICE-recommended strategy encompasses reactive and proactive pathways working in tandem and catering to different population subgroups at a given point in time.</w:t>
      </w:r>
    </w:p>
    <w:p w14:paraId="33B6DC1F" w14:textId="2427C97F" w:rsidR="001C13D1" w:rsidRPr="004C78D8" w:rsidRDefault="001C13D1" w:rsidP="00FB7C1F">
      <w:r w:rsidRPr="004C78D8">
        <w:t xml:space="preserve">Another distinct pathway that is not explicitly considered by the NICE guideline is the self-referred pathway, wherein older persons who are not eligible for either of the reactive and proactive pathways enrol in a falls prevention intervention without professional referral. The 2019 UK Chief Medical Officers’ physical activity guideline for older people encourage such uptake of falls prevention exercises </w:t>
      </w:r>
      <w:r w:rsidRPr="004C78D8">
        <w:fldChar w:fldCharType="begin"/>
      </w:r>
      <w:r w:rsidR="00513646" w:rsidRPr="004C78D8">
        <w:instrText xml:space="preserve"> ADDIN EN.CITE &lt;EndNote&gt;&lt;Cite&gt;&lt;Author&gt;Foster&lt;/Author&gt;&lt;Year&gt;2019&lt;/Year&gt;&lt;RecNum&gt;274&lt;/RecNum&gt;&lt;DisplayText&gt;[113]&lt;/DisplayText&gt;&lt;record&gt;&lt;rec-number&gt;274&lt;/rec-number&gt;&lt;foreign-keys&gt;&lt;key app="EN" db-id="tdtrdw9aepptzbefsat599syza29sxsd2wsp" timestamp="1611696027"&gt;274&lt;/key&gt;&lt;/foreign-keys&gt;&lt;ref-type name="Journal Article"&gt;17&lt;/ref-type&gt;&lt;contributors&gt;&lt;authors&gt;&lt;author&gt;Foster, C&lt;/author&gt;&lt;author&gt;Reilly, J&lt;/author&gt;&lt;author&gt;Jago, R&lt;/author&gt;&lt;author&gt;Murphy, M&lt;/author&gt;&lt;author&gt;Skelton, D&lt;/author&gt;&lt;author&gt;Cooper, A&lt;/author&gt;&lt;author&gt;Pulsford, A&lt;/author&gt;&lt;author&gt;Pulsford, R&lt;/author&gt;&lt;author&gt;Smith, B&lt;/author&gt;&lt;author&gt;Mutrie, N&lt;/author&gt;&lt;/authors&gt;&lt;/contributors&gt;&lt;titles&gt;&lt;title&gt;UK Chief Medical Officers&amp;apos; Physical Activity Guidelines&lt;/title&gt;&lt;secondary-title&gt;Department of Health and Social Care&lt;/secondary-title&gt;&lt;/titles&gt;&lt;periodical&gt;&lt;full-title&gt;Department of Health and Social Care&lt;/full-title&gt;&lt;/periodical&gt;&lt;dates&gt;&lt;year&gt;2019&lt;/year&gt;&lt;/dates&gt;&lt;urls&gt;&lt;/urls&gt;&lt;/record&gt;&lt;/Cite&gt;&lt;/EndNote&gt;</w:instrText>
      </w:r>
      <w:r w:rsidRPr="004C78D8">
        <w:fldChar w:fldCharType="separate"/>
      </w:r>
      <w:r w:rsidR="00513646" w:rsidRPr="004C78D8">
        <w:rPr>
          <w:noProof/>
        </w:rPr>
        <w:t>[113]</w:t>
      </w:r>
      <w:r w:rsidRPr="004C78D8">
        <w:fldChar w:fldCharType="end"/>
      </w:r>
      <w:r w:rsidRPr="004C78D8">
        <w:t xml:space="preserve">. The commissioners’ role would then be to support marketing of such options and partially/fully subsidise participation cost. </w:t>
      </w:r>
      <w:r w:rsidR="00B81B2D" w:rsidRPr="004C78D8">
        <w:t>S</w:t>
      </w:r>
      <w:r w:rsidRPr="004C78D8">
        <w:t xml:space="preserve">ingle-component exercise is a less resource-intensive option and hence offers the possibility of wider population reach </w:t>
      </w:r>
      <w:r w:rsidRPr="004C78D8">
        <w:fldChar w:fldCharType="begin"/>
      </w:r>
      <w:r w:rsidR="00513646" w:rsidRPr="004C78D8">
        <w:instrText xml:space="preserve"> ADDIN EN.CITE &lt;EndNote&gt;&lt;Cite&gt;&lt;Author&gt;Campbell&lt;/Author&gt;&lt;Year&gt;2013&lt;/Year&gt;&lt;RecNum&gt;365&lt;/RecNum&gt;&lt;DisplayText&gt;[133]&lt;/DisplayText&gt;&lt;record&gt;&lt;rec-number&gt;365&lt;/rec-number&gt;&lt;foreign-keys&gt;&lt;key app="EN" db-id="tdtrdw9aepptzbefsat599syza29sxsd2wsp" timestamp="1612268610"&gt;365&lt;/key&gt;&lt;/foreign-keys&gt;&lt;ref-type name="Journal Article"&gt;17&lt;/ref-type&gt;&lt;contributors&gt;&lt;authors&gt;&lt;author&gt;Campbell, A John&lt;/author&gt;&lt;author&gt;Robertson, M Clare&lt;/author&gt;&lt;/authors&gt;&lt;/contributors&gt;&lt;titles&gt;&lt;title&gt;Fall prevention: single or multiple interventions? Single interventions for fall prevention&lt;/title&gt;&lt;secondary-title&gt;Journal of the American Geriatrics Society&lt;/secondary-title&gt;&lt;/titles&gt;&lt;periodical&gt;&lt;full-title&gt;Journal of the American Geriatrics Society&lt;/full-title&gt;&lt;/periodical&gt;&lt;pages&gt;281-284&lt;/pages&gt;&lt;volume&gt;61&lt;/volume&gt;&lt;number&gt;2&lt;/number&gt;&lt;dates&gt;&lt;year&gt;2013&lt;/year&gt;&lt;/dates&gt;&lt;isbn&gt;0002-8614&lt;/isbn&gt;&lt;urls&gt;&lt;/urls&gt;&lt;/record&gt;&lt;/Cite&gt;&lt;/EndNote&gt;</w:instrText>
      </w:r>
      <w:r w:rsidRPr="004C78D8">
        <w:fldChar w:fldCharType="separate"/>
      </w:r>
      <w:r w:rsidR="00513646" w:rsidRPr="004C78D8">
        <w:rPr>
          <w:noProof/>
        </w:rPr>
        <w:t>[133]</w:t>
      </w:r>
      <w:r w:rsidRPr="004C78D8">
        <w:fldChar w:fldCharType="end"/>
      </w:r>
      <w:r w:rsidR="00B81B2D" w:rsidRPr="004C78D8">
        <w:t>,</w:t>
      </w:r>
      <w:r w:rsidRPr="004C78D8">
        <w:t xml:space="preserve"> although its reach of the most vulnerable individuals </w:t>
      </w:r>
      <w:r w:rsidR="00B81B2D" w:rsidRPr="004C78D8">
        <w:t xml:space="preserve">(perhaps </w:t>
      </w:r>
      <w:r w:rsidRPr="004C78D8">
        <w:t>contraindicated for exercise</w:t>
      </w:r>
      <w:r w:rsidR="00B81B2D" w:rsidRPr="004C78D8">
        <w:t>)</w:t>
      </w:r>
      <w:r w:rsidRPr="004C78D8">
        <w:t xml:space="preserve"> may be poor. In all, the final intervention strategy should determine the relative importance of the three non-mutually exclusive pathways.</w:t>
      </w:r>
    </w:p>
    <w:p w14:paraId="41A45B61" w14:textId="3E8AEF2A" w:rsidR="004D19DD" w:rsidRPr="004C78D8" w:rsidRDefault="004D19DD" w:rsidP="00FB7C1F">
      <w:pPr>
        <w:pStyle w:val="Heading4"/>
      </w:pPr>
      <w:r w:rsidRPr="004C78D8">
        <w:t>1.3.3.</w:t>
      </w:r>
      <w:r w:rsidR="00C71774" w:rsidRPr="004C78D8">
        <w:t>3</w:t>
      </w:r>
      <w:r w:rsidRPr="004C78D8">
        <w:t xml:space="preserve"> </w:t>
      </w:r>
      <w:r w:rsidR="0021385C" w:rsidRPr="004C78D8">
        <w:t>Falls prevention as a representative geriatric public health intervention</w:t>
      </w:r>
    </w:p>
    <w:p w14:paraId="3083BFC1" w14:textId="33E93C6A" w:rsidR="002C15FC" w:rsidRPr="004C78D8" w:rsidRDefault="00652D5A" w:rsidP="00FB7C1F">
      <w:r w:rsidRPr="004C78D8">
        <w:t>Therefore, community-based falls prevention</w:t>
      </w:r>
      <w:r w:rsidR="00A20363" w:rsidRPr="004C78D8">
        <w:t xml:space="preserve"> shares the </w:t>
      </w:r>
      <w:r w:rsidR="00B81B2D" w:rsidRPr="004C78D8">
        <w:t xml:space="preserve">four </w:t>
      </w:r>
      <w:r w:rsidR="00A20363" w:rsidRPr="004C78D8">
        <w:t xml:space="preserve">key desired characteristics of </w:t>
      </w:r>
      <w:r w:rsidRPr="004C78D8">
        <w:t>geriatric public health interventi</w:t>
      </w:r>
      <w:r w:rsidR="00FA5FD2" w:rsidRPr="004C78D8">
        <w:t>ons</w:t>
      </w:r>
      <w:r w:rsidR="00B81B2D" w:rsidRPr="004C78D8">
        <w:t xml:space="preserve"> discussed above</w:t>
      </w:r>
      <w:r w:rsidRPr="004C78D8">
        <w:t xml:space="preserve">. First, the emphasis on </w:t>
      </w:r>
      <w:r w:rsidR="001C13D1" w:rsidRPr="004C78D8">
        <w:t xml:space="preserve">multifactorial </w:t>
      </w:r>
      <w:r w:rsidRPr="004C78D8">
        <w:t xml:space="preserve">assessment and treatment </w:t>
      </w:r>
      <w:r w:rsidR="001C13D1" w:rsidRPr="004C78D8">
        <w:t xml:space="preserve">in </w:t>
      </w:r>
      <w:r w:rsidRPr="004C78D8">
        <w:t xml:space="preserve">the NICE-recommended </w:t>
      </w:r>
      <w:r w:rsidR="001C13D1" w:rsidRPr="004C78D8">
        <w:t>pathways</w:t>
      </w:r>
      <w:r w:rsidRPr="004C78D8">
        <w:t xml:space="preserve"> adheres to </w:t>
      </w:r>
      <w:r w:rsidR="001C13D1" w:rsidRPr="004C78D8">
        <w:t xml:space="preserve">the principle of person-centred care. </w:t>
      </w:r>
      <w:r w:rsidR="002C15FC" w:rsidRPr="004C78D8">
        <w:t xml:space="preserve">Uni-disciplinary self-referred exercise should also be individually tailored </w:t>
      </w:r>
      <w:r w:rsidR="002C15FC" w:rsidRPr="004C78D8">
        <w:fldChar w:fldCharType="begin">
          <w:fldData xml:space="preserve">PEVuZE5vdGU+PENpdGU+PEF1dGhvcj5NYXRjaGFyPC9BdXRob3I+PFllYXI+MjAxNjwvWWVhcj48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</w:fldData>
        </w:fldChar>
      </w:r>
      <w:r w:rsidR="00513646" w:rsidRPr="004C78D8">
        <w:instrText xml:space="preserve"> ADDIN EN.CITE </w:instrText>
      </w:r>
      <w:r w:rsidR="00513646" w:rsidRPr="004C78D8">
        <w:fldChar w:fldCharType="begin">
          <w:fldData xml:space="preserve">PEVuZE5vdGU+PENpdGU+PEF1dGhvcj5NYXRjaGFyPC9BdXRob3I+PFllYXI+MjAxNjwvWWVhcj48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</w:fldData>
        </w:fldChar>
      </w:r>
      <w:r w:rsidR="00513646" w:rsidRPr="004C78D8">
        <w:instrText xml:space="preserve"> ADDIN EN.CITE.DATA </w:instrText>
      </w:r>
      <w:r w:rsidR="00513646" w:rsidRPr="004C78D8">
        <w:fldChar w:fldCharType="end"/>
      </w:r>
      <w:r w:rsidR="002C15FC" w:rsidRPr="004C78D8">
        <w:fldChar w:fldCharType="separate"/>
      </w:r>
      <w:r w:rsidR="00513646" w:rsidRPr="004C78D8">
        <w:rPr>
          <w:noProof/>
        </w:rPr>
        <w:t>[134-136]</w:t>
      </w:r>
      <w:r w:rsidR="002C15FC" w:rsidRPr="004C78D8">
        <w:fldChar w:fldCharType="end"/>
      </w:r>
      <w:r w:rsidR="002C15FC" w:rsidRPr="004C78D8">
        <w:t xml:space="preserve">. Regarding the holistic outcomes that </w:t>
      </w:r>
      <w:r w:rsidR="00BE6910" w:rsidRPr="004C78D8">
        <w:t>enable</w:t>
      </w:r>
      <w:r w:rsidR="002C15FC" w:rsidRPr="004C78D8">
        <w:t xml:space="preserve"> person-centred care, the expert guideline to falls prevention economic evaluation recommends that </w:t>
      </w:r>
      <w:r w:rsidR="00B94684" w:rsidRPr="004C78D8">
        <w:t xml:space="preserve">evaluations incorporate the </w:t>
      </w:r>
      <w:r w:rsidR="002C15FC" w:rsidRPr="004C78D8">
        <w:t xml:space="preserve">ICECAP-O </w:t>
      </w:r>
      <w:r w:rsidR="00B94684" w:rsidRPr="004C78D8">
        <w:t xml:space="preserve">capability measure </w:t>
      </w:r>
      <w:r w:rsidR="009D263D" w:rsidRPr="004C78D8">
        <w:t>and use</w:t>
      </w:r>
      <w:r w:rsidR="00B94684" w:rsidRPr="004C78D8">
        <w:t xml:space="preserve"> </w:t>
      </w:r>
      <w:r w:rsidR="002C15FC" w:rsidRPr="004C78D8">
        <w:rPr>
          <w:i/>
          <w:iCs/>
        </w:rPr>
        <w:t>all-cause</w:t>
      </w:r>
      <w:r w:rsidR="002C15FC" w:rsidRPr="004C78D8">
        <w:t xml:space="preserve">, rather than fall-related, care </w:t>
      </w:r>
      <w:r w:rsidR="00B94684" w:rsidRPr="004C78D8">
        <w:t xml:space="preserve">costs </w:t>
      </w:r>
      <w:r w:rsidR="009D263D" w:rsidRPr="004C78D8">
        <w:t>as primary cost outcomes</w:t>
      </w:r>
      <w:r w:rsidR="002C15FC" w:rsidRPr="004C78D8">
        <w:t xml:space="preserve"> </w:t>
      </w:r>
      <w:r w:rsidR="002C15FC" w:rsidRPr="004C78D8">
        <w:fldChar w:fldCharType="begin"/>
      </w:r>
      <w:r w:rsidR="00513646" w:rsidRPr="004C78D8">
        <w:instrText xml:space="preserve"> ADDIN EN.CITE &lt;EndNote&gt;&lt;Cite&gt;&lt;Author&gt;Davis&lt;/Author&gt;&lt;Year&gt;2011&lt;/Year&gt;&lt;RecNum&gt;286&lt;/RecNum&gt;&lt;DisplayText&gt;[105]&lt;/DisplayText&gt;&lt;record&gt;&lt;rec-number&gt;286&lt;/rec-number&gt;&lt;foreign-keys&gt;&lt;key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002C15FC" w:rsidRPr="004C78D8">
        <w:fldChar w:fldCharType="separate"/>
      </w:r>
      <w:r w:rsidR="00513646" w:rsidRPr="004C78D8">
        <w:rPr>
          <w:noProof/>
        </w:rPr>
        <w:t>[105]</w:t>
      </w:r>
      <w:r w:rsidR="002C15FC" w:rsidRPr="004C78D8">
        <w:fldChar w:fldCharType="end"/>
      </w:r>
      <w:r w:rsidR="002C15FC" w:rsidRPr="004C78D8">
        <w:t>.</w:t>
      </w:r>
    </w:p>
    <w:p w14:paraId="3C4F1917" w14:textId="19112840" w:rsidR="00652D5A" w:rsidRPr="004C78D8" w:rsidRDefault="002C15FC" w:rsidP="00FB7C1F">
      <w:r w:rsidRPr="004C78D8">
        <w:t xml:space="preserve">Second, </w:t>
      </w:r>
      <w:r w:rsidR="00915265" w:rsidRPr="004C78D8">
        <w:t xml:space="preserve">the recommended </w:t>
      </w:r>
      <w:r w:rsidRPr="004C78D8">
        <w:t xml:space="preserve">falls prevention </w:t>
      </w:r>
      <w:r w:rsidR="00915265" w:rsidRPr="004C78D8">
        <w:t>strategy encompasses</w:t>
      </w:r>
      <w:r w:rsidRPr="004C78D8">
        <w:t xml:space="preserve"> three non-mutually exclusive pathways</w:t>
      </w:r>
      <w:r w:rsidR="00915265" w:rsidRPr="004C78D8">
        <w:t xml:space="preserve">, thereby catering to the heterogeneity in the target geriatric population. </w:t>
      </w:r>
      <w:r w:rsidR="00612037" w:rsidRPr="004C78D8">
        <w:t xml:space="preserve">The falls risk screening at opportunistic care contact would help identify the risk-based subgroups. </w:t>
      </w:r>
      <w:r w:rsidR="00E4475A" w:rsidRPr="004C78D8">
        <w:t xml:space="preserve">Moreover, falls, as noted, are closely associated with frailty </w:t>
      </w:r>
      <w:r w:rsidR="00A20363" w:rsidRPr="004C78D8">
        <w:fldChar w:fldCharType="begin">
          <w:fldData xml:space="preserve">PEVuZE5vdGU+PENpdGU+PEF1dGhvcj5GYW5nPC9BdXRob3I+PFllYXI+MjAxMjwvWWVhcj48UmVj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</w:fldData>
        </w:fldChar>
      </w:r>
      <w:r w:rsidR="00513646" w:rsidRPr="004C78D8">
        <w:instrText xml:space="preserve"> ADDIN EN.CITE </w:instrText>
      </w:r>
      <w:r w:rsidR="00513646" w:rsidRPr="004C78D8">
        <w:fldChar w:fldCharType="begin">
          <w:fldData xml:space="preserve">PEVuZE5vdGU+PENpdGU+PEF1dGhvcj5GYW5nPC9BdXRob3I+PFllYXI+MjAxMjwvWWVhcj48UmVj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</w:fldData>
        </w:fldChar>
      </w:r>
      <w:r w:rsidR="00513646" w:rsidRPr="004C78D8">
        <w:instrText xml:space="preserve"> ADDIN EN.CITE.DATA </w:instrText>
      </w:r>
      <w:r w:rsidR="00513646" w:rsidRPr="004C78D8">
        <w:fldChar w:fldCharType="end"/>
      </w:r>
      <w:r w:rsidR="00A20363" w:rsidRPr="004C78D8">
        <w:fldChar w:fldCharType="separate"/>
      </w:r>
      <w:r w:rsidR="00513646" w:rsidRPr="004C78D8">
        <w:rPr>
          <w:noProof/>
        </w:rPr>
        <w:t>[52, 53]</w:t>
      </w:r>
      <w:r w:rsidR="00A20363" w:rsidRPr="004C78D8">
        <w:fldChar w:fldCharType="end"/>
      </w:r>
      <w:r w:rsidR="00A20363" w:rsidRPr="004C78D8">
        <w:t xml:space="preserve">, </w:t>
      </w:r>
      <w:r w:rsidR="00E4475A" w:rsidRPr="004C78D8">
        <w:t xml:space="preserve">which </w:t>
      </w:r>
      <w:r w:rsidR="000F36C9" w:rsidRPr="004C78D8">
        <w:t xml:space="preserve">is </w:t>
      </w:r>
      <w:r w:rsidR="00E4475A" w:rsidRPr="004C78D8">
        <w:t>in turn</w:t>
      </w:r>
      <w:r w:rsidR="00A20363" w:rsidRPr="004C78D8">
        <w:t xml:space="preserve"> closely associated with socioeconomic deprivation </w:t>
      </w:r>
      <w:r w:rsidR="00A20363" w:rsidRPr="004C78D8">
        <w:fldChar w:fldCharType="begin">
          <w:fldData xml:space="preserve">PEVuZE5vdGU+PENpdGU+PEF1dGhvcj5DbGFyazwvQXV0aG9yPjxZZWFyPjIwMTk8L1llYXI+PFJl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</w:fldData>
        </w:fldChar>
      </w:r>
      <w:r w:rsidR="00513646" w:rsidRPr="004C78D8">
        <w:instrText xml:space="preserve"> ADDIN EN.CITE </w:instrText>
      </w:r>
      <w:r w:rsidR="00513646" w:rsidRPr="004C78D8">
        <w:fldChar w:fldCharType="begin">
          <w:fldData xml:space="preserve">PEVuZE5vdGU+PENpdGU+PEF1dGhvcj5DbGFyazwvQXV0aG9yPjxZZWFyPjIwMTk8L1llYXI+PFJl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</w:fldData>
        </w:fldChar>
      </w:r>
      <w:r w:rsidR="00513646" w:rsidRPr="004C78D8">
        <w:instrText xml:space="preserve"> ADDIN EN.CITE.DATA </w:instrText>
      </w:r>
      <w:r w:rsidR="00513646" w:rsidRPr="004C78D8">
        <w:fldChar w:fldCharType="end"/>
      </w:r>
      <w:r w:rsidR="00A20363" w:rsidRPr="004C78D8">
        <w:fldChar w:fldCharType="separate"/>
      </w:r>
      <w:r w:rsidR="00513646" w:rsidRPr="004C78D8">
        <w:rPr>
          <w:noProof/>
        </w:rPr>
        <w:t>[48, 137]</w:t>
      </w:r>
      <w:r w:rsidR="00A20363" w:rsidRPr="004C78D8">
        <w:fldChar w:fldCharType="end"/>
      </w:r>
      <w:r w:rsidR="00A20363" w:rsidRPr="004C78D8">
        <w:t>. Hence, the falls prevention strategy should consider the decision-makers’ priority over social inequities of health across target population subgroups.</w:t>
      </w:r>
    </w:p>
    <w:p w14:paraId="5E58A34F" w14:textId="49EEEA55" w:rsidR="00CB0ED3" w:rsidRPr="004C78D8" w:rsidRDefault="00CB0ED3" w:rsidP="00FB7C1F">
      <w:r w:rsidRPr="004C78D8">
        <w:t xml:space="preserve">Third, the principle of high care integration is </w:t>
      </w:r>
      <w:r w:rsidR="000F36C9" w:rsidRPr="004C78D8">
        <w:t>highly applicable</w:t>
      </w:r>
      <w:r w:rsidRPr="004C78D8">
        <w:t xml:space="preserve"> to community-based falls prevention. As noted, the multidisciplinary </w:t>
      </w:r>
      <w:r w:rsidR="001741BE">
        <w:t>team</w:t>
      </w:r>
      <w:r w:rsidRPr="004C78D8">
        <w:t xml:space="preserve">working under falls prevention represents a single-need integration scheme. </w:t>
      </w:r>
      <w:r w:rsidR="007354B2" w:rsidRPr="004C78D8">
        <w:t>L</w:t>
      </w:r>
      <w:r w:rsidRPr="004C78D8">
        <w:t xml:space="preserve">ife-course integration is desirable given that several risk factors for falls such as </w:t>
      </w:r>
      <w:r w:rsidR="00773E19" w:rsidRPr="004C78D8">
        <w:t xml:space="preserve">multimorbidity and </w:t>
      </w:r>
      <w:r w:rsidRPr="004C78D8">
        <w:t xml:space="preserve">physical </w:t>
      </w:r>
      <w:r w:rsidR="00A3280E" w:rsidRPr="004C78D8">
        <w:t>in</w:t>
      </w:r>
      <w:r w:rsidRPr="004C78D8">
        <w:t xml:space="preserve">activity </w:t>
      </w:r>
      <w:r w:rsidR="00773E19" w:rsidRPr="004C78D8">
        <w:t>may manifest</w:t>
      </w:r>
      <w:r w:rsidR="00A3280E" w:rsidRPr="004C78D8">
        <w:t xml:space="preserve"> before seniority </w:t>
      </w:r>
      <w:r w:rsidR="00A3280E" w:rsidRPr="004C78D8">
        <w:fldChar w:fldCharType="begin">
          <w:fldData xml:space="preserve">PEVuZE5vdGU+PENpdGU+PEF1dGhvcj5IYXJtb248L0F1dGhvcj48WWVhcj4yMDE5PC9ZZWFyPjxS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</w:fldData>
        </w:fldChar>
      </w:r>
      <w:r w:rsidR="00513646" w:rsidRPr="004C78D8">
        <w:instrText xml:space="preserve"> ADDIN EN.CITE </w:instrText>
      </w:r>
      <w:r w:rsidR="00513646" w:rsidRPr="004C78D8">
        <w:fldChar w:fldCharType="begin">
          <w:fldData xml:space="preserve">PEVuZE5vdGU+PENpdGU+PEF1dGhvcj5IYXJtb248L0F1dGhvcj48WWVhcj4yMDE5PC9ZZWFyPjxS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</w:fldData>
        </w:fldChar>
      </w:r>
      <w:r w:rsidR="00513646" w:rsidRPr="004C78D8">
        <w:instrText xml:space="preserve"> ADDIN EN.CITE.DATA </w:instrText>
      </w:r>
      <w:r w:rsidR="00513646" w:rsidRPr="004C78D8">
        <w:fldChar w:fldCharType="end"/>
      </w:r>
      <w:r w:rsidR="00A3280E" w:rsidRPr="004C78D8">
        <w:fldChar w:fldCharType="separate"/>
      </w:r>
      <w:r w:rsidR="00513646" w:rsidRPr="004C78D8">
        <w:rPr>
          <w:noProof/>
        </w:rPr>
        <w:t>[138]</w:t>
      </w:r>
      <w:r w:rsidR="00A3280E" w:rsidRPr="004C78D8">
        <w:fldChar w:fldCharType="end"/>
      </w:r>
      <w:r w:rsidR="00A3280E" w:rsidRPr="004C78D8">
        <w:t xml:space="preserve">. </w:t>
      </w:r>
      <w:r w:rsidR="00E34633" w:rsidRPr="004C78D8">
        <w:t xml:space="preserve">Moreover, environmental integration is likely necessary to manage environmental falls risk factors, and interventions with an environmental modification component have </w:t>
      </w:r>
      <w:r w:rsidR="00020502">
        <w:t xml:space="preserve">been </w:t>
      </w:r>
      <w:r w:rsidR="00E34633" w:rsidRPr="004C78D8">
        <w:t xml:space="preserve">shown to be highly cost-effective </w:t>
      </w:r>
      <w:r w:rsidR="00E34633" w:rsidRPr="004C78D8">
        <w:fldChar w:fldCharType="begin">
          <w:fldData xml:space="preserve">PEVuZE5vdGU+PENpdGU+PEF1dGhvcj5CZWFyZDwvQXV0aG9yPjxZZWFyPjIwMDY8L1llYXI+PFJl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==
</w:fldData>
        </w:fldChar>
      </w:r>
      <w:r w:rsidR="00513646" w:rsidRPr="004C78D8">
        <w:instrText xml:space="preserve"> ADDIN EN.CITE </w:instrText>
      </w:r>
      <w:r w:rsidR="00513646" w:rsidRPr="004C78D8">
        <w:fldChar w:fldCharType="begin">
          <w:fldData xml:space="preserve">PEVuZE5vdGU+PENpdGU+PEF1dGhvcj5CZWFyZDwvQXV0aG9yPjxZZWFyPjIwMDY8L1llYXI+PFJl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==
</w:fldData>
        </w:fldChar>
      </w:r>
      <w:r w:rsidR="00513646" w:rsidRPr="004C78D8">
        <w:instrText xml:space="preserve"> ADDIN EN.CITE.DATA </w:instrText>
      </w:r>
      <w:r w:rsidR="00513646" w:rsidRPr="004C78D8">
        <w:fldChar w:fldCharType="end"/>
      </w:r>
      <w:r w:rsidR="00E34633" w:rsidRPr="004C78D8">
        <w:fldChar w:fldCharType="separate"/>
      </w:r>
      <w:r w:rsidR="00513646" w:rsidRPr="004C78D8">
        <w:rPr>
          <w:noProof/>
        </w:rPr>
        <w:t>[127, 128]</w:t>
      </w:r>
      <w:r w:rsidR="00E34633" w:rsidRPr="004C78D8">
        <w:fldChar w:fldCharType="end"/>
      </w:r>
      <w:r w:rsidR="00E34633" w:rsidRPr="004C78D8">
        <w:t>.</w:t>
      </w:r>
    </w:p>
    <w:p w14:paraId="093F9444" w14:textId="5D9125C6" w:rsidR="00581DC4" w:rsidRPr="004C78D8" w:rsidRDefault="00E34633" w:rsidP="00FB7C1F">
      <w:r w:rsidRPr="004C78D8">
        <w:t xml:space="preserve">Fourth, </w:t>
      </w:r>
      <w:r w:rsidR="007354B2" w:rsidRPr="004C78D8">
        <w:t>f</w:t>
      </w:r>
      <w:r w:rsidR="00581DC4" w:rsidRPr="004C78D8">
        <w:t xml:space="preserve">alls prevention, like other geriatric public health </w:t>
      </w:r>
      <w:r w:rsidR="007354B2" w:rsidRPr="004C78D8">
        <w:t>interventions</w:t>
      </w:r>
      <w:r w:rsidR="00581DC4" w:rsidRPr="004C78D8">
        <w:t>, faces major implementation challenges. A recent UK survey, for example, showed that only 31% of GPs routinely screen</w:t>
      </w:r>
      <w:r w:rsidR="007354B2" w:rsidRPr="004C78D8">
        <w:t>ed</w:t>
      </w:r>
      <w:r w:rsidR="00581DC4" w:rsidRPr="004C78D8">
        <w:t xml:space="preserve"> their older patients for falls history and that the median annual number of referrals per GP to falls prevention services </w:t>
      </w:r>
      <w:r w:rsidR="007354B2" w:rsidRPr="004C78D8">
        <w:t>was</w:t>
      </w:r>
      <w:r w:rsidR="00581DC4" w:rsidRPr="004C78D8">
        <w:t xml:space="preserve"> only 10 </w:t>
      </w:r>
      <w:r w:rsidR="00581DC4" w:rsidRPr="004C78D8">
        <w:fldChar w:fldCharType="begin"/>
      </w:r>
      <w:r w:rsidR="00513646" w:rsidRPr="004C78D8">
        <w:instrText xml:space="preserve"> ADDIN EN.CITE &lt;EndNote&gt;&lt;Cite&gt;&lt;Author&gt;McIntyre&lt;/Author&gt;&lt;Year&gt;2019&lt;/Year&gt;&lt;RecNum&gt;93&lt;/RecNum&gt;&lt;DisplayText&gt;[139]&lt;/DisplayText&gt;&lt;record&gt;&lt;rec-number&gt;93&lt;/rec-number&gt;&lt;foreign-keys&gt;&lt;key app="EN" db-id="tdtrdw9aepptzbefsat599syza29sxsd2wsp" timestamp="1598190140"&gt;93&lt;/key&gt;&lt;/foreign-keys&gt;&lt;ref-type name="Journal Article"&gt;17&lt;/ref-type&gt;&lt;contributors&gt;&lt;authors&gt;&lt;author&gt;McIntyre, Anne&lt;/author&gt;&lt;author&gt;Mackenzie, Lynette&lt;/author&gt;&lt;author&gt;Harvey, Michele&lt;/author&gt;&lt;/authors&gt;&lt;/contributors&gt;&lt;titles&gt;&lt;title&gt;Engagement of general practitioners in falls prevention and referral to occupational therapists&lt;/title&gt;&lt;secondary-title&gt;British journal of occupational therapy&lt;/secondary-title&gt;&lt;/titles&gt;&lt;periodical&gt;&lt;full-title&gt;British journal of occupational therapy&lt;/full-title&gt;&lt;/periodical&gt;&lt;pages&gt;71-79&lt;/pages&gt;&lt;volume&gt;82&lt;/volume&gt;&lt;number&gt;2&lt;/number&gt;&lt;dates&gt;&lt;year&gt;2019&lt;/year&gt;&lt;/dates&gt;&lt;isbn&gt;0308-0226&lt;/isbn&gt;&lt;urls&gt;&lt;/urls&gt;&lt;/record&gt;&lt;/Cite&gt;&lt;/EndNote&gt;</w:instrText>
      </w:r>
      <w:r w:rsidR="00581DC4" w:rsidRPr="004C78D8">
        <w:fldChar w:fldCharType="separate"/>
      </w:r>
      <w:r w:rsidR="00513646" w:rsidRPr="004C78D8">
        <w:rPr>
          <w:noProof/>
        </w:rPr>
        <w:t>[139]</w:t>
      </w:r>
      <w:r w:rsidR="00581DC4" w:rsidRPr="004C78D8">
        <w:fldChar w:fldCharType="end"/>
      </w:r>
      <w:r w:rsidR="00581DC4" w:rsidRPr="004C78D8">
        <w:t xml:space="preserve">. </w:t>
      </w:r>
      <w:r w:rsidR="006373E3" w:rsidRPr="004C78D8">
        <w:t>Even in relatively well-resourced trial settings,</w:t>
      </w:r>
      <w:r w:rsidR="00581DC4" w:rsidRPr="004C78D8">
        <w:t xml:space="preserve"> uptake rate </w:t>
      </w:r>
      <w:r w:rsidR="006373E3" w:rsidRPr="004C78D8">
        <w:t xml:space="preserve">for </w:t>
      </w:r>
      <w:r w:rsidR="00581DC4" w:rsidRPr="004C78D8">
        <w:t xml:space="preserve">falls prevention exercise </w:t>
      </w:r>
      <w:r w:rsidR="006373E3" w:rsidRPr="004C78D8">
        <w:t>can be as low as</w:t>
      </w:r>
      <w:r w:rsidR="00581DC4" w:rsidRPr="004C78D8">
        <w:t xml:space="preserve"> 6% </w:t>
      </w:r>
      <w:r w:rsidR="00581DC4" w:rsidRPr="004C78D8">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instrText xml:space="preserve"> ADDIN EN.CITE </w:instrText>
      </w:r>
      <w:r w:rsidR="00513646" w:rsidRPr="004C78D8">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instrText xml:space="preserve"> ADDIN EN.CITE.DATA </w:instrText>
      </w:r>
      <w:r w:rsidR="00513646" w:rsidRPr="004C78D8">
        <w:fldChar w:fldCharType="end"/>
      </w:r>
      <w:r w:rsidR="00581DC4" w:rsidRPr="004C78D8">
        <w:fldChar w:fldCharType="separate"/>
      </w:r>
      <w:r w:rsidR="00513646" w:rsidRPr="004C78D8">
        <w:rPr>
          <w:noProof/>
        </w:rPr>
        <w:t>[135]</w:t>
      </w:r>
      <w:r w:rsidR="00581DC4" w:rsidRPr="004C78D8">
        <w:fldChar w:fldCharType="end"/>
      </w:r>
      <w:r w:rsidR="006373E3" w:rsidRPr="004C78D8">
        <w:t>, and</w:t>
      </w:r>
      <w:r w:rsidR="00581DC4" w:rsidRPr="004C78D8">
        <w:t xml:space="preserve"> adherence to different components of multifactorial intervention as low as 28% </w:t>
      </w:r>
      <w:r w:rsidR="00581DC4" w:rsidRPr="004C78D8">
        <w:fldChar w:fldCharType="begin"/>
      </w:r>
      <w:r w:rsidR="00513646" w:rsidRPr="004C78D8">
        <w:instrText xml:space="preserve"> ADDIN EN.CITE &lt;EndNote&gt;&lt;Cite&gt;&lt;Author&gt;Nyman&lt;/Author&gt;&lt;Year&gt;2011&lt;/Year&gt;&lt;RecNum&gt;265&lt;/RecNum&gt;&lt;DisplayText&gt;[140]&lt;/DisplayText&gt;&lt;record&gt;&lt;rec-number&gt;265&lt;/rec-number&gt;&lt;foreign-keys&gt;&lt;key app="EN" db-id="tdtrdw9aepptzbefsat599syza29sxsd2wsp" timestamp="1611690963"&gt;265&lt;/key&gt;&lt;/foreign-keys&gt;&lt;ref-type name="Journal Article"&gt;17&lt;/ref-type&gt;&lt;contributors&gt;&lt;authors&gt;&lt;author&gt;Nyman, Samuel R&lt;/author&gt;&lt;author&gt;Victor, Christina R&lt;/author&gt;&lt;/authors&gt;&lt;/contributors&gt;&lt;titles&gt;&lt;title&gt;Older people&amp;apos;s participation in and engagement with falls prevention interventions in community settings: an augment to the Cochrane systematic review&lt;/title&gt;&lt;secondary-title&gt;Age and ageing&lt;/secondary-title&gt;&lt;/titles&gt;&lt;periodical&gt;&lt;full-title&gt;Age and ageing&lt;/full-title&gt;&lt;/periodical&gt;&lt;pages&gt;16-23&lt;/pages&gt;&lt;volume&gt;41&lt;/volume&gt;&lt;number&gt;1&lt;/number&gt;&lt;dates&gt;&lt;year&gt;2011&lt;/year&gt;&lt;/dates&gt;&lt;isbn&gt;1468-2834&lt;/isbn&gt;&lt;urls&gt;&lt;/urls&gt;&lt;/record&gt;&lt;/Cite&gt;&lt;/EndNote&gt;</w:instrText>
      </w:r>
      <w:r w:rsidR="00581DC4" w:rsidRPr="004C78D8">
        <w:fldChar w:fldCharType="separate"/>
      </w:r>
      <w:r w:rsidR="00513646" w:rsidRPr="004C78D8">
        <w:rPr>
          <w:noProof/>
        </w:rPr>
        <w:t>[140]</w:t>
      </w:r>
      <w:r w:rsidR="00581DC4" w:rsidRPr="004C78D8">
        <w:fldChar w:fldCharType="end"/>
      </w:r>
      <w:r w:rsidR="00581DC4" w:rsidRPr="004C78D8">
        <w:t xml:space="preserve">. </w:t>
      </w:r>
      <w:r w:rsidR="006373E3" w:rsidRPr="004C78D8">
        <w:t xml:space="preserve">Engagements with older persons and professionals are hence fundamental parts of locally relevant falls prevention design and evaluation </w:t>
      </w:r>
      <w:r w:rsidR="006373E3" w:rsidRPr="004C78D8">
        <w:fldChar w:fldCharType="begin"/>
      </w:r>
      <w:r w:rsidR="00513646" w:rsidRPr="004C78D8">
        <w:instrText xml:space="preserve"> ADDIN EN.CITE &lt;EndNote&gt;&lt;Cite&gt;&lt;Author&gt;Child&lt;/Author&gt;&lt;Year&gt;2012&lt;/Year&gt;&lt;RecNum&gt;256&lt;/RecNum&gt;&lt;DisplayText&gt;[141]&lt;/DisplayText&gt;&lt;record&gt;&lt;rec-number&gt;256&lt;/rec-number&gt;&lt;foreign-keys&gt;&lt;key app="EN" db-id="tdtrdw9aepptzbefsat599syza29sxsd2wsp" timestamp="1611675441"&gt;256&lt;/key&gt;&lt;/foreign-keys&gt;&lt;ref-type name="Journal Article"&gt;17&lt;/ref-type&gt;&lt;contributors&gt;&lt;authors&gt;&lt;author&gt;Child, Sue&lt;/author&gt;&lt;author&gt;Goodwin, Victoria&lt;/author&gt;&lt;author&gt;Garside, Ruth&lt;/author&gt;&lt;author&gt;Jones-Hughes, Tracey&lt;/author&gt;&lt;author&gt;Boddy, Kate&lt;/author&gt;&lt;author&gt;Stein, Ken&lt;/author&gt;&lt;/authors&gt;&lt;/contributors&gt;&lt;titles&gt;&lt;title&gt;Factors influencing the implementation of fall-prevention programmes: a systematic review and synthesis of qualitative studies&lt;/title&gt;&lt;secondary-title&gt;Implementation science&lt;/secondary-title&gt;&lt;/titles&gt;&lt;periodical&gt;&lt;full-title&gt;Implementation science&lt;/full-title&gt;&lt;/periodical&gt;&lt;pages&gt;91&lt;/pages&gt;&lt;volume&gt;7&lt;/volume&gt;&lt;number&gt;1&lt;/number&gt;&lt;dates&gt;&lt;year&gt;2012&lt;/year&gt;&lt;/dates&gt;&lt;isbn&gt;1748-5908&lt;/isbn&gt;&lt;urls&gt;&lt;/urls&gt;&lt;/record&gt;&lt;/Cite&gt;&lt;/EndNote&gt;</w:instrText>
      </w:r>
      <w:r w:rsidR="006373E3" w:rsidRPr="004C78D8">
        <w:fldChar w:fldCharType="separate"/>
      </w:r>
      <w:r w:rsidR="00513646" w:rsidRPr="004C78D8">
        <w:rPr>
          <w:noProof/>
        </w:rPr>
        <w:t>[141]</w:t>
      </w:r>
      <w:r w:rsidR="006373E3" w:rsidRPr="004C78D8">
        <w:fldChar w:fldCharType="end"/>
      </w:r>
      <w:r w:rsidR="006373E3" w:rsidRPr="004C78D8">
        <w:t xml:space="preserve">. </w:t>
      </w:r>
      <w:r w:rsidR="00773E19" w:rsidRPr="004C78D8">
        <w:t>Financial</w:t>
      </w:r>
      <w:r w:rsidR="006373E3" w:rsidRPr="004C78D8">
        <w:t xml:space="preserve"> </w:t>
      </w:r>
      <w:r w:rsidR="00581DC4" w:rsidRPr="004C78D8">
        <w:t>barriers</w:t>
      </w:r>
      <w:r w:rsidR="00773E19" w:rsidRPr="004C78D8">
        <w:t xml:space="preserve"> to implementation</w:t>
      </w:r>
      <w:r w:rsidR="00581DC4" w:rsidRPr="004C78D8">
        <w:t xml:space="preserve"> may be addressed by additional funding, but non-</w:t>
      </w:r>
      <w:r w:rsidR="00C12DD3" w:rsidRPr="004C78D8">
        <w:t>financial</w:t>
      </w:r>
      <w:r w:rsidR="00581DC4" w:rsidRPr="004C78D8">
        <w:t xml:space="preserve"> (e.g., cultural) </w:t>
      </w:r>
      <w:r w:rsidR="006373E3" w:rsidRPr="004C78D8">
        <w:t>ones</w:t>
      </w:r>
      <w:r w:rsidR="00581DC4" w:rsidRPr="004C78D8">
        <w:t xml:space="preserve"> would require more innovative solutions </w:t>
      </w:r>
      <w:r w:rsidR="00581DC4" w:rsidRPr="004C78D8">
        <w:fldChar w:fldCharType="begin"/>
      </w:r>
      <w:r w:rsidR="00513646" w:rsidRPr="004C78D8">
        <w:instrText xml:space="preserve"> ADDIN EN.CITE &lt;EndNote&gt;&lt;Cite&gt;&lt;Author&gt;Jang&lt;/Author&gt;&lt;Year&gt;2016&lt;/Year&gt;&lt;RecNum&gt;271&lt;/RecNum&gt;&lt;DisplayText&gt;[142]&lt;/DisplayText&gt;&lt;record&gt;&lt;rec-number&gt;271&lt;/rec-number&gt;&lt;foreign-keys&gt;&lt;key app="EN" db-id="tdtrdw9aepptzbefsat599syza29sxsd2wsp" timestamp="1611692948"&gt;271&lt;/key&gt;&lt;/foreign-keys&gt;&lt;ref-type name="Journal Article"&gt;17&lt;/ref-type&gt;&lt;contributors&gt;&lt;authors&gt;&lt;author&gt;Jang, Haeyoung&lt;/author&gt;&lt;author&gt;Clemson, Lindy&lt;/author&gt;&lt;author&gt;Lovarini, Meryl&lt;/author&gt;&lt;author&gt;Willis, Karen&lt;/author&gt;&lt;author&gt;Lord, Stephen R&lt;/author&gt;&lt;author&gt;Sherrington, Catherine&lt;/author&gt;&lt;/authors&gt;&lt;/contributors&gt;&lt;titles&gt;&lt;title&gt;Cultural influences on exercise participation and fall prevention: a systematic review and narrative synthesis&lt;/title&gt;&lt;secondary-title&gt;Disability and rehabilitation&lt;/secondary-title&gt;&lt;/titles&gt;&lt;periodical&gt;&lt;full-title&gt;Disability and rehabilitation&lt;/full-title&gt;&lt;/periodical&gt;&lt;pages&gt;724-732&lt;/pages&gt;&lt;volume&gt;38&lt;/volume&gt;&lt;number&gt;8&lt;/number&gt;&lt;dates&gt;&lt;year&gt;2016&lt;/year&gt;&lt;/dates&gt;&lt;isbn&gt;0963-8288&lt;/isbn&gt;&lt;urls&gt;&lt;/urls&gt;&lt;/record&gt;&lt;/Cite&gt;&lt;/EndNote&gt;</w:instrText>
      </w:r>
      <w:r w:rsidR="00581DC4" w:rsidRPr="004C78D8">
        <w:fldChar w:fldCharType="separate"/>
      </w:r>
      <w:r w:rsidR="00513646" w:rsidRPr="004C78D8">
        <w:rPr>
          <w:noProof/>
        </w:rPr>
        <w:t>[142]</w:t>
      </w:r>
      <w:r w:rsidR="00581DC4" w:rsidRPr="004C78D8">
        <w:fldChar w:fldCharType="end"/>
      </w:r>
      <w:r w:rsidR="00581DC4" w:rsidRPr="004C78D8">
        <w:t xml:space="preserve">. </w:t>
      </w:r>
      <w:r w:rsidR="006373E3" w:rsidRPr="004C78D8">
        <w:t>The implementation challenges nevertheless present opportunities for intersectoral integration. The Public Health England consensus statement on community-based falls prevention, for example, advocate</w:t>
      </w:r>
      <w:r w:rsidR="0082393E" w:rsidRPr="004C78D8">
        <w:t>s</w:t>
      </w:r>
      <w:r w:rsidR="006373E3" w:rsidRPr="004C78D8">
        <w:t xml:space="preserve"> the active involvement of nonclinical and voluntary organisations</w:t>
      </w:r>
      <w:r w:rsidR="0082393E" w:rsidRPr="004C78D8">
        <w:t xml:space="preserve"> in falls risk screening</w:t>
      </w:r>
      <w:r w:rsidR="006373E3" w:rsidRPr="004C78D8">
        <w:t xml:space="preserve"> </w:t>
      </w:r>
      <w:r w:rsidR="0082393E" w:rsidRPr="004C78D8">
        <w:t xml:space="preserve">and physical activity promotion </w:t>
      </w:r>
      <w:r w:rsidR="0082393E" w:rsidRPr="004C78D8">
        <w:fldChar w:fldCharType="begin"/>
      </w:r>
      <w:r w:rsidR="00513646" w:rsidRPr="004C78D8">
        <w:instrText xml:space="preserve"> ADDIN EN.CITE &lt;EndNote&gt;&lt;Cite&gt;&lt;Author&gt;Public Health England&lt;/Author&gt;&lt;Year&gt;2017&lt;/Year&gt;&lt;RecNum&gt;533&lt;/RecNum&gt;&lt;DisplayText&gt;[143]&lt;/DisplayText&gt;&lt;record&gt;&lt;rec-number&gt;533&lt;/rec-number&gt;&lt;foreign-keys&gt;&lt;key app="EN" db-id="tdtrdw9aepptzbefsat599syza29sxsd2wsp" timestamp="1618261096"&gt;533&lt;/key&gt;&lt;/foreign-keys&gt;&lt;ref-type name="Journal Article"&gt;17&lt;/ref-type&gt;&lt;contributors&gt;&lt;authors&gt;&lt;author&gt;Public Health England,&lt;/author&gt;&lt;/authors&gt;&lt;/contributors&gt;&lt;titles&gt;&lt;title&gt;Falls and fracture consensus statement: Supporting commissioning for prevention&lt;/title&gt;&lt;secondary-title&gt;London: Public Health England&lt;/secondary-title&gt;&lt;/titles&gt;&lt;periodical&gt;&lt;full-title&gt;London: Public Health England&lt;/full-title&gt;&lt;/periodical&gt;&lt;dates&gt;&lt;year&gt;2017&lt;/year&gt;&lt;/dates&gt;&lt;urls&gt;&lt;/urls&gt;&lt;/record&gt;&lt;/Cite&gt;&lt;/EndNote&gt;</w:instrText>
      </w:r>
      <w:r w:rsidR="0082393E" w:rsidRPr="004C78D8">
        <w:fldChar w:fldCharType="separate"/>
      </w:r>
      <w:r w:rsidR="00513646" w:rsidRPr="004C78D8">
        <w:rPr>
          <w:noProof/>
        </w:rPr>
        <w:t>[143]</w:t>
      </w:r>
      <w:r w:rsidR="0082393E" w:rsidRPr="004C78D8">
        <w:fldChar w:fldCharType="end"/>
      </w:r>
      <w:r w:rsidR="0082393E" w:rsidRPr="004C78D8">
        <w:t>.</w:t>
      </w:r>
    </w:p>
    <w:p w14:paraId="24C49AEA" w14:textId="412C2A9B" w:rsidR="00581DC4" w:rsidRPr="004C78D8" w:rsidRDefault="00E4475A" w:rsidP="00FB7C1F">
      <w:r w:rsidRPr="004C78D8">
        <w:t xml:space="preserve">Overall, </w:t>
      </w:r>
      <w:r w:rsidR="00F861D0" w:rsidRPr="004C78D8">
        <w:t>falls are</w:t>
      </w:r>
      <w:r w:rsidRPr="004C78D8">
        <w:t xml:space="preserve"> </w:t>
      </w:r>
      <w:r w:rsidR="00AC158D" w:rsidRPr="004C78D8">
        <w:t xml:space="preserve">one of the </w:t>
      </w:r>
      <w:r w:rsidRPr="004C78D8">
        <w:t xml:space="preserve">major </w:t>
      </w:r>
      <w:r w:rsidR="00AC158D" w:rsidRPr="004C78D8">
        <w:t xml:space="preserve">geriatric syndromes </w:t>
      </w:r>
      <w:r w:rsidR="00581DC4" w:rsidRPr="004C78D8">
        <w:t>with health and economic consequences spanning multiple care sectors and wider society</w:t>
      </w:r>
      <w:r w:rsidR="00F861D0" w:rsidRPr="004C78D8">
        <w:t xml:space="preserve">, while </w:t>
      </w:r>
      <w:r w:rsidR="00F65C8D" w:rsidRPr="004C78D8">
        <w:t>a</w:t>
      </w:r>
      <w:r w:rsidR="00F861D0" w:rsidRPr="004C78D8">
        <w:t xml:space="preserve"> successful implementation of community-based falls prevention would face the ideals and challenges common to geriatric public health interventions</w:t>
      </w:r>
      <w:r w:rsidRPr="004C78D8">
        <w:t>.</w:t>
      </w:r>
      <w:r w:rsidR="00FE37E5" w:rsidRPr="004C78D8">
        <w:t xml:space="preserve"> </w:t>
      </w:r>
      <w:r w:rsidR="00FE37E5" w:rsidRPr="004C78D8">
        <w:lastRenderedPageBreak/>
        <w:t>Therefore, economic modelling of falls prevention would generate significant lessons that are applicable to the modelling of geriatric public health interventions in general.</w:t>
      </w:r>
    </w:p>
    <w:p w14:paraId="210EDEB4" w14:textId="77777777" w:rsidR="001D7F98" w:rsidRPr="004C78D8" w:rsidRDefault="001D7F98" w:rsidP="00FB7C1F"/>
    <w:p w14:paraId="1F76FFAD" w14:textId="3528B482" w:rsidR="00303EF6" w:rsidRPr="004C78D8" w:rsidRDefault="00303EF6" w:rsidP="00FB7C1F">
      <w:pPr>
        <w:pStyle w:val="Heading3"/>
      </w:pPr>
      <w:bookmarkStart w:id="30" w:name="_Toc111630695"/>
      <w:r w:rsidRPr="004C78D8">
        <w:t>1.3.</w:t>
      </w:r>
      <w:r w:rsidR="00396E49" w:rsidRPr="004C78D8">
        <w:t>4</w:t>
      </w:r>
      <w:r w:rsidRPr="004C78D8">
        <w:t xml:space="preserve"> Health economic evaluation</w:t>
      </w:r>
      <w:bookmarkEnd w:id="30"/>
    </w:p>
    <w:p w14:paraId="3E8F8CBE" w14:textId="3540C27A" w:rsidR="00AE0335" w:rsidRPr="004C78D8" w:rsidRDefault="006B363B" w:rsidP="00FB7C1F">
      <w:r w:rsidRPr="004C78D8">
        <w:t xml:space="preserve">The motivation for </w:t>
      </w:r>
      <w:r w:rsidR="00552A10" w:rsidRPr="004C78D8">
        <w:t xml:space="preserve">conducting a </w:t>
      </w:r>
      <w:r w:rsidR="00324963" w:rsidRPr="004C78D8">
        <w:t xml:space="preserve">health economic evaluation of </w:t>
      </w:r>
      <w:r w:rsidR="00A86F28" w:rsidRPr="004C78D8">
        <w:t>community-based</w:t>
      </w:r>
      <w:r w:rsidR="00925267" w:rsidRPr="004C78D8">
        <w:t xml:space="preserve"> falls prevention </w:t>
      </w:r>
      <w:r w:rsidR="00552A10" w:rsidRPr="004C78D8">
        <w:t>intervention</w:t>
      </w:r>
      <w:r w:rsidR="006D6EBD" w:rsidRPr="004C78D8">
        <w:t xml:space="preserve"> is </w:t>
      </w:r>
      <w:r w:rsidR="00324963" w:rsidRPr="004C78D8">
        <w:t>discussed (</w:t>
      </w:r>
      <w:r w:rsidR="00324963" w:rsidRPr="00FB7C1F">
        <w:t>Section 1.3.4.1</w:t>
      </w:r>
      <w:r w:rsidR="00324963" w:rsidRPr="004C78D8">
        <w:t xml:space="preserve">). Two important aspects of the evaluation framework are </w:t>
      </w:r>
      <w:r w:rsidR="00925267" w:rsidRPr="004C78D8">
        <w:t xml:space="preserve">then </w:t>
      </w:r>
      <w:r w:rsidR="00324963" w:rsidRPr="004C78D8">
        <w:t xml:space="preserve">introduced: type of analysis (Section 1.3.4.2); and evaluation perspective (Section 1.3.4.3). </w:t>
      </w:r>
      <w:r w:rsidR="00EA0203" w:rsidRPr="004C78D8">
        <w:t xml:space="preserve">Return on investment analysis (ROI) is introduced separately since it is typically not regarded as a health economic evaluation but is nevertheless frequently used for public health service appraisal </w:t>
      </w:r>
      <w:r w:rsidR="00EA0203" w:rsidRPr="004C78D8">
        <w:fldChar w:fldCharType="begin"/>
      </w:r>
      <w:r w:rsidR="00513646" w:rsidRPr="004C78D8">
        <w:instrText xml:space="preserve"> ADDIN EN.CITE &lt;EndNote&gt;&lt;Cite&gt;&lt;Author&gt;National Institute for Health and Care Excellence&lt;/Author&gt;&lt;Year&gt;2011&lt;/Year&gt;&lt;RecNum&gt;363&lt;/RecNum&gt;&lt;DisplayText&gt;[144]&lt;/DisplayText&gt;&lt;record&gt;&lt;rec-number&gt;363&lt;/rec-number&gt;&lt;foreign-keys&gt;&lt;key app="EN" db-id="tdtrdw9aepptzbefsat599syza29sxsd2wsp" timestamp="1612267754"&gt;363&lt;/key&gt;&lt;/foreign-keys&gt;&lt;ref-type name="Journal Article"&gt;17&lt;/ref-type&gt;&lt;contributors&gt;&lt;authors&gt;&lt;author&gt;National Institute for Health and Care Excellence,&lt;/author&gt;&lt;/authors&gt;&lt;/contributors&gt;&lt;titles&gt;&lt;title&gt;Supporting investment in public health: Review of methods for assessing cost effectiveness, cost impact and return on investment&lt;/title&gt;&lt;secondary-title&gt;London: NICE&lt;/secondary-title&gt;&lt;/titles&gt;&lt;periodical&gt;&lt;full-title&gt;London: NICE&lt;/full-title&gt;&lt;/periodical&gt;&lt;dates&gt;&lt;year&gt;2011&lt;/year&gt;&lt;/dates&gt;&lt;urls&gt;&lt;/urls&gt;&lt;/record&gt;&lt;/Cite&gt;&lt;/EndNote&gt;</w:instrText>
      </w:r>
      <w:r w:rsidR="00EA0203" w:rsidRPr="004C78D8">
        <w:fldChar w:fldCharType="separate"/>
      </w:r>
      <w:r w:rsidR="00513646" w:rsidRPr="004C78D8">
        <w:rPr>
          <w:noProof/>
        </w:rPr>
        <w:t>[144]</w:t>
      </w:r>
      <w:r w:rsidR="00EA0203" w:rsidRPr="004C78D8">
        <w:fldChar w:fldCharType="end"/>
      </w:r>
      <w:r w:rsidR="00EA0203" w:rsidRPr="004C78D8">
        <w:t xml:space="preserve"> (Section 1.3.4.4).</w:t>
      </w:r>
    </w:p>
    <w:p w14:paraId="29287D8D" w14:textId="0E20232A" w:rsidR="00AE0335" w:rsidRPr="004C78D8" w:rsidRDefault="00AE0335" w:rsidP="00FB7C1F">
      <w:pPr>
        <w:pStyle w:val="Heading4"/>
      </w:pPr>
      <w:r w:rsidRPr="004C78D8">
        <w:t>1.3.4.1 Motivation for h</w:t>
      </w:r>
      <w:r w:rsidR="006B363B" w:rsidRPr="004C78D8">
        <w:t xml:space="preserve">ealth </w:t>
      </w:r>
      <w:r w:rsidRPr="004C78D8">
        <w:t>economic evaluation</w:t>
      </w:r>
      <w:r w:rsidR="00A86F28" w:rsidRPr="004C78D8">
        <w:t xml:space="preserve"> of community-based falls prevention</w:t>
      </w:r>
    </w:p>
    <w:p w14:paraId="613E1D75" w14:textId="07BE9127" w:rsidR="00925267" w:rsidRPr="004C78D8" w:rsidRDefault="00EA667C" w:rsidP="00FB7C1F">
      <w:r w:rsidRPr="004C78D8">
        <w:t>Health e</w:t>
      </w:r>
      <w:r w:rsidR="006B363B" w:rsidRPr="004C78D8">
        <w:t xml:space="preserve">conomic evaluation is a comparative analysis of alternative </w:t>
      </w:r>
      <w:r w:rsidRPr="004C78D8">
        <w:t>healthcare strategies</w:t>
      </w:r>
      <w:r w:rsidR="006B363B" w:rsidRPr="004C78D8">
        <w:t xml:space="preserve"> in terms of costs and consequences with the primary purpose of informing the efficient use of scarce resources under a </w:t>
      </w:r>
      <w:r w:rsidRPr="004C78D8">
        <w:t>constrained</w:t>
      </w:r>
      <w:r w:rsidR="006B363B" w:rsidRPr="004C78D8">
        <w:t xml:space="preserve"> healthcare budget </w:t>
      </w:r>
      <w:r w:rsidR="006B363B" w:rsidRPr="004C78D8">
        <w:fldChar w:fldCharType="begin"/>
      </w:r>
      <w:r w:rsidR="00513646" w:rsidRPr="004C78D8">
        <w:instrText xml:space="preserve"> ADDIN EN.CITE &lt;EndNote&gt;&lt;Cite&gt;&lt;Author&gt;Drummond&lt;/Author&gt;&lt;Year&gt;2015&lt;/Year&gt;&lt;RecNum&gt;2&lt;/RecNum&gt;&lt;DisplayText&gt;[145]&lt;/DisplayText&gt;&lt;record&gt;&lt;rec-number&gt;2&lt;/rec-number&gt;&lt;foreign-keys&gt;&lt;key app="EN" db-id="tdtrdw9aepptzbefsat599syza29sxsd2wsp" timestamp="1596571149"&gt;2&lt;/key&gt;&lt;/foreign-keys&gt;&lt;ref-type name="Book"&gt;6&lt;/ref-type&gt;&lt;contributors&gt;&lt;authors&gt;&lt;author&gt;Drummond, Michael F&lt;/author&gt;&lt;author&gt;Sculpher, Mark J&lt;/author&gt;&lt;author&gt;Claxton, Karl&lt;/author&gt;&lt;author&gt;Stoddart, Greg L&lt;/author&gt;&lt;author&gt;Torrance, George W&lt;/author&gt;&lt;/authors&gt;&lt;/contributors&gt;&lt;titles&gt;&lt;title&gt;Methods for the economic evaluation of health care programmes&lt;/title&gt;&lt;/titles&gt;&lt;dates&gt;&lt;year&gt;2015&lt;/year&gt;&lt;/dates&gt;&lt;publisher&gt;Oxford university press&lt;/publisher&gt;&lt;isbn&gt;0191643580&lt;/isbn&gt;&lt;urls&gt;&lt;/urls&gt;&lt;/record&gt;&lt;/Cite&gt;&lt;/EndNote&gt;</w:instrText>
      </w:r>
      <w:r w:rsidR="006B363B" w:rsidRPr="004C78D8">
        <w:fldChar w:fldCharType="separate"/>
      </w:r>
      <w:r w:rsidR="00513646" w:rsidRPr="004C78D8">
        <w:rPr>
          <w:noProof/>
        </w:rPr>
        <w:t>[145]</w:t>
      </w:r>
      <w:r w:rsidR="006B363B" w:rsidRPr="004C78D8">
        <w:fldChar w:fldCharType="end"/>
      </w:r>
      <w:r w:rsidR="006B363B" w:rsidRPr="004C78D8">
        <w:t xml:space="preserve">. The key concept is that of opportunity cost: any healthcare expenditure from a constrained budget implies an opportunity cost in terms of health foregone from the alternative ways in which the resources could have been used </w:t>
      </w:r>
      <w:r w:rsidR="001741BE">
        <w:t xml:space="preserve">to generate health (or more broadly, utility) </w:t>
      </w:r>
      <w:r w:rsidR="006B363B" w:rsidRPr="004C78D8">
        <w:t xml:space="preserve">for other patient groups </w:t>
      </w:r>
      <w:r w:rsidR="006B363B" w:rsidRPr="004C78D8">
        <w:fldChar w:fldCharType="begin"/>
      </w:r>
      <w:r w:rsidR="00513646" w:rsidRPr="004C78D8">
        <w:instrText xml:space="preserve"> ADDIN EN.CITE &lt;EndNote&gt;&lt;Cite&gt;&lt;Author&gt;Drummond&lt;/Author&gt;&lt;Year&gt;2015&lt;/Year&gt;&lt;RecNum&gt;2&lt;/RecNum&gt;&lt;DisplayText&gt;[145]&lt;/DisplayText&gt;&lt;record&gt;&lt;rec-number&gt;2&lt;/rec-number&gt;&lt;foreign-keys&gt;&lt;key app="EN" db-id="tdtrdw9aepptzbefsat599syza29sxsd2wsp" timestamp="1596571149"&gt;2&lt;/key&gt;&lt;/foreign-keys&gt;&lt;ref-type name="Book"&gt;6&lt;/ref-type&gt;&lt;contributors&gt;&lt;authors&gt;&lt;author&gt;Drummond, Michael F&lt;/author&gt;&lt;author&gt;Sculpher, Mark J&lt;/author&gt;&lt;author&gt;Claxton, Karl&lt;/author&gt;&lt;author&gt;Stoddart, Greg L&lt;/author&gt;&lt;author&gt;Torrance, George W&lt;/author&gt;&lt;/authors&gt;&lt;/contributors&gt;&lt;titles&gt;&lt;title&gt;Methods for the economic evaluation of health care programmes&lt;/title&gt;&lt;/titles&gt;&lt;dates&gt;&lt;year&gt;2015&lt;/year&gt;&lt;/dates&gt;&lt;publisher&gt;Oxford university press&lt;/publisher&gt;&lt;isbn&gt;0191643580&lt;/isbn&gt;&lt;urls&gt;&lt;/urls&gt;&lt;/record&gt;&lt;/Cite&gt;&lt;/EndNote&gt;</w:instrText>
      </w:r>
      <w:r w:rsidR="006B363B" w:rsidRPr="004C78D8">
        <w:fldChar w:fldCharType="separate"/>
      </w:r>
      <w:r w:rsidR="00513646" w:rsidRPr="004C78D8">
        <w:rPr>
          <w:noProof/>
        </w:rPr>
        <w:t>[145]</w:t>
      </w:r>
      <w:r w:rsidR="006B363B" w:rsidRPr="004C78D8">
        <w:fldChar w:fldCharType="end"/>
      </w:r>
      <w:r w:rsidR="006B363B" w:rsidRPr="004C78D8">
        <w:t>.</w:t>
      </w:r>
    </w:p>
    <w:p w14:paraId="5A501EE0" w14:textId="391F5BFE" w:rsidR="00925267" w:rsidRPr="004C78D8" w:rsidRDefault="00F52387" w:rsidP="00FB7C1F">
      <w:r w:rsidRPr="004C78D8">
        <w:t>F</w:t>
      </w:r>
      <w:r w:rsidR="00DE5DB3" w:rsidRPr="004C78D8">
        <w:t xml:space="preserve">alls prevention interventions </w:t>
      </w:r>
      <w:r w:rsidRPr="004C78D8">
        <w:t xml:space="preserve">also </w:t>
      </w:r>
      <w:r w:rsidR="00DE5DB3" w:rsidRPr="004C78D8">
        <w:t>make use of scarce healthcare resources</w:t>
      </w:r>
      <w:r w:rsidR="00EA667C" w:rsidRPr="004C78D8">
        <w:t xml:space="preserve">, </w:t>
      </w:r>
      <w:r w:rsidR="00DE5DB3" w:rsidRPr="004C78D8">
        <w:t xml:space="preserve">and evaluation of their opportunity costs is </w:t>
      </w:r>
      <w:r w:rsidR="00877346" w:rsidRPr="004C78D8">
        <w:t xml:space="preserve">hence </w:t>
      </w:r>
      <w:r w:rsidR="00DE5DB3" w:rsidRPr="004C78D8">
        <w:t xml:space="preserve">warranted. Moreover, the high economic </w:t>
      </w:r>
      <w:r w:rsidR="000749AC" w:rsidRPr="004C78D8">
        <w:t>impacts</w:t>
      </w:r>
      <w:r w:rsidR="00DE5DB3" w:rsidRPr="004C78D8">
        <w:t xml:space="preserve"> of falls </w:t>
      </w:r>
      <w:r w:rsidR="00F53C7F" w:rsidRPr="004C78D8">
        <w:fldChar w:fldCharType="begin"/>
      </w:r>
      <w:r w:rsidR="00513646" w:rsidRPr="004C78D8">
        <w:instrText xml:space="preserve"> ADDIN EN.CITE &lt;EndNote&gt;&lt;Cite&gt;&lt;Author&gt;Tian&lt;/Author&gt;&lt;Year&gt;2013&lt;/Year&gt;&lt;RecNum&gt;258&lt;/RecNum&gt;&lt;DisplayText&gt;[60]&lt;/DisplayText&gt;&lt;record&gt;&lt;rec-number&gt;258&lt;/rec-number&gt;&lt;foreign-keys&gt;&lt;key app="EN" db-id="tdtrdw9aepptzbefsat599syza29sxsd2wsp" timestamp="1611686842"&gt;258&lt;/key&gt;&lt;/foreign-keys&gt;&lt;ref-type name="Book"&gt;6&lt;/ref-type&gt;&lt;contributors&gt;&lt;authors&gt;&lt;author&gt;Tian, Yang&lt;/author&gt;&lt;author&gt;Thompson, James&lt;/author&gt;&lt;author&gt;Buck, David&lt;/author&gt;&lt;author&gt;Sonola, Lara&lt;/author&gt;&lt;/authors&gt;&lt;/contributors&gt;&lt;titles&gt;&lt;title&gt;Exploring the system-wide costs of falls in older people in Torbay&lt;/title&gt;&lt;/titles&gt;&lt;dates&gt;&lt;year&gt;2013&lt;/year&gt;&lt;/dates&gt;&lt;publisher&gt;King&amp;apos;s Fund&lt;/publisher&gt;&lt;isbn&gt;1909029157&lt;/isbn&gt;&lt;urls&gt;&lt;/urls&gt;&lt;/record&gt;&lt;/Cite&gt;&lt;/EndNote&gt;</w:instrText>
      </w:r>
      <w:r w:rsidR="00F53C7F" w:rsidRPr="004C78D8">
        <w:fldChar w:fldCharType="separate"/>
      </w:r>
      <w:r w:rsidR="00513646" w:rsidRPr="004C78D8">
        <w:rPr>
          <w:noProof/>
        </w:rPr>
        <w:t>[60]</w:t>
      </w:r>
      <w:r w:rsidR="00F53C7F" w:rsidRPr="004C78D8">
        <w:fldChar w:fldCharType="end"/>
      </w:r>
      <w:r w:rsidR="00F53C7F" w:rsidRPr="004C78D8">
        <w:t xml:space="preserve"> </w:t>
      </w:r>
      <w:r w:rsidR="00DE5DB3" w:rsidRPr="004C78D8">
        <w:t>– via both their primary and secondary effects</w:t>
      </w:r>
      <w:r w:rsidR="00F53C7F" w:rsidRPr="004C78D8">
        <w:t>, and across public care systems and wider society</w:t>
      </w:r>
      <w:r w:rsidR="00DE5DB3" w:rsidRPr="004C78D8">
        <w:t xml:space="preserve"> – </w:t>
      </w:r>
      <w:r w:rsidR="00EA667C" w:rsidRPr="004C78D8">
        <w:t>offer</w:t>
      </w:r>
      <w:r w:rsidR="00DE5DB3" w:rsidRPr="004C78D8">
        <w:t xml:space="preserve"> the possibility that </w:t>
      </w:r>
      <w:r w:rsidRPr="004C78D8">
        <w:t xml:space="preserve">successful falls prevention </w:t>
      </w:r>
      <w:r w:rsidR="00DE5DB3" w:rsidRPr="004C78D8">
        <w:t xml:space="preserve">intervention </w:t>
      </w:r>
      <w:r w:rsidR="00EA667C" w:rsidRPr="004C78D8">
        <w:t xml:space="preserve">introduces only small opportunity costs. </w:t>
      </w:r>
      <w:r w:rsidR="00C97898" w:rsidRPr="004C78D8">
        <w:t xml:space="preserve">This would provide a strong rationale for widespread commissioning of falls prevention interventions. </w:t>
      </w:r>
      <w:r w:rsidR="00540D1A" w:rsidRPr="004C78D8">
        <w:t xml:space="preserve">A </w:t>
      </w:r>
      <w:r w:rsidR="00C97898" w:rsidRPr="004C78D8">
        <w:t xml:space="preserve">well-conducted </w:t>
      </w:r>
      <w:r w:rsidR="00540D1A" w:rsidRPr="004C78D8">
        <w:t>health economic evaluation can present such findings using transparent and scientific methodology and the best available epidemiological and economic evidence</w:t>
      </w:r>
      <w:r w:rsidR="00C97898" w:rsidRPr="004C78D8">
        <w:t xml:space="preserve"> </w:t>
      </w:r>
      <w:r w:rsidR="00C97898" w:rsidRPr="004C78D8">
        <w:fldChar w:fldCharType="begin"/>
      </w:r>
      <w:r w:rsidR="00513646" w:rsidRPr="004C78D8">
        <w:instrText xml:space="preserve"> ADDIN EN.CITE &lt;EndNote&gt;&lt;Cite&gt;&lt;Author&gt;Drummond&lt;/Author&gt;&lt;Year&gt;2015&lt;/Year&gt;&lt;RecNum&gt;2&lt;/RecNum&gt;&lt;DisplayText&gt;[145]&lt;/DisplayText&gt;&lt;record&gt;&lt;rec-number&gt;2&lt;/rec-number&gt;&lt;foreign-keys&gt;&lt;key app="EN" db-id="tdtrdw9aepptzbefsat599syza29sxsd2wsp" timestamp="1596571149"&gt;2&lt;/key&gt;&lt;/foreign-keys&gt;&lt;ref-type name="Book"&gt;6&lt;/ref-type&gt;&lt;contributors&gt;&lt;authors&gt;&lt;author&gt;Drummond, Michael F&lt;/author&gt;&lt;author&gt;Sculpher, Mark J&lt;/author&gt;&lt;author&gt;Claxton, Karl&lt;/author&gt;&lt;author&gt;Stoddart, Greg L&lt;/author&gt;&lt;author&gt;Torrance, George W&lt;/author&gt;&lt;/authors&gt;&lt;/contributors&gt;&lt;titles&gt;&lt;title&gt;Methods for the economic evaluation of health care programmes&lt;/title&gt;&lt;/titles&gt;&lt;dates&gt;&lt;year&gt;2015&lt;/year&gt;&lt;/dates&gt;&lt;publisher&gt;Oxford university press&lt;/publisher&gt;&lt;isbn&gt;0191643580&lt;/isbn&gt;&lt;urls&gt;&lt;/urls&gt;&lt;/record&gt;&lt;/Cite&gt;&lt;/EndNote&gt;</w:instrText>
      </w:r>
      <w:r w:rsidR="00C97898" w:rsidRPr="004C78D8">
        <w:fldChar w:fldCharType="separate"/>
      </w:r>
      <w:r w:rsidR="00513646" w:rsidRPr="004C78D8">
        <w:rPr>
          <w:noProof/>
        </w:rPr>
        <w:t>[145]</w:t>
      </w:r>
      <w:r w:rsidR="00C97898" w:rsidRPr="004C78D8">
        <w:fldChar w:fldCharType="end"/>
      </w:r>
      <w:r w:rsidR="00540D1A" w:rsidRPr="004C78D8">
        <w:t xml:space="preserve">. </w:t>
      </w:r>
    </w:p>
    <w:p w14:paraId="73A5790B" w14:textId="40306A25" w:rsidR="00C97898" w:rsidRPr="004C78D8" w:rsidRDefault="00C97898" w:rsidP="00FB7C1F">
      <w:r w:rsidRPr="004C78D8">
        <w:t>The case for conducting a</w:t>
      </w:r>
      <w:r w:rsidR="000F6E41" w:rsidRPr="004C78D8">
        <w:t xml:space="preserve">n </w:t>
      </w:r>
      <w:r w:rsidRPr="004C78D8">
        <w:t xml:space="preserve">economic evaluation is particularly strong for the NICE-recommended falls prevention pathway. </w:t>
      </w:r>
      <w:r w:rsidR="00A439CE" w:rsidRPr="004C78D8">
        <w:t xml:space="preserve">The initial NICE guideline CG21 was based on limited economic evaluation evidence, specifically </w:t>
      </w:r>
      <w:r w:rsidR="00E958E7" w:rsidRPr="004C78D8">
        <w:t xml:space="preserve">on the results of a single Markov cohort model that evaluated a multifactorial intervention and an exercise intervention over the lifetime horizon </w:t>
      </w:r>
      <w:r w:rsidR="00E958E7" w:rsidRPr="004C78D8">
        <w:fldChar w:fldCharType="begin"/>
      </w:r>
      <w:r w:rsidR="00513646" w:rsidRPr="004C78D8">
        <w:instrText xml:space="preserve"> ADDIN EN.CITE &lt;EndNote&gt;&lt;Cite&gt;&lt;Author&gt;Royal College of Nursing&lt;/Author&gt;&lt;Year&gt;2005&lt;/Year&gt;&lt;RecNum&gt;294&lt;/RecNum&gt;&lt;DisplayText&gt;[146]&lt;/DisplayText&gt;&lt;record&gt;&lt;rec-number&gt;294&lt;/rec-number&gt;&lt;foreign-keys&gt;&lt;key app="EN" db-id="tdtrdw9aepptzbefsat599syza29sxsd2wsp" timestamp="1611870926"&gt;294&lt;/key&gt;&lt;/foreign-keys&gt;&lt;ref-type name="Journal Article"&gt;17&lt;/ref-type&gt;&lt;contributors&gt;&lt;authors&gt;&lt;author&gt;Royal College of Nursing,&lt;/author&gt;&lt;/authors&gt;&lt;/contributors&gt;&lt;titles&gt;&lt;title&gt;Clinical practice guideline for the assessment and prevention of falls in older people&lt;/title&gt;&lt;secondary-title&gt;Clinical Practice Guidelines&lt;/secondary-title&gt;&lt;/titles&gt;&lt;periodical&gt;&lt;full-title&gt;Clinical Practice Guidelines&lt;/full-title&gt;&lt;/periodical&gt;&lt;volume&gt;London: Royal College of Nursing&lt;/volume&gt;&lt;dates&gt;&lt;year&gt;2005&lt;/year&gt;&lt;/dates&gt;&lt;urls&gt;&lt;/urls&gt;&lt;/record&gt;&lt;/Cite&gt;&lt;/EndNote&gt;</w:instrText>
      </w:r>
      <w:r w:rsidR="00E958E7" w:rsidRPr="004C78D8">
        <w:fldChar w:fldCharType="separate"/>
      </w:r>
      <w:r w:rsidR="00513646" w:rsidRPr="004C78D8">
        <w:rPr>
          <w:noProof/>
        </w:rPr>
        <w:t>[146]</w:t>
      </w:r>
      <w:r w:rsidR="00E958E7" w:rsidRPr="004C78D8">
        <w:fldChar w:fldCharType="end"/>
      </w:r>
      <w:r w:rsidR="00E958E7" w:rsidRPr="004C78D8">
        <w:t xml:space="preserve">. The model has several limitations </w:t>
      </w:r>
      <w:r w:rsidR="0032705E" w:rsidRPr="004C78D8">
        <w:t>including</w:t>
      </w:r>
      <w:r w:rsidR="00E958E7" w:rsidRPr="004C78D8">
        <w:t xml:space="preserve"> </w:t>
      </w:r>
      <w:r w:rsidR="007C6488" w:rsidRPr="004C78D8">
        <w:t>the</w:t>
      </w:r>
      <w:r w:rsidR="00E958E7" w:rsidRPr="004C78D8">
        <w:t xml:space="preserve"> lack of Markov tunnel states to incorporate age-related increase</w:t>
      </w:r>
      <w:r w:rsidR="00020502">
        <w:t>s</w:t>
      </w:r>
      <w:r w:rsidR="00E958E7" w:rsidRPr="004C78D8">
        <w:t xml:space="preserve"> in falls risk</w:t>
      </w:r>
      <w:r w:rsidR="007C6488" w:rsidRPr="004C78D8">
        <w:t xml:space="preserve">, non-incorporation of recurrent falls within a year, and simplistic characterisation of falls risk screening and intervention reach (e.g., </w:t>
      </w:r>
      <w:r w:rsidR="0032705E" w:rsidRPr="004C78D8">
        <w:t>the model assumed that</w:t>
      </w:r>
      <w:r w:rsidR="007C6488" w:rsidRPr="004C78D8">
        <w:t xml:space="preserve"> the whole model target population receives multifactorial intervention</w:t>
      </w:r>
      <w:r w:rsidR="0032705E" w:rsidRPr="004C78D8">
        <w:t xml:space="preserve"> and the process of screening and identifying the high-risk subgroup was not characterised</w:t>
      </w:r>
      <w:r w:rsidR="007C6488" w:rsidRPr="004C78D8">
        <w:t xml:space="preserve">); </w:t>
      </w:r>
      <w:r w:rsidR="00E958E7" w:rsidRPr="004C78D8">
        <w:t xml:space="preserve">see Chapter </w:t>
      </w:r>
      <w:r w:rsidR="00EB343B" w:rsidRPr="004C78D8">
        <w:t>4</w:t>
      </w:r>
      <w:r w:rsidR="00E958E7" w:rsidRPr="004C78D8">
        <w:t xml:space="preserve"> where this model is reviewed. The updated guideline CG161 contained no additional economic evaluation or review of previous evaluations </w:t>
      </w:r>
      <w:r w:rsidR="00E958E7" w:rsidRPr="004C78D8">
        <w:fldChar w:fldCharType="begin"/>
      </w:r>
      <w:r w:rsidR="00F255A9"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00E958E7" w:rsidRPr="004C78D8">
        <w:fldChar w:fldCharType="separate"/>
      </w:r>
      <w:r w:rsidR="00F255A9" w:rsidRPr="004C78D8">
        <w:rPr>
          <w:noProof/>
        </w:rPr>
        <w:t>[13]</w:t>
      </w:r>
      <w:r w:rsidR="00E958E7" w:rsidRPr="004C78D8">
        <w:fldChar w:fldCharType="end"/>
      </w:r>
      <w:r w:rsidR="00E958E7" w:rsidRPr="004C78D8">
        <w:t xml:space="preserve">. The 2019 surveillance also mentioned no </w:t>
      </w:r>
      <w:r w:rsidR="00EB343B" w:rsidRPr="004C78D8">
        <w:t xml:space="preserve">further </w:t>
      </w:r>
      <w:r w:rsidR="00E958E7" w:rsidRPr="004C78D8">
        <w:t xml:space="preserve">plan for economic evaluation </w:t>
      </w:r>
      <w:r w:rsidR="00E958E7" w:rsidRPr="004C78D8">
        <w:fldChar w:fldCharType="begin"/>
      </w:r>
      <w:r w:rsidR="00513646" w:rsidRPr="004C78D8">
        <w:instrText xml:space="preserve"> ADDIN EN.CITE &lt;EndNote&gt;&lt;Cite&gt;&lt;Author&gt;National Institute for Health and Care Excellence&lt;/Author&gt;&lt;Year&gt;2019&lt;/Year&gt;&lt;RecNum&gt;499&lt;/RecNum&gt;&lt;DisplayText&gt;[130]&lt;/DisplayText&gt;&lt;record&gt;&lt;rec-number&gt;499&lt;/rec-number&gt;&lt;foreign-keys&gt;&lt;key app="EN" db-id="tdtrdw9aepptzbefsat599syza29sxsd2wsp" timestamp="1617284473"&gt;499&lt;/key&gt;&lt;/foreign-keys&gt;&lt;ref-type name="Journal Article"&gt;17&lt;/ref-type&gt;&lt;contributors&gt;&lt;authors&gt;&lt;author&gt;National Institute for Health and Care Excellence,&lt;/author&gt;&lt;/authors&gt;&lt;/contributors&gt;&lt;titles&gt;&lt;title&gt;2019 surveillance of falls in older people: assessing risk and prevention (NICE guideline CG161)&lt;/title&gt;&lt;secondary-title&gt;National Institute for Health and Care Excellence&lt;/secondary-title&gt;&lt;/titles&gt;&lt;periodical&gt;&lt;full-title&gt;National Institute for Health and Care Excellence&lt;/full-title&gt;&lt;/periodical&gt;&lt;volume&gt;Published: 23 May 2019&lt;/volume&gt;&lt;dates&gt;&lt;year&gt;2019&lt;/year&gt;&lt;/dates&gt;&lt;urls&gt;&lt;/urls&gt;&lt;/record&gt;&lt;/Cite&gt;&lt;/EndNote&gt;</w:instrText>
      </w:r>
      <w:r w:rsidR="00E958E7" w:rsidRPr="004C78D8">
        <w:fldChar w:fldCharType="separate"/>
      </w:r>
      <w:r w:rsidR="00513646" w:rsidRPr="004C78D8">
        <w:rPr>
          <w:noProof/>
        </w:rPr>
        <w:t>[130]</w:t>
      </w:r>
      <w:r w:rsidR="00E958E7" w:rsidRPr="004C78D8">
        <w:fldChar w:fldCharType="end"/>
      </w:r>
      <w:r w:rsidR="00E958E7" w:rsidRPr="004C78D8">
        <w:t xml:space="preserve">. </w:t>
      </w:r>
    </w:p>
    <w:p w14:paraId="2F22C6A2" w14:textId="6CEAB665" w:rsidR="00CF34BF" w:rsidRPr="004C78D8" w:rsidRDefault="00CF34BF" w:rsidP="00FB7C1F">
      <w:r w:rsidRPr="004C78D8">
        <w:t xml:space="preserve">This is of concern since the NICE clinical guideline is seen </w:t>
      </w:r>
      <w:r w:rsidR="000E54E3" w:rsidRPr="004C78D8">
        <w:t xml:space="preserve">as the normative reference point for community-based falls prevention in England and Wales </w:t>
      </w:r>
      <w:r w:rsidR="000E54E3" w:rsidRPr="004C78D8">
        <w:fldChar w:fldCharType="begin"/>
      </w:r>
      <w:r w:rsidR="00513646" w:rsidRPr="004C78D8">
        <w:instrText xml:space="preserve"> ADDIN EN.CITE &lt;EndNote&gt;&lt;Cite&gt;&lt;Author&gt;McIntyre&lt;/Author&gt;&lt;Year&gt;2019&lt;/Year&gt;&lt;RecNum&gt;93&lt;/RecNum&gt;&lt;DisplayText&gt;[139, 147]&lt;/DisplayText&gt;&lt;record&gt;&lt;rec-number&gt;93&lt;/rec-number&gt;&lt;foreign-keys&gt;&lt;key app="EN" db-id="tdtrdw9aepptzbefsat599syza29sxsd2wsp" timestamp="1598190140"&gt;93&lt;/key&gt;&lt;/foreign-keys&gt;&lt;ref-type name="Journal Article"&gt;17&lt;/ref-type&gt;&lt;contributors&gt;&lt;authors&gt;&lt;author&gt;McIntyre, Anne&lt;/author&gt;&lt;author&gt;Mackenzie, Lynette&lt;/author&gt;&lt;author&gt;Harvey, Michele&lt;/author&gt;&lt;/authors&gt;&lt;/contributors&gt;&lt;titles&gt;&lt;title&gt;Engagement of general practitioners in falls prevention and referral to occupational therapists&lt;/title&gt;&lt;secondary-title&gt;British journal of occupational therapy&lt;/secondary-title&gt;&lt;/titles&gt;&lt;periodical&gt;&lt;full-title&gt;British journal of occupational therapy&lt;/full-title&gt;&lt;/periodical&gt;&lt;pages&gt;71-79&lt;/pages&gt;&lt;volume&gt;82&lt;/volume&gt;&lt;number&gt;2&lt;/number&gt;&lt;dates&gt;&lt;year&gt;2019&lt;/year&gt;&lt;/dates&gt;&lt;isbn&gt;0308-0226&lt;/isbn&gt;&lt;urls&gt;&lt;/urls&gt;&lt;/record&gt;&lt;/Cite&gt;&lt;Cite&gt;&lt;Author&gt;Public Health England&lt;/Author&gt;&lt;Year&gt;2018&lt;/Year&gt;&lt;RecNum&gt;295&lt;/RecNum&gt;&lt;record&gt;&lt;rec-number&gt;295&lt;/rec-number&gt;&lt;foreign-keys&gt;&lt;key app="EN" db-id="tdtrdw9aepptzbefsat599syza29sxsd2wsp" timestamp="1611870971"&gt;295&lt;/key&gt;&lt;/foreign-keys&gt;&lt;ref-type name="Journal Article"&gt;17&lt;/ref-type&gt;&lt;contributors&gt;&lt;authors&gt;&lt;author&gt;Public Health England,&lt;/author&gt;&lt;/authors&gt;&lt;/contributors&gt;&lt;titles&gt;&lt;title&gt;A structured literature review to identify cost-effective interventions to prevent falls in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000E54E3" w:rsidRPr="004C78D8">
        <w:fldChar w:fldCharType="separate"/>
      </w:r>
      <w:r w:rsidR="00513646" w:rsidRPr="004C78D8">
        <w:rPr>
          <w:noProof/>
        </w:rPr>
        <w:t>[139, 147]</w:t>
      </w:r>
      <w:r w:rsidR="000E54E3" w:rsidRPr="004C78D8">
        <w:fldChar w:fldCharType="end"/>
      </w:r>
      <w:r w:rsidR="000E54E3" w:rsidRPr="004C78D8">
        <w:t xml:space="preserve">. The guideline moreover recommends resource-intensive multifactorial interventions for both reactive and proactive pathways. This makes the non-consideration of resource opportunity costs particularly problematic for policymaking, potentially resulting in </w:t>
      </w:r>
      <w:r w:rsidR="0046421C" w:rsidRPr="004C78D8">
        <w:t xml:space="preserve">excessive commissioning of falls prevention at the expense of other more efficient use of resources or </w:t>
      </w:r>
      <w:r w:rsidR="00381338" w:rsidRPr="004C78D8">
        <w:t>(more likely)</w:t>
      </w:r>
      <w:r w:rsidR="0046421C" w:rsidRPr="004C78D8">
        <w:t xml:space="preserve"> a hesitant support for falls prevention </w:t>
      </w:r>
      <w:r w:rsidR="000749AC" w:rsidRPr="004C78D8">
        <w:t xml:space="preserve">when confronted with the substantial intervention costs </w:t>
      </w:r>
      <w:r w:rsidR="00E10A6E" w:rsidRPr="004C78D8">
        <w:t>and</w:t>
      </w:r>
      <w:r w:rsidR="0046421C" w:rsidRPr="004C78D8">
        <w:t xml:space="preserve"> the </w:t>
      </w:r>
      <w:r w:rsidR="00E10A6E" w:rsidRPr="004C78D8">
        <w:t>lack</w:t>
      </w:r>
      <w:r w:rsidR="0046421C" w:rsidRPr="004C78D8">
        <w:t xml:space="preserve"> of evidence on its long-term benefits. </w:t>
      </w:r>
      <w:r w:rsidR="000F6E41" w:rsidRPr="004C78D8">
        <w:t xml:space="preserve">A thorough economic evaluation is warranted </w:t>
      </w:r>
      <w:r w:rsidR="002F31F8" w:rsidRPr="004C78D8">
        <w:t xml:space="preserve">under thesis objective (3) </w:t>
      </w:r>
      <w:r w:rsidR="000F6E41" w:rsidRPr="004C78D8">
        <w:t xml:space="preserve">to weigh these intervention costs against the substantial health and economic </w:t>
      </w:r>
      <w:r w:rsidR="00B765F8" w:rsidRPr="004C78D8">
        <w:t>benefits that can potentially be gained from falls prevention</w:t>
      </w:r>
      <w:r w:rsidR="000F6E41" w:rsidRPr="004C78D8">
        <w:t xml:space="preserve">. </w:t>
      </w:r>
    </w:p>
    <w:p w14:paraId="6AB472CB" w14:textId="016DDFF5" w:rsidR="000F6E41" w:rsidRPr="004C78D8" w:rsidRDefault="000F6E41" w:rsidP="00FB7C1F">
      <w:r w:rsidRPr="004C78D8">
        <w:t xml:space="preserve">The final motivation derives from </w:t>
      </w:r>
      <w:r w:rsidR="000740D2" w:rsidRPr="004C78D8">
        <w:t xml:space="preserve">falls being a representative geriatric syndrome and </w:t>
      </w:r>
      <w:r w:rsidRPr="004C78D8">
        <w:t>community-based falls prevention being a representative geriatric public health intervention</w:t>
      </w:r>
      <w:r w:rsidR="000740D2" w:rsidRPr="004C78D8">
        <w:t xml:space="preserve">. </w:t>
      </w:r>
      <w:r w:rsidR="00851BC5" w:rsidRPr="004C78D8">
        <w:t>T</w:t>
      </w:r>
      <w:r w:rsidR="00864D8C" w:rsidRPr="004C78D8">
        <w:t xml:space="preserve">he economic evaluation of community-based falls prevention </w:t>
      </w:r>
      <w:r w:rsidR="00851BC5" w:rsidRPr="004C78D8">
        <w:t xml:space="preserve">thus </w:t>
      </w:r>
      <w:r w:rsidR="00864D8C" w:rsidRPr="004C78D8">
        <w:t>offers a methodological template for evaluations of further geriatric public health interventions.</w:t>
      </w:r>
      <w:r w:rsidR="00834D81" w:rsidRPr="004C78D8">
        <w:t xml:space="preserve"> To that end, the economic evaluation should </w:t>
      </w:r>
      <w:r w:rsidR="00A179EA" w:rsidRPr="004C78D8">
        <w:t>assess the range of</w:t>
      </w:r>
      <w:r w:rsidR="00834D81" w:rsidRPr="004C78D8">
        <w:t xml:space="preserve"> </w:t>
      </w:r>
      <w:r w:rsidR="00834D81" w:rsidRPr="004C78D8">
        <w:lastRenderedPageBreak/>
        <w:t>strategies that reflect the ideals and challenges of common to geriatric public health interventions</w:t>
      </w:r>
      <w:r w:rsidR="0082385F" w:rsidRPr="004C78D8">
        <w:t xml:space="preserve"> discussed above</w:t>
      </w:r>
      <w:r w:rsidR="00834D81" w:rsidRPr="004C78D8">
        <w:t>, including environmental interventions and involvement of community organisations</w:t>
      </w:r>
      <w:r w:rsidR="0082385F" w:rsidRPr="004C78D8">
        <w:t xml:space="preserve">. Insofar as these strategies are not part of the UK guidelines, they are alternatives to be evaluated against recommended and </w:t>
      </w:r>
      <w:r w:rsidR="004159B0" w:rsidRPr="004C78D8">
        <w:t xml:space="preserve">current </w:t>
      </w:r>
      <w:r w:rsidR="0082385F" w:rsidRPr="004C78D8">
        <w:t>practices</w:t>
      </w:r>
      <w:r w:rsidR="000E5A9A" w:rsidRPr="004C78D8">
        <w:t xml:space="preserve"> under thesis objective (3)</w:t>
      </w:r>
      <w:r w:rsidR="0082385F" w:rsidRPr="004C78D8">
        <w:t xml:space="preserve">. </w:t>
      </w:r>
    </w:p>
    <w:p w14:paraId="70EEC386" w14:textId="73D039E3" w:rsidR="00AE0335" w:rsidRPr="004C78D8" w:rsidRDefault="00AE0335" w:rsidP="00FB7C1F">
      <w:pPr>
        <w:pStyle w:val="Heading4"/>
      </w:pPr>
      <w:r w:rsidRPr="004C78D8">
        <w:t>1.3.4.2 Types of analysis</w:t>
      </w:r>
    </w:p>
    <w:p w14:paraId="1649B480" w14:textId="63C4E0F3" w:rsidR="00AE0335" w:rsidRPr="004C78D8" w:rsidRDefault="005D3B8B" w:rsidP="00FB7C1F">
      <w:r w:rsidRPr="004C78D8">
        <w:t xml:space="preserve">Health economic evaluations differ </w:t>
      </w:r>
      <w:r w:rsidR="007722F3" w:rsidRPr="004C78D8">
        <w:t>in</w:t>
      </w:r>
      <w:r w:rsidRPr="004C78D8">
        <w:t xml:space="preserve"> how the health and non-health outcomes of healthcare interventions being compared are measured and valued </w:t>
      </w:r>
      <w:r w:rsidRPr="004C78D8">
        <w:fldChar w:fldCharType="begin"/>
      </w:r>
      <w:r w:rsidR="00513646" w:rsidRPr="004C78D8">
        <w:instrText xml:space="preserve"> ADDIN EN.CITE &lt;EndNote&gt;&lt;Cite&gt;&lt;Author&gt;Drummond&lt;/Author&gt;&lt;Year&gt;2015&lt;/Year&gt;&lt;RecNum&gt;2&lt;/RecNum&gt;&lt;DisplayText&gt;[145]&lt;/DisplayText&gt;&lt;record&gt;&lt;rec-number&gt;2&lt;/rec-number&gt;&lt;foreign-keys&gt;&lt;key app="EN" db-id="tdtrdw9aepptzbefsat599syza29sxsd2wsp" timestamp="1596571149"&gt;2&lt;/key&gt;&lt;/foreign-keys&gt;&lt;ref-type name="Book"&gt;6&lt;/ref-type&gt;&lt;contributors&gt;&lt;authors&gt;&lt;author&gt;Drummond, Michael F&lt;/author&gt;&lt;author&gt;Sculpher, Mark J&lt;/author&gt;&lt;author&gt;Claxton, Karl&lt;/author&gt;&lt;author&gt;Stoddart, Greg L&lt;/author&gt;&lt;author&gt;Torrance, George W&lt;/author&gt;&lt;/authors&gt;&lt;/contributors&gt;&lt;titles&gt;&lt;title&gt;Methods for the economic evaluation of health care programmes&lt;/title&gt;&lt;/titles&gt;&lt;dates&gt;&lt;year&gt;2015&lt;/year&gt;&lt;/dates&gt;&lt;publisher&gt;Oxford university press&lt;/publisher&gt;&lt;isbn&gt;0191643580&lt;/isbn&gt;&lt;urls&gt;&lt;/urls&gt;&lt;/record&gt;&lt;/Cite&gt;&lt;/EndNote&gt;</w:instrText>
      </w:r>
      <w:r w:rsidRPr="004C78D8">
        <w:fldChar w:fldCharType="separate"/>
      </w:r>
      <w:r w:rsidR="00513646" w:rsidRPr="004C78D8">
        <w:rPr>
          <w:noProof/>
        </w:rPr>
        <w:t>[145]</w:t>
      </w:r>
      <w:r w:rsidRPr="004C78D8">
        <w:fldChar w:fldCharType="end"/>
      </w:r>
      <w:r w:rsidRPr="004C78D8">
        <w:t xml:space="preserve">. Underlying the alternative types of analysis are different philosophies on how social welfare and the purpose </w:t>
      </w:r>
      <w:r w:rsidR="00030EA4" w:rsidRPr="004C78D8">
        <w:t xml:space="preserve">of </w:t>
      </w:r>
      <w:r w:rsidRPr="004C78D8">
        <w:t xml:space="preserve">healthcare are viewed </w:t>
      </w:r>
      <w:r w:rsidRPr="004C78D8">
        <w:fldChar w:fldCharType="begin"/>
      </w:r>
      <w:r w:rsidR="00513646" w:rsidRPr="004C78D8">
        <w:instrText xml:space="preserve"> ADDIN EN.CITE &lt;EndNote&gt;&lt;Cite&gt;&lt;Author&gt;Birch&lt;/Author&gt;&lt;Year&gt;2003&lt;/Year&gt;&lt;RecNum&gt;509&lt;/RecNum&gt;&lt;DisplayText&gt;[148, 149]&lt;/DisplayText&gt;&lt;record&gt;&lt;rec-number&gt;509&lt;/rec-number&gt;&lt;foreign-keys&gt;&lt;key app="EN" db-id="tdtrdw9aepptzbefsat599syza29sxsd2wsp" timestamp="1617876124"&gt;509&lt;/key&gt;&lt;/foreign-keys&gt;&lt;ref-type name="Journal Article"&gt;17&lt;/ref-type&gt;&lt;contributors&gt;&lt;authors&gt;&lt;author&gt;Birch, Stephen&lt;/author&gt;&lt;author&gt;Donaldson, Cam&lt;/author&gt;&lt;/authors&gt;&lt;/contributors&gt;&lt;titles&gt;&lt;title&gt;Valuing the benefits and costs of health care programmes: where&amp;apos;s the ‘extra’in extra-welfarism?&lt;/title&gt;&lt;secondary-title&gt;Social science &amp;amp; medicine&lt;/secondary-title&gt;&lt;/titles&gt;&lt;periodical&gt;&lt;full-title&gt;Social science &amp;amp; medicine&lt;/full-title&gt;&lt;/periodical&gt;&lt;pages&gt;1121-1133&lt;/pages&gt;&lt;volume&gt;56&lt;/volume&gt;&lt;number&gt;5&lt;/number&gt;&lt;dates&gt;&lt;year&gt;2003&lt;/year&gt;&lt;/dates&gt;&lt;isbn&gt;0277-9536&lt;/isbn&gt;&lt;urls&gt;&lt;/urls&gt;&lt;/record&gt;&lt;/Cite&gt;&lt;Cite&gt;&lt;Author&gt;Brouwer&lt;/Author&gt;&lt;Year&gt;2008&lt;/Year&gt;&lt;RecNum&gt;522&lt;/RecNum&gt;&lt;record&gt;&lt;rec-number&gt;522&lt;/rec-number&gt;&lt;foreign-keys&gt;&lt;key app="EN" db-id="tdtrdw9aepptzbefsat599syza29sxsd2wsp" timestamp="1618243665"&gt;522&lt;/key&gt;&lt;/foreign-keys&gt;&lt;ref-type name="Journal Article"&gt;17&lt;/ref-type&gt;&lt;contributors&gt;&lt;authors&gt;&lt;author&gt;Brouwer, Werner BF&lt;/author&gt;&lt;author&gt;Culyer, Anthony J&lt;/author&gt;&lt;author&gt;van Exel, N Job A&lt;/author&gt;&lt;author&gt;Rutten, Frans FH&lt;/author&gt;&lt;/authors&gt;&lt;/contributors&gt;&lt;titles&gt;&lt;title&gt;Welfarism vs. extra-welfarism&lt;/title&gt;&lt;secondary-title&gt;Journal of health economics&lt;/secondary-title&gt;&lt;/titles&gt;&lt;periodical&gt;&lt;full-title&gt;Journal of health economics&lt;/full-title&gt;&lt;/periodical&gt;&lt;pages&gt;325-338&lt;/pages&gt;&lt;volume&gt;27&lt;/volume&gt;&lt;number&gt;2&lt;/number&gt;&lt;dates&gt;&lt;year&gt;2008&lt;/year&gt;&lt;/dates&gt;&lt;isbn&gt;0167-6296&lt;/isbn&gt;&lt;urls&gt;&lt;/urls&gt;&lt;/record&gt;&lt;/Cite&gt;&lt;/EndNote&gt;</w:instrText>
      </w:r>
      <w:r w:rsidRPr="004C78D8">
        <w:fldChar w:fldCharType="separate"/>
      </w:r>
      <w:r w:rsidR="00513646" w:rsidRPr="004C78D8">
        <w:rPr>
          <w:noProof/>
        </w:rPr>
        <w:t>[148, 149]</w:t>
      </w:r>
      <w:r w:rsidRPr="004C78D8">
        <w:fldChar w:fldCharType="end"/>
      </w:r>
      <w:r w:rsidRPr="004C78D8">
        <w:t xml:space="preserve">. The </w:t>
      </w:r>
      <w:r w:rsidR="00EA0203" w:rsidRPr="004C78D8">
        <w:t xml:space="preserve">four </w:t>
      </w:r>
      <w:r w:rsidRPr="004C78D8">
        <w:t xml:space="preserve">main types of analysis are: (i) cost-benefit analysis (CBA); (ii) cost-effectiveness analysis (CEA); (iii) cost-utility analysis (CUA); </w:t>
      </w:r>
      <w:r w:rsidR="00EA0203" w:rsidRPr="004C78D8">
        <w:t xml:space="preserve">and </w:t>
      </w:r>
      <w:r w:rsidRPr="004C78D8">
        <w:t>(iv) cost-consequence analysis (CCA).</w:t>
      </w:r>
    </w:p>
    <w:p w14:paraId="205D82F2" w14:textId="5FC92BA8" w:rsidR="007A763A" w:rsidRPr="004C78D8" w:rsidRDefault="007A763A" w:rsidP="00FB7C1F">
      <w:pPr>
        <w:pStyle w:val="Heading5"/>
      </w:pPr>
      <w:r w:rsidRPr="004C78D8">
        <w:t>Welfarism – Cost-benefit analysis</w:t>
      </w:r>
    </w:p>
    <w:p w14:paraId="5E47A631" w14:textId="33AF507A" w:rsidR="005D3B8B" w:rsidRPr="004C78D8" w:rsidRDefault="005D3B8B" w:rsidP="00FB7C1F">
      <w:r w:rsidRPr="004C78D8">
        <w:t xml:space="preserve">CBA is </w:t>
      </w:r>
      <w:r w:rsidR="0096125E" w:rsidRPr="004C78D8">
        <w:t xml:space="preserve">closely </w:t>
      </w:r>
      <w:r w:rsidRPr="004C78D8">
        <w:t xml:space="preserve">associated with Welfare Economics – the branch of Economics regarded as the origin of Health Economics </w:t>
      </w:r>
      <w:r w:rsidRPr="004C78D8">
        <w:fldChar w:fldCharType="begin"/>
      </w:r>
      <w:r w:rsidR="00513646" w:rsidRPr="004C78D8">
        <w:instrText xml:space="preserve"> ADDIN EN.CITE &lt;EndNote&gt;&lt;Cite&gt;&lt;Author&gt;Drummond&lt;/Author&gt;&lt;Year&gt;2015&lt;/Year&gt;&lt;RecNum&gt;2&lt;/RecNum&gt;&lt;DisplayText&gt;[145]&lt;/DisplayText&gt;&lt;record&gt;&lt;rec-number&gt;2&lt;/rec-number&gt;&lt;foreign-keys&gt;&lt;key app="EN" db-id="tdtrdw9aepptzbefsat599syza29sxsd2wsp" timestamp="1596571149"&gt;2&lt;/key&gt;&lt;/foreign-keys&gt;&lt;ref-type name="Book"&gt;6&lt;/ref-type&gt;&lt;contributors&gt;&lt;authors&gt;&lt;author&gt;Drummond, Michael F&lt;/author&gt;&lt;author&gt;Sculpher, Mark J&lt;/author&gt;&lt;author&gt;Claxton, Karl&lt;/author&gt;&lt;author&gt;Stoddart, Greg L&lt;/author&gt;&lt;author&gt;Torrance, George W&lt;/author&gt;&lt;/authors&gt;&lt;/contributors&gt;&lt;titles&gt;&lt;title&gt;Methods for the economic evaluation of health care programmes&lt;/title&gt;&lt;/titles&gt;&lt;dates&gt;&lt;year&gt;2015&lt;/year&gt;&lt;/dates&gt;&lt;publisher&gt;Oxford university press&lt;/publisher&gt;&lt;isbn&gt;0191643580&lt;/isbn&gt;&lt;urls&gt;&lt;/urls&gt;&lt;/record&gt;&lt;/Cite&gt;&lt;/EndNote&gt;</w:instrText>
      </w:r>
      <w:r w:rsidRPr="004C78D8">
        <w:fldChar w:fldCharType="separate"/>
      </w:r>
      <w:r w:rsidR="00513646" w:rsidRPr="004C78D8">
        <w:rPr>
          <w:noProof/>
        </w:rPr>
        <w:t>[145]</w:t>
      </w:r>
      <w:r w:rsidRPr="004C78D8">
        <w:fldChar w:fldCharType="end"/>
      </w:r>
      <w:r w:rsidRPr="004C78D8">
        <w:t xml:space="preserve"> – which deals with choices of individuals to maximise their welfare (termed ‘utility’) and, by extension, with choices by the government over states of the world that would maximise social welfare </w:t>
      </w:r>
      <w:r w:rsidRPr="004C78D8">
        <w:fldChar w:fldCharType="begin"/>
      </w:r>
      <w:r w:rsidR="00513646" w:rsidRPr="004C78D8">
        <w:instrText xml:space="preserve"> ADDIN EN.CITE &lt;EndNote&gt;&lt;Cite&gt;&lt;Author&gt;Johansson&lt;/Author&gt;&lt;Year&gt;1991&lt;/Year&gt;&lt;RecNum&gt;523&lt;/RecNum&gt;&lt;DisplayText&gt;[150]&lt;/DisplayText&gt;&lt;record&gt;&lt;rec-number&gt;523&lt;/rec-number&gt;&lt;foreign-keys&gt;&lt;key app="EN" db-id="tdtrdw9aepptzbefsat599syza29sxsd2wsp" timestamp="1618243960"&gt;523&lt;/key&gt;&lt;/foreign-keys&gt;&lt;ref-type name="Book"&gt;6&lt;/ref-type&gt;&lt;contributors&gt;&lt;authors&gt;&lt;author&gt;Johansson, Per-Olov&lt;/author&gt;&lt;/authors&gt;&lt;/contributors&gt;&lt;titles&gt;&lt;title&gt;An introduction to modern welfare economics&lt;/title&gt;&lt;/titles&gt;&lt;dates&gt;&lt;year&gt;1991&lt;/year&gt;&lt;/dates&gt;&lt;publisher&gt;Cambridge University Press&lt;/publisher&gt;&lt;isbn&gt;0521356954&lt;/isbn&gt;&lt;urls&gt;&lt;/urls&gt;&lt;/record&gt;&lt;/Cite&gt;&lt;/EndNote&gt;</w:instrText>
      </w:r>
      <w:r w:rsidRPr="004C78D8">
        <w:fldChar w:fldCharType="separate"/>
      </w:r>
      <w:r w:rsidR="00513646" w:rsidRPr="004C78D8">
        <w:rPr>
          <w:noProof/>
        </w:rPr>
        <w:t>[150]</w:t>
      </w:r>
      <w:r w:rsidRPr="004C78D8">
        <w:fldChar w:fldCharType="end"/>
      </w:r>
      <w:r w:rsidRPr="004C78D8">
        <w:t xml:space="preserve">. Under CBA, individuals are the best judges of their preferences and welfare; </w:t>
      </w:r>
      <w:r w:rsidR="00E4779E" w:rsidRPr="004C78D8">
        <w:t>and they make optimal consumption decisions based on their preferences and budget constraints. These disaggregated decisions interact in the form of market demand and supply to set the prices of goods and services</w:t>
      </w:r>
      <w:r w:rsidR="00462519" w:rsidRPr="004C78D8">
        <w:t xml:space="preserve"> </w:t>
      </w:r>
      <w:r w:rsidR="00E4779E" w:rsidRPr="004C78D8">
        <w:t xml:space="preserve">including healthcare which, under certain assumptions (e.g., perfect information), represent the </w:t>
      </w:r>
      <w:r w:rsidR="00E4779E" w:rsidRPr="004C78D8">
        <w:rPr>
          <w:i/>
          <w:iCs/>
        </w:rPr>
        <w:t xml:space="preserve">social </w:t>
      </w:r>
      <w:r w:rsidR="00E4779E" w:rsidRPr="004C78D8">
        <w:t>value of the goods and services. T</w:t>
      </w:r>
      <w:r w:rsidRPr="004C78D8">
        <w:t xml:space="preserve">herefore, individual consumption decisions to purchase healthcare in the market to enhance health </w:t>
      </w:r>
      <w:r w:rsidR="00A62339" w:rsidRPr="004C78D8">
        <w:t xml:space="preserve">(and thereby utility) </w:t>
      </w:r>
      <w:r w:rsidRPr="004C78D8">
        <w:t xml:space="preserve">should be the primary, if not the sole, determinant of resource allocation </w:t>
      </w:r>
      <w:r w:rsidRPr="004C78D8">
        <w:fldChar w:fldCharType="begin"/>
      </w:r>
      <w:r w:rsidR="00513646" w:rsidRPr="004C78D8">
        <w:instrText xml:space="preserve"> ADDIN EN.CITE &lt;EndNote&gt;&lt;Cite&gt;&lt;Author&gt;Birch&lt;/Author&gt;&lt;Year&gt;2003&lt;/Year&gt;&lt;RecNum&gt;509&lt;/RecNum&gt;&lt;DisplayText&gt;[148, 151]&lt;/DisplayText&gt;&lt;record&gt;&lt;rec-number&gt;509&lt;/rec-number&gt;&lt;foreign-keys&gt;&lt;key app="EN" db-id="tdtrdw9aepptzbefsat599syza29sxsd2wsp" timestamp="1617876124"&gt;509&lt;/key&gt;&lt;/foreign-keys&gt;&lt;ref-type name="Journal Article"&gt;17&lt;/ref-type&gt;&lt;contributors&gt;&lt;authors&gt;&lt;author&gt;Birch, Stephen&lt;/author&gt;&lt;author&gt;Donaldson, Cam&lt;/author&gt;&lt;/authors&gt;&lt;/contributors&gt;&lt;titles&gt;&lt;title&gt;Valuing the benefits and costs of health care programmes: where&amp;apos;s the ‘extra’in extra-welfarism?&lt;/title&gt;&lt;secondary-title&gt;Social science &amp;amp; medicine&lt;/secondary-title&gt;&lt;/titles&gt;&lt;periodical&gt;&lt;full-title&gt;Social science &amp;amp; medicine&lt;/full-title&gt;&lt;/periodical&gt;&lt;pages&gt;1121-1133&lt;/pages&gt;&lt;volume&gt;56&lt;/volume&gt;&lt;number&gt;5&lt;/number&gt;&lt;dates&gt;&lt;year&gt;2003&lt;/year&gt;&lt;/dates&gt;&lt;isbn&gt;0277-9536&lt;/isbn&gt;&lt;urls&gt;&lt;/urls&gt;&lt;/record&gt;&lt;/Cite&gt;&lt;Cite&gt;&lt;Author&gt;Coast&lt;/Author&gt;&lt;Year&gt;2008&lt;/Year&gt;&lt;RecNum&gt;524&lt;/RecNum&gt;&lt;record&gt;&lt;rec-number&gt;524&lt;/rec-number&gt;&lt;foreign-keys&gt;&lt;key app="EN" db-id="tdtrdw9aepptzbefsat599syza29sxsd2wsp" timestamp="1618244191"&gt;524&lt;/key&gt;&lt;/foreign-keys&gt;&lt;ref-type name="Journal Article"&gt;17&lt;/ref-type&gt;&lt;contributors&gt;&lt;authors&gt;&lt;author&gt;Coast, Joanna&lt;/author&gt;&lt;author&gt;Smith, Richard D&lt;/author&gt;&lt;author&gt;Lorgelly, Paula&lt;/author&gt;&lt;/authors&gt;&lt;/contributors&gt;&lt;titles&gt;&lt;title&gt;Welfarism, extra-welfarism and capability: the spread of ideas in health economics&lt;/title&gt;&lt;secondary-title&gt;Social science &amp;amp; medicine&lt;/secondary-title&gt;&lt;/titles&gt;&lt;periodical&gt;&lt;full-title&gt;Social science &amp;amp; medicine&lt;/full-title&gt;&lt;/periodical&gt;&lt;pages&gt;1190-1198&lt;/pages&gt;&lt;volume&gt;67&lt;/volume&gt;&lt;number&gt;7&lt;/number&gt;&lt;dates&gt;&lt;year&gt;2008&lt;/year&gt;&lt;/dates&gt;&lt;isbn&gt;0277-9536&lt;/isbn&gt;&lt;urls&gt;&lt;/urls&gt;&lt;/record&gt;&lt;/Cite&gt;&lt;/EndNote&gt;</w:instrText>
      </w:r>
      <w:r w:rsidRPr="004C78D8">
        <w:fldChar w:fldCharType="separate"/>
      </w:r>
      <w:r w:rsidR="00513646" w:rsidRPr="004C78D8">
        <w:rPr>
          <w:noProof/>
        </w:rPr>
        <w:t>[148, 151]</w:t>
      </w:r>
      <w:r w:rsidRPr="004C78D8">
        <w:fldChar w:fldCharType="end"/>
      </w:r>
      <w:r w:rsidRPr="004C78D8">
        <w:t xml:space="preserve">. </w:t>
      </w:r>
      <w:r w:rsidR="00B25315" w:rsidRPr="004C78D8">
        <w:t xml:space="preserve">Interpersonal comparisons of utilities are unnecessary, as is a societal decision-maker who </w:t>
      </w:r>
      <w:r w:rsidR="00A62339" w:rsidRPr="004C78D8">
        <w:t xml:space="preserve">specifies then maximises a characteristic that contributes to utility (i.e., </w:t>
      </w:r>
      <w:r w:rsidR="00B25315" w:rsidRPr="004C78D8">
        <w:t>health</w:t>
      </w:r>
      <w:r w:rsidR="00A62339" w:rsidRPr="004C78D8">
        <w:t>)</w:t>
      </w:r>
      <w:r w:rsidR="00B25315" w:rsidRPr="004C78D8">
        <w:t xml:space="preserve"> </w:t>
      </w:r>
      <w:r w:rsidR="00B25315" w:rsidRPr="004C78D8">
        <w:fldChar w:fldCharType="begin"/>
      </w:r>
      <w:r w:rsidR="00513646" w:rsidRPr="004C78D8">
        <w:instrText xml:space="preserve"> ADDIN EN.CITE &lt;EndNote&gt;&lt;Cite&gt;&lt;Author&gt;Birch&lt;/Author&gt;&lt;Year&gt;2003&lt;/Year&gt;&lt;RecNum&gt;509&lt;/RecNum&gt;&lt;DisplayText&gt;[148]&lt;/DisplayText&gt;&lt;record&gt;&lt;rec-number&gt;509&lt;/rec-number&gt;&lt;foreign-keys&gt;&lt;key app="EN" db-id="tdtrdw9aepptzbefsat599syza29sxsd2wsp" timestamp="1617876124"&gt;509&lt;/key&gt;&lt;/foreign-keys&gt;&lt;ref-type name="Journal Article"&gt;17&lt;/ref-type&gt;&lt;contributors&gt;&lt;authors&gt;&lt;author&gt;Birch, Stephen&lt;/author&gt;&lt;author&gt;Donaldson, Cam&lt;/author&gt;&lt;/authors&gt;&lt;/contributors&gt;&lt;titles&gt;&lt;title&gt;Valuing the benefits and costs of health care programmes: where&amp;apos;s the ‘extra’in extra-welfarism?&lt;/title&gt;&lt;secondary-title&gt;Social science &amp;amp; medicine&lt;/secondary-title&gt;&lt;/titles&gt;&lt;periodical&gt;&lt;full-title&gt;Social science &amp;amp; medicine&lt;/full-title&gt;&lt;/periodical&gt;&lt;pages&gt;1121-1133&lt;/pages&gt;&lt;volume&gt;56&lt;/volume&gt;&lt;number&gt;5&lt;/number&gt;&lt;dates&gt;&lt;year&gt;2003&lt;/year&gt;&lt;/dates&gt;&lt;isbn&gt;0277-9536&lt;/isbn&gt;&lt;urls&gt;&lt;/urls&gt;&lt;/record&gt;&lt;/Cite&gt;&lt;/EndNote&gt;</w:instrText>
      </w:r>
      <w:r w:rsidR="00B25315" w:rsidRPr="004C78D8">
        <w:fldChar w:fldCharType="separate"/>
      </w:r>
      <w:r w:rsidR="00513646" w:rsidRPr="004C78D8">
        <w:rPr>
          <w:noProof/>
        </w:rPr>
        <w:t>[148]</w:t>
      </w:r>
      <w:r w:rsidR="00B25315" w:rsidRPr="004C78D8">
        <w:fldChar w:fldCharType="end"/>
      </w:r>
      <w:r w:rsidR="00B25315" w:rsidRPr="004C78D8">
        <w:t xml:space="preserve">. </w:t>
      </w:r>
      <w:r w:rsidRPr="004C78D8">
        <w:t xml:space="preserve">This approach is termed ‘Welfarist’ or ‘Welfarism’ </w:t>
      </w:r>
      <w:r w:rsidRPr="004C78D8">
        <w:fldChar w:fldCharType="begin"/>
      </w:r>
      <w:r w:rsidR="00513646" w:rsidRPr="004C78D8">
        <w:instrText xml:space="preserve"> ADDIN EN.CITE &lt;EndNote&gt;&lt;Cite&gt;&lt;Author&gt;Drummond&lt;/Author&gt;&lt;Year&gt;2015&lt;/Year&gt;&lt;RecNum&gt;2&lt;/RecNum&gt;&lt;DisplayText&gt;[145]&lt;/DisplayText&gt;&lt;record&gt;&lt;rec-number&gt;2&lt;/rec-number&gt;&lt;foreign-keys&gt;&lt;key app="EN" db-id="tdtrdw9aepptzbefsat599syza29sxsd2wsp" timestamp="1596571149"&gt;2&lt;/key&gt;&lt;/foreign-keys&gt;&lt;ref-type name="Book"&gt;6&lt;/ref-type&gt;&lt;contributors&gt;&lt;authors&gt;&lt;author&gt;Drummond, Michael F&lt;/author&gt;&lt;author&gt;Sculpher, Mark J&lt;/author&gt;&lt;author&gt;Claxton, Karl&lt;/author&gt;&lt;author&gt;Stoddart, Greg L&lt;/author&gt;&lt;author&gt;Torrance, George W&lt;/author&gt;&lt;/authors&gt;&lt;/contributors&gt;&lt;titles&gt;&lt;title&gt;Methods for the economic evaluation of health care programmes&lt;/title&gt;&lt;/titles&gt;&lt;dates&gt;&lt;year&gt;2015&lt;/year&gt;&lt;/dates&gt;&lt;publisher&gt;Oxford university press&lt;/publisher&gt;&lt;isbn&gt;0191643580&lt;/isbn&gt;&lt;urls&gt;&lt;/urls&gt;&lt;/record&gt;&lt;/Cite&gt;&lt;/EndNote&gt;</w:instrText>
      </w:r>
      <w:r w:rsidRPr="004C78D8">
        <w:fldChar w:fldCharType="separate"/>
      </w:r>
      <w:r w:rsidR="00513646" w:rsidRPr="004C78D8">
        <w:rPr>
          <w:noProof/>
        </w:rPr>
        <w:t>[145]</w:t>
      </w:r>
      <w:r w:rsidRPr="004C78D8">
        <w:fldChar w:fldCharType="end"/>
      </w:r>
      <w:r w:rsidRPr="004C78D8">
        <w:t xml:space="preserve">. </w:t>
      </w:r>
    </w:p>
    <w:p w14:paraId="7DBF9A9C" w14:textId="1C17484F" w:rsidR="005D3B8B" w:rsidRPr="004C78D8" w:rsidRDefault="005D3B8B" w:rsidP="00FB7C1F">
      <w:r w:rsidRPr="004C78D8">
        <w:t>Where health economic evaluations are required – e.g., due to some unwarranted distortion</w:t>
      </w:r>
      <w:r w:rsidR="00176007" w:rsidRPr="004C78D8">
        <w:t>s</w:t>
      </w:r>
      <w:r w:rsidRPr="004C78D8">
        <w:t xml:space="preserve"> of the market that result in under- or over-provision of a healthcare intervention – they should respect the primacy of the market and individual choice. This is done by using market prices where they are undistorted</w:t>
      </w:r>
      <w:r w:rsidR="00E4779E" w:rsidRPr="004C78D8">
        <w:t>,</w:t>
      </w:r>
      <w:r w:rsidRPr="004C78D8">
        <w:t xml:space="preserve"> and revealed and stated monetary valuations of outcomes by individuals where not </w:t>
      </w:r>
      <w:r w:rsidR="00E4779E" w:rsidRPr="004C78D8">
        <w:fldChar w:fldCharType="begin"/>
      </w:r>
      <w:r w:rsidR="00513646" w:rsidRPr="004C78D8">
        <w:instrText xml:space="preserve"> ADDIN EN.CITE &lt;EndNote&gt;&lt;Cite&gt;&lt;Author&gt;Birch&lt;/Author&gt;&lt;Year&gt;2003&lt;/Year&gt;&lt;RecNum&gt;509&lt;/RecNum&gt;&lt;DisplayText&gt;[148]&lt;/DisplayText&gt;&lt;record&gt;&lt;rec-number&gt;509&lt;/rec-number&gt;&lt;foreign-keys&gt;&lt;key app="EN" db-id="tdtrdw9aepptzbefsat599syza29sxsd2wsp" timestamp="1617876124"&gt;509&lt;/key&gt;&lt;/foreign-keys&gt;&lt;ref-type name="Journal Article"&gt;17&lt;/ref-type&gt;&lt;contributors&gt;&lt;authors&gt;&lt;author&gt;Birch, Stephen&lt;/author&gt;&lt;author&gt;Donaldson, Cam&lt;/author&gt;&lt;/authors&gt;&lt;/contributors&gt;&lt;titles&gt;&lt;title&gt;Valuing the benefits and costs of health care programmes: where&amp;apos;s the ‘extra’in extra-welfarism?&lt;/title&gt;&lt;secondary-title&gt;Social science &amp;amp; medicine&lt;/secondary-title&gt;&lt;/titles&gt;&lt;periodical&gt;&lt;full-title&gt;Social science &amp;amp; medicine&lt;/full-title&gt;&lt;/periodical&gt;&lt;pages&gt;1121-1133&lt;/pages&gt;&lt;volume&gt;56&lt;/volume&gt;&lt;number&gt;5&lt;/number&gt;&lt;dates&gt;&lt;year&gt;2003&lt;/year&gt;&lt;/dates&gt;&lt;isbn&gt;0277-9536&lt;/isbn&gt;&lt;urls&gt;&lt;/urls&gt;&lt;/record&gt;&lt;/Cite&gt;&lt;/EndNote&gt;</w:instrText>
      </w:r>
      <w:r w:rsidR="00E4779E" w:rsidRPr="004C78D8">
        <w:fldChar w:fldCharType="separate"/>
      </w:r>
      <w:r w:rsidR="00513646" w:rsidRPr="004C78D8">
        <w:rPr>
          <w:noProof/>
        </w:rPr>
        <w:t>[148]</w:t>
      </w:r>
      <w:r w:rsidR="00E4779E" w:rsidRPr="004C78D8">
        <w:fldChar w:fldCharType="end"/>
      </w:r>
      <w:r w:rsidRPr="004C78D8">
        <w:t xml:space="preserve">. </w:t>
      </w:r>
    </w:p>
    <w:p w14:paraId="311AADB2" w14:textId="23F90416" w:rsidR="007A763A" w:rsidRPr="004C78D8" w:rsidRDefault="007A763A" w:rsidP="00FB7C1F">
      <w:pPr>
        <w:pStyle w:val="Heading5"/>
      </w:pPr>
      <w:r w:rsidRPr="004C78D8">
        <w:t>Extra-welfarism – Cost-effectiveness analysis and Cost-utility analysis</w:t>
      </w:r>
    </w:p>
    <w:p w14:paraId="04583E22" w14:textId="0392CEFB" w:rsidR="00E4779E" w:rsidRPr="004C78D8" w:rsidRDefault="00E4779E" w:rsidP="00FB7C1F">
      <w:r w:rsidRPr="004C78D8">
        <w:t>The main criticism of the Welfarist approach is that markets rarely function to this standard, especially the healthcare market characteri</w:t>
      </w:r>
      <w:r w:rsidR="00D22FAD" w:rsidRPr="004C78D8">
        <w:t>s</w:t>
      </w:r>
      <w:r w:rsidRPr="004C78D8">
        <w:t>ed by high informational asymmetry</w:t>
      </w:r>
      <w:r w:rsidR="00D22FAD" w:rsidRPr="004C78D8">
        <w:t xml:space="preserve"> between patients and providers,</w:t>
      </w:r>
      <w:r w:rsidRPr="004C78D8">
        <w:t xml:space="preserve"> uncertainty </w:t>
      </w:r>
      <w:r w:rsidR="00D22FAD" w:rsidRPr="004C78D8">
        <w:t xml:space="preserve">over the incidence and severity of health crises, </w:t>
      </w:r>
      <w:r w:rsidRPr="004C78D8">
        <w:t>and under-consumption of merit goods</w:t>
      </w:r>
      <w:r w:rsidR="00D22FAD" w:rsidRPr="004C78D8">
        <w:t xml:space="preserve"> (e.g., vaccination) that bring </w:t>
      </w:r>
      <w:r w:rsidR="00FD0BDE" w:rsidRPr="004C78D8">
        <w:t>additional</w:t>
      </w:r>
      <w:r w:rsidR="00D22FAD" w:rsidRPr="004C78D8">
        <w:t xml:space="preserve"> social benefits </w:t>
      </w:r>
      <w:r w:rsidR="00FD0BDE" w:rsidRPr="004C78D8">
        <w:t>beyond the</w:t>
      </w:r>
      <w:r w:rsidR="00D22FAD" w:rsidRPr="004C78D8">
        <w:t xml:space="preserve"> private </w:t>
      </w:r>
      <w:r w:rsidR="00FD0BDE" w:rsidRPr="004C78D8">
        <w:t xml:space="preserve">benefits </w:t>
      </w:r>
      <w:r w:rsidR="00D22FAD" w:rsidRPr="004C78D8">
        <w:fldChar w:fldCharType="begin"/>
      </w:r>
      <w:r w:rsidR="00513646" w:rsidRPr="004C78D8">
        <w:instrText xml:space="preserve"> ADDIN EN.CITE &lt;EndNote&gt;&lt;Cite&gt;&lt;Author&gt;Drummond&lt;/Author&gt;&lt;Year&gt;2015&lt;/Year&gt;&lt;RecNum&gt;2&lt;/RecNum&gt;&lt;DisplayText&gt;[145]&lt;/DisplayText&gt;&lt;record&gt;&lt;rec-number&gt;2&lt;/rec-number&gt;&lt;foreign-keys&gt;&lt;key app="EN" db-id="tdtrdw9aepptzbefsat599syza29sxsd2wsp" timestamp="1596571149"&gt;2&lt;/key&gt;&lt;/foreign-keys&gt;&lt;ref-type name="Book"&gt;6&lt;/ref-type&gt;&lt;contributors&gt;&lt;authors&gt;&lt;author&gt;Drummond, Michael F&lt;/author&gt;&lt;author&gt;Sculpher, Mark J&lt;/author&gt;&lt;author&gt;Claxton, Karl&lt;/author&gt;&lt;author&gt;Stoddart, Greg L&lt;/author&gt;&lt;author&gt;Torrance, George W&lt;/author&gt;&lt;/authors&gt;&lt;/contributors&gt;&lt;titles&gt;&lt;title&gt;Methods for the economic evaluation of health care programmes&lt;/title&gt;&lt;/titles&gt;&lt;dates&gt;&lt;year&gt;2015&lt;/year&gt;&lt;/dates&gt;&lt;publisher&gt;Oxford university press&lt;/publisher&gt;&lt;isbn&gt;0191643580&lt;/isbn&gt;&lt;urls&gt;&lt;/urls&gt;&lt;/record&gt;&lt;/Cite&gt;&lt;/EndNote&gt;</w:instrText>
      </w:r>
      <w:r w:rsidR="00D22FAD" w:rsidRPr="004C78D8">
        <w:fldChar w:fldCharType="separate"/>
      </w:r>
      <w:r w:rsidR="00513646" w:rsidRPr="004C78D8">
        <w:rPr>
          <w:noProof/>
        </w:rPr>
        <w:t>[145]</w:t>
      </w:r>
      <w:r w:rsidR="00D22FAD" w:rsidRPr="004C78D8">
        <w:fldChar w:fldCharType="end"/>
      </w:r>
      <w:r w:rsidRPr="004C78D8">
        <w:t xml:space="preserve">. </w:t>
      </w:r>
      <w:r w:rsidR="00D22FAD" w:rsidRPr="004C78D8">
        <w:t>H</w:t>
      </w:r>
      <w:r w:rsidRPr="004C78D8">
        <w:t xml:space="preserve">ealth is </w:t>
      </w:r>
      <w:r w:rsidR="00D22FAD" w:rsidRPr="004C78D8">
        <w:t xml:space="preserve">also </w:t>
      </w:r>
      <w:r w:rsidRPr="004C78D8">
        <w:t>a primary good</w:t>
      </w:r>
      <w:r w:rsidR="00D22FAD" w:rsidRPr="004C78D8">
        <w:t xml:space="preserve">, or </w:t>
      </w:r>
      <w:r w:rsidR="00D22FAD" w:rsidRPr="004C78D8">
        <w:rPr>
          <w:i/>
          <w:iCs/>
        </w:rPr>
        <w:t>capability</w:t>
      </w:r>
      <w:r w:rsidR="00D22FAD" w:rsidRPr="004C78D8">
        <w:t>, that enable</w:t>
      </w:r>
      <w:r w:rsidR="00591254" w:rsidRPr="004C78D8">
        <w:t>s</w:t>
      </w:r>
      <w:r w:rsidR="00D22FAD" w:rsidRPr="004C78D8">
        <w:t xml:space="preserve"> the obtainment</w:t>
      </w:r>
      <w:r w:rsidRPr="004C78D8">
        <w:t xml:space="preserve"> </w:t>
      </w:r>
      <w:r w:rsidR="00D22FAD" w:rsidRPr="004C78D8">
        <w:t>of</w:t>
      </w:r>
      <w:r w:rsidRPr="004C78D8">
        <w:t xml:space="preserve"> further goods </w:t>
      </w:r>
      <w:r w:rsidR="00D22FAD" w:rsidRPr="004C78D8">
        <w:t xml:space="preserve">and individual flourishing </w:t>
      </w:r>
      <w:r w:rsidR="00D22FAD" w:rsidRPr="004C78D8">
        <w:fldChar w:fldCharType="begin"/>
      </w:r>
      <w:r w:rsidR="00513646" w:rsidRPr="004C78D8">
        <w:instrText xml:space="preserve"> ADDIN EN.CITE &lt;EndNote&gt;&lt;Cite&gt;&lt;Author&gt;Coast&lt;/Author&gt;&lt;Year&gt;2008&lt;/Year&gt;&lt;RecNum&gt;524&lt;/RecNum&gt;&lt;DisplayText&gt;[151, 152]&lt;/DisplayText&gt;&lt;record&gt;&lt;rec-number&gt;524&lt;/rec-number&gt;&lt;foreign-keys&gt;&lt;key app="EN" db-id="tdtrdw9aepptzbefsat599syza29sxsd2wsp" timestamp="1618244191"&gt;524&lt;/key&gt;&lt;/foreign-keys&gt;&lt;ref-type name="Journal Article"&gt;17&lt;/ref-type&gt;&lt;contributors&gt;&lt;authors&gt;&lt;author&gt;Coast, Joanna&lt;/author&gt;&lt;author&gt;Smith, Richard D&lt;/author&gt;&lt;author&gt;Lorgelly, Paula&lt;/author&gt;&lt;/authors&gt;&lt;/contributors&gt;&lt;titles&gt;&lt;title&gt;Welfarism, extra-welfarism and capability: the spread of ideas in health economics&lt;/title&gt;&lt;secondary-title&gt;Social science &amp;amp; medicine&lt;/secondary-title&gt;&lt;/titles&gt;&lt;periodical&gt;&lt;full-title&gt;Social science &amp;amp; medicine&lt;/full-title&gt;&lt;/periodical&gt;&lt;pages&gt;1190-1198&lt;/pages&gt;&lt;volume&gt;67&lt;/volume&gt;&lt;number&gt;7&lt;/number&gt;&lt;dates&gt;&lt;year&gt;2008&lt;/year&gt;&lt;/dates&gt;&lt;isbn&gt;0277-9536&lt;/isbn&gt;&lt;urls&gt;&lt;/urls&gt;&lt;/record&gt;&lt;/Cite&gt;&lt;Cite&gt;&lt;Author&gt;Sen&lt;/Author&gt;&lt;Year&gt;2001&lt;/Year&gt;&lt;RecNum&gt;526&lt;/RecNum&gt;&lt;record&gt;&lt;rec-number&gt;526&lt;/rec-number&gt;&lt;foreign-keys&gt;&lt;key app="EN" db-id="tdtrdw9aepptzbefsat599syza29sxsd2wsp" timestamp="1618245516"&gt;526&lt;/key&gt;&lt;/foreign-keys&gt;&lt;ref-type name="Book"&gt;6&lt;/ref-type&gt;&lt;contributors&gt;&lt;authors&gt;&lt;author&gt;Sen, Amartya&lt;/author&gt;&lt;/authors&gt;&lt;/contributors&gt;&lt;titles&gt;&lt;title&gt;Development as freedom&lt;/title&gt;&lt;/titles&gt;&lt;dates&gt;&lt;year&gt;2001&lt;/year&gt;&lt;/dates&gt;&lt;publisher&gt;Oxford Paperbacks&lt;/publisher&gt;&lt;isbn&gt;0192893300&lt;/isbn&gt;&lt;urls&gt;&lt;/urls&gt;&lt;/record&gt;&lt;/Cite&gt;&lt;/EndNote&gt;</w:instrText>
      </w:r>
      <w:r w:rsidR="00D22FAD" w:rsidRPr="004C78D8">
        <w:fldChar w:fldCharType="separate"/>
      </w:r>
      <w:r w:rsidR="00513646" w:rsidRPr="004C78D8">
        <w:rPr>
          <w:noProof/>
        </w:rPr>
        <w:t>[151, 152]</w:t>
      </w:r>
      <w:r w:rsidR="00D22FAD" w:rsidRPr="004C78D8">
        <w:fldChar w:fldCharType="end"/>
      </w:r>
      <w:r w:rsidRPr="004C78D8">
        <w:t xml:space="preserve">. This </w:t>
      </w:r>
      <w:r w:rsidR="005435FA" w:rsidRPr="004C78D8">
        <w:t>implies</w:t>
      </w:r>
      <w:r w:rsidRPr="004C78D8">
        <w:t xml:space="preserve"> that the overall level and equitable distribution of </w:t>
      </w:r>
      <w:r w:rsidR="005435FA" w:rsidRPr="004C78D8">
        <w:t>the primary good</w:t>
      </w:r>
      <w:r w:rsidRPr="004C78D8">
        <w:t xml:space="preserve"> should not be left to individual choices but be used as explicit measures of social welfare </w:t>
      </w:r>
      <w:r w:rsidR="005435FA" w:rsidRPr="004C78D8">
        <w:fldChar w:fldCharType="begin"/>
      </w:r>
      <w:r w:rsidR="00513646" w:rsidRPr="004C78D8">
        <w:instrText xml:space="preserve"> ADDIN EN.CITE &lt;EndNote&gt;&lt;Cite&gt;&lt;Author&gt;Culyer&lt;/Author&gt;&lt;Year&gt;1989&lt;/Year&gt;&lt;RecNum&gt;527&lt;/RecNum&gt;&lt;DisplayText&gt;[153]&lt;/DisplayText&gt;&lt;record&gt;&lt;rec-number&gt;527&lt;/rec-number&gt;&lt;foreign-keys&gt;&lt;key app="EN" db-id="tdtrdw9aepptzbefsat599syza29sxsd2wsp" timestamp="1618245917"&gt;527&lt;/key&gt;&lt;/foreign-keys&gt;&lt;ref-type name="Journal Article"&gt;17&lt;/ref-type&gt;&lt;contributors&gt;&lt;authors&gt;&lt;author&gt;Culyer, Anthony J&lt;/author&gt;&lt;/authors&gt;&lt;/contributors&gt;&lt;titles&gt;&lt;title&gt;The normative economics of health care finance and provision&lt;/title&gt;&lt;secondary-title&gt;Oxford review of economic policy&lt;/secondary-title&gt;&lt;/titles&gt;&lt;periodical&gt;&lt;full-title&gt;Oxford review of economic policy&lt;/full-title&gt;&lt;/periodical&gt;&lt;pages&gt;34-58&lt;/pages&gt;&lt;volume&gt;5&lt;/volume&gt;&lt;number&gt;1&lt;/number&gt;&lt;dates&gt;&lt;year&gt;1989&lt;/year&gt;&lt;/dates&gt;&lt;isbn&gt;0266-903X&lt;/isbn&gt;&lt;urls&gt;&lt;/urls&gt;&lt;/record&gt;&lt;/Cite&gt;&lt;/EndNote&gt;</w:instrText>
      </w:r>
      <w:r w:rsidR="005435FA" w:rsidRPr="004C78D8">
        <w:fldChar w:fldCharType="separate"/>
      </w:r>
      <w:r w:rsidR="00513646" w:rsidRPr="004C78D8">
        <w:rPr>
          <w:noProof/>
        </w:rPr>
        <w:t>[153]</w:t>
      </w:r>
      <w:r w:rsidR="005435FA" w:rsidRPr="004C78D8">
        <w:fldChar w:fldCharType="end"/>
      </w:r>
      <w:r w:rsidRPr="004C78D8">
        <w:t xml:space="preserve">. This approach of selecting a good or characteristic with </w:t>
      </w:r>
      <w:r w:rsidR="007722F3" w:rsidRPr="004C78D8">
        <w:t xml:space="preserve">an </w:t>
      </w:r>
      <w:r w:rsidRPr="004C78D8">
        <w:t xml:space="preserve">‘objective’ (i.e., beyond subjective preference) value as a measure of </w:t>
      </w:r>
      <w:r w:rsidR="005435FA" w:rsidRPr="004C78D8">
        <w:t>intervention evaluation</w:t>
      </w:r>
      <w:r w:rsidRPr="004C78D8">
        <w:t xml:space="preserve"> is labelled ‘Extra-Welfarist’ </w:t>
      </w:r>
      <w:r w:rsidR="005435FA" w:rsidRPr="004C78D8">
        <w:t xml:space="preserve">or ‘Extra-Welfarism’ </w:t>
      </w:r>
      <w:r w:rsidR="005435FA" w:rsidRPr="004C78D8">
        <w:fldChar w:fldCharType="begin"/>
      </w:r>
      <w:r w:rsidR="00513646" w:rsidRPr="004C78D8">
        <w:instrText xml:space="preserve"> ADDIN EN.CITE &lt;EndNote&gt;&lt;Cite&gt;&lt;Author&gt;Brouwer&lt;/Author&gt;&lt;Year&gt;2008&lt;/Year&gt;&lt;RecNum&gt;522&lt;/RecNum&gt;&lt;DisplayText&gt;[149]&lt;/DisplayText&gt;&lt;record&gt;&lt;rec-number&gt;522&lt;/rec-number&gt;&lt;foreign-keys&gt;&lt;key app="EN" db-id="tdtrdw9aepptzbefsat599syza29sxsd2wsp" timestamp="1618243665"&gt;522&lt;/key&gt;&lt;/foreign-keys&gt;&lt;ref-type name="Journal Article"&gt;17&lt;/ref-type&gt;&lt;contributors&gt;&lt;authors&gt;&lt;author&gt;Brouwer, Werner BF&lt;/author&gt;&lt;author&gt;Culyer, Anthony J&lt;/author&gt;&lt;author&gt;van Exel, N Job A&lt;/author&gt;&lt;author&gt;Rutten, Frans FH&lt;/author&gt;&lt;/authors&gt;&lt;/contributors&gt;&lt;titles&gt;&lt;title&gt;Welfarism vs. extra-welfarism&lt;/title&gt;&lt;secondary-title&gt;Journal of health economics&lt;/secondary-title&gt;&lt;/titles&gt;&lt;periodical&gt;&lt;full-title&gt;Journal of health economics&lt;/full-title&gt;&lt;/periodical&gt;&lt;pages&gt;325-338&lt;/pages&gt;&lt;volume&gt;27&lt;/volume&gt;&lt;number&gt;2&lt;/number&gt;&lt;dates&gt;&lt;year&gt;2008&lt;/year&gt;&lt;/dates&gt;&lt;isbn&gt;0167-6296&lt;/isbn&gt;&lt;urls&gt;&lt;/urls&gt;&lt;/record&gt;&lt;/Cite&gt;&lt;/EndNote&gt;</w:instrText>
      </w:r>
      <w:r w:rsidR="005435FA" w:rsidRPr="004C78D8">
        <w:fldChar w:fldCharType="separate"/>
      </w:r>
      <w:r w:rsidR="00513646" w:rsidRPr="004C78D8">
        <w:rPr>
          <w:noProof/>
        </w:rPr>
        <w:t>[149]</w:t>
      </w:r>
      <w:r w:rsidR="005435FA" w:rsidRPr="004C78D8">
        <w:fldChar w:fldCharType="end"/>
      </w:r>
      <w:r w:rsidRPr="004C78D8">
        <w:t>.</w:t>
      </w:r>
    </w:p>
    <w:p w14:paraId="48545054" w14:textId="31B69436" w:rsidR="00E4779E" w:rsidRPr="004C78D8" w:rsidRDefault="00E4779E" w:rsidP="00FB7C1F">
      <w:r w:rsidRPr="004C78D8">
        <w:t xml:space="preserve">Two types of </w:t>
      </w:r>
      <w:r w:rsidR="005435FA" w:rsidRPr="004C78D8">
        <w:t>analysis</w:t>
      </w:r>
      <w:r w:rsidRPr="004C78D8">
        <w:t xml:space="preserve"> fall under the Extra-Welfarist approach: </w:t>
      </w:r>
      <w:r w:rsidR="005435FA" w:rsidRPr="004C78D8">
        <w:t>CEA and CUA</w:t>
      </w:r>
      <w:r w:rsidRPr="004C78D8">
        <w:t xml:space="preserve">. CEA takes the natural health event (e.g., the number of falls avoided) as the measure of outcome, while CUA uses a generic measure of health gain </w:t>
      </w:r>
      <w:r w:rsidR="005435FA" w:rsidRPr="004C78D8">
        <w:fldChar w:fldCharType="begin"/>
      </w:r>
      <w:r w:rsidR="00513646" w:rsidRPr="004C78D8">
        <w:instrText xml:space="preserve"> ADDIN EN.CITE &lt;EndNote&gt;&lt;Cite&gt;&lt;Author&gt;Drummond&lt;/Author&gt;&lt;Year&gt;2015&lt;/Year&gt;&lt;RecNum&gt;2&lt;/RecNum&gt;&lt;DisplayText&gt;[145]&lt;/DisplayText&gt;&lt;record&gt;&lt;rec-number&gt;2&lt;/rec-number&gt;&lt;foreign-keys&gt;&lt;key app="EN" db-id="tdtrdw9aepptzbefsat599syza29sxsd2wsp" timestamp="1596571149"&gt;2&lt;/key&gt;&lt;/foreign-keys&gt;&lt;ref-type name="Book"&gt;6&lt;/ref-type&gt;&lt;contributors&gt;&lt;authors&gt;&lt;author&gt;Drummond, Michael F&lt;/author&gt;&lt;author&gt;Sculpher, Mark J&lt;/author&gt;&lt;author&gt;Claxton, Karl&lt;/author&gt;&lt;author&gt;Stoddart, Greg L&lt;/author&gt;&lt;author&gt;Torrance, George W&lt;/author&gt;&lt;/authors&gt;&lt;/contributors&gt;&lt;titles&gt;&lt;title&gt;Methods for the economic evaluation of health care programmes&lt;/title&gt;&lt;/titles&gt;&lt;dates&gt;&lt;year&gt;2015&lt;/year&gt;&lt;/dates&gt;&lt;publisher&gt;Oxford university press&lt;/publisher&gt;&lt;isbn&gt;0191643580&lt;/isbn&gt;&lt;urls&gt;&lt;/urls&gt;&lt;/record&gt;&lt;/Cite&gt;&lt;/EndNote&gt;</w:instrText>
      </w:r>
      <w:r w:rsidR="005435FA" w:rsidRPr="004C78D8">
        <w:fldChar w:fldCharType="separate"/>
      </w:r>
      <w:r w:rsidR="00513646" w:rsidRPr="004C78D8">
        <w:rPr>
          <w:noProof/>
        </w:rPr>
        <w:t>[145]</w:t>
      </w:r>
      <w:r w:rsidR="005435FA" w:rsidRPr="004C78D8">
        <w:fldChar w:fldCharType="end"/>
      </w:r>
      <w:r w:rsidRPr="004C78D8">
        <w:t xml:space="preserve">. </w:t>
      </w:r>
      <w:r w:rsidR="005435FA" w:rsidRPr="004C78D8">
        <w:t>I</w:t>
      </w:r>
      <w:r w:rsidRPr="004C78D8">
        <w:t>n the UK</w:t>
      </w:r>
      <w:r w:rsidR="005435FA" w:rsidRPr="004C78D8">
        <w:t xml:space="preserve">, the reference case generic health outcome </w:t>
      </w:r>
      <w:r w:rsidRPr="004C78D8">
        <w:t xml:space="preserve">is the </w:t>
      </w:r>
      <w:r w:rsidR="005435FA" w:rsidRPr="004C78D8">
        <w:t>QALY that</w:t>
      </w:r>
      <w:r w:rsidRPr="004C78D8">
        <w:t xml:space="preserve"> combines length of life and </w:t>
      </w:r>
      <w:r w:rsidR="005435FA" w:rsidRPr="004C78D8">
        <w:t xml:space="preserve">preference-based health utility </w:t>
      </w:r>
      <w:r w:rsidR="005435FA" w:rsidRPr="004C78D8">
        <w:fldChar w:fldCharType="begin"/>
      </w:r>
      <w:r w:rsidR="00513646" w:rsidRPr="004C78D8">
        <w:instrText xml:space="preserve"> ADDIN EN.CITE &lt;EndNote&gt;&lt;Cite&gt;&lt;Author&gt;National Institute for Health and Care Excellence&lt;/Author&gt;&lt;Year&gt;2013&lt;/Year&gt;&lt;RecNum&gt;411&lt;/RecNum&gt;&lt;DisplayText&gt;[154]&lt;/DisplayText&gt;&lt;record&gt;&lt;rec-number&gt;411&lt;/rec-number&gt;&lt;foreign-keys&gt;&lt;key app="EN" db-id="tdtrdw9aepptzbefsat599syza29sxsd2wsp" timestamp="1615809068"&gt;411&lt;/key&gt;&lt;/foreign-keys&gt;&lt;ref-type name="Journal Article"&gt;17&lt;/ref-type&gt;&lt;contributors&gt;&lt;authors&gt;&lt;author&gt;National Institute for Health and Care Excellence,&lt;/author&gt;&lt;/authors&gt;&lt;/contributors&gt;&lt;titles&gt;&lt;title&gt;Guide to the methods of technology appraisal 2013&lt;/title&gt;&lt;/titles&gt;&lt;dates&gt;&lt;year&gt;2013&lt;/year&gt;&lt;/dates&gt;&lt;urls&gt;&lt;related-urls&gt;&lt;url&gt;nice.org.uk/process/pmg9&lt;/url&gt;&lt;/related-urls&gt;&lt;/urls&gt;&lt;/record&gt;&lt;/Cite&gt;&lt;/EndNote&gt;</w:instrText>
      </w:r>
      <w:r w:rsidR="005435FA" w:rsidRPr="004C78D8">
        <w:fldChar w:fldCharType="separate"/>
      </w:r>
      <w:r w:rsidR="00513646" w:rsidRPr="004C78D8">
        <w:rPr>
          <w:noProof/>
        </w:rPr>
        <w:t>[154]</w:t>
      </w:r>
      <w:r w:rsidR="005435FA" w:rsidRPr="004C78D8">
        <w:fldChar w:fldCharType="end"/>
      </w:r>
      <w:r w:rsidRPr="004C78D8">
        <w:t xml:space="preserve">. The </w:t>
      </w:r>
      <w:r w:rsidR="0065134E" w:rsidRPr="004C78D8">
        <w:t>latter</w:t>
      </w:r>
      <w:r w:rsidRPr="004C78D8">
        <w:t xml:space="preserve"> is measured by </w:t>
      </w:r>
      <w:r w:rsidR="00C20892" w:rsidRPr="004C78D8">
        <w:t xml:space="preserve">a </w:t>
      </w:r>
      <w:r w:rsidRPr="004C78D8">
        <w:t>generic instrument</w:t>
      </w:r>
      <w:r w:rsidR="00C20892" w:rsidRPr="004C78D8">
        <w:t xml:space="preserve"> (reference case of EQ-5D in the UK) </w:t>
      </w:r>
      <w:r w:rsidRPr="004C78D8">
        <w:t>that define</w:t>
      </w:r>
      <w:r w:rsidR="007722F3" w:rsidRPr="004C78D8">
        <w:t>s</w:t>
      </w:r>
      <w:r w:rsidRPr="004C78D8">
        <w:t xml:space="preserve"> a health state over several </w:t>
      </w:r>
      <w:r w:rsidR="00AC5067" w:rsidRPr="004C78D8">
        <w:t>dimensions</w:t>
      </w:r>
      <w:r w:rsidRPr="004C78D8">
        <w:t xml:space="preserve"> and </w:t>
      </w:r>
      <w:r w:rsidR="00AC5067" w:rsidRPr="004C78D8">
        <w:t>levels</w:t>
      </w:r>
      <w:r w:rsidRPr="004C78D8">
        <w:t xml:space="preserve"> </w:t>
      </w:r>
      <w:r w:rsidR="00534081" w:rsidRPr="004C78D8">
        <w:t>and</w:t>
      </w:r>
      <w:r w:rsidR="00623B52" w:rsidRPr="004C78D8">
        <w:t xml:space="preserve"> can</w:t>
      </w:r>
      <w:r w:rsidRPr="004C78D8">
        <w:t xml:space="preserve"> be applied to di</w:t>
      </w:r>
      <w:r w:rsidR="003731FC" w:rsidRPr="004C78D8">
        <w:t>verse</w:t>
      </w:r>
      <w:r w:rsidRPr="004C78D8">
        <w:t xml:space="preserve"> disease areas and healthcare interventions </w:t>
      </w:r>
      <w:r w:rsidR="00623B52" w:rsidRPr="004C78D8">
        <w:fldChar w:fldCharType="begin"/>
      </w:r>
      <w:r w:rsidR="00513646" w:rsidRPr="004C78D8">
        <w:instrText xml:space="preserve"> ADDIN EN.CITE &lt;EndNote&gt;&lt;Cite&gt;&lt;Author&gt;Richardson&lt;/Author&gt;&lt;Year&gt;2014&lt;/Year&gt;&lt;RecNum&gt;528&lt;/RecNum&gt;&lt;DisplayText&gt;[155]&lt;/DisplayText&gt;&lt;record&gt;&lt;rec-number&gt;528&lt;/rec-number&gt;&lt;foreign-keys&gt;&lt;key app="EN" db-id="tdtrdw9aepptzbefsat599syza29sxsd2wsp" timestamp="1618246812"&gt;528&lt;/key&gt;&lt;/foreign-keys&gt;&lt;ref-type name="Book"&gt;6&lt;/ref-type&gt;&lt;contributors&gt;&lt;authors&gt;&lt;author&gt;Richardson, J.&lt;/author&gt;&lt;author&gt;McKie, J.&lt;/author&gt;&lt;author&gt;Bariola, E.&lt;/author&gt;&lt;/authors&gt;&lt;/contributors&gt;&lt;titles&gt;&lt;title&gt;Multiattribute Utility Instruments and Their Use&lt;/title&gt;&lt;/titles&gt;&lt;pages&gt;341-357&lt;/pages&gt;&lt;keywords&gt;&lt;keyword&gt;15d&lt;/keyword&gt;&lt;keyword&gt;Aqol-8d&lt;/keyword&gt;&lt;keyword&gt;Cost-Utility Analysis&lt;/keyword&gt;&lt;keyword&gt;Economic Evaluation&lt;/keyword&gt;&lt;keyword&gt;Eq-5d&lt;/keyword&gt;&lt;keyword&gt;Health Related Quality of Life&lt;/keyword&gt;&lt;keyword&gt;Hui Multi Attribute Utility Instrument&lt;/keyword&gt;&lt;keyword&gt;QALY&lt;/keyword&gt;&lt;keyword&gt;Qwb&lt;/keyword&gt;&lt;keyword&gt;Sf-6d&lt;/keyword&gt;&lt;/keywords&gt;&lt;dates&gt;&lt;year&gt;2014&lt;/year&gt;&lt;/dates&gt;&lt;isbn&gt;9780123756787&amp;#xD;9780123756794&lt;/isbn&gt;&lt;urls&gt;&lt;/urls&gt;&lt;electronic-resource-num&gt;10.1016/B978-0-12-375678-7.00505-8&lt;/electronic-resource-num&gt;&lt;/record&gt;&lt;/Cite&gt;&lt;/EndNote&gt;</w:instrText>
      </w:r>
      <w:r w:rsidR="00623B52" w:rsidRPr="004C78D8">
        <w:fldChar w:fldCharType="separate"/>
      </w:r>
      <w:r w:rsidR="00513646" w:rsidRPr="004C78D8">
        <w:rPr>
          <w:noProof/>
        </w:rPr>
        <w:t>[155]</w:t>
      </w:r>
      <w:r w:rsidR="00623B52" w:rsidRPr="004C78D8">
        <w:fldChar w:fldCharType="end"/>
      </w:r>
      <w:r w:rsidR="00623B52" w:rsidRPr="004C78D8">
        <w:t>. The general adult public are asked to value the health states generated from the instrument by engaging in choice experiment</w:t>
      </w:r>
      <w:r w:rsidR="00534081" w:rsidRPr="004C78D8">
        <w:t>s</w:t>
      </w:r>
      <w:r w:rsidR="00623B52" w:rsidRPr="004C78D8">
        <w:t xml:space="preserve">: e.g., to trade off years lived in a given health state against being restored to perfect health under the </w:t>
      </w:r>
      <w:r w:rsidRPr="004C78D8">
        <w:t xml:space="preserve">‘time trade-off’ </w:t>
      </w:r>
      <w:r w:rsidR="00623B52" w:rsidRPr="004C78D8">
        <w:t xml:space="preserve">experiment </w:t>
      </w:r>
      <w:r w:rsidR="00623B52" w:rsidRPr="004C78D8">
        <w:fldChar w:fldCharType="begin"/>
      </w:r>
      <w:r w:rsidR="00513646" w:rsidRPr="004C78D8">
        <w:instrText xml:space="preserve"> ADDIN EN.CITE &lt;EndNote&gt;&lt;Cite&gt;&lt;Author&gt;Dolan&lt;/Author&gt;&lt;Year&gt;1995&lt;/Year&gt;&lt;RecNum&gt;529&lt;/RecNum&gt;&lt;DisplayText&gt;[156]&lt;/DisplayText&gt;&lt;record&gt;&lt;rec-number&gt;529&lt;/rec-number&gt;&lt;foreign-keys&gt;&lt;key app="EN" db-id="tdtrdw9aepptzbefsat599syza29sxsd2wsp" timestamp="1618247054"&gt;529&lt;/key&gt;&lt;/foreign-keys&gt;&lt;ref-type name="Report"&gt;27&lt;/ref-type&gt;&lt;contributors&gt;&lt;authors&gt;&lt;author&gt;Dolan, Paul&lt;/author&gt;&lt;author&gt;Gudex, Claire&lt;/author&gt;&lt;author&gt;Kind, Paul&lt;/author&gt;&lt;author&gt;Williams, Alan&lt;/author&gt;&lt;/authors&gt;&lt;/contributors&gt;&lt;titles&gt;&lt;title&gt;A social tariff for EuroQol: results from a UK general population survey&lt;/title&gt;&lt;/titles&gt;&lt;dates&gt;&lt;year&gt;1995&lt;/year&gt;&lt;/dates&gt;&lt;urls&gt;&lt;/urls&gt;&lt;/record&gt;&lt;/Cite&gt;&lt;/EndNote&gt;</w:instrText>
      </w:r>
      <w:r w:rsidR="00623B52" w:rsidRPr="004C78D8">
        <w:fldChar w:fldCharType="separate"/>
      </w:r>
      <w:r w:rsidR="00513646" w:rsidRPr="004C78D8">
        <w:rPr>
          <w:noProof/>
        </w:rPr>
        <w:t>[156]</w:t>
      </w:r>
      <w:r w:rsidR="00623B52" w:rsidRPr="004C78D8">
        <w:fldChar w:fldCharType="end"/>
      </w:r>
      <w:r w:rsidR="00623B52" w:rsidRPr="004C78D8">
        <w:t xml:space="preserve">. The resulting health utility ranges between 0 representing death and 1 perfect health, though values below 0 (i.e., health states worse than death) </w:t>
      </w:r>
      <w:r w:rsidR="00534081" w:rsidRPr="004C78D8">
        <w:t>exist</w:t>
      </w:r>
      <w:r w:rsidRPr="004C78D8">
        <w:t>.</w:t>
      </w:r>
    </w:p>
    <w:p w14:paraId="659A8646" w14:textId="53B58863" w:rsidR="00E4779E" w:rsidRPr="004C78D8" w:rsidRDefault="00E4779E" w:rsidP="00FB7C1F">
      <w:r w:rsidRPr="004C78D8">
        <w:lastRenderedPageBreak/>
        <w:t>For CEA and CUA, the summary outcome is often the incremental cost per unit of health gain</w:t>
      </w:r>
      <w:r w:rsidR="009269F4" w:rsidRPr="004C78D8">
        <w:t>ed</w:t>
      </w:r>
      <w:r w:rsidRPr="004C78D8">
        <w:t xml:space="preserve"> – or incremental cost-effectiveness ratio (ICER) – for the intervention relative to its comparator. A cost-effectiveness threshold can be specified (e.g., £2,000 </w:t>
      </w:r>
      <w:r w:rsidR="00324965" w:rsidRPr="004C78D8">
        <w:t>per</w:t>
      </w:r>
      <w:r w:rsidRPr="004C78D8">
        <w:t xml:space="preserve"> additional fall prevented or £20,000 </w:t>
      </w:r>
      <w:r w:rsidR="00324965" w:rsidRPr="004C78D8">
        <w:t>per</w:t>
      </w:r>
      <w:r w:rsidRPr="004C78D8">
        <w:t xml:space="preserve"> additional QALY gain</w:t>
      </w:r>
      <w:r w:rsidR="009269F4" w:rsidRPr="004C78D8">
        <w:t>ed</w:t>
      </w:r>
      <w:r w:rsidRPr="004C78D8">
        <w:t xml:space="preserve">) which </w:t>
      </w:r>
      <w:r w:rsidR="00935E57">
        <w:t>attempts to reflect</w:t>
      </w:r>
      <w:r w:rsidR="00935E57" w:rsidRPr="004C78D8">
        <w:t xml:space="preserve"> </w:t>
      </w:r>
      <w:r w:rsidRPr="004C78D8">
        <w:t xml:space="preserve">the productive efficiency of the healthcare system in the decision-making context </w:t>
      </w:r>
      <w:r w:rsidR="008E63BD" w:rsidRPr="004C78D8">
        <w:fldChar w:fldCharType="begin"/>
      </w:r>
      <w:r w:rsidR="00513646" w:rsidRPr="004C78D8">
        <w:instrText xml:space="preserve"> ADDIN EN.CITE &lt;EndNote&gt;&lt;Cite&gt;&lt;Author&gt;Claxton&lt;/Author&gt;&lt;Year&gt;2015&lt;/Year&gt;&lt;RecNum&gt;530&lt;/RecNum&gt;&lt;DisplayText&gt;[157]&lt;/DisplayText&gt;&lt;record&gt;&lt;rec-number&gt;530&lt;/rec-number&gt;&lt;foreign-keys&gt;&lt;key app="EN" db-id="tdtrdw9aepptzbefsat599syza29sxsd2wsp" timestamp="1618247764"&gt;530&lt;/key&gt;&lt;/foreign-keys&gt;&lt;ref-type name="Journal Article"&gt;17&lt;/ref-type&gt;&lt;contributors&gt;&lt;authors&gt;&lt;author&gt;Claxton, Karl&lt;/author&gt;&lt;author&gt;Martin, Steve&lt;/author&gt;&lt;author&gt;Soares, Marta&lt;/author&gt;&lt;author&gt;Rice, Nigel&lt;/author&gt;&lt;author&gt;Spackman, Eldon&lt;/author&gt;&lt;author&gt;Hinde, Sebastian&lt;/author&gt;&lt;author&gt;Devlin, Nancy&lt;/author&gt;&lt;author&gt;Smith, Peter C&lt;/author&gt;&lt;author&gt;Sculpher, Mark&lt;/author&gt;&lt;/authors&gt;&lt;/contributors&gt;&lt;titles&gt;&lt;title&gt;Methods for the estimation of the National Institute for Health and Care Excellence cost-effectiveness threshold&lt;/title&gt;&lt;secondary-title&gt;Health Technology Assessment (Winchester, England)&lt;/secondary-title&gt;&lt;/titles&gt;&lt;periodical&gt;&lt;full-title&gt;Health technology assessment (Winchester, England)&lt;/full-title&gt;&lt;/periodical&gt;&lt;pages&gt;1&lt;/pages&gt;&lt;volume&gt;19&lt;/volume&gt;&lt;number&gt;14&lt;/number&gt;&lt;dates&gt;&lt;year&gt;2015&lt;/year&gt;&lt;/dates&gt;&lt;urls&gt;&lt;/urls&gt;&lt;/record&gt;&lt;/Cite&gt;&lt;/EndNote&gt;</w:instrText>
      </w:r>
      <w:r w:rsidR="008E63BD" w:rsidRPr="004C78D8">
        <w:fldChar w:fldCharType="separate"/>
      </w:r>
      <w:r w:rsidR="00513646" w:rsidRPr="004C78D8">
        <w:rPr>
          <w:noProof/>
        </w:rPr>
        <w:t>[157]</w:t>
      </w:r>
      <w:r w:rsidR="008E63BD" w:rsidRPr="004C78D8">
        <w:fldChar w:fldCharType="end"/>
      </w:r>
      <w:r w:rsidRPr="004C78D8">
        <w:t xml:space="preserve">. </w:t>
      </w:r>
      <w:r w:rsidR="00324965" w:rsidRPr="004C78D8">
        <w:t>Hence</w:t>
      </w:r>
      <w:r w:rsidRPr="004C78D8">
        <w:t xml:space="preserve">, the threshold is the monetary value of </w:t>
      </w:r>
      <w:r w:rsidR="00935E57">
        <w:t xml:space="preserve">displacing one unit of health gain (e.g., the value of a QALY which is lost by curtailing existing treatments and services to fund the new technology or service). </w:t>
      </w:r>
      <w:r w:rsidRPr="004C78D8">
        <w:t>The NICE reference case specifies a threshold between £20,000 and £30,000 per QALY</w:t>
      </w:r>
      <w:r w:rsidR="00CD74FD" w:rsidRPr="004C78D8">
        <w:t xml:space="preserve"> </w:t>
      </w:r>
      <w:r w:rsidR="00CD74FD" w:rsidRPr="004C78D8">
        <w:fldChar w:fldCharType="begin"/>
      </w:r>
      <w:r w:rsidR="00513646" w:rsidRPr="004C78D8">
        <w:instrText xml:space="preserve"> ADDIN EN.CITE &lt;EndNote&gt;&lt;Cite&gt;&lt;Author&gt;National Institute for Health and Care Excellence&lt;/Author&gt;&lt;Year&gt;2013&lt;/Year&gt;&lt;RecNum&gt;411&lt;/RecNum&gt;&lt;DisplayText&gt;[154]&lt;/DisplayText&gt;&lt;record&gt;&lt;rec-number&gt;411&lt;/rec-number&gt;&lt;foreign-keys&gt;&lt;key app="EN" db-id="tdtrdw9aepptzbefsat599syza29sxsd2wsp" timestamp="1615809068"&gt;411&lt;/key&gt;&lt;/foreign-keys&gt;&lt;ref-type name="Journal Article"&gt;17&lt;/ref-type&gt;&lt;contributors&gt;&lt;authors&gt;&lt;author&gt;National Institute for Health and Care Excellence,&lt;/author&gt;&lt;/authors&gt;&lt;/contributors&gt;&lt;titles&gt;&lt;title&gt;Guide to the methods of technology appraisal 2013&lt;/title&gt;&lt;/titles&gt;&lt;dates&gt;&lt;year&gt;2013&lt;/year&gt;&lt;/dates&gt;&lt;urls&gt;&lt;related-urls&gt;&lt;url&gt;nice.org.uk/process/pmg9&lt;/url&gt;&lt;/related-urls&gt;&lt;/urls&gt;&lt;/record&gt;&lt;/Cite&gt;&lt;/EndNote&gt;</w:instrText>
      </w:r>
      <w:r w:rsidR="00CD74FD" w:rsidRPr="004C78D8">
        <w:fldChar w:fldCharType="separate"/>
      </w:r>
      <w:r w:rsidR="00513646" w:rsidRPr="004C78D8">
        <w:rPr>
          <w:noProof/>
        </w:rPr>
        <w:t>[154]</w:t>
      </w:r>
      <w:r w:rsidR="00CD74FD" w:rsidRPr="004C78D8">
        <w:fldChar w:fldCharType="end"/>
      </w:r>
      <w:r w:rsidR="00462519" w:rsidRPr="004C78D8">
        <w:t>,</w:t>
      </w:r>
      <w:r w:rsidR="00BC37AC" w:rsidRPr="004C78D8">
        <w:t xml:space="preserve"> al</w:t>
      </w:r>
      <w:r w:rsidR="008B4F5F" w:rsidRPr="004C78D8">
        <w:t>t</w:t>
      </w:r>
      <w:r w:rsidR="008E63BD" w:rsidRPr="004C78D8">
        <w:t>hough</w:t>
      </w:r>
      <w:r w:rsidRPr="004C78D8">
        <w:t xml:space="preserve"> an empirical study estimated the productive efficiency of the UK healthcare system at around £13,000 </w:t>
      </w:r>
      <w:r w:rsidR="008E63BD" w:rsidRPr="004C78D8">
        <w:t xml:space="preserve">per QALY </w:t>
      </w:r>
      <w:r w:rsidR="008E63BD" w:rsidRPr="004C78D8">
        <w:fldChar w:fldCharType="begin"/>
      </w:r>
      <w:r w:rsidR="00513646" w:rsidRPr="004C78D8">
        <w:instrText xml:space="preserve"> ADDIN EN.CITE &lt;EndNote&gt;&lt;Cite&gt;&lt;Author&gt;Claxton&lt;/Author&gt;&lt;Year&gt;2015&lt;/Year&gt;&lt;RecNum&gt;530&lt;/RecNum&gt;&lt;DisplayText&gt;[157]&lt;/DisplayText&gt;&lt;record&gt;&lt;rec-number&gt;530&lt;/rec-number&gt;&lt;foreign-keys&gt;&lt;key app="EN" db-id="tdtrdw9aepptzbefsat599syza29sxsd2wsp" timestamp="1618247764"&gt;530&lt;/key&gt;&lt;/foreign-keys&gt;&lt;ref-type name="Journal Article"&gt;17&lt;/ref-type&gt;&lt;contributors&gt;&lt;authors&gt;&lt;author&gt;Claxton, Karl&lt;/author&gt;&lt;author&gt;Martin, Steve&lt;/author&gt;&lt;author&gt;Soares, Marta&lt;/author&gt;&lt;author&gt;Rice, Nigel&lt;/author&gt;&lt;author&gt;Spackman, Eldon&lt;/author&gt;&lt;author&gt;Hinde, Sebastian&lt;/author&gt;&lt;author&gt;Devlin, Nancy&lt;/author&gt;&lt;author&gt;Smith, Peter C&lt;/author&gt;&lt;author&gt;Sculpher, Mark&lt;/author&gt;&lt;/authors&gt;&lt;/contributors&gt;&lt;titles&gt;&lt;title&gt;Methods for the estimation of the National Institute for Health and Care Excellence cost-effectiveness threshold&lt;/title&gt;&lt;secondary-title&gt;Health Technology Assessment (Winchester, England)&lt;/secondary-title&gt;&lt;/titles&gt;&lt;periodical&gt;&lt;full-title&gt;Health technology assessment (Winchester, England)&lt;/full-title&gt;&lt;/periodical&gt;&lt;pages&gt;1&lt;/pages&gt;&lt;volume&gt;19&lt;/volume&gt;&lt;number&gt;14&lt;/number&gt;&lt;dates&gt;&lt;year&gt;2015&lt;/year&gt;&lt;/dates&gt;&lt;urls&gt;&lt;/urls&gt;&lt;/record&gt;&lt;/Cite&gt;&lt;/EndNote&gt;</w:instrText>
      </w:r>
      <w:r w:rsidR="008E63BD" w:rsidRPr="004C78D8">
        <w:fldChar w:fldCharType="separate"/>
      </w:r>
      <w:r w:rsidR="00513646" w:rsidRPr="004C78D8">
        <w:rPr>
          <w:noProof/>
        </w:rPr>
        <w:t>[157]</w:t>
      </w:r>
      <w:r w:rsidR="008E63BD" w:rsidRPr="004C78D8">
        <w:fldChar w:fldCharType="end"/>
      </w:r>
      <w:r w:rsidRPr="004C78D8">
        <w:t xml:space="preserve">. If the ICER </w:t>
      </w:r>
      <w:r w:rsidR="008B4F5F" w:rsidRPr="004C78D8">
        <w:t>is</w:t>
      </w:r>
      <w:r w:rsidRPr="004C78D8">
        <w:t xml:space="preserve"> below the threshold, the intervention is said to be cost-effective relative to its comparator since it generates more health units per £ than </w:t>
      </w:r>
      <w:r w:rsidR="00B069F6" w:rsidRPr="004C78D8">
        <w:t>those displaced</w:t>
      </w:r>
      <w:r w:rsidR="00534081" w:rsidRPr="004C78D8">
        <w:t xml:space="preserve"> by withdrawing or overlooking the </w:t>
      </w:r>
      <w:r w:rsidRPr="004C78D8">
        <w:t xml:space="preserve">comparator </w:t>
      </w:r>
      <w:r w:rsidR="00CD74FD" w:rsidRPr="004C78D8">
        <w:fldChar w:fldCharType="begin"/>
      </w:r>
      <w:r w:rsidR="00513646" w:rsidRPr="004C78D8">
        <w:instrText xml:space="preserve"> ADDIN EN.CITE &lt;EndNote&gt;&lt;Cite&gt;&lt;Author&gt;Drummond&lt;/Author&gt;&lt;Year&gt;2015&lt;/Year&gt;&lt;RecNum&gt;2&lt;/RecNum&gt;&lt;DisplayText&gt;[145]&lt;/DisplayText&gt;&lt;record&gt;&lt;rec-number&gt;2&lt;/rec-number&gt;&lt;foreign-keys&gt;&lt;key app="EN" db-id="tdtrdw9aepptzbefsat599syza29sxsd2wsp" timestamp="1596571149"&gt;2&lt;/key&gt;&lt;/foreign-keys&gt;&lt;ref-type name="Book"&gt;6&lt;/ref-type&gt;&lt;contributors&gt;&lt;authors&gt;&lt;author&gt;Drummond, Michael F&lt;/author&gt;&lt;author&gt;Sculpher, Mark J&lt;/author&gt;&lt;author&gt;Claxton, Karl&lt;/author&gt;&lt;author&gt;Stoddart, Greg L&lt;/author&gt;&lt;author&gt;Torrance, George W&lt;/author&gt;&lt;/authors&gt;&lt;/contributors&gt;&lt;titles&gt;&lt;title&gt;Methods for the economic evaluation of health care programmes&lt;/title&gt;&lt;/titles&gt;&lt;dates&gt;&lt;year&gt;2015&lt;/year&gt;&lt;/dates&gt;&lt;publisher&gt;Oxford university press&lt;/publisher&gt;&lt;isbn&gt;0191643580&lt;/isbn&gt;&lt;urls&gt;&lt;/urls&gt;&lt;/record&gt;&lt;/Cite&gt;&lt;/EndNote&gt;</w:instrText>
      </w:r>
      <w:r w:rsidR="00CD74FD" w:rsidRPr="004C78D8">
        <w:fldChar w:fldCharType="separate"/>
      </w:r>
      <w:r w:rsidR="00513646" w:rsidRPr="004C78D8">
        <w:rPr>
          <w:noProof/>
        </w:rPr>
        <w:t>[145]</w:t>
      </w:r>
      <w:r w:rsidR="00CD74FD" w:rsidRPr="004C78D8">
        <w:fldChar w:fldCharType="end"/>
      </w:r>
      <w:r w:rsidRPr="004C78D8">
        <w:t xml:space="preserve">. </w:t>
      </w:r>
      <w:r w:rsidR="008E63BD" w:rsidRPr="004C78D8">
        <w:t>ICER</w:t>
      </w:r>
      <w:r w:rsidR="00604CBC">
        <w:t>s</w:t>
      </w:r>
      <w:r w:rsidR="008E63BD" w:rsidRPr="004C78D8">
        <w:t xml:space="preserve"> </w:t>
      </w:r>
      <w:r w:rsidR="00C911D0" w:rsidRPr="004C78D8">
        <w:t xml:space="preserve">can also be translated </w:t>
      </w:r>
      <w:r w:rsidR="008E63BD" w:rsidRPr="004C78D8">
        <w:t>into</w:t>
      </w:r>
      <w:r w:rsidRPr="004C78D8">
        <w:t xml:space="preserve"> </w:t>
      </w:r>
      <w:r w:rsidR="008E63BD" w:rsidRPr="004C78D8">
        <w:t xml:space="preserve">incremental </w:t>
      </w:r>
      <w:r w:rsidRPr="004C78D8">
        <w:t xml:space="preserve">net monetary benefit </w:t>
      </w:r>
      <w:r w:rsidR="008E63BD" w:rsidRPr="004C78D8">
        <w:t xml:space="preserve">(INMB) </w:t>
      </w:r>
      <w:r w:rsidRPr="004C78D8">
        <w:t xml:space="preserve">which is the monetary value of health gain – </w:t>
      </w:r>
      <w:r w:rsidR="00C911D0" w:rsidRPr="004C78D8">
        <w:t xml:space="preserve">i.e., </w:t>
      </w:r>
      <w:r w:rsidRPr="004C78D8">
        <w:t xml:space="preserve">health units multiplied by the cost-effectiveness threshold – </w:t>
      </w:r>
      <w:r w:rsidR="008E63BD" w:rsidRPr="004C78D8">
        <w:t>minus</w:t>
      </w:r>
      <w:r w:rsidRPr="004C78D8">
        <w:t xml:space="preserve"> the incremental cost. </w:t>
      </w:r>
      <w:r w:rsidR="00604CBC">
        <w:t>Net benefit can also be expressed in terms of health rather than monetary units.</w:t>
      </w:r>
    </w:p>
    <w:p w14:paraId="6597E794" w14:textId="4DCC06B0" w:rsidR="007A763A" w:rsidRPr="004C78D8" w:rsidRDefault="007A763A" w:rsidP="00FB7C1F">
      <w:pPr>
        <w:pStyle w:val="Heading5"/>
      </w:pPr>
      <w:r w:rsidRPr="004C78D8">
        <w:t>Cost-consequence analysis</w:t>
      </w:r>
    </w:p>
    <w:p w14:paraId="02E50CDA" w14:textId="1519F53E" w:rsidR="00CD74FD" w:rsidRPr="004C78D8" w:rsidRDefault="00CD74FD" w:rsidP="00FB7C1F">
      <w:r w:rsidRPr="004C78D8">
        <w:t xml:space="preserve">The main disadvantage of CEA and CUA is that the outcomes of healthcare interventions are limited to the natural health unit and </w:t>
      </w:r>
      <w:r w:rsidR="00E205D7" w:rsidRPr="004C78D8">
        <w:t xml:space="preserve">QALY </w:t>
      </w:r>
      <w:r w:rsidRPr="004C78D8">
        <w:t>gain</w:t>
      </w:r>
      <w:r w:rsidR="006062D9" w:rsidRPr="004C78D8">
        <w:t>s</w:t>
      </w:r>
      <w:r w:rsidRPr="004C78D8">
        <w:t xml:space="preserve">, respectively. It is likely that healthcare interventions, especially integrated geriatric interventions </w:t>
      </w:r>
      <w:r w:rsidR="00C958CB" w:rsidRPr="004C78D8">
        <w:t>addressing</w:t>
      </w:r>
      <w:r w:rsidRPr="004C78D8">
        <w:t xml:space="preserve"> multiple health and non-health needs of </w:t>
      </w:r>
      <w:r w:rsidR="00C958CB" w:rsidRPr="004C78D8">
        <w:t>older</w:t>
      </w:r>
      <w:r w:rsidRPr="004C78D8">
        <w:t xml:space="preserve"> persons, have </w:t>
      </w:r>
      <w:r w:rsidR="000B5642" w:rsidRPr="004C78D8">
        <w:t xml:space="preserve">non-health </w:t>
      </w:r>
      <w:r w:rsidRPr="004C78D8">
        <w:t xml:space="preserve">impacts </w:t>
      </w:r>
      <w:r w:rsidR="0070304A" w:rsidRPr="004C78D8">
        <w:t>that cannot be synthesised into a natural health or QALY unit</w:t>
      </w:r>
      <w:r w:rsidRPr="004C78D8">
        <w:t xml:space="preserve"> </w:t>
      </w:r>
      <w:r w:rsidR="006062D9" w:rsidRPr="004C78D8">
        <w:fldChar w:fldCharType="begin"/>
      </w:r>
      <w:r w:rsidR="00513646" w:rsidRPr="004C78D8">
        <w:instrText xml:space="preserve"> ADDIN EN.CITE &lt;EndNote&gt;&lt;Cite&gt;&lt;Author&gt;Huter&lt;/Author&gt;&lt;Year&gt;2016&lt;/Year&gt;&lt;RecNum&gt;7&lt;/RecNum&gt;&lt;DisplayText&gt;[83]&lt;/DisplayText&gt;&lt;record&gt;&lt;rec-number&gt;7&lt;/rec-number&gt;&lt;foreign-keys&gt;&lt;key app="EN" db-id="tdtrdw9aepptzbefsat599syza29sxsd2wsp" timestamp="1596571805"&gt;7&lt;/key&gt;&lt;/foreign-keys&gt;&lt;ref-type name="Journal Article"&gt;17&lt;/ref-type&gt;&lt;contributors&gt;&lt;authors&gt;&lt;author&gt;Huter, Kai&lt;/author&gt;&lt;author&gt;Kocot, Ewa&lt;/author&gt;&lt;author&gt;Kissimova-Skarbek, Katarzyna&lt;/author&gt;&lt;author&gt;Dubas-Jakóbczyk, Katarzyna&lt;/author&gt;&lt;author&gt;Rothgang, Heinz&lt;/author&gt;&lt;/authors&gt;&lt;/contributors&gt;&lt;titles&gt;&lt;title&gt;Economic evaluation of health promotion for older people-methodological problems and challenges&lt;/title&gt;&lt;secondary-title&gt;BMC health services research&lt;/secondary-title&gt;&lt;/titles&gt;&lt;periodical&gt;&lt;full-title&gt;BMC health services research&lt;/full-title&gt;&lt;/periodical&gt;&lt;pages&gt;328&lt;/pages&gt;&lt;volume&gt;16&lt;/volume&gt;&lt;number&gt;5&lt;/number&gt;&lt;dates&gt;&lt;year&gt;2016&lt;/year&gt;&lt;/dates&gt;&lt;isbn&gt;1472-6963&lt;/isbn&gt;&lt;urls&gt;&lt;/urls&gt;&lt;/record&gt;&lt;/Cite&gt;&lt;/EndNote&gt;</w:instrText>
      </w:r>
      <w:r w:rsidR="006062D9" w:rsidRPr="004C78D8">
        <w:fldChar w:fldCharType="separate"/>
      </w:r>
      <w:r w:rsidR="00513646" w:rsidRPr="004C78D8">
        <w:rPr>
          <w:noProof/>
        </w:rPr>
        <w:t>[83]</w:t>
      </w:r>
      <w:r w:rsidR="006062D9" w:rsidRPr="004C78D8">
        <w:fldChar w:fldCharType="end"/>
      </w:r>
      <w:r w:rsidRPr="004C78D8">
        <w:t>.</w:t>
      </w:r>
      <w:r w:rsidR="006062D9" w:rsidRPr="004C78D8">
        <w:t xml:space="preserve"> </w:t>
      </w:r>
      <w:r w:rsidR="00AB2740" w:rsidRPr="004C78D8">
        <w:t>These impacts and intervention costs may also be distributed across multiple sectors beyond healthcare. Therefore</w:t>
      </w:r>
      <w:r w:rsidRPr="004C78D8">
        <w:t xml:space="preserve">, </w:t>
      </w:r>
      <w:r w:rsidR="006062D9" w:rsidRPr="004C78D8">
        <w:t>CCA</w:t>
      </w:r>
      <w:r w:rsidRPr="004C78D8">
        <w:t xml:space="preserve"> presents the costs and consequences in a disaggregated form across the </w:t>
      </w:r>
      <w:r w:rsidR="00AB2740" w:rsidRPr="004C78D8">
        <w:t xml:space="preserve">affected </w:t>
      </w:r>
      <w:r w:rsidRPr="004C78D8">
        <w:t xml:space="preserve">sectors. It has thus been recommended </w:t>
      </w:r>
      <w:r w:rsidR="006062D9" w:rsidRPr="004C78D8">
        <w:t>for</w:t>
      </w:r>
      <w:r w:rsidRPr="004C78D8">
        <w:t xml:space="preserve"> economic evaluation </w:t>
      </w:r>
      <w:r w:rsidR="006062D9" w:rsidRPr="004C78D8">
        <w:t>of</w:t>
      </w:r>
      <w:r w:rsidRPr="004C78D8">
        <w:t xml:space="preserve"> public health interventions </w:t>
      </w:r>
      <w:r w:rsidR="006062D9" w:rsidRPr="004C78D8">
        <w:fldChar w:fldCharType="begin"/>
      </w:r>
      <w:r w:rsidR="00513646" w:rsidRPr="004C78D8">
        <w:instrText xml:space="preserve"> ADDIN EN.CITE &lt;EndNote&gt;&lt;Cite&gt;&lt;Author&gt;Kelly&lt;/Author&gt;&lt;Year&gt;2005&lt;/Year&gt;&lt;RecNum&gt;490&lt;/RecNum&gt;&lt;DisplayText&gt;[158, 159]&lt;/DisplayText&gt;&lt;record&gt;&lt;rec-number&gt;490&lt;/rec-number&gt;&lt;foreign-keys&gt;&lt;key app="EN" db-id="tdtrdw9aepptzbefsat599syza29sxsd2wsp" timestamp="1617045336"&gt;490&lt;/key&gt;&lt;/foreign-keys&gt;&lt;ref-type name="Journal Article"&gt;17&lt;/ref-type&gt;&lt;contributors&gt;&lt;authors&gt;&lt;author&gt;Kelly, Michael P&lt;/author&gt;&lt;author&gt;McDaid, David&lt;/author&gt;&lt;author&gt;Ludbrook, Anne&lt;/author&gt;&lt;author&gt;Powell, Jane&lt;/author&gt;&lt;/authors&gt;&lt;/contributors&gt;&lt;titles&gt;&lt;title&gt;Economic appraisal of public health interventions&lt;/title&gt;&lt;secondary-title&gt;London: Health Development Agency&lt;/secondary-title&gt;&lt;/titles&gt;&lt;periodical&gt;&lt;full-title&gt;London: Health Development Agency&lt;/full-title&gt;&lt;/periodical&gt;&lt;dates&gt;&lt;year&gt;2005&lt;/year&gt;&lt;/dates&gt;&lt;urls&gt;&lt;/urls&gt;&lt;/record&gt;&lt;/Cite&gt;&lt;Cite&gt;&lt;Author&gt;Weatherly&lt;/Author&gt;&lt;Year&gt;2009&lt;/Year&gt;&lt;RecNum&gt;531&lt;/RecNum&gt;&lt;record&gt;&lt;rec-number&gt;531&lt;/rec-number&gt;&lt;foreign-keys&gt;&lt;key app="EN" db-id="tdtrdw9aepptzbefsat599syza29sxsd2wsp" timestamp="1618248994"&gt;531&lt;/key&gt;&lt;/foreign-keys&gt;&lt;ref-type name="Journal Article"&gt;17&lt;/ref-type&gt;&lt;contributors&gt;&lt;authors&gt;&lt;author&gt;Weatherly, Helen&lt;/author&gt;&lt;author&gt;Drummond, Michael&lt;/author&gt;&lt;author&gt;Claxton, Karl&lt;/author&gt;&lt;author&gt;Cookson, Richard&lt;/author&gt;&lt;author&gt;Ferguson, Brian&lt;/author&gt;&lt;author&gt;Godfrey, Christine&lt;/author&gt;&lt;author&gt;Rice, Nigel&lt;/author&gt;&lt;author&gt;Sculpher, Mark&lt;/author&gt;&lt;author&gt;Sowden, Amanda&lt;/author&gt;&lt;/authors&gt;&lt;/contributors&gt;&lt;titles&gt;&lt;title&gt;Methods for assessing the cost-effectiveness of public health interventions: key challenges and recommendations&lt;/title&gt;&lt;secondary-title&gt;Health policy&lt;/secondary-title&gt;&lt;/titles&gt;&lt;periodical&gt;&lt;full-title&gt;Health Policy&lt;/full-title&gt;&lt;/periodical&gt;&lt;pages&gt;85-92&lt;/pages&gt;&lt;volume&gt;93&lt;/volume&gt;&lt;number&gt;2-3&lt;/number&gt;&lt;dates&gt;&lt;year&gt;2009&lt;/year&gt;&lt;/dates&gt;&lt;isbn&gt;0168-8510&lt;/isbn&gt;&lt;urls&gt;&lt;/urls&gt;&lt;/record&gt;&lt;/Cite&gt;&lt;/EndNote&gt;</w:instrText>
      </w:r>
      <w:r w:rsidR="006062D9" w:rsidRPr="004C78D8">
        <w:fldChar w:fldCharType="separate"/>
      </w:r>
      <w:r w:rsidR="00513646" w:rsidRPr="004C78D8">
        <w:rPr>
          <w:noProof/>
        </w:rPr>
        <w:t>[158, 159]</w:t>
      </w:r>
      <w:r w:rsidR="006062D9" w:rsidRPr="004C78D8">
        <w:fldChar w:fldCharType="end"/>
      </w:r>
      <w:r w:rsidRPr="004C78D8">
        <w:t xml:space="preserve">. CCA shares the Extra-Welfarist notion that certain goods (e.g., prevention of illness-related poverty in old age) should not be left to individual choice and could be </w:t>
      </w:r>
      <w:r w:rsidR="00E6429A" w:rsidRPr="004C78D8">
        <w:t xml:space="preserve">directly </w:t>
      </w:r>
      <w:r w:rsidRPr="004C78D8">
        <w:t xml:space="preserve">used as </w:t>
      </w:r>
      <w:r w:rsidR="00E6429A" w:rsidRPr="004C78D8">
        <w:t>decision criteria</w:t>
      </w:r>
      <w:r w:rsidRPr="004C78D8">
        <w:t xml:space="preserve">. </w:t>
      </w:r>
    </w:p>
    <w:p w14:paraId="3101E09B" w14:textId="1FD84E79" w:rsidR="0049073C" w:rsidRPr="004C78D8" w:rsidRDefault="00CD74FD" w:rsidP="00FB7C1F">
      <w:r w:rsidRPr="004C78D8">
        <w:t xml:space="preserve">The main limitations of CCA are that: (i) it focuses on the </w:t>
      </w:r>
      <w:r w:rsidRPr="004C78D8">
        <w:rPr>
          <w:i/>
          <w:iCs/>
        </w:rPr>
        <w:t>presentation</w:t>
      </w:r>
      <w:r w:rsidRPr="004C78D8">
        <w:t xml:space="preserve"> of the various costs and consequences without </w:t>
      </w:r>
      <w:r w:rsidR="005D3285" w:rsidRPr="004C78D8">
        <w:t>accounting</w:t>
      </w:r>
      <w:r w:rsidRPr="004C78D8">
        <w:t xml:space="preserve"> </w:t>
      </w:r>
      <w:r w:rsidR="005D3285" w:rsidRPr="004C78D8">
        <w:t>for the cost-effectiveness thresholds</w:t>
      </w:r>
      <w:r w:rsidRPr="004C78D8">
        <w:t xml:space="preserve">; (ii) it is difficult to ascertain whether the items included in the analysis fully reflect the social welfare function for the decision-making setting and whether they have been valued properly; </w:t>
      </w:r>
      <w:r w:rsidR="00935E57">
        <w:t xml:space="preserve">(iii) if not all impacts are in the same direction (e.g., health utility improvement but survival reduction), there can be difficulties in determining the value of the technology/service; </w:t>
      </w:r>
      <w:r w:rsidRPr="004C78D8">
        <w:t>and (</w:t>
      </w:r>
      <w:r w:rsidR="00935E57" w:rsidRPr="004C78D8">
        <w:t>i</w:t>
      </w:r>
      <w:r w:rsidR="00935E57">
        <w:t>v</w:t>
      </w:r>
      <w:r w:rsidRPr="004C78D8">
        <w:t xml:space="preserve">) it presumes that intersectoral cooperation is frictionless such that trans-sectoral budget sharing and compensations can occur </w:t>
      </w:r>
      <w:r w:rsidR="006062D9" w:rsidRPr="004C78D8">
        <w:fldChar w:fldCharType="begin"/>
      </w:r>
      <w:r w:rsidR="00513646" w:rsidRPr="004C78D8">
        <w:instrText xml:space="preserve"> ADDIN EN.CITE &lt;EndNote&gt;&lt;Cite&gt;&lt;Author&gt;Squires&lt;/Author&gt;&lt;Year&gt;2014&lt;/Year&gt;&lt;RecNum&gt;6&lt;/RecNum&gt;&lt;DisplayText&gt;[160, 161]&lt;/DisplayText&gt;&lt;record&gt;&lt;rec-number&gt;6&lt;/rec-number&gt;&lt;foreign-keys&gt;&lt;key app="EN" db-id="tdtrdw9aepptzbefsat599syza29sxsd2wsp" timestamp="1596571778"&gt;6&lt;/key&gt;&lt;/foreign-keys&gt;&lt;ref-type name="Thesis"&gt;32&lt;/ref-type&gt;&lt;contributors&gt;&lt;authors&gt;&lt;author&gt;Squires, Hazel&lt;/author&gt;&lt;/authors&gt;&lt;/contributors&gt;&lt;titles&gt;&lt;title&gt;A methodological framework for developing the structure of Public Health economic models&lt;/title&gt;&lt;/titles&gt;&lt;dates&gt;&lt;year&gt;2014&lt;/year&gt;&lt;/dates&gt;&lt;publisher&gt;University of Sheffield&lt;/publisher&gt;&lt;urls&gt;&lt;/urls&gt;&lt;/record&gt;&lt;/Cite&gt;&lt;Cite&gt;&lt;Author&gt;Tong&lt;/Author&gt;&lt;Year&gt;2017&lt;/Year&gt;&lt;RecNum&gt;432&lt;/RecNum&gt;&lt;record&gt;&lt;rec-number&gt;432&lt;/rec-number&gt;&lt;foreign-keys&gt;&lt;key app="EN" db-id="tdtrdw9aepptzbefsat599syza29sxsd2wsp" timestamp="1616415999"&gt;432&lt;/key&gt;&lt;/foreign-keys&gt;&lt;ref-type name="Thesis"&gt;32&lt;/ref-type&gt;&lt;contributors&gt;&lt;authors&gt;&lt;author&gt;Tong, Thaison&lt;/author&gt;&lt;/authors&gt;&lt;/contributors&gt;&lt;titles&gt;&lt;title&gt;Broadening the perspective of economic evaluation in health care - A case study in dementia care in the UK&lt;/title&gt;&lt;/titles&gt;&lt;dates&gt;&lt;year&gt;2017&lt;/year&gt;&lt;/dates&gt;&lt;publisher&gt;University of Sheffield&lt;/publisher&gt;&lt;urls&gt;&lt;/urls&gt;&lt;/record&gt;&lt;/Cite&gt;&lt;/EndNote&gt;</w:instrText>
      </w:r>
      <w:r w:rsidR="006062D9" w:rsidRPr="004C78D8">
        <w:fldChar w:fldCharType="separate"/>
      </w:r>
      <w:r w:rsidR="00513646" w:rsidRPr="004C78D8">
        <w:rPr>
          <w:noProof/>
        </w:rPr>
        <w:t>[160, 161]</w:t>
      </w:r>
      <w:r w:rsidR="006062D9" w:rsidRPr="004C78D8">
        <w:fldChar w:fldCharType="end"/>
      </w:r>
      <w:r w:rsidRPr="004C78D8">
        <w:t>.</w:t>
      </w:r>
      <w:r w:rsidR="0049073C" w:rsidRPr="004C78D8">
        <w:t xml:space="preserve"> </w:t>
      </w:r>
      <w:r w:rsidR="00FB0BFD" w:rsidRPr="004C78D8">
        <w:t xml:space="preserve">Nevertheless, the presentation of various </w:t>
      </w:r>
      <w:r w:rsidR="00AB21EA" w:rsidRPr="004C78D8">
        <w:t xml:space="preserve">intersectoral </w:t>
      </w:r>
      <w:r w:rsidR="00FB0BFD" w:rsidRPr="004C78D8">
        <w:t xml:space="preserve">outcomes may still be useful for decision-makers. </w:t>
      </w:r>
      <w:r w:rsidR="0049073C" w:rsidRPr="004C78D8">
        <w:t>The extended cost-effectiveness analysis (ECEA),</w:t>
      </w:r>
      <w:r w:rsidR="00313677" w:rsidRPr="004C78D8">
        <w:rPr>
          <w:rStyle w:val="FootnoteReference"/>
        </w:rPr>
        <w:footnoteReference w:id="1"/>
      </w:r>
      <w:r w:rsidR="0049073C" w:rsidRPr="004C78D8">
        <w:t xml:space="preserve"> for example, presents diverse intersectoral outcomes including QALY gain</w:t>
      </w:r>
      <w:r w:rsidR="007722F3" w:rsidRPr="004C78D8">
        <w:t>s</w:t>
      </w:r>
      <w:r w:rsidR="0049073C" w:rsidRPr="004C78D8">
        <w:t xml:space="preserve"> and number of individuals avoiding catastrophic OOP care expenditures</w:t>
      </w:r>
      <w:r w:rsidR="00313677" w:rsidRPr="004C78D8">
        <w:t xml:space="preserve"> without translating them all into monetary values </w:t>
      </w:r>
      <w:r w:rsidR="0049073C" w:rsidRPr="004C78D8">
        <w:fldChar w:fldCharType="begin"/>
      </w:r>
      <w:r w:rsidR="00513646" w:rsidRPr="004C78D8">
        <w:instrText xml:space="preserve"> ADDIN EN.CITE &lt;EndNote&gt;&lt;Cite&gt;&lt;Author&gt;Verguet&lt;/Author&gt;&lt;Year&gt;2016&lt;/Year&gt;&lt;RecNum&gt;437&lt;/RecNum&gt;&lt;DisplayText&gt;[72]&lt;/DisplayText&gt;&lt;record&gt;&lt;rec-number&gt;437&lt;/rec-number&gt;&lt;foreign-keys&gt;&lt;key app="EN" db-id="tdtrdw9aepptzbefsat599syza29sxsd2wsp" timestamp="1616427053"&gt;437&lt;/key&gt;&lt;/foreign-keys&gt;&lt;ref-type name="Journal Article"&gt;17&lt;/ref-type&gt;&lt;contributors&gt;&lt;authors&gt;&lt;author&gt;Verguet, Stéphane&lt;/author&gt;&lt;author&gt;Kim, Jane J&lt;/author&gt;&lt;author&gt;Jamison, Dean T&lt;/author&gt;&lt;/authors&gt;&lt;/contributors&gt;&lt;titles&gt;&lt;title&gt;Extended cost-effectiveness analysis for health policy assessment: a tutorial&lt;/title&gt;&lt;secondary-title&gt;Pharmacoeconomics&lt;/secondary-title&gt;&lt;/titles&gt;&lt;periodical&gt;&lt;full-title&gt;PharmacoEconomics&lt;/full-title&gt;&lt;/periodical&gt;&lt;pages&gt;913-923&lt;/pages&gt;&lt;volume&gt;34&lt;/volume&gt;&lt;number&gt;9&lt;/number&gt;&lt;dates&gt;&lt;year&gt;2016&lt;/year&gt;&lt;/dates&gt;&lt;isbn&gt;1170-7690&lt;/isbn&gt;&lt;urls&gt;&lt;/urls&gt;&lt;/record&gt;&lt;/Cite&gt;&lt;/EndNote&gt;</w:instrText>
      </w:r>
      <w:r w:rsidR="0049073C" w:rsidRPr="004C78D8">
        <w:fldChar w:fldCharType="separate"/>
      </w:r>
      <w:r w:rsidR="00513646" w:rsidRPr="004C78D8">
        <w:rPr>
          <w:noProof/>
        </w:rPr>
        <w:t>[72]</w:t>
      </w:r>
      <w:r w:rsidR="0049073C" w:rsidRPr="004C78D8">
        <w:fldChar w:fldCharType="end"/>
      </w:r>
      <w:r w:rsidR="0049073C" w:rsidRPr="004C78D8">
        <w:t xml:space="preserve">. </w:t>
      </w:r>
    </w:p>
    <w:p w14:paraId="686AC86B" w14:textId="02173B85" w:rsidR="00AE0335" w:rsidRPr="004C78D8" w:rsidRDefault="00AE0335" w:rsidP="00FB7C1F">
      <w:pPr>
        <w:pStyle w:val="Heading4"/>
      </w:pPr>
      <w:r w:rsidRPr="004C78D8">
        <w:t xml:space="preserve">1.3.4.3 Perspectives </w:t>
      </w:r>
      <w:r w:rsidR="00A60406" w:rsidRPr="004C78D8">
        <w:t>of</w:t>
      </w:r>
      <w:r w:rsidRPr="004C78D8">
        <w:t xml:space="preserve"> economic evaluation</w:t>
      </w:r>
    </w:p>
    <w:p w14:paraId="3899AEF9" w14:textId="2C9BE9DC" w:rsidR="00C975A8" w:rsidRPr="004C78D8" w:rsidRDefault="00C975A8" w:rsidP="00FB7C1F">
      <w:r w:rsidRPr="004C78D8">
        <w:t xml:space="preserve">The perspective of an economic evaluation concerns the range of </w:t>
      </w:r>
      <w:r w:rsidR="00AD2FBE" w:rsidRPr="004C78D8">
        <w:t xml:space="preserve">outcomes and </w:t>
      </w:r>
      <w:r w:rsidRPr="004C78D8">
        <w:t xml:space="preserve">costs covered for the analysis. The public sector perspective </w:t>
      </w:r>
      <w:r w:rsidR="00E42C52" w:rsidRPr="004C78D8">
        <w:t xml:space="preserve">solely </w:t>
      </w:r>
      <w:r w:rsidRPr="004C78D8">
        <w:t xml:space="preserve">considers </w:t>
      </w:r>
      <w:r w:rsidR="00E42C52" w:rsidRPr="004C78D8">
        <w:t>the resource and cost impacts</w:t>
      </w:r>
      <w:r w:rsidRPr="004C78D8">
        <w:t xml:space="preserve"> on the </w:t>
      </w:r>
      <w:r w:rsidR="00E42C52" w:rsidRPr="004C78D8">
        <w:t xml:space="preserve">publicly funded </w:t>
      </w:r>
      <w:r w:rsidRPr="004C78D8">
        <w:t>health and social care system</w:t>
      </w:r>
      <w:r w:rsidR="00E42C52" w:rsidRPr="004C78D8">
        <w:t>s, including the impacts of the disease and costs incurred by the intervention and comparator</w:t>
      </w:r>
      <w:r w:rsidRPr="004C78D8">
        <w:t xml:space="preserve">. The societal perspective considers </w:t>
      </w:r>
      <w:r w:rsidR="00E42C52" w:rsidRPr="004C78D8">
        <w:t>outcomes and costs accruing to</w:t>
      </w:r>
      <w:r w:rsidRPr="004C78D8">
        <w:t xml:space="preserve"> the wider society </w:t>
      </w:r>
      <w:r w:rsidR="00243113" w:rsidRPr="004C78D8">
        <w:t>such as</w:t>
      </w:r>
      <w:r w:rsidRPr="004C78D8">
        <w:t xml:space="preserve"> co-payments for the intervention by </w:t>
      </w:r>
      <w:r w:rsidR="00E36090" w:rsidRPr="004C78D8">
        <w:t>participants</w:t>
      </w:r>
      <w:r w:rsidRPr="004C78D8">
        <w:t xml:space="preserve"> and productivity loss </w:t>
      </w:r>
      <w:r w:rsidR="00E42C52" w:rsidRPr="004C78D8">
        <w:t>due to illness</w:t>
      </w:r>
      <w:r w:rsidRPr="004C78D8">
        <w:t xml:space="preserve">. A case could be made that the societal perspective </w:t>
      </w:r>
      <w:r w:rsidR="00E42C52" w:rsidRPr="004C78D8">
        <w:t>accounting</w:t>
      </w:r>
      <w:r w:rsidRPr="004C78D8">
        <w:t xml:space="preserve"> for wider consequences of geriatric </w:t>
      </w:r>
      <w:r w:rsidR="00032020" w:rsidRPr="004C78D8">
        <w:t>conditions</w:t>
      </w:r>
      <w:r w:rsidRPr="004C78D8">
        <w:t xml:space="preserve"> is particularly relevant for economic evaluation of geriatric public health interventions </w:t>
      </w:r>
      <w:r w:rsidR="00D03267" w:rsidRPr="004C78D8">
        <w:fldChar w:fldCharType="begin"/>
      </w:r>
      <w:r w:rsidR="00513646" w:rsidRPr="004C78D8">
        <w:instrText xml:space="preserve"> ADDIN EN.CITE &lt;EndNote&gt;&lt;Cite&gt;&lt;Author&gt;Huter&lt;/Author&gt;&lt;Year&gt;2016&lt;/Year&gt;&lt;RecNum&gt;7&lt;/RecNum&gt;&lt;DisplayText&gt;[83, 161]&lt;/DisplayText&gt;&lt;record&gt;&lt;rec-number&gt;7&lt;/rec-number&gt;&lt;foreign-keys&gt;&lt;key app="EN" db-id="tdtrdw9aepptzbefsat599syza29sxsd2wsp" timestamp="1596571805"&gt;7&lt;/key&gt;&lt;/foreign-keys&gt;&lt;ref-type name="Journal Article"&gt;17&lt;/ref-type&gt;&lt;contributors&gt;&lt;authors&gt;&lt;author&gt;Huter, Kai&lt;/author&gt;&lt;author&gt;Kocot, Ewa&lt;/author&gt;&lt;author&gt;Kissimova-Skarbek, Katarzyna&lt;/author&gt;&lt;author&gt;Dubas-Jakóbczyk, Katarzyna&lt;/author&gt;&lt;author&gt;Rothgang, Heinz&lt;/author&gt;&lt;/authors&gt;&lt;/contributors&gt;&lt;titles&gt;&lt;title&gt;Economic evaluation of health promotion for older people-methodological problems and challenges&lt;/title&gt;&lt;secondary-title&gt;BMC health services research&lt;/secondary-title&gt;&lt;/titles&gt;&lt;periodical&gt;&lt;full-title&gt;BMC health services research&lt;/full-title&gt;&lt;/periodical&gt;&lt;pages&gt;328&lt;/pages&gt;&lt;volume&gt;16&lt;/volume&gt;&lt;number&gt;5&lt;/number&gt;&lt;dates&gt;&lt;year&gt;2016&lt;/year&gt;&lt;/dates&gt;&lt;isbn&gt;1472-6963&lt;/isbn&gt;&lt;urls&gt;&lt;/urls&gt;&lt;/record&gt;&lt;/Cite&gt;&lt;Cite&gt;&lt;Author&gt;Tong&lt;/Author&gt;&lt;Year&gt;2017&lt;/Year&gt;&lt;RecNum&gt;432&lt;/RecNum&gt;&lt;record&gt;&lt;rec-number&gt;432&lt;/rec-number&gt;&lt;foreign-keys&gt;&lt;key app="EN" db-id="tdtrdw9aepptzbefsat599syza29sxsd2wsp" timestamp="1616415999"&gt;432&lt;/key&gt;&lt;/foreign-keys&gt;&lt;ref-type name="Thesis"&gt;32&lt;/ref-type&gt;&lt;contributors&gt;&lt;authors&gt;&lt;author&gt;Tong, Thaison&lt;/author&gt;&lt;/authors&gt;&lt;/contributors&gt;&lt;titles&gt;&lt;title&gt;Broadening the perspective of economic evaluation in health care - A case study in dementia care in the UK&lt;/title&gt;&lt;/titles&gt;&lt;dates&gt;&lt;year&gt;2017&lt;/year&gt;&lt;/dates&gt;&lt;publisher&gt;University of Sheffield&lt;/publisher&gt;&lt;urls&gt;&lt;/urls&gt;&lt;/record&gt;&lt;/Cite&gt;&lt;/EndNote&gt;</w:instrText>
      </w:r>
      <w:r w:rsidR="00D03267" w:rsidRPr="004C78D8">
        <w:fldChar w:fldCharType="separate"/>
      </w:r>
      <w:r w:rsidR="00513646" w:rsidRPr="004C78D8">
        <w:rPr>
          <w:noProof/>
        </w:rPr>
        <w:t>[83, 161]</w:t>
      </w:r>
      <w:r w:rsidR="00D03267" w:rsidRPr="004C78D8">
        <w:fldChar w:fldCharType="end"/>
      </w:r>
      <w:r w:rsidRPr="004C78D8">
        <w:t xml:space="preserve">. </w:t>
      </w:r>
      <w:r w:rsidR="00243113" w:rsidRPr="004C78D8">
        <w:t>Stakeholders should be consulted before the perspective is chosen</w:t>
      </w:r>
      <w:r w:rsidRPr="004C78D8">
        <w:t xml:space="preserve"> </w:t>
      </w:r>
      <w:r w:rsidR="00D03267" w:rsidRPr="004C78D8">
        <w:fldChar w:fldCharType="begin"/>
      </w:r>
      <w:r w:rsidR="00D03267" w:rsidRPr="004C78D8">
        <w:instrText xml:space="preserve"> ADDIN EN.CITE &lt;EndNote&gt;&lt;Cite&gt;&lt;Author&gt;Squires&lt;/Author&gt;&lt;Year&gt;2016&lt;/Year&gt;&lt;RecNum&gt;158&lt;/RecNum&gt;&lt;DisplayText&gt;[1]&lt;/DisplayText&gt;&lt;record&gt;&lt;rec-number&gt;158&lt;/rec-number&gt;&lt;foreign-keys&gt;&lt;key app="EN" db-id="tdtrdw9aepptzbefsat599syza29sxsd2wsp" timestamp="1609254669"&gt;158&lt;/key&gt;&lt;/foreign-keys&gt;&lt;ref-type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framework for developing the structure of public health economic models&lt;/title&gt;&lt;secondary-title&gt;Value in Health&lt;/secondary-title&gt;&lt;/titles&gt;&lt;periodical&gt;&lt;full-title&gt;Value in Health&lt;/full-title&gt;&lt;/periodical&gt;&lt;pages&gt;588-601&lt;/pages&gt;&lt;volume&gt;19&lt;/volume&gt;&lt;number&gt;5&lt;/number&gt;&lt;dates&gt;&lt;year&gt;2016&lt;/year&gt;&lt;/dates&gt;&lt;isbn&gt;1098-3015&lt;/isbn&gt;&lt;urls&gt;&lt;/urls&gt;&lt;research-notes&gt;1&lt;/research-notes&gt;&lt;/record&gt;&lt;/Cite&gt;&lt;/EndNote&gt;</w:instrText>
      </w:r>
      <w:r w:rsidR="00D03267" w:rsidRPr="004C78D8">
        <w:fldChar w:fldCharType="separate"/>
      </w:r>
      <w:r w:rsidR="00D03267" w:rsidRPr="004C78D8">
        <w:rPr>
          <w:noProof/>
        </w:rPr>
        <w:t>[1]</w:t>
      </w:r>
      <w:r w:rsidR="00D03267" w:rsidRPr="004C78D8">
        <w:fldChar w:fldCharType="end"/>
      </w:r>
      <w:r w:rsidRPr="004C78D8">
        <w:t>.</w:t>
      </w:r>
    </w:p>
    <w:p w14:paraId="40EA7E67" w14:textId="2FBF4DE6" w:rsidR="00AE0335" w:rsidRPr="004C78D8" w:rsidRDefault="00C975A8" w:rsidP="00FB7C1F">
      <w:r w:rsidRPr="004C78D8">
        <w:t>The societal perspective can be operationali</w:t>
      </w:r>
      <w:r w:rsidR="00D03267" w:rsidRPr="004C78D8">
        <w:t>s</w:t>
      </w:r>
      <w:r w:rsidRPr="004C78D8">
        <w:t xml:space="preserve">ed within CEA and CUA studies by accounting for costs and consequences beyond </w:t>
      </w:r>
      <w:r w:rsidR="00E42C52" w:rsidRPr="004C78D8">
        <w:t>the public healthcare system</w:t>
      </w:r>
      <w:r w:rsidRPr="004C78D8">
        <w:t xml:space="preserve">. Yet, under a constrained </w:t>
      </w:r>
      <w:r w:rsidR="00E42C52" w:rsidRPr="004C78D8">
        <w:t xml:space="preserve">public </w:t>
      </w:r>
      <w:r w:rsidR="00032020" w:rsidRPr="004C78D8">
        <w:t xml:space="preserve">sector </w:t>
      </w:r>
      <w:r w:rsidRPr="004C78D8">
        <w:lastRenderedPageBreak/>
        <w:t>healthcare budget, the health opportunity cost of additional healthcare expenditure must still be accounted for</w:t>
      </w:r>
      <w:r w:rsidR="00D03267" w:rsidRPr="004C78D8">
        <w:t xml:space="preserve">, typically by comparing the ICER to the cost-effectiveness threshold expressing the productive efficiency of the healthcare system </w:t>
      </w:r>
      <w:r w:rsidR="00D03267" w:rsidRPr="004C78D8">
        <w:fldChar w:fldCharType="begin"/>
      </w:r>
      <w:r w:rsidR="00513646" w:rsidRPr="004C78D8">
        <w:instrText xml:space="preserve"> ADDIN EN.CITE &lt;EndNote&gt;&lt;Cite&gt;&lt;Author&gt;Drummond&lt;/Author&gt;&lt;Year&gt;2015&lt;/Year&gt;&lt;RecNum&gt;2&lt;/RecNum&gt;&lt;DisplayText&gt;[145, 157]&lt;/DisplayText&gt;&lt;record&gt;&lt;rec-number&gt;2&lt;/rec-number&gt;&lt;foreign-keys&gt;&lt;key app="EN" db-id="tdtrdw9aepptzbefsat599syza29sxsd2wsp" timestamp="1596571149"&gt;2&lt;/key&gt;&lt;/foreign-keys&gt;&lt;ref-type name="Book"&gt;6&lt;/ref-type&gt;&lt;contributors&gt;&lt;authors&gt;&lt;author&gt;Drummond, Michael F&lt;/author&gt;&lt;author&gt;Sculpher, Mark J&lt;/author&gt;&lt;author&gt;Claxton, Karl&lt;/author&gt;&lt;author&gt;Stoddart, Greg L&lt;/author&gt;&lt;author&gt;Torrance, George W&lt;/author&gt;&lt;/authors&gt;&lt;/contributors&gt;&lt;titles&gt;&lt;title&gt;Methods for the economic evaluation of health care programmes&lt;/title&gt;&lt;/titles&gt;&lt;dates&gt;&lt;year&gt;2015&lt;/year&gt;&lt;/dates&gt;&lt;publisher&gt;Oxford university press&lt;/publisher&gt;&lt;isbn&gt;0191643580&lt;/isbn&gt;&lt;urls&gt;&lt;/urls&gt;&lt;/record&gt;&lt;/Cite&gt;&lt;Cite&gt;&lt;Author&gt;Claxton&lt;/Author&gt;&lt;Year&gt;2015&lt;/Year&gt;&lt;RecNum&gt;530&lt;/RecNum&gt;&lt;record&gt;&lt;rec-number&gt;530&lt;/rec-number&gt;&lt;foreign-keys&gt;&lt;key app="EN" db-id="tdtrdw9aepptzbefsat599syza29sxsd2wsp" timestamp="1618247764"&gt;530&lt;/key&gt;&lt;/foreign-keys&gt;&lt;ref-type name="Journal Article"&gt;17&lt;/ref-type&gt;&lt;contributors&gt;&lt;authors&gt;&lt;author&gt;Claxton, Karl&lt;/author&gt;&lt;author&gt;Martin, Steve&lt;/author&gt;&lt;author&gt;Soares, Marta&lt;/author&gt;&lt;author&gt;Rice, Nigel&lt;/author&gt;&lt;author&gt;Spackman, Eldon&lt;/author&gt;&lt;author&gt;Hinde, Sebastian&lt;/author&gt;&lt;author&gt;Devlin, Nancy&lt;/author&gt;&lt;author&gt;Smith, Peter C&lt;/author&gt;&lt;author&gt;Sculpher, Mark&lt;/author&gt;&lt;/authors&gt;&lt;/contributors&gt;&lt;titles&gt;&lt;title&gt;Methods for the estimation of the National Institute for Health and Care Excellence cost-effectiveness threshold&lt;/title&gt;&lt;secondary-title&gt;Health Technology Assessment (Winchester, England)&lt;/secondary-title&gt;&lt;/titles&gt;&lt;periodical&gt;&lt;full-title&gt;Health technology assessment (Winchester, England)&lt;/full-title&gt;&lt;/periodical&gt;&lt;pages&gt;1&lt;/pages&gt;&lt;volume&gt;19&lt;/volume&gt;&lt;number&gt;14&lt;/number&gt;&lt;dates&gt;&lt;year&gt;2015&lt;/year&gt;&lt;/dates&gt;&lt;urls&gt;&lt;/urls&gt;&lt;/record&gt;&lt;/Cite&gt;&lt;/EndNote&gt;</w:instrText>
      </w:r>
      <w:r w:rsidR="00D03267" w:rsidRPr="004C78D8">
        <w:fldChar w:fldCharType="separate"/>
      </w:r>
      <w:r w:rsidR="00513646" w:rsidRPr="004C78D8">
        <w:rPr>
          <w:noProof/>
        </w:rPr>
        <w:t>[145, 157]</w:t>
      </w:r>
      <w:r w:rsidR="00D03267" w:rsidRPr="004C78D8">
        <w:fldChar w:fldCharType="end"/>
      </w:r>
      <w:r w:rsidRPr="004C78D8">
        <w:t xml:space="preserve">. For non-health </w:t>
      </w:r>
      <w:r w:rsidR="00E42C52" w:rsidRPr="004C78D8">
        <w:t>outcomes</w:t>
      </w:r>
      <w:r w:rsidRPr="004C78D8">
        <w:t xml:space="preserve"> </w:t>
      </w:r>
      <w:r w:rsidR="00E42C52" w:rsidRPr="004C78D8">
        <w:t xml:space="preserve">and </w:t>
      </w:r>
      <w:r w:rsidRPr="004C78D8">
        <w:t xml:space="preserve">non-healthcare </w:t>
      </w:r>
      <w:r w:rsidR="00E42C52" w:rsidRPr="004C78D8">
        <w:t xml:space="preserve">intervention </w:t>
      </w:r>
      <w:r w:rsidRPr="004C78D8">
        <w:t xml:space="preserve">costs, their incremental ratios should be compared separately to thresholds that express the productive efficiencies of their respective sectors </w:t>
      </w:r>
      <w:r w:rsidR="00D03267" w:rsidRPr="004C78D8">
        <w:fldChar w:fldCharType="begin"/>
      </w:r>
      <w:r w:rsidR="00513646" w:rsidRPr="004C78D8">
        <w:instrText xml:space="preserve"> ADDIN EN.CITE &lt;EndNote&gt;&lt;Cite&gt;&lt;Author&gt;Tong&lt;/Author&gt;&lt;Year&gt;2017&lt;/Year&gt;&lt;RecNum&gt;432&lt;/RecNum&gt;&lt;DisplayText&gt;[161]&lt;/DisplayText&gt;&lt;record&gt;&lt;rec-number&gt;432&lt;/rec-number&gt;&lt;foreign-keys&gt;&lt;key app="EN" db-id="tdtrdw9aepptzbefsat599syza29sxsd2wsp" timestamp="1616415999"&gt;432&lt;/key&gt;&lt;/foreign-keys&gt;&lt;ref-type name="Thesis"&gt;32&lt;/ref-type&gt;&lt;contributors&gt;&lt;authors&gt;&lt;author&gt;Tong, Thaison&lt;/author&gt;&lt;/authors&gt;&lt;/contributors&gt;&lt;titles&gt;&lt;title&gt;Broadening the perspective of economic evaluation in health care - A case study in dementia care in the UK&lt;/title&gt;&lt;/titles&gt;&lt;dates&gt;&lt;year&gt;2017&lt;/year&gt;&lt;/dates&gt;&lt;publisher&gt;University of Sheffield&lt;/publisher&gt;&lt;urls&gt;&lt;/urls&gt;&lt;/record&gt;&lt;/Cite&gt;&lt;/EndNote&gt;</w:instrText>
      </w:r>
      <w:r w:rsidR="00D03267" w:rsidRPr="004C78D8">
        <w:fldChar w:fldCharType="separate"/>
      </w:r>
      <w:r w:rsidR="00513646" w:rsidRPr="004C78D8">
        <w:rPr>
          <w:noProof/>
        </w:rPr>
        <w:t>[161]</w:t>
      </w:r>
      <w:r w:rsidR="00D03267" w:rsidRPr="004C78D8">
        <w:fldChar w:fldCharType="end"/>
      </w:r>
      <w:r w:rsidR="00D03267" w:rsidRPr="004C78D8">
        <w:t xml:space="preserve">. </w:t>
      </w:r>
      <w:r w:rsidRPr="004C78D8">
        <w:t>The societal perspective is embedded in CBA studies which use the consumption value of health to moneti</w:t>
      </w:r>
      <w:r w:rsidR="00D03267" w:rsidRPr="004C78D8">
        <w:t>s</w:t>
      </w:r>
      <w:r w:rsidRPr="004C78D8">
        <w:t>e all health and non-health outcomes</w:t>
      </w:r>
      <w:r w:rsidR="00EA3914" w:rsidRPr="004C78D8">
        <w:t>; yet</w:t>
      </w:r>
      <w:r w:rsidRPr="004C78D8">
        <w:t xml:space="preserve"> the health opportunity cost of additional healthcare expenditure </w:t>
      </w:r>
      <w:r w:rsidR="00EA3914" w:rsidRPr="004C78D8">
        <w:t>should</w:t>
      </w:r>
      <w:r w:rsidRPr="004C78D8">
        <w:t xml:space="preserve"> </w:t>
      </w:r>
      <w:r w:rsidR="00032020" w:rsidRPr="004C78D8">
        <w:t>still</w:t>
      </w:r>
      <w:r w:rsidRPr="004C78D8">
        <w:t xml:space="preserve"> be accounted for</w:t>
      </w:r>
      <w:r w:rsidR="00D03267" w:rsidRPr="004C78D8">
        <w:t xml:space="preserve"> </w:t>
      </w:r>
      <w:r w:rsidR="00D03267" w:rsidRPr="004C78D8">
        <w:fldChar w:fldCharType="begin"/>
      </w:r>
      <w:r w:rsidR="00513646" w:rsidRPr="004C78D8">
        <w:instrText xml:space="preserve"> ADDIN EN.CITE &lt;EndNote&gt;&lt;Cite&gt;&lt;Author&gt;Drummond&lt;/Author&gt;&lt;Year&gt;2015&lt;/Year&gt;&lt;RecNum&gt;2&lt;/RecNum&gt;&lt;DisplayText&gt;[145]&lt;/DisplayText&gt;&lt;record&gt;&lt;rec-number&gt;2&lt;/rec-number&gt;&lt;foreign-keys&gt;&lt;key app="EN" db-id="tdtrdw9aepptzbefsat599syza29sxsd2wsp" timestamp="1596571149"&gt;2&lt;/key&gt;&lt;/foreign-keys&gt;&lt;ref-type name="Book"&gt;6&lt;/ref-type&gt;&lt;contributors&gt;&lt;authors&gt;&lt;author&gt;Drummond, Michael F&lt;/author&gt;&lt;author&gt;Sculpher, Mark J&lt;/author&gt;&lt;author&gt;Claxton, Karl&lt;/author&gt;&lt;author&gt;Stoddart, Greg L&lt;/author&gt;&lt;author&gt;Torrance, George W&lt;/author&gt;&lt;/authors&gt;&lt;/contributors&gt;&lt;titles&gt;&lt;title&gt;Methods for the economic evaluation of health care programmes&lt;/title&gt;&lt;/titles&gt;&lt;dates&gt;&lt;year&gt;2015&lt;/year&gt;&lt;/dates&gt;&lt;publisher&gt;Oxford university press&lt;/publisher&gt;&lt;isbn&gt;0191643580&lt;/isbn&gt;&lt;urls&gt;&lt;/urls&gt;&lt;/record&gt;&lt;/Cite&gt;&lt;/EndNote&gt;</w:instrText>
      </w:r>
      <w:r w:rsidR="00D03267" w:rsidRPr="004C78D8">
        <w:fldChar w:fldCharType="separate"/>
      </w:r>
      <w:r w:rsidR="00513646" w:rsidRPr="004C78D8">
        <w:rPr>
          <w:noProof/>
        </w:rPr>
        <w:t>[145]</w:t>
      </w:r>
      <w:r w:rsidR="00D03267" w:rsidRPr="004C78D8">
        <w:fldChar w:fldCharType="end"/>
      </w:r>
      <w:r w:rsidRPr="004C78D8">
        <w:t xml:space="preserve">. </w:t>
      </w:r>
    </w:p>
    <w:p w14:paraId="2E84F429" w14:textId="41BCBABF" w:rsidR="005D3285" w:rsidRPr="004C78D8" w:rsidRDefault="005D3285" w:rsidP="00972766">
      <w:pPr>
        <w:pStyle w:val="Heading4"/>
      </w:pPr>
      <w:r w:rsidRPr="004C78D8">
        <w:t xml:space="preserve">1.3.4.4 </w:t>
      </w:r>
      <w:r w:rsidRPr="004C78D8">
        <w:t>Return on investment analysis</w:t>
      </w:r>
    </w:p>
    <w:p w14:paraId="3D978B0F" w14:textId="302D5B77" w:rsidR="005D3285" w:rsidRPr="004C78D8" w:rsidRDefault="005D3285" w:rsidP="00FB7C1F">
      <w:r w:rsidRPr="004C78D8">
        <w:t xml:space="preserve">Like CBA, ROI analysis also reports the results in a monetary unit or ratio </w:t>
      </w:r>
      <w:r w:rsidRPr="004C78D8">
        <w:fldChar w:fldCharType="begin"/>
      </w:r>
      <w:r w:rsidR="00513646" w:rsidRPr="004C78D8">
        <w:instrText xml:space="preserve"> ADDIN EN.CITE &lt;EndNote&gt;&lt;Cite&gt;&lt;Author&gt;National Institute for Health and Care Excellence&lt;/Author&gt;&lt;Year&gt;2011&lt;/Year&gt;&lt;RecNum&gt;363&lt;/RecNum&gt;&lt;DisplayText&gt;[144]&lt;/DisplayText&gt;&lt;record&gt;&lt;rec-number&gt;363&lt;/rec-number&gt;&lt;foreign-keys&gt;&lt;key app="EN" db-id="tdtrdw9aepptzbefsat599syza29sxsd2wsp" timestamp="1612267754"&gt;363&lt;/key&gt;&lt;/foreign-keys&gt;&lt;ref-type name="Journal Article"&gt;17&lt;/ref-type&gt;&lt;contributors&gt;&lt;authors&gt;&lt;author&gt;National Institute for Health and Care Excellence,&lt;/author&gt;&lt;/authors&gt;&lt;/contributors&gt;&lt;titles&gt;&lt;title&gt;Supporting investment in public health: Review of methods for assessing cost effectiveness, cost impact and return on investment&lt;/title&gt;&lt;secondary-title&gt;London: NICE&lt;/secondary-title&gt;&lt;/titles&gt;&lt;periodical&gt;&lt;full-title&gt;London: NICE&lt;/full-title&gt;&lt;/periodical&gt;&lt;dates&gt;&lt;year&gt;2011&lt;/year&gt;&lt;/dates&gt;&lt;urls&gt;&lt;/urls&gt;&lt;/record&gt;&lt;/Cite&gt;&lt;/EndNote&gt;</w:instrText>
      </w:r>
      <w:r w:rsidRPr="004C78D8">
        <w:fldChar w:fldCharType="separate"/>
      </w:r>
      <w:r w:rsidR="00513646" w:rsidRPr="004C78D8">
        <w:rPr>
          <w:noProof/>
        </w:rPr>
        <w:t>[144]</w:t>
      </w:r>
      <w:r w:rsidRPr="004C78D8">
        <w:fldChar w:fldCharType="end"/>
      </w:r>
      <w:r w:rsidRPr="004C78D8">
        <w:t xml:space="preserve">. However, unlike CBA which values the health outcomes in monetary terms, ROI analysis does not measure any health outcomes and simply compares the costs and economic consequences of two or more interventions to produce a net cost or ratio. This comparative element distinguishes ROI analysis, as defined in this thesis, from non-comparative evaluation of a single service </w:t>
      </w:r>
      <w:r w:rsidRPr="004C78D8">
        <w:fldChar w:fldCharType="begin"/>
      </w:r>
      <w:r w:rsidR="00513646" w:rsidRPr="004C78D8">
        <w:instrText xml:space="preserve"> ADDIN EN.CITE &lt;EndNote&gt;&lt;Cite&gt;&lt;Author&gt;Franklin&lt;/Author&gt;&lt;Year&gt;2020&lt;/Year&gt;&lt;RecNum&gt;781&lt;/RecNum&gt;&lt;DisplayText&gt;[162]&lt;/DisplayText&gt;&lt;record&gt;&lt;rec-number&gt;781&lt;/rec-number&gt;&lt;foreign-keys&gt;&lt;key app="EN" db-id="tdtrdw9aepptzbefsat599syza29sxsd2wsp" timestamp="1642446692"&gt;781&lt;/key&gt;&lt;/foreign-keys&gt;&lt;ref-type name="Journal Article"&gt;17&lt;/ref-type&gt;&lt;contributors&gt;&lt;authors&gt;&lt;author&gt;Franklin, Matthew&lt;/author&gt;&lt;author&gt;Lomas, James&lt;/author&gt;&lt;author&gt;Richardson, Gerry&lt;/author&gt;&lt;/authors&gt;&lt;/contributors&gt;&lt;titles&gt;&lt;title&gt;Conducting value for money analyses for non-randomised interventional studies including service evaluations: an educational review with recommendations&lt;/title&gt;&lt;secondary-title&gt;PharmacoEconomics&lt;/secondary-title&gt;&lt;/titles&gt;&lt;periodical&gt;&lt;full-title&gt;PharmacoEconomics&lt;/full-title&gt;&lt;/periodical&gt;&lt;pages&gt;665-681&lt;/pages&gt;&lt;volume&gt;38&lt;/volume&gt;&lt;number&gt;7&lt;/number&gt;&lt;dates&gt;&lt;year&gt;2020&lt;/year&gt;&lt;/dates&gt;&lt;isbn&gt;1179-2027&lt;/isbn&gt;&lt;urls&gt;&lt;/urls&gt;&lt;/record&gt;&lt;/Cite&gt;&lt;/EndNote&gt;</w:instrText>
      </w:r>
      <w:r w:rsidRPr="004C78D8">
        <w:fldChar w:fldCharType="separate"/>
      </w:r>
      <w:r w:rsidR="00513646" w:rsidRPr="004C78D8">
        <w:rPr>
          <w:noProof/>
        </w:rPr>
        <w:t>[162]</w:t>
      </w:r>
      <w:r w:rsidRPr="004C78D8">
        <w:fldChar w:fldCharType="end"/>
      </w:r>
      <w:r w:rsidRPr="004C78D8">
        <w:t xml:space="preserve">. An intervention that generates more than £1 within a given time frame for every additional £1 invested relative to its comparator is said to generate a positive ROI and represents an efficient investment from a purely financial perspective. ROI is the main evaluation framework for commissioning decisions on public health and social care in the UK setting </w:t>
      </w:r>
      <w:r w:rsidRPr="004C78D8">
        <w:fldChar w:fldCharType="begin"/>
      </w:r>
      <w:r w:rsidR="00513646" w:rsidRPr="004C78D8">
        <w:instrText xml:space="preserve"> ADDIN EN.CITE &lt;EndNote&gt;&lt;Cite&gt;&lt;Author&gt;National Institute for Health and Care Excellence&lt;/Author&gt;&lt;Year&gt;2011&lt;/Year&gt;&lt;RecNum&gt;363&lt;/RecNum&gt;&lt;DisplayText&gt;[144]&lt;/DisplayText&gt;&lt;record&gt;&lt;rec-number&gt;363&lt;/rec-number&gt;&lt;foreign-keys&gt;&lt;key app="EN" db-id="tdtrdw9aepptzbefsat599syza29sxsd2wsp" timestamp="1612267754"&gt;363&lt;/key&gt;&lt;/foreign-keys&gt;&lt;ref-type name="Journal Article"&gt;17&lt;/ref-type&gt;&lt;contributors&gt;&lt;authors&gt;&lt;author&gt;National Institute for Health and Care Excellence,&lt;/author&gt;&lt;/authors&gt;&lt;/contributors&gt;&lt;titles&gt;&lt;title&gt;Supporting investment in public health: Review of methods for assessing cost effectiveness, cost impact and return on investment&lt;/title&gt;&lt;secondary-title&gt;London: NICE&lt;/secondary-title&gt;&lt;/titles&gt;&lt;periodical&gt;&lt;full-title&gt;London: NICE&lt;/full-title&gt;&lt;/periodical&gt;&lt;dates&gt;&lt;year&gt;2011&lt;/year&gt;&lt;/dates&gt;&lt;urls&gt;&lt;/urls&gt;&lt;/record&gt;&lt;/Cite&gt;&lt;/EndNote&gt;</w:instrText>
      </w:r>
      <w:r w:rsidRPr="004C78D8">
        <w:fldChar w:fldCharType="separate"/>
      </w:r>
      <w:r w:rsidR="00513646" w:rsidRPr="004C78D8">
        <w:rPr>
          <w:noProof/>
        </w:rPr>
        <w:t>[144]</w:t>
      </w:r>
      <w:r w:rsidRPr="004C78D8">
        <w:fldChar w:fldCharType="end"/>
      </w:r>
      <w:r w:rsidRPr="004C78D8">
        <w:t xml:space="preserve">. It is also embedded in most evaluations of integrated care schemes that target reduction in general care expenditures relative to usual care </w:t>
      </w:r>
      <w:r w:rsidRPr="004C78D8">
        <w:fldChar w:fldCharType="begin"/>
      </w:r>
      <w:r w:rsidR="00513646" w:rsidRPr="004C78D8">
        <w:instrText xml:space="preserve"> ADDIN EN.CITE &lt;EndNote&gt;&lt;Cite&gt;&lt;Author&gt;Stokes&lt;/Author&gt;&lt;Year&gt;2019&lt;/Year&gt;&lt;RecNum&gt;488&lt;/RecNum&gt;&lt;DisplayText&gt;[163]&lt;/DisplayText&gt;&lt;record&gt;&lt;rec-number&gt;488&lt;/rec-number&gt;&lt;foreign-keys&gt;&lt;key app="EN" db-id="tdtrdw9aepptzbefsat599syza29sxsd2wsp" timestamp="1616702990"&gt;488&lt;/key&gt;&lt;/foreign-keys&gt;&lt;ref-type name="Journal Article"&gt;17&lt;/ref-type&gt;&lt;contributors&gt;&lt;authors&gt;&lt;author&gt;Stokes, Jonathan&lt;/author&gt;&lt;author&gt;Lau, Yiu-Shing&lt;/author&gt;&lt;author&gt;Kristensen, Søren Rud&lt;/author&gt;&lt;author&gt;Sutton, Matt&lt;/author&gt;&lt;/authors&gt;&lt;/contributors&gt;&lt;titles&gt;&lt;title&gt;Does pooling health &amp;amp; social care budgets reduce hospital use and lower costs?&lt;/title&gt;&lt;secondary-title&gt;Social Science &amp;amp; Medicine&lt;/secondary-title&gt;&lt;/titles&gt;&lt;periodical&gt;&lt;full-title&gt;Social science &amp;amp; medicine&lt;/full-title&gt;&lt;/periodical&gt;&lt;pages&gt;382-388&lt;/pages&gt;&lt;volume&gt;232&lt;/volume&gt;&lt;dates&gt;&lt;year&gt;2019&lt;/year&gt;&lt;/dates&gt;&lt;isbn&gt;0277-9536&lt;/isbn&gt;&lt;urls&gt;&lt;/urls&gt;&lt;/record&gt;&lt;/Cite&gt;&lt;/EndNote&gt;</w:instrText>
      </w:r>
      <w:r w:rsidRPr="004C78D8">
        <w:fldChar w:fldCharType="separate"/>
      </w:r>
      <w:r w:rsidR="00513646" w:rsidRPr="004C78D8">
        <w:rPr>
          <w:noProof/>
        </w:rPr>
        <w:t>[163]</w:t>
      </w:r>
      <w:r w:rsidRPr="004C78D8">
        <w:fldChar w:fldCharType="end"/>
      </w:r>
      <w:r w:rsidRPr="004C78D8">
        <w:t>. Its strength is the ease of use, only requiring information on intervention costs and downstream service utilisations obtainable from routine administrative data. However, its main limitation is the neglect of intervention effects on health and broader wellbeing</w:t>
      </w:r>
      <w:r w:rsidR="0050275A" w:rsidRPr="004C78D8">
        <w:t xml:space="preserve"> and hence is not regarded as a standard health economic evaluation</w:t>
      </w:r>
      <w:r w:rsidRPr="004C78D8">
        <w:t xml:space="preserve">. </w:t>
      </w:r>
    </w:p>
    <w:p w14:paraId="685D2989" w14:textId="77777777" w:rsidR="00AE0335" w:rsidRPr="004C78D8" w:rsidRDefault="00AE0335" w:rsidP="00FB7C1F"/>
    <w:p w14:paraId="31CA0110" w14:textId="6AB7B0C9" w:rsidR="005A71EA" w:rsidRPr="004C78D8" w:rsidRDefault="005A71EA" w:rsidP="00FB7C1F">
      <w:pPr>
        <w:pStyle w:val="Heading3"/>
      </w:pPr>
      <w:bookmarkStart w:id="31" w:name="_Toc111630696"/>
      <w:r w:rsidRPr="004C78D8">
        <w:t>1.3.</w:t>
      </w:r>
      <w:r w:rsidR="00396E49" w:rsidRPr="004C78D8">
        <w:t>5</w:t>
      </w:r>
      <w:r w:rsidRPr="004C78D8">
        <w:t xml:space="preserve"> </w:t>
      </w:r>
      <w:r w:rsidR="008D62CA" w:rsidRPr="004C78D8">
        <w:t>D</w:t>
      </w:r>
      <w:r w:rsidRPr="004C78D8">
        <w:t xml:space="preserve">eveloping </w:t>
      </w:r>
      <w:r w:rsidR="00F0316A" w:rsidRPr="004C78D8">
        <w:t xml:space="preserve">and </w:t>
      </w:r>
      <w:r w:rsidR="00A54FA1" w:rsidRPr="004C78D8">
        <w:t xml:space="preserve">evaluating </w:t>
      </w:r>
      <w:r w:rsidRPr="004C78D8">
        <w:t xml:space="preserve">a </w:t>
      </w:r>
      <w:r w:rsidR="00FA3A2C" w:rsidRPr="004C78D8">
        <w:t xml:space="preserve">falls prevention </w:t>
      </w:r>
      <w:r w:rsidRPr="004C78D8">
        <w:t>economic model</w:t>
      </w:r>
      <w:bookmarkEnd w:id="31"/>
    </w:p>
    <w:p w14:paraId="4F39868B" w14:textId="6B06BE61" w:rsidR="00AE0335" w:rsidRPr="004C78D8" w:rsidRDefault="00425CDB" w:rsidP="00FB7C1F">
      <w:r w:rsidRPr="004C78D8">
        <w:t xml:space="preserve">The motivation for developing and analysing a decision model for falls prevention </w:t>
      </w:r>
      <w:r w:rsidR="00300107" w:rsidRPr="004C78D8">
        <w:t>economic evaluation</w:t>
      </w:r>
      <w:r w:rsidRPr="004C78D8">
        <w:t xml:space="preserve"> is discussed (Section 1.3.5.1), alongside the challenges involved (Section 1.3.5.2). </w:t>
      </w:r>
      <w:r w:rsidR="00300107" w:rsidRPr="004C78D8">
        <w:t xml:space="preserve">These also inform the challenges involved in </w:t>
      </w:r>
      <w:r w:rsidR="00300107" w:rsidRPr="004C78D8">
        <w:rPr>
          <w:i/>
          <w:iCs/>
        </w:rPr>
        <w:t>reviewing</w:t>
      </w:r>
      <w:r w:rsidR="00300107" w:rsidRPr="004C78D8">
        <w:t xml:space="preserve"> previous falls prevention economic models (Section 1.3.5.3).</w:t>
      </w:r>
    </w:p>
    <w:p w14:paraId="1CD4BA52" w14:textId="472BC8DA" w:rsidR="00AE0335" w:rsidRPr="004C78D8" w:rsidRDefault="00AE0335" w:rsidP="00FB7C1F">
      <w:pPr>
        <w:pStyle w:val="Heading4"/>
      </w:pPr>
      <w:r w:rsidRPr="004C78D8">
        <w:t>1.3.5.1 Motivation for decision modelling</w:t>
      </w:r>
    </w:p>
    <w:p w14:paraId="3DC6AF94" w14:textId="64F350A6" w:rsidR="00696B90" w:rsidRPr="004C78D8" w:rsidRDefault="00696B90" w:rsidP="00FB7C1F">
      <w:r w:rsidRPr="004C78D8">
        <w:t xml:space="preserve">A health economic evaluation can either be conducted alongside a single clinical study such as RCT – referred </w:t>
      </w:r>
      <w:r w:rsidR="001E25F5" w:rsidRPr="004C78D8">
        <w:t xml:space="preserve">here </w:t>
      </w:r>
      <w:r w:rsidRPr="004C78D8">
        <w:t xml:space="preserve">as a single-vehicle evaluation (SVE) – or as a decision model </w:t>
      </w:r>
      <w:r w:rsidRPr="004C78D8">
        <w:fldChar w:fldCharType="begin"/>
      </w:r>
      <w:r w:rsidR="00513646" w:rsidRPr="004C78D8">
        <w:instrText xml:space="preserve"> ADDIN EN.CITE &lt;EndNote&gt;&lt;Cite&gt;&lt;Author&gt;Drummond&lt;/Author&gt;&lt;Year&gt;2015&lt;/Year&gt;&lt;RecNum&gt;2&lt;/RecNum&gt;&lt;DisplayText&gt;[145]&lt;/DisplayText&gt;&lt;record&gt;&lt;rec-number&gt;2&lt;/rec-number&gt;&lt;foreign-keys&gt;&lt;key app="EN" db-id="tdtrdw9aepptzbefsat599syza29sxsd2wsp" timestamp="1596571149"&gt;2&lt;/key&gt;&lt;/foreign-keys&gt;&lt;ref-type name="Book"&gt;6&lt;/ref-type&gt;&lt;contributors&gt;&lt;authors&gt;&lt;author&gt;Drummond, Michael F&lt;/author&gt;&lt;author&gt;Sculpher, Mark J&lt;/author&gt;&lt;author&gt;Claxton, Karl&lt;/author&gt;&lt;author&gt;Stoddart, Greg L&lt;/author&gt;&lt;author&gt;Torrance, George W&lt;/author&gt;&lt;/authors&gt;&lt;/contributors&gt;&lt;titles&gt;&lt;title&gt;Methods for the economic evaluation of health care programmes&lt;/title&gt;&lt;/titles&gt;&lt;dates&gt;&lt;year&gt;2015&lt;/year&gt;&lt;/dates&gt;&lt;publisher&gt;Oxford university press&lt;/publisher&gt;&lt;isbn&gt;0191643580&lt;/isbn&gt;&lt;urls&gt;&lt;/urls&gt;&lt;/record&gt;&lt;/Cite&gt;&lt;/EndNote&gt;</w:instrText>
      </w:r>
      <w:r w:rsidRPr="004C78D8">
        <w:fldChar w:fldCharType="separate"/>
      </w:r>
      <w:r w:rsidR="00513646" w:rsidRPr="004C78D8">
        <w:rPr>
          <w:noProof/>
        </w:rPr>
        <w:t>[145]</w:t>
      </w:r>
      <w:r w:rsidRPr="004C78D8">
        <w:fldChar w:fldCharType="end"/>
      </w:r>
      <w:r w:rsidRPr="004C78D8">
        <w:t xml:space="preserve">. Decision models represent the key </w:t>
      </w:r>
      <w:r w:rsidR="00767DD4">
        <w:t xml:space="preserve">disease-specific factors which are relevant to the decision problem </w:t>
      </w:r>
      <w:r w:rsidRPr="004C78D8">
        <w:t xml:space="preserve">in </w:t>
      </w:r>
      <w:r w:rsidR="00767DD4">
        <w:t xml:space="preserve">terms of </w:t>
      </w:r>
      <w:r w:rsidRPr="004C78D8">
        <w:t xml:space="preserve">mathematical and statistical relationships </w:t>
      </w:r>
      <w:r w:rsidRPr="004C78D8">
        <w:fldChar w:fldCharType="begin"/>
      </w:r>
      <w:r w:rsidR="00513646" w:rsidRPr="004C78D8">
        <w:instrText xml:space="preserve"> ADDIN EN.CITE &lt;EndNote&gt;&lt;Cite&gt;&lt;Author&gt;Brennan&lt;/Author&gt;&lt;Year&gt;2000&lt;/Year&gt;&lt;RecNum&gt;412&lt;/RecNum&gt;&lt;DisplayText&gt;[164]&lt;/DisplayText&gt;&lt;record&gt;&lt;rec-number&gt;412&lt;/rec-number&gt;&lt;foreign-keys&gt;&lt;key app="EN" db-id="tdtrdw9aepptzbefsat599syza29sxsd2wsp" timestamp="1616153209"&gt;412&lt;/key&gt;&lt;/foreign-keys&gt;&lt;ref-type name="Journal Article"&gt;17&lt;/ref-type&gt;&lt;contributors&gt;&lt;authors&gt;&lt;author&gt;Brennan, Alan&lt;/author&gt;&lt;author&gt;Akehurst, Ron&lt;/author&gt;&lt;/authors&gt;&lt;/contributors&gt;&lt;titles&gt;&lt;title&gt;Modelling in health economic evaluation&lt;/title&gt;&lt;secondary-title&gt;Pharmacoeconomics&lt;/secondary-title&gt;&lt;/titles&gt;&lt;periodical&gt;&lt;full-title&gt;PharmacoEconomics&lt;/full-title&gt;&lt;/periodical&gt;&lt;pages&gt;445-459&lt;/pages&gt;&lt;volume&gt;17&lt;/volume&gt;&lt;number&gt;5&lt;/number&gt;&lt;dates&gt;&lt;year&gt;2000&lt;/year&gt;&lt;/dates&gt;&lt;isbn&gt;1170-7690&lt;/isbn&gt;&lt;urls&gt;&lt;/urls&gt;&lt;/record&gt;&lt;/Cite&gt;&lt;/EndNote&gt;</w:instrText>
      </w:r>
      <w:r w:rsidRPr="004C78D8">
        <w:fldChar w:fldCharType="separate"/>
      </w:r>
      <w:r w:rsidR="00513646" w:rsidRPr="004C78D8">
        <w:rPr>
          <w:noProof/>
        </w:rPr>
        <w:t>[164]</w:t>
      </w:r>
      <w:r w:rsidRPr="004C78D8">
        <w:fldChar w:fldCharType="end"/>
      </w:r>
      <w:r w:rsidRPr="004C78D8">
        <w:t xml:space="preserve">. They then assess the impact of hypothetical changes (‘what if’ scenarios) to individual components of the causal chain on the final </w:t>
      </w:r>
      <w:r w:rsidR="00A21B83" w:rsidRPr="004C78D8">
        <w:t>model</w:t>
      </w:r>
      <w:r w:rsidRPr="004C78D8">
        <w:t xml:space="preserve"> outcomes. </w:t>
      </w:r>
    </w:p>
    <w:p w14:paraId="4098E6DA" w14:textId="2A4ECA4A" w:rsidR="0064189E" w:rsidRPr="004C78D8" w:rsidRDefault="0064189E" w:rsidP="00FB7C1F">
      <w:r w:rsidRPr="004C78D8">
        <w:t xml:space="preserve">Decision models </w:t>
      </w:r>
      <w:r w:rsidR="00BB5681" w:rsidRPr="004C78D8">
        <w:t>enjoy several advantages</w:t>
      </w:r>
      <w:r w:rsidRPr="004C78D8">
        <w:t xml:space="preserve"> relative to SVEs </w:t>
      </w:r>
      <w:r w:rsidR="00236373" w:rsidRPr="004C78D8">
        <w:fldChar w:fldCharType="begin">
          <w:fldData xml:space="preserve">PEVuZE5vdGU+PENpdGU+PEF1dGhvcj5EcnVtbW9uZDwvQXV0aG9yPjxZZWFyPjIwMTU8L1llYXI+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</w:fldData>
        </w:fldChar>
      </w:r>
      <w:r w:rsidR="00513646" w:rsidRPr="004C78D8">
        <w:instrText xml:space="preserve"> ADDIN EN.CITE </w:instrText>
      </w:r>
      <w:r w:rsidR="00513646" w:rsidRPr="004C78D8">
        <w:fldChar w:fldCharType="begin">
          <w:fldData xml:space="preserve">PEVuZE5vdGU+PENpdGU+PEF1dGhvcj5EcnVtbW9uZDwvQXV0aG9yPjxZZWFyPjIwMTU8L1llYXI+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</w:fldData>
        </w:fldChar>
      </w:r>
      <w:r w:rsidR="00513646" w:rsidRPr="004C78D8">
        <w:instrText xml:space="preserve"> ADDIN EN.CITE.DATA </w:instrText>
      </w:r>
      <w:r w:rsidR="00513646" w:rsidRPr="004C78D8">
        <w:fldChar w:fldCharType="end"/>
      </w:r>
      <w:r w:rsidR="00236373" w:rsidRPr="004C78D8">
        <w:fldChar w:fldCharType="separate"/>
      </w:r>
      <w:r w:rsidR="00513646" w:rsidRPr="004C78D8">
        <w:rPr>
          <w:noProof/>
        </w:rPr>
        <w:t>[145, 165, 166]</w:t>
      </w:r>
      <w:r w:rsidR="00236373" w:rsidRPr="004C78D8">
        <w:fldChar w:fldCharType="end"/>
      </w:r>
      <w:r w:rsidR="00236373" w:rsidRPr="004C78D8">
        <w:t>, including</w:t>
      </w:r>
      <w:r w:rsidRPr="004C78D8">
        <w:t>:</w:t>
      </w:r>
    </w:p>
    <w:p w14:paraId="44DCFD01" w14:textId="752DBCD2" w:rsidR="0064189E" w:rsidRPr="004C78D8" w:rsidRDefault="0064189E" w:rsidP="00FB7C1F">
      <w:pPr>
        <w:pStyle w:val="ListParagraph"/>
        <w:numPr>
          <w:ilvl w:val="0"/>
          <w:numId w:val="19"/>
        </w:numPr>
      </w:pPr>
      <w:r w:rsidRPr="004C78D8">
        <w:t>Consider</w:t>
      </w:r>
      <w:r w:rsidR="00236373" w:rsidRPr="004C78D8">
        <w:t>ation</w:t>
      </w:r>
      <w:r w:rsidRPr="004C78D8">
        <w:t xml:space="preserve"> </w:t>
      </w:r>
      <w:r w:rsidR="00236373" w:rsidRPr="004C78D8">
        <w:t xml:space="preserve">of </w:t>
      </w:r>
      <w:r w:rsidRPr="004C78D8">
        <w:t xml:space="preserve">all relevant costs and </w:t>
      </w:r>
      <w:r w:rsidR="00D50951" w:rsidRPr="004C78D8">
        <w:t>outcomes</w:t>
      </w:r>
      <w:r w:rsidRPr="004C78D8">
        <w:t xml:space="preserve"> of intervention</w:t>
      </w:r>
      <w:r w:rsidR="00236373" w:rsidRPr="004C78D8">
        <w:t>s</w:t>
      </w:r>
      <w:r w:rsidRPr="004C78D8">
        <w:t xml:space="preserve"> over long time horizons</w:t>
      </w:r>
    </w:p>
    <w:p w14:paraId="6CE2F7F6" w14:textId="5A0E9C09" w:rsidR="0064189E" w:rsidRPr="004C78D8" w:rsidRDefault="0064189E" w:rsidP="00FB7C1F">
      <w:pPr>
        <w:pStyle w:val="ListParagraph"/>
        <w:numPr>
          <w:ilvl w:val="0"/>
          <w:numId w:val="19"/>
        </w:numPr>
      </w:pPr>
      <w:r w:rsidRPr="004C78D8">
        <w:t>Compar</w:t>
      </w:r>
      <w:r w:rsidR="00236373" w:rsidRPr="004C78D8">
        <w:t>ison of</w:t>
      </w:r>
      <w:r w:rsidRPr="004C78D8">
        <w:t xml:space="preserve"> all potential intervention strategies and scenarios</w:t>
      </w:r>
    </w:p>
    <w:p w14:paraId="5A4F8816" w14:textId="10E43076" w:rsidR="0064189E" w:rsidRPr="004C78D8" w:rsidRDefault="0064189E" w:rsidP="00FB7C1F">
      <w:pPr>
        <w:pStyle w:val="ListParagraph"/>
        <w:numPr>
          <w:ilvl w:val="0"/>
          <w:numId w:val="19"/>
        </w:numPr>
      </w:pPr>
      <w:r w:rsidRPr="004C78D8">
        <w:t>Mak</w:t>
      </w:r>
      <w:r w:rsidR="00236373" w:rsidRPr="004C78D8">
        <w:t>ing</w:t>
      </w:r>
      <w:r w:rsidRPr="004C78D8">
        <w:t xml:space="preserve"> evaluation results applicable to the </w:t>
      </w:r>
      <w:r w:rsidR="00236373" w:rsidRPr="004C78D8">
        <w:t>population-level decision context</w:t>
      </w:r>
    </w:p>
    <w:p w14:paraId="0ECC251A" w14:textId="252AA637" w:rsidR="008E6B33" w:rsidRPr="004C78D8" w:rsidRDefault="008E6B33" w:rsidP="00FB7C1F">
      <w:r w:rsidRPr="004C78D8">
        <w:t xml:space="preserve">First, decision models can link the limited range of intermediate outcomes found in one set of epidemiological and clinical studies to the broad range of final outcomes found in another </w:t>
      </w:r>
      <w:r w:rsidRPr="004C78D8">
        <w:fldChar w:fldCharType="begin"/>
      </w:r>
      <w:r w:rsidR="00513646" w:rsidRPr="004C78D8">
        <w:instrText xml:space="preserve"> ADDIN EN.CITE &lt;EndNote&gt;&lt;Cite&gt;&lt;Author&gt;Brennan&lt;/Author&gt;&lt;Year&gt;2000&lt;/Year&gt;&lt;RecNum&gt;412&lt;/RecNum&gt;&lt;DisplayText&gt;[164]&lt;/DisplayText&gt;&lt;record&gt;&lt;rec-number&gt;412&lt;/rec-number&gt;&lt;foreign-keys&gt;&lt;key app="EN" db-id="tdtrdw9aepptzbefsat599syza29sxsd2wsp" timestamp="1616153209"&gt;412&lt;/key&gt;&lt;/foreign-keys&gt;&lt;ref-type name="Journal Article"&gt;17&lt;/ref-type&gt;&lt;contributors&gt;&lt;authors&gt;&lt;author&gt;Brennan, Alan&lt;/author&gt;&lt;author&gt;Akehurst, Ron&lt;/author&gt;&lt;/authors&gt;&lt;/contributors&gt;&lt;titles&gt;&lt;title&gt;Modelling in health economic evaluation&lt;/title&gt;&lt;secondary-title&gt;Pharmacoeconomics&lt;/secondary-title&gt;&lt;/titles&gt;&lt;periodical&gt;&lt;full-title&gt;PharmacoEconomics&lt;/full-title&gt;&lt;/periodical&gt;&lt;pages&gt;445-459&lt;/pages&gt;&lt;volume&gt;17&lt;/volume&gt;&lt;number&gt;5&lt;/number&gt;&lt;dates&gt;&lt;year&gt;2000&lt;/year&gt;&lt;/dates&gt;&lt;isbn&gt;1170-7690&lt;/isbn&gt;&lt;urls&gt;&lt;/urls&gt;&lt;/record&gt;&lt;/Cite&gt;&lt;/EndNote&gt;</w:instrText>
      </w:r>
      <w:r w:rsidRPr="004C78D8">
        <w:fldChar w:fldCharType="separate"/>
      </w:r>
      <w:r w:rsidR="00513646" w:rsidRPr="004C78D8">
        <w:rPr>
          <w:noProof/>
        </w:rPr>
        <w:t>[164]</w:t>
      </w:r>
      <w:r w:rsidRPr="004C78D8">
        <w:fldChar w:fldCharType="end"/>
      </w:r>
      <w:r w:rsidRPr="004C78D8">
        <w:t xml:space="preserve">. This is particularly important for </w:t>
      </w:r>
      <w:r w:rsidR="00B67E1C" w:rsidRPr="004C78D8">
        <w:t>the consideration (likely under a societal perspective) of holistic outcomes relevant to geriatric public health</w:t>
      </w:r>
      <w:r w:rsidR="00A01F4A" w:rsidRPr="004C78D8">
        <w:t xml:space="preserve"> </w:t>
      </w:r>
      <w:r w:rsidR="00A01F4A" w:rsidRPr="004C78D8">
        <w:fldChar w:fldCharType="begin"/>
      </w:r>
      <w:r w:rsidR="00513646" w:rsidRPr="004C78D8">
        <w:instrText xml:space="preserve"> ADDIN EN.CITE &lt;EndNote&gt;&lt;Cite&gt;&lt;Author&gt;Tong&lt;/Author&gt;&lt;Year&gt;2017&lt;/Year&gt;&lt;RecNum&gt;432&lt;/RecNum&gt;&lt;DisplayText&gt;[161]&lt;/DisplayText&gt;&lt;record&gt;&lt;rec-number&gt;432&lt;/rec-number&gt;&lt;foreign-keys&gt;&lt;key app="EN" db-id="tdtrdw9aepptzbefsat599syza29sxsd2wsp" timestamp="1616415999"&gt;432&lt;/key&gt;&lt;/foreign-keys&gt;&lt;ref-type name="Thesis"&gt;32&lt;/ref-type&gt;&lt;contributors&gt;&lt;authors&gt;&lt;author&gt;Tong, Thaison&lt;/author&gt;&lt;/authors&gt;&lt;/contributors&gt;&lt;titles&gt;&lt;title&gt;Broadening the perspective of economic evaluation in health care - A case study in dementia care in the UK&lt;/title&gt;&lt;/titles&gt;&lt;dates&gt;&lt;year&gt;2017&lt;/year&gt;&lt;/dates&gt;&lt;publisher&gt;University of Sheffield&lt;/publisher&gt;&lt;urls&gt;&lt;/urls&gt;&lt;/record&gt;&lt;/Cite&gt;&lt;/EndNote&gt;</w:instrText>
      </w:r>
      <w:r w:rsidR="00A01F4A" w:rsidRPr="004C78D8">
        <w:fldChar w:fldCharType="separate"/>
      </w:r>
      <w:r w:rsidR="00513646" w:rsidRPr="004C78D8">
        <w:rPr>
          <w:noProof/>
        </w:rPr>
        <w:t>[161]</w:t>
      </w:r>
      <w:r w:rsidR="00A01F4A" w:rsidRPr="004C78D8">
        <w:fldChar w:fldCharType="end"/>
      </w:r>
      <w:r w:rsidRPr="004C78D8">
        <w:t>.</w:t>
      </w:r>
      <w:r w:rsidR="00A01F4A" w:rsidRPr="004C78D8">
        <w:t xml:space="preserve"> Models can also incorporate the long-term trajectories of key risk factors and thereby capture the full range </w:t>
      </w:r>
      <w:r w:rsidR="00B67E1C" w:rsidRPr="004C78D8">
        <w:t xml:space="preserve">and dynamic complexity </w:t>
      </w:r>
      <w:r w:rsidR="00A01F4A" w:rsidRPr="004C78D8">
        <w:t xml:space="preserve">of costs and consequences that manifest gradually as well as immediately </w:t>
      </w:r>
      <w:r w:rsidR="00A01F4A" w:rsidRPr="004C78D8">
        <w:fldChar w:fldCharType="begin"/>
      </w:r>
      <w:r w:rsidR="00513646" w:rsidRPr="004C78D8">
        <w:instrText xml:space="preserve"> ADDIN EN.CITE &lt;EndNote&gt;&lt;Cite&gt;&lt;Author&gt;Brennan&lt;/Author&gt;&lt;Year&gt;2000&lt;/Year&gt;&lt;RecNum&gt;412&lt;/RecNum&gt;&lt;DisplayText&gt;[164]&lt;/DisplayText&gt;&lt;record&gt;&lt;rec-number&gt;412&lt;/rec-number&gt;&lt;foreign-keys&gt;&lt;key app="EN" db-id="tdtrdw9aepptzbefsat599syza29sxsd2wsp" timestamp="1616153209"&gt;412&lt;/key&gt;&lt;/foreign-keys&gt;&lt;ref-type name="Journal Article"&gt;17&lt;/ref-type&gt;&lt;contributors&gt;&lt;authors&gt;&lt;author&gt;Brennan, Alan&lt;/author&gt;&lt;author&gt;Akehurst, Ron&lt;/author&gt;&lt;/authors&gt;&lt;/contributors&gt;&lt;titles&gt;&lt;title&gt;Modelling in health economic evaluation&lt;/title&gt;&lt;secondary-title&gt;Pharmacoeconomics&lt;/secondary-title&gt;&lt;/titles&gt;&lt;periodical&gt;&lt;full-title&gt;PharmacoEconomics&lt;/full-title&gt;&lt;/periodical&gt;&lt;pages&gt;445-459&lt;/pages&gt;&lt;volume&gt;17&lt;/volume&gt;&lt;number&gt;5&lt;/number&gt;&lt;dates&gt;&lt;year&gt;2000&lt;/year&gt;&lt;/dates&gt;&lt;isbn&gt;1170-7690&lt;/isbn&gt;&lt;urls&gt;&lt;/urls&gt;&lt;/record&gt;&lt;/Cite&gt;&lt;/EndNote&gt;</w:instrText>
      </w:r>
      <w:r w:rsidR="00A01F4A" w:rsidRPr="004C78D8">
        <w:fldChar w:fldCharType="separate"/>
      </w:r>
      <w:r w:rsidR="00513646" w:rsidRPr="004C78D8">
        <w:rPr>
          <w:noProof/>
        </w:rPr>
        <w:t>[164]</w:t>
      </w:r>
      <w:r w:rsidR="00A01F4A" w:rsidRPr="004C78D8">
        <w:fldChar w:fldCharType="end"/>
      </w:r>
      <w:r w:rsidR="00A01F4A" w:rsidRPr="004C78D8">
        <w:t>.</w:t>
      </w:r>
    </w:p>
    <w:p w14:paraId="4ECE767C" w14:textId="6569D887" w:rsidR="00A01F4A" w:rsidRPr="004C78D8" w:rsidRDefault="00A01F4A" w:rsidP="00FB7C1F">
      <w:r w:rsidRPr="004C78D8">
        <w:t xml:space="preserve">Secondly, decision models can </w:t>
      </w:r>
      <w:r w:rsidR="00134E94" w:rsidRPr="004C78D8">
        <w:t>evaluate the</w:t>
      </w:r>
      <w:r w:rsidRPr="004C78D8">
        <w:t xml:space="preserve"> intervention strategies that are most relevant to the decision problem rather than be confined to those</w:t>
      </w:r>
      <w:r w:rsidR="0064189E" w:rsidRPr="004C78D8">
        <w:t xml:space="preserve"> examined in </w:t>
      </w:r>
      <w:r w:rsidRPr="004C78D8">
        <w:t>a</w:t>
      </w:r>
      <w:r w:rsidR="0064189E" w:rsidRPr="004C78D8">
        <w:t xml:space="preserve"> single clinical study</w:t>
      </w:r>
      <w:r w:rsidRPr="004C78D8">
        <w:t xml:space="preserve"> </w:t>
      </w:r>
      <w:r w:rsidRPr="004C78D8">
        <w:fldChar w:fldCharType="begin"/>
      </w:r>
      <w:r w:rsidR="00513646" w:rsidRPr="004C78D8">
        <w:instrText xml:space="preserve"> ADDIN EN.CITE &lt;EndNote&gt;&lt;Cite&gt;&lt;Author&gt;Sculpher&lt;/Author&gt;&lt;Year&gt;2006&lt;/Year&gt;&lt;RecNum&gt;532&lt;/RecNum&gt;&lt;DisplayText&gt;[166]&lt;/DisplayText&gt;&lt;record&gt;&lt;rec-number&gt;532&lt;/rec-number&gt;&lt;foreign-keys&gt;&lt;key app="EN" db-id="tdtrdw9aepptzbefsat599syza29sxsd2wsp" timestamp="1618258240"&gt;532&lt;/key&gt;&lt;/foreign-keys&gt;&lt;ref-type name="Journal Article"&gt;17&lt;/ref-type&gt;&lt;contributors&gt;&lt;authors&gt;&lt;author&gt;Sculpher, Mark J&lt;/author&gt;&lt;author&gt;Claxton, Karl&lt;/author&gt;&lt;author&gt;Drummond, Mike&lt;/author&gt;&lt;author&gt;McCabe, Chris&lt;/author&gt;&lt;/authors&gt;&lt;/contributors&gt;&lt;titles&gt;&lt;title&gt;Whither trial‐based economic evaluation for health care decision making?&lt;/title&gt;&lt;secondary-title&gt;Health economics&lt;/secondary-title&gt;&lt;/titles&gt;&lt;periodical&gt;&lt;full-title&gt;Health economics&lt;/full-title&gt;&lt;/periodical&gt;&lt;pages&gt;677-687&lt;/pages&gt;&lt;volume&gt;15&lt;/volume&gt;&lt;number&gt;7&lt;/number&gt;&lt;dates&gt;&lt;year&gt;2006&lt;/year&gt;&lt;/dates&gt;&lt;isbn&gt;1057-9230&lt;/isbn&gt;&lt;urls&gt;&lt;/urls&gt;&lt;/record&gt;&lt;/Cite&gt;&lt;/EndNote&gt;</w:instrText>
      </w:r>
      <w:r w:rsidRPr="004C78D8">
        <w:fldChar w:fldCharType="separate"/>
      </w:r>
      <w:r w:rsidR="00513646" w:rsidRPr="004C78D8">
        <w:rPr>
          <w:noProof/>
        </w:rPr>
        <w:t>[166]</w:t>
      </w:r>
      <w:r w:rsidRPr="004C78D8">
        <w:fldChar w:fldCharType="end"/>
      </w:r>
      <w:r w:rsidR="0064189E" w:rsidRPr="004C78D8">
        <w:t xml:space="preserve">. </w:t>
      </w:r>
      <w:r w:rsidR="00B67E1C" w:rsidRPr="004C78D8">
        <w:t>As noted, a</w:t>
      </w:r>
      <w:r w:rsidRPr="004C78D8">
        <w:t xml:space="preserve"> </w:t>
      </w:r>
      <w:r w:rsidR="00B67E1C" w:rsidRPr="004C78D8">
        <w:t>comprehensive</w:t>
      </w:r>
      <w:r w:rsidRPr="004C78D8">
        <w:t xml:space="preserve"> geriatric public health strategy would </w:t>
      </w:r>
      <w:r w:rsidR="00B67E1C" w:rsidRPr="004C78D8">
        <w:t>encompass</w:t>
      </w:r>
      <w:r w:rsidRPr="004C78D8">
        <w:t xml:space="preserve"> </w:t>
      </w:r>
      <w:r w:rsidR="00FB5522" w:rsidRPr="004C78D8">
        <w:t>risk</w:t>
      </w:r>
      <w:r w:rsidRPr="004C78D8">
        <w:t xml:space="preserve"> screening, </w:t>
      </w:r>
      <w:r w:rsidR="00B67E1C" w:rsidRPr="004C78D8">
        <w:t xml:space="preserve">multiple pathways, </w:t>
      </w:r>
      <w:r w:rsidRPr="004C78D8">
        <w:lastRenderedPageBreak/>
        <w:t>implementation</w:t>
      </w:r>
      <w:r w:rsidR="00B67E1C" w:rsidRPr="004C78D8">
        <w:t xml:space="preserve"> strategies, among other integrative elements</w:t>
      </w:r>
      <w:r w:rsidR="00134E94" w:rsidRPr="004C78D8">
        <w:t>. T</w:t>
      </w:r>
      <w:r w:rsidRPr="004C78D8">
        <w:t xml:space="preserve">he range of possible </w:t>
      </w:r>
      <w:r w:rsidR="00D3118B" w:rsidRPr="004C78D8">
        <w:t xml:space="preserve">strategies </w:t>
      </w:r>
      <w:r w:rsidR="00B67E1C" w:rsidRPr="004C78D8">
        <w:t xml:space="preserve">would </w:t>
      </w:r>
      <w:r w:rsidRPr="004C78D8">
        <w:t xml:space="preserve">quickly </w:t>
      </w:r>
      <w:r w:rsidR="00134E94" w:rsidRPr="004C78D8">
        <w:t>multipl</w:t>
      </w:r>
      <w:r w:rsidR="00B67E1C" w:rsidRPr="004C78D8">
        <w:t>y</w:t>
      </w:r>
      <w:r w:rsidR="002A422F" w:rsidRPr="004C78D8">
        <w:t>;</w:t>
      </w:r>
      <w:r w:rsidR="00134E94" w:rsidRPr="004C78D8">
        <w:t xml:space="preserve"> m</w:t>
      </w:r>
      <w:r w:rsidR="000D76A7" w:rsidRPr="004C78D8">
        <w:t xml:space="preserve">odels </w:t>
      </w:r>
      <w:r w:rsidR="00B67E1C" w:rsidRPr="004C78D8">
        <w:t>offer</w:t>
      </w:r>
      <w:r w:rsidR="000D76A7" w:rsidRPr="004C78D8">
        <w:t xml:space="preserve"> the flexibility in evaluating any number </w:t>
      </w:r>
      <w:r w:rsidR="00B67E1C" w:rsidRPr="004C78D8">
        <w:t xml:space="preserve">and type </w:t>
      </w:r>
      <w:r w:rsidR="000D76A7" w:rsidRPr="004C78D8">
        <w:t>of permutations.</w:t>
      </w:r>
    </w:p>
    <w:p w14:paraId="79F4C3BB" w14:textId="6EE9580E" w:rsidR="0064189E" w:rsidRPr="004C78D8" w:rsidRDefault="0064189E" w:rsidP="00FB7C1F">
      <w:r w:rsidRPr="004C78D8">
        <w:t xml:space="preserve">Finally, </w:t>
      </w:r>
      <w:r w:rsidR="000D76A7" w:rsidRPr="004C78D8">
        <w:t xml:space="preserve">decision models can produce results that are relevant to the full target population of the decision-making jurisdiction rather than specific populations of individual clinical studies </w:t>
      </w:r>
      <w:r w:rsidR="000D76A7" w:rsidRPr="004C78D8">
        <w:fldChar w:fldCharType="begin"/>
      </w:r>
      <w:r w:rsidR="00513646" w:rsidRPr="004C78D8">
        <w:instrText xml:space="preserve"> ADDIN EN.CITE &lt;EndNote&gt;&lt;Cite&gt;&lt;Author&gt;Brennan&lt;/Author&gt;&lt;Year&gt;2000&lt;/Year&gt;&lt;RecNum&gt;412&lt;/RecNum&gt;&lt;DisplayText&gt;[164]&lt;/DisplayText&gt;&lt;record&gt;&lt;rec-number&gt;412&lt;/rec-number&gt;&lt;foreign-keys&gt;&lt;key app="EN" db-id="tdtrdw9aepptzbefsat599syza29sxsd2wsp" timestamp="1616153209"&gt;412&lt;/key&gt;&lt;/foreign-keys&gt;&lt;ref-type name="Journal Article"&gt;17&lt;/ref-type&gt;&lt;contributors&gt;&lt;authors&gt;&lt;author&gt;Brennan, Alan&lt;/author&gt;&lt;author&gt;Akehurst, Ron&lt;/author&gt;&lt;/authors&gt;&lt;/contributors&gt;&lt;titles&gt;&lt;title&gt;Modelling in health economic evaluation&lt;/title&gt;&lt;secondary-title&gt;Pharmacoeconomics&lt;/secondary-title&gt;&lt;/titles&gt;&lt;periodical&gt;&lt;full-title&gt;PharmacoEconomics&lt;/full-title&gt;&lt;/periodical&gt;&lt;pages&gt;445-459&lt;/pages&gt;&lt;volume&gt;17&lt;/volume&gt;&lt;number&gt;5&lt;/number&gt;&lt;dates&gt;&lt;year&gt;2000&lt;/year&gt;&lt;/dates&gt;&lt;isbn&gt;1170-7690&lt;/isbn&gt;&lt;urls&gt;&lt;/urls&gt;&lt;/record&gt;&lt;/Cite&gt;&lt;/EndNote&gt;</w:instrText>
      </w:r>
      <w:r w:rsidR="000D76A7" w:rsidRPr="004C78D8">
        <w:fldChar w:fldCharType="separate"/>
      </w:r>
      <w:r w:rsidR="00513646" w:rsidRPr="004C78D8">
        <w:rPr>
          <w:noProof/>
        </w:rPr>
        <w:t>[164]</w:t>
      </w:r>
      <w:r w:rsidR="000D76A7" w:rsidRPr="004C78D8">
        <w:fldChar w:fldCharType="end"/>
      </w:r>
      <w:r w:rsidR="000D76A7" w:rsidRPr="004C78D8">
        <w:t>.</w:t>
      </w:r>
      <w:r w:rsidR="000A1FED" w:rsidRPr="004C78D8">
        <w:t xml:space="preserve"> A</w:t>
      </w:r>
      <w:r w:rsidRPr="004C78D8">
        <w:t xml:space="preserve"> </w:t>
      </w:r>
      <w:r w:rsidR="000A1FED" w:rsidRPr="004C78D8">
        <w:t xml:space="preserve">falls prevention </w:t>
      </w:r>
      <w:r w:rsidRPr="004C78D8">
        <w:t>model could</w:t>
      </w:r>
      <w:r w:rsidR="000A1FED" w:rsidRPr="004C78D8">
        <w:t>, for example,</w:t>
      </w:r>
      <w:r w:rsidRPr="004C78D8">
        <w:t xml:space="preserve"> use a survey or administrative dataset </w:t>
      </w:r>
      <w:r w:rsidR="000A1FED" w:rsidRPr="004C78D8">
        <w:t>that</w:t>
      </w:r>
      <w:r w:rsidRPr="004C78D8">
        <w:t xml:space="preserve"> is representative of the </w:t>
      </w:r>
      <w:r w:rsidR="000A1FED" w:rsidRPr="004C78D8">
        <w:t>target</w:t>
      </w:r>
      <w:r w:rsidRPr="004C78D8">
        <w:t xml:space="preserve"> population</w:t>
      </w:r>
      <w:r w:rsidR="000A1FED" w:rsidRPr="004C78D8">
        <w:t xml:space="preserve"> to derive the baseline falls risk and </w:t>
      </w:r>
      <w:r w:rsidR="00083A54" w:rsidRPr="004C78D8">
        <w:t>other characteristics</w:t>
      </w:r>
      <w:r w:rsidR="002A422F" w:rsidRPr="004C78D8">
        <w:t xml:space="preserve">. This would </w:t>
      </w:r>
      <w:r w:rsidR="00083A54" w:rsidRPr="004C78D8">
        <w:t>capture</w:t>
      </w:r>
      <w:r w:rsidR="002A422F" w:rsidRPr="004C78D8">
        <w:t xml:space="preserve"> the heterogeneity in the target population</w:t>
      </w:r>
      <w:r w:rsidR="00083A54" w:rsidRPr="004C78D8">
        <w:t xml:space="preserve"> characteristics including differences delineated by socioeconomic </w:t>
      </w:r>
      <w:r w:rsidR="00CD4179" w:rsidRPr="004C78D8">
        <w:t>and</w:t>
      </w:r>
      <w:r w:rsidR="00083A54" w:rsidRPr="004C78D8">
        <w:t xml:space="preserve"> other variables that raise priority setting challenges</w:t>
      </w:r>
      <w:r w:rsidR="00FB5522" w:rsidRPr="004C78D8">
        <w:t xml:space="preserve"> </w:t>
      </w:r>
      <w:r w:rsidR="00FB5522" w:rsidRPr="004C78D8">
        <w:fldChar w:fldCharType="begin"/>
      </w:r>
      <w:r w:rsidR="00513646" w:rsidRPr="004C78D8">
        <w:instrText xml:space="preserve"> ADDIN EN.CITE &lt;EndNote&gt;&lt;Cite&gt;&lt;Author&gt;Asaria&lt;/Author&gt;&lt;Year&gt;2016&lt;/Year&gt;&lt;RecNum&gt;361&lt;/RecNum&gt;&lt;DisplayText&gt;[109]&lt;/DisplayText&gt;&lt;record&gt;&lt;rec-number&gt;361&lt;/rec-number&gt;&lt;foreign-keys&gt;&lt;key app="EN" db-id="tdtrdw9aepptzbefsat599syza29sxsd2wsp" timestamp="1612265402"&gt;361&lt;/key&gt;&lt;/foreign-keys&gt;&lt;ref-type name="Journal Article"&gt;17&lt;/ref-type&gt;&lt;contributors&gt;&lt;authors&gt;&lt;author&gt;Asaria, Miqdad&lt;/author&gt;&lt;author&gt;Griffin, Susan&lt;/author&gt;&lt;author&gt;Cookson, Richard&lt;/author&gt;&lt;/authors&gt;&lt;/contributors&gt;&lt;titles&gt;&lt;title&gt;Distributional Cost-Effectiveness Analysis: A Tutorial&lt;/title&gt;&lt;secondary-title&gt;Medical decision making&lt;/secondary-title&gt;&lt;/titles&gt;&lt;periodical&gt;&lt;full-title&gt;Medical Decision Making&lt;/full-title&gt;&lt;/periodical&gt;&lt;pages&gt;8-19&lt;/pages&gt;&lt;volume&gt;36&lt;/volume&gt;&lt;number&gt;1&lt;/number&gt;&lt;keywords&gt;&lt;keyword&gt;cost-effectiveness analysis&lt;/keyword&gt;&lt;keyword&gt;economic evaluation&lt;/keyword&gt;&lt;keyword&gt;efficiency&lt;/keyword&gt;&lt;keyword&gt;equality&lt;/keyword&gt;&lt;keyword&gt;equity&lt;/keyword&gt;&lt;keyword&gt;fairness&lt;/keyword&gt;&lt;keyword&gt;health distribution&lt;/keyword&gt;&lt;keyword&gt;health inequality&lt;/keyword&gt;&lt;keyword&gt;inequality measures&lt;/keyword&gt;&lt;keyword&gt;opportunity cost&lt;/keyword&gt;&lt;keyword&gt;social value judgments&lt;/keyword&gt;&lt;keyword&gt;social welfare functions&lt;/keyword&gt;&lt;keyword&gt;tradeoff&lt;/keyword&gt;&lt;/keywords&gt;&lt;dates&gt;&lt;year&gt;2016&lt;/year&gt;&lt;pub-dates&gt;&lt;date&gt;1/1&lt;/date&gt;&lt;/pub-dates&gt;&lt;/dates&gt;&lt;isbn&gt;0272-989X&lt;/isbn&gt;&lt;work-type&gt;Article&lt;/work-type&gt;&lt;urls&gt;&lt;related-urls&gt;&lt;url&gt;http://www.scopus.com/inward/record.url?scp=84950117843&amp;amp;partnerID=8YFLogxK&lt;/url&gt;&lt;/related-urls&gt;&lt;/urls&gt;&lt;electronic-resource-num&gt;10.1177/0272989X15583266&lt;/electronic-resource-num&gt;&lt;/record&gt;&lt;/Cite&gt;&lt;/EndNote&gt;</w:instrText>
      </w:r>
      <w:r w:rsidR="00FB5522" w:rsidRPr="004C78D8">
        <w:fldChar w:fldCharType="separate"/>
      </w:r>
      <w:r w:rsidR="00513646" w:rsidRPr="004C78D8">
        <w:rPr>
          <w:noProof/>
        </w:rPr>
        <w:t>[109]</w:t>
      </w:r>
      <w:r w:rsidR="00FB5522" w:rsidRPr="004C78D8">
        <w:fldChar w:fldCharType="end"/>
      </w:r>
      <w:r w:rsidR="002A422F" w:rsidRPr="004C78D8">
        <w:t>. T</w:t>
      </w:r>
      <w:r w:rsidRPr="004C78D8">
        <w:t xml:space="preserve">rial-based efficacy data </w:t>
      </w:r>
      <w:r w:rsidR="00E869A1" w:rsidRPr="004C78D8">
        <w:t xml:space="preserve">and resource use/cost data </w:t>
      </w:r>
      <w:r w:rsidR="002A422F" w:rsidRPr="004C78D8">
        <w:t>c</w:t>
      </w:r>
      <w:r w:rsidR="00083A54" w:rsidRPr="004C78D8">
        <w:t>ould</w:t>
      </w:r>
      <w:r w:rsidR="002A422F" w:rsidRPr="004C78D8">
        <w:t xml:space="preserve"> then be applied to subgroups within the target population </w:t>
      </w:r>
      <w:r w:rsidR="00083A54" w:rsidRPr="004C78D8">
        <w:t>who share</w:t>
      </w:r>
      <w:r w:rsidR="002A422F" w:rsidRPr="004C78D8">
        <w:t xml:space="preserve"> similar characteristics </w:t>
      </w:r>
      <w:r w:rsidR="00083A54" w:rsidRPr="004C78D8">
        <w:t>as</w:t>
      </w:r>
      <w:r w:rsidR="002A422F" w:rsidRPr="004C78D8">
        <w:t xml:space="preserve"> the trial participants</w:t>
      </w:r>
      <w:r w:rsidR="00083A54" w:rsidRPr="004C78D8">
        <w:t>.</w:t>
      </w:r>
      <w:r w:rsidR="002A422F" w:rsidRPr="004C78D8">
        <w:t xml:space="preserve"> </w:t>
      </w:r>
      <w:r w:rsidR="00083A54" w:rsidRPr="004C78D8">
        <w:t xml:space="preserve">This would help characterise the multiple intervention pathways and the heterogeneous reach and impact of intervention types </w:t>
      </w:r>
      <w:r w:rsidR="00083A54" w:rsidRPr="004C78D8">
        <w:fldChar w:fldCharType="begin"/>
      </w:r>
      <w:r w:rsidR="00513646" w:rsidRPr="004C78D8">
        <w:instrText xml:space="preserve"> ADDIN EN.CITE &lt;EndNote&gt;&lt;Cite&gt;&lt;Author&gt;Day&lt;/Author&gt;&lt;Year&gt;2009&lt;/Year&gt;&lt;RecNum&gt;346&lt;/RecNum&gt;&lt;DisplayText&gt;[167]&lt;/DisplayText&gt;&lt;record&gt;&lt;rec-number&gt;346&lt;/rec-number&gt;&lt;foreign-keys&gt;&lt;key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00083A54" w:rsidRPr="004C78D8">
        <w:fldChar w:fldCharType="separate"/>
      </w:r>
      <w:r w:rsidR="00513646" w:rsidRPr="004C78D8">
        <w:rPr>
          <w:noProof/>
        </w:rPr>
        <w:t>[167]</w:t>
      </w:r>
      <w:r w:rsidR="00083A54" w:rsidRPr="004C78D8">
        <w:fldChar w:fldCharType="end"/>
      </w:r>
      <w:r w:rsidR="00083A54" w:rsidRPr="004C78D8">
        <w:t xml:space="preserve">. </w:t>
      </w:r>
      <w:r w:rsidR="00622185" w:rsidRPr="004C78D8">
        <w:t xml:space="preserve">Certain model types can also incorporate the </w:t>
      </w:r>
      <w:r w:rsidR="00163A39" w:rsidRPr="004C78D8">
        <w:t xml:space="preserve">jurisdiction-specific </w:t>
      </w:r>
      <w:r w:rsidR="00622185" w:rsidRPr="004C78D8">
        <w:t xml:space="preserve">capacity constraints </w:t>
      </w:r>
      <w:r w:rsidR="00622185" w:rsidRPr="004C78D8">
        <w:fldChar w:fldCharType="begin"/>
      </w:r>
      <w:r w:rsidR="00513646" w:rsidRPr="004C78D8">
        <w:instrText xml:space="preserve"> ADDIN EN.CITE &lt;EndNote&gt;&lt;Cite&gt;&lt;Author&gt;Brennan&lt;/Author&gt;&lt;Year&gt;2006&lt;/Year&gt;&lt;RecNum&gt;534&lt;/RecNum&gt;&lt;DisplayText&gt;[168]&lt;/DisplayText&gt;&lt;record&gt;&lt;rec-number&gt;534&lt;/rec-number&gt;&lt;foreign-keys&gt;&lt;key app="EN" db-id="tdtrdw9aepptzbefsat599syza29sxsd2wsp" timestamp="1618322463"&gt;534&lt;/key&gt;&lt;/foreign-keys&gt;&lt;ref-type name="Journal Article"&gt;17&lt;/ref-type&gt;&lt;contributors&gt;&lt;authors&gt;&lt;author&gt;Brennan, A.&lt;/author&gt;&lt;author&gt;Chick, S. E.&lt;/author&gt;&lt;author&gt;Davies, R.&lt;/author&gt;&lt;/authors&gt;&lt;/contributors&gt;&lt;auth-address&gt;School of Health and Related Research (ScHARR), University of Sheffield, Sheffield, UK. a.brennan@sheffield.ac.uk&lt;/auth-address&gt;&lt;titles&gt;&lt;title&gt;A taxonomy of model structures for economic evaluation of health technologies&lt;/title&gt;&lt;secondary-title&gt;Health Econ&lt;/secondary-title&gt;&lt;alt-title&gt;Health economics&lt;/alt-title&gt;&lt;/titles&gt;&lt;alt-periodical&gt;&lt;full-title&gt;Health economics&lt;/full-title&gt;&lt;/alt-periodical&gt;&lt;pages&gt;1295-310&lt;/pages&gt;&lt;volume&gt;15&lt;/volume&gt;&lt;number&gt;12&lt;/number&gt;&lt;edition&gt;2006/08/31&lt;/edition&gt;&lt;keywords&gt;&lt;keyword&gt;Cost-Benefit Analysis&lt;/keyword&gt;&lt;keyword&gt;Decision Trees&lt;/keyword&gt;&lt;keyword&gt;Markov Chains&lt;/keyword&gt;&lt;keyword&gt;*Models, Theoretical&lt;/keyword&gt;&lt;keyword&gt;Technology Assessment, Biomedical/*economics&lt;/keyword&gt;&lt;keyword&gt;United Kingdom&lt;/keyword&gt;&lt;/keywords&gt;&lt;dates&gt;&lt;year&gt;2006&lt;/year&gt;&lt;pub-dates&gt;&lt;date&gt;Dec&lt;/date&gt;&lt;/pub-dates&gt;&lt;/dates&gt;&lt;isbn&gt;1057-9230 (Print)&amp;#xD;1057-9230&lt;/isbn&gt;&lt;accession-num&gt;16941543&lt;/accession-num&gt;&lt;urls&gt;&lt;/urls&gt;&lt;electronic-resource-num&gt;10.1002/hec.1148&lt;/electronic-resource-num&gt;&lt;remote-database-provider&gt;NLM&lt;/remote-database-provider&gt;&lt;language&gt;eng&lt;/language&gt;&lt;/record&gt;&lt;/Cite&gt;&lt;/EndNote&gt;</w:instrText>
      </w:r>
      <w:r w:rsidR="00622185" w:rsidRPr="004C78D8">
        <w:fldChar w:fldCharType="separate"/>
      </w:r>
      <w:r w:rsidR="00513646" w:rsidRPr="004C78D8">
        <w:rPr>
          <w:noProof/>
        </w:rPr>
        <w:t>[168]</w:t>
      </w:r>
      <w:r w:rsidR="00622185" w:rsidRPr="004C78D8">
        <w:fldChar w:fldCharType="end"/>
      </w:r>
      <w:r w:rsidR="00622185" w:rsidRPr="004C78D8">
        <w:t xml:space="preserve">. </w:t>
      </w:r>
      <w:r w:rsidR="00E27D4C" w:rsidRPr="004C78D8">
        <w:t xml:space="preserve">Indeed, the model developed in this </w:t>
      </w:r>
      <w:r w:rsidR="004E73BB" w:rsidRPr="004C78D8">
        <w:t>study</w:t>
      </w:r>
      <w:r w:rsidR="00E27D4C" w:rsidRPr="004C78D8">
        <w:t xml:space="preserve"> evaluates scenarios with capacity constraints as plausible alternatives to those without. </w:t>
      </w:r>
    </w:p>
    <w:p w14:paraId="0E9E7F83" w14:textId="1944480A" w:rsidR="00AE0335" w:rsidRPr="004C78D8" w:rsidRDefault="00AE0335" w:rsidP="00FB7C1F">
      <w:pPr>
        <w:pStyle w:val="Heading4"/>
      </w:pPr>
      <w:r w:rsidRPr="004C78D8">
        <w:t xml:space="preserve">1.3.5.2 Challenges </w:t>
      </w:r>
      <w:r w:rsidR="00425CDB" w:rsidRPr="004C78D8">
        <w:t>in</w:t>
      </w:r>
      <w:r w:rsidRPr="004C78D8">
        <w:t xml:space="preserve"> </w:t>
      </w:r>
      <w:r w:rsidR="008D62CA" w:rsidRPr="004C78D8">
        <w:t xml:space="preserve">falls prevention economic model development and </w:t>
      </w:r>
      <w:r w:rsidR="00BB155D" w:rsidRPr="004C78D8">
        <w:t>evaluation</w:t>
      </w:r>
    </w:p>
    <w:p w14:paraId="6BF9E8D4" w14:textId="3604951A" w:rsidR="00BB155D" w:rsidRPr="004C78D8" w:rsidRDefault="00BB155D" w:rsidP="00FB7C1F">
      <w:r w:rsidRPr="004C78D8">
        <w:t xml:space="preserve">Challenges in using a decision model for </w:t>
      </w:r>
      <w:r w:rsidR="008C1FCE" w:rsidRPr="004C78D8">
        <w:t xml:space="preserve">falls prevention </w:t>
      </w:r>
      <w:r w:rsidRPr="004C78D8">
        <w:t xml:space="preserve">economic evaluation can be divided into two categories: that of model structure </w:t>
      </w:r>
      <w:r w:rsidR="00F919D6" w:rsidRPr="004C78D8">
        <w:t xml:space="preserve">development </w:t>
      </w:r>
      <w:r w:rsidRPr="004C78D8">
        <w:t>and that of model evaluation</w:t>
      </w:r>
      <w:r w:rsidR="00E471B8" w:rsidRPr="004C78D8">
        <w:t xml:space="preserve">. First, poor assumptions and choices </w:t>
      </w:r>
      <w:r w:rsidR="00291464" w:rsidRPr="004C78D8">
        <w:t>regarding model structure</w:t>
      </w:r>
      <w:r w:rsidR="002A3E1C" w:rsidRPr="004C78D8">
        <w:t xml:space="preserve"> </w:t>
      </w:r>
      <w:r w:rsidR="00E471B8" w:rsidRPr="004C78D8">
        <w:t>reduces model credibility</w:t>
      </w:r>
      <w:r w:rsidR="009033DF" w:rsidRPr="004C78D8">
        <w:t xml:space="preserve"> and impairs its ability to inform decision-making in the context of complex geriatric health patterns and integrative intervention elements</w:t>
      </w:r>
      <w:r w:rsidR="00E471B8" w:rsidRPr="004C78D8">
        <w:t xml:space="preserve"> </w:t>
      </w:r>
      <w:r w:rsidR="00BB4F75" w:rsidRPr="004C78D8">
        <w:fldChar w:fldCharType="begin"/>
      </w:r>
      <w:r w:rsidR="00513646" w:rsidRPr="004C78D8">
        <w:instrText xml:space="preserve"> ADDIN EN.CITE &lt;EndNote&gt;&lt;Cite&gt;&lt;Author&gt;Bojke&lt;/Author&gt;&lt;Year&gt;2009&lt;/Year&gt;&lt;RecNum&gt;536&lt;/RecNum&gt;&lt;DisplayText&gt;[160, 169]&lt;/DisplayText&gt;&lt;record&gt;&lt;rec-number&gt;536&lt;/rec-number&gt;&lt;foreign-keys&gt;&lt;key app="EN" db-id="tdtrdw9aepptzbefsat599syza29sxsd2wsp" timestamp="1618579432"&gt;536&lt;/key&gt;&lt;/foreign-keys&gt;&lt;ref-type name="Journal Article"&gt;17&lt;/ref-type&gt;&lt;contributors&gt;&lt;authors&gt;&lt;author&gt;Bojke, Laura&lt;/author&gt;&lt;author&gt;Claxton, Karl&lt;/author&gt;&lt;author&gt;Sculpher, Mark&lt;/author&gt;&lt;author&gt;Palmer, Stephen&lt;/author&gt;&lt;/authors&gt;&lt;/contributors&gt;&lt;titles&gt;&lt;title&gt;Characterizing structural uncertainty in decision analytic models: a review and application of methods&lt;/title&gt;&lt;secondary-title&gt;Value in Health&lt;/secondary-title&gt;&lt;/titles&gt;&lt;periodical&gt;&lt;full-title&gt;Value in Health&lt;/full-title&gt;&lt;/periodical&gt;&lt;pages&gt;739-749&lt;/pages&gt;&lt;volume&gt;12&lt;/volume&gt;&lt;number&gt;5&lt;/number&gt;&lt;dates&gt;&lt;year&gt;2009&lt;/year&gt;&lt;/dates&gt;&lt;isbn&gt;1098-3015&lt;/isbn&gt;&lt;urls&gt;&lt;/urls&gt;&lt;/record&gt;&lt;/Cite&gt;&lt;Cite&gt;&lt;Author&gt;Squires&lt;/Author&gt;&lt;Year&gt;2014&lt;/Year&gt;&lt;RecNum&gt;6&lt;/RecNum&gt;&lt;record&gt;&lt;rec-number&gt;6&lt;/rec-number&gt;&lt;foreign-keys&gt;&lt;key app="EN" db-id="tdtrdw9aepptzbefsat599syza29sxsd2wsp" timestamp="1596571778"&gt;6&lt;/key&gt;&lt;/foreign-keys&gt;&lt;ref-type name="Thesis"&gt;32&lt;/ref-type&gt;&lt;contributors&gt;&lt;authors&gt;&lt;author&gt;Squires, Hazel&lt;/author&gt;&lt;/authors&gt;&lt;/contributors&gt;&lt;titles&gt;&lt;title&gt;A methodological framework for developing the structure of Public Health economic models&lt;/title&gt;&lt;/titles&gt;&lt;dates&gt;&lt;year&gt;2014&lt;/year&gt;&lt;/dates&gt;&lt;publisher&gt;University of Sheffield&lt;/publisher&gt;&lt;urls&gt;&lt;/urls&gt;&lt;/record&gt;&lt;/Cite&gt;&lt;/EndNote&gt;</w:instrText>
      </w:r>
      <w:r w:rsidR="00BB4F75" w:rsidRPr="004C78D8">
        <w:fldChar w:fldCharType="separate"/>
      </w:r>
      <w:r w:rsidR="00513646" w:rsidRPr="004C78D8">
        <w:rPr>
          <w:noProof/>
        </w:rPr>
        <w:t>[160, 169]</w:t>
      </w:r>
      <w:r w:rsidR="00BB4F75" w:rsidRPr="004C78D8">
        <w:fldChar w:fldCharType="end"/>
      </w:r>
      <w:r w:rsidR="00BB4F75" w:rsidRPr="004C78D8">
        <w:t xml:space="preserve">. </w:t>
      </w:r>
      <w:r w:rsidR="00BC474F" w:rsidRPr="004C78D8">
        <w:t>Such s</w:t>
      </w:r>
      <w:r w:rsidR="00BB4F75" w:rsidRPr="004C78D8">
        <w:t xml:space="preserve">tructural uncertainty can be assessed prospectively and retrospectively </w:t>
      </w:r>
      <w:r w:rsidR="00BB4F75" w:rsidRPr="004C78D8">
        <w:fldChar w:fldCharType="begin"/>
      </w:r>
      <w:r w:rsidR="00513646" w:rsidRPr="004C78D8">
        <w:instrText xml:space="preserve"> ADDIN EN.CITE &lt;EndNote&gt;&lt;Cite&gt;&lt;Author&gt;Squires&lt;/Author&gt;&lt;Year&gt;2014&lt;/Year&gt;&lt;RecNum&gt;6&lt;/RecNum&gt;&lt;DisplayText&gt;[160]&lt;/DisplayText&gt;&lt;record&gt;&lt;rec-number&gt;6&lt;/rec-number&gt;&lt;foreign-keys&gt;&lt;key app="EN" db-id="tdtrdw9aepptzbefsat599syza29sxsd2wsp" timestamp="1596571778"&gt;6&lt;/key&gt;&lt;/foreign-keys&gt;&lt;ref-type name="Thesis"&gt;32&lt;/ref-type&gt;&lt;contributors&gt;&lt;authors&gt;&lt;author&gt;Squires, Hazel&lt;/author&gt;&lt;/authors&gt;&lt;/contributors&gt;&lt;titles&gt;&lt;title&gt;A methodological framework for developing the structure of Public Health economic models&lt;/title&gt;&lt;/titles&gt;&lt;dates&gt;&lt;year&gt;2014&lt;/year&gt;&lt;/dates&gt;&lt;publisher&gt;University of Sheffield&lt;/publisher&gt;&lt;urls&gt;&lt;/urls&gt;&lt;/record&gt;&lt;/Cite&gt;&lt;/EndNote&gt;</w:instrText>
      </w:r>
      <w:r w:rsidR="00BB4F75" w:rsidRPr="004C78D8">
        <w:fldChar w:fldCharType="separate"/>
      </w:r>
      <w:r w:rsidR="00513646" w:rsidRPr="004C78D8">
        <w:rPr>
          <w:noProof/>
        </w:rPr>
        <w:t>[160]</w:t>
      </w:r>
      <w:r w:rsidR="00BB4F75" w:rsidRPr="004C78D8">
        <w:fldChar w:fldCharType="end"/>
      </w:r>
      <w:r w:rsidR="00BB4F75" w:rsidRPr="004C78D8">
        <w:t xml:space="preserve">. Retrospective methods </w:t>
      </w:r>
      <w:r w:rsidR="00F758ED" w:rsidRPr="004C78D8">
        <w:t>assign</w:t>
      </w:r>
      <w:r w:rsidR="00BB4F75" w:rsidRPr="004C78D8">
        <w:t xml:space="preserve"> probabilities to scenarios representing alternative structural assumptions and obtain the weighted model outcomes </w:t>
      </w:r>
      <w:r w:rsidR="00BB4F75" w:rsidRPr="004C78D8">
        <w:fldChar w:fldCharType="begin"/>
      </w:r>
      <w:r w:rsidR="00513646" w:rsidRPr="004C78D8">
        <w:instrText xml:space="preserve"> ADDIN EN.CITE &lt;EndNote&gt;&lt;Cite&gt;&lt;Author&gt;Bojke&lt;/Author&gt;&lt;Year&gt;2009&lt;/Year&gt;&lt;RecNum&gt;536&lt;/RecNum&gt;&lt;DisplayText&gt;[169, 170]&lt;/DisplayText&gt;&lt;record&gt;&lt;rec-number&gt;536&lt;/rec-number&gt;&lt;foreign-keys&gt;&lt;key app="EN" db-id="tdtrdw9aepptzbefsat599syza29sxsd2wsp" timestamp="1618579432"&gt;536&lt;/key&gt;&lt;/foreign-keys&gt;&lt;ref-type name="Journal Article"&gt;17&lt;/ref-type&gt;&lt;contributors&gt;&lt;authors&gt;&lt;author&gt;Bojke, Laura&lt;/author&gt;&lt;author&gt;Claxton, Karl&lt;/author&gt;&lt;author&gt;Sculpher, Mark&lt;/author&gt;&lt;author&gt;Palmer, Stephen&lt;/author&gt;&lt;/authors&gt;&lt;/contributors&gt;&lt;titles&gt;&lt;title&gt;Characterizing structural uncertainty in decision analytic models: a review and application of methods&lt;/title&gt;&lt;secondary-title&gt;Value in Health&lt;/secondary-title&gt;&lt;/titles&gt;&lt;periodical&gt;&lt;full-title&gt;Value in Health&lt;/full-title&gt;&lt;/periodical&gt;&lt;pages&gt;739-749&lt;/pages&gt;&lt;volume&gt;12&lt;/volume&gt;&lt;number&gt;5&lt;/number&gt;&lt;dates&gt;&lt;year&gt;2009&lt;/year&gt;&lt;/dates&gt;&lt;isbn&gt;1098-3015&lt;/isbn&gt;&lt;urls&gt;&lt;/urls&gt;&lt;/record&gt;&lt;/Cite&gt;&lt;Cite&gt;&lt;Author&gt;Bojke&lt;/Author&gt;&lt;Year&gt;2010&lt;/Year&gt;&lt;RecNum&gt;537&lt;/RecNum&gt;&lt;record&gt;&lt;rec-number&gt;537&lt;/rec-number&gt;&lt;foreign-keys&gt;&lt;key app="EN" db-id="tdtrdw9aepptzbefsat599syza29sxsd2wsp" timestamp="1618579872"&gt;537&lt;/key&gt;&lt;/foreign-keys&gt;&lt;ref-type name="Journal Article"&gt;17&lt;/ref-type&gt;&lt;contributors&gt;&lt;authors&gt;&lt;author&gt;Bojke, Laura&lt;/author&gt;&lt;author&gt;Claxton, Karl&lt;/author&gt;&lt;author&gt;Bravo-Vergel, Yolanda&lt;/author&gt;&lt;author&gt;Sculpher, Mark&lt;/author&gt;&lt;author&gt;Palmer, Stephen&lt;/author&gt;&lt;author&gt;Abrams, Keith&lt;/author&gt;&lt;/authors&gt;&lt;/contributors&gt;&lt;titles&gt;&lt;title&gt;Eliciting distributions to populate decision analytic models&lt;/title&gt;&lt;secondary-title&gt;Value in Health&lt;/secondary-title&gt;&lt;/titles&gt;&lt;periodical&gt;&lt;full-title&gt;Value in Health&lt;/full-title&gt;&lt;/periodical&gt;&lt;pages&gt;557-564&lt;/pages&gt;&lt;volume&gt;13&lt;/volume&gt;&lt;number&gt;5&lt;/number&gt;&lt;dates&gt;&lt;year&gt;2010&lt;/year&gt;&lt;/dates&gt;&lt;isbn&gt;1098-3015&lt;/isbn&gt;&lt;urls&gt;&lt;/urls&gt;&lt;/record&gt;&lt;/Cite&gt;&lt;/EndNote&gt;</w:instrText>
      </w:r>
      <w:r w:rsidR="00BB4F75" w:rsidRPr="004C78D8">
        <w:fldChar w:fldCharType="separate"/>
      </w:r>
      <w:r w:rsidR="00513646" w:rsidRPr="004C78D8">
        <w:rPr>
          <w:noProof/>
        </w:rPr>
        <w:t>[169, 170]</w:t>
      </w:r>
      <w:r w:rsidR="00BB4F75" w:rsidRPr="004C78D8">
        <w:fldChar w:fldCharType="end"/>
      </w:r>
      <w:r w:rsidR="003C423A" w:rsidRPr="004C78D8">
        <w:t xml:space="preserve">. </w:t>
      </w:r>
      <w:r w:rsidR="00981B8D" w:rsidRPr="004C78D8">
        <w:t>By contrast</w:t>
      </w:r>
      <w:r w:rsidR="003C423A" w:rsidRPr="004C78D8">
        <w:t xml:space="preserve">, prospective methods aim not to quantify structural uncertainty but </w:t>
      </w:r>
      <w:r w:rsidR="0000329B">
        <w:t xml:space="preserve">to </w:t>
      </w:r>
      <w:r w:rsidR="003C423A" w:rsidRPr="004C78D8">
        <w:t>reduce it</w:t>
      </w:r>
      <w:r w:rsidR="00BB4F75" w:rsidRPr="004C78D8">
        <w:t xml:space="preserve"> </w:t>
      </w:r>
      <w:r w:rsidR="003C423A" w:rsidRPr="004C78D8">
        <w:fldChar w:fldCharType="begin"/>
      </w:r>
      <w:r w:rsidR="00513646" w:rsidRPr="004C78D8">
        <w:instrText xml:space="preserve"> ADDIN EN.CITE &lt;EndNote&gt;&lt;Cite&gt;&lt;Author&gt;Squires&lt;/Author&gt;&lt;Year&gt;2014&lt;/Year&gt;&lt;RecNum&gt;6&lt;/RecNum&gt;&lt;DisplayText&gt;[160]&lt;/DisplayText&gt;&lt;record&gt;&lt;rec-number&gt;6&lt;/rec-number&gt;&lt;foreign-keys&gt;&lt;key app="EN" db-id="tdtrdw9aepptzbefsat599syza29sxsd2wsp" timestamp="1596571778"&gt;6&lt;/key&gt;&lt;/foreign-keys&gt;&lt;ref-type name="Thesis"&gt;32&lt;/ref-type&gt;&lt;contributors&gt;&lt;authors&gt;&lt;author&gt;Squires, Hazel&lt;/author&gt;&lt;/authors&gt;&lt;/contributors&gt;&lt;titles&gt;&lt;title&gt;A methodological framework for developing the structure of Public Health economic models&lt;/title&gt;&lt;/titles&gt;&lt;dates&gt;&lt;year&gt;2014&lt;/year&gt;&lt;/dates&gt;&lt;publisher&gt;University of Sheffield&lt;/publisher&gt;&lt;urls&gt;&lt;/urls&gt;&lt;/record&gt;&lt;/Cite&gt;&lt;/EndNote&gt;</w:instrText>
      </w:r>
      <w:r w:rsidR="003C423A" w:rsidRPr="004C78D8">
        <w:fldChar w:fldCharType="separate"/>
      </w:r>
      <w:r w:rsidR="00513646" w:rsidRPr="004C78D8">
        <w:rPr>
          <w:noProof/>
        </w:rPr>
        <w:t>[160]</w:t>
      </w:r>
      <w:r w:rsidR="003C423A" w:rsidRPr="004C78D8">
        <w:fldChar w:fldCharType="end"/>
      </w:r>
      <w:r w:rsidR="003C423A" w:rsidRPr="004C78D8">
        <w:t>. A systematic and transparent process should be followed from decision problem formulation and conceptual model development to evaluation of the final implemented model</w:t>
      </w:r>
      <w:r w:rsidR="00596FE4" w:rsidRPr="004C78D8">
        <w:t xml:space="preserve"> </w:t>
      </w:r>
      <w:r w:rsidR="00596FE4" w:rsidRPr="004C78D8">
        <w:fldChar w:fldCharType="begin"/>
      </w:r>
      <w:r w:rsidR="00596FE4" w:rsidRPr="004C78D8">
        <w:instrText xml:space="preserve"> ADDIN EN.CITE &lt;EndNote&gt;&lt;Cite&gt;&lt;Author&gt;Squires&lt;/Author&gt;&lt;Year&gt;2016&lt;/Year&gt;&lt;RecNum&gt;158&lt;/RecNum&gt;&lt;DisplayText&gt;[1]&lt;/DisplayText&gt;&lt;record&gt;&lt;rec-number&gt;158&lt;/rec-number&gt;&lt;foreign-keys&gt;&lt;key app="EN" db-id="tdtrdw9aepptzbefsat599syza29sxsd2wsp" timestamp="1609254669"&gt;158&lt;/key&gt;&lt;/foreign-keys&gt;&lt;ref-type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framework for developing the structure of public health economic models&lt;/title&gt;&lt;secondary-title&gt;Value in Health&lt;/secondary-title&gt;&lt;/titles&gt;&lt;periodical&gt;&lt;full-title&gt;Value in Health&lt;/full-title&gt;&lt;/periodical&gt;&lt;pages&gt;588-601&lt;/pages&gt;&lt;volume&gt;19&lt;/volume&gt;&lt;number&gt;5&lt;/number&gt;&lt;dates&gt;&lt;year&gt;2016&lt;/year&gt;&lt;/dates&gt;&lt;isbn&gt;1098-3015&lt;/isbn&gt;&lt;urls&gt;&lt;/urls&gt;&lt;research-notes&gt;1&lt;/research-notes&gt;&lt;/record&gt;&lt;/Cite&gt;&lt;/EndNote&gt;</w:instrText>
      </w:r>
      <w:r w:rsidR="00596FE4" w:rsidRPr="004C78D8">
        <w:fldChar w:fldCharType="separate"/>
      </w:r>
      <w:r w:rsidR="00596FE4" w:rsidRPr="004C78D8">
        <w:rPr>
          <w:noProof/>
        </w:rPr>
        <w:t>[1]</w:t>
      </w:r>
      <w:r w:rsidR="00596FE4" w:rsidRPr="004C78D8">
        <w:fldChar w:fldCharType="end"/>
      </w:r>
      <w:r w:rsidR="00596FE4" w:rsidRPr="004C78D8">
        <w:t>. T</w:t>
      </w:r>
      <w:r w:rsidR="009326FE" w:rsidRPr="004C78D8">
        <w:t xml:space="preserve">he key methodological challenges to </w:t>
      </w:r>
      <w:r w:rsidR="00981B8D" w:rsidRPr="004C78D8">
        <w:t>public health</w:t>
      </w:r>
      <w:r w:rsidR="009326FE" w:rsidRPr="004C78D8">
        <w:t xml:space="preserve"> economic model</w:t>
      </w:r>
      <w:r w:rsidR="00F758ED" w:rsidRPr="004C78D8">
        <w:t>ling</w:t>
      </w:r>
      <w:r w:rsidR="009326FE" w:rsidRPr="004C78D8">
        <w:t xml:space="preserve"> should </w:t>
      </w:r>
      <w:r w:rsidR="00981B8D" w:rsidRPr="004C78D8">
        <w:t xml:space="preserve">also </w:t>
      </w:r>
      <w:r w:rsidR="009326FE" w:rsidRPr="004C78D8">
        <w:t xml:space="preserve">be considered throughout </w:t>
      </w:r>
      <w:r w:rsidR="00881327" w:rsidRPr="004C78D8">
        <w:fldChar w:fldCharType="begin"/>
      </w:r>
      <w:r w:rsidR="00720CEE">
        <w:instrText xml:space="preserve"> ADDIN EN.CITE &lt;EndNote&gt;&lt;Cite&gt;&lt;Author&gt;Squires&lt;/Author&gt;&lt;Year&gt;2016&lt;/Year&gt;&lt;RecNum&gt;308&lt;/RecNum&gt;&lt;DisplayText&gt;[18]&lt;/DisplayText&gt;&lt;record&gt;&lt;rec-number&gt;308&lt;/rec-number&gt;&lt;foreign-keys&gt;&lt;key app="EN" db-id="tdtrdw9aepptzbefsat599syza29sxsd2wsp" timestamp="1612015645"&gt;308&lt;/key&gt;&lt;/foreign-keys&gt;&lt;ref-type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systematic literature review of the key challenges for developing the structure of public health economic models&lt;/title&gt;&lt;secondary-title&gt;International journal of public health&lt;/secondary-title&gt;&lt;/titles&gt;&lt;periodical&gt;&lt;full-title&gt;International journal of public health&lt;/full-title&gt;&lt;/periodical&gt;&lt;pages&gt;289-298&lt;/pages&gt;&lt;volume&gt;61&lt;/volume&gt;&lt;number&gt;3&lt;/number&gt;&lt;dates&gt;&lt;year&gt;2016&lt;/year&gt;&lt;/dates&gt;&lt;isbn&gt;1661-8556&lt;/isbn&gt;&lt;urls&gt;&lt;/urls&gt;&lt;/record&gt;&lt;/Cite&gt;&lt;/EndNote&gt;</w:instrText>
      </w:r>
      <w:r w:rsidR="00881327" w:rsidRPr="004C78D8">
        <w:fldChar w:fldCharType="separate"/>
      </w:r>
      <w:r w:rsidR="00720CEE">
        <w:rPr>
          <w:noProof/>
        </w:rPr>
        <w:t>[18]</w:t>
      </w:r>
      <w:r w:rsidR="00881327" w:rsidRPr="004C78D8">
        <w:fldChar w:fldCharType="end"/>
      </w:r>
      <w:r w:rsidR="00881327" w:rsidRPr="004C78D8">
        <w:t>.</w:t>
      </w:r>
      <w:r w:rsidR="009326FE" w:rsidRPr="004C78D8">
        <w:t xml:space="preserve"> </w:t>
      </w:r>
    </w:p>
    <w:p w14:paraId="5CCDD6D0" w14:textId="4F8BFFEE" w:rsidR="004057CF" w:rsidRPr="004C78D8" w:rsidRDefault="005D2B5F" w:rsidP="00FB7C1F">
      <w:r w:rsidRPr="004C78D8">
        <w:t xml:space="preserve">Model evaluation should be </w:t>
      </w:r>
      <w:r w:rsidR="007326F1" w:rsidRPr="004C78D8">
        <w:t>equally comprehensive</w:t>
      </w:r>
      <w:r w:rsidRPr="004C78D8">
        <w:t xml:space="preserve">. </w:t>
      </w:r>
      <w:r w:rsidR="001960CB" w:rsidRPr="004C78D8">
        <w:t>Two further sources of uncertainty are parameter uncertainty</w:t>
      </w:r>
      <w:r w:rsidR="007326F1" w:rsidRPr="004C78D8">
        <w:t xml:space="preserve"> and heterogeneity</w:t>
      </w:r>
      <w:r w:rsidR="001960CB" w:rsidRPr="004C78D8">
        <w:t xml:space="preserve"> </w:t>
      </w:r>
      <w:r w:rsidR="001960CB" w:rsidRPr="004C78D8">
        <w:fldChar w:fldCharType="begin"/>
      </w:r>
      <w:r w:rsidR="00513646" w:rsidRPr="004C78D8">
        <w:instrText xml:space="preserve"> ADDIN EN.CITE &lt;EndNote&gt;&lt;Cite&gt;&lt;Author&gt;Drummond&lt;/Author&gt;&lt;Year&gt;2015&lt;/Year&gt;&lt;RecNum&gt;2&lt;/RecNum&gt;&lt;DisplayText&gt;[145]&lt;/DisplayText&gt;&lt;record&gt;&lt;rec-number&gt;2&lt;/rec-number&gt;&lt;foreign-keys&gt;&lt;key app="EN" db-id="tdtrdw9aepptzbefsat599syza29sxsd2wsp" timestamp="1596571149"&gt;2&lt;/key&gt;&lt;/foreign-keys&gt;&lt;ref-type name="Book"&gt;6&lt;/ref-type&gt;&lt;contributors&gt;&lt;authors&gt;&lt;author&gt;Drummond, Michael F&lt;/author&gt;&lt;author&gt;Sculpher, Mark J&lt;/author&gt;&lt;author&gt;Claxton, Karl&lt;/author&gt;&lt;author&gt;Stoddart, Greg L&lt;/author&gt;&lt;author&gt;Torrance, George W&lt;/author&gt;&lt;/authors&gt;&lt;/contributors&gt;&lt;titles&gt;&lt;title&gt;Methods for the economic evaluation of health care programmes&lt;/title&gt;&lt;/titles&gt;&lt;dates&gt;&lt;year&gt;2015&lt;/year&gt;&lt;/dates&gt;&lt;publisher&gt;Oxford university press&lt;/publisher&gt;&lt;isbn&gt;0191643580&lt;/isbn&gt;&lt;urls&gt;&lt;/urls&gt;&lt;/record&gt;&lt;/Cite&gt;&lt;/EndNote&gt;</w:instrText>
      </w:r>
      <w:r w:rsidR="001960CB" w:rsidRPr="004C78D8">
        <w:fldChar w:fldCharType="separate"/>
      </w:r>
      <w:r w:rsidR="00513646" w:rsidRPr="004C78D8">
        <w:rPr>
          <w:noProof/>
        </w:rPr>
        <w:t>[145]</w:t>
      </w:r>
      <w:r w:rsidR="001960CB" w:rsidRPr="004C78D8">
        <w:fldChar w:fldCharType="end"/>
      </w:r>
      <w:r w:rsidR="001960CB" w:rsidRPr="004C78D8">
        <w:t xml:space="preserve">. The </w:t>
      </w:r>
      <w:r w:rsidR="007326F1" w:rsidRPr="004C78D8">
        <w:t>former</w:t>
      </w:r>
      <w:r w:rsidR="001960CB" w:rsidRPr="004C78D8">
        <w:t xml:space="preserve"> concerns the uncertainty around the estimates of model input parameters due to sampling error </w:t>
      </w:r>
      <w:r w:rsidR="001960CB" w:rsidRPr="004C78D8">
        <w:fldChar w:fldCharType="begin"/>
      </w:r>
      <w:r w:rsidR="00D74AFD" w:rsidRPr="004C78D8">
        <w:instrText xml:space="preserve"> ADDIN EN.CITE &lt;EndNote&gt;&lt;Cite&gt;&lt;Author&gt;Claxton&lt;/Author&gt;&lt;Year&gt;2008&lt;/Year&gt;&lt;RecNum&gt;538&lt;/RecNum&gt;&lt;DisplayText&gt;[171]&lt;/DisplayText&gt;&lt;record&gt;&lt;rec-number&gt;538&lt;/rec-number&gt;&lt;foreign-keys&gt;&lt;key app="EN" db-id="tdtrdw9aepptzbefsat599syza29sxsd2wsp" timestamp="1618582748"&gt;538&lt;/key&gt;&lt;/foreign-keys&gt;&lt;ref-type name="Journal Article"&gt;17&lt;/ref-type&gt;&lt;contributors&gt;&lt;authors&gt;&lt;author&gt;Claxton, Karl&lt;/author&gt;&lt;/authors&gt;&lt;/contributors&gt;&lt;titles&gt;&lt;title&gt;Exploring uncertainty in cost-effectiveness analysis&lt;/title&gt;&lt;secondary-title&gt;Pharmacoeconomics&lt;/secondary-title&gt;&lt;/titles&gt;&lt;periodical&gt;&lt;full-title&gt;PharmacoEconomics&lt;/full-title&gt;&lt;/periodical&gt;&lt;pages&gt;781-798&lt;/pages&gt;&lt;volume&gt;26&lt;/volume&gt;&lt;number&gt;9&lt;/number&gt;&lt;dates&gt;&lt;year&gt;2008&lt;/year&gt;&lt;/dates&gt;&lt;isbn&gt;1170-7690&lt;/isbn&gt;&lt;urls&gt;&lt;/urls&gt;&lt;/record&gt;&lt;/Cite&gt;&lt;/EndNote&gt;</w:instrText>
      </w:r>
      <w:r w:rsidR="001960CB" w:rsidRPr="004C78D8">
        <w:fldChar w:fldCharType="separate"/>
      </w:r>
      <w:r w:rsidR="00D74AFD" w:rsidRPr="004C78D8">
        <w:rPr>
          <w:noProof/>
        </w:rPr>
        <w:t>[171]</w:t>
      </w:r>
      <w:r w:rsidR="001960CB" w:rsidRPr="004C78D8">
        <w:fldChar w:fldCharType="end"/>
      </w:r>
      <w:r w:rsidR="001960CB" w:rsidRPr="004C78D8">
        <w:t xml:space="preserve">. </w:t>
      </w:r>
      <w:r w:rsidR="007326F1" w:rsidRPr="004C78D8">
        <w:t xml:space="preserve">Heterogeneity </w:t>
      </w:r>
      <w:r w:rsidR="00596FE4" w:rsidRPr="004C78D8">
        <w:t>introduces</w:t>
      </w:r>
      <w:r w:rsidR="00B5300E" w:rsidRPr="004C78D8">
        <w:t xml:space="preserve"> </w:t>
      </w:r>
      <w:r w:rsidR="00F71178" w:rsidRPr="004C78D8">
        <w:t xml:space="preserve">potentially inequitable differences in </w:t>
      </w:r>
      <w:r w:rsidR="004D1947" w:rsidRPr="004C78D8">
        <w:t xml:space="preserve">subgroup </w:t>
      </w:r>
      <w:r w:rsidR="00F71178" w:rsidRPr="004C78D8">
        <w:t>outcomes</w:t>
      </w:r>
      <w:r w:rsidR="00596FE4" w:rsidRPr="004C78D8">
        <w:t>; intervention strategies</w:t>
      </w:r>
      <w:r w:rsidR="00F71178" w:rsidRPr="004C78D8">
        <w:t xml:space="preserve"> should </w:t>
      </w:r>
      <w:r w:rsidR="00596FE4" w:rsidRPr="004C78D8">
        <w:t xml:space="preserve">thus </w:t>
      </w:r>
      <w:r w:rsidR="00F71178" w:rsidRPr="004C78D8">
        <w:t xml:space="preserve">be </w:t>
      </w:r>
      <w:r w:rsidR="00B5300E" w:rsidRPr="004C78D8">
        <w:t>evaluated</w:t>
      </w:r>
      <w:r w:rsidR="00596FE4" w:rsidRPr="004C78D8">
        <w:t xml:space="preserve"> by their impacts on both efficiency and equity</w:t>
      </w:r>
      <w:r w:rsidR="00B5300E" w:rsidRPr="004C78D8">
        <w:t xml:space="preserve"> </w:t>
      </w:r>
      <w:r w:rsidR="004D1947" w:rsidRPr="004C78D8">
        <w:fldChar w:fldCharType="begin">
          <w:fldData xml:space="preserve">PEVuZE5vdGU+PENpdGU+PEF1dGhvcj5Bc2FyaWE8L0F1dGhvcj48WWVhcj4yMDE2PC9ZZWFyPjxS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</w:fldData>
        </w:fldChar>
      </w:r>
      <w:r w:rsidR="00513646" w:rsidRPr="004C78D8">
        <w:instrText xml:space="preserve"> ADDIN EN.CITE </w:instrText>
      </w:r>
      <w:r w:rsidR="00513646" w:rsidRPr="004C78D8">
        <w:fldChar w:fldCharType="begin">
          <w:fldData xml:space="preserve">PEVuZE5vdGU+PENpdGU+PEF1dGhvcj5Bc2FyaWE8L0F1dGhvcj48WWVhcj4yMDE2PC9ZZWFyPjxS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</w:fldData>
        </w:fldChar>
      </w:r>
      <w:r w:rsidR="00513646" w:rsidRPr="004C78D8">
        <w:instrText xml:space="preserve"> ADDIN EN.CITE.DATA </w:instrText>
      </w:r>
      <w:r w:rsidR="00513646" w:rsidRPr="004C78D8">
        <w:fldChar w:fldCharType="end"/>
      </w:r>
      <w:r w:rsidR="004D1947" w:rsidRPr="004C78D8">
        <w:fldChar w:fldCharType="separate"/>
      </w:r>
      <w:r w:rsidR="00513646" w:rsidRPr="004C78D8">
        <w:rPr>
          <w:noProof/>
        </w:rPr>
        <w:t>[109]</w:t>
      </w:r>
      <w:r w:rsidR="004D1947" w:rsidRPr="004C78D8">
        <w:fldChar w:fldCharType="end"/>
      </w:r>
      <w:r w:rsidR="00313677" w:rsidRPr="004C78D8">
        <w:t xml:space="preserve">. </w:t>
      </w:r>
      <w:r w:rsidR="00C073B8" w:rsidRPr="004C78D8">
        <w:t xml:space="preserve">The presence of heterogeneously sized subgroups with different intervention needs can also affect the ranking between interventions </w:t>
      </w:r>
      <w:r w:rsidR="00C073B8" w:rsidRPr="004C78D8">
        <w:fldChar w:fldCharType="begin"/>
      </w:r>
      <w:r w:rsidR="00513646" w:rsidRPr="004C78D8">
        <w:instrText xml:space="preserve"> ADDIN EN.CITE &lt;EndNote&gt;&lt;Cite&gt;&lt;Author&gt;National Institute for Health and Care Excellence&lt;/Author&gt;&lt;Year&gt;2011&lt;/Year&gt;&lt;RecNum&gt;363&lt;/RecNum&gt;&lt;DisplayText&gt;[144]&lt;/DisplayText&gt;&lt;record&gt;&lt;rec-number&gt;363&lt;/rec-number&gt;&lt;foreign-keys&gt;&lt;key app="EN" db-id="tdtrdw9aepptzbefsat599syza29sxsd2wsp" timestamp="1612267754"&gt;363&lt;/key&gt;&lt;/foreign-keys&gt;&lt;ref-type name="Journal Article"&gt;17&lt;/ref-type&gt;&lt;contributors&gt;&lt;authors&gt;&lt;author&gt;National Institute for Health and Care Excellence,&lt;/author&gt;&lt;/authors&gt;&lt;/contributors&gt;&lt;titles&gt;&lt;title&gt;Supporting investment in public health: Review of methods for assessing cost effectiveness, cost impact and return on investment&lt;/title&gt;&lt;secondary-title&gt;London: NICE&lt;/secondary-title&gt;&lt;/titles&gt;&lt;periodical&gt;&lt;full-title&gt;London: NICE&lt;/full-title&gt;&lt;/periodical&gt;&lt;dates&gt;&lt;year&gt;2011&lt;/year&gt;&lt;/dates&gt;&lt;urls&gt;&lt;/urls&gt;&lt;/record&gt;&lt;/Cite&gt;&lt;/EndNote&gt;</w:instrText>
      </w:r>
      <w:r w:rsidR="00C073B8" w:rsidRPr="004C78D8">
        <w:fldChar w:fldCharType="separate"/>
      </w:r>
      <w:r w:rsidR="00513646" w:rsidRPr="004C78D8">
        <w:rPr>
          <w:noProof/>
        </w:rPr>
        <w:t>[144]</w:t>
      </w:r>
      <w:r w:rsidR="00C073B8" w:rsidRPr="004C78D8">
        <w:fldChar w:fldCharType="end"/>
      </w:r>
      <w:r w:rsidR="00C073B8" w:rsidRPr="004C78D8">
        <w:t xml:space="preserve">. An intervention that targets a small subgroup (e.g., cardiac pacing for patients diagnosed with carotid sinus hypersensitivity) may generate a highly favourable incremental cost-per-unit ratio (e.g., ICER) but a smaller aggregate </w:t>
      </w:r>
      <w:r w:rsidR="004125BC" w:rsidRPr="004C78D8">
        <w:t>impact</w:t>
      </w:r>
      <w:r w:rsidR="00C073B8" w:rsidRPr="004C78D8">
        <w:t xml:space="preserve"> (e.g., total INMB) compared to a moderately cost-effective intervention with a much larger client base (e.g., exercise). </w:t>
      </w:r>
      <w:r w:rsidR="00BB47BA" w:rsidRPr="004C78D8">
        <w:t xml:space="preserve">Under a constrained budget, if </w:t>
      </w:r>
      <w:r w:rsidR="00C073B8" w:rsidRPr="004C78D8">
        <w:t xml:space="preserve">both interventions are within the budget individually but not together, the commissioner may </w:t>
      </w:r>
      <w:r w:rsidR="004125BC" w:rsidRPr="004C78D8">
        <w:t>choose</w:t>
      </w:r>
      <w:r w:rsidR="00C073B8" w:rsidRPr="004C78D8">
        <w:t xml:space="preserve"> the second o</w:t>
      </w:r>
      <w:r w:rsidR="004125BC" w:rsidRPr="004C78D8">
        <w:t>ption</w:t>
      </w:r>
      <w:r w:rsidR="00BB47BA" w:rsidRPr="004C78D8">
        <w:t xml:space="preserve"> (i.e., </w:t>
      </w:r>
      <w:r w:rsidR="00DB4A57" w:rsidRPr="004C78D8">
        <w:t>it would be the optimal solution under</w:t>
      </w:r>
      <w:r w:rsidR="00BB47BA" w:rsidRPr="004C78D8">
        <w:t xml:space="preserve"> constrained maximisation) </w:t>
      </w:r>
      <w:r w:rsidR="00BB47BA" w:rsidRPr="004C78D8">
        <w:fldChar w:fldCharType="begin"/>
      </w:r>
      <w:r w:rsidR="00BB47BA" w:rsidRPr="004C78D8">
        <w:instrText xml:space="preserve"> ADDIN EN.CITE &lt;EndNote&gt;&lt;Cite&gt;&lt;Author&gt;Crown&lt;/Author&gt;&lt;Year&gt;2017&lt;/Year&gt;&lt;RecNum&gt;487&lt;/RecNum&gt;&lt;DisplayText&gt;[172]&lt;/DisplayText&gt;&lt;record&gt;&lt;rec-number&gt;487&lt;/rec-number&gt;&lt;foreign-keys&gt;&lt;key app="EN" db-id="tdtrdw9aepptzbefsat599syza29sxsd2wsp" timestamp="1616693175"&gt;487&lt;/key&gt;&lt;/foreign-keys&gt;&lt;ref-type name="Journal Article"&gt;17&lt;/ref-type&gt;&lt;contributors&gt;&lt;authors&gt;&lt;author&gt;Crown, William&lt;/author&gt;&lt;author&gt;Buyukkaramikli, Nasuh&lt;/author&gt;&lt;author&gt;Thokala, Praveen&lt;/author&gt;&lt;author&gt;Morton, Alec&lt;/author&gt;&lt;author&gt;Sir, Mustafa Y&lt;/author&gt;&lt;author&gt;Marshall, Deborah A&lt;/author&gt;&lt;author&gt;Tosh, Jon&lt;/author&gt;&lt;author&gt;Padula, William V&lt;/author&gt;&lt;author&gt;Ijzerman, Maarten J&lt;/author&gt;&lt;author&gt;Wong, Peter K&lt;/author&gt;&lt;/authors&gt;&lt;/contributors&gt;&lt;titles&gt;&lt;title&gt;Constrained optimization methods in health services research—an introduction: report 1 of the ISPOR optimization methods emerging good practices task force&lt;/title&gt;&lt;secondary-title&gt;Value in health&lt;/secondary-title&gt;&lt;/titles&gt;&lt;periodical&gt;&lt;full-title&gt;Value in Health&lt;/full-title&gt;&lt;/periodical&gt;&lt;pages&gt;310-319&lt;/pages&gt;&lt;volume&gt;20&lt;/volume&gt;&lt;number&gt;3&lt;/number&gt;&lt;dates&gt;&lt;year&gt;2017&lt;/year&gt;&lt;/dates&gt;&lt;isbn&gt;1098-3015&lt;/isbn&gt;&lt;urls&gt;&lt;/urls&gt;&lt;/record&gt;&lt;/Cite&gt;&lt;/EndNote&gt;</w:instrText>
      </w:r>
      <w:r w:rsidR="00BB47BA" w:rsidRPr="004C78D8">
        <w:fldChar w:fldCharType="separate"/>
      </w:r>
      <w:r w:rsidR="00BB47BA" w:rsidRPr="004C78D8">
        <w:rPr>
          <w:noProof/>
        </w:rPr>
        <w:t>[172]</w:t>
      </w:r>
      <w:r w:rsidR="00BB47BA" w:rsidRPr="004C78D8">
        <w:fldChar w:fldCharType="end"/>
      </w:r>
      <w:r w:rsidR="00C073B8" w:rsidRPr="004C78D8">
        <w:t xml:space="preserve">. A similar consideration is warranted for targeting strategies that increase the cost-effectiveness but reduce the </w:t>
      </w:r>
      <w:r w:rsidR="00CD3AD9" w:rsidRPr="004C78D8">
        <w:t xml:space="preserve">total </w:t>
      </w:r>
      <w:r w:rsidR="00C073B8" w:rsidRPr="004C78D8">
        <w:t xml:space="preserve">impact. </w:t>
      </w:r>
      <w:r w:rsidR="0000329B">
        <w:t>Consideration of a w</w:t>
      </w:r>
      <w:r w:rsidR="0000329B" w:rsidRPr="004C78D8">
        <w:t xml:space="preserve">ider </w:t>
      </w:r>
      <w:r w:rsidR="004057CF" w:rsidRPr="004C78D8">
        <w:t>set of (individual-level) outcomes</w:t>
      </w:r>
      <w:r w:rsidR="00C073B8" w:rsidRPr="004C78D8">
        <w:t>,</w:t>
      </w:r>
      <w:r w:rsidR="004057CF" w:rsidRPr="004C78D8">
        <w:t xml:space="preserve"> presented alongside efficiency and equity </w:t>
      </w:r>
      <w:r w:rsidR="00C073B8" w:rsidRPr="004C78D8">
        <w:t>in</w:t>
      </w:r>
      <w:r w:rsidR="004057CF" w:rsidRPr="004C78D8">
        <w:t xml:space="preserve"> CCA</w:t>
      </w:r>
      <w:r w:rsidR="00C073B8" w:rsidRPr="004C78D8">
        <w:t>,</w:t>
      </w:r>
      <w:r w:rsidR="004057CF" w:rsidRPr="004C78D8">
        <w:t xml:space="preserve"> may also change the strategy ranking.</w:t>
      </w:r>
    </w:p>
    <w:p w14:paraId="2B4737B2" w14:textId="720F4E83" w:rsidR="004057CF" w:rsidRPr="004C78D8" w:rsidRDefault="00C073B8" w:rsidP="00FB7C1F">
      <w:r w:rsidRPr="004C78D8">
        <w:t>Another consideration is that</w:t>
      </w:r>
      <w:r w:rsidR="004057CF" w:rsidRPr="004C78D8">
        <w:t xml:space="preserve"> the model should </w:t>
      </w:r>
      <w:r w:rsidR="000E73A7" w:rsidRPr="004C78D8">
        <w:t xml:space="preserve">be sufficiently </w:t>
      </w:r>
      <w:r w:rsidR="004057CF" w:rsidRPr="004C78D8">
        <w:t>inform</w:t>
      </w:r>
      <w:r w:rsidR="000E73A7" w:rsidRPr="004C78D8">
        <w:t>ative for guiding</w:t>
      </w:r>
      <w:r w:rsidR="004057CF" w:rsidRPr="004C78D8">
        <w:t xml:space="preserve"> commissioning at the </w:t>
      </w:r>
      <w:r w:rsidR="004057CF" w:rsidRPr="004C78D8">
        <w:rPr>
          <w:i/>
          <w:iCs/>
        </w:rPr>
        <w:t>local</w:t>
      </w:r>
      <w:r w:rsidR="004057CF" w:rsidRPr="004C78D8">
        <w:t xml:space="preserve"> health economy level.</w:t>
      </w:r>
      <w:r w:rsidR="000E73A7" w:rsidRPr="004C78D8">
        <w:t xml:space="preserve"> </w:t>
      </w:r>
      <w:r w:rsidR="00196A95" w:rsidRPr="004C78D8">
        <w:t xml:space="preserve">The current NICE health technology assessment (HTA) guideline </w:t>
      </w:r>
      <w:r w:rsidR="001D58BB" w:rsidRPr="004C78D8">
        <w:t xml:space="preserve">for England and Wales </w:t>
      </w:r>
      <w:r w:rsidR="00196A95" w:rsidRPr="004C78D8">
        <w:t>(process and methods guideline 9; PMG9)</w:t>
      </w:r>
      <w:r w:rsidR="00D852FD" w:rsidRPr="004C78D8">
        <w:t xml:space="preserve"> recommends that local CCGs and public health authorities identify </w:t>
      </w:r>
      <w:r w:rsidR="00356ECC" w:rsidRPr="004C78D8">
        <w:t xml:space="preserve">implementation </w:t>
      </w:r>
      <w:r w:rsidR="00D852FD" w:rsidRPr="004C78D8">
        <w:t xml:space="preserve">barriers </w:t>
      </w:r>
      <w:r w:rsidR="00356ECC" w:rsidRPr="004C78D8">
        <w:t>preventing the commissioning</w:t>
      </w:r>
      <w:r w:rsidR="00D852FD" w:rsidRPr="004C78D8">
        <w:t xml:space="preserve"> of an intervention within three months of </w:t>
      </w:r>
      <w:r w:rsidR="009D7C03" w:rsidRPr="004C78D8">
        <w:t>its</w:t>
      </w:r>
      <w:r w:rsidR="00D852FD" w:rsidRPr="004C78D8">
        <w:t xml:space="preserve"> NICE HTA approval </w:t>
      </w:r>
      <w:r w:rsidR="009D7C03" w:rsidRPr="004C78D8">
        <w:t xml:space="preserve">(recommendation 1.5.1) </w:t>
      </w:r>
      <w:r w:rsidR="009D7C03" w:rsidRPr="004C78D8">
        <w:fldChar w:fldCharType="begin"/>
      </w:r>
      <w:r w:rsidR="00513646" w:rsidRPr="004C78D8">
        <w:instrText xml:space="preserve"> ADDIN EN.CITE &lt;EndNote&gt;&lt;Cite&gt;&lt;Author&gt;National Institute for Health and Care Excellence&lt;/Author&gt;&lt;Year&gt;2013&lt;/Year&gt;&lt;RecNum&gt;411&lt;/RecNum&gt;&lt;DisplayText&gt;[154]&lt;/DisplayText&gt;&lt;record&gt;&lt;rec-number&gt;411&lt;/rec-number&gt;&lt;foreign-keys&gt;&lt;key app="EN" db-id="tdtrdw9aepptzbefsat599syza29sxsd2wsp" timestamp="1615809068"&gt;411&lt;/key&gt;&lt;/foreign-keys&gt;&lt;ref-type name="Journal Article"&gt;17&lt;/ref-type&gt;&lt;contributors&gt;&lt;authors&gt;&lt;author&gt;National Institute for Health and Care Excellence,&lt;/author&gt;&lt;/authors&gt;&lt;/contributors&gt;&lt;titles&gt;&lt;title&gt;Guide to the methods of technology appraisal 2013&lt;/title&gt;&lt;/titles&gt;&lt;dates&gt;&lt;year&gt;2013&lt;/year&gt;&lt;/dates&gt;&lt;urls&gt;&lt;related-urls&gt;&lt;url&gt;nice.org.uk/process/pmg9&lt;/url&gt;&lt;/related-urls&gt;&lt;/urls&gt;&lt;/record&gt;&lt;/Cite&gt;&lt;/EndNote&gt;</w:instrText>
      </w:r>
      <w:r w:rsidR="009D7C03" w:rsidRPr="004C78D8">
        <w:fldChar w:fldCharType="separate"/>
      </w:r>
      <w:r w:rsidR="00513646" w:rsidRPr="004C78D8">
        <w:rPr>
          <w:noProof/>
        </w:rPr>
        <w:t>[154]</w:t>
      </w:r>
      <w:r w:rsidR="009D7C03" w:rsidRPr="004C78D8">
        <w:fldChar w:fldCharType="end"/>
      </w:r>
      <w:r w:rsidR="00D852FD" w:rsidRPr="004C78D8">
        <w:t>.</w:t>
      </w:r>
      <w:r w:rsidR="009D7C03" w:rsidRPr="004C78D8">
        <w:t xml:space="preserve"> Hence, the guideline presumes that the </w:t>
      </w:r>
      <w:r w:rsidR="001D58BB" w:rsidRPr="004C78D8">
        <w:t xml:space="preserve">national-level </w:t>
      </w:r>
      <w:r w:rsidR="00356ECC" w:rsidRPr="004C78D8">
        <w:t>HTA</w:t>
      </w:r>
      <w:r w:rsidR="009D7C03" w:rsidRPr="004C78D8">
        <w:t xml:space="preserve"> </w:t>
      </w:r>
      <w:r w:rsidR="009D7C03" w:rsidRPr="004C78D8">
        <w:rPr>
          <w:i/>
          <w:iCs/>
        </w:rPr>
        <w:t>precedes</w:t>
      </w:r>
      <w:r w:rsidR="009D7C03" w:rsidRPr="004C78D8">
        <w:t xml:space="preserve"> the confirmation of local relevance. Yet, ideally, the </w:t>
      </w:r>
      <w:r w:rsidR="00356ECC" w:rsidRPr="004C78D8">
        <w:t>HTA</w:t>
      </w:r>
      <w:r w:rsidR="009D7C03" w:rsidRPr="004C78D8">
        <w:t xml:space="preserve"> and the local confirmation should </w:t>
      </w:r>
      <w:r w:rsidR="00114C31" w:rsidRPr="004C78D8">
        <w:t>be conducted</w:t>
      </w:r>
      <w:r w:rsidR="009D7C03" w:rsidRPr="004C78D8">
        <w:t xml:space="preserve"> together since local features </w:t>
      </w:r>
      <w:r w:rsidR="001D58BB" w:rsidRPr="004C78D8">
        <w:t xml:space="preserve">(e.g., availability of relevant professionals) </w:t>
      </w:r>
      <w:r w:rsidR="009D7C03" w:rsidRPr="004C78D8">
        <w:t>may change the economic outcomes.</w:t>
      </w:r>
      <w:r w:rsidR="00356ECC" w:rsidRPr="004C78D8">
        <w:t xml:space="preserve"> At the least, the national</w:t>
      </w:r>
      <w:r w:rsidR="009D7C03" w:rsidRPr="004C78D8">
        <w:t xml:space="preserve"> </w:t>
      </w:r>
      <w:r w:rsidR="00356ECC" w:rsidRPr="004C78D8">
        <w:t xml:space="preserve">HTA evidence </w:t>
      </w:r>
      <w:r w:rsidR="00356ECC" w:rsidRPr="004C78D8">
        <w:lastRenderedPageBreak/>
        <w:t>should be supplemented by results of a locally relevant model.</w:t>
      </w:r>
      <w:r w:rsidR="001D58BB" w:rsidRPr="004C78D8">
        <w:t xml:space="preserve"> The latter</w:t>
      </w:r>
      <w:r w:rsidR="00330231" w:rsidRPr="004C78D8">
        <w:t xml:space="preserve"> </w:t>
      </w:r>
      <w:r w:rsidR="001D58BB" w:rsidRPr="004C78D8">
        <w:t>should incorporate information on the local population (size, demographics, epidemiology, etc.)</w:t>
      </w:r>
      <w:r w:rsidR="00330231" w:rsidRPr="004C78D8">
        <w:t xml:space="preserve"> and</w:t>
      </w:r>
      <w:r w:rsidR="001D58BB" w:rsidRPr="004C78D8">
        <w:t xml:space="preserve"> </w:t>
      </w:r>
      <w:r w:rsidR="00330231" w:rsidRPr="004C78D8">
        <w:t xml:space="preserve">local capacity constraints and other implementation issues (recommendations 4.5.3 and 6.1.6); </w:t>
      </w:r>
      <w:r w:rsidR="00831F8C" w:rsidRPr="004C78D8">
        <w:t xml:space="preserve">the aggregate impact of the intervention on </w:t>
      </w:r>
      <w:r w:rsidR="00330231" w:rsidRPr="004C78D8">
        <w:t>the local</w:t>
      </w:r>
      <w:r w:rsidR="00831F8C" w:rsidRPr="004C78D8">
        <w:t xml:space="preserve"> population </w:t>
      </w:r>
      <w:r w:rsidR="00975D3B" w:rsidRPr="004C78D8">
        <w:t>(</w:t>
      </w:r>
      <w:r w:rsidR="00330231" w:rsidRPr="004C78D8">
        <w:t xml:space="preserve">and </w:t>
      </w:r>
      <w:r w:rsidR="00FC66FF" w:rsidRPr="004C78D8">
        <w:t xml:space="preserve">its </w:t>
      </w:r>
      <w:r w:rsidR="00330231" w:rsidRPr="004C78D8">
        <w:t>healthcare budget</w:t>
      </w:r>
      <w:r w:rsidR="00975D3B" w:rsidRPr="004C78D8">
        <w:t>)</w:t>
      </w:r>
      <w:r w:rsidR="00330231" w:rsidRPr="004C78D8">
        <w:t xml:space="preserve"> should also be evaluated </w:t>
      </w:r>
      <w:r w:rsidR="00831F8C" w:rsidRPr="004C78D8">
        <w:t xml:space="preserve">(recommendation 5.12.3) </w:t>
      </w:r>
      <w:r w:rsidR="00831F8C" w:rsidRPr="004C78D8">
        <w:fldChar w:fldCharType="begin"/>
      </w:r>
      <w:r w:rsidR="00513646" w:rsidRPr="004C78D8">
        <w:instrText xml:space="preserve"> ADDIN EN.CITE &lt;EndNote&gt;&lt;Cite&gt;&lt;Author&gt;National Institute for Health and Care Excellence&lt;/Author&gt;&lt;Year&gt;2013&lt;/Year&gt;&lt;RecNum&gt;411&lt;/RecNum&gt;&lt;DisplayText&gt;[154]&lt;/DisplayText&gt;&lt;record&gt;&lt;rec-number&gt;411&lt;/rec-number&gt;&lt;foreign-keys&gt;&lt;key app="EN" db-id="tdtrdw9aepptzbefsat599syza29sxsd2wsp" timestamp="1615809068"&gt;411&lt;/key&gt;&lt;/foreign-keys&gt;&lt;ref-type name="Journal Article"&gt;17&lt;/ref-type&gt;&lt;contributors&gt;&lt;authors&gt;&lt;author&gt;National Institute for Health and Care Excellence,&lt;/author&gt;&lt;/authors&gt;&lt;/contributors&gt;&lt;titles&gt;&lt;title&gt;Guide to the methods of technology appraisal 2013&lt;/title&gt;&lt;/titles&gt;&lt;dates&gt;&lt;year&gt;2013&lt;/year&gt;&lt;/dates&gt;&lt;urls&gt;&lt;related-urls&gt;&lt;url&gt;nice.org.uk/process/pmg9&lt;/url&gt;&lt;/related-urls&gt;&lt;/urls&gt;&lt;/record&gt;&lt;/Cite&gt;&lt;/EndNote&gt;</w:instrText>
      </w:r>
      <w:r w:rsidR="00831F8C" w:rsidRPr="004C78D8">
        <w:fldChar w:fldCharType="separate"/>
      </w:r>
      <w:r w:rsidR="00513646" w:rsidRPr="004C78D8">
        <w:rPr>
          <w:noProof/>
        </w:rPr>
        <w:t>[154]</w:t>
      </w:r>
      <w:r w:rsidR="00831F8C" w:rsidRPr="004C78D8">
        <w:fldChar w:fldCharType="end"/>
      </w:r>
      <w:r w:rsidR="00831F8C" w:rsidRPr="004C78D8">
        <w:t xml:space="preserve">. </w:t>
      </w:r>
    </w:p>
    <w:p w14:paraId="477297E6" w14:textId="42B60496" w:rsidR="00BF30F7" w:rsidRPr="004C78D8" w:rsidRDefault="00C96777" w:rsidP="00FB7C1F">
      <w:pPr>
        <w:pStyle w:val="Heading4"/>
      </w:pPr>
      <w:r w:rsidRPr="004C78D8">
        <w:t xml:space="preserve">1.3.5.3 </w:t>
      </w:r>
      <w:r w:rsidR="006A5BFE" w:rsidRPr="004C78D8">
        <w:t>R</w:t>
      </w:r>
      <w:r w:rsidRPr="004C78D8">
        <w:t>eviewing previous falls prevention economic models</w:t>
      </w:r>
    </w:p>
    <w:p w14:paraId="6F7CDC64" w14:textId="582EF383" w:rsidR="00207909" w:rsidRPr="004C78D8" w:rsidRDefault="00D62B7D" w:rsidP="00FB7C1F">
      <w:r w:rsidRPr="004C78D8">
        <w:t xml:space="preserve">A systematic review of </w:t>
      </w:r>
      <w:r w:rsidR="00267DE8" w:rsidRPr="004C78D8">
        <w:t>existing</w:t>
      </w:r>
      <w:r w:rsidRPr="004C78D8">
        <w:t xml:space="preserve"> economic models in the field is an important stage within the model development process</w:t>
      </w:r>
      <w:r w:rsidR="00AD412C" w:rsidRPr="004C78D8">
        <w:t xml:space="preserve"> </w:t>
      </w:r>
      <w:r w:rsidR="00AD412C" w:rsidRPr="004C78D8">
        <w:fldChar w:fldCharType="begin"/>
      </w:r>
      <w:r w:rsidR="00AD412C" w:rsidRPr="004C78D8">
        <w:instrText xml:space="preserve"> ADDIN EN.CITE &lt;EndNote&gt;&lt;Cite&gt;&lt;Author&gt;Squires&lt;/Author&gt;&lt;Year&gt;2016&lt;/Year&gt;&lt;RecNum&gt;158&lt;/RecNum&gt;&lt;DisplayText&gt;[1]&lt;/DisplayText&gt;&lt;record&gt;&lt;rec-number&gt;158&lt;/rec-number&gt;&lt;foreign-keys&gt;&lt;key app="EN" db-id="tdtrdw9aepptzbefsat599syza29sxsd2wsp" timestamp="1609254669"&gt;158&lt;/key&gt;&lt;/foreign-keys&gt;&lt;ref-type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framework for developing the structure of public health economic models&lt;/title&gt;&lt;secondary-title&gt;Value in Health&lt;/secondary-title&gt;&lt;/titles&gt;&lt;periodical&gt;&lt;full-title&gt;Value in Health&lt;/full-title&gt;&lt;/periodical&gt;&lt;pages&gt;588-601&lt;/pages&gt;&lt;volume&gt;19&lt;/volume&gt;&lt;number&gt;5&lt;/number&gt;&lt;dates&gt;&lt;year&gt;2016&lt;/year&gt;&lt;/dates&gt;&lt;isbn&gt;1098-3015&lt;/isbn&gt;&lt;urls&gt;&lt;/urls&gt;&lt;research-notes&gt;1&lt;/research-notes&gt;&lt;/record&gt;&lt;/Cite&gt;&lt;/EndNote&gt;</w:instrText>
      </w:r>
      <w:r w:rsidR="00AD412C" w:rsidRPr="004C78D8">
        <w:fldChar w:fldCharType="separate"/>
      </w:r>
      <w:r w:rsidR="00AD412C" w:rsidRPr="004C78D8">
        <w:rPr>
          <w:noProof/>
        </w:rPr>
        <w:t>[1]</w:t>
      </w:r>
      <w:r w:rsidR="00AD412C" w:rsidRPr="004C78D8">
        <w:fldChar w:fldCharType="end"/>
      </w:r>
      <w:r w:rsidR="00AD412C" w:rsidRPr="004C78D8">
        <w:t xml:space="preserve">. Specifically, the review can: (1) assess previous model structures; (2) identify variables that have important impacts on outcomes; (3) inform the types of data available; (4) consider </w:t>
      </w:r>
      <w:r w:rsidR="00A55A2E" w:rsidRPr="004C78D8">
        <w:t xml:space="preserve">methodological </w:t>
      </w:r>
      <w:r w:rsidR="00AD412C" w:rsidRPr="004C78D8">
        <w:t xml:space="preserve">strengths and limitations of previous models; and (5) verify whether there is an existing model that can be adapted and used </w:t>
      </w:r>
      <w:r w:rsidR="00AD412C" w:rsidRPr="004C78D8">
        <w:fldChar w:fldCharType="begin"/>
      </w:r>
      <w:r w:rsidR="00AD412C" w:rsidRPr="004C78D8">
        <w:instrText xml:space="preserve"> ADDIN EN.CITE &lt;EndNote&gt;&lt;Cite&gt;&lt;Author&gt;Squires&lt;/Author&gt;&lt;Year&gt;2016&lt;/Year&gt;&lt;RecNum&gt;158&lt;/RecNum&gt;&lt;DisplayText&gt;[1]&lt;/DisplayText&gt;&lt;record&gt;&lt;rec-number&gt;158&lt;/rec-number&gt;&lt;foreign-keys&gt;&lt;key app="EN" db-id="tdtrdw9aepptzbefsat599syza29sxsd2wsp" timestamp="1609254669"&gt;158&lt;/key&gt;&lt;/foreign-keys&gt;&lt;ref-type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framework for developing the structure of public health economic models&lt;/title&gt;&lt;secondary-title&gt;Value in Health&lt;/secondary-title&gt;&lt;/titles&gt;&lt;periodical&gt;&lt;full-title&gt;Value in Health&lt;/full-title&gt;&lt;/periodical&gt;&lt;pages&gt;588-601&lt;/pages&gt;&lt;volume&gt;19&lt;/volume&gt;&lt;number&gt;5&lt;/number&gt;&lt;dates&gt;&lt;year&gt;2016&lt;/year&gt;&lt;/dates&gt;&lt;isbn&gt;1098-3015&lt;/isbn&gt;&lt;urls&gt;&lt;/urls&gt;&lt;research-notes&gt;1&lt;/research-notes&gt;&lt;/record&gt;&lt;/Cite&gt;&lt;/EndNote&gt;</w:instrText>
      </w:r>
      <w:r w:rsidR="00AD412C" w:rsidRPr="004C78D8">
        <w:fldChar w:fldCharType="separate"/>
      </w:r>
      <w:r w:rsidR="00AD412C" w:rsidRPr="004C78D8">
        <w:rPr>
          <w:noProof/>
        </w:rPr>
        <w:t>[1]</w:t>
      </w:r>
      <w:r w:rsidR="00AD412C" w:rsidRPr="004C78D8">
        <w:fldChar w:fldCharType="end"/>
      </w:r>
      <w:r w:rsidR="00AD412C" w:rsidRPr="004C78D8">
        <w:t xml:space="preserve">. A systematic review can </w:t>
      </w:r>
      <w:r w:rsidR="005F15BF" w:rsidRPr="004C78D8">
        <w:t>also inform</w:t>
      </w:r>
      <w:r w:rsidR="00AD412C" w:rsidRPr="004C78D8">
        <w:t xml:space="preserve"> commissioning decisions by providing a comprehensive and up-to-date pool of economic evaluation results</w:t>
      </w:r>
      <w:r w:rsidR="00555091" w:rsidRPr="004C78D8">
        <w:t>; b</w:t>
      </w:r>
      <w:r w:rsidR="00207909" w:rsidRPr="004C78D8">
        <w:t xml:space="preserve">ut such </w:t>
      </w:r>
      <w:r w:rsidR="006A5BFE" w:rsidRPr="004C78D8">
        <w:t xml:space="preserve">a </w:t>
      </w:r>
      <w:r w:rsidR="00207909" w:rsidRPr="004C78D8">
        <w:t xml:space="preserve">review would still need to </w:t>
      </w:r>
      <w:r w:rsidR="00555091" w:rsidRPr="004C78D8">
        <w:t>appraise</w:t>
      </w:r>
      <w:r w:rsidR="00207909" w:rsidRPr="004C78D8">
        <w:t xml:space="preserve"> the methodological </w:t>
      </w:r>
      <w:r w:rsidR="00555091" w:rsidRPr="004C78D8">
        <w:t>quality</w:t>
      </w:r>
      <w:r w:rsidR="00207909" w:rsidRPr="004C78D8">
        <w:t xml:space="preserve"> of identified models to </w:t>
      </w:r>
      <w:r w:rsidR="00555091" w:rsidRPr="004C78D8">
        <w:t>identify credible evaluation results</w:t>
      </w:r>
      <w:r w:rsidR="00207909" w:rsidRPr="004C78D8">
        <w:t xml:space="preserve">. Therefore, a methodologically rigorous systematic review </w:t>
      </w:r>
      <w:r w:rsidR="0038178D" w:rsidRPr="004C78D8">
        <w:t xml:space="preserve">would aim to comprehensively assess how the previous models have handled the </w:t>
      </w:r>
      <w:r w:rsidR="008F20EB" w:rsidRPr="004C78D8">
        <w:t>methodological</w:t>
      </w:r>
      <w:r w:rsidR="0038178D" w:rsidRPr="004C78D8">
        <w:t xml:space="preserve"> challenges in model development and evaluation and formulate </w:t>
      </w:r>
      <w:r w:rsidR="00FE0E63" w:rsidRPr="004C78D8">
        <w:t xml:space="preserve">methodological and </w:t>
      </w:r>
      <w:r w:rsidR="0038178D" w:rsidRPr="004C78D8">
        <w:t>commissioning recommendation</w:t>
      </w:r>
      <w:r w:rsidR="008F20EB" w:rsidRPr="004C78D8">
        <w:t>s</w:t>
      </w:r>
      <w:r w:rsidR="0038178D" w:rsidRPr="004C78D8">
        <w:t xml:space="preserve">. </w:t>
      </w:r>
      <w:r w:rsidR="00FE0E63" w:rsidRPr="004C78D8">
        <w:t>The methodological recommendations can appraise the strengths and limitations of any newly developed model and identify points of methodological advance. T</w:t>
      </w:r>
      <w:r w:rsidR="003209FA" w:rsidRPr="004C78D8">
        <w:t xml:space="preserve">he </w:t>
      </w:r>
      <w:r w:rsidR="00FE0E63" w:rsidRPr="004C78D8">
        <w:t>commissioning recommendations</w:t>
      </w:r>
      <w:r w:rsidR="003209FA" w:rsidRPr="004C78D8">
        <w:t xml:space="preserve"> can </w:t>
      </w:r>
      <w:r w:rsidR="00FE0E63" w:rsidRPr="004C78D8">
        <w:t xml:space="preserve">cross-validate </w:t>
      </w:r>
      <w:r w:rsidR="003209FA" w:rsidRPr="004C78D8">
        <w:t xml:space="preserve">the </w:t>
      </w:r>
      <w:r w:rsidR="00FE0E63" w:rsidRPr="004C78D8">
        <w:t>new</w:t>
      </w:r>
      <w:r w:rsidR="003209FA" w:rsidRPr="004C78D8">
        <w:t xml:space="preserve"> model</w:t>
      </w:r>
      <w:r w:rsidR="00FE0E63" w:rsidRPr="004C78D8">
        <w:t>:</w:t>
      </w:r>
      <w:r w:rsidR="003209FA" w:rsidRPr="004C78D8">
        <w:t xml:space="preserve"> i.e., compar</w:t>
      </w:r>
      <w:r w:rsidR="00FE0E63" w:rsidRPr="004C78D8">
        <w:t>e</w:t>
      </w:r>
      <w:r w:rsidR="003209FA" w:rsidRPr="004C78D8">
        <w:t xml:space="preserve"> the model’s results against those of previous models</w:t>
      </w:r>
      <w:r w:rsidR="00FE0E63" w:rsidRPr="004C78D8">
        <w:t>,</w:t>
      </w:r>
      <w:r w:rsidR="003209FA" w:rsidRPr="004C78D8">
        <w:t xml:space="preserve"> and in case of significant divergence, explor</w:t>
      </w:r>
      <w:r w:rsidR="00FE0E63" w:rsidRPr="004C78D8">
        <w:t>e</w:t>
      </w:r>
      <w:r w:rsidR="003209FA" w:rsidRPr="004C78D8">
        <w:t xml:space="preserve"> the possible cause</w:t>
      </w:r>
      <w:r w:rsidR="00FE0E63" w:rsidRPr="004C78D8">
        <w:t>s</w:t>
      </w:r>
      <w:r w:rsidR="003209FA" w:rsidRPr="004C78D8">
        <w:t xml:space="preserve"> </w:t>
      </w:r>
      <w:r w:rsidR="003209FA" w:rsidRPr="004C78D8">
        <w:fldChar w:fldCharType="begin"/>
      </w:r>
      <w:r w:rsidR="00BB47BA" w:rsidRPr="004C78D8">
        <w:instrText xml:space="preserve"> ADDIN EN.CITE &lt;EndNote&gt;&lt;Cite&gt;&lt;Author&gt;Eddy&lt;/Author&gt;&lt;Year&gt;2012&lt;/Year&gt;&lt;RecNum&gt;360&lt;/RecNum&gt;&lt;DisplayText&gt;[173]&lt;/DisplayText&gt;&lt;record&gt;&lt;rec-number&gt;360&lt;/rec-number&gt;&lt;foreign-keys&gt;&lt;key app="EN" db-id="tdtrdw9aepptzbefsat599syza29sxsd2wsp" timestamp="1612218136"&gt;360&lt;/key&gt;&lt;/foreign-keys&gt;&lt;ref-type name="Journal Article"&gt;17&lt;/ref-type&gt;&lt;contributors&gt;&lt;authors&gt;&lt;author&gt;Eddy, David M&lt;/author&gt;&lt;author&gt;Hollingworth, William&lt;/author&gt;&lt;author&gt;Caro, J Jaime&lt;/author&gt;&lt;author&gt;Tsevat, Joel&lt;/author&gt;&lt;author&gt;McDonald, Kathryn M&lt;/author&gt;&lt;author&gt;Wong, John B&lt;/author&gt;&lt;/authors&gt;&lt;/contributors&gt;&lt;titles&gt;&lt;title&gt;Model transparency and validation: a report of the ISPOR-SMDM Modeling Good Research Practices Task Force–7&lt;/title&gt;&lt;secondary-title&gt;Medical Decision Making&lt;/secondary-title&gt;&lt;/titles&gt;&lt;periodical&gt;&lt;full-title&gt;Medical Decision Making&lt;/full-title&gt;&lt;/periodical&gt;&lt;pages&gt;733-743&lt;/pages&gt;&lt;volume&gt;32&lt;/volume&gt;&lt;number&gt;5&lt;/number&gt;&lt;dates&gt;&lt;year&gt;2012&lt;/year&gt;&lt;/dates&gt;&lt;isbn&gt;0272-989X&lt;/isbn&gt;&lt;urls&gt;&lt;/urls&gt;&lt;/record&gt;&lt;/Cite&gt;&lt;/EndNote&gt;</w:instrText>
      </w:r>
      <w:r w:rsidR="003209FA" w:rsidRPr="004C78D8">
        <w:fldChar w:fldCharType="separate"/>
      </w:r>
      <w:r w:rsidR="00BB47BA" w:rsidRPr="004C78D8">
        <w:rPr>
          <w:noProof/>
        </w:rPr>
        <w:t>[173]</w:t>
      </w:r>
      <w:r w:rsidR="003209FA" w:rsidRPr="004C78D8">
        <w:fldChar w:fldCharType="end"/>
      </w:r>
      <w:r w:rsidR="003209FA" w:rsidRPr="004C78D8">
        <w:t xml:space="preserve">. </w:t>
      </w:r>
      <w:r w:rsidR="0038178D" w:rsidRPr="004C78D8">
        <w:t xml:space="preserve">In Chapter 4, this </w:t>
      </w:r>
      <w:r w:rsidR="008F20EB" w:rsidRPr="004C78D8">
        <w:t>study</w:t>
      </w:r>
      <w:r w:rsidR="0038178D" w:rsidRPr="004C78D8">
        <w:t xml:space="preserve"> implements </w:t>
      </w:r>
      <w:r w:rsidR="008F20EB" w:rsidRPr="004C78D8">
        <w:t xml:space="preserve">a </w:t>
      </w:r>
      <w:r w:rsidR="008F20EB" w:rsidRPr="004C78D8">
        <w:rPr>
          <w:i/>
          <w:iCs/>
        </w:rPr>
        <w:t>de novo</w:t>
      </w:r>
      <w:r w:rsidR="0038178D" w:rsidRPr="004C78D8">
        <w:t xml:space="preserve"> systematic review to inform </w:t>
      </w:r>
      <w:r w:rsidR="007E6C84" w:rsidRPr="004C78D8">
        <w:t xml:space="preserve">the </w:t>
      </w:r>
      <w:r w:rsidR="0038178D" w:rsidRPr="004C78D8">
        <w:t xml:space="preserve">model development and commissioning. </w:t>
      </w:r>
    </w:p>
    <w:p w14:paraId="1D1C7B8F" w14:textId="77777777" w:rsidR="004B71B2" w:rsidRPr="004C78D8" w:rsidRDefault="004B71B2" w:rsidP="00FB7C1F"/>
    <w:p w14:paraId="7F5FFD8D" w14:textId="371EC1FA" w:rsidR="005A71EA" w:rsidRPr="004C78D8" w:rsidRDefault="005A71EA" w:rsidP="00FB7C1F">
      <w:pPr>
        <w:pStyle w:val="Heading3"/>
      </w:pPr>
      <w:bookmarkStart w:id="32" w:name="_Toc111630697"/>
      <w:r w:rsidRPr="004C78D8">
        <w:t>1.3.</w:t>
      </w:r>
      <w:r w:rsidR="00396E49" w:rsidRPr="004C78D8">
        <w:t>6</w:t>
      </w:r>
      <w:r w:rsidRPr="004C78D8">
        <w:t xml:space="preserve"> Summary of research rationale</w:t>
      </w:r>
      <w:bookmarkEnd w:id="32"/>
    </w:p>
    <w:p w14:paraId="060E9DC2" w14:textId="6FFC5C05" w:rsidR="002C47F7" w:rsidRPr="004C78D8" w:rsidRDefault="004B642C" w:rsidP="00FB7C1F">
      <w:r w:rsidRPr="004C78D8">
        <w:t xml:space="preserve">To recap, the aim of the </w:t>
      </w:r>
      <w:r w:rsidR="009535A9" w:rsidRPr="004C78D8">
        <w:t>study</w:t>
      </w:r>
      <w:r w:rsidRPr="004C78D8">
        <w:t xml:space="preserve"> is to </w:t>
      </w:r>
      <w:r w:rsidR="00E869EF" w:rsidRPr="004C78D8">
        <w:t xml:space="preserve">seek methodological developments in the economic modelling of community-based falls prevention interventions for older persons which would </w:t>
      </w:r>
      <w:r w:rsidR="00016541">
        <w:t xml:space="preserve">credibly </w:t>
      </w:r>
      <w:r w:rsidR="00E869EF" w:rsidRPr="004C78D8">
        <w:t>inform commissioning at the local health economy level</w:t>
      </w:r>
      <w:r w:rsidRPr="004C78D8">
        <w:t xml:space="preserve">. This is motivated by the need for geriatric health promotion in response to the foreseeable </w:t>
      </w:r>
      <w:r w:rsidR="00900F75" w:rsidRPr="004C78D8">
        <w:t>demographic trend of population ageing</w:t>
      </w:r>
      <w:r w:rsidRPr="004C78D8">
        <w:t>.</w:t>
      </w:r>
      <w:r w:rsidR="00900F75" w:rsidRPr="004C78D8">
        <w:t xml:space="preserve"> </w:t>
      </w:r>
      <w:r w:rsidRPr="004C78D8">
        <w:t>Economic evaluation is motivated by the need to account for the resource opportunity cost</w:t>
      </w:r>
      <w:r w:rsidR="00A55A13">
        <w:t>s</w:t>
      </w:r>
      <w:r w:rsidRPr="004C78D8">
        <w:t xml:space="preserve"> </w:t>
      </w:r>
      <w:r w:rsidR="006B3F12" w:rsidRPr="004C78D8">
        <w:t xml:space="preserve">associated with the </w:t>
      </w:r>
      <w:r w:rsidR="004745FD" w:rsidRPr="004C78D8">
        <w:t xml:space="preserve">population-level </w:t>
      </w:r>
      <w:r w:rsidR="00900F75" w:rsidRPr="004C78D8">
        <w:t>delivery of falls prevention</w:t>
      </w:r>
      <w:r w:rsidR="004745FD" w:rsidRPr="004C78D8">
        <w:t xml:space="preserve">. </w:t>
      </w:r>
      <w:r w:rsidR="00900F75" w:rsidRPr="004C78D8">
        <w:t>Specifically, the NICE clinical guideline on community-based falls prevention has yet to undergo a rigorous economic evaluation</w:t>
      </w:r>
      <w:r w:rsidR="00F5069F" w:rsidRPr="004C78D8">
        <w:rPr>
          <w:rFonts w:hint="eastAsia"/>
        </w:rPr>
        <w:t>,</w:t>
      </w:r>
      <w:r w:rsidR="00F5069F" w:rsidRPr="004C78D8">
        <w:t xml:space="preserve"> while alternative strategies </w:t>
      </w:r>
      <w:r w:rsidR="00590973" w:rsidRPr="004C78D8">
        <w:t>consistent with the ideals and challenges of geriatric public health interventions should also be evaluated.</w:t>
      </w:r>
      <w:r w:rsidR="00900F75" w:rsidRPr="004C78D8">
        <w:t xml:space="preserve"> </w:t>
      </w:r>
      <w:r w:rsidR="00AE2D8D" w:rsidRPr="004C78D8">
        <w:t>S</w:t>
      </w:r>
      <w:r w:rsidR="00900F75" w:rsidRPr="004C78D8">
        <w:t>uch evaluation</w:t>
      </w:r>
      <w:r w:rsidR="00AE2D8D" w:rsidRPr="004C78D8">
        <w:t>s</w:t>
      </w:r>
      <w:r w:rsidR="00900F75" w:rsidRPr="004C78D8">
        <w:t xml:space="preserve"> </w:t>
      </w:r>
      <w:r w:rsidR="00AE2D8D" w:rsidRPr="004C78D8">
        <w:t xml:space="preserve">are </w:t>
      </w:r>
      <w:r w:rsidR="00900F75" w:rsidRPr="004C78D8">
        <w:t xml:space="preserve">best conducted via a decision model </w:t>
      </w:r>
      <w:r w:rsidR="004214F4" w:rsidRPr="004C78D8">
        <w:t xml:space="preserve">that can </w:t>
      </w:r>
      <w:r w:rsidR="00E869EF" w:rsidRPr="004C78D8">
        <w:t>characterise the complexit</w:t>
      </w:r>
      <w:r w:rsidR="00393325" w:rsidRPr="004C78D8">
        <w:t>ies of geriatric health conditions and integrative operations of geriatric public health initiatives</w:t>
      </w:r>
      <w:r w:rsidR="004214F4" w:rsidRPr="004C78D8">
        <w:t>.</w:t>
      </w:r>
      <w:r w:rsidR="00393325" w:rsidRPr="004C78D8">
        <w:t xml:space="preserve"> Methodological developments in the modelling techniques should accordingly be sought and implemented. </w:t>
      </w:r>
      <w:r w:rsidR="00D74AFD" w:rsidRPr="004C78D8">
        <w:t xml:space="preserve">The final model should provide timely analytic support for the upcoming update to the NICE falls prevention guideline </w:t>
      </w:r>
      <w:r w:rsidR="00D74AFD" w:rsidRPr="004C78D8">
        <w:fldChar w:fldCharType="begin"/>
      </w:r>
      <w:r w:rsidR="00330E1E">
        <w:instrText xml:space="preserve"> ADDIN EN.CITE &lt;EndNote&gt;&lt;Cite&gt;&lt;Author&gt;National Institute for Health and Care Excellence&lt;/Author&gt;&lt;Year&gt;2022&lt;/Year&gt;&lt;RecNum&gt;796&lt;/RecNum&gt;&lt;DisplayText&gt;[131]&lt;/DisplayText&gt;&lt;record&gt;&lt;rec-number&gt;796&lt;/rec-number&gt;&lt;foreign-keys&gt;&lt;key app="EN" db-id="tdtrdw9aepptzbefsat599syza29sxsd2wsp" timestamp="1644919021"&gt;796&lt;/key&gt;&lt;/foreign-keys&gt;&lt;ref-type name="Web Page"&gt;12&lt;/ref-type&gt;&lt;contributors&gt;&lt;authors&gt;&lt;author&gt;National Institute for Health and Care Excellence,&lt;/author&gt;&lt;/authors&gt;&lt;secondary-authors&gt;&lt;author&gt;National Guideline Centre&lt;/author&gt;&lt;/secondary-authors&gt;&lt;/contributors&gt;&lt;titles&gt;&lt;title&gt;Falls in older people: assessing risk and prevention In development [GID-NG10228] Expected publication date: 13 June 2024&lt;/title&gt;&lt;/titles&gt;&lt;number&gt;14 September 2022&lt;/number&gt;&lt;dates&gt;&lt;year&gt;2022&lt;/year&gt;&lt;pub-dates&gt;&lt;date&gt;8 September 2022&lt;/date&gt;&lt;/pub-dates&gt;&lt;/dates&gt;&lt;pub-location&gt;https://www.nice.org.uk/guidance/indevelopment/gid-ng10228&lt;/pub-location&gt;&lt;urls&gt;&lt;/urls&gt;&lt;/record&gt;&lt;/Cite&gt;&lt;/EndNote&gt;</w:instrText>
      </w:r>
      <w:r w:rsidR="00D74AFD" w:rsidRPr="004C78D8">
        <w:fldChar w:fldCharType="separate"/>
      </w:r>
      <w:r w:rsidR="00513646" w:rsidRPr="004C78D8">
        <w:rPr>
          <w:noProof/>
        </w:rPr>
        <w:t>[131]</w:t>
      </w:r>
      <w:r w:rsidR="00D74AFD" w:rsidRPr="004C78D8">
        <w:fldChar w:fldCharType="end"/>
      </w:r>
      <w:r w:rsidR="00D74AFD" w:rsidRPr="004C78D8">
        <w:t>.</w:t>
      </w:r>
      <w:r w:rsidR="004214F4" w:rsidRPr="004C78D8">
        <w:t xml:space="preserve"> </w:t>
      </w:r>
    </w:p>
    <w:p w14:paraId="15C0F51A" w14:textId="758B066B" w:rsidR="004B642C" w:rsidRPr="004C78D8" w:rsidRDefault="002C47F7" w:rsidP="00FB7C1F">
      <w:r w:rsidRPr="004C78D8">
        <w:t xml:space="preserve">The </w:t>
      </w:r>
      <w:r w:rsidR="00AC0BCA" w:rsidRPr="004C78D8">
        <w:t xml:space="preserve">rationale for the </w:t>
      </w:r>
      <w:r w:rsidR="009535A9" w:rsidRPr="004C78D8">
        <w:t>study</w:t>
      </w:r>
      <w:r w:rsidRPr="004C78D8">
        <w:t xml:space="preserve"> objectives follow</w:t>
      </w:r>
      <w:r w:rsidR="001800D6" w:rsidRPr="004C78D8">
        <w:t>s</w:t>
      </w:r>
      <w:r w:rsidRPr="004C78D8">
        <w:t xml:space="preserve"> from the aim. First, the structure of a credible falls prevention economic model </w:t>
      </w:r>
      <w:r w:rsidR="00D57612" w:rsidRPr="004C78D8">
        <w:t>will</w:t>
      </w:r>
      <w:r w:rsidRPr="004C78D8">
        <w:t xml:space="preserve"> be informed by a conceptual model that addresses the key </w:t>
      </w:r>
      <w:r w:rsidR="009535A9" w:rsidRPr="004C78D8">
        <w:t xml:space="preserve">aspects of the decision problem and the </w:t>
      </w:r>
      <w:r w:rsidRPr="004C78D8">
        <w:t xml:space="preserve">methodological challenges associated with geriatric public health economic </w:t>
      </w:r>
      <w:r w:rsidR="000843BC" w:rsidRPr="004C78D8">
        <w:t>modelling</w:t>
      </w:r>
      <w:r w:rsidRPr="004C78D8">
        <w:t xml:space="preserve">. This </w:t>
      </w:r>
      <w:r w:rsidR="00D57612" w:rsidRPr="004C78D8">
        <w:t>will</w:t>
      </w:r>
      <w:r w:rsidRPr="004C78D8">
        <w:t xml:space="preserve"> involve </w:t>
      </w:r>
      <w:r w:rsidR="00AC0BCA" w:rsidRPr="004C78D8">
        <w:t xml:space="preserve">a </w:t>
      </w:r>
      <w:r w:rsidRPr="004C78D8">
        <w:t>synthesis of the relevant literature on falls epidemiology, falls prevention</w:t>
      </w:r>
      <w:r w:rsidR="006B3F12" w:rsidRPr="004C78D8">
        <w:t xml:space="preserve"> </w:t>
      </w:r>
      <w:r w:rsidRPr="004C78D8">
        <w:t>and priority setting challenges and engagement with local stakeholders</w:t>
      </w:r>
      <w:r w:rsidR="00243AFC" w:rsidRPr="004C78D8">
        <w:t xml:space="preserve"> to understand the decision-making context. Second, a methodologically rigorous systematic review </w:t>
      </w:r>
      <w:r w:rsidR="00D57612" w:rsidRPr="004C78D8">
        <w:t>will</w:t>
      </w:r>
      <w:r w:rsidR="00243AFC" w:rsidRPr="004C78D8">
        <w:t xml:space="preserve"> be conducted </w:t>
      </w:r>
      <w:r w:rsidR="00EF326D" w:rsidRPr="004C78D8">
        <w:t>as part of the model development. Finally,</w:t>
      </w:r>
      <w:r w:rsidRPr="004C78D8">
        <w:t xml:space="preserve"> </w:t>
      </w:r>
      <w:r w:rsidR="00EF326D" w:rsidRPr="004C78D8">
        <w:t xml:space="preserve">the </w:t>
      </w:r>
      <w:r w:rsidR="00EF326D" w:rsidRPr="004C78D8">
        <w:rPr>
          <w:i/>
          <w:iCs/>
        </w:rPr>
        <w:t xml:space="preserve">de novo </w:t>
      </w:r>
      <w:r w:rsidR="00EF326D" w:rsidRPr="004C78D8">
        <w:t xml:space="preserve">falls prevention economic model </w:t>
      </w:r>
      <w:r w:rsidR="00D57612" w:rsidRPr="004C78D8">
        <w:t>will</w:t>
      </w:r>
      <w:r w:rsidR="00EF326D" w:rsidRPr="004C78D8">
        <w:t xml:space="preserve"> be developed based on the conceptual model</w:t>
      </w:r>
      <w:r w:rsidR="001800D6" w:rsidRPr="004C78D8">
        <w:t xml:space="preserve"> and </w:t>
      </w:r>
      <w:r w:rsidR="00EF326D" w:rsidRPr="004C78D8">
        <w:t>the best modelling practice and data sources identified from the systematic review</w:t>
      </w:r>
      <w:r w:rsidR="008945C0" w:rsidRPr="004C78D8">
        <w:t xml:space="preserve"> and elsewhere</w:t>
      </w:r>
      <w:r w:rsidR="00EF326D" w:rsidRPr="004C78D8">
        <w:t xml:space="preserve">. </w:t>
      </w:r>
      <w:r w:rsidR="00254123" w:rsidRPr="004C78D8">
        <w:t xml:space="preserve">It will seek to evaluate the strategy recommended by the UK guidelines relative to current practice in Sheffield alongside alternative strategies that reflect the ideals and challenges of geriatric public health interventions. </w:t>
      </w:r>
      <w:r w:rsidR="009E4C99" w:rsidRPr="004C78D8">
        <w:t>A broad set of</w:t>
      </w:r>
      <w:r w:rsidR="008945C0" w:rsidRPr="004C78D8">
        <w:t xml:space="preserve"> decisional criteria </w:t>
      </w:r>
      <w:r w:rsidR="009E4C99" w:rsidRPr="004C78D8">
        <w:t>will be considered</w:t>
      </w:r>
      <w:r w:rsidR="008945C0" w:rsidRPr="004C78D8">
        <w:t xml:space="preserve">, including efficiency, equity, capacity and budget constraints, aggregate impacts, </w:t>
      </w:r>
      <w:r w:rsidR="009535A9" w:rsidRPr="004C78D8">
        <w:t>individual-</w:t>
      </w:r>
      <w:r w:rsidR="009535A9" w:rsidRPr="004C78D8">
        <w:lastRenderedPageBreak/>
        <w:t>level</w:t>
      </w:r>
      <w:r w:rsidR="008945C0" w:rsidRPr="004C78D8">
        <w:t xml:space="preserve"> outcomes</w:t>
      </w:r>
      <w:r w:rsidR="00016541">
        <w:t>, and feasibility</w:t>
      </w:r>
      <w:r w:rsidR="008945C0" w:rsidRPr="004C78D8">
        <w:t>.</w:t>
      </w:r>
      <w:r w:rsidR="006B3F12" w:rsidRPr="004C78D8">
        <w:t xml:space="preserve"> </w:t>
      </w:r>
      <w:r w:rsidR="008945C0" w:rsidRPr="004C78D8">
        <w:t xml:space="preserve">Meeting these </w:t>
      </w:r>
      <w:r w:rsidR="009E4C99" w:rsidRPr="004C78D8">
        <w:t xml:space="preserve">study </w:t>
      </w:r>
      <w:r w:rsidR="008945C0" w:rsidRPr="004C78D8">
        <w:t xml:space="preserve">objectives </w:t>
      </w:r>
      <w:r w:rsidR="00D57612" w:rsidRPr="004C78D8">
        <w:t>will</w:t>
      </w:r>
      <w:r w:rsidR="008945C0" w:rsidRPr="004C78D8">
        <w:t xml:space="preserve"> inform how </w:t>
      </w:r>
      <w:r w:rsidR="00932BBC" w:rsidRPr="004C78D8">
        <w:t xml:space="preserve">a similar </w:t>
      </w:r>
      <w:r w:rsidR="00A87B71" w:rsidRPr="004C78D8">
        <w:t>sequence of research steps</w:t>
      </w:r>
      <w:r w:rsidR="00932BBC" w:rsidRPr="004C78D8">
        <w:t xml:space="preserve"> could be applied </w:t>
      </w:r>
      <w:r w:rsidR="003C1019" w:rsidRPr="004C78D8">
        <w:t xml:space="preserve">to other geriatric public health </w:t>
      </w:r>
      <w:r w:rsidR="00932BBC" w:rsidRPr="004C78D8">
        <w:t>areas</w:t>
      </w:r>
      <w:r w:rsidR="003C1019" w:rsidRPr="004C78D8">
        <w:t xml:space="preserve">. </w:t>
      </w:r>
    </w:p>
    <w:p w14:paraId="51BDF843" w14:textId="6F1F848D" w:rsidR="004745FD" w:rsidRPr="004C78D8" w:rsidRDefault="004745FD" w:rsidP="00FB7C1F"/>
    <w:p w14:paraId="7B2855CF" w14:textId="1892AF3C" w:rsidR="005A71EA" w:rsidRPr="004C78D8" w:rsidRDefault="005A71EA" w:rsidP="00FB7C1F">
      <w:pPr>
        <w:pStyle w:val="Heading2"/>
      </w:pPr>
      <w:bookmarkStart w:id="33" w:name="_Toc93566848"/>
      <w:bookmarkStart w:id="34" w:name="_Toc111630698"/>
      <w:r w:rsidRPr="004C78D8">
        <w:t xml:space="preserve">1.4 </w:t>
      </w:r>
      <w:r w:rsidR="00C17020" w:rsidRPr="004C78D8">
        <w:t>Personal, a</w:t>
      </w:r>
      <w:r w:rsidRPr="004C78D8">
        <w:t>cademic and philosophical position</w:t>
      </w:r>
      <w:bookmarkEnd w:id="33"/>
      <w:bookmarkEnd w:id="34"/>
    </w:p>
    <w:p w14:paraId="5570D3F8" w14:textId="7E7CB21D" w:rsidR="005A71EA" w:rsidRPr="004C78D8" w:rsidRDefault="00114295" w:rsidP="00FB7C1F">
      <w:r w:rsidRPr="004C78D8">
        <w:t xml:space="preserve">I come from a country, South Korea, that is experiencing </w:t>
      </w:r>
      <w:r w:rsidR="00E61C7A" w:rsidRPr="004C78D8">
        <w:t xml:space="preserve">one of </w:t>
      </w:r>
      <w:r w:rsidRPr="004C78D8">
        <w:t>the fastest rate</w:t>
      </w:r>
      <w:r w:rsidR="00E61C7A" w:rsidRPr="004C78D8">
        <w:t>s</w:t>
      </w:r>
      <w:r w:rsidRPr="004C78D8">
        <w:t xml:space="preserve"> of population ageing in the world</w:t>
      </w:r>
      <w:r w:rsidR="00E61C7A" w:rsidRPr="004C78D8">
        <w:t>; t</w:t>
      </w:r>
      <w:r w:rsidRPr="004C78D8">
        <w:t xml:space="preserve">his motivated the choice of the topic of geriatric health. </w:t>
      </w:r>
      <w:r w:rsidR="00A12CA4" w:rsidRPr="004C78D8">
        <w:t xml:space="preserve">My academic background is in Health Economics and Health Economic Evaluation with some experience in </w:t>
      </w:r>
      <w:r w:rsidR="00FB7B5A" w:rsidRPr="004C78D8">
        <w:t xml:space="preserve">decision </w:t>
      </w:r>
      <w:r w:rsidR="00A12CA4" w:rsidRPr="004C78D8">
        <w:t>model</w:t>
      </w:r>
      <w:r w:rsidR="00704F5D" w:rsidRPr="004C78D8">
        <w:t>ling</w:t>
      </w:r>
      <w:r w:rsidR="00A12CA4" w:rsidRPr="004C78D8">
        <w:t xml:space="preserve"> to inform clinical decision-making. The first year of my four-year PhD programme </w:t>
      </w:r>
      <w:r w:rsidR="00CE4FDA" w:rsidRPr="004C78D8">
        <w:t xml:space="preserve">gave me </w:t>
      </w:r>
      <w:r w:rsidR="00FB7B5A" w:rsidRPr="004C78D8">
        <w:t xml:space="preserve">the </w:t>
      </w:r>
      <w:r w:rsidR="00CE4FDA" w:rsidRPr="004C78D8">
        <w:t>opportunit</w:t>
      </w:r>
      <w:r w:rsidR="00FB7B5A" w:rsidRPr="004C78D8">
        <w:t>y</w:t>
      </w:r>
      <w:r w:rsidR="00CE4FDA" w:rsidRPr="004C78D8">
        <w:t xml:space="preserve"> to</w:t>
      </w:r>
      <w:r w:rsidR="00A12CA4" w:rsidRPr="004C78D8">
        <w:t xml:space="preserve"> </w:t>
      </w:r>
      <w:r w:rsidR="00CE4FDA" w:rsidRPr="004C78D8">
        <w:t>study</w:t>
      </w:r>
      <w:r w:rsidR="00A12CA4" w:rsidRPr="004C78D8">
        <w:t xml:space="preserve"> several Public Health modules including Health Needs Assessment. Understanding the conceptualisation process for </w:t>
      </w:r>
      <w:r w:rsidR="0060699C" w:rsidRPr="004C78D8">
        <w:t xml:space="preserve">the </w:t>
      </w:r>
      <w:r w:rsidR="00A12CA4" w:rsidRPr="004C78D8">
        <w:t>development of a public health economic model was an active learning area</w:t>
      </w:r>
      <w:r w:rsidR="00471B6C" w:rsidRPr="004C78D8">
        <w:t xml:space="preserve">, as was the process of engaging local stakeholders </w:t>
      </w:r>
      <w:r w:rsidR="000F5F24" w:rsidRPr="004C78D8">
        <w:t xml:space="preserve">(including </w:t>
      </w:r>
      <w:r w:rsidR="00E61C7A" w:rsidRPr="004C78D8">
        <w:t>qualitative research</w:t>
      </w:r>
      <w:r w:rsidR="000F5F24" w:rsidRPr="004C78D8">
        <w:t xml:space="preserve"> with older persons</w:t>
      </w:r>
      <w:r w:rsidR="00E61C7A" w:rsidRPr="004C78D8">
        <w:t xml:space="preserve"> in Sheffield</w:t>
      </w:r>
      <w:r w:rsidR="000F5F24" w:rsidRPr="004C78D8">
        <w:t xml:space="preserve">) </w:t>
      </w:r>
      <w:r w:rsidR="00471B6C" w:rsidRPr="004C78D8">
        <w:t xml:space="preserve">to better understand the decision problem. </w:t>
      </w:r>
    </w:p>
    <w:p w14:paraId="633D96F3" w14:textId="1EF4A10B" w:rsidR="0041359B" w:rsidRPr="004C78D8" w:rsidRDefault="005D510C" w:rsidP="00FB7C1F">
      <w:r w:rsidRPr="004C78D8">
        <w:t xml:space="preserve">Ontology concerns the nature of reality and what can be known about it </w:t>
      </w:r>
      <w:r w:rsidRPr="004C78D8">
        <w:fldChar w:fldCharType="begin"/>
      </w:r>
      <w:r w:rsidR="00BB47BA" w:rsidRPr="004C78D8">
        <w:instrText xml:space="preserve"> ADDIN EN.CITE &lt;EndNote&gt;&lt;Cite&gt;&lt;Author&gt;Guba&lt;/Author&gt;&lt;Year&gt;1994&lt;/Year&gt;&lt;RecNum&gt;680&lt;/RecNum&gt;&lt;DisplayText&gt;[174]&lt;/DisplayText&gt;&lt;record&gt;&lt;rec-number&gt;680&lt;/rec-number&gt;&lt;foreign-keys&gt;&lt;key app="EN" db-id="tdtrdw9aepptzbefsat599syza29sxsd2wsp" timestamp="1628675519"&gt;680&lt;/key&gt;&lt;/foreign-keys&gt;&lt;ref-type name="Journal Article"&gt;17&lt;/ref-type&gt;&lt;contributors&gt;&lt;authors&gt;&lt;author&gt;Guba, Egon G&lt;/author&gt;&lt;author&gt;Lincoln, Yvonna S&lt;/author&gt;&lt;/authors&gt;&lt;/contributors&gt;&lt;titles&gt;&lt;title&gt;Competing paradigms in qualitative research&lt;/title&gt;&lt;secondary-title&gt;Handbook of qualitative research&lt;/secondary-title&gt;&lt;/titles&gt;&lt;periodical&gt;&lt;full-title&gt;Handbook of qualitative research&lt;/full-title&gt;&lt;/periodical&gt;&lt;pages&gt;105&lt;/pages&gt;&lt;volume&gt;2&lt;/volume&gt;&lt;number&gt;163-194&lt;/number&gt;&lt;dates&gt;&lt;year&gt;1994&lt;/year&gt;&lt;/dates&gt;&lt;urls&gt;&lt;/urls&gt;&lt;/record&gt;&lt;/Cite&gt;&lt;/EndNote&gt;</w:instrText>
      </w:r>
      <w:r w:rsidRPr="004C78D8">
        <w:fldChar w:fldCharType="separate"/>
      </w:r>
      <w:r w:rsidR="00BB47BA" w:rsidRPr="004C78D8">
        <w:rPr>
          <w:noProof/>
        </w:rPr>
        <w:t>[174]</w:t>
      </w:r>
      <w:r w:rsidRPr="004C78D8">
        <w:fldChar w:fldCharType="end"/>
      </w:r>
      <w:r w:rsidR="0041359B" w:rsidRPr="004C78D8">
        <w:t xml:space="preserve">, while epistemology concerns how valid knowledge can be produced about reality </w:t>
      </w:r>
      <w:r w:rsidR="0041359B" w:rsidRPr="004C78D8">
        <w:fldChar w:fldCharType="begin"/>
      </w:r>
      <w:r w:rsidR="00BB47BA" w:rsidRPr="004C78D8">
        <w:instrText xml:space="preserve"> ADDIN EN.CITE &lt;EndNote&gt;&lt;Cite&gt;&lt;Author&gt;Hiller&lt;/Author&gt;&lt;Year&gt;2016&lt;/Year&gt;&lt;RecNum&gt;681&lt;/RecNum&gt;&lt;DisplayText&gt;[175]&lt;/DisplayText&gt;&lt;record&gt;&lt;rec-number&gt;681&lt;/rec-number&gt;&lt;foreign-keys&gt;&lt;key app="EN" db-id="tdtrdw9aepptzbefsat599syza29sxsd2wsp" timestamp="1628677394"&gt;681&lt;/key&gt;&lt;/foreign-keys&gt;&lt;ref-type name="Journal Article"&gt;17&lt;/ref-type&gt;&lt;contributors&gt;&lt;authors&gt;&lt;author&gt;Hiller, James&lt;/author&gt;&lt;/authors&gt;&lt;/contributors&gt;&lt;titles&gt;&lt;title&gt;Epistemological foundations of objectivist and interpretivist research&lt;/title&gt;&lt;/titles&gt;&lt;dates&gt;&lt;year&gt;2016&lt;/year&gt;&lt;/dates&gt;&lt;isbn&gt;1937440885&lt;/isbn&gt;&lt;urls&gt;&lt;/urls&gt;&lt;/record&gt;&lt;/Cite&gt;&lt;/EndNote&gt;</w:instrText>
      </w:r>
      <w:r w:rsidR="0041359B" w:rsidRPr="004C78D8">
        <w:fldChar w:fldCharType="separate"/>
      </w:r>
      <w:r w:rsidR="00BB47BA" w:rsidRPr="004C78D8">
        <w:rPr>
          <w:noProof/>
        </w:rPr>
        <w:t>[175]</w:t>
      </w:r>
      <w:r w:rsidR="0041359B" w:rsidRPr="004C78D8">
        <w:fldChar w:fldCharType="end"/>
      </w:r>
      <w:r w:rsidR="0041359B" w:rsidRPr="004C78D8">
        <w:t xml:space="preserve">. </w:t>
      </w:r>
      <w:r w:rsidR="00D4553A" w:rsidRPr="004C78D8">
        <w:t>A realist ontology posits the existence of reality independent of human perception; p</w:t>
      </w:r>
      <w:r w:rsidR="0041359B" w:rsidRPr="004C78D8">
        <w:t xml:space="preserve">ositivist epistemology aligns with realist ontology and privileges measurable, quantitative outcomes for analyses, the findings of which </w:t>
      </w:r>
      <w:r w:rsidR="003A2941" w:rsidRPr="004C78D8">
        <w:t>approximate</w:t>
      </w:r>
      <w:r w:rsidR="0041359B" w:rsidRPr="004C78D8">
        <w:t xml:space="preserve"> truths about </w:t>
      </w:r>
      <w:r w:rsidR="00D4553A" w:rsidRPr="004C78D8">
        <w:t xml:space="preserve">the </w:t>
      </w:r>
      <w:r w:rsidR="00DF1A11" w:rsidRPr="004C78D8">
        <w:t>objective</w:t>
      </w:r>
      <w:r w:rsidR="00D4553A" w:rsidRPr="004C78D8">
        <w:t xml:space="preserve"> </w:t>
      </w:r>
      <w:r w:rsidR="0041359B" w:rsidRPr="004C78D8">
        <w:t xml:space="preserve">reality </w:t>
      </w:r>
      <w:r w:rsidR="0041359B" w:rsidRPr="004C78D8">
        <w:fldChar w:fldCharType="begin"/>
      </w:r>
      <w:r w:rsidR="00BB47BA" w:rsidRPr="004C78D8">
        <w:instrText xml:space="preserve"> ADDIN EN.CITE &lt;EndNote&gt;&lt;Cite&gt;&lt;Author&gt;Hiller&lt;/Author&gt;&lt;Year&gt;2016&lt;/Year&gt;&lt;RecNum&gt;681&lt;/RecNum&gt;&lt;DisplayText&gt;[175]&lt;/DisplayText&gt;&lt;record&gt;&lt;rec-number&gt;681&lt;/rec-number&gt;&lt;foreign-keys&gt;&lt;key app="EN" db-id="tdtrdw9aepptzbefsat599syza29sxsd2wsp" timestamp="1628677394"&gt;681&lt;/key&gt;&lt;/foreign-keys&gt;&lt;ref-type name="Journal Article"&gt;17&lt;/ref-type&gt;&lt;contributors&gt;&lt;authors&gt;&lt;author&gt;Hiller, James&lt;/author&gt;&lt;/authors&gt;&lt;/contributors&gt;&lt;titles&gt;&lt;title&gt;Epistemological foundations of objectivist and interpretivist research&lt;/title&gt;&lt;/titles&gt;&lt;dates&gt;&lt;year&gt;2016&lt;/year&gt;&lt;/dates&gt;&lt;isbn&gt;1937440885&lt;/isbn&gt;&lt;urls&gt;&lt;/urls&gt;&lt;/record&gt;&lt;/Cite&gt;&lt;/EndNote&gt;</w:instrText>
      </w:r>
      <w:r w:rsidR="0041359B" w:rsidRPr="004C78D8">
        <w:fldChar w:fldCharType="separate"/>
      </w:r>
      <w:r w:rsidR="00BB47BA" w:rsidRPr="004C78D8">
        <w:rPr>
          <w:noProof/>
        </w:rPr>
        <w:t>[175]</w:t>
      </w:r>
      <w:r w:rsidR="0041359B" w:rsidRPr="004C78D8">
        <w:fldChar w:fldCharType="end"/>
      </w:r>
      <w:r w:rsidR="0041359B" w:rsidRPr="004C78D8">
        <w:t xml:space="preserve">. Using the frequentist approach to statistics, falls prevention RCTs (and clinical guidelines based on them) are closely aligned with the positivist epistemology since they collect falls data to falsify the null hypothesis about </w:t>
      </w:r>
      <w:r w:rsidR="003A2941" w:rsidRPr="004C78D8">
        <w:t xml:space="preserve">the </w:t>
      </w:r>
      <w:r w:rsidR="0041359B" w:rsidRPr="004C78D8">
        <w:t xml:space="preserve">objective reality (e.g., that the given intervention does </w:t>
      </w:r>
      <w:r w:rsidR="0041359B" w:rsidRPr="004C78D8">
        <w:rPr>
          <w:i/>
          <w:iCs/>
        </w:rPr>
        <w:t>not</w:t>
      </w:r>
      <w:r w:rsidR="0041359B" w:rsidRPr="004C78D8">
        <w:t xml:space="preserve"> reduce the number of falls); the analytic approach is hence deductive </w:t>
      </w:r>
      <w:r w:rsidR="0041359B" w:rsidRPr="004C78D8">
        <w:fldChar w:fldCharType="begin"/>
      </w:r>
      <w:r w:rsidR="00BB47BA" w:rsidRPr="004C78D8">
        <w:instrText xml:space="preserve"> ADDIN EN.CITE &lt;EndNote&gt;&lt;Cite&gt;&lt;Author&gt;Wilkinson&lt;/Author&gt;&lt;Year&gt;2013&lt;/Year&gt;&lt;RecNum&gt;682&lt;/RecNum&gt;&lt;DisplayText&gt;[176]&lt;/DisplayText&gt;&lt;record&gt;&lt;rec-number&gt;682&lt;/rec-number&gt;&lt;foreign-keys&gt;&lt;key app="EN" db-id="tdtrdw9aepptzbefsat599syza29sxsd2wsp" timestamp="1628679139"&gt;682&lt;/key&gt;&lt;/foreign-keys&gt;&lt;ref-type name="Journal Article"&gt;17&lt;/ref-type&gt;&lt;contributors&gt;&lt;authors&gt;&lt;author&gt;Wilkinson, M.&lt;/author&gt;&lt;/authors&gt;&lt;/contributors&gt;&lt;titles&gt;&lt;title&gt;Testing the null hypothesis: the forgotten legacy of Karl Popper?&lt;/title&gt;&lt;secondary-title&gt;J Sports Sci&lt;/secondary-title&gt;&lt;/titles&gt;&lt;periodical&gt;&lt;full-title&gt;J Sports Sci&lt;/full-title&gt;&lt;/periodical&gt;&lt;pages&gt;919-20&lt;/pages&gt;&lt;volume&gt;31&lt;/volume&gt;&lt;number&gt;9&lt;/number&gt;&lt;edition&gt;2012/12/20&lt;/edition&gt;&lt;keywords&gt;&lt;keyword&gt;Humans&lt;/keyword&gt;&lt;keyword&gt;*Logic&lt;/keyword&gt;&lt;keyword&gt;*Research Design&lt;/keyword&gt;&lt;keyword&gt;*Science&lt;/keyword&gt;&lt;keyword&gt;Statistics as Topic&lt;/keyword&gt;&lt;/keywords&gt;&lt;dates&gt;&lt;year&gt;2013&lt;/year&gt;&lt;/dates&gt;&lt;isbn&gt;0264-0414&lt;/isbn&gt;&lt;accession-num&gt;23249368&lt;/accession-num&gt;&lt;urls&gt;&lt;/urls&gt;&lt;electronic-resource-num&gt;10.1080/02640414.2012.753636&lt;/electronic-resource-num&gt;&lt;remote-database-provider&gt;NLM&lt;/remote-database-provider&gt;&lt;language&gt;eng&lt;/language&gt;&lt;/record&gt;&lt;/Cite&gt;&lt;/EndNote&gt;</w:instrText>
      </w:r>
      <w:r w:rsidR="0041359B" w:rsidRPr="004C78D8">
        <w:fldChar w:fldCharType="separate"/>
      </w:r>
      <w:r w:rsidR="00BB47BA" w:rsidRPr="004C78D8">
        <w:rPr>
          <w:noProof/>
        </w:rPr>
        <w:t>[176]</w:t>
      </w:r>
      <w:r w:rsidR="0041359B" w:rsidRPr="004C78D8">
        <w:fldChar w:fldCharType="end"/>
      </w:r>
      <w:r w:rsidR="0041359B" w:rsidRPr="004C78D8">
        <w:t xml:space="preserve">. By contrast, interpretivist epistemology aligns with non-realist or relative ontology </w:t>
      </w:r>
      <w:r w:rsidR="00D64E56" w:rsidRPr="004C78D8">
        <w:t xml:space="preserve">– which </w:t>
      </w:r>
      <w:r w:rsidR="005D409E" w:rsidRPr="004C78D8">
        <w:t xml:space="preserve">denies the </w:t>
      </w:r>
      <w:r w:rsidR="00D64E56" w:rsidRPr="004C78D8">
        <w:t xml:space="preserve">existence of a reality </w:t>
      </w:r>
      <w:r w:rsidR="005D409E" w:rsidRPr="004C78D8">
        <w:t xml:space="preserve">that is </w:t>
      </w:r>
      <w:r w:rsidR="00D64E56" w:rsidRPr="004C78D8">
        <w:t xml:space="preserve">independent of human perception – </w:t>
      </w:r>
      <w:r w:rsidR="0041359B" w:rsidRPr="004C78D8">
        <w:t xml:space="preserve">and is often adopted by qualitative researchers to understand how subjective, local values and perspectives have shaped the collection and interpretation of data; the analytic approach is hence inductive </w:t>
      </w:r>
      <w:r w:rsidR="0041359B" w:rsidRPr="004C78D8">
        <w:fldChar w:fldCharType="begin"/>
      </w:r>
      <w:r w:rsidR="00BB47BA" w:rsidRPr="004C78D8">
        <w:instrText xml:space="preserve"> ADDIN EN.CITE &lt;EndNote&gt;&lt;Cite&gt;&lt;Author&gt;Hiller&lt;/Author&gt;&lt;Year&gt;2016&lt;/Year&gt;&lt;RecNum&gt;681&lt;/RecNum&gt;&lt;DisplayText&gt;[175]&lt;/DisplayText&gt;&lt;record&gt;&lt;rec-number&gt;681&lt;/rec-number&gt;&lt;foreign-keys&gt;&lt;key app="EN" db-id="tdtrdw9aepptzbefsat599syza29sxsd2wsp" timestamp="1628677394"&gt;681&lt;/key&gt;&lt;/foreign-keys&gt;&lt;ref-type name="Journal Article"&gt;17&lt;/ref-type&gt;&lt;contributors&gt;&lt;authors&gt;&lt;author&gt;Hiller, James&lt;/author&gt;&lt;/authors&gt;&lt;/contributors&gt;&lt;titles&gt;&lt;title&gt;Epistemological foundations of objectivist and interpretivist research&lt;/title&gt;&lt;/titles&gt;&lt;dates&gt;&lt;year&gt;2016&lt;/year&gt;&lt;/dates&gt;&lt;isbn&gt;1937440885&lt;/isbn&gt;&lt;urls&gt;&lt;/urls&gt;&lt;/record&gt;&lt;/Cite&gt;&lt;/EndNote&gt;</w:instrText>
      </w:r>
      <w:r w:rsidR="0041359B" w:rsidRPr="004C78D8">
        <w:fldChar w:fldCharType="separate"/>
      </w:r>
      <w:r w:rsidR="00BB47BA" w:rsidRPr="004C78D8">
        <w:rPr>
          <w:noProof/>
        </w:rPr>
        <w:t>[175]</w:t>
      </w:r>
      <w:r w:rsidR="0041359B" w:rsidRPr="004C78D8">
        <w:fldChar w:fldCharType="end"/>
      </w:r>
      <w:r w:rsidR="0041359B" w:rsidRPr="004C78D8">
        <w:t xml:space="preserve">. </w:t>
      </w:r>
    </w:p>
    <w:p w14:paraId="2E013D24" w14:textId="0350311E" w:rsidR="0041359B" w:rsidRPr="004C78D8" w:rsidRDefault="0041359B" w:rsidP="00FB7C1F">
      <w:r w:rsidRPr="004C78D8">
        <w:t xml:space="preserve">The falls prevention model developed in this thesis relies on: (i) subjective </w:t>
      </w:r>
      <w:r w:rsidR="006A1712" w:rsidRPr="004C78D8">
        <w:t xml:space="preserve">views and </w:t>
      </w:r>
      <w:r w:rsidRPr="004C78D8">
        <w:t>assumptions generated from qualitative data and stakeholder consultations</w:t>
      </w:r>
      <w:r w:rsidR="006A1712" w:rsidRPr="004C78D8">
        <w:t xml:space="preserve"> that inform the model structure</w:t>
      </w:r>
      <w:r w:rsidRPr="004C78D8">
        <w:t>; and (ii) quantitative data from positivist research (e.g., RCT-based intervention efficacy</w:t>
      </w:r>
      <w:r w:rsidR="006A1712" w:rsidRPr="004C78D8">
        <w:t>)</w:t>
      </w:r>
      <w:r w:rsidRPr="004C78D8">
        <w:t xml:space="preserve">. </w:t>
      </w:r>
      <w:r w:rsidR="00210F4D" w:rsidRPr="004C78D8">
        <w:t xml:space="preserve">Therefore, the ontological position of the thesis is one of critical realism </w:t>
      </w:r>
      <w:r w:rsidR="00210F4D" w:rsidRPr="004C78D8">
        <w:t xml:space="preserve">which proposes that reality exists independently of human perception (i.e., realism) but can only be apprehended imperfectly and probabilistically </w:t>
      </w:r>
      <w:r w:rsidR="00210F4D" w:rsidRPr="004C78D8">
        <w:fldChar w:fldCharType="begin"/>
      </w:r>
      <w:r w:rsidR="00BB47BA" w:rsidRPr="004C78D8">
        <w:instrText xml:space="preserve"> ADDIN EN.CITE &lt;EndNote&gt;&lt;Cite&gt;&lt;Author&gt;Guba&lt;/Author&gt;&lt;Year&gt;1994&lt;/Year&gt;&lt;RecNum&gt;680&lt;/RecNum&gt;&lt;DisplayText&gt;[174]&lt;/DisplayText&gt;&lt;record&gt;&lt;rec-number&gt;680&lt;/rec-number&gt;&lt;foreign-keys&gt;&lt;key app="EN" db-id="tdtrdw9aepptzbefsat599syza29sxsd2wsp" timestamp="1628675519"&gt;680&lt;/key&gt;&lt;/foreign-keys&gt;&lt;ref-type name="Journal Article"&gt;17&lt;/ref-type&gt;&lt;contributors&gt;&lt;authors&gt;&lt;author&gt;Guba, Egon G&lt;/author&gt;&lt;author&gt;Lincoln, Yvonna S&lt;/author&gt;&lt;/authors&gt;&lt;/contributors&gt;&lt;titles&gt;&lt;title&gt;Competing paradigms in qualitative research&lt;/title&gt;&lt;secondary-title&gt;Handbook of qualitative research&lt;/secondary-title&gt;&lt;/titles&gt;&lt;periodical&gt;&lt;full-title&gt;Handbook of qualitative research&lt;/full-title&gt;&lt;/periodical&gt;&lt;pages&gt;105&lt;/pages&gt;&lt;volume&gt;2&lt;/volume&gt;&lt;number&gt;163-194&lt;/number&gt;&lt;dates&gt;&lt;year&gt;1994&lt;/year&gt;&lt;/dates&gt;&lt;urls&gt;&lt;/urls&gt;&lt;/record&gt;&lt;/Cite&gt;&lt;/EndNote&gt;</w:instrText>
      </w:r>
      <w:r w:rsidR="00210F4D" w:rsidRPr="004C78D8">
        <w:fldChar w:fldCharType="separate"/>
      </w:r>
      <w:r w:rsidR="00BB47BA" w:rsidRPr="004C78D8">
        <w:rPr>
          <w:noProof/>
        </w:rPr>
        <w:t>[174]</w:t>
      </w:r>
      <w:r w:rsidR="00210F4D" w:rsidRPr="004C78D8">
        <w:fldChar w:fldCharType="end"/>
      </w:r>
      <w:r w:rsidR="00210F4D" w:rsidRPr="004C78D8">
        <w:t>.</w:t>
      </w:r>
      <w:r w:rsidR="00210F4D" w:rsidRPr="004C78D8">
        <w:t xml:space="preserve"> The falls prevention model, for example, will approach</w:t>
      </w:r>
      <w:r w:rsidR="006A1712" w:rsidRPr="004C78D8">
        <w:t xml:space="preserve"> the causal mechanisms and outcomes of the decision problem via structural assumptions that introduce uncertainty.</w:t>
      </w:r>
      <w:r w:rsidR="00210F4D" w:rsidRPr="004C78D8">
        <w:t xml:space="preserve"> The </w:t>
      </w:r>
      <w:r w:rsidRPr="004C78D8">
        <w:t xml:space="preserve">epistemological position could be described as post-positivist where model outcomes are considered circumstantial, rather than absolute, truths </w:t>
      </w:r>
      <w:r w:rsidRPr="004C78D8">
        <w:fldChar w:fldCharType="begin"/>
      </w:r>
      <w:r w:rsidR="00BB47BA" w:rsidRPr="004C78D8">
        <w:instrText xml:space="preserve"> ADDIN EN.CITE &lt;EndNote&gt;&lt;Cite&gt;&lt;Author&gt;Hiller&lt;/Author&gt;&lt;Year&gt;2016&lt;/Year&gt;&lt;RecNum&gt;681&lt;/RecNum&gt;&lt;DisplayText&gt;[174, 175]&lt;/DisplayText&gt;&lt;record&gt;&lt;rec-number&gt;681&lt;/rec-number&gt;&lt;foreign-keys&gt;&lt;key app="EN" db-id="tdtrdw9aepptzbefsat599syza29sxsd2wsp" timestamp="1628677394"&gt;681&lt;/key&gt;&lt;/foreign-keys&gt;&lt;ref-type name="Journal Article"&gt;17&lt;/ref-type&gt;&lt;contributors&gt;&lt;authors&gt;&lt;author&gt;Hiller, James&lt;/author&gt;&lt;/authors&gt;&lt;/contributors&gt;&lt;titles&gt;&lt;title&gt;Epistemological foundations of objectivist and interpretivist research&lt;/title&gt;&lt;/titles&gt;&lt;dates&gt;&lt;year&gt;2016&lt;/year&gt;&lt;/dates&gt;&lt;isbn&gt;1937440885&lt;/isbn&gt;&lt;urls&gt;&lt;/urls&gt;&lt;/record&gt;&lt;/Cite&gt;&lt;Cite&gt;&lt;Author&gt;Guba&lt;/Author&gt;&lt;Year&gt;1994&lt;/Year&gt;&lt;RecNum&gt;680&lt;/RecNum&gt;&lt;record&gt;&lt;rec-number&gt;680&lt;/rec-number&gt;&lt;foreign-keys&gt;&lt;key app="EN" db-id="tdtrdw9aepptzbefsat599syza29sxsd2wsp" timestamp="1628675519"&gt;680&lt;/key&gt;&lt;/foreign-keys&gt;&lt;ref-type name="Journal Article"&gt;17&lt;/ref-type&gt;&lt;contributors&gt;&lt;authors&gt;&lt;author&gt;Guba, Egon G&lt;/author&gt;&lt;author&gt;Lincoln, Yvonna S&lt;/author&gt;&lt;/authors&gt;&lt;/contributors&gt;&lt;titles&gt;&lt;title&gt;Competing paradigms in qualitative research&lt;/title&gt;&lt;secondary-title&gt;Handbook of qualitative research&lt;/secondary-title&gt;&lt;/titles&gt;&lt;periodical&gt;&lt;full-title&gt;Handbook of qualitative research&lt;/full-title&gt;&lt;/periodical&gt;&lt;pages&gt;105&lt;/pages&gt;&lt;volume&gt;2&lt;/volume&gt;&lt;number&gt;163-194&lt;/number&gt;&lt;dates&gt;&lt;year&gt;1994&lt;/year&gt;&lt;/dates&gt;&lt;urls&gt;&lt;/urls&gt;&lt;/record&gt;&lt;/Cite&gt;&lt;/EndNote&gt;</w:instrText>
      </w:r>
      <w:r w:rsidRPr="004C78D8">
        <w:fldChar w:fldCharType="separate"/>
      </w:r>
      <w:r w:rsidR="00BB47BA" w:rsidRPr="004C78D8">
        <w:rPr>
          <w:noProof/>
        </w:rPr>
        <w:t>[174, 175]</w:t>
      </w:r>
      <w:r w:rsidRPr="004C78D8">
        <w:fldChar w:fldCharType="end"/>
      </w:r>
      <w:r w:rsidRPr="004C78D8">
        <w:t xml:space="preserve">. </w:t>
      </w:r>
    </w:p>
    <w:p w14:paraId="199B1274" w14:textId="77777777" w:rsidR="000C4AAC" w:rsidRPr="004C78D8" w:rsidRDefault="000C4AAC" w:rsidP="00FB7C1F"/>
    <w:p w14:paraId="33388BA0" w14:textId="6D4FF45D" w:rsidR="005A71EA" w:rsidRPr="004C78D8" w:rsidRDefault="005A71EA" w:rsidP="00FB7C1F">
      <w:pPr>
        <w:pStyle w:val="Heading2"/>
      </w:pPr>
      <w:bookmarkStart w:id="35" w:name="_Toc93566849"/>
      <w:bookmarkStart w:id="36" w:name="_Toc111630699"/>
      <w:r w:rsidRPr="004C78D8">
        <w:t>1.</w:t>
      </w:r>
      <w:r w:rsidR="00CE7CC4" w:rsidRPr="004C78D8">
        <w:t>5</w:t>
      </w:r>
      <w:r w:rsidRPr="004C78D8">
        <w:t xml:space="preserve"> Thesis structure</w:t>
      </w:r>
      <w:bookmarkEnd w:id="35"/>
      <w:bookmarkEnd w:id="36"/>
    </w:p>
    <w:p w14:paraId="40835C26" w14:textId="50CB1C7F" w:rsidR="00111C0E" w:rsidRPr="004C78D8" w:rsidRDefault="00A43E9D" w:rsidP="00FB7C1F">
      <w:r w:rsidRPr="004C78D8">
        <w:t>Figure 1.</w:t>
      </w:r>
      <w:r w:rsidR="006A1712" w:rsidRPr="004C78D8">
        <w:t>2</w:t>
      </w:r>
      <w:r w:rsidRPr="004C78D8">
        <w:t xml:space="preserve"> shows the thesis structure by chapter.</w:t>
      </w:r>
      <w:r w:rsidR="006C78F1" w:rsidRPr="004C78D8">
        <w:t xml:space="preserve"> </w:t>
      </w:r>
      <w:r w:rsidR="006F1295" w:rsidRPr="004C78D8">
        <w:t xml:space="preserve">Chapter 2 conducts a qualitative </w:t>
      </w:r>
      <w:r w:rsidR="00B0265D" w:rsidRPr="004C78D8">
        <w:t>study</w:t>
      </w:r>
      <w:r w:rsidR="006F1295" w:rsidRPr="004C78D8">
        <w:t xml:space="preserve"> with older persons in Sheffield to elicit their views on implementing the NICE-recommended falls prevention pathway. This research </w:t>
      </w:r>
      <w:r w:rsidR="001B69C4" w:rsidRPr="004C78D8">
        <w:t xml:space="preserve">informs </w:t>
      </w:r>
      <w:r w:rsidR="006F1295" w:rsidRPr="004C78D8">
        <w:t xml:space="preserve">not only </w:t>
      </w:r>
      <w:r w:rsidR="00087841" w:rsidRPr="004C78D8">
        <w:t xml:space="preserve">the </w:t>
      </w:r>
      <w:r w:rsidR="001B69C4" w:rsidRPr="004C78D8">
        <w:t>implementation</w:t>
      </w:r>
      <w:r w:rsidR="006F1295" w:rsidRPr="004C78D8">
        <w:t xml:space="preserve"> strategies </w:t>
      </w:r>
      <w:r w:rsidR="00087841" w:rsidRPr="004C78D8">
        <w:t xml:space="preserve">for falls prevention </w:t>
      </w:r>
      <w:r w:rsidR="006F1295" w:rsidRPr="004C78D8">
        <w:t xml:space="preserve">but also the </w:t>
      </w:r>
      <w:r w:rsidR="001B69C4" w:rsidRPr="004C78D8">
        <w:t xml:space="preserve">conceptual model </w:t>
      </w:r>
      <w:r w:rsidR="006F1295" w:rsidRPr="004C78D8">
        <w:t>development.</w:t>
      </w:r>
      <w:r w:rsidR="001B69C4" w:rsidRPr="004C78D8">
        <w:t xml:space="preserve"> </w:t>
      </w:r>
      <w:r w:rsidR="006C78F1" w:rsidRPr="004C78D8">
        <w:t xml:space="preserve">Chapter </w:t>
      </w:r>
      <w:r w:rsidR="001B69C4" w:rsidRPr="004C78D8">
        <w:t>3</w:t>
      </w:r>
      <w:r w:rsidR="006C78F1" w:rsidRPr="004C78D8">
        <w:t xml:space="preserve"> </w:t>
      </w:r>
      <w:r w:rsidR="001B69C4" w:rsidRPr="004C78D8">
        <w:t>describes</w:t>
      </w:r>
      <w:r w:rsidR="006C78F1" w:rsidRPr="004C78D8">
        <w:t xml:space="preserve"> the </w:t>
      </w:r>
      <w:r w:rsidR="001B69C4" w:rsidRPr="004C78D8">
        <w:t>conceptual model for falls prevention economic evaluation</w:t>
      </w:r>
      <w:r w:rsidR="00FB1287" w:rsidRPr="004C78D8">
        <w:t xml:space="preserve"> in Sheffield</w:t>
      </w:r>
      <w:r w:rsidR="001B69C4" w:rsidRPr="004C78D8">
        <w:t>, informed by the qualitative research, wider stakeholder consultations and the falls prevention and geriatric health literature</w:t>
      </w:r>
      <w:r w:rsidR="006C78F1" w:rsidRPr="004C78D8">
        <w:t>. Th</w:t>
      </w:r>
      <w:r w:rsidR="006A1712" w:rsidRPr="004C78D8">
        <w:t>e</w:t>
      </w:r>
      <w:r w:rsidR="006C78F1" w:rsidRPr="004C78D8">
        <w:t xml:space="preserve"> </w:t>
      </w:r>
      <w:r w:rsidR="001B69C4" w:rsidRPr="004C78D8">
        <w:t xml:space="preserve">conceptualisation </w:t>
      </w:r>
      <w:r w:rsidR="006C78F1" w:rsidRPr="004C78D8">
        <w:t xml:space="preserve">is informed by the guideline on </w:t>
      </w:r>
      <w:r w:rsidR="001B69C4" w:rsidRPr="004C78D8">
        <w:t>developing</w:t>
      </w:r>
      <w:r w:rsidR="006C78F1" w:rsidRPr="004C78D8">
        <w:t xml:space="preserve"> the structure of public health economic models </w:t>
      </w:r>
      <w:r w:rsidR="006C78F1" w:rsidRPr="004C78D8">
        <w:fldChar w:fldCharType="begin"/>
      </w:r>
      <w:r w:rsidR="006C78F1" w:rsidRPr="004C78D8">
        <w:instrText xml:space="preserve"> ADDIN EN.CITE &lt;EndNote&gt;&lt;Cite&gt;&lt;Author&gt;Squires&lt;/Author&gt;&lt;Year&gt;2016&lt;/Year&gt;&lt;RecNum&gt;158&lt;/RecNum&gt;&lt;DisplayText&gt;[1]&lt;/DisplayText&gt;&lt;record&gt;&lt;rec-number&gt;158&lt;/rec-number&gt;&lt;foreign-keys&gt;&lt;key app="EN" db-id="tdtrdw9aepptzbefsat599syza29sxsd2wsp" timestamp="1609254669"&gt;158&lt;/key&gt;&lt;/foreign-keys&gt;&lt;ref-type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framework for developing the structure of public health economic models&lt;/title&gt;&lt;secondary-title&gt;Value in Health&lt;/secondary-title&gt;&lt;/titles&gt;&lt;periodical&gt;&lt;full-title&gt;Value in Health&lt;/full-title&gt;&lt;/periodical&gt;&lt;pages&gt;588-601&lt;/pages&gt;&lt;volume&gt;19&lt;/volume&gt;&lt;number&gt;5&lt;/number&gt;&lt;dates&gt;&lt;year&gt;2016&lt;/year&gt;&lt;/dates&gt;&lt;isbn&gt;1098-3015&lt;/isbn&gt;&lt;urls&gt;&lt;/urls&gt;&lt;research-notes&gt;1&lt;/research-notes&gt;&lt;/record&gt;&lt;/Cite&gt;&lt;/EndNote&gt;</w:instrText>
      </w:r>
      <w:r w:rsidR="006C78F1" w:rsidRPr="004C78D8">
        <w:fldChar w:fldCharType="separate"/>
      </w:r>
      <w:r w:rsidR="006C78F1" w:rsidRPr="004C78D8">
        <w:rPr>
          <w:noProof/>
        </w:rPr>
        <w:t>[1]</w:t>
      </w:r>
      <w:r w:rsidR="006C78F1" w:rsidRPr="004C78D8">
        <w:fldChar w:fldCharType="end"/>
      </w:r>
      <w:r w:rsidR="006C78F1" w:rsidRPr="004C78D8">
        <w:t xml:space="preserve">. </w:t>
      </w:r>
      <w:r w:rsidR="00D722A1" w:rsidRPr="004C78D8">
        <w:t xml:space="preserve">The conceptual model will inform all subsequent chapters. </w:t>
      </w:r>
    </w:p>
    <w:p w14:paraId="63E0EFF7" w14:textId="6A0DD411" w:rsidR="00186CA0" w:rsidRPr="004C78D8" w:rsidRDefault="00111C0E" w:rsidP="00FB7C1F">
      <w:r w:rsidRPr="004C78D8">
        <w:t>Conducting a systematic review of existing models is an important step in the development of a falls prevention model</w:t>
      </w:r>
      <w:r w:rsidR="00A66502" w:rsidRPr="004C78D8">
        <w:t xml:space="preserve"> </w:t>
      </w:r>
      <w:r w:rsidR="00052FBA" w:rsidRPr="004C78D8">
        <w:fldChar w:fldCharType="begin"/>
      </w:r>
      <w:r w:rsidR="00052FBA" w:rsidRPr="004C78D8">
        <w:instrText xml:space="preserve"> ADDIN EN.CITE &lt;EndNote&gt;&lt;Cite&gt;&lt;Author&gt;Squires&lt;/Author&gt;&lt;Year&gt;2016&lt;/Year&gt;&lt;RecNum&gt;158&lt;/RecNum&gt;&lt;DisplayText&gt;[1]&lt;/DisplayText&gt;&lt;record&gt;&lt;rec-number&gt;158&lt;/rec-number&gt;&lt;foreign-keys&gt;&lt;key app="EN" db-id="tdtrdw9aepptzbefsat599syza29sxsd2wsp" timestamp="1609254669"&gt;158&lt;/key&gt;&lt;/foreign-keys&gt;&lt;ref-type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framework for developing the structure of public health economic models&lt;/title&gt;&lt;secondary-title&gt;Value in Health&lt;/secondary-title&gt;&lt;/titles&gt;&lt;periodical&gt;&lt;full-title&gt;Value in Health&lt;/full-title&gt;&lt;/periodical&gt;&lt;pages&gt;588-601&lt;/pages&gt;&lt;volume&gt;19&lt;/volume&gt;&lt;number&gt;5&lt;/number&gt;&lt;dates&gt;&lt;year&gt;2016&lt;/year&gt;&lt;/dates&gt;&lt;isbn&gt;1098-3015&lt;/isbn&gt;&lt;urls&gt;&lt;/urls&gt;&lt;research-notes&gt;1&lt;/research-notes&gt;&lt;/record&gt;&lt;/Cite&gt;&lt;/EndNote&gt;</w:instrText>
      </w:r>
      <w:r w:rsidR="00052FBA" w:rsidRPr="004C78D8">
        <w:fldChar w:fldCharType="separate"/>
      </w:r>
      <w:r w:rsidR="00052FBA" w:rsidRPr="004C78D8">
        <w:rPr>
          <w:noProof/>
        </w:rPr>
        <w:t>[1]</w:t>
      </w:r>
      <w:r w:rsidR="00052FBA" w:rsidRPr="004C78D8">
        <w:fldChar w:fldCharType="end"/>
      </w:r>
      <w:r w:rsidR="00052FBA" w:rsidRPr="004C78D8">
        <w:t xml:space="preserve">. </w:t>
      </w:r>
      <w:r w:rsidR="00186CA0" w:rsidRPr="004C78D8">
        <w:t xml:space="preserve">Chapter </w:t>
      </w:r>
      <w:r w:rsidR="006443A1" w:rsidRPr="004C78D8">
        <w:t>4</w:t>
      </w:r>
      <w:r w:rsidR="00186CA0" w:rsidRPr="004C78D8">
        <w:t xml:space="preserve"> conducts a </w:t>
      </w:r>
      <w:r w:rsidR="00186CA0" w:rsidRPr="004C78D8">
        <w:rPr>
          <w:i/>
          <w:iCs/>
        </w:rPr>
        <w:t>de novo</w:t>
      </w:r>
      <w:r w:rsidR="00186CA0" w:rsidRPr="004C78D8">
        <w:t xml:space="preserve"> systematic review of falls prevention economic models</w:t>
      </w:r>
      <w:r w:rsidR="00137401" w:rsidRPr="004C78D8">
        <w:t xml:space="preserve"> </w:t>
      </w:r>
      <w:r w:rsidR="006443A1" w:rsidRPr="004C78D8">
        <w:t xml:space="preserve">which formulates methodological </w:t>
      </w:r>
      <w:r w:rsidR="00B4361A" w:rsidRPr="004C78D8">
        <w:t xml:space="preserve">and commissioning recommendations based on the </w:t>
      </w:r>
      <w:r w:rsidR="00B4361A" w:rsidRPr="004C78D8">
        <w:lastRenderedPageBreak/>
        <w:t>methodological features and outcomes of identified models.</w:t>
      </w:r>
      <w:r w:rsidR="00186CA0" w:rsidRPr="004C78D8">
        <w:t xml:space="preserve"> </w:t>
      </w:r>
      <w:r w:rsidR="006443A1" w:rsidRPr="004C78D8">
        <w:t xml:space="preserve">The review methodology is informed by </w:t>
      </w:r>
      <w:r w:rsidR="006443A1" w:rsidRPr="004C78D8">
        <w:t xml:space="preserve">a systematic overview of previous systematic reviews of falls prevention economic evaluations, presented in Appendix C. </w:t>
      </w:r>
    </w:p>
    <w:p w14:paraId="2324A83E" w14:textId="77853E2A" w:rsidR="00054EF8" w:rsidRPr="004C78D8" w:rsidRDefault="00B54E58" w:rsidP="00FB7C1F">
      <w:r w:rsidRPr="004C78D8">
        <w:t xml:space="preserve">Chapter </w:t>
      </w:r>
      <w:r w:rsidR="002477A9" w:rsidRPr="004C78D8">
        <w:t>5</w:t>
      </w:r>
      <w:r w:rsidRPr="004C78D8">
        <w:t xml:space="preserve"> brings together the </w:t>
      </w:r>
      <w:r w:rsidR="007077C8" w:rsidRPr="004C78D8">
        <w:t xml:space="preserve">lessons </w:t>
      </w:r>
      <w:r w:rsidRPr="004C78D8">
        <w:t xml:space="preserve">from </w:t>
      </w:r>
      <w:r w:rsidR="00FB1287" w:rsidRPr="004C78D8">
        <w:t>the previous chapters</w:t>
      </w:r>
      <w:r w:rsidRPr="004C78D8">
        <w:t xml:space="preserve"> to develop </w:t>
      </w:r>
      <w:r w:rsidR="00AF0B03" w:rsidRPr="004C78D8">
        <w:t xml:space="preserve">the </w:t>
      </w:r>
      <w:r w:rsidR="00680F29" w:rsidRPr="004C78D8">
        <w:rPr>
          <w:i/>
          <w:iCs/>
        </w:rPr>
        <w:t>de novo</w:t>
      </w:r>
      <w:r w:rsidR="00680F29" w:rsidRPr="004C78D8">
        <w:t xml:space="preserve"> </w:t>
      </w:r>
      <w:r w:rsidRPr="004C78D8">
        <w:t xml:space="preserve">falls prevention economic model. </w:t>
      </w:r>
      <w:r w:rsidR="00EA1B98" w:rsidRPr="004C78D8">
        <w:t>It also describes the methods and results of model validation</w:t>
      </w:r>
      <w:r w:rsidRPr="004C78D8">
        <w:t xml:space="preserve"> and </w:t>
      </w:r>
      <w:r w:rsidR="00347FBD" w:rsidRPr="004C78D8">
        <w:t xml:space="preserve">the model </w:t>
      </w:r>
      <w:r w:rsidR="00680F29" w:rsidRPr="004C78D8">
        <w:t>analysis</w:t>
      </w:r>
      <w:r w:rsidR="00347FBD" w:rsidRPr="004C78D8">
        <w:t xml:space="preserve"> methods</w:t>
      </w:r>
      <w:r w:rsidRPr="004C78D8">
        <w:t xml:space="preserve">. Chapter </w:t>
      </w:r>
      <w:r w:rsidR="002477A9" w:rsidRPr="004C78D8">
        <w:t>6</w:t>
      </w:r>
      <w:r w:rsidRPr="004C78D8">
        <w:t xml:space="preserve"> presents the </w:t>
      </w:r>
      <w:r w:rsidR="006A1712" w:rsidRPr="004C78D8">
        <w:t xml:space="preserve">model </w:t>
      </w:r>
      <w:r w:rsidR="00680F29" w:rsidRPr="004C78D8">
        <w:t xml:space="preserve">analysis </w:t>
      </w:r>
      <w:r w:rsidRPr="004C78D8">
        <w:t>results</w:t>
      </w:r>
      <w:r w:rsidR="00FB1287" w:rsidRPr="004C78D8">
        <w:t>, formulates commissioning recommendations</w:t>
      </w:r>
      <w:r w:rsidR="00745923" w:rsidRPr="004C78D8">
        <w:t>,</w:t>
      </w:r>
      <w:r w:rsidR="00FB1287" w:rsidRPr="004C78D8">
        <w:t xml:space="preserve"> and discusses the strengths and limitations of the model</w:t>
      </w:r>
      <w:r w:rsidRPr="004C78D8">
        <w:t xml:space="preserve">. Chapter </w:t>
      </w:r>
      <w:r w:rsidR="002477A9" w:rsidRPr="004C78D8">
        <w:t>7</w:t>
      </w:r>
      <w:r w:rsidRPr="004C78D8">
        <w:t xml:space="preserve"> summarises the </w:t>
      </w:r>
      <w:r w:rsidR="00680F29" w:rsidRPr="004C78D8">
        <w:t>key contributions of this study</w:t>
      </w:r>
      <w:r w:rsidRPr="004C78D8">
        <w:t xml:space="preserve"> </w:t>
      </w:r>
      <w:r w:rsidR="00680F29" w:rsidRPr="004C78D8">
        <w:t>to the literature</w:t>
      </w:r>
      <w:r w:rsidRPr="004C78D8">
        <w:t xml:space="preserve">, </w:t>
      </w:r>
      <w:r w:rsidR="00680F29" w:rsidRPr="004C78D8">
        <w:t xml:space="preserve">explores how the key </w:t>
      </w:r>
      <w:r w:rsidR="007077C8" w:rsidRPr="004C78D8">
        <w:t>lesson</w:t>
      </w:r>
      <w:r w:rsidR="002477A9" w:rsidRPr="004C78D8">
        <w:t xml:space="preserve">s </w:t>
      </w:r>
      <w:r w:rsidR="00680F29" w:rsidRPr="004C78D8">
        <w:t xml:space="preserve">can be applied to further geriatric public health modelling, </w:t>
      </w:r>
      <w:r w:rsidRPr="004C78D8">
        <w:t>suggests areas of further research</w:t>
      </w:r>
      <w:r w:rsidR="00745923" w:rsidRPr="004C78D8">
        <w:t>, and concludes</w:t>
      </w:r>
      <w:r w:rsidRPr="004C78D8">
        <w:t xml:space="preserve">.  </w:t>
      </w:r>
      <w:r w:rsidR="00186CA0" w:rsidRPr="004C78D8">
        <w:t xml:space="preserve"> </w:t>
      </w:r>
      <w:r w:rsidR="00052FBA" w:rsidRPr="004C78D8">
        <w:t xml:space="preserve">  </w:t>
      </w:r>
      <w:r w:rsidR="00111C0E" w:rsidRPr="004C78D8">
        <w:t xml:space="preserve"> </w:t>
      </w:r>
      <w:r w:rsidR="00DC5A8F" w:rsidRPr="004C78D8">
        <w:t xml:space="preserve">   </w:t>
      </w:r>
      <w:r w:rsidR="00A43E9D" w:rsidRPr="004C78D8">
        <w:t xml:space="preserve">  </w:t>
      </w:r>
    </w:p>
    <w:p w14:paraId="59922AB2" w14:textId="4DAEB73C" w:rsidR="001002D0" w:rsidRPr="004C78D8" w:rsidRDefault="006443A1" w:rsidP="00FB7C1F">
      <w:r w:rsidRPr="004C78D8">
        <w:rPr>
          <w:noProof/>
          <w:lang w:eastAsia="en-GB"/>
        </w:rPr>
        <w:drawing>
          <wp:inline distT="0" distB="0" distL="0" distR="0" wp14:anchorId="4828CB22" wp14:editId="40ADA82F">
            <wp:extent cx="5731510" cy="6069965"/>
            <wp:effectExtent l="0" t="0" r="2540" b="698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6069965"/>
                    </a:xfrm>
                    <a:prstGeom prst="rect">
                      <a:avLst/>
                    </a:prstGeom>
                    <a:noFill/>
                    <a:ln>
                      <a:noFill/>
                    </a:ln>
                  </pic:spPr>
                </pic:pic>
              </a:graphicData>
            </a:graphic>
          </wp:inline>
        </w:drawing>
      </w:r>
      <w:r w:rsidR="001002D0" w:rsidRPr="004C78D8">
        <w:t xml:space="preserve">  </w:t>
      </w:r>
    </w:p>
    <w:p w14:paraId="675E1BBF" w14:textId="212A8166" w:rsidR="001002D0" w:rsidRPr="004C78D8" w:rsidRDefault="001002D0" w:rsidP="00FB7C1F">
      <w:r w:rsidRPr="004C78D8">
        <w:rPr>
          <w:b/>
          <w:bCs/>
        </w:rPr>
        <w:t>Figure 1.</w:t>
      </w:r>
      <w:r w:rsidR="006A1712" w:rsidRPr="004C78D8">
        <w:rPr>
          <w:b/>
          <w:bCs/>
        </w:rPr>
        <w:t>2</w:t>
      </w:r>
      <w:r w:rsidRPr="004C78D8">
        <w:t xml:space="preserve"> Thesis structure </w:t>
      </w:r>
      <w:r w:rsidR="00054EF8" w:rsidRPr="004C78D8">
        <w:t>by chapter.</w:t>
      </w:r>
    </w:p>
    <w:p w14:paraId="424AB4F7" w14:textId="77777777" w:rsidR="004A6FD2" w:rsidRPr="004C78D8" w:rsidRDefault="004A6FD2" w:rsidP="00FB7C1F"/>
    <w:p w14:paraId="42F07B1D" w14:textId="23BBFAD8" w:rsidR="00CD08C6" w:rsidRPr="004C78D8" w:rsidRDefault="00CD08C6" w:rsidP="00FB7C1F"/>
    <w:p w14:paraId="58FE9A0A" w14:textId="77777777" w:rsidR="004A6FD2" w:rsidRPr="004C78D8" w:rsidRDefault="004A6FD2" w:rsidP="00FB7C1F"/>
    <w:p w14:paraId="5C971959" w14:textId="77777777" w:rsidR="00EC15E7" w:rsidRPr="004C78D8" w:rsidRDefault="00EC15E7" w:rsidP="00FB7C1F"/>
    <w:p w14:paraId="08408748" w14:textId="23D39B95" w:rsidR="00C21D65" w:rsidRPr="004C78D8" w:rsidRDefault="00C21D65" w:rsidP="00972766">
      <w:pPr>
        <w:pStyle w:val="Heading1"/>
      </w:pPr>
      <w:bookmarkStart w:id="37" w:name="_Toc93566850"/>
      <w:bookmarkStart w:id="38" w:name="_Toc111630700"/>
      <w:r w:rsidRPr="004C78D8">
        <w:t xml:space="preserve">Chapter 2. </w:t>
      </w:r>
      <w:r w:rsidR="00AF776D" w:rsidRPr="004C78D8">
        <w:t>Qualitative research to inform implementation and economic modelling of falls prevention</w:t>
      </w:r>
      <w:bookmarkEnd w:id="37"/>
      <w:bookmarkEnd w:id="38"/>
    </w:p>
    <w:p w14:paraId="2E929765" w14:textId="77777777" w:rsidR="00C21D65" w:rsidRPr="004C78D8" w:rsidRDefault="00C21D65" w:rsidP="00FB7C1F"/>
    <w:p w14:paraId="48C6C70C" w14:textId="1698086D" w:rsidR="00C21D65" w:rsidRPr="004C78D8" w:rsidRDefault="00C21D65" w:rsidP="00FB7C1F">
      <w:pPr>
        <w:pStyle w:val="Heading2"/>
      </w:pPr>
      <w:bookmarkStart w:id="39" w:name="_Toc93566851"/>
      <w:bookmarkStart w:id="40" w:name="_Toc111630701"/>
      <w:r w:rsidRPr="004C78D8">
        <w:t>2.1 Chapter outline</w:t>
      </w:r>
      <w:bookmarkEnd w:id="39"/>
      <w:bookmarkEnd w:id="40"/>
    </w:p>
    <w:p w14:paraId="26D13E28" w14:textId="6810863F" w:rsidR="005741C9" w:rsidRPr="004C78D8" w:rsidRDefault="003D7768" w:rsidP="00FB7C1F">
      <w:pPr>
        <w:spacing w:line="276" w:lineRule="auto"/>
      </w:pPr>
      <w:r w:rsidRPr="004C78D8">
        <w:t xml:space="preserve">This chapter aims to capture the subjective views of older people in Sheffield on implementing the NICE CG161 guideline on community-based falls prevention and use the qualitative data to </w:t>
      </w:r>
      <w:r w:rsidR="00A10EA7" w:rsidRPr="004C78D8">
        <w:t>help develop the</w:t>
      </w:r>
      <w:r w:rsidRPr="004C78D8">
        <w:t xml:space="preserve"> conceptual </w:t>
      </w:r>
      <w:r w:rsidR="00A10EA7" w:rsidRPr="004C78D8">
        <w:t xml:space="preserve">model of </w:t>
      </w:r>
      <w:r w:rsidRPr="004C78D8">
        <w:t xml:space="preserve">falls prevention in Chapter 3. The data </w:t>
      </w:r>
      <w:r w:rsidR="00A10EA7" w:rsidRPr="004C78D8">
        <w:t>c</w:t>
      </w:r>
      <w:r w:rsidRPr="004C78D8">
        <w:t xml:space="preserve">ould also directly </w:t>
      </w:r>
      <w:r w:rsidR="00A10EA7" w:rsidRPr="004C78D8">
        <w:t>inform</w:t>
      </w:r>
      <w:r w:rsidRPr="004C78D8">
        <w:t xml:space="preserve"> commissioning decisions in </w:t>
      </w:r>
      <w:r w:rsidR="00680022" w:rsidRPr="004C78D8">
        <w:t xml:space="preserve">Sheffield and </w:t>
      </w:r>
      <w:r w:rsidR="00A10EA7" w:rsidRPr="004C78D8">
        <w:t xml:space="preserve">in </w:t>
      </w:r>
      <w:r w:rsidR="00680022" w:rsidRPr="004C78D8">
        <w:t xml:space="preserve">other </w:t>
      </w:r>
      <w:r w:rsidR="00A10EA7" w:rsidRPr="004C78D8">
        <w:t xml:space="preserve">similar </w:t>
      </w:r>
      <w:r w:rsidRPr="004C78D8">
        <w:t>local health economies seeking to implement CG161</w:t>
      </w:r>
      <w:r w:rsidR="00A27969" w:rsidRPr="004C78D8">
        <w:t>.</w:t>
      </w:r>
      <w:r w:rsidRPr="004C78D8">
        <w:t xml:space="preserve"> </w:t>
      </w:r>
      <w:r w:rsidR="005741C9" w:rsidRPr="004C78D8">
        <w:t>The research objectives are to:</w:t>
      </w:r>
    </w:p>
    <w:p w14:paraId="444A5275" w14:textId="18EB0FA7" w:rsidR="005741C9" w:rsidRPr="004C78D8" w:rsidRDefault="00A27969" w:rsidP="00FB7C1F">
      <w:pPr>
        <w:numPr>
          <w:ilvl w:val="0"/>
          <w:numId w:val="22"/>
        </w:numPr>
        <w:pBdr>
          <w:top w:val="nil"/>
          <w:left w:val="nil"/>
          <w:bottom w:val="nil"/>
          <w:right w:val="nil"/>
          <w:between w:val="nil"/>
        </w:pBdr>
        <w:spacing w:after="0" w:line="276" w:lineRule="auto"/>
        <w:rPr>
          <w:color w:val="000000"/>
        </w:rPr>
      </w:pPr>
      <w:r w:rsidRPr="004C78D8">
        <w:rPr>
          <w:color w:val="000000"/>
        </w:rPr>
        <w:t>Identify the facilitators and barriers for implementing key components of the CG161 community-based falls prevention pathway – including falls risk screening and assessment, falls risk awareness, and uptake and adherence of treatments within multifactorial intervention – and contextual factors influencing the pathway implementation in Sheffield</w:t>
      </w:r>
      <w:r w:rsidR="005741C9" w:rsidRPr="004C78D8">
        <w:rPr>
          <w:color w:val="000000"/>
        </w:rPr>
        <w:t>.</w:t>
      </w:r>
    </w:p>
    <w:p w14:paraId="724A28BE" w14:textId="584B1510" w:rsidR="005741C9" w:rsidRPr="004C78D8" w:rsidRDefault="00A27969" w:rsidP="00FB7C1F">
      <w:pPr>
        <w:numPr>
          <w:ilvl w:val="0"/>
          <w:numId w:val="22"/>
        </w:numPr>
        <w:pBdr>
          <w:top w:val="nil"/>
          <w:left w:val="nil"/>
          <w:bottom w:val="nil"/>
          <w:right w:val="nil"/>
          <w:between w:val="nil"/>
        </w:pBdr>
        <w:spacing w:after="0" w:line="276" w:lineRule="auto"/>
        <w:rPr>
          <w:color w:val="000000"/>
        </w:rPr>
      </w:pPr>
      <w:r w:rsidRPr="004C78D8">
        <w:rPr>
          <w:color w:val="000000"/>
        </w:rPr>
        <w:t>Inform potential local commissioning strategies on falls prevention by understanding the causal mechanisms in context, supply, need and demand that influence implementation</w:t>
      </w:r>
      <w:r w:rsidR="005741C9" w:rsidRPr="004C78D8">
        <w:rPr>
          <w:color w:val="000000"/>
        </w:rPr>
        <w:t xml:space="preserve">. </w:t>
      </w:r>
    </w:p>
    <w:p w14:paraId="220A03DA" w14:textId="1EBD51D2" w:rsidR="005741C9" w:rsidRPr="004C78D8" w:rsidRDefault="00A27969" w:rsidP="00FB7C1F">
      <w:pPr>
        <w:numPr>
          <w:ilvl w:val="0"/>
          <w:numId w:val="22"/>
        </w:numPr>
        <w:pBdr>
          <w:top w:val="nil"/>
          <w:left w:val="nil"/>
          <w:bottom w:val="nil"/>
          <w:right w:val="nil"/>
          <w:between w:val="nil"/>
        </w:pBdr>
        <w:spacing w:after="0" w:line="276" w:lineRule="auto"/>
        <w:rPr>
          <w:color w:val="000000"/>
        </w:rPr>
      </w:pPr>
      <w:r w:rsidRPr="004C78D8">
        <w:rPr>
          <w:color w:val="000000"/>
        </w:rPr>
        <w:t>Identify the methodological and evaluative challenges associated with developing a</w:t>
      </w:r>
      <w:r w:rsidR="00D50294" w:rsidRPr="004C78D8">
        <w:rPr>
          <w:color w:val="000000"/>
        </w:rPr>
        <w:t xml:space="preserve">n </w:t>
      </w:r>
      <w:r w:rsidRPr="004C78D8">
        <w:rPr>
          <w:color w:val="000000"/>
        </w:rPr>
        <w:t>economic model of falls prevention in the local context</w:t>
      </w:r>
      <w:r w:rsidR="005741C9" w:rsidRPr="004C78D8">
        <w:rPr>
          <w:color w:val="000000"/>
        </w:rPr>
        <w:t>.</w:t>
      </w:r>
    </w:p>
    <w:p w14:paraId="33AF386E" w14:textId="77777777" w:rsidR="00A27969" w:rsidRPr="004C78D8" w:rsidRDefault="00A27969" w:rsidP="00FB7C1F">
      <w:pPr>
        <w:pBdr>
          <w:top w:val="nil"/>
          <w:left w:val="nil"/>
          <w:bottom w:val="nil"/>
          <w:right w:val="nil"/>
          <w:between w:val="nil"/>
        </w:pBdr>
        <w:spacing w:after="0" w:line="276" w:lineRule="auto"/>
        <w:rPr>
          <w:color w:val="000000"/>
        </w:rPr>
      </w:pPr>
    </w:p>
    <w:p w14:paraId="4B18E51E" w14:textId="151A8339" w:rsidR="00103C60" w:rsidRPr="004C78D8" w:rsidRDefault="00D50294" w:rsidP="00FB7C1F">
      <w:pPr>
        <w:pBdr>
          <w:top w:val="nil"/>
          <w:left w:val="nil"/>
          <w:bottom w:val="nil"/>
          <w:right w:val="nil"/>
          <w:between w:val="nil"/>
        </w:pBdr>
        <w:spacing w:after="0" w:line="276" w:lineRule="auto"/>
      </w:pPr>
      <w:r w:rsidRPr="004C78D8">
        <w:rPr>
          <w:color w:val="000000"/>
        </w:rPr>
        <w:t>As noted, t</w:t>
      </w:r>
      <w:r w:rsidR="00A27969" w:rsidRPr="004C78D8">
        <w:rPr>
          <w:color w:val="000000"/>
        </w:rPr>
        <w:t xml:space="preserve">he </w:t>
      </w:r>
      <w:r w:rsidR="00705C6B" w:rsidRPr="004C78D8">
        <w:t xml:space="preserve">facilitators and barriers identified under the first objective would be generalisable to other urban community settings in England and Wales and hence be of interest to professionals and patient groups seeking to </w:t>
      </w:r>
      <w:r w:rsidRPr="004C78D8">
        <w:t xml:space="preserve">implement </w:t>
      </w:r>
      <w:r w:rsidR="001E5624" w:rsidRPr="004C78D8">
        <w:t xml:space="preserve">NICE </w:t>
      </w:r>
      <w:r w:rsidRPr="004C78D8">
        <w:t>C</w:t>
      </w:r>
      <w:r w:rsidR="001E5624" w:rsidRPr="004C78D8">
        <w:t xml:space="preserve">G161. Findings from the second objective would likewise inform commissioners overseeing similar urban community settings. </w:t>
      </w:r>
      <w:r w:rsidR="00603724" w:rsidRPr="004C78D8">
        <w:t>Methodological steps taken to achieve the third objective should inform e</w:t>
      </w:r>
      <w:r w:rsidR="00705C6B" w:rsidRPr="004C78D8">
        <w:t>conomic modellers and qualitative researchers</w:t>
      </w:r>
      <w:r w:rsidR="00603724" w:rsidRPr="004C78D8">
        <w:t xml:space="preserve"> working </w:t>
      </w:r>
      <w:r w:rsidR="00AE0F61" w:rsidRPr="004C78D8">
        <w:t xml:space="preserve">jointly </w:t>
      </w:r>
      <w:r w:rsidR="00603724" w:rsidRPr="004C78D8">
        <w:t xml:space="preserve">under projects </w:t>
      </w:r>
      <w:r w:rsidR="00880D07" w:rsidRPr="004C78D8">
        <w:t>that involve both research designs</w:t>
      </w:r>
      <w:r w:rsidR="00633E5C" w:rsidRPr="004C78D8">
        <w:t>, whether in falls prevention or other public health areas</w:t>
      </w:r>
      <w:r w:rsidR="00705C6B" w:rsidRPr="004C78D8">
        <w:t>.</w:t>
      </w:r>
      <w:r w:rsidR="00103C60" w:rsidRPr="004C78D8">
        <w:t xml:space="preserve"> </w:t>
      </w:r>
      <w:r w:rsidR="00C21D65" w:rsidRPr="004C78D8">
        <w:t xml:space="preserve">Section 2.2 provides further background to the qualitative </w:t>
      </w:r>
      <w:r w:rsidR="008426BF" w:rsidRPr="004C78D8">
        <w:t>study</w:t>
      </w:r>
      <w:r w:rsidR="00C21D65" w:rsidRPr="004C78D8">
        <w:t>. Section</w:t>
      </w:r>
      <w:r w:rsidR="008426BF" w:rsidRPr="004C78D8">
        <w:t>s</w:t>
      </w:r>
      <w:r w:rsidR="00C21D65" w:rsidRPr="004C78D8">
        <w:t xml:space="preserve"> </w:t>
      </w:r>
      <w:r w:rsidR="008426BF" w:rsidRPr="004C78D8">
        <w:t xml:space="preserve">2.3 and </w:t>
      </w:r>
      <w:r w:rsidR="00C21D65" w:rsidRPr="004C78D8">
        <w:t>2.</w:t>
      </w:r>
      <w:r w:rsidR="008426BF" w:rsidRPr="004C78D8">
        <w:t>4</w:t>
      </w:r>
      <w:r w:rsidR="00C21D65" w:rsidRPr="004C78D8">
        <w:t xml:space="preserve"> provide the study methods</w:t>
      </w:r>
      <w:r w:rsidR="008426BF" w:rsidRPr="004C78D8">
        <w:t xml:space="preserve"> and</w:t>
      </w:r>
      <w:r w:rsidR="00C21D65" w:rsidRPr="004C78D8">
        <w:t xml:space="preserve"> results. Section 2.5 discusses the findings and Section 2.6 summarises the chapter.</w:t>
      </w:r>
    </w:p>
    <w:p w14:paraId="4DF3BD20" w14:textId="77777777" w:rsidR="00103C60" w:rsidRPr="004C78D8" w:rsidRDefault="00103C60" w:rsidP="00FB7C1F">
      <w:pPr>
        <w:pBdr>
          <w:top w:val="nil"/>
          <w:left w:val="nil"/>
          <w:bottom w:val="nil"/>
          <w:right w:val="nil"/>
          <w:between w:val="nil"/>
        </w:pBdr>
        <w:spacing w:after="0" w:line="276" w:lineRule="auto"/>
      </w:pPr>
    </w:p>
    <w:p w14:paraId="64CC67FC" w14:textId="77350933" w:rsidR="00103C60" w:rsidRPr="004C78D8" w:rsidRDefault="00680022" w:rsidP="00FB7C1F">
      <w:pPr>
        <w:rPr>
          <w:rFonts w:eastAsia="Times New Roman"/>
          <w:color w:val="000000"/>
          <w:lang w:eastAsia="zh-CN"/>
        </w:rPr>
      </w:pPr>
      <w:r w:rsidRPr="004C78D8">
        <w:t xml:space="preserve">This chapter was published </w:t>
      </w:r>
      <w:r w:rsidR="004150CA" w:rsidRPr="004C78D8">
        <w:t xml:space="preserve">as </w:t>
      </w:r>
      <w:r w:rsidR="005E0542" w:rsidRPr="004C78D8">
        <w:t xml:space="preserve">an </w:t>
      </w:r>
      <w:r w:rsidR="004150CA" w:rsidRPr="004C78D8">
        <w:t xml:space="preserve">article </w:t>
      </w:r>
      <w:r w:rsidRPr="004C78D8">
        <w:t xml:space="preserve">in </w:t>
      </w:r>
      <w:r w:rsidRPr="004C78D8">
        <w:rPr>
          <w:i/>
          <w:iCs/>
        </w:rPr>
        <w:t xml:space="preserve">BMC Health Services Research </w:t>
      </w:r>
      <w:r w:rsidRPr="004C78D8">
        <w:t>in 2021</w:t>
      </w:r>
      <w:r w:rsidR="003D2DAC" w:rsidRPr="004C78D8">
        <w:t xml:space="preserve"> </w:t>
      </w:r>
      <w:r w:rsidR="003D2DAC" w:rsidRPr="004C78D8">
        <w:fldChar w:fldCharType="begin"/>
      </w:r>
      <w:r w:rsidR="00C630FC" w:rsidRPr="004C78D8">
        <w:instrText xml:space="preserve"> ADDIN EN.CITE &lt;EndNote&gt;&lt;Cite&gt;&lt;Author&gt;Kwon&lt;/Author&gt;&lt;Year&gt;2021&lt;/Year&gt;&lt;RecNum&gt;778&lt;/RecNum&gt;&lt;DisplayText&gt;[177]&lt;/DisplayText&gt;&lt;record&gt;&lt;rec-number&gt;778&lt;/rec-number&gt;&lt;foreign-keys&gt;&lt;key app="EN" db-id="tdtrdw9aepptzbefsat599syza29sxsd2wsp" timestamp="1641824361"&gt;778&lt;/key&gt;&lt;/foreign-keys&gt;&lt;ref-type name="Journal Article"&gt;17&lt;/ref-type&gt;&lt;contributors&gt;&lt;authors&gt;&lt;author&gt;Kwon, Joseph&lt;/author&gt;&lt;author&gt;Lee, Yujin&lt;/author&gt;&lt;author&gt;Young, Tracey&lt;/author&gt;&lt;author&gt;Squires, Hazel&lt;/author&gt;&lt;author&gt;Harris, Janet&lt;/author&gt;&lt;/authors&gt;&lt;/contributors&gt;&lt;titles&gt;&lt;title&gt;Qualitative research to inform economic modelling: a case study in older people’s views on implementing the NICE falls prevention guideline&lt;/title&gt;&lt;secondary-title&gt;BMC health services research&lt;/secondary-title&gt;&lt;/titles&gt;&lt;periodical&gt;&lt;full-title&gt;BMC health services research&lt;/full-title&gt;&lt;/periodical&gt;&lt;pages&gt;1-19&lt;/pages&gt;&lt;volume&gt;21&lt;/volume&gt;&lt;number&gt;1&lt;/number&gt;&lt;dates&gt;&lt;year&gt;2021&lt;/year&gt;&lt;/dates&gt;&lt;isbn&gt;1472-6963&lt;/isbn&gt;&lt;urls&gt;&lt;/urls&gt;&lt;/record&gt;&lt;/Cite&gt;&lt;/EndNote&gt;</w:instrText>
      </w:r>
      <w:r w:rsidR="003D2DAC" w:rsidRPr="004C78D8">
        <w:fldChar w:fldCharType="separate"/>
      </w:r>
      <w:r w:rsidR="00C630FC" w:rsidRPr="004C78D8">
        <w:rPr>
          <w:noProof/>
        </w:rPr>
        <w:t>[177]</w:t>
      </w:r>
      <w:r w:rsidR="003D2DAC" w:rsidRPr="004C78D8">
        <w:fldChar w:fldCharType="end"/>
      </w:r>
      <w:r w:rsidR="003D2DAC" w:rsidRPr="004C78D8">
        <w:t>. Th</w:t>
      </w:r>
      <w:r w:rsidR="004150CA" w:rsidRPr="004C78D8">
        <w:t>e</w:t>
      </w:r>
      <w:r w:rsidR="003D2DAC" w:rsidRPr="004C78D8">
        <w:t xml:space="preserve"> article </w:t>
      </w:r>
      <w:r w:rsidR="004150CA" w:rsidRPr="004C78D8">
        <w:t>is</w:t>
      </w:r>
      <w:r w:rsidR="003D2DAC" w:rsidRPr="004C78D8">
        <w:t xml:space="preserve"> published open access following the requirement of the Wellcome Trust who financially </w:t>
      </w:r>
      <w:r w:rsidR="004150CA" w:rsidRPr="004C78D8">
        <w:t>sponsored</w:t>
      </w:r>
      <w:r w:rsidR="003D2DAC" w:rsidRPr="004C78D8">
        <w:t xml:space="preserve"> this work [grant reference 108903/B/15/Z]. </w:t>
      </w:r>
      <w:r w:rsidR="003D2DAC" w:rsidRPr="004C78D8">
        <w:rPr>
          <w:rFonts w:eastAsia="Times New Roman"/>
          <w:color w:val="000000"/>
          <w:lang w:eastAsia="zh-CN"/>
        </w:rPr>
        <w:t>The conditions of the open access publishing allow use of the final published PDF, original submission or accepted manuscript in this thesis (including in any electronic institutional repository or database). The content of th</w:t>
      </w:r>
      <w:r w:rsidR="00382E8A" w:rsidRPr="004C78D8">
        <w:rPr>
          <w:rFonts w:eastAsia="Times New Roman"/>
          <w:color w:val="000000"/>
          <w:lang w:eastAsia="zh-CN"/>
        </w:rPr>
        <w:t>is</w:t>
      </w:r>
      <w:r w:rsidR="003D2DAC" w:rsidRPr="004C78D8">
        <w:rPr>
          <w:rFonts w:eastAsia="Times New Roman"/>
          <w:color w:val="000000"/>
          <w:lang w:eastAsia="zh-CN"/>
        </w:rPr>
        <w:t xml:space="preserve"> chapter </w:t>
      </w:r>
      <w:r w:rsidR="00382E8A" w:rsidRPr="004C78D8">
        <w:rPr>
          <w:rFonts w:eastAsia="Times New Roman"/>
          <w:color w:val="000000"/>
          <w:lang w:eastAsia="zh-CN"/>
        </w:rPr>
        <w:t>largely overlaps with that of the published article</w:t>
      </w:r>
      <w:r w:rsidR="00363760" w:rsidRPr="004C78D8">
        <w:rPr>
          <w:rFonts w:eastAsia="Times New Roman"/>
          <w:color w:val="000000"/>
          <w:lang w:eastAsia="zh-CN"/>
        </w:rPr>
        <w:t>.</w:t>
      </w:r>
      <w:r w:rsidR="003D2DAC" w:rsidRPr="004C78D8">
        <w:rPr>
          <w:rFonts w:eastAsia="Times New Roman"/>
          <w:color w:val="000000"/>
          <w:lang w:eastAsia="zh-CN"/>
        </w:rPr>
        <w:t xml:space="preserve"> </w:t>
      </w:r>
      <w:r w:rsidR="00C45E0E" w:rsidRPr="004C78D8">
        <w:rPr>
          <w:rFonts w:eastAsia="Times New Roman"/>
          <w:color w:val="000000"/>
          <w:lang w:eastAsia="zh-CN"/>
        </w:rPr>
        <w:t>See Author contributions in Appendi</w:t>
      </w:r>
      <w:r w:rsidR="00B1573A">
        <w:rPr>
          <w:rFonts w:eastAsia="Times New Roman"/>
          <w:color w:val="000000"/>
          <w:lang w:eastAsia="zh-CN"/>
        </w:rPr>
        <w:t>ces</w:t>
      </w:r>
      <w:r w:rsidR="00C45E0E" w:rsidRPr="004C78D8">
        <w:rPr>
          <w:rFonts w:eastAsia="Times New Roman"/>
          <w:color w:val="000000"/>
          <w:lang w:eastAsia="zh-CN"/>
        </w:rPr>
        <w:t xml:space="preserve"> for co-authors’ contributions.</w:t>
      </w:r>
    </w:p>
    <w:p w14:paraId="68B30084" w14:textId="0466637A" w:rsidR="005741C9" w:rsidRPr="004C78D8" w:rsidRDefault="005741C9" w:rsidP="00FB7C1F"/>
    <w:p w14:paraId="6702F86A" w14:textId="2C5E6DD0" w:rsidR="008426BF" w:rsidRPr="004C78D8" w:rsidRDefault="008426BF" w:rsidP="00FB7C1F">
      <w:pPr>
        <w:pStyle w:val="Heading2"/>
      </w:pPr>
      <w:bookmarkStart w:id="41" w:name="_Toc93566852"/>
      <w:bookmarkStart w:id="42" w:name="_Toc111630702"/>
      <w:r w:rsidRPr="004C78D8">
        <w:t>2.2 Qualitative study background</w:t>
      </w:r>
      <w:bookmarkEnd w:id="41"/>
      <w:bookmarkEnd w:id="42"/>
    </w:p>
    <w:p w14:paraId="37F6C806" w14:textId="68A6E968" w:rsidR="00103C60" w:rsidRPr="004C78D8" w:rsidRDefault="00A7316D" w:rsidP="00FB7C1F">
      <w:r w:rsidRPr="004C78D8">
        <w:t xml:space="preserve">As discussed in Section 1.3.3.2, the range of components involved in the NICE-recommended falls prevention programme (e.g., routine falls risk screening, multifactorial intervention) introduces substantial complexity to the programme implementation </w:t>
      </w:r>
      <w:r w:rsidRPr="004C78D8">
        <w:fldChar w:fldCharType="begin">
          <w:fldData xml:space="preserve">PEVuZE5vdGU+PENpdGU+PEF1dGhvcj5UaW5ldHRpPC9BdXRob3I+PFllYXI+MjAwNjwvWWVhcj48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==
</w:fldData>
        </w:fldChar>
      </w:r>
      <w:r w:rsidR="00C630FC" w:rsidRPr="004C78D8">
        <w:instrText xml:space="preserve"> ADDIN EN.CITE </w:instrText>
      </w:r>
      <w:r w:rsidR="00C630FC" w:rsidRPr="004C78D8">
        <w:fldChar w:fldCharType="begin">
          <w:fldData xml:space="preserve">PEVuZE5vdGU+PENpdGU+PEF1dGhvcj5UaW5ldHRpPC9BdXRob3I+PFllYXI+MjAwNjwvWWVhcj48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==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[22, 178-180]</w:t>
      </w:r>
      <w:r w:rsidRPr="004C78D8">
        <w:fldChar w:fldCharType="end"/>
      </w:r>
      <w:r w:rsidRPr="004C78D8">
        <w:t xml:space="preserve">. </w:t>
      </w:r>
      <w:r w:rsidR="0075123C" w:rsidRPr="004C78D8">
        <w:t xml:space="preserve">This complexity is common to geriatric public health interventions in general </w:t>
      </w:r>
      <w:r w:rsidR="00125A94" w:rsidRPr="004C78D8">
        <w:t>(</w:t>
      </w:r>
      <w:r w:rsidR="0075123C" w:rsidRPr="004C78D8">
        <w:t>Section 1.3.3.3</w:t>
      </w:r>
      <w:r w:rsidR="00125A94" w:rsidRPr="004C78D8">
        <w:t>)</w:t>
      </w:r>
      <w:r w:rsidR="0075123C" w:rsidRPr="004C78D8">
        <w:t xml:space="preserve">. </w:t>
      </w:r>
      <w:r w:rsidRPr="004C78D8">
        <w:t xml:space="preserve">The implementation quality </w:t>
      </w:r>
      <w:r w:rsidR="0075123C" w:rsidRPr="004C78D8">
        <w:t xml:space="preserve">of falls prevention </w:t>
      </w:r>
      <w:r w:rsidRPr="004C78D8">
        <w:t xml:space="preserve">can be suboptimal even in well-resourced trial settings </w:t>
      </w:r>
      <w:r w:rsidRPr="004C78D8">
        <w:fldChar w:fldCharType="begin">
          <w:fldData xml:space="preserve">PEVuZE5vdGU+PENpdGU+PEF1dGhvcj5JbGlmZmU8L0F1dGhvcj48WWVhcj4yMDE0PC9ZZWFyPjxS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</w:fldData>
        </w:fldChar>
      </w:r>
      <w:r w:rsidR="00513646" w:rsidRPr="004C78D8">
        <w:instrText xml:space="preserve"> ADDIN EN.CITE </w:instrText>
      </w:r>
      <w:r w:rsidR="00513646" w:rsidRPr="004C78D8">
        <w:fldChar w:fldCharType="begin">
          <w:fldData xml:space="preserve">PEVuZE5vdGU+PENpdGU+PEF1dGhvcj5JbGlmZmU8L0F1dGhvcj48WWVhcj4yMDE0PC9ZZWFyPjxS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</w:fldData>
        </w:fldChar>
      </w:r>
      <w:r w:rsidR="00513646" w:rsidRPr="004C78D8">
        <w:instrText xml:space="preserve"> ADDIN EN.CITE.DATA </w:instrText>
      </w:r>
      <w:r w:rsidR="00513646" w:rsidRPr="004C78D8">
        <w:fldChar w:fldCharType="end"/>
      </w:r>
      <w:r w:rsidRPr="004C78D8">
        <w:fldChar w:fldCharType="separate"/>
      </w:r>
      <w:r w:rsidR="00513646" w:rsidRPr="004C78D8">
        <w:rPr>
          <w:noProof/>
        </w:rPr>
        <w:t>[135, 140]</w:t>
      </w:r>
      <w:r w:rsidRPr="004C78D8">
        <w:fldChar w:fldCharType="end"/>
      </w:r>
      <w:r w:rsidRPr="004C78D8">
        <w:t xml:space="preserve">. Low implementation reduces the effectiveness and population reach/impact of falls prevention </w:t>
      </w:r>
      <w:r w:rsidRPr="004C78D8">
        <w:fldChar w:fldCharType="begin"/>
      </w:r>
      <w:r w:rsidR="00C630FC" w:rsidRPr="004C78D8">
        <w:instrText xml:space="preserve"> ADDIN EN.CITE &lt;EndNote&gt;&lt;Cite&gt;&lt;Author&gt;Pfadenhauer&lt;/Author&gt;&lt;Year&gt;2016&lt;/Year&gt;&lt;RecNum&gt;578&lt;/RecNum&gt;&lt;DisplayText&gt;[181]&lt;/DisplayText&gt;&lt;record&gt;&lt;rec-number&gt;578&lt;/rec-number&gt;&lt;foreign-keys&gt;&lt;key app="EN" db-id="tdtrdw9aepptzbefsat599syza29sxsd2wsp" timestamp="1620727866"&gt;578&lt;/key&gt;&lt;/foreign-keys&gt;&lt;ref-type name="Report"&gt;27&lt;/ref-type&gt;&lt;contributors&gt;&lt;authors&gt;&lt;author&gt;Pfadenhauer, Lisa&lt;/author&gt;&lt;author&gt;Rohwer, Anke&lt;/author&gt;&lt;author&gt;Burns, Jacob&lt;/author&gt;&lt;author&gt;Booth, Andrew&lt;/author&gt;&lt;author&gt;Lysdahl, Kristin Bakke&lt;/author&gt;&lt;author&gt;Hofmann, Björn&lt;/author&gt;&lt;author&gt;Gerhardus, Ansgar&lt;/author&gt;&lt;author&gt;Mozygemba, Kati&lt;/author&gt;&lt;author&gt;Tummers, Marcia&lt;/author&gt;&lt;author&gt;Wahlster, Philip&lt;/author&gt;&lt;/authors&gt;&lt;/contributors&gt;&lt;titles&gt;&lt;title&gt;Guidance for the assessment of context and implementation in health technology assessments (HTA) and systematic reviews of complex interventions: the context and implementation of complex interventions (CICI) framework&lt;/title&gt;&lt;secondary-title&gt;Integrated Health Technology Assessment for Evaluating Complex Technologies (INTEGRATE-HTA)&lt;/secondary-title&gt;&lt;/titles&gt;&lt;dates&gt;&lt;year&gt;2016&lt;/year&gt;&lt;/dates&gt;&lt;pub-location&gt;Available from: http://www.integrate-hta.eu/downloads/&lt;/pub-location&gt;&lt;publisher&gt;European Union&lt;/publisher&gt;&lt;urls&gt;&lt;/urls&gt;&lt;/record&gt;&lt;/Cite&gt;&lt;/EndNote&gt;</w:instrText>
      </w:r>
      <w:r w:rsidRPr="004C78D8">
        <w:fldChar w:fldCharType="separate"/>
      </w:r>
      <w:r w:rsidR="00C630FC" w:rsidRPr="004C78D8">
        <w:rPr>
          <w:noProof/>
        </w:rPr>
        <w:t>[181]</w:t>
      </w:r>
      <w:r w:rsidRPr="004C78D8">
        <w:fldChar w:fldCharType="end"/>
      </w:r>
      <w:r w:rsidRPr="004C78D8">
        <w:t xml:space="preserve">. </w:t>
      </w:r>
    </w:p>
    <w:p w14:paraId="3EA51E52" w14:textId="0E4D0F57" w:rsidR="008426BF" w:rsidRPr="004C78D8" w:rsidRDefault="00A7316D" w:rsidP="00FB7C1F">
      <w:r w:rsidRPr="004C78D8">
        <w:lastRenderedPageBreak/>
        <w:t xml:space="preserve">Accordingly, NICE CG161 incorporated a systematic synthesis of older people’s views on the facilitators and barriers to falls prevention (covering the period 1990-2003), but found no study that explored their views on multifactorial </w:t>
      </w:r>
      <w:r w:rsidR="0075123C" w:rsidRPr="004C78D8">
        <w:t>interventions</w:t>
      </w:r>
      <w:r w:rsidRPr="004C78D8">
        <w:t xml:space="preserve"> (p. 101) </w:t>
      </w:r>
      <w:r w:rsidRPr="004C78D8">
        <w:fldChar w:fldCharType="begin"/>
      </w:r>
      <w:r w:rsidR="00F255A9"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Pr="004C78D8">
        <w:fldChar w:fldCharType="separate"/>
      </w:r>
      <w:r w:rsidR="00F255A9" w:rsidRPr="004C78D8">
        <w:rPr>
          <w:noProof/>
        </w:rPr>
        <w:t>[13]</w:t>
      </w:r>
      <w:r w:rsidRPr="004C78D8">
        <w:fldChar w:fldCharType="end"/>
      </w:r>
      <w:r w:rsidRPr="004C78D8">
        <w:t xml:space="preserve">. More recent qualitative works have likewise focused on specific components of the falls prevention pathway, including receptiveness to falls prevention advice </w:t>
      </w:r>
      <w:r w:rsidRPr="004C78D8">
        <w:fldChar w:fldCharType="begin"/>
      </w:r>
      <w:r w:rsidR="00C630FC" w:rsidRPr="004C78D8">
        <w:instrText xml:space="preserve"> ADDIN EN.CITE &lt;EndNote&gt;&lt;Cite&gt;&lt;Author&gt;Yardley&lt;/Author&gt;&lt;Year&gt;2006&lt;/Year&gt;&lt;RecNum&gt;272&lt;/RecNum&gt;&lt;DisplayText&gt;[182]&lt;/DisplayText&gt;&lt;record&gt;&lt;rec-number&gt;272&lt;/rec-number&gt;&lt;foreign-keys&gt;&lt;key app="EN" db-id="tdtrdw9aepptzbefsat599syza29sxsd2wsp" timestamp="1611693133"&gt;272&lt;/key&gt;&lt;/foreign-keys&gt;&lt;ref-type name="Journal Article"&gt;17&lt;/ref-type&gt;&lt;contributors&gt;&lt;authors&gt;&lt;author&gt;Yardley, L.&lt;/author&gt;&lt;author&gt;Donovan-Hall, M.&lt;/author&gt;&lt;author&gt;Francis, K.&lt;/author&gt;&lt;author&gt;Todd, C.&lt;/author&gt;&lt;/authors&gt;&lt;/contributors&gt;&lt;auth-address&gt;School of Psychology, University of Southampton, Highfield, Southampton SO17 1BJ, UK. l.yardley@soton.ac.uk&lt;/auth-address&gt;&lt;titles&gt;&lt;title&gt;Older people&amp;apos;s views of advice about falls prevention: a qualitative study&lt;/title&gt;&lt;secondary-title&gt;Health Educ Res&lt;/secondary-title&gt;&lt;/titles&gt;&lt;periodical&gt;&lt;full-title&gt;Health Educ Res&lt;/full-title&gt;&lt;/periodical&gt;&lt;pages&gt;508-17&lt;/pages&gt;&lt;volume&gt;21&lt;/volume&gt;&lt;number&gt;4&lt;/number&gt;&lt;keywords&gt;&lt;keyword&gt;Accidental Falls/*prevention &amp;amp; control&lt;/keyword&gt;&lt;keyword&gt;Aged&lt;/keyword&gt;&lt;keyword&gt;Aged, 80 and over&lt;/keyword&gt;&lt;keyword&gt;Communication&lt;/keyword&gt;&lt;keyword&gt;Female&lt;/keyword&gt;&lt;keyword&gt;*Health Education&lt;/keyword&gt;&lt;keyword&gt;*Health Knowledge, Attitudes, Practice&lt;/keyword&gt;&lt;keyword&gt;Humans&lt;/keyword&gt;&lt;keyword&gt;Male&lt;/keyword&gt;&lt;keyword&gt;Middle Aged&lt;/keyword&gt;&lt;keyword&gt;*Qualitative Research&lt;/keyword&gt;&lt;/keywords&gt;&lt;dates&gt;&lt;year&gt;2006&lt;/year&gt;&lt;pub-dates&gt;&lt;date&gt;Aug&lt;/date&gt;&lt;/pub-dates&gt;&lt;/dates&gt;&lt;isbn&gt;0268-1153 (Print)&amp;#xD;0268-1153 (Linking)&lt;/isbn&gt;&lt;accession-num&gt;16467173&lt;/accession-num&gt;&lt;urls&gt;&lt;related-urls&gt;&lt;url&gt;https://www.ncbi.nlm.nih.gov/pubmed/16467173&lt;/url&gt;&lt;/related-urls&gt;&lt;/urls&gt;&lt;electronic-resource-num&gt;10.1093/her/cyh077&lt;/electronic-resource-num&gt;&lt;/record&gt;&lt;/Cite&gt;&lt;/EndNote&gt;</w:instrText>
      </w:r>
      <w:r w:rsidRPr="004C78D8">
        <w:fldChar w:fldCharType="separate"/>
      </w:r>
      <w:r w:rsidR="00C630FC" w:rsidRPr="004C78D8">
        <w:rPr>
          <w:noProof/>
        </w:rPr>
        <w:t>[182]</w:t>
      </w:r>
      <w:r w:rsidRPr="004C78D8">
        <w:fldChar w:fldCharType="end"/>
      </w:r>
      <w:r w:rsidRPr="004C78D8">
        <w:t xml:space="preserve">, falls risk assessment </w:t>
      </w:r>
      <w:r w:rsidRPr="004C78D8">
        <w:fldChar w:fldCharType="begin"/>
      </w:r>
      <w:r w:rsidR="00C630FC" w:rsidRPr="004C78D8">
        <w:instrText xml:space="preserve"> ADDIN EN.CITE &lt;EndNote&gt;&lt;Cite&gt;&lt;Author&gt;Racine&lt;/Author&gt;&lt;Year&gt;2020&lt;/Year&gt;&lt;RecNum&gt;90&lt;/RecNum&gt;&lt;DisplayText&gt;[183]&lt;/DisplayText&gt;&lt;record&gt;&lt;rec-number&gt;90&lt;/rec-number&gt;&lt;foreign-keys&gt;&lt;key app="EN" db-id="tdtrdw9aepptzbefsat599syza29sxsd2wsp" timestamp="1598189248"&gt;90&lt;/key&gt;&lt;/foreign-keys&gt;&lt;ref-type name="Journal Article"&gt;17&lt;/ref-type&gt;&lt;contributors&gt;&lt;authors&gt;&lt;author&gt;Racine, Emmy&lt;/author&gt;&lt;author&gt;Soye, Anna&lt;/author&gt;&lt;author&gt;Barry, Patrick&lt;/author&gt;&lt;author&gt;Cronin, Finola&lt;/author&gt;&lt;author&gt;Hosford, Orla&lt;/author&gt;&lt;author&gt;Moriarty, Eileen&lt;/author&gt;&lt;author&gt;O’Connor, Kieran A&lt;/author&gt;&lt;author&gt;Turvey, Spencer&lt;/author&gt;&lt;author&gt;Timmons, Suzanne&lt;/author&gt;&lt;author&gt;Kearney, Patricia M&lt;/author&gt;&lt;/authors&gt;&lt;/contributors&gt;&lt;titles&gt;&lt;title&gt;‘I’ve always done what I was told by the medical people’: a qualitative study of the reasons why older adults attend multifactorial falls risk assessments mapped to the Theoretical Domains Framework&lt;/title&gt;&lt;secondary-title&gt;BMJ open&lt;/secondary-title&gt;&lt;/titles&gt;&lt;periodical&gt;&lt;full-title&gt;BMJ open&lt;/full-title&gt;&lt;/periodical&gt;&lt;volume&gt;10&lt;/volume&gt;&lt;number&gt;2&lt;/number&gt;&lt;dates&gt;&lt;year&gt;2020&lt;/year&gt;&lt;/dates&gt;&lt;isbn&gt;2044-6055&lt;/isbn&gt;&lt;urls&gt;&lt;/urls&gt;&lt;/record&gt;&lt;/Cite&gt;&lt;/EndNote&gt;</w:instrText>
      </w:r>
      <w:r w:rsidRPr="004C78D8">
        <w:fldChar w:fldCharType="separate"/>
      </w:r>
      <w:r w:rsidR="00C630FC" w:rsidRPr="004C78D8">
        <w:rPr>
          <w:noProof/>
        </w:rPr>
        <w:t>[183]</w:t>
      </w:r>
      <w:r w:rsidRPr="004C78D8">
        <w:fldChar w:fldCharType="end"/>
      </w:r>
      <w:r w:rsidRPr="004C78D8">
        <w:t xml:space="preserve">, and exercise uptake </w:t>
      </w:r>
      <w:r w:rsidRPr="004C78D8">
        <w:fldChar w:fldCharType="begin"/>
      </w:r>
      <w:r w:rsidR="00C630FC" w:rsidRPr="004C78D8">
        <w:instrText xml:space="preserve"> ADDIN EN.CITE &lt;EndNote&gt;&lt;Cite&gt;&lt;Author&gt;Vernon&lt;/Author&gt;&lt;Year&gt;2008&lt;/Year&gt;&lt;RecNum&gt;273&lt;/RecNum&gt;&lt;DisplayText&gt;[184, 185]&lt;/DisplayText&gt;&lt;record&gt;&lt;rec-number&gt;273&lt;/rec-number&gt;&lt;foreign-keys&gt;&lt;key app="EN" db-id="tdtrdw9aepptzbefsat599syza29sxsd2wsp" timestamp="1611693270"&gt;273&lt;/key&gt;&lt;/foreign-keys&gt;&lt;ref-type name="Journal Article"&gt;17&lt;/ref-type&gt;&lt;contributors&gt;&lt;authors&gt;&lt;author&gt;Vernon, Sue&lt;/author&gt;&lt;author&gt;Ross, Fiona&lt;/author&gt;&lt;/authors&gt;&lt;/contributors&gt;&lt;titles&gt;&lt;title&gt;Participation in community exercise classes: barriers to access&lt;/title&gt;&lt;secondary-title&gt;British journal of community nursing&lt;/secondary-title&gt;&lt;/titles&gt;&lt;periodical&gt;&lt;full-title&gt;British journal of community nursing&lt;/full-title&gt;&lt;/periodical&gt;&lt;pages&gt;89-92&lt;/pages&gt;&lt;volume&gt;13&lt;/volume&gt;&lt;number&gt;2&lt;/number&gt;&lt;dates&gt;&lt;year&gt;2008&lt;/year&gt;&lt;/dates&gt;&lt;isbn&gt;1462-4753&lt;/isbn&gt;&lt;urls&gt;&lt;/urls&gt;&lt;/record&gt;&lt;/Cite&gt;&lt;Cite&gt;&lt;Author&gt;Worum&lt;/Author&gt;&lt;Year&gt;2019&lt;/Year&gt;&lt;RecNum&gt;79&lt;/RecNum&gt;&lt;record&gt;&lt;rec-number&gt;79&lt;/rec-number&gt;&lt;foreign-keys&gt;&lt;key app="EN" db-id="tdtrdw9aepptzbefsat599syza29sxsd2wsp" timestamp="1598108973"&gt;79&lt;/key&gt;&lt;/foreign-keys&gt;&lt;ref-type name="Journal Article"&gt;17&lt;/ref-type&gt;&lt;contributors&gt;&lt;authors&gt;&lt;author&gt;Worum, Hilde&lt;/author&gt;&lt;author&gt;Lillekroken, Daniela&lt;/author&gt;&lt;author&gt;Ahlsen, Birgitte&lt;/author&gt;&lt;author&gt;Roaldsen, Kirsti Skavberg&lt;/author&gt;&lt;author&gt;Bergland, Astrid&lt;/author&gt;&lt;/authors&gt;&lt;/contributors&gt;&lt;titles&gt;&lt;title&gt;Bridging the gap between research-based knowledge and clinical practice: a qualitative examination of patients and physiotherapists’ views on the Otago exercise Programme&lt;/title&gt;&lt;secondary-title&gt;BMC geriatrics&lt;/secondary-title&gt;&lt;/titles&gt;&lt;periodical&gt;&lt;full-title&gt;BMC Geriatrics&lt;/full-title&gt;&lt;/periodical&gt;&lt;pages&gt;1-18&lt;/pages&gt;&lt;volume&gt;19&lt;/volume&gt;&lt;number&gt;1&lt;/number&gt;&lt;dates&gt;&lt;year&gt;2019&lt;/year&gt;&lt;/dates&gt;&lt;isbn&gt;1471-2318&lt;/isbn&gt;&lt;urls&gt;&lt;/urls&gt;&lt;/record&gt;&lt;/Cite&gt;&lt;/EndNote&gt;</w:instrText>
      </w:r>
      <w:r w:rsidRPr="004C78D8">
        <w:fldChar w:fldCharType="separate"/>
      </w:r>
      <w:r w:rsidR="00C630FC" w:rsidRPr="004C78D8">
        <w:rPr>
          <w:noProof/>
        </w:rPr>
        <w:t>[184, 185]</w:t>
      </w:r>
      <w:r w:rsidRPr="004C78D8">
        <w:fldChar w:fldCharType="end"/>
      </w:r>
      <w:r w:rsidRPr="004C78D8">
        <w:t xml:space="preserve"> and adherence </w:t>
      </w:r>
      <w:r w:rsidRPr="004C78D8">
        <w:fldChar w:fldCharType="begin"/>
      </w:r>
      <w:r w:rsidR="00C630FC" w:rsidRPr="004C78D8">
        <w:instrText xml:space="preserve"> ADDIN EN.CITE &lt;EndNote&gt;&lt;Cite&gt;&lt;Author&gt;Finnegan&lt;/Author&gt;&lt;Year&gt;2019&lt;/Year&gt;&lt;RecNum&gt;78&lt;/RecNum&gt;&lt;DisplayText&gt;[186]&lt;/DisplayText&gt;&lt;record&gt;&lt;rec-number&gt;78&lt;/rec-number&gt;&lt;foreign-keys&gt;&lt;key app="EN" db-id="tdtrdw9aepptzbefsat599syza29sxsd2wsp" timestamp="1598108688"&gt;78&lt;/key&gt;&lt;/foreign-keys&gt;&lt;ref-type name="Journal Article"&gt;17&lt;/ref-type&gt;&lt;contributors&gt;&lt;authors&gt;&lt;author&gt;Finnegan, Susanne&lt;/author&gt;&lt;author&gt;Bruce, Julie&lt;/author&gt;&lt;author&gt;Seers, Kate&lt;/author&gt;&lt;/authors&gt;&lt;/contributors&gt;&lt;titles&gt;&lt;title&gt;What enables older people to continue with their falls prevention exercises? A qualitative systematic review&lt;/title&gt;&lt;secondary-title&gt;BMJ open&lt;/secondary-title&gt;&lt;/titles&gt;&lt;periodical&gt;&lt;full-title&gt;BMJ open&lt;/full-title&gt;&lt;/periodical&gt;&lt;pages&gt;e026074&lt;/pages&gt;&lt;volume&gt;9&lt;/volume&gt;&lt;number&gt;4&lt;/number&gt;&lt;dates&gt;&lt;year&gt;2019&lt;/year&gt;&lt;/dates&gt;&lt;isbn&gt;2044-6055&lt;/isbn&gt;&lt;urls&gt;&lt;/urls&gt;&lt;/record&gt;&lt;/Cite&gt;&lt;/EndNote&gt;</w:instrText>
      </w:r>
      <w:r w:rsidRPr="004C78D8">
        <w:fldChar w:fldCharType="separate"/>
      </w:r>
      <w:r w:rsidR="00C630FC" w:rsidRPr="004C78D8">
        <w:rPr>
          <w:noProof/>
        </w:rPr>
        <w:t>[186]</w:t>
      </w:r>
      <w:r w:rsidRPr="004C78D8">
        <w:fldChar w:fldCharType="end"/>
      </w:r>
      <w:r w:rsidRPr="004C78D8">
        <w:t xml:space="preserve">. This is an important evidence gap given that complexity results from the interaction of facilitators and barriers across different pathway components. A more holistic </w:t>
      </w:r>
      <w:r w:rsidR="00506689" w:rsidRPr="004C78D8">
        <w:t>exploration of the facilitators and barriers to the NICE-recommended pathway</w:t>
      </w:r>
      <w:r w:rsidRPr="004C78D8">
        <w:t xml:space="preserve"> is thus warranted</w:t>
      </w:r>
      <w:r w:rsidR="00506689" w:rsidRPr="004C78D8">
        <w:t xml:space="preserve"> </w:t>
      </w:r>
      <w:r w:rsidR="0075123C" w:rsidRPr="004C78D8">
        <w:t xml:space="preserve">and motivates </w:t>
      </w:r>
      <w:r w:rsidR="00FA3140" w:rsidRPr="004C78D8">
        <w:t xml:space="preserve">the first </w:t>
      </w:r>
      <w:r w:rsidR="0075123C" w:rsidRPr="004C78D8">
        <w:t>chapter</w:t>
      </w:r>
      <w:r w:rsidR="00506689" w:rsidRPr="004C78D8">
        <w:t xml:space="preserve"> objective</w:t>
      </w:r>
      <w:r w:rsidRPr="004C78D8">
        <w:t>.</w:t>
      </w:r>
    </w:p>
    <w:p w14:paraId="2D6832D3" w14:textId="0EFA7FA1" w:rsidR="00460A2B" w:rsidRPr="004C78D8" w:rsidRDefault="00460A2B" w:rsidP="00FB7C1F">
      <w:r w:rsidRPr="004C78D8">
        <w:t xml:space="preserve">Two further uses of qualitative </w:t>
      </w:r>
      <w:r w:rsidR="00740449" w:rsidRPr="004C78D8">
        <w:t>data</w:t>
      </w:r>
      <w:r w:rsidRPr="004C78D8">
        <w:t xml:space="preserve"> can be discerned in the context of falls prevention model development: (a) eliciting appropriate commissioning strategies </w:t>
      </w:r>
      <w:r w:rsidR="001E7FC0" w:rsidRPr="004C78D8">
        <w:t>(</w:t>
      </w:r>
      <w:r w:rsidR="00FA3140" w:rsidRPr="004C78D8">
        <w:t xml:space="preserve">second </w:t>
      </w:r>
      <w:r w:rsidR="0075123C" w:rsidRPr="004C78D8">
        <w:t xml:space="preserve">chapter </w:t>
      </w:r>
      <w:r w:rsidR="001E7FC0" w:rsidRPr="004C78D8">
        <w:t>objective)</w:t>
      </w:r>
      <w:r w:rsidRPr="004C78D8">
        <w:t xml:space="preserve">; and (b) understanding the key methodological and evaluative challenges to </w:t>
      </w:r>
      <w:r w:rsidR="00740449" w:rsidRPr="004C78D8">
        <w:t>public health</w:t>
      </w:r>
      <w:r w:rsidRPr="004C78D8">
        <w:t xml:space="preserve"> economic </w:t>
      </w:r>
      <w:r w:rsidR="008549AB" w:rsidRPr="004C78D8">
        <w:t>modelling</w:t>
      </w:r>
      <w:r w:rsidR="007201CC" w:rsidRPr="004C78D8">
        <w:t xml:space="preserve"> (</w:t>
      </w:r>
      <w:r w:rsidR="00FA3140" w:rsidRPr="004C78D8">
        <w:t xml:space="preserve">third </w:t>
      </w:r>
      <w:r w:rsidR="0075123C" w:rsidRPr="004C78D8">
        <w:t xml:space="preserve">chapter </w:t>
      </w:r>
      <w:r w:rsidR="007201CC" w:rsidRPr="004C78D8">
        <w:t>objective)</w:t>
      </w:r>
      <w:r w:rsidRPr="004C78D8">
        <w:t>.</w:t>
      </w:r>
      <w:r w:rsidR="008549AB" w:rsidRPr="004C78D8">
        <w:t xml:space="preserve"> </w:t>
      </w:r>
    </w:p>
    <w:p w14:paraId="2BAE8587" w14:textId="2C3465C9" w:rsidR="00805828" w:rsidRPr="004C78D8" w:rsidRDefault="00775347" w:rsidP="00FB7C1F">
      <w:r w:rsidRPr="004C78D8">
        <w:t>Concerning (a),</w:t>
      </w:r>
      <w:r w:rsidR="00B2159B" w:rsidRPr="004C78D8">
        <w:t xml:space="preserve"> the model-evaluated commissioning strategy should fully reflect the complex network of intervention-related casual mechanisms influencing implementation. Several frameworks exist to capture such complexity </w:t>
      </w:r>
      <w:r w:rsidR="00B2159B" w:rsidRPr="004C78D8">
        <w:fldChar w:fldCharType="begin"/>
      </w:r>
      <w:r w:rsidR="00C630FC" w:rsidRPr="004C78D8">
        <w:instrText xml:space="preserve"> ADDIN EN.CITE &lt;EndNote&gt;&lt;Cite&gt;&lt;Author&gt;Booth&lt;/Author&gt;&lt;Year&gt;2020&lt;/Year&gt;&lt;RecNum&gt;586&lt;/RecNum&gt;&lt;DisplayText&gt;[187]&lt;/DisplayText&gt;&lt;record&gt;&lt;rec-number&gt;586&lt;/rec-number&gt;&lt;foreign-keys&gt;&lt;key app="EN" db-id="tdtrdw9aepptzbefsat599syza29sxsd2wsp" timestamp="1620772643"&gt;586&lt;/key&gt;&lt;/foreign-keys&gt;&lt;ref-type name="Report"&gt;27&lt;/ref-type&gt;&lt;contributors&gt;&lt;authors&gt;&lt;author&gt;Booth, Andrew&lt;/author&gt;&lt;/authors&gt;&lt;/contributors&gt;&lt;titles&gt;&lt;title&gt;A methodological update on the use of qualitative evidence in Health Technology Assessment &lt;/title&gt;&lt;secondary-title&gt;Report by the Decision Support Unit&lt;/secondary-title&gt;&lt;/titles&gt;&lt;dates&gt;&lt;year&gt;2020&lt;/year&gt;&lt;/dates&gt;&lt;urls&gt;&lt;related-urls&gt;&lt;url&gt;www.nicedsu.org.uk&lt;/url&gt;&lt;/related-urls&gt;&lt;/urls&gt;&lt;/record&gt;&lt;/Cite&gt;&lt;/EndNote&gt;</w:instrText>
      </w:r>
      <w:r w:rsidR="00B2159B" w:rsidRPr="004C78D8">
        <w:fldChar w:fldCharType="separate"/>
      </w:r>
      <w:r w:rsidR="00C630FC" w:rsidRPr="004C78D8">
        <w:rPr>
          <w:noProof/>
        </w:rPr>
        <w:t>[187]</w:t>
      </w:r>
      <w:r w:rsidR="00B2159B" w:rsidRPr="004C78D8">
        <w:fldChar w:fldCharType="end"/>
      </w:r>
      <w:r w:rsidR="00B2159B" w:rsidRPr="004C78D8">
        <w:t xml:space="preserve">, including the Context and Implementation of Complex Interventions (CICI) framework </w:t>
      </w:r>
      <w:r w:rsidR="00B2159B" w:rsidRPr="004C78D8">
        <w:fldChar w:fldCharType="begin"/>
      </w:r>
      <w:r w:rsidR="00C630FC" w:rsidRPr="004C78D8">
        <w:instrText xml:space="preserve"> ADDIN EN.CITE &lt;EndNote&gt;&lt;Cite&gt;&lt;Author&gt;Pfadenhauer&lt;/Author&gt;&lt;Year&gt;2016&lt;/Year&gt;&lt;RecNum&gt;578&lt;/RecNum&gt;&lt;DisplayText&gt;[181]&lt;/DisplayText&gt;&lt;record&gt;&lt;rec-number&gt;578&lt;/rec-number&gt;&lt;foreign-keys&gt;&lt;key app="EN" db-id="tdtrdw9aepptzbefsat599syza29sxsd2wsp" timestamp="1620727866"&gt;578&lt;/key&gt;&lt;/foreign-keys&gt;&lt;ref-type name="Report"&gt;27&lt;/ref-type&gt;&lt;contributors&gt;&lt;authors&gt;&lt;author&gt;Pfadenhauer, Lisa&lt;/author&gt;&lt;author&gt;Rohwer, Anke&lt;/author&gt;&lt;author&gt;Burns, Jacob&lt;/author&gt;&lt;author&gt;Booth, Andrew&lt;/author&gt;&lt;author&gt;Lysdahl, Kristin Bakke&lt;/author&gt;&lt;author&gt;Hofmann, Björn&lt;/author&gt;&lt;author&gt;Gerhardus, Ansgar&lt;/author&gt;&lt;author&gt;Mozygemba, Kati&lt;/author&gt;&lt;author&gt;Tummers, Marcia&lt;/author&gt;&lt;author&gt;Wahlster, Philip&lt;/author&gt;&lt;/authors&gt;&lt;/contributors&gt;&lt;titles&gt;&lt;title&gt;Guidance for the assessment of context and implementation in health technology assessments (HTA) and systematic reviews of complex interventions: the context and implementation of complex interventions (CICI) framework&lt;/title&gt;&lt;secondary-title&gt;Integrated Health Technology Assessment for Evaluating Complex Technologies (INTEGRATE-HTA)&lt;/secondary-title&gt;&lt;/titles&gt;&lt;dates&gt;&lt;year&gt;2016&lt;/year&gt;&lt;/dates&gt;&lt;pub-location&gt;Available from: http://www.integrate-hta.eu/downloads/&lt;/pub-location&gt;&lt;publisher&gt;European Union&lt;/publisher&gt;&lt;urls&gt;&lt;/urls&gt;&lt;/record&gt;&lt;/Cite&gt;&lt;/EndNote&gt;</w:instrText>
      </w:r>
      <w:r w:rsidR="00B2159B" w:rsidRPr="004C78D8">
        <w:fldChar w:fldCharType="separate"/>
      </w:r>
      <w:r w:rsidR="00C630FC" w:rsidRPr="004C78D8">
        <w:rPr>
          <w:noProof/>
        </w:rPr>
        <w:t>[181]</w:t>
      </w:r>
      <w:r w:rsidR="00B2159B" w:rsidRPr="004C78D8">
        <w:fldChar w:fldCharType="end"/>
      </w:r>
      <w:r w:rsidR="00B2159B" w:rsidRPr="004C78D8">
        <w:t xml:space="preserve"> which was developed as part of the INTEGRATE-HTA project to consider a comprehensive set of factors influencing the assessment of complex health technologies </w:t>
      </w:r>
      <w:r w:rsidR="00B2159B" w:rsidRPr="004C78D8">
        <w:fldChar w:fldCharType="begin"/>
      </w:r>
      <w:r w:rsidR="00C630FC" w:rsidRPr="004C78D8">
        <w:instrText xml:space="preserve"> ADDIN EN.CITE &lt;EndNote&gt;&lt;Cite&gt;&lt;Author&gt;Lysdahl&lt;/Author&gt;&lt;Year&gt;2016&lt;/Year&gt;&lt;RecNum&gt;579&lt;/RecNum&gt;&lt;DisplayText&gt;[188]&lt;/DisplayText&gt;&lt;record&gt;&lt;rec-number&gt;579&lt;/rec-number&gt;&lt;foreign-keys&gt;&lt;key app="EN" db-id="tdtrdw9aepptzbefsat599syza29sxsd2wsp" timestamp="1620728028"&gt;579&lt;/key&gt;&lt;/foreign-keys&gt;&lt;ref-type name="Report"&gt;27&lt;/ref-type&gt;&lt;contributors&gt;&lt;authors&gt;&lt;author&gt;Lysdahl, KB&lt;/author&gt;&lt;author&gt;Mozygemba, K&lt;/author&gt;&lt;author&gt;Burns, J&lt;/author&gt;&lt;author&gt;Chilcott, JB&lt;/author&gt;&lt;author&gt;Bronneke, JB&lt;/author&gt;&lt;author&gt;Hofmann, B&lt;/author&gt;&lt;/authors&gt;&lt;/contributors&gt;&lt;titles&gt;&lt;title&gt;Guidance for assessing effectiveness, economic aspects, ethical aspects, socio-cultural aspects and legal aspects in complex technologies&lt;/title&gt;&lt;secondary-title&gt;Integrated Health Technology Assessment for Evaluating Complex Technologies (INTEGRATE-HTA)&lt;/secondary-title&gt;&lt;/titles&gt;&lt;dates&gt;&lt;year&gt;2016&lt;/year&gt;&lt;/dates&gt;&lt;pub-location&gt;Available from: http://www.integrate-hta.eu/downloads/&lt;/pub-location&gt;&lt;publisher&gt;European Union&lt;/publisher&gt;&lt;urls&gt;&lt;/urls&gt;&lt;/record&gt;&lt;/Cite&gt;&lt;/EndNote&gt;</w:instrText>
      </w:r>
      <w:r w:rsidR="00B2159B" w:rsidRPr="004C78D8">
        <w:fldChar w:fldCharType="separate"/>
      </w:r>
      <w:r w:rsidR="00C630FC" w:rsidRPr="004C78D8">
        <w:rPr>
          <w:noProof/>
        </w:rPr>
        <w:t>[188]</w:t>
      </w:r>
      <w:r w:rsidR="00B2159B" w:rsidRPr="004C78D8">
        <w:fldChar w:fldCharType="end"/>
      </w:r>
      <w:r w:rsidR="00B2159B" w:rsidRPr="004C78D8">
        <w:t>.</w:t>
      </w:r>
      <w:r w:rsidR="00C45074" w:rsidRPr="004C78D8">
        <w:t xml:space="preserve"> CICI distinguishes between contextual factors (e.g., socio-cultural, legal) and implementation mechanisms (e.g., professionals, organisations) that shape implementation quality. Priority-setting challenges – e.g., reducing social inequities of health </w:t>
      </w:r>
      <w:r w:rsidR="00C45074" w:rsidRPr="004C78D8">
        <w:fldChar w:fldCharType="begin"/>
      </w:r>
      <w:r w:rsidR="00513646" w:rsidRPr="004C78D8">
        <w:instrText xml:space="preserve"> ADDIN EN.CITE &lt;EndNote&gt;&lt;Cite&gt;&lt;Author&gt;Norheim&lt;/Author&gt;&lt;Year&gt;2014&lt;/Year&gt;&lt;RecNum&gt;4&lt;/RecNum&gt;&lt;DisplayText&gt;[71]&lt;/DisplayText&gt;&lt;record&gt;&lt;rec-number&gt;4&lt;/rec-number&gt;&lt;foreign-keys&gt;&lt;key app="EN" db-id="tdtrdw9aepptzbefsat599syza29sxsd2wsp" timestamp="1596571466"&gt;4&lt;/key&gt;&lt;/foreign-keys&gt;&lt;ref-type name="Journal Article"&gt;17&lt;/ref-type&gt;&lt;contributors&gt;&lt;authors&gt;&lt;author&gt;Norheim, Ole F&lt;/author&gt;&lt;author&gt;Baltussen, Rob&lt;/author&gt;&lt;author&gt;Johri, Mira&lt;/author&gt;&lt;author&gt;Chisholm, Dan&lt;/author&gt;&lt;author&gt;Nord, Erik&lt;/author&gt;&lt;author&gt;Brock, DanW&lt;/author&gt;&lt;author&gt;Carlsson, Per&lt;/author&gt;&lt;author&gt;Cookson, Richard&lt;/author&gt;&lt;author&gt;Daniels, Norman&lt;/author&gt;&lt;author&gt;Danis, Marion&lt;/author&gt;&lt;/authors&gt;&lt;/contributors&gt;&lt;titles&gt;&lt;title&gt;Guidance on priority setting in health care (GPS-Health): the inclusion of equity criteria not captured by cost-effectiveness analysis&lt;/title&gt;&lt;secondary-title&gt;Cost Effectiveness and Resource Allocation&lt;/secondary-title&gt;&lt;/titles&gt;&lt;periodical&gt;&lt;full-title&gt;Cost Effectiveness and Resource Allocation&lt;/full-title&gt;&lt;/periodical&gt;&lt;pages&gt;18&lt;/pages&gt;&lt;volume&gt;12&lt;/volume&gt;&lt;number&gt;1&lt;/number&gt;&lt;dates&gt;&lt;year&gt;2014&lt;/year&gt;&lt;/dates&gt;&lt;isbn&gt;1478-7547&lt;/isbn&gt;&lt;urls&gt;&lt;/urls&gt;&lt;/record&gt;&lt;/Cite&gt;&lt;/EndNote&gt;</w:instrText>
      </w:r>
      <w:r w:rsidR="00C45074" w:rsidRPr="004C78D8">
        <w:fldChar w:fldCharType="separate"/>
      </w:r>
      <w:r w:rsidR="00513646" w:rsidRPr="004C78D8">
        <w:rPr>
          <w:noProof/>
        </w:rPr>
        <w:t>[71]</w:t>
      </w:r>
      <w:r w:rsidR="00C45074" w:rsidRPr="004C78D8">
        <w:fldChar w:fldCharType="end"/>
      </w:r>
      <w:r w:rsidR="00C45074" w:rsidRPr="004C78D8">
        <w:t xml:space="preserve"> – also arise from the implementation context </w:t>
      </w:r>
      <w:r w:rsidR="00C45074" w:rsidRPr="004C78D8">
        <w:fldChar w:fldCharType="begin"/>
      </w:r>
      <w:r w:rsidR="00C630FC" w:rsidRPr="004C78D8">
        <w:instrText xml:space="preserve"> ADDIN EN.CITE &lt;EndNote&gt;&lt;Cite&gt;&lt;Author&gt;Booth&lt;/Author&gt;&lt;Year&gt;2020&lt;/Year&gt;&lt;RecNum&gt;586&lt;/RecNum&gt;&lt;DisplayText&gt;[187]&lt;/DisplayText&gt;&lt;record&gt;&lt;rec-number&gt;586&lt;/rec-number&gt;&lt;foreign-keys&gt;&lt;key app="EN" db-id="tdtrdw9aepptzbefsat599syza29sxsd2wsp" timestamp="1620772643"&gt;586&lt;/key&gt;&lt;/foreign-keys&gt;&lt;ref-type name="Report"&gt;27&lt;/ref-type&gt;&lt;contributors&gt;&lt;authors&gt;&lt;author&gt;Booth, Andrew&lt;/author&gt;&lt;/authors&gt;&lt;/contributors&gt;&lt;titles&gt;&lt;title&gt;A methodological update on the use of qualitative evidence in Health Technology Assessment &lt;/title&gt;&lt;secondary-title&gt;Report by the Decision Support Unit&lt;/secondary-title&gt;&lt;/titles&gt;&lt;dates&gt;&lt;year&gt;2020&lt;/year&gt;&lt;/dates&gt;&lt;urls&gt;&lt;related-urls&gt;&lt;url&gt;www.nicedsu.org.uk&lt;/url&gt;&lt;/related-urls&gt;&lt;/urls&gt;&lt;/record&gt;&lt;/Cite&gt;&lt;/EndNote&gt;</w:instrText>
      </w:r>
      <w:r w:rsidR="00C45074" w:rsidRPr="004C78D8">
        <w:fldChar w:fldCharType="separate"/>
      </w:r>
      <w:r w:rsidR="00C630FC" w:rsidRPr="004C78D8">
        <w:rPr>
          <w:noProof/>
        </w:rPr>
        <w:t>[187]</w:t>
      </w:r>
      <w:r w:rsidR="00C45074" w:rsidRPr="004C78D8">
        <w:fldChar w:fldCharType="end"/>
      </w:r>
      <w:r w:rsidR="00C45074" w:rsidRPr="004C78D8">
        <w:t>.</w:t>
      </w:r>
    </w:p>
    <w:p w14:paraId="5DEFBF66" w14:textId="7BC54982" w:rsidR="006C64AB" w:rsidRPr="004C78D8" w:rsidRDefault="00C45074" w:rsidP="00FB7C1F">
      <w:r w:rsidRPr="004C78D8">
        <w:t xml:space="preserve">One limitation of CICI is its lack of focus on demand-side mechanisms – e.g., motivations of the older persons to engage in healthy behaviour </w:t>
      </w:r>
      <w:r w:rsidRPr="004C78D8">
        <w:fldChar w:fldCharType="begin"/>
      </w:r>
      <w:r w:rsidR="00C630FC" w:rsidRPr="004C78D8">
        <w:instrText xml:space="preserve"> ADDIN EN.CITE &lt;EndNote&gt;&lt;Cite&gt;&lt;Author&gt;Schüz&lt;/Author&gt;&lt;Year&gt;2014&lt;/Year&gt;&lt;RecNum&gt;584&lt;/RecNum&gt;&lt;DisplayText&gt;[189]&lt;/DisplayText&gt;&lt;record&gt;&lt;rec-number&gt;584&lt;/rec-number&gt;&lt;foreign-keys&gt;&lt;key app="EN" db-id="tdtrdw9aepptzbefsat599syza29sxsd2wsp" timestamp="1620770288"&gt;584&lt;/key&gt;&lt;/foreign-keys&gt;&lt;ref-type name="Journal Article"&gt;17&lt;/ref-type&gt;&lt;contributors&gt;&lt;authors&gt;&lt;author&gt;Schüz, Benjamin&lt;/author&gt;&lt;author&gt;Wurm, Susanne&lt;/author&gt;&lt;author&gt;Warner, Lisa M&lt;/author&gt;&lt;author&gt;Wolff, Julia K&lt;/author&gt;&lt;author&gt;Schwarzer, Ralf&lt;/author&gt;&lt;/authors&gt;&lt;/contributors&gt;&lt;titles&gt;&lt;title&gt;Health motives and health behaviour self-regulation in older adults&lt;/title&gt;&lt;secondary-title&gt;Journal of behavioral medicine&lt;/secondary-title&gt;&lt;/titles&gt;&lt;periodical&gt;&lt;full-title&gt;Journal of behavioral medicine&lt;/full-title&gt;&lt;/periodical&gt;&lt;pages&gt;491-500&lt;/pages&gt;&lt;volume&gt;37&lt;/volume&gt;&lt;number&gt;3&lt;/number&gt;&lt;dates&gt;&lt;year&gt;2014&lt;/year&gt;&lt;/dates&gt;&lt;isbn&gt;0160-7715&lt;/isbn&gt;&lt;urls&gt;&lt;/urls&gt;&lt;/record&gt;&lt;/Cite&gt;&lt;/EndNote&gt;</w:instrText>
      </w:r>
      <w:r w:rsidRPr="004C78D8">
        <w:fldChar w:fldCharType="separate"/>
      </w:r>
      <w:r w:rsidR="00C630FC" w:rsidRPr="004C78D8">
        <w:rPr>
          <w:noProof/>
        </w:rPr>
        <w:t>[189]</w:t>
      </w:r>
      <w:r w:rsidRPr="004C78D8">
        <w:fldChar w:fldCharType="end"/>
      </w:r>
      <w:r w:rsidRPr="004C78D8">
        <w:t xml:space="preserve"> – which can operate independently of supply. Hence, CICI could be supplemented by the health needs assessment (HNA) framework that incorporates demand, supply and need/eligibility as distinct yet overlapping domains </w:t>
      </w:r>
      <w:r w:rsidRPr="004C78D8">
        <w:fldChar w:fldCharType="begin"/>
      </w:r>
      <w:r w:rsidR="00C630FC" w:rsidRPr="004C78D8">
        <w:instrText xml:space="preserve"> ADDIN EN.CITE &lt;EndNote&gt;&lt;Cite&gt;&lt;Author&gt;Stevens&lt;/Author&gt;&lt;Year&gt;1991&lt;/Year&gt;&lt;RecNum&gt;566&lt;/RecNum&gt;&lt;DisplayText&gt;[190]&lt;/DisplayText&gt;&lt;record&gt;&lt;rec-number&gt;566&lt;/rec-number&gt;&lt;foreign-keys&gt;&lt;key app="EN" db-id="tdtrdw9aepptzbefsat599syza29sxsd2wsp" timestamp="1619809887"&gt;566&lt;/key&gt;&lt;/foreign-keys&gt;&lt;ref-type name="Journal Article"&gt;17&lt;/ref-type&gt;&lt;contributors&gt;&lt;authors&gt;&lt;author&gt;Stevens, Amy&lt;/author&gt;&lt;author&gt;Gabbay, J&lt;/author&gt;&lt;/authors&gt;&lt;/contributors&gt;&lt;titles&gt;&lt;title&gt;Needs assessment needs assessment&lt;/title&gt;&lt;secondary-title&gt;Health trends&lt;/secondary-title&gt;&lt;/titles&gt;&lt;periodical&gt;&lt;full-title&gt;Health trends&lt;/full-title&gt;&lt;/periodical&gt;&lt;pages&gt;20-23&lt;/pages&gt;&lt;volume&gt;23&lt;/volume&gt;&lt;number&gt;1&lt;/number&gt;&lt;dates&gt;&lt;year&gt;1991&lt;/year&gt;&lt;/dates&gt;&lt;isbn&gt;0017-9132&lt;/isbn&gt;&lt;urls&gt;&lt;/urls&gt;&lt;/record&gt;&lt;/Cite&gt;&lt;/EndNote&gt;</w:instrText>
      </w:r>
      <w:r w:rsidRPr="004C78D8">
        <w:fldChar w:fldCharType="separate"/>
      </w:r>
      <w:r w:rsidR="00C630FC" w:rsidRPr="004C78D8">
        <w:rPr>
          <w:noProof/>
        </w:rPr>
        <w:t>[190]</w:t>
      </w:r>
      <w:r w:rsidRPr="004C78D8">
        <w:fldChar w:fldCharType="end"/>
      </w:r>
      <w:r w:rsidRPr="004C78D8">
        <w:t xml:space="preserve">. </w:t>
      </w:r>
      <w:r w:rsidR="006C64AB" w:rsidRPr="004C78D8">
        <w:t xml:space="preserve">Inductive qualitative data analysis could commence with themes sourced from this combined CICI-HNA framework, and thereafter interact with new themes emerging from the data to arrive at the final thematic framework informing the commissioning strategies </w:t>
      </w:r>
      <w:r w:rsidR="006C64AB" w:rsidRPr="004C78D8">
        <w:fldChar w:fldCharType="begin"/>
      </w:r>
      <w:r w:rsidR="00C630FC" w:rsidRPr="004C78D8">
        <w:instrText xml:space="preserve"> ADDIN EN.CITE &lt;EndNote&gt;&lt;Cite&gt;&lt;Author&gt;Ritchie&lt;/Author&gt;&lt;Year&gt;2002&lt;/Year&gt;&lt;RecNum&gt;582&lt;/RecNum&gt;&lt;DisplayText&gt;[191, 192]&lt;/DisplayText&gt;&lt;record&gt;&lt;rec-number&gt;582&lt;/rec-number&gt;&lt;foreign-keys&gt;&lt;key app="EN" db-id="tdtrdw9aepptzbefsat599syza29sxsd2wsp" timestamp="1620759449"&gt;582&lt;/key&gt;&lt;/foreign-keys&gt;&lt;ref-type name="Book Section"&gt;5&lt;/ref-type&gt;&lt;contributors&gt;&lt;authors&gt;&lt;author&gt;Ritchie, Jane&lt;/author&gt;&lt;author&gt;Spencer, Liz&lt;/author&gt;&lt;/authors&gt;&lt;/contributors&gt;&lt;titles&gt;&lt;title&gt;Qualitative data analysis for applied policy research&lt;/title&gt;&lt;secondary-title&gt;Analyzing qualitative data&lt;/secondary-title&gt;&lt;/titles&gt;&lt;pages&gt;187-208&lt;/pages&gt;&lt;dates&gt;&lt;year&gt;2002&lt;/year&gt;&lt;/dates&gt;&lt;publisher&gt;Routledge&lt;/publisher&gt;&lt;isbn&gt;0203413083&lt;/isbn&gt;&lt;urls&gt;&lt;/urls&gt;&lt;/record&gt;&lt;/Cite&gt;&lt;Cite&gt;&lt;Author&gt;Yardley&lt;/Author&gt;&lt;Year&gt;2006&lt;/Year&gt;&lt;RecNum&gt;268&lt;/RecNum&gt;&lt;record&gt;&lt;rec-number&gt;268&lt;/rec-number&gt;&lt;foreign-keys&gt;&lt;key app="EN" db-id="tdtrdw9aepptzbefsat599syza29sxsd2wsp" timestamp="1611692858"&gt;268&lt;/key&gt;&lt;/foreign-keys&gt;&lt;ref-type name="Journal Article"&gt;17&lt;/ref-type&gt;&lt;contributors&gt;&lt;authors&gt;&lt;author&gt;Yardley, Lucy&lt;/author&gt;&lt;author&gt;Bishop, Felicity L&lt;/author&gt;&lt;author&gt;Beyer, Nina&lt;/author&gt;&lt;author&gt;Hauer, Klaus&lt;/author&gt;&lt;author&gt;Kempen, Gertrudis IJM&lt;/author&gt;&lt;author&gt;Piot-Ziegler, Chantal&lt;/author&gt;&lt;author&gt;Todd, Chris J&lt;/author&gt;&lt;author&gt;Cuttelod, Therese&lt;/author&gt;&lt;author&gt;Horne, Maria&lt;/author&gt;&lt;author&gt;Lanta, Kyriaki&lt;/author&gt;&lt;/authors&gt;&lt;/contributors&gt;&lt;titles&gt;&lt;title&gt;Older people&amp;apos;s views of falls-prevention interventions in six European countries&lt;/title&gt;&lt;secondary-title&gt;The Gerontologist&lt;/secondary-title&gt;&lt;/titles&gt;&lt;periodical&gt;&lt;full-title&gt;The Gerontologist&lt;/full-title&gt;&lt;/periodical&gt;&lt;pages&gt;650-660&lt;/pages&gt;&lt;volume&gt;46&lt;/volume&gt;&lt;number&gt;5&lt;/number&gt;&lt;dates&gt;&lt;year&gt;2006&lt;/year&gt;&lt;/dates&gt;&lt;isbn&gt;1758-5341&lt;/isbn&gt;&lt;urls&gt;&lt;/urls&gt;&lt;/record&gt;&lt;/Cite&gt;&lt;/EndNote&gt;</w:instrText>
      </w:r>
      <w:r w:rsidR="006C64AB" w:rsidRPr="004C78D8">
        <w:fldChar w:fldCharType="separate"/>
      </w:r>
      <w:r w:rsidR="00C630FC" w:rsidRPr="004C78D8">
        <w:rPr>
          <w:noProof/>
        </w:rPr>
        <w:t>[191, 192]</w:t>
      </w:r>
      <w:r w:rsidR="006C64AB" w:rsidRPr="004C78D8">
        <w:fldChar w:fldCharType="end"/>
      </w:r>
      <w:r w:rsidR="006C64AB" w:rsidRPr="004C78D8">
        <w:t>.</w:t>
      </w:r>
    </w:p>
    <w:p w14:paraId="0654E41C" w14:textId="1AF28E66" w:rsidR="006C64AB" w:rsidRPr="004C78D8" w:rsidRDefault="006C64AB" w:rsidP="00FB7C1F">
      <w:r w:rsidRPr="004C78D8">
        <w:t xml:space="preserve">Concerning (b), the nature of falls being a public health problem faced by a broad spectrum of older populations – rather than a clinical problem faced by a well-defined, narrow patient group – presents further complexity to model development </w:t>
      </w:r>
      <w:r w:rsidRPr="004C78D8">
        <w:fldChar w:fldCharType="begin"/>
      </w:r>
      <w:r w:rsidRPr="004C78D8">
        <w:instrText xml:space="preserve"> ADDIN EN.CITE &lt;EndNote&gt;&lt;Cite&gt;&lt;Author&gt;Squires&lt;/Author&gt;&lt;Year&gt;2016&lt;/Year&gt;&lt;RecNum&gt;158&lt;/RecNum&gt;&lt;DisplayText&gt;[1]&lt;/DisplayText&gt;&lt;record&gt;&lt;rec-number&gt;158&lt;/rec-number&gt;&lt;foreign-keys&gt;&lt;key app="EN" db-id="tdtrdw9aepptzbefsat599syza29sxsd2wsp" timestamp="1609254669"&gt;158&lt;/key&gt;&lt;/foreign-keys&gt;&lt;ref-type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framework for developing the structure of public health economic models&lt;/title&gt;&lt;secondary-title&gt;Value in Health&lt;/secondary-title&gt;&lt;/titles&gt;&lt;periodical&gt;&lt;full-title&gt;Value in Health&lt;/full-title&gt;&lt;/periodical&gt;&lt;pages&gt;588-601&lt;/pages&gt;&lt;volume&gt;19&lt;/volume&gt;&lt;number&gt;5&lt;/number&gt;&lt;dates&gt;&lt;year&gt;2016&lt;/year&gt;&lt;/dates&gt;&lt;isbn&gt;1098-3015&lt;/isbn&gt;&lt;urls&gt;&lt;/urls&gt;&lt;research-notes&gt;1&lt;/research-notes&gt;&lt;/record&gt;&lt;/Cite&gt;&lt;/EndNote&gt;</w:instrText>
      </w:r>
      <w:r w:rsidRPr="004C78D8">
        <w:fldChar w:fldCharType="separate"/>
      </w:r>
      <w:r w:rsidRPr="004C78D8">
        <w:rPr>
          <w:noProof/>
        </w:rPr>
        <w:t>[1]</w:t>
      </w:r>
      <w:r w:rsidRPr="004C78D8">
        <w:fldChar w:fldCharType="end"/>
      </w:r>
      <w:r w:rsidRPr="004C78D8">
        <w:t xml:space="preserve">. According to a systematic methodological review, the key methodological challenges to public health economic modelling include: (i) capturing non-health outcomes and societal intervention costs; (ii) considering dynamic complexity in health determinants and intervention need; (iii) considering theories and models of human behaviour based on psychology and sociology; and (iv) considering social determinants of health and issues of equity </w:t>
      </w:r>
      <w:r w:rsidRPr="004C78D8">
        <w:fldChar w:fldCharType="begin"/>
      </w:r>
      <w:r w:rsidR="00720CEE">
        <w:instrText xml:space="preserve"> ADDIN EN.CITE &lt;EndNote&gt;&lt;Cite&gt;&lt;Author&gt;Squires&lt;/Author&gt;&lt;Year&gt;2016&lt;/Year&gt;&lt;RecNum&gt;308&lt;/RecNum&gt;&lt;DisplayText&gt;[18]&lt;/DisplayText&gt;&lt;record&gt;&lt;rec-number&gt;308&lt;/rec-number&gt;&lt;foreign-keys&gt;&lt;key app="EN" db-id="tdtrdw9aepptzbefsat599syza29sxsd2wsp" timestamp="1612015645"&gt;308&lt;/key&gt;&lt;/foreign-keys&gt;&lt;ref-type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systematic literature review of the key challenges for developing the structure of public health economic models&lt;/title&gt;&lt;secondary-title&gt;International journal of public health&lt;/secondary-title&gt;&lt;/titles&gt;&lt;periodical&gt;&lt;full-title&gt;International journal of public health&lt;/full-title&gt;&lt;/periodical&gt;&lt;pages&gt;289-298&lt;/pages&gt;&lt;volume&gt;61&lt;/volume&gt;&lt;number&gt;3&lt;/number&gt;&lt;dates&gt;&lt;year&gt;2016&lt;/year&gt;&lt;/dates&gt;&lt;isbn&gt;1661-8556&lt;/isbn&gt;&lt;urls&gt;&lt;/urls&gt;&lt;/record&gt;&lt;/Cite&gt;&lt;/EndNote&gt;</w:instrText>
      </w:r>
      <w:r w:rsidRPr="004C78D8">
        <w:fldChar w:fldCharType="separate"/>
      </w:r>
      <w:r w:rsidR="00720CEE">
        <w:rPr>
          <w:noProof/>
        </w:rPr>
        <w:t>[18]</w:t>
      </w:r>
      <w:r w:rsidRPr="004C78D8">
        <w:fldChar w:fldCharType="end"/>
      </w:r>
      <w:r w:rsidRPr="004C78D8">
        <w:t xml:space="preserve">. Addressing such challenges is part of the INTEGRATE-HTA recommendations (part 3) </w:t>
      </w:r>
      <w:r w:rsidRPr="004C78D8">
        <w:fldChar w:fldCharType="begin"/>
      </w:r>
      <w:r w:rsidR="00C630FC" w:rsidRPr="004C78D8">
        <w:instrText xml:space="preserve"> ADDIN EN.CITE &lt;EndNote&gt;&lt;Cite&gt;&lt;Author&gt;Lysdahl&lt;/Author&gt;&lt;Year&gt;2016&lt;/Year&gt;&lt;RecNum&gt;579&lt;/RecNum&gt;&lt;DisplayText&gt;[188]&lt;/DisplayText&gt;&lt;record&gt;&lt;rec-number&gt;579&lt;/rec-number&gt;&lt;foreign-keys&gt;&lt;key app="EN" db-id="tdtrdw9aepptzbefsat599syza29sxsd2wsp" timestamp="1620728028"&gt;579&lt;/key&gt;&lt;/foreign-keys&gt;&lt;ref-type name="Report"&gt;27&lt;/ref-type&gt;&lt;contributors&gt;&lt;authors&gt;&lt;author&gt;Lysdahl, KB&lt;/author&gt;&lt;author&gt;Mozygemba, K&lt;/author&gt;&lt;author&gt;Burns, J&lt;/author&gt;&lt;author&gt;Chilcott, JB&lt;/author&gt;&lt;author&gt;Bronneke, JB&lt;/author&gt;&lt;author&gt;Hofmann, B&lt;/author&gt;&lt;/authors&gt;&lt;/contributors&gt;&lt;titles&gt;&lt;title&gt;Guidance for assessing effectiveness, economic aspects, ethical aspects, socio-cultural aspects and legal aspects in complex technologies&lt;/title&gt;&lt;secondary-title&gt;Integrated Health Technology Assessment for Evaluating Complex Technologies (INTEGRATE-HTA)&lt;/secondary-title&gt;&lt;/titles&gt;&lt;dates&gt;&lt;year&gt;2016&lt;/year&gt;&lt;/dates&gt;&lt;pub-location&gt;Available from: http://www.integrate-hta.eu/downloads/&lt;/pub-location&gt;&lt;publisher&gt;European Union&lt;/publisher&gt;&lt;urls&gt;&lt;/urls&gt;&lt;/record&gt;&lt;/Cite&gt;&lt;/EndNote&gt;</w:instrText>
      </w:r>
      <w:r w:rsidRPr="004C78D8">
        <w:fldChar w:fldCharType="separate"/>
      </w:r>
      <w:r w:rsidR="00C630FC" w:rsidRPr="004C78D8">
        <w:rPr>
          <w:noProof/>
        </w:rPr>
        <w:t>[188]</w:t>
      </w:r>
      <w:r w:rsidRPr="004C78D8">
        <w:fldChar w:fldCharType="end"/>
      </w:r>
      <w:r w:rsidRPr="004C78D8">
        <w:t xml:space="preserve">, and is necessary for improving the structural validity of the decision model </w:t>
      </w:r>
      <w:r w:rsidRPr="004C78D8">
        <w:fldChar w:fldCharType="begin"/>
      </w:r>
      <w:r w:rsidRPr="004C78D8">
        <w:instrText xml:space="preserve"> ADDIN EN.CITE &lt;EndNote&gt;&lt;Cite&gt;&lt;Author&gt;Squires&lt;/Author&gt;&lt;Year&gt;2016&lt;/Year&gt;&lt;RecNum&gt;158&lt;/RecNum&gt;&lt;DisplayText&gt;[1]&lt;/DisplayText&gt;&lt;record&gt;&lt;rec-number&gt;158&lt;/rec-number&gt;&lt;foreign-keys&gt;&lt;key app="EN" db-id="tdtrdw9aepptzbefsat599syza29sxsd2wsp" timestamp="1609254669"&gt;158&lt;/key&gt;&lt;/foreign-keys&gt;&lt;ref-type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framework for developing the structure of public health economic models&lt;/title&gt;&lt;secondary-title&gt;Value in Health&lt;/secondary-title&gt;&lt;/titles&gt;&lt;periodical&gt;&lt;full-title&gt;Value in Health&lt;/full-title&gt;&lt;/periodical&gt;&lt;pages&gt;588-601&lt;/pages&gt;&lt;volume&gt;19&lt;/volume&gt;&lt;number&gt;5&lt;/number&gt;&lt;dates&gt;&lt;year&gt;2016&lt;/year&gt;&lt;/dates&gt;&lt;isbn&gt;1098-3015&lt;/isbn&gt;&lt;urls&gt;&lt;/urls&gt;&lt;research-notes&gt;1&lt;/research-notes&gt;&lt;/record&gt;&lt;/Cite&gt;&lt;/EndNote&gt;</w:instrText>
      </w:r>
      <w:r w:rsidRPr="004C78D8">
        <w:fldChar w:fldCharType="separate"/>
      </w:r>
      <w:r w:rsidRPr="004C78D8">
        <w:rPr>
          <w:noProof/>
        </w:rPr>
        <w:t>[1]</w:t>
      </w:r>
      <w:r w:rsidRPr="004C78D8">
        <w:fldChar w:fldCharType="end"/>
      </w:r>
      <w:r w:rsidRPr="004C78D8">
        <w:t xml:space="preserve">. The same inductive analysis can identify how these challenges relate to the local decision problem and hence to the decision model structure </w:t>
      </w:r>
      <w:r w:rsidRPr="004C78D8">
        <w:fldChar w:fldCharType="begin"/>
      </w:r>
      <w:r w:rsidRPr="004C78D8">
        <w:instrText xml:space="preserve"> ADDIN EN.CITE &lt;EndNote&gt;&lt;Cite&gt;&lt;Author&gt;Squires&lt;/Author&gt;&lt;Year&gt;2016&lt;/Year&gt;&lt;RecNum&gt;158&lt;/RecNum&gt;&lt;DisplayText&gt;[1]&lt;/DisplayText&gt;&lt;record&gt;&lt;rec-number&gt;158&lt;/rec-number&gt;&lt;foreign-keys&gt;&lt;key app="EN" db-id="tdtrdw9aepptzbefsat599syza29sxsd2wsp" timestamp="1609254669"&gt;158&lt;/key&gt;&lt;/foreign-keys&gt;&lt;ref-type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framework for developing the structure of public health economic models&lt;/title&gt;&lt;secondary-title&gt;Value in Health&lt;/secondary-title&gt;&lt;/titles&gt;&lt;periodical&gt;&lt;full-title&gt;Value in Health&lt;/full-title&gt;&lt;/periodical&gt;&lt;pages&gt;588-601&lt;/pages&gt;&lt;volume&gt;19&lt;/volume&gt;&lt;number&gt;5&lt;/number&gt;&lt;dates&gt;&lt;year&gt;2016&lt;/year&gt;&lt;/dates&gt;&lt;isbn&gt;1098-3015&lt;/isbn&gt;&lt;urls&gt;&lt;/urls&gt;&lt;research-notes&gt;1&lt;/research-notes&gt;&lt;/record&gt;&lt;/Cite&gt;&lt;/EndNote&gt;</w:instrText>
      </w:r>
      <w:r w:rsidRPr="004C78D8">
        <w:fldChar w:fldCharType="separate"/>
      </w:r>
      <w:r w:rsidRPr="004C78D8">
        <w:rPr>
          <w:noProof/>
        </w:rPr>
        <w:t>[1]</w:t>
      </w:r>
      <w:r w:rsidRPr="004C78D8">
        <w:fldChar w:fldCharType="end"/>
      </w:r>
      <w:r w:rsidRPr="004C78D8">
        <w:t>.</w:t>
      </w:r>
    </w:p>
    <w:p w14:paraId="6258CC80" w14:textId="604720CF" w:rsidR="00477772" w:rsidRPr="004C78D8" w:rsidRDefault="006C64AB" w:rsidP="00FB7C1F">
      <w:r w:rsidRPr="004C78D8">
        <w:t xml:space="preserve">In all, a </w:t>
      </w:r>
      <w:r w:rsidRPr="004C78D8">
        <w:rPr>
          <w:i/>
          <w:iCs/>
        </w:rPr>
        <w:t>de novo</w:t>
      </w:r>
      <w:r w:rsidRPr="004C78D8">
        <w:t xml:space="preserve"> qualitative study of older people is warranted, first to holistically explore the facilitators and barriers for implementing the NICE-recommended falls prevention pathway, and second to proactively use the resulting qualitative data to inform economic modelling. The latter would improve upon the siloed approach that is widely prevalent in the literature, whereby qualitative research is conducted and interpreted separately from economic evaluation, even when both designs are included in the same project </w:t>
      </w:r>
      <w:r w:rsidRPr="004C78D8">
        <w:fldChar w:fldCharType="begin">
          <w:fldData xml:space="preserve">PEVuZE5vdGU+PENpdGU+PEF1dGhvcj5MYW1iPC9BdXRob3I+PFllYXI+MjAxODwvWWVhcj48UmVj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</w:fldData>
        </w:fldChar>
      </w:r>
      <w:r w:rsidR="00C630FC" w:rsidRPr="004C78D8">
        <w:instrText xml:space="preserve"> ADDIN EN.CITE </w:instrText>
      </w:r>
      <w:r w:rsidR="00C630FC" w:rsidRPr="004C78D8">
        <w:fldChar w:fldCharType="begin">
          <w:fldData xml:space="preserve">PEVuZE5vdGU+PENpdGU+PEF1dGhvcj5MYW1iPC9BdXRob3I+PFllYXI+MjAxODwvWWVhcj48UmVj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[146, 193, 194]</w:t>
      </w:r>
      <w:r w:rsidRPr="004C78D8">
        <w:fldChar w:fldCharType="end"/>
      </w:r>
      <w:r w:rsidRPr="004C78D8">
        <w:t>.</w:t>
      </w:r>
    </w:p>
    <w:p w14:paraId="6459F09D" w14:textId="6970A57A" w:rsidR="00C25867" w:rsidRPr="004C78D8" w:rsidRDefault="00C25867" w:rsidP="00FB7C1F"/>
    <w:p w14:paraId="21892F7C" w14:textId="2F171998" w:rsidR="00C25867" w:rsidRPr="004C78D8" w:rsidRDefault="00C25867" w:rsidP="00FB7C1F">
      <w:pPr>
        <w:pStyle w:val="Heading2"/>
      </w:pPr>
      <w:bookmarkStart w:id="43" w:name="_Toc93566853"/>
      <w:bookmarkStart w:id="44" w:name="_Toc111630703"/>
      <w:r w:rsidRPr="004C78D8">
        <w:lastRenderedPageBreak/>
        <w:t>2.3 Qualitative study methods</w:t>
      </w:r>
      <w:bookmarkEnd w:id="43"/>
      <w:bookmarkEnd w:id="44"/>
    </w:p>
    <w:p w14:paraId="2BAE23C4" w14:textId="09B7BAB5" w:rsidR="00E76338" w:rsidRPr="004C78D8" w:rsidRDefault="00E76338" w:rsidP="00FB7C1F">
      <w:pPr>
        <w:spacing w:line="276" w:lineRule="auto"/>
      </w:pPr>
      <w:r w:rsidRPr="004C78D8">
        <w:t xml:space="preserve">The qualitative research involved focus groups and interviews with older persons </w:t>
      </w:r>
      <w:r w:rsidR="0050669F" w:rsidRPr="004C78D8">
        <w:t>living in the Sheffield community</w:t>
      </w:r>
      <w:r w:rsidRPr="004C78D8">
        <w:t>. The ethics approval was obtained from the Research Ethics Committee at the School of Health and Related Research (ref. 025248). Written consent was obtained from willing participants</w:t>
      </w:r>
      <w:r w:rsidR="00777C76" w:rsidRPr="004C78D8">
        <w:t xml:space="preserve"> after they were informed about the research orally and in writing</w:t>
      </w:r>
      <w:r w:rsidRPr="004C78D8">
        <w:t>.</w:t>
      </w:r>
      <w:r w:rsidR="00777C76" w:rsidRPr="004C78D8">
        <w:t xml:space="preserve"> See Appendix A for the ethics approval letter, participant information sheet</w:t>
      </w:r>
      <w:r w:rsidR="002F444E" w:rsidRPr="004C78D8">
        <w:t>,</w:t>
      </w:r>
      <w:r w:rsidR="00777C76" w:rsidRPr="004C78D8">
        <w:t xml:space="preserve"> and informed consent form.</w:t>
      </w:r>
    </w:p>
    <w:p w14:paraId="5588FA7B" w14:textId="25102FD2" w:rsidR="00811D0F" w:rsidRPr="004C78D8" w:rsidRDefault="00811D0F" w:rsidP="00FB7C1F">
      <w:pPr>
        <w:pStyle w:val="Heading3"/>
      </w:pPr>
      <w:bookmarkStart w:id="45" w:name="_Toc111630704"/>
      <w:r w:rsidRPr="004C78D8">
        <w:t>2.3.1 Target population and sampling</w:t>
      </w:r>
      <w:bookmarkEnd w:id="45"/>
    </w:p>
    <w:p w14:paraId="2CBBB158" w14:textId="75E408F3" w:rsidR="00A718A2" w:rsidRPr="004C78D8" w:rsidRDefault="00A718A2" w:rsidP="00FB7C1F">
      <w:pPr>
        <w:spacing w:line="276" w:lineRule="auto"/>
      </w:pPr>
      <w:r w:rsidRPr="004C78D8">
        <w:t xml:space="preserve">The target population comprised persons aged 65+ in Sheffield, England, and persons aged 50-64 who are at high falls risk. The latter group was included to explore the rationale for earlier prevention as is currently recommended for inpatient settings by CG161 </w:t>
      </w:r>
      <w:r w:rsidRPr="004C78D8">
        <w:fldChar w:fldCharType="begin"/>
      </w:r>
      <w:r w:rsidR="00F255A9"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Pr="004C78D8">
        <w:fldChar w:fldCharType="separate"/>
      </w:r>
      <w:r w:rsidR="00F255A9" w:rsidRPr="004C78D8">
        <w:rPr>
          <w:noProof/>
        </w:rPr>
        <w:t>[13]</w:t>
      </w:r>
      <w:r w:rsidRPr="004C78D8">
        <w:fldChar w:fldCharType="end"/>
      </w:r>
      <w:r w:rsidRPr="004C78D8">
        <w:t>. Purposive sampling covered multiple categories of participant characteristics in terms of falls risk and service use as illustrated in Figure 2.1.</w:t>
      </w:r>
    </w:p>
    <w:p w14:paraId="378F4114" w14:textId="77777777" w:rsidR="00A718A2" w:rsidRPr="004C78D8" w:rsidRDefault="00A718A2" w:rsidP="00FB7C1F">
      <w:pPr>
        <w:spacing w:line="480" w:lineRule="auto"/>
      </w:pPr>
      <w:r w:rsidRPr="004C78D8">
        <w:rPr>
          <w:noProof/>
          <w:lang w:eastAsia="en-GB"/>
        </w:rPr>
        <w:drawing>
          <wp:inline distT="0" distB="0" distL="0" distR="0" wp14:anchorId="2C23941C" wp14:editId="6BF5CAD7">
            <wp:extent cx="4294377" cy="2484516"/>
            <wp:effectExtent l="0" t="0" r="0" b="0"/>
            <wp:docPr id="3" name="image1.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png" descr="Table&#10;&#10;Description automatically generated"/>
                    <pic:cNvPicPr preferRelativeResize="0"/>
                  </pic:nvPicPr>
                  <pic:blipFill>
                    <a:blip r:embed="rId12"/>
                    <a:srcRect/>
                    <a:stretch>
                      <a:fillRect/>
                    </a:stretch>
                  </pic:blipFill>
                  <pic:spPr>
                    <a:xfrm>
                      <a:off x="0" y="0"/>
                      <a:ext cx="4294377" cy="2484516"/>
                    </a:xfrm>
                    <a:prstGeom prst="rect">
                      <a:avLst/>
                    </a:prstGeom>
                    <a:ln/>
                  </pic:spPr>
                </pic:pic>
              </a:graphicData>
            </a:graphic>
          </wp:inline>
        </w:drawing>
      </w:r>
    </w:p>
    <w:p w14:paraId="0DC07A61" w14:textId="2FCBF05E" w:rsidR="00A718A2" w:rsidRPr="004C78D8" w:rsidRDefault="00A718A2" w:rsidP="00FB7C1F">
      <w:pPr>
        <w:spacing w:line="480" w:lineRule="auto"/>
        <w:rPr>
          <w:i/>
          <w:iCs/>
        </w:rPr>
      </w:pPr>
      <w:r w:rsidRPr="004C78D8">
        <w:rPr>
          <w:b/>
        </w:rPr>
        <w:t>Figure 2.1</w:t>
      </w:r>
      <w:r w:rsidRPr="004C78D8">
        <w:t xml:space="preserve"> Categories for qualitative study participant characteristics.</w:t>
      </w:r>
    </w:p>
    <w:p w14:paraId="2DA2FFF8" w14:textId="2FEDAA70" w:rsidR="00210532" w:rsidRPr="004C78D8" w:rsidRDefault="00210532" w:rsidP="00FB7C1F">
      <w:pPr>
        <w:spacing w:line="276" w:lineRule="auto"/>
      </w:pPr>
      <w:r w:rsidRPr="004C78D8">
        <w:t xml:space="preserve">According to CG161, those with history of fall(s) requiring medical attention or recurrent falls </w:t>
      </w:r>
      <w:r w:rsidR="002F444E" w:rsidRPr="004C78D8">
        <w:t xml:space="preserve">(of any severity) </w:t>
      </w:r>
      <w:r w:rsidRPr="004C78D8">
        <w:t xml:space="preserve">in the past year and/or mobility and balance problems were defined as high-risk </w:t>
      </w:r>
      <w:r w:rsidRPr="004C78D8">
        <w:fldChar w:fldCharType="begin"/>
      </w:r>
      <w:r w:rsidR="00F255A9"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Pr="004C78D8">
        <w:fldChar w:fldCharType="separate"/>
      </w:r>
      <w:r w:rsidR="00F255A9" w:rsidRPr="004C78D8">
        <w:rPr>
          <w:noProof/>
        </w:rPr>
        <w:t>[13]</w:t>
      </w:r>
      <w:r w:rsidRPr="004C78D8">
        <w:fldChar w:fldCharType="end"/>
      </w:r>
      <w:r w:rsidRPr="004C78D8">
        <w:t xml:space="preserve">. Low-risk individuals were sampled because they are still eligible for falls risk screening and/or interested in early prevention. </w:t>
      </w:r>
    </w:p>
    <w:p w14:paraId="61428BE2" w14:textId="27A0088F" w:rsidR="00210532" w:rsidRPr="004C78D8" w:rsidRDefault="00210532" w:rsidP="00FB7C1F">
      <w:pPr>
        <w:spacing w:line="276" w:lineRule="auto"/>
      </w:pPr>
      <w:r w:rsidRPr="004C78D8">
        <w:t xml:space="preserve">Recruitment continued until all participant categories were covered and themes saturated. Specifically, two focus groups were formed from two separate cohorts enrolled in Dance to Health, a falls prevention programme that combines evidence-based Otago and Falls Management Exercise </w:t>
      </w:r>
      <w:r w:rsidR="00522A62" w:rsidRPr="004C78D8">
        <w:t xml:space="preserve">(FaME) </w:t>
      </w:r>
      <w:r w:rsidRPr="004C78D8">
        <w:t xml:space="preserve">components in dance routines </w:t>
      </w:r>
      <w:r w:rsidRPr="004C78D8">
        <w:fldChar w:fldCharType="begin"/>
      </w:r>
      <w:r w:rsidR="00C630FC" w:rsidRPr="004C78D8">
        <w:instrText xml:space="preserve"> ADDIN EN.CITE &lt;EndNote&gt;&lt;Cite&gt;&lt;Author&gt;Vella-Burrows&lt;/Author&gt;&lt;Year&gt;2019&lt;/Year&gt;&lt;RecNum&gt;94&lt;/RecNum&gt;&lt;DisplayText&gt;[195, 196]&lt;/DisplayText&gt;&lt;record&gt;&lt;rec-number&gt;94&lt;/rec-number&gt;&lt;foreign-keys&gt;&lt;key app="EN" db-id="tdtrdw9aepptzbefsat599syza29sxsd2wsp" timestamp="1598190716"&gt;94&lt;/key&gt;&lt;/foreign-keys&gt;&lt;ref-type name="Journal Article"&gt;17&lt;/ref-type&gt;&lt;contributors&gt;&lt;authors&gt;&lt;author&gt;Vella-Burrows, Trish&lt;/author&gt;&lt;author&gt;Pickard, Angela&lt;/author&gt;&lt;author&gt;Wilson, Lian&lt;/author&gt;&lt;author&gt;Clift, Stephen&lt;/author&gt;&lt;author&gt;Whitfield, Laura&lt;/author&gt;&lt;/authors&gt;&lt;/contributors&gt;&lt;titles&gt;&lt;title&gt;‘Dance to Health’: an evaluation of health, social and dance interest outcomes of a dance programme for the prevention of falls&lt;/title&gt;&lt;secondary-title&gt;Arts &amp;amp; Health&lt;/secondary-title&gt;&lt;/titles&gt;&lt;periodical&gt;&lt;full-title&gt;Arts &amp;amp; Health&lt;/full-title&gt;&lt;/periodical&gt;&lt;pages&gt;1-15&lt;/pages&gt;&lt;dates&gt;&lt;year&gt;2019&lt;/year&gt;&lt;/dates&gt;&lt;isbn&gt;1753-3015&lt;/isbn&gt;&lt;urls&gt;&lt;/urls&gt;&lt;/record&gt;&lt;/Cite&gt;&lt;Cite&gt;&lt;Author&gt;Sport Industry Research Centre&lt;/Author&gt;&lt;Year&gt;2019&lt;/Year&gt;&lt;RecNum&gt;110&lt;/RecNum&gt;&lt;record&gt;&lt;rec-number&gt;110&lt;/rec-number&gt;&lt;foreign-keys&gt;&lt;key app="EN" db-id="tdtrdw9aepptzbefsat599syza29sxsd2wsp" timestamp="1598262067"&gt;110&lt;/key&gt;&lt;/foreign-keys&gt;&lt;ref-type name="Journal Article"&gt;17&lt;/ref-type&gt;&lt;contributors&gt;&lt;authors&gt;&lt;author&gt;Sport Industry Research Centre,&lt;/author&gt;&lt;/authors&gt;&lt;/contributors&gt;&lt;titles&gt;&lt;title&gt;Dance to Health &amp;apos;Phase 1 roll-out [test and learn]&amp;apos; evaluation&lt;/title&gt;&lt;secondary-title&gt;Sheffield Hallam University&lt;/secondary-title&gt;&lt;/titles&gt;&lt;periodical&gt;&lt;full-title&gt;Sheffield Hallam University&lt;/full-title&gt;&lt;/periodical&gt;&lt;dates&gt;&lt;year&gt;2019&lt;/year&gt;&lt;/dates&gt;&lt;urls&gt;&lt;/urls&gt;&lt;/record&gt;&lt;/Cite&gt;&lt;/EndNote&gt;</w:instrText>
      </w:r>
      <w:r w:rsidRPr="004C78D8">
        <w:fldChar w:fldCharType="separate"/>
      </w:r>
      <w:r w:rsidR="00C630FC" w:rsidRPr="004C78D8">
        <w:rPr>
          <w:noProof/>
        </w:rPr>
        <w:t>[195, 196]</w:t>
      </w:r>
      <w:r w:rsidRPr="004C78D8">
        <w:fldChar w:fldCharType="end"/>
      </w:r>
      <w:r w:rsidRPr="004C78D8">
        <w:t xml:space="preserve">; these groups contained high and low risk service users. Two further groups were formed from a Patient and Public Involvement group meeting regularly at the Northern General Hospital and a social group meeting at Zest Community, a local social enterprise offering leisure, health and work support services to diverse age groups; these contained high and low risk service non-users. Two interview participants were recruited from Dance to Health and Zest Community. </w:t>
      </w:r>
    </w:p>
    <w:p w14:paraId="50FD4AAF" w14:textId="4262722D" w:rsidR="00210532" w:rsidRPr="004C78D8" w:rsidRDefault="00210532" w:rsidP="00FB7C1F">
      <w:pPr>
        <w:spacing w:line="276" w:lineRule="auto"/>
      </w:pPr>
      <w:r w:rsidRPr="004C78D8">
        <w:t xml:space="preserve">Focus groups were held directly before/after the regular meetings. Community organisation staff confirmed before research commencement whether their members could give informed consent. One participant declared memory problems while another a recent diagnosis of Alzheimer’s disease; but both were regular attendees of community groups and expressed confidence in participating. After obtaining written consents, questionnaires were administered to collect data on demographics, falls </w:t>
      </w:r>
      <w:r w:rsidRPr="004C78D8">
        <w:lastRenderedPageBreak/>
        <w:t xml:space="preserve">history and fear of falling, current physical activity, and contact with falls prevention services (Appendix A). </w:t>
      </w:r>
    </w:p>
    <w:p w14:paraId="65194669" w14:textId="705554BB" w:rsidR="004A652E" w:rsidRPr="004C78D8" w:rsidRDefault="004A652E" w:rsidP="00FB7C1F">
      <w:pPr>
        <w:spacing w:line="276" w:lineRule="auto"/>
      </w:pPr>
      <w:r w:rsidRPr="004C78D8">
        <w:t xml:space="preserve">Focus group participants were previously acquainted from attending the same activity and were comfortable sharing their experiences in the group. The </w:t>
      </w:r>
      <w:r w:rsidR="006461A2" w:rsidRPr="004C78D8">
        <w:t>PhD researcher</w:t>
      </w:r>
      <w:r w:rsidRPr="004C78D8">
        <w:t xml:space="preserve"> introduced himself and </w:t>
      </w:r>
      <w:r w:rsidR="006461A2" w:rsidRPr="004C78D8">
        <w:t>the</w:t>
      </w:r>
      <w:r w:rsidRPr="004C78D8">
        <w:t xml:space="preserve"> PhD aim and presented himself as someone wanting to learn from the participants. </w:t>
      </w:r>
      <w:r w:rsidRPr="004C78D8">
        <w:rPr>
          <w:rFonts w:cs="Calibri"/>
          <w:color w:val="000000"/>
        </w:rPr>
        <w:t>Participants were motivated to help the interviewer understand their perspective on falls and falls prevention. For interviews, around 15 minutes were spent for the participants and the interviewer to become acquainted in conversing (at interviewees’ homes) before the research commenced.</w:t>
      </w:r>
    </w:p>
    <w:p w14:paraId="5F7A4BDC" w14:textId="0807E265" w:rsidR="00DD1D8B" w:rsidRPr="004C78D8" w:rsidRDefault="00DD1D8B" w:rsidP="00FB7C1F">
      <w:pPr>
        <w:pStyle w:val="Heading3"/>
      </w:pPr>
      <w:bookmarkStart w:id="46" w:name="_Toc111630705"/>
      <w:r w:rsidRPr="004C78D8">
        <w:t>2.3.2 Discussion topics</w:t>
      </w:r>
      <w:r w:rsidR="00A468BA" w:rsidRPr="004C78D8">
        <w:t xml:space="preserve"> and data collection</w:t>
      </w:r>
      <w:bookmarkEnd w:id="46"/>
    </w:p>
    <w:p w14:paraId="70968A47" w14:textId="02CC00AC" w:rsidR="00DD1D8B" w:rsidRPr="004C78D8" w:rsidRDefault="00132827" w:rsidP="00FB7C1F">
      <w:pPr>
        <w:spacing w:line="276" w:lineRule="auto"/>
      </w:pPr>
      <w:r w:rsidRPr="004C78D8">
        <w:t xml:space="preserve">The main discussion topics were structured around the sequential steps of the proactive prevention pathway recommended by CG161 </w:t>
      </w:r>
      <w:r w:rsidRPr="004C78D8">
        <w:fldChar w:fldCharType="begin"/>
      </w:r>
      <w:r w:rsidR="00F255A9"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Pr="004C78D8">
        <w:fldChar w:fldCharType="separate"/>
      </w:r>
      <w:r w:rsidR="00F255A9" w:rsidRPr="004C78D8">
        <w:rPr>
          <w:noProof/>
        </w:rPr>
        <w:t>[13]</w:t>
      </w:r>
      <w:r w:rsidRPr="004C78D8">
        <w:fldChar w:fldCharType="end"/>
      </w:r>
      <w:r w:rsidRPr="004C78D8">
        <w:t>, namely: (i) falls risk screening/assessment by professionals; (ii) participant suggestions on raising falls risk awareness in the community; (iii) initial uptake of different treatments; and (iv) long-term a</w:t>
      </w:r>
      <w:r w:rsidR="00280D1B" w:rsidRPr="004C78D8">
        <w:t>ccess</w:t>
      </w:r>
      <w:r w:rsidRPr="004C78D8">
        <w:t xml:space="preserve"> to treatments. If mentioned by participants, the reactive and self-referred pathways were also discussed.</w:t>
      </w:r>
      <w:r w:rsidR="00BE54D4" w:rsidRPr="004C78D8">
        <w:t xml:space="preserve"> See Appendix A for the topic guide.</w:t>
      </w:r>
    </w:p>
    <w:p w14:paraId="3FF9F632" w14:textId="7C3EDA57" w:rsidR="00B91A23" w:rsidRPr="004C78D8" w:rsidRDefault="00B91A23" w:rsidP="00FB7C1F">
      <w:pPr>
        <w:spacing w:line="276" w:lineRule="auto"/>
      </w:pPr>
      <w:r w:rsidRPr="004C78D8">
        <w:t xml:space="preserve">A simplified graphical summary of the proactive pathway, as shown in Figure 2.2, was used to explain the main topics to participants. Four treatment types – exercise, HAM, medication change and vision improvement – were explained while emphasising that other types exist, such as chiropody. It was also highlighted that reactive pathway after a serious fall is commonly used, and that self-referred pathway is recommended by experts </w:t>
      </w:r>
      <w:r w:rsidRPr="004C78D8">
        <w:fldChar w:fldCharType="begin"/>
      </w:r>
      <w:r w:rsidR="00513646" w:rsidRPr="004C78D8">
        <w:instrText xml:space="preserve"> ADDIN EN.CITE &lt;EndNote&gt;&lt;Cite&gt;&lt;Author&gt;Foster&lt;/Author&gt;&lt;Year&gt;2019&lt;/Year&gt;&lt;RecNum&gt;274&lt;/RecNum&gt;&lt;DisplayText&gt;[113]&lt;/DisplayText&gt;&lt;record&gt;&lt;rec-number&gt;274&lt;/rec-number&gt;&lt;foreign-keys&gt;&lt;key app="EN" db-id="tdtrdw9aepptzbefsat599syza29sxsd2wsp" timestamp="1611696027"&gt;274&lt;/key&gt;&lt;/foreign-keys&gt;&lt;ref-type name="Journal Article"&gt;17&lt;/ref-type&gt;&lt;contributors&gt;&lt;authors&gt;&lt;author&gt;Foster, C&lt;/author&gt;&lt;author&gt;Reilly, J&lt;/author&gt;&lt;author&gt;Jago, R&lt;/author&gt;&lt;author&gt;Murphy, M&lt;/author&gt;&lt;author&gt;Skelton, D&lt;/author&gt;&lt;author&gt;Cooper, A&lt;/author&gt;&lt;author&gt;Pulsford, A&lt;/author&gt;&lt;author&gt;Pulsford, R&lt;/author&gt;&lt;author&gt;Smith, B&lt;/author&gt;&lt;author&gt;Mutrie, N&lt;/author&gt;&lt;/authors&gt;&lt;/contributors&gt;&lt;titles&gt;&lt;title&gt;UK Chief Medical Officers&amp;apos; Physical Activity Guidelines&lt;/title&gt;&lt;secondary-title&gt;Department of Health and Social Care&lt;/secondary-title&gt;&lt;/titles&gt;&lt;periodical&gt;&lt;full-title&gt;Department of Health and Social Care&lt;/full-title&gt;&lt;/periodical&gt;&lt;dates&gt;&lt;year&gt;2019&lt;/year&gt;&lt;/dates&gt;&lt;urls&gt;&lt;/urls&gt;&lt;/record&gt;&lt;/Cite&gt;&lt;/EndNote&gt;</w:instrText>
      </w:r>
      <w:r w:rsidRPr="004C78D8">
        <w:fldChar w:fldCharType="separate"/>
      </w:r>
      <w:r w:rsidR="00513646" w:rsidRPr="004C78D8">
        <w:rPr>
          <w:noProof/>
        </w:rPr>
        <w:t>[113]</w:t>
      </w:r>
      <w:r w:rsidRPr="004C78D8">
        <w:fldChar w:fldCharType="end"/>
      </w:r>
      <w:r w:rsidRPr="004C78D8">
        <w:t xml:space="preserve">. Further contextual factors influencing falls risk and prevention (e.g., safety of pedestrian walks in Winter) were actively explored as they emerged during discussion. </w:t>
      </w:r>
    </w:p>
    <w:p w14:paraId="7366C25D" w14:textId="77777777" w:rsidR="00B91A23" w:rsidRPr="004C78D8" w:rsidRDefault="00B91A23" w:rsidP="00FB7C1F">
      <w:pPr>
        <w:spacing w:line="276" w:lineRule="auto"/>
      </w:pPr>
    </w:p>
    <w:p w14:paraId="483B60B2" w14:textId="77777777" w:rsidR="00B91A23" w:rsidRPr="004C78D8" w:rsidRDefault="00B91A23" w:rsidP="00FB7C1F">
      <w:pPr>
        <w:spacing w:line="480" w:lineRule="auto"/>
      </w:pPr>
      <w:r w:rsidRPr="004C78D8">
        <w:rPr>
          <w:noProof/>
          <w:lang w:eastAsia="en-GB"/>
        </w:rPr>
        <w:drawing>
          <wp:inline distT="0" distB="0" distL="0" distR="0" wp14:anchorId="046522F3" wp14:editId="36FA864A">
            <wp:extent cx="5731510" cy="2318385"/>
            <wp:effectExtent l="0" t="0" r="0" b="0"/>
            <wp:docPr id="14"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2.png" descr="Diagram&#10;&#10;Description automatically generated"/>
                    <pic:cNvPicPr preferRelativeResize="0"/>
                  </pic:nvPicPr>
                  <pic:blipFill>
                    <a:blip r:embed="rId13"/>
                    <a:srcRect/>
                    <a:stretch>
                      <a:fillRect/>
                    </a:stretch>
                  </pic:blipFill>
                  <pic:spPr>
                    <a:xfrm>
                      <a:off x="0" y="0"/>
                      <a:ext cx="5731510" cy="2318385"/>
                    </a:xfrm>
                    <a:prstGeom prst="rect">
                      <a:avLst/>
                    </a:prstGeom>
                    <a:ln/>
                  </pic:spPr>
                </pic:pic>
              </a:graphicData>
            </a:graphic>
          </wp:inline>
        </w:drawing>
      </w:r>
    </w:p>
    <w:p w14:paraId="28F970B2" w14:textId="32087100" w:rsidR="00B91A23" w:rsidRPr="004C78D8" w:rsidRDefault="00B91A23" w:rsidP="00FB7C1F">
      <w:pPr>
        <w:spacing w:line="276" w:lineRule="auto"/>
      </w:pPr>
      <w:r w:rsidRPr="004C78D8">
        <w:rPr>
          <w:b/>
        </w:rPr>
        <w:t>Figure 2.2</w:t>
      </w:r>
      <w:r w:rsidRPr="004C78D8">
        <w:t xml:space="preserve"> Graphical summary of the recommended falls prevention guideline used to introduce the discussion topics to focus group and interview participants.</w:t>
      </w:r>
    </w:p>
    <w:p w14:paraId="08E3E98A" w14:textId="3CEDFA96" w:rsidR="005A4110" w:rsidRPr="004C78D8" w:rsidRDefault="00575354" w:rsidP="00FB7C1F">
      <w:pPr>
        <w:spacing w:line="276" w:lineRule="auto"/>
      </w:pPr>
      <w:r w:rsidRPr="004C78D8">
        <w:t>For data collection, recorded audio data were transcribed and anonymised. The questionnaire data were similarly transferred to an Excel spreadsheet and anonymised. Both data were stored securely in the University designated folder.</w:t>
      </w:r>
    </w:p>
    <w:p w14:paraId="10B3164D" w14:textId="39D7C993" w:rsidR="00575354" w:rsidRPr="004C78D8" w:rsidRDefault="00575354" w:rsidP="00FB7C1F">
      <w:pPr>
        <w:pStyle w:val="Heading3"/>
      </w:pPr>
      <w:bookmarkStart w:id="47" w:name="_Toc111630706"/>
      <w:r w:rsidRPr="004C78D8">
        <w:t>2.3.3 Data analysis</w:t>
      </w:r>
      <w:bookmarkEnd w:id="47"/>
    </w:p>
    <w:p w14:paraId="451F9D74" w14:textId="0037388B" w:rsidR="00575354" w:rsidRPr="004C78D8" w:rsidRDefault="00A468BA" w:rsidP="00FB7C1F">
      <w:r w:rsidRPr="004C78D8">
        <w:t>F</w:t>
      </w:r>
      <w:r w:rsidR="006F05EF" w:rsidRPr="004C78D8">
        <w:t xml:space="preserve">ramework analysis was employed for the analysis of obtained data </w:t>
      </w:r>
      <w:r w:rsidR="006F05EF" w:rsidRPr="004C78D8">
        <w:fldChar w:fldCharType="begin"/>
      </w:r>
      <w:r w:rsidR="00C630FC" w:rsidRPr="004C78D8">
        <w:instrText xml:space="preserve"> ADDIN EN.CITE &lt;EndNote&gt;&lt;Cite&gt;&lt;Author&gt;Ritchie&lt;/Author&gt;&lt;Year&gt;2002&lt;/Year&gt;&lt;RecNum&gt;582&lt;/RecNum&gt;&lt;DisplayText&gt;[191, 192]&lt;/DisplayText&gt;&lt;record&gt;&lt;rec-number&gt;582&lt;/rec-number&gt;&lt;foreign-keys&gt;&lt;key app="EN" db-id="tdtrdw9aepptzbefsat599syza29sxsd2wsp" timestamp="1620759449"&gt;582&lt;/key&gt;&lt;/foreign-keys&gt;&lt;ref-type name="Book Section"&gt;5&lt;/ref-type&gt;&lt;contributors&gt;&lt;authors&gt;&lt;author&gt;Ritchie, Jane&lt;/author&gt;&lt;author&gt;Spencer, Liz&lt;/author&gt;&lt;/authors&gt;&lt;/contributors&gt;&lt;titles&gt;&lt;title&gt;Qualitative data analysis for applied policy research&lt;/title&gt;&lt;secondary-title&gt;Analyzing qualitative data&lt;/secondary-title&gt;&lt;/titles&gt;&lt;pages&gt;187-208&lt;/pages&gt;&lt;dates&gt;&lt;year&gt;2002&lt;/year&gt;&lt;/dates&gt;&lt;publisher&gt;Routledge&lt;/publisher&gt;&lt;isbn&gt;0203413083&lt;/isbn&gt;&lt;urls&gt;&lt;/urls&gt;&lt;/record&gt;&lt;/Cite&gt;&lt;Cite&gt;&lt;Author&gt;Yardley&lt;/Author&gt;&lt;Year&gt;2006&lt;/Year&gt;&lt;RecNum&gt;268&lt;/RecNum&gt;&lt;record&gt;&lt;rec-number&gt;268&lt;/rec-number&gt;&lt;foreign-keys&gt;&lt;key app="EN" db-id="tdtrdw9aepptzbefsat599syza29sxsd2wsp" timestamp="1611692858"&gt;268&lt;/key&gt;&lt;/foreign-keys&gt;&lt;ref-type name="Journal Article"&gt;17&lt;/ref-type&gt;&lt;contributors&gt;&lt;authors&gt;&lt;author&gt;Yardley, Lucy&lt;/author&gt;&lt;author&gt;Bishop, Felicity L&lt;/author&gt;&lt;author&gt;Beyer, Nina&lt;/author&gt;&lt;author&gt;Hauer, Klaus&lt;/author&gt;&lt;author&gt;Kempen, Gertrudis IJM&lt;/author&gt;&lt;author&gt;Piot-Ziegler, Chantal&lt;/author&gt;&lt;author&gt;Todd, Chris J&lt;/author&gt;&lt;author&gt;Cuttelod, Therese&lt;/author&gt;&lt;author&gt;Horne, Maria&lt;/author&gt;&lt;author&gt;Lanta, Kyriaki&lt;/author&gt;&lt;/authors&gt;&lt;/contributors&gt;&lt;titles&gt;&lt;title&gt;Older people&amp;apos;s views of falls-prevention interventions in six European countries&lt;/title&gt;&lt;secondary-title&gt;The Gerontologist&lt;/secondary-title&gt;&lt;/titles&gt;&lt;periodical&gt;&lt;full-title&gt;The Gerontologist&lt;/full-title&gt;&lt;/periodical&gt;&lt;pages&gt;650-660&lt;/pages&gt;&lt;volume&gt;46&lt;/volume&gt;&lt;number&gt;5&lt;/number&gt;&lt;dates&gt;&lt;year&gt;2006&lt;/year&gt;&lt;/dates&gt;&lt;isbn&gt;1758-5341&lt;/isbn&gt;&lt;urls&gt;&lt;/urls&gt;&lt;/record&gt;&lt;/Cite&gt;&lt;/EndNote&gt;</w:instrText>
      </w:r>
      <w:r w:rsidR="006F05EF" w:rsidRPr="004C78D8">
        <w:fldChar w:fldCharType="separate"/>
      </w:r>
      <w:r w:rsidR="00C630FC" w:rsidRPr="004C78D8">
        <w:rPr>
          <w:noProof/>
        </w:rPr>
        <w:t>[191, 192]</w:t>
      </w:r>
      <w:r w:rsidR="006F05EF" w:rsidRPr="004C78D8">
        <w:fldChar w:fldCharType="end"/>
      </w:r>
      <w:r w:rsidR="006F05EF" w:rsidRPr="004C78D8">
        <w:t xml:space="preserve">. The approach involved five stages: (a) familiarisation – which involves repeated listening to audio and reading of transcripts for immersion in the data; (b) identifying a thematic framework – which </w:t>
      </w:r>
      <w:r w:rsidRPr="004C78D8">
        <w:t>is</w:t>
      </w:r>
      <w:r w:rsidR="006F05EF" w:rsidRPr="004C78D8">
        <w:t xml:space="preserve"> based on an </w:t>
      </w:r>
      <w:r w:rsidR="006F05EF" w:rsidRPr="004C78D8">
        <w:rPr>
          <w:i/>
          <w:iCs/>
        </w:rPr>
        <w:t>a priori</w:t>
      </w:r>
      <w:r w:rsidR="006F05EF" w:rsidRPr="004C78D8">
        <w:t xml:space="preserve"> set of </w:t>
      </w:r>
      <w:r w:rsidR="006F05EF" w:rsidRPr="004C78D8">
        <w:lastRenderedPageBreak/>
        <w:t xml:space="preserve">issues related to the research objectives and themes emerging from the data; (c) indexing – which systematically applies the thematic framework to the transcripts; (d) charting – which ‘lifts’ the data from the transcripts and rearranges them (e.g., in a tabular format) according to the thematic framework; and (e) mapping and interpretation – which seeks associations and develops policy-related strategies from the charted data based on </w:t>
      </w:r>
      <w:r w:rsidR="006F05EF" w:rsidRPr="004C78D8">
        <w:rPr>
          <w:i/>
          <w:iCs/>
        </w:rPr>
        <w:t>a priori</w:t>
      </w:r>
      <w:r w:rsidR="006F05EF" w:rsidRPr="004C78D8">
        <w:t xml:space="preserve"> issues and emerging themes.</w:t>
      </w:r>
    </w:p>
    <w:p w14:paraId="6F2D231D" w14:textId="77777777" w:rsidR="00B46755" w:rsidRPr="004C78D8" w:rsidRDefault="00B46755" w:rsidP="00FB7C1F">
      <w:pPr>
        <w:spacing w:line="276" w:lineRule="auto"/>
      </w:pPr>
      <w:r w:rsidRPr="004C78D8">
        <w:t xml:space="preserve">From stage (b) onwards, three frameworks related to the research objectives were constructed using </w:t>
      </w:r>
      <w:r w:rsidRPr="004C78D8">
        <w:rPr>
          <w:i/>
          <w:iCs/>
        </w:rPr>
        <w:t>a priori</w:t>
      </w:r>
      <w:r w:rsidRPr="004C78D8">
        <w:t xml:space="preserve"> concepts and themes emerging from the data: </w:t>
      </w:r>
    </w:p>
    <w:p w14:paraId="31A90F84" w14:textId="77777777" w:rsidR="00B46755" w:rsidRPr="004C78D8" w:rsidRDefault="00B46755" w:rsidP="00FB7C1F">
      <w:pPr>
        <w:pStyle w:val="ListParagraph"/>
        <w:numPr>
          <w:ilvl w:val="0"/>
          <w:numId w:val="23"/>
        </w:numPr>
        <w:spacing w:line="276" w:lineRule="auto"/>
      </w:pPr>
      <w:r w:rsidRPr="004C78D8">
        <w:t>Framework to understand the facilitators and barriers to components of the NICE CG161 falls prevention pathway and cross-component and contextual factors.</w:t>
      </w:r>
    </w:p>
    <w:p w14:paraId="3DC4F7B8" w14:textId="77777777" w:rsidR="00B46755" w:rsidRPr="004C78D8" w:rsidRDefault="00B46755" w:rsidP="00FB7C1F">
      <w:pPr>
        <w:pStyle w:val="ListParagraph"/>
        <w:numPr>
          <w:ilvl w:val="0"/>
          <w:numId w:val="23"/>
        </w:numPr>
        <w:spacing w:line="276" w:lineRule="auto"/>
      </w:pPr>
      <w:r w:rsidRPr="004C78D8">
        <w:t xml:space="preserve">Framework to inform potential commissioning strategies by accounting for causal mechanisms in context, priority setting, need/eligibility, supply and demand. </w:t>
      </w:r>
    </w:p>
    <w:p w14:paraId="48603399" w14:textId="08C06CE4" w:rsidR="00B46755" w:rsidRPr="004C78D8" w:rsidRDefault="00B46755" w:rsidP="00FB7C1F">
      <w:pPr>
        <w:pStyle w:val="ListParagraph"/>
        <w:numPr>
          <w:ilvl w:val="0"/>
          <w:numId w:val="23"/>
        </w:numPr>
        <w:spacing w:line="276" w:lineRule="auto"/>
      </w:pPr>
      <w:r w:rsidRPr="004C78D8">
        <w:t>Framework to understand the key methodological challenges to public health economic model development.</w:t>
      </w:r>
    </w:p>
    <w:p w14:paraId="5DED2EE6" w14:textId="25C05CB1" w:rsidR="00B46755" w:rsidRPr="004C78D8" w:rsidRDefault="00AA5635" w:rsidP="00FB7C1F">
      <w:pPr>
        <w:pStyle w:val="Heading4"/>
      </w:pPr>
      <w:r w:rsidRPr="004C78D8">
        <w:t>2.3.3.1 Framework (I): Facilitators and barriers and cross-component and contextual factors</w:t>
      </w:r>
    </w:p>
    <w:p w14:paraId="2AE418AF" w14:textId="42A694EA" w:rsidR="00AA5635" w:rsidRPr="004C78D8" w:rsidRDefault="00AA5635" w:rsidP="00FB7C1F">
      <w:pPr>
        <w:spacing w:line="276" w:lineRule="auto"/>
      </w:pPr>
      <w:r w:rsidRPr="004C78D8">
        <w:t>This framework closely follow</w:t>
      </w:r>
      <w:r w:rsidR="00A468BA" w:rsidRPr="004C78D8">
        <w:t>ed</w:t>
      </w:r>
      <w:r w:rsidRPr="004C78D8">
        <w:t xml:space="preserve"> the structure of the discussion topics and chart</w:t>
      </w:r>
      <w:r w:rsidR="00A468BA" w:rsidRPr="004C78D8">
        <w:t>ed</w:t>
      </w:r>
      <w:r w:rsidRPr="004C78D8">
        <w:t xml:space="preserve"> the main themes identified from the data. </w:t>
      </w:r>
      <w:r w:rsidR="00A468BA" w:rsidRPr="004C78D8">
        <w:t xml:space="preserve">Facilitators and barriers for the pathway implementation that emerged from the data were arranged by </w:t>
      </w:r>
      <w:r w:rsidR="00A468BA" w:rsidRPr="004C78D8">
        <w:rPr>
          <w:i/>
          <w:iCs/>
        </w:rPr>
        <w:t>a priori</w:t>
      </w:r>
      <w:r w:rsidR="00A468BA" w:rsidRPr="004C78D8">
        <w:t xml:space="preserve"> thematic categories corresponding to the NICE CG161 pathway components – i.e., (i) falls risk screening/assessment by professionals; (ii) raising falls risk awareness; (iii) initial uptake of treatments; and (iv) long-term adherence to treatments. Cross-component factors – i.e., facilitators and barriers influencing multiple pathway components – were highlighted. Additional contextual factors influencing the pathway implementation were noted as they emerged from the data</w:t>
      </w:r>
      <w:r w:rsidRPr="004C78D8">
        <w:t>.</w:t>
      </w:r>
    </w:p>
    <w:p w14:paraId="5FB0AA20" w14:textId="6F33B78C" w:rsidR="00AA5635" w:rsidRPr="004C78D8" w:rsidRDefault="00430AC5" w:rsidP="00FB7C1F">
      <w:pPr>
        <w:pStyle w:val="Heading4"/>
      </w:pPr>
      <w:r w:rsidRPr="004C78D8">
        <w:t>2.3.3.2 Framework (II): Potential commissioning strategies</w:t>
      </w:r>
    </w:p>
    <w:p w14:paraId="43807FB5" w14:textId="5E9349C8" w:rsidR="007A45D7" w:rsidRPr="004C78D8" w:rsidRDefault="00AE57EA" w:rsidP="00FB7C1F">
      <w:r w:rsidRPr="004C78D8">
        <w:t>This framework rearrange</w:t>
      </w:r>
      <w:r w:rsidR="007A45D7" w:rsidRPr="004C78D8">
        <w:t>d</w:t>
      </w:r>
      <w:r w:rsidRPr="004C78D8">
        <w:t xml:space="preserve"> the main themes under Framework (I) into a format that guides commissioning strategies</w:t>
      </w:r>
      <w:r w:rsidR="007A45D7" w:rsidRPr="004C78D8">
        <w:t xml:space="preserve"> (actual or model-evaluated)</w:t>
      </w:r>
      <w:r w:rsidRPr="004C78D8">
        <w:t xml:space="preserve">. </w:t>
      </w:r>
      <w:r w:rsidR="00244CF3" w:rsidRPr="004C78D8">
        <w:t xml:space="preserve">An </w:t>
      </w:r>
      <w:r w:rsidR="00244CF3" w:rsidRPr="004C78D8">
        <w:rPr>
          <w:i/>
          <w:iCs/>
        </w:rPr>
        <w:t>a priori</w:t>
      </w:r>
      <w:r w:rsidR="00244CF3" w:rsidRPr="004C78D8">
        <w:t xml:space="preserve"> CICI-HNA framework was constructed that combined the thematic categories within the CICI </w:t>
      </w:r>
      <w:r w:rsidR="00244CF3" w:rsidRPr="004C78D8">
        <w:fldChar w:fldCharType="begin"/>
      </w:r>
      <w:r w:rsidR="00C630FC" w:rsidRPr="004C78D8">
        <w:instrText xml:space="preserve"> ADDIN EN.CITE &lt;EndNote&gt;&lt;Cite&gt;&lt;Author&gt;Pfadenhauer&lt;/Author&gt;&lt;Year&gt;2016&lt;/Year&gt;&lt;RecNum&gt;578&lt;/RecNum&gt;&lt;DisplayText&gt;[181]&lt;/DisplayText&gt;&lt;record&gt;&lt;rec-number&gt;578&lt;/rec-number&gt;&lt;foreign-keys&gt;&lt;key app="EN" db-id="tdtrdw9aepptzbefsat599syza29sxsd2wsp" timestamp="1620727866"&gt;578&lt;/key&gt;&lt;/foreign-keys&gt;&lt;ref-type name="Report"&gt;27&lt;/ref-type&gt;&lt;contributors&gt;&lt;authors&gt;&lt;author&gt;Pfadenhauer, Lisa&lt;/author&gt;&lt;author&gt;Rohwer, Anke&lt;/author&gt;&lt;author&gt;Burns, Jacob&lt;/author&gt;&lt;author&gt;Booth, Andrew&lt;/author&gt;&lt;author&gt;Lysdahl, Kristin Bakke&lt;/author&gt;&lt;author&gt;Hofmann, Björn&lt;/author&gt;&lt;author&gt;Gerhardus, Ansgar&lt;/author&gt;&lt;author&gt;Mozygemba, Kati&lt;/author&gt;&lt;author&gt;Tummers, Marcia&lt;/author&gt;&lt;author&gt;Wahlster, Philip&lt;/author&gt;&lt;/authors&gt;&lt;/contributors&gt;&lt;titles&gt;&lt;title&gt;Guidance for the assessment of context and implementation in health technology assessments (HTA) and systematic reviews of complex interventions: the context and implementation of complex interventions (CICI) framework&lt;/title&gt;&lt;secondary-title&gt;Integrated Health Technology Assessment for Evaluating Complex Technologies (INTEGRATE-HTA)&lt;/secondary-title&gt;&lt;/titles&gt;&lt;dates&gt;&lt;year&gt;2016&lt;/year&gt;&lt;/dates&gt;&lt;pub-location&gt;Available from: http://www.integrate-hta.eu/downloads/&lt;/pub-location&gt;&lt;publisher&gt;European Union&lt;/publisher&gt;&lt;urls&gt;&lt;/urls&gt;&lt;/record&gt;&lt;/Cite&gt;&lt;/EndNote&gt;</w:instrText>
      </w:r>
      <w:r w:rsidR="00244CF3" w:rsidRPr="004C78D8">
        <w:fldChar w:fldCharType="separate"/>
      </w:r>
      <w:r w:rsidR="00C630FC" w:rsidRPr="004C78D8">
        <w:rPr>
          <w:noProof/>
        </w:rPr>
        <w:t>[181]</w:t>
      </w:r>
      <w:r w:rsidR="00244CF3" w:rsidRPr="004C78D8">
        <w:fldChar w:fldCharType="end"/>
      </w:r>
      <w:r w:rsidR="00244CF3" w:rsidRPr="004C78D8">
        <w:t xml:space="preserve"> and the HNA frameworks </w:t>
      </w:r>
      <w:r w:rsidR="00244CF3" w:rsidRPr="004C78D8">
        <w:fldChar w:fldCharType="begin"/>
      </w:r>
      <w:r w:rsidR="00C630FC" w:rsidRPr="004C78D8">
        <w:instrText xml:space="preserve"> ADDIN EN.CITE &lt;EndNote&gt;&lt;Cite&gt;&lt;Author&gt;Stevens&lt;/Author&gt;&lt;Year&gt;1991&lt;/Year&gt;&lt;RecNum&gt;566&lt;/RecNum&gt;&lt;DisplayText&gt;[190]&lt;/DisplayText&gt;&lt;record&gt;&lt;rec-number&gt;566&lt;/rec-number&gt;&lt;foreign-keys&gt;&lt;key app="EN" db-id="tdtrdw9aepptzbefsat599syza29sxsd2wsp" timestamp="1619809887"&gt;566&lt;/key&gt;&lt;/foreign-keys&gt;&lt;ref-type name="Journal Article"&gt;17&lt;/ref-type&gt;&lt;contributors&gt;&lt;authors&gt;&lt;author&gt;Stevens, Amy&lt;/author&gt;&lt;author&gt;Gabbay, J&lt;/author&gt;&lt;/authors&gt;&lt;/contributors&gt;&lt;titles&gt;&lt;title&gt;Needs assessment needs assessment&lt;/title&gt;&lt;secondary-title&gt;Health trends&lt;/secondary-title&gt;&lt;/titles&gt;&lt;periodical&gt;&lt;full-title&gt;Health trends&lt;/full-title&gt;&lt;/periodical&gt;&lt;pages&gt;20-23&lt;/pages&gt;&lt;volume&gt;23&lt;/volume&gt;&lt;number&gt;1&lt;/number&gt;&lt;dates&gt;&lt;year&gt;1991&lt;/year&gt;&lt;/dates&gt;&lt;isbn&gt;0017-9132&lt;/isbn&gt;&lt;urls&gt;&lt;/urls&gt;&lt;/record&gt;&lt;/Cite&gt;&lt;/EndNote&gt;</w:instrText>
      </w:r>
      <w:r w:rsidR="00244CF3" w:rsidRPr="004C78D8">
        <w:fldChar w:fldCharType="separate"/>
      </w:r>
      <w:r w:rsidR="00C630FC" w:rsidRPr="004C78D8">
        <w:rPr>
          <w:noProof/>
        </w:rPr>
        <w:t>[190]</w:t>
      </w:r>
      <w:r w:rsidR="00244CF3" w:rsidRPr="004C78D8">
        <w:fldChar w:fldCharType="end"/>
      </w:r>
      <w:r w:rsidR="00244CF3" w:rsidRPr="004C78D8">
        <w:t xml:space="preserve">. This is illustrated in Figure A1 in Appendix A with accompanying descriptions. In brief, the CICI framework distinguished between implementation context (e.g., socioeconomic, legal) and mechanisms (e.g., provider, funding) </w:t>
      </w:r>
      <w:r w:rsidR="00244CF3" w:rsidRPr="004C78D8">
        <w:fldChar w:fldCharType="begin"/>
      </w:r>
      <w:r w:rsidR="00C630FC" w:rsidRPr="004C78D8">
        <w:instrText xml:space="preserve"> ADDIN EN.CITE &lt;EndNote&gt;&lt;Cite&gt;&lt;Author&gt;Pfadenhauer&lt;/Author&gt;&lt;Year&gt;2016&lt;/Year&gt;&lt;RecNum&gt;578&lt;/RecNum&gt;&lt;DisplayText&gt;[181]&lt;/DisplayText&gt;&lt;record&gt;&lt;rec-number&gt;578&lt;/rec-number&gt;&lt;foreign-keys&gt;&lt;key app="EN" db-id="tdtrdw9aepptzbefsat599syza29sxsd2wsp" timestamp="1620727866"&gt;578&lt;/key&gt;&lt;/foreign-keys&gt;&lt;ref-type name="Report"&gt;27&lt;/ref-type&gt;&lt;contributors&gt;&lt;authors&gt;&lt;author&gt;Pfadenhauer, Lisa&lt;/author&gt;&lt;author&gt;Rohwer, Anke&lt;/author&gt;&lt;author&gt;Burns, Jacob&lt;/author&gt;&lt;author&gt;Booth, Andrew&lt;/author&gt;&lt;author&gt;Lysdahl, Kristin Bakke&lt;/author&gt;&lt;author&gt;Hofmann, Björn&lt;/author&gt;&lt;author&gt;Gerhardus, Ansgar&lt;/author&gt;&lt;author&gt;Mozygemba, Kati&lt;/author&gt;&lt;author&gt;Tummers, Marcia&lt;/author&gt;&lt;author&gt;Wahlster, Philip&lt;/author&gt;&lt;/authors&gt;&lt;/contributors&gt;&lt;titles&gt;&lt;title&gt;Guidance for the assessment of context and implementation in health technology assessments (HTA) and systematic reviews of complex interventions: the context and implementation of complex interventions (CICI) framework&lt;/title&gt;&lt;secondary-title&gt;Integrated Health Technology Assessment for Evaluating Complex Technologies (INTEGRATE-HTA)&lt;/secondary-title&gt;&lt;/titles&gt;&lt;dates&gt;&lt;year&gt;2016&lt;/year&gt;&lt;/dates&gt;&lt;pub-location&gt;Available from: http://www.integrate-hta.eu/downloads/&lt;/pub-location&gt;&lt;publisher&gt;European Union&lt;/publisher&gt;&lt;urls&gt;&lt;/urls&gt;&lt;/record&gt;&lt;/Cite&gt;&lt;/EndNote&gt;</w:instrText>
      </w:r>
      <w:r w:rsidR="00244CF3" w:rsidRPr="004C78D8">
        <w:fldChar w:fldCharType="separate"/>
      </w:r>
      <w:r w:rsidR="00C630FC" w:rsidRPr="004C78D8">
        <w:rPr>
          <w:noProof/>
        </w:rPr>
        <w:t>[181]</w:t>
      </w:r>
      <w:r w:rsidR="00244CF3" w:rsidRPr="004C78D8">
        <w:fldChar w:fldCharType="end"/>
      </w:r>
      <w:r w:rsidR="00244CF3" w:rsidRPr="004C78D8">
        <w:t xml:space="preserve">. The HNA framework distinguished between supply, demand and need/eligibility </w:t>
      </w:r>
      <w:r w:rsidR="00244CF3" w:rsidRPr="004C78D8">
        <w:fldChar w:fldCharType="begin"/>
      </w:r>
      <w:r w:rsidR="00C630FC" w:rsidRPr="004C78D8">
        <w:instrText xml:space="preserve"> ADDIN EN.CITE &lt;EndNote&gt;&lt;Cite&gt;&lt;Author&gt;Stevens&lt;/Author&gt;&lt;Year&gt;1991&lt;/Year&gt;&lt;RecNum&gt;566&lt;/RecNum&gt;&lt;DisplayText&gt;[190]&lt;/DisplayText&gt;&lt;record&gt;&lt;rec-number&gt;566&lt;/rec-number&gt;&lt;foreign-keys&gt;&lt;key app="EN" db-id="tdtrdw9aepptzbefsat599syza29sxsd2wsp" timestamp="1619809887"&gt;566&lt;/key&gt;&lt;/foreign-keys&gt;&lt;ref-type name="Journal Article"&gt;17&lt;/ref-type&gt;&lt;contributors&gt;&lt;authors&gt;&lt;author&gt;Stevens, Amy&lt;/author&gt;&lt;author&gt;Gabbay, J&lt;/author&gt;&lt;/authors&gt;&lt;/contributors&gt;&lt;titles&gt;&lt;title&gt;Needs assessment needs assessment&lt;/title&gt;&lt;secondary-title&gt;Health trends&lt;/secondary-title&gt;&lt;/titles&gt;&lt;periodical&gt;&lt;full-title&gt;Health trends&lt;/full-title&gt;&lt;/periodical&gt;&lt;pages&gt;20-23&lt;/pages&gt;&lt;volume&gt;23&lt;/volume&gt;&lt;number&gt;1&lt;/number&gt;&lt;dates&gt;&lt;year&gt;1991&lt;/year&gt;&lt;/dates&gt;&lt;isbn&gt;0017-9132&lt;/isbn&gt;&lt;urls&gt;&lt;/urls&gt;&lt;/record&gt;&lt;/Cite&gt;&lt;/EndNote&gt;</w:instrText>
      </w:r>
      <w:r w:rsidR="00244CF3" w:rsidRPr="004C78D8">
        <w:fldChar w:fldCharType="separate"/>
      </w:r>
      <w:r w:rsidR="00C630FC" w:rsidRPr="004C78D8">
        <w:rPr>
          <w:noProof/>
        </w:rPr>
        <w:t>[190]</w:t>
      </w:r>
      <w:r w:rsidR="00244CF3" w:rsidRPr="004C78D8">
        <w:fldChar w:fldCharType="end"/>
      </w:r>
      <w:r w:rsidR="00244CF3" w:rsidRPr="004C78D8">
        <w:t xml:space="preserve">: supply corresponded to the CICI implementation mechanisms; demand encompassed personal and external factors influencing uptake/adherence decisions (e.g., health-related motives for healthy behaviour </w:t>
      </w:r>
      <w:r w:rsidR="00244CF3" w:rsidRPr="004C78D8">
        <w:fldChar w:fldCharType="begin"/>
      </w:r>
      <w:r w:rsidR="00C630FC" w:rsidRPr="004C78D8">
        <w:instrText xml:space="preserve"> ADDIN EN.CITE &lt;EndNote&gt;&lt;Cite&gt;&lt;Author&gt;Schüz&lt;/Author&gt;&lt;Year&gt;2014&lt;/Year&gt;&lt;RecNum&gt;584&lt;/RecNum&gt;&lt;DisplayText&gt;[189]&lt;/DisplayText&gt;&lt;record&gt;&lt;rec-number&gt;584&lt;/rec-number&gt;&lt;foreign-keys&gt;&lt;key app="EN" db-id="tdtrdw9aepptzbefsat599syza29sxsd2wsp" timestamp="1620770288"&gt;584&lt;/key&gt;&lt;/foreign-keys&gt;&lt;ref-type name="Journal Article"&gt;17&lt;/ref-type&gt;&lt;contributors&gt;&lt;authors&gt;&lt;author&gt;Schüz, Benjamin&lt;/author&gt;&lt;author&gt;Wurm, Susanne&lt;/author&gt;&lt;author&gt;Warner, Lisa M&lt;/author&gt;&lt;author&gt;Wolff, Julia K&lt;/author&gt;&lt;author&gt;Schwarzer, Ralf&lt;/author&gt;&lt;/authors&gt;&lt;/contributors&gt;&lt;titles&gt;&lt;title&gt;Health motives and health behaviour self-regulation in older adults&lt;/title&gt;&lt;secondary-title&gt;Journal of behavioral medicine&lt;/secondary-title&gt;&lt;/titles&gt;&lt;periodical&gt;&lt;full-title&gt;Journal of behavioral medicine&lt;/full-title&gt;&lt;/periodical&gt;&lt;pages&gt;491-500&lt;/pages&gt;&lt;volume&gt;37&lt;/volume&gt;&lt;number&gt;3&lt;/number&gt;&lt;dates&gt;&lt;year&gt;2014&lt;/year&gt;&lt;/dates&gt;&lt;isbn&gt;0160-7715&lt;/isbn&gt;&lt;urls&gt;&lt;/urls&gt;&lt;/record&gt;&lt;/Cite&gt;&lt;/EndNote&gt;</w:instrText>
      </w:r>
      <w:r w:rsidR="00244CF3" w:rsidRPr="004C78D8">
        <w:fldChar w:fldCharType="separate"/>
      </w:r>
      <w:r w:rsidR="00C630FC" w:rsidRPr="004C78D8">
        <w:rPr>
          <w:noProof/>
        </w:rPr>
        <w:t>[189]</w:t>
      </w:r>
      <w:r w:rsidR="00244CF3" w:rsidRPr="004C78D8">
        <w:fldChar w:fldCharType="end"/>
      </w:r>
      <w:r w:rsidR="00244CF3" w:rsidRPr="004C78D8">
        <w:t xml:space="preserve">, community marketing, self-efficacy promotions </w:t>
      </w:r>
      <w:r w:rsidR="00244CF3" w:rsidRPr="004C78D8">
        <w:fldChar w:fldCharType="begin"/>
      </w:r>
      <w:r w:rsidR="00C630FC" w:rsidRPr="004C78D8">
        <w:instrText xml:space="preserve"> ADDIN EN.CITE &lt;EndNote&gt;&lt;Cite&gt;&lt;Author&gt;Ory&lt;/Author&gt;&lt;Year&gt;2003&lt;/Year&gt;&lt;RecNum&gt;585&lt;/RecNum&gt;&lt;DisplayText&gt;[197, 198]&lt;/DisplayText&gt;&lt;record&gt;&lt;rec-number&gt;585&lt;/rec-number&gt;&lt;foreign-keys&gt;&lt;key app="EN" db-id="tdtrdw9aepptzbefsat599syza29sxsd2wsp" timestamp="1620771502"&gt;585&lt;/key&gt;&lt;/foreign-keys&gt;&lt;ref-type name="Journal Article"&gt;17&lt;/ref-type&gt;&lt;contributors&gt;&lt;authors&gt;&lt;author&gt;Ory, Marcia&lt;/author&gt;&lt;author&gt;Hoffman, Melane Kinney&lt;/author&gt;&lt;author&gt;Hawkins, Margaret&lt;/author&gt;&lt;author&gt;Sanner, Brigid&lt;/author&gt;&lt;author&gt;Mockenhaupt, Robin&lt;/author&gt;&lt;/authors&gt;&lt;/contributors&gt;&lt;titles&gt;&lt;title&gt;Challenging aging stereotypes: Strategies for creating a more active society&lt;/title&gt;&lt;secondary-title&gt;American journal of preventive medicine&lt;/secondary-title&gt;&lt;/titles&gt;&lt;periodical&gt;&lt;full-title&gt;Am J Prev Med&lt;/full-title&gt;&lt;abbr-1&gt;American journal of preventive medicine&lt;/abbr-1&gt;&lt;/periodical&gt;&lt;pages&gt;164-171&lt;/pages&gt;&lt;volume&gt;25&lt;/volume&gt;&lt;number&gt;3&lt;/number&gt;&lt;dates&gt;&lt;year&gt;2003&lt;/year&gt;&lt;/dates&gt;&lt;isbn&gt;0749-3797&lt;/isbn&gt;&lt;urls&gt;&lt;/urls&gt;&lt;/record&gt;&lt;/Cite&gt;&lt;Cite&gt;&lt;Author&gt;French&lt;/Author&gt;&lt;Year&gt;2014&lt;/Year&gt;&lt;RecNum&gt;142&lt;/RecNum&gt;&lt;record&gt;&lt;rec-number&gt;142&lt;/rec-number&gt;&lt;foreign-keys&gt;&lt;key app="EN" db-id="tdtrdw9aepptzbefsat599syza29sxsd2wsp" timestamp="1600790020"&gt;142&lt;/key&gt;&lt;/foreign-keys&gt;&lt;ref-type name="Journal Article"&gt;17&lt;/ref-type&gt;&lt;contributors&gt;&lt;authors&gt;&lt;author&gt;French, David P&lt;/author&gt;&lt;author&gt;Olander, Ellinor K&lt;/author&gt;&lt;author&gt;Chisholm, Anna&lt;/author&gt;&lt;author&gt;Mc Sharry, Jennifer&lt;/author&gt;&lt;/authors&gt;&lt;/contributors&gt;&lt;titles&gt;&lt;title&gt;Which behaviour change techniques are most effective at increasing older adults’ self-efficacy and physical activity behaviour? A systematic review&lt;/title&gt;&lt;secondary-title&gt;Annals of Behavioral Medicine&lt;/secondary-title&gt;&lt;/titles&gt;&lt;periodical&gt;&lt;full-title&gt;Annals of Behavioral Medicine&lt;/full-title&gt;&lt;/periodical&gt;&lt;pages&gt;225-234&lt;/pages&gt;&lt;volume&gt;48&lt;/volume&gt;&lt;number&gt;2&lt;/number&gt;&lt;dates&gt;&lt;year&gt;2014&lt;/year&gt;&lt;/dates&gt;&lt;isbn&gt;0883-6612&lt;/isbn&gt;&lt;urls&gt;&lt;/urls&gt;&lt;/record&gt;&lt;/Cite&gt;&lt;/EndNote&gt;</w:instrText>
      </w:r>
      <w:r w:rsidR="00244CF3" w:rsidRPr="004C78D8">
        <w:fldChar w:fldCharType="separate"/>
      </w:r>
      <w:r w:rsidR="00C630FC" w:rsidRPr="004C78D8">
        <w:rPr>
          <w:noProof/>
        </w:rPr>
        <w:t>[197, 198]</w:t>
      </w:r>
      <w:r w:rsidR="00244CF3" w:rsidRPr="004C78D8">
        <w:fldChar w:fldCharType="end"/>
      </w:r>
      <w:r w:rsidR="00244CF3" w:rsidRPr="004C78D8">
        <w:t xml:space="preserve">); need/eligibility was determined by normative clinical and public health guidelines and intervention studies that demonstrated a group’s ability to benefit from an intervention </w:t>
      </w:r>
      <w:r w:rsidR="00244CF3" w:rsidRPr="004C78D8">
        <w:fldChar w:fldCharType="begin"/>
      </w:r>
      <w:r w:rsidR="00C630FC" w:rsidRPr="004C78D8">
        <w:instrText xml:space="preserve"> ADDIN EN.CITE &lt;EndNote&gt;&lt;Cite&gt;&lt;Author&gt;Stevens&lt;/Author&gt;&lt;Year&gt;1991&lt;/Year&gt;&lt;RecNum&gt;566&lt;/RecNum&gt;&lt;DisplayText&gt;[190]&lt;/DisplayText&gt;&lt;record&gt;&lt;rec-number&gt;566&lt;/rec-number&gt;&lt;foreign-keys&gt;&lt;key app="EN" db-id="tdtrdw9aepptzbefsat599syza29sxsd2wsp" timestamp="1619809887"&gt;566&lt;/key&gt;&lt;/foreign-keys&gt;&lt;ref-type name="Journal Article"&gt;17&lt;/ref-type&gt;&lt;contributors&gt;&lt;authors&gt;&lt;author&gt;Stevens, Amy&lt;/author&gt;&lt;author&gt;Gabbay, J&lt;/author&gt;&lt;/authors&gt;&lt;/contributors&gt;&lt;titles&gt;&lt;title&gt;Needs assessment needs assessment&lt;/title&gt;&lt;secondary-title&gt;Health trends&lt;/secondary-title&gt;&lt;/titles&gt;&lt;periodical&gt;&lt;full-title&gt;Health trends&lt;/full-title&gt;&lt;/periodical&gt;&lt;pages&gt;20-23&lt;/pages&gt;&lt;volume&gt;23&lt;/volume&gt;&lt;number&gt;1&lt;/number&gt;&lt;dates&gt;&lt;year&gt;1991&lt;/year&gt;&lt;/dates&gt;&lt;isbn&gt;0017-9132&lt;/isbn&gt;&lt;urls&gt;&lt;/urls&gt;&lt;/record&gt;&lt;/Cite&gt;&lt;/EndNote&gt;</w:instrText>
      </w:r>
      <w:r w:rsidR="00244CF3" w:rsidRPr="004C78D8">
        <w:fldChar w:fldCharType="separate"/>
      </w:r>
      <w:r w:rsidR="00C630FC" w:rsidRPr="004C78D8">
        <w:rPr>
          <w:noProof/>
        </w:rPr>
        <w:t>[190]</w:t>
      </w:r>
      <w:r w:rsidR="00244CF3" w:rsidRPr="004C78D8">
        <w:fldChar w:fldCharType="end"/>
      </w:r>
      <w:r w:rsidR="00244CF3" w:rsidRPr="004C78D8">
        <w:t xml:space="preserve">. Further thematic categories that emerged from the data were noted (e.g., priority setting challenges </w:t>
      </w:r>
      <w:r w:rsidR="002875FD" w:rsidRPr="004C78D8">
        <w:t>for</w:t>
      </w:r>
      <w:r w:rsidR="00244CF3" w:rsidRPr="004C78D8">
        <w:t xml:space="preserve"> commissioning </w:t>
      </w:r>
      <w:r w:rsidR="00244CF3" w:rsidRPr="004C78D8">
        <w:fldChar w:fldCharType="begin"/>
      </w:r>
      <w:r w:rsidR="00513646" w:rsidRPr="004C78D8">
        <w:instrText xml:space="preserve"> ADDIN EN.CITE &lt;EndNote&gt;&lt;Cite&gt;&lt;Author&gt;Norheim&lt;/Author&gt;&lt;Year&gt;2014&lt;/Year&gt;&lt;RecNum&gt;4&lt;/RecNum&gt;&lt;DisplayText&gt;[71]&lt;/DisplayText&gt;&lt;record&gt;&lt;rec-number&gt;4&lt;/rec-number&gt;&lt;foreign-keys&gt;&lt;key app="EN" db-id="tdtrdw9aepptzbefsat599syza29sxsd2wsp" timestamp="1596571466"&gt;4&lt;/key&gt;&lt;/foreign-keys&gt;&lt;ref-type name="Journal Article"&gt;17&lt;/ref-type&gt;&lt;contributors&gt;&lt;authors&gt;&lt;author&gt;Norheim, Ole F&lt;/author&gt;&lt;author&gt;Baltussen, Rob&lt;/author&gt;&lt;author&gt;Johri, Mira&lt;/author&gt;&lt;author&gt;Chisholm, Dan&lt;/author&gt;&lt;author&gt;Nord, Erik&lt;/author&gt;&lt;author&gt;Brock, DanW&lt;/author&gt;&lt;author&gt;Carlsson, Per&lt;/author&gt;&lt;author&gt;Cookson, Richard&lt;/author&gt;&lt;author&gt;Daniels, Norman&lt;/author&gt;&lt;author&gt;Danis, Marion&lt;/author&gt;&lt;/authors&gt;&lt;/contributors&gt;&lt;titles&gt;&lt;title&gt;Guidance on priority setting in health care (GPS-Health): the inclusion of equity criteria not captured by cost-effectiveness analysis&lt;/title&gt;&lt;secondary-title&gt;Cost Effectiveness and Resource Allocation&lt;/secondary-title&gt;&lt;/titles&gt;&lt;periodical&gt;&lt;full-title&gt;Cost Effectiveness and Resource Allocation&lt;/full-title&gt;&lt;/periodical&gt;&lt;pages&gt;18&lt;/pages&gt;&lt;volume&gt;12&lt;/volume&gt;&lt;number&gt;1&lt;/number&gt;&lt;dates&gt;&lt;year&gt;2014&lt;/year&gt;&lt;/dates&gt;&lt;isbn&gt;1478-7547&lt;/isbn&gt;&lt;urls&gt;&lt;/urls&gt;&lt;/record&gt;&lt;/Cite&gt;&lt;/EndNote&gt;</w:instrText>
      </w:r>
      <w:r w:rsidR="00244CF3" w:rsidRPr="004C78D8">
        <w:fldChar w:fldCharType="separate"/>
      </w:r>
      <w:r w:rsidR="00513646" w:rsidRPr="004C78D8">
        <w:rPr>
          <w:noProof/>
        </w:rPr>
        <w:t>[71]</w:t>
      </w:r>
      <w:r w:rsidR="00244CF3" w:rsidRPr="004C78D8">
        <w:fldChar w:fldCharType="end"/>
      </w:r>
      <w:r w:rsidR="00244CF3" w:rsidRPr="004C78D8">
        <w:t>).</w:t>
      </w:r>
      <w:r w:rsidR="00735B53" w:rsidRPr="004C78D8">
        <w:t xml:space="preserve"> The mapped themes informed commissioning strategies by highlighting which CICI-HNA factors were modifiable (i.e., lie within the decision space) and to what extent. </w:t>
      </w:r>
    </w:p>
    <w:p w14:paraId="2F2848C5" w14:textId="21C83349" w:rsidR="00985BE2" w:rsidRPr="004C78D8" w:rsidRDefault="00985BE2" w:rsidP="00FB7C1F">
      <w:pPr>
        <w:pStyle w:val="Heading4"/>
      </w:pPr>
      <w:r w:rsidRPr="004C78D8">
        <w:t xml:space="preserve">2.3.3.3 Framework (III): </w:t>
      </w:r>
      <w:r w:rsidR="005B4A49" w:rsidRPr="004C78D8">
        <w:t>Challenges for public health economic modelling</w:t>
      </w:r>
    </w:p>
    <w:p w14:paraId="72E35FCD" w14:textId="50218ED2" w:rsidR="00985BE2" w:rsidRPr="004C78D8" w:rsidRDefault="004250AC" w:rsidP="00FB7C1F">
      <w:pPr>
        <w:spacing w:line="276" w:lineRule="auto"/>
      </w:pPr>
      <w:r w:rsidRPr="004C78D8">
        <w:t xml:space="preserve">The thematic categories of key methodological challenges for public health economic modelling were taken from a systematic methodological review </w:t>
      </w:r>
      <w:r w:rsidRPr="004C78D8">
        <w:fldChar w:fldCharType="begin"/>
      </w:r>
      <w:r w:rsidR="00720CEE">
        <w:instrText xml:space="preserve"> ADDIN EN.CITE &lt;EndNote&gt;&lt;Cite&gt;&lt;Author&gt;Squires&lt;/Author&gt;&lt;Year&gt;2016&lt;/Year&gt;&lt;RecNum&gt;308&lt;/RecNum&gt;&lt;DisplayText&gt;[18]&lt;/DisplayText&gt;&lt;record&gt;&lt;rec-number&gt;308&lt;/rec-number&gt;&lt;foreign-keys&gt;&lt;key app="EN" db-id="tdtrdw9aepptzbefsat599syza29sxsd2wsp" timestamp="1612015645"&gt;308&lt;/key&gt;&lt;/foreign-keys&gt;&lt;ref-type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systematic literature review of the key challenges for developing the structure of public health economic models&lt;/title&gt;&lt;secondary-title&gt;International journal of public health&lt;/secondary-title&gt;&lt;/titles&gt;&lt;periodical&gt;&lt;full-title&gt;International journal of public health&lt;/full-title&gt;&lt;/periodical&gt;&lt;pages&gt;289-298&lt;/pages&gt;&lt;volume&gt;61&lt;/volume&gt;&lt;number&gt;3&lt;/number&gt;&lt;dates&gt;&lt;year&gt;2016&lt;/year&gt;&lt;/dates&gt;&lt;isbn&gt;1661-8556&lt;/isbn&gt;&lt;urls&gt;&lt;/urls&gt;&lt;/record&gt;&lt;/Cite&gt;&lt;/EndNote&gt;</w:instrText>
      </w:r>
      <w:r w:rsidRPr="004C78D8">
        <w:fldChar w:fldCharType="separate"/>
      </w:r>
      <w:r w:rsidR="00720CEE">
        <w:rPr>
          <w:noProof/>
        </w:rPr>
        <w:t>[18]</w:t>
      </w:r>
      <w:r w:rsidRPr="004C78D8">
        <w:fldChar w:fldCharType="end"/>
      </w:r>
      <w:r w:rsidRPr="004C78D8">
        <w:t xml:space="preserve">: (i) capturing non-health outcomes and societal intervention costs; (ii) considering dynamic complexity in health determinants and intervention need; (iii) considering theories and models of human behaviour based on psychology and sociology; and (iv) considering social determinants of health and issues of equity. </w:t>
      </w:r>
      <w:r w:rsidR="00047F9A" w:rsidRPr="004C78D8">
        <w:t xml:space="preserve">See Section 3.5 below for further description of these challenges. </w:t>
      </w:r>
      <w:r w:rsidRPr="004C78D8">
        <w:t xml:space="preserve">Additional challenges associated with economic modelling and evaluation were also identified from the emerging data. </w:t>
      </w:r>
    </w:p>
    <w:p w14:paraId="2C6A5C8D" w14:textId="076D5755" w:rsidR="00145D70" w:rsidRPr="004C78D8" w:rsidRDefault="00145D70" w:rsidP="00FB7C1F"/>
    <w:p w14:paraId="08BBFDA5" w14:textId="2B5E07F8" w:rsidR="00145D70" w:rsidRPr="004C78D8" w:rsidRDefault="00145D70" w:rsidP="00FB7C1F">
      <w:pPr>
        <w:pStyle w:val="Heading2"/>
      </w:pPr>
      <w:bookmarkStart w:id="48" w:name="_Toc93566854"/>
      <w:bookmarkStart w:id="49" w:name="_Toc111630707"/>
      <w:r w:rsidRPr="004C78D8">
        <w:lastRenderedPageBreak/>
        <w:t>2.4 Qualitative study results</w:t>
      </w:r>
      <w:bookmarkEnd w:id="48"/>
      <w:bookmarkEnd w:id="49"/>
    </w:p>
    <w:p w14:paraId="2881434B" w14:textId="6FEDAF6E" w:rsidR="00145D70" w:rsidRPr="004C78D8" w:rsidRDefault="00145D70" w:rsidP="00FB7C1F">
      <w:r w:rsidRPr="004C78D8">
        <w:t>Participant characteristics are described (Section 2.4.1), followed by themes organised under the three frameworks (Sections 2.4.2 to 2.4.4).</w:t>
      </w:r>
    </w:p>
    <w:p w14:paraId="0C70098D" w14:textId="496CF6D5" w:rsidR="005E01BA" w:rsidRPr="004C78D8" w:rsidRDefault="005E01BA" w:rsidP="00FB7C1F">
      <w:pPr>
        <w:pStyle w:val="Heading3"/>
      </w:pPr>
      <w:bookmarkStart w:id="50" w:name="_Toc111630708"/>
      <w:r w:rsidRPr="004C78D8">
        <w:t>2.4.1 Participant characteristics</w:t>
      </w:r>
      <w:bookmarkEnd w:id="50"/>
    </w:p>
    <w:p w14:paraId="588C67B3" w14:textId="1F803511" w:rsidR="00271DB8" w:rsidRPr="004C78D8" w:rsidRDefault="00271DB8" w:rsidP="00FB7C1F">
      <w:pPr>
        <w:spacing w:line="276" w:lineRule="auto"/>
      </w:pPr>
      <w:r w:rsidRPr="004C78D8">
        <w:t xml:space="preserve">Twenty-seven persons participated in research across four focus groups (FG1-4) and two interviews (INT1-2) between October 2019 and January 2020. Table 2.1 summarises their characteristics. </w:t>
      </w:r>
    </w:p>
    <w:tbl>
      <w:tblPr>
        <w:tblW w:w="77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3261"/>
        <w:gridCol w:w="1984"/>
        <w:gridCol w:w="851"/>
      </w:tblGrid>
      <w:tr w:rsidR="00271DB8" w:rsidRPr="004C78D8" w14:paraId="66F0E895" w14:textId="77777777" w:rsidTr="002828C1">
        <w:tc>
          <w:tcPr>
            <w:tcW w:w="7792" w:type="dxa"/>
            <w:gridSpan w:val="4"/>
            <w:tcBorders>
              <w:bottom w:val="single" w:sz="4" w:space="0" w:color="auto"/>
            </w:tcBorders>
          </w:tcPr>
          <w:p w14:paraId="1D732F79" w14:textId="6E573ABF" w:rsidR="00271DB8" w:rsidRPr="004C78D8" w:rsidRDefault="00271DB8" w:rsidP="00FB7C1F">
            <w:pPr>
              <w:spacing w:after="0"/>
              <w:jc w:val="left"/>
              <w:rPr>
                <w:b/>
              </w:rPr>
            </w:pPr>
            <w:r w:rsidRPr="004C78D8">
              <w:rPr>
                <w:b/>
                <w:bCs/>
              </w:rPr>
              <w:t>Table 2.1</w:t>
            </w:r>
            <w:r w:rsidRPr="004C78D8">
              <w:t xml:space="preserve"> Summary of </w:t>
            </w:r>
            <w:r w:rsidR="0032476E" w:rsidRPr="004C78D8">
              <w:t xml:space="preserve">qualitative study </w:t>
            </w:r>
            <w:r w:rsidRPr="004C78D8">
              <w:t>participant characteristics</w:t>
            </w:r>
            <w:r w:rsidR="00102235" w:rsidRPr="004C78D8">
              <w:t>.</w:t>
            </w:r>
          </w:p>
        </w:tc>
      </w:tr>
      <w:tr w:rsidR="00271DB8" w:rsidRPr="004C78D8" w14:paraId="5058ED52" w14:textId="77777777" w:rsidTr="002828C1">
        <w:tc>
          <w:tcPr>
            <w:tcW w:w="1696" w:type="dxa"/>
            <w:tcBorders>
              <w:bottom w:val="single" w:sz="4" w:space="0" w:color="auto"/>
              <w:right w:val="nil"/>
            </w:tcBorders>
          </w:tcPr>
          <w:p w14:paraId="43177BBD" w14:textId="77777777" w:rsidR="00271DB8" w:rsidRPr="004C78D8" w:rsidRDefault="00271DB8" w:rsidP="00FB7C1F">
            <w:pPr>
              <w:spacing w:after="0"/>
              <w:jc w:val="left"/>
              <w:rPr>
                <w:b/>
                <w:sz w:val="20"/>
                <w:szCs w:val="20"/>
              </w:rPr>
            </w:pPr>
            <w:r w:rsidRPr="004C78D8">
              <w:rPr>
                <w:b/>
                <w:sz w:val="20"/>
                <w:szCs w:val="20"/>
              </w:rPr>
              <w:t>Field</w:t>
            </w:r>
          </w:p>
        </w:tc>
        <w:tc>
          <w:tcPr>
            <w:tcW w:w="3261" w:type="dxa"/>
            <w:tcBorders>
              <w:left w:val="nil"/>
              <w:bottom w:val="single" w:sz="4" w:space="0" w:color="auto"/>
              <w:right w:val="nil"/>
            </w:tcBorders>
          </w:tcPr>
          <w:p w14:paraId="76F2D2CE" w14:textId="77777777" w:rsidR="00271DB8" w:rsidRPr="004C78D8" w:rsidRDefault="00271DB8" w:rsidP="00FB7C1F">
            <w:pPr>
              <w:spacing w:after="0"/>
              <w:jc w:val="left"/>
              <w:rPr>
                <w:b/>
                <w:sz w:val="20"/>
                <w:szCs w:val="20"/>
              </w:rPr>
            </w:pPr>
            <w:r w:rsidRPr="004C78D8">
              <w:rPr>
                <w:b/>
                <w:sz w:val="20"/>
                <w:szCs w:val="20"/>
              </w:rPr>
              <w:t>Variable</w:t>
            </w:r>
          </w:p>
        </w:tc>
        <w:tc>
          <w:tcPr>
            <w:tcW w:w="1984" w:type="dxa"/>
            <w:tcBorders>
              <w:left w:val="nil"/>
              <w:bottom w:val="single" w:sz="4" w:space="0" w:color="auto"/>
              <w:right w:val="nil"/>
            </w:tcBorders>
          </w:tcPr>
          <w:p w14:paraId="5C8E1E2C" w14:textId="77777777" w:rsidR="00271DB8" w:rsidRPr="004C78D8" w:rsidRDefault="00271DB8" w:rsidP="00FB7C1F">
            <w:pPr>
              <w:spacing w:after="0"/>
              <w:jc w:val="left"/>
              <w:rPr>
                <w:b/>
                <w:sz w:val="20"/>
                <w:szCs w:val="20"/>
              </w:rPr>
            </w:pPr>
          </w:p>
        </w:tc>
        <w:tc>
          <w:tcPr>
            <w:tcW w:w="851" w:type="dxa"/>
            <w:tcBorders>
              <w:left w:val="nil"/>
              <w:bottom w:val="single" w:sz="4" w:space="0" w:color="auto"/>
            </w:tcBorders>
          </w:tcPr>
          <w:p w14:paraId="53286935" w14:textId="77777777" w:rsidR="00271DB8" w:rsidRPr="004C78D8" w:rsidRDefault="00271DB8" w:rsidP="00FB7C1F">
            <w:pPr>
              <w:spacing w:after="0"/>
              <w:jc w:val="left"/>
              <w:rPr>
                <w:b/>
                <w:sz w:val="20"/>
                <w:szCs w:val="20"/>
              </w:rPr>
            </w:pPr>
            <w:r w:rsidRPr="004C78D8">
              <w:rPr>
                <w:b/>
                <w:sz w:val="20"/>
                <w:szCs w:val="20"/>
              </w:rPr>
              <w:t>N (%)</w:t>
            </w:r>
          </w:p>
        </w:tc>
      </w:tr>
      <w:tr w:rsidR="00271DB8" w:rsidRPr="004C78D8" w14:paraId="5A13F49D" w14:textId="77777777" w:rsidTr="002828C1">
        <w:tc>
          <w:tcPr>
            <w:tcW w:w="1696" w:type="dxa"/>
            <w:vMerge w:val="restart"/>
            <w:tcBorders>
              <w:top w:val="single" w:sz="4" w:space="0" w:color="auto"/>
              <w:right w:val="nil"/>
            </w:tcBorders>
          </w:tcPr>
          <w:p w14:paraId="7E953F2C" w14:textId="77777777" w:rsidR="00271DB8" w:rsidRPr="004C78D8" w:rsidRDefault="00271DB8" w:rsidP="00FB7C1F">
            <w:pPr>
              <w:spacing w:after="0"/>
              <w:jc w:val="left"/>
              <w:rPr>
                <w:sz w:val="18"/>
                <w:szCs w:val="18"/>
              </w:rPr>
            </w:pPr>
            <w:r w:rsidRPr="004C78D8">
              <w:rPr>
                <w:sz w:val="18"/>
                <w:szCs w:val="18"/>
              </w:rPr>
              <w:t>Demographics</w:t>
            </w:r>
          </w:p>
        </w:tc>
        <w:tc>
          <w:tcPr>
            <w:tcW w:w="3261" w:type="dxa"/>
            <w:vMerge w:val="restart"/>
            <w:tcBorders>
              <w:top w:val="single" w:sz="4" w:space="0" w:color="auto"/>
              <w:left w:val="nil"/>
              <w:right w:val="nil"/>
            </w:tcBorders>
          </w:tcPr>
          <w:p w14:paraId="3EA579C3" w14:textId="77777777" w:rsidR="00271DB8" w:rsidRPr="004C78D8" w:rsidRDefault="00271DB8" w:rsidP="00FB7C1F">
            <w:pPr>
              <w:spacing w:after="0"/>
              <w:jc w:val="left"/>
              <w:rPr>
                <w:sz w:val="18"/>
                <w:szCs w:val="18"/>
              </w:rPr>
            </w:pPr>
            <w:r w:rsidRPr="004C78D8">
              <w:rPr>
                <w:sz w:val="18"/>
                <w:szCs w:val="18"/>
              </w:rPr>
              <w:t>Sex</w:t>
            </w:r>
          </w:p>
          <w:p w14:paraId="6D3D1490" w14:textId="77777777" w:rsidR="00271DB8" w:rsidRPr="004C78D8" w:rsidRDefault="00271DB8" w:rsidP="00FB7C1F">
            <w:pPr>
              <w:spacing w:after="0"/>
              <w:jc w:val="left"/>
              <w:rPr>
                <w:sz w:val="18"/>
                <w:szCs w:val="18"/>
              </w:rPr>
            </w:pPr>
          </w:p>
        </w:tc>
        <w:tc>
          <w:tcPr>
            <w:tcW w:w="1984" w:type="dxa"/>
            <w:tcBorders>
              <w:top w:val="single" w:sz="4" w:space="0" w:color="auto"/>
              <w:left w:val="nil"/>
              <w:bottom w:val="nil"/>
              <w:right w:val="nil"/>
            </w:tcBorders>
          </w:tcPr>
          <w:p w14:paraId="5B4AD9A3" w14:textId="77777777" w:rsidR="00271DB8" w:rsidRPr="004C78D8" w:rsidRDefault="00271DB8" w:rsidP="00FB7C1F">
            <w:pPr>
              <w:spacing w:after="0"/>
              <w:jc w:val="left"/>
              <w:rPr>
                <w:sz w:val="18"/>
                <w:szCs w:val="18"/>
              </w:rPr>
            </w:pPr>
            <w:r w:rsidRPr="004C78D8">
              <w:rPr>
                <w:sz w:val="18"/>
                <w:szCs w:val="18"/>
              </w:rPr>
              <w:t>Female</w:t>
            </w:r>
          </w:p>
        </w:tc>
        <w:tc>
          <w:tcPr>
            <w:tcW w:w="851" w:type="dxa"/>
            <w:tcBorders>
              <w:top w:val="single" w:sz="4" w:space="0" w:color="auto"/>
              <w:left w:val="nil"/>
              <w:bottom w:val="nil"/>
            </w:tcBorders>
          </w:tcPr>
          <w:p w14:paraId="618C2FD5" w14:textId="77777777" w:rsidR="00271DB8" w:rsidRPr="004C78D8" w:rsidRDefault="00271DB8" w:rsidP="00FB7C1F">
            <w:pPr>
              <w:spacing w:after="0"/>
              <w:jc w:val="left"/>
              <w:rPr>
                <w:sz w:val="18"/>
                <w:szCs w:val="18"/>
              </w:rPr>
            </w:pPr>
            <w:r w:rsidRPr="004C78D8">
              <w:rPr>
                <w:sz w:val="18"/>
                <w:szCs w:val="18"/>
              </w:rPr>
              <w:t>20 (74)</w:t>
            </w:r>
          </w:p>
        </w:tc>
      </w:tr>
      <w:tr w:rsidR="00271DB8" w:rsidRPr="004C78D8" w14:paraId="31F94E64" w14:textId="77777777" w:rsidTr="002828C1">
        <w:tc>
          <w:tcPr>
            <w:tcW w:w="1696" w:type="dxa"/>
            <w:vMerge/>
            <w:tcBorders>
              <w:right w:val="nil"/>
            </w:tcBorders>
          </w:tcPr>
          <w:p w14:paraId="4A9C1D00" w14:textId="77777777" w:rsidR="00271DB8" w:rsidRPr="004C78D8" w:rsidRDefault="00271DB8" w:rsidP="00FB7C1F">
            <w:pPr>
              <w:spacing w:after="0"/>
              <w:jc w:val="left"/>
              <w:rPr>
                <w:sz w:val="18"/>
                <w:szCs w:val="18"/>
              </w:rPr>
            </w:pPr>
          </w:p>
        </w:tc>
        <w:tc>
          <w:tcPr>
            <w:tcW w:w="3261" w:type="dxa"/>
            <w:vMerge/>
            <w:tcBorders>
              <w:left w:val="nil"/>
              <w:bottom w:val="single" w:sz="4" w:space="0" w:color="auto"/>
              <w:right w:val="nil"/>
            </w:tcBorders>
          </w:tcPr>
          <w:p w14:paraId="62116D67" w14:textId="77777777" w:rsidR="00271DB8" w:rsidRPr="004C78D8" w:rsidRDefault="00271DB8" w:rsidP="00FB7C1F">
            <w:pPr>
              <w:spacing w:after="0"/>
              <w:jc w:val="left"/>
              <w:rPr>
                <w:sz w:val="18"/>
                <w:szCs w:val="18"/>
              </w:rPr>
            </w:pPr>
          </w:p>
        </w:tc>
        <w:tc>
          <w:tcPr>
            <w:tcW w:w="1984" w:type="dxa"/>
            <w:tcBorders>
              <w:top w:val="nil"/>
              <w:left w:val="nil"/>
              <w:bottom w:val="single" w:sz="4" w:space="0" w:color="auto"/>
              <w:right w:val="nil"/>
            </w:tcBorders>
          </w:tcPr>
          <w:p w14:paraId="519EF18B" w14:textId="77777777" w:rsidR="00271DB8" w:rsidRPr="004C78D8" w:rsidRDefault="00271DB8" w:rsidP="00FB7C1F">
            <w:pPr>
              <w:spacing w:after="0"/>
              <w:jc w:val="left"/>
              <w:rPr>
                <w:sz w:val="18"/>
                <w:szCs w:val="18"/>
              </w:rPr>
            </w:pPr>
            <w:r w:rsidRPr="004C78D8">
              <w:rPr>
                <w:sz w:val="18"/>
                <w:szCs w:val="18"/>
              </w:rPr>
              <w:t>Male</w:t>
            </w:r>
          </w:p>
        </w:tc>
        <w:tc>
          <w:tcPr>
            <w:tcW w:w="851" w:type="dxa"/>
            <w:tcBorders>
              <w:top w:val="nil"/>
              <w:left w:val="nil"/>
              <w:bottom w:val="single" w:sz="4" w:space="0" w:color="auto"/>
            </w:tcBorders>
          </w:tcPr>
          <w:p w14:paraId="59A53544" w14:textId="77777777" w:rsidR="00271DB8" w:rsidRPr="004C78D8" w:rsidRDefault="00271DB8" w:rsidP="00FB7C1F">
            <w:pPr>
              <w:spacing w:after="0"/>
              <w:jc w:val="left"/>
              <w:rPr>
                <w:sz w:val="18"/>
                <w:szCs w:val="18"/>
              </w:rPr>
            </w:pPr>
            <w:r w:rsidRPr="004C78D8">
              <w:rPr>
                <w:sz w:val="18"/>
                <w:szCs w:val="18"/>
              </w:rPr>
              <w:t>7 (26)</w:t>
            </w:r>
          </w:p>
        </w:tc>
      </w:tr>
      <w:tr w:rsidR="00271DB8" w:rsidRPr="004C78D8" w14:paraId="1748E723" w14:textId="77777777" w:rsidTr="002828C1">
        <w:tc>
          <w:tcPr>
            <w:tcW w:w="1696" w:type="dxa"/>
            <w:vMerge/>
            <w:tcBorders>
              <w:right w:val="nil"/>
            </w:tcBorders>
          </w:tcPr>
          <w:p w14:paraId="44412041" w14:textId="77777777" w:rsidR="00271DB8" w:rsidRPr="004C78D8" w:rsidRDefault="00271DB8" w:rsidP="00FB7C1F">
            <w:pPr>
              <w:spacing w:after="0"/>
              <w:jc w:val="left"/>
              <w:rPr>
                <w:sz w:val="18"/>
                <w:szCs w:val="18"/>
              </w:rPr>
            </w:pPr>
          </w:p>
        </w:tc>
        <w:tc>
          <w:tcPr>
            <w:tcW w:w="3261" w:type="dxa"/>
            <w:tcBorders>
              <w:top w:val="single" w:sz="4" w:space="0" w:color="auto"/>
              <w:left w:val="nil"/>
              <w:bottom w:val="nil"/>
              <w:right w:val="nil"/>
            </w:tcBorders>
          </w:tcPr>
          <w:p w14:paraId="117F33DC" w14:textId="77777777" w:rsidR="00271DB8" w:rsidRPr="004C78D8" w:rsidRDefault="00271DB8" w:rsidP="00FB7C1F">
            <w:pPr>
              <w:spacing w:after="0"/>
              <w:jc w:val="left"/>
              <w:rPr>
                <w:sz w:val="18"/>
                <w:szCs w:val="18"/>
              </w:rPr>
            </w:pPr>
            <w:r w:rsidRPr="004C78D8">
              <w:rPr>
                <w:sz w:val="18"/>
                <w:szCs w:val="18"/>
              </w:rPr>
              <w:t>Age</w:t>
            </w:r>
          </w:p>
        </w:tc>
        <w:tc>
          <w:tcPr>
            <w:tcW w:w="1984" w:type="dxa"/>
            <w:tcBorders>
              <w:top w:val="single" w:sz="4" w:space="0" w:color="auto"/>
              <w:left w:val="nil"/>
              <w:bottom w:val="nil"/>
              <w:right w:val="nil"/>
            </w:tcBorders>
          </w:tcPr>
          <w:p w14:paraId="57F53505" w14:textId="77777777" w:rsidR="00271DB8" w:rsidRPr="004C78D8" w:rsidRDefault="00271DB8" w:rsidP="00FB7C1F">
            <w:pPr>
              <w:spacing w:after="0"/>
              <w:jc w:val="left"/>
              <w:rPr>
                <w:sz w:val="18"/>
                <w:szCs w:val="18"/>
              </w:rPr>
            </w:pPr>
            <w:r w:rsidRPr="004C78D8">
              <w:rPr>
                <w:sz w:val="18"/>
                <w:szCs w:val="18"/>
              </w:rPr>
              <w:t>&lt;60</w:t>
            </w:r>
          </w:p>
        </w:tc>
        <w:tc>
          <w:tcPr>
            <w:tcW w:w="851" w:type="dxa"/>
            <w:tcBorders>
              <w:top w:val="single" w:sz="4" w:space="0" w:color="auto"/>
              <w:left w:val="nil"/>
              <w:bottom w:val="nil"/>
            </w:tcBorders>
          </w:tcPr>
          <w:p w14:paraId="74FFE032" w14:textId="77777777" w:rsidR="00271DB8" w:rsidRPr="004C78D8" w:rsidRDefault="00271DB8" w:rsidP="00FB7C1F">
            <w:pPr>
              <w:spacing w:after="0"/>
              <w:jc w:val="left"/>
              <w:rPr>
                <w:sz w:val="18"/>
                <w:szCs w:val="18"/>
              </w:rPr>
            </w:pPr>
            <w:r w:rsidRPr="004C78D8">
              <w:rPr>
                <w:sz w:val="18"/>
                <w:szCs w:val="18"/>
              </w:rPr>
              <w:t>5 (19)</w:t>
            </w:r>
          </w:p>
        </w:tc>
      </w:tr>
      <w:tr w:rsidR="00271DB8" w:rsidRPr="004C78D8" w14:paraId="07BF6E16" w14:textId="77777777" w:rsidTr="002828C1">
        <w:tc>
          <w:tcPr>
            <w:tcW w:w="1696" w:type="dxa"/>
            <w:vMerge/>
            <w:tcBorders>
              <w:right w:val="nil"/>
            </w:tcBorders>
          </w:tcPr>
          <w:p w14:paraId="62D7DEB0" w14:textId="77777777" w:rsidR="00271DB8" w:rsidRPr="004C78D8" w:rsidRDefault="00271DB8" w:rsidP="00FB7C1F">
            <w:pPr>
              <w:spacing w:after="0"/>
              <w:jc w:val="left"/>
              <w:rPr>
                <w:sz w:val="18"/>
                <w:szCs w:val="18"/>
              </w:rPr>
            </w:pPr>
          </w:p>
        </w:tc>
        <w:tc>
          <w:tcPr>
            <w:tcW w:w="3261" w:type="dxa"/>
            <w:tcBorders>
              <w:top w:val="nil"/>
              <w:left w:val="nil"/>
              <w:bottom w:val="nil"/>
              <w:right w:val="nil"/>
            </w:tcBorders>
          </w:tcPr>
          <w:p w14:paraId="0E86EFE4" w14:textId="77777777" w:rsidR="00271DB8" w:rsidRPr="004C78D8" w:rsidRDefault="00271DB8" w:rsidP="00FB7C1F">
            <w:pPr>
              <w:spacing w:after="0"/>
              <w:jc w:val="left"/>
              <w:rPr>
                <w:sz w:val="18"/>
                <w:szCs w:val="18"/>
              </w:rPr>
            </w:pPr>
          </w:p>
        </w:tc>
        <w:tc>
          <w:tcPr>
            <w:tcW w:w="1984" w:type="dxa"/>
            <w:tcBorders>
              <w:top w:val="nil"/>
              <w:left w:val="nil"/>
              <w:bottom w:val="nil"/>
              <w:right w:val="nil"/>
            </w:tcBorders>
          </w:tcPr>
          <w:p w14:paraId="69ADAB28" w14:textId="77777777" w:rsidR="00271DB8" w:rsidRPr="004C78D8" w:rsidRDefault="00271DB8" w:rsidP="00FB7C1F">
            <w:pPr>
              <w:spacing w:after="0"/>
              <w:jc w:val="left"/>
              <w:rPr>
                <w:sz w:val="18"/>
                <w:szCs w:val="18"/>
              </w:rPr>
            </w:pPr>
            <w:r w:rsidRPr="004C78D8">
              <w:rPr>
                <w:sz w:val="18"/>
                <w:szCs w:val="18"/>
              </w:rPr>
              <w:t>60-64</w:t>
            </w:r>
          </w:p>
        </w:tc>
        <w:tc>
          <w:tcPr>
            <w:tcW w:w="851" w:type="dxa"/>
            <w:tcBorders>
              <w:top w:val="nil"/>
              <w:left w:val="nil"/>
              <w:bottom w:val="nil"/>
            </w:tcBorders>
          </w:tcPr>
          <w:p w14:paraId="468C199D" w14:textId="77777777" w:rsidR="00271DB8" w:rsidRPr="004C78D8" w:rsidRDefault="00271DB8" w:rsidP="00FB7C1F">
            <w:pPr>
              <w:spacing w:after="0"/>
              <w:jc w:val="left"/>
              <w:rPr>
                <w:sz w:val="18"/>
                <w:szCs w:val="18"/>
              </w:rPr>
            </w:pPr>
            <w:r w:rsidRPr="004C78D8">
              <w:rPr>
                <w:sz w:val="18"/>
                <w:szCs w:val="18"/>
              </w:rPr>
              <w:t>1 (4)</w:t>
            </w:r>
          </w:p>
        </w:tc>
      </w:tr>
      <w:tr w:rsidR="00271DB8" w:rsidRPr="004C78D8" w14:paraId="38E1671C" w14:textId="77777777" w:rsidTr="002828C1">
        <w:tc>
          <w:tcPr>
            <w:tcW w:w="1696" w:type="dxa"/>
            <w:vMerge/>
            <w:tcBorders>
              <w:right w:val="nil"/>
            </w:tcBorders>
          </w:tcPr>
          <w:p w14:paraId="55EEF17F" w14:textId="77777777" w:rsidR="00271DB8" w:rsidRPr="004C78D8" w:rsidRDefault="00271DB8" w:rsidP="00FB7C1F">
            <w:pPr>
              <w:spacing w:after="0"/>
              <w:jc w:val="left"/>
              <w:rPr>
                <w:sz w:val="18"/>
                <w:szCs w:val="18"/>
              </w:rPr>
            </w:pPr>
          </w:p>
        </w:tc>
        <w:tc>
          <w:tcPr>
            <w:tcW w:w="3261" w:type="dxa"/>
            <w:tcBorders>
              <w:top w:val="nil"/>
              <w:left w:val="nil"/>
              <w:bottom w:val="nil"/>
              <w:right w:val="nil"/>
            </w:tcBorders>
          </w:tcPr>
          <w:p w14:paraId="4AB3751F" w14:textId="77777777" w:rsidR="00271DB8" w:rsidRPr="004C78D8" w:rsidRDefault="00271DB8" w:rsidP="00FB7C1F">
            <w:pPr>
              <w:spacing w:after="0"/>
              <w:jc w:val="left"/>
              <w:rPr>
                <w:sz w:val="18"/>
                <w:szCs w:val="18"/>
              </w:rPr>
            </w:pPr>
          </w:p>
        </w:tc>
        <w:tc>
          <w:tcPr>
            <w:tcW w:w="1984" w:type="dxa"/>
            <w:tcBorders>
              <w:top w:val="nil"/>
              <w:left w:val="nil"/>
              <w:bottom w:val="nil"/>
              <w:right w:val="nil"/>
            </w:tcBorders>
          </w:tcPr>
          <w:p w14:paraId="61A0F3E3" w14:textId="77777777" w:rsidR="00271DB8" w:rsidRPr="004C78D8" w:rsidRDefault="00271DB8" w:rsidP="00FB7C1F">
            <w:pPr>
              <w:spacing w:after="0"/>
              <w:jc w:val="left"/>
              <w:rPr>
                <w:sz w:val="18"/>
                <w:szCs w:val="18"/>
              </w:rPr>
            </w:pPr>
            <w:r w:rsidRPr="004C78D8">
              <w:rPr>
                <w:sz w:val="18"/>
                <w:szCs w:val="18"/>
              </w:rPr>
              <w:t>65-69</w:t>
            </w:r>
          </w:p>
        </w:tc>
        <w:tc>
          <w:tcPr>
            <w:tcW w:w="851" w:type="dxa"/>
            <w:tcBorders>
              <w:top w:val="nil"/>
              <w:left w:val="nil"/>
              <w:bottom w:val="nil"/>
            </w:tcBorders>
          </w:tcPr>
          <w:p w14:paraId="76B92C32" w14:textId="77777777" w:rsidR="00271DB8" w:rsidRPr="004C78D8" w:rsidRDefault="00271DB8" w:rsidP="00FB7C1F">
            <w:pPr>
              <w:spacing w:after="0"/>
              <w:jc w:val="left"/>
              <w:rPr>
                <w:sz w:val="18"/>
                <w:szCs w:val="18"/>
              </w:rPr>
            </w:pPr>
            <w:r w:rsidRPr="004C78D8">
              <w:rPr>
                <w:sz w:val="18"/>
                <w:szCs w:val="18"/>
              </w:rPr>
              <w:t>5 (19)</w:t>
            </w:r>
          </w:p>
        </w:tc>
      </w:tr>
      <w:tr w:rsidR="00271DB8" w:rsidRPr="004C78D8" w14:paraId="0473C9D1" w14:textId="77777777" w:rsidTr="002828C1">
        <w:tc>
          <w:tcPr>
            <w:tcW w:w="1696" w:type="dxa"/>
            <w:vMerge/>
            <w:tcBorders>
              <w:right w:val="nil"/>
            </w:tcBorders>
          </w:tcPr>
          <w:p w14:paraId="3A3D7B35" w14:textId="77777777" w:rsidR="00271DB8" w:rsidRPr="004C78D8" w:rsidRDefault="00271DB8" w:rsidP="00FB7C1F">
            <w:pPr>
              <w:spacing w:after="0"/>
              <w:jc w:val="left"/>
              <w:rPr>
                <w:sz w:val="18"/>
                <w:szCs w:val="18"/>
              </w:rPr>
            </w:pPr>
          </w:p>
        </w:tc>
        <w:tc>
          <w:tcPr>
            <w:tcW w:w="3261" w:type="dxa"/>
            <w:tcBorders>
              <w:top w:val="nil"/>
              <w:left w:val="nil"/>
              <w:bottom w:val="nil"/>
              <w:right w:val="nil"/>
            </w:tcBorders>
          </w:tcPr>
          <w:p w14:paraId="63AC7885" w14:textId="77777777" w:rsidR="00271DB8" w:rsidRPr="004C78D8" w:rsidRDefault="00271DB8" w:rsidP="00FB7C1F">
            <w:pPr>
              <w:spacing w:after="0"/>
              <w:jc w:val="left"/>
              <w:rPr>
                <w:sz w:val="18"/>
                <w:szCs w:val="18"/>
              </w:rPr>
            </w:pPr>
          </w:p>
        </w:tc>
        <w:tc>
          <w:tcPr>
            <w:tcW w:w="1984" w:type="dxa"/>
            <w:tcBorders>
              <w:top w:val="nil"/>
              <w:left w:val="nil"/>
              <w:bottom w:val="nil"/>
              <w:right w:val="nil"/>
            </w:tcBorders>
          </w:tcPr>
          <w:p w14:paraId="6A985F1B" w14:textId="77777777" w:rsidR="00271DB8" w:rsidRPr="004C78D8" w:rsidRDefault="00271DB8" w:rsidP="00FB7C1F">
            <w:pPr>
              <w:spacing w:after="0"/>
              <w:jc w:val="left"/>
              <w:rPr>
                <w:sz w:val="18"/>
                <w:szCs w:val="18"/>
              </w:rPr>
            </w:pPr>
            <w:r w:rsidRPr="004C78D8">
              <w:rPr>
                <w:sz w:val="18"/>
                <w:szCs w:val="18"/>
              </w:rPr>
              <w:t>70-74</w:t>
            </w:r>
          </w:p>
        </w:tc>
        <w:tc>
          <w:tcPr>
            <w:tcW w:w="851" w:type="dxa"/>
            <w:tcBorders>
              <w:top w:val="nil"/>
              <w:left w:val="nil"/>
              <w:bottom w:val="nil"/>
            </w:tcBorders>
          </w:tcPr>
          <w:p w14:paraId="72857203" w14:textId="77777777" w:rsidR="00271DB8" w:rsidRPr="004C78D8" w:rsidRDefault="00271DB8" w:rsidP="00FB7C1F">
            <w:pPr>
              <w:spacing w:after="0"/>
              <w:jc w:val="left"/>
              <w:rPr>
                <w:sz w:val="18"/>
                <w:szCs w:val="18"/>
              </w:rPr>
            </w:pPr>
            <w:r w:rsidRPr="004C78D8">
              <w:rPr>
                <w:sz w:val="18"/>
                <w:szCs w:val="18"/>
              </w:rPr>
              <w:t>5 (19)</w:t>
            </w:r>
          </w:p>
        </w:tc>
      </w:tr>
      <w:tr w:rsidR="00271DB8" w:rsidRPr="004C78D8" w14:paraId="05E4AB15" w14:textId="77777777" w:rsidTr="002828C1">
        <w:tc>
          <w:tcPr>
            <w:tcW w:w="1696" w:type="dxa"/>
            <w:vMerge/>
            <w:tcBorders>
              <w:right w:val="nil"/>
            </w:tcBorders>
          </w:tcPr>
          <w:p w14:paraId="6911F99E" w14:textId="77777777" w:rsidR="00271DB8" w:rsidRPr="004C78D8" w:rsidRDefault="00271DB8" w:rsidP="00FB7C1F">
            <w:pPr>
              <w:spacing w:after="0"/>
              <w:jc w:val="left"/>
              <w:rPr>
                <w:sz w:val="18"/>
                <w:szCs w:val="18"/>
              </w:rPr>
            </w:pPr>
          </w:p>
        </w:tc>
        <w:tc>
          <w:tcPr>
            <w:tcW w:w="3261" w:type="dxa"/>
            <w:tcBorders>
              <w:top w:val="nil"/>
              <w:left w:val="nil"/>
              <w:bottom w:val="nil"/>
              <w:right w:val="nil"/>
            </w:tcBorders>
          </w:tcPr>
          <w:p w14:paraId="71A2000E" w14:textId="77777777" w:rsidR="00271DB8" w:rsidRPr="004C78D8" w:rsidRDefault="00271DB8" w:rsidP="00FB7C1F">
            <w:pPr>
              <w:spacing w:after="0"/>
              <w:jc w:val="left"/>
              <w:rPr>
                <w:sz w:val="18"/>
                <w:szCs w:val="18"/>
              </w:rPr>
            </w:pPr>
          </w:p>
        </w:tc>
        <w:tc>
          <w:tcPr>
            <w:tcW w:w="1984" w:type="dxa"/>
            <w:tcBorders>
              <w:top w:val="nil"/>
              <w:left w:val="nil"/>
              <w:bottom w:val="nil"/>
              <w:right w:val="nil"/>
            </w:tcBorders>
          </w:tcPr>
          <w:p w14:paraId="6EE91B3C" w14:textId="77777777" w:rsidR="00271DB8" w:rsidRPr="004C78D8" w:rsidRDefault="00271DB8" w:rsidP="00FB7C1F">
            <w:pPr>
              <w:spacing w:after="0"/>
              <w:jc w:val="left"/>
              <w:rPr>
                <w:sz w:val="18"/>
                <w:szCs w:val="18"/>
              </w:rPr>
            </w:pPr>
            <w:r w:rsidRPr="004C78D8">
              <w:rPr>
                <w:sz w:val="18"/>
                <w:szCs w:val="18"/>
              </w:rPr>
              <w:t>75-79</w:t>
            </w:r>
          </w:p>
        </w:tc>
        <w:tc>
          <w:tcPr>
            <w:tcW w:w="851" w:type="dxa"/>
            <w:tcBorders>
              <w:top w:val="nil"/>
              <w:left w:val="nil"/>
              <w:bottom w:val="nil"/>
            </w:tcBorders>
          </w:tcPr>
          <w:p w14:paraId="7FC6BA43" w14:textId="77777777" w:rsidR="00271DB8" w:rsidRPr="004C78D8" w:rsidRDefault="00271DB8" w:rsidP="00FB7C1F">
            <w:pPr>
              <w:spacing w:after="0"/>
              <w:jc w:val="left"/>
              <w:rPr>
                <w:sz w:val="18"/>
                <w:szCs w:val="18"/>
              </w:rPr>
            </w:pPr>
            <w:r w:rsidRPr="004C78D8">
              <w:rPr>
                <w:sz w:val="18"/>
                <w:szCs w:val="18"/>
              </w:rPr>
              <w:t>7 (26)</w:t>
            </w:r>
          </w:p>
        </w:tc>
      </w:tr>
      <w:tr w:rsidR="00271DB8" w:rsidRPr="004C78D8" w14:paraId="4A9080E8" w14:textId="77777777" w:rsidTr="002828C1">
        <w:tc>
          <w:tcPr>
            <w:tcW w:w="1696" w:type="dxa"/>
            <w:vMerge/>
            <w:tcBorders>
              <w:right w:val="nil"/>
            </w:tcBorders>
          </w:tcPr>
          <w:p w14:paraId="3083F928" w14:textId="77777777" w:rsidR="00271DB8" w:rsidRPr="004C78D8" w:rsidRDefault="00271DB8" w:rsidP="00FB7C1F">
            <w:pPr>
              <w:spacing w:after="0"/>
              <w:jc w:val="left"/>
              <w:rPr>
                <w:sz w:val="18"/>
                <w:szCs w:val="18"/>
              </w:rPr>
            </w:pPr>
          </w:p>
        </w:tc>
        <w:tc>
          <w:tcPr>
            <w:tcW w:w="3261" w:type="dxa"/>
            <w:tcBorders>
              <w:top w:val="nil"/>
              <w:left w:val="nil"/>
              <w:bottom w:val="nil"/>
              <w:right w:val="nil"/>
            </w:tcBorders>
          </w:tcPr>
          <w:p w14:paraId="51FA33AB" w14:textId="77777777" w:rsidR="00271DB8" w:rsidRPr="004C78D8" w:rsidRDefault="00271DB8" w:rsidP="00FB7C1F">
            <w:pPr>
              <w:spacing w:after="0"/>
              <w:jc w:val="left"/>
              <w:rPr>
                <w:sz w:val="18"/>
                <w:szCs w:val="18"/>
              </w:rPr>
            </w:pPr>
          </w:p>
        </w:tc>
        <w:tc>
          <w:tcPr>
            <w:tcW w:w="1984" w:type="dxa"/>
            <w:tcBorders>
              <w:top w:val="nil"/>
              <w:left w:val="nil"/>
              <w:bottom w:val="nil"/>
              <w:right w:val="nil"/>
            </w:tcBorders>
          </w:tcPr>
          <w:p w14:paraId="069D138C" w14:textId="77777777" w:rsidR="00271DB8" w:rsidRPr="004C78D8" w:rsidRDefault="00271DB8" w:rsidP="00FB7C1F">
            <w:pPr>
              <w:spacing w:after="0"/>
              <w:jc w:val="left"/>
              <w:rPr>
                <w:sz w:val="18"/>
                <w:szCs w:val="18"/>
              </w:rPr>
            </w:pPr>
            <w:r w:rsidRPr="004C78D8">
              <w:rPr>
                <w:sz w:val="18"/>
                <w:szCs w:val="18"/>
              </w:rPr>
              <w:t>80-84</w:t>
            </w:r>
          </w:p>
        </w:tc>
        <w:tc>
          <w:tcPr>
            <w:tcW w:w="851" w:type="dxa"/>
            <w:tcBorders>
              <w:top w:val="nil"/>
              <w:left w:val="nil"/>
              <w:bottom w:val="nil"/>
            </w:tcBorders>
          </w:tcPr>
          <w:p w14:paraId="53038EF7" w14:textId="77777777" w:rsidR="00271DB8" w:rsidRPr="004C78D8" w:rsidRDefault="00271DB8" w:rsidP="00FB7C1F">
            <w:pPr>
              <w:spacing w:after="0"/>
              <w:jc w:val="left"/>
              <w:rPr>
                <w:sz w:val="18"/>
                <w:szCs w:val="18"/>
              </w:rPr>
            </w:pPr>
            <w:r w:rsidRPr="004C78D8">
              <w:rPr>
                <w:sz w:val="18"/>
                <w:szCs w:val="18"/>
              </w:rPr>
              <w:t>2 (7)</w:t>
            </w:r>
          </w:p>
        </w:tc>
      </w:tr>
      <w:tr w:rsidR="00271DB8" w:rsidRPr="004C78D8" w14:paraId="704CB083" w14:textId="77777777" w:rsidTr="002828C1">
        <w:tc>
          <w:tcPr>
            <w:tcW w:w="1696" w:type="dxa"/>
            <w:vMerge/>
            <w:tcBorders>
              <w:right w:val="nil"/>
            </w:tcBorders>
          </w:tcPr>
          <w:p w14:paraId="24AE22B1" w14:textId="77777777" w:rsidR="00271DB8" w:rsidRPr="004C78D8" w:rsidRDefault="00271DB8" w:rsidP="00FB7C1F">
            <w:pPr>
              <w:spacing w:after="0"/>
              <w:jc w:val="left"/>
              <w:rPr>
                <w:sz w:val="18"/>
                <w:szCs w:val="18"/>
              </w:rPr>
            </w:pPr>
          </w:p>
        </w:tc>
        <w:tc>
          <w:tcPr>
            <w:tcW w:w="3261" w:type="dxa"/>
            <w:tcBorders>
              <w:top w:val="nil"/>
              <w:left w:val="nil"/>
              <w:bottom w:val="nil"/>
              <w:right w:val="nil"/>
            </w:tcBorders>
          </w:tcPr>
          <w:p w14:paraId="4775B50B" w14:textId="77777777" w:rsidR="00271DB8" w:rsidRPr="004C78D8" w:rsidRDefault="00271DB8" w:rsidP="00FB7C1F">
            <w:pPr>
              <w:spacing w:after="0"/>
              <w:jc w:val="left"/>
              <w:rPr>
                <w:sz w:val="18"/>
                <w:szCs w:val="18"/>
              </w:rPr>
            </w:pPr>
          </w:p>
        </w:tc>
        <w:tc>
          <w:tcPr>
            <w:tcW w:w="1984" w:type="dxa"/>
            <w:tcBorders>
              <w:top w:val="nil"/>
              <w:left w:val="nil"/>
              <w:bottom w:val="nil"/>
              <w:right w:val="nil"/>
            </w:tcBorders>
          </w:tcPr>
          <w:p w14:paraId="09AF518C" w14:textId="77777777" w:rsidR="00271DB8" w:rsidRPr="004C78D8" w:rsidRDefault="00271DB8" w:rsidP="00FB7C1F">
            <w:pPr>
              <w:spacing w:after="0"/>
              <w:jc w:val="left"/>
              <w:rPr>
                <w:sz w:val="18"/>
                <w:szCs w:val="18"/>
              </w:rPr>
            </w:pPr>
            <w:r w:rsidRPr="004C78D8">
              <w:rPr>
                <w:sz w:val="18"/>
                <w:szCs w:val="18"/>
              </w:rPr>
              <w:t>85-89</w:t>
            </w:r>
          </w:p>
        </w:tc>
        <w:tc>
          <w:tcPr>
            <w:tcW w:w="851" w:type="dxa"/>
            <w:tcBorders>
              <w:top w:val="nil"/>
              <w:left w:val="nil"/>
              <w:bottom w:val="nil"/>
            </w:tcBorders>
          </w:tcPr>
          <w:p w14:paraId="25D82694" w14:textId="77777777" w:rsidR="00271DB8" w:rsidRPr="004C78D8" w:rsidRDefault="00271DB8" w:rsidP="00FB7C1F">
            <w:pPr>
              <w:spacing w:after="0"/>
              <w:jc w:val="left"/>
              <w:rPr>
                <w:sz w:val="18"/>
                <w:szCs w:val="18"/>
              </w:rPr>
            </w:pPr>
            <w:r w:rsidRPr="004C78D8">
              <w:rPr>
                <w:sz w:val="18"/>
                <w:szCs w:val="18"/>
              </w:rPr>
              <w:t>1 (4)</w:t>
            </w:r>
          </w:p>
        </w:tc>
      </w:tr>
      <w:tr w:rsidR="00271DB8" w:rsidRPr="004C78D8" w14:paraId="51467B04" w14:textId="77777777" w:rsidTr="002828C1">
        <w:tc>
          <w:tcPr>
            <w:tcW w:w="1696" w:type="dxa"/>
            <w:vMerge/>
            <w:tcBorders>
              <w:bottom w:val="single" w:sz="4" w:space="0" w:color="auto"/>
              <w:right w:val="nil"/>
            </w:tcBorders>
          </w:tcPr>
          <w:p w14:paraId="491C8CFF" w14:textId="77777777" w:rsidR="00271DB8" w:rsidRPr="004C78D8" w:rsidRDefault="00271DB8" w:rsidP="00FB7C1F">
            <w:pPr>
              <w:spacing w:after="0"/>
              <w:jc w:val="left"/>
              <w:rPr>
                <w:sz w:val="18"/>
                <w:szCs w:val="18"/>
              </w:rPr>
            </w:pPr>
          </w:p>
        </w:tc>
        <w:tc>
          <w:tcPr>
            <w:tcW w:w="3261" w:type="dxa"/>
            <w:tcBorders>
              <w:top w:val="nil"/>
              <w:left w:val="nil"/>
              <w:bottom w:val="single" w:sz="4" w:space="0" w:color="auto"/>
              <w:right w:val="nil"/>
            </w:tcBorders>
          </w:tcPr>
          <w:p w14:paraId="6759F2C5" w14:textId="77777777" w:rsidR="00271DB8" w:rsidRPr="004C78D8" w:rsidRDefault="00271DB8" w:rsidP="00FB7C1F">
            <w:pPr>
              <w:spacing w:after="0"/>
              <w:jc w:val="left"/>
              <w:rPr>
                <w:sz w:val="18"/>
                <w:szCs w:val="18"/>
              </w:rPr>
            </w:pPr>
          </w:p>
        </w:tc>
        <w:tc>
          <w:tcPr>
            <w:tcW w:w="1984" w:type="dxa"/>
            <w:tcBorders>
              <w:top w:val="nil"/>
              <w:left w:val="nil"/>
              <w:bottom w:val="single" w:sz="4" w:space="0" w:color="auto"/>
              <w:right w:val="nil"/>
            </w:tcBorders>
          </w:tcPr>
          <w:p w14:paraId="00C34B22" w14:textId="77777777" w:rsidR="00271DB8" w:rsidRPr="004C78D8" w:rsidRDefault="00271DB8" w:rsidP="00FB7C1F">
            <w:pPr>
              <w:spacing w:after="0"/>
              <w:jc w:val="left"/>
              <w:rPr>
                <w:sz w:val="18"/>
                <w:szCs w:val="18"/>
              </w:rPr>
            </w:pPr>
            <w:r w:rsidRPr="004C78D8">
              <w:rPr>
                <w:sz w:val="18"/>
                <w:szCs w:val="18"/>
              </w:rPr>
              <w:t>&gt;=90</w:t>
            </w:r>
          </w:p>
        </w:tc>
        <w:tc>
          <w:tcPr>
            <w:tcW w:w="851" w:type="dxa"/>
            <w:tcBorders>
              <w:top w:val="nil"/>
              <w:left w:val="nil"/>
              <w:bottom w:val="single" w:sz="4" w:space="0" w:color="auto"/>
            </w:tcBorders>
          </w:tcPr>
          <w:p w14:paraId="5F26097A" w14:textId="77777777" w:rsidR="00271DB8" w:rsidRPr="004C78D8" w:rsidRDefault="00271DB8" w:rsidP="00FB7C1F">
            <w:pPr>
              <w:spacing w:after="0"/>
              <w:jc w:val="left"/>
              <w:rPr>
                <w:sz w:val="18"/>
                <w:szCs w:val="18"/>
              </w:rPr>
            </w:pPr>
            <w:r w:rsidRPr="004C78D8">
              <w:rPr>
                <w:sz w:val="18"/>
                <w:szCs w:val="18"/>
              </w:rPr>
              <w:t>1 (4)</w:t>
            </w:r>
          </w:p>
        </w:tc>
      </w:tr>
      <w:tr w:rsidR="00271DB8" w:rsidRPr="004C78D8" w14:paraId="3E258BA0" w14:textId="77777777" w:rsidTr="002828C1">
        <w:tc>
          <w:tcPr>
            <w:tcW w:w="1696" w:type="dxa"/>
            <w:vMerge w:val="restart"/>
            <w:tcBorders>
              <w:top w:val="single" w:sz="4" w:space="0" w:color="auto"/>
              <w:bottom w:val="single" w:sz="4" w:space="0" w:color="auto"/>
              <w:right w:val="nil"/>
            </w:tcBorders>
          </w:tcPr>
          <w:p w14:paraId="17EA2AC3" w14:textId="77777777" w:rsidR="00271DB8" w:rsidRPr="004C78D8" w:rsidRDefault="00271DB8" w:rsidP="00FB7C1F">
            <w:pPr>
              <w:spacing w:after="0"/>
              <w:jc w:val="left"/>
              <w:rPr>
                <w:sz w:val="18"/>
                <w:szCs w:val="18"/>
              </w:rPr>
            </w:pPr>
            <w:r w:rsidRPr="004C78D8">
              <w:rPr>
                <w:sz w:val="18"/>
                <w:szCs w:val="18"/>
              </w:rPr>
              <w:t>Fall history and fear of falling</w:t>
            </w:r>
          </w:p>
        </w:tc>
        <w:tc>
          <w:tcPr>
            <w:tcW w:w="3261" w:type="dxa"/>
            <w:vMerge w:val="restart"/>
            <w:tcBorders>
              <w:top w:val="single" w:sz="4" w:space="0" w:color="auto"/>
              <w:left w:val="nil"/>
              <w:bottom w:val="single" w:sz="4" w:space="0" w:color="auto"/>
              <w:right w:val="nil"/>
            </w:tcBorders>
          </w:tcPr>
          <w:p w14:paraId="0D773A4F" w14:textId="77777777" w:rsidR="00271DB8" w:rsidRPr="004C78D8" w:rsidRDefault="00271DB8" w:rsidP="00FB7C1F">
            <w:pPr>
              <w:spacing w:after="0"/>
              <w:jc w:val="left"/>
              <w:rPr>
                <w:sz w:val="18"/>
                <w:szCs w:val="18"/>
              </w:rPr>
            </w:pPr>
            <w:r w:rsidRPr="004C78D8">
              <w:rPr>
                <w:sz w:val="18"/>
                <w:szCs w:val="18"/>
              </w:rPr>
              <w:t>Experienced fall in previous year</w:t>
            </w:r>
          </w:p>
        </w:tc>
        <w:tc>
          <w:tcPr>
            <w:tcW w:w="1984" w:type="dxa"/>
            <w:tcBorders>
              <w:top w:val="single" w:sz="4" w:space="0" w:color="auto"/>
              <w:left w:val="nil"/>
              <w:bottom w:val="nil"/>
              <w:right w:val="nil"/>
            </w:tcBorders>
          </w:tcPr>
          <w:p w14:paraId="32049668" w14:textId="77777777" w:rsidR="00271DB8" w:rsidRPr="004C78D8" w:rsidRDefault="00271DB8" w:rsidP="00FB7C1F">
            <w:pPr>
              <w:spacing w:after="0"/>
              <w:jc w:val="left"/>
              <w:rPr>
                <w:sz w:val="18"/>
                <w:szCs w:val="18"/>
              </w:rPr>
            </w:pPr>
            <w:r w:rsidRPr="004C78D8">
              <w:rPr>
                <w:sz w:val="18"/>
                <w:szCs w:val="18"/>
              </w:rPr>
              <w:t>Yes</w:t>
            </w:r>
          </w:p>
        </w:tc>
        <w:tc>
          <w:tcPr>
            <w:tcW w:w="851" w:type="dxa"/>
            <w:tcBorders>
              <w:top w:val="single" w:sz="4" w:space="0" w:color="auto"/>
              <w:left w:val="nil"/>
              <w:bottom w:val="nil"/>
            </w:tcBorders>
          </w:tcPr>
          <w:p w14:paraId="750AE5FA" w14:textId="77777777" w:rsidR="00271DB8" w:rsidRPr="004C78D8" w:rsidRDefault="00271DB8" w:rsidP="00FB7C1F">
            <w:pPr>
              <w:spacing w:after="0"/>
              <w:jc w:val="left"/>
              <w:rPr>
                <w:sz w:val="18"/>
                <w:szCs w:val="18"/>
              </w:rPr>
            </w:pPr>
            <w:r w:rsidRPr="004C78D8">
              <w:rPr>
                <w:sz w:val="18"/>
                <w:szCs w:val="18"/>
              </w:rPr>
              <w:t>14 (52)</w:t>
            </w:r>
          </w:p>
        </w:tc>
      </w:tr>
      <w:tr w:rsidR="00271DB8" w:rsidRPr="004C78D8" w14:paraId="184BDD05" w14:textId="77777777" w:rsidTr="002828C1">
        <w:tc>
          <w:tcPr>
            <w:tcW w:w="1696" w:type="dxa"/>
            <w:vMerge/>
            <w:tcBorders>
              <w:top w:val="single" w:sz="4" w:space="0" w:color="auto"/>
              <w:bottom w:val="single" w:sz="4" w:space="0" w:color="auto"/>
              <w:right w:val="nil"/>
            </w:tcBorders>
          </w:tcPr>
          <w:p w14:paraId="416A50DE"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3261" w:type="dxa"/>
            <w:vMerge/>
            <w:tcBorders>
              <w:top w:val="single" w:sz="4" w:space="0" w:color="auto"/>
              <w:left w:val="nil"/>
              <w:bottom w:val="single" w:sz="4" w:space="0" w:color="auto"/>
              <w:right w:val="nil"/>
            </w:tcBorders>
          </w:tcPr>
          <w:p w14:paraId="26AD2306"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1984" w:type="dxa"/>
            <w:tcBorders>
              <w:top w:val="nil"/>
              <w:left w:val="nil"/>
              <w:bottom w:val="single" w:sz="4" w:space="0" w:color="auto"/>
              <w:right w:val="nil"/>
            </w:tcBorders>
          </w:tcPr>
          <w:p w14:paraId="5B2576DE" w14:textId="77777777" w:rsidR="00271DB8" w:rsidRPr="004C78D8" w:rsidRDefault="00271DB8" w:rsidP="00FB7C1F">
            <w:pPr>
              <w:spacing w:after="0"/>
              <w:jc w:val="left"/>
              <w:rPr>
                <w:sz w:val="18"/>
                <w:szCs w:val="18"/>
              </w:rPr>
            </w:pPr>
            <w:r w:rsidRPr="004C78D8">
              <w:rPr>
                <w:sz w:val="18"/>
                <w:szCs w:val="18"/>
              </w:rPr>
              <w:t>No</w:t>
            </w:r>
          </w:p>
        </w:tc>
        <w:tc>
          <w:tcPr>
            <w:tcW w:w="851" w:type="dxa"/>
            <w:tcBorders>
              <w:top w:val="nil"/>
              <w:left w:val="nil"/>
              <w:bottom w:val="single" w:sz="4" w:space="0" w:color="auto"/>
            </w:tcBorders>
          </w:tcPr>
          <w:p w14:paraId="474E0CBF" w14:textId="77777777" w:rsidR="00271DB8" w:rsidRPr="004C78D8" w:rsidRDefault="00271DB8" w:rsidP="00FB7C1F">
            <w:pPr>
              <w:spacing w:after="0"/>
              <w:jc w:val="left"/>
              <w:rPr>
                <w:sz w:val="18"/>
                <w:szCs w:val="18"/>
              </w:rPr>
            </w:pPr>
            <w:r w:rsidRPr="004C78D8">
              <w:rPr>
                <w:sz w:val="18"/>
                <w:szCs w:val="18"/>
              </w:rPr>
              <w:t>13 (48)</w:t>
            </w:r>
          </w:p>
        </w:tc>
      </w:tr>
      <w:tr w:rsidR="00271DB8" w:rsidRPr="004C78D8" w14:paraId="1D1E21F9" w14:textId="77777777" w:rsidTr="002828C1">
        <w:tc>
          <w:tcPr>
            <w:tcW w:w="1696" w:type="dxa"/>
            <w:vMerge/>
            <w:tcBorders>
              <w:top w:val="single" w:sz="4" w:space="0" w:color="auto"/>
              <w:bottom w:val="single" w:sz="4" w:space="0" w:color="auto"/>
              <w:right w:val="nil"/>
            </w:tcBorders>
          </w:tcPr>
          <w:p w14:paraId="316AD64B"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3261" w:type="dxa"/>
            <w:vMerge w:val="restart"/>
            <w:tcBorders>
              <w:top w:val="single" w:sz="4" w:space="0" w:color="auto"/>
              <w:left w:val="nil"/>
              <w:bottom w:val="single" w:sz="4" w:space="0" w:color="auto"/>
              <w:right w:val="nil"/>
            </w:tcBorders>
          </w:tcPr>
          <w:p w14:paraId="6AABCE0A" w14:textId="77777777" w:rsidR="00271DB8" w:rsidRPr="004C78D8" w:rsidRDefault="00271DB8" w:rsidP="00FB7C1F">
            <w:pPr>
              <w:spacing w:after="0"/>
              <w:jc w:val="left"/>
              <w:rPr>
                <w:sz w:val="18"/>
                <w:szCs w:val="18"/>
              </w:rPr>
            </w:pPr>
            <w:r w:rsidRPr="004C78D8">
              <w:rPr>
                <w:sz w:val="18"/>
                <w:szCs w:val="18"/>
              </w:rPr>
              <w:t>Number of falls in previous year</w:t>
            </w:r>
          </w:p>
        </w:tc>
        <w:tc>
          <w:tcPr>
            <w:tcW w:w="1984" w:type="dxa"/>
            <w:tcBorders>
              <w:top w:val="single" w:sz="4" w:space="0" w:color="auto"/>
              <w:left w:val="nil"/>
              <w:bottom w:val="nil"/>
              <w:right w:val="nil"/>
            </w:tcBorders>
          </w:tcPr>
          <w:p w14:paraId="5C0C4AD2" w14:textId="77777777" w:rsidR="00271DB8" w:rsidRPr="004C78D8" w:rsidRDefault="00271DB8" w:rsidP="00FB7C1F">
            <w:pPr>
              <w:spacing w:after="0"/>
              <w:jc w:val="left"/>
              <w:rPr>
                <w:sz w:val="18"/>
                <w:szCs w:val="18"/>
              </w:rPr>
            </w:pPr>
            <w:r w:rsidRPr="004C78D8">
              <w:rPr>
                <w:sz w:val="18"/>
                <w:szCs w:val="18"/>
              </w:rPr>
              <w:t>0</w:t>
            </w:r>
          </w:p>
        </w:tc>
        <w:tc>
          <w:tcPr>
            <w:tcW w:w="851" w:type="dxa"/>
            <w:tcBorders>
              <w:top w:val="single" w:sz="4" w:space="0" w:color="auto"/>
              <w:left w:val="nil"/>
              <w:bottom w:val="nil"/>
            </w:tcBorders>
          </w:tcPr>
          <w:p w14:paraId="5E9F376C" w14:textId="77777777" w:rsidR="00271DB8" w:rsidRPr="004C78D8" w:rsidRDefault="00271DB8" w:rsidP="00FB7C1F">
            <w:pPr>
              <w:spacing w:after="0"/>
              <w:jc w:val="left"/>
              <w:rPr>
                <w:sz w:val="18"/>
                <w:szCs w:val="18"/>
              </w:rPr>
            </w:pPr>
            <w:r w:rsidRPr="004C78D8">
              <w:rPr>
                <w:sz w:val="18"/>
                <w:szCs w:val="18"/>
              </w:rPr>
              <w:t>13 (48)</w:t>
            </w:r>
          </w:p>
        </w:tc>
      </w:tr>
      <w:tr w:rsidR="00271DB8" w:rsidRPr="004C78D8" w14:paraId="4C6FF644" w14:textId="77777777" w:rsidTr="002828C1">
        <w:tc>
          <w:tcPr>
            <w:tcW w:w="1696" w:type="dxa"/>
            <w:vMerge/>
            <w:tcBorders>
              <w:top w:val="single" w:sz="4" w:space="0" w:color="auto"/>
              <w:bottom w:val="single" w:sz="4" w:space="0" w:color="auto"/>
              <w:right w:val="nil"/>
            </w:tcBorders>
          </w:tcPr>
          <w:p w14:paraId="280A0AFA"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3261" w:type="dxa"/>
            <w:vMerge/>
            <w:tcBorders>
              <w:top w:val="single" w:sz="4" w:space="0" w:color="auto"/>
              <w:left w:val="nil"/>
              <w:bottom w:val="single" w:sz="4" w:space="0" w:color="auto"/>
              <w:right w:val="nil"/>
            </w:tcBorders>
          </w:tcPr>
          <w:p w14:paraId="2453D12B"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1984" w:type="dxa"/>
            <w:tcBorders>
              <w:top w:val="nil"/>
              <w:left w:val="nil"/>
              <w:bottom w:val="nil"/>
              <w:right w:val="nil"/>
            </w:tcBorders>
          </w:tcPr>
          <w:p w14:paraId="3E8C28E0" w14:textId="77777777" w:rsidR="00271DB8" w:rsidRPr="004C78D8" w:rsidRDefault="00271DB8" w:rsidP="00FB7C1F">
            <w:pPr>
              <w:spacing w:after="0"/>
              <w:jc w:val="left"/>
              <w:rPr>
                <w:sz w:val="18"/>
                <w:szCs w:val="18"/>
              </w:rPr>
            </w:pPr>
            <w:r w:rsidRPr="004C78D8">
              <w:rPr>
                <w:sz w:val="18"/>
                <w:szCs w:val="18"/>
              </w:rPr>
              <w:t>1</w:t>
            </w:r>
          </w:p>
        </w:tc>
        <w:tc>
          <w:tcPr>
            <w:tcW w:w="851" w:type="dxa"/>
            <w:tcBorders>
              <w:top w:val="nil"/>
              <w:left w:val="nil"/>
              <w:bottom w:val="nil"/>
            </w:tcBorders>
          </w:tcPr>
          <w:p w14:paraId="2208F371" w14:textId="77777777" w:rsidR="00271DB8" w:rsidRPr="004C78D8" w:rsidRDefault="00271DB8" w:rsidP="00FB7C1F">
            <w:pPr>
              <w:spacing w:after="0"/>
              <w:jc w:val="left"/>
              <w:rPr>
                <w:sz w:val="18"/>
                <w:szCs w:val="18"/>
              </w:rPr>
            </w:pPr>
            <w:r w:rsidRPr="004C78D8">
              <w:rPr>
                <w:sz w:val="18"/>
                <w:szCs w:val="18"/>
              </w:rPr>
              <w:t>6 (22)</w:t>
            </w:r>
          </w:p>
        </w:tc>
      </w:tr>
      <w:tr w:rsidR="00271DB8" w:rsidRPr="004C78D8" w14:paraId="536722F8" w14:textId="77777777" w:rsidTr="002828C1">
        <w:tc>
          <w:tcPr>
            <w:tcW w:w="1696" w:type="dxa"/>
            <w:vMerge/>
            <w:tcBorders>
              <w:top w:val="single" w:sz="4" w:space="0" w:color="auto"/>
              <w:bottom w:val="single" w:sz="4" w:space="0" w:color="auto"/>
              <w:right w:val="nil"/>
            </w:tcBorders>
          </w:tcPr>
          <w:p w14:paraId="7E475BBA"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3261" w:type="dxa"/>
            <w:vMerge/>
            <w:tcBorders>
              <w:top w:val="single" w:sz="4" w:space="0" w:color="auto"/>
              <w:left w:val="nil"/>
              <w:bottom w:val="single" w:sz="4" w:space="0" w:color="auto"/>
              <w:right w:val="nil"/>
            </w:tcBorders>
          </w:tcPr>
          <w:p w14:paraId="1296E449"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1984" w:type="dxa"/>
            <w:tcBorders>
              <w:top w:val="nil"/>
              <w:left w:val="nil"/>
              <w:bottom w:val="nil"/>
              <w:right w:val="nil"/>
            </w:tcBorders>
          </w:tcPr>
          <w:p w14:paraId="41C085C8" w14:textId="77777777" w:rsidR="00271DB8" w:rsidRPr="004C78D8" w:rsidRDefault="00271DB8" w:rsidP="00FB7C1F">
            <w:pPr>
              <w:spacing w:after="0"/>
              <w:jc w:val="left"/>
              <w:rPr>
                <w:sz w:val="18"/>
                <w:szCs w:val="18"/>
              </w:rPr>
            </w:pPr>
            <w:r w:rsidRPr="004C78D8">
              <w:rPr>
                <w:sz w:val="18"/>
                <w:szCs w:val="18"/>
              </w:rPr>
              <w:t>2</w:t>
            </w:r>
          </w:p>
        </w:tc>
        <w:tc>
          <w:tcPr>
            <w:tcW w:w="851" w:type="dxa"/>
            <w:tcBorders>
              <w:top w:val="nil"/>
              <w:left w:val="nil"/>
              <w:bottom w:val="nil"/>
            </w:tcBorders>
          </w:tcPr>
          <w:p w14:paraId="11D92B84" w14:textId="77777777" w:rsidR="00271DB8" w:rsidRPr="004C78D8" w:rsidRDefault="00271DB8" w:rsidP="00FB7C1F">
            <w:pPr>
              <w:spacing w:after="0"/>
              <w:jc w:val="left"/>
              <w:rPr>
                <w:sz w:val="18"/>
                <w:szCs w:val="18"/>
              </w:rPr>
            </w:pPr>
            <w:r w:rsidRPr="004C78D8">
              <w:rPr>
                <w:sz w:val="18"/>
                <w:szCs w:val="18"/>
              </w:rPr>
              <w:t>4 (15)</w:t>
            </w:r>
          </w:p>
        </w:tc>
      </w:tr>
      <w:tr w:rsidR="00271DB8" w:rsidRPr="004C78D8" w14:paraId="6D86003F" w14:textId="77777777" w:rsidTr="002828C1">
        <w:tc>
          <w:tcPr>
            <w:tcW w:w="1696" w:type="dxa"/>
            <w:vMerge/>
            <w:tcBorders>
              <w:top w:val="single" w:sz="4" w:space="0" w:color="auto"/>
              <w:bottom w:val="single" w:sz="4" w:space="0" w:color="auto"/>
              <w:right w:val="nil"/>
            </w:tcBorders>
          </w:tcPr>
          <w:p w14:paraId="36B570E4"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3261" w:type="dxa"/>
            <w:vMerge/>
            <w:tcBorders>
              <w:top w:val="single" w:sz="4" w:space="0" w:color="auto"/>
              <w:left w:val="nil"/>
              <w:bottom w:val="single" w:sz="4" w:space="0" w:color="auto"/>
              <w:right w:val="nil"/>
            </w:tcBorders>
          </w:tcPr>
          <w:p w14:paraId="69B8AAC6"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1984" w:type="dxa"/>
            <w:tcBorders>
              <w:top w:val="nil"/>
              <w:left w:val="nil"/>
              <w:bottom w:val="single" w:sz="4" w:space="0" w:color="auto"/>
              <w:right w:val="nil"/>
            </w:tcBorders>
          </w:tcPr>
          <w:p w14:paraId="6C7C66DD" w14:textId="77777777" w:rsidR="00271DB8" w:rsidRPr="004C78D8" w:rsidRDefault="00271DB8" w:rsidP="00FB7C1F">
            <w:pPr>
              <w:spacing w:after="0"/>
              <w:jc w:val="left"/>
              <w:rPr>
                <w:sz w:val="18"/>
                <w:szCs w:val="18"/>
              </w:rPr>
            </w:pPr>
            <w:r w:rsidRPr="004C78D8">
              <w:rPr>
                <w:sz w:val="18"/>
                <w:szCs w:val="18"/>
              </w:rPr>
              <w:t>3+</w:t>
            </w:r>
          </w:p>
        </w:tc>
        <w:tc>
          <w:tcPr>
            <w:tcW w:w="851" w:type="dxa"/>
            <w:tcBorders>
              <w:top w:val="nil"/>
              <w:left w:val="nil"/>
              <w:bottom w:val="single" w:sz="4" w:space="0" w:color="auto"/>
            </w:tcBorders>
          </w:tcPr>
          <w:p w14:paraId="7B830C91" w14:textId="77777777" w:rsidR="00271DB8" w:rsidRPr="004C78D8" w:rsidRDefault="00271DB8" w:rsidP="00FB7C1F">
            <w:pPr>
              <w:spacing w:after="0"/>
              <w:jc w:val="left"/>
              <w:rPr>
                <w:sz w:val="18"/>
                <w:szCs w:val="18"/>
              </w:rPr>
            </w:pPr>
            <w:r w:rsidRPr="004C78D8">
              <w:rPr>
                <w:sz w:val="18"/>
                <w:szCs w:val="18"/>
              </w:rPr>
              <w:t>4 (15)</w:t>
            </w:r>
          </w:p>
        </w:tc>
      </w:tr>
      <w:tr w:rsidR="00271DB8" w:rsidRPr="004C78D8" w14:paraId="0A849923" w14:textId="77777777" w:rsidTr="002828C1">
        <w:tc>
          <w:tcPr>
            <w:tcW w:w="1696" w:type="dxa"/>
            <w:vMerge/>
            <w:tcBorders>
              <w:top w:val="single" w:sz="4" w:space="0" w:color="auto"/>
              <w:bottom w:val="single" w:sz="4" w:space="0" w:color="auto"/>
              <w:right w:val="nil"/>
            </w:tcBorders>
          </w:tcPr>
          <w:p w14:paraId="48C46E8B"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3261" w:type="dxa"/>
            <w:vMerge w:val="restart"/>
            <w:tcBorders>
              <w:top w:val="single" w:sz="4" w:space="0" w:color="auto"/>
              <w:left w:val="nil"/>
              <w:bottom w:val="single" w:sz="4" w:space="0" w:color="auto"/>
              <w:right w:val="nil"/>
            </w:tcBorders>
          </w:tcPr>
          <w:p w14:paraId="32D19580" w14:textId="77777777" w:rsidR="00271DB8" w:rsidRPr="004C78D8" w:rsidRDefault="00271DB8" w:rsidP="00FB7C1F">
            <w:pPr>
              <w:spacing w:after="0"/>
              <w:jc w:val="left"/>
              <w:rPr>
                <w:sz w:val="18"/>
                <w:szCs w:val="18"/>
              </w:rPr>
            </w:pPr>
            <w:r w:rsidRPr="004C78D8">
              <w:rPr>
                <w:sz w:val="18"/>
                <w:szCs w:val="18"/>
              </w:rPr>
              <w:t>Whether fall(s) required medical attention</w:t>
            </w:r>
            <w:r w:rsidRPr="004C78D8">
              <w:rPr>
                <w:sz w:val="18"/>
                <w:szCs w:val="18"/>
                <w:vertAlign w:val="superscript"/>
              </w:rPr>
              <w:t>1</w:t>
            </w:r>
            <w:r w:rsidRPr="004C78D8">
              <w:rPr>
                <w:sz w:val="18"/>
                <w:szCs w:val="18"/>
              </w:rPr>
              <w:t xml:space="preserve"> (% among fallers)</w:t>
            </w:r>
          </w:p>
        </w:tc>
        <w:tc>
          <w:tcPr>
            <w:tcW w:w="1984" w:type="dxa"/>
            <w:tcBorders>
              <w:top w:val="single" w:sz="4" w:space="0" w:color="auto"/>
              <w:left w:val="nil"/>
              <w:bottom w:val="nil"/>
              <w:right w:val="nil"/>
            </w:tcBorders>
          </w:tcPr>
          <w:p w14:paraId="2D612286" w14:textId="77777777" w:rsidR="00271DB8" w:rsidRPr="004C78D8" w:rsidRDefault="00271DB8" w:rsidP="00FB7C1F">
            <w:pPr>
              <w:spacing w:after="0"/>
              <w:jc w:val="left"/>
              <w:rPr>
                <w:sz w:val="18"/>
                <w:szCs w:val="18"/>
              </w:rPr>
            </w:pPr>
            <w:r w:rsidRPr="004C78D8">
              <w:rPr>
                <w:sz w:val="18"/>
                <w:szCs w:val="18"/>
              </w:rPr>
              <w:t>Yes</w:t>
            </w:r>
          </w:p>
        </w:tc>
        <w:tc>
          <w:tcPr>
            <w:tcW w:w="851" w:type="dxa"/>
            <w:tcBorders>
              <w:top w:val="single" w:sz="4" w:space="0" w:color="auto"/>
              <w:left w:val="nil"/>
              <w:bottom w:val="nil"/>
            </w:tcBorders>
          </w:tcPr>
          <w:p w14:paraId="02762C0D" w14:textId="77777777" w:rsidR="00271DB8" w:rsidRPr="004C78D8" w:rsidRDefault="00271DB8" w:rsidP="00FB7C1F">
            <w:pPr>
              <w:spacing w:after="0"/>
              <w:jc w:val="left"/>
              <w:rPr>
                <w:sz w:val="18"/>
                <w:szCs w:val="18"/>
              </w:rPr>
            </w:pPr>
            <w:r w:rsidRPr="004C78D8">
              <w:rPr>
                <w:sz w:val="18"/>
                <w:szCs w:val="18"/>
              </w:rPr>
              <w:t>8 (57)</w:t>
            </w:r>
          </w:p>
        </w:tc>
      </w:tr>
      <w:tr w:rsidR="00271DB8" w:rsidRPr="004C78D8" w14:paraId="2C7CD3F0" w14:textId="77777777" w:rsidTr="002828C1">
        <w:tc>
          <w:tcPr>
            <w:tcW w:w="1696" w:type="dxa"/>
            <w:vMerge/>
            <w:tcBorders>
              <w:top w:val="single" w:sz="4" w:space="0" w:color="auto"/>
              <w:bottom w:val="single" w:sz="4" w:space="0" w:color="auto"/>
              <w:right w:val="nil"/>
            </w:tcBorders>
          </w:tcPr>
          <w:p w14:paraId="1BF37FDA"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3261" w:type="dxa"/>
            <w:vMerge/>
            <w:tcBorders>
              <w:top w:val="single" w:sz="4" w:space="0" w:color="auto"/>
              <w:left w:val="nil"/>
              <w:bottom w:val="single" w:sz="4" w:space="0" w:color="auto"/>
              <w:right w:val="nil"/>
            </w:tcBorders>
          </w:tcPr>
          <w:p w14:paraId="677C9823"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1984" w:type="dxa"/>
            <w:tcBorders>
              <w:top w:val="nil"/>
              <w:left w:val="nil"/>
              <w:bottom w:val="single" w:sz="4" w:space="0" w:color="auto"/>
              <w:right w:val="nil"/>
            </w:tcBorders>
          </w:tcPr>
          <w:p w14:paraId="31E57263" w14:textId="77777777" w:rsidR="00271DB8" w:rsidRPr="004C78D8" w:rsidRDefault="00271DB8" w:rsidP="00FB7C1F">
            <w:pPr>
              <w:spacing w:after="0"/>
              <w:jc w:val="left"/>
              <w:rPr>
                <w:sz w:val="18"/>
                <w:szCs w:val="18"/>
              </w:rPr>
            </w:pPr>
            <w:r w:rsidRPr="004C78D8">
              <w:rPr>
                <w:sz w:val="18"/>
                <w:szCs w:val="18"/>
              </w:rPr>
              <w:t>No</w:t>
            </w:r>
          </w:p>
        </w:tc>
        <w:tc>
          <w:tcPr>
            <w:tcW w:w="851" w:type="dxa"/>
            <w:tcBorders>
              <w:top w:val="nil"/>
              <w:left w:val="nil"/>
              <w:bottom w:val="single" w:sz="4" w:space="0" w:color="auto"/>
            </w:tcBorders>
          </w:tcPr>
          <w:p w14:paraId="4A61FEE8" w14:textId="77777777" w:rsidR="00271DB8" w:rsidRPr="004C78D8" w:rsidRDefault="00271DB8" w:rsidP="00FB7C1F">
            <w:pPr>
              <w:spacing w:after="0"/>
              <w:jc w:val="left"/>
              <w:rPr>
                <w:sz w:val="18"/>
                <w:szCs w:val="18"/>
              </w:rPr>
            </w:pPr>
            <w:r w:rsidRPr="004C78D8">
              <w:rPr>
                <w:sz w:val="18"/>
                <w:szCs w:val="18"/>
              </w:rPr>
              <w:t>6 (43)</w:t>
            </w:r>
          </w:p>
        </w:tc>
      </w:tr>
      <w:tr w:rsidR="00271DB8" w:rsidRPr="004C78D8" w14:paraId="1A4B75FD" w14:textId="77777777" w:rsidTr="002828C1">
        <w:tc>
          <w:tcPr>
            <w:tcW w:w="1696" w:type="dxa"/>
            <w:vMerge/>
            <w:tcBorders>
              <w:top w:val="single" w:sz="4" w:space="0" w:color="auto"/>
              <w:bottom w:val="single" w:sz="4" w:space="0" w:color="auto"/>
              <w:right w:val="nil"/>
            </w:tcBorders>
          </w:tcPr>
          <w:p w14:paraId="4BDB66DE"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3261" w:type="dxa"/>
            <w:tcBorders>
              <w:top w:val="single" w:sz="4" w:space="0" w:color="auto"/>
              <w:left w:val="nil"/>
              <w:bottom w:val="single" w:sz="4" w:space="0" w:color="auto"/>
              <w:right w:val="nil"/>
            </w:tcBorders>
          </w:tcPr>
          <w:p w14:paraId="3B0633D5" w14:textId="77777777" w:rsidR="00271DB8" w:rsidRPr="004C78D8" w:rsidRDefault="00271DB8" w:rsidP="00FB7C1F">
            <w:pPr>
              <w:spacing w:after="0"/>
              <w:jc w:val="left"/>
              <w:rPr>
                <w:sz w:val="18"/>
                <w:szCs w:val="18"/>
              </w:rPr>
            </w:pPr>
            <w:r w:rsidRPr="004C78D8">
              <w:rPr>
                <w:sz w:val="18"/>
                <w:szCs w:val="18"/>
              </w:rPr>
              <w:t>Fall resulted in fracture (% among fallers)</w:t>
            </w:r>
          </w:p>
        </w:tc>
        <w:tc>
          <w:tcPr>
            <w:tcW w:w="1984" w:type="dxa"/>
            <w:tcBorders>
              <w:top w:val="single" w:sz="4" w:space="0" w:color="auto"/>
              <w:left w:val="nil"/>
              <w:bottom w:val="single" w:sz="4" w:space="0" w:color="auto"/>
              <w:right w:val="nil"/>
            </w:tcBorders>
          </w:tcPr>
          <w:p w14:paraId="77FF3C68" w14:textId="77777777" w:rsidR="00271DB8" w:rsidRPr="004C78D8" w:rsidRDefault="00271DB8" w:rsidP="00FB7C1F">
            <w:pPr>
              <w:spacing w:after="0"/>
              <w:jc w:val="left"/>
              <w:rPr>
                <w:sz w:val="18"/>
                <w:szCs w:val="18"/>
              </w:rPr>
            </w:pPr>
            <w:r w:rsidRPr="004C78D8">
              <w:rPr>
                <w:sz w:val="18"/>
                <w:szCs w:val="18"/>
              </w:rPr>
              <w:t>Yes</w:t>
            </w:r>
          </w:p>
        </w:tc>
        <w:tc>
          <w:tcPr>
            <w:tcW w:w="851" w:type="dxa"/>
            <w:tcBorders>
              <w:top w:val="single" w:sz="4" w:space="0" w:color="auto"/>
              <w:left w:val="nil"/>
              <w:bottom w:val="single" w:sz="4" w:space="0" w:color="auto"/>
            </w:tcBorders>
          </w:tcPr>
          <w:p w14:paraId="15BD4D4E" w14:textId="77777777" w:rsidR="00271DB8" w:rsidRPr="004C78D8" w:rsidRDefault="00271DB8" w:rsidP="00FB7C1F">
            <w:pPr>
              <w:spacing w:after="0"/>
              <w:jc w:val="left"/>
              <w:rPr>
                <w:sz w:val="18"/>
                <w:szCs w:val="18"/>
              </w:rPr>
            </w:pPr>
            <w:r w:rsidRPr="004C78D8">
              <w:rPr>
                <w:sz w:val="18"/>
                <w:szCs w:val="18"/>
              </w:rPr>
              <w:t>3 (21)</w:t>
            </w:r>
          </w:p>
        </w:tc>
      </w:tr>
      <w:tr w:rsidR="00271DB8" w:rsidRPr="004C78D8" w14:paraId="78E17221" w14:textId="77777777" w:rsidTr="002828C1">
        <w:tc>
          <w:tcPr>
            <w:tcW w:w="1696" w:type="dxa"/>
            <w:vMerge/>
            <w:tcBorders>
              <w:top w:val="single" w:sz="4" w:space="0" w:color="auto"/>
              <w:bottom w:val="single" w:sz="4" w:space="0" w:color="auto"/>
              <w:right w:val="nil"/>
            </w:tcBorders>
          </w:tcPr>
          <w:p w14:paraId="5BFA3DC8"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3261" w:type="dxa"/>
            <w:vMerge w:val="restart"/>
            <w:tcBorders>
              <w:top w:val="single" w:sz="4" w:space="0" w:color="auto"/>
              <w:left w:val="nil"/>
              <w:bottom w:val="single" w:sz="4" w:space="0" w:color="auto"/>
              <w:right w:val="nil"/>
            </w:tcBorders>
          </w:tcPr>
          <w:p w14:paraId="2A20F773" w14:textId="77777777" w:rsidR="00271DB8" w:rsidRPr="004C78D8" w:rsidRDefault="00271DB8" w:rsidP="00FB7C1F">
            <w:pPr>
              <w:spacing w:after="0"/>
              <w:jc w:val="left"/>
              <w:rPr>
                <w:sz w:val="18"/>
                <w:szCs w:val="18"/>
              </w:rPr>
            </w:pPr>
            <w:r w:rsidRPr="004C78D8">
              <w:rPr>
                <w:sz w:val="18"/>
                <w:szCs w:val="18"/>
              </w:rPr>
              <w:t xml:space="preserve">How worried are you about falling while walking or balancing? </w:t>
            </w:r>
          </w:p>
        </w:tc>
        <w:tc>
          <w:tcPr>
            <w:tcW w:w="1984" w:type="dxa"/>
            <w:tcBorders>
              <w:top w:val="single" w:sz="4" w:space="0" w:color="auto"/>
              <w:left w:val="nil"/>
              <w:bottom w:val="nil"/>
              <w:right w:val="nil"/>
            </w:tcBorders>
          </w:tcPr>
          <w:p w14:paraId="4DC1CFCB" w14:textId="77777777" w:rsidR="00271DB8" w:rsidRPr="004C78D8" w:rsidRDefault="00271DB8" w:rsidP="00FB7C1F">
            <w:pPr>
              <w:spacing w:after="0"/>
              <w:jc w:val="left"/>
              <w:rPr>
                <w:sz w:val="18"/>
                <w:szCs w:val="18"/>
              </w:rPr>
            </w:pPr>
            <w:r w:rsidRPr="004C78D8">
              <w:rPr>
                <w:sz w:val="18"/>
                <w:szCs w:val="18"/>
              </w:rPr>
              <w:t>1 Never</w:t>
            </w:r>
          </w:p>
        </w:tc>
        <w:tc>
          <w:tcPr>
            <w:tcW w:w="851" w:type="dxa"/>
            <w:tcBorders>
              <w:top w:val="single" w:sz="4" w:space="0" w:color="auto"/>
              <w:left w:val="nil"/>
              <w:bottom w:val="nil"/>
            </w:tcBorders>
          </w:tcPr>
          <w:p w14:paraId="1F4D707F" w14:textId="77777777" w:rsidR="00271DB8" w:rsidRPr="004C78D8" w:rsidRDefault="00271DB8" w:rsidP="00FB7C1F">
            <w:pPr>
              <w:spacing w:after="0"/>
              <w:jc w:val="left"/>
              <w:rPr>
                <w:sz w:val="18"/>
                <w:szCs w:val="18"/>
              </w:rPr>
            </w:pPr>
            <w:r w:rsidRPr="004C78D8">
              <w:rPr>
                <w:sz w:val="18"/>
                <w:szCs w:val="18"/>
              </w:rPr>
              <w:t>4 (15)</w:t>
            </w:r>
          </w:p>
        </w:tc>
      </w:tr>
      <w:tr w:rsidR="00271DB8" w:rsidRPr="004C78D8" w14:paraId="5F1D66B1" w14:textId="77777777" w:rsidTr="002828C1">
        <w:tc>
          <w:tcPr>
            <w:tcW w:w="1696" w:type="dxa"/>
            <w:vMerge/>
            <w:tcBorders>
              <w:top w:val="single" w:sz="4" w:space="0" w:color="auto"/>
              <w:bottom w:val="single" w:sz="4" w:space="0" w:color="auto"/>
              <w:right w:val="nil"/>
            </w:tcBorders>
          </w:tcPr>
          <w:p w14:paraId="7BE44C74"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3261" w:type="dxa"/>
            <w:vMerge/>
            <w:tcBorders>
              <w:top w:val="single" w:sz="4" w:space="0" w:color="auto"/>
              <w:left w:val="nil"/>
              <w:bottom w:val="single" w:sz="4" w:space="0" w:color="auto"/>
              <w:right w:val="nil"/>
            </w:tcBorders>
          </w:tcPr>
          <w:p w14:paraId="0055F0B6"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1984" w:type="dxa"/>
            <w:tcBorders>
              <w:top w:val="nil"/>
              <w:left w:val="nil"/>
              <w:bottom w:val="nil"/>
              <w:right w:val="nil"/>
            </w:tcBorders>
          </w:tcPr>
          <w:p w14:paraId="7C001F40" w14:textId="77777777" w:rsidR="00271DB8" w:rsidRPr="004C78D8" w:rsidRDefault="00271DB8" w:rsidP="00FB7C1F">
            <w:pPr>
              <w:spacing w:after="0"/>
              <w:jc w:val="left"/>
              <w:rPr>
                <w:sz w:val="18"/>
                <w:szCs w:val="18"/>
              </w:rPr>
            </w:pPr>
            <w:r w:rsidRPr="004C78D8">
              <w:rPr>
                <w:sz w:val="18"/>
                <w:szCs w:val="18"/>
              </w:rPr>
              <w:t>2 Hardly</w:t>
            </w:r>
          </w:p>
        </w:tc>
        <w:tc>
          <w:tcPr>
            <w:tcW w:w="851" w:type="dxa"/>
            <w:tcBorders>
              <w:top w:val="nil"/>
              <w:left w:val="nil"/>
              <w:bottom w:val="nil"/>
            </w:tcBorders>
          </w:tcPr>
          <w:p w14:paraId="2BBBCFBE" w14:textId="77777777" w:rsidR="00271DB8" w:rsidRPr="004C78D8" w:rsidRDefault="00271DB8" w:rsidP="00FB7C1F">
            <w:pPr>
              <w:spacing w:after="0"/>
              <w:jc w:val="left"/>
              <w:rPr>
                <w:sz w:val="18"/>
                <w:szCs w:val="18"/>
              </w:rPr>
            </w:pPr>
            <w:r w:rsidRPr="004C78D8">
              <w:rPr>
                <w:sz w:val="18"/>
                <w:szCs w:val="18"/>
              </w:rPr>
              <w:t>5 (19)</w:t>
            </w:r>
          </w:p>
        </w:tc>
      </w:tr>
      <w:tr w:rsidR="00271DB8" w:rsidRPr="004C78D8" w14:paraId="0D087587" w14:textId="77777777" w:rsidTr="002828C1">
        <w:tc>
          <w:tcPr>
            <w:tcW w:w="1696" w:type="dxa"/>
            <w:vMerge/>
            <w:tcBorders>
              <w:top w:val="single" w:sz="4" w:space="0" w:color="auto"/>
              <w:bottom w:val="single" w:sz="4" w:space="0" w:color="auto"/>
              <w:right w:val="nil"/>
            </w:tcBorders>
          </w:tcPr>
          <w:p w14:paraId="05F976C3"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3261" w:type="dxa"/>
            <w:vMerge/>
            <w:tcBorders>
              <w:top w:val="single" w:sz="4" w:space="0" w:color="auto"/>
              <w:left w:val="nil"/>
              <w:bottom w:val="single" w:sz="4" w:space="0" w:color="auto"/>
              <w:right w:val="nil"/>
            </w:tcBorders>
          </w:tcPr>
          <w:p w14:paraId="4E4DBDE0"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1984" w:type="dxa"/>
            <w:tcBorders>
              <w:top w:val="nil"/>
              <w:left w:val="nil"/>
              <w:bottom w:val="nil"/>
              <w:right w:val="nil"/>
            </w:tcBorders>
          </w:tcPr>
          <w:p w14:paraId="177A2C92" w14:textId="77777777" w:rsidR="00271DB8" w:rsidRPr="004C78D8" w:rsidRDefault="00271DB8" w:rsidP="00FB7C1F">
            <w:pPr>
              <w:spacing w:after="0"/>
              <w:jc w:val="left"/>
              <w:rPr>
                <w:sz w:val="18"/>
                <w:szCs w:val="18"/>
              </w:rPr>
            </w:pPr>
            <w:r w:rsidRPr="004C78D8">
              <w:rPr>
                <w:sz w:val="18"/>
                <w:szCs w:val="18"/>
              </w:rPr>
              <w:t>3 Sometimes</w:t>
            </w:r>
          </w:p>
        </w:tc>
        <w:tc>
          <w:tcPr>
            <w:tcW w:w="851" w:type="dxa"/>
            <w:tcBorders>
              <w:top w:val="nil"/>
              <w:left w:val="nil"/>
              <w:bottom w:val="nil"/>
            </w:tcBorders>
          </w:tcPr>
          <w:p w14:paraId="450C899F" w14:textId="77777777" w:rsidR="00271DB8" w:rsidRPr="004C78D8" w:rsidRDefault="00271DB8" w:rsidP="00FB7C1F">
            <w:pPr>
              <w:spacing w:after="0"/>
              <w:jc w:val="left"/>
              <w:rPr>
                <w:sz w:val="18"/>
                <w:szCs w:val="18"/>
              </w:rPr>
            </w:pPr>
            <w:r w:rsidRPr="004C78D8">
              <w:rPr>
                <w:sz w:val="18"/>
                <w:szCs w:val="18"/>
              </w:rPr>
              <w:t>11 (41)</w:t>
            </w:r>
          </w:p>
        </w:tc>
      </w:tr>
      <w:tr w:rsidR="00271DB8" w:rsidRPr="004C78D8" w14:paraId="289756EE" w14:textId="77777777" w:rsidTr="002828C1">
        <w:tc>
          <w:tcPr>
            <w:tcW w:w="1696" w:type="dxa"/>
            <w:vMerge/>
            <w:tcBorders>
              <w:top w:val="single" w:sz="4" w:space="0" w:color="auto"/>
              <w:bottom w:val="single" w:sz="4" w:space="0" w:color="auto"/>
              <w:right w:val="nil"/>
            </w:tcBorders>
          </w:tcPr>
          <w:p w14:paraId="18916A94"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3261" w:type="dxa"/>
            <w:vMerge/>
            <w:tcBorders>
              <w:top w:val="single" w:sz="4" w:space="0" w:color="auto"/>
              <w:left w:val="nil"/>
              <w:bottom w:val="single" w:sz="4" w:space="0" w:color="auto"/>
              <w:right w:val="nil"/>
            </w:tcBorders>
          </w:tcPr>
          <w:p w14:paraId="1DB25B87"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1984" w:type="dxa"/>
            <w:tcBorders>
              <w:top w:val="nil"/>
              <w:left w:val="nil"/>
              <w:bottom w:val="nil"/>
              <w:right w:val="nil"/>
            </w:tcBorders>
          </w:tcPr>
          <w:p w14:paraId="5E6E0084" w14:textId="77777777" w:rsidR="00271DB8" w:rsidRPr="004C78D8" w:rsidRDefault="00271DB8" w:rsidP="00FB7C1F">
            <w:pPr>
              <w:spacing w:after="0"/>
              <w:jc w:val="left"/>
              <w:rPr>
                <w:sz w:val="18"/>
                <w:szCs w:val="18"/>
              </w:rPr>
            </w:pPr>
            <w:r w:rsidRPr="004C78D8">
              <w:rPr>
                <w:sz w:val="18"/>
                <w:szCs w:val="18"/>
              </w:rPr>
              <w:t>4 Often</w:t>
            </w:r>
          </w:p>
        </w:tc>
        <w:tc>
          <w:tcPr>
            <w:tcW w:w="851" w:type="dxa"/>
            <w:tcBorders>
              <w:top w:val="nil"/>
              <w:left w:val="nil"/>
              <w:bottom w:val="nil"/>
            </w:tcBorders>
          </w:tcPr>
          <w:p w14:paraId="3D16A3D1" w14:textId="77777777" w:rsidR="00271DB8" w:rsidRPr="004C78D8" w:rsidRDefault="00271DB8" w:rsidP="00FB7C1F">
            <w:pPr>
              <w:spacing w:after="0"/>
              <w:jc w:val="left"/>
              <w:rPr>
                <w:sz w:val="18"/>
                <w:szCs w:val="18"/>
              </w:rPr>
            </w:pPr>
            <w:r w:rsidRPr="004C78D8">
              <w:rPr>
                <w:sz w:val="18"/>
                <w:szCs w:val="18"/>
              </w:rPr>
              <w:t>4 (15)</w:t>
            </w:r>
          </w:p>
        </w:tc>
      </w:tr>
      <w:tr w:rsidR="00271DB8" w:rsidRPr="004C78D8" w14:paraId="542AC90E" w14:textId="77777777" w:rsidTr="002828C1">
        <w:tc>
          <w:tcPr>
            <w:tcW w:w="1696" w:type="dxa"/>
            <w:vMerge/>
            <w:tcBorders>
              <w:top w:val="single" w:sz="4" w:space="0" w:color="auto"/>
              <w:bottom w:val="single" w:sz="4" w:space="0" w:color="auto"/>
              <w:right w:val="nil"/>
            </w:tcBorders>
          </w:tcPr>
          <w:p w14:paraId="50EE9F4F"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3261" w:type="dxa"/>
            <w:vMerge/>
            <w:tcBorders>
              <w:top w:val="single" w:sz="4" w:space="0" w:color="auto"/>
              <w:left w:val="nil"/>
              <w:bottom w:val="single" w:sz="4" w:space="0" w:color="auto"/>
              <w:right w:val="nil"/>
            </w:tcBorders>
          </w:tcPr>
          <w:p w14:paraId="6D62720A"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1984" w:type="dxa"/>
            <w:tcBorders>
              <w:top w:val="nil"/>
              <w:left w:val="nil"/>
              <w:bottom w:val="single" w:sz="4" w:space="0" w:color="auto"/>
              <w:right w:val="nil"/>
            </w:tcBorders>
          </w:tcPr>
          <w:p w14:paraId="74BDC963" w14:textId="77777777" w:rsidR="00271DB8" w:rsidRPr="004C78D8" w:rsidRDefault="00271DB8" w:rsidP="00FB7C1F">
            <w:pPr>
              <w:spacing w:after="0"/>
              <w:jc w:val="left"/>
              <w:rPr>
                <w:sz w:val="18"/>
                <w:szCs w:val="18"/>
              </w:rPr>
            </w:pPr>
            <w:r w:rsidRPr="004C78D8">
              <w:rPr>
                <w:sz w:val="18"/>
                <w:szCs w:val="18"/>
              </w:rPr>
              <w:t>5 All the time</w:t>
            </w:r>
          </w:p>
        </w:tc>
        <w:tc>
          <w:tcPr>
            <w:tcW w:w="851" w:type="dxa"/>
            <w:tcBorders>
              <w:top w:val="nil"/>
              <w:left w:val="nil"/>
              <w:bottom w:val="single" w:sz="4" w:space="0" w:color="auto"/>
            </w:tcBorders>
          </w:tcPr>
          <w:p w14:paraId="2FE3E090" w14:textId="77777777" w:rsidR="00271DB8" w:rsidRPr="004C78D8" w:rsidRDefault="00271DB8" w:rsidP="00FB7C1F">
            <w:pPr>
              <w:spacing w:after="0"/>
              <w:jc w:val="left"/>
              <w:rPr>
                <w:sz w:val="18"/>
                <w:szCs w:val="18"/>
              </w:rPr>
            </w:pPr>
            <w:r w:rsidRPr="004C78D8">
              <w:rPr>
                <w:sz w:val="18"/>
                <w:szCs w:val="18"/>
              </w:rPr>
              <w:t>3 (11)</w:t>
            </w:r>
          </w:p>
        </w:tc>
      </w:tr>
      <w:tr w:rsidR="00271DB8" w:rsidRPr="004C78D8" w14:paraId="02B9AD7A" w14:textId="77777777" w:rsidTr="002828C1">
        <w:tc>
          <w:tcPr>
            <w:tcW w:w="1696" w:type="dxa"/>
            <w:vMerge w:val="restart"/>
            <w:tcBorders>
              <w:top w:val="single" w:sz="4" w:space="0" w:color="auto"/>
              <w:bottom w:val="single" w:sz="4" w:space="0" w:color="auto"/>
              <w:right w:val="nil"/>
            </w:tcBorders>
          </w:tcPr>
          <w:p w14:paraId="087008A3" w14:textId="77777777" w:rsidR="00271DB8" w:rsidRPr="004C78D8" w:rsidRDefault="00271DB8" w:rsidP="00FB7C1F">
            <w:pPr>
              <w:spacing w:after="0"/>
              <w:jc w:val="left"/>
              <w:rPr>
                <w:sz w:val="18"/>
                <w:szCs w:val="18"/>
              </w:rPr>
            </w:pPr>
            <w:r w:rsidRPr="004C78D8">
              <w:rPr>
                <w:sz w:val="18"/>
                <w:szCs w:val="18"/>
              </w:rPr>
              <w:t>Current physical activity level</w:t>
            </w:r>
          </w:p>
        </w:tc>
        <w:tc>
          <w:tcPr>
            <w:tcW w:w="3261" w:type="dxa"/>
            <w:vMerge w:val="restart"/>
            <w:tcBorders>
              <w:top w:val="single" w:sz="4" w:space="0" w:color="auto"/>
              <w:left w:val="nil"/>
              <w:bottom w:val="single" w:sz="4" w:space="0" w:color="auto"/>
              <w:right w:val="nil"/>
            </w:tcBorders>
          </w:tcPr>
          <w:p w14:paraId="4D0813EE" w14:textId="77777777" w:rsidR="00271DB8" w:rsidRPr="004C78D8" w:rsidRDefault="00271DB8" w:rsidP="00FB7C1F">
            <w:pPr>
              <w:spacing w:after="0"/>
              <w:jc w:val="left"/>
              <w:rPr>
                <w:sz w:val="18"/>
                <w:szCs w:val="18"/>
              </w:rPr>
            </w:pPr>
            <w:r w:rsidRPr="004C78D8">
              <w:rPr>
                <w:sz w:val="18"/>
                <w:szCs w:val="18"/>
              </w:rPr>
              <w:t>Currently engaged in some exercise group/activity</w:t>
            </w:r>
            <w:r w:rsidRPr="004C78D8">
              <w:rPr>
                <w:sz w:val="18"/>
                <w:szCs w:val="18"/>
                <w:vertAlign w:val="superscript"/>
              </w:rPr>
              <w:t>2</w:t>
            </w:r>
          </w:p>
        </w:tc>
        <w:tc>
          <w:tcPr>
            <w:tcW w:w="1984" w:type="dxa"/>
            <w:tcBorders>
              <w:top w:val="single" w:sz="4" w:space="0" w:color="auto"/>
              <w:left w:val="nil"/>
              <w:bottom w:val="nil"/>
              <w:right w:val="nil"/>
            </w:tcBorders>
          </w:tcPr>
          <w:p w14:paraId="49F16C93" w14:textId="77777777" w:rsidR="00271DB8" w:rsidRPr="004C78D8" w:rsidRDefault="00271DB8" w:rsidP="00FB7C1F">
            <w:pPr>
              <w:spacing w:after="0"/>
              <w:jc w:val="left"/>
              <w:rPr>
                <w:sz w:val="18"/>
                <w:szCs w:val="18"/>
              </w:rPr>
            </w:pPr>
            <w:r w:rsidRPr="004C78D8">
              <w:rPr>
                <w:sz w:val="18"/>
                <w:szCs w:val="18"/>
              </w:rPr>
              <w:t>Yes</w:t>
            </w:r>
          </w:p>
        </w:tc>
        <w:tc>
          <w:tcPr>
            <w:tcW w:w="851" w:type="dxa"/>
            <w:tcBorders>
              <w:top w:val="single" w:sz="4" w:space="0" w:color="auto"/>
              <w:left w:val="nil"/>
              <w:bottom w:val="nil"/>
            </w:tcBorders>
          </w:tcPr>
          <w:p w14:paraId="4DDF1872" w14:textId="77777777" w:rsidR="00271DB8" w:rsidRPr="004C78D8" w:rsidRDefault="00271DB8" w:rsidP="00FB7C1F">
            <w:pPr>
              <w:spacing w:after="0"/>
              <w:jc w:val="left"/>
              <w:rPr>
                <w:sz w:val="18"/>
                <w:szCs w:val="18"/>
              </w:rPr>
            </w:pPr>
            <w:r w:rsidRPr="004C78D8">
              <w:rPr>
                <w:sz w:val="18"/>
                <w:szCs w:val="18"/>
              </w:rPr>
              <w:t>19 (70)</w:t>
            </w:r>
          </w:p>
        </w:tc>
      </w:tr>
      <w:tr w:rsidR="00271DB8" w:rsidRPr="004C78D8" w14:paraId="20D635DA" w14:textId="77777777" w:rsidTr="002828C1">
        <w:tc>
          <w:tcPr>
            <w:tcW w:w="1696" w:type="dxa"/>
            <w:vMerge/>
            <w:tcBorders>
              <w:top w:val="single" w:sz="4" w:space="0" w:color="auto"/>
              <w:bottom w:val="single" w:sz="4" w:space="0" w:color="auto"/>
              <w:right w:val="nil"/>
            </w:tcBorders>
          </w:tcPr>
          <w:p w14:paraId="2840CF8E"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3261" w:type="dxa"/>
            <w:vMerge/>
            <w:tcBorders>
              <w:top w:val="single" w:sz="4" w:space="0" w:color="auto"/>
              <w:left w:val="nil"/>
              <w:bottom w:val="single" w:sz="4" w:space="0" w:color="auto"/>
              <w:right w:val="nil"/>
            </w:tcBorders>
          </w:tcPr>
          <w:p w14:paraId="596730D6"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1984" w:type="dxa"/>
            <w:tcBorders>
              <w:top w:val="nil"/>
              <w:left w:val="nil"/>
              <w:bottom w:val="single" w:sz="4" w:space="0" w:color="auto"/>
              <w:right w:val="nil"/>
            </w:tcBorders>
          </w:tcPr>
          <w:p w14:paraId="66C95FB3" w14:textId="77777777" w:rsidR="00271DB8" w:rsidRPr="004C78D8" w:rsidRDefault="00271DB8" w:rsidP="00FB7C1F">
            <w:pPr>
              <w:spacing w:after="0"/>
              <w:jc w:val="left"/>
              <w:rPr>
                <w:sz w:val="18"/>
                <w:szCs w:val="18"/>
              </w:rPr>
            </w:pPr>
            <w:r w:rsidRPr="004C78D8">
              <w:rPr>
                <w:sz w:val="18"/>
                <w:szCs w:val="18"/>
              </w:rPr>
              <w:t>No</w:t>
            </w:r>
          </w:p>
        </w:tc>
        <w:tc>
          <w:tcPr>
            <w:tcW w:w="851" w:type="dxa"/>
            <w:tcBorders>
              <w:top w:val="nil"/>
              <w:left w:val="nil"/>
              <w:bottom w:val="single" w:sz="4" w:space="0" w:color="auto"/>
            </w:tcBorders>
          </w:tcPr>
          <w:p w14:paraId="56694DB0" w14:textId="77777777" w:rsidR="00271DB8" w:rsidRPr="004C78D8" w:rsidRDefault="00271DB8" w:rsidP="00FB7C1F">
            <w:pPr>
              <w:spacing w:after="0"/>
              <w:jc w:val="left"/>
              <w:rPr>
                <w:sz w:val="18"/>
                <w:szCs w:val="18"/>
              </w:rPr>
            </w:pPr>
            <w:r w:rsidRPr="004C78D8">
              <w:rPr>
                <w:sz w:val="18"/>
                <w:szCs w:val="18"/>
              </w:rPr>
              <w:t>8 (30)</w:t>
            </w:r>
          </w:p>
        </w:tc>
      </w:tr>
      <w:tr w:rsidR="00271DB8" w:rsidRPr="004C78D8" w14:paraId="3395D266" w14:textId="77777777" w:rsidTr="002828C1">
        <w:tc>
          <w:tcPr>
            <w:tcW w:w="1696" w:type="dxa"/>
            <w:vMerge w:val="restart"/>
            <w:tcBorders>
              <w:top w:val="single" w:sz="4" w:space="0" w:color="auto"/>
              <w:bottom w:val="single" w:sz="4" w:space="0" w:color="auto"/>
              <w:right w:val="nil"/>
            </w:tcBorders>
          </w:tcPr>
          <w:p w14:paraId="54DCA8A9" w14:textId="77777777" w:rsidR="00271DB8" w:rsidRPr="004C78D8" w:rsidRDefault="00271DB8" w:rsidP="00FB7C1F">
            <w:pPr>
              <w:spacing w:after="0"/>
              <w:jc w:val="left"/>
              <w:rPr>
                <w:sz w:val="18"/>
                <w:szCs w:val="18"/>
              </w:rPr>
            </w:pPr>
            <w:r w:rsidRPr="004C78D8">
              <w:rPr>
                <w:sz w:val="18"/>
                <w:szCs w:val="18"/>
              </w:rPr>
              <w:t>History of falls risk screening</w:t>
            </w:r>
          </w:p>
        </w:tc>
        <w:tc>
          <w:tcPr>
            <w:tcW w:w="3261" w:type="dxa"/>
            <w:vMerge w:val="restart"/>
            <w:tcBorders>
              <w:top w:val="single" w:sz="4" w:space="0" w:color="auto"/>
              <w:left w:val="nil"/>
              <w:bottom w:val="single" w:sz="4" w:space="0" w:color="auto"/>
              <w:right w:val="nil"/>
            </w:tcBorders>
          </w:tcPr>
          <w:p w14:paraId="303F4BA3" w14:textId="77777777" w:rsidR="00271DB8" w:rsidRPr="004C78D8" w:rsidRDefault="00271DB8" w:rsidP="00FB7C1F">
            <w:pPr>
              <w:spacing w:after="0"/>
              <w:jc w:val="left"/>
              <w:rPr>
                <w:sz w:val="18"/>
                <w:szCs w:val="18"/>
              </w:rPr>
            </w:pPr>
            <w:r w:rsidRPr="004C78D8">
              <w:rPr>
                <w:sz w:val="18"/>
                <w:szCs w:val="18"/>
              </w:rPr>
              <w:t xml:space="preserve">Whether spoken to a GP or other professionals about risk of falling in previous year </w:t>
            </w:r>
          </w:p>
        </w:tc>
        <w:tc>
          <w:tcPr>
            <w:tcW w:w="1984" w:type="dxa"/>
            <w:tcBorders>
              <w:top w:val="single" w:sz="4" w:space="0" w:color="auto"/>
              <w:left w:val="nil"/>
              <w:bottom w:val="nil"/>
              <w:right w:val="nil"/>
            </w:tcBorders>
          </w:tcPr>
          <w:p w14:paraId="074589CE" w14:textId="77777777" w:rsidR="00271DB8" w:rsidRPr="004C78D8" w:rsidRDefault="00271DB8" w:rsidP="00FB7C1F">
            <w:pPr>
              <w:spacing w:after="0"/>
              <w:jc w:val="left"/>
              <w:rPr>
                <w:sz w:val="18"/>
                <w:szCs w:val="18"/>
              </w:rPr>
            </w:pPr>
            <w:r w:rsidRPr="004C78D8">
              <w:rPr>
                <w:sz w:val="18"/>
                <w:szCs w:val="18"/>
              </w:rPr>
              <w:t>Yes</w:t>
            </w:r>
          </w:p>
        </w:tc>
        <w:tc>
          <w:tcPr>
            <w:tcW w:w="851" w:type="dxa"/>
            <w:tcBorders>
              <w:top w:val="single" w:sz="4" w:space="0" w:color="auto"/>
              <w:left w:val="nil"/>
              <w:bottom w:val="nil"/>
            </w:tcBorders>
          </w:tcPr>
          <w:p w14:paraId="11C4524B" w14:textId="77777777" w:rsidR="00271DB8" w:rsidRPr="004C78D8" w:rsidRDefault="00271DB8" w:rsidP="00FB7C1F">
            <w:pPr>
              <w:spacing w:after="0"/>
              <w:jc w:val="left"/>
              <w:rPr>
                <w:sz w:val="18"/>
                <w:szCs w:val="18"/>
              </w:rPr>
            </w:pPr>
            <w:r w:rsidRPr="004C78D8">
              <w:rPr>
                <w:sz w:val="18"/>
                <w:szCs w:val="18"/>
              </w:rPr>
              <w:t>11 (41)</w:t>
            </w:r>
          </w:p>
        </w:tc>
      </w:tr>
      <w:tr w:rsidR="00271DB8" w:rsidRPr="004C78D8" w14:paraId="551244C9" w14:textId="77777777" w:rsidTr="002828C1">
        <w:tc>
          <w:tcPr>
            <w:tcW w:w="1696" w:type="dxa"/>
            <w:vMerge/>
            <w:tcBorders>
              <w:top w:val="single" w:sz="4" w:space="0" w:color="auto"/>
              <w:bottom w:val="single" w:sz="4" w:space="0" w:color="auto"/>
              <w:right w:val="nil"/>
            </w:tcBorders>
          </w:tcPr>
          <w:p w14:paraId="15B57404"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3261" w:type="dxa"/>
            <w:vMerge/>
            <w:tcBorders>
              <w:top w:val="single" w:sz="4" w:space="0" w:color="auto"/>
              <w:left w:val="nil"/>
              <w:bottom w:val="single" w:sz="4" w:space="0" w:color="auto"/>
              <w:right w:val="nil"/>
            </w:tcBorders>
          </w:tcPr>
          <w:p w14:paraId="6D307293"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1984" w:type="dxa"/>
            <w:tcBorders>
              <w:top w:val="nil"/>
              <w:left w:val="nil"/>
              <w:bottom w:val="single" w:sz="4" w:space="0" w:color="auto"/>
              <w:right w:val="nil"/>
            </w:tcBorders>
          </w:tcPr>
          <w:p w14:paraId="76A86949" w14:textId="77777777" w:rsidR="00271DB8" w:rsidRPr="004C78D8" w:rsidRDefault="00271DB8" w:rsidP="00FB7C1F">
            <w:pPr>
              <w:spacing w:after="0"/>
              <w:jc w:val="left"/>
              <w:rPr>
                <w:sz w:val="18"/>
                <w:szCs w:val="18"/>
              </w:rPr>
            </w:pPr>
            <w:r w:rsidRPr="004C78D8">
              <w:rPr>
                <w:sz w:val="18"/>
                <w:szCs w:val="18"/>
              </w:rPr>
              <w:t>No</w:t>
            </w:r>
          </w:p>
        </w:tc>
        <w:tc>
          <w:tcPr>
            <w:tcW w:w="851" w:type="dxa"/>
            <w:tcBorders>
              <w:top w:val="nil"/>
              <w:left w:val="nil"/>
              <w:bottom w:val="single" w:sz="4" w:space="0" w:color="auto"/>
            </w:tcBorders>
          </w:tcPr>
          <w:p w14:paraId="35DC0756" w14:textId="77777777" w:rsidR="00271DB8" w:rsidRPr="004C78D8" w:rsidRDefault="00271DB8" w:rsidP="00FB7C1F">
            <w:pPr>
              <w:spacing w:after="0"/>
              <w:jc w:val="left"/>
              <w:rPr>
                <w:sz w:val="18"/>
                <w:szCs w:val="18"/>
              </w:rPr>
            </w:pPr>
            <w:r w:rsidRPr="004C78D8">
              <w:rPr>
                <w:sz w:val="18"/>
                <w:szCs w:val="18"/>
              </w:rPr>
              <w:t>16 (59)</w:t>
            </w:r>
          </w:p>
        </w:tc>
      </w:tr>
      <w:tr w:rsidR="00271DB8" w:rsidRPr="004C78D8" w14:paraId="6DEA9C8F" w14:textId="77777777" w:rsidTr="002828C1">
        <w:tc>
          <w:tcPr>
            <w:tcW w:w="1696" w:type="dxa"/>
            <w:vMerge/>
            <w:tcBorders>
              <w:top w:val="single" w:sz="4" w:space="0" w:color="auto"/>
              <w:bottom w:val="single" w:sz="4" w:space="0" w:color="auto"/>
              <w:right w:val="nil"/>
            </w:tcBorders>
          </w:tcPr>
          <w:p w14:paraId="38E5A4FE"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3261" w:type="dxa"/>
            <w:vMerge w:val="restart"/>
            <w:tcBorders>
              <w:top w:val="single" w:sz="4" w:space="0" w:color="auto"/>
              <w:left w:val="nil"/>
              <w:bottom w:val="single" w:sz="4" w:space="0" w:color="auto"/>
              <w:right w:val="nil"/>
            </w:tcBorders>
          </w:tcPr>
          <w:p w14:paraId="5CF7732C" w14:textId="77777777" w:rsidR="00271DB8" w:rsidRPr="004C78D8" w:rsidRDefault="00271DB8" w:rsidP="00FB7C1F">
            <w:pPr>
              <w:spacing w:after="0"/>
              <w:jc w:val="left"/>
              <w:rPr>
                <w:sz w:val="18"/>
                <w:szCs w:val="18"/>
              </w:rPr>
            </w:pPr>
            <w:r w:rsidRPr="004C78D8">
              <w:rPr>
                <w:sz w:val="18"/>
                <w:szCs w:val="18"/>
              </w:rPr>
              <w:t>If yes, where was it? (% among Yes for previous question)</w:t>
            </w:r>
          </w:p>
        </w:tc>
        <w:tc>
          <w:tcPr>
            <w:tcW w:w="1984" w:type="dxa"/>
            <w:tcBorders>
              <w:top w:val="single" w:sz="4" w:space="0" w:color="auto"/>
              <w:left w:val="nil"/>
              <w:bottom w:val="nil"/>
              <w:right w:val="nil"/>
            </w:tcBorders>
          </w:tcPr>
          <w:p w14:paraId="1C0A4317" w14:textId="77777777" w:rsidR="00271DB8" w:rsidRPr="004C78D8" w:rsidRDefault="00271DB8" w:rsidP="00FB7C1F">
            <w:pPr>
              <w:spacing w:after="0"/>
              <w:jc w:val="left"/>
              <w:rPr>
                <w:sz w:val="18"/>
                <w:szCs w:val="18"/>
              </w:rPr>
            </w:pPr>
            <w:r w:rsidRPr="004C78D8">
              <w:rPr>
                <w:sz w:val="18"/>
                <w:szCs w:val="18"/>
              </w:rPr>
              <w:t>GP</w:t>
            </w:r>
          </w:p>
        </w:tc>
        <w:tc>
          <w:tcPr>
            <w:tcW w:w="851" w:type="dxa"/>
            <w:tcBorders>
              <w:top w:val="single" w:sz="4" w:space="0" w:color="auto"/>
              <w:left w:val="nil"/>
              <w:bottom w:val="nil"/>
            </w:tcBorders>
          </w:tcPr>
          <w:p w14:paraId="50BC969B" w14:textId="77777777" w:rsidR="00271DB8" w:rsidRPr="004C78D8" w:rsidRDefault="00271DB8" w:rsidP="00FB7C1F">
            <w:pPr>
              <w:spacing w:after="0"/>
              <w:jc w:val="left"/>
              <w:rPr>
                <w:sz w:val="18"/>
                <w:szCs w:val="18"/>
              </w:rPr>
            </w:pPr>
            <w:r w:rsidRPr="004C78D8">
              <w:rPr>
                <w:sz w:val="18"/>
                <w:szCs w:val="18"/>
              </w:rPr>
              <w:t>5 (45)</w:t>
            </w:r>
          </w:p>
        </w:tc>
      </w:tr>
      <w:tr w:rsidR="00271DB8" w:rsidRPr="004C78D8" w14:paraId="317FCE62" w14:textId="77777777" w:rsidTr="002828C1">
        <w:tc>
          <w:tcPr>
            <w:tcW w:w="1696" w:type="dxa"/>
            <w:vMerge/>
            <w:tcBorders>
              <w:top w:val="single" w:sz="4" w:space="0" w:color="auto"/>
              <w:bottom w:val="single" w:sz="4" w:space="0" w:color="auto"/>
              <w:right w:val="nil"/>
            </w:tcBorders>
          </w:tcPr>
          <w:p w14:paraId="5C851B80"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3261" w:type="dxa"/>
            <w:vMerge/>
            <w:tcBorders>
              <w:top w:val="single" w:sz="4" w:space="0" w:color="auto"/>
              <w:left w:val="nil"/>
              <w:bottom w:val="single" w:sz="4" w:space="0" w:color="auto"/>
              <w:right w:val="nil"/>
            </w:tcBorders>
          </w:tcPr>
          <w:p w14:paraId="797CD995"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1984" w:type="dxa"/>
            <w:tcBorders>
              <w:top w:val="nil"/>
              <w:left w:val="nil"/>
              <w:bottom w:val="nil"/>
              <w:right w:val="nil"/>
            </w:tcBorders>
          </w:tcPr>
          <w:p w14:paraId="45B43266" w14:textId="77777777" w:rsidR="00271DB8" w:rsidRPr="004C78D8" w:rsidRDefault="00271DB8" w:rsidP="00FB7C1F">
            <w:pPr>
              <w:spacing w:after="0"/>
              <w:jc w:val="left"/>
              <w:rPr>
                <w:sz w:val="18"/>
                <w:szCs w:val="18"/>
              </w:rPr>
            </w:pPr>
            <w:r w:rsidRPr="004C78D8">
              <w:rPr>
                <w:sz w:val="18"/>
                <w:szCs w:val="18"/>
              </w:rPr>
              <w:t>Social care</w:t>
            </w:r>
          </w:p>
        </w:tc>
        <w:tc>
          <w:tcPr>
            <w:tcW w:w="851" w:type="dxa"/>
            <w:tcBorders>
              <w:top w:val="nil"/>
              <w:left w:val="nil"/>
              <w:bottom w:val="nil"/>
            </w:tcBorders>
          </w:tcPr>
          <w:p w14:paraId="2CFE43E7" w14:textId="77777777" w:rsidR="00271DB8" w:rsidRPr="004C78D8" w:rsidRDefault="00271DB8" w:rsidP="00FB7C1F">
            <w:pPr>
              <w:spacing w:after="0"/>
              <w:jc w:val="left"/>
              <w:rPr>
                <w:sz w:val="18"/>
                <w:szCs w:val="18"/>
              </w:rPr>
            </w:pPr>
            <w:r w:rsidRPr="004C78D8">
              <w:rPr>
                <w:sz w:val="18"/>
                <w:szCs w:val="18"/>
              </w:rPr>
              <w:t>0 (0)</w:t>
            </w:r>
          </w:p>
        </w:tc>
      </w:tr>
      <w:tr w:rsidR="00271DB8" w:rsidRPr="004C78D8" w14:paraId="6C6467F1" w14:textId="77777777" w:rsidTr="002828C1">
        <w:tc>
          <w:tcPr>
            <w:tcW w:w="1696" w:type="dxa"/>
            <w:vMerge/>
            <w:tcBorders>
              <w:top w:val="single" w:sz="4" w:space="0" w:color="auto"/>
              <w:bottom w:val="single" w:sz="4" w:space="0" w:color="auto"/>
              <w:right w:val="nil"/>
            </w:tcBorders>
          </w:tcPr>
          <w:p w14:paraId="0F1D5ACC"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3261" w:type="dxa"/>
            <w:vMerge/>
            <w:tcBorders>
              <w:top w:val="single" w:sz="4" w:space="0" w:color="auto"/>
              <w:left w:val="nil"/>
              <w:bottom w:val="single" w:sz="4" w:space="0" w:color="auto"/>
              <w:right w:val="nil"/>
            </w:tcBorders>
          </w:tcPr>
          <w:p w14:paraId="74310BBD"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1984" w:type="dxa"/>
            <w:tcBorders>
              <w:top w:val="nil"/>
              <w:left w:val="nil"/>
              <w:bottom w:val="nil"/>
              <w:right w:val="nil"/>
            </w:tcBorders>
          </w:tcPr>
          <w:p w14:paraId="189C4461" w14:textId="77777777" w:rsidR="00271DB8" w:rsidRPr="004C78D8" w:rsidRDefault="00271DB8" w:rsidP="00FB7C1F">
            <w:pPr>
              <w:spacing w:after="0"/>
              <w:jc w:val="left"/>
              <w:rPr>
                <w:sz w:val="18"/>
                <w:szCs w:val="18"/>
              </w:rPr>
            </w:pPr>
            <w:r w:rsidRPr="004C78D8">
              <w:rPr>
                <w:sz w:val="18"/>
                <w:szCs w:val="18"/>
              </w:rPr>
              <w:t>Falls clinic</w:t>
            </w:r>
          </w:p>
        </w:tc>
        <w:tc>
          <w:tcPr>
            <w:tcW w:w="851" w:type="dxa"/>
            <w:tcBorders>
              <w:top w:val="nil"/>
              <w:left w:val="nil"/>
              <w:bottom w:val="nil"/>
            </w:tcBorders>
          </w:tcPr>
          <w:p w14:paraId="3DF7F450" w14:textId="77777777" w:rsidR="00271DB8" w:rsidRPr="004C78D8" w:rsidRDefault="00271DB8" w:rsidP="00FB7C1F">
            <w:pPr>
              <w:spacing w:after="0"/>
              <w:jc w:val="left"/>
              <w:rPr>
                <w:sz w:val="18"/>
                <w:szCs w:val="18"/>
              </w:rPr>
            </w:pPr>
            <w:r w:rsidRPr="004C78D8">
              <w:rPr>
                <w:sz w:val="18"/>
                <w:szCs w:val="18"/>
              </w:rPr>
              <w:t>3 (27)</w:t>
            </w:r>
          </w:p>
        </w:tc>
      </w:tr>
      <w:tr w:rsidR="00271DB8" w:rsidRPr="004C78D8" w14:paraId="26E191BC" w14:textId="77777777" w:rsidTr="002828C1">
        <w:tc>
          <w:tcPr>
            <w:tcW w:w="1696" w:type="dxa"/>
            <w:vMerge/>
            <w:tcBorders>
              <w:top w:val="single" w:sz="4" w:space="0" w:color="auto"/>
              <w:bottom w:val="single" w:sz="4" w:space="0" w:color="auto"/>
              <w:right w:val="nil"/>
            </w:tcBorders>
          </w:tcPr>
          <w:p w14:paraId="62F4824F"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3261" w:type="dxa"/>
            <w:vMerge/>
            <w:tcBorders>
              <w:top w:val="single" w:sz="4" w:space="0" w:color="auto"/>
              <w:left w:val="nil"/>
              <w:bottom w:val="single" w:sz="4" w:space="0" w:color="auto"/>
              <w:right w:val="nil"/>
            </w:tcBorders>
          </w:tcPr>
          <w:p w14:paraId="5937F0FB"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1984" w:type="dxa"/>
            <w:tcBorders>
              <w:top w:val="nil"/>
              <w:left w:val="nil"/>
              <w:bottom w:val="nil"/>
              <w:right w:val="nil"/>
            </w:tcBorders>
          </w:tcPr>
          <w:p w14:paraId="5224B6AF" w14:textId="77777777" w:rsidR="00271DB8" w:rsidRPr="004C78D8" w:rsidRDefault="00271DB8" w:rsidP="00FB7C1F">
            <w:pPr>
              <w:spacing w:after="0"/>
              <w:jc w:val="left"/>
              <w:rPr>
                <w:sz w:val="18"/>
                <w:szCs w:val="18"/>
              </w:rPr>
            </w:pPr>
            <w:r w:rsidRPr="004C78D8">
              <w:rPr>
                <w:sz w:val="18"/>
                <w:szCs w:val="18"/>
              </w:rPr>
              <w:t>A&amp;E</w:t>
            </w:r>
          </w:p>
        </w:tc>
        <w:tc>
          <w:tcPr>
            <w:tcW w:w="851" w:type="dxa"/>
            <w:tcBorders>
              <w:top w:val="nil"/>
              <w:left w:val="nil"/>
              <w:bottom w:val="nil"/>
            </w:tcBorders>
          </w:tcPr>
          <w:p w14:paraId="658127D2" w14:textId="77777777" w:rsidR="00271DB8" w:rsidRPr="004C78D8" w:rsidRDefault="00271DB8" w:rsidP="00FB7C1F">
            <w:pPr>
              <w:spacing w:after="0"/>
              <w:jc w:val="left"/>
              <w:rPr>
                <w:sz w:val="18"/>
                <w:szCs w:val="18"/>
              </w:rPr>
            </w:pPr>
            <w:r w:rsidRPr="004C78D8">
              <w:rPr>
                <w:sz w:val="18"/>
                <w:szCs w:val="18"/>
              </w:rPr>
              <w:t>0 (0)</w:t>
            </w:r>
          </w:p>
        </w:tc>
      </w:tr>
      <w:tr w:rsidR="00271DB8" w:rsidRPr="004C78D8" w14:paraId="2748E7FA" w14:textId="77777777" w:rsidTr="002828C1">
        <w:tc>
          <w:tcPr>
            <w:tcW w:w="1696" w:type="dxa"/>
            <w:vMerge/>
            <w:tcBorders>
              <w:top w:val="single" w:sz="4" w:space="0" w:color="auto"/>
              <w:bottom w:val="single" w:sz="4" w:space="0" w:color="auto"/>
              <w:right w:val="nil"/>
            </w:tcBorders>
          </w:tcPr>
          <w:p w14:paraId="36A0A919"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3261" w:type="dxa"/>
            <w:vMerge/>
            <w:tcBorders>
              <w:top w:val="single" w:sz="4" w:space="0" w:color="auto"/>
              <w:left w:val="nil"/>
              <w:bottom w:val="single" w:sz="4" w:space="0" w:color="auto"/>
              <w:right w:val="nil"/>
            </w:tcBorders>
          </w:tcPr>
          <w:p w14:paraId="4C83E8B7"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1984" w:type="dxa"/>
            <w:tcBorders>
              <w:top w:val="nil"/>
              <w:left w:val="nil"/>
              <w:bottom w:val="nil"/>
              <w:right w:val="nil"/>
            </w:tcBorders>
          </w:tcPr>
          <w:p w14:paraId="7B839D01" w14:textId="77777777" w:rsidR="00271DB8" w:rsidRPr="004C78D8" w:rsidRDefault="00271DB8" w:rsidP="00FB7C1F">
            <w:pPr>
              <w:spacing w:after="0"/>
              <w:jc w:val="left"/>
              <w:rPr>
                <w:sz w:val="18"/>
                <w:szCs w:val="18"/>
              </w:rPr>
            </w:pPr>
            <w:r w:rsidRPr="004C78D8">
              <w:rPr>
                <w:sz w:val="18"/>
                <w:szCs w:val="18"/>
              </w:rPr>
              <w:t>Hospital</w:t>
            </w:r>
          </w:p>
        </w:tc>
        <w:tc>
          <w:tcPr>
            <w:tcW w:w="851" w:type="dxa"/>
            <w:tcBorders>
              <w:top w:val="nil"/>
              <w:left w:val="nil"/>
              <w:bottom w:val="nil"/>
            </w:tcBorders>
          </w:tcPr>
          <w:p w14:paraId="032B181E" w14:textId="77777777" w:rsidR="00271DB8" w:rsidRPr="004C78D8" w:rsidRDefault="00271DB8" w:rsidP="00FB7C1F">
            <w:pPr>
              <w:spacing w:after="0"/>
              <w:jc w:val="left"/>
              <w:rPr>
                <w:sz w:val="18"/>
                <w:szCs w:val="18"/>
              </w:rPr>
            </w:pPr>
            <w:r w:rsidRPr="004C78D8">
              <w:rPr>
                <w:sz w:val="18"/>
                <w:szCs w:val="18"/>
              </w:rPr>
              <w:t>2 (18)</w:t>
            </w:r>
          </w:p>
        </w:tc>
      </w:tr>
      <w:tr w:rsidR="00271DB8" w:rsidRPr="004C78D8" w14:paraId="5CFA20FE" w14:textId="77777777" w:rsidTr="002828C1">
        <w:tc>
          <w:tcPr>
            <w:tcW w:w="1696" w:type="dxa"/>
            <w:vMerge/>
            <w:tcBorders>
              <w:top w:val="single" w:sz="4" w:space="0" w:color="auto"/>
              <w:bottom w:val="single" w:sz="4" w:space="0" w:color="auto"/>
              <w:right w:val="nil"/>
            </w:tcBorders>
          </w:tcPr>
          <w:p w14:paraId="32F83AB0"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3261" w:type="dxa"/>
            <w:vMerge/>
            <w:tcBorders>
              <w:top w:val="single" w:sz="4" w:space="0" w:color="auto"/>
              <w:left w:val="nil"/>
              <w:bottom w:val="single" w:sz="4" w:space="0" w:color="auto"/>
              <w:right w:val="nil"/>
            </w:tcBorders>
          </w:tcPr>
          <w:p w14:paraId="77F04CBF"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1984" w:type="dxa"/>
            <w:tcBorders>
              <w:top w:val="nil"/>
              <w:left w:val="nil"/>
              <w:bottom w:val="single" w:sz="4" w:space="0" w:color="auto"/>
              <w:right w:val="nil"/>
            </w:tcBorders>
          </w:tcPr>
          <w:p w14:paraId="58BD4148" w14:textId="77777777" w:rsidR="00271DB8" w:rsidRPr="004C78D8" w:rsidRDefault="00271DB8" w:rsidP="00FB7C1F">
            <w:pPr>
              <w:spacing w:after="0"/>
              <w:jc w:val="left"/>
              <w:rPr>
                <w:sz w:val="18"/>
                <w:szCs w:val="18"/>
              </w:rPr>
            </w:pPr>
            <w:r w:rsidRPr="004C78D8">
              <w:rPr>
                <w:sz w:val="18"/>
                <w:szCs w:val="18"/>
              </w:rPr>
              <w:t>Other</w:t>
            </w:r>
          </w:p>
        </w:tc>
        <w:tc>
          <w:tcPr>
            <w:tcW w:w="851" w:type="dxa"/>
            <w:tcBorders>
              <w:top w:val="nil"/>
              <w:left w:val="nil"/>
              <w:bottom w:val="single" w:sz="4" w:space="0" w:color="auto"/>
            </w:tcBorders>
          </w:tcPr>
          <w:p w14:paraId="6F7E57C5" w14:textId="77777777" w:rsidR="00271DB8" w:rsidRPr="004C78D8" w:rsidRDefault="00271DB8" w:rsidP="00FB7C1F">
            <w:pPr>
              <w:spacing w:after="0"/>
              <w:jc w:val="left"/>
              <w:rPr>
                <w:sz w:val="18"/>
                <w:szCs w:val="18"/>
              </w:rPr>
            </w:pPr>
            <w:r w:rsidRPr="004C78D8">
              <w:rPr>
                <w:sz w:val="18"/>
                <w:szCs w:val="18"/>
              </w:rPr>
              <w:t>1 (9)</w:t>
            </w:r>
          </w:p>
        </w:tc>
      </w:tr>
      <w:tr w:rsidR="00271DB8" w:rsidRPr="004C78D8" w14:paraId="55C9E723" w14:textId="77777777" w:rsidTr="002828C1">
        <w:tc>
          <w:tcPr>
            <w:tcW w:w="1696" w:type="dxa"/>
            <w:vMerge w:val="restart"/>
            <w:tcBorders>
              <w:top w:val="single" w:sz="4" w:space="0" w:color="auto"/>
              <w:bottom w:val="single" w:sz="4" w:space="0" w:color="auto"/>
              <w:right w:val="nil"/>
            </w:tcBorders>
          </w:tcPr>
          <w:p w14:paraId="02D09701"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r w:rsidRPr="004C78D8">
              <w:rPr>
                <w:sz w:val="18"/>
                <w:szCs w:val="18"/>
              </w:rPr>
              <w:t>Falls prevention service use in past year</w:t>
            </w:r>
          </w:p>
        </w:tc>
        <w:tc>
          <w:tcPr>
            <w:tcW w:w="3261" w:type="dxa"/>
            <w:vMerge w:val="restart"/>
            <w:tcBorders>
              <w:top w:val="single" w:sz="4" w:space="0" w:color="auto"/>
              <w:left w:val="nil"/>
              <w:right w:val="nil"/>
            </w:tcBorders>
          </w:tcPr>
          <w:p w14:paraId="173DB5F7"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r w:rsidRPr="004C78D8">
              <w:rPr>
                <w:sz w:val="18"/>
                <w:szCs w:val="18"/>
              </w:rPr>
              <w:t>Type of falls prevention service use</w:t>
            </w:r>
            <w:r w:rsidRPr="004C78D8">
              <w:rPr>
                <w:sz w:val="18"/>
                <w:szCs w:val="18"/>
                <w:vertAlign w:val="superscript"/>
              </w:rPr>
              <w:t>3</w:t>
            </w:r>
            <w:r w:rsidRPr="004C78D8">
              <w:rPr>
                <w:sz w:val="18"/>
                <w:szCs w:val="18"/>
              </w:rPr>
              <w:t xml:space="preserve"> </w:t>
            </w:r>
          </w:p>
        </w:tc>
        <w:tc>
          <w:tcPr>
            <w:tcW w:w="1984" w:type="dxa"/>
            <w:tcBorders>
              <w:top w:val="single" w:sz="4" w:space="0" w:color="auto"/>
              <w:left w:val="nil"/>
              <w:bottom w:val="nil"/>
              <w:right w:val="nil"/>
            </w:tcBorders>
          </w:tcPr>
          <w:p w14:paraId="357A8BD7" w14:textId="77777777" w:rsidR="00271DB8" w:rsidRPr="004C78D8" w:rsidRDefault="00271DB8" w:rsidP="00FB7C1F">
            <w:pPr>
              <w:spacing w:after="0"/>
              <w:jc w:val="left"/>
              <w:rPr>
                <w:sz w:val="18"/>
                <w:szCs w:val="18"/>
              </w:rPr>
            </w:pPr>
            <w:r w:rsidRPr="004C78D8">
              <w:rPr>
                <w:sz w:val="18"/>
                <w:szCs w:val="18"/>
              </w:rPr>
              <w:t>Physiotherapy</w:t>
            </w:r>
          </w:p>
        </w:tc>
        <w:tc>
          <w:tcPr>
            <w:tcW w:w="851" w:type="dxa"/>
            <w:tcBorders>
              <w:top w:val="single" w:sz="4" w:space="0" w:color="auto"/>
              <w:left w:val="nil"/>
              <w:bottom w:val="nil"/>
            </w:tcBorders>
          </w:tcPr>
          <w:p w14:paraId="3953900C" w14:textId="77777777" w:rsidR="00271DB8" w:rsidRPr="004C78D8" w:rsidRDefault="00271DB8" w:rsidP="00FB7C1F">
            <w:pPr>
              <w:spacing w:after="0"/>
              <w:jc w:val="left"/>
              <w:rPr>
                <w:sz w:val="18"/>
                <w:szCs w:val="18"/>
              </w:rPr>
            </w:pPr>
            <w:r w:rsidRPr="004C78D8">
              <w:rPr>
                <w:sz w:val="18"/>
                <w:szCs w:val="18"/>
              </w:rPr>
              <w:t>12</w:t>
            </w:r>
          </w:p>
        </w:tc>
      </w:tr>
      <w:tr w:rsidR="00271DB8" w:rsidRPr="004C78D8" w14:paraId="0B81CE07" w14:textId="77777777" w:rsidTr="002828C1">
        <w:tc>
          <w:tcPr>
            <w:tcW w:w="1696" w:type="dxa"/>
            <w:vMerge/>
            <w:tcBorders>
              <w:top w:val="single" w:sz="4" w:space="0" w:color="auto"/>
              <w:bottom w:val="single" w:sz="4" w:space="0" w:color="auto"/>
              <w:right w:val="nil"/>
            </w:tcBorders>
          </w:tcPr>
          <w:p w14:paraId="3DB50E32"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3261" w:type="dxa"/>
            <w:vMerge/>
            <w:tcBorders>
              <w:left w:val="nil"/>
              <w:right w:val="nil"/>
            </w:tcBorders>
          </w:tcPr>
          <w:p w14:paraId="65EE5DE4"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1984" w:type="dxa"/>
            <w:tcBorders>
              <w:top w:val="nil"/>
              <w:left w:val="nil"/>
              <w:bottom w:val="nil"/>
              <w:right w:val="nil"/>
            </w:tcBorders>
          </w:tcPr>
          <w:p w14:paraId="0494E9D8" w14:textId="77777777" w:rsidR="00271DB8" w:rsidRPr="004C78D8" w:rsidRDefault="00271DB8" w:rsidP="00FB7C1F">
            <w:pPr>
              <w:spacing w:after="0"/>
              <w:jc w:val="left"/>
              <w:rPr>
                <w:sz w:val="18"/>
                <w:szCs w:val="18"/>
              </w:rPr>
            </w:pPr>
            <w:r w:rsidRPr="004C78D8">
              <w:rPr>
                <w:sz w:val="18"/>
                <w:szCs w:val="18"/>
              </w:rPr>
              <w:t>Occupational therapy</w:t>
            </w:r>
          </w:p>
        </w:tc>
        <w:tc>
          <w:tcPr>
            <w:tcW w:w="851" w:type="dxa"/>
            <w:tcBorders>
              <w:top w:val="nil"/>
              <w:left w:val="nil"/>
              <w:bottom w:val="nil"/>
            </w:tcBorders>
          </w:tcPr>
          <w:p w14:paraId="5FDBBA2A" w14:textId="77777777" w:rsidR="00271DB8" w:rsidRPr="004C78D8" w:rsidRDefault="00271DB8" w:rsidP="00FB7C1F">
            <w:pPr>
              <w:spacing w:after="0"/>
              <w:jc w:val="left"/>
              <w:rPr>
                <w:sz w:val="18"/>
                <w:szCs w:val="18"/>
              </w:rPr>
            </w:pPr>
            <w:r w:rsidRPr="004C78D8">
              <w:rPr>
                <w:sz w:val="18"/>
                <w:szCs w:val="18"/>
              </w:rPr>
              <w:t>1</w:t>
            </w:r>
          </w:p>
        </w:tc>
      </w:tr>
      <w:tr w:rsidR="00271DB8" w:rsidRPr="004C78D8" w14:paraId="1D22CC99" w14:textId="77777777" w:rsidTr="002828C1">
        <w:tc>
          <w:tcPr>
            <w:tcW w:w="1696" w:type="dxa"/>
            <w:vMerge/>
            <w:tcBorders>
              <w:top w:val="single" w:sz="4" w:space="0" w:color="auto"/>
              <w:bottom w:val="single" w:sz="4" w:space="0" w:color="auto"/>
              <w:right w:val="nil"/>
            </w:tcBorders>
          </w:tcPr>
          <w:p w14:paraId="0DC9A42F"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3261" w:type="dxa"/>
            <w:vMerge/>
            <w:tcBorders>
              <w:left w:val="nil"/>
              <w:right w:val="nil"/>
            </w:tcBorders>
          </w:tcPr>
          <w:p w14:paraId="0BAC570D"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1984" w:type="dxa"/>
            <w:tcBorders>
              <w:top w:val="nil"/>
              <w:left w:val="nil"/>
              <w:bottom w:val="nil"/>
              <w:right w:val="nil"/>
            </w:tcBorders>
          </w:tcPr>
          <w:p w14:paraId="6D943522" w14:textId="77777777" w:rsidR="00271DB8" w:rsidRPr="004C78D8" w:rsidRDefault="00271DB8" w:rsidP="00FB7C1F">
            <w:pPr>
              <w:spacing w:after="0"/>
              <w:jc w:val="left"/>
              <w:rPr>
                <w:sz w:val="18"/>
                <w:szCs w:val="18"/>
              </w:rPr>
            </w:pPr>
            <w:r w:rsidRPr="004C78D8">
              <w:rPr>
                <w:sz w:val="18"/>
                <w:szCs w:val="18"/>
              </w:rPr>
              <w:t>HAM</w:t>
            </w:r>
          </w:p>
        </w:tc>
        <w:tc>
          <w:tcPr>
            <w:tcW w:w="851" w:type="dxa"/>
            <w:tcBorders>
              <w:top w:val="nil"/>
              <w:left w:val="nil"/>
              <w:bottom w:val="nil"/>
            </w:tcBorders>
          </w:tcPr>
          <w:p w14:paraId="69C74805" w14:textId="77777777" w:rsidR="00271DB8" w:rsidRPr="004C78D8" w:rsidRDefault="00271DB8" w:rsidP="00FB7C1F">
            <w:pPr>
              <w:spacing w:after="0"/>
              <w:jc w:val="left"/>
              <w:rPr>
                <w:sz w:val="18"/>
                <w:szCs w:val="18"/>
              </w:rPr>
            </w:pPr>
            <w:r w:rsidRPr="004C78D8">
              <w:rPr>
                <w:sz w:val="18"/>
                <w:szCs w:val="18"/>
              </w:rPr>
              <w:t>4</w:t>
            </w:r>
          </w:p>
        </w:tc>
      </w:tr>
      <w:tr w:rsidR="00271DB8" w:rsidRPr="004C78D8" w14:paraId="6F42C5F3" w14:textId="77777777" w:rsidTr="002828C1">
        <w:tc>
          <w:tcPr>
            <w:tcW w:w="1696" w:type="dxa"/>
            <w:vMerge/>
            <w:tcBorders>
              <w:top w:val="single" w:sz="4" w:space="0" w:color="auto"/>
              <w:bottom w:val="single" w:sz="4" w:space="0" w:color="auto"/>
              <w:right w:val="nil"/>
            </w:tcBorders>
          </w:tcPr>
          <w:p w14:paraId="5B0FC8D2"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3261" w:type="dxa"/>
            <w:vMerge/>
            <w:tcBorders>
              <w:left w:val="nil"/>
              <w:right w:val="nil"/>
            </w:tcBorders>
          </w:tcPr>
          <w:p w14:paraId="079805D2"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1984" w:type="dxa"/>
            <w:tcBorders>
              <w:top w:val="nil"/>
              <w:left w:val="nil"/>
              <w:bottom w:val="nil"/>
              <w:right w:val="nil"/>
            </w:tcBorders>
          </w:tcPr>
          <w:p w14:paraId="6E24017C" w14:textId="77777777" w:rsidR="00271DB8" w:rsidRPr="004C78D8" w:rsidRDefault="00271DB8" w:rsidP="00FB7C1F">
            <w:pPr>
              <w:spacing w:after="0"/>
              <w:jc w:val="left"/>
              <w:rPr>
                <w:sz w:val="18"/>
                <w:szCs w:val="18"/>
              </w:rPr>
            </w:pPr>
            <w:r w:rsidRPr="004C78D8">
              <w:rPr>
                <w:sz w:val="18"/>
                <w:szCs w:val="18"/>
              </w:rPr>
              <w:t>Medication change</w:t>
            </w:r>
          </w:p>
        </w:tc>
        <w:tc>
          <w:tcPr>
            <w:tcW w:w="851" w:type="dxa"/>
            <w:tcBorders>
              <w:top w:val="nil"/>
              <w:left w:val="nil"/>
              <w:bottom w:val="nil"/>
            </w:tcBorders>
          </w:tcPr>
          <w:p w14:paraId="7659D4B9" w14:textId="77777777" w:rsidR="00271DB8" w:rsidRPr="004C78D8" w:rsidRDefault="00271DB8" w:rsidP="00FB7C1F">
            <w:pPr>
              <w:spacing w:after="0"/>
              <w:jc w:val="left"/>
              <w:rPr>
                <w:sz w:val="18"/>
                <w:szCs w:val="18"/>
              </w:rPr>
            </w:pPr>
            <w:r w:rsidRPr="004C78D8">
              <w:rPr>
                <w:sz w:val="18"/>
                <w:szCs w:val="18"/>
              </w:rPr>
              <w:t>0</w:t>
            </w:r>
          </w:p>
        </w:tc>
      </w:tr>
      <w:tr w:rsidR="00271DB8" w:rsidRPr="004C78D8" w14:paraId="7D5CA7E0" w14:textId="77777777" w:rsidTr="002828C1">
        <w:tc>
          <w:tcPr>
            <w:tcW w:w="1696" w:type="dxa"/>
            <w:vMerge/>
            <w:tcBorders>
              <w:top w:val="single" w:sz="4" w:space="0" w:color="auto"/>
              <w:bottom w:val="single" w:sz="4" w:space="0" w:color="auto"/>
              <w:right w:val="nil"/>
            </w:tcBorders>
          </w:tcPr>
          <w:p w14:paraId="6FB0E825"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3261" w:type="dxa"/>
            <w:vMerge/>
            <w:tcBorders>
              <w:left w:val="nil"/>
              <w:right w:val="nil"/>
            </w:tcBorders>
          </w:tcPr>
          <w:p w14:paraId="70C6D0CB"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1984" w:type="dxa"/>
            <w:tcBorders>
              <w:top w:val="nil"/>
              <w:left w:val="nil"/>
              <w:bottom w:val="nil"/>
              <w:right w:val="nil"/>
            </w:tcBorders>
          </w:tcPr>
          <w:p w14:paraId="1644F79B" w14:textId="77777777" w:rsidR="00271DB8" w:rsidRPr="004C78D8" w:rsidRDefault="00271DB8" w:rsidP="00FB7C1F">
            <w:pPr>
              <w:spacing w:after="0"/>
              <w:jc w:val="left"/>
              <w:rPr>
                <w:sz w:val="18"/>
                <w:szCs w:val="18"/>
              </w:rPr>
            </w:pPr>
            <w:r w:rsidRPr="004C78D8">
              <w:rPr>
                <w:sz w:val="18"/>
                <w:szCs w:val="18"/>
              </w:rPr>
              <w:t>Vision surgery</w:t>
            </w:r>
          </w:p>
        </w:tc>
        <w:tc>
          <w:tcPr>
            <w:tcW w:w="851" w:type="dxa"/>
            <w:tcBorders>
              <w:top w:val="nil"/>
              <w:left w:val="nil"/>
              <w:bottom w:val="nil"/>
            </w:tcBorders>
          </w:tcPr>
          <w:p w14:paraId="6EDBB286" w14:textId="77777777" w:rsidR="00271DB8" w:rsidRPr="004C78D8" w:rsidRDefault="00271DB8" w:rsidP="00FB7C1F">
            <w:pPr>
              <w:spacing w:after="0"/>
              <w:jc w:val="left"/>
              <w:rPr>
                <w:sz w:val="18"/>
                <w:szCs w:val="18"/>
              </w:rPr>
            </w:pPr>
            <w:r w:rsidRPr="004C78D8">
              <w:rPr>
                <w:sz w:val="18"/>
                <w:szCs w:val="18"/>
              </w:rPr>
              <w:t>5</w:t>
            </w:r>
          </w:p>
        </w:tc>
      </w:tr>
      <w:tr w:rsidR="00271DB8" w:rsidRPr="004C78D8" w14:paraId="58ACB828" w14:textId="77777777" w:rsidTr="002828C1">
        <w:tc>
          <w:tcPr>
            <w:tcW w:w="1696" w:type="dxa"/>
            <w:vMerge/>
            <w:tcBorders>
              <w:top w:val="single" w:sz="4" w:space="0" w:color="auto"/>
              <w:bottom w:val="single" w:sz="4" w:space="0" w:color="auto"/>
              <w:right w:val="nil"/>
            </w:tcBorders>
          </w:tcPr>
          <w:p w14:paraId="66A13D79"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3261" w:type="dxa"/>
            <w:vMerge/>
            <w:tcBorders>
              <w:left w:val="nil"/>
              <w:right w:val="nil"/>
            </w:tcBorders>
          </w:tcPr>
          <w:p w14:paraId="52C049F6"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1984" w:type="dxa"/>
            <w:tcBorders>
              <w:top w:val="nil"/>
              <w:left w:val="nil"/>
              <w:bottom w:val="nil"/>
              <w:right w:val="nil"/>
            </w:tcBorders>
          </w:tcPr>
          <w:p w14:paraId="35E237A3" w14:textId="77777777" w:rsidR="00271DB8" w:rsidRPr="004C78D8" w:rsidRDefault="00271DB8" w:rsidP="00FB7C1F">
            <w:pPr>
              <w:spacing w:after="0"/>
              <w:jc w:val="left"/>
              <w:rPr>
                <w:sz w:val="18"/>
                <w:szCs w:val="18"/>
              </w:rPr>
            </w:pPr>
            <w:r w:rsidRPr="004C78D8">
              <w:rPr>
                <w:sz w:val="18"/>
                <w:szCs w:val="18"/>
              </w:rPr>
              <w:t>Vit D supplement</w:t>
            </w:r>
          </w:p>
        </w:tc>
        <w:tc>
          <w:tcPr>
            <w:tcW w:w="851" w:type="dxa"/>
            <w:tcBorders>
              <w:top w:val="nil"/>
              <w:left w:val="nil"/>
              <w:bottom w:val="nil"/>
            </w:tcBorders>
          </w:tcPr>
          <w:p w14:paraId="427D36D1" w14:textId="77777777" w:rsidR="00271DB8" w:rsidRPr="004C78D8" w:rsidRDefault="00271DB8" w:rsidP="00FB7C1F">
            <w:pPr>
              <w:spacing w:after="0"/>
              <w:jc w:val="left"/>
              <w:rPr>
                <w:sz w:val="18"/>
                <w:szCs w:val="18"/>
              </w:rPr>
            </w:pPr>
            <w:r w:rsidRPr="004C78D8">
              <w:rPr>
                <w:sz w:val="18"/>
                <w:szCs w:val="18"/>
              </w:rPr>
              <w:t>6</w:t>
            </w:r>
          </w:p>
        </w:tc>
      </w:tr>
      <w:tr w:rsidR="00271DB8" w:rsidRPr="004C78D8" w14:paraId="2764183A" w14:textId="77777777" w:rsidTr="002828C1">
        <w:tc>
          <w:tcPr>
            <w:tcW w:w="1696" w:type="dxa"/>
            <w:vMerge/>
            <w:tcBorders>
              <w:top w:val="single" w:sz="4" w:space="0" w:color="auto"/>
              <w:bottom w:val="single" w:sz="4" w:space="0" w:color="auto"/>
              <w:right w:val="nil"/>
            </w:tcBorders>
          </w:tcPr>
          <w:p w14:paraId="7521B443"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3261" w:type="dxa"/>
            <w:vMerge/>
            <w:tcBorders>
              <w:left w:val="nil"/>
              <w:right w:val="nil"/>
            </w:tcBorders>
          </w:tcPr>
          <w:p w14:paraId="290D7776"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1984" w:type="dxa"/>
            <w:tcBorders>
              <w:top w:val="nil"/>
              <w:left w:val="nil"/>
              <w:bottom w:val="nil"/>
              <w:right w:val="nil"/>
            </w:tcBorders>
          </w:tcPr>
          <w:p w14:paraId="04ACACEF" w14:textId="77777777" w:rsidR="00271DB8" w:rsidRPr="004C78D8" w:rsidRDefault="00271DB8" w:rsidP="00FB7C1F">
            <w:pPr>
              <w:spacing w:after="0"/>
              <w:jc w:val="left"/>
              <w:rPr>
                <w:sz w:val="18"/>
                <w:szCs w:val="18"/>
              </w:rPr>
            </w:pPr>
            <w:r w:rsidRPr="004C78D8">
              <w:rPr>
                <w:sz w:val="18"/>
                <w:szCs w:val="18"/>
              </w:rPr>
              <w:t>Assistive device</w:t>
            </w:r>
          </w:p>
        </w:tc>
        <w:tc>
          <w:tcPr>
            <w:tcW w:w="851" w:type="dxa"/>
            <w:tcBorders>
              <w:top w:val="nil"/>
              <w:left w:val="nil"/>
              <w:bottom w:val="nil"/>
            </w:tcBorders>
          </w:tcPr>
          <w:p w14:paraId="6F72EFBD" w14:textId="77777777" w:rsidR="00271DB8" w:rsidRPr="004C78D8" w:rsidRDefault="00271DB8" w:rsidP="00FB7C1F">
            <w:pPr>
              <w:spacing w:after="0"/>
              <w:jc w:val="left"/>
              <w:rPr>
                <w:sz w:val="18"/>
                <w:szCs w:val="18"/>
              </w:rPr>
            </w:pPr>
            <w:r w:rsidRPr="004C78D8">
              <w:rPr>
                <w:sz w:val="18"/>
                <w:szCs w:val="18"/>
              </w:rPr>
              <w:t>7</w:t>
            </w:r>
          </w:p>
        </w:tc>
      </w:tr>
      <w:tr w:rsidR="00271DB8" w:rsidRPr="004C78D8" w14:paraId="48049526" w14:textId="77777777" w:rsidTr="002828C1">
        <w:tc>
          <w:tcPr>
            <w:tcW w:w="1696" w:type="dxa"/>
            <w:vMerge/>
            <w:tcBorders>
              <w:top w:val="single" w:sz="4" w:space="0" w:color="auto"/>
              <w:bottom w:val="single" w:sz="4" w:space="0" w:color="auto"/>
              <w:right w:val="nil"/>
            </w:tcBorders>
          </w:tcPr>
          <w:p w14:paraId="46023892"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3261" w:type="dxa"/>
            <w:vMerge/>
            <w:tcBorders>
              <w:left w:val="nil"/>
              <w:right w:val="nil"/>
            </w:tcBorders>
          </w:tcPr>
          <w:p w14:paraId="5E410829"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1984" w:type="dxa"/>
            <w:tcBorders>
              <w:top w:val="nil"/>
              <w:left w:val="nil"/>
              <w:bottom w:val="nil"/>
              <w:right w:val="nil"/>
            </w:tcBorders>
          </w:tcPr>
          <w:p w14:paraId="7FE305E6" w14:textId="77777777" w:rsidR="00271DB8" w:rsidRPr="004C78D8" w:rsidRDefault="00271DB8" w:rsidP="00FB7C1F">
            <w:pPr>
              <w:spacing w:after="0"/>
              <w:jc w:val="left"/>
              <w:rPr>
                <w:sz w:val="18"/>
                <w:szCs w:val="18"/>
              </w:rPr>
            </w:pPr>
            <w:r w:rsidRPr="004C78D8">
              <w:rPr>
                <w:sz w:val="18"/>
                <w:szCs w:val="18"/>
              </w:rPr>
              <w:t>Footwear change</w:t>
            </w:r>
          </w:p>
        </w:tc>
        <w:tc>
          <w:tcPr>
            <w:tcW w:w="851" w:type="dxa"/>
            <w:tcBorders>
              <w:top w:val="nil"/>
              <w:left w:val="nil"/>
              <w:bottom w:val="nil"/>
            </w:tcBorders>
          </w:tcPr>
          <w:p w14:paraId="4366562B" w14:textId="77777777" w:rsidR="00271DB8" w:rsidRPr="004C78D8" w:rsidRDefault="00271DB8" w:rsidP="00FB7C1F">
            <w:pPr>
              <w:spacing w:after="0"/>
              <w:jc w:val="left"/>
              <w:rPr>
                <w:sz w:val="18"/>
                <w:szCs w:val="18"/>
              </w:rPr>
            </w:pPr>
            <w:r w:rsidRPr="004C78D8">
              <w:rPr>
                <w:sz w:val="18"/>
                <w:szCs w:val="18"/>
              </w:rPr>
              <w:t>6</w:t>
            </w:r>
          </w:p>
        </w:tc>
      </w:tr>
      <w:tr w:rsidR="00271DB8" w:rsidRPr="004C78D8" w14:paraId="4F4D0E8B" w14:textId="77777777" w:rsidTr="002828C1">
        <w:tc>
          <w:tcPr>
            <w:tcW w:w="1696" w:type="dxa"/>
            <w:vMerge/>
            <w:tcBorders>
              <w:top w:val="single" w:sz="4" w:space="0" w:color="auto"/>
              <w:right w:val="nil"/>
            </w:tcBorders>
          </w:tcPr>
          <w:p w14:paraId="72DAB15D"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3261" w:type="dxa"/>
            <w:vMerge/>
            <w:tcBorders>
              <w:left w:val="nil"/>
              <w:right w:val="nil"/>
            </w:tcBorders>
          </w:tcPr>
          <w:p w14:paraId="4AD31F77" w14:textId="77777777" w:rsidR="00271DB8" w:rsidRPr="004C78D8" w:rsidRDefault="00271DB8" w:rsidP="00FB7C1F">
            <w:pPr>
              <w:widowControl w:val="0"/>
              <w:pBdr>
                <w:top w:val="nil"/>
                <w:left w:val="nil"/>
                <w:bottom w:val="nil"/>
                <w:right w:val="nil"/>
                <w:between w:val="nil"/>
              </w:pBdr>
              <w:spacing w:after="0" w:line="276" w:lineRule="auto"/>
              <w:jc w:val="left"/>
              <w:rPr>
                <w:sz w:val="18"/>
                <w:szCs w:val="18"/>
              </w:rPr>
            </w:pPr>
          </w:p>
        </w:tc>
        <w:tc>
          <w:tcPr>
            <w:tcW w:w="1984" w:type="dxa"/>
            <w:tcBorders>
              <w:top w:val="nil"/>
              <w:left w:val="nil"/>
              <w:bottom w:val="single" w:sz="4" w:space="0" w:color="000000"/>
              <w:right w:val="nil"/>
            </w:tcBorders>
          </w:tcPr>
          <w:p w14:paraId="206AFA9D" w14:textId="77777777" w:rsidR="00271DB8" w:rsidRPr="004C78D8" w:rsidRDefault="00271DB8" w:rsidP="00FB7C1F">
            <w:pPr>
              <w:spacing w:after="0"/>
              <w:jc w:val="left"/>
              <w:rPr>
                <w:sz w:val="18"/>
                <w:szCs w:val="18"/>
              </w:rPr>
            </w:pPr>
            <w:r w:rsidRPr="004C78D8">
              <w:rPr>
                <w:sz w:val="18"/>
                <w:szCs w:val="18"/>
              </w:rPr>
              <w:t>Falls education</w:t>
            </w:r>
          </w:p>
        </w:tc>
        <w:tc>
          <w:tcPr>
            <w:tcW w:w="851" w:type="dxa"/>
            <w:tcBorders>
              <w:top w:val="nil"/>
              <w:left w:val="nil"/>
              <w:bottom w:val="single" w:sz="4" w:space="0" w:color="000000"/>
            </w:tcBorders>
          </w:tcPr>
          <w:p w14:paraId="431D1F78" w14:textId="77777777" w:rsidR="00271DB8" w:rsidRPr="004C78D8" w:rsidRDefault="00271DB8" w:rsidP="00FB7C1F">
            <w:pPr>
              <w:spacing w:after="0"/>
              <w:jc w:val="left"/>
              <w:rPr>
                <w:sz w:val="18"/>
                <w:szCs w:val="18"/>
              </w:rPr>
            </w:pPr>
            <w:r w:rsidRPr="004C78D8">
              <w:rPr>
                <w:sz w:val="18"/>
                <w:szCs w:val="18"/>
              </w:rPr>
              <w:t>12</w:t>
            </w:r>
          </w:p>
        </w:tc>
      </w:tr>
      <w:tr w:rsidR="00271DB8" w:rsidRPr="004C78D8" w14:paraId="5B64981D" w14:textId="77777777" w:rsidTr="002828C1">
        <w:tc>
          <w:tcPr>
            <w:tcW w:w="7792" w:type="dxa"/>
            <w:gridSpan w:val="4"/>
          </w:tcPr>
          <w:p w14:paraId="5A33BD11" w14:textId="40EB3F27" w:rsidR="00271DB8" w:rsidRPr="004C78D8" w:rsidRDefault="00D10D5E" w:rsidP="00FB7C1F">
            <w:pPr>
              <w:spacing w:after="0"/>
              <w:rPr>
                <w:sz w:val="18"/>
                <w:szCs w:val="18"/>
              </w:rPr>
            </w:pPr>
            <w:r w:rsidRPr="004C78D8">
              <w:rPr>
                <w:b/>
                <w:bCs/>
                <w:sz w:val="18"/>
                <w:szCs w:val="18"/>
              </w:rPr>
              <w:t>Abbreviation</w:t>
            </w:r>
            <w:r w:rsidR="00271DB8" w:rsidRPr="004C78D8">
              <w:rPr>
                <w:b/>
                <w:bCs/>
                <w:sz w:val="18"/>
                <w:szCs w:val="18"/>
              </w:rPr>
              <w:t xml:space="preserve">: </w:t>
            </w:r>
            <w:r w:rsidR="00271DB8" w:rsidRPr="004C78D8">
              <w:rPr>
                <w:sz w:val="18"/>
                <w:szCs w:val="18"/>
              </w:rPr>
              <w:t xml:space="preserve">HAM: home assessment and modification </w:t>
            </w:r>
          </w:p>
          <w:p w14:paraId="0DE91576" w14:textId="6B43CD28" w:rsidR="00271DB8" w:rsidRPr="004C78D8" w:rsidRDefault="00271DB8" w:rsidP="00FB7C1F">
            <w:pPr>
              <w:spacing w:after="0"/>
              <w:rPr>
                <w:sz w:val="18"/>
                <w:szCs w:val="18"/>
              </w:rPr>
            </w:pPr>
            <w:r w:rsidRPr="004C78D8">
              <w:rPr>
                <w:sz w:val="18"/>
                <w:szCs w:val="18"/>
                <w:vertAlign w:val="superscript"/>
              </w:rPr>
              <w:t xml:space="preserve">1 </w:t>
            </w:r>
            <w:r w:rsidRPr="004C78D8">
              <w:rPr>
                <w:sz w:val="18"/>
                <w:szCs w:val="18"/>
              </w:rPr>
              <w:t>At least GP visit</w:t>
            </w:r>
            <w:r w:rsidR="005E3C21" w:rsidRPr="004C78D8">
              <w:rPr>
                <w:sz w:val="18"/>
                <w:szCs w:val="18"/>
              </w:rPr>
              <w:t>.</w:t>
            </w:r>
          </w:p>
          <w:p w14:paraId="41E91301" w14:textId="39D80E0C" w:rsidR="00271DB8" w:rsidRPr="004C78D8" w:rsidRDefault="00271DB8" w:rsidP="00FB7C1F">
            <w:pPr>
              <w:spacing w:after="0"/>
              <w:rPr>
                <w:sz w:val="18"/>
                <w:szCs w:val="18"/>
              </w:rPr>
            </w:pPr>
            <w:r w:rsidRPr="004C78D8">
              <w:rPr>
                <w:sz w:val="18"/>
                <w:szCs w:val="18"/>
                <w:vertAlign w:val="superscript"/>
              </w:rPr>
              <w:t>2</w:t>
            </w:r>
            <w:r w:rsidRPr="004C78D8">
              <w:rPr>
                <w:sz w:val="18"/>
                <w:szCs w:val="18"/>
              </w:rPr>
              <w:t xml:space="preserve"> Suggested option</w:t>
            </w:r>
            <w:r w:rsidR="005E3C21" w:rsidRPr="004C78D8">
              <w:rPr>
                <w:sz w:val="18"/>
                <w:szCs w:val="18"/>
              </w:rPr>
              <w:t>s</w:t>
            </w:r>
            <w:r w:rsidRPr="004C78D8">
              <w:rPr>
                <w:sz w:val="18"/>
                <w:szCs w:val="18"/>
              </w:rPr>
              <w:t xml:space="preserve"> were Chairobics, Pilates, dancing, swimming and group walks with additional space for participants to state other exercise/physical activity types.</w:t>
            </w:r>
          </w:p>
          <w:p w14:paraId="258ADD9D" w14:textId="71D41FF2" w:rsidR="00271DB8" w:rsidRPr="004C78D8" w:rsidRDefault="00271DB8" w:rsidP="00FB7C1F">
            <w:pPr>
              <w:spacing w:after="0"/>
              <w:rPr>
                <w:sz w:val="20"/>
                <w:szCs w:val="20"/>
              </w:rPr>
            </w:pPr>
            <w:r w:rsidRPr="004C78D8">
              <w:rPr>
                <w:sz w:val="18"/>
                <w:szCs w:val="18"/>
                <w:vertAlign w:val="superscript"/>
              </w:rPr>
              <w:lastRenderedPageBreak/>
              <w:t>3</w:t>
            </w:r>
            <w:r w:rsidRPr="004C78D8">
              <w:rPr>
                <w:sz w:val="18"/>
                <w:szCs w:val="18"/>
              </w:rPr>
              <w:t xml:space="preserve"> The list of services was taken from Cochrane systematic review of falls prevention trials </w:t>
            </w:r>
            <w:r w:rsidRPr="004C78D8">
              <w:rPr>
                <w:sz w:val="18"/>
                <w:szCs w:val="18"/>
              </w:rPr>
              <w:fldChar w:fldCharType="begin"/>
            </w:r>
            <w:r w:rsidR="00513646" w:rsidRPr="004C78D8">
              <w:rPr>
                <w:sz w:val="18"/>
                <w:szCs w:val="18"/>
              </w:rPr>
              <w:instrText xml:space="preserve"> ADDIN EN.CITE &lt;EndNote&gt;&lt;Cite&gt;&lt;Author&gt;Gillespie&lt;/Author&gt;&lt;Year&gt;2012&lt;/Year&gt;&lt;RecNum&gt;52&lt;/RecNum&gt;&lt;DisplayText&gt;[124]&lt;/DisplayText&gt;&lt;record&gt;&lt;rec-number&gt;52&lt;/rec-number&gt;&lt;foreign-keys&gt;&lt;key app="EN" db-id="tdtrdw9aepptzbefsat599syza29sxsd2wsp" timestamp="1597844815"&gt;52&lt;/key&gt;&lt;/foreign-keys&gt;&lt;ref-type name="Journal Article"&gt;17&lt;/ref-type&gt;&lt;contributors&gt;&lt;authors&gt;&lt;author&gt;Gillespie, Lesley D&lt;/author&gt;&lt;author&gt;Robertson, M Clare&lt;/author&gt;&lt;author&gt;Gillespie, William J&lt;/author&gt;&lt;author&gt;Sherrington, Catherine&lt;/author&gt;&lt;author&gt;Gates, Simon&lt;/author&gt;&lt;author&gt;Clemson, Lindy M&lt;/author&gt;&lt;author&gt;Lamb, Sarah E&lt;/author&gt;&lt;/authors&gt;&lt;/contributors&gt;&lt;titles&gt;&lt;title&gt;Interventions for preventing falls in older people living in the community&lt;/title&gt;&lt;secondary-title&gt;Cochrane database of systematic reviews&lt;/secondary-title&gt;&lt;/titles&gt;&lt;periodical&gt;&lt;full-title&gt;Cochrane database of systematic reviews&lt;/full-title&gt;&lt;/periodical&gt;&lt;number&gt;9&lt;/number&gt;&lt;dates&gt;&lt;year&gt;2012&lt;/year&gt;&lt;/dates&gt;&lt;isbn&gt;1465-1858&lt;/isbn&gt;&lt;urls&gt;&lt;/urls&gt;&lt;/record&gt;&lt;/Cite&gt;&lt;/EndNote&gt;</w:instrText>
            </w:r>
            <w:r w:rsidRPr="004C78D8">
              <w:rPr>
                <w:sz w:val="18"/>
                <w:szCs w:val="18"/>
              </w:rPr>
              <w:fldChar w:fldCharType="separate"/>
            </w:r>
            <w:r w:rsidR="00513646" w:rsidRPr="004C78D8">
              <w:rPr>
                <w:noProof/>
                <w:sz w:val="18"/>
                <w:szCs w:val="18"/>
              </w:rPr>
              <w:t>[124]</w:t>
            </w:r>
            <w:r w:rsidRPr="004C78D8">
              <w:rPr>
                <w:sz w:val="18"/>
                <w:szCs w:val="18"/>
              </w:rPr>
              <w:fldChar w:fldCharType="end"/>
            </w:r>
            <w:r w:rsidRPr="004C78D8">
              <w:rPr>
                <w:sz w:val="18"/>
                <w:szCs w:val="18"/>
              </w:rPr>
              <w:t xml:space="preserve">. However, the questionnaire did not explicitly label these services as falls prevention interventions in order to invite responses from participants who may have received a multi-purpose service (e.g., physiotherapy or vitamin D supplementation) without awareness of its falls prevention property. Overall, 21 participants (78%) indicated use of one or more service. </w:t>
            </w:r>
          </w:p>
        </w:tc>
      </w:tr>
    </w:tbl>
    <w:p w14:paraId="3D2C86B3" w14:textId="77777777" w:rsidR="00271DB8" w:rsidRPr="004C78D8" w:rsidRDefault="00271DB8" w:rsidP="00FB7C1F">
      <w:pPr>
        <w:spacing w:line="480" w:lineRule="auto"/>
      </w:pPr>
    </w:p>
    <w:p w14:paraId="703845A9" w14:textId="35961DDF" w:rsidR="00271DB8" w:rsidRPr="004C78D8" w:rsidRDefault="00271DB8" w:rsidP="00FB7C1F">
      <w:pPr>
        <w:spacing w:line="276" w:lineRule="auto"/>
      </w:pPr>
      <w:r w:rsidRPr="004C78D8">
        <w:t xml:space="preserve">Regarding current access to falls prevention, 11 reported having spoken to a professional about falls risk. Nevertheless, 21 reported recent use of services with some falls prevention properties </w:t>
      </w:r>
      <w:r w:rsidRPr="004C78D8">
        <w:fldChar w:fldCharType="begin"/>
      </w:r>
      <w:r w:rsidR="00513646" w:rsidRPr="004C78D8">
        <w:instrText xml:space="preserve"> ADDIN EN.CITE &lt;EndNote&gt;&lt;Cite&gt;&lt;Author&gt;Gillespie&lt;/Author&gt;&lt;Year&gt;2012&lt;/Year&gt;&lt;RecNum&gt;52&lt;/RecNum&gt;&lt;DisplayText&gt;[124]&lt;/DisplayText&gt;&lt;record&gt;&lt;rec-number&gt;52&lt;/rec-number&gt;&lt;foreign-keys&gt;&lt;key app="EN" db-id="tdtrdw9aepptzbefsat599syza29sxsd2wsp" timestamp="1597844815"&gt;52&lt;/key&gt;&lt;/foreign-keys&gt;&lt;ref-type name="Journal Article"&gt;17&lt;/ref-type&gt;&lt;contributors&gt;&lt;authors&gt;&lt;author&gt;Gillespie, Lesley D&lt;/author&gt;&lt;author&gt;Robertson, M Clare&lt;/author&gt;&lt;author&gt;Gillespie, William J&lt;/author&gt;&lt;author&gt;Sherrington, Catherine&lt;/author&gt;&lt;author&gt;Gates, Simon&lt;/author&gt;&lt;author&gt;Clemson, Lindy M&lt;/author&gt;&lt;author&gt;Lamb, Sarah E&lt;/author&gt;&lt;/authors&gt;&lt;/contributors&gt;&lt;titles&gt;&lt;title&gt;Interventions for preventing falls in older people living in the community&lt;/title&gt;&lt;secondary-title&gt;Cochrane database of systematic reviews&lt;/secondary-title&gt;&lt;/titles&gt;&lt;periodical&gt;&lt;full-title&gt;Cochrane database of systematic reviews&lt;/full-title&gt;&lt;/periodical&gt;&lt;number&gt;9&lt;/number&gt;&lt;dates&gt;&lt;year&gt;2012&lt;/year&gt;&lt;/dates&gt;&lt;isbn&gt;1465-1858&lt;/isbn&gt;&lt;urls&gt;&lt;/urls&gt;&lt;/record&gt;&lt;/Cite&gt;&lt;/EndNote&gt;</w:instrText>
      </w:r>
      <w:r w:rsidRPr="004C78D8">
        <w:fldChar w:fldCharType="separate"/>
      </w:r>
      <w:r w:rsidR="00513646" w:rsidRPr="004C78D8">
        <w:rPr>
          <w:noProof/>
        </w:rPr>
        <w:t>[124]</w:t>
      </w:r>
      <w:r w:rsidRPr="004C78D8">
        <w:fldChar w:fldCharType="end"/>
      </w:r>
      <w:r w:rsidRPr="004C78D8">
        <w:t xml:space="preserve">, suggesting that the main falls prevention pathway under current practice is self-referral by older persons. Of the 21 users, 13 reported accessing multiple interventions. The most widely accessed services were physiotherapy and falls education. </w:t>
      </w:r>
    </w:p>
    <w:p w14:paraId="4642BD32" w14:textId="6533F9B2" w:rsidR="00A11CAC" w:rsidRPr="004C78D8" w:rsidRDefault="00A11CAC" w:rsidP="00FB7C1F">
      <w:pPr>
        <w:pStyle w:val="Heading3"/>
      </w:pPr>
      <w:bookmarkStart w:id="51" w:name="_Toc111630709"/>
      <w:r w:rsidRPr="004C78D8">
        <w:t>2.4.2 Framework (I): Facilitators and barriers and cross-component and contextual factors</w:t>
      </w:r>
      <w:bookmarkEnd w:id="51"/>
    </w:p>
    <w:p w14:paraId="35C9EDE7" w14:textId="1B7AE475" w:rsidR="007F5500" w:rsidRPr="004C78D8" w:rsidRDefault="007F5500" w:rsidP="00FB7C1F">
      <w:pPr>
        <w:spacing w:line="276" w:lineRule="auto"/>
      </w:pPr>
      <w:r w:rsidRPr="004C78D8">
        <w:t xml:space="preserve">Table 2.2 summarises the identified facilitators and barriers to implementation by pathway component. The themes are numbered to facilitate mapping to later frameworks. Table A1 in </w:t>
      </w:r>
      <w:r w:rsidR="00F51890" w:rsidRPr="004C78D8">
        <w:t>Appendix</w:t>
      </w:r>
      <w:r w:rsidRPr="004C78D8">
        <w:t xml:space="preserve"> </w:t>
      </w:r>
      <w:r w:rsidR="00325BBF" w:rsidRPr="004C78D8">
        <w:t xml:space="preserve">A </w:t>
      </w:r>
      <w:r w:rsidRPr="004C78D8">
        <w:t>shows the direct transcript quotes for each theme</w:t>
      </w:r>
      <w:r w:rsidR="00232E55" w:rsidRPr="004C78D8">
        <w:t>, and Figure A2 in Appendix A graphically illustrates how themes were mapped from qualitative data to Framework (I) and subsequently re-mapped to Frameworks (II) and (III).</w:t>
      </w:r>
      <w:r w:rsidRPr="004C78D8">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972"/>
        <w:gridCol w:w="2977"/>
        <w:gridCol w:w="3067"/>
      </w:tblGrid>
      <w:tr w:rsidR="007F5500" w:rsidRPr="004C78D8" w14:paraId="25A5418B" w14:textId="77777777" w:rsidTr="002828C1">
        <w:tc>
          <w:tcPr>
            <w:tcW w:w="5000" w:type="pct"/>
            <w:gridSpan w:val="3"/>
            <w:tcBorders>
              <w:bottom w:val="single" w:sz="4" w:space="0" w:color="000000"/>
            </w:tcBorders>
          </w:tcPr>
          <w:p w14:paraId="1EB87676" w14:textId="199BD270" w:rsidR="007F5500" w:rsidRPr="004C78D8" w:rsidRDefault="007F5500" w:rsidP="00FB7C1F">
            <w:pPr>
              <w:spacing w:after="0"/>
              <w:rPr>
                <w:b/>
              </w:rPr>
            </w:pPr>
            <w:r w:rsidRPr="004C78D8">
              <w:rPr>
                <w:b/>
                <w:bCs/>
              </w:rPr>
              <w:t>Table 2.2</w:t>
            </w:r>
            <w:r w:rsidRPr="004C78D8">
              <w:t xml:space="preserve"> Summary of identified facilitators and barriers to the falls prevention pathway components</w:t>
            </w:r>
            <w:r w:rsidR="00FE38B4" w:rsidRPr="004C78D8">
              <w:t>.</w:t>
            </w:r>
          </w:p>
        </w:tc>
      </w:tr>
      <w:tr w:rsidR="007F5500" w:rsidRPr="004C78D8" w14:paraId="3A2EB473" w14:textId="77777777" w:rsidTr="002828C1">
        <w:tc>
          <w:tcPr>
            <w:tcW w:w="1648" w:type="pct"/>
            <w:tcBorders>
              <w:bottom w:val="single" w:sz="4" w:space="0" w:color="000000"/>
              <w:right w:val="nil"/>
            </w:tcBorders>
          </w:tcPr>
          <w:p w14:paraId="4FD03F92" w14:textId="77777777" w:rsidR="007F5500" w:rsidRPr="004C78D8" w:rsidRDefault="007F5500" w:rsidP="00FB7C1F">
            <w:pPr>
              <w:spacing w:after="0"/>
              <w:jc w:val="left"/>
              <w:rPr>
                <w:b/>
                <w:sz w:val="18"/>
                <w:szCs w:val="18"/>
              </w:rPr>
            </w:pPr>
            <w:r w:rsidRPr="004C78D8">
              <w:rPr>
                <w:b/>
                <w:sz w:val="18"/>
                <w:szCs w:val="18"/>
              </w:rPr>
              <w:t xml:space="preserve">Pathway component [Theme </w:t>
            </w:r>
            <w:r w:rsidRPr="004C78D8">
              <w:rPr>
                <w:rFonts w:hint="eastAsia"/>
                <w:b/>
                <w:sz w:val="18"/>
                <w:szCs w:val="18"/>
              </w:rPr>
              <w:t>#</w:t>
            </w:r>
            <w:r w:rsidRPr="004C78D8">
              <w:rPr>
                <w:b/>
                <w:sz w:val="18"/>
                <w:szCs w:val="18"/>
              </w:rPr>
              <w:t>]</w:t>
            </w:r>
          </w:p>
        </w:tc>
        <w:tc>
          <w:tcPr>
            <w:tcW w:w="1651" w:type="pct"/>
            <w:tcBorders>
              <w:left w:val="nil"/>
              <w:bottom w:val="single" w:sz="4" w:space="0" w:color="000000"/>
              <w:right w:val="nil"/>
            </w:tcBorders>
          </w:tcPr>
          <w:p w14:paraId="0323A839" w14:textId="77777777" w:rsidR="007F5500" w:rsidRPr="004C78D8" w:rsidRDefault="007F5500" w:rsidP="00FB7C1F">
            <w:pPr>
              <w:spacing w:after="0"/>
              <w:jc w:val="left"/>
              <w:rPr>
                <w:b/>
                <w:sz w:val="18"/>
                <w:szCs w:val="18"/>
              </w:rPr>
            </w:pPr>
            <w:r w:rsidRPr="004C78D8">
              <w:rPr>
                <w:b/>
                <w:sz w:val="18"/>
                <w:szCs w:val="18"/>
              </w:rPr>
              <w:t xml:space="preserve">Facilitator [Theme </w:t>
            </w:r>
            <w:r w:rsidRPr="004C78D8">
              <w:rPr>
                <w:rFonts w:hint="eastAsia"/>
                <w:b/>
                <w:sz w:val="18"/>
                <w:szCs w:val="18"/>
              </w:rPr>
              <w:t>#</w:t>
            </w:r>
            <w:r w:rsidRPr="004C78D8">
              <w:rPr>
                <w:b/>
                <w:sz w:val="18"/>
                <w:szCs w:val="18"/>
              </w:rPr>
              <w:t>]</w:t>
            </w:r>
          </w:p>
        </w:tc>
        <w:tc>
          <w:tcPr>
            <w:tcW w:w="1701" w:type="pct"/>
            <w:tcBorders>
              <w:left w:val="nil"/>
              <w:bottom w:val="single" w:sz="4" w:space="0" w:color="000000"/>
            </w:tcBorders>
          </w:tcPr>
          <w:p w14:paraId="09F94091" w14:textId="77777777" w:rsidR="007F5500" w:rsidRPr="004C78D8" w:rsidRDefault="007F5500" w:rsidP="00FB7C1F">
            <w:pPr>
              <w:spacing w:after="0"/>
              <w:jc w:val="left"/>
              <w:rPr>
                <w:b/>
                <w:sz w:val="18"/>
                <w:szCs w:val="18"/>
              </w:rPr>
            </w:pPr>
            <w:r w:rsidRPr="004C78D8">
              <w:rPr>
                <w:b/>
                <w:sz w:val="18"/>
                <w:szCs w:val="18"/>
              </w:rPr>
              <w:t xml:space="preserve">Barrier [Theme </w:t>
            </w:r>
            <w:r w:rsidRPr="004C78D8">
              <w:rPr>
                <w:rFonts w:hint="eastAsia"/>
                <w:b/>
                <w:sz w:val="18"/>
                <w:szCs w:val="18"/>
              </w:rPr>
              <w:t>#</w:t>
            </w:r>
            <w:r w:rsidRPr="004C78D8">
              <w:rPr>
                <w:b/>
                <w:sz w:val="18"/>
                <w:szCs w:val="18"/>
              </w:rPr>
              <w:t>]</w:t>
            </w:r>
          </w:p>
        </w:tc>
      </w:tr>
      <w:tr w:rsidR="007F5500" w:rsidRPr="004C78D8" w14:paraId="14FB86A5" w14:textId="77777777" w:rsidTr="002828C1">
        <w:tc>
          <w:tcPr>
            <w:tcW w:w="1648" w:type="pct"/>
            <w:vMerge w:val="restart"/>
            <w:tcBorders>
              <w:right w:val="nil"/>
            </w:tcBorders>
          </w:tcPr>
          <w:p w14:paraId="2CCD6BF9" w14:textId="77777777" w:rsidR="007F5500" w:rsidRPr="004C78D8" w:rsidRDefault="007F5500" w:rsidP="00FB7C1F">
            <w:pPr>
              <w:spacing w:after="0"/>
              <w:jc w:val="left"/>
              <w:rPr>
                <w:sz w:val="18"/>
                <w:szCs w:val="18"/>
              </w:rPr>
            </w:pPr>
            <w:r w:rsidRPr="004C78D8">
              <w:rPr>
                <w:sz w:val="18"/>
                <w:szCs w:val="18"/>
              </w:rPr>
              <w:t>Falls risk screening and assessment by professionals [1]</w:t>
            </w:r>
          </w:p>
        </w:tc>
        <w:tc>
          <w:tcPr>
            <w:tcW w:w="3352" w:type="pct"/>
            <w:gridSpan w:val="2"/>
            <w:tcBorders>
              <w:left w:val="nil"/>
              <w:bottom w:val="nil"/>
            </w:tcBorders>
          </w:tcPr>
          <w:p w14:paraId="5FB3EF98" w14:textId="77777777" w:rsidR="007F5500" w:rsidRPr="004C78D8" w:rsidRDefault="007F5500" w:rsidP="00FB7C1F">
            <w:pPr>
              <w:pBdr>
                <w:top w:val="nil"/>
                <w:left w:val="nil"/>
                <w:bottom w:val="nil"/>
                <w:right w:val="nil"/>
                <w:between w:val="nil"/>
              </w:pBdr>
              <w:spacing w:after="0"/>
              <w:jc w:val="center"/>
              <w:rPr>
                <w:b/>
                <w:bCs/>
                <w:i/>
                <w:iCs/>
                <w:color w:val="000000"/>
                <w:sz w:val="18"/>
                <w:szCs w:val="18"/>
              </w:rPr>
            </w:pPr>
            <w:r w:rsidRPr="004C78D8">
              <w:rPr>
                <w:b/>
                <w:bCs/>
                <w:i/>
                <w:iCs/>
                <w:color w:val="000000"/>
                <w:sz w:val="18"/>
                <w:szCs w:val="18"/>
              </w:rPr>
              <w:t>(A) Professional competence</w:t>
            </w:r>
          </w:p>
        </w:tc>
      </w:tr>
      <w:tr w:rsidR="007F5500" w:rsidRPr="004C78D8" w14:paraId="47A43BB0" w14:textId="77777777" w:rsidTr="002828C1">
        <w:tc>
          <w:tcPr>
            <w:tcW w:w="1648" w:type="pct"/>
            <w:vMerge/>
            <w:tcBorders>
              <w:right w:val="nil"/>
            </w:tcBorders>
          </w:tcPr>
          <w:p w14:paraId="1069150D" w14:textId="77777777" w:rsidR="007F5500" w:rsidRPr="004C78D8" w:rsidRDefault="007F5500" w:rsidP="00FB7C1F">
            <w:pPr>
              <w:spacing w:after="0"/>
              <w:jc w:val="left"/>
              <w:rPr>
                <w:sz w:val="18"/>
                <w:szCs w:val="18"/>
              </w:rPr>
            </w:pPr>
          </w:p>
        </w:tc>
        <w:tc>
          <w:tcPr>
            <w:tcW w:w="1651" w:type="pct"/>
            <w:tcBorders>
              <w:top w:val="nil"/>
              <w:left w:val="nil"/>
              <w:bottom w:val="single" w:sz="4" w:space="0" w:color="auto"/>
              <w:right w:val="nil"/>
            </w:tcBorders>
          </w:tcPr>
          <w:p w14:paraId="2A59548A" w14:textId="77777777" w:rsidR="007F5500" w:rsidRPr="004C78D8" w:rsidRDefault="007F5500" w:rsidP="00FB7C1F">
            <w:pPr>
              <w:numPr>
                <w:ilvl w:val="0"/>
                <w:numId w:val="15"/>
              </w:numPr>
              <w:pBdr>
                <w:top w:val="nil"/>
                <w:left w:val="nil"/>
                <w:bottom w:val="nil"/>
                <w:right w:val="nil"/>
                <w:between w:val="nil"/>
              </w:pBdr>
              <w:spacing w:after="0"/>
              <w:ind w:left="282" w:hanging="218"/>
              <w:jc w:val="left"/>
              <w:rPr>
                <w:color w:val="000000"/>
                <w:sz w:val="18"/>
                <w:szCs w:val="18"/>
              </w:rPr>
            </w:pPr>
            <w:r w:rsidRPr="004C78D8">
              <w:rPr>
                <w:color w:val="000000"/>
                <w:sz w:val="18"/>
                <w:szCs w:val="18"/>
              </w:rPr>
              <w:t>General approachability of professionals [1-1]</w:t>
            </w:r>
          </w:p>
        </w:tc>
        <w:tc>
          <w:tcPr>
            <w:tcW w:w="1701" w:type="pct"/>
            <w:tcBorders>
              <w:top w:val="nil"/>
              <w:left w:val="nil"/>
              <w:bottom w:val="single" w:sz="4" w:space="0" w:color="auto"/>
            </w:tcBorders>
          </w:tcPr>
          <w:p w14:paraId="400CEA2E" w14:textId="77777777" w:rsidR="007F5500" w:rsidRPr="004C78D8" w:rsidRDefault="007F5500" w:rsidP="00FB7C1F">
            <w:pPr>
              <w:numPr>
                <w:ilvl w:val="0"/>
                <w:numId w:val="15"/>
              </w:numPr>
              <w:pBdr>
                <w:top w:val="nil"/>
                <w:left w:val="nil"/>
                <w:bottom w:val="nil"/>
                <w:right w:val="nil"/>
                <w:between w:val="nil"/>
              </w:pBdr>
              <w:spacing w:after="0"/>
              <w:ind w:left="259" w:hanging="218"/>
              <w:jc w:val="left"/>
              <w:rPr>
                <w:color w:val="000000"/>
                <w:sz w:val="18"/>
                <w:szCs w:val="18"/>
              </w:rPr>
            </w:pPr>
            <w:r w:rsidRPr="004C78D8">
              <w:rPr>
                <w:color w:val="000000"/>
                <w:sz w:val="18"/>
                <w:szCs w:val="18"/>
              </w:rPr>
              <w:t>Lack of proactive professional approach [1-5]</w:t>
            </w:r>
          </w:p>
          <w:p w14:paraId="4A80BB74" w14:textId="77777777" w:rsidR="007F5500" w:rsidRPr="004C78D8" w:rsidRDefault="007F5500" w:rsidP="00FB7C1F">
            <w:pPr>
              <w:numPr>
                <w:ilvl w:val="0"/>
                <w:numId w:val="15"/>
              </w:numPr>
              <w:pBdr>
                <w:top w:val="nil"/>
                <w:left w:val="nil"/>
                <w:bottom w:val="nil"/>
                <w:right w:val="nil"/>
                <w:between w:val="nil"/>
              </w:pBdr>
              <w:spacing w:after="0"/>
              <w:ind w:left="259" w:hanging="218"/>
              <w:jc w:val="left"/>
              <w:rPr>
                <w:color w:val="000000"/>
                <w:sz w:val="18"/>
                <w:szCs w:val="18"/>
              </w:rPr>
            </w:pPr>
            <w:r w:rsidRPr="004C78D8">
              <w:rPr>
                <w:color w:val="000000"/>
                <w:sz w:val="18"/>
                <w:szCs w:val="18"/>
              </w:rPr>
              <w:t>Lack of professional attention to environmental risk factors [1-6]</w:t>
            </w:r>
          </w:p>
        </w:tc>
      </w:tr>
      <w:tr w:rsidR="007F5500" w:rsidRPr="004C78D8" w14:paraId="0E5107BA" w14:textId="77777777" w:rsidTr="002828C1">
        <w:tc>
          <w:tcPr>
            <w:tcW w:w="1648" w:type="pct"/>
            <w:vMerge/>
            <w:tcBorders>
              <w:right w:val="nil"/>
            </w:tcBorders>
          </w:tcPr>
          <w:p w14:paraId="0292B405" w14:textId="77777777" w:rsidR="007F5500" w:rsidRPr="004C78D8" w:rsidRDefault="007F5500" w:rsidP="00FB7C1F">
            <w:pPr>
              <w:spacing w:after="0"/>
              <w:jc w:val="left"/>
              <w:rPr>
                <w:sz w:val="18"/>
                <w:szCs w:val="18"/>
              </w:rPr>
            </w:pPr>
          </w:p>
        </w:tc>
        <w:tc>
          <w:tcPr>
            <w:tcW w:w="3352" w:type="pct"/>
            <w:gridSpan w:val="2"/>
            <w:tcBorders>
              <w:top w:val="single" w:sz="4" w:space="0" w:color="auto"/>
              <w:left w:val="nil"/>
              <w:bottom w:val="nil"/>
            </w:tcBorders>
          </w:tcPr>
          <w:p w14:paraId="5110D891" w14:textId="77777777" w:rsidR="007F5500" w:rsidRPr="004C78D8" w:rsidRDefault="007F5500" w:rsidP="00FB7C1F">
            <w:pPr>
              <w:pBdr>
                <w:top w:val="nil"/>
                <w:left w:val="nil"/>
                <w:bottom w:val="nil"/>
                <w:right w:val="nil"/>
                <w:between w:val="nil"/>
              </w:pBdr>
              <w:spacing w:after="0"/>
              <w:jc w:val="center"/>
              <w:rPr>
                <w:b/>
                <w:bCs/>
                <w:i/>
                <w:iCs/>
                <w:color w:val="000000"/>
                <w:sz w:val="18"/>
                <w:szCs w:val="18"/>
              </w:rPr>
            </w:pPr>
            <w:r w:rsidRPr="004C78D8">
              <w:rPr>
                <w:b/>
                <w:bCs/>
                <w:i/>
                <w:iCs/>
                <w:color w:val="000000"/>
                <w:sz w:val="18"/>
                <w:szCs w:val="18"/>
              </w:rPr>
              <w:t>(B) System-level approaches and resources</w:t>
            </w:r>
          </w:p>
        </w:tc>
      </w:tr>
      <w:tr w:rsidR="007F5500" w:rsidRPr="004C78D8" w14:paraId="029F077B" w14:textId="77777777" w:rsidTr="002828C1">
        <w:tc>
          <w:tcPr>
            <w:tcW w:w="1648" w:type="pct"/>
            <w:vMerge/>
            <w:tcBorders>
              <w:right w:val="nil"/>
            </w:tcBorders>
          </w:tcPr>
          <w:p w14:paraId="55A214E7" w14:textId="77777777" w:rsidR="007F5500" w:rsidRPr="004C78D8" w:rsidRDefault="007F5500" w:rsidP="00FB7C1F">
            <w:pPr>
              <w:spacing w:after="0"/>
              <w:jc w:val="left"/>
              <w:rPr>
                <w:sz w:val="18"/>
                <w:szCs w:val="18"/>
              </w:rPr>
            </w:pPr>
          </w:p>
        </w:tc>
        <w:tc>
          <w:tcPr>
            <w:tcW w:w="1651" w:type="pct"/>
            <w:tcBorders>
              <w:top w:val="nil"/>
              <w:left w:val="nil"/>
              <w:bottom w:val="single" w:sz="4" w:space="0" w:color="auto"/>
              <w:right w:val="nil"/>
            </w:tcBorders>
          </w:tcPr>
          <w:p w14:paraId="4608D3CF" w14:textId="77777777" w:rsidR="007F5500" w:rsidRPr="004C78D8" w:rsidRDefault="007F5500" w:rsidP="00FB7C1F">
            <w:pPr>
              <w:numPr>
                <w:ilvl w:val="0"/>
                <w:numId w:val="15"/>
              </w:numPr>
              <w:pBdr>
                <w:top w:val="nil"/>
                <w:left w:val="nil"/>
                <w:bottom w:val="nil"/>
                <w:right w:val="nil"/>
                <w:between w:val="nil"/>
              </w:pBdr>
              <w:spacing w:after="0"/>
              <w:ind w:left="282" w:hanging="218"/>
              <w:jc w:val="left"/>
              <w:rPr>
                <w:color w:val="000000"/>
                <w:sz w:val="18"/>
                <w:szCs w:val="18"/>
              </w:rPr>
            </w:pPr>
            <w:r w:rsidRPr="004C78D8">
              <w:rPr>
                <w:color w:val="000000"/>
                <w:sz w:val="18"/>
                <w:szCs w:val="18"/>
              </w:rPr>
              <w:t>Proactive, data-based approach to falls risk screening [1-2]</w:t>
            </w:r>
          </w:p>
          <w:p w14:paraId="5BB289A2" w14:textId="77777777" w:rsidR="007F5500" w:rsidRPr="004C78D8" w:rsidRDefault="007F5500" w:rsidP="00FB7C1F">
            <w:pPr>
              <w:numPr>
                <w:ilvl w:val="0"/>
                <w:numId w:val="15"/>
              </w:numPr>
              <w:pBdr>
                <w:top w:val="nil"/>
                <w:left w:val="nil"/>
                <w:bottom w:val="nil"/>
                <w:right w:val="nil"/>
                <w:between w:val="nil"/>
              </w:pBdr>
              <w:spacing w:after="0"/>
              <w:ind w:left="282" w:hanging="218"/>
              <w:jc w:val="left"/>
              <w:rPr>
                <w:color w:val="000000"/>
                <w:sz w:val="18"/>
                <w:szCs w:val="18"/>
              </w:rPr>
            </w:pPr>
            <w:r w:rsidRPr="004C78D8">
              <w:rPr>
                <w:color w:val="000000"/>
                <w:sz w:val="18"/>
                <w:szCs w:val="18"/>
              </w:rPr>
              <w:t>Specialist expertise and equipment [1-3]</w:t>
            </w:r>
          </w:p>
        </w:tc>
        <w:tc>
          <w:tcPr>
            <w:tcW w:w="1701" w:type="pct"/>
            <w:tcBorders>
              <w:top w:val="nil"/>
              <w:left w:val="nil"/>
              <w:bottom w:val="single" w:sz="4" w:space="0" w:color="auto"/>
            </w:tcBorders>
          </w:tcPr>
          <w:p w14:paraId="6B56F918" w14:textId="77777777" w:rsidR="007F5500" w:rsidRPr="004C78D8" w:rsidRDefault="007F5500" w:rsidP="00FB7C1F">
            <w:pPr>
              <w:numPr>
                <w:ilvl w:val="0"/>
                <w:numId w:val="15"/>
              </w:numPr>
              <w:pBdr>
                <w:top w:val="nil"/>
                <w:left w:val="nil"/>
                <w:bottom w:val="nil"/>
                <w:right w:val="nil"/>
                <w:between w:val="nil"/>
              </w:pBdr>
              <w:spacing w:after="0"/>
              <w:ind w:left="259" w:hanging="218"/>
              <w:jc w:val="left"/>
              <w:rPr>
                <w:color w:val="000000"/>
                <w:sz w:val="18"/>
                <w:szCs w:val="18"/>
              </w:rPr>
            </w:pPr>
            <w:r w:rsidRPr="004C78D8">
              <w:rPr>
                <w:color w:val="000000"/>
                <w:sz w:val="18"/>
                <w:szCs w:val="18"/>
              </w:rPr>
              <w:t>Time constraint in routine practice [1-7]</w:t>
            </w:r>
          </w:p>
        </w:tc>
      </w:tr>
      <w:tr w:rsidR="007F5500" w:rsidRPr="004C78D8" w14:paraId="025070AB" w14:textId="77777777" w:rsidTr="002828C1">
        <w:tc>
          <w:tcPr>
            <w:tcW w:w="1648" w:type="pct"/>
            <w:vMerge/>
            <w:tcBorders>
              <w:right w:val="nil"/>
            </w:tcBorders>
          </w:tcPr>
          <w:p w14:paraId="29EEB39B" w14:textId="77777777" w:rsidR="007F5500" w:rsidRPr="004C78D8" w:rsidRDefault="007F5500" w:rsidP="00FB7C1F">
            <w:pPr>
              <w:spacing w:after="0"/>
              <w:jc w:val="left"/>
              <w:rPr>
                <w:sz w:val="18"/>
                <w:szCs w:val="18"/>
              </w:rPr>
            </w:pPr>
          </w:p>
        </w:tc>
        <w:tc>
          <w:tcPr>
            <w:tcW w:w="3352" w:type="pct"/>
            <w:gridSpan w:val="2"/>
            <w:tcBorders>
              <w:top w:val="single" w:sz="4" w:space="0" w:color="auto"/>
              <w:left w:val="nil"/>
              <w:bottom w:val="nil"/>
            </w:tcBorders>
          </w:tcPr>
          <w:p w14:paraId="456D0472" w14:textId="77777777" w:rsidR="007F5500" w:rsidRPr="004C78D8" w:rsidRDefault="007F5500" w:rsidP="00FB7C1F">
            <w:pPr>
              <w:pBdr>
                <w:top w:val="nil"/>
                <w:left w:val="nil"/>
                <w:bottom w:val="nil"/>
                <w:right w:val="nil"/>
                <w:between w:val="nil"/>
              </w:pBdr>
              <w:spacing w:after="0"/>
              <w:jc w:val="center"/>
              <w:rPr>
                <w:b/>
                <w:bCs/>
                <w:i/>
                <w:iCs/>
                <w:color w:val="000000"/>
                <w:sz w:val="18"/>
                <w:szCs w:val="18"/>
              </w:rPr>
            </w:pPr>
            <w:r w:rsidRPr="004C78D8">
              <w:rPr>
                <w:b/>
                <w:bCs/>
                <w:i/>
                <w:iCs/>
                <w:color w:val="000000"/>
                <w:sz w:val="18"/>
                <w:szCs w:val="18"/>
              </w:rPr>
              <w:t>(C) Motivation and awareness of older persons</w:t>
            </w:r>
          </w:p>
        </w:tc>
      </w:tr>
      <w:tr w:rsidR="007F5500" w:rsidRPr="004C78D8" w14:paraId="226D8D43" w14:textId="77777777" w:rsidTr="002828C1">
        <w:tc>
          <w:tcPr>
            <w:tcW w:w="1648" w:type="pct"/>
            <w:vMerge/>
            <w:tcBorders>
              <w:bottom w:val="single" w:sz="4" w:space="0" w:color="auto"/>
              <w:right w:val="nil"/>
            </w:tcBorders>
          </w:tcPr>
          <w:p w14:paraId="62FF0F22" w14:textId="77777777" w:rsidR="007F5500" w:rsidRPr="004C78D8" w:rsidRDefault="007F5500" w:rsidP="00FB7C1F">
            <w:pPr>
              <w:spacing w:after="0"/>
              <w:jc w:val="left"/>
              <w:rPr>
                <w:sz w:val="18"/>
                <w:szCs w:val="18"/>
              </w:rPr>
            </w:pPr>
          </w:p>
        </w:tc>
        <w:tc>
          <w:tcPr>
            <w:tcW w:w="1651" w:type="pct"/>
            <w:tcBorders>
              <w:top w:val="nil"/>
              <w:left w:val="nil"/>
              <w:bottom w:val="single" w:sz="4" w:space="0" w:color="auto"/>
              <w:right w:val="nil"/>
            </w:tcBorders>
          </w:tcPr>
          <w:p w14:paraId="6DF48256" w14:textId="77777777" w:rsidR="007F5500" w:rsidRPr="004C78D8" w:rsidRDefault="007F5500" w:rsidP="00FB7C1F">
            <w:pPr>
              <w:numPr>
                <w:ilvl w:val="0"/>
                <w:numId w:val="15"/>
              </w:numPr>
              <w:pBdr>
                <w:top w:val="nil"/>
                <w:left w:val="nil"/>
                <w:bottom w:val="nil"/>
                <w:right w:val="nil"/>
                <w:between w:val="nil"/>
              </w:pBdr>
              <w:spacing w:after="0" w:line="240" w:lineRule="auto"/>
              <w:ind w:left="282" w:hanging="218"/>
              <w:jc w:val="left"/>
              <w:rPr>
                <w:color w:val="000000"/>
                <w:sz w:val="18"/>
                <w:szCs w:val="18"/>
              </w:rPr>
            </w:pPr>
            <w:r w:rsidRPr="004C78D8">
              <w:rPr>
                <w:color w:val="000000"/>
                <w:sz w:val="18"/>
                <w:szCs w:val="18"/>
              </w:rPr>
              <w:t>Older person’s motivation to maintain health [1-4]</w:t>
            </w:r>
          </w:p>
        </w:tc>
        <w:tc>
          <w:tcPr>
            <w:tcW w:w="1701" w:type="pct"/>
            <w:tcBorders>
              <w:top w:val="nil"/>
              <w:left w:val="nil"/>
              <w:bottom w:val="single" w:sz="4" w:space="0" w:color="auto"/>
            </w:tcBorders>
          </w:tcPr>
          <w:p w14:paraId="58391F2B" w14:textId="77777777" w:rsidR="007F5500" w:rsidRPr="004C78D8" w:rsidRDefault="007F5500" w:rsidP="00FB7C1F">
            <w:pPr>
              <w:numPr>
                <w:ilvl w:val="0"/>
                <w:numId w:val="15"/>
              </w:numPr>
              <w:pBdr>
                <w:top w:val="nil"/>
                <w:left w:val="nil"/>
                <w:bottom w:val="nil"/>
                <w:right w:val="nil"/>
                <w:between w:val="nil"/>
              </w:pBdr>
              <w:spacing w:after="0" w:line="240" w:lineRule="auto"/>
              <w:ind w:left="259" w:hanging="218"/>
              <w:jc w:val="left"/>
              <w:rPr>
                <w:color w:val="000000"/>
                <w:sz w:val="18"/>
                <w:szCs w:val="18"/>
              </w:rPr>
            </w:pPr>
            <w:r w:rsidRPr="004C78D8">
              <w:rPr>
                <w:color w:val="000000"/>
                <w:sz w:val="18"/>
                <w:szCs w:val="18"/>
              </w:rPr>
              <w:t>Older person’s lack of falls risk awareness [1-8]</w:t>
            </w:r>
          </w:p>
        </w:tc>
      </w:tr>
      <w:tr w:rsidR="007F5500" w:rsidRPr="004C78D8" w14:paraId="753751BE" w14:textId="77777777" w:rsidTr="002828C1">
        <w:tc>
          <w:tcPr>
            <w:tcW w:w="1648" w:type="pct"/>
            <w:tcBorders>
              <w:bottom w:val="single" w:sz="4" w:space="0" w:color="auto"/>
              <w:right w:val="nil"/>
            </w:tcBorders>
          </w:tcPr>
          <w:p w14:paraId="5FD1189B" w14:textId="77777777" w:rsidR="007F5500" w:rsidRPr="004C78D8" w:rsidRDefault="007F5500" w:rsidP="00FB7C1F">
            <w:pPr>
              <w:spacing w:after="0"/>
              <w:jc w:val="left"/>
              <w:rPr>
                <w:sz w:val="18"/>
                <w:szCs w:val="18"/>
              </w:rPr>
            </w:pPr>
            <w:r w:rsidRPr="004C78D8">
              <w:rPr>
                <w:sz w:val="18"/>
                <w:szCs w:val="18"/>
              </w:rPr>
              <w:t>Raising awareness of falls risk [2]</w:t>
            </w:r>
          </w:p>
        </w:tc>
        <w:tc>
          <w:tcPr>
            <w:tcW w:w="1651" w:type="pct"/>
            <w:tcBorders>
              <w:left w:val="nil"/>
              <w:bottom w:val="single" w:sz="4" w:space="0" w:color="auto"/>
              <w:right w:val="nil"/>
            </w:tcBorders>
          </w:tcPr>
          <w:p w14:paraId="73A9E745" w14:textId="77777777" w:rsidR="007F5500" w:rsidRPr="004C78D8" w:rsidRDefault="007F5500" w:rsidP="00FB7C1F">
            <w:pPr>
              <w:numPr>
                <w:ilvl w:val="0"/>
                <w:numId w:val="15"/>
              </w:numPr>
              <w:pBdr>
                <w:top w:val="nil"/>
                <w:left w:val="nil"/>
                <w:bottom w:val="nil"/>
                <w:right w:val="nil"/>
                <w:between w:val="nil"/>
              </w:pBdr>
              <w:spacing w:after="0"/>
              <w:ind w:left="282" w:hanging="218"/>
              <w:jc w:val="left"/>
              <w:rPr>
                <w:color w:val="000000"/>
                <w:sz w:val="18"/>
                <w:szCs w:val="18"/>
              </w:rPr>
            </w:pPr>
            <w:r w:rsidRPr="004C78D8">
              <w:rPr>
                <w:color w:val="000000"/>
                <w:sz w:val="18"/>
                <w:szCs w:val="18"/>
              </w:rPr>
              <w:t>Awareness from earlier life-course stage [2-1]</w:t>
            </w:r>
          </w:p>
          <w:p w14:paraId="581A30A9" w14:textId="77777777" w:rsidR="007F5500" w:rsidRPr="004C78D8" w:rsidRDefault="007F5500" w:rsidP="00FB7C1F">
            <w:pPr>
              <w:numPr>
                <w:ilvl w:val="0"/>
                <w:numId w:val="15"/>
              </w:numPr>
              <w:pBdr>
                <w:top w:val="nil"/>
                <w:left w:val="nil"/>
                <w:bottom w:val="nil"/>
                <w:right w:val="nil"/>
                <w:between w:val="nil"/>
              </w:pBdr>
              <w:spacing w:after="0" w:line="240" w:lineRule="auto"/>
              <w:ind w:left="282" w:hanging="218"/>
              <w:jc w:val="left"/>
              <w:rPr>
                <w:color w:val="000000"/>
                <w:sz w:val="18"/>
                <w:szCs w:val="18"/>
              </w:rPr>
            </w:pPr>
            <w:r w:rsidRPr="004C78D8">
              <w:rPr>
                <w:color w:val="000000"/>
                <w:sz w:val="18"/>
                <w:szCs w:val="18"/>
              </w:rPr>
              <w:t>Awareness of falls risk by informal caregivers [2-2]</w:t>
            </w:r>
          </w:p>
        </w:tc>
        <w:tc>
          <w:tcPr>
            <w:tcW w:w="1701" w:type="pct"/>
            <w:tcBorders>
              <w:left w:val="nil"/>
              <w:bottom w:val="single" w:sz="4" w:space="0" w:color="auto"/>
            </w:tcBorders>
          </w:tcPr>
          <w:p w14:paraId="7FC9A120" w14:textId="77777777" w:rsidR="007F5500" w:rsidRPr="004C78D8" w:rsidRDefault="007F5500" w:rsidP="00FB7C1F">
            <w:pPr>
              <w:numPr>
                <w:ilvl w:val="0"/>
                <w:numId w:val="15"/>
              </w:numPr>
              <w:pBdr>
                <w:top w:val="nil"/>
                <w:left w:val="nil"/>
                <w:bottom w:val="nil"/>
                <w:right w:val="nil"/>
                <w:between w:val="nil"/>
              </w:pBdr>
              <w:spacing w:after="0"/>
              <w:ind w:left="282" w:hanging="218"/>
              <w:jc w:val="left"/>
              <w:rPr>
                <w:color w:val="000000"/>
                <w:sz w:val="18"/>
                <w:szCs w:val="18"/>
              </w:rPr>
            </w:pPr>
            <w:r w:rsidRPr="004C78D8">
              <w:rPr>
                <w:color w:val="000000"/>
                <w:sz w:val="18"/>
                <w:szCs w:val="18"/>
              </w:rPr>
              <w:t>Lack of awareness of the physical ageing process [2-3]</w:t>
            </w:r>
          </w:p>
        </w:tc>
      </w:tr>
      <w:tr w:rsidR="007F5500" w:rsidRPr="004C78D8" w14:paraId="2CEC4386" w14:textId="77777777" w:rsidTr="002828C1">
        <w:tc>
          <w:tcPr>
            <w:tcW w:w="1648" w:type="pct"/>
            <w:vMerge w:val="restart"/>
            <w:tcBorders>
              <w:top w:val="single" w:sz="4" w:space="0" w:color="auto"/>
              <w:right w:val="nil"/>
            </w:tcBorders>
          </w:tcPr>
          <w:p w14:paraId="6647CF72" w14:textId="77777777" w:rsidR="007F5500" w:rsidRPr="004C78D8" w:rsidRDefault="007F5500" w:rsidP="00FB7C1F">
            <w:pPr>
              <w:spacing w:after="0"/>
              <w:jc w:val="left"/>
              <w:rPr>
                <w:sz w:val="18"/>
                <w:szCs w:val="18"/>
              </w:rPr>
            </w:pPr>
            <w:r w:rsidRPr="004C78D8">
              <w:rPr>
                <w:sz w:val="18"/>
                <w:szCs w:val="18"/>
              </w:rPr>
              <w:t>Initial uptake of falls prevention treatments [3]</w:t>
            </w:r>
          </w:p>
        </w:tc>
        <w:tc>
          <w:tcPr>
            <w:tcW w:w="3352" w:type="pct"/>
            <w:gridSpan w:val="2"/>
            <w:tcBorders>
              <w:top w:val="single" w:sz="4" w:space="0" w:color="auto"/>
              <w:left w:val="nil"/>
              <w:bottom w:val="nil"/>
            </w:tcBorders>
          </w:tcPr>
          <w:p w14:paraId="6BEE3821" w14:textId="77777777" w:rsidR="007F5500" w:rsidRPr="004C78D8" w:rsidRDefault="007F5500" w:rsidP="00FB7C1F">
            <w:pPr>
              <w:pBdr>
                <w:top w:val="nil"/>
                <w:left w:val="nil"/>
                <w:bottom w:val="nil"/>
                <w:right w:val="nil"/>
                <w:between w:val="nil"/>
              </w:pBdr>
              <w:spacing w:after="0"/>
              <w:jc w:val="center"/>
              <w:rPr>
                <w:b/>
                <w:bCs/>
                <w:i/>
                <w:iCs/>
                <w:color w:val="000000"/>
                <w:sz w:val="18"/>
                <w:szCs w:val="18"/>
              </w:rPr>
            </w:pPr>
            <w:r w:rsidRPr="004C78D8">
              <w:rPr>
                <w:b/>
                <w:bCs/>
                <w:i/>
                <w:iCs/>
                <w:color w:val="000000"/>
                <w:sz w:val="18"/>
                <w:szCs w:val="18"/>
              </w:rPr>
              <w:t>(A) Motivation and awareness of older persons</w:t>
            </w:r>
          </w:p>
        </w:tc>
      </w:tr>
      <w:tr w:rsidR="007F5500" w:rsidRPr="004C78D8" w14:paraId="7C80615F" w14:textId="77777777" w:rsidTr="002828C1">
        <w:tc>
          <w:tcPr>
            <w:tcW w:w="1648" w:type="pct"/>
            <w:vMerge/>
            <w:tcBorders>
              <w:right w:val="nil"/>
            </w:tcBorders>
          </w:tcPr>
          <w:p w14:paraId="7EE73721" w14:textId="77777777" w:rsidR="007F5500" w:rsidRPr="004C78D8" w:rsidRDefault="007F5500" w:rsidP="00FB7C1F">
            <w:pPr>
              <w:spacing w:after="0"/>
              <w:jc w:val="left"/>
              <w:rPr>
                <w:sz w:val="18"/>
                <w:szCs w:val="18"/>
              </w:rPr>
            </w:pPr>
          </w:p>
        </w:tc>
        <w:tc>
          <w:tcPr>
            <w:tcW w:w="1651" w:type="pct"/>
            <w:tcBorders>
              <w:top w:val="nil"/>
              <w:left w:val="nil"/>
              <w:bottom w:val="single" w:sz="4" w:space="0" w:color="auto"/>
              <w:right w:val="nil"/>
            </w:tcBorders>
          </w:tcPr>
          <w:p w14:paraId="073AE9D3" w14:textId="77777777" w:rsidR="007F5500" w:rsidRPr="004C78D8" w:rsidRDefault="007F5500" w:rsidP="00FB7C1F">
            <w:pPr>
              <w:numPr>
                <w:ilvl w:val="0"/>
                <w:numId w:val="15"/>
              </w:numPr>
              <w:pBdr>
                <w:top w:val="nil"/>
                <w:left w:val="nil"/>
                <w:bottom w:val="nil"/>
                <w:right w:val="nil"/>
                <w:between w:val="nil"/>
              </w:pBdr>
              <w:spacing w:after="0"/>
              <w:ind w:left="282" w:hanging="218"/>
              <w:jc w:val="left"/>
              <w:rPr>
                <w:color w:val="000000"/>
                <w:sz w:val="18"/>
                <w:szCs w:val="18"/>
              </w:rPr>
            </w:pPr>
            <w:r w:rsidRPr="004C78D8">
              <w:rPr>
                <w:color w:val="000000"/>
                <w:sz w:val="18"/>
                <w:szCs w:val="18"/>
              </w:rPr>
              <w:t>Older person’s experience of falling [3-1]</w:t>
            </w:r>
          </w:p>
          <w:p w14:paraId="7A28E870" w14:textId="77777777" w:rsidR="007F5500" w:rsidRPr="004C78D8" w:rsidRDefault="007F5500" w:rsidP="00FB7C1F">
            <w:pPr>
              <w:numPr>
                <w:ilvl w:val="0"/>
                <w:numId w:val="15"/>
              </w:numPr>
              <w:pBdr>
                <w:top w:val="nil"/>
                <w:left w:val="nil"/>
                <w:bottom w:val="nil"/>
                <w:right w:val="nil"/>
                <w:between w:val="nil"/>
              </w:pBdr>
              <w:spacing w:after="0"/>
              <w:ind w:left="282" w:hanging="218"/>
              <w:jc w:val="left"/>
              <w:rPr>
                <w:color w:val="000000"/>
                <w:sz w:val="18"/>
                <w:szCs w:val="18"/>
              </w:rPr>
            </w:pPr>
            <w:r w:rsidRPr="004C78D8">
              <w:rPr>
                <w:color w:val="000000"/>
                <w:sz w:val="18"/>
                <w:szCs w:val="18"/>
              </w:rPr>
              <w:t>Older person’s experience of the physical ageing process [3-2]</w:t>
            </w:r>
          </w:p>
          <w:p w14:paraId="0E6A1803" w14:textId="77777777" w:rsidR="007F5500" w:rsidRPr="004C78D8" w:rsidRDefault="007F5500" w:rsidP="00FB7C1F">
            <w:pPr>
              <w:numPr>
                <w:ilvl w:val="0"/>
                <w:numId w:val="15"/>
              </w:numPr>
              <w:pBdr>
                <w:top w:val="nil"/>
                <w:left w:val="nil"/>
                <w:bottom w:val="nil"/>
                <w:right w:val="nil"/>
                <w:between w:val="nil"/>
              </w:pBdr>
              <w:spacing w:after="0"/>
              <w:ind w:left="282" w:hanging="218"/>
              <w:jc w:val="left"/>
              <w:rPr>
                <w:color w:val="000000"/>
                <w:sz w:val="18"/>
                <w:szCs w:val="18"/>
              </w:rPr>
            </w:pPr>
            <w:r w:rsidRPr="004C78D8">
              <w:rPr>
                <w:color w:val="000000"/>
                <w:sz w:val="18"/>
                <w:szCs w:val="18"/>
              </w:rPr>
              <w:t>Older person’s motivation to maintain health [3-3]</w:t>
            </w:r>
          </w:p>
        </w:tc>
        <w:tc>
          <w:tcPr>
            <w:tcW w:w="1701" w:type="pct"/>
            <w:tcBorders>
              <w:top w:val="nil"/>
              <w:left w:val="nil"/>
              <w:bottom w:val="single" w:sz="4" w:space="0" w:color="auto"/>
            </w:tcBorders>
          </w:tcPr>
          <w:p w14:paraId="1727E05E" w14:textId="77777777" w:rsidR="007F5500" w:rsidRPr="004C78D8" w:rsidRDefault="007F5500" w:rsidP="00FB7C1F">
            <w:pPr>
              <w:numPr>
                <w:ilvl w:val="0"/>
                <w:numId w:val="15"/>
              </w:numPr>
              <w:pBdr>
                <w:top w:val="nil"/>
                <w:left w:val="nil"/>
                <w:bottom w:val="nil"/>
                <w:right w:val="nil"/>
                <w:between w:val="nil"/>
              </w:pBdr>
              <w:spacing w:after="0"/>
              <w:ind w:left="259" w:hanging="218"/>
              <w:jc w:val="left"/>
              <w:rPr>
                <w:i/>
                <w:iCs/>
                <w:color w:val="000000"/>
                <w:sz w:val="18"/>
                <w:szCs w:val="18"/>
              </w:rPr>
            </w:pPr>
            <w:r w:rsidRPr="004C78D8">
              <w:rPr>
                <w:color w:val="000000"/>
                <w:sz w:val="18"/>
                <w:szCs w:val="18"/>
              </w:rPr>
              <w:t>Older person’s lack of falls risk awareness [3-15]</w:t>
            </w:r>
          </w:p>
          <w:p w14:paraId="6FD72F3E" w14:textId="77777777" w:rsidR="007F5500" w:rsidRPr="004C78D8" w:rsidRDefault="007F5500" w:rsidP="00FB7C1F">
            <w:pPr>
              <w:numPr>
                <w:ilvl w:val="0"/>
                <w:numId w:val="15"/>
              </w:numPr>
              <w:pBdr>
                <w:top w:val="nil"/>
                <w:left w:val="nil"/>
                <w:bottom w:val="nil"/>
                <w:right w:val="nil"/>
                <w:between w:val="nil"/>
              </w:pBdr>
              <w:spacing w:after="0"/>
              <w:ind w:left="259" w:hanging="218"/>
              <w:jc w:val="left"/>
              <w:rPr>
                <w:color w:val="000000"/>
                <w:sz w:val="18"/>
                <w:szCs w:val="18"/>
              </w:rPr>
            </w:pPr>
            <w:r w:rsidRPr="004C78D8">
              <w:rPr>
                <w:color w:val="000000"/>
                <w:sz w:val="18"/>
                <w:szCs w:val="18"/>
              </w:rPr>
              <w:t>Low motivation of older persons [3-16]</w:t>
            </w:r>
          </w:p>
          <w:p w14:paraId="2D3C4719" w14:textId="77777777" w:rsidR="007F5500" w:rsidRPr="004C78D8" w:rsidRDefault="007F5500" w:rsidP="00FB7C1F">
            <w:pPr>
              <w:pBdr>
                <w:top w:val="nil"/>
                <w:left w:val="nil"/>
                <w:bottom w:val="nil"/>
                <w:right w:val="nil"/>
                <w:between w:val="nil"/>
              </w:pBdr>
              <w:spacing w:after="0"/>
              <w:jc w:val="left"/>
              <w:rPr>
                <w:b/>
                <w:bCs/>
                <w:i/>
                <w:iCs/>
                <w:color w:val="000000"/>
                <w:sz w:val="18"/>
                <w:szCs w:val="18"/>
              </w:rPr>
            </w:pPr>
          </w:p>
        </w:tc>
      </w:tr>
      <w:tr w:rsidR="007F5500" w:rsidRPr="004C78D8" w14:paraId="0E20E852" w14:textId="77777777" w:rsidTr="002828C1">
        <w:tc>
          <w:tcPr>
            <w:tcW w:w="1648" w:type="pct"/>
            <w:vMerge/>
            <w:tcBorders>
              <w:right w:val="nil"/>
            </w:tcBorders>
          </w:tcPr>
          <w:p w14:paraId="64246ACD" w14:textId="77777777" w:rsidR="007F5500" w:rsidRPr="004C78D8" w:rsidRDefault="007F5500" w:rsidP="00FB7C1F">
            <w:pPr>
              <w:spacing w:after="0"/>
              <w:jc w:val="left"/>
              <w:rPr>
                <w:sz w:val="18"/>
                <w:szCs w:val="18"/>
              </w:rPr>
            </w:pPr>
          </w:p>
        </w:tc>
        <w:tc>
          <w:tcPr>
            <w:tcW w:w="3352" w:type="pct"/>
            <w:gridSpan w:val="2"/>
            <w:tcBorders>
              <w:top w:val="single" w:sz="4" w:space="0" w:color="auto"/>
              <w:left w:val="nil"/>
              <w:bottom w:val="nil"/>
            </w:tcBorders>
          </w:tcPr>
          <w:p w14:paraId="64222CE3" w14:textId="77777777" w:rsidR="007F5500" w:rsidRPr="004C78D8" w:rsidRDefault="007F5500" w:rsidP="00FB7C1F">
            <w:pPr>
              <w:pBdr>
                <w:top w:val="nil"/>
                <w:left w:val="nil"/>
                <w:bottom w:val="nil"/>
                <w:right w:val="nil"/>
                <w:between w:val="nil"/>
              </w:pBdr>
              <w:spacing w:after="0"/>
              <w:jc w:val="center"/>
              <w:rPr>
                <w:b/>
                <w:bCs/>
                <w:i/>
                <w:iCs/>
                <w:color w:val="000000"/>
                <w:sz w:val="18"/>
                <w:szCs w:val="18"/>
              </w:rPr>
            </w:pPr>
            <w:r w:rsidRPr="004C78D8">
              <w:rPr>
                <w:b/>
                <w:bCs/>
                <w:i/>
                <w:iCs/>
                <w:color w:val="000000"/>
                <w:sz w:val="18"/>
                <w:szCs w:val="18"/>
              </w:rPr>
              <w:t>(B) Facilitators and barriers in the community</w:t>
            </w:r>
          </w:p>
        </w:tc>
      </w:tr>
      <w:tr w:rsidR="007F5500" w:rsidRPr="004C78D8" w14:paraId="1A262591" w14:textId="77777777" w:rsidTr="002828C1">
        <w:tc>
          <w:tcPr>
            <w:tcW w:w="1648" w:type="pct"/>
            <w:vMerge/>
            <w:tcBorders>
              <w:right w:val="nil"/>
            </w:tcBorders>
          </w:tcPr>
          <w:p w14:paraId="1F7D3BD3" w14:textId="77777777" w:rsidR="007F5500" w:rsidRPr="004C78D8" w:rsidRDefault="007F5500" w:rsidP="00FB7C1F">
            <w:pPr>
              <w:spacing w:after="0"/>
              <w:jc w:val="left"/>
              <w:rPr>
                <w:sz w:val="18"/>
                <w:szCs w:val="18"/>
              </w:rPr>
            </w:pPr>
          </w:p>
        </w:tc>
        <w:tc>
          <w:tcPr>
            <w:tcW w:w="1651" w:type="pct"/>
            <w:tcBorders>
              <w:top w:val="nil"/>
              <w:left w:val="nil"/>
              <w:bottom w:val="single" w:sz="4" w:space="0" w:color="auto"/>
              <w:right w:val="nil"/>
            </w:tcBorders>
          </w:tcPr>
          <w:p w14:paraId="226CE3AC" w14:textId="77777777" w:rsidR="007F5500" w:rsidRPr="004C78D8" w:rsidRDefault="007F5500" w:rsidP="00FB7C1F">
            <w:pPr>
              <w:numPr>
                <w:ilvl w:val="0"/>
                <w:numId w:val="15"/>
              </w:numPr>
              <w:pBdr>
                <w:top w:val="nil"/>
                <w:left w:val="nil"/>
                <w:bottom w:val="nil"/>
                <w:right w:val="nil"/>
                <w:between w:val="nil"/>
              </w:pBdr>
              <w:spacing w:after="0"/>
              <w:ind w:left="282" w:hanging="218"/>
              <w:jc w:val="left"/>
              <w:rPr>
                <w:color w:val="000000"/>
                <w:sz w:val="18"/>
                <w:szCs w:val="18"/>
              </w:rPr>
            </w:pPr>
            <w:r w:rsidRPr="004C78D8">
              <w:rPr>
                <w:color w:val="000000"/>
                <w:sz w:val="18"/>
                <w:szCs w:val="18"/>
              </w:rPr>
              <w:t>Community marketing [3-4]</w:t>
            </w:r>
          </w:p>
          <w:p w14:paraId="4667050A" w14:textId="77777777" w:rsidR="007F5500" w:rsidRPr="004C78D8" w:rsidRDefault="007F5500" w:rsidP="00FB7C1F">
            <w:pPr>
              <w:numPr>
                <w:ilvl w:val="0"/>
                <w:numId w:val="15"/>
              </w:numPr>
              <w:pBdr>
                <w:top w:val="nil"/>
                <w:left w:val="nil"/>
                <w:bottom w:val="nil"/>
                <w:right w:val="nil"/>
                <w:between w:val="nil"/>
              </w:pBdr>
              <w:spacing w:after="0"/>
              <w:ind w:left="282" w:hanging="218"/>
              <w:jc w:val="left"/>
              <w:rPr>
                <w:color w:val="000000"/>
                <w:sz w:val="18"/>
                <w:szCs w:val="18"/>
              </w:rPr>
            </w:pPr>
            <w:r w:rsidRPr="004C78D8">
              <w:rPr>
                <w:color w:val="000000"/>
                <w:sz w:val="18"/>
                <w:szCs w:val="18"/>
              </w:rPr>
              <w:t>Peer recommendations [3-5]</w:t>
            </w:r>
          </w:p>
          <w:p w14:paraId="79393C60" w14:textId="77777777" w:rsidR="007F5500" w:rsidRPr="004C78D8" w:rsidRDefault="007F5500" w:rsidP="00FB7C1F">
            <w:pPr>
              <w:numPr>
                <w:ilvl w:val="0"/>
                <w:numId w:val="15"/>
              </w:numPr>
              <w:pBdr>
                <w:top w:val="nil"/>
                <w:left w:val="nil"/>
                <w:bottom w:val="nil"/>
                <w:right w:val="nil"/>
                <w:between w:val="nil"/>
              </w:pBdr>
              <w:spacing w:after="0"/>
              <w:ind w:left="282" w:hanging="218"/>
              <w:jc w:val="left"/>
              <w:rPr>
                <w:color w:val="000000"/>
                <w:sz w:val="18"/>
                <w:szCs w:val="18"/>
              </w:rPr>
            </w:pPr>
            <w:r w:rsidRPr="004C78D8">
              <w:rPr>
                <w:color w:val="000000"/>
                <w:sz w:val="18"/>
                <w:szCs w:val="18"/>
              </w:rPr>
              <w:t>Marketing health benefits of interventions [3-6]</w:t>
            </w:r>
          </w:p>
        </w:tc>
        <w:tc>
          <w:tcPr>
            <w:tcW w:w="1701" w:type="pct"/>
            <w:tcBorders>
              <w:top w:val="nil"/>
              <w:left w:val="nil"/>
              <w:bottom w:val="single" w:sz="4" w:space="0" w:color="auto"/>
            </w:tcBorders>
          </w:tcPr>
          <w:p w14:paraId="23CE36B9" w14:textId="77777777" w:rsidR="007F5500" w:rsidRPr="004C78D8" w:rsidRDefault="007F5500" w:rsidP="00FB7C1F">
            <w:pPr>
              <w:numPr>
                <w:ilvl w:val="0"/>
                <w:numId w:val="15"/>
              </w:numPr>
              <w:pBdr>
                <w:top w:val="nil"/>
                <w:left w:val="nil"/>
                <w:bottom w:val="nil"/>
                <w:right w:val="nil"/>
                <w:between w:val="nil"/>
              </w:pBdr>
              <w:spacing w:after="0"/>
              <w:ind w:left="259" w:hanging="218"/>
              <w:jc w:val="left"/>
              <w:rPr>
                <w:color w:val="000000"/>
                <w:sz w:val="18"/>
                <w:szCs w:val="18"/>
              </w:rPr>
            </w:pPr>
            <w:r w:rsidRPr="004C78D8">
              <w:rPr>
                <w:color w:val="000000"/>
                <w:sz w:val="18"/>
                <w:szCs w:val="18"/>
              </w:rPr>
              <w:t>Lack of information in community [3-17]</w:t>
            </w:r>
          </w:p>
          <w:p w14:paraId="391616D2" w14:textId="77777777" w:rsidR="007F5500" w:rsidRPr="004C78D8" w:rsidRDefault="007F5500" w:rsidP="00FB7C1F">
            <w:pPr>
              <w:numPr>
                <w:ilvl w:val="0"/>
                <w:numId w:val="15"/>
              </w:numPr>
              <w:pBdr>
                <w:top w:val="nil"/>
                <w:left w:val="nil"/>
                <w:bottom w:val="nil"/>
                <w:right w:val="nil"/>
                <w:between w:val="nil"/>
              </w:pBdr>
              <w:spacing w:after="0"/>
              <w:ind w:left="259" w:hanging="218"/>
              <w:jc w:val="left"/>
              <w:rPr>
                <w:color w:val="000000"/>
                <w:sz w:val="18"/>
                <w:szCs w:val="18"/>
              </w:rPr>
            </w:pPr>
            <w:r w:rsidRPr="004C78D8">
              <w:rPr>
                <w:color w:val="000000"/>
                <w:sz w:val="18"/>
                <w:szCs w:val="18"/>
              </w:rPr>
              <w:t>Barriers related to socioeconomic class [3-18]</w:t>
            </w:r>
          </w:p>
          <w:p w14:paraId="1F76584C" w14:textId="77777777" w:rsidR="007F5500" w:rsidRPr="004C78D8" w:rsidRDefault="007F5500" w:rsidP="00FB7C1F">
            <w:pPr>
              <w:numPr>
                <w:ilvl w:val="0"/>
                <w:numId w:val="15"/>
              </w:numPr>
              <w:pBdr>
                <w:top w:val="nil"/>
                <w:left w:val="nil"/>
                <w:bottom w:val="nil"/>
                <w:right w:val="nil"/>
                <w:between w:val="nil"/>
              </w:pBdr>
              <w:spacing w:after="0"/>
              <w:ind w:left="259" w:hanging="218"/>
              <w:jc w:val="left"/>
              <w:rPr>
                <w:color w:val="000000"/>
                <w:sz w:val="18"/>
                <w:szCs w:val="18"/>
              </w:rPr>
            </w:pPr>
            <w:r w:rsidRPr="004C78D8">
              <w:rPr>
                <w:color w:val="000000"/>
                <w:sz w:val="18"/>
                <w:szCs w:val="18"/>
              </w:rPr>
              <w:t>Linguistic barriers to information uptake [3-19]</w:t>
            </w:r>
          </w:p>
        </w:tc>
      </w:tr>
      <w:tr w:rsidR="007F5500" w:rsidRPr="004C78D8" w14:paraId="6944B3DC" w14:textId="77777777" w:rsidTr="002828C1">
        <w:tc>
          <w:tcPr>
            <w:tcW w:w="1648" w:type="pct"/>
            <w:vMerge/>
            <w:tcBorders>
              <w:right w:val="nil"/>
            </w:tcBorders>
          </w:tcPr>
          <w:p w14:paraId="447BE9DE" w14:textId="77777777" w:rsidR="007F5500" w:rsidRPr="004C78D8" w:rsidRDefault="007F5500" w:rsidP="00FB7C1F">
            <w:pPr>
              <w:spacing w:after="0"/>
              <w:jc w:val="left"/>
              <w:rPr>
                <w:sz w:val="18"/>
                <w:szCs w:val="18"/>
              </w:rPr>
            </w:pPr>
          </w:p>
        </w:tc>
        <w:tc>
          <w:tcPr>
            <w:tcW w:w="3352" w:type="pct"/>
            <w:gridSpan w:val="2"/>
            <w:tcBorders>
              <w:top w:val="single" w:sz="4" w:space="0" w:color="auto"/>
              <w:left w:val="nil"/>
              <w:bottom w:val="nil"/>
            </w:tcBorders>
          </w:tcPr>
          <w:p w14:paraId="60C7BA58" w14:textId="77777777" w:rsidR="007F5500" w:rsidRPr="004C78D8" w:rsidRDefault="007F5500" w:rsidP="00FB7C1F">
            <w:pPr>
              <w:pBdr>
                <w:top w:val="nil"/>
                <w:left w:val="nil"/>
                <w:bottom w:val="nil"/>
                <w:right w:val="nil"/>
                <w:between w:val="nil"/>
              </w:pBdr>
              <w:spacing w:after="0"/>
              <w:ind w:left="64"/>
              <w:jc w:val="center"/>
              <w:rPr>
                <w:b/>
                <w:bCs/>
                <w:i/>
                <w:iCs/>
                <w:color w:val="000000"/>
                <w:sz w:val="18"/>
                <w:szCs w:val="18"/>
              </w:rPr>
            </w:pPr>
            <w:r w:rsidRPr="004C78D8">
              <w:rPr>
                <w:b/>
                <w:bCs/>
                <w:i/>
                <w:iCs/>
                <w:color w:val="000000"/>
                <w:sz w:val="18"/>
                <w:szCs w:val="18"/>
              </w:rPr>
              <w:t>(C) Intervention characteristics</w:t>
            </w:r>
          </w:p>
        </w:tc>
      </w:tr>
      <w:tr w:rsidR="007F5500" w:rsidRPr="004C78D8" w14:paraId="5687FB0D" w14:textId="77777777" w:rsidTr="002828C1">
        <w:tc>
          <w:tcPr>
            <w:tcW w:w="1648" w:type="pct"/>
            <w:vMerge/>
            <w:tcBorders>
              <w:right w:val="nil"/>
            </w:tcBorders>
          </w:tcPr>
          <w:p w14:paraId="0BB4DC5C" w14:textId="77777777" w:rsidR="007F5500" w:rsidRPr="004C78D8" w:rsidRDefault="007F5500" w:rsidP="00FB7C1F">
            <w:pPr>
              <w:spacing w:after="0"/>
              <w:jc w:val="left"/>
              <w:rPr>
                <w:sz w:val="18"/>
                <w:szCs w:val="18"/>
              </w:rPr>
            </w:pPr>
          </w:p>
        </w:tc>
        <w:tc>
          <w:tcPr>
            <w:tcW w:w="1651" w:type="pct"/>
            <w:tcBorders>
              <w:top w:val="nil"/>
              <w:left w:val="nil"/>
              <w:bottom w:val="single" w:sz="4" w:space="0" w:color="auto"/>
              <w:right w:val="nil"/>
            </w:tcBorders>
          </w:tcPr>
          <w:p w14:paraId="34767C4E" w14:textId="77777777" w:rsidR="007F5500" w:rsidRPr="004C78D8" w:rsidRDefault="007F5500" w:rsidP="00FB7C1F">
            <w:pPr>
              <w:numPr>
                <w:ilvl w:val="0"/>
                <w:numId w:val="15"/>
              </w:numPr>
              <w:pBdr>
                <w:top w:val="nil"/>
                <w:left w:val="nil"/>
                <w:bottom w:val="nil"/>
                <w:right w:val="nil"/>
                <w:between w:val="nil"/>
              </w:pBdr>
              <w:spacing w:after="0"/>
              <w:ind w:left="282" w:hanging="218"/>
              <w:jc w:val="left"/>
              <w:rPr>
                <w:color w:val="000000"/>
                <w:sz w:val="18"/>
                <w:szCs w:val="18"/>
              </w:rPr>
            </w:pPr>
            <w:r w:rsidRPr="004C78D8">
              <w:rPr>
                <w:color w:val="000000"/>
                <w:sz w:val="18"/>
                <w:szCs w:val="18"/>
              </w:rPr>
              <w:t>Intervention is free/cheap [3-7]</w:t>
            </w:r>
          </w:p>
          <w:p w14:paraId="408B8FBB" w14:textId="77777777" w:rsidR="007F5500" w:rsidRPr="004C78D8" w:rsidRDefault="007F5500" w:rsidP="00FB7C1F">
            <w:pPr>
              <w:numPr>
                <w:ilvl w:val="0"/>
                <w:numId w:val="15"/>
              </w:numPr>
              <w:pBdr>
                <w:top w:val="nil"/>
                <w:left w:val="nil"/>
                <w:bottom w:val="nil"/>
                <w:right w:val="nil"/>
                <w:between w:val="nil"/>
              </w:pBdr>
              <w:spacing w:after="0"/>
              <w:ind w:left="282" w:hanging="218"/>
              <w:jc w:val="left"/>
              <w:rPr>
                <w:color w:val="000000"/>
                <w:sz w:val="18"/>
                <w:szCs w:val="18"/>
              </w:rPr>
            </w:pPr>
            <w:r w:rsidRPr="004C78D8">
              <w:rPr>
                <w:color w:val="000000"/>
                <w:sz w:val="18"/>
                <w:szCs w:val="18"/>
              </w:rPr>
              <w:t>Intervention is enjoyable [3-8]</w:t>
            </w:r>
          </w:p>
          <w:p w14:paraId="4515D924" w14:textId="77777777" w:rsidR="007F5500" w:rsidRPr="004C78D8" w:rsidRDefault="007F5500" w:rsidP="00FB7C1F">
            <w:pPr>
              <w:numPr>
                <w:ilvl w:val="0"/>
                <w:numId w:val="15"/>
              </w:numPr>
              <w:pBdr>
                <w:top w:val="nil"/>
                <w:left w:val="nil"/>
                <w:bottom w:val="nil"/>
                <w:right w:val="nil"/>
                <w:between w:val="nil"/>
              </w:pBdr>
              <w:spacing w:after="0"/>
              <w:ind w:left="282" w:hanging="218"/>
              <w:jc w:val="left"/>
              <w:rPr>
                <w:color w:val="000000"/>
                <w:sz w:val="18"/>
                <w:szCs w:val="18"/>
              </w:rPr>
            </w:pPr>
            <w:r w:rsidRPr="004C78D8">
              <w:rPr>
                <w:color w:val="000000"/>
                <w:sz w:val="18"/>
                <w:szCs w:val="18"/>
              </w:rPr>
              <w:lastRenderedPageBreak/>
              <w:t>Intervention is of suitable difficulty [3-9]</w:t>
            </w:r>
          </w:p>
          <w:p w14:paraId="72381C9B" w14:textId="77777777" w:rsidR="007F5500" w:rsidRPr="004C78D8" w:rsidRDefault="007F5500" w:rsidP="00FB7C1F">
            <w:pPr>
              <w:numPr>
                <w:ilvl w:val="0"/>
                <w:numId w:val="15"/>
              </w:numPr>
              <w:pBdr>
                <w:top w:val="nil"/>
                <w:left w:val="nil"/>
                <w:bottom w:val="nil"/>
                <w:right w:val="nil"/>
                <w:between w:val="nil"/>
              </w:pBdr>
              <w:spacing w:after="0"/>
              <w:ind w:left="282" w:hanging="218"/>
              <w:jc w:val="left"/>
              <w:rPr>
                <w:color w:val="000000"/>
                <w:sz w:val="18"/>
                <w:szCs w:val="18"/>
              </w:rPr>
            </w:pPr>
            <w:r w:rsidRPr="004C78D8">
              <w:rPr>
                <w:color w:val="000000"/>
                <w:sz w:val="18"/>
                <w:szCs w:val="18"/>
              </w:rPr>
              <w:t>Intervention is safe [3-10]</w:t>
            </w:r>
          </w:p>
          <w:p w14:paraId="6DAE610A" w14:textId="77777777" w:rsidR="007F5500" w:rsidRPr="004C78D8" w:rsidRDefault="007F5500" w:rsidP="00FB7C1F">
            <w:pPr>
              <w:numPr>
                <w:ilvl w:val="0"/>
                <w:numId w:val="15"/>
              </w:numPr>
              <w:pBdr>
                <w:top w:val="nil"/>
                <w:left w:val="nil"/>
                <w:bottom w:val="nil"/>
                <w:right w:val="nil"/>
                <w:between w:val="nil"/>
              </w:pBdr>
              <w:spacing w:after="0"/>
              <w:ind w:left="282" w:hanging="218"/>
              <w:jc w:val="left"/>
              <w:rPr>
                <w:color w:val="000000"/>
                <w:sz w:val="18"/>
                <w:szCs w:val="18"/>
              </w:rPr>
            </w:pPr>
            <w:r w:rsidRPr="004C78D8">
              <w:rPr>
                <w:color w:val="000000"/>
                <w:sz w:val="18"/>
                <w:szCs w:val="18"/>
              </w:rPr>
              <w:t>Intervention is conveniently located [3-11]</w:t>
            </w:r>
          </w:p>
        </w:tc>
        <w:tc>
          <w:tcPr>
            <w:tcW w:w="1701" w:type="pct"/>
            <w:tcBorders>
              <w:top w:val="nil"/>
              <w:left w:val="nil"/>
              <w:bottom w:val="single" w:sz="4" w:space="0" w:color="auto"/>
            </w:tcBorders>
          </w:tcPr>
          <w:p w14:paraId="55CDAADA" w14:textId="77777777" w:rsidR="007F5500" w:rsidRPr="004C78D8" w:rsidRDefault="007F5500" w:rsidP="00FB7C1F">
            <w:pPr>
              <w:numPr>
                <w:ilvl w:val="0"/>
                <w:numId w:val="15"/>
              </w:numPr>
              <w:pBdr>
                <w:top w:val="nil"/>
                <w:left w:val="nil"/>
                <w:bottom w:val="nil"/>
                <w:right w:val="nil"/>
                <w:between w:val="nil"/>
              </w:pBdr>
              <w:spacing w:after="0"/>
              <w:ind w:left="259" w:hanging="218"/>
              <w:jc w:val="left"/>
              <w:rPr>
                <w:color w:val="000000"/>
                <w:sz w:val="18"/>
                <w:szCs w:val="18"/>
              </w:rPr>
            </w:pPr>
            <w:r w:rsidRPr="004C78D8">
              <w:rPr>
                <w:color w:val="000000"/>
                <w:sz w:val="18"/>
                <w:szCs w:val="18"/>
              </w:rPr>
              <w:lastRenderedPageBreak/>
              <w:t>High intervention cost [3-20]</w:t>
            </w:r>
          </w:p>
          <w:p w14:paraId="4E204E87" w14:textId="77777777" w:rsidR="007F5500" w:rsidRPr="004C78D8" w:rsidRDefault="007F5500" w:rsidP="00FB7C1F">
            <w:pPr>
              <w:numPr>
                <w:ilvl w:val="0"/>
                <w:numId w:val="15"/>
              </w:numPr>
              <w:pBdr>
                <w:top w:val="nil"/>
                <w:left w:val="nil"/>
                <w:bottom w:val="nil"/>
                <w:right w:val="nil"/>
                <w:between w:val="nil"/>
              </w:pBdr>
              <w:spacing w:after="0"/>
              <w:ind w:left="259" w:hanging="218"/>
              <w:jc w:val="left"/>
              <w:rPr>
                <w:color w:val="000000"/>
                <w:sz w:val="18"/>
                <w:szCs w:val="18"/>
              </w:rPr>
            </w:pPr>
            <w:r w:rsidRPr="004C78D8">
              <w:rPr>
                <w:color w:val="000000"/>
                <w:sz w:val="18"/>
                <w:szCs w:val="18"/>
              </w:rPr>
              <w:t>Inconvenient timing of intervention [3-21]</w:t>
            </w:r>
          </w:p>
          <w:p w14:paraId="48716902" w14:textId="77777777" w:rsidR="007F5500" w:rsidRPr="004C78D8" w:rsidRDefault="007F5500" w:rsidP="00FB7C1F">
            <w:pPr>
              <w:numPr>
                <w:ilvl w:val="0"/>
                <w:numId w:val="15"/>
              </w:numPr>
              <w:pBdr>
                <w:top w:val="nil"/>
                <w:left w:val="nil"/>
                <w:bottom w:val="nil"/>
                <w:right w:val="nil"/>
                <w:between w:val="nil"/>
              </w:pBdr>
              <w:spacing w:after="0"/>
              <w:ind w:left="259" w:hanging="218"/>
              <w:jc w:val="left"/>
              <w:rPr>
                <w:color w:val="000000"/>
                <w:sz w:val="18"/>
                <w:szCs w:val="18"/>
              </w:rPr>
            </w:pPr>
            <w:r w:rsidRPr="004C78D8">
              <w:rPr>
                <w:color w:val="000000"/>
                <w:sz w:val="18"/>
                <w:szCs w:val="18"/>
              </w:rPr>
              <w:lastRenderedPageBreak/>
              <w:t>Lack of safe venues for intervention [3-22]</w:t>
            </w:r>
          </w:p>
          <w:p w14:paraId="41D65502" w14:textId="77777777" w:rsidR="007F5500" w:rsidRPr="004C78D8" w:rsidRDefault="007F5500" w:rsidP="00FB7C1F">
            <w:pPr>
              <w:numPr>
                <w:ilvl w:val="0"/>
                <w:numId w:val="15"/>
              </w:numPr>
              <w:pBdr>
                <w:top w:val="nil"/>
                <w:left w:val="nil"/>
                <w:bottom w:val="nil"/>
                <w:right w:val="nil"/>
                <w:between w:val="nil"/>
              </w:pBdr>
              <w:spacing w:after="0"/>
              <w:ind w:left="259" w:hanging="218"/>
              <w:jc w:val="left"/>
              <w:rPr>
                <w:color w:val="000000"/>
                <w:sz w:val="18"/>
                <w:szCs w:val="18"/>
              </w:rPr>
            </w:pPr>
            <w:r w:rsidRPr="004C78D8">
              <w:rPr>
                <w:color w:val="000000"/>
                <w:sz w:val="18"/>
                <w:szCs w:val="18"/>
              </w:rPr>
              <w:t>Transport access and cost issues [3-23]</w:t>
            </w:r>
          </w:p>
        </w:tc>
      </w:tr>
      <w:tr w:rsidR="007F5500" w:rsidRPr="004C78D8" w14:paraId="2E795792" w14:textId="77777777" w:rsidTr="002828C1">
        <w:tc>
          <w:tcPr>
            <w:tcW w:w="1648" w:type="pct"/>
            <w:vMerge/>
            <w:tcBorders>
              <w:right w:val="nil"/>
            </w:tcBorders>
          </w:tcPr>
          <w:p w14:paraId="39B70CF2" w14:textId="77777777" w:rsidR="007F5500" w:rsidRPr="004C78D8" w:rsidRDefault="007F5500" w:rsidP="00FB7C1F">
            <w:pPr>
              <w:spacing w:after="0"/>
              <w:jc w:val="left"/>
              <w:rPr>
                <w:sz w:val="18"/>
                <w:szCs w:val="18"/>
              </w:rPr>
            </w:pPr>
          </w:p>
        </w:tc>
        <w:tc>
          <w:tcPr>
            <w:tcW w:w="3352" w:type="pct"/>
            <w:gridSpan w:val="2"/>
            <w:tcBorders>
              <w:top w:val="single" w:sz="4" w:space="0" w:color="auto"/>
              <w:left w:val="nil"/>
              <w:bottom w:val="nil"/>
            </w:tcBorders>
          </w:tcPr>
          <w:p w14:paraId="3E7876FB" w14:textId="77777777" w:rsidR="007F5500" w:rsidRPr="004C78D8" w:rsidRDefault="007F5500" w:rsidP="00FB7C1F">
            <w:pPr>
              <w:pBdr>
                <w:top w:val="nil"/>
                <w:left w:val="nil"/>
                <w:bottom w:val="nil"/>
                <w:right w:val="nil"/>
                <w:between w:val="nil"/>
              </w:pBdr>
              <w:spacing w:after="0"/>
              <w:jc w:val="center"/>
              <w:rPr>
                <w:b/>
                <w:bCs/>
                <w:i/>
                <w:iCs/>
                <w:color w:val="000000"/>
                <w:sz w:val="18"/>
                <w:szCs w:val="18"/>
              </w:rPr>
            </w:pPr>
            <w:r w:rsidRPr="004C78D8">
              <w:rPr>
                <w:b/>
                <w:bCs/>
                <w:i/>
                <w:iCs/>
                <w:color w:val="000000"/>
                <w:sz w:val="18"/>
                <w:szCs w:val="18"/>
              </w:rPr>
              <w:t>(D) Professional competence and funding</w:t>
            </w:r>
          </w:p>
        </w:tc>
      </w:tr>
      <w:tr w:rsidR="007F5500" w:rsidRPr="004C78D8" w14:paraId="1C9F1E05" w14:textId="77777777" w:rsidTr="002828C1">
        <w:tc>
          <w:tcPr>
            <w:tcW w:w="1648" w:type="pct"/>
            <w:vMerge/>
            <w:tcBorders>
              <w:bottom w:val="single" w:sz="4" w:space="0" w:color="auto"/>
              <w:right w:val="nil"/>
            </w:tcBorders>
          </w:tcPr>
          <w:p w14:paraId="00215475" w14:textId="77777777" w:rsidR="007F5500" w:rsidRPr="004C78D8" w:rsidRDefault="007F5500" w:rsidP="00FB7C1F">
            <w:pPr>
              <w:spacing w:after="0"/>
              <w:jc w:val="left"/>
              <w:rPr>
                <w:sz w:val="18"/>
                <w:szCs w:val="18"/>
              </w:rPr>
            </w:pPr>
          </w:p>
        </w:tc>
        <w:tc>
          <w:tcPr>
            <w:tcW w:w="1651" w:type="pct"/>
            <w:tcBorders>
              <w:top w:val="nil"/>
              <w:left w:val="nil"/>
              <w:bottom w:val="single" w:sz="4" w:space="0" w:color="auto"/>
              <w:right w:val="nil"/>
            </w:tcBorders>
          </w:tcPr>
          <w:p w14:paraId="19B1CCDF" w14:textId="77777777" w:rsidR="007F5500" w:rsidRPr="004C78D8" w:rsidRDefault="007F5500" w:rsidP="00FB7C1F">
            <w:pPr>
              <w:numPr>
                <w:ilvl w:val="0"/>
                <w:numId w:val="15"/>
              </w:numPr>
              <w:pBdr>
                <w:top w:val="nil"/>
                <w:left w:val="nil"/>
                <w:bottom w:val="nil"/>
                <w:right w:val="nil"/>
                <w:between w:val="nil"/>
              </w:pBdr>
              <w:spacing w:after="0"/>
              <w:ind w:left="282" w:hanging="218"/>
              <w:jc w:val="left"/>
              <w:rPr>
                <w:color w:val="000000"/>
                <w:sz w:val="18"/>
                <w:szCs w:val="18"/>
              </w:rPr>
            </w:pPr>
            <w:r w:rsidRPr="004C78D8">
              <w:rPr>
                <w:color w:val="000000"/>
                <w:sz w:val="18"/>
                <w:szCs w:val="18"/>
              </w:rPr>
              <w:t>Professional recommendations are more important than peer recommendations [3-12]</w:t>
            </w:r>
          </w:p>
          <w:p w14:paraId="550D3B9D" w14:textId="77777777" w:rsidR="007F5500" w:rsidRPr="004C78D8" w:rsidRDefault="007F5500" w:rsidP="00FB7C1F">
            <w:pPr>
              <w:numPr>
                <w:ilvl w:val="0"/>
                <w:numId w:val="15"/>
              </w:numPr>
              <w:pBdr>
                <w:top w:val="nil"/>
                <w:left w:val="nil"/>
                <w:bottom w:val="nil"/>
                <w:right w:val="nil"/>
                <w:between w:val="nil"/>
              </w:pBdr>
              <w:spacing w:after="0"/>
              <w:ind w:left="282" w:hanging="218"/>
              <w:jc w:val="left"/>
              <w:rPr>
                <w:color w:val="000000"/>
                <w:sz w:val="18"/>
                <w:szCs w:val="18"/>
              </w:rPr>
            </w:pPr>
            <w:r w:rsidRPr="004C78D8">
              <w:rPr>
                <w:color w:val="000000"/>
                <w:sz w:val="18"/>
                <w:szCs w:val="18"/>
              </w:rPr>
              <w:t>Professional awareness of community initiatives [3-13]</w:t>
            </w:r>
          </w:p>
          <w:p w14:paraId="77B4CB82" w14:textId="77777777" w:rsidR="007F5500" w:rsidRPr="004C78D8" w:rsidRDefault="007F5500" w:rsidP="00FB7C1F">
            <w:pPr>
              <w:numPr>
                <w:ilvl w:val="0"/>
                <w:numId w:val="15"/>
              </w:numPr>
              <w:pBdr>
                <w:top w:val="nil"/>
                <w:left w:val="nil"/>
                <w:bottom w:val="nil"/>
                <w:right w:val="nil"/>
                <w:between w:val="nil"/>
              </w:pBdr>
              <w:spacing w:after="0"/>
              <w:ind w:left="282" w:hanging="218"/>
              <w:jc w:val="left"/>
              <w:rPr>
                <w:color w:val="000000"/>
                <w:sz w:val="18"/>
                <w:szCs w:val="18"/>
              </w:rPr>
            </w:pPr>
            <w:r w:rsidRPr="004C78D8">
              <w:rPr>
                <w:color w:val="000000"/>
                <w:sz w:val="18"/>
                <w:szCs w:val="18"/>
              </w:rPr>
              <w:t>Person-centred professional referrals [3-14]</w:t>
            </w:r>
          </w:p>
        </w:tc>
        <w:tc>
          <w:tcPr>
            <w:tcW w:w="1701" w:type="pct"/>
            <w:tcBorders>
              <w:top w:val="nil"/>
              <w:left w:val="nil"/>
              <w:bottom w:val="single" w:sz="4" w:space="0" w:color="auto"/>
            </w:tcBorders>
          </w:tcPr>
          <w:p w14:paraId="6DF02599" w14:textId="77777777" w:rsidR="007F5500" w:rsidRPr="004C78D8" w:rsidRDefault="007F5500" w:rsidP="00FB7C1F">
            <w:pPr>
              <w:numPr>
                <w:ilvl w:val="0"/>
                <w:numId w:val="15"/>
              </w:numPr>
              <w:pBdr>
                <w:top w:val="nil"/>
                <w:left w:val="nil"/>
                <w:bottom w:val="nil"/>
                <w:right w:val="nil"/>
                <w:between w:val="nil"/>
              </w:pBdr>
              <w:spacing w:after="0"/>
              <w:ind w:left="259" w:hanging="218"/>
              <w:jc w:val="left"/>
              <w:rPr>
                <w:color w:val="000000"/>
                <w:sz w:val="18"/>
                <w:szCs w:val="18"/>
              </w:rPr>
            </w:pPr>
            <w:r w:rsidRPr="004C78D8">
              <w:rPr>
                <w:color w:val="000000"/>
                <w:sz w:val="18"/>
                <w:szCs w:val="18"/>
              </w:rPr>
              <w:t>Lack of professional awareness of community initiatives [3-24]</w:t>
            </w:r>
          </w:p>
          <w:p w14:paraId="30DF43A9" w14:textId="77777777" w:rsidR="007F5500" w:rsidRPr="004C78D8" w:rsidRDefault="007F5500" w:rsidP="00FB7C1F">
            <w:pPr>
              <w:numPr>
                <w:ilvl w:val="0"/>
                <w:numId w:val="15"/>
              </w:numPr>
              <w:pBdr>
                <w:top w:val="nil"/>
                <w:left w:val="nil"/>
                <w:bottom w:val="nil"/>
                <w:right w:val="nil"/>
                <w:between w:val="nil"/>
              </w:pBdr>
              <w:spacing w:after="0"/>
              <w:ind w:left="259" w:hanging="218"/>
              <w:jc w:val="left"/>
              <w:rPr>
                <w:color w:val="000000"/>
                <w:sz w:val="18"/>
                <w:szCs w:val="18"/>
              </w:rPr>
            </w:pPr>
            <w:r w:rsidRPr="004C78D8">
              <w:rPr>
                <w:color w:val="000000"/>
                <w:sz w:val="18"/>
                <w:szCs w:val="18"/>
              </w:rPr>
              <w:t>Commandeering attitude of professionals [3-25]</w:t>
            </w:r>
          </w:p>
          <w:p w14:paraId="00338596" w14:textId="77777777" w:rsidR="007F5500" w:rsidRPr="004C78D8" w:rsidRDefault="007F5500" w:rsidP="00FB7C1F">
            <w:pPr>
              <w:numPr>
                <w:ilvl w:val="0"/>
                <w:numId w:val="15"/>
              </w:numPr>
              <w:pBdr>
                <w:top w:val="nil"/>
                <w:left w:val="nil"/>
                <w:bottom w:val="nil"/>
                <w:right w:val="nil"/>
                <w:between w:val="nil"/>
              </w:pBdr>
              <w:spacing w:after="0"/>
              <w:ind w:left="259" w:hanging="218"/>
              <w:jc w:val="left"/>
              <w:rPr>
                <w:color w:val="000000"/>
                <w:sz w:val="18"/>
                <w:szCs w:val="18"/>
              </w:rPr>
            </w:pPr>
            <w:r w:rsidRPr="004C78D8">
              <w:rPr>
                <w:color w:val="000000"/>
                <w:sz w:val="18"/>
                <w:szCs w:val="18"/>
              </w:rPr>
              <w:t>Reactive professional approach [3-26]</w:t>
            </w:r>
          </w:p>
          <w:p w14:paraId="53988124" w14:textId="77777777" w:rsidR="007F5500" w:rsidRPr="004C78D8" w:rsidRDefault="007F5500" w:rsidP="00FB7C1F">
            <w:pPr>
              <w:numPr>
                <w:ilvl w:val="0"/>
                <w:numId w:val="15"/>
              </w:numPr>
              <w:pBdr>
                <w:top w:val="nil"/>
                <w:left w:val="nil"/>
                <w:bottom w:val="nil"/>
                <w:right w:val="nil"/>
                <w:between w:val="nil"/>
              </w:pBdr>
              <w:spacing w:after="0"/>
              <w:ind w:left="259" w:hanging="218"/>
              <w:jc w:val="left"/>
              <w:rPr>
                <w:color w:val="000000"/>
                <w:sz w:val="18"/>
                <w:szCs w:val="18"/>
              </w:rPr>
            </w:pPr>
            <w:r w:rsidRPr="004C78D8">
              <w:rPr>
                <w:color w:val="000000"/>
                <w:sz w:val="18"/>
                <w:szCs w:val="18"/>
              </w:rPr>
              <w:t>Mismatch between area-based demand and supply [3-27]</w:t>
            </w:r>
          </w:p>
        </w:tc>
      </w:tr>
      <w:tr w:rsidR="007F5500" w:rsidRPr="004C78D8" w14:paraId="4AF18FE0" w14:textId="77777777" w:rsidTr="002828C1">
        <w:tc>
          <w:tcPr>
            <w:tcW w:w="1648" w:type="pct"/>
            <w:vMerge w:val="restart"/>
            <w:tcBorders>
              <w:top w:val="single" w:sz="4" w:space="0" w:color="auto"/>
              <w:right w:val="nil"/>
            </w:tcBorders>
          </w:tcPr>
          <w:p w14:paraId="1F4F62CF" w14:textId="79FB94B3" w:rsidR="007F5500" w:rsidRPr="004C78D8" w:rsidRDefault="007F5500" w:rsidP="00FB7C1F">
            <w:pPr>
              <w:spacing w:after="0"/>
              <w:jc w:val="left"/>
              <w:rPr>
                <w:sz w:val="18"/>
                <w:szCs w:val="18"/>
              </w:rPr>
            </w:pPr>
            <w:r w:rsidRPr="004C78D8">
              <w:rPr>
                <w:sz w:val="18"/>
                <w:szCs w:val="18"/>
              </w:rPr>
              <w:t xml:space="preserve">Adherence and long-term </w:t>
            </w:r>
            <w:r w:rsidR="000E7C01" w:rsidRPr="004C78D8">
              <w:rPr>
                <w:sz w:val="18"/>
                <w:szCs w:val="18"/>
              </w:rPr>
              <w:t>access to</w:t>
            </w:r>
            <w:r w:rsidRPr="004C78D8">
              <w:rPr>
                <w:sz w:val="18"/>
                <w:szCs w:val="18"/>
              </w:rPr>
              <w:t xml:space="preserve"> falls prevention treatments [4]</w:t>
            </w:r>
          </w:p>
        </w:tc>
        <w:tc>
          <w:tcPr>
            <w:tcW w:w="3352" w:type="pct"/>
            <w:gridSpan w:val="2"/>
            <w:tcBorders>
              <w:top w:val="single" w:sz="4" w:space="0" w:color="auto"/>
              <w:left w:val="nil"/>
              <w:bottom w:val="nil"/>
            </w:tcBorders>
          </w:tcPr>
          <w:p w14:paraId="438E737E" w14:textId="77777777" w:rsidR="007F5500" w:rsidRPr="004C78D8" w:rsidRDefault="007F5500" w:rsidP="00FB7C1F">
            <w:pPr>
              <w:pBdr>
                <w:top w:val="nil"/>
                <w:left w:val="nil"/>
                <w:bottom w:val="nil"/>
                <w:right w:val="nil"/>
                <w:between w:val="nil"/>
              </w:pBdr>
              <w:spacing w:after="0"/>
              <w:jc w:val="center"/>
              <w:rPr>
                <w:b/>
                <w:bCs/>
                <w:i/>
                <w:iCs/>
                <w:color w:val="000000"/>
                <w:sz w:val="18"/>
                <w:szCs w:val="18"/>
              </w:rPr>
            </w:pPr>
            <w:r w:rsidRPr="004C78D8">
              <w:rPr>
                <w:b/>
                <w:bCs/>
                <w:i/>
                <w:iCs/>
                <w:color w:val="000000"/>
                <w:sz w:val="18"/>
                <w:szCs w:val="18"/>
              </w:rPr>
              <w:t>(A) Motivation and health of older persons</w:t>
            </w:r>
          </w:p>
        </w:tc>
      </w:tr>
      <w:tr w:rsidR="007F5500" w:rsidRPr="004C78D8" w14:paraId="6A62042F" w14:textId="77777777" w:rsidTr="002828C1">
        <w:tc>
          <w:tcPr>
            <w:tcW w:w="1648" w:type="pct"/>
            <w:vMerge/>
            <w:tcBorders>
              <w:right w:val="nil"/>
            </w:tcBorders>
          </w:tcPr>
          <w:p w14:paraId="30295BD1" w14:textId="77777777" w:rsidR="007F5500" w:rsidRPr="004C78D8" w:rsidRDefault="007F5500" w:rsidP="00FB7C1F">
            <w:pPr>
              <w:spacing w:after="0"/>
              <w:jc w:val="left"/>
              <w:rPr>
                <w:sz w:val="18"/>
                <w:szCs w:val="18"/>
              </w:rPr>
            </w:pPr>
          </w:p>
        </w:tc>
        <w:tc>
          <w:tcPr>
            <w:tcW w:w="1651" w:type="pct"/>
            <w:tcBorders>
              <w:top w:val="nil"/>
              <w:left w:val="nil"/>
              <w:bottom w:val="single" w:sz="4" w:space="0" w:color="auto"/>
              <w:right w:val="nil"/>
            </w:tcBorders>
          </w:tcPr>
          <w:p w14:paraId="3DB439CB" w14:textId="77777777" w:rsidR="007F5500" w:rsidRPr="004C78D8" w:rsidRDefault="007F5500" w:rsidP="00FB7C1F">
            <w:pPr>
              <w:numPr>
                <w:ilvl w:val="0"/>
                <w:numId w:val="15"/>
              </w:numPr>
              <w:pBdr>
                <w:top w:val="nil"/>
                <w:left w:val="nil"/>
                <w:bottom w:val="nil"/>
                <w:right w:val="nil"/>
                <w:between w:val="nil"/>
              </w:pBdr>
              <w:spacing w:after="0"/>
              <w:ind w:left="282" w:hanging="218"/>
              <w:jc w:val="left"/>
              <w:rPr>
                <w:color w:val="000000"/>
                <w:sz w:val="18"/>
                <w:szCs w:val="18"/>
              </w:rPr>
            </w:pPr>
            <w:r w:rsidRPr="004C78D8">
              <w:rPr>
                <w:color w:val="000000"/>
                <w:sz w:val="18"/>
                <w:szCs w:val="18"/>
              </w:rPr>
              <w:t>Older person’s motivation to maintain health [4-1]</w:t>
            </w:r>
          </w:p>
        </w:tc>
        <w:tc>
          <w:tcPr>
            <w:tcW w:w="1701" w:type="pct"/>
            <w:tcBorders>
              <w:top w:val="nil"/>
              <w:left w:val="nil"/>
              <w:bottom w:val="single" w:sz="4" w:space="0" w:color="auto"/>
            </w:tcBorders>
          </w:tcPr>
          <w:p w14:paraId="4619E48E" w14:textId="77777777" w:rsidR="007F5500" w:rsidRPr="004C78D8" w:rsidRDefault="007F5500" w:rsidP="00FB7C1F">
            <w:pPr>
              <w:numPr>
                <w:ilvl w:val="0"/>
                <w:numId w:val="15"/>
              </w:numPr>
              <w:pBdr>
                <w:top w:val="nil"/>
                <w:left w:val="nil"/>
                <w:bottom w:val="nil"/>
                <w:right w:val="nil"/>
                <w:between w:val="nil"/>
              </w:pBdr>
              <w:spacing w:after="0"/>
              <w:ind w:left="259" w:hanging="218"/>
              <w:jc w:val="left"/>
              <w:rPr>
                <w:color w:val="000000"/>
                <w:sz w:val="18"/>
                <w:szCs w:val="18"/>
              </w:rPr>
            </w:pPr>
            <w:r w:rsidRPr="004C78D8">
              <w:rPr>
                <w:color w:val="000000"/>
                <w:sz w:val="18"/>
                <w:szCs w:val="18"/>
              </w:rPr>
              <w:t>Older person’s illness and comorbidities [4-10]</w:t>
            </w:r>
          </w:p>
        </w:tc>
      </w:tr>
      <w:tr w:rsidR="007F5500" w:rsidRPr="004C78D8" w14:paraId="6064E6AC" w14:textId="77777777" w:rsidTr="002828C1">
        <w:tc>
          <w:tcPr>
            <w:tcW w:w="1648" w:type="pct"/>
            <w:vMerge/>
            <w:tcBorders>
              <w:right w:val="nil"/>
            </w:tcBorders>
          </w:tcPr>
          <w:p w14:paraId="4D476ECB" w14:textId="77777777" w:rsidR="007F5500" w:rsidRPr="004C78D8" w:rsidRDefault="007F5500" w:rsidP="00FB7C1F">
            <w:pPr>
              <w:spacing w:after="0"/>
              <w:jc w:val="left"/>
              <w:rPr>
                <w:sz w:val="18"/>
                <w:szCs w:val="18"/>
              </w:rPr>
            </w:pPr>
          </w:p>
        </w:tc>
        <w:tc>
          <w:tcPr>
            <w:tcW w:w="3352" w:type="pct"/>
            <w:gridSpan w:val="2"/>
            <w:tcBorders>
              <w:top w:val="single" w:sz="4" w:space="0" w:color="auto"/>
              <w:left w:val="nil"/>
              <w:bottom w:val="nil"/>
            </w:tcBorders>
          </w:tcPr>
          <w:p w14:paraId="487234EB" w14:textId="77777777" w:rsidR="007F5500" w:rsidRPr="004C78D8" w:rsidRDefault="007F5500" w:rsidP="00FB7C1F">
            <w:pPr>
              <w:pBdr>
                <w:top w:val="nil"/>
                <w:left w:val="nil"/>
                <w:bottom w:val="nil"/>
                <w:right w:val="nil"/>
                <w:between w:val="nil"/>
              </w:pBdr>
              <w:spacing w:after="0"/>
              <w:jc w:val="center"/>
              <w:rPr>
                <w:b/>
                <w:bCs/>
                <w:i/>
                <w:iCs/>
                <w:color w:val="000000"/>
                <w:sz w:val="18"/>
                <w:szCs w:val="18"/>
              </w:rPr>
            </w:pPr>
            <w:r w:rsidRPr="004C78D8">
              <w:rPr>
                <w:b/>
                <w:bCs/>
                <w:i/>
                <w:iCs/>
                <w:color w:val="000000"/>
                <w:sz w:val="18"/>
                <w:szCs w:val="18"/>
              </w:rPr>
              <w:t>(B) Positive and negative experiences of intervention characteristics</w:t>
            </w:r>
          </w:p>
        </w:tc>
      </w:tr>
      <w:tr w:rsidR="007F5500" w:rsidRPr="004C78D8" w14:paraId="7DAACC17" w14:textId="77777777" w:rsidTr="002828C1">
        <w:tc>
          <w:tcPr>
            <w:tcW w:w="1648" w:type="pct"/>
            <w:vMerge/>
            <w:tcBorders>
              <w:right w:val="nil"/>
            </w:tcBorders>
          </w:tcPr>
          <w:p w14:paraId="19F24362" w14:textId="77777777" w:rsidR="007F5500" w:rsidRPr="004C78D8" w:rsidRDefault="007F5500" w:rsidP="00FB7C1F">
            <w:pPr>
              <w:spacing w:after="0"/>
              <w:jc w:val="left"/>
              <w:rPr>
                <w:sz w:val="18"/>
                <w:szCs w:val="18"/>
              </w:rPr>
            </w:pPr>
          </w:p>
        </w:tc>
        <w:tc>
          <w:tcPr>
            <w:tcW w:w="1651" w:type="pct"/>
            <w:tcBorders>
              <w:top w:val="nil"/>
              <w:left w:val="nil"/>
              <w:bottom w:val="single" w:sz="4" w:space="0" w:color="auto"/>
              <w:right w:val="nil"/>
            </w:tcBorders>
          </w:tcPr>
          <w:p w14:paraId="7E0FB37B" w14:textId="77777777" w:rsidR="007F5500" w:rsidRPr="004C78D8" w:rsidRDefault="007F5500" w:rsidP="00FB7C1F">
            <w:pPr>
              <w:numPr>
                <w:ilvl w:val="0"/>
                <w:numId w:val="15"/>
              </w:numPr>
              <w:pBdr>
                <w:top w:val="nil"/>
                <w:left w:val="nil"/>
                <w:bottom w:val="nil"/>
                <w:right w:val="nil"/>
                <w:between w:val="nil"/>
              </w:pBdr>
              <w:spacing w:after="0"/>
              <w:ind w:left="282" w:hanging="218"/>
              <w:jc w:val="left"/>
              <w:rPr>
                <w:color w:val="000000"/>
                <w:sz w:val="18"/>
                <w:szCs w:val="18"/>
              </w:rPr>
            </w:pPr>
            <w:r w:rsidRPr="004C78D8">
              <w:rPr>
                <w:color w:val="000000"/>
                <w:sz w:val="18"/>
                <w:szCs w:val="18"/>
              </w:rPr>
              <w:t>Experience of intervention reducing falls risk [4-2]</w:t>
            </w:r>
          </w:p>
          <w:p w14:paraId="3B656E52" w14:textId="77777777" w:rsidR="007F5500" w:rsidRPr="004C78D8" w:rsidRDefault="007F5500" w:rsidP="00FB7C1F">
            <w:pPr>
              <w:numPr>
                <w:ilvl w:val="0"/>
                <w:numId w:val="15"/>
              </w:numPr>
              <w:pBdr>
                <w:top w:val="nil"/>
                <w:left w:val="nil"/>
                <w:bottom w:val="nil"/>
                <w:right w:val="nil"/>
                <w:between w:val="nil"/>
              </w:pBdr>
              <w:spacing w:after="0"/>
              <w:ind w:left="282" w:hanging="218"/>
              <w:jc w:val="left"/>
              <w:rPr>
                <w:color w:val="000000"/>
                <w:sz w:val="18"/>
                <w:szCs w:val="18"/>
              </w:rPr>
            </w:pPr>
            <w:r w:rsidRPr="004C78D8">
              <w:rPr>
                <w:color w:val="000000"/>
                <w:sz w:val="18"/>
                <w:szCs w:val="18"/>
              </w:rPr>
              <w:t>Experience of wider health benefits of interventions [4-3]</w:t>
            </w:r>
          </w:p>
          <w:p w14:paraId="3D460459" w14:textId="77777777" w:rsidR="007F5500" w:rsidRPr="004C78D8" w:rsidRDefault="007F5500" w:rsidP="00FB7C1F">
            <w:pPr>
              <w:numPr>
                <w:ilvl w:val="0"/>
                <w:numId w:val="15"/>
              </w:numPr>
              <w:pBdr>
                <w:top w:val="nil"/>
                <w:left w:val="nil"/>
                <w:bottom w:val="nil"/>
                <w:right w:val="nil"/>
                <w:between w:val="nil"/>
              </w:pBdr>
              <w:spacing w:after="0"/>
              <w:ind w:left="282" w:hanging="218"/>
              <w:jc w:val="left"/>
              <w:rPr>
                <w:color w:val="000000"/>
                <w:sz w:val="18"/>
                <w:szCs w:val="18"/>
              </w:rPr>
            </w:pPr>
            <w:r w:rsidRPr="004C78D8">
              <w:rPr>
                <w:color w:val="000000"/>
                <w:sz w:val="18"/>
                <w:szCs w:val="18"/>
              </w:rPr>
              <w:t>Intervention is enjoyable [4-4]</w:t>
            </w:r>
          </w:p>
          <w:p w14:paraId="4221ABE4" w14:textId="77777777" w:rsidR="007F5500" w:rsidRPr="004C78D8" w:rsidRDefault="007F5500" w:rsidP="00FB7C1F">
            <w:pPr>
              <w:numPr>
                <w:ilvl w:val="0"/>
                <w:numId w:val="15"/>
              </w:numPr>
              <w:pBdr>
                <w:top w:val="nil"/>
                <w:left w:val="nil"/>
                <w:bottom w:val="nil"/>
                <w:right w:val="nil"/>
                <w:between w:val="nil"/>
              </w:pBdr>
              <w:spacing w:after="0"/>
              <w:ind w:left="282" w:hanging="218"/>
              <w:jc w:val="left"/>
              <w:rPr>
                <w:color w:val="000000"/>
                <w:sz w:val="18"/>
                <w:szCs w:val="18"/>
              </w:rPr>
            </w:pPr>
            <w:r w:rsidRPr="004C78D8">
              <w:rPr>
                <w:color w:val="000000"/>
                <w:sz w:val="18"/>
                <w:szCs w:val="18"/>
              </w:rPr>
              <w:t>Intervention enables high social participation [4-5]</w:t>
            </w:r>
          </w:p>
          <w:p w14:paraId="20CC1056" w14:textId="77777777" w:rsidR="007F5500" w:rsidRPr="004C78D8" w:rsidRDefault="007F5500" w:rsidP="00FB7C1F">
            <w:pPr>
              <w:numPr>
                <w:ilvl w:val="0"/>
                <w:numId w:val="15"/>
              </w:numPr>
              <w:pBdr>
                <w:top w:val="nil"/>
                <w:left w:val="nil"/>
                <w:bottom w:val="nil"/>
                <w:right w:val="nil"/>
                <w:between w:val="nil"/>
              </w:pBdr>
              <w:spacing w:after="0"/>
              <w:ind w:left="282" w:hanging="218"/>
              <w:jc w:val="left"/>
              <w:rPr>
                <w:color w:val="000000"/>
                <w:sz w:val="18"/>
                <w:szCs w:val="18"/>
              </w:rPr>
            </w:pPr>
            <w:r w:rsidRPr="004C78D8">
              <w:rPr>
                <w:color w:val="000000"/>
                <w:sz w:val="18"/>
                <w:szCs w:val="18"/>
              </w:rPr>
              <w:t>Intervention is individually tailored [4-6]</w:t>
            </w:r>
          </w:p>
        </w:tc>
        <w:tc>
          <w:tcPr>
            <w:tcW w:w="1701" w:type="pct"/>
            <w:tcBorders>
              <w:top w:val="nil"/>
              <w:left w:val="nil"/>
              <w:bottom w:val="single" w:sz="4" w:space="0" w:color="auto"/>
            </w:tcBorders>
          </w:tcPr>
          <w:p w14:paraId="4F9B8A29" w14:textId="77777777" w:rsidR="007F5500" w:rsidRPr="004C78D8" w:rsidRDefault="007F5500" w:rsidP="00FB7C1F">
            <w:pPr>
              <w:numPr>
                <w:ilvl w:val="0"/>
                <w:numId w:val="15"/>
              </w:numPr>
              <w:pBdr>
                <w:top w:val="nil"/>
                <w:left w:val="nil"/>
                <w:bottom w:val="nil"/>
                <w:right w:val="nil"/>
                <w:between w:val="nil"/>
              </w:pBdr>
              <w:spacing w:after="0"/>
              <w:ind w:left="259" w:hanging="218"/>
              <w:jc w:val="left"/>
              <w:rPr>
                <w:color w:val="000000"/>
                <w:sz w:val="18"/>
                <w:szCs w:val="18"/>
              </w:rPr>
            </w:pPr>
            <w:r w:rsidRPr="004C78D8">
              <w:rPr>
                <w:color w:val="000000"/>
                <w:sz w:val="18"/>
                <w:szCs w:val="18"/>
              </w:rPr>
              <w:t>High intervention cost [4-11]</w:t>
            </w:r>
          </w:p>
          <w:p w14:paraId="1D101559" w14:textId="77777777" w:rsidR="007F5500" w:rsidRPr="004C78D8" w:rsidRDefault="007F5500" w:rsidP="00FB7C1F">
            <w:pPr>
              <w:numPr>
                <w:ilvl w:val="0"/>
                <w:numId w:val="15"/>
              </w:numPr>
              <w:pBdr>
                <w:top w:val="nil"/>
                <w:left w:val="nil"/>
                <w:bottom w:val="nil"/>
                <w:right w:val="nil"/>
                <w:between w:val="nil"/>
              </w:pBdr>
              <w:spacing w:after="0"/>
              <w:ind w:left="259" w:hanging="218"/>
              <w:jc w:val="left"/>
              <w:rPr>
                <w:color w:val="000000"/>
                <w:sz w:val="18"/>
                <w:szCs w:val="18"/>
              </w:rPr>
            </w:pPr>
            <w:r w:rsidRPr="004C78D8">
              <w:rPr>
                <w:color w:val="000000"/>
                <w:sz w:val="18"/>
                <w:szCs w:val="18"/>
              </w:rPr>
              <w:t>Intervention is of unsuitable difficulty [4-12]</w:t>
            </w:r>
          </w:p>
          <w:p w14:paraId="0D0FB1A1" w14:textId="77777777" w:rsidR="007F5500" w:rsidRPr="004C78D8" w:rsidRDefault="007F5500" w:rsidP="00FB7C1F">
            <w:pPr>
              <w:numPr>
                <w:ilvl w:val="0"/>
                <w:numId w:val="15"/>
              </w:numPr>
              <w:pBdr>
                <w:top w:val="nil"/>
                <w:left w:val="nil"/>
                <w:bottom w:val="nil"/>
                <w:right w:val="nil"/>
                <w:between w:val="nil"/>
              </w:pBdr>
              <w:spacing w:after="0"/>
              <w:ind w:left="259" w:hanging="218"/>
              <w:jc w:val="left"/>
              <w:rPr>
                <w:color w:val="000000"/>
                <w:sz w:val="18"/>
                <w:szCs w:val="18"/>
              </w:rPr>
            </w:pPr>
            <w:r w:rsidRPr="004C78D8">
              <w:rPr>
                <w:color w:val="000000"/>
                <w:sz w:val="18"/>
                <w:szCs w:val="18"/>
              </w:rPr>
              <w:t>Intervention is not individually tailored [4-13]</w:t>
            </w:r>
          </w:p>
          <w:p w14:paraId="2E1E2D1B" w14:textId="77777777" w:rsidR="007F5500" w:rsidRPr="004C78D8" w:rsidRDefault="007F5500" w:rsidP="00FB7C1F">
            <w:pPr>
              <w:numPr>
                <w:ilvl w:val="0"/>
                <w:numId w:val="15"/>
              </w:numPr>
              <w:pBdr>
                <w:top w:val="nil"/>
                <w:left w:val="nil"/>
                <w:bottom w:val="nil"/>
                <w:right w:val="nil"/>
                <w:between w:val="nil"/>
              </w:pBdr>
              <w:spacing w:after="0"/>
              <w:ind w:left="259" w:hanging="218"/>
              <w:jc w:val="left"/>
              <w:rPr>
                <w:color w:val="000000"/>
                <w:sz w:val="18"/>
                <w:szCs w:val="18"/>
              </w:rPr>
            </w:pPr>
            <w:r w:rsidRPr="004C78D8">
              <w:rPr>
                <w:color w:val="000000"/>
                <w:sz w:val="18"/>
                <w:szCs w:val="18"/>
              </w:rPr>
              <w:t>Inconvenient timing of intervention [4-14]</w:t>
            </w:r>
          </w:p>
          <w:p w14:paraId="56B52073" w14:textId="77777777" w:rsidR="007F5500" w:rsidRPr="004C78D8" w:rsidRDefault="007F5500" w:rsidP="00FB7C1F">
            <w:pPr>
              <w:numPr>
                <w:ilvl w:val="0"/>
                <w:numId w:val="15"/>
              </w:numPr>
              <w:pBdr>
                <w:top w:val="nil"/>
                <w:left w:val="nil"/>
                <w:bottom w:val="nil"/>
                <w:right w:val="nil"/>
                <w:between w:val="nil"/>
              </w:pBdr>
              <w:spacing w:after="0"/>
              <w:ind w:left="259" w:hanging="218"/>
              <w:jc w:val="left"/>
              <w:rPr>
                <w:color w:val="000000"/>
                <w:sz w:val="18"/>
                <w:szCs w:val="18"/>
              </w:rPr>
            </w:pPr>
            <w:r w:rsidRPr="004C78D8">
              <w:rPr>
                <w:color w:val="000000"/>
                <w:sz w:val="18"/>
                <w:szCs w:val="18"/>
              </w:rPr>
              <w:t>Transport access issues [4-15]</w:t>
            </w:r>
          </w:p>
        </w:tc>
      </w:tr>
      <w:tr w:rsidR="007F5500" w:rsidRPr="004C78D8" w14:paraId="1F13F442" w14:textId="77777777" w:rsidTr="002828C1">
        <w:tc>
          <w:tcPr>
            <w:tcW w:w="1648" w:type="pct"/>
            <w:vMerge/>
            <w:tcBorders>
              <w:right w:val="nil"/>
            </w:tcBorders>
          </w:tcPr>
          <w:p w14:paraId="1C649946" w14:textId="77777777" w:rsidR="007F5500" w:rsidRPr="004C78D8" w:rsidRDefault="007F5500" w:rsidP="00FB7C1F">
            <w:pPr>
              <w:spacing w:after="0"/>
              <w:jc w:val="left"/>
              <w:rPr>
                <w:sz w:val="18"/>
                <w:szCs w:val="18"/>
              </w:rPr>
            </w:pPr>
          </w:p>
        </w:tc>
        <w:tc>
          <w:tcPr>
            <w:tcW w:w="3352" w:type="pct"/>
            <w:gridSpan w:val="2"/>
            <w:tcBorders>
              <w:top w:val="single" w:sz="4" w:space="0" w:color="auto"/>
              <w:left w:val="nil"/>
              <w:bottom w:val="nil"/>
            </w:tcBorders>
          </w:tcPr>
          <w:p w14:paraId="5A58E347" w14:textId="77777777" w:rsidR="007F5500" w:rsidRPr="004C78D8" w:rsidRDefault="007F5500" w:rsidP="00FB7C1F">
            <w:pPr>
              <w:pBdr>
                <w:top w:val="nil"/>
                <w:left w:val="nil"/>
                <w:bottom w:val="nil"/>
                <w:right w:val="nil"/>
                <w:between w:val="nil"/>
              </w:pBdr>
              <w:spacing w:after="0"/>
              <w:jc w:val="center"/>
              <w:rPr>
                <w:b/>
                <w:bCs/>
                <w:i/>
                <w:iCs/>
                <w:color w:val="000000"/>
                <w:sz w:val="18"/>
                <w:szCs w:val="18"/>
              </w:rPr>
            </w:pPr>
            <w:r w:rsidRPr="004C78D8">
              <w:rPr>
                <w:b/>
                <w:bCs/>
                <w:i/>
                <w:iCs/>
                <w:color w:val="000000"/>
                <w:sz w:val="18"/>
                <w:szCs w:val="18"/>
              </w:rPr>
              <w:t>(C) Professional availability and competence and funding</w:t>
            </w:r>
          </w:p>
        </w:tc>
      </w:tr>
      <w:tr w:rsidR="007F5500" w:rsidRPr="004C78D8" w14:paraId="5E14EC06" w14:textId="77777777" w:rsidTr="002828C1">
        <w:tc>
          <w:tcPr>
            <w:tcW w:w="1648" w:type="pct"/>
            <w:vMerge/>
            <w:tcBorders>
              <w:right w:val="nil"/>
            </w:tcBorders>
          </w:tcPr>
          <w:p w14:paraId="5B8E5D2B" w14:textId="77777777" w:rsidR="007F5500" w:rsidRPr="004C78D8" w:rsidRDefault="007F5500" w:rsidP="00FB7C1F">
            <w:pPr>
              <w:spacing w:after="0"/>
              <w:jc w:val="left"/>
              <w:rPr>
                <w:sz w:val="18"/>
                <w:szCs w:val="18"/>
              </w:rPr>
            </w:pPr>
          </w:p>
        </w:tc>
        <w:tc>
          <w:tcPr>
            <w:tcW w:w="1651" w:type="pct"/>
            <w:tcBorders>
              <w:top w:val="nil"/>
              <w:left w:val="nil"/>
              <w:right w:val="nil"/>
            </w:tcBorders>
          </w:tcPr>
          <w:p w14:paraId="7F99289D" w14:textId="77777777" w:rsidR="007F5500" w:rsidRPr="004C78D8" w:rsidRDefault="007F5500" w:rsidP="00FB7C1F">
            <w:pPr>
              <w:numPr>
                <w:ilvl w:val="0"/>
                <w:numId w:val="15"/>
              </w:numPr>
              <w:pBdr>
                <w:top w:val="nil"/>
                <w:left w:val="nil"/>
                <w:bottom w:val="nil"/>
                <w:right w:val="nil"/>
                <w:between w:val="nil"/>
              </w:pBdr>
              <w:spacing w:after="0"/>
              <w:ind w:left="282" w:hanging="218"/>
              <w:jc w:val="left"/>
              <w:rPr>
                <w:color w:val="000000"/>
                <w:sz w:val="18"/>
                <w:szCs w:val="18"/>
              </w:rPr>
            </w:pPr>
            <w:r w:rsidRPr="004C78D8">
              <w:rPr>
                <w:color w:val="000000"/>
                <w:sz w:val="18"/>
                <w:szCs w:val="18"/>
              </w:rPr>
              <w:t>Availability of staff [4-7]</w:t>
            </w:r>
          </w:p>
          <w:p w14:paraId="31B801C0" w14:textId="77777777" w:rsidR="007F5500" w:rsidRPr="004C78D8" w:rsidRDefault="007F5500" w:rsidP="00FB7C1F">
            <w:pPr>
              <w:numPr>
                <w:ilvl w:val="0"/>
                <w:numId w:val="15"/>
              </w:numPr>
              <w:pBdr>
                <w:top w:val="nil"/>
                <w:left w:val="nil"/>
                <w:bottom w:val="nil"/>
                <w:right w:val="nil"/>
                <w:between w:val="nil"/>
              </w:pBdr>
              <w:spacing w:after="0"/>
              <w:ind w:left="282" w:hanging="218"/>
              <w:jc w:val="left"/>
              <w:rPr>
                <w:color w:val="000000"/>
                <w:sz w:val="18"/>
                <w:szCs w:val="18"/>
              </w:rPr>
            </w:pPr>
            <w:r w:rsidRPr="004C78D8">
              <w:rPr>
                <w:color w:val="000000"/>
                <w:sz w:val="18"/>
                <w:szCs w:val="18"/>
              </w:rPr>
              <w:t>Proactive professional approach to sustain adherence [4-8]</w:t>
            </w:r>
          </w:p>
          <w:p w14:paraId="7B28002F" w14:textId="77777777" w:rsidR="007F5500" w:rsidRPr="004C78D8" w:rsidRDefault="007F5500" w:rsidP="00FB7C1F">
            <w:pPr>
              <w:numPr>
                <w:ilvl w:val="0"/>
                <w:numId w:val="15"/>
              </w:numPr>
              <w:pBdr>
                <w:top w:val="nil"/>
                <w:left w:val="nil"/>
                <w:bottom w:val="nil"/>
                <w:right w:val="nil"/>
                <w:between w:val="nil"/>
              </w:pBdr>
              <w:spacing w:after="0" w:line="240" w:lineRule="auto"/>
              <w:ind w:left="282" w:hanging="218"/>
              <w:jc w:val="left"/>
              <w:rPr>
                <w:color w:val="000000"/>
                <w:sz w:val="18"/>
                <w:szCs w:val="18"/>
              </w:rPr>
            </w:pPr>
            <w:r w:rsidRPr="004C78D8">
              <w:rPr>
                <w:color w:val="000000"/>
                <w:sz w:val="18"/>
                <w:szCs w:val="18"/>
              </w:rPr>
              <w:t>Good professional-participant relationship [4-9]</w:t>
            </w:r>
          </w:p>
        </w:tc>
        <w:tc>
          <w:tcPr>
            <w:tcW w:w="1701" w:type="pct"/>
            <w:tcBorders>
              <w:top w:val="nil"/>
              <w:left w:val="nil"/>
            </w:tcBorders>
          </w:tcPr>
          <w:p w14:paraId="489BF852" w14:textId="77777777" w:rsidR="007F5500" w:rsidRPr="004C78D8" w:rsidRDefault="007F5500" w:rsidP="00FB7C1F">
            <w:pPr>
              <w:numPr>
                <w:ilvl w:val="0"/>
                <w:numId w:val="15"/>
              </w:numPr>
              <w:pBdr>
                <w:top w:val="nil"/>
                <w:left w:val="nil"/>
                <w:bottom w:val="nil"/>
                <w:right w:val="nil"/>
                <w:between w:val="nil"/>
              </w:pBdr>
              <w:spacing w:after="0"/>
              <w:ind w:left="259" w:hanging="218"/>
              <w:jc w:val="left"/>
              <w:rPr>
                <w:color w:val="000000"/>
                <w:sz w:val="18"/>
                <w:szCs w:val="18"/>
              </w:rPr>
            </w:pPr>
            <w:r w:rsidRPr="004C78D8">
              <w:rPr>
                <w:color w:val="000000"/>
                <w:sz w:val="18"/>
                <w:szCs w:val="18"/>
              </w:rPr>
              <w:t>Lack of professional and volunteer staff [4-16]</w:t>
            </w:r>
          </w:p>
          <w:p w14:paraId="22923556" w14:textId="77777777" w:rsidR="007F5500" w:rsidRPr="004C78D8" w:rsidRDefault="007F5500" w:rsidP="00FB7C1F">
            <w:pPr>
              <w:numPr>
                <w:ilvl w:val="0"/>
                <w:numId w:val="15"/>
              </w:numPr>
              <w:pBdr>
                <w:top w:val="nil"/>
                <w:left w:val="nil"/>
                <w:bottom w:val="nil"/>
                <w:right w:val="nil"/>
                <w:between w:val="nil"/>
              </w:pBdr>
              <w:spacing w:after="0" w:line="240" w:lineRule="auto"/>
              <w:ind w:left="259" w:hanging="218"/>
              <w:jc w:val="left"/>
              <w:rPr>
                <w:color w:val="000000"/>
                <w:sz w:val="18"/>
                <w:szCs w:val="18"/>
              </w:rPr>
            </w:pPr>
            <w:r w:rsidRPr="004C78D8">
              <w:rPr>
                <w:color w:val="000000"/>
                <w:sz w:val="18"/>
                <w:szCs w:val="18"/>
              </w:rPr>
              <w:t>Insufficient public sector funding [4-17]</w:t>
            </w:r>
          </w:p>
        </w:tc>
      </w:tr>
    </w:tbl>
    <w:p w14:paraId="63AF7C77" w14:textId="7E060403" w:rsidR="007F5500" w:rsidRPr="004C78D8" w:rsidRDefault="007F5500" w:rsidP="00FB7C1F"/>
    <w:p w14:paraId="47D4DF93" w14:textId="4A29F8A4" w:rsidR="00BD236B" w:rsidRPr="004C78D8" w:rsidRDefault="00BD236B" w:rsidP="00FB7C1F">
      <w:pPr>
        <w:pStyle w:val="Heading4"/>
      </w:pPr>
      <w:r w:rsidRPr="004C78D8">
        <w:t>2.4.2.1 Falls risk screening and assessment by professionals</w:t>
      </w:r>
    </w:p>
    <w:p w14:paraId="15D8C168" w14:textId="6E81B3B2" w:rsidR="00BD236B" w:rsidRPr="004C78D8" w:rsidRDefault="00B5555A" w:rsidP="00FB7C1F">
      <w:r w:rsidRPr="004C78D8">
        <w:t>Factors influencing falls risk screening and assessment by professionals could be divided into three groups: (A) professional competence; (B) system-wide approaches and resources; and (C) motivation and awareness of older persons. Participants were aware of the importance of professional competence in conducting the falls risk screening, particularly incompetence as barriers. For example, one participant had noticed the narrow scope of professional risk assessment</w:t>
      </w:r>
      <w:r w:rsidR="00BD236B" w:rsidRPr="004C78D8">
        <w:t>:</w:t>
      </w:r>
    </w:p>
    <w:p w14:paraId="37807625" w14:textId="4E12BDD1" w:rsidR="00BD236B" w:rsidRPr="004C78D8" w:rsidRDefault="00B5555A" w:rsidP="00FB7C1F">
      <w:pPr>
        <w:pStyle w:val="Quote"/>
      </w:pPr>
      <w:r w:rsidRPr="004C78D8">
        <w:t>(FG1) “I’d think it was important if somebody went to a health professional, the health professional would check on a whole lot of background information apart from immediate health thing – you know, what is your living, housing situation.” (Theme [1-6])</w:t>
      </w:r>
    </w:p>
    <w:p w14:paraId="5641283B" w14:textId="53BCF50B" w:rsidR="00BD236B" w:rsidRPr="004C78D8" w:rsidRDefault="00B5555A" w:rsidP="00FB7C1F">
      <w:r w:rsidRPr="004C78D8">
        <w:t>Nevertheless, participants were also aware of the impact of system-level approaches and resources beyond individual professional competence and made suggestions on improvement. One such suggestion was to adopt a proactive, data-based approach to risk screening akin to mass vaccination</w:t>
      </w:r>
      <w:r w:rsidR="00BD236B" w:rsidRPr="004C78D8">
        <w:t>:</w:t>
      </w:r>
    </w:p>
    <w:p w14:paraId="1CB14184" w14:textId="33FDE661" w:rsidR="00BD236B" w:rsidRPr="004C78D8" w:rsidRDefault="00B5555A" w:rsidP="00FB7C1F">
      <w:pPr>
        <w:pBdr>
          <w:top w:val="nil"/>
          <w:left w:val="nil"/>
          <w:bottom w:val="nil"/>
          <w:right w:val="nil"/>
          <w:between w:val="nil"/>
        </w:pBdr>
        <w:spacing w:before="200" w:line="276" w:lineRule="auto"/>
        <w:ind w:left="864" w:right="864"/>
        <w:rPr>
          <w:color w:val="000000" w:themeColor="text1"/>
        </w:rPr>
      </w:pPr>
      <w:r w:rsidRPr="004C78D8">
        <w:rPr>
          <w:color w:val="000000" w:themeColor="text1"/>
        </w:rPr>
        <w:t>(FG1) “And with regards to hooking people in, when flu jab time comes up, we all get a text or a message or we get told that we need a flu jab. So, follow that lead, really. I’m sure there’s a record showing age groups and then tell them ‘Look, this service is available. Come on in!’” (Theme [1-2])</w:t>
      </w:r>
    </w:p>
    <w:p w14:paraId="572B35E0" w14:textId="3E57F48D" w:rsidR="00BD236B" w:rsidRPr="004C78D8" w:rsidRDefault="00B5555A" w:rsidP="00FB7C1F">
      <w:pPr>
        <w:spacing w:line="276" w:lineRule="auto"/>
      </w:pPr>
      <w:r w:rsidRPr="004C78D8">
        <w:t>Moreover, a few comments suggested that older person’s motivation to maintain health would facilitate professional efforts to discuss falls risk and prevention</w:t>
      </w:r>
      <w:r w:rsidR="00BD236B" w:rsidRPr="004C78D8">
        <w:t>:</w:t>
      </w:r>
    </w:p>
    <w:p w14:paraId="2FBEB2CF" w14:textId="459D889F" w:rsidR="00BD236B" w:rsidRPr="004C78D8" w:rsidRDefault="00B5555A" w:rsidP="00FB7C1F">
      <w:pPr>
        <w:pBdr>
          <w:top w:val="nil"/>
          <w:left w:val="nil"/>
          <w:bottom w:val="nil"/>
          <w:right w:val="nil"/>
          <w:between w:val="nil"/>
        </w:pBdr>
        <w:spacing w:before="200" w:line="276" w:lineRule="auto"/>
        <w:ind w:left="864" w:right="864"/>
        <w:rPr>
          <w:color w:val="000000" w:themeColor="text1"/>
        </w:rPr>
      </w:pPr>
      <w:r w:rsidRPr="004C78D8">
        <w:rPr>
          <w:color w:val="000000" w:themeColor="text1"/>
        </w:rPr>
        <w:lastRenderedPageBreak/>
        <w:t>(FG4) “If I was at risk, I would be happy to talk to [the professionals]. Because I would be happy to take any advice on anything that keeps me good as possible for as long as possible, if that makes sense.” (Theme [1-4])</w:t>
      </w:r>
    </w:p>
    <w:p w14:paraId="4734856B" w14:textId="561A683E" w:rsidR="00BD236B" w:rsidRPr="004C78D8" w:rsidRDefault="00BD236B" w:rsidP="00FB7C1F">
      <w:pPr>
        <w:pStyle w:val="Heading4"/>
      </w:pPr>
      <w:r w:rsidRPr="004C78D8">
        <w:t>2.4.2.2 Raising awareness of falls risk</w:t>
      </w:r>
    </w:p>
    <w:p w14:paraId="365EBB64" w14:textId="0CA37B5B" w:rsidR="00BD236B" w:rsidRPr="004C78D8" w:rsidRDefault="000406D6" w:rsidP="00FB7C1F">
      <w:pPr>
        <w:spacing w:line="276" w:lineRule="auto"/>
      </w:pPr>
      <w:r w:rsidRPr="004C78D8">
        <w:t>Participants generally recognised that falls risk awareness is a matter of understanding the ageing process, not only from a certain senior age but from earlier adult life stages. For example, one participant expressed the difficulty of staying aware of falls risks at home during the gradual ageing process</w:t>
      </w:r>
      <w:r w:rsidR="00BD236B" w:rsidRPr="004C78D8">
        <w:t>:</w:t>
      </w:r>
    </w:p>
    <w:p w14:paraId="6B47B4D5" w14:textId="545F1EC6" w:rsidR="00BD236B" w:rsidRPr="004C78D8" w:rsidRDefault="000406D6" w:rsidP="00FB7C1F">
      <w:pPr>
        <w:pBdr>
          <w:top w:val="nil"/>
          <w:left w:val="nil"/>
          <w:bottom w:val="nil"/>
          <w:right w:val="nil"/>
          <w:between w:val="nil"/>
        </w:pBdr>
        <w:spacing w:before="200" w:line="276" w:lineRule="auto"/>
        <w:ind w:left="864" w:right="864"/>
        <w:rPr>
          <w:color w:val="000000" w:themeColor="text1"/>
        </w:rPr>
      </w:pPr>
      <w:r w:rsidRPr="004C78D8">
        <w:rPr>
          <w:color w:val="000000" w:themeColor="text1"/>
        </w:rPr>
        <w:t>(FG1) “Well, it happens so gradually, doesn’t it… when it is part of ageing and degenerative thing, it’s not like they go over night from being perfect to being in a wheelchair. It’s such a gradual thing. And you get used to stuff. You get used to the fact that the rug was curled up at the end.” (Theme [2-3])</w:t>
      </w:r>
    </w:p>
    <w:p w14:paraId="38F1307D" w14:textId="77777777" w:rsidR="00BD236B" w:rsidRPr="004C78D8" w:rsidRDefault="00BD236B" w:rsidP="00FB7C1F">
      <w:r w:rsidRPr="004C78D8">
        <w:t xml:space="preserve">The role of informal caregivers in maintaining awareness of falls risk, particularly in the living environment shared with older persons, was also highlighted.   </w:t>
      </w:r>
    </w:p>
    <w:p w14:paraId="4E1DFD39" w14:textId="118377DA" w:rsidR="00BD236B" w:rsidRPr="004C78D8" w:rsidRDefault="007E39E1" w:rsidP="00FB7C1F">
      <w:pPr>
        <w:pStyle w:val="Heading4"/>
      </w:pPr>
      <w:r w:rsidRPr="004C78D8">
        <w:t>2.4.2.3 Initial uptake of falls prevention treatments</w:t>
      </w:r>
    </w:p>
    <w:p w14:paraId="1DE12267" w14:textId="6AEF6F29" w:rsidR="007E39E1" w:rsidRPr="004C78D8" w:rsidRDefault="000406D6" w:rsidP="00FB7C1F">
      <w:r w:rsidRPr="004C78D8">
        <w:t>Factors influencing the initial uptake of treatments could be divided into four main groups: (A) motivation and awareness of older persons; (B) facilitators and barriers in the community; (C) intervention characteristics; and (D) professional competence and funding</w:t>
      </w:r>
      <w:r w:rsidR="007E39E1" w:rsidRPr="004C78D8">
        <w:t>.</w:t>
      </w:r>
    </w:p>
    <w:p w14:paraId="60F18E0D" w14:textId="6DED25F8" w:rsidR="007E39E1" w:rsidRPr="004C78D8" w:rsidRDefault="000406D6" w:rsidP="00FB7C1F">
      <w:r w:rsidRPr="004C78D8">
        <w:t>For (A), experiences of falls and increasing physical constraints associated with ageing were important catalysts for treatment uptake. That said, one participant declined to enrol in falls prevention despite an experience of falling and professional referral; the fall experience was thought to be the result of a specific situation (postprandial syncope) rather than a symptom of general vulnerability</w:t>
      </w:r>
      <w:r w:rsidR="007E39E1" w:rsidRPr="004C78D8">
        <w:t>:</w:t>
      </w:r>
    </w:p>
    <w:p w14:paraId="2DE37140" w14:textId="66C96856" w:rsidR="007E39E1" w:rsidRPr="004C78D8" w:rsidRDefault="000406D6" w:rsidP="00FB7C1F">
      <w:pPr>
        <w:pStyle w:val="Quote"/>
      </w:pPr>
      <w:r w:rsidRPr="004C78D8">
        <w:t>(FG4) “The only time I had fallen over is if I’m standing up suddenly. I go dizzy and I had a blackout and fall over. The nurse at the medical centres offered for me to go on a course to avoid falling. But I thought it wasn’t really necessary because I only fall in that situation. So I didn’t go on the course. I just have to be careful when I stand up.” (Theme [3-15])</w:t>
      </w:r>
    </w:p>
    <w:p w14:paraId="097C66A4" w14:textId="58C7CF1B" w:rsidR="007E39E1" w:rsidRPr="004C78D8" w:rsidRDefault="000406D6" w:rsidP="00FB7C1F">
      <w:r w:rsidRPr="004C78D8">
        <w:t>For (B), the level of information on the treatment in the community – spread via marketing and peer recommendations – was an important determinant of uptake, while participants perceived socioeconomic and linguistic barriers in how the information is received and acted upon</w:t>
      </w:r>
      <w:r w:rsidR="007E39E1" w:rsidRPr="004C78D8">
        <w:t>:</w:t>
      </w:r>
    </w:p>
    <w:p w14:paraId="047A5283" w14:textId="4A5E9092" w:rsidR="007E39E1" w:rsidRPr="004C78D8" w:rsidRDefault="000406D6" w:rsidP="00FB7C1F">
      <w:pPr>
        <w:pStyle w:val="Quote"/>
      </w:pPr>
      <w:r w:rsidRPr="004C78D8">
        <w:t>(FG3) “I think it’s the actual area, and I do actually think it’s class related in terms of whether people would actually get up and go to something even if it’s advertised, unless there’s somebody actually suggesting having it up in GP surgeries.” (Theme [3-18])</w:t>
      </w:r>
    </w:p>
    <w:p w14:paraId="63BC1027" w14:textId="124E71D0" w:rsidR="007E39E1" w:rsidRPr="004C78D8" w:rsidRDefault="000406D6" w:rsidP="00FB7C1F">
      <w:r w:rsidRPr="004C78D8">
        <w:t>Important intervention characteristics included cost, enjoyability, suitable difficulty, safety, location, timing, support facilities (e.g., lack of handrail at venue entrance), and transport issues (availability and cost). Individuals considered whether the specific combination of these characteristics suited their preference and ability to pay. For example, one participant perceived modest private cost as an acceptable trade-off to enjoyability, while another perceived transport costs as a key main barrier</w:t>
      </w:r>
      <w:r w:rsidR="007E39E1" w:rsidRPr="004C78D8">
        <w:t>:</w:t>
      </w:r>
    </w:p>
    <w:p w14:paraId="40C49A95" w14:textId="02D91DF3" w:rsidR="007E39E1" w:rsidRPr="004C78D8" w:rsidRDefault="007E39E1" w:rsidP="00FB7C1F">
      <w:pPr>
        <w:pStyle w:val="Quote"/>
      </w:pPr>
      <w:r w:rsidRPr="004C78D8">
        <w:t>(FG3) “I do think people would find the three odd pounds if they found [the intervention] absorbed them and really interested them.”</w:t>
      </w:r>
      <w:r w:rsidR="000406D6" w:rsidRPr="004C78D8">
        <w:t xml:space="preserve"> (Theme [3-8])</w:t>
      </w:r>
    </w:p>
    <w:p w14:paraId="516B2DFB" w14:textId="28750556" w:rsidR="007E39E1" w:rsidRPr="004C78D8" w:rsidRDefault="007E39E1" w:rsidP="00FB7C1F">
      <w:pPr>
        <w:pStyle w:val="Quote"/>
      </w:pPr>
      <w:r w:rsidRPr="004C78D8">
        <w:t xml:space="preserve">(FG1) “And also, money and transport, not a lot of us can afford to go, because it’s usually, what, a fiver to get you where you want to go and back and return. Not a lot of people can afford to. When you are on universal credit or job seeker’s </w:t>
      </w:r>
      <w:r w:rsidRPr="004C78D8">
        <w:lastRenderedPageBreak/>
        <w:t>allowance and benefit, I think when you’ve got a disability like I have long enough. I think it should be like the over 60s [person was under 60], they have a bus pass.”</w:t>
      </w:r>
      <w:r w:rsidR="000406D6" w:rsidRPr="004C78D8">
        <w:t xml:space="preserve"> (Theme [3-23])</w:t>
      </w:r>
    </w:p>
    <w:p w14:paraId="17CFC696" w14:textId="2EECD390" w:rsidR="007E39E1" w:rsidRPr="004C78D8" w:rsidRDefault="000406D6" w:rsidP="00FB7C1F">
      <w:r w:rsidRPr="004C78D8">
        <w:t>Participants acknowledged the influential role of professionals in determining their treatment uptake, more influential than their peers according to theme [3-12]. The key steps were professional awareness of falls prevention initiatives in the community, followed by proactive recommendations or referrals made in a respectful and person-centred manner</w:t>
      </w:r>
      <w:r w:rsidR="007E39E1" w:rsidRPr="004C78D8">
        <w:t>:</w:t>
      </w:r>
    </w:p>
    <w:p w14:paraId="19021826" w14:textId="2F1F9771" w:rsidR="007E39E1" w:rsidRPr="004C78D8" w:rsidRDefault="007E39E1" w:rsidP="00FB7C1F">
      <w:pPr>
        <w:pStyle w:val="Quote"/>
      </w:pPr>
      <w:r w:rsidRPr="004C78D8">
        <w:t>(FG1) “One person when we had a meeting found out that so many doctors were handing out too many drugs instead of an alternative. There was an alternative. [My doctor at surgery] said, ‘I’d want you to go and do an aquarobics’ and that helped me, that helped me so much that I didn’t need the drugs.”</w:t>
      </w:r>
      <w:r w:rsidR="000406D6" w:rsidRPr="004C78D8">
        <w:t xml:space="preserve"> (Theme [3-14])</w:t>
      </w:r>
    </w:p>
    <w:p w14:paraId="7B99AD73" w14:textId="2D93E5E6" w:rsidR="007E39E1" w:rsidRPr="004C78D8" w:rsidRDefault="007E39E1" w:rsidP="00FB7C1F">
      <w:pPr>
        <w:pStyle w:val="Heading4"/>
      </w:pPr>
      <w:r w:rsidRPr="004C78D8">
        <w:t xml:space="preserve">2.4.2.4 </w:t>
      </w:r>
      <w:r w:rsidR="00824836" w:rsidRPr="004C78D8">
        <w:t>Adherence and l</w:t>
      </w:r>
      <w:r w:rsidRPr="004C78D8">
        <w:t xml:space="preserve">ong-term </w:t>
      </w:r>
      <w:r w:rsidR="00824836" w:rsidRPr="004C78D8">
        <w:t>participation in</w:t>
      </w:r>
      <w:r w:rsidRPr="004C78D8">
        <w:t xml:space="preserve"> falls prevention treatments</w:t>
      </w:r>
    </w:p>
    <w:p w14:paraId="06FA41D6" w14:textId="181DFA0C" w:rsidR="007E39E1" w:rsidRPr="004C78D8" w:rsidRDefault="00824836" w:rsidP="00FB7C1F">
      <w:r w:rsidRPr="004C78D8">
        <w:t>Factors influencing long-term treatment adherence could be divided into three main groups: (A) motivation and health of older persons; (B) positive and negative experiences of intervention characteristics; and (C) professional availability and competence and funding</w:t>
      </w:r>
      <w:r w:rsidR="007E39E1" w:rsidRPr="004C78D8">
        <w:t>.</w:t>
      </w:r>
    </w:p>
    <w:p w14:paraId="49BC5E19" w14:textId="26011A7C" w:rsidR="007E39E1" w:rsidRPr="004C78D8" w:rsidRDefault="00824836" w:rsidP="00FB7C1F">
      <w:r w:rsidRPr="004C78D8">
        <w:t>Significant illness or comorbidity impeded older persons’ adherence to interventions (theme [4-10]); but preventing an adverse health/functional status also served as a motivation for adherence</w:t>
      </w:r>
      <w:r w:rsidR="007E39E1" w:rsidRPr="004C78D8">
        <w:t>:</w:t>
      </w:r>
    </w:p>
    <w:p w14:paraId="5A72B721" w14:textId="5455D5FD" w:rsidR="007E39E1" w:rsidRPr="004C78D8" w:rsidRDefault="00824836" w:rsidP="00FB7C1F">
      <w:pPr>
        <w:pStyle w:val="Quote"/>
      </w:pPr>
      <w:r w:rsidRPr="004C78D8">
        <w:t>(FG3) “Wanting to maintain what you’ve got. Not wanting to lose your independence. And hang on [to] independence as long as possible because I live alone as well.” (Theme [4-1])</w:t>
      </w:r>
    </w:p>
    <w:p w14:paraId="7DE842DA" w14:textId="63634E09" w:rsidR="007E39E1" w:rsidRPr="004C78D8" w:rsidRDefault="00824836" w:rsidP="00FB7C1F">
      <w:r w:rsidRPr="004C78D8">
        <w:t>Positive intervention experiences or characteristics that sustained adherence included falls risk reduction, wider health benefits, enjoyability, high social participation, and tailoring to individual ability. Negative ones included high cost, unsuitable difficulty, lack of tailoring, inconvenient timing and transport problems. Active involvement of healthcare professionals was not a guarantee that the intervention experience would be positive</w:t>
      </w:r>
      <w:r w:rsidR="007E39E1" w:rsidRPr="004C78D8">
        <w:t>:</w:t>
      </w:r>
    </w:p>
    <w:p w14:paraId="5259AB8A" w14:textId="05E360F6" w:rsidR="007E39E1" w:rsidRPr="004C78D8" w:rsidRDefault="00824836" w:rsidP="00FB7C1F">
      <w:pPr>
        <w:pStyle w:val="Quote"/>
      </w:pPr>
      <w:r w:rsidRPr="004C78D8">
        <w:t>(FG3) “[The GP] set up [a programme] for people to stop falls. And I was in a group of about 8 people. And it was like a small version of going to the gym. And I went to that once and then I postponed it because it’s too hard for my hands.” (Theme [4-12])</w:t>
      </w:r>
    </w:p>
    <w:p w14:paraId="5516C132" w14:textId="6108ED06" w:rsidR="007E39E1" w:rsidRPr="004C78D8" w:rsidRDefault="00824836" w:rsidP="00FB7C1F">
      <w:r w:rsidRPr="004C78D8">
        <w:t>Discontinuities in staff availability and funding unsurprisingly impeded long-term adherence. Otherwise, good bonding between the professional leader and participants was an important facilitator</w:t>
      </w:r>
      <w:r w:rsidR="007E39E1" w:rsidRPr="004C78D8">
        <w:t>:</w:t>
      </w:r>
    </w:p>
    <w:p w14:paraId="64FE82DD" w14:textId="027CC0D4" w:rsidR="007E39E1" w:rsidRPr="004C78D8" w:rsidRDefault="007E39E1" w:rsidP="00FB7C1F">
      <w:pPr>
        <w:pStyle w:val="Quote"/>
      </w:pPr>
      <w:r w:rsidRPr="004C78D8">
        <w:t xml:space="preserve">(INT1) “She [the Dance to Health instructor] goes out of her way to have friendly relationship with everyone that goes. And I think it works. You always get a cuddle when you arrive. And she always shows interest in you, what you are doing and what difficulties you have, and so on.” </w:t>
      </w:r>
      <w:r w:rsidR="00824836" w:rsidRPr="004C78D8">
        <w:t>(Theme [4-9])</w:t>
      </w:r>
      <w:r w:rsidRPr="004C78D8">
        <w:t xml:space="preserve"> </w:t>
      </w:r>
    </w:p>
    <w:p w14:paraId="4CFFC990" w14:textId="4C9D91C0" w:rsidR="007E39E1" w:rsidRPr="004C78D8" w:rsidRDefault="007E39E1" w:rsidP="00FB7C1F">
      <w:pPr>
        <w:pStyle w:val="Heading4"/>
      </w:pPr>
      <w:r w:rsidRPr="004C78D8">
        <w:t>2.4.2.5 Cross-component factors</w:t>
      </w:r>
    </w:p>
    <w:p w14:paraId="1C57DDFB" w14:textId="54E23FD4" w:rsidR="007E39E1" w:rsidRPr="004C78D8" w:rsidRDefault="00824836" w:rsidP="00FB7C1F">
      <w:r w:rsidRPr="004C78D8">
        <w:t>Two common themes across components were older persons’ health motives (themes [1-4, 1-8, 2-1, 3-3, 3-16 and 4-1]) and professional competence ([1-1, 1-5, 1-6, 3-12 to 3-14, 3-24 to 3-26, 4-8 and 4-9). First, older persons’ health-related goals such as maintaining independence facilitated risk screening by professionals ([1-4]), risk awareness ([2-1]) and intervention uptake ([3-3]) and adherence ([4-1]). Secondly, participants perceived that it is professionals’ responsibility to identify all relevant falls risk factors and prescribe relevant treatments (e.g., [1-6 and 3-14]); incompetence resulted in iatrogenic harm despite patient’s awareness</w:t>
      </w:r>
      <w:r w:rsidR="007E39E1" w:rsidRPr="004C78D8">
        <w:t>:</w:t>
      </w:r>
    </w:p>
    <w:p w14:paraId="71EBADBD" w14:textId="2B3A576C" w:rsidR="007E39E1" w:rsidRPr="004C78D8" w:rsidRDefault="007E39E1" w:rsidP="00FB7C1F">
      <w:pPr>
        <w:pStyle w:val="Quote"/>
      </w:pPr>
      <w:r w:rsidRPr="004C78D8">
        <w:lastRenderedPageBreak/>
        <w:t>(FG2) “I’ve got loads of medication variation problems. For me, I don’t really expect GPs to improve things, but they never told me ‘Oh we could change this into that’. He [the GP] just expects me to just keep pre-ordering the medications. So I leave it that way.”</w:t>
      </w:r>
      <w:r w:rsidR="00824836" w:rsidRPr="004C78D8">
        <w:t xml:space="preserve"> (Theme [3-26])</w:t>
      </w:r>
    </w:p>
    <w:p w14:paraId="79751767" w14:textId="4191E7EE" w:rsidR="007E39E1" w:rsidRPr="004C78D8" w:rsidRDefault="00F37CEA" w:rsidP="00FB7C1F">
      <w:r w:rsidRPr="004C78D8">
        <w:t>There was a close overlap in factors determining treatment uptake and adherence and long-term participation, both components sharing the themes concerning motivation of older persons, intervention characteristics and professional competence. As for factor differences, experience of falling was mentioned as a facilitator for uptake ([3-1]) but not adherence. Socioeconomic and linguistic barriers were mentioned only for uptake ([3-18 and 3-19]), likely because they are sufficient to discourage both uptake and adherence for the marginalised subgroups. Funding constraints impeded both uptake and adherence, though in different ways: adherence was predictably curtailed by the funding cut at the end of the pilot period ([4-17]); while uptake was impeded by deliberate policy to concentrate funding in deprived areas despite higher demand in well-off areas</w:t>
      </w:r>
      <w:r w:rsidR="007E39E1" w:rsidRPr="004C78D8">
        <w:t xml:space="preserve">: </w:t>
      </w:r>
    </w:p>
    <w:p w14:paraId="1C0FD26A" w14:textId="241CE29A" w:rsidR="007E39E1" w:rsidRPr="004C78D8" w:rsidRDefault="007E39E1" w:rsidP="00FB7C1F">
      <w:pPr>
        <w:pStyle w:val="Quote"/>
      </w:pPr>
      <w:r w:rsidRPr="004C78D8">
        <w:t>(FG3) “Now, to be honest, this [well-off] area doesn’t usually have anything. You know, I mean, all the money and the grant has been put into only deprived areas.”</w:t>
      </w:r>
      <w:r w:rsidR="00F37CEA" w:rsidRPr="004C78D8">
        <w:t xml:space="preserve"> (Theme [3-27])</w:t>
      </w:r>
    </w:p>
    <w:p w14:paraId="53ED4A0A" w14:textId="7A28C4F5" w:rsidR="007E39E1" w:rsidRPr="004C78D8" w:rsidRDefault="00161907" w:rsidP="00FB7C1F">
      <w:pPr>
        <w:pStyle w:val="Heading4"/>
      </w:pPr>
      <w:r w:rsidRPr="004C78D8">
        <w:t>2.4.2.6 Contextual factors influencing the falls prevention pathway</w:t>
      </w:r>
    </w:p>
    <w:p w14:paraId="09F1F420" w14:textId="38A24AE6" w:rsidR="00161907" w:rsidRPr="004C78D8" w:rsidRDefault="00161907" w:rsidP="00FB7C1F">
      <w:pPr>
        <w:spacing w:line="276" w:lineRule="auto"/>
      </w:pPr>
      <w:r w:rsidRPr="004C78D8">
        <w:t xml:space="preserve">Table 2.3 summarises the contextual factors that influenced the pathway implementation. </w:t>
      </w:r>
      <w:r w:rsidR="006A5642" w:rsidRPr="004C78D8">
        <w:t xml:space="preserve">They could be divided into two groups: (i) intersectoral factors; and (ii) prioritising the vulnerable groups. </w:t>
      </w:r>
      <w:r w:rsidRPr="004C78D8">
        <w:t xml:space="preserve">Table </w:t>
      </w:r>
      <w:r w:rsidR="00570102" w:rsidRPr="004C78D8">
        <w:t>A</w:t>
      </w:r>
      <w:r w:rsidR="003A5AF8" w:rsidRPr="004C78D8">
        <w:t>3</w:t>
      </w:r>
      <w:r w:rsidRPr="004C78D8">
        <w:t xml:space="preserve"> in </w:t>
      </w:r>
      <w:r w:rsidR="00570102" w:rsidRPr="004C78D8">
        <w:t>Appendix A</w:t>
      </w:r>
      <w:r w:rsidRPr="004C78D8">
        <w:t xml:space="preserve"> shows the direct transcript quotes.</w:t>
      </w:r>
    </w:p>
    <w:tbl>
      <w:tblPr>
        <w:tblW w:w="5000" w:type="pct"/>
        <w:tblBorders>
          <w:top w:val="single" w:sz="4" w:space="0" w:color="000000"/>
          <w:left w:val="single" w:sz="4" w:space="0" w:color="000000"/>
          <w:bottom w:val="single" w:sz="4" w:space="0" w:color="000000"/>
          <w:right w:val="single" w:sz="4" w:space="0" w:color="000000"/>
          <w:insideH w:val="single" w:sz="4" w:space="0" w:color="auto"/>
        </w:tblBorders>
        <w:tblLook w:val="0400" w:firstRow="0" w:lastRow="0" w:firstColumn="0" w:lastColumn="0" w:noHBand="0" w:noVBand="1"/>
      </w:tblPr>
      <w:tblGrid>
        <w:gridCol w:w="4508"/>
        <w:gridCol w:w="4508"/>
      </w:tblGrid>
      <w:tr w:rsidR="00161907" w:rsidRPr="004C78D8" w14:paraId="05682DDD" w14:textId="77777777" w:rsidTr="002828C1">
        <w:tc>
          <w:tcPr>
            <w:tcW w:w="5000" w:type="pct"/>
            <w:gridSpan w:val="2"/>
          </w:tcPr>
          <w:p w14:paraId="222F2341" w14:textId="35757121" w:rsidR="00161907" w:rsidRPr="004C78D8" w:rsidRDefault="00161907" w:rsidP="00FB7C1F">
            <w:pPr>
              <w:spacing w:after="0"/>
              <w:jc w:val="left"/>
              <w:rPr>
                <w:b/>
              </w:rPr>
            </w:pPr>
            <w:r w:rsidRPr="004C78D8">
              <w:rPr>
                <w:b/>
                <w:bCs/>
              </w:rPr>
              <w:t>Table 2.3</w:t>
            </w:r>
            <w:r w:rsidRPr="004C78D8">
              <w:t xml:space="preserve"> Summary of contextual factors influencing the falls prevention pathway</w:t>
            </w:r>
            <w:r w:rsidR="003A5AF8" w:rsidRPr="004C78D8">
              <w:t>.</w:t>
            </w:r>
          </w:p>
        </w:tc>
      </w:tr>
      <w:tr w:rsidR="00161907" w:rsidRPr="004C78D8" w14:paraId="6D711BA9" w14:textId="77777777" w:rsidTr="002828C1">
        <w:tc>
          <w:tcPr>
            <w:tcW w:w="2500" w:type="pct"/>
          </w:tcPr>
          <w:p w14:paraId="08B42213" w14:textId="77777777" w:rsidR="00161907" w:rsidRPr="004C78D8" w:rsidRDefault="00161907" w:rsidP="00FB7C1F">
            <w:pPr>
              <w:spacing w:after="0"/>
              <w:jc w:val="left"/>
              <w:rPr>
                <w:b/>
                <w:sz w:val="18"/>
                <w:szCs w:val="18"/>
              </w:rPr>
            </w:pPr>
            <w:r w:rsidRPr="004C78D8">
              <w:rPr>
                <w:b/>
                <w:sz w:val="18"/>
                <w:szCs w:val="18"/>
              </w:rPr>
              <w:t>Intersectoral factors [Theme #5]</w:t>
            </w:r>
          </w:p>
        </w:tc>
        <w:tc>
          <w:tcPr>
            <w:tcW w:w="2500" w:type="pct"/>
          </w:tcPr>
          <w:p w14:paraId="018BDB85" w14:textId="77777777" w:rsidR="00161907" w:rsidRPr="004C78D8" w:rsidRDefault="00161907" w:rsidP="00FB7C1F">
            <w:pPr>
              <w:spacing w:after="0"/>
              <w:jc w:val="left"/>
              <w:rPr>
                <w:b/>
                <w:sz w:val="18"/>
                <w:szCs w:val="18"/>
              </w:rPr>
            </w:pPr>
            <w:r w:rsidRPr="004C78D8">
              <w:rPr>
                <w:b/>
                <w:sz w:val="18"/>
                <w:szCs w:val="18"/>
              </w:rPr>
              <w:t>Prioritising the vulnerable groups [Theme #6]</w:t>
            </w:r>
          </w:p>
        </w:tc>
      </w:tr>
      <w:tr w:rsidR="00161907" w:rsidRPr="004C78D8" w14:paraId="41902D53" w14:textId="77777777" w:rsidTr="002828C1">
        <w:tc>
          <w:tcPr>
            <w:tcW w:w="2500" w:type="pct"/>
          </w:tcPr>
          <w:p w14:paraId="273F11E4" w14:textId="77777777" w:rsidR="00161907" w:rsidRPr="004C78D8" w:rsidRDefault="00161907" w:rsidP="00FB7C1F">
            <w:pPr>
              <w:numPr>
                <w:ilvl w:val="0"/>
                <w:numId w:val="15"/>
              </w:numPr>
              <w:pBdr>
                <w:top w:val="nil"/>
                <w:left w:val="nil"/>
                <w:bottom w:val="nil"/>
                <w:right w:val="nil"/>
                <w:between w:val="nil"/>
              </w:pBdr>
              <w:spacing w:after="0"/>
              <w:ind w:left="459"/>
              <w:jc w:val="left"/>
              <w:rPr>
                <w:color w:val="000000"/>
                <w:sz w:val="18"/>
                <w:szCs w:val="18"/>
              </w:rPr>
            </w:pPr>
            <w:r w:rsidRPr="004C78D8">
              <w:rPr>
                <w:color w:val="000000"/>
                <w:sz w:val="18"/>
                <w:szCs w:val="18"/>
              </w:rPr>
              <w:t>Health hazards in local public spaces [5-1]</w:t>
            </w:r>
          </w:p>
          <w:p w14:paraId="399E21A2" w14:textId="77777777" w:rsidR="00161907" w:rsidRPr="004C78D8" w:rsidRDefault="00161907" w:rsidP="00FB7C1F">
            <w:pPr>
              <w:numPr>
                <w:ilvl w:val="0"/>
                <w:numId w:val="15"/>
              </w:numPr>
              <w:pBdr>
                <w:top w:val="nil"/>
                <w:left w:val="nil"/>
                <w:bottom w:val="nil"/>
                <w:right w:val="nil"/>
                <w:between w:val="nil"/>
              </w:pBdr>
              <w:spacing w:after="0"/>
              <w:ind w:left="459"/>
              <w:jc w:val="left"/>
              <w:rPr>
                <w:color w:val="000000"/>
                <w:sz w:val="18"/>
                <w:szCs w:val="18"/>
              </w:rPr>
            </w:pPr>
            <w:r w:rsidRPr="004C78D8">
              <w:rPr>
                <w:color w:val="000000"/>
                <w:sz w:val="18"/>
                <w:szCs w:val="18"/>
              </w:rPr>
              <w:t>Health-promoting local public spaces [5-2]</w:t>
            </w:r>
          </w:p>
          <w:p w14:paraId="027D1A79" w14:textId="77777777" w:rsidR="00161907" w:rsidRPr="004C78D8" w:rsidRDefault="00161907" w:rsidP="00FB7C1F">
            <w:pPr>
              <w:numPr>
                <w:ilvl w:val="0"/>
                <w:numId w:val="15"/>
              </w:numPr>
              <w:pBdr>
                <w:top w:val="nil"/>
                <w:left w:val="nil"/>
                <w:bottom w:val="nil"/>
                <w:right w:val="nil"/>
                <w:between w:val="nil"/>
              </w:pBdr>
              <w:spacing w:after="0"/>
              <w:ind w:left="459"/>
              <w:jc w:val="left"/>
              <w:rPr>
                <w:color w:val="000000"/>
                <w:sz w:val="18"/>
                <w:szCs w:val="18"/>
              </w:rPr>
            </w:pPr>
            <w:r w:rsidRPr="004C78D8">
              <w:rPr>
                <w:color w:val="000000"/>
                <w:sz w:val="18"/>
                <w:szCs w:val="18"/>
              </w:rPr>
              <w:t>Home ownership and modification [5-3]</w:t>
            </w:r>
          </w:p>
          <w:p w14:paraId="146D4689" w14:textId="77777777" w:rsidR="00161907" w:rsidRPr="004C78D8" w:rsidRDefault="00161907" w:rsidP="00FB7C1F">
            <w:pPr>
              <w:numPr>
                <w:ilvl w:val="0"/>
                <w:numId w:val="15"/>
              </w:numPr>
              <w:pBdr>
                <w:top w:val="nil"/>
                <w:left w:val="nil"/>
                <w:bottom w:val="nil"/>
                <w:right w:val="nil"/>
                <w:between w:val="nil"/>
              </w:pBdr>
              <w:spacing w:after="0"/>
              <w:ind w:left="459"/>
              <w:jc w:val="left"/>
              <w:rPr>
                <w:color w:val="000000"/>
                <w:sz w:val="18"/>
                <w:szCs w:val="18"/>
              </w:rPr>
            </w:pPr>
            <w:r w:rsidRPr="004C78D8">
              <w:rPr>
                <w:color w:val="000000"/>
                <w:sz w:val="18"/>
                <w:szCs w:val="18"/>
              </w:rPr>
              <w:t>Communitarian approaches [5-4]</w:t>
            </w:r>
          </w:p>
        </w:tc>
        <w:tc>
          <w:tcPr>
            <w:tcW w:w="2500" w:type="pct"/>
          </w:tcPr>
          <w:p w14:paraId="3F37C08D" w14:textId="77777777" w:rsidR="00161907" w:rsidRPr="004C78D8" w:rsidRDefault="00161907" w:rsidP="00FB7C1F">
            <w:pPr>
              <w:numPr>
                <w:ilvl w:val="0"/>
                <w:numId w:val="15"/>
              </w:numPr>
              <w:pBdr>
                <w:top w:val="nil"/>
                <w:left w:val="nil"/>
                <w:bottom w:val="nil"/>
                <w:right w:val="nil"/>
                <w:between w:val="nil"/>
              </w:pBdr>
              <w:spacing w:after="0"/>
              <w:ind w:left="483"/>
              <w:jc w:val="left"/>
              <w:rPr>
                <w:color w:val="000000"/>
                <w:sz w:val="18"/>
                <w:szCs w:val="18"/>
              </w:rPr>
            </w:pPr>
            <w:r w:rsidRPr="004C78D8">
              <w:rPr>
                <w:color w:val="000000"/>
                <w:sz w:val="18"/>
                <w:szCs w:val="18"/>
              </w:rPr>
              <w:t>Persons with complex comorbidities [6-1]</w:t>
            </w:r>
          </w:p>
          <w:p w14:paraId="58E2B657" w14:textId="77777777" w:rsidR="00161907" w:rsidRPr="004C78D8" w:rsidRDefault="00161907" w:rsidP="00FB7C1F">
            <w:pPr>
              <w:numPr>
                <w:ilvl w:val="0"/>
                <w:numId w:val="15"/>
              </w:numPr>
              <w:pBdr>
                <w:top w:val="nil"/>
                <w:left w:val="nil"/>
                <w:bottom w:val="nil"/>
                <w:right w:val="nil"/>
                <w:between w:val="nil"/>
              </w:pBdr>
              <w:spacing w:after="0"/>
              <w:ind w:left="483"/>
              <w:jc w:val="left"/>
              <w:rPr>
                <w:color w:val="000000"/>
                <w:sz w:val="18"/>
                <w:szCs w:val="18"/>
              </w:rPr>
            </w:pPr>
            <w:r w:rsidRPr="004C78D8">
              <w:rPr>
                <w:color w:val="000000"/>
                <w:sz w:val="18"/>
                <w:szCs w:val="18"/>
              </w:rPr>
              <w:t>Persons experiencing cognitive decline [6-2]</w:t>
            </w:r>
          </w:p>
          <w:p w14:paraId="0C7A0EA3" w14:textId="77777777" w:rsidR="00161907" w:rsidRPr="004C78D8" w:rsidRDefault="00161907" w:rsidP="00FB7C1F">
            <w:pPr>
              <w:numPr>
                <w:ilvl w:val="0"/>
                <w:numId w:val="15"/>
              </w:numPr>
              <w:pBdr>
                <w:top w:val="nil"/>
                <w:left w:val="nil"/>
                <w:bottom w:val="nil"/>
                <w:right w:val="nil"/>
                <w:between w:val="nil"/>
              </w:pBdr>
              <w:spacing w:after="0"/>
              <w:ind w:left="483"/>
              <w:jc w:val="left"/>
              <w:rPr>
                <w:color w:val="000000"/>
                <w:sz w:val="18"/>
                <w:szCs w:val="18"/>
              </w:rPr>
            </w:pPr>
            <w:r w:rsidRPr="004C78D8">
              <w:rPr>
                <w:color w:val="000000"/>
                <w:sz w:val="18"/>
                <w:szCs w:val="18"/>
              </w:rPr>
              <w:t>Socially isolated persons [6-3]</w:t>
            </w:r>
          </w:p>
        </w:tc>
      </w:tr>
    </w:tbl>
    <w:p w14:paraId="5327A623" w14:textId="77777777" w:rsidR="00161907" w:rsidRPr="004C78D8" w:rsidRDefault="00161907" w:rsidP="00FB7C1F"/>
    <w:p w14:paraId="175C3908" w14:textId="77777777" w:rsidR="00D5008B" w:rsidRPr="004C78D8" w:rsidRDefault="00D5008B" w:rsidP="00FB7C1F">
      <w:pPr>
        <w:pStyle w:val="Heading5"/>
      </w:pPr>
      <w:r w:rsidRPr="004C78D8">
        <w:t>Intersectoral factors</w:t>
      </w:r>
    </w:p>
    <w:p w14:paraId="4804ADE4" w14:textId="1499DAB7" w:rsidR="00D5008B" w:rsidRPr="004C78D8" w:rsidRDefault="006A5642" w:rsidP="00FB7C1F">
      <w:pPr>
        <w:spacing w:line="276" w:lineRule="auto"/>
      </w:pPr>
      <w:r w:rsidRPr="004C78D8">
        <w:t>Intersectoral factors concerned matters typically addressed outside the healthcare system, including the safety and health-promoting features of local public spaces, the relationship between home ownership and ability to implement home modifications, and potential communitarian approaches that mobilise the community to meet common goals. Older participants mentioned how in the past the local community would handle the challenges that lie outside the local/central government’s responsibility; the decline in communal responsibility was perceived to explain the increase in local health hazards</w:t>
      </w:r>
      <w:r w:rsidR="00D5008B" w:rsidRPr="004C78D8">
        <w:t>:</w:t>
      </w:r>
    </w:p>
    <w:p w14:paraId="768FD054" w14:textId="1261A2C9" w:rsidR="00D5008B" w:rsidRPr="004C78D8" w:rsidRDefault="00D5008B" w:rsidP="00FB7C1F">
      <w:pPr>
        <w:pStyle w:val="Quote"/>
      </w:pPr>
      <w:r w:rsidRPr="004C78D8">
        <w:t xml:space="preserve">(FG1) “I don’t think neighbours are neighbours anymore, either. When we were younger, I remember when snow came here, all the men of each family would come and make a path. And they don’t do that now.” </w:t>
      </w:r>
      <w:r w:rsidR="006A5642" w:rsidRPr="004C78D8">
        <w:t>(Theme [5-4])</w:t>
      </w:r>
    </w:p>
    <w:p w14:paraId="063811D1" w14:textId="77777777" w:rsidR="00D5008B" w:rsidRPr="004C78D8" w:rsidRDefault="00D5008B" w:rsidP="00FB7C1F">
      <w:pPr>
        <w:pStyle w:val="Heading5"/>
      </w:pPr>
      <w:r w:rsidRPr="004C78D8">
        <w:t>Prioritising the vulnerable groups</w:t>
      </w:r>
    </w:p>
    <w:p w14:paraId="30103699" w14:textId="11850AD8" w:rsidR="00D5008B" w:rsidRPr="004C78D8" w:rsidRDefault="006A5642" w:rsidP="00FB7C1F">
      <w:pPr>
        <w:spacing w:line="276" w:lineRule="auto"/>
      </w:pPr>
      <w:r w:rsidRPr="004C78D8">
        <w:t>Another set of themes concerned the need to prioritise the most vulnerable individuals at risk of a serious fall or loss of independence. Three groups were identified: persons with complex comorbidities; persons experiencing cognitive decline; and socially isolated persons. The reported experience of the diabetic participant who was below age 65 (hence below the eligibility age for the proactive pathway) illustrated how vulnerable individuals concurrently face multiple risk factors for serious falls</w:t>
      </w:r>
      <w:r w:rsidR="00D5008B" w:rsidRPr="004C78D8">
        <w:t>:</w:t>
      </w:r>
    </w:p>
    <w:p w14:paraId="790B63D8" w14:textId="33912C52" w:rsidR="00D5008B" w:rsidRPr="004C78D8" w:rsidRDefault="00D5008B" w:rsidP="00FB7C1F">
      <w:pPr>
        <w:pStyle w:val="Quote"/>
      </w:pPr>
      <w:r w:rsidRPr="004C78D8">
        <w:t xml:space="preserve">(FG1) “If I had a bad day with my high sugar levels. I’ve had my bad day with blurriness. And I come down a lot of stairs and I fell X times coming down from </w:t>
      </w:r>
      <w:r w:rsidRPr="004C78D8">
        <w:lastRenderedPageBreak/>
        <w:t xml:space="preserve">attic and obviously coming out of my building which is a high old building. And then you’ve got to come down some more which is always full of leaves.” </w:t>
      </w:r>
      <w:r w:rsidR="006A5642" w:rsidRPr="004C78D8">
        <w:t>(Theme [6-1])</w:t>
      </w:r>
    </w:p>
    <w:p w14:paraId="4502549F" w14:textId="4A59E2E7" w:rsidR="00D5008B" w:rsidRPr="004C78D8" w:rsidRDefault="00D5008B" w:rsidP="00FB7C1F">
      <w:pPr>
        <w:spacing w:line="276" w:lineRule="auto"/>
      </w:pPr>
      <w:r w:rsidRPr="004C78D8">
        <w:t xml:space="preserve">Despite this, public support for home assessment and modification was denied due to her ability to walk 100 meters without problem, and support from other care professionals was similarly lacking. </w:t>
      </w:r>
    </w:p>
    <w:p w14:paraId="75628B29" w14:textId="3AC1B30A" w:rsidR="00D5008B" w:rsidRPr="004C78D8" w:rsidRDefault="00964DA8" w:rsidP="00FB7C1F">
      <w:pPr>
        <w:pStyle w:val="Heading3"/>
      </w:pPr>
      <w:bookmarkStart w:id="52" w:name="_Toc111630710"/>
      <w:r w:rsidRPr="004C78D8">
        <w:t>2.4.3 Framework (II): Potential commissioning strategies</w:t>
      </w:r>
      <w:bookmarkEnd w:id="52"/>
    </w:p>
    <w:p w14:paraId="5FF797FD" w14:textId="275A78A9" w:rsidR="00964DA8" w:rsidRPr="004C78D8" w:rsidRDefault="00964DA8" w:rsidP="00FB7C1F">
      <w:pPr>
        <w:spacing w:line="276" w:lineRule="auto"/>
      </w:pPr>
      <w:r w:rsidRPr="004C78D8">
        <w:t xml:space="preserve">Table </w:t>
      </w:r>
      <w:r w:rsidR="005A2C86" w:rsidRPr="004C78D8">
        <w:t>2.</w:t>
      </w:r>
      <w:r w:rsidRPr="004C78D8">
        <w:t xml:space="preserve">4 </w:t>
      </w:r>
      <w:r w:rsidR="00370509" w:rsidRPr="004C78D8">
        <w:t>re-maps the identified themes according to the CICI-HNA framework (see also Figure A2 in Appendix A).</w:t>
      </w:r>
    </w:p>
    <w:tbl>
      <w:tblPr>
        <w:tblStyle w:val="TableGrid"/>
        <w:tblW w:w="5000" w:type="pct"/>
        <w:tblLook w:val="04A0" w:firstRow="1" w:lastRow="0" w:firstColumn="1" w:lastColumn="0" w:noHBand="0" w:noVBand="1"/>
      </w:tblPr>
      <w:tblGrid>
        <w:gridCol w:w="3002"/>
        <w:gridCol w:w="3008"/>
        <w:gridCol w:w="3006"/>
      </w:tblGrid>
      <w:tr w:rsidR="00370509" w:rsidRPr="004C78D8" w14:paraId="689DC5E8" w14:textId="77777777" w:rsidTr="002828C1">
        <w:tc>
          <w:tcPr>
            <w:tcW w:w="5000" w:type="pct"/>
            <w:gridSpan w:val="3"/>
          </w:tcPr>
          <w:p w14:paraId="02148778" w14:textId="53484AA3" w:rsidR="00370509" w:rsidRPr="004C78D8" w:rsidRDefault="00370509" w:rsidP="00FB7C1F">
            <w:pPr>
              <w:spacing w:line="276" w:lineRule="auto"/>
            </w:pPr>
            <w:r w:rsidRPr="004C78D8">
              <w:rPr>
                <w:b/>
                <w:bCs/>
              </w:rPr>
              <w:t xml:space="preserve">Table </w:t>
            </w:r>
            <w:r w:rsidR="00075C79" w:rsidRPr="004C78D8">
              <w:rPr>
                <w:b/>
                <w:bCs/>
              </w:rPr>
              <w:t>2.</w:t>
            </w:r>
            <w:r w:rsidRPr="004C78D8">
              <w:rPr>
                <w:b/>
                <w:bCs/>
              </w:rPr>
              <w:t>4</w:t>
            </w:r>
            <w:r w:rsidRPr="004C78D8">
              <w:t xml:space="preserve"> Themes arranged by the CICI-HNA framework to inform commissioning decisions </w:t>
            </w:r>
          </w:p>
        </w:tc>
      </w:tr>
      <w:tr w:rsidR="00370509" w:rsidRPr="004C78D8" w14:paraId="4FEC5E21" w14:textId="77777777" w:rsidTr="002828C1">
        <w:tc>
          <w:tcPr>
            <w:tcW w:w="1665" w:type="pct"/>
          </w:tcPr>
          <w:p w14:paraId="07BE41C9" w14:textId="77777777" w:rsidR="00370509" w:rsidRPr="004C78D8" w:rsidRDefault="00370509" w:rsidP="00FB7C1F">
            <w:pPr>
              <w:spacing w:line="276" w:lineRule="auto"/>
              <w:jc w:val="left"/>
              <w:rPr>
                <w:i/>
                <w:sz w:val="20"/>
              </w:rPr>
            </w:pPr>
            <w:r w:rsidRPr="004C78D8">
              <w:rPr>
                <w:i/>
                <w:sz w:val="20"/>
              </w:rPr>
              <w:t>Context, priority setting and need/eligibility [Theme #]</w:t>
            </w:r>
            <w:r w:rsidRPr="004C78D8">
              <w:rPr>
                <w:i/>
                <w:sz w:val="20"/>
                <w:vertAlign w:val="superscript"/>
              </w:rPr>
              <w:t>1</w:t>
            </w:r>
          </w:p>
        </w:tc>
        <w:tc>
          <w:tcPr>
            <w:tcW w:w="1668" w:type="pct"/>
          </w:tcPr>
          <w:p w14:paraId="28EE60BC" w14:textId="77777777" w:rsidR="00370509" w:rsidRPr="004C78D8" w:rsidRDefault="00370509" w:rsidP="00FB7C1F">
            <w:pPr>
              <w:spacing w:line="276" w:lineRule="auto"/>
              <w:jc w:val="left"/>
              <w:rPr>
                <w:i/>
                <w:sz w:val="20"/>
              </w:rPr>
            </w:pPr>
            <w:r w:rsidRPr="004C78D8">
              <w:rPr>
                <w:i/>
                <w:sz w:val="20"/>
              </w:rPr>
              <w:t>Supply [Theme #]</w:t>
            </w:r>
          </w:p>
        </w:tc>
        <w:tc>
          <w:tcPr>
            <w:tcW w:w="1668" w:type="pct"/>
          </w:tcPr>
          <w:p w14:paraId="5C01E649" w14:textId="77777777" w:rsidR="00370509" w:rsidRPr="004C78D8" w:rsidRDefault="00370509" w:rsidP="00FB7C1F">
            <w:pPr>
              <w:spacing w:line="276" w:lineRule="auto"/>
              <w:jc w:val="left"/>
              <w:rPr>
                <w:i/>
                <w:sz w:val="20"/>
              </w:rPr>
            </w:pPr>
            <w:r w:rsidRPr="004C78D8">
              <w:rPr>
                <w:i/>
                <w:sz w:val="20"/>
              </w:rPr>
              <w:t>Demand [Theme #]</w:t>
            </w:r>
          </w:p>
        </w:tc>
      </w:tr>
      <w:tr w:rsidR="00370509" w:rsidRPr="004C78D8" w14:paraId="4B46400A" w14:textId="77777777" w:rsidTr="002828C1">
        <w:tc>
          <w:tcPr>
            <w:tcW w:w="1665" w:type="pct"/>
          </w:tcPr>
          <w:p w14:paraId="39E3E923" w14:textId="77777777" w:rsidR="00370509" w:rsidRPr="004C78D8" w:rsidRDefault="00370509" w:rsidP="00FB7C1F">
            <w:pPr>
              <w:spacing w:line="276" w:lineRule="auto"/>
              <w:jc w:val="left"/>
              <w:rPr>
                <w:i/>
                <w:iCs/>
                <w:sz w:val="20"/>
                <w:szCs w:val="20"/>
              </w:rPr>
            </w:pPr>
            <w:r w:rsidRPr="004C78D8">
              <w:rPr>
                <w:i/>
                <w:iCs/>
                <w:sz w:val="20"/>
                <w:szCs w:val="20"/>
              </w:rPr>
              <w:t>Implementation context</w:t>
            </w:r>
          </w:p>
          <w:p w14:paraId="7773B2B0" w14:textId="77777777" w:rsidR="00370509" w:rsidRPr="004C78D8" w:rsidRDefault="00370509" w:rsidP="00FB7C1F">
            <w:pPr>
              <w:pStyle w:val="ListParagraph"/>
              <w:numPr>
                <w:ilvl w:val="0"/>
                <w:numId w:val="24"/>
              </w:numPr>
              <w:spacing w:line="276" w:lineRule="auto"/>
              <w:ind w:left="174" w:hanging="218"/>
              <w:jc w:val="left"/>
              <w:rPr>
                <w:sz w:val="18"/>
                <w:szCs w:val="18"/>
              </w:rPr>
            </w:pPr>
            <w:r w:rsidRPr="004C78D8">
              <w:rPr>
                <w:sz w:val="18"/>
                <w:szCs w:val="18"/>
              </w:rPr>
              <w:t>Socioeconomic divide [3-18]</w:t>
            </w:r>
          </w:p>
          <w:p w14:paraId="2C9AF503" w14:textId="77777777" w:rsidR="00370509" w:rsidRPr="004C78D8" w:rsidRDefault="00370509" w:rsidP="00FB7C1F">
            <w:pPr>
              <w:pStyle w:val="ListParagraph"/>
              <w:numPr>
                <w:ilvl w:val="0"/>
                <w:numId w:val="24"/>
              </w:numPr>
              <w:spacing w:line="276" w:lineRule="auto"/>
              <w:ind w:left="174" w:hanging="218"/>
              <w:jc w:val="left"/>
              <w:rPr>
                <w:sz w:val="18"/>
                <w:szCs w:val="18"/>
              </w:rPr>
            </w:pPr>
            <w:r w:rsidRPr="004C78D8">
              <w:rPr>
                <w:sz w:val="18"/>
                <w:szCs w:val="18"/>
              </w:rPr>
              <w:t>Linguistic divide/barrier [3-19]</w:t>
            </w:r>
          </w:p>
          <w:p w14:paraId="4FB63D4B" w14:textId="77777777" w:rsidR="00370509" w:rsidRPr="004C78D8" w:rsidRDefault="00370509" w:rsidP="00FB7C1F">
            <w:pPr>
              <w:pStyle w:val="ListParagraph"/>
              <w:numPr>
                <w:ilvl w:val="0"/>
                <w:numId w:val="24"/>
              </w:numPr>
              <w:spacing w:line="276" w:lineRule="auto"/>
              <w:ind w:left="174" w:hanging="218"/>
              <w:jc w:val="left"/>
              <w:rPr>
                <w:sz w:val="18"/>
                <w:szCs w:val="18"/>
              </w:rPr>
            </w:pPr>
            <w:r w:rsidRPr="004C78D8">
              <w:rPr>
                <w:sz w:val="18"/>
                <w:szCs w:val="18"/>
              </w:rPr>
              <w:t>Health hazards and opportunities in local geography [5-1, 5-2]</w:t>
            </w:r>
          </w:p>
          <w:p w14:paraId="1D5A51D8" w14:textId="77777777" w:rsidR="00370509" w:rsidRPr="004C78D8" w:rsidRDefault="00370509" w:rsidP="00FB7C1F">
            <w:pPr>
              <w:pStyle w:val="ListParagraph"/>
              <w:numPr>
                <w:ilvl w:val="0"/>
                <w:numId w:val="24"/>
              </w:numPr>
              <w:spacing w:line="276" w:lineRule="auto"/>
              <w:ind w:left="174" w:hanging="218"/>
              <w:jc w:val="left"/>
              <w:rPr>
                <w:sz w:val="18"/>
                <w:szCs w:val="18"/>
              </w:rPr>
            </w:pPr>
            <w:r w:rsidRPr="004C78D8">
              <w:rPr>
                <w:sz w:val="18"/>
                <w:szCs w:val="18"/>
              </w:rPr>
              <w:t>Legal/regulatory barriers for tenants to modify their homes [5-3]</w:t>
            </w:r>
          </w:p>
          <w:p w14:paraId="2D029F04" w14:textId="77777777" w:rsidR="00370509" w:rsidRPr="004C78D8" w:rsidRDefault="00370509" w:rsidP="00FB7C1F">
            <w:pPr>
              <w:pStyle w:val="ListParagraph"/>
              <w:numPr>
                <w:ilvl w:val="0"/>
                <w:numId w:val="24"/>
              </w:numPr>
              <w:spacing w:line="276" w:lineRule="auto"/>
              <w:ind w:left="174" w:hanging="218"/>
              <w:jc w:val="left"/>
              <w:rPr>
                <w:sz w:val="18"/>
                <w:szCs w:val="18"/>
              </w:rPr>
            </w:pPr>
            <w:r w:rsidRPr="004C78D8">
              <w:rPr>
                <w:sz w:val="18"/>
                <w:szCs w:val="18"/>
              </w:rPr>
              <w:t>Culture of communal responsibility that addressed key falls risk factors is no longer strong [5-4]</w:t>
            </w:r>
          </w:p>
        </w:tc>
        <w:tc>
          <w:tcPr>
            <w:tcW w:w="1668" w:type="pct"/>
          </w:tcPr>
          <w:p w14:paraId="589B243C" w14:textId="77777777" w:rsidR="00370509" w:rsidRPr="004C78D8" w:rsidRDefault="00370509" w:rsidP="00FB7C1F">
            <w:pPr>
              <w:spacing w:line="276" w:lineRule="auto"/>
              <w:jc w:val="left"/>
              <w:rPr>
                <w:sz w:val="20"/>
              </w:rPr>
            </w:pPr>
            <w:r w:rsidRPr="004C78D8">
              <w:rPr>
                <w:sz w:val="20"/>
              </w:rPr>
              <w:t>Provider and organisation</w:t>
            </w:r>
          </w:p>
          <w:p w14:paraId="52C9EC16" w14:textId="77777777" w:rsidR="00370509" w:rsidRPr="004C78D8" w:rsidRDefault="00370509" w:rsidP="00FB7C1F">
            <w:pPr>
              <w:pStyle w:val="ListParagraph"/>
              <w:numPr>
                <w:ilvl w:val="0"/>
                <w:numId w:val="24"/>
              </w:numPr>
              <w:spacing w:line="276" w:lineRule="auto"/>
              <w:ind w:left="141" w:hanging="219"/>
              <w:jc w:val="left"/>
              <w:rPr>
                <w:sz w:val="18"/>
                <w:szCs w:val="18"/>
              </w:rPr>
            </w:pPr>
            <w:r w:rsidRPr="004C78D8">
              <w:rPr>
                <w:sz w:val="18"/>
                <w:szCs w:val="18"/>
              </w:rPr>
              <w:t>Positive professional attributes: approachable [1-2]; aware of community initiatives [3-13, 3-24]; proactive and person-centred care [3-14, 4-8]; good relationship with intervention participants [4-9]</w:t>
            </w:r>
          </w:p>
          <w:p w14:paraId="2772DD1D" w14:textId="77777777" w:rsidR="00370509" w:rsidRPr="004C78D8" w:rsidRDefault="00370509" w:rsidP="00FB7C1F">
            <w:pPr>
              <w:pStyle w:val="ListParagraph"/>
              <w:numPr>
                <w:ilvl w:val="0"/>
                <w:numId w:val="24"/>
              </w:numPr>
              <w:spacing w:line="276" w:lineRule="auto"/>
              <w:ind w:left="141" w:hanging="219"/>
              <w:jc w:val="left"/>
              <w:rPr>
                <w:sz w:val="18"/>
                <w:szCs w:val="18"/>
              </w:rPr>
            </w:pPr>
            <w:r w:rsidRPr="004C78D8">
              <w:rPr>
                <w:sz w:val="18"/>
                <w:szCs w:val="18"/>
              </w:rPr>
              <w:t xml:space="preserve">Negative professional attributes: reactive approach [1-5, 3-26]; partial attention to risk factors [1-6]; commandeering attitude [3-25] </w:t>
            </w:r>
          </w:p>
          <w:p w14:paraId="7C996232" w14:textId="77777777" w:rsidR="00370509" w:rsidRPr="004C78D8" w:rsidRDefault="00370509" w:rsidP="00FB7C1F">
            <w:pPr>
              <w:pStyle w:val="ListParagraph"/>
              <w:numPr>
                <w:ilvl w:val="0"/>
                <w:numId w:val="24"/>
              </w:numPr>
              <w:spacing w:line="276" w:lineRule="auto"/>
              <w:ind w:left="141" w:hanging="219"/>
              <w:jc w:val="left"/>
              <w:rPr>
                <w:sz w:val="18"/>
                <w:szCs w:val="18"/>
              </w:rPr>
            </w:pPr>
            <w:r w:rsidRPr="004C78D8">
              <w:rPr>
                <w:sz w:val="18"/>
                <w:szCs w:val="18"/>
              </w:rPr>
              <w:t>Facility/equipment: specialist Falls Clinics [1-3]; safe and well-located venues [3-11, 3-22, 3-23, 4-15]</w:t>
            </w:r>
          </w:p>
          <w:p w14:paraId="23590F01" w14:textId="77777777" w:rsidR="00370509" w:rsidRPr="004C78D8" w:rsidRDefault="00370509" w:rsidP="00FB7C1F">
            <w:pPr>
              <w:pStyle w:val="ListParagraph"/>
              <w:numPr>
                <w:ilvl w:val="0"/>
                <w:numId w:val="24"/>
              </w:numPr>
              <w:spacing w:line="276" w:lineRule="auto"/>
              <w:ind w:left="141" w:hanging="219"/>
              <w:jc w:val="left"/>
              <w:rPr>
                <w:sz w:val="18"/>
                <w:szCs w:val="18"/>
              </w:rPr>
            </w:pPr>
            <w:r w:rsidRPr="004C78D8">
              <w:rPr>
                <w:sz w:val="18"/>
                <w:szCs w:val="18"/>
              </w:rPr>
              <w:t xml:space="preserve">Positive intervention characteristics: low cost [3-7, 3-20, 4-11]; well-staffed [4-7, 4-16]; enjoyable [3-8, 4-4]; high social participation [4-5]; suitable and tailored difficulty [3-9, 4-6, 4-12, 4-13]; safe [3-10]; good timing [3-21, 4-14] </w:t>
            </w:r>
          </w:p>
        </w:tc>
        <w:tc>
          <w:tcPr>
            <w:tcW w:w="1668" w:type="pct"/>
          </w:tcPr>
          <w:p w14:paraId="2AA15023" w14:textId="77777777" w:rsidR="00370509" w:rsidRPr="004C78D8" w:rsidRDefault="00370509" w:rsidP="00FB7C1F">
            <w:pPr>
              <w:spacing w:line="276" w:lineRule="auto"/>
              <w:jc w:val="left"/>
              <w:rPr>
                <w:sz w:val="20"/>
              </w:rPr>
            </w:pPr>
            <w:r w:rsidRPr="004C78D8">
              <w:rPr>
                <w:sz w:val="20"/>
              </w:rPr>
              <w:t>Health and fall-related motives</w:t>
            </w:r>
          </w:p>
          <w:p w14:paraId="098C2017" w14:textId="77777777" w:rsidR="00370509" w:rsidRPr="004C78D8" w:rsidRDefault="00370509" w:rsidP="00FB7C1F">
            <w:pPr>
              <w:pStyle w:val="ListParagraph"/>
              <w:numPr>
                <w:ilvl w:val="0"/>
                <w:numId w:val="25"/>
              </w:numPr>
              <w:spacing w:line="276" w:lineRule="auto"/>
              <w:ind w:left="259" w:hanging="218"/>
              <w:jc w:val="left"/>
              <w:rPr>
                <w:sz w:val="18"/>
                <w:szCs w:val="18"/>
              </w:rPr>
            </w:pPr>
            <w:r w:rsidRPr="004C78D8">
              <w:rPr>
                <w:sz w:val="18"/>
                <w:szCs w:val="18"/>
              </w:rPr>
              <w:t>Motivation to maintain health facilitates risk screening and uptake [1-4, 3-3, 3-6, 4-1]</w:t>
            </w:r>
          </w:p>
          <w:p w14:paraId="5FB7CFDF" w14:textId="77777777" w:rsidR="00370509" w:rsidRPr="004C78D8" w:rsidRDefault="00370509" w:rsidP="00FB7C1F">
            <w:pPr>
              <w:pStyle w:val="ListParagraph"/>
              <w:numPr>
                <w:ilvl w:val="0"/>
                <w:numId w:val="25"/>
              </w:numPr>
              <w:spacing w:line="276" w:lineRule="auto"/>
              <w:ind w:left="259" w:hanging="218"/>
              <w:jc w:val="left"/>
              <w:rPr>
                <w:sz w:val="18"/>
                <w:szCs w:val="18"/>
              </w:rPr>
            </w:pPr>
            <w:r w:rsidRPr="004C78D8">
              <w:rPr>
                <w:sz w:val="18"/>
                <w:szCs w:val="18"/>
              </w:rPr>
              <w:t>Previous experience of fall motivates uptake [3-1]</w:t>
            </w:r>
          </w:p>
          <w:p w14:paraId="29AE7CB9" w14:textId="77777777" w:rsidR="00370509" w:rsidRPr="004C78D8" w:rsidRDefault="00370509" w:rsidP="00FB7C1F">
            <w:pPr>
              <w:pStyle w:val="ListParagraph"/>
              <w:numPr>
                <w:ilvl w:val="0"/>
                <w:numId w:val="25"/>
              </w:numPr>
              <w:spacing w:line="276" w:lineRule="auto"/>
              <w:ind w:left="259" w:hanging="218"/>
              <w:jc w:val="left"/>
              <w:rPr>
                <w:sz w:val="18"/>
                <w:szCs w:val="18"/>
              </w:rPr>
            </w:pPr>
            <w:r w:rsidRPr="004C78D8">
              <w:rPr>
                <w:sz w:val="18"/>
                <w:szCs w:val="18"/>
              </w:rPr>
              <w:t>Experience of the physical ageing process motivates uptake [3-2]</w:t>
            </w:r>
          </w:p>
          <w:p w14:paraId="25F38F76" w14:textId="77777777" w:rsidR="00370509" w:rsidRPr="004C78D8" w:rsidRDefault="00370509" w:rsidP="00FB7C1F">
            <w:pPr>
              <w:pStyle w:val="ListParagraph"/>
              <w:numPr>
                <w:ilvl w:val="0"/>
                <w:numId w:val="25"/>
              </w:numPr>
              <w:spacing w:line="276" w:lineRule="auto"/>
              <w:ind w:left="259" w:hanging="218"/>
              <w:jc w:val="left"/>
              <w:rPr>
                <w:sz w:val="18"/>
                <w:szCs w:val="18"/>
              </w:rPr>
            </w:pPr>
            <w:r w:rsidRPr="004C78D8">
              <w:rPr>
                <w:sz w:val="18"/>
                <w:szCs w:val="18"/>
              </w:rPr>
              <w:t>Experience of intervention reducing falls risk and improving wider health motivates adherence [4-2, 4-3]</w:t>
            </w:r>
          </w:p>
          <w:p w14:paraId="0BD37BEF" w14:textId="77777777" w:rsidR="00370509" w:rsidRPr="004C78D8" w:rsidRDefault="00370509" w:rsidP="00FB7C1F">
            <w:pPr>
              <w:pStyle w:val="ListParagraph"/>
              <w:numPr>
                <w:ilvl w:val="0"/>
                <w:numId w:val="25"/>
              </w:numPr>
              <w:spacing w:line="276" w:lineRule="auto"/>
              <w:ind w:left="259" w:hanging="218"/>
              <w:jc w:val="left"/>
              <w:rPr>
                <w:sz w:val="18"/>
                <w:szCs w:val="18"/>
              </w:rPr>
            </w:pPr>
            <w:r w:rsidRPr="004C78D8">
              <w:rPr>
                <w:sz w:val="18"/>
                <w:szCs w:val="18"/>
              </w:rPr>
              <w:t xml:space="preserve">Lack of falls risk and ageing awareness impedes risk screening and uptake [1-8, 2-3, 3-15] </w:t>
            </w:r>
          </w:p>
        </w:tc>
      </w:tr>
      <w:tr w:rsidR="00370509" w:rsidRPr="004C78D8" w14:paraId="3521633A" w14:textId="77777777" w:rsidTr="002828C1">
        <w:tc>
          <w:tcPr>
            <w:tcW w:w="1665" w:type="pct"/>
          </w:tcPr>
          <w:p w14:paraId="61138CA8" w14:textId="77777777" w:rsidR="00370509" w:rsidRPr="004C78D8" w:rsidRDefault="00370509" w:rsidP="00FB7C1F">
            <w:pPr>
              <w:spacing w:line="276" w:lineRule="auto"/>
              <w:jc w:val="left"/>
              <w:rPr>
                <w:i/>
                <w:sz w:val="20"/>
              </w:rPr>
            </w:pPr>
            <w:r w:rsidRPr="004C78D8">
              <w:rPr>
                <w:i/>
                <w:sz w:val="20"/>
              </w:rPr>
              <w:t>Priority setting challenges</w:t>
            </w:r>
          </w:p>
          <w:p w14:paraId="4607FEBE" w14:textId="77777777" w:rsidR="00370509" w:rsidRPr="004C78D8" w:rsidRDefault="00370509" w:rsidP="00FB7C1F">
            <w:pPr>
              <w:pStyle w:val="ListParagraph"/>
              <w:numPr>
                <w:ilvl w:val="0"/>
                <w:numId w:val="25"/>
              </w:numPr>
              <w:spacing w:line="276" w:lineRule="auto"/>
              <w:ind w:left="174" w:hanging="218"/>
              <w:jc w:val="left"/>
              <w:rPr>
                <w:sz w:val="18"/>
                <w:szCs w:val="18"/>
              </w:rPr>
            </w:pPr>
            <w:r w:rsidRPr="004C78D8">
              <w:rPr>
                <w:sz w:val="18"/>
                <w:szCs w:val="18"/>
              </w:rPr>
              <w:t>Prioritising access for socially deprived and ethnic minority subgroups [3-18, 3-19]</w:t>
            </w:r>
          </w:p>
          <w:p w14:paraId="3BC4A693" w14:textId="77777777" w:rsidR="00370509" w:rsidRPr="004C78D8" w:rsidRDefault="00370509" w:rsidP="00FB7C1F">
            <w:pPr>
              <w:pStyle w:val="ListParagraph"/>
              <w:numPr>
                <w:ilvl w:val="0"/>
                <w:numId w:val="25"/>
              </w:numPr>
              <w:spacing w:line="276" w:lineRule="auto"/>
              <w:ind w:left="174" w:hanging="218"/>
              <w:jc w:val="left"/>
              <w:rPr>
                <w:sz w:val="18"/>
                <w:szCs w:val="18"/>
              </w:rPr>
            </w:pPr>
            <w:r w:rsidRPr="004C78D8">
              <w:rPr>
                <w:sz w:val="18"/>
                <w:szCs w:val="18"/>
              </w:rPr>
              <w:t>Prioritising access for vulnerable groups: complex comorbidities; cognitively impaired; socially isolated [6-1, 6-2, 6-3]</w:t>
            </w:r>
          </w:p>
          <w:p w14:paraId="0237304B" w14:textId="77777777" w:rsidR="00370509" w:rsidRPr="004C78D8" w:rsidRDefault="00370509" w:rsidP="00FB7C1F">
            <w:pPr>
              <w:pStyle w:val="ListParagraph"/>
              <w:numPr>
                <w:ilvl w:val="0"/>
                <w:numId w:val="25"/>
              </w:numPr>
              <w:spacing w:line="276" w:lineRule="auto"/>
              <w:ind w:left="174" w:hanging="218"/>
              <w:jc w:val="left"/>
              <w:rPr>
                <w:sz w:val="18"/>
                <w:szCs w:val="18"/>
              </w:rPr>
            </w:pPr>
            <w:r w:rsidRPr="004C78D8">
              <w:rPr>
                <w:sz w:val="18"/>
                <w:szCs w:val="18"/>
              </w:rPr>
              <w:t>Where possible, needs of marginalised groups should be met without denying services to non-marginalised groups [3-27]</w:t>
            </w:r>
          </w:p>
        </w:tc>
        <w:tc>
          <w:tcPr>
            <w:tcW w:w="1668" w:type="pct"/>
          </w:tcPr>
          <w:p w14:paraId="1A446D63" w14:textId="77777777" w:rsidR="00370509" w:rsidRPr="004C78D8" w:rsidRDefault="00370509" w:rsidP="00FB7C1F">
            <w:pPr>
              <w:spacing w:line="276" w:lineRule="auto"/>
              <w:jc w:val="left"/>
              <w:rPr>
                <w:sz w:val="20"/>
              </w:rPr>
            </w:pPr>
            <w:r w:rsidRPr="004C78D8">
              <w:rPr>
                <w:sz w:val="20"/>
              </w:rPr>
              <w:t>Funding and policy</w:t>
            </w:r>
          </w:p>
          <w:p w14:paraId="4E253506" w14:textId="77777777" w:rsidR="00370509" w:rsidRPr="004C78D8" w:rsidRDefault="00370509" w:rsidP="00FB7C1F">
            <w:pPr>
              <w:pStyle w:val="ListParagraph"/>
              <w:numPr>
                <w:ilvl w:val="0"/>
                <w:numId w:val="26"/>
              </w:numPr>
              <w:spacing w:line="276" w:lineRule="auto"/>
              <w:ind w:left="141" w:hanging="206"/>
              <w:jc w:val="left"/>
              <w:rPr>
                <w:sz w:val="18"/>
                <w:szCs w:val="18"/>
              </w:rPr>
            </w:pPr>
            <w:r w:rsidRPr="004C78D8">
              <w:rPr>
                <w:sz w:val="18"/>
                <w:szCs w:val="18"/>
              </w:rPr>
              <w:t>Health promotion in earlier life course stages [2-1]</w:t>
            </w:r>
          </w:p>
          <w:p w14:paraId="047011A8" w14:textId="77777777" w:rsidR="00370509" w:rsidRPr="004C78D8" w:rsidRDefault="00370509" w:rsidP="00FB7C1F">
            <w:pPr>
              <w:pStyle w:val="ListParagraph"/>
              <w:numPr>
                <w:ilvl w:val="0"/>
                <w:numId w:val="26"/>
              </w:numPr>
              <w:spacing w:line="276" w:lineRule="auto"/>
              <w:ind w:left="141" w:hanging="206"/>
              <w:jc w:val="left"/>
              <w:rPr>
                <w:sz w:val="18"/>
                <w:szCs w:val="18"/>
              </w:rPr>
            </w:pPr>
            <w:r w:rsidRPr="004C78D8">
              <w:rPr>
                <w:sz w:val="18"/>
                <w:szCs w:val="18"/>
              </w:rPr>
              <w:t>Use of routine data to facilitate risk identification [1-1]</w:t>
            </w:r>
          </w:p>
          <w:p w14:paraId="5A6211C7" w14:textId="77777777" w:rsidR="00370509" w:rsidRPr="004C78D8" w:rsidRDefault="00370509" w:rsidP="00FB7C1F">
            <w:pPr>
              <w:pStyle w:val="ListParagraph"/>
              <w:numPr>
                <w:ilvl w:val="0"/>
                <w:numId w:val="26"/>
              </w:numPr>
              <w:spacing w:line="276" w:lineRule="auto"/>
              <w:ind w:left="141" w:hanging="206"/>
              <w:jc w:val="left"/>
              <w:rPr>
                <w:sz w:val="18"/>
                <w:szCs w:val="18"/>
              </w:rPr>
            </w:pPr>
            <w:r w:rsidRPr="004C78D8">
              <w:rPr>
                <w:sz w:val="18"/>
                <w:szCs w:val="18"/>
              </w:rPr>
              <w:t>Alleviating time constraints in care routine practice [1-7]</w:t>
            </w:r>
          </w:p>
          <w:p w14:paraId="7F50DE86" w14:textId="77777777" w:rsidR="00370509" w:rsidRPr="004C78D8" w:rsidRDefault="00370509" w:rsidP="00FB7C1F">
            <w:pPr>
              <w:pStyle w:val="ListParagraph"/>
              <w:numPr>
                <w:ilvl w:val="0"/>
                <w:numId w:val="26"/>
              </w:numPr>
              <w:spacing w:line="276" w:lineRule="auto"/>
              <w:ind w:left="141" w:hanging="206"/>
              <w:jc w:val="left"/>
              <w:rPr>
                <w:sz w:val="18"/>
                <w:szCs w:val="18"/>
              </w:rPr>
            </w:pPr>
            <w:r w:rsidRPr="004C78D8">
              <w:rPr>
                <w:sz w:val="18"/>
                <w:szCs w:val="18"/>
              </w:rPr>
              <w:t>Funding to remove private intervention costs [3-7, 3-20, 4-11], sustained over the long term [4-17]</w:t>
            </w:r>
          </w:p>
          <w:p w14:paraId="5C75B5B6" w14:textId="77777777" w:rsidR="00370509" w:rsidRPr="004C78D8" w:rsidRDefault="00370509" w:rsidP="00FB7C1F">
            <w:pPr>
              <w:pStyle w:val="ListParagraph"/>
              <w:numPr>
                <w:ilvl w:val="0"/>
                <w:numId w:val="26"/>
              </w:numPr>
              <w:spacing w:line="276" w:lineRule="auto"/>
              <w:ind w:left="141" w:hanging="206"/>
              <w:jc w:val="left"/>
              <w:rPr>
                <w:sz w:val="18"/>
                <w:szCs w:val="18"/>
              </w:rPr>
            </w:pPr>
            <w:r w:rsidRPr="004C78D8">
              <w:rPr>
                <w:sz w:val="18"/>
                <w:szCs w:val="18"/>
              </w:rPr>
              <w:t>Auxiliary implementation strategies: information to informal caregivers [2-2]; community marketing [3-4, 3-6]; peer health champions [3-5]</w:t>
            </w:r>
          </w:p>
        </w:tc>
        <w:tc>
          <w:tcPr>
            <w:tcW w:w="1668" w:type="pct"/>
          </w:tcPr>
          <w:p w14:paraId="2AC8EAD9" w14:textId="77777777" w:rsidR="00370509" w:rsidRPr="004C78D8" w:rsidRDefault="00370509" w:rsidP="00FB7C1F">
            <w:pPr>
              <w:spacing w:line="276" w:lineRule="auto"/>
              <w:jc w:val="left"/>
              <w:rPr>
                <w:color w:val="000000" w:themeColor="text1"/>
                <w:sz w:val="20"/>
              </w:rPr>
            </w:pPr>
            <w:r w:rsidRPr="004C78D8">
              <w:rPr>
                <w:color w:val="000000" w:themeColor="text1"/>
                <w:sz w:val="20"/>
              </w:rPr>
              <w:t>Psychosocial motives</w:t>
            </w:r>
          </w:p>
          <w:p w14:paraId="78E6579A" w14:textId="77777777" w:rsidR="00370509" w:rsidRPr="004C78D8" w:rsidRDefault="00370509" w:rsidP="00FB7C1F">
            <w:pPr>
              <w:pStyle w:val="ListParagraph"/>
              <w:numPr>
                <w:ilvl w:val="0"/>
                <w:numId w:val="26"/>
              </w:numPr>
              <w:spacing w:line="276" w:lineRule="auto"/>
              <w:ind w:left="259" w:hanging="218"/>
              <w:jc w:val="left"/>
              <w:rPr>
                <w:sz w:val="18"/>
                <w:szCs w:val="18"/>
              </w:rPr>
            </w:pPr>
            <w:r w:rsidRPr="004C78D8">
              <w:rPr>
                <w:sz w:val="18"/>
                <w:szCs w:val="18"/>
              </w:rPr>
              <w:t>Psychosocial benefits of interventions motivating uptake and adherence: enjoyability [3-8, 4-4]; social participation [4-5]</w:t>
            </w:r>
          </w:p>
          <w:p w14:paraId="37BBA7CE" w14:textId="77777777" w:rsidR="00370509" w:rsidRPr="004C78D8" w:rsidRDefault="00370509" w:rsidP="00FB7C1F">
            <w:pPr>
              <w:pStyle w:val="ListParagraph"/>
              <w:numPr>
                <w:ilvl w:val="0"/>
                <w:numId w:val="26"/>
              </w:numPr>
              <w:spacing w:line="276" w:lineRule="auto"/>
              <w:ind w:left="259" w:hanging="218"/>
              <w:jc w:val="left"/>
              <w:rPr>
                <w:sz w:val="18"/>
                <w:szCs w:val="18"/>
              </w:rPr>
            </w:pPr>
            <w:r w:rsidRPr="004C78D8">
              <w:rPr>
                <w:sz w:val="18"/>
                <w:szCs w:val="18"/>
              </w:rPr>
              <w:t>Good professional-participant relationship facilitates adherence [4-9]</w:t>
            </w:r>
          </w:p>
        </w:tc>
      </w:tr>
      <w:tr w:rsidR="00370509" w:rsidRPr="004C78D8" w14:paraId="553B6C53" w14:textId="77777777" w:rsidTr="002828C1">
        <w:tc>
          <w:tcPr>
            <w:tcW w:w="1665" w:type="pct"/>
          </w:tcPr>
          <w:p w14:paraId="5CE8764B" w14:textId="77777777" w:rsidR="00370509" w:rsidRPr="004C78D8" w:rsidRDefault="00370509" w:rsidP="00FB7C1F">
            <w:pPr>
              <w:spacing w:line="276" w:lineRule="auto"/>
              <w:jc w:val="left"/>
              <w:rPr>
                <w:i/>
                <w:sz w:val="20"/>
              </w:rPr>
            </w:pPr>
            <w:r w:rsidRPr="004C78D8">
              <w:rPr>
                <w:i/>
                <w:sz w:val="20"/>
              </w:rPr>
              <w:t>Need/eligibility</w:t>
            </w:r>
          </w:p>
          <w:p w14:paraId="5D0F0D5C" w14:textId="77777777" w:rsidR="00370509" w:rsidRPr="004C78D8" w:rsidRDefault="00370509" w:rsidP="00FB7C1F">
            <w:pPr>
              <w:pStyle w:val="ListParagraph"/>
              <w:numPr>
                <w:ilvl w:val="0"/>
                <w:numId w:val="26"/>
              </w:numPr>
              <w:spacing w:line="276" w:lineRule="auto"/>
              <w:ind w:left="174" w:hanging="218"/>
              <w:jc w:val="left"/>
              <w:rPr>
                <w:sz w:val="18"/>
                <w:szCs w:val="18"/>
              </w:rPr>
            </w:pPr>
            <w:r w:rsidRPr="004C78D8">
              <w:rPr>
                <w:sz w:val="18"/>
                <w:szCs w:val="18"/>
              </w:rPr>
              <w:t>Consider needs of chronically ill, frail and with comorbidities (who may be aged &lt;65) [4-10, 6-1]</w:t>
            </w:r>
          </w:p>
          <w:p w14:paraId="258074C4" w14:textId="77777777" w:rsidR="00370509" w:rsidRPr="004C78D8" w:rsidRDefault="00370509" w:rsidP="00FB7C1F">
            <w:pPr>
              <w:pStyle w:val="ListParagraph"/>
              <w:numPr>
                <w:ilvl w:val="0"/>
                <w:numId w:val="26"/>
              </w:numPr>
              <w:spacing w:line="276" w:lineRule="auto"/>
              <w:ind w:left="174" w:hanging="218"/>
              <w:jc w:val="left"/>
              <w:rPr>
                <w:sz w:val="18"/>
                <w:szCs w:val="18"/>
              </w:rPr>
            </w:pPr>
            <w:r w:rsidRPr="004C78D8">
              <w:rPr>
                <w:sz w:val="18"/>
                <w:szCs w:val="18"/>
              </w:rPr>
              <w:t>Identify appropriate interventions for cognitively impaired [6-2]</w:t>
            </w:r>
          </w:p>
          <w:p w14:paraId="4C0C3DB9" w14:textId="77777777" w:rsidR="00370509" w:rsidRPr="004C78D8" w:rsidRDefault="00370509" w:rsidP="00FB7C1F">
            <w:pPr>
              <w:pStyle w:val="ListParagraph"/>
              <w:numPr>
                <w:ilvl w:val="0"/>
                <w:numId w:val="26"/>
              </w:numPr>
              <w:spacing w:line="276" w:lineRule="auto"/>
              <w:ind w:left="174" w:hanging="218"/>
              <w:jc w:val="left"/>
              <w:rPr>
                <w:sz w:val="18"/>
                <w:szCs w:val="18"/>
              </w:rPr>
            </w:pPr>
            <w:r w:rsidRPr="004C78D8">
              <w:rPr>
                <w:sz w:val="18"/>
                <w:szCs w:val="18"/>
              </w:rPr>
              <w:lastRenderedPageBreak/>
              <w:t>Consider targeting those living in vulnerable circumstances such as socially isolation [6-3]</w:t>
            </w:r>
          </w:p>
        </w:tc>
        <w:tc>
          <w:tcPr>
            <w:tcW w:w="1668" w:type="pct"/>
          </w:tcPr>
          <w:p w14:paraId="0CA8B6BB" w14:textId="77777777" w:rsidR="00370509" w:rsidRPr="004C78D8" w:rsidRDefault="00370509" w:rsidP="00FB7C1F">
            <w:pPr>
              <w:spacing w:line="276" w:lineRule="auto"/>
              <w:jc w:val="left"/>
              <w:rPr>
                <w:sz w:val="20"/>
              </w:rPr>
            </w:pPr>
            <w:r w:rsidRPr="004C78D8">
              <w:rPr>
                <w:sz w:val="20"/>
              </w:rPr>
              <w:lastRenderedPageBreak/>
              <w:t>Intersectoral policy</w:t>
            </w:r>
          </w:p>
          <w:p w14:paraId="3F76D337" w14:textId="77777777" w:rsidR="00370509" w:rsidRPr="004C78D8" w:rsidRDefault="00370509" w:rsidP="00FB7C1F">
            <w:pPr>
              <w:pStyle w:val="ListParagraph"/>
              <w:numPr>
                <w:ilvl w:val="0"/>
                <w:numId w:val="26"/>
              </w:numPr>
              <w:spacing w:line="276" w:lineRule="auto"/>
              <w:ind w:left="141" w:hanging="219"/>
              <w:jc w:val="left"/>
              <w:rPr>
                <w:sz w:val="18"/>
                <w:szCs w:val="18"/>
              </w:rPr>
            </w:pPr>
            <w:r w:rsidRPr="004C78D8">
              <w:rPr>
                <w:sz w:val="18"/>
                <w:szCs w:val="18"/>
              </w:rPr>
              <w:t>Improve public spaces: safer and more health-promoting [5-1, 5-2]</w:t>
            </w:r>
          </w:p>
          <w:p w14:paraId="4C91B00F" w14:textId="77777777" w:rsidR="00370509" w:rsidRPr="004C78D8" w:rsidRDefault="00370509" w:rsidP="00FB7C1F">
            <w:pPr>
              <w:pStyle w:val="ListParagraph"/>
              <w:numPr>
                <w:ilvl w:val="0"/>
                <w:numId w:val="26"/>
              </w:numPr>
              <w:spacing w:line="276" w:lineRule="auto"/>
              <w:ind w:left="141" w:hanging="219"/>
              <w:jc w:val="left"/>
              <w:rPr>
                <w:sz w:val="18"/>
                <w:szCs w:val="18"/>
              </w:rPr>
            </w:pPr>
            <w:r w:rsidRPr="004C78D8">
              <w:rPr>
                <w:sz w:val="18"/>
                <w:szCs w:val="18"/>
              </w:rPr>
              <w:t>Change incentives for landlords to modify homes [5-3]</w:t>
            </w:r>
          </w:p>
          <w:p w14:paraId="0C1C0971" w14:textId="77777777" w:rsidR="00370509" w:rsidRPr="004C78D8" w:rsidRDefault="00370509" w:rsidP="00FB7C1F">
            <w:pPr>
              <w:pStyle w:val="ListParagraph"/>
              <w:numPr>
                <w:ilvl w:val="0"/>
                <w:numId w:val="26"/>
              </w:numPr>
              <w:spacing w:line="276" w:lineRule="auto"/>
              <w:ind w:left="141" w:hanging="219"/>
              <w:jc w:val="left"/>
              <w:rPr>
                <w:sz w:val="18"/>
                <w:szCs w:val="18"/>
              </w:rPr>
            </w:pPr>
            <w:r w:rsidRPr="004C78D8">
              <w:rPr>
                <w:sz w:val="18"/>
                <w:szCs w:val="18"/>
              </w:rPr>
              <w:t>Make transport cheaper and more accessible [3-23, 4-15]</w:t>
            </w:r>
          </w:p>
          <w:p w14:paraId="2AA2ED4C" w14:textId="77777777" w:rsidR="00370509" w:rsidRPr="004C78D8" w:rsidRDefault="00370509" w:rsidP="00FB7C1F">
            <w:pPr>
              <w:pStyle w:val="ListParagraph"/>
              <w:numPr>
                <w:ilvl w:val="0"/>
                <w:numId w:val="26"/>
              </w:numPr>
              <w:spacing w:line="276" w:lineRule="auto"/>
              <w:ind w:left="141" w:hanging="219"/>
              <w:jc w:val="left"/>
              <w:rPr>
                <w:sz w:val="18"/>
                <w:szCs w:val="18"/>
              </w:rPr>
            </w:pPr>
            <w:r w:rsidRPr="004C78D8">
              <w:rPr>
                <w:sz w:val="18"/>
                <w:szCs w:val="18"/>
              </w:rPr>
              <w:lastRenderedPageBreak/>
              <w:t>Support community organisations and initiatives [5-4]</w:t>
            </w:r>
          </w:p>
        </w:tc>
        <w:tc>
          <w:tcPr>
            <w:tcW w:w="1668" w:type="pct"/>
          </w:tcPr>
          <w:p w14:paraId="47764DC2" w14:textId="77777777" w:rsidR="00370509" w:rsidRPr="004C78D8" w:rsidRDefault="00370509" w:rsidP="00FB7C1F">
            <w:pPr>
              <w:spacing w:line="276" w:lineRule="auto"/>
              <w:jc w:val="left"/>
              <w:rPr>
                <w:sz w:val="20"/>
              </w:rPr>
            </w:pPr>
            <w:r w:rsidRPr="004C78D8">
              <w:rPr>
                <w:sz w:val="20"/>
              </w:rPr>
              <w:lastRenderedPageBreak/>
              <w:t>External influences on demand</w:t>
            </w:r>
          </w:p>
          <w:p w14:paraId="2091DA74" w14:textId="77777777" w:rsidR="00370509" w:rsidRPr="004C78D8" w:rsidRDefault="00370509" w:rsidP="00FB7C1F">
            <w:pPr>
              <w:pStyle w:val="ListParagraph"/>
              <w:numPr>
                <w:ilvl w:val="0"/>
                <w:numId w:val="26"/>
              </w:numPr>
              <w:spacing w:line="276" w:lineRule="auto"/>
              <w:ind w:left="259" w:hanging="218"/>
              <w:jc w:val="left"/>
              <w:rPr>
                <w:sz w:val="18"/>
                <w:szCs w:val="18"/>
              </w:rPr>
            </w:pPr>
            <w:r w:rsidRPr="004C78D8">
              <w:rPr>
                <w:sz w:val="18"/>
                <w:szCs w:val="18"/>
              </w:rPr>
              <w:t>Older persons are receptive to auxiliary implementation strategies, including community marketing and peer recommendations [3-4, 3-5, 3-6]</w:t>
            </w:r>
          </w:p>
          <w:p w14:paraId="167658DA" w14:textId="77777777" w:rsidR="00370509" w:rsidRPr="004C78D8" w:rsidRDefault="00370509" w:rsidP="00FB7C1F">
            <w:pPr>
              <w:pStyle w:val="ListParagraph"/>
              <w:numPr>
                <w:ilvl w:val="0"/>
                <w:numId w:val="26"/>
              </w:numPr>
              <w:spacing w:line="276" w:lineRule="auto"/>
              <w:ind w:left="259" w:hanging="218"/>
              <w:jc w:val="left"/>
              <w:rPr>
                <w:sz w:val="18"/>
                <w:szCs w:val="18"/>
              </w:rPr>
            </w:pPr>
            <w:r w:rsidRPr="004C78D8">
              <w:rPr>
                <w:sz w:val="18"/>
                <w:szCs w:val="18"/>
              </w:rPr>
              <w:lastRenderedPageBreak/>
              <w:t>Older persons are particularly receptive to professional recommendations [3-12, 3-14]</w:t>
            </w:r>
          </w:p>
        </w:tc>
      </w:tr>
      <w:tr w:rsidR="00370509" w:rsidRPr="004C78D8" w14:paraId="14F6D790" w14:textId="77777777" w:rsidTr="002828C1">
        <w:tc>
          <w:tcPr>
            <w:tcW w:w="5000" w:type="pct"/>
            <w:gridSpan w:val="3"/>
          </w:tcPr>
          <w:p w14:paraId="63B790C7" w14:textId="3C73B48B" w:rsidR="00370509" w:rsidRPr="004C78D8" w:rsidRDefault="00370509" w:rsidP="00FB7C1F">
            <w:pPr>
              <w:rPr>
                <w:sz w:val="18"/>
                <w:szCs w:val="18"/>
              </w:rPr>
            </w:pPr>
            <w:r w:rsidRPr="004C78D8">
              <w:rPr>
                <w:b/>
                <w:bCs/>
                <w:sz w:val="18"/>
                <w:szCs w:val="18"/>
              </w:rPr>
              <w:lastRenderedPageBreak/>
              <w:t>Abbreviation:</w:t>
            </w:r>
            <w:r w:rsidRPr="004C78D8">
              <w:rPr>
                <w:sz w:val="18"/>
                <w:szCs w:val="18"/>
              </w:rPr>
              <w:t xml:space="preserve"> CICI: Context and Implementation of Complex Interventions (CICI) framework </w:t>
            </w:r>
            <w:r w:rsidRPr="004C78D8">
              <w:rPr>
                <w:sz w:val="18"/>
                <w:szCs w:val="18"/>
              </w:rPr>
              <w:fldChar w:fldCharType="begin"/>
            </w:r>
            <w:r w:rsidR="00C630FC" w:rsidRPr="004C78D8">
              <w:rPr>
                <w:sz w:val="18"/>
                <w:szCs w:val="18"/>
              </w:rPr>
              <w:instrText xml:space="preserve"> ADDIN EN.CITE &lt;EndNote&gt;&lt;Cite&gt;&lt;Author&gt;Pfadenhauer&lt;/Author&gt;&lt;Year&gt;2016&lt;/Year&gt;&lt;RecNum&gt;578&lt;/RecNum&gt;&lt;DisplayText&gt;[181]&lt;/DisplayText&gt;&lt;record&gt;&lt;rec-number&gt;578&lt;/rec-number&gt;&lt;foreign-keys&gt;&lt;key app="EN" db-id="tdtrdw9aepptzbefsat599syza29sxsd2wsp" timestamp="1620727866"&gt;578&lt;/key&gt;&lt;/foreign-keys&gt;&lt;ref-type name="Report"&gt;27&lt;/ref-type&gt;&lt;contributors&gt;&lt;authors&gt;&lt;author&gt;Pfadenhauer, Lisa&lt;/author&gt;&lt;author&gt;Rohwer, Anke&lt;/author&gt;&lt;author&gt;Burns, Jacob&lt;/author&gt;&lt;author&gt;Booth, Andrew&lt;/author&gt;&lt;author&gt;Lysdahl, Kristin Bakke&lt;/author&gt;&lt;author&gt;Hofmann, Björn&lt;/author&gt;&lt;author&gt;Gerhardus, Ansgar&lt;/author&gt;&lt;author&gt;Mozygemba, Kati&lt;/author&gt;&lt;author&gt;Tummers, Marcia&lt;/author&gt;&lt;author&gt;Wahlster, Philip&lt;/author&gt;&lt;/authors&gt;&lt;/contributors&gt;&lt;titles&gt;&lt;title&gt;Guidance for the assessment of context and implementation in health technology assessments (HTA) and systematic reviews of complex interventions: the context and implementation of complex interventions (CICI) framework&lt;/title&gt;&lt;secondary-title&gt;Integrated Health Technology Assessment for Evaluating Complex Technologies (INTEGRATE-HTA)&lt;/secondary-title&gt;&lt;/titles&gt;&lt;dates&gt;&lt;year&gt;2016&lt;/year&gt;&lt;/dates&gt;&lt;pub-location&gt;Available from: http://www.integrate-hta.eu/downloads/&lt;/pub-location&gt;&lt;publisher&gt;European Union&lt;/publisher&gt;&lt;urls&gt;&lt;/urls&gt;&lt;/record&gt;&lt;/Cite&gt;&lt;/EndNote&gt;</w:instrText>
            </w:r>
            <w:r w:rsidRPr="004C78D8">
              <w:rPr>
                <w:sz w:val="18"/>
                <w:szCs w:val="18"/>
              </w:rPr>
              <w:fldChar w:fldCharType="separate"/>
            </w:r>
            <w:r w:rsidR="00C630FC" w:rsidRPr="004C78D8">
              <w:rPr>
                <w:noProof/>
                <w:sz w:val="18"/>
                <w:szCs w:val="18"/>
              </w:rPr>
              <w:t>[181]</w:t>
            </w:r>
            <w:r w:rsidRPr="004C78D8">
              <w:rPr>
                <w:sz w:val="18"/>
                <w:szCs w:val="18"/>
              </w:rPr>
              <w:fldChar w:fldCharType="end"/>
            </w:r>
            <w:r w:rsidRPr="004C78D8">
              <w:rPr>
                <w:sz w:val="18"/>
                <w:szCs w:val="18"/>
              </w:rPr>
              <w:t xml:space="preserve">; HNA: Health Needs Assessment framework </w:t>
            </w:r>
            <w:r w:rsidRPr="004C78D8">
              <w:rPr>
                <w:sz w:val="18"/>
                <w:szCs w:val="18"/>
              </w:rPr>
              <w:fldChar w:fldCharType="begin"/>
            </w:r>
            <w:r w:rsidR="00C630FC" w:rsidRPr="004C78D8">
              <w:rPr>
                <w:sz w:val="18"/>
                <w:szCs w:val="18"/>
              </w:rPr>
              <w:instrText xml:space="preserve"> ADDIN EN.CITE &lt;EndNote&gt;&lt;Cite&gt;&lt;Author&gt;Stevens&lt;/Author&gt;&lt;Year&gt;1991&lt;/Year&gt;&lt;RecNum&gt;566&lt;/RecNum&gt;&lt;DisplayText&gt;[190]&lt;/DisplayText&gt;&lt;record&gt;&lt;rec-number&gt;566&lt;/rec-number&gt;&lt;foreign-keys&gt;&lt;key app="EN" db-id="tdtrdw9aepptzbefsat599syza29sxsd2wsp" timestamp="1619809887"&gt;566&lt;/key&gt;&lt;/foreign-keys&gt;&lt;ref-type name="Journal Article"&gt;17&lt;/ref-type&gt;&lt;contributors&gt;&lt;authors&gt;&lt;author&gt;Stevens, Amy&lt;/author&gt;&lt;author&gt;Gabbay, J&lt;/author&gt;&lt;/authors&gt;&lt;/contributors&gt;&lt;titles&gt;&lt;title&gt;Needs assessment needs assessment&lt;/title&gt;&lt;secondary-title&gt;Health trends&lt;/secondary-title&gt;&lt;/titles&gt;&lt;periodical&gt;&lt;full-title&gt;Health trends&lt;/full-title&gt;&lt;/periodical&gt;&lt;pages&gt;20-23&lt;/pages&gt;&lt;volume&gt;23&lt;/volume&gt;&lt;number&gt;1&lt;/number&gt;&lt;dates&gt;&lt;year&gt;1991&lt;/year&gt;&lt;/dates&gt;&lt;isbn&gt;0017-9132&lt;/isbn&gt;&lt;urls&gt;&lt;/urls&gt;&lt;/record&gt;&lt;/Cite&gt;&lt;/EndNote&gt;</w:instrText>
            </w:r>
            <w:r w:rsidRPr="004C78D8">
              <w:rPr>
                <w:sz w:val="18"/>
                <w:szCs w:val="18"/>
              </w:rPr>
              <w:fldChar w:fldCharType="separate"/>
            </w:r>
            <w:r w:rsidR="00C630FC" w:rsidRPr="004C78D8">
              <w:rPr>
                <w:noProof/>
                <w:sz w:val="18"/>
                <w:szCs w:val="18"/>
              </w:rPr>
              <w:t>[190]</w:t>
            </w:r>
            <w:r w:rsidRPr="004C78D8">
              <w:rPr>
                <w:sz w:val="18"/>
                <w:szCs w:val="18"/>
              </w:rPr>
              <w:fldChar w:fldCharType="end"/>
            </w:r>
          </w:p>
          <w:p w14:paraId="143A2053" w14:textId="1D0D36F6" w:rsidR="00370509" w:rsidRPr="004C78D8" w:rsidRDefault="00370509" w:rsidP="00FB7C1F">
            <w:pPr>
              <w:rPr>
                <w:sz w:val="18"/>
                <w:szCs w:val="18"/>
              </w:rPr>
            </w:pPr>
            <w:r w:rsidRPr="004C78D8">
              <w:rPr>
                <w:sz w:val="18"/>
                <w:szCs w:val="18"/>
                <w:vertAlign w:val="superscript"/>
              </w:rPr>
              <w:t>1</w:t>
            </w:r>
            <w:r w:rsidRPr="004C78D8">
              <w:rPr>
                <w:sz w:val="18"/>
                <w:szCs w:val="18"/>
              </w:rPr>
              <w:t xml:space="preserve"> See Tables 2.2 and 2.3 for themes by falls prevention pathway component and Tables A1 and A2 in Appendix A for transcript quotes.</w:t>
            </w:r>
          </w:p>
        </w:tc>
      </w:tr>
    </w:tbl>
    <w:p w14:paraId="54D3A3AA" w14:textId="563A9A68" w:rsidR="00370509" w:rsidRPr="004C78D8" w:rsidRDefault="00370509" w:rsidP="00FB7C1F">
      <w:pPr>
        <w:spacing w:line="276" w:lineRule="auto"/>
      </w:pPr>
    </w:p>
    <w:p w14:paraId="257A9B76" w14:textId="31A25529" w:rsidR="00075C79" w:rsidRPr="004C78D8" w:rsidRDefault="00075C79" w:rsidP="00FB7C1F">
      <w:pPr>
        <w:pStyle w:val="Heading4"/>
      </w:pPr>
      <w:r w:rsidRPr="004C78D8">
        <w:t>2.4.3.1 Context, priority setting and need/eligibility</w:t>
      </w:r>
    </w:p>
    <w:p w14:paraId="7F0FFFEE" w14:textId="7AC3D605" w:rsidR="00075C79" w:rsidRPr="004C78D8" w:rsidRDefault="00075C79" w:rsidP="00FB7C1F">
      <w:r w:rsidRPr="004C78D8">
        <w:t>The first column of Table 2.4 groups together the themes on context, priority setting and need/eligibility. Not all contextual domains in the CICI framework were identified; the five identified were socioeconomic, linguistic/ethnic, setting/geographical, legal/regulatory and cultural. The commissioner and stakeholders should discuss to what extent the contextual factors are modifiable via intersectoral policies (i.e., lie within the decision space). For example, the difficulty of making safety modifications to rented properties was mentioned several times:</w:t>
      </w:r>
    </w:p>
    <w:p w14:paraId="3F48E738" w14:textId="17F51E10" w:rsidR="00964DA8" w:rsidRPr="004C78D8" w:rsidRDefault="00964DA8" w:rsidP="00FB7C1F">
      <w:pPr>
        <w:pStyle w:val="Quote"/>
      </w:pPr>
      <w:r w:rsidRPr="004C78D8">
        <w:t>(FG4) “And I couldn’t [modify my house] because I live in a rented property. It’s not mine. I’m not allowed to do anything.”</w:t>
      </w:r>
      <w:r w:rsidR="00075C79" w:rsidRPr="004C78D8">
        <w:t xml:space="preserve"> (Theme [5-3])</w:t>
      </w:r>
    </w:p>
    <w:p w14:paraId="2DED2978" w14:textId="2124E8CF" w:rsidR="00075C79" w:rsidRPr="004C78D8" w:rsidRDefault="00075C79" w:rsidP="00FB7C1F">
      <w:r w:rsidRPr="004C78D8">
        <w:t>This could potentially be addressed by new housing regulations that incentivise relevant action by landlords. The culture of communal responsibility could be enhanced to some extent by supporting community organisations and civic initiatives.</w:t>
      </w:r>
    </w:p>
    <w:p w14:paraId="2004132F" w14:textId="0AA64A63" w:rsidR="00075C79" w:rsidRPr="004C78D8" w:rsidRDefault="00075C79" w:rsidP="00FB7C1F">
      <w:r w:rsidRPr="004C78D8">
        <w:t>Several priority setting challenges emerged from the data. The commissioner should consider prioritising intervention access for several marginalised subgroups: socially deprived; ethnic minority; with complex comorbidities; cognitively impaired; and socially isolated. Ideally, the prioritisation should not come at the expense of reduced services for non-marginalised subgroups.</w:t>
      </w:r>
    </w:p>
    <w:p w14:paraId="44667D25" w14:textId="1A11513A" w:rsidR="00075C79" w:rsidRPr="004C78D8" w:rsidRDefault="00075C79" w:rsidP="00FB7C1F">
      <w:r w:rsidRPr="004C78D8">
        <w:t>The commissioner may also decide to change the eligibility criteria for falls prevention according to local priorities. Currently, CG161 recommends community-based falls risk screening for those aged 65+, followed by referral to multifactorial intervention for those at high falls risk defined by falls history and abnormal gait/balance. The screening protocol can be expanded to include those with complex comorbidities who are aged less than 65; the risk factors examined for referral can similarly be expanded to cover frailty and non-health factors such as social isolation. A separate pathway may be designed for cognitively impaired persons who require tailored support from dedicated organisations:</w:t>
      </w:r>
    </w:p>
    <w:p w14:paraId="715A090D" w14:textId="4D1C84EC" w:rsidR="00964DA8" w:rsidRPr="004C78D8" w:rsidRDefault="00964DA8" w:rsidP="00FB7C1F">
      <w:pPr>
        <w:pStyle w:val="Quote"/>
      </w:pPr>
      <w:r w:rsidRPr="004C78D8">
        <w:t>(INT2) “But with these walks which are organised by the Alzheimer’s Society is that there are qualified people leading the walks.”</w:t>
      </w:r>
      <w:r w:rsidR="00075C79" w:rsidRPr="004C78D8">
        <w:t xml:space="preserve"> (Theme [4-7])</w:t>
      </w:r>
    </w:p>
    <w:p w14:paraId="5AFF82AB" w14:textId="5067C2AC" w:rsidR="00075C79" w:rsidRPr="004C78D8" w:rsidRDefault="00075C79" w:rsidP="00FB7C1F">
      <w:pPr>
        <w:pStyle w:val="Heading4"/>
      </w:pPr>
      <w:r w:rsidRPr="004C78D8">
        <w:t>2.4.3.2 Supply</w:t>
      </w:r>
    </w:p>
    <w:p w14:paraId="37A42F01" w14:textId="5E31911F" w:rsidR="00075C79" w:rsidRPr="004C78D8" w:rsidRDefault="00075C79" w:rsidP="00FB7C1F">
      <w:r w:rsidRPr="004C78D8">
        <w:t xml:space="preserve">Older participants identified a broad range of supply-side issues and solutions at provider/organisation, funding/policy and intersectoral levels as shown in the second column of Table 2.4. The commissioner should determine which solutions lie within the decision space: e.g., certain professional attributes such as commandeering attitude may not be modifiable in the short run. Significant investments – e.g., a new </w:t>
      </w:r>
      <w:r w:rsidR="00AC5C5E" w:rsidRPr="004C78D8">
        <w:t>f</w:t>
      </w:r>
      <w:r w:rsidRPr="004C78D8">
        <w:t xml:space="preserve">alls </w:t>
      </w:r>
      <w:r w:rsidR="00AC5C5E" w:rsidRPr="004C78D8">
        <w:t>c</w:t>
      </w:r>
      <w:r w:rsidRPr="004C78D8">
        <w:t>linic, changes to GP reimbursement schedule for risk screening – would similarly take time and be constrained by the budget.</w:t>
      </w:r>
    </w:p>
    <w:p w14:paraId="53F3A8DD" w14:textId="3F610F3E" w:rsidR="00075C79" w:rsidRPr="004C78D8" w:rsidRDefault="00AC5C5E" w:rsidP="00FB7C1F">
      <w:pPr>
        <w:pStyle w:val="Heading4"/>
      </w:pPr>
      <w:r w:rsidRPr="004C78D8">
        <w:t>2.4.3.3 Demand</w:t>
      </w:r>
    </w:p>
    <w:p w14:paraId="0992926C" w14:textId="5010DA23" w:rsidR="00AC5C5E" w:rsidRPr="004C78D8" w:rsidRDefault="00AC5C5E" w:rsidP="00FB7C1F">
      <w:r w:rsidRPr="004C78D8">
        <w:t>The last column of Table 2.4 arranges the demand-side themes by three types: health and fall-related motives of older persons; non-health and social motives; and external influences on demand. Importantly, the external influences are modifiable by using auxiliary implementation strategies (e.g., community marketing). Older persons are also receptive of professional recommendations; hence, this influence can be maximised by improving professional attributes such as awareness of community initiatives:</w:t>
      </w:r>
    </w:p>
    <w:p w14:paraId="3D542F42" w14:textId="74FB53D9" w:rsidR="00AC5C5E" w:rsidRPr="004C78D8" w:rsidRDefault="00AC5C5E" w:rsidP="00FB7C1F">
      <w:pPr>
        <w:pStyle w:val="Quote"/>
      </w:pPr>
      <w:r w:rsidRPr="004C78D8">
        <w:lastRenderedPageBreak/>
        <w:t>(FG3) “When I was having as many as things I’ve had, I had to see Professor [name] at Hallamshire [Teaching Hospital]. So actually, I sent him details of [Dance to Health] and he wrote me to send me a very brief letter back saying ‘Thank you for this. I think I can put this to my other patients who have got a similar thing.’” (Theme [3-13])</w:t>
      </w:r>
    </w:p>
    <w:p w14:paraId="73BB3521" w14:textId="77777777" w:rsidR="00075C79" w:rsidRPr="004C78D8" w:rsidRDefault="00075C79" w:rsidP="00FB7C1F"/>
    <w:p w14:paraId="415F6E02" w14:textId="4A9EE565" w:rsidR="001D6375" w:rsidRPr="004C78D8" w:rsidRDefault="0034738A" w:rsidP="00FB7C1F">
      <w:pPr>
        <w:pStyle w:val="Heading3"/>
      </w:pPr>
      <w:bookmarkStart w:id="53" w:name="_Toc111630711"/>
      <w:r w:rsidRPr="004C78D8">
        <w:t xml:space="preserve">2.4.4 Framework (III): </w:t>
      </w:r>
      <w:r w:rsidR="005B4A49" w:rsidRPr="004C78D8">
        <w:t>Challenges for public health economic modelling</w:t>
      </w:r>
      <w:bookmarkEnd w:id="53"/>
    </w:p>
    <w:p w14:paraId="345067C1" w14:textId="77777777" w:rsidR="00D43B39" w:rsidRPr="004C78D8" w:rsidRDefault="0034738A" w:rsidP="00FB7C1F">
      <w:r w:rsidRPr="004C78D8">
        <w:t>Table 2.5 summarises the methodological and evaluative challenges for falls prevention economic model identified from the qualitative data</w:t>
      </w:r>
      <w:r w:rsidR="003E7300" w:rsidRPr="004C78D8">
        <w:t xml:space="preserve"> (see also Figure A2 in Appendix A)</w:t>
      </w:r>
      <w:r w:rsidRPr="004C78D8">
        <w:t>.</w:t>
      </w:r>
    </w:p>
    <w:tbl>
      <w:tblPr>
        <w:tblStyle w:val="TableGrid"/>
        <w:tblW w:w="5000" w:type="pct"/>
        <w:tblLook w:val="04A0" w:firstRow="1" w:lastRow="0" w:firstColumn="1" w:lastColumn="0" w:noHBand="0" w:noVBand="1"/>
      </w:tblPr>
      <w:tblGrid>
        <w:gridCol w:w="4512"/>
        <w:gridCol w:w="4504"/>
      </w:tblGrid>
      <w:tr w:rsidR="00D43B39" w:rsidRPr="004C78D8" w14:paraId="4D82C1EA" w14:textId="77777777" w:rsidTr="002828C1">
        <w:tc>
          <w:tcPr>
            <w:tcW w:w="5000" w:type="pct"/>
            <w:gridSpan w:val="2"/>
          </w:tcPr>
          <w:p w14:paraId="65B435D9" w14:textId="62A8A8B2" w:rsidR="00D43B39" w:rsidRPr="004C78D8" w:rsidRDefault="00D43B39" w:rsidP="00FB7C1F">
            <w:r w:rsidRPr="004C78D8">
              <w:rPr>
                <w:b/>
                <w:bCs/>
              </w:rPr>
              <w:t>Table 2.5</w:t>
            </w:r>
            <w:r w:rsidRPr="004C78D8">
              <w:t xml:space="preserve"> Methodological and evaluative challenges for falls prevention economic modelling.</w:t>
            </w:r>
          </w:p>
        </w:tc>
      </w:tr>
      <w:tr w:rsidR="00D43B39" w:rsidRPr="004C78D8" w14:paraId="7477E69F" w14:textId="77777777" w:rsidTr="002828C1">
        <w:tc>
          <w:tcPr>
            <w:tcW w:w="2502" w:type="pct"/>
          </w:tcPr>
          <w:p w14:paraId="2C56000E" w14:textId="77777777" w:rsidR="00D43B39" w:rsidRPr="004C78D8" w:rsidRDefault="00D43B39" w:rsidP="00FB7C1F">
            <w:pPr>
              <w:rPr>
                <w:i/>
                <w:sz w:val="20"/>
              </w:rPr>
            </w:pPr>
            <w:r w:rsidRPr="004C78D8">
              <w:rPr>
                <w:i/>
                <w:sz w:val="20"/>
              </w:rPr>
              <w:t>Methodological challenges [Theme #]</w:t>
            </w:r>
            <w:r w:rsidRPr="004C78D8">
              <w:rPr>
                <w:i/>
                <w:sz w:val="20"/>
                <w:vertAlign w:val="superscript"/>
              </w:rPr>
              <w:t>1</w:t>
            </w:r>
          </w:p>
        </w:tc>
        <w:tc>
          <w:tcPr>
            <w:tcW w:w="2498" w:type="pct"/>
          </w:tcPr>
          <w:p w14:paraId="7A4CEEF3" w14:textId="77777777" w:rsidR="00D43B39" w:rsidRPr="004C78D8" w:rsidRDefault="00D43B39" w:rsidP="00FB7C1F">
            <w:pPr>
              <w:rPr>
                <w:i/>
                <w:sz w:val="20"/>
              </w:rPr>
            </w:pPr>
            <w:r w:rsidRPr="004C78D8">
              <w:rPr>
                <w:i/>
                <w:sz w:val="20"/>
              </w:rPr>
              <w:t>Evaluative challenges [Theme #]</w:t>
            </w:r>
          </w:p>
        </w:tc>
      </w:tr>
      <w:tr w:rsidR="00D43B39" w:rsidRPr="004C78D8" w14:paraId="7E4D0A6F" w14:textId="77777777" w:rsidTr="002828C1">
        <w:tc>
          <w:tcPr>
            <w:tcW w:w="2502" w:type="pct"/>
          </w:tcPr>
          <w:p w14:paraId="36D755D4" w14:textId="77777777" w:rsidR="00D43B39" w:rsidRPr="004C78D8" w:rsidRDefault="00D43B39" w:rsidP="00FB7C1F">
            <w:pPr>
              <w:jc w:val="left"/>
              <w:rPr>
                <w:sz w:val="20"/>
                <w:szCs w:val="20"/>
              </w:rPr>
            </w:pPr>
            <w:r w:rsidRPr="004C78D8">
              <w:rPr>
                <w:sz w:val="20"/>
                <w:szCs w:val="20"/>
              </w:rPr>
              <w:t>Capturing non-health outcomes and societal intervention costs</w:t>
            </w:r>
          </w:p>
          <w:p w14:paraId="7E04676D" w14:textId="77777777" w:rsidR="00D43B39" w:rsidRPr="004C78D8" w:rsidRDefault="00D43B39" w:rsidP="00FB7C1F">
            <w:pPr>
              <w:pStyle w:val="ListParagraph"/>
              <w:numPr>
                <w:ilvl w:val="0"/>
                <w:numId w:val="26"/>
              </w:numPr>
              <w:ind w:left="174" w:hanging="218"/>
              <w:jc w:val="left"/>
              <w:rPr>
                <w:sz w:val="18"/>
                <w:szCs w:val="18"/>
              </w:rPr>
            </w:pPr>
            <w:r w:rsidRPr="004C78D8">
              <w:rPr>
                <w:sz w:val="18"/>
                <w:szCs w:val="18"/>
              </w:rPr>
              <w:t>Model should capture social benefits of falls prevention interventions [3-8, 4-4, 4-5].</w:t>
            </w:r>
          </w:p>
          <w:p w14:paraId="0A00B065" w14:textId="77777777" w:rsidR="00D43B39" w:rsidRPr="004C78D8" w:rsidRDefault="00D43B39" w:rsidP="00FB7C1F">
            <w:pPr>
              <w:pStyle w:val="ListParagraph"/>
              <w:numPr>
                <w:ilvl w:val="0"/>
                <w:numId w:val="26"/>
              </w:numPr>
              <w:ind w:left="174" w:hanging="218"/>
              <w:jc w:val="left"/>
              <w:rPr>
                <w:sz w:val="18"/>
              </w:rPr>
            </w:pPr>
            <w:r w:rsidRPr="004C78D8">
              <w:rPr>
                <w:sz w:val="18"/>
              </w:rPr>
              <w:t xml:space="preserve">Model should capture private intervention and transport costs [3-20, 3-23, 4-11]. </w:t>
            </w:r>
          </w:p>
          <w:p w14:paraId="577BC677" w14:textId="77777777" w:rsidR="00D43B39" w:rsidRPr="004C78D8" w:rsidRDefault="00D43B39" w:rsidP="00FB7C1F">
            <w:pPr>
              <w:pStyle w:val="ListParagraph"/>
              <w:numPr>
                <w:ilvl w:val="0"/>
                <w:numId w:val="26"/>
              </w:numPr>
              <w:ind w:left="174" w:hanging="218"/>
              <w:jc w:val="left"/>
              <w:rPr>
                <w:sz w:val="18"/>
              </w:rPr>
            </w:pPr>
            <w:r w:rsidRPr="004C78D8">
              <w:rPr>
                <w:sz w:val="18"/>
              </w:rPr>
              <w:t>Model should capture any time opportunity cost to participants and informal caregivers: e.g., due to inconvenient timing or location [3-21, 4-14, 4-15].</w:t>
            </w:r>
          </w:p>
        </w:tc>
        <w:tc>
          <w:tcPr>
            <w:tcW w:w="2498" w:type="pct"/>
          </w:tcPr>
          <w:p w14:paraId="4279B0C7" w14:textId="77777777" w:rsidR="00D43B39" w:rsidRPr="004C78D8" w:rsidRDefault="00D43B39" w:rsidP="00FB7C1F">
            <w:pPr>
              <w:jc w:val="left"/>
              <w:rPr>
                <w:sz w:val="20"/>
              </w:rPr>
            </w:pPr>
            <w:r w:rsidRPr="004C78D8">
              <w:rPr>
                <w:sz w:val="20"/>
              </w:rPr>
              <w:t>Perspective, type of analysis and time horizon</w:t>
            </w:r>
          </w:p>
          <w:p w14:paraId="517F8B33" w14:textId="5DCE4CFC" w:rsidR="00D43B39" w:rsidRPr="004C78D8" w:rsidRDefault="00D43B39" w:rsidP="00FB7C1F">
            <w:pPr>
              <w:pStyle w:val="ListParagraph"/>
              <w:numPr>
                <w:ilvl w:val="0"/>
                <w:numId w:val="26"/>
              </w:numPr>
              <w:ind w:left="200" w:hanging="218"/>
              <w:jc w:val="left"/>
              <w:rPr>
                <w:sz w:val="18"/>
                <w:szCs w:val="18"/>
              </w:rPr>
            </w:pPr>
            <w:r w:rsidRPr="004C78D8">
              <w:rPr>
                <w:sz w:val="18"/>
                <w:szCs w:val="18"/>
              </w:rPr>
              <w:t xml:space="preserve">Under CUA, the generic health utility measure such as EQ-5D may not fully capture social benefits of interventions [3-8, 4-4, 4-5]; the model should consider broader wellbeing measure (e.g., ICECAP-O </w:t>
            </w:r>
            <w:r w:rsidRPr="004C78D8">
              <w:rPr>
                <w:sz w:val="18"/>
                <w:szCs w:val="18"/>
              </w:rPr>
              <w:fldChar w:fldCharType="begin"/>
            </w:r>
            <w:r w:rsidR="00513646" w:rsidRPr="004C78D8">
              <w:rPr>
                <w:sz w:val="18"/>
                <w:szCs w:val="18"/>
              </w:rPr>
              <w:instrText xml:space="preserve"> ADDIN EN.CITE &lt;EndNote&gt;&lt;Cite&gt;&lt;Author&gt;Coast&lt;/Author&gt;&lt;Year&gt;2008&lt;/Year&gt;&lt;RecNum&gt;482&lt;/RecNum&gt;&lt;DisplayText&gt;[104, 105]&lt;/DisplayText&gt;&lt;record&gt;&lt;rec-number&gt;482&lt;/rec-number&gt;&lt;foreign-keys&gt;&lt;key app="EN" db-id="tdtrdw9aepptzbefsat599syza29sxsd2wsp" timestamp="1616579259"&gt;482&lt;/key&gt;&lt;/foreign-keys&gt;&lt;ref-type name="Journal Article"&gt;17&lt;/ref-type&gt;&lt;contributors&gt;&lt;authors&gt;&lt;author&gt;Coast, Joanna&lt;/author&gt;&lt;author&gt;Flynn, Terry N&lt;/author&gt;&lt;author&gt;Natarajan, Lucy&lt;/author&gt;&lt;author&gt;Sproston, Kerry&lt;/author&gt;&lt;author&gt;Lewis, Jane&lt;/author&gt;&lt;author&gt;Louviere, Jordan J&lt;/author&gt;&lt;author&gt;Peters, Tim J&lt;/author&gt;&lt;/authors&gt;&lt;/contributors&gt;&lt;titles&gt;&lt;title&gt;Valuing the ICECAP capability index for older people&lt;/title&gt;&lt;secondary-title&gt;Social science &amp;amp; medicine&lt;/secondary-title&gt;&lt;/titles&gt;&lt;periodical&gt;&lt;full-title&gt;Social science &amp;amp; medicine&lt;/full-title&gt;&lt;/periodical&gt;&lt;pages&gt;874-882&lt;/pages&gt;&lt;volume&gt;67&lt;/volume&gt;&lt;number&gt;5&lt;/number&gt;&lt;dates&gt;&lt;year&gt;2008&lt;/year&gt;&lt;/dates&gt;&lt;isbn&gt;0277-9536&lt;/isbn&gt;&lt;urls&gt;&lt;/urls&gt;&lt;/record&gt;&lt;/Cite&gt;&lt;Cite&gt;&lt;Author&gt;Davis&lt;/Author&gt;&lt;Year&gt;2011&lt;/Year&gt;&lt;RecNum&gt;286&lt;/RecNum&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Pr="004C78D8">
              <w:rPr>
                <w:sz w:val="18"/>
                <w:szCs w:val="18"/>
              </w:rPr>
              <w:fldChar w:fldCharType="separate"/>
            </w:r>
            <w:r w:rsidR="00513646" w:rsidRPr="004C78D8">
              <w:rPr>
                <w:noProof/>
                <w:sz w:val="18"/>
                <w:szCs w:val="18"/>
              </w:rPr>
              <w:t>[104, 105]</w:t>
            </w:r>
            <w:r w:rsidRPr="004C78D8">
              <w:rPr>
                <w:sz w:val="18"/>
                <w:szCs w:val="18"/>
              </w:rPr>
              <w:fldChar w:fldCharType="end"/>
            </w:r>
            <w:r w:rsidRPr="004C78D8">
              <w:rPr>
                <w:sz w:val="18"/>
                <w:szCs w:val="18"/>
              </w:rPr>
              <w:t>)</w:t>
            </w:r>
          </w:p>
          <w:p w14:paraId="250BF341" w14:textId="77777777" w:rsidR="00D43B39" w:rsidRPr="004C78D8" w:rsidRDefault="00D43B39" w:rsidP="00FB7C1F">
            <w:pPr>
              <w:pStyle w:val="ListParagraph"/>
              <w:numPr>
                <w:ilvl w:val="0"/>
                <w:numId w:val="26"/>
              </w:numPr>
              <w:ind w:left="200" w:hanging="218"/>
              <w:jc w:val="left"/>
              <w:rPr>
                <w:sz w:val="18"/>
                <w:szCs w:val="18"/>
              </w:rPr>
            </w:pPr>
            <w:r w:rsidRPr="004C78D8">
              <w:rPr>
                <w:sz w:val="18"/>
                <w:szCs w:val="18"/>
              </w:rPr>
              <w:t>Societal perspective is likely necessary to capture societal intervention costs [3-20, 3-23, 4-11].</w:t>
            </w:r>
          </w:p>
          <w:p w14:paraId="567FC247" w14:textId="137B40ED" w:rsidR="00D43B39" w:rsidRPr="004C78D8" w:rsidRDefault="00D43B39" w:rsidP="00FB7C1F">
            <w:pPr>
              <w:pStyle w:val="ListParagraph"/>
              <w:numPr>
                <w:ilvl w:val="0"/>
                <w:numId w:val="26"/>
              </w:numPr>
              <w:ind w:left="200" w:hanging="218"/>
              <w:jc w:val="left"/>
              <w:rPr>
                <w:sz w:val="20"/>
                <w:szCs w:val="20"/>
              </w:rPr>
            </w:pPr>
            <w:r w:rsidRPr="004C78D8">
              <w:rPr>
                <w:sz w:val="18"/>
                <w:szCs w:val="18"/>
              </w:rPr>
              <w:t xml:space="preserve">Long time horizons </w:t>
            </w:r>
            <w:r w:rsidR="002E7B64" w:rsidRPr="004C78D8">
              <w:rPr>
                <w:sz w:val="18"/>
                <w:szCs w:val="18"/>
              </w:rPr>
              <w:t xml:space="preserve">are </w:t>
            </w:r>
            <w:r w:rsidRPr="004C78D8">
              <w:rPr>
                <w:sz w:val="18"/>
                <w:szCs w:val="18"/>
              </w:rPr>
              <w:t>required</w:t>
            </w:r>
            <w:r w:rsidRPr="004C78D8">
              <w:rPr>
                <w:sz w:val="18"/>
              </w:rPr>
              <w:t xml:space="preserve"> to capture dynamic trajectories and </w:t>
            </w:r>
            <w:r w:rsidRPr="004C78D8">
              <w:rPr>
                <w:sz w:val="18"/>
                <w:szCs w:val="18"/>
              </w:rPr>
              <w:t>evaluate system</w:t>
            </w:r>
            <w:r w:rsidRPr="004C78D8">
              <w:rPr>
                <w:sz w:val="18"/>
              </w:rPr>
              <w:t xml:space="preserve"> changes incurring large sunk costs (e.g., [1-1, 1-3</w:t>
            </w:r>
            <w:r w:rsidRPr="004C78D8">
              <w:rPr>
                <w:sz w:val="18"/>
                <w:szCs w:val="18"/>
              </w:rPr>
              <w:t>]).</w:t>
            </w:r>
          </w:p>
        </w:tc>
      </w:tr>
      <w:tr w:rsidR="00D43B39" w:rsidRPr="004C78D8" w14:paraId="4AD42EED" w14:textId="77777777" w:rsidTr="002828C1">
        <w:tc>
          <w:tcPr>
            <w:tcW w:w="2502" w:type="pct"/>
          </w:tcPr>
          <w:p w14:paraId="6C96530F" w14:textId="77777777" w:rsidR="00D43B39" w:rsidRPr="004C78D8" w:rsidRDefault="00D43B39" w:rsidP="00FB7C1F">
            <w:pPr>
              <w:jc w:val="left"/>
              <w:rPr>
                <w:sz w:val="20"/>
                <w:szCs w:val="20"/>
              </w:rPr>
            </w:pPr>
            <w:r w:rsidRPr="004C78D8">
              <w:rPr>
                <w:sz w:val="20"/>
                <w:szCs w:val="20"/>
              </w:rPr>
              <w:t>Considering dynamic complexity</w:t>
            </w:r>
          </w:p>
          <w:p w14:paraId="5DFD67B3" w14:textId="77777777" w:rsidR="00D43B39" w:rsidRPr="004C78D8" w:rsidRDefault="00D43B39" w:rsidP="00FB7C1F">
            <w:pPr>
              <w:pStyle w:val="ListParagraph"/>
              <w:numPr>
                <w:ilvl w:val="0"/>
                <w:numId w:val="26"/>
              </w:numPr>
              <w:ind w:left="174" w:hanging="218"/>
              <w:jc w:val="left"/>
              <w:rPr>
                <w:sz w:val="18"/>
                <w:szCs w:val="18"/>
              </w:rPr>
            </w:pPr>
            <w:r w:rsidRPr="004C78D8">
              <w:rPr>
                <w:sz w:val="18"/>
              </w:rPr>
              <w:t xml:space="preserve">Model should incorporate </w:t>
            </w:r>
            <w:r w:rsidRPr="004C78D8">
              <w:rPr>
                <w:sz w:val="18"/>
                <w:szCs w:val="18"/>
              </w:rPr>
              <w:t>dynamic trajectories of ageing</w:t>
            </w:r>
            <w:r w:rsidRPr="004C78D8">
              <w:rPr>
                <w:sz w:val="18"/>
              </w:rPr>
              <w:t xml:space="preserve"> and </w:t>
            </w:r>
            <w:r w:rsidRPr="004C78D8">
              <w:rPr>
                <w:sz w:val="18"/>
                <w:szCs w:val="18"/>
              </w:rPr>
              <w:t>falls risk influencing older person’s demand and appropriate professional response [1-4, 1-5, 3-2, 4-1].</w:t>
            </w:r>
          </w:p>
          <w:p w14:paraId="5D80249A" w14:textId="77777777" w:rsidR="00D43B39" w:rsidRPr="004C78D8" w:rsidRDefault="00D43B39" w:rsidP="00FB7C1F">
            <w:pPr>
              <w:pStyle w:val="ListParagraph"/>
              <w:numPr>
                <w:ilvl w:val="0"/>
                <w:numId w:val="26"/>
              </w:numPr>
              <w:ind w:left="174" w:hanging="218"/>
              <w:jc w:val="left"/>
              <w:rPr>
                <w:sz w:val="18"/>
                <w:szCs w:val="18"/>
              </w:rPr>
            </w:pPr>
            <w:r w:rsidRPr="004C78D8">
              <w:rPr>
                <w:sz w:val="18"/>
                <w:szCs w:val="18"/>
              </w:rPr>
              <w:t xml:space="preserve">Model should capture the dynamic trajectories of </w:t>
            </w:r>
            <w:r w:rsidRPr="004C78D8">
              <w:rPr>
                <w:sz w:val="18"/>
              </w:rPr>
              <w:t xml:space="preserve">variables </w:t>
            </w:r>
            <w:r w:rsidRPr="004C78D8">
              <w:rPr>
                <w:sz w:val="18"/>
                <w:szCs w:val="18"/>
              </w:rPr>
              <w:t>that delineate vulnerable subgroups (e.g., cognitive status, frailty) [</w:t>
            </w:r>
            <w:r w:rsidRPr="004C78D8">
              <w:rPr>
                <w:sz w:val="18"/>
              </w:rPr>
              <w:t>6-</w:t>
            </w:r>
            <w:r w:rsidRPr="004C78D8">
              <w:rPr>
                <w:sz w:val="18"/>
                <w:szCs w:val="18"/>
              </w:rPr>
              <w:t>1, 6-2, 6-3].</w:t>
            </w:r>
          </w:p>
          <w:p w14:paraId="18091B56" w14:textId="77777777" w:rsidR="00D43B39" w:rsidRPr="004C78D8" w:rsidRDefault="00D43B39" w:rsidP="00FB7C1F">
            <w:pPr>
              <w:pStyle w:val="ListParagraph"/>
              <w:numPr>
                <w:ilvl w:val="0"/>
                <w:numId w:val="26"/>
              </w:numPr>
              <w:ind w:left="174" w:hanging="218"/>
              <w:jc w:val="left"/>
              <w:rPr>
                <w:sz w:val="18"/>
                <w:szCs w:val="18"/>
              </w:rPr>
            </w:pPr>
            <w:r w:rsidRPr="004C78D8">
              <w:rPr>
                <w:sz w:val="18"/>
                <w:szCs w:val="18"/>
              </w:rPr>
              <w:t>Model should capture wider health benefits of interventions beyond falls prevention [4-</w:t>
            </w:r>
            <w:r w:rsidRPr="004C78D8">
              <w:rPr>
                <w:sz w:val="18"/>
              </w:rPr>
              <w:t>3].</w:t>
            </w:r>
          </w:p>
          <w:p w14:paraId="306A8198" w14:textId="77777777" w:rsidR="00D43B39" w:rsidRPr="004C78D8" w:rsidRDefault="00D43B39" w:rsidP="00FB7C1F">
            <w:pPr>
              <w:pStyle w:val="ListParagraph"/>
              <w:numPr>
                <w:ilvl w:val="0"/>
                <w:numId w:val="26"/>
              </w:numPr>
              <w:ind w:left="174" w:hanging="218"/>
              <w:jc w:val="left"/>
              <w:rPr>
                <w:sz w:val="20"/>
                <w:szCs w:val="20"/>
              </w:rPr>
            </w:pPr>
            <w:r w:rsidRPr="004C78D8">
              <w:rPr>
                <w:sz w:val="18"/>
                <w:szCs w:val="18"/>
              </w:rPr>
              <w:t>Model should incorporate seasonal changes in falls risk due to environmental risk factors [5-1].</w:t>
            </w:r>
          </w:p>
        </w:tc>
        <w:tc>
          <w:tcPr>
            <w:tcW w:w="2498" w:type="pct"/>
            <w:vMerge w:val="restart"/>
          </w:tcPr>
          <w:p w14:paraId="00FA6569" w14:textId="77777777" w:rsidR="00D43B39" w:rsidRPr="004C78D8" w:rsidRDefault="00D43B39" w:rsidP="00FB7C1F">
            <w:pPr>
              <w:jc w:val="left"/>
              <w:rPr>
                <w:sz w:val="20"/>
                <w:szCs w:val="20"/>
              </w:rPr>
            </w:pPr>
            <w:r w:rsidRPr="004C78D8">
              <w:rPr>
                <w:sz w:val="20"/>
                <w:szCs w:val="20"/>
              </w:rPr>
              <w:t>Types of intervention scenarios evaluated</w:t>
            </w:r>
          </w:p>
          <w:p w14:paraId="211121AC" w14:textId="772E7A00" w:rsidR="00D43B39" w:rsidRPr="004C78D8" w:rsidRDefault="00D43B39" w:rsidP="00FB7C1F">
            <w:pPr>
              <w:pStyle w:val="ListParagraph"/>
              <w:numPr>
                <w:ilvl w:val="0"/>
                <w:numId w:val="26"/>
              </w:numPr>
              <w:ind w:left="174" w:hanging="218"/>
              <w:jc w:val="left"/>
              <w:rPr>
                <w:sz w:val="18"/>
                <w:szCs w:val="18"/>
              </w:rPr>
            </w:pPr>
            <w:r w:rsidRPr="004C78D8">
              <w:rPr>
                <w:sz w:val="18"/>
                <w:szCs w:val="18"/>
              </w:rPr>
              <w:t>Main intervention scenario should incorporate: local eligibility criteria tailored to changing falls risk profile; external evidence on interventions which have similar characteristics as those preferred by local older persons.</w:t>
            </w:r>
            <w:r w:rsidRPr="004C78D8">
              <w:rPr>
                <w:sz w:val="18"/>
                <w:szCs w:val="18"/>
                <w:vertAlign w:val="superscript"/>
              </w:rPr>
              <w:t>2</w:t>
            </w:r>
          </w:p>
          <w:p w14:paraId="294583A0" w14:textId="77777777" w:rsidR="00D43B39" w:rsidRPr="004C78D8" w:rsidRDefault="00D43B39" w:rsidP="00FB7C1F">
            <w:pPr>
              <w:pStyle w:val="ListParagraph"/>
              <w:numPr>
                <w:ilvl w:val="0"/>
                <w:numId w:val="26"/>
              </w:numPr>
              <w:ind w:left="174" w:hanging="218"/>
              <w:jc w:val="left"/>
              <w:rPr>
                <w:sz w:val="18"/>
              </w:rPr>
            </w:pPr>
            <w:r w:rsidRPr="004C78D8">
              <w:rPr>
                <w:sz w:val="18"/>
                <w:szCs w:val="18"/>
              </w:rPr>
              <w:t>Intervention costing should incorporate: cost of risk identification; cost of auxiliary implementation strategies; fixed/sunk costs for major system changes; cost of additional resources to achieve full set of positive intervention characteristics; cost of professional training to obtain positive attributes; and funding to sustain intervention over sufficiently long period.</w:t>
            </w:r>
            <w:r w:rsidRPr="004C78D8">
              <w:rPr>
                <w:sz w:val="18"/>
                <w:szCs w:val="18"/>
                <w:vertAlign w:val="superscript"/>
              </w:rPr>
              <w:t>3</w:t>
            </w:r>
            <w:r w:rsidRPr="004C78D8">
              <w:rPr>
                <w:sz w:val="18"/>
              </w:rPr>
              <w:t xml:space="preserve"> </w:t>
            </w:r>
          </w:p>
          <w:p w14:paraId="6AD762AF" w14:textId="77777777" w:rsidR="00D43B39" w:rsidRPr="004C78D8" w:rsidRDefault="00D43B39" w:rsidP="00FB7C1F">
            <w:pPr>
              <w:pStyle w:val="ListParagraph"/>
              <w:numPr>
                <w:ilvl w:val="0"/>
                <w:numId w:val="26"/>
              </w:numPr>
              <w:ind w:left="174" w:hanging="218"/>
              <w:jc w:val="left"/>
              <w:rPr>
                <w:sz w:val="18"/>
              </w:rPr>
            </w:pPr>
            <w:r w:rsidRPr="004C78D8">
              <w:rPr>
                <w:sz w:val="18"/>
              </w:rPr>
              <w:t>Additional scenarios conducting value of implementation analyses to evaluate auxiliary implementation strategies [2-2, 3-4, 3-5, 3-6].</w:t>
            </w:r>
          </w:p>
          <w:p w14:paraId="63F1B5B1" w14:textId="77777777" w:rsidR="00D43B39" w:rsidRPr="004C78D8" w:rsidRDefault="00D43B39" w:rsidP="00FB7C1F">
            <w:pPr>
              <w:pStyle w:val="ListParagraph"/>
              <w:numPr>
                <w:ilvl w:val="0"/>
                <w:numId w:val="26"/>
              </w:numPr>
              <w:ind w:left="174" w:hanging="218"/>
              <w:jc w:val="left"/>
              <w:rPr>
                <w:sz w:val="20"/>
                <w:szCs w:val="20"/>
              </w:rPr>
            </w:pPr>
            <w:r w:rsidRPr="004C78D8">
              <w:rPr>
                <w:sz w:val="18"/>
              </w:rPr>
              <w:t xml:space="preserve">Additional scenarios evaluating intersectoral policies (e.g., environmental interventions [5-1, 5-2]) and earlier life-course </w:t>
            </w:r>
            <w:r w:rsidRPr="004C78D8">
              <w:rPr>
                <w:sz w:val="18"/>
                <w:szCs w:val="18"/>
              </w:rPr>
              <w:t>preventive interventions [2-1].</w:t>
            </w:r>
          </w:p>
        </w:tc>
      </w:tr>
      <w:tr w:rsidR="00D43B39" w:rsidRPr="004C78D8" w14:paraId="200D2A1F" w14:textId="77777777" w:rsidTr="002828C1">
        <w:tc>
          <w:tcPr>
            <w:tcW w:w="2502" w:type="pct"/>
          </w:tcPr>
          <w:p w14:paraId="49191BF4" w14:textId="77777777" w:rsidR="00D43B39" w:rsidRPr="004C78D8" w:rsidRDefault="00D43B39" w:rsidP="00FB7C1F">
            <w:pPr>
              <w:jc w:val="left"/>
              <w:rPr>
                <w:sz w:val="20"/>
                <w:szCs w:val="20"/>
              </w:rPr>
            </w:pPr>
            <w:r w:rsidRPr="004C78D8">
              <w:rPr>
                <w:sz w:val="20"/>
                <w:szCs w:val="20"/>
              </w:rPr>
              <w:t>Considering theories/models of human behaviour based on psychology and sociology</w:t>
            </w:r>
          </w:p>
          <w:p w14:paraId="63524205" w14:textId="77777777" w:rsidR="00D43B39" w:rsidRPr="004C78D8" w:rsidRDefault="00D43B39" w:rsidP="00FB7C1F">
            <w:pPr>
              <w:pStyle w:val="ListParagraph"/>
              <w:numPr>
                <w:ilvl w:val="0"/>
                <w:numId w:val="26"/>
              </w:numPr>
              <w:ind w:left="174" w:hanging="218"/>
              <w:jc w:val="left"/>
              <w:rPr>
                <w:sz w:val="18"/>
              </w:rPr>
            </w:pPr>
            <w:r w:rsidRPr="004C78D8">
              <w:rPr>
                <w:sz w:val="18"/>
              </w:rPr>
              <w:t xml:space="preserve">Model should incorporate </w:t>
            </w:r>
            <w:r w:rsidRPr="004C78D8">
              <w:rPr>
                <w:sz w:val="18"/>
                <w:szCs w:val="18"/>
              </w:rPr>
              <w:t>the health/social motives of older persons that</w:t>
            </w:r>
            <w:r w:rsidRPr="004C78D8">
              <w:rPr>
                <w:sz w:val="18"/>
              </w:rPr>
              <w:t xml:space="preserve"> influence demand [1-4, </w:t>
            </w:r>
            <w:r w:rsidRPr="004C78D8">
              <w:rPr>
                <w:sz w:val="18"/>
                <w:szCs w:val="18"/>
              </w:rPr>
              <w:t>3-</w:t>
            </w:r>
            <w:r w:rsidRPr="004C78D8">
              <w:rPr>
                <w:sz w:val="18"/>
              </w:rPr>
              <w:t xml:space="preserve">1, 3-2, </w:t>
            </w:r>
            <w:r w:rsidRPr="004C78D8">
              <w:rPr>
                <w:sz w:val="18"/>
                <w:szCs w:val="18"/>
              </w:rPr>
              <w:t>3-3]</w:t>
            </w:r>
          </w:p>
          <w:p w14:paraId="65BBA69C" w14:textId="77777777" w:rsidR="00D43B39" w:rsidRPr="004C78D8" w:rsidRDefault="00D43B39" w:rsidP="00FB7C1F">
            <w:pPr>
              <w:pStyle w:val="ListParagraph"/>
              <w:numPr>
                <w:ilvl w:val="0"/>
                <w:numId w:val="26"/>
              </w:numPr>
              <w:ind w:left="174" w:hanging="218"/>
              <w:jc w:val="left"/>
              <w:rPr>
                <w:sz w:val="20"/>
                <w:szCs w:val="20"/>
              </w:rPr>
            </w:pPr>
            <w:r w:rsidRPr="004C78D8">
              <w:rPr>
                <w:sz w:val="18"/>
              </w:rPr>
              <w:t xml:space="preserve">Model should incorporate </w:t>
            </w:r>
            <w:r w:rsidRPr="004C78D8">
              <w:rPr>
                <w:sz w:val="18"/>
                <w:szCs w:val="18"/>
              </w:rPr>
              <w:t>sociological and contextual</w:t>
            </w:r>
            <w:r w:rsidRPr="004C78D8">
              <w:rPr>
                <w:sz w:val="18"/>
              </w:rPr>
              <w:t xml:space="preserve"> factors </w:t>
            </w:r>
            <w:r w:rsidRPr="004C78D8">
              <w:rPr>
                <w:sz w:val="18"/>
                <w:szCs w:val="18"/>
              </w:rPr>
              <w:t xml:space="preserve">that influence falls prevention: cultural factors promoting/weakening communal responsibilities for health promotion and safety [5-1, </w:t>
            </w:r>
            <w:r w:rsidRPr="004C78D8">
              <w:rPr>
                <w:sz w:val="18"/>
              </w:rPr>
              <w:t>5-</w:t>
            </w:r>
            <w:r w:rsidRPr="004C78D8">
              <w:rPr>
                <w:sz w:val="18"/>
                <w:szCs w:val="18"/>
              </w:rPr>
              <w:t>2, 5-4]; regulatory barriers [5-3</w:t>
            </w:r>
            <w:r w:rsidRPr="004C78D8">
              <w:rPr>
                <w:sz w:val="18"/>
              </w:rPr>
              <w:t>].</w:t>
            </w:r>
          </w:p>
        </w:tc>
        <w:tc>
          <w:tcPr>
            <w:tcW w:w="2498" w:type="pct"/>
            <w:vMerge/>
          </w:tcPr>
          <w:p w14:paraId="6AF3A4FB" w14:textId="77777777" w:rsidR="00D43B39" w:rsidRPr="004C78D8" w:rsidRDefault="00D43B39" w:rsidP="00FB7C1F">
            <w:pPr>
              <w:pStyle w:val="ListParagraph"/>
              <w:numPr>
                <w:ilvl w:val="0"/>
                <w:numId w:val="26"/>
              </w:numPr>
              <w:ind w:left="174" w:hanging="218"/>
              <w:jc w:val="left"/>
              <w:rPr>
                <w:sz w:val="20"/>
                <w:szCs w:val="20"/>
              </w:rPr>
            </w:pPr>
          </w:p>
        </w:tc>
      </w:tr>
      <w:tr w:rsidR="00D43B39" w:rsidRPr="004C78D8" w14:paraId="0CA3B679" w14:textId="77777777" w:rsidTr="002828C1">
        <w:tc>
          <w:tcPr>
            <w:tcW w:w="2502" w:type="pct"/>
          </w:tcPr>
          <w:p w14:paraId="3415A155" w14:textId="77777777" w:rsidR="00D43B39" w:rsidRPr="004C78D8" w:rsidRDefault="00D43B39" w:rsidP="00FB7C1F">
            <w:pPr>
              <w:jc w:val="left"/>
              <w:rPr>
                <w:sz w:val="20"/>
                <w:szCs w:val="20"/>
              </w:rPr>
            </w:pPr>
            <w:r w:rsidRPr="004C78D8">
              <w:rPr>
                <w:sz w:val="20"/>
                <w:szCs w:val="20"/>
              </w:rPr>
              <w:t>Considering social determinants of health</w:t>
            </w:r>
          </w:p>
          <w:p w14:paraId="3CDB0AF4" w14:textId="77777777" w:rsidR="00D43B39" w:rsidRPr="004C78D8" w:rsidRDefault="00D43B39" w:rsidP="00FB7C1F">
            <w:pPr>
              <w:pStyle w:val="ListParagraph"/>
              <w:numPr>
                <w:ilvl w:val="0"/>
                <w:numId w:val="26"/>
              </w:numPr>
              <w:ind w:left="174" w:hanging="218"/>
              <w:jc w:val="left"/>
              <w:rPr>
                <w:i/>
                <w:sz w:val="20"/>
              </w:rPr>
            </w:pPr>
            <w:r w:rsidRPr="004C78D8">
              <w:rPr>
                <w:sz w:val="18"/>
              </w:rPr>
              <w:t xml:space="preserve">Model should incorporate </w:t>
            </w:r>
            <w:r w:rsidRPr="004C78D8">
              <w:rPr>
                <w:sz w:val="18"/>
                <w:szCs w:val="18"/>
              </w:rPr>
              <w:t>socioeconomic</w:t>
            </w:r>
            <w:r w:rsidRPr="004C78D8">
              <w:rPr>
                <w:sz w:val="18"/>
              </w:rPr>
              <w:t xml:space="preserve"> and </w:t>
            </w:r>
            <w:r w:rsidRPr="004C78D8">
              <w:rPr>
                <w:sz w:val="18"/>
                <w:szCs w:val="18"/>
              </w:rPr>
              <w:t xml:space="preserve">ethnic/linguistic variables and social isolation as social determinants of </w:t>
            </w:r>
            <w:r w:rsidRPr="004C78D8">
              <w:rPr>
                <w:sz w:val="18"/>
              </w:rPr>
              <w:t xml:space="preserve">health </w:t>
            </w:r>
            <w:r w:rsidRPr="004C78D8">
              <w:rPr>
                <w:sz w:val="18"/>
                <w:szCs w:val="18"/>
              </w:rPr>
              <w:t>[3-18, 3-19, 6</w:t>
            </w:r>
            <w:r w:rsidRPr="004C78D8">
              <w:rPr>
                <w:sz w:val="18"/>
              </w:rPr>
              <w:t>-3].</w:t>
            </w:r>
          </w:p>
        </w:tc>
        <w:tc>
          <w:tcPr>
            <w:tcW w:w="2498" w:type="pct"/>
          </w:tcPr>
          <w:p w14:paraId="3A3FFAA6" w14:textId="77777777" w:rsidR="00D43B39" w:rsidRPr="004C78D8" w:rsidRDefault="00D43B39" w:rsidP="00FB7C1F">
            <w:pPr>
              <w:jc w:val="left"/>
              <w:rPr>
                <w:sz w:val="20"/>
                <w:szCs w:val="20"/>
              </w:rPr>
            </w:pPr>
            <w:r w:rsidRPr="004C78D8">
              <w:rPr>
                <w:sz w:val="20"/>
                <w:szCs w:val="20"/>
              </w:rPr>
              <w:t>Analysis of equity and other priority setting criteria</w:t>
            </w:r>
          </w:p>
          <w:p w14:paraId="437F7B23" w14:textId="77777777" w:rsidR="00D43B39" w:rsidRPr="004C78D8" w:rsidRDefault="00D43B39" w:rsidP="00FB7C1F">
            <w:pPr>
              <w:pStyle w:val="ListParagraph"/>
              <w:numPr>
                <w:ilvl w:val="0"/>
                <w:numId w:val="26"/>
              </w:numPr>
              <w:ind w:left="174" w:hanging="218"/>
              <w:jc w:val="left"/>
              <w:rPr>
                <w:sz w:val="20"/>
                <w:szCs w:val="20"/>
              </w:rPr>
            </w:pPr>
            <w:r w:rsidRPr="004C78D8">
              <w:rPr>
                <w:sz w:val="18"/>
                <w:szCs w:val="18"/>
              </w:rPr>
              <w:t>Model should examine equity-efficiency trade-offs in adopting strategies that reduce social inequities of health [3-18, 3-19, 3-27, 6-3] or prioritise other vulnerable groups [4-10, 6-1, 6-2].</w:t>
            </w:r>
          </w:p>
        </w:tc>
      </w:tr>
      <w:tr w:rsidR="00D43B39" w:rsidRPr="004C78D8" w14:paraId="7B3ECEAF" w14:textId="77777777" w:rsidTr="002828C1">
        <w:tc>
          <w:tcPr>
            <w:tcW w:w="5000" w:type="pct"/>
            <w:gridSpan w:val="2"/>
          </w:tcPr>
          <w:p w14:paraId="7F9C01BE" w14:textId="2B2DA4DC" w:rsidR="00D43B39" w:rsidRPr="004C78D8" w:rsidRDefault="00D43B39" w:rsidP="00FB7C1F">
            <w:pPr>
              <w:rPr>
                <w:sz w:val="18"/>
                <w:szCs w:val="18"/>
              </w:rPr>
            </w:pPr>
            <w:r w:rsidRPr="004C78D8">
              <w:rPr>
                <w:b/>
                <w:bCs/>
                <w:sz w:val="18"/>
                <w:szCs w:val="18"/>
              </w:rPr>
              <w:t xml:space="preserve">Abbreviation: </w:t>
            </w:r>
            <w:r w:rsidRPr="004C78D8">
              <w:rPr>
                <w:sz w:val="18"/>
                <w:szCs w:val="18"/>
              </w:rPr>
              <w:t xml:space="preserve">CCA: cost-consequence analysis; CUA: cost-utility analysis: ICECAP-O: ICEpop CAPability measure for Older people; NICE CG161: National Institute for Health and Care Excellence Clinical Guideline 161 </w:t>
            </w:r>
            <w:r w:rsidRPr="004C78D8">
              <w:rPr>
                <w:sz w:val="18"/>
                <w:szCs w:val="18"/>
              </w:rPr>
              <w:fldChar w:fldCharType="begin"/>
            </w:r>
            <w:r w:rsidR="00F255A9" w:rsidRPr="004C78D8">
              <w:rPr>
                <w:sz w:val="18"/>
                <w:szCs w:val="18"/>
              </w:rPr>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Pr="004C78D8">
              <w:rPr>
                <w:sz w:val="18"/>
                <w:szCs w:val="18"/>
              </w:rPr>
              <w:fldChar w:fldCharType="separate"/>
            </w:r>
            <w:r w:rsidR="00F255A9" w:rsidRPr="004C78D8">
              <w:rPr>
                <w:noProof/>
                <w:sz w:val="18"/>
                <w:szCs w:val="18"/>
              </w:rPr>
              <w:t>[13]</w:t>
            </w:r>
            <w:r w:rsidRPr="004C78D8">
              <w:rPr>
                <w:sz w:val="18"/>
                <w:szCs w:val="18"/>
              </w:rPr>
              <w:fldChar w:fldCharType="end"/>
            </w:r>
            <w:r w:rsidRPr="004C78D8">
              <w:rPr>
                <w:sz w:val="18"/>
                <w:szCs w:val="18"/>
              </w:rPr>
              <w:t>.</w:t>
            </w:r>
          </w:p>
          <w:p w14:paraId="1EFBC24C" w14:textId="7845A13E" w:rsidR="00D43B39" w:rsidRPr="004C78D8" w:rsidRDefault="00D43B39" w:rsidP="00FB7C1F">
            <w:pPr>
              <w:rPr>
                <w:sz w:val="18"/>
                <w:szCs w:val="18"/>
              </w:rPr>
            </w:pPr>
            <w:r w:rsidRPr="004C78D8">
              <w:rPr>
                <w:sz w:val="20"/>
                <w:szCs w:val="20"/>
                <w:vertAlign w:val="superscript"/>
              </w:rPr>
              <w:t>1</w:t>
            </w:r>
            <w:r w:rsidRPr="004C78D8">
              <w:rPr>
                <w:sz w:val="20"/>
                <w:szCs w:val="20"/>
              </w:rPr>
              <w:t xml:space="preserve"> </w:t>
            </w:r>
            <w:r w:rsidRPr="004C78D8">
              <w:rPr>
                <w:sz w:val="18"/>
                <w:szCs w:val="18"/>
              </w:rPr>
              <w:t>See Tables 2.2 and 2.3 for themes by falls prevention pathway component and Tables A1 and A2 in Appendix A for transcript quotes.</w:t>
            </w:r>
          </w:p>
          <w:p w14:paraId="3B59A338" w14:textId="4D0B4DA2" w:rsidR="00D43B39" w:rsidRPr="004C78D8" w:rsidRDefault="00D43B39" w:rsidP="00FB7C1F">
            <w:pPr>
              <w:rPr>
                <w:sz w:val="18"/>
                <w:szCs w:val="18"/>
              </w:rPr>
            </w:pPr>
            <w:r w:rsidRPr="004C78D8">
              <w:rPr>
                <w:sz w:val="18"/>
                <w:szCs w:val="18"/>
                <w:vertAlign w:val="superscript"/>
              </w:rPr>
              <w:t>2</w:t>
            </w:r>
            <w:r w:rsidRPr="004C78D8">
              <w:rPr>
                <w:sz w:val="18"/>
                <w:szCs w:val="18"/>
              </w:rPr>
              <w:t xml:space="preserve"> Local decision-maker could set the eligibility criteria for falls prevention referral, e.g., to cover those aged less than 65 who have complex comorbidities [6-1]. The intervention strategy should accommodate the changing falls risk profile that necessitates different treatments over time [1-5]. Key intervention characteristics beyond cost are: staffing level [4-7, 4-16]; enjoyability [3-8, 4-4]; social participation [4-5]; suitable and tailored difficulty [3-9, 4-6, 4-12, 4-13]; safety [3-10]; and good timing [3-21, 4-14]. External evidence (e.g., efficacy from randomised controlled trial) should be sourced from interventions with </w:t>
            </w:r>
            <w:r w:rsidR="0057470B" w:rsidRPr="004C78D8">
              <w:rPr>
                <w:sz w:val="18"/>
                <w:szCs w:val="18"/>
              </w:rPr>
              <w:t>these key</w:t>
            </w:r>
            <w:r w:rsidRPr="004C78D8">
              <w:rPr>
                <w:sz w:val="18"/>
                <w:szCs w:val="18"/>
              </w:rPr>
              <w:t xml:space="preserve"> characteristics.</w:t>
            </w:r>
          </w:p>
          <w:p w14:paraId="78D76B5D" w14:textId="77777777" w:rsidR="00D43B39" w:rsidRPr="004C78D8" w:rsidRDefault="00D43B39" w:rsidP="00FB7C1F">
            <w:pPr>
              <w:rPr>
                <w:sz w:val="18"/>
                <w:szCs w:val="18"/>
              </w:rPr>
            </w:pPr>
            <w:r w:rsidRPr="004C78D8">
              <w:rPr>
                <w:sz w:val="18"/>
                <w:szCs w:val="18"/>
                <w:vertAlign w:val="superscript"/>
              </w:rPr>
              <w:t>3</w:t>
            </w:r>
            <w:r w:rsidRPr="004C78D8">
              <w:rPr>
                <w:sz w:val="18"/>
                <w:szCs w:val="18"/>
              </w:rPr>
              <w:t xml:space="preserve"> Cost of risk identification includes the cost of conducting risk screening in GP routine practice [1-7]. Auxiliary implementation strategies include information provision to informal caregivers [2-2], community marketing [3-4, 3-6] and </w:t>
            </w:r>
            <w:r w:rsidRPr="004C78D8">
              <w:rPr>
                <w:sz w:val="18"/>
                <w:szCs w:val="18"/>
              </w:rPr>
              <w:lastRenderedPageBreak/>
              <w:t>promotion of peer recommendations [3-5]. Major system changes include improvements to data systems [1-1] and new Falls Clinics [1-3]. Additional resources may be required to achieve the full set of positive intervention characteristics: e.g., hiring venues that are safe [3-22] and easy to reach [3-11, 3-23, 4-15]. Investment in training may increase the level of positive professional attributes including approachability [1-2]; awareness of community initiatives [3-13, 3-24]; person-centred care [3-14, 4-8]; and relationship-building with intervention participants [4-9]. Funding should be sustained until the intervention has had enough time to generate substantial results [4-17].</w:t>
            </w:r>
          </w:p>
        </w:tc>
      </w:tr>
    </w:tbl>
    <w:p w14:paraId="70A32208" w14:textId="77777777" w:rsidR="00D43B39" w:rsidRPr="004C78D8" w:rsidRDefault="00D43B39" w:rsidP="00FB7C1F"/>
    <w:p w14:paraId="46D6358B" w14:textId="3BBA02C0" w:rsidR="00D43B39" w:rsidRPr="004C78D8" w:rsidRDefault="005332E1" w:rsidP="00FB7C1F">
      <w:pPr>
        <w:pStyle w:val="Heading4"/>
      </w:pPr>
      <w:r w:rsidRPr="004C78D8">
        <w:t>2.4.4.1 Methodological challenges</w:t>
      </w:r>
    </w:p>
    <w:p w14:paraId="6A0860DB" w14:textId="6CB6FB5D" w:rsidR="005332E1" w:rsidRPr="004C78D8" w:rsidRDefault="00996A86" w:rsidP="00FB7C1F">
      <w:r w:rsidRPr="004C78D8">
        <w:t>The data identified several non-health outcomes (e.g., social benefits of group exercise) and societal intervention costs (e.g., private intervention and transport costs, costs of venues donated by local church) which were important facilitators and barriers. No older person mentioned time opportunity cost imposed on him/herself or his/her caregiver from attending interventions; but such costs may be incurred if interventions are conducted in inconvenient times and venues and should thus be incorporated in the model.</w:t>
      </w:r>
    </w:p>
    <w:p w14:paraId="5994CA84" w14:textId="2123F46E" w:rsidR="0034738A" w:rsidRPr="004C78D8" w:rsidRDefault="00635BD4" w:rsidP="00FB7C1F">
      <w:r w:rsidRPr="004C78D8">
        <w:t>The dynamic processes of ageing and falls risk progression, starting before the age of 65, were mentioned by some participants as motivating factors for intervention uptake/adherence; yet others perceived the emerging illnesses as major barriers:</w:t>
      </w:r>
    </w:p>
    <w:p w14:paraId="1714AB45" w14:textId="12E98D28" w:rsidR="0034738A" w:rsidRPr="004C78D8" w:rsidRDefault="0034738A" w:rsidP="00FB7C1F">
      <w:pPr>
        <w:pStyle w:val="Quote"/>
      </w:pPr>
      <w:r w:rsidRPr="004C78D8">
        <w:t>(FG4) “Well, I used to go swimming a lot every week. But then, since a long period of illness, I stopped going.”</w:t>
      </w:r>
      <w:r w:rsidR="00996A86" w:rsidRPr="004C78D8">
        <w:t xml:space="preserve"> (Theme [4-10])</w:t>
      </w:r>
    </w:p>
    <w:p w14:paraId="0EFB3E27" w14:textId="77777777" w:rsidR="0034738A" w:rsidRPr="004C78D8" w:rsidRDefault="0034738A" w:rsidP="00FB7C1F">
      <w:bookmarkStart w:id="54" w:name="_Hlk86785434"/>
      <w:r w:rsidRPr="004C78D8">
        <w:t>Either way, the model should seek to capture the dynamic trajectories of physical capacity, functional status and health perception as key determinants of intervention demand. Moreover, the dynamic progression means that persons at different stages of the falls risk progression have different intervention needs; the model can quantify the added benefits of an intervention strategy that tailors treatments to progression stages relative to a strategy that does not. An example of the latter was perceived by older participants</w:t>
      </w:r>
      <w:bookmarkEnd w:id="54"/>
      <w:r w:rsidRPr="004C78D8">
        <w:t>:</w:t>
      </w:r>
    </w:p>
    <w:p w14:paraId="578C079A" w14:textId="597B3CE0" w:rsidR="0034738A" w:rsidRPr="004C78D8" w:rsidRDefault="0034738A" w:rsidP="00FB7C1F">
      <w:pPr>
        <w:pStyle w:val="Quote"/>
      </w:pPr>
      <w:r w:rsidRPr="004C78D8">
        <w:t xml:space="preserve">(INT2) “I think [the professionals] ought to check things like stairs and back steps. And not expect the </w:t>
      </w:r>
      <w:r w:rsidR="00FC3C3B" w:rsidRPr="004C78D8">
        <w:t>older</w:t>
      </w:r>
      <w:r w:rsidRPr="004C78D8">
        <w:t xml:space="preserve"> people to report it, because they are probably so used to these things when they’ve lived in the house all the time and are not necessarily aware of how less well coordinated they are from before.”</w:t>
      </w:r>
      <w:r w:rsidR="00635BD4" w:rsidRPr="004C78D8">
        <w:t xml:space="preserve"> (Theme [1-5])</w:t>
      </w:r>
    </w:p>
    <w:p w14:paraId="64A55D72" w14:textId="77777777" w:rsidR="008141AE" w:rsidRPr="004C78D8" w:rsidRDefault="008141AE" w:rsidP="00FB7C1F">
      <w:pPr>
        <w:spacing w:line="276" w:lineRule="auto"/>
      </w:pPr>
      <w:r w:rsidRPr="004C78D8">
        <w:t>Participants also highlighted wider health benefits of exercise beyond falls prevention, including improved mobility and mental health:</w:t>
      </w:r>
    </w:p>
    <w:p w14:paraId="36FEBE9F" w14:textId="4135404D" w:rsidR="008141AE" w:rsidRPr="004C78D8" w:rsidRDefault="008141AE" w:rsidP="00FB7C1F">
      <w:pPr>
        <w:pStyle w:val="Quote"/>
      </w:pPr>
      <w:r w:rsidRPr="004C78D8">
        <w:t>(FG2) “Lots of my family have noticed the difference in my posture, in my walk; things like, I used to struggle bending down, picking things up from the floor. It gets you down. It affects your mental health. So yeah, my family have noticed a huge difference.”</w:t>
      </w:r>
      <w:r w:rsidR="00635BD4" w:rsidRPr="004C78D8">
        <w:t xml:space="preserve"> (Theme [4-3])</w:t>
      </w:r>
    </w:p>
    <w:p w14:paraId="408A7E68" w14:textId="7563EF87" w:rsidR="008141AE" w:rsidRPr="004C78D8" w:rsidRDefault="00635BD4" w:rsidP="00FB7C1F">
      <w:r w:rsidRPr="004C78D8">
        <w:t xml:space="preserve">Hence, the model should incorporate multiple simultaneous health effects of falls prevention exercise; if this proves too complex, then at least the fall’s impact on wider health and functional outcomes (e.g., on a multivariate frailty index </w:t>
      </w:r>
      <w:r w:rsidRPr="004C78D8">
        <w:fldChar w:fldCharType="begin">
          <w:fldData xml:space="preserve">PEVuZE5vdGU+PENpdGU+PEF1dGhvcj5DbGVnZzwvQXV0aG9yPjxZZWFyPjIwMTY8L1llYXI+PFJl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</w:fldData>
        </w:fldChar>
      </w:r>
      <w:r w:rsidR="00513646" w:rsidRPr="004C78D8">
        <w:instrText xml:space="preserve"> ADDIN EN.CITE </w:instrText>
      </w:r>
      <w:r w:rsidR="00513646" w:rsidRPr="004C78D8">
        <w:fldChar w:fldCharType="begin">
          <w:fldData xml:space="preserve">PEVuZE5vdGU+PENpdGU+PEF1dGhvcj5DbGVnZzwvQXV0aG9yPjxZZWFyPjIwMTY8L1llYXI+PFJl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</w:fldData>
        </w:fldChar>
      </w:r>
      <w:r w:rsidR="00513646" w:rsidRPr="004C78D8">
        <w:instrText xml:space="preserve"> ADDIN EN.CITE.DATA </w:instrText>
      </w:r>
      <w:r w:rsidR="00513646" w:rsidRPr="004C78D8">
        <w:fldChar w:fldCharType="end"/>
      </w:r>
      <w:r w:rsidRPr="004C78D8">
        <w:fldChar w:fldCharType="separate"/>
      </w:r>
      <w:r w:rsidR="00513646" w:rsidRPr="004C78D8">
        <w:rPr>
          <w:noProof/>
        </w:rPr>
        <w:t>[47]</w:t>
      </w:r>
      <w:r w:rsidRPr="004C78D8">
        <w:fldChar w:fldCharType="end"/>
      </w:r>
      <w:r w:rsidRPr="004C78D8">
        <w:t>) should be incorporated to capture the full health benefits of falls prevention</w:t>
      </w:r>
      <w:r w:rsidR="008141AE" w:rsidRPr="004C78D8">
        <w:t xml:space="preserve">. </w:t>
      </w:r>
    </w:p>
    <w:p w14:paraId="44EE8DED" w14:textId="190CAFEF" w:rsidR="00635BD4" w:rsidRPr="004C78D8" w:rsidRDefault="00635BD4" w:rsidP="00FB7C1F">
      <w:r w:rsidRPr="004C78D8">
        <w:t>Finally, the model should incorporate key psychological and sociological factors identified from the qualitative data (e.g., health motives influencing demand) using relevant external quantitative data. Social determinants of health identified from the data included socioeconomic and ethnic/linguistic barriers to intervention access and social isolation as a marker of vulnerable subgroup.</w:t>
      </w:r>
    </w:p>
    <w:p w14:paraId="16C6308E" w14:textId="688F222C" w:rsidR="00635BD4" w:rsidRPr="004C78D8" w:rsidRDefault="00635BD4" w:rsidP="00FB7C1F">
      <w:pPr>
        <w:pStyle w:val="Heading4"/>
      </w:pPr>
      <w:r w:rsidRPr="004C78D8">
        <w:t>2.4.4.2 Evaluative challenges</w:t>
      </w:r>
    </w:p>
    <w:p w14:paraId="561EE84C" w14:textId="4543A65D" w:rsidR="00635BD4" w:rsidRPr="004C78D8" w:rsidRDefault="00635BD4" w:rsidP="00FB7C1F">
      <w:r w:rsidRPr="004C78D8">
        <w:t xml:space="preserve">Given the range of non-health outcomes and societal intervention costs, the model evaluation should consider using a broader wellbeing measure and taking the societal perspective </w:t>
      </w:r>
      <w:r w:rsidRPr="004C78D8">
        <w:fldChar w:fldCharType="begin"/>
      </w:r>
      <w:r w:rsidR="00513646" w:rsidRPr="004C78D8">
        <w:instrText xml:space="preserve"> ADDIN EN.CITE &lt;EndNote&gt;&lt;Cite&gt;&lt;Author&gt;Davis&lt;/Author&gt;&lt;Year&gt;2011&lt;/Year&gt;&lt;RecNum&gt;286&lt;/RecNum&gt;&lt;DisplayText&gt;[104, 105]&lt;/DisplayText&gt;&lt;record&gt;&lt;rec-number&gt;286&lt;/rec-number&gt;&lt;foreign-keys&gt;&lt;key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Cite&gt;&lt;Author&gt;Coast&lt;/Author&gt;&lt;Year&gt;2008&lt;/Year&gt;&lt;RecNum&gt;482&lt;/RecNum&gt;&lt;record&gt;&lt;rec-number&gt;482&lt;/rec-number&gt;&lt;foreign-keys&gt;&lt;key app="EN" db-id="tdtrdw9aepptzbefsat599syza29sxsd2wsp" timestamp="1616579259"&gt;482&lt;/key&gt;&lt;/foreign-keys&gt;&lt;ref-type name="Journal Article"&gt;17&lt;/ref-type&gt;&lt;contributors&gt;&lt;authors&gt;&lt;author&gt;Coast, Joanna&lt;/author&gt;&lt;author&gt;Flynn, Terry N&lt;/author&gt;&lt;author&gt;Natarajan, Lucy&lt;/author&gt;&lt;author&gt;Sproston, Kerry&lt;/author&gt;&lt;author&gt;Lewis, Jane&lt;/author&gt;&lt;author&gt;Louviere, Jordan J&lt;/author&gt;&lt;author&gt;Peters, Tim J&lt;/author&gt;&lt;/authors&gt;&lt;/contributors&gt;&lt;titles&gt;&lt;title&gt;Valuing the ICECAP capability index for older people&lt;/title&gt;&lt;secondary-title&gt;Social science &amp;amp; medicine&lt;/secondary-title&gt;&lt;/titles&gt;&lt;periodical&gt;&lt;full-title&gt;Social science &amp;amp; medicine&lt;/full-title&gt;&lt;/periodical&gt;&lt;pages&gt;874-882&lt;/pages&gt;&lt;volume&gt;67&lt;/volume&gt;&lt;number&gt;5&lt;/number&gt;&lt;dates&gt;&lt;year&gt;2008&lt;/year&gt;&lt;/dates&gt;&lt;isbn&gt;0277-9536&lt;/isbn&gt;&lt;urls&gt;&lt;/urls&gt;&lt;/record&gt;&lt;/Cite&gt;&lt;/EndNote&gt;</w:instrText>
      </w:r>
      <w:r w:rsidRPr="004C78D8">
        <w:fldChar w:fldCharType="separate"/>
      </w:r>
      <w:r w:rsidR="00513646" w:rsidRPr="004C78D8">
        <w:rPr>
          <w:noProof/>
        </w:rPr>
        <w:t>[104, 105]</w:t>
      </w:r>
      <w:r w:rsidRPr="004C78D8">
        <w:fldChar w:fldCharType="end"/>
      </w:r>
      <w:r w:rsidRPr="004C78D8">
        <w:t xml:space="preserve">. The model </w:t>
      </w:r>
      <w:r w:rsidRPr="004C78D8">
        <w:lastRenderedPageBreak/>
        <w:t>time horizon should be sufficiently long to capture the dynamic trajectories of key variables and the full health impact of interventions; large sunk costs incurred by intervention may also be evaluated over a longer horizon.</w:t>
      </w:r>
    </w:p>
    <w:p w14:paraId="4655DFEB" w14:textId="4271A424" w:rsidR="00635BD4" w:rsidRPr="004C78D8" w:rsidRDefault="00635BD4" w:rsidP="00FB7C1F">
      <w:r w:rsidRPr="004C78D8">
        <w:t xml:space="preserve">Several intervention scenarios emerged from the data that should be evaluated under base case analysis and alternative scenario analyses. All three prevention pathways – proactive, self-referred and reactive – were mentioned in the data (see theme [1-5] for participant discussion of a reactive HAM receipt), and hence should be considered in the base case analysis. The main intervention scenario (compared to usual care under base case analysis) should incorporate interventions that have some or all of the positive characteristics </w:t>
      </w:r>
      <w:r w:rsidR="00C82F8A" w:rsidRPr="004C78D8">
        <w:t>listed in</w:t>
      </w:r>
      <w:r w:rsidRPr="004C78D8">
        <w:t xml:space="preserve"> Table 2.4</w:t>
      </w:r>
      <w:r w:rsidR="00C82F8A" w:rsidRPr="004C78D8">
        <w:t>,</w:t>
      </w:r>
      <w:r w:rsidRPr="004C78D8">
        <w:t xml:space="preserve"> such as allowing individually tailored difficulty. Where external studies are used as data sources (e.g., RCT for efficacy), they should evaluate interventions with similar characteristics as the model scenario.</w:t>
      </w:r>
    </w:p>
    <w:p w14:paraId="126F8AFF" w14:textId="47261A10" w:rsidR="00635BD4" w:rsidRPr="004C78D8" w:rsidRDefault="00635BD4" w:rsidP="00FB7C1F">
      <w:r w:rsidRPr="004C78D8">
        <w:t xml:space="preserve">Intervention costing should incorporate not only the cost of intervention delivery but also the cost of auxiliary implementation strategies used to generate the given uptake and adherence; for the proactive pathway, the cost of professional risk screening and referral should be included. Major system-level changes (e.g., integrated data system for risk screening) would incur fixed/sunk costs which may be incorporated as annuitized overheads. Costs would be incurred if additional professional training </w:t>
      </w:r>
      <w:r w:rsidR="00C82F8A" w:rsidRPr="004C78D8">
        <w:t>and resources are</w:t>
      </w:r>
      <w:r w:rsidRPr="004C78D8">
        <w:t xml:space="preserve"> required to obtain positive professional attributes</w:t>
      </w:r>
      <w:r w:rsidR="00C82F8A" w:rsidRPr="004C78D8">
        <w:t xml:space="preserve"> and intervention features, respectively</w:t>
      </w:r>
      <w:r w:rsidRPr="004C78D8">
        <w:t>.</w:t>
      </w:r>
    </w:p>
    <w:p w14:paraId="411EB538" w14:textId="6B8D825B" w:rsidR="00635BD4" w:rsidRPr="004C78D8" w:rsidRDefault="00FF689C" w:rsidP="00FB7C1F">
      <w:r w:rsidRPr="004C78D8">
        <w:t xml:space="preserve">An alternative, heuristic method to directly incorporating psychological and sociological variables in the model is to conduct value of implementation analyses as alternative intervention scenarios </w:t>
      </w:r>
      <w:r w:rsidRPr="004C78D8">
        <w:fldChar w:fldCharType="begin"/>
      </w:r>
      <w:r w:rsidR="00C630FC" w:rsidRPr="004C78D8">
        <w:instrText xml:space="preserve"> ADDIN EN.CITE &lt;EndNote&gt;&lt;Cite&gt;&lt;Author&gt;Fenwick&lt;/Author&gt;&lt;Year&gt;2008&lt;/Year&gt;&lt;RecNum&gt;8&lt;/RecNum&gt;&lt;DisplayText&gt;[199]&lt;/DisplayText&gt;&lt;record&gt;&lt;rec-number&gt;8&lt;/rec-number&gt;&lt;foreign-keys&gt;&lt;key app="EN" db-id="tdtrdw9aepptzbefsat599syza29sxsd2wsp" timestamp="1596618759"&gt;8&lt;/key&gt;&lt;/foreign-keys&gt;&lt;ref-type name="Journal Article"&gt;17&lt;/ref-type&gt;&lt;contributors&gt;&lt;authors&gt;&lt;author&gt;Fenwick, Elisabeth&lt;/author&gt;&lt;author&gt;Claxton, Karl&lt;/author&gt;&lt;author&gt;Sculpher, Mark&lt;/author&gt;&lt;/authors&gt;&lt;/contributors&gt;&lt;titles&gt;&lt;title&gt;The value of implementation and the value of information: combined and uneven development&lt;/title&gt;&lt;secondary-title&gt;Medical Decision Making&lt;/secondary-title&gt;&lt;/titles&gt;&lt;periodical&gt;&lt;full-title&gt;Medical Decision Making&lt;/full-title&gt;&lt;/periodical&gt;&lt;pages&gt;21-32&lt;/pages&gt;&lt;volume&gt;28&lt;/volume&gt;&lt;number&gt;1&lt;/number&gt;&lt;dates&gt;&lt;year&gt;2008&lt;/year&gt;&lt;/dates&gt;&lt;isbn&gt;0272-989X&lt;/isbn&gt;&lt;urls&gt;&lt;/urls&gt;&lt;/record&gt;&lt;/Cite&gt;&lt;/EndNote&gt;</w:instrText>
      </w:r>
      <w:r w:rsidRPr="004C78D8">
        <w:fldChar w:fldCharType="separate"/>
      </w:r>
      <w:r w:rsidR="00C630FC" w:rsidRPr="004C78D8">
        <w:rPr>
          <w:noProof/>
        </w:rPr>
        <w:t>[199]</w:t>
      </w:r>
      <w:r w:rsidRPr="004C78D8">
        <w:fldChar w:fldCharType="end"/>
      </w:r>
      <w:r w:rsidRPr="004C78D8">
        <w:t xml:space="preserve">. Additional monetary value of </w:t>
      </w:r>
      <w:r w:rsidR="00473692" w:rsidRPr="004C78D8">
        <w:t xml:space="preserve">the health and economic gains associated with </w:t>
      </w:r>
      <w:r w:rsidRPr="004C78D8">
        <w:t>hypothetical improvements in intervention uptake/adherence can be estimated without knowing what psychological or sociological factors contributed to the improvements. The additional value is the maximum amount that can be invested in auxiliary implementation strategies that produce the given improvements.</w:t>
      </w:r>
      <w:r w:rsidR="008C50CC" w:rsidRPr="004C78D8">
        <w:t xml:space="preserve"> An example in the literature is a model analysis that estimated an additional return of $2.79 million for a hypothetical scheme that raised the intervention uptake from 50% to 75% in a population of size 44,000 </w:t>
      </w:r>
      <w:r w:rsidR="008C50CC" w:rsidRPr="004C78D8">
        <w:fldChar w:fldCharType="begin">
          <w:fldData xml:space="preserve">PEVuZE5vdGU+PENpdGU+PEF1dGhvcj5Ib3dsYW5kPC9BdXRob3I+PFllYXI+MjAxNTwvWWVhcj48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==
</w:fldData>
        </w:fldChar>
      </w:r>
      <w:r w:rsidR="00C630FC" w:rsidRPr="004C78D8">
        <w:instrText xml:space="preserve"> ADDIN EN.CITE </w:instrText>
      </w:r>
      <w:r w:rsidR="00C630FC" w:rsidRPr="004C78D8">
        <w:fldChar w:fldCharType="begin">
          <w:fldData xml:space="preserve">PEVuZE5vdGU+PENpdGU+PEF1dGhvcj5Ib3dsYW5kPC9BdXRob3I+PFllYXI+MjAxNTwvWWVhcj48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==
</w:fldData>
        </w:fldChar>
      </w:r>
      <w:r w:rsidR="00C630FC" w:rsidRPr="004C78D8">
        <w:instrText xml:space="preserve"> ADDIN EN.CITE.DATA </w:instrText>
      </w:r>
      <w:r w:rsidR="00C630FC" w:rsidRPr="004C78D8">
        <w:fldChar w:fldCharType="end"/>
      </w:r>
      <w:r w:rsidR="008C50CC" w:rsidRPr="004C78D8">
        <w:fldChar w:fldCharType="separate"/>
      </w:r>
      <w:r w:rsidR="00C630FC" w:rsidRPr="004C78D8">
        <w:rPr>
          <w:noProof/>
        </w:rPr>
        <w:t>[200]</w:t>
      </w:r>
      <w:r w:rsidR="008C50CC" w:rsidRPr="004C78D8">
        <w:fldChar w:fldCharType="end"/>
      </w:r>
      <w:r w:rsidR="008C50CC" w:rsidRPr="004C78D8">
        <w:t xml:space="preserve">. This represents an amount that can be invested in, say, community </w:t>
      </w:r>
      <w:r w:rsidR="00713D4E" w:rsidRPr="004C78D8">
        <w:t>organisations</w:t>
      </w:r>
      <w:r w:rsidR="008C50CC" w:rsidRPr="004C78D8">
        <w:t xml:space="preserve"> that promote the uptake. </w:t>
      </w:r>
    </w:p>
    <w:p w14:paraId="4528E611" w14:textId="67D4FB03" w:rsidR="00FF689C" w:rsidRPr="004C78D8" w:rsidRDefault="00FF689C" w:rsidP="00FB7C1F">
      <w:r w:rsidRPr="004C78D8">
        <w:t xml:space="preserve">The lower intervention access for the socioeconomically deprived and ethnic minority subgroups would mean that the intervention is less cost-effective. A strategy that prioritises access for these groups to reduce social inequities of health (e.g., concentrating funding in deprived areas [theme 3-27]) would introduce an equity-efficiency trade-off. The model should parameterise the causal mechanisms to quantify the trade-off; the strategy would be accepted if stakeholders find the trade-off to be reasonable </w:t>
      </w:r>
      <w:r w:rsidRPr="004C78D8">
        <w:fldChar w:fldCharType="begin"/>
      </w:r>
      <w:r w:rsidR="00513646" w:rsidRPr="004C78D8">
        <w:instrText xml:space="preserve"> ADDIN EN.CITE &lt;EndNote&gt;&lt;Cite&gt;&lt;Author&gt;Asaria&lt;/Author&gt;&lt;Year&gt;2016&lt;/Year&gt;&lt;RecNum&gt;361&lt;/RecNum&gt;&lt;DisplayText&gt;[109]&lt;/DisplayText&gt;&lt;record&gt;&lt;rec-number&gt;361&lt;/rec-number&gt;&lt;foreign-keys&gt;&lt;key app="EN" db-id="tdtrdw9aepptzbefsat599syza29sxsd2wsp" timestamp="1612265402"&gt;361&lt;/key&gt;&lt;/foreign-keys&gt;&lt;ref-type name="Journal Article"&gt;17&lt;/ref-type&gt;&lt;contributors&gt;&lt;authors&gt;&lt;author&gt;Asaria, Miqdad&lt;/author&gt;&lt;author&gt;Griffin, Susan&lt;/author&gt;&lt;author&gt;Cookson, Richard&lt;/author&gt;&lt;/authors&gt;&lt;/contributors&gt;&lt;titles&gt;&lt;title&gt;Distributional Cost-Effectiveness Analysis: A Tutorial&lt;/title&gt;&lt;secondary-title&gt;Medical decision making&lt;/secondary-title&gt;&lt;/titles&gt;&lt;periodical&gt;&lt;full-title&gt;Medical Decision Making&lt;/full-title&gt;&lt;/periodical&gt;&lt;pages&gt;8-19&lt;/pages&gt;&lt;volume&gt;36&lt;/volume&gt;&lt;number&gt;1&lt;/number&gt;&lt;keywords&gt;&lt;keyword&gt;cost-effectiveness analysis&lt;/keyword&gt;&lt;keyword&gt;economic evaluation&lt;/keyword&gt;&lt;keyword&gt;efficiency&lt;/keyword&gt;&lt;keyword&gt;equality&lt;/keyword&gt;&lt;keyword&gt;equity&lt;/keyword&gt;&lt;keyword&gt;fairness&lt;/keyword&gt;&lt;keyword&gt;health distribution&lt;/keyword&gt;&lt;keyword&gt;health inequality&lt;/keyword&gt;&lt;keyword&gt;inequality measures&lt;/keyword&gt;&lt;keyword&gt;opportunity cost&lt;/keyword&gt;&lt;keyword&gt;social value judgments&lt;/keyword&gt;&lt;keyword&gt;social welfare functions&lt;/keyword&gt;&lt;keyword&gt;tradeoff&lt;/keyword&gt;&lt;/keywords&gt;&lt;dates&gt;&lt;year&gt;2016&lt;/year&gt;&lt;pub-dates&gt;&lt;date&gt;1/1&lt;/date&gt;&lt;/pub-dates&gt;&lt;/dates&gt;&lt;isbn&gt;0272-989X&lt;/isbn&gt;&lt;work-type&gt;Article&lt;/work-type&gt;&lt;urls&gt;&lt;related-urls&gt;&lt;url&gt;http://www.scopus.com/inward/record.url?scp=84950117843&amp;amp;partnerID=8YFLogxK&lt;/url&gt;&lt;/related-urls&gt;&lt;/urls&gt;&lt;electronic-resource-num&gt;10.1177/0272989X15583266&lt;/electronic-resource-num&gt;&lt;/record&gt;&lt;/Cite&gt;&lt;/EndNote&gt;</w:instrText>
      </w:r>
      <w:r w:rsidRPr="004C78D8">
        <w:fldChar w:fldCharType="separate"/>
      </w:r>
      <w:r w:rsidR="00513646" w:rsidRPr="004C78D8">
        <w:rPr>
          <w:noProof/>
        </w:rPr>
        <w:t>[109]</w:t>
      </w:r>
      <w:r w:rsidRPr="004C78D8">
        <w:fldChar w:fldCharType="end"/>
      </w:r>
      <w:r w:rsidRPr="004C78D8">
        <w:t>. A similar process of equity-efficiency evaluation can be applied to other vulnerable subgroups identified, i.e., those with complex comorbidities and cognitive impairment.</w:t>
      </w:r>
    </w:p>
    <w:p w14:paraId="0918DF39" w14:textId="265572B0" w:rsidR="00161907" w:rsidRPr="004C78D8" w:rsidRDefault="00161907" w:rsidP="00FB7C1F"/>
    <w:p w14:paraId="371D9132" w14:textId="099DB94A" w:rsidR="005F3B68" w:rsidRPr="004C78D8" w:rsidRDefault="005F3B68" w:rsidP="00FB7C1F">
      <w:pPr>
        <w:pStyle w:val="Heading2"/>
      </w:pPr>
      <w:bookmarkStart w:id="55" w:name="_Toc93566855"/>
      <w:bookmarkStart w:id="56" w:name="_Toc111630712"/>
      <w:r w:rsidRPr="004C78D8">
        <w:t>2.5 Discussion</w:t>
      </w:r>
      <w:bookmarkEnd w:id="55"/>
      <w:bookmarkEnd w:id="56"/>
    </w:p>
    <w:p w14:paraId="03264820" w14:textId="28FBC129" w:rsidR="00447D45" w:rsidRPr="004C78D8" w:rsidRDefault="005C3F89" w:rsidP="00FB7C1F">
      <w:pPr>
        <w:spacing w:line="276" w:lineRule="auto"/>
      </w:pPr>
      <w:r w:rsidRPr="004C78D8">
        <w:t xml:space="preserve">This chapter explored older people’s views on facilitators and barriers for implementing the community-based falls prevention pathway recommended by NICE as well as broader themes on raising falls risk awareness, intersectoral initiatives and prioritisation of vulnerable groups. Participants included service users and non-users and those at high and low risks of falling. The chapter also explored how the identified themes can be mapped on to frameworks that can inform commissioning decisions via a </w:t>
      </w:r>
      <w:r w:rsidRPr="004C78D8">
        <w:rPr>
          <w:i/>
          <w:iCs/>
        </w:rPr>
        <w:t xml:space="preserve">de novo </w:t>
      </w:r>
      <w:r w:rsidRPr="004C78D8">
        <w:t xml:space="preserve">falls prevention economic model. It was thereby shown that the framework analysis approach </w:t>
      </w:r>
      <w:r w:rsidRPr="004C78D8">
        <w:fldChar w:fldCharType="begin"/>
      </w:r>
      <w:r w:rsidR="00C630FC" w:rsidRPr="004C78D8">
        <w:instrText xml:space="preserve"> ADDIN EN.CITE &lt;EndNote&gt;&lt;Cite&gt;&lt;Author&gt;Ritchie&lt;/Author&gt;&lt;Year&gt;2002&lt;/Year&gt;&lt;RecNum&gt;582&lt;/RecNum&gt;&lt;DisplayText&gt;[191]&lt;/DisplayText&gt;&lt;record&gt;&lt;rec-number&gt;582&lt;/rec-number&gt;&lt;foreign-keys&gt;&lt;key app="EN" db-id="tdtrdw9aepptzbefsat599syza29sxsd2wsp" timestamp="1620759449"&gt;582&lt;/key&gt;&lt;/foreign-keys&gt;&lt;ref-type name="Book Section"&gt;5&lt;/ref-type&gt;&lt;contributors&gt;&lt;authors&gt;&lt;author&gt;Ritchie, Jane&lt;/author&gt;&lt;author&gt;Spencer, Liz&lt;/author&gt;&lt;/authors&gt;&lt;/contributors&gt;&lt;titles&gt;&lt;title&gt;Qualitative data analysis for applied policy research&lt;/title&gt;&lt;secondary-title&gt;Analyzing qualitative data&lt;/secondary-title&gt;&lt;/titles&gt;&lt;pages&gt;187-208&lt;/pages&gt;&lt;dates&gt;&lt;year&gt;2002&lt;/year&gt;&lt;/dates&gt;&lt;publisher&gt;Routledge&lt;/publisher&gt;&lt;isbn&gt;0203413083&lt;/isbn&gt;&lt;urls&gt;&lt;/urls&gt;&lt;/record&gt;&lt;/Cite&gt;&lt;/EndNote&gt;</w:instrText>
      </w:r>
      <w:r w:rsidRPr="004C78D8">
        <w:fldChar w:fldCharType="separate"/>
      </w:r>
      <w:r w:rsidR="00C630FC" w:rsidRPr="004C78D8">
        <w:rPr>
          <w:noProof/>
        </w:rPr>
        <w:t>[191]</w:t>
      </w:r>
      <w:r w:rsidRPr="004C78D8">
        <w:fldChar w:fldCharType="end"/>
      </w:r>
      <w:r w:rsidRPr="004C78D8">
        <w:t xml:space="preserve"> can flexibly accommodate diverse frameworks according to research aims</w:t>
      </w:r>
      <w:r w:rsidR="00447D45" w:rsidRPr="004C78D8">
        <w:t xml:space="preserve">. </w:t>
      </w:r>
    </w:p>
    <w:p w14:paraId="5D4EF823" w14:textId="6204B706" w:rsidR="000500AC" w:rsidRPr="004C78D8" w:rsidRDefault="005C3F89" w:rsidP="00FB7C1F">
      <w:pPr>
        <w:spacing w:line="276" w:lineRule="auto"/>
      </w:pPr>
      <w:r w:rsidRPr="004C78D8">
        <w:t xml:space="preserve">The methods and results of this chapter contribute to the growing field of research exploring how qualitative evidence can be used to inform HTA </w:t>
      </w:r>
      <w:r w:rsidRPr="004C78D8">
        <w:fldChar w:fldCharType="begin"/>
      </w:r>
      <w:r w:rsidR="00C630FC" w:rsidRPr="004C78D8">
        <w:instrText xml:space="preserve"> ADDIN EN.CITE &lt;EndNote&gt;&lt;Cite&gt;&lt;Author&gt;Booth&lt;/Author&gt;&lt;Year&gt;2020&lt;/Year&gt;&lt;RecNum&gt;586&lt;/RecNum&gt;&lt;DisplayText&gt;[187]&lt;/DisplayText&gt;&lt;record&gt;&lt;rec-number&gt;586&lt;/rec-number&gt;&lt;foreign-keys&gt;&lt;key app="EN" db-id="tdtrdw9aepptzbefsat599syza29sxsd2wsp" timestamp="1620772643"&gt;586&lt;/key&gt;&lt;/foreign-keys&gt;&lt;ref-type name="Report"&gt;27&lt;/ref-type&gt;&lt;contributors&gt;&lt;authors&gt;&lt;author&gt;Booth, Andrew&lt;/author&gt;&lt;/authors&gt;&lt;/contributors&gt;&lt;titles&gt;&lt;title&gt;A methodological update on the use of qualitative evidence in Health Technology Assessment &lt;/title&gt;&lt;secondary-title&gt;Report by the Decision Support Unit&lt;/secondary-title&gt;&lt;/titles&gt;&lt;dates&gt;&lt;year&gt;2020&lt;/year&gt;&lt;/dates&gt;&lt;urls&gt;&lt;related-urls&gt;&lt;url&gt;www.nicedsu.org.uk&lt;/url&gt;&lt;/related-urls&gt;&lt;/urls&gt;&lt;/record&gt;&lt;/Cite&gt;&lt;/EndNote&gt;</w:instrText>
      </w:r>
      <w:r w:rsidRPr="004C78D8">
        <w:fldChar w:fldCharType="separate"/>
      </w:r>
      <w:r w:rsidR="00C630FC" w:rsidRPr="004C78D8">
        <w:rPr>
          <w:noProof/>
        </w:rPr>
        <w:t>[187]</w:t>
      </w:r>
      <w:r w:rsidRPr="004C78D8">
        <w:fldChar w:fldCharType="end"/>
      </w:r>
      <w:r w:rsidRPr="004C78D8">
        <w:t xml:space="preserve">. The recent NICE Decision Support Unit (DSU) report, for example, critiques the limited consideration of qualitative evidence in the current NICE </w:t>
      </w:r>
      <w:r w:rsidR="0063281D" w:rsidRPr="004C78D8">
        <w:t>Methods Guide</w:t>
      </w:r>
      <w:r w:rsidRPr="004C78D8">
        <w:t xml:space="preserve"> (PMG9) and sees the use of established, purpose-specific frameworks – including the </w:t>
      </w:r>
      <w:r w:rsidRPr="004C78D8">
        <w:lastRenderedPageBreak/>
        <w:t xml:space="preserve">CICI framework – as a tool for </w:t>
      </w:r>
      <w:r w:rsidR="00DB54A8" w:rsidRPr="004C78D8">
        <w:t xml:space="preserve">an </w:t>
      </w:r>
      <w:r w:rsidRPr="004C78D8">
        <w:t xml:space="preserve">accelerated and standardised incorporation of qualitative evidence in the HTA decision-making process </w:t>
      </w:r>
      <w:r w:rsidRPr="004C78D8">
        <w:fldChar w:fldCharType="begin"/>
      </w:r>
      <w:r w:rsidR="00C630FC" w:rsidRPr="004C78D8">
        <w:instrText xml:space="preserve"> ADDIN EN.CITE &lt;EndNote&gt;&lt;Cite&gt;&lt;Author&gt;Booth&lt;/Author&gt;&lt;Year&gt;2020&lt;/Year&gt;&lt;RecNum&gt;586&lt;/RecNum&gt;&lt;DisplayText&gt;[187]&lt;/DisplayText&gt;&lt;record&gt;&lt;rec-number&gt;586&lt;/rec-number&gt;&lt;foreign-keys&gt;&lt;key app="EN" db-id="tdtrdw9aepptzbefsat599syza29sxsd2wsp" timestamp="1620772643"&gt;586&lt;/key&gt;&lt;/foreign-keys&gt;&lt;ref-type name="Report"&gt;27&lt;/ref-type&gt;&lt;contributors&gt;&lt;authors&gt;&lt;author&gt;Booth, Andrew&lt;/author&gt;&lt;/authors&gt;&lt;/contributors&gt;&lt;titles&gt;&lt;title&gt;A methodological update on the use of qualitative evidence in Health Technology Assessment &lt;/title&gt;&lt;secondary-title&gt;Report by the Decision Support Unit&lt;/secondary-title&gt;&lt;/titles&gt;&lt;dates&gt;&lt;year&gt;2020&lt;/year&gt;&lt;/dates&gt;&lt;urls&gt;&lt;related-urls&gt;&lt;url&gt;www.nicedsu.org.uk&lt;/url&gt;&lt;/related-urls&gt;&lt;/urls&gt;&lt;/record&gt;&lt;/Cite&gt;&lt;/EndNote&gt;</w:instrText>
      </w:r>
      <w:r w:rsidRPr="004C78D8">
        <w:fldChar w:fldCharType="separate"/>
      </w:r>
      <w:r w:rsidR="00C630FC" w:rsidRPr="004C78D8">
        <w:rPr>
          <w:noProof/>
        </w:rPr>
        <w:t>[187]</w:t>
      </w:r>
      <w:r w:rsidRPr="004C78D8">
        <w:fldChar w:fldCharType="end"/>
      </w:r>
      <w:r w:rsidRPr="004C78D8">
        <w:t xml:space="preserve">. This chapter showed that the CICI framework, despite its focus on supply-side conditions, can be applied to service users and eligible non-users. Previous qualitative studies have indeed shown that older people are sensitive to supply-side issues including cultural-linguistic context of intervention, professional attributes and intervention characteristics </w:t>
      </w:r>
      <w:r w:rsidRPr="004C78D8">
        <w:fldChar w:fldCharType="begin">
          <w:fldData xml:space="preserve">PEVuZE5vdGU+PENpdGU+PEF1dGhvcj5CdW5uPC9BdXRob3I+PFllYXI+MjAwODwvWWVhcj48UmVj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</w:fldData>
        </w:fldChar>
      </w:r>
      <w:r w:rsidR="00C630FC" w:rsidRPr="004C78D8">
        <w:instrText xml:space="preserve"> ADDIN EN.CITE </w:instrText>
      </w:r>
      <w:r w:rsidR="00C630FC" w:rsidRPr="004C78D8">
        <w:fldChar w:fldCharType="begin">
          <w:fldData xml:space="preserve">PEVuZE5vdGU+PENpdGU+PEF1dGhvcj5CdW5uPC9BdXRob3I+PFllYXI+MjAwODwvWWVhcj48UmVj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[142, 192, 201, 202]</w:t>
      </w:r>
      <w:r w:rsidRPr="004C78D8">
        <w:fldChar w:fldCharType="end"/>
      </w:r>
      <w:r w:rsidRPr="004C78D8">
        <w:t>, making their views highly relevant to commissioning decisions that must consider how the supply-side conditions are perceived and accepted by service users. This chapter facilitated attention on users’ perception and demand by supplementing the CICI with the HNA framework that conceptualises intervention access as an outcome of interactions between demand, supply</w:t>
      </w:r>
      <w:r w:rsidR="00A6512E" w:rsidRPr="004C78D8">
        <w:t>,</w:t>
      </w:r>
      <w:r w:rsidRPr="004C78D8">
        <w:t xml:space="preserve"> and normative need. Such flexible adaptation of the CICI framework is encouraged by the framework developers </w:t>
      </w:r>
      <w:r w:rsidRPr="004C78D8">
        <w:fldChar w:fldCharType="begin"/>
      </w:r>
      <w:r w:rsidR="00C630FC" w:rsidRPr="004C78D8">
        <w:instrText xml:space="preserve"> ADDIN EN.CITE &lt;EndNote&gt;&lt;Cite&gt;&lt;Author&gt;Pfadenhauer&lt;/Author&gt;&lt;Year&gt;2016&lt;/Year&gt;&lt;RecNum&gt;578&lt;/RecNum&gt;&lt;DisplayText&gt;[181]&lt;/DisplayText&gt;&lt;record&gt;&lt;rec-number&gt;578&lt;/rec-number&gt;&lt;foreign-keys&gt;&lt;key app="EN" db-id="tdtrdw9aepptzbefsat599syza29sxsd2wsp" timestamp="1620727866"&gt;578&lt;/key&gt;&lt;/foreign-keys&gt;&lt;ref-type name="Report"&gt;27&lt;/ref-type&gt;&lt;contributors&gt;&lt;authors&gt;&lt;author&gt;Pfadenhauer, Lisa&lt;/author&gt;&lt;author&gt;Rohwer, Anke&lt;/author&gt;&lt;author&gt;Burns, Jacob&lt;/author&gt;&lt;author&gt;Booth, Andrew&lt;/author&gt;&lt;author&gt;Lysdahl, Kristin Bakke&lt;/author&gt;&lt;author&gt;Hofmann, Björn&lt;/author&gt;&lt;author&gt;Gerhardus, Ansgar&lt;/author&gt;&lt;author&gt;Mozygemba, Kati&lt;/author&gt;&lt;author&gt;Tummers, Marcia&lt;/author&gt;&lt;author&gt;Wahlster, Philip&lt;/author&gt;&lt;/authors&gt;&lt;/contributors&gt;&lt;titles&gt;&lt;title&gt;Guidance for the assessment of context and implementation in health technology assessments (HTA) and systematic reviews of complex interventions: the context and implementation of complex interventions (CICI) framework&lt;/title&gt;&lt;secondary-title&gt;Integrated Health Technology Assessment for Evaluating Complex Technologies (INTEGRATE-HTA)&lt;/secondary-title&gt;&lt;/titles&gt;&lt;dates&gt;&lt;year&gt;2016&lt;/year&gt;&lt;/dates&gt;&lt;pub-location&gt;Available from: http://www.integrate-hta.eu/downloads/&lt;/pub-location&gt;&lt;publisher&gt;European Union&lt;/publisher&gt;&lt;urls&gt;&lt;/urls&gt;&lt;/record&gt;&lt;/Cite&gt;&lt;/EndNote&gt;</w:instrText>
      </w:r>
      <w:r w:rsidRPr="004C78D8">
        <w:fldChar w:fldCharType="separate"/>
      </w:r>
      <w:r w:rsidR="00C630FC" w:rsidRPr="004C78D8">
        <w:rPr>
          <w:noProof/>
        </w:rPr>
        <w:t>[181]</w:t>
      </w:r>
      <w:r w:rsidRPr="004C78D8">
        <w:fldChar w:fldCharType="end"/>
      </w:r>
      <w:r w:rsidRPr="004C78D8">
        <w:t xml:space="preserve">. Moreover, both the CICI framework developers and the DSU report focus on the application of CICI to qualitative and mixed-methods systematic reviews and not to primary qualitative research </w:t>
      </w:r>
      <w:r w:rsidRPr="004C78D8">
        <w:fldChar w:fldCharType="begin"/>
      </w:r>
      <w:r w:rsidR="00C630FC" w:rsidRPr="004C78D8">
        <w:instrText xml:space="preserve"> ADDIN EN.CITE &lt;EndNote&gt;&lt;Cite&gt;&lt;Author&gt;Pfadenhauer&lt;/Author&gt;&lt;Year&gt;2016&lt;/Year&gt;&lt;RecNum&gt;578&lt;/RecNum&gt;&lt;DisplayText&gt;[181, 187]&lt;/DisplayText&gt;&lt;record&gt;&lt;rec-number&gt;578&lt;/rec-number&gt;&lt;foreign-keys&gt;&lt;key app="EN" db-id="tdtrdw9aepptzbefsat599syza29sxsd2wsp" timestamp="1620727866"&gt;578&lt;/key&gt;&lt;/foreign-keys&gt;&lt;ref-type name="Report"&gt;27&lt;/ref-type&gt;&lt;contributors&gt;&lt;authors&gt;&lt;author&gt;Pfadenhauer, Lisa&lt;/author&gt;&lt;author&gt;Rohwer, Anke&lt;/author&gt;&lt;author&gt;Burns, Jacob&lt;/author&gt;&lt;author&gt;Booth, Andrew&lt;/author&gt;&lt;author&gt;Lysdahl, Kristin Bakke&lt;/author&gt;&lt;author&gt;Hofmann, Björn&lt;/author&gt;&lt;author&gt;Gerhardus, Ansgar&lt;/author&gt;&lt;author&gt;Mozygemba, Kati&lt;/author&gt;&lt;author&gt;Tummers, Marcia&lt;/author&gt;&lt;author&gt;Wahlster, Philip&lt;/author&gt;&lt;/authors&gt;&lt;/contributors&gt;&lt;titles&gt;&lt;title&gt;Guidance for the assessment of context and implementation in health technology assessments (HTA) and systematic reviews of complex interventions: the context and implementation of complex interventions (CICI) framework&lt;/title&gt;&lt;secondary-title&gt;Integrated Health Technology Assessment for Evaluating Complex Technologies (INTEGRATE-HTA)&lt;/secondary-title&gt;&lt;/titles&gt;&lt;dates&gt;&lt;year&gt;2016&lt;/year&gt;&lt;/dates&gt;&lt;pub-location&gt;Available from: http://www.integrate-hta.eu/downloads/&lt;/pub-location&gt;&lt;publisher&gt;European Union&lt;/publisher&gt;&lt;urls&gt;&lt;/urls&gt;&lt;/record&gt;&lt;/Cite&gt;&lt;Cite&gt;&lt;Author&gt;Booth&lt;/Author&gt;&lt;Year&gt;2020&lt;/Year&gt;&lt;RecNum&gt;586&lt;/RecNum&gt;&lt;record&gt;&lt;rec-number&gt;586&lt;/rec-number&gt;&lt;foreign-keys&gt;&lt;key app="EN" db-id="tdtrdw9aepptzbefsat599syza29sxsd2wsp" timestamp="1620772643"&gt;586&lt;/key&gt;&lt;/foreign-keys&gt;&lt;ref-type name="Report"&gt;27&lt;/ref-type&gt;&lt;contributors&gt;&lt;authors&gt;&lt;author&gt;Booth, Andrew&lt;/author&gt;&lt;/authors&gt;&lt;/contributors&gt;&lt;titles&gt;&lt;title&gt;A methodological update on the use of qualitative evidence in Health Technology Assessment &lt;/title&gt;&lt;secondary-title&gt;Report by the Decision Support Unit&lt;/secondary-title&gt;&lt;/titles&gt;&lt;dates&gt;&lt;year&gt;2020&lt;/year&gt;&lt;/dates&gt;&lt;urls&gt;&lt;related-urls&gt;&lt;url&gt;www.nicedsu.org.uk&lt;/url&gt;&lt;/related-urls&gt;&lt;/urls&gt;&lt;/record&gt;&lt;/Cite&gt;&lt;/EndNote&gt;</w:instrText>
      </w:r>
      <w:r w:rsidRPr="004C78D8">
        <w:fldChar w:fldCharType="separate"/>
      </w:r>
      <w:r w:rsidR="00C630FC" w:rsidRPr="004C78D8">
        <w:rPr>
          <w:noProof/>
        </w:rPr>
        <w:t>[181, 187]</w:t>
      </w:r>
      <w:r w:rsidRPr="004C78D8">
        <w:fldChar w:fldCharType="end"/>
      </w:r>
      <w:r w:rsidRPr="004C78D8">
        <w:t>; by applying the framework to</w:t>
      </w:r>
      <w:r w:rsidR="00A6512E" w:rsidRPr="004C78D8">
        <w:t xml:space="preserve"> the latter</w:t>
      </w:r>
      <w:r w:rsidRPr="004C78D8">
        <w:t>, this chapter demonstrates the wider potential reach of the framework</w:t>
      </w:r>
      <w:r w:rsidR="000500AC" w:rsidRPr="004C78D8">
        <w:t>.</w:t>
      </w:r>
    </w:p>
    <w:p w14:paraId="545DBDFB" w14:textId="6AF8B196" w:rsidR="005F3B68" w:rsidRPr="004C78D8" w:rsidRDefault="000500AC" w:rsidP="00FB7C1F">
      <w:r w:rsidRPr="004C78D8">
        <w:t xml:space="preserve">This </w:t>
      </w:r>
      <w:r w:rsidR="00C80A7B" w:rsidRPr="004C78D8">
        <w:t>chapter</w:t>
      </w:r>
      <w:r w:rsidRPr="004C78D8">
        <w:t xml:space="preserve"> also showed that the primary qualitative research on service users can identify the key methodological and evaluative challenges to public health economic evaluation and thus prospectively inform falls prevention economic modelling </w:t>
      </w:r>
      <w:r w:rsidRPr="004C78D8">
        <w:fldChar w:fldCharType="begin"/>
      </w:r>
      <w:r w:rsidRPr="004C78D8">
        <w:instrText xml:space="preserve"> ADDIN EN.CITE &lt;EndNote&gt;&lt;Cite&gt;&lt;Author&gt;Squires&lt;/Author&gt;&lt;Year&gt;2016&lt;/Year&gt;&lt;RecNum&gt;158&lt;/RecNum&gt;&lt;DisplayText&gt;[1]&lt;/DisplayText&gt;&lt;record&gt;&lt;rec-number&gt;158&lt;/rec-number&gt;&lt;foreign-keys&gt;&lt;key app="EN" db-id="tdtrdw9aepptzbefsat599syza29sxsd2wsp" timestamp="1609254669"&gt;158&lt;/key&gt;&lt;/foreign-keys&gt;&lt;ref-type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framework for developing the structure of public health economic models&lt;/title&gt;&lt;secondary-title&gt;Value in Health&lt;/secondary-title&gt;&lt;/titles&gt;&lt;periodical&gt;&lt;full-title&gt;Value in Health&lt;/full-title&gt;&lt;/periodical&gt;&lt;pages&gt;588-601&lt;/pages&gt;&lt;volume&gt;19&lt;/volume&gt;&lt;number&gt;5&lt;/number&gt;&lt;dates&gt;&lt;year&gt;2016&lt;/year&gt;&lt;/dates&gt;&lt;isbn&gt;1098-3015&lt;/isbn&gt;&lt;urls&gt;&lt;/urls&gt;&lt;research-notes&gt;1&lt;/research-notes&gt;&lt;/record&gt;&lt;/Cite&gt;&lt;/EndNote&gt;</w:instrText>
      </w:r>
      <w:r w:rsidRPr="004C78D8">
        <w:fldChar w:fldCharType="separate"/>
      </w:r>
      <w:r w:rsidRPr="004C78D8">
        <w:rPr>
          <w:noProof/>
        </w:rPr>
        <w:t>[1]</w:t>
      </w:r>
      <w:r w:rsidRPr="004C78D8">
        <w:fldChar w:fldCharType="end"/>
      </w:r>
      <w:r w:rsidRPr="004C78D8">
        <w:t xml:space="preserve">. </w:t>
      </w:r>
      <w:r w:rsidR="00DB54A8" w:rsidRPr="004C78D8">
        <w:t>R</w:t>
      </w:r>
      <w:r w:rsidRPr="004C78D8">
        <w:t xml:space="preserve">etrospective application </w:t>
      </w:r>
      <w:r w:rsidR="00DB54A8" w:rsidRPr="004C78D8">
        <w:t>would</w:t>
      </w:r>
      <w:r w:rsidRPr="004C78D8">
        <w:t xml:space="preserve"> be equally valuable</w:t>
      </w:r>
      <w:r w:rsidR="00DB54A8" w:rsidRPr="004C78D8">
        <w:t xml:space="preserve"> to explore whether </w:t>
      </w:r>
      <w:r w:rsidRPr="004C78D8">
        <w:t xml:space="preserve">an intervention approved by </w:t>
      </w:r>
      <w:r w:rsidR="00DB54A8" w:rsidRPr="004C78D8">
        <w:t xml:space="preserve">national-level </w:t>
      </w:r>
      <w:r w:rsidRPr="004C78D8">
        <w:t xml:space="preserve">HTA </w:t>
      </w:r>
      <w:r w:rsidR="00DB54A8" w:rsidRPr="004C78D8">
        <w:t xml:space="preserve">can be implemented fully </w:t>
      </w:r>
      <w:r w:rsidRPr="004C78D8">
        <w:t xml:space="preserve">within three months </w:t>
      </w:r>
      <w:r w:rsidR="00DB54A8" w:rsidRPr="004C78D8">
        <w:t xml:space="preserve">by local decision-makers </w:t>
      </w:r>
      <w:r w:rsidRPr="004C78D8">
        <w:t xml:space="preserve">(recommendation 1.5.1) </w:t>
      </w:r>
      <w:r w:rsidRPr="004C78D8">
        <w:fldChar w:fldCharType="begin"/>
      </w:r>
      <w:r w:rsidR="00513646" w:rsidRPr="004C78D8">
        <w:instrText xml:space="preserve"> ADDIN EN.CITE &lt;EndNote&gt;&lt;Cite&gt;&lt;Author&gt;National Institute for Health and Care Excellence&lt;/Author&gt;&lt;Year&gt;2013&lt;/Year&gt;&lt;RecNum&gt;411&lt;/RecNum&gt;&lt;DisplayText&gt;[154]&lt;/DisplayText&gt;&lt;record&gt;&lt;rec-number&gt;411&lt;/rec-number&gt;&lt;foreign-keys&gt;&lt;key app="EN" db-id="tdtrdw9aepptzbefsat599syza29sxsd2wsp" timestamp="1615809068"&gt;411&lt;/key&gt;&lt;/foreign-keys&gt;&lt;ref-type name="Journal Article"&gt;17&lt;/ref-type&gt;&lt;contributors&gt;&lt;authors&gt;&lt;author&gt;National Institute for Health and Care Excellence,&lt;/author&gt;&lt;/authors&gt;&lt;/contributors&gt;&lt;titles&gt;&lt;title&gt;Guide to the methods of technology appraisal 2013&lt;/title&gt;&lt;/titles&gt;&lt;dates&gt;&lt;year&gt;2013&lt;/year&gt;&lt;/dates&gt;&lt;urls&gt;&lt;related-urls&gt;&lt;url&gt;nice.org.uk/process/pmg9&lt;/url&gt;&lt;/related-urls&gt;&lt;/urls&gt;&lt;/record&gt;&lt;/Cite&gt;&lt;/EndNote&gt;</w:instrText>
      </w:r>
      <w:r w:rsidRPr="004C78D8">
        <w:fldChar w:fldCharType="separate"/>
      </w:r>
      <w:r w:rsidR="00513646" w:rsidRPr="004C78D8">
        <w:rPr>
          <w:noProof/>
        </w:rPr>
        <w:t>[154]</w:t>
      </w:r>
      <w:r w:rsidRPr="004C78D8">
        <w:fldChar w:fldCharType="end"/>
      </w:r>
      <w:r w:rsidRPr="004C78D8">
        <w:t>. The local qualitative evidence can identify such barriers and anticipate any major differences in the local cost-effectiveness and population-level outcomes relative to those predicted by the HTA.</w:t>
      </w:r>
      <w:r w:rsidR="00DC21B1" w:rsidRPr="004C78D8">
        <w:t xml:space="preserve"> </w:t>
      </w:r>
      <w:r w:rsidR="00B44731" w:rsidRPr="004C78D8">
        <w:t>T</w:t>
      </w:r>
      <w:r w:rsidR="00DC21B1" w:rsidRPr="004C78D8">
        <w:t xml:space="preserve">he decision model(s) underlying the HTA approval can </w:t>
      </w:r>
      <w:r w:rsidR="00B44731" w:rsidRPr="004C78D8">
        <w:t xml:space="preserve">also </w:t>
      </w:r>
      <w:r w:rsidR="00DC21B1" w:rsidRPr="004C78D8">
        <w:t xml:space="preserve">be critiqued based on the methodological and evaluative challenges identified by the local evidence. If the model performs poorly in addressing the challenges, then a </w:t>
      </w:r>
      <w:r w:rsidR="00DC21B1" w:rsidRPr="004C78D8">
        <w:rPr>
          <w:i/>
          <w:iCs/>
        </w:rPr>
        <w:t>de novo</w:t>
      </w:r>
      <w:r w:rsidR="00DC21B1" w:rsidRPr="004C78D8">
        <w:t xml:space="preserve"> model </w:t>
      </w:r>
      <w:r w:rsidR="00A6512E" w:rsidRPr="004C78D8">
        <w:t>development is warranted, making</w:t>
      </w:r>
      <w:r w:rsidR="00086501" w:rsidRPr="004C78D8">
        <w:t xml:space="preserve"> prospective use of</w:t>
      </w:r>
      <w:r w:rsidR="00DC21B1" w:rsidRPr="004C78D8">
        <w:t xml:space="preserve"> the qualitative data</w:t>
      </w:r>
      <w:r w:rsidR="00E01654" w:rsidRPr="004C78D8">
        <w:t>.</w:t>
      </w:r>
      <w:r w:rsidR="00DC21B1" w:rsidRPr="004C78D8">
        <w:t xml:space="preserve"> </w:t>
      </w:r>
    </w:p>
    <w:p w14:paraId="3302C727" w14:textId="6C914574" w:rsidR="00097AC5" w:rsidRPr="004C78D8" w:rsidRDefault="00097AC5" w:rsidP="00FB7C1F">
      <w:r w:rsidRPr="004C78D8">
        <w:t xml:space="preserve">The holistic approach to exploring the falls prevention facilitators/barriers identified two cross-component factors: health motives of older persons; and professional competence. The role of health motives in influencing older persons’ health behaviour has been debated in the literature. One study in Scotland found that older people are unlikely to participate in exercise for health reasons but rather for the social rewards </w:t>
      </w:r>
      <w:r w:rsidRPr="004C78D8">
        <w:fldChar w:fldCharType="begin"/>
      </w:r>
      <w:r w:rsidR="00C630FC" w:rsidRPr="004C78D8">
        <w:instrText xml:space="preserve"> ADDIN EN.CITE &lt;EndNote&gt;&lt;Cite&gt;&lt;Author&gt;Stead&lt;/Author&gt;&lt;Year&gt;1997&lt;/Year&gt;&lt;RecNum&gt;577&lt;/RecNum&gt;&lt;DisplayText&gt;[203]&lt;/DisplayText&gt;&lt;record&gt;&lt;rec-number&gt;577&lt;/rec-number&gt;&lt;foreign-keys&gt;&lt;key app="EN" db-id="tdtrdw9aepptzbefsat599syza29sxsd2wsp" timestamp="1620659881"&gt;577&lt;/key&gt;&lt;/foreign-keys&gt;&lt;ref-type name="Journal Article"&gt;17&lt;/ref-type&gt;&lt;contributors&gt;&lt;authors&gt;&lt;author&gt;Stead, Martine&lt;/author&gt;&lt;author&gt;Wimbush, Erica&lt;/author&gt;&lt;author&gt;Eadie, Douglas&lt;/author&gt;&lt;author&gt;Teer, Phil&lt;/author&gt;&lt;/authors&gt;&lt;/contributors&gt;&lt;titles&gt;&lt;title&gt;A qualitative study of older people&amp;apos;s perceptions of ageing and exercise: the implications for health promotion&lt;/title&gt;&lt;secondary-title&gt;Health Education Journal&lt;/secondary-title&gt;&lt;/titles&gt;&lt;periodical&gt;&lt;full-title&gt;Health Education Journal&lt;/full-title&gt;&lt;/periodical&gt;&lt;pages&gt;3-16&lt;/pages&gt;&lt;volume&gt;56&lt;/volume&gt;&lt;number&gt;1&lt;/number&gt;&lt;dates&gt;&lt;year&gt;1997&lt;/year&gt;&lt;/dates&gt;&lt;isbn&gt;0017-8969&lt;/isbn&gt;&lt;urls&gt;&lt;/urls&gt;&lt;/record&gt;&lt;/Cite&gt;&lt;/EndNote&gt;</w:instrText>
      </w:r>
      <w:r w:rsidRPr="004C78D8">
        <w:fldChar w:fldCharType="separate"/>
      </w:r>
      <w:r w:rsidR="00C630FC" w:rsidRPr="004C78D8">
        <w:rPr>
          <w:noProof/>
        </w:rPr>
        <w:t>[203]</w:t>
      </w:r>
      <w:r w:rsidRPr="004C78D8">
        <w:fldChar w:fldCharType="end"/>
      </w:r>
      <w:r w:rsidRPr="004C78D8">
        <w:t xml:space="preserve">; while another found that health motives (e.g., maintaining functional independence) help translate intentions into actual change in health behaviour </w:t>
      </w:r>
      <w:r w:rsidRPr="004C78D8">
        <w:fldChar w:fldCharType="begin"/>
      </w:r>
      <w:r w:rsidR="00C630FC" w:rsidRPr="004C78D8">
        <w:instrText xml:space="preserve"> ADDIN EN.CITE &lt;EndNote&gt;&lt;Cite&gt;&lt;Author&gt;Schüz&lt;/Author&gt;&lt;Year&gt;2014&lt;/Year&gt;&lt;RecNum&gt;584&lt;/RecNum&gt;&lt;DisplayText&gt;[189]&lt;/DisplayText&gt;&lt;record&gt;&lt;rec-number&gt;584&lt;/rec-number&gt;&lt;foreign-keys&gt;&lt;key app="EN" db-id="tdtrdw9aepptzbefsat599syza29sxsd2wsp" timestamp="1620770288"&gt;584&lt;/key&gt;&lt;/foreign-keys&gt;&lt;ref-type name="Journal Article"&gt;17&lt;/ref-type&gt;&lt;contributors&gt;&lt;authors&gt;&lt;author&gt;Schüz, Benjamin&lt;/author&gt;&lt;author&gt;Wurm, Susanne&lt;/author&gt;&lt;author&gt;Warner, Lisa M&lt;/author&gt;&lt;author&gt;Wolff, Julia K&lt;/author&gt;&lt;author&gt;Schwarzer, Ralf&lt;/author&gt;&lt;/authors&gt;&lt;/contributors&gt;&lt;titles&gt;&lt;title&gt;Health motives and health behaviour self-regulation in older adults&lt;/title&gt;&lt;secondary-title&gt;Journal of behavioral medicine&lt;/secondary-title&gt;&lt;/titles&gt;&lt;periodical&gt;&lt;full-title&gt;Journal of behavioral medicine&lt;/full-title&gt;&lt;/periodical&gt;&lt;pages&gt;491-500&lt;/pages&gt;&lt;volume&gt;37&lt;/volume&gt;&lt;number&gt;3&lt;/number&gt;&lt;dates&gt;&lt;year&gt;2014&lt;/year&gt;&lt;/dates&gt;&lt;isbn&gt;0160-7715&lt;/isbn&gt;&lt;urls&gt;&lt;/urls&gt;&lt;/record&gt;&lt;/Cite&gt;&lt;/EndNote&gt;</w:instrText>
      </w:r>
      <w:r w:rsidRPr="004C78D8">
        <w:fldChar w:fldCharType="separate"/>
      </w:r>
      <w:r w:rsidR="00C630FC" w:rsidRPr="004C78D8">
        <w:rPr>
          <w:noProof/>
        </w:rPr>
        <w:t>[189]</w:t>
      </w:r>
      <w:r w:rsidRPr="004C78D8">
        <w:fldChar w:fldCharType="end"/>
      </w:r>
      <w:r w:rsidRPr="004C78D8">
        <w:t xml:space="preserve">. This study found that health motives operate alongside the social rewards of interventions which corroborates the findings of a previous qualitative systematic review of older persons’ views </w:t>
      </w:r>
      <w:r w:rsidRPr="004C78D8">
        <w:fldChar w:fldCharType="begin"/>
      </w:r>
      <w:r w:rsidR="00C630FC" w:rsidRPr="004C78D8">
        <w:instrText xml:space="preserve"> ADDIN EN.CITE &lt;EndNote&gt;&lt;Cite&gt;&lt;Author&gt;Bunn&lt;/Author&gt;&lt;Year&gt;2008&lt;/Year&gt;&lt;RecNum&gt;269&lt;/RecNum&gt;&lt;DisplayText&gt;[201]&lt;/DisplayText&gt;&lt;record&gt;&lt;rec-number&gt;269&lt;/rec-number&gt;&lt;foreign-keys&gt;&lt;key app="EN" db-id="tdtrdw9aepptzbefsat599syza29sxsd2wsp" timestamp="1611692937"&gt;269&lt;/key&gt;&lt;/foreign-keys&gt;&lt;ref-type name="Journal Article"&gt;17&lt;/ref-type&gt;&lt;contributors&gt;&lt;authors&gt;&lt;author&gt;Bunn, Frances&lt;/author&gt;&lt;author&gt;Dickinson, Angela&lt;/author&gt;&lt;author&gt;Barnett-Page, Elaine&lt;/author&gt;&lt;author&gt;Mcinnes, Elizabeth&lt;/author&gt;&lt;author&gt;Horton, Khim&lt;/author&gt;&lt;/authors&gt;&lt;/contributors&gt;&lt;titles&gt;&lt;title&gt;A systematic review of older people&amp;apos;s perceptions of facilitators and barriers to participation in falls-prevention interventions&lt;/title&gt;&lt;secondary-title&gt;Ageing &amp;amp; Society&lt;/secondary-title&gt;&lt;/titles&gt;&lt;periodical&gt;&lt;full-title&gt;Ageing &amp;amp; Society&lt;/full-title&gt;&lt;/periodical&gt;&lt;pages&gt;449-472&lt;/pages&gt;&lt;volume&gt;28&lt;/volume&gt;&lt;number&gt;4&lt;/number&gt;&lt;dates&gt;&lt;year&gt;2008&lt;/year&gt;&lt;/dates&gt;&lt;isbn&gt;1469-1779&lt;/isbn&gt;&lt;urls&gt;&lt;/urls&gt;&lt;/record&gt;&lt;/Cite&gt;&lt;/EndNote&gt;</w:instrText>
      </w:r>
      <w:r w:rsidRPr="004C78D8">
        <w:fldChar w:fldCharType="separate"/>
      </w:r>
      <w:r w:rsidR="00C630FC" w:rsidRPr="004C78D8">
        <w:rPr>
          <w:noProof/>
        </w:rPr>
        <w:t>[201]</w:t>
      </w:r>
      <w:r w:rsidRPr="004C78D8">
        <w:fldChar w:fldCharType="end"/>
      </w:r>
      <w:r w:rsidRPr="004C78D8">
        <w:t xml:space="preserve">. CG161 similarly recognises both factors and recommends that care professionals provide information on the physical benefits of modifying falls risk to older persons and caregivers (recommendation 1.1.10.2), while also promoting the social values of interventions (1.1.9.2) </w:t>
      </w:r>
      <w:r w:rsidRPr="004C78D8">
        <w:fldChar w:fldCharType="begin"/>
      </w:r>
      <w:r w:rsidR="00F255A9"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Pr="004C78D8">
        <w:fldChar w:fldCharType="separate"/>
      </w:r>
      <w:r w:rsidR="00F255A9" w:rsidRPr="004C78D8">
        <w:rPr>
          <w:noProof/>
        </w:rPr>
        <w:t>[13]</w:t>
      </w:r>
      <w:r w:rsidRPr="004C78D8">
        <w:fldChar w:fldCharType="end"/>
      </w:r>
      <w:r w:rsidRPr="004C78D8">
        <w:t xml:space="preserve">. </w:t>
      </w:r>
    </w:p>
    <w:p w14:paraId="143C3B89" w14:textId="54B9F835" w:rsidR="00097AC5" w:rsidRPr="004C78D8" w:rsidRDefault="00097AC5" w:rsidP="00FB7C1F">
      <w:r w:rsidRPr="004C78D8">
        <w:t xml:space="preserve">The absolute and relative strengths of health and non-health motives impact the final combination of intervention characteristics and auxiliary implementation strategies: for example, strengthening the health motives would require well-framed health messaging </w:t>
      </w:r>
      <w:r w:rsidRPr="004C78D8">
        <w:fldChar w:fldCharType="begin"/>
      </w:r>
      <w:r w:rsidR="00C630FC" w:rsidRPr="004C78D8">
        <w:instrText xml:space="preserve"> ADDIN EN.CITE &lt;EndNote&gt;&lt;Cite&gt;&lt;Author&gt;Ory&lt;/Author&gt;&lt;Year&gt;2003&lt;/Year&gt;&lt;RecNum&gt;585&lt;/RecNum&gt;&lt;DisplayText&gt;[197]&lt;/DisplayText&gt;&lt;record&gt;&lt;rec-number&gt;585&lt;/rec-number&gt;&lt;foreign-keys&gt;&lt;key app="EN" db-id="tdtrdw9aepptzbefsat599syza29sxsd2wsp" timestamp="1620771502"&gt;585&lt;/key&gt;&lt;/foreign-keys&gt;&lt;ref-type name="Journal Article"&gt;17&lt;/ref-type&gt;&lt;contributors&gt;&lt;authors&gt;&lt;author&gt;Ory, Marcia&lt;/author&gt;&lt;author&gt;Hoffman, Melane Kinney&lt;/author&gt;&lt;author&gt;Hawkins, Margaret&lt;/author&gt;&lt;author&gt;Sanner, Brigid&lt;/author&gt;&lt;author&gt;Mockenhaupt, Robin&lt;/author&gt;&lt;/authors&gt;&lt;/contributors&gt;&lt;titles&gt;&lt;title&gt;Challenging aging stereotypes: Strategies for creating a more active society&lt;/title&gt;&lt;secondary-title&gt;American journal of preventive medicine&lt;/secondary-title&gt;&lt;/titles&gt;&lt;periodical&gt;&lt;full-title&gt;Am J Prev Med&lt;/full-title&gt;&lt;abbr-1&gt;American journal of preventive medicine&lt;/abbr-1&gt;&lt;/periodical&gt;&lt;pages&gt;164-171&lt;/pages&gt;&lt;volume&gt;25&lt;/volume&gt;&lt;number&gt;3&lt;/number&gt;&lt;dates&gt;&lt;year&gt;2003&lt;/year&gt;&lt;/dates&gt;&lt;isbn&gt;0749-3797&lt;/isbn&gt;&lt;urls&gt;&lt;/urls&gt;&lt;/record&gt;&lt;/Cite&gt;&lt;/EndNote&gt;</w:instrText>
      </w:r>
      <w:r w:rsidRPr="004C78D8">
        <w:fldChar w:fldCharType="separate"/>
      </w:r>
      <w:r w:rsidR="00C630FC" w:rsidRPr="004C78D8">
        <w:rPr>
          <w:noProof/>
        </w:rPr>
        <w:t>[197]</w:t>
      </w:r>
      <w:r w:rsidRPr="004C78D8">
        <w:fldChar w:fldCharType="end"/>
      </w:r>
      <w:r w:rsidR="00A66761" w:rsidRPr="004C78D8">
        <w:t>,</w:t>
      </w:r>
      <w:r w:rsidRPr="004C78D8">
        <w:t xml:space="preserve"> while addressing the non-health/social motives is a matter of better intervention design. Commissioners should note the wide diversity of motives/preferences in the older population: one survey of 134 older persons, for example, found that 46% preferred to exercise alone versus 44% in a group </w:t>
      </w:r>
      <w:r w:rsidRPr="004C78D8">
        <w:fldChar w:fldCharType="begin"/>
      </w:r>
      <w:r w:rsidR="00C630FC" w:rsidRPr="004C78D8">
        <w:instrText xml:space="preserve"> ADDIN EN.CITE &lt;EndNote&gt;&lt;Cite&gt;&lt;Author&gt;Barmentloo&lt;/Author&gt;&lt;Year&gt;2020&lt;/Year&gt;&lt;RecNum&gt;86&lt;/RecNum&gt;&lt;DisplayText&gt;[204]&lt;/DisplayText&gt;&lt;record&gt;&lt;rec-number&gt;86&lt;/rec-number&gt;&lt;foreign-keys&gt;&lt;key app="EN" db-id="tdtrdw9aepptzbefsat599syza29sxsd2wsp" timestamp="1598113138"&gt;86&lt;/key&gt;&lt;/foreign-keys&gt;&lt;ref-type name="Journal Article"&gt;17&lt;/ref-type&gt;&lt;contributors&gt;&lt;authors&gt;&lt;author&gt;Barmentloo, Lotte M&lt;/author&gt;&lt;author&gt;Olij, Branko F&lt;/author&gt;&lt;author&gt;Erasmus, Vicki&lt;/author&gt;&lt;author&gt;Smilde, Dini&lt;/author&gt;&lt;author&gt;Schoon, Yvonne&lt;/author&gt;&lt;author&gt;Polinder, Suzanne&lt;/author&gt;&lt;/authors&gt;&lt;/contributors&gt;&lt;titles&gt;&lt;title&gt;Personal preferences of participation in fall prevention programmes: a descriptive study&lt;/title&gt;&lt;secondary-title&gt;BMC geriatrics&lt;/secondary-title&gt;&lt;/titles&gt;&lt;periodical&gt;&lt;full-title&gt;BMC Geriatrics&lt;/full-title&gt;&lt;/periodical&gt;&lt;pages&gt;1-12&lt;/pages&gt;&lt;volume&gt;20&lt;/volume&gt;&lt;number&gt;1&lt;/number&gt;&lt;dates&gt;&lt;year&gt;2020&lt;/year&gt;&lt;/dates&gt;&lt;isbn&gt;1471-2318&lt;/isbn&gt;&lt;urls&gt;&lt;/urls&gt;&lt;/record&gt;&lt;/Cite&gt;&lt;/EndNote&gt;</w:instrText>
      </w:r>
      <w:r w:rsidRPr="004C78D8">
        <w:fldChar w:fldCharType="separate"/>
      </w:r>
      <w:r w:rsidR="00C630FC" w:rsidRPr="004C78D8">
        <w:rPr>
          <w:noProof/>
        </w:rPr>
        <w:t>[204]</w:t>
      </w:r>
      <w:r w:rsidRPr="004C78D8">
        <w:fldChar w:fldCharType="end"/>
      </w:r>
      <w:r w:rsidRPr="004C78D8">
        <w:t xml:space="preserve">. Importantly, the group </w:t>
      </w:r>
      <w:r w:rsidR="00CC3FCF" w:rsidRPr="004C78D8">
        <w:t>setting</w:t>
      </w:r>
      <w:r w:rsidRPr="004C78D8">
        <w:t xml:space="preserve"> may be less preferred by marginalised social groups (theme [3-18]); alternative intervention types, such as home-based digital falls prevention exercise taken up at home </w:t>
      </w:r>
      <w:r w:rsidRPr="004C78D8">
        <w:fldChar w:fldCharType="begin"/>
      </w:r>
      <w:r w:rsidR="00C630FC" w:rsidRPr="004C78D8">
        <w:instrText xml:space="preserve"> ADDIN EN.CITE &lt;EndNote&gt;&lt;Cite&gt;&lt;Author&gt;Stanmore&lt;/Author&gt;&lt;Year&gt;2019&lt;/Year&gt;&lt;RecNum&gt;284&lt;/RecNum&gt;&lt;DisplayText&gt;[205]&lt;/DisplayText&gt;&lt;record&gt;&lt;rec-number&gt;284&lt;/rec-number&gt;&lt;foreign-keys&gt;&lt;key app="EN" db-id="tdtrdw9aepptzbefsat599syza29sxsd2wsp" timestamp="1611700035"&gt;284&lt;/key&gt;&lt;/foreign-keys&gt;&lt;ref-type name="Journal Article"&gt;17&lt;/ref-type&gt;&lt;contributors&gt;&lt;authors&gt;&lt;author&gt;Stanmore, Emma K&lt;/author&gt;&lt;author&gt;Mavroeidi, Alexandra&lt;/author&gt;&lt;author&gt;de Jong, Lex D&lt;/author&gt;&lt;author&gt;Skelton, Dawn A&lt;/author&gt;&lt;author&gt;Sutton, Chris J&lt;/author&gt;&lt;author&gt;Benedetto, Valerio&lt;/author&gt;&lt;author&gt;Munford, Luke A&lt;/author&gt;&lt;author&gt;Meekes, Wytske&lt;/author&gt;&lt;author&gt;Bell, Vicky&lt;/author&gt;&lt;author&gt;Todd, Chris&lt;/author&gt;&lt;/authors&gt;&lt;/contributors&gt;&lt;titles&gt;&lt;title&gt;The effectiveness and cost-effectiveness of strength and balance Exergames to reduce falls risk for people aged 55 years and older in UK assisted living facilities: a multi-centre, cluster randomised controlled trial&lt;/title&gt;&lt;secondary-title&gt;BMC medicine&lt;/secondary-title&gt;&lt;/titles&gt;&lt;periodical&gt;&lt;full-title&gt;BMC medicine&lt;/full-title&gt;&lt;/periodical&gt;&lt;pages&gt;1-14&lt;/pages&gt;&lt;volume&gt;17&lt;/volume&gt;&lt;number&gt;1&lt;/number&gt;&lt;dates&gt;&lt;year&gt;2019&lt;/year&gt;&lt;/dates&gt;&lt;isbn&gt;1741-7015&lt;/isbn&gt;&lt;urls&gt;&lt;/urls&gt;&lt;/record&gt;&lt;/Cite&gt;&lt;/EndNote&gt;</w:instrText>
      </w:r>
      <w:r w:rsidRPr="004C78D8">
        <w:fldChar w:fldCharType="separate"/>
      </w:r>
      <w:r w:rsidR="00C630FC" w:rsidRPr="004C78D8">
        <w:rPr>
          <w:noProof/>
        </w:rPr>
        <w:t>[205]</w:t>
      </w:r>
      <w:r w:rsidRPr="004C78D8">
        <w:fldChar w:fldCharType="end"/>
      </w:r>
      <w:r w:rsidRPr="004C78D8">
        <w:t>, may be considered.</w:t>
      </w:r>
    </w:p>
    <w:p w14:paraId="195B8DC5" w14:textId="5BCE71E9" w:rsidR="008C481D" w:rsidRPr="004C78D8" w:rsidRDefault="008C481D" w:rsidP="00FB7C1F">
      <w:r w:rsidRPr="004C78D8">
        <w:t xml:space="preserve">The importance of the second cross-component factor, professional competence, is affirmed by CG161 which recommends that all healthcare professionals regularly dealing with older persons “develop and maintain basic professional competence in falls assessment and prevention” (1.1.10.1) </w:t>
      </w:r>
      <w:r w:rsidRPr="004C78D8">
        <w:fldChar w:fldCharType="begin"/>
      </w:r>
      <w:r w:rsidR="00F255A9"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Pr="004C78D8">
        <w:fldChar w:fldCharType="separate"/>
      </w:r>
      <w:r w:rsidR="00F255A9" w:rsidRPr="004C78D8">
        <w:rPr>
          <w:noProof/>
        </w:rPr>
        <w:t>[13]</w:t>
      </w:r>
      <w:r w:rsidRPr="004C78D8">
        <w:fldChar w:fldCharType="end"/>
      </w:r>
      <w:r w:rsidRPr="004C78D8">
        <w:t xml:space="preserve">. Yet older participants perceived external constraints placed even on competent professionals, including time </w:t>
      </w:r>
      <w:r w:rsidRPr="004C78D8">
        <w:lastRenderedPageBreak/>
        <w:t xml:space="preserve">constraints. This corroborates the findings from a previous survey of English GPs which specified insufficient consultation time and lack of allied health professionals in the community as the most prominent barriers to implementing CG161 </w:t>
      </w:r>
      <w:r w:rsidRPr="004C78D8">
        <w:fldChar w:fldCharType="begin"/>
      </w:r>
      <w:r w:rsidR="00513646" w:rsidRPr="004C78D8">
        <w:instrText xml:space="preserve"> ADDIN EN.CITE &lt;EndNote&gt;&lt;Cite&gt;&lt;Author&gt;McIntyre&lt;/Author&gt;&lt;Year&gt;2019&lt;/Year&gt;&lt;RecNum&gt;93&lt;/RecNum&gt;&lt;DisplayText&gt;[139]&lt;/DisplayText&gt;&lt;record&gt;&lt;rec-number&gt;93&lt;/rec-number&gt;&lt;foreign-keys&gt;&lt;key app="EN" db-id="tdtrdw9aepptzbefsat599syza29sxsd2wsp" timestamp="1598190140"&gt;93&lt;/key&gt;&lt;/foreign-keys&gt;&lt;ref-type name="Journal Article"&gt;17&lt;/ref-type&gt;&lt;contributors&gt;&lt;authors&gt;&lt;author&gt;McIntyre, Anne&lt;/author&gt;&lt;author&gt;Mackenzie, Lynette&lt;/author&gt;&lt;author&gt;Harvey, Michele&lt;/author&gt;&lt;/authors&gt;&lt;/contributors&gt;&lt;titles&gt;&lt;title&gt;Engagement of general practitioners in falls prevention and referral to occupational therapists&lt;/title&gt;&lt;secondary-title&gt;British journal of occupational therapy&lt;/secondary-title&gt;&lt;/titles&gt;&lt;periodical&gt;&lt;full-title&gt;British journal of occupational therapy&lt;/full-title&gt;&lt;/periodical&gt;&lt;pages&gt;71-79&lt;/pages&gt;&lt;volume&gt;82&lt;/volume&gt;&lt;number&gt;2&lt;/number&gt;&lt;dates&gt;&lt;year&gt;2019&lt;/year&gt;&lt;/dates&gt;&lt;isbn&gt;0308-0226&lt;/isbn&gt;&lt;urls&gt;&lt;/urls&gt;&lt;/record&gt;&lt;/Cite&gt;&lt;/EndNote&gt;</w:instrText>
      </w:r>
      <w:r w:rsidRPr="004C78D8">
        <w:fldChar w:fldCharType="separate"/>
      </w:r>
      <w:r w:rsidR="00513646" w:rsidRPr="004C78D8">
        <w:rPr>
          <w:noProof/>
        </w:rPr>
        <w:t>[139]</w:t>
      </w:r>
      <w:r w:rsidRPr="004C78D8">
        <w:fldChar w:fldCharType="end"/>
      </w:r>
      <w:r w:rsidRPr="004C78D8">
        <w:t xml:space="preserve">. Therefore, commissioning should comprehensively account for care system bottlenecks and carefully cost the solutions for their removal. One economic model, for example, incorporated the cost of a citywide falls risk screening that was assumed to operate like a cancer screening programme </w:t>
      </w:r>
      <w:r w:rsidRPr="004C78D8">
        <w:fldChar w:fldCharType="begin"/>
      </w:r>
      <w:r w:rsidR="00C630FC" w:rsidRPr="004C78D8">
        <w:instrText xml:space="preserve"> ADDIN EN.CITE &lt;EndNote&gt;&lt;Cite&gt;&lt;Author&gt;Wilson&lt;/Author&gt;&lt;Year&gt;2017&lt;/Year&gt;&lt;RecNum&gt;278&lt;/RecNum&gt;&lt;DisplayText&gt;[206]&lt;/DisplayText&gt;&lt;record&gt;&lt;rec-number&gt;278&lt;/rec-number&gt;&lt;foreign-keys&gt;&lt;key app="EN" db-id="tdtrdw9aepptzbefsat599syza29sxsd2wsp" timestamp="1611698655"&gt;278&lt;/key&gt;&lt;/foreign-keys&gt;&lt;ref-type name="Journal Article"&gt;17&lt;/ref-type&gt;&lt;contributors&gt;&lt;authors&gt;&lt;author&gt;Wilson, Nick&lt;/author&gt;&lt;author&gt;Kvizhinadze, Giorgi&lt;/author&gt;&lt;author&gt;Pega, Frank&lt;/author&gt;&lt;author&gt;Nair, Nisha&lt;/author&gt;&lt;author&gt;Blakely, Tony&lt;/author&gt;&lt;/authors&gt;&lt;/contributors&gt;&lt;titles&gt;&lt;title&gt;Home modification to reduce falls at a health district level: Modeling health gain, health inequalities and health costs&lt;/title&gt;&lt;secondary-title&gt;PloS one&lt;/secondary-title&gt;&lt;/titles&gt;&lt;periodical&gt;&lt;full-title&gt;PLoS One&lt;/full-title&gt;&lt;abbr-1&gt;PloS one&lt;/abbr-1&gt;&lt;/periodical&gt;&lt;pages&gt;e0184538&lt;/pages&gt;&lt;volume&gt;12&lt;/volume&gt;&lt;number&gt;9&lt;/number&gt;&lt;dates&gt;&lt;year&gt;2017&lt;/year&gt;&lt;/dates&gt;&lt;isbn&gt;1932-6203&lt;/isbn&gt;&lt;urls&gt;&lt;/urls&gt;&lt;/record&gt;&lt;/Cite&gt;&lt;/EndNote&gt;</w:instrText>
      </w:r>
      <w:r w:rsidRPr="004C78D8">
        <w:fldChar w:fldCharType="separate"/>
      </w:r>
      <w:r w:rsidR="00C630FC" w:rsidRPr="004C78D8">
        <w:rPr>
          <w:noProof/>
        </w:rPr>
        <w:t>[206]</w:t>
      </w:r>
      <w:r w:rsidRPr="004C78D8">
        <w:fldChar w:fldCharType="end"/>
      </w:r>
      <w:r w:rsidRPr="004C78D8">
        <w:t xml:space="preserve">. Costs that are fixed/sunk would interact with uptake rate to produce worse cost-effectiveness if uptake is inadequate </w:t>
      </w:r>
      <w:r w:rsidRPr="004C78D8">
        <w:fldChar w:fldCharType="begin"/>
      </w:r>
      <w:r w:rsidR="00C630FC" w:rsidRPr="004C78D8">
        <w:instrText xml:space="preserve"> ADDIN EN.CITE &lt;EndNote&gt;&lt;Cite&gt;&lt;Author&gt;Comans&lt;/Author&gt;&lt;Year&gt;2009&lt;/Year&gt;&lt;RecNum&gt;376&lt;/RecNum&gt;&lt;DisplayText&gt;[207]&lt;/DisplayText&gt;&lt;record&gt;&lt;rec-number&gt;376&lt;/rec-number&gt;&lt;foreign-keys&gt;&lt;key app="EN" db-id="tdtrdw9aepptzbefsat599syza29sxsd2wsp" timestamp="1612625082"&gt;376&lt;/key&gt;&lt;/foreign-keys&gt;&lt;ref-type name="Journal Article"&gt;17&lt;/ref-type&gt;&lt;contributors&gt;&lt;authors&gt;&lt;author&gt;Comans, Tracy&lt;/author&gt;&lt;author&gt;Brauer, Sandy&lt;/author&gt;&lt;author&gt;Haines, Terry&lt;/author&gt;&lt;/authors&gt;&lt;/contributors&gt;&lt;titles&gt;&lt;title&gt;A break-even analysis of a community rehabilitation falls prevention service&lt;/title&gt;&lt;secondary-title&gt;Australian and New Zealand journal of public health&lt;/secondary-title&gt;&lt;/titles&gt;&lt;periodical&gt;&lt;full-title&gt;Australian and New Zealand journal of public health&lt;/full-title&gt;&lt;/periodical&gt;&lt;pages&gt;240-5&lt;/pages&gt;&lt;volume&gt;33&lt;/volume&gt;&lt;number&gt;3&lt;/number&gt;&lt;section&gt;Comans, Tracy. The Community Rehabilitation Service, Southside Health Service District and School of Health and Rehabilitation Sciences, University of Queensland, Queensland, Australia. tracy.comans@uqconnect.edu.au&lt;/section&gt;&lt;keywords&gt;&lt;keyword&gt;*Accidental Falls/pc [Prevention &amp;amp; Control]&lt;/keyword&gt;&lt;keyword&gt;Aged&lt;/keyword&gt;&lt;keyword&gt;Aged, 80 and over&lt;/keyword&gt;&lt;keyword&gt;Cost-Benefit Analysis&lt;/keyword&gt;&lt;keyword&gt;Efficiency, Organizational/ec [Economics]&lt;/keyword&gt;&lt;keyword&gt;*Efficiency, Organizational&lt;/keyword&gt;&lt;keyword&gt;Female&lt;/keyword&gt;&lt;keyword&gt;Humans&lt;/keyword&gt;&lt;keyword&gt;Interdisciplinary Communication&lt;/keyword&gt;&lt;keyword&gt;Male&lt;/keyword&gt;&lt;keyword&gt;Models, Theoretical&lt;/keyword&gt;&lt;keyword&gt;*Preventive Health Services/st [Standards]&lt;/keyword&gt;&lt;keyword&gt;*Rehabilitation Centers&lt;/keyword&gt;&lt;/keywords&gt;&lt;dates&gt;&lt;year&gt;2009&lt;/year&gt;&lt;/dates&gt;&lt;pub-location&gt;Australia&lt;/pub-location&gt;&lt;isbn&gt;1326-0200&lt;/isbn&gt;&lt;urls&gt;&lt;related-urls&gt;&lt;url&gt;http://ovidsp.ovid.com/ovidweb.cgi?T=JS&amp;amp;PAGE=reference&amp;amp;D=med6&amp;amp;NEWS=N&amp;amp;AN=19630843&lt;/url&gt;&lt;/related-urls&gt;&lt;/urls&gt;&lt;electronic-resource-num&gt;https://dx.doi.org/10.1111/j.1753-6405.2009.00382.x&lt;/electronic-resource-num&gt;&lt;remote-database-name&gt;Medline&lt;/remote-database-name&gt;&lt;/record&gt;&lt;/Cite&gt;&lt;/EndNote&gt;</w:instrText>
      </w:r>
      <w:r w:rsidRPr="004C78D8">
        <w:fldChar w:fldCharType="separate"/>
      </w:r>
      <w:r w:rsidR="00C630FC" w:rsidRPr="004C78D8">
        <w:rPr>
          <w:noProof/>
        </w:rPr>
        <w:t>[207]</w:t>
      </w:r>
      <w:r w:rsidRPr="004C78D8">
        <w:fldChar w:fldCharType="end"/>
      </w:r>
      <w:r w:rsidR="00644757" w:rsidRPr="004C78D8">
        <w:t>,</w:t>
      </w:r>
      <w:r w:rsidRPr="004C78D8">
        <w:t xml:space="preserve"> and economies of scale if uptake is increased </w:t>
      </w:r>
      <w:r w:rsidRPr="004C78D8">
        <w:fldChar w:fldCharType="begin"/>
      </w:r>
      <w:r w:rsidR="00C630FC" w:rsidRPr="004C78D8">
        <w:instrText xml:space="preserve"> ADDIN EN.CITE &lt;EndNote&gt;&lt;Cite&gt;&lt;Author&gt;Wilson&lt;/Author&gt;&lt;Year&gt;2017&lt;/Year&gt;&lt;RecNum&gt;278&lt;/RecNum&gt;&lt;DisplayText&gt;[206]&lt;/DisplayText&gt;&lt;record&gt;&lt;rec-number&gt;278&lt;/rec-number&gt;&lt;foreign-keys&gt;&lt;key app="EN" db-id="tdtrdw9aepptzbefsat599syza29sxsd2wsp" timestamp="1611698655"&gt;278&lt;/key&gt;&lt;/foreign-keys&gt;&lt;ref-type name="Journal Article"&gt;17&lt;/ref-type&gt;&lt;contributors&gt;&lt;authors&gt;&lt;author&gt;Wilson, Nick&lt;/author&gt;&lt;author&gt;Kvizhinadze, Giorgi&lt;/author&gt;&lt;author&gt;Pega, Frank&lt;/author&gt;&lt;author&gt;Nair, Nisha&lt;/author&gt;&lt;author&gt;Blakely, Tony&lt;/author&gt;&lt;/authors&gt;&lt;/contributors&gt;&lt;titles&gt;&lt;title&gt;Home modification to reduce falls at a health district level: Modeling health gain, health inequalities and health costs&lt;/title&gt;&lt;secondary-title&gt;PloS one&lt;/secondary-title&gt;&lt;/titles&gt;&lt;periodical&gt;&lt;full-title&gt;PLoS One&lt;/full-title&gt;&lt;abbr-1&gt;PloS one&lt;/abbr-1&gt;&lt;/periodical&gt;&lt;pages&gt;e0184538&lt;/pages&gt;&lt;volume&gt;12&lt;/volume&gt;&lt;number&gt;9&lt;/number&gt;&lt;dates&gt;&lt;year&gt;2017&lt;/year&gt;&lt;/dates&gt;&lt;isbn&gt;1932-6203&lt;/isbn&gt;&lt;urls&gt;&lt;/urls&gt;&lt;/record&gt;&lt;/Cite&gt;&lt;/EndNote&gt;</w:instrText>
      </w:r>
      <w:r w:rsidRPr="004C78D8">
        <w:fldChar w:fldCharType="separate"/>
      </w:r>
      <w:r w:rsidR="00C630FC" w:rsidRPr="004C78D8">
        <w:rPr>
          <w:noProof/>
        </w:rPr>
        <w:t>[206]</w:t>
      </w:r>
      <w:r w:rsidRPr="004C78D8">
        <w:fldChar w:fldCharType="end"/>
      </w:r>
      <w:r w:rsidRPr="004C78D8">
        <w:t>. Hence, models should accurately portray the cost structure (fixed vs. variable) to characterise the impact of implementation quality on cost-effectiveness. Aggregate population-level health and economic impact</w:t>
      </w:r>
      <w:r w:rsidR="00855AE6" w:rsidRPr="004C78D8">
        <w:t>s</w:t>
      </w:r>
      <w:r w:rsidRPr="004C78D8">
        <w:t xml:space="preserve"> should </w:t>
      </w:r>
      <w:r w:rsidR="00667ECC" w:rsidRPr="004C78D8">
        <w:t xml:space="preserve">also </w:t>
      </w:r>
      <w:r w:rsidRPr="004C78D8">
        <w:t>be presented by models to quantify the full impact</w:t>
      </w:r>
      <w:r w:rsidR="00855AE6" w:rsidRPr="004C78D8">
        <w:t>s</w:t>
      </w:r>
      <w:r w:rsidRPr="004C78D8">
        <w:t xml:space="preserve"> of implementation strategies</w:t>
      </w:r>
      <w:r w:rsidR="00855AE6" w:rsidRPr="004C78D8">
        <w:t xml:space="preserve"> as recommended by NICE PMG9</w:t>
      </w:r>
      <w:r w:rsidRPr="004C78D8">
        <w:t xml:space="preserve"> (recommendations 5.12.3) </w:t>
      </w:r>
      <w:r w:rsidRPr="004C78D8">
        <w:fldChar w:fldCharType="begin"/>
      </w:r>
      <w:r w:rsidR="00513646" w:rsidRPr="004C78D8">
        <w:instrText xml:space="preserve"> ADDIN EN.CITE &lt;EndNote&gt;&lt;Cite&gt;&lt;Author&gt;National Institute for Health and Care Excellence&lt;/Author&gt;&lt;Year&gt;2013&lt;/Year&gt;&lt;RecNum&gt;411&lt;/RecNum&gt;&lt;DisplayText&gt;[154]&lt;/DisplayText&gt;&lt;record&gt;&lt;rec-number&gt;411&lt;/rec-number&gt;&lt;foreign-keys&gt;&lt;key app="EN" db-id="tdtrdw9aepptzbefsat599syza29sxsd2wsp" timestamp="1615809068"&gt;411&lt;/key&gt;&lt;/foreign-keys&gt;&lt;ref-type name="Journal Article"&gt;17&lt;/ref-type&gt;&lt;contributors&gt;&lt;authors&gt;&lt;author&gt;National Institute for Health and Care Excellence,&lt;/author&gt;&lt;/authors&gt;&lt;/contributors&gt;&lt;titles&gt;&lt;title&gt;Guide to the methods of technology appraisal 2013&lt;/title&gt;&lt;/titles&gt;&lt;dates&gt;&lt;year&gt;2013&lt;/year&gt;&lt;/dates&gt;&lt;urls&gt;&lt;related-urls&gt;&lt;url&gt;nice.org.uk/process/pmg9&lt;/url&gt;&lt;/related-urls&gt;&lt;/urls&gt;&lt;/record&gt;&lt;/Cite&gt;&lt;/EndNote&gt;</w:instrText>
      </w:r>
      <w:r w:rsidRPr="004C78D8">
        <w:fldChar w:fldCharType="separate"/>
      </w:r>
      <w:r w:rsidR="00513646" w:rsidRPr="004C78D8">
        <w:rPr>
          <w:noProof/>
        </w:rPr>
        <w:t>[154]</w:t>
      </w:r>
      <w:r w:rsidRPr="004C78D8">
        <w:fldChar w:fldCharType="end"/>
      </w:r>
      <w:r w:rsidRPr="004C78D8">
        <w:t xml:space="preserve">. </w:t>
      </w:r>
    </w:p>
    <w:p w14:paraId="63F9FE32" w14:textId="6E95A6E6" w:rsidR="00667ECC" w:rsidRPr="004C78D8" w:rsidRDefault="00667ECC" w:rsidP="00FB7C1F">
      <w:r w:rsidRPr="004C78D8">
        <w:t xml:space="preserve">Less emphasised in CG161 but visible in the qualitative data (e.g., theme [4-16]) is the role of nonclinical professionals and volunteers who can substantially influence both supply and demand given their proximity to older persons in the community </w:t>
      </w:r>
      <w:r w:rsidRPr="004C78D8">
        <w:fldChar w:fldCharType="begin"/>
      </w:r>
      <w:r w:rsidR="00C630FC" w:rsidRPr="004C78D8">
        <w:instrText xml:space="preserve"> ADDIN EN.CITE &lt;EndNote&gt;&lt;Cite&gt;&lt;Author&gt;Markle-Reid&lt;/Author&gt;&lt;Year&gt;2015&lt;/Year&gt;&lt;RecNum&gt;562&lt;/RecNum&gt;&lt;DisplayText&gt;[208]&lt;/DisplayText&gt;&lt;record&gt;&lt;rec-number&gt;562&lt;/rec-number&gt;&lt;foreign-keys&gt;&lt;key app="EN" db-id="tdtrdw9aepptzbefsat599syza29sxsd2wsp" timestamp="1619704847"&gt;562&lt;/key&gt;&lt;/foreign-keys&gt;&lt;ref-type name="Journal Article"&gt;17&lt;/ref-type&gt;&lt;contributors&gt;&lt;authors&gt;&lt;author&gt;Markle-Reid, Maureen F&lt;/author&gt;&lt;author&gt;Dykeman, Catherine S&lt;/author&gt;&lt;author&gt;Reimer, Holly D&lt;/author&gt;&lt;author&gt;Boratto, Lorna J&lt;/author&gt;&lt;author&gt;Goodall, Carol E&lt;/author&gt;&lt;author&gt;McGugan, Jennifer L&lt;/author&gt;&lt;/authors&gt;&lt;/contributors&gt;&lt;titles&gt;&lt;title&gt;Engaging community organizations in falls prevention for older adults: moving from research to action&lt;/title&gt;&lt;secondary-title&gt;Can J Public Health&lt;/secondary-title&gt;&lt;/titles&gt;&lt;periodical&gt;&lt;full-title&gt;Can J Public Health&lt;/full-title&gt;&lt;/periodical&gt;&lt;pages&gt;189-196&lt;/pages&gt;&lt;volume&gt;106&lt;/volume&gt;&lt;number&gt;4&lt;/number&gt;&lt;dates&gt;&lt;year&gt;2015&lt;/year&gt;&lt;/dates&gt;&lt;isbn&gt;1920-7476&lt;/isbn&gt;&lt;urls&gt;&lt;/urls&gt;&lt;/record&gt;&lt;/Cite&gt;&lt;/EndNote&gt;</w:instrText>
      </w:r>
      <w:r w:rsidRPr="004C78D8">
        <w:fldChar w:fldCharType="separate"/>
      </w:r>
      <w:r w:rsidR="00C630FC" w:rsidRPr="004C78D8">
        <w:rPr>
          <w:noProof/>
        </w:rPr>
        <w:t>[208]</w:t>
      </w:r>
      <w:r w:rsidRPr="004C78D8">
        <w:fldChar w:fldCharType="end"/>
      </w:r>
      <w:r w:rsidRPr="004C78D8">
        <w:t xml:space="preserve">: a pilot falls prevention scheme in Sheffield, for example, found that falls risk screening conducted at local community groups and lunch clubs significantly increased uptake </w:t>
      </w:r>
      <w:r w:rsidRPr="004C78D8">
        <w:fldChar w:fldCharType="begin"/>
      </w:r>
      <w:r w:rsidR="00C630FC" w:rsidRPr="004C78D8">
        <w:instrText xml:space="preserve"> ADDIN EN.CITE &lt;EndNote&gt;&lt;Cite&gt;&lt;Author&gt;Sheffield Teaching Hospitals&lt;/Author&gt;&lt;Year&gt;2019&lt;/Year&gt;&lt;RecNum&gt;552&lt;/RecNum&gt;&lt;DisplayText&gt;[209]&lt;/DisplayText&gt;&lt;record&gt;&lt;rec-number&gt;552&lt;/rec-number&gt;&lt;foreign-keys&gt;&lt;key app="EN" db-id="tdtrdw9aepptzbefsat599syza29sxsd2wsp" timestamp="1619256769"&gt;552&lt;/key&gt;&lt;/foreign-keys&gt;&lt;ref-type name="Report"&gt;27&lt;/ref-type&gt;&lt;contributors&gt;&lt;authors&gt;&lt;author&gt;Sheffield Teaching Hospitals,&lt;/author&gt;&lt;/authors&gt;&lt;/contributors&gt;&lt;titles&gt;&lt;title&gt;Perfect Patient Pathway Test Bed Overview Report&lt;/title&gt;&lt;/titles&gt;&lt;dates&gt;&lt;year&gt;2019&lt;/year&gt;&lt;/dates&gt;&lt;publisher&gt;Sheffield Teaching Hospitals NHS Foundation Trust&lt;/publisher&gt;&lt;urls&gt;&lt;related-urls&gt;&lt;url&gt;www.ppptestbed.nhs.uk&lt;/url&gt;&lt;/related-urls&gt;&lt;/urls&gt;&lt;/record&gt;&lt;/Cite&gt;&lt;/EndNote&gt;</w:instrText>
      </w:r>
      <w:r w:rsidRPr="004C78D8">
        <w:fldChar w:fldCharType="separate"/>
      </w:r>
      <w:r w:rsidR="00C630FC" w:rsidRPr="004C78D8">
        <w:rPr>
          <w:noProof/>
        </w:rPr>
        <w:t>[209]</w:t>
      </w:r>
      <w:r w:rsidRPr="004C78D8">
        <w:fldChar w:fldCharType="end"/>
      </w:r>
      <w:r w:rsidRPr="004C78D8">
        <w:t xml:space="preserve">. It is hence critical to value the nonclinical and volunteer contributions; and value of implementation analysis offers a heuristic method to that end </w:t>
      </w:r>
      <w:r w:rsidRPr="004C78D8">
        <w:fldChar w:fldCharType="begin"/>
      </w:r>
      <w:r w:rsidR="00C630FC" w:rsidRPr="004C78D8">
        <w:instrText xml:space="preserve"> ADDIN EN.CITE &lt;EndNote&gt;&lt;Cite&gt;&lt;Author&gt;Fenwick&lt;/Author&gt;&lt;Year&gt;2008&lt;/Year&gt;&lt;RecNum&gt;8&lt;/RecNum&gt;&lt;DisplayText&gt;[199]&lt;/DisplayText&gt;&lt;record&gt;&lt;rec-number&gt;8&lt;/rec-number&gt;&lt;foreign-keys&gt;&lt;key app="EN" db-id="tdtrdw9aepptzbefsat599syza29sxsd2wsp" timestamp="1596618759"&gt;8&lt;/key&gt;&lt;/foreign-keys&gt;&lt;ref-type name="Journal Article"&gt;17&lt;/ref-type&gt;&lt;contributors&gt;&lt;authors&gt;&lt;author&gt;Fenwick, Elisabeth&lt;/author&gt;&lt;author&gt;Claxton, Karl&lt;/author&gt;&lt;author&gt;Sculpher, Mark&lt;/author&gt;&lt;/authors&gt;&lt;/contributors&gt;&lt;titles&gt;&lt;title&gt;The value of implementation and the value of information: combined and uneven development&lt;/title&gt;&lt;secondary-title&gt;Medical Decision Making&lt;/secondary-title&gt;&lt;/titles&gt;&lt;periodical&gt;&lt;full-title&gt;Medical Decision Making&lt;/full-title&gt;&lt;/periodical&gt;&lt;pages&gt;21-32&lt;/pages&gt;&lt;volume&gt;28&lt;/volume&gt;&lt;number&gt;1&lt;/number&gt;&lt;dates&gt;&lt;year&gt;2008&lt;/year&gt;&lt;/dates&gt;&lt;isbn&gt;0272-989X&lt;/isbn&gt;&lt;urls&gt;&lt;/urls&gt;&lt;/record&gt;&lt;/Cite&gt;&lt;/EndNote&gt;</w:instrText>
      </w:r>
      <w:r w:rsidRPr="004C78D8">
        <w:fldChar w:fldCharType="separate"/>
      </w:r>
      <w:r w:rsidR="00C630FC" w:rsidRPr="004C78D8">
        <w:rPr>
          <w:noProof/>
        </w:rPr>
        <w:t>[199]</w:t>
      </w:r>
      <w:r w:rsidRPr="004C78D8">
        <w:fldChar w:fldCharType="end"/>
      </w:r>
      <w:r w:rsidRPr="004C78D8">
        <w:t>. The monetary value of improved implementation can be combined with qualitative data on demand-side influences to devise a cost-effective implementation strategy.</w:t>
      </w:r>
    </w:p>
    <w:p w14:paraId="2F1F2116" w14:textId="735540BE" w:rsidR="00E71665" w:rsidRPr="004C78D8" w:rsidRDefault="00667ECC" w:rsidP="00FB7C1F">
      <w:r w:rsidRPr="004C78D8">
        <w:t>The method</w:t>
      </w:r>
      <w:r w:rsidR="00011BA4" w:rsidRPr="004C78D8">
        <w:t>ological approach</w:t>
      </w:r>
      <w:r w:rsidRPr="004C78D8">
        <w:t xml:space="preserve"> in this chapter </w:t>
      </w:r>
      <w:r w:rsidR="00011BA4" w:rsidRPr="004C78D8">
        <w:t>is highly relevant outside the falls prevention context</w:t>
      </w:r>
      <w:r w:rsidRPr="004C78D8">
        <w:t xml:space="preserve">. </w:t>
      </w:r>
      <w:r w:rsidR="00503A9B" w:rsidRPr="004C78D8">
        <w:t>G</w:t>
      </w:r>
      <w:r w:rsidR="00E71665" w:rsidRPr="004C78D8">
        <w:t xml:space="preserve">eriatric public health interventions seek to implement person-centred care, handle </w:t>
      </w:r>
      <w:r w:rsidR="00F228C4" w:rsidRPr="004C78D8">
        <w:t xml:space="preserve">population-level </w:t>
      </w:r>
      <w:r w:rsidR="00E71665" w:rsidRPr="004C78D8">
        <w:t>heterogeneity, achieve high integration, and devise coherent implementation strategies</w:t>
      </w:r>
      <w:r w:rsidR="00503A9B" w:rsidRPr="004C78D8">
        <w:t xml:space="preserve"> (Section 1.3.2)</w:t>
      </w:r>
      <w:r w:rsidR="00E71665" w:rsidRPr="004C78D8">
        <w:t xml:space="preserve">. The qualitative research in this chapter </w:t>
      </w:r>
      <w:r w:rsidR="00F228C4" w:rsidRPr="004C78D8">
        <w:t>charted</w:t>
      </w:r>
      <w:r w:rsidR="00E71665" w:rsidRPr="004C78D8">
        <w:t xml:space="preserve"> </w:t>
      </w:r>
      <w:r w:rsidR="00F228C4" w:rsidRPr="004C78D8">
        <w:t xml:space="preserve">older persons’ views on the importance of receiving holistic person-centred care (e.g., theme [1-6]), accounting for vulnerable population subgroups, integrating clinical falls prevention services with environmental and communitarian approaches, and identifying </w:t>
      </w:r>
      <w:r w:rsidR="00011BA4" w:rsidRPr="004C78D8">
        <w:t>key facilitators and barriers to implementation. Therefore, the same framework analysis could inform the commissioning and economic modelling of further geriatric public health interventions</w:t>
      </w:r>
      <w:r w:rsidR="00181166" w:rsidRPr="004C78D8">
        <w:t>. Indeed, the CICI-HNA and the public health economic modelling categories adopted by frameworks (II) and (III) and applicable to all age groups.</w:t>
      </w:r>
    </w:p>
    <w:p w14:paraId="079A91F6" w14:textId="4BFE426A" w:rsidR="00262C22" w:rsidRPr="004C78D8" w:rsidRDefault="00955908" w:rsidP="00FB7C1F">
      <w:pPr>
        <w:spacing w:line="276" w:lineRule="auto"/>
      </w:pPr>
      <w:r w:rsidRPr="004C78D8">
        <w:t>A key strength of th</w:t>
      </w:r>
      <w:r w:rsidR="00663A78" w:rsidRPr="004C78D8">
        <w:t xml:space="preserve">e qualitative </w:t>
      </w:r>
      <w:r w:rsidRPr="004C78D8">
        <w:t xml:space="preserve">study </w:t>
      </w:r>
      <w:r w:rsidR="00663A78" w:rsidRPr="004C78D8">
        <w:t xml:space="preserve">in this chapter </w:t>
      </w:r>
      <w:r w:rsidRPr="004C78D8">
        <w:t>is t</w:t>
      </w:r>
      <w:r w:rsidR="00262C22" w:rsidRPr="004C78D8">
        <w:t xml:space="preserve">he simultaneous coverage of three frameworks – </w:t>
      </w:r>
      <w:r w:rsidRPr="004C78D8">
        <w:t xml:space="preserve">i.e., </w:t>
      </w:r>
      <w:r w:rsidR="00262C22" w:rsidRPr="004C78D8">
        <w:t>cross-component factors, intervention-related causal mechanisms</w:t>
      </w:r>
      <w:r w:rsidRPr="004C78D8">
        <w:t>,</w:t>
      </w:r>
      <w:r w:rsidR="00262C22" w:rsidRPr="004C78D8">
        <w:t xml:space="preserve"> and public health modelling challenges. </w:t>
      </w:r>
      <w:r w:rsidR="00663A78" w:rsidRPr="004C78D8">
        <w:t xml:space="preserve">As mentioned, qualitative research and economic evaluation are typically siloed with no interdisciplinary learning </w:t>
      </w:r>
      <w:r w:rsidR="00663A78" w:rsidRPr="004C78D8">
        <w:fldChar w:fldCharType="begin">
          <w:fldData xml:space="preserve">PEVuZE5vdGU+PENpdGU+PEF1dGhvcj5MYW1iPC9BdXRob3I+PFllYXI+MjAxODwvWWVhcj48UmVj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</w:fldData>
        </w:fldChar>
      </w:r>
      <w:r w:rsidR="00C630FC" w:rsidRPr="004C78D8">
        <w:instrText xml:space="preserve"> ADDIN EN.CITE </w:instrText>
      </w:r>
      <w:r w:rsidR="00C630FC" w:rsidRPr="004C78D8">
        <w:fldChar w:fldCharType="begin">
          <w:fldData xml:space="preserve">PEVuZE5vdGU+PENpdGU+PEF1dGhvcj5MYW1iPC9BdXRob3I+PFllYXI+MjAxODwvWWVhcj48UmVj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</w:fldData>
        </w:fldChar>
      </w:r>
      <w:r w:rsidR="00C630FC" w:rsidRPr="004C78D8">
        <w:instrText xml:space="preserve"> ADDIN EN.CITE.DATA </w:instrText>
      </w:r>
      <w:r w:rsidR="00C630FC" w:rsidRPr="004C78D8">
        <w:fldChar w:fldCharType="end"/>
      </w:r>
      <w:r w:rsidR="00663A78" w:rsidRPr="004C78D8">
        <w:fldChar w:fldCharType="separate"/>
      </w:r>
      <w:r w:rsidR="00C630FC" w:rsidRPr="004C78D8">
        <w:rPr>
          <w:noProof/>
        </w:rPr>
        <w:t>[146, 193, 194]</w:t>
      </w:r>
      <w:r w:rsidR="00663A78" w:rsidRPr="004C78D8">
        <w:fldChar w:fldCharType="end"/>
      </w:r>
      <w:r w:rsidR="00663A78" w:rsidRPr="004C78D8">
        <w:t>. By contrast, this study explores how qualitative data can directly inform model-based economic evaluation</w:t>
      </w:r>
      <w:r w:rsidR="00262C22" w:rsidRPr="004C78D8">
        <w:t>.</w:t>
      </w:r>
    </w:p>
    <w:p w14:paraId="3E169DC0" w14:textId="4B3AC1D0" w:rsidR="00663A78" w:rsidRPr="004C78D8" w:rsidRDefault="00663A78" w:rsidP="00FB7C1F">
      <w:pPr>
        <w:spacing w:line="276" w:lineRule="auto"/>
      </w:pPr>
      <w:r w:rsidRPr="004C78D8">
        <w:t xml:space="preserve">The study nevertheless has limitations. The purposive sampling could have accounted for social categories such as area-level deprivation, particularly given the importance of social determinants of falls prevention access. The sampling was concentrated around older persons living near the Sheffield city centre, meaning that persons living in rural suburbs were under-represented. Falls prevention service users were recruited mainly from Dance to Health group exercise programme, meaning that other service types were under-represented. Only six participants (22%) reported no current/previous use of services with falls prevention properties, meaning that views of service non-users were under-represented. Moreover, the sampling did not distinguish between service non-users and those who had rejected falls prevention who would have had significantly different views. Finally, informal caregivers’ views could have been elicited given their central role in facilitating falls prevention </w:t>
      </w:r>
      <w:r w:rsidRPr="004C78D8">
        <w:fldChar w:fldCharType="begin"/>
      </w:r>
      <w:r w:rsidR="00C630FC" w:rsidRPr="004C78D8">
        <w:instrText xml:space="preserve"> ADDIN EN.CITE &lt;EndNote&gt;&lt;Cite&gt;&lt;Author&gt;Lach&lt;/Author&gt;&lt;Year&gt;2011&lt;/Year&gt;&lt;RecNum&gt;692&lt;/RecNum&gt;&lt;DisplayText&gt;[210]&lt;/DisplayText&gt;&lt;record&gt;&lt;rec-number&gt;692&lt;/rec-number&gt;&lt;foreign-keys&gt;&lt;key app="EN" db-id="tdtrdw9aepptzbefsat599syza29sxsd2wsp" timestamp="1629823789"&gt;692&lt;/key&gt;&lt;/foreign-keys&gt;&lt;ref-type name="Journal Article"&gt;17&lt;/ref-type&gt;&lt;contributors&gt;&lt;authors&gt;&lt;author&gt;Lach, Helen W&lt;/author&gt;&lt;author&gt;Krampe, Jean&lt;/author&gt;&lt;author&gt;Phongphanngam, Sutthida&lt;/author&gt;&lt;/authors&gt;&lt;/contributors&gt;&lt;titles&gt;&lt;title&gt;Best practice in fall prevention: roles of informal caregivers, health care providers and the community&lt;/title&gt;&lt;secondary-title&gt;International journal of older people nursing&lt;/secondary-title&gt;&lt;/titles&gt;&lt;periodical&gt;&lt;full-title&gt;Int J Older People Nurs&lt;/full-title&gt;&lt;abbr-1&gt;International journal of older people nursing&lt;/abbr-1&gt;&lt;/periodical&gt;&lt;pages&gt;299-306&lt;/pages&gt;&lt;volume&gt;6&lt;/volume&gt;&lt;number&gt;4&lt;/number&gt;&lt;dates&gt;&lt;year&gt;2011&lt;/year&gt;&lt;/dates&gt;&lt;isbn&gt;1748-3735&lt;/isbn&gt;&lt;urls&gt;&lt;/urls&gt;&lt;/record&gt;&lt;/Cite&gt;&lt;/EndNote&gt;</w:instrText>
      </w:r>
      <w:r w:rsidRPr="004C78D8">
        <w:fldChar w:fldCharType="separate"/>
      </w:r>
      <w:r w:rsidR="00C630FC" w:rsidRPr="004C78D8">
        <w:rPr>
          <w:noProof/>
        </w:rPr>
        <w:t>[210]</w:t>
      </w:r>
      <w:r w:rsidRPr="004C78D8">
        <w:fldChar w:fldCharType="end"/>
      </w:r>
      <w:r w:rsidRPr="004C78D8">
        <w:t>.</w:t>
      </w:r>
    </w:p>
    <w:p w14:paraId="172CBEE2" w14:textId="77777777" w:rsidR="00262C22" w:rsidRPr="004C78D8" w:rsidRDefault="00262C22" w:rsidP="00FB7C1F"/>
    <w:p w14:paraId="701AB6BA" w14:textId="733D74AE" w:rsidR="00262C22" w:rsidRPr="004C78D8" w:rsidRDefault="00262C22" w:rsidP="00FB7C1F">
      <w:pPr>
        <w:pStyle w:val="Heading2"/>
      </w:pPr>
      <w:bookmarkStart w:id="57" w:name="_Toc93566856"/>
      <w:bookmarkStart w:id="58" w:name="_Toc111630713"/>
      <w:r w:rsidRPr="004C78D8">
        <w:lastRenderedPageBreak/>
        <w:t>2.6 Conclusion and chapter summary</w:t>
      </w:r>
      <w:bookmarkEnd w:id="57"/>
      <w:bookmarkEnd w:id="58"/>
    </w:p>
    <w:p w14:paraId="04EFD6A2" w14:textId="7B97916C" w:rsidR="00262C22" w:rsidRPr="004C78D8" w:rsidRDefault="00174899" w:rsidP="00FB7C1F">
      <w:r w:rsidRPr="004C78D8">
        <w:t>A b</w:t>
      </w:r>
      <w:r w:rsidR="00262C22" w:rsidRPr="004C78D8">
        <w:t xml:space="preserve">etter understanding of older persons’ health motives and higher professional competence can improve the implementation of the NICE-recommended falls prevention pathway. Older persons are sensitive to implementation causal mechanisms, meaning that their views can inform contextual and supply-side changes to promote falls prevention and wider health promotion. They are also important stakeholders for the development of the falls prevention economic model, specifically </w:t>
      </w:r>
      <w:r w:rsidR="001E20BC" w:rsidRPr="004C78D8">
        <w:t>for</w:t>
      </w:r>
      <w:r w:rsidR="00262C22" w:rsidRPr="004C78D8">
        <w:t xml:space="preserve"> conceptual</w:t>
      </w:r>
      <w:r w:rsidR="001E20BC" w:rsidRPr="004C78D8">
        <w:t>is</w:t>
      </w:r>
      <w:r w:rsidRPr="004C78D8">
        <w:t>ing</w:t>
      </w:r>
      <w:r w:rsidR="00262C22" w:rsidRPr="004C78D8">
        <w:t xml:space="preserve"> the model structure and identif</w:t>
      </w:r>
      <w:r w:rsidRPr="004C78D8">
        <w:t>ying</w:t>
      </w:r>
      <w:r w:rsidR="00262C22" w:rsidRPr="004C78D8">
        <w:t xml:space="preserve"> commissioning strategies to evaluate in the final model.</w:t>
      </w:r>
      <w:r w:rsidR="00181166" w:rsidRPr="004C78D8">
        <w:t xml:space="preserve"> The </w:t>
      </w:r>
      <w:r w:rsidR="0068746B" w:rsidRPr="004C78D8">
        <w:t>wide</w:t>
      </w:r>
      <w:r w:rsidR="00D753A7" w:rsidRPr="004C78D8">
        <w:t xml:space="preserve"> </w:t>
      </w:r>
      <w:r w:rsidR="00181166" w:rsidRPr="004C78D8">
        <w:t xml:space="preserve">prevalence of the same issues (e.g., the need for high service integration) in the commissioning of other public health interventions means that the methodology in this chapter </w:t>
      </w:r>
      <w:r w:rsidR="00F747DF" w:rsidRPr="004C78D8">
        <w:t xml:space="preserve">should be replicated </w:t>
      </w:r>
      <w:r w:rsidRPr="004C78D8">
        <w:t>in</w:t>
      </w:r>
      <w:r w:rsidR="00F747DF" w:rsidRPr="004C78D8">
        <w:t xml:space="preserve"> </w:t>
      </w:r>
      <w:r w:rsidRPr="004C78D8">
        <w:t>further</w:t>
      </w:r>
      <w:r w:rsidR="00F747DF" w:rsidRPr="004C78D8">
        <w:t xml:space="preserve"> public health decision problems.</w:t>
      </w:r>
    </w:p>
    <w:p w14:paraId="32A4C55B" w14:textId="5D59DA32" w:rsidR="0046456F" w:rsidRPr="004C78D8" w:rsidRDefault="0046456F" w:rsidP="00FB7C1F">
      <w:r w:rsidRPr="004C78D8">
        <w:t xml:space="preserve">Yet local older persons are not the only </w:t>
      </w:r>
      <w:r w:rsidR="00893CD3" w:rsidRPr="004C78D8">
        <w:t xml:space="preserve">relevant </w:t>
      </w:r>
      <w:r w:rsidRPr="004C78D8">
        <w:t xml:space="preserve">stakeholder group </w:t>
      </w:r>
      <w:r w:rsidR="00413006" w:rsidRPr="004C78D8">
        <w:t xml:space="preserve">for </w:t>
      </w:r>
      <w:r w:rsidR="00736E45" w:rsidRPr="004C78D8">
        <w:t>falls prevention model</w:t>
      </w:r>
      <w:r w:rsidR="00413006" w:rsidRPr="004C78D8">
        <w:t xml:space="preserve"> </w:t>
      </w:r>
      <w:r w:rsidR="00893CD3" w:rsidRPr="004C78D8">
        <w:t>conceptualisation</w:t>
      </w:r>
      <w:r w:rsidR="00413006" w:rsidRPr="004C78D8">
        <w:t xml:space="preserve">. The next chapter </w:t>
      </w:r>
      <w:r w:rsidR="00736E45" w:rsidRPr="004C78D8">
        <w:t xml:space="preserve">places this qualitative research within a broader </w:t>
      </w:r>
      <w:r w:rsidR="00893CD3" w:rsidRPr="004C78D8">
        <w:t xml:space="preserve">conceptualisation </w:t>
      </w:r>
      <w:r w:rsidR="00736E45" w:rsidRPr="004C78D8">
        <w:t xml:space="preserve">process </w:t>
      </w:r>
      <w:r w:rsidR="00893CD3" w:rsidRPr="004C78D8">
        <w:t>involving</w:t>
      </w:r>
      <w:r w:rsidR="00736E45" w:rsidRPr="004C78D8">
        <w:t xml:space="preserve"> </w:t>
      </w:r>
      <w:r w:rsidR="00893CD3" w:rsidRPr="004C78D8">
        <w:t>literature review</w:t>
      </w:r>
      <w:r w:rsidR="009603D2" w:rsidRPr="004C78D8">
        <w:t>s</w:t>
      </w:r>
      <w:r w:rsidR="00893CD3" w:rsidRPr="004C78D8">
        <w:t xml:space="preserve"> and </w:t>
      </w:r>
      <w:r w:rsidR="00736E45" w:rsidRPr="004C78D8">
        <w:t>consultation</w:t>
      </w:r>
      <w:r w:rsidR="00893CD3" w:rsidRPr="004C78D8">
        <w:t>s</w:t>
      </w:r>
      <w:r w:rsidR="00736E45" w:rsidRPr="004C78D8">
        <w:t xml:space="preserve"> of local commissioners and professionals.</w:t>
      </w:r>
      <w:r w:rsidRPr="004C78D8">
        <w:t xml:space="preserve"> </w:t>
      </w:r>
    </w:p>
    <w:p w14:paraId="107508FF" w14:textId="77777777" w:rsidR="00A11CAC" w:rsidRPr="004C78D8" w:rsidRDefault="00A11CAC" w:rsidP="00FB7C1F"/>
    <w:p w14:paraId="1BE4BC29" w14:textId="77777777" w:rsidR="005E01BA" w:rsidRPr="004C78D8" w:rsidRDefault="005E01BA" w:rsidP="00FB7C1F"/>
    <w:p w14:paraId="71C85AD5" w14:textId="77777777" w:rsidR="00145D70" w:rsidRPr="004C78D8" w:rsidRDefault="00145D70" w:rsidP="00FB7C1F"/>
    <w:p w14:paraId="2E155CBD" w14:textId="77777777" w:rsidR="00430AC5" w:rsidRPr="004C78D8" w:rsidRDefault="00430AC5" w:rsidP="00FB7C1F"/>
    <w:p w14:paraId="184591E0" w14:textId="77777777" w:rsidR="00B91A23" w:rsidRPr="004C78D8" w:rsidRDefault="00B91A23" w:rsidP="00FB7C1F">
      <w:pPr>
        <w:spacing w:line="276" w:lineRule="auto"/>
      </w:pPr>
    </w:p>
    <w:p w14:paraId="19E91CDD" w14:textId="329C9F4C" w:rsidR="00210532" w:rsidRPr="004C78D8" w:rsidRDefault="00210532" w:rsidP="00FB7C1F">
      <w:pPr>
        <w:spacing w:line="276" w:lineRule="auto"/>
      </w:pPr>
    </w:p>
    <w:p w14:paraId="23951F17" w14:textId="77777777" w:rsidR="00C25867" w:rsidRPr="004C78D8" w:rsidRDefault="00C25867" w:rsidP="00FB7C1F"/>
    <w:p w14:paraId="1E6A6A64" w14:textId="5A2CBD39" w:rsidR="00C21D65" w:rsidRPr="004C78D8" w:rsidRDefault="00C21D65" w:rsidP="00FB7C1F"/>
    <w:p w14:paraId="0164211B" w14:textId="77777777" w:rsidR="00C21D65" w:rsidRPr="004C78D8" w:rsidRDefault="00C21D65" w:rsidP="00FB7C1F">
      <w:r w:rsidRPr="004C78D8">
        <w:br w:type="page"/>
      </w:r>
    </w:p>
    <w:p w14:paraId="4B524679" w14:textId="4D343403" w:rsidR="00AD394F" w:rsidRPr="004C78D8" w:rsidRDefault="00AD394F" w:rsidP="00FB7C1F">
      <w:pPr>
        <w:pStyle w:val="Heading1"/>
        <w:jc w:val="left"/>
      </w:pPr>
      <w:bookmarkStart w:id="59" w:name="_Toc93566857"/>
      <w:bookmarkStart w:id="60" w:name="_Toc111630714"/>
      <w:r w:rsidRPr="004C78D8">
        <w:lastRenderedPageBreak/>
        <w:t xml:space="preserve">Chapter </w:t>
      </w:r>
      <w:r w:rsidR="004A330D" w:rsidRPr="004C78D8">
        <w:t>3</w:t>
      </w:r>
      <w:r w:rsidRPr="004C78D8">
        <w:t>. Understanding the Problem for Falls Prevention Economic Model Development (Conceptual Model)</w:t>
      </w:r>
      <w:bookmarkEnd w:id="59"/>
      <w:bookmarkEnd w:id="60"/>
    </w:p>
    <w:p w14:paraId="2E665E55" w14:textId="77777777" w:rsidR="00AD394F" w:rsidRPr="004C78D8" w:rsidRDefault="00AD394F" w:rsidP="00FB7C1F"/>
    <w:p w14:paraId="283DBC92" w14:textId="4D4BB3D3" w:rsidR="00AD394F" w:rsidRPr="004C78D8" w:rsidRDefault="004A330D" w:rsidP="00FB7C1F">
      <w:pPr>
        <w:pStyle w:val="Heading2"/>
      </w:pPr>
      <w:bookmarkStart w:id="61" w:name="_Toc93566858"/>
      <w:bookmarkStart w:id="62" w:name="_Toc111630715"/>
      <w:r w:rsidRPr="004C78D8">
        <w:t>3</w:t>
      </w:r>
      <w:r w:rsidR="00AD394F" w:rsidRPr="004C78D8">
        <w:t>.1 Chapter outline</w:t>
      </w:r>
      <w:bookmarkEnd w:id="61"/>
      <w:bookmarkEnd w:id="62"/>
    </w:p>
    <w:p w14:paraId="6377F0C6" w14:textId="4EB30D57" w:rsidR="00AD394F" w:rsidRPr="004C78D8" w:rsidRDefault="00AD394F" w:rsidP="00FB7C1F">
      <w:r w:rsidRPr="004C78D8">
        <w:t xml:space="preserve">The development of a health economic decision model should </w:t>
      </w:r>
      <w:r w:rsidR="007D28B9" w:rsidRPr="004C78D8">
        <w:t>commence</w:t>
      </w:r>
      <w:r w:rsidRPr="004C78D8">
        <w:t xml:space="preserve"> by </w:t>
      </w:r>
      <w:r w:rsidR="00FF1AB0">
        <w:t xml:space="preserve">understanding and </w:t>
      </w:r>
      <w:r w:rsidRPr="004C78D8">
        <w:t xml:space="preserve">conceptualising the decision problem and setting the model structure </w:t>
      </w:r>
      <w:r w:rsidRPr="004C78D8">
        <w:fldChar w:fldCharType="begin"/>
      </w:r>
      <w:r w:rsidR="00C630FC" w:rsidRPr="004C78D8">
        <w:instrText xml:space="preserve"> ADDIN EN.CITE &lt;EndNote&gt;&lt;Cite&gt;&lt;Author&gt;Squires&lt;/Author&gt;&lt;Year&gt;2016&lt;/Year&gt;&lt;RecNum&gt;158&lt;/RecNum&gt;&lt;DisplayText&gt;[1, 211]&lt;/DisplayText&gt;&lt;record&gt;&lt;rec-number&gt;158&lt;/rec-number&gt;&lt;foreign-keys&gt;&lt;key app="EN" db-id="tdtrdw9aepptzbefsat599syza29sxsd2wsp" timestamp="1609254669"&gt;158&lt;/key&gt;&lt;/foreign-keys&gt;&lt;ref-type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framework for developing the structure of public health economic models&lt;/title&gt;&lt;secondary-title&gt;Value in Health&lt;/secondary-title&gt;&lt;/titles&gt;&lt;periodical&gt;&lt;full-title&gt;Value in Health&lt;/full-title&gt;&lt;/periodical&gt;&lt;pages&gt;588-601&lt;/pages&gt;&lt;volume&gt;19&lt;/volume&gt;&lt;number&gt;5&lt;/number&gt;&lt;dates&gt;&lt;year&gt;2016&lt;/year&gt;&lt;/dates&gt;&lt;isbn&gt;1098-3015&lt;/isbn&gt;&lt;urls&gt;&lt;/urls&gt;&lt;research-notes&gt;1&lt;/research-notes&gt;&lt;/record&gt;&lt;/Cite&gt;&lt;Cite&gt;&lt;Author&gt;Tappenden&lt;/Author&gt;&lt;Year&gt;2012&lt;/Year&gt;&lt;RecNum&gt;491&lt;/RecNum&gt;&lt;record&gt;&lt;rec-number&gt;491&lt;/rec-number&gt;&lt;foreign-keys&gt;&lt;key app="EN" db-id="tdtrdw9aepptzbefsat599syza29sxsd2wsp" timestamp="1617123599"&gt;491&lt;/key&gt;&lt;/foreign-keys&gt;&lt;ref-type name="Journal Article"&gt;17&lt;/ref-type&gt;&lt;contributors&gt;&lt;authors&gt;&lt;author&gt;Tappenden, P&lt;/author&gt;&lt;/authors&gt;&lt;/contributors&gt;&lt;titles&gt;&lt;title&gt;Conceptual modelling for health economic model development&lt;/title&gt;&lt;secondary-title&gt;HEDS Discussion Paper 12/05&lt;/secondary-title&gt;&lt;/titles&gt;&lt;periodical&gt;&lt;full-title&gt;HEDS Discussion Paper 12/05&lt;/full-title&gt;&lt;/periodical&gt;&lt;dates&gt;&lt;year&gt;2012&lt;/year&gt;&lt;/dates&gt;&lt;urls&gt;&lt;/urls&gt;&lt;/record&gt;&lt;/Cite&gt;&lt;/EndNote&gt;</w:instrText>
      </w:r>
      <w:r w:rsidRPr="004C78D8">
        <w:fldChar w:fldCharType="separate"/>
      </w:r>
      <w:r w:rsidR="00C630FC" w:rsidRPr="004C78D8">
        <w:rPr>
          <w:noProof/>
        </w:rPr>
        <w:t>[1, 211]</w:t>
      </w:r>
      <w:r w:rsidRPr="004C78D8">
        <w:fldChar w:fldCharType="end"/>
      </w:r>
      <w:r w:rsidRPr="004C78D8">
        <w:t>. The conceptual model differs from the final implemented model in that it is unconstrained by data availability or technical competency of the analyst.</w:t>
      </w:r>
      <w:r w:rsidR="00CF3891" w:rsidRPr="004C78D8">
        <w:t xml:space="preserve"> Accordingly, the conceptual model can consider the full range of relevant causal mechanisms and set a comprehensive boundary within which the final model is parameterised.</w:t>
      </w:r>
      <w:r w:rsidRPr="004C78D8">
        <w:t xml:space="preserve"> This chapter presents the conceptual model that will underpin the development and analysis of the final falls prevention model in Chapters </w:t>
      </w:r>
      <w:r w:rsidR="00503A9B" w:rsidRPr="004C78D8">
        <w:t xml:space="preserve">5 </w:t>
      </w:r>
      <w:r w:rsidR="006E266B" w:rsidRPr="004C78D8">
        <w:t xml:space="preserve">and </w:t>
      </w:r>
      <w:r w:rsidR="00503A9B" w:rsidRPr="004C78D8">
        <w:t>6</w:t>
      </w:r>
      <w:r w:rsidRPr="004C78D8">
        <w:t xml:space="preserve">. The conceptual model </w:t>
      </w:r>
      <w:r w:rsidR="006E266B" w:rsidRPr="004C78D8">
        <w:t xml:space="preserve">incorporates the results of the qualitative research presented in Chapter 2. It </w:t>
      </w:r>
      <w:r w:rsidRPr="004C78D8">
        <w:t xml:space="preserve">will also inform how previous falls prevention models are </w:t>
      </w:r>
      <w:r w:rsidR="00CB23C5" w:rsidRPr="004C78D8">
        <w:t>appraised</w:t>
      </w:r>
      <w:r w:rsidRPr="004C78D8">
        <w:t xml:space="preserve"> in Chapter </w:t>
      </w:r>
      <w:r w:rsidR="00503A9B" w:rsidRPr="004C78D8">
        <w:t>4</w:t>
      </w:r>
      <w:r w:rsidR="006E266B" w:rsidRPr="004C78D8">
        <w:t>.</w:t>
      </w:r>
    </w:p>
    <w:p w14:paraId="0B5CBD91" w14:textId="5966E809" w:rsidR="00AD394F" w:rsidRPr="004C78D8" w:rsidRDefault="00AD394F" w:rsidP="00FB7C1F">
      <w:r w:rsidRPr="004C78D8">
        <w:t xml:space="preserve">Section 3.2 outlines the </w:t>
      </w:r>
      <w:r w:rsidR="00EF54AF" w:rsidRPr="004C78D8">
        <w:t>conceptual modelling</w:t>
      </w:r>
      <w:r w:rsidRPr="004C78D8">
        <w:t xml:space="preserve"> </w:t>
      </w:r>
      <w:r w:rsidR="00EF54AF" w:rsidRPr="004C78D8">
        <w:t xml:space="preserve">method </w:t>
      </w:r>
      <w:r w:rsidRPr="004C78D8">
        <w:t>that follow</w:t>
      </w:r>
      <w:r w:rsidR="00EF54AF" w:rsidRPr="004C78D8">
        <w:t>s</w:t>
      </w:r>
      <w:r w:rsidRPr="004C78D8">
        <w:t xml:space="preserve"> the phases and principles proposed by Squires and colleagues </w:t>
      </w:r>
      <w:r w:rsidRPr="004C78D8">
        <w:fldChar w:fldCharType="begin"/>
      </w:r>
      <w:r w:rsidRPr="004C78D8">
        <w:instrText xml:space="preserve"> ADDIN EN.CITE &lt;EndNote&gt;&lt;Cite&gt;&lt;Author&gt;Squires&lt;/Author&gt;&lt;Year&gt;2016&lt;/Year&gt;&lt;RecNum&gt;158&lt;/RecNum&gt;&lt;DisplayText&gt;[1]&lt;/DisplayText&gt;&lt;record&gt;&lt;rec-number&gt;158&lt;/rec-number&gt;&lt;foreign-keys&gt;&lt;key app="EN" db-id="tdtrdw9aepptzbefsat599syza29sxsd2wsp" timestamp="1609254669"&gt;158&lt;/key&gt;&lt;/foreign-keys&gt;&lt;ref-type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framework for developing the structure of public health economic models&lt;/title&gt;&lt;secondary-title&gt;Value in Health&lt;/secondary-title&gt;&lt;/titles&gt;&lt;periodical&gt;&lt;full-title&gt;Value in Health&lt;/full-title&gt;&lt;/periodical&gt;&lt;pages&gt;588-601&lt;/pages&gt;&lt;volume&gt;19&lt;/volume&gt;&lt;number&gt;5&lt;/number&gt;&lt;dates&gt;&lt;year&gt;2016&lt;/year&gt;&lt;/dates&gt;&lt;isbn&gt;1098-3015&lt;/isbn&gt;&lt;urls&gt;&lt;/urls&gt;&lt;research-notes&gt;1&lt;/research-notes&gt;&lt;/record&gt;&lt;/Cite&gt;&lt;/EndNote&gt;</w:instrText>
      </w:r>
      <w:r w:rsidRPr="004C78D8">
        <w:fldChar w:fldCharType="separate"/>
      </w:r>
      <w:r w:rsidRPr="004C78D8">
        <w:rPr>
          <w:noProof/>
        </w:rPr>
        <w:t>[1]</w:t>
      </w:r>
      <w:r w:rsidRPr="004C78D8">
        <w:fldChar w:fldCharType="end"/>
      </w:r>
      <w:r w:rsidRPr="004C78D8">
        <w:t xml:space="preserve">. The subsequent sections address each of the development phases: Section 3.3 describes the processes of </w:t>
      </w:r>
      <w:r w:rsidR="00EF54AF" w:rsidRPr="004C78D8">
        <w:t xml:space="preserve">engaging </w:t>
      </w:r>
      <w:r w:rsidRPr="004C78D8">
        <w:t>local stakeholder</w:t>
      </w:r>
      <w:r w:rsidR="00EF54AF" w:rsidRPr="004C78D8">
        <w:t>s</w:t>
      </w:r>
      <w:r w:rsidRPr="004C78D8">
        <w:t xml:space="preserve"> </w:t>
      </w:r>
      <w:r w:rsidR="00EF54AF" w:rsidRPr="004C78D8">
        <w:t xml:space="preserve">to contextualise </w:t>
      </w:r>
      <w:r w:rsidRPr="004C78D8">
        <w:t xml:space="preserve">the decision problem. Sections 3.4 and 3.5 further clarify the nature of the decision problem. Section 3.6 </w:t>
      </w:r>
      <w:r w:rsidR="006E266B" w:rsidRPr="004C78D8">
        <w:t>conceptualises</w:t>
      </w:r>
      <w:r w:rsidRPr="004C78D8">
        <w:t xml:space="preserve"> the major causal links in falls epidemiology</w:t>
      </w:r>
      <w:r w:rsidR="006E266B" w:rsidRPr="004C78D8">
        <w:t>.</w:t>
      </w:r>
      <w:r w:rsidRPr="004C78D8">
        <w:t xml:space="preserve"> Section 3.7 conceptualise</w:t>
      </w:r>
      <w:r w:rsidR="00D43D2B" w:rsidRPr="004C78D8">
        <w:t>s</w:t>
      </w:r>
      <w:r w:rsidRPr="004C78D8">
        <w:t xml:space="preserve"> the current and recommended falls prevention strategies</w:t>
      </w:r>
      <w:r w:rsidR="00D43D2B" w:rsidRPr="004C78D8">
        <w:t xml:space="preserve"> based on stakeholder inputs, guideline recommendations and wider literature</w:t>
      </w:r>
      <w:r w:rsidR="00C52DB2" w:rsidRPr="004C78D8">
        <w:t xml:space="preserve">, as well as alternative intervention strategies to be </w:t>
      </w:r>
      <w:r w:rsidR="006C59D6" w:rsidRPr="004C78D8">
        <w:t>comparatively evaluated</w:t>
      </w:r>
      <w:r w:rsidRPr="004C78D8">
        <w:t xml:space="preserve">. Section 3.8 discusses the conceptual model and the strengths and limitations of </w:t>
      </w:r>
      <w:r w:rsidR="00EF54AF" w:rsidRPr="004C78D8">
        <w:t>the approach used</w:t>
      </w:r>
      <w:r w:rsidR="00130684" w:rsidRPr="004C78D8">
        <w:t>.</w:t>
      </w:r>
    </w:p>
    <w:p w14:paraId="7FE10AC9" w14:textId="77777777" w:rsidR="00AD394F" w:rsidRPr="004C78D8" w:rsidRDefault="00AD394F" w:rsidP="00FB7C1F"/>
    <w:p w14:paraId="7767BA2D" w14:textId="088F9478" w:rsidR="00AD394F" w:rsidRPr="004C78D8" w:rsidRDefault="00AD394F" w:rsidP="00FB7C1F">
      <w:pPr>
        <w:pStyle w:val="Heading2"/>
      </w:pPr>
      <w:bookmarkStart w:id="63" w:name="_Toc93566859"/>
      <w:bookmarkStart w:id="64" w:name="_Toc111630716"/>
      <w:r w:rsidRPr="004C78D8">
        <w:t>3.2 Methods for developing the falls prevention conceptual model</w:t>
      </w:r>
      <w:bookmarkEnd w:id="63"/>
      <w:bookmarkEnd w:id="64"/>
    </w:p>
    <w:p w14:paraId="615E459C" w14:textId="3B24F4CD" w:rsidR="00AD394F" w:rsidRPr="004C78D8" w:rsidRDefault="00AD394F" w:rsidP="00FB7C1F">
      <w:r w:rsidRPr="004C78D8">
        <w:t>Squires and colleagues lay out four phases to public health economic model</w:t>
      </w:r>
      <w:r w:rsidR="008521E8" w:rsidRPr="004C78D8">
        <w:t xml:space="preserve"> development</w:t>
      </w:r>
      <w:r w:rsidRPr="004C78D8">
        <w:t xml:space="preserve"> </w:t>
      </w:r>
      <w:r w:rsidRPr="004C78D8">
        <w:fldChar w:fldCharType="begin"/>
      </w:r>
      <w:r w:rsidRPr="004C78D8">
        <w:instrText xml:space="preserve"> ADDIN EN.CITE &lt;EndNote&gt;&lt;Cite&gt;&lt;Author&gt;Squires&lt;/Author&gt;&lt;Year&gt;2016&lt;/Year&gt;&lt;RecNum&gt;158&lt;/RecNum&gt;&lt;DisplayText&gt;[1]&lt;/DisplayText&gt;&lt;record&gt;&lt;rec-number&gt;158&lt;/rec-number&gt;&lt;foreign-keys&gt;&lt;key app="EN" db-id="tdtrdw9aepptzbefsat599syza29sxsd2wsp" timestamp="1609254669"&gt;158&lt;/key&gt;&lt;/foreign-keys&gt;&lt;ref-type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framework for developing the structure of public health economic models&lt;/title&gt;&lt;secondary-title&gt;Value in Health&lt;/secondary-title&gt;&lt;/titles&gt;&lt;periodical&gt;&lt;full-title&gt;Value in Health&lt;/full-title&gt;&lt;/periodical&gt;&lt;pages&gt;588-601&lt;/pages&gt;&lt;volume&gt;19&lt;/volume&gt;&lt;number&gt;5&lt;/number&gt;&lt;dates&gt;&lt;year&gt;2016&lt;/year&gt;&lt;/dates&gt;&lt;isbn&gt;1098-3015&lt;/isbn&gt;&lt;urls&gt;&lt;/urls&gt;&lt;research-notes&gt;1&lt;/research-notes&gt;&lt;/record&gt;&lt;/Cite&gt;&lt;/EndNote&gt;</w:instrText>
      </w:r>
      <w:r w:rsidRPr="004C78D8">
        <w:fldChar w:fldCharType="separate"/>
      </w:r>
      <w:r w:rsidRPr="004C78D8">
        <w:rPr>
          <w:noProof/>
        </w:rPr>
        <w:t>[1]</w:t>
      </w:r>
      <w:r w:rsidRPr="004C78D8">
        <w:fldChar w:fldCharType="end"/>
      </w:r>
      <w:r w:rsidRPr="004C78D8">
        <w:t>:</w:t>
      </w:r>
    </w:p>
    <w:p w14:paraId="78A155D9" w14:textId="77777777" w:rsidR="00AD394F" w:rsidRPr="004C78D8" w:rsidRDefault="00AD394F" w:rsidP="00FB7C1F">
      <w:pPr>
        <w:pStyle w:val="ListParagraph"/>
        <w:numPr>
          <w:ilvl w:val="0"/>
          <w:numId w:val="5"/>
        </w:numPr>
      </w:pPr>
      <w:r w:rsidRPr="004C78D8">
        <w:t>Aligning the framework with the decision-making process</w:t>
      </w:r>
    </w:p>
    <w:p w14:paraId="6067606A" w14:textId="77777777" w:rsidR="00AD394F" w:rsidRPr="004C78D8" w:rsidRDefault="00AD394F" w:rsidP="00FB7C1F">
      <w:pPr>
        <w:pStyle w:val="ListParagraph"/>
        <w:numPr>
          <w:ilvl w:val="0"/>
          <w:numId w:val="5"/>
        </w:numPr>
      </w:pPr>
      <w:r w:rsidRPr="004C78D8">
        <w:t>Identifying relevant stakeholders</w:t>
      </w:r>
    </w:p>
    <w:p w14:paraId="78EAA2A3" w14:textId="77777777" w:rsidR="00AD394F" w:rsidRPr="004C78D8" w:rsidRDefault="00AD394F" w:rsidP="00FB7C1F">
      <w:pPr>
        <w:pStyle w:val="ListParagraph"/>
        <w:numPr>
          <w:ilvl w:val="0"/>
          <w:numId w:val="5"/>
        </w:numPr>
      </w:pPr>
      <w:r w:rsidRPr="004C78D8">
        <w:t>Understanding the problem</w:t>
      </w:r>
    </w:p>
    <w:p w14:paraId="5C6E4924" w14:textId="77777777" w:rsidR="00AD394F" w:rsidRPr="004C78D8" w:rsidRDefault="00AD394F" w:rsidP="00FB7C1F">
      <w:pPr>
        <w:pStyle w:val="ListParagraph"/>
        <w:numPr>
          <w:ilvl w:val="0"/>
          <w:numId w:val="5"/>
        </w:numPr>
      </w:pPr>
      <w:r w:rsidRPr="004C78D8">
        <w:t>Developing and justifying the model structure</w:t>
      </w:r>
    </w:p>
    <w:p w14:paraId="0DF8C2B9" w14:textId="29074285" w:rsidR="00AD394F" w:rsidRPr="004C78D8" w:rsidRDefault="00AD394F" w:rsidP="00FB7C1F">
      <w:r w:rsidRPr="004C78D8">
        <w:t xml:space="preserve">Phase (A) sets the foundation for the modelling project, </w:t>
      </w:r>
      <w:r w:rsidR="008521E8" w:rsidRPr="004C78D8">
        <w:t>selecting the</w:t>
      </w:r>
      <w:r w:rsidRPr="004C78D8">
        <w:t xml:space="preserve"> modes of stakeholder engagement, evidence searching, time/resource allocation</w:t>
      </w:r>
      <w:r w:rsidR="0016058F" w:rsidRPr="004C78D8">
        <w:t>,</w:t>
      </w:r>
      <w:r w:rsidRPr="004C78D8">
        <w:t xml:space="preserve"> and documentation. For </w:t>
      </w:r>
      <w:r w:rsidR="00874E1C" w:rsidRPr="004C78D8">
        <w:t>P</w:t>
      </w:r>
      <w:r w:rsidRPr="004C78D8">
        <w:t xml:space="preserve">hase (B), a relevant stakeholder is “any person who impacts on or is impacted upon in the system” (p. 5) </w:t>
      </w:r>
      <w:r w:rsidRPr="004C78D8">
        <w:fldChar w:fldCharType="begin"/>
      </w:r>
      <w:r w:rsidRPr="004C78D8">
        <w:instrText xml:space="preserve"> ADDIN EN.CITE &lt;EndNote&gt;&lt;Cite&gt;&lt;Author&gt;Squires&lt;/Author&gt;&lt;Year&gt;2016&lt;/Year&gt;&lt;RecNum&gt;158&lt;/RecNum&gt;&lt;DisplayText&gt;[1]&lt;/DisplayText&gt;&lt;record&gt;&lt;rec-number&gt;158&lt;/rec-number&gt;&lt;foreign-keys&gt;&lt;key app="EN" db-id="tdtrdw9aepptzbefsat599syza29sxsd2wsp" timestamp="1609254669"&gt;158&lt;/key&gt;&lt;/foreign-keys&gt;&lt;ref-type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framework for developing the structure of public health economic models&lt;/title&gt;&lt;secondary-title&gt;Value in Health&lt;/secondary-title&gt;&lt;/titles&gt;&lt;periodical&gt;&lt;full-title&gt;Value in Health&lt;/full-title&gt;&lt;/periodical&gt;&lt;pages&gt;588-601&lt;/pages&gt;&lt;volume&gt;19&lt;/volume&gt;&lt;number&gt;5&lt;/number&gt;&lt;dates&gt;&lt;year&gt;2016&lt;/year&gt;&lt;/dates&gt;&lt;isbn&gt;1098-3015&lt;/isbn&gt;&lt;urls&gt;&lt;/urls&gt;&lt;research-notes&gt;1&lt;/research-notes&gt;&lt;/record&gt;&lt;/Cite&gt;&lt;/EndNote&gt;</w:instrText>
      </w:r>
      <w:r w:rsidRPr="004C78D8">
        <w:fldChar w:fldCharType="separate"/>
      </w:r>
      <w:r w:rsidRPr="004C78D8">
        <w:rPr>
          <w:noProof/>
        </w:rPr>
        <w:t>[1]</w:t>
      </w:r>
      <w:r w:rsidRPr="004C78D8">
        <w:fldChar w:fldCharType="end"/>
      </w:r>
      <w:r w:rsidRPr="004C78D8">
        <w:t xml:space="preserve">. Stakeholders together help define the model scope, make value judgements, recommend assumptions on model structure and choose interventions to be </w:t>
      </w:r>
      <w:r w:rsidR="00893D87" w:rsidRPr="004C78D8">
        <w:t>evaluated</w:t>
      </w:r>
      <w:r w:rsidRPr="004C78D8">
        <w:t xml:space="preserve">. They can be divided into three types: (i) system owners – e.g., CCG and City Council commissioners; (ii) actors in the system – e.g., falls prevention clinical experts and falls modelling experts; and (iii) customers of the interventions – e.g., </w:t>
      </w:r>
      <w:r w:rsidR="0066681A" w:rsidRPr="004C78D8">
        <w:t>older</w:t>
      </w:r>
      <w:r w:rsidRPr="004C78D8">
        <w:t xml:space="preserve"> persons and their informal caregivers. </w:t>
      </w:r>
      <w:r w:rsidR="007246B4" w:rsidRPr="004C78D8">
        <w:t xml:space="preserve">Outcomes of </w:t>
      </w:r>
      <w:r w:rsidR="00874E1C" w:rsidRPr="004C78D8">
        <w:t>P</w:t>
      </w:r>
      <w:r w:rsidRPr="004C78D8">
        <w:t xml:space="preserve">hases (A) and (B) are </w:t>
      </w:r>
      <w:r w:rsidR="002D0E5A" w:rsidRPr="004C78D8">
        <w:t>reported</w:t>
      </w:r>
      <w:r w:rsidRPr="004C78D8">
        <w:t xml:space="preserve"> in Section 3.3. </w:t>
      </w:r>
    </w:p>
    <w:p w14:paraId="1B52E21D" w14:textId="77777777" w:rsidR="00AD394F" w:rsidRPr="004C78D8" w:rsidRDefault="00AD394F" w:rsidP="00FB7C1F">
      <w:r w:rsidRPr="004C78D8">
        <w:t xml:space="preserve">Phase (C) is divided into two parts: (I) developing a conceptual model of the problem that describes the hypothesised causal relationships based on the project scope, literature and stakeholder inputs; and (II) describing the present resource pathway in the decision-making setting. Part (I) can be formulated as a series of questions and activities: </w:t>
      </w:r>
    </w:p>
    <w:p w14:paraId="55B94122" w14:textId="77777777" w:rsidR="00AD394F" w:rsidRPr="004C78D8" w:rsidRDefault="00AD394F" w:rsidP="00FB7C1F">
      <w:pPr>
        <w:pStyle w:val="ListParagraph"/>
        <w:numPr>
          <w:ilvl w:val="1"/>
          <w:numId w:val="6"/>
        </w:numPr>
        <w:ind w:left="993" w:hanging="502"/>
      </w:pPr>
      <w:r w:rsidRPr="004C78D8">
        <w:t>What is the problem?</w:t>
      </w:r>
    </w:p>
    <w:p w14:paraId="3F04A3F2" w14:textId="77777777" w:rsidR="00AD394F" w:rsidRPr="004C78D8" w:rsidRDefault="00AD394F" w:rsidP="00FB7C1F">
      <w:pPr>
        <w:pStyle w:val="ListParagraph"/>
        <w:numPr>
          <w:ilvl w:val="1"/>
          <w:numId w:val="6"/>
        </w:numPr>
        <w:ind w:left="993" w:hanging="502"/>
      </w:pPr>
      <w:r w:rsidRPr="004C78D8">
        <w:t>Why is this a problem?</w:t>
      </w:r>
    </w:p>
    <w:p w14:paraId="301258A7" w14:textId="21C0CB47" w:rsidR="00AD394F" w:rsidRPr="004C78D8" w:rsidRDefault="00AD394F" w:rsidP="00FB7C1F">
      <w:pPr>
        <w:pStyle w:val="ListParagraph"/>
        <w:numPr>
          <w:ilvl w:val="1"/>
          <w:numId w:val="6"/>
        </w:numPr>
        <w:ind w:left="993" w:hanging="502"/>
      </w:pPr>
      <w:r w:rsidRPr="004C78D8">
        <w:t>Identifying causal links in the disease process</w:t>
      </w:r>
    </w:p>
    <w:p w14:paraId="4ADFBB0F" w14:textId="04A0A403" w:rsidR="00AD394F" w:rsidRPr="004C78D8" w:rsidRDefault="00AD394F" w:rsidP="00FB7C1F">
      <w:pPr>
        <w:pStyle w:val="ListParagraph"/>
        <w:numPr>
          <w:ilvl w:val="1"/>
          <w:numId w:val="6"/>
        </w:numPr>
        <w:ind w:left="993" w:hanging="502"/>
      </w:pPr>
      <w:r w:rsidRPr="004C78D8">
        <w:t xml:space="preserve">Identifying </w:t>
      </w:r>
      <w:r w:rsidR="00F25751" w:rsidRPr="004C78D8">
        <w:t>relevant</w:t>
      </w:r>
      <w:r w:rsidRPr="004C78D8">
        <w:t xml:space="preserve"> interventions</w:t>
      </w:r>
    </w:p>
    <w:p w14:paraId="348D4EBA" w14:textId="77777777" w:rsidR="0041169B" w:rsidRPr="004C78D8" w:rsidRDefault="00AD394F" w:rsidP="00FB7C1F">
      <w:r w:rsidRPr="004C78D8">
        <w:lastRenderedPageBreak/>
        <w:t xml:space="preserve">Sections 3.4 to 3.7 address each of these questions and activities in sequence. Part (II) of Phase (C) is addressed alongside activity (4). </w:t>
      </w:r>
    </w:p>
    <w:p w14:paraId="041817BA" w14:textId="77D04551" w:rsidR="00AD394F" w:rsidRPr="004C78D8" w:rsidRDefault="00944AE8" w:rsidP="00FB7C1F">
      <w:r w:rsidRPr="004C78D8">
        <w:t>The method</w:t>
      </w:r>
      <w:r w:rsidR="0041169B" w:rsidRPr="004C78D8">
        <w:t>s</w:t>
      </w:r>
      <w:r w:rsidRPr="004C78D8">
        <w:t xml:space="preserve"> and results for Phase (D) are reported in Chapter </w:t>
      </w:r>
      <w:r w:rsidR="007C7C5F" w:rsidRPr="004C78D8">
        <w:t>5</w:t>
      </w:r>
      <w:r w:rsidRPr="004C78D8">
        <w:t>.</w:t>
      </w:r>
      <w:r w:rsidR="0041169B" w:rsidRPr="004C78D8">
        <w:t xml:space="preserve"> Phase (D) also involves a review of existing models in the problem area </w:t>
      </w:r>
      <w:r w:rsidR="0041169B" w:rsidRPr="004C78D8">
        <w:fldChar w:fldCharType="begin"/>
      </w:r>
      <w:r w:rsidR="0041169B" w:rsidRPr="004C78D8">
        <w:instrText xml:space="preserve"> ADDIN EN.CITE &lt;EndNote&gt;&lt;Cite&gt;&lt;Author&gt;Squires&lt;/Author&gt;&lt;Year&gt;2016&lt;/Year&gt;&lt;RecNum&gt;158&lt;/RecNum&gt;&lt;DisplayText&gt;[1]&lt;/DisplayText&gt;&lt;record&gt;&lt;rec-number&gt;158&lt;/rec-number&gt;&lt;foreign-keys&gt;&lt;key app="EN" db-id="tdtrdw9aepptzbefsat599syza29sxsd2wsp" timestamp="1609254669"&gt;158&lt;/key&gt;&lt;/foreign-keys&gt;&lt;ref-type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framework for developing the structure of public health economic models&lt;/title&gt;&lt;secondary-title&gt;Value in Health&lt;/secondary-title&gt;&lt;/titles&gt;&lt;periodical&gt;&lt;full-title&gt;Value in Health&lt;/full-title&gt;&lt;/periodical&gt;&lt;pages&gt;588-601&lt;/pages&gt;&lt;volume&gt;19&lt;/volume&gt;&lt;number&gt;5&lt;/number&gt;&lt;dates&gt;&lt;year&gt;2016&lt;/year&gt;&lt;/dates&gt;&lt;isbn&gt;1098-3015&lt;/isbn&gt;&lt;urls&gt;&lt;/urls&gt;&lt;research-notes&gt;1&lt;/research-notes&gt;&lt;/record&gt;&lt;/Cite&gt;&lt;/EndNote&gt;</w:instrText>
      </w:r>
      <w:r w:rsidR="0041169B" w:rsidRPr="004C78D8">
        <w:fldChar w:fldCharType="separate"/>
      </w:r>
      <w:r w:rsidR="0041169B" w:rsidRPr="004C78D8">
        <w:rPr>
          <w:noProof/>
        </w:rPr>
        <w:t>[1]</w:t>
      </w:r>
      <w:r w:rsidR="0041169B" w:rsidRPr="004C78D8">
        <w:fldChar w:fldCharType="end"/>
      </w:r>
      <w:r w:rsidR="0041169B" w:rsidRPr="004C78D8">
        <w:t xml:space="preserve">. </w:t>
      </w:r>
      <w:r w:rsidR="0016058F" w:rsidRPr="004C78D8">
        <w:t>This</w:t>
      </w:r>
      <w:r w:rsidR="0041169B" w:rsidRPr="004C78D8">
        <w:t xml:space="preserve"> review is conducted and reported in Chapter </w:t>
      </w:r>
      <w:r w:rsidR="007C7C5F" w:rsidRPr="004C78D8">
        <w:t>4</w:t>
      </w:r>
      <w:r w:rsidR="0041169B" w:rsidRPr="004C78D8">
        <w:t xml:space="preserve">. </w:t>
      </w:r>
    </w:p>
    <w:p w14:paraId="2B52F5EA" w14:textId="65463542" w:rsidR="00AD394F" w:rsidRPr="004C78D8" w:rsidRDefault="00AD394F" w:rsidP="00FB7C1F">
      <w:r w:rsidRPr="004C78D8">
        <w:t>For all phases, Squires and colleagues highlight the following principles: (a) systems approach to modelling – e.g., identifying elements contributing to dynamic complexity; (b) documented understanding of the problem before and alongside developing and justifying the model structure; (c) strong communication with stakeholders; and (d) systematic consideration of the determinants of health including demographic, lifestyle, socioeconomic</w:t>
      </w:r>
      <w:r w:rsidR="00575CFF" w:rsidRPr="004C78D8">
        <w:t>,</w:t>
      </w:r>
      <w:r w:rsidRPr="004C78D8">
        <w:t xml:space="preserve"> and environmental factors </w:t>
      </w:r>
      <w:r w:rsidRPr="004C78D8">
        <w:fldChar w:fldCharType="begin"/>
      </w:r>
      <w:r w:rsidRPr="004C78D8">
        <w:instrText xml:space="preserve"> ADDIN EN.CITE &lt;EndNote&gt;&lt;Cite&gt;&lt;Author&gt;Squires&lt;/Author&gt;&lt;Year&gt;2016&lt;/Year&gt;&lt;RecNum&gt;158&lt;/RecNum&gt;&lt;DisplayText&gt;[1]&lt;/DisplayText&gt;&lt;record&gt;&lt;rec-number&gt;158&lt;/rec-number&gt;&lt;foreign-keys&gt;&lt;key app="EN" db-id="tdtrdw9aepptzbefsat599syza29sxsd2wsp" timestamp="1609254669"&gt;158&lt;/key&gt;&lt;/foreign-keys&gt;&lt;ref-type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framework for developing the structure of public health economic models&lt;/title&gt;&lt;secondary-title&gt;Value in Health&lt;/secondary-title&gt;&lt;/titles&gt;&lt;periodical&gt;&lt;full-title&gt;Value in Health&lt;/full-title&gt;&lt;/periodical&gt;&lt;pages&gt;588-601&lt;/pages&gt;&lt;volume&gt;19&lt;/volume&gt;&lt;number&gt;5&lt;/number&gt;&lt;dates&gt;&lt;year&gt;2016&lt;/year&gt;&lt;/dates&gt;&lt;isbn&gt;1098-3015&lt;/isbn&gt;&lt;urls&gt;&lt;/urls&gt;&lt;research-notes&gt;1&lt;/research-notes&gt;&lt;/record&gt;&lt;/Cite&gt;&lt;/EndNote&gt;</w:instrText>
      </w:r>
      <w:r w:rsidRPr="004C78D8">
        <w:fldChar w:fldCharType="separate"/>
      </w:r>
      <w:r w:rsidRPr="004C78D8">
        <w:rPr>
          <w:noProof/>
        </w:rPr>
        <w:t>[1]</w:t>
      </w:r>
      <w:r w:rsidRPr="004C78D8">
        <w:fldChar w:fldCharType="end"/>
      </w:r>
      <w:r w:rsidRPr="004C78D8">
        <w:t xml:space="preserve">. Accordingly, relevant documents for the conceptual model development are collated in Appendix B. </w:t>
      </w:r>
    </w:p>
    <w:p w14:paraId="28B0E674" w14:textId="77777777" w:rsidR="00AD394F" w:rsidRPr="004C78D8" w:rsidRDefault="00AD394F" w:rsidP="00FB7C1F"/>
    <w:p w14:paraId="2585BED1" w14:textId="78C2CCAF" w:rsidR="00AD394F" w:rsidRPr="004C78D8" w:rsidRDefault="00AD394F" w:rsidP="00FB7C1F">
      <w:pPr>
        <w:pStyle w:val="Heading2"/>
      </w:pPr>
      <w:bookmarkStart w:id="65" w:name="_Toc93566860"/>
      <w:bookmarkStart w:id="66" w:name="_Toc111630717"/>
      <w:r w:rsidRPr="004C78D8">
        <w:t>3.3 Understanding the local context for model development</w:t>
      </w:r>
      <w:bookmarkEnd w:id="65"/>
      <w:bookmarkEnd w:id="66"/>
    </w:p>
    <w:p w14:paraId="16F62721" w14:textId="76068B80" w:rsidR="00AD394F" w:rsidRPr="004C78D8" w:rsidRDefault="00AD394F" w:rsidP="00FB7C1F">
      <w:r w:rsidRPr="004C78D8">
        <w:t>This section addresses Phase</w:t>
      </w:r>
      <w:r w:rsidR="0056195F" w:rsidRPr="004C78D8">
        <w:t>s</w:t>
      </w:r>
      <w:r w:rsidRPr="004C78D8">
        <w:t xml:space="preserve"> (A) </w:t>
      </w:r>
      <w:r w:rsidR="0056195F" w:rsidRPr="004C78D8">
        <w:t>(</w:t>
      </w:r>
      <w:r w:rsidRPr="004C78D8">
        <w:t>aligning the framework with the decision-making process</w:t>
      </w:r>
      <w:r w:rsidR="0056195F" w:rsidRPr="004C78D8">
        <w:t xml:space="preserve">) </w:t>
      </w:r>
      <w:r w:rsidRPr="004C78D8">
        <w:t xml:space="preserve">and (B) </w:t>
      </w:r>
      <w:r w:rsidR="0056195F" w:rsidRPr="004C78D8">
        <w:t>(</w:t>
      </w:r>
      <w:r w:rsidRPr="004C78D8">
        <w:t>identifying relevant stakeholders</w:t>
      </w:r>
      <w:r w:rsidR="0056195F" w:rsidRPr="004C78D8">
        <w:t>)</w:t>
      </w:r>
      <w:r w:rsidRPr="004C78D8">
        <w:t xml:space="preserve">. Because several key stakeholders were involved in the project from the outset (prior to </w:t>
      </w:r>
      <w:r w:rsidR="00575CFF" w:rsidRPr="004C78D8">
        <w:t xml:space="preserve">the </w:t>
      </w:r>
      <w:r w:rsidRPr="004C78D8">
        <w:t xml:space="preserve">detailed framework alignment), the stakeholder identification </w:t>
      </w:r>
      <w:r w:rsidR="003062EE" w:rsidRPr="004C78D8">
        <w:t>under</w:t>
      </w:r>
      <w:r w:rsidRPr="004C78D8">
        <w:t xml:space="preserve"> Phase (B) is described first (Section 3.3.1). The steps within Phase (A) are then described </w:t>
      </w:r>
      <w:r w:rsidRPr="004C78D8">
        <w:fldChar w:fldCharType="begin"/>
      </w:r>
      <w:r w:rsidRPr="004C78D8">
        <w:instrText xml:space="preserve"> ADDIN EN.CITE &lt;EndNote&gt;&lt;Cite&gt;&lt;Author&gt;Squires&lt;/Author&gt;&lt;Year&gt;2016&lt;/Year&gt;&lt;RecNum&gt;158&lt;/RecNum&gt;&lt;DisplayText&gt;[1]&lt;/DisplayText&gt;&lt;record&gt;&lt;rec-number&gt;158&lt;/rec-number&gt;&lt;foreign-keys&gt;&lt;key app="EN" db-id="tdtrdw9aepptzbefsat599syza29sxsd2wsp" timestamp="1609254669"&gt;158&lt;/key&gt;&lt;/foreign-keys&gt;&lt;ref-type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framework for developing the structure of public health economic models&lt;/title&gt;&lt;secondary-title&gt;Value in Health&lt;/secondary-title&gt;&lt;/titles&gt;&lt;periodical&gt;&lt;full-title&gt;Value in Health&lt;/full-title&gt;&lt;/periodical&gt;&lt;pages&gt;588-601&lt;/pages&gt;&lt;volume&gt;19&lt;/volume&gt;&lt;number&gt;5&lt;/number&gt;&lt;dates&gt;&lt;year&gt;2016&lt;/year&gt;&lt;/dates&gt;&lt;isbn&gt;1098-3015&lt;/isbn&gt;&lt;urls&gt;&lt;/urls&gt;&lt;research-notes&gt;1&lt;/research-notes&gt;&lt;/record&gt;&lt;/Cite&gt;&lt;/EndNote&gt;</w:instrText>
      </w:r>
      <w:r w:rsidRPr="004C78D8">
        <w:fldChar w:fldCharType="separate"/>
      </w:r>
      <w:r w:rsidRPr="004C78D8">
        <w:rPr>
          <w:noProof/>
        </w:rPr>
        <w:t>[1]</w:t>
      </w:r>
      <w:r w:rsidRPr="004C78D8">
        <w:fldChar w:fldCharType="end"/>
      </w:r>
      <w:r w:rsidRPr="004C78D8">
        <w:t>: choosing the mode of stakeholder engagement (Section 3.3.2); establishing approaches to evidence searching (Section 3.3.3); and establishing resource availability and producing a protocol document (Section 3.3.4).</w:t>
      </w:r>
    </w:p>
    <w:p w14:paraId="7C47D03C" w14:textId="1049661A" w:rsidR="00AD394F" w:rsidRPr="004C78D8" w:rsidRDefault="00AD394F" w:rsidP="00FB7C1F">
      <w:pPr>
        <w:pStyle w:val="Heading3"/>
      </w:pPr>
      <w:bookmarkStart w:id="67" w:name="_Toc111630718"/>
      <w:r w:rsidRPr="004C78D8">
        <w:t>3.3.1 Identifying relevant local stakeholders</w:t>
      </w:r>
      <w:bookmarkEnd w:id="67"/>
    </w:p>
    <w:p w14:paraId="6A0C974A" w14:textId="45CBB538" w:rsidR="00AD394F" w:rsidRPr="004C78D8" w:rsidRDefault="00AD394F" w:rsidP="00FB7C1F">
      <w:r w:rsidRPr="004C78D8">
        <w:t xml:space="preserve">Table 3.1 lists the stakeholders who were involved in model conceptualisation. The Sheffield City Council </w:t>
      </w:r>
      <w:r w:rsidR="00B07AD2" w:rsidRPr="004C78D8">
        <w:t xml:space="preserve">(SCC) </w:t>
      </w:r>
      <w:r w:rsidRPr="004C78D8">
        <w:t xml:space="preserve">Public Health Principal (PHP) was involved in the project from the outset, suggesting ways in which economic modelling could assist commissioning decisions, establishing contacts with other system owners and actors, and serving as </w:t>
      </w:r>
      <w:r w:rsidR="00CA03F7" w:rsidRPr="004C78D8">
        <w:t xml:space="preserve">the main </w:t>
      </w:r>
      <w:r w:rsidRPr="004C78D8">
        <w:t xml:space="preserve">point of contact. Further system owners and actors were identified by snowballing from the initial group and from professional networks of the PhD researcher’s supervisors. The relevant system actors </w:t>
      </w:r>
      <w:r w:rsidR="00315B64" w:rsidRPr="004C78D8">
        <w:t>changed</w:t>
      </w:r>
      <w:r w:rsidRPr="004C78D8">
        <w:t xml:space="preserve"> as the understanding of the decision problem </w:t>
      </w:r>
      <w:r w:rsidR="00F50683" w:rsidRPr="004C78D8">
        <w:t>transitioned</w:t>
      </w:r>
      <w:r w:rsidRPr="004C78D8">
        <w:t xml:space="preserve"> from that of evaluating </w:t>
      </w:r>
      <w:r w:rsidR="00672D6C" w:rsidRPr="004C78D8">
        <w:t>a specific multi-need</w:t>
      </w:r>
      <w:r w:rsidRPr="004C78D8">
        <w:t xml:space="preserve"> integrated care </w:t>
      </w:r>
      <w:r w:rsidR="00672D6C" w:rsidRPr="004C78D8">
        <w:t xml:space="preserve">scheme </w:t>
      </w:r>
      <w:r w:rsidR="0068630D" w:rsidRPr="004C78D8">
        <w:t xml:space="preserve">in Sheffield </w:t>
      </w:r>
      <w:r w:rsidRPr="004C78D8">
        <w:t xml:space="preserve">to evaluating </w:t>
      </w:r>
      <w:r w:rsidR="00672D6C" w:rsidRPr="004C78D8">
        <w:t xml:space="preserve">a programme of </w:t>
      </w:r>
      <w:r w:rsidR="000D13BA" w:rsidRPr="004C78D8">
        <w:t xml:space="preserve">community-based </w:t>
      </w:r>
      <w:r w:rsidRPr="004C78D8">
        <w:t xml:space="preserve">falls prevention (see Section 3.4 below). </w:t>
      </w:r>
    </w:p>
    <w:p w14:paraId="0014D7B7" w14:textId="7C0C201F" w:rsidR="00AD394F" w:rsidRPr="004C78D8" w:rsidRDefault="00AD394F" w:rsidP="00FB7C1F">
      <w:r w:rsidRPr="004C78D8">
        <w:t xml:space="preserve">For customers of the intervention – i.e., </w:t>
      </w:r>
      <w:r w:rsidR="003B529C" w:rsidRPr="004C78D8">
        <w:t xml:space="preserve">older </w:t>
      </w:r>
      <w:r w:rsidRPr="004C78D8">
        <w:t xml:space="preserve">users and eligible non-users of falls prevention services – a formal qualitative research was conducted as described already in Chapter 2. Table 3.1 also acknowledges the contributions of independent scientific reviewers who provided written and oral feedback on the conceptual model </w:t>
      </w:r>
      <w:r w:rsidR="0068630D" w:rsidRPr="004C78D8">
        <w:t>during</w:t>
      </w:r>
      <w:r w:rsidRPr="004C78D8">
        <w:t xml:space="preserve"> </w:t>
      </w:r>
      <w:r w:rsidR="004D38C5" w:rsidRPr="004C78D8">
        <w:t xml:space="preserve">the </w:t>
      </w:r>
      <w:r w:rsidRPr="004C78D8">
        <w:t xml:space="preserve">research ethics </w:t>
      </w:r>
      <w:r w:rsidR="0068630D" w:rsidRPr="004C78D8">
        <w:t>applications</w:t>
      </w:r>
      <w:r w:rsidRPr="004C78D8">
        <w:t xml:space="preserve"> and confirmation review. </w:t>
      </w:r>
    </w:p>
    <w:tbl>
      <w:tblPr>
        <w:tblStyle w:val="TableGrid"/>
        <w:tblW w:w="5000" w:type="pct"/>
        <w:tblLook w:val="04A0" w:firstRow="1" w:lastRow="0" w:firstColumn="1" w:lastColumn="0" w:noHBand="0" w:noVBand="1"/>
      </w:tblPr>
      <w:tblGrid>
        <w:gridCol w:w="2268"/>
        <w:gridCol w:w="4526"/>
        <w:gridCol w:w="2222"/>
      </w:tblGrid>
      <w:tr w:rsidR="00AD394F" w:rsidRPr="004C78D8" w14:paraId="489944A3" w14:textId="77777777" w:rsidTr="002828C1">
        <w:tc>
          <w:tcPr>
            <w:tcW w:w="5000" w:type="pct"/>
            <w:gridSpan w:val="3"/>
          </w:tcPr>
          <w:p w14:paraId="3AA43530" w14:textId="72DC7E52" w:rsidR="00AD394F" w:rsidRPr="004C78D8" w:rsidRDefault="00AD394F" w:rsidP="00FB7C1F">
            <w:pPr>
              <w:jc w:val="left"/>
              <w:rPr>
                <w:b/>
                <w:bCs/>
              </w:rPr>
            </w:pPr>
            <w:r w:rsidRPr="004C78D8">
              <w:rPr>
                <w:b/>
                <w:bCs/>
              </w:rPr>
              <w:t>Table 3.1</w:t>
            </w:r>
            <w:r w:rsidRPr="004C78D8">
              <w:t xml:space="preserve"> Stakeholder types and members for falls prevention </w:t>
            </w:r>
            <w:r w:rsidR="00164952" w:rsidRPr="004C78D8">
              <w:t xml:space="preserve">conceptual </w:t>
            </w:r>
            <w:r w:rsidRPr="004C78D8">
              <w:t>model development</w:t>
            </w:r>
            <w:r w:rsidR="00B07AD2" w:rsidRPr="004C78D8">
              <w:t>.</w:t>
            </w:r>
            <w:r w:rsidRPr="004C78D8">
              <w:t xml:space="preserve"> </w:t>
            </w:r>
          </w:p>
        </w:tc>
      </w:tr>
      <w:tr w:rsidR="00AD394F" w:rsidRPr="004C78D8" w14:paraId="1BB75AEE" w14:textId="77777777" w:rsidTr="002828C1">
        <w:tc>
          <w:tcPr>
            <w:tcW w:w="1258" w:type="pct"/>
          </w:tcPr>
          <w:p w14:paraId="3AEAEC4B" w14:textId="77777777" w:rsidR="00AD394F" w:rsidRPr="004C78D8" w:rsidRDefault="00AD394F" w:rsidP="00FB7C1F">
            <w:pPr>
              <w:jc w:val="left"/>
              <w:rPr>
                <w:b/>
                <w:bCs/>
                <w:sz w:val="20"/>
                <w:szCs w:val="20"/>
              </w:rPr>
            </w:pPr>
            <w:r w:rsidRPr="004C78D8">
              <w:rPr>
                <w:b/>
                <w:bCs/>
                <w:sz w:val="20"/>
                <w:szCs w:val="20"/>
              </w:rPr>
              <w:t>Stakeholder type</w:t>
            </w:r>
          </w:p>
        </w:tc>
        <w:tc>
          <w:tcPr>
            <w:tcW w:w="2510" w:type="pct"/>
          </w:tcPr>
          <w:p w14:paraId="6177D33C" w14:textId="77777777" w:rsidR="00AD394F" w:rsidRPr="004C78D8" w:rsidRDefault="00AD394F" w:rsidP="00FB7C1F">
            <w:pPr>
              <w:jc w:val="left"/>
              <w:rPr>
                <w:b/>
                <w:bCs/>
                <w:sz w:val="20"/>
                <w:szCs w:val="20"/>
              </w:rPr>
            </w:pPr>
            <w:r w:rsidRPr="004C78D8">
              <w:rPr>
                <w:b/>
                <w:bCs/>
                <w:sz w:val="20"/>
                <w:szCs w:val="20"/>
              </w:rPr>
              <w:t xml:space="preserve">Stakeholder </w:t>
            </w:r>
          </w:p>
        </w:tc>
        <w:tc>
          <w:tcPr>
            <w:tcW w:w="1232" w:type="pct"/>
          </w:tcPr>
          <w:p w14:paraId="4CEF8468" w14:textId="77777777" w:rsidR="00AD394F" w:rsidRPr="004C78D8" w:rsidRDefault="00AD394F" w:rsidP="00FB7C1F">
            <w:pPr>
              <w:jc w:val="left"/>
              <w:rPr>
                <w:b/>
                <w:bCs/>
                <w:sz w:val="20"/>
                <w:szCs w:val="20"/>
              </w:rPr>
            </w:pPr>
            <w:r w:rsidRPr="004C78D8">
              <w:rPr>
                <w:b/>
                <w:bCs/>
                <w:sz w:val="20"/>
                <w:szCs w:val="20"/>
              </w:rPr>
              <w:t>Mode of engagement</w:t>
            </w:r>
          </w:p>
        </w:tc>
      </w:tr>
      <w:tr w:rsidR="00AD394F" w:rsidRPr="004C78D8" w14:paraId="7B1F0F71" w14:textId="77777777" w:rsidTr="002828C1">
        <w:tc>
          <w:tcPr>
            <w:tcW w:w="1258" w:type="pct"/>
          </w:tcPr>
          <w:p w14:paraId="64282B6F" w14:textId="77777777" w:rsidR="00AD394F" w:rsidRPr="004C78D8" w:rsidRDefault="00AD394F" w:rsidP="00FB7C1F">
            <w:pPr>
              <w:jc w:val="left"/>
              <w:rPr>
                <w:sz w:val="18"/>
                <w:szCs w:val="18"/>
              </w:rPr>
            </w:pPr>
            <w:r w:rsidRPr="004C78D8">
              <w:rPr>
                <w:sz w:val="18"/>
                <w:szCs w:val="18"/>
              </w:rPr>
              <w:t>System owners</w:t>
            </w:r>
          </w:p>
        </w:tc>
        <w:tc>
          <w:tcPr>
            <w:tcW w:w="2510" w:type="pct"/>
          </w:tcPr>
          <w:p w14:paraId="74172C65" w14:textId="77777777" w:rsidR="00AD394F" w:rsidRPr="004C78D8" w:rsidRDefault="00AD394F" w:rsidP="00FB7C1F">
            <w:pPr>
              <w:pStyle w:val="ListParagraph"/>
              <w:numPr>
                <w:ilvl w:val="0"/>
                <w:numId w:val="20"/>
              </w:numPr>
              <w:ind w:left="169" w:hanging="218"/>
              <w:jc w:val="left"/>
              <w:rPr>
                <w:sz w:val="18"/>
                <w:szCs w:val="18"/>
              </w:rPr>
            </w:pPr>
            <w:r w:rsidRPr="004C78D8">
              <w:rPr>
                <w:sz w:val="18"/>
                <w:szCs w:val="18"/>
              </w:rPr>
              <w:t>Sheffield City Council Public Health Principal</w:t>
            </w:r>
          </w:p>
          <w:p w14:paraId="380F0E2F" w14:textId="77777777" w:rsidR="00AD394F" w:rsidRPr="004C78D8" w:rsidRDefault="00AD394F" w:rsidP="00FB7C1F">
            <w:pPr>
              <w:pStyle w:val="ListParagraph"/>
              <w:numPr>
                <w:ilvl w:val="0"/>
                <w:numId w:val="20"/>
              </w:numPr>
              <w:ind w:left="169" w:hanging="218"/>
              <w:jc w:val="left"/>
              <w:rPr>
                <w:sz w:val="18"/>
                <w:szCs w:val="18"/>
              </w:rPr>
            </w:pPr>
            <w:r w:rsidRPr="004C78D8">
              <w:rPr>
                <w:sz w:val="18"/>
                <w:szCs w:val="18"/>
              </w:rPr>
              <w:t>Sheffield City Council health economist</w:t>
            </w:r>
          </w:p>
          <w:p w14:paraId="34A005B4" w14:textId="77777777" w:rsidR="00AD394F" w:rsidRPr="004C78D8" w:rsidRDefault="00AD394F" w:rsidP="00FB7C1F">
            <w:pPr>
              <w:pStyle w:val="ListParagraph"/>
              <w:numPr>
                <w:ilvl w:val="0"/>
                <w:numId w:val="20"/>
              </w:numPr>
              <w:ind w:left="169" w:hanging="218"/>
              <w:jc w:val="left"/>
              <w:rPr>
                <w:sz w:val="18"/>
                <w:szCs w:val="18"/>
              </w:rPr>
            </w:pPr>
            <w:r w:rsidRPr="004C78D8">
              <w:rPr>
                <w:sz w:val="18"/>
                <w:szCs w:val="18"/>
              </w:rPr>
              <w:t>Sheffield CCG commissioners: Chief Nurse; Commissioning director</w:t>
            </w:r>
          </w:p>
          <w:p w14:paraId="7A07A20E" w14:textId="77777777" w:rsidR="00AD394F" w:rsidRPr="004C78D8" w:rsidRDefault="00AD394F" w:rsidP="00FB7C1F">
            <w:pPr>
              <w:pStyle w:val="ListParagraph"/>
              <w:numPr>
                <w:ilvl w:val="0"/>
                <w:numId w:val="20"/>
              </w:numPr>
              <w:ind w:left="169" w:hanging="218"/>
              <w:jc w:val="left"/>
              <w:rPr>
                <w:sz w:val="18"/>
                <w:szCs w:val="18"/>
              </w:rPr>
            </w:pPr>
            <w:r w:rsidRPr="004C78D8">
              <w:rPr>
                <w:sz w:val="18"/>
                <w:szCs w:val="18"/>
              </w:rPr>
              <w:t>Sheffield CCG data scientist</w:t>
            </w:r>
          </w:p>
        </w:tc>
        <w:tc>
          <w:tcPr>
            <w:tcW w:w="1232" w:type="pct"/>
          </w:tcPr>
          <w:p w14:paraId="11E0E0DC" w14:textId="77777777" w:rsidR="00AD394F" w:rsidRPr="004C78D8" w:rsidRDefault="00AD394F" w:rsidP="00FB7C1F">
            <w:pPr>
              <w:jc w:val="left"/>
              <w:rPr>
                <w:sz w:val="18"/>
                <w:szCs w:val="18"/>
              </w:rPr>
            </w:pPr>
            <w:r w:rsidRPr="004C78D8">
              <w:rPr>
                <w:sz w:val="18"/>
                <w:szCs w:val="18"/>
              </w:rPr>
              <w:t>Face-to-face meetings and phone and email exchanges</w:t>
            </w:r>
          </w:p>
        </w:tc>
      </w:tr>
      <w:tr w:rsidR="00AD394F" w:rsidRPr="004C78D8" w14:paraId="7EA4F145" w14:textId="77777777" w:rsidTr="002828C1">
        <w:tc>
          <w:tcPr>
            <w:tcW w:w="1258" w:type="pct"/>
          </w:tcPr>
          <w:p w14:paraId="71A052BD" w14:textId="77777777" w:rsidR="00AD394F" w:rsidRPr="004C78D8" w:rsidRDefault="00AD394F" w:rsidP="00FB7C1F">
            <w:pPr>
              <w:jc w:val="left"/>
              <w:rPr>
                <w:sz w:val="18"/>
                <w:szCs w:val="18"/>
              </w:rPr>
            </w:pPr>
            <w:r w:rsidRPr="004C78D8">
              <w:rPr>
                <w:sz w:val="18"/>
                <w:szCs w:val="18"/>
              </w:rPr>
              <w:t>Actors in the system – integrated care</w:t>
            </w:r>
          </w:p>
        </w:tc>
        <w:tc>
          <w:tcPr>
            <w:tcW w:w="2510" w:type="pct"/>
          </w:tcPr>
          <w:p w14:paraId="2E93240F" w14:textId="77777777" w:rsidR="00AD394F" w:rsidRPr="004C78D8" w:rsidRDefault="00AD394F" w:rsidP="00FB7C1F">
            <w:pPr>
              <w:pStyle w:val="ListParagraph"/>
              <w:numPr>
                <w:ilvl w:val="0"/>
                <w:numId w:val="20"/>
              </w:numPr>
              <w:ind w:left="169" w:hanging="218"/>
              <w:jc w:val="left"/>
              <w:rPr>
                <w:sz w:val="18"/>
                <w:szCs w:val="18"/>
              </w:rPr>
            </w:pPr>
            <w:r w:rsidRPr="004C78D8">
              <w:rPr>
                <w:sz w:val="18"/>
                <w:szCs w:val="18"/>
              </w:rPr>
              <w:t>Managers of social prescribing organisations in Sheffield</w:t>
            </w:r>
          </w:p>
          <w:p w14:paraId="5DDB0F9D" w14:textId="77777777" w:rsidR="00AD394F" w:rsidRPr="004C78D8" w:rsidRDefault="00AD394F" w:rsidP="00FB7C1F">
            <w:pPr>
              <w:pStyle w:val="ListParagraph"/>
              <w:numPr>
                <w:ilvl w:val="0"/>
                <w:numId w:val="20"/>
              </w:numPr>
              <w:ind w:left="169" w:hanging="218"/>
              <w:jc w:val="left"/>
              <w:rPr>
                <w:sz w:val="18"/>
                <w:szCs w:val="18"/>
              </w:rPr>
            </w:pPr>
            <w:r w:rsidRPr="004C78D8">
              <w:rPr>
                <w:sz w:val="18"/>
                <w:szCs w:val="18"/>
              </w:rPr>
              <w:t>Age UK Sheffield</w:t>
            </w:r>
          </w:p>
        </w:tc>
        <w:tc>
          <w:tcPr>
            <w:tcW w:w="1232" w:type="pct"/>
          </w:tcPr>
          <w:p w14:paraId="37F2F4C5" w14:textId="77777777" w:rsidR="00AD394F" w:rsidRPr="004C78D8" w:rsidRDefault="00AD394F" w:rsidP="00FB7C1F">
            <w:pPr>
              <w:jc w:val="left"/>
              <w:rPr>
                <w:sz w:val="18"/>
                <w:szCs w:val="18"/>
              </w:rPr>
            </w:pPr>
            <w:r w:rsidRPr="004C78D8">
              <w:rPr>
                <w:sz w:val="18"/>
                <w:szCs w:val="18"/>
              </w:rPr>
              <w:t>Face-to-face meetings</w:t>
            </w:r>
          </w:p>
        </w:tc>
      </w:tr>
      <w:tr w:rsidR="00AD394F" w:rsidRPr="004C78D8" w14:paraId="0533F939" w14:textId="77777777" w:rsidTr="002828C1">
        <w:tc>
          <w:tcPr>
            <w:tcW w:w="1258" w:type="pct"/>
          </w:tcPr>
          <w:p w14:paraId="18C8DDC1" w14:textId="77777777" w:rsidR="00AD394F" w:rsidRPr="004C78D8" w:rsidRDefault="00AD394F" w:rsidP="00FB7C1F">
            <w:pPr>
              <w:jc w:val="left"/>
              <w:rPr>
                <w:sz w:val="18"/>
                <w:szCs w:val="18"/>
              </w:rPr>
            </w:pPr>
            <w:r w:rsidRPr="004C78D8">
              <w:rPr>
                <w:sz w:val="18"/>
                <w:szCs w:val="18"/>
              </w:rPr>
              <w:t>Actors in the system – falls prevention</w:t>
            </w:r>
          </w:p>
        </w:tc>
        <w:tc>
          <w:tcPr>
            <w:tcW w:w="2510" w:type="pct"/>
          </w:tcPr>
          <w:p w14:paraId="6CEFE7FD" w14:textId="492834B4" w:rsidR="00AD394F" w:rsidRPr="004C78D8" w:rsidRDefault="00540CFB" w:rsidP="00FB7C1F">
            <w:pPr>
              <w:pStyle w:val="ListParagraph"/>
              <w:numPr>
                <w:ilvl w:val="0"/>
                <w:numId w:val="20"/>
              </w:numPr>
              <w:ind w:left="169" w:hanging="218"/>
              <w:jc w:val="left"/>
              <w:rPr>
                <w:sz w:val="18"/>
                <w:szCs w:val="18"/>
              </w:rPr>
            </w:pPr>
            <w:r w:rsidRPr="004C78D8">
              <w:rPr>
                <w:sz w:val="18"/>
                <w:szCs w:val="18"/>
              </w:rPr>
              <w:t>Sheffield Falls Clinic f</w:t>
            </w:r>
            <w:r w:rsidR="00AD394F" w:rsidRPr="004C78D8">
              <w:rPr>
                <w:sz w:val="18"/>
                <w:szCs w:val="18"/>
              </w:rPr>
              <w:t>alls specialist geriatrician</w:t>
            </w:r>
          </w:p>
          <w:p w14:paraId="4AA3BB90" w14:textId="77777777" w:rsidR="00AD394F" w:rsidRPr="004C78D8" w:rsidRDefault="00AD394F" w:rsidP="00FB7C1F">
            <w:pPr>
              <w:pStyle w:val="ListParagraph"/>
              <w:numPr>
                <w:ilvl w:val="0"/>
                <w:numId w:val="20"/>
              </w:numPr>
              <w:ind w:left="169" w:hanging="218"/>
              <w:jc w:val="left"/>
              <w:rPr>
                <w:sz w:val="18"/>
                <w:szCs w:val="18"/>
              </w:rPr>
            </w:pPr>
            <w:r w:rsidRPr="004C78D8">
              <w:rPr>
                <w:sz w:val="18"/>
                <w:szCs w:val="18"/>
              </w:rPr>
              <w:t>Sheffield Falls Clinic multidisciplinary team</w:t>
            </w:r>
          </w:p>
          <w:p w14:paraId="065F5776" w14:textId="77777777" w:rsidR="00AD394F" w:rsidRPr="004C78D8" w:rsidRDefault="00AD394F" w:rsidP="00FB7C1F">
            <w:pPr>
              <w:pStyle w:val="ListParagraph"/>
              <w:numPr>
                <w:ilvl w:val="0"/>
                <w:numId w:val="20"/>
              </w:numPr>
              <w:ind w:left="169" w:hanging="218"/>
              <w:jc w:val="left"/>
              <w:rPr>
                <w:sz w:val="18"/>
                <w:szCs w:val="18"/>
              </w:rPr>
            </w:pPr>
            <w:r w:rsidRPr="004C78D8">
              <w:rPr>
                <w:sz w:val="18"/>
                <w:szCs w:val="18"/>
              </w:rPr>
              <w:t>PT and OT leads in Sheffield Teaching Hospitals</w:t>
            </w:r>
          </w:p>
          <w:p w14:paraId="12AAFCAC" w14:textId="4DA5FAAA" w:rsidR="00AD394F" w:rsidRPr="004C78D8" w:rsidRDefault="00AD394F" w:rsidP="00FB7C1F">
            <w:pPr>
              <w:pStyle w:val="ListParagraph"/>
              <w:numPr>
                <w:ilvl w:val="0"/>
                <w:numId w:val="20"/>
              </w:numPr>
              <w:ind w:left="169" w:hanging="218"/>
              <w:jc w:val="left"/>
              <w:rPr>
                <w:sz w:val="18"/>
                <w:szCs w:val="18"/>
              </w:rPr>
            </w:pPr>
            <w:r w:rsidRPr="004C78D8">
              <w:rPr>
                <w:sz w:val="18"/>
                <w:szCs w:val="18"/>
              </w:rPr>
              <w:t>Dance to Health –</w:t>
            </w:r>
            <w:r w:rsidR="00540CFB" w:rsidRPr="004C78D8">
              <w:rPr>
                <w:sz w:val="18"/>
                <w:szCs w:val="18"/>
              </w:rPr>
              <w:t xml:space="preserve"> </w:t>
            </w:r>
            <w:r w:rsidRPr="004C78D8">
              <w:rPr>
                <w:sz w:val="18"/>
                <w:szCs w:val="18"/>
              </w:rPr>
              <w:t>falls prevention service provider</w:t>
            </w:r>
          </w:p>
          <w:p w14:paraId="44AC0BCE" w14:textId="167C2126" w:rsidR="00AD394F" w:rsidRPr="004C78D8" w:rsidRDefault="00AD394F" w:rsidP="00FB7C1F">
            <w:pPr>
              <w:pStyle w:val="ListParagraph"/>
              <w:numPr>
                <w:ilvl w:val="0"/>
                <w:numId w:val="20"/>
              </w:numPr>
              <w:ind w:left="169" w:hanging="218"/>
              <w:jc w:val="left"/>
              <w:rPr>
                <w:sz w:val="18"/>
                <w:szCs w:val="18"/>
              </w:rPr>
            </w:pPr>
            <w:r w:rsidRPr="004C78D8">
              <w:rPr>
                <w:sz w:val="18"/>
                <w:szCs w:val="18"/>
              </w:rPr>
              <w:t xml:space="preserve">Age UK Sheffield </w:t>
            </w:r>
            <w:r w:rsidR="002D3831" w:rsidRPr="004C78D8">
              <w:rPr>
                <w:sz w:val="18"/>
                <w:szCs w:val="18"/>
              </w:rPr>
              <w:t>– falls prevention service provider</w:t>
            </w:r>
          </w:p>
          <w:p w14:paraId="174DB5F4" w14:textId="77777777" w:rsidR="00AD394F" w:rsidRPr="004C78D8" w:rsidRDefault="00AD394F" w:rsidP="00FB7C1F">
            <w:pPr>
              <w:pStyle w:val="ListParagraph"/>
              <w:numPr>
                <w:ilvl w:val="0"/>
                <w:numId w:val="20"/>
              </w:numPr>
              <w:ind w:left="169" w:hanging="218"/>
              <w:jc w:val="left"/>
              <w:rPr>
                <w:sz w:val="18"/>
                <w:szCs w:val="18"/>
              </w:rPr>
            </w:pPr>
            <w:r w:rsidRPr="004C78D8">
              <w:rPr>
                <w:sz w:val="18"/>
                <w:szCs w:val="18"/>
              </w:rPr>
              <w:t>Falls modelling expert</w:t>
            </w:r>
          </w:p>
        </w:tc>
        <w:tc>
          <w:tcPr>
            <w:tcW w:w="1232" w:type="pct"/>
          </w:tcPr>
          <w:p w14:paraId="1B4A1C7F" w14:textId="77777777" w:rsidR="00AD394F" w:rsidRPr="004C78D8" w:rsidRDefault="00AD394F" w:rsidP="00FB7C1F">
            <w:pPr>
              <w:jc w:val="left"/>
              <w:rPr>
                <w:sz w:val="18"/>
                <w:szCs w:val="18"/>
              </w:rPr>
            </w:pPr>
            <w:r w:rsidRPr="004C78D8">
              <w:rPr>
                <w:sz w:val="18"/>
                <w:szCs w:val="18"/>
              </w:rPr>
              <w:t>Face-to-face and online meetings</w:t>
            </w:r>
          </w:p>
        </w:tc>
      </w:tr>
      <w:tr w:rsidR="00AD394F" w:rsidRPr="004C78D8" w14:paraId="0C16185F" w14:textId="77777777" w:rsidTr="002828C1">
        <w:tc>
          <w:tcPr>
            <w:tcW w:w="1258" w:type="pct"/>
          </w:tcPr>
          <w:p w14:paraId="35ECC551" w14:textId="77777777" w:rsidR="00AD394F" w:rsidRPr="004C78D8" w:rsidRDefault="00AD394F" w:rsidP="00FB7C1F">
            <w:pPr>
              <w:jc w:val="left"/>
              <w:rPr>
                <w:sz w:val="18"/>
                <w:szCs w:val="18"/>
              </w:rPr>
            </w:pPr>
            <w:r w:rsidRPr="004C78D8">
              <w:rPr>
                <w:sz w:val="18"/>
                <w:szCs w:val="18"/>
              </w:rPr>
              <w:t>Customers of the intervention</w:t>
            </w:r>
          </w:p>
        </w:tc>
        <w:tc>
          <w:tcPr>
            <w:tcW w:w="2510" w:type="pct"/>
          </w:tcPr>
          <w:p w14:paraId="575A8473" w14:textId="73419B9A" w:rsidR="00AD394F" w:rsidRPr="004C78D8" w:rsidRDefault="004B411A" w:rsidP="00FB7C1F">
            <w:pPr>
              <w:pStyle w:val="ListParagraph"/>
              <w:numPr>
                <w:ilvl w:val="0"/>
                <w:numId w:val="20"/>
              </w:numPr>
              <w:ind w:left="169" w:hanging="218"/>
              <w:jc w:val="left"/>
              <w:rPr>
                <w:sz w:val="18"/>
                <w:szCs w:val="18"/>
              </w:rPr>
            </w:pPr>
            <w:r w:rsidRPr="004C78D8">
              <w:rPr>
                <w:sz w:val="18"/>
                <w:szCs w:val="18"/>
              </w:rPr>
              <w:t>Older</w:t>
            </w:r>
            <w:r w:rsidR="00AD394F" w:rsidRPr="004C78D8">
              <w:rPr>
                <w:sz w:val="18"/>
                <w:szCs w:val="18"/>
              </w:rPr>
              <w:t xml:space="preserve"> persons in Sheffield</w:t>
            </w:r>
          </w:p>
          <w:p w14:paraId="46980951" w14:textId="15AA2C60" w:rsidR="00AD394F" w:rsidRPr="004C78D8" w:rsidRDefault="00AD394F" w:rsidP="00FB7C1F">
            <w:pPr>
              <w:pStyle w:val="ListParagraph"/>
              <w:numPr>
                <w:ilvl w:val="0"/>
                <w:numId w:val="20"/>
              </w:numPr>
              <w:ind w:left="169" w:hanging="218"/>
              <w:jc w:val="left"/>
              <w:rPr>
                <w:sz w:val="18"/>
                <w:szCs w:val="18"/>
              </w:rPr>
            </w:pPr>
            <w:r w:rsidRPr="004C78D8">
              <w:rPr>
                <w:sz w:val="18"/>
                <w:szCs w:val="18"/>
              </w:rPr>
              <w:t>Age UK Sheffield</w:t>
            </w:r>
            <w:r w:rsidR="003A4EF9" w:rsidRPr="004C78D8">
              <w:rPr>
                <w:sz w:val="18"/>
                <w:szCs w:val="18"/>
              </w:rPr>
              <w:t xml:space="preserve"> – representing older persons</w:t>
            </w:r>
          </w:p>
        </w:tc>
        <w:tc>
          <w:tcPr>
            <w:tcW w:w="1232" w:type="pct"/>
          </w:tcPr>
          <w:p w14:paraId="51AA4496" w14:textId="77777777" w:rsidR="00AD394F" w:rsidRPr="004C78D8" w:rsidRDefault="00AD394F" w:rsidP="00FB7C1F">
            <w:pPr>
              <w:jc w:val="left"/>
              <w:rPr>
                <w:sz w:val="18"/>
                <w:szCs w:val="18"/>
              </w:rPr>
            </w:pPr>
            <w:r w:rsidRPr="004C78D8">
              <w:rPr>
                <w:sz w:val="18"/>
                <w:szCs w:val="18"/>
              </w:rPr>
              <w:t>Face-to-face focus groups, interviews and meetings</w:t>
            </w:r>
          </w:p>
        </w:tc>
      </w:tr>
      <w:tr w:rsidR="00AD394F" w:rsidRPr="004C78D8" w14:paraId="002205AE" w14:textId="77777777" w:rsidTr="002828C1">
        <w:tc>
          <w:tcPr>
            <w:tcW w:w="1258" w:type="pct"/>
          </w:tcPr>
          <w:p w14:paraId="46B19AE0" w14:textId="77777777" w:rsidR="00AD394F" w:rsidRPr="004C78D8" w:rsidRDefault="00AD394F" w:rsidP="00FB7C1F">
            <w:pPr>
              <w:jc w:val="left"/>
              <w:rPr>
                <w:sz w:val="18"/>
                <w:szCs w:val="18"/>
              </w:rPr>
            </w:pPr>
            <w:r w:rsidRPr="004C78D8">
              <w:rPr>
                <w:sz w:val="18"/>
                <w:szCs w:val="18"/>
              </w:rPr>
              <w:t>Independent scientific reviewers</w:t>
            </w:r>
          </w:p>
        </w:tc>
        <w:tc>
          <w:tcPr>
            <w:tcW w:w="2510" w:type="pct"/>
          </w:tcPr>
          <w:p w14:paraId="268F5D37" w14:textId="77777777" w:rsidR="00AD394F" w:rsidRPr="004C78D8" w:rsidRDefault="00AD394F" w:rsidP="00FB7C1F">
            <w:pPr>
              <w:pStyle w:val="ListParagraph"/>
              <w:numPr>
                <w:ilvl w:val="0"/>
                <w:numId w:val="20"/>
              </w:numPr>
              <w:ind w:left="169" w:hanging="218"/>
              <w:jc w:val="left"/>
              <w:rPr>
                <w:sz w:val="18"/>
                <w:szCs w:val="18"/>
              </w:rPr>
            </w:pPr>
            <w:r w:rsidRPr="004C78D8">
              <w:rPr>
                <w:sz w:val="18"/>
                <w:szCs w:val="18"/>
              </w:rPr>
              <w:t>Two health economics modelling experts</w:t>
            </w:r>
          </w:p>
          <w:p w14:paraId="64F7D8A6" w14:textId="77777777" w:rsidR="00AD394F" w:rsidRPr="004C78D8" w:rsidRDefault="00AD394F" w:rsidP="00FB7C1F">
            <w:pPr>
              <w:pStyle w:val="ListParagraph"/>
              <w:numPr>
                <w:ilvl w:val="0"/>
                <w:numId w:val="20"/>
              </w:numPr>
              <w:ind w:left="169" w:hanging="218"/>
              <w:jc w:val="left"/>
              <w:rPr>
                <w:sz w:val="18"/>
                <w:szCs w:val="18"/>
              </w:rPr>
            </w:pPr>
            <w:r w:rsidRPr="004C78D8">
              <w:rPr>
                <w:sz w:val="18"/>
                <w:szCs w:val="18"/>
              </w:rPr>
              <w:t>One health services research expert</w:t>
            </w:r>
          </w:p>
        </w:tc>
        <w:tc>
          <w:tcPr>
            <w:tcW w:w="1232" w:type="pct"/>
          </w:tcPr>
          <w:p w14:paraId="133F580F" w14:textId="77777777" w:rsidR="00AD394F" w:rsidRPr="004C78D8" w:rsidRDefault="00AD394F" w:rsidP="00FB7C1F">
            <w:pPr>
              <w:jc w:val="left"/>
              <w:rPr>
                <w:sz w:val="18"/>
                <w:szCs w:val="18"/>
              </w:rPr>
            </w:pPr>
            <w:r w:rsidRPr="004C78D8">
              <w:rPr>
                <w:sz w:val="18"/>
                <w:szCs w:val="18"/>
              </w:rPr>
              <w:t>Face-to-face meetings and document feedbacks</w:t>
            </w:r>
          </w:p>
        </w:tc>
      </w:tr>
      <w:tr w:rsidR="00AD394F" w:rsidRPr="004C78D8" w14:paraId="2AEBA4ED" w14:textId="77777777" w:rsidTr="002828C1">
        <w:tc>
          <w:tcPr>
            <w:tcW w:w="5000" w:type="pct"/>
            <w:gridSpan w:val="3"/>
          </w:tcPr>
          <w:p w14:paraId="3440899A" w14:textId="502102D9" w:rsidR="00AD394F" w:rsidRPr="004C78D8" w:rsidRDefault="00D10D5E" w:rsidP="00FB7C1F">
            <w:pPr>
              <w:jc w:val="left"/>
              <w:rPr>
                <w:sz w:val="20"/>
                <w:szCs w:val="20"/>
              </w:rPr>
            </w:pPr>
            <w:r w:rsidRPr="004C78D8">
              <w:rPr>
                <w:b/>
                <w:bCs/>
                <w:sz w:val="18"/>
                <w:szCs w:val="18"/>
              </w:rPr>
              <w:lastRenderedPageBreak/>
              <w:t>Abbreviation</w:t>
            </w:r>
            <w:r w:rsidR="000D13BA" w:rsidRPr="004C78D8">
              <w:rPr>
                <w:b/>
                <w:bCs/>
                <w:sz w:val="18"/>
                <w:szCs w:val="18"/>
              </w:rPr>
              <w:t>:</w:t>
            </w:r>
            <w:r w:rsidR="000D13BA" w:rsidRPr="004C78D8">
              <w:rPr>
                <w:sz w:val="18"/>
                <w:szCs w:val="18"/>
              </w:rPr>
              <w:t xml:space="preserve"> </w:t>
            </w:r>
            <w:r w:rsidR="00AD394F" w:rsidRPr="004C78D8">
              <w:rPr>
                <w:sz w:val="18"/>
                <w:szCs w:val="18"/>
              </w:rPr>
              <w:t>CCG: Clinical Commissioning Group; OT: occupational therapy; PT: physiotherapy</w:t>
            </w:r>
          </w:p>
        </w:tc>
      </w:tr>
    </w:tbl>
    <w:p w14:paraId="2D22E101" w14:textId="4C70DC95" w:rsidR="00AD394F" w:rsidRPr="004C78D8" w:rsidRDefault="00AD394F" w:rsidP="00FB7C1F"/>
    <w:p w14:paraId="20CB2775" w14:textId="263A2028" w:rsidR="00475F03" w:rsidRPr="004C78D8" w:rsidRDefault="007A44D5" w:rsidP="00FB7C1F">
      <w:r w:rsidRPr="004C78D8">
        <w:t>Regarding the motivations for participating in the conceptualisation process, t</w:t>
      </w:r>
      <w:r w:rsidR="00475F03" w:rsidRPr="004C78D8">
        <w:t xml:space="preserve">he system owners, actors and customers of falls prevention </w:t>
      </w:r>
      <w:r w:rsidRPr="004C78D8">
        <w:t>commonly sought</w:t>
      </w:r>
      <w:r w:rsidR="00475F03" w:rsidRPr="004C78D8">
        <w:t xml:space="preserve"> to improve the </w:t>
      </w:r>
      <w:r w:rsidR="00176607" w:rsidRPr="004C78D8">
        <w:t xml:space="preserve">local </w:t>
      </w:r>
      <w:r w:rsidR="00475F03" w:rsidRPr="004C78D8">
        <w:t xml:space="preserve">service quality and volume. </w:t>
      </w:r>
      <w:r w:rsidRPr="004C78D8">
        <w:t>In addition, s</w:t>
      </w:r>
      <w:r w:rsidR="00251749" w:rsidRPr="004C78D8">
        <w:t xml:space="preserve">ystem owners </w:t>
      </w:r>
      <w:r w:rsidRPr="004C78D8">
        <w:t xml:space="preserve">had a strategic vision for integrating complex services to achieve efficiency and </w:t>
      </w:r>
      <w:r w:rsidR="001A74FE" w:rsidRPr="004C78D8">
        <w:t>quality</w:t>
      </w:r>
      <w:r w:rsidRPr="004C78D8">
        <w:t xml:space="preserve"> and improving local analytic capacity (see Section 3.4.1 below)</w:t>
      </w:r>
      <w:r w:rsidR="00251749" w:rsidRPr="004C78D8">
        <w:t>.</w:t>
      </w:r>
    </w:p>
    <w:p w14:paraId="2E1EB317" w14:textId="11C2A240" w:rsidR="00AD394F" w:rsidRPr="004C78D8" w:rsidRDefault="00AD394F" w:rsidP="00FB7C1F">
      <w:pPr>
        <w:pStyle w:val="Heading3"/>
      </w:pPr>
      <w:bookmarkStart w:id="68" w:name="_Toc111630719"/>
      <w:r w:rsidRPr="004C78D8">
        <w:t>3.3.2 Choosing the mode of stakeholder engagement</w:t>
      </w:r>
      <w:bookmarkEnd w:id="68"/>
    </w:p>
    <w:p w14:paraId="6AC93705" w14:textId="246F19E3" w:rsidR="00AD394F" w:rsidRPr="004C78D8" w:rsidRDefault="00AD394F" w:rsidP="00FB7C1F">
      <w:r w:rsidRPr="004C78D8">
        <w:t xml:space="preserve">Table 3.1 also describes the modes of stakeholder engagement. It emerged at the early project stage (October 2018) that regular face-to-face stakeholder workshops would prove impractical for most stakeholders, particularly those engaged in full-time clinical practice. For example, the multidisciplinary team at the Sheffield Falls Clinic declined to participate in regular workshops because no guarantee could be made that the Sheffield CCG would adopt the workshop recommendations. Therefore, the mode of engagement was kept flexible to accommodate individual stakeholders’ schedule and commitment. This mainly involved one-to-one face-to-face or phone </w:t>
      </w:r>
      <w:r w:rsidR="00B07AD2" w:rsidRPr="004C78D8">
        <w:t>conversations</w:t>
      </w:r>
      <w:r w:rsidRPr="004C78D8">
        <w:t xml:space="preserve">. That said, several group meetings did take place at early project stages: </w:t>
      </w:r>
    </w:p>
    <w:p w14:paraId="4450A776" w14:textId="79717E5E" w:rsidR="00AD394F" w:rsidRPr="004C78D8" w:rsidRDefault="00AD394F" w:rsidP="00FB7C1F">
      <w:pPr>
        <w:pStyle w:val="ListParagraph"/>
        <w:numPr>
          <w:ilvl w:val="0"/>
          <w:numId w:val="7"/>
        </w:numPr>
      </w:pPr>
      <w:r w:rsidRPr="004C78D8">
        <w:t xml:space="preserve">June 2018: Face-to-face meeting with managers of community organisations involved in social prescribing and </w:t>
      </w:r>
      <w:r w:rsidR="00B07AD2" w:rsidRPr="004C78D8">
        <w:t>SCC</w:t>
      </w:r>
      <w:r w:rsidRPr="004C78D8">
        <w:t xml:space="preserve"> PHP and </w:t>
      </w:r>
      <w:r w:rsidR="00B07AD2" w:rsidRPr="004C78D8">
        <w:t>SCC</w:t>
      </w:r>
      <w:r w:rsidRPr="004C78D8">
        <w:t xml:space="preserve"> health economist.</w:t>
      </w:r>
    </w:p>
    <w:p w14:paraId="65354264" w14:textId="16C1E4BC" w:rsidR="00AD394F" w:rsidRPr="004C78D8" w:rsidRDefault="00AD394F" w:rsidP="00FB7C1F">
      <w:pPr>
        <w:pStyle w:val="ListParagraph"/>
        <w:numPr>
          <w:ilvl w:val="0"/>
          <w:numId w:val="7"/>
        </w:numPr>
      </w:pPr>
      <w:r w:rsidRPr="004C78D8">
        <w:t xml:space="preserve">October 2018: Face-to-face Falls Planning Group meeting with the Sheffield CCG commissioners and data scientist, </w:t>
      </w:r>
      <w:r w:rsidR="00B07AD2" w:rsidRPr="004C78D8">
        <w:t xml:space="preserve">SCC </w:t>
      </w:r>
      <w:r w:rsidRPr="004C78D8">
        <w:t xml:space="preserve">PHP and </w:t>
      </w:r>
      <w:r w:rsidR="00672D6C" w:rsidRPr="004C78D8">
        <w:t>the</w:t>
      </w:r>
      <w:r w:rsidRPr="004C78D8">
        <w:t xml:space="preserve"> falls modelling expert.</w:t>
      </w:r>
    </w:p>
    <w:p w14:paraId="4740DF14" w14:textId="77777777" w:rsidR="00AD394F" w:rsidRPr="004C78D8" w:rsidRDefault="00AD394F" w:rsidP="00FB7C1F">
      <w:pPr>
        <w:pStyle w:val="ListParagraph"/>
        <w:numPr>
          <w:ilvl w:val="0"/>
          <w:numId w:val="7"/>
        </w:numPr>
      </w:pPr>
      <w:r w:rsidRPr="004C78D8">
        <w:t>January 2019: Face-to-face meeting with managers and care workers at Age UK Sheffield.</w:t>
      </w:r>
    </w:p>
    <w:p w14:paraId="1EBAD98F" w14:textId="7496D3B1" w:rsidR="00AD394F" w:rsidRPr="004C78D8" w:rsidRDefault="00AD394F" w:rsidP="00FB7C1F">
      <w:pPr>
        <w:pStyle w:val="ListParagraph"/>
        <w:numPr>
          <w:ilvl w:val="0"/>
          <w:numId w:val="7"/>
        </w:numPr>
      </w:pPr>
      <w:r w:rsidRPr="004C78D8">
        <w:t xml:space="preserve">March 2019: Online meeting with managers of Dance to Health – an organisation providing dance-based falls prevention exercises for </w:t>
      </w:r>
      <w:r w:rsidR="00D019AA" w:rsidRPr="004C78D8">
        <w:t>older persons</w:t>
      </w:r>
      <w:r w:rsidRPr="004C78D8">
        <w:t xml:space="preserve"> in the community </w:t>
      </w:r>
      <w:r w:rsidRPr="004C78D8">
        <w:fldChar w:fldCharType="begin"/>
      </w:r>
      <w:r w:rsidR="00C630FC" w:rsidRPr="004C78D8">
        <w:instrText xml:space="preserve"> ADDIN EN.CITE &lt;EndNote&gt;&lt;Cite&gt;&lt;Author&gt;Vella-Burrows&lt;/Author&gt;&lt;Year&gt;2019&lt;/Year&gt;&lt;RecNum&gt;94&lt;/RecNum&gt;&lt;DisplayText&gt;[195]&lt;/DisplayText&gt;&lt;record&gt;&lt;rec-number&gt;94&lt;/rec-number&gt;&lt;foreign-keys&gt;&lt;key app="EN" db-id="tdtrdw9aepptzbefsat599syza29sxsd2wsp" timestamp="1598190716"&gt;94&lt;/key&gt;&lt;/foreign-keys&gt;&lt;ref-type name="Journal Article"&gt;17&lt;/ref-type&gt;&lt;contributors&gt;&lt;authors&gt;&lt;author&gt;Vella-Burrows, Trish&lt;/author&gt;&lt;author&gt;Pickard, Angela&lt;/author&gt;&lt;author&gt;Wilson, Lian&lt;/author&gt;&lt;author&gt;Clift, Stephen&lt;/author&gt;&lt;author&gt;Whitfield, Laura&lt;/author&gt;&lt;/authors&gt;&lt;/contributors&gt;&lt;titles&gt;&lt;title&gt;‘Dance to Health’: an evaluation of health, social and dance interest outcomes of a dance programme for the prevention of falls&lt;/title&gt;&lt;secondary-title&gt;Arts &amp;amp; Health&lt;/secondary-title&gt;&lt;/titles&gt;&lt;periodical&gt;&lt;full-title&gt;Arts &amp;amp; Health&lt;/full-title&gt;&lt;/periodical&gt;&lt;pages&gt;1-15&lt;/pages&gt;&lt;dates&gt;&lt;year&gt;2019&lt;/year&gt;&lt;/dates&gt;&lt;isbn&gt;1753-3015&lt;/isbn&gt;&lt;urls&gt;&lt;/urls&gt;&lt;/record&gt;&lt;/Cite&gt;&lt;/EndNote&gt;</w:instrText>
      </w:r>
      <w:r w:rsidRPr="004C78D8">
        <w:fldChar w:fldCharType="separate"/>
      </w:r>
      <w:r w:rsidR="00C630FC" w:rsidRPr="004C78D8">
        <w:rPr>
          <w:noProof/>
        </w:rPr>
        <w:t>[195]</w:t>
      </w:r>
      <w:r w:rsidRPr="004C78D8">
        <w:fldChar w:fldCharType="end"/>
      </w:r>
      <w:r w:rsidRPr="004C78D8">
        <w:t xml:space="preserve"> – and an independent evaluator of Dance to Health </w:t>
      </w:r>
      <w:r w:rsidRPr="004C78D8">
        <w:fldChar w:fldCharType="begin"/>
      </w:r>
      <w:r w:rsidR="00C630FC" w:rsidRPr="004C78D8">
        <w:instrText xml:space="preserve"> ADDIN EN.CITE &lt;EndNote&gt;&lt;Cite&gt;&lt;Author&gt;Sport Industry Research Centre&lt;/Author&gt;&lt;Year&gt;2019&lt;/Year&gt;&lt;RecNum&gt;110&lt;/RecNum&gt;&lt;DisplayText&gt;[196]&lt;/DisplayText&gt;&lt;record&gt;&lt;rec-number&gt;110&lt;/rec-number&gt;&lt;foreign-keys&gt;&lt;key app="EN" db-id="tdtrdw9aepptzbefsat599syza29sxsd2wsp" timestamp="1598262067"&gt;110&lt;/key&gt;&lt;/foreign-keys&gt;&lt;ref-type name="Journal Article"&gt;17&lt;/ref-type&gt;&lt;contributors&gt;&lt;authors&gt;&lt;author&gt;Sport Industry Research Centre,&lt;/author&gt;&lt;/authors&gt;&lt;/contributors&gt;&lt;titles&gt;&lt;title&gt;Dance to Health &amp;apos;Phase 1 roll-out [test and learn]&amp;apos; evaluation&lt;/title&gt;&lt;secondary-title&gt;Sheffield Hallam University&lt;/secondary-title&gt;&lt;/titles&gt;&lt;periodical&gt;&lt;full-title&gt;Sheffield Hallam University&lt;/full-title&gt;&lt;/periodical&gt;&lt;dates&gt;&lt;year&gt;2019&lt;/year&gt;&lt;/dates&gt;&lt;urls&gt;&lt;/urls&gt;&lt;/record&gt;&lt;/Cite&gt;&lt;/EndNote&gt;</w:instrText>
      </w:r>
      <w:r w:rsidRPr="004C78D8">
        <w:fldChar w:fldCharType="separate"/>
      </w:r>
      <w:r w:rsidR="00C630FC" w:rsidRPr="004C78D8">
        <w:rPr>
          <w:noProof/>
        </w:rPr>
        <w:t>[196]</w:t>
      </w:r>
      <w:r w:rsidRPr="004C78D8">
        <w:fldChar w:fldCharType="end"/>
      </w:r>
      <w:r w:rsidRPr="004C78D8">
        <w:t>.</w:t>
      </w:r>
    </w:p>
    <w:p w14:paraId="01390DE2" w14:textId="77777777" w:rsidR="00AD394F" w:rsidRPr="004C78D8" w:rsidRDefault="00AD394F" w:rsidP="00FB7C1F">
      <w:pPr>
        <w:pStyle w:val="ListParagraph"/>
        <w:numPr>
          <w:ilvl w:val="0"/>
          <w:numId w:val="7"/>
        </w:numPr>
      </w:pPr>
      <w:r w:rsidRPr="004C78D8">
        <w:t>April 2019: Face-to-face meeting with physiotherapy (PT) and occupational therapy (OT) leads at Sheffield Teaching Hospitals.</w:t>
      </w:r>
    </w:p>
    <w:p w14:paraId="04D63CCB" w14:textId="334C1312" w:rsidR="00AD394F" w:rsidRPr="004C78D8" w:rsidRDefault="00AD394F" w:rsidP="00FB7C1F">
      <w:pPr>
        <w:pStyle w:val="ListParagraph"/>
        <w:numPr>
          <w:ilvl w:val="0"/>
          <w:numId w:val="7"/>
        </w:numPr>
      </w:pPr>
      <w:r w:rsidRPr="004C78D8">
        <w:t xml:space="preserve">October 2019 – January 2020: Qualitative research </w:t>
      </w:r>
      <w:r w:rsidR="009E4378" w:rsidRPr="004C78D8">
        <w:t xml:space="preserve">focus groups </w:t>
      </w:r>
      <w:r w:rsidRPr="004C78D8">
        <w:t xml:space="preserve">with </w:t>
      </w:r>
      <w:r w:rsidR="00430D6F" w:rsidRPr="004C78D8">
        <w:t>older</w:t>
      </w:r>
      <w:r w:rsidRPr="004C78D8">
        <w:t xml:space="preserve"> persons in Sheffield.</w:t>
      </w:r>
    </w:p>
    <w:p w14:paraId="1CF44EB2" w14:textId="449B5609" w:rsidR="00AD394F" w:rsidRPr="004C78D8" w:rsidRDefault="00AD394F" w:rsidP="00FB7C1F">
      <w:pPr>
        <w:pStyle w:val="Heading3"/>
      </w:pPr>
      <w:bookmarkStart w:id="69" w:name="_Toc111630720"/>
      <w:r w:rsidRPr="004C78D8">
        <w:t>3.3.3 Establishing approaches to evidence searching</w:t>
      </w:r>
      <w:bookmarkEnd w:id="69"/>
    </w:p>
    <w:p w14:paraId="637BB953" w14:textId="09D59584" w:rsidR="00AD394F" w:rsidRPr="004C78D8" w:rsidRDefault="00AD394F" w:rsidP="00FB7C1F">
      <w:r w:rsidRPr="004C78D8">
        <w:t xml:space="preserve">The evidence searching approaches for model conceptualisation can be </w:t>
      </w:r>
      <w:r w:rsidR="002974E1" w:rsidRPr="004C78D8">
        <w:t>grouped</w:t>
      </w:r>
      <w:r w:rsidRPr="004C78D8">
        <w:t xml:space="preserve"> into four: (1) stakeholder consultation; (2) systematic literature review – i.e., using explicit, systematic database search strategies; (3) general (non-systematic) literature review; and (4) primary data analysis. Table 3.2 shows how the approaches contributed to each conceptualisation phase or aspect. </w:t>
      </w:r>
    </w:p>
    <w:tbl>
      <w:tblPr>
        <w:tblStyle w:val="TableGrid"/>
        <w:tblW w:w="5000" w:type="pct"/>
        <w:tblLook w:val="04A0" w:firstRow="1" w:lastRow="0" w:firstColumn="1" w:lastColumn="0" w:noHBand="0" w:noVBand="1"/>
      </w:tblPr>
      <w:tblGrid>
        <w:gridCol w:w="1715"/>
        <w:gridCol w:w="1430"/>
        <w:gridCol w:w="5871"/>
      </w:tblGrid>
      <w:tr w:rsidR="00AD394F" w:rsidRPr="004C78D8" w14:paraId="2EFBB788" w14:textId="77777777" w:rsidTr="002828C1">
        <w:tc>
          <w:tcPr>
            <w:tcW w:w="5000" w:type="pct"/>
            <w:gridSpan w:val="3"/>
          </w:tcPr>
          <w:p w14:paraId="1C817F42" w14:textId="61D590BD" w:rsidR="00AD394F" w:rsidRPr="004C78D8" w:rsidRDefault="00AD394F" w:rsidP="00FB7C1F">
            <w:r w:rsidRPr="004C78D8">
              <w:rPr>
                <w:b/>
                <w:bCs/>
              </w:rPr>
              <w:t>Table 3.2</w:t>
            </w:r>
            <w:r w:rsidRPr="004C78D8">
              <w:t xml:space="preserve"> Summary of evidence searching approaches for model conceptualisation</w:t>
            </w:r>
            <w:r w:rsidR="002974E1" w:rsidRPr="004C78D8">
              <w:t>.</w:t>
            </w:r>
          </w:p>
        </w:tc>
      </w:tr>
      <w:tr w:rsidR="00AD394F" w:rsidRPr="004C78D8" w14:paraId="29DB6403" w14:textId="77777777" w:rsidTr="002828C1">
        <w:tc>
          <w:tcPr>
            <w:tcW w:w="951" w:type="pct"/>
            <w:vAlign w:val="bottom"/>
          </w:tcPr>
          <w:p w14:paraId="09BCAADC" w14:textId="77777777" w:rsidR="00AD394F" w:rsidRPr="004C78D8" w:rsidRDefault="00AD394F" w:rsidP="00FB7C1F">
            <w:pPr>
              <w:jc w:val="left"/>
              <w:rPr>
                <w:b/>
                <w:bCs/>
                <w:sz w:val="18"/>
                <w:szCs w:val="18"/>
              </w:rPr>
            </w:pPr>
            <w:r w:rsidRPr="004C78D8">
              <w:rPr>
                <w:b/>
                <w:bCs/>
                <w:sz w:val="18"/>
                <w:szCs w:val="18"/>
              </w:rPr>
              <w:t>Conceptualisation phase</w:t>
            </w:r>
          </w:p>
        </w:tc>
        <w:tc>
          <w:tcPr>
            <w:tcW w:w="793" w:type="pct"/>
            <w:vAlign w:val="bottom"/>
          </w:tcPr>
          <w:p w14:paraId="25F37438" w14:textId="41FE8BB7" w:rsidR="00AD394F" w:rsidRPr="004C78D8" w:rsidRDefault="00AD394F" w:rsidP="00FB7C1F">
            <w:pPr>
              <w:jc w:val="left"/>
              <w:rPr>
                <w:b/>
                <w:bCs/>
                <w:sz w:val="18"/>
                <w:szCs w:val="18"/>
              </w:rPr>
            </w:pPr>
            <w:r w:rsidRPr="004C78D8">
              <w:rPr>
                <w:b/>
                <w:bCs/>
                <w:sz w:val="18"/>
                <w:szCs w:val="18"/>
              </w:rPr>
              <w:t>Evidence searching</w:t>
            </w:r>
            <w:r w:rsidR="005A5E2B" w:rsidRPr="004C78D8">
              <w:rPr>
                <w:b/>
                <w:bCs/>
                <w:sz w:val="18"/>
                <w:szCs w:val="18"/>
              </w:rPr>
              <w:t xml:space="preserve"> approach</w:t>
            </w:r>
          </w:p>
        </w:tc>
        <w:tc>
          <w:tcPr>
            <w:tcW w:w="3257" w:type="pct"/>
            <w:vAlign w:val="bottom"/>
          </w:tcPr>
          <w:p w14:paraId="07BE47F6" w14:textId="77777777" w:rsidR="00AD394F" w:rsidRPr="004C78D8" w:rsidRDefault="00AD394F" w:rsidP="00FB7C1F">
            <w:pPr>
              <w:jc w:val="left"/>
              <w:rPr>
                <w:b/>
                <w:bCs/>
                <w:sz w:val="18"/>
                <w:szCs w:val="18"/>
              </w:rPr>
            </w:pPr>
            <w:r w:rsidRPr="004C78D8">
              <w:rPr>
                <w:b/>
                <w:bCs/>
                <w:sz w:val="18"/>
                <w:szCs w:val="18"/>
              </w:rPr>
              <w:t>Detail</w:t>
            </w:r>
          </w:p>
        </w:tc>
      </w:tr>
      <w:tr w:rsidR="00AD394F" w:rsidRPr="004C78D8" w14:paraId="4D3D18C6" w14:textId="77777777" w:rsidTr="002828C1">
        <w:tc>
          <w:tcPr>
            <w:tcW w:w="951" w:type="pct"/>
            <w:vMerge w:val="restart"/>
          </w:tcPr>
          <w:p w14:paraId="6098910B" w14:textId="77777777" w:rsidR="00AD394F" w:rsidRPr="004C78D8" w:rsidRDefault="00AD394F" w:rsidP="00FB7C1F">
            <w:pPr>
              <w:jc w:val="left"/>
              <w:rPr>
                <w:sz w:val="18"/>
                <w:szCs w:val="18"/>
              </w:rPr>
            </w:pPr>
            <w:r w:rsidRPr="004C78D8">
              <w:rPr>
                <w:sz w:val="18"/>
                <w:szCs w:val="18"/>
              </w:rPr>
              <w:t>Economic evaluation of integrated care</w:t>
            </w:r>
          </w:p>
        </w:tc>
        <w:tc>
          <w:tcPr>
            <w:tcW w:w="793" w:type="pct"/>
          </w:tcPr>
          <w:p w14:paraId="5801378C" w14:textId="77777777" w:rsidR="00AD394F" w:rsidRPr="004C78D8" w:rsidRDefault="00AD394F" w:rsidP="00FB7C1F">
            <w:pPr>
              <w:jc w:val="left"/>
              <w:rPr>
                <w:sz w:val="18"/>
                <w:szCs w:val="18"/>
              </w:rPr>
            </w:pPr>
            <w:r w:rsidRPr="004C78D8">
              <w:rPr>
                <w:sz w:val="18"/>
                <w:szCs w:val="18"/>
              </w:rPr>
              <w:t>Stakeholder consultation</w:t>
            </w:r>
          </w:p>
        </w:tc>
        <w:tc>
          <w:tcPr>
            <w:tcW w:w="3257" w:type="pct"/>
          </w:tcPr>
          <w:p w14:paraId="41BCECEC" w14:textId="77777777" w:rsidR="00AD394F" w:rsidRPr="004C78D8" w:rsidRDefault="00AD394F" w:rsidP="00FB7C1F">
            <w:pPr>
              <w:pStyle w:val="ListParagraph"/>
              <w:numPr>
                <w:ilvl w:val="0"/>
                <w:numId w:val="21"/>
              </w:numPr>
              <w:ind w:left="180" w:hanging="218"/>
              <w:jc w:val="left"/>
              <w:rPr>
                <w:sz w:val="18"/>
                <w:szCs w:val="18"/>
              </w:rPr>
            </w:pPr>
            <w:r w:rsidRPr="004C78D8">
              <w:rPr>
                <w:sz w:val="18"/>
                <w:szCs w:val="18"/>
              </w:rPr>
              <w:t>May-June 2018 discussions with SCC PHP on Active Support &amp; Recovery integrated care scheme.</w:t>
            </w:r>
          </w:p>
          <w:p w14:paraId="07D9E544" w14:textId="77777777" w:rsidR="00AD394F" w:rsidRPr="004C78D8" w:rsidRDefault="00AD394F" w:rsidP="00FB7C1F">
            <w:pPr>
              <w:pStyle w:val="ListParagraph"/>
              <w:numPr>
                <w:ilvl w:val="0"/>
                <w:numId w:val="21"/>
              </w:numPr>
              <w:ind w:left="180" w:hanging="218"/>
              <w:jc w:val="left"/>
              <w:rPr>
                <w:sz w:val="18"/>
                <w:szCs w:val="18"/>
              </w:rPr>
            </w:pPr>
            <w:r w:rsidRPr="004C78D8">
              <w:rPr>
                <w:sz w:val="18"/>
                <w:szCs w:val="18"/>
              </w:rPr>
              <w:t>June 2018 meeting with social prescribing organisations to discuss the decision problem around community-based integrated care.</w:t>
            </w:r>
          </w:p>
        </w:tc>
      </w:tr>
      <w:tr w:rsidR="00AD394F" w:rsidRPr="004C78D8" w14:paraId="6C3552F4" w14:textId="77777777" w:rsidTr="002828C1">
        <w:tc>
          <w:tcPr>
            <w:tcW w:w="951" w:type="pct"/>
            <w:vMerge/>
          </w:tcPr>
          <w:p w14:paraId="3BEC512D" w14:textId="77777777" w:rsidR="00AD394F" w:rsidRPr="004C78D8" w:rsidRDefault="00AD394F" w:rsidP="00FB7C1F">
            <w:pPr>
              <w:jc w:val="left"/>
              <w:rPr>
                <w:sz w:val="18"/>
                <w:szCs w:val="18"/>
              </w:rPr>
            </w:pPr>
          </w:p>
        </w:tc>
        <w:tc>
          <w:tcPr>
            <w:tcW w:w="793" w:type="pct"/>
          </w:tcPr>
          <w:p w14:paraId="73F2FEBD" w14:textId="77777777" w:rsidR="00AD394F" w:rsidRPr="004C78D8" w:rsidRDefault="00AD394F" w:rsidP="00FB7C1F">
            <w:pPr>
              <w:jc w:val="left"/>
              <w:rPr>
                <w:sz w:val="18"/>
                <w:szCs w:val="18"/>
              </w:rPr>
            </w:pPr>
            <w:r w:rsidRPr="004C78D8">
              <w:rPr>
                <w:sz w:val="18"/>
                <w:szCs w:val="18"/>
              </w:rPr>
              <w:t>General literature review</w:t>
            </w:r>
          </w:p>
        </w:tc>
        <w:tc>
          <w:tcPr>
            <w:tcW w:w="3257" w:type="pct"/>
          </w:tcPr>
          <w:p w14:paraId="4C239F3B" w14:textId="52FE1566" w:rsidR="00AD394F" w:rsidRPr="004C78D8" w:rsidRDefault="00AD394F" w:rsidP="00FB7C1F">
            <w:pPr>
              <w:pStyle w:val="ListParagraph"/>
              <w:numPr>
                <w:ilvl w:val="0"/>
                <w:numId w:val="21"/>
              </w:numPr>
              <w:ind w:left="180" w:hanging="218"/>
              <w:jc w:val="left"/>
              <w:rPr>
                <w:sz w:val="18"/>
                <w:szCs w:val="18"/>
              </w:rPr>
            </w:pPr>
            <w:r w:rsidRPr="004C78D8">
              <w:rPr>
                <w:sz w:val="18"/>
                <w:szCs w:val="18"/>
              </w:rPr>
              <w:t xml:space="preserve">UK/Sheffield policy documents: e.g., </w:t>
            </w:r>
            <w:r w:rsidRPr="004C78D8">
              <w:rPr>
                <w:sz w:val="18"/>
                <w:szCs w:val="18"/>
              </w:rPr>
              <w:fldChar w:fldCharType="begin"/>
            </w:r>
            <w:r w:rsidR="00C630FC" w:rsidRPr="004C78D8">
              <w:rPr>
                <w:sz w:val="18"/>
                <w:szCs w:val="18"/>
              </w:rPr>
              <w:instrText xml:space="preserve"> ADDIN EN.CITE &lt;EndNote&gt;&lt;Cite&gt;&lt;Author&gt;Griffiths&lt;/Author&gt;&lt;Year&gt;2015&lt;/Year&gt;&lt;RecNum&gt;550&lt;/RecNum&gt;&lt;DisplayText&gt;[212, 213]&lt;/DisplayText&gt;&lt;record&gt;&lt;rec-number&gt;550&lt;/rec-number&gt;&lt;foreign-keys&gt;&lt;key app="EN" db-id="tdtrdw9aepptzbefsat599syza29sxsd2wsp" timestamp="1618948403"&gt;550&lt;/key&gt;&lt;/foreign-keys&gt;&lt;ref-type name="Journal Article"&gt;17&lt;/ref-type&gt;&lt;contributors&gt;&lt;authors&gt;&lt;author&gt;Griffiths, Idris&lt;/author&gt;&lt;/authors&gt;&lt;/contributors&gt;&lt;titles&gt;&lt;title&gt;Sheffield Clinical Commissioning Group Active Support and Recovery update: governing body meeting&lt;/title&gt;&lt;/titles&gt;&lt;dates&gt;&lt;year&gt;2015&lt;/year&gt;&lt;/dates&gt;&lt;urls&gt;&lt;/urls&gt;&lt;/record&gt;&lt;/Cite&gt;&lt;Cite&gt;&lt;Author&gt;Sheffield Health and Wellbeing Board&lt;/Author&gt;&lt;Year&gt;2019&lt;/Year&gt;&lt;RecNum&gt;549&lt;/RecNum&gt;&lt;record&gt;&lt;rec-number&gt;549&lt;/rec-number&gt;&lt;foreign-keys&gt;&lt;key app="EN" db-id="tdtrdw9aepptzbefsat599syza29sxsd2wsp" timestamp="1618948362"&gt;549&lt;/key&gt;&lt;/foreign-keys&gt;&lt;ref-type name="Journal Article"&gt;17&lt;/ref-type&gt;&lt;contributors&gt;&lt;authors&gt;&lt;author&gt;Sheffield Health and Wellbeing Board,&lt;/author&gt;&lt;/authors&gt;&lt;/contributors&gt;&lt;titles&gt;&lt;title&gt;Sheffield&amp;apos;s Better Care Fund Update&lt;/title&gt;&lt;secondary-title&gt;Health and Wellbeing Board Paper: Formal Public Meeting&lt;/secondary-title&gt;&lt;/titles&gt;&lt;periodical&gt;&lt;full-title&gt;Health and Wellbeing Board Paper: Formal Public Meeting&lt;/full-title&gt;&lt;/periodical&gt;&lt;dates&gt;&lt;year&gt;2019&lt;/year&gt;&lt;/dates&gt;&lt;urls&gt;&lt;/urls&gt;&lt;/record&gt;&lt;/Cite&gt;&lt;/EndNote&gt;</w:instrText>
            </w:r>
            <w:r w:rsidRPr="004C78D8">
              <w:rPr>
                <w:sz w:val="18"/>
                <w:szCs w:val="18"/>
              </w:rPr>
              <w:fldChar w:fldCharType="separate"/>
            </w:r>
            <w:r w:rsidR="00C630FC" w:rsidRPr="004C78D8">
              <w:rPr>
                <w:noProof/>
                <w:sz w:val="18"/>
                <w:szCs w:val="18"/>
              </w:rPr>
              <w:t>[212, 213]</w:t>
            </w:r>
            <w:r w:rsidRPr="004C78D8">
              <w:rPr>
                <w:sz w:val="18"/>
                <w:szCs w:val="18"/>
              </w:rPr>
              <w:fldChar w:fldCharType="end"/>
            </w:r>
            <w:r w:rsidRPr="004C78D8">
              <w:rPr>
                <w:sz w:val="18"/>
                <w:szCs w:val="18"/>
              </w:rPr>
              <w:t xml:space="preserve"> </w:t>
            </w:r>
          </w:p>
          <w:p w14:paraId="0DA07CF8" w14:textId="2A0588F0" w:rsidR="00AD394F" w:rsidRPr="004C78D8" w:rsidRDefault="00AD394F" w:rsidP="00FB7C1F">
            <w:pPr>
              <w:pStyle w:val="ListParagraph"/>
              <w:numPr>
                <w:ilvl w:val="0"/>
                <w:numId w:val="21"/>
              </w:numPr>
              <w:ind w:left="180" w:hanging="218"/>
              <w:jc w:val="left"/>
              <w:rPr>
                <w:sz w:val="18"/>
                <w:szCs w:val="18"/>
              </w:rPr>
            </w:pPr>
            <w:r w:rsidRPr="004C78D8">
              <w:rPr>
                <w:sz w:val="18"/>
                <w:szCs w:val="18"/>
              </w:rPr>
              <w:t xml:space="preserve">Scope of geriatric integrated care: e.g., </w:t>
            </w:r>
            <w:r w:rsidRPr="004C78D8">
              <w:rPr>
                <w:sz w:val="18"/>
                <w:szCs w:val="18"/>
              </w:rPr>
              <w:fldChar w:fldCharType="begin"/>
            </w:r>
            <w:r w:rsidR="00513646" w:rsidRPr="004C78D8">
              <w:rPr>
                <w:sz w:val="18"/>
                <w:szCs w:val="18"/>
              </w:rPr>
              <w:instrText xml:space="preserve"> ADDIN EN.CITE &lt;EndNote&gt;&lt;Cite&gt;&lt;Author&gt;Oliver&lt;/Author&gt;&lt;Year&gt;2014&lt;/Year&gt;&lt;RecNum&gt;282&lt;/RecNum&gt;&lt;DisplayText&gt;[97]&lt;/DisplayText&gt;&lt;record&gt;&lt;rec-number&gt;282&lt;/rec-number&gt;&lt;foreign-keys&gt;&lt;key app="EN" db-id="tdtrdw9aepptzbefsat599syza29sxsd2wsp" timestamp="1611699298"&gt;282&lt;/key&gt;&lt;/foreign-keys&gt;&lt;ref-type name="Book"&gt;6&lt;/ref-type&gt;&lt;contributors&gt;&lt;authors&gt;&lt;author&gt;Oliver, David&lt;/author&gt;&lt;author&gt;Foot, Catherine&lt;/author&gt;&lt;author&gt;Humphries, Richard&lt;/author&gt;&lt;/authors&gt;&lt;/contributors&gt;&lt;titles&gt;&lt;title&gt;Making our health and care systems fit for an ageing population&lt;/title&gt;&lt;/titles&gt;&lt;dates&gt;&lt;year&gt;2014&lt;/year&gt;&lt;/dates&gt;&lt;publisher&gt;King&amp;apos;s Fund&lt;/publisher&gt;&lt;isbn&gt;1909029270&lt;/isbn&gt;&lt;urls&gt;&lt;/urls&gt;&lt;/record&gt;&lt;/Cite&gt;&lt;/EndNote&gt;</w:instrText>
            </w:r>
            <w:r w:rsidRPr="004C78D8">
              <w:rPr>
                <w:sz w:val="18"/>
                <w:szCs w:val="18"/>
              </w:rPr>
              <w:fldChar w:fldCharType="separate"/>
            </w:r>
            <w:r w:rsidR="00513646" w:rsidRPr="004C78D8">
              <w:rPr>
                <w:noProof/>
                <w:sz w:val="18"/>
                <w:szCs w:val="18"/>
              </w:rPr>
              <w:t>[97]</w:t>
            </w:r>
            <w:r w:rsidRPr="004C78D8">
              <w:rPr>
                <w:sz w:val="18"/>
                <w:szCs w:val="18"/>
              </w:rPr>
              <w:fldChar w:fldCharType="end"/>
            </w:r>
          </w:p>
          <w:p w14:paraId="60E6E419" w14:textId="0C67C410" w:rsidR="00AD394F" w:rsidRPr="004C78D8" w:rsidRDefault="00AD394F" w:rsidP="00FB7C1F">
            <w:pPr>
              <w:pStyle w:val="ListParagraph"/>
              <w:numPr>
                <w:ilvl w:val="0"/>
                <w:numId w:val="21"/>
              </w:numPr>
              <w:ind w:left="180" w:hanging="218"/>
              <w:jc w:val="left"/>
              <w:rPr>
                <w:sz w:val="18"/>
                <w:szCs w:val="18"/>
              </w:rPr>
            </w:pPr>
            <w:r w:rsidRPr="004C78D8">
              <w:rPr>
                <w:sz w:val="18"/>
                <w:szCs w:val="18"/>
              </w:rPr>
              <w:t xml:space="preserve">Range of outcomes and study designs: e.g., </w:t>
            </w:r>
            <w:r w:rsidRPr="004C78D8">
              <w:rPr>
                <w:sz w:val="18"/>
                <w:szCs w:val="18"/>
              </w:rPr>
              <w:fldChar w:fldCharType="begin"/>
            </w:r>
            <w:r w:rsidR="00513646" w:rsidRPr="004C78D8">
              <w:rPr>
                <w:sz w:val="18"/>
                <w:szCs w:val="18"/>
              </w:rPr>
              <w:instrText xml:space="preserve"> ADDIN EN.CITE &lt;EndNote&gt;&lt;Cite&gt;&lt;Author&gt;Baxter&lt;/Author&gt;&lt;Year&gt;2018&lt;/Year&gt;&lt;RecNum&gt;459&lt;/RecNum&gt;&lt;DisplayText&gt;[118]&lt;/DisplayText&gt;&lt;record&gt;&lt;rec-number&gt;459&lt;/rec-number&gt;&lt;foreign-keys&gt;&lt;key app="EN" db-id="tdtrdw9aepptzbefsat599syza29sxsd2wsp" timestamp="1616451678"&gt;459&lt;/key&gt;&lt;/foreign-keys&gt;&lt;ref-type name="Journal Article"&gt;17&lt;/ref-type&gt;&lt;contributors&gt;&lt;authors&gt;&lt;author&gt;Baxter, Susan&lt;/author&gt;&lt;author&gt;Johnson, Maxine&lt;/author&gt;&lt;author&gt;Chambers, Duncan&lt;/author&gt;&lt;author&gt;Sutton, Anthea&lt;/author&gt;&lt;author&gt;Goyder, Elizabeth&lt;/author&gt;&lt;author&gt;Booth, Andrew&lt;/author&gt;&lt;/authors&gt;&lt;/contributors&gt;&lt;titles&gt;&lt;title&gt;The effects of integrated care: a systematic review of UK and international evidence&lt;/title&gt;&lt;secondary-title&gt;BMC health services research&lt;/secondary-title&gt;&lt;/titles&gt;&lt;periodical&gt;&lt;full-title&gt;BMC health services research&lt;/full-title&gt;&lt;/periodical&gt;&lt;pages&gt;350&lt;/pages&gt;&lt;volume&gt;18&lt;/volume&gt;&lt;number&gt;1&lt;/number&gt;&lt;dates&gt;&lt;year&gt;2018&lt;/year&gt;&lt;/dates&gt;&lt;isbn&gt;1472-6963&lt;/isbn&gt;&lt;urls&gt;&lt;/urls&gt;&lt;/record&gt;&lt;/Cite&gt;&lt;/EndNote&gt;</w:instrText>
            </w:r>
            <w:r w:rsidRPr="004C78D8">
              <w:rPr>
                <w:sz w:val="18"/>
                <w:szCs w:val="18"/>
              </w:rPr>
              <w:fldChar w:fldCharType="separate"/>
            </w:r>
            <w:r w:rsidR="00513646" w:rsidRPr="004C78D8">
              <w:rPr>
                <w:noProof/>
                <w:sz w:val="18"/>
                <w:szCs w:val="18"/>
              </w:rPr>
              <w:t>[118]</w:t>
            </w:r>
            <w:r w:rsidRPr="004C78D8">
              <w:rPr>
                <w:sz w:val="18"/>
                <w:szCs w:val="18"/>
              </w:rPr>
              <w:fldChar w:fldCharType="end"/>
            </w:r>
          </w:p>
          <w:p w14:paraId="14C98128" w14:textId="340DD029" w:rsidR="00AD394F" w:rsidRPr="004C78D8" w:rsidRDefault="00AD394F" w:rsidP="00FB7C1F">
            <w:pPr>
              <w:pStyle w:val="ListParagraph"/>
              <w:numPr>
                <w:ilvl w:val="0"/>
                <w:numId w:val="21"/>
              </w:numPr>
              <w:ind w:left="180" w:hanging="218"/>
              <w:jc w:val="left"/>
              <w:rPr>
                <w:sz w:val="18"/>
                <w:szCs w:val="18"/>
              </w:rPr>
            </w:pPr>
            <w:r w:rsidRPr="004C78D8">
              <w:rPr>
                <w:sz w:val="18"/>
                <w:szCs w:val="18"/>
              </w:rPr>
              <w:t xml:space="preserve">Range of efficacy evidence: e.g., </w:t>
            </w:r>
            <w:r w:rsidRPr="004C78D8">
              <w:rPr>
                <w:sz w:val="18"/>
                <w:szCs w:val="18"/>
              </w:rPr>
              <w:fldChar w:fldCharType="begin"/>
            </w:r>
            <w:r w:rsidR="00C630FC" w:rsidRPr="004C78D8">
              <w:rPr>
                <w:sz w:val="18"/>
                <w:szCs w:val="18"/>
              </w:rPr>
              <w:instrText xml:space="preserve"> ADDIN EN.CITE &lt;EndNote&gt;&lt;Cite&gt;&lt;Author&gt;Beswick&lt;/Author&gt;&lt;Year&gt;2010&lt;/Year&gt;&lt;RecNum&gt;548&lt;/RecNum&gt;&lt;DisplayText&gt;[214]&lt;/DisplayText&gt;&lt;record&gt;&lt;rec-number&gt;548&lt;/rec-number&gt;&lt;foreign-keys&gt;&lt;key app="EN" db-id="tdtrdw9aepptzbefsat599syza29sxsd2wsp" timestamp="1618948032"&gt;548&lt;/key&gt;&lt;/foreign-keys&gt;&lt;ref-type name="Journal Article"&gt;17&lt;/ref-type&gt;&lt;contributors&gt;&lt;authors&gt;&lt;author&gt;Beswick, Andrew D&lt;/author&gt;&lt;author&gt;Gooberman-Hill, Rachel&lt;/author&gt;&lt;author&gt;Smith, Adam&lt;/author&gt;&lt;author&gt;Wylde, Vikki&lt;/author&gt;&lt;author&gt;Ebrahim, Shah&lt;/author&gt;&lt;/authors&gt;&lt;/contributors&gt;&lt;titles&gt;&lt;title&gt;Maintaining independence in older people&lt;/title&gt;&lt;secondary-title&gt;Reviews in Clinical Gerontology&lt;/secondary-title&gt;&lt;/titles&gt;&lt;periodical&gt;&lt;full-title&gt;Reviews in Clinical Gerontology&lt;/full-title&gt;&lt;/periodical&gt;&lt;pages&gt;128-153&lt;/pages&gt;&lt;volume&gt;20&lt;/volume&gt;&lt;number&gt;2&lt;/number&gt;&lt;dates&gt;&lt;year&gt;2010&lt;/year&gt;&lt;/dates&gt;&lt;isbn&gt;1469-9036&lt;/isbn&gt;&lt;urls&gt;&lt;/urls&gt;&lt;/record&gt;&lt;/Cite&gt;&lt;/EndNote&gt;</w:instrText>
            </w:r>
            <w:r w:rsidRPr="004C78D8">
              <w:rPr>
                <w:sz w:val="18"/>
                <w:szCs w:val="18"/>
              </w:rPr>
              <w:fldChar w:fldCharType="separate"/>
            </w:r>
            <w:r w:rsidR="00C630FC" w:rsidRPr="004C78D8">
              <w:rPr>
                <w:noProof/>
                <w:sz w:val="18"/>
                <w:szCs w:val="18"/>
              </w:rPr>
              <w:t>[214]</w:t>
            </w:r>
            <w:r w:rsidRPr="004C78D8">
              <w:rPr>
                <w:sz w:val="18"/>
                <w:szCs w:val="18"/>
              </w:rPr>
              <w:fldChar w:fldCharType="end"/>
            </w:r>
          </w:p>
          <w:p w14:paraId="116C887E" w14:textId="28D7E926" w:rsidR="00AD394F" w:rsidRPr="004C78D8" w:rsidRDefault="00AD394F" w:rsidP="00FB7C1F">
            <w:pPr>
              <w:pStyle w:val="ListParagraph"/>
              <w:numPr>
                <w:ilvl w:val="0"/>
                <w:numId w:val="21"/>
              </w:numPr>
              <w:ind w:left="180" w:hanging="218"/>
              <w:jc w:val="left"/>
              <w:rPr>
                <w:sz w:val="18"/>
                <w:szCs w:val="18"/>
              </w:rPr>
            </w:pPr>
            <w:r w:rsidRPr="004C78D8">
              <w:rPr>
                <w:sz w:val="18"/>
                <w:szCs w:val="18"/>
              </w:rPr>
              <w:t xml:space="preserve">Potential modelling strategies: e.g., </w:t>
            </w:r>
            <w:r w:rsidRPr="004C78D8">
              <w:rPr>
                <w:sz w:val="18"/>
                <w:szCs w:val="18"/>
              </w:rPr>
              <w:fldChar w:fldCharType="begin"/>
            </w:r>
            <w:r w:rsidR="00C630FC" w:rsidRPr="004C78D8">
              <w:rPr>
                <w:sz w:val="18"/>
                <w:szCs w:val="18"/>
              </w:rPr>
              <w:instrText xml:space="preserve"> ADDIN EN.CITE &lt;EndNote&gt;&lt;Cite&gt;&lt;Author&gt;Katsaliaki&lt;/Author&gt;&lt;Year&gt;2005&lt;/Year&gt;&lt;RecNum&gt;547&lt;/RecNum&gt;&lt;DisplayText&gt;[215]&lt;/DisplayText&gt;&lt;record&gt;&lt;rec-number&gt;547&lt;/rec-number&gt;&lt;foreign-keys&gt;&lt;key app="EN" db-id="tdtrdw9aepptzbefsat599syza29sxsd2wsp" timestamp="1618948020"&gt;547&lt;/key&gt;&lt;/foreign-keys&gt;&lt;ref-type name="Journal Article"&gt;17&lt;/ref-type&gt;&lt;contributors&gt;&lt;authors&gt;&lt;author&gt;Katsaliaki, Korina&lt;/author&gt;&lt;author&gt;Brailsford, Sally&lt;/author&gt;&lt;author&gt;Browning, David&lt;/author&gt;&lt;author&gt;Knight, Peter&lt;/author&gt;&lt;/authors&gt;&lt;/contributors&gt;&lt;titles&gt;&lt;title&gt;Mapping care pathways for the elderly&lt;/title&gt;&lt;secondary-title&gt;Journal of health organization and management&lt;/secondary-title&gt;&lt;/titles&gt;&lt;periodical&gt;&lt;full-title&gt;Journal of health organization and management&lt;/full-title&gt;&lt;/periodical&gt;&lt;pages&gt;57-72&lt;/pages&gt;&lt;volume&gt;19&lt;/volume&gt;&lt;number&gt;1&lt;/number&gt;&lt;dates&gt;&lt;year&gt;2005&lt;/year&gt;&lt;/dates&gt;&lt;isbn&gt;1477-7266&lt;/isbn&gt;&lt;urls&gt;&lt;/urls&gt;&lt;/record&gt;&lt;/Cite&gt;&lt;/EndNote&gt;</w:instrText>
            </w:r>
            <w:r w:rsidRPr="004C78D8">
              <w:rPr>
                <w:sz w:val="18"/>
                <w:szCs w:val="18"/>
              </w:rPr>
              <w:fldChar w:fldCharType="separate"/>
            </w:r>
            <w:r w:rsidR="00C630FC" w:rsidRPr="004C78D8">
              <w:rPr>
                <w:noProof/>
                <w:sz w:val="18"/>
                <w:szCs w:val="18"/>
              </w:rPr>
              <w:t>[215]</w:t>
            </w:r>
            <w:r w:rsidRPr="004C78D8">
              <w:rPr>
                <w:sz w:val="18"/>
                <w:szCs w:val="18"/>
              </w:rPr>
              <w:fldChar w:fldCharType="end"/>
            </w:r>
          </w:p>
          <w:p w14:paraId="0BBCFCA7" w14:textId="3FDA0C7D" w:rsidR="00AD394F" w:rsidRPr="004C78D8" w:rsidRDefault="005A5E2B" w:rsidP="00FB7C1F">
            <w:pPr>
              <w:pStyle w:val="ListParagraph"/>
              <w:numPr>
                <w:ilvl w:val="0"/>
                <w:numId w:val="21"/>
              </w:numPr>
              <w:ind w:left="180" w:hanging="218"/>
              <w:jc w:val="left"/>
              <w:rPr>
                <w:sz w:val="18"/>
                <w:szCs w:val="18"/>
              </w:rPr>
            </w:pPr>
            <w:r w:rsidRPr="004C78D8">
              <w:rPr>
                <w:sz w:val="18"/>
                <w:szCs w:val="18"/>
              </w:rPr>
              <w:t>Challenge</w:t>
            </w:r>
            <w:r w:rsidR="00AD394F" w:rsidRPr="004C78D8">
              <w:rPr>
                <w:sz w:val="18"/>
                <w:szCs w:val="18"/>
              </w:rPr>
              <w:t>s in evaluating integrated care</w:t>
            </w:r>
            <w:r w:rsidRPr="004C78D8">
              <w:rPr>
                <w:sz w:val="18"/>
                <w:szCs w:val="18"/>
              </w:rPr>
              <w:t xml:space="preserve"> schemes</w:t>
            </w:r>
            <w:r w:rsidR="00AD394F" w:rsidRPr="004C78D8">
              <w:rPr>
                <w:sz w:val="18"/>
                <w:szCs w:val="18"/>
              </w:rPr>
              <w:t xml:space="preserve">: </w:t>
            </w:r>
            <w:r w:rsidR="00AD394F" w:rsidRPr="004C78D8">
              <w:rPr>
                <w:sz w:val="18"/>
                <w:szCs w:val="18"/>
              </w:rPr>
              <w:fldChar w:fldCharType="begin"/>
            </w:r>
            <w:r w:rsidR="00513646" w:rsidRPr="004C78D8">
              <w:rPr>
                <w:sz w:val="18"/>
                <w:szCs w:val="18"/>
              </w:rPr>
              <w:instrText xml:space="preserve"> ADDIN EN.CITE &lt;EndNote&gt;&lt;Cite&gt;&lt;Author&gt;Kumpunen&lt;/Author&gt;&lt;Year&gt;2020&lt;/Year&gt;&lt;RecNum&gt;12&lt;/RecNum&gt;&lt;DisplayText&gt;[121]&lt;/DisplayText&gt;&lt;record&gt;&lt;rec-number&gt;12&lt;/rec-number&gt;&lt;foreign-keys&gt;&lt;key app="EN" db-id="tdtrdw9aepptzbefsat599syza29sxsd2wsp" timestamp="1596618991"&gt;12&lt;/key&gt;&lt;/foreign-keys&gt;&lt;ref-type name="Journal Article"&gt;17&lt;/ref-type&gt;&lt;contributors&gt;&lt;authors&gt;&lt;author&gt;Kumpunen, Stephanie&lt;/author&gt;&lt;author&gt;Edwards, Nigel&lt;/author&gt;&lt;author&gt;Georghiou, Theo&lt;/author&gt;&lt;author&gt;Hughes, Gemma&lt;/author&gt;&lt;/authors&gt;&lt;/contributors&gt;&lt;titles&gt;&lt;title&gt;Why do evaluations of integrated care not produce the results we expect?&lt;/title&gt;&lt;secondary-title&gt;International Journal of Care Coordination&lt;/secondary-title&gt;&lt;/titles&gt;&lt;periodical&gt;&lt;full-title&gt;International Journal of Care Coordination&lt;/full-title&gt;&lt;/periodical&gt;&lt;pages&gt;2053434520909089&lt;/pages&gt;&lt;dates&gt;&lt;year&gt;2020&lt;/year&gt;&lt;/dates&gt;&lt;isbn&gt;2053-4345&lt;/isbn&gt;&lt;urls&gt;&lt;/urls&gt;&lt;/record&gt;&lt;/Cite&gt;&lt;/EndNote&gt;</w:instrText>
            </w:r>
            <w:r w:rsidR="00AD394F" w:rsidRPr="004C78D8">
              <w:rPr>
                <w:sz w:val="18"/>
                <w:szCs w:val="18"/>
              </w:rPr>
              <w:fldChar w:fldCharType="separate"/>
            </w:r>
            <w:r w:rsidR="00513646" w:rsidRPr="004C78D8">
              <w:rPr>
                <w:noProof/>
                <w:sz w:val="18"/>
                <w:szCs w:val="18"/>
              </w:rPr>
              <w:t>[121]</w:t>
            </w:r>
            <w:r w:rsidR="00AD394F" w:rsidRPr="004C78D8">
              <w:rPr>
                <w:sz w:val="18"/>
                <w:szCs w:val="18"/>
              </w:rPr>
              <w:fldChar w:fldCharType="end"/>
            </w:r>
          </w:p>
        </w:tc>
      </w:tr>
      <w:tr w:rsidR="00AD394F" w:rsidRPr="004C78D8" w14:paraId="1BF21277" w14:textId="77777777" w:rsidTr="002828C1">
        <w:tc>
          <w:tcPr>
            <w:tcW w:w="951" w:type="pct"/>
            <w:vMerge w:val="restart"/>
          </w:tcPr>
          <w:p w14:paraId="54BC54FF" w14:textId="4864E160" w:rsidR="00AD394F" w:rsidRPr="004C78D8" w:rsidRDefault="00AD394F" w:rsidP="00FB7C1F">
            <w:pPr>
              <w:jc w:val="left"/>
              <w:rPr>
                <w:sz w:val="18"/>
                <w:szCs w:val="18"/>
              </w:rPr>
            </w:pPr>
            <w:r w:rsidRPr="004C78D8">
              <w:rPr>
                <w:sz w:val="18"/>
                <w:szCs w:val="18"/>
              </w:rPr>
              <w:t xml:space="preserve">Economic evaluation of falls prevention – </w:t>
            </w:r>
            <w:r w:rsidR="00E5064E" w:rsidRPr="004C78D8">
              <w:rPr>
                <w:sz w:val="18"/>
                <w:szCs w:val="18"/>
              </w:rPr>
              <w:t>i</w:t>
            </w:r>
            <w:r w:rsidRPr="004C78D8">
              <w:rPr>
                <w:sz w:val="18"/>
                <w:szCs w:val="18"/>
              </w:rPr>
              <w:t>nitial scoping</w:t>
            </w:r>
          </w:p>
        </w:tc>
        <w:tc>
          <w:tcPr>
            <w:tcW w:w="793" w:type="pct"/>
          </w:tcPr>
          <w:p w14:paraId="5815AC4D" w14:textId="77777777" w:rsidR="00AD394F" w:rsidRPr="004C78D8" w:rsidRDefault="00AD394F" w:rsidP="00FB7C1F">
            <w:pPr>
              <w:jc w:val="left"/>
              <w:rPr>
                <w:sz w:val="18"/>
                <w:szCs w:val="18"/>
              </w:rPr>
            </w:pPr>
            <w:r w:rsidRPr="004C78D8">
              <w:rPr>
                <w:sz w:val="18"/>
                <w:szCs w:val="18"/>
              </w:rPr>
              <w:t>Stakeholder consultation</w:t>
            </w:r>
          </w:p>
        </w:tc>
        <w:tc>
          <w:tcPr>
            <w:tcW w:w="3257" w:type="pct"/>
          </w:tcPr>
          <w:p w14:paraId="527FF4DE" w14:textId="4B3500C2" w:rsidR="00AD394F" w:rsidRPr="004C78D8" w:rsidRDefault="00AD394F" w:rsidP="00FB7C1F">
            <w:pPr>
              <w:pStyle w:val="ListParagraph"/>
              <w:numPr>
                <w:ilvl w:val="0"/>
                <w:numId w:val="21"/>
              </w:numPr>
              <w:ind w:left="180" w:hanging="218"/>
              <w:jc w:val="left"/>
              <w:rPr>
                <w:sz w:val="18"/>
                <w:szCs w:val="18"/>
              </w:rPr>
            </w:pPr>
            <w:r w:rsidRPr="004C78D8">
              <w:rPr>
                <w:sz w:val="18"/>
                <w:szCs w:val="18"/>
              </w:rPr>
              <w:t xml:space="preserve">October 2018 Falls Planning Group meeting with CCG commissioners, PHP and falls modelling expert on relevance of Public Health England falls prevention model </w:t>
            </w:r>
            <w:r w:rsidRPr="004C78D8">
              <w:rPr>
                <w:sz w:val="18"/>
                <w:szCs w:val="18"/>
              </w:rPr>
              <w:fldChar w:fldCharType="begin"/>
            </w:r>
            <w:r w:rsidR="00C630FC" w:rsidRPr="004C78D8">
              <w:rPr>
                <w:sz w:val="18"/>
                <w:szCs w:val="18"/>
              </w:rPr>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4C78D8">
              <w:rPr>
                <w:sz w:val="18"/>
                <w:szCs w:val="18"/>
              </w:rPr>
              <w:fldChar w:fldCharType="separate"/>
            </w:r>
            <w:r w:rsidR="00C630FC" w:rsidRPr="004C78D8">
              <w:rPr>
                <w:noProof/>
                <w:sz w:val="18"/>
                <w:szCs w:val="18"/>
              </w:rPr>
              <w:t>[216]</w:t>
            </w:r>
            <w:r w:rsidRPr="004C78D8">
              <w:rPr>
                <w:sz w:val="18"/>
                <w:szCs w:val="18"/>
              </w:rPr>
              <w:fldChar w:fldCharType="end"/>
            </w:r>
            <w:r w:rsidRPr="004C78D8">
              <w:rPr>
                <w:sz w:val="18"/>
                <w:szCs w:val="18"/>
              </w:rPr>
              <w:t xml:space="preserve"> for local decision-making</w:t>
            </w:r>
          </w:p>
          <w:p w14:paraId="11E1BBE6" w14:textId="341CC8CE" w:rsidR="00AD394F" w:rsidRPr="004C78D8" w:rsidRDefault="00AD394F" w:rsidP="00FB7C1F">
            <w:pPr>
              <w:pStyle w:val="ListParagraph"/>
              <w:numPr>
                <w:ilvl w:val="0"/>
                <w:numId w:val="21"/>
              </w:numPr>
              <w:ind w:left="180" w:hanging="218"/>
              <w:jc w:val="left"/>
              <w:rPr>
                <w:sz w:val="18"/>
                <w:szCs w:val="18"/>
              </w:rPr>
            </w:pPr>
            <w:r w:rsidRPr="004C78D8">
              <w:rPr>
                <w:sz w:val="18"/>
                <w:szCs w:val="18"/>
              </w:rPr>
              <w:t xml:space="preserve">Discussion with PHP on target population, type of analysis, perspective, evaluation time horizon and </w:t>
            </w:r>
            <w:r w:rsidR="00670365" w:rsidRPr="004C78D8">
              <w:rPr>
                <w:sz w:val="18"/>
                <w:szCs w:val="18"/>
              </w:rPr>
              <w:t xml:space="preserve">CCG </w:t>
            </w:r>
            <w:r w:rsidRPr="004C78D8">
              <w:rPr>
                <w:sz w:val="18"/>
                <w:szCs w:val="18"/>
              </w:rPr>
              <w:t>routine data access</w:t>
            </w:r>
          </w:p>
        </w:tc>
      </w:tr>
      <w:tr w:rsidR="00AD394F" w:rsidRPr="004C78D8" w14:paraId="09A58ED5" w14:textId="77777777" w:rsidTr="002828C1">
        <w:tc>
          <w:tcPr>
            <w:tcW w:w="951" w:type="pct"/>
            <w:vMerge/>
          </w:tcPr>
          <w:p w14:paraId="30BB23A4" w14:textId="77777777" w:rsidR="00AD394F" w:rsidRPr="004C78D8" w:rsidRDefault="00AD394F" w:rsidP="00FB7C1F">
            <w:pPr>
              <w:jc w:val="left"/>
              <w:rPr>
                <w:sz w:val="18"/>
                <w:szCs w:val="18"/>
              </w:rPr>
            </w:pPr>
          </w:p>
        </w:tc>
        <w:tc>
          <w:tcPr>
            <w:tcW w:w="793" w:type="pct"/>
          </w:tcPr>
          <w:p w14:paraId="16531E33" w14:textId="77777777" w:rsidR="00AD394F" w:rsidRPr="004C78D8" w:rsidRDefault="00AD394F" w:rsidP="00FB7C1F">
            <w:pPr>
              <w:jc w:val="left"/>
              <w:rPr>
                <w:sz w:val="18"/>
                <w:szCs w:val="18"/>
              </w:rPr>
            </w:pPr>
            <w:r w:rsidRPr="004C78D8">
              <w:rPr>
                <w:sz w:val="18"/>
                <w:szCs w:val="18"/>
              </w:rPr>
              <w:t>General literature review</w:t>
            </w:r>
          </w:p>
        </w:tc>
        <w:tc>
          <w:tcPr>
            <w:tcW w:w="3257" w:type="pct"/>
          </w:tcPr>
          <w:p w14:paraId="0DBA5948" w14:textId="52FE7E92" w:rsidR="00AD394F" w:rsidRPr="004C78D8" w:rsidRDefault="00AD394F" w:rsidP="00FB7C1F">
            <w:pPr>
              <w:pStyle w:val="ListParagraph"/>
              <w:numPr>
                <w:ilvl w:val="0"/>
                <w:numId w:val="21"/>
              </w:numPr>
              <w:ind w:left="180" w:hanging="218"/>
              <w:jc w:val="left"/>
              <w:rPr>
                <w:sz w:val="18"/>
                <w:szCs w:val="18"/>
              </w:rPr>
            </w:pPr>
            <w:r w:rsidRPr="004C78D8">
              <w:rPr>
                <w:sz w:val="18"/>
                <w:szCs w:val="18"/>
              </w:rPr>
              <w:t xml:space="preserve">UK guidelines on community-based falls prevention: </w:t>
            </w:r>
            <w:r w:rsidRPr="004C78D8">
              <w:rPr>
                <w:sz w:val="18"/>
                <w:szCs w:val="18"/>
              </w:rPr>
              <w:fldChar w:fldCharType="begin">
                <w:fldData xml:space="preserve">PEVuZE5vdGU+PENpdGU+PEF1dGhvcj5OYXRpb25hbCBJbnN0aXR1dGUgZm9yIEhlYWx0aCBhbmQg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</w:fldData>
              </w:fldChar>
            </w:r>
            <w:r w:rsidR="00513646" w:rsidRPr="004C78D8">
              <w:rPr>
                <w:sz w:val="18"/>
                <w:szCs w:val="18"/>
              </w:rPr>
              <w:instrText xml:space="preserve"> ADDIN EN.CITE </w:instrText>
            </w:r>
            <w:r w:rsidR="00513646" w:rsidRPr="004C78D8">
              <w:rPr>
                <w:sz w:val="18"/>
                <w:szCs w:val="18"/>
              </w:rPr>
              <w:fldChar w:fldCharType="begin">
                <w:fldData xml:space="preserve">PEVuZE5vdGU+PENpdGU+PEF1dGhvcj5OYXRpb25hbCBJbnN0aXR1dGUgZm9yIEhlYWx0aCBhbmQg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</w:fldData>
              </w:fldChar>
            </w:r>
            <w:r w:rsidR="00513646" w:rsidRPr="004C78D8">
              <w:rPr>
                <w:sz w:val="18"/>
                <w:szCs w:val="18"/>
              </w:rPr>
              <w:instrText xml:space="preserve"> ADDIN EN.CITE.DATA </w:instrText>
            </w:r>
            <w:r w:rsidR="00513646" w:rsidRPr="004C78D8">
              <w:rPr>
                <w:sz w:val="18"/>
                <w:szCs w:val="18"/>
              </w:rPr>
            </w:r>
            <w:r w:rsidR="00513646" w:rsidRPr="004C78D8">
              <w:rPr>
                <w:sz w:val="18"/>
                <w:szCs w:val="18"/>
              </w:rPr>
              <w:fldChar w:fldCharType="end"/>
            </w:r>
            <w:r w:rsidRPr="004C78D8">
              <w:rPr>
                <w:sz w:val="18"/>
                <w:szCs w:val="18"/>
              </w:rPr>
            </w:r>
            <w:r w:rsidRPr="004C78D8">
              <w:rPr>
                <w:sz w:val="18"/>
                <w:szCs w:val="18"/>
              </w:rPr>
              <w:fldChar w:fldCharType="separate"/>
            </w:r>
            <w:r w:rsidR="00513646" w:rsidRPr="004C78D8">
              <w:rPr>
                <w:noProof/>
                <w:sz w:val="18"/>
                <w:szCs w:val="18"/>
              </w:rPr>
              <w:t>[13, 129, 143, 146]</w:t>
            </w:r>
            <w:r w:rsidRPr="004C78D8">
              <w:rPr>
                <w:sz w:val="18"/>
                <w:szCs w:val="18"/>
              </w:rPr>
              <w:fldChar w:fldCharType="end"/>
            </w:r>
          </w:p>
          <w:p w14:paraId="7296436D" w14:textId="07845C1F" w:rsidR="00AD394F" w:rsidRPr="004C78D8" w:rsidRDefault="00AD394F" w:rsidP="00FB7C1F">
            <w:pPr>
              <w:pStyle w:val="ListParagraph"/>
              <w:numPr>
                <w:ilvl w:val="0"/>
                <w:numId w:val="21"/>
              </w:numPr>
              <w:ind w:left="180" w:hanging="218"/>
              <w:jc w:val="left"/>
              <w:rPr>
                <w:sz w:val="18"/>
                <w:szCs w:val="18"/>
              </w:rPr>
            </w:pPr>
            <w:r w:rsidRPr="004C78D8">
              <w:rPr>
                <w:sz w:val="18"/>
                <w:szCs w:val="18"/>
              </w:rPr>
              <w:t xml:space="preserve">Cochrane systematic reviews of </w:t>
            </w:r>
            <w:r w:rsidR="00F341E3" w:rsidRPr="004C78D8">
              <w:rPr>
                <w:sz w:val="18"/>
                <w:szCs w:val="18"/>
              </w:rPr>
              <w:t xml:space="preserve">falls prevention </w:t>
            </w:r>
            <w:r w:rsidRPr="004C78D8">
              <w:rPr>
                <w:sz w:val="18"/>
                <w:szCs w:val="18"/>
              </w:rPr>
              <w:t>RCTs:</w:t>
            </w:r>
            <w:r w:rsidR="005A5E2B" w:rsidRPr="004C78D8">
              <w:rPr>
                <w:sz w:val="18"/>
                <w:szCs w:val="18"/>
              </w:rPr>
              <w:t xml:space="preserve"> e.g.,</w:t>
            </w:r>
            <w:r w:rsidRPr="004C78D8">
              <w:rPr>
                <w:sz w:val="18"/>
                <w:szCs w:val="18"/>
              </w:rPr>
              <w:t xml:space="preserve"> </w:t>
            </w:r>
            <w:r w:rsidRPr="004C78D8">
              <w:rPr>
                <w:sz w:val="18"/>
                <w:szCs w:val="18"/>
              </w:rPr>
              <w:fldChar w:fldCharType="begin"/>
            </w:r>
            <w:r w:rsidR="00513646" w:rsidRPr="004C78D8">
              <w:rPr>
                <w:sz w:val="18"/>
                <w:szCs w:val="18"/>
              </w:rPr>
              <w:instrText xml:space="preserve"> ADDIN EN.CITE &lt;EndNote&gt;&lt;Cite&gt;&lt;Author&gt;Gillespie&lt;/Author&gt;&lt;Year&gt;2012&lt;/Year&gt;&lt;RecNum&gt;52&lt;/RecNum&gt;&lt;DisplayText&gt;[124, 126]&lt;/DisplayText&gt;&lt;record&gt;&lt;rec-number&gt;52&lt;/rec-number&gt;&lt;foreign-keys&gt;&lt;key app="EN" db-id="tdtrdw9aepptzbefsat599syza29sxsd2wsp" timestamp="1597844815"&gt;52&lt;/key&gt;&lt;/foreign-keys&gt;&lt;ref-type name="Journal Article"&gt;17&lt;/ref-type&gt;&lt;contributors&gt;&lt;authors&gt;&lt;author&gt;Gillespie, Lesley D&lt;/author&gt;&lt;author&gt;Robertson, M Clare&lt;/author&gt;&lt;author&gt;Gillespie, William J&lt;/author&gt;&lt;author&gt;Sherrington, Catherine&lt;/author&gt;&lt;author&gt;Gates, Simon&lt;/author&gt;&lt;author&gt;Clemson, Lindy M&lt;/author&gt;&lt;author&gt;Lamb, Sarah E&lt;/author&gt;&lt;/authors&gt;&lt;/contributors&gt;&lt;titles&gt;&lt;title&gt;Interventions for preventing falls in older people living in the community&lt;/title&gt;&lt;secondary-title&gt;Cochrane database of systematic reviews&lt;/secondary-title&gt;&lt;/titles&gt;&lt;periodical&gt;&lt;full-title&gt;Cochrane database of systematic reviews&lt;/full-title&gt;&lt;/periodical&gt;&lt;number&gt;9&lt;/number&gt;&lt;dates&gt;&lt;year&gt;2012&lt;/year&gt;&lt;/dates&gt;&lt;isbn&gt;1465-1858&lt;/isbn&gt;&lt;urls&gt;&lt;/urls&gt;&lt;/record&gt;&lt;/Cite&gt;&lt;Cite&gt;&lt;Author&gt;Hopewell&lt;/Author&gt;&lt;Year&gt;2018&lt;/Year&gt;&lt;RecNum&gt;261&lt;/RecNum&gt;&lt;record&gt;&lt;rec-number&gt;261&lt;/rec-number&gt;&lt;foreign-keys&gt;&lt;key app="EN" db-id="tdtrdw9aepptzbefsat599syza29sxsd2wsp" timestamp="1611689483"&gt;261&lt;/key&gt;&lt;/foreign-keys&gt;&lt;ref-type name="Journal Article"&gt;17&lt;/ref-type&gt;&lt;contributors&gt;&lt;authors&gt;&lt;author&gt;Hopewell, Sally&lt;/author&gt;&lt;author&gt;Adedire, Olubusola&lt;/author&gt;&lt;author&gt;Copsey, Bethan J&lt;/author&gt;&lt;author&gt;Boniface, Graham J&lt;/author&gt;&lt;author&gt;Sherrington, Catherine&lt;/author&gt;&lt;author&gt;Clemson, Lindy&lt;/author&gt;&lt;author&gt;Close, Jacqueline CT&lt;/author&gt;&lt;author&gt;Lamb, Sarah E&lt;/author&gt;&lt;/authors&gt;&lt;/contributors&gt;&lt;titles&gt;&lt;title&gt;Multifactorial and multiple component interventions for preventing falls in older people living in the community&lt;/title&gt;&lt;secondary-title&gt;Cochrane database of systematic reviews&lt;/secondary-title&gt;&lt;/titles&gt;&lt;periodical&gt;&lt;full-title&gt;Cochrane database of systematic reviews&lt;/full-title&gt;&lt;/periodical&gt;&lt;number&gt;7&lt;/number&gt;&lt;dates&gt;&lt;year&gt;2018&lt;/year&gt;&lt;/dates&gt;&lt;isbn&gt;1465-1858&lt;/isbn&gt;&lt;urls&gt;&lt;/urls&gt;&lt;/record&gt;&lt;/Cite&gt;&lt;/EndNote&gt;</w:instrText>
            </w:r>
            <w:r w:rsidRPr="004C78D8">
              <w:rPr>
                <w:sz w:val="18"/>
                <w:szCs w:val="18"/>
              </w:rPr>
              <w:fldChar w:fldCharType="separate"/>
            </w:r>
            <w:r w:rsidR="00513646" w:rsidRPr="004C78D8">
              <w:rPr>
                <w:noProof/>
                <w:sz w:val="18"/>
                <w:szCs w:val="18"/>
              </w:rPr>
              <w:t>[124, 126]</w:t>
            </w:r>
            <w:r w:rsidRPr="004C78D8">
              <w:rPr>
                <w:sz w:val="18"/>
                <w:szCs w:val="18"/>
              </w:rPr>
              <w:fldChar w:fldCharType="end"/>
            </w:r>
          </w:p>
        </w:tc>
      </w:tr>
      <w:tr w:rsidR="00AD394F" w:rsidRPr="004C78D8" w14:paraId="0938A9AB" w14:textId="77777777" w:rsidTr="002828C1">
        <w:tc>
          <w:tcPr>
            <w:tcW w:w="951" w:type="pct"/>
            <w:vMerge w:val="restart"/>
          </w:tcPr>
          <w:p w14:paraId="2F6539F3" w14:textId="77777777" w:rsidR="00AD394F" w:rsidRPr="004C78D8" w:rsidRDefault="00AD394F" w:rsidP="00FB7C1F">
            <w:pPr>
              <w:jc w:val="left"/>
              <w:rPr>
                <w:sz w:val="18"/>
                <w:szCs w:val="18"/>
              </w:rPr>
            </w:pPr>
            <w:r w:rsidRPr="004C78D8">
              <w:rPr>
                <w:sz w:val="18"/>
                <w:szCs w:val="18"/>
              </w:rPr>
              <w:lastRenderedPageBreak/>
              <w:t>Falls epidemiology</w:t>
            </w:r>
          </w:p>
        </w:tc>
        <w:tc>
          <w:tcPr>
            <w:tcW w:w="793" w:type="pct"/>
          </w:tcPr>
          <w:p w14:paraId="596CFE6F" w14:textId="77777777" w:rsidR="00AD394F" w:rsidRPr="004C78D8" w:rsidRDefault="00AD394F" w:rsidP="00FB7C1F">
            <w:pPr>
              <w:jc w:val="left"/>
              <w:rPr>
                <w:sz w:val="18"/>
                <w:szCs w:val="18"/>
              </w:rPr>
            </w:pPr>
            <w:r w:rsidRPr="004C78D8">
              <w:rPr>
                <w:sz w:val="18"/>
                <w:szCs w:val="18"/>
              </w:rPr>
              <w:t>Stakeholder consultation</w:t>
            </w:r>
          </w:p>
        </w:tc>
        <w:tc>
          <w:tcPr>
            <w:tcW w:w="3257" w:type="pct"/>
          </w:tcPr>
          <w:p w14:paraId="4569DC63" w14:textId="77777777" w:rsidR="00AD394F" w:rsidRPr="004C78D8" w:rsidRDefault="00AD394F" w:rsidP="00FB7C1F">
            <w:pPr>
              <w:pStyle w:val="ListParagraph"/>
              <w:numPr>
                <w:ilvl w:val="0"/>
                <w:numId w:val="21"/>
              </w:numPr>
              <w:ind w:left="180" w:hanging="218"/>
              <w:jc w:val="left"/>
              <w:rPr>
                <w:sz w:val="18"/>
                <w:szCs w:val="18"/>
              </w:rPr>
            </w:pPr>
            <w:r w:rsidRPr="004C78D8">
              <w:rPr>
                <w:sz w:val="18"/>
                <w:szCs w:val="18"/>
              </w:rPr>
              <w:t>October 2018 meeting with falls specialist geriatrician on major falls risk factors and health consequences</w:t>
            </w:r>
          </w:p>
        </w:tc>
      </w:tr>
      <w:tr w:rsidR="00AD394F" w:rsidRPr="004C78D8" w14:paraId="36FD7E3B" w14:textId="77777777" w:rsidTr="002828C1">
        <w:tc>
          <w:tcPr>
            <w:tcW w:w="951" w:type="pct"/>
            <w:vMerge/>
          </w:tcPr>
          <w:p w14:paraId="5DD1C795" w14:textId="77777777" w:rsidR="00AD394F" w:rsidRPr="004C78D8" w:rsidRDefault="00AD394F" w:rsidP="00FB7C1F">
            <w:pPr>
              <w:jc w:val="left"/>
              <w:rPr>
                <w:sz w:val="18"/>
                <w:szCs w:val="18"/>
              </w:rPr>
            </w:pPr>
          </w:p>
        </w:tc>
        <w:tc>
          <w:tcPr>
            <w:tcW w:w="793" w:type="pct"/>
          </w:tcPr>
          <w:p w14:paraId="53E27D63" w14:textId="77777777" w:rsidR="00AD394F" w:rsidRPr="004C78D8" w:rsidRDefault="00AD394F" w:rsidP="00FB7C1F">
            <w:pPr>
              <w:jc w:val="left"/>
              <w:rPr>
                <w:sz w:val="18"/>
                <w:szCs w:val="18"/>
              </w:rPr>
            </w:pPr>
            <w:r w:rsidRPr="004C78D8">
              <w:rPr>
                <w:sz w:val="18"/>
                <w:szCs w:val="18"/>
              </w:rPr>
              <w:t>General literature review</w:t>
            </w:r>
          </w:p>
        </w:tc>
        <w:tc>
          <w:tcPr>
            <w:tcW w:w="3257" w:type="pct"/>
          </w:tcPr>
          <w:p w14:paraId="32F12C23" w14:textId="41FB7114" w:rsidR="00AD394F" w:rsidRPr="004C78D8" w:rsidRDefault="00AD394F" w:rsidP="00FB7C1F">
            <w:pPr>
              <w:pStyle w:val="ListParagraph"/>
              <w:numPr>
                <w:ilvl w:val="0"/>
                <w:numId w:val="21"/>
              </w:numPr>
              <w:ind w:left="180" w:hanging="218"/>
              <w:jc w:val="left"/>
              <w:rPr>
                <w:sz w:val="18"/>
                <w:szCs w:val="18"/>
              </w:rPr>
            </w:pPr>
            <w:r w:rsidRPr="004C78D8">
              <w:rPr>
                <w:sz w:val="18"/>
                <w:szCs w:val="18"/>
              </w:rPr>
              <w:t xml:space="preserve">Range of falls risk factors: e.g., </w:t>
            </w:r>
            <w:r w:rsidRPr="004C78D8">
              <w:rPr>
                <w:sz w:val="18"/>
                <w:szCs w:val="18"/>
              </w:rPr>
              <w:fldChar w:fldCharType="begin">
                <w:fldData xml:space="preserve">PEVuZE5vdGU+PENpdGU+PEF1dGhvcj5EZWFuZHJlYTwvQXV0aG9yPjxZZWFyPjIwMTA8L1llYXI+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=
</w:fldData>
              </w:fldChar>
            </w:r>
            <w:r w:rsidR="00C630FC" w:rsidRPr="004C78D8">
              <w:rPr>
                <w:sz w:val="18"/>
                <w:szCs w:val="18"/>
              </w:rPr>
              <w:instrText xml:space="preserve"> ADDIN EN.CITE </w:instrText>
            </w:r>
            <w:r w:rsidR="00C630FC" w:rsidRPr="004C78D8">
              <w:rPr>
                <w:sz w:val="18"/>
                <w:szCs w:val="18"/>
              </w:rPr>
              <w:fldChar w:fldCharType="begin">
                <w:fldData xml:space="preserve">PEVuZE5vdGU+PENpdGU+PEF1dGhvcj5EZWFuZHJlYTwvQXV0aG9yPjxZZWFyPjIwMTA8L1llYXI+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=
</w:fldData>
              </w:fldChar>
            </w:r>
            <w:r w:rsidR="00C630FC" w:rsidRPr="004C78D8">
              <w:rPr>
                <w:sz w:val="18"/>
                <w:szCs w:val="18"/>
              </w:rPr>
              <w:instrText xml:space="preserve"> ADDIN EN.CITE.DATA </w:instrText>
            </w:r>
            <w:r w:rsidR="00C630FC" w:rsidRPr="004C78D8">
              <w:rPr>
                <w:sz w:val="18"/>
                <w:szCs w:val="18"/>
              </w:rPr>
            </w:r>
            <w:r w:rsidR="00C630FC" w:rsidRPr="004C78D8">
              <w:rPr>
                <w:sz w:val="18"/>
                <w:szCs w:val="18"/>
              </w:rPr>
              <w:fldChar w:fldCharType="end"/>
            </w:r>
            <w:r w:rsidRPr="004C78D8">
              <w:rPr>
                <w:sz w:val="18"/>
                <w:szCs w:val="18"/>
              </w:rPr>
            </w:r>
            <w:r w:rsidRPr="004C78D8">
              <w:rPr>
                <w:sz w:val="18"/>
                <w:szCs w:val="18"/>
              </w:rPr>
              <w:fldChar w:fldCharType="separate"/>
            </w:r>
            <w:r w:rsidR="00C630FC" w:rsidRPr="004C78D8">
              <w:rPr>
                <w:noProof/>
                <w:sz w:val="18"/>
                <w:szCs w:val="18"/>
              </w:rPr>
              <w:t>[43, 146, 217]</w:t>
            </w:r>
            <w:r w:rsidRPr="004C78D8">
              <w:rPr>
                <w:sz w:val="18"/>
                <w:szCs w:val="18"/>
              </w:rPr>
              <w:fldChar w:fldCharType="end"/>
            </w:r>
          </w:p>
          <w:p w14:paraId="69370724" w14:textId="4081F8D2" w:rsidR="00AD394F" w:rsidRPr="004C78D8" w:rsidRDefault="00AD394F" w:rsidP="00FB7C1F">
            <w:pPr>
              <w:pStyle w:val="ListParagraph"/>
              <w:numPr>
                <w:ilvl w:val="0"/>
                <w:numId w:val="21"/>
              </w:numPr>
              <w:ind w:left="180" w:hanging="218"/>
              <w:jc w:val="left"/>
              <w:rPr>
                <w:sz w:val="18"/>
                <w:szCs w:val="18"/>
              </w:rPr>
            </w:pPr>
            <w:r w:rsidRPr="004C78D8">
              <w:rPr>
                <w:sz w:val="18"/>
                <w:szCs w:val="18"/>
              </w:rPr>
              <w:t xml:space="preserve">Range of health and economic consequences of falls: e.g., </w:t>
            </w:r>
            <w:r w:rsidRPr="004C78D8">
              <w:rPr>
                <w:sz w:val="18"/>
                <w:szCs w:val="18"/>
              </w:rPr>
              <w:fldChar w:fldCharType="begin">
                <w:fldData xml:space="preserve">PEVuZE5vdGU+PENpdGU+PEF1dGhvcj5JZ2xlc2lhczwvQXV0aG9yPjxZZWFyPjIwMDk8L1llYXI+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</w:fldData>
              </w:fldChar>
            </w:r>
            <w:r w:rsidR="00C630FC" w:rsidRPr="004C78D8">
              <w:rPr>
                <w:sz w:val="18"/>
                <w:szCs w:val="18"/>
              </w:rPr>
              <w:instrText xml:space="preserve"> ADDIN EN.CITE </w:instrText>
            </w:r>
            <w:r w:rsidR="00C630FC" w:rsidRPr="004C78D8">
              <w:rPr>
                <w:sz w:val="18"/>
                <w:szCs w:val="18"/>
              </w:rPr>
              <w:fldChar w:fldCharType="begin">
                <w:fldData xml:space="preserve">PEVuZE5vdGU+PENpdGU+PEF1dGhvcj5JZ2xlc2lhczwvQXV0aG9yPjxZZWFyPjIwMDk8L1llYXI+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</w:fldData>
              </w:fldChar>
            </w:r>
            <w:r w:rsidR="00C630FC" w:rsidRPr="004C78D8">
              <w:rPr>
                <w:sz w:val="18"/>
                <w:szCs w:val="18"/>
              </w:rPr>
              <w:instrText xml:space="preserve"> ADDIN EN.CITE.DATA </w:instrText>
            </w:r>
            <w:r w:rsidR="00C630FC" w:rsidRPr="004C78D8">
              <w:rPr>
                <w:sz w:val="18"/>
                <w:szCs w:val="18"/>
              </w:rPr>
            </w:r>
            <w:r w:rsidR="00C630FC" w:rsidRPr="004C78D8">
              <w:rPr>
                <w:sz w:val="18"/>
                <w:szCs w:val="18"/>
              </w:rPr>
              <w:fldChar w:fldCharType="end"/>
            </w:r>
            <w:r w:rsidRPr="004C78D8">
              <w:rPr>
                <w:sz w:val="18"/>
                <w:szCs w:val="18"/>
              </w:rPr>
            </w:r>
            <w:r w:rsidRPr="004C78D8">
              <w:rPr>
                <w:sz w:val="18"/>
                <w:szCs w:val="18"/>
              </w:rPr>
              <w:fldChar w:fldCharType="separate"/>
            </w:r>
            <w:r w:rsidR="00C630FC" w:rsidRPr="004C78D8">
              <w:rPr>
                <w:noProof/>
                <w:sz w:val="18"/>
                <w:szCs w:val="18"/>
              </w:rPr>
              <w:t>[30, 60, 218]</w:t>
            </w:r>
            <w:r w:rsidRPr="004C78D8">
              <w:rPr>
                <w:sz w:val="18"/>
                <w:szCs w:val="18"/>
              </w:rPr>
              <w:fldChar w:fldCharType="end"/>
            </w:r>
          </w:p>
          <w:p w14:paraId="1CF67BF1" w14:textId="31B3DF1E" w:rsidR="00AD394F" w:rsidRPr="004C78D8" w:rsidRDefault="00AD394F" w:rsidP="00FB7C1F">
            <w:pPr>
              <w:pStyle w:val="ListParagraph"/>
              <w:numPr>
                <w:ilvl w:val="0"/>
                <w:numId w:val="21"/>
              </w:numPr>
              <w:ind w:left="180" w:hanging="218"/>
              <w:jc w:val="left"/>
              <w:rPr>
                <w:sz w:val="18"/>
                <w:szCs w:val="18"/>
              </w:rPr>
            </w:pPr>
            <w:r w:rsidRPr="004C78D8">
              <w:rPr>
                <w:sz w:val="18"/>
                <w:szCs w:val="18"/>
              </w:rPr>
              <w:t xml:space="preserve">Use of routine data for falls </w:t>
            </w:r>
            <w:r w:rsidR="008564A7" w:rsidRPr="004C78D8">
              <w:rPr>
                <w:sz w:val="18"/>
                <w:szCs w:val="18"/>
              </w:rPr>
              <w:t xml:space="preserve">risk </w:t>
            </w:r>
            <w:r w:rsidRPr="004C78D8">
              <w:rPr>
                <w:sz w:val="18"/>
                <w:szCs w:val="18"/>
              </w:rPr>
              <w:t xml:space="preserve">analyses: e.g., </w:t>
            </w:r>
            <w:r w:rsidRPr="004C78D8">
              <w:rPr>
                <w:sz w:val="18"/>
                <w:szCs w:val="18"/>
              </w:rPr>
              <w:fldChar w:fldCharType="begin">
                <w:fldData xml:space="preserve">PEVuZE5vdGU+PENpdGU+PEF1dGhvcj5DbGVnZzwvQXV0aG9yPjxZZWFyPjIwMTY8L1llYXI+PFJl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</w:fldData>
              </w:fldChar>
            </w:r>
            <w:r w:rsidR="00513646" w:rsidRPr="004C78D8">
              <w:rPr>
                <w:sz w:val="18"/>
                <w:szCs w:val="18"/>
              </w:rPr>
              <w:instrText xml:space="preserve"> ADDIN EN.CITE </w:instrText>
            </w:r>
            <w:r w:rsidR="00513646" w:rsidRPr="004C78D8">
              <w:rPr>
                <w:sz w:val="18"/>
                <w:szCs w:val="18"/>
              </w:rPr>
              <w:fldChar w:fldCharType="begin">
                <w:fldData xml:space="preserve">PEVuZE5vdGU+PENpdGU+PEF1dGhvcj5DbGVnZzwvQXV0aG9yPjxZZWFyPjIwMTY8L1llYXI+PFJl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</w:fldData>
              </w:fldChar>
            </w:r>
            <w:r w:rsidR="00513646" w:rsidRPr="004C78D8">
              <w:rPr>
                <w:sz w:val="18"/>
                <w:szCs w:val="18"/>
              </w:rPr>
              <w:instrText xml:space="preserve"> ADDIN EN.CITE.DATA </w:instrText>
            </w:r>
            <w:r w:rsidR="00513646" w:rsidRPr="004C78D8">
              <w:rPr>
                <w:sz w:val="18"/>
                <w:szCs w:val="18"/>
              </w:rPr>
            </w:r>
            <w:r w:rsidR="00513646" w:rsidRPr="004C78D8">
              <w:rPr>
                <w:sz w:val="18"/>
                <w:szCs w:val="18"/>
              </w:rPr>
              <w:fldChar w:fldCharType="end"/>
            </w:r>
            <w:r w:rsidRPr="004C78D8">
              <w:rPr>
                <w:sz w:val="18"/>
                <w:szCs w:val="18"/>
              </w:rPr>
            </w:r>
            <w:r w:rsidRPr="004C78D8">
              <w:rPr>
                <w:sz w:val="18"/>
                <w:szCs w:val="18"/>
              </w:rPr>
              <w:fldChar w:fldCharType="separate"/>
            </w:r>
            <w:r w:rsidR="00513646" w:rsidRPr="004C78D8">
              <w:rPr>
                <w:noProof/>
                <w:sz w:val="18"/>
                <w:szCs w:val="18"/>
              </w:rPr>
              <w:t>[44, 47]</w:t>
            </w:r>
            <w:r w:rsidRPr="004C78D8">
              <w:rPr>
                <w:sz w:val="18"/>
                <w:szCs w:val="18"/>
              </w:rPr>
              <w:fldChar w:fldCharType="end"/>
            </w:r>
          </w:p>
        </w:tc>
      </w:tr>
      <w:tr w:rsidR="00AD394F" w:rsidRPr="004C78D8" w14:paraId="1118748F" w14:textId="77777777" w:rsidTr="002828C1">
        <w:tc>
          <w:tcPr>
            <w:tcW w:w="951" w:type="pct"/>
            <w:vMerge/>
          </w:tcPr>
          <w:p w14:paraId="35E06152" w14:textId="77777777" w:rsidR="00AD394F" w:rsidRPr="004C78D8" w:rsidRDefault="00AD394F" w:rsidP="00FB7C1F">
            <w:pPr>
              <w:jc w:val="left"/>
              <w:rPr>
                <w:sz w:val="18"/>
                <w:szCs w:val="18"/>
              </w:rPr>
            </w:pPr>
          </w:p>
        </w:tc>
        <w:tc>
          <w:tcPr>
            <w:tcW w:w="793" w:type="pct"/>
          </w:tcPr>
          <w:p w14:paraId="7C024FFE" w14:textId="77777777" w:rsidR="00AD394F" w:rsidRPr="004C78D8" w:rsidRDefault="00AD394F" w:rsidP="00FB7C1F">
            <w:pPr>
              <w:jc w:val="left"/>
              <w:rPr>
                <w:sz w:val="18"/>
                <w:szCs w:val="18"/>
              </w:rPr>
            </w:pPr>
            <w:r w:rsidRPr="004C78D8">
              <w:rPr>
                <w:sz w:val="18"/>
                <w:szCs w:val="18"/>
              </w:rPr>
              <w:t>Primary data analysis</w:t>
            </w:r>
          </w:p>
        </w:tc>
        <w:tc>
          <w:tcPr>
            <w:tcW w:w="3257" w:type="pct"/>
          </w:tcPr>
          <w:p w14:paraId="7FC3AEDE" w14:textId="33C50D26" w:rsidR="00AD394F" w:rsidRPr="004C78D8" w:rsidRDefault="00AD394F" w:rsidP="00FB7C1F">
            <w:pPr>
              <w:pStyle w:val="ListParagraph"/>
              <w:numPr>
                <w:ilvl w:val="0"/>
                <w:numId w:val="21"/>
              </w:numPr>
              <w:ind w:left="180" w:hanging="218"/>
              <w:jc w:val="left"/>
              <w:rPr>
                <w:sz w:val="18"/>
                <w:szCs w:val="18"/>
              </w:rPr>
            </w:pPr>
            <w:r w:rsidRPr="004C78D8">
              <w:rPr>
                <w:sz w:val="18"/>
                <w:szCs w:val="18"/>
              </w:rPr>
              <w:t>Analysis of ELSA data on risk factors for MA and non-MA falls</w:t>
            </w:r>
          </w:p>
        </w:tc>
      </w:tr>
      <w:tr w:rsidR="00AD394F" w:rsidRPr="004C78D8" w14:paraId="0D101884" w14:textId="77777777" w:rsidTr="002828C1">
        <w:tc>
          <w:tcPr>
            <w:tcW w:w="951" w:type="pct"/>
            <w:vMerge w:val="restart"/>
          </w:tcPr>
          <w:p w14:paraId="723C59CD" w14:textId="77777777" w:rsidR="00AD394F" w:rsidRPr="004C78D8" w:rsidRDefault="00AD394F" w:rsidP="00FB7C1F">
            <w:pPr>
              <w:jc w:val="left"/>
              <w:rPr>
                <w:sz w:val="18"/>
                <w:szCs w:val="18"/>
              </w:rPr>
            </w:pPr>
            <w:r w:rsidRPr="004C78D8">
              <w:rPr>
                <w:sz w:val="18"/>
                <w:szCs w:val="18"/>
              </w:rPr>
              <w:t>Falls prevention strategy</w:t>
            </w:r>
          </w:p>
        </w:tc>
        <w:tc>
          <w:tcPr>
            <w:tcW w:w="793" w:type="pct"/>
          </w:tcPr>
          <w:p w14:paraId="104E1519" w14:textId="77777777" w:rsidR="00AD394F" w:rsidRPr="004C78D8" w:rsidRDefault="00AD394F" w:rsidP="00FB7C1F">
            <w:pPr>
              <w:jc w:val="left"/>
              <w:rPr>
                <w:sz w:val="18"/>
                <w:szCs w:val="18"/>
              </w:rPr>
            </w:pPr>
            <w:r w:rsidRPr="004C78D8">
              <w:rPr>
                <w:sz w:val="18"/>
                <w:szCs w:val="18"/>
              </w:rPr>
              <w:t>Stakeholder consultation</w:t>
            </w:r>
            <w:r w:rsidRPr="004C78D8">
              <w:rPr>
                <w:sz w:val="18"/>
                <w:szCs w:val="18"/>
                <w:vertAlign w:val="superscript"/>
              </w:rPr>
              <w:t>1</w:t>
            </w:r>
          </w:p>
        </w:tc>
        <w:tc>
          <w:tcPr>
            <w:tcW w:w="3257" w:type="pct"/>
          </w:tcPr>
          <w:p w14:paraId="1E8C0ADE" w14:textId="05A15910" w:rsidR="00AD394F" w:rsidRPr="004C78D8" w:rsidRDefault="00AD394F" w:rsidP="00FB7C1F">
            <w:pPr>
              <w:pStyle w:val="ListParagraph"/>
              <w:numPr>
                <w:ilvl w:val="0"/>
                <w:numId w:val="21"/>
              </w:numPr>
              <w:ind w:left="180" w:hanging="218"/>
              <w:jc w:val="left"/>
              <w:rPr>
                <w:sz w:val="18"/>
                <w:szCs w:val="18"/>
              </w:rPr>
            </w:pPr>
            <w:r w:rsidRPr="004C78D8">
              <w:rPr>
                <w:sz w:val="18"/>
                <w:szCs w:val="18"/>
              </w:rPr>
              <w:t>October 2018</w:t>
            </w:r>
            <w:r w:rsidR="005604EE" w:rsidRPr="004C78D8">
              <w:rPr>
                <w:sz w:val="18"/>
                <w:szCs w:val="18"/>
              </w:rPr>
              <w:t>: observed</w:t>
            </w:r>
            <w:r w:rsidRPr="004C78D8">
              <w:rPr>
                <w:sz w:val="18"/>
                <w:szCs w:val="18"/>
              </w:rPr>
              <w:t xml:space="preserve"> multifactorial intervention at Sheffield </w:t>
            </w:r>
            <w:r w:rsidR="00102881" w:rsidRPr="004C78D8">
              <w:rPr>
                <w:sz w:val="18"/>
                <w:szCs w:val="18"/>
              </w:rPr>
              <w:t>f</w:t>
            </w:r>
            <w:r w:rsidRPr="004C78D8">
              <w:rPr>
                <w:sz w:val="18"/>
                <w:szCs w:val="18"/>
              </w:rPr>
              <w:t xml:space="preserve">alls </w:t>
            </w:r>
            <w:r w:rsidR="00102881" w:rsidRPr="004C78D8">
              <w:rPr>
                <w:sz w:val="18"/>
                <w:szCs w:val="18"/>
              </w:rPr>
              <w:t>c</w:t>
            </w:r>
            <w:r w:rsidRPr="004C78D8">
              <w:rPr>
                <w:sz w:val="18"/>
                <w:szCs w:val="18"/>
              </w:rPr>
              <w:t>linic</w:t>
            </w:r>
          </w:p>
          <w:p w14:paraId="7D89B59F" w14:textId="19E25BB5" w:rsidR="00AD394F" w:rsidRPr="004C78D8" w:rsidRDefault="00AD394F" w:rsidP="00FB7C1F">
            <w:pPr>
              <w:pStyle w:val="ListParagraph"/>
              <w:numPr>
                <w:ilvl w:val="0"/>
                <w:numId w:val="21"/>
              </w:numPr>
              <w:ind w:left="180" w:hanging="218"/>
              <w:jc w:val="left"/>
              <w:rPr>
                <w:sz w:val="18"/>
                <w:szCs w:val="18"/>
              </w:rPr>
            </w:pPr>
            <w:r w:rsidRPr="004C78D8">
              <w:rPr>
                <w:sz w:val="18"/>
                <w:szCs w:val="18"/>
              </w:rPr>
              <w:t xml:space="preserve">January 2019 meeting with Age UK </w:t>
            </w:r>
            <w:r w:rsidR="00102881" w:rsidRPr="004C78D8">
              <w:rPr>
                <w:sz w:val="18"/>
                <w:szCs w:val="18"/>
              </w:rPr>
              <w:t>on home visit falls prevention services</w:t>
            </w:r>
            <w:r w:rsidRPr="004C78D8">
              <w:rPr>
                <w:sz w:val="18"/>
                <w:szCs w:val="18"/>
              </w:rPr>
              <w:t xml:space="preserve"> </w:t>
            </w:r>
          </w:p>
          <w:p w14:paraId="27097FD6" w14:textId="67117430" w:rsidR="00AD394F" w:rsidRPr="004C78D8" w:rsidRDefault="00AD394F" w:rsidP="00FB7C1F">
            <w:pPr>
              <w:pStyle w:val="ListParagraph"/>
              <w:numPr>
                <w:ilvl w:val="0"/>
                <w:numId w:val="21"/>
              </w:numPr>
              <w:ind w:left="180" w:hanging="218"/>
              <w:jc w:val="left"/>
              <w:rPr>
                <w:sz w:val="18"/>
                <w:szCs w:val="18"/>
              </w:rPr>
            </w:pPr>
            <w:r w:rsidRPr="004C78D8">
              <w:rPr>
                <w:sz w:val="18"/>
                <w:szCs w:val="18"/>
              </w:rPr>
              <w:t xml:space="preserve">April 2019 meeting with PT and OT leads of STH on </w:t>
            </w:r>
            <w:r w:rsidR="00102881" w:rsidRPr="004C78D8">
              <w:rPr>
                <w:sz w:val="18"/>
                <w:szCs w:val="18"/>
              </w:rPr>
              <w:t xml:space="preserve">current </w:t>
            </w:r>
            <w:r w:rsidRPr="004C78D8">
              <w:rPr>
                <w:sz w:val="18"/>
                <w:szCs w:val="18"/>
              </w:rPr>
              <w:t>falls prevention pathways</w:t>
            </w:r>
          </w:p>
          <w:p w14:paraId="3279FDF3" w14:textId="18C94581" w:rsidR="00AD394F" w:rsidRPr="004C78D8" w:rsidRDefault="00AD394F" w:rsidP="00FB7C1F">
            <w:pPr>
              <w:pStyle w:val="ListParagraph"/>
              <w:numPr>
                <w:ilvl w:val="0"/>
                <w:numId w:val="21"/>
              </w:numPr>
              <w:ind w:left="180" w:hanging="218"/>
              <w:jc w:val="left"/>
              <w:rPr>
                <w:sz w:val="18"/>
                <w:szCs w:val="18"/>
              </w:rPr>
            </w:pPr>
            <w:r w:rsidRPr="004C78D8">
              <w:rPr>
                <w:sz w:val="18"/>
                <w:szCs w:val="18"/>
              </w:rPr>
              <w:t>May 2019</w:t>
            </w:r>
            <w:r w:rsidR="005604EE" w:rsidRPr="004C78D8">
              <w:rPr>
                <w:sz w:val="18"/>
                <w:szCs w:val="18"/>
              </w:rPr>
              <w:t>: observed</w:t>
            </w:r>
            <w:r w:rsidRPr="004C78D8">
              <w:rPr>
                <w:sz w:val="18"/>
                <w:szCs w:val="18"/>
              </w:rPr>
              <w:t xml:space="preserve"> Dance to Health sessions and me</w:t>
            </w:r>
            <w:r w:rsidR="005A5E2B" w:rsidRPr="004C78D8">
              <w:rPr>
                <w:sz w:val="18"/>
                <w:szCs w:val="18"/>
              </w:rPr>
              <w:t>t</w:t>
            </w:r>
            <w:r w:rsidRPr="004C78D8">
              <w:rPr>
                <w:sz w:val="18"/>
                <w:szCs w:val="18"/>
              </w:rPr>
              <w:t xml:space="preserve"> with Dance to Health management</w:t>
            </w:r>
          </w:p>
        </w:tc>
      </w:tr>
      <w:tr w:rsidR="00AD394F" w:rsidRPr="004C78D8" w14:paraId="30A8DBB8" w14:textId="77777777" w:rsidTr="002828C1">
        <w:tc>
          <w:tcPr>
            <w:tcW w:w="951" w:type="pct"/>
            <w:vMerge/>
          </w:tcPr>
          <w:p w14:paraId="3D892D23" w14:textId="77777777" w:rsidR="00AD394F" w:rsidRPr="004C78D8" w:rsidRDefault="00AD394F" w:rsidP="00FB7C1F">
            <w:pPr>
              <w:jc w:val="left"/>
              <w:rPr>
                <w:sz w:val="18"/>
                <w:szCs w:val="18"/>
              </w:rPr>
            </w:pPr>
          </w:p>
        </w:tc>
        <w:tc>
          <w:tcPr>
            <w:tcW w:w="793" w:type="pct"/>
          </w:tcPr>
          <w:p w14:paraId="52955F7F" w14:textId="77777777" w:rsidR="00AD394F" w:rsidRPr="004C78D8" w:rsidRDefault="00AD394F" w:rsidP="00FB7C1F">
            <w:pPr>
              <w:jc w:val="left"/>
              <w:rPr>
                <w:sz w:val="18"/>
                <w:szCs w:val="18"/>
              </w:rPr>
            </w:pPr>
            <w:r w:rsidRPr="004C78D8">
              <w:rPr>
                <w:sz w:val="18"/>
                <w:szCs w:val="18"/>
              </w:rPr>
              <w:t>Systematic literature review</w:t>
            </w:r>
          </w:p>
        </w:tc>
        <w:tc>
          <w:tcPr>
            <w:tcW w:w="3257" w:type="pct"/>
          </w:tcPr>
          <w:p w14:paraId="477D656D" w14:textId="77777777" w:rsidR="00AD394F" w:rsidRPr="004C78D8" w:rsidRDefault="00AD394F" w:rsidP="00FB7C1F">
            <w:pPr>
              <w:pStyle w:val="ListParagraph"/>
              <w:numPr>
                <w:ilvl w:val="0"/>
                <w:numId w:val="21"/>
              </w:numPr>
              <w:ind w:left="180" w:hanging="218"/>
              <w:jc w:val="left"/>
              <w:rPr>
                <w:sz w:val="18"/>
                <w:szCs w:val="18"/>
              </w:rPr>
            </w:pPr>
            <w:r w:rsidRPr="004C78D8">
              <w:rPr>
                <w:sz w:val="18"/>
                <w:szCs w:val="18"/>
              </w:rPr>
              <w:t>July 2019 systematic review of community-based falls prevention RCTs</w:t>
            </w:r>
            <w:r w:rsidRPr="004C78D8">
              <w:rPr>
                <w:sz w:val="18"/>
                <w:szCs w:val="18"/>
                <w:vertAlign w:val="superscript"/>
              </w:rPr>
              <w:t>2</w:t>
            </w:r>
            <w:r w:rsidRPr="004C78D8">
              <w:rPr>
                <w:sz w:val="18"/>
                <w:szCs w:val="18"/>
              </w:rPr>
              <w:t xml:space="preserve"> (identified studies combined with those from previous systematic reviews)</w:t>
            </w:r>
          </w:p>
        </w:tc>
      </w:tr>
      <w:tr w:rsidR="00AD394F" w:rsidRPr="004C78D8" w14:paraId="0BF8477E" w14:textId="77777777" w:rsidTr="002828C1">
        <w:tc>
          <w:tcPr>
            <w:tcW w:w="951" w:type="pct"/>
            <w:vMerge/>
          </w:tcPr>
          <w:p w14:paraId="5901E281" w14:textId="77777777" w:rsidR="00AD394F" w:rsidRPr="004C78D8" w:rsidRDefault="00AD394F" w:rsidP="00FB7C1F">
            <w:pPr>
              <w:jc w:val="left"/>
              <w:rPr>
                <w:sz w:val="18"/>
                <w:szCs w:val="18"/>
              </w:rPr>
            </w:pPr>
          </w:p>
        </w:tc>
        <w:tc>
          <w:tcPr>
            <w:tcW w:w="793" w:type="pct"/>
          </w:tcPr>
          <w:p w14:paraId="385B65B3" w14:textId="77777777" w:rsidR="00AD394F" w:rsidRPr="004C78D8" w:rsidRDefault="00AD394F" w:rsidP="00FB7C1F">
            <w:pPr>
              <w:jc w:val="left"/>
              <w:rPr>
                <w:sz w:val="18"/>
                <w:szCs w:val="18"/>
              </w:rPr>
            </w:pPr>
            <w:r w:rsidRPr="004C78D8">
              <w:rPr>
                <w:sz w:val="18"/>
                <w:szCs w:val="18"/>
              </w:rPr>
              <w:t>General literature review</w:t>
            </w:r>
          </w:p>
        </w:tc>
        <w:tc>
          <w:tcPr>
            <w:tcW w:w="3257" w:type="pct"/>
          </w:tcPr>
          <w:p w14:paraId="25596104" w14:textId="010D05B6" w:rsidR="00AD394F" w:rsidRPr="004C78D8" w:rsidRDefault="00AD394F" w:rsidP="00FB7C1F">
            <w:pPr>
              <w:pStyle w:val="ListParagraph"/>
              <w:numPr>
                <w:ilvl w:val="0"/>
                <w:numId w:val="21"/>
              </w:numPr>
              <w:ind w:left="180" w:hanging="218"/>
              <w:jc w:val="left"/>
              <w:rPr>
                <w:sz w:val="18"/>
                <w:szCs w:val="18"/>
              </w:rPr>
            </w:pPr>
            <w:r w:rsidRPr="004C78D8">
              <w:rPr>
                <w:sz w:val="18"/>
                <w:szCs w:val="18"/>
              </w:rPr>
              <w:t>Falls prevention guidelines</w:t>
            </w:r>
            <w:r w:rsidR="00C04774" w:rsidRPr="004C78D8">
              <w:rPr>
                <w:sz w:val="18"/>
                <w:szCs w:val="18"/>
              </w:rPr>
              <w:t>:</w:t>
            </w:r>
            <w:r w:rsidRPr="004C78D8">
              <w:rPr>
                <w:sz w:val="18"/>
                <w:szCs w:val="18"/>
                <w:vertAlign w:val="superscript"/>
              </w:rPr>
              <w:t>1</w:t>
            </w:r>
            <w:r w:rsidRPr="004C78D8">
              <w:rPr>
                <w:sz w:val="18"/>
                <w:szCs w:val="18"/>
              </w:rPr>
              <w:t xml:space="preserve"> </w:t>
            </w:r>
            <w:r w:rsidRPr="004C78D8">
              <w:rPr>
                <w:sz w:val="18"/>
                <w:szCs w:val="18"/>
              </w:rPr>
              <w:fldChar w:fldCharType="begin">
                <w:fldData xml:space="preserve">PEVuZE5vdGU+PENpdGU+PEF1dGhvcj5OYXRpb25hbCBJbnN0aXR1dGUgZm9yIEhlYWx0aCBhbmQg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</w:fldData>
              </w:fldChar>
            </w:r>
            <w:r w:rsidR="00C630FC" w:rsidRPr="004C78D8">
              <w:rPr>
                <w:sz w:val="18"/>
                <w:szCs w:val="18"/>
              </w:rPr>
              <w:instrText xml:space="preserve"> ADDIN EN.CITE </w:instrText>
            </w:r>
            <w:r w:rsidR="00C630FC" w:rsidRPr="004C78D8">
              <w:rPr>
                <w:sz w:val="18"/>
                <w:szCs w:val="18"/>
              </w:rPr>
              <w:fldChar w:fldCharType="begin">
                <w:fldData xml:space="preserve">PEVuZE5vdGU+PENpdGU+PEF1dGhvcj5OYXRpb25hbCBJbnN0aXR1dGUgZm9yIEhlYWx0aCBhbmQg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</w:fldData>
              </w:fldChar>
            </w:r>
            <w:r w:rsidR="00C630FC" w:rsidRPr="004C78D8">
              <w:rPr>
                <w:sz w:val="18"/>
                <w:szCs w:val="18"/>
              </w:rPr>
              <w:instrText xml:space="preserve"> ADDIN EN.CITE.DATA </w:instrText>
            </w:r>
            <w:r w:rsidR="00C630FC" w:rsidRPr="004C78D8">
              <w:rPr>
                <w:sz w:val="18"/>
                <w:szCs w:val="18"/>
              </w:rPr>
            </w:r>
            <w:r w:rsidR="00C630FC" w:rsidRPr="004C78D8">
              <w:rPr>
                <w:sz w:val="18"/>
                <w:szCs w:val="18"/>
              </w:rPr>
              <w:fldChar w:fldCharType="end"/>
            </w:r>
            <w:r w:rsidRPr="004C78D8">
              <w:rPr>
                <w:sz w:val="18"/>
                <w:szCs w:val="18"/>
              </w:rPr>
            </w:r>
            <w:r w:rsidRPr="004C78D8">
              <w:rPr>
                <w:sz w:val="18"/>
                <w:szCs w:val="18"/>
              </w:rPr>
              <w:fldChar w:fldCharType="separate"/>
            </w:r>
            <w:r w:rsidR="00C630FC" w:rsidRPr="004C78D8">
              <w:rPr>
                <w:noProof/>
                <w:sz w:val="18"/>
                <w:szCs w:val="18"/>
              </w:rPr>
              <w:t>[13, 113, 130, 143, 146, 219]</w:t>
            </w:r>
            <w:r w:rsidRPr="004C78D8">
              <w:rPr>
                <w:sz w:val="18"/>
                <w:szCs w:val="18"/>
              </w:rPr>
              <w:fldChar w:fldCharType="end"/>
            </w:r>
          </w:p>
          <w:p w14:paraId="70EB99E3" w14:textId="7684649E" w:rsidR="00AD394F" w:rsidRPr="004C78D8" w:rsidRDefault="00AD394F" w:rsidP="00FB7C1F">
            <w:pPr>
              <w:pStyle w:val="ListParagraph"/>
              <w:numPr>
                <w:ilvl w:val="0"/>
                <w:numId w:val="21"/>
              </w:numPr>
              <w:ind w:left="180" w:hanging="218"/>
              <w:jc w:val="left"/>
              <w:rPr>
                <w:sz w:val="18"/>
                <w:szCs w:val="18"/>
              </w:rPr>
            </w:pPr>
            <w:r w:rsidRPr="004C78D8">
              <w:rPr>
                <w:sz w:val="18"/>
                <w:szCs w:val="18"/>
              </w:rPr>
              <w:t xml:space="preserve">Report on Sheffield Perfect Patient Pathway </w:t>
            </w:r>
            <w:r w:rsidRPr="004C78D8">
              <w:rPr>
                <w:sz w:val="18"/>
                <w:szCs w:val="18"/>
              </w:rPr>
              <w:fldChar w:fldCharType="begin"/>
            </w:r>
            <w:r w:rsidR="00C630FC" w:rsidRPr="004C78D8">
              <w:rPr>
                <w:sz w:val="18"/>
                <w:szCs w:val="18"/>
              </w:rPr>
              <w:instrText xml:space="preserve"> ADDIN EN.CITE &lt;EndNote&gt;&lt;Cite&gt;&lt;Author&gt;Sheffield Teaching Hospitals&lt;/Author&gt;&lt;Year&gt;2019&lt;/Year&gt;&lt;RecNum&gt;552&lt;/RecNum&gt;&lt;DisplayText&gt;[209]&lt;/DisplayText&gt;&lt;record&gt;&lt;rec-number&gt;552&lt;/rec-number&gt;&lt;foreign-keys&gt;&lt;key app="EN" db-id="tdtrdw9aepptzbefsat599syza29sxsd2wsp" timestamp="1619256769"&gt;552&lt;/key&gt;&lt;/foreign-keys&gt;&lt;ref-type name="Report"&gt;27&lt;/ref-type&gt;&lt;contributors&gt;&lt;authors&gt;&lt;author&gt;Sheffield Teaching Hospitals,&lt;/author&gt;&lt;/authors&gt;&lt;/contributors&gt;&lt;titles&gt;&lt;title&gt;Perfect Patient Pathway Test Bed Overview Report&lt;/title&gt;&lt;/titles&gt;&lt;dates&gt;&lt;year&gt;2019&lt;/year&gt;&lt;/dates&gt;&lt;publisher&gt;Sheffield Teaching Hospitals NHS Foundation Trust&lt;/publisher&gt;&lt;urls&gt;&lt;related-urls&gt;&lt;url&gt;www.ppptestbed.nhs.uk&lt;/url&gt;&lt;/related-urls&gt;&lt;/urls&gt;&lt;/record&gt;&lt;/Cite&gt;&lt;/EndNote&gt;</w:instrText>
            </w:r>
            <w:r w:rsidRPr="004C78D8">
              <w:rPr>
                <w:sz w:val="18"/>
                <w:szCs w:val="18"/>
              </w:rPr>
              <w:fldChar w:fldCharType="separate"/>
            </w:r>
            <w:r w:rsidR="00C630FC" w:rsidRPr="004C78D8">
              <w:rPr>
                <w:noProof/>
                <w:sz w:val="18"/>
                <w:szCs w:val="18"/>
              </w:rPr>
              <w:t>[209]</w:t>
            </w:r>
            <w:r w:rsidRPr="004C78D8">
              <w:rPr>
                <w:sz w:val="18"/>
                <w:szCs w:val="18"/>
              </w:rPr>
              <w:fldChar w:fldCharType="end"/>
            </w:r>
          </w:p>
          <w:p w14:paraId="197B8597" w14:textId="41BB1288" w:rsidR="00AD394F" w:rsidRPr="004C78D8" w:rsidRDefault="00C04774" w:rsidP="00FB7C1F">
            <w:pPr>
              <w:pStyle w:val="ListParagraph"/>
              <w:numPr>
                <w:ilvl w:val="0"/>
                <w:numId w:val="21"/>
              </w:numPr>
              <w:ind w:left="180" w:hanging="218"/>
              <w:jc w:val="left"/>
              <w:rPr>
                <w:sz w:val="18"/>
                <w:szCs w:val="18"/>
              </w:rPr>
            </w:pPr>
            <w:r w:rsidRPr="004C78D8">
              <w:rPr>
                <w:sz w:val="18"/>
                <w:szCs w:val="18"/>
              </w:rPr>
              <w:t>Previous</w:t>
            </w:r>
            <w:r w:rsidR="00AD394F" w:rsidRPr="004C78D8">
              <w:rPr>
                <w:sz w:val="18"/>
                <w:szCs w:val="18"/>
              </w:rPr>
              <w:t xml:space="preserve"> systematic reviews of community-based falls prevention RCTs: e.g., </w:t>
            </w:r>
            <w:r w:rsidR="00AD394F" w:rsidRPr="004C78D8">
              <w:rPr>
                <w:sz w:val="18"/>
                <w:szCs w:val="18"/>
              </w:rPr>
              <w:fldChar w:fldCharType="begin">
                <w:fldData xml:space="preserve">PEVuZE5vdGU+PENpdGU+PEF1dGhvcj5HaWxsZXNwaWU8L0F1dGhvcj48WWVhcj4yMDEyPC9ZZWFy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</w:fldData>
              </w:fldChar>
            </w:r>
            <w:r w:rsidR="00C630FC" w:rsidRPr="004C78D8">
              <w:rPr>
                <w:sz w:val="18"/>
                <w:szCs w:val="18"/>
              </w:rPr>
              <w:instrText xml:space="preserve"> ADDIN EN.CITE </w:instrText>
            </w:r>
            <w:r w:rsidR="00C630FC" w:rsidRPr="004C78D8">
              <w:rPr>
                <w:sz w:val="18"/>
                <w:szCs w:val="18"/>
              </w:rPr>
              <w:fldChar w:fldCharType="begin">
                <w:fldData xml:space="preserve">PEVuZE5vdGU+PENpdGU+PEF1dGhvcj5HaWxsZXNwaWU8L0F1dGhvcj48WWVhcj4yMDEyPC9ZZWFy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</w:fldData>
              </w:fldChar>
            </w:r>
            <w:r w:rsidR="00C630FC" w:rsidRPr="004C78D8">
              <w:rPr>
                <w:sz w:val="18"/>
                <w:szCs w:val="18"/>
              </w:rPr>
              <w:instrText xml:space="preserve"> ADDIN EN.CITE.DATA </w:instrText>
            </w:r>
            <w:r w:rsidR="00C630FC" w:rsidRPr="004C78D8">
              <w:rPr>
                <w:sz w:val="18"/>
                <w:szCs w:val="18"/>
              </w:rPr>
            </w:r>
            <w:r w:rsidR="00C630FC" w:rsidRPr="004C78D8">
              <w:rPr>
                <w:sz w:val="18"/>
                <w:szCs w:val="18"/>
              </w:rPr>
              <w:fldChar w:fldCharType="end"/>
            </w:r>
            <w:r w:rsidR="00AD394F" w:rsidRPr="004C78D8">
              <w:rPr>
                <w:sz w:val="18"/>
                <w:szCs w:val="18"/>
              </w:rPr>
            </w:r>
            <w:r w:rsidR="00AD394F" w:rsidRPr="004C78D8">
              <w:rPr>
                <w:sz w:val="18"/>
                <w:szCs w:val="18"/>
              </w:rPr>
              <w:fldChar w:fldCharType="separate"/>
            </w:r>
            <w:r w:rsidR="00C630FC" w:rsidRPr="004C78D8">
              <w:rPr>
                <w:noProof/>
                <w:sz w:val="18"/>
                <w:szCs w:val="18"/>
              </w:rPr>
              <w:t>[124-126, 220]</w:t>
            </w:r>
            <w:r w:rsidR="00AD394F" w:rsidRPr="004C78D8">
              <w:rPr>
                <w:sz w:val="18"/>
                <w:szCs w:val="18"/>
              </w:rPr>
              <w:fldChar w:fldCharType="end"/>
            </w:r>
          </w:p>
          <w:p w14:paraId="32C0A987" w14:textId="54341C35" w:rsidR="00AD394F" w:rsidRPr="004C78D8" w:rsidRDefault="00C04774" w:rsidP="00FB7C1F">
            <w:pPr>
              <w:pStyle w:val="ListParagraph"/>
              <w:numPr>
                <w:ilvl w:val="0"/>
                <w:numId w:val="21"/>
              </w:numPr>
              <w:ind w:left="180" w:hanging="218"/>
              <w:jc w:val="left"/>
              <w:rPr>
                <w:sz w:val="18"/>
                <w:szCs w:val="18"/>
              </w:rPr>
            </w:pPr>
            <w:r w:rsidRPr="004C78D8">
              <w:rPr>
                <w:sz w:val="18"/>
                <w:szCs w:val="18"/>
              </w:rPr>
              <w:t>Literature</w:t>
            </w:r>
            <w:r w:rsidR="00AD394F" w:rsidRPr="004C78D8">
              <w:rPr>
                <w:sz w:val="18"/>
                <w:szCs w:val="18"/>
              </w:rPr>
              <w:t xml:space="preserve"> on falls prevention facilitators and barriers: e.g., </w:t>
            </w:r>
            <w:r w:rsidR="00AD394F" w:rsidRPr="004C78D8">
              <w:rPr>
                <w:sz w:val="18"/>
                <w:szCs w:val="18"/>
              </w:rPr>
              <w:fldChar w:fldCharType="begin"/>
            </w:r>
            <w:r w:rsidR="00513646" w:rsidRPr="004C78D8">
              <w:rPr>
                <w:sz w:val="18"/>
                <w:szCs w:val="18"/>
              </w:rPr>
              <w:instrText xml:space="preserve"> ADDIN EN.CITE &lt;EndNote&gt;&lt;Cite&gt;&lt;Author&gt;Child&lt;/Author&gt;&lt;Year&gt;2012&lt;/Year&gt;&lt;RecNum&gt;256&lt;/RecNum&gt;&lt;DisplayText&gt;[141]&lt;/DisplayText&gt;&lt;record&gt;&lt;rec-number&gt;256&lt;/rec-number&gt;&lt;foreign-keys&gt;&lt;key app="EN" db-id="tdtrdw9aepptzbefsat599syza29sxsd2wsp" timestamp="1611675441"&gt;256&lt;/key&gt;&lt;/foreign-keys&gt;&lt;ref-type name="Journal Article"&gt;17&lt;/ref-type&gt;&lt;contributors&gt;&lt;authors&gt;&lt;author&gt;Child, Sue&lt;/author&gt;&lt;author&gt;Goodwin, Victoria&lt;/author&gt;&lt;author&gt;Garside, Ruth&lt;/author&gt;&lt;author&gt;Jones-Hughes, Tracey&lt;/author&gt;&lt;author&gt;Boddy, Kate&lt;/author&gt;&lt;author&gt;Stein, Ken&lt;/author&gt;&lt;/authors&gt;&lt;/contributors&gt;&lt;titles&gt;&lt;title&gt;Factors influencing the implementation of fall-prevention programmes: a systematic review and synthesis of qualitative studies&lt;/title&gt;&lt;secondary-title&gt;Implementation science&lt;/secondary-title&gt;&lt;/titles&gt;&lt;periodical&gt;&lt;full-title&gt;Implementation science&lt;/full-title&gt;&lt;/periodical&gt;&lt;pages&gt;91&lt;/pages&gt;&lt;volume&gt;7&lt;/volume&gt;&lt;number&gt;1&lt;/number&gt;&lt;dates&gt;&lt;year&gt;2012&lt;/year&gt;&lt;/dates&gt;&lt;isbn&gt;1748-5908&lt;/isbn&gt;&lt;urls&gt;&lt;/urls&gt;&lt;/record&gt;&lt;/Cite&gt;&lt;/EndNote&gt;</w:instrText>
            </w:r>
            <w:r w:rsidR="00AD394F" w:rsidRPr="004C78D8">
              <w:rPr>
                <w:sz w:val="18"/>
                <w:szCs w:val="18"/>
              </w:rPr>
              <w:fldChar w:fldCharType="separate"/>
            </w:r>
            <w:r w:rsidR="00513646" w:rsidRPr="004C78D8">
              <w:rPr>
                <w:noProof/>
                <w:sz w:val="18"/>
                <w:szCs w:val="18"/>
              </w:rPr>
              <w:t>[141]</w:t>
            </w:r>
            <w:r w:rsidR="00AD394F" w:rsidRPr="004C78D8">
              <w:rPr>
                <w:sz w:val="18"/>
                <w:szCs w:val="18"/>
              </w:rPr>
              <w:fldChar w:fldCharType="end"/>
            </w:r>
          </w:p>
          <w:p w14:paraId="2434784F" w14:textId="1283C51E" w:rsidR="00AD394F" w:rsidRPr="004C78D8" w:rsidRDefault="00AD394F" w:rsidP="00FB7C1F">
            <w:pPr>
              <w:pStyle w:val="ListParagraph"/>
              <w:numPr>
                <w:ilvl w:val="0"/>
                <w:numId w:val="21"/>
              </w:numPr>
              <w:ind w:left="180" w:hanging="218"/>
              <w:jc w:val="left"/>
              <w:rPr>
                <w:sz w:val="18"/>
                <w:szCs w:val="18"/>
              </w:rPr>
            </w:pPr>
            <w:r w:rsidRPr="004C78D8">
              <w:rPr>
                <w:sz w:val="18"/>
                <w:szCs w:val="18"/>
              </w:rPr>
              <w:t xml:space="preserve">Falls prevention in broader geriatric health promotion context: e.g., </w:t>
            </w:r>
            <w:r w:rsidRPr="004C78D8">
              <w:rPr>
                <w:sz w:val="18"/>
                <w:szCs w:val="18"/>
              </w:rPr>
              <w:fldChar w:fldCharType="begin"/>
            </w:r>
            <w:r w:rsidR="00513646" w:rsidRPr="004C78D8">
              <w:rPr>
                <w:sz w:val="18"/>
                <w:szCs w:val="18"/>
              </w:rPr>
              <w:instrText xml:space="preserve"> ADDIN EN.CITE &lt;EndNote&gt;&lt;Cite&gt;&lt;Author&gt;World Health Organization&lt;/Author&gt;&lt;Year&gt;2015&lt;/Year&gt;&lt;RecNum&gt;1&lt;/RecNum&gt;&lt;DisplayText&gt;[2, 93]&lt;/DisplayText&gt;&lt;record&gt;&lt;rec-number&gt;1&lt;/rec-number&gt;&lt;foreign-keys&gt;&lt;key app="EN" db-id="tdtrdw9aepptzbefsat599syza29sxsd2wsp" timestamp="1596571129"&gt;1&lt;/key&gt;&lt;/foreign-keys&gt;&lt;ref-type name="Book"&gt;6&lt;/ref-type&gt;&lt;contributors&gt;&lt;authors&gt;&lt;author&gt;World Health Organization,&lt;/author&gt;&lt;/authors&gt;&lt;/contributors&gt;&lt;titles&gt;&lt;title&gt;World Report on Ageing and Health&lt;/title&gt;&lt;/titles&gt;&lt;dates&gt;&lt;year&gt;2015&lt;/year&gt;&lt;/dates&gt;&lt;publisher&gt;World Health Organization&lt;/publisher&gt;&lt;isbn&gt;9241565047&lt;/isbn&gt;&lt;urls&gt;&lt;/urls&gt;&lt;/record&gt;&lt;/Cite&gt;&lt;Cite&gt;&lt;Author&gt;Department of Health&lt;/Author&gt;&lt;Year&gt;2010&lt;/Year&gt;&lt;RecNum&gt;3&lt;/RecNum&gt;&lt;record&gt;&lt;rec-number&gt;3&lt;/rec-number&gt;&lt;foreign-keys&gt;&lt;key app="EN" db-id="tdtrdw9aepptzbefsat599syza29sxsd2wsp" timestamp="1596571158"&gt;3&lt;/key&gt;&lt;/foreign-keys&gt;&lt;ref-type name="Book"&gt;6&lt;/ref-type&gt;&lt;contributors&gt;&lt;authors&gt;&lt;author&gt;Department of Health,&lt;/author&gt;&lt;/authors&gt;&lt;/contributors&gt;&lt;titles&gt;&lt;title&gt;Healthy lives, healthy people: Our strategy for public health in England&lt;/title&gt;&lt;/titles&gt;&lt;volume&gt;7985&lt;/volume&gt;&lt;dates&gt;&lt;year&gt;2010&lt;/year&gt;&lt;/dates&gt;&lt;publisher&gt;The Stationery Office&lt;/publisher&gt;&lt;isbn&gt;0101798520&lt;/isbn&gt;&lt;urls&gt;&lt;/urls&gt;&lt;/record&gt;&lt;/Cite&gt;&lt;/EndNote&gt;</w:instrText>
            </w:r>
            <w:r w:rsidRPr="004C78D8">
              <w:rPr>
                <w:sz w:val="18"/>
                <w:szCs w:val="18"/>
              </w:rPr>
              <w:fldChar w:fldCharType="separate"/>
            </w:r>
            <w:r w:rsidR="00513646" w:rsidRPr="004C78D8">
              <w:rPr>
                <w:noProof/>
                <w:sz w:val="18"/>
                <w:szCs w:val="18"/>
              </w:rPr>
              <w:t>[2, 93]</w:t>
            </w:r>
            <w:r w:rsidRPr="004C78D8">
              <w:rPr>
                <w:sz w:val="18"/>
                <w:szCs w:val="18"/>
              </w:rPr>
              <w:fldChar w:fldCharType="end"/>
            </w:r>
          </w:p>
        </w:tc>
      </w:tr>
      <w:tr w:rsidR="00AD394F" w:rsidRPr="004C78D8" w14:paraId="34AB4632" w14:textId="77777777" w:rsidTr="002828C1">
        <w:tc>
          <w:tcPr>
            <w:tcW w:w="951" w:type="pct"/>
            <w:vMerge/>
          </w:tcPr>
          <w:p w14:paraId="4EDB699D" w14:textId="77777777" w:rsidR="00AD394F" w:rsidRPr="004C78D8" w:rsidRDefault="00AD394F" w:rsidP="00FB7C1F">
            <w:pPr>
              <w:jc w:val="left"/>
              <w:rPr>
                <w:sz w:val="18"/>
                <w:szCs w:val="18"/>
              </w:rPr>
            </w:pPr>
          </w:p>
        </w:tc>
        <w:tc>
          <w:tcPr>
            <w:tcW w:w="793" w:type="pct"/>
          </w:tcPr>
          <w:p w14:paraId="526F98C1" w14:textId="77777777" w:rsidR="00AD394F" w:rsidRPr="004C78D8" w:rsidRDefault="00AD394F" w:rsidP="00FB7C1F">
            <w:pPr>
              <w:jc w:val="left"/>
              <w:rPr>
                <w:sz w:val="18"/>
                <w:szCs w:val="18"/>
              </w:rPr>
            </w:pPr>
            <w:r w:rsidRPr="004C78D8">
              <w:rPr>
                <w:sz w:val="18"/>
                <w:szCs w:val="18"/>
              </w:rPr>
              <w:t>Primary data analysis</w:t>
            </w:r>
          </w:p>
        </w:tc>
        <w:tc>
          <w:tcPr>
            <w:tcW w:w="3257" w:type="pct"/>
          </w:tcPr>
          <w:p w14:paraId="1E441376" w14:textId="2B133460" w:rsidR="00AD394F" w:rsidRPr="004C78D8" w:rsidRDefault="00AD394F" w:rsidP="00FB7C1F">
            <w:pPr>
              <w:pStyle w:val="ListParagraph"/>
              <w:numPr>
                <w:ilvl w:val="0"/>
                <w:numId w:val="21"/>
              </w:numPr>
              <w:ind w:left="180" w:hanging="218"/>
              <w:jc w:val="left"/>
              <w:rPr>
                <w:sz w:val="18"/>
                <w:szCs w:val="18"/>
              </w:rPr>
            </w:pPr>
            <w:r w:rsidRPr="004C78D8">
              <w:rPr>
                <w:sz w:val="18"/>
                <w:szCs w:val="18"/>
              </w:rPr>
              <w:t xml:space="preserve">Qualitative research with </w:t>
            </w:r>
            <w:r w:rsidR="00C04774" w:rsidRPr="004C78D8">
              <w:rPr>
                <w:sz w:val="18"/>
                <w:szCs w:val="18"/>
              </w:rPr>
              <w:t xml:space="preserve">older </w:t>
            </w:r>
            <w:r w:rsidRPr="004C78D8">
              <w:rPr>
                <w:sz w:val="18"/>
                <w:szCs w:val="18"/>
              </w:rPr>
              <w:t>persons in Sheffield on facilitators and barriers to implementing NICE falls prevention guideline</w:t>
            </w:r>
            <w:r w:rsidRPr="004C78D8">
              <w:rPr>
                <w:sz w:val="18"/>
                <w:szCs w:val="18"/>
                <w:vertAlign w:val="superscript"/>
              </w:rPr>
              <w:t>3</w:t>
            </w:r>
          </w:p>
        </w:tc>
      </w:tr>
      <w:tr w:rsidR="00E10F6C" w:rsidRPr="004C78D8" w14:paraId="01A59B44" w14:textId="77777777" w:rsidTr="002828C1">
        <w:tc>
          <w:tcPr>
            <w:tcW w:w="951" w:type="pct"/>
            <w:vMerge w:val="restart"/>
          </w:tcPr>
          <w:p w14:paraId="29B0CC13" w14:textId="77777777" w:rsidR="00E10F6C" w:rsidRPr="004C78D8" w:rsidRDefault="00E10F6C" w:rsidP="00FB7C1F">
            <w:pPr>
              <w:jc w:val="left"/>
              <w:rPr>
                <w:sz w:val="18"/>
                <w:szCs w:val="18"/>
              </w:rPr>
            </w:pPr>
            <w:r w:rsidRPr="004C78D8">
              <w:rPr>
                <w:sz w:val="18"/>
                <w:szCs w:val="18"/>
              </w:rPr>
              <w:t>Modelling features</w:t>
            </w:r>
          </w:p>
        </w:tc>
        <w:tc>
          <w:tcPr>
            <w:tcW w:w="793" w:type="pct"/>
          </w:tcPr>
          <w:p w14:paraId="7E91BB8E" w14:textId="77777777" w:rsidR="00E10F6C" w:rsidRPr="004C78D8" w:rsidRDefault="00E10F6C" w:rsidP="00FB7C1F">
            <w:pPr>
              <w:jc w:val="left"/>
              <w:rPr>
                <w:sz w:val="18"/>
                <w:szCs w:val="18"/>
              </w:rPr>
            </w:pPr>
            <w:r w:rsidRPr="004C78D8">
              <w:rPr>
                <w:sz w:val="18"/>
                <w:szCs w:val="18"/>
              </w:rPr>
              <w:t>Stakeholder consultation</w:t>
            </w:r>
          </w:p>
        </w:tc>
        <w:tc>
          <w:tcPr>
            <w:tcW w:w="3257" w:type="pct"/>
          </w:tcPr>
          <w:p w14:paraId="37D541CE" w14:textId="77777777" w:rsidR="00E10F6C" w:rsidRPr="004C78D8" w:rsidRDefault="00E10F6C" w:rsidP="00FB7C1F">
            <w:pPr>
              <w:pStyle w:val="ListParagraph"/>
              <w:numPr>
                <w:ilvl w:val="0"/>
                <w:numId w:val="21"/>
              </w:numPr>
              <w:ind w:left="180" w:hanging="218"/>
              <w:jc w:val="left"/>
              <w:rPr>
                <w:sz w:val="18"/>
                <w:szCs w:val="18"/>
              </w:rPr>
            </w:pPr>
            <w:r w:rsidRPr="004C78D8">
              <w:rPr>
                <w:sz w:val="18"/>
                <w:szCs w:val="18"/>
              </w:rPr>
              <w:t>October 2018 meeting with falls modelling expert on modelling challenges</w:t>
            </w:r>
          </w:p>
          <w:p w14:paraId="0B4A4232" w14:textId="77777777" w:rsidR="00E10F6C" w:rsidRPr="004C78D8" w:rsidRDefault="00E10F6C" w:rsidP="00FB7C1F">
            <w:pPr>
              <w:pStyle w:val="ListParagraph"/>
              <w:numPr>
                <w:ilvl w:val="0"/>
                <w:numId w:val="21"/>
              </w:numPr>
              <w:ind w:left="180" w:hanging="218"/>
              <w:jc w:val="left"/>
              <w:rPr>
                <w:sz w:val="18"/>
                <w:szCs w:val="18"/>
              </w:rPr>
            </w:pPr>
            <w:r w:rsidRPr="004C78D8">
              <w:rPr>
                <w:sz w:val="18"/>
                <w:szCs w:val="18"/>
              </w:rPr>
              <w:t>November 2018 independent scientific review on preliminary conceptual model</w:t>
            </w:r>
          </w:p>
          <w:p w14:paraId="3ADA4125" w14:textId="77777777" w:rsidR="00E10F6C" w:rsidRPr="004C78D8" w:rsidRDefault="00E10F6C" w:rsidP="00FB7C1F">
            <w:pPr>
              <w:pStyle w:val="ListParagraph"/>
              <w:numPr>
                <w:ilvl w:val="0"/>
                <w:numId w:val="21"/>
              </w:numPr>
              <w:ind w:left="180" w:hanging="218"/>
              <w:jc w:val="left"/>
              <w:rPr>
                <w:sz w:val="18"/>
                <w:szCs w:val="18"/>
              </w:rPr>
            </w:pPr>
            <w:r w:rsidRPr="004C78D8">
              <w:rPr>
                <w:sz w:val="18"/>
                <w:szCs w:val="18"/>
              </w:rPr>
              <w:t>March 2019 meeting with SCC health economist on modelling to address local decision problems</w:t>
            </w:r>
          </w:p>
          <w:p w14:paraId="6201FF22" w14:textId="77777777" w:rsidR="00E10F6C" w:rsidRPr="004C78D8" w:rsidRDefault="00E10F6C" w:rsidP="00FB7C1F">
            <w:pPr>
              <w:pStyle w:val="ListParagraph"/>
              <w:numPr>
                <w:ilvl w:val="0"/>
                <w:numId w:val="21"/>
              </w:numPr>
              <w:ind w:left="180" w:hanging="218"/>
              <w:jc w:val="left"/>
              <w:rPr>
                <w:sz w:val="18"/>
                <w:szCs w:val="18"/>
              </w:rPr>
            </w:pPr>
            <w:r w:rsidRPr="004C78D8">
              <w:rPr>
                <w:sz w:val="18"/>
                <w:szCs w:val="18"/>
              </w:rPr>
              <w:t>September 2019 meeting with SCC PHP and CCG data scientist on modelling with CCG routine data</w:t>
            </w:r>
          </w:p>
        </w:tc>
      </w:tr>
      <w:tr w:rsidR="00E10F6C" w:rsidRPr="004C78D8" w14:paraId="08C5C3CF" w14:textId="77777777" w:rsidTr="002828C1">
        <w:tc>
          <w:tcPr>
            <w:tcW w:w="951" w:type="pct"/>
            <w:vMerge/>
          </w:tcPr>
          <w:p w14:paraId="49421FFF" w14:textId="77777777" w:rsidR="00E10F6C" w:rsidRPr="004C78D8" w:rsidRDefault="00E10F6C" w:rsidP="00FB7C1F">
            <w:pPr>
              <w:jc w:val="left"/>
              <w:rPr>
                <w:sz w:val="18"/>
                <w:szCs w:val="18"/>
              </w:rPr>
            </w:pPr>
          </w:p>
        </w:tc>
        <w:tc>
          <w:tcPr>
            <w:tcW w:w="793" w:type="pct"/>
          </w:tcPr>
          <w:p w14:paraId="08D25E7F" w14:textId="77777777" w:rsidR="00E10F6C" w:rsidRPr="004C78D8" w:rsidRDefault="00E10F6C" w:rsidP="00FB7C1F">
            <w:pPr>
              <w:jc w:val="left"/>
              <w:rPr>
                <w:sz w:val="18"/>
                <w:szCs w:val="18"/>
              </w:rPr>
            </w:pPr>
            <w:r w:rsidRPr="004C78D8">
              <w:rPr>
                <w:sz w:val="18"/>
                <w:szCs w:val="18"/>
              </w:rPr>
              <w:t xml:space="preserve">Systematic literature review </w:t>
            </w:r>
          </w:p>
        </w:tc>
        <w:tc>
          <w:tcPr>
            <w:tcW w:w="3257" w:type="pct"/>
          </w:tcPr>
          <w:p w14:paraId="097FD973" w14:textId="2C74EDF1" w:rsidR="00E10F6C" w:rsidRPr="004C78D8" w:rsidRDefault="00E10F6C" w:rsidP="00FB7C1F">
            <w:pPr>
              <w:pStyle w:val="ListParagraph"/>
              <w:numPr>
                <w:ilvl w:val="0"/>
                <w:numId w:val="21"/>
              </w:numPr>
              <w:ind w:left="180" w:hanging="218"/>
              <w:jc w:val="left"/>
              <w:rPr>
                <w:sz w:val="18"/>
                <w:szCs w:val="18"/>
              </w:rPr>
            </w:pPr>
            <w:r w:rsidRPr="004C78D8">
              <w:rPr>
                <w:sz w:val="18"/>
                <w:szCs w:val="18"/>
              </w:rPr>
              <w:t>Systematic review of falls prevention economic models:</w:t>
            </w:r>
            <w:r w:rsidRPr="004C78D8">
              <w:rPr>
                <w:sz w:val="18"/>
                <w:szCs w:val="18"/>
                <w:vertAlign w:val="superscript"/>
              </w:rPr>
              <w:t xml:space="preserve">4 </w:t>
            </w:r>
            <w:r w:rsidRPr="004C78D8">
              <w:rPr>
                <w:sz w:val="18"/>
                <w:szCs w:val="18"/>
              </w:rPr>
              <w:t>how decision problem was conceptualised</w:t>
            </w:r>
          </w:p>
        </w:tc>
      </w:tr>
      <w:tr w:rsidR="00E10F6C" w:rsidRPr="004C78D8" w14:paraId="6B5ACFBD" w14:textId="77777777" w:rsidTr="002828C1">
        <w:tc>
          <w:tcPr>
            <w:tcW w:w="951" w:type="pct"/>
            <w:vMerge/>
          </w:tcPr>
          <w:p w14:paraId="25F58410" w14:textId="77777777" w:rsidR="00E10F6C" w:rsidRPr="004C78D8" w:rsidRDefault="00E10F6C" w:rsidP="00FB7C1F">
            <w:pPr>
              <w:jc w:val="left"/>
              <w:rPr>
                <w:sz w:val="18"/>
                <w:szCs w:val="18"/>
              </w:rPr>
            </w:pPr>
          </w:p>
        </w:tc>
        <w:tc>
          <w:tcPr>
            <w:tcW w:w="793" w:type="pct"/>
          </w:tcPr>
          <w:p w14:paraId="56D82590" w14:textId="77777777" w:rsidR="00E10F6C" w:rsidRPr="004C78D8" w:rsidRDefault="00E10F6C" w:rsidP="00FB7C1F">
            <w:pPr>
              <w:jc w:val="left"/>
              <w:rPr>
                <w:sz w:val="18"/>
                <w:szCs w:val="18"/>
              </w:rPr>
            </w:pPr>
            <w:r w:rsidRPr="004C78D8">
              <w:rPr>
                <w:sz w:val="18"/>
                <w:szCs w:val="18"/>
              </w:rPr>
              <w:t>General literature review</w:t>
            </w:r>
          </w:p>
        </w:tc>
        <w:tc>
          <w:tcPr>
            <w:tcW w:w="3257" w:type="pct"/>
          </w:tcPr>
          <w:p w14:paraId="683346EE" w14:textId="07AFCDBE" w:rsidR="00E10F6C" w:rsidRPr="004C78D8" w:rsidRDefault="00E10F6C" w:rsidP="00FB7C1F">
            <w:pPr>
              <w:pStyle w:val="ListParagraph"/>
              <w:numPr>
                <w:ilvl w:val="0"/>
                <w:numId w:val="21"/>
              </w:numPr>
              <w:ind w:left="180" w:hanging="218"/>
              <w:jc w:val="left"/>
              <w:rPr>
                <w:sz w:val="18"/>
                <w:szCs w:val="18"/>
              </w:rPr>
            </w:pPr>
            <w:r w:rsidRPr="004C78D8">
              <w:rPr>
                <w:sz w:val="18"/>
                <w:szCs w:val="18"/>
              </w:rPr>
              <w:t xml:space="preserve">Expert guideline on falls prevention economic evaluation </w:t>
            </w:r>
            <w:r w:rsidRPr="004C78D8">
              <w:rPr>
                <w:sz w:val="18"/>
                <w:szCs w:val="18"/>
              </w:rPr>
              <w:fldChar w:fldCharType="begin"/>
            </w:r>
            <w:r w:rsidR="00513646" w:rsidRPr="004C78D8">
              <w:rPr>
                <w:sz w:val="18"/>
                <w:szCs w:val="18"/>
              </w:rPr>
              <w:instrText xml:space="preserve"> ADDIN EN.CITE &lt;EndNote&gt;&lt;Cite&gt;&lt;Author&gt;Davis&lt;/Author&gt;&lt;Year&gt;2011&lt;/Year&gt;&lt;RecNum&gt;286&lt;/RecNum&gt;&lt;DisplayText&gt;[105]&lt;/DisplayText&gt;&lt;record&gt;&lt;rec-number&gt;286&lt;/rec-number&gt;&lt;foreign-keys&gt;&lt;key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Pr="004C78D8">
              <w:rPr>
                <w:sz w:val="18"/>
                <w:szCs w:val="18"/>
              </w:rPr>
              <w:fldChar w:fldCharType="separate"/>
            </w:r>
            <w:r w:rsidR="00513646" w:rsidRPr="004C78D8">
              <w:rPr>
                <w:noProof/>
                <w:sz w:val="18"/>
                <w:szCs w:val="18"/>
              </w:rPr>
              <w:t>[105]</w:t>
            </w:r>
            <w:r w:rsidRPr="004C78D8">
              <w:rPr>
                <w:sz w:val="18"/>
                <w:szCs w:val="18"/>
              </w:rPr>
              <w:fldChar w:fldCharType="end"/>
            </w:r>
          </w:p>
          <w:p w14:paraId="15F17BC5" w14:textId="5E3CAE4D" w:rsidR="00E10F6C" w:rsidRPr="004C78D8" w:rsidRDefault="00E10F6C" w:rsidP="00FB7C1F">
            <w:pPr>
              <w:pStyle w:val="ListParagraph"/>
              <w:numPr>
                <w:ilvl w:val="0"/>
                <w:numId w:val="21"/>
              </w:numPr>
              <w:ind w:left="180" w:hanging="218"/>
              <w:jc w:val="left"/>
              <w:rPr>
                <w:sz w:val="18"/>
                <w:szCs w:val="18"/>
              </w:rPr>
            </w:pPr>
            <w:r w:rsidRPr="004C78D8">
              <w:rPr>
                <w:sz w:val="18"/>
                <w:szCs w:val="18"/>
              </w:rPr>
              <w:t xml:space="preserve">Methodological challenges to public health economic modelling </w:t>
            </w:r>
            <w:r w:rsidRPr="004C78D8">
              <w:rPr>
                <w:sz w:val="18"/>
                <w:szCs w:val="18"/>
              </w:rPr>
              <w:fldChar w:fldCharType="begin"/>
            </w:r>
            <w:r w:rsidR="00720CEE">
              <w:rPr>
                <w:sz w:val="18"/>
                <w:szCs w:val="18"/>
              </w:rPr>
              <w:instrText xml:space="preserve"> ADDIN EN.CITE &lt;EndNote&gt;&lt;Cite&gt;&lt;Author&gt;Squires&lt;/Author&gt;&lt;Year&gt;2016&lt;/Year&gt;&lt;RecNum&gt;308&lt;/RecNum&gt;&lt;DisplayText&gt;[18]&lt;/DisplayText&gt;&lt;record&gt;&lt;rec-number&gt;308&lt;/rec-number&gt;&lt;foreign-keys&gt;&lt;key app="EN" db-id="tdtrdw9aepptzbefsat599syza29sxsd2wsp" timestamp="1612015645"&gt;308&lt;/key&gt;&lt;/foreign-keys&gt;&lt;ref-type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systematic literature review of the key challenges for developing the structure of public health economic models&lt;/title&gt;&lt;secondary-title&gt;International journal of public health&lt;/secondary-title&gt;&lt;/titles&gt;&lt;periodical&gt;&lt;full-title&gt;International journal of public health&lt;/full-title&gt;&lt;/periodical&gt;&lt;pages&gt;289-298&lt;/pages&gt;&lt;volume&gt;61&lt;/volume&gt;&lt;number&gt;3&lt;/number&gt;&lt;dates&gt;&lt;year&gt;2016&lt;/year&gt;&lt;/dates&gt;&lt;isbn&gt;1661-8556&lt;/isbn&gt;&lt;urls&gt;&lt;/urls&gt;&lt;/record&gt;&lt;/Cite&gt;&lt;/EndNote&gt;</w:instrText>
            </w:r>
            <w:r w:rsidRPr="004C78D8">
              <w:rPr>
                <w:sz w:val="18"/>
                <w:szCs w:val="18"/>
              </w:rPr>
              <w:fldChar w:fldCharType="separate"/>
            </w:r>
            <w:r w:rsidR="00720CEE">
              <w:rPr>
                <w:noProof/>
                <w:sz w:val="18"/>
                <w:szCs w:val="18"/>
              </w:rPr>
              <w:t>[18]</w:t>
            </w:r>
            <w:r w:rsidRPr="004C78D8">
              <w:rPr>
                <w:sz w:val="18"/>
                <w:szCs w:val="18"/>
              </w:rPr>
              <w:fldChar w:fldCharType="end"/>
            </w:r>
          </w:p>
          <w:p w14:paraId="749AA28C" w14:textId="708F29D9" w:rsidR="00E10F6C" w:rsidRPr="004C78D8" w:rsidRDefault="00E10F6C" w:rsidP="00FB7C1F">
            <w:pPr>
              <w:pStyle w:val="ListParagraph"/>
              <w:numPr>
                <w:ilvl w:val="0"/>
                <w:numId w:val="21"/>
              </w:numPr>
              <w:ind w:left="180" w:hanging="218"/>
              <w:jc w:val="left"/>
              <w:rPr>
                <w:sz w:val="18"/>
                <w:szCs w:val="18"/>
              </w:rPr>
            </w:pPr>
            <w:r w:rsidRPr="004C78D8">
              <w:rPr>
                <w:sz w:val="18"/>
                <w:szCs w:val="18"/>
              </w:rPr>
              <w:t xml:space="preserve">Problem conceptualisation for models incorporating capacity constraints: </w:t>
            </w:r>
            <w:r w:rsidR="00426DB2" w:rsidRPr="004C78D8">
              <w:rPr>
                <w:sz w:val="18"/>
                <w:szCs w:val="18"/>
              </w:rPr>
              <w:t xml:space="preserve">e.g., </w:t>
            </w:r>
            <w:r w:rsidRPr="004C78D8">
              <w:rPr>
                <w:sz w:val="18"/>
                <w:szCs w:val="18"/>
              </w:rPr>
              <w:fldChar w:fldCharType="begin"/>
            </w:r>
            <w:r w:rsidR="00C630FC" w:rsidRPr="004C78D8">
              <w:rPr>
                <w:sz w:val="18"/>
                <w:szCs w:val="18"/>
              </w:rPr>
              <w:instrText xml:space="preserve"> ADDIN EN.CITE &lt;EndNote&gt;&lt;Cite&gt;&lt;Author&gt;Salleh&lt;/Author&gt;&lt;Year&gt;2017&lt;/Year&gt;&lt;RecNum&gt;413&lt;/RecNum&gt;&lt;DisplayText&gt;[221, 222]&lt;/DisplayText&gt;&lt;record&gt;&lt;rec-number&gt;413&lt;/rec-number&gt;&lt;foreign-keys&gt;&lt;key app="EN" db-id="tdtrdw9aepptzbefsat599syza29sxsd2wsp" timestamp="1616155910"&gt;413&lt;/key&gt;&lt;/foreign-keys&gt;&lt;ref-type name="Journal Article"&gt;17&lt;/ref-type&gt;&lt;contributors&gt;&lt;authors&gt;&lt;author&gt;Salleh, Syed&lt;/author&gt;&lt;author&gt;Thokala, Praveen&lt;/author&gt;&lt;author&gt;Brennan, Alan&lt;/author&gt;&lt;author&gt;Hughes, Ruby&lt;/author&gt;&lt;author&gt;Dixon, Simon&lt;/author&gt;&lt;/authors&gt;&lt;/contributors&gt;&lt;titles&gt;&lt;title&gt;Discrete event simulation-based resource modelling in health technology assessment&lt;/title&gt;&lt;secondary-title&gt;Pharmacoeconomics&lt;/secondary-title&gt;&lt;/titles&gt;&lt;periodical&gt;&lt;full-title&gt;PharmacoEconomics&lt;/full-title&gt;&lt;/periodical&gt;&lt;pages&gt;989-1006&lt;/pages&gt;&lt;volume&gt;35&lt;/volume&gt;&lt;number&gt;10&lt;/number&gt;&lt;dates&gt;&lt;year&gt;2017&lt;/year&gt;&lt;/dates&gt;&lt;isbn&gt;1170-7690&lt;/isbn&gt;&lt;urls&gt;&lt;/urls&gt;&lt;/record&gt;&lt;/Cite&gt;&lt;Cite&gt;&lt;Author&gt;Pidd&lt;/Author&gt;&lt;Year&gt;2004&lt;/Year&gt;&lt;RecNum&gt;554&lt;/RecNum&gt;&lt;record&gt;&lt;rec-number&gt;554&lt;/rec-number&gt;&lt;foreign-keys&gt;&lt;key app="EN" db-id="tdtrdw9aepptzbefsat599syza29sxsd2wsp" timestamp="1619266901"&gt;554&lt;/key&gt;&lt;/foreign-keys&gt;&lt;ref-type name="Journal Article"&gt;17&lt;/ref-type&gt;&lt;contributors&gt;&lt;authors&gt;&lt;author&gt;Pidd, Michael&lt;/author&gt;&lt;/authors&gt;&lt;/contributors&gt;&lt;titles&gt;&lt;title&gt;Computer simulation in management science. Fifth edition&lt;/title&gt;&lt;secondary-title&gt;John Wiley &amp;amp; Sons&lt;/secondary-title&gt;&lt;/titles&gt;&lt;periodical&gt;&lt;full-title&gt;John Wiley &amp;amp; Sons&lt;/full-title&gt;&lt;/periodical&gt;&lt;dates&gt;&lt;year&gt;2004&lt;/year&gt;&lt;/dates&gt;&lt;urls&gt;&lt;/urls&gt;&lt;/record&gt;&lt;/Cite&gt;&lt;/EndNote&gt;</w:instrText>
            </w:r>
            <w:r w:rsidRPr="004C78D8">
              <w:rPr>
                <w:sz w:val="18"/>
                <w:szCs w:val="18"/>
              </w:rPr>
              <w:fldChar w:fldCharType="separate"/>
            </w:r>
            <w:r w:rsidR="00C630FC" w:rsidRPr="004C78D8">
              <w:rPr>
                <w:noProof/>
                <w:sz w:val="18"/>
                <w:szCs w:val="18"/>
              </w:rPr>
              <w:t>[221, 222]</w:t>
            </w:r>
            <w:r w:rsidRPr="004C78D8">
              <w:rPr>
                <w:sz w:val="18"/>
                <w:szCs w:val="18"/>
              </w:rPr>
              <w:fldChar w:fldCharType="end"/>
            </w:r>
            <w:r w:rsidRPr="004C78D8">
              <w:rPr>
                <w:sz w:val="18"/>
                <w:szCs w:val="18"/>
              </w:rPr>
              <w:t xml:space="preserve"> </w:t>
            </w:r>
          </w:p>
        </w:tc>
      </w:tr>
      <w:tr w:rsidR="00E10F6C" w:rsidRPr="004C78D8" w14:paraId="146B0A63" w14:textId="77777777" w:rsidTr="002828C1">
        <w:tc>
          <w:tcPr>
            <w:tcW w:w="951" w:type="pct"/>
            <w:vMerge/>
          </w:tcPr>
          <w:p w14:paraId="68D1B1F7" w14:textId="77777777" w:rsidR="00E10F6C" w:rsidRPr="004C78D8" w:rsidRDefault="00E10F6C" w:rsidP="00FB7C1F">
            <w:pPr>
              <w:jc w:val="left"/>
              <w:rPr>
                <w:sz w:val="18"/>
                <w:szCs w:val="18"/>
              </w:rPr>
            </w:pPr>
          </w:p>
        </w:tc>
        <w:tc>
          <w:tcPr>
            <w:tcW w:w="793" w:type="pct"/>
          </w:tcPr>
          <w:p w14:paraId="4FA54ADD" w14:textId="7B16A04F" w:rsidR="00E10F6C" w:rsidRPr="004C78D8" w:rsidRDefault="00E10F6C" w:rsidP="00FB7C1F">
            <w:pPr>
              <w:jc w:val="left"/>
              <w:rPr>
                <w:sz w:val="18"/>
                <w:szCs w:val="18"/>
              </w:rPr>
            </w:pPr>
            <w:r w:rsidRPr="004C78D8">
              <w:rPr>
                <w:sz w:val="18"/>
                <w:szCs w:val="18"/>
              </w:rPr>
              <w:t>Primary data analysis</w:t>
            </w:r>
          </w:p>
        </w:tc>
        <w:tc>
          <w:tcPr>
            <w:tcW w:w="3257" w:type="pct"/>
          </w:tcPr>
          <w:p w14:paraId="1335DCF9" w14:textId="0D19AB8A" w:rsidR="00E10F6C" w:rsidRPr="004C78D8" w:rsidRDefault="00E10F6C" w:rsidP="00FB7C1F">
            <w:pPr>
              <w:pStyle w:val="ListParagraph"/>
              <w:numPr>
                <w:ilvl w:val="0"/>
                <w:numId w:val="21"/>
              </w:numPr>
              <w:ind w:left="180" w:hanging="218"/>
              <w:jc w:val="left"/>
              <w:rPr>
                <w:sz w:val="18"/>
                <w:szCs w:val="18"/>
              </w:rPr>
            </w:pPr>
            <w:r w:rsidRPr="004C78D8">
              <w:rPr>
                <w:sz w:val="18"/>
                <w:szCs w:val="18"/>
              </w:rPr>
              <w:t>Qualitative research with older persons in Sheffield on key methodological and evaluative challenges for falls prevention economic modelling</w:t>
            </w:r>
            <w:r w:rsidR="002974E1" w:rsidRPr="004C78D8">
              <w:rPr>
                <w:sz w:val="18"/>
                <w:szCs w:val="18"/>
              </w:rPr>
              <w:t>.</w:t>
            </w:r>
            <w:r w:rsidRPr="004C78D8">
              <w:rPr>
                <w:sz w:val="18"/>
                <w:szCs w:val="18"/>
                <w:vertAlign w:val="superscript"/>
              </w:rPr>
              <w:t>3</w:t>
            </w:r>
          </w:p>
        </w:tc>
      </w:tr>
      <w:tr w:rsidR="00E10F6C" w:rsidRPr="004C78D8" w14:paraId="49FE6336" w14:textId="77777777" w:rsidTr="002828C1">
        <w:tc>
          <w:tcPr>
            <w:tcW w:w="5000" w:type="pct"/>
            <w:gridSpan w:val="3"/>
          </w:tcPr>
          <w:p w14:paraId="7A8FF99B" w14:textId="008C6709" w:rsidR="00E10F6C" w:rsidRPr="004C78D8" w:rsidRDefault="00D10D5E" w:rsidP="00FB7C1F">
            <w:pPr>
              <w:rPr>
                <w:sz w:val="18"/>
                <w:szCs w:val="18"/>
              </w:rPr>
            </w:pPr>
            <w:r w:rsidRPr="004C78D8">
              <w:rPr>
                <w:b/>
                <w:bCs/>
                <w:sz w:val="18"/>
                <w:szCs w:val="18"/>
              </w:rPr>
              <w:t>Abbreviation</w:t>
            </w:r>
            <w:r w:rsidR="00E10F6C" w:rsidRPr="004C78D8">
              <w:rPr>
                <w:b/>
                <w:bCs/>
                <w:sz w:val="18"/>
                <w:szCs w:val="18"/>
              </w:rPr>
              <w:t>:</w:t>
            </w:r>
            <w:r w:rsidR="00E10F6C" w:rsidRPr="004C78D8">
              <w:rPr>
                <w:sz w:val="18"/>
                <w:szCs w:val="18"/>
              </w:rPr>
              <w:t xml:space="preserve"> CCG: clinical commissioning group; ELSA: English Longitudinal Study of Ageing; MA fall: fall requiring medical attention; NICE: National Institute for Health and Care Excellence; PHP: Public Health Principal; RCT: randomised controlled trial; SCC: Sheffield City Council; STH: Sheffield Teaching Hospitals</w:t>
            </w:r>
          </w:p>
          <w:p w14:paraId="15E081AB" w14:textId="21918C3C" w:rsidR="00E10F6C" w:rsidRPr="004C78D8" w:rsidRDefault="00E10F6C" w:rsidP="00FB7C1F">
            <w:pPr>
              <w:rPr>
                <w:sz w:val="18"/>
                <w:szCs w:val="18"/>
              </w:rPr>
            </w:pPr>
            <w:r w:rsidRPr="004C78D8">
              <w:rPr>
                <w:sz w:val="18"/>
                <w:szCs w:val="18"/>
                <w:vertAlign w:val="superscript"/>
              </w:rPr>
              <w:t>1</w:t>
            </w:r>
            <w:r w:rsidRPr="004C78D8">
              <w:rPr>
                <w:sz w:val="18"/>
                <w:szCs w:val="18"/>
              </w:rPr>
              <w:t xml:space="preserve"> Stakeholder consultations and UK guidelines on community-based falls prevention were used to conceptualise the ‘recommended’ falls prevention strategy. Stakeholder consultations were used to understand the current ‘usual care’. </w:t>
            </w:r>
          </w:p>
          <w:p w14:paraId="60DB4846" w14:textId="0C0039CD" w:rsidR="00E10F6C" w:rsidRPr="004C78D8" w:rsidRDefault="00E10F6C" w:rsidP="00FB7C1F">
            <w:pPr>
              <w:rPr>
                <w:sz w:val="18"/>
                <w:szCs w:val="18"/>
              </w:rPr>
            </w:pPr>
            <w:r w:rsidRPr="004C78D8">
              <w:rPr>
                <w:sz w:val="18"/>
                <w:szCs w:val="18"/>
                <w:vertAlign w:val="superscript"/>
              </w:rPr>
              <w:t>2</w:t>
            </w:r>
            <w:r w:rsidRPr="004C78D8">
              <w:rPr>
                <w:sz w:val="18"/>
                <w:szCs w:val="18"/>
              </w:rPr>
              <w:t xml:space="preserve"> See Section </w:t>
            </w:r>
            <w:r w:rsidR="00762804" w:rsidRPr="004C78D8">
              <w:rPr>
                <w:sz w:val="18"/>
                <w:szCs w:val="18"/>
              </w:rPr>
              <w:t>5</w:t>
            </w:r>
            <w:r w:rsidR="003F5608" w:rsidRPr="004C78D8">
              <w:rPr>
                <w:sz w:val="18"/>
                <w:szCs w:val="18"/>
              </w:rPr>
              <w:t>.</w:t>
            </w:r>
            <w:r w:rsidR="00124FBC" w:rsidRPr="004C78D8">
              <w:rPr>
                <w:sz w:val="18"/>
                <w:szCs w:val="18"/>
              </w:rPr>
              <w:t>2.1.4</w:t>
            </w:r>
            <w:r w:rsidRPr="004C78D8">
              <w:rPr>
                <w:sz w:val="18"/>
                <w:szCs w:val="18"/>
              </w:rPr>
              <w:t xml:space="preserve"> for methods and results.</w:t>
            </w:r>
          </w:p>
          <w:p w14:paraId="57708663" w14:textId="77777777" w:rsidR="00E10F6C" w:rsidRPr="004C78D8" w:rsidRDefault="00E10F6C" w:rsidP="00FB7C1F">
            <w:pPr>
              <w:rPr>
                <w:sz w:val="18"/>
                <w:szCs w:val="18"/>
              </w:rPr>
            </w:pPr>
            <w:r w:rsidRPr="004C78D8">
              <w:rPr>
                <w:sz w:val="18"/>
                <w:szCs w:val="18"/>
                <w:vertAlign w:val="superscript"/>
              </w:rPr>
              <w:t>3</w:t>
            </w:r>
            <w:r w:rsidRPr="004C78D8">
              <w:rPr>
                <w:sz w:val="18"/>
                <w:szCs w:val="18"/>
              </w:rPr>
              <w:t xml:space="preserve"> See Chapter 2 for methods and results. Qualitative research with falls prevention professionals in Sheffield was also initially planned but not conducted due to the Covid-19 pandemic. </w:t>
            </w:r>
          </w:p>
          <w:p w14:paraId="44BAB6AA" w14:textId="7FB62D3C" w:rsidR="00E10F6C" w:rsidRPr="004C78D8" w:rsidRDefault="00E10F6C" w:rsidP="00FB7C1F">
            <w:pPr>
              <w:rPr>
                <w:sz w:val="18"/>
                <w:szCs w:val="18"/>
              </w:rPr>
            </w:pPr>
            <w:r w:rsidRPr="004C78D8">
              <w:rPr>
                <w:sz w:val="18"/>
                <w:szCs w:val="18"/>
                <w:vertAlign w:val="superscript"/>
              </w:rPr>
              <w:t>4</w:t>
            </w:r>
            <w:r w:rsidRPr="004C78D8">
              <w:rPr>
                <w:sz w:val="18"/>
                <w:szCs w:val="18"/>
              </w:rPr>
              <w:t xml:space="preserve"> This systematic review was initially conducted in January 2019 in preparation for the PhD confirmation review and then updated in January 2021: see Chapter </w:t>
            </w:r>
            <w:r w:rsidR="00762804" w:rsidRPr="004C78D8">
              <w:rPr>
                <w:sz w:val="18"/>
                <w:szCs w:val="18"/>
              </w:rPr>
              <w:t>4</w:t>
            </w:r>
            <w:r w:rsidRPr="004C78D8">
              <w:rPr>
                <w:sz w:val="18"/>
                <w:szCs w:val="18"/>
              </w:rPr>
              <w:t xml:space="preserve"> for methods and results. The initial review informed the model conceptualisation while the update was conducted as part of Phase D of model development </w:t>
            </w:r>
            <w:r w:rsidRPr="004C78D8">
              <w:rPr>
                <w:sz w:val="18"/>
                <w:szCs w:val="18"/>
              </w:rPr>
              <w:fldChar w:fldCharType="begin"/>
            </w:r>
            <w:r w:rsidRPr="004C78D8">
              <w:rPr>
                <w:sz w:val="18"/>
                <w:szCs w:val="18"/>
              </w:rPr>
              <w:instrText xml:space="preserve"> ADDIN EN.CITE &lt;EndNote&gt;&lt;Cite&gt;&lt;Author&gt;Squires&lt;/Author&gt;&lt;Year&gt;2016&lt;/Year&gt;&lt;RecNum&gt;158&lt;/RecNum&gt;&lt;DisplayText&gt;[1]&lt;/DisplayText&gt;&lt;record&gt;&lt;rec-number&gt;158&lt;/rec-number&gt;&lt;foreign-keys&gt;&lt;key app="EN" db-id="tdtrdw9aepptzbefsat599syza29sxsd2wsp" timestamp="1609254669"&gt;158&lt;/key&gt;&lt;/foreign-keys&gt;&lt;ref-type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framework for developing the structure of public health economic models&lt;/title&gt;&lt;secondary-title&gt;Value in Health&lt;/secondary-title&gt;&lt;/titles&gt;&lt;periodical&gt;&lt;full-title&gt;Value in Health&lt;/full-title&gt;&lt;/periodical&gt;&lt;pages&gt;588-601&lt;/pages&gt;&lt;volume&gt;19&lt;/volume&gt;&lt;number&gt;5&lt;/number&gt;&lt;dates&gt;&lt;year&gt;2016&lt;/year&gt;&lt;/dates&gt;&lt;isbn&gt;1098-3015&lt;/isbn&gt;&lt;urls&gt;&lt;/urls&gt;&lt;research-notes&gt;1&lt;/research-notes&gt;&lt;/record&gt;&lt;/Cite&gt;&lt;/EndNote&gt;</w:instrText>
            </w:r>
            <w:r w:rsidRPr="004C78D8">
              <w:rPr>
                <w:sz w:val="18"/>
                <w:szCs w:val="18"/>
              </w:rPr>
              <w:fldChar w:fldCharType="separate"/>
            </w:r>
            <w:r w:rsidRPr="004C78D8">
              <w:rPr>
                <w:noProof/>
                <w:sz w:val="18"/>
                <w:szCs w:val="18"/>
              </w:rPr>
              <w:t>[1]</w:t>
            </w:r>
            <w:r w:rsidRPr="004C78D8">
              <w:rPr>
                <w:sz w:val="18"/>
                <w:szCs w:val="18"/>
              </w:rPr>
              <w:fldChar w:fldCharType="end"/>
            </w:r>
            <w:r w:rsidRPr="004C78D8">
              <w:rPr>
                <w:sz w:val="18"/>
                <w:szCs w:val="18"/>
              </w:rPr>
              <w:t>.</w:t>
            </w:r>
          </w:p>
        </w:tc>
      </w:tr>
    </w:tbl>
    <w:p w14:paraId="3F30E516" w14:textId="77777777" w:rsidR="00AD394F" w:rsidRPr="004C78D8" w:rsidRDefault="00AD394F" w:rsidP="00FB7C1F"/>
    <w:p w14:paraId="51D147FF" w14:textId="42DF06D7" w:rsidR="00AD394F" w:rsidRPr="004C78D8" w:rsidRDefault="00AD394F" w:rsidP="00FB7C1F">
      <w:r w:rsidRPr="004C78D8">
        <w:t xml:space="preserve">The project initially commenced with the aim of conducting an economic evaluation of </w:t>
      </w:r>
      <w:r w:rsidR="00426DB2" w:rsidRPr="004C78D8">
        <w:t xml:space="preserve">a </w:t>
      </w:r>
      <w:r w:rsidRPr="004C78D8">
        <w:t xml:space="preserve">geriatric integrated care scheme in Sheffield (see Section 3.4.1). At this early stage, stakeholder consultations and general literature review were used to understand the scope of the decision problem. For example, a meeting with social prescribing organisations in Sheffield discussed how the public and voluntary sectors could coordinate referrals and whether computer models </w:t>
      </w:r>
      <w:r w:rsidR="00426DB2" w:rsidRPr="004C78D8">
        <w:t>c</w:t>
      </w:r>
      <w:r w:rsidRPr="004C78D8">
        <w:t xml:space="preserve">ould simulate the process. Review of academic and grey literature surveyed the scope of integrated care </w:t>
      </w:r>
      <w:r w:rsidRPr="004C78D8">
        <w:fldChar w:fldCharType="begin"/>
      </w:r>
      <w:r w:rsidR="00513646" w:rsidRPr="004C78D8">
        <w:instrText xml:space="preserve"> ADDIN EN.CITE &lt;EndNote&gt;&lt;Cite&gt;&lt;Author&gt;Oliver&lt;/Author&gt;&lt;Year&gt;2014&lt;/Year&gt;&lt;RecNum&gt;282&lt;/RecNum&gt;&lt;DisplayText&gt;[97]&lt;/DisplayText&gt;&lt;record&gt;&lt;rec-number&gt;282&lt;/rec-number&gt;&lt;foreign-keys&gt;&lt;key app="EN" db-id="tdtrdw9aepptzbefsat599syza29sxsd2wsp" timestamp="1611699298"&gt;282&lt;/key&gt;&lt;/foreign-keys&gt;&lt;ref-type name="Book"&gt;6&lt;/ref-type&gt;&lt;contributors&gt;&lt;authors&gt;&lt;author&gt;Oliver, David&lt;/author&gt;&lt;author&gt;Foot, Catherine&lt;/author&gt;&lt;author&gt;Humphries, Richard&lt;/author&gt;&lt;/authors&gt;&lt;/contributors&gt;&lt;titles&gt;&lt;title&gt;Making our health and care systems fit for an ageing population&lt;/title&gt;&lt;/titles&gt;&lt;dates&gt;&lt;year&gt;2014&lt;/year&gt;&lt;/dates&gt;&lt;publisher&gt;King&amp;apos;s Fund&lt;/publisher&gt;&lt;isbn&gt;1909029270&lt;/isbn&gt;&lt;urls&gt;&lt;/urls&gt;&lt;/record&gt;&lt;/Cite&gt;&lt;/EndNote&gt;</w:instrText>
      </w:r>
      <w:r w:rsidRPr="004C78D8">
        <w:fldChar w:fldCharType="separate"/>
      </w:r>
      <w:r w:rsidR="00513646" w:rsidRPr="004C78D8">
        <w:rPr>
          <w:noProof/>
        </w:rPr>
        <w:t>[97]</w:t>
      </w:r>
      <w:r w:rsidRPr="004C78D8">
        <w:fldChar w:fldCharType="end"/>
      </w:r>
      <w:r w:rsidRPr="004C78D8">
        <w:t xml:space="preserve">, type and volume of evidence </w:t>
      </w:r>
      <w:r w:rsidRPr="004C78D8">
        <w:fldChar w:fldCharType="begin"/>
      </w:r>
      <w:r w:rsidR="00C630FC" w:rsidRPr="004C78D8">
        <w:instrText xml:space="preserve"> ADDIN EN.CITE &lt;EndNote&gt;&lt;Cite&gt;&lt;Author&gt;Beswick&lt;/Author&gt;&lt;Year&gt;2010&lt;/Year&gt;&lt;RecNum&gt;548&lt;/RecNum&gt;&lt;DisplayText&gt;[118, 214]&lt;/DisplayText&gt;&lt;record&gt;&lt;rec-number&gt;548&lt;/rec-number&gt;&lt;foreign-keys&gt;&lt;key app="EN" db-id="tdtrdw9aepptzbefsat599syza29sxsd2wsp" timestamp="1618948032"&gt;548&lt;/key&gt;&lt;/foreign-keys&gt;&lt;ref-type name="Journal Article"&gt;17&lt;/ref-type&gt;&lt;contributors&gt;&lt;authors&gt;&lt;author&gt;Beswick, Andrew D&lt;/author&gt;&lt;author&gt;Gooberman-Hill, Rachel&lt;/author&gt;&lt;author&gt;Smith, Adam&lt;/author&gt;&lt;author&gt;Wylde, Vikki&lt;/author&gt;&lt;author&gt;Ebrahim, Shah&lt;/author&gt;&lt;/authors&gt;&lt;/contributors&gt;&lt;titles&gt;&lt;title&gt;Maintaining independence in older people&lt;/title&gt;&lt;secondary-title&gt;Reviews in Clinical Gerontology&lt;/secondary-title&gt;&lt;/titles&gt;&lt;periodical&gt;&lt;full-title&gt;Reviews in Clinical Gerontology&lt;/full-title&gt;&lt;/periodical&gt;&lt;pages&gt;128-153&lt;/pages&gt;&lt;volume&gt;20&lt;/volume&gt;&lt;number&gt;2&lt;/number&gt;&lt;dates&gt;&lt;year&gt;2010&lt;/year&gt;&lt;/dates&gt;&lt;isbn&gt;1469-9036&lt;/isbn&gt;&lt;urls&gt;&lt;/urls&gt;&lt;/record&gt;&lt;/Cite&gt;&lt;Cite&gt;&lt;Author&gt;Baxter&lt;/Author&gt;&lt;Year&gt;2018&lt;/Year&gt;&lt;RecNum&gt;459&lt;/RecNum&gt;&lt;record&gt;&lt;rec-number&gt;459&lt;/rec-number&gt;&lt;foreign-keys&gt;&lt;key app="EN" db-id="tdtrdw9aepptzbefsat599syza29sxsd2wsp" timestamp="1616451678"&gt;459&lt;/key&gt;&lt;/foreign-keys&gt;&lt;ref-type name="Journal Article"&gt;17&lt;/ref-type&gt;&lt;contributors&gt;&lt;authors&gt;&lt;author&gt;Baxter, Susan&lt;/author&gt;&lt;author&gt;Johnson, Maxine&lt;/author&gt;&lt;author&gt;Chambers, Duncan&lt;/author&gt;&lt;author&gt;Sutton, Anthea&lt;/author&gt;&lt;author&gt;Goyder, Elizabeth&lt;/author&gt;&lt;author&gt;Booth, Andrew&lt;/author&gt;&lt;/authors&gt;&lt;/contributors&gt;&lt;titles&gt;&lt;title&gt;The effects of integrated care: a systematic review of UK and international evidence&lt;/title&gt;&lt;secondary-title&gt;BMC health services research&lt;/secondary-title&gt;&lt;/titles&gt;&lt;periodical&gt;&lt;full-title&gt;BMC health services research&lt;/full-title&gt;&lt;/periodical&gt;&lt;pages&gt;350&lt;/pages&gt;&lt;volume&gt;18&lt;/volume&gt;&lt;number&gt;1&lt;/number&gt;&lt;dates&gt;&lt;year&gt;2018&lt;/year&gt;&lt;/dates&gt;&lt;isbn&gt;1472-6963&lt;/isbn&gt;&lt;urls&gt;&lt;/urls&gt;&lt;/record&gt;&lt;/Cite&gt;&lt;/EndNote&gt;</w:instrText>
      </w:r>
      <w:r w:rsidRPr="004C78D8">
        <w:fldChar w:fldCharType="separate"/>
      </w:r>
      <w:r w:rsidR="00C630FC" w:rsidRPr="004C78D8">
        <w:rPr>
          <w:noProof/>
        </w:rPr>
        <w:t>[118, 214]</w:t>
      </w:r>
      <w:r w:rsidRPr="004C78D8">
        <w:fldChar w:fldCharType="end"/>
      </w:r>
      <w:r w:rsidRPr="004C78D8">
        <w:t xml:space="preserve">, potential modelling strategies </w:t>
      </w:r>
      <w:r w:rsidRPr="004C78D8">
        <w:fldChar w:fldCharType="begin"/>
      </w:r>
      <w:r w:rsidR="00C630FC" w:rsidRPr="004C78D8">
        <w:instrText xml:space="preserve"> ADDIN EN.CITE &lt;EndNote&gt;&lt;Cite&gt;&lt;Author&gt;Katsaliaki&lt;/Author&gt;&lt;Year&gt;2005&lt;/Year&gt;&lt;RecNum&gt;547&lt;/RecNum&gt;&lt;DisplayText&gt;[215]&lt;/DisplayText&gt;&lt;record&gt;&lt;rec-number&gt;547&lt;/rec-number&gt;&lt;foreign-keys&gt;&lt;key app="EN" db-id="tdtrdw9aepptzbefsat599syza29sxsd2wsp" timestamp="1618948020"&gt;547&lt;/key&gt;&lt;/foreign-keys&gt;&lt;ref-type name="Journal Article"&gt;17&lt;/ref-type&gt;&lt;contributors&gt;&lt;authors&gt;&lt;author&gt;Katsaliaki, Korina&lt;/author&gt;&lt;author&gt;Brailsford, Sally&lt;/author&gt;&lt;author&gt;Browning, David&lt;/author&gt;&lt;author&gt;Knight, Peter&lt;/author&gt;&lt;/authors&gt;&lt;/contributors&gt;&lt;titles&gt;&lt;title&gt;Mapping care pathways for the elderly&lt;/title&gt;&lt;secondary-title&gt;Journal of health organization and management&lt;/secondary-title&gt;&lt;/titles&gt;&lt;periodical&gt;&lt;full-title&gt;Journal of health organization and management&lt;/full-title&gt;&lt;/periodical&gt;&lt;pages&gt;57-72&lt;/pages&gt;&lt;volume&gt;19&lt;/volume&gt;&lt;number&gt;1&lt;/number&gt;&lt;dates&gt;&lt;year&gt;2005&lt;/year&gt;&lt;/dates&gt;&lt;isbn&gt;1477-7266&lt;/isbn&gt;&lt;urls&gt;&lt;/urls&gt;&lt;/record&gt;&lt;/Cite&gt;&lt;/EndNote&gt;</w:instrText>
      </w:r>
      <w:r w:rsidRPr="004C78D8">
        <w:fldChar w:fldCharType="separate"/>
      </w:r>
      <w:r w:rsidR="00C630FC" w:rsidRPr="004C78D8">
        <w:rPr>
          <w:noProof/>
        </w:rPr>
        <w:t>[215]</w:t>
      </w:r>
      <w:r w:rsidRPr="004C78D8">
        <w:fldChar w:fldCharType="end"/>
      </w:r>
      <w:r w:rsidRPr="004C78D8">
        <w:t xml:space="preserve">, and challenges to evaluation </w:t>
      </w:r>
      <w:r w:rsidRPr="004C78D8">
        <w:fldChar w:fldCharType="begin"/>
      </w:r>
      <w:r w:rsidR="00513646" w:rsidRPr="004C78D8">
        <w:instrText xml:space="preserve"> ADDIN EN.CITE &lt;EndNote&gt;&lt;Cite&gt;&lt;Author&gt;Kumpunen&lt;/Author&gt;&lt;Year&gt;2020&lt;/Year&gt;&lt;RecNum&gt;12&lt;/RecNum&gt;&lt;DisplayText&gt;[121]&lt;/DisplayText&gt;&lt;record&gt;&lt;rec-number&gt;12&lt;/rec-number&gt;&lt;foreign-keys&gt;&lt;key app="EN" db-id="tdtrdw9aepptzbefsat599syza29sxsd2wsp" timestamp="1596618991"&gt;12&lt;/key&gt;&lt;/foreign-keys&gt;&lt;ref-type name="Journal Article"&gt;17&lt;/ref-type&gt;&lt;contributors&gt;&lt;authors&gt;&lt;author&gt;Kumpunen, Stephanie&lt;/author&gt;&lt;author&gt;Edwards, Nigel&lt;/author&gt;&lt;author&gt;Georghiou, Theo&lt;/author&gt;&lt;author&gt;Hughes, Gemma&lt;/author&gt;&lt;/authors&gt;&lt;/contributors&gt;&lt;titles&gt;&lt;title&gt;Why do evaluations of integrated care not produce the results we expect?&lt;/title&gt;&lt;secondary-title&gt;International Journal of Care Coordination&lt;/secondary-title&gt;&lt;/titles&gt;&lt;periodical&gt;&lt;full-title&gt;International Journal of Care Coordination&lt;/full-title&gt;&lt;/periodical&gt;&lt;pages&gt;2053434520909089&lt;/pages&gt;&lt;dates&gt;&lt;year&gt;2020&lt;/year&gt;&lt;/dates&gt;&lt;isbn&gt;2053-4345&lt;/isbn&gt;&lt;urls&gt;&lt;/urls&gt;&lt;/record&gt;&lt;/Cite&gt;&lt;/EndNote&gt;</w:instrText>
      </w:r>
      <w:r w:rsidRPr="004C78D8">
        <w:fldChar w:fldCharType="separate"/>
      </w:r>
      <w:r w:rsidR="00513646" w:rsidRPr="004C78D8">
        <w:rPr>
          <w:noProof/>
        </w:rPr>
        <w:t>[121]</w:t>
      </w:r>
      <w:r w:rsidRPr="004C78D8">
        <w:fldChar w:fldCharType="end"/>
      </w:r>
      <w:r w:rsidRPr="004C78D8">
        <w:t xml:space="preserve">. </w:t>
      </w:r>
    </w:p>
    <w:p w14:paraId="64C3D4A8" w14:textId="369BB9FF" w:rsidR="00AD394F" w:rsidRPr="004C78D8" w:rsidRDefault="00AD394F" w:rsidP="00FB7C1F">
      <w:r w:rsidRPr="004C78D8">
        <w:t xml:space="preserve">When the decision problem was subsequently reformulated to economic </w:t>
      </w:r>
      <w:r w:rsidR="002974E1" w:rsidRPr="004C78D8">
        <w:t>modelling</w:t>
      </w:r>
      <w:r w:rsidRPr="004C78D8">
        <w:t xml:space="preserve"> of community-based falls prevention, the initial scoping of the problem similarly involved stakeholder consultations and general literature review. The Falls Planning Group meeting was the first discussion between system </w:t>
      </w:r>
      <w:r w:rsidRPr="004C78D8">
        <w:lastRenderedPageBreak/>
        <w:t xml:space="preserve">owners, </w:t>
      </w:r>
      <w:r w:rsidR="006C0910" w:rsidRPr="004C78D8">
        <w:t>the</w:t>
      </w:r>
      <w:r w:rsidRPr="004C78D8">
        <w:t xml:space="preserve"> falls modelling expert</w:t>
      </w:r>
      <w:r w:rsidR="006C0910" w:rsidRPr="004C78D8">
        <w:t>,</w:t>
      </w:r>
      <w:r w:rsidRPr="004C78D8">
        <w:t xml:space="preserve"> and the PhD researcher on the decision problem. The </w:t>
      </w:r>
      <w:r w:rsidR="00BA3E0F" w:rsidRPr="004C78D8">
        <w:t xml:space="preserve">general </w:t>
      </w:r>
      <w:r w:rsidRPr="004C78D8">
        <w:t>literature review covered UK guidelines on community-based falls prevention, the Cochrane systematic reviews on falls prevention RCTs</w:t>
      </w:r>
      <w:r w:rsidR="009B7110" w:rsidRPr="004C78D8">
        <w:t>,</w:t>
      </w:r>
      <w:r w:rsidRPr="004C78D8">
        <w:t xml:space="preserve"> and several existing falls prevention economic models </w:t>
      </w:r>
      <w:r w:rsidRPr="004C78D8">
        <w:fldChar w:fldCharType="begin"/>
      </w:r>
      <w:r w:rsidR="00513646" w:rsidRPr="004C78D8">
        <w:instrText xml:space="preserve"> ADDIN EN.CITE &lt;EndNote&gt;&lt;Cite&gt;&lt;Author&gt;Public Health England&lt;/Author&gt;&lt;Year&gt;2018&lt;/Year&gt;&lt;RecNum&gt;295&lt;/RecNum&gt;&lt;DisplayText&gt;[147]&lt;/DisplayText&gt;&lt;record&gt;&lt;rec-number&gt;295&lt;/rec-number&gt;&lt;foreign-keys&gt;&lt;key app="EN" db-id="tdtrdw9aepptzbefsat599syza29sxsd2wsp" timestamp="1611870971"&gt;295&lt;/key&gt;&lt;/foreign-keys&gt;&lt;ref-type name="Journal Article"&gt;17&lt;/ref-type&gt;&lt;contributors&gt;&lt;authors&gt;&lt;author&gt;Public Health England,&lt;/author&gt;&lt;/authors&gt;&lt;/contributors&gt;&lt;titles&gt;&lt;title&gt;A structured literature review to identify cost-effective interventions to prevent falls in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4C78D8">
        <w:fldChar w:fldCharType="separate"/>
      </w:r>
      <w:r w:rsidR="00513646" w:rsidRPr="004C78D8">
        <w:rPr>
          <w:noProof/>
        </w:rPr>
        <w:t>[147]</w:t>
      </w:r>
      <w:r w:rsidRPr="004C78D8">
        <w:fldChar w:fldCharType="end"/>
      </w:r>
      <w:r w:rsidRPr="004C78D8">
        <w:t>.</w:t>
      </w:r>
    </w:p>
    <w:p w14:paraId="47C214C3" w14:textId="58413D12" w:rsidR="00AD394F" w:rsidRPr="004C78D8" w:rsidRDefault="00AD394F" w:rsidP="00FB7C1F">
      <w:r w:rsidRPr="004C78D8">
        <w:t xml:space="preserve">Subsequent, more detailed evidence searching partitioned the focus areas into falls epidemiology, falls prevention interventions, and modelling features. Consultations with falls prevention professionals – the falls specialist geriatrician, PT and OT leads at Sheffield Teaching Hospitals, home visit professionals at Age UK, and Dance to Health managers and instructors – contributed to the understanding of both falls epidemiology and intervention. A systematic review of community-based falls prevention RCTs was conducted to understand the most up-to-date range of intervention evidence. </w:t>
      </w:r>
      <w:r w:rsidR="0099424A" w:rsidRPr="004C78D8">
        <w:t>N</w:t>
      </w:r>
      <w:r w:rsidRPr="004C78D8">
        <w:t xml:space="preserve">o systematic review was conducted for falls epidemiology, and the epidemiological evidence was based mainly on existing systematic reviews (e.g., on falls risk factors </w:t>
      </w:r>
      <w:r w:rsidRPr="004C78D8">
        <w:fldChar w:fldCharType="begin"/>
      </w:r>
      <w:r w:rsidR="00513646" w:rsidRPr="004C78D8">
        <w:instrText xml:space="preserve"> ADDIN EN.CITE &lt;EndNote&gt;&lt;Cite&gt;&lt;Author&gt;Deandrea&lt;/Author&gt;&lt;Year&gt;2010&lt;/Year&gt;&lt;RecNum&gt;422&lt;/RecNum&gt;&lt;DisplayText&gt;[43]&lt;/DisplayText&gt;&lt;record&gt;&lt;rec-number&gt;422&lt;/rec-number&gt;&lt;foreign-keys&gt;&lt;key app="EN" db-id="tdtrdw9aepptzbefsat599syza29sxsd2wsp" timestamp="1616240933"&gt;422&lt;/key&gt;&lt;/foreign-keys&gt;&lt;ref-type name="Journal Article"&gt;17&lt;/ref-type&gt;&lt;contributors&gt;&lt;authors&gt;&lt;author&gt;Deandrea, S.&lt;/author&gt;&lt;author&gt;Lucenteforte, E.&lt;/author&gt;&lt;author&gt;Bravi, F.&lt;/author&gt;&lt;author&gt;Foschi, R.&lt;/author&gt;&lt;author&gt;La Vecchia, C.&lt;/author&gt;&lt;author&gt;Negri, E.&lt;/author&gt;&lt;/authors&gt;&lt;/contributors&gt;&lt;auth-address&gt;Department of Epidemiology, Istituto di Ricerche Farmacologiche &amp;quot;Mario Negri,&amp;quot; Milan, Italy.&lt;/auth-address&gt;&lt;titles&gt;&lt;title&gt;Risk factors for falls in community-dwelling older people: a systematic review and meta-analysis&lt;/title&gt;&lt;secondary-title&gt;Epidemiology&lt;/secondary-title&gt;&lt;/titles&gt;&lt;periodical&gt;&lt;full-title&gt;Epidemiology&lt;/full-title&gt;&lt;/periodical&gt;&lt;pages&gt;658-68&lt;/pages&gt;&lt;volume&gt;21&lt;/volume&gt;&lt;number&gt;5&lt;/number&gt;&lt;keywords&gt;&lt;keyword&gt;Accidental Falls/*statistics &amp;amp; numerical data&lt;/keyword&gt;&lt;keyword&gt;Age Factors&lt;/keyword&gt;&lt;keyword&gt;Aged&lt;/keyword&gt;&lt;keyword&gt;Aged, 80 and over&lt;/keyword&gt;&lt;keyword&gt;Female&lt;/keyword&gt;&lt;keyword&gt;Humans&lt;/keyword&gt;&lt;keyword&gt;Male&lt;/keyword&gt;&lt;keyword&gt;Multivariate Analysis&lt;/keyword&gt;&lt;keyword&gt;Odds Ratio&lt;/keyword&gt;&lt;keyword&gt;Recurrence&lt;/keyword&gt;&lt;keyword&gt;Risk Factors&lt;/keyword&gt;&lt;keyword&gt;Sex Factors&lt;/keyword&gt;&lt;/keywords&gt;&lt;dates&gt;&lt;year&gt;2010&lt;/year&gt;&lt;pub-dates&gt;&lt;date&gt;Sep&lt;/date&gt;&lt;/pub-dates&gt;&lt;/dates&gt;&lt;isbn&gt;1531-5487 (Electronic)&amp;#xD;1044-3983 (Linking)&lt;/isbn&gt;&lt;accession-num&gt;20585256&lt;/accession-num&gt;&lt;urls&gt;&lt;related-urls&gt;&lt;url&gt;https://www.ncbi.nlm.nih.gov/pubmed/20585256&lt;/url&gt;&lt;/related-urls&gt;&lt;/urls&gt;&lt;electronic-resource-num&gt;10.1097/EDE.0b013e3181e89905&lt;/electronic-resource-num&gt;&lt;/record&gt;&lt;/Cite&gt;&lt;/EndNote&gt;</w:instrText>
      </w:r>
      <w:r w:rsidRPr="004C78D8">
        <w:fldChar w:fldCharType="separate"/>
      </w:r>
      <w:r w:rsidR="00513646" w:rsidRPr="004C78D8">
        <w:rPr>
          <w:noProof/>
        </w:rPr>
        <w:t>[43]</w:t>
      </w:r>
      <w:r w:rsidRPr="004C78D8">
        <w:fldChar w:fldCharType="end"/>
      </w:r>
      <w:r w:rsidRPr="004C78D8">
        <w:t>). Epidemiological evidence was also sourced from a primary analysis of the English Longitudinal Survey of Ageing (ELSA)</w:t>
      </w:r>
      <w:r w:rsidR="00FE4F93" w:rsidRPr="004C78D8">
        <w:t xml:space="preserve"> data</w:t>
      </w:r>
      <w:r w:rsidRPr="004C78D8">
        <w:t xml:space="preserve">. </w:t>
      </w:r>
    </w:p>
    <w:p w14:paraId="7BA34D9C" w14:textId="64879C13" w:rsidR="00AD394F" w:rsidRPr="004C78D8" w:rsidRDefault="00AD394F" w:rsidP="00FB7C1F">
      <w:r w:rsidRPr="004C78D8">
        <w:t>Challenges to model conceptualisation and operationalisation were discussed from early project stages</w:t>
      </w:r>
      <w:r w:rsidR="00A962D3" w:rsidRPr="004C78D8">
        <w:t>.</w:t>
      </w:r>
      <w:r w:rsidRPr="004C78D8">
        <w:t xml:space="preserve"> </w:t>
      </w:r>
      <w:r w:rsidR="00A962D3" w:rsidRPr="004C78D8">
        <w:t>T</w:t>
      </w:r>
      <w:r w:rsidRPr="004C78D8">
        <w:t>he Falls Planning Group meeting discuss</w:t>
      </w:r>
      <w:r w:rsidR="00A962D3" w:rsidRPr="004C78D8">
        <w:t>ed</w:t>
      </w:r>
      <w:r w:rsidRPr="004C78D8">
        <w:t xml:space="preserve"> the relevance of outputs from the Public Health England model </w:t>
      </w:r>
      <w:r w:rsidRPr="004C78D8">
        <w:fldChar w:fldCharType="begin"/>
      </w:r>
      <w:r w:rsidR="00C630FC" w:rsidRPr="004C78D8">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4C78D8">
        <w:fldChar w:fldCharType="separate"/>
      </w:r>
      <w:r w:rsidR="00C630FC" w:rsidRPr="004C78D8">
        <w:rPr>
          <w:noProof/>
        </w:rPr>
        <w:t>[216]</w:t>
      </w:r>
      <w:r w:rsidRPr="004C78D8">
        <w:fldChar w:fldCharType="end"/>
      </w:r>
      <w:r w:rsidRPr="004C78D8">
        <w:t xml:space="preserve"> for decision-making. This was supplemented by further consultations with the falls modelling expert at ScHARR and the </w:t>
      </w:r>
      <w:r w:rsidR="00FE4F93" w:rsidRPr="004C78D8">
        <w:t>SCC</w:t>
      </w:r>
      <w:r w:rsidRPr="004C78D8">
        <w:t xml:space="preserve"> health economist</w:t>
      </w:r>
      <w:r w:rsidR="00473667" w:rsidRPr="004C78D8">
        <w:t xml:space="preserve"> and </w:t>
      </w:r>
      <w:r w:rsidRPr="004C78D8">
        <w:t xml:space="preserve">independent scientific review by another expert modeller. Because the decision problem had initially been framed as one of capacity shortage in falls prevention, the literature on capacity modelling were </w:t>
      </w:r>
      <w:r w:rsidR="00473667" w:rsidRPr="004C78D8">
        <w:t>also consulted</w:t>
      </w:r>
      <w:r w:rsidRPr="004C78D8">
        <w:t xml:space="preserve"> </w:t>
      </w:r>
      <w:r w:rsidRPr="004C78D8">
        <w:fldChar w:fldCharType="begin"/>
      </w:r>
      <w:r w:rsidR="00C630FC" w:rsidRPr="004C78D8">
        <w:instrText xml:space="preserve"> ADDIN EN.CITE &lt;EndNote&gt;&lt;Cite&gt;&lt;Author&gt;Salleh&lt;/Author&gt;&lt;Year&gt;2017&lt;/Year&gt;&lt;RecNum&gt;413&lt;/RecNum&gt;&lt;DisplayText&gt;[221, 222]&lt;/DisplayText&gt;&lt;record&gt;&lt;rec-number&gt;413&lt;/rec-number&gt;&lt;foreign-keys&gt;&lt;key app="EN" db-id="tdtrdw9aepptzbefsat599syza29sxsd2wsp" timestamp="1616155910"&gt;413&lt;/key&gt;&lt;/foreign-keys&gt;&lt;ref-type name="Journal Article"&gt;17&lt;/ref-type&gt;&lt;contributors&gt;&lt;authors&gt;&lt;author&gt;Salleh, Syed&lt;/author&gt;&lt;author&gt;Thokala, Praveen&lt;/author&gt;&lt;author&gt;Brennan, Alan&lt;/author&gt;&lt;author&gt;Hughes, Ruby&lt;/author&gt;&lt;author&gt;Dixon, Simon&lt;/author&gt;&lt;/authors&gt;&lt;/contributors&gt;&lt;titles&gt;&lt;title&gt;Discrete event simulation-based resource modelling in health technology assessment&lt;/title&gt;&lt;secondary-title&gt;Pharmacoeconomics&lt;/secondary-title&gt;&lt;/titles&gt;&lt;periodical&gt;&lt;full-title&gt;PharmacoEconomics&lt;/full-title&gt;&lt;/periodical&gt;&lt;pages&gt;989-1006&lt;/pages&gt;&lt;volume&gt;35&lt;/volume&gt;&lt;number&gt;10&lt;/number&gt;&lt;dates&gt;&lt;year&gt;2017&lt;/year&gt;&lt;/dates&gt;&lt;isbn&gt;1170-7690&lt;/isbn&gt;&lt;urls&gt;&lt;/urls&gt;&lt;/record&gt;&lt;/Cite&gt;&lt;Cite&gt;&lt;Author&gt;Pidd&lt;/Author&gt;&lt;Year&gt;2004&lt;/Year&gt;&lt;RecNum&gt;554&lt;/RecNum&gt;&lt;record&gt;&lt;rec-number&gt;554&lt;/rec-number&gt;&lt;foreign-keys&gt;&lt;key app="EN" db-id="tdtrdw9aepptzbefsat599syza29sxsd2wsp" timestamp="1619266901"&gt;554&lt;/key&gt;&lt;/foreign-keys&gt;&lt;ref-type name="Journal Article"&gt;17&lt;/ref-type&gt;&lt;contributors&gt;&lt;authors&gt;&lt;author&gt;Pidd, Michael&lt;/author&gt;&lt;/authors&gt;&lt;/contributors&gt;&lt;titles&gt;&lt;title&gt;Computer simulation in management science. Fifth edition&lt;/title&gt;&lt;secondary-title&gt;John Wiley &amp;amp; Sons&lt;/secondary-title&gt;&lt;/titles&gt;&lt;periodical&gt;&lt;full-title&gt;John Wiley &amp;amp; Sons&lt;/full-title&gt;&lt;/periodical&gt;&lt;dates&gt;&lt;year&gt;2004&lt;/year&gt;&lt;/dates&gt;&lt;urls&gt;&lt;/urls&gt;&lt;/record&gt;&lt;/Cite&gt;&lt;/EndNote&gt;</w:instrText>
      </w:r>
      <w:r w:rsidRPr="004C78D8">
        <w:fldChar w:fldCharType="separate"/>
      </w:r>
      <w:r w:rsidR="00C630FC" w:rsidRPr="004C78D8">
        <w:rPr>
          <w:noProof/>
        </w:rPr>
        <w:t>[221, 222]</w:t>
      </w:r>
      <w:r w:rsidRPr="004C78D8">
        <w:fldChar w:fldCharType="end"/>
      </w:r>
      <w:r w:rsidRPr="004C78D8">
        <w:t xml:space="preserve">. </w:t>
      </w:r>
      <w:r w:rsidR="00A962D3" w:rsidRPr="004C78D8">
        <w:t>T</w:t>
      </w:r>
      <w:r w:rsidRPr="004C78D8">
        <w:t xml:space="preserve">he systematic methodological review on relevant modelling challenges was </w:t>
      </w:r>
      <w:r w:rsidR="00A962D3" w:rsidRPr="004C78D8">
        <w:t xml:space="preserve">similarly </w:t>
      </w:r>
      <w:r w:rsidR="00EC7317" w:rsidRPr="004C78D8">
        <w:t>consulted</w:t>
      </w:r>
      <w:r w:rsidRPr="004C78D8">
        <w:t xml:space="preserve"> </w:t>
      </w:r>
      <w:r w:rsidRPr="004C78D8">
        <w:fldChar w:fldCharType="begin"/>
      </w:r>
      <w:r w:rsidR="00720CEE">
        <w:instrText xml:space="preserve"> ADDIN EN.CITE &lt;EndNote&gt;&lt;Cite&gt;&lt;Author&gt;Squires&lt;/Author&gt;&lt;Year&gt;2016&lt;/Year&gt;&lt;RecNum&gt;308&lt;/RecNum&gt;&lt;DisplayText&gt;[18]&lt;/DisplayText&gt;&lt;record&gt;&lt;rec-number&gt;308&lt;/rec-number&gt;&lt;foreign-keys&gt;&lt;key app="EN" db-id="tdtrdw9aepptzbefsat599syza29sxsd2wsp" timestamp="1612015645"&gt;308&lt;/key&gt;&lt;/foreign-keys&gt;&lt;ref-type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systematic literature review of the key challenges for developing the structure of public health economic models&lt;/title&gt;&lt;secondary-title&gt;International journal of public health&lt;/secondary-title&gt;&lt;/titles&gt;&lt;periodical&gt;&lt;full-title&gt;International journal of public health&lt;/full-title&gt;&lt;/periodical&gt;&lt;pages&gt;289-298&lt;/pages&gt;&lt;volume&gt;61&lt;/volume&gt;&lt;number&gt;3&lt;/number&gt;&lt;dates&gt;&lt;year&gt;2016&lt;/year&gt;&lt;/dates&gt;&lt;isbn&gt;1661-8556&lt;/isbn&gt;&lt;urls&gt;&lt;/urls&gt;&lt;/record&gt;&lt;/Cite&gt;&lt;/EndNote&gt;</w:instrText>
      </w:r>
      <w:r w:rsidRPr="004C78D8">
        <w:fldChar w:fldCharType="separate"/>
      </w:r>
      <w:r w:rsidR="00720CEE">
        <w:rPr>
          <w:noProof/>
        </w:rPr>
        <w:t>[18]</w:t>
      </w:r>
      <w:r w:rsidRPr="004C78D8">
        <w:fldChar w:fldCharType="end"/>
      </w:r>
      <w:r w:rsidRPr="004C78D8">
        <w:t xml:space="preserve">. </w:t>
      </w:r>
    </w:p>
    <w:p w14:paraId="42E55288" w14:textId="0855C70A" w:rsidR="00AD394F" w:rsidRPr="004C78D8" w:rsidRDefault="00AD394F" w:rsidP="00FB7C1F">
      <w:pPr>
        <w:pStyle w:val="Heading3"/>
      </w:pPr>
      <w:bookmarkStart w:id="70" w:name="_Toc111630721"/>
      <w:r w:rsidRPr="004C78D8">
        <w:t>3.3.4 Establishing time and resource availability and producing a protocol document</w:t>
      </w:r>
      <w:bookmarkEnd w:id="70"/>
      <w:r w:rsidRPr="004C78D8">
        <w:t xml:space="preserve"> </w:t>
      </w:r>
    </w:p>
    <w:p w14:paraId="729C04CB" w14:textId="768A8093" w:rsidR="00AD394F" w:rsidRPr="004C78D8" w:rsidRDefault="00AD394F" w:rsidP="00FB7C1F">
      <w:r w:rsidRPr="004C78D8">
        <w:t xml:space="preserve">The protocol document </w:t>
      </w:r>
      <w:r w:rsidR="00A412E3" w:rsidRPr="004C78D8">
        <w:t>was produced in September 2018 based on initial stakeholder discussions with the PHP and the literature on falls prevention and integrated care. This detailed</w:t>
      </w:r>
      <w:r w:rsidRPr="004C78D8">
        <w:t xml:space="preserve"> the time and resources available for the modelling project</w:t>
      </w:r>
      <w:r w:rsidR="00A412E3" w:rsidRPr="004C78D8">
        <w:t xml:space="preserve"> and</w:t>
      </w:r>
      <w:r w:rsidRPr="004C78D8">
        <w:t xml:space="preserve"> </w:t>
      </w:r>
      <w:r w:rsidR="00A412E3" w:rsidRPr="004C78D8">
        <w:t xml:space="preserve">contained a conceptual model diagram and a logic model illustrating the preliminary understanding of the problem. It thus framed further </w:t>
      </w:r>
      <w:r w:rsidRPr="004C78D8">
        <w:t>discussion</w:t>
      </w:r>
      <w:r w:rsidR="00A412E3" w:rsidRPr="004C78D8">
        <w:t>s</w:t>
      </w:r>
      <w:r w:rsidRPr="004C78D8">
        <w:t xml:space="preserve"> with stakeholders</w:t>
      </w:r>
      <w:r w:rsidR="00A412E3" w:rsidRPr="004C78D8">
        <w:t xml:space="preserve"> until June 2019</w:t>
      </w:r>
      <w:r w:rsidRPr="004C78D8">
        <w:t xml:space="preserve">. </w:t>
      </w:r>
    </w:p>
    <w:p w14:paraId="6670D455" w14:textId="77777777" w:rsidR="00AD394F" w:rsidRPr="004C78D8" w:rsidRDefault="00AD394F" w:rsidP="00FB7C1F"/>
    <w:p w14:paraId="118EB2FF" w14:textId="370A55B2" w:rsidR="00AD394F" w:rsidRPr="004C78D8" w:rsidRDefault="00AD394F" w:rsidP="00FB7C1F">
      <w:pPr>
        <w:pStyle w:val="Heading2"/>
      </w:pPr>
      <w:bookmarkStart w:id="71" w:name="_Toc93566861"/>
      <w:bookmarkStart w:id="72" w:name="_Toc111630722"/>
      <w:r w:rsidRPr="004C78D8">
        <w:t>3.4 What is the problem?</w:t>
      </w:r>
      <w:bookmarkEnd w:id="71"/>
      <w:bookmarkEnd w:id="72"/>
    </w:p>
    <w:p w14:paraId="2A75AC9E" w14:textId="18744502" w:rsidR="00AD394F" w:rsidRPr="004C78D8" w:rsidRDefault="00AD394F" w:rsidP="00FB7C1F">
      <w:r w:rsidRPr="004C78D8">
        <w:t>The nature of the decision problem changed as the project progressed</w:t>
      </w:r>
      <w:r w:rsidR="00FE4F93" w:rsidRPr="004C78D8">
        <w:t>; t</w:t>
      </w:r>
      <w:r w:rsidRPr="004C78D8">
        <w:t xml:space="preserve">his section describes </w:t>
      </w:r>
      <w:r w:rsidR="00A2542A" w:rsidRPr="004C78D8">
        <w:t>its</w:t>
      </w:r>
      <w:r w:rsidRPr="004C78D8">
        <w:t xml:space="preserve"> transition from economic evaluation of </w:t>
      </w:r>
      <w:r w:rsidR="00FA4E84" w:rsidRPr="004C78D8">
        <w:t>a multi-need</w:t>
      </w:r>
      <w:r w:rsidRPr="004C78D8">
        <w:t xml:space="preserve"> integrated care scheme (Section 3.4.1) to economic evaluation of </w:t>
      </w:r>
      <w:r w:rsidR="00FA4E84" w:rsidRPr="004C78D8">
        <w:t xml:space="preserve">a programme of </w:t>
      </w:r>
      <w:r w:rsidRPr="004C78D8">
        <w:t xml:space="preserve">community-based falls prevention (Section 3.4.2). </w:t>
      </w:r>
    </w:p>
    <w:p w14:paraId="7F6BE3EA" w14:textId="63B80677" w:rsidR="00AD394F" w:rsidRPr="004C78D8" w:rsidRDefault="00AD394F" w:rsidP="00FB7C1F">
      <w:pPr>
        <w:pStyle w:val="Heading3"/>
      </w:pPr>
      <w:bookmarkStart w:id="73" w:name="_Toc111630723"/>
      <w:r w:rsidRPr="004C78D8">
        <w:t>3.4.1 Economic evaluation of integrated care</w:t>
      </w:r>
      <w:bookmarkEnd w:id="73"/>
    </w:p>
    <w:p w14:paraId="691382E3" w14:textId="4809E6C4" w:rsidR="00AD394F" w:rsidRPr="004C78D8" w:rsidRDefault="007605DA" w:rsidP="00FB7C1F">
      <w:r w:rsidRPr="004C78D8">
        <w:t>I</w:t>
      </w:r>
      <w:r w:rsidR="00AD394F" w:rsidRPr="004C78D8">
        <w:t xml:space="preserve">nitial discussions with system owners in Sheffield focused on the need to evaluate </w:t>
      </w:r>
      <w:r w:rsidR="00EA0EC9" w:rsidRPr="004C78D8">
        <w:t xml:space="preserve">a </w:t>
      </w:r>
      <w:r w:rsidR="00AD394F" w:rsidRPr="004C78D8">
        <w:t xml:space="preserve">local integrated care scheme (described in Section 3.4.1.1) while also improving the local analytic capacity </w:t>
      </w:r>
      <w:r w:rsidR="00287C8C" w:rsidRPr="004C78D8">
        <w:t xml:space="preserve">to </w:t>
      </w:r>
      <w:r w:rsidR="00AD394F" w:rsidRPr="004C78D8">
        <w:t xml:space="preserve">evaluate </w:t>
      </w:r>
      <w:r w:rsidR="00373BA2" w:rsidRPr="004C78D8">
        <w:t>commissioning decisions</w:t>
      </w:r>
      <w:r w:rsidR="00AD394F" w:rsidRPr="004C78D8">
        <w:t xml:space="preserve"> (Section 3.4.1.2). But the focus shifted as difficulties were encountered in defining a concrete decision problem for </w:t>
      </w:r>
      <w:r w:rsidR="00661337" w:rsidRPr="004C78D8">
        <w:t xml:space="preserve">the </w:t>
      </w:r>
      <w:r w:rsidR="00AD394F" w:rsidRPr="004C78D8">
        <w:t xml:space="preserve">integrated care </w:t>
      </w:r>
      <w:r w:rsidR="00661337" w:rsidRPr="004C78D8">
        <w:t xml:space="preserve">evaluation </w:t>
      </w:r>
      <w:r w:rsidR="00AD394F" w:rsidRPr="004C78D8">
        <w:t>(Section 3.4.1.3).</w:t>
      </w:r>
    </w:p>
    <w:p w14:paraId="2C913A79" w14:textId="11494C02" w:rsidR="00AD394F" w:rsidRPr="004C78D8" w:rsidRDefault="00AD394F" w:rsidP="00FB7C1F">
      <w:pPr>
        <w:pStyle w:val="Heading4"/>
      </w:pPr>
      <w:r w:rsidRPr="004C78D8">
        <w:t>3.4.1.1 Integrated care</w:t>
      </w:r>
      <w:r w:rsidR="00426DB2" w:rsidRPr="004C78D8">
        <w:t xml:space="preserve"> scheme</w:t>
      </w:r>
      <w:r w:rsidRPr="004C78D8">
        <w:t xml:space="preserve"> in Sheffield</w:t>
      </w:r>
    </w:p>
    <w:p w14:paraId="5A7CFF09" w14:textId="76B12AA4" w:rsidR="00AD394F" w:rsidRPr="004C78D8" w:rsidRDefault="00AD394F" w:rsidP="00FB7C1F">
      <w:r w:rsidRPr="004C78D8">
        <w:t xml:space="preserve">The </w:t>
      </w:r>
      <w:r w:rsidR="00661337" w:rsidRPr="004C78D8">
        <w:t xml:space="preserve">main </w:t>
      </w:r>
      <w:r w:rsidRPr="004C78D8">
        <w:t xml:space="preserve">integrated care </w:t>
      </w:r>
      <w:r w:rsidR="00661337" w:rsidRPr="004C78D8">
        <w:t xml:space="preserve">programme </w:t>
      </w:r>
      <w:r w:rsidRPr="004C78D8">
        <w:t xml:space="preserve">in Sheffield </w:t>
      </w:r>
      <w:r w:rsidR="00661337" w:rsidRPr="004C78D8">
        <w:t>is</w:t>
      </w:r>
      <w:r w:rsidRPr="004C78D8">
        <w:t xml:space="preserve"> the Better Care Fund</w:t>
      </w:r>
      <w:r w:rsidR="00661337" w:rsidRPr="004C78D8">
        <w:t xml:space="preserve"> (BCF)</w:t>
      </w:r>
      <w:r w:rsidRPr="004C78D8">
        <w:t xml:space="preserve"> initiative</w:t>
      </w:r>
      <w:r w:rsidR="00661337" w:rsidRPr="004C78D8">
        <w:t>.</w:t>
      </w:r>
      <w:r w:rsidRPr="004C78D8">
        <w:t xml:space="preserve"> As </w:t>
      </w:r>
      <w:r w:rsidR="00661337" w:rsidRPr="004C78D8">
        <w:t>noted</w:t>
      </w:r>
      <w:r w:rsidR="007355F1" w:rsidRPr="004C78D8">
        <w:t xml:space="preserve"> in Section 1.3.2.</w:t>
      </w:r>
      <w:r w:rsidR="00661337" w:rsidRPr="004C78D8">
        <w:t>3</w:t>
      </w:r>
      <w:r w:rsidRPr="004C78D8">
        <w:t xml:space="preserve">, </w:t>
      </w:r>
      <w:r w:rsidR="00661337" w:rsidRPr="004C78D8">
        <w:t>BCF</w:t>
      </w:r>
      <w:r w:rsidRPr="004C78D8">
        <w:t xml:space="preserve"> is a cross-ministry initiative that obliges and funds (£6.4 billion in 2019-20) the integration of health and social care services and budgets at the CCG and local authority level </w:t>
      </w:r>
      <w:r w:rsidRPr="004C78D8">
        <w:fldChar w:fldCharType="begin"/>
      </w:r>
      <w:r w:rsidR="00513646" w:rsidRPr="004C78D8">
        <w:instrText xml:space="preserve"> ADDIN EN.CITE &lt;EndNote&gt;&lt;Cite&gt;&lt;Author&gt;NHS England&lt;/Author&gt;&lt;Year&gt;2020&lt;/Year&gt;&lt;RecNum&gt;469&lt;/RecNum&gt;&lt;DisplayText&gt;[119]&lt;/DisplayText&gt;&lt;record&gt;&lt;rec-number&gt;469&lt;/rec-number&gt;&lt;foreign-keys&gt;&lt;key app="EN" db-id="tdtrdw9aepptzbefsat599syza29sxsd2wsp" timestamp="1616496401"&gt;469&lt;/key&gt;&lt;/foreign-keys&gt;&lt;ref-type name="Journal Article"&gt;17&lt;/ref-type&gt;&lt;contributors&gt;&lt;authors&gt;&lt;author&gt;NHS England,&lt;/author&gt;&lt;/authors&gt;&lt;/contributors&gt;&lt;titles&gt;&lt;title&gt;Better Care Fund&lt;/title&gt;&lt;secondary-title&gt;https://www.england.nhs.uk/ourwork/part-rel/transformation-fund/bcf-plan/&lt;/secondary-title&gt;&lt;/titles&gt;&lt;periodical&gt;&lt;full-title&gt;https://www.england.nhs.uk/ourwork/part-rel/transformation-fund/bcf-plan/&lt;/full-title&gt;&lt;/periodical&gt;&lt;dates&gt;&lt;year&gt;2020&lt;/year&gt;&lt;/dates&gt;&lt;urls&gt;&lt;/urls&gt;&lt;/record&gt;&lt;/Cite&gt;&lt;/EndNote&gt;</w:instrText>
      </w:r>
      <w:r w:rsidRPr="004C78D8">
        <w:fldChar w:fldCharType="separate"/>
      </w:r>
      <w:r w:rsidR="00513646" w:rsidRPr="004C78D8">
        <w:rPr>
          <w:noProof/>
        </w:rPr>
        <w:t>[119]</w:t>
      </w:r>
      <w:r w:rsidRPr="004C78D8">
        <w:fldChar w:fldCharType="end"/>
      </w:r>
      <w:r w:rsidRPr="004C78D8">
        <w:t xml:space="preserve">. </w:t>
      </w:r>
      <w:r w:rsidR="007F0A08" w:rsidRPr="004C78D8">
        <w:t xml:space="preserve">BCF thus primarily focuses on financial and administrative integration between health and social care sectors. Accordingly, </w:t>
      </w:r>
      <w:r w:rsidRPr="004C78D8">
        <w:t xml:space="preserve">Sheffield CCG and </w:t>
      </w:r>
      <w:r w:rsidR="00F405F3" w:rsidRPr="004C78D8">
        <w:t>SCC</w:t>
      </w:r>
      <w:r w:rsidRPr="004C78D8">
        <w:t xml:space="preserve"> ha</w:t>
      </w:r>
      <w:r w:rsidR="007F0A08" w:rsidRPr="004C78D8">
        <w:t>ve</w:t>
      </w:r>
      <w:r w:rsidRPr="004C78D8">
        <w:t xml:space="preserve"> invested £362 million </w:t>
      </w:r>
      <w:r w:rsidR="007F0A08" w:rsidRPr="004C78D8">
        <w:t>towards integration</w:t>
      </w:r>
      <w:r w:rsidRPr="004C78D8">
        <w:t xml:space="preserve"> since 2014</w:t>
      </w:r>
      <w:r w:rsidR="007F0A08" w:rsidRPr="004C78D8">
        <w:t xml:space="preserve"> </w:t>
      </w:r>
      <w:r w:rsidR="00B3411A" w:rsidRPr="004C78D8">
        <w:t xml:space="preserve">(see Document 1 in Appendix B for context) </w:t>
      </w:r>
      <w:r w:rsidR="007F0A08" w:rsidRPr="004C78D8">
        <w:t xml:space="preserve">and have devised component integrated care schemes, </w:t>
      </w:r>
      <w:r w:rsidRPr="004C78D8">
        <w:t>including the Active Support &amp; Recovery (AS&amp;R) scheme that target</w:t>
      </w:r>
      <w:r w:rsidR="007F0A08" w:rsidRPr="004C78D8">
        <w:t>s</w:t>
      </w:r>
      <w:r w:rsidRPr="004C78D8">
        <w:t xml:space="preserve"> </w:t>
      </w:r>
      <w:r w:rsidR="007F0A08" w:rsidRPr="004C78D8">
        <w:t xml:space="preserve">the </w:t>
      </w:r>
      <w:r w:rsidR="004D6BB8" w:rsidRPr="004C78D8">
        <w:t xml:space="preserve">older </w:t>
      </w:r>
      <w:r w:rsidRPr="004C78D8">
        <w:t xml:space="preserve">population </w:t>
      </w:r>
      <w:r w:rsidRPr="004C78D8">
        <w:fldChar w:fldCharType="begin"/>
      </w:r>
      <w:r w:rsidR="00C630FC" w:rsidRPr="004C78D8">
        <w:instrText xml:space="preserve"> ADDIN EN.CITE &lt;EndNote&gt;&lt;Cite&gt;&lt;Author&gt;Griffiths&lt;/Author&gt;&lt;Year&gt;2015&lt;/Year&gt;&lt;RecNum&gt;550&lt;/RecNum&gt;&lt;DisplayText&gt;[212]&lt;/DisplayText&gt;&lt;record&gt;&lt;rec-number&gt;550&lt;/rec-number&gt;&lt;foreign-keys&gt;&lt;key app="EN" db-id="tdtrdw9aepptzbefsat599syza29sxsd2wsp" timestamp="1618948403"&gt;550&lt;/key&gt;&lt;/foreign-keys&gt;&lt;ref-type name="Journal Article"&gt;17&lt;/ref-type&gt;&lt;contributors&gt;&lt;authors&gt;&lt;author&gt;Griffiths, Idris&lt;/author&gt;&lt;/authors&gt;&lt;/contributors&gt;&lt;titles&gt;&lt;title&gt;Sheffield Clinical Commissioning Group Active Support and Recovery update: governing body meeting&lt;/title&gt;&lt;/titles&gt;&lt;dates&gt;&lt;year&gt;2015&lt;/year&gt;&lt;/dates&gt;&lt;urls&gt;&lt;/urls&gt;&lt;/record&gt;&lt;/Cite&gt;&lt;/EndNote&gt;</w:instrText>
      </w:r>
      <w:r w:rsidRPr="004C78D8">
        <w:fldChar w:fldCharType="separate"/>
      </w:r>
      <w:r w:rsidR="00C630FC" w:rsidRPr="004C78D8">
        <w:rPr>
          <w:noProof/>
        </w:rPr>
        <w:t>[212]</w:t>
      </w:r>
      <w:r w:rsidRPr="004C78D8">
        <w:fldChar w:fldCharType="end"/>
      </w:r>
      <w:r w:rsidRPr="004C78D8">
        <w:t xml:space="preserve">. </w:t>
      </w:r>
    </w:p>
    <w:p w14:paraId="0850D643" w14:textId="22CC97B0" w:rsidR="00AD394F" w:rsidRPr="004C78D8" w:rsidRDefault="00AD394F" w:rsidP="00FB7C1F">
      <w:r w:rsidRPr="004C78D8">
        <w:t xml:space="preserve">The aim of AS&amp;R is “to improve the quality, efficiency and volume of care provided outside of hospital” (p. 2) </w:t>
      </w:r>
      <w:r w:rsidRPr="004C78D8">
        <w:fldChar w:fldCharType="begin"/>
      </w:r>
      <w:r w:rsidR="00C630FC" w:rsidRPr="004C78D8">
        <w:instrText xml:space="preserve"> ADDIN EN.CITE &lt;EndNote&gt;&lt;Cite&gt;&lt;Author&gt;Griffiths&lt;/Author&gt;&lt;Year&gt;2015&lt;/Year&gt;&lt;RecNum&gt;550&lt;/RecNum&gt;&lt;DisplayText&gt;[212]&lt;/DisplayText&gt;&lt;record&gt;&lt;rec-number&gt;550&lt;/rec-number&gt;&lt;foreign-keys&gt;&lt;key app="EN" db-id="tdtrdw9aepptzbefsat599syza29sxsd2wsp" timestamp="1618948403"&gt;550&lt;/key&gt;&lt;/foreign-keys&gt;&lt;ref-type name="Journal Article"&gt;17&lt;/ref-type&gt;&lt;contributors&gt;&lt;authors&gt;&lt;author&gt;Griffiths, Idris&lt;/author&gt;&lt;/authors&gt;&lt;/contributors&gt;&lt;titles&gt;&lt;title&gt;Sheffield Clinical Commissioning Group Active Support and Recovery update: governing body meeting&lt;/title&gt;&lt;/titles&gt;&lt;dates&gt;&lt;year&gt;2015&lt;/year&gt;&lt;/dates&gt;&lt;urls&gt;&lt;/urls&gt;&lt;/record&gt;&lt;/Cite&gt;&lt;/EndNote&gt;</w:instrText>
      </w:r>
      <w:r w:rsidRPr="004C78D8">
        <w:fldChar w:fldCharType="separate"/>
      </w:r>
      <w:r w:rsidR="00C630FC" w:rsidRPr="004C78D8">
        <w:rPr>
          <w:noProof/>
        </w:rPr>
        <w:t>[212]</w:t>
      </w:r>
      <w:r w:rsidRPr="004C78D8">
        <w:fldChar w:fldCharType="end"/>
      </w:r>
      <w:r w:rsidRPr="004C78D8">
        <w:t xml:space="preserve">. The ‘Neighbourhood teams’ of GP practices, social care services and the voluntary sector would design services, mobilise relevant community assets, and address </w:t>
      </w:r>
      <w:r w:rsidRPr="004C78D8">
        <w:rPr>
          <w:lang w:val="en-US"/>
        </w:rPr>
        <w:t xml:space="preserve">“all determinants of health </w:t>
      </w:r>
      <w:r w:rsidRPr="004C78D8">
        <w:rPr>
          <w:lang w:val="en-US"/>
        </w:rPr>
        <w:lastRenderedPageBreak/>
        <w:t>such as biopsychosocial and environmental factors, not just healthcare” (p. 6)</w:t>
      </w:r>
      <w:r w:rsidRPr="004C78D8">
        <w:t xml:space="preserve"> </w:t>
      </w:r>
      <w:r w:rsidRPr="004C78D8">
        <w:fldChar w:fldCharType="begin"/>
      </w:r>
      <w:r w:rsidR="00C630FC" w:rsidRPr="004C78D8">
        <w:instrText xml:space="preserve"> ADDIN EN.CITE &lt;EndNote&gt;&lt;Cite&gt;&lt;Author&gt;Griffiths&lt;/Author&gt;&lt;Year&gt;2015&lt;/Year&gt;&lt;RecNum&gt;550&lt;/RecNum&gt;&lt;DisplayText&gt;[212]&lt;/DisplayText&gt;&lt;record&gt;&lt;rec-number&gt;550&lt;/rec-number&gt;&lt;foreign-keys&gt;&lt;key app="EN" db-id="tdtrdw9aepptzbefsat599syza29sxsd2wsp" timestamp="1618948403"&gt;550&lt;/key&gt;&lt;/foreign-keys&gt;&lt;ref-type name="Journal Article"&gt;17&lt;/ref-type&gt;&lt;contributors&gt;&lt;authors&gt;&lt;author&gt;Griffiths, Idris&lt;/author&gt;&lt;/authors&gt;&lt;/contributors&gt;&lt;titles&gt;&lt;title&gt;Sheffield Clinical Commissioning Group Active Support and Recovery update: governing body meeting&lt;/title&gt;&lt;/titles&gt;&lt;dates&gt;&lt;year&gt;2015&lt;/year&gt;&lt;/dates&gt;&lt;urls&gt;&lt;/urls&gt;&lt;/record&gt;&lt;/Cite&gt;&lt;/EndNote&gt;</w:instrText>
      </w:r>
      <w:r w:rsidRPr="004C78D8">
        <w:fldChar w:fldCharType="separate"/>
      </w:r>
      <w:r w:rsidR="00C630FC" w:rsidRPr="004C78D8">
        <w:rPr>
          <w:noProof/>
        </w:rPr>
        <w:t>[212]</w:t>
      </w:r>
      <w:r w:rsidRPr="004C78D8">
        <w:fldChar w:fldCharType="end"/>
      </w:r>
      <w:r w:rsidRPr="004C78D8">
        <w:t xml:space="preserve">. The ‘essential outcomes’ include: reduction in number of hospital (re-)admissions and length of stay; efficiency savings in service delivery; increase in the proportion of people receiving holistic, person-centred care in community; and reduction in the number of long-term care admissions (p. 3) </w:t>
      </w:r>
      <w:r w:rsidRPr="004C78D8">
        <w:fldChar w:fldCharType="begin"/>
      </w:r>
      <w:r w:rsidR="00C630FC" w:rsidRPr="004C78D8">
        <w:instrText xml:space="preserve"> ADDIN EN.CITE &lt;EndNote&gt;&lt;Cite&gt;&lt;Author&gt;Griffiths&lt;/Author&gt;&lt;Year&gt;2015&lt;/Year&gt;&lt;RecNum&gt;550&lt;/RecNum&gt;&lt;DisplayText&gt;[212]&lt;/DisplayText&gt;&lt;record&gt;&lt;rec-number&gt;550&lt;/rec-number&gt;&lt;foreign-keys&gt;&lt;key app="EN" db-id="tdtrdw9aepptzbefsat599syza29sxsd2wsp" timestamp="1618948403"&gt;550&lt;/key&gt;&lt;/foreign-keys&gt;&lt;ref-type name="Journal Article"&gt;17&lt;/ref-type&gt;&lt;contributors&gt;&lt;authors&gt;&lt;author&gt;Griffiths, Idris&lt;/author&gt;&lt;/authors&gt;&lt;/contributors&gt;&lt;titles&gt;&lt;title&gt;Sheffield Clinical Commissioning Group Active Support and Recovery update: governing body meeting&lt;/title&gt;&lt;/titles&gt;&lt;dates&gt;&lt;year&gt;2015&lt;/year&gt;&lt;/dates&gt;&lt;urls&gt;&lt;/urls&gt;&lt;/record&gt;&lt;/Cite&gt;&lt;/EndNote&gt;</w:instrText>
      </w:r>
      <w:r w:rsidRPr="004C78D8">
        <w:fldChar w:fldCharType="separate"/>
      </w:r>
      <w:r w:rsidR="00C630FC" w:rsidRPr="004C78D8">
        <w:rPr>
          <w:noProof/>
        </w:rPr>
        <w:t>[212]</w:t>
      </w:r>
      <w:r w:rsidRPr="004C78D8">
        <w:fldChar w:fldCharType="end"/>
      </w:r>
      <w:r w:rsidRPr="004C78D8">
        <w:t xml:space="preserve">. Patient-reported outcome measures such as health utilities were not mentioned, but the last </w:t>
      </w:r>
      <w:r w:rsidR="00C32860" w:rsidRPr="004C78D8">
        <w:t xml:space="preserve">two </w:t>
      </w:r>
      <w:r w:rsidRPr="004C78D8">
        <w:t>essential outcome</w:t>
      </w:r>
      <w:r w:rsidR="00C32860" w:rsidRPr="004C78D8">
        <w:t>s</w:t>
      </w:r>
      <w:r w:rsidRPr="004C78D8">
        <w:t xml:space="preserve"> indicate decision-makers’ commitment to protecting </w:t>
      </w:r>
      <w:r w:rsidR="00C32860" w:rsidRPr="004C78D8">
        <w:t>the</w:t>
      </w:r>
      <w:r w:rsidRPr="004C78D8">
        <w:t xml:space="preserve"> functional </w:t>
      </w:r>
      <w:r w:rsidR="00D65A57" w:rsidRPr="004C78D8">
        <w:t>independence</w:t>
      </w:r>
      <w:r w:rsidRPr="004C78D8">
        <w:t xml:space="preserve"> </w:t>
      </w:r>
      <w:r w:rsidR="00BA2A38" w:rsidRPr="004C78D8">
        <w:t>of</w:t>
      </w:r>
      <w:r w:rsidRPr="004C78D8">
        <w:t xml:space="preserve"> older </w:t>
      </w:r>
      <w:r w:rsidR="00C32860" w:rsidRPr="004C78D8">
        <w:t>persons</w:t>
      </w:r>
      <w:r w:rsidRPr="004C78D8">
        <w:t>.</w:t>
      </w:r>
    </w:p>
    <w:p w14:paraId="20388196" w14:textId="77777777" w:rsidR="00AD394F" w:rsidRPr="004C78D8" w:rsidRDefault="00AD394F" w:rsidP="00FB7C1F">
      <w:pPr>
        <w:pStyle w:val="Heading4"/>
      </w:pPr>
      <w:r w:rsidRPr="004C78D8">
        <w:t>3.4.1.2 Improving local analytic capacity</w:t>
      </w:r>
    </w:p>
    <w:p w14:paraId="32D028A4" w14:textId="4280F1D6" w:rsidR="00AD394F" w:rsidRPr="004C78D8" w:rsidRDefault="00AD394F" w:rsidP="00FB7C1F">
      <w:r w:rsidRPr="004C78D8">
        <w:t xml:space="preserve">The Sheffield system owners also wanted a proactive analysis of their routine data which had recently been created by linking the NHS health records kept by the CCG and the social care records kept by </w:t>
      </w:r>
      <w:r w:rsidR="00157813" w:rsidRPr="004C78D8">
        <w:t>SCC</w:t>
      </w:r>
      <w:r w:rsidRPr="004C78D8">
        <w:t xml:space="preserve"> for the purpose of evaluating integrated care schemes. The aims were to increase not only the local relevance of specific evaluation outputs but also: (i) the analytic capacity of local decision-makers to identify public health problems and evaluate potential solutions using readily available and comprehensive routine data; and (ii) the collaboration between academic research and local decision-making. </w:t>
      </w:r>
      <w:r w:rsidR="00F20C84" w:rsidRPr="004C78D8">
        <w:t xml:space="preserve">These aims were </w:t>
      </w:r>
      <w:r w:rsidR="00157813" w:rsidRPr="004C78D8">
        <w:t>maintained</w:t>
      </w:r>
      <w:r w:rsidR="00F20C84" w:rsidRPr="004C78D8">
        <w:t xml:space="preserve"> when the decision problem transitioned to falls prevention; but </w:t>
      </w:r>
      <w:r w:rsidRPr="004C78D8">
        <w:t xml:space="preserve">problems </w:t>
      </w:r>
      <w:r w:rsidR="00F20C84" w:rsidRPr="004C78D8">
        <w:t xml:space="preserve">were encountered </w:t>
      </w:r>
      <w:r w:rsidRPr="004C78D8">
        <w:t xml:space="preserve">in accessing the routine data, </w:t>
      </w:r>
      <w:r w:rsidR="00F20C84" w:rsidRPr="004C78D8">
        <w:t>and the</w:t>
      </w:r>
      <w:r w:rsidRPr="004C78D8">
        <w:t xml:space="preserve"> aims were not subsequently pursued. </w:t>
      </w:r>
    </w:p>
    <w:p w14:paraId="76B3EA8D" w14:textId="39CF6404" w:rsidR="00AD394F" w:rsidRPr="004C78D8" w:rsidRDefault="00AD394F" w:rsidP="00FB7C1F">
      <w:pPr>
        <w:pStyle w:val="Heading4"/>
      </w:pPr>
      <w:r w:rsidRPr="004C78D8">
        <w:t xml:space="preserve">3.4.1.3 Difficulties in evaluating </w:t>
      </w:r>
      <w:r w:rsidR="00B3411A" w:rsidRPr="004C78D8">
        <w:t xml:space="preserve">the local </w:t>
      </w:r>
      <w:r w:rsidRPr="004C78D8">
        <w:t>integrated care</w:t>
      </w:r>
      <w:r w:rsidR="00B3411A" w:rsidRPr="004C78D8">
        <w:t xml:space="preserve"> scheme</w:t>
      </w:r>
    </w:p>
    <w:p w14:paraId="6F3A0E4B" w14:textId="7079E4FD" w:rsidR="00AD394F" w:rsidRPr="004C78D8" w:rsidRDefault="00AD394F" w:rsidP="00FB7C1F">
      <w:r w:rsidRPr="004C78D8">
        <w:t xml:space="preserve">The main difficulty in conceptualising the model boundary for the evaluation of Sheffield AS&amp;R was the lack (at least in late 2018) of a clearly defined public health decision problem. Specifically, the aim of AS&amp;R was interpreted narrowly to consist </w:t>
      </w:r>
      <w:r w:rsidR="00287C8C" w:rsidRPr="004C78D8">
        <w:t>of</w:t>
      </w:r>
      <w:r w:rsidRPr="004C78D8">
        <w:t xml:space="preserve"> improving service efficiency rather than in addressing one or more </w:t>
      </w:r>
      <w:r w:rsidRPr="004C78D8">
        <w:rPr>
          <w:lang w:val="en-US"/>
        </w:rPr>
        <w:t>“determinants of health such as biopsychosocial and environmental factors, not just healthcare” (p. 6)</w:t>
      </w:r>
      <w:r w:rsidRPr="004C78D8">
        <w:t xml:space="preserve"> </w:t>
      </w:r>
      <w:r w:rsidRPr="004C78D8">
        <w:fldChar w:fldCharType="begin"/>
      </w:r>
      <w:r w:rsidR="00C630FC" w:rsidRPr="004C78D8">
        <w:instrText xml:space="preserve"> ADDIN EN.CITE &lt;EndNote&gt;&lt;Cite&gt;&lt;Author&gt;Griffiths&lt;/Author&gt;&lt;Year&gt;2015&lt;/Year&gt;&lt;RecNum&gt;550&lt;/RecNum&gt;&lt;DisplayText&gt;[212]&lt;/DisplayText&gt;&lt;record&gt;&lt;rec-number&gt;550&lt;/rec-number&gt;&lt;foreign-keys&gt;&lt;key app="EN" db-id="tdtrdw9aepptzbefsat599syza29sxsd2wsp" timestamp="1618948403"&gt;550&lt;/key&gt;&lt;/foreign-keys&gt;&lt;ref-type name="Journal Article"&gt;17&lt;/ref-type&gt;&lt;contributors&gt;&lt;authors&gt;&lt;author&gt;Griffiths, Idris&lt;/author&gt;&lt;/authors&gt;&lt;/contributors&gt;&lt;titles&gt;&lt;title&gt;Sheffield Clinical Commissioning Group Active Support and Recovery update: governing body meeting&lt;/title&gt;&lt;/titles&gt;&lt;dates&gt;&lt;year&gt;2015&lt;/year&gt;&lt;/dates&gt;&lt;urls&gt;&lt;/urls&gt;&lt;/record&gt;&lt;/Cite&gt;&lt;/EndNote&gt;</w:instrText>
      </w:r>
      <w:r w:rsidRPr="004C78D8">
        <w:fldChar w:fldCharType="separate"/>
      </w:r>
      <w:r w:rsidR="00C630FC" w:rsidRPr="004C78D8">
        <w:rPr>
          <w:noProof/>
        </w:rPr>
        <w:t>[212]</w:t>
      </w:r>
      <w:r w:rsidRPr="004C78D8">
        <w:fldChar w:fldCharType="end"/>
      </w:r>
      <w:r w:rsidRPr="004C78D8">
        <w:t>. This can be seen in Table 3.3 that lists the range of intervention components that were part of the proposed AS&amp;R scheme in June 2018.</w:t>
      </w:r>
    </w:p>
    <w:tbl>
      <w:tblPr>
        <w:tblStyle w:val="TableGrid"/>
        <w:tblW w:w="0" w:type="auto"/>
        <w:tblInd w:w="-5" w:type="dxa"/>
        <w:tblLook w:val="04A0" w:firstRow="1" w:lastRow="0" w:firstColumn="1" w:lastColumn="0" w:noHBand="0" w:noVBand="1"/>
      </w:tblPr>
      <w:tblGrid>
        <w:gridCol w:w="3681"/>
        <w:gridCol w:w="3685"/>
      </w:tblGrid>
      <w:tr w:rsidR="00AD394F" w:rsidRPr="004C78D8" w14:paraId="2C67113C" w14:textId="77777777" w:rsidTr="002828C1">
        <w:trPr>
          <w:trHeight w:val="367"/>
        </w:trPr>
        <w:tc>
          <w:tcPr>
            <w:tcW w:w="7366" w:type="dxa"/>
            <w:gridSpan w:val="2"/>
          </w:tcPr>
          <w:p w14:paraId="214342D1" w14:textId="0660A8BE" w:rsidR="00AD394F" w:rsidRPr="004C78D8" w:rsidRDefault="00AD394F" w:rsidP="00FB7C1F">
            <w:pPr>
              <w:jc w:val="left"/>
            </w:pPr>
            <w:r w:rsidRPr="004C78D8">
              <w:rPr>
                <w:b/>
                <w:bCs/>
              </w:rPr>
              <w:t>Table 3.3</w:t>
            </w:r>
            <w:r w:rsidRPr="004C78D8">
              <w:t xml:space="preserve"> Intervention components within the prospective Sheffield Active Support &amp; Recovery scheme in June 2018</w:t>
            </w:r>
            <w:r w:rsidR="004258E7" w:rsidRPr="004C78D8">
              <w:t>.</w:t>
            </w:r>
          </w:p>
        </w:tc>
      </w:tr>
      <w:tr w:rsidR="00AD394F" w:rsidRPr="004C78D8" w14:paraId="129040E0" w14:textId="77777777" w:rsidTr="002828C1">
        <w:trPr>
          <w:trHeight w:val="315"/>
        </w:trPr>
        <w:tc>
          <w:tcPr>
            <w:tcW w:w="3681" w:type="dxa"/>
          </w:tcPr>
          <w:p w14:paraId="090D0550" w14:textId="77777777" w:rsidR="00AD394F" w:rsidRPr="004C78D8" w:rsidRDefault="00AD394F" w:rsidP="00FB7C1F">
            <w:pPr>
              <w:rPr>
                <w:b/>
                <w:bCs/>
                <w:sz w:val="20"/>
                <w:szCs w:val="20"/>
              </w:rPr>
            </w:pPr>
            <w:r w:rsidRPr="004C78D8">
              <w:rPr>
                <w:b/>
                <w:bCs/>
                <w:sz w:val="20"/>
                <w:szCs w:val="20"/>
              </w:rPr>
              <w:t>Commissioned by Sheffield NHS CCG</w:t>
            </w:r>
          </w:p>
        </w:tc>
        <w:tc>
          <w:tcPr>
            <w:tcW w:w="3685" w:type="dxa"/>
          </w:tcPr>
          <w:p w14:paraId="539191B9" w14:textId="77777777" w:rsidR="00AD394F" w:rsidRPr="004C78D8" w:rsidRDefault="00AD394F" w:rsidP="00FB7C1F">
            <w:pPr>
              <w:rPr>
                <w:b/>
                <w:bCs/>
                <w:sz w:val="20"/>
                <w:szCs w:val="20"/>
              </w:rPr>
            </w:pPr>
            <w:r w:rsidRPr="004C78D8">
              <w:rPr>
                <w:b/>
                <w:bCs/>
                <w:sz w:val="20"/>
                <w:szCs w:val="20"/>
              </w:rPr>
              <w:t>Commissioned by Sheffield City Council</w:t>
            </w:r>
          </w:p>
        </w:tc>
      </w:tr>
      <w:tr w:rsidR="00AD394F" w:rsidRPr="004C78D8" w14:paraId="63334E10" w14:textId="77777777" w:rsidTr="002828C1">
        <w:trPr>
          <w:trHeight w:val="367"/>
        </w:trPr>
        <w:tc>
          <w:tcPr>
            <w:tcW w:w="3681" w:type="dxa"/>
          </w:tcPr>
          <w:p w14:paraId="43157C9C" w14:textId="77777777" w:rsidR="00AD394F" w:rsidRPr="004C78D8" w:rsidRDefault="00AD394F" w:rsidP="00FB7C1F">
            <w:pPr>
              <w:jc w:val="left"/>
              <w:rPr>
                <w:sz w:val="18"/>
                <w:szCs w:val="18"/>
              </w:rPr>
            </w:pPr>
            <w:r w:rsidRPr="004C78D8">
              <w:rPr>
                <w:sz w:val="18"/>
                <w:szCs w:val="18"/>
              </w:rPr>
              <w:t>‘Community at Night’ integrated care team</w:t>
            </w:r>
          </w:p>
        </w:tc>
        <w:tc>
          <w:tcPr>
            <w:tcW w:w="3685" w:type="dxa"/>
          </w:tcPr>
          <w:p w14:paraId="2A5A3F18" w14:textId="77777777" w:rsidR="00AD394F" w:rsidRPr="004C78D8" w:rsidRDefault="00AD394F" w:rsidP="00FB7C1F">
            <w:pPr>
              <w:jc w:val="left"/>
              <w:rPr>
                <w:sz w:val="18"/>
                <w:szCs w:val="18"/>
              </w:rPr>
            </w:pPr>
            <w:r w:rsidRPr="004C78D8">
              <w:rPr>
                <w:sz w:val="18"/>
                <w:szCs w:val="18"/>
              </w:rPr>
              <w:t>Short Term Intervention Team (STIT) – community support workers</w:t>
            </w:r>
          </w:p>
        </w:tc>
      </w:tr>
      <w:tr w:rsidR="00AD394F" w:rsidRPr="004C78D8" w14:paraId="50134B1E" w14:textId="77777777" w:rsidTr="002828C1">
        <w:trPr>
          <w:trHeight w:val="227"/>
        </w:trPr>
        <w:tc>
          <w:tcPr>
            <w:tcW w:w="3681" w:type="dxa"/>
          </w:tcPr>
          <w:p w14:paraId="4246AD8E" w14:textId="77777777" w:rsidR="00AD394F" w:rsidRPr="004C78D8" w:rsidRDefault="00AD394F" w:rsidP="00FB7C1F">
            <w:pPr>
              <w:jc w:val="left"/>
              <w:rPr>
                <w:sz w:val="18"/>
                <w:szCs w:val="18"/>
              </w:rPr>
            </w:pPr>
            <w:r w:rsidRPr="004C78D8">
              <w:rPr>
                <w:sz w:val="18"/>
                <w:szCs w:val="18"/>
              </w:rPr>
              <w:t>Intensive home nursing service</w:t>
            </w:r>
          </w:p>
        </w:tc>
        <w:tc>
          <w:tcPr>
            <w:tcW w:w="3685" w:type="dxa"/>
          </w:tcPr>
          <w:p w14:paraId="2C7CF016" w14:textId="77777777" w:rsidR="00AD394F" w:rsidRPr="004C78D8" w:rsidRDefault="00AD394F" w:rsidP="00FB7C1F">
            <w:pPr>
              <w:jc w:val="left"/>
              <w:rPr>
                <w:sz w:val="18"/>
                <w:szCs w:val="18"/>
              </w:rPr>
            </w:pPr>
            <w:r w:rsidRPr="004C78D8">
              <w:rPr>
                <w:sz w:val="18"/>
                <w:szCs w:val="18"/>
              </w:rPr>
              <w:t>Community reablement services</w:t>
            </w:r>
          </w:p>
        </w:tc>
      </w:tr>
      <w:tr w:rsidR="00AD394F" w:rsidRPr="004C78D8" w14:paraId="648A83C3" w14:textId="77777777" w:rsidTr="002828C1">
        <w:trPr>
          <w:trHeight w:val="367"/>
        </w:trPr>
        <w:tc>
          <w:tcPr>
            <w:tcW w:w="3681" w:type="dxa"/>
          </w:tcPr>
          <w:p w14:paraId="0F35908C" w14:textId="77777777" w:rsidR="00AD394F" w:rsidRPr="004C78D8" w:rsidRDefault="00AD394F" w:rsidP="00FB7C1F">
            <w:pPr>
              <w:jc w:val="left"/>
              <w:rPr>
                <w:sz w:val="18"/>
                <w:szCs w:val="18"/>
              </w:rPr>
            </w:pPr>
            <w:r w:rsidRPr="004C78D8">
              <w:rPr>
                <w:sz w:val="18"/>
                <w:szCs w:val="18"/>
              </w:rPr>
              <w:t>Community Intermediate Care Service (CICS)</w:t>
            </w:r>
          </w:p>
        </w:tc>
        <w:tc>
          <w:tcPr>
            <w:tcW w:w="3685" w:type="dxa"/>
            <w:tcBorders>
              <w:bottom w:val="single" w:sz="4" w:space="0" w:color="auto"/>
            </w:tcBorders>
          </w:tcPr>
          <w:p w14:paraId="14F70BC0" w14:textId="77777777" w:rsidR="00AD394F" w:rsidRPr="004C78D8" w:rsidRDefault="00AD394F" w:rsidP="00FB7C1F">
            <w:pPr>
              <w:jc w:val="left"/>
              <w:rPr>
                <w:sz w:val="18"/>
                <w:szCs w:val="18"/>
              </w:rPr>
            </w:pPr>
            <w:r w:rsidRPr="004C78D8">
              <w:rPr>
                <w:sz w:val="18"/>
                <w:szCs w:val="18"/>
              </w:rPr>
              <w:t>Intermediate care assessment teams</w:t>
            </w:r>
          </w:p>
        </w:tc>
      </w:tr>
      <w:tr w:rsidR="00AD394F" w:rsidRPr="004C78D8" w14:paraId="468523F5" w14:textId="77777777" w:rsidTr="002828C1">
        <w:trPr>
          <w:trHeight w:val="367"/>
        </w:trPr>
        <w:tc>
          <w:tcPr>
            <w:tcW w:w="3681" w:type="dxa"/>
          </w:tcPr>
          <w:p w14:paraId="30EDC6D4" w14:textId="77777777" w:rsidR="00AD394F" w:rsidRPr="004C78D8" w:rsidRDefault="00AD394F" w:rsidP="00FB7C1F">
            <w:pPr>
              <w:jc w:val="left"/>
              <w:rPr>
                <w:sz w:val="18"/>
                <w:szCs w:val="18"/>
              </w:rPr>
            </w:pPr>
            <w:r w:rsidRPr="004C78D8">
              <w:rPr>
                <w:sz w:val="18"/>
                <w:szCs w:val="18"/>
              </w:rPr>
              <w:t>Intermediate care beds for stroke and orthogeriatrics</w:t>
            </w:r>
          </w:p>
        </w:tc>
        <w:tc>
          <w:tcPr>
            <w:tcW w:w="3685" w:type="dxa"/>
            <w:tcBorders>
              <w:bottom w:val="nil"/>
            </w:tcBorders>
          </w:tcPr>
          <w:p w14:paraId="2CF17794" w14:textId="77777777" w:rsidR="00AD394F" w:rsidRPr="004C78D8" w:rsidRDefault="00AD394F" w:rsidP="00FB7C1F">
            <w:pPr>
              <w:jc w:val="left"/>
              <w:rPr>
                <w:sz w:val="18"/>
                <w:szCs w:val="18"/>
              </w:rPr>
            </w:pPr>
          </w:p>
        </w:tc>
      </w:tr>
      <w:tr w:rsidR="00AD394F" w:rsidRPr="004C78D8" w14:paraId="37A57DB2" w14:textId="77777777" w:rsidTr="002828C1">
        <w:trPr>
          <w:trHeight w:val="350"/>
        </w:trPr>
        <w:tc>
          <w:tcPr>
            <w:tcW w:w="3681" w:type="dxa"/>
          </w:tcPr>
          <w:p w14:paraId="7CC15ADF" w14:textId="77777777" w:rsidR="00AD394F" w:rsidRPr="004C78D8" w:rsidRDefault="00AD394F" w:rsidP="00FB7C1F">
            <w:pPr>
              <w:jc w:val="left"/>
              <w:rPr>
                <w:sz w:val="18"/>
                <w:szCs w:val="18"/>
              </w:rPr>
            </w:pPr>
            <w:r w:rsidRPr="004C78D8">
              <w:rPr>
                <w:sz w:val="18"/>
                <w:szCs w:val="18"/>
              </w:rPr>
              <w:t>Single Point of Access (SPA) – 24/7 multidisciplinary response team</w:t>
            </w:r>
          </w:p>
        </w:tc>
        <w:tc>
          <w:tcPr>
            <w:tcW w:w="3685" w:type="dxa"/>
            <w:tcBorders>
              <w:top w:val="nil"/>
              <w:bottom w:val="nil"/>
            </w:tcBorders>
          </w:tcPr>
          <w:p w14:paraId="20C81A4B" w14:textId="77777777" w:rsidR="00AD394F" w:rsidRPr="004C78D8" w:rsidRDefault="00AD394F" w:rsidP="00FB7C1F">
            <w:pPr>
              <w:jc w:val="left"/>
              <w:rPr>
                <w:sz w:val="18"/>
                <w:szCs w:val="18"/>
              </w:rPr>
            </w:pPr>
          </w:p>
        </w:tc>
      </w:tr>
      <w:tr w:rsidR="00AD394F" w:rsidRPr="004C78D8" w14:paraId="4F547A35" w14:textId="77777777" w:rsidTr="002828C1">
        <w:trPr>
          <w:trHeight w:val="279"/>
        </w:trPr>
        <w:tc>
          <w:tcPr>
            <w:tcW w:w="3681" w:type="dxa"/>
          </w:tcPr>
          <w:p w14:paraId="62D3F652" w14:textId="77777777" w:rsidR="00AD394F" w:rsidRPr="004C78D8" w:rsidRDefault="00AD394F" w:rsidP="00FB7C1F">
            <w:pPr>
              <w:jc w:val="left"/>
              <w:rPr>
                <w:sz w:val="18"/>
                <w:szCs w:val="18"/>
              </w:rPr>
            </w:pPr>
            <w:r w:rsidRPr="004C78D8">
              <w:rPr>
                <w:sz w:val="18"/>
                <w:szCs w:val="18"/>
              </w:rPr>
              <w:t>Length of stay and discharge team</w:t>
            </w:r>
          </w:p>
        </w:tc>
        <w:tc>
          <w:tcPr>
            <w:tcW w:w="3685" w:type="dxa"/>
            <w:tcBorders>
              <w:top w:val="nil"/>
              <w:bottom w:val="nil"/>
            </w:tcBorders>
          </w:tcPr>
          <w:p w14:paraId="789D8DC3" w14:textId="77777777" w:rsidR="00AD394F" w:rsidRPr="004C78D8" w:rsidRDefault="00AD394F" w:rsidP="00FB7C1F">
            <w:pPr>
              <w:jc w:val="left"/>
              <w:rPr>
                <w:sz w:val="18"/>
                <w:szCs w:val="18"/>
              </w:rPr>
            </w:pPr>
          </w:p>
        </w:tc>
      </w:tr>
      <w:tr w:rsidR="00AD394F" w:rsidRPr="004C78D8" w14:paraId="467B3411" w14:textId="77777777" w:rsidTr="002828C1">
        <w:trPr>
          <w:trHeight w:val="199"/>
        </w:trPr>
        <w:tc>
          <w:tcPr>
            <w:tcW w:w="3681" w:type="dxa"/>
          </w:tcPr>
          <w:p w14:paraId="76E13392" w14:textId="77777777" w:rsidR="00AD394F" w:rsidRPr="004C78D8" w:rsidRDefault="00AD394F" w:rsidP="00FB7C1F">
            <w:pPr>
              <w:jc w:val="left"/>
              <w:rPr>
                <w:sz w:val="18"/>
                <w:szCs w:val="18"/>
              </w:rPr>
            </w:pPr>
            <w:r w:rsidRPr="004C78D8">
              <w:rPr>
                <w:sz w:val="18"/>
                <w:szCs w:val="18"/>
              </w:rPr>
              <w:t>Falls prevention service</w:t>
            </w:r>
          </w:p>
        </w:tc>
        <w:tc>
          <w:tcPr>
            <w:tcW w:w="3685" w:type="dxa"/>
            <w:tcBorders>
              <w:top w:val="nil"/>
              <w:bottom w:val="nil"/>
            </w:tcBorders>
          </w:tcPr>
          <w:p w14:paraId="38844C98" w14:textId="77777777" w:rsidR="00AD394F" w:rsidRPr="004C78D8" w:rsidRDefault="00AD394F" w:rsidP="00FB7C1F">
            <w:pPr>
              <w:jc w:val="left"/>
              <w:rPr>
                <w:sz w:val="18"/>
                <w:szCs w:val="18"/>
              </w:rPr>
            </w:pPr>
          </w:p>
        </w:tc>
      </w:tr>
      <w:tr w:rsidR="00AD394F" w:rsidRPr="004C78D8" w14:paraId="50DAEDC5" w14:textId="77777777" w:rsidTr="002828C1">
        <w:trPr>
          <w:trHeight w:val="223"/>
        </w:trPr>
        <w:tc>
          <w:tcPr>
            <w:tcW w:w="7366" w:type="dxa"/>
            <w:gridSpan w:val="2"/>
          </w:tcPr>
          <w:p w14:paraId="7F8949A3" w14:textId="7356B770" w:rsidR="00AD394F" w:rsidRPr="004C78D8" w:rsidRDefault="00D10D5E" w:rsidP="00FB7C1F">
            <w:pPr>
              <w:jc w:val="left"/>
              <w:rPr>
                <w:sz w:val="20"/>
                <w:szCs w:val="20"/>
              </w:rPr>
            </w:pPr>
            <w:r w:rsidRPr="004C78D8">
              <w:rPr>
                <w:b/>
                <w:bCs/>
                <w:sz w:val="18"/>
                <w:szCs w:val="18"/>
              </w:rPr>
              <w:t>Abbreviation</w:t>
            </w:r>
            <w:r w:rsidR="000E3B6A" w:rsidRPr="004C78D8">
              <w:rPr>
                <w:b/>
                <w:bCs/>
                <w:sz w:val="18"/>
                <w:szCs w:val="18"/>
              </w:rPr>
              <w:t>:</w:t>
            </w:r>
            <w:r w:rsidR="000E3B6A" w:rsidRPr="004C78D8">
              <w:rPr>
                <w:sz w:val="18"/>
                <w:szCs w:val="18"/>
              </w:rPr>
              <w:t xml:space="preserve"> </w:t>
            </w:r>
            <w:r w:rsidR="00AD394F" w:rsidRPr="004C78D8">
              <w:rPr>
                <w:sz w:val="18"/>
                <w:szCs w:val="18"/>
              </w:rPr>
              <w:t>CCG: Clinical Commissioning Group</w:t>
            </w:r>
          </w:p>
        </w:tc>
      </w:tr>
    </w:tbl>
    <w:p w14:paraId="79E08CA2" w14:textId="77777777" w:rsidR="00AD394F" w:rsidRPr="004C78D8" w:rsidRDefault="00AD394F" w:rsidP="00FB7C1F"/>
    <w:p w14:paraId="36801C89" w14:textId="7008913D" w:rsidR="00AD394F" w:rsidRPr="004C78D8" w:rsidRDefault="00AD394F" w:rsidP="00FB7C1F">
      <w:r w:rsidRPr="004C78D8">
        <w:t>The list contains diverse professional-led teams with no specific geriatric public health objectives (except for stroke and orthogeriatric beds and falls prevention service) but rather concerns the capacity to deliver gener</w:t>
      </w:r>
      <w:r w:rsidR="008940EC" w:rsidRPr="004C78D8">
        <w:t>al</w:t>
      </w:r>
      <w:r w:rsidRPr="004C78D8">
        <w:t xml:space="preserve"> geriatric care in </w:t>
      </w:r>
      <w:r w:rsidR="00287C8C" w:rsidRPr="004C78D8">
        <w:t xml:space="preserve">an </w:t>
      </w:r>
      <w:r w:rsidRPr="004C78D8">
        <w:t>out-of-hospital setting.</w:t>
      </w:r>
      <w:r w:rsidRPr="004C78D8">
        <w:rPr>
          <w:rStyle w:val="FootnoteReference"/>
        </w:rPr>
        <w:footnoteReference w:id="2"/>
      </w:r>
      <w:r w:rsidRPr="004C78D8">
        <w:t xml:space="preserve"> Moreover, the focus is largely on post-discharge rehabilitation</w:t>
      </w:r>
      <w:r w:rsidR="000A00E8" w:rsidRPr="004C78D8">
        <w:t xml:space="preserve"> (e.g., </w:t>
      </w:r>
      <w:r w:rsidRPr="004C78D8">
        <w:t>CICS and STIT were both intermediate care teams</w:t>
      </w:r>
      <w:r w:rsidR="000A00E8" w:rsidRPr="004C78D8">
        <w:t>)</w:t>
      </w:r>
      <w:r w:rsidRPr="004C78D8">
        <w:t xml:space="preserve"> rather than on primary prevention. Therefore, the appropriate study design for AS&amp;R appeared to be an economic evaluation alongside a short-term quasi- or non-experimental (e.g., propensity score matching) intervention study using the CCG routine data, such as the evaluation conducted using the Hospital Episode Statistics for all English </w:t>
      </w:r>
      <w:r w:rsidR="00B3411A" w:rsidRPr="004C78D8">
        <w:t>BCF</w:t>
      </w:r>
      <w:r w:rsidRPr="004C78D8">
        <w:t xml:space="preserve"> initiatives in 2014/15 </w:t>
      </w:r>
      <w:r w:rsidRPr="004C78D8">
        <w:fldChar w:fldCharType="begin"/>
      </w:r>
      <w:r w:rsidR="00513646" w:rsidRPr="004C78D8">
        <w:instrText xml:space="preserve"> ADDIN EN.CITE &lt;EndNote&gt;&lt;Cite&gt;&lt;Author&gt;Stokes&lt;/Author&gt;&lt;Year&gt;2019&lt;/Year&gt;&lt;RecNum&gt;488&lt;/RecNum&gt;&lt;DisplayText&gt;[163]&lt;/DisplayText&gt;&lt;record&gt;&lt;rec-number&gt;488&lt;/rec-number&gt;&lt;foreign-keys&gt;&lt;key app="EN" db-id="tdtrdw9aepptzbefsat599syza29sxsd2wsp" timestamp="1616702990"&gt;488&lt;/key&gt;&lt;/foreign-keys&gt;&lt;ref-type name="Journal Article"&gt;17&lt;/ref-type&gt;&lt;contributors&gt;&lt;authors&gt;&lt;author&gt;Stokes, Jonathan&lt;/author&gt;&lt;author&gt;Lau, Yiu-Shing&lt;/author&gt;&lt;author&gt;Kristensen, Søren Rud&lt;/author&gt;&lt;author&gt;Sutton, Matt&lt;/author&gt;&lt;/authors&gt;&lt;/contributors&gt;&lt;titles&gt;&lt;title&gt;Does pooling health &amp;amp; social care budgets reduce hospital use and lower costs?&lt;/title&gt;&lt;secondary-title&gt;Social Science &amp;amp; Medicine&lt;/secondary-title&gt;&lt;/titles&gt;&lt;periodical&gt;&lt;full-title&gt;Social science &amp;amp; medicine&lt;/full-title&gt;&lt;/periodical&gt;&lt;pages&gt;382-388&lt;/pages&gt;&lt;volume&gt;232&lt;/volume&gt;&lt;dates&gt;&lt;year&gt;2019&lt;/year&gt;&lt;/dates&gt;&lt;isbn&gt;0277-9536&lt;/isbn&gt;&lt;urls&gt;&lt;/urls&gt;&lt;/record&gt;&lt;/Cite&gt;&lt;/EndNote&gt;</w:instrText>
      </w:r>
      <w:r w:rsidRPr="004C78D8">
        <w:fldChar w:fldCharType="separate"/>
      </w:r>
      <w:r w:rsidR="00513646" w:rsidRPr="004C78D8">
        <w:rPr>
          <w:noProof/>
        </w:rPr>
        <w:t>[163]</w:t>
      </w:r>
      <w:r w:rsidRPr="004C78D8">
        <w:fldChar w:fldCharType="end"/>
      </w:r>
      <w:r w:rsidRPr="004C78D8">
        <w:t xml:space="preserve">. Such </w:t>
      </w:r>
      <w:r w:rsidR="000A00E8" w:rsidRPr="004C78D8">
        <w:t>design</w:t>
      </w:r>
      <w:r w:rsidRPr="004C78D8">
        <w:t xml:space="preserve"> </w:t>
      </w:r>
      <w:r w:rsidR="000A00E8" w:rsidRPr="004C78D8">
        <w:t xml:space="preserve">did not match </w:t>
      </w:r>
      <w:r w:rsidRPr="004C78D8">
        <w:t xml:space="preserve">the commitment in this </w:t>
      </w:r>
      <w:r w:rsidR="00103FD1" w:rsidRPr="004C78D8">
        <w:t xml:space="preserve">research </w:t>
      </w:r>
      <w:r w:rsidR="00FB255C" w:rsidRPr="004C78D8">
        <w:lastRenderedPageBreak/>
        <w:t>to study</w:t>
      </w:r>
      <w:r w:rsidR="00397866" w:rsidRPr="004C78D8">
        <w:t>ing</w:t>
      </w:r>
      <w:r w:rsidRPr="004C78D8">
        <w:t xml:space="preserve"> the </w:t>
      </w:r>
      <w:r w:rsidR="000A00E8" w:rsidRPr="004C78D8">
        <w:t>broad</w:t>
      </w:r>
      <w:r w:rsidRPr="004C78D8">
        <w:t xml:space="preserve"> determinants of geriatric health and evaluat</w:t>
      </w:r>
      <w:r w:rsidR="00397866" w:rsidRPr="004C78D8">
        <w:t>ing</w:t>
      </w:r>
      <w:r w:rsidRPr="004C78D8">
        <w:t xml:space="preserve"> the </w:t>
      </w:r>
      <w:r w:rsidR="000A00E8" w:rsidRPr="004C78D8">
        <w:t>long-term</w:t>
      </w:r>
      <w:r w:rsidRPr="004C78D8">
        <w:t xml:space="preserve"> impact of interventions </w:t>
      </w:r>
      <w:r w:rsidR="00FB255C" w:rsidRPr="004C78D8">
        <w:t>via decision modelling</w:t>
      </w:r>
      <w:r w:rsidRPr="004C78D8">
        <w:t xml:space="preserve">. </w:t>
      </w:r>
    </w:p>
    <w:p w14:paraId="6BD38D02" w14:textId="2975ACA0" w:rsidR="00AD394F" w:rsidRPr="004C78D8" w:rsidRDefault="00AD394F" w:rsidP="00FB7C1F">
      <w:r w:rsidRPr="004C78D8">
        <w:t xml:space="preserve">Furthermore, even if such single-vehicle evaluation were undertaken, it would face </w:t>
      </w:r>
      <w:r w:rsidR="00B3411A" w:rsidRPr="004C78D8">
        <w:t>several challenges</w:t>
      </w:r>
      <w:r w:rsidR="002C5FEB" w:rsidRPr="004C78D8">
        <w:t xml:space="preserve"> highlighted</w:t>
      </w:r>
      <w:r w:rsidRPr="004C78D8">
        <w:t xml:space="preserve"> by integrated care evaluation experts </w:t>
      </w:r>
      <w:r w:rsidRPr="004C78D8">
        <w:fldChar w:fldCharType="begin"/>
      </w:r>
      <w:r w:rsidR="00513646" w:rsidRPr="004C78D8">
        <w:instrText xml:space="preserve"> ADDIN EN.CITE &lt;EndNote&gt;&lt;Cite&gt;&lt;Author&gt;Kumpunen&lt;/Author&gt;&lt;Year&gt;2020&lt;/Year&gt;&lt;RecNum&gt;12&lt;/RecNum&gt;&lt;DisplayText&gt;[121]&lt;/DisplayText&gt;&lt;record&gt;&lt;rec-number&gt;12&lt;/rec-number&gt;&lt;foreign-keys&gt;&lt;key app="EN" db-id="tdtrdw9aepptzbefsat599syza29sxsd2wsp" timestamp="1596618991"&gt;12&lt;/key&gt;&lt;/foreign-keys&gt;&lt;ref-type name="Journal Article"&gt;17&lt;/ref-type&gt;&lt;contributors&gt;&lt;authors&gt;&lt;author&gt;Kumpunen, Stephanie&lt;/author&gt;&lt;author&gt;Edwards, Nigel&lt;/author&gt;&lt;author&gt;Georghiou, Theo&lt;/author&gt;&lt;author&gt;Hughes, Gemma&lt;/author&gt;&lt;/authors&gt;&lt;/contributors&gt;&lt;titles&gt;&lt;title&gt;Why do evaluations of integrated care not produce the results we expect?&lt;/title&gt;&lt;secondary-title&gt;International Journal of Care Coordination&lt;/secondary-title&gt;&lt;/titles&gt;&lt;periodical&gt;&lt;full-title&gt;International Journal of Care Coordination&lt;/full-title&gt;&lt;/periodical&gt;&lt;pages&gt;2053434520909089&lt;/pages&gt;&lt;dates&gt;&lt;year&gt;2020&lt;/year&gt;&lt;/dates&gt;&lt;isbn&gt;2053-4345&lt;/isbn&gt;&lt;urls&gt;&lt;/urls&gt;&lt;/record&gt;&lt;/Cite&gt;&lt;/EndNote&gt;</w:instrText>
      </w:r>
      <w:r w:rsidRPr="004C78D8">
        <w:fldChar w:fldCharType="separate"/>
      </w:r>
      <w:r w:rsidR="00513646" w:rsidRPr="004C78D8">
        <w:rPr>
          <w:noProof/>
        </w:rPr>
        <w:t>[121]</w:t>
      </w:r>
      <w:r w:rsidRPr="004C78D8">
        <w:fldChar w:fldCharType="end"/>
      </w:r>
      <w:r w:rsidRPr="004C78D8">
        <w:t xml:space="preserve">, namely: (a) ‘problem with the [therapeutic] model’; and (b) ‘problem with evaluation’. </w:t>
      </w:r>
      <w:r w:rsidR="004911E7" w:rsidRPr="004C78D8">
        <w:t>Problem (a)</w:t>
      </w:r>
      <w:r w:rsidRPr="004C78D8">
        <w:t xml:space="preserve"> concerns the lack of clear understanding on which components and mechanisms of </w:t>
      </w:r>
      <w:r w:rsidR="002C5FEB" w:rsidRPr="004C78D8">
        <w:t>the combined scheme</w:t>
      </w:r>
      <w:r w:rsidRPr="004C78D8">
        <w:t xml:space="preserve"> contributes to the desired effect, while </w:t>
      </w:r>
      <w:r w:rsidR="004911E7" w:rsidRPr="004C78D8">
        <w:t>problem (b)</w:t>
      </w:r>
      <w:r w:rsidRPr="004C78D8">
        <w:t xml:space="preserve"> concerns the often too-short time horizon of primary evaluations. For AS&amp;R, </w:t>
      </w:r>
      <w:r w:rsidR="004911E7" w:rsidRPr="004C78D8">
        <w:t>problem (a)</w:t>
      </w:r>
      <w:r w:rsidRPr="004C78D8">
        <w:t xml:space="preserve"> is particularly acute </w:t>
      </w:r>
      <w:r w:rsidR="002C5FEB" w:rsidRPr="004C78D8">
        <w:t>since</w:t>
      </w:r>
      <w:r w:rsidRPr="004C78D8">
        <w:t xml:space="preserve"> the scheme combines several components without prior </w:t>
      </w:r>
      <w:r w:rsidR="002C5FEB" w:rsidRPr="004C78D8">
        <w:t xml:space="preserve">exploration of </w:t>
      </w:r>
      <w:r w:rsidRPr="004C78D8">
        <w:t xml:space="preserve">their individual effectiveness. </w:t>
      </w:r>
    </w:p>
    <w:p w14:paraId="2DD56C61" w14:textId="2D802BC9" w:rsidR="00AD394F" w:rsidRPr="004C78D8" w:rsidRDefault="00AD394F" w:rsidP="00FB7C1F">
      <w:r w:rsidRPr="004C78D8">
        <w:t xml:space="preserve">Therefore, a joint decision was made with system owners in July 2018 to focus on evaluating the falls prevention aspect of AS&amp;R, while also extending the problem boundary beyond </w:t>
      </w:r>
      <w:r w:rsidR="004911E7" w:rsidRPr="004C78D8">
        <w:t>post-discharge</w:t>
      </w:r>
      <w:r w:rsidRPr="004C78D8">
        <w:t xml:space="preserve"> rehabilitation to understanding the full range and trajectories of falls risk factors and </w:t>
      </w:r>
      <w:r w:rsidR="004911E7" w:rsidRPr="004C78D8">
        <w:t xml:space="preserve">other intervention </w:t>
      </w:r>
      <w:r w:rsidR="00FB47EB" w:rsidRPr="004C78D8">
        <w:t xml:space="preserve">strategies </w:t>
      </w:r>
      <w:r w:rsidR="00103FD1" w:rsidRPr="004C78D8">
        <w:t>involving</w:t>
      </w:r>
      <w:r w:rsidR="004911E7" w:rsidRPr="004C78D8">
        <w:t xml:space="preserve"> primary prevention.</w:t>
      </w:r>
      <w:r w:rsidRPr="004C78D8">
        <w:t xml:space="preserve"> </w:t>
      </w:r>
    </w:p>
    <w:p w14:paraId="7415728C" w14:textId="77777777" w:rsidR="00F20C84" w:rsidRPr="004C78D8" w:rsidRDefault="00F20C84" w:rsidP="00FB7C1F"/>
    <w:p w14:paraId="6FAB9961" w14:textId="6E67808F" w:rsidR="00AD394F" w:rsidRPr="004C78D8" w:rsidRDefault="00AD394F" w:rsidP="00FB7C1F">
      <w:pPr>
        <w:pStyle w:val="Heading3"/>
      </w:pPr>
      <w:bookmarkStart w:id="74" w:name="_Toc111630724"/>
      <w:r w:rsidRPr="004C78D8">
        <w:t>3.4.2 Economic evaluation of community-based falls prevention</w:t>
      </w:r>
      <w:bookmarkEnd w:id="74"/>
    </w:p>
    <w:p w14:paraId="751DC89F" w14:textId="6CA7C7F1" w:rsidR="008D5788" w:rsidRPr="004C78D8" w:rsidRDefault="00AD394F" w:rsidP="00FB7C1F">
      <w:r w:rsidRPr="004C78D8">
        <w:t xml:space="preserve">Evaluation of community-based falls prevention inherits the core objectives of AS&amp;R, namely: reduction of public sector acute and </w:t>
      </w:r>
      <w:r w:rsidR="00D65A57" w:rsidRPr="004C78D8">
        <w:t>LTC</w:t>
      </w:r>
      <w:r w:rsidRPr="004C78D8">
        <w:t xml:space="preserve"> costs; provision of holistic person-centred care in out-of-hospital setting; maintaining independence of older people (e.g., preventing permanent </w:t>
      </w:r>
      <w:r w:rsidR="0007404C" w:rsidRPr="004C78D8">
        <w:t>LTC</w:t>
      </w:r>
      <w:r w:rsidRPr="004C78D8">
        <w:t xml:space="preserve"> admissions); addressing wide determinants of falls risk and falls severity; and active participation of clinical and nonclinical community members in service design and implementation. </w:t>
      </w:r>
      <w:r w:rsidR="00D65A57" w:rsidRPr="004C78D8">
        <w:t>The community focus</w:t>
      </w:r>
      <w:r w:rsidRPr="004C78D8">
        <w:t xml:space="preserve"> </w:t>
      </w:r>
      <w:r w:rsidR="00D65A57" w:rsidRPr="004C78D8">
        <w:t>excluded</w:t>
      </w:r>
      <w:r w:rsidRPr="004C78D8">
        <w:t xml:space="preserve"> falls prevention </w:t>
      </w:r>
      <w:r w:rsidR="00D65A57" w:rsidRPr="004C78D8">
        <w:t xml:space="preserve">initiatives </w:t>
      </w:r>
      <w:r w:rsidRPr="004C78D8">
        <w:t xml:space="preserve">in </w:t>
      </w:r>
      <w:r w:rsidR="00FC44AD" w:rsidRPr="004C78D8">
        <w:t>LTC</w:t>
      </w:r>
      <w:r w:rsidRPr="004C78D8">
        <w:t xml:space="preserve"> and hospital inpatient settings </w:t>
      </w:r>
      <w:r w:rsidR="00FF71C4" w:rsidRPr="004C78D8">
        <w:t>despite these</w:t>
      </w:r>
      <w:r w:rsidRPr="004C78D8">
        <w:t xml:space="preserve"> being </w:t>
      </w:r>
      <w:r w:rsidR="00EC7CE3" w:rsidRPr="004C78D8">
        <w:t xml:space="preserve">major </w:t>
      </w:r>
      <w:r w:rsidRPr="004C78D8">
        <w:t xml:space="preserve">falls prevention </w:t>
      </w:r>
      <w:r w:rsidR="00684657" w:rsidRPr="004C78D8">
        <w:t xml:space="preserve">arenas </w:t>
      </w:r>
      <w:r w:rsidRPr="004C78D8">
        <w:fldChar w:fldCharType="begin"/>
      </w:r>
      <w:r w:rsidR="00C630FC" w:rsidRPr="004C78D8">
        <w:instrText xml:space="preserve"> ADDIN EN.CITE &lt;EndNote&gt;&lt;Cite&gt;&lt;Author&gt;Cameron&lt;/Author&gt;&lt;Year&gt;2012&lt;/Year&gt;&lt;RecNum&gt;559&lt;/RecNum&gt;&lt;DisplayText&gt;[223, 224]&lt;/DisplayText&gt;&lt;record&gt;&lt;rec-number&gt;559&lt;/rec-number&gt;&lt;foreign-keys&gt;&lt;key app="EN" db-id="tdtrdw9aepptzbefsat599syza29sxsd2wsp" timestamp="1619634902"&gt;559&lt;/key&gt;&lt;/foreign-keys&gt;&lt;ref-type name="Journal Article"&gt;17&lt;/ref-type&gt;&lt;contributors&gt;&lt;authors&gt;&lt;author&gt;Cameron, IDGL&lt;/author&gt;&lt;author&gt;Gillespie, L&lt;/author&gt;&lt;author&gt;Robertson, C&lt;/author&gt;&lt;author&gt;Murray, G&lt;/author&gt;&lt;author&gt;Hill, Keith&lt;/author&gt;&lt;author&gt;Cumming, R&lt;/author&gt;&lt;author&gt;Kerse, Ngaire&lt;/author&gt;&lt;/authors&gt;&lt;/contributors&gt;&lt;titles&gt;&lt;title&gt;Interventions for preventing falls in older people in care facilities and hospitals&lt;/title&gt;&lt;secondary-title&gt;Cochrane database of systematic reviews&lt;/secondary-title&gt;&lt;/titles&gt;&lt;periodical&gt;&lt;full-title&gt;Cochrane database of systematic reviews&lt;/full-title&gt;&lt;/periodical&gt;&lt;pages&gt;CD005465-1&lt;/pages&gt;&lt;volume&gt;12&lt;/volume&gt;&lt;dates&gt;&lt;year&gt;2012&lt;/year&gt;&lt;/dates&gt;&lt;urls&gt;&lt;/urls&gt;&lt;/record&gt;&lt;/Cite&gt;&lt;Cite&gt;&lt;Author&gt;Nyman&lt;/Author&gt;&lt;Year&gt;2011&lt;/Year&gt;&lt;RecNum&gt;560&lt;/RecNum&gt;&lt;record&gt;&lt;rec-number&gt;560&lt;/rec-number&gt;&lt;foreign-keys&gt;&lt;key app="EN" db-id="tdtrdw9aepptzbefsat599syza29sxsd2wsp" timestamp="1619634944"&gt;560&lt;/key&gt;&lt;/foreign-keys&gt;&lt;ref-type name="Journal Article"&gt;17&lt;/ref-type&gt;&lt;contributors&gt;&lt;authors&gt;&lt;author&gt;Nyman, Samuel R&lt;/author&gt;&lt;author&gt;Victor, Christina R&lt;/author&gt;&lt;/authors&gt;&lt;/contributors&gt;&lt;titles&gt;&lt;title&gt;Older people&amp;apos;s recruitment, sustained participation, and adherence to falls prevention interventions in institutional settings: a supplement to the Cochrane systematic review&lt;/title&gt;&lt;secondary-title&gt;Age and Ageing&lt;/secondary-title&gt;&lt;/titles&gt;&lt;periodical&gt;&lt;full-title&gt;Age and ageing&lt;/full-title&gt;&lt;/periodical&gt;&lt;pages&gt;430-436&lt;/pages&gt;&lt;volume&gt;40&lt;/volume&gt;&lt;number&gt;4&lt;/number&gt;&lt;dates&gt;&lt;year&gt;2011&lt;/year&gt;&lt;/dates&gt;&lt;isbn&gt;1468-2834&lt;/isbn&gt;&lt;urls&gt;&lt;/urls&gt;&lt;/record&gt;&lt;/Cite&gt;&lt;/EndNote&gt;</w:instrText>
      </w:r>
      <w:r w:rsidRPr="004C78D8">
        <w:fldChar w:fldCharType="separate"/>
      </w:r>
      <w:r w:rsidR="00C630FC" w:rsidRPr="004C78D8">
        <w:rPr>
          <w:noProof/>
        </w:rPr>
        <w:t>[223, 224]</w:t>
      </w:r>
      <w:r w:rsidRPr="004C78D8">
        <w:fldChar w:fldCharType="end"/>
      </w:r>
      <w:r w:rsidRPr="004C78D8">
        <w:t>.</w:t>
      </w:r>
      <w:r w:rsidR="00ED645E" w:rsidRPr="004C78D8">
        <w:t xml:space="preserve"> </w:t>
      </w:r>
      <w:r w:rsidR="008229DF" w:rsidRPr="004C78D8">
        <w:t xml:space="preserve">The PHP asked for the starting age of the geriatric target population to be set as low as possible to promote primary prevention (Document 2 in Appendix B). </w:t>
      </w:r>
      <w:r w:rsidR="008D5788" w:rsidRPr="004C78D8">
        <w:t xml:space="preserve">The Sheffield commissioners oversee a geographical jurisdiction rather than a specific cohort (e.g., those aged 60+ in year 2021); the target population hence includes community-dwelling cohorts who newly enter the target age range during the analysis horizon. </w:t>
      </w:r>
    </w:p>
    <w:p w14:paraId="563427B9" w14:textId="27F505F2" w:rsidR="00922C32" w:rsidRPr="004C78D8" w:rsidRDefault="00914890" w:rsidP="00FB7C1F">
      <w:r w:rsidRPr="004C78D8">
        <w:t>T</w:t>
      </w:r>
      <w:r w:rsidR="00922C32" w:rsidRPr="004C78D8">
        <w:t xml:space="preserve">he preferred evaluation framework for the CCG and SCC was ROI from the public sector perspective over a time horizon of five years </w:t>
      </w:r>
      <w:r w:rsidR="00922C32" w:rsidRPr="004C78D8">
        <w:fldChar w:fldCharType="begin"/>
      </w:r>
      <w:r w:rsidR="00C630FC" w:rsidRPr="004C78D8">
        <w:instrText xml:space="preserve"> ADDIN EN.CITE &lt;EndNote&gt;&lt;Cite&gt;&lt;Author&gt;National Institute for Health and Care Excellence&lt;/Author&gt;&lt;Year&gt;2011&lt;/Year&gt;&lt;RecNum&gt;363&lt;/RecNum&gt;&lt;DisplayText&gt;[144, 216]&lt;/DisplayText&gt;&lt;record&gt;&lt;rec-number&gt;363&lt;/rec-number&gt;&lt;foreign-keys&gt;&lt;key app="EN" db-id="tdtrdw9aepptzbefsat599syza29sxsd2wsp" timestamp="1612267754"&gt;363&lt;/key&gt;&lt;/foreign-keys&gt;&lt;ref-type name="Journal Article"&gt;17&lt;/ref-type&gt;&lt;contributors&gt;&lt;authors&gt;&lt;author&gt;National Institute for Health and Care Excellence,&lt;/author&gt;&lt;/authors&gt;&lt;/contributors&gt;&lt;titles&gt;&lt;title&gt;Supporting investment in public health: Review of methods for assessing cost effectiveness, cost impact and return on investment&lt;/title&gt;&lt;secondary-title&gt;London: NICE&lt;/secondary-title&gt;&lt;/titles&gt;&lt;periodical&gt;&lt;full-title&gt;London: NICE&lt;/full-title&gt;&lt;/periodical&gt;&lt;dates&gt;&lt;year&gt;2011&lt;/year&gt;&lt;/dates&gt;&lt;urls&gt;&lt;/urls&gt;&lt;/record&gt;&lt;/Cite&gt;&lt;Cite&gt;&lt;Author&gt;Public Health England&lt;/Author&gt;&lt;Year&gt;2018&lt;/Year&gt;&lt;RecNum&gt;305&lt;/RecNum&gt;&lt;record&gt;&lt;rec-number&gt;305&lt;/rec-number&gt;&lt;foreign-keys&gt;&lt;key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00922C32" w:rsidRPr="004C78D8">
        <w:fldChar w:fldCharType="separate"/>
      </w:r>
      <w:r w:rsidR="00C630FC" w:rsidRPr="004C78D8">
        <w:rPr>
          <w:noProof/>
        </w:rPr>
        <w:t>[144, 216]</w:t>
      </w:r>
      <w:r w:rsidR="00922C32" w:rsidRPr="004C78D8">
        <w:fldChar w:fldCharType="end"/>
      </w:r>
      <w:r w:rsidR="00922C32" w:rsidRPr="004C78D8">
        <w:t xml:space="preserve">. This was confirmed by the PHP, CCG commissioners and SCC health economist (Documents </w:t>
      </w:r>
      <w:r w:rsidR="000177CA" w:rsidRPr="004C78D8">
        <w:t>3</w:t>
      </w:r>
      <w:r w:rsidR="00922C32" w:rsidRPr="004C78D8">
        <w:t>-</w:t>
      </w:r>
      <w:r w:rsidR="000177CA" w:rsidRPr="004C78D8">
        <w:t>5</w:t>
      </w:r>
      <w:r w:rsidR="00922C32" w:rsidRPr="004C78D8">
        <w:t xml:space="preserve"> in Appendix B). That said, the PHP confirmed that the model</w:t>
      </w:r>
      <w:r w:rsidRPr="004C78D8">
        <w:t>-based evaluation</w:t>
      </w:r>
      <w:r w:rsidR="00922C32" w:rsidRPr="004C78D8">
        <w:t xml:space="preserve"> need not be confined to this organisational mandate and should track wider outcomes over a longer time horizon. </w:t>
      </w:r>
      <w:r w:rsidRPr="004C78D8">
        <w:t xml:space="preserve">This is arguably more consistent with the objectives of AS&amp;R to provide holistic person-centred care and maintain independence of older people; various health and </w:t>
      </w:r>
      <w:r w:rsidR="001B03B2" w:rsidRPr="004C78D8">
        <w:t>wellbeing</w:t>
      </w:r>
      <w:r w:rsidRPr="004C78D8">
        <w:t xml:space="preserve"> outcomes should be measured to track progress towards these objectives. </w:t>
      </w:r>
      <w:r w:rsidR="00922C32" w:rsidRPr="004C78D8">
        <w:t xml:space="preserve">Hence, the primary evaluation framework for the model will be CUA over a </w:t>
      </w:r>
      <w:r w:rsidRPr="004C78D8">
        <w:t>40-year</w:t>
      </w:r>
      <w:r w:rsidR="00922C32" w:rsidRPr="004C78D8">
        <w:t xml:space="preserve"> horizon (i.e., </w:t>
      </w:r>
      <w:r w:rsidRPr="004C78D8">
        <w:t xml:space="preserve">near </w:t>
      </w:r>
      <w:r w:rsidR="00922C32" w:rsidRPr="004C78D8">
        <w:t xml:space="preserve">lifetime for the initial cohort </w:t>
      </w:r>
      <w:r w:rsidRPr="004C78D8">
        <w:t xml:space="preserve">aged 60+ </w:t>
      </w:r>
      <w:r w:rsidR="00922C32" w:rsidRPr="004C78D8">
        <w:t xml:space="preserve">at model baseline, </w:t>
      </w:r>
      <w:r w:rsidRPr="004C78D8">
        <w:t xml:space="preserve">though </w:t>
      </w:r>
      <w:r w:rsidR="00922C32" w:rsidRPr="004C78D8">
        <w:t xml:space="preserve">not </w:t>
      </w:r>
      <w:r w:rsidRPr="004C78D8">
        <w:t xml:space="preserve">for </w:t>
      </w:r>
      <w:r w:rsidR="00922C32" w:rsidRPr="004C78D8">
        <w:t xml:space="preserve">newly incoming cohorts) and societal perspective to track </w:t>
      </w:r>
      <w:r w:rsidR="001B03B2" w:rsidRPr="004C78D8">
        <w:t xml:space="preserve">non-health </w:t>
      </w:r>
      <w:r w:rsidR="00922C32" w:rsidRPr="004C78D8">
        <w:t xml:space="preserve">outcomes </w:t>
      </w:r>
      <w:r w:rsidR="001B03B2" w:rsidRPr="004C78D8">
        <w:t xml:space="preserve">and societal intervention costs incurred </w:t>
      </w:r>
      <w:r w:rsidR="00922C32" w:rsidRPr="004C78D8">
        <w:t xml:space="preserve">outside the public sector. The five-year ROI outcomes are presented under the secondary evaluation framework. </w:t>
      </w:r>
    </w:p>
    <w:p w14:paraId="0524E7B4" w14:textId="77777777" w:rsidR="0082267D" w:rsidRPr="004C78D8" w:rsidRDefault="0082267D" w:rsidP="00FB7C1F"/>
    <w:p w14:paraId="1D527433" w14:textId="0CFDD219" w:rsidR="00AD394F" w:rsidRPr="004C78D8" w:rsidRDefault="00AD394F" w:rsidP="00FB7C1F">
      <w:pPr>
        <w:pStyle w:val="Heading2"/>
      </w:pPr>
      <w:bookmarkStart w:id="75" w:name="_Toc93566862"/>
      <w:bookmarkStart w:id="76" w:name="_Toc111630725"/>
      <w:r w:rsidRPr="004C78D8">
        <w:t>3.5 Why is this a problem?</w:t>
      </w:r>
      <w:bookmarkEnd w:id="75"/>
      <w:bookmarkEnd w:id="76"/>
    </w:p>
    <w:p w14:paraId="1C17FDC1" w14:textId="08800C64" w:rsidR="00A47391" w:rsidRPr="004C78D8" w:rsidRDefault="00A47391" w:rsidP="00FB7C1F">
      <w:r w:rsidRPr="004C78D8">
        <w:t xml:space="preserve">The rationale for </w:t>
      </w:r>
      <w:r w:rsidR="002F4D4F" w:rsidRPr="004C78D8">
        <w:t xml:space="preserve">community-based </w:t>
      </w:r>
      <w:r w:rsidRPr="004C78D8">
        <w:t>fall prevention was outlined in Section 1.3, particularly Sections 1.3.1 and 1.3.3</w:t>
      </w:r>
      <w:r w:rsidR="00825EAD" w:rsidRPr="004C78D8">
        <w:t>. T</w:t>
      </w:r>
      <w:r w:rsidRPr="004C78D8">
        <w:t xml:space="preserve">his section </w:t>
      </w:r>
      <w:r w:rsidR="00825EAD" w:rsidRPr="004C78D8">
        <w:t>further analyses</w:t>
      </w:r>
      <w:r w:rsidR="002F4D4F" w:rsidRPr="004C78D8">
        <w:t xml:space="preserve"> the rationale via a conceptual model</w:t>
      </w:r>
      <w:r w:rsidR="00484617" w:rsidRPr="004C78D8">
        <w:t xml:space="preserve"> in Figure 3.1 and arranges the concepts by the following themes: (1) </w:t>
      </w:r>
      <w:r w:rsidR="00B52F3C" w:rsidRPr="004C78D8">
        <w:t>outcome range of falls</w:t>
      </w:r>
      <w:r w:rsidR="003F2968" w:rsidRPr="004C78D8">
        <w:t xml:space="preserve"> and falls prevention</w:t>
      </w:r>
      <w:r w:rsidR="00484617" w:rsidRPr="004C78D8">
        <w:t xml:space="preserve"> (Section 3.5.1); (2) heterogeneity and dynamic complexity (Section 3.5.2); (3) behavioural </w:t>
      </w:r>
      <w:r w:rsidR="007B651F" w:rsidRPr="004C78D8">
        <w:t xml:space="preserve">factors </w:t>
      </w:r>
      <w:r w:rsidR="00484617" w:rsidRPr="004C78D8">
        <w:t xml:space="preserve">and implementation </w:t>
      </w:r>
      <w:r w:rsidR="00B52F3C" w:rsidRPr="004C78D8">
        <w:t>challenges</w:t>
      </w:r>
      <w:r w:rsidR="00484617" w:rsidRPr="004C78D8">
        <w:t xml:space="preserve"> (Section 3.5.3); and (4) issues of equity (Section 3.5.4)</w:t>
      </w:r>
      <w:r w:rsidR="002F4D4F" w:rsidRPr="004C78D8">
        <w:t xml:space="preserve">. </w:t>
      </w:r>
    </w:p>
    <w:p w14:paraId="25F66EA5" w14:textId="77777777" w:rsidR="00822AA7" w:rsidRPr="004C78D8" w:rsidRDefault="00822AA7" w:rsidP="00FB7C1F">
      <w:pPr>
        <w:sectPr w:rsidR="00822AA7" w:rsidRPr="004C78D8" w:rsidSect="004A7DF5">
          <w:footerReference w:type="default" r:id="rId14"/>
          <w:pgSz w:w="11906" w:h="16838"/>
          <w:pgMar w:top="1440" w:right="1440" w:bottom="1440" w:left="1440" w:header="708" w:footer="708" w:gutter="0"/>
          <w:pgNumType w:start="1"/>
          <w:cols w:space="708"/>
          <w:docGrid w:linePitch="360"/>
        </w:sectPr>
      </w:pPr>
    </w:p>
    <w:p w14:paraId="2AADA0A5" w14:textId="6C3EC83A" w:rsidR="00822AA7" w:rsidRPr="004C78D8" w:rsidRDefault="00E17334" w:rsidP="00FB7C1F">
      <w:r w:rsidRPr="004C78D8">
        <w:rPr>
          <w:noProof/>
          <w:lang w:eastAsia="en-GB"/>
        </w:rPr>
        <w:lastRenderedPageBreak/>
        <w:drawing>
          <wp:inline distT="0" distB="0" distL="0" distR="0" wp14:anchorId="76EB2BC7" wp14:editId="64259923">
            <wp:extent cx="8863330" cy="4438015"/>
            <wp:effectExtent l="0" t="0" r="0" b="63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63330" cy="4438015"/>
                    </a:xfrm>
                    <a:prstGeom prst="rect">
                      <a:avLst/>
                    </a:prstGeom>
                    <a:noFill/>
                    <a:ln>
                      <a:noFill/>
                    </a:ln>
                  </pic:spPr>
                </pic:pic>
              </a:graphicData>
            </a:graphic>
          </wp:inline>
        </w:drawing>
      </w:r>
    </w:p>
    <w:p w14:paraId="79FF6690" w14:textId="6375DA7A" w:rsidR="00822AA7" w:rsidRPr="004C78D8" w:rsidRDefault="00822AA7" w:rsidP="00FB7C1F">
      <w:pPr>
        <w:sectPr w:rsidR="00822AA7" w:rsidRPr="004C78D8" w:rsidSect="0099055A">
          <w:pgSz w:w="16838" w:h="11906" w:orient="landscape"/>
          <w:pgMar w:top="1440" w:right="1440" w:bottom="1440" w:left="1440" w:header="708" w:footer="708" w:gutter="0"/>
          <w:cols w:space="708"/>
          <w:docGrid w:linePitch="360"/>
        </w:sectPr>
      </w:pPr>
      <w:r w:rsidRPr="004C78D8">
        <w:rPr>
          <w:b/>
          <w:bCs/>
        </w:rPr>
        <w:t>Figure 3.1</w:t>
      </w:r>
      <w:r w:rsidRPr="004C78D8">
        <w:t xml:space="preserve"> Conceptual model of the decision problem for community-based falls prevention. </w:t>
      </w:r>
      <w:r w:rsidRPr="004C78D8">
        <w:rPr>
          <w:b/>
          <w:bCs/>
        </w:rPr>
        <w:t>Abbreviation:</w:t>
      </w:r>
      <w:r w:rsidRPr="004C78D8">
        <w:t xml:space="preserve"> </w:t>
      </w:r>
      <w:r w:rsidR="00780DEB" w:rsidRPr="004C78D8">
        <w:t xml:space="preserve">PS: public sector; </w:t>
      </w:r>
      <w:r w:rsidRPr="004C78D8">
        <w:t>QALY: quality-adjusted life year.</w:t>
      </w:r>
    </w:p>
    <w:p w14:paraId="4620BF94" w14:textId="275D7C16" w:rsidR="00B52F3C" w:rsidRPr="004C78D8" w:rsidRDefault="00B52F3C" w:rsidP="00FB7C1F">
      <w:pPr>
        <w:pStyle w:val="Heading3"/>
      </w:pPr>
      <w:bookmarkStart w:id="77" w:name="_Toc111630726"/>
      <w:r w:rsidRPr="004C78D8">
        <w:lastRenderedPageBreak/>
        <w:t>3.5.1 Outcome range of falls</w:t>
      </w:r>
      <w:r w:rsidR="003F2968" w:rsidRPr="004C78D8">
        <w:t xml:space="preserve"> and falls prevention</w:t>
      </w:r>
      <w:bookmarkEnd w:id="77"/>
    </w:p>
    <w:p w14:paraId="3630D8FF" w14:textId="55BF7B01" w:rsidR="003F2968" w:rsidRPr="004C78D8" w:rsidRDefault="00825EAD" w:rsidP="00FB7C1F">
      <w:r w:rsidRPr="004C78D8">
        <w:t xml:space="preserve">The </w:t>
      </w:r>
      <w:r w:rsidR="00745827" w:rsidRPr="004C78D8">
        <w:t xml:space="preserve">first </w:t>
      </w:r>
      <w:r w:rsidRPr="004C78D8">
        <w:t xml:space="preserve">key rationale for falls prevention lies in the </w:t>
      </w:r>
      <w:r w:rsidR="00745827" w:rsidRPr="004C78D8">
        <w:t>diverse adverse</w:t>
      </w:r>
      <w:r w:rsidRPr="004C78D8">
        <w:t xml:space="preserve"> </w:t>
      </w:r>
      <w:r w:rsidR="00745827" w:rsidRPr="004C78D8">
        <w:t>impact</w:t>
      </w:r>
      <w:r w:rsidRPr="004C78D8">
        <w:t xml:space="preserve">s of falls older persons, care systems and wider society. </w:t>
      </w:r>
      <w:r w:rsidR="003F2968" w:rsidRPr="004C78D8">
        <w:t xml:space="preserve">As noted in Figure 3.1, falls have acute impacts on health, wellbeing (i.e., non-health aspects of quality of life </w:t>
      </w:r>
      <w:r w:rsidR="00E82360" w:rsidRPr="004C78D8">
        <w:t>not or poorly</w:t>
      </w:r>
      <w:r w:rsidR="003F2968" w:rsidRPr="004C78D8">
        <w:t xml:space="preserve"> captured by health utility measures </w:t>
      </w:r>
      <w:r w:rsidR="003F2968" w:rsidRPr="004C78D8">
        <w:fldChar w:fldCharType="begin"/>
      </w:r>
      <w:r w:rsidR="00513646" w:rsidRPr="004C78D8">
        <w:instrText xml:space="preserve"> ADDIN EN.CITE &lt;EndNote&gt;&lt;Cite&gt;&lt;Author&gt;Coast&lt;/Author&gt;&lt;Year&gt;2008&lt;/Year&gt;&lt;RecNum&gt;482&lt;/RecNum&gt;&lt;DisplayText&gt;[104]&lt;/DisplayText&gt;&lt;record&gt;&lt;rec-number&gt;482&lt;/rec-number&gt;&lt;foreign-keys&gt;&lt;key app="EN" db-id="tdtrdw9aepptzbefsat599syza29sxsd2wsp" timestamp="1616579259"&gt;482&lt;/key&gt;&lt;/foreign-keys&gt;&lt;ref-type name="Journal Article"&gt;17&lt;/ref-type&gt;&lt;contributors&gt;&lt;authors&gt;&lt;author&gt;Coast, Joanna&lt;/author&gt;&lt;author&gt;Flynn, Terry N&lt;/author&gt;&lt;author&gt;Natarajan, Lucy&lt;/author&gt;&lt;author&gt;Sproston, Kerry&lt;/author&gt;&lt;author&gt;Lewis, Jane&lt;/author&gt;&lt;author&gt;Louviere, Jordan J&lt;/author&gt;&lt;author&gt;Peters, Tim J&lt;/author&gt;&lt;/authors&gt;&lt;/contributors&gt;&lt;titles&gt;&lt;title&gt;Valuing the ICECAP capability index for older people&lt;/title&gt;&lt;secondary-title&gt;Social science &amp;amp; medicine&lt;/secondary-title&gt;&lt;/titles&gt;&lt;periodical&gt;&lt;full-title&gt;Social science &amp;amp; medicine&lt;/full-title&gt;&lt;/periodical&gt;&lt;pages&gt;874-882&lt;/pages&gt;&lt;volume&gt;67&lt;/volume&gt;&lt;number&gt;5&lt;/number&gt;&lt;dates&gt;&lt;year&gt;2008&lt;/year&gt;&lt;/dates&gt;&lt;isbn&gt;0277-9536&lt;/isbn&gt;&lt;urls&gt;&lt;/urls&gt;&lt;/record&gt;&lt;/Cite&gt;&lt;/EndNote&gt;</w:instrText>
      </w:r>
      <w:r w:rsidR="003F2968" w:rsidRPr="004C78D8">
        <w:fldChar w:fldCharType="separate"/>
      </w:r>
      <w:r w:rsidR="00513646" w:rsidRPr="004C78D8">
        <w:rPr>
          <w:noProof/>
        </w:rPr>
        <w:t>[104]</w:t>
      </w:r>
      <w:r w:rsidR="003F2968" w:rsidRPr="004C78D8">
        <w:fldChar w:fldCharType="end"/>
      </w:r>
      <w:r w:rsidR="003F2968" w:rsidRPr="004C78D8">
        <w:t xml:space="preserve">), public sector care systems and wider society. These are supplemented by the secondary effects via progression in ‘propagator’ variables. </w:t>
      </w:r>
      <w:r w:rsidR="00780DEB" w:rsidRPr="004C78D8">
        <w:t xml:space="preserve">The secondary effects determine the long-term levels of QALY, wellbeing and comorbidity care costs. </w:t>
      </w:r>
      <w:r w:rsidR="003F2968" w:rsidRPr="004C78D8">
        <w:t xml:space="preserve">In Figure 1.1, frailty was illustrated as the </w:t>
      </w:r>
      <w:r w:rsidR="00C37FC0" w:rsidRPr="004C78D8">
        <w:t xml:space="preserve">main </w:t>
      </w:r>
      <w:r w:rsidR="003F2968" w:rsidRPr="004C78D8">
        <w:t>propagator, and the falls-frailty relationship was highlighted by stakeholders at an early project stage (Document 6 in Appendix B). Section 3.6 below considers further propagators such as fear of falling.</w:t>
      </w:r>
    </w:p>
    <w:p w14:paraId="1C73057C" w14:textId="1463E902" w:rsidR="003F2968" w:rsidRPr="004C78D8" w:rsidRDefault="00780DEB" w:rsidP="00FB7C1F">
      <w:r w:rsidRPr="004C78D8">
        <w:t xml:space="preserve">Particularly significant are the non-health outcomes of falls which expand the problem boundary beyond that typically overseen by the healthcare decision-makers. Prominent non-health </w:t>
      </w:r>
      <w:r w:rsidR="00DF100B" w:rsidRPr="004C78D8">
        <w:t>outcomes</w:t>
      </w:r>
      <w:r w:rsidRPr="004C78D8">
        <w:t xml:space="preserve"> of falls include: reduction in social wellbeing </w:t>
      </w:r>
      <w:r w:rsidRPr="004C78D8">
        <w:fldChar w:fldCharType="begin">
          <w:fldData xml:space="preserve">PEVuZE5vdGU+PENpdGU+PEF1dGhvcj5ZYXJkbGV5PC9BdXRob3I+PFllYXI+MjAwMjwvWWVhcj48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</w:fldData>
        </w:fldChar>
      </w:r>
      <w:r w:rsidR="00C630FC" w:rsidRPr="004C78D8">
        <w:instrText xml:space="preserve"> ADDIN EN.CITE </w:instrText>
      </w:r>
      <w:r w:rsidR="00C630FC" w:rsidRPr="004C78D8">
        <w:fldChar w:fldCharType="begin">
          <w:fldData xml:space="preserve">PEVuZE5vdGU+PENpdGU+PEF1dGhvcj5ZYXJkbGV5PC9BdXRob3I+PFllYXI+MjAwMjwvWWVhcj48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[225-227]</w:t>
      </w:r>
      <w:r w:rsidRPr="004C78D8">
        <w:fldChar w:fldCharType="end"/>
      </w:r>
      <w:r w:rsidRPr="004C78D8">
        <w:t xml:space="preserve">; OOP care expenditures (around 12% of annual care costs of fallers) </w:t>
      </w:r>
      <w:r w:rsidRPr="004C78D8">
        <w:fldChar w:fldCharType="begin">
          <w:fldData xml:space="preserve">PEVuZE5vdGU+PENpdGU+PEF1dGhvcj5TYWNoPC9BdXRob3I+PFllYXI+MjAxMjwvWWVhcj48UmVj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</w:fldData>
        </w:fldChar>
      </w:r>
      <w:r w:rsidR="00513646" w:rsidRPr="004C78D8">
        <w:instrText xml:space="preserve"> ADDIN EN.CITE </w:instrText>
      </w:r>
      <w:r w:rsidR="00513646" w:rsidRPr="004C78D8">
        <w:fldChar w:fldCharType="begin">
          <w:fldData xml:space="preserve">PEVuZE5vdGU+PENpdGU+PEF1dGhvcj5TYWNoPC9BdXRob3I+PFllYXI+MjAxMjwvWWVhcj48UmVj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</w:fldData>
        </w:fldChar>
      </w:r>
      <w:r w:rsidR="00513646" w:rsidRPr="004C78D8">
        <w:instrText xml:space="preserve"> ADDIN EN.CITE.DATA </w:instrText>
      </w:r>
      <w:r w:rsidR="00513646" w:rsidRPr="004C78D8">
        <w:fldChar w:fldCharType="end"/>
      </w:r>
      <w:r w:rsidRPr="004C78D8">
        <w:fldChar w:fldCharType="separate"/>
      </w:r>
      <w:r w:rsidR="00513646" w:rsidRPr="004C78D8">
        <w:rPr>
          <w:noProof/>
        </w:rPr>
        <w:t>[75]</w:t>
      </w:r>
      <w:r w:rsidRPr="004C78D8">
        <w:fldChar w:fldCharType="end"/>
      </w:r>
      <w:r w:rsidRPr="004C78D8">
        <w:t xml:space="preserve">; loss in paid and unpaid productivity </w:t>
      </w:r>
      <w:r w:rsidRPr="004C78D8">
        <w:fldChar w:fldCharType="begin"/>
      </w:r>
      <w:r w:rsidR="00513646" w:rsidRPr="004C78D8">
        <w:instrText xml:space="preserve"> ADDIN EN.CITE &lt;EndNote&gt;&lt;Cite&gt;&lt;Author&gt;Cook&lt;/Author&gt;&lt;Year&gt;2011&lt;/Year&gt;&lt;RecNum&gt;309&lt;/RecNum&gt;&lt;DisplayText&gt;[83, 91]&lt;/DisplayText&gt;&lt;record&gt;&lt;rec-number&gt;309&lt;/rec-number&gt;&lt;foreign-keys&gt;&lt;key app="EN" db-id="tdtrdw9aepptzbefsat599syza29sxsd2wsp" timestamp="1612016125"&gt;309&lt;/key&gt;&lt;/foreign-keys&gt;&lt;ref-type name="Journal Article"&gt;17&lt;/ref-type&gt;&lt;contributors&gt;&lt;authors&gt;&lt;author&gt;Cook, Julia&lt;/author&gt;&lt;/authors&gt;&lt;/contributors&gt;&lt;titles&gt;&lt;title&gt;The socio‐economic contribution of older people in the UK&lt;/title&gt;&lt;secondary-title&gt;Working with Older People&lt;/secondary-title&gt;&lt;/titles&gt;&lt;periodical&gt;&lt;full-title&gt;Working with Older People&lt;/full-title&gt;&lt;/periodical&gt;&lt;dates&gt;&lt;year&gt;2011&lt;/year&gt;&lt;/dates&gt;&lt;urls&gt;&lt;/urls&gt;&lt;/record&gt;&lt;/Cite&gt;&lt;Cite&gt;&lt;Author&gt;Huter&lt;/Author&gt;&lt;Year&gt;2016&lt;/Year&gt;&lt;RecNum&gt;7&lt;/RecNum&gt;&lt;record&gt;&lt;rec-number&gt;7&lt;/rec-number&gt;&lt;foreign-keys&gt;&lt;key app="EN" db-id="tdtrdw9aepptzbefsat599syza29sxsd2wsp" timestamp="1596571805"&gt;7&lt;/key&gt;&lt;/foreign-keys&gt;&lt;ref-type name="Journal Article"&gt;17&lt;/ref-type&gt;&lt;contributors&gt;&lt;authors&gt;&lt;author&gt;Huter, Kai&lt;/author&gt;&lt;author&gt;Kocot, Ewa&lt;/author&gt;&lt;author&gt;Kissimova-Skarbek, Katarzyna&lt;/author&gt;&lt;author&gt;Dubas-Jakóbczyk, Katarzyna&lt;/author&gt;&lt;author&gt;Rothgang, Heinz&lt;/author&gt;&lt;/authors&gt;&lt;/contributors&gt;&lt;titles&gt;&lt;title&gt;Economic evaluation of health promotion for older people-methodological problems and challenges&lt;/title&gt;&lt;secondary-title&gt;BMC health services research&lt;/secondary-title&gt;&lt;/titles&gt;&lt;periodical&gt;&lt;full-title&gt;BMC health services research&lt;/full-title&gt;&lt;/periodical&gt;&lt;pages&gt;328&lt;/pages&gt;&lt;volume&gt;16&lt;/volume&gt;&lt;number&gt;5&lt;/number&gt;&lt;dates&gt;&lt;year&gt;2016&lt;/year&gt;&lt;/dates&gt;&lt;isbn&gt;1472-6963&lt;/isbn&gt;&lt;urls&gt;&lt;/urls&gt;&lt;/record&gt;&lt;/Cite&gt;&lt;/EndNote&gt;</w:instrText>
      </w:r>
      <w:r w:rsidRPr="004C78D8">
        <w:fldChar w:fldCharType="separate"/>
      </w:r>
      <w:r w:rsidR="00513646" w:rsidRPr="004C78D8">
        <w:rPr>
          <w:noProof/>
        </w:rPr>
        <w:t>[83, 91]</w:t>
      </w:r>
      <w:r w:rsidRPr="004C78D8">
        <w:fldChar w:fldCharType="end"/>
      </w:r>
      <w:r w:rsidRPr="004C78D8">
        <w:t xml:space="preserve"> and the related loss in older persons’ wellbeing </w:t>
      </w:r>
      <w:r w:rsidRPr="004C78D8">
        <w:fldChar w:fldCharType="begin"/>
      </w:r>
      <w:r w:rsidR="00C630FC" w:rsidRPr="004C78D8">
        <w:instrText xml:space="preserve"> ADDIN EN.CITE &lt;EndNote&gt;&lt;Cite&gt;&lt;Author&gt;Baker&lt;/Author&gt;&lt;Year&gt;2005&lt;/Year&gt;&lt;RecNum&gt;663&lt;/RecNum&gt;&lt;DisplayText&gt;[228]&lt;/DisplayText&gt;&lt;record&gt;&lt;rec-number&gt;663&lt;/rec-number&gt;&lt;foreign-keys&gt;&lt;key app="EN" db-id="tdtrdw9aepptzbefsat599syza29sxsd2wsp" timestamp="1626292129"&gt;663&lt;/key&gt;&lt;/foreign-keys&gt;&lt;ref-type name="Journal Article"&gt;17&lt;/ref-type&gt;&lt;contributors&gt;&lt;authors&gt;&lt;author&gt;Baker, Lindsey A&lt;/author&gt;&lt;author&gt;Cahalin, Lawrence P&lt;/author&gt;&lt;author&gt;Gerst, Kerstin&lt;/author&gt;&lt;author&gt;Burr, Jeffrey A&lt;/author&gt;&lt;/authors&gt;&lt;/contributors&gt;&lt;titles&gt;&lt;title&gt;Productive activities and subjective well-being among older adults: The influence of number of activities and time commitment&lt;/title&gt;&lt;secondary-title&gt;Social Indicators Research&lt;/secondary-title&gt;&lt;/titles&gt;&lt;periodical&gt;&lt;full-title&gt;Social Indicators Research&lt;/full-title&gt;&lt;/periodical&gt;&lt;pages&gt;431-458&lt;/pages&gt;&lt;volume&gt;73&lt;/volume&gt;&lt;number&gt;3&lt;/number&gt;&lt;dates&gt;&lt;year&gt;2005&lt;/year&gt;&lt;/dates&gt;&lt;isbn&gt;0303-8300&lt;/isbn&gt;&lt;urls&gt;&lt;/urls&gt;&lt;/record&gt;&lt;/Cite&gt;&lt;/EndNote&gt;</w:instrText>
      </w:r>
      <w:r w:rsidRPr="004C78D8">
        <w:fldChar w:fldCharType="separate"/>
      </w:r>
      <w:r w:rsidR="00C630FC" w:rsidRPr="004C78D8">
        <w:rPr>
          <w:noProof/>
        </w:rPr>
        <w:t>[228]</w:t>
      </w:r>
      <w:r w:rsidRPr="004C78D8">
        <w:fldChar w:fldCharType="end"/>
      </w:r>
      <w:r w:rsidRPr="004C78D8">
        <w:t xml:space="preserve">; and informal caregiver cost (around 22% of annual care costs of fallers) </w:t>
      </w:r>
      <w:r w:rsidRPr="004C78D8">
        <w:fldChar w:fldCharType="begin"/>
      </w:r>
      <w:r w:rsidR="00513646" w:rsidRPr="004C78D8">
        <w:instrText xml:space="preserve"> ADDIN EN.CITE &lt;EndNote&gt;&lt;Cite&gt;&lt;Author&gt;Jenkyn&lt;/Author&gt;&lt;Year&gt;2012&lt;/Year&gt;&lt;RecNum&gt;329&lt;/RecNum&gt;&lt;DisplayText&gt;[85]&lt;/DisplayText&gt;&lt;record&gt;&lt;rec-number&gt;329&lt;/rec-number&gt;&lt;foreign-keys&gt;&lt;key app="EN" db-id="tdtrdw9aepptzbefsat599syza29sxsd2wsp" timestamp="1612210836"&gt;329&lt;/key&gt;&lt;/foreign-keys&gt;&lt;ref-type name="Journal Article"&gt;17&lt;/ref-type&gt;&lt;contributors&gt;&lt;authors&gt;&lt;author&gt;Jenkyn, Krista Bray&lt;/author&gt;&lt;author&gt;Hoch, Jeffrey S&lt;/author&gt;&lt;author&gt;Speechley, Mark&lt;/author&gt;&lt;/authors&gt;&lt;/contributors&gt;&lt;titles&gt;&lt;title&gt;How much are we willing to pay to prevent a fall? Cost-effectiveness of a multifactorial falls prevention program for community-dwelling older adults&lt;/title&gt;&lt;secondary-title&gt;Canadian Journal on Aging/La Revue canadienne du vieillissement&lt;/secondary-title&gt;&lt;/titles&gt;&lt;periodical&gt;&lt;full-title&gt;Canadian Journal on Aging/La Revue canadienne du vieillissement&lt;/full-title&gt;&lt;/periodical&gt;&lt;pages&gt;121-137&lt;/pages&gt;&lt;volume&gt;31&lt;/volume&gt;&lt;number&gt;2&lt;/number&gt;&lt;dates&gt;&lt;year&gt;2012&lt;/year&gt;&lt;/dates&gt;&lt;isbn&gt;1710-1107&lt;/isbn&gt;&lt;urls&gt;&lt;/urls&gt;&lt;/record&gt;&lt;/Cite&gt;&lt;/EndNote&gt;</w:instrText>
      </w:r>
      <w:r w:rsidRPr="004C78D8">
        <w:fldChar w:fldCharType="separate"/>
      </w:r>
      <w:r w:rsidR="00513646" w:rsidRPr="004C78D8">
        <w:rPr>
          <w:noProof/>
        </w:rPr>
        <w:t>[85]</w:t>
      </w:r>
      <w:r w:rsidRPr="004C78D8">
        <w:fldChar w:fldCharType="end"/>
      </w:r>
      <w:r w:rsidRPr="004C78D8">
        <w:t xml:space="preserve"> and health-related stress </w:t>
      </w:r>
      <w:r w:rsidRPr="004C78D8">
        <w:fldChar w:fldCharType="begin"/>
      </w:r>
      <w:r w:rsidR="00C630FC" w:rsidRPr="004C78D8">
        <w:instrText xml:space="preserve"> ADDIN EN.CITE &lt;EndNote&gt;&lt;Cite&gt;&lt;Author&gt;Wittenberg&lt;/Author&gt;&lt;Year&gt;2013&lt;/Year&gt;&lt;RecNum&gt;769&lt;/RecNum&gt;&lt;DisplayText&gt;[229]&lt;/DisplayText&gt;&lt;record&gt;&lt;rec-number&gt;769&lt;/rec-number&gt;&lt;foreign-keys&gt;&lt;key app="EN" db-id="tdtrdw9aepptzbefsat599syza29sxsd2wsp" timestamp="1637336025"&gt;769&lt;/key&gt;&lt;/foreign-keys&gt;&lt;ref-type name="Journal Article"&gt;17&lt;/ref-type&gt;&lt;contributors&gt;&lt;authors&gt;&lt;author&gt;Wittenberg, Eve&lt;/author&gt;&lt;author&gt;Prosser, Lisa A&lt;/author&gt;&lt;/authors&gt;&lt;/contributors&gt;&lt;titles&gt;&lt;title&gt;Disutility of illness for caregivers and families: a systematic review of the literature&lt;/title&gt;&lt;secondary-title&gt;Pharmacoeconomics&lt;/secondary-title&gt;&lt;/titles&gt;&lt;periodical&gt;&lt;full-title&gt;PharmacoEconomics&lt;/full-title&gt;&lt;/periodical&gt;&lt;pages&gt;489-500&lt;/pages&gt;&lt;volume&gt;31&lt;/volume&gt;&lt;number&gt;6&lt;/number&gt;&lt;dates&gt;&lt;year&gt;2013&lt;/year&gt;&lt;/dates&gt;&lt;isbn&gt;1170-7690&lt;/isbn&gt;&lt;urls&gt;&lt;/urls&gt;&lt;/record&gt;&lt;/Cite&gt;&lt;/EndNote&gt;</w:instrText>
      </w:r>
      <w:r w:rsidRPr="004C78D8">
        <w:fldChar w:fldCharType="separate"/>
      </w:r>
      <w:r w:rsidR="00C630FC" w:rsidRPr="004C78D8">
        <w:rPr>
          <w:noProof/>
        </w:rPr>
        <w:t>[229]</w:t>
      </w:r>
      <w:r w:rsidRPr="004C78D8">
        <w:fldChar w:fldCharType="end"/>
      </w:r>
      <w:r w:rsidRPr="004C78D8">
        <w:t xml:space="preserve">, particularly </w:t>
      </w:r>
      <w:r w:rsidR="008E43C6" w:rsidRPr="004C78D8">
        <w:t>for old/frail</w:t>
      </w:r>
      <w:r w:rsidRPr="004C78D8">
        <w:t xml:space="preserve"> caregivers </w:t>
      </w:r>
      <w:r w:rsidRPr="004C78D8">
        <w:fldChar w:fldCharType="begin">
          <w:fldData xml:space="preserve">PEVuZE5vdGU+PENpdGU+PEF1dGhvcj5Lb29wbWFuc2NoYXA8L0F1dGhvcj48WWVhcj4yMDA4PC9Z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</w:fldData>
        </w:fldChar>
      </w:r>
      <w:r w:rsidR="00C630FC" w:rsidRPr="004C78D8">
        <w:instrText xml:space="preserve"> ADDIN EN.CITE </w:instrText>
      </w:r>
      <w:r w:rsidR="00C630FC" w:rsidRPr="004C78D8">
        <w:fldChar w:fldCharType="begin">
          <w:fldData xml:space="preserve">PEVuZE5vdGU+PENpdGU+PEF1dGhvcj5Lb29wbWFuc2NoYXA8L0F1dGhvcj48WWVhcj4yMDA4PC9Z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[81, 82, 230]</w:t>
      </w:r>
      <w:r w:rsidRPr="004C78D8">
        <w:fldChar w:fldCharType="end"/>
      </w:r>
      <w:r w:rsidRPr="004C78D8">
        <w:t>.</w:t>
      </w:r>
      <w:r w:rsidR="00FC02C1" w:rsidRPr="004C78D8">
        <w:t xml:space="preserve"> As noted in Section 1.3.2.1, how these outcomes </w:t>
      </w:r>
      <w:r w:rsidR="007A512E" w:rsidRPr="004C78D8">
        <w:t>are experienced</w:t>
      </w:r>
      <w:r w:rsidR="00FC02C1" w:rsidRPr="004C78D8">
        <w:t xml:space="preserve"> at the individual level </w:t>
      </w:r>
      <w:r w:rsidR="007A512E" w:rsidRPr="004C78D8">
        <w:t xml:space="preserve">– e.g., number of persons enjoying some decent level of capability </w:t>
      </w:r>
      <w:r w:rsidR="007A512E" w:rsidRPr="004C78D8">
        <w:fldChar w:fldCharType="begin"/>
      </w:r>
      <w:r w:rsidR="00C630FC" w:rsidRPr="004C78D8">
        <w:instrText xml:space="preserve"> ADDIN EN.CITE &lt;EndNote&gt;&lt;Cite&gt;&lt;Author&gt;Coast&lt;/Author&gt;&lt;Year&gt;2008&lt;/Year&gt;&lt;RecNum&gt;668&lt;/RecNum&gt;&lt;DisplayText&gt;[231]&lt;/DisplayText&gt;&lt;record&gt;&lt;rec-number&gt;668&lt;/rec-number&gt;&lt;foreign-keys&gt;&lt;key app="EN" db-id="tdtrdw9aepptzbefsat599syza29sxsd2wsp" timestamp="1626385284"&gt;668&lt;/key&gt;&lt;/foreign-keys&gt;&lt;ref-type name="Journal Article"&gt;17&lt;/ref-type&gt;&lt;contributors&gt;&lt;authors&gt;&lt;author&gt;Coast, Joanna&lt;/author&gt;&lt;author&gt;Smith, Richard&lt;/author&gt;&lt;author&gt;Lorgelly, Paula&lt;/author&gt;&lt;/authors&gt;&lt;/contributors&gt;&lt;titles&gt;&lt;title&gt;Should the capability approach be applied in health economics?&lt;/title&gt;&lt;secondary-title&gt;Health economics&lt;/secondary-title&gt;&lt;/titles&gt;&lt;periodical&gt;&lt;full-title&gt;Health economics&lt;/full-title&gt;&lt;/periodical&gt;&lt;pages&gt;667-670&lt;/pages&gt;&lt;volume&gt;17&lt;/volume&gt;&lt;number&gt;6&lt;/number&gt;&lt;dates&gt;&lt;year&gt;2008&lt;/year&gt;&lt;/dates&gt;&lt;isbn&gt;1057-9230&lt;/isbn&gt;&lt;urls&gt;&lt;/urls&gt;&lt;/record&gt;&lt;/Cite&gt;&lt;/EndNote&gt;</w:instrText>
      </w:r>
      <w:r w:rsidR="007A512E" w:rsidRPr="004C78D8">
        <w:fldChar w:fldCharType="separate"/>
      </w:r>
      <w:r w:rsidR="00C630FC" w:rsidRPr="004C78D8">
        <w:rPr>
          <w:noProof/>
        </w:rPr>
        <w:t>[231]</w:t>
      </w:r>
      <w:r w:rsidR="007A512E" w:rsidRPr="004C78D8">
        <w:fldChar w:fldCharType="end"/>
      </w:r>
      <w:r w:rsidR="007A512E" w:rsidRPr="004C78D8">
        <w:t xml:space="preserve">, fair innings </w:t>
      </w:r>
      <w:r w:rsidR="007A512E" w:rsidRPr="004C78D8">
        <w:fldChar w:fldCharType="begin"/>
      </w:r>
      <w:r w:rsidR="00C630FC" w:rsidRPr="004C78D8">
        <w:instrText xml:space="preserve"> ADDIN EN.CITE &lt;EndNote&gt;&lt;Cite&gt;&lt;Author&gt;Williams&lt;/Author&gt;&lt;Year&gt;1997&lt;/Year&gt;&lt;RecNum&gt;521&lt;/RecNum&gt;&lt;DisplayText&gt;[232]&lt;/DisplayText&gt;&lt;record&gt;&lt;rec-number&gt;521&lt;/rec-number&gt;&lt;foreign-keys&gt;&lt;key app="EN" db-id="tdtrdw9aepptzbefsat599syza29sxsd2wsp" timestamp="1618153077"&gt;521&lt;/key&gt;&lt;/foreign-keys&gt;&lt;ref-type name="Journal Article"&gt;17&lt;/ref-type&gt;&lt;contributors&gt;&lt;authors&gt;&lt;author&gt;Williams, Alan&lt;/author&gt;&lt;/authors&gt;&lt;/contributors&gt;&lt;titles&gt;&lt;title&gt;Intergenerational equity: an exploration of the ‘fair innings’ argument&lt;/title&gt;&lt;secondary-title&gt;Health economics&lt;/secondary-title&gt;&lt;/titles&gt;&lt;periodical&gt;&lt;full-title&gt;Health economics&lt;/full-title&gt;&lt;/periodical&gt;&lt;pages&gt;117-132&lt;/pages&gt;&lt;volume&gt;6&lt;/volume&gt;&lt;number&gt;2&lt;/number&gt;&lt;dates&gt;&lt;year&gt;1997&lt;/year&gt;&lt;/dates&gt;&lt;isbn&gt;1057-9230&lt;/isbn&gt;&lt;urls&gt;&lt;/urls&gt;&lt;/record&gt;&lt;/Cite&gt;&lt;/EndNote&gt;</w:instrText>
      </w:r>
      <w:r w:rsidR="007A512E" w:rsidRPr="004C78D8">
        <w:fldChar w:fldCharType="separate"/>
      </w:r>
      <w:r w:rsidR="00C630FC" w:rsidRPr="004C78D8">
        <w:rPr>
          <w:noProof/>
        </w:rPr>
        <w:t>[232]</w:t>
      </w:r>
      <w:r w:rsidR="007A512E" w:rsidRPr="004C78D8">
        <w:fldChar w:fldCharType="end"/>
      </w:r>
      <w:r w:rsidR="007A512E" w:rsidRPr="004C78D8">
        <w:t xml:space="preserve">, or financial protection </w:t>
      </w:r>
      <w:r w:rsidR="007A512E" w:rsidRPr="004C78D8">
        <w:fldChar w:fldCharType="begin"/>
      </w:r>
      <w:r w:rsidR="00513646" w:rsidRPr="004C78D8">
        <w:instrText xml:space="preserve"> ADDIN EN.CITE &lt;EndNote&gt;&lt;Cite&gt;&lt;Author&gt;Verguet&lt;/Author&gt;&lt;Year&gt;2016&lt;/Year&gt;&lt;RecNum&gt;437&lt;/RecNum&gt;&lt;DisplayText&gt;[72]&lt;/DisplayText&gt;&lt;record&gt;&lt;rec-number&gt;437&lt;/rec-number&gt;&lt;foreign-keys&gt;&lt;key app="EN" db-id="tdtrdw9aepptzbefsat599syza29sxsd2wsp" timestamp="1616427053"&gt;437&lt;/key&gt;&lt;/foreign-keys&gt;&lt;ref-type name="Journal Article"&gt;17&lt;/ref-type&gt;&lt;contributors&gt;&lt;authors&gt;&lt;author&gt;Verguet, Stéphane&lt;/author&gt;&lt;author&gt;Kim, Jane J&lt;/author&gt;&lt;author&gt;Jamison, Dean T&lt;/author&gt;&lt;/authors&gt;&lt;/contributors&gt;&lt;titles&gt;&lt;title&gt;Extended cost-effectiveness analysis for health policy assessment: a tutorial&lt;/title&gt;&lt;secondary-title&gt;Pharmacoeconomics&lt;/secondary-title&gt;&lt;/titles&gt;&lt;periodical&gt;&lt;full-title&gt;PharmacoEconomics&lt;/full-title&gt;&lt;/periodical&gt;&lt;pages&gt;913-923&lt;/pages&gt;&lt;volume&gt;34&lt;/volume&gt;&lt;number&gt;9&lt;/number&gt;&lt;dates&gt;&lt;year&gt;2016&lt;/year&gt;&lt;/dates&gt;&lt;isbn&gt;1170-7690&lt;/isbn&gt;&lt;urls&gt;&lt;/urls&gt;&lt;/record&gt;&lt;/Cite&gt;&lt;/EndNote&gt;</w:instrText>
      </w:r>
      <w:r w:rsidR="007A512E" w:rsidRPr="004C78D8">
        <w:fldChar w:fldCharType="separate"/>
      </w:r>
      <w:r w:rsidR="00513646" w:rsidRPr="004C78D8">
        <w:rPr>
          <w:noProof/>
        </w:rPr>
        <w:t>[72]</w:t>
      </w:r>
      <w:r w:rsidR="007A512E" w:rsidRPr="004C78D8">
        <w:fldChar w:fldCharType="end"/>
      </w:r>
      <w:r w:rsidR="007A512E" w:rsidRPr="004C78D8">
        <w:t xml:space="preserve"> – </w:t>
      </w:r>
      <w:r w:rsidR="00FC02C1" w:rsidRPr="004C78D8">
        <w:t xml:space="preserve">may be more consistent with </w:t>
      </w:r>
      <w:r w:rsidR="007A512E" w:rsidRPr="004C78D8">
        <w:t xml:space="preserve">the principles of </w:t>
      </w:r>
      <w:r w:rsidR="00FC02C1" w:rsidRPr="004C78D8">
        <w:t xml:space="preserve">person-centred care than the </w:t>
      </w:r>
      <w:r w:rsidR="007A512E" w:rsidRPr="004C78D8">
        <w:t xml:space="preserve">population-level </w:t>
      </w:r>
      <w:r w:rsidR="00FC02C1" w:rsidRPr="004C78D8">
        <w:t>aggregate.</w:t>
      </w:r>
    </w:p>
    <w:p w14:paraId="647BED07" w14:textId="7254E259" w:rsidR="00780DEB" w:rsidRPr="004C78D8" w:rsidRDefault="00780DEB" w:rsidP="00FB7C1F">
      <w:r w:rsidRPr="004C78D8">
        <w:t>Meanwhile, falls prevention also incurs costs accrued outside the healthcare system and these must be balanced against the non-health, societal outcomes of falls.</w:t>
      </w:r>
      <w:r w:rsidR="00745827" w:rsidRPr="004C78D8">
        <w:t xml:space="preserve"> These costs include: social stigma in falls prevention participation, particularly in contexts where geriatric health promotion is uncommon </w:t>
      </w:r>
      <w:r w:rsidR="00745827" w:rsidRPr="004C78D8">
        <w:fldChar w:fldCharType="begin"/>
      </w:r>
      <w:r w:rsidR="00C630FC" w:rsidRPr="004C78D8">
        <w:instrText xml:space="preserve"> ADDIN EN.CITE &lt;EndNote&gt;&lt;Cite&gt;&lt;Author&gt;Bunn&lt;/Author&gt;&lt;Year&gt;2008&lt;/Year&gt;&lt;RecNum&gt;269&lt;/RecNum&gt;&lt;DisplayText&gt;[201]&lt;/DisplayText&gt;&lt;record&gt;&lt;rec-number&gt;269&lt;/rec-number&gt;&lt;foreign-keys&gt;&lt;key app="EN" db-id="tdtrdw9aepptzbefsat599syza29sxsd2wsp" timestamp="1611692937"&gt;269&lt;/key&gt;&lt;/foreign-keys&gt;&lt;ref-type name="Journal Article"&gt;17&lt;/ref-type&gt;&lt;contributors&gt;&lt;authors&gt;&lt;author&gt;Bunn, Frances&lt;/author&gt;&lt;author&gt;Dickinson, Angela&lt;/author&gt;&lt;author&gt;Barnett-Page, Elaine&lt;/author&gt;&lt;author&gt;Mcinnes, Elizabeth&lt;/author&gt;&lt;author&gt;Horton, Khim&lt;/author&gt;&lt;/authors&gt;&lt;/contributors&gt;&lt;titles&gt;&lt;title&gt;A systematic review of older people&amp;apos;s perceptions of facilitators and barriers to participation in falls-prevention interventions&lt;/title&gt;&lt;secondary-title&gt;Ageing &amp;amp; Society&lt;/secondary-title&gt;&lt;/titles&gt;&lt;periodical&gt;&lt;full-title&gt;Ageing &amp;amp; Society&lt;/full-title&gt;&lt;/periodical&gt;&lt;pages&gt;449-472&lt;/pages&gt;&lt;volume&gt;28&lt;/volume&gt;&lt;number&gt;4&lt;/number&gt;&lt;dates&gt;&lt;year&gt;2008&lt;/year&gt;&lt;/dates&gt;&lt;isbn&gt;1469-1779&lt;/isbn&gt;&lt;urls&gt;&lt;/urls&gt;&lt;/record&gt;&lt;/Cite&gt;&lt;/EndNote&gt;</w:instrText>
      </w:r>
      <w:r w:rsidR="00745827" w:rsidRPr="004C78D8">
        <w:fldChar w:fldCharType="separate"/>
      </w:r>
      <w:r w:rsidR="00C630FC" w:rsidRPr="004C78D8">
        <w:rPr>
          <w:noProof/>
        </w:rPr>
        <w:t>[201]</w:t>
      </w:r>
      <w:r w:rsidR="00745827" w:rsidRPr="004C78D8">
        <w:fldChar w:fldCharType="end"/>
      </w:r>
      <w:r w:rsidR="00745827" w:rsidRPr="004C78D8">
        <w:t xml:space="preserve"> (but participation can also bring social benefits </w:t>
      </w:r>
      <w:r w:rsidR="00745827" w:rsidRPr="004C78D8">
        <w:fldChar w:fldCharType="begin">
          <w:fldData xml:space="preserve">PEVuZE5vdGU+PENpdGU+PEF1dGhvcj5Id2FuZzwvQXV0aG9yPjxZZWFyPjIwMTk8L1llYXI+PFJl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</w:fldData>
        </w:fldChar>
      </w:r>
      <w:r w:rsidR="00C630FC" w:rsidRPr="004C78D8">
        <w:instrText xml:space="preserve"> ADDIN EN.CITE </w:instrText>
      </w:r>
      <w:r w:rsidR="00C630FC" w:rsidRPr="004C78D8">
        <w:fldChar w:fldCharType="begin">
          <w:fldData xml:space="preserve">PEVuZE5vdGU+PENpdGU+PEF1dGhvcj5Id2FuZzwvQXV0aG9yPjxZZWFyPjIwMTk8L1llYXI+PFJl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</w:fldData>
        </w:fldChar>
      </w:r>
      <w:r w:rsidR="00C630FC" w:rsidRPr="004C78D8">
        <w:instrText xml:space="preserve"> ADDIN EN.CITE.DATA </w:instrText>
      </w:r>
      <w:r w:rsidR="00C630FC" w:rsidRPr="004C78D8">
        <w:fldChar w:fldCharType="end"/>
      </w:r>
      <w:r w:rsidR="00745827" w:rsidRPr="004C78D8">
        <w:fldChar w:fldCharType="separate"/>
      </w:r>
      <w:r w:rsidR="00C630FC" w:rsidRPr="004C78D8">
        <w:rPr>
          <w:noProof/>
        </w:rPr>
        <w:t>[233]</w:t>
      </w:r>
      <w:r w:rsidR="00745827" w:rsidRPr="004C78D8">
        <w:fldChar w:fldCharType="end"/>
      </w:r>
      <w:r w:rsidR="00745827" w:rsidRPr="004C78D8">
        <w:t xml:space="preserve">); private co-payments and costs (e.g., for transport); and time opportunity costs for participants and accompanying caregivers </w:t>
      </w:r>
      <w:r w:rsidR="00745827" w:rsidRPr="004C78D8">
        <w:fldChar w:fldCharType="begin"/>
      </w:r>
      <w:r w:rsidR="00C630FC" w:rsidRPr="004C78D8">
        <w:instrText xml:space="preserve"> ADDIN EN.CITE &lt;EndNote&gt;&lt;Cite&gt;&lt;Author&gt;Krol&lt;/Author&gt;&lt;Year&gt;2014&lt;/Year&gt;&lt;RecNum&gt;507&lt;/RecNum&gt;&lt;DisplayText&gt;[234, 235]&lt;/DisplayText&gt;&lt;record&gt;&lt;rec-number&gt;507&lt;/rec-number&gt;&lt;foreign-keys&gt;&lt;key app="EN" db-id="tdtrdw9aepptzbefsat599syza29sxsd2wsp" timestamp="1617828480"&gt;507&lt;/key&gt;&lt;/foreign-keys&gt;&lt;ref-type name="Journal Article"&gt;17&lt;/ref-type&gt;&lt;contributors&gt;&lt;authors&gt;&lt;author&gt;Krol, Marieke&lt;/author&gt;&lt;author&gt;Brouwer, Werner&lt;/author&gt;&lt;/authors&gt;&lt;/contributors&gt;&lt;titles&gt;&lt;title&gt;How to estimate productivity costs in economic evaluations&lt;/title&gt;&lt;secondary-title&gt;Pharmacoeconomics&lt;/secondary-title&gt;&lt;/titles&gt;&lt;periodical&gt;&lt;full-title&gt;PharmacoEconomics&lt;/full-title&gt;&lt;/periodical&gt;&lt;pages&gt;335-344&lt;/pages&gt;&lt;volume&gt;32&lt;/volume&gt;&lt;number&gt;4&lt;/number&gt;&lt;dates&gt;&lt;year&gt;2014&lt;/year&gt;&lt;/dates&gt;&lt;isbn&gt;1170-7690&lt;/isbn&gt;&lt;urls&gt;&lt;/urls&gt;&lt;/record&gt;&lt;/Cite&gt;&lt;Cite&gt;&lt;Author&gt;Nyman&lt;/Author&gt;&lt;Year&gt;2019&lt;/Year&gt;&lt;RecNum&gt;281&lt;/RecNum&gt;&lt;record&gt;&lt;rec-number&gt;281&lt;/rec-number&gt;&lt;foreign-keys&gt;&lt;key app="EN" db-id="tdtrdw9aepptzbefsat599syza29sxsd2wsp" timestamp="1611699160"&gt;281&lt;/key&gt;&lt;/foreign-keys&gt;&lt;ref-type name="Journal Article"&gt;17&lt;/ref-type&gt;&lt;contributors&gt;&lt;authors&gt;&lt;author&gt;Nyman, Samuel R&lt;/author&gt;&lt;author&gt;Ingram, Wendy&lt;/author&gt;&lt;author&gt;Sanders, Jeanette&lt;/author&gt;&lt;author&gt;Thomas, Peter W&lt;/author&gt;&lt;author&gt;Thomas, Sarah&lt;/author&gt;&lt;author&gt;Vassallo, Michael&lt;/author&gt;&lt;author&gt;Raftery, James&lt;/author&gt;&lt;author&gt;Bibi, Iram&lt;/author&gt;&lt;author&gt;Barrado-Martín, Yolanda&lt;/author&gt;&lt;/authors&gt;&lt;/contributors&gt;&lt;titles&gt;&lt;title&gt;Randomised controlled trial of the effect of Tai Chi on postural balance of people with dementia&lt;/title&gt;&lt;secondary-title&gt;Clinical interventions in aging&lt;/secondary-title&gt;&lt;/titles&gt;&lt;periodical&gt;&lt;full-title&gt;Clin Interv Aging&lt;/full-title&gt;&lt;abbr-1&gt;Clinical interventions in aging&lt;/abbr-1&gt;&lt;/periodical&gt;&lt;pages&gt;2017&lt;/pages&gt;&lt;volume&gt;14&lt;/volume&gt;&lt;dates&gt;&lt;year&gt;2019&lt;/year&gt;&lt;/dates&gt;&lt;urls&gt;&lt;/urls&gt;&lt;/record&gt;&lt;/Cite&gt;&lt;/EndNote&gt;</w:instrText>
      </w:r>
      <w:r w:rsidR="00745827" w:rsidRPr="004C78D8">
        <w:fldChar w:fldCharType="separate"/>
      </w:r>
      <w:r w:rsidR="00C630FC" w:rsidRPr="004C78D8">
        <w:rPr>
          <w:noProof/>
        </w:rPr>
        <w:t>[234, 235]</w:t>
      </w:r>
      <w:r w:rsidR="00745827" w:rsidRPr="004C78D8">
        <w:fldChar w:fldCharType="end"/>
      </w:r>
      <w:r w:rsidR="00745827" w:rsidRPr="004C78D8">
        <w:t xml:space="preserve">. Falls prevention may also bring benefits that chiefly accrue to the community rather than to individuals </w:t>
      </w:r>
      <w:r w:rsidR="00745827" w:rsidRPr="004C78D8">
        <w:fldChar w:fldCharType="begin">
          <w:fldData xml:space="preserve">PEVuZE5vdGU+PENpdGU+PEF1dGhvcj5LZWxseTwvQXV0aG9yPjxZZWFyPjIwMTU8L1llYXI+PFJl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</w:fldData>
        </w:fldChar>
      </w:r>
      <w:r w:rsidR="00C630FC" w:rsidRPr="004C78D8">
        <w:instrText xml:space="preserve"> ADDIN EN.CITE </w:instrText>
      </w:r>
      <w:r w:rsidR="00C630FC" w:rsidRPr="004C78D8">
        <w:fldChar w:fldCharType="begin">
          <w:fldData xml:space="preserve">PEVuZE5vdGU+PENpdGU+PEF1dGhvcj5LZWxseTwvQXV0aG9yPjxZZWFyPjIwMTU8L1llYXI+PFJl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</w:fldData>
        </w:fldChar>
      </w:r>
      <w:r w:rsidR="00C630FC" w:rsidRPr="004C78D8">
        <w:instrText xml:space="preserve"> ADDIN EN.CITE.DATA </w:instrText>
      </w:r>
      <w:r w:rsidR="00C630FC" w:rsidRPr="004C78D8">
        <w:fldChar w:fldCharType="end"/>
      </w:r>
      <w:r w:rsidR="00745827" w:rsidRPr="004C78D8">
        <w:fldChar w:fldCharType="separate"/>
      </w:r>
      <w:r w:rsidR="00C630FC" w:rsidRPr="004C78D8">
        <w:rPr>
          <w:noProof/>
        </w:rPr>
        <w:t>[236-238]</w:t>
      </w:r>
      <w:r w:rsidR="00745827" w:rsidRPr="004C78D8">
        <w:fldChar w:fldCharType="end"/>
      </w:r>
      <w:r w:rsidR="00745827" w:rsidRPr="004C78D8">
        <w:t>; for example, community-wide participation can strengthen the community’s ability to organise other health promotion initiatives. The communal benefits should be weighed against the resources invested for social mobilisation, particularly those not reimbursed by the public sector (e.g., volunteer labour). These non-health outcomes and related societal intervention costs are summarised in Table 3.4.</w:t>
      </w:r>
    </w:p>
    <w:tbl>
      <w:tblPr>
        <w:tblStyle w:val="TableGrid"/>
        <w:tblW w:w="5000" w:type="pct"/>
        <w:tblLook w:val="04A0" w:firstRow="1" w:lastRow="0" w:firstColumn="1" w:lastColumn="0" w:noHBand="0" w:noVBand="1"/>
      </w:tblPr>
      <w:tblGrid>
        <w:gridCol w:w="1859"/>
        <w:gridCol w:w="3579"/>
        <w:gridCol w:w="3578"/>
      </w:tblGrid>
      <w:tr w:rsidR="00745827" w:rsidRPr="004C78D8" w14:paraId="1C71E922" w14:textId="77777777" w:rsidTr="002828C1">
        <w:tc>
          <w:tcPr>
            <w:tcW w:w="5000" w:type="pct"/>
            <w:gridSpan w:val="3"/>
          </w:tcPr>
          <w:p w14:paraId="7D5762B0" w14:textId="77777777" w:rsidR="00745827" w:rsidRPr="004C78D8" w:rsidRDefault="00745827" w:rsidP="00FB7C1F">
            <w:r w:rsidRPr="004C78D8">
              <w:rPr>
                <w:b/>
                <w:bCs/>
              </w:rPr>
              <w:t>Table 3.4</w:t>
            </w:r>
            <w:r w:rsidRPr="004C78D8">
              <w:t xml:space="preserve"> Non-health outcomes and societal intervention costs of falls and falls prevention.</w:t>
            </w:r>
          </w:p>
        </w:tc>
      </w:tr>
      <w:tr w:rsidR="00745827" w:rsidRPr="004C78D8" w14:paraId="0AE70954" w14:textId="77777777" w:rsidTr="002828C1">
        <w:tc>
          <w:tcPr>
            <w:tcW w:w="1031" w:type="pct"/>
          </w:tcPr>
          <w:p w14:paraId="5909861B" w14:textId="77777777" w:rsidR="00745827" w:rsidRPr="004C78D8" w:rsidRDefault="00745827" w:rsidP="00FB7C1F">
            <w:pPr>
              <w:rPr>
                <w:b/>
                <w:bCs/>
                <w:sz w:val="20"/>
                <w:szCs w:val="20"/>
              </w:rPr>
            </w:pPr>
            <w:r w:rsidRPr="004C78D8">
              <w:rPr>
                <w:b/>
                <w:bCs/>
                <w:sz w:val="20"/>
                <w:szCs w:val="20"/>
              </w:rPr>
              <w:t>Category</w:t>
            </w:r>
          </w:p>
        </w:tc>
        <w:tc>
          <w:tcPr>
            <w:tcW w:w="1985" w:type="pct"/>
          </w:tcPr>
          <w:p w14:paraId="5D6AA1F5" w14:textId="77777777" w:rsidR="00745827" w:rsidRPr="004C78D8" w:rsidRDefault="00745827" w:rsidP="00FB7C1F">
            <w:pPr>
              <w:rPr>
                <w:b/>
                <w:bCs/>
                <w:sz w:val="20"/>
                <w:szCs w:val="20"/>
              </w:rPr>
            </w:pPr>
            <w:r w:rsidRPr="004C78D8">
              <w:rPr>
                <w:b/>
                <w:bCs/>
                <w:sz w:val="20"/>
                <w:szCs w:val="20"/>
              </w:rPr>
              <w:t>Non-health outcome</w:t>
            </w:r>
          </w:p>
        </w:tc>
        <w:tc>
          <w:tcPr>
            <w:tcW w:w="1985" w:type="pct"/>
          </w:tcPr>
          <w:p w14:paraId="5ED42046" w14:textId="77777777" w:rsidR="00745827" w:rsidRPr="004C78D8" w:rsidRDefault="00745827" w:rsidP="00FB7C1F">
            <w:pPr>
              <w:rPr>
                <w:b/>
                <w:bCs/>
                <w:sz w:val="20"/>
                <w:szCs w:val="20"/>
              </w:rPr>
            </w:pPr>
            <w:r w:rsidRPr="004C78D8">
              <w:rPr>
                <w:b/>
                <w:bCs/>
                <w:sz w:val="20"/>
                <w:szCs w:val="20"/>
              </w:rPr>
              <w:t>Societal intervention cost</w:t>
            </w:r>
          </w:p>
        </w:tc>
      </w:tr>
      <w:tr w:rsidR="00922F25" w:rsidRPr="004C78D8" w14:paraId="34EBB0F5" w14:textId="77777777" w:rsidTr="002828C1">
        <w:tc>
          <w:tcPr>
            <w:tcW w:w="1031" w:type="pct"/>
          </w:tcPr>
          <w:p w14:paraId="5C5DA492" w14:textId="77777777" w:rsidR="00922F25" w:rsidRPr="004C78D8" w:rsidRDefault="00922F25" w:rsidP="00FB7C1F">
            <w:pPr>
              <w:jc w:val="left"/>
              <w:rPr>
                <w:sz w:val="18"/>
                <w:szCs w:val="18"/>
              </w:rPr>
            </w:pPr>
            <w:r w:rsidRPr="004C78D8">
              <w:rPr>
                <w:sz w:val="18"/>
                <w:szCs w:val="18"/>
              </w:rPr>
              <w:t>(1) Older persons’ social wellbeing</w:t>
            </w:r>
          </w:p>
        </w:tc>
        <w:tc>
          <w:tcPr>
            <w:tcW w:w="1985" w:type="pct"/>
          </w:tcPr>
          <w:p w14:paraId="0F7F52B4" w14:textId="26AE1506" w:rsidR="00922F25" w:rsidRPr="004C78D8" w:rsidRDefault="00922F25" w:rsidP="00FB7C1F">
            <w:pPr>
              <w:jc w:val="left"/>
              <w:rPr>
                <w:sz w:val="18"/>
                <w:szCs w:val="18"/>
              </w:rPr>
            </w:pPr>
            <w:r w:rsidRPr="004C78D8">
              <w:rPr>
                <w:sz w:val="18"/>
                <w:szCs w:val="18"/>
              </w:rPr>
              <w:t>Social wellbeing affected by falls and comorbidities;</w:t>
            </w:r>
            <w:r w:rsidRPr="004C78D8">
              <w:rPr>
                <w:sz w:val="18"/>
                <w:szCs w:val="18"/>
                <w:vertAlign w:val="superscript"/>
              </w:rPr>
              <w:t>1</w:t>
            </w:r>
            <w:r w:rsidRPr="004C78D8">
              <w:rPr>
                <w:sz w:val="18"/>
                <w:szCs w:val="18"/>
              </w:rPr>
              <w:t xml:space="preserve"> intervention process benefits on wellbeing.</w:t>
            </w:r>
          </w:p>
        </w:tc>
        <w:tc>
          <w:tcPr>
            <w:tcW w:w="1985" w:type="pct"/>
          </w:tcPr>
          <w:p w14:paraId="229478D1" w14:textId="77777777" w:rsidR="00922F25" w:rsidRPr="004C78D8" w:rsidRDefault="00922F25" w:rsidP="00FB7C1F">
            <w:pPr>
              <w:jc w:val="left"/>
              <w:rPr>
                <w:sz w:val="18"/>
                <w:szCs w:val="18"/>
              </w:rPr>
            </w:pPr>
            <w:r w:rsidRPr="004C78D8">
              <w:rPr>
                <w:sz w:val="18"/>
                <w:szCs w:val="18"/>
              </w:rPr>
              <w:t>Intervention process costs (e.g., stigma)</w:t>
            </w:r>
          </w:p>
        </w:tc>
      </w:tr>
      <w:tr w:rsidR="00922F25" w:rsidRPr="004C78D8" w14:paraId="6B5FD418" w14:textId="77777777" w:rsidTr="002828C1">
        <w:tc>
          <w:tcPr>
            <w:tcW w:w="1031" w:type="pct"/>
          </w:tcPr>
          <w:p w14:paraId="50F08856" w14:textId="77777777" w:rsidR="00922F25" w:rsidRPr="004C78D8" w:rsidRDefault="00922F25" w:rsidP="00FB7C1F">
            <w:pPr>
              <w:jc w:val="left"/>
              <w:rPr>
                <w:sz w:val="18"/>
                <w:szCs w:val="18"/>
              </w:rPr>
            </w:pPr>
            <w:r w:rsidRPr="004C78D8">
              <w:rPr>
                <w:sz w:val="18"/>
                <w:szCs w:val="18"/>
              </w:rPr>
              <w:t>(2) Personal finance</w:t>
            </w:r>
          </w:p>
        </w:tc>
        <w:tc>
          <w:tcPr>
            <w:tcW w:w="1985" w:type="pct"/>
          </w:tcPr>
          <w:p w14:paraId="36AB2335" w14:textId="03B1288F" w:rsidR="00922F25" w:rsidRPr="004C78D8" w:rsidRDefault="00922F25" w:rsidP="00FB7C1F">
            <w:pPr>
              <w:jc w:val="left"/>
              <w:rPr>
                <w:sz w:val="18"/>
                <w:szCs w:val="18"/>
              </w:rPr>
            </w:pPr>
            <w:r w:rsidRPr="004C78D8">
              <w:rPr>
                <w:sz w:val="18"/>
                <w:szCs w:val="18"/>
              </w:rPr>
              <w:t>Out-of-pocket care expenditure due to falls and comorbidities</w:t>
            </w:r>
            <w:r w:rsidRPr="004C78D8">
              <w:rPr>
                <w:sz w:val="18"/>
                <w:szCs w:val="18"/>
                <w:vertAlign w:val="superscript"/>
              </w:rPr>
              <w:t>1</w:t>
            </w:r>
          </w:p>
        </w:tc>
        <w:tc>
          <w:tcPr>
            <w:tcW w:w="1985" w:type="pct"/>
          </w:tcPr>
          <w:p w14:paraId="5E728B88" w14:textId="77777777" w:rsidR="00922F25" w:rsidRPr="004C78D8" w:rsidRDefault="00922F25" w:rsidP="00FB7C1F">
            <w:pPr>
              <w:jc w:val="left"/>
              <w:rPr>
                <w:sz w:val="18"/>
                <w:szCs w:val="18"/>
              </w:rPr>
            </w:pPr>
            <w:r w:rsidRPr="004C78D8">
              <w:rPr>
                <w:sz w:val="18"/>
                <w:szCs w:val="18"/>
              </w:rPr>
              <w:t>Private co-payment for intervention (e.g., session fee, equipment, transport)</w:t>
            </w:r>
          </w:p>
        </w:tc>
      </w:tr>
      <w:tr w:rsidR="00922F25" w:rsidRPr="004C78D8" w14:paraId="79D35D53" w14:textId="77777777" w:rsidTr="002828C1">
        <w:tc>
          <w:tcPr>
            <w:tcW w:w="1031" w:type="pct"/>
          </w:tcPr>
          <w:p w14:paraId="565887F1" w14:textId="77777777" w:rsidR="00922F25" w:rsidRPr="004C78D8" w:rsidRDefault="00922F25" w:rsidP="00FB7C1F">
            <w:pPr>
              <w:jc w:val="left"/>
              <w:rPr>
                <w:sz w:val="18"/>
                <w:szCs w:val="18"/>
              </w:rPr>
            </w:pPr>
            <w:r w:rsidRPr="004C78D8">
              <w:rPr>
                <w:sz w:val="18"/>
                <w:szCs w:val="18"/>
              </w:rPr>
              <w:t>(3) Productivity</w:t>
            </w:r>
          </w:p>
        </w:tc>
        <w:tc>
          <w:tcPr>
            <w:tcW w:w="1985" w:type="pct"/>
          </w:tcPr>
          <w:p w14:paraId="1D63FFB2" w14:textId="11513D88" w:rsidR="00922F25" w:rsidRPr="004C78D8" w:rsidRDefault="00922F25" w:rsidP="00FB7C1F">
            <w:pPr>
              <w:jc w:val="left"/>
              <w:rPr>
                <w:sz w:val="18"/>
                <w:szCs w:val="18"/>
              </w:rPr>
            </w:pPr>
            <w:r w:rsidRPr="004C78D8">
              <w:rPr>
                <w:sz w:val="18"/>
                <w:szCs w:val="18"/>
              </w:rPr>
              <w:t>Productivity loss due to falls and comorbidities</w:t>
            </w:r>
            <w:r w:rsidRPr="004C78D8">
              <w:rPr>
                <w:sz w:val="18"/>
                <w:szCs w:val="18"/>
                <w:vertAlign w:val="superscript"/>
              </w:rPr>
              <w:t>1</w:t>
            </w:r>
          </w:p>
        </w:tc>
        <w:tc>
          <w:tcPr>
            <w:tcW w:w="1985" w:type="pct"/>
          </w:tcPr>
          <w:p w14:paraId="20550CA8" w14:textId="77777777" w:rsidR="00922F25" w:rsidRPr="004C78D8" w:rsidRDefault="00922F25" w:rsidP="00FB7C1F">
            <w:pPr>
              <w:jc w:val="left"/>
              <w:rPr>
                <w:sz w:val="18"/>
                <w:szCs w:val="18"/>
              </w:rPr>
            </w:pPr>
            <w:r w:rsidRPr="004C78D8">
              <w:rPr>
                <w:sz w:val="18"/>
                <w:szCs w:val="18"/>
              </w:rPr>
              <w:t>Time opportunity cost of older participants and volunteers</w:t>
            </w:r>
          </w:p>
        </w:tc>
      </w:tr>
      <w:tr w:rsidR="00922F25" w:rsidRPr="004C78D8" w14:paraId="6B917E73" w14:textId="77777777" w:rsidTr="002828C1">
        <w:tc>
          <w:tcPr>
            <w:tcW w:w="1031" w:type="pct"/>
          </w:tcPr>
          <w:p w14:paraId="3CB02041" w14:textId="77777777" w:rsidR="00922F25" w:rsidRPr="004C78D8" w:rsidRDefault="00922F25" w:rsidP="00FB7C1F">
            <w:pPr>
              <w:jc w:val="left"/>
              <w:rPr>
                <w:sz w:val="18"/>
                <w:szCs w:val="18"/>
              </w:rPr>
            </w:pPr>
            <w:r w:rsidRPr="004C78D8">
              <w:rPr>
                <w:sz w:val="18"/>
                <w:szCs w:val="18"/>
              </w:rPr>
              <w:t>(4) Informal caregiving</w:t>
            </w:r>
          </w:p>
        </w:tc>
        <w:tc>
          <w:tcPr>
            <w:tcW w:w="1985" w:type="pct"/>
          </w:tcPr>
          <w:p w14:paraId="4BD2350E" w14:textId="738169D7" w:rsidR="00922F25" w:rsidRPr="004C78D8" w:rsidRDefault="00922F25" w:rsidP="00FB7C1F">
            <w:pPr>
              <w:jc w:val="left"/>
              <w:rPr>
                <w:sz w:val="18"/>
                <w:szCs w:val="18"/>
              </w:rPr>
            </w:pPr>
            <w:r w:rsidRPr="004C78D8">
              <w:rPr>
                <w:sz w:val="18"/>
                <w:szCs w:val="18"/>
              </w:rPr>
              <w:t>Informal caregiver burden (productivity loss, health loss) due to falls and comorbidities;</w:t>
            </w:r>
            <w:r w:rsidRPr="004C78D8">
              <w:rPr>
                <w:sz w:val="18"/>
                <w:szCs w:val="18"/>
                <w:vertAlign w:val="superscript"/>
              </w:rPr>
              <w:t>1</w:t>
            </w:r>
            <w:r w:rsidRPr="004C78D8">
              <w:rPr>
                <w:sz w:val="18"/>
                <w:szCs w:val="18"/>
              </w:rPr>
              <w:t xml:space="preserve"> process benefit of informal care receipt; process benefit of joint intervention attendance for participant and caregiver</w:t>
            </w:r>
          </w:p>
        </w:tc>
        <w:tc>
          <w:tcPr>
            <w:tcW w:w="1985" w:type="pct"/>
          </w:tcPr>
          <w:p w14:paraId="5A4A32F3" w14:textId="77777777" w:rsidR="00922F25" w:rsidRPr="004C78D8" w:rsidRDefault="00922F25" w:rsidP="00FB7C1F">
            <w:pPr>
              <w:jc w:val="left"/>
              <w:rPr>
                <w:sz w:val="18"/>
                <w:szCs w:val="18"/>
              </w:rPr>
            </w:pPr>
            <w:r w:rsidRPr="004C78D8">
              <w:rPr>
                <w:sz w:val="18"/>
                <w:szCs w:val="18"/>
              </w:rPr>
              <w:t>Time opportunity cost of informal caregivers attending intervention</w:t>
            </w:r>
          </w:p>
        </w:tc>
      </w:tr>
      <w:tr w:rsidR="00922F25" w:rsidRPr="004C78D8" w14:paraId="3D14ADA2" w14:textId="77777777" w:rsidTr="002828C1">
        <w:tc>
          <w:tcPr>
            <w:tcW w:w="1031" w:type="pct"/>
          </w:tcPr>
          <w:p w14:paraId="47ACEA61" w14:textId="77777777" w:rsidR="00922F25" w:rsidRPr="004C78D8" w:rsidRDefault="00922F25" w:rsidP="00FB7C1F">
            <w:pPr>
              <w:jc w:val="left"/>
              <w:rPr>
                <w:sz w:val="18"/>
                <w:szCs w:val="18"/>
              </w:rPr>
            </w:pPr>
            <w:r w:rsidRPr="004C78D8">
              <w:rPr>
                <w:sz w:val="18"/>
                <w:szCs w:val="18"/>
              </w:rPr>
              <w:t>(5) Common good</w:t>
            </w:r>
          </w:p>
        </w:tc>
        <w:tc>
          <w:tcPr>
            <w:tcW w:w="1985" w:type="pct"/>
          </w:tcPr>
          <w:p w14:paraId="4FA85498" w14:textId="7DF97B83" w:rsidR="00922F25" w:rsidRPr="004C78D8" w:rsidRDefault="00922F25" w:rsidP="00FB7C1F">
            <w:pPr>
              <w:jc w:val="left"/>
              <w:rPr>
                <w:sz w:val="18"/>
                <w:szCs w:val="18"/>
              </w:rPr>
            </w:pPr>
            <w:r w:rsidRPr="004C78D8">
              <w:rPr>
                <w:sz w:val="18"/>
                <w:szCs w:val="18"/>
              </w:rPr>
              <w:t xml:space="preserve">Community empowerment through intervention </w:t>
            </w:r>
            <w:r w:rsidR="00643050" w:rsidRPr="004C78D8">
              <w:rPr>
                <w:sz w:val="18"/>
                <w:szCs w:val="18"/>
              </w:rPr>
              <w:t xml:space="preserve">and other </w:t>
            </w:r>
            <w:r w:rsidRPr="004C78D8">
              <w:rPr>
                <w:sz w:val="18"/>
                <w:szCs w:val="18"/>
              </w:rPr>
              <w:t>participation</w:t>
            </w:r>
            <w:r w:rsidR="00643050" w:rsidRPr="004C78D8">
              <w:rPr>
                <w:sz w:val="18"/>
                <w:szCs w:val="18"/>
              </w:rPr>
              <w:t>s.</w:t>
            </w:r>
          </w:p>
        </w:tc>
        <w:tc>
          <w:tcPr>
            <w:tcW w:w="1985" w:type="pct"/>
          </w:tcPr>
          <w:p w14:paraId="07C21E65" w14:textId="77777777" w:rsidR="00922F25" w:rsidRPr="004C78D8" w:rsidRDefault="00922F25" w:rsidP="00FB7C1F">
            <w:pPr>
              <w:jc w:val="left"/>
              <w:rPr>
                <w:sz w:val="18"/>
                <w:szCs w:val="18"/>
              </w:rPr>
            </w:pPr>
            <w:r w:rsidRPr="004C78D8">
              <w:rPr>
                <w:sz w:val="18"/>
                <w:szCs w:val="18"/>
              </w:rPr>
              <w:t>Financial and non-financial cost of social mobilisation</w:t>
            </w:r>
          </w:p>
        </w:tc>
      </w:tr>
      <w:tr w:rsidR="00745827" w:rsidRPr="004C78D8" w14:paraId="43C0CAD9" w14:textId="77777777" w:rsidTr="002828C1">
        <w:tc>
          <w:tcPr>
            <w:tcW w:w="5000" w:type="pct"/>
            <w:gridSpan w:val="3"/>
          </w:tcPr>
          <w:p w14:paraId="5D55E861" w14:textId="77777777" w:rsidR="00745827" w:rsidRPr="004C78D8" w:rsidRDefault="00745827" w:rsidP="00FB7C1F">
            <w:pPr>
              <w:rPr>
                <w:sz w:val="20"/>
                <w:szCs w:val="20"/>
              </w:rPr>
            </w:pPr>
            <w:r w:rsidRPr="004C78D8">
              <w:rPr>
                <w:sz w:val="18"/>
                <w:szCs w:val="18"/>
                <w:vertAlign w:val="superscript"/>
              </w:rPr>
              <w:t>1</w:t>
            </w:r>
            <w:r w:rsidRPr="004C78D8">
              <w:rPr>
                <w:sz w:val="18"/>
                <w:szCs w:val="18"/>
              </w:rPr>
              <w:t xml:space="preserve"> These would be reduced by falls prevention intervention; the reductions would count as positive non-health benefits. </w:t>
            </w:r>
          </w:p>
        </w:tc>
      </w:tr>
    </w:tbl>
    <w:p w14:paraId="29BE1C7B" w14:textId="77777777" w:rsidR="00745827" w:rsidRPr="004C78D8" w:rsidRDefault="00745827" w:rsidP="00FB7C1F"/>
    <w:p w14:paraId="591B1682" w14:textId="7FE1C8EA" w:rsidR="00745827" w:rsidRPr="004C78D8" w:rsidRDefault="00B62AB7" w:rsidP="00FB7C1F">
      <w:r w:rsidRPr="004C78D8">
        <w:t>In the Sheffield context, a key objective of AS&amp;R is to prevent permanent institutionalisation that removes the older person from his/her social network. The qualitative research participants emphasised the social benefits of falls prevention, particularly group exercise</w:t>
      </w:r>
      <w:r w:rsidR="00BD04C7" w:rsidRPr="004C78D8">
        <w:t>,</w:t>
      </w:r>
      <w:r w:rsidRPr="004C78D8">
        <w:t xml:space="preserve"> and did not report any social stigma associated with participation (Table 2.5). They also mentioned private intervention co-payments including transport costs as barriers to uptake and adherence</w:t>
      </w:r>
      <w:r w:rsidR="00BD04C7" w:rsidRPr="004C78D8">
        <w:t>. O</w:t>
      </w:r>
      <w:r w:rsidRPr="004C78D8">
        <w:t xml:space="preserve">ther highlighted barriers included inconvenient timing and location which likely introduce time opportunity cost to participation. A key </w:t>
      </w:r>
      <w:r w:rsidRPr="004C78D8">
        <w:lastRenderedPageBreak/>
        <w:t>aim of AS&amp;R is to mobilise relevant community assets including the voluntary sector to implement prevention; hence, community empowerment via falls prevention is an important process outcome.</w:t>
      </w:r>
      <w:r w:rsidR="00722A12" w:rsidRPr="004C78D8">
        <w:t xml:space="preserve"> </w:t>
      </w:r>
      <w:r w:rsidR="00745827" w:rsidRPr="004C78D8">
        <w:t>Overall, the diverse adverse impacts of falls build a case for prevention, but the benefits of prevention should be weighed against the diverse range of costs involved.</w:t>
      </w:r>
    </w:p>
    <w:p w14:paraId="7EDF0D52" w14:textId="728C1F71" w:rsidR="00722A12" w:rsidRPr="004C78D8" w:rsidRDefault="00722A12" w:rsidP="00FB7C1F">
      <w:pPr>
        <w:pStyle w:val="Heading3"/>
      </w:pPr>
      <w:bookmarkStart w:id="78" w:name="_Toc111630727"/>
      <w:r w:rsidRPr="004C78D8">
        <w:t>3.5.2 Heterogeneity and dynamic complexity</w:t>
      </w:r>
      <w:bookmarkEnd w:id="78"/>
    </w:p>
    <w:p w14:paraId="4812480A" w14:textId="0FDB660E" w:rsidR="00BF7C2C" w:rsidRPr="004C78D8" w:rsidRDefault="00FA3FAD" w:rsidP="00FB7C1F">
      <w:r w:rsidRPr="004C78D8">
        <w:t>Figure 3.1</w:t>
      </w:r>
      <w:r w:rsidR="0024510D" w:rsidRPr="004C78D8">
        <w:t xml:space="preserve"> notes the influence of diverse target population characteristics</w:t>
      </w:r>
      <w:r w:rsidR="006E3011" w:rsidRPr="004C78D8">
        <w:t>, including sociodemographic, intrinsic and environmental factors,</w:t>
      </w:r>
      <w:r w:rsidR="0024510D" w:rsidRPr="004C78D8">
        <w:t xml:space="preserve"> on the multifactorial falls risk profile</w:t>
      </w:r>
      <w:r w:rsidR="006E3011" w:rsidRPr="004C78D8">
        <w:t xml:space="preserve"> (see Section 3.6 for the range of key falls risk factors)</w:t>
      </w:r>
      <w:r w:rsidR="0024510D" w:rsidRPr="004C78D8">
        <w:t xml:space="preserve">. </w:t>
      </w:r>
      <w:r w:rsidR="006E3011" w:rsidRPr="004C78D8">
        <w:t>This introduces significant h</w:t>
      </w:r>
      <w:r w:rsidR="0082588C" w:rsidRPr="004C78D8">
        <w:t xml:space="preserve">eterogeneity </w:t>
      </w:r>
      <w:r w:rsidR="006E3011" w:rsidRPr="004C78D8">
        <w:t>in falls risk and severity</w:t>
      </w:r>
      <w:r w:rsidR="00010783" w:rsidRPr="004C78D8">
        <w:t xml:space="preserve"> and </w:t>
      </w:r>
      <w:r w:rsidR="00CA7E74" w:rsidRPr="004C78D8">
        <w:t>endows further complexity to the falls prevention</w:t>
      </w:r>
      <w:r w:rsidR="00010783" w:rsidRPr="004C78D8">
        <w:t xml:space="preserve"> </w:t>
      </w:r>
      <w:r w:rsidR="00BF7C2C" w:rsidRPr="004C78D8">
        <w:t>commissioning</w:t>
      </w:r>
      <w:r w:rsidR="00010783" w:rsidRPr="004C78D8">
        <w:t>. The latter would need to account for variations in intervention need, access, cost and efficacy across population subgroups</w:t>
      </w:r>
      <w:r w:rsidR="00BF7C2C" w:rsidRPr="004C78D8">
        <w:t xml:space="preserve"> </w:t>
      </w:r>
      <w:r w:rsidR="0082588C" w:rsidRPr="004C78D8">
        <w:fldChar w:fldCharType="begin"/>
      </w:r>
      <w:r w:rsidR="00C630FC" w:rsidRPr="004C78D8">
        <w:instrText xml:space="preserve"> ADDIN EN.CITE &lt;EndNote&gt;&lt;Cite&gt;&lt;Author&gt;Sculpher&lt;/Author&gt;&lt;Year&gt;2008&lt;/Year&gt;&lt;RecNum&gt;693&lt;/RecNum&gt;&lt;DisplayText&gt;[239, 240]&lt;/DisplayText&gt;&lt;record&gt;&lt;rec-number&gt;693&lt;/rec-number&gt;&lt;foreign-keys&gt;&lt;key app="EN" db-id="tdtrdw9aepptzbefsat599syza29sxsd2wsp" timestamp="1630143547"&gt;693&lt;/key&gt;&lt;/foreign-keys&gt;&lt;ref-type name="Journal Article"&gt;17&lt;/ref-type&gt;&lt;contributors&gt;&lt;authors&gt;&lt;author&gt;Sculpher, Mark&lt;/author&gt;&lt;/authors&gt;&lt;/contributors&gt;&lt;titles&gt;&lt;title&gt;Subgroups and heterogeneity in cost-effectiveness analysis&lt;/title&gt;&lt;secondary-title&gt;Pharmacoeconomics&lt;/secondary-title&gt;&lt;/titles&gt;&lt;periodical&gt;&lt;full-title&gt;PharmacoEconomics&lt;/full-title&gt;&lt;/periodical&gt;&lt;pages&gt;799-806&lt;/pages&gt;&lt;volume&gt;26&lt;/volume&gt;&lt;number&gt;9&lt;/number&gt;&lt;dates&gt;&lt;year&gt;2008&lt;/year&gt;&lt;/dates&gt;&lt;isbn&gt;1179-2027&lt;/isbn&gt;&lt;urls&gt;&lt;/urls&gt;&lt;/record&gt;&lt;/Cite&gt;&lt;Cite&gt;&lt;Author&gt;Earnshaw&lt;/Author&gt;&lt;Year&gt;2002&lt;/Year&gt;&lt;RecNum&gt;486&lt;/RecNum&gt;&lt;record&gt;&lt;rec-number&gt;486&lt;/rec-number&gt;&lt;foreign-keys&gt;&lt;key app="EN" db-id="tdtrdw9aepptzbefsat599syza29sxsd2wsp" timestamp="1616693156"&gt;486&lt;/key&gt;&lt;/foreign-keys&gt;&lt;ref-type name="Journal Article"&gt;17&lt;/ref-type&gt;&lt;contributors&gt;&lt;authors&gt;&lt;author&gt;Earnshaw, Stephanie R&lt;/author&gt;&lt;author&gt;Richter, Anke&lt;/author&gt;&lt;author&gt;Sorensen, Stephen W&lt;/author&gt;&lt;author&gt;Hoerger, Thomas J&lt;/author&gt;&lt;author&gt;Hicks, Katherine A&lt;/author&gt;&lt;author&gt;Engelgau, Michael&lt;/author&gt;&lt;author&gt;Thompson, Ted&lt;/author&gt;&lt;author&gt;Venkat Narayan, KM&lt;/author&gt;&lt;author&gt;Williamson, David F&lt;/author&gt;&lt;author&gt;Gregg, Edward&lt;/author&gt;&lt;/authors&gt;&lt;/contributors&gt;&lt;titles&gt;&lt;title&gt;Optimal allocation of resources across four interventions for type 2 diabetes&lt;/title&gt;&lt;secondary-title&gt;Medical Decision Making&lt;/secondary-title&gt;&lt;/titles&gt;&lt;periodical&gt;&lt;full-title&gt;Medical Decision Making&lt;/full-title&gt;&lt;/periodical&gt;&lt;pages&gt;80-91&lt;/pages&gt;&lt;volume&gt;22&lt;/volume&gt;&lt;number&gt;1_suppl&lt;/number&gt;&lt;dates&gt;&lt;year&gt;2002&lt;/year&gt;&lt;/dates&gt;&lt;isbn&gt;0272-989X&lt;/isbn&gt;&lt;urls&gt;&lt;/urls&gt;&lt;/record&gt;&lt;/Cite&gt;&lt;/EndNote&gt;</w:instrText>
      </w:r>
      <w:r w:rsidR="0082588C" w:rsidRPr="004C78D8">
        <w:fldChar w:fldCharType="separate"/>
      </w:r>
      <w:r w:rsidR="00C630FC" w:rsidRPr="004C78D8">
        <w:rPr>
          <w:noProof/>
        </w:rPr>
        <w:t>[239, 240]</w:t>
      </w:r>
      <w:r w:rsidR="0082588C" w:rsidRPr="004C78D8">
        <w:fldChar w:fldCharType="end"/>
      </w:r>
      <w:r w:rsidR="00BF7C2C" w:rsidRPr="004C78D8">
        <w:t xml:space="preserve">. The conceptual model also notes the influence of target population characteristics on background outcome progressions. These outcomes are not affected by the primary or secondary effects of falls </w:t>
      </w:r>
      <w:r w:rsidR="00D7276F" w:rsidRPr="004C78D8">
        <w:t xml:space="preserve">but nevertheless influence the final evaluation outcomes. The underlying difference in life expectancy between socioeconomic subgroups, for example, could introduce a potentially unfair difference in the volume of QALY each subgroup can derive from falls prevention that improves the health utility level </w:t>
      </w:r>
      <w:r w:rsidRPr="004C78D8">
        <w:t xml:space="preserve">– </w:t>
      </w:r>
      <w:r w:rsidR="00D7276F" w:rsidRPr="004C78D8">
        <w:t xml:space="preserve">henceforth referred as the life expectancy differential (LED) problem </w:t>
      </w:r>
      <w:r w:rsidR="00D7276F" w:rsidRPr="004C78D8">
        <w:fldChar w:fldCharType="begin">
          <w:fldData xml:space="preserve">PEVuZE5vdGU+PENpdGU+PEF1dGhvcj5QZWdhPC9BdXRob3I+PFllYXI+MjAxNjwvWWVhcj48UmVj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</w:fldData>
        </w:fldChar>
      </w:r>
      <w:r w:rsidR="00C630FC" w:rsidRPr="004C78D8">
        <w:instrText xml:space="preserve"> ADDIN EN.CITE </w:instrText>
      </w:r>
      <w:r w:rsidR="00C630FC" w:rsidRPr="004C78D8">
        <w:fldChar w:fldCharType="begin">
          <w:fldData xml:space="preserve">PEVuZE5vdGU+PENpdGU+PEF1dGhvcj5QZWdhPC9BdXRob3I+PFllYXI+MjAxNjwvWWVhcj48UmVj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</w:fldData>
        </w:fldChar>
      </w:r>
      <w:r w:rsidR="00C630FC" w:rsidRPr="004C78D8">
        <w:instrText xml:space="preserve"> ADDIN EN.CITE.DATA </w:instrText>
      </w:r>
      <w:r w:rsidR="00C630FC" w:rsidRPr="004C78D8">
        <w:fldChar w:fldCharType="end"/>
      </w:r>
      <w:r w:rsidR="00D7276F" w:rsidRPr="004C78D8">
        <w:fldChar w:fldCharType="separate"/>
      </w:r>
      <w:r w:rsidR="00C630FC" w:rsidRPr="004C78D8">
        <w:rPr>
          <w:noProof/>
        </w:rPr>
        <w:t>[241]</w:t>
      </w:r>
      <w:r w:rsidR="00D7276F" w:rsidRPr="004C78D8">
        <w:fldChar w:fldCharType="end"/>
      </w:r>
      <w:r w:rsidR="00D7276F" w:rsidRPr="004C78D8">
        <w:t>.</w:t>
      </w:r>
    </w:p>
    <w:p w14:paraId="5FBFC221" w14:textId="0AF246BE" w:rsidR="00D16D0F" w:rsidRPr="004C78D8" w:rsidRDefault="0082588C" w:rsidP="00FB7C1F">
      <w:r w:rsidRPr="004C78D8">
        <w:t>Dynamic complexity arises from intertemporal interaction</w:t>
      </w:r>
      <w:r w:rsidR="00D16D0F" w:rsidRPr="004C78D8">
        <w:t>s</w:t>
      </w:r>
      <w:r w:rsidRPr="004C78D8">
        <w:t xml:space="preserve"> between causal </w:t>
      </w:r>
      <w:r w:rsidR="00D16D0F" w:rsidRPr="004C78D8">
        <w:t>mechanisms</w:t>
      </w:r>
      <w:r w:rsidRPr="004C78D8">
        <w:t xml:space="preserve"> and further increases the heterogeneity between individuals and subgroups</w:t>
      </w:r>
      <w:r w:rsidR="00D7276F" w:rsidRPr="004C78D8">
        <w:t xml:space="preserve"> </w:t>
      </w:r>
      <w:r w:rsidR="00832954" w:rsidRPr="004C78D8">
        <w:t xml:space="preserve">over time </w:t>
      </w:r>
      <w:r w:rsidRPr="004C78D8">
        <w:t xml:space="preserve">(p. 42) </w:t>
      </w:r>
      <w:r w:rsidRPr="004C78D8">
        <w:fldChar w:fldCharType="begin"/>
      </w:r>
      <w:r w:rsidR="00513646" w:rsidRPr="004C78D8">
        <w:instrText xml:space="preserve"> ADDIN EN.CITE &lt;EndNote&gt;&lt;Cite&gt;&lt;Author&gt;Squires&lt;/Author&gt;&lt;Year&gt;2014&lt;/Year&gt;&lt;RecNum&gt;6&lt;/RecNum&gt;&lt;DisplayText&gt;[160]&lt;/DisplayText&gt;&lt;record&gt;&lt;rec-number&gt;6&lt;/rec-number&gt;&lt;foreign-keys&gt;&lt;key app="EN" db-id="tdtrdw9aepptzbefsat599syza29sxsd2wsp" timestamp="1596571778"&gt;6&lt;/key&gt;&lt;/foreign-keys&gt;&lt;ref-type name="Thesis"&gt;32&lt;/ref-type&gt;&lt;contributors&gt;&lt;authors&gt;&lt;author&gt;Squires, Hazel&lt;/author&gt;&lt;/authors&gt;&lt;/contributors&gt;&lt;titles&gt;&lt;title&gt;A methodological framework for developing the structure of Public Health economic models&lt;/title&gt;&lt;/titles&gt;&lt;dates&gt;&lt;year&gt;2014&lt;/year&gt;&lt;/dates&gt;&lt;publisher&gt;University of Sheffield&lt;/publisher&gt;&lt;urls&gt;&lt;/urls&gt;&lt;/record&gt;&lt;/Cite&gt;&lt;/EndNote&gt;</w:instrText>
      </w:r>
      <w:r w:rsidRPr="004C78D8">
        <w:fldChar w:fldCharType="separate"/>
      </w:r>
      <w:r w:rsidR="00513646" w:rsidRPr="004C78D8">
        <w:rPr>
          <w:noProof/>
        </w:rPr>
        <w:t>[160]</w:t>
      </w:r>
      <w:r w:rsidRPr="004C78D8">
        <w:fldChar w:fldCharType="end"/>
      </w:r>
      <w:r w:rsidRPr="004C78D8">
        <w:t xml:space="preserve">. </w:t>
      </w:r>
      <w:r w:rsidR="00832954" w:rsidRPr="004C78D8">
        <w:t xml:space="preserve">A small variation in personal or environmental determinant can yield substantial differences in long-term outcomes through feedback loops </w:t>
      </w:r>
      <w:r w:rsidR="00832954" w:rsidRPr="004C78D8">
        <w:fldChar w:fldCharType="begin"/>
      </w:r>
      <w:r w:rsidR="00720CEE">
        <w:instrText xml:space="preserve"> ADDIN EN.CITE &lt;EndNote&gt;&lt;Cite&gt;&lt;Author&gt;Squires&lt;/Author&gt;&lt;Year&gt;2016&lt;/Year&gt;&lt;RecNum&gt;308&lt;/RecNum&gt;&lt;DisplayText&gt;[18]&lt;/DisplayText&gt;&lt;record&gt;&lt;rec-number&gt;308&lt;/rec-number&gt;&lt;foreign-keys&gt;&lt;key app="EN" db-id="tdtrdw9aepptzbefsat599syza29sxsd2wsp" timestamp="1612015645"&gt;308&lt;/key&gt;&lt;/foreign-keys&gt;&lt;ref-type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systematic literature review of the key challenges for developing the structure of public health economic models&lt;/title&gt;&lt;secondary-title&gt;International journal of public health&lt;/secondary-title&gt;&lt;/titles&gt;&lt;periodical&gt;&lt;full-title&gt;International journal of public health&lt;/full-title&gt;&lt;/periodical&gt;&lt;pages&gt;289-298&lt;/pages&gt;&lt;volume&gt;61&lt;/volume&gt;&lt;number&gt;3&lt;/number&gt;&lt;dates&gt;&lt;year&gt;2016&lt;/year&gt;&lt;/dates&gt;&lt;isbn&gt;1661-8556&lt;/isbn&gt;&lt;urls&gt;&lt;/urls&gt;&lt;/record&gt;&lt;/Cite&gt;&lt;/EndNote&gt;</w:instrText>
      </w:r>
      <w:r w:rsidR="00832954" w:rsidRPr="004C78D8">
        <w:fldChar w:fldCharType="separate"/>
      </w:r>
      <w:r w:rsidR="00720CEE">
        <w:rPr>
          <w:noProof/>
        </w:rPr>
        <w:t>[18]</w:t>
      </w:r>
      <w:r w:rsidR="00832954" w:rsidRPr="004C78D8">
        <w:fldChar w:fldCharType="end"/>
      </w:r>
      <w:r w:rsidR="00832954" w:rsidRPr="004C78D8">
        <w:t xml:space="preserve">. Indeed, central </w:t>
      </w:r>
      <w:r w:rsidR="00D16D0F" w:rsidRPr="004C78D8">
        <w:t xml:space="preserve">to the conceptual model is the cyclical ‘Falls feedback loop’ </w:t>
      </w:r>
      <w:r w:rsidR="00FA3FAD" w:rsidRPr="004C78D8">
        <w:t xml:space="preserve">in Figure 3.1 </w:t>
      </w:r>
      <w:r w:rsidR="00216B12" w:rsidRPr="004C78D8">
        <w:t xml:space="preserve">that generates the secondary effects of falls and </w:t>
      </w:r>
      <w:r w:rsidR="00D16D0F" w:rsidRPr="004C78D8">
        <w:t>influences subsequent falls risk and severity and falls prevention access, cost and efficacy.</w:t>
      </w:r>
      <w:r w:rsidR="00407165" w:rsidRPr="004C78D8">
        <w:t xml:space="preserve"> </w:t>
      </w:r>
    </w:p>
    <w:p w14:paraId="2393B7CA" w14:textId="0B90A8E4" w:rsidR="000B7C1A" w:rsidRPr="004C78D8" w:rsidRDefault="0082588C" w:rsidP="00FB7C1F">
      <w:r w:rsidRPr="004C78D8">
        <w:t xml:space="preserve">In the Sheffield context, stakeholders suggested several factors relevant </w:t>
      </w:r>
      <w:r w:rsidR="00216B12" w:rsidRPr="004C78D8">
        <w:t>to</w:t>
      </w:r>
      <w:r w:rsidRPr="004C78D8">
        <w:t xml:space="preserve"> heterogeneity and dynamic complexity</w:t>
      </w:r>
      <w:r w:rsidR="00216B12" w:rsidRPr="004C78D8">
        <w:t>.</w:t>
      </w:r>
      <w:r w:rsidRPr="004C78D8">
        <w:t xml:space="preserve"> </w:t>
      </w:r>
      <w:r w:rsidR="00216B12" w:rsidRPr="004C78D8">
        <w:t>M</w:t>
      </w:r>
      <w:r w:rsidRPr="004C78D8">
        <w:t xml:space="preserve">ultivariate frailty </w:t>
      </w:r>
      <w:r w:rsidR="00216B12" w:rsidRPr="004C78D8">
        <w:t xml:space="preserve">was highlighted </w:t>
      </w:r>
      <w:r w:rsidRPr="004C78D8">
        <w:t xml:space="preserve">as a better indicator of </w:t>
      </w:r>
      <w:r w:rsidR="00216B12" w:rsidRPr="004C78D8">
        <w:t xml:space="preserve">falls risk heterogeneity </w:t>
      </w:r>
      <w:r w:rsidRPr="004C78D8">
        <w:t>than age and sex (Document 6 in Appendix B)</w:t>
      </w:r>
      <w:r w:rsidR="00216B12" w:rsidRPr="004C78D8">
        <w:t xml:space="preserve">, </w:t>
      </w:r>
      <w:r w:rsidR="002B733B" w:rsidRPr="004C78D8">
        <w:t xml:space="preserve">as were </w:t>
      </w:r>
      <w:r w:rsidR="00216B12" w:rsidRPr="004C78D8">
        <w:t>intrinsic physical capacity variable</w:t>
      </w:r>
      <w:r w:rsidR="002B733B" w:rsidRPr="004C78D8">
        <w:t>s</w:t>
      </w:r>
      <w:r w:rsidR="00216B12" w:rsidRPr="004C78D8">
        <w:t xml:space="preserve"> such as gait impairment </w:t>
      </w:r>
      <w:r w:rsidR="00292841" w:rsidRPr="004C78D8">
        <w:t>that are currently used as falls risk screening tools</w:t>
      </w:r>
      <w:r w:rsidR="002B733B" w:rsidRPr="004C78D8">
        <w:t xml:space="preserve"> (Document 7).</w:t>
      </w:r>
      <w:r w:rsidR="00292841" w:rsidRPr="004C78D8">
        <w:t xml:space="preserve"> </w:t>
      </w:r>
      <w:r w:rsidR="00216B12" w:rsidRPr="004C78D8">
        <w:t>P</w:t>
      </w:r>
      <w:r w:rsidRPr="004C78D8">
        <w:t>hysical activity level</w:t>
      </w:r>
      <w:r w:rsidR="00216B12" w:rsidRPr="004C78D8">
        <w:t xml:space="preserve"> was highlighted as a key subgroup </w:t>
      </w:r>
      <w:r w:rsidR="004E42EA" w:rsidRPr="004C78D8">
        <w:t xml:space="preserve">characteristic </w:t>
      </w:r>
      <w:r w:rsidR="00292841" w:rsidRPr="004C78D8">
        <w:t xml:space="preserve">for planning health promotion initiatives </w:t>
      </w:r>
      <w:r w:rsidRPr="004C78D8">
        <w:t>(Document 5)</w:t>
      </w:r>
      <w:r w:rsidR="00216B12" w:rsidRPr="004C78D8">
        <w:t>.</w:t>
      </w:r>
      <w:r w:rsidRPr="004C78D8">
        <w:t xml:space="preserve"> </w:t>
      </w:r>
      <w:r w:rsidR="00292841" w:rsidRPr="004C78D8">
        <w:t xml:space="preserve">The qualitative data identified several vulnerable subgroups that should be prioritised by commissioning; these were delineated by comorbidity levels (i.e., frailty), cognitive status, and social isolation (Table 2.3). </w:t>
      </w:r>
      <w:r w:rsidR="00420498" w:rsidRPr="004C78D8">
        <w:t>Moreover, both t</w:t>
      </w:r>
      <w:r w:rsidR="00292841" w:rsidRPr="004C78D8">
        <w:t xml:space="preserve">he qualitative data </w:t>
      </w:r>
      <w:r w:rsidR="00420498" w:rsidRPr="004C78D8">
        <w:t xml:space="preserve">and the independent scientific review (Document 8) </w:t>
      </w:r>
      <w:r w:rsidR="00292841" w:rsidRPr="004C78D8">
        <w:t xml:space="preserve">highlighted seasonal trends in environmental falls risk </w:t>
      </w:r>
      <w:r w:rsidR="00420498" w:rsidRPr="004C78D8">
        <w:t xml:space="preserve">(e.g., frozen pavements). </w:t>
      </w:r>
    </w:p>
    <w:p w14:paraId="38703CA0" w14:textId="3454CD03" w:rsidR="00AD394F" w:rsidRPr="004C78D8" w:rsidRDefault="00AD394F" w:rsidP="00FB7C1F">
      <w:pPr>
        <w:pStyle w:val="Heading3"/>
      </w:pPr>
      <w:bookmarkStart w:id="79" w:name="_Toc111630728"/>
      <w:r w:rsidRPr="004C78D8">
        <w:t xml:space="preserve">3.5.3 </w:t>
      </w:r>
      <w:r w:rsidR="007B651F" w:rsidRPr="004C78D8">
        <w:t>B</w:t>
      </w:r>
      <w:r w:rsidRPr="004C78D8">
        <w:t>ehaviour</w:t>
      </w:r>
      <w:r w:rsidR="007B651F" w:rsidRPr="004C78D8">
        <w:t>al</w:t>
      </w:r>
      <w:r w:rsidR="00332D89" w:rsidRPr="004C78D8">
        <w:t xml:space="preserve"> </w:t>
      </w:r>
      <w:r w:rsidR="007B651F" w:rsidRPr="004C78D8">
        <w:t xml:space="preserve">factors </w:t>
      </w:r>
      <w:r w:rsidR="00332D89" w:rsidRPr="004C78D8">
        <w:t>and implementation</w:t>
      </w:r>
      <w:r w:rsidR="007B651F" w:rsidRPr="004C78D8">
        <w:t xml:space="preserve"> challenges</w:t>
      </w:r>
      <w:bookmarkEnd w:id="79"/>
    </w:p>
    <w:p w14:paraId="392D8B8D" w14:textId="76046743" w:rsidR="00281140" w:rsidRPr="004C78D8" w:rsidRDefault="007332AA" w:rsidP="00FB7C1F">
      <w:r w:rsidRPr="004C78D8">
        <w:t>The qualitative research in Sheffield highlighted health and social motives of older individuals as key behavioural determinants of intervention uptake and adherence (Table 2.2)</w:t>
      </w:r>
      <w:r w:rsidR="004E12E9" w:rsidRPr="004C78D8">
        <w:t>.</w:t>
      </w:r>
      <w:r w:rsidR="00281140" w:rsidRPr="004C78D8">
        <w:t xml:space="preserve"> </w:t>
      </w:r>
      <w:r w:rsidR="004E12E9" w:rsidRPr="004C78D8">
        <w:t>C</w:t>
      </w:r>
      <w:r w:rsidR="00281140" w:rsidRPr="004C78D8">
        <w:t>ommunal initiatives to manage environmental risk factors were also recommended (Table 2.3).</w:t>
      </w:r>
      <w:r w:rsidRPr="004C78D8">
        <w:t xml:space="preserve"> Likewise, a pilot falls prevention scheme in Sheffield found that branding the exercise interventions as strength and balance improvement rather than falls prevention appealed to the health motive and reduced stigma, thereby raising uptake </w:t>
      </w:r>
      <w:r w:rsidRPr="004C78D8">
        <w:fldChar w:fldCharType="begin"/>
      </w:r>
      <w:r w:rsidR="00C630FC" w:rsidRPr="004C78D8">
        <w:instrText xml:space="preserve"> ADDIN EN.CITE &lt;EndNote&gt;&lt;Cite&gt;&lt;Author&gt;Sheffield Teaching Hospitals&lt;/Author&gt;&lt;Year&gt;2019&lt;/Year&gt;&lt;RecNum&gt;552&lt;/RecNum&gt;&lt;DisplayText&gt;[209]&lt;/DisplayText&gt;&lt;record&gt;&lt;rec-number&gt;552&lt;/rec-number&gt;&lt;foreign-keys&gt;&lt;key app="EN" db-id="tdtrdw9aepptzbefsat599syza29sxsd2wsp" timestamp="1619256769"&gt;552&lt;/key&gt;&lt;/foreign-keys&gt;&lt;ref-type name="Report"&gt;27&lt;/ref-type&gt;&lt;contributors&gt;&lt;authors&gt;&lt;author&gt;Sheffield Teaching Hospitals,&lt;/author&gt;&lt;/authors&gt;&lt;/contributors&gt;&lt;titles&gt;&lt;title&gt;Perfect Patient Pathway Test Bed Overview Report&lt;/title&gt;&lt;/titles&gt;&lt;dates&gt;&lt;year&gt;2019&lt;/year&gt;&lt;/dates&gt;&lt;publisher&gt;Sheffield Teaching Hospitals NHS Foundation Trust&lt;/publisher&gt;&lt;urls&gt;&lt;related-urls&gt;&lt;url&gt;www.ppptestbed.nhs.uk&lt;/url&gt;&lt;/related-urls&gt;&lt;/urls&gt;&lt;/record&gt;&lt;/Cite&gt;&lt;/EndNote&gt;</w:instrText>
      </w:r>
      <w:r w:rsidRPr="004C78D8">
        <w:fldChar w:fldCharType="separate"/>
      </w:r>
      <w:r w:rsidR="00C630FC" w:rsidRPr="004C78D8">
        <w:rPr>
          <w:noProof/>
        </w:rPr>
        <w:t>[209]</w:t>
      </w:r>
      <w:r w:rsidRPr="004C78D8">
        <w:fldChar w:fldCharType="end"/>
      </w:r>
      <w:r w:rsidRPr="004C78D8">
        <w:t>.</w:t>
      </w:r>
      <w:r w:rsidR="00CA7E74" w:rsidRPr="004C78D8">
        <w:t xml:space="preserve"> Accordingly, </w:t>
      </w:r>
      <w:r w:rsidR="00C23C90" w:rsidRPr="004C78D8">
        <w:t>Figure 3.1</w:t>
      </w:r>
      <w:r w:rsidR="00CA7E74" w:rsidRPr="004C78D8">
        <w:t xml:space="preserve"> highlights demand behaviours and external influences on demand </w:t>
      </w:r>
      <w:r w:rsidR="00281140" w:rsidRPr="004C78D8">
        <w:t xml:space="preserve">(e.g., communal responsibility, </w:t>
      </w:r>
      <w:r w:rsidR="00CA7E74" w:rsidRPr="004C78D8">
        <w:t>branding</w:t>
      </w:r>
      <w:r w:rsidR="00281140" w:rsidRPr="004C78D8">
        <w:t>)</w:t>
      </w:r>
      <w:r w:rsidR="00CA7E74" w:rsidRPr="004C78D8">
        <w:t xml:space="preserve"> as key intervention factors. </w:t>
      </w:r>
      <w:r w:rsidR="00281140" w:rsidRPr="004C78D8">
        <w:t>T</w:t>
      </w:r>
      <w:r w:rsidR="00CA7E74" w:rsidRPr="004C78D8">
        <w:t xml:space="preserve">hese behavioural components </w:t>
      </w:r>
      <w:r w:rsidR="005A72DD" w:rsidRPr="004C78D8">
        <w:t xml:space="preserve">introduce implementation challenges that </w:t>
      </w:r>
      <w:r w:rsidR="00EA1F3D" w:rsidRPr="004C78D8">
        <w:t>influence</w:t>
      </w:r>
      <w:r w:rsidR="005A72DD" w:rsidRPr="004C78D8">
        <w:t xml:space="preserve"> the effectiveness and population reach/impact of falls prevention </w:t>
      </w:r>
      <w:r w:rsidR="005A72DD" w:rsidRPr="004C78D8">
        <w:fldChar w:fldCharType="begin"/>
      </w:r>
      <w:r w:rsidR="00C630FC" w:rsidRPr="004C78D8">
        <w:instrText xml:space="preserve"> ADDIN EN.CITE &lt;EndNote&gt;&lt;Cite&gt;&lt;Author&gt;Pfadenhauer&lt;/Author&gt;&lt;Year&gt;2016&lt;/Year&gt;&lt;RecNum&gt;578&lt;/RecNum&gt;&lt;DisplayText&gt;[181]&lt;/DisplayText&gt;&lt;record&gt;&lt;rec-number&gt;578&lt;/rec-number&gt;&lt;foreign-keys&gt;&lt;key app="EN" db-id="tdtrdw9aepptzbefsat599syza29sxsd2wsp" timestamp="1620727866"&gt;578&lt;/key&gt;&lt;/foreign-keys&gt;&lt;ref-type name="Report"&gt;27&lt;/ref-type&gt;&lt;contributors&gt;&lt;authors&gt;&lt;author&gt;Pfadenhauer, Lisa&lt;/author&gt;&lt;author&gt;Rohwer, Anke&lt;/author&gt;&lt;author&gt;Burns, Jacob&lt;/author&gt;&lt;author&gt;Booth, Andrew&lt;/author&gt;&lt;author&gt;Lysdahl, Kristin Bakke&lt;/author&gt;&lt;author&gt;Hofmann, Björn&lt;/author&gt;&lt;author&gt;Gerhardus, Ansgar&lt;/author&gt;&lt;author&gt;Mozygemba, Kati&lt;/author&gt;&lt;author&gt;Tummers, Marcia&lt;/author&gt;&lt;author&gt;Wahlster, Philip&lt;/author&gt;&lt;/authors&gt;&lt;/contributors&gt;&lt;titles&gt;&lt;title&gt;Guidance for the assessment of context and implementation in health technology assessments (HTA) and systematic reviews of complex interventions: the context and implementation of complex interventions (CICI) framework&lt;/title&gt;&lt;secondary-title&gt;Integrated Health Technology Assessment for Evaluating Complex Technologies (INTEGRATE-HTA)&lt;/secondary-title&gt;&lt;/titles&gt;&lt;dates&gt;&lt;year&gt;2016&lt;/year&gt;&lt;/dates&gt;&lt;pub-location&gt;Available from: http://www.integrate-hta.eu/downloads/&lt;/pub-location&gt;&lt;publisher&gt;European Union&lt;/publisher&gt;&lt;urls&gt;&lt;/urls&gt;&lt;/record&gt;&lt;/Cite&gt;&lt;/EndNote&gt;</w:instrText>
      </w:r>
      <w:r w:rsidR="005A72DD" w:rsidRPr="004C78D8">
        <w:fldChar w:fldCharType="separate"/>
      </w:r>
      <w:r w:rsidR="00C630FC" w:rsidRPr="004C78D8">
        <w:rPr>
          <w:noProof/>
        </w:rPr>
        <w:t>[181]</w:t>
      </w:r>
      <w:r w:rsidR="005A72DD" w:rsidRPr="004C78D8">
        <w:fldChar w:fldCharType="end"/>
      </w:r>
      <w:r w:rsidR="005A72DD" w:rsidRPr="004C78D8">
        <w:t>.</w:t>
      </w:r>
    </w:p>
    <w:p w14:paraId="2F8002B7" w14:textId="316481EA" w:rsidR="00A97DF3" w:rsidRPr="004C78D8" w:rsidRDefault="00E1295A" w:rsidP="00FB7C1F">
      <w:r w:rsidRPr="004C78D8">
        <w:t xml:space="preserve">The qualitative research also identified diverse supply-side </w:t>
      </w:r>
      <w:r w:rsidR="004A1D7E" w:rsidRPr="004C78D8">
        <w:t>mechanisms</w:t>
      </w:r>
      <w:r w:rsidRPr="004C78D8">
        <w:t xml:space="preserve"> that affected implementation. Professional competence</w:t>
      </w:r>
      <w:r w:rsidR="00EA1F3D" w:rsidRPr="004C78D8">
        <w:t>, shaped by psychology and organisational culture,</w:t>
      </w:r>
      <w:r w:rsidRPr="004C78D8">
        <w:t xml:space="preserve"> was perceived to be a key implementation facilitator (Section 2.4.2.5) </w:t>
      </w:r>
      <w:r w:rsidRPr="004C78D8">
        <w:fldChar w:fldCharType="begin">
          <w:fldData xml:space="preserve">PEVuZE5vdGU+PENpdGU+PEF1dGhvcj5NYXJrbGUtUmVpZDwvQXV0aG9yPjxZZWFyPjIwMTc8L1ll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</w:fldData>
        </w:fldChar>
      </w:r>
      <w:r w:rsidR="00C630FC" w:rsidRPr="004C78D8">
        <w:instrText xml:space="preserve"> ADDIN EN.CITE </w:instrText>
      </w:r>
      <w:r w:rsidR="00C630FC" w:rsidRPr="004C78D8">
        <w:fldChar w:fldCharType="begin">
          <w:fldData xml:space="preserve">PEVuZE5vdGU+PENpdGU+PEF1dGhvcj5NYXJrbGUtUmVpZDwvQXV0aG9yPjxZZWFyPjIwMTc8L1ll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[242, 243]</w:t>
      </w:r>
      <w:r w:rsidRPr="004C78D8">
        <w:fldChar w:fldCharType="end"/>
      </w:r>
      <w:r w:rsidRPr="004C78D8">
        <w:t xml:space="preserve">. But </w:t>
      </w:r>
      <w:r w:rsidR="00EA1F3D" w:rsidRPr="004C78D8">
        <w:t>other</w:t>
      </w:r>
      <w:r w:rsidRPr="004C78D8">
        <w:t xml:space="preserve"> system-side constraints </w:t>
      </w:r>
      <w:r w:rsidR="00EA1F3D" w:rsidRPr="004C78D8">
        <w:t>were likewise perceived, such as</w:t>
      </w:r>
      <w:r w:rsidRPr="004C78D8">
        <w:t xml:space="preserve"> time</w:t>
      </w:r>
      <w:r w:rsidR="0049545F" w:rsidRPr="004C78D8">
        <w:t>/capacity</w:t>
      </w:r>
      <w:r w:rsidRPr="004C78D8">
        <w:t xml:space="preserve"> constraints and lack of coordination with other professionals. Indeed, the professional stakeholders in Sheffield </w:t>
      </w:r>
      <w:r w:rsidR="00EA1F3D" w:rsidRPr="004C78D8">
        <w:t>appeared to lack</w:t>
      </w:r>
      <w:r w:rsidRPr="004C78D8">
        <w:t xml:space="preserve"> awareness of </w:t>
      </w:r>
      <w:r w:rsidR="0049545F" w:rsidRPr="004C78D8">
        <w:t>prevention</w:t>
      </w:r>
      <w:r w:rsidRPr="004C78D8">
        <w:t xml:space="preserve"> occurring outside their immediate clinical practice (e.g., Documents 7 and 9 in Appendix B). This suggests that a coherent integration strategy is required to implement a citywide falls prevention programme </w:t>
      </w:r>
      <w:r w:rsidRPr="004C78D8">
        <w:fldChar w:fldCharType="begin">
          <w:fldData xml:space="preserve">PEVuZE5vdGU+PENpdGU+PEF1dGhvcj5UYW48L0F1dGhvcj48WWVhcj4yMDE5PC9ZZWFyPjxSZWNO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</w:fldData>
        </w:fldChar>
      </w:r>
      <w:r w:rsidR="00C630FC" w:rsidRPr="004C78D8">
        <w:instrText xml:space="preserve"> ADDIN EN.CITE </w:instrText>
      </w:r>
      <w:r w:rsidR="00C630FC" w:rsidRPr="004C78D8">
        <w:fldChar w:fldCharType="begin">
          <w:fldData xml:space="preserve">PEVuZE5vdGU+PENpdGU+PEF1dGhvcj5UYW48L0F1dGhvcj48WWVhcj4yMDE5PC9ZZWFyPjxSZWNO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[244-247]</w:t>
      </w:r>
      <w:r w:rsidRPr="004C78D8">
        <w:fldChar w:fldCharType="end"/>
      </w:r>
      <w:r w:rsidRPr="004C78D8">
        <w:t xml:space="preserve">. </w:t>
      </w:r>
      <w:r w:rsidR="00EA1F3D" w:rsidRPr="004C78D8">
        <w:t xml:space="preserve">To </w:t>
      </w:r>
      <w:r w:rsidR="00EA1F3D" w:rsidRPr="004C78D8">
        <w:lastRenderedPageBreak/>
        <w:t xml:space="preserve">optimise the implementation strategy, the commissioning should distinguish between demand- and supply-side influences on the same implementation process; </w:t>
      </w:r>
      <w:r w:rsidR="00A97DF3" w:rsidRPr="004C78D8">
        <w:t>Table 3.5 lists the term</w:t>
      </w:r>
      <w:r w:rsidR="00751EE7" w:rsidRPr="004C78D8">
        <w:t>s</w:t>
      </w:r>
      <w:r w:rsidR="00A97DF3" w:rsidRPr="004C78D8">
        <w:t xml:space="preserve"> used in this thesis to describe the implementation processes by </w:t>
      </w:r>
      <w:r w:rsidR="004A1D7E" w:rsidRPr="004C78D8">
        <w:t xml:space="preserve">their </w:t>
      </w:r>
      <w:r w:rsidR="00A97DF3" w:rsidRPr="004C78D8">
        <w:t>demand and supply dimensions.</w:t>
      </w:r>
      <w:r w:rsidR="004A1D7E" w:rsidRPr="004C78D8">
        <w:t xml:space="preserve"> Intervention access, for example, is shaped by demand-side uptake and supply-side adoption. </w:t>
      </w:r>
    </w:p>
    <w:tbl>
      <w:tblPr>
        <w:tblStyle w:val="TableGrid"/>
        <w:tblW w:w="0" w:type="auto"/>
        <w:tblInd w:w="-5" w:type="dxa"/>
        <w:tblLook w:val="04A0" w:firstRow="1" w:lastRow="0" w:firstColumn="1" w:lastColumn="0" w:noHBand="0" w:noVBand="1"/>
      </w:tblPr>
      <w:tblGrid>
        <w:gridCol w:w="1413"/>
        <w:gridCol w:w="2622"/>
        <w:gridCol w:w="2623"/>
      </w:tblGrid>
      <w:tr w:rsidR="00A97DF3" w:rsidRPr="004C78D8" w14:paraId="3D93018A" w14:textId="77777777" w:rsidTr="002828C1">
        <w:tc>
          <w:tcPr>
            <w:tcW w:w="6658" w:type="dxa"/>
            <w:gridSpan w:val="3"/>
          </w:tcPr>
          <w:p w14:paraId="5CF4FCCC" w14:textId="3B9FFD43" w:rsidR="00A97DF3" w:rsidRPr="004C78D8" w:rsidRDefault="00A97DF3" w:rsidP="00FB7C1F">
            <w:pPr>
              <w:jc w:val="left"/>
              <w:rPr>
                <w:bCs/>
              </w:rPr>
            </w:pPr>
            <w:r w:rsidRPr="004C78D8">
              <w:rPr>
                <w:b/>
              </w:rPr>
              <w:t xml:space="preserve">Table 3.5 </w:t>
            </w:r>
            <w:r w:rsidRPr="004C78D8">
              <w:rPr>
                <w:bCs/>
              </w:rPr>
              <w:t>Implementation processes by demand and supply dimensions.</w:t>
            </w:r>
          </w:p>
        </w:tc>
      </w:tr>
      <w:tr w:rsidR="00A97DF3" w:rsidRPr="004C78D8" w14:paraId="175F3052" w14:textId="77777777" w:rsidTr="002828C1">
        <w:tc>
          <w:tcPr>
            <w:tcW w:w="1413" w:type="dxa"/>
          </w:tcPr>
          <w:p w14:paraId="4BAEE665" w14:textId="77777777" w:rsidR="00A97DF3" w:rsidRPr="004C78D8" w:rsidRDefault="00A97DF3" w:rsidP="00FB7C1F">
            <w:pPr>
              <w:rPr>
                <w:sz w:val="20"/>
                <w:szCs w:val="20"/>
              </w:rPr>
            </w:pPr>
            <w:r w:rsidRPr="004C78D8">
              <w:rPr>
                <w:b/>
                <w:sz w:val="20"/>
                <w:szCs w:val="20"/>
              </w:rPr>
              <w:t>Process</w:t>
            </w:r>
          </w:p>
        </w:tc>
        <w:tc>
          <w:tcPr>
            <w:tcW w:w="2622" w:type="dxa"/>
          </w:tcPr>
          <w:p w14:paraId="0FC993AD" w14:textId="77777777" w:rsidR="00A97DF3" w:rsidRPr="004C78D8" w:rsidRDefault="00A97DF3" w:rsidP="00FB7C1F">
            <w:pPr>
              <w:jc w:val="center"/>
              <w:rPr>
                <w:sz w:val="20"/>
                <w:szCs w:val="20"/>
              </w:rPr>
            </w:pPr>
            <w:r w:rsidRPr="004C78D8">
              <w:rPr>
                <w:b/>
                <w:sz w:val="20"/>
                <w:szCs w:val="20"/>
              </w:rPr>
              <w:t>Demand dimension</w:t>
            </w:r>
          </w:p>
        </w:tc>
        <w:tc>
          <w:tcPr>
            <w:tcW w:w="2623" w:type="dxa"/>
          </w:tcPr>
          <w:p w14:paraId="4333054D" w14:textId="77777777" w:rsidR="00A97DF3" w:rsidRPr="004C78D8" w:rsidRDefault="00A97DF3" w:rsidP="00FB7C1F">
            <w:pPr>
              <w:jc w:val="center"/>
              <w:rPr>
                <w:sz w:val="20"/>
                <w:szCs w:val="20"/>
              </w:rPr>
            </w:pPr>
            <w:r w:rsidRPr="004C78D8">
              <w:rPr>
                <w:b/>
                <w:sz w:val="20"/>
                <w:szCs w:val="20"/>
              </w:rPr>
              <w:t>Supply dimension</w:t>
            </w:r>
          </w:p>
        </w:tc>
      </w:tr>
      <w:tr w:rsidR="00A97DF3" w:rsidRPr="004C78D8" w14:paraId="779BA25E" w14:textId="77777777" w:rsidTr="002828C1">
        <w:tc>
          <w:tcPr>
            <w:tcW w:w="1413" w:type="dxa"/>
          </w:tcPr>
          <w:p w14:paraId="39CD68FF" w14:textId="77777777" w:rsidR="00A97DF3" w:rsidRPr="004C78D8" w:rsidRDefault="00A97DF3" w:rsidP="00FB7C1F">
            <w:pPr>
              <w:rPr>
                <w:sz w:val="20"/>
                <w:szCs w:val="20"/>
              </w:rPr>
            </w:pPr>
            <w:r w:rsidRPr="004C78D8">
              <w:rPr>
                <w:i/>
                <w:sz w:val="20"/>
                <w:szCs w:val="20"/>
              </w:rPr>
              <w:t>Access</w:t>
            </w:r>
          </w:p>
        </w:tc>
        <w:tc>
          <w:tcPr>
            <w:tcW w:w="2622" w:type="dxa"/>
          </w:tcPr>
          <w:p w14:paraId="1841C2C0" w14:textId="39062FFF" w:rsidR="00A97DF3" w:rsidRPr="004C78D8" w:rsidRDefault="00A97DF3" w:rsidP="00FB7C1F">
            <w:pPr>
              <w:jc w:val="center"/>
              <w:rPr>
                <w:sz w:val="20"/>
                <w:szCs w:val="20"/>
              </w:rPr>
            </w:pPr>
            <w:r w:rsidRPr="004C78D8">
              <w:rPr>
                <w:sz w:val="20"/>
                <w:szCs w:val="20"/>
              </w:rPr>
              <w:t xml:space="preserve">Uptake </w:t>
            </w:r>
            <w:r w:rsidRPr="004C78D8">
              <w:rPr>
                <w:sz w:val="20"/>
                <w:szCs w:val="20"/>
              </w:rPr>
              <w:fldChar w:fldCharType="begin"/>
            </w:r>
            <w:r w:rsidR="00C630FC" w:rsidRPr="004C78D8">
              <w:rPr>
                <w:sz w:val="20"/>
                <w:szCs w:val="20"/>
              </w:rPr>
              <w:instrText xml:space="preserve"> ADDIN EN.CITE &lt;EndNote&gt;&lt;Cite&gt;&lt;Author&gt;Nyman&lt;/Author&gt;&lt;Year&gt;2008&lt;/Year&gt;&lt;RecNum&gt;684&lt;/RecNum&gt;&lt;DisplayText&gt;[248]&lt;/DisplayText&gt;&lt;record&gt;&lt;rec-number&gt;684&lt;/rec-number&gt;&lt;foreign-keys&gt;&lt;key app="EN" db-id="tdtrdw9aepptzbefsat599syza29sxsd2wsp" timestamp="1628849712"&gt;684&lt;/key&gt;&lt;/foreign-keys&gt;&lt;ref-type name="Journal Article"&gt;17&lt;/ref-type&gt;&lt;contributors&gt;&lt;authors&gt;&lt;author&gt;Nyman, Samuel R&lt;/author&gt;&lt;author&gt;Ballinger, Claire&lt;/author&gt;&lt;/authors&gt;&lt;/contributors&gt;&lt;titles&gt;&lt;title&gt;A review to explore how allied health professionals can improve uptake of and adherence to falls prevention interventions&lt;/title&gt;&lt;secondary-title&gt;British Journal of Occupational Therapy&lt;/secondary-title&gt;&lt;/titles&gt;&lt;periodical&gt;&lt;full-title&gt;British journal of occupational therapy&lt;/full-title&gt;&lt;/periodical&gt;&lt;pages&gt;141-145&lt;/pages&gt;&lt;volume&gt;71&lt;/volume&gt;&lt;number&gt;4&lt;/number&gt;&lt;dates&gt;&lt;year&gt;2008&lt;/year&gt;&lt;/dates&gt;&lt;isbn&gt;0308-0226&lt;/isbn&gt;&lt;urls&gt;&lt;/urls&gt;&lt;/record&gt;&lt;/Cite&gt;&lt;/EndNote&gt;</w:instrText>
            </w:r>
            <w:r w:rsidRPr="004C78D8">
              <w:rPr>
                <w:sz w:val="20"/>
                <w:szCs w:val="20"/>
              </w:rPr>
              <w:fldChar w:fldCharType="separate"/>
            </w:r>
            <w:r w:rsidR="00C630FC" w:rsidRPr="004C78D8">
              <w:rPr>
                <w:noProof/>
                <w:sz w:val="20"/>
                <w:szCs w:val="20"/>
              </w:rPr>
              <w:t>[248]</w:t>
            </w:r>
            <w:r w:rsidRPr="004C78D8">
              <w:rPr>
                <w:sz w:val="20"/>
                <w:szCs w:val="20"/>
              </w:rPr>
              <w:fldChar w:fldCharType="end"/>
            </w:r>
          </w:p>
        </w:tc>
        <w:tc>
          <w:tcPr>
            <w:tcW w:w="2623" w:type="dxa"/>
          </w:tcPr>
          <w:p w14:paraId="2DD8F780" w14:textId="42096FA3" w:rsidR="00A97DF3" w:rsidRPr="004C78D8" w:rsidRDefault="00A97DF3" w:rsidP="00FB7C1F">
            <w:pPr>
              <w:jc w:val="center"/>
              <w:rPr>
                <w:sz w:val="20"/>
                <w:szCs w:val="20"/>
              </w:rPr>
            </w:pPr>
            <w:r w:rsidRPr="004C78D8">
              <w:rPr>
                <w:sz w:val="20"/>
                <w:szCs w:val="20"/>
              </w:rPr>
              <w:t xml:space="preserve">Adoption </w:t>
            </w:r>
            <w:r w:rsidRPr="004C78D8">
              <w:rPr>
                <w:sz w:val="20"/>
                <w:szCs w:val="20"/>
              </w:rPr>
              <w:fldChar w:fldCharType="begin"/>
            </w:r>
            <w:r w:rsidR="00C630FC" w:rsidRPr="004C78D8">
              <w:rPr>
                <w:sz w:val="20"/>
                <w:szCs w:val="20"/>
              </w:rPr>
              <w:instrText xml:space="preserve"> ADDIN EN.CITE &lt;EndNote&gt;&lt;Cite&gt;&lt;Author&gt;Li&lt;/Author&gt;&lt;Year&gt;2016&lt;/Year&gt;&lt;RecNum&gt;570&lt;/RecNum&gt;&lt;DisplayText&gt;[249]&lt;/DisplayText&gt;&lt;record&gt;&lt;rec-number&gt;570&lt;/rec-number&gt;&lt;foreign-keys&gt;&lt;key app="EN" db-id="tdtrdw9aepptzbefsat599syza29sxsd2wsp" timestamp="1620319011"&gt;570&lt;/key&gt;&lt;/foreign-keys&gt;&lt;ref-type name="Journal Article"&gt;17&lt;/ref-type&gt;&lt;contributors&gt;&lt;authors&gt;&lt;author&gt;Li, F.&lt;/author&gt;&lt;author&gt;Harmer, P.&lt;/author&gt;&lt;author&gt;Fitzgerald, K.&lt;/author&gt;&lt;/authors&gt;&lt;/contributors&gt;&lt;auth-address&gt;Fuzhong Li is with Oregon Research Institute, Eugene. Peter Harmer is with the Department of Exercise Science, Willamette University, Salem, OR. Kathleen Fitzgerald is with Oregon Medical Group, Eugene.&lt;/auth-address&gt;&lt;titles&gt;&lt;title&gt;Implementing an Evidence-Based Fall Prevention Intervention in Community Senior Centers&lt;/title&gt;&lt;secondary-title&gt;Am J Public Health&lt;/secondary-title&gt;&lt;/titles&gt;&lt;periodical&gt;&lt;full-title&gt;Am J Public Health&lt;/full-title&gt;&lt;/periodical&gt;&lt;pages&gt;2026-2031&lt;/pages&gt;&lt;volume&gt;106&lt;/volume&gt;&lt;number&gt;11&lt;/number&gt;&lt;keywords&gt;&lt;keyword&gt;Accidental Falls/economics/*prevention &amp;amp; control&lt;/keyword&gt;&lt;keyword&gt;Aged&lt;/keyword&gt;&lt;keyword&gt;Aged, 80 and over&lt;/keyword&gt;&lt;keyword&gt;Cost-Benefit Analysis&lt;/keyword&gt;&lt;keyword&gt;Female&lt;/keyword&gt;&lt;keyword&gt;Humans&lt;/keyword&gt;&lt;keyword&gt;Male&lt;/keyword&gt;&lt;keyword&gt;Physical Fitness&lt;/keyword&gt;&lt;keyword&gt;*Postural Balance&lt;/keyword&gt;&lt;keyword&gt;Senior Centers/economics/*organization &amp;amp; administration&lt;/keyword&gt;&lt;keyword&gt;Tai Ji/economics/*methods&lt;/keyword&gt;&lt;/keywords&gt;&lt;dates&gt;&lt;year&gt;2016&lt;/year&gt;&lt;pub-dates&gt;&lt;date&gt;Nov&lt;/date&gt;&lt;/pub-dates&gt;&lt;/dates&gt;&lt;isbn&gt;1541-0048 (Electronic)&amp;#xD;0090-0036 (Linking)&lt;/isbn&gt;&lt;accession-num&gt;27631751&lt;/accession-num&gt;&lt;urls&gt;&lt;related-urls&gt;&lt;url&gt;https://www.ncbi.nlm.nih.gov/pubmed/27631751&lt;/url&gt;&lt;/related-urls&gt;&lt;/urls&gt;&lt;custom2&gt;PMC5055774&lt;/custom2&gt;&lt;electronic-resource-num&gt;10.2105/AJPH.2016.303386&lt;/electronic-resource-num&gt;&lt;/record&gt;&lt;/Cite&gt;&lt;/EndNote&gt;</w:instrText>
            </w:r>
            <w:r w:rsidRPr="004C78D8">
              <w:rPr>
                <w:sz w:val="20"/>
                <w:szCs w:val="20"/>
              </w:rPr>
              <w:fldChar w:fldCharType="separate"/>
            </w:r>
            <w:r w:rsidR="00C630FC" w:rsidRPr="004C78D8">
              <w:rPr>
                <w:noProof/>
                <w:sz w:val="20"/>
                <w:szCs w:val="20"/>
              </w:rPr>
              <w:t>[249]</w:t>
            </w:r>
            <w:r w:rsidRPr="004C78D8">
              <w:rPr>
                <w:sz w:val="20"/>
                <w:szCs w:val="20"/>
              </w:rPr>
              <w:fldChar w:fldCharType="end"/>
            </w:r>
          </w:p>
        </w:tc>
      </w:tr>
      <w:tr w:rsidR="00A97DF3" w:rsidRPr="004C78D8" w14:paraId="28917326" w14:textId="77777777" w:rsidTr="002828C1">
        <w:tc>
          <w:tcPr>
            <w:tcW w:w="1413" w:type="dxa"/>
          </w:tcPr>
          <w:p w14:paraId="28B0EB2F" w14:textId="77777777" w:rsidR="00A97DF3" w:rsidRPr="004C78D8" w:rsidRDefault="00A97DF3" w:rsidP="00FB7C1F">
            <w:pPr>
              <w:rPr>
                <w:sz w:val="20"/>
                <w:szCs w:val="20"/>
              </w:rPr>
            </w:pPr>
            <w:r w:rsidRPr="004C78D8">
              <w:rPr>
                <w:i/>
                <w:sz w:val="20"/>
                <w:szCs w:val="20"/>
              </w:rPr>
              <w:t>Compliance</w:t>
            </w:r>
          </w:p>
        </w:tc>
        <w:tc>
          <w:tcPr>
            <w:tcW w:w="2622" w:type="dxa"/>
          </w:tcPr>
          <w:p w14:paraId="263B2771" w14:textId="65D56BEF" w:rsidR="00A97DF3" w:rsidRPr="004C78D8" w:rsidRDefault="00A97DF3" w:rsidP="00FB7C1F">
            <w:pPr>
              <w:jc w:val="center"/>
              <w:rPr>
                <w:sz w:val="20"/>
                <w:szCs w:val="20"/>
              </w:rPr>
            </w:pPr>
            <w:r w:rsidRPr="004C78D8">
              <w:rPr>
                <w:sz w:val="20"/>
                <w:szCs w:val="20"/>
              </w:rPr>
              <w:t xml:space="preserve">Adherence </w:t>
            </w:r>
            <w:r w:rsidRPr="004C78D8">
              <w:rPr>
                <w:sz w:val="20"/>
                <w:szCs w:val="20"/>
              </w:rPr>
              <w:fldChar w:fldCharType="begin"/>
            </w:r>
            <w:r w:rsidR="00C630FC" w:rsidRPr="004C78D8">
              <w:rPr>
                <w:sz w:val="20"/>
                <w:szCs w:val="20"/>
              </w:rPr>
              <w:instrText xml:space="preserve"> ADDIN EN.CITE &lt;EndNote&gt;&lt;Cite&gt;&lt;Author&gt;Nyman&lt;/Author&gt;&lt;Year&gt;2008&lt;/Year&gt;&lt;RecNum&gt;684&lt;/RecNum&gt;&lt;DisplayText&gt;[248]&lt;/DisplayText&gt;&lt;record&gt;&lt;rec-number&gt;684&lt;/rec-number&gt;&lt;foreign-keys&gt;&lt;key app="EN" db-id="tdtrdw9aepptzbefsat599syza29sxsd2wsp" timestamp="1628849712"&gt;684&lt;/key&gt;&lt;/foreign-keys&gt;&lt;ref-type name="Journal Article"&gt;17&lt;/ref-type&gt;&lt;contributors&gt;&lt;authors&gt;&lt;author&gt;Nyman, Samuel R&lt;/author&gt;&lt;author&gt;Ballinger, Claire&lt;/author&gt;&lt;/authors&gt;&lt;/contributors&gt;&lt;titles&gt;&lt;title&gt;A review to explore how allied health professionals can improve uptake of and adherence to falls prevention interventions&lt;/title&gt;&lt;secondary-title&gt;British Journal of Occupational Therapy&lt;/secondary-title&gt;&lt;/titles&gt;&lt;periodical&gt;&lt;full-title&gt;British journal of occupational therapy&lt;/full-title&gt;&lt;/periodical&gt;&lt;pages&gt;141-145&lt;/pages&gt;&lt;volume&gt;71&lt;/volume&gt;&lt;number&gt;4&lt;/number&gt;&lt;dates&gt;&lt;year&gt;2008&lt;/year&gt;&lt;/dates&gt;&lt;isbn&gt;0308-0226&lt;/isbn&gt;&lt;urls&gt;&lt;/urls&gt;&lt;/record&gt;&lt;/Cite&gt;&lt;/EndNote&gt;</w:instrText>
            </w:r>
            <w:r w:rsidRPr="004C78D8">
              <w:rPr>
                <w:sz w:val="20"/>
                <w:szCs w:val="20"/>
              </w:rPr>
              <w:fldChar w:fldCharType="separate"/>
            </w:r>
            <w:r w:rsidR="00C630FC" w:rsidRPr="004C78D8">
              <w:rPr>
                <w:noProof/>
                <w:sz w:val="20"/>
                <w:szCs w:val="20"/>
              </w:rPr>
              <w:t>[248]</w:t>
            </w:r>
            <w:r w:rsidRPr="004C78D8">
              <w:rPr>
                <w:sz w:val="20"/>
                <w:szCs w:val="20"/>
              </w:rPr>
              <w:fldChar w:fldCharType="end"/>
            </w:r>
          </w:p>
        </w:tc>
        <w:tc>
          <w:tcPr>
            <w:tcW w:w="2623" w:type="dxa"/>
          </w:tcPr>
          <w:p w14:paraId="4664EAD3" w14:textId="0E4B6C63" w:rsidR="00A97DF3" w:rsidRPr="004C78D8" w:rsidRDefault="00A97DF3" w:rsidP="00FB7C1F">
            <w:pPr>
              <w:jc w:val="center"/>
              <w:rPr>
                <w:sz w:val="20"/>
                <w:szCs w:val="20"/>
              </w:rPr>
            </w:pPr>
            <w:r w:rsidRPr="004C78D8">
              <w:rPr>
                <w:sz w:val="20"/>
                <w:szCs w:val="20"/>
              </w:rPr>
              <w:t xml:space="preserve">Fidelity </w:t>
            </w:r>
            <w:r w:rsidRPr="004C78D8">
              <w:rPr>
                <w:sz w:val="20"/>
                <w:szCs w:val="20"/>
              </w:rPr>
              <w:fldChar w:fldCharType="begin"/>
            </w:r>
            <w:r w:rsidR="00C630FC" w:rsidRPr="004C78D8">
              <w:rPr>
                <w:sz w:val="20"/>
                <w:szCs w:val="20"/>
              </w:rPr>
              <w:instrText xml:space="preserve"> ADDIN EN.CITE &lt;EndNote&gt;&lt;Cite&gt;&lt;Author&gt;Li&lt;/Author&gt;&lt;Year&gt;2013&lt;/Year&gt;&lt;RecNum&gt;686&lt;/RecNum&gt;&lt;DisplayText&gt;[250]&lt;/DisplayText&gt;&lt;record&gt;&lt;rec-number&gt;686&lt;/rec-number&gt;&lt;foreign-keys&gt;&lt;key app="EN" db-id="tdtrdw9aepptzbefsat599syza29sxsd2wsp" timestamp="1628850505"&gt;686&lt;/key&gt;&lt;/foreign-keys&gt;&lt;ref-type name="Journal Article"&gt;17&lt;/ref-type&gt;&lt;contributors&gt;&lt;authors&gt;&lt;author&gt;Li, Fuzhong&lt;/author&gt;&lt;author&gt;Harmer, Peter&lt;/author&gt;&lt;author&gt;Stock, Ronald&lt;/author&gt;&lt;author&gt;Fitzgerald, Kathleen&lt;/author&gt;&lt;author&gt;Stevens, Judy&lt;/author&gt;&lt;author&gt;Gladieux, Michele&lt;/author&gt;&lt;author&gt;Chou, Li‐Shan&lt;/author&gt;&lt;author&gt;Carp, Kenji&lt;/author&gt;&lt;author&gt;Voit, Jan&lt;/author&gt;&lt;/authors&gt;&lt;/contributors&gt;&lt;titles&gt;&lt;title&gt;Implementing an evidence‐based fall prevention program in an outpatient clinical setting&lt;/title&gt;&lt;secondary-title&gt;Journal of the American Geriatrics Society&lt;/secondary-title&gt;&lt;/titles&gt;&lt;periodical&gt;&lt;full-title&gt;Journal of the American Geriatrics Society&lt;/full-title&gt;&lt;/periodical&gt;&lt;pages&gt;2142-2149&lt;/pages&gt;&lt;volume&gt;61&lt;/volume&gt;&lt;number&gt;12&lt;/number&gt;&lt;dates&gt;&lt;year&gt;2013&lt;/year&gt;&lt;/dates&gt;&lt;isbn&gt;0002-8614&lt;/isbn&gt;&lt;urls&gt;&lt;/urls&gt;&lt;/record&gt;&lt;/Cite&gt;&lt;/EndNote&gt;</w:instrText>
            </w:r>
            <w:r w:rsidRPr="004C78D8">
              <w:rPr>
                <w:sz w:val="20"/>
                <w:szCs w:val="20"/>
              </w:rPr>
              <w:fldChar w:fldCharType="separate"/>
            </w:r>
            <w:r w:rsidR="00C630FC" w:rsidRPr="004C78D8">
              <w:rPr>
                <w:noProof/>
                <w:sz w:val="20"/>
                <w:szCs w:val="20"/>
              </w:rPr>
              <w:t>[250]</w:t>
            </w:r>
            <w:r w:rsidRPr="004C78D8">
              <w:rPr>
                <w:sz w:val="20"/>
                <w:szCs w:val="20"/>
              </w:rPr>
              <w:fldChar w:fldCharType="end"/>
            </w:r>
          </w:p>
        </w:tc>
      </w:tr>
      <w:tr w:rsidR="00A97DF3" w:rsidRPr="004C78D8" w14:paraId="1C926F47" w14:textId="77777777" w:rsidTr="002828C1">
        <w:tc>
          <w:tcPr>
            <w:tcW w:w="1413" w:type="dxa"/>
          </w:tcPr>
          <w:p w14:paraId="6EFB521E" w14:textId="38DFB4CD" w:rsidR="00A97DF3" w:rsidRPr="004C78D8" w:rsidRDefault="00A97DF3" w:rsidP="00FB7C1F">
            <w:pPr>
              <w:rPr>
                <w:sz w:val="20"/>
                <w:szCs w:val="20"/>
              </w:rPr>
            </w:pPr>
            <w:r w:rsidRPr="004C78D8">
              <w:rPr>
                <w:i/>
                <w:sz w:val="20"/>
                <w:szCs w:val="20"/>
              </w:rPr>
              <w:t>Sustainability</w:t>
            </w:r>
            <w:r w:rsidRPr="004C78D8">
              <w:rPr>
                <w:i/>
                <w:sz w:val="20"/>
                <w:szCs w:val="20"/>
                <w:vertAlign w:val="superscript"/>
              </w:rPr>
              <w:t>1</w:t>
            </w:r>
          </w:p>
        </w:tc>
        <w:tc>
          <w:tcPr>
            <w:tcW w:w="2622" w:type="dxa"/>
          </w:tcPr>
          <w:p w14:paraId="3A8A3685" w14:textId="35F6C1D4" w:rsidR="00A97DF3" w:rsidRPr="004C78D8" w:rsidRDefault="00A97DF3" w:rsidP="00FB7C1F">
            <w:pPr>
              <w:jc w:val="center"/>
              <w:rPr>
                <w:sz w:val="20"/>
                <w:szCs w:val="20"/>
              </w:rPr>
            </w:pPr>
            <w:r w:rsidRPr="004C78D8">
              <w:rPr>
                <w:sz w:val="20"/>
                <w:szCs w:val="20"/>
              </w:rPr>
              <w:t xml:space="preserve">Persistence </w:t>
            </w:r>
            <w:r w:rsidRPr="004C78D8">
              <w:rPr>
                <w:sz w:val="20"/>
                <w:szCs w:val="20"/>
              </w:rPr>
              <w:fldChar w:fldCharType="begin"/>
            </w:r>
            <w:r w:rsidR="00C630FC" w:rsidRPr="004C78D8">
              <w:rPr>
                <w:sz w:val="20"/>
                <w:szCs w:val="20"/>
              </w:rPr>
              <w:instrText xml:space="preserve"> ADDIN EN.CITE &lt;EndNote&gt;&lt;Cite&gt;&lt;Author&gt;Karlsson&lt;/Author&gt;&lt;Year&gt;2015&lt;/Year&gt;&lt;RecNum&gt;685&lt;/RecNum&gt;&lt;DisplayText&gt;[251]&lt;/DisplayText&gt;&lt;record&gt;&lt;rec-number&gt;685&lt;/rec-number&gt;&lt;foreign-keys&gt;&lt;key app="EN" db-id="tdtrdw9aepptzbefsat599syza29sxsd2wsp" timestamp="1628850070"&gt;685&lt;/key&gt;&lt;/foreign-keys&gt;&lt;ref-type name="Journal Article"&gt;17&lt;/ref-type&gt;&lt;contributors&gt;&lt;authors&gt;&lt;author&gt;Karlsson, L&lt;/author&gt;&lt;author&gt;Lundkvist, Jonas&lt;/author&gt;&lt;author&gt;Psachoulia, E&lt;/author&gt;&lt;author&gt;Intorcia, M&lt;/author&gt;&lt;author&gt;Ström, O&lt;/author&gt;&lt;/authors&gt;&lt;/contributors&gt;&lt;titles&gt;&lt;title&gt;Persistence with denosumab and persistence with oral bisphosphonates for the treatment of postmenopausal osteoporosis: a retrospective, observational study, and a meta-analysis&lt;/title&gt;&lt;secondary-title&gt;Osteoporosis International&lt;/secondary-title&gt;&lt;/titles&gt;&lt;periodical&gt;&lt;full-title&gt;Osteoporosis International&lt;/full-title&gt;&lt;/periodical&gt;&lt;pages&gt;2401-2411&lt;/pages&gt;&lt;volume&gt;26&lt;/volume&gt;&lt;number&gt;10&lt;/number&gt;&lt;dates&gt;&lt;year&gt;2015&lt;/year&gt;&lt;/dates&gt;&lt;isbn&gt;1433-2965&lt;/isbn&gt;&lt;urls&gt;&lt;/urls&gt;&lt;/record&gt;&lt;/Cite&gt;&lt;/EndNote&gt;</w:instrText>
            </w:r>
            <w:r w:rsidRPr="004C78D8">
              <w:rPr>
                <w:sz w:val="20"/>
                <w:szCs w:val="20"/>
              </w:rPr>
              <w:fldChar w:fldCharType="separate"/>
            </w:r>
            <w:r w:rsidR="00C630FC" w:rsidRPr="004C78D8">
              <w:rPr>
                <w:noProof/>
                <w:sz w:val="20"/>
                <w:szCs w:val="20"/>
              </w:rPr>
              <w:t>[251]</w:t>
            </w:r>
            <w:r w:rsidRPr="004C78D8">
              <w:rPr>
                <w:sz w:val="20"/>
                <w:szCs w:val="20"/>
              </w:rPr>
              <w:fldChar w:fldCharType="end"/>
            </w:r>
          </w:p>
        </w:tc>
        <w:tc>
          <w:tcPr>
            <w:tcW w:w="2623" w:type="dxa"/>
          </w:tcPr>
          <w:p w14:paraId="635A5C43" w14:textId="03E2DF99" w:rsidR="00A97DF3" w:rsidRPr="004C78D8" w:rsidRDefault="00A97DF3" w:rsidP="00FB7C1F">
            <w:pPr>
              <w:jc w:val="center"/>
              <w:rPr>
                <w:sz w:val="20"/>
                <w:szCs w:val="20"/>
              </w:rPr>
            </w:pPr>
            <w:r w:rsidRPr="004C78D8">
              <w:rPr>
                <w:sz w:val="20"/>
                <w:szCs w:val="20"/>
              </w:rPr>
              <w:t xml:space="preserve">Maintenance </w:t>
            </w:r>
            <w:r w:rsidRPr="004C78D8">
              <w:rPr>
                <w:sz w:val="20"/>
                <w:szCs w:val="20"/>
              </w:rPr>
              <w:fldChar w:fldCharType="begin"/>
            </w:r>
            <w:r w:rsidR="00C630FC" w:rsidRPr="004C78D8">
              <w:rPr>
                <w:sz w:val="20"/>
                <w:szCs w:val="20"/>
              </w:rPr>
              <w:instrText xml:space="preserve"> ADDIN EN.CITE &lt;EndNote&gt;&lt;Cite&gt;&lt;Author&gt;Li&lt;/Author&gt;&lt;Year&gt;2016&lt;/Year&gt;&lt;RecNum&gt;570&lt;/RecNum&gt;&lt;DisplayText&gt;[249]&lt;/DisplayText&gt;&lt;record&gt;&lt;rec-number&gt;570&lt;/rec-number&gt;&lt;foreign-keys&gt;&lt;key app="EN" db-id="tdtrdw9aepptzbefsat599syza29sxsd2wsp" timestamp="1620319011"&gt;570&lt;/key&gt;&lt;/foreign-keys&gt;&lt;ref-type name="Journal Article"&gt;17&lt;/ref-type&gt;&lt;contributors&gt;&lt;authors&gt;&lt;author&gt;Li, F.&lt;/author&gt;&lt;author&gt;Harmer, P.&lt;/author&gt;&lt;author&gt;Fitzgerald, K.&lt;/author&gt;&lt;/authors&gt;&lt;/contributors&gt;&lt;auth-address&gt;Fuzhong Li is with Oregon Research Institute, Eugene. Peter Harmer is with the Department of Exercise Science, Willamette University, Salem, OR. Kathleen Fitzgerald is with Oregon Medical Group, Eugene.&lt;/auth-address&gt;&lt;titles&gt;&lt;title&gt;Implementing an Evidence-Based Fall Prevention Intervention in Community Senior Centers&lt;/title&gt;&lt;secondary-title&gt;Am J Public Health&lt;/secondary-title&gt;&lt;/titles&gt;&lt;periodical&gt;&lt;full-title&gt;Am J Public Health&lt;/full-title&gt;&lt;/periodical&gt;&lt;pages&gt;2026-2031&lt;/pages&gt;&lt;volume&gt;106&lt;/volume&gt;&lt;number&gt;11&lt;/number&gt;&lt;keywords&gt;&lt;keyword&gt;Accidental Falls/economics/*prevention &amp;amp; control&lt;/keyword&gt;&lt;keyword&gt;Aged&lt;/keyword&gt;&lt;keyword&gt;Aged, 80 and over&lt;/keyword&gt;&lt;keyword&gt;Cost-Benefit Analysis&lt;/keyword&gt;&lt;keyword&gt;Female&lt;/keyword&gt;&lt;keyword&gt;Humans&lt;/keyword&gt;&lt;keyword&gt;Male&lt;/keyword&gt;&lt;keyword&gt;Physical Fitness&lt;/keyword&gt;&lt;keyword&gt;*Postural Balance&lt;/keyword&gt;&lt;keyword&gt;Senior Centers/economics/*organization &amp;amp; administration&lt;/keyword&gt;&lt;keyword&gt;Tai Ji/economics/*methods&lt;/keyword&gt;&lt;/keywords&gt;&lt;dates&gt;&lt;year&gt;2016&lt;/year&gt;&lt;pub-dates&gt;&lt;date&gt;Nov&lt;/date&gt;&lt;/pub-dates&gt;&lt;/dates&gt;&lt;isbn&gt;1541-0048 (Electronic)&amp;#xD;0090-0036 (Linking)&lt;/isbn&gt;&lt;accession-num&gt;27631751&lt;/accession-num&gt;&lt;urls&gt;&lt;related-urls&gt;&lt;url&gt;https://www.ncbi.nlm.nih.gov/pubmed/27631751&lt;/url&gt;&lt;/related-urls&gt;&lt;/urls&gt;&lt;custom2&gt;PMC5055774&lt;/custom2&gt;&lt;electronic-resource-num&gt;10.2105/AJPH.2016.303386&lt;/electronic-resource-num&gt;&lt;/record&gt;&lt;/Cite&gt;&lt;/EndNote&gt;</w:instrText>
            </w:r>
            <w:r w:rsidRPr="004C78D8">
              <w:rPr>
                <w:sz w:val="20"/>
                <w:szCs w:val="20"/>
              </w:rPr>
              <w:fldChar w:fldCharType="separate"/>
            </w:r>
            <w:r w:rsidR="00C630FC" w:rsidRPr="004C78D8">
              <w:rPr>
                <w:noProof/>
                <w:sz w:val="20"/>
                <w:szCs w:val="20"/>
              </w:rPr>
              <w:t>[249]</w:t>
            </w:r>
            <w:r w:rsidRPr="004C78D8">
              <w:rPr>
                <w:sz w:val="20"/>
                <w:szCs w:val="20"/>
              </w:rPr>
              <w:fldChar w:fldCharType="end"/>
            </w:r>
          </w:p>
        </w:tc>
      </w:tr>
      <w:tr w:rsidR="00A97DF3" w:rsidRPr="004C78D8" w14:paraId="465F1F9E" w14:textId="77777777" w:rsidTr="002828C1">
        <w:tc>
          <w:tcPr>
            <w:tcW w:w="6658" w:type="dxa"/>
            <w:gridSpan w:val="3"/>
          </w:tcPr>
          <w:p w14:paraId="38C3B0B7" w14:textId="097DD6A4" w:rsidR="00A97DF3" w:rsidRPr="004C78D8" w:rsidRDefault="00A97DF3" w:rsidP="00FB7C1F">
            <w:pPr>
              <w:rPr>
                <w:sz w:val="20"/>
                <w:szCs w:val="20"/>
              </w:rPr>
            </w:pPr>
            <w:r w:rsidRPr="004C78D8">
              <w:rPr>
                <w:sz w:val="18"/>
                <w:szCs w:val="18"/>
                <w:vertAlign w:val="superscript"/>
              </w:rPr>
              <w:t>1</w:t>
            </w:r>
            <w:r w:rsidRPr="004C78D8">
              <w:rPr>
                <w:sz w:val="18"/>
                <w:szCs w:val="18"/>
              </w:rPr>
              <w:t xml:space="preserve"> The extent to which access and compliance are preserved over time after the initial receipt for interventions requiring ongoing receipt (e.g., exercise).</w:t>
            </w:r>
          </w:p>
        </w:tc>
      </w:tr>
    </w:tbl>
    <w:p w14:paraId="4A4CC0A5" w14:textId="77777777" w:rsidR="00A97DF3" w:rsidRPr="004C78D8" w:rsidRDefault="00A97DF3" w:rsidP="00FB7C1F"/>
    <w:p w14:paraId="05A81CBF" w14:textId="05DD2893" w:rsidR="00AD394F" w:rsidRPr="004C78D8" w:rsidRDefault="00AD394F" w:rsidP="00FB7C1F">
      <w:pPr>
        <w:pStyle w:val="Heading3"/>
      </w:pPr>
      <w:bookmarkStart w:id="80" w:name="_Toc111630729"/>
      <w:r w:rsidRPr="004C78D8">
        <w:t xml:space="preserve">3.5.4 </w:t>
      </w:r>
      <w:r w:rsidR="00BC6069" w:rsidRPr="004C78D8">
        <w:t>I</w:t>
      </w:r>
      <w:r w:rsidR="009C146D" w:rsidRPr="004C78D8">
        <w:t>ssues of equity</w:t>
      </w:r>
      <w:bookmarkEnd w:id="80"/>
    </w:p>
    <w:p w14:paraId="7ABF2676" w14:textId="26BDC662" w:rsidR="002813EB" w:rsidRPr="004C78D8" w:rsidRDefault="0048342E" w:rsidP="00FB7C1F">
      <w:r w:rsidRPr="004C78D8">
        <w:t xml:space="preserve">As highlighted by an international expert panel, </w:t>
      </w:r>
      <w:bookmarkStart w:id="81" w:name="_Hlk106615198"/>
      <w:r w:rsidRPr="004C78D8">
        <w:t xml:space="preserve">healthcare decision-makers face several priority setting criteria beyond cost-effectiveness </w:t>
      </w:r>
      <w:r w:rsidR="000E0901" w:rsidRPr="004C78D8">
        <w:t>in the interest of fairness or equity</w:t>
      </w:r>
      <w:bookmarkEnd w:id="81"/>
      <w:r w:rsidR="000E0901" w:rsidRPr="004C78D8">
        <w:t xml:space="preserve"> </w:t>
      </w:r>
      <w:r w:rsidRPr="004C78D8">
        <w:fldChar w:fldCharType="begin"/>
      </w:r>
      <w:r w:rsidR="00513646" w:rsidRPr="004C78D8">
        <w:instrText xml:space="preserve"> ADDIN EN.CITE &lt;EndNote&gt;&lt;Cite&gt;&lt;Author&gt;Norheim&lt;/Author&gt;&lt;Year&gt;2014&lt;/Year&gt;&lt;RecNum&gt;4&lt;/RecNum&gt;&lt;DisplayText&gt;[71]&lt;/DisplayText&gt;&lt;record&gt;&lt;rec-number&gt;4&lt;/rec-number&gt;&lt;foreign-keys&gt;&lt;key app="EN" db-id="tdtrdw9aepptzbefsat599syza29sxsd2wsp" timestamp="1596571466"&gt;4&lt;/key&gt;&lt;/foreign-keys&gt;&lt;ref-type name="Journal Article"&gt;17&lt;/ref-type&gt;&lt;contributors&gt;&lt;authors&gt;&lt;author&gt;Norheim, Ole F&lt;/author&gt;&lt;author&gt;Baltussen, Rob&lt;/author&gt;&lt;author&gt;Johri, Mira&lt;/author&gt;&lt;author&gt;Chisholm, Dan&lt;/author&gt;&lt;author&gt;Nord, Erik&lt;/author&gt;&lt;author&gt;Brock, DanW&lt;/author&gt;&lt;author&gt;Carlsson, Per&lt;/author&gt;&lt;author&gt;Cookson, Richard&lt;/author&gt;&lt;author&gt;Daniels, Norman&lt;/author&gt;&lt;author&gt;Danis, Marion&lt;/author&gt;&lt;/authors&gt;&lt;/contributors&gt;&lt;titles&gt;&lt;title&gt;Guidance on priority setting in health care (GPS-Health): the inclusion of equity criteria not captured by cost-effectiveness analysis&lt;/title&gt;&lt;secondary-title&gt;Cost Effectiveness and Resource Allocation&lt;/secondary-title&gt;&lt;/titles&gt;&lt;periodical&gt;&lt;full-title&gt;Cost Effectiveness and Resource Allocation&lt;/full-title&gt;&lt;/periodical&gt;&lt;pages&gt;18&lt;/pages&gt;&lt;volume&gt;12&lt;/volume&gt;&lt;number&gt;1&lt;/number&gt;&lt;dates&gt;&lt;year&gt;2014&lt;/year&gt;&lt;/dates&gt;&lt;isbn&gt;1478-7547&lt;/isbn&gt;&lt;urls&gt;&lt;/urls&gt;&lt;/record&gt;&lt;/Cite&gt;&lt;/EndNote&gt;</w:instrText>
      </w:r>
      <w:r w:rsidRPr="004C78D8">
        <w:fldChar w:fldCharType="separate"/>
      </w:r>
      <w:r w:rsidR="00513646" w:rsidRPr="004C78D8">
        <w:rPr>
          <w:noProof/>
        </w:rPr>
        <w:t>[71]</w:t>
      </w:r>
      <w:r w:rsidRPr="004C78D8">
        <w:fldChar w:fldCharType="end"/>
      </w:r>
      <w:r w:rsidRPr="004C78D8">
        <w:t xml:space="preserve">. These criteria include prioritising the care needs of socially deprived subgroups and those with more severe disease and past health loss among similar-age peers. These two vulnerable subgroups overlap in practice given the strong influence of social factors (e.g., income, housing) on health both over the earlier life course and contemporaneously in old age </w:t>
      </w:r>
      <w:r w:rsidRPr="004C78D8">
        <w:fldChar w:fldCharType="begin"/>
      </w:r>
      <w:r w:rsidR="00720CEE">
        <w:instrText xml:space="preserve"> ADDIN EN.CITE &lt;EndNote&gt;&lt;Cite&gt;&lt;Author&gt;World Health Organization&lt;/Author&gt;&lt;Year&gt;2015&lt;/Year&gt;&lt;RecNum&gt;1&lt;/RecNum&gt;&lt;DisplayText&gt;[2, 14]&lt;/DisplayText&gt;&lt;record&gt;&lt;rec-number&gt;1&lt;/rec-number&gt;&lt;foreign-keys&gt;&lt;key app="EN" db-id="tdtrdw9aepptzbefsat599syza29sxsd2wsp" timestamp="1596571129"&gt;1&lt;/key&gt;&lt;/foreign-keys&gt;&lt;ref-type name="Book"&gt;6&lt;/ref-type&gt;&lt;contributors&gt;&lt;authors&gt;&lt;author&gt;World Health Organization,&lt;/author&gt;&lt;/authors&gt;&lt;/contributors&gt;&lt;titles&gt;&lt;title&gt;World Report on Ageing and Health&lt;/title&gt;&lt;/titles&gt;&lt;dates&gt;&lt;year&gt;2015&lt;/year&gt;&lt;/dates&gt;&lt;publisher&gt;World Health Organization&lt;/publisher&gt;&lt;isbn&gt;9241565047&lt;/isbn&gt;&lt;urls&gt;&lt;/urls&gt;&lt;/record&gt;&lt;/Cite&gt;&lt;Cite&gt;&lt;Author&gt;Barnett&lt;/Author&gt;&lt;Year&gt;2012&lt;/Year&gt;&lt;RecNum&gt;30&lt;/RecNum&gt;&lt;record&gt;&lt;rec-number&gt;30&lt;/rec-number&gt;&lt;foreign-keys&gt;&lt;key app="EN" db-id="tdtrdw9aepptzbefsat599syza29sxsd2wsp" timestamp="1596723916"&gt;30&lt;/key&gt;&lt;/foreign-keys&gt;&lt;ref-type name="Journal Article"&gt;17&lt;/ref-type&gt;&lt;contributors&gt;&lt;authors&gt;&lt;author&gt;Barnett, Karen&lt;/author&gt;&lt;author&gt;Mercer, Stewart W&lt;/author&gt;&lt;author&gt;Norbury, Michael&lt;/author&gt;&lt;author&gt;Watt, Graham&lt;/author&gt;&lt;author&gt;Wyke, Sally&lt;/author&gt;&lt;author&gt;Guthrie, Bruce&lt;/author&gt;&lt;/authors&gt;&lt;/contributors&gt;&lt;titles&gt;&lt;title&gt;Epidemiology of multimorbidity and implications for health care, research, and medical education: a cross-sectional study&lt;/title&gt;&lt;secondary-title&gt;The Lancet&lt;/secondary-title&gt;&lt;/titles&gt;&lt;periodical&gt;&lt;full-title&gt;The Lancet&lt;/full-title&gt;&lt;/periodical&gt;&lt;pages&gt;37-43&lt;/pages&gt;&lt;volume&gt;380&lt;/volume&gt;&lt;number&gt;9836&lt;/number&gt;&lt;dates&gt;&lt;year&gt;2012&lt;/year&gt;&lt;/dates&gt;&lt;isbn&gt;0140-6736&lt;/isbn&gt;&lt;urls&gt;&lt;/urls&gt;&lt;/record&gt;&lt;/Cite&gt;&lt;/EndNote&gt;</w:instrText>
      </w:r>
      <w:r w:rsidRPr="004C78D8">
        <w:fldChar w:fldCharType="separate"/>
      </w:r>
      <w:r w:rsidR="00720CEE">
        <w:rPr>
          <w:noProof/>
        </w:rPr>
        <w:t>[2, 14]</w:t>
      </w:r>
      <w:r w:rsidRPr="004C78D8">
        <w:fldChar w:fldCharType="end"/>
      </w:r>
      <w:r w:rsidRPr="004C78D8">
        <w:t xml:space="preserve">. </w:t>
      </w:r>
      <w:r w:rsidR="002813EB" w:rsidRPr="004C78D8">
        <w:t xml:space="preserve">In the Sheffield context, the lower super output area (LSOA) </w:t>
      </w:r>
      <w:r w:rsidR="00A72C30" w:rsidRPr="004C78D8">
        <w:t>multiple</w:t>
      </w:r>
      <w:r w:rsidR="002813EB" w:rsidRPr="004C78D8">
        <w:t xml:space="preserve"> deprivation variable </w:t>
      </w:r>
      <w:r w:rsidR="00A72C30" w:rsidRPr="004C78D8">
        <w:fldChar w:fldCharType="begin"/>
      </w:r>
      <w:r w:rsidR="00C630FC" w:rsidRPr="004C78D8">
        <w:instrText xml:space="preserve"> ADDIN EN.CITE &lt;EndNote&gt;&lt;Cite&gt;&lt;Author&gt;McLennan&lt;/Author&gt;&lt;Year&gt;2019&lt;/Year&gt;&lt;RecNum&gt;783&lt;/RecNum&gt;&lt;DisplayText&gt;[252]&lt;/DisplayText&gt;&lt;record&gt;&lt;rec-number&gt;783&lt;/rec-number&gt;&lt;foreign-keys&gt;&lt;key app="EN" db-id="tdtrdw9aepptzbefsat599syza29sxsd2wsp" timestamp="1642759650"&gt;783&lt;/key&gt;&lt;/foreign-keys&gt;&lt;ref-type name="Journal Article"&gt;17&lt;/ref-type&gt;&lt;contributors&gt;&lt;authors&gt;&lt;author&gt;McLennan, David&lt;/author&gt;&lt;author&gt;Noble, Stefan&lt;/author&gt;&lt;author&gt;Noble, Michael&lt;/author&gt;&lt;author&gt;Plunkett, Emma&lt;/author&gt;&lt;author&gt;Wright, Gemma&lt;/author&gt;&lt;author&gt;Gutacker, Nils&lt;/author&gt;&lt;/authors&gt;&lt;/contributors&gt;&lt;titles&gt;&lt;title&gt;The English indices of deprivation 2019: Technical report&lt;/title&gt;&lt;/titles&gt;&lt;dates&gt;&lt;year&gt;2019&lt;/year&gt;&lt;/dates&gt;&lt;urls&gt;&lt;/urls&gt;&lt;/record&gt;&lt;/Cite&gt;&lt;/EndNote&gt;</w:instrText>
      </w:r>
      <w:r w:rsidR="00A72C30" w:rsidRPr="004C78D8">
        <w:fldChar w:fldCharType="separate"/>
      </w:r>
      <w:r w:rsidR="00C630FC" w:rsidRPr="004C78D8">
        <w:rPr>
          <w:noProof/>
        </w:rPr>
        <w:t>[252]</w:t>
      </w:r>
      <w:r w:rsidR="00A72C30" w:rsidRPr="004C78D8">
        <w:fldChar w:fldCharType="end"/>
      </w:r>
      <w:r w:rsidR="00A72C30" w:rsidRPr="004C78D8">
        <w:t xml:space="preserve"> </w:t>
      </w:r>
      <w:r w:rsidR="002813EB" w:rsidRPr="004C78D8">
        <w:t xml:space="preserve">was perceived to be the main </w:t>
      </w:r>
      <w:r w:rsidR="005056A1" w:rsidRPr="004C78D8">
        <w:t xml:space="preserve">characteristic </w:t>
      </w:r>
      <w:r w:rsidR="002813EB" w:rsidRPr="004C78D8">
        <w:t xml:space="preserve">of equity relevance (Document 2 in Appendix B). The qualitative data similarly highlighted area-based social deprivation as a factor influencing intervention demand and supply; ethnic/linguistic minorities were also mentioned as being disadvantaged (Table 2.3). As for severity </w:t>
      </w:r>
      <w:r w:rsidR="005056A1" w:rsidRPr="004C78D8">
        <w:t>characteristics</w:t>
      </w:r>
      <w:r w:rsidR="002813EB" w:rsidRPr="004C78D8">
        <w:t xml:space="preserve">, the qualitative data highlighted comorbidity level (i.e., frailty), cognitive impairment and social isolation (Table 2.3). </w:t>
      </w:r>
    </w:p>
    <w:p w14:paraId="18AFBDF9" w14:textId="5777886B" w:rsidR="0048342E" w:rsidRPr="004C78D8" w:rsidRDefault="002813EB" w:rsidP="00FB7C1F">
      <w:r w:rsidRPr="004C78D8">
        <w:t>The issues of equity widen</w:t>
      </w:r>
      <w:r w:rsidR="000E0901" w:rsidRPr="004C78D8">
        <w:t xml:space="preserve"> the problem boundary</w:t>
      </w:r>
      <w:r w:rsidRPr="004C78D8">
        <w:t xml:space="preserve"> for falls prevention. As noted in the shaded outcome boxes in Figure 3.1, evaluation </w:t>
      </w:r>
      <w:r w:rsidR="000E0901" w:rsidRPr="004C78D8">
        <w:t xml:space="preserve">should </w:t>
      </w:r>
      <w:r w:rsidRPr="004C78D8">
        <w:t xml:space="preserve">now </w:t>
      </w:r>
      <w:r w:rsidR="000E0901" w:rsidRPr="004C78D8">
        <w:t xml:space="preserve">consider not </w:t>
      </w:r>
      <w:r w:rsidRPr="004C78D8">
        <w:t>only</w:t>
      </w:r>
      <w:r w:rsidR="000E0901" w:rsidRPr="004C78D8">
        <w:t xml:space="preserve"> outcome level</w:t>
      </w:r>
      <w:r w:rsidRPr="004C78D8">
        <w:t>s</w:t>
      </w:r>
      <w:r w:rsidR="000E0901" w:rsidRPr="004C78D8">
        <w:t xml:space="preserve"> but </w:t>
      </w:r>
      <w:r w:rsidR="0031785E" w:rsidRPr="004C78D8">
        <w:t>their</w:t>
      </w:r>
      <w:r w:rsidR="000E0901" w:rsidRPr="004C78D8">
        <w:t xml:space="preserve"> distribution across population subgroups.</w:t>
      </w:r>
      <w:r w:rsidR="0031785E" w:rsidRPr="004C78D8">
        <w:t xml:space="preserve"> </w:t>
      </w:r>
      <w:r w:rsidR="0048342E" w:rsidRPr="004C78D8">
        <w:t xml:space="preserve">Prioritising </w:t>
      </w:r>
      <w:r w:rsidR="0031785E" w:rsidRPr="004C78D8">
        <w:t>vulnerable</w:t>
      </w:r>
      <w:r w:rsidR="0048342E" w:rsidRPr="004C78D8">
        <w:t xml:space="preserve"> subgroups likely worsens the overall cost-effectiveness of the intervention given factors such as the </w:t>
      </w:r>
      <w:r w:rsidR="0031785E" w:rsidRPr="004C78D8">
        <w:t xml:space="preserve">LED problem and the </w:t>
      </w:r>
      <w:r w:rsidR="0048342E" w:rsidRPr="004C78D8">
        <w:t xml:space="preserve">‘double jeopardy’ </w:t>
      </w:r>
      <w:r w:rsidR="00B01D93" w:rsidRPr="004C78D8">
        <w:t xml:space="preserve">(DJ) </w:t>
      </w:r>
      <w:r w:rsidR="0048342E" w:rsidRPr="004C78D8">
        <w:t xml:space="preserve">problem whereby vulnerable groups derive lower efficacy (e.g., due to comorbidity-related contraindications) and/or poorer implementation quality </w:t>
      </w:r>
      <w:r w:rsidR="0048342E" w:rsidRPr="004C78D8">
        <w:fldChar w:fldCharType="begin">
          <w:fldData xml:space="preserve">PEVuZE5vdGU+PENpdGU+PEF1dGhvcj5NYXRjaGFyPC9BdXRob3I+PFllYXI+MjAxOTwvWWVhcj48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</w:fldData>
        </w:fldChar>
      </w:r>
      <w:r w:rsidR="00C630FC" w:rsidRPr="004C78D8">
        <w:instrText xml:space="preserve"> ADDIN EN.CITE </w:instrText>
      </w:r>
      <w:r w:rsidR="00C630FC" w:rsidRPr="004C78D8">
        <w:fldChar w:fldCharType="begin">
          <w:fldData xml:space="preserve">PEVuZE5vdGU+PENpdGU+PEF1dGhvcj5NYXRjaGFyPC9BdXRob3I+PFllYXI+MjAxOTwvWWVhcj48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</w:fldData>
        </w:fldChar>
      </w:r>
      <w:r w:rsidR="00C630FC" w:rsidRPr="004C78D8">
        <w:instrText xml:space="preserve"> ADDIN EN.CITE.DATA </w:instrText>
      </w:r>
      <w:r w:rsidR="00C630FC" w:rsidRPr="004C78D8">
        <w:fldChar w:fldCharType="end"/>
      </w:r>
      <w:r w:rsidR="0048342E" w:rsidRPr="004C78D8">
        <w:fldChar w:fldCharType="separate"/>
      </w:r>
      <w:r w:rsidR="00C630FC" w:rsidRPr="004C78D8">
        <w:rPr>
          <w:noProof/>
        </w:rPr>
        <w:t>[109, 253]</w:t>
      </w:r>
      <w:r w:rsidR="0048342E" w:rsidRPr="004C78D8">
        <w:fldChar w:fldCharType="end"/>
      </w:r>
      <w:r w:rsidR="0048342E" w:rsidRPr="004C78D8">
        <w:t xml:space="preserve">. </w:t>
      </w:r>
      <w:r w:rsidR="0031785E" w:rsidRPr="004C78D8">
        <w:t xml:space="preserve">The need to handle such equity-efficiency trade-offs introduce </w:t>
      </w:r>
      <w:r w:rsidR="00BC72FA" w:rsidRPr="004C78D8">
        <w:t xml:space="preserve">further </w:t>
      </w:r>
      <w:r w:rsidR="0031785E" w:rsidRPr="004C78D8">
        <w:t>complexity to the decision-making.</w:t>
      </w:r>
    </w:p>
    <w:p w14:paraId="3EFDBEEE" w14:textId="77777777" w:rsidR="00AD394F" w:rsidRPr="004C78D8" w:rsidRDefault="00AD394F" w:rsidP="00FB7C1F"/>
    <w:p w14:paraId="203C70A9" w14:textId="1B4BAB8D" w:rsidR="00AD394F" w:rsidRPr="004C78D8" w:rsidRDefault="00AD394F" w:rsidP="00FB7C1F">
      <w:pPr>
        <w:pStyle w:val="Heading2"/>
      </w:pPr>
      <w:bookmarkStart w:id="82" w:name="_Toc93566863"/>
      <w:bookmarkStart w:id="83" w:name="_Toc111630730"/>
      <w:r w:rsidRPr="004C78D8">
        <w:t>3.6 Identifying causal links in the disease process</w:t>
      </w:r>
      <w:bookmarkEnd w:id="82"/>
      <w:bookmarkEnd w:id="83"/>
    </w:p>
    <w:p w14:paraId="71B7754D" w14:textId="3D9F5190" w:rsidR="001F17F0" w:rsidRPr="004C78D8" w:rsidRDefault="001F17F0" w:rsidP="00FB7C1F">
      <w:r w:rsidRPr="004C78D8">
        <w:t xml:space="preserve">This section </w:t>
      </w:r>
      <w:r w:rsidR="007757FD" w:rsidRPr="004C78D8">
        <w:t>further explores</w:t>
      </w:r>
      <w:r w:rsidR="00246932" w:rsidRPr="004C78D8">
        <w:t xml:space="preserve"> the key causal variables within the conceptual model</w:t>
      </w:r>
      <w:r w:rsidRPr="004C78D8">
        <w:t xml:space="preserve">. </w:t>
      </w:r>
      <w:r w:rsidR="007B4B91" w:rsidRPr="004C78D8">
        <w:t xml:space="preserve">Generally, the variables </w:t>
      </w:r>
      <w:r w:rsidR="0023236A" w:rsidRPr="004C78D8">
        <w:t>introduce dynamic complexity and</w:t>
      </w:r>
      <w:r w:rsidR="002F6541" w:rsidRPr="004C78D8">
        <w:t xml:space="preserve"> affect not only falls risk </w:t>
      </w:r>
      <w:r w:rsidR="00310F01" w:rsidRPr="004C78D8">
        <w:t xml:space="preserve">and incidence </w:t>
      </w:r>
      <w:r w:rsidR="002F6541" w:rsidRPr="004C78D8">
        <w:t xml:space="preserve">(i.e., the disease process defined narrowly) but also wider </w:t>
      </w:r>
      <w:r w:rsidR="00CD325B" w:rsidRPr="004C78D8">
        <w:t>processes</w:t>
      </w:r>
      <w:r w:rsidR="002F6541" w:rsidRPr="004C78D8">
        <w:t xml:space="preserve"> </w:t>
      </w:r>
      <w:r w:rsidR="0023236A" w:rsidRPr="004C78D8">
        <w:t>and outcomes</w:t>
      </w:r>
      <w:r w:rsidR="00CB011E" w:rsidRPr="004C78D8">
        <w:t xml:space="preserve"> such as intervention access (</w:t>
      </w:r>
      <w:r w:rsidR="0023236A" w:rsidRPr="004C78D8">
        <w:t xml:space="preserve">which </w:t>
      </w:r>
      <w:r w:rsidR="00424CA8" w:rsidRPr="004C78D8">
        <w:t xml:space="preserve">in turn </w:t>
      </w:r>
      <w:r w:rsidR="0023236A" w:rsidRPr="004C78D8">
        <w:t>reduce the falls risk</w:t>
      </w:r>
      <w:r w:rsidR="00CB011E" w:rsidRPr="004C78D8">
        <w:t>)</w:t>
      </w:r>
      <w:r w:rsidR="007B4B91" w:rsidRPr="004C78D8">
        <w:t xml:space="preserve"> and </w:t>
      </w:r>
      <w:r w:rsidR="00CD325B" w:rsidRPr="004C78D8">
        <w:t>secondary effects</w:t>
      </w:r>
      <w:r w:rsidR="007B4B91" w:rsidRPr="004C78D8">
        <w:t xml:space="preserve"> of falls</w:t>
      </w:r>
      <w:r w:rsidR="0023236A" w:rsidRPr="004C78D8">
        <w:t>.</w:t>
      </w:r>
      <w:r w:rsidR="00CB011E" w:rsidRPr="004C78D8">
        <w:t xml:space="preserve"> </w:t>
      </w:r>
      <w:r w:rsidR="00CD325B" w:rsidRPr="004C78D8">
        <w:t>In Table 3.6, t</w:t>
      </w:r>
      <w:r w:rsidR="004E1783" w:rsidRPr="004C78D8">
        <w:t>hey</w:t>
      </w:r>
      <w:r w:rsidR="00CB011E" w:rsidRPr="004C78D8">
        <w:t xml:space="preserve"> are </w:t>
      </w:r>
      <w:r w:rsidR="00C358FE" w:rsidRPr="004C78D8">
        <w:t>grouped into four categories</w:t>
      </w:r>
      <w:r w:rsidR="00CB011E" w:rsidRPr="004C78D8">
        <w:t xml:space="preserve">: (I) sociodemographic variables (Section 3.6.1); (II) </w:t>
      </w:r>
      <w:r w:rsidR="00A56C3B" w:rsidRPr="004C78D8">
        <w:t>fall</w:t>
      </w:r>
      <w:r w:rsidR="0055583F" w:rsidRPr="004C78D8">
        <w:t>-related</w:t>
      </w:r>
      <w:r w:rsidR="00A56C3B" w:rsidRPr="004C78D8">
        <w:t xml:space="preserve"> </w:t>
      </w:r>
      <w:r w:rsidR="0055583F" w:rsidRPr="004C78D8">
        <w:t>variables</w:t>
      </w:r>
      <w:r w:rsidR="00A56C3B" w:rsidRPr="004C78D8">
        <w:t xml:space="preserve"> (Section 3.6.2); (III) frailty and intrinsic capacity variables (Section 3.6.3); and (IV) environmental variables (Section 3.6.4).</w:t>
      </w:r>
      <w:r w:rsidR="0036088A" w:rsidRPr="004C78D8">
        <w:t xml:space="preserve"> Table 3.6 summarises the links</w:t>
      </w:r>
      <w:r w:rsidR="00B85C92" w:rsidRPr="004C78D8">
        <w:t xml:space="preserve"> between the variables and </w:t>
      </w:r>
      <w:r w:rsidR="00CD325B" w:rsidRPr="004C78D8">
        <w:t>falls prevention processes and outcomes</w:t>
      </w:r>
      <w:r w:rsidR="00424CA8" w:rsidRPr="004C78D8">
        <w:t xml:space="preserve"> but</w:t>
      </w:r>
      <w:r w:rsidR="00641017" w:rsidRPr="004C78D8">
        <w:t xml:space="preserve"> does not describe the inter-variable links (e.g., between falls and frailty)</w:t>
      </w:r>
      <w:r w:rsidR="007B4B91" w:rsidRPr="004C78D8">
        <w:t>.</w:t>
      </w:r>
      <w:r w:rsidR="00C71BA4" w:rsidRPr="004C78D8">
        <w:t xml:space="preserve"> The conceptual model in Figure 3.1 should also be referred for understanding the links.</w:t>
      </w:r>
    </w:p>
    <w:tbl>
      <w:tblPr>
        <w:tblStyle w:val="TableGrid"/>
        <w:tblW w:w="5000" w:type="pct"/>
        <w:tblLook w:val="04A0" w:firstRow="1" w:lastRow="0" w:firstColumn="1" w:lastColumn="0" w:noHBand="0" w:noVBand="1"/>
      </w:tblPr>
      <w:tblGrid>
        <w:gridCol w:w="1555"/>
        <w:gridCol w:w="1243"/>
        <w:gridCol w:w="1244"/>
        <w:gridCol w:w="1242"/>
        <w:gridCol w:w="1244"/>
        <w:gridCol w:w="1242"/>
        <w:gridCol w:w="1246"/>
      </w:tblGrid>
      <w:tr w:rsidR="00641017" w:rsidRPr="004C78D8" w14:paraId="2087B072" w14:textId="77777777" w:rsidTr="002828C1">
        <w:tc>
          <w:tcPr>
            <w:tcW w:w="5000" w:type="pct"/>
            <w:gridSpan w:val="7"/>
          </w:tcPr>
          <w:p w14:paraId="6587A9BD" w14:textId="7C53BAD2" w:rsidR="00641017" w:rsidRPr="004C78D8" w:rsidRDefault="00641017" w:rsidP="00FB7C1F">
            <w:r w:rsidRPr="004C78D8">
              <w:rPr>
                <w:b/>
                <w:bCs/>
              </w:rPr>
              <w:t>Table 3.6</w:t>
            </w:r>
            <w:r w:rsidRPr="004C78D8">
              <w:t xml:space="preserve"> </w:t>
            </w:r>
            <w:r w:rsidR="00CD325B" w:rsidRPr="004C78D8">
              <w:t>L</w:t>
            </w:r>
            <w:r w:rsidRPr="004C78D8">
              <w:t xml:space="preserve">inks between key causal variables and </w:t>
            </w:r>
            <w:r w:rsidR="00CD325B" w:rsidRPr="004C78D8">
              <w:t>falls prevention processes</w:t>
            </w:r>
            <w:r w:rsidR="00227B60" w:rsidRPr="004C78D8">
              <w:t xml:space="preserve"> and outcomes</w:t>
            </w:r>
            <w:r w:rsidRPr="004C78D8">
              <w:t>.</w:t>
            </w:r>
          </w:p>
        </w:tc>
      </w:tr>
      <w:tr w:rsidR="00641017" w:rsidRPr="004C78D8" w14:paraId="211C76D8" w14:textId="77777777" w:rsidTr="002828C1">
        <w:tc>
          <w:tcPr>
            <w:tcW w:w="862" w:type="pct"/>
            <w:vMerge w:val="restart"/>
            <w:vAlign w:val="bottom"/>
          </w:tcPr>
          <w:p w14:paraId="1088D7C3" w14:textId="77777777" w:rsidR="00641017" w:rsidRPr="004C78D8" w:rsidRDefault="00641017" w:rsidP="00FB7C1F">
            <w:pPr>
              <w:jc w:val="left"/>
              <w:rPr>
                <w:b/>
                <w:bCs/>
                <w:sz w:val="18"/>
                <w:szCs w:val="18"/>
              </w:rPr>
            </w:pPr>
            <w:r w:rsidRPr="004C78D8">
              <w:rPr>
                <w:b/>
                <w:bCs/>
                <w:sz w:val="18"/>
                <w:szCs w:val="18"/>
              </w:rPr>
              <w:t>Variables</w:t>
            </w:r>
          </w:p>
        </w:tc>
        <w:tc>
          <w:tcPr>
            <w:tcW w:w="4138" w:type="pct"/>
            <w:gridSpan w:val="6"/>
          </w:tcPr>
          <w:p w14:paraId="6CCA1F37" w14:textId="18C320B1" w:rsidR="00641017" w:rsidRPr="004C78D8" w:rsidRDefault="00CD325B" w:rsidP="00FB7C1F">
            <w:pPr>
              <w:jc w:val="center"/>
              <w:rPr>
                <w:b/>
                <w:bCs/>
                <w:sz w:val="18"/>
                <w:szCs w:val="18"/>
              </w:rPr>
            </w:pPr>
            <w:r w:rsidRPr="004C78D8">
              <w:rPr>
                <w:b/>
                <w:bCs/>
                <w:sz w:val="18"/>
                <w:szCs w:val="18"/>
              </w:rPr>
              <w:t>Processes</w:t>
            </w:r>
            <w:r w:rsidR="00227B60" w:rsidRPr="004C78D8">
              <w:rPr>
                <w:b/>
                <w:bCs/>
                <w:sz w:val="18"/>
                <w:szCs w:val="18"/>
              </w:rPr>
              <w:t xml:space="preserve"> and outcomes</w:t>
            </w:r>
          </w:p>
        </w:tc>
      </w:tr>
      <w:tr w:rsidR="00C32B8D" w:rsidRPr="004C78D8" w14:paraId="70E2FCD1" w14:textId="77777777" w:rsidTr="002828C1">
        <w:tc>
          <w:tcPr>
            <w:tcW w:w="862" w:type="pct"/>
            <w:vMerge/>
          </w:tcPr>
          <w:p w14:paraId="5C080BAB" w14:textId="77777777" w:rsidR="00C32B8D" w:rsidRPr="004C78D8" w:rsidRDefault="00C32B8D" w:rsidP="00FB7C1F">
            <w:pPr>
              <w:jc w:val="left"/>
              <w:rPr>
                <w:sz w:val="18"/>
                <w:szCs w:val="18"/>
              </w:rPr>
            </w:pPr>
          </w:p>
        </w:tc>
        <w:tc>
          <w:tcPr>
            <w:tcW w:w="689" w:type="pct"/>
            <w:vAlign w:val="bottom"/>
          </w:tcPr>
          <w:p w14:paraId="3BB478BC" w14:textId="5D64256C" w:rsidR="00C32B8D" w:rsidRPr="004C78D8" w:rsidRDefault="00C32B8D" w:rsidP="00FB7C1F">
            <w:pPr>
              <w:jc w:val="left"/>
              <w:rPr>
                <w:sz w:val="18"/>
                <w:szCs w:val="18"/>
              </w:rPr>
            </w:pPr>
            <w:r w:rsidRPr="004C78D8">
              <w:rPr>
                <w:sz w:val="18"/>
                <w:szCs w:val="18"/>
              </w:rPr>
              <w:t>Falls risk and severity</w:t>
            </w:r>
          </w:p>
        </w:tc>
        <w:tc>
          <w:tcPr>
            <w:tcW w:w="690" w:type="pct"/>
            <w:vAlign w:val="bottom"/>
          </w:tcPr>
          <w:p w14:paraId="1588A76E" w14:textId="0BD284FD" w:rsidR="00C32B8D" w:rsidRPr="004C78D8" w:rsidRDefault="00C32B8D" w:rsidP="00FB7C1F">
            <w:pPr>
              <w:jc w:val="left"/>
              <w:rPr>
                <w:sz w:val="18"/>
                <w:szCs w:val="18"/>
              </w:rPr>
            </w:pPr>
            <w:r w:rsidRPr="004C78D8">
              <w:rPr>
                <w:sz w:val="18"/>
                <w:szCs w:val="18"/>
              </w:rPr>
              <w:t>Falls secondary effects</w:t>
            </w:r>
            <w:r w:rsidRPr="004C78D8">
              <w:rPr>
                <w:sz w:val="18"/>
                <w:szCs w:val="18"/>
                <w:vertAlign w:val="superscript"/>
              </w:rPr>
              <w:t>1</w:t>
            </w:r>
          </w:p>
        </w:tc>
        <w:tc>
          <w:tcPr>
            <w:tcW w:w="689" w:type="pct"/>
            <w:vAlign w:val="bottom"/>
          </w:tcPr>
          <w:p w14:paraId="368BE65A" w14:textId="09D3EB33" w:rsidR="00C32B8D" w:rsidRPr="004C78D8" w:rsidRDefault="00C32B8D" w:rsidP="00FB7C1F">
            <w:pPr>
              <w:jc w:val="left"/>
              <w:rPr>
                <w:sz w:val="18"/>
                <w:szCs w:val="18"/>
              </w:rPr>
            </w:pPr>
            <w:r w:rsidRPr="004C78D8">
              <w:rPr>
                <w:sz w:val="18"/>
                <w:szCs w:val="18"/>
              </w:rPr>
              <w:t>Background health and care cost</w:t>
            </w:r>
            <w:r w:rsidRPr="004C78D8">
              <w:rPr>
                <w:sz w:val="18"/>
                <w:szCs w:val="18"/>
                <w:vertAlign w:val="superscript"/>
              </w:rPr>
              <w:t>2</w:t>
            </w:r>
          </w:p>
        </w:tc>
        <w:tc>
          <w:tcPr>
            <w:tcW w:w="690" w:type="pct"/>
            <w:vAlign w:val="bottom"/>
          </w:tcPr>
          <w:p w14:paraId="3010D7CC" w14:textId="2BEFAAAC" w:rsidR="00C32B8D" w:rsidRPr="004C78D8" w:rsidRDefault="00C32B8D" w:rsidP="00FB7C1F">
            <w:pPr>
              <w:jc w:val="left"/>
              <w:rPr>
                <w:sz w:val="18"/>
                <w:szCs w:val="18"/>
              </w:rPr>
            </w:pPr>
            <w:r w:rsidRPr="004C78D8">
              <w:rPr>
                <w:sz w:val="18"/>
                <w:szCs w:val="18"/>
              </w:rPr>
              <w:t>Non-health outcomes</w:t>
            </w:r>
            <w:r w:rsidRPr="004C78D8">
              <w:rPr>
                <w:sz w:val="18"/>
                <w:szCs w:val="18"/>
                <w:vertAlign w:val="superscript"/>
              </w:rPr>
              <w:t>3</w:t>
            </w:r>
          </w:p>
        </w:tc>
        <w:tc>
          <w:tcPr>
            <w:tcW w:w="689" w:type="pct"/>
            <w:vAlign w:val="bottom"/>
          </w:tcPr>
          <w:p w14:paraId="0045D008" w14:textId="70F0DA25" w:rsidR="00C32B8D" w:rsidRPr="004C78D8" w:rsidRDefault="00C32B8D" w:rsidP="00FB7C1F">
            <w:pPr>
              <w:jc w:val="left"/>
              <w:rPr>
                <w:sz w:val="18"/>
                <w:szCs w:val="18"/>
              </w:rPr>
            </w:pPr>
            <w:r w:rsidRPr="004C78D8">
              <w:rPr>
                <w:sz w:val="18"/>
                <w:szCs w:val="18"/>
              </w:rPr>
              <w:t xml:space="preserve">Priority setting </w:t>
            </w:r>
            <w:r w:rsidR="00B60980" w:rsidRPr="004C78D8">
              <w:rPr>
                <w:sz w:val="18"/>
                <w:szCs w:val="18"/>
              </w:rPr>
              <w:t>implication</w:t>
            </w:r>
          </w:p>
        </w:tc>
        <w:tc>
          <w:tcPr>
            <w:tcW w:w="690" w:type="pct"/>
            <w:vAlign w:val="bottom"/>
          </w:tcPr>
          <w:p w14:paraId="114A77CF" w14:textId="4AC75015" w:rsidR="00C32B8D" w:rsidRPr="004C78D8" w:rsidRDefault="00C32B8D" w:rsidP="00FB7C1F">
            <w:pPr>
              <w:jc w:val="left"/>
              <w:rPr>
                <w:sz w:val="18"/>
                <w:szCs w:val="18"/>
              </w:rPr>
            </w:pPr>
            <w:r w:rsidRPr="004C78D8">
              <w:rPr>
                <w:sz w:val="18"/>
                <w:szCs w:val="18"/>
              </w:rPr>
              <w:t>Intervention access, cost and efficacy</w:t>
            </w:r>
            <w:r w:rsidRPr="004C78D8">
              <w:rPr>
                <w:sz w:val="18"/>
                <w:szCs w:val="18"/>
                <w:vertAlign w:val="superscript"/>
              </w:rPr>
              <w:t>4</w:t>
            </w:r>
          </w:p>
        </w:tc>
      </w:tr>
      <w:tr w:rsidR="00E94D89" w:rsidRPr="004C78D8" w14:paraId="6D625409" w14:textId="77777777" w:rsidTr="002828C1">
        <w:tc>
          <w:tcPr>
            <w:tcW w:w="5000" w:type="pct"/>
            <w:gridSpan w:val="7"/>
            <w:tcBorders>
              <w:bottom w:val="single" w:sz="4" w:space="0" w:color="auto"/>
            </w:tcBorders>
          </w:tcPr>
          <w:p w14:paraId="65F1193E" w14:textId="5564E16B" w:rsidR="00E94D89" w:rsidRPr="004C78D8" w:rsidRDefault="00E94D89" w:rsidP="00FB7C1F">
            <w:pPr>
              <w:jc w:val="left"/>
              <w:rPr>
                <w:b/>
                <w:bCs/>
                <w:sz w:val="18"/>
                <w:szCs w:val="18"/>
              </w:rPr>
            </w:pPr>
            <w:r w:rsidRPr="004C78D8">
              <w:rPr>
                <w:b/>
                <w:bCs/>
                <w:sz w:val="18"/>
                <w:szCs w:val="18"/>
              </w:rPr>
              <w:t>Sociodemographic</w:t>
            </w:r>
          </w:p>
        </w:tc>
      </w:tr>
      <w:tr w:rsidR="00C32B8D" w:rsidRPr="004C78D8" w14:paraId="0425BD10" w14:textId="77777777" w:rsidTr="002828C1">
        <w:tc>
          <w:tcPr>
            <w:tcW w:w="862" w:type="pct"/>
            <w:tcBorders>
              <w:bottom w:val="nil"/>
            </w:tcBorders>
          </w:tcPr>
          <w:p w14:paraId="4F09C41C" w14:textId="77777777" w:rsidR="00C32B8D" w:rsidRPr="004C78D8" w:rsidRDefault="00C32B8D" w:rsidP="00FB7C1F">
            <w:pPr>
              <w:jc w:val="left"/>
              <w:rPr>
                <w:sz w:val="18"/>
                <w:szCs w:val="18"/>
              </w:rPr>
            </w:pPr>
            <w:r w:rsidRPr="004C78D8">
              <w:rPr>
                <w:sz w:val="18"/>
                <w:szCs w:val="18"/>
              </w:rPr>
              <w:t>Age</w:t>
            </w:r>
          </w:p>
        </w:tc>
        <w:tc>
          <w:tcPr>
            <w:tcW w:w="689" w:type="pct"/>
            <w:tcBorders>
              <w:bottom w:val="nil"/>
            </w:tcBorders>
          </w:tcPr>
          <w:p w14:paraId="44B53EAA" w14:textId="762261E9" w:rsidR="00C32B8D" w:rsidRPr="004C78D8" w:rsidRDefault="00C32B8D" w:rsidP="00FB7C1F">
            <w:pPr>
              <w:jc w:val="center"/>
              <w:rPr>
                <w:b/>
                <w:bCs/>
                <w:sz w:val="18"/>
                <w:szCs w:val="18"/>
              </w:rPr>
            </w:pPr>
            <w:r w:rsidRPr="004C78D8">
              <w:rPr>
                <w:rFonts w:cs="Times New Roman"/>
                <w:b/>
                <w:bCs/>
              </w:rPr>
              <w:t>×</w:t>
            </w:r>
          </w:p>
        </w:tc>
        <w:tc>
          <w:tcPr>
            <w:tcW w:w="690" w:type="pct"/>
            <w:tcBorders>
              <w:bottom w:val="nil"/>
            </w:tcBorders>
          </w:tcPr>
          <w:p w14:paraId="7831C716" w14:textId="6E870659" w:rsidR="00C32B8D" w:rsidRPr="004C78D8" w:rsidRDefault="00C32B8D" w:rsidP="00FB7C1F">
            <w:pPr>
              <w:jc w:val="center"/>
              <w:rPr>
                <w:sz w:val="18"/>
                <w:szCs w:val="18"/>
              </w:rPr>
            </w:pPr>
          </w:p>
        </w:tc>
        <w:tc>
          <w:tcPr>
            <w:tcW w:w="689" w:type="pct"/>
            <w:tcBorders>
              <w:bottom w:val="nil"/>
            </w:tcBorders>
          </w:tcPr>
          <w:p w14:paraId="28AF9433" w14:textId="5F32F406" w:rsidR="00C32B8D" w:rsidRPr="004C78D8" w:rsidRDefault="00C32B8D" w:rsidP="00FB7C1F">
            <w:pPr>
              <w:jc w:val="center"/>
              <w:rPr>
                <w:sz w:val="18"/>
                <w:szCs w:val="18"/>
              </w:rPr>
            </w:pPr>
            <w:r w:rsidRPr="004C78D8">
              <w:rPr>
                <w:rFonts w:cs="Times New Roman"/>
                <w:b/>
                <w:bCs/>
              </w:rPr>
              <w:t>×</w:t>
            </w:r>
          </w:p>
        </w:tc>
        <w:tc>
          <w:tcPr>
            <w:tcW w:w="690" w:type="pct"/>
            <w:tcBorders>
              <w:bottom w:val="nil"/>
            </w:tcBorders>
          </w:tcPr>
          <w:p w14:paraId="72D53015" w14:textId="7305BD8E" w:rsidR="00C32B8D" w:rsidRPr="004C78D8" w:rsidRDefault="00C32B8D" w:rsidP="00FB7C1F">
            <w:pPr>
              <w:jc w:val="center"/>
              <w:rPr>
                <w:sz w:val="18"/>
                <w:szCs w:val="18"/>
              </w:rPr>
            </w:pPr>
            <w:r w:rsidRPr="004C78D8">
              <w:rPr>
                <w:rFonts w:cs="Times New Roman"/>
                <w:b/>
                <w:bCs/>
              </w:rPr>
              <w:t>×</w:t>
            </w:r>
          </w:p>
        </w:tc>
        <w:tc>
          <w:tcPr>
            <w:tcW w:w="689" w:type="pct"/>
            <w:tcBorders>
              <w:bottom w:val="nil"/>
            </w:tcBorders>
          </w:tcPr>
          <w:p w14:paraId="304A2182" w14:textId="40EC0981" w:rsidR="00C32B8D" w:rsidRPr="004C78D8" w:rsidRDefault="00C32B8D" w:rsidP="00FB7C1F">
            <w:pPr>
              <w:jc w:val="center"/>
              <w:rPr>
                <w:sz w:val="18"/>
                <w:szCs w:val="18"/>
              </w:rPr>
            </w:pPr>
          </w:p>
        </w:tc>
        <w:tc>
          <w:tcPr>
            <w:tcW w:w="690" w:type="pct"/>
            <w:tcBorders>
              <w:bottom w:val="nil"/>
            </w:tcBorders>
          </w:tcPr>
          <w:p w14:paraId="26F445C7" w14:textId="7C72CB84" w:rsidR="00C32B8D" w:rsidRPr="004C78D8" w:rsidRDefault="00C32B8D" w:rsidP="00FB7C1F">
            <w:pPr>
              <w:jc w:val="center"/>
              <w:rPr>
                <w:sz w:val="18"/>
                <w:szCs w:val="18"/>
              </w:rPr>
            </w:pPr>
            <w:r w:rsidRPr="004C78D8">
              <w:rPr>
                <w:rFonts w:cs="Times New Roman"/>
                <w:b/>
                <w:bCs/>
              </w:rPr>
              <w:t>×</w:t>
            </w:r>
          </w:p>
        </w:tc>
      </w:tr>
      <w:tr w:rsidR="00C32B8D" w:rsidRPr="004C78D8" w14:paraId="04F211CE" w14:textId="77777777" w:rsidTr="002828C1">
        <w:tc>
          <w:tcPr>
            <w:tcW w:w="862" w:type="pct"/>
            <w:tcBorders>
              <w:top w:val="nil"/>
              <w:bottom w:val="nil"/>
            </w:tcBorders>
          </w:tcPr>
          <w:p w14:paraId="36D2B327" w14:textId="77777777" w:rsidR="00C32B8D" w:rsidRPr="004C78D8" w:rsidRDefault="00C32B8D" w:rsidP="00FB7C1F">
            <w:pPr>
              <w:jc w:val="left"/>
              <w:rPr>
                <w:sz w:val="18"/>
                <w:szCs w:val="18"/>
              </w:rPr>
            </w:pPr>
            <w:r w:rsidRPr="004C78D8">
              <w:rPr>
                <w:sz w:val="18"/>
                <w:szCs w:val="18"/>
              </w:rPr>
              <w:lastRenderedPageBreak/>
              <w:t>Sex</w:t>
            </w:r>
          </w:p>
        </w:tc>
        <w:tc>
          <w:tcPr>
            <w:tcW w:w="689" w:type="pct"/>
            <w:tcBorders>
              <w:top w:val="nil"/>
              <w:bottom w:val="nil"/>
            </w:tcBorders>
          </w:tcPr>
          <w:p w14:paraId="4C2FBCAE" w14:textId="1F4D0710" w:rsidR="00C32B8D" w:rsidRPr="004C78D8" w:rsidRDefault="00C32B8D" w:rsidP="00FB7C1F">
            <w:pPr>
              <w:jc w:val="center"/>
              <w:rPr>
                <w:sz w:val="18"/>
                <w:szCs w:val="18"/>
              </w:rPr>
            </w:pPr>
            <w:r w:rsidRPr="004C78D8">
              <w:rPr>
                <w:rFonts w:cs="Times New Roman"/>
                <w:b/>
                <w:bCs/>
              </w:rPr>
              <w:t>×</w:t>
            </w:r>
          </w:p>
        </w:tc>
        <w:tc>
          <w:tcPr>
            <w:tcW w:w="690" w:type="pct"/>
            <w:tcBorders>
              <w:top w:val="nil"/>
              <w:bottom w:val="nil"/>
            </w:tcBorders>
          </w:tcPr>
          <w:p w14:paraId="5E662D0F" w14:textId="4D0B7074" w:rsidR="00C32B8D" w:rsidRPr="004C78D8" w:rsidRDefault="00C32B8D" w:rsidP="00FB7C1F">
            <w:pPr>
              <w:jc w:val="center"/>
              <w:rPr>
                <w:sz w:val="18"/>
                <w:szCs w:val="18"/>
              </w:rPr>
            </w:pPr>
          </w:p>
        </w:tc>
        <w:tc>
          <w:tcPr>
            <w:tcW w:w="689" w:type="pct"/>
            <w:tcBorders>
              <w:top w:val="nil"/>
              <w:bottom w:val="nil"/>
            </w:tcBorders>
          </w:tcPr>
          <w:p w14:paraId="10DB8E17" w14:textId="40C86093" w:rsidR="00C32B8D" w:rsidRPr="004C78D8" w:rsidRDefault="00C32B8D" w:rsidP="00FB7C1F">
            <w:pPr>
              <w:jc w:val="center"/>
              <w:rPr>
                <w:sz w:val="18"/>
                <w:szCs w:val="18"/>
              </w:rPr>
            </w:pPr>
            <w:r w:rsidRPr="004C78D8">
              <w:rPr>
                <w:rFonts w:cs="Times New Roman"/>
                <w:b/>
                <w:bCs/>
              </w:rPr>
              <w:t>×</w:t>
            </w:r>
          </w:p>
        </w:tc>
        <w:tc>
          <w:tcPr>
            <w:tcW w:w="690" w:type="pct"/>
            <w:tcBorders>
              <w:top w:val="nil"/>
              <w:bottom w:val="nil"/>
            </w:tcBorders>
          </w:tcPr>
          <w:p w14:paraId="51E6C293" w14:textId="3E45F296" w:rsidR="00C32B8D" w:rsidRPr="004C78D8" w:rsidRDefault="00C32B8D" w:rsidP="00FB7C1F">
            <w:pPr>
              <w:jc w:val="center"/>
              <w:rPr>
                <w:sz w:val="18"/>
                <w:szCs w:val="18"/>
              </w:rPr>
            </w:pPr>
            <w:r w:rsidRPr="004C78D8">
              <w:rPr>
                <w:rFonts w:cs="Times New Roman"/>
                <w:b/>
                <w:bCs/>
              </w:rPr>
              <w:t>×</w:t>
            </w:r>
          </w:p>
        </w:tc>
        <w:tc>
          <w:tcPr>
            <w:tcW w:w="689" w:type="pct"/>
            <w:tcBorders>
              <w:top w:val="nil"/>
              <w:bottom w:val="nil"/>
            </w:tcBorders>
          </w:tcPr>
          <w:p w14:paraId="0E568246" w14:textId="59CFE752" w:rsidR="00C32B8D" w:rsidRPr="004C78D8" w:rsidRDefault="00C32B8D" w:rsidP="00FB7C1F">
            <w:pPr>
              <w:jc w:val="center"/>
              <w:rPr>
                <w:sz w:val="18"/>
                <w:szCs w:val="18"/>
              </w:rPr>
            </w:pPr>
          </w:p>
        </w:tc>
        <w:tc>
          <w:tcPr>
            <w:tcW w:w="690" w:type="pct"/>
            <w:tcBorders>
              <w:top w:val="nil"/>
              <w:bottom w:val="nil"/>
            </w:tcBorders>
          </w:tcPr>
          <w:p w14:paraId="27D08103" w14:textId="5AF67E2A" w:rsidR="00C32B8D" w:rsidRPr="004C78D8" w:rsidRDefault="00C32B8D" w:rsidP="00FB7C1F">
            <w:pPr>
              <w:jc w:val="center"/>
              <w:rPr>
                <w:sz w:val="18"/>
                <w:szCs w:val="18"/>
              </w:rPr>
            </w:pPr>
            <w:r w:rsidRPr="004C78D8">
              <w:rPr>
                <w:rFonts w:cs="Times New Roman"/>
                <w:b/>
                <w:bCs/>
              </w:rPr>
              <w:t>×</w:t>
            </w:r>
          </w:p>
        </w:tc>
      </w:tr>
      <w:tr w:rsidR="00C32B8D" w:rsidRPr="004C78D8" w14:paraId="0484ECCF" w14:textId="77777777" w:rsidTr="002828C1">
        <w:tc>
          <w:tcPr>
            <w:tcW w:w="862" w:type="pct"/>
            <w:tcBorders>
              <w:top w:val="nil"/>
            </w:tcBorders>
          </w:tcPr>
          <w:p w14:paraId="55A1CAC6" w14:textId="77777777" w:rsidR="00C32B8D" w:rsidRPr="004C78D8" w:rsidRDefault="00C32B8D" w:rsidP="00FB7C1F">
            <w:pPr>
              <w:jc w:val="left"/>
              <w:rPr>
                <w:sz w:val="18"/>
                <w:szCs w:val="18"/>
              </w:rPr>
            </w:pPr>
            <w:r w:rsidRPr="004C78D8">
              <w:rPr>
                <w:sz w:val="18"/>
                <w:szCs w:val="18"/>
              </w:rPr>
              <w:t>SES</w:t>
            </w:r>
          </w:p>
        </w:tc>
        <w:tc>
          <w:tcPr>
            <w:tcW w:w="689" w:type="pct"/>
            <w:tcBorders>
              <w:top w:val="nil"/>
            </w:tcBorders>
          </w:tcPr>
          <w:p w14:paraId="3AECFDF3" w14:textId="6914AD6D" w:rsidR="00C32B8D" w:rsidRPr="004C78D8" w:rsidRDefault="00C32B8D" w:rsidP="00FB7C1F">
            <w:pPr>
              <w:jc w:val="center"/>
              <w:rPr>
                <w:sz w:val="18"/>
                <w:szCs w:val="18"/>
              </w:rPr>
            </w:pPr>
            <w:r w:rsidRPr="004C78D8">
              <w:rPr>
                <w:rFonts w:cs="Times New Roman"/>
                <w:b/>
                <w:bCs/>
              </w:rPr>
              <w:t>×</w:t>
            </w:r>
          </w:p>
        </w:tc>
        <w:tc>
          <w:tcPr>
            <w:tcW w:w="690" w:type="pct"/>
            <w:tcBorders>
              <w:top w:val="nil"/>
            </w:tcBorders>
          </w:tcPr>
          <w:p w14:paraId="30D71BF6" w14:textId="77777777" w:rsidR="00C32B8D" w:rsidRPr="004C78D8" w:rsidRDefault="00C32B8D" w:rsidP="00FB7C1F">
            <w:pPr>
              <w:jc w:val="center"/>
              <w:rPr>
                <w:sz w:val="18"/>
                <w:szCs w:val="18"/>
              </w:rPr>
            </w:pPr>
          </w:p>
        </w:tc>
        <w:tc>
          <w:tcPr>
            <w:tcW w:w="689" w:type="pct"/>
            <w:tcBorders>
              <w:top w:val="nil"/>
            </w:tcBorders>
          </w:tcPr>
          <w:p w14:paraId="47586730" w14:textId="622DAB6F" w:rsidR="00C32B8D" w:rsidRPr="004C78D8" w:rsidRDefault="00C32B8D" w:rsidP="00FB7C1F">
            <w:pPr>
              <w:jc w:val="center"/>
              <w:rPr>
                <w:sz w:val="18"/>
                <w:szCs w:val="18"/>
              </w:rPr>
            </w:pPr>
            <w:r w:rsidRPr="004C78D8">
              <w:rPr>
                <w:rFonts w:cs="Times New Roman"/>
                <w:b/>
                <w:bCs/>
              </w:rPr>
              <w:t>×</w:t>
            </w:r>
          </w:p>
        </w:tc>
        <w:tc>
          <w:tcPr>
            <w:tcW w:w="690" w:type="pct"/>
            <w:tcBorders>
              <w:top w:val="nil"/>
            </w:tcBorders>
          </w:tcPr>
          <w:p w14:paraId="257B6678" w14:textId="1C784407" w:rsidR="00C32B8D" w:rsidRPr="004C78D8" w:rsidRDefault="00C32B8D" w:rsidP="00FB7C1F">
            <w:pPr>
              <w:jc w:val="center"/>
              <w:rPr>
                <w:sz w:val="18"/>
                <w:szCs w:val="18"/>
              </w:rPr>
            </w:pPr>
            <w:r w:rsidRPr="004C78D8">
              <w:rPr>
                <w:rFonts w:cs="Times New Roman"/>
                <w:b/>
                <w:bCs/>
              </w:rPr>
              <w:t>×</w:t>
            </w:r>
          </w:p>
        </w:tc>
        <w:tc>
          <w:tcPr>
            <w:tcW w:w="689" w:type="pct"/>
            <w:tcBorders>
              <w:top w:val="nil"/>
            </w:tcBorders>
          </w:tcPr>
          <w:p w14:paraId="28068EB1" w14:textId="232412D7" w:rsidR="00C32B8D" w:rsidRPr="004C78D8" w:rsidRDefault="00C32B8D" w:rsidP="00FB7C1F">
            <w:pPr>
              <w:jc w:val="center"/>
              <w:rPr>
                <w:sz w:val="18"/>
                <w:szCs w:val="18"/>
              </w:rPr>
            </w:pPr>
            <w:r w:rsidRPr="004C78D8">
              <w:rPr>
                <w:rFonts w:cs="Times New Roman"/>
                <w:b/>
                <w:bCs/>
              </w:rPr>
              <w:t>×</w:t>
            </w:r>
          </w:p>
        </w:tc>
        <w:tc>
          <w:tcPr>
            <w:tcW w:w="690" w:type="pct"/>
            <w:tcBorders>
              <w:top w:val="nil"/>
            </w:tcBorders>
          </w:tcPr>
          <w:p w14:paraId="1E9CE835" w14:textId="3D52EACC" w:rsidR="00C32B8D" w:rsidRPr="004C78D8" w:rsidRDefault="00C32B8D" w:rsidP="00FB7C1F">
            <w:pPr>
              <w:jc w:val="center"/>
              <w:rPr>
                <w:sz w:val="18"/>
                <w:szCs w:val="18"/>
              </w:rPr>
            </w:pPr>
            <w:r w:rsidRPr="004C78D8">
              <w:rPr>
                <w:rFonts w:cs="Times New Roman"/>
                <w:b/>
                <w:bCs/>
              </w:rPr>
              <w:t>×</w:t>
            </w:r>
          </w:p>
        </w:tc>
      </w:tr>
      <w:tr w:rsidR="008748F0" w:rsidRPr="004C78D8" w14:paraId="42A14C9A" w14:textId="77777777" w:rsidTr="002828C1">
        <w:tc>
          <w:tcPr>
            <w:tcW w:w="5000" w:type="pct"/>
            <w:gridSpan w:val="7"/>
            <w:tcBorders>
              <w:bottom w:val="single" w:sz="4" w:space="0" w:color="auto"/>
            </w:tcBorders>
          </w:tcPr>
          <w:p w14:paraId="25AB95DF" w14:textId="0383C38A" w:rsidR="008748F0" w:rsidRPr="004C78D8" w:rsidRDefault="008748F0" w:rsidP="00FB7C1F">
            <w:pPr>
              <w:jc w:val="left"/>
              <w:rPr>
                <w:b/>
                <w:bCs/>
                <w:sz w:val="18"/>
                <w:szCs w:val="18"/>
              </w:rPr>
            </w:pPr>
            <w:r w:rsidRPr="004C78D8">
              <w:rPr>
                <w:b/>
                <w:bCs/>
                <w:sz w:val="18"/>
                <w:szCs w:val="18"/>
              </w:rPr>
              <w:t>Fall</w:t>
            </w:r>
            <w:r w:rsidR="006F29D9" w:rsidRPr="004C78D8">
              <w:rPr>
                <w:b/>
                <w:bCs/>
                <w:sz w:val="18"/>
                <w:szCs w:val="18"/>
              </w:rPr>
              <w:t>-related</w:t>
            </w:r>
          </w:p>
        </w:tc>
      </w:tr>
      <w:tr w:rsidR="00C32B8D" w:rsidRPr="004C78D8" w14:paraId="297AB877" w14:textId="77777777" w:rsidTr="002828C1">
        <w:tc>
          <w:tcPr>
            <w:tcW w:w="862" w:type="pct"/>
            <w:tcBorders>
              <w:top w:val="nil"/>
              <w:bottom w:val="nil"/>
            </w:tcBorders>
          </w:tcPr>
          <w:p w14:paraId="5D389763" w14:textId="77777777" w:rsidR="00C32B8D" w:rsidRPr="004C78D8" w:rsidRDefault="00C32B8D" w:rsidP="00FB7C1F">
            <w:pPr>
              <w:jc w:val="left"/>
              <w:rPr>
                <w:sz w:val="18"/>
                <w:szCs w:val="18"/>
              </w:rPr>
            </w:pPr>
            <w:r w:rsidRPr="004C78D8">
              <w:rPr>
                <w:sz w:val="18"/>
                <w:szCs w:val="18"/>
              </w:rPr>
              <w:t>Falls history</w:t>
            </w:r>
          </w:p>
        </w:tc>
        <w:tc>
          <w:tcPr>
            <w:tcW w:w="689" w:type="pct"/>
            <w:tcBorders>
              <w:top w:val="nil"/>
              <w:bottom w:val="nil"/>
            </w:tcBorders>
          </w:tcPr>
          <w:p w14:paraId="5F14984A" w14:textId="1AD522A6" w:rsidR="00C32B8D" w:rsidRPr="004C78D8" w:rsidRDefault="00064B6F" w:rsidP="00FB7C1F">
            <w:pPr>
              <w:jc w:val="center"/>
              <w:rPr>
                <w:sz w:val="18"/>
                <w:szCs w:val="18"/>
              </w:rPr>
            </w:pPr>
            <w:r w:rsidRPr="004C78D8">
              <w:rPr>
                <w:rFonts w:cs="Times New Roman"/>
                <w:b/>
                <w:bCs/>
              </w:rPr>
              <w:t>×</w:t>
            </w:r>
          </w:p>
        </w:tc>
        <w:tc>
          <w:tcPr>
            <w:tcW w:w="690" w:type="pct"/>
            <w:tcBorders>
              <w:top w:val="nil"/>
              <w:bottom w:val="nil"/>
            </w:tcBorders>
          </w:tcPr>
          <w:p w14:paraId="34233B3B" w14:textId="1739AE01" w:rsidR="00C32B8D" w:rsidRPr="004C78D8" w:rsidRDefault="00064B6F" w:rsidP="00FB7C1F">
            <w:pPr>
              <w:jc w:val="center"/>
              <w:rPr>
                <w:sz w:val="18"/>
                <w:szCs w:val="18"/>
              </w:rPr>
            </w:pPr>
            <w:r w:rsidRPr="004C78D8">
              <w:rPr>
                <w:rFonts w:cs="Times New Roman"/>
                <w:b/>
                <w:bCs/>
              </w:rPr>
              <w:t>×</w:t>
            </w:r>
          </w:p>
        </w:tc>
        <w:tc>
          <w:tcPr>
            <w:tcW w:w="689" w:type="pct"/>
            <w:tcBorders>
              <w:top w:val="nil"/>
              <w:bottom w:val="nil"/>
            </w:tcBorders>
          </w:tcPr>
          <w:p w14:paraId="46A412EF" w14:textId="77777777" w:rsidR="00C32B8D" w:rsidRPr="004C78D8" w:rsidRDefault="00C32B8D" w:rsidP="00FB7C1F">
            <w:pPr>
              <w:jc w:val="center"/>
              <w:rPr>
                <w:sz w:val="18"/>
                <w:szCs w:val="18"/>
              </w:rPr>
            </w:pPr>
          </w:p>
        </w:tc>
        <w:tc>
          <w:tcPr>
            <w:tcW w:w="690" w:type="pct"/>
            <w:tcBorders>
              <w:top w:val="nil"/>
              <w:bottom w:val="nil"/>
            </w:tcBorders>
          </w:tcPr>
          <w:p w14:paraId="1F774620" w14:textId="22957C1A" w:rsidR="00C32B8D" w:rsidRPr="004C78D8" w:rsidRDefault="003920DF" w:rsidP="00FB7C1F">
            <w:pPr>
              <w:jc w:val="center"/>
              <w:rPr>
                <w:sz w:val="18"/>
                <w:szCs w:val="18"/>
              </w:rPr>
            </w:pPr>
            <w:r w:rsidRPr="004C78D8">
              <w:rPr>
                <w:rFonts w:cs="Times New Roman"/>
                <w:b/>
                <w:bCs/>
              </w:rPr>
              <w:t>×</w:t>
            </w:r>
          </w:p>
        </w:tc>
        <w:tc>
          <w:tcPr>
            <w:tcW w:w="689" w:type="pct"/>
            <w:tcBorders>
              <w:top w:val="nil"/>
              <w:bottom w:val="nil"/>
            </w:tcBorders>
          </w:tcPr>
          <w:p w14:paraId="073AC8E1" w14:textId="77777777" w:rsidR="00C32B8D" w:rsidRPr="004C78D8" w:rsidRDefault="00C32B8D" w:rsidP="00FB7C1F">
            <w:pPr>
              <w:jc w:val="center"/>
              <w:rPr>
                <w:sz w:val="18"/>
                <w:szCs w:val="18"/>
              </w:rPr>
            </w:pPr>
          </w:p>
        </w:tc>
        <w:tc>
          <w:tcPr>
            <w:tcW w:w="690" w:type="pct"/>
            <w:tcBorders>
              <w:top w:val="nil"/>
              <w:bottom w:val="nil"/>
            </w:tcBorders>
          </w:tcPr>
          <w:p w14:paraId="75391229" w14:textId="57428A3D" w:rsidR="00C32B8D" w:rsidRPr="004C78D8" w:rsidRDefault="00064B6F" w:rsidP="00FB7C1F">
            <w:pPr>
              <w:jc w:val="center"/>
              <w:rPr>
                <w:sz w:val="18"/>
                <w:szCs w:val="18"/>
              </w:rPr>
            </w:pPr>
            <w:r w:rsidRPr="004C78D8">
              <w:rPr>
                <w:rFonts w:cs="Times New Roman"/>
                <w:b/>
                <w:bCs/>
              </w:rPr>
              <w:t>×</w:t>
            </w:r>
          </w:p>
        </w:tc>
      </w:tr>
      <w:tr w:rsidR="00C32B8D" w:rsidRPr="004C78D8" w14:paraId="7B88C636" w14:textId="77777777" w:rsidTr="002828C1">
        <w:tc>
          <w:tcPr>
            <w:tcW w:w="862" w:type="pct"/>
            <w:tcBorders>
              <w:top w:val="nil"/>
            </w:tcBorders>
          </w:tcPr>
          <w:p w14:paraId="64037396" w14:textId="77777777" w:rsidR="00C32B8D" w:rsidRPr="004C78D8" w:rsidRDefault="00C32B8D" w:rsidP="00FB7C1F">
            <w:pPr>
              <w:jc w:val="left"/>
              <w:rPr>
                <w:sz w:val="18"/>
                <w:szCs w:val="18"/>
              </w:rPr>
            </w:pPr>
            <w:r w:rsidRPr="004C78D8">
              <w:rPr>
                <w:sz w:val="18"/>
                <w:szCs w:val="18"/>
              </w:rPr>
              <w:t>Fear of falling</w:t>
            </w:r>
          </w:p>
        </w:tc>
        <w:tc>
          <w:tcPr>
            <w:tcW w:w="689" w:type="pct"/>
            <w:tcBorders>
              <w:top w:val="nil"/>
            </w:tcBorders>
          </w:tcPr>
          <w:p w14:paraId="737630D5" w14:textId="7D9EFC50" w:rsidR="00C32B8D" w:rsidRPr="004C78D8" w:rsidRDefault="00064B6F" w:rsidP="00FB7C1F">
            <w:pPr>
              <w:jc w:val="center"/>
              <w:rPr>
                <w:sz w:val="18"/>
                <w:szCs w:val="18"/>
              </w:rPr>
            </w:pPr>
            <w:r w:rsidRPr="004C78D8">
              <w:rPr>
                <w:rFonts w:cs="Times New Roman"/>
                <w:b/>
                <w:bCs/>
              </w:rPr>
              <w:t>×</w:t>
            </w:r>
          </w:p>
        </w:tc>
        <w:tc>
          <w:tcPr>
            <w:tcW w:w="690" w:type="pct"/>
            <w:tcBorders>
              <w:top w:val="nil"/>
            </w:tcBorders>
          </w:tcPr>
          <w:p w14:paraId="183C5870" w14:textId="1C001E04" w:rsidR="00C32B8D" w:rsidRPr="004C78D8" w:rsidRDefault="00C32B8D" w:rsidP="00FB7C1F">
            <w:pPr>
              <w:jc w:val="center"/>
              <w:rPr>
                <w:sz w:val="18"/>
                <w:szCs w:val="18"/>
              </w:rPr>
            </w:pPr>
            <w:r w:rsidRPr="004C78D8">
              <w:rPr>
                <w:rFonts w:cs="Times New Roman"/>
                <w:b/>
                <w:bCs/>
              </w:rPr>
              <w:t>×</w:t>
            </w:r>
          </w:p>
        </w:tc>
        <w:tc>
          <w:tcPr>
            <w:tcW w:w="689" w:type="pct"/>
            <w:tcBorders>
              <w:top w:val="nil"/>
            </w:tcBorders>
          </w:tcPr>
          <w:p w14:paraId="5E197A4E" w14:textId="1F5350BB" w:rsidR="00C32B8D" w:rsidRPr="004C78D8" w:rsidRDefault="008720FA" w:rsidP="00FB7C1F">
            <w:pPr>
              <w:jc w:val="center"/>
              <w:rPr>
                <w:sz w:val="18"/>
                <w:szCs w:val="18"/>
              </w:rPr>
            </w:pPr>
            <w:r w:rsidRPr="004C78D8">
              <w:rPr>
                <w:rFonts w:cs="Times New Roman"/>
                <w:b/>
                <w:bCs/>
              </w:rPr>
              <w:t>×</w:t>
            </w:r>
          </w:p>
        </w:tc>
        <w:tc>
          <w:tcPr>
            <w:tcW w:w="690" w:type="pct"/>
            <w:tcBorders>
              <w:top w:val="nil"/>
            </w:tcBorders>
          </w:tcPr>
          <w:p w14:paraId="1275F654" w14:textId="4FB8E7D8" w:rsidR="00C32B8D" w:rsidRPr="004C78D8" w:rsidRDefault="00064B6F" w:rsidP="00FB7C1F">
            <w:pPr>
              <w:jc w:val="center"/>
              <w:rPr>
                <w:sz w:val="18"/>
                <w:szCs w:val="18"/>
              </w:rPr>
            </w:pPr>
            <w:r w:rsidRPr="004C78D8">
              <w:rPr>
                <w:rFonts w:cs="Times New Roman"/>
                <w:b/>
                <w:bCs/>
              </w:rPr>
              <w:t>×</w:t>
            </w:r>
          </w:p>
        </w:tc>
        <w:tc>
          <w:tcPr>
            <w:tcW w:w="689" w:type="pct"/>
            <w:tcBorders>
              <w:top w:val="nil"/>
            </w:tcBorders>
          </w:tcPr>
          <w:p w14:paraId="547D010C" w14:textId="77777777" w:rsidR="00C32B8D" w:rsidRPr="004C78D8" w:rsidRDefault="00C32B8D" w:rsidP="00FB7C1F">
            <w:pPr>
              <w:jc w:val="center"/>
              <w:rPr>
                <w:sz w:val="18"/>
                <w:szCs w:val="18"/>
              </w:rPr>
            </w:pPr>
          </w:p>
        </w:tc>
        <w:tc>
          <w:tcPr>
            <w:tcW w:w="690" w:type="pct"/>
            <w:tcBorders>
              <w:top w:val="nil"/>
            </w:tcBorders>
          </w:tcPr>
          <w:p w14:paraId="5A9E073E" w14:textId="2EBE25B2" w:rsidR="00C32B8D" w:rsidRPr="004C78D8" w:rsidRDefault="00064B6F" w:rsidP="00FB7C1F">
            <w:pPr>
              <w:jc w:val="center"/>
              <w:rPr>
                <w:sz w:val="18"/>
                <w:szCs w:val="18"/>
              </w:rPr>
            </w:pPr>
            <w:r w:rsidRPr="004C78D8">
              <w:rPr>
                <w:rFonts w:cs="Times New Roman"/>
                <w:b/>
                <w:bCs/>
              </w:rPr>
              <w:t>×</w:t>
            </w:r>
          </w:p>
        </w:tc>
      </w:tr>
      <w:tr w:rsidR="008748F0" w:rsidRPr="004C78D8" w14:paraId="05EB63BF" w14:textId="77777777" w:rsidTr="002828C1">
        <w:tc>
          <w:tcPr>
            <w:tcW w:w="5000" w:type="pct"/>
            <w:gridSpan w:val="7"/>
            <w:tcBorders>
              <w:bottom w:val="single" w:sz="4" w:space="0" w:color="auto"/>
            </w:tcBorders>
          </w:tcPr>
          <w:p w14:paraId="0C53CCFB" w14:textId="7E7F2FF3" w:rsidR="008748F0" w:rsidRPr="004C78D8" w:rsidRDefault="008748F0" w:rsidP="00FB7C1F">
            <w:pPr>
              <w:jc w:val="left"/>
              <w:rPr>
                <w:b/>
                <w:bCs/>
                <w:sz w:val="18"/>
                <w:szCs w:val="18"/>
              </w:rPr>
            </w:pPr>
            <w:r w:rsidRPr="004C78D8">
              <w:rPr>
                <w:b/>
                <w:bCs/>
                <w:sz w:val="18"/>
                <w:szCs w:val="18"/>
              </w:rPr>
              <w:t>Frailty and intrinsic capacity</w:t>
            </w:r>
            <w:r w:rsidR="00280DDB" w:rsidRPr="004C78D8">
              <w:rPr>
                <w:b/>
                <w:bCs/>
                <w:sz w:val="18"/>
                <w:szCs w:val="18"/>
                <w:vertAlign w:val="superscript"/>
              </w:rPr>
              <w:t>5</w:t>
            </w:r>
          </w:p>
        </w:tc>
      </w:tr>
      <w:tr w:rsidR="00C32B8D" w:rsidRPr="004C78D8" w14:paraId="6FA87715" w14:textId="77777777" w:rsidTr="002828C1">
        <w:tc>
          <w:tcPr>
            <w:tcW w:w="862" w:type="pct"/>
            <w:tcBorders>
              <w:bottom w:val="nil"/>
            </w:tcBorders>
          </w:tcPr>
          <w:p w14:paraId="49290D03" w14:textId="77777777" w:rsidR="00C32B8D" w:rsidRPr="004C78D8" w:rsidRDefault="00C32B8D" w:rsidP="00FB7C1F">
            <w:pPr>
              <w:jc w:val="left"/>
              <w:rPr>
                <w:sz w:val="18"/>
                <w:szCs w:val="18"/>
              </w:rPr>
            </w:pPr>
            <w:r w:rsidRPr="004C78D8">
              <w:rPr>
                <w:sz w:val="18"/>
                <w:szCs w:val="18"/>
              </w:rPr>
              <w:t>Frailty</w:t>
            </w:r>
          </w:p>
        </w:tc>
        <w:tc>
          <w:tcPr>
            <w:tcW w:w="689" w:type="pct"/>
            <w:tcBorders>
              <w:bottom w:val="nil"/>
            </w:tcBorders>
          </w:tcPr>
          <w:p w14:paraId="46E50E9F" w14:textId="238BAB03" w:rsidR="00C32B8D" w:rsidRPr="004C78D8" w:rsidRDefault="00064B6F" w:rsidP="00FB7C1F">
            <w:pPr>
              <w:jc w:val="center"/>
              <w:rPr>
                <w:sz w:val="18"/>
                <w:szCs w:val="18"/>
              </w:rPr>
            </w:pPr>
            <w:r w:rsidRPr="004C78D8">
              <w:rPr>
                <w:rFonts w:cs="Times New Roman"/>
                <w:b/>
                <w:bCs/>
              </w:rPr>
              <w:t>×</w:t>
            </w:r>
          </w:p>
        </w:tc>
        <w:tc>
          <w:tcPr>
            <w:tcW w:w="690" w:type="pct"/>
            <w:tcBorders>
              <w:bottom w:val="nil"/>
            </w:tcBorders>
          </w:tcPr>
          <w:p w14:paraId="5C6EBE21" w14:textId="53CD8EF5" w:rsidR="00C32B8D" w:rsidRPr="004C78D8" w:rsidRDefault="00C32B8D" w:rsidP="00FB7C1F">
            <w:pPr>
              <w:jc w:val="center"/>
              <w:rPr>
                <w:sz w:val="18"/>
                <w:szCs w:val="18"/>
              </w:rPr>
            </w:pPr>
            <w:r w:rsidRPr="004C78D8">
              <w:rPr>
                <w:rFonts w:cs="Times New Roman"/>
                <w:b/>
                <w:bCs/>
              </w:rPr>
              <w:t>×</w:t>
            </w:r>
          </w:p>
        </w:tc>
        <w:tc>
          <w:tcPr>
            <w:tcW w:w="689" w:type="pct"/>
            <w:tcBorders>
              <w:bottom w:val="nil"/>
            </w:tcBorders>
          </w:tcPr>
          <w:p w14:paraId="1F80E60F" w14:textId="03A31C91" w:rsidR="00C32B8D" w:rsidRPr="004C78D8" w:rsidRDefault="00064B6F" w:rsidP="00FB7C1F">
            <w:pPr>
              <w:jc w:val="center"/>
              <w:rPr>
                <w:sz w:val="18"/>
                <w:szCs w:val="18"/>
              </w:rPr>
            </w:pPr>
            <w:r w:rsidRPr="004C78D8">
              <w:rPr>
                <w:rFonts w:cs="Times New Roman"/>
                <w:b/>
                <w:bCs/>
              </w:rPr>
              <w:t>×</w:t>
            </w:r>
          </w:p>
        </w:tc>
        <w:tc>
          <w:tcPr>
            <w:tcW w:w="690" w:type="pct"/>
            <w:tcBorders>
              <w:bottom w:val="nil"/>
            </w:tcBorders>
          </w:tcPr>
          <w:p w14:paraId="2F06A0C5" w14:textId="472F5891" w:rsidR="00C32B8D" w:rsidRPr="004C78D8" w:rsidRDefault="000B6B6F" w:rsidP="00FB7C1F">
            <w:pPr>
              <w:jc w:val="center"/>
              <w:rPr>
                <w:sz w:val="18"/>
                <w:szCs w:val="18"/>
              </w:rPr>
            </w:pPr>
            <w:r w:rsidRPr="004C78D8">
              <w:rPr>
                <w:rFonts w:cs="Times New Roman"/>
                <w:b/>
                <w:bCs/>
              </w:rPr>
              <w:t>×</w:t>
            </w:r>
          </w:p>
        </w:tc>
        <w:tc>
          <w:tcPr>
            <w:tcW w:w="689" w:type="pct"/>
            <w:tcBorders>
              <w:bottom w:val="nil"/>
            </w:tcBorders>
          </w:tcPr>
          <w:p w14:paraId="73D78B7C" w14:textId="7E65955A" w:rsidR="00C32B8D" w:rsidRPr="004C78D8" w:rsidRDefault="000B6B6F" w:rsidP="00FB7C1F">
            <w:pPr>
              <w:jc w:val="center"/>
              <w:rPr>
                <w:sz w:val="18"/>
                <w:szCs w:val="18"/>
              </w:rPr>
            </w:pPr>
            <w:r w:rsidRPr="004C78D8">
              <w:rPr>
                <w:rFonts w:cs="Times New Roman"/>
                <w:b/>
                <w:bCs/>
              </w:rPr>
              <w:t>×</w:t>
            </w:r>
          </w:p>
        </w:tc>
        <w:tc>
          <w:tcPr>
            <w:tcW w:w="690" w:type="pct"/>
            <w:tcBorders>
              <w:bottom w:val="nil"/>
            </w:tcBorders>
          </w:tcPr>
          <w:p w14:paraId="2F0F0E68" w14:textId="1A1FA65E" w:rsidR="00C32B8D" w:rsidRPr="004C78D8" w:rsidRDefault="000B6B6F" w:rsidP="00FB7C1F">
            <w:pPr>
              <w:jc w:val="center"/>
              <w:rPr>
                <w:sz w:val="18"/>
                <w:szCs w:val="18"/>
              </w:rPr>
            </w:pPr>
            <w:r w:rsidRPr="004C78D8">
              <w:rPr>
                <w:rFonts w:cs="Times New Roman"/>
                <w:b/>
                <w:bCs/>
              </w:rPr>
              <w:t>×</w:t>
            </w:r>
          </w:p>
        </w:tc>
      </w:tr>
      <w:tr w:rsidR="00605AD8" w:rsidRPr="004C78D8" w14:paraId="0A96E98A" w14:textId="77777777" w:rsidTr="002828C1">
        <w:tc>
          <w:tcPr>
            <w:tcW w:w="862" w:type="pct"/>
            <w:tcBorders>
              <w:top w:val="nil"/>
              <w:bottom w:val="nil"/>
            </w:tcBorders>
          </w:tcPr>
          <w:p w14:paraId="0249AFED" w14:textId="0F2BF0FD" w:rsidR="00605AD8" w:rsidRPr="004C78D8" w:rsidRDefault="00605AD8" w:rsidP="00FB7C1F">
            <w:pPr>
              <w:jc w:val="left"/>
              <w:rPr>
                <w:sz w:val="18"/>
                <w:szCs w:val="18"/>
              </w:rPr>
            </w:pPr>
            <w:r w:rsidRPr="004C78D8">
              <w:rPr>
                <w:sz w:val="18"/>
                <w:szCs w:val="18"/>
              </w:rPr>
              <w:t>Gait and balance</w:t>
            </w:r>
          </w:p>
        </w:tc>
        <w:tc>
          <w:tcPr>
            <w:tcW w:w="689" w:type="pct"/>
            <w:tcBorders>
              <w:top w:val="nil"/>
              <w:bottom w:val="nil"/>
            </w:tcBorders>
          </w:tcPr>
          <w:p w14:paraId="5FEEBC56" w14:textId="3FA32B41" w:rsidR="00605AD8" w:rsidRPr="004C78D8" w:rsidRDefault="0054567D" w:rsidP="00FB7C1F">
            <w:pPr>
              <w:jc w:val="center"/>
              <w:rPr>
                <w:rFonts w:cs="Times New Roman"/>
                <w:b/>
                <w:bCs/>
              </w:rPr>
            </w:pPr>
            <w:r w:rsidRPr="004C78D8">
              <w:rPr>
                <w:rFonts w:cs="Times New Roman"/>
                <w:b/>
                <w:bCs/>
              </w:rPr>
              <w:t>×</w:t>
            </w:r>
          </w:p>
        </w:tc>
        <w:tc>
          <w:tcPr>
            <w:tcW w:w="690" w:type="pct"/>
            <w:tcBorders>
              <w:top w:val="nil"/>
              <w:bottom w:val="nil"/>
            </w:tcBorders>
          </w:tcPr>
          <w:p w14:paraId="64BC13A6" w14:textId="5AE7A1CF" w:rsidR="00605AD8" w:rsidRPr="004C78D8" w:rsidRDefault="009E68BA" w:rsidP="00FB7C1F">
            <w:pPr>
              <w:jc w:val="center"/>
              <w:rPr>
                <w:sz w:val="18"/>
                <w:szCs w:val="18"/>
              </w:rPr>
            </w:pPr>
            <w:r w:rsidRPr="004C78D8">
              <w:rPr>
                <w:rFonts w:cs="Times New Roman"/>
                <w:b/>
                <w:bCs/>
              </w:rPr>
              <w:t>×</w:t>
            </w:r>
          </w:p>
        </w:tc>
        <w:tc>
          <w:tcPr>
            <w:tcW w:w="689" w:type="pct"/>
            <w:tcBorders>
              <w:top w:val="nil"/>
              <w:bottom w:val="nil"/>
            </w:tcBorders>
          </w:tcPr>
          <w:p w14:paraId="1E4AA112" w14:textId="03376662" w:rsidR="00605AD8" w:rsidRPr="004C78D8" w:rsidRDefault="009E68BA" w:rsidP="00FB7C1F">
            <w:pPr>
              <w:jc w:val="center"/>
              <w:rPr>
                <w:rFonts w:cs="Times New Roman"/>
                <w:b/>
                <w:bCs/>
              </w:rPr>
            </w:pPr>
            <w:r w:rsidRPr="004C78D8">
              <w:rPr>
                <w:rFonts w:cs="Times New Roman"/>
                <w:b/>
                <w:bCs/>
              </w:rPr>
              <w:t>×</w:t>
            </w:r>
          </w:p>
        </w:tc>
        <w:tc>
          <w:tcPr>
            <w:tcW w:w="690" w:type="pct"/>
            <w:tcBorders>
              <w:top w:val="nil"/>
              <w:bottom w:val="nil"/>
            </w:tcBorders>
          </w:tcPr>
          <w:p w14:paraId="3011FA3E" w14:textId="276861E1" w:rsidR="00605AD8" w:rsidRPr="004C78D8" w:rsidRDefault="00FA67D1" w:rsidP="00FB7C1F">
            <w:pPr>
              <w:jc w:val="center"/>
              <w:rPr>
                <w:rFonts w:cs="Times New Roman"/>
                <w:b/>
                <w:bCs/>
              </w:rPr>
            </w:pPr>
            <w:r w:rsidRPr="004C78D8">
              <w:rPr>
                <w:rFonts w:cs="Times New Roman"/>
                <w:b/>
                <w:bCs/>
              </w:rPr>
              <w:t>×</w:t>
            </w:r>
          </w:p>
        </w:tc>
        <w:tc>
          <w:tcPr>
            <w:tcW w:w="689" w:type="pct"/>
            <w:tcBorders>
              <w:top w:val="nil"/>
              <w:bottom w:val="nil"/>
            </w:tcBorders>
          </w:tcPr>
          <w:p w14:paraId="3CB9FA09" w14:textId="77777777" w:rsidR="00605AD8" w:rsidRPr="004C78D8" w:rsidRDefault="00605AD8" w:rsidP="00FB7C1F">
            <w:pPr>
              <w:jc w:val="center"/>
              <w:rPr>
                <w:sz w:val="18"/>
                <w:szCs w:val="18"/>
              </w:rPr>
            </w:pPr>
          </w:p>
        </w:tc>
        <w:tc>
          <w:tcPr>
            <w:tcW w:w="690" w:type="pct"/>
            <w:tcBorders>
              <w:top w:val="nil"/>
              <w:bottom w:val="nil"/>
            </w:tcBorders>
          </w:tcPr>
          <w:p w14:paraId="45B9F91F" w14:textId="566D4184" w:rsidR="00605AD8" w:rsidRPr="004C78D8" w:rsidRDefault="00B70966" w:rsidP="00FB7C1F">
            <w:pPr>
              <w:jc w:val="center"/>
              <w:rPr>
                <w:rFonts w:cs="Times New Roman"/>
                <w:b/>
                <w:bCs/>
              </w:rPr>
            </w:pPr>
            <w:r w:rsidRPr="004C78D8">
              <w:rPr>
                <w:rFonts w:cs="Times New Roman"/>
                <w:b/>
                <w:bCs/>
              </w:rPr>
              <w:t>×</w:t>
            </w:r>
          </w:p>
        </w:tc>
      </w:tr>
      <w:tr w:rsidR="00C32B8D" w:rsidRPr="004C78D8" w14:paraId="72420715" w14:textId="77777777" w:rsidTr="002828C1">
        <w:tc>
          <w:tcPr>
            <w:tcW w:w="862" w:type="pct"/>
            <w:tcBorders>
              <w:top w:val="nil"/>
              <w:bottom w:val="nil"/>
            </w:tcBorders>
          </w:tcPr>
          <w:p w14:paraId="2CED4F86" w14:textId="77777777" w:rsidR="00C32B8D" w:rsidRPr="004C78D8" w:rsidRDefault="00C32B8D" w:rsidP="00FB7C1F">
            <w:pPr>
              <w:jc w:val="left"/>
              <w:rPr>
                <w:sz w:val="18"/>
                <w:szCs w:val="18"/>
              </w:rPr>
            </w:pPr>
            <w:r w:rsidRPr="004C78D8">
              <w:rPr>
                <w:sz w:val="18"/>
                <w:szCs w:val="18"/>
              </w:rPr>
              <w:t>Cognitive status</w:t>
            </w:r>
          </w:p>
        </w:tc>
        <w:tc>
          <w:tcPr>
            <w:tcW w:w="689" w:type="pct"/>
            <w:tcBorders>
              <w:top w:val="nil"/>
              <w:bottom w:val="nil"/>
            </w:tcBorders>
          </w:tcPr>
          <w:p w14:paraId="27109AED" w14:textId="402C5EBE" w:rsidR="00C32B8D" w:rsidRPr="004C78D8" w:rsidRDefault="00064B6F" w:rsidP="00FB7C1F">
            <w:pPr>
              <w:jc w:val="center"/>
              <w:rPr>
                <w:sz w:val="18"/>
                <w:szCs w:val="18"/>
              </w:rPr>
            </w:pPr>
            <w:r w:rsidRPr="004C78D8">
              <w:rPr>
                <w:rFonts w:cs="Times New Roman"/>
                <w:b/>
                <w:bCs/>
              </w:rPr>
              <w:t>×</w:t>
            </w:r>
          </w:p>
        </w:tc>
        <w:tc>
          <w:tcPr>
            <w:tcW w:w="690" w:type="pct"/>
            <w:tcBorders>
              <w:top w:val="nil"/>
              <w:bottom w:val="nil"/>
            </w:tcBorders>
          </w:tcPr>
          <w:p w14:paraId="4314485E" w14:textId="4F6A9A7A" w:rsidR="00C32B8D" w:rsidRPr="004C78D8" w:rsidRDefault="00EF77A9" w:rsidP="00FB7C1F">
            <w:pPr>
              <w:jc w:val="center"/>
              <w:rPr>
                <w:sz w:val="18"/>
                <w:szCs w:val="18"/>
              </w:rPr>
            </w:pPr>
            <w:r w:rsidRPr="004C78D8">
              <w:rPr>
                <w:rFonts w:cs="Times New Roman"/>
                <w:b/>
                <w:bCs/>
              </w:rPr>
              <w:t>×</w:t>
            </w:r>
          </w:p>
        </w:tc>
        <w:tc>
          <w:tcPr>
            <w:tcW w:w="689" w:type="pct"/>
            <w:tcBorders>
              <w:top w:val="nil"/>
              <w:bottom w:val="nil"/>
            </w:tcBorders>
          </w:tcPr>
          <w:p w14:paraId="7C2928EB" w14:textId="6D686801" w:rsidR="00C32B8D" w:rsidRPr="004C78D8" w:rsidRDefault="000B6B6F" w:rsidP="00FB7C1F">
            <w:pPr>
              <w:jc w:val="center"/>
              <w:rPr>
                <w:sz w:val="18"/>
                <w:szCs w:val="18"/>
              </w:rPr>
            </w:pPr>
            <w:r w:rsidRPr="004C78D8">
              <w:rPr>
                <w:rFonts w:cs="Times New Roman"/>
                <w:b/>
                <w:bCs/>
              </w:rPr>
              <w:t>×</w:t>
            </w:r>
          </w:p>
        </w:tc>
        <w:tc>
          <w:tcPr>
            <w:tcW w:w="690" w:type="pct"/>
            <w:tcBorders>
              <w:top w:val="nil"/>
              <w:bottom w:val="nil"/>
            </w:tcBorders>
          </w:tcPr>
          <w:p w14:paraId="5213B95B" w14:textId="29E9121B" w:rsidR="00C32B8D" w:rsidRPr="004C78D8" w:rsidRDefault="000B6B6F" w:rsidP="00FB7C1F">
            <w:pPr>
              <w:jc w:val="center"/>
              <w:rPr>
                <w:sz w:val="18"/>
                <w:szCs w:val="18"/>
              </w:rPr>
            </w:pPr>
            <w:r w:rsidRPr="004C78D8">
              <w:rPr>
                <w:rFonts w:cs="Times New Roman"/>
                <w:b/>
                <w:bCs/>
              </w:rPr>
              <w:t>×</w:t>
            </w:r>
          </w:p>
        </w:tc>
        <w:tc>
          <w:tcPr>
            <w:tcW w:w="689" w:type="pct"/>
            <w:tcBorders>
              <w:top w:val="nil"/>
              <w:bottom w:val="nil"/>
            </w:tcBorders>
          </w:tcPr>
          <w:p w14:paraId="689E295D" w14:textId="5D4B5D78" w:rsidR="00C32B8D" w:rsidRPr="004C78D8" w:rsidRDefault="005B5A14" w:rsidP="00FB7C1F">
            <w:pPr>
              <w:jc w:val="center"/>
              <w:rPr>
                <w:sz w:val="18"/>
                <w:szCs w:val="18"/>
              </w:rPr>
            </w:pPr>
            <w:r w:rsidRPr="004C78D8">
              <w:rPr>
                <w:rFonts w:cs="Times New Roman"/>
                <w:b/>
                <w:bCs/>
              </w:rPr>
              <w:t>×</w:t>
            </w:r>
          </w:p>
        </w:tc>
        <w:tc>
          <w:tcPr>
            <w:tcW w:w="690" w:type="pct"/>
            <w:tcBorders>
              <w:top w:val="nil"/>
              <w:bottom w:val="nil"/>
            </w:tcBorders>
          </w:tcPr>
          <w:p w14:paraId="16A5D0A5" w14:textId="4B3E239D" w:rsidR="00C32B8D" w:rsidRPr="004C78D8" w:rsidRDefault="000B6B6F" w:rsidP="00FB7C1F">
            <w:pPr>
              <w:jc w:val="center"/>
              <w:rPr>
                <w:sz w:val="18"/>
                <w:szCs w:val="18"/>
              </w:rPr>
            </w:pPr>
            <w:r w:rsidRPr="004C78D8">
              <w:rPr>
                <w:rFonts w:cs="Times New Roman"/>
                <w:b/>
                <w:bCs/>
              </w:rPr>
              <w:t>×</w:t>
            </w:r>
          </w:p>
        </w:tc>
      </w:tr>
      <w:tr w:rsidR="00280DDB" w:rsidRPr="004C78D8" w14:paraId="5DC94DC7" w14:textId="77777777" w:rsidTr="002828C1">
        <w:tc>
          <w:tcPr>
            <w:tcW w:w="862" w:type="pct"/>
            <w:tcBorders>
              <w:top w:val="nil"/>
              <w:bottom w:val="nil"/>
            </w:tcBorders>
          </w:tcPr>
          <w:p w14:paraId="1D2043DC" w14:textId="3F48E451" w:rsidR="00280DDB" w:rsidRPr="004C78D8" w:rsidRDefault="00280DDB" w:rsidP="00FB7C1F">
            <w:pPr>
              <w:jc w:val="left"/>
              <w:rPr>
                <w:sz w:val="18"/>
                <w:szCs w:val="18"/>
              </w:rPr>
            </w:pPr>
            <w:r w:rsidRPr="004C78D8">
              <w:rPr>
                <w:sz w:val="18"/>
                <w:szCs w:val="18"/>
              </w:rPr>
              <w:t>PA level</w:t>
            </w:r>
          </w:p>
        </w:tc>
        <w:tc>
          <w:tcPr>
            <w:tcW w:w="689" w:type="pct"/>
            <w:tcBorders>
              <w:top w:val="nil"/>
              <w:bottom w:val="nil"/>
            </w:tcBorders>
          </w:tcPr>
          <w:p w14:paraId="79D81713" w14:textId="6A6BD7B5" w:rsidR="00280DDB" w:rsidRPr="004C78D8" w:rsidRDefault="00280DDB" w:rsidP="00FB7C1F">
            <w:pPr>
              <w:jc w:val="center"/>
              <w:rPr>
                <w:rFonts w:cs="Times New Roman"/>
                <w:b/>
                <w:bCs/>
              </w:rPr>
            </w:pPr>
            <w:r w:rsidRPr="004C78D8">
              <w:rPr>
                <w:rFonts w:cs="Times New Roman"/>
                <w:b/>
                <w:bCs/>
              </w:rPr>
              <w:t>×</w:t>
            </w:r>
          </w:p>
        </w:tc>
        <w:tc>
          <w:tcPr>
            <w:tcW w:w="690" w:type="pct"/>
            <w:tcBorders>
              <w:top w:val="nil"/>
              <w:bottom w:val="nil"/>
            </w:tcBorders>
          </w:tcPr>
          <w:p w14:paraId="71FA3108" w14:textId="08D5BF9A" w:rsidR="00280DDB" w:rsidRPr="004C78D8" w:rsidRDefault="001C441F" w:rsidP="00FB7C1F">
            <w:pPr>
              <w:jc w:val="center"/>
              <w:rPr>
                <w:sz w:val="18"/>
                <w:szCs w:val="18"/>
              </w:rPr>
            </w:pPr>
            <w:r w:rsidRPr="004C78D8">
              <w:rPr>
                <w:rFonts w:cs="Times New Roman"/>
                <w:b/>
                <w:bCs/>
              </w:rPr>
              <w:t>×</w:t>
            </w:r>
          </w:p>
        </w:tc>
        <w:tc>
          <w:tcPr>
            <w:tcW w:w="689" w:type="pct"/>
            <w:tcBorders>
              <w:top w:val="nil"/>
              <w:bottom w:val="nil"/>
            </w:tcBorders>
          </w:tcPr>
          <w:p w14:paraId="2637E6EF" w14:textId="463F2441" w:rsidR="00280DDB" w:rsidRPr="004C78D8" w:rsidRDefault="00280DDB" w:rsidP="00FB7C1F">
            <w:pPr>
              <w:jc w:val="center"/>
              <w:rPr>
                <w:rFonts w:cs="Times New Roman"/>
                <w:b/>
                <w:bCs/>
              </w:rPr>
            </w:pPr>
            <w:r w:rsidRPr="004C78D8">
              <w:rPr>
                <w:rFonts w:cs="Times New Roman"/>
                <w:b/>
                <w:bCs/>
              </w:rPr>
              <w:t>×</w:t>
            </w:r>
          </w:p>
        </w:tc>
        <w:tc>
          <w:tcPr>
            <w:tcW w:w="690" w:type="pct"/>
            <w:tcBorders>
              <w:top w:val="nil"/>
              <w:bottom w:val="nil"/>
            </w:tcBorders>
          </w:tcPr>
          <w:p w14:paraId="49A32F5F" w14:textId="233AFE66" w:rsidR="00280DDB" w:rsidRPr="004C78D8" w:rsidRDefault="00F149FB" w:rsidP="00FB7C1F">
            <w:pPr>
              <w:jc w:val="center"/>
              <w:rPr>
                <w:rFonts w:cs="Times New Roman"/>
                <w:b/>
                <w:bCs/>
              </w:rPr>
            </w:pPr>
            <w:r w:rsidRPr="004C78D8">
              <w:rPr>
                <w:rFonts w:cs="Times New Roman"/>
                <w:b/>
                <w:bCs/>
              </w:rPr>
              <w:t>×</w:t>
            </w:r>
          </w:p>
        </w:tc>
        <w:tc>
          <w:tcPr>
            <w:tcW w:w="689" w:type="pct"/>
            <w:tcBorders>
              <w:top w:val="nil"/>
              <w:bottom w:val="nil"/>
            </w:tcBorders>
          </w:tcPr>
          <w:p w14:paraId="145D3378" w14:textId="77777777" w:rsidR="00280DDB" w:rsidRPr="004C78D8" w:rsidRDefault="00280DDB" w:rsidP="00FB7C1F">
            <w:pPr>
              <w:jc w:val="center"/>
              <w:rPr>
                <w:sz w:val="18"/>
                <w:szCs w:val="18"/>
              </w:rPr>
            </w:pPr>
          </w:p>
        </w:tc>
        <w:tc>
          <w:tcPr>
            <w:tcW w:w="690" w:type="pct"/>
            <w:tcBorders>
              <w:top w:val="nil"/>
              <w:bottom w:val="nil"/>
            </w:tcBorders>
          </w:tcPr>
          <w:p w14:paraId="568C41E8" w14:textId="7F5EA1DC" w:rsidR="00280DDB" w:rsidRPr="004C78D8" w:rsidRDefault="00280DDB" w:rsidP="00FB7C1F">
            <w:pPr>
              <w:jc w:val="center"/>
              <w:rPr>
                <w:rFonts w:cs="Times New Roman"/>
                <w:b/>
                <w:bCs/>
              </w:rPr>
            </w:pPr>
            <w:r w:rsidRPr="004C78D8">
              <w:rPr>
                <w:rFonts w:cs="Times New Roman"/>
                <w:b/>
                <w:bCs/>
              </w:rPr>
              <w:t>×</w:t>
            </w:r>
          </w:p>
        </w:tc>
      </w:tr>
      <w:tr w:rsidR="00280DDB" w:rsidRPr="004C78D8" w14:paraId="5EB84E48" w14:textId="77777777" w:rsidTr="002828C1">
        <w:tc>
          <w:tcPr>
            <w:tcW w:w="862" w:type="pct"/>
            <w:tcBorders>
              <w:top w:val="nil"/>
              <w:bottom w:val="nil"/>
            </w:tcBorders>
          </w:tcPr>
          <w:p w14:paraId="6A1692DC" w14:textId="38C6C81A" w:rsidR="00280DDB" w:rsidRPr="004C78D8" w:rsidRDefault="00280DDB" w:rsidP="00FB7C1F">
            <w:pPr>
              <w:jc w:val="left"/>
              <w:rPr>
                <w:sz w:val="18"/>
                <w:szCs w:val="18"/>
              </w:rPr>
            </w:pPr>
            <w:r w:rsidRPr="004C78D8">
              <w:rPr>
                <w:sz w:val="18"/>
                <w:szCs w:val="18"/>
              </w:rPr>
              <w:t>Other intrinsic</w:t>
            </w:r>
          </w:p>
        </w:tc>
        <w:tc>
          <w:tcPr>
            <w:tcW w:w="689" w:type="pct"/>
            <w:tcBorders>
              <w:top w:val="nil"/>
              <w:bottom w:val="nil"/>
            </w:tcBorders>
          </w:tcPr>
          <w:p w14:paraId="7F0CE0DA" w14:textId="013B71E6" w:rsidR="00280DDB" w:rsidRPr="004C78D8" w:rsidRDefault="00280DDB" w:rsidP="00FB7C1F">
            <w:pPr>
              <w:jc w:val="center"/>
              <w:rPr>
                <w:sz w:val="18"/>
                <w:szCs w:val="18"/>
              </w:rPr>
            </w:pPr>
            <w:r w:rsidRPr="004C78D8">
              <w:rPr>
                <w:rFonts w:cs="Times New Roman"/>
                <w:b/>
                <w:bCs/>
              </w:rPr>
              <w:t>×</w:t>
            </w:r>
          </w:p>
        </w:tc>
        <w:tc>
          <w:tcPr>
            <w:tcW w:w="690" w:type="pct"/>
            <w:tcBorders>
              <w:top w:val="nil"/>
              <w:bottom w:val="nil"/>
            </w:tcBorders>
          </w:tcPr>
          <w:p w14:paraId="2C1B10B8" w14:textId="0FF23430" w:rsidR="00280DDB" w:rsidRPr="004C78D8" w:rsidRDefault="00280DDB" w:rsidP="00FB7C1F">
            <w:pPr>
              <w:jc w:val="center"/>
              <w:rPr>
                <w:sz w:val="18"/>
                <w:szCs w:val="18"/>
              </w:rPr>
            </w:pPr>
            <w:r w:rsidRPr="004C78D8">
              <w:rPr>
                <w:rFonts w:cs="Times New Roman"/>
                <w:b/>
                <w:bCs/>
              </w:rPr>
              <w:t>×</w:t>
            </w:r>
          </w:p>
        </w:tc>
        <w:tc>
          <w:tcPr>
            <w:tcW w:w="689" w:type="pct"/>
            <w:tcBorders>
              <w:top w:val="nil"/>
              <w:bottom w:val="nil"/>
            </w:tcBorders>
          </w:tcPr>
          <w:p w14:paraId="255D30B2" w14:textId="2882A20B" w:rsidR="00280DDB" w:rsidRPr="004C78D8" w:rsidRDefault="00280DDB" w:rsidP="00FB7C1F">
            <w:pPr>
              <w:jc w:val="center"/>
              <w:rPr>
                <w:sz w:val="18"/>
                <w:szCs w:val="18"/>
              </w:rPr>
            </w:pPr>
          </w:p>
        </w:tc>
        <w:tc>
          <w:tcPr>
            <w:tcW w:w="690" w:type="pct"/>
            <w:tcBorders>
              <w:top w:val="nil"/>
              <w:bottom w:val="nil"/>
            </w:tcBorders>
          </w:tcPr>
          <w:p w14:paraId="0321EBF1" w14:textId="39EF32F5" w:rsidR="00280DDB" w:rsidRPr="004C78D8" w:rsidRDefault="00280DDB" w:rsidP="00FB7C1F">
            <w:pPr>
              <w:jc w:val="center"/>
              <w:rPr>
                <w:sz w:val="18"/>
                <w:szCs w:val="18"/>
              </w:rPr>
            </w:pPr>
          </w:p>
        </w:tc>
        <w:tc>
          <w:tcPr>
            <w:tcW w:w="689" w:type="pct"/>
            <w:tcBorders>
              <w:top w:val="nil"/>
              <w:bottom w:val="nil"/>
            </w:tcBorders>
          </w:tcPr>
          <w:p w14:paraId="10F30295" w14:textId="77777777" w:rsidR="00280DDB" w:rsidRPr="004C78D8" w:rsidRDefault="00280DDB" w:rsidP="00FB7C1F">
            <w:pPr>
              <w:jc w:val="center"/>
              <w:rPr>
                <w:sz w:val="18"/>
                <w:szCs w:val="18"/>
              </w:rPr>
            </w:pPr>
          </w:p>
        </w:tc>
        <w:tc>
          <w:tcPr>
            <w:tcW w:w="690" w:type="pct"/>
            <w:tcBorders>
              <w:top w:val="nil"/>
              <w:bottom w:val="nil"/>
            </w:tcBorders>
          </w:tcPr>
          <w:p w14:paraId="55B6BE88" w14:textId="6CCDDDE7" w:rsidR="00280DDB" w:rsidRPr="004C78D8" w:rsidRDefault="00280DDB" w:rsidP="00FB7C1F">
            <w:pPr>
              <w:jc w:val="center"/>
              <w:rPr>
                <w:sz w:val="18"/>
                <w:szCs w:val="18"/>
              </w:rPr>
            </w:pPr>
          </w:p>
        </w:tc>
      </w:tr>
      <w:tr w:rsidR="00280DDB" w:rsidRPr="004C78D8" w14:paraId="572E5B6F" w14:textId="77777777" w:rsidTr="002828C1">
        <w:tc>
          <w:tcPr>
            <w:tcW w:w="5000" w:type="pct"/>
            <w:gridSpan w:val="7"/>
            <w:tcBorders>
              <w:bottom w:val="single" w:sz="4" w:space="0" w:color="auto"/>
            </w:tcBorders>
          </w:tcPr>
          <w:p w14:paraId="201EC312" w14:textId="73DD9BA4" w:rsidR="00280DDB" w:rsidRPr="004C78D8" w:rsidRDefault="00280DDB" w:rsidP="00FB7C1F">
            <w:pPr>
              <w:jc w:val="left"/>
              <w:rPr>
                <w:b/>
                <w:bCs/>
                <w:sz w:val="18"/>
                <w:szCs w:val="18"/>
              </w:rPr>
            </w:pPr>
            <w:r w:rsidRPr="004C78D8">
              <w:rPr>
                <w:b/>
                <w:bCs/>
                <w:sz w:val="18"/>
                <w:szCs w:val="18"/>
              </w:rPr>
              <w:t>Environmental</w:t>
            </w:r>
          </w:p>
        </w:tc>
      </w:tr>
      <w:tr w:rsidR="00280DDB" w:rsidRPr="004C78D8" w14:paraId="3FB14107" w14:textId="77777777" w:rsidTr="002828C1">
        <w:tc>
          <w:tcPr>
            <w:tcW w:w="862" w:type="pct"/>
            <w:tcBorders>
              <w:bottom w:val="nil"/>
            </w:tcBorders>
          </w:tcPr>
          <w:p w14:paraId="0ABFA9F4" w14:textId="0D3EACB8" w:rsidR="00280DDB" w:rsidRPr="004C78D8" w:rsidRDefault="00280DDB" w:rsidP="00FB7C1F">
            <w:pPr>
              <w:jc w:val="left"/>
              <w:rPr>
                <w:sz w:val="18"/>
                <w:szCs w:val="18"/>
              </w:rPr>
            </w:pPr>
            <w:r w:rsidRPr="004C78D8">
              <w:rPr>
                <w:sz w:val="18"/>
                <w:szCs w:val="18"/>
              </w:rPr>
              <w:t>Home space</w:t>
            </w:r>
          </w:p>
        </w:tc>
        <w:tc>
          <w:tcPr>
            <w:tcW w:w="689" w:type="pct"/>
            <w:tcBorders>
              <w:bottom w:val="nil"/>
            </w:tcBorders>
          </w:tcPr>
          <w:p w14:paraId="75E79B07" w14:textId="5E132D85" w:rsidR="00280DDB" w:rsidRPr="004C78D8" w:rsidRDefault="00280DDB" w:rsidP="00FB7C1F">
            <w:pPr>
              <w:jc w:val="center"/>
              <w:rPr>
                <w:sz w:val="18"/>
                <w:szCs w:val="18"/>
              </w:rPr>
            </w:pPr>
            <w:r w:rsidRPr="004C78D8">
              <w:rPr>
                <w:rFonts w:cs="Times New Roman"/>
                <w:b/>
                <w:bCs/>
              </w:rPr>
              <w:t>×</w:t>
            </w:r>
          </w:p>
        </w:tc>
        <w:tc>
          <w:tcPr>
            <w:tcW w:w="690" w:type="pct"/>
            <w:tcBorders>
              <w:bottom w:val="nil"/>
            </w:tcBorders>
          </w:tcPr>
          <w:p w14:paraId="51334DE2" w14:textId="77777777" w:rsidR="00280DDB" w:rsidRPr="004C78D8" w:rsidRDefault="00280DDB" w:rsidP="00FB7C1F">
            <w:pPr>
              <w:jc w:val="center"/>
              <w:rPr>
                <w:sz w:val="18"/>
                <w:szCs w:val="18"/>
              </w:rPr>
            </w:pPr>
          </w:p>
        </w:tc>
        <w:tc>
          <w:tcPr>
            <w:tcW w:w="689" w:type="pct"/>
            <w:tcBorders>
              <w:bottom w:val="nil"/>
            </w:tcBorders>
          </w:tcPr>
          <w:p w14:paraId="383FB822" w14:textId="14A2EDB0" w:rsidR="00280DDB" w:rsidRPr="004C78D8" w:rsidRDefault="00F96F14" w:rsidP="00FB7C1F">
            <w:pPr>
              <w:jc w:val="center"/>
              <w:rPr>
                <w:sz w:val="18"/>
                <w:szCs w:val="18"/>
              </w:rPr>
            </w:pPr>
            <w:r w:rsidRPr="004C78D8">
              <w:rPr>
                <w:rFonts w:cs="Times New Roman"/>
                <w:b/>
                <w:bCs/>
              </w:rPr>
              <w:t>×</w:t>
            </w:r>
          </w:p>
        </w:tc>
        <w:tc>
          <w:tcPr>
            <w:tcW w:w="690" w:type="pct"/>
            <w:tcBorders>
              <w:bottom w:val="nil"/>
            </w:tcBorders>
          </w:tcPr>
          <w:p w14:paraId="7F87D2CE" w14:textId="498533C2" w:rsidR="00280DDB" w:rsidRPr="004C78D8" w:rsidRDefault="00F96F14" w:rsidP="00FB7C1F">
            <w:pPr>
              <w:jc w:val="center"/>
              <w:rPr>
                <w:sz w:val="18"/>
                <w:szCs w:val="18"/>
              </w:rPr>
            </w:pPr>
            <w:r w:rsidRPr="004C78D8">
              <w:rPr>
                <w:rFonts w:cs="Times New Roman"/>
                <w:b/>
                <w:bCs/>
              </w:rPr>
              <w:t>×</w:t>
            </w:r>
          </w:p>
        </w:tc>
        <w:tc>
          <w:tcPr>
            <w:tcW w:w="689" w:type="pct"/>
            <w:tcBorders>
              <w:bottom w:val="nil"/>
            </w:tcBorders>
          </w:tcPr>
          <w:p w14:paraId="10E90BDA" w14:textId="77777777" w:rsidR="00280DDB" w:rsidRPr="004C78D8" w:rsidRDefault="00280DDB" w:rsidP="00FB7C1F">
            <w:pPr>
              <w:jc w:val="center"/>
              <w:rPr>
                <w:sz w:val="18"/>
                <w:szCs w:val="18"/>
              </w:rPr>
            </w:pPr>
          </w:p>
        </w:tc>
        <w:tc>
          <w:tcPr>
            <w:tcW w:w="690" w:type="pct"/>
            <w:tcBorders>
              <w:bottom w:val="nil"/>
            </w:tcBorders>
          </w:tcPr>
          <w:p w14:paraId="57785DBF" w14:textId="6AEB7613" w:rsidR="00280DDB" w:rsidRPr="004C78D8" w:rsidRDefault="009E4A26" w:rsidP="00FB7C1F">
            <w:pPr>
              <w:jc w:val="center"/>
              <w:rPr>
                <w:sz w:val="18"/>
                <w:szCs w:val="18"/>
              </w:rPr>
            </w:pPr>
            <w:r w:rsidRPr="004C78D8">
              <w:rPr>
                <w:rFonts w:cs="Times New Roman"/>
                <w:b/>
                <w:bCs/>
              </w:rPr>
              <w:t>×</w:t>
            </w:r>
          </w:p>
        </w:tc>
      </w:tr>
      <w:tr w:rsidR="00280DDB" w:rsidRPr="004C78D8" w14:paraId="57E1069A" w14:textId="77777777" w:rsidTr="002828C1">
        <w:tc>
          <w:tcPr>
            <w:tcW w:w="862" w:type="pct"/>
            <w:tcBorders>
              <w:top w:val="nil"/>
              <w:bottom w:val="nil"/>
            </w:tcBorders>
          </w:tcPr>
          <w:p w14:paraId="2CB9E4D8" w14:textId="3A9F846F" w:rsidR="00280DDB" w:rsidRPr="004C78D8" w:rsidRDefault="00280DDB" w:rsidP="00FB7C1F">
            <w:pPr>
              <w:jc w:val="left"/>
              <w:rPr>
                <w:sz w:val="18"/>
                <w:szCs w:val="18"/>
              </w:rPr>
            </w:pPr>
            <w:r w:rsidRPr="004C78D8">
              <w:rPr>
                <w:sz w:val="18"/>
                <w:szCs w:val="18"/>
              </w:rPr>
              <w:t>Public space</w:t>
            </w:r>
          </w:p>
        </w:tc>
        <w:tc>
          <w:tcPr>
            <w:tcW w:w="689" w:type="pct"/>
            <w:tcBorders>
              <w:top w:val="nil"/>
              <w:bottom w:val="nil"/>
            </w:tcBorders>
          </w:tcPr>
          <w:p w14:paraId="728CF0F5" w14:textId="20C63ED4" w:rsidR="00280DDB" w:rsidRPr="004C78D8" w:rsidRDefault="00280DDB" w:rsidP="00FB7C1F">
            <w:pPr>
              <w:jc w:val="center"/>
              <w:rPr>
                <w:sz w:val="18"/>
                <w:szCs w:val="18"/>
              </w:rPr>
            </w:pPr>
            <w:r w:rsidRPr="004C78D8">
              <w:rPr>
                <w:rFonts w:cs="Times New Roman"/>
                <w:b/>
                <w:bCs/>
              </w:rPr>
              <w:t>×</w:t>
            </w:r>
          </w:p>
        </w:tc>
        <w:tc>
          <w:tcPr>
            <w:tcW w:w="690" w:type="pct"/>
            <w:tcBorders>
              <w:top w:val="nil"/>
              <w:bottom w:val="nil"/>
            </w:tcBorders>
          </w:tcPr>
          <w:p w14:paraId="2404D394" w14:textId="77777777" w:rsidR="00280DDB" w:rsidRPr="004C78D8" w:rsidRDefault="00280DDB" w:rsidP="00FB7C1F">
            <w:pPr>
              <w:jc w:val="center"/>
              <w:rPr>
                <w:sz w:val="18"/>
                <w:szCs w:val="18"/>
              </w:rPr>
            </w:pPr>
          </w:p>
        </w:tc>
        <w:tc>
          <w:tcPr>
            <w:tcW w:w="689" w:type="pct"/>
            <w:tcBorders>
              <w:top w:val="nil"/>
              <w:bottom w:val="nil"/>
            </w:tcBorders>
          </w:tcPr>
          <w:p w14:paraId="68358FE2" w14:textId="7F0268D1" w:rsidR="00280DDB" w:rsidRPr="004C78D8" w:rsidRDefault="00D512D6" w:rsidP="00FB7C1F">
            <w:pPr>
              <w:jc w:val="center"/>
              <w:rPr>
                <w:sz w:val="18"/>
                <w:szCs w:val="18"/>
              </w:rPr>
            </w:pPr>
            <w:r w:rsidRPr="004C78D8">
              <w:rPr>
                <w:rFonts w:cs="Times New Roman"/>
                <w:b/>
                <w:bCs/>
              </w:rPr>
              <w:t>×</w:t>
            </w:r>
          </w:p>
        </w:tc>
        <w:tc>
          <w:tcPr>
            <w:tcW w:w="690" w:type="pct"/>
            <w:tcBorders>
              <w:top w:val="nil"/>
              <w:bottom w:val="nil"/>
            </w:tcBorders>
          </w:tcPr>
          <w:p w14:paraId="69DDB700" w14:textId="1A7C1F60" w:rsidR="00280DDB" w:rsidRPr="004C78D8" w:rsidRDefault="00D512D6" w:rsidP="00FB7C1F">
            <w:pPr>
              <w:jc w:val="center"/>
              <w:rPr>
                <w:sz w:val="18"/>
                <w:szCs w:val="18"/>
              </w:rPr>
            </w:pPr>
            <w:r w:rsidRPr="004C78D8">
              <w:rPr>
                <w:rFonts w:cs="Times New Roman"/>
                <w:b/>
                <w:bCs/>
              </w:rPr>
              <w:t>×</w:t>
            </w:r>
          </w:p>
        </w:tc>
        <w:tc>
          <w:tcPr>
            <w:tcW w:w="689" w:type="pct"/>
            <w:tcBorders>
              <w:top w:val="nil"/>
              <w:bottom w:val="nil"/>
            </w:tcBorders>
          </w:tcPr>
          <w:p w14:paraId="352B497F" w14:textId="77777777" w:rsidR="00280DDB" w:rsidRPr="004C78D8" w:rsidRDefault="00280DDB" w:rsidP="00FB7C1F">
            <w:pPr>
              <w:jc w:val="center"/>
              <w:rPr>
                <w:sz w:val="18"/>
                <w:szCs w:val="18"/>
              </w:rPr>
            </w:pPr>
          </w:p>
        </w:tc>
        <w:tc>
          <w:tcPr>
            <w:tcW w:w="690" w:type="pct"/>
            <w:tcBorders>
              <w:top w:val="nil"/>
              <w:bottom w:val="nil"/>
            </w:tcBorders>
          </w:tcPr>
          <w:p w14:paraId="58AF4B1A" w14:textId="422509D7" w:rsidR="00280DDB" w:rsidRPr="004C78D8" w:rsidRDefault="00916FCB" w:rsidP="00FB7C1F">
            <w:pPr>
              <w:jc w:val="center"/>
              <w:rPr>
                <w:sz w:val="18"/>
                <w:szCs w:val="18"/>
              </w:rPr>
            </w:pPr>
            <w:r w:rsidRPr="004C78D8">
              <w:rPr>
                <w:rFonts w:cs="Times New Roman"/>
                <w:b/>
                <w:bCs/>
              </w:rPr>
              <w:t>×</w:t>
            </w:r>
          </w:p>
        </w:tc>
      </w:tr>
      <w:tr w:rsidR="00280DDB" w:rsidRPr="004C78D8" w14:paraId="6FB59412" w14:textId="77777777" w:rsidTr="002828C1">
        <w:tc>
          <w:tcPr>
            <w:tcW w:w="862" w:type="pct"/>
            <w:tcBorders>
              <w:top w:val="nil"/>
              <w:bottom w:val="nil"/>
            </w:tcBorders>
          </w:tcPr>
          <w:p w14:paraId="22E8861F" w14:textId="44D60DDC" w:rsidR="00280DDB" w:rsidRPr="004C78D8" w:rsidRDefault="00CA4C73" w:rsidP="00FB7C1F">
            <w:pPr>
              <w:jc w:val="left"/>
              <w:rPr>
                <w:sz w:val="18"/>
                <w:szCs w:val="18"/>
              </w:rPr>
            </w:pPr>
            <w:r w:rsidRPr="004C78D8">
              <w:rPr>
                <w:sz w:val="18"/>
                <w:szCs w:val="18"/>
              </w:rPr>
              <w:t>Social c</w:t>
            </w:r>
            <w:r w:rsidR="00280DDB" w:rsidRPr="004C78D8">
              <w:rPr>
                <w:sz w:val="18"/>
                <w:szCs w:val="18"/>
              </w:rPr>
              <w:t>ommunity</w:t>
            </w:r>
          </w:p>
        </w:tc>
        <w:tc>
          <w:tcPr>
            <w:tcW w:w="689" w:type="pct"/>
            <w:tcBorders>
              <w:top w:val="nil"/>
              <w:bottom w:val="nil"/>
            </w:tcBorders>
          </w:tcPr>
          <w:p w14:paraId="4D6E21DC" w14:textId="3656FC97" w:rsidR="00280DDB" w:rsidRPr="004C78D8" w:rsidRDefault="00916FCB" w:rsidP="00FB7C1F">
            <w:pPr>
              <w:jc w:val="center"/>
              <w:rPr>
                <w:sz w:val="18"/>
                <w:szCs w:val="18"/>
              </w:rPr>
            </w:pPr>
            <w:r w:rsidRPr="004C78D8">
              <w:rPr>
                <w:rFonts w:cs="Times New Roman"/>
                <w:b/>
                <w:bCs/>
              </w:rPr>
              <w:t>×</w:t>
            </w:r>
          </w:p>
        </w:tc>
        <w:tc>
          <w:tcPr>
            <w:tcW w:w="690" w:type="pct"/>
            <w:tcBorders>
              <w:top w:val="nil"/>
              <w:bottom w:val="nil"/>
            </w:tcBorders>
          </w:tcPr>
          <w:p w14:paraId="1515E385" w14:textId="4B41C1D8" w:rsidR="00280DDB" w:rsidRPr="004C78D8" w:rsidRDefault="00CA4C73" w:rsidP="00FB7C1F">
            <w:pPr>
              <w:jc w:val="center"/>
              <w:rPr>
                <w:sz w:val="18"/>
                <w:szCs w:val="18"/>
              </w:rPr>
            </w:pPr>
            <w:r w:rsidRPr="004C78D8">
              <w:rPr>
                <w:rFonts w:cs="Times New Roman"/>
                <w:b/>
                <w:bCs/>
              </w:rPr>
              <w:t>×</w:t>
            </w:r>
          </w:p>
        </w:tc>
        <w:tc>
          <w:tcPr>
            <w:tcW w:w="689" w:type="pct"/>
            <w:tcBorders>
              <w:top w:val="nil"/>
              <w:bottom w:val="nil"/>
            </w:tcBorders>
          </w:tcPr>
          <w:p w14:paraId="03C61CB1" w14:textId="34B65981" w:rsidR="00280DDB" w:rsidRPr="004C78D8" w:rsidRDefault="00CA4C73" w:rsidP="00FB7C1F">
            <w:pPr>
              <w:jc w:val="center"/>
              <w:rPr>
                <w:sz w:val="18"/>
                <w:szCs w:val="18"/>
              </w:rPr>
            </w:pPr>
            <w:r w:rsidRPr="004C78D8">
              <w:rPr>
                <w:rFonts w:cs="Times New Roman"/>
                <w:b/>
                <w:bCs/>
              </w:rPr>
              <w:t>×</w:t>
            </w:r>
          </w:p>
        </w:tc>
        <w:tc>
          <w:tcPr>
            <w:tcW w:w="690" w:type="pct"/>
            <w:tcBorders>
              <w:top w:val="nil"/>
              <w:bottom w:val="nil"/>
            </w:tcBorders>
          </w:tcPr>
          <w:p w14:paraId="62476EB1" w14:textId="52948221" w:rsidR="00280DDB" w:rsidRPr="004C78D8" w:rsidRDefault="00CA4C73" w:rsidP="00FB7C1F">
            <w:pPr>
              <w:jc w:val="center"/>
              <w:rPr>
                <w:sz w:val="18"/>
                <w:szCs w:val="18"/>
              </w:rPr>
            </w:pPr>
            <w:r w:rsidRPr="004C78D8">
              <w:rPr>
                <w:rFonts w:cs="Times New Roman"/>
                <w:b/>
                <w:bCs/>
              </w:rPr>
              <w:t>×</w:t>
            </w:r>
          </w:p>
        </w:tc>
        <w:tc>
          <w:tcPr>
            <w:tcW w:w="689" w:type="pct"/>
            <w:tcBorders>
              <w:top w:val="nil"/>
              <w:bottom w:val="nil"/>
            </w:tcBorders>
          </w:tcPr>
          <w:p w14:paraId="4B3B9A1C" w14:textId="2F4DBAAF" w:rsidR="00280DDB" w:rsidRPr="004C78D8" w:rsidRDefault="005B5A14" w:rsidP="00FB7C1F">
            <w:pPr>
              <w:jc w:val="center"/>
              <w:rPr>
                <w:sz w:val="18"/>
                <w:szCs w:val="18"/>
              </w:rPr>
            </w:pPr>
            <w:r w:rsidRPr="004C78D8">
              <w:rPr>
                <w:rFonts w:cs="Times New Roman"/>
                <w:b/>
                <w:bCs/>
              </w:rPr>
              <w:t>×</w:t>
            </w:r>
          </w:p>
        </w:tc>
        <w:tc>
          <w:tcPr>
            <w:tcW w:w="690" w:type="pct"/>
            <w:tcBorders>
              <w:top w:val="nil"/>
              <w:bottom w:val="nil"/>
            </w:tcBorders>
          </w:tcPr>
          <w:p w14:paraId="4893F89E" w14:textId="6E804E1E" w:rsidR="00280DDB" w:rsidRPr="004C78D8" w:rsidRDefault="00CA4C73" w:rsidP="00FB7C1F">
            <w:pPr>
              <w:jc w:val="center"/>
              <w:rPr>
                <w:sz w:val="18"/>
                <w:szCs w:val="18"/>
              </w:rPr>
            </w:pPr>
            <w:r w:rsidRPr="004C78D8">
              <w:rPr>
                <w:rFonts w:cs="Times New Roman"/>
                <w:b/>
                <w:bCs/>
              </w:rPr>
              <w:t>×</w:t>
            </w:r>
          </w:p>
        </w:tc>
      </w:tr>
      <w:tr w:rsidR="00280DDB" w:rsidRPr="004C78D8" w14:paraId="10A1688D" w14:textId="77777777" w:rsidTr="002828C1">
        <w:tc>
          <w:tcPr>
            <w:tcW w:w="5000" w:type="pct"/>
            <w:gridSpan w:val="7"/>
          </w:tcPr>
          <w:p w14:paraId="78E3D2C9" w14:textId="26449CED" w:rsidR="00280DDB" w:rsidRPr="004C78D8" w:rsidRDefault="00280DDB" w:rsidP="00FB7C1F">
            <w:pPr>
              <w:jc w:val="left"/>
              <w:rPr>
                <w:sz w:val="18"/>
                <w:szCs w:val="18"/>
              </w:rPr>
            </w:pPr>
            <w:r w:rsidRPr="004C78D8">
              <w:rPr>
                <w:b/>
                <w:bCs/>
                <w:sz w:val="18"/>
                <w:szCs w:val="18"/>
              </w:rPr>
              <w:t>Abbreviation:</w:t>
            </w:r>
            <w:r w:rsidRPr="004C78D8">
              <w:rPr>
                <w:sz w:val="18"/>
                <w:szCs w:val="18"/>
              </w:rPr>
              <w:t xml:space="preserve"> PA: physical activity; SES: socioeconomic status</w:t>
            </w:r>
          </w:p>
          <w:p w14:paraId="314500B9" w14:textId="21F2B55B" w:rsidR="00280DDB" w:rsidRPr="004C78D8" w:rsidRDefault="00280DDB" w:rsidP="00FB7C1F">
            <w:pPr>
              <w:jc w:val="left"/>
              <w:rPr>
                <w:sz w:val="18"/>
                <w:szCs w:val="18"/>
              </w:rPr>
            </w:pPr>
            <w:r w:rsidRPr="004C78D8">
              <w:rPr>
                <w:sz w:val="18"/>
                <w:szCs w:val="18"/>
                <w:vertAlign w:val="superscript"/>
              </w:rPr>
              <w:t>1</w:t>
            </w:r>
            <w:r w:rsidRPr="004C78D8">
              <w:rPr>
                <w:sz w:val="18"/>
                <w:szCs w:val="18"/>
              </w:rPr>
              <w:t xml:space="preserve"> E.g., excess mortality risk and functional decline after a serious fracture.</w:t>
            </w:r>
          </w:p>
          <w:p w14:paraId="772435E1" w14:textId="24735523" w:rsidR="00280DDB" w:rsidRPr="004C78D8" w:rsidRDefault="00280DDB" w:rsidP="00FB7C1F">
            <w:pPr>
              <w:jc w:val="left"/>
              <w:rPr>
                <w:sz w:val="18"/>
                <w:szCs w:val="18"/>
              </w:rPr>
            </w:pPr>
            <w:r w:rsidRPr="004C78D8">
              <w:rPr>
                <w:sz w:val="18"/>
                <w:szCs w:val="18"/>
                <w:vertAlign w:val="superscript"/>
              </w:rPr>
              <w:t>2</w:t>
            </w:r>
            <w:r w:rsidRPr="004C78D8">
              <w:rPr>
                <w:sz w:val="18"/>
                <w:szCs w:val="18"/>
              </w:rPr>
              <w:t xml:space="preserve"> Health status and associated care costs that are not associated with the acute and secondary effects of falls.</w:t>
            </w:r>
          </w:p>
          <w:p w14:paraId="7795F295" w14:textId="389C106A" w:rsidR="00280DDB" w:rsidRPr="004C78D8" w:rsidRDefault="00280DDB" w:rsidP="00FB7C1F">
            <w:pPr>
              <w:jc w:val="left"/>
              <w:rPr>
                <w:sz w:val="18"/>
                <w:szCs w:val="18"/>
              </w:rPr>
            </w:pPr>
            <w:r w:rsidRPr="004C78D8">
              <w:rPr>
                <w:sz w:val="18"/>
                <w:szCs w:val="18"/>
                <w:vertAlign w:val="superscript"/>
              </w:rPr>
              <w:t>3</w:t>
            </w:r>
            <w:r w:rsidRPr="004C78D8">
              <w:rPr>
                <w:sz w:val="18"/>
                <w:szCs w:val="18"/>
              </w:rPr>
              <w:t xml:space="preserve"> E.g., productivity level, out-of-pocket care expenditure, informal caregiver burden (Section 3.5.1).</w:t>
            </w:r>
          </w:p>
          <w:p w14:paraId="18891E70" w14:textId="7C00E501" w:rsidR="00280DDB" w:rsidRPr="004C78D8" w:rsidRDefault="00280DDB" w:rsidP="00FB7C1F">
            <w:pPr>
              <w:rPr>
                <w:sz w:val="18"/>
                <w:szCs w:val="18"/>
              </w:rPr>
            </w:pPr>
            <w:r w:rsidRPr="004C78D8">
              <w:rPr>
                <w:sz w:val="18"/>
                <w:szCs w:val="18"/>
                <w:vertAlign w:val="superscript"/>
              </w:rPr>
              <w:t>4</w:t>
            </w:r>
            <w:r w:rsidRPr="004C78D8">
              <w:rPr>
                <w:sz w:val="18"/>
                <w:szCs w:val="18"/>
              </w:rPr>
              <w:t xml:space="preserve"> Intervention access is determined by eligibility (defined by guidelines such as NICE CG161 </w:t>
            </w:r>
            <w:r w:rsidRPr="004C78D8">
              <w:rPr>
                <w:sz w:val="18"/>
                <w:szCs w:val="18"/>
              </w:rPr>
              <w:fldChar w:fldCharType="begin"/>
            </w:r>
            <w:r w:rsidR="00F255A9" w:rsidRPr="004C78D8">
              <w:rPr>
                <w:sz w:val="18"/>
                <w:szCs w:val="18"/>
              </w:rPr>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Pr="004C78D8">
              <w:rPr>
                <w:sz w:val="18"/>
                <w:szCs w:val="18"/>
              </w:rPr>
              <w:fldChar w:fldCharType="separate"/>
            </w:r>
            <w:r w:rsidR="00F255A9" w:rsidRPr="004C78D8">
              <w:rPr>
                <w:noProof/>
                <w:sz w:val="18"/>
                <w:szCs w:val="18"/>
              </w:rPr>
              <w:t>[13]</w:t>
            </w:r>
            <w:r w:rsidRPr="004C78D8">
              <w:rPr>
                <w:sz w:val="18"/>
                <w:szCs w:val="18"/>
              </w:rPr>
              <w:fldChar w:fldCharType="end"/>
            </w:r>
            <w:r w:rsidRPr="004C78D8">
              <w:rPr>
                <w:sz w:val="18"/>
                <w:szCs w:val="18"/>
              </w:rPr>
              <w:t>), supply and demand. Intervention costs include societal costs and wider health, non-health and side effects of interventions (Section 3.5.1).</w:t>
            </w:r>
          </w:p>
          <w:p w14:paraId="1371D267" w14:textId="1432881B" w:rsidR="00280DDB" w:rsidRPr="004C78D8" w:rsidRDefault="00280DDB" w:rsidP="00FB7C1F">
            <w:pPr>
              <w:rPr>
                <w:sz w:val="18"/>
                <w:szCs w:val="18"/>
              </w:rPr>
            </w:pPr>
            <w:r w:rsidRPr="004C78D8">
              <w:rPr>
                <w:sz w:val="18"/>
                <w:szCs w:val="18"/>
                <w:vertAlign w:val="superscript"/>
              </w:rPr>
              <w:t>5</w:t>
            </w:r>
            <w:r w:rsidRPr="004C78D8">
              <w:rPr>
                <w:sz w:val="18"/>
                <w:szCs w:val="18"/>
              </w:rPr>
              <w:t xml:space="preserve"> This concerns physical, mental and cognitive capacities of the older individual as opposed to extrinsic factors in the individual’s social community and physical environment (p. 32-33) </w:t>
            </w:r>
            <w:r w:rsidRPr="004C78D8">
              <w:rPr>
                <w:sz w:val="18"/>
                <w:szCs w:val="18"/>
              </w:rPr>
              <w:fldChar w:fldCharType="begin"/>
            </w:r>
            <w:r w:rsidRPr="004C78D8">
              <w:rPr>
                <w:sz w:val="18"/>
                <w:szCs w:val="18"/>
              </w:rPr>
              <w:instrText xml:space="preserve"> ADDIN EN.CITE &lt;EndNote&gt;&lt;Cite&gt;&lt;Author&gt;World Health Organization&lt;/Author&gt;&lt;Year&gt;2015&lt;/Year&gt;&lt;RecNum&gt;1&lt;/RecNum&gt;&lt;DisplayText&gt;[2]&lt;/DisplayText&gt;&lt;record&gt;&lt;rec-number&gt;1&lt;/rec-number&gt;&lt;foreign-keys&gt;&lt;key app="EN" db-id="tdtrdw9aepptzbefsat599syza29sxsd2wsp" timestamp="1596571129"&gt;1&lt;/key&gt;&lt;/foreign-keys&gt;&lt;ref-type name="Book"&gt;6&lt;/ref-type&gt;&lt;contributors&gt;&lt;authors&gt;&lt;author&gt;World Health Organization,&lt;/author&gt;&lt;/authors&gt;&lt;/contributors&gt;&lt;titles&gt;&lt;title&gt;World Report on Ageing and Health&lt;/title&gt;&lt;/titles&gt;&lt;dates&gt;&lt;year&gt;2015&lt;/year&gt;&lt;/dates&gt;&lt;publisher&gt;World Health Organization&lt;/publisher&gt;&lt;isbn&gt;9241565047&lt;/isbn&gt;&lt;urls&gt;&lt;/urls&gt;&lt;/record&gt;&lt;/Cite&gt;&lt;/EndNote&gt;</w:instrText>
            </w:r>
            <w:r w:rsidRPr="004C78D8">
              <w:rPr>
                <w:sz w:val="18"/>
                <w:szCs w:val="18"/>
              </w:rPr>
              <w:fldChar w:fldCharType="separate"/>
            </w:r>
            <w:r w:rsidRPr="004C78D8">
              <w:rPr>
                <w:noProof/>
                <w:sz w:val="18"/>
                <w:szCs w:val="18"/>
              </w:rPr>
              <w:t>[2]</w:t>
            </w:r>
            <w:r w:rsidRPr="004C78D8">
              <w:rPr>
                <w:sz w:val="18"/>
                <w:szCs w:val="18"/>
              </w:rPr>
              <w:fldChar w:fldCharType="end"/>
            </w:r>
            <w:r w:rsidRPr="004C78D8">
              <w:rPr>
                <w:sz w:val="18"/>
                <w:szCs w:val="18"/>
              </w:rPr>
              <w:t>.</w:t>
            </w:r>
          </w:p>
        </w:tc>
      </w:tr>
    </w:tbl>
    <w:p w14:paraId="4BADCC69" w14:textId="77777777" w:rsidR="00641017" w:rsidRPr="004C78D8" w:rsidRDefault="00641017" w:rsidP="00FB7C1F"/>
    <w:p w14:paraId="63525795" w14:textId="108DE566" w:rsidR="00B85C92" w:rsidRPr="004C78D8" w:rsidRDefault="00B85C92" w:rsidP="00FB7C1F">
      <w:pPr>
        <w:pStyle w:val="Heading3"/>
      </w:pPr>
      <w:bookmarkStart w:id="84" w:name="_Toc111630731"/>
      <w:r w:rsidRPr="004C78D8">
        <w:t>3.6.1 Sociodemographic variables</w:t>
      </w:r>
      <w:bookmarkEnd w:id="84"/>
    </w:p>
    <w:p w14:paraId="3AD2E938" w14:textId="59706708" w:rsidR="00424CA8" w:rsidRPr="004C78D8" w:rsidRDefault="00424CA8" w:rsidP="00FB7C1F">
      <w:r w:rsidRPr="004C78D8">
        <w:t xml:space="preserve">Age and sex are well-established </w:t>
      </w:r>
      <w:r w:rsidR="00AA1FAF" w:rsidRPr="004C78D8">
        <w:t xml:space="preserve">independent </w:t>
      </w:r>
      <w:r w:rsidR="007C6758" w:rsidRPr="004C78D8">
        <w:t>risk factors</w:t>
      </w:r>
      <w:r w:rsidRPr="004C78D8">
        <w:t xml:space="preserve"> </w:t>
      </w:r>
      <w:r w:rsidR="007C6758" w:rsidRPr="004C78D8">
        <w:t>for</w:t>
      </w:r>
      <w:r w:rsidRPr="004C78D8">
        <w:t xml:space="preserve"> falls </w:t>
      </w:r>
      <w:r w:rsidR="007C6758" w:rsidRPr="004C78D8">
        <w:t>incidence</w:t>
      </w:r>
      <w:r w:rsidR="008748F0" w:rsidRPr="004C78D8">
        <w:t xml:space="preserve">, </w:t>
      </w:r>
      <w:r w:rsidR="003D6C57" w:rsidRPr="004C78D8">
        <w:t xml:space="preserve">injury </w:t>
      </w:r>
      <w:r w:rsidR="008748F0" w:rsidRPr="004C78D8">
        <w:t>type and</w:t>
      </w:r>
      <w:r w:rsidRPr="004C78D8">
        <w:t xml:space="preserve"> severity </w:t>
      </w:r>
      <w:r w:rsidR="00A60BB8" w:rsidRPr="004C78D8">
        <w:fldChar w:fldCharType="begin">
          <w:fldData xml:space="preserve">PEVuZE5vdGU+PENpdGU+PEF1dGhvcj5UaW5ldHRpPC9BdXRob3I+PFllYXI+MjAxMDwvWWVhcj48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</w:fldData>
        </w:fldChar>
      </w:r>
      <w:r w:rsidR="00C630FC" w:rsidRPr="004C78D8">
        <w:instrText xml:space="preserve"> ADDIN EN.CITE </w:instrText>
      </w:r>
      <w:r w:rsidR="00C630FC" w:rsidRPr="004C78D8">
        <w:fldChar w:fldCharType="begin">
          <w:fldData xml:space="preserve">PEVuZE5vdGU+PENpdGU+PEF1dGhvcj5UaW5ldHRpPC9BdXRob3I+PFllYXI+MjAxMDwvWWVhcj48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</w:fldData>
        </w:fldChar>
      </w:r>
      <w:r w:rsidR="00C630FC" w:rsidRPr="004C78D8">
        <w:instrText xml:space="preserve"> ADDIN EN.CITE.DATA </w:instrText>
      </w:r>
      <w:r w:rsidR="00C630FC" w:rsidRPr="004C78D8">
        <w:fldChar w:fldCharType="end"/>
      </w:r>
      <w:r w:rsidR="00A60BB8" w:rsidRPr="004C78D8">
        <w:fldChar w:fldCharType="separate"/>
      </w:r>
      <w:r w:rsidR="00C630FC" w:rsidRPr="004C78D8">
        <w:rPr>
          <w:noProof/>
        </w:rPr>
        <w:t>[42, 43, 254-256]</w:t>
      </w:r>
      <w:r w:rsidR="00A60BB8" w:rsidRPr="004C78D8">
        <w:fldChar w:fldCharType="end"/>
      </w:r>
      <w:r w:rsidR="008748F0" w:rsidRPr="004C78D8">
        <w:t xml:space="preserve">. </w:t>
      </w:r>
      <w:r w:rsidR="000A3533" w:rsidRPr="004C78D8">
        <w:t>For example, older w</w:t>
      </w:r>
      <w:r w:rsidR="008748F0" w:rsidRPr="004C78D8">
        <w:t xml:space="preserve">omen are likelier </w:t>
      </w:r>
      <w:r w:rsidR="00893B29" w:rsidRPr="004C78D8">
        <w:t xml:space="preserve">than men </w:t>
      </w:r>
      <w:r w:rsidR="008748F0" w:rsidRPr="004C78D8">
        <w:t xml:space="preserve">to experience fractures after falling, while men are likelier to experience traumatic brain injuries </w:t>
      </w:r>
      <w:r w:rsidR="008748F0" w:rsidRPr="004C78D8">
        <w:fldChar w:fldCharType="begin"/>
      </w:r>
      <w:r w:rsidR="00513646" w:rsidRPr="004C78D8">
        <w:instrText xml:space="preserve"> ADDIN EN.CITE &lt;EndNote&gt;&lt;Cite&gt;&lt;Author&gt;Tinetti&lt;/Author&gt;&lt;Year&gt;2010&lt;/Year&gt;&lt;RecNum&gt;421&lt;/RecNum&gt;&lt;DisplayText&gt;[42]&lt;/DisplayText&gt;&lt;record&gt;&lt;rec-number&gt;421&lt;/rec-number&gt;&lt;foreign-keys&gt;&lt;key app="EN" db-id="tdtrdw9aepptzbefsat599syza29sxsd2wsp" timestamp="1616240914"&gt;421&lt;/key&gt;&lt;/foreign-keys&gt;&lt;ref-type name="Journal Article"&gt;17&lt;/ref-type&gt;&lt;contributors&gt;&lt;authors&gt;&lt;author&gt;Tinetti, Mary E&lt;/author&gt;&lt;author&gt;Kumar, Chandrika&lt;/author&gt;&lt;/authors&gt;&lt;/contributors&gt;&lt;titles&gt;&lt;title&gt;The patient who falls: “It&amp;apos;s always a trade-off”&lt;/title&gt;&lt;secondary-title&gt;JAMA&lt;/secondary-title&gt;&lt;/titles&gt;&lt;periodical&gt;&lt;full-title&gt;Jama&lt;/full-title&gt;&lt;/periodical&gt;&lt;pages&gt;258-266&lt;/pages&gt;&lt;volume&gt;303&lt;/volume&gt;&lt;number&gt;3&lt;/number&gt;&lt;dates&gt;&lt;year&gt;2010&lt;/year&gt;&lt;/dates&gt;&lt;isbn&gt;0098-7484&lt;/isbn&gt;&lt;urls&gt;&lt;/urls&gt;&lt;/record&gt;&lt;/Cite&gt;&lt;/EndNote&gt;</w:instrText>
      </w:r>
      <w:r w:rsidR="008748F0" w:rsidRPr="004C78D8">
        <w:fldChar w:fldCharType="separate"/>
      </w:r>
      <w:r w:rsidR="00513646" w:rsidRPr="004C78D8">
        <w:rPr>
          <w:noProof/>
        </w:rPr>
        <w:t>[42]</w:t>
      </w:r>
      <w:r w:rsidR="008748F0" w:rsidRPr="004C78D8">
        <w:fldChar w:fldCharType="end"/>
      </w:r>
      <w:r w:rsidR="008748F0" w:rsidRPr="004C78D8">
        <w:t xml:space="preserve">. </w:t>
      </w:r>
      <w:r w:rsidR="004257A7" w:rsidRPr="004C78D8">
        <w:t>Regarding background health status, t</w:t>
      </w:r>
      <w:r w:rsidR="00303B86" w:rsidRPr="004C78D8">
        <w:t xml:space="preserve">here </w:t>
      </w:r>
      <w:r w:rsidR="008214D9" w:rsidRPr="004C78D8">
        <w:t xml:space="preserve">is </w:t>
      </w:r>
      <w:r w:rsidR="00264441" w:rsidRPr="004C78D8">
        <w:t>e</w:t>
      </w:r>
      <w:r w:rsidR="008214D9" w:rsidRPr="004C78D8">
        <w:t>vidence</w:t>
      </w:r>
      <w:r w:rsidR="00303B86" w:rsidRPr="004C78D8">
        <w:t xml:space="preserve"> </w:t>
      </w:r>
      <w:r w:rsidR="00E5444F" w:rsidRPr="004C78D8">
        <w:t>that</w:t>
      </w:r>
      <w:r w:rsidR="00303B86" w:rsidRPr="004C78D8">
        <w:t xml:space="preserve"> </w:t>
      </w:r>
      <w:r w:rsidR="008214D9" w:rsidRPr="004C78D8">
        <w:t xml:space="preserve">age and sex </w:t>
      </w:r>
      <w:r w:rsidR="00264441" w:rsidRPr="004C78D8">
        <w:t>impact</w:t>
      </w:r>
      <w:r w:rsidR="008214D9" w:rsidRPr="004C78D8">
        <w:t xml:space="preserve"> </w:t>
      </w:r>
      <w:r w:rsidR="007027BF" w:rsidRPr="004C78D8">
        <w:t>geriatric</w:t>
      </w:r>
      <w:r w:rsidR="008214D9" w:rsidRPr="004C78D8">
        <w:t xml:space="preserve"> </w:t>
      </w:r>
      <w:r w:rsidR="003D6C57" w:rsidRPr="004C78D8">
        <w:t xml:space="preserve">health utilities </w:t>
      </w:r>
      <w:r w:rsidR="008214D9" w:rsidRPr="004C78D8">
        <w:t xml:space="preserve">even after controlling for </w:t>
      </w:r>
      <w:r w:rsidR="00E5444F" w:rsidRPr="004C78D8">
        <w:t xml:space="preserve">frailty and </w:t>
      </w:r>
      <w:r w:rsidR="007027BF" w:rsidRPr="004C78D8">
        <w:t>socioeconomic status (</w:t>
      </w:r>
      <w:r w:rsidR="00E5444F" w:rsidRPr="004C78D8">
        <w:t>SES</w:t>
      </w:r>
      <w:r w:rsidR="007027BF" w:rsidRPr="004C78D8">
        <w:t>)</w:t>
      </w:r>
      <w:r w:rsidR="00E5444F" w:rsidRPr="004C78D8">
        <w:t xml:space="preserve"> </w:t>
      </w:r>
      <w:r w:rsidR="00E5444F" w:rsidRPr="004C78D8">
        <w:fldChar w:fldCharType="begin"/>
      </w:r>
      <w:r w:rsidR="00C630FC" w:rsidRPr="004C78D8">
        <w:instrText xml:space="preserve"> ADDIN EN.CITE &lt;EndNote&gt;&lt;Cite&gt;&lt;Author&gt;Kim&lt;/Author&gt;&lt;Year&gt;2020&lt;/Year&gt;&lt;RecNum&gt;48&lt;/RecNum&gt;&lt;DisplayText&gt;[257]&lt;/DisplayText&gt;&lt;record&gt;&lt;rec-number&gt;48&lt;/rec-number&gt;&lt;foreign-keys&gt;&lt;key app="EN" db-id="tdtrdw9aepptzbefsat599syza29sxsd2wsp" timestamp="1596834607"&gt;48&lt;/key&gt;&lt;/foreign-keys&gt;&lt;ref-type name="Journal Article"&gt;17&lt;/ref-type&gt;&lt;contributors&gt;&lt;authors&gt;&lt;author&gt;Kim, Moon Jung&lt;/author&gt;&lt;author&gt;Park, Saengryeol&lt;/author&gt;&lt;author&gt;Jung, Young-il&lt;/author&gt;&lt;author&gt;Kim, Seon-Ha&lt;/author&gt;&lt;author&gt;Oh, In-Hwan&lt;/author&gt;&lt;/authors&gt;&lt;/contributors&gt;&lt;titles&gt;&lt;title&gt;Exploring health-related quality of life and frailty in older adults based on the Korean Frailty and Aging Cohort Study&lt;/title&gt;&lt;secondary-title&gt;Quality of Life Research&lt;/secondary-title&gt;&lt;/titles&gt;&lt;periodical&gt;&lt;full-title&gt;Quality of Life Research&lt;/full-title&gt;&lt;/periodical&gt;&lt;pages&gt;1-9&lt;/pages&gt;&lt;dates&gt;&lt;year&gt;2020&lt;/year&gt;&lt;/dates&gt;&lt;isbn&gt;1573-2649&lt;/isbn&gt;&lt;urls&gt;&lt;/urls&gt;&lt;/record&gt;&lt;/Cite&gt;&lt;/EndNote&gt;</w:instrText>
      </w:r>
      <w:r w:rsidR="00E5444F" w:rsidRPr="004C78D8">
        <w:fldChar w:fldCharType="separate"/>
      </w:r>
      <w:r w:rsidR="00C630FC" w:rsidRPr="004C78D8">
        <w:rPr>
          <w:noProof/>
        </w:rPr>
        <w:t>[257]</w:t>
      </w:r>
      <w:r w:rsidR="00E5444F" w:rsidRPr="004C78D8">
        <w:fldChar w:fldCharType="end"/>
      </w:r>
      <w:r w:rsidR="00E5444F" w:rsidRPr="004C78D8">
        <w:t xml:space="preserve">; the evidence on healthcare costs is less strong, with proximity to death being a stronger predictor than age itself </w:t>
      </w:r>
      <w:r w:rsidR="00E5444F" w:rsidRPr="004C78D8">
        <w:fldChar w:fldCharType="begin"/>
      </w:r>
      <w:r w:rsidR="00C630FC" w:rsidRPr="004C78D8">
        <w:instrText xml:space="preserve"> ADDIN EN.CITE &lt;EndNote&gt;&lt;Cite&gt;&lt;Author&gt;Hazra&lt;/Author&gt;&lt;Year&gt;2018&lt;/Year&gt;&lt;RecNum&gt;688&lt;/RecNum&gt;&lt;DisplayText&gt;[258]&lt;/DisplayText&gt;&lt;record&gt;&lt;rec-number&gt;688&lt;/rec-number&gt;&lt;foreign-keys&gt;&lt;key app="EN" db-id="tdtrdw9aepptzbefsat599syza29sxsd2wsp" timestamp="1629310484"&gt;688&lt;/key&gt;&lt;/foreign-keys&gt;&lt;ref-type name="Journal Article"&gt;17&lt;/ref-type&gt;&lt;contributors&gt;&lt;authors&gt;&lt;author&gt;Hazra, Nisha C&lt;/author&gt;&lt;author&gt;Rudisill, Caroline&lt;/author&gt;&lt;author&gt;Gulliford, Martin C&lt;/author&gt;&lt;/authors&gt;&lt;/contributors&gt;&lt;titles&gt;&lt;title&gt;Determinants of health care costs in the senior elderly: age, comorbidity, impairment, or proximity to death?&lt;/title&gt;&lt;secondary-title&gt;The European Journal of Health Economics&lt;/secondary-title&gt;&lt;/titles&gt;&lt;periodical&gt;&lt;full-title&gt;The European Journal of Health Economics&lt;/full-title&gt;&lt;/periodical&gt;&lt;pages&gt;831-842&lt;/pages&gt;&lt;volume&gt;19&lt;/volume&gt;&lt;number&gt;6&lt;/number&gt;&lt;dates&gt;&lt;year&gt;2018&lt;/year&gt;&lt;/dates&gt;&lt;isbn&gt;1618-7601&lt;/isbn&gt;&lt;urls&gt;&lt;/urls&gt;&lt;/record&gt;&lt;/Cite&gt;&lt;/EndNote&gt;</w:instrText>
      </w:r>
      <w:r w:rsidR="00E5444F" w:rsidRPr="004C78D8">
        <w:fldChar w:fldCharType="separate"/>
      </w:r>
      <w:r w:rsidR="00C630FC" w:rsidRPr="004C78D8">
        <w:rPr>
          <w:noProof/>
        </w:rPr>
        <w:t>[258]</w:t>
      </w:r>
      <w:r w:rsidR="00E5444F" w:rsidRPr="004C78D8">
        <w:fldChar w:fldCharType="end"/>
      </w:r>
      <w:r w:rsidR="00E5444F" w:rsidRPr="004C78D8">
        <w:t>.</w:t>
      </w:r>
      <w:r w:rsidR="00303B86" w:rsidRPr="004C78D8">
        <w:t xml:space="preserve"> </w:t>
      </w:r>
      <w:r w:rsidR="000A3533" w:rsidRPr="004C78D8">
        <w:t>Age and sex affect diverse non-health outcomes</w:t>
      </w:r>
      <w:r w:rsidR="004F4E8F" w:rsidRPr="004C78D8">
        <w:t>; reducing informal caregiving burden</w:t>
      </w:r>
      <w:r w:rsidR="000A3533" w:rsidRPr="004C78D8">
        <w:t xml:space="preserve"> </w:t>
      </w:r>
      <w:r w:rsidR="004F4E8F" w:rsidRPr="004C78D8">
        <w:t xml:space="preserve">and promoting productivity among older women are public health priorities </w:t>
      </w:r>
      <w:r w:rsidR="000A3533" w:rsidRPr="004C78D8">
        <w:fldChar w:fldCharType="begin"/>
      </w:r>
      <w:r w:rsidR="000A3533" w:rsidRPr="004C78D8">
        <w:instrText xml:space="preserve"> ADDIN EN.CITE &lt;EndNote&gt;&lt;Cite&gt;&lt;Author&gt;World Health Organization&lt;/Author&gt;&lt;Year&gt;2015&lt;/Year&gt;&lt;RecNum&gt;1&lt;/RecNum&gt;&lt;DisplayText&gt;[2]&lt;/DisplayText&gt;&lt;record&gt;&lt;rec-number&gt;1&lt;/rec-number&gt;&lt;foreign-keys&gt;&lt;key app="EN" db-id="tdtrdw9aepptzbefsat599syza29sxsd2wsp" timestamp="1596571129"&gt;1&lt;/key&gt;&lt;/foreign-keys&gt;&lt;ref-type name="Book"&gt;6&lt;/ref-type&gt;&lt;contributors&gt;&lt;authors&gt;&lt;author&gt;World Health Organization,&lt;/author&gt;&lt;/authors&gt;&lt;/contributors&gt;&lt;titles&gt;&lt;title&gt;World Report on Ageing and Health&lt;/title&gt;&lt;/titles&gt;&lt;dates&gt;&lt;year&gt;2015&lt;/year&gt;&lt;/dates&gt;&lt;publisher&gt;World Health Organization&lt;/publisher&gt;&lt;isbn&gt;9241565047&lt;/isbn&gt;&lt;urls&gt;&lt;/urls&gt;&lt;/record&gt;&lt;/Cite&gt;&lt;/EndNote&gt;</w:instrText>
      </w:r>
      <w:r w:rsidR="000A3533" w:rsidRPr="004C78D8">
        <w:fldChar w:fldCharType="separate"/>
      </w:r>
      <w:r w:rsidR="000A3533" w:rsidRPr="004C78D8">
        <w:rPr>
          <w:noProof/>
        </w:rPr>
        <w:t>[2]</w:t>
      </w:r>
      <w:r w:rsidR="000A3533" w:rsidRPr="004C78D8">
        <w:fldChar w:fldCharType="end"/>
      </w:r>
      <w:r w:rsidR="000A3533" w:rsidRPr="004C78D8">
        <w:t xml:space="preserve">. Sheffield stakeholders did not mention age or sex as </w:t>
      </w:r>
      <w:r w:rsidR="005056A1" w:rsidRPr="004C78D8">
        <w:t xml:space="preserve">characteristics </w:t>
      </w:r>
      <w:r w:rsidR="000A3533" w:rsidRPr="004C78D8">
        <w:t>with priority setting (i.e., equity) implications</w:t>
      </w:r>
      <w:r w:rsidR="00537CD7" w:rsidRPr="004C78D8">
        <w:t xml:space="preserve">; yet age- or </w:t>
      </w:r>
      <w:r w:rsidR="00C51E26" w:rsidRPr="004C78D8">
        <w:t>sex</w:t>
      </w:r>
      <w:r w:rsidR="00537CD7" w:rsidRPr="004C78D8">
        <w:t xml:space="preserve">-based rationing (e.g., if intervention is not cost-effective for the oldest </w:t>
      </w:r>
      <w:r w:rsidR="00C51E26" w:rsidRPr="004C78D8">
        <w:t>age subgroup</w:t>
      </w:r>
      <w:r w:rsidR="00537CD7" w:rsidRPr="004C78D8">
        <w:t xml:space="preserve">) would go against the principles of NHS and NICE </w:t>
      </w:r>
      <w:r w:rsidR="00537CD7" w:rsidRPr="004C78D8">
        <w:fldChar w:fldCharType="begin"/>
      </w:r>
      <w:r w:rsidR="00C630FC" w:rsidRPr="004C78D8">
        <w:instrText xml:space="preserve"> ADDIN EN.CITE &lt;EndNote&gt;&lt;Cite&gt;&lt;Author&gt;Department of Health and Social Care&lt;/Author&gt;&lt;Year&gt;2021&lt;/Year&gt;&lt;RecNum&gt;519&lt;/RecNum&gt;&lt;DisplayText&gt;[259, 260]&lt;/DisplayText&gt;&lt;record&gt;&lt;rec-number&gt;519&lt;/rec-number&gt;&lt;foreign-keys&gt;&lt;key app="EN" db-id="tdtrdw9aepptzbefsat599syza29sxsd2wsp" timestamp="1618151817"&gt;519&lt;/key&gt;&lt;/foreign-keys&gt;&lt;ref-type name="Web Page"&gt;12&lt;/ref-type&gt;&lt;contributors&gt;&lt;authors&gt;&lt;author&gt;Department of Health and Social Care,&lt;/author&gt;&lt;/authors&gt;&lt;/contributors&gt;&lt;titles&gt;&lt;title&gt;The NHS Constitution for England&lt;/title&gt;&lt;/titles&gt;&lt;dates&gt;&lt;year&gt;2021&lt;/year&gt;&lt;/dates&gt;&lt;urls&gt;&lt;related-urls&gt;&lt;url&gt;https://www.gov.uk/government/publications/the-nhs-constitution-for-england/the-nhs-constitution-for-england&lt;/url&gt;&lt;/related-urls&gt;&lt;/urls&gt;&lt;/record&gt;&lt;/Cite&gt;&lt;Cite&gt;&lt;Author&gt;National Institute for Health and Care Excellence&lt;/Author&gt;&lt;Year&gt;2003&lt;/Year&gt;&lt;RecNum&gt;520&lt;/RecNum&gt;&lt;record&gt;&lt;rec-number&gt;520&lt;/rec-number&gt;&lt;foreign-keys&gt;&lt;key app="EN" db-id="tdtrdw9aepptzbefsat599syza29sxsd2wsp" timestamp="1618152303"&gt;520&lt;/key&gt;&lt;/foreign-keys&gt;&lt;ref-type name="Journal Article"&gt;17&lt;/ref-type&gt;&lt;contributors&gt;&lt;authors&gt;&lt;author&gt;National Institute for Health and Care Excellence,&lt;/author&gt;&lt;/authors&gt;&lt;/contributors&gt;&lt;titles&gt;&lt;title&gt;NICE Citizens Council Report on Age&lt;/title&gt;&lt;secondary-title&gt;UK: NICE&lt;/secondary-title&gt;&lt;/titles&gt;&lt;periodical&gt;&lt;full-title&gt;UK: NICE&lt;/full-title&gt;&lt;/periodical&gt;&lt;dates&gt;&lt;year&gt;2003&lt;/year&gt;&lt;/dates&gt;&lt;urls&gt;&lt;/urls&gt;&lt;/record&gt;&lt;/Cite&gt;&lt;/EndNote&gt;</w:instrText>
      </w:r>
      <w:r w:rsidR="00537CD7" w:rsidRPr="004C78D8">
        <w:fldChar w:fldCharType="separate"/>
      </w:r>
      <w:r w:rsidR="00C630FC" w:rsidRPr="004C78D8">
        <w:rPr>
          <w:noProof/>
        </w:rPr>
        <w:t>[259, 260]</w:t>
      </w:r>
      <w:r w:rsidR="00537CD7" w:rsidRPr="004C78D8">
        <w:fldChar w:fldCharType="end"/>
      </w:r>
      <w:r w:rsidR="00537CD7" w:rsidRPr="004C78D8">
        <w:t xml:space="preserve">. </w:t>
      </w:r>
      <w:r w:rsidR="00405B87" w:rsidRPr="004C78D8">
        <w:t>F</w:t>
      </w:r>
      <w:r w:rsidR="00C32B8D" w:rsidRPr="004C78D8">
        <w:t xml:space="preserve">alls prevention RCTs often use age and sex as inclusion/exclusion criteria </w:t>
      </w:r>
      <w:r w:rsidR="00C32B8D" w:rsidRPr="004C78D8">
        <w:fldChar w:fldCharType="begin"/>
      </w:r>
      <w:r w:rsidR="00513646" w:rsidRPr="004C78D8">
        <w:instrText xml:space="preserve"> ADDIN EN.CITE &lt;EndNote&gt;&lt;Cite&gt;&lt;Author&gt;Gillespie&lt;/Author&gt;&lt;Year&gt;2012&lt;/Year&gt;&lt;RecNum&gt;52&lt;/RecNum&gt;&lt;DisplayText&gt;[124]&lt;/DisplayText&gt;&lt;record&gt;&lt;rec-number&gt;52&lt;/rec-number&gt;&lt;foreign-keys&gt;&lt;key app="EN" db-id="tdtrdw9aepptzbefsat599syza29sxsd2wsp" timestamp="1597844815"&gt;52&lt;/key&gt;&lt;/foreign-keys&gt;&lt;ref-type name="Journal Article"&gt;17&lt;/ref-type&gt;&lt;contributors&gt;&lt;authors&gt;&lt;author&gt;Gillespie, Lesley D&lt;/author&gt;&lt;author&gt;Robertson, M Clare&lt;/author&gt;&lt;author&gt;Gillespie, William J&lt;/author&gt;&lt;author&gt;Sherrington, Catherine&lt;/author&gt;&lt;author&gt;Gates, Simon&lt;/author&gt;&lt;author&gt;Clemson, Lindy M&lt;/author&gt;&lt;author&gt;Lamb, Sarah E&lt;/author&gt;&lt;/authors&gt;&lt;/contributors&gt;&lt;titles&gt;&lt;title&gt;Interventions for preventing falls in older people living in the community&lt;/title&gt;&lt;secondary-title&gt;Cochrane database of systematic reviews&lt;/secondary-title&gt;&lt;/titles&gt;&lt;periodical&gt;&lt;full-title&gt;Cochrane database of systematic reviews&lt;/full-title&gt;&lt;/periodical&gt;&lt;number&gt;9&lt;/number&gt;&lt;dates&gt;&lt;year&gt;2012&lt;/year&gt;&lt;/dates&gt;&lt;isbn&gt;1465-1858&lt;/isbn&gt;&lt;urls&gt;&lt;/urls&gt;&lt;/record&gt;&lt;/Cite&gt;&lt;/EndNote&gt;</w:instrText>
      </w:r>
      <w:r w:rsidR="00C32B8D" w:rsidRPr="004C78D8">
        <w:fldChar w:fldCharType="separate"/>
      </w:r>
      <w:r w:rsidR="00513646" w:rsidRPr="004C78D8">
        <w:rPr>
          <w:noProof/>
        </w:rPr>
        <w:t>[124]</w:t>
      </w:r>
      <w:r w:rsidR="00C32B8D" w:rsidRPr="004C78D8">
        <w:fldChar w:fldCharType="end"/>
      </w:r>
      <w:r w:rsidR="00C32B8D" w:rsidRPr="004C78D8">
        <w:t xml:space="preserve">; </w:t>
      </w:r>
      <w:r w:rsidR="00405B87" w:rsidRPr="004C78D8">
        <w:t xml:space="preserve">hence, </w:t>
      </w:r>
      <w:r w:rsidR="00264441" w:rsidRPr="004C78D8">
        <w:t>availability of</w:t>
      </w:r>
      <w:r w:rsidR="00405B87" w:rsidRPr="004C78D8">
        <w:t xml:space="preserve"> evidence-based interventions may vary by age and sex. </w:t>
      </w:r>
      <w:r w:rsidR="00264441" w:rsidRPr="004C78D8">
        <w:t>I</w:t>
      </w:r>
      <w:r w:rsidR="00405B87" w:rsidRPr="004C78D8">
        <w:t xml:space="preserve">ntervention </w:t>
      </w:r>
      <w:r w:rsidR="00264441" w:rsidRPr="004C78D8">
        <w:t>participation is</w:t>
      </w:r>
      <w:r w:rsidR="00405B87" w:rsidRPr="004C78D8">
        <w:t xml:space="preserve"> typically higher </w:t>
      </w:r>
      <w:r w:rsidR="000150C8" w:rsidRPr="004C78D8">
        <w:t>among</w:t>
      </w:r>
      <w:r w:rsidR="00405B87" w:rsidRPr="004C78D8">
        <w:t xml:space="preserve"> </w:t>
      </w:r>
      <w:r w:rsidR="00264441" w:rsidRPr="004C78D8">
        <w:t xml:space="preserve">older </w:t>
      </w:r>
      <w:r w:rsidR="00405B87" w:rsidRPr="004C78D8">
        <w:t xml:space="preserve">women </w:t>
      </w:r>
      <w:r w:rsidR="00264441" w:rsidRPr="004C78D8">
        <w:t xml:space="preserve">than men </w:t>
      </w:r>
      <w:r w:rsidR="000150C8" w:rsidRPr="004C78D8">
        <w:fldChar w:fldCharType="begin">
          <w:fldData xml:space="preserve">PEVuZE5vdGU+PENpdGU+PEF1dGhvcj5HaWxsZXNwaWU8L0F1dGhvcj48WWVhcj4yMDEyPC9ZZWFy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</w:fldData>
        </w:fldChar>
      </w:r>
      <w:r w:rsidR="00513646" w:rsidRPr="004C78D8">
        <w:instrText xml:space="preserve"> ADDIN EN.CITE </w:instrText>
      </w:r>
      <w:r w:rsidR="00513646" w:rsidRPr="004C78D8">
        <w:fldChar w:fldCharType="begin">
          <w:fldData xml:space="preserve">PEVuZE5vdGU+PENpdGU+PEF1dGhvcj5HaWxsZXNwaWU8L0F1dGhvcj48WWVhcj4yMDEyPC9ZZWFy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</w:fldData>
        </w:fldChar>
      </w:r>
      <w:r w:rsidR="00513646" w:rsidRPr="004C78D8">
        <w:instrText xml:space="preserve"> ADDIN EN.CITE.DATA </w:instrText>
      </w:r>
      <w:r w:rsidR="00513646" w:rsidRPr="004C78D8">
        <w:fldChar w:fldCharType="end"/>
      </w:r>
      <w:r w:rsidR="000150C8" w:rsidRPr="004C78D8">
        <w:fldChar w:fldCharType="separate"/>
      </w:r>
      <w:r w:rsidR="00513646" w:rsidRPr="004C78D8">
        <w:rPr>
          <w:noProof/>
        </w:rPr>
        <w:t>[124, 135]</w:t>
      </w:r>
      <w:r w:rsidR="000150C8" w:rsidRPr="004C78D8">
        <w:fldChar w:fldCharType="end"/>
      </w:r>
      <w:r w:rsidR="000150C8" w:rsidRPr="004C78D8">
        <w:t xml:space="preserve">. Overall, age and sex affect </w:t>
      </w:r>
      <w:r w:rsidR="004F14B7" w:rsidRPr="004C78D8">
        <w:t xml:space="preserve">almost all key processes and outcomes in Table 3.6 and </w:t>
      </w:r>
      <w:r w:rsidR="00A11DF1" w:rsidRPr="004C78D8">
        <w:t xml:space="preserve">hence </w:t>
      </w:r>
      <w:r w:rsidR="004F14B7" w:rsidRPr="004C78D8">
        <w:t>are key causal variables</w:t>
      </w:r>
      <w:r w:rsidR="000150C8" w:rsidRPr="004C78D8">
        <w:t>.</w:t>
      </w:r>
    </w:p>
    <w:p w14:paraId="4CD52603" w14:textId="482D780B" w:rsidR="00B85C92" w:rsidRPr="004C78D8" w:rsidRDefault="002D79D8" w:rsidP="00FB7C1F">
      <w:r w:rsidRPr="004C78D8">
        <w:t xml:space="preserve">There are relatively few analyses on SES as an independent falls risk factor; a systematic review of prospective falls epidemiological studies </w:t>
      </w:r>
      <w:r w:rsidR="00D4497F" w:rsidRPr="004C78D8">
        <w:t xml:space="preserve">included education as the only SES-related risk factor and </w:t>
      </w:r>
      <w:r w:rsidR="00E31D96" w:rsidRPr="004C78D8">
        <w:t>did not find</w:t>
      </w:r>
      <w:r w:rsidR="00D4497F" w:rsidRPr="004C78D8">
        <w:t xml:space="preserve"> a statistically significant </w:t>
      </w:r>
      <w:r w:rsidR="00E31D96" w:rsidRPr="004C78D8">
        <w:t>association with</w:t>
      </w:r>
      <w:r w:rsidR="00D4497F" w:rsidRPr="004C78D8">
        <w:t xml:space="preserve"> falls </w:t>
      </w:r>
      <w:r w:rsidR="00E31D96" w:rsidRPr="004C78D8">
        <w:t>risk</w:t>
      </w:r>
      <w:r w:rsidR="00D4497F" w:rsidRPr="004C78D8">
        <w:t xml:space="preserve"> </w:t>
      </w:r>
      <w:r w:rsidR="00D4497F" w:rsidRPr="004C78D8">
        <w:fldChar w:fldCharType="begin"/>
      </w:r>
      <w:r w:rsidR="00513646" w:rsidRPr="004C78D8">
        <w:instrText xml:space="preserve"> ADDIN EN.CITE &lt;EndNote&gt;&lt;Cite&gt;&lt;Author&gt;Deandrea&lt;/Author&gt;&lt;Year&gt;2010&lt;/Year&gt;&lt;RecNum&gt;422&lt;/RecNum&gt;&lt;DisplayText&gt;[43]&lt;/DisplayText&gt;&lt;record&gt;&lt;rec-number&gt;422&lt;/rec-number&gt;&lt;foreign-keys&gt;&lt;key app="EN" db-id="tdtrdw9aepptzbefsat599syza29sxsd2wsp" timestamp="1616240933"&gt;422&lt;/key&gt;&lt;/foreign-keys&gt;&lt;ref-type name="Journal Article"&gt;17&lt;/ref-type&gt;&lt;contributors&gt;&lt;authors&gt;&lt;author&gt;Deandrea, S.&lt;/author&gt;&lt;author&gt;Lucenteforte, E.&lt;/author&gt;&lt;author&gt;Bravi, F.&lt;/author&gt;&lt;author&gt;Foschi, R.&lt;/author&gt;&lt;author&gt;La Vecchia, C.&lt;/author&gt;&lt;author&gt;Negri, E.&lt;/author&gt;&lt;/authors&gt;&lt;/contributors&gt;&lt;auth-address&gt;Department of Epidemiology, Istituto di Ricerche Farmacologiche &amp;quot;Mario Negri,&amp;quot; Milan, Italy.&lt;/auth-address&gt;&lt;titles&gt;&lt;title&gt;Risk factors for falls in community-dwelling older people: a systematic review and meta-analysis&lt;/title&gt;&lt;secondary-title&gt;Epidemiology&lt;/secondary-title&gt;&lt;/titles&gt;&lt;periodical&gt;&lt;full-title&gt;Epidemiology&lt;/full-title&gt;&lt;/periodical&gt;&lt;pages&gt;658-68&lt;/pages&gt;&lt;volume&gt;21&lt;/volume&gt;&lt;number&gt;5&lt;/number&gt;&lt;keywords&gt;&lt;keyword&gt;Accidental Falls/*statistics &amp;amp; numerical data&lt;/keyword&gt;&lt;keyword&gt;Age Factors&lt;/keyword&gt;&lt;keyword&gt;Aged&lt;/keyword&gt;&lt;keyword&gt;Aged, 80 and over&lt;/keyword&gt;&lt;keyword&gt;Female&lt;/keyword&gt;&lt;keyword&gt;Humans&lt;/keyword&gt;&lt;keyword&gt;Male&lt;/keyword&gt;&lt;keyword&gt;Multivariate Analysis&lt;/keyword&gt;&lt;keyword&gt;Odds Ratio&lt;/keyword&gt;&lt;keyword&gt;Recurrence&lt;/keyword&gt;&lt;keyword&gt;Risk Factors&lt;/keyword&gt;&lt;keyword&gt;Sex Factors&lt;/keyword&gt;&lt;/keywords&gt;&lt;dates&gt;&lt;year&gt;2010&lt;/year&gt;&lt;pub-dates&gt;&lt;date&gt;Sep&lt;/date&gt;&lt;/pub-dates&gt;&lt;/dates&gt;&lt;isbn&gt;1531-5487 (Electronic)&amp;#xD;1044-3983 (Linking)&lt;/isbn&gt;&lt;accession-num&gt;20585256&lt;/accession-num&gt;&lt;urls&gt;&lt;related-urls&gt;&lt;url&gt;https://www.ncbi.nlm.nih.gov/pubmed/20585256&lt;/url&gt;&lt;/related-urls&gt;&lt;/urls&gt;&lt;electronic-resource-num&gt;10.1097/EDE.0b013e3181e89905&lt;/electronic-resource-num&gt;&lt;/record&gt;&lt;/Cite&gt;&lt;/EndNote&gt;</w:instrText>
      </w:r>
      <w:r w:rsidR="00D4497F" w:rsidRPr="004C78D8">
        <w:fldChar w:fldCharType="separate"/>
      </w:r>
      <w:r w:rsidR="00513646" w:rsidRPr="004C78D8">
        <w:rPr>
          <w:noProof/>
        </w:rPr>
        <w:t>[43]</w:t>
      </w:r>
      <w:r w:rsidR="00D4497F" w:rsidRPr="004C78D8">
        <w:fldChar w:fldCharType="end"/>
      </w:r>
      <w:r w:rsidR="00D4497F" w:rsidRPr="004C78D8">
        <w:t xml:space="preserve">. </w:t>
      </w:r>
      <w:r w:rsidR="00EE3FE1" w:rsidRPr="004C78D8">
        <w:t xml:space="preserve">A prospective analysis of ELSA </w:t>
      </w:r>
      <w:r w:rsidR="00E31D96" w:rsidRPr="004C78D8">
        <w:t xml:space="preserve">likewise </w:t>
      </w:r>
      <w:r w:rsidR="00EE3FE1" w:rsidRPr="004C78D8">
        <w:t xml:space="preserve">found that household wealth is not significantly associated with falls risk </w:t>
      </w:r>
      <w:r w:rsidR="00EE3FE1" w:rsidRPr="004C78D8">
        <w:fldChar w:fldCharType="begin"/>
      </w:r>
      <w:r w:rsidR="00C630FC" w:rsidRPr="004C78D8">
        <w:instrText xml:space="preserve"> ADDIN EN.CITE &lt;EndNote&gt;&lt;Cite&gt;&lt;Author&gt;Gale&lt;/Author&gt;&lt;Year&gt;2018&lt;/Year&gt;&lt;RecNum&gt;37&lt;/RecNum&gt;&lt;DisplayText&gt;[255]&lt;/DisplayText&gt;&lt;record&gt;&lt;rec-number&gt;37&lt;/rec-number&gt;&lt;foreign-keys&gt;&lt;key app="EN" db-id="tdtrdw9aepptzbefsat599syza29sxsd2wsp" timestamp="1596826777"&gt;37&lt;/key&gt;&lt;/foreign-keys&gt;&lt;ref-type name="Journal Article"&gt;17&lt;/ref-type&gt;&lt;contributors&gt;&lt;authors&gt;&lt;author&gt;Gale, Catharine R.&lt;/author&gt;&lt;author&gt;Westbury, Leo D.&lt;/author&gt;&lt;author&gt;Cooper, Cyrus&lt;/author&gt;&lt;author&gt;Dennison, Elaine M.&lt;/author&gt;&lt;/authors&gt;&lt;/contributors&gt;&lt;titles&gt;&lt;title&gt;Risk factors for incident falls in older men and women: the English longitudinal study of ageing&lt;/title&gt;&lt;secondary-title&gt;BMC Geriatrics&lt;/secondary-title&gt;&lt;/titles&gt;&lt;periodical&gt;&lt;full-title&gt;BMC Geriatrics&lt;/full-title&gt;&lt;/periodical&gt;&lt;pages&gt;117&lt;/pages&gt;&lt;volume&gt;18&lt;/volume&gt;&lt;number&gt;1&lt;/number&gt;&lt;dates&gt;&lt;year&gt;2018&lt;/year&gt;&lt;pub-dates&gt;&lt;date&gt;May 16&lt;/date&gt;&lt;/pub-dates&gt;&lt;/dates&gt;&lt;isbn&gt;1471-2318&lt;/isbn&gt;&lt;label&gt;Gale2018&lt;/label&gt;&lt;work-type&gt;journal article&lt;/work-type&gt;&lt;urls&gt;&lt;related-urls&gt;&lt;url&gt;https://doi.org/10.1186/s12877-018-0806-3&lt;/url&gt;&lt;/related-urls&gt;&lt;/urls&gt;&lt;electronic-resource-num&gt;10.1186/s12877-018-0806-3&lt;/electronic-resource-num&gt;&lt;/record&gt;&lt;/Cite&gt;&lt;/EndNote&gt;</w:instrText>
      </w:r>
      <w:r w:rsidR="00EE3FE1" w:rsidRPr="004C78D8">
        <w:fldChar w:fldCharType="separate"/>
      </w:r>
      <w:r w:rsidR="00C630FC" w:rsidRPr="004C78D8">
        <w:rPr>
          <w:noProof/>
        </w:rPr>
        <w:t>[255]</w:t>
      </w:r>
      <w:r w:rsidR="00EE3FE1" w:rsidRPr="004C78D8">
        <w:fldChar w:fldCharType="end"/>
      </w:r>
      <w:r w:rsidR="00E31D96" w:rsidRPr="004C78D8">
        <w:t>. By contrast,</w:t>
      </w:r>
      <w:r w:rsidR="00EE3FE1" w:rsidRPr="004C78D8">
        <w:t xml:space="preserve"> primary analysis of ELSA found that subjective report of financial difficulty is significantly associated with </w:t>
      </w:r>
      <w:r w:rsidR="00A06618" w:rsidRPr="004C78D8">
        <w:t>falls risk</w:t>
      </w:r>
      <w:r w:rsidR="00E31D96" w:rsidRPr="004C78D8">
        <w:t xml:space="preserve"> (Document 10 in Appendix B)</w:t>
      </w:r>
      <w:r w:rsidR="005A4A24" w:rsidRPr="004C78D8">
        <w:t xml:space="preserve">. </w:t>
      </w:r>
      <w:r w:rsidR="004257A7" w:rsidRPr="004C78D8">
        <w:t>Regarding background health status, o</w:t>
      </w:r>
      <w:r w:rsidR="001C2D50" w:rsidRPr="004C78D8">
        <w:t>ne study found that e</w:t>
      </w:r>
      <w:r w:rsidR="00C57413" w:rsidRPr="004C78D8">
        <w:t>ducation</w:t>
      </w:r>
      <w:r w:rsidR="001C2D50" w:rsidRPr="004C78D8">
        <w:t xml:space="preserve">, but not income, </w:t>
      </w:r>
      <w:r w:rsidR="0054677A" w:rsidRPr="004C78D8">
        <w:t>had an independent impact on older persons’ health utilities after controlling for frailty</w:t>
      </w:r>
      <w:r w:rsidR="00C57413" w:rsidRPr="004C78D8">
        <w:t xml:space="preserve"> </w:t>
      </w:r>
      <w:r w:rsidR="00C57413" w:rsidRPr="004C78D8">
        <w:fldChar w:fldCharType="begin"/>
      </w:r>
      <w:r w:rsidR="00C630FC" w:rsidRPr="004C78D8">
        <w:instrText xml:space="preserve"> ADDIN EN.CITE &lt;EndNote&gt;&lt;Cite&gt;&lt;Author&gt;Kim&lt;/Author&gt;&lt;Year&gt;2020&lt;/Year&gt;&lt;RecNum&gt;48&lt;/RecNum&gt;&lt;DisplayText&gt;[257]&lt;/DisplayText&gt;&lt;record&gt;&lt;rec-number&gt;48&lt;/rec-number&gt;&lt;foreign-keys&gt;&lt;key app="EN" db-id="tdtrdw9aepptzbefsat599syza29sxsd2wsp" timestamp="1596834607"&gt;48&lt;/key&gt;&lt;/foreign-keys&gt;&lt;ref-type name="Journal Article"&gt;17&lt;/ref-type&gt;&lt;contributors&gt;&lt;authors&gt;&lt;author&gt;Kim, Moon Jung&lt;/author&gt;&lt;author&gt;Park, Saengryeol&lt;/author&gt;&lt;author&gt;Jung, Young-il&lt;/author&gt;&lt;author&gt;Kim, Seon-Ha&lt;/author&gt;&lt;author&gt;Oh, In-Hwan&lt;/author&gt;&lt;/authors&gt;&lt;/contributors&gt;&lt;titles&gt;&lt;title&gt;Exploring health-related quality of life and frailty in older adults based on the Korean Frailty and Aging Cohort Study&lt;/title&gt;&lt;secondary-title&gt;Quality of Life Research&lt;/secondary-title&gt;&lt;/titles&gt;&lt;periodical&gt;&lt;full-title&gt;Quality of Life Research&lt;/full-title&gt;&lt;/periodical&gt;&lt;pages&gt;1-9&lt;/pages&gt;&lt;dates&gt;&lt;year&gt;2020&lt;/year&gt;&lt;/dates&gt;&lt;isbn&gt;1573-2649&lt;/isbn&gt;&lt;urls&gt;&lt;/urls&gt;&lt;/record&gt;&lt;/Cite&gt;&lt;/EndNote&gt;</w:instrText>
      </w:r>
      <w:r w:rsidR="00C57413" w:rsidRPr="004C78D8">
        <w:fldChar w:fldCharType="separate"/>
      </w:r>
      <w:r w:rsidR="00C630FC" w:rsidRPr="004C78D8">
        <w:rPr>
          <w:noProof/>
        </w:rPr>
        <w:t>[257]</w:t>
      </w:r>
      <w:r w:rsidR="00C57413" w:rsidRPr="004C78D8">
        <w:fldChar w:fldCharType="end"/>
      </w:r>
      <w:r w:rsidR="00C57413" w:rsidRPr="004C78D8">
        <w:t xml:space="preserve">. Nevertheless, improving the financial circumstances of older persons is regarded as a key strategy </w:t>
      </w:r>
      <w:r w:rsidR="00506A2F" w:rsidRPr="004C78D8">
        <w:t xml:space="preserve">for promoting older persons’ health and social participation </w:t>
      </w:r>
      <w:r w:rsidR="00C57413" w:rsidRPr="004C78D8">
        <w:fldChar w:fldCharType="begin"/>
      </w:r>
      <w:r w:rsidR="00C57413" w:rsidRPr="004C78D8">
        <w:instrText xml:space="preserve"> ADDIN EN.CITE &lt;EndNote&gt;&lt;Cite&gt;&lt;Author&gt;Marmot&lt;/Author&gt;&lt;Year&gt;2015&lt;/Year&gt;&lt;RecNum&gt;25&lt;/RecNum&gt;&lt;DisplayText&gt;[10]&lt;/DisplayText&gt;&lt;record&gt;&lt;rec-number&gt;25&lt;/rec-number&gt;&lt;foreign-keys&gt;&lt;key app="EN" db-id="tdtrdw9aepptzbefsat599syza29sxsd2wsp" timestamp="1596721934"&gt;25&lt;/key&gt;&lt;/foreign-keys&gt;&lt;ref-type name="Book"&gt;6&lt;/ref-type&gt;&lt;contributors&gt;&lt;authors&gt;&lt;author&gt;Marmot, Michael&lt;/author&gt;&lt;/authors&gt;&lt;/contributors&gt;&lt;titles&gt;&lt;title&gt;The Health Gap: The Challenge of an Unequal World&lt;/title&gt;&lt;/titles&gt;&lt;dates&gt;&lt;year&gt;2015&lt;/year&gt;&lt;/dates&gt;&lt;publisher&gt;Bloomsbury Paperbacks&lt;/publisher&gt;&lt;isbn&gt;1408857979&lt;/isbn&gt;&lt;urls&gt;&lt;/urls&gt;&lt;/record&gt;&lt;/Cite&gt;&lt;/EndNote&gt;</w:instrText>
      </w:r>
      <w:r w:rsidR="00C57413" w:rsidRPr="004C78D8">
        <w:fldChar w:fldCharType="separate"/>
      </w:r>
      <w:r w:rsidR="00C57413" w:rsidRPr="004C78D8">
        <w:rPr>
          <w:noProof/>
        </w:rPr>
        <w:t>[10]</w:t>
      </w:r>
      <w:r w:rsidR="00C57413" w:rsidRPr="004C78D8">
        <w:fldChar w:fldCharType="end"/>
      </w:r>
      <w:r w:rsidR="001C2D50" w:rsidRPr="004C78D8">
        <w:t xml:space="preserve">; </w:t>
      </w:r>
      <w:r w:rsidR="00506A2F" w:rsidRPr="004C78D8">
        <w:t xml:space="preserve">hence, </w:t>
      </w:r>
      <w:r w:rsidR="001C2D50" w:rsidRPr="004C78D8">
        <w:t xml:space="preserve">reducing fall-related OOP care expenditure incurred by financially deprived subgroups should be a </w:t>
      </w:r>
      <w:r w:rsidR="00506A2F" w:rsidRPr="004C78D8">
        <w:t>priority</w:t>
      </w:r>
      <w:r w:rsidR="001C2D50" w:rsidRPr="004C78D8">
        <w:t xml:space="preserve"> </w:t>
      </w:r>
      <w:r w:rsidR="001C2D50" w:rsidRPr="004C78D8">
        <w:fldChar w:fldCharType="begin">
          <w:fldData xml:space="preserve">PEVuZE5vdGU+PENpdGU+PEF1dGhvcj5TYWNoPC9BdXRob3I+PFllYXI+MjAxMjwvWWVhcj48UmVj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</w:fldData>
        </w:fldChar>
      </w:r>
      <w:r w:rsidR="00513646" w:rsidRPr="004C78D8">
        <w:instrText xml:space="preserve"> ADDIN EN.CITE </w:instrText>
      </w:r>
      <w:r w:rsidR="00513646" w:rsidRPr="004C78D8">
        <w:fldChar w:fldCharType="begin">
          <w:fldData xml:space="preserve">PEVuZE5vdGU+PENpdGU+PEF1dGhvcj5TYWNoPC9BdXRob3I+PFllYXI+MjAxMjwvWWVhcj48UmVj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</w:fldData>
        </w:fldChar>
      </w:r>
      <w:r w:rsidR="00513646" w:rsidRPr="004C78D8">
        <w:instrText xml:space="preserve"> ADDIN EN.CITE.DATA </w:instrText>
      </w:r>
      <w:r w:rsidR="00513646" w:rsidRPr="004C78D8">
        <w:fldChar w:fldCharType="end"/>
      </w:r>
      <w:r w:rsidR="001C2D50" w:rsidRPr="004C78D8">
        <w:fldChar w:fldCharType="separate"/>
      </w:r>
      <w:r w:rsidR="00513646" w:rsidRPr="004C78D8">
        <w:rPr>
          <w:noProof/>
        </w:rPr>
        <w:t>[71, 75]</w:t>
      </w:r>
      <w:r w:rsidR="001C2D50" w:rsidRPr="004C78D8">
        <w:fldChar w:fldCharType="end"/>
      </w:r>
      <w:r w:rsidR="008F56C7" w:rsidRPr="004C78D8">
        <w:t xml:space="preserve">. </w:t>
      </w:r>
      <w:r w:rsidR="005A4A24" w:rsidRPr="004C78D8">
        <w:t xml:space="preserve">As </w:t>
      </w:r>
      <w:r w:rsidR="00FC66A3" w:rsidRPr="004C78D8">
        <w:t>noted</w:t>
      </w:r>
      <w:r w:rsidR="005A4A24" w:rsidRPr="004C78D8">
        <w:t>, Sheffield CCG recommended LSOA</w:t>
      </w:r>
      <w:r w:rsidR="00B85C92" w:rsidRPr="004C78D8">
        <w:t xml:space="preserve">-level </w:t>
      </w:r>
      <w:r w:rsidR="00A72C30" w:rsidRPr="004C78D8">
        <w:t xml:space="preserve">multiple </w:t>
      </w:r>
      <w:r w:rsidR="00B85C92" w:rsidRPr="004C78D8">
        <w:t xml:space="preserve">deprivation </w:t>
      </w:r>
      <w:r w:rsidR="005A4A24" w:rsidRPr="004C78D8">
        <w:t xml:space="preserve">as the </w:t>
      </w:r>
      <w:r w:rsidR="005056A1" w:rsidRPr="004C78D8">
        <w:t xml:space="preserve">characteristic </w:t>
      </w:r>
      <w:r w:rsidR="005A4A24" w:rsidRPr="004C78D8">
        <w:t>of equity relevance</w:t>
      </w:r>
      <w:r w:rsidR="00D62EA7" w:rsidRPr="004C78D8">
        <w:t xml:space="preserve">. During a pilot falls prevention scheme, CCG prioritised intervention access in socially deprived areas (see Section 3.7.1.3); subsequent discontinuation of </w:t>
      </w:r>
      <w:r w:rsidR="0054677A" w:rsidRPr="004C78D8">
        <w:t>CCG funding</w:t>
      </w:r>
      <w:r w:rsidR="00D62EA7" w:rsidRPr="004C78D8">
        <w:t xml:space="preserve"> halted intervention in socially deprived areas but not in more well-off ones</w:t>
      </w:r>
      <w:r w:rsidR="0054677A" w:rsidRPr="004C78D8">
        <w:t xml:space="preserve"> which continued via self-financing. This</w:t>
      </w:r>
      <w:r w:rsidR="00D62EA7" w:rsidRPr="004C78D8">
        <w:t xml:space="preserve"> </w:t>
      </w:r>
      <w:r w:rsidR="0054677A" w:rsidRPr="004C78D8">
        <w:lastRenderedPageBreak/>
        <w:t>demonstrated</w:t>
      </w:r>
      <w:r w:rsidR="00D62EA7" w:rsidRPr="004C78D8">
        <w:t xml:space="preserve"> the area-level</w:t>
      </w:r>
      <w:r w:rsidR="00DD3F7A" w:rsidRPr="004C78D8">
        <w:t>, SES-mediated</w:t>
      </w:r>
      <w:r w:rsidR="00D62EA7" w:rsidRPr="004C78D8">
        <w:t xml:space="preserve"> differen</w:t>
      </w:r>
      <w:r w:rsidR="00DD3F7A" w:rsidRPr="004C78D8">
        <w:t>tial in intervention access</w:t>
      </w:r>
      <w:r w:rsidR="00D62EA7" w:rsidRPr="004C78D8">
        <w:t xml:space="preserve"> within Sheffield</w:t>
      </w:r>
      <w:r w:rsidR="00DD3F7A" w:rsidRPr="004C78D8">
        <w:t>.</w:t>
      </w:r>
      <w:r w:rsidR="00A931F4" w:rsidRPr="004C78D8">
        <w:t xml:space="preserve"> Overall, </w:t>
      </w:r>
      <w:r w:rsidR="00895B07" w:rsidRPr="004C78D8">
        <w:t xml:space="preserve">SES </w:t>
      </w:r>
      <w:r w:rsidR="004257A7" w:rsidRPr="004C78D8">
        <w:t>is</w:t>
      </w:r>
      <w:r w:rsidR="00895B07" w:rsidRPr="004C78D8">
        <w:t xml:space="preserve"> a key </w:t>
      </w:r>
      <w:r w:rsidR="004257A7" w:rsidRPr="004C78D8">
        <w:t xml:space="preserve">causal </w:t>
      </w:r>
      <w:r w:rsidR="00895B07" w:rsidRPr="004C78D8">
        <w:t xml:space="preserve">variable with priority setting implications and impacts on multiple </w:t>
      </w:r>
      <w:r w:rsidR="004257A7" w:rsidRPr="004C78D8">
        <w:t>falls prevention processes and outcomes</w:t>
      </w:r>
      <w:r w:rsidR="00895B07" w:rsidRPr="004C78D8">
        <w:t>.</w:t>
      </w:r>
    </w:p>
    <w:p w14:paraId="284BB029" w14:textId="5C84E91C" w:rsidR="0020365F" w:rsidRPr="004C78D8" w:rsidRDefault="0020365F" w:rsidP="00FB7C1F">
      <w:pPr>
        <w:pStyle w:val="Heading3"/>
      </w:pPr>
      <w:bookmarkStart w:id="85" w:name="_Toc111630732"/>
      <w:r w:rsidRPr="004C78D8">
        <w:t>3.6.2 Fall</w:t>
      </w:r>
      <w:r w:rsidR="0001367D" w:rsidRPr="004C78D8">
        <w:t>-related variables</w:t>
      </w:r>
      <w:bookmarkEnd w:id="85"/>
    </w:p>
    <w:p w14:paraId="065C99DE" w14:textId="3BA9559F" w:rsidR="00FD5F06" w:rsidRPr="004C78D8" w:rsidRDefault="00064B6F" w:rsidP="00FB7C1F">
      <w:r w:rsidRPr="004C78D8">
        <w:t xml:space="preserve">Falls history is one of the most reliable indicators of falls risk </w:t>
      </w:r>
      <w:r w:rsidRPr="004C78D8">
        <w:fldChar w:fldCharType="begin">
          <w:fldData xml:space="preserve">PEVuZE5vdGU+PENpdGU+PEF1dGhvcj5OYXRpb25hbCBJbnN0aXR1dGUgZm9yIEhlYWx0aCBhbmQg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Z2VzPjIxOTUtMjIwMzwvcGFnZXM+PHZvbHVtZT4zMDwvdm9sdW1lPjxudW1iZXI+MTE8L251bWJl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</w:fldData>
        </w:fldChar>
      </w:r>
      <w:r w:rsidR="00C630FC" w:rsidRPr="004C78D8">
        <w:instrText xml:space="preserve"> ADDIN EN.CITE </w:instrText>
      </w:r>
      <w:r w:rsidR="00C630FC" w:rsidRPr="004C78D8">
        <w:fldChar w:fldCharType="begin">
          <w:fldData xml:space="preserve">PEVuZE5vdGU+PENpdGU+PEF1dGhvcj5OYXRpb25hbCBJbnN0aXR1dGUgZm9yIEhlYWx0aCBhbmQg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[13, 261]</w:t>
      </w:r>
      <w:r w:rsidRPr="004C78D8">
        <w:fldChar w:fldCharType="end"/>
      </w:r>
      <w:r w:rsidR="00B05772" w:rsidRPr="004C78D8">
        <w:t>.</w:t>
      </w:r>
      <w:r w:rsidR="00EB0F15" w:rsidRPr="004C78D8">
        <w:t xml:space="preserve"> Incidence of a fall leaves the person at high risk of a recurrent fall within a year </w:t>
      </w:r>
      <w:r w:rsidR="00EB0F15" w:rsidRPr="004C78D8">
        <w:fldChar w:fldCharType="begin"/>
      </w:r>
      <w:r w:rsidR="00513646" w:rsidRPr="004C78D8">
        <w:instrText xml:space="preserve"> ADDIN EN.CITE &lt;EndNote&gt;&lt;Cite&gt;&lt;Author&gt;Tinetti&lt;/Author&gt;&lt;Year&gt;2003&lt;/Year&gt;&lt;RecNum&gt;496&lt;/RecNum&gt;&lt;DisplayText&gt;[27]&lt;/DisplayText&gt;&lt;record&gt;&lt;rec-number&gt;496&lt;/rec-number&gt;&lt;foreign-keys&gt;&lt;key app="EN" db-id="tdtrdw9aepptzbefsat599syza29sxsd2wsp" timestamp="1617279788"&gt;496&lt;/key&gt;&lt;/foreign-keys&gt;&lt;ref-type name="Journal Article"&gt;17&lt;/ref-type&gt;&lt;contributors&gt;&lt;authors&gt;&lt;author&gt;Tinetti, Mary E&lt;/author&gt;&lt;/authors&gt;&lt;/contributors&gt;&lt;titles&gt;&lt;title&gt;Preventing falls in elderly persons&lt;/title&gt;&lt;secondary-title&gt;New England Journal of Medicine&lt;/secondary-title&gt;&lt;/titles&gt;&lt;periodical&gt;&lt;full-title&gt;New England journal of medicine&lt;/full-title&gt;&lt;/periodical&gt;&lt;pages&gt;42-49&lt;/pages&gt;&lt;volume&gt;348&lt;/volume&gt;&lt;number&gt;1&lt;/number&gt;&lt;dates&gt;&lt;year&gt;2003&lt;/year&gt;&lt;/dates&gt;&lt;isbn&gt;0028-4793&lt;/isbn&gt;&lt;urls&gt;&lt;/urls&gt;&lt;/record&gt;&lt;/Cite&gt;&lt;/EndNote&gt;</w:instrText>
      </w:r>
      <w:r w:rsidR="00EB0F15" w:rsidRPr="004C78D8">
        <w:fldChar w:fldCharType="separate"/>
      </w:r>
      <w:r w:rsidR="00513646" w:rsidRPr="004C78D8">
        <w:rPr>
          <w:noProof/>
        </w:rPr>
        <w:t>[27]</w:t>
      </w:r>
      <w:r w:rsidR="00EB0F15" w:rsidRPr="004C78D8">
        <w:fldChar w:fldCharType="end"/>
      </w:r>
      <w:r w:rsidR="00387176" w:rsidRPr="004C78D8">
        <w:t xml:space="preserve">. </w:t>
      </w:r>
      <w:r w:rsidR="00455449" w:rsidRPr="004C78D8">
        <w:t xml:space="preserve">Recurrence of falls requiring medical attention (MA falls) is also frequent </w:t>
      </w:r>
      <w:r w:rsidR="00455449" w:rsidRPr="004C78D8">
        <w:fldChar w:fldCharType="begin">
          <w:fldData xml:space="preserve">PEVuZE5vdGU+PENpdGU+PEF1dGhvcj5Ib3dsYW5kPC9BdXRob3I+PFllYXI+MjAxNTwvWWVhcj48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==
</w:fldData>
        </w:fldChar>
      </w:r>
      <w:r w:rsidR="00C630FC" w:rsidRPr="004C78D8">
        <w:instrText xml:space="preserve"> ADDIN EN.CITE </w:instrText>
      </w:r>
      <w:r w:rsidR="00C630FC" w:rsidRPr="004C78D8">
        <w:fldChar w:fldCharType="begin">
          <w:fldData xml:space="preserve">PEVuZE5vdGU+PENpdGU+PEF1dGhvcj5Ib3dsYW5kPC9BdXRob3I+PFllYXI+MjAxNTwvWWVhcj48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==
</w:fldData>
        </w:fldChar>
      </w:r>
      <w:r w:rsidR="00C630FC" w:rsidRPr="004C78D8">
        <w:instrText xml:space="preserve"> ADDIN EN.CITE.DATA </w:instrText>
      </w:r>
      <w:r w:rsidR="00C630FC" w:rsidRPr="004C78D8">
        <w:fldChar w:fldCharType="end"/>
      </w:r>
      <w:r w:rsidR="00455449" w:rsidRPr="004C78D8">
        <w:fldChar w:fldCharType="separate"/>
      </w:r>
      <w:r w:rsidR="00C630FC" w:rsidRPr="004C78D8">
        <w:rPr>
          <w:noProof/>
        </w:rPr>
        <w:t>[200]</w:t>
      </w:r>
      <w:r w:rsidR="00455449" w:rsidRPr="004C78D8">
        <w:fldChar w:fldCharType="end"/>
      </w:r>
      <w:r w:rsidR="00455449" w:rsidRPr="004C78D8">
        <w:t xml:space="preserve">. </w:t>
      </w:r>
      <w:r w:rsidR="00AC6F60" w:rsidRPr="004C78D8">
        <w:t xml:space="preserve">NICE CG161 </w:t>
      </w:r>
      <w:r w:rsidR="00D07CE0" w:rsidRPr="004C78D8">
        <w:t>uses</w:t>
      </w:r>
      <w:r w:rsidR="00AC6F60" w:rsidRPr="004C78D8">
        <w:t xml:space="preserve"> recurrent</w:t>
      </w:r>
      <w:r w:rsidR="00DB44DF" w:rsidRPr="004C78D8">
        <w:t xml:space="preserve">, </w:t>
      </w:r>
      <w:r w:rsidR="00711FDA" w:rsidRPr="004C78D8">
        <w:t xml:space="preserve">not single </w:t>
      </w:r>
      <w:r w:rsidR="00DB44DF" w:rsidRPr="004C78D8">
        <w:t>(</w:t>
      </w:r>
      <w:r w:rsidR="00711FDA" w:rsidRPr="004C78D8">
        <w:t>unless requiring medical attention</w:t>
      </w:r>
      <w:r w:rsidR="00DB44DF" w:rsidRPr="004C78D8">
        <w:t>)</w:t>
      </w:r>
      <w:r w:rsidR="00711FDA" w:rsidRPr="004C78D8">
        <w:t>,</w:t>
      </w:r>
      <w:r w:rsidR="00AC6F60" w:rsidRPr="004C78D8">
        <w:t xml:space="preserve"> falls</w:t>
      </w:r>
      <w:r w:rsidR="00D07CE0" w:rsidRPr="004C78D8">
        <w:t xml:space="preserve"> history as one of the screening criteria for proactive intervention access </w:t>
      </w:r>
      <w:r w:rsidR="00D07CE0" w:rsidRPr="004C78D8">
        <w:fldChar w:fldCharType="begin"/>
      </w:r>
      <w:r w:rsidR="00F255A9"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00D07CE0" w:rsidRPr="004C78D8">
        <w:fldChar w:fldCharType="separate"/>
      </w:r>
      <w:r w:rsidR="00F255A9" w:rsidRPr="004C78D8">
        <w:rPr>
          <w:noProof/>
        </w:rPr>
        <w:t>[13]</w:t>
      </w:r>
      <w:r w:rsidR="00D07CE0" w:rsidRPr="004C78D8">
        <w:fldChar w:fldCharType="end"/>
      </w:r>
      <w:r w:rsidR="00D07CE0" w:rsidRPr="004C78D8">
        <w:t>.</w:t>
      </w:r>
      <w:r w:rsidR="00AC6F60" w:rsidRPr="004C78D8">
        <w:t xml:space="preserve"> </w:t>
      </w:r>
      <w:r w:rsidR="00D07CE0" w:rsidRPr="004C78D8">
        <w:t xml:space="preserve">Recurrent falls also have stronger association with physical frailty </w:t>
      </w:r>
      <w:r w:rsidR="00D07CE0" w:rsidRPr="004C78D8">
        <w:fldChar w:fldCharType="begin"/>
      </w:r>
      <w:r w:rsidR="00C630FC" w:rsidRPr="004C78D8">
        <w:instrText xml:space="preserve"> ADDIN EN.CITE &lt;EndNote&gt;&lt;Cite&gt;&lt;Author&gt;Wu&lt;/Author&gt;&lt;Year&gt;2013&lt;/Year&gt;&lt;RecNum&gt;737&lt;/RecNum&gt;&lt;DisplayText&gt;[262]&lt;/DisplayText&gt;&lt;record&gt;&lt;rec-number&gt;737&lt;/rec-number&gt;&lt;foreign-keys&gt;&lt;key app="EN" db-id="tdtrdw9aepptzbefsat599syza29sxsd2wsp" timestamp="1636809258"&gt;737&lt;/key&gt;&lt;/foreign-keys&gt;&lt;ref-type name="Journal Article"&gt;17&lt;/ref-type&gt;&lt;contributors&gt;&lt;authors&gt;&lt;author&gt;Wu, Tai-Yin&lt;/author&gt;&lt;author&gt;Chie, Wei-Chu&lt;/author&gt;&lt;author&gt;Yang, Rong-Sen&lt;/author&gt;&lt;author&gt;Kuo, Kuan-Liang&lt;/author&gt;&lt;author&gt;Wong, Wai-Kuen&lt;/author&gt;&lt;author&gt;Liaw, Chen-Kun&lt;/author&gt;&lt;/authors&gt;&lt;/contributors&gt;&lt;titles&gt;&lt;title&gt;Risk factors for single and recurrent falls: a prospective study of falls in community dwelling seniors without cognitive impairment&lt;/title&gt;&lt;secondary-title&gt;Preventive medicine&lt;/secondary-title&gt;&lt;/titles&gt;&lt;periodical&gt;&lt;full-title&gt;Preventive medicine&lt;/full-title&gt;&lt;/periodical&gt;&lt;pages&gt;511-517&lt;/pages&gt;&lt;volume&gt;57&lt;/volume&gt;&lt;number&gt;5&lt;/number&gt;&lt;dates&gt;&lt;year&gt;2013&lt;/year&gt;&lt;/dates&gt;&lt;isbn&gt;0091-7435&lt;/isbn&gt;&lt;urls&gt;&lt;/urls&gt;&lt;/record&gt;&lt;/Cite&gt;&lt;/EndNote&gt;</w:instrText>
      </w:r>
      <w:r w:rsidR="00D07CE0" w:rsidRPr="004C78D8">
        <w:fldChar w:fldCharType="separate"/>
      </w:r>
      <w:r w:rsidR="00C630FC" w:rsidRPr="004C78D8">
        <w:rPr>
          <w:noProof/>
        </w:rPr>
        <w:t>[262]</w:t>
      </w:r>
      <w:r w:rsidR="00D07CE0" w:rsidRPr="004C78D8">
        <w:fldChar w:fldCharType="end"/>
      </w:r>
      <w:r w:rsidR="00D07CE0" w:rsidRPr="004C78D8">
        <w:t xml:space="preserve">; single and recurrent fallers </w:t>
      </w:r>
      <w:r w:rsidR="00D36A3D" w:rsidRPr="004C78D8">
        <w:t xml:space="preserve">thus likely </w:t>
      </w:r>
      <w:r w:rsidR="00D07CE0" w:rsidRPr="004C78D8">
        <w:t>incur heterogeneous secondary</w:t>
      </w:r>
      <w:r w:rsidR="0073042C" w:rsidRPr="004C78D8">
        <w:t xml:space="preserve"> </w:t>
      </w:r>
      <w:r w:rsidR="00D07CE0" w:rsidRPr="004C78D8">
        <w:t xml:space="preserve">effects of their respective fall episodes. </w:t>
      </w:r>
      <w:r w:rsidR="00455449" w:rsidRPr="004C78D8">
        <w:t>Falls of all severities, including those not incurring injuries, have secondary health effects manifesting in terms of functional decline</w:t>
      </w:r>
      <w:r w:rsidR="004D1245" w:rsidRPr="004C78D8">
        <w:t>, excess mortality</w:t>
      </w:r>
      <w:r w:rsidR="00455449" w:rsidRPr="004C78D8">
        <w:t xml:space="preserve"> and LTC admissions </w:t>
      </w:r>
      <w:r w:rsidR="00455449" w:rsidRPr="004C78D8">
        <w:fldChar w:fldCharType="begin">
          <w:fldData xml:space="preserve">PEVuZE5vdGU+PENpdGU+PEF1dGhvcj5TZWthcmFuPC9BdXRob3I+PFllYXI+MjAxMzwvWWVhcj48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</w:fldData>
        </w:fldChar>
      </w:r>
      <w:r w:rsidR="00C630FC" w:rsidRPr="004C78D8">
        <w:instrText xml:space="preserve"> ADDIN EN.CITE </w:instrText>
      </w:r>
      <w:r w:rsidR="00C630FC" w:rsidRPr="004C78D8">
        <w:fldChar w:fldCharType="begin">
          <w:fldData xml:space="preserve">PEVuZE5vdGU+PENpdGU+PEF1dGhvcj5TZWthcmFuPC9BdXRob3I+PFllYXI+MjAxMzwvWWVhcj48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</w:fldData>
        </w:fldChar>
      </w:r>
      <w:r w:rsidR="00C630FC" w:rsidRPr="004C78D8">
        <w:instrText xml:space="preserve"> ADDIN EN.CITE.DATA </w:instrText>
      </w:r>
      <w:r w:rsidR="00C630FC" w:rsidRPr="004C78D8">
        <w:fldChar w:fldCharType="end"/>
      </w:r>
      <w:r w:rsidR="00455449" w:rsidRPr="004C78D8">
        <w:fldChar w:fldCharType="separate"/>
      </w:r>
      <w:r w:rsidR="00C630FC" w:rsidRPr="004C78D8">
        <w:rPr>
          <w:noProof/>
        </w:rPr>
        <w:t>[33, 40, 64, 263, 264]</w:t>
      </w:r>
      <w:r w:rsidR="00455449" w:rsidRPr="004C78D8">
        <w:fldChar w:fldCharType="end"/>
      </w:r>
      <w:r w:rsidR="00CF498E" w:rsidRPr="004C78D8">
        <w:t>, as well as various non-health impacts (Section 3.5.1).</w:t>
      </w:r>
      <w:r w:rsidR="00455449" w:rsidRPr="004C78D8">
        <w:t xml:space="preserve"> Nevertheless, </w:t>
      </w:r>
      <w:r w:rsidR="001E7037" w:rsidRPr="004C78D8">
        <w:t>specific</w:t>
      </w:r>
      <w:r w:rsidR="00545A0C" w:rsidRPr="004C78D8">
        <w:t xml:space="preserve"> fall-related injuries inflict </w:t>
      </w:r>
      <w:r w:rsidR="001E7037" w:rsidRPr="004C78D8">
        <w:t>different</w:t>
      </w:r>
      <w:r w:rsidR="00545A0C" w:rsidRPr="004C78D8">
        <w:t xml:space="preserve"> acute and long-term health impacts; wrist fracture patients, for example, have recovered their pre-fracture health utility level within 12 months, while hip fracture patients have not recovered even after 48 months </w:t>
      </w:r>
      <w:r w:rsidR="00545A0C" w:rsidRPr="004C78D8">
        <w:fldChar w:fldCharType="begin"/>
      </w:r>
      <w:r w:rsidR="00C630FC" w:rsidRPr="004C78D8">
        <w:instrText xml:space="preserve"> ADDIN EN.CITE &lt;EndNote&gt;&lt;Cite&gt;&lt;Author&gt;Peasgood&lt;/Author&gt;&lt;Year&gt;2009&lt;/Year&gt;&lt;RecNum&gt;544&lt;/RecNum&gt;&lt;DisplayText&gt;[265]&lt;/DisplayText&gt;&lt;record&gt;&lt;rec-number&gt;544&lt;/rec-number&gt;&lt;foreign-keys&gt;&lt;key app="EN" db-id="tdtrdw9aepptzbefsat599syza29sxsd2wsp" timestamp="1618666710"&gt;544&lt;/key&gt;&lt;/foreign-keys&gt;&lt;ref-type name="Journal Article"&gt;17&lt;/ref-type&gt;&lt;contributors&gt;&lt;authors&gt;&lt;author&gt;Peasgood, T.&lt;/author&gt;&lt;author&gt;Herrmann, K.&lt;/author&gt;&lt;author&gt;Kanis, J. A.&lt;/author&gt;&lt;author&gt;Brazier, J. E.&lt;/author&gt;&lt;/authors&gt;&lt;/contributors&gt;&lt;auth-address&gt;Health Economics and Decision Science, School of Health and Related Research, University of Sheffield Regent Court, Court, 30 Regent Street, Sheffield, UK S1 4DA.&lt;/auth-address&gt;&lt;titles&gt;&lt;title&gt;An updated systematic review of Health State Utility Values for osteoporosis related conditions&lt;/title&gt;&lt;secondary-title&gt;Osteoporos Int&lt;/secondary-title&gt;&lt;/titles&gt;&lt;periodical&gt;&lt;full-title&gt;Osteoporos Int&lt;/full-title&gt;&lt;abbr-1&gt;Osteoporosis international : a journal established as result of cooperation between the European Foundation for Osteoporosis and the National Osteoporosis Foundation of the USA&lt;/abbr-1&gt;&lt;/periodical&gt;&lt;pages&gt;853-68&lt;/pages&gt;&lt;volume&gt;20&lt;/volume&gt;&lt;number&gt;6&lt;/number&gt;&lt;keywords&gt;&lt;keyword&gt;Analysis of Variance&lt;/keyword&gt;&lt;keyword&gt;Clinical Trials as Topic&lt;/keyword&gt;&lt;keyword&gt;Cost-Benefit Analysis&lt;/keyword&gt;&lt;keyword&gt;Female&lt;/keyword&gt;&lt;keyword&gt;*Fractures, Bone&lt;/keyword&gt;&lt;keyword&gt;Humans&lt;/keyword&gt;&lt;keyword&gt;Male&lt;/keyword&gt;&lt;keyword&gt;*Osteoporosis&lt;/keyword&gt;&lt;keyword&gt;*Quality-Adjusted Life Years&lt;/keyword&gt;&lt;keyword&gt;Reference Values&lt;/keyword&gt;&lt;/keywords&gt;&lt;dates&gt;&lt;year&gt;2009&lt;/year&gt;&lt;pub-dates&gt;&lt;date&gt;Jun&lt;/date&gt;&lt;/pub-dates&gt;&lt;/dates&gt;&lt;isbn&gt;1433-2965 (Electronic)&amp;#xD;0937-941X (Linking)&lt;/isbn&gt;&lt;accession-num&gt;19271098&lt;/accession-num&gt;&lt;urls&gt;&lt;related-urls&gt;&lt;url&gt;https://www.ncbi.nlm.nih.gov/pubmed/19271098&lt;/url&gt;&lt;/related-urls&gt;&lt;/urls&gt;&lt;electronic-resource-num&gt;10.1007/s00198-009-0844-y&lt;/electronic-resource-num&gt;&lt;/record&gt;&lt;/Cite&gt;&lt;/EndNote&gt;</w:instrText>
      </w:r>
      <w:r w:rsidR="00545A0C" w:rsidRPr="004C78D8">
        <w:fldChar w:fldCharType="separate"/>
      </w:r>
      <w:r w:rsidR="00C630FC" w:rsidRPr="004C78D8">
        <w:rPr>
          <w:noProof/>
        </w:rPr>
        <w:t>[265]</w:t>
      </w:r>
      <w:r w:rsidR="00545A0C" w:rsidRPr="004C78D8">
        <w:fldChar w:fldCharType="end"/>
      </w:r>
      <w:r w:rsidR="00545A0C" w:rsidRPr="004C78D8">
        <w:t xml:space="preserve">. </w:t>
      </w:r>
      <w:r w:rsidR="00807345" w:rsidRPr="004C78D8">
        <w:t>Falls of different severities also have varied risk factors (Document 10 in Appendix B).</w:t>
      </w:r>
      <w:r w:rsidR="00D36A3D" w:rsidRPr="004C78D8">
        <w:t xml:space="preserve"> Finally, falls prevention RCTs often demarcate their target population by falls history types (e.g., see Table 3.9 below); falls history thus influences the range of available interventions. </w:t>
      </w:r>
    </w:p>
    <w:p w14:paraId="28A66CF0" w14:textId="20F5966C" w:rsidR="00CF498E" w:rsidRPr="004C78D8" w:rsidRDefault="00CF498E" w:rsidP="00FB7C1F">
      <w:r w:rsidRPr="004C78D8">
        <w:t>Fear of falling</w:t>
      </w:r>
      <w:r w:rsidR="00920D51" w:rsidRPr="004C78D8">
        <w:t xml:space="preserve"> encompasses </w:t>
      </w:r>
      <w:r w:rsidR="00B966C8" w:rsidRPr="004C78D8">
        <w:t xml:space="preserve">multiple, potentially non-overlapping </w:t>
      </w:r>
      <w:r w:rsidR="00412F74" w:rsidRPr="004C78D8">
        <w:t>concept</w:t>
      </w:r>
      <w:r w:rsidR="00687280" w:rsidRPr="004C78D8">
        <w:t>s</w:t>
      </w:r>
      <w:r w:rsidR="00B966C8" w:rsidRPr="004C78D8">
        <w:t xml:space="preserve">: </w:t>
      </w:r>
      <w:r w:rsidR="00920D51" w:rsidRPr="004C78D8">
        <w:t xml:space="preserve">physiological </w:t>
      </w:r>
      <w:r w:rsidR="00BA7A69" w:rsidRPr="004C78D8">
        <w:t xml:space="preserve">– </w:t>
      </w:r>
      <w:r w:rsidR="00920D51" w:rsidRPr="004C78D8">
        <w:t>e.g., change in autonomic reactivity</w:t>
      </w:r>
      <w:r w:rsidR="00B966C8" w:rsidRPr="004C78D8">
        <w:t>;</w:t>
      </w:r>
      <w:r w:rsidR="00920D51" w:rsidRPr="004C78D8">
        <w:t xml:space="preserve"> behavioural </w:t>
      </w:r>
      <w:r w:rsidR="00BA7A69" w:rsidRPr="004C78D8">
        <w:t xml:space="preserve">– </w:t>
      </w:r>
      <w:r w:rsidR="00920D51" w:rsidRPr="004C78D8">
        <w:t>e.g., reduction in walking speed</w:t>
      </w:r>
      <w:r w:rsidR="00B966C8" w:rsidRPr="004C78D8">
        <w:t xml:space="preserve"> to avoid fall</w:t>
      </w:r>
      <w:r w:rsidR="00BA7A69" w:rsidRPr="004C78D8">
        <w:t>ing</w:t>
      </w:r>
      <w:r w:rsidR="00B966C8" w:rsidRPr="004C78D8">
        <w:t>;</w:t>
      </w:r>
      <w:r w:rsidR="00920D51" w:rsidRPr="004C78D8">
        <w:t xml:space="preserve"> and cognitive </w:t>
      </w:r>
      <w:r w:rsidR="00BA7A69" w:rsidRPr="004C78D8">
        <w:t xml:space="preserve">– </w:t>
      </w:r>
      <w:r w:rsidR="00920D51" w:rsidRPr="004C78D8">
        <w:t xml:space="preserve">e.g., subjective assessment of one’s ability to </w:t>
      </w:r>
      <w:r w:rsidR="00B966C8" w:rsidRPr="004C78D8">
        <w:t xml:space="preserve">avoid a fall while </w:t>
      </w:r>
      <w:r w:rsidR="00920D51" w:rsidRPr="004C78D8">
        <w:t>conduct</w:t>
      </w:r>
      <w:r w:rsidR="00B966C8" w:rsidRPr="004C78D8">
        <w:t>ing</w:t>
      </w:r>
      <w:r w:rsidR="00920D51" w:rsidRPr="004C78D8">
        <w:t xml:space="preserve"> daily/important tasks</w:t>
      </w:r>
      <w:r w:rsidR="00687280" w:rsidRPr="004C78D8">
        <w:t xml:space="preserve"> </w:t>
      </w:r>
      <w:r w:rsidR="007D4E77" w:rsidRPr="004C78D8">
        <w:t xml:space="preserve">(i.e., self-efficacy) </w:t>
      </w:r>
      <w:r w:rsidR="00687280" w:rsidRPr="004C78D8">
        <w:fldChar w:fldCharType="begin"/>
      </w:r>
      <w:r w:rsidR="00C630FC" w:rsidRPr="004C78D8">
        <w:instrText xml:space="preserve"> ADDIN EN.CITE &lt;EndNote&gt;&lt;Cite&gt;&lt;Author&gt;Hadjistavropoulos&lt;/Author&gt;&lt;Year&gt;2011&lt;/Year&gt;&lt;RecNum&gt;738&lt;/RecNum&gt;&lt;DisplayText&gt;[266]&lt;/DisplayText&gt;&lt;record&gt;&lt;rec-number&gt;738&lt;/rec-number&gt;&lt;foreign-keys&gt;&lt;key app="EN" db-id="tdtrdw9aepptzbefsat599syza29sxsd2wsp" timestamp="1636818323"&gt;738&lt;/key&gt;&lt;/foreign-keys&gt;&lt;ref-type name="Journal Article"&gt;17&lt;/ref-type&gt;&lt;contributors&gt;&lt;authors&gt;&lt;author&gt;Hadjistavropoulos, Thomas&lt;/author&gt;&lt;author&gt;Delbaere, Kim&lt;/author&gt;&lt;author&gt;Fitzgerald, Theresa Dever&lt;/author&gt;&lt;/authors&gt;&lt;/contributors&gt;&lt;titles&gt;&lt;title&gt;Reconceptualizing the role of fear of falling and balance confidence in fall risk&lt;/title&gt;&lt;secondary-title&gt;Journal of aging and Health&lt;/secondary-title&gt;&lt;/titles&gt;&lt;periodical&gt;&lt;full-title&gt;Journal of aging and health&lt;/full-title&gt;&lt;/periodical&gt;&lt;pages&gt;3-23&lt;/pages&gt;&lt;volume&gt;23&lt;/volume&gt;&lt;number&gt;1&lt;/number&gt;&lt;dates&gt;&lt;year&gt;2011&lt;/year&gt;&lt;/dates&gt;&lt;isbn&gt;0898-2643&lt;/isbn&gt;&lt;urls&gt;&lt;/urls&gt;&lt;/record&gt;&lt;/Cite&gt;&lt;/EndNote&gt;</w:instrText>
      </w:r>
      <w:r w:rsidR="00687280" w:rsidRPr="004C78D8">
        <w:fldChar w:fldCharType="separate"/>
      </w:r>
      <w:r w:rsidR="00C630FC" w:rsidRPr="004C78D8">
        <w:rPr>
          <w:noProof/>
        </w:rPr>
        <w:t>[266]</w:t>
      </w:r>
      <w:r w:rsidR="00687280" w:rsidRPr="004C78D8">
        <w:fldChar w:fldCharType="end"/>
      </w:r>
      <w:r w:rsidR="00920D51" w:rsidRPr="004C78D8">
        <w:t xml:space="preserve">. </w:t>
      </w:r>
      <w:r w:rsidR="00F7372B" w:rsidRPr="004C78D8">
        <w:t>Fear</w:t>
      </w:r>
      <w:r w:rsidR="00687280" w:rsidRPr="004C78D8">
        <w:t xml:space="preserve"> </w:t>
      </w:r>
      <w:r w:rsidR="007D4E77" w:rsidRPr="004C78D8">
        <w:t>remains</w:t>
      </w:r>
      <w:r w:rsidR="00687280" w:rsidRPr="004C78D8">
        <w:t xml:space="preserve"> a significant falls risk factor </w:t>
      </w:r>
      <w:r w:rsidR="00343ABB" w:rsidRPr="004C78D8">
        <w:t xml:space="preserve">across its different conceptual forms </w:t>
      </w:r>
      <w:r w:rsidR="00343ABB" w:rsidRPr="004C78D8">
        <w:fldChar w:fldCharType="begin">
          <w:fldData xml:space="preserve">PEVuZE5vdGU+PENpdGU+PEF1dGhvcj5EZWFuZHJlYTwvQXV0aG9yPjxZZWFyPjIwMTA8L1llYXI+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==
</w:fldData>
        </w:fldChar>
      </w:r>
      <w:r w:rsidR="00C630FC" w:rsidRPr="004C78D8">
        <w:instrText xml:space="preserve"> ADDIN EN.CITE </w:instrText>
      </w:r>
      <w:r w:rsidR="00C630FC" w:rsidRPr="004C78D8">
        <w:fldChar w:fldCharType="begin">
          <w:fldData xml:space="preserve">PEVuZE5vdGU+PENpdGU+PEF1dGhvcj5EZWFuZHJlYTwvQXV0aG9yPjxZZWFyPjIwMTA8L1llYXI+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==
</w:fldData>
        </w:fldChar>
      </w:r>
      <w:r w:rsidR="00C630FC" w:rsidRPr="004C78D8">
        <w:instrText xml:space="preserve"> ADDIN EN.CITE.DATA </w:instrText>
      </w:r>
      <w:r w:rsidR="00C630FC" w:rsidRPr="004C78D8">
        <w:fldChar w:fldCharType="end"/>
      </w:r>
      <w:r w:rsidR="00343ABB" w:rsidRPr="004C78D8">
        <w:fldChar w:fldCharType="separate"/>
      </w:r>
      <w:r w:rsidR="00C630FC" w:rsidRPr="004C78D8">
        <w:rPr>
          <w:noProof/>
        </w:rPr>
        <w:t>[43, 266, 267]</w:t>
      </w:r>
      <w:r w:rsidR="00343ABB" w:rsidRPr="004C78D8">
        <w:fldChar w:fldCharType="end"/>
      </w:r>
      <w:r w:rsidR="00F7372B" w:rsidRPr="004C78D8">
        <w:t>; it</w:t>
      </w:r>
      <w:r w:rsidR="008720FA" w:rsidRPr="004C78D8">
        <w:t xml:space="preserve"> </w:t>
      </w:r>
      <w:r w:rsidR="00F7372B" w:rsidRPr="004C78D8">
        <w:t xml:space="preserve">increases falls risk </w:t>
      </w:r>
      <w:r w:rsidR="008720FA" w:rsidRPr="004C78D8">
        <w:t xml:space="preserve">directly </w:t>
      </w:r>
      <w:r w:rsidR="00F7372B" w:rsidRPr="004C78D8">
        <w:t xml:space="preserve">by </w:t>
      </w:r>
      <w:r w:rsidR="008720FA" w:rsidRPr="004C78D8">
        <w:t>impair</w:t>
      </w:r>
      <w:r w:rsidR="00F7372B" w:rsidRPr="004C78D8">
        <w:t>ing</w:t>
      </w:r>
      <w:r w:rsidR="008720FA" w:rsidRPr="004C78D8">
        <w:t xml:space="preserve"> balance and/or indirectly </w:t>
      </w:r>
      <w:r w:rsidR="00F7372B" w:rsidRPr="004C78D8">
        <w:t>by causing</w:t>
      </w:r>
      <w:r w:rsidR="008720FA" w:rsidRPr="004C78D8">
        <w:t xml:space="preserve"> physical deconditioning </w:t>
      </w:r>
      <w:r w:rsidR="00F7372B" w:rsidRPr="004C78D8">
        <w:t>via</w:t>
      </w:r>
      <w:r w:rsidR="008720FA" w:rsidRPr="004C78D8">
        <w:t xml:space="preserve"> fear-related activity curtailment </w:t>
      </w:r>
      <w:r w:rsidR="008720FA" w:rsidRPr="004C78D8">
        <w:fldChar w:fldCharType="begin"/>
      </w:r>
      <w:r w:rsidR="00C630FC" w:rsidRPr="004C78D8">
        <w:instrText xml:space="preserve"> ADDIN EN.CITE &lt;EndNote&gt;&lt;Cite&gt;&lt;Author&gt;Hadjistavropoulos&lt;/Author&gt;&lt;Year&gt;2011&lt;/Year&gt;&lt;RecNum&gt;738&lt;/RecNum&gt;&lt;DisplayText&gt;[266]&lt;/DisplayText&gt;&lt;record&gt;&lt;rec-number&gt;738&lt;/rec-number&gt;&lt;foreign-keys&gt;&lt;key app="EN" db-id="tdtrdw9aepptzbefsat599syza29sxsd2wsp" timestamp="1636818323"&gt;738&lt;/key&gt;&lt;/foreign-keys&gt;&lt;ref-type name="Journal Article"&gt;17&lt;/ref-type&gt;&lt;contributors&gt;&lt;authors&gt;&lt;author&gt;Hadjistavropoulos, Thomas&lt;/author&gt;&lt;author&gt;Delbaere, Kim&lt;/author&gt;&lt;author&gt;Fitzgerald, Theresa Dever&lt;/author&gt;&lt;/authors&gt;&lt;/contributors&gt;&lt;titles&gt;&lt;title&gt;Reconceptualizing the role of fear of falling and balance confidence in fall risk&lt;/title&gt;&lt;secondary-title&gt;Journal of aging and Health&lt;/secondary-title&gt;&lt;/titles&gt;&lt;periodical&gt;&lt;full-title&gt;Journal of aging and health&lt;/full-title&gt;&lt;/periodical&gt;&lt;pages&gt;3-23&lt;/pages&gt;&lt;volume&gt;23&lt;/volume&gt;&lt;number&gt;1&lt;/number&gt;&lt;dates&gt;&lt;year&gt;2011&lt;/year&gt;&lt;/dates&gt;&lt;isbn&gt;0898-2643&lt;/isbn&gt;&lt;urls&gt;&lt;/urls&gt;&lt;/record&gt;&lt;/Cite&gt;&lt;/EndNote&gt;</w:instrText>
      </w:r>
      <w:r w:rsidR="008720FA" w:rsidRPr="004C78D8">
        <w:fldChar w:fldCharType="separate"/>
      </w:r>
      <w:r w:rsidR="00C630FC" w:rsidRPr="004C78D8">
        <w:rPr>
          <w:noProof/>
        </w:rPr>
        <w:t>[266]</w:t>
      </w:r>
      <w:r w:rsidR="008720FA" w:rsidRPr="004C78D8">
        <w:fldChar w:fldCharType="end"/>
      </w:r>
      <w:r w:rsidR="008720FA" w:rsidRPr="004C78D8">
        <w:t xml:space="preserve">. </w:t>
      </w:r>
      <w:r w:rsidR="00E77FF1" w:rsidRPr="004C78D8">
        <w:t>It</w:t>
      </w:r>
      <w:r w:rsidR="008720FA" w:rsidRPr="004C78D8">
        <w:t xml:space="preserve"> is also a consequence of falling </w:t>
      </w:r>
      <w:r w:rsidR="008720FA" w:rsidRPr="004C78D8">
        <w:fldChar w:fldCharType="begin">
          <w:fldData xml:space="preserve">PEVuZE5vdGU+PENpdGU+PEF1dGhvcj5GcmllZG1hbjwvQXV0aG9yPjxZZWFyPjIwMDI8L1llYXI+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</w:fldData>
        </w:fldChar>
      </w:r>
      <w:r w:rsidR="00C630FC" w:rsidRPr="004C78D8">
        <w:instrText xml:space="preserve"> ADDIN EN.CITE </w:instrText>
      </w:r>
      <w:r w:rsidR="00C630FC" w:rsidRPr="004C78D8">
        <w:fldChar w:fldCharType="begin">
          <w:fldData xml:space="preserve">PEVuZE5vdGU+PENpdGU+PEF1dGhvcj5GcmllZG1hbjwvQXV0aG9yPjxZZWFyPjIwMDI8L1llYXI+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</w:fldData>
        </w:fldChar>
      </w:r>
      <w:r w:rsidR="00C630FC" w:rsidRPr="004C78D8">
        <w:instrText xml:space="preserve"> ADDIN EN.CITE.DATA </w:instrText>
      </w:r>
      <w:r w:rsidR="00C630FC" w:rsidRPr="004C78D8">
        <w:fldChar w:fldCharType="end"/>
      </w:r>
      <w:r w:rsidR="008720FA" w:rsidRPr="004C78D8">
        <w:fldChar w:fldCharType="separate"/>
      </w:r>
      <w:r w:rsidR="00C630FC" w:rsidRPr="004C78D8">
        <w:rPr>
          <w:noProof/>
        </w:rPr>
        <w:t>[267, 268]</w:t>
      </w:r>
      <w:r w:rsidR="008720FA" w:rsidRPr="004C78D8">
        <w:fldChar w:fldCharType="end"/>
      </w:r>
      <w:r w:rsidR="008720FA" w:rsidRPr="004C78D8">
        <w:t xml:space="preserve">, </w:t>
      </w:r>
      <w:r w:rsidR="002A0AB4" w:rsidRPr="004C78D8">
        <w:t xml:space="preserve">and likely propagates </w:t>
      </w:r>
      <w:r w:rsidR="008720FA" w:rsidRPr="004C78D8">
        <w:t>secondary effects</w:t>
      </w:r>
      <w:r w:rsidR="00EE13C8" w:rsidRPr="004C78D8">
        <w:t xml:space="preserve"> </w:t>
      </w:r>
      <w:r w:rsidR="002A0AB4" w:rsidRPr="004C78D8">
        <w:t xml:space="preserve">of falls </w:t>
      </w:r>
      <w:r w:rsidR="00EE13C8" w:rsidRPr="004C78D8">
        <w:t>including functional impairment</w:t>
      </w:r>
      <w:r w:rsidR="00E375E5" w:rsidRPr="004C78D8">
        <w:t>, all-cause mortality, cognitive decline, an</w:t>
      </w:r>
      <w:r w:rsidR="00EE13C8" w:rsidRPr="004C78D8">
        <w:t xml:space="preserve">d reduced social wellbeing (i.e., a non-health outcome) </w:t>
      </w:r>
      <w:r w:rsidR="00EE13C8" w:rsidRPr="004C78D8">
        <w:fldChar w:fldCharType="begin">
          <w:fldData xml:space="preserve">PEVuZE5vdGU+PENpdGU+PEF1dGhvcj5UaW5ldHRpPC9BdXRob3I+PFllYXI+MTk5MzwvWWVhcj48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</w:fldData>
        </w:fldChar>
      </w:r>
      <w:r w:rsidR="00C630FC" w:rsidRPr="004C78D8">
        <w:instrText xml:space="preserve"> ADDIN EN.CITE </w:instrText>
      </w:r>
      <w:r w:rsidR="00C630FC" w:rsidRPr="004C78D8">
        <w:fldChar w:fldCharType="begin">
          <w:fldData xml:space="preserve">PEVuZE5vdGU+PENpdGU+PEF1dGhvcj5UaW5ldHRpPC9BdXRob3I+PFllYXI+MTk5MzwvWWVhcj48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</w:fldData>
        </w:fldChar>
      </w:r>
      <w:r w:rsidR="00C630FC" w:rsidRPr="004C78D8">
        <w:instrText xml:space="preserve"> ADDIN EN.CITE.DATA </w:instrText>
      </w:r>
      <w:r w:rsidR="00C630FC" w:rsidRPr="004C78D8">
        <w:fldChar w:fldCharType="end"/>
      </w:r>
      <w:r w:rsidR="00EE13C8" w:rsidRPr="004C78D8">
        <w:fldChar w:fldCharType="separate"/>
      </w:r>
      <w:r w:rsidR="00C630FC" w:rsidRPr="004C78D8">
        <w:rPr>
          <w:noProof/>
        </w:rPr>
        <w:t>[269-272]</w:t>
      </w:r>
      <w:r w:rsidR="00EE13C8" w:rsidRPr="004C78D8">
        <w:fldChar w:fldCharType="end"/>
      </w:r>
      <w:r w:rsidR="00FA3ABC" w:rsidRPr="004C78D8">
        <w:t xml:space="preserve">. </w:t>
      </w:r>
      <w:r w:rsidR="0073042C" w:rsidRPr="004C78D8">
        <w:t>S</w:t>
      </w:r>
      <w:r w:rsidR="00FA3ABC" w:rsidRPr="004C78D8">
        <w:t xml:space="preserve">ome studies found that fear is more strongly associated with physical dependence than falls </w:t>
      </w:r>
      <w:r w:rsidR="00803743" w:rsidRPr="004C78D8">
        <w:rPr>
          <w:i/>
          <w:iCs/>
        </w:rPr>
        <w:t>per se</w:t>
      </w:r>
      <w:r w:rsidR="00FA3ABC" w:rsidRPr="004C78D8">
        <w:t xml:space="preserve"> </w:t>
      </w:r>
      <w:r w:rsidR="00FA3ABC" w:rsidRPr="004C78D8">
        <w:fldChar w:fldCharType="begin">
          <w:fldData xml:space="preserve">PEVuZE5vdGU+PENpdGU+PEF1dGhvcj5JZ2xlc2lhczwvQXV0aG9yPjxZZWFyPjIwMDk8L1llYXI+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</w:fldData>
        </w:fldChar>
      </w:r>
      <w:r w:rsidR="00C630FC" w:rsidRPr="004C78D8">
        <w:instrText xml:space="preserve"> ADDIN EN.CITE </w:instrText>
      </w:r>
      <w:r w:rsidR="00C630FC" w:rsidRPr="004C78D8">
        <w:fldChar w:fldCharType="begin">
          <w:fldData xml:space="preserve">PEVuZE5vdGU+PENpdGU+PEF1dGhvcj5JZ2xlc2lhczwvQXV0aG9yPjxZZWFyPjIwMDk8L1llYXI+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</w:fldData>
        </w:fldChar>
      </w:r>
      <w:r w:rsidR="00C630FC" w:rsidRPr="004C78D8">
        <w:instrText xml:space="preserve"> ADDIN EN.CITE.DATA </w:instrText>
      </w:r>
      <w:r w:rsidR="00C630FC" w:rsidRPr="004C78D8">
        <w:fldChar w:fldCharType="end"/>
      </w:r>
      <w:r w:rsidR="00FA3ABC" w:rsidRPr="004C78D8">
        <w:fldChar w:fldCharType="separate"/>
      </w:r>
      <w:r w:rsidR="00C630FC" w:rsidRPr="004C78D8">
        <w:rPr>
          <w:noProof/>
        </w:rPr>
        <w:t>[30, 273]</w:t>
      </w:r>
      <w:r w:rsidR="00FA3ABC" w:rsidRPr="004C78D8">
        <w:fldChar w:fldCharType="end"/>
      </w:r>
      <w:r w:rsidR="00FA3ABC" w:rsidRPr="004C78D8">
        <w:t>.</w:t>
      </w:r>
      <w:r w:rsidR="00E375E5" w:rsidRPr="004C78D8">
        <w:t xml:space="preserve"> It should be noted that fear is not necessarily </w:t>
      </w:r>
      <w:r w:rsidRPr="004C78D8">
        <w:t>caused by a previous fall</w:t>
      </w:r>
      <w:r w:rsidR="00E375E5" w:rsidRPr="004C78D8">
        <w:t xml:space="preserve">; </w:t>
      </w:r>
      <w:r w:rsidR="00E31D96" w:rsidRPr="004C78D8">
        <w:t xml:space="preserve">according to one survey, only 37% of fear cases </w:t>
      </w:r>
      <w:r w:rsidR="00E375E5" w:rsidRPr="004C78D8">
        <w:t>could</w:t>
      </w:r>
      <w:r w:rsidR="00E31D96" w:rsidRPr="004C78D8">
        <w:t xml:space="preserve"> be attributed to a previous fall </w:t>
      </w:r>
      <w:r w:rsidR="00E31D96" w:rsidRPr="004C78D8">
        <w:fldChar w:fldCharType="begin"/>
      </w:r>
      <w:r w:rsidR="00C630FC" w:rsidRPr="004C78D8">
        <w:instrText xml:space="preserve"> ADDIN EN.CITE &lt;EndNote&gt;&lt;Cite&gt;&lt;Author&gt;Eldridge&lt;/Author&gt;&lt;Year&gt;2005&lt;/Year&gt;&lt;RecNum&gt;397&lt;/RecNum&gt;&lt;DisplayText&gt;[274]&lt;/DisplayText&gt;&lt;record&gt;&lt;rec-number&gt;397&lt;/rec-number&gt;&lt;foreign-keys&gt;&lt;key app="EN" db-id="tdtrdw9aepptzbefsat599syza29sxsd2wsp" timestamp="1612694614"&gt;397&lt;/key&gt;&lt;/foreign-keys&gt;&lt;ref-type name="Journal Article"&gt;17&lt;/ref-type&gt;&lt;contributors&gt;&lt;authors&gt;&lt;author&gt;Eldridge, Sandra&lt;/author&gt;&lt;author&gt;Spencer, Anne&lt;/author&gt;&lt;author&gt;Cryer, Colin&lt;/author&gt;&lt;author&gt;Parsons, Suzanne&lt;/author&gt;&lt;author&gt;Underwood, Martin&lt;/author&gt;&lt;author&gt;Feder, Gene&lt;/author&gt;&lt;/authors&gt;&lt;/contributors&gt;&lt;titles&gt;&lt;title&gt;Why modelling a complex intervention is an important precursor to trial design: lessons from studying an intervention to reduce falls-related injuries in older people&lt;/title&gt;&lt;secondary-title&gt;Journal of health services research &amp;amp; policy&lt;/secondary-title&gt;&lt;/titles&gt;&lt;periodical&gt;&lt;full-title&gt;Journal of health services research &amp;amp; policy&lt;/full-title&gt;&lt;/periodical&gt;&lt;pages&gt;133-42&lt;/pages&gt;&lt;volume&gt;10&lt;/volume&gt;&lt;number&gt;3&lt;/number&gt;&lt;section&gt;Eldridge, Sandra. Department of General Practice and Primary Care, Queen Mary University of London, UK. s.elridge@qmul.ac.uk&lt;/section&gt;&lt;keywords&gt;&lt;keyword&gt;*Accidental Falls/pc [Prevention &amp;amp; Control]&lt;/keyword&gt;&lt;keyword&gt;Aged&lt;/keyword&gt;&lt;keyword&gt;Aged, 80 and over&lt;/keyword&gt;&lt;keyword&gt;Cost-Benefit Analysis&lt;/keyword&gt;&lt;keyword&gt;*Decision Support Techniques&lt;/keyword&gt;&lt;keyword&gt;Humans&lt;/keyword&gt;&lt;keyword&gt;Markov Chains&lt;/keyword&gt;&lt;keyword&gt;Pilot Projects&lt;/keyword&gt;&lt;keyword&gt;State Medicine&lt;/keyword&gt;&lt;keyword&gt;United Kingdom&lt;/keyword&gt;&lt;/keywords&gt;&lt;dates&gt;&lt;year&gt;2005&lt;/year&gt;&lt;/dates&gt;&lt;pub-location&gt;England&lt;/pub-location&gt;&lt;isbn&gt;1355-8196&lt;/isbn&gt;&lt;urls&gt;&lt;related-urls&gt;&lt;url&gt;http://ovidsp.ovid.com/ovidweb.cgi?T=JS&amp;amp;PAGE=reference&amp;amp;D=med5&amp;amp;NEWS=N&amp;amp;AN=16053589&lt;/url&gt;&lt;/related-urls&gt;&lt;/urls&gt;&lt;remote-database-name&gt;Medline&lt;/remote-database-name&gt;&lt;/record&gt;&lt;/Cite&gt;&lt;/EndNote&gt;</w:instrText>
      </w:r>
      <w:r w:rsidR="00E31D96" w:rsidRPr="004C78D8">
        <w:fldChar w:fldCharType="separate"/>
      </w:r>
      <w:r w:rsidR="00C630FC" w:rsidRPr="004C78D8">
        <w:rPr>
          <w:noProof/>
        </w:rPr>
        <w:t>[274]</w:t>
      </w:r>
      <w:r w:rsidR="00E31D96" w:rsidRPr="004C78D8">
        <w:fldChar w:fldCharType="end"/>
      </w:r>
      <w:r w:rsidR="00816CC2" w:rsidRPr="004C78D8">
        <w:t xml:space="preserve">. </w:t>
      </w:r>
      <w:r w:rsidR="0059208B" w:rsidRPr="004C78D8">
        <w:t xml:space="preserve">Hence, </w:t>
      </w:r>
      <w:r w:rsidR="003026FC" w:rsidRPr="004C78D8">
        <w:t>fear</w:t>
      </w:r>
      <w:r w:rsidR="0059208B" w:rsidRPr="004C78D8">
        <w:t xml:space="preserve"> could affect background health and care costs without mediating the secondary effects of falls. </w:t>
      </w:r>
      <w:r w:rsidR="003026FC" w:rsidRPr="004C78D8">
        <w:t xml:space="preserve">Finally, </w:t>
      </w:r>
      <w:r w:rsidR="00412F74" w:rsidRPr="004C78D8">
        <w:t>NICE CG161 recommends interventions that reduce cases of low self-efficacy (the cognitive form of fear) and fear of falling (</w:t>
      </w:r>
      <w:r w:rsidR="004E5145" w:rsidRPr="004C78D8">
        <w:t xml:space="preserve">the </w:t>
      </w:r>
      <w:r w:rsidR="00412F74" w:rsidRPr="004C78D8">
        <w:t>physiological and behavioural forms)</w:t>
      </w:r>
      <w:r w:rsidR="00046C01" w:rsidRPr="004C78D8">
        <w:t xml:space="preserve"> </w:t>
      </w:r>
      <w:r w:rsidR="00046C01" w:rsidRPr="004C78D8">
        <w:fldChar w:fldCharType="begin"/>
      </w:r>
      <w:r w:rsidR="00F255A9"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00046C01" w:rsidRPr="004C78D8">
        <w:fldChar w:fldCharType="separate"/>
      </w:r>
      <w:r w:rsidR="00F255A9" w:rsidRPr="004C78D8">
        <w:rPr>
          <w:noProof/>
        </w:rPr>
        <w:t>[13]</w:t>
      </w:r>
      <w:r w:rsidR="00046C01" w:rsidRPr="004C78D8">
        <w:fldChar w:fldCharType="end"/>
      </w:r>
      <w:r w:rsidR="00412F74" w:rsidRPr="004C78D8">
        <w:t>.</w:t>
      </w:r>
      <w:r w:rsidR="00046C01" w:rsidRPr="004C78D8">
        <w:t xml:space="preserve"> </w:t>
      </w:r>
      <w:r w:rsidR="008709CE" w:rsidRPr="004C78D8">
        <w:t xml:space="preserve">This is a case of falls prevention having a wider health effect beyond falls reduction and directly affecting a propagator variable: see arrow from falls prevention efficacy box to propagator progression box in Figure 3.1. </w:t>
      </w:r>
    </w:p>
    <w:p w14:paraId="3D4B0844" w14:textId="6A679FDA" w:rsidR="006338AE" w:rsidRPr="004C78D8" w:rsidRDefault="00C43C56" w:rsidP="00FB7C1F">
      <w:pPr>
        <w:pStyle w:val="Heading3"/>
      </w:pPr>
      <w:bookmarkStart w:id="86" w:name="_Toc111630733"/>
      <w:r w:rsidRPr="004C78D8">
        <w:t xml:space="preserve">3.6.3 </w:t>
      </w:r>
      <w:r w:rsidR="00020E6D" w:rsidRPr="004C78D8">
        <w:t>Frailty and intrinsic variables</w:t>
      </w:r>
      <w:bookmarkEnd w:id="86"/>
    </w:p>
    <w:p w14:paraId="604705DC" w14:textId="5E8A3C66" w:rsidR="003225EA" w:rsidRPr="004C78D8" w:rsidRDefault="00280DDB" w:rsidP="00FB7C1F">
      <w:r w:rsidRPr="004C78D8">
        <w:t xml:space="preserve">This section discusses variables that are intrinsic to older persons (as opposed to extrinsic, environmental factors) (p. 32-33) </w:t>
      </w:r>
      <w:r w:rsidRPr="004C78D8">
        <w:fldChar w:fldCharType="begin"/>
      </w:r>
      <w:r w:rsidRPr="004C78D8">
        <w:instrText xml:space="preserve"> ADDIN EN.CITE &lt;EndNote&gt;&lt;Cite&gt;&lt;Author&gt;World Health Organization&lt;/Author&gt;&lt;Year&gt;2015&lt;/Year&gt;&lt;RecNum&gt;1&lt;/RecNum&gt;&lt;DisplayText&gt;[2]&lt;/DisplayText&gt;&lt;record&gt;&lt;rec-number&gt;1&lt;/rec-number&gt;&lt;foreign-keys&gt;&lt;key app="EN" db-id="tdtrdw9aepptzbefsat599syza29sxsd2wsp" timestamp="1596571129"&gt;1&lt;/key&gt;&lt;/foreign-keys&gt;&lt;ref-type name="Book"&gt;6&lt;/ref-type&gt;&lt;contributors&gt;&lt;authors&gt;&lt;author&gt;World Health Organization,&lt;/author&gt;&lt;/authors&gt;&lt;/contributors&gt;&lt;titles&gt;&lt;title&gt;World Report on Ageing and Health&lt;/title&gt;&lt;/titles&gt;&lt;dates&gt;&lt;year&gt;2015&lt;/year&gt;&lt;/dates&gt;&lt;publisher&gt;World Health Organization&lt;/publisher&gt;&lt;isbn&gt;9241565047&lt;/isbn&gt;&lt;urls&gt;&lt;/urls&gt;&lt;/record&gt;&lt;/Cite&gt;&lt;/EndNote&gt;</w:instrText>
      </w:r>
      <w:r w:rsidRPr="004C78D8">
        <w:fldChar w:fldCharType="separate"/>
      </w:r>
      <w:r w:rsidRPr="004C78D8">
        <w:rPr>
          <w:noProof/>
        </w:rPr>
        <w:t>[2]</w:t>
      </w:r>
      <w:r w:rsidRPr="004C78D8">
        <w:fldChar w:fldCharType="end"/>
      </w:r>
      <w:r w:rsidRPr="004C78D8">
        <w:t xml:space="preserve"> beginning with frailty. </w:t>
      </w:r>
      <w:r w:rsidR="003225EA" w:rsidRPr="004C78D8">
        <w:t xml:space="preserve">There are two main frailty models in literature: phenotypic and cumulative deficit. The phenotypic model tracks the presence of a relatively small number of symptoms that indicate vulnerability in multiple organ systems; it hence generates categorical measures </w:t>
      </w:r>
      <w:r w:rsidR="003225EA" w:rsidRPr="004C78D8">
        <w:fldChar w:fldCharType="begin"/>
      </w:r>
      <w:r w:rsidR="00C630FC" w:rsidRPr="004C78D8">
        <w:instrText xml:space="preserve"> ADDIN EN.CITE &lt;EndNote&gt;&lt;Cite&gt;&lt;Author&gt;Fried&lt;/Author&gt;&lt;Year&gt;2001&lt;/Year&gt;&lt;RecNum&gt;493&lt;/RecNum&gt;&lt;DisplayText&gt;[275]&lt;/DisplayText&gt;&lt;record&gt;&lt;rec-number&gt;493&lt;/rec-number&gt;&lt;foreign-keys&gt;&lt;key app="EN" db-id="tdtrdw9aepptzbefsat599syza29sxsd2wsp" timestamp="1617193159"&gt;493&lt;/key&gt;&lt;/foreign-keys&gt;&lt;ref-type name="Journal Article"&gt;17&lt;/ref-type&gt;&lt;contributors&gt;&lt;authors&gt;&lt;author&gt;Fried, L. P.&lt;/author&gt;&lt;author&gt;Tangen, C. M.&lt;/author&gt;&lt;author&gt;Walston, J.&lt;/author&gt;&lt;author&gt;Newman, A. B.&lt;/author&gt;&lt;author&gt;Hirsch, C.&lt;/author&gt;&lt;author&gt;Gottdiener, J.&lt;/author&gt;&lt;author&gt;Seeman, T.&lt;/author&gt;&lt;author&gt;Tracy, R.&lt;/author&gt;&lt;author&gt;Kop, W. J.&lt;/author&gt;&lt;author&gt;Burke, G.&lt;/author&gt;&lt;author&gt;McBurnie, M. A.&lt;/author&gt;&lt;author&gt;Cardiovascular Health Study Collaborative Research, Group&lt;/author&gt;&lt;/authors&gt;&lt;/contributors&gt;&lt;auth-address&gt;Center on Aging and Health, The John Hopkins Medical Institutions, Baltimore, Maryland 21205, USA. lfried@welch.jhu.edu&lt;/auth-address&gt;&lt;titles&gt;&lt;title&gt;Frailty in older adults: evidence for a phenotype&lt;/title&gt;&lt;secondary-title&gt;J Gerontol A Biol Sci Med Sci&lt;/secondary-title&gt;&lt;/titles&gt;&lt;periodical&gt;&lt;full-title&gt;J Gerontol A Biol Sci Med Sci&lt;/full-title&gt;&lt;/periodical&gt;&lt;pages&gt;M146-56&lt;/pages&gt;&lt;volume&gt;56&lt;/volume&gt;&lt;number&gt;3&lt;/number&gt;&lt;keywords&gt;&lt;keyword&gt;Aged&lt;/keyword&gt;&lt;keyword&gt;Aged, 80 and over&lt;/keyword&gt;&lt;keyword&gt;Cohort Studies&lt;/keyword&gt;&lt;keyword&gt;Disabled Persons&lt;/keyword&gt;&lt;keyword&gt;Fatigue/epidemiology&lt;/keyword&gt;&lt;keyword&gt;Female&lt;/keyword&gt;&lt;keyword&gt;*Frail Elderly&lt;/keyword&gt;&lt;keyword&gt;Humans&lt;/keyword&gt;&lt;keyword&gt;Incidence&lt;/keyword&gt;&lt;keyword&gt;Male&lt;/keyword&gt;&lt;keyword&gt;Muscle Weakness/epidemiology&lt;/keyword&gt;&lt;keyword&gt;Phenotype&lt;/keyword&gt;&lt;keyword&gt;Prevalence&lt;/keyword&gt;&lt;keyword&gt;Sex Distribution&lt;/keyword&gt;&lt;keyword&gt;United States&lt;/keyword&gt;&lt;keyword&gt;Weight Loss&lt;/keyword&gt;&lt;/keywords&gt;&lt;dates&gt;&lt;year&gt;2001&lt;/year&gt;&lt;pub-dates&gt;&lt;date&gt;Mar&lt;/date&gt;&lt;/pub-dates&gt;&lt;/dates&gt;&lt;isbn&gt;1079-5006 (Print)&amp;#xD;1079-5006 (Linking)&lt;/isbn&gt;&lt;accession-num&gt;11253156&lt;/accession-num&gt;&lt;urls&gt;&lt;related-urls&gt;&lt;url&gt;https://www.ncbi.nlm.nih.gov/pubmed/11253156&lt;/url&gt;&lt;/related-urls&gt;&lt;/urls&gt;&lt;/record&gt;&lt;/Cite&gt;&lt;/EndNote&gt;</w:instrText>
      </w:r>
      <w:r w:rsidR="003225EA" w:rsidRPr="004C78D8">
        <w:fldChar w:fldCharType="separate"/>
      </w:r>
      <w:r w:rsidR="00C630FC" w:rsidRPr="004C78D8">
        <w:rPr>
          <w:noProof/>
        </w:rPr>
        <w:t>[275]</w:t>
      </w:r>
      <w:r w:rsidR="003225EA" w:rsidRPr="004C78D8">
        <w:fldChar w:fldCharType="end"/>
      </w:r>
      <w:r w:rsidR="003225EA" w:rsidRPr="004C78D8">
        <w:t xml:space="preserve">. The cumulative deficit model tracks a group of deficits (at least 30) and calculates a frailty index between range 0-1 as a ratio between actual and potential numbers of deficits </w:t>
      </w:r>
      <w:r w:rsidR="003225EA" w:rsidRPr="004C78D8">
        <w:fldChar w:fldCharType="begin"/>
      </w:r>
      <w:r w:rsidR="00513646" w:rsidRPr="004C78D8">
        <w:instrText xml:space="preserve"> ADDIN EN.CITE &lt;EndNote&gt;&lt;Cite&gt;&lt;Author&gt;Mitnitski&lt;/Author&gt;&lt;Year&gt;2001&lt;/Year&gt;&lt;RecNum&gt;424&lt;/RecNum&gt;&lt;DisplayText&gt;[49, 50]&lt;/DisplayText&gt;&lt;record&gt;&lt;rec-number&gt;424&lt;/rec-number&gt;&lt;foreign-keys&gt;&lt;key app="EN" db-id="tdtrdw9aepptzbefsat599syza29sxsd2wsp" timestamp="1616241385"&gt;424&lt;/key&gt;&lt;/foreign-keys&gt;&lt;ref-type name="Journal Article"&gt;17&lt;/ref-type&gt;&lt;contributors&gt;&lt;authors&gt;&lt;author&gt;Mitnitski, Arnold B&lt;/author&gt;&lt;author&gt;Mogilner, Alexander J&lt;/author&gt;&lt;author&gt;Rockwood, Kenneth&lt;/author&gt;&lt;/authors&gt;&lt;/contributors&gt;&lt;titles&gt;&lt;title&gt;Accumulation of deficits as a proxy measure of aging&lt;/title&gt;&lt;secondary-title&gt;The Scientific World Journal&lt;/secondary-title&gt;&lt;/titles&gt;&lt;periodical&gt;&lt;full-title&gt;The Scientific World Journal&lt;/full-title&gt;&lt;/periodical&gt;&lt;pages&gt;323-336&lt;/pages&gt;&lt;volume&gt;1&lt;/volume&gt;&lt;dates&gt;&lt;year&gt;2001&lt;/year&gt;&lt;/dates&gt;&lt;urls&gt;&lt;/urls&gt;&lt;/record&gt;&lt;/Cite&gt;&lt;Cite&gt;&lt;Author&gt;Searle&lt;/Author&gt;&lt;Year&gt;2008&lt;/Year&gt;&lt;RecNum&gt;167&lt;/RecNum&gt;&lt;record&gt;&lt;rec-number&gt;167&lt;/rec-number&gt;&lt;foreign-keys&gt;&lt;key app="EN" db-id="tdtrdw9aepptzbefsat599syza29sxsd2wsp" timestamp="1609275351"&gt;167&lt;/key&gt;&lt;/foreign-keys&gt;&lt;ref-type name="Journal Article"&gt;17&lt;/ref-type&gt;&lt;contributors&gt;&lt;authors&gt;&lt;author&gt;Searle, Samuel D&lt;/author&gt;&lt;author&gt;Mitnitski, Arnold&lt;/author&gt;&lt;author&gt;Gahbauer, Evelyne A&lt;/author&gt;&lt;author&gt;Gill, Thomas M&lt;/author&gt;&lt;author&gt;Rockwood, Kenneth&lt;/author&gt;&lt;/authors&gt;&lt;/contributors&gt;&lt;titles&gt;&lt;title&gt;A standard procedure for creating a frailty index&lt;/title&gt;&lt;secondary-title&gt;BMC geriatrics&lt;/secondary-title&gt;&lt;/titles&gt;&lt;periodical&gt;&lt;full-title&gt;BMC Geriatrics&lt;/full-title&gt;&lt;/periodical&gt;&lt;pages&gt;24&lt;/pages&gt;&lt;volume&gt;8&lt;/volume&gt;&lt;number&gt;1&lt;/number&gt;&lt;dates&gt;&lt;year&gt;2008&lt;/year&gt;&lt;/dates&gt;&lt;isbn&gt;1471-2318&lt;/isbn&gt;&lt;urls&gt;&lt;/urls&gt;&lt;/record&gt;&lt;/Cite&gt;&lt;/EndNote&gt;</w:instrText>
      </w:r>
      <w:r w:rsidR="003225EA" w:rsidRPr="004C78D8">
        <w:fldChar w:fldCharType="separate"/>
      </w:r>
      <w:r w:rsidR="00513646" w:rsidRPr="004C78D8">
        <w:rPr>
          <w:noProof/>
        </w:rPr>
        <w:t>[49, 50]</w:t>
      </w:r>
      <w:r w:rsidR="003225EA" w:rsidRPr="004C78D8">
        <w:fldChar w:fldCharType="end"/>
      </w:r>
      <w:r w:rsidR="003225EA" w:rsidRPr="004C78D8">
        <w:t xml:space="preserve">. Both frailty models </w:t>
      </w:r>
      <w:r w:rsidR="00840B6B" w:rsidRPr="004C78D8">
        <w:t>have independent effects on falls risk</w:t>
      </w:r>
      <w:r w:rsidR="003225EA" w:rsidRPr="004C78D8">
        <w:t xml:space="preserve"> </w:t>
      </w:r>
      <w:r w:rsidR="003C1E4F" w:rsidRPr="004C78D8">
        <w:fldChar w:fldCharType="begin">
          <w:fldData xml:space="preserve">PEVuZE5vdGU+PENpdGU+PEF1dGhvcj5GcmllZDwvQXV0aG9yPjxZZWFyPjIwMDE8L1llYXI+PFJl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</w:fldData>
        </w:fldChar>
      </w:r>
      <w:r w:rsidR="00C630FC" w:rsidRPr="004C78D8">
        <w:instrText xml:space="preserve"> ADDIN EN.CITE </w:instrText>
      </w:r>
      <w:r w:rsidR="00C630FC" w:rsidRPr="004C78D8">
        <w:fldChar w:fldCharType="begin">
          <w:fldData xml:space="preserve">PEVuZE5vdGU+PENpdGU+PEF1dGhvcj5GcmllZDwvQXV0aG9yPjxZZWFyPjIwMDE8L1llYXI+PFJl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</w:fldData>
        </w:fldChar>
      </w:r>
      <w:r w:rsidR="00C630FC" w:rsidRPr="004C78D8">
        <w:instrText xml:space="preserve"> ADDIN EN.CITE.DATA </w:instrText>
      </w:r>
      <w:r w:rsidR="00C630FC" w:rsidRPr="004C78D8">
        <w:fldChar w:fldCharType="end"/>
      </w:r>
      <w:r w:rsidR="003C1E4F" w:rsidRPr="004C78D8">
        <w:fldChar w:fldCharType="separate"/>
      </w:r>
      <w:r w:rsidR="00C630FC" w:rsidRPr="004C78D8">
        <w:rPr>
          <w:noProof/>
        </w:rPr>
        <w:t>[52, 275-277]</w:t>
      </w:r>
      <w:r w:rsidR="003C1E4F" w:rsidRPr="004C78D8">
        <w:fldChar w:fldCharType="end"/>
      </w:r>
      <w:r w:rsidR="00840B6B" w:rsidRPr="004C78D8">
        <w:t xml:space="preserve"> and fall</w:t>
      </w:r>
      <w:r w:rsidR="00E7793A" w:rsidRPr="004C78D8">
        <w:t>s</w:t>
      </w:r>
      <w:r w:rsidR="00840B6B" w:rsidRPr="004C78D8">
        <w:t xml:space="preserve"> severity </w:t>
      </w:r>
      <w:r w:rsidR="00840B6B" w:rsidRPr="004C78D8">
        <w:fldChar w:fldCharType="begin">
          <w:fldData xml:space="preserve">PEVuZE5vdGU+PENpdGU+PEF1dGhvcj5HcmF0emE8L0F1dGhvcj48WWVhcj4yMDE5PC9ZZWFyPjxS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IG9mIHRoZSBVU0E8L2FiYnItMT48L3BlcmlvZGljYWw+PGFsdC1wZXJpb2RpY2FsPjxmdWxsLXRp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IE5hdGlvbmFsIE9zdGVvcG9yb3NpcyBGb3VuZGF0aW9uIG9mIHRoZSBVU0E8L2FiYnItMT48L2Fs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</w:fldData>
        </w:fldChar>
      </w:r>
      <w:r w:rsidR="00C630FC" w:rsidRPr="004C78D8">
        <w:instrText xml:space="preserve"> ADDIN EN.CITE </w:instrText>
      </w:r>
      <w:r w:rsidR="00C630FC" w:rsidRPr="004C78D8">
        <w:fldChar w:fldCharType="begin">
          <w:fldData xml:space="preserve">PEVuZE5vdGU+PENpdGU+PEF1dGhvcj5HcmF0emE8L0F1dGhvcj48WWVhcj4yMDE5PC9ZZWFyPjxS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IE5hdGlvbmFsIE9zdGVvcG9yb3NpcyBGb3VuZGF0aW9uIG9mIHRoZSBVU0E8L2FiYnItMT48L2Fs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</w:fldData>
        </w:fldChar>
      </w:r>
      <w:r w:rsidR="00C630FC" w:rsidRPr="004C78D8">
        <w:instrText xml:space="preserve"> ADDIN EN.CITE.DATA </w:instrText>
      </w:r>
      <w:r w:rsidR="00C630FC" w:rsidRPr="004C78D8">
        <w:fldChar w:fldCharType="end"/>
      </w:r>
      <w:r w:rsidR="00840B6B" w:rsidRPr="004C78D8">
        <w:fldChar w:fldCharType="separate"/>
      </w:r>
      <w:r w:rsidR="00C630FC" w:rsidRPr="004C78D8">
        <w:rPr>
          <w:noProof/>
        </w:rPr>
        <w:t>[130, 278]</w:t>
      </w:r>
      <w:r w:rsidR="00840B6B" w:rsidRPr="004C78D8">
        <w:fldChar w:fldCharType="end"/>
      </w:r>
      <w:r w:rsidR="003C1E4F" w:rsidRPr="004C78D8">
        <w:t xml:space="preserve">; yet statistical comparisons suggest that the cumulative deficit frailty index has greater predictive power </w:t>
      </w:r>
      <w:r w:rsidR="003C1E4F" w:rsidRPr="004C78D8">
        <w:fldChar w:fldCharType="begin">
          <w:fldData xml:space="preserve">PEVuZE5vdGU+PENpdGU+PEF1dGhvcj5MaTwvQXV0aG9yPjxZZWFyPjIwMTU8L1llYXI+PFJlY051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PjxwYWdlcz5lMDEyMDE0NDwvcGFnZXM+PHZvbHVtZT4xMDwvdm9sdW1lPjxudW1iZXI+MzwvbnVt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</w:fldData>
        </w:fldChar>
      </w:r>
      <w:r w:rsidR="00513646" w:rsidRPr="004C78D8">
        <w:instrText xml:space="preserve"> ADDIN EN.CITE </w:instrText>
      </w:r>
      <w:r w:rsidR="00513646" w:rsidRPr="004C78D8">
        <w:fldChar w:fldCharType="begin">
          <w:fldData xml:space="preserve">PEVuZE5vdGU+PENpdGU+PEF1dGhvcj5MaTwvQXV0aG9yPjxZZWFyPjIwMTU8L1llYXI+PFJlY051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</w:fldData>
        </w:fldChar>
      </w:r>
      <w:r w:rsidR="00513646" w:rsidRPr="004C78D8">
        <w:instrText xml:space="preserve"> ADDIN EN.CITE.DATA </w:instrText>
      </w:r>
      <w:r w:rsidR="00513646" w:rsidRPr="004C78D8">
        <w:fldChar w:fldCharType="end"/>
      </w:r>
      <w:r w:rsidR="003C1E4F" w:rsidRPr="004C78D8">
        <w:fldChar w:fldCharType="separate"/>
      </w:r>
      <w:r w:rsidR="00513646" w:rsidRPr="004C78D8">
        <w:rPr>
          <w:noProof/>
        </w:rPr>
        <w:t>[53]</w:t>
      </w:r>
      <w:r w:rsidR="003C1E4F" w:rsidRPr="004C78D8">
        <w:fldChar w:fldCharType="end"/>
      </w:r>
      <w:r w:rsidR="003C1E4F" w:rsidRPr="004C78D8">
        <w:t xml:space="preserve"> (see also primary ELSA analysis in Document 10 in Appendix B). The continuous range of frailty index has a conceptual advantage in that even </w:t>
      </w:r>
      <w:r w:rsidR="00C43508" w:rsidRPr="004C78D8">
        <w:t xml:space="preserve">a </w:t>
      </w:r>
      <w:r w:rsidR="003C1E4F" w:rsidRPr="004C78D8">
        <w:t xml:space="preserve">minute change in </w:t>
      </w:r>
      <w:r w:rsidR="005B0CF9" w:rsidRPr="004C78D8">
        <w:t xml:space="preserve">frailty </w:t>
      </w:r>
      <w:r w:rsidR="00C43508" w:rsidRPr="004C78D8">
        <w:t xml:space="preserve">score </w:t>
      </w:r>
      <w:r w:rsidR="005B0CF9" w:rsidRPr="004C78D8">
        <w:t>contribute</w:t>
      </w:r>
      <w:r w:rsidR="00C43508" w:rsidRPr="004C78D8">
        <w:t>s</w:t>
      </w:r>
      <w:r w:rsidR="005B0CF9" w:rsidRPr="004C78D8">
        <w:t xml:space="preserve"> towards higher falls risk. The </w:t>
      </w:r>
      <w:r w:rsidR="00C43508" w:rsidRPr="004C78D8">
        <w:t xml:space="preserve">score </w:t>
      </w:r>
      <w:r w:rsidR="005B0CF9" w:rsidRPr="004C78D8">
        <w:t xml:space="preserve">change </w:t>
      </w:r>
      <w:r w:rsidR="002A0AB4" w:rsidRPr="004C78D8">
        <w:t>propagate</w:t>
      </w:r>
      <w:r w:rsidR="00735BF2" w:rsidRPr="004C78D8">
        <w:t>s</w:t>
      </w:r>
      <w:r w:rsidR="00C43508" w:rsidRPr="004C78D8">
        <w:t xml:space="preserve"> the secondary effects of falls </w:t>
      </w:r>
      <w:r w:rsidR="004D1245" w:rsidRPr="004C78D8">
        <w:t xml:space="preserve">manifesting in terms of higher all-cause healthcare costs </w:t>
      </w:r>
      <w:r w:rsidR="004D1245" w:rsidRPr="004C78D8">
        <w:fldChar w:fldCharType="begin">
          <w:fldData xml:space="preserve">PEVuZE5vdGU+PENpdGU+PEF1dGhvcj5IYW48L0F1dGhvcj48WWVhcj4yMDE5PC9ZZWFyPjxSZWNO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</w:fldData>
        </w:fldChar>
      </w:r>
      <w:r w:rsidR="00C630FC" w:rsidRPr="004C78D8">
        <w:instrText xml:space="preserve"> ADDIN EN.CITE </w:instrText>
      </w:r>
      <w:r w:rsidR="00C630FC" w:rsidRPr="004C78D8">
        <w:fldChar w:fldCharType="begin">
          <w:fldData xml:space="preserve">PEVuZE5vdGU+PENpdGU+PEF1dGhvcj5IYW48L0F1dGhvcj48WWVhcj4yMDE5PC9ZZWFyPjxSZWNO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</w:fldData>
        </w:fldChar>
      </w:r>
      <w:r w:rsidR="00C630FC" w:rsidRPr="004C78D8">
        <w:instrText xml:space="preserve"> ADDIN EN.CITE.DATA </w:instrText>
      </w:r>
      <w:r w:rsidR="00C630FC" w:rsidRPr="004C78D8">
        <w:fldChar w:fldCharType="end"/>
      </w:r>
      <w:r w:rsidR="004D1245" w:rsidRPr="004C78D8">
        <w:fldChar w:fldCharType="separate"/>
      </w:r>
      <w:r w:rsidR="00C630FC" w:rsidRPr="004C78D8">
        <w:rPr>
          <w:noProof/>
        </w:rPr>
        <w:t>[279, 280]</w:t>
      </w:r>
      <w:r w:rsidR="004D1245" w:rsidRPr="004C78D8">
        <w:fldChar w:fldCharType="end"/>
      </w:r>
      <w:r w:rsidR="004D1245" w:rsidRPr="004C78D8">
        <w:t xml:space="preserve">, LTC admissions </w:t>
      </w:r>
      <w:r w:rsidR="004D1245" w:rsidRPr="004C78D8">
        <w:fldChar w:fldCharType="begin">
          <w:fldData xml:space="preserve">PEVuZE5vdGU+PENpdGU+PEF1dGhvcj5DbGVnZzwvQXV0aG9yPjxZZWFyPjIwMTY8L1llYXI+PFJl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</w:fldData>
        </w:fldChar>
      </w:r>
      <w:r w:rsidR="00513646" w:rsidRPr="004C78D8">
        <w:instrText xml:space="preserve"> ADDIN EN.CITE </w:instrText>
      </w:r>
      <w:r w:rsidR="00513646" w:rsidRPr="004C78D8">
        <w:fldChar w:fldCharType="begin">
          <w:fldData xml:space="preserve">PEVuZE5vdGU+PENpdGU+PEF1dGhvcj5DbGVnZzwvQXV0aG9yPjxZZWFyPjIwMTY8L1llYXI+PFJl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</w:fldData>
        </w:fldChar>
      </w:r>
      <w:r w:rsidR="00513646" w:rsidRPr="004C78D8">
        <w:instrText xml:space="preserve"> ADDIN EN.CITE.DATA </w:instrText>
      </w:r>
      <w:r w:rsidR="00513646" w:rsidRPr="004C78D8">
        <w:fldChar w:fldCharType="end"/>
      </w:r>
      <w:r w:rsidR="004D1245" w:rsidRPr="004C78D8">
        <w:fldChar w:fldCharType="separate"/>
      </w:r>
      <w:r w:rsidR="00513646" w:rsidRPr="004C78D8">
        <w:rPr>
          <w:noProof/>
        </w:rPr>
        <w:t>[47]</w:t>
      </w:r>
      <w:r w:rsidR="004D1245" w:rsidRPr="004C78D8">
        <w:fldChar w:fldCharType="end"/>
      </w:r>
      <w:r w:rsidR="00840B6B" w:rsidRPr="004C78D8">
        <w:t>,</w:t>
      </w:r>
      <w:r w:rsidR="004D1245" w:rsidRPr="004C78D8">
        <w:t xml:space="preserve"> excess mortality </w:t>
      </w:r>
      <w:r w:rsidR="004D1245" w:rsidRPr="004C78D8">
        <w:fldChar w:fldCharType="begin">
          <w:fldData xml:space="preserve">PEVuZE5vdGU+PENpdGU+PEF1dGhvcj5TaGk8L0F1dGhvcj48WWVhcj4yMDIwPC9ZZWFyPjxSZWNO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</w:fldData>
        </w:fldChar>
      </w:r>
      <w:r w:rsidR="00C630FC" w:rsidRPr="004C78D8">
        <w:instrText xml:space="preserve"> ADDIN EN.CITE </w:instrText>
      </w:r>
      <w:r w:rsidR="00C630FC" w:rsidRPr="004C78D8">
        <w:fldChar w:fldCharType="begin">
          <w:fldData xml:space="preserve">PEVuZE5vdGU+PENpdGU+PEF1dGhvcj5TaGk8L0F1dGhvcj48WWVhcj4yMDIwPC9ZZWFyPjxSZWNO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</w:fldData>
        </w:fldChar>
      </w:r>
      <w:r w:rsidR="00C630FC" w:rsidRPr="004C78D8">
        <w:instrText xml:space="preserve"> ADDIN EN.CITE.DATA </w:instrText>
      </w:r>
      <w:r w:rsidR="00C630FC" w:rsidRPr="004C78D8">
        <w:fldChar w:fldCharType="end"/>
      </w:r>
      <w:r w:rsidR="004D1245" w:rsidRPr="004C78D8">
        <w:fldChar w:fldCharType="separate"/>
      </w:r>
      <w:r w:rsidR="00C630FC" w:rsidRPr="004C78D8">
        <w:rPr>
          <w:noProof/>
        </w:rPr>
        <w:t>[47, 281]</w:t>
      </w:r>
      <w:r w:rsidR="004D1245" w:rsidRPr="004C78D8">
        <w:fldChar w:fldCharType="end"/>
      </w:r>
      <w:r w:rsidR="004E5145" w:rsidRPr="004C78D8">
        <w:t>,</w:t>
      </w:r>
      <w:r w:rsidR="00840B6B" w:rsidRPr="004C78D8">
        <w:t xml:space="preserve"> and non-health outcomes such as informal caregiver burden </w:t>
      </w:r>
      <w:r w:rsidR="00840B6B" w:rsidRPr="004C78D8">
        <w:fldChar w:fldCharType="begin"/>
      </w:r>
      <w:r w:rsidR="00C630FC" w:rsidRPr="004C78D8">
        <w:instrText xml:space="preserve"> ADDIN EN.CITE &lt;EndNote&gt;&lt;Cite&gt;&lt;Author&gt;Ringer&lt;/Author&gt;&lt;Year&gt;2016&lt;/Year&gt;&lt;RecNum&gt;745&lt;/RecNum&gt;&lt;DisplayText&gt;[282]&lt;/DisplayText&gt;&lt;record&gt;&lt;rec-number&gt;745&lt;/rec-number&gt;&lt;foreign-keys&gt;&lt;key app="EN" db-id="tdtrdw9aepptzbefsat599syza29sxsd2wsp" timestamp="1636838963"&gt;745&lt;/key&gt;&lt;/foreign-keys&gt;&lt;ref-type name="Journal Article"&gt;17&lt;/ref-type&gt;&lt;contributors&gt;&lt;authors&gt;&lt;author&gt;Ringer, Thom J&lt;/author&gt;&lt;author&gt;Hazzan, Afeez Abiola&lt;/author&gt;&lt;author&gt;Kennedy, Courtney C&lt;/author&gt;&lt;author&gt;Karampatos, Sarah&lt;/author&gt;&lt;author&gt;Patterson, Christopher&lt;/author&gt;&lt;author&gt;Marr, Sharon&lt;/author&gt;&lt;author&gt;Misiaszek, Brian&lt;/author&gt;&lt;author&gt;Woo, Tricia&lt;/author&gt;&lt;author&gt;Ioannidis, George&lt;/author&gt;&lt;author&gt;Papaioannou, Alexandra&lt;/author&gt;&lt;/authors&gt;&lt;/contributors&gt;&lt;titles&gt;&lt;title&gt;Care recipients’ physical frailty is independently associated with subjective burden in informal caregivers in the community setting: a cross-sectional study&lt;/title&gt;&lt;secondary-title&gt;BMC geriatrics&lt;/secondary-title&gt;&lt;/titles&gt;&lt;periodical&gt;&lt;full-title&gt;BMC Geriatrics&lt;/full-title&gt;&lt;/periodical&gt;&lt;pages&gt;1-5&lt;/pages&gt;&lt;volume&gt;16&lt;/volume&gt;&lt;number&gt;1&lt;/number&gt;&lt;dates&gt;&lt;year&gt;2016&lt;/year&gt;&lt;/dates&gt;&lt;isbn&gt;1471-2318&lt;/isbn&gt;&lt;urls&gt;&lt;/urls&gt;&lt;/record&gt;&lt;/Cite&gt;&lt;/EndNote&gt;</w:instrText>
      </w:r>
      <w:r w:rsidR="00840B6B" w:rsidRPr="004C78D8">
        <w:fldChar w:fldCharType="separate"/>
      </w:r>
      <w:r w:rsidR="00C630FC" w:rsidRPr="004C78D8">
        <w:rPr>
          <w:noProof/>
        </w:rPr>
        <w:t>[282]</w:t>
      </w:r>
      <w:r w:rsidR="00840B6B" w:rsidRPr="004C78D8">
        <w:fldChar w:fldCharType="end"/>
      </w:r>
      <w:r w:rsidR="00C43508" w:rsidRPr="004C78D8">
        <w:t>.</w:t>
      </w:r>
      <w:r w:rsidR="00AD4161" w:rsidRPr="004C78D8">
        <w:t xml:space="preserve"> </w:t>
      </w:r>
      <w:r w:rsidR="00767ED9" w:rsidRPr="004C78D8">
        <w:t xml:space="preserve">Frailty is an ideal tool </w:t>
      </w:r>
      <w:r w:rsidR="00735BF2" w:rsidRPr="004C78D8">
        <w:t>for</w:t>
      </w:r>
      <w:r w:rsidR="00767ED9" w:rsidRPr="004C78D8">
        <w:t xml:space="preserve"> characteris</w:t>
      </w:r>
      <w:r w:rsidR="00735BF2" w:rsidRPr="004C78D8">
        <w:t>ing</w:t>
      </w:r>
      <w:r w:rsidR="00767ED9" w:rsidRPr="004C78D8">
        <w:t xml:space="preserve"> the heterogeneity in background health utilities and care costs</w:t>
      </w:r>
      <w:r w:rsidR="008B5E87" w:rsidRPr="004C78D8">
        <w:t xml:space="preserve"> beyond sociodemographic factors </w:t>
      </w:r>
      <w:r w:rsidR="008B5E87" w:rsidRPr="004C78D8">
        <w:fldChar w:fldCharType="begin"/>
      </w:r>
      <w:r w:rsidR="00C630FC" w:rsidRPr="004C78D8">
        <w:instrText xml:space="preserve"> ADDIN EN.CITE &lt;EndNote&gt;&lt;Cite&gt;&lt;Author&gt;Kim&lt;/Author&gt;&lt;Year&gt;2020&lt;/Year&gt;&lt;RecNum&gt;48&lt;/RecNum&gt;&lt;DisplayText&gt;[257, 279]&lt;/DisplayText&gt;&lt;record&gt;&lt;rec-number&gt;48&lt;/rec-number&gt;&lt;foreign-keys&gt;&lt;key app="EN" db-id="tdtrdw9aepptzbefsat599syza29sxsd2wsp" timestamp="1596834607"&gt;48&lt;/key&gt;&lt;/foreign-keys&gt;&lt;ref-type name="Journal Article"&gt;17&lt;/ref-type&gt;&lt;contributors&gt;&lt;authors&gt;&lt;author&gt;Kim, Moon Jung&lt;/author&gt;&lt;author&gt;Park, Saengryeol&lt;/author&gt;&lt;author&gt;Jung, Young-il&lt;/author&gt;&lt;author&gt;Kim, Seon-Ha&lt;/author&gt;&lt;author&gt;Oh, In-Hwan&lt;/author&gt;&lt;/authors&gt;&lt;/contributors&gt;&lt;titles&gt;&lt;title&gt;Exploring health-related quality of life and frailty in older adults based on the Korean Frailty and Aging Cohort Study&lt;/title&gt;&lt;secondary-title&gt;Quality of Life Research&lt;/secondary-title&gt;&lt;/titles&gt;&lt;periodical&gt;&lt;full-title&gt;Quality of Life Research&lt;/full-title&gt;&lt;/periodical&gt;&lt;pages&gt;1-9&lt;/pages&gt;&lt;dates&gt;&lt;year&gt;2020&lt;/year&gt;&lt;/dates&gt;&lt;isbn&gt;1573-2649&lt;/isbn&gt;&lt;urls&gt;&lt;/urls&gt;&lt;/record&gt;&lt;/Cite&gt;&lt;Cite&gt;&lt;Author&gt;Han&lt;/Author&gt;&lt;Year&gt;2019&lt;/Year&gt;&lt;RecNum&gt;134&lt;/RecNum&gt;&lt;record&gt;&lt;rec-number&gt;134&lt;/rec-number&gt;&lt;foreign-keys&gt;&lt;key app="EN" db-id="tdtrdw9aepptzbefsat599syza29sxsd2wsp" timestamp="1599642373"&gt;134&lt;/key&gt;&lt;/foreign-keys&gt;&lt;ref-type name="Journal Article"&gt;17&lt;/ref-type&gt;&lt;contributors&gt;&lt;authors&gt;&lt;author&gt;Han, Lu&lt;/author&gt;&lt;author&gt;Clegg, Andrew&lt;/author&gt;&lt;author&gt;Doran, Tim&lt;/author&gt;&lt;author&gt;Fraser, Lorna&lt;/author&gt;&lt;/authors&gt;&lt;/contributors&gt;&lt;titles&gt;&lt;title&gt;The impact of frailty on healthcare resource use: a longitudinal analysis using the Clinical Practice Research Datalink in England&lt;/title&gt;&lt;secondary-title&gt;Age and Ageing&lt;/secondary-title&gt;&lt;/titles&gt;&lt;periodical&gt;&lt;full-title&gt;Age and ageing&lt;/full-title&gt;&lt;/periodical&gt;&lt;pages&gt;665-671&lt;/pages&gt;&lt;volume&gt;48&lt;/volume&gt;&lt;number&gt;5&lt;/number&gt;&lt;dates&gt;&lt;year&gt;2019&lt;/year&gt;&lt;/dates&gt;&lt;isbn&gt;0002-0729&lt;/isbn&gt;&lt;urls&gt;&lt;/urls&gt;&lt;/record&gt;&lt;/Cite&gt;&lt;/EndNote&gt;</w:instrText>
      </w:r>
      <w:r w:rsidR="008B5E87" w:rsidRPr="004C78D8">
        <w:fldChar w:fldCharType="separate"/>
      </w:r>
      <w:r w:rsidR="00C630FC" w:rsidRPr="004C78D8">
        <w:rPr>
          <w:noProof/>
        </w:rPr>
        <w:t>[257, 279]</w:t>
      </w:r>
      <w:r w:rsidR="008B5E87" w:rsidRPr="004C78D8">
        <w:fldChar w:fldCharType="end"/>
      </w:r>
      <w:r w:rsidR="008B5E87" w:rsidRPr="004C78D8">
        <w:t xml:space="preserve">. </w:t>
      </w:r>
      <w:r w:rsidR="00976389" w:rsidRPr="004C78D8">
        <w:lastRenderedPageBreak/>
        <w:t xml:space="preserve">Frailty may serve as the health severity </w:t>
      </w:r>
      <w:r w:rsidR="005056A1" w:rsidRPr="004C78D8">
        <w:t xml:space="preserve">characteristic </w:t>
      </w:r>
      <w:r w:rsidR="00976389" w:rsidRPr="004C78D8">
        <w:t xml:space="preserve">with priority setting implications </w:t>
      </w:r>
      <w:r w:rsidR="00976389" w:rsidRPr="004C78D8">
        <w:fldChar w:fldCharType="begin"/>
      </w:r>
      <w:r w:rsidR="00513646" w:rsidRPr="004C78D8">
        <w:instrText xml:space="preserve"> ADDIN EN.CITE &lt;EndNote&gt;&lt;Cite&gt;&lt;Author&gt;Norheim&lt;/Author&gt;&lt;Year&gt;2014&lt;/Year&gt;&lt;RecNum&gt;4&lt;/RecNum&gt;&lt;DisplayText&gt;[71]&lt;/DisplayText&gt;&lt;record&gt;&lt;rec-number&gt;4&lt;/rec-number&gt;&lt;foreign-keys&gt;&lt;key app="EN" db-id="tdtrdw9aepptzbefsat599syza29sxsd2wsp" timestamp="1596571466"&gt;4&lt;/key&gt;&lt;/foreign-keys&gt;&lt;ref-type name="Journal Article"&gt;17&lt;/ref-type&gt;&lt;contributors&gt;&lt;authors&gt;&lt;author&gt;Norheim, Ole F&lt;/author&gt;&lt;author&gt;Baltussen, Rob&lt;/author&gt;&lt;author&gt;Johri, Mira&lt;/author&gt;&lt;author&gt;Chisholm, Dan&lt;/author&gt;&lt;author&gt;Nord, Erik&lt;/author&gt;&lt;author&gt;Brock, DanW&lt;/author&gt;&lt;author&gt;Carlsson, Per&lt;/author&gt;&lt;author&gt;Cookson, Richard&lt;/author&gt;&lt;author&gt;Daniels, Norman&lt;/author&gt;&lt;author&gt;Danis, Marion&lt;/author&gt;&lt;/authors&gt;&lt;/contributors&gt;&lt;titles&gt;&lt;title&gt;Guidance on priority setting in health care (GPS-Health): the inclusion of equity criteria not captured by cost-effectiveness analysis&lt;/title&gt;&lt;secondary-title&gt;Cost Effectiveness and Resource Allocation&lt;/secondary-title&gt;&lt;/titles&gt;&lt;periodical&gt;&lt;full-title&gt;Cost Effectiveness and Resource Allocation&lt;/full-title&gt;&lt;/periodical&gt;&lt;pages&gt;18&lt;/pages&gt;&lt;volume&gt;12&lt;/volume&gt;&lt;number&gt;1&lt;/number&gt;&lt;dates&gt;&lt;year&gt;2014&lt;/year&gt;&lt;/dates&gt;&lt;isbn&gt;1478-7547&lt;/isbn&gt;&lt;urls&gt;&lt;/urls&gt;&lt;/record&gt;&lt;/Cite&gt;&lt;/EndNote&gt;</w:instrText>
      </w:r>
      <w:r w:rsidR="00976389" w:rsidRPr="004C78D8">
        <w:fldChar w:fldCharType="separate"/>
      </w:r>
      <w:r w:rsidR="00513646" w:rsidRPr="004C78D8">
        <w:rPr>
          <w:noProof/>
        </w:rPr>
        <w:t>[71]</w:t>
      </w:r>
      <w:r w:rsidR="00976389" w:rsidRPr="004C78D8">
        <w:fldChar w:fldCharType="end"/>
      </w:r>
      <w:r w:rsidR="00976389" w:rsidRPr="004C78D8">
        <w:t>; it</w:t>
      </w:r>
      <w:r w:rsidR="00735BF2" w:rsidRPr="004C78D8">
        <w:t xml:space="preserve"> is moreover closely associated</w:t>
      </w:r>
      <w:r w:rsidR="00976389" w:rsidRPr="004C78D8">
        <w:t xml:space="preserve"> with soci</w:t>
      </w:r>
      <w:r w:rsidRPr="004C78D8">
        <w:t>al</w:t>
      </w:r>
      <w:r w:rsidR="00976389" w:rsidRPr="004C78D8">
        <w:t xml:space="preserve"> deprivation </w:t>
      </w:r>
      <w:r w:rsidR="00976389" w:rsidRPr="004C78D8">
        <w:fldChar w:fldCharType="begin">
          <w:fldData xml:space="preserve">PEVuZE5vdGU+PENpdGU+PEF1dGhvcj5DbGFyazwvQXV0aG9yPjxZZWFyPjIwMTk8L1llYXI+PFJl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</w:fldData>
        </w:fldChar>
      </w:r>
      <w:r w:rsidR="00513646" w:rsidRPr="004C78D8">
        <w:instrText xml:space="preserve"> ADDIN EN.CITE </w:instrText>
      </w:r>
      <w:r w:rsidR="00513646" w:rsidRPr="004C78D8">
        <w:fldChar w:fldCharType="begin">
          <w:fldData xml:space="preserve">PEVuZE5vdGU+PENpdGU+PEF1dGhvcj5DbGFyazwvQXV0aG9yPjxZZWFyPjIwMTk8L1llYXI+PFJl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</w:fldData>
        </w:fldChar>
      </w:r>
      <w:r w:rsidR="00513646" w:rsidRPr="004C78D8">
        <w:instrText xml:space="preserve"> ADDIN EN.CITE.DATA </w:instrText>
      </w:r>
      <w:r w:rsidR="00513646" w:rsidRPr="004C78D8">
        <w:fldChar w:fldCharType="end"/>
      </w:r>
      <w:r w:rsidR="00976389" w:rsidRPr="004C78D8">
        <w:fldChar w:fldCharType="separate"/>
      </w:r>
      <w:r w:rsidR="00513646" w:rsidRPr="004C78D8">
        <w:rPr>
          <w:noProof/>
        </w:rPr>
        <w:t>[48, 137]</w:t>
      </w:r>
      <w:r w:rsidR="00976389" w:rsidRPr="004C78D8">
        <w:fldChar w:fldCharType="end"/>
      </w:r>
      <w:r w:rsidR="00976389" w:rsidRPr="004C78D8">
        <w:t xml:space="preserve"> </w:t>
      </w:r>
      <w:r w:rsidR="00735BF2" w:rsidRPr="004C78D8">
        <w:t>and hence</w:t>
      </w:r>
      <w:r w:rsidR="00805ABF" w:rsidRPr="004C78D8">
        <w:t xml:space="preserve"> provide some information on social inequities of health. It can </w:t>
      </w:r>
      <w:r w:rsidR="00735BF2" w:rsidRPr="004C78D8">
        <w:t>enable</w:t>
      </w:r>
      <w:r w:rsidR="00805ABF" w:rsidRPr="004C78D8">
        <w:t xml:space="preserve"> targeting strategies as done recently in Sheffield </w:t>
      </w:r>
      <w:r w:rsidR="00896C0B" w:rsidRPr="004C78D8">
        <w:fldChar w:fldCharType="begin"/>
      </w:r>
      <w:r w:rsidR="00C630FC" w:rsidRPr="004C78D8">
        <w:instrText xml:space="preserve"> ADDIN EN.CITE &lt;EndNote&gt;&lt;Cite&gt;&lt;Author&gt;Sheffield Teaching Hospitals&lt;/Author&gt;&lt;Year&gt;2019&lt;/Year&gt;&lt;RecNum&gt;552&lt;/RecNum&gt;&lt;DisplayText&gt;[209]&lt;/DisplayText&gt;&lt;record&gt;&lt;rec-number&gt;552&lt;/rec-number&gt;&lt;foreign-keys&gt;&lt;key app="EN" db-id="tdtrdw9aepptzbefsat599syza29sxsd2wsp" timestamp="1619256769"&gt;552&lt;/key&gt;&lt;/foreign-keys&gt;&lt;ref-type name="Report"&gt;27&lt;/ref-type&gt;&lt;contributors&gt;&lt;authors&gt;&lt;author&gt;Sheffield Teaching Hospitals,&lt;/author&gt;&lt;/authors&gt;&lt;/contributors&gt;&lt;titles&gt;&lt;title&gt;Perfect Patient Pathway Test Bed Overview Report&lt;/title&gt;&lt;/titles&gt;&lt;dates&gt;&lt;year&gt;2019&lt;/year&gt;&lt;/dates&gt;&lt;publisher&gt;Sheffield Teaching Hospitals NHS Foundation Trust&lt;/publisher&gt;&lt;urls&gt;&lt;related-urls&gt;&lt;url&gt;www.ppptestbed.nhs.uk&lt;/url&gt;&lt;/related-urls&gt;&lt;/urls&gt;&lt;/record&gt;&lt;/Cite&gt;&lt;/EndNote&gt;</w:instrText>
      </w:r>
      <w:r w:rsidR="00896C0B" w:rsidRPr="004C78D8">
        <w:fldChar w:fldCharType="separate"/>
      </w:r>
      <w:r w:rsidR="00C630FC" w:rsidRPr="004C78D8">
        <w:rPr>
          <w:noProof/>
        </w:rPr>
        <w:t>[209]</w:t>
      </w:r>
      <w:r w:rsidR="00896C0B" w:rsidRPr="004C78D8">
        <w:fldChar w:fldCharType="end"/>
      </w:r>
      <w:r w:rsidR="00896C0B" w:rsidRPr="004C78D8">
        <w:t xml:space="preserve">. Overall, continuous frailty index </w:t>
      </w:r>
      <w:r w:rsidR="00735BF2" w:rsidRPr="004C78D8">
        <w:t>is</w:t>
      </w:r>
      <w:r w:rsidR="00896C0B" w:rsidRPr="004C78D8">
        <w:t xml:space="preserve"> a key </w:t>
      </w:r>
      <w:r w:rsidR="00735BF2" w:rsidRPr="004C78D8">
        <w:t xml:space="preserve">causal </w:t>
      </w:r>
      <w:r w:rsidR="00896C0B" w:rsidRPr="004C78D8">
        <w:t xml:space="preserve">variable with </w:t>
      </w:r>
      <w:r w:rsidR="00A75555" w:rsidRPr="004C78D8">
        <w:t>priority setting implications</w:t>
      </w:r>
      <w:r w:rsidR="00896C0B" w:rsidRPr="004C78D8">
        <w:t>.</w:t>
      </w:r>
    </w:p>
    <w:p w14:paraId="478CDB26" w14:textId="613FB7C8" w:rsidR="00280DDB" w:rsidRPr="004C78D8" w:rsidRDefault="003641FD" w:rsidP="00FB7C1F">
      <w:r w:rsidRPr="004C78D8">
        <w:t>The second intrinsic variable of importance is gait and balance</w:t>
      </w:r>
      <w:r w:rsidR="0054567D" w:rsidRPr="004C78D8">
        <w:t xml:space="preserve">; </w:t>
      </w:r>
      <w:r w:rsidR="00FF332B" w:rsidRPr="004C78D8">
        <w:t>their</w:t>
      </w:r>
      <w:r w:rsidR="0019013F" w:rsidRPr="004C78D8">
        <w:t xml:space="preserve"> impairments are well-established falls risk factors </w:t>
      </w:r>
      <w:r w:rsidR="00FF332B" w:rsidRPr="004C78D8">
        <w:t xml:space="preserve">highlighted by NICE CG161 </w:t>
      </w:r>
      <w:r w:rsidR="0019013F" w:rsidRPr="004C78D8">
        <w:fldChar w:fldCharType="begin"/>
      </w:r>
      <w:r w:rsidR="00513646" w:rsidRPr="004C78D8">
        <w:instrText xml:space="preserve"> ADDIN EN.CITE &lt;EndNote&gt;&lt;Cite&gt;&lt;Author&gt;Tinetti&lt;/Author&gt;&lt;Year&gt;2010&lt;/Year&gt;&lt;RecNum&gt;421&lt;/RecNum&gt;&lt;DisplayText&gt;[13, 42]&lt;/DisplayText&gt;&lt;record&gt;&lt;rec-number&gt;421&lt;/rec-number&gt;&lt;foreign-keys&gt;&lt;key app="EN" db-id="tdtrdw9aepptzbefsat599syza29sxsd2wsp" timestamp="1616240914"&gt;421&lt;/key&gt;&lt;/foreign-keys&gt;&lt;ref-type name="Journal Article"&gt;17&lt;/ref-type&gt;&lt;contributors&gt;&lt;authors&gt;&lt;author&gt;Tinetti, Mary E&lt;/author&gt;&lt;author&gt;Kumar, Chandrika&lt;/author&gt;&lt;/authors&gt;&lt;/contributors&gt;&lt;titles&gt;&lt;title&gt;The patient who falls: “It&amp;apos;s always a trade-off”&lt;/title&gt;&lt;secondary-title&gt;JAMA&lt;/secondary-title&gt;&lt;/titles&gt;&lt;periodical&gt;&lt;full-title&gt;Jama&lt;/full-title&gt;&lt;/periodical&gt;&lt;pages&gt;258-266&lt;/pages&gt;&lt;volume&gt;303&lt;/volume&gt;&lt;number&gt;3&lt;/number&gt;&lt;dates&gt;&lt;year&gt;2010&lt;/year&gt;&lt;/dates&gt;&lt;isbn&gt;0098-7484&lt;/isbn&gt;&lt;urls&gt;&lt;/urls&gt;&lt;/record&gt;&lt;/Cite&gt;&lt;Cite&gt;&lt;Author&gt;National Institute for Health and Care Excellence&lt;/Author&gt;&lt;Year&gt;2013&lt;/Year&gt;&lt;RecNum&gt;13&lt;/RecNum&gt;&lt;record&gt;&lt;rec-number&gt;13&lt;/rec-number&gt;&lt;foreign-keys&gt;&lt;key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0019013F" w:rsidRPr="004C78D8">
        <w:fldChar w:fldCharType="separate"/>
      </w:r>
      <w:r w:rsidR="00513646" w:rsidRPr="004C78D8">
        <w:rPr>
          <w:noProof/>
        </w:rPr>
        <w:t>[13, 42]</w:t>
      </w:r>
      <w:r w:rsidR="0019013F" w:rsidRPr="004C78D8">
        <w:fldChar w:fldCharType="end"/>
      </w:r>
      <w:r w:rsidR="0041439C" w:rsidRPr="004C78D8">
        <w:t xml:space="preserve">. They are also outcomes of serious falls </w:t>
      </w:r>
      <w:r w:rsidR="00B70966" w:rsidRPr="004C78D8">
        <w:t xml:space="preserve">that establish a feedback loop between falls and falls risk </w:t>
      </w:r>
      <w:r w:rsidR="00B70966" w:rsidRPr="004C78D8">
        <w:fldChar w:fldCharType="begin"/>
      </w:r>
      <w:r w:rsidR="00C630FC" w:rsidRPr="004C78D8">
        <w:instrText xml:space="preserve"> ADDIN EN.CITE &lt;EndNote&gt;&lt;Cite&gt;&lt;Author&gt;Shumway-Cook&lt;/Author&gt;&lt;Year&gt;2005&lt;/Year&gt;&lt;RecNum&gt;747&lt;/RecNum&gt;&lt;DisplayText&gt;[283, 284]&lt;/DisplayText&gt;&lt;record&gt;&lt;rec-number&gt;747&lt;/rec-number&gt;&lt;foreign-keys&gt;&lt;key app="EN" db-id="tdtrdw9aepptzbefsat599syza29sxsd2wsp" timestamp="1636894484"&gt;747&lt;/key&gt;&lt;/foreign-keys&gt;&lt;ref-type name="Journal Article"&gt;17&lt;/ref-type&gt;&lt;contributors&gt;&lt;authors&gt;&lt;author&gt;Shumway-Cook, Anne&lt;/author&gt;&lt;author&gt;Ciol, Marcia A&lt;/author&gt;&lt;author&gt;Gruber, William&lt;/author&gt;&lt;author&gt;Robinson, Cynthia&lt;/author&gt;&lt;/authors&gt;&lt;/contributors&gt;&lt;titles&gt;&lt;title&gt;Incidence of and risk factors for falls following hip fracture in community-dwelling older adults&lt;/title&gt;&lt;secondary-title&gt;Physical Therapy&lt;/secondary-title&gt;&lt;/titles&gt;&lt;periodical&gt;&lt;full-title&gt;Physical Therapy&lt;/full-title&gt;&lt;/periodical&gt;&lt;pages&gt;648-655&lt;/pages&gt;&lt;volume&gt;85&lt;/volume&gt;&lt;number&gt;7&lt;/number&gt;&lt;dates&gt;&lt;year&gt;2005&lt;/year&gt;&lt;/dates&gt;&lt;isbn&gt;0031-9023&lt;/isbn&gt;&lt;urls&gt;&lt;/urls&gt;&lt;/record&gt;&lt;/Cite&gt;&lt;Cite&gt;&lt;Author&gt;Kristensen&lt;/Author&gt;&lt;Year&gt;2007&lt;/Year&gt;&lt;RecNum&gt;748&lt;/RecNum&gt;&lt;record&gt;&lt;rec-number&gt;748&lt;/rec-number&gt;&lt;foreign-keys&gt;&lt;key app="EN" db-id="tdtrdw9aepptzbefsat599syza29sxsd2wsp" timestamp="1636894569"&gt;748&lt;/key&gt;&lt;/foreign-keys&gt;&lt;ref-type name="Journal Article"&gt;17&lt;/ref-type&gt;&lt;contributors&gt;&lt;authors&gt;&lt;author&gt;Kristensen, Morten T&lt;/author&gt;&lt;author&gt;Foss, Nicolai B&lt;/author&gt;&lt;author&gt;Kehlet, Henrik&lt;/author&gt;&lt;/authors&gt;&lt;/contributors&gt;&lt;titles&gt;&lt;title&gt;Timed “up &amp;amp; go” test as a predictor of falls within 6 months after hip fracture surgery&lt;/title&gt;&lt;secondary-title&gt;Physical therapy&lt;/secondary-title&gt;&lt;/titles&gt;&lt;periodical&gt;&lt;full-title&gt;Physical Therapy&lt;/full-title&gt;&lt;/periodical&gt;&lt;pages&gt;24-30&lt;/pages&gt;&lt;volume&gt;87&lt;/volume&gt;&lt;number&gt;1&lt;/number&gt;&lt;dates&gt;&lt;year&gt;2007&lt;/year&gt;&lt;/dates&gt;&lt;isbn&gt;0031-9023&lt;/isbn&gt;&lt;urls&gt;&lt;/urls&gt;&lt;/record&gt;&lt;/Cite&gt;&lt;/EndNote&gt;</w:instrText>
      </w:r>
      <w:r w:rsidR="00B70966" w:rsidRPr="004C78D8">
        <w:fldChar w:fldCharType="separate"/>
      </w:r>
      <w:r w:rsidR="00C630FC" w:rsidRPr="004C78D8">
        <w:rPr>
          <w:noProof/>
        </w:rPr>
        <w:t>[283, 284]</w:t>
      </w:r>
      <w:r w:rsidR="00B70966" w:rsidRPr="004C78D8">
        <w:fldChar w:fldCharType="end"/>
      </w:r>
      <w:r w:rsidR="00B70966" w:rsidRPr="004C78D8">
        <w:t xml:space="preserve">. </w:t>
      </w:r>
      <w:r w:rsidR="009E68BA" w:rsidRPr="004C78D8">
        <w:t xml:space="preserve">Slow walking speed is one of the key frailty phenotypes </w:t>
      </w:r>
      <w:r w:rsidR="009E68BA" w:rsidRPr="004C78D8">
        <w:fldChar w:fldCharType="begin"/>
      </w:r>
      <w:r w:rsidR="00C630FC" w:rsidRPr="004C78D8">
        <w:instrText xml:space="preserve"> ADDIN EN.CITE &lt;EndNote&gt;&lt;Cite&gt;&lt;Author&gt;Fried&lt;/Author&gt;&lt;Year&gt;2001&lt;/Year&gt;&lt;RecNum&gt;493&lt;/RecNum&gt;&lt;DisplayText&gt;[275]&lt;/DisplayText&gt;&lt;record&gt;&lt;rec-number&gt;493&lt;/rec-number&gt;&lt;foreign-keys&gt;&lt;key app="EN" db-id="tdtrdw9aepptzbefsat599syza29sxsd2wsp" timestamp="1617193159"&gt;493&lt;/key&gt;&lt;/foreign-keys&gt;&lt;ref-type name="Journal Article"&gt;17&lt;/ref-type&gt;&lt;contributors&gt;&lt;authors&gt;&lt;author&gt;Fried, L. P.&lt;/author&gt;&lt;author&gt;Tangen, C. M.&lt;/author&gt;&lt;author&gt;Walston, J.&lt;/author&gt;&lt;author&gt;Newman, A. B.&lt;/author&gt;&lt;author&gt;Hirsch, C.&lt;/author&gt;&lt;author&gt;Gottdiener, J.&lt;/author&gt;&lt;author&gt;Seeman, T.&lt;/author&gt;&lt;author&gt;Tracy, R.&lt;/author&gt;&lt;author&gt;Kop, W. J.&lt;/author&gt;&lt;author&gt;Burke, G.&lt;/author&gt;&lt;author&gt;McBurnie, M. A.&lt;/author&gt;&lt;author&gt;Cardiovascular Health Study Collaborative Research, Group&lt;/author&gt;&lt;/authors&gt;&lt;/contributors&gt;&lt;auth-address&gt;Center on Aging and Health, The John Hopkins Medical Institutions, Baltimore, Maryland 21205, USA. lfried@welch.jhu.edu&lt;/auth-address&gt;&lt;titles&gt;&lt;title&gt;Frailty in older adults: evidence for a phenotype&lt;/title&gt;&lt;secondary-title&gt;J Gerontol A Biol Sci Med Sci&lt;/secondary-title&gt;&lt;/titles&gt;&lt;periodical&gt;&lt;full-title&gt;J Gerontol A Biol Sci Med Sci&lt;/full-title&gt;&lt;/periodical&gt;&lt;pages&gt;M146-56&lt;/pages&gt;&lt;volume&gt;56&lt;/volume&gt;&lt;number&gt;3&lt;/number&gt;&lt;keywords&gt;&lt;keyword&gt;Aged&lt;/keyword&gt;&lt;keyword&gt;Aged, 80 and over&lt;/keyword&gt;&lt;keyword&gt;Cohort Studies&lt;/keyword&gt;&lt;keyword&gt;Disabled Persons&lt;/keyword&gt;&lt;keyword&gt;Fatigue/epidemiology&lt;/keyword&gt;&lt;keyword&gt;Female&lt;/keyword&gt;&lt;keyword&gt;*Frail Elderly&lt;/keyword&gt;&lt;keyword&gt;Humans&lt;/keyword&gt;&lt;keyword&gt;Incidence&lt;/keyword&gt;&lt;keyword&gt;Male&lt;/keyword&gt;&lt;keyword&gt;Muscle Weakness/epidemiology&lt;/keyword&gt;&lt;keyword&gt;Phenotype&lt;/keyword&gt;&lt;keyword&gt;Prevalence&lt;/keyword&gt;&lt;keyword&gt;Sex Distribution&lt;/keyword&gt;&lt;keyword&gt;United States&lt;/keyword&gt;&lt;keyword&gt;Weight Loss&lt;/keyword&gt;&lt;/keywords&gt;&lt;dates&gt;&lt;year&gt;2001&lt;/year&gt;&lt;pub-dates&gt;&lt;date&gt;Mar&lt;/date&gt;&lt;/pub-dates&gt;&lt;/dates&gt;&lt;isbn&gt;1079-5006 (Print)&amp;#xD;1079-5006 (Linking)&lt;/isbn&gt;&lt;accession-num&gt;11253156&lt;/accession-num&gt;&lt;urls&gt;&lt;related-urls&gt;&lt;url&gt;https://www.ncbi.nlm.nih.gov/pubmed/11253156&lt;/url&gt;&lt;/related-urls&gt;&lt;/urls&gt;&lt;/record&gt;&lt;/Cite&gt;&lt;/EndNote&gt;</w:instrText>
      </w:r>
      <w:r w:rsidR="009E68BA" w:rsidRPr="004C78D8">
        <w:fldChar w:fldCharType="separate"/>
      </w:r>
      <w:r w:rsidR="00C630FC" w:rsidRPr="004C78D8">
        <w:rPr>
          <w:noProof/>
        </w:rPr>
        <w:t>[275]</w:t>
      </w:r>
      <w:r w:rsidR="009E68BA" w:rsidRPr="004C78D8">
        <w:fldChar w:fldCharType="end"/>
      </w:r>
      <w:r w:rsidR="009E68BA" w:rsidRPr="004C78D8">
        <w:t xml:space="preserve"> and is associated with all-cause mortality </w:t>
      </w:r>
      <w:r w:rsidR="009E68BA" w:rsidRPr="004C78D8">
        <w:fldChar w:fldCharType="begin"/>
      </w:r>
      <w:r w:rsidR="009E68BA" w:rsidRPr="004C78D8">
        <w:instrText xml:space="preserve"> ADDIN EN.CITE &lt;EndNote&gt;&lt;Cite&gt;&lt;Author&gt;Studenski&lt;/Author&gt;&lt;Year&gt;2011&lt;/Year&gt;&lt;RecNum&gt;170&lt;/RecNum&gt;&lt;DisplayText&gt;[6]&lt;/DisplayText&gt;&lt;record&gt;&lt;rec-number&gt;170&lt;/rec-number&gt;&lt;foreign-keys&gt;&lt;key app="EN" db-id="tdtrdw9aepptzbefsat599syza29sxsd2wsp" timestamp="1609361042"&gt;170&lt;/key&gt;&lt;/foreign-keys&gt;&lt;ref-type name="Journal Article"&gt;17&lt;/ref-type&gt;&lt;contributors&gt;&lt;authors&gt;&lt;author&gt;Studenski, Stephanie&lt;/author&gt;&lt;author&gt;Perera, Subashan&lt;/author&gt;&lt;author&gt;Patel, Kushang&lt;/author&gt;&lt;author&gt;Rosano, Caterina&lt;/author&gt;&lt;author&gt;Faulkner, Kimberly&lt;/author&gt;&lt;author&gt;Inzitari, Marco&lt;/author&gt;&lt;author&gt;Brach, Jennifer&lt;/author&gt;&lt;author&gt;Chandler, Julie&lt;/author&gt;&lt;author&gt;Cawthon, Peggy&lt;/author&gt;&lt;author&gt;Connor, Elizabeth Barrett&lt;/author&gt;&lt;/authors&gt;&lt;/contributors&gt;&lt;titles&gt;&lt;title&gt;Gait speed and survival in older adults&lt;/title&gt;&lt;secondary-title&gt;Jama&lt;/secondary-title&gt;&lt;/titles&gt;&lt;periodical&gt;&lt;full-title&gt;Jama&lt;/full-title&gt;&lt;/periodical&gt;&lt;pages&gt;50-58&lt;/pages&gt;&lt;volume&gt;305&lt;/volume&gt;&lt;number&gt;1&lt;/number&gt;&lt;dates&gt;&lt;year&gt;2011&lt;/year&gt;&lt;/dates&gt;&lt;isbn&gt;0098-7484&lt;/isbn&gt;&lt;urls&gt;&lt;/urls&gt;&lt;/record&gt;&lt;/Cite&gt;&lt;/EndNote&gt;</w:instrText>
      </w:r>
      <w:r w:rsidR="009E68BA" w:rsidRPr="004C78D8">
        <w:fldChar w:fldCharType="separate"/>
      </w:r>
      <w:r w:rsidR="009E68BA" w:rsidRPr="004C78D8">
        <w:rPr>
          <w:noProof/>
        </w:rPr>
        <w:t>[6]</w:t>
      </w:r>
      <w:r w:rsidR="009E68BA" w:rsidRPr="004C78D8">
        <w:fldChar w:fldCharType="end"/>
      </w:r>
      <w:r w:rsidR="009E68BA" w:rsidRPr="004C78D8">
        <w:t xml:space="preserve">, suggesting that it </w:t>
      </w:r>
      <w:r w:rsidR="00FA67D1" w:rsidRPr="004C78D8">
        <w:t xml:space="preserve">would </w:t>
      </w:r>
      <w:r w:rsidR="009E68BA" w:rsidRPr="004C78D8">
        <w:t>affect</w:t>
      </w:r>
      <w:r w:rsidR="00FA67D1" w:rsidRPr="004C78D8">
        <w:t xml:space="preserve"> the trajectories of</w:t>
      </w:r>
      <w:r w:rsidR="009E68BA" w:rsidRPr="004C78D8">
        <w:t xml:space="preserve"> </w:t>
      </w:r>
      <w:r w:rsidR="00735BF2" w:rsidRPr="004C78D8">
        <w:t xml:space="preserve">background </w:t>
      </w:r>
      <w:r w:rsidR="009E68BA" w:rsidRPr="004C78D8">
        <w:t>health</w:t>
      </w:r>
      <w:r w:rsidR="00A953A8" w:rsidRPr="004C78D8">
        <w:t xml:space="preserve"> </w:t>
      </w:r>
      <w:r w:rsidR="00FA67D1" w:rsidRPr="004C78D8">
        <w:t>and non-health outcomes</w:t>
      </w:r>
      <w:r w:rsidR="009E68BA" w:rsidRPr="004C78D8">
        <w:t xml:space="preserve">. </w:t>
      </w:r>
      <w:r w:rsidR="00FF332B" w:rsidRPr="004C78D8">
        <w:t xml:space="preserve">Abnormal gait and balance has a significant influence on intervention access; in NICE CG161, it is used as one of the screening criteria for proactive intervention access </w:t>
      </w:r>
      <w:r w:rsidR="00FF332B" w:rsidRPr="004C78D8">
        <w:fldChar w:fldCharType="begin"/>
      </w:r>
      <w:r w:rsidR="00F255A9"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00FF332B" w:rsidRPr="004C78D8">
        <w:fldChar w:fldCharType="separate"/>
      </w:r>
      <w:r w:rsidR="00F255A9" w:rsidRPr="004C78D8">
        <w:rPr>
          <w:noProof/>
        </w:rPr>
        <w:t>[13]</w:t>
      </w:r>
      <w:r w:rsidR="00FF332B" w:rsidRPr="004C78D8">
        <w:fldChar w:fldCharType="end"/>
      </w:r>
      <w:r w:rsidR="00FF332B" w:rsidRPr="004C78D8">
        <w:t xml:space="preserve">. RCTs of multifactorial interventions likewise use it as an inclusion criterion to target high-risk groups </w:t>
      </w:r>
      <w:r w:rsidR="00C61A5C" w:rsidRPr="004C78D8">
        <w:fldChar w:fldCharType="begin">
          <w:fldData xml:space="preserve">PEVuZE5vdGU+PENpdGU+PEF1dGhvcj5Jc2FyYW51d2F0Y2hhaTwvQXV0aG9yPjxZZWFyPjIwMTc8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</w:fldData>
        </w:fldChar>
      </w:r>
      <w:r w:rsidR="00C630FC" w:rsidRPr="004C78D8">
        <w:instrText xml:space="preserve"> ADDIN EN.CITE </w:instrText>
      </w:r>
      <w:r w:rsidR="00C630FC" w:rsidRPr="004C78D8">
        <w:fldChar w:fldCharType="begin">
          <w:fldData xml:space="preserve">PEVuZE5vdGU+PENpdGU+PEF1dGhvcj5Jc2FyYW51d2F0Y2hhaTwvQXV0aG9yPjxZZWFyPjIwMTc8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</w:fldData>
        </w:fldChar>
      </w:r>
      <w:r w:rsidR="00C630FC" w:rsidRPr="004C78D8">
        <w:instrText xml:space="preserve"> ADDIN EN.CITE.DATA </w:instrText>
      </w:r>
      <w:r w:rsidR="00C630FC" w:rsidRPr="004C78D8">
        <w:fldChar w:fldCharType="end"/>
      </w:r>
      <w:r w:rsidR="00C61A5C" w:rsidRPr="004C78D8">
        <w:fldChar w:fldCharType="separate"/>
      </w:r>
      <w:r w:rsidR="00C630FC" w:rsidRPr="004C78D8">
        <w:rPr>
          <w:noProof/>
        </w:rPr>
        <w:t>[85, 285]</w:t>
      </w:r>
      <w:r w:rsidR="00C61A5C" w:rsidRPr="004C78D8">
        <w:fldChar w:fldCharType="end"/>
      </w:r>
      <w:r w:rsidR="00C61A5C" w:rsidRPr="004C78D8">
        <w:t xml:space="preserve">. </w:t>
      </w:r>
      <w:r w:rsidR="00B85244" w:rsidRPr="004C78D8">
        <w:t>I</w:t>
      </w:r>
      <w:r w:rsidR="00C61A5C" w:rsidRPr="004C78D8">
        <w:t xml:space="preserve">ndividuals with the most severe impairments can be excluded from falls prevention exercise </w:t>
      </w:r>
      <w:r w:rsidR="00C61A5C" w:rsidRPr="004C78D8">
        <w:fldChar w:fldCharType="begin">
          <w:fldData xml:space="preserve">PEVuZE5vdGU+PENpdGU+PEF1dGhvcj5GYXJhZzwvQXV0aG9yPjxZZWFyPjIwMTU8L1llYXI+PFJl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</w:fldData>
        </w:fldChar>
      </w:r>
      <w:r w:rsidR="00C630FC" w:rsidRPr="004C78D8">
        <w:instrText xml:space="preserve"> ADDIN EN.CITE </w:instrText>
      </w:r>
      <w:r w:rsidR="00C630FC" w:rsidRPr="004C78D8">
        <w:fldChar w:fldCharType="begin">
          <w:fldData xml:space="preserve">PEVuZE5vdGU+PENpdGU+PEF1dGhvcj5GYXJhZzwvQXV0aG9yPjxZZWFyPjIwMTU8L1llYXI+PFJl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</w:fldData>
        </w:fldChar>
      </w:r>
      <w:r w:rsidR="00C630FC" w:rsidRPr="004C78D8">
        <w:instrText xml:space="preserve"> ADDIN EN.CITE.DATA </w:instrText>
      </w:r>
      <w:r w:rsidR="00C630FC" w:rsidRPr="004C78D8">
        <w:fldChar w:fldCharType="end"/>
      </w:r>
      <w:r w:rsidR="00C61A5C" w:rsidRPr="004C78D8">
        <w:fldChar w:fldCharType="separate"/>
      </w:r>
      <w:r w:rsidR="00C630FC" w:rsidRPr="004C78D8">
        <w:rPr>
          <w:noProof/>
        </w:rPr>
        <w:t>[286]</w:t>
      </w:r>
      <w:r w:rsidR="00C61A5C" w:rsidRPr="004C78D8">
        <w:fldChar w:fldCharType="end"/>
      </w:r>
      <w:r w:rsidR="00C61A5C" w:rsidRPr="004C78D8">
        <w:t xml:space="preserve">, suggesting that the more resource-intensive multifactorial intervention is needed to cover this vulnerable group. </w:t>
      </w:r>
    </w:p>
    <w:p w14:paraId="6C4A84E7" w14:textId="25B00017" w:rsidR="000019E2" w:rsidRPr="004C78D8" w:rsidRDefault="000019E2" w:rsidP="00FB7C1F">
      <w:r w:rsidRPr="004C78D8">
        <w:t xml:space="preserve">Cognitive impairment </w:t>
      </w:r>
      <w:r w:rsidR="00A5028C" w:rsidRPr="004C78D8">
        <w:t>is a major</w:t>
      </w:r>
      <w:r w:rsidRPr="004C78D8">
        <w:t xml:space="preserve"> risk factor </w:t>
      </w:r>
      <w:r w:rsidR="00A5028C" w:rsidRPr="004C78D8">
        <w:t xml:space="preserve">for falls and fall-related injuries </w:t>
      </w:r>
      <w:r w:rsidR="00A5028C" w:rsidRPr="004C78D8">
        <w:fldChar w:fldCharType="begin">
          <w:fldData xml:space="preserve">PEVuZE5vdGU+PENpdGU+PEF1dGhvcj5NdWlyPC9BdXRob3I+PFllYXI+MjAxMjwvWWVhcj48UmVj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</w:fldData>
        </w:fldChar>
      </w:r>
      <w:r w:rsidR="00C630FC" w:rsidRPr="004C78D8">
        <w:instrText xml:space="preserve"> ADDIN EN.CITE </w:instrText>
      </w:r>
      <w:r w:rsidR="00C630FC" w:rsidRPr="004C78D8">
        <w:fldChar w:fldCharType="begin">
          <w:fldData xml:space="preserve">PEVuZE5vdGU+PENpdGU+PEF1dGhvcj5NdWlyPC9BdXRob3I+PFllYXI+MjAxMjwvWWVhcj48UmVj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</w:fldData>
        </w:fldChar>
      </w:r>
      <w:r w:rsidR="00C630FC" w:rsidRPr="004C78D8">
        <w:instrText xml:space="preserve"> ADDIN EN.CITE.DATA </w:instrText>
      </w:r>
      <w:r w:rsidR="00C630FC" w:rsidRPr="004C78D8">
        <w:fldChar w:fldCharType="end"/>
      </w:r>
      <w:r w:rsidR="00A5028C" w:rsidRPr="004C78D8">
        <w:fldChar w:fldCharType="separate"/>
      </w:r>
      <w:r w:rsidR="00C630FC" w:rsidRPr="004C78D8">
        <w:rPr>
          <w:noProof/>
        </w:rPr>
        <w:t>[13, 287, 288]</w:t>
      </w:r>
      <w:r w:rsidR="00A5028C" w:rsidRPr="004C78D8">
        <w:fldChar w:fldCharType="end"/>
      </w:r>
      <w:r w:rsidRPr="004C78D8">
        <w:t xml:space="preserve">. </w:t>
      </w:r>
      <w:r w:rsidR="00817E8A" w:rsidRPr="004C78D8">
        <w:t xml:space="preserve">Cognitive decline may also be a long-term, secondary effect of serious falls such as hip fracture, likely via physical deconditioning and activity restrictions that affect cognitive function </w:t>
      </w:r>
      <w:r w:rsidR="00817E8A" w:rsidRPr="004C78D8">
        <w:fldChar w:fldCharType="begin">
          <w:fldData xml:space="preserve">PEVuZE5vdGU+PENpdGU+PEF1dGhvcj5Vem9pZ3dlPC9BdXRob3I+PFllYXI+MjAyMDwvWWVhcj48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</w:fldData>
        </w:fldChar>
      </w:r>
      <w:r w:rsidR="00513646" w:rsidRPr="004C78D8">
        <w:instrText xml:space="preserve"> ADDIN EN.CITE </w:instrText>
      </w:r>
      <w:r w:rsidR="00513646" w:rsidRPr="004C78D8">
        <w:fldChar w:fldCharType="begin">
          <w:fldData xml:space="preserve">PEVuZE5vdGU+PENpdGU+PEF1dGhvcj5Vem9pZ3dlPC9BdXRob3I+PFllYXI+MjAyMDwvWWVhcj48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</w:fldData>
        </w:fldChar>
      </w:r>
      <w:r w:rsidR="00513646" w:rsidRPr="004C78D8">
        <w:instrText xml:space="preserve"> ADDIN EN.CITE.DATA </w:instrText>
      </w:r>
      <w:r w:rsidR="00513646" w:rsidRPr="004C78D8">
        <w:fldChar w:fldCharType="end"/>
      </w:r>
      <w:r w:rsidR="00817E8A" w:rsidRPr="004C78D8">
        <w:fldChar w:fldCharType="separate"/>
      </w:r>
      <w:r w:rsidR="00513646" w:rsidRPr="004C78D8">
        <w:rPr>
          <w:noProof/>
        </w:rPr>
        <w:t>[36]</w:t>
      </w:r>
      <w:r w:rsidR="00817E8A" w:rsidRPr="004C78D8">
        <w:fldChar w:fldCharType="end"/>
      </w:r>
      <w:r w:rsidR="00817E8A" w:rsidRPr="004C78D8">
        <w:t xml:space="preserve">. Cognitive impairment </w:t>
      </w:r>
      <w:r w:rsidR="00F03509" w:rsidRPr="004C78D8">
        <w:t xml:space="preserve">affects broad health and non-health outcomes including </w:t>
      </w:r>
      <w:r w:rsidR="00FC382A" w:rsidRPr="004C78D8">
        <w:t xml:space="preserve">all-cause mortality </w:t>
      </w:r>
      <w:r w:rsidR="00F03509" w:rsidRPr="004C78D8">
        <w:fldChar w:fldCharType="begin"/>
      </w:r>
      <w:r w:rsidR="00C630FC" w:rsidRPr="004C78D8">
        <w:instrText xml:space="preserve"> ADDIN EN.CITE &lt;EndNote&gt;&lt;Cite&gt;&lt;Author&gt;Sachs&lt;/Author&gt;&lt;Year&gt;2011&lt;/Year&gt;&lt;RecNum&gt;752&lt;/RecNum&gt;&lt;DisplayText&gt;[289, 290]&lt;/DisplayText&gt;&lt;record&gt;&lt;rec-number&gt;752&lt;/rec-number&gt;&lt;foreign-keys&gt;&lt;key app="EN" db-id="tdtrdw9aepptzbefsat599syza29sxsd2wsp" timestamp="1636898206"&gt;752&lt;/key&gt;&lt;/foreign-keys&gt;&lt;ref-type name="Journal Article"&gt;17&lt;/ref-type&gt;&lt;contributors&gt;&lt;authors&gt;&lt;author&gt;Sachs, Greg A&lt;/author&gt;&lt;author&gt;Carter, Ravan&lt;/author&gt;&lt;author&gt;Holtz, Laura R&lt;/author&gt;&lt;author&gt;Smith, Faye&lt;/author&gt;&lt;author&gt;Stump, Timothy E&lt;/author&gt;&lt;author&gt;Tu, Wanzhu&lt;/author&gt;&lt;author&gt;Callahan, Christopher M&lt;/author&gt;&lt;/authors&gt;&lt;/contributors&gt;&lt;titles&gt;&lt;title&gt;Cognitive impairment: an independent predictor of excess mortality: a cohort study&lt;/title&gt;&lt;secondary-title&gt;Annals of internal medicine&lt;/secondary-title&gt;&lt;/titles&gt;&lt;periodical&gt;&lt;full-title&gt;Annals of internal medicine&lt;/full-title&gt;&lt;/periodical&gt;&lt;pages&gt;300-308&lt;/pages&gt;&lt;volume&gt;155&lt;/volume&gt;&lt;number&gt;5&lt;/number&gt;&lt;dates&gt;&lt;year&gt;2011&lt;/year&gt;&lt;/dates&gt;&lt;isbn&gt;0003-4819&lt;/isbn&gt;&lt;urls&gt;&lt;/urls&gt;&lt;/record&gt;&lt;/Cite&gt;&lt;Cite&gt;&lt;Author&gt;Wu&lt;/Author&gt;&lt;Year&gt;2014&lt;/Year&gt;&lt;RecNum&gt;753&lt;/RecNum&gt;&lt;record&gt;&lt;rec-number&gt;753&lt;/rec-number&gt;&lt;foreign-keys&gt;&lt;key app="EN" db-id="tdtrdw9aepptzbefsat599syza29sxsd2wsp" timestamp="1636898233"&gt;753&lt;/key&gt;&lt;/foreign-keys&gt;&lt;ref-type name="Journal Article"&gt;17&lt;/ref-type&gt;&lt;contributors&gt;&lt;authors&gt;&lt;author&gt;Wu, Chen-Yi&lt;/author&gt;&lt;author&gt;Chou, Yi-Chang&lt;/author&gt;&lt;author&gt;Huang, Nicole&lt;/author&gt;&lt;author&gt;Chou, Yiing-Jenq&lt;/author&gt;&lt;author&gt;Hu, Hsiao-Yun&lt;/author&gt;&lt;author&gt;Li, Chung-Pin&lt;/author&gt;&lt;/authors&gt;&lt;/contributors&gt;&lt;titles&gt;&lt;title&gt;Cognitive impairment assessed at annual geriatric health examinations predicts mortality among the elderly&lt;/title&gt;&lt;secondary-title&gt;Preventive medicine&lt;/secondary-title&gt;&lt;/titles&gt;&lt;periodical&gt;&lt;full-title&gt;Preventive medicine&lt;/full-title&gt;&lt;/periodical&gt;&lt;pages&gt;28-34&lt;/pages&gt;&lt;volume&gt;67&lt;/volume&gt;&lt;dates&gt;&lt;year&gt;2014&lt;/year&gt;&lt;/dates&gt;&lt;isbn&gt;0091-7435&lt;/isbn&gt;&lt;urls&gt;&lt;/urls&gt;&lt;/record&gt;&lt;/Cite&gt;&lt;/EndNote&gt;</w:instrText>
      </w:r>
      <w:r w:rsidR="00F03509" w:rsidRPr="004C78D8">
        <w:fldChar w:fldCharType="separate"/>
      </w:r>
      <w:r w:rsidR="00C630FC" w:rsidRPr="004C78D8">
        <w:rPr>
          <w:noProof/>
        </w:rPr>
        <w:t>[289, 290]</w:t>
      </w:r>
      <w:r w:rsidR="00F03509" w:rsidRPr="004C78D8">
        <w:fldChar w:fldCharType="end"/>
      </w:r>
      <w:r w:rsidR="00FC382A" w:rsidRPr="004C78D8">
        <w:t>, healthcare cost</w:t>
      </w:r>
      <w:r w:rsidR="00F03509" w:rsidRPr="004C78D8">
        <w:t xml:space="preserve"> </w:t>
      </w:r>
      <w:r w:rsidR="00F03509" w:rsidRPr="004C78D8">
        <w:fldChar w:fldCharType="begin"/>
      </w:r>
      <w:r w:rsidR="00C630FC" w:rsidRPr="004C78D8">
        <w:instrText xml:space="preserve"> ADDIN EN.CITE &lt;EndNote&gt;&lt;Cite&gt;&lt;Author&gt;Zhu&lt;/Author&gt;&lt;Year&gt;2013&lt;/Year&gt;&lt;RecNum&gt;754&lt;/RecNum&gt;&lt;DisplayText&gt;[291]&lt;/DisplayText&gt;&lt;record&gt;&lt;rec-number&gt;754&lt;/rec-number&gt;&lt;foreign-keys&gt;&lt;key app="EN" db-id="tdtrdw9aepptzbefsat599syza29sxsd2wsp" timestamp="1636898410"&gt;754&lt;/key&gt;&lt;/foreign-keys&gt;&lt;ref-type name="Journal Article"&gt;17&lt;/ref-type&gt;&lt;contributors&gt;&lt;authors&gt;&lt;author&gt;Zhu, Carolyn W&lt;/author&gt;&lt;author&gt;Sano, Mary&lt;/author&gt;&lt;author&gt;Ferris, Steven H&lt;/author&gt;&lt;author&gt;Whitehouse, Peter J&lt;/author&gt;&lt;author&gt;Patterson, Marian B&lt;/author&gt;&lt;author&gt;Aisen, Paul S&lt;/author&gt;&lt;/authors&gt;&lt;/contributors&gt;&lt;titles&gt;&lt;title&gt;Health‐related resource use and costs in elderly adults with and without mild cognitive impairment&lt;/title&gt;&lt;secondary-title&gt;Journal of the American Geriatrics Society&lt;/secondary-title&gt;&lt;/titles&gt;&lt;periodical&gt;&lt;full-title&gt;Journal of the American Geriatrics Society&lt;/full-title&gt;&lt;/periodical&gt;&lt;pages&gt;396-402&lt;/pages&gt;&lt;volume&gt;61&lt;/volume&gt;&lt;number&gt;3&lt;/number&gt;&lt;dates&gt;&lt;year&gt;2013&lt;/year&gt;&lt;/dates&gt;&lt;isbn&gt;0002-8614&lt;/isbn&gt;&lt;urls&gt;&lt;/urls&gt;&lt;/record&gt;&lt;/Cite&gt;&lt;/EndNote&gt;</w:instrText>
      </w:r>
      <w:r w:rsidR="00F03509" w:rsidRPr="004C78D8">
        <w:fldChar w:fldCharType="separate"/>
      </w:r>
      <w:r w:rsidR="00C630FC" w:rsidRPr="004C78D8">
        <w:rPr>
          <w:noProof/>
        </w:rPr>
        <w:t>[291]</w:t>
      </w:r>
      <w:r w:rsidR="00F03509" w:rsidRPr="004C78D8">
        <w:fldChar w:fldCharType="end"/>
      </w:r>
      <w:r w:rsidR="00FC382A" w:rsidRPr="004C78D8">
        <w:t xml:space="preserve">, </w:t>
      </w:r>
      <w:r w:rsidR="00817E8A" w:rsidRPr="004C78D8">
        <w:t xml:space="preserve">informal caregiver burden </w:t>
      </w:r>
      <w:r w:rsidR="00F03509" w:rsidRPr="004C78D8">
        <w:fldChar w:fldCharType="begin"/>
      </w:r>
      <w:r w:rsidR="00C630FC" w:rsidRPr="004C78D8">
        <w:instrText xml:space="preserve"> ADDIN EN.CITE &lt;EndNote&gt;&lt;Cite&gt;&lt;Author&gt;Zhu&lt;/Author&gt;&lt;Year&gt;2013&lt;/Year&gt;&lt;RecNum&gt;754&lt;/RecNum&gt;&lt;DisplayText&gt;[291, 292]&lt;/DisplayText&gt;&lt;record&gt;&lt;rec-number&gt;754&lt;/rec-number&gt;&lt;foreign-keys&gt;&lt;key app="EN" db-id="tdtrdw9aepptzbefsat599syza29sxsd2wsp" timestamp="1636898410"&gt;754&lt;/key&gt;&lt;/foreign-keys&gt;&lt;ref-type name="Journal Article"&gt;17&lt;/ref-type&gt;&lt;contributors&gt;&lt;authors&gt;&lt;author&gt;Zhu, Carolyn W&lt;/author&gt;&lt;author&gt;Sano, Mary&lt;/author&gt;&lt;author&gt;Ferris, Steven H&lt;/author&gt;&lt;author&gt;Whitehouse, Peter J&lt;/author&gt;&lt;author&gt;Patterson, Marian B&lt;/author&gt;&lt;author&gt;Aisen, Paul S&lt;/author&gt;&lt;/authors&gt;&lt;/contributors&gt;&lt;titles&gt;&lt;title&gt;Health‐related resource use and costs in elderly adults with and without mild cognitive impairment&lt;/title&gt;&lt;secondary-title&gt;Journal of the American Geriatrics Society&lt;/secondary-title&gt;&lt;/titles&gt;&lt;periodical&gt;&lt;full-title&gt;Journal of the American Geriatrics Society&lt;/full-title&gt;&lt;/periodical&gt;&lt;pages&gt;396-402&lt;/pages&gt;&lt;volume&gt;61&lt;/volume&gt;&lt;number&gt;3&lt;/number&gt;&lt;dates&gt;&lt;year&gt;2013&lt;/year&gt;&lt;/dates&gt;&lt;isbn&gt;0002-8614&lt;/isbn&gt;&lt;urls&gt;&lt;/urls&gt;&lt;/record&gt;&lt;/Cite&gt;&lt;Cite&gt;&lt;Author&gt;Riffin&lt;/Author&gt;&lt;Year&gt;2017&lt;/Year&gt;&lt;RecNum&gt;749&lt;/RecNum&gt;&lt;record&gt;&lt;rec-number&gt;749&lt;/rec-number&gt;&lt;foreign-keys&gt;&lt;key app="EN" db-id="tdtrdw9aepptzbefsat599syza29sxsd2wsp" timestamp="1636896133"&gt;749&lt;/key&gt;&lt;/foreign-keys&gt;&lt;ref-type name="Journal Article"&gt;17&lt;/ref-type&gt;&lt;contributors&gt;&lt;authors&gt;&lt;author&gt;Riffin, Catherine&lt;/author&gt;&lt;author&gt;Van Ness, Peter H&lt;/author&gt;&lt;author&gt;Wolff, Jennifer L&lt;/author&gt;&lt;author&gt;Fried, Terri&lt;/author&gt;&lt;/authors&gt;&lt;/contributors&gt;&lt;titles&gt;&lt;title&gt;Family and other unpaid caregivers and older adults with and without dementia and disability&lt;/title&gt;&lt;secondary-title&gt;Journal of the American Geriatrics Society&lt;/secondary-title&gt;&lt;/titles&gt;&lt;periodical&gt;&lt;full-title&gt;Journal of the American Geriatrics Society&lt;/full-title&gt;&lt;/periodical&gt;&lt;pages&gt;1821-1828&lt;/pages&gt;&lt;volume&gt;65&lt;/volume&gt;&lt;number&gt;8&lt;/number&gt;&lt;dates&gt;&lt;year&gt;2017&lt;/year&gt;&lt;/dates&gt;&lt;isbn&gt;0002-8614&lt;/isbn&gt;&lt;urls&gt;&lt;/urls&gt;&lt;/record&gt;&lt;/Cite&gt;&lt;/EndNote&gt;</w:instrText>
      </w:r>
      <w:r w:rsidR="00F03509" w:rsidRPr="004C78D8">
        <w:fldChar w:fldCharType="separate"/>
      </w:r>
      <w:r w:rsidR="00C630FC" w:rsidRPr="004C78D8">
        <w:rPr>
          <w:noProof/>
        </w:rPr>
        <w:t>[291, 292]</w:t>
      </w:r>
      <w:r w:rsidR="00F03509" w:rsidRPr="004C78D8">
        <w:fldChar w:fldCharType="end"/>
      </w:r>
      <w:r w:rsidR="00826721" w:rsidRPr="004C78D8">
        <w:t>,</w:t>
      </w:r>
      <w:r w:rsidR="00817E8A" w:rsidRPr="004C78D8">
        <w:t xml:space="preserve"> and social wellbeing </w:t>
      </w:r>
      <w:r w:rsidR="00F03509" w:rsidRPr="004C78D8">
        <w:fldChar w:fldCharType="begin"/>
      </w:r>
      <w:r w:rsidR="00C630FC" w:rsidRPr="004C78D8">
        <w:instrText xml:space="preserve"> ADDIN EN.CITE &lt;EndNote&gt;&lt;Cite&gt;&lt;Author&gt;Katja&lt;/Author&gt;&lt;Year&gt;2014&lt;/Year&gt;&lt;RecNum&gt;750&lt;/RecNum&gt;&lt;DisplayText&gt;[293]&lt;/DisplayText&gt;&lt;record&gt;&lt;rec-number&gt;750&lt;/rec-number&gt;&lt;foreign-keys&gt;&lt;key app="EN" db-id="tdtrdw9aepptzbefsat599syza29sxsd2wsp" timestamp="1636896365"&gt;750&lt;/key&gt;&lt;/foreign-keys&gt;&lt;ref-type name="Journal Article"&gt;17&lt;/ref-type&gt;&lt;contributors&gt;&lt;authors&gt;&lt;author&gt;Katja, Pynnönen&lt;/author&gt;&lt;author&gt;Timo, Törmäkangas&lt;/author&gt;&lt;author&gt;Taina, Rantanen&lt;/author&gt;&lt;author&gt;Tiina-Mari, Lyyra&lt;/author&gt;&lt;/authors&gt;&lt;/contributors&gt;&lt;titles&gt;&lt;title&gt;Do mobility, cognitive functioning, and depressive symptoms mediate the association between social activity and mortality risk among older men and women?&lt;/title&gt;&lt;secondary-title&gt;European Journal of Ageing&lt;/secondary-title&gt;&lt;/titles&gt;&lt;periodical&gt;&lt;full-title&gt;European Journal of Ageing&lt;/full-title&gt;&lt;/periodical&gt;&lt;pages&gt;121-130&lt;/pages&gt;&lt;volume&gt;11&lt;/volume&gt;&lt;number&gt;2&lt;/number&gt;&lt;dates&gt;&lt;year&gt;2014&lt;/year&gt;&lt;/dates&gt;&lt;isbn&gt;1613-9380&lt;/isbn&gt;&lt;urls&gt;&lt;/urls&gt;&lt;/record&gt;&lt;/Cite&gt;&lt;/EndNote&gt;</w:instrText>
      </w:r>
      <w:r w:rsidR="00F03509" w:rsidRPr="004C78D8">
        <w:fldChar w:fldCharType="separate"/>
      </w:r>
      <w:r w:rsidR="00C630FC" w:rsidRPr="004C78D8">
        <w:rPr>
          <w:noProof/>
        </w:rPr>
        <w:t>[293]</w:t>
      </w:r>
      <w:r w:rsidR="00F03509" w:rsidRPr="004C78D8">
        <w:fldChar w:fldCharType="end"/>
      </w:r>
      <w:r w:rsidR="00817E8A" w:rsidRPr="004C78D8">
        <w:t xml:space="preserve">. </w:t>
      </w:r>
      <w:r w:rsidR="001806BD" w:rsidRPr="004C78D8">
        <w:t xml:space="preserve">The qualitative research participants in Sheffield highlighted the difficulty faced by cognitively impaired persons in accessing appropriate interventions (Section 2.4.2.6). Thus, cognitive impairment is a major determinant of falls prevention intervention </w:t>
      </w:r>
      <w:r w:rsidR="004E7EC5" w:rsidRPr="004C78D8">
        <w:t>need</w:t>
      </w:r>
      <w:r w:rsidR="001806BD" w:rsidRPr="004C78D8">
        <w:t xml:space="preserve"> and design such as whether and how informal caregivers are involved in delivery </w:t>
      </w:r>
      <w:r w:rsidR="001806BD" w:rsidRPr="004C78D8">
        <w:fldChar w:fldCharType="begin">
          <w:fldData xml:space="preserve">PEVuZE5vdGU+PENpdGU+PEF1dGhvcj5XaGVhdGxleTwvQXV0aG9yPjxZZWFyPjIwMTk8L1llYXI+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</w:fldData>
        </w:fldChar>
      </w:r>
      <w:r w:rsidR="00C630FC" w:rsidRPr="004C78D8">
        <w:instrText xml:space="preserve"> ADDIN EN.CITE </w:instrText>
      </w:r>
      <w:r w:rsidR="00C630FC" w:rsidRPr="004C78D8">
        <w:fldChar w:fldCharType="begin">
          <w:fldData xml:space="preserve">PEVuZE5vdGU+PENpdGU+PEF1dGhvcj5XaGVhdGxleTwvQXV0aG9yPjxZZWFyPjIwMTk8L1llYXI+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</w:fldData>
        </w:fldChar>
      </w:r>
      <w:r w:rsidR="00C630FC" w:rsidRPr="004C78D8">
        <w:instrText xml:space="preserve"> ADDIN EN.CITE.DATA </w:instrText>
      </w:r>
      <w:r w:rsidR="00C630FC" w:rsidRPr="004C78D8">
        <w:fldChar w:fldCharType="end"/>
      </w:r>
      <w:r w:rsidR="001806BD" w:rsidRPr="004C78D8">
        <w:fldChar w:fldCharType="separate"/>
      </w:r>
      <w:r w:rsidR="00C630FC" w:rsidRPr="004C78D8">
        <w:rPr>
          <w:noProof/>
        </w:rPr>
        <w:t>[294]</w:t>
      </w:r>
      <w:r w:rsidR="001806BD" w:rsidRPr="004C78D8">
        <w:fldChar w:fldCharType="end"/>
      </w:r>
      <w:r w:rsidR="001806BD" w:rsidRPr="004C78D8">
        <w:t>. Moreover,</w:t>
      </w:r>
      <w:r w:rsidRPr="004C78D8">
        <w:t xml:space="preserve"> </w:t>
      </w:r>
      <w:r w:rsidR="001806BD" w:rsidRPr="004C78D8">
        <w:t>i</w:t>
      </w:r>
      <w:r w:rsidRPr="004C78D8">
        <w:t xml:space="preserve">ntervention efficacy </w:t>
      </w:r>
      <w:r w:rsidR="001806BD" w:rsidRPr="004C78D8">
        <w:t xml:space="preserve">from falls prevention RCTs is </w:t>
      </w:r>
      <w:r w:rsidRPr="004C78D8">
        <w:t xml:space="preserve">less consistent for cognitively impaired persons than cognitively intact </w:t>
      </w:r>
      <w:r w:rsidR="00151242" w:rsidRPr="004C78D8">
        <w:fldChar w:fldCharType="begin"/>
      </w:r>
      <w:r w:rsidR="00C630FC" w:rsidRPr="004C78D8">
        <w:instrText xml:space="preserve"> ADDIN EN.CITE &lt;EndNote&gt;&lt;Cite&gt;&lt;Author&gt;Booth&lt;/Author&gt;&lt;Year&gt;2015&lt;/Year&gt;&lt;RecNum&gt;700&lt;/RecNum&gt;&lt;DisplayText&gt;[295]&lt;/DisplayText&gt;&lt;record&gt;&lt;rec-number&gt;700&lt;/rec-number&gt;&lt;foreign-keys&gt;&lt;key app="EN" db-id="tdtrdw9aepptzbefsat599syza29sxsd2wsp" timestamp="1636701948"&gt;700&lt;/key&gt;&lt;/foreign-keys&gt;&lt;ref-type name="Journal Article"&gt;17&lt;/ref-type&gt;&lt;contributors&gt;&lt;authors&gt;&lt;author&gt;Booth, Vicky&lt;/author&gt;&lt;author&gt;Logan, Pip&lt;/author&gt;&lt;author&gt;Harwood, Rowan&lt;/author&gt;&lt;author&gt;Hood, Victoria&lt;/author&gt;&lt;/authors&gt;&lt;/contributors&gt;&lt;titles&gt;&lt;title&gt;Falls prevention interventions in older adults with cognitive impairment: a systematic review of reviews&lt;/title&gt;&lt;secondary-title&gt;International Journal of Therapy and Rehabilitation&lt;/secondary-title&gt;&lt;/titles&gt;&lt;periodical&gt;&lt;full-title&gt;International Journal of Therapy and Rehabilitation&lt;/full-title&gt;&lt;/periodical&gt;&lt;pages&gt;289-296&lt;/pages&gt;&lt;volume&gt;22&lt;/volume&gt;&lt;number&gt;6&lt;/number&gt;&lt;dates&gt;&lt;year&gt;2015&lt;/year&gt;&lt;/dates&gt;&lt;isbn&gt;1741-1645&lt;/isbn&gt;&lt;urls&gt;&lt;/urls&gt;&lt;/record&gt;&lt;/Cite&gt;&lt;/EndNote&gt;</w:instrText>
      </w:r>
      <w:r w:rsidR="00151242" w:rsidRPr="004C78D8">
        <w:fldChar w:fldCharType="separate"/>
      </w:r>
      <w:r w:rsidR="00C630FC" w:rsidRPr="004C78D8">
        <w:rPr>
          <w:noProof/>
        </w:rPr>
        <w:t>[295]</w:t>
      </w:r>
      <w:r w:rsidR="00151242" w:rsidRPr="004C78D8">
        <w:fldChar w:fldCharType="end"/>
      </w:r>
      <w:r w:rsidRPr="004C78D8">
        <w:t>.</w:t>
      </w:r>
      <w:r w:rsidR="003D13A1" w:rsidRPr="004C78D8">
        <w:t xml:space="preserve"> </w:t>
      </w:r>
      <w:r w:rsidR="00B465E3" w:rsidRPr="004C78D8">
        <w:t>Overall, cognitive status encompasses multiple causal links and its impact on the intervention strategy is discussed further in Section 3.7.3.</w:t>
      </w:r>
    </w:p>
    <w:p w14:paraId="33A79142" w14:textId="3548C573" w:rsidR="0054567D" w:rsidRPr="004C78D8" w:rsidRDefault="00B465E3" w:rsidP="00FB7C1F">
      <w:r w:rsidRPr="004C78D8">
        <w:t xml:space="preserve">Physical activity level was highlighted by SCC health economist as a key factor in designing and evaluating preventive interventions (Document </w:t>
      </w:r>
      <w:r w:rsidR="00F944EF" w:rsidRPr="004C78D8">
        <w:t>5</w:t>
      </w:r>
      <w:r w:rsidRPr="004C78D8">
        <w:t xml:space="preserve"> in Appendix B). </w:t>
      </w:r>
      <w:r w:rsidR="002A0347" w:rsidRPr="004C78D8">
        <w:t>High p</w:t>
      </w:r>
      <w:r w:rsidR="0054567D" w:rsidRPr="004C78D8">
        <w:t xml:space="preserve">hysical activity </w:t>
      </w:r>
      <w:r w:rsidR="00781489" w:rsidRPr="004C78D8">
        <w:t xml:space="preserve">can significantly reduce falls risk </w:t>
      </w:r>
      <w:r w:rsidR="00781489" w:rsidRPr="004C78D8">
        <w:fldChar w:fldCharType="begin">
          <w:fldData xml:space="preserve">PEVuZE5vdGU+PENpdGU+PEF1dGhvcj5UaGliYXVkPC9BdXRob3I+PFllYXI+MjAxMjwvWWVhcj48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</w:fldData>
        </w:fldChar>
      </w:r>
      <w:r w:rsidR="00C630FC" w:rsidRPr="004C78D8">
        <w:instrText xml:space="preserve"> ADDIN EN.CITE </w:instrText>
      </w:r>
      <w:r w:rsidR="00C630FC" w:rsidRPr="004C78D8">
        <w:fldChar w:fldCharType="begin">
          <w:fldData xml:space="preserve">PEVuZE5vdGU+PENpdGU+PEF1dGhvcj5UaGliYXVkPC9BdXRob3I+PFllYXI+MjAxMjwvWWVhcj48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</w:fldData>
        </w:fldChar>
      </w:r>
      <w:r w:rsidR="00C630FC" w:rsidRPr="004C78D8">
        <w:instrText xml:space="preserve"> ADDIN EN.CITE.DATA </w:instrText>
      </w:r>
      <w:r w:rsidR="00C630FC" w:rsidRPr="004C78D8">
        <w:fldChar w:fldCharType="end"/>
      </w:r>
      <w:r w:rsidR="00781489" w:rsidRPr="004C78D8">
        <w:fldChar w:fldCharType="separate"/>
      </w:r>
      <w:r w:rsidR="00C630FC" w:rsidRPr="004C78D8">
        <w:rPr>
          <w:noProof/>
        </w:rPr>
        <w:t>[296, 297]</w:t>
      </w:r>
      <w:r w:rsidR="00781489" w:rsidRPr="004C78D8">
        <w:fldChar w:fldCharType="end"/>
      </w:r>
      <w:r w:rsidR="0041439C" w:rsidRPr="004C78D8">
        <w:t xml:space="preserve">. Falls </w:t>
      </w:r>
      <w:r w:rsidR="00E00D81" w:rsidRPr="004C78D8">
        <w:t>may</w:t>
      </w:r>
      <w:r w:rsidR="0041439C" w:rsidRPr="004C78D8">
        <w:t xml:space="preserve"> also </w:t>
      </w:r>
      <w:r w:rsidR="00E00D81" w:rsidRPr="004C78D8">
        <w:t>adversely affect</w:t>
      </w:r>
      <w:r w:rsidR="0041439C" w:rsidRPr="004C78D8">
        <w:t xml:space="preserve"> physical activity pattern</w:t>
      </w:r>
      <w:r w:rsidR="00E00D81" w:rsidRPr="004C78D8">
        <w:t>, establishing a feedback loop</w:t>
      </w:r>
      <w:r w:rsidR="0041439C" w:rsidRPr="004C78D8">
        <w:t xml:space="preserve"> </w:t>
      </w:r>
      <w:r w:rsidR="00E00D81" w:rsidRPr="004C78D8">
        <w:fldChar w:fldCharType="begin"/>
      </w:r>
      <w:r w:rsidR="00C630FC" w:rsidRPr="004C78D8">
        <w:instrText xml:space="preserve"> ADDIN EN.CITE &lt;EndNote&gt;&lt;Cite&gt;&lt;Author&gt;Tinetti&lt;/Author&gt;&lt;Year&gt;1998&lt;/Year&gt;&lt;RecNum&gt;742&lt;/RecNum&gt;&lt;DisplayText&gt;[263, 298]&lt;/DisplayText&gt;&lt;record&gt;&lt;rec-number&gt;742&lt;/rec-number&gt;&lt;foreign-keys&gt;&lt;key app="EN" db-id="tdtrdw9aepptzbefsat599syza29sxsd2wsp" timestamp="1636833760"&gt;742&lt;/key&gt;&lt;/foreign-keys&gt;&lt;ref-type name="Journal Article"&gt;17&lt;/ref-type&gt;&lt;contributors&gt;&lt;authors&gt;&lt;author&gt;Tinetti, Mary E&lt;/author&gt;&lt;author&gt;Williams, Christianna S&lt;/author&gt;&lt;/authors&gt;&lt;/contributors&gt;&lt;titles&gt;&lt;title&gt;The effect of falls and fall injuries on functioning in community-dwelling older persons&lt;/title&gt;&lt;secondary-title&gt;The Journals of Gerontology Series A: Biological Sciences and Medical Sciences&lt;/secondary-title&gt;&lt;/titles&gt;&lt;periodical&gt;&lt;full-title&gt;The Journals of Gerontology Series A: Biological Sciences and Medical Sciences&lt;/full-title&gt;&lt;/periodical&gt;&lt;pages&gt;M112-M119&lt;/pages&gt;&lt;volume&gt;53&lt;/volume&gt;&lt;number&gt;2&lt;/number&gt;&lt;dates&gt;&lt;year&gt;1998&lt;/year&gt;&lt;/dates&gt;&lt;isbn&gt;1758-535X&lt;/isbn&gt;&lt;urls&gt;&lt;/urls&gt;&lt;/record&gt;&lt;/Cite&gt;&lt;Cite&gt;&lt;Author&gt;Gill&lt;/Author&gt;&lt;Year&gt;2008&lt;/Year&gt;&lt;RecNum&gt;756&lt;/RecNum&gt;&lt;record&gt;&lt;rec-number&gt;756&lt;/rec-number&gt;&lt;foreign-keys&gt;&lt;key app="EN" db-id="tdtrdw9aepptzbefsat599syza29sxsd2wsp" timestamp="1636967881"&gt;756&lt;/key&gt;&lt;/foreign-keys&gt;&lt;ref-type name="Journal Article"&gt;17&lt;/ref-type&gt;&lt;contributors&gt;&lt;authors&gt;&lt;author&gt;Gill, Dawn P&lt;/author&gt;&lt;author&gt;Zou, Guang Yong&lt;/author&gt;&lt;author&gt;Jones, Gareth R&lt;/author&gt;&lt;author&gt;Speechley, Mark&lt;/author&gt;&lt;/authors&gt;&lt;/contributors&gt;&lt;titles&gt;&lt;title&gt;Injurious falls are associated with lower household but higher recreational physical activities in community-dwelling older male veterans&lt;/title&gt;&lt;secondary-title&gt;Gerontology&lt;/secondary-title&gt;&lt;/titles&gt;&lt;periodical&gt;&lt;full-title&gt;Gerontology&lt;/full-title&gt;&lt;/periodical&gt;&lt;pages&gt;106-115&lt;/pages&gt;&lt;volume&gt;54&lt;/volume&gt;&lt;number&gt;2&lt;/number&gt;&lt;dates&gt;&lt;year&gt;2008&lt;/year&gt;&lt;/dates&gt;&lt;isbn&gt;0304-324X&lt;/isbn&gt;&lt;urls&gt;&lt;/urls&gt;&lt;/record&gt;&lt;/Cite&gt;&lt;/EndNote&gt;</w:instrText>
      </w:r>
      <w:r w:rsidR="00E00D81" w:rsidRPr="004C78D8">
        <w:fldChar w:fldCharType="separate"/>
      </w:r>
      <w:r w:rsidR="00C630FC" w:rsidRPr="004C78D8">
        <w:rPr>
          <w:noProof/>
        </w:rPr>
        <w:t>[263, 298]</w:t>
      </w:r>
      <w:r w:rsidR="00E00D81" w:rsidRPr="004C78D8">
        <w:fldChar w:fldCharType="end"/>
      </w:r>
      <w:r w:rsidR="00E00D81" w:rsidRPr="004C78D8">
        <w:t xml:space="preserve">; reduced physical activity can propagate the secondary effects of falls via physical deconditioning </w:t>
      </w:r>
      <w:r w:rsidR="00E00D81" w:rsidRPr="004C78D8">
        <w:fldChar w:fldCharType="begin"/>
      </w:r>
      <w:r w:rsidR="00C630FC" w:rsidRPr="004C78D8">
        <w:instrText xml:space="preserve"> ADDIN EN.CITE &lt;EndNote&gt;&lt;Cite&gt;&lt;Author&gt;Hadjistavropoulos&lt;/Author&gt;&lt;Year&gt;2011&lt;/Year&gt;&lt;RecNum&gt;738&lt;/RecNum&gt;&lt;DisplayText&gt;[266]&lt;/DisplayText&gt;&lt;record&gt;&lt;rec-number&gt;738&lt;/rec-number&gt;&lt;foreign-keys&gt;&lt;key app="EN" db-id="tdtrdw9aepptzbefsat599syza29sxsd2wsp" timestamp="1636818323"&gt;738&lt;/key&gt;&lt;/foreign-keys&gt;&lt;ref-type name="Journal Article"&gt;17&lt;/ref-type&gt;&lt;contributors&gt;&lt;authors&gt;&lt;author&gt;Hadjistavropoulos, Thomas&lt;/author&gt;&lt;author&gt;Delbaere, Kim&lt;/author&gt;&lt;author&gt;Fitzgerald, Theresa Dever&lt;/author&gt;&lt;/authors&gt;&lt;/contributors&gt;&lt;titles&gt;&lt;title&gt;Reconceptualizing the role of fear of falling and balance confidence in fall risk&lt;/title&gt;&lt;secondary-title&gt;Journal of aging and Health&lt;/secondary-title&gt;&lt;/titles&gt;&lt;periodical&gt;&lt;full-title&gt;Journal of aging and health&lt;/full-title&gt;&lt;/periodical&gt;&lt;pages&gt;3-23&lt;/pages&gt;&lt;volume&gt;23&lt;/volume&gt;&lt;number&gt;1&lt;/number&gt;&lt;dates&gt;&lt;year&gt;2011&lt;/year&gt;&lt;/dates&gt;&lt;isbn&gt;0898-2643&lt;/isbn&gt;&lt;urls&gt;&lt;/urls&gt;&lt;/record&gt;&lt;/Cite&gt;&lt;/EndNote&gt;</w:instrText>
      </w:r>
      <w:r w:rsidR="00E00D81" w:rsidRPr="004C78D8">
        <w:fldChar w:fldCharType="separate"/>
      </w:r>
      <w:r w:rsidR="00C630FC" w:rsidRPr="004C78D8">
        <w:rPr>
          <w:noProof/>
        </w:rPr>
        <w:t>[266]</w:t>
      </w:r>
      <w:r w:rsidR="00E00D81" w:rsidRPr="004C78D8">
        <w:fldChar w:fldCharType="end"/>
      </w:r>
      <w:r w:rsidR="00E00D81" w:rsidRPr="004C78D8">
        <w:t xml:space="preserve">. </w:t>
      </w:r>
      <w:r w:rsidR="004D2434" w:rsidRPr="004C78D8">
        <w:t>Physical activity is a key determinant of healthy ageing in general</w:t>
      </w:r>
      <w:r w:rsidR="00F149FB" w:rsidRPr="004C78D8">
        <w:t xml:space="preserve">, reducing risks of chronic diseases and improving social wellbeing </w:t>
      </w:r>
      <w:r w:rsidR="00F149FB" w:rsidRPr="004C78D8">
        <w:fldChar w:fldCharType="begin">
          <w:fldData xml:space="preserve">PEVuZE5vdGU+PENpdGU+PEF1dGhvcj5Gb3N0ZXI8L0F1dGhvcj48WWVhcj4yMDE5PC9ZZWFyPjxS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</w:fldData>
        </w:fldChar>
      </w:r>
      <w:r w:rsidR="00C630FC" w:rsidRPr="004C78D8">
        <w:instrText xml:space="preserve"> ADDIN EN.CITE </w:instrText>
      </w:r>
      <w:r w:rsidR="00C630FC" w:rsidRPr="004C78D8">
        <w:fldChar w:fldCharType="begin">
          <w:fldData xml:space="preserve">PEVuZE5vdGU+PENpdGU+PEF1dGhvcj5Gb3N0ZXI8L0F1dGhvcj48WWVhcj4yMDE5PC9ZZWFyPjxS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</w:fldData>
        </w:fldChar>
      </w:r>
      <w:r w:rsidR="00C630FC" w:rsidRPr="004C78D8">
        <w:instrText xml:space="preserve"> ADDIN EN.CITE.DATA </w:instrText>
      </w:r>
      <w:r w:rsidR="00C630FC" w:rsidRPr="004C78D8">
        <w:fldChar w:fldCharType="end"/>
      </w:r>
      <w:r w:rsidR="00F149FB" w:rsidRPr="004C78D8">
        <w:fldChar w:fldCharType="separate"/>
      </w:r>
      <w:r w:rsidR="00C630FC" w:rsidRPr="004C78D8">
        <w:rPr>
          <w:noProof/>
        </w:rPr>
        <w:t>[113, 299]</w:t>
      </w:r>
      <w:r w:rsidR="00F149FB" w:rsidRPr="004C78D8">
        <w:fldChar w:fldCharType="end"/>
      </w:r>
      <w:r w:rsidR="00D104C8" w:rsidRPr="004C78D8">
        <w:t xml:space="preserve">. Finally, higher physical activity level </w:t>
      </w:r>
      <w:r w:rsidR="00F908A0" w:rsidRPr="004C78D8">
        <w:t xml:space="preserve">is a key outcome of </w:t>
      </w:r>
      <w:r w:rsidR="0054567D" w:rsidRPr="004C78D8">
        <w:t>falls prevention exercise</w:t>
      </w:r>
      <w:r w:rsidR="00F908A0" w:rsidRPr="004C78D8">
        <w:t xml:space="preserve"> as its wider health benefit beyond falls prevention </w:t>
      </w:r>
      <w:r w:rsidR="0054567D" w:rsidRPr="004C78D8">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instrText xml:space="preserve"> ADDIN EN.CITE </w:instrText>
      </w:r>
      <w:r w:rsidR="00513646" w:rsidRPr="004C78D8">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instrText xml:space="preserve"> ADDIN EN.CITE.DATA </w:instrText>
      </w:r>
      <w:r w:rsidR="00513646" w:rsidRPr="004C78D8">
        <w:fldChar w:fldCharType="end"/>
      </w:r>
      <w:r w:rsidR="0054567D" w:rsidRPr="004C78D8">
        <w:fldChar w:fldCharType="separate"/>
      </w:r>
      <w:r w:rsidR="00513646" w:rsidRPr="004C78D8">
        <w:rPr>
          <w:noProof/>
        </w:rPr>
        <w:t>[135]</w:t>
      </w:r>
      <w:r w:rsidR="0054567D" w:rsidRPr="004C78D8">
        <w:fldChar w:fldCharType="end"/>
      </w:r>
      <w:r w:rsidR="001F1329" w:rsidRPr="004C78D8">
        <w:t xml:space="preserve">; NICE CG161 similarly recommends that falls prevention interventions promote behavioural/activity change among participants </w:t>
      </w:r>
      <w:r w:rsidR="001F1329" w:rsidRPr="004C78D8">
        <w:fldChar w:fldCharType="begin"/>
      </w:r>
      <w:r w:rsidR="00F255A9"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001F1329" w:rsidRPr="004C78D8">
        <w:fldChar w:fldCharType="separate"/>
      </w:r>
      <w:r w:rsidR="00F255A9" w:rsidRPr="004C78D8">
        <w:rPr>
          <w:noProof/>
        </w:rPr>
        <w:t>[13]</w:t>
      </w:r>
      <w:r w:rsidR="001F1329" w:rsidRPr="004C78D8">
        <w:fldChar w:fldCharType="end"/>
      </w:r>
      <w:r w:rsidR="001F1329" w:rsidRPr="004C78D8">
        <w:t xml:space="preserve">. </w:t>
      </w:r>
    </w:p>
    <w:p w14:paraId="33CCA688" w14:textId="0A66D1C3" w:rsidR="000019E2" w:rsidRPr="004C78D8" w:rsidRDefault="003066C9" w:rsidP="00FB7C1F">
      <w:r w:rsidRPr="004C78D8">
        <w:t xml:space="preserve">There are several further intrinsic capacity variables that have been identified as key falls risk factors in the literature: </w:t>
      </w:r>
      <w:r w:rsidR="000019E2" w:rsidRPr="004C78D8">
        <w:t xml:space="preserve">muscle weakness </w:t>
      </w:r>
      <w:r w:rsidR="005237CA" w:rsidRPr="004C78D8">
        <w:fldChar w:fldCharType="begin"/>
      </w:r>
      <w:r w:rsidR="00C630FC" w:rsidRPr="004C78D8">
        <w:instrText xml:space="preserve"> ADDIN EN.CITE &lt;EndNote&gt;&lt;Cite&gt;&lt;Author&gt;Moreland&lt;/Author&gt;&lt;Year&gt;2004&lt;/Year&gt;&lt;RecNum&gt;759&lt;/RecNum&gt;&lt;DisplayText&gt;[300]&lt;/DisplayText&gt;&lt;record&gt;&lt;rec-number&gt;759&lt;/rec-number&gt;&lt;foreign-keys&gt;&lt;key app="EN" db-id="tdtrdw9aepptzbefsat599syza29sxsd2wsp" timestamp="1636972885"&gt;759&lt;/key&gt;&lt;/foreign-keys&gt;&lt;ref-type name="Journal Article"&gt;17&lt;/ref-type&gt;&lt;contributors&gt;&lt;authors&gt;&lt;author&gt;Moreland, Julie D&lt;/author&gt;&lt;author&gt;Richardson, Julie A&lt;/author&gt;&lt;author&gt;Goldsmith, Charlie H&lt;/author&gt;&lt;author&gt;Clase, Catherine M&lt;/author&gt;&lt;/authors&gt;&lt;/contributors&gt;&lt;titles&gt;&lt;title&gt;Muscle weakness and falls in older adults: a systematic review and meta‐analysis&lt;/title&gt;&lt;secondary-title&gt;Journal of the American Geriatrics Society&lt;/secondary-title&gt;&lt;/titles&gt;&lt;periodical&gt;&lt;full-title&gt;Journal of the American Geriatrics Society&lt;/full-title&gt;&lt;/periodical&gt;&lt;pages&gt;1121-1129&lt;/pages&gt;&lt;volume&gt;52&lt;/volume&gt;&lt;number&gt;7&lt;/number&gt;&lt;dates&gt;&lt;year&gt;2004&lt;/year&gt;&lt;/dates&gt;&lt;isbn&gt;0002-8614&lt;/isbn&gt;&lt;urls&gt;&lt;/urls&gt;&lt;/record&gt;&lt;/Cite&gt;&lt;/EndNote&gt;</w:instrText>
      </w:r>
      <w:r w:rsidR="005237CA" w:rsidRPr="004C78D8">
        <w:fldChar w:fldCharType="separate"/>
      </w:r>
      <w:r w:rsidR="00C630FC" w:rsidRPr="004C78D8">
        <w:rPr>
          <w:noProof/>
        </w:rPr>
        <w:t>[300]</w:t>
      </w:r>
      <w:r w:rsidR="005237CA" w:rsidRPr="004C78D8">
        <w:fldChar w:fldCharType="end"/>
      </w:r>
      <w:r w:rsidR="000019E2" w:rsidRPr="004C78D8">
        <w:t xml:space="preserve">; pain </w:t>
      </w:r>
      <w:r w:rsidR="005237CA" w:rsidRPr="004C78D8">
        <w:fldChar w:fldCharType="begin"/>
      </w:r>
      <w:r w:rsidR="00C630FC" w:rsidRPr="004C78D8">
        <w:instrText xml:space="preserve"> ADDIN EN.CITE &lt;EndNote&gt;&lt;Cite&gt;&lt;Author&gt;Stubbs&lt;/Author&gt;&lt;Year&gt;2014&lt;/Year&gt;&lt;RecNum&gt;623&lt;/RecNum&gt;&lt;DisplayText&gt;[301]&lt;/DisplayText&gt;&lt;record&gt;&lt;rec-number&gt;623&lt;/rec-number&gt;&lt;foreign-keys&gt;&lt;key app="EN" db-id="tdtrdw9aepptzbefsat599syza29sxsd2wsp" timestamp="1624309978"&gt;623&lt;/key&gt;&lt;/foreign-keys&gt;&lt;ref-type name="Journal Article"&gt;17&lt;/ref-type&gt;&lt;contributors&gt;&lt;authors&gt;&lt;author&gt;Stubbs, Brendon&lt;/author&gt;&lt;author&gt;Schofield, Pat&lt;/author&gt;&lt;author&gt;Binnekade, Tarik&lt;/author&gt;&lt;author&gt;Patchay, Sandhi&lt;/author&gt;&lt;author&gt;Sepehry, Amir&lt;/author&gt;&lt;author&gt;Eggermont, Laura&lt;/author&gt;&lt;/authors&gt;&lt;/contributors&gt;&lt;titles&gt;&lt;title&gt;Pain is associated with recurrent falls in community-dwelling older adults: evidence from a systematic review and meta-analysis&lt;/title&gt;&lt;secondary-title&gt;Pain Medicine&lt;/secondary-title&gt;&lt;/titles&gt;&lt;periodical&gt;&lt;full-title&gt;Pain Medicine&lt;/full-title&gt;&lt;/periodical&gt;&lt;pages&gt;1115-1128&lt;/pages&gt;&lt;volume&gt;15&lt;/volume&gt;&lt;number&gt;7&lt;/number&gt;&lt;dates&gt;&lt;year&gt;2014&lt;/year&gt;&lt;/dates&gt;&lt;isbn&gt;1526-4637&lt;/isbn&gt;&lt;urls&gt;&lt;/urls&gt;&lt;/record&gt;&lt;/Cite&gt;&lt;/EndNote&gt;</w:instrText>
      </w:r>
      <w:r w:rsidR="005237CA" w:rsidRPr="004C78D8">
        <w:fldChar w:fldCharType="separate"/>
      </w:r>
      <w:r w:rsidR="00C630FC" w:rsidRPr="004C78D8">
        <w:rPr>
          <w:noProof/>
        </w:rPr>
        <w:t>[301]</w:t>
      </w:r>
      <w:r w:rsidR="005237CA" w:rsidRPr="004C78D8">
        <w:fldChar w:fldCharType="end"/>
      </w:r>
      <w:r w:rsidR="000019E2" w:rsidRPr="004C78D8">
        <w:t>;</w:t>
      </w:r>
      <w:r w:rsidR="005237CA" w:rsidRPr="004C78D8">
        <w:t xml:space="preserve"> </w:t>
      </w:r>
      <w:r w:rsidR="003306A1" w:rsidRPr="004C78D8">
        <w:t xml:space="preserve">use of certain medications and polypharmacy </w:t>
      </w:r>
      <w:r w:rsidR="003306A1" w:rsidRPr="004C78D8">
        <w:fldChar w:fldCharType="begin"/>
      </w:r>
      <w:r w:rsidR="00C630FC" w:rsidRPr="004C78D8">
        <w:instrText xml:space="preserve"> ADDIN EN.CITE &lt;EndNote&gt;&lt;Cite&gt;&lt;Author&gt;Park&lt;/Author&gt;&lt;Year&gt;2015&lt;/Year&gt;&lt;RecNum&gt;763&lt;/RecNum&gt;&lt;DisplayText&gt;[302, 303]&lt;/DisplayText&gt;&lt;record&gt;&lt;rec-number&gt;763&lt;/rec-number&gt;&lt;foreign-keys&gt;&lt;key app="EN" db-id="tdtrdw9aepptzbefsat599syza29sxsd2wsp" timestamp="1636976371"&gt;763&lt;/key&gt;&lt;/foreign-keys&gt;&lt;ref-type name="Journal Article"&gt;17&lt;/ref-type&gt;&lt;contributors&gt;&lt;authors&gt;&lt;author&gt;Park, Hyerim&lt;/author&gt;&lt;author&gt;Satoh, Hiroki&lt;/author&gt;&lt;author&gt;Miki, Akiko&lt;/author&gt;&lt;author&gt;Urushihara, Hisashi&lt;/author&gt;&lt;author&gt;Sawada, Yasufumi&lt;/author&gt;&lt;/authors&gt;&lt;/contributors&gt;&lt;titles&gt;&lt;title&gt;Medications associated with falls in older people: systematic review of publications from a recent 5-year period&lt;/title&gt;&lt;secondary-title&gt;European journal of clinical pharmacology&lt;/secondary-title&gt;&lt;/titles&gt;&lt;periodical&gt;&lt;full-title&gt;European journal of clinical pharmacology&lt;/full-title&gt;&lt;/periodical&gt;&lt;pages&gt;1429-1440&lt;/pages&gt;&lt;volume&gt;71&lt;/volume&gt;&lt;number&gt;12&lt;/number&gt;&lt;dates&gt;&lt;year&gt;2015&lt;/year&gt;&lt;/dates&gt;&lt;isbn&gt;1432-1041&lt;/isbn&gt;&lt;urls&gt;&lt;/urls&gt;&lt;/record&gt;&lt;/Cite&gt;&lt;Cite&gt;&lt;Author&gt;Richardson&lt;/Author&gt;&lt;Year&gt;2014&lt;/Year&gt;&lt;RecNum&gt;764&lt;/RecNum&gt;&lt;record&gt;&lt;rec-number&gt;764&lt;/rec-number&gt;&lt;foreign-keys&gt;&lt;key app="EN" db-id="tdtrdw9aepptzbefsat599syza29sxsd2wsp" timestamp="1636976532"&gt;764&lt;/key&gt;&lt;/foreign-keys&gt;&lt;ref-type name="Journal Article"&gt;17&lt;/ref-type&gt;&lt;contributors&gt;&lt;authors&gt;&lt;author&gt;Richardson, Kathryn&lt;/author&gt;&lt;author&gt;Bennett, Kathleen&lt;/author&gt;&lt;author&gt;Kenny, Rose Anne&lt;/author&gt;&lt;/authors&gt;&lt;/contributors&gt;&lt;titles&gt;&lt;title&gt;Polypharmacy including falls risk-increasing medications and subsequent falls in community-dwelling middle-aged and older adults&lt;/title&gt;&lt;secondary-title&gt;Age and ageing&lt;/secondary-title&gt;&lt;/titles&gt;&lt;periodical&gt;&lt;full-title&gt;Age and ageing&lt;/full-title&gt;&lt;/periodical&gt;&lt;pages&gt;90-96&lt;/pages&gt;&lt;volume&gt;44&lt;/volume&gt;&lt;number&gt;1&lt;/number&gt;&lt;dates&gt;&lt;year&gt;2014&lt;/year&gt;&lt;/dates&gt;&lt;isbn&gt;0002-0729&lt;/isbn&gt;&lt;urls&gt;&lt;/urls&gt;&lt;/record&gt;&lt;/Cite&gt;&lt;/EndNote&gt;</w:instrText>
      </w:r>
      <w:r w:rsidR="003306A1" w:rsidRPr="004C78D8">
        <w:fldChar w:fldCharType="separate"/>
      </w:r>
      <w:r w:rsidR="00C630FC" w:rsidRPr="004C78D8">
        <w:rPr>
          <w:noProof/>
        </w:rPr>
        <w:t>[302, 303]</w:t>
      </w:r>
      <w:r w:rsidR="003306A1" w:rsidRPr="004C78D8">
        <w:fldChar w:fldCharType="end"/>
      </w:r>
      <w:r w:rsidR="005D2F77" w:rsidRPr="004C78D8">
        <w:t xml:space="preserve">; </w:t>
      </w:r>
      <w:r w:rsidR="00663952" w:rsidRPr="004C78D8">
        <w:t xml:space="preserve">urinary incontinence </w:t>
      </w:r>
      <w:r w:rsidR="005237CA" w:rsidRPr="004C78D8">
        <w:fldChar w:fldCharType="begin"/>
      </w:r>
      <w:r w:rsidR="00C630FC" w:rsidRPr="004C78D8">
        <w:instrText xml:space="preserve"> ADDIN EN.CITE &lt;EndNote&gt;&lt;Cite&gt;&lt;Author&gt;Chiarelli&lt;/Author&gt;&lt;Year&gt;2009&lt;/Year&gt;&lt;RecNum&gt;760&lt;/RecNum&gt;&lt;DisplayText&gt;[304]&lt;/DisplayText&gt;&lt;record&gt;&lt;rec-number&gt;760&lt;/rec-number&gt;&lt;foreign-keys&gt;&lt;key app="EN" db-id="tdtrdw9aepptzbefsat599syza29sxsd2wsp" timestamp="1636973185"&gt;760&lt;/key&gt;&lt;/foreign-keys&gt;&lt;ref-type name="Journal Article"&gt;17&lt;/ref-type&gt;&lt;contributors&gt;&lt;authors&gt;&lt;author&gt;Chiarelli, Pauline E&lt;/author&gt;&lt;author&gt;Mackenzie, Lynette A&lt;/author&gt;&lt;author&gt;Osmotherly, Peter G&lt;/author&gt;&lt;/authors&gt;&lt;/contributors&gt;&lt;titles&gt;&lt;title&gt;Urinary incontinence is associated with an increase in falls: a systematic review&lt;/title&gt;&lt;secondary-title&gt;Australian Journal of Physiotherapy&lt;/secondary-title&gt;&lt;/titles&gt;&lt;periodical&gt;&lt;full-title&gt;Australian Journal of Physiotherapy&lt;/full-title&gt;&lt;/periodical&gt;&lt;pages&gt;89-95&lt;/pages&gt;&lt;volume&gt;55&lt;/volume&gt;&lt;number&gt;2&lt;/number&gt;&lt;dates&gt;&lt;year&gt;2009&lt;/year&gt;&lt;/dates&gt;&lt;isbn&gt;0004-9514&lt;/isbn&gt;&lt;urls&gt;&lt;/urls&gt;&lt;/record&gt;&lt;/Cite&gt;&lt;/EndNote&gt;</w:instrText>
      </w:r>
      <w:r w:rsidR="005237CA" w:rsidRPr="004C78D8">
        <w:fldChar w:fldCharType="separate"/>
      </w:r>
      <w:r w:rsidR="00C630FC" w:rsidRPr="004C78D8">
        <w:rPr>
          <w:noProof/>
        </w:rPr>
        <w:t>[304]</w:t>
      </w:r>
      <w:r w:rsidR="005237CA" w:rsidRPr="004C78D8">
        <w:fldChar w:fldCharType="end"/>
      </w:r>
      <w:r w:rsidR="00663952" w:rsidRPr="004C78D8">
        <w:t xml:space="preserve">; </w:t>
      </w:r>
      <w:r w:rsidR="005D2F77" w:rsidRPr="004C78D8">
        <w:t xml:space="preserve">visual impairment </w:t>
      </w:r>
      <w:r w:rsidR="005D2F77" w:rsidRPr="004C78D8">
        <w:fldChar w:fldCharType="begin"/>
      </w:r>
      <w:r w:rsidR="00C630FC" w:rsidRPr="004C78D8">
        <w:instrText xml:space="preserve"> ADDIN EN.CITE &lt;EndNote&gt;&lt;Cite&gt;&lt;Author&gt;Reed-Jones&lt;/Author&gt;&lt;Year&gt;2013&lt;/Year&gt;&lt;RecNum&gt;762&lt;/RecNum&gt;&lt;DisplayText&gt;[305]&lt;/DisplayText&gt;&lt;record&gt;&lt;rec-number&gt;762&lt;/rec-number&gt;&lt;foreign-keys&gt;&lt;key app="EN" db-id="tdtrdw9aepptzbefsat599syza29sxsd2wsp" timestamp="1636976092"&gt;762&lt;/key&gt;&lt;/foreign-keys&gt;&lt;ref-type name="Journal Article"&gt;17&lt;/ref-type&gt;&lt;contributors&gt;&lt;authors&gt;&lt;author&gt;Reed-Jones, Rebecca J&lt;/author&gt;&lt;author&gt;Solis, Guillermina R&lt;/author&gt;&lt;author&gt;Lawson, Katherine A&lt;/author&gt;&lt;author&gt;Loya, Amanda M&lt;/author&gt;&lt;author&gt;Cude-Islas, Donna&lt;/author&gt;&lt;author&gt;Berger, Candyce S&lt;/author&gt;&lt;/authors&gt;&lt;/contributors&gt;&lt;titles&gt;&lt;title&gt;Vision and falls: a multidisciplinary review of the contributions of visual impairment to falls among older adults&lt;/title&gt;&lt;secondary-title&gt;Maturitas&lt;/secondary-title&gt;&lt;/titles&gt;&lt;periodical&gt;&lt;full-title&gt;Maturitas&lt;/full-title&gt;&lt;/periodical&gt;&lt;pages&gt;22-28&lt;/pages&gt;&lt;volume&gt;75&lt;/volume&gt;&lt;number&gt;1&lt;/number&gt;&lt;dates&gt;&lt;year&gt;2013&lt;/year&gt;&lt;/dates&gt;&lt;isbn&gt;0378-5122&lt;/isbn&gt;&lt;urls&gt;&lt;/urls&gt;&lt;/record&gt;&lt;/Cite&gt;&lt;/EndNote&gt;</w:instrText>
      </w:r>
      <w:r w:rsidR="005D2F77" w:rsidRPr="004C78D8">
        <w:fldChar w:fldCharType="separate"/>
      </w:r>
      <w:r w:rsidR="00C630FC" w:rsidRPr="004C78D8">
        <w:rPr>
          <w:noProof/>
        </w:rPr>
        <w:t>[305]</w:t>
      </w:r>
      <w:r w:rsidR="005D2F77" w:rsidRPr="004C78D8">
        <w:fldChar w:fldCharType="end"/>
      </w:r>
      <w:r w:rsidR="005D2F77" w:rsidRPr="004C78D8">
        <w:t xml:space="preserve">; </w:t>
      </w:r>
      <w:r w:rsidR="005237CA" w:rsidRPr="004C78D8">
        <w:t xml:space="preserve">and </w:t>
      </w:r>
      <w:r w:rsidR="000019E2" w:rsidRPr="004C78D8">
        <w:t xml:space="preserve">depression </w:t>
      </w:r>
      <w:r w:rsidR="005237CA" w:rsidRPr="004C78D8">
        <w:fldChar w:fldCharType="begin"/>
      </w:r>
      <w:r w:rsidR="00C630FC" w:rsidRPr="004C78D8">
        <w:instrText xml:space="preserve"> ADDIN EN.CITE &lt;EndNote&gt;&lt;Cite&gt;&lt;Author&gt;Kvelde&lt;/Author&gt;&lt;Year&gt;2013&lt;/Year&gt;&lt;RecNum&gt;761&lt;/RecNum&gt;&lt;DisplayText&gt;[306]&lt;/DisplayText&gt;&lt;record&gt;&lt;rec-number&gt;761&lt;/rec-number&gt;&lt;foreign-keys&gt;&lt;key app="EN" db-id="tdtrdw9aepptzbefsat599syza29sxsd2wsp" timestamp="1636973355"&gt;761&lt;/key&gt;&lt;/foreign-keys&gt;&lt;ref-type name="Journal Article"&gt;17&lt;/ref-type&gt;&lt;contributors&gt;&lt;authors&gt;&lt;author&gt;Kvelde, Tasha&lt;/author&gt;&lt;author&gt;McVeigh, Catherine&lt;/author&gt;&lt;author&gt;Toson, Barbara&lt;/author&gt;&lt;author&gt;Greenaway, Mark&lt;/author&gt;&lt;author&gt;Lord, Stephen R&lt;/author&gt;&lt;author&gt;Delbaere, Kim&lt;/author&gt;&lt;author&gt;Close, Jacqueline CT&lt;/author&gt;&lt;/authors&gt;&lt;/contributors&gt;&lt;titles&gt;&lt;title&gt;Depressive symptomatology as a risk factor for falls in older people: systematic review and meta‐analysis&lt;/title&gt;&lt;secondary-title&gt;Journal of the American Geriatrics Society&lt;/secondary-title&gt;&lt;/titles&gt;&lt;periodical&gt;&lt;full-title&gt;Journal of the American Geriatrics Society&lt;/full-title&gt;&lt;/periodical&gt;&lt;pages&gt;694-706&lt;/pages&gt;&lt;volume&gt;61&lt;/volume&gt;&lt;number&gt;5&lt;/number&gt;&lt;dates&gt;&lt;year&gt;2013&lt;/year&gt;&lt;/dates&gt;&lt;isbn&gt;0002-8614&lt;/isbn&gt;&lt;urls&gt;&lt;/urls&gt;&lt;/record&gt;&lt;/Cite&gt;&lt;/EndNote&gt;</w:instrText>
      </w:r>
      <w:r w:rsidR="005237CA" w:rsidRPr="004C78D8">
        <w:fldChar w:fldCharType="separate"/>
      </w:r>
      <w:r w:rsidR="00C630FC" w:rsidRPr="004C78D8">
        <w:rPr>
          <w:noProof/>
        </w:rPr>
        <w:t>[306]</w:t>
      </w:r>
      <w:r w:rsidR="005237CA" w:rsidRPr="004C78D8">
        <w:fldChar w:fldCharType="end"/>
      </w:r>
      <w:r w:rsidR="005237CA" w:rsidRPr="004C78D8">
        <w:t>.</w:t>
      </w:r>
      <w:r w:rsidR="002A0AB4" w:rsidRPr="004C78D8">
        <w:t xml:space="preserve"> Factors such as pain and depression are also consequences of falls (</w:t>
      </w:r>
      <w:r w:rsidR="0003734B" w:rsidRPr="004C78D8">
        <w:t xml:space="preserve">and </w:t>
      </w:r>
      <w:r w:rsidR="002A0AB4" w:rsidRPr="004C78D8">
        <w:t xml:space="preserve">closely associated with fear of falling) </w:t>
      </w:r>
      <w:r w:rsidR="002A0AB4" w:rsidRPr="004C78D8">
        <w:fldChar w:fldCharType="begin"/>
      </w:r>
      <w:r w:rsidR="00C630FC" w:rsidRPr="004C78D8">
        <w:instrText xml:space="preserve"> ADDIN EN.CITE &lt;EndNote&gt;&lt;Cite&gt;&lt;Author&gt;Hadjistavropoulos&lt;/Author&gt;&lt;Year&gt;2011&lt;/Year&gt;&lt;RecNum&gt;738&lt;/RecNum&gt;&lt;DisplayText&gt;[266]&lt;/DisplayText&gt;&lt;record&gt;&lt;rec-number&gt;738&lt;/rec-number&gt;&lt;foreign-keys&gt;&lt;key app="EN" db-id="tdtrdw9aepptzbefsat599syza29sxsd2wsp" timestamp="1636818323"&gt;738&lt;/key&gt;&lt;/foreign-keys&gt;&lt;ref-type name="Journal Article"&gt;17&lt;/ref-type&gt;&lt;contributors&gt;&lt;authors&gt;&lt;author&gt;Hadjistavropoulos, Thomas&lt;/author&gt;&lt;author&gt;Delbaere, Kim&lt;/author&gt;&lt;author&gt;Fitzgerald, Theresa Dever&lt;/author&gt;&lt;/authors&gt;&lt;/contributors&gt;&lt;titles&gt;&lt;title&gt;Reconceptualizing the role of fear of falling and balance confidence in fall risk&lt;/title&gt;&lt;secondary-title&gt;Journal of aging and Health&lt;/secondary-title&gt;&lt;/titles&gt;&lt;periodical&gt;&lt;full-title&gt;Journal of aging and health&lt;/full-title&gt;&lt;/periodical&gt;&lt;pages&gt;3-23&lt;/pages&gt;&lt;volume&gt;23&lt;/volume&gt;&lt;number&gt;1&lt;/number&gt;&lt;dates&gt;&lt;year&gt;2011&lt;/year&gt;&lt;/dates&gt;&lt;isbn&gt;0898-2643&lt;/isbn&gt;&lt;urls&gt;&lt;/urls&gt;&lt;/record&gt;&lt;/Cite&gt;&lt;/EndNote&gt;</w:instrText>
      </w:r>
      <w:r w:rsidR="002A0AB4" w:rsidRPr="004C78D8">
        <w:fldChar w:fldCharType="separate"/>
      </w:r>
      <w:r w:rsidR="00C630FC" w:rsidRPr="004C78D8">
        <w:rPr>
          <w:noProof/>
        </w:rPr>
        <w:t>[266]</w:t>
      </w:r>
      <w:r w:rsidR="002A0AB4" w:rsidRPr="004C78D8">
        <w:fldChar w:fldCharType="end"/>
      </w:r>
      <w:r w:rsidR="002A0AB4" w:rsidRPr="004C78D8">
        <w:t>, thus propagating the secondary effects of falls.</w:t>
      </w:r>
      <w:r w:rsidR="003F2748" w:rsidRPr="004C78D8">
        <w:t xml:space="preserve"> It should be noted that these variables can be incorporated as deficits in a frailty index </w:t>
      </w:r>
      <w:r w:rsidR="003F2748" w:rsidRPr="004C78D8">
        <w:fldChar w:fldCharType="begin"/>
      </w:r>
      <w:r w:rsidR="00C630FC" w:rsidRPr="004C78D8">
        <w:instrText xml:space="preserve"> ADDIN EN.CITE &lt;EndNote&gt;&lt;Cite&gt;&lt;Author&gt;Kojima&lt;/Author&gt;&lt;Year&gt;2015&lt;/Year&gt;&lt;RecNum&gt;127&lt;/RecNum&gt;&lt;DisplayText&gt;[277]&lt;/DisplayText&gt;&lt;record&gt;&lt;rec-number&gt;127&lt;/rec-number&gt;&lt;foreign-keys&gt;&lt;key app="EN" db-id="tdtrdw9aepptzbefsat599syza29sxsd2wsp" timestamp="1599138859"&gt;127&lt;/key&gt;&lt;/foreign-keys&gt;&lt;ref-type name="Journal Article"&gt;17&lt;/ref-type&gt;&lt;contributors&gt;&lt;authors&gt;&lt;author&gt;Kojima, Gotaro&lt;/author&gt;&lt;author&gt;Kendrick, Denise&lt;/author&gt;&lt;author&gt;Skelton, Dawn A&lt;/author&gt;&lt;author&gt;Morris, Richard W&lt;/author&gt;&lt;author&gt;Gawler, Sheena&lt;/author&gt;&lt;author&gt;Iliffe, Steve&lt;/author&gt;&lt;/authors&gt;&lt;/contributors&gt;&lt;titles&gt;&lt;title&gt;Frailty predicts short-term incidence of future falls among British community-dwelling older people: a prospective cohort study nested within a randomised controlled trial&lt;/title&gt;&lt;secondary-title&gt;BMC geriatrics&lt;/secondary-title&gt;&lt;/titles&gt;&lt;periodical&gt;&lt;full-title&gt;BMC Geriatrics&lt;/full-title&gt;&lt;/periodical&gt;&lt;pages&gt;155&lt;/pages&gt;&lt;volume&gt;15&lt;/volume&gt;&lt;number&gt;1&lt;/number&gt;&lt;dates&gt;&lt;year&gt;2015&lt;/year&gt;&lt;/dates&gt;&lt;isbn&gt;1471-2318&lt;/isbn&gt;&lt;urls&gt;&lt;/urls&gt;&lt;/record&gt;&lt;/Cite&gt;&lt;/EndNote&gt;</w:instrText>
      </w:r>
      <w:r w:rsidR="003F2748" w:rsidRPr="004C78D8">
        <w:fldChar w:fldCharType="separate"/>
      </w:r>
      <w:r w:rsidR="00C630FC" w:rsidRPr="004C78D8">
        <w:rPr>
          <w:noProof/>
        </w:rPr>
        <w:t>[277]</w:t>
      </w:r>
      <w:r w:rsidR="003F2748" w:rsidRPr="004C78D8">
        <w:fldChar w:fldCharType="end"/>
      </w:r>
      <w:r w:rsidR="003F2748" w:rsidRPr="004C78D8">
        <w:t>. The latter may thus serve as a parsimonious measure of the collective impact of diverse deficits</w:t>
      </w:r>
      <w:r w:rsidR="002B204A" w:rsidRPr="004C78D8">
        <w:t xml:space="preserve"> to intrinsic capacity</w:t>
      </w:r>
      <w:r w:rsidR="003F2748" w:rsidRPr="004C78D8">
        <w:t>.</w:t>
      </w:r>
    </w:p>
    <w:p w14:paraId="012A1CFD" w14:textId="0D456C6F" w:rsidR="00020E6D" w:rsidRPr="004C78D8" w:rsidRDefault="00020E6D" w:rsidP="00FB7C1F">
      <w:pPr>
        <w:pStyle w:val="Heading3"/>
      </w:pPr>
      <w:bookmarkStart w:id="87" w:name="_Toc111630734"/>
      <w:r w:rsidRPr="004C78D8">
        <w:t>3.6.4 Environmental variables</w:t>
      </w:r>
      <w:bookmarkEnd w:id="87"/>
    </w:p>
    <w:p w14:paraId="435BD7B6" w14:textId="674B8CC0" w:rsidR="00746663" w:rsidRPr="004C78D8" w:rsidRDefault="00D972BA" w:rsidP="00FB7C1F">
      <w:r w:rsidRPr="004C78D8">
        <w:t>Qualitative research participants highlighted the importance of environmental</w:t>
      </w:r>
      <w:r w:rsidR="003306A1" w:rsidRPr="004C78D8">
        <w:t xml:space="preserve"> or extrinsic</w:t>
      </w:r>
      <w:r w:rsidRPr="004C78D8">
        <w:t xml:space="preserve"> determinants of falls risk and health promotion</w:t>
      </w:r>
      <w:r w:rsidR="00064553" w:rsidRPr="004C78D8">
        <w:t xml:space="preserve"> (Section 2.4.2.6)</w:t>
      </w:r>
      <w:r w:rsidR="00AE5E89" w:rsidRPr="004C78D8">
        <w:t>,</w:t>
      </w:r>
      <w:r w:rsidR="00064553" w:rsidRPr="004C78D8">
        <w:t xml:space="preserve"> as did the independent scientific reviewer (Document </w:t>
      </w:r>
      <w:r w:rsidR="004E7EC5" w:rsidRPr="004C78D8">
        <w:t>8</w:t>
      </w:r>
      <w:r w:rsidR="00064553" w:rsidRPr="004C78D8">
        <w:t xml:space="preserve"> in Appendix B).</w:t>
      </w:r>
      <w:r w:rsidR="00B16D91" w:rsidRPr="004C78D8">
        <w:t xml:space="preserve"> </w:t>
      </w:r>
      <w:r w:rsidR="00F96F14" w:rsidRPr="004C78D8">
        <w:t xml:space="preserve">Hazards at home such as poor lighting and inappropriate indoor footwear </w:t>
      </w:r>
      <w:r w:rsidR="00AE5E89" w:rsidRPr="004C78D8">
        <w:t>s</w:t>
      </w:r>
      <w:r w:rsidR="00F96F14" w:rsidRPr="004C78D8">
        <w:t xml:space="preserve">ignificantly increase falls risk </w:t>
      </w:r>
      <w:r w:rsidR="00F96F14" w:rsidRPr="004C78D8">
        <w:fldChar w:fldCharType="begin">
          <w:fldData xml:space="preserve">PEVuZE5vdGU+PENpdGU+PEF1dGhvcj5MaW08L0F1dGhvcj48WWVhcj4yMDEyPC9ZZWFyPjxSZWNO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==
</w:fldData>
        </w:fldChar>
      </w:r>
      <w:r w:rsidR="00C630FC" w:rsidRPr="004C78D8">
        <w:instrText xml:space="preserve"> ADDIN EN.CITE </w:instrText>
      </w:r>
      <w:r w:rsidR="00C630FC" w:rsidRPr="004C78D8">
        <w:fldChar w:fldCharType="begin">
          <w:fldData xml:space="preserve">PEVuZE5vdGU+PENpdGU+PEF1dGhvcj5MaW08L0F1dGhvcj48WWVhcj4yMDEyPC9ZZWFyPjxSZWNO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==
</w:fldData>
        </w:fldChar>
      </w:r>
      <w:r w:rsidR="00C630FC" w:rsidRPr="004C78D8">
        <w:instrText xml:space="preserve"> ADDIN EN.CITE.DATA </w:instrText>
      </w:r>
      <w:r w:rsidR="00C630FC" w:rsidRPr="004C78D8">
        <w:fldChar w:fldCharType="end"/>
      </w:r>
      <w:r w:rsidR="00F96F14" w:rsidRPr="004C78D8">
        <w:fldChar w:fldCharType="separate"/>
      </w:r>
      <w:r w:rsidR="00C630FC" w:rsidRPr="004C78D8">
        <w:rPr>
          <w:noProof/>
        </w:rPr>
        <w:t>[217, 307]</w:t>
      </w:r>
      <w:r w:rsidR="00F96F14" w:rsidRPr="004C78D8">
        <w:fldChar w:fldCharType="end"/>
      </w:r>
      <w:r w:rsidR="00F96F14" w:rsidRPr="004C78D8">
        <w:t xml:space="preserve"> and interact closely with visual impairment </w:t>
      </w:r>
      <w:r w:rsidR="00F96F14" w:rsidRPr="004C78D8">
        <w:fldChar w:fldCharType="begin"/>
      </w:r>
      <w:r w:rsidR="00C630FC" w:rsidRPr="004C78D8">
        <w:instrText xml:space="preserve"> ADDIN EN.CITE &lt;EndNote&gt;&lt;Cite&gt;&lt;Author&gt;Reed-Jones&lt;/Author&gt;&lt;Year&gt;2013&lt;/Year&gt;&lt;RecNum&gt;762&lt;/RecNum&gt;&lt;DisplayText&gt;[305]&lt;/DisplayText&gt;&lt;record&gt;&lt;rec-number&gt;762&lt;/rec-number&gt;&lt;foreign-keys&gt;&lt;key app="EN" db-id="tdtrdw9aepptzbefsat599syza29sxsd2wsp" timestamp="1636976092"&gt;762&lt;/key&gt;&lt;/foreign-keys&gt;&lt;ref-type name="Journal Article"&gt;17&lt;/ref-type&gt;&lt;contributors&gt;&lt;authors&gt;&lt;author&gt;Reed-Jones, Rebecca J&lt;/author&gt;&lt;author&gt;Solis, Guillermina R&lt;/author&gt;&lt;author&gt;Lawson, Katherine A&lt;/author&gt;&lt;author&gt;Loya, Amanda M&lt;/author&gt;&lt;author&gt;Cude-Islas, Donna&lt;/author&gt;&lt;author&gt;Berger, Candyce S&lt;/author&gt;&lt;/authors&gt;&lt;/contributors&gt;&lt;titles&gt;&lt;title&gt;Vision and falls: a multidisciplinary review of the contributions of visual impairment to falls among older adults&lt;/title&gt;&lt;secondary-title&gt;Maturitas&lt;/secondary-title&gt;&lt;/titles&gt;&lt;periodical&gt;&lt;full-title&gt;Maturitas&lt;/full-title&gt;&lt;/periodical&gt;&lt;pages&gt;22-28&lt;/pages&gt;&lt;volume&gt;75&lt;/volume&gt;&lt;number&gt;1&lt;/number&gt;&lt;dates&gt;&lt;year&gt;2013&lt;/year&gt;&lt;/dates&gt;&lt;isbn&gt;0378-5122&lt;/isbn&gt;&lt;urls&gt;&lt;/urls&gt;&lt;/record&gt;&lt;/Cite&gt;&lt;/EndNote&gt;</w:instrText>
      </w:r>
      <w:r w:rsidR="00F96F14" w:rsidRPr="004C78D8">
        <w:fldChar w:fldCharType="separate"/>
      </w:r>
      <w:r w:rsidR="00C630FC" w:rsidRPr="004C78D8">
        <w:rPr>
          <w:noProof/>
        </w:rPr>
        <w:t>[305]</w:t>
      </w:r>
      <w:r w:rsidR="00F96F14" w:rsidRPr="004C78D8">
        <w:fldChar w:fldCharType="end"/>
      </w:r>
      <w:r w:rsidR="00F96F14" w:rsidRPr="004C78D8">
        <w:t xml:space="preserve">. Beyond falls, housing quality is a key social determinant of physical health and broader wellbeing in old age </w:t>
      </w:r>
      <w:r w:rsidR="00F96F14" w:rsidRPr="004C78D8">
        <w:fldChar w:fldCharType="begin"/>
      </w:r>
      <w:r w:rsidR="00C630FC" w:rsidRPr="004C78D8">
        <w:instrText xml:space="preserve"> ADDIN EN.CITE &lt;EndNote&gt;&lt;Cite&gt;&lt;Author&gt;World Health Organization&lt;/Author&gt;&lt;Year&gt;2015&lt;/Year&gt;&lt;RecNum&gt;1&lt;/RecNum&gt;&lt;DisplayText&gt;[2, 116, 308]&lt;/DisplayText&gt;&lt;record&gt;&lt;rec-number&gt;1&lt;/rec-number&gt;&lt;foreign-keys&gt;&lt;key app="EN" db-id="tdtrdw9aepptzbefsat599syza29sxsd2wsp" timestamp="1596571129"&gt;1&lt;/key&gt;&lt;/foreign-keys&gt;&lt;ref-type name="Book"&gt;6&lt;/ref-type&gt;&lt;contributors&gt;&lt;authors&gt;&lt;author&gt;World Health Organization,&lt;/author&gt;&lt;/authors&gt;&lt;/contributors&gt;&lt;titles&gt;&lt;title&gt;World Report on Ageing and Health&lt;/title&gt;&lt;/titles&gt;&lt;dates&gt;&lt;year&gt;2015&lt;/year&gt;&lt;/dates&gt;&lt;publisher&gt;World Health Organization&lt;/publisher&gt;&lt;isbn&gt;9241565047&lt;/isbn&gt;&lt;urls&gt;&lt;/urls&gt;&lt;/record&gt;&lt;/Cite&gt;&lt;Cite&gt;&lt;Author&gt;Donald&lt;/Author&gt;&lt;Year&gt;2009&lt;/Year&gt;&lt;RecNum&gt;766&lt;/RecNum&gt;&lt;record&gt;&lt;rec-number&gt;766&lt;/rec-number&gt;&lt;foreign-keys&gt;&lt;key app="EN" db-id="tdtrdw9aepptzbefsat599syza29sxsd2wsp" timestamp="1636979173"&gt;766&lt;/key&gt;&lt;/foreign-keys&gt;&lt;ref-type name="Journal Article"&gt;17&lt;/ref-type&gt;&lt;contributors&gt;&lt;authors&gt;&lt;author&gt;Donald, Ian P&lt;/author&gt;&lt;/authors&gt;&lt;/contributors&gt;&lt;titles&gt;&lt;title&gt;Housing and health care for older people&lt;/title&gt;&lt;secondary-title&gt;Age and ageing&lt;/secondary-title&gt;&lt;/titles&gt;&lt;periodical&gt;&lt;full-title&gt;Age and ageing&lt;/full-title&gt;&lt;/periodical&gt;&lt;pages&gt;364-367&lt;/pages&gt;&lt;volume&gt;38&lt;/volume&gt;&lt;number&gt;4&lt;/number&gt;&lt;dates&gt;&lt;year&gt;2009&lt;/year&gt;&lt;/dates&gt;&lt;isbn&gt;1468-2834&lt;/isbn&gt;&lt;urls&gt;&lt;/urls&gt;&lt;/record&gt;&lt;/Cite&gt;&lt;Cite&gt;&lt;Author&gt;World Health Organization&lt;/Author&gt;&lt;Year&gt;2007&lt;/Year&gt;&lt;RecNum&gt;466&lt;/RecNum&gt;&lt;record&gt;&lt;rec-number&gt;466&lt;/rec-number&gt;&lt;foreign-keys&gt;&lt;key app="EN" db-id="tdtrdw9aepptzbefsat599syza29sxsd2wsp" timestamp="1616494600"&gt;466&lt;/key&gt;&lt;/foreign-keys&gt;&lt;ref-type name="Book"&gt;6&lt;/ref-type&gt;&lt;contributors&gt;&lt;authors&gt;&lt;author&gt;World Health Organization,&lt;/author&gt;&lt;/authors&gt;&lt;/contributors&gt;&lt;titles&gt;&lt;title&gt;Global age-friendly cities: A guide&lt;/title&gt;&lt;/titles&gt;&lt;dates&gt;&lt;year&gt;2007&lt;/year&gt;&lt;/dates&gt;&lt;publisher&gt;World Health Organization&lt;/publisher&gt;&lt;isbn&gt;9241547308&lt;/isbn&gt;&lt;urls&gt;&lt;/urls&gt;&lt;/record&gt;&lt;/Cite&gt;&lt;/EndNote&gt;</w:instrText>
      </w:r>
      <w:r w:rsidR="00F96F14" w:rsidRPr="004C78D8">
        <w:fldChar w:fldCharType="separate"/>
      </w:r>
      <w:r w:rsidR="00C630FC" w:rsidRPr="004C78D8">
        <w:rPr>
          <w:noProof/>
        </w:rPr>
        <w:t xml:space="preserve">[2, </w:t>
      </w:r>
      <w:r w:rsidR="00C630FC" w:rsidRPr="004C78D8">
        <w:rPr>
          <w:noProof/>
        </w:rPr>
        <w:lastRenderedPageBreak/>
        <w:t>116, 308]</w:t>
      </w:r>
      <w:r w:rsidR="00F96F14" w:rsidRPr="004C78D8">
        <w:fldChar w:fldCharType="end"/>
      </w:r>
      <w:r w:rsidR="00F96F14" w:rsidRPr="004C78D8">
        <w:t>.</w:t>
      </w:r>
      <w:r w:rsidR="009E4A26" w:rsidRPr="004C78D8">
        <w:t xml:space="preserve"> </w:t>
      </w:r>
      <w:r w:rsidR="006655F3" w:rsidRPr="004C78D8">
        <w:t>Home</w:t>
      </w:r>
      <w:r w:rsidR="009473CC" w:rsidRPr="004C78D8">
        <w:t>owners</w:t>
      </w:r>
      <w:r w:rsidR="006655F3" w:rsidRPr="004C78D8">
        <w:t xml:space="preserve"> </w:t>
      </w:r>
      <w:r w:rsidR="009473CC" w:rsidRPr="004C78D8">
        <w:t xml:space="preserve">are </w:t>
      </w:r>
      <w:r w:rsidR="004257A7" w:rsidRPr="004C78D8">
        <w:t xml:space="preserve">more likely </w:t>
      </w:r>
      <w:r w:rsidR="009473CC" w:rsidRPr="004C78D8">
        <w:t>to</w:t>
      </w:r>
      <w:r w:rsidR="006655F3" w:rsidRPr="004C78D8">
        <w:t xml:space="preserve"> </w:t>
      </w:r>
      <w:r w:rsidR="009473CC" w:rsidRPr="004C78D8">
        <w:t>implement</w:t>
      </w:r>
      <w:r w:rsidR="006655F3" w:rsidRPr="004C78D8">
        <w:t xml:space="preserve"> HAM</w:t>
      </w:r>
      <w:r w:rsidR="0026086A" w:rsidRPr="004C78D8">
        <w:t xml:space="preserve"> (Section 2.4.2.6)</w:t>
      </w:r>
      <w:r w:rsidR="009473CC" w:rsidRPr="004C78D8">
        <w:t xml:space="preserve"> and derive</w:t>
      </w:r>
      <w:r w:rsidR="006655F3" w:rsidRPr="004C78D8">
        <w:t xml:space="preserve"> consumption benefits </w:t>
      </w:r>
      <w:r w:rsidR="009473CC" w:rsidRPr="004C78D8">
        <w:t xml:space="preserve">from the home improvement </w:t>
      </w:r>
      <w:r w:rsidR="006B4186" w:rsidRPr="004C78D8">
        <w:fldChar w:fldCharType="begin"/>
      </w:r>
      <w:r w:rsidR="00C630FC" w:rsidRPr="004C78D8">
        <w:instrText xml:space="preserve"> ADDIN EN.CITE &lt;EndNote&gt;&lt;Cite&gt;&lt;Author&gt;Wilson&lt;/Author&gt;&lt;Year&gt;2017&lt;/Year&gt;&lt;RecNum&gt;278&lt;/RecNum&gt;&lt;DisplayText&gt;[206]&lt;/DisplayText&gt;&lt;record&gt;&lt;rec-number&gt;278&lt;/rec-number&gt;&lt;foreign-keys&gt;&lt;key app="EN" db-id="tdtrdw9aepptzbefsat599syza29sxsd2wsp" timestamp="1611698655"&gt;278&lt;/key&gt;&lt;/foreign-keys&gt;&lt;ref-type name="Journal Article"&gt;17&lt;/ref-type&gt;&lt;contributors&gt;&lt;authors&gt;&lt;author&gt;Wilson, Nick&lt;/author&gt;&lt;author&gt;Kvizhinadze, Giorgi&lt;/author&gt;&lt;author&gt;Pega, Frank&lt;/author&gt;&lt;author&gt;Nair, Nisha&lt;/author&gt;&lt;author&gt;Blakely, Tony&lt;/author&gt;&lt;/authors&gt;&lt;/contributors&gt;&lt;titles&gt;&lt;title&gt;Home modification to reduce falls at a health district level: Modeling health gain, health inequalities and health costs&lt;/title&gt;&lt;secondary-title&gt;PloS one&lt;/secondary-title&gt;&lt;/titles&gt;&lt;periodical&gt;&lt;full-title&gt;PLoS One&lt;/full-title&gt;&lt;abbr-1&gt;PloS one&lt;/abbr-1&gt;&lt;/periodical&gt;&lt;pages&gt;e0184538&lt;/pages&gt;&lt;volume&gt;12&lt;/volume&gt;&lt;number&gt;9&lt;/number&gt;&lt;dates&gt;&lt;year&gt;2017&lt;/year&gt;&lt;/dates&gt;&lt;isbn&gt;1932-6203&lt;/isbn&gt;&lt;urls&gt;&lt;/urls&gt;&lt;/record&gt;&lt;/Cite&gt;&lt;/EndNote&gt;</w:instrText>
      </w:r>
      <w:r w:rsidR="006B4186" w:rsidRPr="004C78D8">
        <w:fldChar w:fldCharType="separate"/>
      </w:r>
      <w:r w:rsidR="00C630FC" w:rsidRPr="004C78D8">
        <w:rPr>
          <w:noProof/>
        </w:rPr>
        <w:t>[206]</w:t>
      </w:r>
      <w:r w:rsidR="006B4186" w:rsidRPr="004C78D8">
        <w:fldChar w:fldCharType="end"/>
      </w:r>
      <w:r w:rsidR="006655F3" w:rsidRPr="004C78D8">
        <w:t>.</w:t>
      </w:r>
      <w:r w:rsidR="006B4186" w:rsidRPr="004C78D8">
        <w:t xml:space="preserve"> </w:t>
      </w:r>
    </w:p>
    <w:p w14:paraId="5EC55615" w14:textId="44E49FDF" w:rsidR="00D972BA" w:rsidRPr="004C78D8" w:rsidRDefault="006B4186" w:rsidP="00FB7C1F">
      <w:r w:rsidRPr="004C78D8">
        <w:t xml:space="preserve">Despite the high volume of falls occurring outdoors, there are relatively few epidemiological studies on falls risk factors in the public outdoor spaces compared to those on home hazards </w:t>
      </w:r>
      <w:r w:rsidR="00D512D6" w:rsidRPr="004C78D8">
        <w:fldChar w:fldCharType="begin"/>
      </w:r>
      <w:r w:rsidR="00C630FC" w:rsidRPr="004C78D8">
        <w:instrText xml:space="preserve"> ADDIN EN.CITE &lt;EndNote&gt;&lt;Cite&gt;&lt;Author&gt;Li&lt;/Author&gt;&lt;Year&gt;2006&lt;/Year&gt;&lt;RecNum&gt;767&lt;/RecNum&gt;&lt;DisplayText&gt;[309]&lt;/DisplayText&gt;&lt;record&gt;&lt;rec-number&gt;767&lt;/rec-number&gt;&lt;foreign-keys&gt;&lt;key app="EN" db-id="tdtrdw9aepptzbefsat599syza29sxsd2wsp" timestamp="1636980382"&gt;767&lt;/key&gt;&lt;/foreign-keys&gt;&lt;ref-type name="Journal Article"&gt;17&lt;/ref-type&gt;&lt;contributors&gt;&lt;authors&gt;&lt;author&gt;Li, Wenjun&lt;/author&gt;&lt;author&gt;Keegan, Theresa HM&lt;/author&gt;&lt;author&gt;Sternfeld, Barbara&lt;/author&gt;&lt;author&gt;Sidney, Stephen&lt;/author&gt;&lt;author&gt;Quesenberry Jr, Charles P&lt;/author&gt;&lt;author&gt;Kelsey, Jennifer L&lt;/author&gt;&lt;/authors&gt;&lt;/contributors&gt;&lt;titles&gt;&lt;title&gt;Outdoor falls among middle-aged and older adults: a neglected public health problem&lt;/title&gt;&lt;secondary-title&gt;American journal of public health&lt;/secondary-title&gt;&lt;/titles&gt;&lt;periodical&gt;&lt;full-title&gt;American journal of public health&lt;/full-title&gt;&lt;/periodical&gt;&lt;pages&gt;1192-1200&lt;/pages&gt;&lt;volume&gt;96&lt;/volume&gt;&lt;number&gt;7&lt;/number&gt;&lt;dates&gt;&lt;year&gt;2006&lt;/year&gt;&lt;/dates&gt;&lt;isbn&gt;0090-0036&lt;/isbn&gt;&lt;urls&gt;&lt;/urls&gt;&lt;/record&gt;&lt;/Cite&gt;&lt;/EndNote&gt;</w:instrText>
      </w:r>
      <w:r w:rsidR="00D512D6" w:rsidRPr="004C78D8">
        <w:fldChar w:fldCharType="separate"/>
      </w:r>
      <w:r w:rsidR="00C630FC" w:rsidRPr="004C78D8">
        <w:rPr>
          <w:noProof/>
        </w:rPr>
        <w:t>[309]</w:t>
      </w:r>
      <w:r w:rsidR="00D512D6" w:rsidRPr="004C78D8">
        <w:fldChar w:fldCharType="end"/>
      </w:r>
      <w:r w:rsidR="00D512D6" w:rsidRPr="004C78D8">
        <w:t>. Importantly, outdoor falls are more likely precipitated by environmental factors (e.g., uneven surfaces on sidewalks) than intrinsic capacity deficits</w:t>
      </w:r>
      <w:r w:rsidRPr="004C78D8">
        <w:t xml:space="preserve"> </w:t>
      </w:r>
      <w:r w:rsidR="00D512D6" w:rsidRPr="004C78D8">
        <w:fldChar w:fldCharType="begin"/>
      </w:r>
      <w:r w:rsidR="00C630FC" w:rsidRPr="004C78D8">
        <w:instrText xml:space="preserve"> ADDIN EN.CITE &lt;EndNote&gt;&lt;Cite&gt;&lt;Author&gt;Li&lt;/Author&gt;&lt;Year&gt;2006&lt;/Year&gt;&lt;RecNum&gt;767&lt;/RecNum&gt;&lt;DisplayText&gt;[309]&lt;/DisplayText&gt;&lt;record&gt;&lt;rec-number&gt;767&lt;/rec-number&gt;&lt;foreign-keys&gt;&lt;key app="EN" db-id="tdtrdw9aepptzbefsat599syza29sxsd2wsp" timestamp="1636980382"&gt;767&lt;/key&gt;&lt;/foreign-keys&gt;&lt;ref-type name="Journal Article"&gt;17&lt;/ref-type&gt;&lt;contributors&gt;&lt;authors&gt;&lt;author&gt;Li, Wenjun&lt;/author&gt;&lt;author&gt;Keegan, Theresa HM&lt;/author&gt;&lt;author&gt;Sternfeld, Barbara&lt;/author&gt;&lt;author&gt;Sidney, Stephen&lt;/author&gt;&lt;author&gt;Quesenberry Jr, Charles P&lt;/author&gt;&lt;author&gt;Kelsey, Jennifer L&lt;/author&gt;&lt;/authors&gt;&lt;/contributors&gt;&lt;titles&gt;&lt;title&gt;Outdoor falls among middle-aged and older adults: a neglected public health problem&lt;/title&gt;&lt;secondary-title&gt;American journal of public health&lt;/secondary-title&gt;&lt;/titles&gt;&lt;periodical&gt;&lt;full-title&gt;American journal of public health&lt;/full-title&gt;&lt;/periodical&gt;&lt;pages&gt;1192-1200&lt;/pages&gt;&lt;volume&gt;96&lt;/volume&gt;&lt;number&gt;7&lt;/number&gt;&lt;dates&gt;&lt;year&gt;2006&lt;/year&gt;&lt;/dates&gt;&lt;isbn&gt;0090-0036&lt;/isbn&gt;&lt;urls&gt;&lt;/urls&gt;&lt;/record&gt;&lt;/Cite&gt;&lt;/EndNote&gt;</w:instrText>
      </w:r>
      <w:r w:rsidR="00D512D6" w:rsidRPr="004C78D8">
        <w:fldChar w:fldCharType="separate"/>
      </w:r>
      <w:r w:rsidR="00C630FC" w:rsidRPr="004C78D8">
        <w:rPr>
          <w:noProof/>
        </w:rPr>
        <w:t>[309]</w:t>
      </w:r>
      <w:r w:rsidR="00D512D6" w:rsidRPr="004C78D8">
        <w:fldChar w:fldCharType="end"/>
      </w:r>
      <w:r w:rsidR="00D512D6" w:rsidRPr="004C78D8">
        <w:t>. This implies that environmental interventions should complement those addressing intrinsic risk factors.</w:t>
      </w:r>
      <w:r w:rsidR="006655F3" w:rsidRPr="004C78D8">
        <w:t xml:space="preserve"> </w:t>
      </w:r>
      <w:r w:rsidR="00746663" w:rsidRPr="004C78D8">
        <w:t xml:space="preserve">Beyond falls, establishing safe outdoor spaces is a key strategy for creating age-friendly cities </w:t>
      </w:r>
      <w:r w:rsidR="00746663" w:rsidRPr="004C78D8">
        <w:fldChar w:fldCharType="begin"/>
      </w:r>
      <w:r w:rsidR="00513646" w:rsidRPr="004C78D8">
        <w:instrText xml:space="preserve"> ADDIN EN.CITE &lt;EndNote&gt;&lt;Cite&gt;&lt;Author&gt;World Health Organization&lt;/Author&gt;&lt;Year&gt;2007&lt;/Year&gt;&lt;RecNum&gt;466&lt;/RecNum&gt;&lt;DisplayText&gt;[116]&lt;/DisplayText&gt;&lt;record&gt;&lt;rec-number&gt;466&lt;/rec-number&gt;&lt;foreign-keys&gt;&lt;key app="EN" db-id="tdtrdw9aepptzbefsat599syza29sxsd2wsp" timestamp="1616494600"&gt;466&lt;/key&gt;&lt;/foreign-keys&gt;&lt;ref-type name="Book"&gt;6&lt;/ref-type&gt;&lt;contributors&gt;&lt;authors&gt;&lt;author&gt;World Health Organization,&lt;/author&gt;&lt;/authors&gt;&lt;/contributors&gt;&lt;titles&gt;&lt;title&gt;Global age-friendly cities: A guide&lt;/title&gt;&lt;/titles&gt;&lt;dates&gt;&lt;year&gt;2007&lt;/year&gt;&lt;/dates&gt;&lt;publisher&gt;World Health Organization&lt;/publisher&gt;&lt;isbn&gt;9241547308&lt;/isbn&gt;&lt;urls&gt;&lt;/urls&gt;&lt;/record&gt;&lt;/Cite&gt;&lt;/EndNote&gt;</w:instrText>
      </w:r>
      <w:r w:rsidR="00746663" w:rsidRPr="004C78D8">
        <w:fldChar w:fldCharType="separate"/>
      </w:r>
      <w:r w:rsidR="00513646" w:rsidRPr="004C78D8">
        <w:rPr>
          <w:noProof/>
        </w:rPr>
        <w:t>[116]</w:t>
      </w:r>
      <w:r w:rsidR="00746663" w:rsidRPr="004C78D8">
        <w:fldChar w:fldCharType="end"/>
      </w:r>
      <w:r w:rsidR="00746663" w:rsidRPr="004C78D8">
        <w:t xml:space="preserve">. Moreover, improved local environment can significantly increase physical activity levels </w:t>
      </w:r>
      <w:r w:rsidR="00CA4C73" w:rsidRPr="004C78D8">
        <w:t>(</w:t>
      </w:r>
      <w:r w:rsidR="00AE5E89" w:rsidRPr="004C78D8">
        <w:t>Section 2.4.2.6</w:t>
      </w:r>
      <w:r w:rsidR="00CA4C73" w:rsidRPr="004C78D8">
        <w:t>) and there</w:t>
      </w:r>
      <w:r w:rsidR="00AE5E89" w:rsidRPr="004C78D8">
        <w:t>fore</w:t>
      </w:r>
      <w:r w:rsidR="00CA4C73" w:rsidRPr="004C78D8">
        <w:t xml:space="preserve"> reduce falls risk indirectly and bring wider health benefits </w:t>
      </w:r>
      <w:r w:rsidR="00CA4C73" w:rsidRPr="004C78D8">
        <w:fldChar w:fldCharType="begin"/>
      </w:r>
      <w:r w:rsidR="00C630FC" w:rsidRPr="004C78D8">
        <w:instrText xml:space="preserve"> ADDIN EN.CITE &lt;EndNote&gt;&lt;Cite&gt;&lt;Author&gt;Day&lt;/Author&gt;&lt;Year&gt;2008&lt;/Year&gt;&lt;RecNum&gt;757&lt;/RecNum&gt;&lt;DisplayText&gt;[310, 311]&lt;/DisplayText&gt;&lt;record&gt;&lt;rec-number&gt;757&lt;/rec-number&gt;&lt;foreign-keys&gt;&lt;key app="EN" db-id="tdtrdw9aepptzbefsat599syza29sxsd2wsp" timestamp="1636970383"&gt;757&lt;/key&gt;&lt;/foreign-keys&gt;&lt;ref-type name="Journal Article"&gt;17&lt;/ref-type&gt;&lt;contributors&gt;&lt;authors&gt;&lt;author&gt;Day, Rosemary&lt;/author&gt;&lt;/authors&gt;&lt;/contributors&gt;&lt;titles&gt;&lt;title&gt;Local environments and older people&amp;apos;s health: dimensions from a comparative qualitative study in Scotland&lt;/title&gt;&lt;secondary-title&gt;Health &amp;amp; place&lt;/secondary-title&gt;&lt;/titles&gt;&lt;periodical&gt;&lt;full-title&gt;Health &amp;amp; place&lt;/full-title&gt;&lt;/periodical&gt;&lt;pages&gt;299-312&lt;/pages&gt;&lt;volume&gt;14&lt;/volume&gt;&lt;number&gt;2&lt;/number&gt;&lt;dates&gt;&lt;year&gt;2008&lt;/year&gt;&lt;/dates&gt;&lt;isbn&gt;1353-8292&lt;/isbn&gt;&lt;urls&gt;&lt;/urls&gt;&lt;/record&gt;&lt;/Cite&gt;&lt;Cite&gt;&lt;Author&gt;Zhou&lt;/Author&gt;&lt;Year&gt;2017&lt;/Year&gt;&lt;RecNum&gt;758&lt;/RecNum&gt;&lt;record&gt;&lt;rec-number&gt;758&lt;/rec-number&gt;&lt;foreign-keys&gt;&lt;key app="EN" db-id="tdtrdw9aepptzbefsat599syza29sxsd2wsp" timestamp="1636970387"&gt;758&lt;/key&gt;&lt;/foreign-keys&gt;&lt;ref-type name="Journal Article"&gt;17&lt;/ref-type&gt;&lt;contributors&gt;&lt;authors&gt;&lt;author&gt;Zhou, Peiling&lt;/author&gt;&lt;author&gt;Grady, Sue C&lt;/author&gt;&lt;author&gt;Chen, Guo&lt;/author&gt;&lt;/authors&gt;&lt;/contributors&gt;&lt;titles&gt;&lt;title&gt;How the built environment affects change in older people&amp;apos;s physical activity: A mixed-methods approach using longitudinal health survey data in urban China&lt;/title&gt;&lt;secondary-title&gt;Social Science &amp;amp; Medicine&lt;/secondary-title&gt;&lt;/titles&gt;&lt;periodical&gt;&lt;full-title&gt;Social science &amp;amp; medicine&lt;/full-title&gt;&lt;/periodical&gt;&lt;pages&gt;74-84&lt;/pages&gt;&lt;volume&gt;192&lt;/volume&gt;&lt;dates&gt;&lt;year&gt;2017&lt;/year&gt;&lt;/dates&gt;&lt;isbn&gt;0277-9536&lt;/isbn&gt;&lt;urls&gt;&lt;/urls&gt;&lt;/record&gt;&lt;/Cite&gt;&lt;/EndNote&gt;</w:instrText>
      </w:r>
      <w:r w:rsidR="00CA4C73" w:rsidRPr="004C78D8">
        <w:fldChar w:fldCharType="separate"/>
      </w:r>
      <w:r w:rsidR="00C630FC" w:rsidRPr="004C78D8">
        <w:rPr>
          <w:noProof/>
        </w:rPr>
        <w:t>[310, 311]</w:t>
      </w:r>
      <w:r w:rsidR="00CA4C73" w:rsidRPr="004C78D8">
        <w:fldChar w:fldCharType="end"/>
      </w:r>
      <w:r w:rsidR="00CA4C73" w:rsidRPr="004C78D8">
        <w:t>.</w:t>
      </w:r>
    </w:p>
    <w:p w14:paraId="2E6A1C43" w14:textId="572E8D73" w:rsidR="00343ABB" w:rsidRPr="004C78D8" w:rsidRDefault="00980011" w:rsidP="00FB7C1F">
      <w:r w:rsidRPr="004C78D8">
        <w:t>Finally, s</w:t>
      </w:r>
      <w:r w:rsidR="00054CC7" w:rsidRPr="004C78D8">
        <w:t xml:space="preserve">ocial isolation </w:t>
      </w:r>
      <w:r w:rsidRPr="004C78D8">
        <w:t xml:space="preserve">(e.g., </w:t>
      </w:r>
      <w:r w:rsidR="00054CC7" w:rsidRPr="004C78D8">
        <w:t>living alone</w:t>
      </w:r>
      <w:r w:rsidRPr="004C78D8">
        <w:t>)</w:t>
      </w:r>
      <w:r w:rsidR="00054CC7" w:rsidRPr="004C78D8">
        <w:t xml:space="preserve"> is known to be associated with </w:t>
      </w:r>
      <w:r w:rsidRPr="004C78D8">
        <w:t xml:space="preserve">higher </w:t>
      </w:r>
      <w:r w:rsidR="00054CC7" w:rsidRPr="004C78D8">
        <w:t xml:space="preserve">falls </w:t>
      </w:r>
      <w:r w:rsidRPr="004C78D8">
        <w:t xml:space="preserve">risk and worse health consequences after falling </w:t>
      </w:r>
      <w:r w:rsidRPr="004C78D8">
        <w:fldChar w:fldCharType="begin">
          <w:fldData xml:space="preserve">PEVuZE5vdGU+PENpdGU+PEF1dGhvcj5UcmV2aXNhbjwvQXV0aG9yPjxZZWFyPjIwMTk8L1llYXI+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</w:fldData>
        </w:fldChar>
      </w:r>
      <w:r w:rsidR="00C630FC" w:rsidRPr="004C78D8">
        <w:instrText xml:space="preserve"> ADDIN EN.CITE </w:instrText>
      </w:r>
      <w:r w:rsidR="00C630FC" w:rsidRPr="004C78D8">
        <w:fldChar w:fldCharType="begin">
          <w:fldData xml:space="preserve">PEVuZE5vdGU+PENpdGU+PEF1dGhvcj5UcmV2aXNhbjwvQXV0aG9yPjxZZWFyPjIwMTk8L1llYXI+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[312, 313]</w:t>
      </w:r>
      <w:r w:rsidRPr="004C78D8">
        <w:fldChar w:fldCharType="end"/>
      </w:r>
      <w:r w:rsidR="00D972BA" w:rsidRPr="004C78D8">
        <w:t xml:space="preserve">; </w:t>
      </w:r>
      <w:r w:rsidRPr="004C78D8">
        <w:t>the latter would propagate the secondary effects of falls</w:t>
      </w:r>
      <w:r w:rsidR="00D972BA" w:rsidRPr="004C78D8">
        <w:t>.</w:t>
      </w:r>
      <w:r w:rsidRPr="004C78D8">
        <w:t xml:space="preserve"> </w:t>
      </w:r>
      <w:r w:rsidR="00F27EFF" w:rsidRPr="004C78D8">
        <w:t>A</w:t>
      </w:r>
      <w:r w:rsidRPr="004C78D8">
        <w:t xml:space="preserve">vailability of social support </w:t>
      </w:r>
      <w:r w:rsidR="00F27EFF" w:rsidRPr="004C78D8">
        <w:t xml:space="preserve">also </w:t>
      </w:r>
      <w:r w:rsidRPr="004C78D8">
        <w:t xml:space="preserve">reduces the link between fear of falling and consequent activity curtailment </w:t>
      </w:r>
      <w:r w:rsidR="00F27EFF" w:rsidRPr="004C78D8">
        <w:fldChar w:fldCharType="begin"/>
      </w:r>
      <w:r w:rsidR="00C630FC" w:rsidRPr="004C78D8">
        <w:instrText xml:space="preserve"> ADDIN EN.CITE &lt;EndNote&gt;&lt;Cite&gt;&lt;Author&gt;Howland&lt;/Author&gt;&lt;Year&gt;1998&lt;/Year&gt;&lt;RecNum&gt;768&lt;/RecNum&gt;&lt;DisplayText&gt;[314]&lt;/DisplayText&gt;&lt;record&gt;&lt;rec-number&gt;768&lt;/rec-number&gt;&lt;foreign-keys&gt;&lt;key app="EN" db-id="tdtrdw9aepptzbefsat599syza29sxsd2wsp" timestamp="1636982947"&gt;768&lt;/key&gt;&lt;/foreign-keys&gt;&lt;ref-type name="Journal Article"&gt;17&lt;/ref-type&gt;&lt;contributors&gt;&lt;authors&gt;&lt;author&gt;Howland, Jonathan&lt;/author&gt;&lt;author&gt;Lachman, Margie E&lt;/author&gt;&lt;author&gt;Peterson, Elizabeth Walker&lt;/author&gt;&lt;author&gt;Cote, Jennifer&lt;/author&gt;&lt;author&gt;Kasten, Linda&lt;/author&gt;&lt;author&gt;Jette, Alan&lt;/author&gt;&lt;/authors&gt;&lt;/contributors&gt;&lt;titles&gt;&lt;title&gt;Covariates of fear of falling and associated activity curtailment&lt;/title&gt;&lt;secondary-title&gt;The Gerontologist&lt;/secondary-title&gt;&lt;/titles&gt;&lt;periodical&gt;&lt;full-title&gt;The Gerontologist&lt;/full-title&gt;&lt;/periodical&gt;&lt;pages&gt;549-555&lt;/pages&gt;&lt;volume&gt;38&lt;/volume&gt;&lt;number&gt;5&lt;/number&gt;&lt;dates&gt;&lt;year&gt;1998&lt;/year&gt;&lt;/dates&gt;&lt;isbn&gt;1758-5341&lt;/isbn&gt;&lt;urls&gt;&lt;/urls&gt;&lt;/record&gt;&lt;/Cite&gt;&lt;/EndNote&gt;</w:instrText>
      </w:r>
      <w:r w:rsidR="00F27EFF" w:rsidRPr="004C78D8">
        <w:fldChar w:fldCharType="separate"/>
      </w:r>
      <w:r w:rsidR="00C630FC" w:rsidRPr="004C78D8">
        <w:rPr>
          <w:noProof/>
        </w:rPr>
        <w:t>[314]</w:t>
      </w:r>
      <w:r w:rsidR="00F27EFF" w:rsidRPr="004C78D8">
        <w:fldChar w:fldCharType="end"/>
      </w:r>
      <w:r w:rsidR="00F27EFF" w:rsidRPr="004C78D8">
        <w:t xml:space="preserve">. Beyond falls, older persons increasingly require social support to maintain functioning </w:t>
      </w:r>
      <w:r w:rsidR="00F27EFF" w:rsidRPr="004C78D8">
        <w:fldChar w:fldCharType="begin"/>
      </w:r>
      <w:r w:rsidR="00F27EFF" w:rsidRPr="004C78D8">
        <w:instrText xml:space="preserve"> ADDIN EN.CITE &lt;EndNote&gt;&lt;Cite&gt;&lt;Author&gt;World Health Organization&lt;/Author&gt;&lt;Year&gt;2015&lt;/Year&gt;&lt;RecNum&gt;1&lt;/RecNum&gt;&lt;DisplayText&gt;[2]&lt;/DisplayText&gt;&lt;record&gt;&lt;rec-number&gt;1&lt;/rec-number&gt;&lt;foreign-keys&gt;&lt;key app="EN" db-id="tdtrdw9aepptzbefsat599syza29sxsd2wsp" timestamp="1596571129"&gt;1&lt;/key&gt;&lt;/foreign-keys&gt;&lt;ref-type name="Book"&gt;6&lt;/ref-type&gt;&lt;contributors&gt;&lt;authors&gt;&lt;author&gt;World Health Organization,&lt;/author&gt;&lt;/authors&gt;&lt;/contributors&gt;&lt;titles&gt;&lt;title&gt;World Report on Ageing and Health&lt;/title&gt;&lt;/titles&gt;&lt;dates&gt;&lt;year&gt;2015&lt;/year&gt;&lt;/dates&gt;&lt;publisher&gt;World Health Organization&lt;/publisher&gt;&lt;isbn&gt;9241565047&lt;/isbn&gt;&lt;urls&gt;&lt;/urls&gt;&lt;/record&gt;&lt;/Cite&gt;&lt;/EndNote&gt;</w:instrText>
      </w:r>
      <w:r w:rsidR="00F27EFF" w:rsidRPr="004C78D8">
        <w:fldChar w:fldCharType="separate"/>
      </w:r>
      <w:r w:rsidR="00F27EFF" w:rsidRPr="004C78D8">
        <w:rPr>
          <w:noProof/>
        </w:rPr>
        <w:t>[2]</w:t>
      </w:r>
      <w:r w:rsidR="00F27EFF" w:rsidRPr="004C78D8">
        <w:fldChar w:fldCharType="end"/>
      </w:r>
      <w:r w:rsidR="00F27EFF" w:rsidRPr="004C78D8">
        <w:t xml:space="preserve">, and social isolation is associated with increased risks of several adverse events including </w:t>
      </w:r>
      <w:r w:rsidR="00A342CE" w:rsidRPr="004C78D8">
        <w:t>cardiovascular disease, depression</w:t>
      </w:r>
      <w:r w:rsidR="00AE5E89" w:rsidRPr="004C78D8">
        <w:t>,</w:t>
      </w:r>
      <w:r w:rsidR="00A342CE" w:rsidRPr="004C78D8">
        <w:t xml:space="preserve"> and premature death </w:t>
      </w:r>
      <w:r w:rsidR="00A342CE" w:rsidRPr="004C78D8">
        <w:fldChar w:fldCharType="begin"/>
      </w:r>
      <w:r w:rsidR="00C630FC" w:rsidRPr="004C78D8">
        <w:instrText xml:space="preserve"> ADDIN EN.CITE &lt;EndNote&gt;&lt;Cite&gt;&lt;Author&gt;Cotterell&lt;/Author&gt;&lt;Year&gt;2018&lt;/Year&gt;&lt;RecNum&gt;291&lt;/RecNum&gt;&lt;DisplayText&gt;[315]&lt;/DisplayText&gt;&lt;record&gt;&lt;rec-number&gt;291&lt;/rec-number&gt;&lt;foreign-keys&gt;&lt;key app="EN" db-id="tdtrdw9aepptzbefsat599syza29sxsd2wsp" timestamp="1611701438"&gt;291&lt;/key&gt;&lt;/foreign-keys&gt;&lt;ref-type name="Journal Article"&gt;17&lt;/ref-type&gt;&lt;contributors&gt;&lt;authors&gt;&lt;author&gt;Cotterell, Natalie&lt;/author&gt;&lt;author&gt;Buffel, Tine&lt;/author&gt;&lt;author&gt;Phillipson, Christopher&lt;/author&gt;&lt;/authors&gt;&lt;/contributors&gt;&lt;titles&gt;&lt;title&gt;Preventing social isolation in older people&lt;/title&gt;&lt;secondary-title&gt;Maturitas&lt;/secondary-title&gt;&lt;/titles&gt;&lt;periodical&gt;&lt;full-title&gt;Maturitas&lt;/full-title&gt;&lt;/periodical&gt;&lt;pages&gt;80-84&lt;/pages&gt;&lt;volume&gt;113&lt;/volume&gt;&lt;dates&gt;&lt;year&gt;2018&lt;/year&gt;&lt;/dates&gt;&lt;isbn&gt;0378-5122&lt;/isbn&gt;&lt;urls&gt;&lt;/urls&gt;&lt;/record&gt;&lt;/Cite&gt;&lt;/EndNote&gt;</w:instrText>
      </w:r>
      <w:r w:rsidR="00A342CE" w:rsidRPr="004C78D8">
        <w:fldChar w:fldCharType="separate"/>
      </w:r>
      <w:r w:rsidR="00C630FC" w:rsidRPr="004C78D8">
        <w:rPr>
          <w:noProof/>
        </w:rPr>
        <w:t>[315]</w:t>
      </w:r>
      <w:r w:rsidR="00A342CE" w:rsidRPr="004C78D8">
        <w:fldChar w:fldCharType="end"/>
      </w:r>
      <w:r w:rsidR="00A342CE" w:rsidRPr="004C78D8">
        <w:t>. Reducing social isolation is an important non-health outcome in itself</w:t>
      </w:r>
      <w:r w:rsidR="00324854" w:rsidRPr="004C78D8">
        <w:t xml:space="preserve">; promoting the social value of falls prevention interventions is recommended by NICE CG161 as a wider intervention benefit </w:t>
      </w:r>
      <w:r w:rsidR="00324854" w:rsidRPr="004C78D8">
        <w:fldChar w:fldCharType="begin"/>
      </w:r>
      <w:r w:rsidR="00F255A9"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00324854" w:rsidRPr="004C78D8">
        <w:fldChar w:fldCharType="separate"/>
      </w:r>
      <w:r w:rsidR="00F255A9" w:rsidRPr="004C78D8">
        <w:rPr>
          <w:noProof/>
        </w:rPr>
        <w:t>[13]</w:t>
      </w:r>
      <w:r w:rsidR="00324854" w:rsidRPr="004C78D8">
        <w:fldChar w:fldCharType="end"/>
      </w:r>
      <w:r w:rsidR="00324854" w:rsidRPr="004C78D8">
        <w:t>.</w:t>
      </w:r>
      <w:r w:rsidR="00267963" w:rsidRPr="004C78D8">
        <w:t xml:space="preserve"> Qualitative research participants identified socially isolated persons as a priority group for intervention access (Section 2.4.2.6).</w:t>
      </w:r>
    </w:p>
    <w:p w14:paraId="0C9FB79E" w14:textId="77777777" w:rsidR="00AD394F" w:rsidRPr="004C78D8" w:rsidRDefault="00AD394F" w:rsidP="00FB7C1F"/>
    <w:p w14:paraId="3D712C28" w14:textId="29D3D22F" w:rsidR="00AD394F" w:rsidRPr="004C78D8" w:rsidRDefault="00AD394F" w:rsidP="00FB7C1F">
      <w:pPr>
        <w:pStyle w:val="Heading2"/>
      </w:pPr>
      <w:bookmarkStart w:id="88" w:name="_Toc93566864"/>
      <w:bookmarkStart w:id="89" w:name="_Toc111630735"/>
      <w:r w:rsidRPr="004C78D8">
        <w:t xml:space="preserve">3.7 Identifying </w:t>
      </w:r>
      <w:r w:rsidR="00F25751" w:rsidRPr="004C78D8">
        <w:t>relevant</w:t>
      </w:r>
      <w:r w:rsidRPr="004C78D8">
        <w:t xml:space="preserve"> interventions</w:t>
      </w:r>
      <w:bookmarkEnd w:id="88"/>
      <w:bookmarkEnd w:id="89"/>
    </w:p>
    <w:p w14:paraId="39B7C1B7" w14:textId="17CF2088" w:rsidR="00AD394F" w:rsidRPr="004C78D8" w:rsidRDefault="00AD394F" w:rsidP="00FB7C1F">
      <w:r w:rsidRPr="004C78D8">
        <w:t xml:space="preserve">This section </w:t>
      </w:r>
      <w:r w:rsidR="00E36BA6" w:rsidRPr="004C78D8">
        <w:t>explores</w:t>
      </w:r>
      <w:r w:rsidRPr="004C78D8">
        <w:t xml:space="preserve"> the appropriate sets of interventions </w:t>
      </w:r>
      <w:r w:rsidR="003578CD" w:rsidRPr="004C78D8">
        <w:t>for the decision problem</w:t>
      </w:r>
      <w:r w:rsidRPr="004C78D8">
        <w:t xml:space="preserve">. Section 3.7.1 conceptualises </w:t>
      </w:r>
      <w:r w:rsidR="00A70FDC" w:rsidRPr="004C78D8">
        <w:t>the current falls prevention practice in Sheffield</w:t>
      </w:r>
      <w:r w:rsidR="00B360A3" w:rsidRPr="004C78D8">
        <w:t xml:space="preserve">, while </w:t>
      </w:r>
      <w:r w:rsidR="00A70FDC" w:rsidRPr="004C78D8">
        <w:t xml:space="preserve">Section 3.7.2 conceptualises </w:t>
      </w:r>
      <w:r w:rsidRPr="004C78D8">
        <w:t xml:space="preserve">the recommended falls prevention strategy based on </w:t>
      </w:r>
      <w:r w:rsidR="00E36BA6" w:rsidRPr="004C78D8">
        <w:t xml:space="preserve">the </w:t>
      </w:r>
      <w:r w:rsidRPr="004C78D8">
        <w:t xml:space="preserve">UK falls prevention guidelines. </w:t>
      </w:r>
      <w:r w:rsidR="00A70FDC" w:rsidRPr="004C78D8">
        <w:t xml:space="preserve">Section 3.7.3 </w:t>
      </w:r>
      <w:r w:rsidR="00ED5CC4" w:rsidRPr="004C78D8">
        <w:t xml:space="preserve">discusses the prevention strategy for cognitively impaired persons and persons with intervention history under </w:t>
      </w:r>
      <w:r w:rsidR="003578CD" w:rsidRPr="004C78D8">
        <w:t>current</w:t>
      </w:r>
      <w:r w:rsidR="005958B7" w:rsidRPr="004C78D8">
        <w:t xml:space="preserve"> and </w:t>
      </w:r>
      <w:r w:rsidR="00ED5CC4" w:rsidRPr="004C78D8">
        <w:t>recommended practices</w:t>
      </w:r>
      <w:r w:rsidR="00A70FDC" w:rsidRPr="004C78D8">
        <w:t xml:space="preserve">. </w:t>
      </w:r>
      <w:r w:rsidRPr="004C78D8">
        <w:t>Section 3.7.</w:t>
      </w:r>
      <w:r w:rsidR="009817C5" w:rsidRPr="004C78D8">
        <w:t>4</w:t>
      </w:r>
      <w:r w:rsidRPr="004C78D8">
        <w:t xml:space="preserve"> </w:t>
      </w:r>
      <w:r w:rsidR="009E2CB7" w:rsidRPr="004C78D8">
        <w:t xml:space="preserve">conceptualises </w:t>
      </w:r>
      <w:r w:rsidR="001C0A53" w:rsidRPr="004C78D8">
        <w:t>additional</w:t>
      </w:r>
      <w:r w:rsidRPr="004C78D8">
        <w:t xml:space="preserve"> </w:t>
      </w:r>
      <w:r w:rsidR="001C0A53" w:rsidRPr="004C78D8">
        <w:t xml:space="preserve">falls prevention </w:t>
      </w:r>
      <w:r w:rsidR="009817C5" w:rsidRPr="004C78D8">
        <w:t>strategies</w:t>
      </w:r>
      <w:r w:rsidRPr="004C78D8">
        <w:t>.</w:t>
      </w:r>
      <w:r w:rsidR="00D6775E" w:rsidRPr="004C78D8">
        <w:t xml:space="preserve"> Under thesis objective (3), the final model will seek to formulate commissioning recommendations amongst alternative intervention strategies, including the strategy recommended by the UK guidelines and additional ones, relative to the current practice in Sheffield.</w:t>
      </w:r>
    </w:p>
    <w:p w14:paraId="6A7ECCCD" w14:textId="63D7F51E" w:rsidR="00AD394F" w:rsidRPr="004C78D8" w:rsidRDefault="00AD394F" w:rsidP="00FB7C1F">
      <w:pPr>
        <w:pStyle w:val="Heading3"/>
      </w:pPr>
      <w:bookmarkStart w:id="90" w:name="_Toc111630736"/>
      <w:r w:rsidRPr="004C78D8">
        <w:t>3.7.</w:t>
      </w:r>
      <w:r w:rsidR="008C1C6C" w:rsidRPr="004C78D8">
        <w:t>1</w:t>
      </w:r>
      <w:r w:rsidRPr="004C78D8">
        <w:t xml:space="preserve"> Current falls prevention in Sheffield</w:t>
      </w:r>
      <w:bookmarkEnd w:id="90"/>
    </w:p>
    <w:p w14:paraId="7D3CD83E" w14:textId="10ECAEEB" w:rsidR="00AD394F" w:rsidRPr="004C78D8" w:rsidRDefault="00AD394F" w:rsidP="00FB7C1F">
      <w:r w:rsidRPr="004C78D8">
        <w:t>Understanding the current falls prevention practice in Sheffield mainly involved discussions with local stakeholders</w:t>
      </w:r>
      <w:r w:rsidR="00B360A3" w:rsidRPr="004C78D8">
        <w:t xml:space="preserve"> (commissioners, professionals</w:t>
      </w:r>
      <w:r w:rsidR="00F935A0" w:rsidRPr="004C78D8">
        <w:t>,</w:t>
      </w:r>
      <w:r w:rsidR="00B360A3" w:rsidRPr="004C78D8">
        <w:t xml:space="preserve"> and qualitative research participants) and reference to</w:t>
      </w:r>
      <w:r w:rsidRPr="004C78D8">
        <w:t xml:space="preserve"> published reports of falls prevention schemes </w:t>
      </w:r>
      <w:r w:rsidR="00B360A3" w:rsidRPr="004C78D8">
        <w:t xml:space="preserve">being or have been implemented </w:t>
      </w:r>
      <w:r w:rsidRPr="004C78D8">
        <w:t>in Sheffield. Table 3.</w:t>
      </w:r>
      <w:r w:rsidR="00445BC8" w:rsidRPr="004C78D8">
        <w:t>7</w:t>
      </w:r>
      <w:r w:rsidRPr="004C78D8">
        <w:t xml:space="preserve"> summari</w:t>
      </w:r>
      <w:r w:rsidR="00445BC8" w:rsidRPr="004C78D8">
        <w:t>s</w:t>
      </w:r>
      <w:r w:rsidRPr="004C78D8">
        <w:t xml:space="preserve">es the current </w:t>
      </w:r>
      <w:r w:rsidR="001B3287" w:rsidRPr="004C78D8">
        <w:t xml:space="preserve">or previously piloted </w:t>
      </w:r>
      <w:r w:rsidRPr="004C78D8">
        <w:t xml:space="preserve">falls prevention </w:t>
      </w:r>
      <w:r w:rsidR="00BF79D8" w:rsidRPr="004C78D8">
        <w:t>interventions</w:t>
      </w:r>
      <w:r w:rsidR="00445BC8" w:rsidRPr="004C78D8">
        <w:t xml:space="preserve"> in Sheffield</w:t>
      </w:r>
      <w:r w:rsidRPr="004C78D8">
        <w:t xml:space="preserve"> managed by different system owners and actors. The interventions were classified by pathway: reactive</w:t>
      </w:r>
      <w:r w:rsidR="000E29EF" w:rsidRPr="004C78D8">
        <w:t>,</w:t>
      </w:r>
      <w:r w:rsidRPr="004C78D8">
        <w:t xml:space="preserve"> proactive</w:t>
      </w:r>
      <w:r w:rsidR="000E29EF" w:rsidRPr="004C78D8">
        <w:t>,</w:t>
      </w:r>
      <w:r w:rsidRPr="004C78D8">
        <w:t xml:space="preserve"> or self-referred. The last column lists the documents </w:t>
      </w:r>
      <w:r w:rsidR="001B3287" w:rsidRPr="004C78D8">
        <w:t xml:space="preserve">in Appendix B </w:t>
      </w:r>
      <w:r w:rsidR="00641555" w:rsidRPr="004C78D8">
        <w:t>with</w:t>
      </w:r>
      <w:r w:rsidRPr="004C78D8">
        <w:t xml:space="preserve"> the stakeholder discussions. </w:t>
      </w:r>
    </w:p>
    <w:tbl>
      <w:tblPr>
        <w:tblStyle w:val="TableGrid"/>
        <w:tblW w:w="5000" w:type="pct"/>
        <w:tblLook w:val="04A0" w:firstRow="1" w:lastRow="0" w:firstColumn="1" w:lastColumn="0" w:noHBand="0" w:noVBand="1"/>
      </w:tblPr>
      <w:tblGrid>
        <w:gridCol w:w="2265"/>
        <w:gridCol w:w="3909"/>
        <w:gridCol w:w="1048"/>
        <w:gridCol w:w="1794"/>
      </w:tblGrid>
      <w:tr w:rsidR="00AD394F" w:rsidRPr="004C78D8" w14:paraId="2B5E1598" w14:textId="77777777" w:rsidTr="002828C1">
        <w:tc>
          <w:tcPr>
            <w:tcW w:w="5000" w:type="pct"/>
            <w:gridSpan w:val="4"/>
          </w:tcPr>
          <w:p w14:paraId="2240CF51" w14:textId="00CF389E" w:rsidR="00AD394F" w:rsidRPr="004C78D8" w:rsidRDefault="00AD394F" w:rsidP="00FB7C1F">
            <w:r w:rsidRPr="004C78D8">
              <w:rPr>
                <w:b/>
                <w:bCs/>
              </w:rPr>
              <w:t>Table 3.</w:t>
            </w:r>
            <w:r w:rsidR="00445BC8" w:rsidRPr="004C78D8">
              <w:rPr>
                <w:b/>
                <w:bCs/>
              </w:rPr>
              <w:t>7</w:t>
            </w:r>
            <w:r w:rsidRPr="004C78D8">
              <w:t xml:space="preserve"> Current falls prevention </w:t>
            </w:r>
            <w:r w:rsidR="00BF79D8" w:rsidRPr="004C78D8">
              <w:t>interventions</w:t>
            </w:r>
            <w:r w:rsidRPr="004C78D8">
              <w:t xml:space="preserve"> in Sheffield by system owner/actor</w:t>
            </w:r>
            <w:r w:rsidR="00445BC8" w:rsidRPr="004C78D8">
              <w:t>.</w:t>
            </w:r>
          </w:p>
        </w:tc>
      </w:tr>
      <w:tr w:rsidR="00AD394F" w:rsidRPr="004C78D8" w14:paraId="13038945" w14:textId="77777777" w:rsidTr="002828C1">
        <w:tc>
          <w:tcPr>
            <w:tcW w:w="1256" w:type="pct"/>
          </w:tcPr>
          <w:p w14:paraId="536F206A" w14:textId="77777777" w:rsidR="00AD394F" w:rsidRPr="004C78D8" w:rsidRDefault="00AD394F" w:rsidP="00FB7C1F">
            <w:pPr>
              <w:jc w:val="left"/>
              <w:rPr>
                <w:b/>
                <w:bCs/>
                <w:sz w:val="20"/>
                <w:szCs w:val="20"/>
              </w:rPr>
            </w:pPr>
            <w:r w:rsidRPr="004C78D8">
              <w:rPr>
                <w:b/>
                <w:bCs/>
                <w:sz w:val="20"/>
                <w:szCs w:val="20"/>
              </w:rPr>
              <w:t>System owner/actor</w:t>
            </w:r>
          </w:p>
        </w:tc>
        <w:tc>
          <w:tcPr>
            <w:tcW w:w="2168" w:type="pct"/>
          </w:tcPr>
          <w:p w14:paraId="693B6530" w14:textId="77777777" w:rsidR="00AD394F" w:rsidRPr="004C78D8" w:rsidRDefault="00AD394F" w:rsidP="00FB7C1F">
            <w:pPr>
              <w:jc w:val="left"/>
              <w:rPr>
                <w:b/>
                <w:bCs/>
                <w:sz w:val="20"/>
                <w:szCs w:val="20"/>
              </w:rPr>
            </w:pPr>
            <w:r w:rsidRPr="004C78D8">
              <w:rPr>
                <w:b/>
                <w:bCs/>
                <w:sz w:val="20"/>
                <w:szCs w:val="20"/>
              </w:rPr>
              <w:t>Falls prevention intervention</w:t>
            </w:r>
          </w:p>
        </w:tc>
        <w:tc>
          <w:tcPr>
            <w:tcW w:w="581" w:type="pct"/>
          </w:tcPr>
          <w:p w14:paraId="26A5C4BF" w14:textId="77777777" w:rsidR="00AD394F" w:rsidRPr="004C78D8" w:rsidRDefault="00AD394F" w:rsidP="00FB7C1F">
            <w:pPr>
              <w:jc w:val="left"/>
              <w:rPr>
                <w:b/>
                <w:bCs/>
                <w:sz w:val="20"/>
                <w:szCs w:val="20"/>
              </w:rPr>
            </w:pPr>
            <w:r w:rsidRPr="004C78D8">
              <w:rPr>
                <w:b/>
                <w:bCs/>
                <w:sz w:val="20"/>
                <w:szCs w:val="20"/>
              </w:rPr>
              <w:t>Pathway</w:t>
            </w:r>
          </w:p>
        </w:tc>
        <w:tc>
          <w:tcPr>
            <w:tcW w:w="995" w:type="pct"/>
          </w:tcPr>
          <w:p w14:paraId="407992DA" w14:textId="77777777" w:rsidR="00AD394F" w:rsidRPr="004C78D8" w:rsidRDefault="00AD394F" w:rsidP="00FB7C1F">
            <w:pPr>
              <w:jc w:val="left"/>
              <w:rPr>
                <w:b/>
                <w:bCs/>
                <w:sz w:val="20"/>
                <w:szCs w:val="20"/>
              </w:rPr>
            </w:pPr>
            <w:r w:rsidRPr="004C78D8">
              <w:rPr>
                <w:b/>
                <w:bCs/>
                <w:sz w:val="20"/>
                <w:szCs w:val="20"/>
              </w:rPr>
              <w:t>Document in Appendix B</w:t>
            </w:r>
          </w:p>
        </w:tc>
      </w:tr>
      <w:tr w:rsidR="00AD394F" w:rsidRPr="004C78D8" w14:paraId="4F0DDC8A" w14:textId="77777777" w:rsidTr="002828C1">
        <w:tc>
          <w:tcPr>
            <w:tcW w:w="1256" w:type="pct"/>
            <w:vMerge w:val="restart"/>
          </w:tcPr>
          <w:p w14:paraId="09B5C7E7" w14:textId="77777777" w:rsidR="00AD394F" w:rsidRPr="004C78D8" w:rsidRDefault="00AD394F" w:rsidP="00FB7C1F">
            <w:pPr>
              <w:jc w:val="left"/>
              <w:rPr>
                <w:sz w:val="20"/>
                <w:szCs w:val="20"/>
              </w:rPr>
            </w:pPr>
            <w:r w:rsidRPr="004C78D8">
              <w:rPr>
                <w:sz w:val="20"/>
                <w:szCs w:val="20"/>
              </w:rPr>
              <w:t>Sheffield NHS CCG and Sheffield City Council</w:t>
            </w:r>
          </w:p>
        </w:tc>
        <w:tc>
          <w:tcPr>
            <w:tcW w:w="2168" w:type="pct"/>
          </w:tcPr>
          <w:p w14:paraId="1DC2A65D" w14:textId="4CBCA62B" w:rsidR="00AD394F" w:rsidRPr="004C78D8" w:rsidRDefault="00AD394F" w:rsidP="00FB7C1F">
            <w:pPr>
              <w:jc w:val="left"/>
              <w:rPr>
                <w:sz w:val="20"/>
                <w:szCs w:val="20"/>
              </w:rPr>
            </w:pPr>
            <w:r w:rsidRPr="004C78D8">
              <w:rPr>
                <w:sz w:val="20"/>
                <w:szCs w:val="20"/>
              </w:rPr>
              <w:t>SCC Home assessment and modification for hospitali</w:t>
            </w:r>
            <w:r w:rsidR="000E29EF" w:rsidRPr="004C78D8">
              <w:rPr>
                <w:sz w:val="20"/>
                <w:szCs w:val="20"/>
              </w:rPr>
              <w:t>s</w:t>
            </w:r>
            <w:r w:rsidRPr="004C78D8">
              <w:rPr>
                <w:sz w:val="20"/>
                <w:szCs w:val="20"/>
              </w:rPr>
              <w:t>ed fallers</w:t>
            </w:r>
          </w:p>
        </w:tc>
        <w:tc>
          <w:tcPr>
            <w:tcW w:w="581" w:type="pct"/>
          </w:tcPr>
          <w:p w14:paraId="4F74EF2A" w14:textId="77777777" w:rsidR="00AD394F" w:rsidRPr="004C78D8" w:rsidRDefault="00AD394F" w:rsidP="00FB7C1F">
            <w:pPr>
              <w:jc w:val="left"/>
              <w:rPr>
                <w:sz w:val="20"/>
                <w:szCs w:val="20"/>
              </w:rPr>
            </w:pPr>
            <w:r w:rsidRPr="004C78D8">
              <w:rPr>
                <w:sz w:val="20"/>
                <w:szCs w:val="20"/>
              </w:rPr>
              <w:t>Reactive</w:t>
            </w:r>
          </w:p>
        </w:tc>
        <w:tc>
          <w:tcPr>
            <w:tcW w:w="995" w:type="pct"/>
          </w:tcPr>
          <w:p w14:paraId="5407ECA2" w14:textId="4AB061E9" w:rsidR="00AD394F" w:rsidRPr="004C78D8" w:rsidRDefault="00AD394F" w:rsidP="00FB7C1F">
            <w:pPr>
              <w:jc w:val="left"/>
              <w:rPr>
                <w:sz w:val="20"/>
                <w:szCs w:val="20"/>
              </w:rPr>
            </w:pPr>
            <w:r w:rsidRPr="004C78D8">
              <w:rPr>
                <w:sz w:val="20"/>
                <w:szCs w:val="20"/>
              </w:rPr>
              <w:t xml:space="preserve">Documents </w:t>
            </w:r>
            <w:r w:rsidR="00F944EF" w:rsidRPr="004C78D8">
              <w:rPr>
                <w:sz w:val="20"/>
                <w:szCs w:val="20"/>
              </w:rPr>
              <w:t>5</w:t>
            </w:r>
            <w:r w:rsidRPr="004C78D8">
              <w:rPr>
                <w:sz w:val="20"/>
                <w:szCs w:val="20"/>
              </w:rPr>
              <w:t xml:space="preserve"> &amp; 1</w:t>
            </w:r>
            <w:r w:rsidR="004E3EEA" w:rsidRPr="004C78D8">
              <w:rPr>
                <w:sz w:val="20"/>
                <w:szCs w:val="20"/>
              </w:rPr>
              <w:t>1</w:t>
            </w:r>
          </w:p>
        </w:tc>
      </w:tr>
      <w:tr w:rsidR="00AD394F" w:rsidRPr="004C78D8" w14:paraId="1BC4BB0F" w14:textId="77777777" w:rsidTr="002828C1">
        <w:tc>
          <w:tcPr>
            <w:tcW w:w="1256" w:type="pct"/>
            <w:vMerge/>
          </w:tcPr>
          <w:p w14:paraId="61D2843B" w14:textId="77777777" w:rsidR="00AD394F" w:rsidRPr="004C78D8" w:rsidRDefault="00AD394F" w:rsidP="00FB7C1F">
            <w:pPr>
              <w:jc w:val="left"/>
              <w:rPr>
                <w:sz w:val="20"/>
                <w:szCs w:val="20"/>
              </w:rPr>
            </w:pPr>
          </w:p>
        </w:tc>
        <w:tc>
          <w:tcPr>
            <w:tcW w:w="2168" w:type="pct"/>
          </w:tcPr>
          <w:p w14:paraId="6427AD10" w14:textId="5DCDED44" w:rsidR="00AD394F" w:rsidRPr="004C78D8" w:rsidRDefault="00AD394F" w:rsidP="00FB7C1F">
            <w:pPr>
              <w:jc w:val="left"/>
              <w:rPr>
                <w:sz w:val="20"/>
                <w:szCs w:val="20"/>
              </w:rPr>
            </w:pPr>
            <w:r w:rsidRPr="004C78D8">
              <w:rPr>
                <w:sz w:val="20"/>
                <w:szCs w:val="20"/>
              </w:rPr>
              <w:t>SCC Fall alarms (self-financed) for hospitali</w:t>
            </w:r>
            <w:r w:rsidR="00F84377" w:rsidRPr="004C78D8">
              <w:rPr>
                <w:sz w:val="20"/>
                <w:szCs w:val="20"/>
              </w:rPr>
              <w:t>s</w:t>
            </w:r>
            <w:r w:rsidRPr="004C78D8">
              <w:rPr>
                <w:sz w:val="20"/>
                <w:szCs w:val="20"/>
              </w:rPr>
              <w:t>ed fallers</w:t>
            </w:r>
          </w:p>
        </w:tc>
        <w:tc>
          <w:tcPr>
            <w:tcW w:w="581" w:type="pct"/>
          </w:tcPr>
          <w:p w14:paraId="612732A6" w14:textId="77777777" w:rsidR="00AD394F" w:rsidRPr="004C78D8" w:rsidRDefault="00AD394F" w:rsidP="00FB7C1F">
            <w:pPr>
              <w:jc w:val="left"/>
              <w:rPr>
                <w:sz w:val="20"/>
                <w:szCs w:val="20"/>
              </w:rPr>
            </w:pPr>
            <w:r w:rsidRPr="004C78D8">
              <w:rPr>
                <w:sz w:val="20"/>
                <w:szCs w:val="20"/>
              </w:rPr>
              <w:t>Reactive</w:t>
            </w:r>
          </w:p>
        </w:tc>
        <w:tc>
          <w:tcPr>
            <w:tcW w:w="995" w:type="pct"/>
          </w:tcPr>
          <w:p w14:paraId="37CF0377" w14:textId="4FA1CD16" w:rsidR="00AD394F" w:rsidRPr="004C78D8" w:rsidRDefault="00AD394F" w:rsidP="00FB7C1F">
            <w:pPr>
              <w:jc w:val="left"/>
              <w:rPr>
                <w:sz w:val="20"/>
                <w:szCs w:val="20"/>
              </w:rPr>
            </w:pPr>
            <w:r w:rsidRPr="004C78D8">
              <w:rPr>
                <w:sz w:val="20"/>
                <w:szCs w:val="20"/>
              </w:rPr>
              <w:t xml:space="preserve">Documents </w:t>
            </w:r>
            <w:r w:rsidR="00F944EF" w:rsidRPr="004C78D8">
              <w:rPr>
                <w:sz w:val="20"/>
                <w:szCs w:val="20"/>
              </w:rPr>
              <w:t>5</w:t>
            </w:r>
            <w:r w:rsidRPr="004C78D8">
              <w:rPr>
                <w:sz w:val="20"/>
                <w:szCs w:val="20"/>
              </w:rPr>
              <w:t xml:space="preserve"> &amp; 1</w:t>
            </w:r>
            <w:r w:rsidR="004E3EEA" w:rsidRPr="004C78D8">
              <w:rPr>
                <w:sz w:val="20"/>
                <w:szCs w:val="20"/>
              </w:rPr>
              <w:t>1</w:t>
            </w:r>
          </w:p>
        </w:tc>
      </w:tr>
      <w:tr w:rsidR="00F84377" w:rsidRPr="004C78D8" w14:paraId="259AEB93" w14:textId="77777777" w:rsidTr="002828C1">
        <w:tc>
          <w:tcPr>
            <w:tcW w:w="1256" w:type="pct"/>
            <w:vMerge/>
          </w:tcPr>
          <w:p w14:paraId="0761BEC8" w14:textId="77777777" w:rsidR="00F84377" w:rsidRPr="004C78D8" w:rsidRDefault="00F84377" w:rsidP="00FB7C1F">
            <w:pPr>
              <w:jc w:val="left"/>
              <w:rPr>
                <w:sz w:val="20"/>
                <w:szCs w:val="20"/>
              </w:rPr>
            </w:pPr>
          </w:p>
        </w:tc>
        <w:tc>
          <w:tcPr>
            <w:tcW w:w="2168" w:type="pct"/>
          </w:tcPr>
          <w:p w14:paraId="4BE0BFEB" w14:textId="64177B12" w:rsidR="00F84377" w:rsidRPr="004C78D8" w:rsidRDefault="00F84377" w:rsidP="00FB7C1F">
            <w:pPr>
              <w:jc w:val="left"/>
              <w:rPr>
                <w:sz w:val="20"/>
                <w:szCs w:val="20"/>
              </w:rPr>
            </w:pPr>
            <w:r w:rsidRPr="004C78D8">
              <w:rPr>
                <w:sz w:val="20"/>
                <w:szCs w:val="20"/>
              </w:rPr>
              <w:t>STH rehabilitation therapy for MA fallers</w:t>
            </w:r>
          </w:p>
        </w:tc>
        <w:tc>
          <w:tcPr>
            <w:tcW w:w="581" w:type="pct"/>
          </w:tcPr>
          <w:p w14:paraId="082F7C3B" w14:textId="73D94D35" w:rsidR="00F84377" w:rsidRPr="004C78D8" w:rsidRDefault="00F84377" w:rsidP="00FB7C1F">
            <w:pPr>
              <w:jc w:val="left"/>
              <w:rPr>
                <w:sz w:val="20"/>
                <w:szCs w:val="20"/>
              </w:rPr>
            </w:pPr>
            <w:r w:rsidRPr="004C78D8">
              <w:rPr>
                <w:sz w:val="20"/>
                <w:szCs w:val="20"/>
              </w:rPr>
              <w:t>Reactive</w:t>
            </w:r>
          </w:p>
        </w:tc>
        <w:tc>
          <w:tcPr>
            <w:tcW w:w="995" w:type="pct"/>
          </w:tcPr>
          <w:p w14:paraId="20BD9F74" w14:textId="5873DFE4" w:rsidR="00F84377" w:rsidRPr="004C78D8" w:rsidRDefault="00F84377" w:rsidP="00FB7C1F">
            <w:pPr>
              <w:jc w:val="left"/>
              <w:rPr>
                <w:sz w:val="20"/>
                <w:szCs w:val="20"/>
              </w:rPr>
            </w:pPr>
            <w:r w:rsidRPr="004C78D8">
              <w:rPr>
                <w:sz w:val="20"/>
                <w:szCs w:val="20"/>
              </w:rPr>
              <w:t xml:space="preserve">Document </w:t>
            </w:r>
            <w:r w:rsidR="007C204A" w:rsidRPr="004C78D8">
              <w:rPr>
                <w:sz w:val="20"/>
                <w:szCs w:val="20"/>
              </w:rPr>
              <w:t>7</w:t>
            </w:r>
          </w:p>
        </w:tc>
      </w:tr>
      <w:tr w:rsidR="00F84377" w:rsidRPr="004C78D8" w14:paraId="3380206C" w14:textId="77777777" w:rsidTr="002828C1">
        <w:tc>
          <w:tcPr>
            <w:tcW w:w="1256" w:type="pct"/>
            <w:vMerge/>
          </w:tcPr>
          <w:p w14:paraId="6548E538" w14:textId="77777777" w:rsidR="00F84377" w:rsidRPr="004C78D8" w:rsidRDefault="00F84377" w:rsidP="00FB7C1F">
            <w:pPr>
              <w:jc w:val="left"/>
              <w:rPr>
                <w:sz w:val="20"/>
                <w:szCs w:val="20"/>
              </w:rPr>
            </w:pPr>
          </w:p>
        </w:tc>
        <w:tc>
          <w:tcPr>
            <w:tcW w:w="2168" w:type="pct"/>
          </w:tcPr>
          <w:p w14:paraId="388E8D14" w14:textId="77777777" w:rsidR="00F84377" w:rsidRPr="00972766" w:rsidRDefault="00F84377" w:rsidP="00FB7C1F">
            <w:pPr>
              <w:jc w:val="left"/>
              <w:rPr>
                <w:sz w:val="20"/>
                <w:szCs w:val="20"/>
                <w:lang w:val="fr-FR"/>
              </w:rPr>
            </w:pPr>
            <w:r w:rsidRPr="00972766">
              <w:rPr>
                <w:sz w:val="20"/>
                <w:szCs w:val="20"/>
                <w:lang w:val="fr-FR"/>
              </w:rPr>
              <w:t>CCG Fracture Liaison Service (Tai Chi)</w:t>
            </w:r>
          </w:p>
        </w:tc>
        <w:tc>
          <w:tcPr>
            <w:tcW w:w="581" w:type="pct"/>
          </w:tcPr>
          <w:p w14:paraId="4FC71C25" w14:textId="77777777" w:rsidR="00F84377" w:rsidRPr="004C78D8" w:rsidRDefault="00F84377" w:rsidP="00FB7C1F">
            <w:pPr>
              <w:jc w:val="left"/>
              <w:rPr>
                <w:sz w:val="20"/>
                <w:szCs w:val="20"/>
              </w:rPr>
            </w:pPr>
            <w:r w:rsidRPr="004C78D8">
              <w:rPr>
                <w:sz w:val="20"/>
                <w:szCs w:val="20"/>
              </w:rPr>
              <w:t>Reactive</w:t>
            </w:r>
          </w:p>
        </w:tc>
        <w:tc>
          <w:tcPr>
            <w:tcW w:w="995" w:type="pct"/>
          </w:tcPr>
          <w:p w14:paraId="248F9627" w14:textId="256571A2" w:rsidR="00F84377" w:rsidRPr="004C78D8" w:rsidRDefault="00F84377" w:rsidP="00FB7C1F">
            <w:pPr>
              <w:jc w:val="left"/>
              <w:rPr>
                <w:sz w:val="20"/>
                <w:szCs w:val="20"/>
              </w:rPr>
            </w:pPr>
            <w:r w:rsidRPr="004C78D8">
              <w:rPr>
                <w:sz w:val="20"/>
                <w:szCs w:val="20"/>
              </w:rPr>
              <w:t xml:space="preserve">Documents </w:t>
            </w:r>
            <w:r w:rsidR="00F944EF" w:rsidRPr="004C78D8">
              <w:rPr>
                <w:sz w:val="20"/>
                <w:szCs w:val="20"/>
              </w:rPr>
              <w:t>4</w:t>
            </w:r>
            <w:r w:rsidRPr="004C78D8">
              <w:rPr>
                <w:sz w:val="20"/>
                <w:szCs w:val="20"/>
              </w:rPr>
              <w:t xml:space="preserve"> &amp; 11</w:t>
            </w:r>
          </w:p>
        </w:tc>
      </w:tr>
      <w:tr w:rsidR="00F84377" w:rsidRPr="004C78D8" w14:paraId="7E8F8263" w14:textId="77777777" w:rsidTr="002828C1">
        <w:tc>
          <w:tcPr>
            <w:tcW w:w="1256" w:type="pct"/>
            <w:vMerge/>
          </w:tcPr>
          <w:p w14:paraId="5568A94C" w14:textId="77777777" w:rsidR="00F84377" w:rsidRPr="004C78D8" w:rsidRDefault="00F84377" w:rsidP="00FB7C1F">
            <w:pPr>
              <w:jc w:val="left"/>
              <w:rPr>
                <w:sz w:val="20"/>
                <w:szCs w:val="20"/>
              </w:rPr>
            </w:pPr>
          </w:p>
        </w:tc>
        <w:tc>
          <w:tcPr>
            <w:tcW w:w="2168" w:type="pct"/>
          </w:tcPr>
          <w:p w14:paraId="2B33AF30" w14:textId="1D139CD2" w:rsidR="00F84377" w:rsidRPr="004C78D8" w:rsidRDefault="00F84377" w:rsidP="00FB7C1F">
            <w:pPr>
              <w:jc w:val="left"/>
              <w:rPr>
                <w:sz w:val="20"/>
                <w:szCs w:val="20"/>
              </w:rPr>
            </w:pPr>
            <w:r w:rsidRPr="004C78D8">
              <w:rPr>
                <w:sz w:val="20"/>
                <w:szCs w:val="20"/>
              </w:rPr>
              <w:t>CCG Integrated Community Therapy (ICT) team</w:t>
            </w:r>
          </w:p>
        </w:tc>
        <w:tc>
          <w:tcPr>
            <w:tcW w:w="581" w:type="pct"/>
          </w:tcPr>
          <w:p w14:paraId="78D49176" w14:textId="77777777" w:rsidR="00F84377" w:rsidRPr="004C78D8" w:rsidRDefault="00F84377" w:rsidP="00FB7C1F">
            <w:pPr>
              <w:jc w:val="left"/>
              <w:rPr>
                <w:sz w:val="20"/>
                <w:szCs w:val="20"/>
              </w:rPr>
            </w:pPr>
            <w:r w:rsidRPr="004C78D8">
              <w:rPr>
                <w:sz w:val="20"/>
                <w:szCs w:val="20"/>
              </w:rPr>
              <w:t>Reactive; Proactive</w:t>
            </w:r>
          </w:p>
        </w:tc>
        <w:tc>
          <w:tcPr>
            <w:tcW w:w="995" w:type="pct"/>
          </w:tcPr>
          <w:p w14:paraId="0DDD5195" w14:textId="08600908" w:rsidR="00F84377" w:rsidRPr="004C78D8" w:rsidRDefault="00F84377" w:rsidP="00FB7C1F">
            <w:pPr>
              <w:jc w:val="left"/>
              <w:rPr>
                <w:sz w:val="20"/>
                <w:szCs w:val="20"/>
              </w:rPr>
            </w:pPr>
            <w:r w:rsidRPr="004C78D8">
              <w:rPr>
                <w:sz w:val="20"/>
                <w:szCs w:val="20"/>
              </w:rPr>
              <w:t xml:space="preserve">Documents </w:t>
            </w:r>
            <w:r w:rsidR="00F944EF" w:rsidRPr="004C78D8">
              <w:rPr>
                <w:sz w:val="20"/>
                <w:szCs w:val="20"/>
              </w:rPr>
              <w:t>4</w:t>
            </w:r>
            <w:r w:rsidRPr="004C78D8">
              <w:rPr>
                <w:sz w:val="20"/>
                <w:szCs w:val="20"/>
              </w:rPr>
              <w:t xml:space="preserve"> &amp; 11</w:t>
            </w:r>
          </w:p>
        </w:tc>
      </w:tr>
      <w:tr w:rsidR="00F84377" w:rsidRPr="004C78D8" w14:paraId="0E3F73B2" w14:textId="77777777" w:rsidTr="002828C1">
        <w:tc>
          <w:tcPr>
            <w:tcW w:w="1256" w:type="pct"/>
            <w:vMerge/>
          </w:tcPr>
          <w:p w14:paraId="628A182F" w14:textId="77777777" w:rsidR="00F84377" w:rsidRPr="004C78D8" w:rsidRDefault="00F84377" w:rsidP="00FB7C1F">
            <w:pPr>
              <w:jc w:val="left"/>
              <w:rPr>
                <w:sz w:val="20"/>
                <w:szCs w:val="20"/>
              </w:rPr>
            </w:pPr>
          </w:p>
        </w:tc>
        <w:tc>
          <w:tcPr>
            <w:tcW w:w="2168" w:type="pct"/>
          </w:tcPr>
          <w:p w14:paraId="66CEA59A" w14:textId="6C52EACF" w:rsidR="00F84377" w:rsidRPr="004C78D8" w:rsidRDefault="00F84377" w:rsidP="00FB7C1F">
            <w:pPr>
              <w:jc w:val="left"/>
              <w:rPr>
                <w:sz w:val="20"/>
                <w:szCs w:val="20"/>
              </w:rPr>
            </w:pPr>
            <w:r w:rsidRPr="004C78D8">
              <w:rPr>
                <w:sz w:val="20"/>
                <w:szCs w:val="20"/>
              </w:rPr>
              <w:t>[Pilot scheme] CCG Dance to Health group exercise (Otago and FaME)</w:t>
            </w:r>
          </w:p>
        </w:tc>
        <w:tc>
          <w:tcPr>
            <w:tcW w:w="581" w:type="pct"/>
          </w:tcPr>
          <w:p w14:paraId="20B3FFAE" w14:textId="77777777" w:rsidR="00F84377" w:rsidRPr="004C78D8" w:rsidRDefault="00F84377" w:rsidP="00FB7C1F">
            <w:pPr>
              <w:jc w:val="left"/>
              <w:rPr>
                <w:sz w:val="20"/>
                <w:szCs w:val="20"/>
              </w:rPr>
            </w:pPr>
            <w:r w:rsidRPr="004C78D8">
              <w:rPr>
                <w:sz w:val="20"/>
                <w:szCs w:val="20"/>
              </w:rPr>
              <w:t>Self-referred</w:t>
            </w:r>
          </w:p>
        </w:tc>
        <w:tc>
          <w:tcPr>
            <w:tcW w:w="995" w:type="pct"/>
          </w:tcPr>
          <w:p w14:paraId="34647DEB" w14:textId="302A2258" w:rsidR="00F84377" w:rsidRPr="004C78D8" w:rsidRDefault="00F84377" w:rsidP="00FB7C1F">
            <w:pPr>
              <w:jc w:val="left"/>
              <w:rPr>
                <w:sz w:val="20"/>
                <w:szCs w:val="20"/>
              </w:rPr>
            </w:pPr>
            <w:r w:rsidRPr="004C78D8">
              <w:rPr>
                <w:sz w:val="20"/>
                <w:szCs w:val="20"/>
              </w:rPr>
              <w:t xml:space="preserve">Documents </w:t>
            </w:r>
            <w:r w:rsidR="00F944EF" w:rsidRPr="004C78D8">
              <w:rPr>
                <w:sz w:val="20"/>
                <w:szCs w:val="20"/>
              </w:rPr>
              <w:t>4</w:t>
            </w:r>
            <w:r w:rsidRPr="004C78D8">
              <w:rPr>
                <w:sz w:val="20"/>
                <w:szCs w:val="20"/>
              </w:rPr>
              <w:t xml:space="preserve"> &amp; 11</w:t>
            </w:r>
          </w:p>
        </w:tc>
      </w:tr>
      <w:tr w:rsidR="00F84377" w:rsidRPr="004C78D8" w14:paraId="57D30423" w14:textId="77777777" w:rsidTr="002828C1">
        <w:tc>
          <w:tcPr>
            <w:tcW w:w="1256" w:type="pct"/>
          </w:tcPr>
          <w:p w14:paraId="3346268B" w14:textId="77777777" w:rsidR="00F84377" w:rsidRPr="004C78D8" w:rsidRDefault="00F84377" w:rsidP="00FB7C1F">
            <w:pPr>
              <w:jc w:val="left"/>
              <w:rPr>
                <w:sz w:val="20"/>
                <w:szCs w:val="20"/>
              </w:rPr>
            </w:pPr>
            <w:r w:rsidRPr="004C78D8">
              <w:rPr>
                <w:sz w:val="20"/>
                <w:szCs w:val="20"/>
              </w:rPr>
              <w:t>Falls specialist geriatrician</w:t>
            </w:r>
          </w:p>
        </w:tc>
        <w:tc>
          <w:tcPr>
            <w:tcW w:w="2168" w:type="pct"/>
          </w:tcPr>
          <w:p w14:paraId="254162C9" w14:textId="77777777" w:rsidR="00F84377" w:rsidRPr="004C78D8" w:rsidRDefault="00F84377" w:rsidP="00FB7C1F">
            <w:pPr>
              <w:jc w:val="left"/>
              <w:rPr>
                <w:sz w:val="20"/>
                <w:szCs w:val="20"/>
              </w:rPr>
            </w:pPr>
            <w:r w:rsidRPr="004C78D8">
              <w:rPr>
                <w:sz w:val="20"/>
                <w:szCs w:val="20"/>
              </w:rPr>
              <w:t>Multidisciplinary Sheffield Falls Clinic</w:t>
            </w:r>
          </w:p>
        </w:tc>
        <w:tc>
          <w:tcPr>
            <w:tcW w:w="581" w:type="pct"/>
          </w:tcPr>
          <w:p w14:paraId="58778D03" w14:textId="6EB69FEF" w:rsidR="00F84377" w:rsidRPr="004C78D8" w:rsidRDefault="000C4117" w:rsidP="00FB7C1F">
            <w:pPr>
              <w:jc w:val="left"/>
              <w:rPr>
                <w:sz w:val="20"/>
                <w:szCs w:val="20"/>
              </w:rPr>
            </w:pPr>
            <w:r w:rsidRPr="004C78D8">
              <w:rPr>
                <w:sz w:val="20"/>
                <w:szCs w:val="20"/>
              </w:rPr>
              <w:t xml:space="preserve">Reactive; </w:t>
            </w:r>
            <w:r w:rsidR="00F84377" w:rsidRPr="004C78D8">
              <w:rPr>
                <w:sz w:val="20"/>
                <w:szCs w:val="20"/>
              </w:rPr>
              <w:t xml:space="preserve">Proactive </w:t>
            </w:r>
          </w:p>
        </w:tc>
        <w:tc>
          <w:tcPr>
            <w:tcW w:w="995" w:type="pct"/>
          </w:tcPr>
          <w:p w14:paraId="7D699DAD" w14:textId="59B44BA6" w:rsidR="00F84377" w:rsidRPr="004C78D8" w:rsidRDefault="00F84377" w:rsidP="00FB7C1F">
            <w:pPr>
              <w:jc w:val="left"/>
              <w:rPr>
                <w:sz w:val="20"/>
                <w:szCs w:val="20"/>
              </w:rPr>
            </w:pPr>
            <w:r w:rsidRPr="004C78D8">
              <w:rPr>
                <w:sz w:val="20"/>
                <w:szCs w:val="20"/>
              </w:rPr>
              <w:t xml:space="preserve">Document </w:t>
            </w:r>
            <w:r w:rsidR="007C204A" w:rsidRPr="004C78D8">
              <w:rPr>
                <w:sz w:val="20"/>
                <w:szCs w:val="20"/>
              </w:rPr>
              <w:t>9</w:t>
            </w:r>
          </w:p>
        </w:tc>
      </w:tr>
      <w:tr w:rsidR="00F84377" w:rsidRPr="004C78D8" w14:paraId="7201B6DF" w14:textId="77777777" w:rsidTr="002828C1">
        <w:tc>
          <w:tcPr>
            <w:tcW w:w="1256" w:type="pct"/>
          </w:tcPr>
          <w:p w14:paraId="03BBFF77" w14:textId="77777777" w:rsidR="00F84377" w:rsidRPr="004C78D8" w:rsidRDefault="00F84377" w:rsidP="00FB7C1F">
            <w:pPr>
              <w:jc w:val="left"/>
              <w:rPr>
                <w:sz w:val="20"/>
                <w:szCs w:val="20"/>
              </w:rPr>
            </w:pPr>
            <w:r w:rsidRPr="004C78D8">
              <w:rPr>
                <w:sz w:val="20"/>
                <w:szCs w:val="20"/>
              </w:rPr>
              <w:t>Evaluator of Sheffield PPP Falls Prevention</w:t>
            </w:r>
          </w:p>
        </w:tc>
        <w:tc>
          <w:tcPr>
            <w:tcW w:w="2168" w:type="pct"/>
          </w:tcPr>
          <w:p w14:paraId="5E441D2B" w14:textId="4E278C09" w:rsidR="00F84377" w:rsidRPr="004C78D8" w:rsidRDefault="00F84377" w:rsidP="00FB7C1F">
            <w:pPr>
              <w:jc w:val="left"/>
              <w:rPr>
                <w:sz w:val="20"/>
                <w:szCs w:val="20"/>
              </w:rPr>
            </w:pPr>
            <w:r w:rsidRPr="004C78D8">
              <w:rPr>
                <w:sz w:val="20"/>
                <w:szCs w:val="20"/>
              </w:rPr>
              <w:t>[Pilot scheme] QTUG and ICT team referral</w:t>
            </w:r>
          </w:p>
        </w:tc>
        <w:tc>
          <w:tcPr>
            <w:tcW w:w="581" w:type="pct"/>
          </w:tcPr>
          <w:p w14:paraId="761FE983" w14:textId="77777777" w:rsidR="00F84377" w:rsidRPr="004C78D8" w:rsidRDefault="00F84377" w:rsidP="00FB7C1F">
            <w:pPr>
              <w:jc w:val="left"/>
              <w:rPr>
                <w:sz w:val="20"/>
                <w:szCs w:val="20"/>
              </w:rPr>
            </w:pPr>
            <w:r w:rsidRPr="004C78D8">
              <w:rPr>
                <w:sz w:val="20"/>
                <w:szCs w:val="20"/>
              </w:rPr>
              <w:t>Proactive</w:t>
            </w:r>
          </w:p>
        </w:tc>
        <w:tc>
          <w:tcPr>
            <w:tcW w:w="995" w:type="pct"/>
          </w:tcPr>
          <w:p w14:paraId="414E4033" w14:textId="6861F030" w:rsidR="00F84377" w:rsidRPr="004C78D8" w:rsidRDefault="00F84377" w:rsidP="00FB7C1F">
            <w:pPr>
              <w:jc w:val="left"/>
              <w:rPr>
                <w:sz w:val="20"/>
                <w:szCs w:val="20"/>
              </w:rPr>
            </w:pPr>
            <w:r w:rsidRPr="004C78D8">
              <w:rPr>
                <w:sz w:val="20"/>
                <w:szCs w:val="20"/>
              </w:rPr>
              <w:t>Document 12</w:t>
            </w:r>
          </w:p>
        </w:tc>
      </w:tr>
      <w:tr w:rsidR="00F84377" w:rsidRPr="004C78D8" w14:paraId="63A1896B" w14:textId="77777777" w:rsidTr="002828C1">
        <w:tc>
          <w:tcPr>
            <w:tcW w:w="1256" w:type="pct"/>
          </w:tcPr>
          <w:p w14:paraId="28A629ED" w14:textId="2EA97EB5" w:rsidR="00F84377" w:rsidRPr="004C78D8" w:rsidRDefault="00F84377" w:rsidP="00FB7C1F">
            <w:pPr>
              <w:jc w:val="left"/>
              <w:rPr>
                <w:sz w:val="20"/>
                <w:szCs w:val="20"/>
              </w:rPr>
            </w:pPr>
            <w:r w:rsidRPr="004C78D8">
              <w:rPr>
                <w:sz w:val="20"/>
                <w:szCs w:val="20"/>
              </w:rPr>
              <w:t>Age UK Sheffield</w:t>
            </w:r>
          </w:p>
        </w:tc>
        <w:tc>
          <w:tcPr>
            <w:tcW w:w="2168" w:type="pct"/>
          </w:tcPr>
          <w:p w14:paraId="09A330E2" w14:textId="4D61F99D" w:rsidR="00F84377" w:rsidRPr="004C78D8" w:rsidRDefault="00F84377" w:rsidP="00FB7C1F">
            <w:pPr>
              <w:jc w:val="left"/>
              <w:rPr>
                <w:sz w:val="20"/>
                <w:szCs w:val="20"/>
              </w:rPr>
            </w:pPr>
            <w:r w:rsidRPr="004C78D8">
              <w:rPr>
                <w:sz w:val="20"/>
                <w:szCs w:val="20"/>
              </w:rPr>
              <w:t>Independent Living Coordination programme (education, home exercise, referral to HAM)</w:t>
            </w:r>
          </w:p>
        </w:tc>
        <w:tc>
          <w:tcPr>
            <w:tcW w:w="581" w:type="pct"/>
          </w:tcPr>
          <w:p w14:paraId="54970207" w14:textId="3C9C31D5" w:rsidR="00F84377" w:rsidRPr="004C78D8" w:rsidRDefault="00F84377" w:rsidP="00FB7C1F">
            <w:pPr>
              <w:jc w:val="left"/>
              <w:rPr>
                <w:sz w:val="20"/>
                <w:szCs w:val="20"/>
              </w:rPr>
            </w:pPr>
            <w:r w:rsidRPr="004C78D8">
              <w:rPr>
                <w:sz w:val="20"/>
                <w:szCs w:val="20"/>
              </w:rPr>
              <w:t>Proactive</w:t>
            </w:r>
          </w:p>
        </w:tc>
        <w:tc>
          <w:tcPr>
            <w:tcW w:w="995" w:type="pct"/>
          </w:tcPr>
          <w:p w14:paraId="40359BA9" w14:textId="32259F6D" w:rsidR="00F84377" w:rsidRPr="004C78D8" w:rsidRDefault="00F84377" w:rsidP="00FB7C1F">
            <w:pPr>
              <w:jc w:val="left"/>
              <w:rPr>
                <w:sz w:val="20"/>
                <w:szCs w:val="20"/>
              </w:rPr>
            </w:pPr>
            <w:r w:rsidRPr="004C78D8">
              <w:rPr>
                <w:sz w:val="20"/>
                <w:szCs w:val="20"/>
              </w:rPr>
              <w:t>Document 13</w:t>
            </w:r>
          </w:p>
        </w:tc>
      </w:tr>
      <w:tr w:rsidR="00F84377" w:rsidRPr="004C78D8" w14:paraId="6D5F0DC2" w14:textId="77777777" w:rsidTr="002828C1">
        <w:tc>
          <w:tcPr>
            <w:tcW w:w="5000" w:type="pct"/>
            <w:gridSpan w:val="4"/>
          </w:tcPr>
          <w:p w14:paraId="46D17AC1" w14:textId="7F903B40" w:rsidR="00F84377" w:rsidRPr="004C78D8" w:rsidRDefault="00F84377" w:rsidP="00FB7C1F">
            <w:pPr>
              <w:rPr>
                <w:sz w:val="18"/>
                <w:szCs w:val="18"/>
              </w:rPr>
            </w:pPr>
            <w:r w:rsidRPr="004C78D8">
              <w:rPr>
                <w:b/>
                <w:bCs/>
                <w:sz w:val="18"/>
                <w:szCs w:val="18"/>
              </w:rPr>
              <w:t>Abbreviation:</w:t>
            </w:r>
            <w:r w:rsidRPr="004C78D8">
              <w:rPr>
                <w:sz w:val="18"/>
                <w:szCs w:val="18"/>
              </w:rPr>
              <w:t xml:space="preserve"> FaME: Falls Management Exercise; MA faller: faller who received medical attention; OT: occupational therapy; PHP: Public Health Principal; PPP: Perfect Patient Pathway; PT: physiotherapy; QTUG: quantified timed up and go; SCC: Sheffield City Council; STH: Sheffield Teaching Hospitals</w:t>
            </w:r>
          </w:p>
        </w:tc>
      </w:tr>
    </w:tbl>
    <w:p w14:paraId="204ABB56" w14:textId="77777777" w:rsidR="000E29EF" w:rsidRPr="004C78D8" w:rsidRDefault="000E29EF" w:rsidP="00FB7C1F"/>
    <w:p w14:paraId="729FCEE6" w14:textId="3AE0305C" w:rsidR="00AD394F" w:rsidRPr="004C78D8" w:rsidRDefault="000E29EF" w:rsidP="00FB7C1F">
      <w:r w:rsidRPr="004C78D8">
        <w:t xml:space="preserve">Sections 3.7.1.1 to 3.7.1.3 below discuss the current interventions by pathway. </w:t>
      </w:r>
      <w:r w:rsidR="00C57631" w:rsidRPr="004C78D8">
        <w:t>S</w:t>
      </w:r>
      <w:r w:rsidR="00ED5CC4" w:rsidRPr="004C78D8">
        <w:t xml:space="preserve">ection 3.7.1.4 subsequently discusses the client flows under current practice and associated capacity implications. </w:t>
      </w:r>
    </w:p>
    <w:p w14:paraId="77D13E78" w14:textId="1130C56F" w:rsidR="00AD394F" w:rsidRPr="004C78D8" w:rsidRDefault="000E29EF" w:rsidP="00FB7C1F">
      <w:pPr>
        <w:pStyle w:val="Heading4"/>
      </w:pPr>
      <w:r w:rsidRPr="004C78D8">
        <w:t>3.7.1.1 Current r</w:t>
      </w:r>
      <w:r w:rsidR="00AD394F" w:rsidRPr="004C78D8">
        <w:t>eactive pathway</w:t>
      </w:r>
    </w:p>
    <w:p w14:paraId="3156779B" w14:textId="62FF3813" w:rsidR="00AD394F" w:rsidRPr="004C78D8" w:rsidRDefault="00AD394F" w:rsidP="00FB7C1F">
      <w:r w:rsidRPr="004C78D8">
        <w:t xml:space="preserve">As shown in Table </w:t>
      </w:r>
      <w:r w:rsidR="00E503AA" w:rsidRPr="004C78D8">
        <w:t>3</w:t>
      </w:r>
      <w:r w:rsidRPr="004C78D8">
        <w:t>.</w:t>
      </w:r>
      <w:r w:rsidR="00E503AA" w:rsidRPr="004C78D8">
        <w:t>7</w:t>
      </w:r>
      <w:r w:rsidRPr="004C78D8">
        <w:t>, reactive interventions comprised a high proportion (</w:t>
      </w:r>
      <w:r w:rsidR="00572582" w:rsidRPr="004C78D8">
        <w:t>six</w:t>
      </w:r>
      <w:r w:rsidRPr="004C78D8">
        <w:t xml:space="preserve"> out of </w:t>
      </w:r>
      <w:r w:rsidR="00572582" w:rsidRPr="004C78D8">
        <w:t>nine</w:t>
      </w:r>
      <w:r w:rsidRPr="004C78D8">
        <w:t xml:space="preserve">) of falls prevention </w:t>
      </w:r>
      <w:r w:rsidR="00E503AA" w:rsidRPr="004C78D8">
        <w:t>service</w:t>
      </w:r>
      <w:r w:rsidRPr="004C78D8">
        <w:t>s in Sheffield. The proportion was even higher if temporary pilot schemes (</w:t>
      </w:r>
      <w:r w:rsidR="00E503AA" w:rsidRPr="004C78D8">
        <w:t xml:space="preserve">Dance to Health and </w:t>
      </w:r>
      <w:r w:rsidRPr="004C78D8">
        <w:t xml:space="preserve">QTUG and ICT team referral) were excluded. HAM provided by </w:t>
      </w:r>
      <w:r w:rsidR="00E503AA" w:rsidRPr="004C78D8">
        <w:t>SCC</w:t>
      </w:r>
      <w:r w:rsidRPr="004C78D8">
        <w:t xml:space="preserve"> was part of the standard hospital discharge protocol for hospitali</w:t>
      </w:r>
      <w:r w:rsidR="00E503AA" w:rsidRPr="004C78D8">
        <w:t>s</w:t>
      </w:r>
      <w:r w:rsidRPr="004C78D8">
        <w:t xml:space="preserve">ed fallers and constituted the main reactive component. </w:t>
      </w:r>
      <w:r w:rsidR="00E503AA" w:rsidRPr="004C78D8">
        <w:t>SCC</w:t>
      </w:r>
      <w:r w:rsidRPr="004C78D8">
        <w:t xml:space="preserve"> also provided a self-financed fall alarm service for discharged patients. </w:t>
      </w:r>
      <w:r w:rsidR="00F84377" w:rsidRPr="004C78D8">
        <w:t xml:space="preserve">The seven-week rehabilitation therapy provided by the Sheffield Teaching Hospitals (STH) comprised another part of the standard discharge protocol. </w:t>
      </w:r>
      <w:r w:rsidRPr="004C78D8">
        <w:t xml:space="preserve">For those who experienced a serious fracture that impaired activities of daily living, Sheffield CCG </w:t>
      </w:r>
      <w:r w:rsidR="00F84377" w:rsidRPr="004C78D8">
        <w:t xml:space="preserve">also </w:t>
      </w:r>
      <w:r w:rsidRPr="004C78D8">
        <w:t>provided the Fracture Liaison Service that offered twice-weekly group Tai Chi to around 20-30 clients.</w:t>
      </w:r>
    </w:p>
    <w:p w14:paraId="1BE53A36" w14:textId="74170E69" w:rsidR="004F5949" w:rsidRPr="004C78D8" w:rsidRDefault="00AD394F" w:rsidP="00FB7C1F">
      <w:r w:rsidRPr="004C78D8">
        <w:t xml:space="preserve">The Sheffield Falls Clinic was based at the Assessment and Rehabilitation Centre (ARC) – an outpatient facility owned by the </w:t>
      </w:r>
      <w:r w:rsidR="00572582" w:rsidRPr="004C78D8">
        <w:t>STH</w:t>
      </w:r>
      <w:r w:rsidRPr="004C78D8">
        <w:t xml:space="preserve"> – and was operated by a multidisciplinary team of consultant geriatrician, </w:t>
      </w:r>
      <w:r w:rsidR="004F5949" w:rsidRPr="004C78D8">
        <w:t>physiotherapists</w:t>
      </w:r>
      <w:r w:rsidR="00F935A0" w:rsidRPr="004C78D8">
        <w:t>,</w:t>
      </w:r>
      <w:r w:rsidRPr="004C78D8">
        <w:t xml:space="preserve"> and </w:t>
      </w:r>
      <w:r w:rsidR="004F5949" w:rsidRPr="004C78D8">
        <w:t>occupational therapists</w:t>
      </w:r>
      <w:r w:rsidRPr="004C78D8">
        <w:t xml:space="preserve"> for a single afternoon each week. Those referred to the Clinic received full medical, PT and OT assessments, and based on the identified falls risk factors, received tailored treatments including medical interventions and referrals (e.g., medication change, cardiac pacing, referral to ophthalmologist), up to </w:t>
      </w:r>
      <w:r w:rsidR="004F5949" w:rsidRPr="004C78D8">
        <w:t>six</w:t>
      </w:r>
      <w:r w:rsidRPr="004C78D8">
        <w:t xml:space="preserve"> weeks of one-to-one PT treatments, OT home modifications</w:t>
      </w:r>
      <w:r w:rsidR="004F5949" w:rsidRPr="004C78D8">
        <w:t>,</w:t>
      </w:r>
      <w:r w:rsidRPr="004C78D8">
        <w:t xml:space="preserve"> and appropriate footwear and assistive devices. The assessment results and treatment prescriptions were sent back to the GPs for further monitoring. The Clinic catered to both reactive and proactive pathways. </w:t>
      </w:r>
      <w:r w:rsidR="00F84377" w:rsidRPr="004C78D8">
        <w:t xml:space="preserve">The </w:t>
      </w:r>
      <w:r w:rsidR="00572582" w:rsidRPr="004C78D8">
        <w:t>ICT</w:t>
      </w:r>
      <w:r w:rsidR="00F84377" w:rsidRPr="004C78D8">
        <w:t xml:space="preserve"> team was another multidisciplinary unit of PT and OT professionals operating mainly under the reactive pathway.</w:t>
      </w:r>
    </w:p>
    <w:p w14:paraId="70F8721D" w14:textId="282F1F64" w:rsidR="000C4117" w:rsidRPr="004C78D8" w:rsidRDefault="000C4117" w:rsidP="00FB7C1F">
      <w:pPr>
        <w:pStyle w:val="Heading4"/>
      </w:pPr>
      <w:r w:rsidRPr="004C78D8">
        <w:t>3.7.1.2 Current proactive pathway</w:t>
      </w:r>
    </w:p>
    <w:p w14:paraId="06000F3E" w14:textId="4F9366F8" w:rsidR="00404849" w:rsidRPr="004C78D8" w:rsidRDefault="000C4117" w:rsidP="00FB7C1F">
      <w:r w:rsidRPr="004C78D8">
        <w:t xml:space="preserve">As </w:t>
      </w:r>
      <w:r w:rsidR="00906918" w:rsidRPr="004C78D8">
        <w:t>not</w:t>
      </w:r>
      <w:r w:rsidRPr="004C78D8">
        <w:t xml:space="preserve">ed, the Falls Clinic and the ICT team took on proactive clients. </w:t>
      </w:r>
      <w:r w:rsidR="00023397" w:rsidRPr="004C78D8">
        <w:t>Moreover, between 2016 and 2018, a proactive falls prevention scheme was piloted in Sheffield as part of the Perfect Patient Pathway (PPP) Test Bed initiative run by STH.</w:t>
      </w:r>
      <w:r w:rsidR="00726CD4" w:rsidRPr="004C78D8">
        <w:t xml:space="preserve"> </w:t>
      </w:r>
      <w:r w:rsidR="00906918" w:rsidRPr="004C78D8">
        <w:t>This</w:t>
      </w:r>
      <w:r w:rsidR="00726CD4" w:rsidRPr="004C78D8">
        <w:t xml:space="preserve"> initiative aimed to evaluate digital health technologies that targeted diverse population groups with complex needs including older persons at the onset of physical decline and hence eligible for falls prevention </w:t>
      </w:r>
      <w:r w:rsidR="00726CD4" w:rsidRPr="004C78D8">
        <w:fldChar w:fldCharType="begin"/>
      </w:r>
      <w:r w:rsidR="00C630FC" w:rsidRPr="004C78D8">
        <w:instrText xml:space="preserve"> ADDIN EN.CITE &lt;EndNote&gt;&lt;Cite&gt;&lt;Author&gt;Sheffield Teaching Hospitals&lt;/Author&gt;&lt;Year&gt;2019&lt;/Year&gt;&lt;RecNum&gt;552&lt;/RecNum&gt;&lt;DisplayText&gt;[209]&lt;/DisplayText&gt;&lt;record&gt;&lt;rec-number&gt;552&lt;/rec-number&gt;&lt;foreign-keys&gt;&lt;key app="EN" db-id="tdtrdw9aepptzbefsat599syza29sxsd2wsp" timestamp="1619256769"&gt;552&lt;/key&gt;&lt;/foreign-keys&gt;&lt;ref-type name="Report"&gt;27&lt;/ref-type&gt;&lt;contributors&gt;&lt;authors&gt;&lt;author&gt;Sheffield Teaching Hospitals,&lt;/author&gt;&lt;/authors&gt;&lt;/contributors&gt;&lt;titles&gt;&lt;title&gt;Perfect Patient Pathway Test Bed Overview Report&lt;/title&gt;&lt;/titles&gt;&lt;dates&gt;&lt;year&gt;2019&lt;/year&gt;&lt;/dates&gt;&lt;publisher&gt;Sheffield Teaching Hospitals NHS Foundation Trust&lt;/publisher&gt;&lt;urls&gt;&lt;related-urls&gt;&lt;url&gt;www.ppptestbed.nhs.uk&lt;/url&gt;&lt;/related-urls&gt;&lt;/urls&gt;&lt;/record&gt;&lt;/Cite&gt;&lt;/EndNote&gt;</w:instrText>
      </w:r>
      <w:r w:rsidR="00726CD4" w:rsidRPr="004C78D8">
        <w:fldChar w:fldCharType="separate"/>
      </w:r>
      <w:r w:rsidR="00C630FC" w:rsidRPr="004C78D8">
        <w:rPr>
          <w:noProof/>
        </w:rPr>
        <w:t>[209]</w:t>
      </w:r>
      <w:r w:rsidR="00726CD4" w:rsidRPr="004C78D8">
        <w:fldChar w:fldCharType="end"/>
      </w:r>
      <w:r w:rsidR="00726CD4" w:rsidRPr="004C78D8">
        <w:t xml:space="preserve"> (Document 12 in Appendix B). The falls prevention scheme: (i) targeted cognitively intact, ‘moderately frail’ (by electronic frailty index (eFI) </w:t>
      </w:r>
      <w:r w:rsidR="00726CD4" w:rsidRPr="004C78D8">
        <w:fldChar w:fldCharType="begin">
          <w:fldData xml:space="preserve">PEVuZE5vdGU+PENpdGU+PEF1dGhvcj5DbGVnZzwvQXV0aG9yPjxZZWFyPjIwMTY8L1llYXI+PFJl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</w:fldData>
        </w:fldChar>
      </w:r>
      <w:r w:rsidR="00513646" w:rsidRPr="004C78D8">
        <w:instrText xml:space="preserve"> ADDIN EN.CITE </w:instrText>
      </w:r>
      <w:r w:rsidR="00513646" w:rsidRPr="004C78D8">
        <w:fldChar w:fldCharType="begin">
          <w:fldData xml:space="preserve">PEVuZE5vdGU+PENpdGU+PEF1dGhvcj5DbGVnZzwvQXV0aG9yPjxZZWFyPjIwMTY8L1llYXI+PFJl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</w:fldData>
        </w:fldChar>
      </w:r>
      <w:r w:rsidR="00513646" w:rsidRPr="004C78D8">
        <w:instrText xml:space="preserve"> ADDIN EN.CITE.DATA </w:instrText>
      </w:r>
      <w:r w:rsidR="00513646" w:rsidRPr="004C78D8">
        <w:fldChar w:fldCharType="end"/>
      </w:r>
      <w:r w:rsidR="00726CD4" w:rsidRPr="004C78D8">
        <w:fldChar w:fldCharType="separate"/>
      </w:r>
      <w:r w:rsidR="00513646" w:rsidRPr="004C78D8">
        <w:rPr>
          <w:noProof/>
        </w:rPr>
        <w:t>[47]</w:t>
      </w:r>
      <w:r w:rsidR="00726CD4" w:rsidRPr="004C78D8">
        <w:fldChar w:fldCharType="end"/>
      </w:r>
      <w:r w:rsidR="00726CD4" w:rsidRPr="004C78D8">
        <w:t xml:space="preserve">) older persons without falls history recorded in primary care data; (ii) screened individuals for </w:t>
      </w:r>
      <w:r w:rsidR="00906918" w:rsidRPr="004C78D8">
        <w:t xml:space="preserve">high </w:t>
      </w:r>
      <w:r w:rsidR="00726CD4" w:rsidRPr="004C78D8">
        <w:t>falls risk using the quantified timed up</w:t>
      </w:r>
      <w:r w:rsidR="00805457" w:rsidRPr="004C78D8">
        <w:t>-</w:t>
      </w:r>
      <w:r w:rsidR="00726CD4" w:rsidRPr="004C78D8">
        <w:t>and</w:t>
      </w:r>
      <w:r w:rsidR="00805457" w:rsidRPr="004C78D8">
        <w:t>-</w:t>
      </w:r>
      <w:r w:rsidR="00726CD4" w:rsidRPr="004C78D8">
        <w:t>go (QTUG) test; and (iii) referred high-risk individuals to multifactorial intervention conducted by the ICT team.</w:t>
      </w:r>
      <w:r w:rsidR="00FB3319" w:rsidRPr="004C78D8">
        <w:t xml:space="preserve"> </w:t>
      </w:r>
      <w:r w:rsidR="00906918" w:rsidRPr="004C78D8">
        <w:t>T</w:t>
      </w:r>
      <w:r w:rsidR="009F5C93" w:rsidRPr="004C78D8">
        <w:t xml:space="preserve">he scheme involved nonclinical staff from community organisations conducting falls risk screening; they in fact screened more persons than </w:t>
      </w:r>
      <w:r w:rsidR="00906918" w:rsidRPr="004C78D8">
        <w:t xml:space="preserve">the </w:t>
      </w:r>
      <w:r w:rsidR="009F5C93" w:rsidRPr="004C78D8">
        <w:t>primary and secondary care s</w:t>
      </w:r>
      <w:r w:rsidR="00906918" w:rsidRPr="004C78D8">
        <w:t>taff</w:t>
      </w:r>
      <w:r w:rsidR="009F5C93" w:rsidRPr="004C78D8">
        <w:t xml:space="preserve"> </w:t>
      </w:r>
      <w:r w:rsidR="00906918" w:rsidRPr="004C78D8">
        <w:t>by using</w:t>
      </w:r>
      <w:r w:rsidR="009F5C93" w:rsidRPr="004C78D8">
        <w:t xml:space="preserve"> more familiar venues at community centres </w:t>
      </w:r>
      <w:r w:rsidR="009F5C93" w:rsidRPr="004C78D8">
        <w:fldChar w:fldCharType="begin"/>
      </w:r>
      <w:r w:rsidR="00C630FC" w:rsidRPr="004C78D8">
        <w:instrText xml:space="preserve"> ADDIN EN.CITE &lt;EndNote&gt;&lt;Cite&gt;&lt;Author&gt;Sheffield Teaching Hospitals&lt;/Author&gt;&lt;Year&gt;2019&lt;/Year&gt;&lt;RecNum&gt;552&lt;/RecNum&gt;&lt;DisplayText&gt;[209]&lt;/DisplayText&gt;&lt;record&gt;&lt;rec-number&gt;552&lt;/rec-number&gt;&lt;foreign-keys&gt;&lt;key app="EN" db-id="tdtrdw9aepptzbefsat599syza29sxsd2wsp" timestamp="1619256769"&gt;552&lt;/key&gt;&lt;/foreign-keys&gt;&lt;ref-type name="Report"&gt;27&lt;/ref-type&gt;&lt;contributors&gt;&lt;authors&gt;&lt;author&gt;Sheffield Teaching Hospitals,&lt;/author&gt;&lt;/authors&gt;&lt;/contributors&gt;&lt;titles&gt;&lt;title&gt;Perfect Patient Pathway Test Bed Overview Report&lt;/title&gt;&lt;/titles&gt;&lt;dates&gt;&lt;year&gt;2019&lt;/year&gt;&lt;/dates&gt;&lt;publisher&gt;Sheffield Teaching Hospitals NHS Foundation Trust&lt;/publisher&gt;&lt;urls&gt;&lt;related-urls&gt;&lt;url&gt;www.ppptestbed.nhs.uk&lt;/url&gt;&lt;/related-urls&gt;&lt;/urls&gt;&lt;/record&gt;&lt;/Cite&gt;&lt;/EndNote&gt;</w:instrText>
      </w:r>
      <w:r w:rsidR="009F5C93" w:rsidRPr="004C78D8">
        <w:fldChar w:fldCharType="separate"/>
      </w:r>
      <w:r w:rsidR="00C630FC" w:rsidRPr="004C78D8">
        <w:rPr>
          <w:noProof/>
        </w:rPr>
        <w:t>[209]</w:t>
      </w:r>
      <w:r w:rsidR="009F5C93" w:rsidRPr="004C78D8">
        <w:fldChar w:fldCharType="end"/>
      </w:r>
      <w:r w:rsidR="009F5C93" w:rsidRPr="004C78D8">
        <w:t xml:space="preserve">. </w:t>
      </w:r>
      <w:r w:rsidR="00FB3319" w:rsidRPr="004C78D8">
        <w:t xml:space="preserve">However, the PHP confirmed (by personal communication) in August 2020 that there were </w:t>
      </w:r>
      <w:r w:rsidR="00572582" w:rsidRPr="004C78D8">
        <w:t xml:space="preserve">no </w:t>
      </w:r>
      <w:r w:rsidR="00FB3319" w:rsidRPr="004C78D8">
        <w:t>plans to scale up the scheme to the city level. Therefore, the QTUG-based proactive pathway represents a potential option rather than the current practice.</w:t>
      </w:r>
      <w:r w:rsidR="00404849" w:rsidRPr="004C78D8">
        <w:t xml:space="preserve"> Finally, Age UK Sheffield provided its own proactive falls prevention through its Independent Living Coordination (ILC) programme (Document 13 in Appendix B). Clients </w:t>
      </w:r>
      <w:r w:rsidR="00404849" w:rsidRPr="004C78D8">
        <w:lastRenderedPageBreak/>
        <w:t xml:space="preserve">were </w:t>
      </w:r>
      <w:r w:rsidR="009E70CD" w:rsidRPr="004C78D8">
        <w:t>primarily</w:t>
      </w:r>
      <w:r w:rsidR="00404849" w:rsidRPr="004C78D8">
        <w:t xml:space="preserve"> referred to the programme via their GPs</w:t>
      </w:r>
      <w:r w:rsidR="009E70CD" w:rsidRPr="004C78D8">
        <w:t xml:space="preserve"> (i.e., proactive pathway)</w:t>
      </w:r>
      <w:r w:rsidR="00404849" w:rsidRPr="004C78D8">
        <w:t xml:space="preserve">. The ILC staff conducted home visits and falls prevention services including education, home exercise and HAM referrals. This programme would likely qualify as a multifactorial intervention </w:t>
      </w:r>
      <w:r w:rsidR="00404849" w:rsidRPr="004C78D8">
        <w:fldChar w:fldCharType="begin"/>
      </w:r>
      <w:r w:rsidR="00513646" w:rsidRPr="004C78D8">
        <w:instrText xml:space="preserve"> ADDIN EN.CITE &lt;EndNote&gt;&lt;Cite&gt;&lt;Author&gt;Hopewell&lt;/Author&gt;&lt;Year&gt;2018&lt;/Year&gt;&lt;RecNum&gt;261&lt;/RecNum&gt;&lt;DisplayText&gt;[126]&lt;/DisplayText&gt;&lt;record&gt;&lt;rec-number&gt;261&lt;/rec-number&gt;&lt;foreign-keys&gt;&lt;key app="EN" db-id="tdtrdw9aepptzbefsat599syza29sxsd2wsp" timestamp="1611689483"&gt;261&lt;/key&gt;&lt;/foreign-keys&gt;&lt;ref-type name="Journal Article"&gt;17&lt;/ref-type&gt;&lt;contributors&gt;&lt;authors&gt;&lt;author&gt;Hopewell, Sally&lt;/author&gt;&lt;author&gt;Adedire, Olubusola&lt;/author&gt;&lt;author&gt;Copsey, Bethan J&lt;/author&gt;&lt;author&gt;Boniface, Graham J&lt;/author&gt;&lt;author&gt;Sherrington, Catherine&lt;/author&gt;&lt;author&gt;Clemson, Lindy&lt;/author&gt;&lt;author&gt;Close, Jacqueline CT&lt;/author&gt;&lt;author&gt;Lamb, Sarah E&lt;/author&gt;&lt;/authors&gt;&lt;/contributors&gt;&lt;titles&gt;&lt;title&gt;Multifactorial and multiple component interventions for preventing falls in older people living in the community&lt;/title&gt;&lt;secondary-title&gt;Cochrane database of systematic reviews&lt;/secondary-title&gt;&lt;/titles&gt;&lt;periodical&gt;&lt;full-title&gt;Cochrane database of systematic reviews&lt;/full-title&gt;&lt;/periodical&gt;&lt;number&gt;7&lt;/number&gt;&lt;dates&gt;&lt;year&gt;2018&lt;/year&gt;&lt;/dates&gt;&lt;isbn&gt;1465-1858&lt;/isbn&gt;&lt;urls&gt;&lt;/urls&gt;&lt;/record&gt;&lt;/Cite&gt;&lt;/EndNote&gt;</w:instrText>
      </w:r>
      <w:r w:rsidR="00404849" w:rsidRPr="004C78D8">
        <w:fldChar w:fldCharType="separate"/>
      </w:r>
      <w:r w:rsidR="00513646" w:rsidRPr="004C78D8">
        <w:rPr>
          <w:noProof/>
        </w:rPr>
        <w:t>[126]</w:t>
      </w:r>
      <w:r w:rsidR="00404849" w:rsidRPr="004C78D8">
        <w:fldChar w:fldCharType="end"/>
      </w:r>
      <w:r w:rsidR="00404849" w:rsidRPr="004C78D8">
        <w:t>.</w:t>
      </w:r>
    </w:p>
    <w:p w14:paraId="32D41948" w14:textId="774F0338" w:rsidR="000C4117" w:rsidRPr="004C78D8" w:rsidRDefault="000C4117" w:rsidP="00FB7C1F">
      <w:pPr>
        <w:pStyle w:val="Heading4"/>
      </w:pPr>
      <w:r w:rsidRPr="004C78D8">
        <w:t>3.7.1.3 Current self-referred pathway</w:t>
      </w:r>
    </w:p>
    <w:p w14:paraId="22D0F830" w14:textId="29EBF24A" w:rsidR="000C4117" w:rsidRPr="004C78D8" w:rsidRDefault="000C4117" w:rsidP="00FB7C1F">
      <w:r w:rsidRPr="004C78D8">
        <w:t xml:space="preserve">Between 2017 and 2019, CCG commissioned the Dance to Health group exercise for a two-year pilot scheme in three locations: (1) central Sheffield; (2) Fir Vale – due to its social deprivation and high ethnic minority presence; and (3) Stocksbridge – due to its rural location and large </w:t>
      </w:r>
      <w:r w:rsidR="00A379D3" w:rsidRPr="004C78D8">
        <w:t>geriatric</w:t>
      </w:r>
      <w:r w:rsidRPr="004C78D8">
        <w:t xml:space="preserve"> population. The commissioning </w:t>
      </w:r>
      <w:r w:rsidR="00A379D3" w:rsidRPr="004C78D8">
        <w:t>hence</w:t>
      </w:r>
      <w:r w:rsidRPr="004C78D8">
        <w:t xml:space="preserve"> considered </w:t>
      </w:r>
      <w:r w:rsidR="00A379D3" w:rsidRPr="004C78D8">
        <w:t xml:space="preserve">the </w:t>
      </w:r>
      <w:r w:rsidRPr="004C78D8">
        <w:t>objective of reducing social inequit</w:t>
      </w:r>
      <w:r w:rsidR="00A379D3" w:rsidRPr="004C78D8">
        <w:t>ies</w:t>
      </w:r>
      <w:r w:rsidRPr="004C78D8">
        <w:t xml:space="preserve"> in health and healthcare. </w:t>
      </w:r>
      <w:r w:rsidR="009E70CD" w:rsidRPr="004C78D8">
        <w:t xml:space="preserve">The programme was designed to be compatible with any pathway but linkage with other </w:t>
      </w:r>
      <w:r w:rsidR="00877253" w:rsidRPr="004C78D8">
        <w:t>referral pathways</w:t>
      </w:r>
      <w:r w:rsidR="009E70CD" w:rsidRPr="004C78D8">
        <w:t xml:space="preserve"> was very limited; 10 programme attendees who participated in the qualitative research in Chapter 2 reported accessing the programme via direct community marketing and peer recommendations rather than professional referrals. Hence, the programme operated primarily within the self-referred pathway. </w:t>
      </w:r>
      <w:r w:rsidRPr="004C78D8">
        <w:t xml:space="preserve">The Dance to Health programme involved weekly </w:t>
      </w:r>
      <w:r w:rsidR="00A379D3" w:rsidRPr="004C78D8">
        <w:t>two</w:t>
      </w:r>
      <w:r w:rsidRPr="004C78D8">
        <w:t>-hour sessions supervised by a professional dance and postural stability instructor</w:t>
      </w:r>
      <w:r w:rsidR="00B867BC" w:rsidRPr="004C78D8">
        <w:t xml:space="preserve"> (PSI)</w:t>
      </w:r>
      <w:r w:rsidRPr="004C78D8">
        <w:t>. The sessions incorporated components of Otago and FaME within a dance routine to improve enjoyability and long-term participation</w:t>
      </w:r>
      <w:r w:rsidR="00B867BC" w:rsidRPr="004C78D8">
        <w:t>;</w:t>
      </w:r>
      <w:r w:rsidRPr="004C78D8">
        <w:t xml:space="preserve"> </w:t>
      </w:r>
      <w:r w:rsidR="00B867BC" w:rsidRPr="004C78D8">
        <w:t>t</w:t>
      </w:r>
      <w:r w:rsidRPr="004C78D8">
        <w:t>he routine</w:t>
      </w:r>
      <w:r w:rsidR="00B867BC" w:rsidRPr="004C78D8">
        <w:t xml:space="preserve"> also</w:t>
      </w:r>
      <w:r w:rsidRPr="004C78D8">
        <w:t xml:space="preserve"> offered flexibility in terms of </w:t>
      </w:r>
      <w:r w:rsidR="00B867BC" w:rsidRPr="004C78D8">
        <w:t xml:space="preserve">individually tailored </w:t>
      </w:r>
      <w:r w:rsidRPr="004C78D8">
        <w:t>difficulty</w:t>
      </w:r>
      <w:r w:rsidR="00B867BC" w:rsidRPr="004C78D8">
        <w:t xml:space="preserve"> </w:t>
      </w:r>
      <w:r w:rsidR="00B867BC" w:rsidRPr="004C78D8">
        <w:fldChar w:fldCharType="begin"/>
      </w:r>
      <w:r w:rsidR="00C630FC" w:rsidRPr="004C78D8">
        <w:instrText xml:space="preserve"> ADDIN EN.CITE &lt;EndNote&gt;&lt;Cite&gt;&lt;Author&gt;Sport Industry Research Centre&lt;/Author&gt;&lt;Year&gt;2019&lt;/Year&gt;&lt;RecNum&gt;110&lt;/RecNum&gt;&lt;DisplayText&gt;[196]&lt;/DisplayText&gt;&lt;record&gt;&lt;rec-number&gt;110&lt;/rec-number&gt;&lt;foreign-keys&gt;&lt;key app="EN" db-id="tdtrdw9aepptzbefsat599syza29sxsd2wsp" timestamp="1598262067"&gt;110&lt;/key&gt;&lt;/foreign-keys&gt;&lt;ref-type name="Journal Article"&gt;17&lt;/ref-type&gt;&lt;contributors&gt;&lt;authors&gt;&lt;author&gt;Sport Industry Research Centre,&lt;/author&gt;&lt;/authors&gt;&lt;/contributors&gt;&lt;titles&gt;&lt;title&gt;Dance to Health &amp;apos;Phase 1 roll-out [test and learn]&amp;apos; evaluation&lt;/title&gt;&lt;secondary-title&gt;Sheffield Hallam University&lt;/secondary-title&gt;&lt;/titles&gt;&lt;periodical&gt;&lt;full-title&gt;Sheffield Hallam University&lt;/full-title&gt;&lt;/periodical&gt;&lt;dates&gt;&lt;year&gt;2019&lt;/year&gt;&lt;/dates&gt;&lt;urls&gt;&lt;/urls&gt;&lt;/record&gt;&lt;/Cite&gt;&lt;/EndNote&gt;</w:instrText>
      </w:r>
      <w:r w:rsidR="00B867BC" w:rsidRPr="004C78D8">
        <w:fldChar w:fldCharType="separate"/>
      </w:r>
      <w:r w:rsidR="00C630FC" w:rsidRPr="004C78D8">
        <w:rPr>
          <w:noProof/>
        </w:rPr>
        <w:t>[196]</w:t>
      </w:r>
      <w:r w:rsidR="00B867BC" w:rsidRPr="004C78D8">
        <w:fldChar w:fldCharType="end"/>
      </w:r>
      <w:r w:rsidRPr="004C78D8">
        <w:t xml:space="preserve">. </w:t>
      </w:r>
      <w:r w:rsidR="009E70CD" w:rsidRPr="004C78D8">
        <w:t xml:space="preserve">The CCG funding was discontinued after the pilot scheme, at which point the groups at Fir Vale and Stockbridge were disbanded; the group in central Sheffield </w:t>
      </w:r>
      <w:r w:rsidR="00FE26FB" w:rsidRPr="004C78D8">
        <w:t xml:space="preserve">sustained itself through self-financing of PSI fee and local church donation of venue. Therefore, self-referred falls prevention exercise such as Dance to Health represents a potential option rather than </w:t>
      </w:r>
      <w:r w:rsidR="004F056E" w:rsidRPr="004C78D8">
        <w:t xml:space="preserve">a widespread </w:t>
      </w:r>
      <w:r w:rsidR="00FE26FB" w:rsidRPr="004C78D8">
        <w:t>current practice.</w:t>
      </w:r>
    </w:p>
    <w:p w14:paraId="2D3B6059" w14:textId="7EDD32C1" w:rsidR="000C4117" w:rsidRPr="004C78D8" w:rsidRDefault="00FB3319" w:rsidP="00FB7C1F">
      <w:pPr>
        <w:pStyle w:val="Heading4"/>
      </w:pPr>
      <w:r w:rsidRPr="004C78D8">
        <w:t xml:space="preserve">3.7.1.4 </w:t>
      </w:r>
      <w:r w:rsidR="005020B6" w:rsidRPr="004C78D8">
        <w:t>Client flows</w:t>
      </w:r>
      <w:r w:rsidRPr="004C78D8">
        <w:t xml:space="preserve"> and </w:t>
      </w:r>
      <w:r w:rsidR="00C57631" w:rsidRPr="004C78D8">
        <w:t>capacity implications</w:t>
      </w:r>
    </w:p>
    <w:p w14:paraId="4C647B83" w14:textId="61843719" w:rsidR="00481A8A" w:rsidRPr="004C78D8" w:rsidRDefault="008C21D7" w:rsidP="00FB7C1F">
      <w:r w:rsidRPr="004C78D8">
        <w:t xml:space="preserve">Current falls prevention in Sheffield thus implemented the NICE-recommended practice (see Section 3.7.2), particularly the multifactorial risk assessments and treatments within the reactive and proactive pathways, but </w:t>
      </w:r>
      <w:r w:rsidR="008C1663" w:rsidRPr="004C78D8">
        <w:t xml:space="preserve">had a highly </w:t>
      </w:r>
      <w:r w:rsidR="006239D1" w:rsidRPr="004C78D8">
        <w:t>restricted intervention reach</w:t>
      </w:r>
      <w:r w:rsidRPr="004C78D8">
        <w:t>. For example, the Falls Clinic catered to around six clients per week, amounting to 300 clients per year</w:t>
      </w:r>
      <w:r w:rsidR="006239D1" w:rsidRPr="004C78D8">
        <w:t>. Likewise, the ICT team’s workflow was highly limited</w:t>
      </w:r>
      <w:r w:rsidR="004F056E" w:rsidRPr="004C78D8">
        <w:t>,</w:t>
      </w:r>
      <w:r w:rsidR="006239D1" w:rsidRPr="004C78D8">
        <w:t xml:space="preserve"> with the team reporting capacity shortages when </w:t>
      </w:r>
      <w:r w:rsidR="00AD394F" w:rsidRPr="004C78D8">
        <w:t xml:space="preserve">around 150 additional clients were added </w:t>
      </w:r>
      <w:r w:rsidR="006239D1" w:rsidRPr="004C78D8">
        <w:t xml:space="preserve">over 16 months during the QTUG scheme </w:t>
      </w:r>
      <w:r w:rsidR="006239D1" w:rsidRPr="004C78D8">
        <w:fldChar w:fldCharType="begin"/>
      </w:r>
      <w:r w:rsidR="00C630FC" w:rsidRPr="004C78D8">
        <w:instrText xml:space="preserve"> ADDIN EN.CITE &lt;EndNote&gt;&lt;Cite&gt;&lt;Author&gt;Sheffield Teaching Hospitals&lt;/Author&gt;&lt;Year&gt;2019&lt;/Year&gt;&lt;RecNum&gt;552&lt;/RecNum&gt;&lt;DisplayText&gt;[209]&lt;/DisplayText&gt;&lt;record&gt;&lt;rec-number&gt;552&lt;/rec-number&gt;&lt;foreign-keys&gt;&lt;key app="EN" db-id="tdtrdw9aepptzbefsat599syza29sxsd2wsp" timestamp="1619256769"&gt;552&lt;/key&gt;&lt;/foreign-keys&gt;&lt;ref-type name="Report"&gt;27&lt;/ref-type&gt;&lt;contributors&gt;&lt;authors&gt;&lt;author&gt;Sheffield Teaching Hospitals,&lt;/author&gt;&lt;/authors&gt;&lt;/contributors&gt;&lt;titles&gt;&lt;title&gt;Perfect Patient Pathway Test Bed Overview Report&lt;/title&gt;&lt;/titles&gt;&lt;dates&gt;&lt;year&gt;2019&lt;/year&gt;&lt;/dates&gt;&lt;publisher&gt;Sheffield Teaching Hospitals NHS Foundation Trust&lt;/publisher&gt;&lt;urls&gt;&lt;related-urls&gt;&lt;url&gt;www.ppptestbed.nhs.uk&lt;/url&gt;&lt;/related-urls&gt;&lt;/urls&gt;&lt;/record&gt;&lt;/Cite&gt;&lt;/EndNote&gt;</w:instrText>
      </w:r>
      <w:r w:rsidR="006239D1" w:rsidRPr="004C78D8">
        <w:fldChar w:fldCharType="separate"/>
      </w:r>
      <w:r w:rsidR="00C630FC" w:rsidRPr="004C78D8">
        <w:rPr>
          <w:noProof/>
        </w:rPr>
        <w:t>[209]</w:t>
      </w:r>
      <w:r w:rsidR="006239D1" w:rsidRPr="004C78D8">
        <w:fldChar w:fldCharType="end"/>
      </w:r>
      <w:r w:rsidR="00AD394F" w:rsidRPr="004C78D8">
        <w:t>.</w:t>
      </w:r>
      <w:r w:rsidR="004D5539" w:rsidRPr="004C78D8">
        <w:t xml:space="preserve"> </w:t>
      </w:r>
      <w:r w:rsidR="00C57631" w:rsidRPr="004C78D8">
        <w:t>Age UK Sheffield had a client reach restricted to Dore &amp; Totley, a relatively well-off region within Sheffield. In all, t</w:t>
      </w:r>
      <w:r w:rsidR="004D5539" w:rsidRPr="004C78D8">
        <w:t xml:space="preserve">hese client flows represent a small proportion of the flow envisaged by the NICE clinical guideline. For the reactive pathway alone, </w:t>
      </w:r>
      <w:r w:rsidR="004F056E" w:rsidRPr="004C78D8">
        <w:t xml:space="preserve">the guideline </w:t>
      </w:r>
      <w:r w:rsidR="004D5539" w:rsidRPr="004C78D8">
        <w:t xml:space="preserve">recommends that all MA fallers receive multifactorial intervention </w:t>
      </w:r>
      <w:r w:rsidR="004D5539" w:rsidRPr="004C78D8">
        <w:fldChar w:fldCharType="begin"/>
      </w:r>
      <w:r w:rsidR="00F255A9"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004D5539" w:rsidRPr="004C78D8">
        <w:fldChar w:fldCharType="separate"/>
      </w:r>
      <w:r w:rsidR="00F255A9" w:rsidRPr="004C78D8">
        <w:rPr>
          <w:noProof/>
        </w:rPr>
        <w:t>[13]</w:t>
      </w:r>
      <w:r w:rsidR="004D5539" w:rsidRPr="004C78D8">
        <w:fldChar w:fldCharType="end"/>
      </w:r>
      <w:r w:rsidR="004D5539" w:rsidRPr="004C78D8">
        <w:t>; a</w:t>
      </w:r>
      <w:r w:rsidR="00AD394F" w:rsidRPr="004C78D8">
        <w:t xml:space="preserve">ccording to ELSA, the annual prevalence of MA fall is 6.8%, </w:t>
      </w:r>
      <w:r w:rsidR="004D5539" w:rsidRPr="004C78D8">
        <w:t xml:space="preserve">which </w:t>
      </w:r>
      <w:r w:rsidR="00AD394F" w:rsidRPr="004C78D8">
        <w:t xml:space="preserve">amounts to around 8,500 MA fallers </w:t>
      </w:r>
      <w:r w:rsidR="004D5539" w:rsidRPr="004C78D8">
        <w:t>in Sheffield being eligible for the reactive pathway each</w:t>
      </w:r>
      <w:r w:rsidR="00AD394F" w:rsidRPr="004C78D8">
        <w:t xml:space="preserve"> year. </w:t>
      </w:r>
      <w:r w:rsidR="004D5539" w:rsidRPr="004C78D8">
        <w:t xml:space="preserve">The falls specialist geriatrician in Sheffield reported </w:t>
      </w:r>
      <w:r w:rsidR="004F056E" w:rsidRPr="004C78D8">
        <w:t xml:space="preserve">minimal </w:t>
      </w:r>
      <w:r w:rsidR="00877253" w:rsidRPr="004C78D8">
        <w:t xml:space="preserve">issues with </w:t>
      </w:r>
      <w:r w:rsidR="004D5539" w:rsidRPr="004C78D8">
        <w:t xml:space="preserve">capacity </w:t>
      </w:r>
      <w:r w:rsidR="00945031" w:rsidRPr="004C78D8">
        <w:t>under current practice</w:t>
      </w:r>
      <w:r w:rsidR="004D5539" w:rsidRPr="004C78D8">
        <w:t xml:space="preserve"> (Document </w:t>
      </w:r>
      <w:r w:rsidR="004F056E" w:rsidRPr="004C78D8">
        <w:t>9</w:t>
      </w:r>
      <w:r w:rsidR="004D5539" w:rsidRPr="004C78D8">
        <w:t xml:space="preserve"> in Appendix B)</w:t>
      </w:r>
      <w:r w:rsidR="00C57631" w:rsidRPr="004C78D8">
        <w:t xml:space="preserve">; </w:t>
      </w:r>
      <w:r w:rsidR="00877253" w:rsidRPr="004C78D8">
        <w:t xml:space="preserve">but </w:t>
      </w:r>
      <w:r w:rsidR="00C57631" w:rsidRPr="004C78D8">
        <w:t>t</w:t>
      </w:r>
      <w:r w:rsidR="00945031" w:rsidRPr="004C78D8">
        <w:t xml:space="preserve">his is most likely due to a highly limited intervention eligibility rather than </w:t>
      </w:r>
      <w:r w:rsidR="00877253" w:rsidRPr="004C78D8">
        <w:t>sufficient</w:t>
      </w:r>
      <w:r w:rsidR="00945031" w:rsidRPr="004C78D8">
        <w:t xml:space="preserve"> capacity </w:t>
      </w:r>
      <w:r w:rsidR="00877253" w:rsidRPr="004C78D8">
        <w:t>at</w:t>
      </w:r>
      <w:r w:rsidR="004F056E" w:rsidRPr="004C78D8">
        <w:t xml:space="preserve"> </w:t>
      </w:r>
      <w:r w:rsidR="00945031" w:rsidRPr="004C78D8">
        <w:t>the NICE-envisaged level.</w:t>
      </w:r>
      <w:r w:rsidR="00C57631" w:rsidRPr="004C78D8">
        <w:t xml:space="preserve"> </w:t>
      </w:r>
      <w:r w:rsidR="00FE26FB" w:rsidRPr="004C78D8">
        <w:t xml:space="preserve">For the self-referred pathway, </w:t>
      </w:r>
      <w:r w:rsidR="00C57631" w:rsidRPr="004C78D8">
        <w:t xml:space="preserve">the Dance to Health programme catered to around 40 regular participants </w:t>
      </w:r>
      <w:r w:rsidR="00FE26FB" w:rsidRPr="004C78D8">
        <w:t xml:space="preserve">during the two-year pilot scheme and </w:t>
      </w:r>
      <w:r w:rsidR="00877253" w:rsidRPr="004C78D8">
        <w:t xml:space="preserve">the </w:t>
      </w:r>
      <w:r w:rsidR="00FE26FB" w:rsidRPr="004C78D8">
        <w:t>low uptake was a major</w:t>
      </w:r>
      <w:r w:rsidR="00B749F1" w:rsidRPr="004C78D8">
        <w:t>,</w:t>
      </w:r>
      <w:r w:rsidR="00FE26FB" w:rsidRPr="004C78D8">
        <w:t xml:space="preserve"> persistent issue.</w:t>
      </w:r>
    </w:p>
    <w:p w14:paraId="1FBA7030" w14:textId="77777777" w:rsidR="007A619D" w:rsidRPr="004C78D8" w:rsidRDefault="007A619D" w:rsidP="00FB7C1F"/>
    <w:p w14:paraId="771E7243" w14:textId="08245A8F" w:rsidR="008C1C6C" w:rsidRPr="004C78D8" w:rsidRDefault="008C1C6C" w:rsidP="00FB7C1F">
      <w:pPr>
        <w:pStyle w:val="Heading3"/>
      </w:pPr>
      <w:bookmarkStart w:id="91" w:name="_Toc111630737"/>
      <w:r w:rsidRPr="004C78D8">
        <w:t>3.7.2 Recommended falls prevention in UK guidelines</w:t>
      </w:r>
      <w:bookmarkEnd w:id="91"/>
    </w:p>
    <w:p w14:paraId="66125AC4" w14:textId="4E629AF5" w:rsidR="008C1C6C" w:rsidRPr="004C78D8" w:rsidRDefault="008C1C6C" w:rsidP="00FB7C1F">
      <w:r w:rsidRPr="004C78D8">
        <w:t xml:space="preserve">Four guidelines were chiefly referred for understanding the normative falls prevention strategy in the UK community setting: </w:t>
      </w:r>
    </w:p>
    <w:p w14:paraId="6930F6BB" w14:textId="6BED8D41" w:rsidR="008C1C6C" w:rsidRPr="004C78D8" w:rsidRDefault="008C1C6C" w:rsidP="00FB7C1F">
      <w:pPr>
        <w:pStyle w:val="ListParagraph"/>
        <w:numPr>
          <w:ilvl w:val="0"/>
          <w:numId w:val="8"/>
        </w:numPr>
      </w:pPr>
      <w:r w:rsidRPr="004C78D8">
        <w:t xml:space="preserve">2013 NICE falls prevention clinical guideline (‘NICE CG161’) </w:t>
      </w:r>
      <w:r w:rsidRPr="004C78D8">
        <w:fldChar w:fldCharType="begin"/>
      </w:r>
      <w:r w:rsidR="00F255A9"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Pr="004C78D8">
        <w:fldChar w:fldCharType="separate"/>
      </w:r>
      <w:r w:rsidR="00F255A9" w:rsidRPr="004C78D8">
        <w:rPr>
          <w:noProof/>
        </w:rPr>
        <w:t>[13]</w:t>
      </w:r>
      <w:r w:rsidRPr="004C78D8">
        <w:fldChar w:fldCharType="end"/>
      </w:r>
    </w:p>
    <w:p w14:paraId="1676427F" w14:textId="69046BDD" w:rsidR="008C1C6C" w:rsidRPr="004C78D8" w:rsidRDefault="008C1C6C" w:rsidP="00FB7C1F">
      <w:pPr>
        <w:pStyle w:val="ListParagraph"/>
        <w:numPr>
          <w:ilvl w:val="0"/>
          <w:numId w:val="8"/>
        </w:numPr>
      </w:pPr>
      <w:r w:rsidRPr="004C78D8">
        <w:t xml:space="preserve">2019 NICE surveillance report for the update of the 2013 clinical guideline (‘NICE SR’) </w:t>
      </w:r>
      <w:r w:rsidRPr="004C78D8">
        <w:fldChar w:fldCharType="begin"/>
      </w:r>
      <w:r w:rsidR="00513646" w:rsidRPr="004C78D8">
        <w:instrText xml:space="preserve"> ADDIN EN.CITE &lt;EndNote&gt;&lt;Cite&gt;&lt;Author&gt;National Institute for Health and Care Excellence&lt;/Author&gt;&lt;Year&gt;2019&lt;/Year&gt;&lt;RecNum&gt;499&lt;/RecNum&gt;&lt;DisplayText&gt;[130]&lt;/DisplayText&gt;&lt;record&gt;&lt;rec-number&gt;499&lt;/rec-number&gt;&lt;foreign-keys&gt;&lt;key app="EN" db-id="tdtrdw9aepptzbefsat599syza29sxsd2wsp" timestamp="1617284473"&gt;499&lt;/key&gt;&lt;/foreign-keys&gt;&lt;ref-type name="Journal Article"&gt;17&lt;/ref-type&gt;&lt;contributors&gt;&lt;authors&gt;&lt;author&gt;National Institute for Health and Care Excellence,&lt;/author&gt;&lt;/authors&gt;&lt;/contributors&gt;&lt;titles&gt;&lt;title&gt;2019 surveillance of falls in older people: assessing risk and prevention (NICE guideline CG161)&lt;/title&gt;&lt;secondary-title&gt;National Institute for Health and Care Excellence&lt;/secondary-title&gt;&lt;/titles&gt;&lt;periodical&gt;&lt;full-title&gt;National Institute for Health and Care Excellence&lt;/full-title&gt;&lt;/periodical&gt;&lt;volume&gt;Published: 23 May 2019&lt;/volume&gt;&lt;dates&gt;&lt;year&gt;2019&lt;/year&gt;&lt;/dates&gt;&lt;urls&gt;&lt;/urls&gt;&lt;/record&gt;&lt;/Cite&gt;&lt;/EndNote&gt;</w:instrText>
      </w:r>
      <w:r w:rsidRPr="004C78D8">
        <w:fldChar w:fldCharType="separate"/>
      </w:r>
      <w:r w:rsidR="00513646" w:rsidRPr="004C78D8">
        <w:rPr>
          <w:noProof/>
        </w:rPr>
        <w:t>[130]</w:t>
      </w:r>
      <w:r w:rsidRPr="004C78D8">
        <w:fldChar w:fldCharType="end"/>
      </w:r>
    </w:p>
    <w:p w14:paraId="51E1BE74" w14:textId="3FA233D5" w:rsidR="008C1C6C" w:rsidRPr="004C78D8" w:rsidRDefault="008C1C6C" w:rsidP="00FB7C1F">
      <w:pPr>
        <w:pStyle w:val="ListParagraph"/>
        <w:numPr>
          <w:ilvl w:val="0"/>
          <w:numId w:val="8"/>
        </w:numPr>
      </w:pPr>
      <w:r w:rsidRPr="004C78D8">
        <w:t xml:space="preserve">2017 falls and fracture consensus statement by the Public Health England and the National Falls Prevention Coordination Group (‘PHE Consensus’) </w:t>
      </w:r>
      <w:r w:rsidRPr="004C78D8">
        <w:fldChar w:fldCharType="begin"/>
      </w:r>
      <w:r w:rsidR="00513646" w:rsidRPr="004C78D8">
        <w:instrText xml:space="preserve"> ADDIN EN.CITE &lt;EndNote&gt;&lt;Cite&gt;&lt;Author&gt;Public Health England&lt;/Author&gt;&lt;Year&gt;2017&lt;/Year&gt;&lt;RecNum&gt;533&lt;/RecNum&gt;&lt;DisplayText&gt;[143]&lt;/DisplayText&gt;&lt;record&gt;&lt;rec-number&gt;533&lt;/rec-number&gt;&lt;foreign-keys&gt;&lt;key app="EN" db-id="tdtrdw9aepptzbefsat599syza29sxsd2wsp" timestamp="1618261096"&gt;533&lt;/key&gt;&lt;/foreign-keys&gt;&lt;ref-type name="Journal Article"&gt;17&lt;/ref-type&gt;&lt;contributors&gt;&lt;authors&gt;&lt;author&gt;Public Health England,&lt;/author&gt;&lt;/authors&gt;&lt;/contributors&gt;&lt;titles&gt;&lt;title&gt;Falls and fracture consensus statement: Supporting commissioning for prevention&lt;/title&gt;&lt;secondary-title&gt;London: Public Health England&lt;/secondary-title&gt;&lt;/titles&gt;&lt;periodical&gt;&lt;full-title&gt;London: Public Health England&lt;/full-title&gt;&lt;/periodical&gt;&lt;dates&gt;&lt;year&gt;2017&lt;/year&gt;&lt;/dates&gt;&lt;urls&gt;&lt;/urls&gt;&lt;/record&gt;&lt;/Cite&gt;&lt;/EndNote&gt;</w:instrText>
      </w:r>
      <w:r w:rsidRPr="004C78D8">
        <w:fldChar w:fldCharType="separate"/>
      </w:r>
      <w:r w:rsidR="00513646" w:rsidRPr="004C78D8">
        <w:rPr>
          <w:noProof/>
        </w:rPr>
        <w:t>[143]</w:t>
      </w:r>
      <w:r w:rsidRPr="004C78D8">
        <w:fldChar w:fldCharType="end"/>
      </w:r>
    </w:p>
    <w:p w14:paraId="5C544A72" w14:textId="71D8729B" w:rsidR="008C1C6C" w:rsidRPr="004C78D8" w:rsidRDefault="008C1C6C" w:rsidP="00FB7C1F">
      <w:pPr>
        <w:pStyle w:val="ListParagraph"/>
        <w:numPr>
          <w:ilvl w:val="0"/>
          <w:numId w:val="8"/>
        </w:numPr>
      </w:pPr>
      <w:r w:rsidRPr="004C78D8">
        <w:t xml:space="preserve">2019 UK Chief Medical Officers’ physical activity guidelines (‘UK CMO’) </w:t>
      </w:r>
      <w:r w:rsidRPr="004C78D8">
        <w:fldChar w:fldCharType="begin"/>
      </w:r>
      <w:r w:rsidR="00513646" w:rsidRPr="004C78D8">
        <w:instrText xml:space="preserve"> ADDIN EN.CITE &lt;EndNote&gt;&lt;Cite&gt;&lt;Author&gt;Foster&lt;/Author&gt;&lt;Year&gt;2019&lt;/Year&gt;&lt;RecNum&gt;274&lt;/RecNum&gt;&lt;DisplayText&gt;[113]&lt;/DisplayText&gt;&lt;record&gt;&lt;rec-number&gt;274&lt;/rec-number&gt;&lt;foreign-keys&gt;&lt;key app="EN" db-id="tdtrdw9aepptzbefsat599syza29sxsd2wsp" timestamp="1611696027"&gt;274&lt;/key&gt;&lt;/foreign-keys&gt;&lt;ref-type name="Journal Article"&gt;17&lt;/ref-type&gt;&lt;contributors&gt;&lt;authors&gt;&lt;author&gt;Foster, C&lt;/author&gt;&lt;author&gt;Reilly, J&lt;/author&gt;&lt;author&gt;Jago, R&lt;/author&gt;&lt;author&gt;Murphy, M&lt;/author&gt;&lt;author&gt;Skelton, D&lt;/author&gt;&lt;author&gt;Cooper, A&lt;/author&gt;&lt;author&gt;Pulsford, A&lt;/author&gt;&lt;author&gt;Pulsford, R&lt;/author&gt;&lt;author&gt;Smith, B&lt;/author&gt;&lt;author&gt;Mutrie, N&lt;/author&gt;&lt;/authors&gt;&lt;/contributors&gt;&lt;titles&gt;&lt;title&gt;UK Chief Medical Officers&amp;apos; Physical Activity Guidelines&lt;/title&gt;&lt;secondary-title&gt;Department of Health and Social Care&lt;/secondary-title&gt;&lt;/titles&gt;&lt;periodical&gt;&lt;full-title&gt;Department of Health and Social Care&lt;/full-title&gt;&lt;/periodical&gt;&lt;dates&gt;&lt;year&gt;2019&lt;/year&gt;&lt;/dates&gt;&lt;urls&gt;&lt;/urls&gt;&lt;/record&gt;&lt;/Cite&gt;&lt;/EndNote&gt;</w:instrText>
      </w:r>
      <w:r w:rsidRPr="004C78D8">
        <w:fldChar w:fldCharType="separate"/>
      </w:r>
      <w:r w:rsidR="00513646" w:rsidRPr="004C78D8">
        <w:rPr>
          <w:noProof/>
        </w:rPr>
        <w:t>[113]</w:t>
      </w:r>
      <w:r w:rsidRPr="004C78D8">
        <w:fldChar w:fldCharType="end"/>
      </w:r>
      <w:r w:rsidRPr="004C78D8">
        <w:t xml:space="preserve">. </w:t>
      </w:r>
    </w:p>
    <w:p w14:paraId="28B8DD3E" w14:textId="47DDBAAB" w:rsidR="008C1C6C" w:rsidRPr="004C78D8" w:rsidRDefault="008C1C6C" w:rsidP="00FB7C1F">
      <w:r w:rsidRPr="004C78D8">
        <w:t xml:space="preserve">In England and Wales, NICE CG161 remains normative for clinical practice; this was confirmed by </w:t>
      </w:r>
      <w:r w:rsidR="00A87876" w:rsidRPr="004C78D8">
        <w:t xml:space="preserve">commissioning and </w:t>
      </w:r>
      <w:r w:rsidRPr="004C78D8">
        <w:t xml:space="preserve">professional stakeholders in Sheffield </w:t>
      </w:r>
      <w:r w:rsidR="00A87876" w:rsidRPr="004C78D8">
        <w:t xml:space="preserve">including the falls specialist geriatrician </w:t>
      </w:r>
      <w:r w:rsidRPr="004C78D8">
        <w:lastRenderedPageBreak/>
        <w:t>(Document</w:t>
      </w:r>
      <w:r w:rsidR="00A87876" w:rsidRPr="004C78D8">
        <w:t>s</w:t>
      </w:r>
      <w:r w:rsidRPr="004C78D8">
        <w:t xml:space="preserve"> </w:t>
      </w:r>
      <w:r w:rsidR="00A87876" w:rsidRPr="004C78D8">
        <w:t>5 and 9</w:t>
      </w:r>
      <w:r w:rsidRPr="004C78D8">
        <w:t xml:space="preserve"> in Appendix B). PHE Consensus mainly concurred with NICE CG161. UK CMO was not solely focused on falls prevention but was recommended by NICE SR as a reference point for exercise-based falls prevention. Figure 3.</w:t>
      </w:r>
      <w:r w:rsidR="00E50E51" w:rsidRPr="004C78D8">
        <w:t>2</w:t>
      </w:r>
      <w:r w:rsidRPr="004C78D8">
        <w:t xml:space="preserve"> provides a graphical summary of the recommendations. Table B1 in Appendix B directly cites the guideline recommendations by pathway.</w:t>
      </w:r>
    </w:p>
    <w:p w14:paraId="142D43B0" w14:textId="1C26CD0E" w:rsidR="00E4691D" w:rsidRPr="004C78D8" w:rsidRDefault="00E4691D" w:rsidP="00FB7C1F">
      <w:r w:rsidRPr="004C78D8">
        <w:rPr>
          <w:noProof/>
          <w:lang w:eastAsia="en-GB"/>
        </w:rPr>
        <w:drawing>
          <wp:inline distT="0" distB="0" distL="0" distR="0" wp14:anchorId="40DA109C" wp14:editId="6FE23768">
            <wp:extent cx="5731510" cy="2063115"/>
            <wp:effectExtent l="0" t="0" r="254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063115"/>
                    </a:xfrm>
                    <a:prstGeom prst="rect">
                      <a:avLst/>
                    </a:prstGeom>
                    <a:noFill/>
                    <a:ln>
                      <a:noFill/>
                    </a:ln>
                  </pic:spPr>
                </pic:pic>
              </a:graphicData>
            </a:graphic>
          </wp:inline>
        </w:drawing>
      </w:r>
    </w:p>
    <w:p w14:paraId="55387426" w14:textId="208ED6B1" w:rsidR="00D764F3" w:rsidRPr="004C78D8" w:rsidRDefault="00D764F3" w:rsidP="00FB7C1F">
      <w:r w:rsidRPr="004C78D8">
        <w:rPr>
          <w:b/>
          <w:bCs/>
        </w:rPr>
        <w:t>Figure 3.</w:t>
      </w:r>
      <w:r w:rsidR="00E50E51" w:rsidRPr="004C78D8">
        <w:rPr>
          <w:b/>
          <w:bCs/>
        </w:rPr>
        <w:t>2</w:t>
      </w:r>
      <w:r w:rsidRPr="004C78D8">
        <w:t xml:space="preserve"> Conceptual diagram of community-based falls prevention recommended by UK guidelines. </w:t>
      </w:r>
      <w:r w:rsidRPr="004C78D8">
        <w:rPr>
          <w:b/>
          <w:bCs/>
        </w:rPr>
        <w:t>Abbreviation:</w:t>
      </w:r>
      <w:r w:rsidRPr="004C78D8">
        <w:t xml:space="preserve"> HAM: home assessment and modification; PA: physical activity</w:t>
      </w:r>
      <w:r w:rsidR="00EF4CF9" w:rsidRPr="004C78D8">
        <w:t>.</w:t>
      </w:r>
    </w:p>
    <w:p w14:paraId="32792DF7" w14:textId="712D914E" w:rsidR="00E42D43" w:rsidRPr="004C78D8" w:rsidRDefault="00805457" w:rsidP="00FB7C1F">
      <w:r w:rsidRPr="004C78D8">
        <w:t xml:space="preserve">Multifactorial intervention </w:t>
      </w:r>
      <w:r w:rsidR="00CA6062" w:rsidRPr="004C78D8">
        <w:t>i</w:t>
      </w:r>
      <w:r w:rsidRPr="004C78D8">
        <w:t>s central to the recommended practice for both reactive and proactive pathways. The latter target</w:t>
      </w:r>
      <w:r w:rsidR="00CA6062" w:rsidRPr="004C78D8">
        <w:t>s</w:t>
      </w:r>
      <w:r w:rsidRPr="004C78D8">
        <w:t xml:space="preserve"> older persons screened during routine care contact to have experienced recurrent falls in the past year and/or have abnormal gait/balance as assessed by tools such as </w:t>
      </w:r>
      <w:r w:rsidR="000378D4" w:rsidRPr="004C78D8">
        <w:t>the TUG</w:t>
      </w:r>
      <w:r w:rsidRPr="004C78D8">
        <w:t xml:space="preserve"> test. </w:t>
      </w:r>
      <w:r w:rsidR="00CA6062" w:rsidRPr="004C78D8">
        <w:t xml:space="preserve">Multifactorial intervention is conducted at dedicated sites such as the Falls Clinic and incorporates multidisciplinary assessment of diverse falls risk factors including falls history, gait/balance abnormality, muscle weakness, </w:t>
      </w:r>
      <w:r w:rsidR="00F40840" w:rsidRPr="004C78D8">
        <w:t xml:space="preserve">fear of falling, </w:t>
      </w:r>
      <w:r w:rsidR="00CA6062" w:rsidRPr="004C78D8">
        <w:t>vis</w:t>
      </w:r>
      <w:r w:rsidR="00F40840" w:rsidRPr="004C78D8">
        <w:t>ual</w:t>
      </w:r>
      <w:r w:rsidR="00CA6062" w:rsidRPr="004C78D8">
        <w:t xml:space="preserve"> impairment, </w:t>
      </w:r>
      <w:r w:rsidR="00F40840" w:rsidRPr="004C78D8">
        <w:t>medication use</w:t>
      </w:r>
      <w:r w:rsidR="00865597" w:rsidRPr="004C78D8">
        <w:t>,</w:t>
      </w:r>
      <w:r w:rsidR="00CA6062" w:rsidRPr="004C78D8">
        <w:t xml:space="preserve"> and </w:t>
      </w:r>
      <w:r w:rsidR="00F40840" w:rsidRPr="004C78D8">
        <w:t xml:space="preserve">falls </w:t>
      </w:r>
      <w:r w:rsidR="00CA6062" w:rsidRPr="004C78D8">
        <w:t xml:space="preserve">hazards at home. </w:t>
      </w:r>
      <w:r w:rsidR="00F40840" w:rsidRPr="004C78D8">
        <w:t>Clients</w:t>
      </w:r>
      <w:r w:rsidR="00CA6062" w:rsidRPr="004C78D8">
        <w:t xml:space="preserve"> </w:t>
      </w:r>
      <w:r w:rsidR="00F40840" w:rsidRPr="004C78D8">
        <w:t>would</w:t>
      </w:r>
      <w:r w:rsidR="00CA6062" w:rsidRPr="004C78D8">
        <w:t xml:space="preserve"> then receive tailored set</w:t>
      </w:r>
      <w:r w:rsidR="00F40840" w:rsidRPr="004C78D8">
        <w:t>s</w:t>
      </w:r>
      <w:r w:rsidR="00CA6062" w:rsidRPr="004C78D8">
        <w:t xml:space="preserve"> of treatments, including exercise, HAM, medication modification</w:t>
      </w:r>
      <w:r w:rsidR="00865597" w:rsidRPr="004C78D8">
        <w:t>,</w:t>
      </w:r>
      <w:r w:rsidR="00CA6062" w:rsidRPr="004C78D8">
        <w:t xml:space="preserve"> and vision improvements</w:t>
      </w:r>
      <w:r w:rsidR="000C544A" w:rsidRPr="004C78D8">
        <w:t xml:space="preserve"> </w:t>
      </w:r>
      <w:r w:rsidR="000C544A" w:rsidRPr="004C78D8">
        <w:fldChar w:fldCharType="begin"/>
      </w:r>
      <w:r w:rsidR="00F255A9"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000C544A" w:rsidRPr="004C78D8">
        <w:fldChar w:fldCharType="separate"/>
      </w:r>
      <w:r w:rsidR="00F255A9" w:rsidRPr="004C78D8">
        <w:rPr>
          <w:noProof/>
        </w:rPr>
        <w:t>[13]</w:t>
      </w:r>
      <w:r w:rsidR="000C544A" w:rsidRPr="004C78D8">
        <w:fldChar w:fldCharType="end"/>
      </w:r>
      <w:r w:rsidR="00CA6062" w:rsidRPr="004C78D8">
        <w:t>.</w:t>
      </w:r>
    </w:p>
    <w:p w14:paraId="51564397" w14:textId="1623A823" w:rsidR="005958B7" w:rsidRPr="004C78D8" w:rsidRDefault="000C544A" w:rsidP="00FB7C1F">
      <w:r w:rsidRPr="004C78D8">
        <w:t xml:space="preserve">Recommendations for the self-referred pathway are centred around supervised exercise and unsupervised physical activity. </w:t>
      </w:r>
      <w:r w:rsidR="0067584B" w:rsidRPr="004C78D8">
        <w:t xml:space="preserve">Exercise interventions should be individually tailored, of progressive difficulty, and comprising a minimum of 50 hours of sessions for at least two hours per week </w:t>
      </w:r>
      <w:r w:rsidR="0067584B" w:rsidRPr="004C78D8">
        <w:fldChar w:fldCharType="begin"/>
      </w:r>
      <w:r w:rsidR="00513646" w:rsidRPr="004C78D8">
        <w:instrText xml:space="preserve"> ADDIN EN.CITE &lt;EndNote&gt;&lt;Cite&gt;&lt;Author&gt;Public Health England&lt;/Author&gt;&lt;Year&gt;2017&lt;/Year&gt;&lt;RecNum&gt;533&lt;/RecNum&gt;&lt;DisplayText&gt;[143]&lt;/DisplayText&gt;&lt;record&gt;&lt;rec-number&gt;533&lt;/rec-number&gt;&lt;foreign-keys&gt;&lt;key app="EN" db-id="tdtrdw9aepptzbefsat599syza29sxsd2wsp" timestamp="1618261096"&gt;533&lt;/key&gt;&lt;/foreign-keys&gt;&lt;ref-type name="Journal Article"&gt;17&lt;/ref-type&gt;&lt;contributors&gt;&lt;authors&gt;&lt;author&gt;Public Health England,&lt;/author&gt;&lt;/authors&gt;&lt;/contributors&gt;&lt;titles&gt;&lt;title&gt;Falls and fracture consensus statement: Supporting commissioning for prevention&lt;/title&gt;&lt;secondary-title&gt;London: Public Health England&lt;/secondary-title&gt;&lt;/titles&gt;&lt;periodical&gt;&lt;full-title&gt;London: Public Health England&lt;/full-title&gt;&lt;/periodical&gt;&lt;dates&gt;&lt;year&gt;2017&lt;/year&gt;&lt;/dates&gt;&lt;urls&gt;&lt;/urls&gt;&lt;/record&gt;&lt;/Cite&gt;&lt;/EndNote&gt;</w:instrText>
      </w:r>
      <w:r w:rsidR="0067584B" w:rsidRPr="004C78D8">
        <w:fldChar w:fldCharType="separate"/>
      </w:r>
      <w:r w:rsidR="00513646" w:rsidRPr="004C78D8">
        <w:rPr>
          <w:noProof/>
        </w:rPr>
        <w:t>[143]</w:t>
      </w:r>
      <w:r w:rsidR="0067584B" w:rsidRPr="004C78D8">
        <w:fldChar w:fldCharType="end"/>
      </w:r>
      <w:r w:rsidR="0067584B" w:rsidRPr="004C78D8">
        <w:t xml:space="preserve">. </w:t>
      </w:r>
      <w:r w:rsidRPr="004C78D8">
        <w:t xml:space="preserve">UK CMO </w:t>
      </w:r>
      <w:r w:rsidR="0067584B" w:rsidRPr="004C78D8">
        <w:t xml:space="preserve">likewise </w:t>
      </w:r>
      <w:r w:rsidRPr="004C78D8">
        <w:t xml:space="preserve">recommends evidenced-based strength and balance exercise </w:t>
      </w:r>
      <w:r w:rsidR="008B1F59" w:rsidRPr="004C78D8">
        <w:t xml:space="preserve">interventions </w:t>
      </w:r>
      <w:r w:rsidR="0019266D" w:rsidRPr="004C78D8">
        <w:t>in groups or at home (e.g., embedded in everyday activities)</w:t>
      </w:r>
      <w:r w:rsidR="0067584B" w:rsidRPr="004C78D8">
        <w:t xml:space="preserve"> which are professionally supervised in case of frail or cognitively impaired persons; physical activity initiatives should aim to</w:t>
      </w:r>
      <w:r w:rsidR="0019266D" w:rsidRPr="004C78D8">
        <w:t xml:space="preserve"> accumulat</w:t>
      </w:r>
      <w:r w:rsidR="0067584B" w:rsidRPr="004C78D8">
        <w:t>e</w:t>
      </w:r>
      <w:r w:rsidR="0019266D" w:rsidRPr="004C78D8">
        <w:t xml:space="preserve"> at least 150 minutes of moderate intensity exercise per week </w:t>
      </w:r>
      <w:r w:rsidR="0019266D" w:rsidRPr="004C78D8">
        <w:fldChar w:fldCharType="begin"/>
      </w:r>
      <w:r w:rsidR="00513646" w:rsidRPr="004C78D8">
        <w:instrText xml:space="preserve"> ADDIN EN.CITE &lt;EndNote&gt;&lt;Cite&gt;&lt;Author&gt;Foster&lt;/Author&gt;&lt;Year&gt;2019&lt;/Year&gt;&lt;RecNum&gt;274&lt;/RecNum&gt;&lt;DisplayText&gt;[113]&lt;/DisplayText&gt;&lt;record&gt;&lt;rec-number&gt;274&lt;/rec-number&gt;&lt;foreign-keys&gt;&lt;key app="EN" db-id="tdtrdw9aepptzbefsat599syza29sxsd2wsp" timestamp="1611696027"&gt;274&lt;/key&gt;&lt;/foreign-keys&gt;&lt;ref-type name="Journal Article"&gt;17&lt;/ref-type&gt;&lt;contributors&gt;&lt;authors&gt;&lt;author&gt;Foster, C&lt;/author&gt;&lt;author&gt;Reilly, J&lt;/author&gt;&lt;author&gt;Jago, R&lt;/author&gt;&lt;author&gt;Murphy, M&lt;/author&gt;&lt;author&gt;Skelton, D&lt;/author&gt;&lt;author&gt;Cooper, A&lt;/author&gt;&lt;author&gt;Pulsford, A&lt;/author&gt;&lt;author&gt;Pulsford, R&lt;/author&gt;&lt;author&gt;Smith, B&lt;/author&gt;&lt;author&gt;Mutrie, N&lt;/author&gt;&lt;/authors&gt;&lt;/contributors&gt;&lt;titles&gt;&lt;title&gt;UK Chief Medical Officers&amp;apos; Physical Activity Guidelines&lt;/title&gt;&lt;secondary-title&gt;Department of Health and Social Care&lt;/secondary-title&gt;&lt;/titles&gt;&lt;periodical&gt;&lt;full-title&gt;Department of Health and Social Care&lt;/full-title&gt;&lt;/periodical&gt;&lt;dates&gt;&lt;year&gt;2019&lt;/year&gt;&lt;/dates&gt;&lt;urls&gt;&lt;/urls&gt;&lt;/record&gt;&lt;/Cite&gt;&lt;/EndNote&gt;</w:instrText>
      </w:r>
      <w:r w:rsidR="0019266D" w:rsidRPr="004C78D8">
        <w:fldChar w:fldCharType="separate"/>
      </w:r>
      <w:r w:rsidR="00513646" w:rsidRPr="004C78D8">
        <w:rPr>
          <w:noProof/>
        </w:rPr>
        <w:t>[113]</w:t>
      </w:r>
      <w:r w:rsidR="0019266D" w:rsidRPr="004C78D8">
        <w:fldChar w:fldCharType="end"/>
      </w:r>
      <w:r w:rsidR="0019266D" w:rsidRPr="004C78D8">
        <w:t xml:space="preserve">. NICE SR recommends </w:t>
      </w:r>
      <w:r w:rsidR="0025080F" w:rsidRPr="004C78D8">
        <w:t xml:space="preserve">strategies </w:t>
      </w:r>
      <w:r w:rsidR="0067584B" w:rsidRPr="004C78D8">
        <w:t>that</w:t>
      </w:r>
      <w:r w:rsidR="0025080F" w:rsidRPr="004C78D8">
        <w:t xml:space="preserve"> maintain this physical activity level even after professionally supervised exercise interventions end </w:t>
      </w:r>
      <w:r w:rsidR="0025080F" w:rsidRPr="004C78D8">
        <w:fldChar w:fldCharType="begin"/>
      </w:r>
      <w:r w:rsidR="00513646" w:rsidRPr="004C78D8">
        <w:instrText xml:space="preserve"> ADDIN EN.CITE &lt;EndNote&gt;&lt;Cite&gt;&lt;Author&gt;National Institute for Health and Care Excellence&lt;/Author&gt;&lt;Year&gt;2019&lt;/Year&gt;&lt;RecNum&gt;499&lt;/RecNum&gt;&lt;DisplayText&gt;[130]&lt;/DisplayText&gt;&lt;record&gt;&lt;rec-number&gt;499&lt;/rec-number&gt;&lt;foreign-keys&gt;&lt;key app="EN" db-id="tdtrdw9aepptzbefsat599syza29sxsd2wsp" timestamp="1617284473"&gt;499&lt;/key&gt;&lt;/foreign-keys&gt;&lt;ref-type name="Journal Article"&gt;17&lt;/ref-type&gt;&lt;contributors&gt;&lt;authors&gt;&lt;author&gt;National Institute for Health and Care Excellence,&lt;/author&gt;&lt;/authors&gt;&lt;/contributors&gt;&lt;titles&gt;&lt;title&gt;2019 surveillance of falls in older people: assessing risk and prevention (NICE guideline CG161)&lt;/title&gt;&lt;secondary-title&gt;National Institute for Health and Care Excellence&lt;/secondary-title&gt;&lt;/titles&gt;&lt;periodical&gt;&lt;full-title&gt;National Institute for Health and Care Excellence&lt;/full-title&gt;&lt;/periodical&gt;&lt;volume&gt;Published: 23 May 2019&lt;/volume&gt;&lt;dates&gt;&lt;year&gt;2019&lt;/year&gt;&lt;/dates&gt;&lt;urls&gt;&lt;/urls&gt;&lt;/record&gt;&lt;/Cite&gt;&lt;/EndNote&gt;</w:instrText>
      </w:r>
      <w:r w:rsidR="0025080F" w:rsidRPr="004C78D8">
        <w:fldChar w:fldCharType="separate"/>
      </w:r>
      <w:r w:rsidR="00513646" w:rsidRPr="004C78D8">
        <w:rPr>
          <w:noProof/>
        </w:rPr>
        <w:t>[130]</w:t>
      </w:r>
      <w:r w:rsidR="0025080F" w:rsidRPr="004C78D8">
        <w:fldChar w:fldCharType="end"/>
      </w:r>
      <w:r w:rsidR="0025080F" w:rsidRPr="004C78D8">
        <w:t>.</w:t>
      </w:r>
    </w:p>
    <w:p w14:paraId="7C3B526C" w14:textId="0EC5836A" w:rsidR="00377266" w:rsidRPr="004C78D8" w:rsidRDefault="00377266" w:rsidP="00FB7C1F">
      <w:r w:rsidRPr="004C78D8">
        <w:t xml:space="preserve">NICE CG161 also </w:t>
      </w:r>
      <w:r w:rsidR="00C50136" w:rsidRPr="004C78D8">
        <w:t>contains</w:t>
      </w:r>
      <w:r w:rsidRPr="004C78D8">
        <w:t xml:space="preserve"> several </w:t>
      </w:r>
      <w:r w:rsidR="00C50136" w:rsidRPr="004C78D8">
        <w:t xml:space="preserve">recommendations regarding </w:t>
      </w:r>
      <w:r w:rsidRPr="004C78D8">
        <w:t>implementation factors</w:t>
      </w:r>
      <w:r w:rsidR="00C50136" w:rsidRPr="004C78D8">
        <w:t xml:space="preserve"> </w:t>
      </w:r>
      <w:r w:rsidR="00C50136" w:rsidRPr="004C78D8">
        <w:fldChar w:fldCharType="begin"/>
      </w:r>
      <w:r w:rsidR="00F255A9"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00C50136" w:rsidRPr="004C78D8">
        <w:fldChar w:fldCharType="separate"/>
      </w:r>
      <w:r w:rsidR="00F255A9" w:rsidRPr="004C78D8">
        <w:rPr>
          <w:noProof/>
        </w:rPr>
        <w:t>[13]</w:t>
      </w:r>
      <w:r w:rsidR="00C50136" w:rsidRPr="004C78D8">
        <w:fldChar w:fldCharType="end"/>
      </w:r>
      <w:r w:rsidRPr="004C78D8">
        <w:t>. On the supply-side, professionals in regular contact with older persons in the community should have basic competence in falls risk screening and referral</w:t>
      </w:r>
      <w:r w:rsidR="00C50136" w:rsidRPr="004C78D8">
        <w:t>; attributes of commissioned interventions should be adapt</w:t>
      </w:r>
      <w:r w:rsidR="00E84B46" w:rsidRPr="004C78D8">
        <w:t>able</w:t>
      </w:r>
      <w:r w:rsidR="00C50136" w:rsidRPr="004C78D8">
        <w:t xml:space="preserve"> </w:t>
      </w:r>
      <w:r w:rsidR="00E84B46" w:rsidRPr="004C78D8">
        <w:t>to</w:t>
      </w:r>
      <w:r w:rsidR="00C50136" w:rsidRPr="004C78D8">
        <w:t xml:space="preserve"> the heterogeneous needs and preferences of older persons</w:t>
      </w:r>
      <w:r w:rsidR="00E84B46" w:rsidRPr="004C78D8">
        <w:t>;</w:t>
      </w:r>
      <w:r w:rsidR="00C50136" w:rsidRPr="004C78D8">
        <w:t xml:space="preserve"> the social value of group-based programmes</w:t>
      </w:r>
      <w:r w:rsidR="00E84B46" w:rsidRPr="004C78D8">
        <w:t xml:space="preserve"> should be promoted</w:t>
      </w:r>
      <w:r w:rsidR="00C50136" w:rsidRPr="004C78D8">
        <w:t xml:space="preserve">; and interventions should have wider effects beyond falls prevention in promoting behavioural/activity change and addressing fear of falling and low self-efficacy. </w:t>
      </w:r>
      <w:r w:rsidR="005F5D19" w:rsidRPr="004C78D8">
        <w:t>Information provision in appropriate languages to both older persons and their carers is recommended as the main demand-augmenting implementation strategy.</w:t>
      </w:r>
    </w:p>
    <w:p w14:paraId="2ADE26CE" w14:textId="001FCA64" w:rsidR="0019266D" w:rsidRPr="004C78D8" w:rsidRDefault="00527134" w:rsidP="00FB7C1F">
      <w:r w:rsidRPr="004C78D8">
        <w:t xml:space="preserve">As </w:t>
      </w:r>
      <w:r w:rsidR="00B749F1" w:rsidRPr="004C78D8">
        <w:t>mentioned</w:t>
      </w:r>
      <w:r w:rsidRPr="004C78D8">
        <w:t xml:space="preserve">, </w:t>
      </w:r>
      <w:r w:rsidR="00B749F1" w:rsidRPr="004C78D8">
        <w:t xml:space="preserve">the current practice in Sheffield implemented the NICE-recommended practice in several areas; hence, </w:t>
      </w:r>
      <w:r w:rsidRPr="004C78D8">
        <w:t xml:space="preserve">the main point of difference between current and recommended practices is not the intervention strategy but the intervention reach. </w:t>
      </w:r>
      <w:r w:rsidR="00B749F1" w:rsidRPr="004C78D8">
        <w:t xml:space="preserve">Attention should be paid to the capacity implications of scaling the current practice to the recommended levels. For example, as estimated in Section </w:t>
      </w:r>
      <w:r w:rsidR="00B16136" w:rsidRPr="004C78D8">
        <w:t>5</w:t>
      </w:r>
      <w:r w:rsidR="00B749F1" w:rsidRPr="004C78D8">
        <w:t>.</w:t>
      </w:r>
      <w:r w:rsidR="00865597" w:rsidRPr="004C78D8">
        <w:t>2</w:t>
      </w:r>
      <w:r w:rsidR="00B749F1" w:rsidRPr="004C78D8">
        <w:t xml:space="preserve">.4.3 during model parameterisation, fully implementing the NICE-recommended reactive and proactive </w:t>
      </w:r>
      <w:r w:rsidR="008B1F59" w:rsidRPr="004C78D8">
        <w:lastRenderedPageBreak/>
        <w:t>pathways would require around seven full-time falls clinics; this is likely beyond the feasible capacity levels in Sheffield.</w:t>
      </w:r>
      <w:r w:rsidR="00B9089D" w:rsidRPr="004C78D8">
        <w:t xml:space="preserve"> Even for single-component exercise interventions, capacity may be constrained if the available venues are limited; the Dance to Health Sheffield lead mentioned (by personal communication) around 100 potential venues in the city for </w:t>
      </w:r>
      <w:r w:rsidR="00925FE2" w:rsidRPr="004C78D8">
        <w:t xml:space="preserve">around </w:t>
      </w:r>
      <w:r w:rsidR="00B9089D" w:rsidRPr="004C78D8">
        <w:t>20 participants each.</w:t>
      </w:r>
    </w:p>
    <w:p w14:paraId="756BDD9B" w14:textId="289BCE44" w:rsidR="005958B7" w:rsidRPr="004C78D8" w:rsidRDefault="005958B7" w:rsidP="00FB7C1F">
      <w:pPr>
        <w:pStyle w:val="Heading3"/>
      </w:pPr>
      <w:bookmarkStart w:id="92" w:name="_Toc111630738"/>
      <w:r w:rsidRPr="004C78D8">
        <w:t>3.7.3 Cognitively impaired persons and persons with intervention history</w:t>
      </w:r>
      <w:bookmarkEnd w:id="92"/>
    </w:p>
    <w:p w14:paraId="7607010C" w14:textId="4A5AC20C" w:rsidR="00F77057" w:rsidRPr="004C78D8" w:rsidRDefault="00F77057" w:rsidP="00FB7C1F">
      <w:r w:rsidRPr="004C78D8">
        <w:t xml:space="preserve">The UK guidelines </w:t>
      </w:r>
      <w:r w:rsidR="00440CD4" w:rsidRPr="004C78D8">
        <w:t xml:space="preserve">above </w:t>
      </w:r>
      <w:r w:rsidRPr="004C78D8">
        <w:t>contained limited recommendation</w:t>
      </w:r>
      <w:r w:rsidR="00A01860" w:rsidRPr="004C78D8">
        <w:t>s</w:t>
      </w:r>
      <w:r w:rsidRPr="004C78D8">
        <w:t xml:space="preserve"> regarding interventions for cognitively impaired older persons. NICE CG161 recognised cognitive impairment as a major falls risk factor and included cognitive assessment in the recommended multifactorial risk assessment but suggested no differentiated intervention strategy for this subgroup</w:t>
      </w:r>
      <w:r w:rsidR="00A01860" w:rsidRPr="004C78D8">
        <w:t xml:space="preserve"> </w:t>
      </w:r>
      <w:r w:rsidR="00A01860" w:rsidRPr="004C78D8">
        <w:fldChar w:fldCharType="begin"/>
      </w:r>
      <w:r w:rsidR="00F255A9"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00A01860" w:rsidRPr="004C78D8">
        <w:fldChar w:fldCharType="separate"/>
      </w:r>
      <w:r w:rsidR="00F255A9" w:rsidRPr="004C78D8">
        <w:rPr>
          <w:noProof/>
        </w:rPr>
        <w:t>[13]</w:t>
      </w:r>
      <w:r w:rsidR="00A01860" w:rsidRPr="004C78D8">
        <w:fldChar w:fldCharType="end"/>
      </w:r>
      <w:r w:rsidRPr="004C78D8">
        <w:t xml:space="preserve">. </w:t>
      </w:r>
      <w:r w:rsidR="005638A1" w:rsidRPr="004C78D8">
        <w:t xml:space="preserve">UK CMO </w:t>
      </w:r>
      <w:r w:rsidRPr="004C78D8">
        <w:t xml:space="preserve">simply recommended professional supervision </w:t>
      </w:r>
      <w:r w:rsidR="00CB1F6B" w:rsidRPr="004C78D8">
        <w:t>of</w:t>
      </w:r>
      <w:r w:rsidR="00AD7399" w:rsidRPr="004C78D8">
        <w:t xml:space="preserve"> </w:t>
      </w:r>
      <w:r w:rsidRPr="004C78D8">
        <w:t xml:space="preserve">exercise interventions </w:t>
      </w:r>
      <w:r w:rsidR="00CB1F6B" w:rsidRPr="004C78D8">
        <w:t>for</w:t>
      </w:r>
      <w:r w:rsidR="00AD7399" w:rsidRPr="004C78D8">
        <w:t xml:space="preserve"> </w:t>
      </w:r>
      <w:r w:rsidRPr="004C78D8">
        <w:t>those with moderate</w:t>
      </w:r>
      <w:r w:rsidR="00AD7399" w:rsidRPr="004C78D8">
        <w:t>-</w:t>
      </w:r>
      <w:r w:rsidRPr="004C78D8">
        <w:t>severe dementia</w:t>
      </w:r>
      <w:r w:rsidR="00A01860" w:rsidRPr="004C78D8">
        <w:t xml:space="preserve"> </w:t>
      </w:r>
      <w:r w:rsidR="00A01860" w:rsidRPr="004C78D8">
        <w:fldChar w:fldCharType="begin"/>
      </w:r>
      <w:r w:rsidR="00513646" w:rsidRPr="004C78D8">
        <w:instrText xml:space="preserve"> ADDIN EN.CITE &lt;EndNote&gt;&lt;Cite&gt;&lt;Author&gt;Foster&lt;/Author&gt;&lt;Year&gt;2019&lt;/Year&gt;&lt;RecNum&gt;274&lt;/RecNum&gt;&lt;DisplayText&gt;[113]&lt;/DisplayText&gt;&lt;record&gt;&lt;rec-number&gt;274&lt;/rec-number&gt;&lt;foreign-keys&gt;&lt;key app="EN" db-id="tdtrdw9aepptzbefsat599syza29sxsd2wsp" timestamp="1611696027"&gt;274&lt;/key&gt;&lt;/foreign-keys&gt;&lt;ref-type name="Journal Article"&gt;17&lt;/ref-type&gt;&lt;contributors&gt;&lt;authors&gt;&lt;author&gt;Foster, C&lt;/author&gt;&lt;author&gt;Reilly, J&lt;/author&gt;&lt;author&gt;Jago, R&lt;/author&gt;&lt;author&gt;Murphy, M&lt;/author&gt;&lt;author&gt;Skelton, D&lt;/author&gt;&lt;author&gt;Cooper, A&lt;/author&gt;&lt;author&gt;Pulsford, A&lt;/author&gt;&lt;author&gt;Pulsford, R&lt;/author&gt;&lt;author&gt;Smith, B&lt;/author&gt;&lt;author&gt;Mutrie, N&lt;/author&gt;&lt;/authors&gt;&lt;/contributors&gt;&lt;titles&gt;&lt;title&gt;UK Chief Medical Officers&amp;apos; Physical Activity Guidelines&lt;/title&gt;&lt;secondary-title&gt;Department of Health and Social Care&lt;/secondary-title&gt;&lt;/titles&gt;&lt;periodical&gt;&lt;full-title&gt;Department of Health and Social Care&lt;/full-title&gt;&lt;/periodical&gt;&lt;dates&gt;&lt;year&gt;2019&lt;/year&gt;&lt;/dates&gt;&lt;urls&gt;&lt;/urls&gt;&lt;/record&gt;&lt;/Cite&gt;&lt;/EndNote&gt;</w:instrText>
      </w:r>
      <w:r w:rsidR="00A01860" w:rsidRPr="004C78D8">
        <w:fldChar w:fldCharType="separate"/>
      </w:r>
      <w:r w:rsidR="00513646" w:rsidRPr="004C78D8">
        <w:rPr>
          <w:noProof/>
        </w:rPr>
        <w:t>[113]</w:t>
      </w:r>
      <w:r w:rsidR="00A01860" w:rsidRPr="004C78D8">
        <w:fldChar w:fldCharType="end"/>
      </w:r>
      <w:r w:rsidRPr="004C78D8">
        <w:t xml:space="preserve">. </w:t>
      </w:r>
      <w:r w:rsidR="005B6783" w:rsidRPr="004C78D8">
        <w:t xml:space="preserve">By contrast, falls prevention </w:t>
      </w:r>
      <w:r w:rsidR="00907FB0" w:rsidRPr="004C78D8">
        <w:t>efficacy</w:t>
      </w:r>
      <w:r w:rsidR="005B6783" w:rsidRPr="004C78D8">
        <w:t xml:space="preserve"> studies draw a </w:t>
      </w:r>
      <w:r w:rsidR="005638A1" w:rsidRPr="004C78D8">
        <w:t xml:space="preserve">sharp distinction by cognitive status </w:t>
      </w:r>
      <w:r w:rsidR="005B6783" w:rsidRPr="004C78D8">
        <w:t>when recruiting participants</w:t>
      </w:r>
      <w:r w:rsidR="005638A1" w:rsidRPr="004C78D8">
        <w:t>.</w:t>
      </w:r>
      <w:r w:rsidR="005B6783" w:rsidRPr="004C78D8">
        <w:t xml:space="preserve"> For example, 89 of 159 trials included in t</w:t>
      </w:r>
      <w:r w:rsidRPr="004C78D8">
        <w:t xml:space="preserve">he 2012 Cochrane </w:t>
      </w:r>
      <w:r w:rsidR="005B6783" w:rsidRPr="004C78D8">
        <w:t>r</w:t>
      </w:r>
      <w:r w:rsidRPr="004C78D8">
        <w:t xml:space="preserve">eview of falls prevention RCTs excluded cognitively impaired persons </w:t>
      </w:r>
      <w:r w:rsidR="005B6783" w:rsidRPr="004C78D8">
        <w:fldChar w:fldCharType="begin"/>
      </w:r>
      <w:r w:rsidR="00513646" w:rsidRPr="004C78D8">
        <w:instrText xml:space="preserve"> ADDIN EN.CITE &lt;EndNote&gt;&lt;Cite&gt;&lt;Author&gt;Gillespie&lt;/Author&gt;&lt;Year&gt;2012&lt;/Year&gt;&lt;RecNum&gt;52&lt;/RecNum&gt;&lt;DisplayText&gt;[124]&lt;/DisplayText&gt;&lt;record&gt;&lt;rec-number&gt;52&lt;/rec-number&gt;&lt;foreign-keys&gt;&lt;key app="EN" db-id="tdtrdw9aepptzbefsat599syza29sxsd2wsp" timestamp="1597844815"&gt;52&lt;/key&gt;&lt;/foreign-keys&gt;&lt;ref-type name="Journal Article"&gt;17&lt;/ref-type&gt;&lt;contributors&gt;&lt;authors&gt;&lt;author&gt;Gillespie, Lesley D&lt;/author&gt;&lt;author&gt;Robertson, M Clare&lt;/author&gt;&lt;author&gt;Gillespie, William J&lt;/author&gt;&lt;author&gt;Sherrington, Catherine&lt;/author&gt;&lt;author&gt;Gates, Simon&lt;/author&gt;&lt;author&gt;Clemson, Lindy M&lt;/author&gt;&lt;author&gt;Lamb, Sarah E&lt;/author&gt;&lt;/authors&gt;&lt;/contributors&gt;&lt;titles&gt;&lt;title&gt;Interventions for preventing falls in older people living in the community&lt;/title&gt;&lt;secondary-title&gt;Cochrane database of systematic reviews&lt;/secondary-title&gt;&lt;/titles&gt;&lt;periodical&gt;&lt;full-title&gt;Cochrane database of systematic reviews&lt;/full-title&gt;&lt;/periodical&gt;&lt;number&gt;9&lt;/number&gt;&lt;dates&gt;&lt;year&gt;2012&lt;/year&gt;&lt;/dates&gt;&lt;isbn&gt;1465-1858&lt;/isbn&gt;&lt;urls&gt;&lt;/urls&gt;&lt;/record&gt;&lt;/Cite&gt;&lt;/EndNote&gt;</w:instrText>
      </w:r>
      <w:r w:rsidR="005B6783" w:rsidRPr="004C78D8">
        <w:fldChar w:fldCharType="separate"/>
      </w:r>
      <w:r w:rsidR="00513646" w:rsidRPr="004C78D8">
        <w:rPr>
          <w:noProof/>
        </w:rPr>
        <w:t>[124]</w:t>
      </w:r>
      <w:r w:rsidR="005B6783" w:rsidRPr="004C78D8">
        <w:fldChar w:fldCharType="end"/>
      </w:r>
      <w:r w:rsidR="005B6783" w:rsidRPr="004C78D8">
        <w:t xml:space="preserve">. A systematic overview of systematic reviews of RCTs found greater inconsistencies in intervention efficacies for this subgroup </w:t>
      </w:r>
      <w:r w:rsidR="005B6783" w:rsidRPr="004C78D8">
        <w:fldChar w:fldCharType="begin"/>
      </w:r>
      <w:r w:rsidR="00C630FC" w:rsidRPr="004C78D8">
        <w:instrText xml:space="preserve"> ADDIN EN.CITE &lt;EndNote&gt;&lt;Cite&gt;&lt;Author&gt;Booth&lt;/Author&gt;&lt;Year&gt;2015&lt;/Year&gt;&lt;RecNum&gt;700&lt;/RecNum&gt;&lt;DisplayText&gt;[295]&lt;/DisplayText&gt;&lt;record&gt;&lt;rec-number&gt;700&lt;/rec-number&gt;&lt;foreign-keys&gt;&lt;key app="EN" db-id="tdtrdw9aepptzbefsat599syza29sxsd2wsp" timestamp="1636701948"&gt;700&lt;/key&gt;&lt;/foreign-keys&gt;&lt;ref-type name="Journal Article"&gt;17&lt;/ref-type&gt;&lt;contributors&gt;&lt;authors&gt;&lt;author&gt;Booth, Vicky&lt;/author&gt;&lt;author&gt;Logan, Pip&lt;/author&gt;&lt;author&gt;Harwood, Rowan&lt;/author&gt;&lt;author&gt;Hood, Victoria&lt;/author&gt;&lt;/authors&gt;&lt;/contributors&gt;&lt;titles&gt;&lt;title&gt;Falls prevention interventions in older adults with cognitive impairment: a systematic review of reviews&lt;/title&gt;&lt;secondary-title&gt;International Journal of Therapy and Rehabilitation&lt;/secondary-title&gt;&lt;/titles&gt;&lt;periodical&gt;&lt;full-title&gt;International Journal of Therapy and Rehabilitation&lt;/full-title&gt;&lt;/periodical&gt;&lt;pages&gt;289-296&lt;/pages&gt;&lt;volume&gt;22&lt;/volume&gt;&lt;number&gt;6&lt;/number&gt;&lt;dates&gt;&lt;year&gt;2015&lt;/year&gt;&lt;/dates&gt;&lt;isbn&gt;1741-1645&lt;/isbn&gt;&lt;urls&gt;&lt;/urls&gt;&lt;/record&gt;&lt;/Cite&gt;&lt;/EndNote&gt;</w:instrText>
      </w:r>
      <w:r w:rsidR="005B6783" w:rsidRPr="004C78D8">
        <w:fldChar w:fldCharType="separate"/>
      </w:r>
      <w:r w:rsidR="00C630FC" w:rsidRPr="004C78D8">
        <w:rPr>
          <w:noProof/>
        </w:rPr>
        <w:t>[295]</w:t>
      </w:r>
      <w:r w:rsidR="005B6783" w:rsidRPr="004C78D8">
        <w:fldChar w:fldCharType="end"/>
      </w:r>
      <w:r w:rsidRPr="004C78D8">
        <w:t>.</w:t>
      </w:r>
      <w:r w:rsidR="004F71F6" w:rsidRPr="004C78D8">
        <w:t xml:space="preserve"> These suggest that attention </w:t>
      </w:r>
      <w:r w:rsidR="002652B5" w:rsidRPr="004C78D8">
        <w:t>should</w:t>
      </w:r>
      <w:r w:rsidR="004F71F6" w:rsidRPr="004C78D8">
        <w:t xml:space="preserve"> be paid to the </w:t>
      </w:r>
      <w:r w:rsidR="002652B5" w:rsidRPr="004C78D8">
        <w:t>heterogeneous intervention attributes (e.g., caregiver accompaniment), costs and efficacies across cognitive status.</w:t>
      </w:r>
    </w:p>
    <w:p w14:paraId="2885483F" w14:textId="59002721" w:rsidR="0090145E" w:rsidRPr="004C78D8" w:rsidRDefault="005B6783" w:rsidP="00FB7C1F">
      <w:r w:rsidRPr="004C78D8">
        <w:t xml:space="preserve">With regards to current practice in Sheffield, the falls specialist geriatrician mentioned (by personal communication) that access to reactive discharge interventions such as HAM and therapy rehabilitation would not </w:t>
      </w:r>
      <w:r w:rsidR="0090145E" w:rsidRPr="004C78D8">
        <w:t>make the distinction by cognitive status</w:t>
      </w:r>
      <w:r w:rsidRPr="004C78D8">
        <w:t>.</w:t>
      </w:r>
      <w:r w:rsidR="0090145E" w:rsidRPr="004C78D8">
        <w:t xml:space="preserve"> Hence, the current reactive pathway is accessible to both cognitively intact and impaired persons. For the proactive pathway, the lead PT at the Falls Clinic mentioned that older persons with diagnosed cognitive impairment were referred to the specialised Memory Clinic rather than the Falls Clinic (Document </w:t>
      </w:r>
      <w:r w:rsidR="009C654B" w:rsidRPr="004C78D8">
        <w:t>9</w:t>
      </w:r>
      <w:r w:rsidR="0090145E" w:rsidRPr="004C78D8">
        <w:t xml:space="preserve"> in Appendix B). This, together with QTUG pilot scheme’s exclusion of cognitively impaired persons, suggests that the current proactive pathway is predominantly targeted at cognitively intact persons. For the self-referred pathway, the Sheffield lead for Dance to Health mentioned (by personal communication) that the programme would accept cognitively impaired persons while involving their caregivers to ensure safety. Independent assessment of the Dance to Health affirmed the programme</w:t>
      </w:r>
      <w:r w:rsidR="00403E0B" w:rsidRPr="004C78D8">
        <w:t>’s</w:t>
      </w:r>
      <w:r w:rsidR="0090145E" w:rsidRPr="004C78D8">
        <w:t xml:space="preserve"> suitab</w:t>
      </w:r>
      <w:r w:rsidR="00403E0B" w:rsidRPr="004C78D8">
        <w:t>ility</w:t>
      </w:r>
      <w:r w:rsidR="0090145E" w:rsidRPr="004C78D8">
        <w:t xml:space="preserve"> for cognitively impaired persons </w:t>
      </w:r>
      <w:r w:rsidR="00403E0B" w:rsidRPr="004C78D8">
        <w:fldChar w:fldCharType="begin"/>
      </w:r>
      <w:r w:rsidR="00C630FC" w:rsidRPr="004C78D8">
        <w:instrText xml:space="preserve"> ADDIN EN.CITE &lt;EndNote&gt;&lt;Cite&gt;&lt;Author&gt;Sport Industry Research Centre&lt;/Author&gt;&lt;Year&gt;2019&lt;/Year&gt;&lt;RecNum&gt;110&lt;/RecNum&gt;&lt;DisplayText&gt;[196]&lt;/DisplayText&gt;&lt;record&gt;&lt;rec-number&gt;110&lt;/rec-number&gt;&lt;foreign-keys&gt;&lt;key app="EN" db-id="tdtrdw9aepptzbefsat599syza29sxsd2wsp" timestamp="1598262067"&gt;110&lt;/key&gt;&lt;/foreign-keys&gt;&lt;ref-type name="Journal Article"&gt;17&lt;/ref-type&gt;&lt;contributors&gt;&lt;authors&gt;&lt;author&gt;Sport Industry Research Centre,&lt;/author&gt;&lt;/authors&gt;&lt;/contributors&gt;&lt;titles&gt;&lt;title&gt;Dance to Health &amp;apos;Phase 1 roll-out [test and learn]&amp;apos; evaluation&lt;/title&gt;&lt;secondary-title&gt;Sheffield Hallam University&lt;/secondary-title&gt;&lt;/titles&gt;&lt;periodical&gt;&lt;full-title&gt;Sheffield Hallam University&lt;/full-title&gt;&lt;/periodical&gt;&lt;dates&gt;&lt;year&gt;2019&lt;/year&gt;&lt;/dates&gt;&lt;urls&gt;&lt;/urls&gt;&lt;/record&gt;&lt;/Cite&gt;&lt;/EndNote&gt;</w:instrText>
      </w:r>
      <w:r w:rsidR="00403E0B" w:rsidRPr="004C78D8">
        <w:fldChar w:fldCharType="separate"/>
      </w:r>
      <w:r w:rsidR="00C630FC" w:rsidRPr="004C78D8">
        <w:rPr>
          <w:noProof/>
        </w:rPr>
        <w:t>[196]</w:t>
      </w:r>
      <w:r w:rsidR="00403E0B" w:rsidRPr="004C78D8">
        <w:fldChar w:fldCharType="end"/>
      </w:r>
      <w:r w:rsidR="0090145E" w:rsidRPr="004C78D8">
        <w:t>. Hence, the current self-referred pathway is accessible to both cognitively intact and impaired persons.</w:t>
      </w:r>
    </w:p>
    <w:p w14:paraId="03972D75" w14:textId="42A3EDF3" w:rsidR="00E4691D" w:rsidRPr="004C78D8" w:rsidRDefault="00403E0B" w:rsidP="00FB7C1F">
      <w:r w:rsidRPr="004C78D8">
        <w:t>Another distinct subgroup in the target population comprises persons who have already received a given intervention in a previous period(s) but remain eligible in the current period</w:t>
      </w:r>
      <w:r w:rsidR="003A2066" w:rsidRPr="004C78D8">
        <w:t xml:space="preserve"> (e.g., still have abnormal gait/balance and hence are eligible for proactive intervention)</w:t>
      </w:r>
      <w:r w:rsidRPr="004C78D8">
        <w:t>. Given scarce resources, an option is to restrict intervention access to this subgroup. This would affect the long-term sustainability of intervention access</w:t>
      </w:r>
      <w:r w:rsidR="00324D82" w:rsidRPr="004C78D8">
        <w:t>;</w:t>
      </w:r>
      <w:r w:rsidRPr="004C78D8">
        <w:t xml:space="preserve"> the issue is particularly relevant to reactive and proactive pathways where access is largely determined by clinical protocols rather than older persons’ demand.</w:t>
      </w:r>
      <w:r w:rsidR="00324D82" w:rsidRPr="004C78D8">
        <w:t xml:space="preserve"> </w:t>
      </w:r>
      <w:r w:rsidR="00E4691D" w:rsidRPr="004C78D8">
        <w:t xml:space="preserve">There was </w:t>
      </w:r>
      <w:r w:rsidR="00324D82" w:rsidRPr="004C78D8">
        <w:t xml:space="preserve">again </w:t>
      </w:r>
      <w:r w:rsidR="00E4691D" w:rsidRPr="004C78D8">
        <w:t xml:space="preserve">limited </w:t>
      </w:r>
      <w:r w:rsidR="00F77057" w:rsidRPr="004C78D8">
        <w:t>information in the UK guidelines</w:t>
      </w:r>
      <w:r w:rsidR="00E4691D" w:rsidRPr="004C78D8">
        <w:t xml:space="preserve"> on </w:t>
      </w:r>
      <w:r w:rsidR="003A2066" w:rsidRPr="004C78D8">
        <w:t>risk assessment and treatment protocols for this subgroup</w:t>
      </w:r>
      <w:r w:rsidR="00E4691D" w:rsidRPr="004C78D8">
        <w:t xml:space="preserve">. </w:t>
      </w:r>
      <w:r w:rsidR="003A2066" w:rsidRPr="004C78D8">
        <w:t xml:space="preserve">Nevertheless, </w:t>
      </w:r>
      <w:r w:rsidR="00AD4293" w:rsidRPr="004C78D8">
        <w:t>the intervention</w:t>
      </w:r>
      <w:r w:rsidR="003A2066" w:rsidRPr="004C78D8">
        <w:t xml:space="preserve"> features </w:t>
      </w:r>
      <w:r w:rsidR="00AD4293" w:rsidRPr="004C78D8">
        <w:t>are unlikely to</w:t>
      </w:r>
      <w:r w:rsidR="003A2066" w:rsidRPr="004C78D8">
        <w:t xml:space="preserve"> be identical </w:t>
      </w:r>
      <w:r w:rsidR="004239E8" w:rsidRPr="004C78D8">
        <w:t>for</w:t>
      </w:r>
      <w:r w:rsidR="003A2066" w:rsidRPr="004C78D8">
        <w:t xml:space="preserve"> </w:t>
      </w:r>
      <w:r w:rsidR="004239E8" w:rsidRPr="004C78D8">
        <w:t>subgroups</w:t>
      </w:r>
      <w:r w:rsidR="003A2066" w:rsidRPr="004C78D8">
        <w:t xml:space="preserve"> with </w:t>
      </w:r>
      <w:r w:rsidR="004239E8" w:rsidRPr="004C78D8">
        <w:t xml:space="preserve">and without </w:t>
      </w:r>
      <w:r w:rsidR="003A2066" w:rsidRPr="004C78D8">
        <w:t xml:space="preserve">intervention history; for example, persons who have </w:t>
      </w:r>
      <w:r w:rsidR="00E4691D" w:rsidRPr="004C78D8">
        <w:t xml:space="preserve">already received a multifactorial intervention </w:t>
      </w:r>
      <w:r w:rsidR="003A2066" w:rsidRPr="004C78D8">
        <w:t xml:space="preserve">are unlikely to </w:t>
      </w:r>
      <w:r w:rsidR="00E4691D" w:rsidRPr="004C78D8">
        <w:t xml:space="preserve">undergo the same multifactorial risk assessment given </w:t>
      </w:r>
      <w:r w:rsidR="00AD4293" w:rsidRPr="004C78D8">
        <w:t>pre-</w:t>
      </w:r>
      <w:r w:rsidR="003A2066" w:rsidRPr="004C78D8">
        <w:t>recorded</w:t>
      </w:r>
      <w:r w:rsidR="00E4691D" w:rsidRPr="004C78D8">
        <w:t xml:space="preserve"> assessment </w:t>
      </w:r>
      <w:r w:rsidR="003A2066" w:rsidRPr="004C78D8">
        <w:t>results</w:t>
      </w:r>
      <w:r w:rsidR="00E4691D" w:rsidRPr="004C78D8">
        <w:t xml:space="preserve">. </w:t>
      </w:r>
    </w:p>
    <w:p w14:paraId="40CC1807" w14:textId="71FD5E57" w:rsidR="0088223A" w:rsidRPr="004C78D8" w:rsidRDefault="00335D62" w:rsidP="00FB7C1F">
      <w:r w:rsidRPr="004C78D8">
        <w:t xml:space="preserve">With regards to current practice in Sheffield, the falls specialist geriatrician mentioned (by personal communication) that standard reactive treatments such as rehabilitation or HAM are unlikely to be denied based on previous receipt history. </w:t>
      </w:r>
      <w:r w:rsidR="005958B7" w:rsidRPr="004C78D8">
        <w:t xml:space="preserve">Hence, reactive interventions are </w:t>
      </w:r>
      <w:r w:rsidRPr="004C78D8">
        <w:t xml:space="preserve">likely </w:t>
      </w:r>
      <w:r w:rsidR="005958B7" w:rsidRPr="004C78D8">
        <w:t xml:space="preserve">accessible to all eligible persons each year. For the proactive pathway, the falls specialist geriatrician </w:t>
      </w:r>
      <w:r w:rsidRPr="004C78D8">
        <w:t>mentioned</w:t>
      </w:r>
      <w:r w:rsidR="005958B7" w:rsidRPr="004C78D8">
        <w:t xml:space="preserve"> that individuals with intervention history who remain at high falls risk would ideally be referred back to the Falls Clinic for further assessment of any significant change in </w:t>
      </w:r>
      <w:r w:rsidRPr="004C78D8">
        <w:t xml:space="preserve">the </w:t>
      </w:r>
      <w:r w:rsidR="005958B7" w:rsidRPr="004C78D8">
        <w:t xml:space="preserve">falls risk </w:t>
      </w:r>
      <w:r w:rsidRPr="004C78D8">
        <w:t>profile; but such</w:t>
      </w:r>
      <w:r w:rsidR="005958B7" w:rsidRPr="004C78D8">
        <w:t xml:space="preserve"> re-referrals are </w:t>
      </w:r>
      <w:r w:rsidR="009C654B" w:rsidRPr="004C78D8">
        <w:t xml:space="preserve">infrequent </w:t>
      </w:r>
      <w:r w:rsidRPr="004C78D8">
        <w:t>in</w:t>
      </w:r>
      <w:r w:rsidR="005958B7" w:rsidRPr="004C78D8">
        <w:t xml:space="preserve"> practice. For the self-referred pathway, continued participation of </w:t>
      </w:r>
      <w:r w:rsidRPr="004C78D8">
        <w:t>older</w:t>
      </w:r>
      <w:r w:rsidR="005958B7" w:rsidRPr="004C78D8">
        <w:t xml:space="preserve"> persons is strongly encouraged by the Dance to Health programme</w:t>
      </w:r>
      <w:r w:rsidRPr="004C78D8">
        <w:t xml:space="preserve"> </w:t>
      </w:r>
      <w:r w:rsidRPr="004C78D8">
        <w:fldChar w:fldCharType="begin"/>
      </w:r>
      <w:r w:rsidR="00C630FC" w:rsidRPr="004C78D8">
        <w:instrText xml:space="preserve"> ADDIN EN.CITE &lt;EndNote&gt;&lt;Cite&gt;&lt;Author&gt;Sport Industry Research Centre&lt;/Author&gt;&lt;Year&gt;2019&lt;/Year&gt;&lt;RecNum&gt;110&lt;/RecNum&gt;&lt;DisplayText&gt;[196]&lt;/DisplayText&gt;&lt;record&gt;&lt;rec-number&gt;110&lt;/rec-number&gt;&lt;foreign-keys&gt;&lt;key app="EN" db-id="tdtrdw9aepptzbefsat599syza29sxsd2wsp" timestamp="1598262067"&gt;110&lt;/key&gt;&lt;/foreign-keys&gt;&lt;ref-type name="Journal Article"&gt;17&lt;/ref-type&gt;&lt;contributors&gt;&lt;authors&gt;&lt;author&gt;Sport Industry Research Centre,&lt;/author&gt;&lt;/authors&gt;&lt;/contributors&gt;&lt;titles&gt;&lt;title&gt;Dance to Health &amp;apos;Phase 1 roll-out [test and learn]&amp;apos; evaluation&lt;/title&gt;&lt;secondary-title&gt;Sheffield Hallam University&lt;/secondary-title&gt;&lt;/titles&gt;&lt;periodical&gt;&lt;full-title&gt;Sheffield Hallam University&lt;/full-title&gt;&lt;/periodical&gt;&lt;dates&gt;&lt;year&gt;2019&lt;/year&gt;&lt;/dates&gt;&lt;urls&gt;&lt;/urls&gt;&lt;/record&gt;&lt;/Cite&gt;&lt;/EndNote&gt;</w:instrText>
      </w:r>
      <w:r w:rsidRPr="004C78D8">
        <w:fldChar w:fldCharType="separate"/>
      </w:r>
      <w:r w:rsidR="00C630FC" w:rsidRPr="004C78D8">
        <w:rPr>
          <w:noProof/>
        </w:rPr>
        <w:t>[196]</w:t>
      </w:r>
      <w:r w:rsidRPr="004C78D8">
        <w:fldChar w:fldCharType="end"/>
      </w:r>
      <w:r w:rsidR="005958B7" w:rsidRPr="004C78D8">
        <w:t>.</w:t>
      </w:r>
    </w:p>
    <w:p w14:paraId="11FB5FB6" w14:textId="3E6E1189" w:rsidR="00AD394F" w:rsidRPr="004C78D8" w:rsidRDefault="00AD394F" w:rsidP="00FB7C1F">
      <w:pPr>
        <w:pStyle w:val="Heading3"/>
      </w:pPr>
      <w:bookmarkStart w:id="93" w:name="_Toc111630739"/>
      <w:r w:rsidRPr="004C78D8">
        <w:lastRenderedPageBreak/>
        <w:t>3.7.</w:t>
      </w:r>
      <w:r w:rsidR="00EF2F6D" w:rsidRPr="004C78D8">
        <w:t>4</w:t>
      </w:r>
      <w:r w:rsidRPr="004C78D8">
        <w:t xml:space="preserve"> </w:t>
      </w:r>
      <w:r w:rsidR="001C0A53" w:rsidRPr="004C78D8">
        <w:t>Additional falls prevention</w:t>
      </w:r>
      <w:r w:rsidRPr="004C78D8">
        <w:t xml:space="preserve"> </w:t>
      </w:r>
      <w:r w:rsidR="001033BA" w:rsidRPr="004C78D8">
        <w:t>strategies</w:t>
      </w:r>
      <w:bookmarkEnd w:id="93"/>
    </w:p>
    <w:p w14:paraId="50042F57" w14:textId="348AD950" w:rsidR="00B675FC" w:rsidRPr="004C78D8" w:rsidRDefault="002077B5" w:rsidP="00FB7C1F">
      <w:r w:rsidRPr="004C78D8">
        <w:t>S</w:t>
      </w:r>
      <w:r w:rsidR="003E33C5" w:rsidRPr="004C78D8">
        <w:t xml:space="preserve">everal </w:t>
      </w:r>
      <w:r w:rsidRPr="004C78D8">
        <w:t>additional</w:t>
      </w:r>
      <w:r w:rsidR="003E33C5" w:rsidRPr="004C78D8">
        <w:t xml:space="preserve"> intervention </w:t>
      </w:r>
      <w:r w:rsidRPr="004C78D8">
        <w:t>strategies</w:t>
      </w:r>
      <w:r w:rsidR="003E33C5" w:rsidRPr="004C78D8">
        <w:t xml:space="preserve"> can be conceptualised based on the major themes of the decision problem</w:t>
      </w:r>
      <w:r w:rsidRPr="004C78D8">
        <w:t>.</w:t>
      </w:r>
      <w:r w:rsidR="003E33C5" w:rsidRPr="004C78D8">
        <w:t xml:space="preserve"> </w:t>
      </w:r>
      <w:r w:rsidR="00B675FC" w:rsidRPr="004C78D8">
        <w:t xml:space="preserve">First, </w:t>
      </w:r>
      <w:r w:rsidRPr="004C78D8">
        <w:t xml:space="preserve">each of the </w:t>
      </w:r>
      <w:r w:rsidR="00B675FC" w:rsidRPr="004C78D8">
        <w:t xml:space="preserve">three distinct pathways </w:t>
      </w:r>
      <w:r w:rsidRPr="004C78D8">
        <w:t>(operational</w:t>
      </w:r>
      <w:r w:rsidR="00B675FC" w:rsidRPr="004C78D8">
        <w:t xml:space="preserve"> under both current and recommended practices</w:t>
      </w:r>
      <w:r w:rsidRPr="004C78D8">
        <w:t>)</w:t>
      </w:r>
      <w:r w:rsidR="00B675FC" w:rsidRPr="004C78D8">
        <w:t xml:space="preserve"> </w:t>
      </w:r>
      <w:r w:rsidRPr="004C78D8">
        <w:t>could be commissioned individually at their recommended level while the other two pathways are maintained at their current levels</w:t>
      </w:r>
      <w:r w:rsidR="00B675FC" w:rsidRPr="004C78D8">
        <w:t xml:space="preserve">. </w:t>
      </w:r>
      <w:r w:rsidRPr="004C78D8">
        <w:t xml:space="preserve">Alternatively, two of the three pathways could be commissioned at their recommended levels. </w:t>
      </w:r>
    </w:p>
    <w:p w14:paraId="1664927F" w14:textId="0E770C5C" w:rsidR="00AD394F" w:rsidRPr="004C78D8" w:rsidRDefault="00B675FC" w:rsidP="00FB7C1F">
      <w:r w:rsidRPr="004C78D8">
        <w:t>Second</w:t>
      </w:r>
      <w:r w:rsidR="003C7806" w:rsidRPr="004C78D8">
        <w:t xml:space="preserve">, </w:t>
      </w:r>
      <w:r w:rsidR="005F1EC2" w:rsidRPr="004C78D8">
        <w:t>the current and recommended practices both envisage minimal engagement of community assets. This contrasts with the focus placed on community mobilisation by AS&amp;R as well as the pilot QTUG scheme that involved community organisations in the falls risk screening. T</w:t>
      </w:r>
      <w:r w:rsidR="009D605D" w:rsidRPr="004C78D8">
        <w:t>he</w:t>
      </w:r>
      <w:r w:rsidR="00954584" w:rsidRPr="004C78D8">
        <w:t xml:space="preserve"> qualitative research participants</w:t>
      </w:r>
      <w:r w:rsidR="009D605D" w:rsidRPr="004C78D8">
        <w:t xml:space="preserve"> </w:t>
      </w:r>
      <w:r w:rsidR="005F1EC2" w:rsidRPr="004C78D8">
        <w:t xml:space="preserve">also </w:t>
      </w:r>
      <w:r w:rsidR="009D605D" w:rsidRPr="004C78D8">
        <w:t xml:space="preserve">highlighted the importance of community marketing in promoting intervention access. </w:t>
      </w:r>
      <w:r w:rsidR="005F1EC2" w:rsidRPr="004C78D8">
        <w:t>An alternative strategy would involve active involvement of community assets in various roles ranging from falls risk screening under the proactive pathway to intervention uptake promotion under the self-referred pathway.</w:t>
      </w:r>
    </w:p>
    <w:p w14:paraId="42B17572" w14:textId="66B850F1" w:rsidR="002F39F8" w:rsidRPr="004C78D8" w:rsidRDefault="00B675FC" w:rsidP="00FB7C1F">
      <w:r w:rsidRPr="004C78D8">
        <w:t>Third</w:t>
      </w:r>
      <w:r w:rsidR="002F39F8" w:rsidRPr="004C78D8">
        <w:t xml:space="preserve">, </w:t>
      </w:r>
      <w:r w:rsidR="009B3285" w:rsidRPr="004C78D8">
        <w:t xml:space="preserve">there are potential concerns </w:t>
      </w:r>
      <w:r w:rsidR="009C40A3" w:rsidRPr="004C78D8">
        <w:t xml:space="preserve">around </w:t>
      </w:r>
      <w:r w:rsidR="009B3285" w:rsidRPr="004C78D8">
        <w:t>the capacity implications of implementing the recommended practice</w:t>
      </w:r>
      <w:r w:rsidR="008851BB" w:rsidRPr="004C78D8">
        <w:t>, as noted above</w:t>
      </w:r>
      <w:r w:rsidR="009B3285" w:rsidRPr="004C78D8">
        <w:t xml:space="preserve">. </w:t>
      </w:r>
      <w:r w:rsidR="00812D4A" w:rsidRPr="004C78D8">
        <w:t>A small increase in proactive referrals under t</w:t>
      </w:r>
      <w:r w:rsidR="009B3285" w:rsidRPr="004C78D8">
        <w:t xml:space="preserve">he QTUG scheme </w:t>
      </w:r>
      <w:r w:rsidR="00812D4A" w:rsidRPr="004C78D8">
        <w:t xml:space="preserve">(involving three GP practices) resulted in significant waiting lists for falls prevention services </w:t>
      </w:r>
      <w:r w:rsidR="00812D4A" w:rsidRPr="004C78D8">
        <w:fldChar w:fldCharType="begin"/>
      </w:r>
      <w:r w:rsidR="00C630FC" w:rsidRPr="004C78D8">
        <w:instrText xml:space="preserve"> ADDIN EN.CITE &lt;EndNote&gt;&lt;Cite&gt;&lt;Author&gt;Sheffield Teaching Hospitals&lt;/Author&gt;&lt;Year&gt;2019&lt;/Year&gt;&lt;RecNum&gt;552&lt;/RecNum&gt;&lt;DisplayText&gt;[209]&lt;/DisplayText&gt;&lt;record&gt;&lt;rec-number&gt;552&lt;/rec-number&gt;&lt;foreign-keys&gt;&lt;key app="EN" db-id="tdtrdw9aepptzbefsat599syza29sxsd2wsp" timestamp="1619256769"&gt;552&lt;/key&gt;&lt;/foreign-keys&gt;&lt;ref-type name="Report"&gt;27&lt;/ref-type&gt;&lt;contributors&gt;&lt;authors&gt;&lt;author&gt;Sheffield Teaching Hospitals,&lt;/author&gt;&lt;/authors&gt;&lt;/contributors&gt;&lt;titles&gt;&lt;title&gt;Perfect Patient Pathway Test Bed Overview Report&lt;/title&gt;&lt;/titles&gt;&lt;dates&gt;&lt;year&gt;2019&lt;/year&gt;&lt;/dates&gt;&lt;publisher&gt;Sheffield Teaching Hospitals NHS Foundation Trust&lt;/publisher&gt;&lt;urls&gt;&lt;related-urls&gt;&lt;url&gt;www.ppptestbed.nhs.uk&lt;/url&gt;&lt;/related-urls&gt;&lt;/urls&gt;&lt;/record&gt;&lt;/Cite&gt;&lt;/EndNote&gt;</w:instrText>
      </w:r>
      <w:r w:rsidR="00812D4A" w:rsidRPr="004C78D8">
        <w:fldChar w:fldCharType="separate"/>
      </w:r>
      <w:r w:rsidR="00C630FC" w:rsidRPr="004C78D8">
        <w:rPr>
          <w:noProof/>
        </w:rPr>
        <w:t>[209]</w:t>
      </w:r>
      <w:r w:rsidR="00812D4A" w:rsidRPr="004C78D8">
        <w:fldChar w:fldCharType="end"/>
      </w:r>
      <w:r w:rsidR="00812D4A" w:rsidRPr="004C78D8">
        <w:t xml:space="preserve">. </w:t>
      </w:r>
      <w:r w:rsidR="00683384" w:rsidRPr="004C78D8">
        <w:t>Although funding would remove many of the supply-side constraints, bottlenecks may remain in several areas such as the total feasible numbers of multidisciplinary teams and group exercise venues.</w:t>
      </w:r>
      <w:r w:rsidR="00812D4A" w:rsidRPr="004C78D8">
        <w:t xml:space="preserve"> </w:t>
      </w:r>
      <w:r w:rsidR="009C40A3" w:rsidRPr="004C78D8">
        <w:t>A</w:t>
      </w:r>
      <w:r w:rsidR="00A4003E" w:rsidRPr="004C78D8">
        <w:t>lternative intervention s</w:t>
      </w:r>
      <w:r w:rsidR="009C40A3" w:rsidRPr="004C78D8">
        <w:t>trategies would recognise these constraints and</w:t>
      </w:r>
      <w:r w:rsidR="00A4003E" w:rsidRPr="004C78D8">
        <w:t xml:space="preserve"> explore </w:t>
      </w:r>
      <w:r w:rsidR="009C40A3" w:rsidRPr="004C78D8">
        <w:t>the means of rationing the scarce resources, likely in the form of targeting strategies</w:t>
      </w:r>
      <w:r w:rsidR="00A4003E" w:rsidRPr="004C78D8">
        <w:t xml:space="preserve">. The QTUG scheme, for example, targeted the moderately frail according to eFI scores (Document 12 in Appendix B). </w:t>
      </w:r>
      <w:r w:rsidR="00E56D98" w:rsidRPr="004C78D8">
        <w:t xml:space="preserve">Another </w:t>
      </w:r>
      <w:r w:rsidR="009C40A3" w:rsidRPr="004C78D8">
        <w:t>option is to</w:t>
      </w:r>
      <w:r w:rsidR="00E56D98" w:rsidRPr="004C78D8">
        <w:t xml:space="preserve"> target </w:t>
      </w:r>
      <w:r w:rsidR="00683384" w:rsidRPr="004C78D8">
        <w:t>high-risk individuals</w:t>
      </w:r>
      <w:r w:rsidR="00E56D98" w:rsidRPr="004C78D8">
        <w:t xml:space="preserve"> according to </w:t>
      </w:r>
      <w:r w:rsidR="009C40A3" w:rsidRPr="004C78D8">
        <w:t xml:space="preserve">their </w:t>
      </w:r>
      <w:r w:rsidR="00E56D98" w:rsidRPr="004C78D8">
        <w:t>predicted falls risk.</w:t>
      </w:r>
    </w:p>
    <w:p w14:paraId="3A2352A0" w14:textId="5B5A9EE5" w:rsidR="007C78C0" w:rsidRPr="004C78D8" w:rsidRDefault="00F73D89" w:rsidP="00FB7C1F">
      <w:r w:rsidRPr="004C78D8">
        <w:t xml:space="preserve">Fourth, the recommended practice contains relatively little guidance </w:t>
      </w:r>
      <w:r w:rsidR="009C40A3" w:rsidRPr="004C78D8">
        <w:t>around</w:t>
      </w:r>
      <w:r w:rsidRPr="004C78D8">
        <w:t xml:space="preserve"> reducing e</w:t>
      </w:r>
      <w:r w:rsidR="00E51117" w:rsidRPr="004C78D8">
        <w:t xml:space="preserve">nvironmental </w:t>
      </w:r>
      <w:r w:rsidRPr="004C78D8">
        <w:t xml:space="preserve">falls </w:t>
      </w:r>
      <w:r w:rsidR="00E51117" w:rsidRPr="004C78D8">
        <w:t xml:space="preserve">risk factors </w:t>
      </w:r>
      <w:r w:rsidRPr="004C78D8">
        <w:t xml:space="preserve">(beyond home hazards) and building health-promoting </w:t>
      </w:r>
      <w:r w:rsidR="003F5C06" w:rsidRPr="004C78D8">
        <w:t xml:space="preserve">public spaces; yet both were suggested by qualitative research participants as intersectoral policies. Alternative </w:t>
      </w:r>
      <w:r w:rsidR="009C40A3" w:rsidRPr="004C78D8">
        <w:t>strategies</w:t>
      </w:r>
      <w:r w:rsidR="003F5C06" w:rsidRPr="004C78D8">
        <w:t xml:space="preserve"> could explore the impact when environmental interventions supplement the current or recommended practices. </w:t>
      </w:r>
    </w:p>
    <w:p w14:paraId="67837AC2" w14:textId="56D322F1" w:rsidR="008F5AD9" w:rsidRPr="004C78D8" w:rsidRDefault="003F5C06" w:rsidP="00FB7C1F">
      <w:r w:rsidRPr="004C78D8">
        <w:t xml:space="preserve">Finally, </w:t>
      </w:r>
      <w:r w:rsidR="009C40A3" w:rsidRPr="004C78D8">
        <w:t xml:space="preserve">under the principle of high integration (Section 1.3.2.3), </w:t>
      </w:r>
      <w:r w:rsidR="00510935" w:rsidRPr="004C78D8">
        <w:t xml:space="preserve">falls prevention is ideally a part of a larger </w:t>
      </w:r>
      <w:r w:rsidR="003B1019" w:rsidRPr="004C78D8">
        <w:t xml:space="preserve">package of </w:t>
      </w:r>
      <w:r w:rsidR="009C40A3" w:rsidRPr="004C78D8">
        <w:t xml:space="preserve">further </w:t>
      </w:r>
      <w:r w:rsidR="003B1019" w:rsidRPr="004C78D8">
        <w:t>geriatric and earlier</w:t>
      </w:r>
      <w:r w:rsidR="00C14C44" w:rsidRPr="004C78D8">
        <w:t>-</w:t>
      </w:r>
      <w:r w:rsidR="003B1019" w:rsidRPr="004C78D8">
        <w:t xml:space="preserve">life public health interventions. </w:t>
      </w:r>
      <w:r w:rsidR="00EA4B07" w:rsidRPr="004C78D8">
        <w:t>These</w:t>
      </w:r>
      <w:r w:rsidR="003B1019" w:rsidRPr="004C78D8">
        <w:t xml:space="preserve"> </w:t>
      </w:r>
      <w:r w:rsidR="009C40A3" w:rsidRPr="004C78D8">
        <w:t xml:space="preserve">interventions </w:t>
      </w:r>
      <w:r w:rsidR="003B1019" w:rsidRPr="004C78D8">
        <w:t xml:space="preserve">would change the underlying epidemiological characteristics of the target population. </w:t>
      </w:r>
      <w:r w:rsidR="008F5AD9" w:rsidRPr="004C78D8">
        <w:t xml:space="preserve">The problem boundary should incorporate situations of such epidemiological changes </w:t>
      </w:r>
      <w:r w:rsidR="00C52DB2" w:rsidRPr="004C78D8">
        <w:t xml:space="preserve">(if not as distinct intervention strategies) </w:t>
      </w:r>
      <w:r w:rsidR="008F5AD9" w:rsidRPr="004C78D8">
        <w:t>and their impact on falls prevention practice.</w:t>
      </w:r>
    </w:p>
    <w:p w14:paraId="56AE6395" w14:textId="77777777" w:rsidR="00AD394F" w:rsidRPr="004C78D8" w:rsidRDefault="00AD394F" w:rsidP="00FB7C1F"/>
    <w:p w14:paraId="7B2F245D" w14:textId="219013BB" w:rsidR="00AD394F" w:rsidRPr="004C78D8" w:rsidRDefault="00AD394F" w:rsidP="00FB7C1F">
      <w:pPr>
        <w:pStyle w:val="Heading2"/>
      </w:pPr>
      <w:bookmarkStart w:id="94" w:name="_Toc93566865"/>
      <w:bookmarkStart w:id="95" w:name="_Toc111630740"/>
      <w:r w:rsidRPr="004C78D8">
        <w:t>3.8 Discussion</w:t>
      </w:r>
      <w:bookmarkEnd w:id="94"/>
      <w:bookmarkEnd w:id="95"/>
    </w:p>
    <w:p w14:paraId="4BF8EEEC" w14:textId="26A264CB" w:rsidR="00847697" w:rsidRPr="004C78D8" w:rsidRDefault="004C4A52" w:rsidP="00FB7C1F">
      <w:r w:rsidRPr="004C78D8">
        <w:t xml:space="preserve">Using a </w:t>
      </w:r>
      <w:r w:rsidR="00DF100B" w:rsidRPr="004C78D8">
        <w:t>published</w:t>
      </w:r>
      <w:r w:rsidRPr="004C78D8">
        <w:t xml:space="preserve"> framework for public health model development </w:t>
      </w:r>
      <w:r w:rsidRPr="004C78D8">
        <w:fldChar w:fldCharType="begin"/>
      </w:r>
      <w:r w:rsidRPr="004C78D8">
        <w:instrText xml:space="preserve"> ADDIN EN.CITE &lt;EndNote&gt;&lt;Cite&gt;&lt;Author&gt;Squires&lt;/Author&gt;&lt;Year&gt;2016&lt;/Year&gt;&lt;RecNum&gt;158&lt;/RecNum&gt;&lt;DisplayText&gt;[1]&lt;/DisplayText&gt;&lt;record&gt;&lt;rec-number&gt;158&lt;/rec-number&gt;&lt;foreign-keys&gt;&lt;key app="EN" db-id="tdtrdw9aepptzbefsat599syza29sxsd2wsp" timestamp="1609254669"&gt;158&lt;/key&gt;&lt;/foreign-keys&gt;&lt;ref-type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framework for developing the structure of public health economic models&lt;/title&gt;&lt;secondary-title&gt;Value in Health&lt;/secondary-title&gt;&lt;/titles&gt;&lt;periodical&gt;&lt;full-title&gt;Value in Health&lt;/full-title&gt;&lt;/periodical&gt;&lt;pages&gt;588-601&lt;/pages&gt;&lt;volume&gt;19&lt;/volume&gt;&lt;number&gt;5&lt;/number&gt;&lt;dates&gt;&lt;year&gt;2016&lt;/year&gt;&lt;/dates&gt;&lt;isbn&gt;1098-3015&lt;/isbn&gt;&lt;urls&gt;&lt;/urls&gt;&lt;research-notes&gt;1&lt;/research-notes&gt;&lt;/record&gt;&lt;/Cite&gt;&lt;/EndNote&gt;</w:instrText>
      </w:r>
      <w:r w:rsidRPr="004C78D8">
        <w:fldChar w:fldCharType="separate"/>
      </w:r>
      <w:r w:rsidRPr="004C78D8">
        <w:rPr>
          <w:noProof/>
        </w:rPr>
        <w:t>[1]</w:t>
      </w:r>
      <w:r w:rsidRPr="004C78D8">
        <w:fldChar w:fldCharType="end"/>
      </w:r>
      <w:r w:rsidRPr="004C78D8">
        <w:t xml:space="preserve">, this chapter developed a conceptual model for economic evaluation of community-based falls prevention in Sheffield. </w:t>
      </w:r>
      <w:r w:rsidR="00DF100B" w:rsidRPr="004C78D8">
        <w:t xml:space="preserve">In the process, the </w:t>
      </w:r>
      <w:r w:rsidR="00B0389A" w:rsidRPr="004C78D8">
        <w:t xml:space="preserve">chapter: identified the </w:t>
      </w:r>
      <w:r w:rsidR="00DF100B" w:rsidRPr="004C78D8">
        <w:t>evaluation framework relevant to Sheffield stakeholders</w:t>
      </w:r>
      <w:r w:rsidR="00EB3753" w:rsidRPr="004C78D8">
        <w:t>;</w:t>
      </w:r>
      <w:r w:rsidR="00DF100B" w:rsidRPr="004C78D8">
        <w:t xml:space="preserve"> </w:t>
      </w:r>
      <w:r w:rsidR="00B0389A" w:rsidRPr="004C78D8">
        <w:t>highlighted</w:t>
      </w:r>
      <w:r w:rsidR="00DF100B" w:rsidRPr="004C78D8">
        <w:t xml:space="preserve"> </w:t>
      </w:r>
      <w:r w:rsidR="00B0389A" w:rsidRPr="004C78D8">
        <w:t xml:space="preserve">the conceptual themes underlying the rationale for falls prevention; identified the key causal variables; considered </w:t>
      </w:r>
      <w:r w:rsidR="008F5AD9" w:rsidRPr="004C78D8">
        <w:t xml:space="preserve">the </w:t>
      </w:r>
      <w:r w:rsidR="00B0389A" w:rsidRPr="004C78D8">
        <w:t>key features of current and recommended falls prevention practices</w:t>
      </w:r>
      <w:r w:rsidR="00C52DB2" w:rsidRPr="004C78D8">
        <w:t>; and conceptualised alternative intervention strategies</w:t>
      </w:r>
      <w:r w:rsidR="00B0389A" w:rsidRPr="004C78D8">
        <w:t xml:space="preserve">. </w:t>
      </w:r>
    </w:p>
    <w:p w14:paraId="22E5BE7E" w14:textId="737F95D0" w:rsidR="00847697" w:rsidRPr="004C78D8" w:rsidRDefault="00847697" w:rsidP="00FB7C1F">
      <w:pPr>
        <w:pStyle w:val="Heading3"/>
      </w:pPr>
      <w:bookmarkStart w:id="96" w:name="_Toc111630741"/>
      <w:r w:rsidRPr="004C78D8">
        <w:t>3.8.1 From conceptual to methodological challenges</w:t>
      </w:r>
      <w:bookmarkEnd w:id="96"/>
    </w:p>
    <w:p w14:paraId="36217239" w14:textId="64AF0B1B" w:rsidR="00DF100B" w:rsidRPr="004C78D8" w:rsidRDefault="00B0389A" w:rsidP="00FB7C1F">
      <w:r w:rsidRPr="004C78D8">
        <w:t xml:space="preserve">The conceptual </w:t>
      </w:r>
      <w:r w:rsidR="00104D2D" w:rsidRPr="004C78D8">
        <w:t xml:space="preserve">model </w:t>
      </w:r>
      <w:r w:rsidRPr="004C78D8">
        <w:t xml:space="preserve">should </w:t>
      </w:r>
      <w:r w:rsidR="00527F40" w:rsidRPr="004C78D8">
        <w:t xml:space="preserve">henceforth </w:t>
      </w:r>
      <w:r w:rsidR="00104D2D" w:rsidRPr="004C78D8">
        <w:t>inform Phase (D) of model development</w:t>
      </w:r>
      <w:r w:rsidR="00527F40" w:rsidRPr="004C78D8">
        <w:t xml:space="preserve"> which comprises the systematic review of previous models in Chapter </w:t>
      </w:r>
      <w:r w:rsidR="00192E49" w:rsidRPr="004C78D8">
        <w:t xml:space="preserve">4 </w:t>
      </w:r>
      <w:r w:rsidR="00527F40" w:rsidRPr="004C78D8">
        <w:t>and the model parameterisation</w:t>
      </w:r>
      <w:r w:rsidR="00104D2D" w:rsidRPr="004C78D8">
        <w:t xml:space="preserve"> </w:t>
      </w:r>
      <w:r w:rsidR="00642830" w:rsidRPr="004C78D8">
        <w:t xml:space="preserve">in Chapter </w:t>
      </w:r>
      <w:r w:rsidR="00192E49" w:rsidRPr="004C78D8">
        <w:t xml:space="preserve">5 </w:t>
      </w:r>
      <w:r w:rsidR="00104D2D" w:rsidRPr="004C78D8">
        <w:fldChar w:fldCharType="begin"/>
      </w:r>
      <w:r w:rsidR="00104D2D" w:rsidRPr="004C78D8">
        <w:instrText xml:space="preserve"> ADDIN EN.CITE &lt;EndNote&gt;&lt;Cite&gt;&lt;Author&gt;Squires&lt;/Author&gt;&lt;Year&gt;2016&lt;/Year&gt;&lt;RecNum&gt;158&lt;/RecNum&gt;&lt;DisplayText&gt;[1]&lt;/DisplayText&gt;&lt;record&gt;&lt;rec-number&gt;158&lt;/rec-number&gt;&lt;foreign-keys&gt;&lt;key app="EN" db-id="tdtrdw9aepptzbefsat599syza29sxsd2wsp" timestamp="1609254669"&gt;158&lt;/key&gt;&lt;/foreign-keys&gt;&lt;ref-type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framework for developing the structure of public health economic models&lt;/title&gt;&lt;secondary-title&gt;Value in Health&lt;/secondary-title&gt;&lt;/titles&gt;&lt;periodical&gt;&lt;full-title&gt;Value in Health&lt;/full-title&gt;&lt;/periodical&gt;&lt;pages&gt;588-601&lt;/pages&gt;&lt;volume&gt;19&lt;/volume&gt;&lt;number&gt;5&lt;/number&gt;&lt;dates&gt;&lt;year&gt;2016&lt;/year&gt;&lt;/dates&gt;&lt;isbn&gt;1098-3015&lt;/isbn&gt;&lt;urls&gt;&lt;/urls&gt;&lt;research-notes&gt;1&lt;/research-notes&gt;&lt;/record&gt;&lt;/Cite&gt;&lt;/EndNote&gt;</w:instrText>
      </w:r>
      <w:r w:rsidR="00104D2D" w:rsidRPr="004C78D8">
        <w:fldChar w:fldCharType="separate"/>
      </w:r>
      <w:r w:rsidR="00104D2D" w:rsidRPr="004C78D8">
        <w:rPr>
          <w:noProof/>
        </w:rPr>
        <w:t>[1]</w:t>
      </w:r>
      <w:r w:rsidR="00104D2D" w:rsidRPr="004C78D8">
        <w:fldChar w:fldCharType="end"/>
      </w:r>
      <w:r w:rsidR="00DF100B" w:rsidRPr="004C78D8">
        <w:t>.</w:t>
      </w:r>
      <w:r w:rsidR="00104D2D" w:rsidRPr="004C78D8">
        <w:t xml:space="preserve"> </w:t>
      </w:r>
      <w:r w:rsidR="00642830" w:rsidRPr="004C78D8">
        <w:t>T</w:t>
      </w:r>
      <w:r w:rsidR="00104D2D" w:rsidRPr="004C78D8">
        <w:t xml:space="preserve">he </w:t>
      </w:r>
      <w:r w:rsidR="00642830" w:rsidRPr="004C78D8">
        <w:t>key</w:t>
      </w:r>
      <w:r w:rsidR="00104D2D" w:rsidRPr="004C78D8">
        <w:t xml:space="preserve"> </w:t>
      </w:r>
      <w:r w:rsidR="00527F40" w:rsidRPr="004C78D8">
        <w:t>themes</w:t>
      </w:r>
      <w:r w:rsidR="00104D2D" w:rsidRPr="004C78D8">
        <w:t xml:space="preserve"> </w:t>
      </w:r>
      <w:r w:rsidR="00527F40" w:rsidRPr="004C78D8">
        <w:t>within the conceptual model</w:t>
      </w:r>
      <w:r w:rsidR="00104D2D" w:rsidRPr="004C78D8">
        <w:t xml:space="preserve"> should </w:t>
      </w:r>
      <w:r w:rsidR="00642830" w:rsidRPr="004C78D8">
        <w:t xml:space="preserve">be </w:t>
      </w:r>
      <w:r w:rsidR="00104D2D" w:rsidRPr="004C78D8">
        <w:t>translate</w:t>
      </w:r>
      <w:r w:rsidR="00642830" w:rsidRPr="004C78D8">
        <w:t>d</w:t>
      </w:r>
      <w:r w:rsidR="00104D2D" w:rsidRPr="004C78D8">
        <w:t xml:space="preserve"> into methodological challenges</w:t>
      </w:r>
      <w:r w:rsidR="00642830" w:rsidRPr="004C78D8">
        <w:t xml:space="preserve"> addressed by the final implemented model. For example, the four conceptual themes discussed in Section 3.5 </w:t>
      </w:r>
      <w:r w:rsidR="00980A84" w:rsidRPr="004C78D8">
        <w:t>translate to</w:t>
      </w:r>
      <w:r w:rsidR="00180A45" w:rsidRPr="004C78D8">
        <w:t xml:space="preserve"> the following methodological challenges: (1) capturing non-health outcomes and societal intervention costs; (2) considering heterogeneity and dynamic complexity; (3) considering </w:t>
      </w:r>
      <w:r w:rsidR="00180A45" w:rsidRPr="004C78D8">
        <w:lastRenderedPageBreak/>
        <w:t>theories of human behaviour and implementation; and (4) considering issues of equity. These are of course the methodological challenges used for framework analysis in Chapter 2</w:t>
      </w:r>
      <w:r w:rsidR="009B394B" w:rsidRPr="004C78D8">
        <w:t xml:space="preserve"> </w:t>
      </w:r>
      <w:r w:rsidR="009B394B" w:rsidRPr="004C78D8">
        <w:fldChar w:fldCharType="begin"/>
      </w:r>
      <w:r w:rsidR="00720CEE">
        <w:instrText xml:space="preserve"> ADDIN EN.CITE &lt;EndNote&gt;&lt;Cite&gt;&lt;Author&gt;Squires&lt;/Author&gt;&lt;Year&gt;2016&lt;/Year&gt;&lt;RecNum&gt;308&lt;/RecNum&gt;&lt;DisplayText&gt;[18]&lt;/DisplayText&gt;&lt;record&gt;&lt;rec-number&gt;308&lt;/rec-number&gt;&lt;foreign-keys&gt;&lt;key app="EN" db-id="tdtrdw9aepptzbefsat599syza29sxsd2wsp" timestamp="1612015645"&gt;308&lt;/key&gt;&lt;/foreign-keys&gt;&lt;ref-type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systematic literature review of the key challenges for developing the structure of public health economic models&lt;/title&gt;&lt;secondary-title&gt;International journal of public health&lt;/secondary-title&gt;&lt;/titles&gt;&lt;periodical&gt;&lt;full-title&gt;International journal of public health&lt;/full-title&gt;&lt;/periodical&gt;&lt;pages&gt;289-298&lt;/pages&gt;&lt;volume&gt;61&lt;/volume&gt;&lt;number&gt;3&lt;/number&gt;&lt;dates&gt;&lt;year&gt;2016&lt;/year&gt;&lt;/dates&gt;&lt;isbn&gt;1661-8556&lt;/isbn&gt;&lt;urls&gt;&lt;/urls&gt;&lt;/record&gt;&lt;/Cite&gt;&lt;/EndNote&gt;</w:instrText>
      </w:r>
      <w:r w:rsidR="009B394B" w:rsidRPr="004C78D8">
        <w:fldChar w:fldCharType="separate"/>
      </w:r>
      <w:r w:rsidR="00720CEE">
        <w:rPr>
          <w:noProof/>
        </w:rPr>
        <w:t>[18]</w:t>
      </w:r>
      <w:r w:rsidR="009B394B" w:rsidRPr="004C78D8">
        <w:fldChar w:fldCharType="end"/>
      </w:r>
      <w:r w:rsidR="009B394B" w:rsidRPr="004C78D8">
        <w:t xml:space="preserve">. </w:t>
      </w:r>
      <w:r w:rsidR="0017280C" w:rsidRPr="004C78D8">
        <w:t xml:space="preserve">They form the key criteria for methodological appraisals of previous falls prevention models </w:t>
      </w:r>
      <w:r w:rsidR="003A57E9" w:rsidRPr="004C78D8">
        <w:t>in</w:t>
      </w:r>
      <w:r w:rsidR="0017280C" w:rsidRPr="004C78D8">
        <w:t xml:space="preserve"> Section </w:t>
      </w:r>
      <w:r w:rsidR="00192E49" w:rsidRPr="004C78D8">
        <w:t>4</w:t>
      </w:r>
      <w:r w:rsidR="0017280C" w:rsidRPr="004C78D8">
        <w:t xml:space="preserve">.5.3 and </w:t>
      </w:r>
      <w:r w:rsidR="00C35BF3" w:rsidRPr="004C78D8">
        <w:t xml:space="preserve">of </w:t>
      </w:r>
      <w:r w:rsidR="0017280C" w:rsidRPr="004C78D8">
        <w:t>the new</w:t>
      </w:r>
      <w:r w:rsidR="003A57E9" w:rsidRPr="004C78D8">
        <w:t>ly developed</w:t>
      </w:r>
      <w:r w:rsidR="0017280C" w:rsidRPr="004C78D8">
        <w:t xml:space="preserve"> model </w:t>
      </w:r>
      <w:r w:rsidR="003A57E9" w:rsidRPr="004C78D8">
        <w:t xml:space="preserve">in </w:t>
      </w:r>
      <w:r w:rsidR="0017280C" w:rsidRPr="004C78D8">
        <w:t xml:space="preserve">Section </w:t>
      </w:r>
      <w:r w:rsidR="00192E49" w:rsidRPr="004C78D8">
        <w:t>6</w:t>
      </w:r>
      <w:r w:rsidR="0017280C" w:rsidRPr="004C78D8">
        <w:t>.6.</w:t>
      </w:r>
      <w:r w:rsidR="003A57E9" w:rsidRPr="004C78D8">
        <w:t>4</w:t>
      </w:r>
      <w:r w:rsidR="0017280C" w:rsidRPr="004C78D8">
        <w:t>.3.</w:t>
      </w:r>
    </w:p>
    <w:p w14:paraId="157CD38C" w14:textId="2576DFE4" w:rsidR="00F47EAD" w:rsidRPr="004C78D8" w:rsidRDefault="00527F40" w:rsidP="00FB7C1F">
      <w:r w:rsidRPr="004C78D8">
        <w:t>T</w:t>
      </w:r>
      <w:r w:rsidR="00643D59" w:rsidRPr="004C78D8">
        <w:t>he methodological challenges should</w:t>
      </w:r>
      <w:r w:rsidRPr="004C78D8">
        <w:t xml:space="preserve"> </w:t>
      </w:r>
      <w:r w:rsidR="00643D59" w:rsidRPr="004C78D8">
        <w:t xml:space="preserve">inform the </w:t>
      </w:r>
      <w:r w:rsidR="0017280C" w:rsidRPr="004C78D8">
        <w:t xml:space="preserve">range of </w:t>
      </w:r>
      <w:r w:rsidR="00643D59" w:rsidRPr="004C78D8">
        <w:t xml:space="preserve">techniques </w:t>
      </w:r>
      <w:r w:rsidR="0017280C" w:rsidRPr="004C78D8">
        <w:t xml:space="preserve">used </w:t>
      </w:r>
      <w:r w:rsidR="00643D59" w:rsidRPr="004C78D8">
        <w:t xml:space="preserve">for model development and evaluation. For example, accounting for the </w:t>
      </w:r>
      <w:r w:rsidR="000E17A6" w:rsidRPr="004C78D8">
        <w:t xml:space="preserve">secondary effects of falls and the </w:t>
      </w:r>
      <w:r w:rsidR="00643D59" w:rsidRPr="004C78D8">
        <w:t xml:space="preserve">dynamic complexity in </w:t>
      </w:r>
      <w:r w:rsidR="000E17A6" w:rsidRPr="004C78D8">
        <w:t>the falls risk profile</w:t>
      </w:r>
      <w:r w:rsidR="00643D59" w:rsidRPr="004C78D8">
        <w:t xml:space="preserve"> </w:t>
      </w:r>
      <w:r w:rsidR="000E17A6" w:rsidRPr="004C78D8">
        <w:t xml:space="preserve">likely </w:t>
      </w:r>
      <w:r w:rsidR="00643D59" w:rsidRPr="004C78D8">
        <w:t xml:space="preserve">requires the </w:t>
      </w:r>
      <w:r w:rsidR="000E17A6" w:rsidRPr="004C78D8">
        <w:t>incorporation of a multivariate frailty index and other propagators. I</w:t>
      </w:r>
      <w:r w:rsidR="00643D59" w:rsidRPr="004C78D8">
        <w:t>ndividual-level simulation</w:t>
      </w:r>
      <w:r w:rsidR="000E17A6" w:rsidRPr="004C78D8">
        <w:t xml:space="preserve"> is also likely required to capture individual-level outcomes and dynamic complexity</w:t>
      </w:r>
      <w:r w:rsidR="00643D59" w:rsidRPr="004C78D8">
        <w:t xml:space="preserve">. </w:t>
      </w:r>
      <w:r w:rsidR="000E17A6" w:rsidRPr="004C78D8">
        <w:t xml:space="preserve">Various psychological and sociological factors influencing behaviour and implementation should be directly parameterised to increase the sensitivity of model outcomes to changes in these factors </w:t>
      </w:r>
      <w:r w:rsidR="007B651F" w:rsidRPr="004C78D8">
        <w:fldChar w:fldCharType="begin"/>
      </w:r>
      <w:r w:rsidR="00513646" w:rsidRPr="004C78D8">
        <w:instrText xml:space="preserve"> ADDIN EN.CITE &lt;EndNote&gt;&lt;Cite&gt;&lt;Author&gt;Squires&lt;/Author&gt;&lt;Year&gt;2014&lt;/Year&gt;&lt;RecNum&gt;6&lt;/RecNum&gt;&lt;DisplayText&gt;[160]&lt;/DisplayText&gt;&lt;record&gt;&lt;rec-number&gt;6&lt;/rec-number&gt;&lt;foreign-keys&gt;&lt;key app="EN" db-id="tdtrdw9aepptzbefsat599syza29sxsd2wsp" timestamp="1596571778"&gt;6&lt;/key&gt;&lt;/foreign-keys&gt;&lt;ref-type name="Thesis"&gt;32&lt;/ref-type&gt;&lt;contributors&gt;&lt;authors&gt;&lt;author&gt;Squires, Hazel&lt;/author&gt;&lt;/authors&gt;&lt;/contributors&gt;&lt;titles&gt;&lt;title&gt;A methodological framework for developing the structure of Public Health economic models&lt;/title&gt;&lt;/titles&gt;&lt;dates&gt;&lt;year&gt;2014&lt;/year&gt;&lt;/dates&gt;&lt;publisher&gt;University of Sheffield&lt;/publisher&gt;&lt;urls&gt;&lt;/urls&gt;&lt;/record&gt;&lt;/Cite&gt;&lt;/EndNote&gt;</w:instrText>
      </w:r>
      <w:r w:rsidR="007B651F" w:rsidRPr="004C78D8">
        <w:fldChar w:fldCharType="separate"/>
      </w:r>
      <w:r w:rsidR="00513646" w:rsidRPr="004C78D8">
        <w:rPr>
          <w:noProof/>
        </w:rPr>
        <w:t>[160]</w:t>
      </w:r>
      <w:r w:rsidR="007B651F" w:rsidRPr="004C78D8">
        <w:fldChar w:fldCharType="end"/>
      </w:r>
      <w:r w:rsidR="007B651F" w:rsidRPr="004C78D8">
        <w:t xml:space="preserve">. </w:t>
      </w:r>
      <w:r w:rsidR="000E17A6" w:rsidRPr="004C78D8">
        <w:t>But</w:t>
      </w:r>
      <w:r w:rsidR="007B651F" w:rsidRPr="004C78D8">
        <w:t xml:space="preserve"> even just conducting value of implementation (VoIM) analyses to explore how the model outcomes vary according to different implementation </w:t>
      </w:r>
      <w:r w:rsidR="006F2C31" w:rsidRPr="004C78D8">
        <w:t xml:space="preserve">strategies and </w:t>
      </w:r>
      <w:r w:rsidR="007B651F" w:rsidRPr="004C78D8">
        <w:t xml:space="preserve">levels would generate useful, heuristic information for decision-makers </w:t>
      </w:r>
      <w:r w:rsidR="007B651F" w:rsidRPr="004C78D8">
        <w:fldChar w:fldCharType="begin"/>
      </w:r>
      <w:r w:rsidR="00C630FC" w:rsidRPr="004C78D8">
        <w:instrText xml:space="preserve"> ADDIN EN.CITE &lt;EndNote&gt;&lt;Cite&gt;&lt;Author&gt;Fenwick&lt;/Author&gt;&lt;Year&gt;2008&lt;/Year&gt;&lt;RecNum&gt;8&lt;/RecNum&gt;&lt;DisplayText&gt;[199, 316]&lt;/DisplayText&gt;&lt;record&gt;&lt;rec-number&gt;8&lt;/rec-number&gt;&lt;foreign-keys&gt;&lt;key app="EN" db-id="tdtrdw9aepptzbefsat599syza29sxsd2wsp" timestamp="1596618759"&gt;8&lt;/key&gt;&lt;/foreign-keys&gt;&lt;ref-type name="Journal Article"&gt;17&lt;/ref-type&gt;&lt;contributors&gt;&lt;authors&gt;&lt;author&gt;Fenwick, Elisabeth&lt;/author&gt;&lt;author&gt;Claxton, Karl&lt;/author&gt;&lt;author&gt;Sculpher, Mark&lt;/author&gt;&lt;/authors&gt;&lt;/contributors&gt;&lt;titles&gt;&lt;title&gt;The value of implementation and the value of information: combined and uneven development&lt;/title&gt;&lt;secondary-title&gt;Medical Decision Making&lt;/secondary-title&gt;&lt;/titles&gt;&lt;periodical&gt;&lt;full-title&gt;Medical Decision Making&lt;/full-title&gt;&lt;/periodical&gt;&lt;pages&gt;21-32&lt;/pages&gt;&lt;volume&gt;28&lt;/volume&gt;&lt;number&gt;1&lt;/number&gt;&lt;dates&gt;&lt;year&gt;2008&lt;/year&gt;&lt;/dates&gt;&lt;isbn&gt;0272-989X&lt;/isbn&gt;&lt;urls&gt;&lt;/urls&gt;&lt;/record&gt;&lt;/Cite&gt;&lt;Cite&gt;&lt;Author&gt;Hoomans&lt;/Author&gt;&lt;Year&gt;2014&lt;/Year&gt;&lt;RecNum&gt;555&lt;/RecNum&gt;&lt;record&gt;&lt;rec-number&gt;555&lt;/rec-number&gt;&lt;foreign-keys&gt;&lt;key app="EN" db-id="tdtrdw9aepptzbefsat599syza29sxsd2wsp" timestamp="1619552703"&gt;555&lt;/key&gt;&lt;/foreign-keys&gt;&lt;ref-type name="Generic"&gt;13&lt;/ref-type&gt;&lt;contributors&gt;&lt;authors&gt;&lt;author&gt;Hoomans, Ties&lt;/author&gt;&lt;author&gt;Severens, Johan L&lt;/author&gt;&lt;/authors&gt;&lt;/contributors&gt;&lt;titles&gt;&lt;title&gt;Economic evaluation of implementation strategies in health care&lt;/title&gt;&lt;/titles&gt;&lt;dates&gt;&lt;year&gt;2014&lt;/year&gt;&lt;/dates&gt;&lt;publisher&gt;BioMed Central&lt;/publisher&gt;&lt;isbn&gt;1748-5908&lt;/isbn&gt;&lt;urls&gt;&lt;/urls&gt;&lt;/record&gt;&lt;/Cite&gt;&lt;/EndNote&gt;</w:instrText>
      </w:r>
      <w:r w:rsidR="007B651F" w:rsidRPr="004C78D8">
        <w:fldChar w:fldCharType="separate"/>
      </w:r>
      <w:r w:rsidR="00C630FC" w:rsidRPr="004C78D8">
        <w:rPr>
          <w:noProof/>
        </w:rPr>
        <w:t>[199, 316]</w:t>
      </w:r>
      <w:r w:rsidR="007B651F" w:rsidRPr="004C78D8">
        <w:fldChar w:fldCharType="end"/>
      </w:r>
      <w:r w:rsidR="007B651F" w:rsidRPr="004C78D8">
        <w:t xml:space="preserve">. </w:t>
      </w:r>
      <w:r w:rsidR="006F2C31" w:rsidRPr="004C78D8">
        <w:t xml:space="preserve">Finally, the issues of equity and their impact on evaluation outcomes should be quantified using an approach such as the distributional cost-effectiveness analysis (DCEA) </w:t>
      </w:r>
      <w:r w:rsidR="006F2C31" w:rsidRPr="004C78D8">
        <w:fldChar w:fldCharType="begin"/>
      </w:r>
      <w:r w:rsidR="00513646" w:rsidRPr="004C78D8">
        <w:instrText xml:space="preserve"> ADDIN EN.CITE &lt;EndNote&gt;&lt;Cite&gt;&lt;Author&gt;Asaria&lt;/Author&gt;&lt;Year&gt;2016&lt;/Year&gt;&lt;RecNum&gt;361&lt;/RecNum&gt;&lt;DisplayText&gt;[109]&lt;/DisplayText&gt;&lt;record&gt;&lt;rec-number&gt;361&lt;/rec-number&gt;&lt;foreign-keys&gt;&lt;key app="EN" db-id="tdtrdw9aepptzbefsat599syza29sxsd2wsp" timestamp="1612265402"&gt;361&lt;/key&gt;&lt;/foreign-keys&gt;&lt;ref-type name="Journal Article"&gt;17&lt;/ref-type&gt;&lt;contributors&gt;&lt;authors&gt;&lt;author&gt;Asaria, Miqdad&lt;/author&gt;&lt;author&gt;Griffin, Susan&lt;/author&gt;&lt;author&gt;Cookson, Richard&lt;/author&gt;&lt;/authors&gt;&lt;/contributors&gt;&lt;titles&gt;&lt;title&gt;Distributional Cost-Effectiveness Analysis: A Tutorial&lt;/title&gt;&lt;secondary-title&gt;Medical decision making&lt;/secondary-title&gt;&lt;/titles&gt;&lt;periodical&gt;&lt;full-title&gt;Medical Decision Making&lt;/full-title&gt;&lt;/periodical&gt;&lt;pages&gt;8-19&lt;/pages&gt;&lt;volume&gt;36&lt;/volume&gt;&lt;number&gt;1&lt;/number&gt;&lt;keywords&gt;&lt;keyword&gt;cost-effectiveness analysis&lt;/keyword&gt;&lt;keyword&gt;economic evaluation&lt;/keyword&gt;&lt;keyword&gt;efficiency&lt;/keyword&gt;&lt;keyword&gt;equality&lt;/keyword&gt;&lt;keyword&gt;equity&lt;/keyword&gt;&lt;keyword&gt;fairness&lt;/keyword&gt;&lt;keyword&gt;health distribution&lt;/keyword&gt;&lt;keyword&gt;health inequality&lt;/keyword&gt;&lt;keyword&gt;inequality measures&lt;/keyword&gt;&lt;keyword&gt;opportunity cost&lt;/keyword&gt;&lt;keyword&gt;social value judgments&lt;/keyword&gt;&lt;keyword&gt;social welfare functions&lt;/keyword&gt;&lt;keyword&gt;tradeoff&lt;/keyword&gt;&lt;/keywords&gt;&lt;dates&gt;&lt;year&gt;2016&lt;/year&gt;&lt;pub-dates&gt;&lt;date&gt;1/1&lt;/date&gt;&lt;/pub-dates&gt;&lt;/dates&gt;&lt;isbn&gt;0272-989X&lt;/isbn&gt;&lt;work-type&gt;Article&lt;/work-type&gt;&lt;urls&gt;&lt;related-urls&gt;&lt;url&gt;http://www.scopus.com/inward/record.url?scp=84950117843&amp;amp;partnerID=8YFLogxK&lt;/url&gt;&lt;/related-urls&gt;&lt;/urls&gt;&lt;electronic-resource-num&gt;10.1177/0272989X15583266&lt;/electronic-resource-num&gt;&lt;/record&gt;&lt;/Cite&gt;&lt;/EndNote&gt;</w:instrText>
      </w:r>
      <w:r w:rsidR="006F2C31" w:rsidRPr="004C78D8">
        <w:fldChar w:fldCharType="separate"/>
      </w:r>
      <w:r w:rsidR="00513646" w:rsidRPr="004C78D8">
        <w:rPr>
          <w:noProof/>
        </w:rPr>
        <w:t>[109]</w:t>
      </w:r>
      <w:r w:rsidR="006F2C31" w:rsidRPr="004C78D8">
        <w:fldChar w:fldCharType="end"/>
      </w:r>
      <w:r w:rsidR="006F2C31" w:rsidRPr="004C78D8">
        <w:t>.</w:t>
      </w:r>
      <w:r w:rsidR="00F47EAD" w:rsidRPr="004C78D8">
        <w:t xml:space="preserve"> </w:t>
      </w:r>
    </w:p>
    <w:p w14:paraId="09E6F000" w14:textId="35EAF18A" w:rsidR="00BC6069" w:rsidRPr="004C78D8" w:rsidRDefault="00BC6069" w:rsidP="00FB7C1F">
      <w:pPr>
        <w:pStyle w:val="Heading3"/>
      </w:pPr>
      <w:bookmarkStart w:id="97" w:name="_Toc111630742"/>
      <w:r w:rsidRPr="004C78D8">
        <w:t>3.8.2 Intersections between the key methodological challenges</w:t>
      </w:r>
      <w:bookmarkEnd w:id="97"/>
    </w:p>
    <w:p w14:paraId="14895880" w14:textId="6F016E31" w:rsidR="00BC6069" w:rsidRPr="004C78D8" w:rsidRDefault="006F2C31" w:rsidP="00FB7C1F">
      <w:r w:rsidRPr="004C78D8">
        <w:t>In handling the methodological challenges, further attention is warranted on the</w:t>
      </w:r>
      <w:r w:rsidR="00BC6069" w:rsidRPr="004C78D8">
        <w:t xml:space="preserve"> likely significant interactions between </w:t>
      </w:r>
      <w:r w:rsidRPr="004C78D8">
        <w:t>them</w:t>
      </w:r>
      <w:r w:rsidR="00BC6069" w:rsidRPr="004C78D8">
        <w:t xml:space="preserve">. Incorporation of non-health outcomes (challenge 1) would increase the heterogeneity and dynamic complexity in analysis (challenge 2) </w:t>
      </w:r>
      <w:r w:rsidR="00BC6069" w:rsidRPr="004C78D8">
        <w:fldChar w:fldCharType="begin"/>
      </w:r>
      <w:r w:rsidR="00BC6069" w:rsidRPr="004C78D8">
        <w:instrText xml:space="preserve"> ADDIN EN.CITE &lt;EndNote&gt;&lt;Cite&gt;&lt;Author&gt;World Health Organization&lt;/Author&gt;&lt;Year&gt;2015&lt;/Year&gt;&lt;RecNum&gt;1&lt;/RecNum&gt;&lt;DisplayText&gt;[2]&lt;/DisplayText&gt;&lt;record&gt;&lt;rec-number&gt;1&lt;/rec-number&gt;&lt;foreign-keys&gt;&lt;key app="EN" db-id="tdtrdw9aepptzbefsat599syza29sxsd2wsp" timestamp="1596571129"&gt;1&lt;/key&gt;&lt;/foreign-keys&gt;&lt;ref-type name="Book"&gt;6&lt;/ref-type&gt;&lt;contributors&gt;&lt;authors&gt;&lt;author&gt;World Health Organization,&lt;/author&gt;&lt;/authors&gt;&lt;/contributors&gt;&lt;titles&gt;&lt;title&gt;World Report on Ageing and Health&lt;/title&gt;&lt;/titles&gt;&lt;dates&gt;&lt;year&gt;2015&lt;/year&gt;&lt;/dates&gt;&lt;publisher&gt;World Health Organization&lt;/publisher&gt;&lt;isbn&gt;9241565047&lt;/isbn&gt;&lt;urls&gt;&lt;/urls&gt;&lt;/record&gt;&lt;/Cite&gt;&lt;/EndNote&gt;</w:instrText>
      </w:r>
      <w:r w:rsidR="00BC6069" w:rsidRPr="004C78D8">
        <w:fldChar w:fldCharType="separate"/>
      </w:r>
      <w:r w:rsidR="00BC6069" w:rsidRPr="004C78D8">
        <w:rPr>
          <w:noProof/>
        </w:rPr>
        <w:t>[2]</w:t>
      </w:r>
      <w:r w:rsidR="00BC6069" w:rsidRPr="004C78D8">
        <w:fldChar w:fldCharType="end"/>
      </w:r>
      <w:r w:rsidR="00BC6069" w:rsidRPr="004C78D8">
        <w:t xml:space="preserve">. Wider intervention benefits and costs (challenge 1) are closely associated with implementation quality (challenge 3): for example, social benefits act as uptake facilitators </w:t>
      </w:r>
      <w:r w:rsidR="00BC6069" w:rsidRPr="004C78D8">
        <w:fldChar w:fldCharType="begin"/>
      </w:r>
      <w:r w:rsidR="00BC6069"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00BC6069" w:rsidRPr="004C78D8">
        <w:fldChar w:fldCharType="separate"/>
      </w:r>
      <w:r w:rsidR="00BC6069" w:rsidRPr="004C78D8">
        <w:rPr>
          <w:noProof/>
        </w:rPr>
        <w:t>[13]</w:t>
      </w:r>
      <w:r w:rsidR="00BC6069" w:rsidRPr="004C78D8">
        <w:fldChar w:fldCharType="end"/>
      </w:r>
      <w:r w:rsidR="00BC6069" w:rsidRPr="004C78D8">
        <w:t xml:space="preserve">, and co-payments as barriers </w:t>
      </w:r>
      <w:r w:rsidR="00BC6069" w:rsidRPr="004C78D8">
        <w:fldChar w:fldCharType="begin"/>
      </w:r>
      <w:r w:rsidR="00513646" w:rsidRPr="004C78D8">
        <w:instrText xml:space="preserve"> ADDIN EN.CITE &lt;EndNote&gt;&lt;Cite&gt;&lt;Author&gt;Child&lt;/Author&gt;&lt;Year&gt;2012&lt;/Year&gt;&lt;RecNum&gt;256&lt;/RecNum&gt;&lt;DisplayText&gt;[141]&lt;/DisplayText&gt;&lt;record&gt;&lt;rec-number&gt;256&lt;/rec-number&gt;&lt;foreign-keys&gt;&lt;key app="EN" db-id="tdtrdw9aepptzbefsat599syza29sxsd2wsp" timestamp="1611675441"&gt;256&lt;/key&gt;&lt;/foreign-keys&gt;&lt;ref-type name="Journal Article"&gt;17&lt;/ref-type&gt;&lt;contributors&gt;&lt;authors&gt;&lt;author&gt;Child, Sue&lt;/author&gt;&lt;author&gt;Goodwin, Victoria&lt;/author&gt;&lt;author&gt;Garside, Ruth&lt;/author&gt;&lt;author&gt;Jones-Hughes, Tracey&lt;/author&gt;&lt;author&gt;Boddy, Kate&lt;/author&gt;&lt;author&gt;Stein, Ken&lt;/author&gt;&lt;/authors&gt;&lt;/contributors&gt;&lt;titles&gt;&lt;title&gt;Factors influencing the implementation of fall-prevention programmes: a systematic review and synthesis of qualitative studies&lt;/title&gt;&lt;secondary-title&gt;Implementation science&lt;/secondary-title&gt;&lt;/titles&gt;&lt;periodical&gt;&lt;full-title&gt;Implementation science&lt;/full-title&gt;&lt;/periodical&gt;&lt;pages&gt;91&lt;/pages&gt;&lt;volume&gt;7&lt;/volume&gt;&lt;number&gt;1&lt;/number&gt;&lt;dates&gt;&lt;year&gt;2012&lt;/year&gt;&lt;/dates&gt;&lt;isbn&gt;1748-5908&lt;/isbn&gt;&lt;urls&gt;&lt;/urls&gt;&lt;/record&gt;&lt;/Cite&gt;&lt;/EndNote&gt;</w:instrText>
      </w:r>
      <w:r w:rsidR="00BC6069" w:rsidRPr="004C78D8">
        <w:fldChar w:fldCharType="separate"/>
      </w:r>
      <w:r w:rsidR="00513646" w:rsidRPr="004C78D8">
        <w:rPr>
          <w:noProof/>
        </w:rPr>
        <w:t>[141]</w:t>
      </w:r>
      <w:r w:rsidR="00BC6069" w:rsidRPr="004C78D8">
        <w:fldChar w:fldCharType="end"/>
      </w:r>
      <w:r w:rsidR="00BC6069" w:rsidRPr="004C78D8">
        <w:t xml:space="preserve">; see also Table 2.2. Likewise, long-term behavioural and implementation patterns (challenge 3) are dynamically complex due to feedback loops (e.g., initially successful adherence reinforces </w:t>
      </w:r>
      <w:r w:rsidR="00E106F8" w:rsidRPr="004C78D8">
        <w:t xml:space="preserve">long-term </w:t>
      </w:r>
      <w:r w:rsidR="00BC6069" w:rsidRPr="004C78D8">
        <w:t xml:space="preserve">persistence) (challenge 2). </w:t>
      </w:r>
    </w:p>
    <w:p w14:paraId="7414EB6F" w14:textId="353C8E3C" w:rsidR="00BC6069" w:rsidRPr="004C78D8" w:rsidRDefault="00BC6069" w:rsidP="00FB7C1F">
      <w:r w:rsidRPr="004C78D8">
        <w:t xml:space="preserve">The interactions between the challenges 1-3 and challenge 4 (i.e., equity </w:t>
      </w:r>
      <w:r w:rsidR="006F2C31" w:rsidRPr="004C78D8">
        <w:t>issues</w:t>
      </w:r>
      <w:r w:rsidRPr="004C78D8">
        <w:t xml:space="preserve">) warrant </w:t>
      </w:r>
      <w:r w:rsidR="006F2C31" w:rsidRPr="004C78D8">
        <w:t>more attention</w:t>
      </w:r>
      <w:r w:rsidRPr="004C78D8">
        <w:t xml:space="preserve">. First, capturing non-health outcomes and societal intervention costs (challenge 1) likely exacerbates the inequitable outcome differences between social- and severity-based subgroups. For example, incorporating wider consumption benefits of HAM advantages richer homeowners </w:t>
      </w:r>
      <w:r w:rsidRPr="004C78D8">
        <w:fldChar w:fldCharType="begin"/>
      </w:r>
      <w:r w:rsidR="00C630FC" w:rsidRPr="004C78D8">
        <w:instrText xml:space="preserve"> ADDIN EN.CITE &lt;EndNote&gt;&lt;Cite&gt;&lt;Author&gt;Wilson&lt;/Author&gt;&lt;Year&gt;2017&lt;/Year&gt;&lt;RecNum&gt;278&lt;/RecNum&gt;&lt;DisplayText&gt;[206]&lt;/DisplayText&gt;&lt;record&gt;&lt;rec-number&gt;278&lt;/rec-number&gt;&lt;foreign-keys&gt;&lt;key app="EN" db-id="tdtrdw9aepptzbefsat599syza29sxsd2wsp" timestamp="1611698655"&gt;278&lt;/key&gt;&lt;/foreign-keys&gt;&lt;ref-type name="Journal Article"&gt;17&lt;/ref-type&gt;&lt;contributors&gt;&lt;authors&gt;&lt;author&gt;Wilson, Nick&lt;/author&gt;&lt;author&gt;Kvizhinadze, Giorgi&lt;/author&gt;&lt;author&gt;Pega, Frank&lt;/author&gt;&lt;author&gt;Nair, Nisha&lt;/author&gt;&lt;author&gt;Blakely, Tony&lt;/author&gt;&lt;/authors&gt;&lt;/contributors&gt;&lt;titles&gt;&lt;title&gt;Home modification to reduce falls at a health district level: Modeling health gain, health inequalities and health costs&lt;/title&gt;&lt;secondary-title&gt;PloS one&lt;/secondary-title&gt;&lt;/titles&gt;&lt;periodical&gt;&lt;full-title&gt;PLoS One&lt;/full-title&gt;&lt;abbr-1&gt;PloS one&lt;/abbr-1&gt;&lt;/periodical&gt;&lt;pages&gt;e0184538&lt;/pages&gt;&lt;volume&gt;12&lt;/volume&gt;&lt;number&gt;9&lt;/number&gt;&lt;dates&gt;&lt;year&gt;2017&lt;/year&gt;&lt;/dates&gt;&lt;isbn&gt;1932-6203&lt;/isbn&gt;&lt;urls&gt;&lt;/urls&gt;&lt;/record&gt;&lt;/Cite&gt;&lt;/EndNote&gt;</w:instrText>
      </w:r>
      <w:r w:rsidRPr="004C78D8">
        <w:fldChar w:fldCharType="separate"/>
      </w:r>
      <w:r w:rsidR="00C630FC" w:rsidRPr="004C78D8">
        <w:rPr>
          <w:noProof/>
        </w:rPr>
        <w:t>[206]</w:t>
      </w:r>
      <w:r w:rsidRPr="004C78D8">
        <w:fldChar w:fldCharType="end"/>
      </w:r>
      <w:r w:rsidRPr="004C78D8">
        <w:t xml:space="preserve">. Incorporating productivity loss likely disadvantages the socially deprived and frail subgroups who are less likely to be in paid/unpaid employment prior to a fall. Yet excluding the wider outcomes simply masks the equity consequences (e.g., that publicly funded HAM may constitute a regressive wealth transfer towards homeowners); their inclusion is necessary to design policies that address the holistic needs of vulnerable older persons </w:t>
      </w:r>
      <w:r w:rsidRPr="004C78D8">
        <w:fldChar w:fldCharType="begin"/>
      </w:r>
      <w:r w:rsidR="00C630FC" w:rsidRPr="004C78D8">
        <w:instrText xml:space="preserve"> ADDIN EN.CITE &lt;EndNote&gt;&lt;Cite&gt;&lt;Author&gt;Bowling&lt;/Author&gt;&lt;Year&gt;2005&lt;/Year&gt;&lt;RecNum&gt;674&lt;/RecNum&gt;&lt;DisplayText&gt;[317]&lt;/DisplayText&gt;&lt;record&gt;&lt;rec-number&gt;674&lt;/rec-number&gt;&lt;foreign-keys&gt;&lt;key app="EN" db-id="tdtrdw9aepptzbefsat599syza29sxsd2wsp" timestamp="1627552274"&gt;674&lt;/key&gt;&lt;/foreign-keys&gt;&lt;ref-type name="Journal Article"&gt;17&lt;/ref-type&gt;&lt;contributors&gt;&lt;authors&gt;&lt;author&gt;Bowling, Ann&lt;/author&gt;&lt;author&gt;Dieppe, Paul&lt;/author&gt;&lt;/authors&gt;&lt;/contributors&gt;&lt;titles&gt;&lt;title&gt;What is successful ageing and who should define it?&lt;/title&gt;&lt;secondary-title&gt;Bmj&lt;/secondary-title&gt;&lt;/titles&gt;&lt;periodical&gt;&lt;full-title&gt;Bmj&lt;/full-title&gt;&lt;/periodical&gt;&lt;pages&gt;1548-1551&lt;/pages&gt;&lt;volume&gt;331&lt;/volume&gt;&lt;number&gt;7531&lt;/number&gt;&lt;dates&gt;&lt;year&gt;2005&lt;/year&gt;&lt;/dates&gt;&lt;isbn&gt;0959-8138&lt;/isbn&gt;&lt;urls&gt;&lt;/urls&gt;&lt;/record&gt;&lt;/Cite&gt;&lt;/EndNote&gt;</w:instrText>
      </w:r>
      <w:r w:rsidRPr="004C78D8">
        <w:fldChar w:fldCharType="separate"/>
      </w:r>
      <w:r w:rsidR="00C630FC" w:rsidRPr="004C78D8">
        <w:rPr>
          <w:noProof/>
        </w:rPr>
        <w:t>[317]</w:t>
      </w:r>
      <w:r w:rsidRPr="004C78D8">
        <w:fldChar w:fldCharType="end"/>
      </w:r>
      <w:r w:rsidRPr="004C78D8">
        <w:t>. The main implication is that evaluations from the societal perspective should rigorously plan equity analyses, engaging with stakeholders to understand equity-related priorities.</w:t>
      </w:r>
    </w:p>
    <w:p w14:paraId="6198EADC" w14:textId="1D731730" w:rsidR="00BC6069" w:rsidRPr="004C78D8" w:rsidRDefault="00BC6069" w:rsidP="00FB7C1F">
      <w:r w:rsidRPr="004C78D8">
        <w:t xml:space="preserve">Second, there is a close overlap between considerations of heterogeneous intervention need (challenge 2) and severity-based equity issues </w:t>
      </w:r>
      <w:r w:rsidRPr="004C78D8">
        <w:fldChar w:fldCharType="begin">
          <w:fldData xml:space="preserve">PEVuZE5vdGU+PENpdGU+PEF1dGhvcj5FbGRyaWRnZTwvQXV0aG9yPjxZZWFyPjIwMDU8L1llYXI+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</w:fldData>
        </w:fldChar>
      </w:r>
      <w:r w:rsidR="00C630FC" w:rsidRPr="004C78D8">
        <w:instrText xml:space="preserve"> ADDIN EN.CITE </w:instrText>
      </w:r>
      <w:r w:rsidR="00C630FC" w:rsidRPr="004C78D8">
        <w:fldChar w:fldCharType="begin">
          <w:fldData xml:space="preserve">PEVuZE5vdGU+PENpdGU+PEF1dGhvcj5FbGRyaWRnZTwvQXV0aG9yPjxZZWFyPjIwMDU8L1llYXI+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[44, 274, 318]</w:t>
      </w:r>
      <w:r w:rsidRPr="004C78D8">
        <w:fldChar w:fldCharType="end"/>
      </w:r>
      <w:r w:rsidRPr="004C78D8">
        <w:t xml:space="preserve">. For example, cognitive impairment influences intervention need (as a key falls risk factor </w:t>
      </w:r>
      <w:r w:rsidRPr="004C78D8">
        <w:fldChar w:fldCharType="begin"/>
      </w:r>
      <w:r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Pr="004C78D8">
        <w:fldChar w:fldCharType="separate"/>
      </w:r>
      <w:r w:rsidRPr="004C78D8">
        <w:rPr>
          <w:noProof/>
        </w:rPr>
        <w:t>[13]</w:t>
      </w:r>
      <w:r w:rsidRPr="004C78D8">
        <w:fldChar w:fldCharType="end"/>
      </w:r>
      <w:r w:rsidRPr="004C78D8">
        <w:t xml:space="preserve">) </w:t>
      </w:r>
      <w:r w:rsidR="009F0154" w:rsidRPr="004C78D8">
        <w:t>whilst also serving as a</w:t>
      </w:r>
      <w:r w:rsidRPr="004C78D8">
        <w:t xml:space="preserve"> health severity indicator </w:t>
      </w:r>
      <w:r w:rsidRPr="004C78D8">
        <w:fldChar w:fldCharType="begin"/>
      </w:r>
      <w:r w:rsidR="00513646" w:rsidRPr="004C78D8">
        <w:instrText xml:space="preserve"> ADDIN EN.CITE &lt;EndNote&gt;&lt;Cite&gt;&lt;Author&gt;Foster&lt;/Author&gt;&lt;Year&gt;2019&lt;/Year&gt;&lt;RecNum&gt;274&lt;/RecNum&gt;&lt;DisplayText&gt;[113]&lt;/DisplayText&gt;&lt;record&gt;&lt;rec-number&gt;274&lt;/rec-number&gt;&lt;foreign-keys&gt;&lt;key app="EN" db-id="tdtrdw9aepptzbefsat599syza29sxsd2wsp" timestamp="1611696027"&gt;274&lt;/key&gt;&lt;/foreign-keys&gt;&lt;ref-type name="Journal Article"&gt;17&lt;/ref-type&gt;&lt;contributors&gt;&lt;authors&gt;&lt;author&gt;Foster, C&lt;/author&gt;&lt;author&gt;Reilly, J&lt;/author&gt;&lt;author&gt;Jago, R&lt;/author&gt;&lt;author&gt;Murphy, M&lt;/author&gt;&lt;author&gt;Skelton, D&lt;/author&gt;&lt;author&gt;Cooper, A&lt;/author&gt;&lt;author&gt;Pulsford, A&lt;/author&gt;&lt;author&gt;Pulsford, R&lt;/author&gt;&lt;author&gt;Smith, B&lt;/author&gt;&lt;author&gt;Mutrie, N&lt;/author&gt;&lt;/authors&gt;&lt;/contributors&gt;&lt;titles&gt;&lt;title&gt;UK Chief Medical Officers&amp;apos; Physical Activity Guidelines&lt;/title&gt;&lt;secondary-title&gt;Department of Health and Social Care&lt;/secondary-title&gt;&lt;/titles&gt;&lt;periodical&gt;&lt;full-title&gt;Department of Health and Social Care&lt;/full-title&gt;&lt;/periodical&gt;&lt;dates&gt;&lt;year&gt;2019&lt;/year&gt;&lt;/dates&gt;&lt;urls&gt;&lt;/urls&gt;&lt;/record&gt;&lt;/Cite&gt;&lt;/EndNote&gt;</w:instrText>
      </w:r>
      <w:r w:rsidRPr="004C78D8">
        <w:fldChar w:fldCharType="separate"/>
      </w:r>
      <w:r w:rsidR="00513646" w:rsidRPr="004C78D8">
        <w:rPr>
          <w:noProof/>
        </w:rPr>
        <w:t>[113]</w:t>
      </w:r>
      <w:r w:rsidRPr="004C78D8">
        <w:fldChar w:fldCharType="end"/>
      </w:r>
      <w:r w:rsidRPr="004C78D8">
        <w:t xml:space="preserve">. </w:t>
      </w:r>
      <w:r w:rsidR="009F0154" w:rsidRPr="004C78D8">
        <w:t>This should be considered by a</w:t>
      </w:r>
      <w:r w:rsidRPr="004C78D8">
        <w:t xml:space="preserve">ny model targeting the general community-dwelling older population since it implicitly targets a sizeable cognitively impaired subgroup; e.g., 22% of UK men aged 65-84 have mild cognitive impairment </w:t>
      </w:r>
      <w:r w:rsidRPr="004C78D8">
        <w:fldChar w:fldCharType="begin"/>
      </w:r>
      <w:r w:rsidR="00C630FC" w:rsidRPr="004C78D8">
        <w:instrText xml:space="preserve"> ADDIN EN.CITE &lt;EndNote&gt;&lt;Cite&gt;&lt;Author&gt;Fish&lt;/Author&gt;&lt;Year&gt;2008&lt;/Year&gt;&lt;RecNum&gt;150&lt;/RecNum&gt;&lt;DisplayText&gt;[319]&lt;/DisplayText&gt;&lt;record&gt;&lt;rec-number&gt;150&lt;/rec-number&gt;&lt;foreign-keys&gt;&lt;key app="EN" db-id="tdtrdw9aepptzbefsat599syza29sxsd2wsp" timestamp="1604359150"&gt;150&lt;/key&gt;&lt;/foreign-keys&gt;&lt;ref-type name="Journal Article"&gt;17&lt;/ref-type&gt;&lt;contributors&gt;&lt;authors&gt;&lt;author&gt;Fish, M&lt;/author&gt;&lt;author&gt;Bayer, AJ&lt;/author&gt;&lt;author&gt;Gallacher, JEJ&lt;/author&gt;&lt;author&gt;Bell, T&lt;/author&gt;&lt;author&gt;Pickering, J&lt;/author&gt;&lt;author&gt;Pedro, S&lt;/author&gt;&lt;author&gt;Dunstan, FD&lt;/author&gt;&lt;author&gt;Ben-Shlomo, Y&lt;/author&gt;&lt;author&gt;Ebrahim, S&lt;/author&gt;&lt;/authors&gt;&lt;/contributors&gt;&lt;titles&gt;&lt;title&gt;Prevalence and pattern of cognitive impairment in a community cohort of men in South Wales: methodology and findings from the Caerphilly Prospective Study&lt;/title&gt;&lt;secondary-title&gt;Neuroepidemiology&lt;/secondary-title&gt;&lt;/titles&gt;&lt;periodical&gt;&lt;full-title&gt;Neuroepidemiology&lt;/full-title&gt;&lt;/periodical&gt;&lt;pages&gt;25-33&lt;/pages&gt;&lt;volume&gt;30&lt;/volume&gt;&lt;number&gt;1&lt;/number&gt;&lt;dates&gt;&lt;year&gt;2008&lt;/year&gt;&lt;/dates&gt;&lt;isbn&gt;0251-5350&lt;/isbn&gt;&lt;urls&gt;&lt;/urls&gt;&lt;/record&gt;&lt;/Cite&gt;&lt;/EndNote&gt;</w:instrText>
      </w:r>
      <w:r w:rsidRPr="004C78D8">
        <w:fldChar w:fldCharType="separate"/>
      </w:r>
      <w:r w:rsidR="00C630FC" w:rsidRPr="004C78D8">
        <w:rPr>
          <w:noProof/>
        </w:rPr>
        <w:t>[319]</w:t>
      </w:r>
      <w:r w:rsidRPr="004C78D8">
        <w:fldChar w:fldCharType="end"/>
      </w:r>
      <w:r w:rsidRPr="004C78D8">
        <w:t xml:space="preserve">. </w:t>
      </w:r>
      <w:r w:rsidR="009F0154" w:rsidRPr="004C78D8">
        <w:t xml:space="preserve">A similar consideration is warranted for </w:t>
      </w:r>
      <w:r w:rsidRPr="004C78D8">
        <w:t xml:space="preserve">multivariate frailty: tailored interventions exist that can generate positive health benefits for the frailest </w:t>
      </w:r>
      <w:r w:rsidRPr="004C78D8">
        <w:fldChar w:fldCharType="begin"/>
      </w:r>
      <w:r w:rsidR="00C630FC" w:rsidRPr="004C78D8">
        <w:instrText xml:space="preserve"> ADDIN EN.CITE &lt;EndNote&gt;&lt;Cite&gt;&lt;Author&gt;de Vries&lt;/Author&gt;&lt;Year&gt;2012&lt;/Year&gt;&lt;RecNum&gt;471&lt;/RecNum&gt;&lt;DisplayText&gt;[320]&lt;/DisplayText&gt;&lt;record&gt;&lt;rec-number&gt;471&lt;/rec-number&gt;&lt;foreign-keys&gt;&lt;key app="EN" db-id="tdtrdw9aepptzbefsat599syza29sxsd2wsp" timestamp="1616512525"&gt;471&lt;/key&gt;&lt;/foreign-keys&gt;&lt;ref-type name="Journal Article"&gt;17&lt;/ref-type&gt;&lt;contributors&gt;&lt;authors&gt;&lt;author&gt;de Vries, NM&lt;/author&gt;&lt;author&gt;Van Ravensberg, CD&lt;/author&gt;&lt;author&gt;Hobbelen, JSM&lt;/author&gt;&lt;author&gt;Rikkert, MGM Olde&lt;/author&gt;&lt;author&gt;Staal, JB&lt;/author&gt;&lt;author&gt;Nijhuis-Van Der Sanden, MWG&lt;/author&gt;&lt;/authors&gt;&lt;/contributors&gt;&lt;titles&gt;&lt;title&gt;Effects of physical exercise therapy on mobility, physical functioning, physical activity and quality of life in community-dwelling older adults with impaired mobility, physical disability and/or multi-morbidity: a meta-analysis&lt;/title&gt;&lt;secondary-title&gt;Ageing research reviews&lt;/secondary-title&gt;&lt;/titles&gt;&lt;periodical&gt;&lt;full-title&gt;Ageing research reviews&lt;/full-title&gt;&lt;/periodical&gt;&lt;pages&gt;136-149&lt;/pages&gt;&lt;volume&gt;11&lt;/volume&gt;&lt;number&gt;1&lt;/number&gt;&lt;dates&gt;&lt;year&gt;2012&lt;/year&gt;&lt;/dates&gt;&lt;isbn&gt;1568-1637&lt;/isbn&gt;&lt;urls&gt;&lt;/urls&gt;&lt;/record&gt;&lt;/Cite&gt;&lt;/EndNote&gt;</w:instrText>
      </w:r>
      <w:r w:rsidRPr="004C78D8">
        <w:fldChar w:fldCharType="separate"/>
      </w:r>
      <w:r w:rsidR="00C630FC" w:rsidRPr="004C78D8">
        <w:rPr>
          <w:noProof/>
        </w:rPr>
        <w:t>[320]</w:t>
      </w:r>
      <w:r w:rsidRPr="004C78D8">
        <w:fldChar w:fldCharType="end"/>
      </w:r>
      <w:r w:rsidRPr="004C78D8">
        <w:t xml:space="preserve">; yet their outcomes are likely markedly worse than those of the less frail subgroups, as shown in one trial-based economic evaluation of multifactorial intervention </w:t>
      </w:r>
      <w:r w:rsidRPr="004C78D8">
        <w:fldChar w:fldCharType="begin"/>
      </w:r>
      <w:r w:rsidR="00C630FC" w:rsidRPr="004C78D8">
        <w:instrText xml:space="preserve"> ADDIN EN.CITE &lt;EndNote&gt;&lt;Cite&gt;&lt;Author&gt;Matchar&lt;/Author&gt;&lt;Year&gt;2019&lt;/Year&gt;&lt;RecNum&gt;672&lt;/RecNum&gt;&lt;DisplayText&gt;[253]&lt;/DisplayText&gt;&lt;record&gt;&lt;rec-number&gt;672&lt;/rec-number&gt;&lt;foreign-keys&gt;&lt;key app="EN" db-id="tdtrdw9aepptzbefsat599syza29sxsd2wsp" timestamp="1627497588"&gt;672&lt;/key&gt;&lt;/foreign-keys&gt;&lt;ref-type name="Journal Article"&gt;17&lt;/ref-type&gt;&lt;contributors&gt;&lt;authors&gt;&lt;author&gt;Matchar, David B&lt;/author&gt;&lt;author&gt;Eom, Kirsten&lt;/author&gt;&lt;author&gt;Duncan, Pamela W&lt;/author&gt;&lt;author&gt;Lee, Mina&lt;/author&gt;&lt;author&gt;Sim, Rita&lt;/author&gt;&lt;author&gt;Sivapragasam, Nirmali R&lt;/author&gt;&lt;author&gt;Lien, Christopher T&lt;/author&gt;&lt;author&gt;Ong, Marcus Eng Hock&lt;/author&gt;&lt;/authors&gt;&lt;/contributors&gt;&lt;titles&gt;&lt;title&gt;A cost-effectiveness analysis of a randomized control trial of a tailored, multifactorial program to prevent falls among the community-dwelling elderly&lt;/title&gt;&lt;secondary-title&gt;Archives of physical medicine and rehabilitation&lt;/secondary-title&gt;&lt;/titles&gt;&lt;periodical&gt;&lt;full-title&gt;Archives of physical medicine and rehabilitation&lt;/full-title&gt;&lt;/periodical&gt;&lt;pages&gt;1-8&lt;/pages&gt;&lt;volume&gt;100&lt;/volume&gt;&lt;number&gt;1&lt;/number&gt;&lt;dates&gt;&lt;year&gt;2019&lt;/year&gt;&lt;/dates&gt;&lt;isbn&gt;0003-9993&lt;/isbn&gt;&lt;urls&gt;&lt;/urls&gt;&lt;/record&gt;&lt;/Cite&gt;&lt;/EndNote&gt;</w:instrText>
      </w:r>
      <w:r w:rsidRPr="004C78D8">
        <w:fldChar w:fldCharType="separate"/>
      </w:r>
      <w:r w:rsidR="00C630FC" w:rsidRPr="004C78D8">
        <w:rPr>
          <w:noProof/>
        </w:rPr>
        <w:t>[253]</w:t>
      </w:r>
      <w:r w:rsidRPr="004C78D8">
        <w:fldChar w:fldCharType="end"/>
      </w:r>
      <w:r w:rsidRPr="004C78D8">
        <w:t xml:space="preserve">. Therefore, decision-makers aiming to implement an intervention programme benefitting the frailest should articulate their severity-based priorities beyond cost-effectiveness </w:t>
      </w:r>
      <w:r w:rsidRPr="004C78D8">
        <w:fldChar w:fldCharType="begin"/>
      </w:r>
      <w:r w:rsidR="00513646" w:rsidRPr="004C78D8">
        <w:instrText xml:space="preserve"> ADDIN EN.CITE &lt;EndNote&gt;&lt;Cite&gt;&lt;Author&gt;Norheim&lt;/Author&gt;&lt;Year&gt;2014&lt;/Year&gt;&lt;RecNum&gt;4&lt;/RecNum&gt;&lt;DisplayText&gt;[71]&lt;/DisplayText&gt;&lt;record&gt;&lt;rec-number&gt;4&lt;/rec-number&gt;&lt;foreign-keys&gt;&lt;key app="EN" db-id="tdtrdw9aepptzbefsat599syza29sxsd2wsp" timestamp="1596571466"&gt;4&lt;/key&gt;&lt;/foreign-keys&gt;&lt;ref-type name="Journal Article"&gt;17&lt;/ref-type&gt;&lt;contributors&gt;&lt;authors&gt;&lt;author&gt;Norheim, Ole F&lt;/author&gt;&lt;author&gt;Baltussen, Rob&lt;/author&gt;&lt;author&gt;Johri, Mira&lt;/author&gt;&lt;author&gt;Chisholm, Dan&lt;/author&gt;&lt;author&gt;Nord, Erik&lt;/author&gt;&lt;author&gt;Brock, DanW&lt;/author&gt;&lt;author&gt;Carlsson, Per&lt;/author&gt;&lt;author&gt;Cookson, Richard&lt;/author&gt;&lt;author&gt;Daniels, Norman&lt;/author&gt;&lt;author&gt;Danis, Marion&lt;/author&gt;&lt;/authors&gt;&lt;/contributors&gt;&lt;titles&gt;&lt;title&gt;Guidance on priority setting in health care (GPS-Health): the inclusion of equity criteria not captured by cost-effectiveness analysis&lt;/title&gt;&lt;secondary-title&gt;Cost Effectiveness and Resource Allocation&lt;/secondary-title&gt;&lt;/titles&gt;&lt;periodical&gt;&lt;full-title&gt;Cost Effectiveness and Resource Allocation&lt;/full-title&gt;&lt;/periodical&gt;&lt;pages&gt;18&lt;/pages&gt;&lt;volume&gt;12&lt;/volume&gt;&lt;number&gt;1&lt;/number&gt;&lt;dates&gt;&lt;year&gt;2014&lt;/year&gt;&lt;/dates&gt;&lt;isbn&gt;1478-7547&lt;/isbn&gt;&lt;urls&gt;&lt;/urls&gt;&lt;/record&gt;&lt;/Cite&gt;&lt;/EndNote&gt;</w:instrText>
      </w:r>
      <w:r w:rsidRPr="004C78D8">
        <w:fldChar w:fldCharType="separate"/>
      </w:r>
      <w:r w:rsidR="00513646" w:rsidRPr="004C78D8">
        <w:rPr>
          <w:noProof/>
        </w:rPr>
        <w:t>[71]</w:t>
      </w:r>
      <w:r w:rsidRPr="004C78D8">
        <w:fldChar w:fldCharType="end"/>
      </w:r>
      <w:r w:rsidRPr="004C78D8">
        <w:t>.</w:t>
      </w:r>
    </w:p>
    <w:p w14:paraId="4276E0F3" w14:textId="696F50F7" w:rsidR="00BC6069" w:rsidRPr="004C78D8" w:rsidRDefault="00BC6069" w:rsidP="00FB7C1F">
      <w:r w:rsidRPr="004C78D8">
        <w:t xml:space="preserve">Third, geriatric health behaviour and intervention participation (challenge 3) are strongly influenced by social status and culture </w:t>
      </w:r>
      <w:r w:rsidRPr="004C78D8">
        <w:fldChar w:fldCharType="begin"/>
      </w:r>
      <w:r w:rsidR="00C630FC" w:rsidRPr="004C78D8">
        <w:instrText xml:space="preserve"> ADDIN EN.CITE &lt;EndNote&gt;&lt;Cite&gt;&lt;Author&gt;McMunn&lt;/Author&gt;&lt;Year&gt;2009&lt;/Year&gt;&lt;RecNum&gt;675&lt;/RecNum&gt;&lt;DisplayText&gt;[321]&lt;/DisplayText&gt;&lt;record&gt;&lt;rec-number&gt;675&lt;/rec-number&gt;&lt;foreign-keys&gt;&lt;key app="EN" db-id="tdtrdw9aepptzbefsat599syza29sxsd2wsp" timestamp="1627559854"&gt;675&lt;/key&gt;&lt;/foreign-keys&gt;&lt;ref-type name="Book Section"&gt;5&lt;/ref-type&gt;&lt;contributors&gt;&lt;authors&gt;&lt;author&gt;McMunn, Anne&lt;/author&gt;&lt;author&gt;Breeze, Elizabeth&lt;/author&gt;&lt;author&gt;Goodman, Alissa&lt;/author&gt;&lt;author&gt;Nazroo, James&lt;/author&gt;&lt;author&gt;Oldfield, Zoe&lt;/author&gt;&lt;/authors&gt;&lt;secondary-authors&gt;&lt;author&gt;Marmot, M&lt;/author&gt;&lt;author&gt;Wilkinson, R&lt;/author&gt;&lt;/secondary-authors&gt;&lt;/contributors&gt;&lt;titles&gt;&lt;title&gt;Social determinants of health in older age&lt;/title&gt;&lt;secondary-title&gt;Social Determinants of Health&lt;/secondary-title&gt;&lt;/titles&gt;&lt;periodical&gt;&lt;full-title&gt;Social determinants of health&lt;/full-title&gt;&lt;/periodical&gt;&lt;volume&gt;2&lt;/volume&gt;&lt;section&gt;13&lt;/section&gt;&lt;dates&gt;&lt;year&gt;2009&lt;/year&gt;&lt;/dates&gt;&lt;pub-location&gt;Oxford Scholarship Online&lt;/pub-location&gt;&lt;urls&gt;&lt;/urls&gt;&lt;electronic-resource-num&gt;DOI:10.1093/acprof:oso/9780198565895.003.13&lt;/electronic-resource-num&gt;&lt;/record&gt;&lt;/Cite&gt;&lt;/EndNote&gt;</w:instrText>
      </w:r>
      <w:r w:rsidRPr="004C78D8">
        <w:fldChar w:fldCharType="separate"/>
      </w:r>
      <w:r w:rsidR="00C630FC" w:rsidRPr="004C78D8">
        <w:rPr>
          <w:noProof/>
        </w:rPr>
        <w:t>[321]</w:t>
      </w:r>
      <w:r w:rsidRPr="004C78D8">
        <w:fldChar w:fldCharType="end"/>
      </w:r>
      <w:r w:rsidRPr="004C78D8">
        <w:t xml:space="preserve"> and health severity </w:t>
      </w:r>
      <w:r w:rsidRPr="004C78D8">
        <w:fldChar w:fldCharType="begin"/>
      </w:r>
      <w:r w:rsidR="00C630FC" w:rsidRPr="004C78D8">
        <w:instrText xml:space="preserve"> ADDIN EN.CITE &lt;EndNote&gt;&lt;Cite&gt;&lt;Author&gt;Schüz&lt;/Author&gt;&lt;Year&gt;2014&lt;/Year&gt;&lt;RecNum&gt;584&lt;/RecNum&gt;&lt;DisplayText&gt;[189, 202]&lt;/DisplayText&gt;&lt;record&gt;&lt;rec-number&gt;584&lt;/rec-number&gt;&lt;foreign-keys&gt;&lt;key app="EN" db-id="tdtrdw9aepptzbefsat599syza29sxsd2wsp" timestamp="1620770288"&gt;584&lt;/key&gt;&lt;/foreign-keys&gt;&lt;ref-type name="Journal Article"&gt;17&lt;/ref-type&gt;&lt;contributors&gt;&lt;authors&gt;&lt;author&gt;Schüz, Benjamin&lt;/author&gt;&lt;author&gt;Wurm, Susanne&lt;/author&gt;&lt;author&gt;Warner, Lisa M&lt;/author&gt;&lt;author&gt;Wolff, Julia K&lt;/author&gt;&lt;author&gt;Schwarzer, Ralf&lt;/author&gt;&lt;/authors&gt;&lt;/contributors&gt;&lt;titles&gt;&lt;title&gt;Health motives and health behaviour self-regulation in older adults&lt;/title&gt;&lt;secondary-title&gt;Journal of behavioral medicine&lt;/secondary-title&gt;&lt;/titles&gt;&lt;periodical&gt;&lt;full-title&gt;Journal of behavioral medicine&lt;/full-title&gt;&lt;/periodical&gt;&lt;pages&gt;491-500&lt;/pages&gt;&lt;volume&gt;37&lt;/volume&gt;&lt;number&gt;3&lt;/number&gt;&lt;dates&gt;&lt;year&gt;2014&lt;/year&gt;&lt;/dates&gt;&lt;isbn&gt;0160-7715&lt;/isbn&gt;&lt;urls&gt;&lt;/urls&gt;&lt;/record&gt;&lt;/Cite&gt;&lt;Cite&gt;&lt;Author&gt;Dickinson&lt;/Author&gt;&lt;Year&gt;2011&lt;/Year&gt;&lt;RecNum&gt;270&lt;/RecNum&gt;&lt;record&gt;&lt;rec-number&gt;270&lt;/rec-number&gt;&lt;foreign-keys&gt;&lt;key app="EN" db-id="tdtrdw9aepptzbefsat599syza29sxsd2wsp" timestamp="1611692937"&gt;270&lt;/key&gt;&lt;/foreign-keys&gt;&lt;ref-type name="Journal Article"&gt;17&lt;/ref-type&gt;&lt;contributors&gt;&lt;authors&gt;&lt;author&gt;Dickinson, Angela&lt;/author&gt;&lt;author&gt;Horton, Khim&lt;/author&gt;&lt;author&gt;Machen, Ina&lt;/author&gt;&lt;author&gt;Bunn, Frances&lt;/author&gt;&lt;author&gt;Cove, Jenny&lt;/author&gt;&lt;author&gt;Jain, Deepak&lt;/author&gt;&lt;author&gt;Maddex, Ted&lt;/author&gt;&lt;/authors&gt;&lt;/contributors&gt;&lt;titles&gt;&lt;title&gt;The role of health professionals in promoting the uptake of fall prevention interventions: a qualitative study of older people&amp;apos;s views&lt;/title&gt;&lt;secondary-title&gt;Age and ageing&lt;/secondary-title&gt;&lt;/titles&gt;&lt;periodical&gt;&lt;full-title&gt;Age and ageing&lt;/full-title&gt;&lt;/periodical&gt;&lt;pages&gt;724-730&lt;/pages&gt;&lt;volume&gt;40&lt;/volume&gt;&lt;number&gt;6&lt;/number&gt;&lt;dates&gt;&lt;year&gt;2011&lt;/year&gt;&lt;/dates&gt;&lt;isbn&gt;1468-2834&lt;/isbn&gt;&lt;urls&gt;&lt;/urls&gt;&lt;/record&gt;&lt;/Cite&gt;&lt;/EndNote&gt;</w:instrText>
      </w:r>
      <w:r w:rsidRPr="004C78D8">
        <w:fldChar w:fldCharType="separate"/>
      </w:r>
      <w:r w:rsidR="00C630FC" w:rsidRPr="004C78D8">
        <w:rPr>
          <w:noProof/>
        </w:rPr>
        <w:t>[189, 202]</w:t>
      </w:r>
      <w:r w:rsidRPr="004C78D8">
        <w:fldChar w:fldCharType="end"/>
      </w:r>
      <w:r w:rsidRPr="004C78D8">
        <w:t>. Complex interventions such as proactive multifactorial intervention may face greater implementation challenges (e.g., routine risk screening, multidisciplinary team</w:t>
      </w:r>
      <w:r w:rsidR="002A67C0" w:rsidRPr="004C78D8">
        <w:t>work</w:t>
      </w:r>
      <w:r w:rsidRPr="004C78D8">
        <w:t xml:space="preserve">) but better reach vulnerable groups who are less likely to self-refer to </w:t>
      </w:r>
      <w:r w:rsidRPr="004C78D8">
        <w:lastRenderedPageBreak/>
        <w:t xml:space="preserve">voluntary programmes </w:t>
      </w:r>
      <w:r w:rsidRPr="004C78D8">
        <w:fldChar w:fldCharType="begin"/>
      </w:r>
      <w:r w:rsidR="00C630FC" w:rsidRPr="004C78D8">
        <w:instrText xml:space="preserve"> ADDIN EN.CITE &lt;EndNote&gt;&lt;Cite&gt;&lt;Author&gt;Day&lt;/Author&gt;&lt;Year&gt;2013&lt;/Year&gt;&lt;RecNum&gt;364&lt;/RecNum&gt;&lt;DisplayText&gt;[179]&lt;/DisplayText&gt;&lt;record&gt;&lt;rec-number&gt;364&lt;/rec-number&gt;&lt;foreign-keys&gt;&lt;key app="EN" db-id="tdtrdw9aepptzbefsat599syza29sxsd2wsp" timestamp="1612268573"&gt;364&lt;/key&gt;&lt;/foreign-keys&gt;&lt;ref-type name="Journal Article"&gt;17&lt;/ref-type&gt;&lt;contributors&gt;&lt;authors&gt;&lt;author&gt;Day, Lesley M&lt;/author&gt;&lt;/authors&gt;&lt;/contributors&gt;&lt;titles&gt;&lt;title&gt;Fall prevention programs for community‐dwelling older people should primarily target a multifactorial intervention rather than exercise as a single intervention&lt;/title&gt;&lt;secondary-title&gt;Journal of the American Geriatrics Society&lt;/secondary-title&gt;&lt;/titles&gt;&lt;periodical&gt;&lt;full-title&gt;Journal of the American Geriatrics Society&lt;/full-title&gt;&lt;/periodical&gt;&lt;pages&gt;284-285&lt;/pages&gt;&lt;volume&gt;61&lt;/volume&gt;&lt;number&gt;2&lt;/number&gt;&lt;dates&gt;&lt;year&gt;2013&lt;/year&gt;&lt;/dates&gt;&lt;isbn&gt;0002-8614&lt;/isbn&gt;&lt;urls&gt;&lt;/urls&gt;&lt;/record&gt;&lt;/Cite&gt;&lt;/EndNote&gt;</w:instrText>
      </w:r>
      <w:r w:rsidRPr="004C78D8">
        <w:fldChar w:fldCharType="separate"/>
      </w:r>
      <w:r w:rsidR="00C630FC" w:rsidRPr="004C78D8">
        <w:rPr>
          <w:noProof/>
        </w:rPr>
        <w:t>[179]</w:t>
      </w:r>
      <w:r w:rsidRPr="004C78D8">
        <w:fldChar w:fldCharType="end"/>
      </w:r>
      <w:r w:rsidRPr="004C78D8">
        <w:t xml:space="preserve">. The consideration of aggregate outcomes in VoIM magnifies the priority setting challenges: vulnerable subgroups forming a minority would likely generate lower aggregate benefits from implementation improvements than the less vulnerable majority (even if the former’s </w:t>
      </w:r>
      <w:r w:rsidR="002A67C0" w:rsidRPr="004C78D8">
        <w:t xml:space="preserve">ICER </w:t>
      </w:r>
      <w:r w:rsidRPr="004C78D8">
        <w:t xml:space="preserve">is more favourable). Conduct of VoIM therefore warrants equity analyses, consulting stakeholders </w:t>
      </w:r>
      <w:r w:rsidR="002A67C0" w:rsidRPr="004C78D8">
        <w:t xml:space="preserve">and data </w:t>
      </w:r>
      <w:r w:rsidRPr="004C78D8">
        <w:t>on the likely subgroup-specific impacts of local implementation strategies.</w:t>
      </w:r>
    </w:p>
    <w:p w14:paraId="5D7E31F1" w14:textId="6FBBCCBE" w:rsidR="00847697" w:rsidRPr="004C78D8" w:rsidRDefault="00847697" w:rsidP="00FB7C1F">
      <w:pPr>
        <w:pStyle w:val="Heading3"/>
      </w:pPr>
      <w:bookmarkStart w:id="98" w:name="_Toc111630743"/>
      <w:r w:rsidRPr="004C78D8">
        <w:t>3.8.</w:t>
      </w:r>
      <w:r w:rsidR="00BC6069" w:rsidRPr="004C78D8">
        <w:t>3</w:t>
      </w:r>
      <w:r w:rsidRPr="004C78D8">
        <w:t xml:space="preserve"> Relevance to further geriatric public health challenges</w:t>
      </w:r>
      <w:bookmarkEnd w:id="98"/>
    </w:p>
    <w:p w14:paraId="14B04B0F" w14:textId="59782312" w:rsidR="005F1EC2" w:rsidRPr="004C78D8" w:rsidRDefault="00C50088" w:rsidP="00FB7C1F">
      <w:r w:rsidRPr="004C78D8">
        <w:t xml:space="preserve">The conceptualisation process in this chapter holds relevance </w:t>
      </w:r>
      <w:r w:rsidR="00F434AD" w:rsidRPr="004C78D8">
        <w:t>to</w:t>
      </w:r>
      <w:r w:rsidRPr="004C78D8">
        <w:t xml:space="preserve"> </w:t>
      </w:r>
      <w:r w:rsidR="00E37333" w:rsidRPr="004C78D8">
        <w:t xml:space="preserve">public health </w:t>
      </w:r>
      <w:r w:rsidRPr="004C78D8">
        <w:t xml:space="preserve">fields broader than community-based falls prevention </w:t>
      </w:r>
      <w:r w:rsidRPr="004C78D8">
        <w:fldChar w:fldCharType="begin"/>
      </w:r>
      <w:r w:rsidR="00720CEE">
        <w:instrText xml:space="preserve"> ADDIN EN.CITE &lt;EndNote&gt;&lt;Cite&gt;&lt;Author&gt;Squires&lt;/Author&gt;&lt;Year&gt;2016&lt;/Year&gt;&lt;RecNum&gt;158&lt;/RecNum&gt;&lt;DisplayText&gt;[1, 18]&lt;/DisplayText&gt;&lt;record&gt;&lt;rec-number&gt;158&lt;/rec-number&gt;&lt;foreign-keys&gt;&lt;key app="EN" db-id="tdtrdw9aepptzbefsat599syza29sxsd2wsp" timestamp="1609254669"&gt;158&lt;/key&gt;&lt;/foreign-keys&gt;&lt;ref-type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framework for developing the structure of public health economic models&lt;/title&gt;&lt;secondary-title&gt;Value in Health&lt;/secondary-title&gt;&lt;/titles&gt;&lt;periodical&gt;&lt;full-title&gt;Value in Health&lt;/full-title&gt;&lt;/periodical&gt;&lt;pages&gt;588-601&lt;/pages&gt;&lt;volume&gt;19&lt;/volume&gt;&lt;number&gt;5&lt;/number&gt;&lt;dates&gt;&lt;year&gt;2016&lt;/year&gt;&lt;/dates&gt;&lt;isbn&gt;1098-3015&lt;/isbn&gt;&lt;urls&gt;&lt;/urls&gt;&lt;research-notes&gt;1&lt;/research-notes&gt;&lt;/record&gt;&lt;/Cite&gt;&lt;Cite&gt;&lt;Author&gt;Squires&lt;/Author&gt;&lt;Year&gt;2016&lt;/Year&gt;&lt;RecNum&gt;308&lt;/RecNum&gt;&lt;record&gt;&lt;rec-number&gt;308&lt;/rec-number&gt;&lt;foreign-keys&gt;&lt;key app="EN" db-id="tdtrdw9aepptzbefsat599syza29sxsd2wsp" timestamp="1612015645"&gt;308&lt;/key&gt;&lt;/foreign-keys&gt;&lt;ref-type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systematic literature review of the key challenges for developing the structure of public health economic models&lt;/title&gt;&lt;secondary-title&gt;International journal of public health&lt;/secondary-title&gt;&lt;/titles&gt;&lt;periodical&gt;&lt;full-title&gt;International journal of public health&lt;/full-title&gt;&lt;/periodical&gt;&lt;pages&gt;289-298&lt;/pages&gt;&lt;volume&gt;61&lt;/volume&gt;&lt;number&gt;3&lt;/number&gt;&lt;dates&gt;&lt;year&gt;2016&lt;/year&gt;&lt;/dates&gt;&lt;isbn&gt;1661-8556&lt;/isbn&gt;&lt;urls&gt;&lt;/urls&gt;&lt;/record&gt;&lt;/Cite&gt;&lt;/EndNote&gt;</w:instrText>
      </w:r>
      <w:r w:rsidRPr="004C78D8">
        <w:fldChar w:fldCharType="separate"/>
      </w:r>
      <w:r w:rsidR="00720CEE">
        <w:rPr>
          <w:noProof/>
        </w:rPr>
        <w:t>[1, 18]</w:t>
      </w:r>
      <w:r w:rsidRPr="004C78D8">
        <w:fldChar w:fldCharType="end"/>
      </w:r>
      <w:r w:rsidRPr="004C78D8">
        <w:t xml:space="preserve">. </w:t>
      </w:r>
      <w:r w:rsidR="00E37333" w:rsidRPr="004C78D8">
        <w:t xml:space="preserve"> Indeed, p</w:t>
      </w:r>
      <w:r w:rsidR="00DF100B" w:rsidRPr="004C78D8">
        <w:t xml:space="preserve">ublic health issues and interventions frequently affect non-health outcomes and expend resources outside the public healthcare system </w:t>
      </w:r>
      <w:r w:rsidR="00DF100B" w:rsidRPr="004C78D8">
        <w:fldChar w:fldCharType="begin">
          <w:fldData xml:space="preserve">PEVuZE5vdGU+PENpdGU+PEF1dGhvcj5TcXVpcmVzPC9BdXRob3I+PFllYXI+MjAxNjwvWWVhcj48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</w:fldData>
        </w:fldChar>
      </w:r>
      <w:r w:rsidR="00720CEE">
        <w:instrText xml:space="preserve"> ADDIN EN.CITE </w:instrText>
      </w:r>
      <w:r w:rsidR="00720CEE">
        <w:fldChar w:fldCharType="begin">
          <w:fldData xml:space="preserve">PEVuZE5vdGU+PENpdGU+PEF1dGhvcj5TcXVpcmVzPC9BdXRob3I+PFllYXI+MjAxNjwvWWVhcj48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</w:fldData>
        </w:fldChar>
      </w:r>
      <w:r w:rsidR="00720CEE">
        <w:instrText xml:space="preserve"> ADDIN EN.CITE.DATA </w:instrText>
      </w:r>
      <w:r w:rsidR="00720CEE">
        <w:fldChar w:fldCharType="end"/>
      </w:r>
      <w:r w:rsidR="00DF100B" w:rsidRPr="004C78D8">
        <w:fldChar w:fldCharType="separate"/>
      </w:r>
      <w:r w:rsidR="00720CEE">
        <w:rPr>
          <w:noProof/>
        </w:rPr>
        <w:t>[18, 71, 83, 105, 159]</w:t>
      </w:r>
      <w:r w:rsidR="00DF100B" w:rsidRPr="004C78D8">
        <w:fldChar w:fldCharType="end"/>
      </w:r>
      <w:r w:rsidR="00A7612C" w:rsidRPr="004C78D8">
        <w:t xml:space="preserve">; these are particularly relevant to older populations </w:t>
      </w:r>
      <w:r w:rsidR="00150C46" w:rsidRPr="004C78D8">
        <w:t xml:space="preserve">who rely increasingly less on physical health to derive their overall capability </w:t>
      </w:r>
      <w:r w:rsidR="00150C46" w:rsidRPr="004C78D8">
        <w:fldChar w:fldCharType="begin"/>
      </w:r>
      <w:r w:rsidR="00150C46" w:rsidRPr="004C78D8">
        <w:instrText xml:space="preserve"> ADDIN EN.CITE &lt;EndNote&gt;&lt;Cite&gt;&lt;Author&gt;World Health Organization&lt;/Author&gt;&lt;Year&gt;2015&lt;/Year&gt;&lt;RecNum&gt;1&lt;/RecNum&gt;&lt;DisplayText&gt;[2]&lt;/DisplayText&gt;&lt;record&gt;&lt;rec-number&gt;1&lt;/rec-number&gt;&lt;foreign-keys&gt;&lt;key app="EN" db-id="tdtrdw9aepptzbefsat599syza29sxsd2wsp" timestamp="1596571129"&gt;1&lt;/key&gt;&lt;/foreign-keys&gt;&lt;ref-type name="Book"&gt;6&lt;/ref-type&gt;&lt;contributors&gt;&lt;authors&gt;&lt;author&gt;World Health Organization,&lt;/author&gt;&lt;/authors&gt;&lt;/contributors&gt;&lt;titles&gt;&lt;title&gt;World Report on Ageing and Health&lt;/title&gt;&lt;/titles&gt;&lt;dates&gt;&lt;year&gt;2015&lt;/year&gt;&lt;/dates&gt;&lt;publisher&gt;World Health Organization&lt;/publisher&gt;&lt;isbn&gt;9241565047&lt;/isbn&gt;&lt;urls&gt;&lt;/urls&gt;&lt;/record&gt;&lt;/Cite&gt;&lt;/EndNote&gt;</w:instrText>
      </w:r>
      <w:r w:rsidR="00150C46" w:rsidRPr="004C78D8">
        <w:fldChar w:fldCharType="separate"/>
      </w:r>
      <w:r w:rsidR="00150C46" w:rsidRPr="004C78D8">
        <w:rPr>
          <w:noProof/>
        </w:rPr>
        <w:t>[2]</w:t>
      </w:r>
      <w:r w:rsidR="00150C46" w:rsidRPr="004C78D8">
        <w:fldChar w:fldCharType="end"/>
      </w:r>
      <w:r w:rsidR="00150C46" w:rsidRPr="004C78D8">
        <w:t xml:space="preserve">. </w:t>
      </w:r>
      <w:r w:rsidR="00E17334" w:rsidRPr="004C78D8">
        <w:t>The ageing process encompasses multidimensional changes in physical and psychosocial domains</w:t>
      </w:r>
      <w:r w:rsidR="00E37333" w:rsidRPr="004C78D8">
        <w:t xml:space="preserve"> </w:t>
      </w:r>
      <w:r w:rsidR="00E17334" w:rsidRPr="004C78D8">
        <w:fldChar w:fldCharType="begin"/>
      </w:r>
      <w:r w:rsidR="00E17334" w:rsidRPr="004C78D8">
        <w:instrText xml:space="preserve"> ADDIN EN.CITE &lt;EndNote&gt;&lt;Cite&gt;&lt;Author&gt;World Health Organization&lt;/Author&gt;&lt;Year&gt;2015&lt;/Year&gt;&lt;RecNum&gt;1&lt;/RecNum&gt;&lt;DisplayText&gt;[2]&lt;/DisplayText&gt;&lt;record&gt;&lt;rec-number&gt;1&lt;/rec-number&gt;&lt;foreign-keys&gt;&lt;key app="EN" db-id="tdtrdw9aepptzbefsat599syza29sxsd2wsp" timestamp="1596571129"&gt;1&lt;/key&gt;&lt;/foreign-keys&gt;&lt;ref-type name="Book"&gt;6&lt;/ref-type&gt;&lt;contributors&gt;&lt;authors&gt;&lt;author&gt;World Health Organization,&lt;/author&gt;&lt;/authors&gt;&lt;/contributors&gt;&lt;titles&gt;&lt;title&gt;World Report on Ageing and Health&lt;/title&gt;&lt;/titles&gt;&lt;dates&gt;&lt;year&gt;2015&lt;/year&gt;&lt;/dates&gt;&lt;publisher&gt;World Health Organization&lt;/publisher&gt;&lt;isbn&gt;9241565047&lt;/isbn&gt;&lt;urls&gt;&lt;/urls&gt;&lt;/record&gt;&lt;/Cite&gt;&lt;/EndNote&gt;</w:instrText>
      </w:r>
      <w:r w:rsidR="00E17334" w:rsidRPr="004C78D8">
        <w:fldChar w:fldCharType="separate"/>
      </w:r>
      <w:r w:rsidR="00E17334" w:rsidRPr="004C78D8">
        <w:rPr>
          <w:noProof/>
        </w:rPr>
        <w:t>[2]</w:t>
      </w:r>
      <w:r w:rsidR="00E17334" w:rsidRPr="004C78D8">
        <w:fldChar w:fldCharType="end"/>
      </w:r>
      <w:r w:rsidR="00E37333" w:rsidRPr="004C78D8">
        <w:t>;</w:t>
      </w:r>
      <w:r w:rsidR="0024510D" w:rsidRPr="004C78D8">
        <w:t xml:space="preserve"> </w:t>
      </w:r>
      <w:r w:rsidR="00E37333" w:rsidRPr="004C78D8">
        <w:t>th</w:t>
      </w:r>
      <w:r w:rsidR="00150C46" w:rsidRPr="004C78D8">
        <w:t xml:space="preserve">e </w:t>
      </w:r>
      <w:r w:rsidR="008235B7" w:rsidRPr="004C78D8">
        <w:t xml:space="preserve">resulting </w:t>
      </w:r>
      <w:r w:rsidR="00E37333" w:rsidRPr="004C78D8">
        <w:t>g</w:t>
      </w:r>
      <w:r w:rsidR="0024510D" w:rsidRPr="004C78D8">
        <w:t xml:space="preserve">eriatric syndromes </w:t>
      </w:r>
      <w:r w:rsidR="00E37333" w:rsidRPr="004C78D8">
        <w:t xml:space="preserve">thus </w:t>
      </w:r>
      <w:r w:rsidR="0024510D" w:rsidRPr="004C78D8">
        <w:t xml:space="preserve">have multifactorial risk profiles </w:t>
      </w:r>
      <w:r w:rsidR="00E37333" w:rsidRPr="004C78D8">
        <w:t xml:space="preserve">and give rise to high heterogeneity and dynamic complexity </w:t>
      </w:r>
      <w:r w:rsidR="00E37333" w:rsidRPr="004C78D8">
        <w:fldChar w:fldCharType="begin"/>
      </w:r>
      <w:r w:rsidR="00513646" w:rsidRPr="004C78D8">
        <w:instrText xml:space="preserve"> ADDIN EN.CITE &lt;EndNote&gt;&lt;Cite&gt;&lt;Author&gt;Inouye&lt;/Author&gt;&lt;Year&gt;2007&lt;/Year&gt;&lt;RecNum&gt;160&lt;/RecNum&gt;&lt;DisplayText&gt;[19]&lt;/DisplayText&gt;&lt;record&gt;&lt;rec-number&gt;160&lt;/rec-number&gt;&lt;foreign-keys&gt;&lt;key app="EN" db-id="tdtrdw9aepptzbefsat599syza29sxsd2wsp" timestamp="1609258074"&gt;160&lt;/key&gt;&lt;/foreign-keys&gt;&lt;ref-type name="Journal Article"&gt;17&lt;/ref-type&gt;&lt;contributors&gt;&lt;authors&gt;&lt;author&gt;Inouye, Sharon K&lt;/author&gt;&lt;author&gt;Studenski, Stephanie&lt;/author&gt;&lt;author&gt;Tinetti, Mary E&lt;/author&gt;&lt;author&gt;Kuchel, George A&lt;/author&gt;&lt;/authors&gt;&lt;/contributors&gt;&lt;titles&gt;&lt;title&gt;Geriatric Syndromes: Clinical, Research, and Policy Implications of a Core Geriatric Concept&lt;/title&gt;&lt;secondary-title&gt;Journal of the American Geriatrics Society&lt;/secondary-title&gt;&lt;/titles&gt;&lt;periodical&gt;&lt;full-title&gt;Journal of the American Geriatrics Society&lt;/full-title&gt;&lt;/periodical&gt;&lt;pages&gt;780-791&lt;/pages&gt;&lt;volume&gt;55&lt;/volume&gt;&lt;number&gt;5&lt;/number&gt;&lt;dates&gt;&lt;year&gt;2007&lt;/year&gt;&lt;/dates&gt;&lt;isbn&gt;0002-8614&lt;/isbn&gt;&lt;urls&gt;&lt;/urls&gt;&lt;/record&gt;&lt;/Cite&gt;&lt;/EndNote&gt;</w:instrText>
      </w:r>
      <w:r w:rsidR="00E37333" w:rsidRPr="004C78D8">
        <w:fldChar w:fldCharType="separate"/>
      </w:r>
      <w:r w:rsidR="00513646" w:rsidRPr="004C78D8">
        <w:rPr>
          <w:noProof/>
        </w:rPr>
        <w:t>[19]</w:t>
      </w:r>
      <w:r w:rsidR="00E37333" w:rsidRPr="004C78D8">
        <w:fldChar w:fldCharType="end"/>
      </w:r>
      <w:r w:rsidR="00E37333" w:rsidRPr="004C78D8">
        <w:t xml:space="preserve">. </w:t>
      </w:r>
      <w:r w:rsidR="007B651F" w:rsidRPr="004C78D8">
        <w:t>Geriatric health behaviours are strongly shaped by individual psychology (e.g., motivation to prevent functional decline)</w:t>
      </w:r>
      <w:r w:rsidR="00E57983" w:rsidRPr="004C78D8">
        <w:t>,</w:t>
      </w:r>
      <w:r w:rsidR="007B651F" w:rsidRPr="004C78D8">
        <w:t xml:space="preserve"> social interaction</w:t>
      </w:r>
      <w:r w:rsidR="00F434AD" w:rsidRPr="004C78D8">
        <w:t>s</w:t>
      </w:r>
      <w:r w:rsidR="007B651F" w:rsidRPr="004C78D8">
        <w:t xml:space="preserve"> </w:t>
      </w:r>
      <w:r w:rsidR="00E57983" w:rsidRPr="004C78D8">
        <w:t xml:space="preserve">and the environment </w:t>
      </w:r>
      <w:r w:rsidR="00E57983" w:rsidRPr="004C78D8">
        <w:fldChar w:fldCharType="begin">
          <w:fldData xml:space="preserve">PEVuZE5vdGU+PENpdGU+PEF1dGhvcj5TY2jDvHo8L0F1dGhvcj48WWVhcj4yMDE0PC9ZZWFyPjxS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</w:fldData>
        </w:fldChar>
      </w:r>
      <w:r w:rsidR="00C630FC" w:rsidRPr="004C78D8">
        <w:instrText xml:space="preserve"> ADDIN EN.CITE </w:instrText>
      </w:r>
      <w:r w:rsidR="00C630FC" w:rsidRPr="004C78D8">
        <w:fldChar w:fldCharType="begin">
          <w:fldData xml:space="preserve">PEVuZE5vdGU+PENpdGU+PEF1dGhvcj5TY2jDvHo8L0F1dGhvcj48WWVhcj4yMDE0PC9ZZWFyPjxS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</w:fldData>
        </w:fldChar>
      </w:r>
      <w:r w:rsidR="00C630FC" w:rsidRPr="004C78D8">
        <w:instrText xml:space="preserve"> ADDIN EN.CITE.DATA </w:instrText>
      </w:r>
      <w:r w:rsidR="00C630FC" w:rsidRPr="004C78D8">
        <w:fldChar w:fldCharType="end"/>
      </w:r>
      <w:r w:rsidR="00E57983" w:rsidRPr="004C78D8">
        <w:fldChar w:fldCharType="separate"/>
      </w:r>
      <w:r w:rsidR="00C630FC" w:rsidRPr="004C78D8">
        <w:rPr>
          <w:noProof/>
        </w:rPr>
        <w:t>[189, 238, 322]</w:t>
      </w:r>
      <w:r w:rsidR="00E57983" w:rsidRPr="004C78D8">
        <w:fldChar w:fldCharType="end"/>
      </w:r>
      <w:r w:rsidR="007B651F" w:rsidRPr="004C78D8">
        <w:t xml:space="preserve">. These behaviours </w:t>
      </w:r>
      <w:r w:rsidR="00150C46" w:rsidRPr="004C78D8">
        <w:t>strongly shape</w:t>
      </w:r>
      <w:r w:rsidR="007B651F" w:rsidRPr="004C78D8">
        <w:t xml:space="preserve"> the prevalence and trajectory of risk factors and the implementation quality of interventions </w:t>
      </w:r>
      <w:r w:rsidR="007B651F" w:rsidRPr="004C78D8">
        <w:fldChar w:fldCharType="begin"/>
      </w:r>
      <w:r w:rsidR="00C630FC" w:rsidRPr="004C78D8">
        <w:instrText xml:space="preserve"> ADDIN EN.CITE &lt;EndNote&gt;&lt;Cite&gt;&lt;Author&gt;Yardley&lt;/Author&gt;&lt;Year&gt;2006&lt;/Year&gt;&lt;RecNum&gt;268&lt;/RecNum&gt;&lt;DisplayText&gt;[192, 323]&lt;/DisplayText&gt;&lt;record&gt;&lt;rec-number&gt;268&lt;/rec-number&gt;&lt;foreign-keys&gt;&lt;key app="EN" db-id="tdtrdw9aepptzbefsat599syza29sxsd2wsp" timestamp="1611692858"&gt;268&lt;/key&gt;&lt;/foreign-keys&gt;&lt;ref-type name="Journal Article"&gt;17&lt;/ref-type&gt;&lt;contributors&gt;&lt;authors&gt;&lt;author&gt;Yardley, Lucy&lt;/author&gt;&lt;author&gt;Bishop, Felicity L&lt;/author&gt;&lt;author&gt;Beyer, Nina&lt;/author&gt;&lt;author&gt;Hauer, Klaus&lt;/author&gt;&lt;author&gt;Kempen, Gertrudis IJM&lt;/author&gt;&lt;author&gt;Piot-Ziegler, Chantal&lt;/author&gt;&lt;author&gt;Todd, Chris J&lt;/author&gt;&lt;author&gt;Cuttelod, Therese&lt;/author&gt;&lt;author&gt;Horne, Maria&lt;/author&gt;&lt;author&gt;Lanta, Kyriaki&lt;/author&gt;&lt;/authors&gt;&lt;/contributors&gt;&lt;titles&gt;&lt;title&gt;Older people&amp;apos;s views of falls-prevention interventions in six European countries&lt;/title&gt;&lt;secondary-title&gt;The Gerontologist&lt;/secondary-title&gt;&lt;/titles&gt;&lt;periodical&gt;&lt;full-title&gt;The Gerontologist&lt;/full-title&gt;&lt;/periodical&gt;&lt;pages&gt;650-660&lt;/pages&gt;&lt;volume&gt;46&lt;/volume&gt;&lt;number&gt;5&lt;/number&gt;&lt;dates&gt;&lt;year&gt;2006&lt;/year&gt;&lt;/dates&gt;&lt;isbn&gt;1758-5341&lt;/isbn&gt;&lt;urls&gt;&lt;/urls&gt;&lt;/record&gt;&lt;/Cite&gt;&lt;Cite&gt;&lt;Author&gt;Tuvemo Johnson&lt;/Author&gt;&lt;Year&gt;2018&lt;/Year&gt;&lt;RecNum&gt;669&lt;/RecNum&gt;&lt;record&gt;&lt;rec-number&gt;669&lt;/rec-number&gt;&lt;foreign-keys&gt;&lt;key app="EN" db-id="tdtrdw9aepptzbefsat599syza29sxsd2wsp" timestamp="1626603279"&gt;669&lt;/key&gt;&lt;/foreign-keys&gt;&lt;ref-type name="Journal Article"&gt;17&lt;/ref-type&gt;&lt;contributors&gt;&lt;authors&gt;&lt;author&gt;Tuvemo Johnson, Susanna&lt;/author&gt;&lt;author&gt;Martin, Cathrin&lt;/author&gt;&lt;author&gt;Anens, Elisabeth&lt;/author&gt;&lt;author&gt;Johansson, Ann-Christin&lt;/author&gt;&lt;author&gt;Hellström, Karin&lt;/author&gt;&lt;/authors&gt;&lt;/contributors&gt;&lt;titles&gt;&lt;title&gt;Older adults’ opinions on fall prevention in relation to physical activity level&lt;/title&gt;&lt;secondary-title&gt;Journal of applied gerontology&lt;/secondary-title&gt;&lt;/titles&gt;&lt;periodical&gt;&lt;full-title&gt;Journal of applied gerontology&lt;/full-title&gt;&lt;/periodical&gt;&lt;pages&gt;58-78&lt;/pages&gt;&lt;volume&gt;37&lt;/volume&gt;&lt;number&gt;1&lt;/number&gt;&lt;dates&gt;&lt;year&gt;2018&lt;/year&gt;&lt;/dates&gt;&lt;isbn&gt;0733-4648&lt;/isbn&gt;&lt;urls&gt;&lt;/urls&gt;&lt;/record&gt;&lt;/Cite&gt;&lt;/EndNote&gt;</w:instrText>
      </w:r>
      <w:r w:rsidR="007B651F" w:rsidRPr="004C78D8">
        <w:fldChar w:fldCharType="separate"/>
      </w:r>
      <w:r w:rsidR="00C630FC" w:rsidRPr="004C78D8">
        <w:rPr>
          <w:noProof/>
        </w:rPr>
        <w:t>[192, 323]</w:t>
      </w:r>
      <w:r w:rsidR="007B651F" w:rsidRPr="004C78D8">
        <w:fldChar w:fldCharType="end"/>
      </w:r>
      <w:r w:rsidR="007B651F" w:rsidRPr="004C78D8">
        <w:t>.</w:t>
      </w:r>
      <w:r w:rsidR="00E57983" w:rsidRPr="004C78D8">
        <w:t xml:space="preserve"> Finally, the heterogeneous exposures of geriatric subgroups to social determinants of health </w:t>
      </w:r>
      <w:r w:rsidR="00A7612C" w:rsidRPr="004C78D8">
        <w:t xml:space="preserve">bring issues of equity to the forefront of any geriatric public health initiative </w:t>
      </w:r>
      <w:r w:rsidR="00150C46" w:rsidRPr="004C78D8">
        <w:fldChar w:fldCharType="begin"/>
      </w:r>
      <w:r w:rsidR="00720CEE">
        <w:instrText xml:space="preserve"> ADDIN EN.CITE &lt;EndNote&gt;&lt;Cite&gt;&lt;Author&gt;Barnett&lt;/Author&gt;&lt;Year&gt;2012&lt;/Year&gt;&lt;RecNum&gt;30&lt;/RecNum&gt;&lt;DisplayText&gt;[14, 16]&lt;/DisplayText&gt;&lt;record&gt;&lt;rec-number&gt;30&lt;/rec-number&gt;&lt;foreign-keys&gt;&lt;key app="EN" db-id="tdtrdw9aepptzbefsat599syza29sxsd2wsp" timestamp="1596723916"&gt;30&lt;/key&gt;&lt;/foreign-keys&gt;&lt;ref-type name="Journal Article"&gt;17&lt;/ref-type&gt;&lt;contributors&gt;&lt;authors&gt;&lt;author&gt;Barnett, Karen&lt;/author&gt;&lt;author&gt;Mercer, Stewart W&lt;/author&gt;&lt;author&gt;Norbury, Michael&lt;/author&gt;&lt;author&gt;Watt, Graham&lt;/author&gt;&lt;author&gt;Wyke, Sally&lt;/author&gt;&lt;author&gt;Guthrie, Bruce&lt;/author&gt;&lt;/authors&gt;&lt;/contributors&gt;&lt;titles&gt;&lt;title&gt;Epidemiology of multimorbidity and implications for health care, research, and medical education: a cross-sectional study&lt;/title&gt;&lt;secondary-title&gt;The Lancet&lt;/secondary-title&gt;&lt;/titles&gt;&lt;periodical&gt;&lt;full-title&gt;The Lancet&lt;/full-title&gt;&lt;/periodical&gt;&lt;pages&gt;37-43&lt;/pages&gt;&lt;volume&gt;380&lt;/volume&gt;&lt;number&gt;9836&lt;/number&gt;&lt;dates&gt;&lt;year&gt;2012&lt;/year&gt;&lt;/dates&gt;&lt;isbn&gt;0140-6736&lt;/isbn&gt;&lt;urls&gt;&lt;/urls&gt;&lt;/record&gt;&lt;/Cite&gt;&lt;Cite&gt;&lt;Author&gt;Marengoni&lt;/Author&gt;&lt;Year&gt;2011&lt;/Year&gt;&lt;RecNum&gt;416&lt;/RecNum&gt;&lt;record&gt;&lt;rec-number&gt;416&lt;/rec-number&gt;&lt;foreign-keys&gt;&lt;key app="EN" db-id="tdtrdw9aepptzbefsat599syza29sxsd2wsp" timestamp="1616238432"&gt;416&lt;/key&gt;&lt;/foreign-keys&gt;&lt;ref-type name="Journal Article"&gt;17&lt;/ref-type&gt;&lt;contributors&gt;&lt;authors&gt;&lt;author&gt;Marengoni, Alessandra&lt;/author&gt;&lt;author&gt;Angleman, Sara&lt;/author&gt;&lt;author&gt;Melis, René&lt;/author&gt;&lt;author&gt;Mangialasche, Francesca&lt;/author&gt;&lt;author&gt;Karp, Anita&lt;/author&gt;&lt;author&gt;Garmen, Annika&lt;/author&gt;&lt;author&gt;Meinow, Bettina&lt;/author&gt;&lt;author&gt;Fratiglioni, Laura&lt;/author&gt;&lt;/authors&gt;&lt;/contributors&gt;&lt;titles&gt;&lt;title&gt;Aging with multimorbidity: a systematic review of the literature&lt;/title&gt;&lt;secondary-title&gt;Ageing research reviews&lt;/secondary-title&gt;&lt;/titles&gt;&lt;periodical&gt;&lt;full-title&gt;Ageing research reviews&lt;/full-title&gt;&lt;/periodical&gt;&lt;pages&gt;430-439&lt;/pages&gt;&lt;volume&gt;10&lt;/volume&gt;&lt;number&gt;4&lt;/number&gt;&lt;dates&gt;&lt;year&gt;2011&lt;/year&gt;&lt;/dates&gt;&lt;isbn&gt;1568-1637&lt;/isbn&gt;&lt;urls&gt;&lt;/urls&gt;&lt;/record&gt;&lt;/Cite&gt;&lt;/EndNote&gt;</w:instrText>
      </w:r>
      <w:r w:rsidR="00150C46" w:rsidRPr="004C78D8">
        <w:fldChar w:fldCharType="separate"/>
      </w:r>
      <w:r w:rsidR="00720CEE">
        <w:rPr>
          <w:noProof/>
        </w:rPr>
        <w:t>[14, 16]</w:t>
      </w:r>
      <w:r w:rsidR="00150C46" w:rsidRPr="004C78D8">
        <w:fldChar w:fldCharType="end"/>
      </w:r>
      <w:r w:rsidR="00150C46" w:rsidRPr="004C78D8">
        <w:t>.</w:t>
      </w:r>
      <w:r w:rsidR="008235B7" w:rsidRPr="004C78D8">
        <w:t xml:space="preserve"> Applying</w:t>
      </w:r>
      <w:r w:rsidR="000852EF" w:rsidRPr="004C78D8">
        <w:t xml:space="preserve"> the framework that can accommodate these consideration</w:t>
      </w:r>
      <w:r w:rsidR="0002316F" w:rsidRPr="004C78D8">
        <w:t>s</w:t>
      </w:r>
      <w:r w:rsidR="000852EF" w:rsidRPr="004C78D8">
        <w:t xml:space="preserve"> would greatly reduce the structural uncertainty of the final model.</w:t>
      </w:r>
    </w:p>
    <w:p w14:paraId="62BB655E" w14:textId="61D179E9" w:rsidR="00847697" w:rsidRPr="004C78D8" w:rsidRDefault="00847697" w:rsidP="00FB7C1F">
      <w:pPr>
        <w:pStyle w:val="Heading3"/>
      </w:pPr>
      <w:bookmarkStart w:id="99" w:name="_Toc111630744"/>
      <w:r w:rsidRPr="004C78D8">
        <w:t>3.8.</w:t>
      </w:r>
      <w:r w:rsidR="00BC6069" w:rsidRPr="004C78D8">
        <w:t>4</w:t>
      </w:r>
      <w:r w:rsidRPr="004C78D8">
        <w:t xml:space="preserve"> Strengths and limitations of conceptual model</w:t>
      </w:r>
      <w:bookmarkEnd w:id="99"/>
    </w:p>
    <w:p w14:paraId="539E263F" w14:textId="703A2173" w:rsidR="007E18F8" w:rsidRPr="004C78D8" w:rsidRDefault="001E2538" w:rsidP="00FB7C1F">
      <w:r w:rsidRPr="004C78D8">
        <w:t>A key strength of th</w:t>
      </w:r>
      <w:r w:rsidR="0002316F" w:rsidRPr="004C78D8">
        <w:t>e current</w:t>
      </w:r>
      <w:r w:rsidRPr="004C78D8">
        <w:t xml:space="preserve"> conceptual model is the integration of diverse evidence sources in the conceptualisation process, including qualitative research data, stakeholder consultations</w:t>
      </w:r>
      <w:r w:rsidR="004B6505" w:rsidRPr="004C78D8">
        <w:t>,</w:t>
      </w:r>
      <w:r w:rsidRPr="004C78D8">
        <w:t xml:space="preserve"> and falls prevention and broader literature. </w:t>
      </w:r>
      <w:r w:rsidR="0053263F" w:rsidRPr="004C78D8">
        <w:t>Transparency was pursued by outlining h</w:t>
      </w:r>
      <w:r w:rsidR="00F40159" w:rsidRPr="004C78D8">
        <w:t>ow each evidence contributed to each conceptual area (Table 3.2)</w:t>
      </w:r>
      <w:r w:rsidR="0053263F" w:rsidRPr="004C78D8">
        <w:t xml:space="preserve"> and presenting the transcript quotes from qualitative research and documents collected from stakeholder consultations</w:t>
      </w:r>
      <w:r w:rsidR="00466BE8" w:rsidRPr="004C78D8">
        <w:t xml:space="preserve">. The conceptual model </w:t>
      </w:r>
      <w:r w:rsidR="00DB59A2" w:rsidRPr="004C78D8">
        <w:t>considered</w:t>
      </w:r>
      <w:r w:rsidR="00466BE8" w:rsidRPr="004C78D8">
        <w:t xml:space="preserve"> </w:t>
      </w:r>
      <w:r w:rsidR="00DB59A2" w:rsidRPr="004C78D8">
        <w:t>a broad</w:t>
      </w:r>
      <w:r w:rsidR="00466BE8" w:rsidRPr="004C78D8">
        <w:t xml:space="preserve"> range of </w:t>
      </w:r>
      <w:r w:rsidR="00150C46" w:rsidRPr="004C78D8">
        <w:t>disease and intervention processes</w:t>
      </w:r>
      <w:r w:rsidR="00466BE8" w:rsidRPr="004C78D8">
        <w:t xml:space="preserve"> that are potentially affected by key causal variables (</w:t>
      </w:r>
      <w:r w:rsidR="00150C46" w:rsidRPr="004C78D8">
        <w:t xml:space="preserve">Figure 3.1 and </w:t>
      </w:r>
      <w:r w:rsidR="00466BE8" w:rsidRPr="004C78D8">
        <w:t xml:space="preserve">Table 3.6). </w:t>
      </w:r>
      <w:r w:rsidR="0019454A" w:rsidRPr="004C78D8">
        <w:t xml:space="preserve">Local intervention features were </w:t>
      </w:r>
      <w:r w:rsidR="00150C46" w:rsidRPr="004C78D8">
        <w:t>obtained</w:t>
      </w:r>
      <w:r w:rsidR="0019454A" w:rsidRPr="004C78D8">
        <w:t xml:space="preserve"> via stakeholder consultations and related reports</w:t>
      </w:r>
      <w:r w:rsidR="00150C46" w:rsidRPr="004C78D8">
        <w:t xml:space="preserve"> to conceptualise the current practice, while the recommended practice and alternative strategies drew on normative UK guidelines </w:t>
      </w:r>
      <w:r w:rsidR="00424FBA" w:rsidRPr="004C78D8">
        <w:t>and established principles (e.g., active community involvement)</w:t>
      </w:r>
      <w:r w:rsidR="0019454A" w:rsidRPr="004C78D8">
        <w:t>.</w:t>
      </w:r>
    </w:p>
    <w:p w14:paraId="3BEFE05C" w14:textId="3E9EBE0D" w:rsidR="00F90185" w:rsidRPr="004C78D8" w:rsidRDefault="00F90185" w:rsidP="00FB7C1F">
      <w:r w:rsidRPr="004C78D8">
        <w:t xml:space="preserve">The current methods and results of conceptualisation </w:t>
      </w:r>
      <w:r w:rsidR="004F1D2C" w:rsidRPr="004C78D8">
        <w:t>none</w:t>
      </w:r>
      <w:r w:rsidR="004B6505" w:rsidRPr="004C78D8">
        <w:t xml:space="preserve">theless </w:t>
      </w:r>
      <w:r w:rsidRPr="004C78D8">
        <w:t xml:space="preserve">have several limitations. First, there was difficulty in generating active involvement by professional stakeholders. Research ethics ruled out making reimbursements to NHS professionals for their time commitments, making consistent commitment difficult. As mentioned, professionals were reluctant to commit to a project led by a uncredentialled PhD student with no guaranteed prospect of changing commissioning </w:t>
      </w:r>
      <w:r w:rsidR="00424FBA" w:rsidRPr="004C78D8">
        <w:t xml:space="preserve">and clinical practice </w:t>
      </w:r>
      <w:r w:rsidRPr="004C78D8">
        <w:t xml:space="preserve">patterns. The Covid-19 pandemic ruled out professional involvement from February 2020, </w:t>
      </w:r>
      <w:r w:rsidR="009E4378" w:rsidRPr="004C78D8">
        <w:t>al</w:t>
      </w:r>
      <w:r w:rsidRPr="004C78D8">
        <w:t xml:space="preserve">though commissioners were later re-engaged to </w:t>
      </w:r>
      <w:r w:rsidR="009E4378" w:rsidRPr="004C78D8">
        <w:t>receive preliminary feedback on</w:t>
      </w:r>
      <w:r w:rsidRPr="004C78D8">
        <w:t xml:space="preserve"> the implemented model results. </w:t>
      </w:r>
      <w:r w:rsidR="009E4378" w:rsidRPr="004C78D8">
        <w:t xml:space="preserve">The group meetings that did take place mostly engaged with one stakeholder group at a time and lacked inter-stakeholder interactions (e.g., between commissioners and </w:t>
      </w:r>
      <w:r w:rsidR="00424FBA" w:rsidRPr="004C78D8">
        <w:t>professionals</w:t>
      </w:r>
      <w:r w:rsidR="009E4378" w:rsidRPr="004C78D8">
        <w:t xml:space="preserve">). </w:t>
      </w:r>
      <w:r w:rsidRPr="004C78D8">
        <w:t xml:space="preserve">Second, qualitative research with older persons identified relevant stakeholders (e.g., housing authority </w:t>
      </w:r>
      <w:r w:rsidR="00B77C61" w:rsidRPr="004C78D8">
        <w:t>responsible for</w:t>
      </w:r>
      <w:r w:rsidRPr="004C78D8">
        <w:t xml:space="preserve"> home modification legislations)</w:t>
      </w:r>
      <w:r w:rsidR="009E4378" w:rsidRPr="004C78D8">
        <w:t xml:space="preserve"> who were not subsequently engaged in intersectoral discussions</w:t>
      </w:r>
      <w:r w:rsidRPr="004C78D8">
        <w:t>. Third, CCG and SCC commissioners were primarily interested in the use of their routine data to plan and evaluate their service strategies</w:t>
      </w:r>
      <w:r w:rsidR="003D5C5E" w:rsidRPr="004C78D8">
        <w:t>.</w:t>
      </w:r>
      <w:r w:rsidRPr="004C78D8">
        <w:t xml:space="preserve"> </w:t>
      </w:r>
      <w:r w:rsidR="003D5C5E" w:rsidRPr="004C78D8">
        <w:t>T</w:t>
      </w:r>
      <w:r w:rsidRPr="004C78D8">
        <w:t xml:space="preserve">his hampered the initial conceptualisation phase since </w:t>
      </w:r>
      <w:r w:rsidR="003D5C5E" w:rsidRPr="004C78D8">
        <w:t xml:space="preserve">too </w:t>
      </w:r>
      <w:r w:rsidRPr="004C78D8">
        <w:t>much attention was placed on what factors are observable in the routine data. Fourth, access to actual client flow data across falls prevention services in Sheffield would have facilitated the conceptualisation of the current practice.</w:t>
      </w:r>
    </w:p>
    <w:p w14:paraId="6B30AEBA" w14:textId="3D3E57D1" w:rsidR="0044036C" w:rsidRPr="004C78D8" w:rsidRDefault="00CB4A55" w:rsidP="00FB7C1F">
      <w:r w:rsidRPr="004C78D8">
        <w:t xml:space="preserve">Nevertheless, </w:t>
      </w:r>
      <w:r w:rsidR="00225015" w:rsidRPr="004C78D8">
        <w:t xml:space="preserve">the conceptual model can be appraised </w:t>
      </w:r>
      <w:r w:rsidR="00AB1F49" w:rsidRPr="004C78D8">
        <w:t>relative to</w:t>
      </w:r>
      <w:r w:rsidR="00225015" w:rsidRPr="004C78D8">
        <w:t xml:space="preserve"> previous conceptualisation attempts in th</w:t>
      </w:r>
      <w:r w:rsidR="00AB1F49" w:rsidRPr="004C78D8">
        <w:t>e</w:t>
      </w:r>
      <w:r w:rsidR="00225015" w:rsidRPr="004C78D8">
        <w:t xml:space="preserve"> topic area. R</w:t>
      </w:r>
      <w:r w:rsidR="00ED68F4" w:rsidRPr="004C78D8">
        <w:t>elatively f</w:t>
      </w:r>
      <w:r w:rsidR="0019454A" w:rsidRPr="004C78D8">
        <w:t xml:space="preserve">ew </w:t>
      </w:r>
      <w:r w:rsidR="00ED68F4" w:rsidRPr="004C78D8">
        <w:t xml:space="preserve">(seven of 46; 15.2%) </w:t>
      </w:r>
      <w:r w:rsidR="0019454A" w:rsidRPr="004C78D8">
        <w:t xml:space="preserve">previous falls prevention models </w:t>
      </w:r>
      <w:r w:rsidR="008C26A7" w:rsidRPr="004C78D8">
        <w:t xml:space="preserve">identified by the </w:t>
      </w:r>
      <w:r w:rsidR="008C26A7" w:rsidRPr="004C78D8">
        <w:lastRenderedPageBreak/>
        <w:t xml:space="preserve">systematic review in Chapter </w:t>
      </w:r>
      <w:r w:rsidR="00EB3753" w:rsidRPr="004C78D8">
        <w:t xml:space="preserve">4 </w:t>
      </w:r>
      <w:r w:rsidR="0019454A" w:rsidRPr="004C78D8">
        <w:t>attempted to validate the model structure prospectively</w:t>
      </w:r>
      <w:r w:rsidR="005D45DA" w:rsidRPr="004C78D8">
        <w:t xml:space="preserve"> by engaging stakeholders in the development process (</w:t>
      </w:r>
      <w:r w:rsidR="0019454A" w:rsidRPr="004C78D8">
        <w:t xml:space="preserve">see Section </w:t>
      </w:r>
      <w:r w:rsidR="00EB3753" w:rsidRPr="004C78D8">
        <w:t>4</w:t>
      </w:r>
      <w:r w:rsidR="0019454A" w:rsidRPr="004C78D8">
        <w:t>.5.4.1</w:t>
      </w:r>
      <w:r w:rsidR="005D45DA" w:rsidRPr="004C78D8">
        <w:t>)</w:t>
      </w:r>
      <w:r w:rsidR="0019454A" w:rsidRPr="004C78D8">
        <w:t>.</w:t>
      </w:r>
      <w:r w:rsidR="005D45DA" w:rsidRPr="004C78D8">
        <w:t xml:space="preserve"> In the UK </w:t>
      </w:r>
      <w:r w:rsidR="00225015" w:rsidRPr="004C78D8">
        <w:t>setting</w:t>
      </w:r>
      <w:r w:rsidR="005D45DA" w:rsidRPr="004C78D8">
        <w:t xml:space="preserve">, the model developed by Public Health England (‘PHE model’) </w:t>
      </w:r>
      <w:r w:rsidR="009D4CE9" w:rsidRPr="004C78D8">
        <w:t xml:space="preserve">engaged a Steering Group of national falls prevention experts to inform the model structure </w:t>
      </w:r>
      <w:r w:rsidR="009D4CE9" w:rsidRPr="004C78D8">
        <w:fldChar w:fldCharType="begin"/>
      </w:r>
      <w:r w:rsidR="00C630FC" w:rsidRPr="004C78D8">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009D4CE9" w:rsidRPr="004C78D8">
        <w:fldChar w:fldCharType="separate"/>
      </w:r>
      <w:r w:rsidR="00C630FC" w:rsidRPr="004C78D8">
        <w:rPr>
          <w:noProof/>
        </w:rPr>
        <w:t>[216]</w:t>
      </w:r>
      <w:r w:rsidR="009D4CE9" w:rsidRPr="004C78D8">
        <w:fldChar w:fldCharType="end"/>
      </w:r>
      <w:r w:rsidR="009D4CE9" w:rsidRPr="004C78D8">
        <w:t xml:space="preserve">. </w:t>
      </w:r>
      <w:r w:rsidR="001F5AB7" w:rsidRPr="004C78D8">
        <w:t>Yet the Steering Group input focused primarily on validating resource-use and cost inputs and t</w:t>
      </w:r>
      <w:r w:rsidR="009D4CE9" w:rsidRPr="004C78D8">
        <w:t xml:space="preserve">here was </w:t>
      </w:r>
      <w:r w:rsidR="001B39CB" w:rsidRPr="004C78D8">
        <w:t>little</w:t>
      </w:r>
      <w:r w:rsidR="009D4CE9" w:rsidRPr="004C78D8">
        <w:t xml:space="preserve"> detailed documentation of </w:t>
      </w:r>
      <w:r w:rsidR="001B39CB" w:rsidRPr="004C78D8">
        <w:t xml:space="preserve">whether and </w:t>
      </w:r>
      <w:r w:rsidR="00BD60D6" w:rsidRPr="004C78D8">
        <w:t xml:space="preserve">how </w:t>
      </w:r>
      <w:r w:rsidR="001B39CB" w:rsidRPr="004C78D8">
        <w:t xml:space="preserve">key </w:t>
      </w:r>
      <w:r w:rsidR="00182E02" w:rsidRPr="004C78D8">
        <w:t>conceptual</w:t>
      </w:r>
      <w:r w:rsidR="001B39CB" w:rsidRPr="004C78D8">
        <w:t xml:space="preserve"> challenges were addressed</w:t>
      </w:r>
      <w:r w:rsidR="001F5AB7" w:rsidRPr="004C78D8">
        <w:t>.</w:t>
      </w:r>
      <w:r w:rsidR="001B39CB" w:rsidRPr="004C78D8">
        <w:t xml:space="preserve"> </w:t>
      </w:r>
      <w:r w:rsidR="001F5AB7" w:rsidRPr="004C78D8">
        <w:t>F</w:t>
      </w:r>
      <w:r w:rsidR="001B39CB" w:rsidRPr="004C78D8">
        <w:t xml:space="preserve">or example, there was no documented </w:t>
      </w:r>
      <w:r w:rsidR="009D4CE9" w:rsidRPr="004C78D8">
        <w:t>consideration of social determinants of falls risk</w:t>
      </w:r>
      <w:r w:rsidR="001B39CB" w:rsidRPr="004C78D8">
        <w:t>, even</w:t>
      </w:r>
      <w:r w:rsidR="009D4CE9" w:rsidRPr="004C78D8">
        <w:t xml:space="preserve"> </w:t>
      </w:r>
      <w:r w:rsidR="00BD60D6" w:rsidRPr="004C78D8">
        <w:t xml:space="preserve">when the systematic review preceding the model development considered </w:t>
      </w:r>
      <w:r w:rsidR="001B39CB" w:rsidRPr="004C78D8">
        <w:t xml:space="preserve">social inequalities in health as a key policy concern </w:t>
      </w:r>
      <w:r w:rsidR="001B39CB" w:rsidRPr="004C78D8">
        <w:fldChar w:fldCharType="begin"/>
      </w:r>
      <w:r w:rsidR="00513646" w:rsidRPr="004C78D8">
        <w:instrText xml:space="preserve"> ADDIN EN.CITE &lt;EndNote&gt;&lt;Cite&gt;&lt;Author&gt;Public Health England&lt;/Author&gt;&lt;Year&gt;2018&lt;/Year&gt;&lt;RecNum&gt;295&lt;/RecNum&gt;&lt;DisplayText&gt;[147]&lt;/DisplayText&gt;&lt;record&gt;&lt;rec-number&gt;295&lt;/rec-number&gt;&lt;foreign-keys&gt;&lt;key app="EN" db-id="tdtrdw9aepptzbefsat599syza29sxsd2wsp" timestamp="1611870971"&gt;295&lt;/key&gt;&lt;/foreign-keys&gt;&lt;ref-type name="Journal Article"&gt;17&lt;/ref-type&gt;&lt;contributors&gt;&lt;authors&gt;&lt;author&gt;Public Health England,&lt;/author&gt;&lt;/authors&gt;&lt;/contributors&gt;&lt;titles&gt;&lt;title&gt;A structured literature review to identify cost-effective interventions to prevent falls in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001B39CB" w:rsidRPr="004C78D8">
        <w:fldChar w:fldCharType="separate"/>
      </w:r>
      <w:r w:rsidR="00513646" w:rsidRPr="004C78D8">
        <w:rPr>
          <w:noProof/>
        </w:rPr>
        <w:t>[147]</w:t>
      </w:r>
      <w:r w:rsidR="001B39CB" w:rsidRPr="004C78D8">
        <w:fldChar w:fldCharType="end"/>
      </w:r>
      <w:r w:rsidR="001B39CB" w:rsidRPr="004C78D8">
        <w:t>.</w:t>
      </w:r>
      <w:r w:rsidR="00F162C1" w:rsidRPr="004C78D8">
        <w:t xml:space="preserve"> </w:t>
      </w:r>
      <w:r w:rsidR="002A75D0" w:rsidRPr="004C78D8">
        <w:t>Moreover</w:t>
      </w:r>
      <w:r w:rsidR="00F162C1" w:rsidRPr="004C78D8">
        <w:t xml:space="preserve">, identifying the falls consequence types for the PHE model was primarily data-led, using the results of routine data analysis </w:t>
      </w:r>
      <w:r w:rsidR="00F162C1" w:rsidRPr="004C78D8">
        <w:fldChar w:fldCharType="begin"/>
      </w:r>
      <w:r w:rsidR="00C630FC" w:rsidRPr="004C78D8">
        <w:instrText xml:space="preserve"> ADDIN EN.CITE &lt;EndNote&gt;&lt;Cite&gt;&lt;Author&gt;Craig&lt;/Author&gt;&lt;Year&gt;2013&lt;/Year&gt;&lt;RecNum&gt;545&lt;/RecNum&gt;&lt;DisplayText&gt;[324]&lt;/DisplayText&gt;&lt;record&gt;&lt;rec-number&gt;545&lt;/rec-number&gt;&lt;foreign-keys&gt;&lt;key app="EN" db-id="tdtrdw9aepptzbefsat599syza29sxsd2wsp" timestamp="1618679594"&gt;545&lt;/key&gt;&lt;/foreign-keys&gt;&lt;ref-type name="Journal Article"&gt;17&lt;/ref-type&gt;&lt;contributors&gt;&lt;authors&gt;&lt;author&gt;Craig, J&lt;/author&gt;&lt;author&gt;Murray, A&lt;/author&gt;&lt;author&gt;Mitchell, S&lt;/author&gt;&lt;author&gt;Clark, S&lt;/author&gt;&lt;author&gt;Saunders, L&lt;/author&gt;&lt;author&gt;Burleigh, L&lt;/author&gt;&lt;/authors&gt;&lt;/contributors&gt;&lt;titles&gt;&lt;title&gt;The high cost to health and social care of managing falls in older adults living in the community in Scotland&lt;/title&gt;&lt;secondary-title&gt;Scottish medical journal&lt;/secondary-title&gt;&lt;/titles&gt;&lt;periodical&gt;&lt;full-title&gt;Scottish medical journal&lt;/full-title&gt;&lt;/periodical&gt;&lt;pages&gt;198-203&lt;/pages&gt;&lt;volume&gt;58&lt;/volume&gt;&lt;number&gt;4&lt;/number&gt;&lt;dates&gt;&lt;year&gt;2013&lt;/year&gt;&lt;/dates&gt;&lt;isbn&gt;0036-9330&lt;/isbn&gt;&lt;urls&gt;&lt;/urls&gt;&lt;/record&gt;&lt;/Cite&gt;&lt;/EndNote&gt;</w:instrText>
      </w:r>
      <w:r w:rsidR="00F162C1" w:rsidRPr="004C78D8">
        <w:fldChar w:fldCharType="separate"/>
      </w:r>
      <w:r w:rsidR="00C630FC" w:rsidRPr="004C78D8">
        <w:rPr>
          <w:noProof/>
        </w:rPr>
        <w:t>[324]</w:t>
      </w:r>
      <w:r w:rsidR="00F162C1" w:rsidRPr="004C78D8">
        <w:fldChar w:fldCharType="end"/>
      </w:r>
      <w:r w:rsidR="00F162C1" w:rsidRPr="004C78D8">
        <w:t xml:space="preserve">. This raises the risk of neglecting several </w:t>
      </w:r>
      <w:r w:rsidR="001F5AB7" w:rsidRPr="004C78D8">
        <w:t xml:space="preserve">falls </w:t>
      </w:r>
      <w:r w:rsidR="00F162C1" w:rsidRPr="004C78D8">
        <w:t xml:space="preserve">consequence pathways that </w:t>
      </w:r>
      <w:r w:rsidR="001F5AB7" w:rsidRPr="004C78D8">
        <w:t>are not easily observed in routine data</w:t>
      </w:r>
      <w:r w:rsidR="00F162C1" w:rsidRPr="004C78D8">
        <w:t xml:space="preserve"> (e.g., </w:t>
      </w:r>
      <w:r w:rsidR="00226615" w:rsidRPr="004C78D8">
        <w:t>fear of falling).</w:t>
      </w:r>
    </w:p>
    <w:p w14:paraId="4ACA7B01" w14:textId="0E3819B5" w:rsidR="003B37F0" w:rsidRPr="004C78D8" w:rsidRDefault="0080192F" w:rsidP="00FB7C1F">
      <w:r w:rsidRPr="004C78D8">
        <w:t>A f</w:t>
      </w:r>
      <w:r w:rsidR="0044036C" w:rsidRPr="004C78D8">
        <w:t xml:space="preserve">inal </w:t>
      </w:r>
      <w:r w:rsidR="00AD44A8" w:rsidRPr="004C78D8">
        <w:t>issue</w:t>
      </w:r>
      <w:r w:rsidR="0044036C" w:rsidRPr="004C78D8">
        <w:t xml:space="preserve"> </w:t>
      </w:r>
      <w:r w:rsidR="008C1868" w:rsidRPr="004C78D8">
        <w:t>to consider</w:t>
      </w:r>
      <w:r w:rsidR="0044036C" w:rsidRPr="004C78D8">
        <w:t xml:space="preserve"> is the </w:t>
      </w:r>
      <w:r w:rsidR="00545915" w:rsidRPr="004C78D8">
        <w:t xml:space="preserve">potential burden placed on the analyst from the </w:t>
      </w:r>
      <w:r w:rsidRPr="004C78D8">
        <w:t xml:space="preserve">added </w:t>
      </w:r>
      <w:r w:rsidR="00BF58FD" w:rsidRPr="004C78D8">
        <w:t>model</w:t>
      </w:r>
      <w:r w:rsidR="00AD44A8" w:rsidRPr="004C78D8">
        <w:t>ling</w:t>
      </w:r>
      <w:r w:rsidR="00BF58FD" w:rsidRPr="004C78D8">
        <w:t xml:space="preserve"> </w:t>
      </w:r>
      <w:r w:rsidRPr="004C78D8">
        <w:t>complexity</w:t>
      </w:r>
      <w:r w:rsidR="00296DA5" w:rsidRPr="004C78D8">
        <w:t>.</w:t>
      </w:r>
      <w:r w:rsidR="00545915" w:rsidRPr="004C78D8">
        <w:t xml:space="preserve"> </w:t>
      </w:r>
      <w:r w:rsidR="00296DA5" w:rsidRPr="004C78D8">
        <w:t>T</w:t>
      </w:r>
      <w:r w:rsidR="00545915" w:rsidRPr="004C78D8">
        <w:t>his burden can derive from</w:t>
      </w:r>
      <w:r w:rsidR="00296DA5" w:rsidRPr="004C78D8">
        <w:t>:</w:t>
      </w:r>
      <w:r w:rsidRPr="004C78D8">
        <w:t xml:space="preserve"> </w:t>
      </w:r>
      <w:r w:rsidR="00D93EF2" w:rsidRPr="004C78D8">
        <w:t xml:space="preserve">(i) </w:t>
      </w:r>
      <w:r w:rsidR="00545915" w:rsidRPr="004C78D8">
        <w:t>the</w:t>
      </w:r>
      <w:r w:rsidRPr="004C78D8">
        <w:t xml:space="preserve"> conceptualisation </w:t>
      </w:r>
      <w:r w:rsidR="00545915" w:rsidRPr="004C78D8">
        <w:t xml:space="preserve">process itself </w:t>
      </w:r>
      <w:r w:rsidR="00EF1E9E" w:rsidRPr="004C78D8">
        <w:t>(e.g., identifying appropriate stakeholders)</w:t>
      </w:r>
      <w:r w:rsidR="00296DA5" w:rsidRPr="004C78D8">
        <w:t>;</w:t>
      </w:r>
      <w:r w:rsidR="00EF1E9E" w:rsidRPr="004C78D8">
        <w:t xml:space="preserve"> </w:t>
      </w:r>
      <w:r w:rsidR="00726CD6" w:rsidRPr="004C78D8">
        <w:t>and</w:t>
      </w:r>
      <w:r w:rsidR="00545915" w:rsidRPr="004C78D8">
        <w:t xml:space="preserve"> </w:t>
      </w:r>
      <w:r w:rsidR="00D93EF2" w:rsidRPr="004C78D8">
        <w:t xml:space="preserve">(ii) </w:t>
      </w:r>
      <w:r w:rsidR="002A65A4" w:rsidRPr="004C78D8">
        <w:t xml:space="preserve">developing the final implemented model </w:t>
      </w:r>
      <w:r w:rsidR="00EF1E9E" w:rsidRPr="004C78D8">
        <w:t xml:space="preserve">in Phase (D) </w:t>
      </w:r>
      <w:r w:rsidR="002A65A4" w:rsidRPr="004C78D8">
        <w:t>based on the conceptual one</w:t>
      </w:r>
      <w:r w:rsidR="00EF1E9E" w:rsidRPr="004C78D8">
        <w:t xml:space="preserve"> (e.g., accessing appropriate data)</w:t>
      </w:r>
      <w:r w:rsidR="002A65A4" w:rsidRPr="004C78D8">
        <w:t>.</w:t>
      </w:r>
      <w:r w:rsidR="00545915" w:rsidRPr="004C78D8">
        <w:t xml:space="preserve"> </w:t>
      </w:r>
      <w:r w:rsidR="00D93EF2" w:rsidRPr="004C78D8">
        <w:t xml:space="preserve">Concerning (i), </w:t>
      </w:r>
      <w:r w:rsidR="00861102" w:rsidRPr="004C78D8">
        <w:t xml:space="preserve">the burden is a necessary </w:t>
      </w:r>
      <w:r w:rsidR="00296DA5" w:rsidRPr="004C78D8">
        <w:t>price</w:t>
      </w:r>
      <w:r w:rsidR="00861102" w:rsidRPr="004C78D8">
        <w:t xml:space="preserve"> for improving </w:t>
      </w:r>
      <w:r w:rsidR="00073C5C" w:rsidRPr="004C78D8">
        <w:t>model</w:t>
      </w:r>
      <w:r w:rsidR="00861102" w:rsidRPr="004C78D8">
        <w:t xml:space="preserve"> credibility and should be distributed </w:t>
      </w:r>
      <w:r w:rsidR="00073C5C" w:rsidRPr="004C78D8">
        <w:t xml:space="preserve">rationally </w:t>
      </w:r>
      <w:r w:rsidR="00296DA5" w:rsidRPr="004C78D8">
        <w:t>within</w:t>
      </w:r>
      <w:r w:rsidR="00073C5C" w:rsidRPr="004C78D8">
        <w:t xml:space="preserve"> a multidisciplinary modelling team. </w:t>
      </w:r>
      <w:r w:rsidR="00D93EF2" w:rsidRPr="004C78D8">
        <w:t xml:space="preserve">Concerning (ii), </w:t>
      </w:r>
      <w:r w:rsidR="007B6882" w:rsidRPr="004C78D8">
        <w:t xml:space="preserve">the conceptual framework </w:t>
      </w:r>
      <w:r w:rsidR="00A50D0B" w:rsidRPr="004C78D8">
        <w:t>acknowledges</w:t>
      </w:r>
      <w:r w:rsidR="007B6882" w:rsidRPr="004C78D8">
        <w:t xml:space="preserve"> </w:t>
      </w:r>
      <w:r w:rsidR="00296DA5" w:rsidRPr="004C78D8">
        <w:t xml:space="preserve">the practical </w:t>
      </w:r>
      <w:r w:rsidR="00047B17" w:rsidRPr="004C78D8">
        <w:t>issues</w:t>
      </w:r>
      <w:r w:rsidR="007B6882" w:rsidRPr="004C78D8">
        <w:t xml:space="preserve"> around data, technical expertise, and other project constraints and </w:t>
      </w:r>
      <w:r w:rsidR="00047B17" w:rsidRPr="004C78D8">
        <w:t>recommends</w:t>
      </w:r>
      <w:r w:rsidR="007B6882" w:rsidRPr="004C78D8">
        <w:t xml:space="preserve"> a simpler model structure </w:t>
      </w:r>
      <w:r w:rsidR="00726CD6" w:rsidRPr="004C78D8">
        <w:t>if the added complexity is unlikely to affect outcomes substantially</w:t>
      </w:r>
      <w:r w:rsidR="007B6882" w:rsidRPr="004C78D8">
        <w:t xml:space="preserve"> (Figure 7) </w:t>
      </w:r>
      <w:r w:rsidR="007B6882" w:rsidRPr="004C78D8">
        <w:fldChar w:fldCharType="begin"/>
      </w:r>
      <w:r w:rsidR="007B6882" w:rsidRPr="004C78D8">
        <w:instrText xml:space="preserve"> ADDIN EN.CITE &lt;EndNote&gt;&lt;Cite&gt;&lt;Author&gt;Squires&lt;/Author&gt;&lt;Year&gt;2016&lt;/Year&gt;&lt;RecNum&gt;158&lt;/RecNum&gt;&lt;DisplayText&gt;[1]&lt;/DisplayText&gt;&lt;record&gt;&lt;rec-number&gt;158&lt;/rec-number&gt;&lt;foreign-keys&gt;&lt;key app="EN" db-id="tdtrdw9aepptzbefsat599syza29sxsd2wsp" timestamp="1609254669"&gt;158&lt;/key&gt;&lt;/foreign-keys&gt;&lt;ref-type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framework for developing the structure of public health economic models&lt;/title&gt;&lt;secondary-title&gt;Value in Health&lt;/secondary-title&gt;&lt;/titles&gt;&lt;periodical&gt;&lt;full-title&gt;Value in Health&lt;/full-title&gt;&lt;/periodical&gt;&lt;pages&gt;588-601&lt;/pages&gt;&lt;volume&gt;19&lt;/volume&gt;&lt;number&gt;5&lt;/number&gt;&lt;dates&gt;&lt;year&gt;2016&lt;/year&gt;&lt;/dates&gt;&lt;isbn&gt;1098-3015&lt;/isbn&gt;&lt;urls&gt;&lt;/urls&gt;&lt;research-notes&gt;1&lt;/research-notes&gt;&lt;/record&gt;&lt;/Cite&gt;&lt;/EndNote&gt;</w:instrText>
      </w:r>
      <w:r w:rsidR="007B6882" w:rsidRPr="004C78D8">
        <w:fldChar w:fldCharType="separate"/>
      </w:r>
      <w:r w:rsidR="007B6882" w:rsidRPr="004C78D8">
        <w:rPr>
          <w:noProof/>
        </w:rPr>
        <w:t>[1]</w:t>
      </w:r>
      <w:r w:rsidR="007B6882" w:rsidRPr="004C78D8">
        <w:fldChar w:fldCharType="end"/>
      </w:r>
      <w:r w:rsidR="007B6882" w:rsidRPr="004C78D8">
        <w:t xml:space="preserve">. </w:t>
      </w:r>
      <w:r w:rsidR="00A50D0B" w:rsidRPr="004C78D8">
        <w:t xml:space="preserve">The conceptual model would then serve as a reference </w:t>
      </w:r>
      <w:r w:rsidR="00047B17" w:rsidRPr="004C78D8">
        <w:t>point against</w:t>
      </w:r>
      <w:r w:rsidR="00A50D0B" w:rsidRPr="004C78D8">
        <w:t xml:space="preserve"> which the simplifications are </w:t>
      </w:r>
      <w:r w:rsidR="00D93EF2" w:rsidRPr="004C78D8">
        <w:t>formulated and justified</w:t>
      </w:r>
      <w:r w:rsidR="00A50D0B" w:rsidRPr="004C78D8">
        <w:t xml:space="preserve">. </w:t>
      </w:r>
      <w:r w:rsidR="00047B17" w:rsidRPr="004C78D8">
        <w:t>Such</w:t>
      </w:r>
      <w:r w:rsidR="00A50D0B" w:rsidRPr="004C78D8">
        <w:t xml:space="preserve"> critical evaluation is conducted in Chapters 6 and 7 for the model developed in Chapter 5.</w:t>
      </w:r>
    </w:p>
    <w:p w14:paraId="5D6650A2" w14:textId="77777777" w:rsidR="00EE5CA6" w:rsidRPr="004C78D8" w:rsidRDefault="00EE5CA6" w:rsidP="00FB7C1F"/>
    <w:p w14:paraId="29687D01" w14:textId="0D8362E8" w:rsidR="00847697" w:rsidRPr="004C78D8" w:rsidRDefault="00847697" w:rsidP="00FB7C1F">
      <w:pPr>
        <w:pStyle w:val="Heading2"/>
      </w:pPr>
      <w:bookmarkStart w:id="100" w:name="_Toc93566866"/>
      <w:bookmarkStart w:id="101" w:name="_Toc111630745"/>
      <w:r w:rsidRPr="004C78D8">
        <w:t>3.9 Chapter summary</w:t>
      </w:r>
      <w:bookmarkEnd w:id="100"/>
      <w:bookmarkEnd w:id="101"/>
    </w:p>
    <w:p w14:paraId="2B01AC2C" w14:textId="018AD68B" w:rsidR="00AD394F" w:rsidRPr="004C78D8" w:rsidRDefault="00BB1D72" w:rsidP="00FB7C1F">
      <w:r w:rsidRPr="004C78D8">
        <w:t>Overall, the result of this chapter l</w:t>
      </w:r>
      <w:r w:rsidR="003B37F0" w:rsidRPr="004C78D8">
        <w:t xml:space="preserve">ikely </w:t>
      </w:r>
      <w:r w:rsidRPr="004C78D8">
        <w:t>represent</w:t>
      </w:r>
      <w:r w:rsidR="003B37F0" w:rsidRPr="004C78D8">
        <w:t>s</w:t>
      </w:r>
      <w:r w:rsidRPr="004C78D8">
        <w:t xml:space="preserve"> the most rigorous attempt to date at conceptualising an economic model of community-based falls prevention at local health economy level</w:t>
      </w:r>
      <w:r w:rsidR="000152F0" w:rsidRPr="004C78D8">
        <w:t>.</w:t>
      </w:r>
      <w:r w:rsidR="003B37F0" w:rsidRPr="004C78D8">
        <w:t xml:space="preserve"> </w:t>
      </w:r>
      <w:r w:rsidR="00151DB8" w:rsidRPr="004C78D8">
        <w:t xml:space="preserve">It will inform all subsequent chapters in this thesis. </w:t>
      </w:r>
      <w:r w:rsidR="003B37F0" w:rsidRPr="004C78D8">
        <w:t xml:space="preserve">As mentioned, it is a case study in applying the </w:t>
      </w:r>
      <w:r w:rsidR="00C50088" w:rsidRPr="004C78D8">
        <w:t xml:space="preserve">published </w:t>
      </w:r>
      <w:r w:rsidR="003B37F0" w:rsidRPr="004C78D8">
        <w:t xml:space="preserve">framework for public health model conceptualisation </w:t>
      </w:r>
      <w:r w:rsidR="003B37F0" w:rsidRPr="004C78D8">
        <w:fldChar w:fldCharType="begin"/>
      </w:r>
      <w:r w:rsidR="003B37F0" w:rsidRPr="004C78D8">
        <w:instrText xml:space="preserve"> ADDIN EN.CITE &lt;EndNote&gt;&lt;Cite&gt;&lt;Author&gt;Squires&lt;/Author&gt;&lt;Year&gt;2016&lt;/Year&gt;&lt;RecNum&gt;158&lt;/RecNum&gt;&lt;DisplayText&gt;[1]&lt;/DisplayText&gt;&lt;record&gt;&lt;rec-number&gt;158&lt;/rec-number&gt;&lt;foreign-keys&gt;&lt;key app="EN" db-id="tdtrdw9aepptzbefsat599syza29sxsd2wsp" timestamp="1609254669"&gt;158&lt;/key&gt;&lt;/foreign-keys&gt;&lt;ref-type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framework for developing the structure of public health economic models&lt;/title&gt;&lt;secondary-title&gt;Value in Health&lt;/secondary-title&gt;&lt;/titles&gt;&lt;periodical&gt;&lt;full-title&gt;Value in Health&lt;/full-title&gt;&lt;/periodical&gt;&lt;pages&gt;588-601&lt;/pages&gt;&lt;volume&gt;19&lt;/volume&gt;&lt;number&gt;5&lt;/number&gt;&lt;dates&gt;&lt;year&gt;2016&lt;/year&gt;&lt;/dates&gt;&lt;isbn&gt;1098-3015&lt;/isbn&gt;&lt;urls&gt;&lt;/urls&gt;&lt;research-notes&gt;1&lt;/research-notes&gt;&lt;/record&gt;&lt;/Cite&gt;&lt;/EndNote&gt;</w:instrText>
      </w:r>
      <w:r w:rsidR="003B37F0" w:rsidRPr="004C78D8">
        <w:fldChar w:fldCharType="separate"/>
      </w:r>
      <w:r w:rsidR="003B37F0" w:rsidRPr="004C78D8">
        <w:rPr>
          <w:noProof/>
        </w:rPr>
        <w:t>[1]</w:t>
      </w:r>
      <w:r w:rsidR="003B37F0" w:rsidRPr="004C78D8">
        <w:fldChar w:fldCharType="end"/>
      </w:r>
      <w:r w:rsidR="003B37F0" w:rsidRPr="004C78D8">
        <w:t xml:space="preserve"> and hence </w:t>
      </w:r>
      <w:r w:rsidR="00E6762D" w:rsidRPr="004C78D8">
        <w:t xml:space="preserve">can </w:t>
      </w:r>
      <w:r w:rsidR="00EE5CA6" w:rsidRPr="004C78D8">
        <w:t>serve as an example to</w:t>
      </w:r>
      <w:r w:rsidR="003B37F0" w:rsidRPr="004C78D8">
        <w:t xml:space="preserve"> future projects applying the </w:t>
      </w:r>
      <w:r w:rsidR="00EE5CA6" w:rsidRPr="004C78D8">
        <w:t xml:space="preserve">same </w:t>
      </w:r>
      <w:r w:rsidR="003B37F0" w:rsidRPr="004C78D8">
        <w:t>framework</w:t>
      </w:r>
      <w:r w:rsidR="008336FA" w:rsidRPr="004C78D8">
        <w:t xml:space="preserve"> </w:t>
      </w:r>
      <w:r w:rsidR="00EE5CA6" w:rsidRPr="004C78D8">
        <w:t>to</w:t>
      </w:r>
      <w:r w:rsidR="008336FA" w:rsidRPr="004C78D8">
        <w:t xml:space="preserve"> diverse </w:t>
      </w:r>
      <w:r w:rsidR="00EE5CA6" w:rsidRPr="004C78D8">
        <w:t xml:space="preserve">geriatric and non-geriatric </w:t>
      </w:r>
      <w:r w:rsidR="008336FA" w:rsidRPr="004C78D8">
        <w:t xml:space="preserve">public health areas. </w:t>
      </w:r>
    </w:p>
    <w:p w14:paraId="6DC7F07D" w14:textId="60D106EE" w:rsidR="00AD394F" w:rsidRPr="004C78D8" w:rsidRDefault="00AD394F" w:rsidP="00FB7C1F"/>
    <w:p w14:paraId="4E03CB53" w14:textId="77777777" w:rsidR="00AD394F" w:rsidRPr="004C78D8" w:rsidRDefault="00AD394F" w:rsidP="00FB7C1F">
      <w:r w:rsidRPr="004C78D8">
        <w:br w:type="page"/>
      </w:r>
    </w:p>
    <w:p w14:paraId="47231A15" w14:textId="1A935575" w:rsidR="0023127F" w:rsidRPr="004C78D8" w:rsidRDefault="0023127F" w:rsidP="00972766">
      <w:pPr>
        <w:pStyle w:val="Heading1"/>
      </w:pPr>
      <w:bookmarkStart w:id="102" w:name="_Toc93566874"/>
      <w:bookmarkStart w:id="103" w:name="_Toc111630746"/>
      <w:r w:rsidRPr="004C78D8">
        <w:lastRenderedPageBreak/>
        <w:t xml:space="preserve">Chapter </w:t>
      </w:r>
      <w:r w:rsidR="00C27CBC" w:rsidRPr="004C78D8">
        <w:t>4</w:t>
      </w:r>
      <w:r w:rsidRPr="004C78D8">
        <w:t>. Systematic Review of Falls Prevention Economic Models</w:t>
      </w:r>
      <w:bookmarkEnd w:id="102"/>
      <w:bookmarkEnd w:id="103"/>
    </w:p>
    <w:p w14:paraId="28AC8121" w14:textId="77777777" w:rsidR="0023127F" w:rsidRPr="004C78D8" w:rsidRDefault="0023127F" w:rsidP="00FB7C1F"/>
    <w:p w14:paraId="7CE29F3C" w14:textId="21422825" w:rsidR="0023127F" w:rsidRPr="004C78D8" w:rsidRDefault="001E70DB" w:rsidP="00FB7C1F">
      <w:pPr>
        <w:pStyle w:val="Heading2"/>
      </w:pPr>
      <w:bookmarkStart w:id="104" w:name="_Toc93566875"/>
      <w:bookmarkStart w:id="105" w:name="_Toc111630747"/>
      <w:r w:rsidRPr="004C78D8">
        <w:t>4</w:t>
      </w:r>
      <w:r w:rsidR="0023127F" w:rsidRPr="004C78D8">
        <w:t>.1 Chapter outline</w:t>
      </w:r>
      <w:bookmarkEnd w:id="104"/>
      <w:bookmarkEnd w:id="105"/>
    </w:p>
    <w:p w14:paraId="024C60B0" w14:textId="4221AA86" w:rsidR="00DD1A7E" w:rsidRPr="004C78D8" w:rsidRDefault="00DD1A7E" w:rsidP="00FB7C1F">
      <w:r w:rsidRPr="004C78D8">
        <w:t xml:space="preserve">The aim of this chapter is to conduct a systematic review of community-based falls prevention economic models. </w:t>
      </w:r>
      <w:r w:rsidR="00FA7FC7" w:rsidRPr="004C78D8">
        <w:t>The main objectives are</w:t>
      </w:r>
      <w:r w:rsidR="00B53FAB" w:rsidRPr="004C78D8">
        <w:t xml:space="preserve"> to</w:t>
      </w:r>
      <w:r w:rsidR="00FA7FC7" w:rsidRPr="004C78D8">
        <w:t>:</w:t>
      </w:r>
    </w:p>
    <w:p w14:paraId="77B5F9C4" w14:textId="747E8574" w:rsidR="00FA7FC7" w:rsidRPr="004C78D8" w:rsidRDefault="00B53FAB" w:rsidP="00FB7C1F">
      <w:pPr>
        <w:pStyle w:val="ListParagraph"/>
        <w:numPr>
          <w:ilvl w:val="0"/>
          <w:numId w:val="16"/>
        </w:numPr>
      </w:pPr>
      <w:r w:rsidRPr="004C78D8">
        <w:t>S</w:t>
      </w:r>
      <w:r w:rsidR="00FA7FC7" w:rsidRPr="004C78D8">
        <w:t>ystematically search for and identify community-based falls prevention decision models.</w:t>
      </w:r>
    </w:p>
    <w:p w14:paraId="3166AD79" w14:textId="4472F8DD" w:rsidR="0023127F" w:rsidRPr="004C78D8" w:rsidRDefault="00B53FAB" w:rsidP="00FB7C1F">
      <w:pPr>
        <w:pStyle w:val="ListParagraph"/>
        <w:numPr>
          <w:ilvl w:val="0"/>
          <w:numId w:val="16"/>
        </w:numPr>
      </w:pPr>
      <w:r w:rsidRPr="004C78D8">
        <w:t>D</w:t>
      </w:r>
      <w:r w:rsidR="00262CDA" w:rsidRPr="004C78D8">
        <w:t>escribe</w:t>
      </w:r>
      <w:r w:rsidR="0023127F" w:rsidRPr="004C78D8">
        <w:t xml:space="preserve"> </w:t>
      </w:r>
      <w:r w:rsidR="00262CDA" w:rsidRPr="004C78D8">
        <w:t xml:space="preserve">and critically appraise </w:t>
      </w:r>
      <w:r w:rsidR="0023127F" w:rsidRPr="004C78D8">
        <w:t>the methods, evidence</w:t>
      </w:r>
      <w:r w:rsidR="00E64845" w:rsidRPr="004C78D8">
        <w:t>,</w:t>
      </w:r>
      <w:r w:rsidR="0023127F" w:rsidRPr="004C78D8">
        <w:t xml:space="preserve"> and results of </w:t>
      </w:r>
      <w:r w:rsidR="00262CDA" w:rsidRPr="004C78D8">
        <w:t>identified</w:t>
      </w:r>
      <w:r w:rsidR="0023127F" w:rsidRPr="004C78D8">
        <w:t xml:space="preserve"> models</w:t>
      </w:r>
      <w:r w:rsidR="00262CDA" w:rsidRPr="004C78D8">
        <w:t>.</w:t>
      </w:r>
    </w:p>
    <w:p w14:paraId="0B6C126C" w14:textId="09C20CC2" w:rsidR="00B53FAB" w:rsidRPr="004C78D8" w:rsidRDefault="00B53FAB" w:rsidP="00FB7C1F">
      <w:pPr>
        <w:pStyle w:val="ListParagraph"/>
        <w:numPr>
          <w:ilvl w:val="0"/>
          <w:numId w:val="16"/>
        </w:numPr>
      </w:pPr>
      <w:r w:rsidRPr="004C78D8">
        <w:t>Formulate methodological recommendations for model development based on the critical appraisal</w:t>
      </w:r>
      <w:r w:rsidR="00CB1C26" w:rsidRPr="004C78D8">
        <w:t>, focusing on features of falls epidemiology, falls prevention interventions, challenges associated with public health modelling, evaluation methods</w:t>
      </w:r>
      <w:r w:rsidR="00E64845" w:rsidRPr="004C78D8">
        <w:t>,</w:t>
      </w:r>
      <w:r w:rsidR="008B10EB" w:rsidRPr="004C78D8">
        <w:t xml:space="preserve"> and use of evaluation outcomes.</w:t>
      </w:r>
    </w:p>
    <w:p w14:paraId="4B19CD87" w14:textId="7470131D" w:rsidR="0023127F" w:rsidRPr="004C78D8" w:rsidRDefault="00B53FAB" w:rsidP="00FB7C1F">
      <w:pPr>
        <w:pStyle w:val="ListParagraph"/>
        <w:numPr>
          <w:ilvl w:val="0"/>
          <w:numId w:val="16"/>
        </w:numPr>
      </w:pPr>
      <w:r w:rsidRPr="004C78D8">
        <w:t>Formulate commissioning recommendations based on the results and methodolog</w:t>
      </w:r>
      <w:r w:rsidR="008B10EB" w:rsidRPr="004C78D8">
        <w:t>ical</w:t>
      </w:r>
      <w:r w:rsidRPr="004C78D8">
        <w:t xml:space="preserve"> quality of models.</w:t>
      </w:r>
    </w:p>
    <w:p w14:paraId="37EE9454" w14:textId="30EE5BD4" w:rsidR="0023127F" w:rsidRPr="004C78D8" w:rsidRDefault="00C03589" w:rsidP="00FB7C1F">
      <w:r w:rsidRPr="004C78D8">
        <w:t xml:space="preserve">This systematic review can inform commissioners and other consumers of economic evidence (e.g., care professionals and patient groups), modellers producing the evidence for falls prevention and other public health areas, </w:t>
      </w:r>
      <w:r w:rsidR="00D26A07" w:rsidRPr="004C78D8">
        <w:t>and</w:t>
      </w:r>
      <w:r w:rsidRPr="004C78D8">
        <w:t xml:space="preserve"> systematic reviewers interested in the review methodology. In this thesis, the review results inform the model parameterisation in Chapter </w:t>
      </w:r>
      <w:r w:rsidR="000E3AAA" w:rsidRPr="004C78D8">
        <w:t>5</w:t>
      </w:r>
      <w:r w:rsidRPr="004C78D8">
        <w:t xml:space="preserve"> and establish points of comparison for understanding the relative strengths and limitations of the developed model</w:t>
      </w:r>
      <w:r w:rsidR="00DF4A89" w:rsidRPr="004C78D8">
        <w:t xml:space="preserve"> (</w:t>
      </w:r>
      <w:r w:rsidR="00D26A07" w:rsidRPr="004C78D8">
        <w:t>see, e.g.,</w:t>
      </w:r>
      <w:r w:rsidR="00DF4A89" w:rsidRPr="004C78D8">
        <w:t xml:space="preserve"> </w:t>
      </w:r>
      <w:r w:rsidR="00D26A07" w:rsidRPr="004C78D8">
        <w:t xml:space="preserve">Section </w:t>
      </w:r>
      <w:r w:rsidR="000E3AAA" w:rsidRPr="004C78D8">
        <w:t>6</w:t>
      </w:r>
      <w:r w:rsidR="00D26A07" w:rsidRPr="004C78D8">
        <w:t>.6.</w:t>
      </w:r>
      <w:r w:rsidR="00905685" w:rsidRPr="004C78D8">
        <w:t>4</w:t>
      </w:r>
      <w:r w:rsidR="00DF4A89" w:rsidRPr="004C78D8">
        <w:t>).</w:t>
      </w:r>
    </w:p>
    <w:p w14:paraId="529A66C1" w14:textId="53FD2D9C" w:rsidR="00DF4A89" w:rsidRPr="004C78D8" w:rsidRDefault="00DF4A89" w:rsidP="00FB7C1F">
      <w:r w:rsidRPr="004C78D8">
        <w:t xml:space="preserve">Section </w:t>
      </w:r>
      <w:r w:rsidR="000E3AAA" w:rsidRPr="004C78D8">
        <w:t>4</w:t>
      </w:r>
      <w:r w:rsidRPr="004C78D8">
        <w:t xml:space="preserve">.2 provides further background to the systematic review and Section </w:t>
      </w:r>
      <w:r w:rsidR="000E3AAA" w:rsidRPr="004C78D8">
        <w:t>4</w:t>
      </w:r>
      <w:r w:rsidRPr="004C78D8">
        <w:t xml:space="preserve">.3 describes the review methods. Results of the systematic review are presented in three parts: Section </w:t>
      </w:r>
      <w:r w:rsidR="000E3AAA" w:rsidRPr="004C78D8">
        <w:t>4</w:t>
      </w:r>
      <w:r w:rsidRPr="004C78D8">
        <w:t xml:space="preserve">.4 provides an overview of the identified models and </w:t>
      </w:r>
      <w:r w:rsidR="0068704A" w:rsidRPr="004C78D8">
        <w:t xml:space="preserve">checklist scores for assessing their methodological and reporting quality; Section </w:t>
      </w:r>
      <w:r w:rsidR="000E3AAA" w:rsidRPr="004C78D8">
        <w:t>4</w:t>
      </w:r>
      <w:r w:rsidR="0068704A" w:rsidRPr="004C78D8">
        <w:t xml:space="preserve">.5 </w:t>
      </w:r>
      <w:r w:rsidR="00A11CF6" w:rsidRPr="004C78D8">
        <w:t xml:space="preserve">provides </w:t>
      </w:r>
      <w:r w:rsidR="0068704A" w:rsidRPr="004C78D8">
        <w:t xml:space="preserve">the results of narrative synthesis and critical appraisal; and Section </w:t>
      </w:r>
      <w:r w:rsidR="000E3AAA" w:rsidRPr="004C78D8">
        <w:t>4</w:t>
      </w:r>
      <w:r w:rsidR="0068704A" w:rsidRPr="004C78D8">
        <w:t xml:space="preserve">.6 </w:t>
      </w:r>
      <w:r w:rsidR="00A11CF6" w:rsidRPr="004C78D8">
        <w:t xml:space="preserve">formulates </w:t>
      </w:r>
      <w:r w:rsidR="0068704A" w:rsidRPr="004C78D8">
        <w:t xml:space="preserve">the methodological and commissioning recommendations based on the critical appraisal and evaluation outcomes. Section </w:t>
      </w:r>
      <w:r w:rsidR="000E3AAA" w:rsidRPr="004C78D8">
        <w:t>4</w:t>
      </w:r>
      <w:r w:rsidR="0068704A" w:rsidRPr="004C78D8">
        <w:t xml:space="preserve">.7 discusses the findings, and Section </w:t>
      </w:r>
      <w:r w:rsidR="000E3AAA" w:rsidRPr="004C78D8">
        <w:t>4</w:t>
      </w:r>
      <w:r w:rsidR="0068704A" w:rsidRPr="004C78D8">
        <w:t>.8 concludes</w:t>
      </w:r>
      <w:r w:rsidR="00D26A07" w:rsidRPr="004C78D8">
        <w:t>.</w:t>
      </w:r>
    </w:p>
    <w:p w14:paraId="772613FB" w14:textId="4F128266" w:rsidR="00D26A07" w:rsidRPr="004C78D8" w:rsidRDefault="00D26A07" w:rsidP="00FB7C1F">
      <w:pPr>
        <w:rPr>
          <w:rFonts w:eastAsia="Times New Roman"/>
          <w:color w:val="000000"/>
          <w:lang w:eastAsia="zh-CN"/>
        </w:rPr>
      </w:pPr>
      <w:r w:rsidRPr="004C78D8">
        <w:t xml:space="preserve">This chapter was submitted as two articles for publication: </w:t>
      </w:r>
      <w:r w:rsidR="001F731F" w:rsidRPr="004C78D8">
        <w:t>the first</w:t>
      </w:r>
      <w:r w:rsidRPr="004C78D8">
        <w:t xml:space="preserve"> was </w:t>
      </w:r>
      <w:r w:rsidR="00E64845" w:rsidRPr="004C78D8">
        <w:t>published</w:t>
      </w:r>
      <w:r w:rsidRPr="004C78D8">
        <w:t xml:space="preserve"> in </w:t>
      </w:r>
      <w:r w:rsidRPr="004C78D8">
        <w:rPr>
          <w:i/>
          <w:iCs/>
        </w:rPr>
        <w:t xml:space="preserve">BMC Health Services Research </w:t>
      </w:r>
      <w:r w:rsidR="001F731F" w:rsidRPr="004C78D8">
        <w:t>on</w:t>
      </w:r>
      <w:r w:rsidRPr="004C78D8">
        <w:t xml:space="preserve"> </w:t>
      </w:r>
      <w:r w:rsidR="00E64845" w:rsidRPr="004C78D8">
        <w:t>7</w:t>
      </w:r>
      <w:r w:rsidR="00E64845" w:rsidRPr="004C78D8">
        <w:rPr>
          <w:vertAlign w:val="superscript"/>
        </w:rPr>
        <w:t>th</w:t>
      </w:r>
      <w:r w:rsidR="00E64845" w:rsidRPr="004C78D8">
        <w:t xml:space="preserve"> March</w:t>
      </w:r>
      <w:r w:rsidRPr="004C78D8">
        <w:t xml:space="preserve"> 2022</w:t>
      </w:r>
      <w:r w:rsidR="009C3869" w:rsidRPr="004C78D8">
        <w:t xml:space="preserve"> </w:t>
      </w:r>
      <w:r w:rsidR="001F731F" w:rsidRPr="004C78D8">
        <w:fldChar w:fldCharType="begin"/>
      </w:r>
      <w:r w:rsidR="00C630FC" w:rsidRPr="004C78D8">
        <w:instrText xml:space="preserve"> ADDIN EN.CITE &lt;EndNote&gt;&lt;Cite&gt;&lt;Author&gt;Kwon&lt;/Author&gt;&lt;Year&gt;2022&lt;/Year&gt;&lt;RecNum&gt;590&lt;/RecNum&gt;&lt;DisplayText&gt;[325]&lt;/DisplayText&gt;&lt;record&gt;&lt;rec-number&gt;590&lt;/rec-number&gt;&lt;foreign-keys&gt;&lt;key app="EN" db-id="tdtrdw9aepptzbefsat599syza29sxsd2wsp" timestamp="1622637416"&gt;590&lt;/key&gt;&lt;/foreign-keys&gt;&lt;ref-type name="Journal Article"&gt;17&lt;/ref-type&gt;&lt;contributors&gt;&lt;authors&gt;&lt;author&gt;Kwon, J &lt;/author&gt;&lt;author&gt;Squires, H&lt;/author&gt;&lt;author&gt;Franklin, M &lt;/author&gt;&lt;author&gt;Lee, Y&lt;/author&gt;&lt;author&gt;Young, T&lt;/author&gt;&lt;/authors&gt;&lt;/contributors&gt;&lt;titles&gt;&lt;title&gt;Economic models of community-based falls prevention: a systematic review with subsequent commissioning and methodological recommendations&lt;/title&gt;&lt;secondary-title&gt;BMC Health Serv Res&lt;/secondary-title&gt;&lt;/titles&gt;&lt;periodical&gt;&lt;full-title&gt;BMC Health Serv Res&lt;/full-title&gt;&lt;/periodical&gt;&lt;volume&gt;22&lt;/volume&gt;&lt;num-vols&gt;316&lt;/num-vols&gt;&lt;dates&gt;&lt;year&gt;2022&lt;/year&gt;&lt;/dates&gt;&lt;urls&gt;&lt;/urls&gt;&lt;electronic-resource-num&gt;10.1186/s12913-022-07647-6&lt;/electronic-resource-num&gt;&lt;/record&gt;&lt;/Cite&gt;&lt;/EndNote&gt;</w:instrText>
      </w:r>
      <w:r w:rsidR="001F731F" w:rsidRPr="004C78D8">
        <w:fldChar w:fldCharType="separate"/>
      </w:r>
      <w:r w:rsidR="00C630FC" w:rsidRPr="004C78D8">
        <w:rPr>
          <w:noProof/>
        </w:rPr>
        <w:t>[325]</w:t>
      </w:r>
      <w:r w:rsidR="001F731F" w:rsidRPr="004C78D8">
        <w:fldChar w:fldCharType="end"/>
      </w:r>
      <w:r w:rsidR="009C3869" w:rsidRPr="004C78D8">
        <w:t xml:space="preserve">; the second </w:t>
      </w:r>
      <w:r w:rsidR="001F731F" w:rsidRPr="004C78D8">
        <w:t xml:space="preserve">in </w:t>
      </w:r>
      <w:r w:rsidR="001F731F" w:rsidRPr="004C78D8">
        <w:rPr>
          <w:i/>
          <w:iCs/>
        </w:rPr>
        <w:t>Cost Effectiveness and Resource Allocation</w:t>
      </w:r>
      <w:r w:rsidR="001F731F" w:rsidRPr="004C78D8">
        <w:t xml:space="preserve"> on </w:t>
      </w:r>
      <w:r w:rsidR="001E70DB" w:rsidRPr="004C78D8">
        <w:t>4</w:t>
      </w:r>
      <w:r w:rsidR="001E70DB" w:rsidRPr="00972766">
        <w:rPr>
          <w:vertAlign w:val="superscript"/>
        </w:rPr>
        <w:t>th</w:t>
      </w:r>
      <w:r w:rsidR="001E70DB" w:rsidRPr="004C78D8">
        <w:t xml:space="preserve"> July 2022</w:t>
      </w:r>
      <w:r w:rsidR="001F731F" w:rsidRPr="004C78D8">
        <w:t xml:space="preserve"> </w:t>
      </w:r>
      <w:r w:rsidR="001F731F" w:rsidRPr="004C78D8">
        <w:fldChar w:fldCharType="begin"/>
      </w:r>
      <w:r w:rsidR="00C630FC" w:rsidRPr="004C78D8">
        <w:instrText xml:space="preserve"> ADDIN EN.CITE &lt;EndNote&gt;&lt;Cite&gt;&lt;Author&gt;Kwon&lt;/Author&gt;&lt;Year&gt;2022&lt;/Year&gt;&lt;RecNum&gt;594&lt;/RecNum&gt;&lt;DisplayText&gt;[326]&lt;/DisplayText&gt;&lt;record&gt;&lt;rec-number&gt;594&lt;/rec-number&gt;&lt;foreign-keys&gt;&lt;key app="EN" db-id="tdtrdw9aepptzbefsat599syza29sxsd2wsp" timestamp="1623073605"&gt;594&lt;/key&gt;&lt;/foreign-keys&gt;&lt;ref-type name="Journal Article"&gt;17&lt;/ref-type&gt;&lt;contributors&gt;&lt;authors&gt;&lt;author&gt;Kwon, J&lt;/author&gt;&lt;author&gt;Squires, H&lt;/author&gt;&lt;author&gt;Franklin, M&lt;/author&gt;&lt;author&gt;Young, T&lt;/author&gt;&lt;/authors&gt;&lt;/contributors&gt;&lt;titles&gt;&lt;title&gt;Systematic review and critical methodological appraisal of community-based falls prevention economic models.&lt;/title&gt;&lt;secondary-title&gt;Cost Effectiveness and Resource Allocation&lt;/secondary-title&gt;&lt;/titles&gt;&lt;periodical&gt;&lt;full-title&gt;Cost Effectiveness and Resource Allocation&lt;/full-title&gt;&lt;/periodical&gt;&lt;volume&gt;20&lt;/volume&gt;&lt;num-vols&gt;33&lt;/num-vols&gt;&lt;dates&gt;&lt;year&gt;2022&lt;/year&gt;&lt;/dates&gt;&lt;urls&gt;&lt;/urls&gt;&lt;electronic-resource-num&gt;https://doi.org/10.1186/s12962-022-00367-y&lt;/electronic-resource-num&gt;&lt;/record&gt;&lt;/Cite&gt;&lt;/EndNote&gt;</w:instrText>
      </w:r>
      <w:r w:rsidR="001F731F" w:rsidRPr="004C78D8">
        <w:fldChar w:fldCharType="separate"/>
      </w:r>
      <w:r w:rsidR="00C630FC" w:rsidRPr="004C78D8">
        <w:rPr>
          <w:noProof/>
        </w:rPr>
        <w:t>[326]</w:t>
      </w:r>
      <w:r w:rsidR="001F731F" w:rsidRPr="004C78D8">
        <w:fldChar w:fldCharType="end"/>
      </w:r>
      <w:r w:rsidRPr="004C78D8">
        <w:t xml:space="preserve">. </w:t>
      </w:r>
      <w:r w:rsidR="001F731F" w:rsidRPr="004C78D8">
        <w:t>Both</w:t>
      </w:r>
      <w:r w:rsidRPr="004C78D8">
        <w:t xml:space="preserve"> article</w:t>
      </w:r>
      <w:r w:rsidR="001F731F" w:rsidRPr="004C78D8">
        <w:t>s</w:t>
      </w:r>
      <w:r w:rsidRPr="004C78D8">
        <w:t xml:space="preserve"> </w:t>
      </w:r>
      <w:r w:rsidR="001E70DB" w:rsidRPr="004C78D8">
        <w:t>are</w:t>
      </w:r>
      <w:r w:rsidRPr="004C78D8">
        <w:t xml:space="preserve"> published open access following the requirement of the Wellcome Trust who financially sponsored this work [grant reference 108903/B/15/Z]. </w:t>
      </w:r>
      <w:r w:rsidRPr="004C78D8">
        <w:rPr>
          <w:rFonts w:eastAsia="Times New Roman"/>
          <w:color w:val="000000"/>
          <w:lang w:eastAsia="zh-CN"/>
        </w:rPr>
        <w:t xml:space="preserve">The conditions of the open access publishing allow use of the final published PDF, original submission or accepted manuscript in this thesis (including in any electronic institutional repository or database). The content of this chapter largely overlaps with </w:t>
      </w:r>
      <w:r w:rsidR="001F731F" w:rsidRPr="004C78D8">
        <w:rPr>
          <w:rFonts w:eastAsia="Times New Roman"/>
          <w:color w:val="000000"/>
          <w:lang w:eastAsia="zh-CN"/>
        </w:rPr>
        <w:t>those</w:t>
      </w:r>
      <w:r w:rsidRPr="004C78D8">
        <w:rPr>
          <w:rFonts w:eastAsia="Times New Roman"/>
          <w:color w:val="000000"/>
          <w:lang w:eastAsia="zh-CN"/>
        </w:rPr>
        <w:t xml:space="preserve"> of the </w:t>
      </w:r>
      <w:r w:rsidR="001E70DB" w:rsidRPr="004C78D8">
        <w:rPr>
          <w:rFonts w:eastAsia="Times New Roman"/>
          <w:color w:val="000000"/>
          <w:lang w:eastAsia="zh-CN"/>
        </w:rPr>
        <w:t xml:space="preserve">published </w:t>
      </w:r>
      <w:r w:rsidRPr="004C78D8">
        <w:rPr>
          <w:rFonts w:eastAsia="Times New Roman"/>
          <w:color w:val="000000"/>
          <w:lang w:eastAsia="zh-CN"/>
        </w:rPr>
        <w:t>article</w:t>
      </w:r>
      <w:r w:rsidR="001F731F" w:rsidRPr="004C78D8">
        <w:rPr>
          <w:rFonts w:eastAsia="Times New Roman"/>
          <w:color w:val="000000"/>
          <w:lang w:eastAsia="zh-CN"/>
        </w:rPr>
        <w:t>s</w:t>
      </w:r>
      <w:r w:rsidRPr="004C78D8">
        <w:rPr>
          <w:rFonts w:eastAsia="Times New Roman"/>
          <w:color w:val="000000"/>
          <w:lang w:eastAsia="zh-CN"/>
        </w:rPr>
        <w:t xml:space="preserve">. </w:t>
      </w:r>
      <w:r w:rsidR="001E70DB" w:rsidRPr="004C78D8">
        <w:rPr>
          <w:rFonts w:eastAsia="Times New Roman"/>
          <w:color w:val="000000"/>
          <w:lang w:eastAsia="zh-CN"/>
        </w:rPr>
        <w:t>See Author contributions in Appendi</w:t>
      </w:r>
      <w:r w:rsidR="00B1573A">
        <w:rPr>
          <w:rFonts w:eastAsia="Times New Roman"/>
          <w:color w:val="000000"/>
          <w:lang w:eastAsia="zh-CN"/>
        </w:rPr>
        <w:t>ces</w:t>
      </w:r>
      <w:r w:rsidR="001E70DB" w:rsidRPr="004C78D8">
        <w:rPr>
          <w:rFonts w:eastAsia="Times New Roman"/>
          <w:color w:val="000000"/>
          <w:lang w:eastAsia="zh-CN"/>
        </w:rPr>
        <w:t xml:space="preserve"> for co-authors’ contributions.</w:t>
      </w:r>
    </w:p>
    <w:p w14:paraId="5B6DFE35" w14:textId="77777777" w:rsidR="00B1725E" w:rsidRPr="004C78D8" w:rsidRDefault="00B1725E" w:rsidP="00FB7C1F"/>
    <w:p w14:paraId="594F313A" w14:textId="2A7A6DDA" w:rsidR="00F37D60" w:rsidRPr="004C78D8" w:rsidRDefault="00A911AB" w:rsidP="00FB7C1F">
      <w:pPr>
        <w:pStyle w:val="Heading2"/>
      </w:pPr>
      <w:bookmarkStart w:id="106" w:name="_Toc93566876"/>
      <w:bookmarkStart w:id="107" w:name="_Toc111630748"/>
      <w:r w:rsidRPr="004C78D8">
        <w:t>4</w:t>
      </w:r>
      <w:r w:rsidR="00F37D60" w:rsidRPr="004C78D8">
        <w:t xml:space="preserve">.2 Systematic review </w:t>
      </w:r>
      <w:r w:rsidR="0023127F" w:rsidRPr="004C78D8">
        <w:t>background</w:t>
      </w:r>
      <w:bookmarkEnd w:id="106"/>
      <w:bookmarkEnd w:id="107"/>
    </w:p>
    <w:p w14:paraId="7C712517" w14:textId="58E760BC" w:rsidR="00A911AB" w:rsidRPr="004C78D8" w:rsidRDefault="00A911AB" w:rsidP="00FB7C1F">
      <w:r w:rsidRPr="004C78D8">
        <w:t xml:space="preserve">As discussed, falls prevention economic evaluations can inform commissioning decisions by estimating the opportunity cost involved in investment </w:t>
      </w:r>
      <w:r w:rsidRPr="004C78D8">
        <w:fldChar w:fldCharType="begin"/>
      </w:r>
      <w:r w:rsidRPr="004C78D8">
        <w:instrText xml:space="preserve"> ADDIN EN.CITE &lt;EndNote&gt;&lt;Cite&gt;&lt;Author&gt;Drummond&lt;/Author&gt;&lt;Year&gt;2015&lt;/Year&gt;&lt;RecNum&gt;2&lt;/RecNum&gt;&lt;DisplayText&gt;[145]&lt;/DisplayText&gt;&lt;record&gt;&lt;rec-number&gt;2&lt;/rec-number&gt;&lt;foreign-keys&gt;&lt;key app="EN" db-id="tdtrdw9aepptzbefsat599syza29sxsd2wsp" timestamp="1596571149"&gt;2&lt;/key&gt;&lt;/foreign-keys&gt;&lt;ref-type name="Book"&gt;6&lt;/ref-type&gt;&lt;contributors&gt;&lt;authors&gt;&lt;author&gt;Drummond, Michael F&lt;/author&gt;&lt;author&gt;Sculpher, Mark J&lt;/author&gt;&lt;author&gt;Claxton, Karl&lt;/author&gt;&lt;author&gt;Stoddart, Greg L&lt;/author&gt;&lt;author&gt;Torrance, George W&lt;/author&gt;&lt;/authors&gt;&lt;/contributors&gt;&lt;titles&gt;&lt;title&gt;Methods for the economic evaluation of health care programmes&lt;/title&gt;&lt;/titles&gt;&lt;dates&gt;&lt;year&gt;2015&lt;/year&gt;&lt;/dates&gt;&lt;publisher&gt;Oxford university press&lt;/publisher&gt;&lt;isbn&gt;0191643580&lt;/isbn&gt;&lt;urls&gt;&lt;/urls&gt;&lt;/record&gt;&lt;/Cite&gt;&lt;/EndNote&gt;</w:instrText>
      </w:r>
      <w:r w:rsidRPr="004C78D8">
        <w:fldChar w:fldCharType="separate"/>
      </w:r>
      <w:r w:rsidRPr="004C78D8">
        <w:rPr>
          <w:noProof/>
        </w:rPr>
        <w:t>[145]</w:t>
      </w:r>
      <w:r w:rsidRPr="004C78D8">
        <w:fldChar w:fldCharType="end"/>
      </w:r>
      <w:r w:rsidRPr="004C78D8">
        <w:t xml:space="preserve">. The high number of falls prevention effectiveness studies </w:t>
      </w:r>
      <w:r w:rsidRPr="004C78D8">
        <w:fldChar w:fldCharType="begin">
          <w:fldData xml:space="preserve">PEVuZE5vdGU+PENpdGU+PEF1dGhvcj5HaWxsZXNwaWU8L0F1dGhvcj48WWVhcj4yMDEyPC9ZZWFy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</w:fldData>
        </w:fldChar>
      </w:r>
      <w:r w:rsidRPr="004C78D8">
        <w:instrText xml:space="preserve"> ADDIN EN.CITE </w:instrText>
      </w:r>
      <w:r w:rsidRPr="004C78D8">
        <w:fldChar w:fldCharType="begin">
          <w:fldData xml:space="preserve">PEVuZE5vdGU+PENpdGU+PEF1dGhvcj5HaWxsZXNwaWU8L0F1dGhvcj48WWVhcj4yMDEyPC9ZZWFy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</w:fldData>
        </w:fldChar>
      </w:r>
      <w:r w:rsidRPr="004C78D8">
        <w:instrText xml:space="preserve"> ADDIN EN.CITE.DATA </w:instrText>
      </w:r>
      <w:r w:rsidRPr="004C78D8">
        <w:fldChar w:fldCharType="end"/>
      </w:r>
      <w:r w:rsidRPr="004C78D8">
        <w:fldChar w:fldCharType="separate"/>
      </w:r>
      <w:r w:rsidRPr="004C78D8">
        <w:rPr>
          <w:noProof/>
        </w:rPr>
        <w:t>[124-126]</w:t>
      </w:r>
      <w:r w:rsidRPr="004C78D8">
        <w:fldChar w:fldCharType="end"/>
      </w:r>
      <w:r w:rsidRPr="004C78D8">
        <w:t xml:space="preserve"> has been accompanied by an increasing volume of economic evidence; for example, the most recent Cochrane review of falls prevention RCTs identified 12 economic evaluations for community-based falls prevention exercise alone </w:t>
      </w:r>
      <w:r w:rsidRPr="004C78D8">
        <w:fldChar w:fldCharType="begin"/>
      </w:r>
      <w:r w:rsidRPr="004C78D8">
        <w:instrText xml:space="preserve"> ADDIN EN.CITE &lt;EndNote&gt;&lt;Cite&gt;&lt;Author&gt;Sherrington&lt;/Author&gt;&lt;Year&gt;2019&lt;/Year&gt;&lt;RecNum&gt;310&lt;/RecNum&gt;&lt;DisplayText&gt;[125]&lt;/DisplayText&gt;&lt;record&gt;&lt;rec-number&gt;310&lt;/rec-number&gt;&lt;foreign-keys&gt;&lt;key app="EN" db-id="tdtrdw9aepptzbefsat599syza29sxsd2wsp" timestamp="1612016357"&gt;310&lt;/key&gt;&lt;/foreign-keys&gt;&lt;ref-type name="Journal Article"&gt;17&lt;/ref-type&gt;&lt;contributors&gt;&lt;authors&gt;&lt;author&gt;Sherrington, Catherine&lt;/author&gt;&lt;author&gt;Fairhall, Nicola J&lt;/author&gt;&lt;author&gt;Wallbank, Geraldine K&lt;/author&gt;&lt;author&gt;Tiedemann, Anne&lt;/author&gt;&lt;author&gt;Michaleff, Zoe A&lt;/author&gt;&lt;author&gt;Howard, Kirsten&lt;/author&gt;&lt;author&gt;Clemson, Lindy&lt;/author&gt;&lt;author&gt;Hopewell, Sally&lt;/author&gt;&lt;author&gt;Lamb, Sarah E&lt;/author&gt;&lt;/authors&gt;&lt;/contributors&gt;&lt;titles&gt;&lt;title&gt;Exercise for preventing falls in older people living in the community&lt;/title&gt;&lt;secondary-title&gt;Cochrane database of systematic reviews&lt;/secondary-title&gt;&lt;/titles&gt;&lt;periodical&gt;&lt;full-title&gt;Cochrane database of systematic reviews&lt;/full-title&gt;&lt;/periodical&gt;&lt;number&gt;1&lt;/number&gt;&lt;dates&gt;&lt;year&gt;2019&lt;/year&gt;&lt;/dates&gt;&lt;isbn&gt;1465-1858&lt;/isbn&gt;&lt;urls&gt;&lt;/urls&gt;&lt;/record&gt;&lt;/Cite&gt;&lt;/EndNote&gt;</w:instrText>
      </w:r>
      <w:r w:rsidRPr="004C78D8">
        <w:fldChar w:fldCharType="separate"/>
      </w:r>
      <w:r w:rsidRPr="004C78D8">
        <w:rPr>
          <w:noProof/>
        </w:rPr>
        <w:t>[125]</w:t>
      </w:r>
      <w:r w:rsidRPr="004C78D8">
        <w:fldChar w:fldCharType="end"/>
      </w:r>
      <w:r w:rsidRPr="004C78D8">
        <w:t xml:space="preserve">. The rising volume of economic evaluations has been accompanied by systematic reviews of the available evidence. For a well-formulated research question, a systematic review uses systematic and explicit methods to identify relevant studies, synthesise relevant extracted data, and critically appraise their quality </w:t>
      </w:r>
      <w:r w:rsidRPr="004C78D8">
        <w:fldChar w:fldCharType="begin"/>
      </w:r>
      <w:r w:rsidR="00C630FC" w:rsidRPr="004C78D8">
        <w:instrText xml:space="preserve"> ADDIN EN.CITE &lt;EndNote&gt;&lt;Cite&gt;&lt;Author&gt;Page&lt;/Author&gt;&lt;Year&gt;2021&lt;/Year&gt;&lt;RecNum&gt;779&lt;/RecNum&gt;&lt;DisplayText&gt;[327]&lt;/DisplayText&gt;&lt;record&gt;&lt;rec-number&gt;779&lt;/rec-number&gt;&lt;foreign-keys&gt;&lt;key app="EN" db-id="tdtrdw9aepptzbefsat599syza29sxsd2wsp" timestamp="1641855150"&gt;779&lt;/key&gt;&lt;/foreign-keys&gt;&lt;ref-type name="Journal Article"&gt;17&lt;/ref-type&gt;&lt;contributors&gt;&lt;authors&gt;&lt;author&gt;Page, Matthew J&lt;/author&gt;&lt;author&gt;McKenzie, Joanne E&lt;/author&gt;&lt;author&gt;Bossuyt, Patrick M&lt;/author&gt;&lt;author&gt;Boutron, Isabelle&lt;/author&gt;&lt;author&gt;Hoffmann, Tammy C&lt;/author&gt;&lt;author&gt;Mulrow, Cynthia D&lt;/author&gt;&lt;author&gt;Shamseer, Larissa&lt;/author&gt;&lt;author&gt;Tetzlaff, Jennifer M&lt;/author&gt;&lt;author&gt;Akl, Elie A&lt;/author&gt;&lt;author&gt;Brennan, Sue E&lt;/author&gt;&lt;/authors&gt;&lt;/contributors&gt;&lt;titles&gt;&lt;title&gt;The PRISMA 2020 statement: an updated guideline for reporting systematic reviews&lt;/title&gt;&lt;secondary-title&gt;Bmj&lt;/secondary-title&gt;&lt;/titles&gt;&lt;periodical&gt;&lt;full-title&gt;Bmj&lt;/full-title&gt;&lt;/periodical&gt;&lt;volume&gt;372&lt;/volume&gt;&lt;dates&gt;&lt;year&gt;2021&lt;/year&gt;&lt;/dates&gt;&lt;isbn&gt;1756-1833&lt;/isbn&gt;&lt;urls&gt;&lt;/urls&gt;&lt;/record&gt;&lt;/Cite&gt;&lt;/EndNote&gt;</w:instrText>
      </w:r>
      <w:r w:rsidRPr="004C78D8">
        <w:fldChar w:fldCharType="separate"/>
      </w:r>
      <w:r w:rsidR="00C630FC" w:rsidRPr="004C78D8">
        <w:rPr>
          <w:noProof/>
        </w:rPr>
        <w:t>[327]</w:t>
      </w:r>
      <w:r w:rsidRPr="004C78D8">
        <w:fldChar w:fldCharType="end"/>
      </w:r>
      <w:r w:rsidRPr="004C78D8">
        <w:t xml:space="preserve">. </w:t>
      </w:r>
    </w:p>
    <w:p w14:paraId="1BA8CF41" w14:textId="393EED01" w:rsidR="00A911AB" w:rsidRPr="004C78D8" w:rsidRDefault="00A911AB" w:rsidP="00FB7C1F">
      <w:r w:rsidRPr="004C78D8">
        <w:t xml:space="preserve">Two central functions of systematic reviews of economic evaluations can be: (A) to inform commissioning decisions; and (B) to summarise and evaluate the methodological features of economic evaluation in a topic area. Related to (A), the reviews can aid commissioning decisions by summarising </w:t>
      </w:r>
      <w:r w:rsidRPr="004C78D8">
        <w:lastRenderedPageBreak/>
        <w:t xml:space="preserve">the evaluation results most applicable to the decision-making context and/or identifying existing decision models that can be adapted and re-used </w:t>
      </w:r>
      <w:r w:rsidRPr="004C78D8">
        <w:fldChar w:fldCharType="begin"/>
      </w:r>
      <w:r w:rsidRPr="004C78D8">
        <w:instrText xml:space="preserve"> ADDIN EN.CITE &lt;EndNote&gt;&lt;Cite&gt;&lt;Author&gt;Squires&lt;/Author&gt;&lt;Year&gt;2016&lt;/Year&gt;&lt;RecNum&gt;158&lt;/RecNum&gt;&lt;DisplayText&gt;[1]&lt;/DisplayText&gt;&lt;record&gt;&lt;rec-number&gt;158&lt;/rec-number&gt;&lt;foreign-keys&gt;&lt;key app="EN" db-id="tdtrdw9aepptzbefsat599syza29sxsd2wsp" timestamp="1609254669"&gt;158&lt;/key&gt;&lt;/foreign-keys&gt;&lt;ref-type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framework for developing the structure of public health economic models&lt;/title&gt;&lt;secondary-title&gt;Value in Health&lt;/secondary-title&gt;&lt;/titles&gt;&lt;periodical&gt;&lt;full-title&gt;Value in Health&lt;/full-title&gt;&lt;/periodical&gt;&lt;pages&gt;588-601&lt;/pages&gt;&lt;volume&gt;19&lt;/volume&gt;&lt;number&gt;5&lt;/number&gt;&lt;dates&gt;&lt;year&gt;2016&lt;/year&gt;&lt;/dates&gt;&lt;isbn&gt;1098-3015&lt;/isbn&gt;&lt;urls&gt;&lt;/urls&gt;&lt;research-notes&gt;1&lt;/research-notes&gt;&lt;/record&gt;&lt;/Cite&gt;&lt;/EndNote&gt;</w:instrText>
      </w:r>
      <w:r w:rsidRPr="004C78D8">
        <w:fldChar w:fldCharType="separate"/>
      </w:r>
      <w:r w:rsidRPr="004C78D8">
        <w:rPr>
          <w:noProof/>
        </w:rPr>
        <w:t>[1]</w:t>
      </w:r>
      <w:r w:rsidRPr="004C78D8">
        <w:fldChar w:fldCharType="end"/>
      </w:r>
      <w:r w:rsidRPr="004C78D8">
        <w:t xml:space="preserve">. The development of the NICE falls prevention guideline, for example, involved a systematic review of falls prevention economic evaluations </w:t>
      </w:r>
      <w:r w:rsidRPr="004C78D8">
        <w:fldChar w:fldCharType="begin"/>
      </w:r>
      <w:r w:rsidRPr="004C78D8">
        <w:instrText xml:space="preserve"> ADDIN EN.CITE &lt;EndNote&gt;&lt;Cite&gt;&lt;Author&gt;Royal College of Nursing&lt;/Author&gt;&lt;Year&gt;2005&lt;/Year&gt;&lt;RecNum&gt;294&lt;/RecNum&gt;&lt;DisplayText&gt;[146]&lt;/DisplayText&gt;&lt;record&gt;&lt;rec-number&gt;294&lt;/rec-number&gt;&lt;foreign-keys&gt;&lt;key app="EN" db-id="tdtrdw9aepptzbefsat599syza29sxsd2wsp" timestamp="1611870926"&gt;294&lt;/key&gt;&lt;/foreign-keys&gt;&lt;ref-type name="Journal Article"&gt;17&lt;/ref-type&gt;&lt;contributors&gt;&lt;authors&gt;&lt;author&gt;Royal College of Nursing,&lt;/author&gt;&lt;/authors&gt;&lt;/contributors&gt;&lt;titles&gt;&lt;title&gt;Clinical practice guideline for the assessment and prevention of falls in older people&lt;/title&gt;&lt;secondary-title&gt;Clinical Practice Guidelines&lt;/secondary-title&gt;&lt;/titles&gt;&lt;periodical&gt;&lt;full-title&gt;Clinical Practice Guidelines&lt;/full-title&gt;&lt;/periodical&gt;&lt;volume&gt;London: Royal College of Nursing&lt;/volume&gt;&lt;dates&gt;&lt;year&gt;2005&lt;/year&gt;&lt;/dates&gt;&lt;urls&gt;&lt;/urls&gt;&lt;/record&gt;&lt;/Cite&gt;&lt;/EndNote&gt;</w:instrText>
      </w:r>
      <w:r w:rsidRPr="004C78D8">
        <w:fldChar w:fldCharType="separate"/>
      </w:r>
      <w:r w:rsidRPr="004C78D8">
        <w:rPr>
          <w:noProof/>
        </w:rPr>
        <w:t>[146]</w:t>
      </w:r>
      <w:r w:rsidRPr="004C78D8">
        <w:fldChar w:fldCharType="end"/>
      </w:r>
      <w:r w:rsidRPr="004C78D8">
        <w:t>.</w:t>
      </w:r>
    </w:p>
    <w:p w14:paraId="2C56DD98" w14:textId="2237D0B0" w:rsidR="003A3B09" w:rsidRPr="004C78D8" w:rsidRDefault="00A911AB" w:rsidP="00FB7C1F">
      <w:r w:rsidRPr="004C78D8">
        <w:t xml:space="preserve">Related to (B), systematic reviews can detail and critically appraise key methodological features of decision models </w:t>
      </w:r>
      <w:r w:rsidRPr="004C78D8">
        <w:fldChar w:fldCharType="begin"/>
      </w:r>
      <w:r w:rsidRPr="004C78D8">
        <w:instrText xml:space="preserve"> ADDIN EN.CITE &lt;EndNote&gt;&lt;Cite&gt;&lt;Author&gt;Drummond&lt;/Author&gt;&lt;Year&gt;2015&lt;/Year&gt;&lt;RecNum&gt;2&lt;/RecNum&gt;&lt;DisplayText&gt;[1, 145]&lt;/DisplayText&gt;&lt;record&gt;&lt;rec-number&gt;2&lt;/rec-number&gt;&lt;foreign-keys&gt;&lt;key app="EN" db-id="tdtrdw9aepptzbefsat599syza29sxsd2wsp" timestamp="1596571149"&gt;2&lt;/key&gt;&lt;/foreign-keys&gt;&lt;ref-type name="Book"&gt;6&lt;/ref-type&gt;&lt;contributors&gt;&lt;authors&gt;&lt;author&gt;Drummond, Michael F&lt;/author&gt;&lt;author&gt;Sculpher, Mark J&lt;/author&gt;&lt;author&gt;Claxton, Karl&lt;/author&gt;&lt;author&gt;Stoddart, Greg L&lt;/author&gt;&lt;author&gt;Torrance, George W&lt;/author&gt;&lt;/authors&gt;&lt;/contributors&gt;&lt;titles&gt;&lt;title&gt;Methods for the economic evaluation of health care programmes&lt;/title&gt;&lt;/titles&gt;&lt;dates&gt;&lt;year&gt;2015&lt;/year&gt;&lt;/dates&gt;&lt;publisher&gt;Oxford university press&lt;/publisher&gt;&lt;isbn&gt;0191643580&lt;/isbn&gt;&lt;urls&gt;&lt;/urls&gt;&lt;/record&gt;&lt;/Cite&gt;&lt;Cite&gt;&lt;Author&gt;Squires&lt;/Author&gt;&lt;Year&gt;2016&lt;/Year&gt;&lt;RecNum&gt;158&lt;/RecNum&gt;&lt;record&gt;&lt;rec-number&gt;158&lt;/rec-number&gt;&lt;foreign-keys&gt;&lt;key app="EN" db-id="tdtrdw9aepptzbefsat599syza29sxsd2wsp" timestamp="1609254669"&gt;158&lt;/key&gt;&lt;/foreign-keys&gt;&lt;ref-type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framework for developing the structure of public health economic models&lt;/title&gt;&lt;secondary-title&gt;Value in Health&lt;/secondary-title&gt;&lt;/titles&gt;&lt;periodical&gt;&lt;full-title&gt;Value in Health&lt;/full-title&gt;&lt;/periodical&gt;&lt;pages&gt;588-601&lt;/pages&gt;&lt;volume&gt;19&lt;/volume&gt;&lt;number&gt;5&lt;/number&gt;&lt;dates&gt;&lt;year&gt;2016&lt;/year&gt;&lt;/dates&gt;&lt;isbn&gt;1098-3015&lt;/isbn&gt;&lt;urls&gt;&lt;/urls&gt;&lt;research-notes&gt;1&lt;/research-notes&gt;&lt;/record&gt;&lt;/Cite&gt;&lt;/EndNote&gt;</w:instrText>
      </w:r>
      <w:r w:rsidRPr="004C78D8">
        <w:fldChar w:fldCharType="separate"/>
      </w:r>
      <w:r w:rsidRPr="004C78D8">
        <w:rPr>
          <w:noProof/>
        </w:rPr>
        <w:t>[1, 145]</w:t>
      </w:r>
      <w:r w:rsidRPr="004C78D8">
        <w:fldChar w:fldCharType="end"/>
      </w:r>
      <w:r w:rsidRPr="004C78D8">
        <w:t xml:space="preserve">. </w:t>
      </w:r>
      <w:r w:rsidR="003A3B09" w:rsidRPr="004C78D8">
        <w:t xml:space="preserve">This can be achieved by applying a pre-established methodological and reporting quality checklist, then conducting a narrative synthesis of the modelling features including their strengths and limitations </w:t>
      </w:r>
      <w:r w:rsidR="003A3B09" w:rsidRPr="004C78D8">
        <w:fldChar w:fldCharType="begin"/>
      </w:r>
      <w:r w:rsidR="003A3B09" w:rsidRPr="004C78D8">
        <w:instrText xml:space="preserve"> ADDIN EN.CITE &lt;EndNote&gt;&lt;Cite&gt;&lt;Author&gt;Davis&lt;/Author&gt;&lt;Year&gt;2011&lt;/Year&gt;&lt;RecNum&gt;286&lt;/RecNum&gt;&lt;DisplayText&gt;[105]&lt;/DisplayText&gt;&lt;record&gt;&lt;rec-number&gt;286&lt;/rec-number&gt;&lt;foreign-keys&gt;&lt;key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003A3B09" w:rsidRPr="004C78D8">
        <w:fldChar w:fldCharType="separate"/>
      </w:r>
      <w:r w:rsidR="003A3B09" w:rsidRPr="004C78D8">
        <w:rPr>
          <w:noProof/>
        </w:rPr>
        <w:t>[105]</w:t>
      </w:r>
      <w:r w:rsidR="003A3B09" w:rsidRPr="004C78D8">
        <w:fldChar w:fldCharType="end"/>
      </w:r>
      <w:r w:rsidR="003A3B09" w:rsidRPr="004C78D8">
        <w:t>. Ideally, the systematic review should perform both functions: the commissioners would benefit from the methodological appraisal that qualifies the model outcomes; the modellers basing the conceptualisation of future models on the reviewed methodological features would need to know how they affect the model results.</w:t>
      </w:r>
      <w:r w:rsidR="003A3B09" w:rsidRPr="004C78D8">
        <w:t xml:space="preserve"> </w:t>
      </w:r>
    </w:p>
    <w:p w14:paraId="6C5C6342" w14:textId="04B27277" w:rsidR="00BD01E2" w:rsidRPr="004C78D8" w:rsidRDefault="00F65B74" w:rsidP="00FB7C1F">
      <w:r w:rsidRPr="004C78D8">
        <w:t xml:space="preserve">Prior to the systematic review in this chapter, a systematic overview of previous reviews in community-based falls prevention economic evaluations was conducted and is reported in Appendix C. This </w:t>
      </w:r>
      <w:r w:rsidR="00B9534F" w:rsidRPr="004C78D8">
        <w:t xml:space="preserve">chiefly </w:t>
      </w:r>
      <w:r w:rsidRPr="004C78D8">
        <w:t xml:space="preserve">sought to appraise the methodology of previous reviews, specifically regarding how well they have performed the above functions (A) and (B). </w:t>
      </w:r>
      <w:r w:rsidR="00B9534F" w:rsidRPr="004C78D8">
        <w:t xml:space="preserve">It </w:t>
      </w:r>
      <w:r w:rsidR="00B9534F" w:rsidRPr="004C78D8">
        <w:t xml:space="preserve">identified seven reviews covering 21 decision models </w:t>
      </w:r>
      <w:r w:rsidR="00B9534F" w:rsidRPr="004C78D8">
        <w:fldChar w:fldCharType="begin">
          <w:fldData xml:space="preserve">PEVuZE5vdGU+PENpdGU+PEF1dGhvcj5Sb3lhbCBDb2xsZWdlIG9mIE51cnNpbmc8L0F1dGhvcj48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</w:fldData>
        </w:fldChar>
      </w:r>
      <w:r w:rsidR="00C630FC" w:rsidRPr="004C78D8">
        <w:instrText xml:space="preserve"> ADDIN EN.CITE </w:instrText>
      </w:r>
      <w:r w:rsidR="00C630FC" w:rsidRPr="004C78D8">
        <w:fldChar w:fldCharType="begin">
          <w:fldData xml:space="preserve">PEVuZE5vdGU+PENpdGU+PEF1dGhvcj5Sb3lhbCBDb2xsZWdlIG9mIE51cnNpbmc8L0F1dGhvcj48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</w:fldData>
        </w:fldChar>
      </w:r>
      <w:r w:rsidR="00C630FC" w:rsidRPr="004C78D8">
        <w:instrText xml:space="preserve"> ADDIN EN.CITE.DATA </w:instrText>
      </w:r>
      <w:r w:rsidR="00C630FC" w:rsidRPr="004C78D8">
        <w:fldChar w:fldCharType="end"/>
      </w:r>
      <w:r w:rsidR="00B9534F" w:rsidRPr="004C78D8">
        <w:fldChar w:fldCharType="separate"/>
      </w:r>
      <w:r w:rsidR="00C630FC" w:rsidRPr="004C78D8">
        <w:rPr>
          <w:noProof/>
        </w:rPr>
        <w:t>[146, 147, 328-332]</w:t>
      </w:r>
      <w:r w:rsidR="00B9534F" w:rsidRPr="004C78D8">
        <w:fldChar w:fldCharType="end"/>
      </w:r>
      <w:r w:rsidR="00B9534F" w:rsidRPr="004C78D8">
        <w:t xml:space="preserve">. The reviews extracted a limited range of methodological features and evaluation outcomes to inform commissioning; for example, the extracted modelling features were limited to model type and brief summaries of data sources. A pilot Medline search by the PhD researcher identified 10 models of community-based falls prevention that were not included in the seven previous reviews. These findings motivate the </w:t>
      </w:r>
      <w:r w:rsidR="00B9534F" w:rsidRPr="004C78D8">
        <w:rPr>
          <w:i/>
          <w:iCs/>
        </w:rPr>
        <w:t>de novo</w:t>
      </w:r>
      <w:r w:rsidR="00B9534F" w:rsidRPr="004C78D8">
        <w:t xml:space="preserve"> systematic review</w:t>
      </w:r>
      <w:r w:rsidRPr="004C78D8">
        <w:t>.</w:t>
      </w:r>
    </w:p>
    <w:p w14:paraId="2C36EA72" w14:textId="77777777" w:rsidR="00BD01E2" w:rsidRPr="004C78D8" w:rsidRDefault="00BD01E2" w:rsidP="00FB7C1F"/>
    <w:p w14:paraId="6D1D5C56" w14:textId="46AF4318" w:rsidR="00AE0EFF" w:rsidRPr="004C78D8" w:rsidRDefault="00717B64" w:rsidP="00FB7C1F">
      <w:pPr>
        <w:pStyle w:val="Heading2"/>
      </w:pPr>
      <w:bookmarkStart w:id="108" w:name="_Toc93566877"/>
      <w:bookmarkStart w:id="109" w:name="_Toc111630749"/>
      <w:r w:rsidRPr="004C78D8">
        <w:t>4</w:t>
      </w:r>
      <w:r w:rsidR="0023127F" w:rsidRPr="004C78D8">
        <w:t>.3</w:t>
      </w:r>
      <w:r w:rsidR="00AE0EFF" w:rsidRPr="004C78D8">
        <w:t xml:space="preserve"> </w:t>
      </w:r>
      <w:r w:rsidR="00F85EA4" w:rsidRPr="004C78D8">
        <w:t>Systematic review m</w:t>
      </w:r>
      <w:r w:rsidR="00AE0EFF" w:rsidRPr="004C78D8">
        <w:t>ethods</w:t>
      </w:r>
      <w:bookmarkEnd w:id="108"/>
      <w:bookmarkEnd w:id="109"/>
    </w:p>
    <w:p w14:paraId="11E84B42" w14:textId="31B73145" w:rsidR="005F2D76" w:rsidRPr="004C78D8" w:rsidRDefault="005F2D76" w:rsidP="00FB7C1F">
      <w:r w:rsidRPr="004C78D8">
        <w:t xml:space="preserve">The systematic review protocol is registered on the Prospective Register of Systematic Reviews (CRD42021232147). It followed the PRISMA </w:t>
      </w:r>
      <w:r w:rsidR="008838F5" w:rsidRPr="004C78D8">
        <w:t xml:space="preserve">2020 </w:t>
      </w:r>
      <w:r w:rsidRPr="004C78D8">
        <w:t>guideline</w:t>
      </w:r>
      <w:r w:rsidR="00837BFD" w:rsidRPr="004C78D8">
        <w:t xml:space="preserve"> </w:t>
      </w:r>
      <w:r w:rsidR="00837BFD" w:rsidRPr="004C78D8">
        <w:fldChar w:fldCharType="begin"/>
      </w:r>
      <w:r w:rsidR="00C630FC" w:rsidRPr="004C78D8">
        <w:instrText xml:space="preserve"> ADDIN EN.CITE &lt;EndNote&gt;&lt;Cite&gt;&lt;Author&gt;Page&lt;/Author&gt;&lt;Year&gt;2021&lt;/Year&gt;&lt;RecNum&gt;779&lt;/RecNum&gt;&lt;DisplayText&gt;[327]&lt;/DisplayText&gt;&lt;record&gt;&lt;rec-number&gt;779&lt;/rec-number&gt;&lt;foreign-keys&gt;&lt;key app="EN" db-id="tdtrdw9aepptzbefsat599syza29sxsd2wsp" timestamp="1641855150"&gt;779&lt;/key&gt;&lt;/foreign-keys&gt;&lt;ref-type name="Journal Article"&gt;17&lt;/ref-type&gt;&lt;contributors&gt;&lt;authors&gt;&lt;author&gt;Page, Matthew J&lt;/author&gt;&lt;author&gt;McKenzie, Joanne E&lt;/author&gt;&lt;author&gt;Bossuyt, Patrick M&lt;/author&gt;&lt;author&gt;Boutron, Isabelle&lt;/author&gt;&lt;author&gt;Hoffmann, Tammy C&lt;/author&gt;&lt;author&gt;Mulrow, Cynthia D&lt;/author&gt;&lt;author&gt;Shamseer, Larissa&lt;/author&gt;&lt;author&gt;Tetzlaff, Jennifer M&lt;/author&gt;&lt;author&gt;Akl, Elie A&lt;/author&gt;&lt;author&gt;Brennan, Sue E&lt;/author&gt;&lt;/authors&gt;&lt;/contributors&gt;&lt;titles&gt;&lt;title&gt;The PRISMA 2020 statement: an updated guideline for reporting systematic reviews&lt;/title&gt;&lt;secondary-title&gt;Bmj&lt;/secondary-title&gt;&lt;/titles&gt;&lt;periodical&gt;&lt;full-title&gt;Bmj&lt;/full-title&gt;&lt;/periodical&gt;&lt;volume&gt;372&lt;/volume&gt;&lt;dates&gt;&lt;year&gt;2021&lt;/year&gt;&lt;/dates&gt;&lt;isbn&gt;1756-1833&lt;/isbn&gt;&lt;urls&gt;&lt;/urls&gt;&lt;/record&gt;&lt;/Cite&gt;&lt;/EndNote&gt;</w:instrText>
      </w:r>
      <w:r w:rsidR="00837BFD" w:rsidRPr="004C78D8">
        <w:fldChar w:fldCharType="separate"/>
      </w:r>
      <w:r w:rsidR="00C630FC" w:rsidRPr="004C78D8">
        <w:rPr>
          <w:noProof/>
        </w:rPr>
        <w:t>[327]</w:t>
      </w:r>
      <w:r w:rsidR="00837BFD" w:rsidRPr="004C78D8">
        <w:fldChar w:fldCharType="end"/>
      </w:r>
      <w:r w:rsidRPr="004C78D8">
        <w:t xml:space="preserve">. </w:t>
      </w:r>
      <w:r w:rsidR="00415FEB" w:rsidRPr="004C78D8">
        <w:t xml:space="preserve">The completed PRISMA checklist is reported in the published article </w:t>
      </w:r>
      <w:r w:rsidR="00415FEB" w:rsidRPr="004C78D8">
        <w:fldChar w:fldCharType="begin"/>
      </w:r>
      <w:r w:rsidR="00C630FC" w:rsidRPr="004C78D8">
        <w:instrText xml:space="preserve"> ADDIN EN.CITE &lt;EndNote&gt;&lt;Cite&gt;&lt;Author&gt;Kwon&lt;/Author&gt;&lt;Year&gt;2022&lt;/Year&gt;&lt;RecNum&gt;590&lt;/RecNum&gt;&lt;DisplayText&gt;[325]&lt;/DisplayText&gt;&lt;record&gt;&lt;rec-number&gt;590&lt;/rec-number&gt;&lt;foreign-keys&gt;&lt;key app="EN" db-id="tdtrdw9aepptzbefsat599syza29sxsd2wsp" timestamp="1622637416"&gt;590&lt;/key&gt;&lt;/foreign-keys&gt;&lt;ref-type name="Journal Article"&gt;17&lt;/ref-type&gt;&lt;contributors&gt;&lt;authors&gt;&lt;author&gt;Kwon, J &lt;/author&gt;&lt;author&gt;Squires, H&lt;/author&gt;&lt;author&gt;Franklin, M &lt;/author&gt;&lt;author&gt;Lee, Y&lt;/author&gt;&lt;author&gt;Young, T&lt;/author&gt;&lt;/authors&gt;&lt;/contributors&gt;&lt;titles&gt;&lt;title&gt;Economic models of community-based falls prevention: a systematic review with subsequent commissioning and methodological recommendations&lt;/title&gt;&lt;secondary-title&gt;BMC Health Serv Res&lt;/secondary-title&gt;&lt;/titles&gt;&lt;periodical&gt;&lt;full-title&gt;BMC Health Serv Res&lt;/full-title&gt;&lt;/periodical&gt;&lt;volume&gt;22&lt;/volume&gt;&lt;num-vols&gt;316&lt;/num-vols&gt;&lt;dates&gt;&lt;year&gt;2022&lt;/year&gt;&lt;/dates&gt;&lt;urls&gt;&lt;/urls&gt;&lt;electronic-resource-num&gt;10.1186/s12913-022-07647-6&lt;/electronic-resource-num&gt;&lt;/record&gt;&lt;/Cite&gt;&lt;/EndNote&gt;</w:instrText>
      </w:r>
      <w:r w:rsidR="00415FEB" w:rsidRPr="004C78D8">
        <w:fldChar w:fldCharType="separate"/>
      </w:r>
      <w:r w:rsidR="00C630FC" w:rsidRPr="004C78D8">
        <w:rPr>
          <w:noProof/>
        </w:rPr>
        <w:t>[325]</w:t>
      </w:r>
      <w:r w:rsidR="00415FEB" w:rsidRPr="004C78D8">
        <w:fldChar w:fldCharType="end"/>
      </w:r>
      <w:r w:rsidR="00415FEB" w:rsidRPr="004C78D8">
        <w:t xml:space="preserve">. </w:t>
      </w:r>
      <w:r w:rsidRPr="004C78D8">
        <w:t xml:space="preserve">This section outlines the methods for: data sources and study selection (Section </w:t>
      </w:r>
      <w:r w:rsidR="00ED27EF" w:rsidRPr="004C78D8">
        <w:t>4</w:t>
      </w:r>
      <w:r w:rsidRPr="004C78D8">
        <w:t xml:space="preserve">.3.1); and data extraction and synthesis (Section </w:t>
      </w:r>
      <w:r w:rsidR="00ED27EF" w:rsidRPr="004C78D8">
        <w:t>4</w:t>
      </w:r>
      <w:r w:rsidRPr="004C78D8">
        <w:t>.3.2).</w:t>
      </w:r>
    </w:p>
    <w:p w14:paraId="1DB23FDE" w14:textId="5BEA0014" w:rsidR="00743EED" w:rsidRPr="004C78D8" w:rsidRDefault="00ED27EF" w:rsidP="00FB7C1F">
      <w:pPr>
        <w:pStyle w:val="Heading3"/>
      </w:pPr>
      <w:bookmarkStart w:id="110" w:name="_Toc111630750"/>
      <w:r w:rsidRPr="004C78D8">
        <w:t>4</w:t>
      </w:r>
      <w:r w:rsidR="0023127F" w:rsidRPr="004C78D8">
        <w:t>.3</w:t>
      </w:r>
      <w:r w:rsidR="00743EED" w:rsidRPr="004C78D8">
        <w:t xml:space="preserve">.1 </w:t>
      </w:r>
      <w:r w:rsidR="005F2D76" w:rsidRPr="004C78D8">
        <w:t>Data sources and study selection</w:t>
      </w:r>
      <w:bookmarkEnd w:id="110"/>
    </w:p>
    <w:p w14:paraId="0A3D794F" w14:textId="476E4F2E" w:rsidR="00EC232A" w:rsidRPr="004C78D8" w:rsidRDefault="00EC232A" w:rsidP="00FB7C1F">
      <w:r w:rsidRPr="004C78D8">
        <w:t>The systematic review shared the same search strategy as the systematic overview since the intersection between falls, older people and economic evaluation covered both falls prevention economic models and systematic reviews of models</w:t>
      </w:r>
      <w:r w:rsidR="008104DB" w:rsidRPr="004C78D8">
        <w:t xml:space="preserve">; </w:t>
      </w:r>
      <w:r w:rsidR="00843098" w:rsidRPr="004C78D8">
        <w:t>but they applied different inclusion and exclusion criteria</w:t>
      </w:r>
      <w:r w:rsidRPr="004C78D8">
        <w:t>. The database search strategies are hence shown in Appendix C</w:t>
      </w:r>
      <w:r w:rsidR="00843098" w:rsidRPr="004C78D8">
        <w:t xml:space="preserve"> (Tables C</w:t>
      </w:r>
      <w:r w:rsidR="00ED27EF" w:rsidRPr="004C78D8">
        <w:t>S</w:t>
      </w:r>
      <w:r w:rsidR="00893264" w:rsidRPr="004C78D8">
        <w:t>1.</w:t>
      </w:r>
      <w:r w:rsidR="00843098" w:rsidRPr="004C78D8">
        <w:t>1-C</w:t>
      </w:r>
      <w:r w:rsidR="00ED27EF" w:rsidRPr="004C78D8">
        <w:t>S</w:t>
      </w:r>
      <w:r w:rsidR="00893264" w:rsidRPr="004C78D8">
        <w:t>1.</w:t>
      </w:r>
      <w:r w:rsidR="00843098" w:rsidRPr="004C78D8">
        <w:t>8 and text). References and citations of included studies were also searched.</w:t>
      </w:r>
    </w:p>
    <w:p w14:paraId="2E75EE08" w14:textId="7D397FE5" w:rsidR="00843098" w:rsidRPr="004C78D8" w:rsidRDefault="00843098" w:rsidP="00FB7C1F">
      <w:r w:rsidRPr="004C78D8">
        <w:t>The PhD researcher and Ms Lee independently reviewed the titles and abstracts of identified articles at the first stage and the full texts of approved article at the second stage. Those that received two second-stage approvals were included for data extraction. Prof Young arbitrated in case of disagreement.</w:t>
      </w:r>
    </w:p>
    <w:p w14:paraId="784FD05C" w14:textId="3C560725" w:rsidR="00657D68" w:rsidRPr="004C78D8" w:rsidRDefault="00D639C4" w:rsidP="00FB7C1F">
      <w:r w:rsidRPr="004C78D8">
        <w:t xml:space="preserve">A study was included if it: (i) targets a population of community-dwelling older persons (aged 60+) and/or individuals aged 50-59 at high falls risk; (ii) evaluates intervention(s) designed to reduce the number of falls or fall-related injuries; (iii) against any comparator(s); (iv) reports outcomes of economic evaluation </w:t>
      </w:r>
      <w:r w:rsidRPr="004C78D8">
        <w:fldChar w:fldCharType="begin"/>
      </w:r>
      <w:r w:rsidR="00513646" w:rsidRPr="004C78D8">
        <w:instrText xml:space="preserve"> ADDIN EN.CITE &lt;EndNote&gt;&lt;Cite&gt;&lt;Author&gt;Drummond&lt;/Author&gt;&lt;Year&gt;2015&lt;/Year&gt;&lt;RecNum&gt;2&lt;/RecNum&gt;&lt;DisplayText&gt;[145]&lt;/DisplayText&gt;&lt;record&gt;&lt;rec-number&gt;2&lt;/rec-number&gt;&lt;foreign-keys&gt;&lt;key app="EN" db-id="tdtrdw9aepptzbefsat599syza29sxsd2wsp" timestamp="1596571149"&gt;2&lt;/key&gt;&lt;/foreign-keys&gt;&lt;ref-type name="Book"&gt;6&lt;/ref-type&gt;&lt;contributors&gt;&lt;authors&gt;&lt;author&gt;Drummond, Michael F&lt;/author&gt;&lt;author&gt;Sculpher, Mark J&lt;/author&gt;&lt;author&gt;Claxton, Karl&lt;/author&gt;&lt;author&gt;Stoddart, Greg L&lt;/author&gt;&lt;author&gt;Torrance, George W&lt;/author&gt;&lt;/authors&gt;&lt;/contributors&gt;&lt;titles&gt;&lt;title&gt;Methods for the economic evaluation of health care programmes&lt;/title&gt;&lt;/titles&gt;&lt;dates&gt;&lt;year&gt;2015&lt;/year&gt;&lt;/dates&gt;&lt;publisher&gt;Oxford university press&lt;/publisher&gt;&lt;isbn&gt;0191643580&lt;/isbn&gt;&lt;urls&gt;&lt;/urls&gt;&lt;/record&gt;&lt;/Cite&gt;&lt;/EndNote&gt;</w:instrText>
      </w:r>
      <w:r w:rsidRPr="004C78D8">
        <w:fldChar w:fldCharType="separate"/>
      </w:r>
      <w:r w:rsidR="00513646" w:rsidRPr="004C78D8">
        <w:rPr>
          <w:noProof/>
        </w:rPr>
        <w:t>[145]</w:t>
      </w:r>
      <w:r w:rsidRPr="004C78D8">
        <w:fldChar w:fldCharType="end"/>
      </w:r>
      <w:r w:rsidRPr="004C78D8">
        <w:t>; (v) uses a decision model; and (vi) has English full text.</w:t>
      </w:r>
      <w:r w:rsidR="002354AF" w:rsidRPr="004C78D8">
        <w:t xml:space="preserve"> </w:t>
      </w:r>
      <w:r w:rsidRPr="004C78D8">
        <w:t xml:space="preserve">Models evaluating interventions for specific disease areas (e.g., stroke) with minor falls prevention components were excluded. Interventions aiming to reduce specific falls risk factor (e.g., balance) and/or health consequences of falls (e.g., fear of falling) were excluded if the model did not explicitly incorporate falls as events. </w:t>
      </w:r>
      <w:r w:rsidR="00981E58" w:rsidRPr="004C78D8">
        <w:t>Single-vehicle</w:t>
      </w:r>
      <w:r w:rsidRPr="004C78D8">
        <w:t xml:space="preserve"> evaluations were excluded but their references searched. Eligible models included in previous systematic reviews were included </w:t>
      </w:r>
      <w:r w:rsidRPr="004C78D8">
        <w:fldChar w:fldCharType="begin">
          <w:fldData xml:space="preserve">PEVuZE5vdGU+PENpdGU+PEF1dGhvcj5Sb3lhbCBDb2xsZWdlIG9mIE51cnNpbmc8L0F1dGhvcj48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</w:fldData>
        </w:fldChar>
      </w:r>
      <w:r w:rsidR="00C630FC" w:rsidRPr="004C78D8">
        <w:instrText xml:space="preserve"> ADDIN EN.CITE </w:instrText>
      </w:r>
      <w:r w:rsidR="00C630FC" w:rsidRPr="004C78D8">
        <w:fldChar w:fldCharType="begin">
          <w:fldData xml:space="preserve">PEVuZE5vdGU+PENpdGU+PEF1dGhvcj5Sb3lhbCBDb2xsZWdlIG9mIE51cnNpbmc8L0F1dGhvcj48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[146, 147, 328-332]</w:t>
      </w:r>
      <w:r w:rsidRPr="004C78D8">
        <w:fldChar w:fldCharType="end"/>
      </w:r>
      <w:r w:rsidRPr="004C78D8">
        <w:t>.</w:t>
      </w:r>
    </w:p>
    <w:p w14:paraId="543E0E0C" w14:textId="6DE0773E" w:rsidR="00C07DEC" w:rsidRPr="004C78D8" w:rsidRDefault="006C7AF6" w:rsidP="00FB7C1F">
      <w:pPr>
        <w:pStyle w:val="Heading3"/>
      </w:pPr>
      <w:bookmarkStart w:id="111" w:name="_Toc111630751"/>
      <w:r w:rsidRPr="004C78D8">
        <w:t>4</w:t>
      </w:r>
      <w:r w:rsidR="0023127F" w:rsidRPr="004C78D8">
        <w:t>.3.2</w:t>
      </w:r>
      <w:r w:rsidR="00CB070A" w:rsidRPr="004C78D8">
        <w:t xml:space="preserve"> Data extraction</w:t>
      </w:r>
      <w:r w:rsidR="0023127F" w:rsidRPr="004C78D8">
        <w:t xml:space="preserve"> and synthesis</w:t>
      </w:r>
      <w:bookmarkEnd w:id="111"/>
    </w:p>
    <w:p w14:paraId="2A1D2897" w14:textId="25DA5F16" w:rsidR="00CB070A" w:rsidRPr="004C78D8" w:rsidRDefault="00CB070A" w:rsidP="00FB7C1F">
      <w:r w:rsidRPr="004C78D8">
        <w:t xml:space="preserve">Data extraction was </w:t>
      </w:r>
      <w:r w:rsidR="007E4027" w:rsidRPr="004C78D8">
        <w:t xml:space="preserve">primarily </w:t>
      </w:r>
      <w:r w:rsidRPr="004C78D8">
        <w:t>conducted by the PhD researcher using a pre-designed data extraction form</w:t>
      </w:r>
      <w:r w:rsidR="00D639C4" w:rsidRPr="004C78D8">
        <w:t xml:space="preserve">; the extracted data fields were informed by the conceptual model in Chapter 3. </w:t>
      </w:r>
      <w:r w:rsidR="00805D6C" w:rsidRPr="004C78D8">
        <w:t xml:space="preserve">Table </w:t>
      </w:r>
      <w:r w:rsidR="006C7AF6" w:rsidRPr="004C78D8">
        <w:t>4</w:t>
      </w:r>
      <w:r w:rsidR="00805D6C" w:rsidRPr="004C78D8">
        <w:t xml:space="preserve">.1 shows </w:t>
      </w:r>
      <w:r w:rsidR="00805D6C" w:rsidRPr="004C78D8">
        <w:lastRenderedPageBreak/>
        <w:t>the data fields extracted from identified models, including the following categories: (A) model and evaluation overview; (B) falls epidemiolog</w:t>
      </w:r>
      <w:r w:rsidR="0082780A" w:rsidRPr="004C78D8">
        <w:t>y</w:t>
      </w:r>
      <w:r w:rsidR="00805D6C" w:rsidRPr="004C78D8">
        <w:t xml:space="preserve"> features; (C) falls prevention intervention features; (D) key challenges for public health modelling; and (E) evaluation methods and </w:t>
      </w:r>
      <w:r w:rsidR="00B332D9" w:rsidRPr="004C78D8">
        <w:t>result</w:t>
      </w:r>
      <w:r w:rsidR="00805D6C" w:rsidRPr="004C78D8">
        <w:t>s.</w:t>
      </w:r>
    </w:p>
    <w:tbl>
      <w:tblPr>
        <w:tblStyle w:val="TableGrid"/>
        <w:tblW w:w="5000" w:type="pct"/>
        <w:tblLook w:val="04A0" w:firstRow="1" w:lastRow="0" w:firstColumn="1" w:lastColumn="0" w:noHBand="0" w:noVBand="1"/>
      </w:tblPr>
      <w:tblGrid>
        <w:gridCol w:w="2133"/>
        <w:gridCol w:w="6883"/>
      </w:tblGrid>
      <w:tr w:rsidR="00805D6C" w:rsidRPr="004C78D8" w14:paraId="53DF051D" w14:textId="77777777" w:rsidTr="002828C1">
        <w:tc>
          <w:tcPr>
            <w:tcW w:w="5000" w:type="pct"/>
            <w:gridSpan w:val="2"/>
          </w:tcPr>
          <w:p w14:paraId="0DD23244" w14:textId="457EA59C" w:rsidR="00805D6C" w:rsidRPr="004C78D8" w:rsidRDefault="00805D6C" w:rsidP="00FB7C1F">
            <w:r w:rsidRPr="004C78D8">
              <w:rPr>
                <w:b/>
                <w:bCs/>
              </w:rPr>
              <w:t xml:space="preserve">Table </w:t>
            </w:r>
            <w:r w:rsidR="006C7AF6" w:rsidRPr="004C78D8">
              <w:rPr>
                <w:b/>
                <w:bCs/>
              </w:rPr>
              <w:t>4</w:t>
            </w:r>
            <w:r w:rsidRPr="004C78D8">
              <w:rPr>
                <w:b/>
                <w:bCs/>
              </w:rPr>
              <w:t>.1</w:t>
            </w:r>
            <w:r w:rsidRPr="004C78D8">
              <w:t xml:space="preserve"> Data fields extracted from </w:t>
            </w:r>
            <w:r w:rsidR="006C1A81" w:rsidRPr="004C78D8">
              <w:t xml:space="preserve">identified falls prevention </w:t>
            </w:r>
            <w:r w:rsidRPr="004C78D8">
              <w:t>decision models</w:t>
            </w:r>
            <w:r w:rsidR="006C1A81" w:rsidRPr="004C78D8">
              <w:t>.</w:t>
            </w:r>
            <w:r w:rsidRPr="004C78D8">
              <w:t xml:space="preserve"> </w:t>
            </w:r>
          </w:p>
        </w:tc>
      </w:tr>
      <w:tr w:rsidR="00805D6C" w:rsidRPr="004C78D8" w14:paraId="057489F8" w14:textId="77777777" w:rsidTr="002828C1">
        <w:tc>
          <w:tcPr>
            <w:tcW w:w="1183" w:type="pct"/>
          </w:tcPr>
          <w:p w14:paraId="2DD3FC08" w14:textId="77777777" w:rsidR="00805D6C" w:rsidRPr="004C78D8" w:rsidRDefault="00805D6C" w:rsidP="00FB7C1F">
            <w:pPr>
              <w:jc w:val="left"/>
              <w:rPr>
                <w:b/>
                <w:bCs/>
                <w:sz w:val="20"/>
                <w:szCs w:val="20"/>
              </w:rPr>
            </w:pPr>
            <w:r w:rsidRPr="004C78D8">
              <w:rPr>
                <w:b/>
                <w:bCs/>
                <w:sz w:val="20"/>
                <w:szCs w:val="20"/>
              </w:rPr>
              <w:t>Category</w:t>
            </w:r>
          </w:p>
        </w:tc>
        <w:tc>
          <w:tcPr>
            <w:tcW w:w="3817" w:type="pct"/>
          </w:tcPr>
          <w:p w14:paraId="38789839" w14:textId="77777777" w:rsidR="00805D6C" w:rsidRPr="004C78D8" w:rsidRDefault="00805D6C" w:rsidP="00FB7C1F">
            <w:pPr>
              <w:jc w:val="left"/>
              <w:rPr>
                <w:b/>
                <w:bCs/>
                <w:sz w:val="20"/>
                <w:szCs w:val="20"/>
              </w:rPr>
            </w:pPr>
            <w:r w:rsidRPr="004C78D8">
              <w:rPr>
                <w:b/>
                <w:bCs/>
                <w:sz w:val="20"/>
                <w:szCs w:val="20"/>
              </w:rPr>
              <w:t>Data field</w:t>
            </w:r>
          </w:p>
        </w:tc>
      </w:tr>
      <w:tr w:rsidR="00805D6C" w:rsidRPr="004C78D8" w14:paraId="7137F80C" w14:textId="77777777" w:rsidTr="002828C1">
        <w:tc>
          <w:tcPr>
            <w:tcW w:w="1183" w:type="pct"/>
          </w:tcPr>
          <w:p w14:paraId="62DD989A" w14:textId="77777777" w:rsidR="00805D6C" w:rsidRPr="004C78D8" w:rsidRDefault="00805D6C" w:rsidP="00FB7C1F">
            <w:pPr>
              <w:jc w:val="left"/>
              <w:rPr>
                <w:sz w:val="18"/>
                <w:szCs w:val="18"/>
              </w:rPr>
            </w:pPr>
            <w:r w:rsidRPr="004C78D8">
              <w:rPr>
                <w:sz w:val="18"/>
                <w:szCs w:val="18"/>
              </w:rPr>
              <w:t>Reporting and methodological quality checklist</w:t>
            </w:r>
          </w:p>
        </w:tc>
        <w:tc>
          <w:tcPr>
            <w:tcW w:w="3817" w:type="pct"/>
          </w:tcPr>
          <w:p w14:paraId="6A343DE9" w14:textId="3C139BBA" w:rsidR="00805D6C" w:rsidRPr="004C78D8" w:rsidRDefault="00805D6C" w:rsidP="00FB7C1F">
            <w:pPr>
              <w:rPr>
                <w:sz w:val="18"/>
                <w:szCs w:val="18"/>
              </w:rPr>
            </w:pPr>
            <w:r w:rsidRPr="004C78D8">
              <w:rPr>
                <w:sz w:val="18"/>
                <w:szCs w:val="18"/>
              </w:rPr>
              <w:t xml:space="preserve">The checklist designed for falls prevention economic evaluations by a panel of falls prevention experts </w:t>
            </w:r>
            <w:r w:rsidRPr="004C78D8">
              <w:rPr>
                <w:sz w:val="18"/>
                <w:szCs w:val="18"/>
              </w:rPr>
              <w:fldChar w:fldCharType="begin"/>
            </w:r>
            <w:r w:rsidR="00513646" w:rsidRPr="004C78D8">
              <w:rPr>
                <w:sz w:val="18"/>
                <w:szCs w:val="18"/>
              </w:rPr>
              <w:instrText xml:space="preserve"> ADDIN EN.CITE &lt;EndNote&gt;&lt;Cite&gt;&lt;Author&gt;Davis&lt;/Author&gt;&lt;Year&gt;2011&lt;/Year&gt;&lt;RecNum&gt;286&lt;/RecNum&gt;&lt;DisplayText&gt;[105]&lt;/DisplayText&gt;&lt;record&gt;&lt;rec-number&gt;286&lt;/rec-number&gt;&lt;foreign-keys&gt;&lt;key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Pr="004C78D8">
              <w:rPr>
                <w:sz w:val="18"/>
                <w:szCs w:val="18"/>
              </w:rPr>
              <w:fldChar w:fldCharType="separate"/>
            </w:r>
            <w:r w:rsidR="00513646" w:rsidRPr="004C78D8">
              <w:rPr>
                <w:noProof/>
                <w:sz w:val="18"/>
                <w:szCs w:val="18"/>
              </w:rPr>
              <w:t>[105]</w:t>
            </w:r>
            <w:r w:rsidRPr="004C78D8">
              <w:rPr>
                <w:sz w:val="18"/>
                <w:szCs w:val="18"/>
              </w:rPr>
              <w:fldChar w:fldCharType="end"/>
            </w:r>
            <w:r w:rsidRPr="004C78D8">
              <w:rPr>
                <w:sz w:val="18"/>
                <w:szCs w:val="18"/>
              </w:rPr>
              <w:t xml:space="preserve"> was adapted to specifically suit decision models. There were 32 items, each scored 0 (recommendation not followed), 0.5 (partially followed), and 1 (fully followed), giving maximum score of 32. See Table </w:t>
            </w:r>
            <w:r w:rsidR="00953A33" w:rsidRPr="004C78D8">
              <w:rPr>
                <w:sz w:val="18"/>
                <w:szCs w:val="18"/>
              </w:rPr>
              <w:t>D</w:t>
            </w:r>
            <w:r w:rsidR="003F608F" w:rsidRPr="004C78D8">
              <w:rPr>
                <w:sz w:val="18"/>
                <w:szCs w:val="18"/>
              </w:rPr>
              <w:t>1</w:t>
            </w:r>
            <w:r w:rsidRPr="004C78D8">
              <w:rPr>
                <w:sz w:val="18"/>
                <w:szCs w:val="18"/>
              </w:rPr>
              <w:t xml:space="preserve"> in </w:t>
            </w:r>
            <w:r w:rsidR="00953A33" w:rsidRPr="004C78D8">
              <w:rPr>
                <w:sz w:val="18"/>
                <w:szCs w:val="18"/>
              </w:rPr>
              <w:t>Appendix D</w:t>
            </w:r>
            <w:r w:rsidRPr="004C78D8">
              <w:rPr>
                <w:sz w:val="18"/>
                <w:szCs w:val="18"/>
              </w:rPr>
              <w:t xml:space="preserve"> for adapted version.</w:t>
            </w:r>
          </w:p>
        </w:tc>
      </w:tr>
      <w:tr w:rsidR="00805D6C" w:rsidRPr="004C78D8" w14:paraId="72690F73" w14:textId="77777777" w:rsidTr="002828C1">
        <w:tc>
          <w:tcPr>
            <w:tcW w:w="1183" w:type="pct"/>
          </w:tcPr>
          <w:p w14:paraId="0B33CD7D" w14:textId="77777777" w:rsidR="00805D6C" w:rsidRPr="004C78D8" w:rsidRDefault="00805D6C" w:rsidP="00FB7C1F">
            <w:pPr>
              <w:jc w:val="left"/>
              <w:rPr>
                <w:sz w:val="18"/>
                <w:szCs w:val="18"/>
              </w:rPr>
            </w:pPr>
            <w:r w:rsidRPr="004C78D8">
              <w:rPr>
                <w:sz w:val="18"/>
                <w:szCs w:val="18"/>
              </w:rPr>
              <w:t>(A) Model and evaluation overview</w:t>
            </w:r>
          </w:p>
        </w:tc>
        <w:tc>
          <w:tcPr>
            <w:tcW w:w="3817" w:type="pct"/>
          </w:tcPr>
          <w:p w14:paraId="346E03A4" w14:textId="77777777" w:rsidR="00953A33" w:rsidRPr="004C78D8" w:rsidRDefault="00805D6C" w:rsidP="00FB7C1F">
            <w:pPr>
              <w:pStyle w:val="ListParagraph"/>
              <w:numPr>
                <w:ilvl w:val="0"/>
                <w:numId w:val="36"/>
              </w:numPr>
              <w:ind w:left="312"/>
              <w:jc w:val="left"/>
              <w:rPr>
                <w:sz w:val="18"/>
                <w:szCs w:val="18"/>
              </w:rPr>
            </w:pPr>
            <w:r w:rsidRPr="004C78D8">
              <w:rPr>
                <w:sz w:val="18"/>
                <w:szCs w:val="18"/>
              </w:rPr>
              <w:t>Bibliography: author(s); publication year</w:t>
            </w:r>
          </w:p>
          <w:p w14:paraId="64A67C75" w14:textId="77777777" w:rsidR="00953A33" w:rsidRPr="004C78D8" w:rsidRDefault="00805D6C" w:rsidP="00FB7C1F">
            <w:pPr>
              <w:pStyle w:val="ListParagraph"/>
              <w:numPr>
                <w:ilvl w:val="0"/>
                <w:numId w:val="36"/>
              </w:numPr>
              <w:ind w:left="312"/>
              <w:jc w:val="left"/>
              <w:rPr>
                <w:sz w:val="18"/>
                <w:szCs w:val="18"/>
              </w:rPr>
            </w:pPr>
            <w:r w:rsidRPr="004C78D8">
              <w:rPr>
                <w:sz w:val="18"/>
                <w:szCs w:val="18"/>
              </w:rPr>
              <w:t>Setting and aim: country; region; decision-maker; evaluation aim</w:t>
            </w:r>
          </w:p>
          <w:p w14:paraId="005F4518" w14:textId="739BEBF0" w:rsidR="00953A33" w:rsidRPr="004C78D8" w:rsidRDefault="00805D6C" w:rsidP="00FB7C1F">
            <w:pPr>
              <w:pStyle w:val="ListParagraph"/>
              <w:numPr>
                <w:ilvl w:val="0"/>
                <w:numId w:val="36"/>
              </w:numPr>
              <w:ind w:left="312"/>
              <w:jc w:val="left"/>
              <w:rPr>
                <w:sz w:val="18"/>
                <w:szCs w:val="18"/>
              </w:rPr>
            </w:pPr>
            <w:r w:rsidRPr="004C78D8">
              <w:rPr>
                <w:sz w:val="18"/>
                <w:szCs w:val="18"/>
              </w:rPr>
              <w:t>Target population demographics and comorbidities (e.g.</w:t>
            </w:r>
            <w:r w:rsidR="0065748E" w:rsidRPr="004C78D8">
              <w:rPr>
                <w:sz w:val="18"/>
                <w:szCs w:val="18"/>
              </w:rPr>
              <w:t>,</w:t>
            </w:r>
            <w:r w:rsidRPr="004C78D8">
              <w:rPr>
                <w:sz w:val="18"/>
                <w:szCs w:val="18"/>
              </w:rPr>
              <w:t xml:space="preserve"> residence, age, sex, socioeconomic status, health conditions unrelated to falls risk)</w:t>
            </w:r>
          </w:p>
          <w:p w14:paraId="559CBD4A" w14:textId="3FB74801" w:rsidR="00953A33" w:rsidRPr="004C78D8" w:rsidRDefault="00805D6C" w:rsidP="00FB7C1F">
            <w:pPr>
              <w:pStyle w:val="ListParagraph"/>
              <w:numPr>
                <w:ilvl w:val="0"/>
                <w:numId w:val="36"/>
              </w:numPr>
              <w:ind w:left="312"/>
              <w:jc w:val="left"/>
              <w:rPr>
                <w:sz w:val="18"/>
                <w:szCs w:val="18"/>
              </w:rPr>
            </w:pPr>
            <w:r w:rsidRPr="004C78D8">
              <w:rPr>
                <w:sz w:val="18"/>
                <w:szCs w:val="18"/>
              </w:rPr>
              <w:t xml:space="preserve">Type of analysis: </w:t>
            </w:r>
            <w:r w:rsidR="004743F7" w:rsidRPr="004C78D8">
              <w:rPr>
                <w:sz w:val="18"/>
                <w:szCs w:val="18"/>
              </w:rPr>
              <w:t xml:space="preserve">e.g., </w:t>
            </w:r>
            <w:r w:rsidRPr="004C78D8">
              <w:rPr>
                <w:sz w:val="18"/>
                <w:szCs w:val="18"/>
              </w:rPr>
              <w:t>CEA; CUA; CBA; ROI</w:t>
            </w:r>
          </w:p>
          <w:p w14:paraId="44F5270F" w14:textId="3E4BF307" w:rsidR="00953A33" w:rsidRPr="004C78D8" w:rsidRDefault="00805D6C" w:rsidP="00FB7C1F">
            <w:pPr>
              <w:pStyle w:val="ListParagraph"/>
              <w:numPr>
                <w:ilvl w:val="0"/>
                <w:numId w:val="36"/>
              </w:numPr>
              <w:ind w:left="312"/>
              <w:jc w:val="left"/>
              <w:rPr>
                <w:sz w:val="18"/>
                <w:szCs w:val="18"/>
              </w:rPr>
            </w:pPr>
            <w:r w:rsidRPr="004C78D8">
              <w:rPr>
                <w:sz w:val="18"/>
                <w:szCs w:val="18"/>
              </w:rPr>
              <w:t>Perspective (e.g.</w:t>
            </w:r>
            <w:r w:rsidR="00953A33" w:rsidRPr="004C78D8">
              <w:rPr>
                <w:sz w:val="18"/>
                <w:szCs w:val="18"/>
              </w:rPr>
              <w:t>,</w:t>
            </w:r>
            <w:r w:rsidRPr="004C78D8">
              <w:rPr>
                <w:sz w:val="18"/>
                <w:szCs w:val="18"/>
              </w:rPr>
              <w:t xml:space="preserve"> public sector, societal)</w:t>
            </w:r>
          </w:p>
          <w:p w14:paraId="55588476" w14:textId="65DED467" w:rsidR="00953A33" w:rsidRPr="004C78D8" w:rsidRDefault="00805D6C" w:rsidP="00FB7C1F">
            <w:pPr>
              <w:pStyle w:val="ListParagraph"/>
              <w:numPr>
                <w:ilvl w:val="0"/>
                <w:numId w:val="36"/>
              </w:numPr>
              <w:ind w:left="312"/>
              <w:jc w:val="left"/>
              <w:rPr>
                <w:sz w:val="18"/>
                <w:szCs w:val="18"/>
              </w:rPr>
            </w:pPr>
            <w:r w:rsidRPr="004C78D8">
              <w:rPr>
                <w:sz w:val="18"/>
                <w:szCs w:val="18"/>
              </w:rPr>
              <w:t>Cost-effectiveness threshold: monetary amount and type (e.g.</w:t>
            </w:r>
            <w:r w:rsidR="0065748E" w:rsidRPr="004C78D8">
              <w:rPr>
                <w:sz w:val="18"/>
                <w:szCs w:val="18"/>
              </w:rPr>
              <w:t>,</w:t>
            </w:r>
            <w:r w:rsidRPr="004C78D8">
              <w:rPr>
                <w:sz w:val="18"/>
                <w:szCs w:val="18"/>
              </w:rPr>
              <w:t xml:space="preserve"> health opportunity cost in healthcare system, willingness to pay as consumer)</w:t>
            </w:r>
          </w:p>
          <w:p w14:paraId="23E1ADF9" w14:textId="02B71E40" w:rsidR="00953A33" w:rsidRPr="004C78D8" w:rsidRDefault="00805D6C" w:rsidP="00FB7C1F">
            <w:pPr>
              <w:pStyle w:val="ListParagraph"/>
              <w:numPr>
                <w:ilvl w:val="0"/>
                <w:numId w:val="36"/>
              </w:numPr>
              <w:ind w:left="312"/>
              <w:jc w:val="left"/>
              <w:rPr>
                <w:sz w:val="18"/>
                <w:szCs w:val="18"/>
              </w:rPr>
            </w:pPr>
            <w:r w:rsidRPr="004C78D8">
              <w:rPr>
                <w:sz w:val="18"/>
                <w:szCs w:val="18"/>
              </w:rPr>
              <w:t>Model type (e.g.</w:t>
            </w:r>
            <w:r w:rsidR="00953A33" w:rsidRPr="004C78D8">
              <w:rPr>
                <w:sz w:val="18"/>
                <w:szCs w:val="18"/>
              </w:rPr>
              <w:t>,</w:t>
            </w:r>
            <w:r w:rsidRPr="004C78D8">
              <w:rPr>
                <w:sz w:val="18"/>
                <w:szCs w:val="18"/>
              </w:rPr>
              <w:t xml:space="preserve"> decision tree, Markov)</w:t>
            </w:r>
          </w:p>
          <w:p w14:paraId="57EA020A" w14:textId="77777777" w:rsidR="00953A33" w:rsidRPr="004C78D8" w:rsidRDefault="00805D6C" w:rsidP="00FB7C1F">
            <w:pPr>
              <w:pStyle w:val="ListParagraph"/>
              <w:numPr>
                <w:ilvl w:val="0"/>
                <w:numId w:val="36"/>
              </w:numPr>
              <w:ind w:left="312"/>
              <w:jc w:val="left"/>
              <w:rPr>
                <w:sz w:val="18"/>
                <w:szCs w:val="18"/>
              </w:rPr>
            </w:pPr>
            <w:r w:rsidRPr="004C78D8">
              <w:rPr>
                <w:sz w:val="18"/>
                <w:szCs w:val="18"/>
              </w:rPr>
              <w:t>Model time horizon</w:t>
            </w:r>
          </w:p>
          <w:p w14:paraId="3AFF01CD" w14:textId="77777777" w:rsidR="00953A33" w:rsidRPr="004C78D8" w:rsidRDefault="00805D6C" w:rsidP="00FB7C1F">
            <w:pPr>
              <w:pStyle w:val="ListParagraph"/>
              <w:numPr>
                <w:ilvl w:val="0"/>
                <w:numId w:val="36"/>
              </w:numPr>
              <w:ind w:left="312"/>
              <w:jc w:val="left"/>
              <w:rPr>
                <w:sz w:val="18"/>
                <w:szCs w:val="18"/>
              </w:rPr>
            </w:pPr>
            <w:r w:rsidRPr="004C78D8">
              <w:rPr>
                <w:sz w:val="18"/>
                <w:szCs w:val="18"/>
              </w:rPr>
              <w:t>Discount rates (if time horizon longer than 1 year)</w:t>
            </w:r>
          </w:p>
          <w:p w14:paraId="5675707B" w14:textId="5244F886" w:rsidR="00805D6C" w:rsidRPr="004C78D8" w:rsidRDefault="00805D6C" w:rsidP="00FB7C1F">
            <w:pPr>
              <w:pStyle w:val="ListParagraph"/>
              <w:numPr>
                <w:ilvl w:val="0"/>
                <w:numId w:val="36"/>
              </w:numPr>
              <w:ind w:left="312"/>
              <w:jc w:val="left"/>
              <w:rPr>
                <w:sz w:val="18"/>
                <w:szCs w:val="18"/>
              </w:rPr>
            </w:pPr>
            <w:r w:rsidRPr="004C78D8">
              <w:rPr>
                <w:sz w:val="18"/>
                <w:szCs w:val="18"/>
              </w:rPr>
              <w:t>Model cycle length (if any)</w:t>
            </w:r>
          </w:p>
        </w:tc>
      </w:tr>
      <w:tr w:rsidR="00805D6C" w:rsidRPr="004C78D8" w14:paraId="3360CED6" w14:textId="77777777" w:rsidTr="002828C1">
        <w:tc>
          <w:tcPr>
            <w:tcW w:w="1183" w:type="pct"/>
          </w:tcPr>
          <w:p w14:paraId="438296C7" w14:textId="77777777" w:rsidR="00805D6C" w:rsidRPr="004C78D8" w:rsidRDefault="00805D6C" w:rsidP="00FB7C1F">
            <w:pPr>
              <w:jc w:val="left"/>
              <w:rPr>
                <w:sz w:val="18"/>
                <w:szCs w:val="18"/>
              </w:rPr>
            </w:pPr>
            <w:r w:rsidRPr="004C78D8">
              <w:rPr>
                <w:sz w:val="18"/>
                <w:szCs w:val="18"/>
              </w:rPr>
              <w:t>(B) Falls epidemiology features</w:t>
            </w:r>
          </w:p>
        </w:tc>
        <w:tc>
          <w:tcPr>
            <w:tcW w:w="3817" w:type="pct"/>
          </w:tcPr>
          <w:p w14:paraId="03DF2EA2" w14:textId="6EC24EFF" w:rsidR="00805D6C" w:rsidRPr="004C78D8" w:rsidRDefault="00805D6C" w:rsidP="00FB7C1F">
            <w:pPr>
              <w:pStyle w:val="ListParagraph"/>
              <w:numPr>
                <w:ilvl w:val="0"/>
                <w:numId w:val="36"/>
              </w:numPr>
              <w:ind w:left="312"/>
              <w:jc w:val="left"/>
              <w:rPr>
                <w:sz w:val="18"/>
                <w:szCs w:val="18"/>
              </w:rPr>
            </w:pPr>
            <w:r w:rsidRPr="004C78D8">
              <w:rPr>
                <w:sz w:val="18"/>
                <w:szCs w:val="18"/>
              </w:rPr>
              <w:t>Characterising baseline falls risk of target population</w:t>
            </w:r>
          </w:p>
          <w:p w14:paraId="240CA444" w14:textId="77777777" w:rsidR="00805D6C" w:rsidRPr="004C78D8" w:rsidRDefault="00805D6C" w:rsidP="00FB7C1F">
            <w:pPr>
              <w:pStyle w:val="ListParagraph"/>
              <w:numPr>
                <w:ilvl w:val="0"/>
                <w:numId w:val="36"/>
              </w:numPr>
              <w:ind w:left="313"/>
              <w:jc w:val="left"/>
              <w:rPr>
                <w:sz w:val="18"/>
                <w:szCs w:val="18"/>
              </w:rPr>
            </w:pPr>
            <w:r w:rsidRPr="004C78D8">
              <w:rPr>
                <w:sz w:val="18"/>
                <w:szCs w:val="18"/>
              </w:rPr>
              <w:t>Characterising multiple falls per year (recurrent falls)</w:t>
            </w:r>
          </w:p>
          <w:p w14:paraId="14068D03" w14:textId="77777777" w:rsidR="00805D6C" w:rsidRPr="004C78D8" w:rsidRDefault="00805D6C" w:rsidP="00FB7C1F">
            <w:pPr>
              <w:pStyle w:val="ListParagraph"/>
              <w:numPr>
                <w:ilvl w:val="0"/>
                <w:numId w:val="36"/>
              </w:numPr>
              <w:ind w:left="313"/>
              <w:jc w:val="left"/>
              <w:rPr>
                <w:sz w:val="18"/>
                <w:szCs w:val="18"/>
              </w:rPr>
            </w:pPr>
            <w:r w:rsidRPr="004C78D8">
              <w:rPr>
                <w:sz w:val="18"/>
                <w:szCs w:val="18"/>
              </w:rPr>
              <w:t>Risk factors for falls</w:t>
            </w:r>
          </w:p>
          <w:p w14:paraId="5A5C6A6E" w14:textId="46103466" w:rsidR="00805D6C" w:rsidRPr="004C78D8" w:rsidRDefault="00805D6C" w:rsidP="00FB7C1F">
            <w:pPr>
              <w:pStyle w:val="ListParagraph"/>
              <w:numPr>
                <w:ilvl w:val="0"/>
                <w:numId w:val="36"/>
              </w:numPr>
              <w:ind w:left="313"/>
              <w:jc w:val="left"/>
              <w:rPr>
                <w:sz w:val="18"/>
                <w:szCs w:val="18"/>
              </w:rPr>
            </w:pPr>
            <w:r w:rsidRPr="004C78D8">
              <w:rPr>
                <w:sz w:val="18"/>
                <w:szCs w:val="18"/>
              </w:rPr>
              <w:t>Health consequences of falls: fall/injury type; long-term health consequences (e.g.</w:t>
            </w:r>
            <w:r w:rsidR="00953A33" w:rsidRPr="004C78D8">
              <w:rPr>
                <w:sz w:val="18"/>
                <w:szCs w:val="18"/>
              </w:rPr>
              <w:t>,</w:t>
            </w:r>
            <w:r w:rsidRPr="004C78D8">
              <w:rPr>
                <w:sz w:val="18"/>
                <w:szCs w:val="18"/>
              </w:rPr>
              <w:t xml:space="preserve"> institutionalisation, excess mortality risk)</w:t>
            </w:r>
          </w:p>
          <w:p w14:paraId="266BDC99" w14:textId="77777777" w:rsidR="00805D6C" w:rsidRPr="004C78D8" w:rsidRDefault="00805D6C" w:rsidP="00FB7C1F">
            <w:pPr>
              <w:pStyle w:val="ListParagraph"/>
              <w:numPr>
                <w:ilvl w:val="0"/>
                <w:numId w:val="36"/>
              </w:numPr>
              <w:ind w:left="313"/>
              <w:jc w:val="left"/>
              <w:rPr>
                <w:sz w:val="18"/>
                <w:szCs w:val="18"/>
              </w:rPr>
            </w:pPr>
            <w:r w:rsidRPr="004C78D8">
              <w:rPr>
                <w:sz w:val="18"/>
                <w:szCs w:val="18"/>
              </w:rPr>
              <w:t>Health utility data: fall-related loss; comorbidity status</w:t>
            </w:r>
          </w:p>
          <w:p w14:paraId="12FA9CDF" w14:textId="6B5EAA40" w:rsidR="00805D6C" w:rsidRPr="004C78D8" w:rsidRDefault="00805D6C" w:rsidP="00FB7C1F">
            <w:pPr>
              <w:pStyle w:val="ListParagraph"/>
              <w:numPr>
                <w:ilvl w:val="0"/>
                <w:numId w:val="36"/>
              </w:numPr>
              <w:ind w:left="313"/>
              <w:jc w:val="left"/>
              <w:rPr>
                <w:sz w:val="18"/>
                <w:szCs w:val="18"/>
              </w:rPr>
            </w:pPr>
            <w:r w:rsidRPr="004C78D8">
              <w:rPr>
                <w:sz w:val="18"/>
                <w:szCs w:val="18"/>
              </w:rPr>
              <w:t>Economic consequences of falls: care resource types; unit costs; all-cause/comorbidity care costs</w:t>
            </w:r>
            <w:r w:rsidR="007E4027" w:rsidRPr="004C78D8">
              <w:rPr>
                <w:sz w:val="18"/>
                <w:szCs w:val="18"/>
                <w:vertAlign w:val="superscript"/>
              </w:rPr>
              <w:t>1</w:t>
            </w:r>
          </w:p>
        </w:tc>
      </w:tr>
      <w:tr w:rsidR="00805D6C" w:rsidRPr="004C78D8" w14:paraId="22B0F418" w14:textId="77777777" w:rsidTr="002828C1">
        <w:tc>
          <w:tcPr>
            <w:tcW w:w="1183" w:type="pct"/>
          </w:tcPr>
          <w:p w14:paraId="23EBA795" w14:textId="77777777" w:rsidR="00805D6C" w:rsidRPr="004C78D8" w:rsidRDefault="00805D6C" w:rsidP="00FB7C1F">
            <w:pPr>
              <w:jc w:val="left"/>
              <w:rPr>
                <w:sz w:val="18"/>
                <w:szCs w:val="18"/>
              </w:rPr>
            </w:pPr>
            <w:r w:rsidRPr="004C78D8">
              <w:rPr>
                <w:sz w:val="18"/>
                <w:szCs w:val="18"/>
              </w:rPr>
              <w:t>(C) Falls prevention intervention features</w:t>
            </w:r>
          </w:p>
        </w:tc>
        <w:tc>
          <w:tcPr>
            <w:tcW w:w="3817" w:type="pct"/>
          </w:tcPr>
          <w:p w14:paraId="2288CFAE" w14:textId="2F72D6A2" w:rsidR="00805D6C" w:rsidRPr="004C78D8" w:rsidRDefault="00805D6C" w:rsidP="00FB7C1F">
            <w:pPr>
              <w:pStyle w:val="ListParagraph"/>
              <w:numPr>
                <w:ilvl w:val="0"/>
                <w:numId w:val="36"/>
              </w:numPr>
              <w:ind w:left="312"/>
              <w:jc w:val="left"/>
              <w:rPr>
                <w:sz w:val="18"/>
                <w:szCs w:val="18"/>
              </w:rPr>
            </w:pPr>
            <w:r w:rsidRPr="004C78D8">
              <w:rPr>
                <w:sz w:val="18"/>
                <w:szCs w:val="18"/>
              </w:rPr>
              <w:t xml:space="preserve">Intervention characteristics: type; </w:t>
            </w:r>
            <w:r w:rsidR="007E4027" w:rsidRPr="004C78D8">
              <w:rPr>
                <w:sz w:val="18"/>
                <w:szCs w:val="18"/>
              </w:rPr>
              <w:t xml:space="preserve">reach; components; access pathway; </w:t>
            </w:r>
            <w:r w:rsidRPr="004C78D8">
              <w:rPr>
                <w:sz w:val="18"/>
                <w:szCs w:val="18"/>
              </w:rPr>
              <w:t>comparator(s)</w:t>
            </w:r>
          </w:p>
          <w:p w14:paraId="759403CD" w14:textId="7578D8E8" w:rsidR="00805D6C" w:rsidRPr="004C78D8" w:rsidRDefault="00805D6C" w:rsidP="00FB7C1F">
            <w:pPr>
              <w:pStyle w:val="ListParagraph"/>
              <w:numPr>
                <w:ilvl w:val="0"/>
                <w:numId w:val="36"/>
              </w:numPr>
              <w:ind w:left="313"/>
              <w:jc w:val="left"/>
              <w:rPr>
                <w:sz w:val="18"/>
                <w:szCs w:val="18"/>
              </w:rPr>
            </w:pPr>
            <w:r w:rsidRPr="004C78D8">
              <w:rPr>
                <w:sz w:val="18"/>
                <w:szCs w:val="18"/>
              </w:rPr>
              <w:t>Falls risk screening method</w:t>
            </w:r>
            <w:r w:rsidR="006D0F80" w:rsidRPr="004C78D8">
              <w:rPr>
                <w:sz w:val="18"/>
                <w:szCs w:val="18"/>
                <w:vertAlign w:val="superscript"/>
              </w:rPr>
              <w:t>2</w:t>
            </w:r>
          </w:p>
          <w:p w14:paraId="4A62B526" w14:textId="062479FE" w:rsidR="00805D6C" w:rsidRPr="004C78D8" w:rsidRDefault="00805D6C" w:rsidP="00FB7C1F">
            <w:pPr>
              <w:pStyle w:val="ListParagraph"/>
              <w:numPr>
                <w:ilvl w:val="0"/>
                <w:numId w:val="36"/>
              </w:numPr>
              <w:ind w:left="313"/>
              <w:jc w:val="left"/>
              <w:rPr>
                <w:sz w:val="18"/>
                <w:szCs w:val="18"/>
              </w:rPr>
            </w:pPr>
            <w:r w:rsidRPr="004C78D8">
              <w:rPr>
                <w:sz w:val="18"/>
                <w:szCs w:val="18"/>
              </w:rPr>
              <w:t>Intervention resource use and costs: auxiliary implementation resources (e.g.</w:t>
            </w:r>
            <w:r w:rsidR="0065748E" w:rsidRPr="004C78D8">
              <w:rPr>
                <w:sz w:val="18"/>
                <w:szCs w:val="18"/>
              </w:rPr>
              <w:t>,</w:t>
            </w:r>
            <w:r w:rsidRPr="004C78D8">
              <w:rPr>
                <w:sz w:val="18"/>
                <w:szCs w:val="18"/>
              </w:rPr>
              <w:t xml:space="preserve"> marketing to improve uptake); therapeutic resources (e.g. staff labour).</w:t>
            </w:r>
          </w:p>
          <w:p w14:paraId="47CC5F60" w14:textId="19A11E2D" w:rsidR="00805D6C" w:rsidRPr="004C78D8" w:rsidRDefault="00805D6C" w:rsidP="00FB7C1F">
            <w:pPr>
              <w:pStyle w:val="ListParagraph"/>
              <w:numPr>
                <w:ilvl w:val="0"/>
                <w:numId w:val="36"/>
              </w:numPr>
              <w:ind w:left="313"/>
              <w:jc w:val="left"/>
              <w:rPr>
                <w:sz w:val="18"/>
                <w:szCs w:val="18"/>
              </w:rPr>
            </w:pPr>
            <w:r w:rsidRPr="004C78D8">
              <w:rPr>
                <w:sz w:val="18"/>
                <w:szCs w:val="18"/>
              </w:rPr>
              <w:t>Intervention efficacy: metric;</w:t>
            </w:r>
            <w:r w:rsidR="006D0F80" w:rsidRPr="004C78D8">
              <w:rPr>
                <w:sz w:val="18"/>
                <w:szCs w:val="18"/>
                <w:vertAlign w:val="superscript"/>
              </w:rPr>
              <w:t>3</w:t>
            </w:r>
            <w:r w:rsidRPr="004C78D8">
              <w:rPr>
                <w:sz w:val="18"/>
                <w:szCs w:val="18"/>
              </w:rPr>
              <w:t xml:space="preserve"> fall type;</w:t>
            </w:r>
            <w:r w:rsidR="006D0F80" w:rsidRPr="004C78D8">
              <w:rPr>
                <w:sz w:val="18"/>
                <w:szCs w:val="18"/>
                <w:vertAlign w:val="superscript"/>
              </w:rPr>
              <w:t>4</w:t>
            </w:r>
            <w:r w:rsidRPr="004C78D8">
              <w:rPr>
                <w:sz w:val="18"/>
                <w:szCs w:val="18"/>
              </w:rPr>
              <w:t xml:space="preserve"> effectiveness period</w:t>
            </w:r>
            <w:r w:rsidR="006D0F80" w:rsidRPr="004C78D8">
              <w:rPr>
                <w:sz w:val="18"/>
                <w:szCs w:val="18"/>
                <w:vertAlign w:val="superscript"/>
              </w:rPr>
              <w:t>5</w:t>
            </w:r>
            <w:r w:rsidRPr="004C78D8">
              <w:rPr>
                <w:sz w:val="18"/>
                <w:szCs w:val="18"/>
              </w:rPr>
              <w:t xml:space="preserve"> </w:t>
            </w:r>
          </w:p>
          <w:p w14:paraId="0673C749" w14:textId="0150AEF7" w:rsidR="00805D6C" w:rsidRPr="004C78D8" w:rsidRDefault="00805D6C" w:rsidP="00FB7C1F">
            <w:pPr>
              <w:pStyle w:val="ListParagraph"/>
              <w:numPr>
                <w:ilvl w:val="0"/>
                <w:numId w:val="36"/>
              </w:numPr>
              <w:ind w:left="313"/>
              <w:jc w:val="left"/>
              <w:rPr>
                <w:sz w:val="18"/>
                <w:szCs w:val="18"/>
              </w:rPr>
            </w:pPr>
            <w:r w:rsidRPr="004C78D8">
              <w:rPr>
                <w:sz w:val="18"/>
                <w:szCs w:val="18"/>
              </w:rPr>
              <w:t>Wider health effects of interventions beyond falls prevention</w:t>
            </w:r>
          </w:p>
        </w:tc>
      </w:tr>
      <w:tr w:rsidR="00953A33" w:rsidRPr="004C78D8" w14:paraId="34EB0FC2" w14:textId="77777777" w:rsidTr="002828C1">
        <w:tc>
          <w:tcPr>
            <w:tcW w:w="1183" w:type="pct"/>
          </w:tcPr>
          <w:p w14:paraId="60EB518A" w14:textId="497248AB" w:rsidR="00953A33" w:rsidRPr="004C78D8" w:rsidRDefault="00953A33" w:rsidP="00FB7C1F">
            <w:pPr>
              <w:jc w:val="left"/>
              <w:rPr>
                <w:sz w:val="18"/>
                <w:szCs w:val="18"/>
              </w:rPr>
            </w:pPr>
            <w:r w:rsidRPr="004C78D8">
              <w:rPr>
                <w:sz w:val="18"/>
                <w:szCs w:val="18"/>
              </w:rPr>
              <w:t>(D) Key challenges for public health modelling</w:t>
            </w:r>
            <w:r w:rsidR="006D0F80" w:rsidRPr="004C78D8">
              <w:rPr>
                <w:sz w:val="18"/>
                <w:szCs w:val="18"/>
                <w:vertAlign w:val="superscript"/>
              </w:rPr>
              <w:t>6</w:t>
            </w:r>
          </w:p>
        </w:tc>
        <w:tc>
          <w:tcPr>
            <w:tcW w:w="3817" w:type="pct"/>
          </w:tcPr>
          <w:p w14:paraId="666E4042" w14:textId="1F33BC3B" w:rsidR="00953A33" w:rsidRPr="004C78D8" w:rsidRDefault="00953A33" w:rsidP="00FB7C1F">
            <w:pPr>
              <w:pStyle w:val="ListParagraph"/>
              <w:numPr>
                <w:ilvl w:val="0"/>
                <w:numId w:val="36"/>
              </w:numPr>
              <w:ind w:left="312"/>
              <w:jc w:val="left"/>
              <w:rPr>
                <w:sz w:val="18"/>
                <w:szCs w:val="18"/>
              </w:rPr>
            </w:pPr>
            <w:r w:rsidRPr="004C78D8">
              <w:rPr>
                <w:sz w:val="18"/>
                <w:szCs w:val="18"/>
              </w:rPr>
              <w:t>Capturing non-health outcomes and societal intervention costs</w:t>
            </w:r>
          </w:p>
          <w:p w14:paraId="2EA42468" w14:textId="74EC2BB3" w:rsidR="00953A33" w:rsidRPr="004C78D8" w:rsidRDefault="00953A33" w:rsidP="00FB7C1F">
            <w:pPr>
              <w:pStyle w:val="ListParagraph"/>
              <w:numPr>
                <w:ilvl w:val="0"/>
                <w:numId w:val="36"/>
              </w:numPr>
              <w:ind w:left="313"/>
              <w:jc w:val="left"/>
              <w:rPr>
                <w:sz w:val="18"/>
                <w:szCs w:val="18"/>
              </w:rPr>
            </w:pPr>
            <w:r w:rsidRPr="004C78D8">
              <w:rPr>
                <w:sz w:val="18"/>
                <w:szCs w:val="18"/>
              </w:rPr>
              <w:t>Considering heterogeneity and dynamic complexity: e.g.</w:t>
            </w:r>
            <w:r w:rsidR="0065748E" w:rsidRPr="004C78D8">
              <w:rPr>
                <w:sz w:val="18"/>
                <w:szCs w:val="18"/>
              </w:rPr>
              <w:t>,</w:t>
            </w:r>
            <w:r w:rsidRPr="004C78D8">
              <w:rPr>
                <w:sz w:val="18"/>
                <w:szCs w:val="18"/>
              </w:rPr>
              <w:t xml:space="preserve"> long-term progression of falls risk factors/profile</w:t>
            </w:r>
          </w:p>
          <w:p w14:paraId="6A1569FE" w14:textId="1F541B76" w:rsidR="00953A33" w:rsidRPr="004C78D8" w:rsidRDefault="00953A33" w:rsidP="00FB7C1F">
            <w:pPr>
              <w:pStyle w:val="ListParagraph"/>
              <w:numPr>
                <w:ilvl w:val="0"/>
                <w:numId w:val="36"/>
              </w:numPr>
              <w:ind w:left="313"/>
              <w:jc w:val="left"/>
              <w:rPr>
                <w:sz w:val="18"/>
                <w:szCs w:val="18"/>
              </w:rPr>
            </w:pPr>
            <w:r w:rsidRPr="004C78D8">
              <w:rPr>
                <w:sz w:val="18"/>
                <w:szCs w:val="18"/>
              </w:rPr>
              <w:t>Considering theories of human behaviour and implementation: e.g.</w:t>
            </w:r>
            <w:r w:rsidR="0065748E" w:rsidRPr="004C78D8">
              <w:rPr>
                <w:sz w:val="18"/>
                <w:szCs w:val="18"/>
              </w:rPr>
              <w:t>,</w:t>
            </w:r>
            <w:r w:rsidRPr="004C78D8">
              <w:rPr>
                <w:sz w:val="18"/>
                <w:szCs w:val="18"/>
              </w:rPr>
              <w:t xml:space="preserve"> implementation quality (i.e.</w:t>
            </w:r>
            <w:r w:rsidR="0065748E" w:rsidRPr="004C78D8">
              <w:rPr>
                <w:sz w:val="18"/>
                <w:szCs w:val="18"/>
              </w:rPr>
              <w:t>,</w:t>
            </w:r>
            <w:r w:rsidRPr="004C78D8">
              <w:rPr>
                <w:sz w:val="18"/>
                <w:szCs w:val="18"/>
              </w:rPr>
              <w:t xml:space="preserve"> uptake and adherence rates)</w:t>
            </w:r>
          </w:p>
          <w:p w14:paraId="3EA401EF" w14:textId="704F3AED" w:rsidR="00953A33" w:rsidRPr="004C78D8" w:rsidRDefault="00953A33" w:rsidP="00FB7C1F">
            <w:pPr>
              <w:pStyle w:val="ListParagraph"/>
              <w:numPr>
                <w:ilvl w:val="0"/>
                <w:numId w:val="36"/>
              </w:numPr>
              <w:ind w:left="312"/>
              <w:jc w:val="left"/>
              <w:rPr>
                <w:sz w:val="18"/>
                <w:szCs w:val="18"/>
              </w:rPr>
            </w:pPr>
            <w:r w:rsidRPr="004C78D8">
              <w:rPr>
                <w:sz w:val="18"/>
                <w:szCs w:val="18"/>
              </w:rPr>
              <w:t xml:space="preserve">Considering </w:t>
            </w:r>
            <w:r w:rsidR="004F37AA" w:rsidRPr="004C78D8">
              <w:rPr>
                <w:sz w:val="18"/>
                <w:szCs w:val="18"/>
              </w:rPr>
              <w:t>issues of equity</w:t>
            </w:r>
          </w:p>
        </w:tc>
      </w:tr>
      <w:tr w:rsidR="00953A33" w:rsidRPr="004C78D8" w14:paraId="6F2CAFC4" w14:textId="77777777" w:rsidTr="002828C1">
        <w:tc>
          <w:tcPr>
            <w:tcW w:w="1183" w:type="pct"/>
          </w:tcPr>
          <w:p w14:paraId="7990F583" w14:textId="3C5DD0C1" w:rsidR="00953A33" w:rsidRPr="004C78D8" w:rsidRDefault="00953A33" w:rsidP="00FB7C1F">
            <w:pPr>
              <w:jc w:val="left"/>
              <w:rPr>
                <w:sz w:val="18"/>
                <w:szCs w:val="18"/>
              </w:rPr>
            </w:pPr>
            <w:r w:rsidRPr="004C78D8">
              <w:rPr>
                <w:sz w:val="18"/>
                <w:szCs w:val="18"/>
              </w:rPr>
              <w:t>(E) Evaluation methods and results</w:t>
            </w:r>
          </w:p>
        </w:tc>
        <w:tc>
          <w:tcPr>
            <w:tcW w:w="3817" w:type="pct"/>
          </w:tcPr>
          <w:p w14:paraId="492796A7" w14:textId="0229014D" w:rsidR="00953A33" w:rsidRPr="004C78D8" w:rsidRDefault="00953A33" w:rsidP="00FB7C1F">
            <w:pPr>
              <w:pStyle w:val="ListParagraph"/>
              <w:numPr>
                <w:ilvl w:val="0"/>
                <w:numId w:val="36"/>
              </w:numPr>
              <w:ind w:left="312"/>
              <w:jc w:val="left"/>
              <w:rPr>
                <w:sz w:val="18"/>
                <w:szCs w:val="18"/>
              </w:rPr>
            </w:pPr>
            <w:r w:rsidRPr="004C78D8">
              <w:rPr>
                <w:sz w:val="18"/>
                <w:szCs w:val="18"/>
              </w:rPr>
              <w:t>Model validity: structural/face;</w:t>
            </w:r>
            <w:r w:rsidRPr="004C78D8">
              <w:rPr>
                <w:sz w:val="18"/>
                <w:szCs w:val="18"/>
                <w:vertAlign w:val="superscript"/>
              </w:rPr>
              <w:t xml:space="preserve"> </w:t>
            </w:r>
            <w:r w:rsidRPr="004C78D8">
              <w:rPr>
                <w:sz w:val="18"/>
                <w:szCs w:val="18"/>
              </w:rPr>
              <w:t>internal; external; cross</w:t>
            </w:r>
          </w:p>
          <w:p w14:paraId="0ECB6C72" w14:textId="77777777" w:rsidR="00953A33" w:rsidRPr="004C78D8" w:rsidRDefault="00953A33" w:rsidP="00FB7C1F">
            <w:pPr>
              <w:pStyle w:val="ListParagraph"/>
              <w:numPr>
                <w:ilvl w:val="0"/>
                <w:numId w:val="36"/>
              </w:numPr>
              <w:ind w:left="313"/>
              <w:jc w:val="left"/>
              <w:rPr>
                <w:sz w:val="18"/>
                <w:szCs w:val="18"/>
              </w:rPr>
            </w:pPr>
            <w:r w:rsidRPr="004C78D8">
              <w:rPr>
                <w:sz w:val="18"/>
                <w:szCs w:val="18"/>
              </w:rPr>
              <w:t>Assessing parameter uncertainty: DSA; PSA</w:t>
            </w:r>
          </w:p>
          <w:p w14:paraId="2D0C1AD8" w14:textId="77777777" w:rsidR="00953A33" w:rsidRPr="004C78D8" w:rsidRDefault="00953A33" w:rsidP="00FB7C1F">
            <w:pPr>
              <w:pStyle w:val="ListParagraph"/>
              <w:numPr>
                <w:ilvl w:val="0"/>
                <w:numId w:val="36"/>
              </w:numPr>
              <w:ind w:left="313"/>
              <w:jc w:val="left"/>
              <w:rPr>
                <w:sz w:val="18"/>
                <w:szCs w:val="18"/>
              </w:rPr>
            </w:pPr>
            <w:r w:rsidRPr="004C78D8">
              <w:rPr>
                <w:sz w:val="18"/>
                <w:szCs w:val="18"/>
              </w:rPr>
              <w:t>Scenario analyses: to assess impact of structural assumptions on outcomes.</w:t>
            </w:r>
          </w:p>
          <w:p w14:paraId="7CD337BE" w14:textId="5CB1539D" w:rsidR="0065748E" w:rsidRPr="004C78D8" w:rsidRDefault="0065748E" w:rsidP="00FB7C1F">
            <w:pPr>
              <w:pStyle w:val="ListParagraph"/>
              <w:numPr>
                <w:ilvl w:val="0"/>
                <w:numId w:val="36"/>
              </w:numPr>
              <w:ind w:left="313"/>
              <w:jc w:val="left"/>
              <w:rPr>
                <w:sz w:val="18"/>
                <w:szCs w:val="18"/>
              </w:rPr>
            </w:pPr>
            <w:r w:rsidRPr="004C78D8">
              <w:rPr>
                <w:sz w:val="18"/>
                <w:szCs w:val="18"/>
              </w:rPr>
              <w:t>Cost-per-unit ratios (e.g., incremental cost per QALY gain</w:t>
            </w:r>
            <w:r w:rsidR="00C84BD6" w:rsidRPr="004C78D8">
              <w:rPr>
                <w:sz w:val="18"/>
                <w:szCs w:val="18"/>
              </w:rPr>
              <w:t>ed</w:t>
            </w:r>
            <w:r w:rsidRPr="004C78D8">
              <w:rPr>
                <w:sz w:val="18"/>
                <w:szCs w:val="18"/>
              </w:rPr>
              <w:t>)</w:t>
            </w:r>
          </w:p>
          <w:p w14:paraId="446EAA9C" w14:textId="552374C3" w:rsidR="00953A33" w:rsidRPr="004C78D8" w:rsidRDefault="00953A33" w:rsidP="00FB7C1F">
            <w:pPr>
              <w:pStyle w:val="ListParagraph"/>
              <w:numPr>
                <w:ilvl w:val="0"/>
                <w:numId w:val="36"/>
              </w:numPr>
              <w:ind w:left="313"/>
              <w:jc w:val="left"/>
              <w:rPr>
                <w:sz w:val="18"/>
                <w:szCs w:val="18"/>
              </w:rPr>
            </w:pPr>
            <w:r w:rsidRPr="004C78D8">
              <w:rPr>
                <w:sz w:val="18"/>
                <w:szCs w:val="18"/>
              </w:rPr>
              <w:t>Aggregate health and cost outcomes (e.g.</w:t>
            </w:r>
            <w:r w:rsidR="0065748E" w:rsidRPr="004C78D8">
              <w:rPr>
                <w:sz w:val="18"/>
                <w:szCs w:val="18"/>
              </w:rPr>
              <w:t>,</w:t>
            </w:r>
            <w:r w:rsidRPr="004C78D8">
              <w:rPr>
                <w:sz w:val="18"/>
                <w:szCs w:val="18"/>
              </w:rPr>
              <w:t xml:space="preserve"> </w:t>
            </w:r>
            <w:r w:rsidRPr="004C78D8">
              <w:rPr>
                <w:sz w:val="18"/>
                <w:szCs w:val="18"/>
                <w:lang w:val="en-US"/>
              </w:rPr>
              <w:t>total intervention cost, total QALY gain, total number of falls prevented)</w:t>
            </w:r>
          </w:p>
          <w:p w14:paraId="197F3F77" w14:textId="4E0E616B" w:rsidR="00953A33" w:rsidRPr="004C78D8" w:rsidRDefault="00953A33" w:rsidP="00FB7C1F">
            <w:pPr>
              <w:pStyle w:val="ListParagraph"/>
              <w:numPr>
                <w:ilvl w:val="0"/>
                <w:numId w:val="36"/>
              </w:numPr>
              <w:ind w:left="313"/>
              <w:jc w:val="left"/>
              <w:rPr>
                <w:sz w:val="18"/>
                <w:szCs w:val="18"/>
              </w:rPr>
            </w:pPr>
            <w:r w:rsidRPr="004C78D8">
              <w:rPr>
                <w:sz w:val="18"/>
                <w:szCs w:val="18"/>
              </w:rPr>
              <w:t>Wider decisional outcomes (e.g.</w:t>
            </w:r>
            <w:r w:rsidR="0065748E" w:rsidRPr="004C78D8">
              <w:rPr>
                <w:sz w:val="18"/>
                <w:szCs w:val="18"/>
              </w:rPr>
              <w:t>,</w:t>
            </w:r>
            <w:r w:rsidRPr="004C78D8">
              <w:rPr>
                <w:sz w:val="18"/>
                <w:szCs w:val="18"/>
              </w:rPr>
              <w:t xml:space="preserve"> reduction in social inequities of health)</w:t>
            </w:r>
          </w:p>
          <w:p w14:paraId="41B287F4" w14:textId="77777777" w:rsidR="00953A33" w:rsidRPr="004C78D8" w:rsidRDefault="00953A33" w:rsidP="00FB7C1F">
            <w:pPr>
              <w:pStyle w:val="ListParagraph"/>
              <w:numPr>
                <w:ilvl w:val="0"/>
                <w:numId w:val="36"/>
              </w:numPr>
              <w:ind w:left="313"/>
              <w:jc w:val="left"/>
              <w:rPr>
                <w:sz w:val="18"/>
                <w:szCs w:val="18"/>
              </w:rPr>
            </w:pPr>
            <w:r w:rsidRPr="004C78D8">
              <w:rPr>
                <w:sz w:val="18"/>
                <w:szCs w:val="18"/>
              </w:rPr>
              <w:t>Currency: original type/year; conversion to same currency for comparison</w:t>
            </w:r>
          </w:p>
          <w:p w14:paraId="79167FAB" w14:textId="77777777" w:rsidR="00953A33" w:rsidRPr="004C78D8" w:rsidRDefault="00953A33" w:rsidP="00FB7C1F">
            <w:pPr>
              <w:pStyle w:val="ListParagraph"/>
              <w:numPr>
                <w:ilvl w:val="0"/>
                <w:numId w:val="36"/>
              </w:numPr>
              <w:ind w:left="313"/>
              <w:jc w:val="left"/>
              <w:rPr>
                <w:sz w:val="18"/>
                <w:szCs w:val="18"/>
              </w:rPr>
            </w:pPr>
            <w:r w:rsidRPr="004C78D8">
              <w:rPr>
                <w:sz w:val="18"/>
                <w:szCs w:val="18"/>
              </w:rPr>
              <w:t>Discussion by evaluation authors: generalisability; policy implementation; model strengths and limitations</w:t>
            </w:r>
          </w:p>
        </w:tc>
      </w:tr>
      <w:tr w:rsidR="00953A33" w:rsidRPr="004C78D8" w14:paraId="2B6269C3" w14:textId="77777777" w:rsidTr="002828C1">
        <w:tc>
          <w:tcPr>
            <w:tcW w:w="5000" w:type="pct"/>
            <w:gridSpan w:val="2"/>
          </w:tcPr>
          <w:p w14:paraId="74F7467F" w14:textId="64E37E88" w:rsidR="00953A33" w:rsidRPr="004C78D8" w:rsidRDefault="00953A33" w:rsidP="00FB7C1F">
            <w:pPr>
              <w:rPr>
                <w:sz w:val="18"/>
                <w:szCs w:val="18"/>
              </w:rPr>
            </w:pPr>
            <w:r w:rsidRPr="004C78D8">
              <w:rPr>
                <w:b/>
                <w:bCs/>
                <w:sz w:val="18"/>
                <w:szCs w:val="18"/>
              </w:rPr>
              <w:t>Abbreviation:</w:t>
            </w:r>
            <w:r w:rsidRPr="004C78D8">
              <w:rPr>
                <w:sz w:val="18"/>
                <w:szCs w:val="18"/>
              </w:rPr>
              <w:t xml:space="preserve"> CBA: cost-benefit analysis; CEA: cost-effectiveness analysis; CUA: cost-utility analysis; DSA: deterministic sensitivity analysis; PSA: probabilistic sensitivity analysis; QALY: quality-adjusted life year; RCT: randomised controlled trial; ROI: return on investment</w:t>
            </w:r>
          </w:p>
          <w:p w14:paraId="2A6CD0E6" w14:textId="3CBB43D5" w:rsidR="00953A33" w:rsidRPr="004C78D8" w:rsidRDefault="007E4027" w:rsidP="00FB7C1F">
            <w:pPr>
              <w:rPr>
                <w:sz w:val="18"/>
                <w:szCs w:val="18"/>
              </w:rPr>
            </w:pPr>
            <w:r w:rsidRPr="004C78D8">
              <w:rPr>
                <w:sz w:val="18"/>
                <w:szCs w:val="18"/>
                <w:vertAlign w:val="superscript"/>
              </w:rPr>
              <w:t>1</w:t>
            </w:r>
            <w:r w:rsidR="00953A33" w:rsidRPr="004C78D8">
              <w:rPr>
                <w:sz w:val="18"/>
                <w:szCs w:val="18"/>
              </w:rPr>
              <w:t xml:space="preserve"> Expert guideline on falls prevention economic evaluation recommends that evaluations report all-cause healthcare costs in the base case and fall-related costs in sensitivity analysis </w:t>
            </w:r>
            <w:r w:rsidR="00953A33" w:rsidRPr="004C78D8">
              <w:rPr>
                <w:sz w:val="18"/>
                <w:szCs w:val="18"/>
              </w:rPr>
              <w:fldChar w:fldCharType="begin"/>
            </w:r>
            <w:r w:rsidR="00513646" w:rsidRPr="004C78D8">
              <w:rPr>
                <w:sz w:val="18"/>
                <w:szCs w:val="18"/>
              </w:rPr>
              <w:instrText xml:space="preserve"> ADDIN EN.CITE &lt;EndNote&gt;&lt;Cite&gt;&lt;Author&gt;Davis&lt;/Author&gt;&lt;Year&gt;2011&lt;/Year&gt;&lt;RecNum&gt;286&lt;/RecNum&gt;&lt;DisplayText&gt;[105]&lt;/DisplayText&gt;&lt;record&gt;&lt;rec-number&gt;286&lt;/rec-number&gt;&lt;foreign-keys&gt;&lt;key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00953A33" w:rsidRPr="004C78D8">
              <w:rPr>
                <w:sz w:val="18"/>
                <w:szCs w:val="18"/>
              </w:rPr>
              <w:fldChar w:fldCharType="separate"/>
            </w:r>
            <w:r w:rsidR="00513646" w:rsidRPr="004C78D8">
              <w:rPr>
                <w:noProof/>
                <w:sz w:val="18"/>
                <w:szCs w:val="18"/>
              </w:rPr>
              <w:t>[105]</w:t>
            </w:r>
            <w:r w:rsidR="00953A33" w:rsidRPr="004C78D8">
              <w:rPr>
                <w:sz w:val="18"/>
                <w:szCs w:val="18"/>
              </w:rPr>
              <w:fldChar w:fldCharType="end"/>
            </w:r>
            <w:r w:rsidR="00953A33" w:rsidRPr="004C78D8">
              <w:rPr>
                <w:sz w:val="18"/>
                <w:szCs w:val="18"/>
              </w:rPr>
              <w:t xml:space="preserve">. </w:t>
            </w:r>
          </w:p>
          <w:p w14:paraId="2189735A" w14:textId="28E313A5" w:rsidR="00953A33" w:rsidRPr="004C78D8" w:rsidRDefault="006D0F80" w:rsidP="00FB7C1F">
            <w:pPr>
              <w:rPr>
                <w:sz w:val="18"/>
                <w:szCs w:val="18"/>
              </w:rPr>
            </w:pPr>
            <w:r w:rsidRPr="004C78D8">
              <w:rPr>
                <w:sz w:val="18"/>
                <w:szCs w:val="18"/>
                <w:vertAlign w:val="superscript"/>
              </w:rPr>
              <w:t>2</w:t>
            </w:r>
            <w:r w:rsidR="00953A33" w:rsidRPr="004C78D8">
              <w:rPr>
                <w:sz w:val="18"/>
                <w:szCs w:val="18"/>
              </w:rPr>
              <w:t xml:space="preserve"> Falls risk screening is required if: (1) model prescribes intervention to a subset of the whole target population with certain characteristics (e.g.</w:t>
            </w:r>
            <w:r w:rsidR="0065748E" w:rsidRPr="004C78D8">
              <w:rPr>
                <w:sz w:val="18"/>
                <w:szCs w:val="18"/>
              </w:rPr>
              <w:t>,</w:t>
            </w:r>
            <w:r w:rsidR="00953A33" w:rsidRPr="004C78D8">
              <w:rPr>
                <w:sz w:val="18"/>
                <w:szCs w:val="18"/>
              </w:rPr>
              <w:t xml:space="preserve"> higher falls risk) and this subset must be identified; and (2) model’s target population itself is a specific patient group (e.g.</w:t>
            </w:r>
            <w:r w:rsidR="0065748E" w:rsidRPr="004C78D8">
              <w:rPr>
                <w:sz w:val="18"/>
                <w:szCs w:val="18"/>
              </w:rPr>
              <w:t>,</w:t>
            </w:r>
            <w:r w:rsidR="00953A33" w:rsidRPr="004C78D8">
              <w:rPr>
                <w:sz w:val="18"/>
                <w:szCs w:val="18"/>
              </w:rPr>
              <w:t xml:space="preserve"> cataract patients) and this group must be identified from the general population before model baseline. Falls risk screening is distinct from falls risk assessment as part of multifactorial intervention. </w:t>
            </w:r>
          </w:p>
          <w:p w14:paraId="311B05A2" w14:textId="2C5BA4B2" w:rsidR="00953A33" w:rsidRPr="004C78D8" w:rsidRDefault="006D0F80" w:rsidP="00FB7C1F">
            <w:pPr>
              <w:rPr>
                <w:sz w:val="18"/>
                <w:szCs w:val="18"/>
              </w:rPr>
            </w:pPr>
            <w:r w:rsidRPr="004C78D8">
              <w:rPr>
                <w:sz w:val="18"/>
                <w:szCs w:val="18"/>
                <w:vertAlign w:val="superscript"/>
              </w:rPr>
              <w:t>3</w:t>
            </w:r>
            <w:r w:rsidR="00953A33" w:rsidRPr="004C78D8">
              <w:rPr>
                <w:sz w:val="18"/>
                <w:szCs w:val="18"/>
              </w:rPr>
              <w:t xml:space="preserve"> This concerns models that import falls efficacy evidence from external intervention studies. Main falls incidence metrics are falls risk and falls rate, and their matching efficacy metrics are relative risk (RR) and rate ratio (RaR), respectively. Models should ensure that the external efficacy metric matches the internal falls incidence metric. </w:t>
            </w:r>
          </w:p>
          <w:p w14:paraId="74B3EBB2" w14:textId="35EEAFCF" w:rsidR="00953A33" w:rsidRPr="004C78D8" w:rsidRDefault="006D0F80" w:rsidP="00FB7C1F">
            <w:pPr>
              <w:rPr>
                <w:sz w:val="18"/>
                <w:szCs w:val="18"/>
              </w:rPr>
            </w:pPr>
            <w:r w:rsidRPr="004C78D8">
              <w:rPr>
                <w:sz w:val="18"/>
                <w:szCs w:val="18"/>
                <w:vertAlign w:val="superscript"/>
              </w:rPr>
              <w:lastRenderedPageBreak/>
              <w:t>4</w:t>
            </w:r>
            <w:r w:rsidR="00953A33" w:rsidRPr="004C78D8">
              <w:rPr>
                <w:sz w:val="18"/>
                <w:szCs w:val="18"/>
              </w:rPr>
              <w:t xml:space="preserve"> Like note </w:t>
            </w:r>
            <w:r w:rsidRPr="004C78D8">
              <w:rPr>
                <w:sz w:val="18"/>
                <w:szCs w:val="18"/>
              </w:rPr>
              <w:t>3</w:t>
            </w:r>
            <w:r w:rsidR="00953A33" w:rsidRPr="004C78D8">
              <w:rPr>
                <w:sz w:val="18"/>
                <w:szCs w:val="18"/>
              </w:rPr>
              <w:t>, this concerns decision models using external efficacy evidence. The fall type (e.g.</w:t>
            </w:r>
            <w:r w:rsidR="0065748E" w:rsidRPr="004C78D8">
              <w:rPr>
                <w:sz w:val="18"/>
                <w:szCs w:val="18"/>
              </w:rPr>
              <w:t>,</w:t>
            </w:r>
            <w:r w:rsidR="00953A33" w:rsidRPr="004C78D8">
              <w:rPr>
                <w:sz w:val="18"/>
                <w:szCs w:val="18"/>
              </w:rPr>
              <w:t xml:space="preserve"> hospitalised fall, fall-induced fracture) for the efficacy data should match that for the model incidence.</w:t>
            </w:r>
          </w:p>
          <w:p w14:paraId="3565EF52" w14:textId="2317C07F" w:rsidR="00953A33" w:rsidRPr="004C78D8" w:rsidRDefault="006D0F80" w:rsidP="00FB7C1F">
            <w:pPr>
              <w:rPr>
                <w:sz w:val="18"/>
                <w:szCs w:val="18"/>
              </w:rPr>
            </w:pPr>
            <w:r w:rsidRPr="004C78D8">
              <w:rPr>
                <w:sz w:val="18"/>
                <w:szCs w:val="18"/>
                <w:vertAlign w:val="superscript"/>
              </w:rPr>
              <w:t>5</w:t>
            </w:r>
            <w:r w:rsidR="00953A33" w:rsidRPr="004C78D8">
              <w:rPr>
                <w:sz w:val="18"/>
                <w:szCs w:val="18"/>
              </w:rPr>
              <w:t xml:space="preserve"> </w:t>
            </w:r>
            <w:r w:rsidR="00953A33" w:rsidRPr="004C78D8">
              <w:rPr>
                <w:sz w:val="18"/>
                <w:szCs w:val="18"/>
                <w:lang w:val="en-US"/>
              </w:rPr>
              <w:t xml:space="preserve">The effectiveness period is a function of efficacy durability and implementation sustainability. </w:t>
            </w:r>
            <w:r w:rsidR="00953A33" w:rsidRPr="004C78D8">
              <w:rPr>
                <w:sz w:val="18"/>
                <w:szCs w:val="18"/>
              </w:rPr>
              <w:t xml:space="preserve">Efficacy durability should not extend beyond the intervention study’s timespan unless the intervention is sustained </w:t>
            </w:r>
            <w:r w:rsidR="00953A33" w:rsidRPr="004C78D8">
              <w:rPr>
                <w:sz w:val="18"/>
                <w:szCs w:val="18"/>
              </w:rPr>
              <w:fldChar w:fldCharType="begin"/>
            </w:r>
            <w:r w:rsidR="00513646" w:rsidRPr="004C78D8">
              <w:rPr>
                <w:sz w:val="18"/>
                <w:szCs w:val="18"/>
              </w:rPr>
              <w:instrText xml:space="preserve"> ADDIN EN.CITE &lt;EndNote&gt;&lt;Cite&gt;&lt;Author&gt;Davis&lt;/Author&gt;&lt;Year&gt;2011&lt;/Year&gt;&lt;RecNum&gt;286&lt;/RecNum&gt;&lt;DisplayText&gt;[105]&lt;/DisplayText&gt;&lt;record&gt;&lt;rec-number&gt;286&lt;/rec-number&gt;&lt;foreign-keys&gt;&lt;key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00953A33" w:rsidRPr="004C78D8">
              <w:rPr>
                <w:sz w:val="18"/>
                <w:szCs w:val="18"/>
              </w:rPr>
              <w:fldChar w:fldCharType="separate"/>
            </w:r>
            <w:r w:rsidR="00513646" w:rsidRPr="004C78D8">
              <w:rPr>
                <w:noProof/>
                <w:sz w:val="18"/>
                <w:szCs w:val="18"/>
              </w:rPr>
              <w:t>[105]</w:t>
            </w:r>
            <w:r w:rsidR="00953A33" w:rsidRPr="004C78D8">
              <w:rPr>
                <w:sz w:val="18"/>
                <w:szCs w:val="18"/>
              </w:rPr>
              <w:fldChar w:fldCharType="end"/>
            </w:r>
            <w:r w:rsidR="00953A33" w:rsidRPr="004C78D8">
              <w:rPr>
                <w:sz w:val="18"/>
                <w:szCs w:val="18"/>
              </w:rPr>
              <w:t xml:space="preserve">. </w:t>
            </w:r>
            <w:r w:rsidR="00953A33" w:rsidRPr="004C78D8">
              <w:rPr>
                <w:sz w:val="18"/>
                <w:szCs w:val="18"/>
                <w:lang w:val="en-US"/>
              </w:rPr>
              <w:t xml:space="preserve">Key determinants of sustainability are demand-side persistence and supply-side maintenance. </w:t>
            </w:r>
          </w:p>
          <w:p w14:paraId="3E645D77" w14:textId="67E774DC" w:rsidR="00953A33" w:rsidRPr="004C78D8" w:rsidRDefault="006D0F80" w:rsidP="00FB7C1F">
            <w:pPr>
              <w:rPr>
                <w:sz w:val="18"/>
                <w:szCs w:val="18"/>
              </w:rPr>
            </w:pPr>
            <w:r w:rsidRPr="004C78D8">
              <w:rPr>
                <w:sz w:val="18"/>
                <w:szCs w:val="18"/>
                <w:vertAlign w:val="superscript"/>
              </w:rPr>
              <w:t>6</w:t>
            </w:r>
            <w:r w:rsidR="00893D44" w:rsidRPr="004C78D8">
              <w:rPr>
                <w:sz w:val="18"/>
                <w:szCs w:val="18"/>
              </w:rPr>
              <w:t xml:space="preserve"> See Section 3.5 where these challenges are further described</w:t>
            </w:r>
            <w:r w:rsidR="003F608F" w:rsidRPr="004C78D8">
              <w:rPr>
                <w:sz w:val="18"/>
                <w:szCs w:val="18"/>
              </w:rPr>
              <w:t xml:space="preserve"> as conceptual themes</w:t>
            </w:r>
            <w:r w:rsidR="00893D44" w:rsidRPr="004C78D8">
              <w:rPr>
                <w:sz w:val="18"/>
                <w:szCs w:val="18"/>
              </w:rPr>
              <w:t>.</w:t>
            </w:r>
            <w:r w:rsidR="00953A33" w:rsidRPr="004C78D8">
              <w:rPr>
                <w:sz w:val="18"/>
                <w:szCs w:val="18"/>
              </w:rPr>
              <w:t xml:space="preserve"> </w:t>
            </w:r>
          </w:p>
        </w:tc>
      </w:tr>
    </w:tbl>
    <w:p w14:paraId="254D2238" w14:textId="77777777" w:rsidR="00805D6C" w:rsidRPr="004C78D8" w:rsidRDefault="00805D6C" w:rsidP="00FB7C1F"/>
    <w:p w14:paraId="4766BD14" w14:textId="26A42A9D" w:rsidR="00CB070A" w:rsidRPr="004C78D8" w:rsidRDefault="001F6C88" w:rsidP="00FB7C1F">
      <w:pPr>
        <w:pStyle w:val="Heading4"/>
      </w:pPr>
      <w:r w:rsidRPr="004C78D8">
        <w:t>4</w:t>
      </w:r>
      <w:r w:rsidR="00E2702A" w:rsidRPr="004C78D8">
        <w:t>.3.2.1 Checklist scores for methodological and reporting quality</w:t>
      </w:r>
    </w:p>
    <w:p w14:paraId="40D29CED" w14:textId="76A0D451" w:rsidR="00E2702A" w:rsidRPr="004C78D8" w:rsidRDefault="00230CF5" w:rsidP="00FB7C1F">
      <w:pPr>
        <w:rPr>
          <w:lang w:val="en-SG"/>
        </w:rPr>
      </w:pPr>
      <w:r w:rsidRPr="004C78D8">
        <w:rPr>
          <w:lang w:val="en-SG"/>
        </w:rPr>
        <w:t xml:space="preserve">A checklist specifically designed to assess the reporting and methodological quality of falls prevention economic evaluations was applied </w:t>
      </w:r>
      <w:r w:rsidR="00014614" w:rsidRPr="004C78D8">
        <w:rPr>
          <w:lang w:val="en-SG"/>
        </w:rPr>
        <w:t xml:space="preserve">by the PhD researcher </w:t>
      </w:r>
      <w:r w:rsidRPr="004C78D8">
        <w:rPr>
          <w:lang w:val="en-SG"/>
        </w:rPr>
        <w:t xml:space="preserve">after being adapted for use on decision models, </w:t>
      </w:r>
      <w:r w:rsidRPr="004C78D8">
        <w:t>as described and presented in Appendix D, Table D</w:t>
      </w:r>
      <w:r w:rsidR="003F608F" w:rsidRPr="004C78D8">
        <w:t>1</w:t>
      </w:r>
      <w:r w:rsidRPr="004C78D8">
        <w:rPr>
          <w:lang w:val="en-SG"/>
        </w:rPr>
        <w:t xml:space="preserve"> </w:t>
      </w:r>
      <w:r w:rsidRPr="004C78D8">
        <w:rPr>
          <w:lang w:val="en-SG"/>
        </w:rPr>
        <w:fldChar w:fldCharType="begin"/>
      </w:r>
      <w:r w:rsidR="00513646" w:rsidRPr="004C78D8">
        <w:rPr>
          <w:lang w:val="en-SG"/>
        </w:rPr>
        <w:instrText xml:space="preserve"> ADDIN EN.CITE &lt;EndNote&gt;&lt;Cite&gt;&lt;Author&gt;Davis&lt;/Author&gt;&lt;Year&gt;2011&lt;/Year&gt;&lt;RecNum&gt;286&lt;/RecNum&gt;&lt;DisplayText&gt;[105]&lt;/DisplayText&gt;&lt;record&gt;&lt;rec-number&gt;286&lt;/rec-number&gt;&lt;foreign-keys&gt;&lt;key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Pr="004C78D8">
        <w:rPr>
          <w:lang w:val="en-SG"/>
        </w:rPr>
        <w:fldChar w:fldCharType="separate"/>
      </w:r>
      <w:r w:rsidR="00513646" w:rsidRPr="004C78D8">
        <w:rPr>
          <w:noProof/>
          <w:lang w:val="en-SG"/>
        </w:rPr>
        <w:t>[105]</w:t>
      </w:r>
      <w:r w:rsidRPr="004C78D8">
        <w:rPr>
          <w:lang w:val="en-SG"/>
        </w:rPr>
        <w:fldChar w:fldCharType="end"/>
      </w:r>
      <w:r w:rsidRPr="004C78D8">
        <w:rPr>
          <w:lang w:val="en-SG"/>
        </w:rPr>
        <w:t>.</w:t>
      </w:r>
    </w:p>
    <w:p w14:paraId="71E03597" w14:textId="030393D1" w:rsidR="00230CF5" w:rsidRPr="004C78D8" w:rsidRDefault="001F6C88" w:rsidP="00FB7C1F">
      <w:pPr>
        <w:pStyle w:val="Heading4"/>
        <w:rPr>
          <w:lang w:val="en-SG"/>
        </w:rPr>
      </w:pPr>
      <w:r w:rsidRPr="004C78D8">
        <w:rPr>
          <w:lang w:val="en-SG"/>
        </w:rPr>
        <w:t>4</w:t>
      </w:r>
      <w:r w:rsidR="00230CF5" w:rsidRPr="004C78D8">
        <w:rPr>
          <w:lang w:val="en-SG"/>
        </w:rPr>
        <w:t>.3.2.2 Narrative synthesis of methodological features and methodological recommendations</w:t>
      </w:r>
    </w:p>
    <w:p w14:paraId="302C54E7" w14:textId="3B4A770B" w:rsidR="00230CF5" w:rsidRPr="004C78D8" w:rsidRDefault="00230CF5" w:rsidP="00FB7C1F">
      <w:r w:rsidRPr="004C78D8">
        <w:t xml:space="preserve">The extracted methodological features under categories (A) to (E) in Table </w:t>
      </w:r>
      <w:r w:rsidR="001F6C88" w:rsidRPr="004C78D8">
        <w:t>4</w:t>
      </w:r>
      <w:r w:rsidRPr="004C78D8">
        <w:t>.1 were narratively synthesised, mainly using tabular formats. Critical appraisal identified between-study variation in the methods used to characterise the features</w:t>
      </w:r>
      <w:r w:rsidR="00FE0920" w:rsidRPr="004C78D8">
        <w:t xml:space="preserve"> </w:t>
      </w:r>
      <w:r w:rsidRPr="004C78D8">
        <w:t xml:space="preserve">and their respective strengths and limitations (including those </w:t>
      </w:r>
      <w:r w:rsidR="00FE0920" w:rsidRPr="004C78D8">
        <w:t>highlighted</w:t>
      </w:r>
      <w:r w:rsidRPr="004C78D8">
        <w:t xml:space="preserve"> by the model’s </w:t>
      </w:r>
      <w:r w:rsidR="00FE0920" w:rsidRPr="004C78D8">
        <w:t>authors</w:t>
      </w:r>
      <w:r w:rsidRPr="004C78D8">
        <w:t>). Methodological recommendations for future model development were subsequently formulated by this systematic review.</w:t>
      </w:r>
    </w:p>
    <w:p w14:paraId="0F29B208" w14:textId="27FDC6B4" w:rsidR="00230CF5" w:rsidRPr="004C78D8" w:rsidRDefault="001F6C88" w:rsidP="00FB7C1F">
      <w:pPr>
        <w:pStyle w:val="Heading4"/>
        <w:rPr>
          <w:lang w:val="en-SG"/>
        </w:rPr>
      </w:pPr>
      <w:r w:rsidRPr="004C78D8">
        <w:rPr>
          <w:lang w:val="en-SG"/>
        </w:rPr>
        <w:t>4</w:t>
      </w:r>
      <w:r w:rsidR="00230CF5" w:rsidRPr="004C78D8">
        <w:rPr>
          <w:lang w:val="en-SG"/>
        </w:rPr>
        <w:t xml:space="preserve">.3.2.3 </w:t>
      </w:r>
      <w:r w:rsidR="001D5120" w:rsidRPr="004C78D8">
        <w:rPr>
          <w:lang w:val="en-SG"/>
        </w:rPr>
        <w:t xml:space="preserve">Developing commissioning recommendations </w:t>
      </w:r>
      <w:r w:rsidR="00BB0794" w:rsidRPr="004C78D8">
        <w:rPr>
          <w:lang w:val="en-SG"/>
        </w:rPr>
        <w:t>based on the review results</w:t>
      </w:r>
    </w:p>
    <w:p w14:paraId="4DA4BBFB" w14:textId="64BD9B59" w:rsidR="001D5120" w:rsidRPr="004C78D8" w:rsidRDefault="00FE0920" w:rsidP="00FB7C1F">
      <w:r w:rsidRPr="004C78D8">
        <w:t xml:space="preserve">Commissioning recommendations are based on the model evaluation results extracted under category (E). </w:t>
      </w:r>
      <w:r w:rsidR="00BB0794" w:rsidRPr="004C78D8">
        <w:t>Note that these are preliminary recommendations based on the review results alone; separate recommendations will be made in Chapter 6 based on the model analysis results</w:t>
      </w:r>
      <w:r w:rsidR="00863F94" w:rsidRPr="004C78D8">
        <w:t xml:space="preserve"> and then compared to the former (i.e., cross-validation).</w:t>
      </w:r>
      <w:r w:rsidR="00BB0794" w:rsidRPr="004C78D8">
        <w:t xml:space="preserve"> </w:t>
      </w:r>
      <w:r w:rsidRPr="004C78D8">
        <w:t xml:space="preserve">The recommendations are based primarily on a subset of models that targeted general older populations – as opposed to specific patient groups – and conducted analyses over a lifetime horizon. Prioritising this subset addresses the information needs of decision-makers overseeing geographically defined jurisdictions (e.g., national) </w:t>
      </w:r>
      <w:r w:rsidRPr="004C78D8">
        <w:fldChar w:fldCharType="begin"/>
      </w:r>
      <w:r w:rsidR="00513646" w:rsidRPr="004C78D8">
        <w:instrText xml:space="preserve"> ADDIN EN.CITE &lt;EndNote&gt;&lt;Cite&gt;&lt;Author&gt;Brennan&lt;/Author&gt;&lt;Year&gt;2000&lt;/Year&gt;&lt;RecNum&gt;412&lt;/RecNum&gt;&lt;DisplayText&gt;[164]&lt;/DisplayText&gt;&lt;record&gt;&lt;rec-number&gt;412&lt;/rec-number&gt;&lt;foreign-keys&gt;&lt;key app="EN" db-id="tdtrdw9aepptzbefsat599syza29sxsd2wsp" timestamp="1616153209"&gt;412&lt;/key&gt;&lt;/foreign-keys&gt;&lt;ref-type name="Journal Article"&gt;17&lt;/ref-type&gt;&lt;contributors&gt;&lt;authors&gt;&lt;author&gt;Brennan, Alan&lt;/author&gt;&lt;author&gt;Akehurst, Ron&lt;/author&gt;&lt;/authors&gt;&lt;/contributors&gt;&lt;titles&gt;&lt;title&gt;Modelling in health economic evaluation&lt;/title&gt;&lt;secondary-title&gt;Pharmacoeconomics&lt;/secondary-title&gt;&lt;/titles&gt;&lt;periodical&gt;&lt;full-title&gt;PharmacoEconomics&lt;/full-title&gt;&lt;/periodical&gt;&lt;pages&gt;445-459&lt;/pages&gt;&lt;volume&gt;17&lt;/volume&gt;&lt;number&gt;5&lt;/number&gt;&lt;dates&gt;&lt;year&gt;2000&lt;/year&gt;&lt;/dates&gt;&lt;isbn&gt;1170-7690&lt;/isbn&gt;&lt;urls&gt;&lt;/urls&gt;&lt;/record&gt;&lt;/Cite&gt;&lt;/EndNote&gt;</w:instrText>
      </w:r>
      <w:r w:rsidRPr="004C78D8">
        <w:fldChar w:fldCharType="separate"/>
      </w:r>
      <w:r w:rsidR="00513646" w:rsidRPr="004C78D8">
        <w:rPr>
          <w:noProof/>
        </w:rPr>
        <w:t>[164]</w:t>
      </w:r>
      <w:r w:rsidRPr="004C78D8">
        <w:fldChar w:fldCharType="end"/>
      </w:r>
      <w:r w:rsidRPr="004C78D8">
        <w:t xml:space="preserve">. The evaluation over a lifetime horizon is recommended by the expert guideline on falls prevention economic evaluation </w:t>
      </w:r>
      <w:r w:rsidRPr="004C78D8">
        <w:fldChar w:fldCharType="begin"/>
      </w:r>
      <w:r w:rsidR="00513646" w:rsidRPr="004C78D8">
        <w:instrText xml:space="preserve"> ADDIN EN.CITE &lt;EndNote&gt;&lt;Cite&gt;&lt;Author&gt;Davis&lt;/Author&gt;&lt;Year&gt;2011&lt;/Year&gt;&lt;RecNum&gt;286&lt;/RecNum&gt;&lt;DisplayText&gt;[105]&lt;/DisplayText&gt;&lt;record&gt;&lt;rec-number&gt;286&lt;/rec-number&gt;&lt;foreign-keys&gt;&lt;key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Pr="004C78D8">
        <w:fldChar w:fldCharType="separate"/>
      </w:r>
      <w:r w:rsidR="00513646" w:rsidRPr="004C78D8">
        <w:rPr>
          <w:noProof/>
        </w:rPr>
        <w:t>[105]</w:t>
      </w:r>
      <w:r w:rsidRPr="004C78D8">
        <w:fldChar w:fldCharType="end"/>
      </w:r>
      <w:r w:rsidRPr="004C78D8">
        <w:t>.</w:t>
      </w:r>
    </w:p>
    <w:p w14:paraId="5A3DAE6B" w14:textId="4DBCB29E" w:rsidR="00FE0920" w:rsidRPr="004C78D8" w:rsidRDefault="00FE0920" w:rsidP="00FB7C1F">
      <w:pPr>
        <w:rPr>
          <w:lang w:val="en-US"/>
        </w:rPr>
      </w:pPr>
      <w:r w:rsidRPr="004C78D8">
        <w:t>The recommendations considered all available evaluation outcomes – including not only cost-per-unit ratios but also aggregate, population-level impact and wider decisional outcomes (e.g.</w:t>
      </w:r>
      <w:r w:rsidR="00267EA5" w:rsidRPr="004C78D8">
        <w:t>,</w:t>
      </w:r>
      <w:r w:rsidRPr="004C78D8">
        <w:t xml:space="preserve"> impact on social inequities of health) – and methodological caveats potentially affecting credibility and outcomes. </w:t>
      </w:r>
      <w:r w:rsidRPr="004C78D8">
        <w:rPr>
          <w:lang w:val="en-US"/>
        </w:rPr>
        <w:t xml:space="preserve">Monetary outcomes were converted to pound sterling (£) in 2021 using the consumer price index (CPI) in the country of study to account for inflation up to 2021 </w:t>
      </w:r>
      <w:r w:rsidRPr="004C78D8">
        <w:fldChar w:fldCharType="begin"/>
      </w:r>
      <w:r w:rsidR="00C630FC" w:rsidRPr="004C78D8">
        <w:instrText xml:space="preserve"> ADDIN EN.CITE &lt;EndNote&gt;&lt;Cite&gt;&lt;Author&gt;World Bank&lt;/Author&gt;&lt;Year&gt;2021&lt;/Year&gt;&lt;RecNum&gt;403&lt;/RecNum&gt;&lt;DisplayText&gt;[333]&lt;/DisplayText&gt;&lt;record&gt;&lt;rec-number&gt;403&lt;/rec-number&gt;&lt;foreign-keys&gt;&lt;key app="EN" db-id="tdtrdw9aepptzbefsat599syza29sxsd2wsp" timestamp="1613067042"&gt;403&lt;/key&gt;&lt;/foreign-keys&gt;&lt;ref-type name="Web Page"&gt;12&lt;/ref-type&gt;&lt;contributors&gt;&lt;authors&gt;&lt;author&gt;World Bank,&lt;/author&gt;&lt;/authors&gt;&lt;/contributors&gt;&lt;titles&gt;&lt;title&gt;Inflation, consumer prices (annual %)&lt;/title&gt;&lt;/titles&gt;&lt;dates&gt;&lt;year&gt;2021&lt;/year&gt;&lt;/dates&gt;&lt;urls&gt;&lt;related-urls&gt;&lt;url&gt;https://data.worldbank.org/indicator/FP.CPI.TOTL.ZG&lt;/url&gt;&lt;/related-urls&gt;&lt;/urls&gt;&lt;/record&gt;&lt;/Cite&gt;&lt;/EndNote&gt;</w:instrText>
      </w:r>
      <w:r w:rsidRPr="004C78D8">
        <w:fldChar w:fldCharType="separate"/>
      </w:r>
      <w:r w:rsidR="00C630FC" w:rsidRPr="004C78D8">
        <w:rPr>
          <w:noProof/>
        </w:rPr>
        <w:t>[333]</w:t>
      </w:r>
      <w:r w:rsidRPr="004C78D8">
        <w:fldChar w:fldCharType="end"/>
      </w:r>
      <w:r w:rsidRPr="004C78D8">
        <w:t xml:space="preserve"> </w:t>
      </w:r>
      <w:r w:rsidRPr="004C78D8">
        <w:rPr>
          <w:lang w:val="en-US"/>
        </w:rPr>
        <w:t xml:space="preserve">and the most recent purchasing power parity (PPP) exchange ratio between £ and the original currency </w:t>
      </w:r>
      <w:r w:rsidRPr="004C78D8">
        <w:fldChar w:fldCharType="begin"/>
      </w:r>
      <w:r w:rsidR="00C630FC" w:rsidRPr="004C78D8">
        <w:instrText xml:space="preserve"> ADDIN EN.CITE &lt;EndNote&gt;&lt;Cite&gt;&lt;Author&gt;OECD Data&lt;/Author&gt;&lt;Year&gt;2021&lt;/Year&gt;&lt;RecNum&gt;404&lt;/RecNum&gt;&lt;DisplayText&gt;[334]&lt;/DisplayText&gt;&lt;record&gt;&lt;rec-number&gt;404&lt;/rec-number&gt;&lt;foreign-keys&gt;&lt;key app="EN" db-id="tdtrdw9aepptzbefsat599syza29sxsd2wsp" timestamp="1613077493"&gt;404&lt;/key&gt;&lt;/foreign-keys&gt;&lt;ref-type name="Web Page"&gt;12&lt;/ref-type&gt;&lt;contributors&gt;&lt;authors&gt;&lt;author&gt;OECD Data,&lt;/author&gt;&lt;/authors&gt;&lt;/contributors&gt;&lt;titles&gt;&lt;title&gt;Purchasing power parities (PPP)&lt;/title&gt;&lt;/titles&gt;&lt;dates&gt;&lt;year&gt;2021&lt;/year&gt;&lt;/dates&gt;&lt;urls&gt;&lt;related-urls&gt;&lt;url&gt;https://data.oecd.org/conversion/purchasing-power-parities-ppp.htm#indicator-chart&lt;/url&gt;&lt;/related-urls&gt;&lt;/urls&gt;&lt;/record&gt;&lt;/Cite&gt;&lt;/EndNote&gt;</w:instrText>
      </w:r>
      <w:r w:rsidRPr="004C78D8">
        <w:fldChar w:fldCharType="separate"/>
      </w:r>
      <w:r w:rsidR="00C630FC" w:rsidRPr="004C78D8">
        <w:rPr>
          <w:noProof/>
        </w:rPr>
        <w:t>[334]</w:t>
      </w:r>
      <w:r w:rsidRPr="004C78D8">
        <w:fldChar w:fldCharType="end"/>
      </w:r>
      <w:r w:rsidRPr="004C78D8">
        <w:rPr>
          <w:lang w:val="en-US"/>
        </w:rPr>
        <w:t>. For CUA, an ICER less than £30,000 per QALY gain</w:t>
      </w:r>
      <w:r w:rsidR="00C84BD6" w:rsidRPr="004C78D8">
        <w:rPr>
          <w:lang w:val="en-US"/>
        </w:rPr>
        <w:t>ed</w:t>
      </w:r>
      <w:r w:rsidRPr="004C78D8">
        <w:rPr>
          <w:lang w:val="en-US"/>
        </w:rPr>
        <w:t xml:space="preserve"> was deemed cost-effective according to the threshold recommended by the NICE </w:t>
      </w:r>
      <w:r w:rsidR="0063281D" w:rsidRPr="004C78D8">
        <w:rPr>
          <w:lang w:val="en-US"/>
        </w:rPr>
        <w:t>Methods Guide</w:t>
      </w:r>
      <w:r w:rsidRPr="004C78D8">
        <w:rPr>
          <w:lang w:val="en-US"/>
        </w:rPr>
        <w:t xml:space="preserve"> </w:t>
      </w:r>
      <w:r w:rsidRPr="004C78D8">
        <w:rPr>
          <w:lang w:val="en-US"/>
        </w:rPr>
        <w:fldChar w:fldCharType="begin"/>
      </w:r>
      <w:r w:rsidR="00513646" w:rsidRPr="004C78D8">
        <w:rPr>
          <w:lang w:val="en-US"/>
        </w:rPr>
        <w:instrText xml:space="preserve"> ADDIN EN.CITE &lt;EndNote&gt;&lt;Cite&gt;&lt;Author&gt;National Institute for Health and Care Excellence&lt;/Author&gt;&lt;Year&gt;2013&lt;/Year&gt;&lt;RecNum&gt;411&lt;/RecNum&gt;&lt;DisplayText&gt;[154]&lt;/DisplayText&gt;&lt;record&gt;&lt;rec-number&gt;411&lt;/rec-number&gt;&lt;foreign-keys&gt;&lt;key app="EN" db-id="tdtrdw9aepptzbefsat599syza29sxsd2wsp" timestamp="1615809068"&gt;411&lt;/key&gt;&lt;/foreign-keys&gt;&lt;ref-type name="Journal Article"&gt;17&lt;/ref-type&gt;&lt;contributors&gt;&lt;authors&gt;&lt;author&gt;National Institute for Health and Care Excellence,&lt;/author&gt;&lt;/authors&gt;&lt;/contributors&gt;&lt;titles&gt;&lt;title&gt;Guide to the methods of technology appraisal 2013&lt;/title&gt;&lt;/titles&gt;&lt;dates&gt;&lt;year&gt;2013&lt;/year&gt;&lt;/dates&gt;&lt;urls&gt;&lt;related-urls&gt;&lt;url&gt;nice.org.uk/process/pmg9&lt;/url&gt;&lt;/related-urls&gt;&lt;/urls&gt;&lt;/record&gt;&lt;/Cite&gt;&lt;/EndNote&gt;</w:instrText>
      </w:r>
      <w:r w:rsidRPr="004C78D8">
        <w:rPr>
          <w:lang w:val="en-US"/>
        </w:rPr>
        <w:fldChar w:fldCharType="separate"/>
      </w:r>
      <w:r w:rsidR="00513646" w:rsidRPr="004C78D8">
        <w:rPr>
          <w:noProof/>
          <w:lang w:val="en-US"/>
        </w:rPr>
        <w:t>[154]</w:t>
      </w:r>
      <w:r w:rsidRPr="004C78D8">
        <w:rPr>
          <w:lang w:val="en-US"/>
        </w:rPr>
        <w:fldChar w:fldCharType="end"/>
      </w:r>
      <w:r w:rsidRPr="004C78D8">
        <w:rPr>
          <w:lang w:val="en-US"/>
        </w:rPr>
        <w:t>.</w:t>
      </w:r>
    </w:p>
    <w:p w14:paraId="02123263" w14:textId="5B1D3F53" w:rsidR="001167A8" w:rsidRPr="004C78D8" w:rsidRDefault="001F6C88" w:rsidP="00FB7C1F">
      <w:pPr>
        <w:pStyle w:val="Heading2"/>
      </w:pPr>
      <w:bookmarkStart w:id="112" w:name="_Toc93566878"/>
      <w:bookmarkStart w:id="113" w:name="_Toc111630752"/>
      <w:r w:rsidRPr="004C78D8">
        <w:t>4</w:t>
      </w:r>
      <w:r w:rsidR="0023127F" w:rsidRPr="004C78D8">
        <w:t>.4</w:t>
      </w:r>
      <w:r w:rsidR="001167A8" w:rsidRPr="004C78D8">
        <w:t xml:space="preserve"> </w:t>
      </w:r>
      <w:r w:rsidR="0023127F" w:rsidRPr="004C78D8">
        <w:t>Systematic review</w:t>
      </w:r>
      <w:r w:rsidR="001167A8" w:rsidRPr="004C78D8">
        <w:t xml:space="preserve"> results</w:t>
      </w:r>
      <w:r w:rsidR="009A0668" w:rsidRPr="004C78D8">
        <w:t xml:space="preserve"> part 1: overview</w:t>
      </w:r>
      <w:bookmarkEnd w:id="112"/>
      <w:bookmarkEnd w:id="113"/>
    </w:p>
    <w:p w14:paraId="19DE5732" w14:textId="7E098B59" w:rsidR="00097877" w:rsidRPr="004C78D8" w:rsidRDefault="009A0668" w:rsidP="00FB7C1F">
      <w:r w:rsidRPr="004C78D8">
        <w:t xml:space="preserve">The database search results are presented (Section </w:t>
      </w:r>
      <w:r w:rsidR="001F6C88" w:rsidRPr="004C78D8">
        <w:t>4</w:t>
      </w:r>
      <w:r w:rsidRPr="004C78D8">
        <w:t xml:space="preserve">.4.1), followed by overview (Section </w:t>
      </w:r>
      <w:r w:rsidR="001F6C88" w:rsidRPr="004C78D8">
        <w:t>4</w:t>
      </w:r>
      <w:r w:rsidRPr="004C78D8">
        <w:t xml:space="preserve">.4.2) and checklist scores (Section </w:t>
      </w:r>
      <w:r w:rsidR="001F6C88" w:rsidRPr="004C78D8">
        <w:t>4</w:t>
      </w:r>
      <w:r w:rsidRPr="004C78D8">
        <w:t xml:space="preserve">.4.3) of included models. </w:t>
      </w:r>
    </w:p>
    <w:p w14:paraId="52268360" w14:textId="4F33C726" w:rsidR="00097877" w:rsidRPr="004C78D8" w:rsidRDefault="001F6C88" w:rsidP="00FB7C1F">
      <w:pPr>
        <w:pStyle w:val="Heading3"/>
      </w:pPr>
      <w:bookmarkStart w:id="114" w:name="_Toc111630753"/>
      <w:r w:rsidRPr="004C78D8">
        <w:t>4</w:t>
      </w:r>
      <w:r w:rsidR="00097877" w:rsidRPr="004C78D8">
        <w:t xml:space="preserve">.4.1 </w:t>
      </w:r>
      <w:r w:rsidR="00017DD0" w:rsidRPr="004C78D8">
        <w:t>Systematic review s</w:t>
      </w:r>
      <w:r w:rsidR="00097877" w:rsidRPr="004C78D8">
        <w:t>earch results</w:t>
      </w:r>
      <w:bookmarkEnd w:id="114"/>
    </w:p>
    <w:p w14:paraId="77B390B5" w14:textId="56E4255C" w:rsidR="009A0668" w:rsidRPr="004C78D8" w:rsidRDefault="00017DD0" w:rsidP="00FB7C1F">
      <w:r w:rsidRPr="004C78D8">
        <w:t xml:space="preserve">Figure </w:t>
      </w:r>
      <w:r w:rsidR="001F6C88" w:rsidRPr="004C78D8">
        <w:t>4</w:t>
      </w:r>
      <w:r w:rsidRPr="004C78D8">
        <w:t>.1 presents the PRISMA flow diagram. In total, 15,730 titles and abstracts were screened. Ninety-two full texts were screened from which 46 decision models were identified.</w:t>
      </w:r>
      <w:r w:rsidR="00DF6589" w:rsidRPr="004C78D8">
        <w:t xml:space="preserve"> Six studies were identified from the grey literature and references of other studies. The main reason for exclusion at the full text screening stage was not conducting economic evaluation via decision modelling. The titles of the excluded studies are given in Table D2 in Appendix D. </w:t>
      </w:r>
    </w:p>
    <w:p w14:paraId="70975236" w14:textId="77777777" w:rsidR="00EB3704" w:rsidRPr="004C78D8" w:rsidRDefault="00EB3704" w:rsidP="00FB7C1F">
      <w:pPr>
        <w:sectPr w:rsidR="00EB3704" w:rsidRPr="004C78D8">
          <w:pgSz w:w="11906" w:h="16838"/>
          <w:pgMar w:top="1440" w:right="1440" w:bottom="1440" w:left="1440" w:header="708" w:footer="708" w:gutter="0"/>
          <w:cols w:space="708"/>
          <w:docGrid w:linePitch="360"/>
        </w:sectPr>
      </w:pPr>
    </w:p>
    <w:p w14:paraId="39D8C661" w14:textId="1A531CCA" w:rsidR="00EB3704" w:rsidRPr="004C78D8" w:rsidRDefault="00A1003D" w:rsidP="00FB7C1F">
      <w:r w:rsidRPr="004C78D8">
        <w:rPr>
          <w:noProof/>
          <w:lang w:eastAsia="en-GB"/>
        </w:rPr>
        <w:lastRenderedPageBreak/>
        <mc:AlternateContent>
          <mc:Choice Requires="wpg">
            <w:drawing>
              <wp:anchor distT="0" distB="0" distL="114300" distR="114300" simplePos="0" relativeHeight="251672576" behindDoc="0" locked="0" layoutInCell="1" allowOverlap="1" wp14:anchorId="6E381491" wp14:editId="54FD73DF">
                <wp:simplePos x="0" y="0"/>
                <wp:positionH relativeFrom="column">
                  <wp:posOffset>0</wp:posOffset>
                </wp:positionH>
                <wp:positionV relativeFrom="paragraph">
                  <wp:posOffset>0</wp:posOffset>
                </wp:positionV>
                <wp:extent cx="8738235" cy="5000625"/>
                <wp:effectExtent l="0" t="0" r="5715" b="952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38235" cy="5000625"/>
                          <a:chOff x="0" y="0"/>
                          <a:chExt cx="9535795" cy="5553551"/>
                        </a:xfrm>
                      </wpg:grpSpPr>
                      <wps:wsp>
                        <wps:cNvPr id="73" name="Rectangle 73"/>
                        <wps:cNvSpPr/>
                        <wps:spPr>
                          <a:xfrm>
                            <a:off x="457200" y="3514725"/>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1E78DA" w14:textId="77777777" w:rsidR="00EB3704" w:rsidRDefault="00EB3704" w:rsidP="00EB370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w:t>
                              </w:r>
                            </w:p>
                            <w:p w14:paraId="460F27D3" w14:textId="263FEBA1" w:rsidR="00EB3704" w:rsidRPr="00560609" w:rsidRDefault="00EB3704" w:rsidP="00EB3704">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(n = </w:t>
                              </w:r>
                              <w:r w:rsidR="009E3647">
                                <w:rPr>
                                  <w:rFonts w:ascii="Arial" w:hAnsi="Arial" w:cs="Arial"/>
                                  <w:color w:val="000000" w:themeColor="text1"/>
                                  <w:sz w:val="18"/>
                                  <w:szCs w:val="20"/>
                                </w:rPr>
                                <w:t>77</w:t>
                              </w:r>
                              <w:r>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2952750" y="3514725"/>
                            <a:ext cx="1887220" cy="1133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748E32" w14:textId="2103FA13" w:rsidR="00EB3704" w:rsidRDefault="00EB3704" w:rsidP="00EB370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r w:rsidR="00BB6B17">
                                <w:rPr>
                                  <w:rFonts w:ascii="Arial" w:hAnsi="Arial" w:cs="Arial"/>
                                  <w:color w:val="000000" w:themeColor="text1"/>
                                  <w:sz w:val="18"/>
                                  <w:szCs w:val="20"/>
                                </w:rPr>
                                <w:t xml:space="preserve"> (n = </w:t>
                              </w:r>
                              <w:r w:rsidR="009E3647">
                                <w:rPr>
                                  <w:rFonts w:ascii="Arial" w:hAnsi="Arial" w:cs="Arial"/>
                                  <w:color w:val="000000" w:themeColor="text1"/>
                                  <w:sz w:val="18"/>
                                  <w:szCs w:val="20"/>
                                </w:rPr>
                                <w:t>37</w:t>
                              </w:r>
                              <w:r w:rsidR="00BB6B17">
                                <w:rPr>
                                  <w:rFonts w:ascii="Arial" w:hAnsi="Arial" w:cs="Arial"/>
                                  <w:color w:val="000000" w:themeColor="text1"/>
                                  <w:sz w:val="18"/>
                                  <w:szCs w:val="20"/>
                                </w:rPr>
                                <w:t>):</w:t>
                              </w:r>
                            </w:p>
                            <w:p w14:paraId="387FF1FA" w14:textId="111133F9" w:rsidR="00EB3704" w:rsidRPr="00AD0853" w:rsidRDefault="00951092" w:rsidP="00EB3704">
                              <w:pPr>
                                <w:spacing w:after="0" w:line="240" w:lineRule="auto"/>
                                <w:ind w:left="284"/>
                                <w:rPr>
                                  <w:rFonts w:ascii="Arial" w:hAnsi="Arial" w:cs="Arial"/>
                                  <w:color w:val="000000" w:themeColor="text1"/>
                                  <w:sz w:val="16"/>
                                  <w:szCs w:val="18"/>
                                </w:rPr>
                              </w:pPr>
                              <w:r w:rsidRPr="00AD0853">
                                <w:rPr>
                                  <w:rFonts w:ascii="Arial" w:hAnsi="Arial" w:cs="Arial"/>
                                  <w:color w:val="000000" w:themeColor="text1"/>
                                  <w:sz w:val="16"/>
                                  <w:szCs w:val="18"/>
                                </w:rPr>
                                <w:t>Not decision model</w:t>
                              </w:r>
                              <w:r w:rsidR="00EB3704" w:rsidRPr="00AD0853">
                                <w:rPr>
                                  <w:rFonts w:ascii="Arial" w:hAnsi="Arial" w:cs="Arial"/>
                                  <w:color w:val="000000" w:themeColor="text1"/>
                                  <w:sz w:val="16"/>
                                  <w:szCs w:val="18"/>
                                </w:rPr>
                                <w:t xml:space="preserve"> (n = </w:t>
                              </w:r>
                              <w:r w:rsidR="00F96F4E">
                                <w:rPr>
                                  <w:rFonts w:ascii="Arial" w:hAnsi="Arial" w:cs="Arial"/>
                                  <w:color w:val="000000" w:themeColor="text1"/>
                                  <w:sz w:val="16"/>
                                  <w:szCs w:val="18"/>
                                </w:rPr>
                                <w:t>22</w:t>
                              </w:r>
                              <w:r w:rsidR="00EB3704" w:rsidRPr="00AD0853">
                                <w:rPr>
                                  <w:rFonts w:ascii="Arial" w:hAnsi="Arial" w:cs="Arial"/>
                                  <w:color w:val="000000" w:themeColor="text1"/>
                                  <w:sz w:val="16"/>
                                  <w:szCs w:val="18"/>
                                </w:rPr>
                                <w:t>)</w:t>
                              </w:r>
                            </w:p>
                            <w:p w14:paraId="1F72C72F" w14:textId="12D857C1" w:rsidR="00EB3704" w:rsidRDefault="00951092" w:rsidP="00EB3704">
                              <w:pPr>
                                <w:spacing w:after="0" w:line="240" w:lineRule="auto"/>
                                <w:ind w:left="284"/>
                                <w:rPr>
                                  <w:rFonts w:ascii="Arial" w:hAnsi="Arial" w:cs="Arial"/>
                                  <w:color w:val="000000" w:themeColor="text1"/>
                                  <w:sz w:val="16"/>
                                  <w:szCs w:val="18"/>
                                </w:rPr>
                              </w:pPr>
                              <w:r w:rsidRPr="00AD0853">
                                <w:rPr>
                                  <w:rFonts w:ascii="Arial" w:hAnsi="Arial" w:cs="Arial"/>
                                  <w:color w:val="000000" w:themeColor="text1"/>
                                  <w:sz w:val="16"/>
                                  <w:szCs w:val="18"/>
                                </w:rPr>
                                <w:t>N</w:t>
                              </w:r>
                              <w:r w:rsidR="00AD0853">
                                <w:rPr>
                                  <w:rFonts w:ascii="Arial" w:hAnsi="Arial" w:cs="Arial"/>
                                  <w:color w:val="000000" w:themeColor="text1"/>
                                  <w:sz w:val="16"/>
                                  <w:szCs w:val="18"/>
                                </w:rPr>
                                <w:t>o fall</w:t>
                              </w:r>
                              <w:r w:rsidR="00F96F4E">
                                <w:rPr>
                                  <w:rFonts w:ascii="Arial" w:hAnsi="Arial" w:cs="Arial"/>
                                  <w:color w:val="000000" w:themeColor="text1"/>
                                  <w:sz w:val="16"/>
                                  <w:szCs w:val="18"/>
                                </w:rPr>
                                <w:t>-related outcome</w:t>
                              </w:r>
                              <w:r w:rsidR="00AD0853">
                                <w:rPr>
                                  <w:rFonts w:ascii="Arial" w:hAnsi="Arial" w:cs="Arial"/>
                                  <w:color w:val="000000" w:themeColor="text1"/>
                                  <w:sz w:val="16"/>
                                  <w:szCs w:val="18"/>
                                </w:rPr>
                                <w:t xml:space="preserve"> </w:t>
                              </w:r>
                              <w:r w:rsidR="00EB3704" w:rsidRPr="00AD0853">
                                <w:rPr>
                                  <w:rFonts w:ascii="Arial" w:hAnsi="Arial" w:cs="Arial"/>
                                  <w:color w:val="000000" w:themeColor="text1"/>
                                  <w:sz w:val="16"/>
                                  <w:szCs w:val="18"/>
                                </w:rPr>
                                <w:t xml:space="preserve">(n = </w:t>
                              </w:r>
                              <w:r w:rsidR="00F96F4E">
                                <w:rPr>
                                  <w:rFonts w:ascii="Arial" w:hAnsi="Arial" w:cs="Arial"/>
                                  <w:color w:val="000000" w:themeColor="text1"/>
                                  <w:sz w:val="16"/>
                                  <w:szCs w:val="18"/>
                                </w:rPr>
                                <w:t>2</w:t>
                              </w:r>
                              <w:r w:rsidR="00EB3704" w:rsidRPr="00AD0853">
                                <w:rPr>
                                  <w:rFonts w:ascii="Arial" w:hAnsi="Arial" w:cs="Arial"/>
                                  <w:color w:val="000000" w:themeColor="text1"/>
                                  <w:sz w:val="16"/>
                                  <w:szCs w:val="18"/>
                                </w:rPr>
                                <w:t>)</w:t>
                              </w:r>
                            </w:p>
                            <w:p w14:paraId="10AB33B3" w14:textId="30A4AD23" w:rsidR="00F96F4E" w:rsidRPr="00AD0853" w:rsidRDefault="00F96F4E" w:rsidP="00EB3704">
                              <w:pPr>
                                <w:spacing w:after="0" w:line="240" w:lineRule="auto"/>
                                <w:ind w:left="284"/>
                                <w:rPr>
                                  <w:rFonts w:ascii="Arial" w:hAnsi="Arial" w:cs="Arial"/>
                                  <w:color w:val="000000" w:themeColor="text1"/>
                                  <w:sz w:val="16"/>
                                  <w:szCs w:val="18"/>
                                </w:rPr>
                              </w:pPr>
                              <w:r>
                                <w:rPr>
                                  <w:rFonts w:ascii="Arial" w:hAnsi="Arial" w:cs="Arial"/>
                                  <w:color w:val="000000" w:themeColor="text1"/>
                                  <w:sz w:val="16"/>
                                  <w:szCs w:val="18"/>
                                </w:rPr>
                                <w:t>Not falls prevention (n = 10)</w:t>
                              </w:r>
                            </w:p>
                            <w:p w14:paraId="483D445E" w14:textId="5C03A4DB" w:rsidR="00EB3704" w:rsidRDefault="00AD0853" w:rsidP="009E3647">
                              <w:pPr>
                                <w:spacing w:after="0" w:line="240" w:lineRule="auto"/>
                                <w:ind w:left="284"/>
                                <w:rPr>
                                  <w:rFonts w:ascii="Arial" w:hAnsi="Arial" w:cs="Arial"/>
                                  <w:color w:val="000000" w:themeColor="text1"/>
                                  <w:sz w:val="16"/>
                                  <w:szCs w:val="18"/>
                                </w:rPr>
                              </w:pPr>
                              <w:r>
                                <w:rPr>
                                  <w:rFonts w:ascii="Arial" w:hAnsi="Arial" w:cs="Arial"/>
                                  <w:color w:val="000000" w:themeColor="text1"/>
                                  <w:sz w:val="16"/>
                                  <w:szCs w:val="18"/>
                                </w:rPr>
                                <w:t>Not community-dwelling older population</w:t>
                              </w:r>
                              <w:r w:rsidR="00EB3704" w:rsidRPr="00AD0853">
                                <w:rPr>
                                  <w:rFonts w:ascii="Arial" w:hAnsi="Arial" w:cs="Arial"/>
                                  <w:color w:val="000000" w:themeColor="text1"/>
                                  <w:sz w:val="16"/>
                                  <w:szCs w:val="18"/>
                                </w:rPr>
                                <w:t xml:space="preserve"> (n = </w:t>
                              </w:r>
                              <w:r w:rsidR="00F96F4E">
                                <w:rPr>
                                  <w:rFonts w:ascii="Arial" w:hAnsi="Arial" w:cs="Arial"/>
                                  <w:color w:val="000000" w:themeColor="text1"/>
                                  <w:sz w:val="16"/>
                                  <w:szCs w:val="18"/>
                                </w:rPr>
                                <w:t>3</w:t>
                              </w:r>
                              <w:r w:rsidR="00EB3704" w:rsidRPr="00AD0853">
                                <w:rPr>
                                  <w:rFonts w:ascii="Arial" w:hAnsi="Arial" w:cs="Arial"/>
                                  <w:color w:val="000000" w:themeColor="text1"/>
                                  <w:sz w:val="16"/>
                                  <w:szCs w:val="18"/>
                                </w:rPr>
                                <w:t>)</w:t>
                              </w:r>
                            </w:p>
                            <w:p w14:paraId="7D72819A" w14:textId="77777777" w:rsidR="00AD0853" w:rsidRPr="00AD0853" w:rsidRDefault="00AD0853" w:rsidP="009E3647">
                              <w:pPr>
                                <w:spacing w:after="0" w:line="240" w:lineRule="auto"/>
                                <w:ind w:left="284"/>
                                <w:rPr>
                                  <w:rFonts w:ascii="Arial" w:hAnsi="Arial" w:cs="Arial"/>
                                  <w:color w:val="000000" w:themeColor="text1"/>
                                  <w:sz w:val="16"/>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5162550" y="352425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6DE1F9" w14:textId="77777777" w:rsidR="00EB3704" w:rsidRDefault="00EB3704" w:rsidP="00EB370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w:t>
                              </w:r>
                            </w:p>
                            <w:p w14:paraId="0F82DE9C" w14:textId="15C9302B" w:rsidR="00EB3704" w:rsidRPr="00560609" w:rsidRDefault="00EB3704" w:rsidP="00EB3704">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(n = </w:t>
                              </w:r>
                              <w:r w:rsidR="009E3647">
                                <w:rPr>
                                  <w:rFonts w:ascii="Arial" w:hAnsi="Arial" w:cs="Arial"/>
                                  <w:color w:val="000000" w:themeColor="text1"/>
                                  <w:sz w:val="18"/>
                                  <w:szCs w:val="20"/>
                                </w:rPr>
                                <w:t>15</w:t>
                              </w:r>
                              <w:r>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7648575" y="3533775"/>
                            <a:ext cx="1887220" cy="1104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2B483B" w14:textId="309D607A" w:rsidR="00EB3704" w:rsidRDefault="00EB3704" w:rsidP="00EB370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r w:rsidR="00BB6B17">
                                <w:rPr>
                                  <w:rFonts w:ascii="Arial" w:hAnsi="Arial" w:cs="Arial"/>
                                  <w:color w:val="000000" w:themeColor="text1"/>
                                  <w:sz w:val="18"/>
                                  <w:szCs w:val="20"/>
                                </w:rPr>
                                <w:t xml:space="preserve"> (n = 9):</w:t>
                              </w:r>
                            </w:p>
                            <w:p w14:paraId="1D7EC891" w14:textId="75E0CC19" w:rsidR="00EB3704" w:rsidRPr="00F96F4E" w:rsidRDefault="00000545" w:rsidP="00000545">
                              <w:pPr>
                                <w:spacing w:after="0" w:line="240" w:lineRule="auto"/>
                                <w:ind w:left="284"/>
                                <w:jc w:val="left"/>
                                <w:rPr>
                                  <w:rFonts w:ascii="Arial" w:hAnsi="Arial" w:cs="Arial"/>
                                  <w:color w:val="000000" w:themeColor="text1"/>
                                  <w:sz w:val="16"/>
                                  <w:szCs w:val="18"/>
                                </w:rPr>
                              </w:pPr>
                              <w:r w:rsidRPr="00F96F4E">
                                <w:rPr>
                                  <w:rFonts w:ascii="Arial" w:hAnsi="Arial" w:cs="Arial"/>
                                  <w:color w:val="000000" w:themeColor="text1"/>
                                  <w:sz w:val="16"/>
                                  <w:szCs w:val="18"/>
                                </w:rPr>
                                <w:t>Not decision model</w:t>
                              </w:r>
                              <w:r w:rsidR="00EB3704" w:rsidRPr="00F96F4E">
                                <w:rPr>
                                  <w:rFonts w:ascii="Arial" w:hAnsi="Arial" w:cs="Arial"/>
                                  <w:color w:val="000000" w:themeColor="text1"/>
                                  <w:sz w:val="16"/>
                                  <w:szCs w:val="18"/>
                                </w:rPr>
                                <w:t xml:space="preserve"> (n = </w:t>
                              </w:r>
                              <w:r w:rsidRPr="00F96F4E">
                                <w:rPr>
                                  <w:rFonts w:ascii="Arial" w:hAnsi="Arial" w:cs="Arial"/>
                                  <w:color w:val="000000" w:themeColor="text1"/>
                                  <w:sz w:val="16"/>
                                  <w:szCs w:val="18"/>
                                </w:rPr>
                                <w:t>5</w:t>
                              </w:r>
                              <w:r w:rsidR="00EB3704" w:rsidRPr="00F96F4E">
                                <w:rPr>
                                  <w:rFonts w:ascii="Arial" w:hAnsi="Arial" w:cs="Arial"/>
                                  <w:color w:val="000000" w:themeColor="text1"/>
                                  <w:sz w:val="16"/>
                                  <w:szCs w:val="18"/>
                                </w:rPr>
                                <w:t>)</w:t>
                              </w:r>
                            </w:p>
                            <w:p w14:paraId="23E120F1" w14:textId="44727434" w:rsidR="00EB3704" w:rsidRPr="00F96F4E" w:rsidRDefault="00000545" w:rsidP="00000545">
                              <w:pPr>
                                <w:spacing w:after="0" w:line="240" w:lineRule="auto"/>
                                <w:ind w:left="284"/>
                                <w:jc w:val="left"/>
                                <w:rPr>
                                  <w:rFonts w:ascii="Arial" w:hAnsi="Arial" w:cs="Arial"/>
                                  <w:color w:val="000000" w:themeColor="text1"/>
                                  <w:sz w:val="16"/>
                                  <w:szCs w:val="18"/>
                                </w:rPr>
                              </w:pPr>
                              <w:r w:rsidRPr="00F96F4E">
                                <w:rPr>
                                  <w:rFonts w:ascii="Arial" w:hAnsi="Arial" w:cs="Arial"/>
                                  <w:color w:val="000000" w:themeColor="text1"/>
                                  <w:sz w:val="16"/>
                                  <w:szCs w:val="18"/>
                                </w:rPr>
                                <w:t>Not full economic evaluation</w:t>
                              </w:r>
                              <w:r w:rsidR="00EB3704" w:rsidRPr="00F96F4E">
                                <w:rPr>
                                  <w:rFonts w:ascii="Arial" w:hAnsi="Arial" w:cs="Arial"/>
                                  <w:color w:val="000000" w:themeColor="text1"/>
                                  <w:sz w:val="16"/>
                                  <w:szCs w:val="18"/>
                                </w:rPr>
                                <w:t xml:space="preserve"> (n = </w:t>
                              </w:r>
                              <w:r w:rsidRPr="00F96F4E">
                                <w:rPr>
                                  <w:rFonts w:ascii="Arial" w:hAnsi="Arial" w:cs="Arial"/>
                                  <w:color w:val="000000" w:themeColor="text1"/>
                                  <w:sz w:val="16"/>
                                  <w:szCs w:val="18"/>
                                </w:rPr>
                                <w:t>3</w:t>
                              </w:r>
                              <w:r w:rsidR="00EB3704" w:rsidRPr="00F96F4E">
                                <w:rPr>
                                  <w:rFonts w:ascii="Arial" w:hAnsi="Arial" w:cs="Arial"/>
                                  <w:color w:val="000000" w:themeColor="text1"/>
                                  <w:sz w:val="16"/>
                                  <w:szCs w:val="18"/>
                                </w:rPr>
                                <w:t>)</w:t>
                              </w:r>
                            </w:p>
                            <w:p w14:paraId="009E4CC1" w14:textId="7D8A9999" w:rsidR="00EB3704" w:rsidRPr="00F96F4E" w:rsidRDefault="00F96F4E" w:rsidP="00000545">
                              <w:pPr>
                                <w:spacing w:after="0" w:line="240" w:lineRule="auto"/>
                                <w:ind w:left="284"/>
                                <w:jc w:val="left"/>
                                <w:rPr>
                                  <w:rFonts w:ascii="Arial" w:hAnsi="Arial" w:cs="Arial"/>
                                  <w:color w:val="000000" w:themeColor="text1"/>
                                  <w:sz w:val="16"/>
                                  <w:szCs w:val="18"/>
                                </w:rPr>
                              </w:pPr>
                              <w:r w:rsidRPr="00F96F4E">
                                <w:rPr>
                                  <w:rFonts w:ascii="Arial" w:hAnsi="Arial" w:cs="Arial"/>
                                  <w:color w:val="000000" w:themeColor="text1"/>
                                  <w:sz w:val="16"/>
                                  <w:szCs w:val="18"/>
                                </w:rPr>
                                <w:t>Not falls prevention</w:t>
                              </w:r>
                              <w:r w:rsidR="00EB3704" w:rsidRPr="00F96F4E">
                                <w:rPr>
                                  <w:rFonts w:ascii="Arial" w:hAnsi="Arial" w:cs="Arial"/>
                                  <w:color w:val="000000" w:themeColor="text1"/>
                                  <w:sz w:val="16"/>
                                  <w:szCs w:val="18"/>
                                </w:rPr>
                                <w:t xml:space="preserve"> (n = </w:t>
                              </w:r>
                              <w:r w:rsidR="00000545" w:rsidRPr="00F96F4E">
                                <w:rPr>
                                  <w:rFonts w:ascii="Arial" w:hAnsi="Arial" w:cs="Arial"/>
                                  <w:color w:val="000000" w:themeColor="text1"/>
                                  <w:sz w:val="16"/>
                                  <w:szCs w:val="18"/>
                                </w:rPr>
                                <w:t>1</w:t>
                              </w:r>
                              <w:r w:rsidR="00EB3704" w:rsidRPr="00F96F4E">
                                <w:rPr>
                                  <w:rFonts w:ascii="Arial" w:hAnsi="Arial" w:cs="Arial"/>
                                  <w:color w:val="000000" w:themeColor="text1"/>
                                  <w:sz w:val="16"/>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438150" y="4810125"/>
                            <a:ext cx="188722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DA3AAD" w14:textId="77777777" w:rsidR="00EB3704" w:rsidRDefault="00EB3704" w:rsidP="00EB3704">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1009C91B" w14:textId="55FD93D0" w:rsidR="00EB3704" w:rsidRDefault="00EB3704" w:rsidP="00EB3704">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(n = </w:t>
                              </w:r>
                              <w:r w:rsidR="00DC71FA">
                                <w:rPr>
                                  <w:rFonts w:ascii="Arial" w:hAnsi="Arial" w:cs="Arial"/>
                                  <w:color w:val="000000" w:themeColor="text1"/>
                                  <w:sz w:val="18"/>
                                  <w:szCs w:val="20"/>
                                </w:rPr>
                                <w:t>46</w:t>
                              </w:r>
                              <w:r>
                                <w:rPr>
                                  <w:rFonts w:ascii="Arial" w:hAnsi="Arial" w:cs="Arial"/>
                                  <w:color w:val="000000" w:themeColor="text1"/>
                                  <w:sz w:val="18"/>
                                  <w:szCs w:val="20"/>
                                </w:rPr>
                                <w:t>)</w:t>
                              </w:r>
                            </w:p>
                            <w:p w14:paraId="6274C482" w14:textId="77777777" w:rsidR="00EB3704" w:rsidRDefault="00EB3704" w:rsidP="00EB3704">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of included studies</w:t>
                              </w:r>
                            </w:p>
                            <w:p w14:paraId="34A395CE" w14:textId="6982FC92" w:rsidR="00EB3704" w:rsidRPr="00560609" w:rsidRDefault="00EB3704" w:rsidP="00EB3704">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(n = </w:t>
                              </w:r>
                              <w:r w:rsidR="00DC71FA">
                                <w:rPr>
                                  <w:rFonts w:ascii="Arial" w:hAnsi="Arial" w:cs="Arial"/>
                                  <w:color w:val="000000" w:themeColor="text1"/>
                                  <w:sz w:val="18"/>
                                  <w:szCs w:val="20"/>
                                </w:rPr>
                                <w:t>46</w:t>
                              </w:r>
                              <w:r>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Straight Arrow Connector 78"/>
                        <wps:cNvCnPr/>
                        <wps:spPr>
                          <a:xfrm>
                            <a:off x="2371725" y="3800475"/>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 name="Straight Arrow Connector 79"/>
                        <wps:cNvCnPr/>
                        <wps:spPr>
                          <a:xfrm>
                            <a:off x="7067550" y="3800475"/>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 name="Flowchart: Alternate Process 80"/>
                        <wps:cNvSpPr/>
                        <wps:spPr>
                          <a:xfrm rot="16200000">
                            <a:off x="-236855" y="5039995"/>
                            <a:ext cx="764223"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9DE09A3" w14:textId="77777777" w:rsidR="00EB3704" w:rsidRPr="001502CF" w:rsidRDefault="00EB3704" w:rsidP="00EB3704">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Connector: Elbow 81"/>
                        <wps:cNvCnPr/>
                        <wps:spPr>
                          <a:xfrm flipH="1">
                            <a:off x="2324100" y="4057650"/>
                            <a:ext cx="3766058" cy="1133856"/>
                          </a:xfrm>
                          <a:prstGeom prst="bentConnector3">
                            <a:avLst>
                              <a:gd name="adj1" fmla="val 4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2" name="Straight Arrow Connector 82"/>
                        <wps:cNvCnPr/>
                        <wps:spPr>
                          <a:xfrm>
                            <a:off x="1295400" y="4048125"/>
                            <a:ext cx="0" cy="74615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83" name="Group 83"/>
                        <wpg:cNvGrpSpPr/>
                        <wpg:grpSpPr>
                          <a:xfrm>
                            <a:off x="0" y="0"/>
                            <a:ext cx="9535795" cy="4661059"/>
                            <a:chOff x="0" y="0"/>
                            <a:chExt cx="9535795" cy="4661059"/>
                          </a:xfrm>
                        </wpg:grpSpPr>
                        <wps:wsp>
                          <wps:cNvPr id="84" name="Rectangle 84"/>
                          <wps:cNvSpPr/>
                          <wps:spPr>
                            <a:xfrm>
                              <a:off x="457200" y="270510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C2850" w14:textId="77777777" w:rsidR="00EB3704" w:rsidRDefault="00EB3704" w:rsidP="00EB370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sought for retrieval</w:t>
                                </w:r>
                              </w:p>
                              <w:p w14:paraId="43533C23" w14:textId="15EABE69" w:rsidR="00EB3704" w:rsidRPr="00560609" w:rsidRDefault="00EB3704" w:rsidP="00EB3704">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(n = </w:t>
                                </w:r>
                                <w:r w:rsidR="009E3647">
                                  <w:rPr>
                                    <w:rFonts w:ascii="Arial" w:hAnsi="Arial" w:cs="Arial"/>
                                    <w:color w:val="000000" w:themeColor="text1"/>
                                    <w:sz w:val="18"/>
                                    <w:szCs w:val="20"/>
                                  </w:rPr>
                                  <w:t>77</w:t>
                                </w:r>
                                <w:r>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ectangle 85"/>
                          <wps:cNvSpPr/>
                          <wps:spPr>
                            <a:xfrm>
                              <a:off x="2943225" y="272415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13ADFA" w14:textId="77777777" w:rsidR="00EB3704" w:rsidRDefault="00EB3704" w:rsidP="00EB370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not retrieved</w:t>
                                </w:r>
                              </w:p>
                              <w:p w14:paraId="5B06301A" w14:textId="352CA878" w:rsidR="00EB3704" w:rsidRPr="00560609" w:rsidRDefault="00EB3704" w:rsidP="00EB3704">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(n = </w:t>
                                </w:r>
                                <w:r w:rsidR="00DC71FA">
                                  <w:rPr>
                                    <w:rFonts w:ascii="Arial" w:hAnsi="Arial" w:cs="Arial"/>
                                    <w:color w:val="000000" w:themeColor="text1"/>
                                    <w:sz w:val="18"/>
                                    <w:szCs w:val="20"/>
                                  </w:rPr>
                                  <w:t>0</w:t>
                                </w:r>
                                <w:r>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Straight Arrow Connector 86"/>
                          <wps:cNvCnPr/>
                          <wps:spPr>
                            <a:xfrm>
                              <a:off x="2362200" y="297180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 name="Straight Arrow Connector 87"/>
                          <wps:cNvCnPr/>
                          <wps:spPr>
                            <a:xfrm>
                              <a:off x="1304925" y="321945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 name="Rectangle 88"/>
                          <wps:cNvSpPr/>
                          <wps:spPr>
                            <a:xfrm>
                              <a:off x="5162550" y="2705100"/>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B9A29" w14:textId="77777777" w:rsidR="00EB3704" w:rsidRDefault="00EB3704" w:rsidP="00EB370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sought for retrieval</w:t>
                                </w:r>
                              </w:p>
                              <w:p w14:paraId="4BC60557" w14:textId="742BBC62" w:rsidR="00EB3704" w:rsidRPr="00560609" w:rsidRDefault="00EB3704" w:rsidP="00EB3704">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(n = </w:t>
                                </w:r>
                                <w:r w:rsidR="003921EA">
                                  <w:rPr>
                                    <w:rFonts w:ascii="Arial" w:hAnsi="Arial" w:cs="Arial"/>
                                    <w:color w:val="000000" w:themeColor="text1"/>
                                    <w:sz w:val="18"/>
                                    <w:szCs w:val="20"/>
                                  </w:rPr>
                                  <w:t>15</w:t>
                                </w:r>
                                <w:r>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7648575" y="2714625"/>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E11C6B" w14:textId="77777777" w:rsidR="00EB3704" w:rsidRDefault="00EB3704" w:rsidP="00EB370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not retrieved</w:t>
                                </w:r>
                              </w:p>
                              <w:p w14:paraId="3B0BF709" w14:textId="4CE6E819" w:rsidR="00EB3704" w:rsidRPr="00560609" w:rsidRDefault="00EB3704" w:rsidP="00EB3704">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(n = </w:t>
                                </w:r>
                                <w:r w:rsidR="003921EA">
                                  <w:rPr>
                                    <w:rFonts w:ascii="Arial" w:hAnsi="Arial" w:cs="Arial"/>
                                    <w:color w:val="000000" w:themeColor="text1"/>
                                    <w:sz w:val="18"/>
                                    <w:szCs w:val="20"/>
                                  </w:rPr>
                                  <w:t>0</w:t>
                                </w:r>
                                <w:r>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Straight Arrow Connector 90"/>
                          <wps:cNvCnPr/>
                          <wps:spPr>
                            <a:xfrm>
                              <a:off x="7067550" y="2981325"/>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1" name="Straight Arrow Connector 91"/>
                          <wps:cNvCnPr/>
                          <wps:spPr>
                            <a:xfrm>
                              <a:off x="6086475" y="3228975"/>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92" name="Group 92"/>
                          <wpg:cNvGrpSpPr/>
                          <wpg:grpSpPr>
                            <a:xfrm>
                              <a:off x="0" y="0"/>
                              <a:ext cx="9508646" cy="4661059"/>
                              <a:chOff x="0" y="0"/>
                              <a:chExt cx="9508646" cy="4661059"/>
                            </a:xfrm>
                          </wpg:grpSpPr>
                          <wps:wsp>
                            <wps:cNvPr id="93" name="Rectangle 93"/>
                            <wps:cNvSpPr/>
                            <wps:spPr>
                              <a:xfrm>
                                <a:off x="459579" y="1876425"/>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07C254" w14:textId="77777777" w:rsidR="00EB3704" w:rsidRDefault="00EB3704" w:rsidP="00EB370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screened</w:t>
                                  </w:r>
                                </w:p>
                                <w:p w14:paraId="7EB6B514" w14:textId="28920A98" w:rsidR="00EB3704" w:rsidRPr="00560609" w:rsidRDefault="00EB3704" w:rsidP="00EB3704">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(n = </w:t>
                                  </w:r>
                                  <w:r w:rsidR="003E43E1">
                                    <w:rPr>
                                      <w:rFonts w:ascii="Arial" w:hAnsi="Arial" w:cs="Arial"/>
                                      <w:color w:val="000000" w:themeColor="text1"/>
                                      <w:sz w:val="18"/>
                                      <w:szCs w:val="20"/>
                                    </w:rPr>
                                    <w:t>15,715</w:t>
                                  </w:r>
                                  <w:r>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94"/>
                            <wps:cNvSpPr/>
                            <wps:spPr>
                              <a:xfrm>
                                <a:off x="2945604" y="1876425"/>
                                <a:ext cx="1887220" cy="526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CBC11" w14:textId="77777777" w:rsidR="00EB3704" w:rsidRDefault="00EB3704" w:rsidP="00EB370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excluded</w:t>
                                  </w:r>
                                </w:p>
                                <w:p w14:paraId="7E579F81" w14:textId="72269A1A" w:rsidR="00EB3704" w:rsidRPr="00560609" w:rsidRDefault="00EB3704" w:rsidP="00EB3704">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(n = </w:t>
                                  </w:r>
                                  <w:r w:rsidR="003E43E1">
                                    <w:rPr>
                                      <w:rFonts w:ascii="Arial" w:hAnsi="Arial" w:cs="Arial"/>
                                      <w:color w:val="000000" w:themeColor="text1"/>
                                      <w:sz w:val="18"/>
                                      <w:szCs w:val="20"/>
                                    </w:rPr>
                                    <w:t>15,63</w:t>
                                  </w:r>
                                  <w:r w:rsidR="003921EA">
                                    <w:rPr>
                                      <w:rFonts w:ascii="Arial" w:hAnsi="Arial" w:cs="Arial"/>
                                      <w:color w:val="000000" w:themeColor="text1"/>
                                      <w:sz w:val="18"/>
                                      <w:szCs w:val="20"/>
                                    </w:rPr>
                                    <w:t>8</w:t>
                                  </w:r>
                                  <w:r>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Straight Arrow Connector 95"/>
                            <wps:cNvCnPr/>
                            <wps:spPr>
                              <a:xfrm>
                                <a:off x="2355054" y="213360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96" name="Group 96"/>
                            <wpg:cNvGrpSpPr/>
                            <wpg:grpSpPr>
                              <a:xfrm>
                                <a:off x="2379" y="0"/>
                                <a:ext cx="9506267" cy="1597342"/>
                                <a:chOff x="0" y="0"/>
                                <a:chExt cx="9506267" cy="1597342"/>
                              </a:xfrm>
                            </wpg:grpSpPr>
                            <wps:wsp>
                              <wps:cNvPr id="97" name="Rectangle 97"/>
                              <wps:cNvSpPr/>
                              <wps:spPr>
                                <a:xfrm>
                                  <a:off x="456223" y="342900"/>
                                  <a:ext cx="2015311" cy="12435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281B18" w14:textId="604F98EA" w:rsidR="00EB3704" w:rsidRDefault="00EB3704" w:rsidP="00EB370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w:t>
                                    </w:r>
                                    <w:r w:rsidR="002A3CF9">
                                      <w:rPr>
                                        <w:rFonts w:ascii="Arial" w:hAnsi="Arial" w:cs="Arial"/>
                                        <w:color w:val="000000" w:themeColor="text1"/>
                                        <w:sz w:val="18"/>
                                        <w:szCs w:val="20"/>
                                      </w:rPr>
                                      <w:t xml:space="preserve"> (n)</w:t>
                                    </w:r>
                                    <w:r>
                                      <w:rPr>
                                        <w:rFonts w:ascii="Arial" w:hAnsi="Arial" w:cs="Arial"/>
                                        <w:color w:val="000000" w:themeColor="text1"/>
                                        <w:sz w:val="18"/>
                                        <w:szCs w:val="20"/>
                                      </w:rPr>
                                      <w:t>:</w:t>
                                    </w:r>
                                  </w:p>
                                  <w:p w14:paraId="0BA45379" w14:textId="7AE3396E" w:rsidR="00EB3704" w:rsidRPr="002A3CF9" w:rsidRDefault="00EB3704" w:rsidP="002A3CF9">
                                    <w:pPr>
                                      <w:spacing w:after="0" w:line="240" w:lineRule="auto"/>
                                      <w:ind w:left="284"/>
                                      <w:jc w:val="left"/>
                                      <w:rPr>
                                        <w:rFonts w:ascii="Arial" w:hAnsi="Arial" w:cs="Arial"/>
                                        <w:color w:val="000000" w:themeColor="text1"/>
                                        <w:sz w:val="16"/>
                                        <w:szCs w:val="18"/>
                                      </w:rPr>
                                    </w:pPr>
                                    <w:r w:rsidRPr="002A3CF9">
                                      <w:rPr>
                                        <w:rFonts w:ascii="Arial" w:hAnsi="Arial" w:cs="Arial"/>
                                        <w:color w:val="000000" w:themeColor="text1"/>
                                        <w:sz w:val="16"/>
                                        <w:szCs w:val="18"/>
                                      </w:rPr>
                                      <w:t>Medline (</w:t>
                                    </w:r>
                                    <w:r w:rsidR="002A3CF9" w:rsidRPr="002A3CF9">
                                      <w:rPr>
                                        <w:rFonts w:ascii="Arial" w:hAnsi="Arial" w:cs="Arial"/>
                                        <w:color w:val="000000" w:themeColor="text1"/>
                                        <w:sz w:val="16"/>
                                        <w:szCs w:val="18"/>
                                      </w:rPr>
                                      <w:t>4,009</w:t>
                                    </w:r>
                                    <w:r w:rsidRPr="002A3CF9">
                                      <w:rPr>
                                        <w:rFonts w:ascii="Arial" w:hAnsi="Arial" w:cs="Arial"/>
                                        <w:color w:val="000000" w:themeColor="text1"/>
                                        <w:sz w:val="16"/>
                                        <w:szCs w:val="18"/>
                                      </w:rPr>
                                      <w:t>);</w:t>
                                    </w:r>
                                    <w:r w:rsidR="002A3CF9" w:rsidRPr="002A3CF9">
                                      <w:rPr>
                                        <w:rFonts w:ascii="Arial" w:hAnsi="Arial" w:cs="Arial"/>
                                        <w:color w:val="000000" w:themeColor="text1"/>
                                        <w:sz w:val="16"/>
                                        <w:szCs w:val="18"/>
                                      </w:rPr>
                                      <w:t xml:space="preserve"> </w:t>
                                    </w:r>
                                    <w:r w:rsidRPr="002A3CF9">
                                      <w:rPr>
                                        <w:rFonts w:ascii="Arial" w:hAnsi="Arial" w:cs="Arial"/>
                                        <w:color w:val="000000" w:themeColor="text1"/>
                                        <w:sz w:val="16"/>
                                        <w:szCs w:val="18"/>
                                      </w:rPr>
                                      <w:t xml:space="preserve">Embase </w:t>
                                    </w:r>
                                    <w:r w:rsidR="002A3CF9">
                                      <w:rPr>
                                        <w:rFonts w:ascii="Arial" w:hAnsi="Arial" w:cs="Arial"/>
                                        <w:color w:val="000000" w:themeColor="text1"/>
                                        <w:sz w:val="16"/>
                                        <w:szCs w:val="18"/>
                                      </w:rPr>
                                      <w:t>(</w:t>
                                    </w:r>
                                    <w:r w:rsidR="002A3CF9" w:rsidRPr="002A3CF9">
                                      <w:rPr>
                                        <w:rFonts w:ascii="Arial" w:hAnsi="Arial" w:cs="Arial"/>
                                        <w:color w:val="000000" w:themeColor="text1"/>
                                        <w:sz w:val="16"/>
                                        <w:szCs w:val="18"/>
                                      </w:rPr>
                                      <w:t>2</w:t>
                                    </w:r>
                                    <w:r w:rsidRPr="002A3CF9">
                                      <w:rPr>
                                        <w:rFonts w:ascii="Arial" w:hAnsi="Arial" w:cs="Arial"/>
                                        <w:color w:val="000000" w:themeColor="text1"/>
                                        <w:sz w:val="16"/>
                                        <w:szCs w:val="18"/>
                                      </w:rPr>
                                      <w:t>,</w:t>
                                    </w:r>
                                    <w:r w:rsidR="002A3CF9" w:rsidRPr="002A3CF9">
                                      <w:rPr>
                                        <w:rFonts w:ascii="Arial" w:hAnsi="Arial" w:cs="Arial"/>
                                        <w:color w:val="000000" w:themeColor="text1"/>
                                        <w:sz w:val="16"/>
                                        <w:szCs w:val="18"/>
                                      </w:rPr>
                                      <w:t>785</w:t>
                                    </w:r>
                                    <w:r w:rsidRPr="002A3CF9">
                                      <w:rPr>
                                        <w:rFonts w:ascii="Arial" w:hAnsi="Arial" w:cs="Arial"/>
                                        <w:color w:val="000000" w:themeColor="text1"/>
                                        <w:sz w:val="16"/>
                                        <w:szCs w:val="18"/>
                                      </w:rPr>
                                      <w:t>); PubMed</w:t>
                                    </w:r>
                                    <w:r w:rsidR="002A3CF9">
                                      <w:rPr>
                                        <w:rFonts w:ascii="Arial" w:hAnsi="Arial" w:cs="Arial"/>
                                        <w:color w:val="000000" w:themeColor="text1"/>
                                        <w:sz w:val="16"/>
                                        <w:szCs w:val="18"/>
                                      </w:rPr>
                                      <w:t xml:space="preserve"> (8,159); CDSR &amp; CENTRAL (3,107); EconLit (259); CINAHL (1,552); PsycInfo (1,012); ASSIA (462); CRD (61); CEA Registry (100); PEDro (260); </w:t>
                                    </w:r>
                                    <w:r w:rsidR="002A3CF9" w:rsidRPr="002A3CF9">
                                      <w:rPr>
                                        <w:rFonts w:ascii="Arial" w:hAnsi="Arial" w:cs="Arial"/>
                                        <w:b/>
                                        <w:bCs/>
                                        <w:color w:val="000000" w:themeColor="text1"/>
                                        <w:sz w:val="16"/>
                                        <w:szCs w:val="18"/>
                                      </w:rPr>
                                      <w:t>Total (21,766)</w:t>
                                    </w:r>
                                  </w:p>
                                  <w:p w14:paraId="3A22F4B7" w14:textId="77777777" w:rsidR="00EB3704" w:rsidRPr="002A3CF9" w:rsidRDefault="00EB3704" w:rsidP="00EB3704">
                                    <w:pPr>
                                      <w:spacing w:after="0" w:line="240" w:lineRule="auto"/>
                                      <w:ind w:left="284"/>
                                      <w:rPr>
                                        <w:rFonts w:ascii="Arial" w:hAnsi="Arial" w:cs="Arial"/>
                                        <w:color w:val="000000" w:themeColor="text1"/>
                                        <w:sz w:val="16"/>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tangle 98"/>
                              <wps:cNvSpPr/>
                              <wps:spPr>
                                <a:xfrm>
                                  <a:off x="2932747" y="342900"/>
                                  <a:ext cx="1887220" cy="124299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271849" w14:textId="4A590BA0" w:rsidR="00EB3704" w:rsidRDefault="00EB3704" w:rsidP="002A3CF9">
                                    <w:pPr>
                                      <w:spacing w:after="0" w:line="240" w:lineRule="auto"/>
                                      <w:jc w:val="left"/>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removed</w:t>
                                    </w:r>
                                    <w:r w:rsidRPr="002A3CF9">
                                      <w:rPr>
                                        <w:rFonts w:ascii="Arial" w:hAnsi="Arial" w:cs="Arial"/>
                                        <w:color w:val="000000" w:themeColor="text1"/>
                                        <w:sz w:val="18"/>
                                        <w:szCs w:val="20"/>
                                      </w:rPr>
                                      <w:t xml:space="preserve"> before screening</w:t>
                                    </w:r>
                                    <w:r>
                                      <w:rPr>
                                        <w:rFonts w:ascii="Arial" w:hAnsi="Arial" w:cs="Arial"/>
                                        <w:color w:val="000000" w:themeColor="text1"/>
                                        <w:sz w:val="18"/>
                                        <w:szCs w:val="20"/>
                                      </w:rPr>
                                      <w:t>:</w:t>
                                    </w:r>
                                  </w:p>
                                  <w:p w14:paraId="02712047" w14:textId="6DAA0B32" w:rsidR="00EB3704" w:rsidRPr="00560609" w:rsidRDefault="00EB3704" w:rsidP="002A3CF9">
                                    <w:pPr>
                                      <w:spacing w:after="0" w:line="240" w:lineRule="auto"/>
                                      <w:ind w:left="284"/>
                                      <w:jc w:val="left"/>
                                      <w:rPr>
                                        <w:rFonts w:ascii="Arial" w:hAnsi="Arial" w:cs="Arial"/>
                                        <w:color w:val="000000" w:themeColor="text1"/>
                                        <w:sz w:val="18"/>
                                        <w:szCs w:val="20"/>
                                      </w:rPr>
                                    </w:pPr>
                                    <w:r>
                                      <w:rPr>
                                        <w:rFonts w:ascii="Arial" w:hAnsi="Arial" w:cs="Arial"/>
                                        <w:color w:val="000000" w:themeColor="text1"/>
                                        <w:sz w:val="18"/>
                                        <w:szCs w:val="20"/>
                                      </w:rPr>
                                      <w:t>Duplicate</w:t>
                                    </w:r>
                                    <w:r w:rsidR="002A3CF9">
                                      <w:rPr>
                                        <w:rFonts w:ascii="Arial" w:hAnsi="Arial" w:cs="Arial"/>
                                        <w:color w:val="000000" w:themeColor="text1"/>
                                        <w:sz w:val="18"/>
                                        <w:szCs w:val="20"/>
                                      </w:rPr>
                                      <w:t>s</w:t>
                                    </w:r>
                                    <w:r>
                                      <w:rPr>
                                        <w:rFonts w:ascii="Arial" w:hAnsi="Arial" w:cs="Arial"/>
                                        <w:color w:val="000000" w:themeColor="text1"/>
                                        <w:sz w:val="18"/>
                                        <w:szCs w:val="20"/>
                                      </w:rPr>
                                      <w:t xml:space="preserve"> removed (</w:t>
                                    </w:r>
                                    <w:r w:rsidR="003E43E1">
                                      <w:rPr>
                                        <w:rFonts w:ascii="Arial" w:hAnsi="Arial" w:cs="Arial"/>
                                        <w:color w:val="000000" w:themeColor="text1"/>
                                        <w:sz w:val="18"/>
                                        <w:szCs w:val="20"/>
                                      </w:rPr>
                                      <w:t xml:space="preserve">n = </w:t>
                                    </w:r>
                                    <w:r w:rsidR="002A3CF9">
                                      <w:rPr>
                                        <w:rFonts w:ascii="Arial" w:hAnsi="Arial" w:cs="Arial"/>
                                        <w:color w:val="000000" w:themeColor="text1"/>
                                        <w:sz w:val="18"/>
                                        <w:szCs w:val="20"/>
                                      </w:rPr>
                                      <w:t>6,051</w:t>
                                    </w:r>
                                    <w:r>
                                      <w:rPr>
                                        <w:rFonts w:ascii="Arial" w:hAnsi="Arial" w:cs="Arial"/>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5151540" y="342900"/>
                                  <a:ext cx="2184661" cy="12433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32E0A3" w14:textId="77777777" w:rsidR="00EB3704" w:rsidRDefault="00EB3704" w:rsidP="00EB370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w:t>
                                    </w:r>
                                  </w:p>
                                  <w:p w14:paraId="6FE0A76D" w14:textId="679075B3" w:rsidR="00EB3704" w:rsidRDefault="0098110A" w:rsidP="00EB3704">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Grey literature/Websites</w:t>
                                    </w:r>
                                    <w:r w:rsidR="00EB3704">
                                      <w:rPr>
                                        <w:rFonts w:ascii="Arial" w:hAnsi="Arial" w:cs="Arial"/>
                                        <w:color w:val="000000" w:themeColor="text1"/>
                                        <w:sz w:val="18"/>
                                        <w:szCs w:val="20"/>
                                      </w:rPr>
                                      <w:t xml:space="preserve"> (n = </w:t>
                                    </w:r>
                                    <w:r w:rsidR="00136B1D">
                                      <w:rPr>
                                        <w:rFonts w:ascii="Arial" w:hAnsi="Arial" w:cs="Arial"/>
                                        <w:color w:val="000000" w:themeColor="text1"/>
                                        <w:sz w:val="18"/>
                                        <w:szCs w:val="20"/>
                                      </w:rPr>
                                      <w:t>3</w:t>
                                    </w:r>
                                    <w:r w:rsidR="00EB3704">
                                      <w:rPr>
                                        <w:rFonts w:ascii="Arial" w:hAnsi="Arial" w:cs="Arial"/>
                                        <w:color w:val="000000" w:themeColor="text1"/>
                                        <w:sz w:val="18"/>
                                        <w:szCs w:val="20"/>
                                      </w:rPr>
                                      <w:t>)</w:t>
                                    </w:r>
                                  </w:p>
                                  <w:p w14:paraId="195F1E66" w14:textId="7DCAD9AF" w:rsidR="00EB3704" w:rsidRDefault="003921EA" w:rsidP="00EB3704">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References</w:t>
                                    </w:r>
                                    <w:r w:rsidR="00EB3704">
                                      <w:rPr>
                                        <w:rFonts w:ascii="Arial" w:hAnsi="Arial" w:cs="Arial"/>
                                        <w:color w:val="000000" w:themeColor="text1"/>
                                        <w:sz w:val="18"/>
                                        <w:szCs w:val="20"/>
                                      </w:rPr>
                                      <w:t xml:space="preserve"> (n = </w:t>
                                    </w:r>
                                    <w:r w:rsidR="00136B1D">
                                      <w:rPr>
                                        <w:rFonts w:ascii="Arial" w:hAnsi="Arial" w:cs="Arial"/>
                                        <w:color w:val="000000" w:themeColor="text1"/>
                                        <w:sz w:val="18"/>
                                        <w:szCs w:val="20"/>
                                      </w:rPr>
                                      <w:t>12</w:t>
                                    </w:r>
                                    <w:r w:rsidR="00EB3704">
                                      <w:rPr>
                                        <w:rFonts w:ascii="Arial" w:hAnsi="Arial" w:cs="Arial"/>
                                        <w:color w:val="000000" w:themeColor="text1"/>
                                        <w:sz w:val="18"/>
                                        <w:szCs w:val="20"/>
                                      </w:rPr>
                                      <w:t>)</w:t>
                                    </w:r>
                                  </w:p>
                                  <w:p w14:paraId="711DDFC1" w14:textId="01CB8C14" w:rsidR="00EB3704" w:rsidRPr="00560609" w:rsidRDefault="00EB3704" w:rsidP="003921EA">
                                    <w:pPr>
                                      <w:spacing w:after="0" w:line="240" w:lineRule="auto"/>
                                      <w:rPr>
                                        <w:rFonts w:ascii="Arial" w:hAnsi="Arial"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Straight Arrow Connector 100"/>
                              <wps:cNvCnPr>
                                <a:stCxn id="97" idx="3"/>
                              </wps:cNvCnPr>
                              <wps:spPr>
                                <a:xfrm flipV="1">
                                  <a:off x="2471406" y="962025"/>
                                  <a:ext cx="443436" cy="26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01" name="Group 101"/>
                              <wpg:cNvGrpSpPr/>
                              <wpg:grpSpPr>
                                <a:xfrm>
                                  <a:off x="456247" y="0"/>
                                  <a:ext cx="9050020" cy="262966"/>
                                  <a:chOff x="0" y="0"/>
                                  <a:chExt cx="9050020" cy="262966"/>
                                </a:xfrm>
                              </wpg:grpSpPr>
                              <wps:wsp>
                                <wps:cNvPr id="102" name="Flowchart: Alternate Process 102"/>
                                <wps:cNvSpPr/>
                                <wps:spPr>
                                  <a:xfrm>
                                    <a:off x="0" y="0"/>
                                    <a:ext cx="4345229" cy="262966"/>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1D483C6" w14:textId="77777777" w:rsidR="00EB3704" w:rsidRPr="001502CF" w:rsidRDefault="00EB3704" w:rsidP="00EB3704">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databases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Flowchart: Alternate Process 103"/>
                                <wps:cNvSpPr/>
                                <wps:spPr>
                                  <a:xfrm>
                                    <a:off x="4705350" y="0"/>
                                    <a:ext cx="4344670" cy="262890"/>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DE640F7" w14:textId="77777777" w:rsidR="00EB3704" w:rsidRPr="001502CF" w:rsidRDefault="00EB3704" w:rsidP="00EB3704">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other methods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 name="Flowchart: Alternate Process 104"/>
                              <wps:cNvSpPr/>
                              <wps:spPr>
                                <a:xfrm rot="16200000">
                                  <a:off x="-507048" y="827405"/>
                                  <a:ext cx="127698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4D15C4A5" w14:textId="77777777" w:rsidR="00EB3704" w:rsidRPr="001502CF" w:rsidRDefault="00EB3704" w:rsidP="00EB3704">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 name="Flowchart: Alternate Process 105"/>
                            <wps:cNvSpPr/>
                            <wps:spPr>
                              <a:xfrm rot="16200000">
                                <a:off x="-1262223" y="3135947"/>
                                <a:ext cx="2787335" cy="262890"/>
                              </a:xfrm>
                              <a:prstGeom prst="flowChartAlternateProcess">
                                <a:avLst/>
                              </a:prstGeom>
                              <a:solidFill>
                                <a:schemeClr val="accent5">
                                  <a:lumMod val="60000"/>
                                  <a:lumOff val="4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FFDCEDC" w14:textId="77777777" w:rsidR="00EB3704" w:rsidRDefault="00EB3704" w:rsidP="00EB3704">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26F5BF71" w14:textId="77777777" w:rsidR="00EB3704" w:rsidRPr="001502CF" w:rsidRDefault="00EB3704" w:rsidP="00EB3704">
                                  <w:pPr>
                                    <w:spacing w:after="0" w:line="240" w:lineRule="auto"/>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Straight Arrow Connector 106"/>
                            <wps:cNvCnPr/>
                            <wps:spPr>
                              <a:xfrm>
                                <a:off x="1297779" y="1590675"/>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a:off x="1297779" y="2409825"/>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8" name="Straight Arrow Connector 108"/>
                            <wps:cNvCnPr/>
                            <wps:spPr>
                              <a:xfrm>
                                <a:off x="6088854" y="1590675"/>
                                <a:ext cx="0" cy="10864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6E381491" id="Group 26" o:spid="_x0000_s1026" style="position:absolute;left:0;text-align:left;margin-left:0;margin-top:0;width:688.05pt;height:393.75pt;z-index:251672576;mso-width-relative:margin;mso-height-relative:margin" coordsize="95357,5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">
                <v:rect id="Rectangle 73" o:spid="_x0000_s1027" style="position:absolute;left:4572;top:35147;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" filled="f" strokecolor="black [3213]" strokeweight="1pt">
                  <v:textbox>
                    <w:txbxContent>
                      <w:p w14:paraId="621E78DA" w14:textId="77777777" w:rsidR="00EB3704" w:rsidRDefault="00EB3704" w:rsidP="00EB370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w:t>
                        </w:r>
                      </w:p>
                      <w:p w14:paraId="460F27D3" w14:textId="263FEBA1" w:rsidR="00EB3704" w:rsidRPr="00560609" w:rsidRDefault="00EB3704" w:rsidP="00EB3704">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(n = </w:t>
                        </w:r>
                        <w:r w:rsidR="009E3647">
                          <w:rPr>
                            <w:rFonts w:ascii="Arial" w:hAnsi="Arial" w:cs="Arial"/>
                            <w:color w:val="000000" w:themeColor="text1"/>
                            <w:sz w:val="18"/>
                            <w:szCs w:val="20"/>
                          </w:rPr>
                          <w:t>77</w:t>
                        </w:r>
                        <w:r>
                          <w:rPr>
                            <w:rFonts w:ascii="Arial" w:hAnsi="Arial" w:cs="Arial"/>
                            <w:color w:val="000000" w:themeColor="text1"/>
                            <w:sz w:val="18"/>
                            <w:szCs w:val="20"/>
                          </w:rPr>
                          <w:t>)</w:t>
                        </w:r>
                      </w:p>
                    </w:txbxContent>
                  </v:textbox>
                </v:rect>
                <v:rect id="Rectangle 74" o:spid="_x0000_s1028" style="position:absolute;left:29527;top:35147;width:18872;height:11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" filled="f" strokecolor="black [3213]" strokeweight="1pt">
                  <v:textbox>
                    <w:txbxContent>
                      <w:p w14:paraId="5E748E32" w14:textId="2103FA13" w:rsidR="00EB3704" w:rsidRDefault="00EB3704" w:rsidP="00EB370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r w:rsidR="00BB6B17">
                          <w:rPr>
                            <w:rFonts w:ascii="Arial" w:hAnsi="Arial" w:cs="Arial"/>
                            <w:color w:val="000000" w:themeColor="text1"/>
                            <w:sz w:val="18"/>
                            <w:szCs w:val="20"/>
                          </w:rPr>
                          <w:t xml:space="preserve"> (n = </w:t>
                        </w:r>
                        <w:r w:rsidR="009E3647">
                          <w:rPr>
                            <w:rFonts w:ascii="Arial" w:hAnsi="Arial" w:cs="Arial"/>
                            <w:color w:val="000000" w:themeColor="text1"/>
                            <w:sz w:val="18"/>
                            <w:szCs w:val="20"/>
                          </w:rPr>
                          <w:t>37</w:t>
                        </w:r>
                        <w:r w:rsidR="00BB6B17">
                          <w:rPr>
                            <w:rFonts w:ascii="Arial" w:hAnsi="Arial" w:cs="Arial"/>
                            <w:color w:val="000000" w:themeColor="text1"/>
                            <w:sz w:val="18"/>
                            <w:szCs w:val="20"/>
                          </w:rPr>
                          <w:t>):</w:t>
                        </w:r>
                      </w:p>
                      <w:p w14:paraId="387FF1FA" w14:textId="111133F9" w:rsidR="00EB3704" w:rsidRPr="00AD0853" w:rsidRDefault="00951092" w:rsidP="00EB3704">
                        <w:pPr>
                          <w:spacing w:after="0" w:line="240" w:lineRule="auto"/>
                          <w:ind w:left="284"/>
                          <w:rPr>
                            <w:rFonts w:ascii="Arial" w:hAnsi="Arial" w:cs="Arial"/>
                            <w:color w:val="000000" w:themeColor="text1"/>
                            <w:sz w:val="16"/>
                            <w:szCs w:val="18"/>
                          </w:rPr>
                        </w:pPr>
                        <w:r w:rsidRPr="00AD0853">
                          <w:rPr>
                            <w:rFonts w:ascii="Arial" w:hAnsi="Arial" w:cs="Arial"/>
                            <w:color w:val="000000" w:themeColor="text1"/>
                            <w:sz w:val="16"/>
                            <w:szCs w:val="18"/>
                          </w:rPr>
                          <w:t>Not decision model</w:t>
                        </w:r>
                        <w:r w:rsidR="00EB3704" w:rsidRPr="00AD0853">
                          <w:rPr>
                            <w:rFonts w:ascii="Arial" w:hAnsi="Arial" w:cs="Arial"/>
                            <w:color w:val="000000" w:themeColor="text1"/>
                            <w:sz w:val="16"/>
                            <w:szCs w:val="18"/>
                          </w:rPr>
                          <w:t xml:space="preserve"> (n = </w:t>
                        </w:r>
                        <w:r w:rsidR="00F96F4E">
                          <w:rPr>
                            <w:rFonts w:ascii="Arial" w:hAnsi="Arial" w:cs="Arial"/>
                            <w:color w:val="000000" w:themeColor="text1"/>
                            <w:sz w:val="16"/>
                            <w:szCs w:val="18"/>
                          </w:rPr>
                          <w:t>22</w:t>
                        </w:r>
                        <w:r w:rsidR="00EB3704" w:rsidRPr="00AD0853">
                          <w:rPr>
                            <w:rFonts w:ascii="Arial" w:hAnsi="Arial" w:cs="Arial"/>
                            <w:color w:val="000000" w:themeColor="text1"/>
                            <w:sz w:val="16"/>
                            <w:szCs w:val="18"/>
                          </w:rPr>
                          <w:t>)</w:t>
                        </w:r>
                      </w:p>
                      <w:p w14:paraId="1F72C72F" w14:textId="12D857C1" w:rsidR="00EB3704" w:rsidRDefault="00951092" w:rsidP="00EB3704">
                        <w:pPr>
                          <w:spacing w:after="0" w:line="240" w:lineRule="auto"/>
                          <w:ind w:left="284"/>
                          <w:rPr>
                            <w:rFonts w:ascii="Arial" w:hAnsi="Arial" w:cs="Arial"/>
                            <w:color w:val="000000" w:themeColor="text1"/>
                            <w:sz w:val="16"/>
                            <w:szCs w:val="18"/>
                          </w:rPr>
                        </w:pPr>
                        <w:r w:rsidRPr="00AD0853">
                          <w:rPr>
                            <w:rFonts w:ascii="Arial" w:hAnsi="Arial" w:cs="Arial"/>
                            <w:color w:val="000000" w:themeColor="text1"/>
                            <w:sz w:val="16"/>
                            <w:szCs w:val="18"/>
                          </w:rPr>
                          <w:t>N</w:t>
                        </w:r>
                        <w:r w:rsidR="00AD0853">
                          <w:rPr>
                            <w:rFonts w:ascii="Arial" w:hAnsi="Arial" w:cs="Arial"/>
                            <w:color w:val="000000" w:themeColor="text1"/>
                            <w:sz w:val="16"/>
                            <w:szCs w:val="18"/>
                          </w:rPr>
                          <w:t>o fall</w:t>
                        </w:r>
                        <w:r w:rsidR="00F96F4E">
                          <w:rPr>
                            <w:rFonts w:ascii="Arial" w:hAnsi="Arial" w:cs="Arial"/>
                            <w:color w:val="000000" w:themeColor="text1"/>
                            <w:sz w:val="16"/>
                            <w:szCs w:val="18"/>
                          </w:rPr>
                          <w:t>-related outcome</w:t>
                        </w:r>
                        <w:r w:rsidR="00AD0853">
                          <w:rPr>
                            <w:rFonts w:ascii="Arial" w:hAnsi="Arial" w:cs="Arial"/>
                            <w:color w:val="000000" w:themeColor="text1"/>
                            <w:sz w:val="16"/>
                            <w:szCs w:val="18"/>
                          </w:rPr>
                          <w:t xml:space="preserve"> </w:t>
                        </w:r>
                        <w:r w:rsidR="00EB3704" w:rsidRPr="00AD0853">
                          <w:rPr>
                            <w:rFonts w:ascii="Arial" w:hAnsi="Arial" w:cs="Arial"/>
                            <w:color w:val="000000" w:themeColor="text1"/>
                            <w:sz w:val="16"/>
                            <w:szCs w:val="18"/>
                          </w:rPr>
                          <w:t xml:space="preserve">(n = </w:t>
                        </w:r>
                        <w:r w:rsidR="00F96F4E">
                          <w:rPr>
                            <w:rFonts w:ascii="Arial" w:hAnsi="Arial" w:cs="Arial"/>
                            <w:color w:val="000000" w:themeColor="text1"/>
                            <w:sz w:val="16"/>
                            <w:szCs w:val="18"/>
                          </w:rPr>
                          <w:t>2</w:t>
                        </w:r>
                        <w:r w:rsidR="00EB3704" w:rsidRPr="00AD0853">
                          <w:rPr>
                            <w:rFonts w:ascii="Arial" w:hAnsi="Arial" w:cs="Arial"/>
                            <w:color w:val="000000" w:themeColor="text1"/>
                            <w:sz w:val="16"/>
                            <w:szCs w:val="18"/>
                          </w:rPr>
                          <w:t>)</w:t>
                        </w:r>
                      </w:p>
                      <w:p w14:paraId="10AB33B3" w14:textId="30A4AD23" w:rsidR="00F96F4E" w:rsidRPr="00AD0853" w:rsidRDefault="00F96F4E" w:rsidP="00EB3704">
                        <w:pPr>
                          <w:spacing w:after="0" w:line="240" w:lineRule="auto"/>
                          <w:ind w:left="284"/>
                          <w:rPr>
                            <w:rFonts w:ascii="Arial" w:hAnsi="Arial" w:cs="Arial"/>
                            <w:color w:val="000000" w:themeColor="text1"/>
                            <w:sz w:val="16"/>
                            <w:szCs w:val="18"/>
                          </w:rPr>
                        </w:pPr>
                        <w:r>
                          <w:rPr>
                            <w:rFonts w:ascii="Arial" w:hAnsi="Arial" w:cs="Arial"/>
                            <w:color w:val="000000" w:themeColor="text1"/>
                            <w:sz w:val="16"/>
                            <w:szCs w:val="18"/>
                          </w:rPr>
                          <w:t>Not falls prevention (n = 10)</w:t>
                        </w:r>
                      </w:p>
                      <w:p w14:paraId="483D445E" w14:textId="5C03A4DB" w:rsidR="00EB3704" w:rsidRDefault="00AD0853" w:rsidP="009E3647">
                        <w:pPr>
                          <w:spacing w:after="0" w:line="240" w:lineRule="auto"/>
                          <w:ind w:left="284"/>
                          <w:rPr>
                            <w:rFonts w:ascii="Arial" w:hAnsi="Arial" w:cs="Arial"/>
                            <w:color w:val="000000" w:themeColor="text1"/>
                            <w:sz w:val="16"/>
                            <w:szCs w:val="18"/>
                          </w:rPr>
                        </w:pPr>
                        <w:r>
                          <w:rPr>
                            <w:rFonts w:ascii="Arial" w:hAnsi="Arial" w:cs="Arial"/>
                            <w:color w:val="000000" w:themeColor="text1"/>
                            <w:sz w:val="16"/>
                            <w:szCs w:val="18"/>
                          </w:rPr>
                          <w:t>Not community-dwelling older population</w:t>
                        </w:r>
                        <w:r w:rsidR="00EB3704" w:rsidRPr="00AD0853">
                          <w:rPr>
                            <w:rFonts w:ascii="Arial" w:hAnsi="Arial" w:cs="Arial"/>
                            <w:color w:val="000000" w:themeColor="text1"/>
                            <w:sz w:val="16"/>
                            <w:szCs w:val="18"/>
                          </w:rPr>
                          <w:t xml:space="preserve"> (n = </w:t>
                        </w:r>
                        <w:r w:rsidR="00F96F4E">
                          <w:rPr>
                            <w:rFonts w:ascii="Arial" w:hAnsi="Arial" w:cs="Arial"/>
                            <w:color w:val="000000" w:themeColor="text1"/>
                            <w:sz w:val="16"/>
                            <w:szCs w:val="18"/>
                          </w:rPr>
                          <w:t>3</w:t>
                        </w:r>
                        <w:r w:rsidR="00EB3704" w:rsidRPr="00AD0853">
                          <w:rPr>
                            <w:rFonts w:ascii="Arial" w:hAnsi="Arial" w:cs="Arial"/>
                            <w:color w:val="000000" w:themeColor="text1"/>
                            <w:sz w:val="16"/>
                            <w:szCs w:val="18"/>
                          </w:rPr>
                          <w:t>)</w:t>
                        </w:r>
                      </w:p>
                      <w:p w14:paraId="7D72819A" w14:textId="77777777" w:rsidR="00AD0853" w:rsidRPr="00AD0853" w:rsidRDefault="00AD0853" w:rsidP="009E3647">
                        <w:pPr>
                          <w:spacing w:after="0" w:line="240" w:lineRule="auto"/>
                          <w:ind w:left="284"/>
                          <w:rPr>
                            <w:rFonts w:ascii="Arial" w:hAnsi="Arial" w:cs="Arial"/>
                            <w:color w:val="000000" w:themeColor="text1"/>
                            <w:sz w:val="16"/>
                            <w:szCs w:val="18"/>
                          </w:rPr>
                        </w:pPr>
                      </w:p>
                    </w:txbxContent>
                  </v:textbox>
                </v:rect>
                <v:rect id="Rectangle 75" o:spid="_x0000_s1029" style="position:absolute;left:51625;top:35242;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" filled="f" strokecolor="black [3213]" strokeweight="1pt">
                  <v:textbox>
                    <w:txbxContent>
                      <w:p w14:paraId="216DE1F9" w14:textId="77777777" w:rsidR="00EB3704" w:rsidRDefault="00EB3704" w:rsidP="00EB370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assessed for eligibility</w:t>
                        </w:r>
                      </w:p>
                      <w:p w14:paraId="0F82DE9C" w14:textId="15C9302B" w:rsidR="00EB3704" w:rsidRPr="00560609" w:rsidRDefault="00EB3704" w:rsidP="00EB3704">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(n = </w:t>
                        </w:r>
                        <w:r w:rsidR="009E3647">
                          <w:rPr>
                            <w:rFonts w:ascii="Arial" w:hAnsi="Arial" w:cs="Arial"/>
                            <w:color w:val="000000" w:themeColor="text1"/>
                            <w:sz w:val="18"/>
                            <w:szCs w:val="20"/>
                          </w:rPr>
                          <w:t>15</w:t>
                        </w:r>
                        <w:r>
                          <w:rPr>
                            <w:rFonts w:ascii="Arial" w:hAnsi="Arial" w:cs="Arial"/>
                            <w:color w:val="000000" w:themeColor="text1"/>
                            <w:sz w:val="18"/>
                            <w:szCs w:val="20"/>
                          </w:rPr>
                          <w:t>)</w:t>
                        </w:r>
                      </w:p>
                    </w:txbxContent>
                  </v:textbox>
                </v:rect>
                <v:rect id="Rectangle 76" o:spid="_x0000_s1030" style="position:absolute;left:76485;top:35337;width:18872;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" filled="f" strokecolor="black [3213]" strokeweight="1pt">
                  <v:textbox>
                    <w:txbxContent>
                      <w:p w14:paraId="3E2B483B" w14:textId="309D607A" w:rsidR="00EB3704" w:rsidRDefault="00EB3704" w:rsidP="00EB370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excluded</w:t>
                        </w:r>
                        <w:r w:rsidR="00BB6B17">
                          <w:rPr>
                            <w:rFonts w:ascii="Arial" w:hAnsi="Arial" w:cs="Arial"/>
                            <w:color w:val="000000" w:themeColor="text1"/>
                            <w:sz w:val="18"/>
                            <w:szCs w:val="20"/>
                          </w:rPr>
                          <w:t xml:space="preserve"> (n = 9):</w:t>
                        </w:r>
                      </w:p>
                      <w:p w14:paraId="1D7EC891" w14:textId="75E0CC19" w:rsidR="00EB3704" w:rsidRPr="00F96F4E" w:rsidRDefault="00000545" w:rsidP="00000545">
                        <w:pPr>
                          <w:spacing w:after="0" w:line="240" w:lineRule="auto"/>
                          <w:ind w:left="284"/>
                          <w:jc w:val="left"/>
                          <w:rPr>
                            <w:rFonts w:ascii="Arial" w:hAnsi="Arial" w:cs="Arial"/>
                            <w:color w:val="000000" w:themeColor="text1"/>
                            <w:sz w:val="16"/>
                            <w:szCs w:val="18"/>
                          </w:rPr>
                        </w:pPr>
                        <w:r w:rsidRPr="00F96F4E">
                          <w:rPr>
                            <w:rFonts w:ascii="Arial" w:hAnsi="Arial" w:cs="Arial"/>
                            <w:color w:val="000000" w:themeColor="text1"/>
                            <w:sz w:val="16"/>
                            <w:szCs w:val="18"/>
                          </w:rPr>
                          <w:t>Not decision model</w:t>
                        </w:r>
                        <w:r w:rsidR="00EB3704" w:rsidRPr="00F96F4E">
                          <w:rPr>
                            <w:rFonts w:ascii="Arial" w:hAnsi="Arial" w:cs="Arial"/>
                            <w:color w:val="000000" w:themeColor="text1"/>
                            <w:sz w:val="16"/>
                            <w:szCs w:val="18"/>
                          </w:rPr>
                          <w:t xml:space="preserve"> (n = </w:t>
                        </w:r>
                        <w:r w:rsidRPr="00F96F4E">
                          <w:rPr>
                            <w:rFonts w:ascii="Arial" w:hAnsi="Arial" w:cs="Arial"/>
                            <w:color w:val="000000" w:themeColor="text1"/>
                            <w:sz w:val="16"/>
                            <w:szCs w:val="18"/>
                          </w:rPr>
                          <w:t>5</w:t>
                        </w:r>
                        <w:r w:rsidR="00EB3704" w:rsidRPr="00F96F4E">
                          <w:rPr>
                            <w:rFonts w:ascii="Arial" w:hAnsi="Arial" w:cs="Arial"/>
                            <w:color w:val="000000" w:themeColor="text1"/>
                            <w:sz w:val="16"/>
                            <w:szCs w:val="18"/>
                          </w:rPr>
                          <w:t>)</w:t>
                        </w:r>
                      </w:p>
                      <w:p w14:paraId="23E120F1" w14:textId="44727434" w:rsidR="00EB3704" w:rsidRPr="00F96F4E" w:rsidRDefault="00000545" w:rsidP="00000545">
                        <w:pPr>
                          <w:spacing w:after="0" w:line="240" w:lineRule="auto"/>
                          <w:ind w:left="284"/>
                          <w:jc w:val="left"/>
                          <w:rPr>
                            <w:rFonts w:ascii="Arial" w:hAnsi="Arial" w:cs="Arial"/>
                            <w:color w:val="000000" w:themeColor="text1"/>
                            <w:sz w:val="16"/>
                            <w:szCs w:val="18"/>
                          </w:rPr>
                        </w:pPr>
                        <w:r w:rsidRPr="00F96F4E">
                          <w:rPr>
                            <w:rFonts w:ascii="Arial" w:hAnsi="Arial" w:cs="Arial"/>
                            <w:color w:val="000000" w:themeColor="text1"/>
                            <w:sz w:val="16"/>
                            <w:szCs w:val="18"/>
                          </w:rPr>
                          <w:t>Not full economic evaluation</w:t>
                        </w:r>
                        <w:r w:rsidR="00EB3704" w:rsidRPr="00F96F4E">
                          <w:rPr>
                            <w:rFonts w:ascii="Arial" w:hAnsi="Arial" w:cs="Arial"/>
                            <w:color w:val="000000" w:themeColor="text1"/>
                            <w:sz w:val="16"/>
                            <w:szCs w:val="18"/>
                          </w:rPr>
                          <w:t xml:space="preserve"> (n = </w:t>
                        </w:r>
                        <w:r w:rsidRPr="00F96F4E">
                          <w:rPr>
                            <w:rFonts w:ascii="Arial" w:hAnsi="Arial" w:cs="Arial"/>
                            <w:color w:val="000000" w:themeColor="text1"/>
                            <w:sz w:val="16"/>
                            <w:szCs w:val="18"/>
                          </w:rPr>
                          <w:t>3</w:t>
                        </w:r>
                        <w:r w:rsidR="00EB3704" w:rsidRPr="00F96F4E">
                          <w:rPr>
                            <w:rFonts w:ascii="Arial" w:hAnsi="Arial" w:cs="Arial"/>
                            <w:color w:val="000000" w:themeColor="text1"/>
                            <w:sz w:val="16"/>
                            <w:szCs w:val="18"/>
                          </w:rPr>
                          <w:t>)</w:t>
                        </w:r>
                      </w:p>
                      <w:p w14:paraId="009E4CC1" w14:textId="7D8A9999" w:rsidR="00EB3704" w:rsidRPr="00F96F4E" w:rsidRDefault="00F96F4E" w:rsidP="00000545">
                        <w:pPr>
                          <w:spacing w:after="0" w:line="240" w:lineRule="auto"/>
                          <w:ind w:left="284"/>
                          <w:jc w:val="left"/>
                          <w:rPr>
                            <w:rFonts w:ascii="Arial" w:hAnsi="Arial" w:cs="Arial"/>
                            <w:color w:val="000000" w:themeColor="text1"/>
                            <w:sz w:val="16"/>
                            <w:szCs w:val="18"/>
                          </w:rPr>
                        </w:pPr>
                        <w:r w:rsidRPr="00F96F4E">
                          <w:rPr>
                            <w:rFonts w:ascii="Arial" w:hAnsi="Arial" w:cs="Arial"/>
                            <w:color w:val="000000" w:themeColor="text1"/>
                            <w:sz w:val="16"/>
                            <w:szCs w:val="18"/>
                          </w:rPr>
                          <w:t>Not falls prevention</w:t>
                        </w:r>
                        <w:r w:rsidR="00EB3704" w:rsidRPr="00F96F4E">
                          <w:rPr>
                            <w:rFonts w:ascii="Arial" w:hAnsi="Arial" w:cs="Arial"/>
                            <w:color w:val="000000" w:themeColor="text1"/>
                            <w:sz w:val="16"/>
                            <w:szCs w:val="18"/>
                          </w:rPr>
                          <w:t xml:space="preserve"> (n = </w:t>
                        </w:r>
                        <w:r w:rsidR="00000545" w:rsidRPr="00F96F4E">
                          <w:rPr>
                            <w:rFonts w:ascii="Arial" w:hAnsi="Arial" w:cs="Arial"/>
                            <w:color w:val="000000" w:themeColor="text1"/>
                            <w:sz w:val="16"/>
                            <w:szCs w:val="18"/>
                          </w:rPr>
                          <w:t>1</w:t>
                        </w:r>
                        <w:r w:rsidR="00EB3704" w:rsidRPr="00F96F4E">
                          <w:rPr>
                            <w:rFonts w:ascii="Arial" w:hAnsi="Arial" w:cs="Arial"/>
                            <w:color w:val="000000" w:themeColor="text1"/>
                            <w:sz w:val="16"/>
                            <w:szCs w:val="18"/>
                          </w:rPr>
                          <w:t>)</w:t>
                        </w:r>
                      </w:p>
                    </w:txbxContent>
                  </v:textbox>
                </v:rect>
                <v:rect id="Rectangle 77" o:spid="_x0000_s1031" style="position:absolute;left:4381;top:48101;width:18872;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" filled="f" strokecolor="black [3213]" strokeweight="1pt">
                  <v:textbox>
                    <w:txbxContent>
                      <w:p w14:paraId="35DA3AAD" w14:textId="77777777" w:rsidR="00EB3704" w:rsidRDefault="00EB3704" w:rsidP="00EB3704">
                        <w:pPr>
                          <w:spacing w:after="0" w:line="240" w:lineRule="auto"/>
                          <w:rPr>
                            <w:rFonts w:ascii="Arial" w:hAnsi="Arial" w:cs="Arial"/>
                            <w:color w:val="000000" w:themeColor="text1"/>
                            <w:sz w:val="18"/>
                            <w:szCs w:val="20"/>
                          </w:rPr>
                        </w:pPr>
                        <w:r>
                          <w:rPr>
                            <w:rFonts w:ascii="Arial" w:hAnsi="Arial" w:cs="Arial"/>
                            <w:color w:val="000000" w:themeColor="text1"/>
                            <w:sz w:val="18"/>
                            <w:szCs w:val="20"/>
                          </w:rPr>
                          <w:t>Studies included in review</w:t>
                        </w:r>
                      </w:p>
                      <w:p w14:paraId="1009C91B" w14:textId="55FD93D0" w:rsidR="00EB3704" w:rsidRDefault="00EB3704" w:rsidP="00EB3704">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(n = </w:t>
                        </w:r>
                        <w:r w:rsidR="00DC71FA">
                          <w:rPr>
                            <w:rFonts w:ascii="Arial" w:hAnsi="Arial" w:cs="Arial"/>
                            <w:color w:val="000000" w:themeColor="text1"/>
                            <w:sz w:val="18"/>
                            <w:szCs w:val="20"/>
                          </w:rPr>
                          <w:t>46</w:t>
                        </w:r>
                        <w:r>
                          <w:rPr>
                            <w:rFonts w:ascii="Arial" w:hAnsi="Arial" w:cs="Arial"/>
                            <w:color w:val="000000" w:themeColor="text1"/>
                            <w:sz w:val="18"/>
                            <w:szCs w:val="20"/>
                          </w:rPr>
                          <w:t>)</w:t>
                        </w:r>
                      </w:p>
                      <w:p w14:paraId="6274C482" w14:textId="77777777" w:rsidR="00EB3704" w:rsidRDefault="00EB3704" w:rsidP="00EB3704">
                        <w:pPr>
                          <w:spacing w:after="0" w:line="240" w:lineRule="auto"/>
                          <w:rPr>
                            <w:rFonts w:ascii="Arial" w:hAnsi="Arial" w:cs="Arial"/>
                            <w:color w:val="000000" w:themeColor="text1"/>
                            <w:sz w:val="18"/>
                            <w:szCs w:val="20"/>
                          </w:rPr>
                        </w:pPr>
                        <w:r>
                          <w:rPr>
                            <w:rFonts w:ascii="Arial" w:hAnsi="Arial" w:cs="Arial"/>
                            <w:color w:val="000000" w:themeColor="text1"/>
                            <w:sz w:val="18"/>
                            <w:szCs w:val="20"/>
                          </w:rPr>
                          <w:t>Reports of included studies</w:t>
                        </w:r>
                      </w:p>
                      <w:p w14:paraId="34A395CE" w14:textId="6982FC92" w:rsidR="00EB3704" w:rsidRPr="00560609" w:rsidRDefault="00EB3704" w:rsidP="00EB3704">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(n = </w:t>
                        </w:r>
                        <w:r w:rsidR="00DC71FA">
                          <w:rPr>
                            <w:rFonts w:ascii="Arial" w:hAnsi="Arial" w:cs="Arial"/>
                            <w:color w:val="000000" w:themeColor="text1"/>
                            <w:sz w:val="18"/>
                            <w:szCs w:val="20"/>
                          </w:rPr>
                          <w:t>46</w:t>
                        </w:r>
                        <w:r>
                          <w:rPr>
                            <w:rFonts w:ascii="Arial" w:hAnsi="Arial" w:cs="Arial"/>
                            <w:color w:val="000000" w:themeColor="text1"/>
                            <w:sz w:val="18"/>
                            <w:szCs w:val="20"/>
                          </w:rPr>
                          <w:t>)</w:t>
                        </w:r>
                      </w:p>
                    </w:txbxContent>
                  </v:textbox>
                </v:rect>
                <v:shapetype id="_x0000_t32" coordsize="21600,21600" o:spt="32" o:oned="t" path="m,l21600,21600e" filled="f">
                  <v:path arrowok="t" fillok="f" o:connecttype="none"/>
                  <o:lock v:ext="edit" shapetype="t"/>
                </v:shapetype>
                <v:shape id="Straight Arrow Connector 78" o:spid="_x0000_s1032" type="#_x0000_t32" style="position:absolute;left:23717;top:38004;width:56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" strokecolor="black [3213]" strokeweight=".5pt">
                  <v:stroke endarrow="block" joinstyle="miter"/>
                </v:shape>
                <v:shape id="Straight Arrow Connector 79" o:spid="_x0000_s1033" type="#_x0000_t32" style="position:absolute;left:70675;top:38004;width:56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" strokecolor="black [3213]" strokeweight=".5pt">
                  <v:stroke endarrow="block" joinstyle="miter"/>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0" o:spid="_x0000_s1034" type="#_x0000_t176" style="position:absolute;left:-2368;top:50399;width:7642;height:26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" fillcolor="#9cc2e5 [1944]" strokecolor="black [3213]" strokeweight="1pt">
                  <v:textbox>
                    <w:txbxContent>
                      <w:p w14:paraId="39DE09A3" w14:textId="77777777" w:rsidR="00EB3704" w:rsidRPr="001502CF" w:rsidRDefault="00EB3704" w:rsidP="00EB3704">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Included</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1" o:spid="_x0000_s1035" type="#_x0000_t34" style="position:absolute;left:23241;top:40576;width:37660;height:1133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" adj="11" strokecolor="black [3213]" strokeweight=".5pt">
                  <v:stroke endarrow="block"/>
                </v:shape>
                <v:shape id="Straight Arrow Connector 82" o:spid="_x0000_s1036" type="#_x0000_t32" style="position:absolute;left:12954;top:40481;width:0;height:7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" strokecolor="black [3213]" strokeweight=".5pt">
                  <v:stroke endarrow="block" joinstyle="miter"/>
                </v:shape>
                <v:group id="Group 83" o:spid="_x0000_s1037" style="position:absolute;width:95357;height:46610" coordsize="95357,4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ect id="Rectangle 84" o:spid="_x0000_s1038" style="position:absolute;left:4572;top:27051;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" filled="f" strokecolor="black [3213]" strokeweight="1pt">
                    <v:textbox>
                      <w:txbxContent>
                        <w:p w14:paraId="0F6C2850" w14:textId="77777777" w:rsidR="00EB3704" w:rsidRDefault="00EB3704" w:rsidP="00EB370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sought for retrieval</w:t>
                          </w:r>
                        </w:p>
                        <w:p w14:paraId="43533C23" w14:textId="15EABE69" w:rsidR="00EB3704" w:rsidRPr="00560609" w:rsidRDefault="00EB3704" w:rsidP="00EB3704">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(n = </w:t>
                          </w:r>
                          <w:r w:rsidR="009E3647">
                            <w:rPr>
                              <w:rFonts w:ascii="Arial" w:hAnsi="Arial" w:cs="Arial"/>
                              <w:color w:val="000000" w:themeColor="text1"/>
                              <w:sz w:val="18"/>
                              <w:szCs w:val="20"/>
                            </w:rPr>
                            <w:t>77</w:t>
                          </w:r>
                          <w:r>
                            <w:rPr>
                              <w:rFonts w:ascii="Arial" w:hAnsi="Arial" w:cs="Arial"/>
                              <w:color w:val="000000" w:themeColor="text1"/>
                              <w:sz w:val="18"/>
                              <w:szCs w:val="20"/>
                            </w:rPr>
                            <w:t>)</w:t>
                          </w:r>
                        </w:p>
                      </w:txbxContent>
                    </v:textbox>
                  </v:rect>
                  <v:rect id="Rectangle 85" o:spid="_x0000_s1039" style="position:absolute;left:29432;top:27241;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" filled="f" strokecolor="black [3213]" strokeweight="1pt">
                    <v:textbox>
                      <w:txbxContent>
                        <w:p w14:paraId="3113ADFA" w14:textId="77777777" w:rsidR="00EB3704" w:rsidRDefault="00EB3704" w:rsidP="00EB370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not retrieved</w:t>
                          </w:r>
                        </w:p>
                        <w:p w14:paraId="5B06301A" w14:textId="352CA878" w:rsidR="00EB3704" w:rsidRPr="00560609" w:rsidRDefault="00EB3704" w:rsidP="00EB3704">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(n = </w:t>
                          </w:r>
                          <w:r w:rsidR="00DC71FA">
                            <w:rPr>
                              <w:rFonts w:ascii="Arial" w:hAnsi="Arial" w:cs="Arial"/>
                              <w:color w:val="000000" w:themeColor="text1"/>
                              <w:sz w:val="18"/>
                              <w:szCs w:val="20"/>
                            </w:rPr>
                            <w:t>0</w:t>
                          </w:r>
                          <w:r>
                            <w:rPr>
                              <w:rFonts w:ascii="Arial" w:hAnsi="Arial" w:cs="Arial"/>
                              <w:color w:val="000000" w:themeColor="text1"/>
                              <w:sz w:val="18"/>
                              <w:szCs w:val="20"/>
                            </w:rPr>
                            <w:t>)</w:t>
                          </w:r>
                        </w:p>
                      </w:txbxContent>
                    </v:textbox>
                  </v:rect>
                  <v:shape id="Straight Arrow Connector 86" o:spid="_x0000_s1040" type="#_x0000_t32" style="position:absolute;left:23622;top:29718;width:56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" strokecolor="black [3213]" strokeweight=".5pt">
                    <v:stroke endarrow="block" joinstyle="miter"/>
                  </v:shape>
                  <v:shape id="Straight Arrow Connector 87" o:spid="_x0000_s1041" type="#_x0000_t32" style="position:absolute;left:13049;top:32194;width:0;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" strokecolor="black [3213]" strokeweight=".5pt">
                    <v:stroke endarrow="block" joinstyle="miter"/>
                  </v:shape>
                  <v:rect id="Rectangle 88" o:spid="_x0000_s1042" style="position:absolute;left:51625;top:27051;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" filled="f" strokecolor="black [3213]" strokeweight="1pt">
                    <v:textbox>
                      <w:txbxContent>
                        <w:p w14:paraId="482B9A29" w14:textId="77777777" w:rsidR="00EB3704" w:rsidRDefault="00EB3704" w:rsidP="00EB370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sought for retrieval</w:t>
                          </w:r>
                        </w:p>
                        <w:p w14:paraId="4BC60557" w14:textId="742BBC62" w:rsidR="00EB3704" w:rsidRPr="00560609" w:rsidRDefault="00EB3704" w:rsidP="00EB3704">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(n = </w:t>
                          </w:r>
                          <w:r w:rsidR="003921EA">
                            <w:rPr>
                              <w:rFonts w:ascii="Arial" w:hAnsi="Arial" w:cs="Arial"/>
                              <w:color w:val="000000" w:themeColor="text1"/>
                              <w:sz w:val="18"/>
                              <w:szCs w:val="20"/>
                            </w:rPr>
                            <w:t>15</w:t>
                          </w:r>
                          <w:r>
                            <w:rPr>
                              <w:rFonts w:ascii="Arial" w:hAnsi="Arial" w:cs="Arial"/>
                              <w:color w:val="000000" w:themeColor="text1"/>
                              <w:sz w:val="18"/>
                              <w:szCs w:val="20"/>
                            </w:rPr>
                            <w:t>)</w:t>
                          </w:r>
                        </w:p>
                      </w:txbxContent>
                    </v:textbox>
                  </v:rect>
                  <v:rect id="Rectangle 89" o:spid="_x0000_s1043" style="position:absolute;left:76485;top:27146;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" filled="f" strokecolor="black [3213]" strokeweight="1pt">
                    <v:textbox>
                      <w:txbxContent>
                        <w:p w14:paraId="34E11C6B" w14:textId="77777777" w:rsidR="00EB3704" w:rsidRDefault="00EB3704" w:rsidP="00EB370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w:t>
                          </w:r>
                          <w:r>
                            <w:rPr>
                              <w:rFonts w:ascii="Arial" w:hAnsi="Arial" w:cs="Arial"/>
                              <w:color w:val="000000" w:themeColor="text1"/>
                              <w:sz w:val="18"/>
                              <w:szCs w:val="20"/>
                            </w:rPr>
                            <w:t>p</w:t>
                          </w:r>
                          <w:r w:rsidRPr="00560609">
                            <w:rPr>
                              <w:rFonts w:ascii="Arial" w:hAnsi="Arial" w:cs="Arial"/>
                              <w:color w:val="000000" w:themeColor="text1"/>
                              <w:sz w:val="18"/>
                              <w:szCs w:val="20"/>
                            </w:rPr>
                            <w:t>or</w:t>
                          </w:r>
                          <w:r>
                            <w:rPr>
                              <w:rFonts w:ascii="Arial" w:hAnsi="Arial" w:cs="Arial"/>
                              <w:color w:val="000000" w:themeColor="text1"/>
                              <w:sz w:val="18"/>
                              <w:szCs w:val="20"/>
                            </w:rPr>
                            <w:t>t</w:t>
                          </w:r>
                          <w:r w:rsidRPr="00560609">
                            <w:rPr>
                              <w:rFonts w:ascii="Arial" w:hAnsi="Arial" w:cs="Arial"/>
                              <w:color w:val="000000" w:themeColor="text1"/>
                              <w:sz w:val="18"/>
                              <w:szCs w:val="20"/>
                            </w:rPr>
                            <w:t>s</w:t>
                          </w:r>
                          <w:r>
                            <w:rPr>
                              <w:rFonts w:ascii="Arial" w:hAnsi="Arial" w:cs="Arial"/>
                              <w:color w:val="000000" w:themeColor="text1"/>
                              <w:sz w:val="18"/>
                              <w:szCs w:val="20"/>
                            </w:rPr>
                            <w:t xml:space="preserve"> not retrieved</w:t>
                          </w:r>
                        </w:p>
                        <w:p w14:paraId="3B0BF709" w14:textId="4CE6E819" w:rsidR="00EB3704" w:rsidRPr="00560609" w:rsidRDefault="00EB3704" w:rsidP="00EB3704">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(n = </w:t>
                          </w:r>
                          <w:r w:rsidR="003921EA">
                            <w:rPr>
                              <w:rFonts w:ascii="Arial" w:hAnsi="Arial" w:cs="Arial"/>
                              <w:color w:val="000000" w:themeColor="text1"/>
                              <w:sz w:val="18"/>
                              <w:szCs w:val="20"/>
                            </w:rPr>
                            <w:t>0</w:t>
                          </w:r>
                          <w:r>
                            <w:rPr>
                              <w:rFonts w:ascii="Arial" w:hAnsi="Arial" w:cs="Arial"/>
                              <w:color w:val="000000" w:themeColor="text1"/>
                              <w:sz w:val="18"/>
                              <w:szCs w:val="20"/>
                            </w:rPr>
                            <w:t>)</w:t>
                          </w:r>
                        </w:p>
                      </w:txbxContent>
                    </v:textbox>
                  </v:rect>
                  <v:shape id="Straight Arrow Connector 90" o:spid="_x0000_s1044" type="#_x0000_t32" style="position:absolute;left:70675;top:29813;width:56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" strokecolor="black [3213]" strokeweight=".5pt">
                    <v:stroke endarrow="block" joinstyle="miter"/>
                  </v:shape>
                  <v:shape id="Straight Arrow Connector 91" o:spid="_x0000_s1045" type="#_x0000_t32" style="position:absolute;left:60864;top:32289;width:0;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" strokecolor="black [3213]" strokeweight=".5pt">
                    <v:stroke endarrow="block" joinstyle="miter"/>
                  </v:shape>
                  <v:group id="Group 92" o:spid="_x0000_s1046" style="position:absolute;width:95086;height:46610" coordsize="95086,4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Rectangle 93" o:spid="_x0000_s1047" style="position:absolute;left:4595;top:18764;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" filled="f" strokecolor="black [3213]" strokeweight="1pt">
                      <v:textbox>
                        <w:txbxContent>
                          <w:p w14:paraId="0207C254" w14:textId="77777777" w:rsidR="00EB3704" w:rsidRDefault="00EB3704" w:rsidP="00EB370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screened</w:t>
                            </w:r>
                          </w:p>
                          <w:p w14:paraId="7EB6B514" w14:textId="28920A98" w:rsidR="00EB3704" w:rsidRPr="00560609" w:rsidRDefault="00EB3704" w:rsidP="00EB3704">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(n = </w:t>
                            </w:r>
                            <w:r w:rsidR="003E43E1">
                              <w:rPr>
                                <w:rFonts w:ascii="Arial" w:hAnsi="Arial" w:cs="Arial"/>
                                <w:color w:val="000000" w:themeColor="text1"/>
                                <w:sz w:val="18"/>
                                <w:szCs w:val="20"/>
                              </w:rPr>
                              <w:t>15,715</w:t>
                            </w:r>
                            <w:r>
                              <w:rPr>
                                <w:rFonts w:ascii="Arial" w:hAnsi="Arial" w:cs="Arial"/>
                                <w:color w:val="000000" w:themeColor="text1"/>
                                <w:sz w:val="18"/>
                                <w:szCs w:val="20"/>
                              </w:rPr>
                              <w:t>)</w:t>
                            </w:r>
                          </w:p>
                        </w:txbxContent>
                      </v:textbox>
                    </v:rect>
                    <v:rect id="Rectangle 94" o:spid="_x0000_s1048" style="position:absolute;left:29456;top:18764;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" filled="f" strokecolor="black [3213]" strokeweight="1pt">
                      <v:textbox>
                        <w:txbxContent>
                          <w:p w14:paraId="39CCBC11" w14:textId="77777777" w:rsidR="00EB3704" w:rsidRDefault="00EB3704" w:rsidP="00EB370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excluded</w:t>
                            </w:r>
                          </w:p>
                          <w:p w14:paraId="7E579F81" w14:textId="72269A1A" w:rsidR="00EB3704" w:rsidRPr="00560609" w:rsidRDefault="00EB3704" w:rsidP="00EB3704">
                            <w:pPr>
                              <w:spacing w:after="0" w:line="240" w:lineRule="auto"/>
                              <w:rPr>
                                <w:rFonts w:ascii="Arial" w:hAnsi="Arial" w:cs="Arial"/>
                                <w:color w:val="000000" w:themeColor="text1"/>
                                <w:sz w:val="18"/>
                                <w:szCs w:val="20"/>
                              </w:rPr>
                            </w:pPr>
                            <w:r>
                              <w:rPr>
                                <w:rFonts w:ascii="Arial" w:hAnsi="Arial" w:cs="Arial"/>
                                <w:color w:val="000000" w:themeColor="text1"/>
                                <w:sz w:val="18"/>
                                <w:szCs w:val="20"/>
                              </w:rPr>
                              <w:t xml:space="preserve">(n = </w:t>
                            </w:r>
                            <w:r w:rsidR="003E43E1">
                              <w:rPr>
                                <w:rFonts w:ascii="Arial" w:hAnsi="Arial" w:cs="Arial"/>
                                <w:color w:val="000000" w:themeColor="text1"/>
                                <w:sz w:val="18"/>
                                <w:szCs w:val="20"/>
                              </w:rPr>
                              <w:t>15,63</w:t>
                            </w:r>
                            <w:r w:rsidR="003921EA">
                              <w:rPr>
                                <w:rFonts w:ascii="Arial" w:hAnsi="Arial" w:cs="Arial"/>
                                <w:color w:val="000000" w:themeColor="text1"/>
                                <w:sz w:val="18"/>
                                <w:szCs w:val="20"/>
                              </w:rPr>
                              <w:t>8</w:t>
                            </w:r>
                            <w:r>
                              <w:rPr>
                                <w:rFonts w:ascii="Arial" w:hAnsi="Arial" w:cs="Arial"/>
                                <w:color w:val="000000" w:themeColor="text1"/>
                                <w:sz w:val="18"/>
                                <w:szCs w:val="20"/>
                              </w:rPr>
                              <w:t>)</w:t>
                            </w:r>
                          </w:p>
                        </w:txbxContent>
                      </v:textbox>
                    </v:rect>
                    <v:shape id="Straight Arrow Connector 95" o:spid="_x0000_s1049" type="#_x0000_t32" style="position:absolute;left:23550;top:21336;width:56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" strokecolor="black [3213]" strokeweight=".5pt">
                      <v:stroke endarrow="block" joinstyle="miter"/>
                    </v:shape>
                    <v:group id="Group 96" o:spid="_x0000_s1050" style="position:absolute;left:23;width:95063;height:15973" coordsize="95062,15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Rectangle 97" o:spid="_x0000_s1051" style="position:absolute;left:4562;top:3429;width:20153;height:12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" filled="f" strokecolor="black [3213]" strokeweight="1pt">
                        <v:textbox>
                          <w:txbxContent>
                            <w:p w14:paraId="46281B18" w14:textId="604F98EA" w:rsidR="00EB3704" w:rsidRDefault="00EB3704" w:rsidP="00EB370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w:t>
                              </w:r>
                              <w:r w:rsidR="002A3CF9">
                                <w:rPr>
                                  <w:rFonts w:ascii="Arial" w:hAnsi="Arial" w:cs="Arial"/>
                                  <w:color w:val="000000" w:themeColor="text1"/>
                                  <w:sz w:val="18"/>
                                  <w:szCs w:val="20"/>
                                </w:rPr>
                                <w:t xml:space="preserve"> (n)</w:t>
                              </w:r>
                              <w:r>
                                <w:rPr>
                                  <w:rFonts w:ascii="Arial" w:hAnsi="Arial" w:cs="Arial"/>
                                  <w:color w:val="000000" w:themeColor="text1"/>
                                  <w:sz w:val="18"/>
                                  <w:szCs w:val="20"/>
                                </w:rPr>
                                <w:t>:</w:t>
                              </w:r>
                            </w:p>
                            <w:p w14:paraId="0BA45379" w14:textId="7AE3396E" w:rsidR="00EB3704" w:rsidRPr="002A3CF9" w:rsidRDefault="00EB3704" w:rsidP="002A3CF9">
                              <w:pPr>
                                <w:spacing w:after="0" w:line="240" w:lineRule="auto"/>
                                <w:ind w:left="284"/>
                                <w:jc w:val="left"/>
                                <w:rPr>
                                  <w:rFonts w:ascii="Arial" w:hAnsi="Arial" w:cs="Arial"/>
                                  <w:color w:val="000000" w:themeColor="text1"/>
                                  <w:sz w:val="16"/>
                                  <w:szCs w:val="18"/>
                                </w:rPr>
                              </w:pPr>
                              <w:r w:rsidRPr="002A3CF9">
                                <w:rPr>
                                  <w:rFonts w:ascii="Arial" w:hAnsi="Arial" w:cs="Arial"/>
                                  <w:color w:val="000000" w:themeColor="text1"/>
                                  <w:sz w:val="16"/>
                                  <w:szCs w:val="18"/>
                                </w:rPr>
                                <w:t>Medline (</w:t>
                              </w:r>
                              <w:r w:rsidR="002A3CF9" w:rsidRPr="002A3CF9">
                                <w:rPr>
                                  <w:rFonts w:ascii="Arial" w:hAnsi="Arial" w:cs="Arial"/>
                                  <w:color w:val="000000" w:themeColor="text1"/>
                                  <w:sz w:val="16"/>
                                  <w:szCs w:val="18"/>
                                </w:rPr>
                                <w:t>4,009</w:t>
                              </w:r>
                              <w:r w:rsidRPr="002A3CF9">
                                <w:rPr>
                                  <w:rFonts w:ascii="Arial" w:hAnsi="Arial" w:cs="Arial"/>
                                  <w:color w:val="000000" w:themeColor="text1"/>
                                  <w:sz w:val="16"/>
                                  <w:szCs w:val="18"/>
                                </w:rPr>
                                <w:t>);</w:t>
                              </w:r>
                              <w:r w:rsidR="002A3CF9" w:rsidRPr="002A3CF9">
                                <w:rPr>
                                  <w:rFonts w:ascii="Arial" w:hAnsi="Arial" w:cs="Arial"/>
                                  <w:color w:val="000000" w:themeColor="text1"/>
                                  <w:sz w:val="16"/>
                                  <w:szCs w:val="18"/>
                                </w:rPr>
                                <w:t xml:space="preserve"> </w:t>
                              </w:r>
                              <w:r w:rsidRPr="002A3CF9">
                                <w:rPr>
                                  <w:rFonts w:ascii="Arial" w:hAnsi="Arial" w:cs="Arial"/>
                                  <w:color w:val="000000" w:themeColor="text1"/>
                                  <w:sz w:val="16"/>
                                  <w:szCs w:val="18"/>
                                </w:rPr>
                                <w:t xml:space="preserve">Embase </w:t>
                              </w:r>
                              <w:r w:rsidR="002A3CF9">
                                <w:rPr>
                                  <w:rFonts w:ascii="Arial" w:hAnsi="Arial" w:cs="Arial"/>
                                  <w:color w:val="000000" w:themeColor="text1"/>
                                  <w:sz w:val="16"/>
                                  <w:szCs w:val="18"/>
                                </w:rPr>
                                <w:t>(</w:t>
                              </w:r>
                              <w:r w:rsidR="002A3CF9" w:rsidRPr="002A3CF9">
                                <w:rPr>
                                  <w:rFonts w:ascii="Arial" w:hAnsi="Arial" w:cs="Arial"/>
                                  <w:color w:val="000000" w:themeColor="text1"/>
                                  <w:sz w:val="16"/>
                                  <w:szCs w:val="18"/>
                                </w:rPr>
                                <w:t>2</w:t>
                              </w:r>
                              <w:r w:rsidRPr="002A3CF9">
                                <w:rPr>
                                  <w:rFonts w:ascii="Arial" w:hAnsi="Arial" w:cs="Arial"/>
                                  <w:color w:val="000000" w:themeColor="text1"/>
                                  <w:sz w:val="16"/>
                                  <w:szCs w:val="18"/>
                                </w:rPr>
                                <w:t>,</w:t>
                              </w:r>
                              <w:r w:rsidR="002A3CF9" w:rsidRPr="002A3CF9">
                                <w:rPr>
                                  <w:rFonts w:ascii="Arial" w:hAnsi="Arial" w:cs="Arial"/>
                                  <w:color w:val="000000" w:themeColor="text1"/>
                                  <w:sz w:val="16"/>
                                  <w:szCs w:val="18"/>
                                </w:rPr>
                                <w:t>785</w:t>
                              </w:r>
                              <w:r w:rsidRPr="002A3CF9">
                                <w:rPr>
                                  <w:rFonts w:ascii="Arial" w:hAnsi="Arial" w:cs="Arial"/>
                                  <w:color w:val="000000" w:themeColor="text1"/>
                                  <w:sz w:val="16"/>
                                  <w:szCs w:val="18"/>
                                </w:rPr>
                                <w:t>); PubMed</w:t>
                              </w:r>
                              <w:r w:rsidR="002A3CF9">
                                <w:rPr>
                                  <w:rFonts w:ascii="Arial" w:hAnsi="Arial" w:cs="Arial"/>
                                  <w:color w:val="000000" w:themeColor="text1"/>
                                  <w:sz w:val="16"/>
                                  <w:szCs w:val="18"/>
                                </w:rPr>
                                <w:t xml:space="preserve"> (8,159); CDSR &amp; CENTRAL (3,107); EconLit (259); CINAHL (1,552); PsycInfo (1,012); ASSIA (462); CRD (61); CEA Registry (100); PEDro (260); </w:t>
                              </w:r>
                              <w:r w:rsidR="002A3CF9" w:rsidRPr="002A3CF9">
                                <w:rPr>
                                  <w:rFonts w:ascii="Arial" w:hAnsi="Arial" w:cs="Arial"/>
                                  <w:b/>
                                  <w:bCs/>
                                  <w:color w:val="000000" w:themeColor="text1"/>
                                  <w:sz w:val="16"/>
                                  <w:szCs w:val="18"/>
                                </w:rPr>
                                <w:t>Total (21,766)</w:t>
                              </w:r>
                            </w:p>
                            <w:p w14:paraId="3A22F4B7" w14:textId="77777777" w:rsidR="00EB3704" w:rsidRPr="002A3CF9" w:rsidRDefault="00EB3704" w:rsidP="00EB3704">
                              <w:pPr>
                                <w:spacing w:after="0" w:line="240" w:lineRule="auto"/>
                                <w:ind w:left="284"/>
                                <w:rPr>
                                  <w:rFonts w:ascii="Arial" w:hAnsi="Arial" w:cs="Arial"/>
                                  <w:color w:val="000000" w:themeColor="text1"/>
                                  <w:sz w:val="16"/>
                                  <w:szCs w:val="18"/>
                                </w:rPr>
                              </w:pPr>
                            </w:p>
                          </w:txbxContent>
                        </v:textbox>
                      </v:rect>
                      <v:rect id="Rectangle 98" o:spid="_x0000_s1052" style="position:absolute;left:29327;top:3429;width:18872;height:12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" filled="f" strokecolor="black [3213]" strokeweight="1pt">
                        <v:textbox>
                          <w:txbxContent>
                            <w:p w14:paraId="73271849" w14:textId="4A590BA0" w:rsidR="00EB3704" w:rsidRDefault="00EB3704" w:rsidP="002A3CF9">
                              <w:pPr>
                                <w:spacing w:after="0" w:line="240" w:lineRule="auto"/>
                                <w:jc w:val="left"/>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removed</w:t>
                              </w:r>
                              <w:r w:rsidRPr="002A3CF9">
                                <w:rPr>
                                  <w:rFonts w:ascii="Arial" w:hAnsi="Arial" w:cs="Arial"/>
                                  <w:color w:val="000000" w:themeColor="text1"/>
                                  <w:sz w:val="18"/>
                                  <w:szCs w:val="20"/>
                                </w:rPr>
                                <w:t xml:space="preserve"> before screening</w:t>
                              </w:r>
                              <w:r>
                                <w:rPr>
                                  <w:rFonts w:ascii="Arial" w:hAnsi="Arial" w:cs="Arial"/>
                                  <w:color w:val="000000" w:themeColor="text1"/>
                                  <w:sz w:val="18"/>
                                  <w:szCs w:val="20"/>
                                </w:rPr>
                                <w:t>:</w:t>
                              </w:r>
                            </w:p>
                            <w:p w14:paraId="02712047" w14:textId="6DAA0B32" w:rsidR="00EB3704" w:rsidRPr="00560609" w:rsidRDefault="00EB3704" w:rsidP="002A3CF9">
                              <w:pPr>
                                <w:spacing w:after="0" w:line="240" w:lineRule="auto"/>
                                <w:ind w:left="284"/>
                                <w:jc w:val="left"/>
                                <w:rPr>
                                  <w:rFonts w:ascii="Arial" w:hAnsi="Arial" w:cs="Arial"/>
                                  <w:color w:val="000000" w:themeColor="text1"/>
                                  <w:sz w:val="18"/>
                                  <w:szCs w:val="20"/>
                                </w:rPr>
                              </w:pPr>
                              <w:r>
                                <w:rPr>
                                  <w:rFonts w:ascii="Arial" w:hAnsi="Arial" w:cs="Arial"/>
                                  <w:color w:val="000000" w:themeColor="text1"/>
                                  <w:sz w:val="18"/>
                                  <w:szCs w:val="20"/>
                                </w:rPr>
                                <w:t>Duplicate</w:t>
                              </w:r>
                              <w:r w:rsidR="002A3CF9">
                                <w:rPr>
                                  <w:rFonts w:ascii="Arial" w:hAnsi="Arial" w:cs="Arial"/>
                                  <w:color w:val="000000" w:themeColor="text1"/>
                                  <w:sz w:val="18"/>
                                  <w:szCs w:val="20"/>
                                </w:rPr>
                                <w:t>s</w:t>
                              </w:r>
                              <w:r>
                                <w:rPr>
                                  <w:rFonts w:ascii="Arial" w:hAnsi="Arial" w:cs="Arial"/>
                                  <w:color w:val="000000" w:themeColor="text1"/>
                                  <w:sz w:val="18"/>
                                  <w:szCs w:val="20"/>
                                </w:rPr>
                                <w:t xml:space="preserve"> removed (</w:t>
                              </w:r>
                              <w:r w:rsidR="003E43E1">
                                <w:rPr>
                                  <w:rFonts w:ascii="Arial" w:hAnsi="Arial" w:cs="Arial"/>
                                  <w:color w:val="000000" w:themeColor="text1"/>
                                  <w:sz w:val="18"/>
                                  <w:szCs w:val="20"/>
                                </w:rPr>
                                <w:t xml:space="preserve">n = </w:t>
                              </w:r>
                              <w:r w:rsidR="002A3CF9">
                                <w:rPr>
                                  <w:rFonts w:ascii="Arial" w:hAnsi="Arial" w:cs="Arial"/>
                                  <w:color w:val="000000" w:themeColor="text1"/>
                                  <w:sz w:val="18"/>
                                  <w:szCs w:val="20"/>
                                </w:rPr>
                                <w:t>6,051</w:t>
                              </w:r>
                              <w:r>
                                <w:rPr>
                                  <w:rFonts w:ascii="Arial" w:hAnsi="Arial" w:cs="Arial"/>
                                  <w:color w:val="000000" w:themeColor="text1"/>
                                  <w:sz w:val="18"/>
                                  <w:szCs w:val="20"/>
                                </w:rPr>
                                <w:t>)</w:t>
                              </w:r>
                            </w:p>
                          </w:txbxContent>
                        </v:textbox>
                      </v:rect>
                      <v:rect id="Rectangle 99" o:spid="_x0000_s1053" style="position:absolute;left:51515;top:3429;width:21847;height:12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" filled="f" strokecolor="black [3213]" strokeweight="1pt">
                        <v:textbox>
                          <w:txbxContent>
                            <w:p w14:paraId="3932E0A3" w14:textId="77777777" w:rsidR="00EB3704" w:rsidRDefault="00EB3704" w:rsidP="00EB3704">
                              <w:pPr>
                                <w:spacing w:after="0" w:line="240" w:lineRule="auto"/>
                                <w:rPr>
                                  <w:rFonts w:ascii="Arial" w:hAnsi="Arial" w:cs="Arial"/>
                                  <w:color w:val="000000" w:themeColor="text1"/>
                                  <w:sz w:val="18"/>
                                  <w:szCs w:val="20"/>
                                </w:rPr>
                              </w:pPr>
                              <w:r w:rsidRPr="00560609">
                                <w:rPr>
                                  <w:rFonts w:ascii="Arial" w:hAnsi="Arial" w:cs="Arial"/>
                                  <w:color w:val="000000" w:themeColor="text1"/>
                                  <w:sz w:val="18"/>
                                  <w:szCs w:val="20"/>
                                </w:rPr>
                                <w:t>Records</w:t>
                              </w:r>
                              <w:r>
                                <w:rPr>
                                  <w:rFonts w:ascii="Arial" w:hAnsi="Arial" w:cs="Arial"/>
                                  <w:color w:val="000000" w:themeColor="text1"/>
                                  <w:sz w:val="18"/>
                                  <w:szCs w:val="20"/>
                                </w:rPr>
                                <w:t xml:space="preserve"> identified from:</w:t>
                              </w:r>
                            </w:p>
                            <w:p w14:paraId="6FE0A76D" w14:textId="679075B3" w:rsidR="00EB3704" w:rsidRDefault="0098110A" w:rsidP="00EB3704">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Grey literature/Websites</w:t>
                              </w:r>
                              <w:r w:rsidR="00EB3704">
                                <w:rPr>
                                  <w:rFonts w:ascii="Arial" w:hAnsi="Arial" w:cs="Arial"/>
                                  <w:color w:val="000000" w:themeColor="text1"/>
                                  <w:sz w:val="18"/>
                                  <w:szCs w:val="20"/>
                                </w:rPr>
                                <w:t xml:space="preserve"> (n = </w:t>
                              </w:r>
                              <w:r w:rsidR="00136B1D">
                                <w:rPr>
                                  <w:rFonts w:ascii="Arial" w:hAnsi="Arial" w:cs="Arial"/>
                                  <w:color w:val="000000" w:themeColor="text1"/>
                                  <w:sz w:val="18"/>
                                  <w:szCs w:val="20"/>
                                </w:rPr>
                                <w:t>3</w:t>
                              </w:r>
                              <w:r w:rsidR="00EB3704">
                                <w:rPr>
                                  <w:rFonts w:ascii="Arial" w:hAnsi="Arial" w:cs="Arial"/>
                                  <w:color w:val="000000" w:themeColor="text1"/>
                                  <w:sz w:val="18"/>
                                  <w:szCs w:val="20"/>
                                </w:rPr>
                                <w:t>)</w:t>
                              </w:r>
                            </w:p>
                            <w:p w14:paraId="195F1E66" w14:textId="7DCAD9AF" w:rsidR="00EB3704" w:rsidRDefault="003921EA" w:rsidP="00EB3704">
                              <w:pPr>
                                <w:spacing w:after="0" w:line="240" w:lineRule="auto"/>
                                <w:ind w:left="284"/>
                                <w:rPr>
                                  <w:rFonts w:ascii="Arial" w:hAnsi="Arial" w:cs="Arial"/>
                                  <w:color w:val="000000" w:themeColor="text1"/>
                                  <w:sz w:val="18"/>
                                  <w:szCs w:val="20"/>
                                </w:rPr>
                              </w:pPr>
                              <w:r>
                                <w:rPr>
                                  <w:rFonts w:ascii="Arial" w:hAnsi="Arial" w:cs="Arial"/>
                                  <w:color w:val="000000" w:themeColor="text1"/>
                                  <w:sz w:val="18"/>
                                  <w:szCs w:val="20"/>
                                </w:rPr>
                                <w:t>References</w:t>
                              </w:r>
                              <w:r w:rsidR="00EB3704">
                                <w:rPr>
                                  <w:rFonts w:ascii="Arial" w:hAnsi="Arial" w:cs="Arial"/>
                                  <w:color w:val="000000" w:themeColor="text1"/>
                                  <w:sz w:val="18"/>
                                  <w:szCs w:val="20"/>
                                </w:rPr>
                                <w:t xml:space="preserve"> (n = </w:t>
                              </w:r>
                              <w:r w:rsidR="00136B1D">
                                <w:rPr>
                                  <w:rFonts w:ascii="Arial" w:hAnsi="Arial" w:cs="Arial"/>
                                  <w:color w:val="000000" w:themeColor="text1"/>
                                  <w:sz w:val="18"/>
                                  <w:szCs w:val="20"/>
                                </w:rPr>
                                <w:t>12</w:t>
                              </w:r>
                              <w:r w:rsidR="00EB3704">
                                <w:rPr>
                                  <w:rFonts w:ascii="Arial" w:hAnsi="Arial" w:cs="Arial"/>
                                  <w:color w:val="000000" w:themeColor="text1"/>
                                  <w:sz w:val="18"/>
                                  <w:szCs w:val="20"/>
                                </w:rPr>
                                <w:t>)</w:t>
                              </w:r>
                            </w:p>
                            <w:p w14:paraId="711DDFC1" w14:textId="01CB8C14" w:rsidR="00EB3704" w:rsidRPr="00560609" w:rsidRDefault="00EB3704" w:rsidP="003921EA">
                              <w:pPr>
                                <w:spacing w:after="0" w:line="240" w:lineRule="auto"/>
                                <w:rPr>
                                  <w:rFonts w:ascii="Arial" w:hAnsi="Arial" w:cs="Arial"/>
                                  <w:color w:val="000000" w:themeColor="text1"/>
                                  <w:sz w:val="18"/>
                                  <w:szCs w:val="20"/>
                                </w:rPr>
                              </w:pPr>
                            </w:p>
                          </w:txbxContent>
                        </v:textbox>
                      </v:rect>
                      <v:shape id="Straight Arrow Connector 100" o:spid="_x0000_s1054" type="#_x0000_t32" style="position:absolute;left:24714;top:9620;width:4434;height: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" strokecolor="black [3213]" strokeweight=".5pt">
                        <v:stroke endarrow="block" joinstyle="miter"/>
                      </v:shape>
                      <v:group id="Group 101" o:spid="_x0000_s1055" style="position:absolute;left:4562;width:90500;height:2629" coordsize="90500,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lowchart: Alternate Process 102" o:spid="_x0000_s1056" type="#_x0000_t176" style="position:absolute;width:43452;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" fillcolor="#ffc000 [3207]" strokecolor="#7f5f00 [1607]" strokeweight="1pt">
                          <v:textbox>
                            <w:txbxContent>
                              <w:p w14:paraId="71D483C6" w14:textId="77777777" w:rsidR="00EB3704" w:rsidRPr="001502CF" w:rsidRDefault="00EB3704" w:rsidP="00EB3704">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databases</w:t>
                                </w:r>
                              </w:p>
                            </w:txbxContent>
                          </v:textbox>
                        </v:shape>
                        <v:shape id="Flowchart: Alternate Process 103" o:spid="_x0000_s1057" type="#_x0000_t176" style="position:absolute;left:47053;width:43447;height:2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" fillcolor="#ffc000 [3207]" strokecolor="#7f5f00 [1607]" strokeweight="1pt">
                          <v:textbox>
                            <w:txbxContent>
                              <w:p w14:paraId="4DE640F7" w14:textId="77777777" w:rsidR="00EB3704" w:rsidRPr="001502CF" w:rsidRDefault="00EB3704" w:rsidP="00EB3704">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 of studies</w:t>
                                </w:r>
                                <w:r>
                                  <w:rPr>
                                    <w:rFonts w:ascii="Arial" w:hAnsi="Arial" w:cs="Arial"/>
                                    <w:b/>
                                    <w:color w:val="000000" w:themeColor="text1"/>
                                    <w:sz w:val="18"/>
                                    <w:szCs w:val="18"/>
                                  </w:rPr>
                                  <w:t xml:space="preserve"> via other methods</w:t>
                                </w:r>
                              </w:p>
                            </w:txbxContent>
                          </v:textbox>
                        </v:shape>
                      </v:group>
                      <v:shape id="Flowchart: Alternate Process 104" o:spid="_x0000_s1058" type="#_x0000_t176" style="position:absolute;left:-5071;top:8274;width:12770;height:26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" fillcolor="#9cc2e5 [1944]" strokecolor="black [3213]" strokeweight="1pt">
                        <v:textbox>
                          <w:txbxContent>
                            <w:p w14:paraId="4D15C4A5" w14:textId="77777777" w:rsidR="00EB3704" w:rsidRPr="001502CF" w:rsidRDefault="00EB3704" w:rsidP="00EB3704">
                              <w:pPr>
                                <w:spacing w:after="0" w:line="240" w:lineRule="auto"/>
                                <w:jc w:val="center"/>
                                <w:rPr>
                                  <w:rFonts w:ascii="Arial" w:hAnsi="Arial" w:cs="Arial"/>
                                  <w:b/>
                                  <w:color w:val="000000" w:themeColor="text1"/>
                                  <w:sz w:val="18"/>
                                  <w:szCs w:val="18"/>
                                </w:rPr>
                              </w:pPr>
                              <w:r w:rsidRPr="001502CF">
                                <w:rPr>
                                  <w:rFonts w:ascii="Arial" w:hAnsi="Arial" w:cs="Arial"/>
                                  <w:b/>
                                  <w:color w:val="000000" w:themeColor="text1"/>
                                  <w:sz w:val="18"/>
                                  <w:szCs w:val="18"/>
                                </w:rPr>
                                <w:t>Identification</w:t>
                              </w:r>
                            </w:p>
                          </w:txbxContent>
                        </v:textbox>
                      </v:shape>
                    </v:group>
                    <v:shape id="Flowchart: Alternate Process 105" o:spid="_x0000_s1059" type="#_x0000_t176" style="position:absolute;left:-12623;top:31360;width:27873;height:26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" fillcolor="#9cc2e5 [1944]" strokecolor="black [3213]" strokeweight="1pt">
                      <v:textbox>
                        <w:txbxContent>
                          <w:p w14:paraId="5FFDCEDC" w14:textId="77777777" w:rsidR="00EB3704" w:rsidRDefault="00EB3704" w:rsidP="00EB3704">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26F5BF71" w14:textId="77777777" w:rsidR="00EB3704" w:rsidRPr="001502CF" w:rsidRDefault="00EB3704" w:rsidP="00EB3704">
                            <w:pPr>
                              <w:spacing w:after="0" w:line="240" w:lineRule="auto"/>
                              <w:rPr>
                                <w:rFonts w:ascii="Arial" w:hAnsi="Arial" w:cs="Arial"/>
                                <w:b/>
                                <w:color w:val="000000" w:themeColor="text1"/>
                                <w:sz w:val="18"/>
                                <w:szCs w:val="18"/>
                              </w:rPr>
                            </w:pPr>
                          </w:p>
                        </w:txbxContent>
                      </v:textbox>
                    </v:shape>
                    <v:shape id="Straight Arrow Connector 106" o:spid="_x0000_s1060" type="#_x0000_t32" style="position:absolute;left:12977;top:15906;width:0;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" strokecolor="black [3213]" strokeweight=".5pt">
                      <v:stroke endarrow="block" joinstyle="miter"/>
                    </v:shape>
                    <v:shape id="Straight Arrow Connector 107" o:spid="_x0000_s1061" type="#_x0000_t32" style="position:absolute;left:12977;top:24098;width:0;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" strokecolor="black [3213]" strokeweight=".5pt">
                      <v:stroke endarrow="block" joinstyle="miter"/>
                    </v:shape>
                    <v:shape id="Straight Arrow Connector 108" o:spid="_x0000_s1062" type="#_x0000_t32" style="position:absolute;left:60888;top:15906;width:0;height:108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" strokecolor="black [3213]" strokeweight=".5pt">
                      <v:stroke endarrow="block" joinstyle="miter"/>
                    </v:shape>
                  </v:group>
                </v:group>
              </v:group>
            </w:pict>
          </mc:Fallback>
        </mc:AlternateContent>
      </w:r>
    </w:p>
    <w:p w14:paraId="323353AA" w14:textId="77777777" w:rsidR="00EB3704" w:rsidRPr="004C78D8" w:rsidRDefault="00EB3704" w:rsidP="00FB7C1F"/>
    <w:p w14:paraId="6428CEED" w14:textId="77777777" w:rsidR="00EB3704" w:rsidRPr="004C78D8" w:rsidRDefault="00EB3704" w:rsidP="00FB7C1F"/>
    <w:p w14:paraId="2000CC3E" w14:textId="77777777" w:rsidR="00EB3704" w:rsidRPr="004C78D8" w:rsidRDefault="00EB3704" w:rsidP="00FB7C1F"/>
    <w:p w14:paraId="20DD84F8" w14:textId="77777777" w:rsidR="00EB3704" w:rsidRPr="004C78D8" w:rsidRDefault="00EB3704" w:rsidP="00FB7C1F"/>
    <w:p w14:paraId="37CA9B93" w14:textId="77777777" w:rsidR="00EB3704" w:rsidRPr="004C78D8" w:rsidRDefault="00EB3704" w:rsidP="00FB7C1F"/>
    <w:p w14:paraId="291B29AF" w14:textId="77777777" w:rsidR="00EB3704" w:rsidRPr="004C78D8" w:rsidRDefault="00EB3704" w:rsidP="00FB7C1F"/>
    <w:p w14:paraId="2CC1EE53" w14:textId="77777777" w:rsidR="00EB3704" w:rsidRPr="004C78D8" w:rsidRDefault="00EB3704" w:rsidP="00FB7C1F"/>
    <w:p w14:paraId="13723025" w14:textId="77777777" w:rsidR="00EB3704" w:rsidRPr="004C78D8" w:rsidRDefault="00EB3704" w:rsidP="00FB7C1F"/>
    <w:p w14:paraId="0758C7D7" w14:textId="77777777" w:rsidR="00EB3704" w:rsidRPr="004C78D8" w:rsidRDefault="00EB3704" w:rsidP="00FB7C1F"/>
    <w:p w14:paraId="6FA4F066" w14:textId="77777777" w:rsidR="00EB3704" w:rsidRPr="004C78D8" w:rsidRDefault="00EB3704" w:rsidP="00FB7C1F"/>
    <w:p w14:paraId="242BB301" w14:textId="77777777" w:rsidR="00EB3704" w:rsidRPr="004C78D8" w:rsidRDefault="00EB3704" w:rsidP="00FB7C1F"/>
    <w:p w14:paraId="0DC686CE" w14:textId="77777777" w:rsidR="00EB3704" w:rsidRPr="004C78D8" w:rsidRDefault="00EB3704" w:rsidP="00FB7C1F"/>
    <w:p w14:paraId="505FCC76" w14:textId="77777777" w:rsidR="00EB3704" w:rsidRPr="004C78D8" w:rsidRDefault="00EB3704" w:rsidP="00FB7C1F"/>
    <w:p w14:paraId="094202E6" w14:textId="77777777" w:rsidR="00EB3704" w:rsidRPr="004C78D8" w:rsidRDefault="00EB3704" w:rsidP="00FB7C1F"/>
    <w:p w14:paraId="7BA38145" w14:textId="77777777" w:rsidR="00EB3704" w:rsidRPr="004C78D8" w:rsidRDefault="00EB3704" w:rsidP="00FB7C1F"/>
    <w:p w14:paraId="72CE24BD" w14:textId="77777777" w:rsidR="00EB3704" w:rsidRPr="004C78D8" w:rsidRDefault="00EB3704" w:rsidP="00FB7C1F"/>
    <w:p w14:paraId="4966B9A7" w14:textId="77777777" w:rsidR="00EB3704" w:rsidRPr="004C78D8" w:rsidRDefault="00EB3704" w:rsidP="00FB7C1F"/>
    <w:p w14:paraId="17B4FE83" w14:textId="77777777" w:rsidR="00EB3704" w:rsidRPr="004C78D8" w:rsidRDefault="00EB3704" w:rsidP="00FB7C1F"/>
    <w:p w14:paraId="023B7F46" w14:textId="097A3036" w:rsidR="00EB3704" w:rsidRPr="004C78D8" w:rsidRDefault="00EB3704" w:rsidP="00FB7C1F">
      <w:r w:rsidRPr="004C78D8">
        <w:rPr>
          <w:b/>
          <w:bCs/>
        </w:rPr>
        <w:t xml:space="preserve">Figure </w:t>
      </w:r>
      <w:r w:rsidR="00E848C8" w:rsidRPr="004C78D8">
        <w:rPr>
          <w:b/>
          <w:bCs/>
        </w:rPr>
        <w:t>4</w:t>
      </w:r>
      <w:r w:rsidRPr="004C78D8">
        <w:rPr>
          <w:b/>
          <w:bCs/>
        </w:rPr>
        <w:t>.1</w:t>
      </w:r>
      <w:r w:rsidRPr="004C78D8">
        <w:t xml:space="preserve"> Preferred Reporting Items for Systematic Reviews and Meta-Analyse flow diagram for systematic review of falls prevention decision models.</w:t>
      </w:r>
    </w:p>
    <w:p w14:paraId="50897039" w14:textId="77777777" w:rsidR="00EB3704" w:rsidRPr="004C78D8" w:rsidRDefault="00EB3704" w:rsidP="00FB7C1F"/>
    <w:p w14:paraId="7839E5F0" w14:textId="3F8E48BE" w:rsidR="00EB3704" w:rsidRPr="004C78D8" w:rsidRDefault="00EB3704" w:rsidP="00FB7C1F">
      <w:pPr>
        <w:sectPr w:rsidR="00EB3704" w:rsidRPr="004C78D8" w:rsidSect="00EB3704">
          <w:pgSz w:w="16838" w:h="11906" w:orient="landscape"/>
          <w:pgMar w:top="1440" w:right="1440" w:bottom="1440" w:left="1440" w:header="708" w:footer="708" w:gutter="0"/>
          <w:cols w:space="708"/>
          <w:docGrid w:linePitch="360"/>
        </w:sectPr>
      </w:pPr>
    </w:p>
    <w:p w14:paraId="08F3423C" w14:textId="2F984FC6" w:rsidR="00F06562" w:rsidRPr="004C78D8" w:rsidRDefault="00E848C8" w:rsidP="00FB7C1F">
      <w:pPr>
        <w:pStyle w:val="Heading3"/>
      </w:pPr>
      <w:bookmarkStart w:id="115" w:name="_Toc111630754"/>
      <w:r w:rsidRPr="004C78D8">
        <w:lastRenderedPageBreak/>
        <w:t>4</w:t>
      </w:r>
      <w:r w:rsidR="00F06562" w:rsidRPr="004C78D8">
        <w:t>.4.2 Overview of included decision models</w:t>
      </w:r>
      <w:bookmarkEnd w:id="115"/>
    </w:p>
    <w:p w14:paraId="66E76AA2" w14:textId="392E8900" w:rsidR="00F06562" w:rsidRPr="004C78D8" w:rsidRDefault="00F06562" w:rsidP="00FB7C1F">
      <w:r w:rsidRPr="004C78D8">
        <w:t xml:space="preserve">Table </w:t>
      </w:r>
      <w:r w:rsidR="00E848C8" w:rsidRPr="004C78D8">
        <w:t>4</w:t>
      </w:r>
      <w:r w:rsidRPr="004C78D8">
        <w:t xml:space="preserve">.2 provides an overview of the 46 included models. Apart from Agartioglu (2020) set in Turkey, all models were set in developed countries: 14 from the US and Canada (30.4%); 12 Australia and New Zealand (26.1%); 11 UK (23.9%); and eight Europe (17.4%). Twenty-four (52.2%) models aimed to inform decision-making at the national level, while the rest adopted more local application levels including state, city, and </w:t>
      </w:r>
      <w:r w:rsidR="00B41E3F" w:rsidRPr="004C78D8">
        <w:t>CCGs</w:t>
      </w:r>
      <w:r w:rsidRPr="004C78D8">
        <w:t xml:space="preserve"> in the UK.</w:t>
      </w:r>
    </w:p>
    <w:p w14:paraId="64D3FCCB" w14:textId="7920F803" w:rsidR="001559CE" w:rsidRPr="004C78D8" w:rsidRDefault="001559CE" w:rsidP="00FB7C1F">
      <w:r w:rsidRPr="004C78D8">
        <w:t xml:space="preserve">Most models (n=25; 52.2%) targeted a general population of community-dwelling adults aged 60+ or 65+; two targeted </w:t>
      </w:r>
      <w:r w:rsidR="00F02847" w:rsidRPr="004C78D8">
        <w:t xml:space="preserve">general population </w:t>
      </w:r>
      <w:r w:rsidRPr="004C78D8">
        <w:t xml:space="preserve">women only </w:t>
      </w:r>
      <w:r w:rsidRPr="004C78D8">
        <w:fldChar w:fldCharType="begin">
          <w:fldData xml:space="preserve">PEVuZE5vdGU+PENpdGU+PEF1dGhvcj5IZWt0b2VuPC9BdXRob3I+PFllYXI+MjAwOTwvWWVhcj48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</w:fldData>
        </w:fldChar>
      </w:r>
      <w:r w:rsidR="00C630FC" w:rsidRPr="004C78D8">
        <w:instrText xml:space="preserve"> ADDIN EN.CITE </w:instrText>
      </w:r>
      <w:r w:rsidR="00C630FC" w:rsidRPr="004C78D8">
        <w:fldChar w:fldCharType="begin">
          <w:fldData xml:space="preserve">PEVuZE5vdGU+PENpdGU+PEF1dGhvcj5IZWt0b2VuPC9BdXRob3I+PFllYXI+MjAwOTwvWWVhcj48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[335, 336]</w:t>
      </w:r>
      <w:r w:rsidRPr="004C78D8">
        <w:fldChar w:fldCharType="end"/>
      </w:r>
      <w:r w:rsidRPr="004C78D8">
        <w:t xml:space="preserve">. Two models targeted general adult populations aged 65+ which would contain a minority of institutionalised adults </w:t>
      </w:r>
      <w:r w:rsidRPr="004C78D8">
        <w:fldChar w:fldCharType="begin">
          <w:fldData xml:space="preserve">PEVuZE5vdGU+PENpdGU+PEF1dGhvcj5Cb3lkPC9BdXRob3I+PFllYXI+MjAyMDwvWWVhcj48UmVj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</w:fldData>
        </w:fldChar>
      </w:r>
      <w:r w:rsidR="00C630FC" w:rsidRPr="004C78D8">
        <w:instrText xml:space="preserve"> ADDIN EN.CITE </w:instrText>
      </w:r>
      <w:r w:rsidR="00C630FC" w:rsidRPr="004C78D8">
        <w:fldChar w:fldCharType="begin">
          <w:fldData xml:space="preserve">PEVuZE5vdGU+PENpdGU+PEF1dGhvcj5Cb3lkPC9BdXRob3I+PFllYXI+MjAyMDwvWWVhcj48UmVj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[44, 337]</w:t>
      </w:r>
      <w:r w:rsidRPr="004C78D8">
        <w:fldChar w:fldCharType="end"/>
      </w:r>
      <w:r w:rsidRPr="004C78D8">
        <w:t xml:space="preserve">; two incorporated institutionalisation as a non-final model state </w:t>
      </w:r>
      <w:r w:rsidRPr="004C78D8">
        <w:fldChar w:fldCharType="begin">
          <w:fldData xml:space="preserve">PEVuZE5vdGU+PENpdGU+PEF1dGhvcj5FbGRyaWRnZTwvQXV0aG9yPjxZZWFyPjIwMDU8L1llYXI+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</w:fldData>
        </w:fldChar>
      </w:r>
      <w:r w:rsidR="00C630FC" w:rsidRPr="004C78D8">
        <w:instrText xml:space="preserve"> ADDIN EN.CITE </w:instrText>
      </w:r>
      <w:r w:rsidR="00C630FC" w:rsidRPr="004C78D8">
        <w:fldChar w:fldCharType="begin">
          <w:fldData xml:space="preserve">PEVuZE5vdGU+PENpdGU+PEF1dGhvcj5FbGRyaWRnZTwvQXV0aG9yPjxZZWFyPjIwMDU8L1llYXI+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[274, 318]</w:t>
      </w:r>
      <w:r w:rsidRPr="004C78D8">
        <w:fldChar w:fldCharType="end"/>
      </w:r>
      <w:r w:rsidRPr="004C78D8">
        <w:t xml:space="preserve">. Five targeted populations with falls history </w:t>
      </w:r>
      <w:r w:rsidRPr="004C78D8">
        <w:fldChar w:fldCharType="begin">
          <w:fldData xml:space="preserve">PEVuZE5vdGU+PENpdGU+PEF1dGhvcj5Db21hbnM8L0F1dGhvcj48WWVhcj4yMDA5PC9ZZWFyPjxS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</w:fldData>
        </w:fldChar>
      </w:r>
      <w:r w:rsidR="00C630FC" w:rsidRPr="004C78D8">
        <w:instrText xml:space="preserve"> ADDIN EN.CITE </w:instrText>
      </w:r>
      <w:r w:rsidR="00C630FC" w:rsidRPr="004C78D8">
        <w:fldChar w:fldCharType="begin">
          <w:fldData xml:space="preserve">PEVuZE5vdGU+PENpdGU+PEF1dGhvcj5Db21hbnM8L0F1dGhvcj48WWVhcj4yMDA5PC9ZZWFyPjxS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[200, 207, 338-340]</w:t>
      </w:r>
      <w:r w:rsidRPr="004C78D8">
        <w:fldChar w:fldCharType="end"/>
      </w:r>
      <w:r w:rsidRPr="004C78D8">
        <w:t xml:space="preserve">; two populations at high falls risk without specifying cause </w:t>
      </w:r>
      <w:r w:rsidRPr="004C78D8">
        <w:fldChar w:fldCharType="begin"/>
      </w:r>
      <w:r w:rsidR="00C630FC" w:rsidRPr="004C78D8">
        <w:instrText xml:space="preserve"> ADDIN EN.CITE &lt;EndNote&gt;&lt;Cite&gt;&lt;Author&gt;Alhambra-Borrás&lt;/Author&gt;&lt;Year&gt;2019&lt;/Year&gt;&lt;RecNum&gt;92&lt;/RecNum&gt;&lt;DisplayText&gt;[341, 342]&lt;/DisplayText&gt;&lt;record&gt;&lt;rec-number&gt;92&lt;/rec-number&gt;&lt;foreign-keys&gt;&lt;key app="EN" db-id="tdtrdw9aepptzbefsat599syza29sxsd2wsp" timestamp="1598189886"&gt;92&lt;/key&gt;&lt;/foreign-keys&gt;&lt;ref-type name="Journal Article"&gt;17&lt;/ref-type&gt;&lt;contributors&gt;&lt;authors&gt;&lt;author&gt;Alhambra-Borrás, Tamara&lt;/author&gt;&lt;author&gt;Durá-Ferrandis, Estrella&lt;/author&gt;&lt;author&gt;Ferrando-García, Maite&lt;/author&gt;&lt;/authors&gt;&lt;/contributors&gt;&lt;titles&gt;&lt;title&gt;Effectiveness and estimation of cost-effectiveness of a group-based multicomponent physical exercise programme on risk of falling and frailty in community-dwelling older adults&lt;/title&gt;&lt;secondary-title&gt;International journal of environmental research and public health&lt;/secondary-title&gt;&lt;/titles&gt;&lt;periodical&gt;&lt;full-title&gt;International journal of environmental research and public health&lt;/full-title&gt;&lt;/periodical&gt;&lt;pages&gt;2086&lt;/pages&gt;&lt;volume&gt;16&lt;/volume&gt;&lt;number&gt;12&lt;/number&gt;&lt;dates&gt;&lt;year&gt;2019&lt;/year&gt;&lt;/dates&gt;&lt;urls&gt;&lt;/urls&gt;&lt;/record&gt;&lt;/Cite&gt;&lt;Cite&gt;&lt;Author&gt;Miller&lt;/Author&gt;&lt;Year&gt;2011&lt;/Year&gt;&lt;RecNum&gt;383&lt;/RecNum&gt;&lt;record&gt;&lt;rec-number&gt;383&lt;/rec-number&gt;&lt;foreign-keys&gt;&lt;key app="EN" db-id="tdtrdw9aepptzbefsat599syza29sxsd2wsp" timestamp="1612694614"&gt;383&lt;/key&gt;&lt;/foreign-keys&gt;&lt;ref-type name="Journal Article"&gt;17&lt;/ref-type&gt;&lt;contributors&gt;&lt;authors&gt;&lt;author&gt;Miller, Thomas R&lt;/author&gt;&lt;author&gt;Dickerson, Justin B&lt;/author&gt;&lt;author&gt;Smith, Matthew L&lt;/author&gt;&lt;author&gt;Ory, Marcia G&lt;/author&gt;&lt;/authors&gt;&lt;/contributors&gt;&lt;titles&gt;&lt;title&gt;Assessing costs and potential returns of evidence-based programs for seniors&lt;/title&gt;&lt;secondary-title&gt;Evaluation &amp;amp; the health professions&lt;/secondary-title&gt;&lt;/titles&gt;&lt;periodical&gt;&lt;full-title&gt;Evaluation &amp;amp; the health professions&lt;/full-title&gt;&lt;/periodical&gt;&lt;pages&gt;201-225&lt;/pages&gt;&lt;volume&gt;34&lt;/volume&gt;&lt;number&gt;2&lt;/number&gt;&lt;dates&gt;&lt;year&gt;2011&lt;/year&gt;&lt;/dates&gt;&lt;isbn&gt;0163-2787&lt;/isbn&gt;&lt;urls&gt;&lt;/urls&gt;&lt;/record&gt;&lt;/Cite&gt;&lt;/EndNote&gt;</w:instrText>
      </w:r>
      <w:r w:rsidRPr="004C78D8">
        <w:fldChar w:fldCharType="separate"/>
      </w:r>
      <w:r w:rsidR="00C630FC" w:rsidRPr="004C78D8">
        <w:rPr>
          <w:noProof/>
        </w:rPr>
        <w:t>[341, 342]</w:t>
      </w:r>
      <w:r w:rsidRPr="004C78D8">
        <w:fldChar w:fldCharType="end"/>
      </w:r>
      <w:r w:rsidRPr="004C78D8">
        <w:t xml:space="preserve">. Eight targeted specific patient populations: osteoporosis or high osteoporosis risk </w:t>
      </w:r>
      <w:r w:rsidRPr="004C78D8">
        <w:fldChar w:fldCharType="begin"/>
      </w:r>
      <w:r w:rsidR="00C630FC" w:rsidRPr="004C78D8">
        <w:instrText xml:space="preserve"> ADDIN EN.CITE &lt;EndNote&gt;&lt;Cite&gt;&lt;Author&gt;Hiligsmann&lt;/Author&gt;&lt;Year&gt;2014&lt;/Year&gt;&lt;RecNum&gt;392&lt;/RecNum&gt;&lt;DisplayText&gt;[343, 344]&lt;/DisplayText&gt;&lt;record&gt;&lt;rec-number&gt;392&lt;/rec-number&gt;&lt;foreign-keys&gt;&lt;key app="EN" db-id="tdtrdw9aepptzbefsat599syza29sxsd2wsp" timestamp="1612694614"&gt;392&lt;/key&gt;&lt;/foreign-keys&gt;&lt;ref-type name="Journal Article"&gt;17&lt;/ref-type&gt;&lt;contributors&gt;&lt;authors&gt;&lt;author&gt;Hiligsmann, Mickaël&lt;/author&gt;&lt;author&gt;Ben Sedrine, Wafa&lt;/author&gt;&lt;author&gt;Bruyère, Olivier&lt;/author&gt;&lt;author&gt;Evers, Silvia M&lt;/author&gt;&lt;author&gt;Rabenda, Véronique&lt;/author&gt;&lt;author&gt;Reginster, Jean-Yves&lt;/author&gt;&lt;/authors&gt;&lt;/contributors&gt;&lt;titles&gt;&lt;title&gt;Cost-effectiveness of vitamin D and calcium supplementation in the treatment of elderly women and men with osteoporosis&lt;/title&gt;&lt;secondary-title&gt;The European Journal of Public Health&lt;/secondary-title&gt;&lt;/titles&gt;&lt;periodical&gt;&lt;full-title&gt;The European Journal of Public Health&lt;/full-title&gt;&lt;/periodical&gt;&lt;pages&gt;20-25&lt;/pages&gt;&lt;volume&gt;25&lt;/volume&gt;&lt;number&gt;1&lt;/number&gt;&lt;dates&gt;&lt;year&gt;2014&lt;/year&gt;&lt;/dates&gt;&lt;isbn&gt;1101-1262&lt;/isbn&gt;&lt;urls&gt;&lt;/urls&gt;&lt;/record&gt;&lt;/Cite&gt;&lt;Cite&gt;&lt;Author&gt;Mori&lt;/Author&gt;&lt;Year&gt;2017&lt;/Year&gt;&lt;RecNum&gt;352&lt;/RecNum&gt;&lt;record&gt;&lt;rec-number&gt;352&lt;/rec-number&gt;&lt;foreign-keys&gt;&lt;key app="EN" db-id="tdtrdw9aepptzbefsat599syza29sxsd2wsp" timestamp="1612211992"&gt;352&lt;/key&gt;&lt;/foreign-keys&gt;&lt;ref-type name="Journal Article"&gt;17&lt;/ref-type&gt;&lt;contributors&gt;&lt;authors&gt;&lt;author&gt;Mori, T&lt;/author&gt;&lt;author&gt;Crandall, CJ&lt;/author&gt;&lt;author&gt;Ganz, David A&lt;/author&gt;&lt;/authors&gt;&lt;/contributors&gt;&lt;titles&gt;&lt;title&gt;Cost-effectiveness of combined oral bisphosphonate therapy and falls prevention exercise for fracture prevention in the USA&lt;/title&gt;&lt;secondary-title&gt;Osteoporosis international&lt;/secondary-title&gt;&lt;/titles&gt;&lt;periodical&gt;&lt;full-title&gt;Osteoporosis International&lt;/full-title&gt;&lt;/periodical&gt;&lt;pages&gt;585-595&lt;/pages&gt;&lt;volume&gt;28&lt;/volume&gt;&lt;number&gt;2&lt;/number&gt;&lt;dates&gt;&lt;year&gt;2017&lt;/year&gt;&lt;/dates&gt;&lt;isbn&gt;0937-941X&lt;/isbn&gt;&lt;urls&gt;&lt;/urls&gt;&lt;/record&gt;&lt;/Cite&gt;&lt;/EndNote&gt;</w:instrText>
      </w:r>
      <w:r w:rsidRPr="004C78D8">
        <w:fldChar w:fldCharType="separate"/>
      </w:r>
      <w:r w:rsidR="00C630FC" w:rsidRPr="004C78D8">
        <w:rPr>
          <w:noProof/>
        </w:rPr>
        <w:t>[343, 344]</w:t>
      </w:r>
      <w:r w:rsidRPr="004C78D8">
        <w:fldChar w:fldCharType="end"/>
      </w:r>
      <w:r w:rsidRPr="004C78D8">
        <w:t xml:space="preserve">; fall-risk-increasing drug (FRID) users </w:t>
      </w:r>
      <w:r w:rsidRPr="004C78D8">
        <w:fldChar w:fldCharType="begin">
          <w:fldData xml:space="preserve">PEVuZE5vdGU+PENpdGU+PEF1dGhvcj5IaXJzdDwvQXV0aG9yPjxZZWFyPjIwMTY8L1llYXI+PFJl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</w:fldData>
        </w:fldChar>
      </w:r>
      <w:r w:rsidR="00C630FC" w:rsidRPr="004C78D8">
        <w:instrText xml:space="preserve"> ADDIN EN.CITE </w:instrText>
      </w:r>
      <w:r w:rsidR="00C630FC" w:rsidRPr="004C78D8">
        <w:fldChar w:fldCharType="begin">
          <w:fldData xml:space="preserve">PEVuZE5vdGU+PENpdGU+PEF1dGhvcj5IaXJzdDwvQXV0aG9yPjxZZWFyPjIwMTY8L1llYXI+PFJl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[345-348]</w:t>
      </w:r>
      <w:r w:rsidRPr="004C78D8">
        <w:fldChar w:fldCharType="end"/>
      </w:r>
      <w:r w:rsidRPr="004C78D8">
        <w:t xml:space="preserve">; and cataracts </w:t>
      </w:r>
      <w:r w:rsidRPr="004C78D8">
        <w:fldChar w:fldCharType="begin">
          <w:fldData xml:space="preserve">PEVuZE5vdGU+PENpdGU+PEF1dGhvcj5TYWNoPC9BdXRob3I+PFllYXI+MjAwNzwvWWVhcj48UmVj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</w:fldData>
        </w:fldChar>
      </w:r>
      <w:r w:rsidR="00C630FC" w:rsidRPr="004C78D8">
        <w:instrText xml:space="preserve"> ADDIN EN.CITE </w:instrText>
      </w:r>
      <w:r w:rsidR="00C630FC" w:rsidRPr="004C78D8">
        <w:fldChar w:fldCharType="begin">
          <w:fldData xml:space="preserve">PEVuZE5vdGU+PENpdGU+PEF1dGhvcj5TYWNoPC9BdXRob3I+PFllYXI+MjAwNzwvWWVhcj48UmVj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[349, 350]</w:t>
      </w:r>
      <w:r w:rsidRPr="004C78D8">
        <w:fldChar w:fldCharType="end"/>
      </w:r>
      <w:r w:rsidRPr="004C78D8">
        <w:t>. Nshimyumukiza (2013) incorporated incoming cohorts, newly entering each year for 10 years.</w:t>
      </w:r>
    </w:p>
    <w:p w14:paraId="6F1E43DB" w14:textId="07547EC4" w:rsidR="00DF6589" w:rsidRPr="004C78D8" w:rsidRDefault="00DF6589" w:rsidP="00FB7C1F">
      <w:r w:rsidRPr="004C78D8">
        <w:t xml:space="preserve">There were </w:t>
      </w:r>
      <w:r w:rsidR="00E848C8" w:rsidRPr="004C78D8">
        <w:t xml:space="preserve">three </w:t>
      </w:r>
      <w:r w:rsidRPr="004C78D8">
        <w:t>types of economic analysis</w:t>
      </w:r>
      <w:r w:rsidR="00E848C8" w:rsidRPr="004C78D8">
        <w:t>,</w:t>
      </w:r>
      <w:r w:rsidRPr="004C78D8">
        <w:t xml:space="preserve"> CEA, </w:t>
      </w:r>
      <w:r w:rsidR="008A4356" w:rsidRPr="004C78D8">
        <w:t xml:space="preserve">CUA, </w:t>
      </w:r>
      <w:r w:rsidR="00E848C8" w:rsidRPr="004C78D8">
        <w:t xml:space="preserve">and </w:t>
      </w:r>
      <w:r w:rsidRPr="004C78D8">
        <w:t>CBA</w:t>
      </w:r>
      <w:r w:rsidR="008A4356" w:rsidRPr="004C78D8">
        <w:t xml:space="preserve">, </w:t>
      </w:r>
      <w:r w:rsidR="00E848C8" w:rsidRPr="004C78D8">
        <w:t xml:space="preserve">as well as </w:t>
      </w:r>
      <w:r w:rsidRPr="004C78D8">
        <w:t xml:space="preserve">ROI. </w:t>
      </w:r>
      <w:r w:rsidR="008A4356" w:rsidRPr="004C78D8">
        <w:t xml:space="preserve">No further types (e.g., CCA) were identified. </w:t>
      </w:r>
      <w:r w:rsidRPr="004C78D8">
        <w:t>There were two costing perspectives: public sector and societal. Several models adopted multiple types of analysis and perspectives, resulting in 69 distinct analyses. Of these, CUA was most used (n=32; 46.4%), followed by ROI and CEA (each n=17; 24.6%), and then CBA (n=3; 4.3%). Around a third of analyses (n=22) adopted the societal perspective.</w:t>
      </w:r>
    </w:p>
    <w:p w14:paraId="771E1C9F" w14:textId="334C1023" w:rsidR="00DF6589" w:rsidRPr="004C78D8" w:rsidRDefault="00DF6589" w:rsidP="00FB7C1F">
      <w:r w:rsidRPr="004C78D8">
        <w:t xml:space="preserve">Exercise was the most evaluated intervention type with 17 models; eight evaluated multiple exercise forms. Multifactorial intervention was the second most evaluated type with 13 models: three evaluated multiple forms </w:t>
      </w:r>
      <w:r w:rsidRPr="004C78D8">
        <w:fldChar w:fldCharType="begin">
          <w:fldData xml:space="preserve">PEVuZE5vdGU+PENpdGU+PEF1dGhvcj5DaHVyY2g8L0F1dGhvcj48WWVhcj4yMDEyPC9ZZWFyPjxS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=
</w:fldData>
        </w:fldChar>
      </w:r>
      <w:r w:rsidR="00C630FC" w:rsidRPr="004C78D8">
        <w:instrText xml:space="preserve"> ADDIN EN.CITE </w:instrText>
      </w:r>
      <w:r w:rsidR="00C630FC" w:rsidRPr="004C78D8">
        <w:fldChar w:fldCharType="begin">
          <w:fldData xml:space="preserve">PEVuZE5vdGU+PENpdGU+PEF1dGhvcj5DaHVyY2g8L0F1dGhvcj48WWVhcj4yMDEyPC9ZZWFyPjxS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=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[207, 351, 352]</w:t>
      </w:r>
      <w:r w:rsidRPr="004C78D8">
        <w:fldChar w:fldCharType="end"/>
      </w:r>
      <w:r w:rsidRPr="004C78D8">
        <w:t xml:space="preserve">; two combined multifactorial intervention with environmental modifications </w:t>
      </w:r>
      <w:r w:rsidRPr="004C78D8">
        <w:fldChar w:fldCharType="begin">
          <w:fldData xml:space="preserve">PEVuZE5vdGU+PENpdGU+PEF1dGhvcj5CZWFyZDwvQXV0aG9yPjxZZWFyPjIwMDY8L1llYXI+PFJl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==
</w:fldData>
        </w:fldChar>
      </w:r>
      <w:r w:rsidR="00513646" w:rsidRPr="004C78D8">
        <w:instrText xml:space="preserve"> ADDIN EN.CITE </w:instrText>
      </w:r>
      <w:r w:rsidR="00513646" w:rsidRPr="004C78D8">
        <w:fldChar w:fldCharType="begin">
          <w:fldData xml:space="preserve">PEVuZE5vdGU+PENpdGU+PEF1dGhvcj5CZWFyZDwvQXV0aG9yPjxZZWFyPjIwMDY8L1llYXI+PFJl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==
</w:fldData>
        </w:fldChar>
      </w:r>
      <w:r w:rsidR="00513646" w:rsidRPr="004C78D8">
        <w:instrText xml:space="preserve"> ADDIN EN.CITE.DATA </w:instrText>
      </w:r>
      <w:r w:rsidR="00513646" w:rsidRPr="004C78D8">
        <w:fldChar w:fldCharType="end"/>
      </w:r>
      <w:r w:rsidRPr="004C78D8">
        <w:fldChar w:fldCharType="separate"/>
      </w:r>
      <w:r w:rsidR="00513646" w:rsidRPr="004C78D8">
        <w:rPr>
          <w:noProof/>
        </w:rPr>
        <w:t>[127, 128]</w:t>
      </w:r>
      <w:r w:rsidRPr="004C78D8">
        <w:fldChar w:fldCharType="end"/>
      </w:r>
      <w:r w:rsidRPr="004C78D8">
        <w:t xml:space="preserve">. Twelve evaluated multiple types of interventions: four compared multiple types directly </w:t>
      </w:r>
      <w:r w:rsidRPr="004C78D8">
        <w:fldChar w:fldCharType="begin">
          <w:fldData xml:space="preserve">PEVuZE5vdGU+PENpdGU+PEF1dGhvcj5DaHVyY2g8L0F1dGhvcj48WWVhcj4yMDEyPC9ZZWFyPjxS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</w:fldData>
        </w:fldChar>
      </w:r>
      <w:r w:rsidR="00C630FC" w:rsidRPr="004C78D8">
        <w:instrText xml:space="preserve"> ADDIN EN.CITE </w:instrText>
      </w:r>
      <w:r w:rsidR="00C630FC" w:rsidRPr="004C78D8">
        <w:fldChar w:fldCharType="begin">
          <w:fldData xml:space="preserve">PEVuZE5vdGU+PENpdGU+PEF1dGhvcj5DaHVyY2g8L0F1dGhvcj48WWVhcj4yMDEyPC9ZZWFyPjxS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[336, 347, 351, 352]</w:t>
      </w:r>
      <w:r w:rsidRPr="004C78D8">
        <w:fldChar w:fldCharType="end"/>
      </w:r>
      <w:r w:rsidRPr="004C78D8">
        <w:t xml:space="preserve">. The most common comparator scenario was not receiving the modelled intervention(s). Eight models described the ‘usual care’ (without falls prevention properties) received in the comparator scenario, e.g., non-expedited cataract surgery compared to expedited </w:t>
      </w:r>
      <w:r w:rsidRPr="004C78D8">
        <w:fldChar w:fldCharType="begin"/>
      </w:r>
      <w:r w:rsidR="00C630FC" w:rsidRPr="004C78D8">
        <w:instrText xml:space="preserve"> ADDIN EN.CITE &lt;EndNote&gt;&lt;Cite&gt;&lt;Author&gt;Sach&lt;/Author&gt;&lt;Year&gt;2007&lt;/Year&gt;&lt;RecNum&gt;354&lt;/RecNum&gt;&lt;DisplayText&gt;[349]&lt;/DisplayText&gt;&lt;record&gt;&lt;rec-number&gt;354&lt;/rec-number&gt;&lt;foreign-keys&gt;&lt;key app="EN" db-id="tdtrdw9aepptzbefsat599syza29sxsd2wsp" timestamp="1612212070"&gt;354&lt;/key&gt;&lt;/foreign-keys&gt;&lt;ref-type name="Journal Article"&gt;17&lt;/ref-type&gt;&lt;contributors&gt;&lt;authors&gt;&lt;author&gt;Sach, T. H.&lt;/author&gt;&lt;author&gt;Foss, A. J.&lt;/author&gt;&lt;author&gt;Gregson, R. M.&lt;/author&gt;&lt;author&gt;Zaman, A.&lt;/author&gt;&lt;author&gt;Osborn, F.&lt;/author&gt;&lt;author&gt;Masud, T.&lt;/author&gt;&lt;author&gt;Harwood, R. H.&lt;/author&gt;&lt;/authors&gt;&lt;/contributors&gt;&lt;auth-address&gt;School of Chemical Sciences and Pharmacy, University of East Anglia, Norwich NR4 7TJ, UK. T.Sach@uea.ac.uk&lt;/auth-address&gt;&lt;titles&gt;&lt;title&gt;Falls and health status in elderly women following first eye cataract surgery: an economic evaluation conducted alongside a randomised controlled trial&lt;/title&gt;&lt;secondary-title&gt;Br J Ophthalmol&lt;/secondary-title&gt;&lt;/titles&gt;&lt;periodical&gt;&lt;full-title&gt;Br J Ophthalmol&lt;/full-title&gt;&lt;/periodical&gt;&lt;pages&gt;1675-9&lt;/pages&gt;&lt;volume&gt;91&lt;/volume&gt;&lt;number&gt;12&lt;/number&gt;&lt;keywords&gt;&lt;keyword&gt;*Accidental Falls/prevention &amp;amp; control&lt;/keyword&gt;&lt;keyword&gt;Aged&lt;/keyword&gt;&lt;keyword&gt;Cataract/physiopathology&lt;/keyword&gt;&lt;keyword&gt;Cataract Extraction/*economics&lt;/keyword&gt;&lt;keyword&gt;Cost-Benefit Analysis&lt;/keyword&gt;&lt;keyword&gt;Female&lt;/keyword&gt;&lt;keyword&gt;Health Care Costs&lt;/keyword&gt;&lt;keyword&gt;*Health Status&lt;/keyword&gt;&lt;keyword&gt;Humans&lt;/keyword&gt;&lt;keyword&gt;Models, Economic&lt;/keyword&gt;&lt;keyword&gt;Postoperative Period&lt;/keyword&gt;&lt;keyword&gt;Quality-Adjusted Life Years&lt;/keyword&gt;&lt;keyword&gt;Visual Acuity&lt;/keyword&gt;&lt;/keywords&gt;&lt;dates&gt;&lt;year&gt;2007&lt;/year&gt;&lt;pub-dates&gt;&lt;date&gt;Dec&lt;/date&gt;&lt;/pub-dates&gt;&lt;/dates&gt;&lt;isbn&gt;1468-2079 (Electronic)&amp;#xD;0007-1161 (Linking)&lt;/isbn&gt;&lt;accession-num&gt;17585002&lt;/accession-num&gt;&lt;urls&gt;&lt;related-urls&gt;&lt;url&gt;https://www.ncbi.nlm.nih.gov/pubmed/17585002&lt;/url&gt;&lt;/related-urls&gt;&lt;/urls&gt;&lt;custom2&gt;PMC2095519&lt;/custom2&gt;&lt;electronic-resource-num&gt;10.1136/bjo.2007.118687&lt;/electronic-resource-num&gt;&lt;/record&gt;&lt;/Cite&gt;&lt;/EndNote&gt;</w:instrText>
      </w:r>
      <w:r w:rsidRPr="004C78D8">
        <w:fldChar w:fldCharType="separate"/>
      </w:r>
      <w:r w:rsidR="00C630FC" w:rsidRPr="004C78D8">
        <w:rPr>
          <w:noProof/>
        </w:rPr>
        <w:t>[349]</w:t>
      </w:r>
      <w:r w:rsidRPr="004C78D8">
        <w:fldChar w:fldCharType="end"/>
      </w:r>
      <w:r w:rsidRPr="004C78D8">
        <w:t xml:space="preserve">; but others (24 of 32 with non-receipt scenario) were vague in the description or used ‘no intervention’ and ‘usual care’ interchangeably </w:t>
      </w:r>
      <w:r w:rsidRPr="004C78D8">
        <w:fldChar w:fldCharType="begin">
          <w:fldData xml:space="preserve">PEVuZE5vdGU+PENpdGU+PEF1dGhvcj5EYXk8L0F1dGhvcj48WWVhcj4yMDA5PC9ZZWFyPjxSZWNO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</w:fldData>
        </w:fldChar>
      </w:r>
      <w:r w:rsidR="00C630FC" w:rsidRPr="004C78D8">
        <w:instrText xml:space="preserve"> ADDIN EN.CITE </w:instrText>
      </w:r>
      <w:r w:rsidR="00C630FC" w:rsidRPr="004C78D8">
        <w:fldChar w:fldCharType="begin">
          <w:fldData xml:space="preserve">PEVuZE5vdGU+PENpdGU+PEF1dGhvcj5EYXk8L0F1dGhvcj48WWVhcj4yMDA5PC9ZZWFyPjxSZWNO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[146, 167, 216, 340, 353]</w:t>
      </w:r>
      <w:r w:rsidRPr="004C78D8">
        <w:fldChar w:fldCharType="end"/>
      </w:r>
      <w:r w:rsidRPr="004C78D8">
        <w:t>.</w:t>
      </w:r>
    </w:p>
    <w:p w14:paraId="593CFE77" w14:textId="261E8846" w:rsidR="00DF6589" w:rsidRPr="004C78D8" w:rsidRDefault="00DF6589" w:rsidP="00FB7C1F">
      <w:r w:rsidRPr="004C78D8">
        <w:t xml:space="preserve">There were four model type categories: (1) binary decision (n=14); (2) static (n=9); (3) cohort-level Markov (n=19); and (4) patient- or individual-level Markov (n=4). Binary decision models compared the state of the world with and without the intervention and did not incorporate </w:t>
      </w:r>
      <w:r w:rsidR="00404043" w:rsidRPr="004C78D8">
        <w:t>probability trees (i.e., excluding decision tree models)</w:t>
      </w:r>
      <w:r w:rsidRPr="004C78D8">
        <w:t xml:space="preserve"> or time </w:t>
      </w:r>
      <w:r w:rsidR="004811C7" w:rsidRPr="004C78D8">
        <w:t xml:space="preserve">progression </w:t>
      </w:r>
      <w:r w:rsidR="00404043" w:rsidRPr="004C78D8">
        <w:t>(i.e., excluding Markov-type models)</w:t>
      </w:r>
      <w:r w:rsidRPr="004C78D8">
        <w:t xml:space="preserve">. </w:t>
      </w:r>
      <w:r w:rsidR="00D1105D" w:rsidRPr="004C78D8">
        <w:t xml:space="preserve">Beard (2006), for example, modelled the wider societal outcomes </w:t>
      </w:r>
      <w:r w:rsidR="004811C7" w:rsidRPr="004C78D8">
        <w:t xml:space="preserve">of an intervention evaluated in a quasi-experimental study </w:t>
      </w:r>
      <w:r w:rsidR="00D1105D" w:rsidRPr="004C78D8">
        <w:fldChar w:fldCharType="begin"/>
      </w:r>
      <w:r w:rsidR="00D1105D" w:rsidRPr="004C78D8">
        <w:instrText xml:space="preserve"> ADDIN EN.CITE &lt;EndNote&gt;&lt;Cite&gt;&lt;Author&gt;Beard&lt;/Author&gt;&lt;Year&gt;2006&lt;/Year&gt;&lt;RecNum&gt;287&lt;/RecNum&gt;&lt;DisplayText&gt;[127]&lt;/DisplayText&gt;&lt;record&gt;&lt;rec-number&gt;287&lt;/rec-number&gt;&lt;foreign-keys&gt;&lt;key app="EN" db-id="tdtrdw9aepptzbefsat599syza29sxsd2wsp" timestamp="1611700753"&gt;287&lt;/key&gt;&lt;/foreign-keys&gt;&lt;ref-type name="Journal Article"&gt;17&lt;/ref-type&gt;&lt;contributors&gt;&lt;authors&gt;&lt;author&gt;Beard, J.&lt;/author&gt;&lt;author&gt;Rowell, D.&lt;/author&gt;&lt;author&gt;Scott, D.&lt;/author&gt;&lt;author&gt;van Beurden, E.&lt;/author&gt;&lt;author&gt;Barnett, L.&lt;/author&gt;&lt;author&gt;Hughes, K.&lt;/author&gt;&lt;author&gt;Newman, B.&lt;/author&gt;&lt;/authors&gt;&lt;/contributors&gt;&lt;auth-address&gt;Northern Rivers University Department of Rural Health, University of Sydney, Southern Cross University, PO Box 3074, Lismore NSW 2480, Australia. jbeard@med.usyd.edu.au&lt;/auth-address&gt;&lt;titles&gt;&lt;title&gt;Economic analysis of a community-based falls prevention program&lt;/title&gt;&lt;secondary-title&gt;Public Health&lt;/secondary-title&gt;&lt;/titles&gt;&lt;periodical&gt;&lt;full-title&gt;Public Health&lt;/full-title&gt;&lt;/periodical&gt;&lt;pages&gt;742-51&lt;/pages&gt;&lt;volume&gt;120&lt;/volume&gt;&lt;number&gt;8&lt;/number&gt;&lt;keywords&gt;&lt;keyword&gt;Accidental Falls/*prevention &amp;amp; control&lt;/keyword&gt;&lt;keyword&gt;Aged&lt;/keyword&gt;&lt;keyword&gt;Community Health Services/*economics&lt;/keyword&gt;&lt;keyword&gt;Cost-Benefit Analysis&lt;/keyword&gt;&lt;keyword&gt;Health Promotion/economics/methods&lt;/keyword&gt;&lt;keyword&gt;Hospitalization/economics&lt;/keyword&gt;&lt;keyword&gt;Humans&lt;/keyword&gt;&lt;/keywords&gt;&lt;dates&gt;&lt;year&gt;2006&lt;/year&gt;&lt;pub-dates&gt;&lt;date&gt;Aug&lt;/date&gt;&lt;/pub-dates&gt;&lt;/dates&gt;&lt;isbn&gt;0033-3506 (Print)&amp;#xD;0033-3506 (Linking)&lt;/isbn&gt;&lt;accession-num&gt;16824563&lt;/accession-num&gt;&lt;urls&gt;&lt;related-urls&gt;&lt;url&gt;https://www.ncbi.nlm.nih.gov/pubmed/16824563&lt;/url&gt;&lt;/related-urls&gt;&lt;/urls&gt;&lt;electronic-resource-num&gt;10.1016/j.puhe.2006.04.011&lt;/electronic-resource-num&gt;&lt;/record&gt;&lt;/Cite&gt;&lt;/EndNote&gt;</w:instrText>
      </w:r>
      <w:r w:rsidR="00D1105D" w:rsidRPr="004C78D8">
        <w:fldChar w:fldCharType="separate"/>
      </w:r>
      <w:r w:rsidR="00D1105D" w:rsidRPr="004C78D8">
        <w:rPr>
          <w:noProof/>
        </w:rPr>
        <w:t>[127]</w:t>
      </w:r>
      <w:r w:rsidR="00D1105D" w:rsidRPr="004C78D8">
        <w:fldChar w:fldCharType="end"/>
      </w:r>
      <w:r w:rsidR="00D1105D" w:rsidRPr="004C78D8">
        <w:t xml:space="preserve">. </w:t>
      </w:r>
      <w:r w:rsidR="004811C7" w:rsidRPr="004C78D8">
        <w:t xml:space="preserve">Static models excluded within-simulation time progression </w:t>
      </w:r>
      <w:r w:rsidR="00096FF7" w:rsidRPr="004C78D8">
        <w:t xml:space="preserve">(e.g., time </w:t>
      </w:r>
      <w:r w:rsidR="004811C7" w:rsidRPr="004C78D8">
        <w:t>cycl</w:t>
      </w:r>
      <w:r w:rsidR="00096FF7" w:rsidRPr="004C78D8">
        <w:t>es</w:t>
      </w:r>
      <w:r w:rsidR="004811C7" w:rsidRPr="004C78D8">
        <w:t xml:space="preserve"> in Markov models</w:t>
      </w:r>
      <w:r w:rsidR="00096FF7" w:rsidRPr="004C78D8">
        <w:t>)</w:t>
      </w:r>
      <w:r w:rsidR="004811C7" w:rsidRPr="004C78D8">
        <w:t xml:space="preserve">. </w:t>
      </w:r>
      <w:r w:rsidRPr="004C78D8">
        <w:t xml:space="preserve">All static models except Smith (2016) were decision trees; Smith (2016) compared several falls risk cut-off levels </w:t>
      </w:r>
      <w:r w:rsidR="004811C7" w:rsidRPr="004C78D8">
        <w:t xml:space="preserve">(i.e., non-binary) </w:t>
      </w:r>
      <w:r w:rsidRPr="004C78D8">
        <w:t xml:space="preserve">without time </w:t>
      </w:r>
      <w:r w:rsidR="00096FF7" w:rsidRPr="004C78D8">
        <w:t>progression</w:t>
      </w:r>
      <w:r w:rsidRPr="004C78D8">
        <w:t xml:space="preserve">. Model time horizon varied between one year and lifetime. Seventeen of 23 Markov models adopted lifetime horizons. A significant number of studies cited short time horizon as a limitation of their analyses </w:t>
      </w:r>
      <w:r w:rsidRPr="004C78D8">
        <w:fldChar w:fldCharType="begin">
          <w:fldData xml:space="preserve">PEVuZE5vdGU+PENpdGU+PEF1dGhvcj5BbGJlcnQ8L0F1dGhvcj48WWVhcj4yMDE2PC9ZZWFyPjxS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</w:fldData>
        </w:fldChar>
      </w:r>
      <w:r w:rsidR="00C630FC" w:rsidRPr="004C78D8">
        <w:instrText xml:space="preserve"> ADDIN EN.CITE </w:instrText>
      </w:r>
      <w:r w:rsidR="00C630FC" w:rsidRPr="004C78D8">
        <w:fldChar w:fldCharType="begin">
          <w:fldData xml:space="preserve">PEVuZE5vdGU+PENpdGU+PEF1dGhvcj5BbGJlcnQ8L0F1dGhvcj48WWVhcj4yMDE2PC9ZZWFyPjxS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[127, 167, 200, 207, 216, 335, 338, 345, 353-356]</w:t>
      </w:r>
      <w:r w:rsidRPr="004C78D8">
        <w:fldChar w:fldCharType="end"/>
      </w:r>
      <w:r w:rsidRPr="004C78D8">
        <w:t>. Hektoen (2009), for example, noted that the short horizon would prioritise secondary over primary prevention since recurrent falls are more frequent in the short run.</w:t>
      </w:r>
    </w:p>
    <w:p w14:paraId="2808AE49" w14:textId="77777777" w:rsidR="00DF6589" w:rsidRPr="004C78D8" w:rsidRDefault="00DF6589" w:rsidP="00FB7C1F"/>
    <w:p w14:paraId="5CF81DF1" w14:textId="77777777" w:rsidR="00F94244" w:rsidRPr="004C78D8" w:rsidRDefault="00F94244" w:rsidP="00FB7C1F"/>
    <w:p w14:paraId="20EFB54A" w14:textId="77777777" w:rsidR="009A0668" w:rsidRPr="004C78D8" w:rsidRDefault="009A0668" w:rsidP="00FB7C1F"/>
    <w:p w14:paraId="3134F8A5" w14:textId="77777777" w:rsidR="00F520F3" w:rsidRPr="004C78D8" w:rsidRDefault="00F520F3" w:rsidP="00FB7C1F">
      <w:pPr>
        <w:sectPr w:rsidR="00F520F3" w:rsidRPr="004C78D8">
          <w:pgSz w:w="11906" w:h="16838"/>
          <w:pgMar w:top="1440" w:right="1440" w:bottom="1440" w:left="1440" w:header="708" w:footer="708" w:gutter="0"/>
          <w:cols w:space="708"/>
          <w:docGrid w:linePitch="360"/>
        </w:sectPr>
      </w:pPr>
    </w:p>
    <w:tbl>
      <w:tblPr>
        <w:tblStyle w:val="TableGrid"/>
        <w:tblW w:w="5000" w:type="pct"/>
        <w:tblLook w:val="04A0" w:firstRow="1" w:lastRow="0" w:firstColumn="1" w:lastColumn="0" w:noHBand="0" w:noVBand="1"/>
      </w:tblPr>
      <w:tblGrid>
        <w:gridCol w:w="417"/>
        <w:gridCol w:w="1269"/>
        <w:gridCol w:w="1372"/>
        <w:gridCol w:w="2650"/>
        <w:gridCol w:w="895"/>
        <w:gridCol w:w="1386"/>
        <w:gridCol w:w="2656"/>
        <w:gridCol w:w="1264"/>
        <w:gridCol w:w="990"/>
        <w:gridCol w:w="1049"/>
      </w:tblGrid>
      <w:tr w:rsidR="00F94244" w:rsidRPr="004C78D8" w14:paraId="7CCAF563" w14:textId="77777777" w:rsidTr="002828C1">
        <w:tc>
          <w:tcPr>
            <w:tcW w:w="5000" w:type="pct"/>
            <w:gridSpan w:val="10"/>
            <w:tcBorders>
              <w:bottom w:val="single" w:sz="4" w:space="0" w:color="auto"/>
            </w:tcBorders>
          </w:tcPr>
          <w:p w14:paraId="0FC7BDD9" w14:textId="7C5EA56A" w:rsidR="00F94244" w:rsidRPr="004C78D8" w:rsidRDefault="00F94244" w:rsidP="00FB7C1F">
            <w:pPr>
              <w:rPr>
                <w:sz w:val="18"/>
                <w:szCs w:val="18"/>
              </w:rPr>
            </w:pPr>
            <w:r w:rsidRPr="004C78D8">
              <w:rPr>
                <w:b/>
                <w:bCs/>
              </w:rPr>
              <w:lastRenderedPageBreak/>
              <w:t xml:space="preserve">Table </w:t>
            </w:r>
            <w:r w:rsidR="00891C73" w:rsidRPr="004C78D8">
              <w:rPr>
                <w:b/>
                <w:bCs/>
              </w:rPr>
              <w:t>4</w:t>
            </w:r>
            <w:r w:rsidR="000426C4" w:rsidRPr="004C78D8">
              <w:rPr>
                <w:b/>
                <w:bCs/>
              </w:rPr>
              <w:t>.</w:t>
            </w:r>
            <w:r w:rsidRPr="004C78D8">
              <w:rPr>
                <w:b/>
                <w:bCs/>
              </w:rPr>
              <w:t>2</w:t>
            </w:r>
            <w:r w:rsidRPr="004C78D8">
              <w:t xml:space="preserve"> Overview and quality score of included </w:t>
            </w:r>
            <w:r w:rsidR="000426C4" w:rsidRPr="004C78D8">
              <w:t xml:space="preserve">falls prevention </w:t>
            </w:r>
            <w:r w:rsidRPr="004C78D8">
              <w:t>decision models</w:t>
            </w:r>
            <w:r w:rsidR="000426C4" w:rsidRPr="004C78D8">
              <w:t>.</w:t>
            </w:r>
          </w:p>
        </w:tc>
      </w:tr>
      <w:tr w:rsidR="00F94244" w:rsidRPr="004C78D8" w14:paraId="0C0B0AD3" w14:textId="77777777" w:rsidTr="002828C1">
        <w:tc>
          <w:tcPr>
            <w:tcW w:w="149" w:type="pct"/>
            <w:tcBorders>
              <w:bottom w:val="single" w:sz="4" w:space="0" w:color="auto"/>
              <w:right w:val="nil"/>
            </w:tcBorders>
          </w:tcPr>
          <w:p w14:paraId="1134C2B7" w14:textId="77777777" w:rsidR="00F94244" w:rsidRPr="004C78D8" w:rsidRDefault="00F94244" w:rsidP="00FB7C1F">
            <w:pPr>
              <w:jc w:val="left"/>
              <w:rPr>
                <w:b/>
                <w:bCs/>
                <w:sz w:val="18"/>
                <w:szCs w:val="18"/>
              </w:rPr>
            </w:pPr>
            <w:r w:rsidRPr="004C78D8">
              <w:rPr>
                <w:b/>
                <w:bCs/>
                <w:sz w:val="18"/>
                <w:szCs w:val="18"/>
              </w:rPr>
              <w:t>#</w:t>
            </w:r>
          </w:p>
        </w:tc>
        <w:tc>
          <w:tcPr>
            <w:tcW w:w="455" w:type="pct"/>
            <w:tcBorders>
              <w:left w:val="nil"/>
              <w:bottom w:val="single" w:sz="4" w:space="0" w:color="auto"/>
              <w:right w:val="nil"/>
            </w:tcBorders>
          </w:tcPr>
          <w:p w14:paraId="301EA1C0" w14:textId="77777777" w:rsidR="00F94244" w:rsidRPr="004C78D8" w:rsidRDefault="00F94244" w:rsidP="00FB7C1F">
            <w:pPr>
              <w:jc w:val="left"/>
              <w:rPr>
                <w:b/>
                <w:bCs/>
                <w:sz w:val="18"/>
                <w:szCs w:val="18"/>
              </w:rPr>
            </w:pPr>
            <w:r w:rsidRPr="004C78D8">
              <w:rPr>
                <w:b/>
                <w:bCs/>
                <w:sz w:val="18"/>
                <w:szCs w:val="18"/>
              </w:rPr>
              <w:t>Reference</w:t>
            </w:r>
          </w:p>
        </w:tc>
        <w:tc>
          <w:tcPr>
            <w:tcW w:w="492" w:type="pct"/>
            <w:tcBorders>
              <w:left w:val="nil"/>
              <w:bottom w:val="single" w:sz="4" w:space="0" w:color="auto"/>
              <w:right w:val="nil"/>
            </w:tcBorders>
          </w:tcPr>
          <w:p w14:paraId="2230103A" w14:textId="77777777" w:rsidR="00F94244" w:rsidRPr="004C78D8" w:rsidRDefault="00F94244" w:rsidP="00FB7C1F">
            <w:pPr>
              <w:jc w:val="left"/>
              <w:rPr>
                <w:b/>
                <w:bCs/>
                <w:sz w:val="18"/>
                <w:szCs w:val="18"/>
              </w:rPr>
            </w:pPr>
            <w:r w:rsidRPr="004C78D8">
              <w:rPr>
                <w:b/>
                <w:bCs/>
                <w:sz w:val="18"/>
                <w:szCs w:val="18"/>
              </w:rPr>
              <w:t>Setting</w:t>
            </w:r>
          </w:p>
        </w:tc>
        <w:tc>
          <w:tcPr>
            <w:tcW w:w="950" w:type="pct"/>
            <w:tcBorders>
              <w:left w:val="nil"/>
              <w:bottom w:val="single" w:sz="4" w:space="0" w:color="auto"/>
              <w:right w:val="nil"/>
            </w:tcBorders>
          </w:tcPr>
          <w:p w14:paraId="28EB53DE" w14:textId="77777777" w:rsidR="00F94244" w:rsidRPr="004C78D8" w:rsidRDefault="00F94244" w:rsidP="00FB7C1F">
            <w:pPr>
              <w:jc w:val="left"/>
              <w:rPr>
                <w:b/>
                <w:bCs/>
                <w:sz w:val="18"/>
                <w:szCs w:val="18"/>
              </w:rPr>
            </w:pPr>
            <w:r w:rsidRPr="004C78D8">
              <w:rPr>
                <w:b/>
                <w:bCs/>
                <w:sz w:val="18"/>
                <w:szCs w:val="18"/>
              </w:rPr>
              <w:t>Target population</w:t>
            </w:r>
          </w:p>
        </w:tc>
        <w:tc>
          <w:tcPr>
            <w:tcW w:w="321" w:type="pct"/>
            <w:tcBorders>
              <w:left w:val="nil"/>
              <w:bottom w:val="single" w:sz="4" w:space="0" w:color="auto"/>
              <w:right w:val="nil"/>
            </w:tcBorders>
          </w:tcPr>
          <w:p w14:paraId="66FD3A79" w14:textId="77777777" w:rsidR="00F94244" w:rsidRPr="004C78D8" w:rsidRDefault="00F94244" w:rsidP="00FB7C1F">
            <w:pPr>
              <w:jc w:val="left"/>
              <w:rPr>
                <w:b/>
                <w:bCs/>
                <w:sz w:val="18"/>
                <w:szCs w:val="18"/>
              </w:rPr>
            </w:pPr>
            <w:r w:rsidRPr="004C78D8">
              <w:rPr>
                <w:b/>
                <w:bCs/>
                <w:sz w:val="18"/>
                <w:szCs w:val="18"/>
              </w:rPr>
              <w:t>Type of analysis</w:t>
            </w:r>
          </w:p>
        </w:tc>
        <w:tc>
          <w:tcPr>
            <w:tcW w:w="497" w:type="pct"/>
            <w:tcBorders>
              <w:left w:val="nil"/>
              <w:bottom w:val="single" w:sz="4" w:space="0" w:color="auto"/>
              <w:right w:val="nil"/>
            </w:tcBorders>
          </w:tcPr>
          <w:p w14:paraId="1BB91118" w14:textId="77777777" w:rsidR="00F94244" w:rsidRPr="004C78D8" w:rsidRDefault="00F94244" w:rsidP="00FB7C1F">
            <w:pPr>
              <w:jc w:val="left"/>
              <w:rPr>
                <w:b/>
                <w:bCs/>
                <w:sz w:val="18"/>
                <w:szCs w:val="18"/>
              </w:rPr>
            </w:pPr>
            <w:r w:rsidRPr="004C78D8">
              <w:rPr>
                <w:b/>
                <w:bCs/>
                <w:sz w:val="18"/>
                <w:szCs w:val="18"/>
              </w:rPr>
              <w:t>Perspective</w:t>
            </w:r>
          </w:p>
        </w:tc>
        <w:tc>
          <w:tcPr>
            <w:tcW w:w="952" w:type="pct"/>
            <w:tcBorders>
              <w:left w:val="nil"/>
              <w:bottom w:val="single" w:sz="4" w:space="0" w:color="auto"/>
              <w:right w:val="nil"/>
            </w:tcBorders>
          </w:tcPr>
          <w:p w14:paraId="25D19718" w14:textId="77777777" w:rsidR="00F94244" w:rsidRPr="004C78D8" w:rsidRDefault="00F94244" w:rsidP="00FB7C1F">
            <w:pPr>
              <w:jc w:val="left"/>
              <w:rPr>
                <w:b/>
                <w:bCs/>
                <w:sz w:val="18"/>
                <w:szCs w:val="18"/>
              </w:rPr>
            </w:pPr>
            <w:r w:rsidRPr="004C78D8">
              <w:rPr>
                <w:b/>
                <w:bCs/>
                <w:sz w:val="18"/>
                <w:szCs w:val="18"/>
              </w:rPr>
              <w:t>Intervention type [comparator]</w:t>
            </w:r>
          </w:p>
        </w:tc>
        <w:tc>
          <w:tcPr>
            <w:tcW w:w="453" w:type="pct"/>
            <w:tcBorders>
              <w:left w:val="nil"/>
              <w:bottom w:val="single" w:sz="4" w:space="0" w:color="auto"/>
              <w:right w:val="nil"/>
            </w:tcBorders>
          </w:tcPr>
          <w:p w14:paraId="749E313B" w14:textId="77777777" w:rsidR="00F94244" w:rsidRPr="004C78D8" w:rsidRDefault="00F94244" w:rsidP="00FB7C1F">
            <w:pPr>
              <w:jc w:val="left"/>
              <w:rPr>
                <w:b/>
                <w:bCs/>
                <w:sz w:val="18"/>
                <w:szCs w:val="18"/>
              </w:rPr>
            </w:pPr>
            <w:r w:rsidRPr="004C78D8">
              <w:rPr>
                <w:b/>
                <w:bCs/>
                <w:sz w:val="18"/>
                <w:szCs w:val="18"/>
              </w:rPr>
              <w:t>Model type</w:t>
            </w:r>
          </w:p>
        </w:tc>
        <w:tc>
          <w:tcPr>
            <w:tcW w:w="355" w:type="pct"/>
            <w:tcBorders>
              <w:left w:val="nil"/>
              <w:bottom w:val="single" w:sz="4" w:space="0" w:color="auto"/>
              <w:right w:val="nil"/>
            </w:tcBorders>
          </w:tcPr>
          <w:p w14:paraId="73D3A981" w14:textId="77777777" w:rsidR="00F94244" w:rsidRPr="004C78D8" w:rsidRDefault="00F94244" w:rsidP="00FB7C1F">
            <w:pPr>
              <w:jc w:val="left"/>
              <w:rPr>
                <w:b/>
                <w:bCs/>
                <w:sz w:val="18"/>
                <w:szCs w:val="18"/>
              </w:rPr>
            </w:pPr>
            <w:r w:rsidRPr="004C78D8">
              <w:rPr>
                <w:b/>
                <w:bCs/>
                <w:sz w:val="18"/>
                <w:szCs w:val="18"/>
              </w:rPr>
              <w:t>Time horizon</w:t>
            </w:r>
          </w:p>
        </w:tc>
        <w:tc>
          <w:tcPr>
            <w:tcW w:w="377" w:type="pct"/>
            <w:tcBorders>
              <w:left w:val="nil"/>
              <w:bottom w:val="single" w:sz="4" w:space="0" w:color="auto"/>
            </w:tcBorders>
          </w:tcPr>
          <w:p w14:paraId="1A1AAA7C" w14:textId="4BCF5FE3" w:rsidR="00F94244" w:rsidRPr="004C78D8" w:rsidRDefault="00F94244" w:rsidP="00FB7C1F">
            <w:pPr>
              <w:jc w:val="left"/>
              <w:rPr>
                <w:b/>
                <w:bCs/>
                <w:sz w:val="18"/>
                <w:szCs w:val="18"/>
              </w:rPr>
            </w:pPr>
            <w:r w:rsidRPr="004C78D8">
              <w:rPr>
                <w:b/>
                <w:bCs/>
                <w:sz w:val="18"/>
                <w:szCs w:val="18"/>
              </w:rPr>
              <w:t>Checklist quality score</w:t>
            </w:r>
            <w:r w:rsidR="001B3C29" w:rsidRPr="004C78D8">
              <w:rPr>
                <w:b/>
                <w:bCs/>
                <w:sz w:val="18"/>
                <w:szCs w:val="18"/>
                <w:vertAlign w:val="superscript"/>
              </w:rPr>
              <w:t>1</w:t>
            </w:r>
          </w:p>
        </w:tc>
      </w:tr>
      <w:tr w:rsidR="00F94244" w:rsidRPr="004C78D8" w14:paraId="10C25790" w14:textId="77777777" w:rsidTr="002828C1">
        <w:tc>
          <w:tcPr>
            <w:tcW w:w="149" w:type="pct"/>
            <w:tcBorders>
              <w:bottom w:val="nil"/>
              <w:right w:val="nil"/>
            </w:tcBorders>
          </w:tcPr>
          <w:p w14:paraId="1EAB07D6" w14:textId="77777777" w:rsidR="00F94244" w:rsidRPr="004C78D8" w:rsidRDefault="00F94244" w:rsidP="00FB7C1F">
            <w:pPr>
              <w:jc w:val="left"/>
              <w:rPr>
                <w:sz w:val="18"/>
                <w:szCs w:val="18"/>
              </w:rPr>
            </w:pPr>
            <w:r w:rsidRPr="004C78D8">
              <w:rPr>
                <w:sz w:val="18"/>
                <w:szCs w:val="18"/>
              </w:rPr>
              <w:t>1</w:t>
            </w:r>
          </w:p>
        </w:tc>
        <w:tc>
          <w:tcPr>
            <w:tcW w:w="455" w:type="pct"/>
            <w:tcBorders>
              <w:left w:val="nil"/>
              <w:bottom w:val="nil"/>
              <w:right w:val="nil"/>
            </w:tcBorders>
          </w:tcPr>
          <w:p w14:paraId="225865A6" w14:textId="43FD901F" w:rsidR="00F94244" w:rsidRPr="004C78D8" w:rsidRDefault="00F94244" w:rsidP="00FB7C1F">
            <w:pPr>
              <w:jc w:val="left"/>
              <w:rPr>
                <w:sz w:val="18"/>
                <w:szCs w:val="18"/>
              </w:rPr>
            </w:pPr>
            <w:r w:rsidRPr="004C78D8">
              <w:rPr>
                <w:sz w:val="18"/>
                <w:szCs w:val="18"/>
              </w:rPr>
              <w:t xml:space="preserve">Agartioglu (2020) </w:t>
            </w:r>
            <w:r w:rsidRPr="004C78D8">
              <w:rPr>
                <w:sz w:val="18"/>
                <w:szCs w:val="18"/>
              </w:rPr>
              <w:fldChar w:fldCharType="begin"/>
            </w:r>
            <w:r w:rsidR="00C630FC" w:rsidRPr="004C78D8">
              <w:rPr>
                <w:sz w:val="18"/>
                <w:szCs w:val="18"/>
              </w:rPr>
              <w:instrText xml:space="preserve"> ADDIN EN.CITE &lt;EndNote&gt;&lt;Cite&gt;&lt;Author&gt;Agartioglu Kundakci&lt;/Author&gt;&lt;Year&gt;2020&lt;/Year&gt;&lt;RecNum&gt;370&lt;/RecNum&gt;&lt;DisplayText&gt;[357]&lt;/DisplayText&gt;&lt;record&gt;&lt;rec-number&gt;370&lt;/rec-number&gt;&lt;foreign-keys&gt;&lt;key app="EN" db-id="tdtrdw9aepptzbefsat599syza29sxsd2wsp" timestamp="1612617800"&gt;370&lt;/key&gt;&lt;/foreign-keys&gt;&lt;ref-type name="Journal Article"&gt;17&lt;/ref-type&gt;&lt;contributors&gt;&lt;authors&gt;&lt;author&gt;Agartioglu Kundakci, Gamze&lt;/author&gt;&lt;author&gt;Yilmaz, Medine&lt;/author&gt;&lt;author&gt;Sozmen, Melih Kaan&lt;/author&gt;&lt;/authors&gt;&lt;/contributors&gt;&lt;titles&gt;&lt;title&gt;Determination of the costs of falls in the older people according to the decision tree model&lt;/title&gt;&lt;secondary-title&gt;Archives of Gerontology and Geriatrics&lt;/secondary-title&gt;&lt;/titles&gt;&lt;periodical&gt;&lt;full-title&gt;Archives of gerontology and geriatrics&lt;/full-title&gt;&lt;/periodical&gt;&lt;pages&gt;104007&lt;/pages&gt;&lt;volume&gt;87&lt;/volume&gt;&lt;section&gt;Agartioglu Kundakci, Gamze. Department of Public Health Nursing, Izmir Katip Celebi University, Balatcik Campus, 35620, Izmir, Turkey. Electronic address: gamze.kundakci@ikcu.edu.tr.&amp;#xD;Yilmaz, Medine. Department of Public Health Nursing, Izmir Katip Celebi University, Turkey.&amp;#xD;Sozmen, Melih Kaan. Department of Public Health, Izmir Katip Celebi University, Turkey.&lt;/section&gt;&lt;keywords&gt;&lt;keyword&gt;Accidental Falls/ec [Economics]&lt;/keyword&gt;&lt;keyword&gt;*Accidental Falls/pc [Prevention &amp;amp; Control]&lt;/keyword&gt;&lt;keyword&gt;Aged&lt;/keyword&gt;&lt;keyword&gt;Aged, 80 and over&lt;/keyword&gt;&lt;keyword&gt;Cost-Benefit Analysis&lt;/keyword&gt;&lt;keyword&gt;Decision Trees&lt;/keyword&gt;&lt;keyword&gt;Female&lt;/keyword&gt;&lt;keyword&gt;*Health Care Costs&lt;/keyword&gt;&lt;keyword&gt;Humans&lt;/keyword&gt;&lt;keyword&gt;Male&lt;/keyword&gt;&lt;/keywords&gt;&lt;dates&gt;&lt;year&gt;2020&lt;/year&gt;&lt;/dates&gt;&lt;pub-location&gt;Netherlands&lt;/pub-location&gt;&lt;isbn&gt;1872-6976&amp;#xD;0167-4943&lt;/isbn&gt;&lt;urls&gt;&lt;related-urls&gt;&lt;url&gt;http://ovidsp.ovid.com/ovidweb.cgi?T=JS&amp;amp;PAGE=reference&amp;amp;D=medl&amp;amp;NEWS=N&amp;amp;AN=31901457&lt;/url&gt;&lt;/related-urls&gt;&lt;/urls&gt;&lt;electronic-resource-num&gt;https://dx.doi.org/10.1016/j.archger.2019.104007&lt;/electronic-resource-num&gt;&lt;remote-database-name&gt;Medline&lt;/remote-database-name&gt;&lt;/record&gt;&lt;/Cite&gt;&lt;/EndNote&gt;</w:instrText>
            </w:r>
            <w:r w:rsidRPr="004C78D8">
              <w:rPr>
                <w:sz w:val="18"/>
                <w:szCs w:val="18"/>
              </w:rPr>
              <w:fldChar w:fldCharType="separate"/>
            </w:r>
            <w:r w:rsidR="00C630FC" w:rsidRPr="004C78D8">
              <w:rPr>
                <w:noProof/>
                <w:sz w:val="18"/>
                <w:szCs w:val="18"/>
              </w:rPr>
              <w:t>[357]</w:t>
            </w:r>
            <w:r w:rsidRPr="004C78D8">
              <w:rPr>
                <w:sz w:val="18"/>
                <w:szCs w:val="18"/>
              </w:rPr>
              <w:fldChar w:fldCharType="end"/>
            </w:r>
          </w:p>
        </w:tc>
        <w:tc>
          <w:tcPr>
            <w:tcW w:w="492" w:type="pct"/>
            <w:tcBorders>
              <w:left w:val="nil"/>
              <w:bottom w:val="nil"/>
              <w:right w:val="nil"/>
            </w:tcBorders>
          </w:tcPr>
          <w:p w14:paraId="34406108" w14:textId="77777777" w:rsidR="00F94244" w:rsidRPr="004C78D8" w:rsidRDefault="00F94244" w:rsidP="00FB7C1F">
            <w:pPr>
              <w:jc w:val="left"/>
              <w:rPr>
                <w:sz w:val="18"/>
                <w:szCs w:val="18"/>
              </w:rPr>
            </w:pPr>
            <w:r w:rsidRPr="004C78D8">
              <w:rPr>
                <w:sz w:val="18"/>
                <w:szCs w:val="18"/>
              </w:rPr>
              <w:t>Turkey, Izmir</w:t>
            </w:r>
          </w:p>
        </w:tc>
        <w:tc>
          <w:tcPr>
            <w:tcW w:w="950" w:type="pct"/>
            <w:tcBorders>
              <w:left w:val="nil"/>
              <w:bottom w:val="nil"/>
              <w:right w:val="nil"/>
            </w:tcBorders>
          </w:tcPr>
          <w:p w14:paraId="24D72D93" w14:textId="77777777" w:rsidR="00F94244" w:rsidRPr="004C78D8" w:rsidRDefault="00F94244" w:rsidP="00FB7C1F">
            <w:pPr>
              <w:jc w:val="left"/>
              <w:rPr>
                <w:sz w:val="18"/>
                <w:szCs w:val="18"/>
              </w:rPr>
            </w:pPr>
            <w:r w:rsidRPr="004C78D8">
              <w:rPr>
                <w:sz w:val="18"/>
                <w:szCs w:val="18"/>
              </w:rPr>
              <w:t>CD adults aged 65+</w:t>
            </w:r>
          </w:p>
        </w:tc>
        <w:tc>
          <w:tcPr>
            <w:tcW w:w="321" w:type="pct"/>
            <w:tcBorders>
              <w:left w:val="nil"/>
              <w:bottom w:val="nil"/>
              <w:right w:val="nil"/>
            </w:tcBorders>
          </w:tcPr>
          <w:p w14:paraId="6DFC26AF" w14:textId="77777777" w:rsidR="00F94244" w:rsidRPr="004C78D8" w:rsidRDefault="00F94244" w:rsidP="00FB7C1F">
            <w:pPr>
              <w:jc w:val="left"/>
              <w:rPr>
                <w:sz w:val="18"/>
                <w:szCs w:val="18"/>
              </w:rPr>
            </w:pPr>
            <w:r w:rsidRPr="004C78D8">
              <w:rPr>
                <w:sz w:val="18"/>
                <w:szCs w:val="18"/>
              </w:rPr>
              <w:t>CEA</w:t>
            </w:r>
          </w:p>
        </w:tc>
        <w:tc>
          <w:tcPr>
            <w:tcW w:w="497" w:type="pct"/>
            <w:tcBorders>
              <w:left w:val="nil"/>
              <w:bottom w:val="nil"/>
              <w:right w:val="nil"/>
            </w:tcBorders>
          </w:tcPr>
          <w:p w14:paraId="7D64EFF2" w14:textId="77777777" w:rsidR="00F94244" w:rsidRPr="004C78D8" w:rsidRDefault="00F94244" w:rsidP="00FB7C1F">
            <w:pPr>
              <w:jc w:val="left"/>
              <w:rPr>
                <w:sz w:val="18"/>
                <w:szCs w:val="18"/>
              </w:rPr>
            </w:pPr>
            <w:r w:rsidRPr="004C78D8">
              <w:rPr>
                <w:sz w:val="18"/>
                <w:szCs w:val="18"/>
              </w:rPr>
              <w:t>Public sector</w:t>
            </w:r>
          </w:p>
        </w:tc>
        <w:tc>
          <w:tcPr>
            <w:tcW w:w="952" w:type="pct"/>
            <w:tcBorders>
              <w:left w:val="nil"/>
              <w:bottom w:val="nil"/>
              <w:right w:val="nil"/>
            </w:tcBorders>
          </w:tcPr>
          <w:p w14:paraId="2456182B" w14:textId="77777777" w:rsidR="00F94244" w:rsidRPr="004C78D8" w:rsidRDefault="00F94244" w:rsidP="00FB7C1F">
            <w:pPr>
              <w:jc w:val="left"/>
              <w:rPr>
                <w:sz w:val="18"/>
                <w:szCs w:val="18"/>
              </w:rPr>
            </w:pPr>
            <w:r w:rsidRPr="004C78D8">
              <w:rPr>
                <w:sz w:val="18"/>
                <w:szCs w:val="18"/>
              </w:rPr>
              <w:t>HAM [UC]</w:t>
            </w:r>
          </w:p>
        </w:tc>
        <w:tc>
          <w:tcPr>
            <w:tcW w:w="453" w:type="pct"/>
            <w:tcBorders>
              <w:left w:val="nil"/>
              <w:bottom w:val="nil"/>
              <w:right w:val="nil"/>
            </w:tcBorders>
          </w:tcPr>
          <w:p w14:paraId="15E9E9D6" w14:textId="77777777" w:rsidR="00F94244" w:rsidRPr="004C78D8" w:rsidRDefault="00F94244" w:rsidP="00FB7C1F">
            <w:pPr>
              <w:jc w:val="left"/>
              <w:rPr>
                <w:sz w:val="18"/>
                <w:szCs w:val="18"/>
              </w:rPr>
            </w:pPr>
            <w:r w:rsidRPr="004C78D8">
              <w:rPr>
                <w:sz w:val="18"/>
                <w:szCs w:val="18"/>
              </w:rPr>
              <w:t>DT</w:t>
            </w:r>
          </w:p>
        </w:tc>
        <w:tc>
          <w:tcPr>
            <w:tcW w:w="355" w:type="pct"/>
            <w:tcBorders>
              <w:left w:val="nil"/>
              <w:bottom w:val="nil"/>
              <w:right w:val="nil"/>
            </w:tcBorders>
          </w:tcPr>
          <w:p w14:paraId="49BC83C5" w14:textId="77777777" w:rsidR="00F94244" w:rsidRPr="004C78D8" w:rsidRDefault="00F94244" w:rsidP="00FB7C1F">
            <w:pPr>
              <w:jc w:val="left"/>
              <w:rPr>
                <w:sz w:val="18"/>
                <w:szCs w:val="18"/>
              </w:rPr>
            </w:pPr>
            <w:r w:rsidRPr="004C78D8">
              <w:rPr>
                <w:sz w:val="18"/>
                <w:szCs w:val="18"/>
              </w:rPr>
              <w:t>1 year</w:t>
            </w:r>
          </w:p>
        </w:tc>
        <w:tc>
          <w:tcPr>
            <w:tcW w:w="377" w:type="pct"/>
            <w:tcBorders>
              <w:left w:val="nil"/>
              <w:bottom w:val="nil"/>
            </w:tcBorders>
          </w:tcPr>
          <w:p w14:paraId="6017EBEA" w14:textId="77777777" w:rsidR="00F94244" w:rsidRPr="004C78D8" w:rsidRDefault="00F94244" w:rsidP="00FB7C1F">
            <w:pPr>
              <w:jc w:val="left"/>
              <w:rPr>
                <w:sz w:val="18"/>
                <w:szCs w:val="18"/>
              </w:rPr>
            </w:pPr>
            <w:r w:rsidRPr="004C78D8">
              <w:rPr>
                <w:sz w:val="18"/>
                <w:szCs w:val="18"/>
              </w:rPr>
              <w:t>22</w:t>
            </w:r>
          </w:p>
        </w:tc>
      </w:tr>
      <w:tr w:rsidR="00F94244" w:rsidRPr="004C78D8" w14:paraId="66FE3BFA" w14:textId="77777777" w:rsidTr="002828C1">
        <w:tc>
          <w:tcPr>
            <w:tcW w:w="149" w:type="pct"/>
            <w:tcBorders>
              <w:top w:val="nil"/>
              <w:bottom w:val="nil"/>
              <w:right w:val="nil"/>
            </w:tcBorders>
          </w:tcPr>
          <w:p w14:paraId="0AA5E3D7" w14:textId="77777777" w:rsidR="00F94244" w:rsidRPr="004C78D8" w:rsidRDefault="00F94244" w:rsidP="00FB7C1F">
            <w:pPr>
              <w:jc w:val="left"/>
              <w:rPr>
                <w:sz w:val="18"/>
                <w:szCs w:val="18"/>
              </w:rPr>
            </w:pPr>
            <w:r w:rsidRPr="004C78D8">
              <w:rPr>
                <w:sz w:val="18"/>
                <w:szCs w:val="18"/>
              </w:rPr>
              <w:t>2</w:t>
            </w:r>
          </w:p>
        </w:tc>
        <w:tc>
          <w:tcPr>
            <w:tcW w:w="455" w:type="pct"/>
            <w:tcBorders>
              <w:top w:val="nil"/>
              <w:left w:val="nil"/>
              <w:bottom w:val="nil"/>
              <w:right w:val="nil"/>
            </w:tcBorders>
          </w:tcPr>
          <w:p w14:paraId="19226F3F" w14:textId="22E2E84A" w:rsidR="00F94244" w:rsidRPr="004C78D8" w:rsidRDefault="00F94244" w:rsidP="00FB7C1F">
            <w:pPr>
              <w:jc w:val="left"/>
              <w:rPr>
                <w:sz w:val="18"/>
                <w:szCs w:val="18"/>
              </w:rPr>
            </w:pPr>
            <w:r w:rsidRPr="004C78D8">
              <w:rPr>
                <w:sz w:val="18"/>
                <w:szCs w:val="18"/>
              </w:rPr>
              <w:t xml:space="preserve">Albert (2016) </w:t>
            </w:r>
            <w:r w:rsidRPr="004C78D8">
              <w:rPr>
                <w:sz w:val="18"/>
                <w:szCs w:val="18"/>
              </w:rPr>
              <w:fldChar w:fldCharType="begin">
                <w:fldData xml:space="preserve">PEVuZE5vdGU+PENpdGU+PEF1dGhvcj5BbGJlcnQ8L0F1dGhvcj48WWVhcj4yMDE2PC9ZZWFyPjxS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==
</w:fldData>
              </w:fldChar>
            </w:r>
            <w:r w:rsidR="00C630FC" w:rsidRPr="004C78D8">
              <w:rPr>
                <w:sz w:val="18"/>
                <w:szCs w:val="18"/>
              </w:rPr>
              <w:instrText xml:space="preserve"> ADDIN EN.CITE </w:instrText>
            </w:r>
            <w:r w:rsidR="00C630FC" w:rsidRPr="004C78D8">
              <w:rPr>
                <w:sz w:val="18"/>
                <w:szCs w:val="18"/>
              </w:rPr>
              <w:fldChar w:fldCharType="begin">
                <w:fldData xml:space="preserve">PEVuZE5vdGU+PENpdGU+PEF1dGhvcj5BbGJlcnQ8L0F1dGhvcj48WWVhcj4yMDE2PC9ZZWFyPjxS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==
</w:fldData>
              </w:fldChar>
            </w:r>
            <w:r w:rsidR="00C630FC" w:rsidRPr="004C78D8">
              <w:rPr>
                <w:sz w:val="18"/>
                <w:szCs w:val="18"/>
              </w:rPr>
              <w:instrText xml:space="preserve"> ADDIN EN.CITE.DATA </w:instrText>
            </w:r>
            <w:r w:rsidR="00C630FC" w:rsidRPr="004C78D8">
              <w:rPr>
                <w:sz w:val="18"/>
                <w:szCs w:val="18"/>
              </w:rPr>
            </w:r>
            <w:r w:rsidR="00C630FC" w:rsidRPr="004C78D8">
              <w:rPr>
                <w:sz w:val="18"/>
                <w:szCs w:val="18"/>
              </w:rPr>
              <w:fldChar w:fldCharType="end"/>
            </w:r>
            <w:r w:rsidRPr="004C78D8">
              <w:rPr>
                <w:sz w:val="18"/>
                <w:szCs w:val="18"/>
              </w:rPr>
            </w:r>
            <w:r w:rsidRPr="004C78D8">
              <w:rPr>
                <w:sz w:val="18"/>
                <w:szCs w:val="18"/>
              </w:rPr>
              <w:fldChar w:fldCharType="separate"/>
            </w:r>
            <w:r w:rsidR="00C630FC" w:rsidRPr="004C78D8">
              <w:rPr>
                <w:noProof/>
                <w:sz w:val="18"/>
                <w:szCs w:val="18"/>
              </w:rPr>
              <w:t>[354]</w:t>
            </w:r>
            <w:r w:rsidRPr="004C78D8">
              <w:rPr>
                <w:sz w:val="18"/>
                <w:szCs w:val="18"/>
              </w:rPr>
              <w:fldChar w:fldCharType="end"/>
            </w:r>
          </w:p>
        </w:tc>
        <w:tc>
          <w:tcPr>
            <w:tcW w:w="492" w:type="pct"/>
            <w:tcBorders>
              <w:top w:val="nil"/>
              <w:left w:val="nil"/>
              <w:bottom w:val="nil"/>
              <w:right w:val="nil"/>
            </w:tcBorders>
          </w:tcPr>
          <w:p w14:paraId="591289F2" w14:textId="77777777" w:rsidR="00F94244" w:rsidRPr="004C78D8" w:rsidRDefault="00F94244" w:rsidP="00FB7C1F">
            <w:pPr>
              <w:jc w:val="left"/>
              <w:rPr>
                <w:sz w:val="18"/>
                <w:szCs w:val="18"/>
              </w:rPr>
            </w:pPr>
            <w:r w:rsidRPr="004C78D8">
              <w:rPr>
                <w:sz w:val="18"/>
                <w:szCs w:val="18"/>
              </w:rPr>
              <w:t>US, Pennsylvania</w:t>
            </w:r>
          </w:p>
        </w:tc>
        <w:tc>
          <w:tcPr>
            <w:tcW w:w="950" w:type="pct"/>
            <w:tcBorders>
              <w:top w:val="nil"/>
              <w:left w:val="nil"/>
              <w:bottom w:val="nil"/>
              <w:right w:val="nil"/>
            </w:tcBorders>
          </w:tcPr>
          <w:p w14:paraId="3742DC63" w14:textId="77777777" w:rsidR="00F94244" w:rsidRPr="004C78D8" w:rsidRDefault="00F94244" w:rsidP="00FB7C1F">
            <w:pPr>
              <w:jc w:val="left"/>
              <w:rPr>
                <w:sz w:val="18"/>
                <w:szCs w:val="18"/>
              </w:rPr>
            </w:pPr>
            <w:r w:rsidRPr="004C78D8">
              <w:rPr>
                <w:sz w:val="18"/>
                <w:szCs w:val="18"/>
              </w:rPr>
              <w:t>CD adults aged 50+ (mean age 75.5)</w:t>
            </w:r>
          </w:p>
        </w:tc>
        <w:tc>
          <w:tcPr>
            <w:tcW w:w="321" w:type="pct"/>
            <w:tcBorders>
              <w:top w:val="nil"/>
              <w:left w:val="nil"/>
              <w:bottom w:val="nil"/>
              <w:right w:val="nil"/>
            </w:tcBorders>
          </w:tcPr>
          <w:p w14:paraId="1B0D82C8" w14:textId="77777777" w:rsidR="00F94244" w:rsidRPr="004C78D8" w:rsidRDefault="00F94244" w:rsidP="00FB7C1F">
            <w:pPr>
              <w:jc w:val="left"/>
              <w:rPr>
                <w:sz w:val="18"/>
                <w:szCs w:val="18"/>
              </w:rPr>
            </w:pPr>
            <w:r w:rsidRPr="004C78D8">
              <w:rPr>
                <w:sz w:val="18"/>
                <w:szCs w:val="18"/>
              </w:rPr>
              <w:t>CUA</w:t>
            </w:r>
          </w:p>
        </w:tc>
        <w:tc>
          <w:tcPr>
            <w:tcW w:w="497" w:type="pct"/>
            <w:tcBorders>
              <w:top w:val="nil"/>
              <w:left w:val="nil"/>
              <w:bottom w:val="nil"/>
              <w:right w:val="nil"/>
            </w:tcBorders>
          </w:tcPr>
          <w:p w14:paraId="705EEAB3" w14:textId="77777777" w:rsidR="00F94244" w:rsidRPr="004C78D8" w:rsidRDefault="00F94244" w:rsidP="00FB7C1F">
            <w:pPr>
              <w:jc w:val="left"/>
              <w:rPr>
                <w:sz w:val="18"/>
                <w:szCs w:val="18"/>
              </w:rPr>
            </w:pPr>
            <w:r w:rsidRPr="004C78D8">
              <w:rPr>
                <w:sz w:val="18"/>
                <w:szCs w:val="18"/>
              </w:rPr>
              <w:t>Public sector</w:t>
            </w:r>
          </w:p>
        </w:tc>
        <w:tc>
          <w:tcPr>
            <w:tcW w:w="952" w:type="pct"/>
            <w:tcBorders>
              <w:top w:val="nil"/>
              <w:left w:val="nil"/>
              <w:bottom w:val="nil"/>
              <w:right w:val="nil"/>
            </w:tcBorders>
          </w:tcPr>
          <w:p w14:paraId="045ED023" w14:textId="77777777" w:rsidR="00F94244" w:rsidRPr="004C78D8" w:rsidRDefault="00F94244" w:rsidP="00FB7C1F">
            <w:pPr>
              <w:jc w:val="left"/>
              <w:rPr>
                <w:sz w:val="18"/>
                <w:szCs w:val="18"/>
              </w:rPr>
            </w:pPr>
            <w:r w:rsidRPr="004C78D8">
              <w:rPr>
                <w:sz w:val="18"/>
                <w:szCs w:val="18"/>
              </w:rPr>
              <w:t>MF int. [UC]</w:t>
            </w:r>
          </w:p>
        </w:tc>
        <w:tc>
          <w:tcPr>
            <w:tcW w:w="453" w:type="pct"/>
            <w:tcBorders>
              <w:top w:val="nil"/>
              <w:left w:val="nil"/>
              <w:bottom w:val="nil"/>
              <w:right w:val="nil"/>
            </w:tcBorders>
          </w:tcPr>
          <w:p w14:paraId="446392F9" w14:textId="77777777" w:rsidR="00F94244" w:rsidRPr="004C78D8" w:rsidRDefault="00F94244" w:rsidP="00FB7C1F">
            <w:pPr>
              <w:jc w:val="left"/>
              <w:rPr>
                <w:sz w:val="18"/>
                <w:szCs w:val="18"/>
              </w:rPr>
            </w:pPr>
            <w:r w:rsidRPr="004C78D8">
              <w:rPr>
                <w:sz w:val="18"/>
                <w:szCs w:val="18"/>
              </w:rPr>
              <w:t>DT</w:t>
            </w:r>
          </w:p>
        </w:tc>
        <w:tc>
          <w:tcPr>
            <w:tcW w:w="355" w:type="pct"/>
            <w:tcBorders>
              <w:top w:val="nil"/>
              <w:left w:val="nil"/>
              <w:bottom w:val="nil"/>
              <w:right w:val="nil"/>
            </w:tcBorders>
          </w:tcPr>
          <w:p w14:paraId="3B0A4681" w14:textId="77777777" w:rsidR="00F94244" w:rsidRPr="004C78D8" w:rsidRDefault="00F94244" w:rsidP="00FB7C1F">
            <w:pPr>
              <w:jc w:val="left"/>
              <w:rPr>
                <w:sz w:val="18"/>
                <w:szCs w:val="18"/>
              </w:rPr>
            </w:pPr>
            <w:r w:rsidRPr="004C78D8">
              <w:rPr>
                <w:sz w:val="18"/>
                <w:szCs w:val="18"/>
              </w:rPr>
              <w:t>1 year</w:t>
            </w:r>
          </w:p>
        </w:tc>
        <w:tc>
          <w:tcPr>
            <w:tcW w:w="377" w:type="pct"/>
            <w:tcBorders>
              <w:top w:val="nil"/>
              <w:left w:val="nil"/>
              <w:bottom w:val="nil"/>
            </w:tcBorders>
          </w:tcPr>
          <w:p w14:paraId="143F99DC" w14:textId="77777777" w:rsidR="00F94244" w:rsidRPr="004C78D8" w:rsidRDefault="00F94244" w:rsidP="00FB7C1F">
            <w:pPr>
              <w:jc w:val="left"/>
              <w:rPr>
                <w:sz w:val="18"/>
                <w:szCs w:val="18"/>
              </w:rPr>
            </w:pPr>
            <w:r w:rsidRPr="004C78D8">
              <w:rPr>
                <w:sz w:val="18"/>
                <w:szCs w:val="18"/>
              </w:rPr>
              <w:t>20.5</w:t>
            </w:r>
          </w:p>
        </w:tc>
      </w:tr>
      <w:tr w:rsidR="00F94244" w:rsidRPr="004C78D8" w14:paraId="60D6D686" w14:textId="77777777" w:rsidTr="002828C1">
        <w:tc>
          <w:tcPr>
            <w:tcW w:w="149" w:type="pct"/>
            <w:tcBorders>
              <w:top w:val="nil"/>
              <w:bottom w:val="nil"/>
              <w:right w:val="nil"/>
            </w:tcBorders>
          </w:tcPr>
          <w:p w14:paraId="424FC25B" w14:textId="77777777" w:rsidR="00F94244" w:rsidRPr="004C78D8" w:rsidRDefault="00F94244" w:rsidP="00FB7C1F">
            <w:pPr>
              <w:jc w:val="left"/>
              <w:rPr>
                <w:sz w:val="18"/>
                <w:szCs w:val="18"/>
              </w:rPr>
            </w:pPr>
            <w:r w:rsidRPr="004C78D8">
              <w:rPr>
                <w:sz w:val="18"/>
                <w:szCs w:val="18"/>
              </w:rPr>
              <w:t>3</w:t>
            </w:r>
          </w:p>
        </w:tc>
        <w:tc>
          <w:tcPr>
            <w:tcW w:w="455" w:type="pct"/>
            <w:tcBorders>
              <w:top w:val="nil"/>
              <w:left w:val="nil"/>
              <w:bottom w:val="nil"/>
              <w:right w:val="nil"/>
            </w:tcBorders>
          </w:tcPr>
          <w:p w14:paraId="08E0036A" w14:textId="72D4A04E" w:rsidR="00F94244" w:rsidRPr="004C78D8" w:rsidRDefault="00F94244" w:rsidP="00FB7C1F">
            <w:pPr>
              <w:jc w:val="left"/>
              <w:rPr>
                <w:sz w:val="18"/>
                <w:szCs w:val="18"/>
              </w:rPr>
            </w:pPr>
            <w:r w:rsidRPr="004C78D8">
              <w:rPr>
                <w:sz w:val="18"/>
                <w:szCs w:val="18"/>
              </w:rPr>
              <w:t xml:space="preserve">Alhambra-Borras (2019) </w:t>
            </w:r>
            <w:r w:rsidRPr="004C78D8">
              <w:rPr>
                <w:sz w:val="18"/>
                <w:szCs w:val="18"/>
              </w:rPr>
              <w:fldChar w:fldCharType="begin"/>
            </w:r>
            <w:r w:rsidR="00C630FC" w:rsidRPr="004C78D8">
              <w:rPr>
                <w:sz w:val="18"/>
                <w:szCs w:val="18"/>
              </w:rPr>
              <w:instrText xml:space="preserve"> ADDIN EN.CITE &lt;EndNote&gt;&lt;Cite&gt;&lt;Author&gt;Alhambra-Borrás&lt;/Author&gt;&lt;Year&gt;2019&lt;/Year&gt;&lt;RecNum&gt;92&lt;/RecNum&gt;&lt;DisplayText&gt;[341]&lt;/DisplayText&gt;&lt;record&gt;&lt;rec-number&gt;92&lt;/rec-number&gt;&lt;foreign-keys&gt;&lt;key app="EN" db-id="tdtrdw9aepptzbefsat599syza29sxsd2wsp" timestamp="1598189886"&gt;92&lt;/key&gt;&lt;/foreign-keys&gt;&lt;ref-type name="Journal Article"&gt;17&lt;/ref-type&gt;&lt;contributors&gt;&lt;authors&gt;&lt;author&gt;Alhambra-Borrás, Tamara&lt;/author&gt;&lt;author&gt;Durá-Ferrandis, Estrella&lt;/author&gt;&lt;author&gt;Ferrando-García, Maite&lt;/author&gt;&lt;/authors&gt;&lt;/contributors&gt;&lt;titles&gt;&lt;title&gt;Effectiveness and estimation of cost-effectiveness of a group-based multicomponent physical exercise programme on risk of falling and frailty in community-dwelling older adults&lt;/title&gt;&lt;secondary-title&gt;International journal of environmental research and public health&lt;/secondary-title&gt;&lt;/titles&gt;&lt;periodical&gt;&lt;full-title&gt;International journal of environmental research and public health&lt;/full-title&gt;&lt;/periodical&gt;&lt;pages&gt;2086&lt;/pages&gt;&lt;volume&gt;16&lt;/volume&gt;&lt;number&gt;12&lt;/number&gt;&lt;dates&gt;&lt;year&gt;2019&lt;/year&gt;&lt;/dates&gt;&lt;urls&gt;&lt;/urls&gt;&lt;/record&gt;&lt;/Cite&gt;&lt;/EndNote&gt;</w:instrText>
            </w:r>
            <w:r w:rsidRPr="004C78D8">
              <w:rPr>
                <w:sz w:val="18"/>
                <w:szCs w:val="18"/>
              </w:rPr>
              <w:fldChar w:fldCharType="separate"/>
            </w:r>
            <w:r w:rsidR="00C630FC" w:rsidRPr="004C78D8">
              <w:rPr>
                <w:noProof/>
                <w:sz w:val="18"/>
                <w:szCs w:val="18"/>
              </w:rPr>
              <w:t>[341]</w:t>
            </w:r>
            <w:r w:rsidRPr="004C78D8">
              <w:rPr>
                <w:sz w:val="18"/>
                <w:szCs w:val="18"/>
              </w:rPr>
              <w:fldChar w:fldCharType="end"/>
            </w:r>
          </w:p>
        </w:tc>
        <w:tc>
          <w:tcPr>
            <w:tcW w:w="492" w:type="pct"/>
            <w:tcBorders>
              <w:top w:val="nil"/>
              <w:left w:val="nil"/>
              <w:bottom w:val="nil"/>
              <w:right w:val="nil"/>
            </w:tcBorders>
          </w:tcPr>
          <w:p w14:paraId="14EFB1A2" w14:textId="77777777" w:rsidR="00F94244" w:rsidRPr="004C78D8" w:rsidRDefault="00F94244" w:rsidP="00FB7C1F">
            <w:pPr>
              <w:jc w:val="left"/>
              <w:rPr>
                <w:sz w:val="18"/>
                <w:szCs w:val="18"/>
              </w:rPr>
            </w:pPr>
            <w:r w:rsidRPr="004C78D8">
              <w:rPr>
                <w:sz w:val="18"/>
                <w:szCs w:val="18"/>
              </w:rPr>
              <w:t>Spain, Valencia, hospital level</w:t>
            </w:r>
          </w:p>
        </w:tc>
        <w:tc>
          <w:tcPr>
            <w:tcW w:w="950" w:type="pct"/>
            <w:tcBorders>
              <w:top w:val="nil"/>
              <w:left w:val="nil"/>
              <w:bottom w:val="nil"/>
              <w:right w:val="nil"/>
            </w:tcBorders>
          </w:tcPr>
          <w:p w14:paraId="4A7E4933" w14:textId="77777777" w:rsidR="00F94244" w:rsidRPr="004C78D8" w:rsidRDefault="00F94244" w:rsidP="00FB7C1F">
            <w:pPr>
              <w:jc w:val="left"/>
              <w:rPr>
                <w:sz w:val="18"/>
                <w:szCs w:val="18"/>
              </w:rPr>
            </w:pPr>
            <w:r w:rsidRPr="004C78D8">
              <w:rPr>
                <w:sz w:val="18"/>
                <w:szCs w:val="18"/>
              </w:rPr>
              <w:t>CD adults aged 65+ at high falls risk or frail with no severe physical or cognitive limitation</w:t>
            </w:r>
          </w:p>
        </w:tc>
        <w:tc>
          <w:tcPr>
            <w:tcW w:w="321" w:type="pct"/>
            <w:tcBorders>
              <w:top w:val="nil"/>
              <w:left w:val="nil"/>
              <w:bottom w:val="nil"/>
              <w:right w:val="nil"/>
            </w:tcBorders>
          </w:tcPr>
          <w:p w14:paraId="69CB0FF4" w14:textId="77777777" w:rsidR="00F94244" w:rsidRPr="004C78D8" w:rsidRDefault="00F94244" w:rsidP="00FB7C1F">
            <w:pPr>
              <w:jc w:val="left"/>
              <w:rPr>
                <w:sz w:val="18"/>
                <w:szCs w:val="18"/>
              </w:rPr>
            </w:pPr>
            <w:r w:rsidRPr="004C78D8">
              <w:rPr>
                <w:sz w:val="18"/>
                <w:szCs w:val="18"/>
              </w:rPr>
              <w:t>CUA</w:t>
            </w:r>
          </w:p>
        </w:tc>
        <w:tc>
          <w:tcPr>
            <w:tcW w:w="497" w:type="pct"/>
            <w:tcBorders>
              <w:top w:val="nil"/>
              <w:left w:val="nil"/>
              <w:bottom w:val="nil"/>
              <w:right w:val="nil"/>
            </w:tcBorders>
          </w:tcPr>
          <w:p w14:paraId="2E2FE918" w14:textId="77777777" w:rsidR="00F94244" w:rsidRPr="004C78D8" w:rsidRDefault="00F94244" w:rsidP="00FB7C1F">
            <w:pPr>
              <w:jc w:val="left"/>
              <w:rPr>
                <w:sz w:val="18"/>
                <w:szCs w:val="18"/>
              </w:rPr>
            </w:pPr>
            <w:r w:rsidRPr="004C78D8">
              <w:rPr>
                <w:sz w:val="18"/>
                <w:szCs w:val="18"/>
              </w:rPr>
              <w:t>Public sector</w:t>
            </w:r>
          </w:p>
        </w:tc>
        <w:tc>
          <w:tcPr>
            <w:tcW w:w="952" w:type="pct"/>
            <w:tcBorders>
              <w:top w:val="nil"/>
              <w:left w:val="nil"/>
              <w:bottom w:val="nil"/>
              <w:right w:val="nil"/>
            </w:tcBorders>
          </w:tcPr>
          <w:p w14:paraId="7F0E154E" w14:textId="77777777" w:rsidR="00F94244" w:rsidRPr="004C78D8" w:rsidRDefault="00F94244" w:rsidP="00FB7C1F">
            <w:pPr>
              <w:jc w:val="left"/>
              <w:rPr>
                <w:sz w:val="18"/>
                <w:szCs w:val="18"/>
              </w:rPr>
            </w:pPr>
            <w:r w:rsidRPr="004C78D8">
              <w:rPr>
                <w:sz w:val="18"/>
                <w:szCs w:val="18"/>
              </w:rPr>
              <w:t>Exercise [UC]</w:t>
            </w:r>
          </w:p>
        </w:tc>
        <w:tc>
          <w:tcPr>
            <w:tcW w:w="453" w:type="pct"/>
            <w:tcBorders>
              <w:top w:val="nil"/>
              <w:left w:val="nil"/>
              <w:bottom w:val="nil"/>
              <w:right w:val="nil"/>
            </w:tcBorders>
          </w:tcPr>
          <w:p w14:paraId="5A545E80" w14:textId="77777777" w:rsidR="00F94244" w:rsidRPr="004C78D8" w:rsidRDefault="00F94244" w:rsidP="00FB7C1F">
            <w:pPr>
              <w:jc w:val="left"/>
              <w:rPr>
                <w:sz w:val="18"/>
                <w:szCs w:val="18"/>
              </w:rPr>
            </w:pPr>
            <w:r w:rsidRPr="004C78D8">
              <w:rPr>
                <w:sz w:val="18"/>
                <w:szCs w:val="18"/>
              </w:rPr>
              <w:t>Markov cohort</w:t>
            </w:r>
          </w:p>
        </w:tc>
        <w:tc>
          <w:tcPr>
            <w:tcW w:w="355" w:type="pct"/>
            <w:tcBorders>
              <w:top w:val="nil"/>
              <w:left w:val="nil"/>
              <w:bottom w:val="nil"/>
              <w:right w:val="nil"/>
            </w:tcBorders>
          </w:tcPr>
          <w:p w14:paraId="71BA366E" w14:textId="77777777" w:rsidR="00F94244" w:rsidRPr="004C78D8" w:rsidRDefault="00F94244" w:rsidP="00FB7C1F">
            <w:pPr>
              <w:jc w:val="left"/>
              <w:rPr>
                <w:sz w:val="18"/>
                <w:szCs w:val="18"/>
              </w:rPr>
            </w:pPr>
            <w:r w:rsidRPr="004C78D8">
              <w:rPr>
                <w:sz w:val="18"/>
                <w:szCs w:val="18"/>
              </w:rPr>
              <w:t>Lifetime</w:t>
            </w:r>
          </w:p>
        </w:tc>
        <w:tc>
          <w:tcPr>
            <w:tcW w:w="377" w:type="pct"/>
            <w:tcBorders>
              <w:top w:val="nil"/>
              <w:left w:val="nil"/>
              <w:bottom w:val="nil"/>
            </w:tcBorders>
          </w:tcPr>
          <w:p w14:paraId="0FC70350" w14:textId="77777777" w:rsidR="00F94244" w:rsidRPr="004C78D8" w:rsidRDefault="00F94244" w:rsidP="00FB7C1F">
            <w:pPr>
              <w:jc w:val="left"/>
              <w:rPr>
                <w:sz w:val="18"/>
                <w:szCs w:val="18"/>
              </w:rPr>
            </w:pPr>
            <w:r w:rsidRPr="004C78D8">
              <w:rPr>
                <w:sz w:val="18"/>
                <w:szCs w:val="18"/>
              </w:rPr>
              <w:t>16</w:t>
            </w:r>
          </w:p>
        </w:tc>
      </w:tr>
      <w:tr w:rsidR="00F94244" w:rsidRPr="004C78D8" w14:paraId="64A37D22" w14:textId="77777777" w:rsidTr="002828C1">
        <w:tc>
          <w:tcPr>
            <w:tcW w:w="149" w:type="pct"/>
            <w:tcBorders>
              <w:top w:val="nil"/>
              <w:bottom w:val="nil"/>
              <w:right w:val="nil"/>
            </w:tcBorders>
          </w:tcPr>
          <w:p w14:paraId="2CF0B0F1" w14:textId="77777777" w:rsidR="00F94244" w:rsidRPr="004C78D8" w:rsidRDefault="00F94244" w:rsidP="00FB7C1F">
            <w:pPr>
              <w:jc w:val="left"/>
              <w:rPr>
                <w:sz w:val="18"/>
                <w:szCs w:val="18"/>
              </w:rPr>
            </w:pPr>
            <w:r w:rsidRPr="004C78D8">
              <w:rPr>
                <w:sz w:val="18"/>
                <w:szCs w:val="18"/>
              </w:rPr>
              <w:t>4</w:t>
            </w:r>
          </w:p>
        </w:tc>
        <w:tc>
          <w:tcPr>
            <w:tcW w:w="455" w:type="pct"/>
            <w:tcBorders>
              <w:top w:val="nil"/>
              <w:left w:val="nil"/>
              <w:bottom w:val="nil"/>
              <w:right w:val="nil"/>
            </w:tcBorders>
          </w:tcPr>
          <w:p w14:paraId="28C0D45C" w14:textId="21C20ABF" w:rsidR="00F94244" w:rsidRPr="004C78D8" w:rsidRDefault="00F94244" w:rsidP="00FB7C1F">
            <w:pPr>
              <w:jc w:val="left"/>
              <w:rPr>
                <w:sz w:val="18"/>
                <w:szCs w:val="18"/>
              </w:rPr>
            </w:pPr>
            <w:r w:rsidRPr="004C78D8">
              <w:rPr>
                <w:sz w:val="18"/>
                <w:szCs w:val="18"/>
              </w:rPr>
              <w:t xml:space="preserve">Beard (2006) </w:t>
            </w:r>
            <w:r w:rsidRPr="004C78D8">
              <w:rPr>
                <w:sz w:val="18"/>
                <w:szCs w:val="18"/>
              </w:rPr>
              <w:fldChar w:fldCharType="begin"/>
            </w:r>
            <w:r w:rsidR="00513646" w:rsidRPr="004C78D8">
              <w:rPr>
                <w:sz w:val="18"/>
                <w:szCs w:val="18"/>
              </w:rPr>
              <w:instrText xml:space="preserve"> ADDIN EN.CITE &lt;EndNote&gt;&lt;Cite&gt;&lt;Author&gt;Beard&lt;/Author&gt;&lt;Year&gt;2006&lt;/Year&gt;&lt;RecNum&gt;287&lt;/RecNum&gt;&lt;DisplayText&gt;[127]&lt;/DisplayText&gt;&lt;record&gt;&lt;rec-number&gt;287&lt;/rec-number&gt;&lt;foreign-keys&gt;&lt;key app="EN" db-id="tdtrdw9aepptzbefsat599syza29sxsd2wsp" timestamp="1611700753"&gt;287&lt;/key&gt;&lt;/foreign-keys&gt;&lt;ref-type name="Journal Article"&gt;17&lt;/ref-type&gt;&lt;contributors&gt;&lt;authors&gt;&lt;author&gt;Beard, J.&lt;/author&gt;&lt;author&gt;Rowell, D.&lt;/author&gt;&lt;author&gt;Scott, D.&lt;/author&gt;&lt;author&gt;van Beurden, E.&lt;/author&gt;&lt;author&gt;Barnett, L.&lt;/author&gt;&lt;author&gt;Hughes, K.&lt;/author&gt;&lt;author&gt;Newman, B.&lt;/author&gt;&lt;/authors&gt;&lt;/contributors&gt;&lt;auth-address&gt;Northern Rivers University Department of Rural Health, University of Sydney, Southern Cross University, PO Box 3074, Lismore NSW 2480, Australia. jbeard@med.usyd.edu.au&lt;/auth-address&gt;&lt;titles&gt;&lt;title&gt;Economic analysis of a community-based falls prevention program&lt;/title&gt;&lt;secondary-title&gt;Public Health&lt;/secondary-title&gt;&lt;/titles&gt;&lt;periodical&gt;&lt;full-title&gt;Public Health&lt;/full-title&gt;&lt;/periodical&gt;&lt;pages&gt;742-51&lt;/pages&gt;&lt;volume&gt;120&lt;/volume&gt;&lt;number&gt;8&lt;/number&gt;&lt;keywords&gt;&lt;keyword&gt;Accidental Falls/*prevention &amp;amp; control&lt;/keyword&gt;&lt;keyword&gt;Aged&lt;/keyword&gt;&lt;keyword&gt;Community Health Services/*economics&lt;/keyword&gt;&lt;keyword&gt;Cost-Benefit Analysis&lt;/keyword&gt;&lt;keyword&gt;Health Promotion/economics/methods&lt;/keyword&gt;&lt;keyword&gt;Hospitalization/economics&lt;/keyword&gt;&lt;keyword&gt;Humans&lt;/keyword&gt;&lt;/keywords&gt;&lt;dates&gt;&lt;year&gt;2006&lt;/year&gt;&lt;pub-dates&gt;&lt;date&gt;Aug&lt;/date&gt;&lt;/pub-dates&gt;&lt;/dates&gt;&lt;isbn&gt;0033-3506 (Print)&amp;#xD;0033-3506 (Linking)&lt;/isbn&gt;&lt;accession-num&gt;16824563&lt;/accession-num&gt;&lt;urls&gt;&lt;related-urls&gt;&lt;url&gt;https://www.ncbi.nlm.nih.gov/pubmed/16824563&lt;/url&gt;&lt;/related-urls&gt;&lt;/urls&gt;&lt;electronic-resource-num&gt;10.1016/j.puhe.2006.04.011&lt;/electronic-resource-num&gt;&lt;/record&gt;&lt;/Cite&gt;&lt;/EndNote&gt;</w:instrText>
            </w:r>
            <w:r w:rsidRPr="004C78D8">
              <w:rPr>
                <w:sz w:val="18"/>
                <w:szCs w:val="18"/>
              </w:rPr>
              <w:fldChar w:fldCharType="separate"/>
            </w:r>
            <w:r w:rsidR="00513646" w:rsidRPr="004C78D8">
              <w:rPr>
                <w:noProof/>
                <w:sz w:val="18"/>
                <w:szCs w:val="18"/>
              </w:rPr>
              <w:t>[127]</w:t>
            </w:r>
            <w:r w:rsidRPr="004C78D8">
              <w:rPr>
                <w:sz w:val="18"/>
                <w:szCs w:val="18"/>
              </w:rPr>
              <w:fldChar w:fldCharType="end"/>
            </w:r>
          </w:p>
        </w:tc>
        <w:tc>
          <w:tcPr>
            <w:tcW w:w="492" w:type="pct"/>
            <w:tcBorders>
              <w:top w:val="nil"/>
              <w:left w:val="nil"/>
              <w:bottom w:val="nil"/>
              <w:right w:val="nil"/>
            </w:tcBorders>
          </w:tcPr>
          <w:p w14:paraId="089F99DA" w14:textId="77777777" w:rsidR="00F94244" w:rsidRPr="004C78D8" w:rsidRDefault="00F94244" w:rsidP="00FB7C1F">
            <w:pPr>
              <w:jc w:val="left"/>
              <w:rPr>
                <w:sz w:val="18"/>
                <w:szCs w:val="18"/>
              </w:rPr>
            </w:pPr>
            <w:r w:rsidRPr="004C78D8">
              <w:rPr>
                <w:sz w:val="18"/>
                <w:szCs w:val="18"/>
              </w:rPr>
              <w:t>Australia, NSW</w:t>
            </w:r>
          </w:p>
        </w:tc>
        <w:tc>
          <w:tcPr>
            <w:tcW w:w="950" w:type="pct"/>
            <w:tcBorders>
              <w:top w:val="nil"/>
              <w:left w:val="nil"/>
              <w:bottom w:val="nil"/>
              <w:right w:val="nil"/>
            </w:tcBorders>
          </w:tcPr>
          <w:p w14:paraId="6DDDFE29" w14:textId="77777777" w:rsidR="00F94244" w:rsidRPr="004C78D8" w:rsidRDefault="00F94244" w:rsidP="00FB7C1F">
            <w:pPr>
              <w:jc w:val="left"/>
              <w:rPr>
                <w:sz w:val="18"/>
                <w:szCs w:val="18"/>
              </w:rPr>
            </w:pPr>
            <w:r w:rsidRPr="004C78D8">
              <w:rPr>
                <w:sz w:val="18"/>
                <w:szCs w:val="18"/>
              </w:rPr>
              <w:t>CD adults aged 60+</w:t>
            </w:r>
          </w:p>
        </w:tc>
        <w:tc>
          <w:tcPr>
            <w:tcW w:w="321" w:type="pct"/>
            <w:tcBorders>
              <w:top w:val="nil"/>
              <w:left w:val="nil"/>
              <w:bottom w:val="nil"/>
              <w:right w:val="nil"/>
            </w:tcBorders>
          </w:tcPr>
          <w:p w14:paraId="786C4D0C" w14:textId="77777777" w:rsidR="00F94244" w:rsidRPr="004C78D8" w:rsidRDefault="00F94244" w:rsidP="00FB7C1F">
            <w:pPr>
              <w:jc w:val="left"/>
              <w:rPr>
                <w:sz w:val="18"/>
                <w:szCs w:val="18"/>
              </w:rPr>
            </w:pPr>
            <w:r w:rsidRPr="004C78D8">
              <w:rPr>
                <w:sz w:val="18"/>
                <w:szCs w:val="18"/>
              </w:rPr>
              <w:t>CBA; ROI</w:t>
            </w:r>
          </w:p>
        </w:tc>
        <w:tc>
          <w:tcPr>
            <w:tcW w:w="497" w:type="pct"/>
            <w:tcBorders>
              <w:top w:val="nil"/>
              <w:left w:val="nil"/>
              <w:bottom w:val="nil"/>
              <w:right w:val="nil"/>
            </w:tcBorders>
          </w:tcPr>
          <w:p w14:paraId="6DD4C3C3" w14:textId="77777777" w:rsidR="00F94244" w:rsidRPr="004C78D8" w:rsidRDefault="00F94244" w:rsidP="00FB7C1F">
            <w:pPr>
              <w:jc w:val="left"/>
              <w:rPr>
                <w:sz w:val="18"/>
                <w:szCs w:val="18"/>
              </w:rPr>
            </w:pPr>
            <w:r w:rsidRPr="004C78D8">
              <w:rPr>
                <w:sz w:val="18"/>
                <w:szCs w:val="18"/>
              </w:rPr>
              <w:t>Public sector; Societal</w:t>
            </w:r>
          </w:p>
        </w:tc>
        <w:tc>
          <w:tcPr>
            <w:tcW w:w="952" w:type="pct"/>
            <w:tcBorders>
              <w:top w:val="nil"/>
              <w:left w:val="nil"/>
              <w:bottom w:val="nil"/>
              <w:right w:val="nil"/>
            </w:tcBorders>
          </w:tcPr>
          <w:p w14:paraId="1666FA2A" w14:textId="71553001" w:rsidR="00F94244" w:rsidRPr="004C78D8" w:rsidRDefault="00F94244" w:rsidP="00FB7C1F">
            <w:pPr>
              <w:jc w:val="left"/>
              <w:rPr>
                <w:sz w:val="18"/>
                <w:szCs w:val="18"/>
              </w:rPr>
            </w:pPr>
            <w:r w:rsidRPr="004C78D8">
              <w:rPr>
                <w:sz w:val="18"/>
                <w:szCs w:val="18"/>
              </w:rPr>
              <w:t>MC (intersectoral) int.</w:t>
            </w:r>
            <w:r w:rsidR="001B3C29" w:rsidRPr="004C78D8">
              <w:rPr>
                <w:sz w:val="18"/>
                <w:szCs w:val="18"/>
                <w:vertAlign w:val="superscript"/>
              </w:rPr>
              <w:t>2</w:t>
            </w:r>
            <w:r w:rsidRPr="004C78D8">
              <w:rPr>
                <w:sz w:val="18"/>
                <w:szCs w:val="18"/>
              </w:rPr>
              <w:t xml:space="preserve"> [UC]</w:t>
            </w:r>
          </w:p>
        </w:tc>
        <w:tc>
          <w:tcPr>
            <w:tcW w:w="453" w:type="pct"/>
            <w:tcBorders>
              <w:top w:val="nil"/>
              <w:left w:val="nil"/>
              <w:bottom w:val="nil"/>
              <w:right w:val="nil"/>
            </w:tcBorders>
          </w:tcPr>
          <w:p w14:paraId="0797ED83" w14:textId="102E2977" w:rsidR="00F94244" w:rsidRPr="004C78D8" w:rsidRDefault="00F94244" w:rsidP="00FB7C1F">
            <w:pPr>
              <w:jc w:val="left"/>
              <w:rPr>
                <w:sz w:val="18"/>
                <w:szCs w:val="18"/>
              </w:rPr>
            </w:pPr>
            <w:r w:rsidRPr="004C78D8">
              <w:rPr>
                <w:sz w:val="18"/>
                <w:szCs w:val="18"/>
              </w:rPr>
              <w:t>Binary decision</w:t>
            </w:r>
            <w:r w:rsidR="001B3C29" w:rsidRPr="004C78D8">
              <w:rPr>
                <w:sz w:val="18"/>
                <w:szCs w:val="18"/>
                <w:vertAlign w:val="superscript"/>
              </w:rPr>
              <w:t>3</w:t>
            </w:r>
          </w:p>
        </w:tc>
        <w:tc>
          <w:tcPr>
            <w:tcW w:w="355" w:type="pct"/>
            <w:tcBorders>
              <w:top w:val="nil"/>
              <w:left w:val="nil"/>
              <w:bottom w:val="nil"/>
              <w:right w:val="nil"/>
            </w:tcBorders>
          </w:tcPr>
          <w:p w14:paraId="6A7F5C4E" w14:textId="77777777" w:rsidR="00F94244" w:rsidRPr="004C78D8" w:rsidRDefault="00F94244" w:rsidP="00FB7C1F">
            <w:pPr>
              <w:jc w:val="left"/>
              <w:rPr>
                <w:sz w:val="18"/>
                <w:szCs w:val="18"/>
              </w:rPr>
            </w:pPr>
            <w:r w:rsidRPr="004C78D8">
              <w:rPr>
                <w:sz w:val="18"/>
                <w:szCs w:val="18"/>
              </w:rPr>
              <w:t>5 years</w:t>
            </w:r>
          </w:p>
        </w:tc>
        <w:tc>
          <w:tcPr>
            <w:tcW w:w="377" w:type="pct"/>
            <w:tcBorders>
              <w:top w:val="nil"/>
              <w:left w:val="nil"/>
              <w:bottom w:val="nil"/>
            </w:tcBorders>
          </w:tcPr>
          <w:p w14:paraId="33051280" w14:textId="77777777" w:rsidR="00F94244" w:rsidRPr="004C78D8" w:rsidRDefault="00F94244" w:rsidP="00FB7C1F">
            <w:pPr>
              <w:jc w:val="left"/>
              <w:rPr>
                <w:sz w:val="18"/>
                <w:szCs w:val="18"/>
              </w:rPr>
            </w:pPr>
            <w:r w:rsidRPr="004C78D8">
              <w:rPr>
                <w:sz w:val="18"/>
                <w:szCs w:val="18"/>
              </w:rPr>
              <w:t>21</w:t>
            </w:r>
          </w:p>
        </w:tc>
      </w:tr>
      <w:tr w:rsidR="00F94244" w:rsidRPr="004C78D8" w14:paraId="681E25BB" w14:textId="77777777" w:rsidTr="002828C1">
        <w:tc>
          <w:tcPr>
            <w:tcW w:w="149" w:type="pct"/>
            <w:tcBorders>
              <w:top w:val="nil"/>
              <w:bottom w:val="nil"/>
              <w:right w:val="nil"/>
            </w:tcBorders>
          </w:tcPr>
          <w:p w14:paraId="6F0469E0" w14:textId="77777777" w:rsidR="00F94244" w:rsidRPr="004C78D8" w:rsidRDefault="00F94244" w:rsidP="00FB7C1F">
            <w:pPr>
              <w:jc w:val="left"/>
              <w:rPr>
                <w:sz w:val="18"/>
                <w:szCs w:val="18"/>
              </w:rPr>
            </w:pPr>
            <w:r w:rsidRPr="004C78D8">
              <w:rPr>
                <w:sz w:val="18"/>
                <w:szCs w:val="18"/>
              </w:rPr>
              <w:t>5</w:t>
            </w:r>
          </w:p>
        </w:tc>
        <w:tc>
          <w:tcPr>
            <w:tcW w:w="455" w:type="pct"/>
            <w:tcBorders>
              <w:top w:val="nil"/>
              <w:left w:val="nil"/>
              <w:bottom w:val="nil"/>
              <w:right w:val="nil"/>
            </w:tcBorders>
          </w:tcPr>
          <w:p w14:paraId="175E9F21" w14:textId="3049C629" w:rsidR="00F94244" w:rsidRPr="004C78D8" w:rsidRDefault="00F94244" w:rsidP="00FB7C1F">
            <w:pPr>
              <w:jc w:val="left"/>
              <w:rPr>
                <w:sz w:val="18"/>
                <w:szCs w:val="18"/>
              </w:rPr>
            </w:pPr>
            <w:r w:rsidRPr="004C78D8">
              <w:rPr>
                <w:sz w:val="18"/>
                <w:szCs w:val="18"/>
              </w:rPr>
              <w:t xml:space="preserve">Boyd (2020) </w:t>
            </w:r>
            <w:r w:rsidRPr="004C78D8">
              <w:rPr>
                <w:sz w:val="18"/>
                <w:szCs w:val="18"/>
              </w:rPr>
              <w:fldChar w:fldCharType="begin"/>
            </w:r>
            <w:r w:rsidR="00C630FC" w:rsidRPr="004C78D8">
              <w:rPr>
                <w:sz w:val="18"/>
                <w:szCs w:val="18"/>
              </w:rPr>
              <w:instrText xml:space="preserve"> ADDIN EN.CITE &lt;EndNote&gt;&lt;Cite&gt;&lt;Author&gt;Boyd&lt;/Author&gt;&lt;Year&gt;2020&lt;/Year&gt;&lt;RecNum&gt;95&lt;/RecNum&gt;&lt;DisplayText&gt;[337]&lt;/DisplayText&gt;&lt;record&gt;&lt;rec-number&gt;95&lt;/rec-number&gt;&lt;foreign-keys&gt;&lt;key app="EN" db-id="tdtrdw9aepptzbefsat599syza29sxsd2wsp" timestamp="1598190990"&gt;95&lt;/key&gt;&lt;/foreign-keys&gt;&lt;ref-type name="Journal Article"&gt;17&lt;/ref-type&gt;&lt;contributors&gt;&lt;authors&gt;&lt;author&gt;Boyd, Matt&lt;/author&gt;&lt;author&gt;Kvizhinadze, Giorgi&lt;/author&gt;&lt;author&gt;Kho, Adeline&lt;/author&gt;&lt;author&gt;Wilson, Graham&lt;/author&gt;&lt;author&gt;Wilson, Nick&lt;/author&gt;&lt;/authors&gt;&lt;/contributors&gt;&lt;titles&gt;&lt;title&gt;Cataract surgery for falls prevention and improving vision: modelling the health gain, health system costs and cost-effectiveness in a high-income country&lt;/title&gt;&lt;secondary-title&gt;Injury prevention&lt;/secondary-title&gt;&lt;/titles&gt;&lt;periodical&gt;&lt;full-title&gt;Injury prevention&lt;/full-title&gt;&lt;/periodical&gt;&lt;pages&gt;302-309&lt;/pages&gt;&lt;volume&gt;26&lt;/volume&gt;&lt;number&gt;4&lt;/number&gt;&lt;dates&gt;&lt;year&gt;2020&lt;/year&gt;&lt;/dates&gt;&lt;isbn&gt;1353-8047&lt;/isbn&gt;&lt;urls&gt;&lt;/urls&gt;&lt;/record&gt;&lt;/Cite&gt;&lt;/EndNote&gt;</w:instrText>
            </w:r>
            <w:r w:rsidRPr="004C78D8">
              <w:rPr>
                <w:sz w:val="18"/>
                <w:szCs w:val="18"/>
              </w:rPr>
              <w:fldChar w:fldCharType="separate"/>
            </w:r>
            <w:r w:rsidR="00C630FC" w:rsidRPr="004C78D8">
              <w:rPr>
                <w:noProof/>
                <w:sz w:val="18"/>
                <w:szCs w:val="18"/>
              </w:rPr>
              <w:t>[337]</w:t>
            </w:r>
            <w:r w:rsidRPr="004C78D8">
              <w:rPr>
                <w:sz w:val="18"/>
                <w:szCs w:val="18"/>
              </w:rPr>
              <w:fldChar w:fldCharType="end"/>
            </w:r>
          </w:p>
        </w:tc>
        <w:tc>
          <w:tcPr>
            <w:tcW w:w="492" w:type="pct"/>
            <w:tcBorders>
              <w:top w:val="nil"/>
              <w:left w:val="nil"/>
              <w:bottom w:val="nil"/>
              <w:right w:val="nil"/>
            </w:tcBorders>
          </w:tcPr>
          <w:p w14:paraId="240B6611" w14:textId="77777777" w:rsidR="00F94244" w:rsidRPr="004C78D8" w:rsidRDefault="00F94244" w:rsidP="00FB7C1F">
            <w:pPr>
              <w:jc w:val="left"/>
              <w:rPr>
                <w:sz w:val="18"/>
                <w:szCs w:val="18"/>
              </w:rPr>
            </w:pPr>
            <w:r w:rsidRPr="004C78D8">
              <w:rPr>
                <w:sz w:val="18"/>
                <w:szCs w:val="18"/>
              </w:rPr>
              <w:t>New Zealand</w:t>
            </w:r>
          </w:p>
        </w:tc>
        <w:tc>
          <w:tcPr>
            <w:tcW w:w="950" w:type="pct"/>
            <w:tcBorders>
              <w:top w:val="nil"/>
              <w:left w:val="nil"/>
              <w:bottom w:val="nil"/>
              <w:right w:val="nil"/>
            </w:tcBorders>
          </w:tcPr>
          <w:p w14:paraId="6457730A" w14:textId="77777777" w:rsidR="00F94244" w:rsidRPr="004C78D8" w:rsidRDefault="00F94244" w:rsidP="00FB7C1F">
            <w:pPr>
              <w:jc w:val="left"/>
              <w:rPr>
                <w:sz w:val="18"/>
                <w:szCs w:val="18"/>
              </w:rPr>
            </w:pPr>
            <w:r w:rsidRPr="004C78D8">
              <w:rPr>
                <w:sz w:val="18"/>
                <w:szCs w:val="18"/>
              </w:rPr>
              <w:t>Adults aged 65+</w:t>
            </w:r>
          </w:p>
        </w:tc>
        <w:tc>
          <w:tcPr>
            <w:tcW w:w="321" w:type="pct"/>
            <w:tcBorders>
              <w:top w:val="nil"/>
              <w:left w:val="nil"/>
              <w:bottom w:val="nil"/>
              <w:right w:val="nil"/>
            </w:tcBorders>
          </w:tcPr>
          <w:p w14:paraId="09E530CF" w14:textId="77777777" w:rsidR="00F94244" w:rsidRPr="004C78D8" w:rsidRDefault="00F94244" w:rsidP="00FB7C1F">
            <w:pPr>
              <w:jc w:val="left"/>
              <w:rPr>
                <w:sz w:val="18"/>
                <w:szCs w:val="18"/>
              </w:rPr>
            </w:pPr>
            <w:r w:rsidRPr="004C78D8">
              <w:rPr>
                <w:sz w:val="18"/>
                <w:szCs w:val="18"/>
              </w:rPr>
              <w:t>CUA</w:t>
            </w:r>
          </w:p>
        </w:tc>
        <w:tc>
          <w:tcPr>
            <w:tcW w:w="497" w:type="pct"/>
            <w:tcBorders>
              <w:top w:val="nil"/>
              <w:left w:val="nil"/>
              <w:bottom w:val="nil"/>
              <w:right w:val="nil"/>
            </w:tcBorders>
          </w:tcPr>
          <w:p w14:paraId="388E3770" w14:textId="77777777" w:rsidR="00F94244" w:rsidRPr="004C78D8" w:rsidRDefault="00F94244" w:rsidP="00FB7C1F">
            <w:pPr>
              <w:jc w:val="left"/>
              <w:rPr>
                <w:sz w:val="18"/>
                <w:szCs w:val="18"/>
              </w:rPr>
            </w:pPr>
            <w:r w:rsidRPr="004C78D8">
              <w:rPr>
                <w:sz w:val="18"/>
                <w:szCs w:val="18"/>
              </w:rPr>
              <w:t>Public sector</w:t>
            </w:r>
          </w:p>
        </w:tc>
        <w:tc>
          <w:tcPr>
            <w:tcW w:w="952" w:type="pct"/>
            <w:tcBorders>
              <w:top w:val="nil"/>
              <w:left w:val="nil"/>
              <w:bottom w:val="nil"/>
              <w:right w:val="nil"/>
            </w:tcBorders>
          </w:tcPr>
          <w:p w14:paraId="42F18D0B" w14:textId="77777777" w:rsidR="00F94244" w:rsidRPr="004C78D8" w:rsidRDefault="00F94244" w:rsidP="00FB7C1F">
            <w:pPr>
              <w:jc w:val="left"/>
              <w:rPr>
                <w:sz w:val="18"/>
                <w:szCs w:val="18"/>
              </w:rPr>
            </w:pPr>
            <w:r w:rsidRPr="004C78D8">
              <w:rPr>
                <w:sz w:val="18"/>
                <w:szCs w:val="18"/>
              </w:rPr>
              <w:t>Cataract surgery (expedited, routine) [NR]</w:t>
            </w:r>
          </w:p>
        </w:tc>
        <w:tc>
          <w:tcPr>
            <w:tcW w:w="453" w:type="pct"/>
            <w:tcBorders>
              <w:top w:val="nil"/>
              <w:left w:val="nil"/>
              <w:bottom w:val="nil"/>
              <w:right w:val="nil"/>
            </w:tcBorders>
          </w:tcPr>
          <w:p w14:paraId="47BCB22B" w14:textId="77777777" w:rsidR="00F94244" w:rsidRPr="004C78D8" w:rsidRDefault="00F94244" w:rsidP="00FB7C1F">
            <w:pPr>
              <w:jc w:val="left"/>
              <w:rPr>
                <w:sz w:val="18"/>
                <w:szCs w:val="18"/>
              </w:rPr>
            </w:pPr>
            <w:r w:rsidRPr="004C78D8">
              <w:rPr>
                <w:sz w:val="18"/>
                <w:szCs w:val="18"/>
              </w:rPr>
              <w:t>Markov cohort</w:t>
            </w:r>
          </w:p>
        </w:tc>
        <w:tc>
          <w:tcPr>
            <w:tcW w:w="355" w:type="pct"/>
            <w:tcBorders>
              <w:top w:val="nil"/>
              <w:left w:val="nil"/>
              <w:bottom w:val="nil"/>
              <w:right w:val="nil"/>
            </w:tcBorders>
          </w:tcPr>
          <w:p w14:paraId="2D0BE6ED" w14:textId="77777777" w:rsidR="00F94244" w:rsidRPr="004C78D8" w:rsidRDefault="00F94244" w:rsidP="00FB7C1F">
            <w:pPr>
              <w:jc w:val="left"/>
              <w:rPr>
                <w:sz w:val="18"/>
                <w:szCs w:val="18"/>
              </w:rPr>
            </w:pPr>
            <w:r w:rsidRPr="004C78D8">
              <w:rPr>
                <w:sz w:val="18"/>
                <w:szCs w:val="18"/>
              </w:rPr>
              <w:t>Lifetime</w:t>
            </w:r>
          </w:p>
        </w:tc>
        <w:tc>
          <w:tcPr>
            <w:tcW w:w="377" w:type="pct"/>
            <w:tcBorders>
              <w:top w:val="nil"/>
              <w:left w:val="nil"/>
              <w:bottom w:val="nil"/>
            </w:tcBorders>
          </w:tcPr>
          <w:p w14:paraId="3CA6DAA1" w14:textId="77777777" w:rsidR="00F94244" w:rsidRPr="004C78D8" w:rsidRDefault="00F94244" w:rsidP="00FB7C1F">
            <w:pPr>
              <w:jc w:val="left"/>
              <w:rPr>
                <w:sz w:val="18"/>
                <w:szCs w:val="18"/>
              </w:rPr>
            </w:pPr>
            <w:r w:rsidRPr="004C78D8">
              <w:rPr>
                <w:sz w:val="18"/>
                <w:szCs w:val="18"/>
              </w:rPr>
              <w:t>23</w:t>
            </w:r>
          </w:p>
        </w:tc>
      </w:tr>
      <w:tr w:rsidR="00F94244" w:rsidRPr="004C78D8" w14:paraId="7BE3A615" w14:textId="77777777" w:rsidTr="002828C1">
        <w:tc>
          <w:tcPr>
            <w:tcW w:w="149" w:type="pct"/>
            <w:tcBorders>
              <w:top w:val="nil"/>
              <w:bottom w:val="nil"/>
              <w:right w:val="nil"/>
            </w:tcBorders>
          </w:tcPr>
          <w:p w14:paraId="679A6F91" w14:textId="77777777" w:rsidR="00F94244" w:rsidRPr="004C78D8" w:rsidRDefault="00F94244" w:rsidP="00FB7C1F">
            <w:pPr>
              <w:jc w:val="left"/>
              <w:rPr>
                <w:sz w:val="18"/>
                <w:szCs w:val="18"/>
              </w:rPr>
            </w:pPr>
            <w:r w:rsidRPr="004C78D8">
              <w:rPr>
                <w:sz w:val="18"/>
                <w:szCs w:val="18"/>
              </w:rPr>
              <w:t>6</w:t>
            </w:r>
          </w:p>
        </w:tc>
        <w:tc>
          <w:tcPr>
            <w:tcW w:w="455" w:type="pct"/>
            <w:tcBorders>
              <w:top w:val="nil"/>
              <w:left w:val="nil"/>
              <w:bottom w:val="nil"/>
              <w:right w:val="nil"/>
            </w:tcBorders>
          </w:tcPr>
          <w:p w14:paraId="2AB6F873" w14:textId="68C407CE" w:rsidR="00F94244" w:rsidRPr="004C78D8" w:rsidRDefault="00F94244" w:rsidP="00FB7C1F">
            <w:pPr>
              <w:jc w:val="left"/>
              <w:rPr>
                <w:sz w:val="18"/>
                <w:szCs w:val="18"/>
              </w:rPr>
            </w:pPr>
            <w:r w:rsidRPr="004C78D8">
              <w:rPr>
                <w:sz w:val="18"/>
                <w:szCs w:val="18"/>
              </w:rPr>
              <w:t xml:space="preserve">Carande-Kulis (2015) </w:t>
            </w:r>
            <w:r w:rsidRPr="004C78D8">
              <w:rPr>
                <w:sz w:val="18"/>
                <w:szCs w:val="18"/>
              </w:rPr>
              <w:fldChar w:fldCharType="begin">
                <w:fldData xml:space="preserve">PEVuZE5vdGU+PENpdGU+PEF1dGhvcj5DYXJhbmRlLUt1bGlzPC9BdXRob3I+PFllYXI+MjAxNTwv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</w:fldData>
              </w:fldChar>
            </w:r>
            <w:r w:rsidR="00C630FC" w:rsidRPr="004C78D8">
              <w:rPr>
                <w:sz w:val="18"/>
                <w:szCs w:val="18"/>
              </w:rPr>
              <w:instrText xml:space="preserve"> ADDIN EN.CITE </w:instrText>
            </w:r>
            <w:r w:rsidR="00C630FC" w:rsidRPr="004C78D8">
              <w:rPr>
                <w:sz w:val="18"/>
                <w:szCs w:val="18"/>
              </w:rPr>
              <w:fldChar w:fldCharType="begin">
                <w:fldData xml:space="preserve">PEVuZE5vdGU+PENpdGU+PEF1dGhvcj5DYXJhbmRlLUt1bGlzPC9BdXRob3I+PFllYXI+MjAxNTwv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</w:fldData>
              </w:fldChar>
            </w:r>
            <w:r w:rsidR="00C630FC" w:rsidRPr="004C78D8">
              <w:rPr>
                <w:sz w:val="18"/>
                <w:szCs w:val="18"/>
              </w:rPr>
              <w:instrText xml:space="preserve"> ADDIN EN.CITE.DATA </w:instrText>
            </w:r>
            <w:r w:rsidR="00C630FC" w:rsidRPr="004C78D8">
              <w:rPr>
                <w:sz w:val="18"/>
                <w:szCs w:val="18"/>
              </w:rPr>
            </w:r>
            <w:r w:rsidR="00C630FC" w:rsidRPr="004C78D8">
              <w:rPr>
                <w:sz w:val="18"/>
                <w:szCs w:val="18"/>
              </w:rPr>
              <w:fldChar w:fldCharType="end"/>
            </w:r>
            <w:r w:rsidRPr="004C78D8">
              <w:rPr>
                <w:sz w:val="18"/>
                <w:szCs w:val="18"/>
              </w:rPr>
            </w:r>
            <w:r w:rsidRPr="004C78D8">
              <w:rPr>
                <w:sz w:val="18"/>
                <w:szCs w:val="18"/>
              </w:rPr>
              <w:fldChar w:fldCharType="separate"/>
            </w:r>
            <w:r w:rsidR="00C630FC" w:rsidRPr="004C78D8">
              <w:rPr>
                <w:noProof/>
                <w:sz w:val="18"/>
                <w:szCs w:val="18"/>
              </w:rPr>
              <w:t>[358]</w:t>
            </w:r>
            <w:r w:rsidRPr="004C78D8">
              <w:rPr>
                <w:sz w:val="18"/>
                <w:szCs w:val="18"/>
              </w:rPr>
              <w:fldChar w:fldCharType="end"/>
            </w:r>
          </w:p>
        </w:tc>
        <w:tc>
          <w:tcPr>
            <w:tcW w:w="492" w:type="pct"/>
            <w:tcBorders>
              <w:top w:val="nil"/>
              <w:left w:val="nil"/>
              <w:bottom w:val="nil"/>
              <w:right w:val="nil"/>
            </w:tcBorders>
          </w:tcPr>
          <w:p w14:paraId="48662766" w14:textId="77777777" w:rsidR="00F94244" w:rsidRPr="004C78D8" w:rsidRDefault="00F94244" w:rsidP="00FB7C1F">
            <w:pPr>
              <w:jc w:val="left"/>
              <w:rPr>
                <w:sz w:val="18"/>
                <w:szCs w:val="18"/>
              </w:rPr>
            </w:pPr>
            <w:r w:rsidRPr="004C78D8">
              <w:rPr>
                <w:sz w:val="18"/>
                <w:szCs w:val="18"/>
              </w:rPr>
              <w:t>US, private insurers</w:t>
            </w:r>
          </w:p>
        </w:tc>
        <w:tc>
          <w:tcPr>
            <w:tcW w:w="950" w:type="pct"/>
            <w:tcBorders>
              <w:top w:val="nil"/>
              <w:left w:val="nil"/>
              <w:bottom w:val="nil"/>
              <w:right w:val="nil"/>
            </w:tcBorders>
          </w:tcPr>
          <w:p w14:paraId="120242CF" w14:textId="77777777" w:rsidR="00F94244" w:rsidRPr="004C78D8" w:rsidRDefault="00F94244" w:rsidP="00FB7C1F">
            <w:pPr>
              <w:jc w:val="left"/>
              <w:rPr>
                <w:sz w:val="18"/>
                <w:szCs w:val="18"/>
              </w:rPr>
            </w:pPr>
            <w:r w:rsidRPr="004C78D8">
              <w:rPr>
                <w:sz w:val="18"/>
                <w:szCs w:val="18"/>
              </w:rPr>
              <w:t>CD adults aged 65+</w:t>
            </w:r>
          </w:p>
        </w:tc>
        <w:tc>
          <w:tcPr>
            <w:tcW w:w="321" w:type="pct"/>
            <w:tcBorders>
              <w:top w:val="nil"/>
              <w:left w:val="nil"/>
              <w:bottom w:val="nil"/>
              <w:right w:val="nil"/>
            </w:tcBorders>
          </w:tcPr>
          <w:p w14:paraId="7BC9AF00" w14:textId="77777777" w:rsidR="00F94244" w:rsidRPr="004C78D8" w:rsidRDefault="00F94244" w:rsidP="00FB7C1F">
            <w:pPr>
              <w:jc w:val="left"/>
              <w:rPr>
                <w:sz w:val="18"/>
                <w:szCs w:val="18"/>
              </w:rPr>
            </w:pPr>
            <w:r w:rsidRPr="004C78D8">
              <w:rPr>
                <w:sz w:val="18"/>
                <w:szCs w:val="18"/>
              </w:rPr>
              <w:t>ROI</w:t>
            </w:r>
          </w:p>
        </w:tc>
        <w:tc>
          <w:tcPr>
            <w:tcW w:w="497" w:type="pct"/>
            <w:tcBorders>
              <w:top w:val="nil"/>
              <w:left w:val="nil"/>
              <w:bottom w:val="nil"/>
              <w:right w:val="nil"/>
            </w:tcBorders>
          </w:tcPr>
          <w:p w14:paraId="034B8EDC" w14:textId="77777777" w:rsidR="00F94244" w:rsidRPr="004C78D8" w:rsidRDefault="00F94244" w:rsidP="00FB7C1F">
            <w:pPr>
              <w:jc w:val="left"/>
              <w:rPr>
                <w:sz w:val="18"/>
                <w:szCs w:val="18"/>
              </w:rPr>
            </w:pPr>
            <w:r w:rsidRPr="004C78D8">
              <w:rPr>
                <w:sz w:val="18"/>
                <w:szCs w:val="18"/>
              </w:rPr>
              <w:t>US health insurance payer</w:t>
            </w:r>
          </w:p>
        </w:tc>
        <w:tc>
          <w:tcPr>
            <w:tcW w:w="952" w:type="pct"/>
            <w:tcBorders>
              <w:top w:val="nil"/>
              <w:left w:val="nil"/>
              <w:bottom w:val="nil"/>
              <w:right w:val="nil"/>
            </w:tcBorders>
          </w:tcPr>
          <w:p w14:paraId="04B44B24" w14:textId="77777777" w:rsidR="00F94244" w:rsidRPr="004C78D8" w:rsidRDefault="00F94244" w:rsidP="00FB7C1F">
            <w:pPr>
              <w:jc w:val="left"/>
              <w:rPr>
                <w:sz w:val="18"/>
                <w:szCs w:val="18"/>
              </w:rPr>
            </w:pPr>
            <w:r w:rsidRPr="004C78D8">
              <w:rPr>
                <w:sz w:val="18"/>
                <w:szCs w:val="18"/>
              </w:rPr>
              <w:t>Exercise (2 forms); MC int. (Stepping On) [NR]</w:t>
            </w:r>
          </w:p>
        </w:tc>
        <w:tc>
          <w:tcPr>
            <w:tcW w:w="453" w:type="pct"/>
            <w:tcBorders>
              <w:top w:val="nil"/>
              <w:left w:val="nil"/>
              <w:bottom w:val="nil"/>
              <w:right w:val="nil"/>
            </w:tcBorders>
          </w:tcPr>
          <w:p w14:paraId="13B366EB" w14:textId="77777777" w:rsidR="00F94244" w:rsidRPr="004C78D8" w:rsidRDefault="00F94244" w:rsidP="00FB7C1F">
            <w:pPr>
              <w:jc w:val="left"/>
              <w:rPr>
                <w:sz w:val="18"/>
                <w:szCs w:val="18"/>
              </w:rPr>
            </w:pPr>
            <w:r w:rsidRPr="004C78D8">
              <w:rPr>
                <w:sz w:val="18"/>
                <w:szCs w:val="18"/>
              </w:rPr>
              <w:t>Binary decision</w:t>
            </w:r>
          </w:p>
        </w:tc>
        <w:tc>
          <w:tcPr>
            <w:tcW w:w="355" w:type="pct"/>
            <w:tcBorders>
              <w:top w:val="nil"/>
              <w:left w:val="nil"/>
              <w:bottom w:val="nil"/>
              <w:right w:val="nil"/>
            </w:tcBorders>
          </w:tcPr>
          <w:p w14:paraId="648010BD" w14:textId="77777777" w:rsidR="00F94244" w:rsidRPr="004C78D8" w:rsidRDefault="00F94244" w:rsidP="00FB7C1F">
            <w:pPr>
              <w:jc w:val="left"/>
              <w:rPr>
                <w:sz w:val="18"/>
                <w:szCs w:val="18"/>
              </w:rPr>
            </w:pPr>
            <w:r w:rsidRPr="004C78D8">
              <w:rPr>
                <w:sz w:val="18"/>
                <w:szCs w:val="18"/>
              </w:rPr>
              <w:t>1 year</w:t>
            </w:r>
          </w:p>
        </w:tc>
        <w:tc>
          <w:tcPr>
            <w:tcW w:w="377" w:type="pct"/>
            <w:tcBorders>
              <w:top w:val="nil"/>
              <w:left w:val="nil"/>
              <w:bottom w:val="nil"/>
            </w:tcBorders>
          </w:tcPr>
          <w:p w14:paraId="200F0947" w14:textId="77777777" w:rsidR="00F94244" w:rsidRPr="004C78D8" w:rsidRDefault="00F94244" w:rsidP="00FB7C1F">
            <w:pPr>
              <w:jc w:val="left"/>
              <w:rPr>
                <w:sz w:val="18"/>
                <w:szCs w:val="18"/>
              </w:rPr>
            </w:pPr>
            <w:r w:rsidRPr="004C78D8">
              <w:rPr>
                <w:sz w:val="18"/>
                <w:szCs w:val="18"/>
              </w:rPr>
              <w:t>18.5</w:t>
            </w:r>
          </w:p>
        </w:tc>
      </w:tr>
      <w:tr w:rsidR="00F94244" w:rsidRPr="004C78D8" w14:paraId="5A085062" w14:textId="77777777" w:rsidTr="002828C1">
        <w:tc>
          <w:tcPr>
            <w:tcW w:w="149" w:type="pct"/>
            <w:tcBorders>
              <w:top w:val="nil"/>
              <w:bottom w:val="nil"/>
              <w:right w:val="nil"/>
            </w:tcBorders>
          </w:tcPr>
          <w:p w14:paraId="676763CB" w14:textId="77777777" w:rsidR="00F94244" w:rsidRPr="004C78D8" w:rsidRDefault="00F94244" w:rsidP="00FB7C1F">
            <w:pPr>
              <w:jc w:val="left"/>
              <w:rPr>
                <w:sz w:val="18"/>
                <w:szCs w:val="18"/>
              </w:rPr>
            </w:pPr>
            <w:r w:rsidRPr="004C78D8">
              <w:rPr>
                <w:sz w:val="18"/>
                <w:szCs w:val="18"/>
              </w:rPr>
              <w:t>7</w:t>
            </w:r>
          </w:p>
        </w:tc>
        <w:tc>
          <w:tcPr>
            <w:tcW w:w="455" w:type="pct"/>
            <w:tcBorders>
              <w:top w:val="nil"/>
              <w:left w:val="nil"/>
              <w:bottom w:val="nil"/>
              <w:right w:val="nil"/>
            </w:tcBorders>
          </w:tcPr>
          <w:p w14:paraId="046C5FCE" w14:textId="3D8B98FE" w:rsidR="00F94244" w:rsidRPr="004C78D8" w:rsidRDefault="00F94244" w:rsidP="00FB7C1F">
            <w:pPr>
              <w:jc w:val="left"/>
              <w:rPr>
                <w:sz w:val="18"/>
                <w:szCs w:val="18"/>
              </w:rPr>
            </w:pPr>
            <w:r w:rsidRPr="004C78D8">
              <w:rPr>
                <w:sz w:val="18"/>
                <w:szCs w:val="18"/>
              </w:rPr>
              <w:t xml:space="preserve">CSP (2016) </w:t>
            </w:r>
            <w:r w:rsidRPr="004C78D8">
              <w:rPr>
                <w:sz w:val="18"/>
                <w:szCs w:val="18"/>
              </w:rPr>
              <w:fldChar w:fldCharType="begin"/>
            </w:r>
            <w:r w:rsidR="00C630FC" w:rsidRPr="004C78D8">
              <w:rPr>
                <w:sz w:val="18"/>
                <w:szCs w:val="18"/>
              </w:rPr>
              <w:instrText xml:space="preserve"> ADDIN EN.CITE &lt;EndNote&gt;&lt;Cite&gt;&lt;Author&gt;Chartered Society of Physiotherapy&lt;/Author&gt;&lt;Year&gt;2016&lt;/Year&gt;&lt;RecNum&gt;375&lt;/RecNum&gt;&lt;DisplayText&gt;[359]&lt;/DisplayText&gt;&lt;record&gt;&lt;rec-number&gt;375&lt;/rec-number&gt;&lt;foreign-keys&gt;&lt;key app="EN" db-id="tdtrdw9aepptzbefsat599syza29sxsd2wsp" timestamp="1612625004"&gt;375&lt;/key&gt;&lt;/foreign-keys&gt;&lt;ref-type name="Manuscript"&gt;36&lt;/ref-type&gt;&lt;contributors&gt;&lt;authors&gt;&lt;author&gt;Chartered Society of Physiotherapy,&lt;/author&gt;&lt;/authors&gt;&lt;secondary-authors&gt;&lt;author&gt;West and South Yorkshire and Bassetlaw Commissioning Support Unit (WSYBCSU)&lt;/author&gt;&lt;/secondary-authors&gt;&lt;/contributors&gt;&lt;titles&gt;&lt;title&gt;The falls prevention economic model: Physiotherapy commissioning support tool&lt;/title&gt;&lt;/titles&gt;&lt;dates&gt;&lt;year&gt;2016&lt;/year&gt;&lt;/dates&gt;&lt;urls&gt;&lt;/urls&gt;&lt;/record&gt;&lt;/Cite&gt;&lt;/EndNote&gt;</w:instrText>
            </w:r>
            <w:r w:rsidRPr="004C78D8">
              <w:rPr>
                <w:sz w:val="18"/>
                <w:szCs w:val="18"/>
              </w:rPr>
              <w:fldChar w:fldCharType="separate"/>
            </w:r>
            <w:r w:rsidR="00C630FC" w:rsidRPr="004C78D8">
              <w:rPr>
                <w:noProof/>
                <w:sz w:val="18"/>
                <w:szCs w:val="18"/>
              </w:rPr>
              <w:t>[359]</w:t>
            </w:r>
            <w:r w:rsidRPr="004C78D8">
              <w:rPr>
                <w:sz w:val="18"/>
                <w:szCs w:val="18"/>
              </w:rPr>
              <w:fldChar w:fldCharType="end"/>
            </w:r>
          </w:p>
        </w:tc>
        <w:tc>
          <w:tcPr>
            <w:tcW w:w="492" w:type="pct"/>
            <w:tcBorders>
              <w:top w:val="nil"/>
              <w:left w:val="nil"/>
              <w:bottom w:val="nil"/>
              <w:right w:val="nil"/>
            </w:tcBorders>
          </w:tcPr>
          <w:p w14:paraId="4CA41B61" w14:textId="77777777" w:rsidR="00F94244" w:rsidRPr="004C78D8" w:rsidRDefault="00F94244" w:rsidP="00FB7C1F">
            <w:pPr>
              <w:jc w:val="left"/>
              <w:rPr>
                <w:sz w:val="18"/>
                <w:szCs w:val="18"/>
              </w:rPr>
            </w:pPr>
            <w:r w:rsidRPr="004C78D8">
              <w:rPr>
                <w:sz w:val="18"/>
                <w:szCs w:val="18"/>
              </w:rPr>
              <w:t>UK, varying regions</w:t>
            </w:r>
          </w:p>
        </w:tc>
        <w:tc>
          <w:tcPr>
            <w:tcW w:w="950" w:type="pct"/>
            <w:tcBorders>
              <w:top w:val="nil"/>
              <w:left w:val="nil"/>
              <w:bottom w:val="nil"/>
              <w:right w:val="nil"/>
            </w:tcBorders>
          </w:tcPr>
          <w:p w14:paraId="4EBB4542" w14:textId="77777777" w:rsidR="00F94244" w:rsidRPr="004C78D8" w:rsidRDefault="00F94244" w:rsidP="00FB7C1F">
            <w:pPr>
              <w:jc w:val="left"/>
              <w:rPr>
                <w:sz w:val="18"/>
                <w:szCs w:val="18"/>
              </w:rPr>
            </w:pPr>
            <w:r w:rsidRPr="004C78D8">
              <w:rPr>
                <w:sz w:val="18"/>
                <w:szCs w:val="18"/>
              </w:rPr>
              <w:t>CD adults aged 65+</w:t>
            </w:r>
          </w:p>
        </w:tc>
        <w:tc>
          <w:tcPr>
            <w:tcW w:w="321" w:type="pct"/>
            <w:tcBorders>
              <w:top w:val="nil"/>
              <w:left w:val="nil"/>
              <w:bottom w:val="nil"/>
              <w:right w:val="nil"/>
            </w:tcBorders>
          </w:tcPr>
          <w:p w14:paraId="015CD9D6" w14:textId="77777777" w:rsidR="00F94244" w:rsidRPr="004C78D8" w:rsidRDefault="00F94244" w:rsidP="00FB7C1F">
            <w:pPr>
              <w:jc w:val="left"/>
              <w:rPr>
                <w:sz w:val="18"/>
                <w:szCs w:val="18"/>
              </w:rPr>
            </w:pPr>
            <w:r w:rsidRPr="004C78D8">
              <w:rPr>
                <w:sz w:val="18"/>
                <w:szCs w:val="18"/>
              </w:rPr>
              <w:t>ROI</w:t>
            </w:r>
          </w:p>
        </w:tc>
        <w:tc>
          <w:tcPr>
            <w:tcW w:w="497" w:type="pct"/>
            <w:tcBorders>
              <w:top w:val="nil"/>
              <w:left w:val="nil"/>
              <w:bottom w:val="nil"/>
              <w:right w:val="nil"/>
            </w:tcBorders>
          </w:tcPr>
          <w:p w14:paraId="621D8696" w14:textId="77777777" w:rsidR="00F94244" w:rsidRPr="004C78D8" w:rsidRDefault="00F94244" w:rsidP="00FB7C1F">
            <w:pPr>
              <w:jc w:val="left"/>
              <w:rPr>
                <w:sz w:val="18"/>
                <w:szCs w:val="18"/>
              </w:rPr>
            </w:pPr>
            <w:r w:rsidRPr="004C78D8">
              <w:rPr>
                <w:sz w:val="18"/>
                <w:szCs w:val="18"/>
              </w:rPr>
              <w:t>Public sector</w:t>
            </w:r>
          </w:p>
        </w:tc>
        <w:tc>
          <w:tcPr>
            <w:tcW w:w="952" w:type="pct"/>
            <w:tcBorders>
              <w:top w:val="nil"/>
              <w:left w:val="nil"/>
              <w:bottom w:val="nil"/>
              <w:right w:val="nil"/>
            </w:tcBorders>
          </w:tcPr>
          <w:p w14:paraId="21C109E7" w14:textId="77777777" w:rsidR="00F94244" w:rsidRPr="004C78D8" w:rsidRDefault="00F94244" w:rsidP="00FB7C1F">
            <w:pPr>
              <w:jc w:val="left"/>
              <w:rPr>
                <w:sz w:val="18"/>
                <w:szCs w:val="18"/>
              </w:rPr>
            </w:pPr>
            <w:r w:rsidRPr="004C78D8">
              <w:rPr>
                <w:sz w:val="18"/>
                <w:szCs w:val="18"/>
              </w:rPr>
              <w:t>FRS + Exercise (physiotherapy) [NR]</w:t>
            </w:r>
          </w:p>
        </w:tc>
        <w:tc>
          <w:tcPr>
            <w:tcW w:w="453" w:type="pct"/>
            <w:tcBorders>
              <w:top w:val="nil"/>
              <w:left w:val="nil"/>
              <w:bottom w:val="nil"/>
              <w:right w:val="nil"/>
            </w:tcBorders>
          </w:tcPr>
          <w:p w14:paraId="05A5A6F5" w14:textId="77777777" w:rsidR="00F94244" w:rsidRPr="004C78D8" w:rsidRDefault="00F94244" w:rsidP="00FB7C1F">
            <w:pPr>
              <w:jc w:val="left"/>
              <w:rPr>
                <w:sz w:val="18"/>
                <w:szCs w:val="18"/>
              </w:rPr>
            </w:pPr>
            <w:r w:rsidRPr="004C78D8">
              <w:rPr>
                <w:sz w:val="18"/>
                <w:szCs w:val="18"/>
              </w:rPr>
              <w:t>DT</w:t>
            </w:r>
          </w:p>
        </w:tc>
        <w:tc>
          <w:tcPr>
            <w:tcW w:w="355" w:type="pct"/>
            <w:tcBorders>
              <w:top w:val="nil"/>
              <w:left w:val="nil"/>
              <w:bottom w:val="nil"/>
              <w:right w:val="nil"/>
            </w:tcBorders>
          </w:tcPr>
          <w:p w14:paraId="3F02B5C8" w14:textId="77777777" w:rsidR="00F94244" w:rsidRPr="004C78D8" w:rsidRDefault="00F94244" w:rsidP="00FB7C1F">
            <w:pPr>
              <w:jc w:val="left"/>
              <w:rPr>
                <w:sz w:val="18"/>
                <w:szCs w:val="18"/>
              </w:rPr>
            </w:pPr>
            <w:r w:rsidRPr="004C78D8">
              <w:rPr>
                <w:sz w:val="18"/>
                <w:szCs w:val="18"/>
              </w:rPr>
              <w:t>1 year</w:t>
            </w:r>
          </w:p>
        </w:tc>
        <w:tc>
          <w:tcPr>
            <w:tcW w:w="377" w:type="pct"/>
            <w:tcBorders>
              <w:top w:val="nil"/>
              <w:left w:val="nil"/>
              <w:bottom w:val="nil"/>
            </w:tcBorders>
          </w:tcPr>
          <w:p w14:paraId="66049D02" w14:textId="77777777" w:rsidR="00F94244" w:rsidRPr="004C78D8" w:rsidRDefault="00F94244" w:rsidP="00FB7C1F">
            <w:pPr>
              <w:jc w:val="left"/>
              <w:rPr>
                <w:sz w:val="18"/>
                <w:szCs w:val="18"/>
              </w:rPr>
            </w:pPr>
            <w:r w:rsidRPr="004C78D8">
              <w:rPr>
                <w:sz w:val="18"/>
                <w:szCs w:val="18"/>
              </w:rPr>
              <w:t>17.5</w:t>
            </w:r>
          </w:p>
        </w:tc>
      </w:tr>
      <w:tr w:rsidR="00F94244" w:rsidRPr="004C78D8" w14:paraId="5DB9A7AD" w14:textId="77777777" w:rsidTr="002828C1">
        <w:tc>
          <w:tcPr>
            <w:tcW w:w="149" w:type="pct"/>
            <w:tcBorders>
              <w:top w:val="nil"/>
              <w:bottom w:val="nil"/>
              <w:right w:val="nil"/>
            </w:tcBorders>
          </w:tcPr>
          <w:p w14:paraId="0C00A6B5" w14:textId="77777777" w:rsidR="00F94244" w:rsidRPr="004C78D8" w:rsidRDefault="00F94244" w:rsidP="00FB7C1F">
            <w:pPr>
              <w:jc w:val="left"/>
              <w:rPr>
                <w:sz w:val="18"/>
                <w:szCs w:val="18"/>
              </w:rPr>
            </w:pPr>
            <w:r w:rsidRPr="004C78D8">
              <w:rPr>
                <w:sz w:val="18"/>
                <w:szCs w:val="18"/>
              </w:rPr>
              <w:t>8</w:t>
            </w:r>
          </w:p>
        </w:tc>
        <w:tc>
          <w:tcPr>
            <w:tcW w:w="455" w:type="pct"/>
            <w:tcBorders>
              <w:top w:val="nil"/>
              <w:left w:val="nil"/>
              <w:bottom w:val="nil"/>
              <w:right w:val="nil"/>
            </w:tcBorders>
          </w:tcPr>
          <w:p w14:paraId="10081ED6" w14:textId="07B08E5E" w:rsidR="00F94244" w:rsidRPr="004C78D8" w:rsidRDefault="00F94244" w:rsidP="00FB7C1F">
            <w:pPr>
              <w:jc w:val="left"/>
              <w:rPr>
                <w:sz w:val="18"/>
                <w:szCs w:val="18"/>
              </w:rPr>
            </w:pPr>
            <w:r w:rsidRPr="004C78D8">
              <w:rPr>
                <w:sz w:val="18"/>
                <w:szCs w:val="18"/>
              </w:rPr>
              <w:t xml:space="preserve">Church (2011) </w:t>
            </w:r>
            <w:r w:rsidRPr="004C78D8">
              <w:rPr>
                <w:sz w:val="18"/>
                <w:szCs w:val="18"/>
              </w:rPr>
              <w:fldChar w:fldCharType="begin"/>
            </w:r>
            <w:r w:rsidR="00C630FC" w:rsidRPr="004C78D8">
              <w:rPr>
                <w:sz w:val="18"/>
                <w:szCs w:val="18"/>
              </w:rPr>
              <w:instrText xml:space="preserve"> ADDIN EN.CITE &lt;EndNote&gt;&lt;Cite&gt;&lt;Author&gt;Church&lt;/Author&gt;&lt;Year&gt;2011&lt;/Year&gt;&lt;RecNum&gt;344&lt;/RecNum&gt;&lt;DisplayText&gt;[360]&lt;/DisplayText&gt;&lt;record&gt;&lt;rec-number&gt;344&lt;/rec-number&gt;&lt;foreign-keys&gt;&lt;key app="EN" db-id="tdtrdw9aepptzbefsat599syza29sxsd2wsp" timestamp="1612211696"&gt;344&lt;/key&gt;&lt;/foreign-keys&gt;&lt;ref-type name="Journal Article"&gt;17&lt;/ref-type&gt;&lt;contributors&gt;&lt;authors&gt;&lt;author&gt;Church, Jody&lt;/author&gt;&lt;author&gt;Goodall, Stephen&lt;/author&gt;&lt;author&gt;Norman, Richard&lt;/author&gt;&lt;author&gt;Haas, Marion&lt;/author&gt;&lt;/authors&gt;&lt;/contributors&gt;&lt;titles&gt;&lt;title&gt;An economic evaluation of community and residential aged care falls prevention strategies in NSW&lt;/title&gt;&lt;secondary-title&gt;New South Wales public health bulletin&lt;/secondary-title&gt;&lt;/titles&gt;&lt;periodical&gt;&lt;full-title&gt;New South Wales public health bulletin&lt;/full-title&gt;&lt;/periodical&gt;&lt;pages&gt;60-8&lt;/pages&gt;&lt;volume&gt;22&lt;/volume&gt;&lt;number&gt;3-4&lt;/number&gt;&lt;section&gt;Church, Jody. Centre for Health Economics Research and Evaluation, University of Technology, Sydney, Australia. jody.church@chere.uts.edu.au&lt;/section&gt;&lt;keywords&gt;&lt;keyword&gt;*Accidental Falls/ec [Economics]&lt;/keyword&gt;&lt;keyword&gt;*Accidental Falls/pc [Prevention &amp;amp; Control]&lt;/keyword&gt;&lt;keyword&gt;Aged&lt;/keyword&gt;&lt;keyword&gt;Cataract Extraction&lt;/keyword&gt;&lt;keyword&gt;Cost-Benefit Analysis&lt;/keyword&gt;&lt;keyword&gt;Female&lt;/keyword&gt;&lt;keyword&gt;Humans&lt;/keyword&gt;&lt;keyword&gt;Male&lt;/keyword&gt;&lt;keyword&gt;New South Wales&lt;/keyword&gt;&lt;keyword&gt;*Primary Prevention/ec [Economics]&lt;/keyword&gt;&lt;keyword&gt;Primary Prevention/mt [Methods]&lt;/keyword&gt;&lt;keyword&gt;Psychotropic Drugs/ad [Administration &amp;amp; Dosage]&lt;/keyword&gt;&lt;keyword&gt;Residential Facilities/sn [Statistics &amp;amp; Numerical Data]&lt;/keyword&gt;&lt;keyword&gt;Tai Ji&lt;/keyword&gt;&lt;keyword&gt;Vitamin D/ad [Administration &amp;amp; Dosage]&lt;/keyword&gt;&lt;/keywords&gt;&lt;dates&gt;&lt;year&gt;2011&lt;/year&gt;&lt;/dates&gt;&lt;pub-location&gt;Australia&lt;/pub-location&gt;&lt;isbn&gt;1839-4345&amp;#xD;1034-7674&lt;/isbn&gt;&lt;urls&gt;&lt;related-urls&gt;&lt;url&gt;http://ovidsp.ovid.com/ovidweb.cgi?T=JS&amp;amp;PAGE=reference&amp;amp;D=med7&amp;amp;NEWS=N&amp;amp;AN=21632001&lt;/url&gt;&lt;/related-urls&gt;&lt;/urls&gt;&lt;electronic-resource-num&gt;https://dx.doi.org/10.1071/NB10051&lt;/electronic-resource-num&gt;&lt;/record&gt;&lt;/Cite&gt;&lt;/EndNote&gt;</w:instrText>
            </w:r>
            <w:r w:rsidRPr="004C78D8">
              <w:rPr>
                <w:sz w:val="18"/>
                <w:szCs w:val="18"/>
              </w:rPr>
              <w:fldChar w:fldCharType="separate"/>
            </w:r>
            <w:r w:rsidR="00C630FC" w:rsidRPr="004C78D8">
              <w:rPr>
                <w:noProof/>
                <w:sz w:val="18"/>
                <w:szCs w:val="18"/>
              </w:rPr>
              <w:t>[360]</w:t>
            </w:r>
            <w:r w:rsidRPr="004C78D8">
              <w:rPr>
                <w:sz w:val="18"/>
                <w:szCs w:val="18"/>
              </w:rPr>
              <w:fldChar w:fldCharType="end"/>
            </w:r>
          </w:p>
        </w:tc>
        <w:tc>
          <w:tcPr>
            <w:tcW w:w="492" w:type="pct"/>
            <w:tcBorders>
              <w:top w:val="nil"/>
              <w:left w:val="nil"/>
              <w:bottom w:val="nil"/>
              <w:right w:val="nil"/>
            </w:tcBorders>
          </w:tcPr>
          <w:p w14:paraId="2293AA3F" w14:textId="77777777" w:rsidR="00F94244" w:rsidRPr="004C78D8" w:rsidRDefault="00F94244" w:rsidP="00FB7C1F">
            <w:pPr>
              <w:jc w:val="left"/>
              <w:rPr>
                <w:sz w:val="18"/>
                <w:szCs w:val="18"/>
              </w:rPr>
            </w:pPr>
            <w:r w:rsidRPr="004C78D8">
              <w:rPr>
                <w:sz w:val="18"/>
                <w:szCs w:val="18"/>
              </w:rPr>
              <w:t>Australia, NSW</w:t>
            </w:r>
          </w:p>
        </w:tc>
        <w:tc>
          <w:tcPr>
            <w:tcW w:w="950" w:type="pct"/>
            <w:tcBorders>
              <w:top w:val="nil"/>
              <w:left w:val="nil"/>
              <w:bottom w:val="nil"/>
              <w:right w:val="nil"/>
            </w:tcBorders>
          </w:tcPr>
          <w:p w14:paraId="15F6F6B3" w14:textId="77777777" w:rsidR="00F94244" w:rsidRPr="004C78D8" w:rsidRDefault="00F94244" w:rsidP="00FB7C1F">
            <w:pPr>
              <w:jc w:val="left"/>
              <w:rPr>
                <w:sz w:val="18"/>
                <w:szCs w:val="18"/>
              </w:rPr>
            </w:pPr>
            <w:r w:rsidRPr="004C78D8">
              <w:rPr>
                <w:sz w:val="18"/>
                <w:szCs w:val="18"/>
              </w:rPr>
              <w:t>CD adults aged 65+ (separate model for residential care)</w:t>
            </w:r>
          </w:p>
        </w:tc>
        <w:tc>
          <w:tcPr>
            <w:tcW w:w="321" w:type="pct"/>
            <w:tcBorders>
              <w:top w:val="nil"/>
              <w:left w:val="nil"/>
              <w:bottom w:val="nil"/>
              <w:right w:val="nil"/>
            </w:tcBorders>
          </w:tcPr>
          <w:p w14:paraId="3E62F344" w14:textId="77777777" w:rsidR="00F94244" w:rsidRPr="004C78D8" w:rsidRDefault="00F94244" w:rsidP="00FB7C1F">
            <w:pPr>
              <w:jc w:val="left"/>
              <w:rPr>
                <w:sz w:val="18"/>
                <w:szCs w:val="18"/>
              </w:rPr>
            </w:pPr>
            <w:r w:rsidRPr="004C78D8">
              <w:rPr>
                <w:sz w:val="18"/>
                <w:szCs w:val="18"/>
              </w:rPr>
              <w:t>CEA; CUA</w:t>
            </w:r>
          </w:p>
        </w:tc>
        <w:tc>
          <w:tcPr>
            <w:tcW w:w="497" w:type="pct"/>
            <w:tcBorders>
              <w:top w:val="nil"/>
              <w:left w:val="nil"/>
              <w:bottom w:val="nil"/>
              <w:right w:val="nil"/>
            </w:tcBorders>
          </w:tcPr>
          <w:p w14:paraId="751B410E" w14:textId="77777777" w:rsidR="00F94244" w:rsidRPr="004C78D8" w:rsidRDefault="00F94244" w:rsidP="00FB7C1F">
            <w:pPr>
              <w:jc w:val="left"/>
              <w:rPr>
                <w:sz w:val="18"/>
                <w:szCs w:val="18"/>
              </w:rPr>
            </w:pPr>
            <w:r w:rsidRPr="004C78D8">
              <w:rPr>
                <w:sz w:val="18"/>
                <w:szCs w:val="18"/>
              </w:rPr>
              <w:t>Public sector</w:t>
            </w:r>
          </w:p>
        </w:tc>
        <w:tc>
          <w:tcPr>
            <w:tcW w:w="952" w:type="pct"/>
            <w:tcBorders>
              <w:top w:val="nil"/>
              <w:left w:val="nil"/>
              <w:bottom w:val="nil"/>
              <w:right w:val="nil"/>
            </w:tcBorders>
          </w:tcPr>
          <w:p w14:paraId="319BAF9F" w14:textId="77777777" w:rsidR="00F94244" w:rsidRPr="004C78D8" w:rsidRDefault="00F94244" w:rsidP="00FB7C1F">
            <w:pPr>
              <w:jc w:val="left"/>
              <w:rPr>
                <w:sz w:val="18"/>
                <w:szCs w:val="18"/>
              </w:rPr>
            </w:pPr>
            <w:r w:rsidRPr="004C78D8">
              <w:rPr>
                <w:sz w:val="18"/>
                <w:szCs w:val="18"/>
              </w:rPr>
              <w:t>Exercise (3 forms); MC int.; MF int.; MRA; Exp. cataract surgery; Med. modification; Cardiac pacing [NR]</w:t>
            </w:r>
          </w:p>
        </w:tc>
        <w:tc>
          <w:tcPr>
            <w:tcW w:w="453" w:type="pct"/>
            <w:tcBorders>
              <w:top w:val="nil"/>
              <w:left w:val="nil"/>
              <w:bottom w:val="nil"/>
              <w:right w:val="nil"/>
            </w:tcBorders>
          </w:tcPr>
          <w:p w14:paraId="3CAD3237" w14:textId="77777777" w:rsidR="00F94244" w:rsidRPr="004C78D8" w:rsidRDefault="00F94244" w:rsidP="00FB7C1F">
            <w:pPr>
              <w:jc w:val="left"/>
              <w:rPr>
                <w:sz w:val="18"/>
                <w:szCs w:val="18"/>
              </w:rPr>
            </w:pPr>
            <w:r w:rsidRPr="004C78D8">
              <w:rPr>
                <w:sz w:val="18"/>
                <w:szCs w:val="18"/>
              </w:rPr>
              <w:t>Markov cohort</w:t>
            </w:r>
          </w:p>
        </w:tc>
        <w:tc>
          <w:tcPr>
            <w:tcW w:w="355" w:type="pct"/>
            <w:tcBorders>
              <w:top w:val="nil"/>
              <w:left w:val="nil"/>
              <w:bottom w:val="nil"/>
              <w:right w:val="nil"/>
            </w:tcBorders>
          </w:tcPr>
          <w:p w14:paraId="5B6C3E72" w14:textId="77777777" w:rsidR="00F94244" w:rsidRPr="004C78D8" w:rsidRDefault="00F94244" w:rsidP="00FB7C1F">
            <w:pPr>
              <w:jc w:val="left"/>
              <w:rPr>
                <w:sz w:val="18"/>
                <w:szCs w:val="18"/>
              </w:rPr>
            </w:pPr>
            <w:r w:rsidRPr="004C78D8">
              <w:rPr>
                <w:sz w:val="18"/>
                <w:szCs w:val="18"/>
              </w:rPr>
              <w:t>10 years</w:t>
            </w:r>
          </w:p>
        </w:tc>
        <w:tc>
          <w:tcPr>
            <w:tcW w:w="377" w:type="pct"/>
            <w:tcBorders>
              <w:top w:val="nil"/>
              <w:left w:val="nil"/>
              <w:bottom w:val="nil"/>
            </w:tcBorders>
          </w:tcPr>
          <w:p w14:paraId="62A48CC7" w14:textId="77777777" w:rsidR="00F94244" w:rsidRPr="004C78D8" w:rsidRDefault="00F94244" w:rsidP="00FB7C1F">
            <w:pPr>
              <w:jc w:val="left"/>
              <w:rPr>
                <w:sz w:val="18"/>
                <w:szCs w:val="18"/>
              </w:rPr>
            </w:pPr>
            <w:r w:rsidRPr="004C78D8">
              <w:rPr>
                <w:sz w:val="18"/>
                <w:szCs w:val="18"/>
              </w:rPr>
              <w:t>15.5</w:t>
            </w:r>
          </w:p>
        </w:tc>
      </w:tr>
      <w:tr w:rsidR="00F94244" w:rsidRPr="004C78D8" w14:paraId="6EF78DC1" w14:textId="77777777" w:rsidTr="002828C1">
        <w:tc>
          <w:tcPr>
            <w:tcW w:w="149" w:type="pct"/>
            <w:tcBorders>
              <w:top w:val="nil"/>
              <w:bottom w:val="nil"/>
              <w:right w:val="nil"/>
            </w:tcBorders>
          </w:tcPr>
          <w:p w14:paraId="36627B94" w14:textId="77777777" w:rsidR="00F94244" w:rsidRPr="004C78D8" w:rsidRDefault="00F94244" w:rsidP="00FB7C1F">
            <w:pPr>
              <w:jc w:val="left"/>
              <w:rPr>
                <w:sz w:val="18"/>
                <w:szCs w:val="18"/>
              </w:rPr>
            </w:pPr>
            <w:r w:rsidRPr="004C78D8">
              <w:rPr>
                <w:sz w:val="18"/>
                <w:szCs w:val="18"/>
              </w:rPr>
              <w:t>9</w:t>
            </w:r>
          </w:p>
        </w:tc>
        <w:tc>
          <w:tcPr>
            <w:tcW w:w="455" w:type="pct"/>
            <w:tcBorders>
              <w:top w:val="nil"/>
              <w:left w:val="nil"/>
              <w:bottom w:val="nil"/>
              <w:right w:val="nil"/>
            </w:tcBorders>
          </w:tcPr>
          <w:p w14:paraId="7B2BAD89" w14:textId="43136B21" w:rsidR="00F94244" w:rsidRPr="004C78D8" w:rsidRDefault="00F94244" w:rsidP="00FB7C1F">
            <w:pPr>
              <w:jc w:val="left"/>
              <w:rPr>
                <w:sz w:val="18"/>
                <w:szCs w:val="18"/>
              </w:rPr>
            </w:pPr>
            <w:r w:rsidRPr="004C78D8">
              <w:rPr>
                <w:sz w:val="18"/>
                <w:szCs w:val="18"/>
              </w:rPr>
              <w:t xml:space="preserve">Church (2012) </w:t>
            </w:r>
            <w:r w:rsidRPr="004C78D8">
              <w:rPr>
                <w:sz w:val="18"/>
                <w:szCs w:val="18"/>
              </w:rPr>
              <w:fldChar w:fldCharType="begin"/>
            </w:r>
            <w:r w:rsidR="00C630FC" w:rsidRPr="004C78D8">
              <w:rPr>
                <w:sz w:val="18"/>
                <w:szCs w:val="18"/>
              </w:rPr>
              <w:instrText xml:space="preserve"> ADDIN EN.CITE &lt;EndNote&gt;&lt;Cite&gt;&lt;Author&gt;Church&lt;/Author&gt;&lt;Year&gt;2012&lt;/Year&gt;&lt;RecNum&gt;345&lt;/RecNum&gt;&lt;DisplayText&gt;[351]&lt;/DisplayText&gt;&lt;record&gt;&lt;rec-number&gt;345&lt;/rec-number&gt;&lt;foreign-keys&gt;&lt;key app="EN" db-id="tdtrdw9aepptzbefsat599syza29sxsd2wsp" timestamp="1612211696"&gt;345&lt;/key&gt;&lt;/foreign-keys&gt;&lt;ref-type name="Journal Article"&gt;17&lt;/ref-type&gt;&lt;contributors&gt;&lt;authors&gt;&lt;author&gt;Church, J.&lt;/author&gt;&lt;author&gt;Goodall, S.&lt;/author&gt;&lt;author&gt;Norman, R.&lt;/author&gt;&lt;author&gt;Haas, M.&lt;/author&gt;&lt;/authors&gt;&lt;/contributors&gt;&lt;auth-address&gt;Centre for Health Economics Research and Evaluation, University of Technology, New South Wales.&lt;/auth-address&gt;&lt;titles&gt;&lt;title&gt;The cost-effectiveness of falls prevention interventions for older community-dwelling Australians&lt;/title&gt;&lt;secondary-title&gt;Aust N Z J Public Health&lt;/secondary-title&gt;&lt;/titles&gt;&lt;periodical&gt;&lt;full-title&gt;Aust N Z J Public Health&lt;/full-title&gt;&lt;/periodical&gt;&lt;pages&gt;241-8&lt;/pages&gt;&lt;volume&gt;36&lt;/volume&gt;&lt;number&gt;3&lt;/number&gt;&lt;keywords&gt;&lt;keyword&gt;Accidental Falls/*economics/*prevention &amp;amp; control&lt;/keyword&gt;&lt;keyword&gt;Accidents, Home/economics/prevention &amp;amp; control&lt;/keyword&gt;&lt;keyword&gt;Aged&lt;/keyword&gt;&lt;keyword&gt;Australia&lt;/keyword&gt;&lt;keyword&gt;Cost-Benefit Analysis&lt;/keyword&gt;&lt;keyword&gt;Environment Design&lt;/keyword&gt;&lt;keyword&gt;Exercise/*physiology&lt;/keyword&gt;&lt;keyword&gt;Female&lt;/keyword&gt;&lt;keyword&gt;Humans&lt;/keyword&gt;&lt;keyword&gt;Male&lt;/keyword&gt;&lt;keyword&gt;*Markov Chains&lt;/keyword&gt;&lt;keyword&gt;Quality-Adjusted Life Years&lt;/keyword&gt;&lt;keyword&gt;Tai Ji&lt;/keyword&gt;&lt;/keywords&gt;&lt;dates&gt;&lt;year&gt;2012&lt;/year&gt;&lt;pub-dates&gt;&lt;date&gt;Jun&lt;/date&gt;&lt;/pub-dates&gt;&lt;/dates&gt;&lt;isbn&gt;1753-6405 (Electronic)&amp;#xD;1326-0200 (Linking)&lt;/isbn&gt;&lt;accession-num&gt;22672030&lt;/accession-num&gt;&lt;urls&gt;&lt;related-urls&gt;&lt;url&gt;https://www.ncbi.nlm.nih.gov/pubmed/22672030&lt;/url&gt;&lt;/related-urls&gt;&lt;/urls&gt;&lt;electronic-resource-num&gt;10.1111/j.1753-6405.2011.00811.x&lt;/electronic-resource-num&gt;&lt;/record&gt;&lt;/Cite&gt;&lt;/EndNote&gt;</w:instrText>
            </w:r>
            <w:r w:rsidRPr="004C78D8">
              <w:rPr>
                <w:sz w:val="18"/>
                <w:szCs w:val="18"/>
              </w:rPr>
              <w:fldChar w:fldCharType="separate"/>
            </w:r>
            <w:r w:rsidR="00C630FC" w:rsidRPr="004C78D8">
              <w:rPr>
                <w:noProof/>
                <w:sz w:val="18"/>
                <w:szCs w:val="18"/>
              </w:rPr>
              <w:t>[351]</w:t>
            </w:r>
            <w:r w:rsidRPr="004C78D8">
              <w:rPr>
                <w:sz w:val="18"/>
                <w:szCs w:val="18"/>
              </w:rPr>
              <w:fldChar w:fldCharType="end"/>
            </w:r>
          </w:p>
        </w:tc>
        <w:tc>
          <w:tcPr>
            <w:tcW w:w="492" w:type="pct"/>
            <w:tcBorders>
              <w:top w:val="nil"/>
              <w:left w:val="nil"/>
              <w:bottom w:val="nil"/>
              <w:right w:val="nil"/>
            </w:tcBorders>
          </w:tcPr>
          <w:p w14:paraId="55AD59A1" w14:textId="77777777" w:rsidR="00F94244" w:rsidRPr="004C78D8" w:rsidRDefault="00F94244" w:rsidP="00FB7C1F">
            <w:pPr>
              <w:jc w:val="left"/>
              <w:rPr>
                <w:sz w:val="18"/>
                <w:szCs w:val="18"/>
              </w:rPr>
            </w:pPr>
            <w:r w:rsidRPr="004C78D8">
              <w:rPr>
                <w:sz w:val="18"/>
                <w:szCs w:val="18"/>
              </w:rPr>
              <w:t>Australia, NSW</w:t>
            </w:r>
          </w:p>
        </w:tc>
        <w:tc>
          <w:tcPr>
            <w:tcW w:w="950" w:type="pct"/>
            <w:tcBorders>
              <w:top w:val="nil"/>
              <w:left w:val="nil"/>
              <w:bottom w:val="nil"/>
              <w:right w:val="nil"/>
            </w:tcBorders>
          </w:tcPr>
          <w:p w14:paraId="76544EE0" w14:textId="77777777" w:rsidR="00F94244" w:rsidRPr="004C78D8" w:rsidRDefault="00F94244" w:rsidP="00FB7C1F">
            <w:pPr>
              <w:jc w:val="left"/>
              <w:rPr>
                <w:sz w:val="18"/>
                <w:szCs w:val="18"/>
              </w:rPr>
            </w:pPr>
            <w:r w:rsidRPr="004C78D8">
              <w:rPr>
                <w:sz w:val="18"/>
                <w:szCs w:val="18"/>
              </w:rPr>
              <w:t>CD adults aged 65+</w:t>
            </w:r>
          </w:p>
        </w:tc>
        <w:tc>
          <w:tcPr>
            <w:tcW w:w="321" w:type="pct"/>
            <w:tcBorders>
              <w:top w:val="nil"/>
              <w:left w:val="nil"/>
              <w:bottom w:val="nil"/>
              <w:right w:val="nil"/>
            </w:tcBorders>
          </w:tcPr>
          <w:p w14:paraId="1B62DBF7" w14:textId="77777777" w:rsidR="00F94244" w:rsidRPr="004C78D8" w:rsidRDefault="00F94244" w:rsidP="00FB7C1F">
            <w:pPr>
              <w:jc w:val="left"/>
              <w:rPr>
                <w:sz w:val="18"/>
                <w:szCs w:val="18"/>
              </w:rPr>
            </w:pPr>
            <w:r w:rsidRPr="004C78D8">
              <w:rPr>
                <w:sz w:val="18"/>
                <w:szCs w:val="18"/>
              </w:rPr>
              <w:t>CEA; CUA</w:t>
            </w:r>
          </w:p>
        </w:tc>
        <w:tc>
          <w:tcPr>
            <w:tcW w:w="497" w:type="pct"/>
            <w:tcBorders>
              <w:top w:val="nil"/>
              <w:left w:val="nil"/>
              <w:bottom w:val="nil"/>
              <w:right w:val="nil"/>
            </w:tcBorders>
          </w:tcPr>
          <w:p w14:paraId="3A9D5E7C" w14:textId="77777777" w:rsidR="00F94244" w:rsidRPr="004C78D8" w:rsidRDefault="00F94244" w:rsidP="00FB7C1F">
            <w:pPr>
              <w:jc w:val="left"/>
              <w:rPr>
                <w:sz w:val="18"/>
                <w:szCs w:val="18"/>
              </w:rPr>
            </w:pPr>
            <w:r w:rsidRPr="004C78D8">
              <w:rPr>
                <w:sz w:val="18"/>
                <w:szCs w:val="18"/>
              </w:rPr>
              <w:t>Public sector</w:t>
            </w:r>
          </w:p>
        </w:tc>
        <w:tc>
          <w:tcPr>
            <w:tcW w:w="952" w:type="pct"/>
            <w:tcBorders>
              <w:top w:val="nil"/>
              <w:left w:val="nil"/>
              <w:bottom w:val="nil"/>
              <w:right w:val="nil"/>
            </w:tcBorders>
          </w:tcPr>
          <w:p w14:paraId="423E8706" w14:textId="77777777" w:rsidR="00F94244" w:rsidRPr="004C78D8" w:rsidRDefault="00F94244" w:rsidP="00FB7C1F">
            <w:pPr>
              <w:jc w:val="left"/>
              <w:rPr>
                <w:sz w:val="18"/>
                <w:szCs w:val="18"/>
              </w:rPr>
            </w:pPr>
            <w:r w:rsidRPr="004C78D8">
              <w:rPr>
                <w:sz w:val="18"/>
                <w:szCs w:val="18"/>
              </w:rPr>
              <w:t>Exercise (4 forms); MC int.; MF int. (2 forms); MRA; HAM; Exp. cataract surgery; Cardiac pacing; Med. modification [NR; Cross-comparison]</w:t>
            </w:r>
          </w:p>
        </w:tc>
        <w:tc>
          <w:tcPr>
            <w:tcW w:w="453" w:type="pct"/>
            <w:tcBorders>
              <w:top w:val="nil"/>
              <w:left w:val="nil"/>
              <w:bottom w:val="nil"/>
              <w:right w:val="nil"/>
            </w:tcBorders>
          </w:tcPr>
          <w:p w14:paraId="73CED20F" w14:textId="77777777" w:rsidR="00F94244" w:rsidRPr="004C78D8" w:rsidRDefault="00F94244" w:rsidP="00FB7C1F">
            <w:pPr>
              <w:jc w:val="left"/>
              <w:rPr>
                <w:sz w:val="18"/>
                <w:szCs w:val="18"/>
              </w:rPr>
            </w:pPr>
            <w:r w:rsidRPr="004C78D8">
              <w:rPr>
                <w:sz w:val="18"/>
                <w:szCs w:val="18"/>
              </w:rPr>
              <w:t>Markov cohort</w:t>
            </w:r>
          </w:p>
        </w:tc>
        <w:tc>
          <w:tcPr>
            <w:tcW w:w="355" w:type="pct"/>
            <w:tcBorders>
              <w:top w:val="nil"/>
              <w:left w:val="nil"/>
              <w:bottom w:val="nil"/>
              <w:right w:val="nil"/>
            </w:tcBorders>
          </w:tcPr>
          <w:p w14:paraId="605D8454" w14:textId="77777777" w:rsidR="00F94244" w:rsidRPr="004C78D8" w:rsidRDefault="00F94244" w:rsidP="00FB7C1F">
            <w:pPr>
              <w:jc w:val="left"/>
              <w:rPr>
                <w:sz w:val="18"/>
                <w:szCs w:val="18"/>
              </w:rPr>
            </w:pPr>
            <w:r w:rsidRPr="004C78D8">
              <w:rPr>
                <w:sz w:val="18"/>
                <w:szCs w:val="18"/>
              </w:rPr>
              <w:t>Lifetime</w:t>
            </w:r>
          </w:p>
        </w:tc>
        <w:tc>
          <w:tcPr>
            <w:tcW w:w="377" w:type="pct"/>
            <w:tcBorders>
              <w:top w:val="nil"/>
              <w:left w:val="nil"/>
              <w:bottom w:val="nil"/>
            </w:tcBorders>
          </w:tcPr>
          <w:p w14:paraId="7EAA8685" w14:textId="77777777" w:rsidR="00F94244" w:rsidRPr="004C78D8" w:rsidRDefault="00F94244" w:rsidP="00FB7C1F">
            <w:pPr>
              <w:jc w:val="left"/>
              <w:rPr>
                <w:sz w:val="18"/>
                <w:szCs w:val="18"/>
              </w:rPr>
            </w:pPr>
            <w:r w:rsidRPr="004C78D8">
              <w:rPr>
                <w:sz w:val="18"/>
                <w:szCs w:val="18"/>
              </w:rPr>
              <w:t>17.5</w:t>
            </w:r>
          </w:p>
        </w:tc>
      </w:tr>
      <w:tr w:rsidR="00F94244" w:rsidRPr="004C78D8" w14:paraId="44F963E0" w14:textId="77777777" w:rsidTr="002828C1">
        <w:tc>
          <w:tcPr>
            <w:tcW w:w="149" w:type="pct"/>
            <w:tcBorders>
              <w:top w:val="nil"/>
              <w:bottom w:val="nil"/>
              <w:right w:val="nil"/>
            </w:tcBorders>
          </w:tcPr>
          <w:p w14:paraId="2A06259E" w14:textId="77777777" w:rsidR="00F94244" w:rsidRPr="004C78D8" w:rsidRDefault="00F94244" w:rsidP="00FB7C1F">
            <w:pPr>
              <w:jc w:val="left"/>
              <w:rPr>
                <w:sz w:val="18"/>
                <w:szCs w:val="18"/>
              </w:rPr>
            </w:pPr>
            <w:r w:rsidRPr="004C78D8">
              <w:rPr>
                <w:sz w:val="18"/>
                <w:szCs w:val="18"/>
              </w:rPr>
              <w:t>10</w:t>
            </w:r>
          </w:p>
        </w:tc>
        <w:tc>
          <w:tcPr>
            <w:tcW w:w="455" w:type="pct"/>
            <w:tcBorders>
              <w:top w:val="nil"/>
              <w:left w:val="nil"/>
              <w:bottom w:val="nil"/>
              <w:right w:val="nil"/>
            </w:tcBorders>
          </w:tcPr>
          <w:p w14:paraId="48DDE5A8" w14:textId="0FB05947" w:rsidR="00F94244" w:rsidRPr="004C78D8" w:rsidRDefault="00F94244" w:rsidP="00FB7C1F">
            <w:pPr>
              <w:jc w:val="left"/>
              <w:rPr>
                <w:sz w:val="18"/>
                <w:szCs w:val="18"/>
              </w:rPr>
            </w:pPr>
            <w:r w:rsidRPr="004C78D8">
              <w:rPr>
                <w:sz w:val="18"/>
                <w:szCs w:val="18"/>
              </w:rPr>
              <w:t xml:space="preserve">Comans (2009) </w:t>
            </w:r>
            <w:r w:rsidRPr="004C78D8">
              <w:rPr>
                <w:sz w:val="18"/>
                <w:szCs w:val="18"/>
              </w:rPr>
              <w:fldChar w:fldCharType="begin"/>
            </w:r>
            <w:r w:rsidR="00C630FC" w:rsidRPr="004C78D8">
              <w:rPr>
                <w:sz w:val="18"/>
                <w:szCs w:val="18"/>
              </w:rPr>
              <w:instrText xml:space="preserve"> ADDIN EN.CITE &lt;EndNote&gt;&lt;Cite&gt;&lt;Author&gt;Comans&lt;/Author&gt;&lt;Year&gt;2009&lt;/Year&gt;&lt;RecNum&gt;376&lt;/RecNum&gt;&lt;DisplayText&gt;[207]&lt;/DisplayText&gt;&lt;record&gt;&lt;rec-number&gt;376&lt;/rec-number&gt;&lt;foreign-keys&gt;&lt;key app="EN" db-id="tdtrdw9aepptzbefsat599syza29sxsd2wsp" timestamp="1612625082"&gt;376&lt;/key&gt;&lt;/foreign-keys&gt;&lt;ref-type name="Journal Article"&gt;17&lt;/ref-type&gt;&lt;contributors&gt;&lt;authors&gt;&lt;author&gt;Comans, Tracy&lt;/author&gt;&lt;author&gt;Brauer, Sandy&lt;/author&gt;&lt;author&gt;Haines, Terry&lt;/author&gt;&lt;/authors&gt;&lt;/contributors&gt;&lt;titles&gt;&lt;title&gt;A break-even analysis of a community rehabilitation falls prevention service&lt;/title&gt;&lt;secondary-title&gt;Australian and New Zealand journal of public health&lt;/secondary-title&gt;&lt;/titles&gt;&lt;periodical&gt;&lt;full-title&gt;Australian and New Zealand journal of public health&lt;/full-title&gt;&lt;/periodical&gt;&lt;pages&gt;240-5&lt;/pages&gt;&lt;volume&gt;33&lt;/volume&gt;&lt;number&gt;3&lt;/number&gt;&lt;section&gt;Comans, Tracy. The Community Rehabilitation Service, Southside Health Service District and School of Health and Rehabilitation Sciences, University of Queensland, Queensland, Australia. tracy.comans@uqconnect.edu.au&lt;/section&gt;&lt;keywords&gt;&lt;keyword&gt;*Accidental Falls/pc [Prevention &amp;amp; Control]&lt;/keyword&gt;&lt;keyword&gt;Aged&lt;/keyword&gt;&lt;keyword&gt;Aged, 80 and over&lt;/keyword&gt;&lt;keyword&gt;Cost-Benefit Analysis&lt;/keyword&gt;&lt;keyword&gt;Efficiency, Organizational/ec [Economics]&lt;/keyword&gt;&lt;keyword&gt;*Efficiency, Organizational&lt;/keyword&gt;&lt;keyword&gt;Female&lt;/keyword&gt;&lt;keyword&gt;Humans&lt;/keyword&gt;&lt;keyword&gt;Interdisciplinary Communication&lt;/keyword&gt;&lt;keyword&gt;Male&lt;/keyword&gt;&lt;keyword&gt;Models, Theoretical&lt;/keyword&gt;&lt;keyword&gt;*Preventive Health Services/st [Standards]&lt;/keyword&gt;&lt;keyword&gt;*Rehabilitation Centers&lt;/keyword&gt;&lt;/keywords&gt;&lt;dates&gt;&lt;year&gt;2009&lt;/year&gt;&lt;/dates&gt;&lt;pub-location&gt;Australia&lt;/pub-location&gt;&lt;isbn&gt;1326-0200&lt;/isbn&gt;&lt;urls&gt;&lt;related-urls&gt;&lt;url&gt;http://ovidsp.ovid.com/ovidweb.cgi?T=JS&amp;amp;PAGE=reference&amp;amp;D=med6&amp;amp;NEWS=N&amp;amp;AN=19630843&lt;/url&gt;&lt;/related-urls&gt;&lt;/urls&gt;&lt;electronic-resource-num&gt;https://dx.doi.org/10.1111/j.1753-6405.2009.00382.x&lt;/electronic-resource-num&gt;&lt;remote-database-name&gt;Medline&lt;/remote-database-name&gt;&lt;/record&gt;&lt;/Cite&gt;&lt;/EndNote&gt;</w:instrText>
            </w:r>
            <w:r w:rsidRPr="004C78D8">
              <w:rPr>
                <w:sz w:val="18"/>
                <w:szCs w:val="18"/>
              </w:rPr>
              <w:fldChar w:fldCharType="separate"/>
            </w:r>
            <w:r w:rsidR="00C630FC" w:rsidRPr="004C78D8">
              <w:rPr>
                <w:noProof/>
                <w:sz w:val="18"/>
                <w:szCs w:val="18"/>
              </w:rPr>
              <w:t>[207]</w:t>
            </w:r>
            <w:r w:rsidRPr="004C78D8">
              <w:rPr>
                <w:sz w:val="18"/>
                <w:szCs w:val="18"/>
              </w:rPr>
              <w:fldChar w:fldCharType="end"/>
            </w:r>
          </w:p>
        </w:tc>
        <w:tc>
          <w:tcPr>
            <w:tcW w:w="492" w:type="pct"/>
            <w:tcBorders>
              <w:top w:val="nil"/>
              <w:left w:val="nil"/>
              <w:bottom w:val="nil"/>
              <w:right w:val="nil"/>
            </w:tcBorders>
          </w:tcPr>
          <w:p w14:paraId="03C02DE9" w14:textId="77777777" w:rsidR="00F94244" w:rsidRPr="004C78D8" w:rsidRDefault="00F94244" w:rsidP="00FB7C1F">
            <w:pPr>
              <w:jc w:val="left"/>
              <w:rPr>
                <w:sz w:val="18"/>
                <w:szCs w:val="18"/>
              </w:rPr>
            </w:pPr>
            <w:r w:rsidRPr="004C78D8">
              <w:rPr>
                <w:sz w:val="18"/>
                <w:szCs w:val="18"/>
              </w:rPr>
              <w:t>Australia, Brisbane</w:t>
            </w:r>
          </w:p>
        </w:tc>
        <w:tc>
          <w:tcPr>
            <w:tcW w:w="950" w:type="pct"/>
            <w:tcBorders>
              <w:top w:val="nil"/>
              <w:left w:val="nil"/>
              <w:bottom w:val="nil"/>
              <w:right w:val="nil"/>
            </w:tcBorders>
          </w:tcPr>
          <w:p w14:paraId="7EADE8E1" w14:textId="77777777" w:rsidR="00F94244" w:rsidRPr="004C78D8" w:rsidRDefault="00F94244" w:rsidP="00FB7C1F">
            <w:pPr>
              <w:jc w:val="left"/>
              <w:rPr>
                <w:sz w:val="18"/>
                <w:szCs w:val="18"/>
              </w:rPr>
            </w:pPr>
            <w:r w:rsidRPr="004C78D8">
              <w:rPr>
                <w:sz w:val="18"/>
                <w:szCs w:val="18"/>
              </w:rPr>
              <w:t>CD adults aged 65+, falls history in past 6 months or gait/functional decline and cognitively intact</w:t>
            </w:r>
          </w:p>
        </w:tc>
        <w:tc>
          <w:tcPr>
            <w:tcW w:w="321" w:type="pct"/>
            <w:tcBorders>
              <w:top w:val="nil"/>
              <w:left w:val="nil"/>
              <w:bottom w:val="nil"/>
              <w:right w:val="nil"/>
            </w:tcBorders>
          </w:tcPr>
          <w:p w14:paraId="70CC0A81" w14:textId="77777777" w:rsidR="00F94244" w:rsidRPr="004C78D8" w:rsidRDefault="00F94244" w:rsidP="00FB7C1F">
            <w:pPr>
              <w:jc w:val="left"/>
              <w:rPr>
                <w:sz w:val="18"/>
                <w:szCs w:val="18"/>
              </w:rPr>
            </w:pPr>
            <w:r w:rsidRPr="004C78D8">
              <w:rPr>
                <w:sz w:val="18"/>
                <w:szCs w:val="18"/>
              </w:rPr>
              <w:t>ROI</w:t>
            </w:r>
          </w:p>
        </w:tc>
        <w:tc>
          <w:tcPr>
            <w:tcW w:w="497" w:type="pct"/>
            <w:tcBorders>
              <w:top w:val="nil"/>
              <w:left w:val="nil"/>
              <w:bottom w:val="nil"/>
              <w:right w:val="nil"/>
            </w:tcBorders>
          </w:tcPr>
          <w:p w14:paraId="5EBBDFFC" w14:textId="77777777" w:rsidR="00F94244" w:rsidRPr="004C78D8" w:rsidRDefault="00F94244" w:rsidP="00FB7C1F">
            <w:pPr>
              <w:jc w:val="left"/>
              <w:rPr>
                <w:sz w:val="18"/>
                <w:szCs w:val="18"/>
              </w:rPr>
            </w:pPr>
            <w:r w:rsidRPr="004C78D8">
              <w:rPr>
                <w:sz w:val="18"/>
                <w:szCs w:val="18"/>
              </w:rPr>
              <w:t>Societal</w:t>
            </w:r>
          </w:p>
        </w:tc>
        <w:tc>
          <w:tcPr>
            <w:tcW w:w="952" w:type="pct"/>
            <w:tcBorders>
              <w:top w:val="nil"/>
              <w:left w:val="nil"/>
              <w:bottom w:val="nil"/>
              <w:right w:val="nil"/>
            </w:tcBorders>
          </w:tcPr>
          <w:p w14:paraId="688CC0C1" w14:textId="77777777" w:rsidR="00F94244" w:rsidRPr="004C78D8" w:rsidRDefault="00F94244" w:rsidP="00FB7C1F">
            <w:pPr>
              <w:jc w:val="left"/>
              <w:rPr>
                <w:sz w:val="18"/>
                <w:szCs w:val="18"/>
              </w:rPr>
            </w:pPr>
            <w:r w:rsidRPr="004C78D8">
              <w:rPr>
                <w:sz w:val="18"/>
                <w:szCs w:val="18"/>
              </w:rPr>
              <w:t>MF int. (2 forms) [NR]</w:t>
            </w:r>
          </w:p>
        </w:tc>
        <w:tc>
          <w:tcPr>
            <w:tcW w:w="453" w:type="pct"/>
            <w:tcBorders>
              <w:top w:val="nil"/>
              <w:left w:val="nil"/>
              <w:bottom w:val="nil"/>
              <w:right w:val="nil"/>
            </w:tcBorders>
          </w:tcPr>
          <w:p w14:paraId="7ACB8FC4" w14:textId="77777777" w:rsidR="00F94244" w:rsidRPr="004C78D8" w:rsidRDefault="00F94244" w:rsidP="00FB7C1F">
            <w:pPr>
              <w:jc w:val="left"/>
              <w:rPr>
                <w:sz w:val="18"/>
                <w:szCs w:val="18"/>
              </w:rPr>
            </w:pPr>
            <w:r w:rsidRPr="004C78D8">
              <w:rPr>
                <w:sz w:val="18"/>
                <w:szCs w:val="18"/>
              </w:rPr>
              <w:t>Binary decision</w:t>
            </w:r>
          </w:p>
        </w:tc>
        <w:tc>
          <w:tcPr>
            <w:tcW w:w="355" w:type="pct"/>
            <w:tcBorders>
              <w:top w:val="nil"/>
              <w:left w:val="nil"/>
              <w:bottom w:val="nil"/>
              <w:right w:val="nil"/>
            </w:tcBorders>
          </w:tcPr>
          <w:p w14:paraId="6E57425E" w14:textId="77777777" w:rsidR="00F94244" w:rsidRPr="004C78D8" w:rsidRDefault="00F94244" w:rsidP="00FB7C1F">
            <w:pPr>
              <w:jc w:val="left"/>
              <w:rPr>
                <w:sz w:val="18"/>
                <w:szCs w:val="18"/>
              </w:rPr>
            </w:pPr>
            <w:r w:rsidRPr="004C78D8">
              <w:rPr>
                <w:sz w:val="18"/>
                <w:szCs w:val="18"/>
              </w:rPr>
              <w:t>1 year</w:t>
            </w:r>
          </w:p>
        </w:tc>
        <w:tc>
          <w:tcPr>
            <w:tcW w:w="377" w:type="pct"/>
            <w:tcBorders>
              <w:top w:val="nil"/>
              <w:left w:val="nil"/>
              <w:bottom w:val="nil"/>
            </w:tcBorders>
          </w:tcPr>
          <w:p w14:paraId="249A0D35" w14:textId="77777777" w:rsidR="00F94244" w:rsidRPr="004C78D8" w:rsidRDefault="00F94244" w:rsidP="00FB7C1F">
            <w:pPr>
              <w:jc w:val="left"/>
              <w:rPr>
                <w:sz w:val="18"/>
                <w:szCs w:val="18"/>
              </w:rPr>
            </w:pPr>
            <w:r w:rsidRPr="004C78D8">
              <w:rPr>
                <w:sz w:val="18"/>
                <w:szCs w:val="18"/>
              </w:rPr>
              <w:t>20.5</w:t>
            </w:r>
          </w:p>
        </w:tc>
      </w:tr>
      <w:tr w:rsidR="00F94244" w:rsidRPr="004C78D8" w14:paraId="5CDD2DB2" w14:textId="77777777" w:rsidTr="002828C1">
        <w:tc>
          <w:tcPr>
            <w:tcW w:w="149" w:type="pct"/>
            <w:tcBorders>
              <w:top w:val="nil"/>
              <w:bottom w:val="nil"/>
              <w:right w:val="nil"/>
            </w:tcBorders>
          </w:tcPr>
          <w:p w14:paraId="2E795601" w14:textId="77777777" w:rsidR="00F94244" w:rsidRPr="004C78D8" w:rsidRDefault="00F94244" w:rsidP="00FB7C1F">
            <w:pPr>
              <w:jc w:val="left"/>
              <w:rPr>
                <w:sz w:val="18"/>
                <w:szCs w:val="18"/>
              </w:rPr>
            </w:pPr>
            <w:r w:rsidRPr="004C78D8">
              <w:rPr>
                <w:sz w:val="18"/>
                <w:szCs w:val="18"/>
              </w:rPr>
              <w:t>11</w:t>
            </w:r>
          </w:p>
        </w:tc>
        <w:tc>
          <w:tcPr>
            <w:tcW w:w="455" w:type="pct"/>
            <w:tcBorders>
              <w:top w:val="nil"/>
              <w:left w:val="nil"/>
              <w:bottom w:val="nil"/>
              <w:right w:val="nil"/>
            </w:tcBorders>
          </w:tcPr>
          <w:p w14:paraId="7FE51EBB" w14:textId="45290112" w:rsidR="00F94244" w:rsidRPr="004C78D8" w:rsidRDefault="00F94244" w:rsidP="00FB7C1F">
            <w:pPr>
              <w:jc w:val="left"/>
              <w:rPr>
                <w:sz w:val="18"/>
                <w:szCs w:val="18"/>
              </w:rPr>
            </w:pPr>
            <w:r w:rsidRPr="004C78D8">
              <w:rPr>
                <w:sz w:val="18"/>
                <w:szCs w:val="18"/>
              </w:rPr>
              <w:t xml:space="preserve">Day (2009) </w:t>
            </w:r>
            <w:r w:rsidRPr="004C78D8">
              <w:rPr>
                <w:sz w:val="18"/>
                <w:szCs w:val="18"/>
              </w:rPr>
              <w:fldChar w:fldCharType="begin"/>
            </w:r>
            <w:r w:rsidR="00513646" w:rsidRPr="004C78D8">
              <w:rPr>
                <w:sz w:val="18"/>
                <w:szCs w:val="18"/>
              </w:rPr>
              <w:instrText xml:space="preserve"> ADDIN EN.CITE &lt;EndNote&gt;&lt;Cite&gt;&lt;Author&gt;Day&lt;/Author&gt;&lt;Year&gt;2009&lt;/Year&gt;&lt;RecNum&gt;346&lt;/RecNum&gt;&lt;DisplayText&gt;[167]&lt;/DisplayText&gt;&lt;record&gt;&lt;rec-number&gt;346&lt;/rec-number&gt;&lt;foreign-keys&gt;&lt;key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4C78D8">
              <w:rPr>
                <w:sz w:val="18"/>
                <w:szCs w:val="18"/>
              </w:rPr>
              <w:fldChar w:fldCharType="separate"/>
            </w:r>
            <w:r w:rsidR="00513646" w:rsidRPr="004C78D8">
              <w:rPr>
                <w:noProof/>
                <w:sz w:val="18"/>
                <w:szCs w:val="18"/>
              </w:rPr>
              <w:t>[167]</w:t>
            </w:r>
            <w:r w:rsidRPr="004C78D8">
              <w:rPr>
                <w:sz w:val="18"/>
                <w:szCs w:val="18"/>
              </w:rPr>
              <w:fldChar w:fldCharType="end"/>
            </w:r>
          </w:p>
        </w:tc>
        <w:tc>
          <w:tcPr>
            <w:tcW w:w="492" w:type="pct"/>
            <w:tcBorders>
              <w:top w:val="nil"/>
              <w:left w:val="nil"/>
              <w:bottom w:val="nil"/>
              <w:right w:val="nil"/>
            </w:tcBorders>
          </w:tcPr>
          <w:p w14:paraId="13D8D8E2" w14:textId="77777777" w:rsidR="00F94244" w:rsidRPr="004C78D8" w:rsidRDefault="00F94244" w:rsidP="00FB7C1F">
            <w:pPr>
              <w:jc w:val="left"/>
              <w:rPr>
                <w:sz w:val="18"/>
                <w:szCs w:val="18"/>
              </w:rPr>
            </w:pPr>
            <w:r w:rsidRPr="004C78D8">
              <w:rPr>
                <w:sz w:val="18"/>
                <w:szCs w:val="18"/>
              </w:rPr>
              <w:t>Australia, varying regions</w:t>
            </w:r>
          </w:p>
        </w:tc>
        <w:tc>
          <w:tcPr>
            <w:tcW w:w="950" w:type="pct"/>
            <w:tcBorders>
              <w:top w:val="nil"/>
              <w:left w:val="nil"/>
              <w:bottom w:val="nil"/>
              <w:right w:val="nil"/>
            </w:tcBorders>
          </w:tcPr>
          <w:p w14:paraId="01050DC7" w14:textId="5CAD8D87" w:rsidR="00F94244" w:rsidRPr="004C78D8" w:rsidRDefault="00F94244" w:rsidP="00FB7C1F">
            <w:pPr>
              <w:jc w:val="left"/>
              <w:rPr>
                <w:sz w:val="18"/>
                <w:szCs w:val="18"/>
              </w:rPr>
            </w:pPr>
            <w:r w:rsidRPr="004C78D8">
              <w:rPr>
                <w:sz w:val="18"/>
                <w:szCs w:val="18"/>
              </w:rPr>
              <w:t>CD adults aged 50+ (age and characteristics differ by intervention type)</w:t>
            </w:r>
            <w:r w:rsidR="001B3C29" w:rsidRPr="004C78D8">
              <w:rPr>
                <w:sz w:val="18"/>
                <w:szCs w:val="18"/>
                <w:vertAlign w:val="superscript"/>
              </w:rPr>
              <w:t>4</w:t>
            </w:r>
          </w:p>
        </w:tc>
        <w:tc>
          <w:tcPr>
            <w:tcW w:w="321" w:type="pct"/>
            <w:tcBorders>
              <w:top w:val="nil"/>
              <w:left w:val="nil"/>
              <w:bottom w:val="nil"/>
              <w:right w:val="nil"/>
            </w:tcBorders>
          </w:tcPr>
          <w:p w14:paraId="39EE3D32" w14:textId="77777777" w:rsidR="00F94244" w:rsidRPr="004C78D8" w:rsidRDefault="00F94244" w:rsidP="00FB7C1F">
            <w:pPr>
              <w:jc w:val="left"/>
              <w:rPr>
                <w:sz w:val="18"/>
                <w:szCs w:val="18"/>
              </w:rPr>
            </w:pPr>
            <w:r w:rsidRPr="004C78D8">
              <w:rPr>
                <w:sz w:val="18"/>
                <w:szCs w:val="18"/>
              </w:rPr>
              <w:t>CEA</w:t>
            </w:r>
          </w:p>
        </w:tc>
        <w:tc>
          <w:tcPr>
            <w:tcW w:w="497" w:type="pct"/>
            <w:tcBorders>
              <w:top w:val="nil"/>
              <w:left w:val="nil"/>
              <w:bottom w:val="nil"/>
              <w:right w:val="nil"/>
            </w:tcBorders>
          </w:tcPr>
          <w:p w14:paraId="03AE7FF6" w14:textId="77777777" w:rsidR="00F94244" w:rsidRPr="004C78D8" w:rsidRDefault="00F94244" w:rsidP="00FB7C1F">
            <w:pPr>
              <w:jc w:val="left"/>
              <w:rPr>
                <w:sz w:val="18"/>
                <w:szCs w:val="18"/>
              </w:rPr>
            </w:pPr>
            <w:r w:rsidRPr="004C78D8">
              <w:rPr>
                <w:sz w:val="18"/>
                <w:szCs w:val="18"/>
              </w:rPr>
              <w:t>Public sector; Societal</w:t>
            </w:r>
          </w:p>
        </w:tc>
        <w:tc>
          <w:tcPr>
            <w:tcW w:w="952" w:type="pct"/>
            <w:tcBorders>
              <w:top w:val="nil"/>
              <w:left w:val="nil"/>
              <w:bottom w:val="nil"/>
              <w:right w:val="nil"/>
            </w:tcBorders>
          </w:tcPr>
          <w:p w14:paraId="586FA24F" w14:textId="77777777" w:rsidR="00F94244" w:rsidRPr="004C78D8" w:rsidRDefault="00F94244" w:rsidP="00FB7C1F">
            <w:pPr>
              <w:jc w:val="left"/>
              <w:rPr>
                <w:sz w:val="18"/>
                <w:szCs w:val="18"/>
              </w:rPr>
            </w:pPr>
            <w:r w:rsidRPr="004C78D8">
              <w:rPr>
                <w:sz w:val="18"/>
                <w:szCs w:val="18"/>
              </w:rPr>
              <w:t>Exercise (2 forms); HAM; MF int.; Med. modification; Cardiac pacing [NR]</w:t>
            </w:r>
          </w:p>
        </w:tc>
        <w:tc>
          <w:tcPr>
            <w:tcW w:w="453" w:type="pct"/>
            <w:tcBorders>
              <w:top w:val="nil"/>
              <w:left w:val="nil"/>
              <w:bottom w:val="nil"/>
              <w:right w:val="nil"/>
            </w:tcBorders>
          </w:tcPr>
          <w:p w14:paraId="4DB29567" w14:textId="77777777" w:rsidR="00F94244" w:rsidRPr="004C78D8" w:rsidRDefault="00F94244" w:rsidP="00FB7C1F">
            <w:pPr>
              <w:jc w:val="left"/>
              <w:rPr>
                <w:sz w:val="18"/>
                <w:szCs w:val="18"/>
              </w:rPr>
            </w:pPr>
            <w:r w:rsidRPr="004C78D8">
              <w:rPr>
                <w:sz w:val="18"/>
                <w:szCs w:val="18"/>
              </w:rPr>
              <w:t>DT</w:t>
            </w:r>
          </w:p>
        </w:tc>
        <w:tc>
          <w:tcPr>
            <w:tcW w:w="355" w:type="pct"/>
            <w:tcBorders>
              <w:top w:val="nil"/>
              <w:left w:val="nil"/>
              <w:bottom w:val="nil"/>
              <w:right w:val="nil"/>
            </w:tcBorders>
          </w:tcPr>
          <w:p w14:paraId="571A6F0D" w14:textId="77777777" w:rsidR="00F94244" w:rsidRPr="004C78D8" w:rsidRDefault="00F94244" w:rsidP="00FB7C1F">
            <w:pPr>
              <w:jc w:val="left"/>
              <w:rPr>
                <w:sz w:val="18"/>
                <w:szCs w:val="18"/>
              </w:rPr>
            </w:pPr>
            <w:r w:rsidRPr="004C78D8">
              <w:rPr>
                <w:sz w:val="18"/>
                <w:szCs w:val="18"/>
              </w:rPr>
              <w:t>1 year</w:t>
            </w:r>
          </w:p>
        </w:tc>
        <w:tc>
          <w:tcPr>
            <w:tcW w:w="377" w:type="pct"/>
            <w:tcBorders>
              <w:top w:val="nil"/>
              <w:left w:val="nil"/>
              <w:bottom w:val="nil"/>
            </w:tcBorders>
          </w:tcPr>
          <w:p w14:paraId="2C232F60" w14:textId="77777777" w:rsidR="00F94244" w:rsidRPr="004C78D8" w:rsidRDefault="00F94244" w:rsidP="00FB7C1F">
            <w:pPr>
              <w:jc w:val="left"/>
              <w:rPr>
                <w:sz w:val="18"/>
                <w:szCs w:val="18"/>
              </w:rPr>
            </w:pPr>
            <w:r w:rsidRPr="004C78D8">
              <w:rPr>
                <w:sz w:val="18"/>
                <w:szCs w:val="18"/>
              </w:rPr>
              <w:t>20.5</w:t>
            </w:r>
          </w:p>
        </w:tc>
      </w:tr>
      <w:tr w:rsidR="00F94244" w:rsidRPr="004C78D8" w14:paraId="24C987EB" w14:textId="77777777" w:rsidTr="002828C1">
        <w:tc>
          <w:tcPr>
            <w:tcW w:w="149" w:type="pct"/>
            <w:tcBorders>
              <w:top w:val="nil"/>
              <w:bottom w:val="nil"/>
              <w:right w:val="nil"/>
            </w:tcBorders>
          </w:tcPr>
          <w:p w14:paraId="2C2EEBDE" w14:textId="77777777" w:rsidR="00F94244" w:rsidRPr="004C78D8" w:rsidRDefault="00F94244" w:rsidP="00FB7C1F">
            <w:pPr>
              <w:jc w:val="left"/>
              <w:rPr>
                <w:sz w:val="18"/>
                <w:szCs w:val="18"/>
              </w:rPr>
            </w:pPr>
            <w:r w:rsidRPr="004C78D8">
              <w:rPr>
                <w:sz w:val="18"/>
                <w:szCs w:val="18"/>
              </w:rPr>
              <w:t>12</w:t>
            </w:r>
          </w:p>
        </w:tc>
        <w:tc>
          <w:tcPr>
            <w:tcW w:w="455" w:type="pct"/>
            <w:tcBorders>
              <w:top w:val="nil"/>
              <w:left w:val="nil"/>
              <w:bottom w:val="nil"/>
              <w:right w:val="nil"/>
            </w:tcBorders>
          </w:tcPr>
          <w:p w14:paraId="1F1B7433" w14:textId="4D25CFF1" w:rsidR="00F94244" w:rsidRPr="004C78D8" w:rsidRDefault="00F94244" w:rsidP="00FB7C1F">
            <w:pPr>
              <w:jc w:val="left"/>
              <w:rPr>
                <w:sz w:val="18"/>
                <w:szCs w:val="18"/>
              </w:rPr>
            </w:pPr>
            <w:r w:rsidRPr="004C78D8">
              <w:rPr>
                <w:sz w:val="18"/>
                <w:szCs w:val="18"/>
              </w:rPr>
              <w:t xml:space="preserve">Day (2010) </w:t>
            </w:r>
            <w:r w:rsidRPr="004C78D8">
              <w:rPr>
                <w:sz w:val="18"/>
                <w:szCs w:val="18"/>
              </w:rPr>
              <w:fldChar w:fldCharType="begin">
                <w:fldData xml:space="preserve">PEVuZE5vdGU+PENpdGU+PEF1dGhvcj5EYXk8L0F1dGhvcj48WWVhcj4yMDEwPC9ZZWFyPjxSZWNO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</w:fldData>
              </w:fldChar>
            </w:r>
            <w:r w:rsidR="00C630FC" w:rsidRPr="004C78D8">
              <w:rPr>
                <w:sz w:val="18"/>
                <w:szCs w:val="18"/>
              </w:rPr>
              <w:instrText xml:space="preserve"> ADDIN EN.CITE </w:instrText>
            </w:r>
            <w:r w:rsidR="00C630FC" w:rsidRPr="004C78D8">
              <w:rPr>
                <w:sz w:val="18"/>
                <w:szCs w:val="18"/>
              </w:rPr>
              <w:fldChar w:fldCharType="begin">
                <w:fldData xml:space="preserve">PEVuZE5vdGU+PENpdGU+PEF1dGhvcj5EYXk8L0F1dGhvcj48WWVhcj4yMDEwPC9ZZWFyPjxSZWNO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</w:fldData>
              </w:fldChar>
            </w:r>
            <w:r w:rsidR="00C630FC" w:rsidRPr="004C78D8">
              <w:rPr>
                <w:sz w:val="18"/>
                <w:szCs w:val="18"/>
              </w:rPr>
              <w:instrText xml:space="preserve"> ADDIN EN.CITE.DATA </w:instrText>
            </w:r>
            <w:r w:rsidR="00C630FC" w:rsidRPr="004C78D8">
              <w:rPr>
                <w:sz w:val="18"/>
                <w:szCs w:val="18"/>
              </w:rPr>
            </w:r>
            <w:r w:rsidR="00C630FC" w:rsidRPr="004C78D8">
              <w:rPr>
                <w:sz w:val="18"/>
                <w:szCs w:val="18"/>
              </w:rPr>
              <w:fldChar w:fldCharType="end"/>
            </w:r>
            <w:r w:rsidRPr="004C78D8">
              <w:rPr>
                <w:sz w:val="18"/>
                <w:szCs w:val="18"/>
              </w:rPr>
            </w:r>
            <w:r w:rsidRPr="004C78D8">
              <w:rPr>
                <w:sz w:val="18"/>
                <w:szCs w:val="18"/>
              </w:rPr>
              <w:fldChar w:fldCharType="separate"/>
            </w:r>
            <w:r w:rsidR="00C630FC" w:rsidRPr="004C78D8">
              <w:rPr>
                <w:noProof/>
                <w:sz w:val="18"/>
                <w:szCs w:val="18"/>
              </w:rPr>
              <w:t>[353]</w:t>
            </w:r>
            <w:r w:rsidRPr="004C78D8">
              <w:rPr>
                <w:sz w:val="18"/>
                <w:szCs w:val="18"/>
              </w:rPr>
              <w:fldChar w:fldCharType="end"/>
            </w:r>
          </w:p>
        </w:tc>
        <w:tc>
          <w:tcPr>
            <w:tcW w:w="492" w:type="pct"/>
            <w:tcBorders>
              <w:top w:val="nil"/>
              <w:left w:val="nil"/>
              <w:bottom w:val="nil"/>
              <w:right w:val="nil"/>
            </w:tcBorders>
          </w:tcPr>
          <w:p w14:paraId="7B45861D" w14:textId="77777777" w:rsidR="00F94244" w:rsidRPr="004C78D8" w:rsidRDefault="00F94244" w:rsidP="00FB7C1F">
            <w:pPr>
              <w:jc w:val="left"/>
              <w:rPr>
                <w:sz w:val="18"/>
                <w:szCs w:val="18"/>
              </w:rPr>
            </w:pPr>
            <w:r w:rsidRPr="004C78D8">
              <w:rPr>
                <w:sz w:val="18"/>
                <w:szCs w:val="18"/>
              </w:rPr>
              <w:t>Australia</w:t>
            </w:r>
          </w:p>
        </w:tc>
        <w:tc>
          <w:tcPr>
            <w:tcW w:w="950" w:type="pct"/>
            <w:tcBorders>
              <w:top w:val="nil"/>
              <w:left w:val="nil"/>
              <w:bottom w:val="nil"/>
              <w:right w:val="nil"/>
            </w:tcBorders>
          </w:tcPr>
          <w:p w14:paraId="35371294" w14:textId="77777777" w:rsidR="00F94244" w:rsidRPr="004C78D8" w:rsidRDefault="00F94244" w:rsidP="00FB7C1F">
            <w:pPr>
              <w:jc w:val="left"/>
              <w:rPr>
                <w:sz w:val="18"/>
                <w:szCs w:val="18"/>
              </w:rPr>
            </w:pPr>
            <w:r w:rsidRPr="004C78D8">
              <w:rPr>
                <w:sz w:val="18"/>
                <w:szCs w:val="18"/>
              </w:rPr>
              <w:t>CD adults aged 70+</w:t>
            </w:r>
          </w:p>
        </w:tc>
        <w:tc>
          <w:tcPr>
            <w:tcW w:w="321" w:type="pct"/>
            <w:tcBorders>
              <w:top w:val="nil"/>
              <w:left w:val="nil"/>
              <w:bottom w:val="nil"/>
              <w:right w:val="nil"/>
            </w:tcBorders>
          </w:tcPr>
          <w:p w14:paraId="1CD07DFA" w14:textId="77777777" w:rsidR="00F94244" w:rsidRPr="004C78D8" w:rsidRDefault="00F94244" w:rsidP="00FB7C1F">
            <w:pPr>
              <w:jc w:val="left"/>
              <w:rPr>
                <w:sz w:val="18"/>
                <w:szCs w:val="18"/>
              </w:rPr>
            </w:pPr>
            <w:r w:rsidRPr="004C78D8">
              <w:rPr>
                <w:sz w:val="18"/>
                <w:szCs w:val="18"/>
              </w:rPr>
              <w:t>CEA</w:t>
            </w:r>
          </w:p>
        </w:tc>
        <w:tc>
          <w:tcPr>
            <w:tcW w:w="497" w:type="pct"/>
            <w:tcBorders>
              <w:top w:val="nil"/>
              <w:left w:val="nil"/>
              <w:bottom w:val="nil"/>
              <w:right w:val="nil"/>
            </w:tcBorders>
          </w:tcPr>
          <w:p w14:paraId="057D9ADE" w14:textId="77777777" w:rsidR="00F94244" w:rsidRPr="004C78D8" w:rsidRDefault="00F94244" w:rsidP="00FB7C1F">
            <w:pPr>
              <w:jc w:val="left"/>
              <w:rPr>
                <w:sz w:val="18"/>
                <w:szCs w:val="18"/>
              </w:rPr>
            </w:pPr>
            <w:r w:rsidRPr="004C78D8">
              <w:rPr>
                <w:sz w:val="18"/>
                <w:szCs w:val="18"/>
              </w:rPr>
              <w:t>Public sector; Societal</w:t>
            </w:r>
          </w:p>
        </w:tc>
        <w:tc>
          <w:tcPr>
            <w:tcW w:w="952" w:type="pct"/>
            <w:tcBorders>
              <w:top w:val="nil"/>
              <w:left w:val="nil"/>
              <w:bottom w:val="nil"/>
              <w:right w:val="nil"/>
            </w:tcBorders>
          </w:tcPr>
          <w:p w14:paraId="3EAAEF38" w14:textId="77777777" w:rsidR="00F94244" w:rsidRPr="004C78D8" w:rsidRDefault="00F94244" w:rsidP="00FB7C1F">
            <w:pPr>
              <w:jc w:val="left"/>
              <w:rPr>
                <w:sz w:val="18"/>
                <w:szCs w:val="18"/>
              </w:rPr>
            </w:pPr>
            <w:r w:rsidRPr="004C78D8">
              <w:rPr>
                <w:sz w:val="18"/>
                <w:szCs w:val="18"/>
              </w:rPr>
              <w:t>Exercise (Tai Chi) [NR]</w:t>
            </w:r>
          </w:p>
        </w:tc>
        <w:tc>
          <w:tcPr>
            <w:tcW w:w="453" w:type="pct"/>
            <w:tcBorders>
              <w:top w:val="nil"/>
              <w:left w:val="nil"/>
              <w:bottom w:val="nil"/>
              <w:right w:val="nil"/>
            </w:tcBorders>
          </w:tcPr>
          <w:p w14:paraId="3EA81681" w14:textId="77777777" w:rsidR="00F94244" w:rsidRPr="004C78D8" w:rsidRDefault="00F94244" w:rsidP="00FB7C1F">
            <w:pPr>
              <w:jc w:val="left"/>
              <w:rPr>
                <w:sz w:val="18"/>
                <w:szCs w:val="18"/>
              </w:rPr>
            </w:pPr>
            <w:r w:rsidRPr="004C78D8">
              <w:rPr>
                <w:sz w:val="18"/>
                <w:szCs w:val="18"/>
              </w:rPr>
              <w:t>DT</w:t>
            </w:r>
          </w:p>
        </w:tc>
        <w:tc>
          <w:tcPr>
            <w:tcW w:w="355" w:type="pct"/>
            <w:tcBorders>
              <w:top w:val="nil"/>
              <w:left w:val="nil"/>
              <w:bottom w:val="nil"/>
              <w:right w:val="nil"/>
            </w:tcBorders>
          </w:tcPr>
          <w:p w14:paraId="51742090" w14:textId="77777777" w:rsidR="00F94244" w:rsidRPr="004C78D8" w:rsidRDefault="00F94244" w:rsidP="00FB7C1F">
            <w:pPr>
              <w:jc w:val="left"/>
              <w:rPr>
                <w:sz w:val="18"/>
                <w:szCs w:val="18"/>
              </w:rPr>
            </w:pPr>
            <w:r w:rsidRPr="004C78D8">
              <w:rPr>
                <w:sz w:val="18"/>
                <w:szCs w:val="18"/>
              </w:rPr>
              <w:t>1 year</w:t>
            </w:r>
          </w:p>
        </w:tc>
        <w:tc>
          <w:tcPr>
            <w:tcW w:w="377" w:type="pct"/>
            <w:tcBorders>
              <w:top w:val="nil"/>
              <w:left w:val="nil"/>
              <w:bottom w:val="nil"/>
            </w:tcBorders>
          </w:tcPr>
          <w:p w14:paraId="6F121C03" w14:textId="77777777" w:rsidR="00F94244" w:rsidRPr="004C78D8" w:rsidRDefault="00F94244" w:rsidP="00FB7C1F">
            <w:pPr>
              <w:jc w:val="left"/>
              <w:rPr>
                <w:sz w:val="18"/>
                <w:szCs w:val="18"/>
              </w:rPr>
            </w:pPr>
            <w:r w:rsidRPr="004C78D8">
              <w:rPr>
                <w:sz w:val="18"/>
                <w:szCs w:val="18"/>
              </w:rPr>
              <w:t>18</w:t>
            </w:r>
          </w:p>
        </w:tc>
      </w:tr>
      <w:tr w:rsidR="00F94244" w:rsidRPr="004C78D8" w14:paraId="15DCA523" w14:textId="77777777" w:rsidTr="002828C1">
        <w:tc>
          <w:tcPr>
            <w:tcW w:w="149" w:type="pct"/>
            <w:tcBorders>
              <w:top w:val="nil"/>
              <w:bottom w:val="nil"/>
              <w:right w:val="nil"/>
            </w:tcBorders>
          </w:tcPr>
          <w:p w14:paraId="626FFA57" w14:textId="77777777" w:rsidR="00F94244" w:rsidRPr="004C78D8" w:rsidRDefault="00F94244" w:rsidP="00FB7C1F">
            <w:pPr>
              <w:jc w:val="left"/>
              <w:rPr>
                <w:sz w:val="18"/>
                <w:szCs w:val="18"/>
              </w:rPr>
            </w:pPr>
            <w:r w:rsidRPr="004C78D8">
              <w:rPr>
                <w:sz w:val="18"/>
                <w:szCs w:val="18"/>
              </w:rPr>
              <w:t>13</w:t>
            </w:r>
          </w:p>
        </w:tc>
        <w:tc>
          <w:tcPr>
            <w:tcW w:w="455" w:type="pct"/>
            <w:tcBorders>
              <w:top w:val="nil"/>
              <w:left w:val="nil"/>
              <w:bottom w:val="nil"/>
              <w:right w:val="nil"/>
            </w:tcBorders>
          </w:tcPr>
          <w:p w14:paraId="7CE3CFBE" w14:textId="36D8FC5F" w:rsidR="00F94244" w:rsidRPr="004C78D8" w:rsidRDefault="00F94244" w:rsidP="00FB7C1F">
            <w:pPr>
              <w:jc w:val="left"/>
              <w:rPr>
                <w:sz w:val="18"/>
                <w:szCs w:val="18"/>
              </w:rPr>
            </w:pPr>
            <w:r w:rsidRPr="004C78D8">
              <w:rPr>
                <w:sz w:val="18"/>
                <w:szCs w:val="18"/>
              </w:rPr>
              <w:t xml:space="preserve">Deverall (2018) </w:t>
            </w:r>
            <w:r w:rsidRPr="004C78D8">
              <w:rPr>
                <w:sz w:val="18"/>
                <w:szCs w:val="18"/>
              </w:rPr>
              <w:fldChar w:fldCharType="begin">
                <w:fldData xml:space="preserve">PEVuZE5vdGU+PENpdGU+PEF1dGhvcj5EZXZlcmFsbDwvQXV0aG9yPjxZZWFyPjIwMTg8L1llYXI+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=
</w:fldData>
              </w:fldChar>
            </w:r>
            <w:r w:rsidR="00C630FC" w:rsidRPr="004C78D8">
              <w:rPr>
                <w:sz w:val="18"/>
                <w:szCs w:val="18"/>
              </w:rPr>
              <w:instrText xml:space="preserve"> ADDIN EN.CITE </w:instrText>
            </w:r>
            <w:r w:rsidR="00C630FC" w:rsidRPr="004C78D8">
              <w:rPr>
                <w:sz w:val="18"/>
                <w:szCs w:val="18"/>
              </w:rPr>
              <w:fldChar w:fldCharType="begin">
                <w:fldData xml:space="preserve">PEVuZE5vdGU+PENpdGU+PEF1dGhvcj5EZXZlcmFsbDwvQXV0aG9yPjxZZWFyPjIwMTg8L1llYXI+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=
</w:fldData>
              </w:fldChar>
            </w:r>
            <w:r w:rsidR="00C630FC" w:rsidRPr="004C78D8">
              <w:rPr>
                <w:sz w:val="18"/>
                <w:szCs w:val="18"/>
              </w:rPr>
              <w:instrText xml:space="preserve"> ADDIN EN.CITE.DATA </w:instrText>
            </w:r>
            <w:r w:rsidR="00C630FC" w:rsidRPr="004C78D8">
              <w:rPr>
                <w:sz w:val="18"/>
                <w:szCs w:val="18"/>
              </w:rPr>
            </w:r>
            <w:r w:rsidR="00C630FC" w:rsidRPr="004C78D8">
              <w:rPr>
                <w:sz w:val="18"/>
                <w:szCs w:val="18"/>
              </w:rPr>
              <w:fldChar w:fldCharType="end"/>
            </w:r>
            <w:r w:rsidRPr="004C78D8">
              <w:rPr>
                <w:sz w:val="18"/>
                <w:szCs w:val="18"/>
              </w:rPr>
            </w:r>
            <w:r w:rsidRPr="004C78D8">
              <w:rPr>
                <w:sz w:val="18"/>
                <w:szCs w:val="18"/>
              </w:rPr>
              <w:fldChar w:fldCharType="separate"/>
            </w:r>
            <w:r w:rsidR="00C630FC" w:rsidRPr="004C78D8">
              <w:rPr>
                <w:noProof/>
                <w:sz w:val="18"/>
                <w:szCs w:val="18"/>
              </w:rPr>
              <w:t>[361]</w:t>
            </w:r>
            <w:r w:rsidRPr="004C78D8">
              <w:rPr>
                <w:sz w:val="18"/>
                <w:szCs w:val="18"/>
              </w:rPr>
              <w:fldChar w:fldCharType="end"/>
            </w:r>
          </w:p>
        </w:tc>
        <w:tc>
          <w:tcPr>
            <w:tcW w:w="492" w:type="pct"/>
            <w:tcBorders>
              <w:top w:val="nil"/>
              <w:left w:val="nil"/>
              <w:bottom w:val="nil"/>
              <w:right w:val="nil"/>
            </w:tcBorders>
          </w:tcPr>
          <w:p w14:paraId="4AA59AB1" w14:textId="77777777" w:rsidR="00F94244" w:rsidRPr="004C78D8" w:rsidRDefault="00F94244" w:rsidP="00FB7C1F">
            <w:pPr>
              <w:jc w:val="left"/>
              <w:rPr>
                <w:sz w:val="18"/>
                <w:szCs w:val="18"/>
              </w:rPr>
            </w:pPr>
            <w:r w:rsidRPr="004C78D8">
              <w:rPr>
                <w:sz w:val="18"/>
                <w:szCs w:val="18"/>
              </w:rPr>
              <w:t>New Zealand</w:t>
            </w:r>
          </w:p>
        </w:tc>
        <w:tc>
          <w:tcPr>
            <w:tcW w:w="950" w:type="pct"/>
            <w:tcBorders>
              <w:top w:val="nil"/>
              <w:left w:val="nil"/>
              <w:bottom w:val="nil"/>
              <w:right w:val="nil"/>
            </w:tcBorders>
          </w:tcPr>
          <w:p w14:paraId="4E2C5D14" w14:textId="77777777" w:rsidR="00F94244" w:rsidRPr="004C78D8" w:rsidRDefault="00F94244" w:rsidP="00FB7C1F">
            <w:pPr>
              <w:jc w:val="left"/>
              <w:rPr>
                <w:sz w:val="18"/>
                <w:szCs w:val="18"/>
              </w:rPr>
            </w:pPr>
            <w:r w:rsidRPr="004C78D8">
              <w:rPr>
                <w:sz w:val="18"/>
                <w:szCs w:val="18"/>
              </w:rPr>
              <w:t>CD adults aged 65+</w:t>
            </w:r>
          </w:p>
        </w:tc>
        <w:tc>
          <w:tcPr>
            <w:tcW w:w="321" w:type="pct"/>
            <w:tcBorders>
              <w:top w:val="nil"/>
              <w:left w:val="nil"/>
              <w:bottom w:val="nil"/>
              <w:right w:val="nil"/>
            </w:tcBorders>
          </w:tcPr>
          <w:p w14:paraId="16FBADDF" w14:textId="77777777" w:rsidR="00F94244" w:rsidRPr="004C78D8" w:rsidRDefault="00F94244" w:rsidP="00FB7C1F">
            <w:pPr>
              <w:jc w:val="left"/>
              <w:rPr>
                <w:sz w:val="18"/>
                <w:szCs w:val="18"/>
              </w:rPr>
            </w:pPr>
            <w:r w:rsidRPr="004C78D8">
              <w:rPr>
                <w:sz w:val="18"/>
                <w:szCs w:val="18"/>
              </w:rPr>
              <w:t>CUA</w:t>
            </w:r>
          </w:p>
        </w:tc>
        <w:tc>
          <w:tcPr>
            <w:tcW w:w="497" w:type="pct"/>
            <w:tcBorders>
              <w:top w:val="nil"/>
              <w:left w:val="nil"/>
              <w:bottom w:val="nil"/>
              <w:right w:val="nil"/>
            </w:tcBorders>
          </w:tcPr>
          <w:p w14:paraId="504A032D" w14:textId="77777777" w:rsidR="00F94244" w:rsidRPr="004C78D8" w:rsidRDefault="00F94244" w:rsidP="00FB7C1F">
            <w:pPr>
              <w:jc w:val="left"/>
              <w:rPr>
                <w:sz w:val="18"/>
                <w:szCs w:val="18"/>
              </w:rPr>
            </w:pPr>
            <w:r w:rsidRPr="004C78D8">
              <w:rPr>
                <w:sz w:val="18"/>
                <w:szCs w:val="18"/>
              </w:rPr>
              <w:t>Public sector; Societal</w:t>
            </w:r>
          </w:p>
        </w:tc>
        <w:tc>
          <w:tcPr>
            <w:tcW w:w="952" w:type="pct"/>
            <w:tcBorders>
              <w:top w:val="nil"/>
              <w:left w:val="nil"/>
              <w:bottom w:val="nil"/>
              <w:right w:val="nil"/>
            </w:tcBorders>
          </w:tcPr>
          <w:p w14:paraId="4268B3E8" w14:textId="77777777" w:rsidR="00F94244" w:rsidRPr="004C78D8" w:rsidRDefault="00F94244" w:rsidP="00FB7C1F">
            <w:pPr>
              <w:jc w:val="left"/>
              <w:rPr>
                <w:sz w:val="18"/>
                <w:szCs w:val="18"/>
              </w:rPr>
            </w:pPr>
            <w:r w:rsidRPr="004C78D8">
              <w:rPr>
                <w:sz w:val="18"/>
                <w:szCs w:val="18"/>
              </w:rPr>
              <w:t>Exercise (3 forms) [NR]</w:t>
            </w:r>
          </w:p>
        </w:tc>
        <w:tc>
          <w:tcPr>
            <w:tcW w:w="453" w:type="pct"/>
            <w:tcBorders>
              <w:top w:val="nil"/>
              <w:left w:val="nil"/>
              <w:bottom w:val="nil"/>
              <w:right w:val="nil"/>
            </w:tcBorders>
          </w:tcPr>
          <w:p w14:paraId="45CAADF6" w14:textId="77777777" w:rsidR="00F94244" w:rsidRPr="004C78D8" w:rsidRDefault="00F94244" w:rsidP="00FB7C1F">
            <w:pPr>
              <w:jc w:val="left"/>
              <w:rPr>
                <w:sz w:val="18"/>
                <w:szCs w:val="18"/>
              </w:rPr>
            </w:pPr>
            <w:r w:rsidRPr="004C78D8">
              <w:rPr>
                <w:sz w:val="18"/>
                <w:szCs w:val="18"/>
              </w:rPr>
              <w:t>Markov cohort</w:t>
            </w:r>
          </w:p>
        </w:tc>
        <w:tc>
          <w:tcPr>
            <w:tcW w:w="355" w:type="pct"/>
            <w:tcBorders>
              <w:top w:val="nil"/>
              <w:left w:val="nil"/>
              <w:bottom w:val="nil"/>
              <w:right w:val="nil"/>
            </w:tcBorders>
          </w:tcPr>
          <w:p w14:paraId="0B8098AD" w14:textId="77777777" w:rsidR="00F94244" w:rsidRPr="004C78D8" w:rsidRDefault="00F94244" w:rsidP="00FB7C1F">
            <w:pPr>
              <w:jc w:val="left"/>
              <w:rPr>
                <w:sz w:val="18"/>
                <w:szCs w:val="18"/>
              </w:rPr>
            </w:pPr>
            <w:r w:rsidRPr="004C78D8">
              <w:rPr>
                <w:sz w:val="18"/>
                <w:szCs w:val="18"/>
              </w:rPr>
              <w:t>25 years</w:t>
            </w:r>
          </w:p>
        </w:tc>
        <w:tc>
          <w:tcPr>
            <w:tcW w:w="377" w:type="pct"/>
            <w:tcBorders>
              <w:top w:val="nil"/>
              <w:left w:val="nil"/>
              <w:bottom w:val="nil"/>
            </w:tcBorders>
          </w:tcPr>
          <w:p w14:paraId="5F6DE44F" w14:textId="77777777" w:rsidR="00F94244" w:rsidRPr="004C78D8" w:rsidRDefault="00F94244" w:rsidP="00FB7C1F">
            <w:pPr>
              <w:jc w:val="left"/>
              <w:rPr>
                <w:sz w:val="18"/>
                <w:szCs w:val="18"/>
              </w:rPr>
            </w:pPr>
            <w:r w:rsidRPr="004C78D8">
              <w:rPr>
                <w:sz w:val="18"/>
                <w:szCs w:val="18"/>
              </w:rPr>
              <w:t>24</w:t>
            </w:r>
          </w:p>
        </w:tc>
      </w:tr>
      <w:tr w:rsidR="00F94244" w:rsidRPr="004C78D8" w14:paraId="31AB9641" w14:textId="77777777" w:rsidTr="002828C1">
        <w:tc>
          <w:tcPr>
            <w:tcW w:w="149" w:type="pct"/>
            <w:tcBorders>
              <w:top w:val="nil"/>
              <w:bottom w:val="nil"/>
              <w:right w:val="nil"/>
            </w:tcBorders>
          </w:tcPr>
          <w:p w14:paraId="4CB7DB8C" w14:textId="77777777" w:rsidR="00F94244" w:rsidRPr="004C78D8" w:rsidRDefault="00F94244" w:rsidP="00FB7C1F">
            <w:pPr>
              <w:jc w:val="left"/>
              <w:rPr>
                <w:sz w:val="18"/>
                <w:szCs w:val="18"/>
              </w:rPr>
            </w:pPr>
            <w:r w:rsidRPr="004C78D8">
              <w:rPr>
                <w:sz w:val="18"/>
                <w:szCs w:val="18"/>
              </w:rPr>
              <w:t>14</w:t>
            </w:r>
          </w:p>
        </w:tc>
        <w:tc>
          <w:tcPr>
            <w:tcW w:w="455" w:type="pct"/>
            <w:tcBorders>
              <w:top w:val="nil"/>
              <w:left w:val="nil"/>
              <w:bottom w:val="nil"/>
              <w:right w:val="nil"/>
            </w:tcBorders>
          </w:tcPr>
          <w:p w14:paraId="446E6DAA" w14:textId="6AD7896C" w:rsidR="00F94244" w:rsidRPr="004C78D8" w:rsidRDefault="00F94244" w:rsidP="00FB7C1F">
            <w:pPr>
              <w:jc w:val="left"/>
              <w:rPr>
                <w:sz w:val="18"/>
                <w:szCs w:val="18"/>
              </w:rPr>
            </w:pPr>
            <w:r w:rsidRPr="004C78D8">
              <w:rPr>
                <w:sz w:val="18"/>
                <w:szCs w:val="18"/>
              </w:rPr>
              <w:t xml:space="preserve">Eldridge (2005) </w:t>
            </w:r>
            <w:r w:rsidRPr="004C78D8">
              <w:rPr>
                <w:sz w:val="18"/>
                <w:szCs w:val="18"/>
              </w:rPr>
              <w:fldChar w:fldCharType="begin"/>
            </w:r>
            <w:r w:rsidR="00C630FC" w:rsidRPr="004C78D8">
              <w:rPr>
                <w:sz w:val="18"/>
                <w:szCs w:val="18"/>
              </w:rPr>
              <w:instrText xml:space="preserve"> ADDIN EN.CITE &lt;EndNote&gt;&lt;Cite&gt;&lt;Author&gt;Eldridge&lt;/Author&gt;&lt;Year&gt;2005&lt;/Year&gt;&lt;RecNum&gt;397&lt;/RecNum&gt;&lt;DisplayText&gt;[274]&lt;/DisplayText&gt;&lt;record&gt;&lt;rec-number&gt;397&lt;/rec-number&gt;&lt;foreign-keys&gt;&lt;key app="EN" db-id="tdtrdw9aepptzbefsat599syza29sxsd2wsp" timestamp="1612694614"&gt;397&lt;/key&gt;&lt;/foreign-keys&gt;&lt;ref-type name="Journal Article"&gt;17&lt;/ref-type&gt;&lt;contributors&gt;&lt;authors&gt;&lt;author&gt;Eldridge, Sandra&lt;/author&gt;&lt;author&gt;Spencer, Anne&lt;/author&gt;&lt;author&gt;Cryer, Colin&lt;/author&gt;&lt;author&gt;Parsons, Suzanne&lt;/author&gt;&lt;author&gt;Underwood, Martin&lt;/author&gt;&lt;author&gt;Feder, Gene&lt;/author&gt;&lt;/authors&gt;&lt;/contributors&gt;&lt;titles&gt;&lt;title&gt;Why modelling a complex intervention is an important precursor to trial design: lessons from studying an intervention to reduce falls-related injuries in older people&lt;/title&gt;&lt;secondary-title&gt;Journal of health services research &amp;amp; policy&lt;/secondary-title&gt;&lt;/titles&gt;&lt;periodical&gt;&lt;full-title&gt;Journal of health services research &amp;amp; policy&lt;/full-title&gt;&lt;/periodical&gt;&lt;pages&gt;133-42&lt;/pages&gt;&lt;volume&gt;10&lt;/volume&gt;&lt;number&gt;3&lt;/number&gt;&lt;section&gt;Eldridge, Sandra. Department of General Practice and Primary Care, Queen Mary University of London, UK. s.elridge@qmul.ac.uk&lt;/section&gt;&lt;keywords&gt;&lt;keyword&gt;*Accidental Falls/pc [Prevention &amp;amp; Control]&lt;/keyword&gt;&lt;keyword&gt;Aged&lt;/keyword&gt;&lt;keyword&gt;Aged, 80 and over&lt;/keyword&gt;&lt;keyword&gt;Cost-Benefit Analysis&lt;/keyword&gt;&lt;keyword&gt;*Decision Support Techniques&lt;/keyword&gt;&lt;keyword&gt;Humans&lt;/keyword&gt;&lt;keyword&gt;Markov Chains&lt;/keyword&gt;&lt;keyword&gt;Pilot Projects&lt;/keyword&gt;&lt;keyword&gt;State Medicine&lt;/keyword&gt;&lt;keyword&gt;United Kingdom&lt;/keyword&gt;&lt;/keywords&gt;&lt;dates&gt;&lt;year&gt;2005&lt;/year&gt;&lt;/dates&gt;&lt;pub-location&gt;England&lt;/pub-location&gt;&lt;isbn&gt;1355-8196&lt;/isbn&gt;&lt;urls&gt;&lt;related-urls&gt;&lt;url&gt;http://ovidsp.ovid.com/ovidweb.cgi?T=JS&amp;amp;PAGE=reference&amp;amp;D=med5&amp;amp;NEWS=N&amp;amp;AN=16053589&lt;/url&gt;&lt;/related-urls&gt;&lt;/urls&gt;&lt;remote-database-name&gt;Medline&lt;/remote-database-name&gt;&lt;/record&gt;&lt;/Cite&gt;&lt;/EndNote&gt;</w:instrText>
            </w:r>
            <w:r w:rsidRPr="004C78D8">
              <w:rPr>
                <w:sz w:val="18"/>
                <w:szCs w:val="18"/>
              </w:rPr>
              <w:fldChar w:fldCharType="separate"/>
            </w:r>
            <w:r w:rsidR="00C630FC" w:rsidRPr="004C78D8">
              <w:rPr>
                <w:noProof/>
                <w:sz w:val="18"/>
                <w:szCs w:val="18"/>
              </w:rPr>
              <w:t>[274]</w:t>
            </w:r>
            <w:r w:rsidRPr="004C78D8">
              <w:rPr>
                <w:sz w:val="18"/>
                <w:szCs w:val="18"/>
              </w:rPr>
              <w:fldChar w:fldCharType="end"/>
            </w:r>
          </w:p>
        </w:tc>
        <w:tc>
          <w:tcPr>
            <w:tcW w:w="492" w:type="pct"/>
            <w:tcBorders>
              <w:top w:val="nil"/>
              <w:left w:val="nil"/>
              <w:bottom w:val="nil"/>
              <w:right w:val="nil"/>
            </w:tcBorders>
          </w:tcPr>
          <w:p w14:paraId="5B71EA7F" w14:textId="77777777" w:rsidR="00F94244" w:rsidRPr="004C78D8" w:rsidRDefault="00F94244" w:rsidP="00FB7C1F">
            <w:pPr>
              <w:jc w:val="left"/>
              <w:rPr>
                <w:sz w:val="18"/>
                <w:szCs w:val="18"/>
              </w:rPr>
            </w:pPr>
            <w:r w:rsidRPr="004C78D8">
              <w:rPr>
                <w:sz w:val="18"/>
                <w:szCs w:val="18"/>
              </w:rPr>
              <w:t>UK, primary care trust</w:t>
            </w:r>
          </w:p>
        </w:tc>
        <w:tc>
          <w:tcPr>
            <w:tcW w:w="950" w:type="pct"/>
            <w:tcBorders>
              <w:top w:val="nil"/>
              <w:left w:val="nil"/>
              <w:bottom w:val="nil"/>
              <w:right w:val="nil"/>
            </w:tcBorders>
          </w:tcPr>
          <w:p w14:paraId="3C3DFEE0" w14:textId="77777777" w:rsidR="00F94244" w:rsidRPr="004C78D8" w:rsidRDefault="00F94244" w:rsidP="00FB7C1F">
            <w:pPr>
              <w:jc w:val="left"/>
              <w:rPr>
                <w:sz w:val="18"/>
                <w:szCs w:val="18"/>
              </w:rPr>
            </w:pPr>
            <w:r w:rsidRPr="004C78D8">
              <w:rPr>
                <w:sz w:val="18"/>
                <w:szCs w:val="18"/>
              </w:rPr>
              <w:t>Adults aged 65+ in community or nursing home</w:t>
            </w:r>
          </w:p>
        </w:tc>
        <w:tc>
          <w:tcPr>
            <w:tcW w:w="321" w:type="pct"/>
            <w:tcBorders>
              <w:top w:val="nil"/>
              <w:left w:val="nil"/>
              <w:bottom w:val="nil"/>
              <w:right w:val="nil"/>
            </w:tcBorders>
          </w:tcPr>
          <w:p w14:paraId="3167B111" w14:textId="77777777" w:rsidR="00F94244" w:rsidRPr="004C78D8" w:rsidRDefault="00F94244" w:rsidP="00FB7C1F">
            <w:pPr>
              <w:jc w:val="left"/>
              <w:rPr>
                <w:sz w:val="18"/>
                <w:szCs w:val="18"/>
              </w:rPr>
            </w:pPr>
            <w:r w:rsidRPr="004C78D8">
              <w:rPr>
                <w:sz w:val="18"/>
                <w:szCs w:val="18"/>
              </w:rPr>
              <w:t>CUA</w:t>
            </w:r>
          </w:p>
        </w:tc>
        <w:tc>
          <w:tcPr>
            <w:tcW w:w="497" w:type="pct"/>
            <w:tcBorders>
              <w:top w:val="nil"/>
              <w:left w:val="nil"/>
              <w:bottom w:val="nil"/>
              <w:right w:val="nil"/>
            </w:tcBorders>
          </w:tcPr>
          <w:p w14:paraId="72009CE9" w14:textId="77777777" w:rsidR="00F94244" w:rsidRPr="004C78D8" w:rsidRDefault="00F94244" w:rsidP="00FB7C1F">
            <w:pPr>
              <w:jc w:val="left"/>
              <w:rPr>
                <w:sz w:val="18"/>
                <w:szCs w:val="18"/>
              </w:rPr>
            </w:pPr>
            <w:r w:rsidRPr="004C78D8">
              <w:rPr>
                <w:sz w:val="18"/>
                <w:szCs w:val="18"/>
              </w:rPr>
              <w:t>Public sector</w:t>
            </w:r>
          </w:p>
        </w:tc>
        <w:tc>
          <w:tcPr>
            <w:tcW w:w="952" w:type="pct"/>
            <w:tcBorders>
              <w:top w:val="nil"/>
              <w:left w:val="nil"/>
              <w:bottom w:val="nil"/>
              <w:right w:val="nil"/>
            </w:tcBorders>
          </w:tcPr>
          <w:p w14:paraId="1C907847" w14:textId="77777777" w:rsidR="00F94244" w:rsidRPr="004C78D8" w:rsidRDefault="00F94244" w:rsidP="00FB7C1F">
            <w:pPr>
              <w:jc w:val="left"/>
              <w:rPr>
                <w:sz w:val="18"/>
                <w:szCs w:val="18"/>
              </w:rPr>
            </w:pPr>
            <w:r w:rsidRPr="004C78D8">
              <w:rPr>
                <w:sz w:val="18"/>
                <w:szCs w:val="18"/>
              </w:rPr>
              <w:t>FRS + MF int. or Exercise [UC]</w:t>
            </w:r>
          </w:p>
        </w:tc>
        <w:tc>
          <w:tcPr>
            <w:tcW w:w="453" w:type="pct"/>
            <w:tcBorders>
              <w:top w:val="nil"/>
              <w:left w:val="nil"/>
              <w:bottom w:val="nil"/>
              <w:right w:val="nil"/>
            </w:tcBorders>
          </w:tcPr>
          <w:p w14:paraId="6D630957" w14:textId="77777777" w:rsidR="00F94244" w:rsidRPr="004C78D8" w:rsidRDefault="00F94244" w:rsidP="00FB7C1F">
            <w:pPr>
              <w:jc w:val="left"/>
              <w:rPr>
                <w:sz w:val="18"/>
                <w:szCs w:val="18"/>
              </w:rPr>
            </w:pPr>
            <w:r w:rsidRPr="004C78D8">
              <w:rPr>
                <w:sz w:val="18"/>
                <w:szCs w:val="18"/>
              </w:rPr>
              <w:t>DT + Markov cohort</w:t>
            </w:r>
          </w:p>
        </w:tc>
        <w:tc>
          <w:tcPr>
            <w:tcW w:w="355" w:type="pct"/>
            <w:tcBorders>
              <w:top w:val="nil"/>
              <w:left w:val="nil"/>
              <w:bottom w:val="nil"/>
              <w:right w:val="nil"/>
            </w:tcBorders>
          </w:tcPr>
          <w:p w14:paraId="0B6A4EBD" w14:textId="77777777" w:rsidR="00F94244" w:rsidRPr="004C78D8" w:rsidRDefault="00F94244" w:rsidP="00FB7C1F">
            <w:pPr>
              <w:jc w:val="left"/>
              <w:rPr>
                <w:sz w:val="18"/>
                <w:szCs w:val="18"/>
              </w:rPr>
            </w:pPr>
            <w:r w:rsidRPr="004C78D8">
              <w:rPr>
                <w:sz w:val="18"/>
                <w:szCs w:val="18"/>
              </w:rPr>
              <w:t>Lifetime</w:t>
            </w:r>
          </w:p>
        </w:tc>
        <w:tc>
          <w:tcPr>
            <w:tcW w:w="377" w:type="pct"/>
            <w:tcBorders>
              <w:top w:val="nil"/>
              <w:left w:val="nil"/>
              <w:bottom w:val="nil"/>
            </w:tcBorders>
          </w:tcPr>
          <w:p w14:paraId="085B4D27" w14:textId="77777777" w:rsidR="00F94244" w:rsidRPr="004C78D8" w:rsidRDefault="00F94244" w:rsidP="00FB7C1F">
            <w:pPr>
              <w:jc w:val="left"/>
              <w:rPr>
                <w:sz w:val="18"/>
                <w:szCs w:val="18"/>
              </w:rPr>
            </w:pPr>
            <w:r w:rsidRPr="004C78D8">
              <w:rPr>
                <w:sz w:val="18"/>
                <w:szCs w:val="18"/>
              </w:rPr>
              <w:t>17.5</w:t>
            </w:r>
          </w:p>
        </w:tc>
      </w:tr>
      <w:tr w:rsidR="00F94244" w:rsidRPr="004C78D8" w14:paraId="6B63CC0D" w14:textId="77777777" w:rsidTr="002828C1">
        <w:tc>
          <w:tcPr>
            <w:tcW w:w="149" w:type="pct"/>
            <w:tcBorders>
              <w:top w:val="nil"/>
              <w:bottom w:val="nil"/>
              <w:right w:val="nil"/>
            </w:tcBorders>
          </w:tcPr>
          <w:p w14:paraId="1EB00139" w14:textId="77777777" w:rsidR="00F94244" w:rsidRPr="004C78D8" w:rsidRDefault="00F94244" w:rsidP="00FB7C1F">
            <w:pPr>
              <w:jc w:val="left"/>
              <w:rPr>
                <w:sz w:val="18"/>
                <w:szCs w:val="18"/>
              </w:rPr>
            </w:pPr>
            <w:r w:rsidRPr="004C78D8">
              <w:rPr>
                <w:sz w:val="18"/>
                <w:szCs w:val="18"/>
              </w:rPr>
              <w:t>15</w:t>
            </w:r>
          </w:p>
        </w:tc>
        <w:tc>
          <w:tcPr>
            <w:tcW w:w="455" w:type="pct"/>
            <w:tcBorders>
              <w:top w:val="nil"/>
              <w:left w:val="nil"/>
              <w:bottom w:val="nil"/>
              <w:right w:val="nil"/>
            </w:tcBorders>
          </w:tcPr>
          <w:p w14:paraId="612BB7BB" w14:textId="4A97AFED" w:rsidR="00F94244" w:rsidRPr="004C78D8" w:rsidRDefault="00F94244" w:rsidP="00FB7C1F">
            <w:pPr>
              <w:jc w:val="left"/>
              <w:rPr>
                <w:sz w:val="18"/>
                <w:szCs w:val="18"/>
              </w:rPr>
            </w:pPr>
            <w:r w:rsidRPr="004C78D8">
              <w:rPr>
                <w:sz w:val="18"/>
                <w:szCs w:val="18"/>
              </w:rPr>
              <w:t xml:space="preserve">Farag (2015) </w:t>
            </w:r>
            <w:r w:rsidRPr="004C78D8">
              <w:rPr>
                <w:sz w:val="18"/>
                <w:szCs w:val="18"/>
              </w:rPr>
              <w:fldChar w:fldCharType="begin">
                <w:fldData xml:space="preserve">PEVuZE5vdGU+PENpdGU+PEF1dGhvcj5GYXJhZzwvQXV0aG9yPjxZZWFyPjIwMTU8L1llYXI+PFJl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</w:fldData>
              </w:fldChar>
            </w:r>
            <w:r w:rsidR="00C630FC" w:rsidRPr="004C78D8">
              <w:rPr>
                <w:sz w:val="18"/>
                <w:szCs w:val="18"/>
              </w:rPr>
              <w:instrText xml:space="preserve"> ADDIN EN.CITE </w:instrText>
            </w:r>
            <w:r w:rsidR="00C630FC" w:rsidRPr="004C78D8">
              <w:rPr>
                <w:sz w:val="18"/>
                <w:szCs w:val="18"/>
              </w:rPr>
              <w:fldChar w:fldCharType="begin">
                <w:fldData xml:space="preserve">PEVuZE5vdGU+PENpdGU+PEF1dGhvcj5GYXJhZzwvQXV0aG9yPjxZZWFyPjIwMTU8L1llYXI+PFJl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</w:fldData>
              </w:fldChar>
            </w:r>
            <w:r w:rsidR="00C630FC" w:rsidRPr="004C78D8">
              <w:rPr>
                <w:sz w:val="18"/>
                <w:szCs w:val="18"/>
              </w:rPr>
              <w:instrText xml:space="preserve"> ADDIN EN.CITE.DATA </w:instrText>
            </w:r>
            <w:r w:rsidR="00C630FC" w:rsidRPr="004C78D8">
              <w:rPr>
                <w:sz w:val="18"/>
                <w:szCs w:val="18"/>
              </w:rPr>
            </w:r>
            <w:r w:rsidR="00C630FC" w:rsidRPr="004C78D8">
              <w:rPr>
                <w:sz w:val="18"/>
                <w:szCs w:val="18"/>
              </w:rPr>
              <w:fldChar w:fldCharType="end"/>
            </w:r>
            <w:r w:rsidRPr="004C78D8">
              <w:rPr>
                <w:sz w:val="18"/>
                <w:szCs w:val="18"/>
              </w:rPr>
            </w:r>
            <w:r w:rsidRPr="004C78D8">
              <w:rPr>
                <w:sz w:val="18"/>
                <w:szCs w:val="18"/>
              </w:rPr>
              <w:fldChar w:fldCharType="separate"/>
            </w:r>
            <w:r w:rsidR="00C630FC" w:rsidRPr="004C78D8">
              <w:rPr>
                <w:noProof/>
                <w:sz w:val="18"/>
                <w:szCs w:val="18"/>
              </w:rPr>
              <w:t>[362]</w:t>
            </w:r>
            <w:r w:rsidRPr="004C78D8">
              <w:rPr>
                <w:sz w:val="18"/>
                <w:szCs w:val="18"/>
              </w:rPr>
              <w:fldChar w:fldCharType="end"/>
            </w:r>
          </w:p>
        </w:tc>
        <w:tc>
          <w:tcPr>
            <w:tcW w:w="492" w:type="pct"/>
            <w:tcBorders>
              <w:top w:val="nil"/>
              <w:left w:val="nil"/>
              <w:bottom w:val="nil"/>
              <w:right w:val="nil"/>
            </w:tcBorders>
          </w:tcPr>
          <w:p w14:paraId="65345A79" w14:textId="77777777" w:rsidR="00F94244" w:rsidRPr="004C78D8" w:rsidRDefault="00F94244" w:rsidP="00FB7C1F">
            <w:pPr>
              <w:jc w:val="left"/>
              <w:rPr>
                <w:sz w:val="18"/>
                <w:szCs w:val="18"/>
              </w:rPr>
            </w:pPr>
            <w:r w:rsidRPr="004C78D8">
              <w:rPr>
                <w:sz w:val="18"/>
                <w:szCs w:val="18"/>
              </w:rPr>
              <w:t>Australia</w:t>
            </w:r>
          </w:p>
        </w:tc>
        <w:tc>
          <w:tcPr>
            <w:tcW w:w="950" w:type="pct"/>
            <w:tcBorders>
              <w:top w:val="nil"/>
              <w:left w:val="nil"/>
              <w:bottom w:val="nil"/>
              <w:right w:val="nil"/>
            </w:tcBorders>
          </w:tcPr>
          <w:p w14:paraId="247FB01F" w14:textId="77777777" w:rsidR="00F94244" w:rsidRPr="004C78D8" w:rsidRDefault="00F94244" w:rsidP="00FB7C1F">
            <w:pPr>
              <w:jc w:val="left"/>
              <w:rPr>
                <w:sz w:val="18"/>
                <w:szCs w:val="18"/>
              </w:rPr>
            </w:pPr>
            <w:r w:rsidRPr="004C78D8">
              <w:rPr>
                <w:sz w:val="18"/>
                <w:szCs w:val="18"/>
              </w:rPr>
              <w:t>CD adults aged 65+ without falls history</w:t>
            </w:r>
          </w:p>
        </w:tc>
        <w:tc>
          <w:tcPr>
            <w:tcW w:w="321" w:type="pct"/>
            <w:tcBorders>
              <w:top w:val="nil"/>
              <w:left w:val="nil"/>
              <w:bottom w:val="nil"/>
              <w:right w:val="nil"/>
            </w:tcBorders>
          </w:tcPr>
          <w:p w14:paraId="519458C5" w14:textId="77777777" w:rsidR="00F94244" w:rsidRPr="004C78D8" w:rsidRDefault="00F94244" w:rsidP="00FB7C1F">
            <w:pPr>
              <w:jc w:val="left"/>
              <w:rPr>
                <w:sz w:val="18"/>
                <w:szCs w:val="18"/>
              </w:rPr>
            </w:pPr>
            <w:r w:rsidRPr="004C78D8">
              <w:rPr>
                <w:sz w:val="18"/>
                <w:szCs w:val="18"/>
              </w:rPr>
              <w:t>CUA</w:t>
            </w:r>
          </w:p>
        </w:tc>
        <w:tc>
          <w:tcPr>
            <w:tcW w:w="497" w:type="pct"/>
            <w:tcBorders>
              <w:top w:val="nil"/>
              <w:left w:val="nil"/>
              <w:bottom w:val="nil"/>
              <w:right w:val="nil"/>
            </w:tcBorders>
          </w:tcPr>
          <w:p w14:paraId="431E70A8" w14:textId="77777777" w:rsidR="00F94244" w:rsidRPr="004C78D8" w:rsidRDefault="00F94244" w:rsidP="00FB7C1F">
            <w:pPr>
              <w:jc w:val="left"/>
              <w:rPr>
                <w:sz w:val="18"/>
                <w:szCs w:val="18"/>
              </w:rPr>
            </w:pPr>
            <w:r w:rsidRPr="004C78D8">
              <w:rPr>
                <w:sz w:val="18"/>
                <w:szCs w:val="18"/>
              </w:rPr>
              <w:t>Public sector</w:t>
            </w:r>
          </w:p>
        </w:tc>
        <w:tc>
          <w:tcPr>
            <w:tcW w:w="952" w:type="pct"/>
            <w:tcBorders>
              <w:top w:val="nil"/>
              <w:left w:val="nil"/>
              <w:bottom w:val="nil"/>
              <w:right w:val="nil"/>
            </w:tcBorders>
          </w:tcPr>
          <w:p w14:paraId="01D4B6E0" w14:textId="77777777" w:rsidR="00F94244" w:rsidRPr="004C78D8" w:rsidRDefault="00F94244" w:rsidP="00FB7C1F">
            <w:pPr>
              <w:jc w:val="left"/>
              <w:rPr>
                <w:sz w:val="18"/>
                <w:szCs w:val="18"/>
              </w:rPr>
            </w:pPr>
            <w:r w:rsidRPr="004C78D8">
              <w:rPr>
                <w:sz w:val="18"/>
                <w:szCs w:val="18"/>
              </w:rPr>
              <w:t>Non-specific intervention [NR]</w:t>
            </w:r>
          </w:p>
        </w:tc>
        <w:tc>
          <w:tcPr>
            <w:tcW w:w="453" w:type="pct"/>
            <w:tcBorders>
              <w:top w:val="nil"/>
              <w:left w:val="nil"/>
              <w:bottom w:val="nil"/>
              <w:right w:val="nil"/>
            </w:tcBorders>
          </w:tcPr>
          <w:p w14:paraId="58785AAF" w14:textId="77777777" w:rsidR="00F94244" w:rsidRPr="004C78D8" w:rsidRDefault="00F94244" w:rsidP="00FB7C1F">
            <w:pPr>
              <w:jc w:val="left"/>
              <w:rPr>
                <w:sz w:val="18"/>
                <w:szCs w:val="18"/>
              </w:rPr>
            </w:pPr>
            <w:r w:rsidRPr="004C78D8">
              <w:rPr>
                <w:sz w:val="18"/>
                <w:szCs w:val="18"/>
              </w:rPr>
              <w:t>Markov cohort</w:t>
            </w:r>
          </w:p>
        </w:tc>
        <w:tc>
          <w:tcPr>
            <w:tcW w:w="355" w:type="pct"/>
            <w:tcBorders>
              <w:top w:val="nil"/>
              <w:left w:val="nil"/>
              <w:bottom w:val="nil"/>
              <w:right w:val="nil"/>
            </w:tcBorders>
          </w:tcPr>
          <w:p w14:paraId="1C3BC4F8" w14:textId="77777777" w:rsidR="00F94244" w:rsidRPr="004C78D8" w:rsidRDefault="00F94244" w:rsidP="00FB7C1F">
            <w:pPr>
              <w:jc w:val="left"/>
              <w:rPr>
                <w:sz w:val="18"/>
                <w:szCs w:val="18"/>
              </w:rPr>
            </w:pPr>
            <w:r w:rsidRPr="004C78D8">
              <w:rPr>
                <w:sz w:val="18"/>
                <w:szCs w:val="18"/>
              </w:rPr>
              <w:t>Lifetime</w:t>
            </w:r>
          </w:p>
        </w:tc>
        <w:tc>
          <w:tcPr>
            <w:tcW w:w="377" w:type="pct"/>
            <w:tcBorders>
              <w:top w:val="nil"/>
              <w:left w:val="nil"/>
              <w:bottom w:val="nil"/>
            </w:tcBorders>
          </w:tcPr>
          <w:p w14:paraId="3C001CF6" w14:textId="77777777" w:rsidR="00F94244" w:rsidRPr="004C78D8" w:rsidRDefault="00F94244" w:rsidP="00FB7C1F">
            <w:pPr>
              <w:jc w:val="left"/>
              <w:rPr>
                <w:sz w:val="18"/>
                <w:szCs w:val="18"/>
              </w:rPr>
            </w:pPr>
            <w:r w:rsidRPr="004C78D8">
              <w:rPr>
                <w:sz w:val="18"/>
                <w:szCs w:val="18"/>
              </w:rPr>
              <w:t>17</w:t>
            </w:r>
          </w:p>
        </w:tc>
      </w:tr>
      <w:tr w:rsidR="00F94244" w:rsidRPr="004C78D8" w14:paraId="6E36943F" w14:textId="77777777" w:rsidTr="002828C1">
        <w:tc>
          <w:tcPr>
            <w:tcW w:w="149" w:type="pct"/>
            <w:tcBorders>
              <w:top w:val="nil"/>
              <w:bottom w:val="nil"/>
              <w:right w:val="nil"/>
            </w:tcBorders>
          </w:tcPr>
          <w:p w14:paraId="6E9801E3" w14:textId="77777777" w:rsidR="00F94244" w:rsidRPr="004C78D8" w:rsidRDefault="00F94244" w:rsidP="00FB7C1F">
            <w:pPr>
              <w:jc w:val="left"/>
              <w:rPr>
                <w:sz w:val="18"/>
                <w:szCs w:val="18"/>
              </w:rPr>
            </w:pPr>
            <w:r w:rsidRPr="004C78D8">
              <w:rPr>
                <w:sz w:val="18"/>
                <w:szCs w:val="18"/>
              </w:rPr>
              <w:lastRenderedPageBreak/>
              <w:t>16</w:t>
            </w:r>
          </w:p>
        </w:tc>
        <w:tc>
          <w:tcPr>
            <w:tcW w:w="455" w:type="pct"/>
            <w:tcBorders>
              <w:top w:val="nil"/>
              <w:left w:val="nil"/>
              <w:bottom w:val="nil"/>
              <w:right w:val="nil"/>
            </w:tcBorders>
          </w:tcPr>
          <w:p w14:paraId="588D4259" w14:textId="67B55AEE" w:rsidR="00F94244" w:rsidRPr="004C78D8" w:rsidRDefault="00F94244" w:rsidP="00FB7C1F">
            <w:pPr>
              <w:jc w:val="left"/>
              <w:rPr>
                <w:sz w:val="18"/>
                <w:szCs w:val="18"/>
              </w:rPr>
            </w:pPr>
            <w:r w:rsidRPr="004C78D8">
              <w:rPr>
                <w:sz w:val="18"/>
                <w:szCs w:val="18"/>
              </w:rPr>
              <w:t xml:space="preserve">Franklin (2019) </w:t>
            </w:r>
            <w:r w:rsidRPr="004C78D8">
              <w:rPr>
                <w:sz w:val="18"/>
                <w:szCs w:val="18"/>
              </w:rPr>
              <w:fldChar w:fldCharType="begin"/>
            </w:r>
            <w:r w:rsidR="00C630FC" w:rsidRPr="004C78D8">
              <w:rPr>
                <w:sz w:val="18"/>
                <w:szCs w:val="18"/>
              </w:rPr>
              <w:instrText xml:space="preserve"> ADDIN EN.CITE &lt;EndNote&gt;&lt;Cite&gt;&lt;Author&gt;Franklin&lt;/Author&gt;&lt;Year&gt;2019&lt;/Year&gt;&lt;RecNum&gt;395&lt;/RecNum&gt;&lt;DisplayText&gt;[363]&lt;/DisplayText&gt;&lt;record&gt;&lt;rec-number&gt;395&lt;/rec-number&gt;&lt;foreign-keys&gt;&lt;key app="EN" db-id="tdtrdw9aepptzbefsat599syza29sxsd2wsp" timestamp="1612694614"&gt;395&lt;/key&gt;&lt;/foreign-keys&gt;&lt;ref-type name="Journal Article"&gt;17&lt;/ref-type&gt;&lt;contributors&gt;&lt;authors&gt;&lt;author&gt;Franklin, Matthew&lt;/author&gt;&lt;author&gt;Hunter, Rachael Maree&lt;/author&gt;&lt;/authors&gt;&lt;/contributors&gt;&lt;titles&gt;&lt;title&gt;A modelling-based economic evaluation of primary-care-based fall-risk screening followed by fall-prevention intervention: a cohort-based Markov model stratified by older age groups&lt;/title&gt;&lt;secondary-title&gt;Age and ageing&lt;/secondary-title&gt;&lt;/titles&gt;&lt;periodical&gt;&lt;full-title&gt;Age and ageing&lt;/full-title&gt;&lt;/periodical&gt;&lt;dates&gt;&lt;year&gt;2019&lt;/year&gt;&lt;/dates&gt;&lt;urls&gt;&lt;/urls&gt;&lt;/record&gt;&lt;/Cite&gt;&lt;/EndNote&gt;</w:instrText>
            </w:r>
            <w:r w:rsidRPr="004C78D8">
              <w:rPr>
                <w:sz w:val="18"/>
                <w:szCs w:val="18"/>
              </w:rPr>
              <w:fldChar w:fldCharType="separate"/>
            </w:r>
            <w:r w:rsidR="00C630FC" w:rsidRPr="004C78D8">
              <w:rPr>
                <w:noProof/>
                <w:sz w:val="18"/>
                <w:szCs w:val="18"/>
              </w:rPr>
              <w:t>[363]</w:t>
            </w:r>
            <w:r w:rsidRPr="004C78D8">
              <w:rPr>
                <w:sz w:val="18"/>
                <w:szCs w:val="18"/>
              </w:rPr>
              <w:fldChar w:fldCharType="end"/>
            </w:r>
          </w:p>
        </w:tc>
        <w:tc>
          <w:tcPr>
            <w:tcW w:w="492" w:type="pct"/>
            <w:tcBorders>
              <w:top w:val="nil"/>
              <w:left w:val="nil"/>
              <w:bottom w:val="nil"/>
              <w:right w:val="nil"/>
            </w:tcBorders>
          </w:tcPr>
          <w:p w14:paraId="3E3724ED" w14:textId="77777777" w:rsidR="00F94244" w:rsidRPr="004C78D8" w:rsidRDefault="00F94244" w:rsidP="00FB7C1F">
            <w:pPr>
              <w:jc w:val="left"/>
              <w:rPr>
                <w:sz w:val="18"/>
                <w:szCs w:val="18"/>
              </w:rPr>
            </w:pPr>
            <w:r w:rsidRPr="004C78D8">
              <w:rPr>
                <w:sz w:val="18"/>
                <w:szCs w:val="18"/>
              </w:rPr>
              <w:t>UK, city level</w:t>
            </w:r>
          </w:p>
        </w:tc>
        <w:tc>
          <w:tcPr>
            <w:tcW w:w="950" w:type="pct"/>
            <w:tcBorders>
              <w:top w:val="nil"/>
              <w:left w:val="nil"/>
              <w:bottom w:val="nil"/>
              <w:right w:val="nil"/>
            </w:tcBorders>
          </w:tcPr>
          <w:p w14:paraId="649074B5" w14:textId="77777777" w:rsidR="00F94244" w:rsidRPr="004C78D8" w:rsidRDefault="00F94244" w:rsidP="00FB7C1F">
            <w:pPr>
              <w:jc w:val="left"/>
              <w:rPr>
                <w:sz w:val="18"/>
                <w:szCs w:val="18"/>
              </w:rPr>
            </w:pPr>
            <w:r w:rsidRPr="004C78D8">
              <w:rPr>
                <w:sz w:val="18"/>
                <w:szCs w:val="18"/>
              </w:rPr>
              <w:t>CD adults aged 65+</w:t>
            </w:r>
          </w:p>
        </w:tc>
        <w:tc>
          <w:tcPr>
            <w:tcW w:w="321" w:type="pct"/>
            <w:tcBorders>
              <w:top w:val="nil"/>
              <w:left w:val="nil"/>
              <w:bottom w:val="nil"/>
              <w:right w:val="nil"/>
            </w:tcBorders>
          </w:tcPr>
          <w:p w14:paraId="14DA3114" w14:textId="77777777" w:rsidR="00F94244" w:rsidRPr="004C78D8" w:rsidRDefault="00F94244" w:rsidP="00FB7C1F">
            <w:pPr>
              <w:jc w:val="left"/>
              <w:rPr>
                <w:sz w:val="18"/>
                <w:szCs w:val="18"/>
              </w:rPr>
            </w:pPr>
            <w:r w:rsidRPr="004C78D8">
              <w:rPr>
                <w:sz w:val="18"/>
                <w:szCs w:val="18"/>
              </w:rPr>
              <w:t>CUA</w:t>
            </w:r>
          </w:p>
        </w:tc>
        <w:tc>
          <w:tcPr>
            <w:tcW w:w="497" w:type="pct"/>
            <w:tcBorders>
              <w:top w:val="nil"/>
              <w:left w:val="nil"/>
              <w:bottom w:val="nil"/>
              <w:right w:val="nil"/>
            </w:tcBorders>
          </w:tcPr>
          <w:p w14:paraId="11998045" w14:textId="77777777" w:rsidR="00F94244" w:rsidRPr="004C78D8" w:rsidRDefault="00F94244" w:rsidP="00FB7C1F">
            <w:pPr>
              <w:jc w:val="left"/>
              <w:rPr>
                <w:sz w:val="18"/>
                <w:szCs w:val="18"/>
              </w:rPr>
            </w:pPr>
            <w:r w:rsidRPr="004C78D8">
              <w:rPr>
                <w:sz w:val="18"/>
                <w:szCs w:val="18"/>
              </w:rPr>
              <w:t>Public sector (2 types)</w:t>
            </w:r>
          </w:p>
        </w:tc>
        <w:tc>
          <w:tcPr>
            <w:tcW w:w="952" w:type="pct"/>
            <w:tcBorders>
              <w:top w:val="nil"/>
              <w:left w:val="nil"/>
              <w:bottom w:val="nil"/>
              <w:right w:val="nil"/>
            </w:tcBorders>
          </w:tcPr>
          <w:p w14:paraId="48DA8CCA" w14:textId="77777777" w:rsidR="00F94244" w:rsidRPr="004C78D8" w:rsidRDefault="00F94244" w:rsidP="00FB7C1F">
            <w:pPr>
              <w:jc w:val="left"/>
              <w:rPr>
                <w:sz w:val="18"/>
                <w:szCs w:val="18"/>
              </w:rPr>
            </w:pPr>
            <w:r w:rsidRPr="004C78D8">
              <w:rPr>
                <w:sz w:val="18"/>
                <w:szCs w:val="18"/>
              </w:rPr>
              <w:t>FRS + Exercise (3 forms) or HAM [NR; Cross-comparison]</w:t>
            </w:r>
          </w:p>
        </w:tc>
        <w:tc>
          <w:tcPr>
            <w:tcW w:w="453" w:type="pct"/>
            <w:tcBorders>
              <w:top w:val="nil"/>
              <w:left w:val="nil"/>
              <w:bottom w:val="nil"/>
              <w:right w:val="nil"/>
            </w:tcBorders>
          </w:tcPr>
          <w:p w14:paraId="0358044B" w14:textId="77777777" w:rsidR="00F94244" w:rsidRPr="004C78D8" w:rsidRDefault="00F94244" w:rsidP="00FB7C1F">
            <w:pPr>
              <w:jc w:val="left"/>
              <w:rPr>
                <w:sz w:val="18"/>
                <w:szCs w:val="18"/>
              </w:rPr>
            </w:pPr>
            <w:r w:rsidRPr="004C78D8">
              <w:rPr>
                <w:sz w:val="18"/>
                <w:szCs w:val="18"/>
              </w:rPr>
              <w:t>DT + Markov cohort</w:t>
            </w:r>
          </w:p>
        </w:tc>
        <w:tc>
          <w:tcPr>
            <w:tcW w:w="355" w:type="pct"/>
            <w:tcBorders>
              <w:top w:val="nil"/>
              <w:left w:val="nil"/>
              <w:bottom w:val="nil"/>
              <w:right w:val="nil"/>
            </w:tcBorders>
          </w:tcPr>
          <w:p w14:paraId="62A95BBB" w14:textId="77777777" w:rsidR="00F94244" w:rsidRPr="004C78D8" w:rsidRDefault="00F94244" w:rsidP="00FB7C1F">
            <w:pPr>
              <w:jc w:val="left"/>
              <w:rPr>
                <w:sz w:val="18"/>
                <w:szCs w:val="18"/>
              </w:rPr>
            </w:pPr>
            <w:r w:rsidRPr="004C78D8">
              <w:rPr>
                <w:sz w:val="18"/>
                <w:szCs w:val="18"/>
              </w:rPr>
              <w:t>2 years</w:t>
            </w:r>
          </w:p>
        </w:tc>
        <w:tc>
          <w:tcPr>
            <w:tcW w:w="377" w:type="pct"/>
            <w:tcBorders>
              <w:top w:val="nil"/>
              <w:left w:val="nil"/>
              <w:bottom w:val="nil"/>
            </w:tcBorders>
          </w:tcPr>
          <w:p w14:paraId="1630EE67" w14:textId="77777777" w:rsidR="00F94244" w:rsidRPr="004C78D8" w:rsidRDefault="00F94244" w:rsidP="00FB7C1F">
            <w:pPr>
              <w:jc w:val="left"/>
              <w:rPr>
                <w:sz w:val="18"/>
                <w:szCs w:val="18"/>
              </w:rPr>
            </w:pPr>
            <w:r w:rsidRPr="004C78D8">
              <w:rPr>
                <w:sz w:val="18"/>
                <w:szCs w:val="18"/>
              </w:rPr>
              <w:t>22.5</w:t>
            </w:r>
          </w:p>
        </w:tc>
      </w:tr>
      <w:tr w:rsidR="00F94244" w:rsidRPr="004C78D8" w14:paraId="20BA69DB" w14:textId="77777777" w:rsidTr="002828C1">
        <w:tc>
          <w:tcPr>
            <w:tcW w:w="149" w:type="pct"/>
            <w:tcBorders>
              <w:top w:val="nil"/>
              <w:bottom w:val="nil"/>
              <w:right w:val="nil"/>
            </w:tcBorders>
          </w:tcPr>
          <w:p w14:paraId="3EE222E2" w14:textId="77777777" w:rsidR="00F94244" w:rsidRPr="004C78D8" w:rsidRDefault="00F94244" w:rsidP="00FB7C1F">
            <w:pPr>
              <w:jc w:val="left"/>
              <w:rPr>
                <w:sz w:val="18"/>
                <w:szCs w:val="18"/>
              </w:rPr>
            </w:pPr>
            <w:r w:rsidRPr="004C78D8">
              <w:rPr>
                <w:sz w:val="18"/>
                <w:szCs w:val="18"/>
              </w:rPr>
              <w:t>17</w:t>
            </w:r>
          </w:p>
        </w:tc>
        <w:tc>
          <w:tcPr>
            <w:tcW w:w="455" w:type="pct"/>
            <w:tcBorders>
              <w:top w:val="nil"/>
              <w:left w:val="nil"/>
              <w:bottom w:val="nil"/>
              <w:right w:val="nil"/>
            </w:tcBorders>
          </w:tcPr>
          <w:p w14:paraId="04610475" w14:textId="100608AC" w:rsidR="00F94244" w:rsidRPr="004C78D8" w:rsidRDefault="00F94244" w:rsidP="00FB7C1F">
            <w:pPr>
              <w:jc w:val="left"/>
              <w:rPr>
                <w:sz w:val="18"/>
                <w:szCs w:val="18"/>
              </w:rPr>
            </w:pPr>
            <w:r w:rsidRPr="004C78D8">
              <w:rPr>
                <w:sz w:val="18"/>
                <w:szCs w:val="18"/>
              </w:rPr>
              <w:t xml:space="preserve">Frick (2010) </w:t>
            </w:r>
            <w:r w:rsidRPr="004C78D8">
              <w:rPr>
                <w:sz w:val="18"/>
                <w:szCs w:val="18"/>
              </w:rPr>
              <w:fldChar w:fldCharType="begin"/>
            </w:r>
            <w:r w:rsidR="00C630FC" w:rsidRPr="004C78D8">
              <w:rPr>
                <w:sz w:val="18"/>
                <w:szCs w:val="18"/>
              </w:rPr>
              <w:instrText xml:space="preserve"> ADDIN EN.CITE &lt;EndNote&gt;&lt;Cite&gt;&lt;Author&gt;Frick&lt;/Author&gt;&lt;Year&gt;2010&lt;/Year&gt;&lt;RecNum&gt;347&lt;/RecNum&gt;&lt;DisplayText&gt;[352]&lt;/DisplayText&gt;&lt;record&gt;&lt;rec-number&gt;347&lt;/rec-number&gt;&lt;foreign-keys&gt;&lt;key app="EN" db-id="tdtrdw9aepptzbefsat599syza29sxsd2wsp" timestamp="1612211813"&gt;347&lt;/key&gt;&lt;/foreign-keys&gt;&lt;ref-type name="Journal Article"&gt;17&lt;/ref-type&gt;&lt;contributors&gt;&lt;authors&gt;&lt;author&gt;Frick, K. D.&lt;/author&gt;&lt;author&gt;Kung, J. Y.&lt;/author&gt;&lt;author&gt;Parrish, J. M.&lt;/author&gt;&lt;author&gt;Narrett, M. J.&lt;/author&gt;&lt;/authors&gt;&lt;/contributors&gt;&lt;auth-address&gt;Department of Health Policy and Management, Bloomberg School of Public Health, Johns Hopkins University, Baltimore, MD 21205, USA. kfrick@jhsph.edu&lt;/auth-address&gt;&lt;titles&gt;&lt;title&gt;Evaluating the cost-effectiveness of fall prevention programs that reduce fall-related hip fractures in older adults&lt;/title&gt;&lt;secondary-title&gt;J Am Geriatr Soc&lt;/secondary-title&gt;&lt;/titles&gt;&lt;periodical&gt;&lt;full-title&gt;J Am Geriatr Soc&lt;/full-title&gt;&lt;/periodical&gt;&lt;pages&gt;136-41&lt;/pages&gt;&lt;volume&gt;58&lt;/volume&gt;&lt;number&gt;1&lt;/number&gt;&lt;keywords&gt;&lt;keyword&gt;Accidental Falls/*economics/*prevention &amp;amp; control&lt;/keyword&gt;&lt;keyword&gt;Aged&lt;/keyword&gt;&lt;keyword&gt;Cost-Benefit Analysis&lt;/keyword&gt;&lt;keyword&gt;Hip Fractures/*economics/etiology/*prevention &amp;amp; control&lt;/keyword&gt;&lt;keyword&gt;Humans&lt;/keyword&gt;&lt;keyword&gt;*Models, Theoretical&lt;/keyword&gt;&lt;/keywords&gt;&lt;dates&gt;&lt;year&gt;2010&lt;/year&gt;&lt;pub-dates&gt;&lt;date&gt;Jan&lt;/date&gt;&lt;/pub-dates&gt;&lt;/dates&gt;&lt;isbn&gt;1532-5415 (Electronic)&amp;#xD;0002-8614 (Linking)&lt;/isbn&gt;&lt;accession-num&gt;20122044&lt;/accession-num&gt;&lt;urls&gt;&lt;related-urls&gt;&lt;url&gt;https://www.ncbi.nlm.nih.gov/pubmed/20122044&lt;/url&gt;&lt;/related-urls&gt;&lt;/urls&gt;&lt;electronic-resource-num&gt;10.1111/j.1532-5415.2009.02575.x&lt;/electronic-resource-num&gt;&lt;/record&gt;&lt;/Cite&gt;&lt;/EndNote&gt;</w:instrText>
            </w:r>
            <w:r w:rsidRPr="004C78D8">
              <w:rPr>
                <w:sz w:val="18"/>
                <w:szCs w:val="18"/>
              </w:rPr>
              <w:fldChar w:fldCharType="separate"/>
            </w:r>
            <w:r w:rsidR="00C630FC" w:rsidRPr="004C78D8">
              <w:rPr>
                <w:noProof/>
                <w:sz w:val="18"/>
                <w:szCs w:val="18"/>
              </w:rPr>
              <w:t>[352]</w:t>
            </w:r>
            <w:r w:rsidRPr="004C78D8">
              <w:rPr>
                <w:sz w:val="18"/>
                <w:szCs w:val="18"/>
              </w:rPr>
              <w:fldChar w:fldCharType="end"/>
            </w:r>
          </w:p>
        </w:tc>
        <w:tc>
          <w:tcPr>
            <w:tcW w:w="492" w:type="pct"/>
            <w:tcBorders>
              <w:top w:val="nil"/>
              <w:left w:val="nil"/>
              <w:bottom w:val="nil"/>
              <w:right w:val="nil"/>
            </w:tcBorders>
          </w:tcPr>
          <w:p w14:paraId="18F4B381" w14:textId="77777777" w:rsidR="00F94244" w:rsidRPr="004C78D8" w:rsidRDefault="00F94244" w:rsidP="00FB7C1F">
            <w:pPr>
              <w:jc w:val="left"/>
              <w:rPr>
                <w:sz w:val="18"/>
                <w:szCs w:val="18"/>
              </w:rPr>
            </w:pPr>
            <w:r w:rsidRPr="004C78D8">
              <w:rPr>
                <w:sz w:val="18"/>
                <w:szCs w:val="18"/>
              </w:rPr>
              <w:t>US</w:t>
            </w:r>
          </w:p>
        </w:tc>
        <w:tc>
          <w:tcPr>
            <w:tcW w:w="950" w:type="pct"/>
            <w:tcBorders>
              <w:top w:val="nil"/>
              <w:left w:val="nil"/>
              <w:bottom w:val="nil"/>
              <w:right w:val="nil"/>
            </w:tcBorders>
          </w:tcPr>
          <w:p w14:paraId="7E971BC6" w14:textId="77777777" w:rsidR="00F94244" w:rsidRPr="004C78D8" w:rsidRDefault="00F94244" w:rsidP="00FB7C1F">
            <w:pPr>
              <w:jc w:val="left"/>
              <w:rPr>
                <w:sz w:val="18"/>
                <w:szCs w:val="18"/>
              </w:rPr>
            </w:pPr>
            <w:r w:rsidRPr="004C78D8">
              <w:rPr>
                <w:sz w:val="18"/>
                <w:szCs w:val="18"/>
              </w:rPr>
              <w:t>CD adults aged 65+</w:t>
            </w:r>
          </w:p>
        </w:tc>
        <w:tc>
          <w:tcPr>
            <w:tcW w:w="321" w:type="pct"/>
            <w:tcBorders>
              <w:top w:val="nil"/>
              <w:left w:val="nil"/>
              <w:bottom w:val="nil"/>
              <w:right w:val="nil"/>
            </w:tcBorders>
          </w:tcPr>
          <w:p w14:paraId="061178D0" w14:textId="77777777" w:rsidR="00F94244" w:rsidRPr="004C78D8" w:rsidRDefault="00F94244" w:rsidP="00FB7C1F">
            <w:pPr>
              <w:jc w:val="left"/>
              <w:rPr>
                <w:sz w:val="18"/>
                <w:szCs w:val="18"/>
              </w:rPr>
            </w:pPr>
            <w:r w:rsidRPr="004C78D8">
              <w:rPr>
                <w:sz w:val="18"/>
                <w:szCs w:val="18"/>
              </w:rPr>
              <w:t>CUA</w:t>
            </w:r>
          </w:p>
        </w:tc>
        <w:tc>
          <w:tcPr>
            <w:tcW w:w="497" w:type="pct"/>
            <w:tcBorders>
              <w:top w:val="nil"/>
              <w:left w:val="nil"/>
              <w:bottom w:val="nil"/>
              <w:right w:val="nil"/>
            </w:tcBorders>
          </w:tcPr>
          <w:p w14:paraId="67547D08" w14:textId="7AC94344" w:rsidR="00F94244" w:rsidRPr="004C78D8" w:rsidRDefault="00F94244" w:rsidP="00FB7C1F">
            <w:pPr>
              <w:jc w:val="left"/>
              <w:rPr>
                <w:sz w:val="18"/>
                <w:szCs w:val="18"/>
              </w:rPr>
            </w:pPr>
            <w:r w:rsidRPr="004C78D8">
              <w:rPr>
                <w:sz w:val="18"/>
                <w:szCs w:val="18"/>
              </w:rPr>
              <w:t>US healthcare payer</w:t>
            </w:r>
            <w:r w:rsidR="001B3C29" w:rsidRPr="004C78D8">
              <w:rPr>
                <w:sz w:val="18"/>
                <w:szCs w:val="18"/>
                <w:vertAlign w:val="superscript"/>
              </w:rPr>
              <w:t>5</w:t>
            </w:r>
          </w:p>
        </w:tc>
        <w:tc>
          <w:tcPr>
            <w:tcW w:w="952" w:type="pct"/>
            <w:tcBorders>
              <w:top w:val="nil"/>
              <w:left w:val="nil"/>
              <w:bottom w:val="nil"/>
              <w:right w:val="nil"/>
            </w:tcBorders>
          </w:tcPr>
          <w:p w14:paraId="2F4D81F6" w14:textId="77777777" w:rsidR="00F94244" w:rsidRPr="004C78D8" w:rsidRDefault="00F94244" w:rsidP="00FB7C1F">
            <w:pPr>
              <w:jc w:val="left"/>
              <w:rPr>
                <w:sz w:val="18"/>
                <w:szCs w:val="18"/>
              </w:rPr>
            </w:pPr>
            <w:r w:rsidRPr="004C78D8">
              <w:rPr>
                <w:sz w:val="18"/>
                <w:szCs w:val="18"/>
              </w:rPr>
              <w:t>Exercise (2 forms); HAM; MF int. (2 forms); Vit. D; Med. modification [Cross-comparison]</w:t>
            </w:r>
          </w:p>
        </w:tc>
        <w:tc>
          <w:tcPr>
            <w:tcW w:w="453" w:type="pct"/>
            <w:tcBorders>
              <w:top w:val="nil"/>
              <w:left w:val="nil"/>
              <w:bottom w:val="nil"/>
              <w:right w:val="nil"/>
            </w:tcBorders>
          </w:tcPr>
          <w:p w14:paraId="4B7F7CFA" w14:textId="77777777" w:rsidR="00F94244" w:rsidRPr="004C78D8" w:rsidRDefault="00F94244" w:rsidP="00FB7C1F">
            <w:pPr>
              <w:jc w:val="left"/>
              <w:rPr>
                <w:sz w:val="18"/>
                <w:szCs w:val="18"/>
              </w:rPr>
            </w:pPr>
            <w:r w:rsidRPr="004C78D8">
              <w:rPr>
                <w:sz w:val="18"/>
                <w:szCs w:val="18"/>
              </w:rPr>
              <w:t>Binary decision</w:t>
            </w:r>
          </w:p>
        </w:tc>
        <w:tc>
          <w:tcPr>
            <w:tcW w:w="355" w:type="pct"/>
            <w:tcBorders>
              <w:top w:val="nil"/>
              <w:left w:val="nil"/>
              <w:bottom w:val="nil"/>
              <w:right w:val="nil"/>
            </w:tcBorders>
          </w:tcPr>
          <w:p w14:paraId="74EA6F04" w14:textId="5E472BE4" w:rsidR="00F94244" w:rsidRPr="004C78D8" w:rsidRDefault="00F94244" w:rsidP="00FB7C1F">
            <w:pPr>
              <w:jc w:val="left"/>
              <w:rPr>
                <w:sz w:val="18"/>
                <w:szCs w:val="18"/>
              </w:rPr>
            </w:pPr>
            <w:r w:rsidRPr="004C78D8">
              <w:rPr>
                <w:sz w:val="18"/>
                <w:szCs w:val="18"/>
              </w:rPr>
              <w:t>1 year</w:t>
            </w:r>
            <w:r w:rsidR="001B3C29" w:rsidRPr="004C78D8">
              <w:rPr>
                <w:sz w:val="18"/>
                <w:szCs w:val="18"/>
                <w:vertAlign w:val="superscript"/>
              </w:rPr>
              <w:t>6</w:t>
            </w:r>
          </w:p>
        </w:tc>
        <w:tc>
          <w:tcPr>
            <w:tcW w:w="377" w:type="pct"/>
            <w:tcBorders>
              <w:top w:val="nil"/>
              <w:left w:val="nil"/>
              <w:bottom w:val="nil"/>
            </w:tcBorders>
          </w:tcPr>
          <w:p w14:paraId="60B1D161" w14:textId="77777777" w:rsidR="00F94244" w:rsidRPr="004C78D8" w:rsidRDefault="00F94244" w:rsidP="00FB7C1F">
            <w:pPr>
              <w:jc w:val="left"/>
              <w:rPr>
                <w:sz w:val="18"/>
                <w:szCs w:val="18"/>
              </w:rPr>
            </w:pPr>
            <w:r w:rsidRPr="004C78D8">
              <w:rPr>
                <w:sz w:val="18"/>
                <w:szCs w:val="18"/>
              </w:rPr>
              <w:t>21</w:t>
            </w:r>
          </w:p>
        </w:tc>
      </w:tr>
      <w:tr w:rsidR="00F94244" w:rsidRPr="004C78D8" w14:paraId="58FBE775" w14:textId="77777777" w:rsidTr="002828C1">
        <w:tc>
          <w:tcPr>
            <w:tcW w:w="149" w:type="pct"/>
            <w:tcBorders>
              <w:top w:val="nil"/>
              <w:bottom w:val="nil"/>
              <w:right w:val="nil"/>
            </w:tcBorders>
          </w:tcPr>
          <w:p w14:paraId="2A7BB473" w14:textId="77777777" w:rsidR="00F94244" w:rsidRPr="004C78D8" w:rsidRDefault="00F94244" w:rsidP="00FB7C1F">
            <w:pPr>
              <w:jc w:val="left"/>
              <w:rPr>
                <w:sz w:val="18"/>
                <w:szCs w:val="18"/>
              </w:rPr>
            </w:pPr>
            <w:r w:rsidRPr="004C78D8">
              <w:rPr>
                <w:sz w:val="18"/>
                <w:szCs w:val="18"/>
              </w:rPr>
              <w:t>18</w:t>
            </w:r>
          </w:p>
        </w:tc>
        <w:tc>
          <w:tcPr>
            <w:tcW w:w="455" w:type="pct"/>
            <w:tcBorders>
              <w:top w:val="nil"/>
              <w:left w:val="nil"/>
              <w:bottom w:val="nil"/>
              <w:right w:val="nil"/>
            </w:tcBorders>
          </w:tcPr>
          <w:p w14:paraId="66C67AF7" w14:textId="3710F64A" w:rsidR="00F94244" w:rsidRPr="004C78D8" w:rsidRDefault="00F94244" w:rsidP="00FB7C1F">
            <w:pPr>
              <w:jc w:val="left"/>
              <w:rPr>
                <w:sz w:val="18"/>
                <w:szCs w:val="18"/>
              </w:rPr>
            </w:pPr>
            <w:r w:rsidRPr="004C78D8">
              <w:rPr>
                <w:sz w:val="18"/>
                <w:szCs w:val="18"/>
              </w:rPr>
              <w:t xml:space="preserve">Hektoen (2009) </w:t>
            </w:r>
            <w:r w:rsidRPr="004C78D8">
              <w:rPr>
                <w:sz w:val="18"/>
                <w:szCs w:val="18"/>
              </w:rPr>
              <w:fldChar w:fldCharType="begin"/>
            </w:r>
            <w:r w:rsidR="00C630FC" w:rsidRPr="004C78D8">
              <w:rPr>
                <w:sz w:val="18"/>
                <w:szCs w:val="18"/>
              </w:rPr>
              <w:instrText xml:space="preserve"> ADDIN EN.CITE &lt;EndNote&gt;&lt;Cite&gt;&lt;Author&gt;Hektoen&lt;/Author&gt;&lt;Year&gt;2009&lt;/Year&gt;&lt;RecNum&gt;349&lt;/RecNum&gt;&lt;DisplayText&gt;[335]&lt;/DisplayText&gt;&lt;record&gt;&lt;rec-number&gt;349&lt;/rec-number&gt;&lt;foreign-keys&gt;&lt;key app="EN" db-id="tdtrdw9aepptzbefsat599syza29sxsd2wsp" timestamp="1612211903"&gt;349&lt;/key&gt;&lt;/foreign-keys&gt;&lt;ref-type name="Journal Article"&gt;17&lt;/ref-type&gt;&lt;contributors&gt;&lt;authors&gt;&lt;author&gt;Hektoen, L. F.&lt;/author&gt;&lt;author&gt;Aas, E.&lt;/author&gt;&lt;author&gt;Luras, H.&lt;/author&gt;&lt;/authors&gt;&lt;/contributors&gt;&lt;auth-address&gt;Faculty of Health Sciences, Physiotherapy, Oslo University College, Oslo Norway. Liv.Hektoen@hf.hio.no&lt;/auth-address&gt;&lt;titles&gt;&lt;title&gt;Cost-effectiveness in fall prevention for older women&lt;/title&gt;&lt;secondary-title&gt;Scand J Public Health&lt;/secondary-title&gt;&lt;/titles&gt;&lt;periodical&gt;&lt;full-title&gt;Scand J Public Health&lt;/full-title&gt;&lt;/periodical&gt;&lt;pages&gt;584-9&lt;/pages&gt;&lt;volume&gt;37&lt;/volume&gt;&lt;number&gt;6&lt;/number&gt;&lt;keywords&gt;&lt;keyword&gt;Accidental Falls/economics/*prevention &amp;amp; control&lt;/keyword&gt;&lt;keyword&gt;Aged&lt;/keyword&gt;&lt;keyword&gt;Aged, 80 and over&lt;/keyword&gt;&lt;keyword&gt;Cost Savings&lt;/keyword&gt;&lt;keyword&gt;Cost-Benefit Analysis&lt;/keyword&gt;&lt;keyword&gt;Exercise&lt;/keyword&gt;&lt;keyword&gt;Exercise Therapy&lt;/keyword&gt;&lt;keyword&gt;Female&lt;/keyword&gt;&lt;keyword&gt;Health Care Costs&lt;/keyword&gt;&lt;keyword&gt;Health Policy/economics&lt;/keyword&gt;&lt;keyword&gt;Humans&lt;/keyword&gt;&lt;keyword&gt;Norway&lt;/keyword&gt;&lt;keyword&gt;Patient Education as Topic&lt;/keyword&gt;&lt;keyword&gt;Program Evaluation&lt;/keyword&gt;&lt;keyword&gt;Quality-Adjusted Life Years&lt;/keyword&gt;&lt;/keywords&gt;&lt;dates&gt;&lt;year&gt;2009&lt;/year&gt;&lt;pub-dates&gt;&lt;date&gt;Aug&lt;/date&gt;&lt;/pub-dates&gt;&lt;/dates&gt;&lt;isbn&gt;1403-4948 (Print)&amp;#xD;1403-4948 (Linking)&lt;/isbn&gt;&lt;accession-num&gt;19666674&lt;/accession-num&gt;&lt;urls&gt;&lt;related-urls&gt;&lt;url&gt;https://www.ncbi.nlm.nih.gov/pubmed/19666674&lt;/url&gt;&lt;/related-urls&gt;&lt;/urls&gt;&lt;electronic-resource-num&gt;10.1177/1403494809341093&lt;/electronic-resource-num&gt;&lt;/record&gt;&lt;/Cite&gt;&lt;/EndNote&gt;</w:instrText>
            </w:r>
            <w:r w:rsidRPr="004C78D8">
              <w:rPr>
                <w:sz w:val="18"/>
                <w:szCs w:val="18"/>
              </w:rPr>
              <w:fldChar w:fldCharType="separate"/>
            </w:r>
            <w:r w:rsidR="00C630FC" w:rsidRPr="004C78D8">
              <w:rPr>
                <w:noProof/>
                <w:sz w:val="18"/>
                <w:szCs w:val="18"/>
              </w:rPr>
              <w:t>[335]</w:t>
            </w:r>
            <w:r w:rsidRPr="004C78D8">
              <w:rPr>
                <w:sz w:val="18"/>
                <w:szCs w:val="18"/>
              </w:rPr>
              <w:fldChar w:fldCharType="end"/>
            </w:r>
          </w:p>
        </w:tc>
        <w:tc>
          <w:tcPr>
            <w:tcW w:w="492" w:type="pct"/>
            <w:tcBorders>
              <w:top w:val="nil"/>
              <w:left w:val="nil"/>
              <w:bottom w:val="nil"/>
              <w:right w:val="nil"/>
            </w:tcBorders>
          </w:tcPr>
          <w:p w14:paraId="676831BE" w14:textId="77777777" w:rsidR="00F94244" w:rsidRPr="004C78D8" w:rsidRDefault="00F94244" w:rsidP="00FB7C1F">
            <w:pPr>
              <w:jc w:val="left"/>
              <w:rPr>
                <w:sz w:val="18"/>
                <w:szCs w:val="18"/>
              </w:rPr>
            </w:pPr>
            <w:r w:rsidRPr="004C78D8">
              <w:rPr>
                <w:sz w:val="18"/>
                <w:szCs w:val="18"/>
              </w:rPr>
              <w:t>Norway</w:t>
            </w:r>
          </w:p>
        </w:tc>
        <w:tc>
          <w:tcPr>
            <w:tcW w:w="950" w:type="pct"/>
            <w:tcBorders>
              <w:top w:val="nil"/>
              <w:left w:val="nil"/>
              <w:bottom w:val="nil"/>
              <w:right w:val="nil"/>
            </w:tcBorders>
          </w:tcPr>
          <w:p w14:paraId="234921F6" w14:textId="77777777" w:rsidR="00F94244" w:rsidRPr="004C78D8" w:rsidRDefault="00F94244" w:rsidP="00FB7C1F">
            <w:pPr>
              <w:jc w:val="left"/>
              <w:rPr>
                <w:sz w:val="18"/>
                <w:szCs w:val="18"/>
              </w:rPr>
            </w:pPr>
            <w:r w:rsidRPr="004C78D8">
              <w:rPr>
                <w:sz w:val="18"/>
                <w:szCs w:val="18"/>
              </w:rPr>
              <w:t>CD women aged 80+</w:t>
            </w:r>
          </w:p>
        </w:tc>
        <w:tc>
          <w:tcPr>
            <w:tcW w:w="321" w:type="pct"/>
            <w:tcBorders>
              <w:top w:val="nil"/>
              <w:left w:val="nil"/>
              <w:bottom w:val="nil"/>
              <w:right w:val="nil"/>
            </w:tcBorders>
          </w:tcPr>
          <w:p w14:paraId="47A8AF56" w14:textId="77777777" w:rsidR="00F94244" w:rsidRPr="004C78D8" w:rsidRDefault="00F94244" w:rsidP="00FB7C1F">
            <w:pPr>
              <w:jc w:val="left"/>
              <w:rPr>
                <w:sz w:val="18"/>
                <w:szCs w:val="18"/>
              </w:rPr>
            </w:pPr>
            <w:r w:rsidRPr="004C78D8">
              <w:rPr>
                <w:sz w:val="18"/>
                <w:szCs w:val="18"/>
              </w:rPr>
              <w:t>CEA</w:t>
            </w:r>
          </w:p>
        </w:tc>
        <w:tc>
          <w:tcPr>
            <w:tcW w:w="497" w:type="pct"/>
            <w:tcBorders>
              <w:top w:val="nil"/>
              <w:left w:val="nil"/>
              <w:bottom w:val="nil"/>
              <w:right w:val="nil"/>
            </w:tcBorders>
          </w:tcPr>
          <w:p w14:paraId="2D5B4F55" w14:textId="77777777" w:rsidR="00F94244" w:rsidRPr="004C78D8" w:rsidRDefault="00F94244" w:rsidP="00FB7C1F">
            <w:pPr>
              <w:jc w:val="left"/>
              <w:rPr>
                <w:sz w:val="18"/>
                <w:szCs w:val="18"/>
              </w:rPr>
            </w:pPr>
            <w:r w:rsidRPr="004C78D8">
              <w:rPr>
                <w:sz w:val="18"/>
                <w:szCs w:val="18"/>
              </w:rPr>
              <w:t>Societal</w:t>
            </w:r>
          </w:p>
        </w:tc>
        <w:tc>
          <w:tcPr>
            <w:tcW w:w="952" w:type="pct"/>
            <w:tcBorders>
              <w:top w:val="nil"/>
              <w:left w:val="nil"/>
              <w:bottom w:val="nil"/>
              <w:right w:val="nil"/>
            </w:tcBorders>
          </w:tcPr>
          <w:p w14:paraId="22FF4899" w14:textId="77777777" w:rsidR="00F94244" w:rsidRPr="004C78D8" w:rsidRDefault="00F94244" w:rsidP="00FB7C1F">
            <w:pPr>
              <w:jc w:val="left"/>
              <w:rPr>
                <w:sz w:val="18"/>
                <w:szCs w:val="18"/>
              </w:rPr>
            </w:pPr>
            <w:r w:rsidRPr="004C78D8">
              <w:rPr>
                <w:sz w:val="18"/>
                <w:szCs w:val="18"/>
              </w:rPr>
              <w:t>Exercise [NR]</w:t>
            </w:r>
          </w:p>
        </w:tc>
        <w:tc>
          <w:tcPr>
            <w:tcW w:w="453" w:type="pct"/>
            <w:tcBorders>
              <w:top w:val="nil"/>
              <w:left w:val="nil"/>
              <w:bottom w:val="nil"/>
              <w:right w:val="nil"/>
            </w:tcBorders>
          </w:tcPr>
          <w:p w14:paraId="3690CB75" w14:textId="77777777" w:rsidR="00F94244" w:rsidRPr="004C78D8" w:rsidRDefault="00F94244" w:rsidP="00FB7C1F">
            <w:pPr>
              <w:jc w:val="left"/>
              <w:rPr>
                <w:sz w:val="18"/>
                <w:szCs w:val="18"/>
              </w:rPr>
            </w:pPr>
            <w:r w:rsidRPr="004C78D8">
              <w:rPr>
                <w:sz w:val="18"/>
                <w:szCs w:val="18"/>
              </w:rPr>
              <w:t>Binary decision</w:t>
            </w:r>
          </w:p>
        </w:tc>
        <w:tc>
          <w:tcPr>
            <w:tcW w:w="355" w:type="pct"/>
            <w:tcBorders>
              <w:top w:val="nil"/>
              <w:left w:val="nil"/>
              <w:bottom w:val="nil"/>
              <w:right w:val="nil"/>
            </w:tcBorders>
          </w:tcPr>
          <w:p w14:paraId="6BDA11FB" w14:textId="77777777" w:rsidR="00F94244" w:rsidRPr="004C78D8" w:rsidRDefault="00F94244" w:rsidP="00FB7C1F">
            <w:pPr>
              <w:jc w:val="left"/>
              <w:rPr>
                <w:sz w:val="18"/>
                <w:szCs w:val="18"/>
              </w:rPr>
            </w:pPr>
            <w:r w:rsidRPr="004C78D8">
              <w:rPr>
                <w:sz w:val="18"/>
                <w:szCs w:val="18"/>
              </w:rPr>
              <w:t>1 year</w:t>
            </w:r>
          </w:p>
        </w:tc>
        <w:tc>
          <w:tcPr>
            <w:tcW w:w="377" w:type="pct"/>
            <w:tcBorders>
              <w:top w:val="nil"/>
              <w:left w:val="nil"/>
              <w:bottom w:val="nil"/>
            </w:tcBorders>
          </w:tcPr>
          <w:p w14:paraId="27F0B927" w14:textId="77777777" w:rsidR="00F94244" w:rsidRPr="004C78D8" w:rsidRDefault="00F94244" w:rsidP="00FB7C1F">
            <w:pPr>
              <w:jc w:val="left"/>
              <w:rPr>
                <w:sz w:val="18"/>
                <w:szCs w:val="18"/>
              </w:rPr>
            </w:pPr>
            <w:r w:rsidRPr="004C78D8">
              <w:rPr>
                <w:sz w:val="18"/>
                <w:szCs w:val="18"/>
              </w:rPr>
              <w:t>23.5</w:t>
            </w:r>
          </w:p>
        </w:tc>
      </w:tr>
      <w:tr w:rsidR="00F94244" w:rsidRPr="004C78D8" w14:paraId="634264B2" w14:textId="77777777" w:rsidTr="002828C1">
        <w:tc>
          <w:tcPr>
            <w:tcW w:w="149" w:type="pct"/>
            <w:tcBorders>
              <w:top w:val="nil"/>
              <w:bottom w:val="nil"/>
              <w:right w:val="nil"/>
            </w:tcBorders>
          </w:tcPr>
          <w:p w14:paraId="52EB489F" w14:textId="77777777" w:rsidR="00F94244" w:rsidRPr="004C78D8" w:rsidRDefault="00F94244" w:rsidP="00FB7C1F">
            <w:pPr>
              <w:jc w:val="left"/>
              <w:rPr>
                <w:sz w:val="18"/>
                <w:szCs w:val="18"/>
              </w:rPr>
            </w:pPr>
            <w:r w:rsidRPr="004C78D8">
              <w:rPr>
                <w:sz w:val="18"/>
                <w:szCs w:val="18"/>
              </w:rPr>
              <w:t>19</w:t>
            </w:r>
          </w:p>
        </w:tc>
        <w:tc>
          <w:tcPr>
            <w:tcW w:w="455" w:type="pct"/>
            <w:tcBorders>
              <w:top w:val="nil"/>
              <w:left w:val="nil"/>
              <w:bottom w:val="nil"/>
              <w:right w:val="nil"/>
            </w:tcBorders>
          </w:tcPr>
          <w:p w14:paraId="274DE2CA" w14:textId="5FE555E3" w:rsidR="00F94244" w:rsidRPr="004C78D8" w:rsidRDefault="00F94244" w:rsidP="00FB7C1F">
            <w:pPr>
              <w:jc w:val="left"/>
              <w:rPr>
                <w:sz w:val="18"/>
                <w:szCs w:val="18"/>
              </w:rPr>
            </w:pPr>
            <w:r w:rsidRPr="004C78D8">
              <w:rPr>
                <w:sz w:val="18"/>
                <w:szCs w:val="18"/>
              </w:rPr>
              <w:t xml:space="preserve">Hiligsmann (2014) </w:t>
            </w:r>
            <w:r w:rsidRPr="004C78D8">
              <w:rPr>
                <w:sz w:val="18"/>
                <w:szCs w:val="18"/>
              </w:rPr>
              <w:fldChar w:fldCharType="begin"/>
            </w:r>
            <w:r w:rsidR="00C630FC" w:rsidRPr="004C78D8">
              <w:rPr>
                <w:sz w:val="18"/>
                <w:szCs w:val="18"/>
              </w:rPr>
              <w:instrText xml:space="preserve"> ADDIN EN.CITE &lt;EndNote&gt;&lt;Cite&gt;&lt;Author&gt;Hiligsmann&lt;/Author&gt;&lt;Year&gt;2014&lt;/Year&gt;&lt;RecNum&gt;392&lt;/RecNum&gt;&lt;DisplayText&gt;[343]&lt;/DisplayText&gt;&lt;record&gt;&lt;rec-number&gt;392&lt;/rec-number&gt;&lt;foreign-keys&gt;&lt;key app="EN" db-id="tdtrdw9aepptzbefsat599syza29sxsd2wsp" timestamp="1612694614"&gt;392&lt;/key&gt;&lt;/foreign-keys&gt;&lt;ref-type name="Journal Article"&gt;17&lt;/ref-type&gt;&lt;contributors&gt;&lt;authors&gt;&lt;author&gt;Hiligsmann, Mickaël&lt;/author&gt;&lt;author&gt;Ben Sedrine, Wafa&lt;/author&gt;&lt;author&gt;Bruyère, Olivier&lt;/author&gt;&lt;author&gt;Evers, Silvia M&lt;/author&gt;&lt;author&gt;Rabenda, Véronique&lt;/author&gt;&lt;author&gt;Reginster, Jean-Yves&lt;/author&gt;&lt;/authors&gt;&lt;/contributors&gt;&lt;titles&gt;&lt;title&gt;Cost-effectiveness of vitamin D and calcium supplementation in the treatment of elderly women and men with osteoporosis&lt;/title&gt;&lt;secondary-title&gt;The European Journal of Public Health&lt;/secondary-title&gt;&lt;/titles&gt;&lt;periodical&gt;&lt;full-title&gt;The European Journal of Public Health&lt;/full-title&gt;&lt;/periodical&gt;&lt;pages&gt;20-25&lt;/pages&gt;&lt;volume&gt;25&lt;/volume&gt;&lt;number&gt;1&lt;/number&gt;&lt;dates&gt;&lt;year&gt;2014&lt;/year&gt;&lt;/dates&gt;&lt;isbn&gt;1101-1262&lt;/isbn&gt;&lt;urls&gt;&lt;/urls&gt;&lt;/record&gt;&lt;/Cite&gt;&lt;/EndNote&gt;</w:instrText>
            </w:r>
            <w:r w:rsidRPr="004C78D8">
              <w:rPr>
                <w:sz w:val="18"/>
                <w:szCs w:val="18"/>
              </w:rPr>
              <w:fldChar w:fldCharType="separate"/>
            </w:r>
            <w:r w:rsidR="00C630FC" w:rsidRPr="004C78D8">
              <w:rPr>
                <w:noProof/>
                <w:sz w:val="18"/>
                <w:szCs w:val="18"/>
              </w:rPr>
              <w:t>[343]</w:t>
            </w:r>
            <w:r w:rsidRPr="004C78D8">
              <w:rPr>
                <w:sz w:val="18"/>
                <w:szCs w:val="18"/>
              </w:rPr>
              <w:fldChar w:fldCharType="end"/>
            </w:r>
          </w:p>
        </w:tc>
        <w:tc>
          <w:tcPr>
            <w:tcW w:w="492" w:type="pct"/>
            <w:tcBorders>
              <w:top w:val="nil"/>
              <w:left w:val="nil"/>
              <w:bottom w:val="nil"/>
              <w:right w:val="nil"/>
            </w:tcBorders>
          </w:tcPr>
          <w:p w14:paraId="72022FDA" w14:textId="77777777" w:rsidR="00F94244" w:rsidRPr="004C78D8" w:rsidRDefault="00F94244" w:rsidP="00FB7C1F">
            <w:pPr>
              <w:jc w:val="left"/>
              <w:rPr>
                <w:sz w:val="18"/>
                <w:szCs w:val="18"/>
              </w:rPr>
            </w:pPr>
            <w:r w:rsidRPr="004C78D8">
              <w:rPr>
                <w:sz w:val="18"/>
                <w:szCs w:val="18"/>
              </w:rPr>
              <w:t>Belgium</w:t>
            </w:r>
          </w:p>
        </w:tc>
        <w:tc>
          <w:tcPr>
            <w:tcW w:w="950" w:type="pct"/>
            <w:tcBorders>
              <w:top w:val="nil"/>
              <w:left w:val="nil"/>
              <w:bottom w:val="nil"/>
              <w:right w:val="nil"/>
            </w:tcBorders>
          </w:tcPr>
          <w:p w14:paraId="58F2C18B" w14:textId="77777777" w:rsidR="00F94244" w:rsidRPr="004C78D8" w:rsidRDefault="00F94244" w:rsidP="00FB7C1F">
            <w:pPr>
              <w:jc w:val="left"/>
              <w:rPr>
                <w:sz w:val="18"/>
                <w:szCs w:val="18"/>
              </w:rPr>
            </w:pPr>
            <w:r w:rsidRPr="004C78D8">
              <w:rPr>
                <w:sz w:val="18"/>
                <w:szCs w:val="18"/>
              </w:rPr>
              <w:t>Adults aged 60+ with osteoporosis</w:t>
            </w:r>
          </w:p>
        </w:tc>
        <w:tc>
          <w:tcPr>
            <w:tcW w:w="321" w:type="pct"/>
            <w:tcBorders>
              <w:top w:val="nil"/>
              <w:left w:val="nil"/>
              <w:bottom w:val="nil"/>
              <w:right w:val="nil"/>
            </w:tcBorders>
          </w:tcPr>
          <w:p w14:paraId="73F7DB5E" w14:textId="77777777" w:rsidR="00F94244" w:rsidRPr="004C78D8" w:rsidRDefault="00F94244" w:rsidP="00FB7C1F">
            <w:pPr>
              <w:jc w:val="left"/>
              <w:rPr>
                <w:sz w:val="18"/>
                <w:szCs w:val="18"/>
              </w:rPr>
            </w:pPr>
            <w:r w:rsidRPr="004C78D8">
              <w:rPr>
                <w:sz w:val="18"/>
                <w:szCs w:val="18"/>
              </w:rPr>
              <w:t>CUA</w:t>
            </w:r>
          </w:p>
        </w:tc>
        <w:tc>
          <w:tcPr>
            <w:tcW w:w="497" w:type="pct"/>
            <w:tcBorders>
              <w:top w:val="nil"/>
              <w:left w:val="nil"/>
              <w:bottom w:val="nil"/>
              <w:right w:val="nil"/>
            </w:tcBorders>
          </w:tcPr>
          <w:p w14:paraId="06A7983E" w14:textId="77777777" w:rsidR="00F94244" w:rsidRPr="004C78D8" w:rsidRDefault="00F94244" w:rsidP="00FB7C1F">
            <w:pPr>
              <w:jc w:val="left"/>
              <w:rPr>
                <w:sz w:val="18"/>
                <w:szCs w:val="18"/>
              </w:rPr>
            </w:pPr>
            <w:r w:rsidRPr="004C78D8">
              <w:rPr>
                <w:sz w:val="18"/>
                <w:szCs w:val="18"/>
              </w:rPr>
              <w:t>Societal</w:t>
            </w:r>
          </w:p>
        </w:tc>
        <w:tc>
          <w:tcPr>
            <w:tcW w:w="952" w:type="pct"/>
            <w:tcBorders>
              <w:top w:val="nil"/>
              <w:left w:val="nil"/>
              <w:bottom w:val="nil"/>
              <w:right w:val="nil"/>
            </w:tcBorders>
          </w:tcPr>
          <w:p w14:paraId="668835FF" w14:textId="77777777" w:rsidR="00F94244" w:rsidRPr="004C78D8" w:rsidRDefault="00F94244" w:rsidP="00FB7C1F">
            <w:pPr>
              <w:jc w:val="left"/>
              <w:rPr>
                <w:sz w:val="18"/>
                <w:szCs w:val="18"/>
              </w:rPr>
            </w:pPr>
            <w:r w:rsidRPr="004C78D8">
              <w:rPr>
                <w:sz w:val="18"/>
                <w:szCs w:val="18"/>
              </w:rPr>
              <w:t>Vit. D and calcium [NR]</w:t>
            </w:r>
          </w:p>
        </w:tc>
        <w:tc>
          <w:tcPr>
            <w:tcW w:w="453" w:type="pct"/>
            <w:tcBorders>
              <w:top w:val="nil"/>
              <w:left w:val="nil"/>
              <w:bottom w:val="nil"/>
              <w:right w:val="nil"/>
            </w:tcBorders>
          </w:tcPr>
          <w:p w14:paraId="128C6FAD" w14:textId="77777777" w:rsidR="00F94244" w:rsidRPr="004C78D8" w:rsidRDefault="00F94244" w:rsidP="00FB7C1F">
            <w:pPr>
              <w:jc w:val="left"/>
              <w:rPr>
                <w:sz w:val="18"/>
                <w:szCs w:val="18"/>
              </w:rPr>
            </w:pPr>
            <w:r w:rsidRPr="004C78D8">
              <w:rPr>
                <w:sz w:val="18"/>
                <w:szCs w:val="18"/>
              </w:rPr>
              <w:t>Markov patient</w:t>
            </w:r>
          </w:p>
        </w:tc>
        <w:tc>
          <w:tcPr>
            <w:tcW w:w="355" w:type="pct"/>
            <w:tcBorders>
              <w:top w:val="nil"/>
              <w:left w:val="nil"/>
              <w:bottom w:val="nil"/>
              <w:right w:val="nil"/>
            </w:tcBorders>
          </w:tcPr>
          <w:p w14:paraId="30A4F2E0" w14:textId="77777777" w:rsidR="00F94244" w:rsidRPr="004C78D8" w:rsidRDefault="00F94244" w:rsidP="00FB7C1F">
            <w:pPr>
              <w:jc w:val="left"/>
              <w:rPr>
                <w:sz w:val="18"/>
                <w:szCs w:val="18"/>
              </w:rPr>
            </w:pPr>
            <w:r w:rsidRPr="004C78D8">
              <w:rPr>
                <w:sz w:val="18"/>
                <w:szCs w:val="18"/>
              </w:rPr>
              <w:t>Lifetime</w:t>
            </w:r>
          </w:p>
        </w:tc>
        <w:tc>
          <w:tcPr>
            <w:tcW w:w="377" w:type="pct"/>
            <w:tcBorders>
              <w:top w:val="nil"/>
              <w:left w:val="nil"/>
              <w:bottom w:val="nil"/>
            </w:tcBorders>
          </w:tcPr>
          <w:p w14:paraId="4306499A" w14:textId="77777777" w:rsidR="00F94244" w:rsidRPr="004C78D8" w:rsidRDefault="00F94244" w:rsidP="00FB7C1F">
            <w:pPr>
              <w:jc w:val="left"/>
              <w:rPr>
                <w:sz w:val="18"/>
                <w:szCs w:val="18"/>
              </w:rPr>
            </w:pPr>
            <w:r w:rsidRPr="004C78D8">
              <w:rPr>
                <w:sz w:val="18"/>
                <w:szCs w:val="18"/>
              </w:rPr>
              <w:t>24</w:t>
            </w:r>
          </w:p>
        </w:tc>
      </w:tr>
      <w:tr w:rsidR="00F94244" w:rsidRPr="004C78D8" w14:paraId="5919E546" w14:textId="77777777" w:rsidTr="002828C1">
        <w:tc>
          <w:tcPr>
            <w:tcW w:w="149" w:type="pct"/>
            <w:tcBorders>
              <w:top w:val="nil"/>
              <w:bottom w:val="nil"/>
              <w:right w:val="nil"/>
            </w:tcBorders>
          </w:tcPr>
          <w:p w14:paraId="051DF302" w14:textId="77777777" w:rsidR="00F94244" w:rsidRPr="004C78D8" w:rsidRDefault="00F94244" w:rsidP="00FB7C1F">
            <w:pPr>
              <w:jc w:val="left"/>
              <w:rPr>
                <w:sz w:val="18"/>
                <w:szCs w:val="18"/>
              </w:rPr>
            </w:pPr>
            <w:r w:rsidRPr="004C78D8">
              <w:rPr>
                <w:sz w:val="18"/>
                <w:szCs w:val="18"/>
              </w:rPr>
              <w:t>20</w:t>
            </w:r>
          </w:p>
        </w:tc>
        <w:tc>
          <w:tcPr>
            <w:tcW w:w="455" w:type="pct"/>
            <w:tcBorders>
              <w:top w:val="nil"/>
              <w:left w:val="nil"/>
              <w:bottom w:val="nil"/>
              <w:right w:val="nil"/>
            </w:tcBorders>
          </w:tcPr>
          <w:p w14:paraId="69004E3E" w14:textId="0D35F08F" w:rsidR="00F94244" w:rsidRPr="004C78D8" w:rsidRDefault="00F94244" w:rsidP="00FB7C1F">
            <w:pPr>
              <w:jc w:val="left"/>
              <w:rPr>
                <w:sz w:val="18"/>
                <w:szCs w:val="18"/>
              </w:rPr>
            </w:pPr>
            <w:r w:rsidRPr="004C78D8">
              <w:rPr>
                <w:sz w:val="18"/>
                <w:szCs w:val="18"/>
              </w:rPr>
              <w:t xml:space="preserve">Hirst (2016) </w:t>
            </w:r>
            <w:r w:rsidRPr="004C78D8">
              <w:rPr>
                <w:sz w:val="18"/>
                <w:szCs w:val="18"/>
              </w:rPr>
              <w:fldChar w:fldCharType="begin">
                <w:fldData xml:space="preserve">PEVuZE5vdGU+PENpdGU+PEF1dGhvcj5IaXJzdDwvQXV0aG9yPjxZZWFyPjIwMTY8L1llYXI+PFJl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==
</w:fldData>
              </w:fldChar>
            </w:r>
            <w:r w:rsidR="00C630FC" w:rsidRPr="004C78D8">
              <w:rPr>
                <w:sz w:val="18"/>
                <w:szCs w:val="18"/>
              </w:rPr>
              <w:instrText xml:space="preserve"> ADDIN EN.CITE </w:instrText>
            </w:r>
            <w:r w:rsidR="00C630FC" w:rsidRPr="004C78D8">
              <w:rPr>
                <w:sz w:val="18"/>
                <w:szCs w:val="18"/>
              </w:rPr>
              <w:fldChar w:fldCharType="begin">
                <w:fldData xml:space="preserve">PEVuZE5vdGU+PENpdGU+PEF1dGhvcj5IaXJzdDwvQXV0aG9yPjxZZWFyPjIwMTY8L1llYXI+PFJl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==
</w:fldData>
              </w:fldChar>
            </w:r>
            <w:r w:rsidR="00C630FC" w:rsidRPr="004C78D8">
              <w:rPr>
                <w:sz w:val="18"/>
                <w:szCs w:val="18"/>
              </w:rPr>
              <w:instrText xml:space="preserve"> ADDIN EN.CITE.DATA </w:instrText>
            </w:r>
            <w:r w:rsidR="00C630FC" w:rsidRPr="004C78D8">
              <w:rPr>
                <w:sz w:val="18"/>
                <w:szCs w:val="18"/>
              </w:rPr>
            </w:r>
            <w:r w:rsidR="00C630FC" w:rsidRPr="004C78D8">
              <w:rPr>
                <w:sz w:val="18"/>
                <w:szCs w:val="18"/>
              </w:rPr>
              <w:fldChar w:fldCharType="end"/>
            </w:r>
            <w:r w:rsidRPr="004C78D8">
              <w:rPr>
                <w:sz w:val="18"/>
                <w:szCs w:val="18"/>
              </w:rPr>
            </w:r>
            <w:r w:rsidRPr="004C78D8">
              <w:rPr>
                <w:sz w:val="18"/>
                <w:szCs w:val="18"/>
              </w:rPr>
              <w:fldChar w:fldCharType="separate"/>
            </w:r>
            <w:r w:rsidR="00C630FC" w:rsidRPr="004C78D8">
              <w:rPr>
                <w:noProof/>
                <w:sz w:val="18"/>
                <w:szCs w:val="18"/>
              </w:rPr>
              <w:t>[345]</w:t>
            </w:r>
            <w:r w:rsidRPr="004C78D8">
              <w:rPr>
                <w:sz w:val="18"/>
                <w:szCs w:val="18"/>
              </w:rPr>
              <w:fldChar w:fldCharType="end"/>
            </w:r>
          </w:p>
        </w:tc>
        <w:tc>
          <w:tcPr>
            <w:tcW w:w="492" w:type="pct"/>
            <w:tcBorders>
              <w:top w:val="nil"/>
              <w:left w:val="nil"/>
              <w:bottom w:val="nil"/>
              <w:right w:val="nil"/>
            </w:tcBorders>
          </w:tcPr>
          <w:p w14:paraId="4BC69B68" w14:textId="77777777" w:rsidR="00F94244" w:rsidRPr="004C78D8" w:rsidRDefault="00F94244" w:rsidP="00FB7C1F">
            <w:pPr>
              <w:jc w:val="left"/>
              <w:rPr>
                <w:sz w:val="18"/>
                <w:szCs w:val="18"/>
              </w:rPr>
            </w:pPr>
            <w:r w:rsidRPr="004C78D8">
              <w:rPr>
                <w:sz w:val="18"/>
                <w:szCs w:val="18"/>
              </w:rPr>
              <w:t>UK</w:t>
            </w:r>
          </w:p>
        </w:tc>
        <w:tc>
          <w:tcPr>
            <w:tcW w:w="950" w:type="pct"/>
            <w:tcBorders>
              <w:top w:val="nil"/>
              <w:left w:val="nil"/>
              <w:bottom w:val="nil"/>
              <w:right w:val="nil"/>
            </w:tcBorders>
          </w:tcPr>
          <w:p w14:paraId="1D44BA6D" w14:textId="77777777" w:rsidR="00F94244" w:rsidRPr="004C78D8" w:rsidRDefault="00F94244" w:rsidP="00FB7C1F">
            <w:pPr>
              <w:jc w:val="left"/>
              <w:rPr>
                <w:sz w:val="18"/>
                <w:szCs w:val="18"/>
              </w:rPr>
            </w:pPr>
            <w:r w:rsidRPr="004C78D8">
              <w:rPr>
                <w:sz w:val="18"/>
                <w:szCs w:val="18"/>
              </w:rPr>
              <w:t>Women aged 75+ on chronic pain medication</w:t>
            </w:r>
          </w:p>
        </w:tc>
        <w:tc>
          <w:tcPr>
            <w:tcW w:w="321" w:type="pct"/>
            <w:tcBorders>
              <w:top w:val="nil"/>
              <w:left w:val="nil"/>
              <w:bottom w:val="nil"/>
              <w:right w:val="nil"/>
            </w:tcBorders>
          </w:tcPr>
          <w:p w14:paraId="70B0B2AC" w14:textId="77777777" w:rsidR="00F94244" w:rsidRPr="004C78D8" w:rsidRDefault="00F94244" w:rsidP="00FB7C1F">
            <w:pPr>
              <w:jc w:val="left"/>
              <w:rPr>
                <w:sz w:val="18"/>
                <w:szCs w:val="18"/>
              </w:rPr>
            </w:pPr>
            <w:r w:rsidRPr="004C78D8">
              <w:rPr>
                <w:sz w:val="18"/>
                <w:szCs w:val="18"/>
              </w:rPr>
              <w:t>CUA</w:t>
            </w:r>
          </w:p>
        </w:tc>
        <w:tc>
          <w:tcPr>
            <w:tcW w:w="497" w:type="pct"/>
            <w:tcBorders>
              <w:top w:val="nil"/>
              <w:left w:val="nil"/>
              <w:bottom w:val="nil"/>
              <w:right w:val="nil"/>
            </w:tcBorders>
          </w:tcPr>
          <w:p w14:paraId="45C370D6" w14:textId="77777777" w:rsidR="00F94244" w:rsidRPr="004C78D8" w:rsidRDefault="00F94244" w:rsidP="00FB7C1F">
            <w:pPr>
              <w:jc w:val="left"/>
              <w:rPr>
                <w:sz w:val="18"/>
                <w:szCs w:val="18"/>
              </w:rPr>
            </w:pPr>
            <w:r w:rsidRPr="004C78D8">
              <w:rPr>
                <w:sz w:val="18"/>
                <w:szCs w:val="18"/>
              </w:rPr>
              <w:t>Public sector</w:t>
            </w:r>
          </w:p>
        </w:tc>
        <w:tc>
          <w:tcPr>
            <w:tcW w:w="952" w:type="pct"/>
            <w:tcBorders>
              <w:top w:val="nil"/>
              <w:left w:val="nil"/>
              <w:bottom w:val="nil"/>
              <w:right w:val="nil"/>
            </w:tcBorders>
          </w:tcPr>
          <w:p w14:paraId="75CCA16C" w14:textId="77777777" w:rsidR="00F94244" w:rsidRPr="004C78D8" w:rsidRDefault="00F94244" w:rsidP="00FB7C1F">
            <w:pPr>
              <w:jc w:val="left"/>
              <w:rPr>
                <w:sz w:val="18"/>
                <w:szCs w:val="18"/>
              </w:rPr>
            </w:pPr>
            <w:r w:rsidRPr="004C78D8">
              <w:rPr>
                <w:sz w:val="18"/>
                <w:szCs w:val="18"/>
              </w:rPr>
              <w:t>Med. modification (Transdermal Buprenorphine) [Tramadol]</w:t>
            </w:r>
          </w:p>
        </w:tc>
        <w:tc>
          <w:tcPr>
            <w:tcW w:w="453" w:type="pct"/>
            <w:tcBorders>
              <w:top w:val="nil"/>
              <w:left w:val="nil"/>
              <w:bottom w:val="nil"/>
              <w:right w:val="nil"/>
            </w:tcBorders>
          </w:tcPr>
          <w:p w14:paraId="4659AAB7" w14:textId="1C8F3BFE" w:rsidR="00F94244" w:rsidRPr="004C78D8" w:rsidRDefault="00F94244" w:rsidP="00FB7C1F">
            <w:pPr>
              <w:jc w:val="left"/>
              <w:rPr>
                <w:sz w:val="18"/>
                <w:szCs w:val="18"/>
              </w:rPr>
            </w:pPr>
            <w:r w:rsidRPr="004C78D8">
              <w:rPr>
                <w:sz w:val="18"/>
                <w:szCs w:val="18"/>
              </w:rPr>
              <w:t>DT</w:t>
            </w:r>
            <w:r w:rsidR="001B3C29" w:rsidRPr="004C78D8">
              <w:rPr>
                <w:sz w:val="18"/>
                <w:szCs w:val="18"/>
                <w:vertAlign w:val="superscript"/>
              </w:rPr>
              <w:t>7</w:t>
            </w:r>
          </w:p>
        </w:tc>
        <w:tc>
          <w:tcPr>
            <w:tcW w:w="355" w:type="pct"/>
            <w:tcBorders>
              <w:top w:val="nil"/>
              <w:left w:val="nil"/>
              <w:bottom w:val="nil"/>
              <w:right w:val="nil"/>
            </w:tcBorders>
          </w:tcPr>
          <w:p w14:paraId="78F6F955" w14:textId="77777777" w:rsidR="00F94244" w:rsidRPr="004C78D8" w:rsidRDefault="00F94244" w:rsidP="00FB7C1F">
            <w:pPr>
              <w:jc w:val="left"/>
              <w:rPr>
                <w:sz w:val="18"/>
                <w:szCs w:val="18"/>
              </w:rPr>
            </w:pPr>
            <w:r w:rsidRPr="004C78D8">
              <w:rPr>
                <w:sz w:val="18"/>
                <w:szCs w:val="18"/>
              </w:rPr>
              <w:t>1 year</w:t>
            </w:r>
          </w:p>
        </w:tc>
        <w:tc>
          <w:tcPr>
            <w:tcW w:w="377" w:type="pct"/>
            <w:tcBorders>
              <w:top w:val="nil"/>
              <w:left w:val="nil"/>
              <w:bottom w:val="nil"/>
            </w:tcBorders>
          </w:tcPr>
          <w:p w14:paraId="35C81D54" w14:textId="77777777" w:rsidR="00F94244" w:rsidRPr="004C78D8" w:rsidRDefault="00F94244" w:rsidP="00FB7C1F">
            <w:pPr>
              <w:jc w:val="left"/>
              <w:rPr>
                <w:sz w:val="18"/>
                <w:szCs w:val="18"/>
              </w:rPr>
            </w:pPr>
            <w:r w:rsidRPr="004C78D8">
              <w:rPr>
                <w:sz w:val="18"/>
                <w:szCs w:val="18"/>
              </w:rPr>
              <w:t>26</w:t>
            </w:r>
          </w:p>
        </w:tc>
      </w:tr>
      <w:tr w:rsidR="00F94244" w:rsidRPr="004C78D8" w14:paraId="1979CD7A" w14:textId="77777777" w:rsidTr="002828C1">
        <w:tc>
          <w:tcPr>
            <w:tcW w:w="149" w:type="pct"/>
            <w:tcBorders>
              <w:top w:val="nil"/>
              <w:bottom w:val="nil"/>
              <w:right w:val="nil"/>
            </w:tcBorders>
          </w:tcPr>
          <w:p w14:paraId="517D8C64" w14:textId="77777777" w:rsidR="00F94244" w:rsidRPr="004C78D8" w:rsidRDefault="00F94244" w:rsidP="00FB7C1F">
            <w:pPr>
              <w:jc w:val="left"/>
              <w:rPr>
                <w:sz w:val="18"/>
                <w:szCs w:val="18"/>
              </w:rPr>
            </w:pPr>
            <w:r w:rsidRPr="004C78D8">
              <w:rPr>
                <w:sz w:val="18"/>
                <w:szCs w:val="18"/>
              </w:rPr>
              <w:t>21</w:t>
            </w:r>
          </w:p>
        </w:tc>
        <w:tc>
          <w:tcPr>
            <w:tcW w:w="455" w:type="pct"/>
            <w:tcBorders>
              <w:top w:val="nil"/>
              <w:left w:val="nil"/>
              <w:bottom w:val="nil"/>
              <w:right w:val="nil"/>
            </w:tcBorders>
          </w:tcPr>
          <w:p w14:paraId="587FA9A0" w14:textId="1ED686F3" w:rsidR="00F94244" w:rsidRPr="004C78D8" w:rsidRDefault="00F94244" w:rsidP="00FB7C1F">
            <w:pPr>
              <w:jc w:val="left"/>
              <w:rPr>
                <w:sz w:val="18"/>
                <w:szCs w:val="18"/>
              </w:rPr>
            </w:pPr>
            <w:r w:rsidRPr="004C78D8">
              <w:rPr>
                <w:sz w:val="18"/>
                <w:szCs w:val="18"/>
              </w:rPr>
              <w:t xml:space="preserve">Honkanen (2006) </w:t>
            </w:r>
            <w:r w:rsidRPr="004C78D8">
              <w:rPr>
                <w:sz w:val="18"/>
                <w:szCs w:val="18"/>
              </w:rPr>
              <w:fldChar w:fldCharType="begin"/>
            </w:r>
            <w:r w:rsidR="00C630FC" w:rsidRPr="004C78D8">
              <w:rPr>
                <w:sz w:val="18"/>
                <w:szCs w:val="18"/>
              </w:rPr>
              <w:instrText xml:space="preserve"> ADDIN EN.CITE &lt;EndNote&gt;&lt;Cite&gt;&lt;Author&gt;Honkanen&lt;/Author&gt;&lt;Year&gt;2006&lt;/Year&gt;&lt;RecNum&gt;390&lt;/RecNum&gt;&lt;DisplayText&gt;[318]&lt;/DisplayText&gt;&lt;record&gt;&lt;rec-number&gt;390&lt;/rec-number&gt;&lt;foreign-keys&gt;&lt;key app="EN" db-id="tdtrdw9aepptzbefsat599syza29sxsd2wsp" timestamp="1612694614"&gt;390&lt;/key&gt;&lt;/foreign-keys&gt;&lt;ref-type name="Journal Article"&gt;17&lt;/ref-type&gt;&lt;contributors&gt;&lt;authors&gt;&lt;author&gt;Honkanen, Lisa A&lt;/author&gt;&lt;author&gt;Mushlin, Alvin I&lt;/author&gt;&lt;author&gt;Lachs, Mark&lt;/author&gt;&lt;author&gt;Schackman, Bruce R&lt;/author&gt;&lt;/authors&gt;&lt;/contributors&gt;&lt;titles&gt;&lt;title&gt;Can Hip Protector Use Cost‐Effectively Prevent Fractures in Community‐Dwelling Geriatric Populations?&lt;/title&gt;&lt;secondary-title&gt;Journal of the American Geriatrics Society&lt;/secondary-title&gt;&lt;/titles&gt;&lt;periodical&gt;&lt;full-title&gt;Journal of the American Geriatrics Society&lt;/full-title&gt;&lt;/periodical&gt;&lt;pages&gt;1658-1665&lt;/pages&gt;&lt;volume&gt;54&lt;/volume&gt;&lt;number&gt;11&lt;/number&gt;&lt;dates&gt;&lt;year&gt;2006&lt;/year&gt;&lt;/dates&gt;&lt;isbn&gt;0002-8614&lt;/isbn&gt;&lt;urls&gt;&lt;/urls&gt;&lt;/record&gt;&lt;/Cite&gt;&lt;/EndNote&gt;</w:instrText>
            </w:r>
            <w:r w:rsidRPr="004C78D8">
              <w:rPr>
                <w:sz w:val="18"/>
                <w:szCs w:val="18"/>
              </w:rPr>
              <w:fldChar w:fldCharType="separate"/>
            </w:r>
            <w:r w:rsidR="00C630FC" w:rsidRPr="004C78D8">
              <w:rPr>
                <w:noProof/>
                <w:sz w:val="18"/>
                <w:szCs w:val="18"/>
              </w:rPr>
              <w:t>[318]</w:t>
            </w:r>
            <w:r w:rsidRPr="004C78D8">
              <w:rPr>
                <w:sz w:val="18"/>
                <w:szCs w:val="18"/>
              </w:rPr>
              <w:fldChar w:fldCharType="end"/>
            </w:r>
          </w:p>
        </w:tc>
        <w:tc>
          <w:tcPr>
            <w:tcW w:w="492" w:type="pct"/>
            <w:tcBorders>
              <w:top w:val="nil"/>
              <w:left w:val="nil"/>
              <w:bottom w:val="nil"/>
              <w:right w:val="nil"/>
            </w:tcBorders>
          </w:tcPr>
          <w:p w14:paraId="349B3C09" w14:textId="77777777" w:rsidR="00F94244" w:rsidRPr="004C78D8" w:rsidRDefault="00F94244" w:rsidP="00FB7C1F">
            <w:pPr>
              <w:jc w:val="left"/>
              <w:rPr>
                <w:sz w:val="18"/>
                <w:szCs w:val="18"/>
              </w:rPr>
            </w:pPr>
            <w:r w:rsidRPr="004C78D8">
              <w:rPr>
                <w:sz w:val="18"/>
                <w:szCs w:val="18"/>
              </w:rPr>
              <w:t>US, Medicare/aid</w:t>
            </w:r>
          </w:p>
        </w:tc>
        <w:tc>
          <w:tcPr>
            <w:tcW w:w="950" w:type="pct"/>
            <w:tcBorders>
              <w:top w:val="nil"/>
              <w:left w:val="nil"/>
              <w:bottom w:val="nil"/>
              <w:right w:val="nil"/>
            </w:tcBorders>
          </w:tcPr>
          <w:p w14:paraId="425B081A" w14:textId="77777777" w:rsidR="00F94244" w:rsidRPr="004C78D8" w:rsidRDefault="00F94244" w:rsidP="00FB7C1F">
            <w:pPr>
              <w:jc w:val="left"/>
              <w:rPr>
                <w:sz w:val="18"/>
                <w:szCs w:val="18"/>
              </w:rPr>
            </w:pPr>
            <w:r w:rsidRPr="004C78D8">
              <w:rPr>
                <w:sz w:val="18"/>
                <w:szCs w:val="18"/>
              </w:rPr>
              <w:t>Adults aged 65+ living in community at baseline</w:t>
            </w:r>
          </w:p>
        </w:tc>
        <w:tc>
          <w:tcPr>
            <w:tcW w:w="321" w:type="pct"/>
            <w:tcBorders>
              <w:top w:val="nil"/>
              <w:left w:val="nil"/>
              <w:bottom w:val="nil"/>
              <w:right w:val="nil"/>
            </w:tcBorders>
          </w:tcPr>
          <w:p w14:paraId="39529753" w14:textId="77777777" w:rsidR="00F94244" w:rsidRPr="004C78D8" w:rsidRDefault="00F94244" w:rsidP="00FB7C1F">
            <w:pPr>
              <w:jc w:val="left"/>
              <w:rPr>
                <w:sz w:val="18"/>
                <w:szCs w:val="18"/>
              </w:rPr>
            </w:pPr>
            <w:r w:rsidRPr="004C78D8">
              <w:rPr>
                <w:sz w:val="18"/>
                <w:szCs w:val="18"/>
              </w:rPr>
              <w:t>CUA; ROI</w:t>
            </w:r>
          </w:p>
        </w:tc>
        <w:tc>
          <w:tcPr>
            <w:tcW w:w="497" w:type="pct"/>
            <w:tcBorders>
              <w:top w:val="nil"/>
              <w:left w:val="nil"/>
              <w:bottom w:val="nil"/>
              <w:right w:val="nil"/>
            </w:tcBorders>
          </w:tcPr>
          <w:p w14:paraId="308428BD" w14:textId="723C7958" w:rsidR="00F94244" w:rsidRPr="004C78D8" w:rsidRDefault="00B41E3F" w:rsidP="00FB7C1F">
            <w:pPr>
              <w:jc w:val="left"/>
              <w:rPr>
                <w:sz w:val="18"/>
                <w:szCs w:val="18"/>
              </w:rPr>
            </w:pPr>
            <w:r w:rsidRPr="004C78D8">
              <w:rPr>
                <w:sz w:val="18"/>
                <w:szCs w:val="18"/>
              </w:rPr>
              <w:t>Societal</w:t>
            </w:r>
          </w:p>
        </w:tc>
        <w:tc>
          <w:tcPr>
            <w:tcW w:w="952" w:type="pct"/>
            <w:tcBorders>
              <w:top w:val="nil"/>
              <w:left w:val="nil"/>
              <w:bottom w:val="nil"/>
              <w:right w:val="nil"/>
            </w:tcBorders>
          </w:tcPr>
          <w:p w14:paraId="591BAF7A" w14:textId="77777777" w:rsidR="00F94244" w:rsidRPr="004C78D8" w:rsidRDefault="00F94244" w:rsidP="00FB7C1F">
            <w:pPr>
              <w:jc w:val="left"/>
              <w:rPr>
                <w:sz w:val="18"/>
                <w:szCs w:val="18"/>
              </w:rPr>
            </w:pPr>
            <w:r w:rsidRPr="004C78D8">
              <w:rPr>
                <w:sz w:val="18"/>
                <w:szCs w:val="18"/>
              </w:rPr>
              <w:t>Hip protectors [NR]</w:t>
            </w:r>
          </w:p>
        </w:tc>
        <w:tc>
          <w:tcPr>
            <w:tcW w:w="453" w:type="pct"/>
            <w:tcBorders>
              <w:top w:val="nil"/>
              <w:left w:val="nil"/>
              <w:bottom w:val="nil"/>
              <w:right w:val="nil"/>
            </w:tcBorders>
          </w:tcPr>
          <w:p w14:paraId="1627CCD7" w14:textId="77777777" w:rsidR="00F94244" w:rsidRPr="004C78D8" w:rsidRDefault="00F94244" w:rsidP="00FB7C1F">
            <w:pPr>
              <w:jc w:val="left"/>
              <w:rPr>
                <w:sz w:val="18"/>
                <w:szCs w:val="18"/>
              </w:rPr>
            </w:pPr>
            <w:r w:rsidRPr="004C78D8">
              <w:rPr>
                <w:sz w:val="18"/>
                <w:szCs w:val="18"/>
              </w:rPr>
              <w:t>Markov cohort</w:t>
            </w:r>
          </w:p>
        </w:tc>
        <w:tc>
          <w:tcPr>
            <w:tcW w:w="355" w:type="pct"/>
            <w:tcBorders>
              <w:top w:val="nil"/>
              <w:left w:val="nil"/>
              <w:bottom w:val="nil"/>
              <w:right w:val="nil"/>
            </w:tcBorders>
          </w:tcPr>
          <w:p w14:paraId="0FEA0EB4" w14:textId="77777777" w:rsidR="00F94244" w:rsidRPr="004C78D8" w:rsidRDefault="00F94244" w:rsidP="00FB7C1F">
            <w:pPr>
              <w:jc w:val="left"/>
              <w:rPr>
                <w:sz w:val="18"/>
                <w:szCs w:val="18"/>
              </w:rPr>
            </w:pPr>
            <w:r w:rsidRPr="004C78D8">
              <w:rPr>
                <w:sz w:val="18"/>
                <w:szCs w:val="18"/>
              </w:rPr>
              <w:t>Lifetime</w:t>
            </w:r>
          </w:p>
        </w:tc>
        <w:tc>
          <w:tcPr>
            <w:tcW w:w="377" w:type="pct"/>
            <w:tcBorders>
              <w:top w:val="nil"/>
              <w:left w:val="nil"/>
              <w:bottom w:val="nil"/>
            </w:tcBorders>
          </w:tcPr>
          <w:p w14:paraId="2142C484" w14:textId="77777777" w:rsidR="00F94244" w:rsidRPr="004C78D8" w:rsidRDefault="00F94244" w:rsidP="00FB7C1F">
            <w:pPr>
              <w:jc w:val="left"/>
              <w:rPr>
                <w:sz w:val="18"/>
                <w:szCs w:val="18"/>
              </w:rPr>
            </w:pPr>
            <w:r w:rsidRPr="004C78D8">
              <w:rPr>
                <w:sz w:val="18"/>
                <w:szCs w:val="18"/>
              </w:rPr>
              <w:t>23.5</w:t>
            </w:r>
          </w:p>
        </w:tc>
      </w:tr>
      <w:tr w:rsidR="00F94244" w:rsidRPr="004C78D8" w14:paraId="4ABBFAE2" w14:textId="77777777" w:rsidTr="002828C1">
        <w:tc>
          <w:tcPr>
            <w:tcW w:w="149" w:type="pct"/>
            <w:tcBorders>
              <w:top w:val="nil"/>
              <w:bottom w:val="nil"/>
              <w:right w:val="nil"/>
            </w:tcBorders>
          </w:tcPr>
          <w:p w14:paraId="70CC8CC5" w14:textId="77777777" w:rsidR="00F94244" w:rsidRPr="004C78D8" w:rsidRDefault="00F94244" w:rsidP="00FB7C1F">
            <w:pPr>
              <w:jc w:val="left"/>
              <w:rPr>
                <w:sz w:val="18"/>
                <w:szCs w:val="18"/>
              </w:rPr>
            </w:pPr>
            <w:r w:rsidRPr="004C78D8">
              <w:rPr>
                <w:sz w:val="18"/>
                <w:szCs w:val="18"/>
              </w:rPr>
              <w:t>22</w:t>
            </w:r>
          </w:p>
        </w:tc>
        <w:tc>
          <w:tcPr>
            <w:tcW w:w="455" w:type="pct"/>
            <w:tcBorders>
              <w:top w:val="nil"/>
              <w:left w:val="nil"/>
              <w:bottom w:val="nil"/>
              <w:right w:val="nil"/>
            </w:tcBorders>
          </w:tcPr>
          <w:p w14:paraId="72415E65" w14:textId="2FD10B66" w:rsidR="00F94244" w:rsidRPr="004C78D8" w:rsidRDefault="00F94244" w:rsidP="00FB7C1F">
            <w:pPr>
              <w:jc w:val="left"/>
              <w:rPr>
                <w:sz w:val="18"/>
                <w:szCs w:val="18"/>
              </w:rPr>
            </w:pPr>
            <w:r w:rsidRPr="004C78D8">
              <w:rPr>
                <w:sz w:val="18"/>
                <w:szCs w:val="18"/>
              </w:rPr>
              <w:t xml:space="preserve">Howland (2015) </w:t>
            </w:r>
            <w:r w:rsidRPr="004C78D8">
              <w:rPr>
                <w:sz w:val="18"/>
                <w:szCs w:val="18"/>
              </w:rPr>
              <w:fldChar w:fldCharType="begin">
                <w:fldData xml:space="preserve">PEVuZE5vdGU+PENpdGU+PEF1dGhvcj5Ib3dsYW5kPC9BdXRob3I+PFllYXI+MjAxNTwvWWVhcj48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==
</w:fldData>
              </w:fldChar>
            </w:r>
            <w:r w:rsidR="00C630FC" w:rsidRPr="004C78D8">
              <w:rPr>
                <w:sz w:val="18"/>
                <w:szCs w:val="18"/>
              </w:rPr>
              <w:instrText xml:space="preserve"> ADDIN EN.CITE </w:instrText>
            </w:r>
            <w:r w:rsidR="00C630FC" w:rsidRPr="004C78D8">
              <w:rPr>
                <w:sz w:val="18"/>
                <w:szCs w:val="18"/>
              </w:rPr>
              <w:fldChar w:fldCharType="begin">
                <w:fldData xml:space="preserve">PEVuZE5vdGU+PENpdGU+PEF1dGhvcj5Ib3dsYW5kPC9BdXRob3I+PFllYXI+MjAxNTwvWWVhcj48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==
</w:fldData>
              </w:fldChar>
            </w:r>
            <w:r w:rsidR="00C630FC" w:rsidRPr="004C78D8">
              <w:rPr>
                <w:sz w:val="18"/>
                <w:szCs w:val="18"/>
              </w:rPr>
              <w:instrText xml:space="preserve"> ADDIN EN.CITE.DATA </w:instrText>
            </w:r>
            <w:r w:rsidR="00C630FC" w:rsidRPr="004C78D8">
              <w:rPr>
                <w:sz w:val="18"/>
                <w:szCs w:val="18"/>
              </w:rPr>
            </w:r>
            <w:r w:rsidR="00C630FC" w:rsidRPr="004C78D8">
              <w:rPr>
                <w:sz w:val="18"/>
                <w:szCs w:val="18"/>
              </w:rPr>
              <w:fldChar w:fldCharType="end"/>
            </w:r>
            <w:r w:rsidRPr="004C78D8">
              <w:rPr>
                <w:sz w:val="18"/>
                <w:szCs w:val="18"/>
              </w:rPr>
            </w:r>
            <w:r w:rsidRPr="004C78D8">
              <w:rPr>
                <w:sz w:val="18"/>
                <w:szCs w:val="18"/>
              </w:rPr>
              <w:fldChar w:fldCharType="separate"/>
            </w:r>
            <w:r w:rsidR="00C630FC" w:rsidRPr="004C78D8">
              <w:rPr>
                <w:noProof/>
                <w:sz w:val="18"/>
                <w:szCs w:val="18"/>
              </w:rPr>
              <w:t>[200]</w:t>
            </w:r>
            <w:r w:rsidRPr="004C78D8">
              <w:rPr>
                <w:sz w:val="18"/>
                <w:szCs w:val="18"/>
              </w:rPr>
              <w:fldChar w:fldCharType="end"/>
            </w:r>
          </w:p>
        </w:tc>
        <w:tc>
          <w:tcPr>
            <w:tcW w:w="492" w:type="pct"/>
            <w:tcBorders>
              <w:top w:val="nil"/>
              <w:left w:val="nil"/>
              <w:bottom w:val="nil"/>
              <w:right w:val="nil"/>
            </w:tcBorders>
          </w:tcPr>
          <w:p w14:paraId="50CF3A35" w14:textId="77777777" w:rsidR="00F94244" w:rsidRPr="004C78D8" w:rsidRDefault="00F94244" w:rsidP="00FB7C1F">
            <w:pPr>
              <w:jc w:val="left"/>
              <w:rPr>
                <w:sz w:val="18"/>
                <w:szCs w:val="18"/>
              </w:rPr>
            </w:pPr>
            <w:r w:rsidRPr="004C78D8">
              <w:rPr>
                <w:sz w:val="18"/>
                <w:szCs w:val="18"/>
              </w:rPr>
              <w:t>US, Massachusetts</w:t>
            </w:r>
          </w:p>
        </w:tc>
        <w:tc>
          <w:tcPr>
            <w:tcW w:w="950" w:type="pct"/>
            <w:tcBorders>
              <w:top w:val="nil"/>
              <w:left w:val="nil"/>
              <w:bottom w:val="nil"/>
              <w:right w:val="nil"/>
            </w:tcBorders>
          </w:tcPr>
          <w:p w14:paraId="38F8E449" w14:textId="77777777" w:rsidR="00F94244" w:rsidRPr="004C78D8" w:rsidRDefault="00F94244" w:rsidP="00FB7C1F">
            <w:pPr>
              <w:jc w:val="left"/>
              <w:rPr>
                <w:sz w:val="18"/>
                <w:szCs w:val="18"/>
              </w:rPr>
            </w:pPr>
            <w:r w:rsidRPr="004C78D8">
              <w:rPr>
                <w:sz w:val="18"/>
                <w:szCs w:val="18"/>
              </w:rPr>
              <w:t>CD adults aged 65+ admitted to A&amp;E due to fall</w:t>
            </w:r>
          </w:p>
        </w:tc>
        <w:tc>
          <w:tcPr>
            <w:tcW w:w="321" w:type="pct"/>
            <w:tcBorders>
              <w:top w:val="nil"/>
              <w:left w:val="nil"/>
              <w:bottom w:val="nil"/>
              <w:right w:val="nil"/>
            </w:tcBorders>
          </w:tcPr>
          <w:p w14:paraId="3F5AA6FA" w14:textId="77777777" w:rsidR="00F94244" w:rsidRPr="004C78D8" w:rsidRDefault="00F94244" w:rsidP="00FB7C1F">
            <w:pPr>
              <w:jc w:val="left"/>
              <w:rPr>
                <w:sz w:val="18"/>
                <w:szCs w:val="18"/>
              </w:rPr>
            </w:pPr>
            <w:r w:rsidRPr="004C78D8">
              <w:rPr>
                <w:sz w:val="18"/>
                <w:szCs w:val="18"/>
              </w:rPr>
              <w:t>ROI</w:t>
            </w:r>
          </w:p>
        </w:tc>
        <w:tc>
          <w:tcPr>
            <w:tcW w:w="497" w:type="pct"/>
            <w:tcBorders>
              <w:top w:val="nil"/>
              <w:left w:val="nil"/>
              <w:bottom w:val="nil"/>
              <w:right w:val="nil"/>
            </w:tcBorders>
          </w:tcPr>
          <w:p w14:paraId="13C49239" w14:textId="379BE9E3" w:rsidR="00F94244" w:rsidRPr="004C78D8" w:rsidRDefault="00F94244" w:rsidP="00FB7C1F">
            <w:pPr>
              <w:jc w:val="left"/>
              <w:rPr>
                <w:sz w:val="18"/>
                <w:szCs w:val="18"/>
              </w:rPr>
            </w:pPr>
            <w:r w:rsidRPr="004C78D8">
              <w:rPr>
                <w:sz w:val="18"/>
                <w:szCs w:val="18"/>
              </w:rPr>
              <w:t>US healthcare payer</w:t>
            </w:r>
            <w:r w:rsidR="001B3C29" w:rsidRPr="004C78D8">
              <w:rPr>
                <w:sz w:val="18"/>
                <w:szCs w:val="18"/>
                <w:vertAlign w:val="superscript"/>
              </w:rPr>
              <w:t>5</w:t>
            </w:r>
          </w:p>
        </w:tc>
        <w:tc>
          <w:tcPr>
            <w:tcW w:w="952" w:type="pct"/>
            <w:tcBorders>
              <w:top w:val="nil"/>
              <w:left w:val="nil"/>
              <w:bottom w:val="nil"/>
              <w:right w:val="nil"/>
            </w:tcBorders>
          </w:tcPr>
          <w:p w14:paraId="772A6088" w14:textId="77777777" w:rsidR="00F94244" w:rsidRPr="00972766" w:rsidRDefault="00F94244" w:rsidP="00FB7C1F">
            <w:pPr>
              <w:jc w:val="left"/>
              <w:rPr>
                <w:sz w:val="18"/>
                <w:szCs w:val="18"/>
                <w:lang w:val="sv-SE"/>
              </w:rPr>
            </w:pPr>
            <w:r w:rsidRPr="00972766">
              <w:rPr>
                <w:sz w:val="18"/>
                <w:szCs w:val="18"/>
                <w:lang w:val="sv-SE"/>
              </w:rPr>
              <w:t>MC int. (MoB/VLL) [NR]</w:t>
            </w:r>
          </w:p>
        </w:tc>
        <w:tc>
          <w:tcPr>
            <w:tcW w:w="453" w:type="pct"/>
            <w:tcBorders>
              <w:top w:val="nil"/>
              <w:left w:val="nil"/>
              <w:bottom w:val="nil"/>
              <w:right w:val="nil"/>
            </w:tcBorders>
          </w:tcPr>
          <w:p w14:paraId="2FC63AB7" w14:textId="77777777" w:rsidR="00F94244" w:rsidRPr="004C78D8" w:rsidRDefault="00F94244" w:rsidP="00FB7C1F">
            <w:pPr>
              <w:jc w:val="left"/>
              <w:rPr>
                <w:sz w:val="18"/>
                <w:szCs w:val="18"/>
              </w:rPr>
            </w:pPr>
            <w:r w:rsidRPr="004C78D8">
              <w:rPr>
                <w:sz w:val="18"/>
                <w:szCs w:val="18"/>
              </w:rPr>
              <w:t>Binary decision</w:t>
            </w:r>
          </w:p>
        </w:tc>
        <w:tc>
          <w:tcPr>
            <w:tcW w:w="355" w:type="pct"/>
            <w:tcBorders>
              <w:top w:val="nil"/>
              <w:left w:val="nil"/>
              <w:bottom w:val="nil"/>
              <w:right w:val="nil"/>
            </w:tcBorders>
          </w:tcPr>
          <w:p w14:paraId="62C75B51" w14:textId="77777777" w:rsidR="00F94244" w:rsidRPr="004C78D8" w:rsidRDefault="00F94244" w:rsidP="00FB7C1F">
            <w:pPr>
              <w:jc w:val="left"/>
              <w:rPr>
                <w:sz w:val="18"/>
                <w:szCs w:val="18"/>
              </w:rPr>
            </w:pPr>
            <w:r w:rsidRPr="004C78D8">
              <w:rPr>
                <w:sz w:val="18"/>
                <w:szCs w:val="18"/>
              </w:rPr>
              <w:t>1 year</w:t>
            </w:r>
          </w:p>
        </w:tc>
        <w:tc>
          <w:tcPr>
            <w:tcW w:w="377" w:type="pct"/>
            <w:tcBorders>
              <w:top w:val="nil"/>
              <w:left w:val="nil"/>
              <w:bottom w:val="nil"/>
            </w:tcBorders>
          </w:tcPr>
          <w:p w14:paraId="15070E4A" w14:textId="77777777" w:rsidR="00F94244" w:rsidRPr="004C78D8" w:rsidRDefault="00F94244" w:rsidP="00FB7C1F">
            <w:pPr>
              <w:jc w:val="left"/>
              <w:rPr>
                <w:sz w:val="18"/>
                <w:szCs w:val="18"/>
              </w:rPr>
            </w:pPr>
            <w:r w:rsidRPr="004C78D8">
              <w:rPr>
                <w:sz w:val="18"/>
                <w:szCs w:val="18"/>
              </w:rPr>
              <w:t>20</w:t>
            </w:r>
          </w:p>
        </w:tc>
      </w:tr>
      <w:tr w:rsidR="00F94244" w:rsidRPr="004C78D8" w14:paraId="193F1E55" w14:textId="77777777" w:rsidTr="002828C1">
        <w:tc>
          <w:tcPr>
            <w:tcW w:w="149" w:type="pct"/>
            <w:tcBorders>
              <w:top w:val="nil"/>
              <w:bottom w:val="nil"/>
              <w:right w:val="nil"/>
            </w:tcBorders>
          </w:tcPr>
          <w:p w14:paraId="28948D50" w14:textId="77777777" w:rsidR="00F94244" w:rsidRPr="004C78D8" w:rsidRDefault="00F94244" w:rsidP="00FB7C1F">
            <w:pPr>
              <w:jc w:val="left"/>
              <w:rPr>
                <w:sz w:val="18"/>
                <w:szCs w:val="18"/>
              </w:rPr>
            </w:pPr>
            <w:r w:rsidRPr="004C78D8">
              <w:rPr>
                <w:sz w:val="18"/>
                <w:szCs w:val="18"/>
              </w:rPr>
              <w:t>23</w:t>
            </w:r>
          </w:p>
        </w:tc>
        <w:tc>
          <w:tcPr>
            <w:tcW w:w="455" w:type="pct"/>
            <w:tcBorders>
              <w:top w:val="nil"/>
              <w:left w:val="nil"/>
              <w:bottom w:val="nil"/>
              <w:right w:val="nil"/>
            </w:tcBorders>
          </w:tcPr>
          <w:p w14:paraId="65FE0E67" w14:textId="6B558B07" w:rsidR="00F94244" w:rsidRPr="004C78D8" w:rsidRDefault="00F94244" w:rsidP="00FB7C1F">
            <w:pPr>
              <w:jc w:val="left"/>
              <w:rPr>
                <w:sz w:val="18"/>
                <w:szCs w:val="18"/>
              </w:rPr>
            </w:pPr>
            <w:r w:rsidRPr="004C78D8">
              <w:rPr>
                <w:sz w:val="18"/>
                <w:szCs w:val="18"/>
              </w:rPr>
              <w:t xml:space="preserve">Ippoliti (2018) </w:t>
            </w:r>
            <w:r w:rsidRPr="004C78D8">
              <w:rPr>
                <w:sz w:val="18"/>
                <w:szCs w:val="18"/>
              </w:rPr>
              <w:fldChar w:fldCharType="begin">
                <w:fldData xml:space="preserve">PEVuZE5vdGU+PENpdGU+PEF1dGhvcj5JcHBvbGl0aTwvQXV0aG9yPjxZZWFyPjIwMTg8L1llYXI+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</w:fldData>
              </w:fldChar>
            </w:r>
            <w:r w:rsidR="00C630FC" w:rsidRPr="004C78D8">
              <w:rPr>
                <w:sz w:val="18"/>
                <w:szCs w:val="18"/>
              </w:rPr>
              <w:instrText xml:space="preserve"> ADDIN EN.CITE </w:instrText>
            </w:r>
            <w:r w:rsidR="00C630FC" w:rsidRPr="004C78D8">
              <w:rPr>
                <w:sz w:val="18"/>
                <w:szCs w:val="18"/>
              </w:rPr>
              <w:fldChar w:fldCharType="begin">
                <w:fldData xml:space="preserve">PEVuZE5vdGU+PENpdGU+PEF1dGhvcj5JcHBvbGl0aTwvQXV0aG9yPjxZZWFyPjIwMTg8L1llYXI+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</w:fldData>
              </w:fldChar>
            </w:r>
            <w:r w:rsidR="00C630FC" w:rsidRPr="004C78D8">
              <w:rPr>
                <w:sz w:val="18"/>
                <w:szCs w:val="18"/>
              </w:rPr>
              <w:instrText xml:space="preserve"> ADDIN EN.CITE.DATA </w:instrText>
            </w:r>
            <w:r w:rsidR="00C630FC" w:rsidRPr="004C78D8">
              <w:rPr>
                <w:sz w:val="18"/>
                <w:szCs w:val="18"/>
              </w:rPr>
            </w:r>
            <w:r w:rsidR="00C630FC" w:rsidRPr="004C78D8">
              <w:rPr>
                <w:sz w:val="18"/>
                <w:szCs w:val="18"/>
              </w:rPr>
              <w:fldChar w:fldCharType="end"/>
            </w:r>
            <w:r w:rsidRPr="004C78D8">
              <w:rPr>
                <w:sz w:val="18"/>
                <w:szCs w:val="18"/>
              </w:rPr>
            </w:r>
            <w:r w:rsidRPr="004C78D8">
              <w:rPr>
                <w:sz w:val="18"/>
                <w:szCs w:val="18"/>
              </w:rPr>
              <w:fldChar w:fldCharType="separate"/>
            </w:r>
            <w:r w:rsidR="00C630FC" w:rsidRPr="004C78D8">
              <w:rPr>
                <w:noProof/>
                <w:sz w:val="18"/>
                <w:szCs w:val="18"/>
              </w:rPr>
              <w:t>[364]</w:t>
            </w:r>
            <w:r w:rsidRPr="004C78D8">
              <w:rPr>
                <w:sz w:val="18"/>
                <w:szCs w:val="18"/>
              </w:rPr>
              <w:fldChar w:fldCharType="end"/>
            </w:r>
          </w:p>
        </w:tc>
        <w:tc>
          <w:tcPr>
            <w:tcW w:w="492" w:type="pct"/>
            <w:tcBorders>
              <w:top w:val="nil"/>
              <w:left w:val="nil"/>
              <w:bottom w:val="nil"/>
              <w:right w:val="nil"/>
            </w:tcBorders>
          </w:tcPr>
          <w:p w14:paraId="5E7B652D" w14:textId="77777777" w:rsidR="00F94244" w:rsidRPr="004C78D8" w:rsidRDefault="00F94244" w:rsidP="00FB7C1F">
            <w:pPr>
              <w:jc w:val="left"/>
              <w:rPr>
                <w:sz w:val="18"/>
                <w:szCs w:val="18"/>
              </w:rPr>
            </w:pPr>
            <w:r w:rsidRPr="004C78D8">
              <w:rPr>
                <w:sz w:val="18"/>
                <w:szCs w:val="18"/>
              </w:rPr>
              <w:t>Italy, Piedmont</w:t>
            </w:r>
          </w:p>
        </w:tc>
        <w:tc>
          <w:tcPr>
            <w:tcW w:w="950" w:type="pct"/>
            <w:tcBorders>
              <w:top w:val="nil"/>
              <w:left w:val="nil"/>
              <w:bottom w:val="nil"/>
              <w:right w:val="nil"/>
            </w:tcBorders>
          </w:tcPr>
          <w:p w14:paraId="3EE54E6F" w14:textId="77777777" w:rsidR="00F94244" w:rsidRPr="004C78D8" w:rsidRDefault="00F94244" w:rsidP="00FB7C1F">
            <w:pPr>
              <w:jc w:val="left"/>
              <w:rPr>
                <w:sz w:val="18"/>
                <w:szCs w:val="18"/>
              </w:rPr>
            </w:pPr>
            <w:r w:rsidRPr="004C78D8">
              <w:rPr>
                <w:sz w:val="18"/>
                <w:szCs w:val="18"/>
              </w:rPr>
              <w:t>CD adults aged 65+ living in mountainous areas</w:t>
            </w:r>
          </w:p>
        </w:tc>
        <w:tc>
          <w:tcPr>
            <w:tcW w:w="321" w:type="pct"/>
            <w:tcBorders>
              <w:top w:val="nil"/>
              <w:left w:val="nil"/>
              <w:bottom w:val="nil"/>
              <w:right w:val="nil"/>
            </w:tcBorders>
          </w:tcPr>
          <w:p w14:paraId="7DFEBF0E" w14:textId="77777777" w:rsidR="00F94244" w:rsidRPr="004C78D8" w:rsidRDefault="00F94244" w:rsidP="00FB7C1F">
            <w:pPr>
              <w:jc w:val="left"/>
              <w:rPr>
                <w:sz w:val="18"/>
                <w:szCs w:val="18"/>
              </w:rPr>
            </w:pPr>
            <w:r w:rsidRPr="004C78D8">
              <w:rPr>
                <w:sz w:val="18"/>
                <w:szCs w:val="18"/>
              </w:rPr>
              <w:t>ROI</w:t>
            </w:r>
          </w:p>
        </w:tc>
        <w:tc>
          <w:tcPr>
            <w:tcW w:w="497" w:type="pct"/>
            <w:tcBorders>
              <w:top w:val="nil"/>
              <w:left w:val="nil"/>
              <w:bottom w:val="nil"/>
              <w:right w:val="nil"/>
            </w:tcBorders>
          </w:tcPr>
          <w:p w14:paraId="30F467E9" w14:textId="77777777" w:rsidR="00F94244" w:rsidRPr="004C78D8" w:rsidRDefault="00F94244" w:rsidP="00FB7C1F">
            <w:pPr>
              <w:jc w:val="left"/>
              <w:rPr>
                <w:sz w:val="18"/>
                <w:szCs w:val="18"/>
              </w:rPr>
            </w:pPr>
            <w:r w:rsidRPr="004C78D8">
              <w:rPr>
                <w:sz w:val="18"/>
                <w:szCs w:val="18"/>
              </w:rPr>
              <w:t>Public sector</w:t>
            </w:r>
          </w:p>
        </w:tc>
        <w:tc>
          <w:tcPr>
            <w:tcW w:w="952" w:type="pct"/>
            <w:tcBorders>
              <w:top w:val="nil"/>
              <w:left w:val="nil"/>
              <w:bottom w:val="nil"/>
              <w:right w:val="nil"/>
            </w:tcBorders>
          </w:tcPr>
          <w:p w14:paraId="2B4317CF" w14:textId="77777777" w:rsidR="00F94244" w:rsidRPr="004C78D8" w:rsidRDefault="00F94244" w:rsidP="00FB7C1F">
            <w:pPr>
              <w:jc w:val="left"/>
              <w:rPr>
                <w:sz w:val="18"/>
                <w:szCs w:val="18"/>
              </w:rPr>
            </w:pPr>
            <w:r w:rsidRPr="004C78D8">
              <w:rPr>
                <w:sz w:val="18"/>
                <w:szCs w:val="18"/>
              </w:rPr>
              <w:t>MF int. [NR]</w:t>
            </w:r>
          </w:p>
        </w:tc>
        <w:tc>
          <w:tcPr>
            <w:tcW w:w="453" w:type="pct"/>
            <w:tcBorders>
              <w:top w:val="nil"/>
              <w:left w:val="nil"/>
              <w:bottom w:val="nil"/>
              <w:right w:val="nil"/>
            </w:tcBorders>
          </w:tcPr>
          <w:p w14:paraId="47F52296" w14:textId="77777777" w:rsidR="00F94244" w:rsidRPr="004C78D8" w:rsidRDefault="00F94244" w:rsidP="00FB7C1F">
            <w:pPr>
              <w:jc w:val="left"/>
              <w:rPr>
                <w:sz w:val="18"/>
                <w:szCs w:val="18"/>
              </w:rPr>
            </w:pPr>
            <w:r w:rsidRPr="004C78D8">
              <w:rPr>
                <w:sz w:val="18"/>
                <w:szCs w:val="18"/>
              </w:rPr>
              <w:t>Binary decision</w:t>
            </w:r>
          </w:p>
        </w:tc>
        <w:tc>
          <w:tcPr>
            <w:tcW w:w="355" w:type="pct"/>
            <w:tcBorders>
              <w:top w:val="nil"/>
              <w:left w:val="nil"/>
              <w:bottom w:val="nil"/>
              <w:right w:val="nil"/>
            </w:tcBorders>
          </w:tcPr>
          <w:p w14:paraId="223CABC9" w14:textId="77777777" w:rsidR="00F94244" w:rsidRPr="004C78D8" w:rsidRDefault="00F94244" w:rsidP="00FB7C1F">
            <w:pPr>
              <w:jc w:val="left"/>
              <w:rPr>
                <w:sz w:val="18"/>
                <w:szCs w:val="18"/>
              </w:rPr>
            </w:pPr>
            <w:r w:rsidRPr="004C78D8">
              <w:rPr>
                <w:sz w:val="18"/>
                <w:szCs w:val="18"/>
              </w:rPr>
              <w:t>3 years</w:t>
            </w:r>
          </w:p>
        </w:tc>
        <w:tc>
          <w:tcPr>
            <w:tcW w:w="377" w:type="pct"/>
            <w:tcBorders>
              <w:top w:val="nil"/>
              <w:left w:val="nil"/>
              <w:bottom w:val="nil"/>
            </w:tcBorders>
          </w:tcPr>
          <w:p w14:paraId="0C9708F4" w14:textId="77777777" w:rsidR="00F94244" w:rsidRPr="004C78D8" w:rsidRDefault="00F94244" w:rsidP="00FB7C1F">
            <w:pPr>
              <w:jc w:val="left"/>
              <w:rPr>
                <w:sz w:val="18"/>
                <w:szCs w:val="18"/>
              </w:rPr>
            </w:pPr>
            <w:r w:rsidRPr="004C78D8">
              <w:rPr>
                <w:sz w:val="18"/>
                <w:szCs w:val="18"/>
              </w:rPr>
              <w:t>18.5</w:t>
            </w:r>
          </w:p>
        </w:tc>
      </w:tr>
      <w:tr w:rsidR="00F94244" w:rsidRPr="004C78D8" w14:paraId="44BC1B4F" w14:textId="77777777" w:rsidTr="002828C1">
        <w:tc>
          <w:tcPr>
            <w:tcW w:w="149" w:type="pct"/>
            <w:tcBorders>
              <w:top w:val="nil"/>
              <w:bottom w:val="nil"/>
              <w:right w:val="nil"/>
            </w:tcBorders>
          </w:tcPr>
          <w:p w14:paraId="257B645E" w14:textId="77777777" w:rsidR="00F94244" w:rsidRPr="004C78D8" w:rsidRDefault="00F94244" w:rsidP="00FB7C1F">
            <w:pPr>
              <w:jc w:val="left"/>
              <w:rPr>
                <w:sz w:val="18"/>
                <w:szCs w:val="18"/>
              </w:rPr>
            </w:pPr>
            <w:r w:rsidRPr="004C78D8">
              <w:rPr>
                <w:sz w:val="18"/>
                <w:szCs w:val="18"/>
              </w:rPr>
              <w:t>24</w:t>
            </w:r>
          </w:p>
        </w:tc>
        <w:tc>
          <w:tcPr>
            <w:tcW w:w="455" w:type="pct"/>
            <w:tcBorders>
              <w:top w:val="nil"/>
              <w:left w:val="nil"/>
              <w:bottom w:val="nil"/>
              <w:right w:val="nil"/>
            </w:tcBorders>
          </w:tcPr>
          <w:p w14:paraId="09C63A8D" w14:textId="2EC4AEBB" w:rsidR="00F94244" w:rsidRPr="004C78D8" w:rsidRDefault="00F94244" w:rsidP="00FB7C1F">
            <w:pPr>
              <w:jc w:val="left"/>
              <w:rPr>
                <w:sz w:val="18"/>
                <w:szCs w:val="18"/>
              </w:rPr>
            </w:pPr>
            <w:r w:rsidRPr="004C78D8">
              <w:rPr>
                <w:sz w:val="18"/>
                <w:szCs w:val="18"/>
              </w:rPr>
              <w:t xml:space="preserve">Johansson (2008) </w:t>
            </w:r>
            <w:r w:rsidRPr="004C78D8">
              <w:rPr>
                <w:sz w:val="18"/>
                <w:szCs w:val="18"/>
              </w:rPr>
              <w:fldChar w:fldCharType="begin"/>
            </w:r>
            <w:r w:rsidR="00513646" w:rsidRPr="004C78D8">
              <w:rPr>
                <w:sz w:val="18"/>
                <w:szCs w:val="18"/>
              </w:rPr>
              <w:instrText xml:space="preserve"> ADDIN EN.CITE &lt;EndNote&gt;&lt;Cite&gt;&lt;Author&gt;Johansson&lt;/Author&gt;&lt;Year&gt;2008&lt;/Year&gt;&lt;RecNum&gt;288&lt;/RecNum&gt;&lt;DisplayText&gt;[128]&lt;/DisplayText&gt;&lt;record&gt;&lt;rec-number&gt;288&lt;/rec-number&gt;&lt;foreign-keys&gt;&lt;key app="EN" db-id="tdtrdw9aepptzbefsat599syza29sxsd2wsp" timestamp="1611700763"&gt;288&lt;/key&gt;&lt;/foreign-keys&gt;&lt;ref-type name="Journal Article"&gt;17&lt;/ref-type&gt;&lt;contributors&gt;&lt;authors&gt;&lt;author&gt;Johansson, Pia&lt;/author&gt;&lt;author&gt;Sadigh, Siv&lt;/author&gt;&lt;author&gt;Tillgren, Per&lt;/author&gt;&lt;author&gt;Rehnberg, Clas&lt;/author&gt;&lt;/authors&gt;&lt;/contributors&gt;&lt;titles&gt;&lt;title&gt;Non-pharmaceutical prevention of hip fractures - a cost-effectiveness analysis of a community-based elderly safety promotion program in Sweden&lt;/title&gt;&lt;secondary-title&gt;Cost effectiveness and resource allocation : C/E&lt;/secondary-title&gt;&lt;/titles&gt;&lt;periodical&gt;&lt;full-title&gt;Cost effectiveness and resource allocation : C/E&lt;/full-title&gt;&lt;/periodical&gt;&lt;pages&gt;11&lt;/pages&gt;&lt;volume&gt;6&lt;/volume&gt;&lt;section&gt;Johansson, Pia. Karolinska Institutet, Department of Public Health Sciences, Stockholm, Sweden. pia.m.johansson@sll.se&lt;/section&gt;&lt;dates&gt;&lt;year&gt;2008&lt;/year&gt;&lt;/dates&gt;&lt;pub-location&gt;England&lt;/pub-location&gt;&lt;isbn&gt;1478-7547&lt;/isbn&gt;&lt;urls&gt;&lt;related-urls&gt;&lt;url&gt;http://ovidsp.ovid.com/ovidweb.cgi?T=JS&amp;amp;PAGE=reference&amp;amp;D=prem&amp;amp;NEWS=N&amp;amp;AN=18513425&lt;/url&gt;&lt;/related-urls&gt;&lt;/urls&gt;&lt;electronic-resource-num&gt;https://dx.doi.org/10.1186/1478-7547-6-11&lt;/electronic-resource-num&gt;&lt;/record&gt;&lt;/Cite&gt;&lt;/EndNote&gt;</w:instrText>
            </w:r>
            <w:r w:rsidRPr="004C78D8">
              <w:rPr>
                <w:sz w:val="18"/>
                <w:szCs w:val="18"/>
              </w:rPr>
              <w:fldChar w:fldCharType="separate"/>
            </w:r>
            <w:r w:rsidR="00513646" w:rsidRPr="004C78D8">
              <w:rPr>
                <w:noProof/>
                <w:sz w:val="18"/>
                <w:szCs w:val="18"/>
              </w:rPr>
              <w:t>[128]</w:t>
            </w:r>
            <w:r w:rsidRPr="004C78D8">
              <w:rPr>
                <w:sz w:val="18"/>
                <w:szCs w:val="18"/>
              </w:rPr>
              <w:fldChar w:fldCharType="end"/>
            </w:r>
          </w:p>
        </w:tc>
        <w:tc>
          <w:tcPr>
            <w:tcW w:w="492" w:type="pct"/>
            <w:tcBorders>
              <w:top w:val="nil"/>
              <w:left w:val="nil"/>
              <w:bottom w:val="nil"/>
              <w:right w:val="nil"/>
            </w:tcBorders>
          </w:tcPr>
          <w:p w14:paraId="14C0E2E1" w14:textId="77777777" w:rsidR="00F94244" w:rsidRPr="004C78D8" w:rsidRDefault="00F94244" w:rsidP="00FB7C1F">
            <w:pPr>
              <w:jc w:val="left"/>
              <w:rPr>
                <w:sz w:val="18"/>
                <w:szCs w:val="18"/>
              </w:rPr>
            </w:pPr>
            <w:r w:rsidRPr="004C78D8">
              <w:rPr>
                <w:sz w:val="18"/>
                <w:szCs w:val="18"/>
              </w:rPr>
              <w:t>Sweden, Stockholm</w:t>
            </w:r>
          </w:p>
        </w:tc>
        <w:tc>
          <w:tcPr>
            <w:tcW w:w="950" w:type="pct"/>
            <w:tcBorders>
              <w:top w:val="nil"/>
              <w:left w:val="nil"/>
              <w:bottom w:val="nil"/>
              <w:right w:val="nil"/>
            </w:tcBorders>
          </w:tcPr>
          <w:p w14:paraId="46CC994B" w14:textId="77777777" w:rsidR="00F94244" w:rsidRPr="004C78D8" w:rsidRDefault="00F94244" w:rsidP="00FB7C1F">
            <w:pPr>
              <w:jc w:val="left"/>
              <w:rPr>
                <w:sz w:val="18"/>
                <w:szCs w:val="18"/>
              </w:rPr>
            </w:pPr>
            <w:r w:rsidRPr="004C78D8">
              <w:rPr>
                <w:sz w:val="18"/>
                <w:szCs w:val="18"/>
              </w:rPr>
              <w:t>CD adults aged 65+</w:t>
            </w:r>
          </w:p>
        </w:tc>
        <w:tc>
          <w:tcPr>
            <w:tcW w:w="321" w:type="pct"/>
            <w:tcBorders>
              <w:top w:val="nil"/>
              <w:left w:val="nil"/>
              <w:bottom w:val="nil"/>
              <w:right w:val="nil"/>
            </w:tcBorders>
          </w:tcPr>
          <w:p w14:paraId="3221BDFF" w14:textId="77777777" w:rsidR="00F94244" w:rsidRPr="004C78D8" w:rsidRDefault="00F94244" w:rsidP="00FB7C1F">
            <w:pPr>
              <w:jc w:val="left"/>
              <w:rPr>
                <w:sz w:val="18"/>
                <w:szCs w:val="18"/>
              </w:rPr>
            </w:pPr>
            <w:r w:rsidRPr="004C78D8">
              <w:rPr>
                <w:sz w:val="18"/>
                <w:szCs w:val="18"/>
              </w:rPr>
              <w:t>CUA</w:t>
            </w:r>
          </w:p>
        </w:tc>
        <w:tc>
          <w:tcPr>
            <w:tcW w:w="497" w:type="pct"/>
            <w:tcBorders>
              <w:top w:val="nil"/>
              <w:left w:val="nil"/>
              <w:bottom w:val="nil"/>
              <w:right w:val="nil"/>
            </w:tcBorders>
          </w:tcPr>
          <w:p w14:paraId="53829AC1" w14:textId="77777777" w:rsidR="00F94244" w:rsidRPr="004C78D8" w:rsidRDefault="00F94244" w:rsidP="00FB7C1F">
            <w:pPr>
              <w:jc w:val="left"/>
              <w:rPr>
                <w:sz w:val="18"/>
                <w:szCs w:val="18"/>
              </w:rPr>
            </w:pPr>
            <w:r w:rsidRPr="004C78D8">
              <w:rPr>
                <w:sz w:val="18"/>
                <w:szCs w:val="18"/>
              </w:rPr>
              <w:t>Societal</w:t>
            </w:r>
          </w:p>
        </w:tc>
        <w:tc>
          <w:tcPr>
            <w:tcW w:w="952" w:type="pct"/>
            <w:tcBorders>
              <w:top w:val="nil"/>
              <w:left w:val="nil"/>
              <w:bottom w:val="nil"/>
              <w:right w:val="nil"/>
            </w:tcBorders>
          </w:tcPr>
          <w:p w14:paraId="5477C404" w14:textId="08463E42" w:rsidR="00F94244" w:rsidRPr="004C78D8" w:rsidRDefault="00F94244" w:rsidP="00FB7C1F">
            <w:pPr>
              <w:jc w:val="left"/>
              <w:rPr>
                <w:sz w:val="18"/>
                <w:szCs w:val="18"/>
              </w:rPr>
            </w:pPr>
            <w:r w:rsidRPr="004C78D8">
              <w:rPr>
                <w:sz w:val="18"/>
                <w:szCs w:val="18"/>
              </w:rPr>
              <w:t>MC (intersectoral) int.</w:t>
            </w:r>
            <w:r w:rsidR="001B3C29" w:rsidRPr="004C78D8">
              <w:rPr>
                <w:sz w:val="18"/>
                <w:szCs w:val="18"/>
                <w:vertAlign w:val="superscript"/>
              </w:rPr>
              <w:t>8</w:t>
            </w:r>
            <w:r w:rsidRPr="004C78D8">
              <w:rPr>
                <w:sz w:val="18"/>
                <w:szCs w:val="18"/>
              </w:rPr>
              <w:t xml:space="preserve"> [UC]</w:t>
            </w:r>
          </w:p>
        </w:tc>
        <w:tc>
          <w:tcPr>
            <w:tcW w:w="453" w:type="pct"/>
            <w:tcBorders>
              <w:top w:val="nil"/>
              <w:left w:val="nil"/>
              <w:bottom w:val="nil"/>
              <w:right w:val="nil"/>
            </w:tcBorders>
          </w:tcPr>
          <w:p w14:paraId="11A7A87F" w14:textId="77777777" w:rsidR="00F94244" w:rsidRPr="004C78D8" w:rsidRDefault="00F94244" w:rsidP="00FB7C1F">
            <w:pPr>
              <w:jc w:val="left"/>
              <w:rPr>
                <w:sz w:val="18"/>
                <w:szCs w:val="18"/>
              </w:rPr>
            </w:pPr>
            <w:r w:rsidRPr="004C78D8">
              <w:rPr>
                <w:sz w:val="18"/>
                <w:szCs w:val="18"/>
              </w:rPr>
              <w:t>Markov cohort</w:t>
            </w:r>
          </w:p>
        </w:tc>
        <w:tc>
          <w:tcPr>
            <w:tcW w:w="355" w:type="pct"/>
            <w:tcBorders>
              <w:top w:val="nil"/>
              <w:left w:val="nil"/>
              <w:bottom w:val="nil"/>
              <w:right w:val="nil"/>
            </w:tcBorders>
          </w:tcPr>
          <w:p w14:paraId="67F7B7D9" w14:textId="77777777" w:rsidR="00F94244" w:rsidRPr="004C78D8" w:rsidRDefault="00F94244" w:rsidP="00FB7C1F">
            <w:pPr>
              <w:jc w:val="left"/>
              <w:rPr>
                <w:sz w:val="18"/>
                <w:szCs w:val="18"/>
              </w:rPr>
            </w:pPr>
            <w:r w:rsidRPr="004C78D8">
              <w:rPr>
                <w:sz w:val="18"/>
                <w:szCs w:val="18"/>
              </w:rPr>
              <w:t>Lifetime</w:t>
            </w:r>
          </w:p>
        </w:tc>
        <w:tc>
          <w:tcPr>
            <w:tcW w:w="377" w:type="pct"/>
            <w:tcBorders>
              <w:top w:val="nil"/>
              <w:left w:val="nil"/>
              <w:bottom w:val="nil"/>
            </w:tcBorders>
          </w:tcPr>
          <w:p w14:paraId="2554E403" w14:textId="77777777" w:rsidR="00F94244" w:rsidRPr="004C78D8" w:rsidRDefault="00F94244" w:rsidP="00FB7C1F">
            <w:pPr>
              <w:jc w:val="left"/>
              <w:rPr>
                <w:sz w:val="18"/>
                <w:szCs w:val="18"/>
              </w:rPr>
            </w:pPr>
            <w:r w:rsidRPr="004C78D8">
              <w:rPr>
                <w:sz w:val="18"/>
                <w:szCs w:val="18"/>
              </w:rPr>
              <w:t>26.5</w:t>
            </w:r>
          </w:p>
        </w:tc>
      </w:tr>
      <w:tr w:rsidR="00F94244" w:rsidRPr="004C78D8" w14:paraId="51D06910" w14:textId="77777777" w:rsidTr="002828C1">
        <w:tc>
          <w:tcPr>
            <w:tcW w:w="149" w:type="pct"/>
            <w:tcBorders>
              <w:top w:val="nil"/>
              <w:bottom w:val="nil"/>
              <w:right w:val="nil"/>
            </w:tcBorders>
          </w:tcPr>
          <w:p w14:paraId="7F7085D4" w14:textId="77777777" w:rsidR="00F94244" w:rsidRPr="004C78D8" w:rsidRDefault="00F94244" w:rsidP="00FB7C1F">
            <w:pPr>
              <w:jc w:val="left"/>
              <w:rPr>
                <w:sz w:val="18"/>
                <w:szCs w:val="18"/>
              </w:rPr>
            </w:pPr>
            <w:r w:rsidRPr="004C78D8">
              <w:rPr>
                <w:sz w:val="18"/>
                <w:szCs w:val="18"/>
              </w:rPr>
              <w:t>25</w:t>
            </w:r>
          </w:p>
        </w:tc>
        <w:tc>
          <w:tcPr>
            <w:tcW w:w="455" w:type="pct"/>
            <w:tcBorders>
              <w:top w:val="nil"/>
              <w:left w:val="nil"/>
              <w:bottom w:val="nil"/>
              <w:right w:val="nil"/>
            </w:tcBorders>
          </w:tcPr>
          <w:p w14:paraId="1ACB17F2" w14:textId="0770A1E3" w:rsidR="00F94244" w:rsidRPr="004C78D8" w:rsidRDefault="00F94244" w:rsidP="00FB7C1F">
            <w:pPr>
              <w:jc w:val="left"/>
              <w:rPr>
                <w:sz w:val="18"/>
                <w:szCs w:val="18"/>
              </w:rPr>
            </w:pPr>
            <w:r w:rsidRPr="004C78D8">
              <w:rPr>
                <w:sz w:val="18"/>
                <w:szCs w:val="18"/>
              </w:rPr>
              <w:t xml:space="preserve">Lee (2013) </w:t>
            </w:r>
            <w:r w:rsidRPr="004C78D8">
              <w:rPr>
                <w:sz w:val="18"/>
                <w:szCs w:val="18"/>
              </w:rPr>
              <w:fldChar w:fldCharType="begin">
                <w:fldData xml:space="preserve">PEVuZE5vdGU+PENpdGU+PEF1dGhvcj5MZWU8L0F1dGhvcj48WWVhcj4yMDEzPC9ZZWFyPjxSZWNO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</w:fldData>
              </w:fldChar>
            </w:r>
            <w:r w:rsidR="00C630FC" w:rsidRPr="004C78D8">
              <w:rPr>
                <w:sz w:val="18"/>
                <w:szCs w:val="18"/>
              </w:rPr>
              <w:instrText xml:space="preserve"> ADDIN EN.CITE </w:instrText>
            </w:r>
            <w:r w:rsidR="00C630FC" w:rsidRPr="004C78D8">
              <w:rPr>
                <w:sz w:val="18"/>
                <w:szCs w:val="18"/>
              </w:rPr>
              <w:fldChar w:fldCharType="begin">
                <w:fldData xml:space="preserve">PEVuZE5vdGU+PENpdGU+PEF1dGhvcj5MZWU8L0F1dGhvcj48WWVhcj4yMDEzPC9ZZWFyPjxSZWNO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</w:fldData>
              </w:fldChar>
            </w:r>
            <w:r w:rsidR="00C630FC" w:rsidRPr="004C78D8">
              <w:rPr>
                <w:sz w:val="18"/>
                <w:szCs w:val="18"/>
              </w:rPr>
              <w:instrText xml:space="preserve"> ADDIN EN.CITE.DATA </w:instrText>
            </w:r>
            <w:r w:rsidR="00C630FC" w:rsidRPr="004C78D8">
              <w:rPr>
                <w:sz w:val="18"/>
                <w:szCs w:val="18"/>
              </w:rPr>
            </w:r>
            <w:r w:rsidR="00C630FC" w:rsidRPr="004C78D8">
              <w:rPr>
                <w:sz w:val="18"/>
                <w:szCs w:val="18"/>
              </w:rPr>
              <w:fldChar w:fldCharType="end"/>
            </w:r>
            <w:r w:rsidRPr="004C78D8">
              <w:rPr>
                <w:sz w:val="18"/>
                <w:szCs w:val="18"/>
              </w:rPr>
            </w:r>
            <w:r w:rsidRPr="004C78D8">
              <w:rPr>
                <w:sz w:val="18"/>
                <w:szCs w:val="18"/>
              </w:rPr>
              <w:fldChar w:fldCharType="separate"/>
            </w:r>
            <w:r w:rsidR="00C630FC" w:rsidRPr="004C78D8">
              <w:rPr>
                <w:noProof/>
                <w:sz w:val="18"/>
                <w:szCs w:val="18"/>
              </w:rPr>
              <w:t>[365]</w:t>
            </w:r>
            <w:r w:rsidRPr="004C78D8">
              <w:rPr>
                <w:sz w:val="18"/>
                <w:szCs w:val="18"/>
              </w:rPr>
              <w:fldChar w:fldCharType="end"/>
            </w:r>
          </w:p>
        </w:tc>
        <w:tc>
          <w:tcPr>
            <w:tcW w:w="492" w:type="pct"/>
            <w:tcBorders>
              <w:top w:val="nil"/>
              <w:left w:val="nil"/>
              <w:bottom w:val="nil"/>
              <w:right w:val="nil"/>
            </w:tcBorders>
          </w:tcPr>
          <w:p w14:paraId="7C625130" w14:textId="77777777" w:rsidR="00F94244" w:rsidRPr="004C78D8" w:rsidRDefault="00F94244" w:rsidP="00FB7C1F">
            <w:pPr>
              <w:jc w:val="left"/>
              <w:rPr>
                <w:sz w:val="18"/>
                <w:szCs w:val="18"/>
              </w:rPr>
            </w:pPr>
            <w:r w:rsidRPr="004C78D8">
              <w:rPr>
                <w:sz w:val="18"/>
                <w:szCs w:val="18"/>
              </w:rPr>
              <w:t>US, Medicare/aid</w:t>
            </w:r>
          </w:p>
        </w:tc>
        <w:tc>
          <w:tcPr>
            <w:tcW w:w="950" w:type="pct"/>
            <w:tcBorders>
              <w:top w:val="nil"/>
              <w:left w:val="nil"/>
              <w:bottom w:val="nil"/>
              <w:right w:val="nil"/>
            </w:tcBorders>
          </w:tcPr>
          <w:p w14:paraId="62D19A11" w14:textId="77777777" w:rsidR="00F94244" w:rsidRPr="004C78D8" w:rsidRDefault="00F94244" w:rsidP="00FB7C1F">
            <w:pPr>
              <w:jc w:val="left"/>
              <w:rPr>
                <w:sz w:val="18"/>
                <w:szCs w:val="18"/>
              </w:rPr>
            </w:pPr>
            <w:r w:rsidRPr="004C78D8">
              <w:rPr>
                <w:sz w:val="18"/>
                <w:szCs w:val="18"/>
              </w:rPr>
              <w:t>CD adults aged 65-80 without falls history</w:t>
            </w:r>
          </w:p>
        </w:tc>
        <w:tc>
          <w:tcPr>
            <w:tcW w:w="321" w:type="pct"/>
            <w:tcBorders>
              <w:top w:val="nil"/>
              <w:left w:val="nil"/>
              <w:bottom w:val="nil"/>
              <w:right w:val="nil"/>
            </w:tcBorders>
          </w:tcPr>
          <w:p w14:paraId="1E10734B" w14:textId="77777777" w:rsidR="00F94244" w:rsidRPr="004C78D8" w:rsidRDefault="00F94244" w:rsidP="00FB7C1F">
            <w:pPr>
              <w:jc w:val="left"/>
              <w:rPr>
                <w:sz w:val="18"/>
                <w:szCs w:val="18"/>
              </w:rPr>
            </w:pPr>
            <w:r w:rsidRPr="004C78D8">
              <w:rPr>
                <w:sz w:val="18"/>
                <w:szCs w:val="18"/>
              </w:rPr>
              <w:t>CBA</w:t>
            </w:r>
          </w:p>
        </w:tc>
        <w:tc>
          <w:tcPr>
            <w:tcW w:w="497" w:type="pct"/>
            <w:tcBorders>
              <w:top w:val="nil"/>
              <w:left w:val="nil"/>
              <w:bottom w:val="nil"/>
              <w:right w:val="nil"/>
            </w:tcBorders>
          </w:tcPr>
          <w:p w14:paraId="7823B40C" w14:textId="77777777" w:rsidR="00F94244" w:rsidRPr="004C78D8" w:rsidRDefault="00F94244" w:rsidP="00FB7C1F">
            <w:pPr>
              <w:jc w:val="left"/>
              <w:rPr>
                <w:sz w:val="18"/>
                <w:szCs w:val="18"/>
              </w:rPr>
            </w:pPr>
            <w:r w:rsidRPr="004C78D8">
              <w:rPr>
                <w:sz w:val="18"/>
                <w:szCs w:val="18"/>
              </w:rPr>
              <w:t>Public sector</w:t>
            </w:r>
          </w:p>
        </w:tc>
        <w:tc>
          <w:tcPr>
            <w:tcW w:w="952" w:type="pct"/>
            <w:tcBorders>
              <w:top w:val="nil"/>
              <w:left w:val="nil"/>
              <w:bottom w:val="nil"/>
              <w:right w:val="nil"/>
            </w:tcBorders>
          </w:tcPr>
          <w:p w14:paraId="0CBF2C38" w14:textId="77777777" w:rsidR="00F94244" w:rsidRPr="004C78D8" w:rsidRDefault="00F94244" w:rsidP="00FB7C1F">
            <w:pPr>
              <w:jc w:val="left"/>
              <w:rPr>
                <w:sz w:val="18"/>
                <w:szCs w:val="18"/>
              </w:rPr>
            </w:pPr>
            <w:r w:rsidRPr="004C78D8">
              <w:rPr>
                <w:sz w:val="18"/>
                <w:szCs w:val="18"/>
              </w:rPr>
              <w:t>Vit. D (targeted, universal) [NR]</w:t>
            </w:r>
          </w:p>
        </w:tc>
        <w:tc>
          <w:tcPr>
            <w:tcW w:w="453" w:type="pct"/>
            <w:tcBorders>
              <w:top w:val="nil"/>
              <w:left w:val="nil"/>
              <w:bottom w:val="nil"/>
              <w:right w:val="nil"/>
            </w:tcBorders>
          </w:tcPr>
          <w:p w14:paraId="1D101D90" w14:textId="77777777" w:rsidR="00F94244" w:rsidRPr="004C78D8" w:rsidRDefault="00F94244" w:rsidP="00FB7C1F">
            <w:pPr>
              <w:jc w:val="left"/>
              <w:rPr>
                <w:sz w:val="18"/>
                <w:szCs w:val="18"/>
              </w:rPr>
            </w:pPr>
            <w:r w:rsidRPr="004C78D8">
              <w:rPr>
                <w:sz w:val="18"/>
                <w:szCs w:val="18"/>
              </w:rPr>
              <w:t>DT + Markov cohort</w:t>
            </w:r>
          </w:p>
        </w:tc>
        <w:tc>
          <w:tcPr>
            <w:tcW w:w="355" w:type="pct"/>
            <w:tcBorders>
              <w:top w:val="nil"/>
              <w:left w:val="nil"/>
              <w:bottom w:val="nil"/>
              <w:right w:val="nil"/>
            </w:tcBorders>
          </w:tcPr>
          <w:p w14:paraId="0E4AE027" w14:textId="77777777" w:rsidR="00F94244" w:rsidRPr="004C78D8" w:rsidRDefault="00F94244" w:rsidP="00FB7C1F">
            <w:pPr>
              <w:jc w:val="left"/>
              <w:rPr>
                <w:sz w:val="18"/>
                <w:szCs w:val="18"/>
              </w:rPr>
            </w:pPr>
            <w:r w:rsidRPr="004C78D8">
              <w:rPr>
                <w:sz w:val="18"/>
                <w:szCs w:val="18"/>
              </w:rPr>
              <w:t>3 years</w:t>
            </w:r>
          </w:p>
        </w:tc>
        <w:tc>
          <w:tcPr>
            <w:tcW w:w="377" w:type="pct"/>
            <w:tcBorders>
              <w:top w:val="nil"/>
              <w:left w:val="nil"/>
              <w:bottom w:val="nil"/>
            </w:tcBorders>
          </w:tcPr>
          <w:p w14:paraId="6985EC8A" w14:textId="77777777" w:rsidR="00F94244" w:rsidRPr="004C78D8" w:rsidRDefault="00F94244" w:rsidP="00FB7C1F">
            <w:pPr>
              <w:jc w:val="left"/>
              <w:rPr>
                <w:sz w:val="18"/>
                <w:szCs w:val="18"/>
              </w:rPr>
            </w:pPr>
            <w:r w:rsidRPr="004C78D8">
              <w:rPr>
                <w:sz w:val="18"/>
                <w:szCs w:val="18"/>
              </w:rPr>
              <w:t>20.5</w:t>
            </w:r>
          </w:p>
        </w:tc>
      </w:tr>
      <w:tr w:rsidR="00F94244" w:rsidRPr="004C78D8" w14:paraId="4CF16D55" w14:textId="77777777" w:rsidTr="002828C1">
        <w:tc>
          <w:tcPr>
            <w:tcW w:w="149" w:type="pct"/>
            <w:tcBorders>
              <w:top w:val="nil"/>
              <w:bottom w:val="nil"/>
              <w:right w:val="nil"/>
            </w:tcBorders>
          </w:tcPr>
          <w:p w14:paraId="435B591D" w14:textId="77777777" w:rsidR="00F94244" w:rsidRPr="004C78D8" w:rsidRDefault="00F94244" w:rsidP="00FB7C1F">
            <w:pPr>
              <w:jc w:val="left"/>
              <w:rPr>
                <w:sz w:val="18"/>
                <w:szCs w:val="18"/>
              </w:rPr>
            </w:pPr>
            <w:r w:rsidRPr="004C78D8">
              <w:rPr>
                <w:sz w:val="18"/>
                <w:szCs w:val="18"/>
              </w:rPr>
              <w:t>26</w:t>
            </w:r>
          </w:p>
        </w:tc>
        <w:tc>
          <w:tcPr>
            <w:tcW w:w="455" w:type="pct"/>
            <w:tcBorders>
              <w:top w:val="nil"/>
              <w:left w:val="nil"/>
              <w:bottom w:val="nil"/>
              <w:right w:val="nil"/>
            </w:tcBorders>
          </w:tcPr>
          <w:p w14:paraId="22768042" w14:textId="2EA5EC4E" w:rsidR="00F94244" w:rsidRPr="004C78D8" w:rsidRDefault="00F94244" w:rsidP="00FB7C1F">
            <w:pPr>
              <w:jc w:val="left"/>
              <w:rPr>
                <w:sz w:val="18"/>
                <w:szCs w:val="18"/>
              </w:rPr>
            </w:pPr>
            <w:r w:rsidRPr="004C78D8">
              <w:rPr>
                <w:sz w:val="18"/>
                <w:szCs w:val="18"/>
              </w:rPr>
              <w:t xml:space="preserve">Ling (2008) </w:t>
            </w:r>
            <w:r w:rsidRPr="004C78D8">
              <w:rPr>
                <w:sz w:val="18"/>
                <w:szCs w:val="18"/>
              </w:rPr>
              <w:fldChar w:fldCharType="begin"/>
            </w:r>
            <w:r w:rsidR="00C630FC" w:rsidRPr="004C78D8">
              <w:rPr>
                <w:sz w:val="18"/>
                <w:szCs w:val="18"/>
              </w:rPr>
              <w:instrText xml:space="preserve"> ADDIN EN.CITE &lt;EndNote&gt;&lt;Cite&gt;&lt;Author&gt;Ling&lt;/Author&gt;&lt;Year&gt;2008&lt;/Year&gt;&lt;RecNum&gt;351&lt;/RecNum&gt;&lt;DisplayText&gt;[338]&lt;/DisplayText&gt;&lt;record&gt;&lt;rec-number&gt;351&lt;/rec-number&gt;&lt;foreign-keys&gt;&lt;key app="EN" db-id="tdtrdw9aepptzbefsat599syza29sxsd2wsp" timestamp="1612211980"&gt;351&lt;/key&gt;&lt;/foreign-keys&gt;&lt;ref-type name="Journal Article"&gt;17&lt;/ref-type&gt;&lt;contributors&gt;&lt;authors&gt;&lt;author&gt;Ling, Christian&lt;/author&gt;&lt;author&gt;Henderson, Stephen&lt;/author&gt;&lt;author&gt;Henderson, Ray&lt;/author&gt;&lt;author&gt;Henderson, Malia&lt;/author&gt;&lt;author&gt;Pedro, Tina&lt;/author&gt;&lt;author&gt;Pang, Lorrin&lt;/author&gt;&lt;/authors&gt;&lt;/contributors&gt;&lt;titles&gt;&lt;title&gt;Cost benefit considerations of preventing elderly falls through environmental modifications to homes in Hana, Maui&lt;/title&gt;&lt;secondary-title&gt;Hawaii medical journal&lt;/secondary-title&gt;&lt;/titles&gt;&lt;periodical&gt;&lt;full-title&gt;Hawaii medical journal&lt;/full-title&gt;&lt;/periodical&gt;&lt;pages&gt;65&lt;/pages&gt;&lt;volume&gt;67&lt;/volume&gt;&lt;number&gt;3&lt;/number&gt;&lt;dates&gt;&lt;year&gt;2008&lt;/year&gt;&lt;/dates&gt;&lt;isbn&gt;0017-8594&lt;/isbn&gt;&lt;urls&gt;&lt;/urls&gt;&lt;/record&gt;&lt;/Cite&gt;&lt;/EndNote&gt;</w:instrText>
            </w:r>
            <w:r w:rsidRPr="004C78D8">
              <w:rPr>
                <w:sz w:val="18"/>
                <w:szCs w:val="18"/>
              </w:rPr>
              <w:fldChar w:fldCharType="separate"/>
            </w:r>
            <w:r w:rsidR="00C630FC" w:rsidRPr="004C78D8">
              <w:rPr>
                <w:noProof/>
                <w:sz w:val="18"/>
                <w:szCs w:val="18"/>
              </w:rPr>
              <w:t>[338]</w:t>
            </w:r>
            <w:r w:rsidRPr="004C78D8">
              <w:rPr>
                <w:sz w:val="18"/>
                <w:szCs w:val="18"/>
              </w:rPr>
              <w:fldChar w:fldCharType="end"/>
            </w:r>
          </w:p>
        </w:tc>
        <w:tc>
          <w:tcPr>
            <w:tcW w:w="492" w:type="pct"/>
            <w:tcBorders>
              <w:top w:val="nil"/>
              <w:left w:val="nil"/>
              <w:bottom w:val="nil"/>
              <w:right w:val="nil"/>
            </w:tcBorders>
          </w:tcPr>
          <w:p w14:paraId="37232BD5" w14:textId="77777777" w:rsidR="00F94244" w:rsidRPr="004C78D8" w:rsidRDefault="00F94244" w:rsidP="00FB7C1F">
            <w:pPr>
              <w:jc w:val="left"/>
              <w:rPr>
                <w:sz w:val="18"/>
                <w:szCs w:val="18"/>
              </w:rPr>
            </w:pPr>
            <w:r w:rsidRPr="004C78D8">
              <w:rPr>
                <w:sz w:val="18"/>
                <w:szCs w:val="18"/>
              </w:rPr>
              <w:t>US, Hawaii</w:t>
            </w:r>
          </w:p>
        </w:tc>
        <w:tc>
          <w:tcPr>
            <w:tcW w:w="950" w:type="pct"/>
            <w:tcBorders>
              <w:top w:val="nil"/>
              <w:left w:val="nil"/>
              <w:bottom w:val="nil"/>
              <w:right w:val="nil"/>
            </w:tcBorders>
          </w:tcPr>
          <w:p w14:paraId="5B556BA2" w14:textId="77777777" w:rsidR="00F94244" w:rsidRPr="004C78D8" w:rsidRDefault="00F94244" w:rsidP="00FB7C1F">
            <w:pPr>
              <w:jc w:val="left"/>
              <w:rPr>
                <w:sz w:val="18"/>
                <w:szCs w:val="18"/>
              </w:rPr>
            </w:pPr>
            <w:r w:rsidRPr="004C78D8">
              <w:rPr>
                <w:sz w:val="18"/>
                <w:szCs w:val="18"/>
              </w:rPr>
              <w:t>CD adults aged 65+ with falls history or other risk factors</w:t>
            </w:r>
          </w:p>
        </w:tc>
        <w:tc>
          <w:tcPr>
            <w:tcW w:w="321" w:type="pct"/>
            <w:tcBorders>
              <w:top w:val="nil"/>
              <w:left w:val="nil"/>
              <w:bottom w:val="nil"/>
              <w:right w:val="nil"/>
            </w:tcBorders>
          </w:tcPr>
          <w:p w14:paraId="770F1D36" w14:textId="77777777" w:rsidR="00F94244" w:rsidRPr="004C78D8" w:rsidRDefault="00F94244" w:rsidP="00FB7C1F">
            <w:pPr>
              <w:jc w:val="left"/>
              <w:rPr>
                <w:sz w:val="18"/>
                <w:szCs w:val="18"/>
              </w:rPr>
            </w:pPr>
            <w:r w:rsidRPr="004C78D8">
              <w:rPr>
                <w:sz w:val="18"/>
                <w:szCs w:val="18"/>
              </w:rPr>
              <w:t>ROI</w:t>
            </w:r>
          </w:p>
        </w:tc>
        <w:tc>
          <w:tcPr>
            <w:tcW w:w="497" w:type="pct"/>
            <w:tcBorders>
              <w:top w:val="nil"/>
              <w:left w:val="nil"/>
              <w:bottom w:val="nil"/>
              <w:right w:val="nil"/>
            </w:tcBorders>
          </w:tcPr>
          <w:p w14:paraId="19E08805" w14:textId="69424177" w:rsidR="00F94244" w:rsidRPr="004C78D8" w:rsidRDefault="00F94244" w:rsidP="00FB7C1F">
            <w:pPr>
              <w:jc w:val="left"/>
              <w:rPr>
                <w:sz w:val="18"/>
                <w:szCs w:val="18"/>
              </w:rPr>
            </w:pPr>
            <w:r w:rsidRPr="004C78D8">
              <w:rPr>
                <w:sz w:val="18"/>
                <w:szCs w:val="18"/>
              </w:rPr>
              <w:t>US healthcare payer</w:t>
            </w:r>
            <w:r w:rsidR="001B3C29" w:rsidRPr="004C78D8">
              <w:rPr>
                <w:sz w:val="18"/>
                <w:szCs w:val="18"/>
                <w:vertAlign w:val="superscript"/>
              </w:rPr>
              <w:t>5</w:t>
            </w:r>
          </w:p>
        </w:tc>
        <w:tc>
          <w:tcPr>
            <w:tcW w:w="952" w:type="pct"/>
            <w:tcBorders>
              <w:top w:val="nil"/>
              <w:left w:val="nil"/>
              <w:bottom w:val="nil"/>
              <w:right w:val="nil"/>
            </w:tcBorders>
          </w:tcPr>
          <w:p w14:paraId="55CEF4C4" w14:textId="77777777" w:rsidR="00F94244" w:rsidRPr="004C78D8" w:rsidRDefault="00F94244" w:rsidP="00FB7C1F">
            <w:pPr>
              <w:jc w:val="left"/>
              <w:rPr>
                <w:sz w:val="18"/>
                <w:szCs w:val="18"/>
              </w:rPr>
            </w:pPr>
            <w:r w:rsidRPr="004C78D8">
              <w:rPr>
                <w:sz w:val="18"/>
                <w:szCs w:val="18"/>
              </w:rPr>
              <w:t>HAM [NR]</w:t>
            </w:r>
          </w:p>
        </w:tc>
        <w:tc>
          <w:tcPr>
            <w:tcW w:w="453" w:type="pct"/>
            <w:tcBorders>
              <w:top w:val="nil"/>
              <w:left w:val="nil"/>
              <w:bottom w:val="nil"/>
              <w:right w:val="nil"/>
            </w:tcBorders>
          </w:tcPr>
          <w:p w14:paraId="7F90F1F2" w14:textId="77777777" w:rsidR="00F94244" w:rsidRPr="004C78D8" w:rsidRDefault="00F94244" w:rsidP="00FB7C1F">
            <w:pPr>
              <w:jc w:val="left"/>
              <w:rPr>
                <w:sz w:val="18"/>
                <w:szCs w:val="18"/>
              </w:rPr>
            </w:pPr>
            <w:r w:rsidRPr="004C78D8">
              <w:rPr>
                <w:sz w:val="18"/>
                <w:szCs w:val="18"/>
              </w:rPr>
              <w:t>Binary decision</w:t>
            </w:r>
          </w:p>
        </w:tc>
        <w:tc>
          <w:tcPr>
            <w:tcW w:w="355" w:type="pct"/>
            <w:tcBorders>
              <w:top w:val="nil"/>
              <w:left w:val="nil"/>
              <w:bottom w:val="nil"/>
              <w:right w:val="nil"/>
            </w:tcBorders>
          </w:tcPr>
          <w:p w14:paraId="769EBC95" w14:textId="77777777" w:rsidR="00F94244" w:rsidRPr="004C78D8" w:rsidRDefault="00F94244" w:rsidP="00FB7C1F">
            <w:pPr>
              <w:jc w:val="left"/>
              <w:rPr>
                <w:sz w:val="18"/>
                <w:szCs w:val="18"/>
              </w:rPr>
            </w:pPr>
            <w:r w:rsidRPr="004C78D8">
              <w:rPr>
                <w:sz w:val="18"/>
                <w:szCs w:val="18"/>
              </w:rPr>
              <w:t>1 year</w:t>
            </w:r>
          </w:p>
        </w:tc>
        <w:tc>
          <w:tcPr>
            <w:tcW w:w="377" w:type="pct"/>
            <w:tcBorders>
              <w:top w:val="nil"/>
              <w:left w:val="nil"/>
              <w:bottom w:val="nil"/>
            </w:tcBorders>
          </w:tcPr>
          <w:p w14:paraId="42B5A115" w14:textId="77777777" w:rsidR="00F94244" w:rsidRPr="004C78D8" w:rsidRDefault="00F94244" w:rsidP="00FB7C1F">
            <w:pPr>
              <w:jc w:val="left"/>
              <w:rPr>
                <w:sz w:val="18"/>
                <w:szCs w:val="18"/>
              </w:rPr>
            </w:pPr>
            <w:r w:rsidRPr="004C78D8">
              <w:rPr>
                <w:sz w:val="18"/>
                <w:szCs w:val="18"/>
              </w:rPr>
              <w:t>13.5</w:t>
            </w:r>
          </w:p>
        </w:tc>
      </w:tr>
      <w:tr w:rsidR="00F94244" w:rsidRPr="004C78D8" w14:paraId="07728E9C" w14:textId="77777777" w:rsidTr="002828C1">
        <w:tc>
          <w:tcPr>
            <w:tcW w:w="149" w:type="pct"/>
            <w:tcBorders>
              <w:top w:val="nil"/>
              <w:bottom w:val="nil"/>
              <w:right w:val="nil"/>
            </w:tcBorders>
          </w:tcPr>
          <w:p w14:paraId="64FC3363" w14:textId="77777777" w:rsidR="00F94244" w:rsidRPr="004C78D8" w:rsidRDefault="00F94244" w:rsidP="00FB7C1F">
            <w:pPr>
              <w:jc w:val="left"/>
              <w:rPr>
                <w:sz w:val="18"/>
                <w:szCs w:val="18"/>
              </w:rPr>
            </w:pPr>
            <w:r w:rsidRPr="004C78D8">
              <w:rPr>
                <w:sz w:val="18"/>
                <w:szCs w:val="18"/>
              </w:rPr>
              <w:t>27</w:t>
            </w:r>
          </w:p>
        </w:tc>
        <w:tc>
          <w:tcPr>
            <w:tcW w:w="455" w:type="pct"/>
            <w:tcBorders>
              <w:top w:val="nil"/>
              <w:left w:val="nil"/>
              <w:bottom w:val="nil"/>
              <w:right w:val="nil"/>
            </w:tcBorders>
          </w:tcPr>
          <w:p w14:paraId="3A4C512E" w14:textId="322764BB" w:rsidR="00F94244" w:rsidRPr="004C78D8" w:rsidRDefault="00F94244" w:rsidP="00FB7C1F">
            <w:pPr>
              <w:jc w:val="left"/>
              <w:rPr>
                <w:sz w:val="18"/>
                <w:szCs w:val="18"/>
              </w:rPr>
            </w:pPr>
            <w:r w:rsidRPr="004C78D8">
              <w:rPr>
                <w:sz w:val="18"/>
                <w:szCs w:val="18"/>
              </w:rPr>
              <w:t xml:space="preserve">McLean (2015) </w:t>
            </w:r>
            <w:r w:rsidRPr="004C78D8">
              <w:rPr>
                <w:sz w:val="18"/>
                <w:szCs w:val="18"/>
              </w:rPr>
              <w:fldChar w:fldCharType="begin">
                <w:fldData xml:space="preserve">PEVuZE5vdGU+PENpdGU+PEF1dGhvcj5NY0xlYW48L0F1dGhvcj48WWVhcj4yMDE1PC9ZZWFyPjxS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</w:fldData>
              </w:fldChar>
            </w:r>
            <w:r w:rsidR="00C630FC" w:rsidRPr="004C78D8">
              <w:rPr>
                <w:sz w:val="18"/>
                <w:szCs w:val="18"/>
              </w:rPr>
              <w:instrText xml:space="preserve"> ADDIN EN.CITE </w:instrText>
            </w:r>
            <w:r w:rsidR="00C630FC" w:rsidRPr="004C78D8">
              <w:rPr>
                <w:sz w:val="18"/>
                <w:szCs w:val="18"/>
              </w:rPr>
              <w:fldChar w:fldCharType="begin">
                <w:fldData xml:space="preserve">PEVuZE5vdGU+PENpdGU+PEF1dGhvcj5NY0xlYW48L0F1dGhvcj48WWVhcj4yMDE1PC9ZZWFyPjxS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</w:fldData>
              </w:fldChar>
            </w:r>
            <w:r w:rsidR="00C630FC" w:rsidRPr="004C78D8">
              <w:rPr>
                <w:sz w:val="18"/>
                <w:szCs w:val="18"/>
              </w:rPr>
              <w:instrText xml:space="preserve"> ADDIN EN.CITE.DATA </w:instrText>
            </w:r>
            <w:r w:rsidR="00C630FC" w:rsidRPr="004C78D8">
              <w:rPr>
                <w:sz w:val="18"/>
                <w:szCs w:val="18"/>
              </w:rPr>
            </w:r>
            <w:r w:rsidR="00C630FC" w:rsidRPr="004C78D8">
              <w:rPr>
                <w:sz w:val="18"/>
                <w:szCs w:val="18"/>
              </w:rPr>
              <w:fldChar w:fldCharType="end"/>
            </w:r>
            <w:r w:rsidRPr="004C78D8">
              <w:rPr>
                <w:sz w:val="18"/>
                <w:szCs w:val="18"/>
              </w:rPr>
            </w:r>
            <w:r w:rsidRPr="004C78D8">
              <w:rPr>
                <w:sz w:val="18"/>
                <w:szCs w:val="18"/>
              </w:rPr>
              <w:fldChar w:fldCharType="separate"/>
            </w:r>
            <w:r w:rsidR="00C630FC" w:rsidRPr="004C78D8">
              <w:rPr>
                <w:noProof/>
                <w:sz w:val="18"/>
                <w:szCs w:val="18"/>
              </w:rPr>
              <w:t>[355]</w:t>
            </w:r>
            <w:r w:rsidRPr="004C78D8">
              <w:rPr>
                <w:sz w:val="18"/>
                <w:szCs w:val="18"/>
              </w:rPr>
              <w:fldChar w:fldCharType="end"/>
            </w:r>
          </w:p>
        </w:tc>
        <w:tc>
          <w:tcPr>
            <w:tcW w:w="492" w:type="pct"/>
            <w:tcBorders>
              <w:top w:val="nil"/>
              <w:left w:val="nil"/>
              <w:bottom w:val="nil"/>
              <w:right w:val="nil"/>
            </w:tcBorders>
          </w:tcPr>
          <w:p w14:paraId="1CD320FD" w14:textId="77777777" w:rsidR="00F94244" w:rsidRPr="004C78D8" w:rsidRDefault="00F94244" w:rsidP="00FB7C1F">
            <w:pPr>
              <w:jc w:val="left"/>
              <w:rPr>
                <w:sz w:val="18"/>
                <w:szCs w:val="18"/>
              </w:rPr>
            </w:pPr>
            <w:r w:rsidRPr="004C78D8">
              <w:rPr>
                <w:sz w:val="18"/>
                <w:szCs w:val="18"/>
              </w:rPr>
              <w:t>Australia, Melbourne</w:t>
            </w:r>
          </w:p>
        </w:tc>
        <w:tc>
          <w:tcPr>
            <w:tcW w:w="950" w:type="pct"/>
            <w:tcBorders>
              <w:top w:val="nil"/>
              <w:left w:val="nil"/>
              <w:bottom w:val="nil"/>
              <w:right w:val="nil"/>
            </w:tcBorders>
          </w:tcPr>
          <w:p w14:paraId="6AA54421" w14:textId="77777777" w:rsidR="00F94244" w:rsidRPr="004C78D8" w:rsidRDefault="00F94244" w:rsidP="00FB7C1F">
            <w:pPr>
              <w:jc w:val="left"/>
              <w:rPr>
                <w:sz w:val="18"/>
                <w:szCs w:val="18"/>
              </w:rPr>
            </w:pPr>
            <w:r w:rsidRPr="004C78D8">
              <w:rPr>
                <w:sz w:val="18"/>
                <w:szCs w:val="18"/>
              </w:rPr>
              <w:t>CD adults aged 70+</w:t>
            </w:r>
          </w:p>
        </w:tc>
        <w:tc>
          <w:tcPr>
            <w:tcW w:w="321" w:type="pct"/>
            <w:tcBorders>
              <w:top w:val="nil"/>
              <w:left w:val="nil"/>
              <w:bottom w:val="nil"/>
              <w:right w:val="nil"/>
            </w:tcBorders>
          </w:tcPr>
          <w:p w14:paraId="613384FF" w14:textId="77777777" w:rsidR="00F94244" w:rsidRPr="004C78D8" w:rsidRDefault="00F94244" w:rsidP="00FB7C1F">
            <w:pPr>
              <w:jc w:val="left"/>
              <w:rPr>
                <w:sz w:val="18"/>
                <w:szCs w:val="18"/>
              </w:rPr>
            </w:pPr>
            <w:r w:rsidRPr="004C78D8">
              <w:rPr>
                <w:sz w:val="18"/>
                <w:szCs w:val="18"/>
              </w:rPr>
              <w:t>CEA; CUA</w:t>
            </w:r>
          </w:p>
        </w:tc>
        <w:tc>
          <w:tcPr>
            <w:tcW w:w="497" w:type="pct"/>
            <w:tcBorders>
              <w:top w:val="nil"/>
              <w:left w:val="nil"/>
              <w:bottom w:val="nil"/>
              <w:right w:val="nil"/>
            </w:tcBorders>
          </w:tcPr>
          <w:p w14:paraId="108210C4" w14:textId="77777777" w:rsidR="00F94244" w:rsidRPr="004C78D8" w:rsidRDefault="00F94244" w:rsidP="00FB7C1F">
            <w:pPr>
              <w:jc w:val="left"/>
              <w:rPr>
                <w:sz w:val="18"/>
                <w:szCs w:val="18"/>
              </w:rPr>
            </w:pPr>
            <w:r w:rsidRPr="004C78D8">
              <w:rPr>
                <w:sz w:val="18"/>
                <w:szCs w:val="18"/>
              </w:rPr>
              <w:t>Public sector</w:t>
            </w:r>
          </w:p>
        </w:tc>
        <w:tc>
          <w:tcPr>
            <w:tcW w:w="952" w:type="pct"/>
            <w:tcBorders>
              <w:top w:val="nil"/>
              <w:left w:val="nil"/>
              <w:bottom w:val="nil"/>
              <w:right w:val="nil"/>
            </w:tcBorders>
          </w:tcPr>
          <w:p w14:paraId="68C9F8C8" w14:textId="77777777" w:rsidR="00F94244" w:rsidRPr="004C78D8" w:rsidRDefault="00F94244" w:rsidP="00FB7C1F">
            <w:pPr>
              <w:jc w:val="left"/>
              <w:rPr>
                <w:sz w:val="18"/>
                <w:szCs w:val="18"/>
              </w:rPr>
            </w:pPr>
            <w:r w:rsidRPr="004C78D8">
              <w:rPr>
                <w:sz w:val="18"/>
                <w:szCs w:val="18"/>
              </w:rPr>
              <w:t>Exercise [UC]</w:t>
            </w:r>
          </w:p>
        </w:tc>
        <w:tc>
          <w:tcPr>
            <w:tcW w:w="453" w:type="pct"/>
            <w:tcBorders>
              <w:top w:val="nil"/>
              <w:left w:val="nil"/>
              <w:bottom w:val="nil"/>
              <w:right w:val="nil"/>
            </w:tcBorders>
          </w:tcPr>
          <w:p w14:paraId="2759F8BC" w14:textId="77777777" w:rsidR="00F94244" w:rsidRPr="004C78D8" w:rsidRDefault="00F94244" w:rsidP="00FB7C1F">
            <w:pPr>
              <w:jc w:val="left"/>
              <w:rPr>
                <w:sz w:val="18"/>
                <w:szCs w:val="18"/>
              </w:rPr>
            </w:pPr>
            <w:r w:rsidRPr="004C78D8">
              <w:rPr>
                <w:sz w:val="18"/>
                <w:szCs w:val="18"/>
              </w:rPr>
              <w:t>DT</w:t>
            </w:r>
          </w:p>
        </w:tc>
        <w:tc>
          <w:tcPr>
            <w:tcW w:w="355" w:type="pct"/>
            <w:tcBorders>
              <w:top w:val="nil"/>
              <w:left w:val="nil"/>
              <w:bottom w:val="nil"/>
              <w:right w:val="nil"/>
            </w:tcBorders>
          </w:tcPr>
          <w:p w14:paraId="41A8033D" w14:textId="77777777" w:rsidR="00F94244" w:rsidRPr="004C78D8" w:rsidRDefault="00F94244" w:rsidP="00FB7C1F">
            <w:pPr>
              <w:jc w:val="left"/>
              <w:rPr>
                <w:sz w:val="18"/>
                <w:szCs w:val="18"/>
              </w:rPr>
            </w:pPr>
            <w:r w:rsidRPr="004C78D8">
              <w:rPr>
                <w:sz w:val="18"/>
                <w:szCs w:val="18"/>
              </w:rPr>
              <w:t>18 months</w:t>
            </w:r>
          </w:p>
        </w:tc>
        <w:tc>
          <w:tcPr>
            <w:tcW w:w="377" w:type="pct"/>
            <w:tcBorders>
              <w:top w:val="nil"/>
              <w:left w:val="nil"/>
              <w:bottom w:val="nil"/>
            </w:tcBorders>
          </w:tcPr>
          <w:p w14:paraId="659104D0" w14:textId="77777777" w:rsidR="00F94244" w:rsidRPr="004C78D8" w:rsidRDefault="00F94244" w:rsidP="00FB7C1F">
            <w:pPr>
              <w:jc w:val="left"/>
              <w:rPr>
                <w:sz w:val="18"/>
                <w:szCs w:val="18"/>
              </w:rPr>
            </w:pPr>
            <w:r w:rsidRPr="004C78D8">
              <w:rPr>
                <w:sz w:val="18"/>
                <w:szCs w:val="18"/>
              </w:rPr>
              <w:t>26</w:t>
            </w:r>
          </w:p>
        </w:tc>
      </w:tr>
      <w:tr w:rsidR="00F94244" w:rsidRPr="004C78D8" w14:paraId="7D29B954" w14:textId="77777777" w:rsidTr="002828C1">
        <w:tc>
          <w:tcPr>
            <w:tcW w:w="149" w:type="pct"/>
            <w:tcBorders>
              <w:top w:val="nil"/>
              <w:bottom w:val="nil"/>
              <w:right w:val="nil"/>
            </w:tcBorders>
          </w:tcPr>
          <w:p w14:paraId="50D5B17D" w14:textId="77777777" w:rsidR="00F94244" w:rsidRPr="004C78D8" w:rsidRDefault="00F94244" w:rsidP="00FB7C1F">
            <w:pPr>
              <w:jc w:val="left"/>
              <w:rPr>
                <w:sz w:val="18"/>
                <w:szCs w:val="18"/>
              </w:rPr>
            </w:pPr>
            <w:r w:rsidRPr="004C78D8">
              <w:rPr>
                <w:sz w:val="18"/>
                <w:szCs w:val="18"/>
              </w:rPr>
              <w:t>28</w:t>
            </w:r>
          </w:p>
        </w:tc>
        <w:tc>
          <w:tcPr>
            <w:tcW w:w="455" w:type="pct"/>
            <w:tcBorders>
              <w:top w:val="nil"/>
              <w:left w:val="nil"/>
              <w:bottom w:val="nil"/>
              <w:right w:val="nil"/>
            </w:tcBorders>
          </w:tcPr>
          <w:p w14:paraId="3106F8CE" w14:textId="69F9C5C5" w:rsidR="00F94244" w:rsidRPr="004C78D8" w:rsidRDefault="00F94244" w:rsidP="00FB7C1F">
            <w:pPr>
              <w:jc w:val="left"/>
              <w:rPr>
                <w:sz w:val="18"/>
                <w:szCs w:val="18"/>
              </w:rPr>
            </w:pPr>
            <w:r w:rsidRPr="004C78D8">
              <w:rPr>
                <w:sz w:val="18"/>
                <w:szCs w:val="18"/>
              </w:rPr>
              <w:t xml:space="preserve">Miller (2011) </w:t>
            </w:r>
            <w:r w:rsidRPr="004C78D8">
              <w:rPr>
                <w:sz w:val="18"/>
                <w:szCs w:val="18"/>
              </w:rPr>
              <w:fldChar w:fldCharType="begin"/>
            </w:r>
            <w:r w:rsidR="00C630FC" w:rsidRPr="004C78D8">
              <w:rPr>
                <w:sz w:val="18"/>
                <w:szCs w:val="18"/>
              </w:rPr>
              <w:instrText xml:space="preserve"> ADDIN EN.CITE &lt;EndNote&gt;&lt;Cite&gt;&lt;Author&gt;Miller&lt;/Author&gt;&lt;Year&gt;2011&lt;/Year&gt;&lt;RecNum&gt;383&lt;/RecNum&gt;&lt;DisplayText&gt;[342]&lt;/DisplayText&gt;&lt;record&gt;&lt;rec-number&gt;383&lt;/rec-number&gt;&lt;foreign-keys&gt;&lt;key app="EN" db-id="tdtrdw9aepptzbefsat599syza29sxsd2wsp" timestamp="1612694614"&gt;383&lt;/key&gt;&lt;/foreign-keys&gt;&lt;ref-type name="Journal Article"&gt;17&lt;/ref-type&gt;&lt;contributors&gt;&lt;authors&gt;&lt;author&gt;Miller, Thomas R&lt;/author&gt;&lt;author&gt;Dickerson, Justin B&lt;/author&gt;&lt;author&gt;Smith, Matthew L&lt;/author&gt;&lt;author&gt;Ory, Marcia G&lt;/author&gt;&lt;/authors&gt;&lt;/contributors&gt;&lt;titles&gt;&lt;title&gt;Assessing costs and potential returns of evidence-based programs for seniors&lt;/title&gt;&lt;secondary-title&gt;Evaluation &amp;amp; the health professions&lt;/secondary-title&gt;&lt;/titles&gt;&lt;periodical&gt;&lt;full-title&gt;Evaluation &amp;amp; the health professions&lt;/full-title&gt;&lt;/periodical&gt;&lt;pages&gt;201-225&lt;/pages&gt;&lt;volume&gt;34&lt;/volume&gt;&lt;number&gt;2&lt;/number&gt;&lt;dates&gt;&lt;year&gt;2011&lt;/year&gt;&lt;/dates&gt;&lt;isbn&gt;0163-2787&lt;/isbn&gt;&lt;urls&gt;&lt;/urls&gt;&lt;/record&gt;&lt;/Cite&gt;&lt;/EndNote&gt;</w:instrText>
            </w:r>
            <w:r w:rsidRPr="004C78D8">
              <w:rPr>
                <w:sz w:val="18"/>
                <w:szCs w:val="18"/>
              </w:rPr>
              <w:fldChar w:fldCharType="separate"/>
            </w:r>
            <w:r w:rsidR="00C630FC" w:rsidRPr="004C78D8">
              <w:rPr>
                <w:noProof/>
                <w:sz w:val="18"/>
                <w:szCs w:val="18"/>
              </w:rPr>
              <w:t>[342]</w:t>
            </w:r>
            <w:r w:rsidRPr="004C78D8">
              <w:rPr>
                <w:sz w:val="18"/>
                <w:szCs w:val="18"/>
              </w:rPr>
              <w:fldChar w:fldCharType="end"/>
            </w:r>
          </w:p>
        </w:tc>
        <w:tc>
          <w:tcPr>
            <w:tcW w:w="492" w:type="pct"/>
            <w:tcBorders>
              <w:top w:val="nil"/>
              <w:left w:val="nil"/>
              <w:bottom w:val="nil"/>
              <w:right w:val="nil"/>
            </w:tcBorders>
          </w:tcPr>
          <w:p w14:paraId="7383BBFE" w14:textId="77777777" w:rsidR="00F94244" w:rsidRPr="004C78D8" w:rsidRDefault="00F94244" w:rsidP="00FB7C1F">
            <w:pPr>
              <w:jc w:val="left"/>
              <w:rPr>
                <w:sz w:val="18"/>
                <w:szCs w:val="18"/>
              </w:rPr>
            </w:pPr>
            <w:r w:rsidRPr="004C78D8">
              <w:rPr>
                <w:sz w:val="18"/>
                <w:szCs w:val="18"/>
              </w:rPr>
              <w:t>US, Texas</w:t>
            </w:r>
          </w:p>
        </w:tc>
        <w:tc>
          <w:tcPr>
            <w:tcW w:w="950" w:type="pct"/>
            <w:tcBorders>
              <w:top w:val="nil"/>
              <w:left w:val="nil"/>
              <w:bottom w:val="nil"/>
              <w:right w:val="nil"/>
            </w:tcBorders>
          </w:tcPr>
          <w:p w14:paraId="1FCFF237" w14:textId="77777777" w:rsidR="00F94244" w:rsidRPr="004C78D8" w:rsidRDefault="00F94244" w:rsidP="00FB7C1F">
            <w:pPr>
              <w:jc w:val="left"/>
              <w:rPr>
                <w:sz w:val="18"/>
                <w:szCs w:val="18"/>
              </w:rPr>
            </w:pPr>
            <w:r w:rsidRPr="004C78D8">
              <w:rPr>
                <w:sz w:val="18"/>
                <w:szCs w:val="18"/>
              </w:rPr>
              <w:t>CD adults aged 50+ at high falls risk</w:t>
            </w:r>
          </w:p>
        </w:tc>
        <w:tc>
          <w:tcPr>
            <w:tcW w:w="321" w:type="pct"/>
            <w:tcBorders>
              <w:top w:val="nil"/>
              <w:left w:val="nil"/>
              <w:bottom w:val="nil"/>
              <w:right w:val="nil"/>
            </w:tcBorders>
          </w:tcPr>
          <w:p w14:paraId="078BF409" w14:textId="77777777" w:rsidR="00F94244" w:rsidRPr="004C78D8" w:rsidRDefault="00F94244" w:rsidP="00FB7C1F">
            <w:pPr>
              <w:jc w:val="left"/>
              <w:rPr>
                <w:sz w:val="18"/>
                <w:szCs w:val="18"/>
              </w:rPr>
            </w:pPr>
            <w:r w:rsidRPr="004C78D8">
              <w:rPr>
                <w:sz w:val="18"/>
                <w:szCs w:val="18"/>
              </w:rPr>
              <w:t>ROI</w:t>
            </w:r>
          </w:p>
        </w:tc>
        <w:tc>
          <w:tcPr>
            <w:tcW w:w="497" w:type="pct"/>
            <w:tcBorders>
              <w:top w:val="nil"/>
              <w:left w:val="nil"/>
              <w:bottom w:val="nil"/>
              <w:right w:val="nil"/>
            </w:tcBorders>
          </w:tcPr>
          <w:p w14:paraId="1F1DBEC2" w14:textId="161C2792" w:rsidR="00F94244" w:rsidRPr="004C78D8" w:rsidRDefault="00F94244" w:rsidP="00FB7C1F">
            <w:pPr>
              <w:jc w:val="left"/>
              <w:rPr>
                <w:sz w:val="18"/>
                <w:szCs w:val="18"/>
              </w:rPr>
            </w:pPr>
            <w:r w:rsidRPr="004C78D8">
              <w:rPr>
                <w:sz w:val="18"/>
                <w:szCs w:val="18"/>
              </w:rPr>
              <w:t>US healthcare;</w:t>
            </w:r>
            <w:r w:rsidR="001B3C29" w:rsidRPr="004C78D8">
              <w:rPr>
                <w:sz w:val="18"/>
                <w:szCs w:val="18"/>
                <w:vertAlign w:val="superscript"/>
              </w:rPr>
              <w:t>5</w:t>
            </w:r>
            <w:r w:rsidRPr="004C78D8">
              <w:rPr>
                <w:sz w:val="18"/>
                <w:szCs w:val="18"/>
              </w:rPr>
              <w:t xml:space="preserve"> Societal</w:t>
            </w:r>
          </w:p>
        </w:tc>
        <w:tc>
          <w:tcPr>
            <w:tcW w:w="952" w:type="pct"/>
            <w:tcBorders>
              <w:top w:val="nil"/>
              <w:left w:val="nil"/>
              <w:bottom w:val="nil"/>
              <w:right w:val="nil"/>
            </w:tcBorders>
          </w:tcPr>
          <w:p w14:paraId="532BE8E0" w14:textId="77777777" w:rsidR="00F94244" w:rsidRPr="00972766" w:rsidRDefault="00F94244" w:rsidP="00FB7C1F">
            <w:pPr>
              <w:jc w:val="left"/>
              <w:rPr>
                <w:sz w:val="18"/>
                <w:szCs w:val="18"/>
                <w:lang w:val="sv-SE"/>
              </w:rPr>
            </w:pPr>
            <w:r w:rsidRPr="00972766">
              <w:rPr>
                <w:sz w:val="18"/>
                <w:szCs w:val="18"/>
                <w:lang w:val="sv-SE"/>
              </w:rPr>
              <w:t>MC int. (MoB/VLL) [NR]</w:t>
            </w:r>
          </w:p>
        </w:tc>
        <w:tc>
          <w:tcPr>
            <w:tcW w:w="453" w:type="pct"/>
            <w:tcBorders>
              <w:top w:val="nil"/>
              <w:left w:val="nil"/>
              <w:bottom w:val="nil"/>
              <w:right w:val="nil"/>
            </w:tcBorders>
          </w:tcPr>
          <w:p w14:paraId="5691AF64" w14:textId="77777777" w:rsidR="00F94244" w:rsidRPr="004C78D8" w:rsidRDefault="00F94244" w:rsidP="00FB7C1F">
            <w:pPr>
              <w:jc w:val="left"/>
              <w:rPr>
                <w:sz w:val="18"/>
                <w:szCs w:val="18"/>
              </w:rPr>
            </w:pPr>
            <w:r w:rsidRPr="004C78D8">
              <w:rPr>
                <w:sz w:val="18"/>
                <w:szCs w:val="18"/>
              </w:rPr>
              <w:t>Binary decision</w:t>
            </w:r>
          </w:p>
        </w:tc>
        <w:tc>
          <w:tcPr>
            <w:tcW w:w="355" w:type="pct"/>
            <w:tcBorders>
              <w:top w:val="nil"/>
              <w:left w:val="nil"/>
              <w:bottom w:val="nil"/>
              <w:right w:val="nil"/>
            </w:tcBorders>
          </w:tcPr>
          <w:p w14:paraId="2E027D40" w14:textId="77777777" w:rsidR="00F94244" w:rsidRPr="004C78D8" w:rsidRDefault="00F94244" w:rsidP="00FB7C1F">
            <w:pPr>
              <w:jc w:val="left"/>
              <w:rPr>
                <w:sz w:val="18"/>
                <w:szCs w:val="18"/>
              </w:rPr>
            </w:pPr>
            <w:r w:rsidRPr="004C78D8">
              <w:rPr>
                <w:sz w:val="18"/>
                <w:szCs w:val="18"/>
              </w:rPr>
              <w:t>2 years</w:t>
            </w:r>
          </w:p>
        </w:tc>
        <w:tc>
          <w:tcPr>
            <w:tcW w:w="377" w:type="pct"/>
            <w:tcBorders>
              <w:top w:val="nil"/>
              <w:left w:val="nil"/>
              <w:bottom w:val="nil"/>
            </w:tcBorders>
          </w:tcPr>
          <w:p w14:paraId="308BC5A3" w14:textId="77777777" w:rsidR="00F94244" w:rsidRPr="004C78D8" w:rsidRDefault="00F94244" w:rsidP="00FB7C1F">
            <w:pPr>
              <w:jc w:val="left"/>
              <w:rPr>
                <w:sz w:val="18"/>
                <w:szCs w:val="18"/>
              </w:rPr>
            </w:pPr>
            <w:r w:rsidRPr="004C78D8">
              <w:rPr>
                <w:sz w:val="18"/>
                <w:szCs w:val="18"/>
              </w:rPr>
              <w:t>16</w:t>
            </w:r>
          </w:p>
        </w:tc>
      </w:tr>
      <w:tr w:rsidR="00F94244" w:rsidRPr="004C78D8" w14:paraId="22053B73" w14:textId="77777777" w:rsidTr="002828C1">
        <w:tc>
          <w:tcPr>
            <w:tcW w:w="149" w:type="pct"/>
            <w:tcBorders>
              <w:top w:val="nil"/>
              <w:bottom w:val="nil"/>
              <w:right w:val="nil"/>
            </w:tcBorders>
          </w:tcPr>
          <w:p w14:paraId="44B7D7C8" w14:textId="77777777" w:rsidR="00F94244" w:rsidRPr="004C78D8" w:rsidRDefault="00F94244" w:rsidP="00FB7C1F">
            <w:pPr>
              <w:jc w:val="left"/>
              <w:rPr>
                <w:sz w:val="18"/>
                <w:szCs w:val="18"/>
              </w:rPr>
            </w:pPr>
            <w:r w:rsidRPr="004C78D8">
              <w:rPr>
                <w:sz w:val="18"/>
                <w:szCs w:val="18"/>
              </w:rPr>
              <w:t>29</w:t>
            </w:r>
          </w:p>
        </w:tc>
        <w:tc>
          <w:tcPr>
            <w:tcW w:w="455" w:type="pct"/>
            <w:tcBorders>
              <w:top w:val="nil"/>
              <w:left w:val="nil"/>
              <w:bottom w:val="nil"/>
              <w:right w:val="nil"/>
            </w:tcBorders>
          </w:tcPr>
          <w:p w14:paraId="5BDDEEB1" w14:textId="1B29099C" w:rsidR="00F94244" w:rsidRPr="004C78D8" w:rsidRDefault="00F94244" w:rsidP="00FB7C1F">
            <w:pPr>
              <w:jc w:val="left"/>
              <w:rPr>
                <w:sz w:val="18"/>
                <w:szCs w:val="18"/>
              </w:rPr>
            </w:pPr>
            <w:r w:rsidRPr="004C78D8">
              <w:rPr>
                <w:sz w:val="18"/>
                <w:szCs w:val="18"/>
              </w:rPr>
              <w:t xml:space="preserve">Mori (2017) </w:t>
            </w:r>
            <w:r w:rsidRPr="004C78D8">
              <w:rPr>
                <w:sz w:val="18"/>
                <w:szCs w:val="18"/>
              </w:rPr>
              <w:fldChar w:fldCharType="begin"/>
            </w:r>
            <w:r w:rsidR="00C630FC" w:rsidRPr="004C78D8">
              <w:rPr>
                <w:sz w:val="18"/>
                <w:szCs w:val="18"/>
              </w:rPr>
              <w:instrText xml:space="preserve"> ADDIN EN.CITE &lt;EndNote&gt;&lt;Cite&gt;&lt;Author&gt;Mori&lt;/Author&gt;&lt;Year&gt;2017&lt;/Year&gt;&lt;RecNum&gt;352&lt;/RecNum&gt;&lt;DisplayText&gt;[344]&lt;/DisplayText&gt;&lt;record&gt;&lt;rec-number&gt;352&lt;/rec-number&gt;&lt;foreign-keys&gt;&lt;key app="EN" db-id="tdtrdw9aepptzbefsat599syza29sxsd2wsp" timestamp="1612211992"&gt;352&lt;/key&gt;&lt;/foreign-keys&gt;&lt;ref-type name="Journal Article"&gt;17&lt;/ref-type&gt;&lt;contributors&gt;&lt;authors&gt;&lt;author&gt;Mori, T&lt;/author&gt;&lt;author&gt;Crandall, CJ&lt;/author&gt;&lt;author&gt;Ganz, David A&lt;/author&gt;&lt;/authors&gt;&lt;/contributors&gt;&lt;titles&gt;&lt;title&gt;Cost-effectiveness of combined oral bisphosphonate therapy and falls prevention exercise for fracture prevention in the USA&lt;/title&gt;&lt;secondary-title&gt;Osteoporosis international&lt;/secondary-title&gt;&lt;/titles&gt;&lt;periodical&gt;&lt;full-title&gt;Osteoporosis International&lt;/full-title&gt;&lt;/periodical&gt;&lt;pages&gt;585-595&lt;/pages&gt;&lt;volume&gt;28&lt;/volume&gt;&lt;number&gt;2&lt;/number&gt;&lt;dates&gt;&lt;year&gt;2017&lt;/year&gt;&lt;/dates&gt;&lt;isbn&gt;0937-941X&lt;/isbn&gt;&lt;urls&gt;&lt;/urls&gt;&lt;/record&gt;&lt;/Cite&gt;&lt;/EndNote&gt;</w:instrText>
            </w:r>
            <w:r w:rsidRPr="004C78D8">
              <w:rPr>
                <w:sz w:val="18"/>
                <w:szCs w:val="18"/>
              </w:rPr>
              <w:fldChar w:fldCharType="separate"/>
            </w:r>
            <w:r w:rsidR="00C630FC" w:rsidRPr="004C78D8">
              <w:rPr>
                <w:noProof/>
                <w:sz w:val="18"/>
                <w:szCs w:val="18"/>
              </w:rPr>
              <w:t>[344]</w:t>
            </w:r>
            <w:r w:rsidRPr="004C78D8">
              <w:rPr>
                <w:sz w:val="18"/>
                <w:szCs w:val="18"/>
              </w:rPr>
              <w:fldChar w:fldCharType="end"/>
            </w:r>
          </w:p>
        </w:tc>
        <w:tc>
          <w:tcPr>
            <w:tcW w:w="492" w:type="pct"/>
            <w:tcBorders>
              <w:top w:val="nil"/>
              <w:left w:val="nil"/>
              <w:bottom w:val="nil"/>
              <w:right w:val="nil"/>
            </w:tcBorders>
          </w:tcPr>
          <w:p w14:paraId="6C1AF0BD" w14:textId="77777777" w:rsidR="00F94244" w:rsidRPr="004C78D8" w:rsidRDefault="00F94244" w:rsidP="00FB7C1F">
            <w:pPr>
              <w:jc w:val="left"/>
              <w:rPr>
                <w:sz w:val="18"/>
                <w:szCs w:val="18"/>
              </w:rPr>
            </w:pPr>
            <w:r w:rsidRPr="004C78D8">
              <w:rPr>
                <w:sz w:val="18"/>
                <w:szCs w:val="18"/>
              </w:rPr>
              <w:t>US</w:t>
            </w:r>
          </w:p>
        </w:tc>
        <w:tc>
          <w:tcPr>
            <w:tcW w:w="950" w:type="pct"/>
            <w:tcBorders>
              <w:top w:val="nil"/>
              <w:left w:val="nil"/>
              <w:bottom w:val="nil"/>
              <w:right w:val="nil"/>
            </w:tcBorders>
          </w:tcPr>
          <w:p w14:paraId="609266D6" w14:textId="77777777" w:rsidR="00F94244" w:rsidRPr="004C78D8" w:rsidRDefault="00F94244" w:rsidP="00FB7C1F">
            <w:pPr>
              <w:jc w:val="left"/>
              <w:rPr>
                <w:sz w:val="18"/>
                <w:szCs w:val="18"/>
              </w:rPr>
            </w:pPr>
            <w:r w:rsidRPr="004C78D8">
              <w:rPr>
                <w:sz w:val="18"/>
                <w:szCs w:val="18"/>
              </w:rPr>
              <w:t>CD women aged 65+ at osteoporosis risk without previous fracture</w:t>
            </w:r>
          </w:p>
        </w:tc>
        <w:tc>
          <w:tcPr>
            <w:tcW w:w="321" w:type="pct"/>
            <w:tcBorders>
              <w:top w:val="nil"/>
              <w:left w:val="nil"/>
              <w:bottom w:val="nil"/>
              <w:right w:val="nil"/>
            </w:tcBorders>
          </w:tcPr>
          <w:p w14:paraId="6B801A66" w14:textId="77777777" w:rsidR="00F94244" w:rsidRPr="004C78D8" w:rsidRDefault="00F94244" w:rsidP="00FB7C1F">
            <w:pPr>
              <w:jc w:val="left"/>
              <w:rPr>
                <w:sz w:val="18"/>
                <w:szCs w:val="18"/>
              </w:rPr>
            </w:pPr>
            <w:r w:rsidRPr="004C78D8">
              <w:rPr>
                <w:sz w:val="18"/>
                <w:szCs w:val="18"/>
              </w:rPr>
              <w:t>CUA</w:t>
            </w:r>
          </w:p>
        </w:tc>
        <w:tc>
          <w:tcPr>
            <w:tcW w:w="497" w:type="pct"/>
            <w:tcBorders>
              <w:top w:val="nil"/>
              <w:left w:val="nil"/>
              <w:bottom w:val="nil"/>
              <w:right w:val="nil"/>
            </w:tcBorders>
          </w:tcPr>
          <w:p w14:paraId="2C81A228" w14:textId="77777777" w:rsidR="00F94244" w:rsidRPr="004C78D8" w:rsidRDefault="00F94244" w:rsidP="00FB7C1F">
            <w:pPr>
              <w:jc w:val="left"/>
              <w:rPr>
                <w:sz w:val="18"/>
                <w:szCs w:val="18"/>
              </w:rPr>
            </w:pPr>
            <w:r w:rsidRPr="004C78D8">
              <w:rPr>
                <w:sz w:val="18"/>
                <w:szCs w:val="18"/>
              </w:rPr>
              <w:t>Societal</w:t>
            </w:r>
          </w:p>
        </w:tc>
        <w:tc>
          <w:tcPr>
            <w:tcW w:w="952" w:type="pct"/>
            <w:tcBorders>
              <w:top w:val="nil"/>
              <w:left w:val="nil"/>
              <w:bottom w:val="nil"/>
              <w:right w:val="nil"/>
            </w:tcBorders>
          </w:tcPr>
          <w:p w14:paraId="0436AFFA" w14:textId="77777777" w:rsidR="00F94244" w:rsidRPr="004C78D8" w:rsidRDefault="00F94244" w:rsidP="00FB7C1F">
            <w:pPr>
              <w:jc w:val="left"/>
              <w:rPr>
                <w:sz w:val="18"/>
                <w:szCs w:val="18"/>
              </w:rPr>
            </w:pPr>
            <w:r w:rsidRPr="004C78D8">
              <w:rPr>
                <w:sz w:val="18"/>
                <w:szCs w:val="18"/>
              </w:rPr>
              <w:t>Exercise and bisphosphonate combined [Cross-comparison: single or no intervention]</w:t>
            </w:r>
          </w:p>
        </w:tc>
        <w:tc>
          <w:tcPr>
            <w:tcW w:w="453" w:type="pct"/>
            <w:tcBorders>
              <w:top w:val="nil"/>
              <w:left w:val="nil"/>
              <w:bottom w:val="nil"/>
              <w:right w:val="nil"/>
            </w:tcBorders>
          </w:tcPr>
          <w:p w14:paraId="4109BC52" w14:textId="77777777" w:rsidR="00F94244" w:rsidRPr="004C78D8" w:rsidRDefault="00F94244" w:rsidP="00FB7C1F">
            <w:pPr>
              <w:jc w:val="left"/>
              <w:rPr>
                <w:sz w:val="18"/>
                <w:szCs w:val="18"/>
              </w:rPr>
            </w:pPr>
            <w:r w:rsidRPr="004C78D8">
              <w:rPr>
                <w:sz w:val="18"/>
                <w:szCs w:val="18"/>
              </w:rPr>
              <w:t>DT + Markov patient</w:t>
            </w:r>
          </w:p>
        </w:tc>
        <w:tc>
          <w:tcPr>
            <w:tcW w:w="355" w:type="pct"/>
            <w:tcBorders>
              <w:top w:val="nil"/>
              <w:left w:val="nil"/>
              <w:bottom w:val="nil"/>
              <w:right w:val="nil"/>
            </w:tcBorders>
          </w:tcPr>
          <w:p w14:paraId="2D8A7FF7" w14:textId="77777777" w:rsidR="00F94244" w:rsidRPr="004C78D8" w:rsidRDefault="00F94244" w:rsidP="00FB7C1F">
            <w:pPr>
              <w:jc w:val="left"/>
              <w:rPr>
                <w:sz w:val="18"/>
                <w:szCs w:val="18"/>
              </w:rPr>
            </w:pPr>
            <w:r w:rsidRPr="004C78D8">
              <w:rPr>
                <w:sz w:val="18"/>
                <w:szCs w:val="18"/>
              </w:rPr>
              <w:t>Lifetime</w:t>
            </w:r>
          </w:p>
        </w:tc>
        <w:tc>
          <w:tcPr>
            <w:tcW w:w="377" w:type="pct"/>
            <w:tcBorders>
              <w:top w:val="nil"/>
              <w:left w:val="nil"/>
              <w:bottom w:val="nil"/>
            </w:tcBorders>
          </w:tcPr>
          <w:p w14:paraId="355BE8F8" w14:textId="77777777" w:rsidR="00F94244" w:rsidRPr="004C78D8" w:rsidRDefault="00F94244" w:rsidP="00FB7C1F">
            <w:pPr>
              <w:jc w:val="left"/>
              <w:rPr>
                <w:sz w:val="18"/>
                <w:szCs w:val="18"/>
              </w:rPr>
            </w:pPr>
            <w:r w:rsidRPr="004C78D8">
              <w:rPr>
                <w:sz w:val="18"/>
                <w:szCs w:val="18"/>
              </w:rPr>
              <w:t>25.5</w:t>
            </w:r>
          </w:p>
        </w:tc>
      </w:tr>
      <w:tr w:rsidR="00F94244" w:rsidRPr="004C78D8" w14:paraId="4F1677CA" w14:textId="77777777" w:rsidTr="002828C1">
        <w:tc>
          <w:tcPr>
            <w:tcW w:w="149" w:type="pct"/>
            <w:tcBorders>
              <w:top w:val="nil"/>
              <w:bottom w:val="nil"/>
              <w:right w:val="nil"/>
            </w:tcBorders>
          </w:tcPr>
          <w:p w14:paraId="3DC67DF3" w14:textId="77777777" w:rsidR="00F94244" w:rsidRPr="004C78D8" w:rsidRDefault="00F94244" w:rsidP="00FB7C1F">
            <w:pPr>
              <w:jc w:val="left"/>
              <w:rPr>
                <w:sz w:val="18"/>
                <w:szCs w:val="18"/>
              </w:rPr>
            </w:pPr>
            <w:r w:rsidRPr="004C78D8">
              <w:rPr>
                <w:sz w:val="18"/>
                <w:szCs w:val="18"/>
              </w:rPr>
              <w:t>30</w:t>
            </w:r>
          </w:p>
        </w:tc>
        <w:tc>
          <w:tcPr>
            <w:tcW w:w="455" w:type="pct"/>
            <w:tcBorders>
              <w:top w:val="nil"/>
              <w:left w:val="nil"/>
              <w:bottom w:val="nil"/>
              <w:right w:val="nil"/>
            </w:tcBorders>
          </w:tcPr>
          <w:p w14:paraId="02DA9E96" w14:textId="4C593ED7" w:rsidR="00F94244" w:rsidRPr="004C78D8" w:rsidRDefault="00F94244" w:rsidP="00FB7C1F">
            <w:pPr>
              <w:jc w:val="left"/>
              <w:rPr>
                <w:sz w:val="18"/>
                <w:szCs w:val="18"/>
              </w:rPr>
            </w:pPr>
            <w:r w:rsidRPr="004C78D8">
              <w:rPr>
                <w:sz w:val="18"/>
                <w:szCs w:val="18"/>
              </w:rPr>
              <w:t xml:space="preserve">Moriarty (2019) </w:t>
            </w:r>
            <w:r w:rsidRPr="004C78D8">
              <w:rPr>
                <w:sz w:val="18"/>
                <w:szCs w:val="18"/>
              </w:rPr>
              <w:fldChar w:fldCharType="begin">
                <w:fldData xml:space="preserve">PEVuZE5vdGU+PENpdGU+PEF1dGhvcj5Nb3JpYXJ0eTwvQXV0aG9yPjxZZWFyPjIwMTk8L1llYXI+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</w:fldData>
              </w:fldChar>
            </w:r>
            <w:r w:rsidR="00C630FC" w:rsidRPr="004C78D8">
              <w:rPr>
                <w:sz w:val="18"/>
                <w:szCs w:val="18"/>
              </w:rPr>
              <w:instrText xml:space="preserve"> ADDIN EN.CITE </w:instrText>
            </w:r>
            <w:r w:rsidR="00C630FC" w:rsidRPr="004C78D8">
              <w:rPr>
                <w:sz w:val="18"/>
                <w:szCs w:val="18"/>
              </w:rPr>
              <w:fldChar w:fldCharType="begin">
                <w:fldData xml:space="preserve">PEVuZE5vdGU+PENpdGU+PEF1dGhvcj5Nb3JpYXJ0eTwvQXV0aG9yPjxZZWFyPjIwMTk8L1llYXI+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</w:fldData>
              </w:fldChar>
            </w:r>
            <w:r w:rsidR="00C630FC" w:rsidRPr="004C78D8">
              <w:rPr>
                <w:sz w:val="18"/>
                <w:szCs w:val="18"/>
              </w:rPr>
              <w:instrText xml:space="preserve"> ADDIN EN.CITE.DATA </w:instrText>
            </w:r>
            <w:r w:rsidR="00C630FC" w:rsidRPr="004C78D8">
              <w:rPr>
                <w:sz w:val="18"/>
                <w:szCs w:val="18"/>
              </w:rPr>
            </w:r>
            <w:r w:rsidR="00C630FC" w:rsidRPr="004C78D8">
              <w:rPr>
                <w:sz w:val="18"/>
                <w:szCs w:val="18"/>
              </w:rPr>
              <w:fldChar w:fldCharType="end"/>
            </w:r>
            <w:r w:rsidRPr="004C78D8">
              <w:rPr>
                <w:sz w:val="18"/>
                <w:szCs w:val="18"/>
              </w:rPr>
            </w:r>
            <w:r w:rsidRPr="004C78D8">
              <w:rPr>
                <w:sz w:val="18"/>
                <w:szCs w:val="18"/>
              </w:rPr>
              <w:fldChar w:fldCharType="separate"/>
            </w:r>
            <w:r w:rsidR="00C630FC" w:rsidRPr="004C78D8">
              <w:rPr>
                <w:noProof/>
                <w:sz w:val="18"/>
                <w:szCs w:val="18"/>
              </w:rPr>
              <w:t>[346]</w:t>
            </w:r>
            <w:r w:rsidRPr="004C78D8">
              <w:rPr>
                <w:sz w:val="18"/>
                <w:szCs w:val="18"/>
              </w:rPr>
              <w:fldChar w:fldCharType="end"/>
            </w:r>
          </w:p>
        </w:tc>
        <w:tc>
          <w:tcPr>
            <w:tcW w:w="492" w:type="pct"/>
            <w:tcBorders>
              <w:top w:val="nil"/>
              <w:left w:val="nil"/>
              <w:bottom w:val="nil"/>
              <w:right w:val="nil"/>
            </w:tcBorders>
          </w:tcPr>
          <w:p w14:paraId="180282AA" w14:textId="77777777" w:rsidR="00F94244" w:rsidRPr="004C78D8" w:rsidRDefault="00F94244" w:rsidP="00FB7C1F">
            <w:pPr>
              <w:jc w:val="left"/>
              <w:rPr>
                <w:sz w:val="18"/>
                <w:szCs w:val="18"/>
              </w:rPr>
            </w:pPr>
            <w:r w:rsidRPr="004C78D8">
              <w:rPr>
                <w:sz w:val="18"/>
                <w:szCs w:val="18"/>
              </w:rPr>
              <w:t>Ireland</w:t>
            </w:r>
          </w:p>
        </w:tc>
        <w:tc>
          <w:tcPr>
            <w:tcW w:w="950" w:type="pct"/>
            <w:tcBorders>
              <w:top w:val="nil"/>
              <w:left w:val="nil"/>
              <w:bottom w:val="nil"/>
              <w:right w:val="nil"/>
            </w:tcBorders>
          </w:tcPr>
          <w:p w14:paraId="335B60A5" w14:textId="77777777" w:rsidR="00F94244" w:rsidRPr="004C78D8" w:rsidRDefault="00F94244" w:rsidP="00FB7C1F">
            <w:pPr>
              <w:jc w:val="left"/>
              <w:rPr>
                <w:sz w:val="18"/>
                <w:szCs w:val="18"/>
              </w:rPr>
            </w:pPr>
            <w:r w:rsidRPr="004C78D8">
              <w:rPr>
                <w:sz w:val="18"/>
                <w:szCs w:val="18"/>
              </w:rPr>
              <w:t xml:space="preserve">CD adults aged 65, no current/previous adverse events for benzodiazepine/PPI </w:t>
            </w:r>
          </w:p>
        </w:tc>
        <w:tc>
          <w:tcPr>
            <w:tcW w:w="321" w:type="pct"/>
            <w:tcBorders>
              <w:top w:val="nil"/>
              <w:left w:val="nil"/>
              <w:bottom w:val="nil"/>
              <w:right w:val="nil"/>
            </w:tcBorders>
          </w:tcPr>
          <w:p w14:paraId="53975CDA" w14:textId="77777777" w:rsidR="00F94244" w:rsidRPr="004C78D8" w:rsidRDefault="00F94244" w:rsidP="00FB7C1F">
            <w:pPr>
              <w:jc w:val="left"/>
              <w:rPr>
                <w:sz w:val="18"/>
                <w:szCs w:val="18"/>
              </w:rPr>
            </w:pPr>
            <w:r w:rsidRPr="004C78D8">
              <w:rPr>
                <w:sz w:val="18"/>
                <w:szCs w:val="18"/>
              </w:rPr>
              <w:t>CUA</w:t>
            </w:r>
          </w:p>
        </w:tc>
        <w:tc>
          <w:tcPr>
            <w:tcW w:w="497" w:type="pct"/>
            <w:tcBorders>
              <w:top w:val="nil"/>
              <w:left w:val="nil"/>
              <w:bottom w:val="nil"/>
              <w:right w:val="nil"/>
            </w:tcBorders>
          </w:tcPr>
          <w:p w14:paraId="70D1F8E6" w14:textId="77777777" w:rsidR="00F94244" w:rsidRPr="004C78D8" w:rsidRDefault="00F94244" w:rsidP="00FB7C1F">
            <w:pPr>
              <w:jc w:val="left"/>
              <w:rPr>
                <w:sz w:val="18"/>
                <w:szCs w:val="18"/>
              </w:rPr>
            </w:pPr>
            <w:r w:rsidRPr="004C78D8">
              <w:rPr>
                <w:sz w:val="18"/>
                <w:szCs w:val="18"/>
              </w:rPr>
              <w:t>Public sector</w:t>
            </w:r>
          </w:p>
        </w:tc>
        <w:tc>
          <w:tcPr>
            <w:tcW w:w="952" w:type="pct"/>
            <w:tcBorders>
              <w:top w:val="nil"/>
              <w:left w:val="nil"/>
              <w:bottom w:val="nil"/>
              <w:right w:val="nil"/>
            </w:tcBorders>
          </w:tcPr>
          <w:p w14:paraId="42468A5D" w14:textId="77777777" w:rsidR="00F94244" w:rsidRPr="00972766" w:rsidRDefault="00F94244" w:rsidP="00FB7C1F">
            <w:pPr>
              <w:jc w:val="left"/>
              <w:rPr>
                <w:sz w:val="18"/>
                <w:szCs w:val="18"/>
                <w:lang w:val="it-IT"/>
              </w:rPr>
            </w:pPr>
            <w:r w:rsidRPr="00972766">
              <w:rPr>
                <w:sz w:val="18"/>
                <w:szCs w:val="18"/>
                <w:lang w:val="it-IT"/>
              </w:rPr>
              <w:t>Med. modification (Benzodiazepine, PPI) [Inappropriate prescribing]</w:t>
            </w:r>
          </w:p>
        </w:tc>
        <w:tc>
          <w:tcPr>
            <w:tcW w:w="453" w:type="pct"/>
            <w:tcBorders>
              <w:top w:val="nil"/>
              <w:left w:val="nil"/>
              <w:bottom w:val="nil"/>
              <w:right w:val="nil"/>
            </w:tcBorders>
          </w:tcPr>
          <w:p w14:paraId="2736E089" w14:textId="77777777" w:rsidR="00F94244" w:rsidRPr="004C78D8" w:rsidRDefault="00F94244" w:rsidP="00FB7C1F">
            <w:pPr>
              <w:jc w:val="left"/>
              <w:rPr>
                <w:sz w:val="18"/>
                <w:szCs w:val="18"/>
              </w:rPr>
            </w:pPr>
            <w:r w:rsidRPr="004C78D8">
              <w:rPr>
                <w:sz w:val="18"/>
                <w:szCs w:val="18"/>
              </w:rPr>
              <w:t>DT + Markov patient</w:t>
            </w:r>
          </w:p>
        </w:tc>
        <w:tc>
          <w:tcPr>
            <w:tcW w:w="355" w:type="pct"/>
            <w:tcBorders>
              <w:top w:val="nil"/>
              <w:left w:val="nil"/>
              <w:bottom w:val="nil"/>
              <w:right w:val="nil"/>
            </w:tcBorders>
          </w:tcPr>
          <w:p w14:paraId="7F50BDEF" w14:textId="77777777" w:rsidR="00F94244" w:rsidRPr="004C78D8" w:rsidRDefault="00F94244" w:rsidP="00FB7C1F">
            <w:pPr>
              <w:jc w:val="left"/>
              <w:rPr>
                <w:sz w:val="18"/>
                <w:szCs w:val="18"/>
              </w:rPr>
            </w:pPr>
            <w:r w:rsidRPr="004C78D8">
              <w:rPr>
                <w:sz w:val="18"/>
                <w:szCs w:val="18"/>
              </w:rPr>
              <w:t>35 years</w:t>
            </w:r>
          </w:p>
        </w:tc>
        <w:tc>
          <w:tcPr>
            <w:tcW w:w="377" w:type="pct"/>
            <w:tcBorders>
              <w:top w:val="nil"/>
              <w:left w:val="nil"/>
              <w:bottom w:val="nil"/>
            </w:tcBorders>
          </w:tcPr>
          <w:p w14:paraId="579375AE" w14:textId="77777777" w:rsidR="00F94244" w:rsidRPr="004C78D8" w:rsidRDefault="00F94244" w:rsidP="00FB7C1F">
            <w:pPr>
              <w:jc w:val="left"/>
              <w:rPr>
                <w:sz w:val="18"/>
                <w:szCs w:val="18"/>
              </w:rPr>
            </w:pPr>
            <w:r w:rsidRPr="004C78D8">
              <w:rPr>
                <w:sz w:val="18"/>
                <w:szCs w:val="18"/>
              </w:rPr>
              <w:t>23</w:t>
            </w:r>
          </w:p>
        </w:tc>
      </w:tr>
      <w:tr w:rsidR="00F94244" w:rsidRPr="004C78D8" w14:paraId="6FBE589F" w14:textId="77777777" w:rsidTr="002828C1">
        <w:tc>
          <w:tcPr>
            <w:tcW w:w="149" w:type="pct"/>
            <w:tcBorders>
              <w:top w:val="nil"/>
              <w:bottom w:val="nil"/>
              <w:right w:val="nil"/>
            </w:tcBorders>
          </w:tcPr>
          <w:p w14:paraId="2BFE6995" w14:textId="77777777" w:rsidR="00F94244" w:rsidRPr="004C78D8" w:rsidRDefault="00F94244" w:rsidP="00FB7C1F">
            <w:pPr>
              <w:jc w:val="left"/>
              <w:rPr>
                <w:sz w:val="18"/>
                <w:szCs w:val="18"/>
              </w:rPr>
            </w:pPr>
            <w:r w:rsidRPr="004C78D8">
              <w:rPr>
                <w:sz w:val="18"/>
                <w:szCs w:val="18"/>
              </w:rPr>
              <w:t>31</w:t>
            </w:r>
          </w:p>
        </w:tc>
        <w:tc>
          <w:tcPr>
            <w:tcW w:w="455" w:type="pct"/>
            <w:tcBorders>
              <w:top w:val="nil"/>
              <w:left w:val="nil"/>
              <w:bottom w:val="nil"/>
              <w:right w:val="nil"/>
            </w:tcBorders>
          </w:tcPr>
          <w:p w14:paraId="5A2553DE" w14:textId="29782C1C" w:rsidR="00F94244" w:rsidRPr="004C78D8" w:rsidRDefault="00F94244" w:rsidP="00FB7C1F">
            <w:pPr>
              <w:jc w:val="left"/>
              <w:rPr>
                <w:sz w:val="18"/>
                <w:szCs w:val="18"/>
              </w:rPr>
            </w:pPr>
            <w:r w:rsidRPr="004C78D8">
              <w:rPr>
                <w:sz w:val="18"/>
                <w:szCs w:val="18"/>
              </w:rPr>
              <w:t xml:space="preserve">Nshimyu-mukiza (2013) </w:t>
            </w:r>
            <w:r w:rsidRPr="004C78D8">
              <w:rPr>
                <w:sz w:val="18"/>
                <w:szCs w:val="18"/>
              </w:rPr>
              <w:fldChar w:fldCharType="begin"/>
            </w:r>
            <w:r w:rsidR="00C630FC" w:rsidRPr="004C78D8">
              <w:rPr>
                <w:sz w:val="18"/>
                <w:szCs w:val="18"/>
              </w:rPr>
              <w:instrText xml:space="preserve"> ADDIN EN.CITE &lt;EndNote&gt;&lt;Cite&gt;&lt;Author&gt;Nshimyumukiza&lt;/Author&gt;&lt;Year&gt;2013&lt;/Year&gt;&lt;RecNum&gt;381&lt;/RecNum&gt;&lt;DisplayText&gt;[336]&lt;/DisplayText&gt;&lt;record&gt;&lt;rec-number&gt;381&lt;/rec-number&gt;&lt;foreign-keys&gt;&lt;key app="EN" db-id="tdtrdw9aepptzbefsat599syza29sxsd2wsp" timestamp="1612694614"&gt;381&lt;/key&gt;&lt;/foreign-keys&gt;&lt;ref-type name="Journal Article"&gt;17&lt;/ref-type&gt;&lt;contributors&gt;&lt;authors&gt;&lt;author&gt;Nshimyumukiza, Léon&lt;/author&gt;&lt;author&gt;Durand, Audrey&lt;/author&gt;&lt;author&gt;Gagnon, Mathieu&lt;/author&gt;&lt;author&gt;Douville, Xavier&lt;/author&gt;&lt;author&gt;Morin, Suzanne&lt;/author&gt;&lt;author&gt;Lindsay, Carmen&lt;/author&gt;&lt;author&gt;Duplantie, Julie&lt;/author&gt;&lt;author&gt;Gagné, Christian&lt;/author&gt;&lt;author&gt;Jean, Sonia&lt;/author&gt;&lt;author&gt;Giguere, Yves&lt;/author&gt;&lt;/authors&gt;&lt;/contributors&gt;&lt;titles&gt;&lt;title&gt;An economic evaluation: Simulation of the cost‐effectiveness and cost‐utility of universal prevention strategies against osteoporosis‐related fractures&lt;/title&gt;&lt;secondary-title&gt;Journal of Bone and Mineral Research&lt;/secondary-title&gt;&lt;/titles&gt;&lt;periodical&gt;&lt;full-title&gt;Journal of bone and mineral research&lt;/full-title&gt;&lt;/periodical&gt;&lt;pages&gt;383-394&lt;/pages&gt;&lt;volume&gt;28&lt;/volume&gt;&lt;number&gt;2&lt;/number&gt;&lt;dates&gt;&lt;year&gt;2013&lt;/year&gt;&lt;/dates&gt;&lt;isbn&gt;0884-0431&lt;/isbn&gt;&lt;urls&gt;&lt;/urls&gt;&lt;/record&gt;&lt;/Cite&gt;&lt;/EndNote&gt;</w:instrText>
            </w:r>
            <w:r w:rsidRPr="004C78D8">
              <w:rPr>
                <w:sz w:val="18"/>
                <w:szCs w:val="18"/>
              </w:rPr>
              <w:fldChar w:fldCharType="separate"/>
            </w:r>
            <w:r w:rsidR="00C630FC" w:rsidRPr="004C78D8">
              <w:rPr>
                <w:noProof/>
                <w:sz w:val="18"/>
                <w:szCs w:val="18"/>
              </w:rPr>
              <w:t>[336]</w:t>
            </w:r>
            <w:r w:rsidRPr="004C78D8">
              <w:rPr>
                <w:sz w:val="18"/>
                <w:szCs w:val="18"/>
              </w:rPr>
              <w:fldChar w:fldCharType="end"/>
            </w:r>
          </w:p>
        </w:tc>
        <w:tc>
          <w:tcPr>
            <w:tcW w:w="492" w:type="pct"/>
            <w:tcBorders>
              <w:top w:val="nil"/>
              <w:left w:val="nil"/>
              <w:bottom w:val="nil"/>
              <w:right w:val="nil"/>
            </w:tcBorders>
          </w:tcPr>
          <w:p w14:paraId="650F4436" w14:textId="77777777" w:rsidR="00F94244" w:rsidRPr="004C78D8" w:rsidRDefault="00F94244" w:rsidP="00FB7C1F">
            <w:pPr>
              <w:jc w:val="left"/>
              <w:rPr>
                <w:sz w:val="18"/>
                <w:szCs w:val="18"/>
              </w:rPr>
            </w:pPr>
            <w:r w:rsidRPr="004C78D8">
              <w:rPr>
                <w:sz w:val="18"/>
                <w:szCs w:val="18"/>
              </w:rPr>
              <w:t>Canada</w:t>
            </w:r>
          </w:p>
        </w:tc>
        <w:tc>
          <w:tcPr>
            <w:tcW w:w="950" w:type="pct"/>
            <w:tcBorders>
              <w:top w:val="nil"/>
              <w:left w:val="nil"/>
              <w:bottom w:val="nil"/>
              <w:right w:val="nil"/>
            </w:tcBorders>
          </w:tcPr>
          <w:p w14:paraId="15B8C049" w14:textId="77777777" w:rsidR="00F94244" w:rsidRPr="004C78D8" w:rsidRDefault="00F94244" w:rsidP="00FB7C1F">
            <w:pPr>
              <w:jc w:val="left"/>
              <w:rPr>
                <w:sz w:val="18"/>
                <w:szCs w:val="18"/>
              </w:rPr>
            </w:pPr>
            <w:r w:rsidRPr="004C78D8">
              <w:rPr>
                <w:sz w:val="18"/>
                <w:szCs w:val="18"/>
              </w:rPr>
              <w:t>Women aged 40+ (with subgroup aged 65+)</w:t>
            </w:r>
          </w:p>
        </w:tc>
        <w:tc>
          <w:tcPr>
            <w:tcW w:w="321" w:type="pct"/>
            <w:tcBorders>
              <w:top w:val="nil"/>
              <w:left w:val="nil"/>
              <w:bottom w:val="nil"/>
              <w:right w:val="nil"/>
            </w:tcBorders>
          </w:tcPr>
          <w:p w14:paraId="6BB55CE0" w14:textId="77777777" w:rsidR="00F94244" w:rsidRPr="004C78D8" w:rsidRDefault="00F94244" w:rsidP="00FB7C1F">
            <w:pPr>
              <w:jc w:val="left"/>
              <w:rPr>
                <w:sz w:val="18"/>
                <w:szCs w:val="18"/>
              </w:rPr>
            </w:pPr>
            <w:r w:rsidRPr="004C78D8">
              <w:rPr>
                <w:sz w:val="18"/>
                <w:szCs w:val="18"/>
              </w:rPr>
              <w:t>CEA; CUA</w:t>
            </w:r>
          </w:p>
        </w:tc>
        <w:tc>
          <w:tcPr>
            <w:tcW w:w="497" w:type="pct"/>
            <w:tcBorders>
              <w:top w:val="nil"/>
              <w:left w:val="nil"/>
              <w:bottom w:val="nil"/>
              <w:right w:val="nil"/>
            </w:tcBorders>
          </w:tcPr>
          <w:p w14:paraId="27B8EB99" w14:textId="77777777" w:rsidR="00F94244" w:rsidRPr="004C78D8" w:rsidRDefault="00F94244" w:rsidP="00FB7C1F">
            <w:pPr>
              <w:jc w:val="left"/>
              <w:rPr>
                <w:sz w:val="18"/>
                <w:szCs w:val="18"/>
              </w:rPr>
            </w:pPr>
            <w:r w:rsidRPr="004C78D8">
              <w:rPr>
                <w:sz w:val="18"/>
                <w:szCs w:val="18"/>
              </w:rPr>
              <w:t>Public sector</w:t>
            </w:r>
          </w:p>
        </w:tc>
        <w:tc>
          <w:tcPr>
            <w:tcW w:w="952" w:type="pct"/>
            <w:tcBorders>
              <w:top w:val="nil"/>
              <w:left w:val="nil"/>
              <w:bottom w:val="nil"/>
              <w:right w:val="nil"/>
            </w:tcBorders>
          </w:tcPr>
          <w:p w14:paraId="7C33078C" w14:textId="77777777" w:rsidR="00F94244" w:rsidRPr="004C78D8" w:rsidRDefault="00F94244" w:rsidP="00FB7C1F">
            <w:pPr>
              <w:jc w:val="left"/>
              <w:rPr>
                <w:sz w:val="18"/>
                <w:szCs w:val="18"/>
              </w:rPr>
            </w:pPr>
            <w:r w:rsidRPr="004C78D8">
              <w:rPr>
                <w:sz w:val="18"/>
                <w:szCs w:val="18"/>
              </w:rPr>
              <w:t>Fracture risk screening + Physical activity, Vit. D and calcium, and/or Osteoporosis screen &amp; treat [NR; Cross-comparison]</w:t>
            </w:r>
          </w:p>
        </w:tc>
        <w:tc>
          <w:tcPr>
            <w:tcW w:w="453" w:type="pct"/>
            <w:tcBorders>
              <w:top w:val="nil"/>
              <w:left w:val="nil"/>
              <w:bottom w:val="nil"/>
              <w:right w:val="nil"/>
            </w:tcBorders>
          </w:tcPr>
          <w:p w14:paraId="4CB58430" w14:textId="77777777" w:rsidR="00F94244" w:rsidRPr="004C78D8" w:rsidRDefault="00F94244" w:rsidP="00FB7C1F">
            <w:pPr>
              <w:jc w:val="left"/>
              <w:rPr>
                <w:sz w:val="18"/>
                <w:szCs w:val="18"/>
              </w:rPr>
            </w:pPr>
            <w:r w:rsidRPr="004C78D8">
              <w:rPr>
                <w:sz w:val="18"/>
                <w:szCs w:val="18"/>
              </w:rPr>
              <w:t>DT + Markov patient</w:t>
            </w:r>
          </w:p>
        </w:tc>
        <w:tc>
          <w:tcPr>
            <w:tcW w:w="355" w:type="pct"/>
            <w:tcBorders>
              <w:top w:val="nil"/>
              <w:left w:val="nil"/>
              <w:bottom w:val="nil"/>
              <w:right w:val="nil"/>
            </w:tcBorders>
          </w:tcPr>
          <w:p w14:paraId="6A9D08DD" w14:textId="77777777" w:rsidR="00F94244" w:rsidRPr="004C78D8" w:rsidRDefault="00F94244" w:rsidP="00FB7C1F">
            <w:pPr>
              <w:jc w:val="left"/>
              <w:rPr>
                <w:sz w:val="18"/>
                <w:szCs w:val="18"/>
              </w:rPr>
            </w:pPr>
            <w:r w:rsidRPr="004C78D8">
              <w:rPr>
                <w:sz w:val="18"/>
                <w:szCs w:val="18"/>
              </w:rPr>
              <w:t>Lifetime</w:t>
            </w:r>
          </w:p>
        </w:tc>
        <w:tc>
          <w:tcPr>
            <w:tcW w:w="377" w:type="pct"/>
            <w:tcBorders>
              <w:top w:val="nil"/>
              <w:left w:val="nil"/>
              <w:bottom w:val="nil"/>
            </w:tcBorders>
          </w:tcPr>
          <w:p w14:paraId="256A07EA" w14:textId="77777777" w:rsidR="00F94244" w:rsidRPr="004C78D8" w:rsidRDefault="00F94244" w:rsidP="00FB7C1F">
            <w:pPr>
              <w:jc w:val="left"/>
              <w:rPr>
                <w:sz w:val="18"/>
                <w:szCs w:val="18"/>
              </w:rPr>
            </w:pPr>
            <w:r w:rsidRPr="004C78D8">
              <w:rPr>
                <w:sz w:val="18"/>
                <w:szCs w:val="18"/>
              </w:rPr>
              <w:t>27</w:t>
            </w:r>
          </w:p>
        </w:tc>
      </w:tr>
      <w:tr w:rsidR="00F94244" w:rsidRPr="004C78D8" w14:paraId="6A633B0D" w14:textId="77777777" w:rsidTr="002828C1">
        <w:tc>
          <w:tcPr>
            <w:tcW w:w="149" w:type="pct"/>
            <w:tcBorders>
              <w:top w:val="nil"/>
              <w:bottom w:val="nil"/>
              <w:right w:val="nil"/>
            </w:tcBorders>
          </w:tcPr>
          <w:p w14:paraId="745AC9F0" w14:textId="77777777" w:rsidR="00F94244" w:rsidRPr="004C78D8" w:rsidRDefault="00F94244" w:rsidP="00FB7C1F">
            <w:pPr>
              <w:jc w:val="left"/>
              <w:rPr>
                <w:sz w:val="18"/>
                <w:szCs w:val="18"/>
              </w:rPr>
            </w:pPr>
            <w:r w:rsidRPr="004C78D8">
              <w:rPr>
                <w:sz w:val="18"/>
                <w:szCs w:val="18"/>
              </w:rPr>
              <w:t>32</w:t>
            </w:r>
          </w:p>
        </w:tc>
        <w:tc>
          <w:tcPr>
            <w:tcW w:w="455" w:type="pct"/>
            <w:tcBorders>
              <w:top w:val="nil"/>
              <w:left w:val="nil"/>
              <w:bottom w:val="nil"/>
              <w:right w:val="nil"/>
            </w:tcBorders>
          </w:tcPr>
          <w:p w14:paraId="5A01F7E5" w14:textId="77ADE8FE" w:rsidR="00F94244" w:rsidRPr="004C78D8" w:rsidRDefault="00F94244" w:rsidP="00FB7C1F">
            <w:pPr>
              <w:jc w:val="left"/>
              <w:rPr>
                <w:sz w:val="18"/>
                <w:szCs w:val="18"/>
              </w:rPr>
            </w:pPr>
            <w:r w:rsidRPr="004C78D8">
              <w:rPr>
                <w:sz w:val="18"/>
                <w:szCs w:val="18"/>
              </w:rPr>
              <w:t xml:space="preserve">OMAS (2008) </w:t>
            </w:r>
            <w:r w:rsidRPr="004C78D8">
              <w:rPr>
                <w:sz w:val="18"/>
                <w:szCs w:val="18"/>
              </w:rPr>
              <w:fldChar w:fldCharType="begin"/>
            </w:r>
            <w:r w:rsidR="00C630FC" w:rsidRPr="004C78D8">
              <w:rPr>
                <w:sz w:val="18"/>
                <w:szCs w:val="18"/>
              </w:rPr>
              <w:instrText xml:space="preserve"> ADDIN EN.CITE &lt;EndNote&gt;&lt;Cite&gt;&lt;Author&gt;Ontario Medical Advisory Secretariat&lt;/Author&gt;&lt;Year&gt;2008&lt;/Year&gt;&lt;RecNum&gt;348&lt;/RecNum&gt;&lt;DisplayText&gt;[366]&lt;/DisplayText&gt;&lt;record&gt;&lt;rec-number&gt;348&lt;/rec-number&gt;&lt;foreign-keys&gt;&lt;key app="EN" db-id="tdtrdw9aepptzbefsat599syza29sxsd2wsp" timestamp="1612211831"&gt;348&lt;/key&gt;&lt;/foreign-keys&gt;&lt;ref-type name="Journal Article"&gt;17&lt;/ref-type&gt;&lt;contributors&gt;&lt;authors&gt;&lt;author&gt;Ontario Medical Advisory Secretariat,&lt;/author&gt;&lt;/authors&gt;&lt;/contributors&gt;&lt;titles&gt;&lt;title&gt;The Falls/fractures Economic Model in Ontario Residents aged 65 years and over (FEMOR)&lt;/title&gt;&lt;secondary-title&gt;Ontario health technology assessment series&lt;/secondary-title&gt;&lt;/titles&gt;&lt;periodical&gt;&lt;full-title&gt;Ontario health technology assessment series&lt;/full-title&gt;&lt;/periodical&gt;&lt;pages&gt;1&lt;/pages&gt;&lt;volume&gt;8&lt;/volume&gt;&lt;number&gt;6&lt;/number&gt;&lt;dates&gt;&lt;year&gt;2008&lt;/year&gt;&lt;/dates&gt;&lt;urls&gt;&lt;/urls&gt;&lt;/record&gt;&lt;/Cite&gt;&lt;/EndNote&gt;</w:instrText>
            </w:r>
            <w:r w:rsidRPr="004C78D8">
              <w:rPr>
                <w:sz w:val="18"/>
                <w:szCs w:val="18"/>
              </w:rPr>
              <w:fldChar w:fldCharType="separate"/>
            </w:r>
            <w:r w:rsidR="00C630FC" w:rsidRPr="004C78D8">
              <w:rPr>
                <w:noProof/>
                <w:sz w:val="18"/>
                <w:szCs w:val="18"/>
              </w:rPr>
              <w:t>[366]</w:t>
            </w:r>
            <w:r w:rsidRPr="004C78D8">
              <w:rPr>
                <w:sz w:val="18"/>
                <w:szCs w:val="18"/>
              </w:rPr>
              <w:fldChar w:fldCharType="end"/>
            </w:r>
          </w:p>
        </w:tc>
        <w:tc>
          <w:tcPr>
            <w:tcW w:w="492" w:type="pct"/>
            <w:tcBorders>
              <w:top w:val="nil"/>
              <w:left w:val="nil"/>
              <w:bottom w:val="nil"/>
              <w:right w:val="nil"/>
            </w:tcBorders>
          </w:tcPr>
          <w:p w14:paraId="188FE1D6" w14:textId="77777777" w:rsidR="00F94244" w:rsidRPr="004C78D8" w:rsidRDefault="00F94244" w:rsidP="00FB7C1F">
            <w:pPr>
              <w:jc w:val="left"/>
              <w:rPr>
                <w:sz w:val="18"/>
                <w:szCs w:val="18"/>
              </w:rPr>
            </w:pPr>
            <w:r w:rsidRPr="004C78D8">
              <w:rPr>
                <w:sz w:val="18"/>
                <w:szCs w:val="18"/>
              </w:rPr>
              <w:t>Canada, Ontario</w:t>
            </w:r>
          </w:p>
        </w:tc>
        <w:tc>
          <w:tcPr>
            <w:tcW w:w="950" w:type="pct"/>
            <w:tcBorders>
              <w:top w:val="nil"/>
              <w:left w:val="nil"/>
              <w:bottom w:val="nil"/>
              <w:right w:val="nil"/>
            </w:tcBorders>
          </w:tcPr>
          <w:p w14:paraId="62D799D2" w14:textId="77777777" w:rsidR="00F94244" w:rsidRPr="004C78D8" w:rsidRDefault="00F94244" w:rsidP="00FB7C1F">
            <w:pPr>
              <w:jc w:val="left"/>
              <w:rPr>
                <w:sz w:val="18"/>
                <w:szCs w:val="18"/>
              </w:rPr>
            </w:pPr>
            <w:r w:rsidRPr="004C78D8">
              <w:rPr>
                <w:sz w:val="18"/>
                <w:szCs w:val="18"/>
              </w:rPr>
              <w:t>CD adults aged 65+</w:t>
            </w:r>
          </w:p>
        </w:tc>
        <w:tc>
          <w:tcPr>
            <w:tcW w:w="321" w:type="pct"/>
            <w:tcBorders>
              <w:top w:val="nil"/>
              <w:left w:val="nil"/>
              <w:bottom w:val="nil"/>
              <w:right w:val="nil"/>
            </w:tcBorders>
          </w:tcPr>
          <w:p w14:paraId="0434E748" w14:textId="77777777" w:rsidR="00F94244" w:rsidRPr="004C78D8" w:rsidRDefault="00F94244" w:rsidP="00FB7C1F">
            <w:pPr>
              <w:jc w:val="left"/>
              <w:rPr>
                <w:sz w:val="18"/>
                <w:szCs w:val="18"/>
              </w:rPr>
            </w:pPr>
            <w:r w:rsidRPr="004C78D8">
              <w:rPr>
                <w:sz w:val="18"/>
                <w:szCs w:val="18"/>
              </w:rPr>
              <w:t>CEA; ROI</w:t>
            </w:r>
          </w:p>
        </w:tc>
        <w:tc>
          <w:tcPr>
            <w:tcW w:w="497" w:type="pct"/>
            <w:tcBorders>
              <w:top w:val="nil"/>
              <w:left w:val="nil"/>
              <w:bottom w:val="nil"/>
              <w:right w:val="nil"/>
            </w:tcBorders>
          </w:tcPr>
          <w:p w14:paraId="7C996E66" w14:textId="77777777" w:rsidR="00F94244" w:rsidRPr="004C78D8" w:rsidRDefault="00F94244" w:rsidP="00FB7C1F">
            <w:pPr>
              <w:jc w:val="left"/>
              <w:rPr>
                <w:sz w:val="18"/>
                <w:szCs w:val="18"/>
              </w:rPr>
            </w:pPr>
            <w:r w:rsidRPr="004C78D8">
              <w:rPr>
                <w:sz w:val="18"/>
                <w:szCs w:val="18"/>
              </w:rPr>
              <w:t>Public sector</w:t>
            </w:r>
          </w:p>
        </w:tc>
        <w:tc>
          <w:tcPr>
            <w:tcW w:w="952" w:type="pct"/>
            <w:tcBorders>
              <w:top w:val="nil"/>
              <w:left w:val="nil"/>
              <w:bottom w:val="nil"/>
              <w:right w:val="nil"/>
            </w:tcBorders>
          </w:tcPr>
          <w:p w14:paraId="252D3691" w14:textId="77777777" w:rsidR="00F94244" w:rsidRPr="004C78D8" w:rsidRDefault="00F94244" w:rsidP="00FB7C1F">
            <w:pPr>
              <w:jc w:val="left"/>
              <w:rPr>
                <w:sz w:val="18"/>
                <w:szCs w:val="18"/>
              </w:rPr>
            </w:pPr>
            <w:r w:rsidRPr="004C78D8">
              <w:rPr>
                <w:sz w:val="18"/>
                <w:szCs w:val="18"/>
              </w:rPr>
              <w:t>Exercise; HAM; Vit. D and calcium; Med. modification; gait-stabilizer [NR]</w:t>
            </w:r>
          </w:p>
        </w:tc>
        <w:tc>
          <w:tcPr>
            <w:tcW w:w="453" w:type="pct"/>
            <w:tcBorders>
              <w:top w:val="nil"/>
              <w:left w:val="nil"/>
              <w:bottom w:val="nil"/>
              <w:right w:val="nil"/>
            </w:tcBorders>
          </w:tcPr>
          <w:p w14:paraId="529327B9" w14:textId="77777777" w:rsidR="00F94244" w:rsidRPr="004C78D8" w:rsidRDefault="00F94244" w:rsidP="00FB7C1F">
            <w:pPr>
              <w:jc w:val="left"/>
              <w:rPr>
                <w:sz w:val="18"/>
                <w:szCs w:val="18"/>
              </w:rPr>
            </w:pPr>
            <w:r w:rsidRPr="004C78D8">
              <w:rPr>
                <w:sz w:val="18"/>
                <w:szCs w:val="18"/>
              </w:rPr>
              <w:t>Markov cohort</w:t>
            </w:r>
          </w:p>
        </w:tc>
        <w:tc>
          <w:tcPr>
            <w:tcW w:w="355" w:type="pct"/>
            <w:tcBorders>
              <w:top w:val="nil"/>
              <w:left w:val="nil"/>
              <w:bottom w:val="nil"/>
              <w:right w:val="nil"/>
            </w:tcBorders>
          </w:tcPr>
          <w:p w14:paraId="7267D63F" w14:textId="77777777" w:rsidR="00F94244" w:rsidRPr="004C78D8" w:rsidRDefault="00F94244" w:rsidP="00FB7C1F">
            <w:pPr>
              <w:jc w:val="left"/>
              <w:rPr>
                <w:sz w:val="18"/>
                <w:szCs w:val="18"/>
              </w:rPr>
            </w:pPr>
            <w:r w:rsidRPr="004C78D8">
              <w:rPr>
                <w:sz w:val="18"/>
                <w:szCs w:val="18"/>
              </w:rPr>
              <w:t>Lifetime</w:t>
            </w:r>
          </w:p>
        </w:tc>
        <w:tc>
          <w:tcPr>
            <w:tcW w:w="377" w:type="pct"/>
            <w:tcBorders>
              <w:top w:val="nil"/>
              <w:left w:val="nil"/>
              <w:bottom w:val="nil"/>
            </w:tcBorders>
          </w:tcPr>
          <w:p w14:paraId="14931A43" w14:textId="77777777" w:rsidR="00F94244" w:rsidRPr="004C78D8" w:rsidRDefault="00F94244" w:rsidP="00FB7C1F">
            <w:pPr>
              <w:jc w:val="left"/>
              <w:rPr>
                <w:sz w:val="18"/>
                <w:szCs w:val="18"/>
              </w:rPr>
            </w:pPr>
            <w:r w:rsidRPr="004C78D8">
              <w:rPr>
                <w:sz w:val="18"/>
                <w:szCs w:val="18"/>
              </w:rPr>
              <w:t>22.5</w:t>
            </w:r>
          </w:p>
        </w:tc>
      </w:tr>
      <w:tr w:rsidR="00F94244" w:rsidRPr="004C78D8" w14:paraId="5BF1E7DE" w14:textId="77777777" w:rsidTr="002828C1">
        <w:tc>
          <w:tcPr>
            <w:tcW w:w="149" w:type="pct"/>
            <w:tcBorders>
              <w:top w:val="nil"/>
              <w:bottom w:val="nil"/>
              <w:right w:val="nil"/>
            </w:tcBorders>
          </w:tcPr>
          <w:p w14:paraId="7BDD6332" w14:textId="77777777" w:rsidR="00F94244" w:rsidRPr="004C78D8" w:rsidRDefault="00F94244" w:rsidP="00FB7C1F">
            <w:pPr>
              <w:jc w:val="left"/>
              <w:rPr>
                <w:sz w:val="18"/>
                <w:szCs w:val="18"/>
              </w:rPr>
            </w:pPr>
            <w:r w:rsidRPr="004C78D8">
              <w:rPr>
                <w:sz w:val="18"/>
                <w:szCs w:val="18"/>
              </w:rPr>
              <w:t>33</w:t>
            </w:r>
          </w:p>
        </w:tc>
        <w:tc>
          <w:tcPr>
            <w:tcW w:w="455" w:type="pct"/>
            <w:tcBorders>
              <w:top w:val="nil"/>
              <w:left w:val="nil"/>
              <w:bottom w:val="nil"/>
              <w:right w:val="nil"/>
            </w:tcBorders>
          </w:tcPr>
          <w:p w14:paraId="77337091" w14:textId="643B9DF7" w:rsidR="00F94244" w:rsidRPr="004C78D8" w:rsidRDefault="00F94244" w:rsidP="00FB7C1F">
            <w:pPr>
              <w:jc w:val="left"/>
              <w:rPr>
                <w:sz w:val="18"/>
                <w:szCs w:val="18"/>
              </w:rPr>
            </w:pPr>
            <w:r w:rsidRPr="004C78D8">
              <w:rPr>
                <w:sz w:val="18"/>
                <w:szCs w:val="18"/>
              </w:rPr>
              <w:t xml:space="preserve">Pega (2016) </w:t>
            </w:r>
            <w:r w:rsidRPr="004C78D8">
              <w:rPr>
                <w:sz w:val="18"/>
                <w:szCs w:val="18"/>
              </w:rPr>
              <w:fldChar w:fldCharType="begin">
                <w:fldData xml:space="preserve">PEVuZE5vdGU+PENpdGU+PEF1dGhvcj5QZWdhPC9BdXRob3I+PFllYXI+MjAxNjwvWWVhcj48UmVj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</w:fldData>
              </w:fldChar>
            </w:r>
            <w:r w:rsidR="00C630FC" w:rsidRPr="004C78D8">
              <w:rPr>
                <w:sz w:val="18"/>
                <w:szCs w:val="18"/>
              </w:rPr>
              <w:instrText xml:space="preserve"> ADDIN EN.CITE </w:instrText>
            </w:r>
            <w:r w:rsidR="00C630FC" w:rsidRPr="004C78D8">
              <w:rPr>
                <w:sz w:val="18"/>
                <w:szCs w:val="18"/>
              </w:rPr>
              <w:fldChar w:fldCharType="begin">
                <w:fldData xml:space="preserve">PEVuZE5vdGU+PENpdGU+PEF1dGhvcj5QZWdhPC9BdXRob3I+PFllYXI+MjAxNjwvWWVhcj48UmVj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</w:fldData>
              </w:fldChar>
            </w:r>
            <w:r w:rsidR="00C630FC" w:rsidRPr="004C78D8">
              <w:rPr>
                <w:sz w:val="18"/>
                <w:szCs w:val="18"/>
              </w:rPr>
              <w:instrText xml:space="preserve"> ADDIN EN.CITE.DATA </w:instrText>
            </w:r>
            <w:r w:rsidR="00C630FC" w:rsidRPr="004C78D8">
              <w:rPr>
                <w:sz w:val="18"/>
                <w:szCs w:val="18"/>
              </w:rPr>
            </w:r>
            <w:r w:rsidR="00C630FC" w:rsidRPr="004C78D8">
              <w:rPr>
                <w:sz w:val="18"/>
                <w:szCs w:val="18"/>
              </w:rPr>
              <w:fldChar w:fldCharType="end"/>
            </w:r>
            <w:r w:rsidRPr="004C78D8">
              <w:rPr>
                <w:sz w:val="18"/>
                <w:szCs w:val="18"/>
              </w:rPr>
            </w:r>
            <w:r w:rsidRPr="004C78D8">
              <w:rPr>
                <w:sz w:val="18"/>
                <w:szCs w:val="18"/>
              </w:rPr>
              <w:fldChar w:fldCharType="separate"/>
            </w:r>
            <w:r w:rsidR="00C630FC" w:rsidRPr="004C78D8">
              <w:rPr>
                <w:noProof/>
                <w:sz w:val="18"/>
                <w:szCs w:val="18"/>
              </w:rPr>
              <w:t>[241]</w:t>
            </w:r>
            <w:r w:rsidRPr="004C78D8">
              <w:rPr>
                <w:sz w:val="18"/>
                <w:szCs w:val="18"/>
              </w:rPr>
              <w:fldChar w:fldCharType="end"/>
            </w:r>
          </w:p>
        </w:tc>
        <w:tc>
          <w:tcPr>
            <w:tcW w:w="492" w:type="pct"/>
            <w:tcBorders>
              <w:top w:val="nil"/>
              <w:left w:val="nil"/>
              <w:bottom w:val="nil"/>
              <w:right w:val="nil"/>
            </w:tcBorders>
          </w:tcPr>
          <w:p w14:paraId="0B72712D" w14:textId="77777777" w:rsidR="00F94244" w:rsidRPr="004C78D8" w:rsidRDefault="00F94244" w:rsidP="00FB7C1F">
            <w:pPr>
              <w:jc w:val="left"/>
              <w:rPr>
                <w:sz w:val="18"/>
                <w:szCs w:val="18"/>
              </w:rPr>
            </w:pPr>
            <w:r w:rsidRPr="004C78D8">
              <w:rPr>
                <w:sz w:val="18"/>
                <w:szCs w:val="18"/>
              </w:rPr>
              <w:t>New Zealand</w:t>
            </w:r>
          </w:p>
        </w:tc>
        <w:tc>
          <w:tcPr>
            <w:tcW w:w="950" w:type="pct"/>
            <w:tcBorders>
              <w:top w:val="nil"/>
              <w:left w:val="nil"/>
              <w:bottom w:val="nil"/>
              <w:right w:val="nil"/>
            </w:tcBorders>
          </w:tcPr>
          <w:p w14:paraId="406C809F" w14:textId="77777777" w:rsidR="00F94244" w:rsidRPr="004C78D8" w:rsidRDefault="00F94244" w:rsidP="00FB7C1F">
            <w:pPr>
              <w:jc w:val="left"/>
              <w:rPr>
                <w:sz w:val="18"/>
                <w:szCs w:val="18"/>
              </w:rPr>
            </w:pPr>
            <w:r w:rsidRPr="004C78D8">
              <w:rPr>
                <w:sz w:val="18"/>
                <w:szCs w:val="18"/>
              </w:rPr>
              <w:t>CD adults aged 65+</w:t>
            </w:r>
          </w:p>
        </w:tc>
        <w:tc>
          <w:tcPr>
            <w:tcW w:w="321" w:type="pct"/>
            <w:tcBorders>
              <w:top w:val="nil"/>
              <w:left w:val="nil"/>
              <w:bottom w:val="nil"/>
              <w:right w:val="nil"/>
            </w:tcBorders>
          </w:tcPr>
          <w:p w14:paraId="1D8F3339" w14:textId="77777777" w:rsidR="00F94244" w:rsidRPr="004C78D8" w:rsidRDefault="00F94244" w:rsidP="00FB7C1F">
            <w:pPr>
              <w:jc w:val="left"/>
              <w:rPr>
                <w:sz w:val="18"/>
                <w:szCs w:val="18"/>
              </w:rPr>
            </w:pPr>
            <w:r w:rsidRPr="004C78D8">
              <w:rPr>
                <w:sz w:val="18"/>
                <w:szCs w:val="18"/>
              </w:rPr>
              <w:t>CUA</w:t>
            </w:r>
          </w:p>
        </w:tc>
        <w:tc>
          <w:tcPr>
            <w:tcW w:w="497" w:type="pct"/>
            <w:tcBorders>
              <w:top w:val="nil"/>
              <w:left w:val="nil"/>
              <w:bottom w:val="nil"/>
              <w:right w:val="nil"/>
            </w:tcBorders>
          </w:tcPr>
          <w:p w14:paraId="19ACD4EC" w14:textId="77777777" w:rsidR="00F94244" w:rsidRPr="004C78D8" w:rsidRDefault="00F94244" w:rsidP="00FB7C1F">
            <w:pPr>
              <w:jc w:val="left"/>
              <w:rPr>
                <w:sz w:val="18"/>
                <w:szCs w:val="18"/>
              </w:rPr>
            </w:pPr>
            <w:r w:rsidRPr="004C78D8">
              <w:rPr>
                <w:sz w:val="18"/>
                <w:szCs w:val="18"/>
              </w:rPr>
              <w:t>Public sector</w:t>
            </w:r>
          </w:p>
        </w:tc>
        <w:tc>
          <w:tcPr>
            <w:tcW w:w="952" w:type="pct"/>
            <w:tcBorders>
              <w:top w:val="nil"/>
              <w:left w:val="nil"/>
              <w:bottom w:val="nil"/>
              <w:right w:val="nil"/>
            </w:tcBorders>
          </w:tcPr>
          <w:p w14:paraId="16711297" w14:textId="77777777" w:rsidR="00F94244" w:rsidRPr="004C78D8" w:rsidRDefault="00F94244" w:rsidP="00FB7C1F">
            <w:pPr>
              <w:jc w:val="left"/>
              <w:rPr>
                <w:sz w:val="18"/>
                <w:szCs w:val="18"/>
              </w:rPr>
            </w:pPr>
            <w:r w:rsidRPr="004C78D8">
              <w:rPr>
                <w:sz w:val="18"/>
                <w:szCs w:val="18"/>
              </w:rPr>
              <w:t>HAM [NR]</w:t>
            </w:r>
          </w:p>
        </w:tc>
        <w:tc>
          <w:tcPr>
            <w:tcW w:w="453" w:type="pct"/>
            <w:tcBorders>
              <w:top w:val="nil"/>
              <w:left w:val="nil"/>
              <w:bottom w:val="nil"/>
              <w:right w:val="nil"/>
            </w:tcBorders>
          </w:tcPr>
          <w:p w14:paraId="0AE2EED2" w14:textId="77777777" w:rsidR="00F94244" w:rsidRPr="004C78D8" w:rsidRDefault="00F94244" w:rsidP="00FB7C1F">
            <w:pPr>
              <w:jc w:val="left"/>
              <w:rPr>
                <w:sz w:val="18"/>
                <w:szCs w:val="18"/>
              </w:rPr>
            </w:pPr>
            <w:r w:rsidRPr="004C78D8">
              <w:rPr>
                <w:sz w:val="18"/>
                <w:szCs w:val="18"/>
              </w:rPr>
              <w:t>Markov cohort</w:t>
            </w:r>
          </w:p>
        </w:tc>
        <w:tc>
          <w:tcPr>
            <w:tcW w:w="355" w:type="pct"/>
            <w:tcBorders>
              <w:top w:val="nil"/>
              <w:left w:val="nil"/>
              <w:bottom w:val="nil"/>
              <w:right w:val="nil"/>
            </w:tcBorders>
          </w:tcPr>
          <w:p w14:paraId="3EF09819" w14:textId="77777777" w:rsidR="00F94244" w:rsidRPr="004C78D8" w:rsidRDefault="00F94244" w:rsidP="00FB7C1F">
            <w:pPr>
              <w:jc w:val="left"/>
              <w:rPr>
                <w:sz w:val="18"/>
                <w:szCs w:val="18"/>
              </w:rPr>
            </w:pPr>
            <w:r w:rsidRPr="004C78D8">
              <w:rPr>
                <w:sz w:val="18"/>
                <w:szCs w:val="18"/>
              </w:rPr>
              <w:t>Lifetime</w:t>
            </w:r>
          </w:p>
        </w:tc>
        <w:tc>
          <w:tcPr>
            <w:tcW w:w="377" w:type="pct"/>
            <w:tcBorders>
              <w:top w:val="nil"/>
              <w:left w:val="nil"/>
              <w:bottom w:val="nil"/>
            </w:tcBorders>
          </w:tcPr>
          <w:p w14:paraId="2F07DE8F" w14:textId="77777777" w:rsidR="00F94244" w:rsidRPr="004C78D8" w:rsidRDefault="00F94244" w:rsidP="00FB7C1F">
            <w:pPr>
              <w:jc w:val="left"/>
              <w:rPr>
                <w:sz w:val="18"/>
                <w:szCs w:val="18"/>
              </w:rPr>
            </w:pPr>
            <w:r w:rsidRPr="004C78D8">
              <w:rPr>
                <w:sz w:val="18"/>
                <w:szCs w:val="18"/>
              </w:rPr>
              <w:t>23.5</w:t>
            </w:r>
          </w:p>
        </w:tc>
      </w:tr>
      <w:tr w:rsidR="00F94244" w:rsidRPr="004C78D8" w14:paraId="145F647C" w14:textId="77777777" w:rsidTr="002828C1">
        <w:tc>
          <w:tcPr>
            <w:tcW w:w="149" w:type="pct"/>
            <w:tcBorders>
              <w:top w:val="nil"/>
              <w:bottom w:val="nil"/>
              <w:right w:val="nil"/>
            </w:tcBorders>
          </w:tcPr>
          <w:p w14:paraId="6A591A45" w14:textId="77777777" w:rsidR="00F94244" w:rsidRPr="004C78D8" w:rsidRDefault="00F94244" w:rsidP="00FB7C1F">
            <w:pPr>
              <w:jc w:val="left"/>
              <w:rPr>
                <w:sz w:val="18"/>
                <w:szCs w:val="18"/>
              </w:rPr>
            </w:pPr>
            <w:r w:rsidRPr="004C78D8">
              <w:rPr>
                <w:sz w:val="18"/>
                <w:szCs w:val="18"/>
              </w:rPr>
              <w:lastRenderedPageBreak/>
              <w:t>34</w:t>
            </w:r>
          </w:p>
        </w:tc>
        <w:tc>
          <w:tcPr>
            <w:tcW w:w="455" w:type="pct"/>
            <w:tcBorders>
              <w:top w:val="nil"/>
              <w:left w:val="nil"/>
              <w:bottom w:val="nil"/>
              <w:right w:val="nil"/>
            </w:tcBorders>
          </w:tcPr>
          <w:p w14:paraId="7751B51C" w14:textId="76AEF47A" w:rsidR="00F94244" w:rsidRPr="004C78D8" w:rsidRDefault="00F94244" w:rsidP="00FB7C1F">
            <w:pPr>
              <w:jc w:val="left"/>
              <w:rPr>
                <w:sz w:val="18"/>
                <w:szCs w:val="18"/>
              </w:rPr>
            </w:pPr>
            <w:r w:rsidRPr="004C78D8">
              <w:rPr>
                <w:sz w:val="18"/>
                <w:szCs w:val="18"/>
              </w:rPr>
              <w:t xml:space="preserve">Poole (2014) </w:t>
            </w:r>
            <w:r w:rsidRPr="004C78D8">
              <w:rPr>
                <w:sz w:val="18"/>
                <w:szCs w:val="18"/>
              </w:rPr>
              <w:fldChar w:fldCharType="begin"/>
            </w:r>
            <w:r w:rsidR="00C630FC" w:rsidRPr="004C78D8">
              <w:rPr>
                <w:sz w:val="18"/>
                <w:szCs w:val="18"/>
              </w:rPr>
              <w:instrText xml:space="preserve"> ADDIN EN.CITE &lt;EndNote&gt;&lt;Cite&gt;&lt;Author&gt;Poole&lt;/Author&gt;&lt;Year&gt;2014&lt;/Year&gt;&lt;RecNum&gt;399&lt;/RecNum&gt;&lt;DisplayText&gt;[367]&lt;/DisplayText&gt;&lt;record&gt;&lt;rec-number&gt;399&lt;/rec-number&gt;&lt;foreign-keys&gt;&lt;key app="EN" db-id="tdtrdw9aepptzbefsat599syza29sxsd2wsp" timestamp="1612695138"&gt;399&lt;/key&gt;&lt;/foreign-keys&gt;&lt;ref-type name="Journal Article"&gt;17&lt;/ref-type&gt;&lt;contributors&gt;&lt;authors&gt;&lt;author&gt;Poole, Chris D&lt;/author&gt;&lt;author&gt;Smith, Jamie C&lt;/author&gt;&lt;author&gt;Davies, J Stephen&lt;/author&gt;&lt;/authors&gt;&lt;/contributors&gt;&lt;titles&gt;&lt;title&gt;The short-term impact of vitamin D-based hip fracture prevention in older adults in the United Kingdom&lt;/title&gt;&lt;secondary-title&gt;Journal of endocrinological investigation&lt;/secondary-title&gt;&lt;/titles&gt;&lt;periodical&gt;&lt;full-title&gt;Journal of endocrinological investigation&lt;/full-title&gt;&lt;/periodical&gt;&lt;pages&gt;811-817&lt;/pages&gt;&lt;volume&gt;37&lt;/volume&gt;&lt;number&gt;9&lt;/number&gt;&lt;dates&gt;&lt;year&gt;2014&lt;/year&gt;&lt;/dates&gt;&lt;isbn&gt;1720-8386&lt;/isbn&gt;&lt;urls&gt;&lt;/urls&gt;&lt;/record&gt;&lt;/Cite&gt;&lt;/EndNote&gt;</w:instrText>
            </w:r>
            <w:r w:rsidRPr="004C78D8">
              <w:rPr>
                <w:sz w:val="18"/>
                <w:szCs w:val="18"/>
              </w:rPr>
              <w:fldChar w:fldCharType="separate"/>
            </w:r>
            <w:r w:rsidR="00C630FC" w:rsidRPr="004C78D8">
              <w:rPr>
                <w:noProof/>
                <w:sz w:val="18"/>
                <w:szCs w:val="18"/>
              </w:rPr>
              <w:t>[367]</w:t>
            </w:r>
            <w:r w:rsidRPr="004C78D8">
              <w:rPr>
                <w:sz w:val="18"/>
                <w:szCs w:val="18"/>
              </w:rPr>
              <w:fldChar w:fldCharType="end"/>
            </w:r>
          </w:p>
        </w:tc>
        <w:tc>
          <w:tcPr>
            <w:tcW w:w="492" w:type="pct"/>
            <w:tcBorders>
              <w:top w:val="nil"/>
              <w:left w:val="nil"/>
              <w:bottom w:val="nil"/>
              <w:right w:val="nil"/>
            </w:tcBorders>
          </w:tcPr>
          <w:p w14:paraId="149DF088" w14:textId="77777777" w:rsidR="00F94244" w:rsidRPr="004C78D8" w:rsidRDefault="00F94244" w:rsidP="00FB7C1F">
            <w:pPr>
              <w:jc w:val="left"/>
              <w:rPr>
                <w:sz w:val="18"/>
                <w:szCs w:val="18"/>
              </w:rPr>
            </w:pPr>
            <w:r w:rsidRPr="004C78D8">
              <w:rPr>
                <w:sz w:val="18"/>
                <w:szCs w:val="18"/>
              </w:rPr>
              <w:t>UK</w:t>
            </w:r>
          </w:p>
        </w:tc>
        <w:tc>
          <w:tcPr>
            <w:tcW w:w="950" w:type="pct"/>
            <w:tcBorders>
              <w:top w:val="nil"/>
              <w:left w:val="nil"/>
              <w:bottom w:val="nil"/>
              <w:right w:val="nil"/>
            </w:tcBorders>
          </w:tcPr>
          <w:p w14:paraId="0A21408A" w14:textId="77777777" w:rsidR="00F94244" w:rsidRPr="004C78D8" w:rsidRDefault="00F94244" w:rsidP="00FB7C1F">
            <w:pPr>
              <w:jc w:val="left"/>
              <w:rPr>
                <w:sz w:val="18"/>
                <w:szCs w:val="18"/>
              </w:rPr>
            </w:pPr>
            <w:r w:rsidRPr="004C78D8">
              <w:rPr>
                <w:sz w:val="18"/>
                <w:szCs w:val="18"/>
              </w:rPr>
              <w:t>Adults aged 65+</w:t>
            </w:r>
          </w:p>
        </w:tc>
        <w:tc>
          <w:tcPr>
            <w:tcW w:w="321" w:type="pct"/>
            <w:tcBorders>
              <w:top w:val="nil"/>
              <w:left w:val="nil"/>
              <w:bottom w:val="nil"/>
              <w:right w:val="nil"/>
            </w:tcBorders>
          </w:tcPr>
          <w:p w14:paraId="38B5AB46" w14:textId="77777777" w:rsidR="00F94244" w:rsidRPr="004C78D8" w:rsidRDefault="00F94244" w:rsidP="00FB7C1F">
            <w:pPr>
              <w:jc w:val="left"/>
              <w:rPr>
                <w:sz w:val="18"/>
                <w:szCs w:val="18"/>
              </w:rPr>
            </w:pPr>
            <w:r w:rsidRPr="004C78D8">
              <w:rPr>
                <w:sz w:val="18"/>
                <w:szCs w:val="18"/>
              </w:rPr>
              <w:t>ROI</w:t>
            </w:r>
          </w:p>
        </w:tc>
        <w:tc>
          <w:tcPr>
            <w:tcW w:w="497" w:type="pct"/>
            <w:tcBorders>
              <w:top w:val="nil"/>
              <w:left w:val="nil"/>
              <w:bottom w:val="nil"/>
              <w:right w:val="nil"/>
            </w:tcBorders>
          </w:tcPr>
          <w:p w14:paraId="2C787EAA" w14:textId="77777777" w:rsidR="00F94244" w:rsidRPr="004C78D8" w:rsidRDefault="00F94244" w:rsidP="00FB7C1F">
            <w:pPr>
              <w:jc w:val="left"/>
              <w:rPr>
                <w:sz w:val="18"/>
                <w:szCs w:val="18"/>
              </w:rPr>
            </w:pPr>
            <w:r w:rsidRPr="004C78D8">
              <w:rPr>
                <w:sz w:val="18"/>
                <w:szCs w:val="18"/>
              </w:rPr>
              <w:t>Public sector</w:t>
            </w:r>
          </w:p>
        </w:tc>
        <w:tc>
          <w:tcPr>
            <w:tcW w:w="952" w:type="pct"/>
            <w:tcBorders>
              <w:top w:val="nil"/>
              <w:left w:val="nil"/>
              <w:bottom w:val="nil"/>
              <w:right w:val="nil"/>
            </w:tcBorders>
          </w:tcPr>
          <w:p w14:paraId="259FF841" w14:textId="77777777" w:rsidR="00F94244" w:rsidRPr="004C78D8" w:rsidRDefault="00F94244" w:rsidP="00FB7C1F">
            <w:pPr>
              <w:jc w:val="left"/>
              <w:rPr>
                <w:sz w:val="18"/>
                <w:szCs w:val="18"/>
              </w:rPr>
            </w:pPr>
            <w:r w:rsidRPr="004C78D8">
              <w:rPr>
                <w:sz w:val="18"/>
                <w:szCs w:val="18"/>
              </w:rPr>
              <w:t>Vit. D [NR]</w:t>
            </w:r>
          </w:p>
        </w:tc>
        <w:tc>
          <w:tcPr>
            <w:tcW w:w="453" w:type="pct"/>
            <w:tcBorders>
              <w:top w:val="nil"/>
              <w:left w:val="nil"/>
              <w:bottom w:val="nil"/>
              <w:right w:val="nil"/>
            </w:tcBorders>
          </w:tcPr>
          <w:p w14:paraId="0503ADCF" w14:textId="77777777" w:rsidR="00F94244" w:rsidRPr="004C78D8" w:rsidRDefault="00F94244" w:rsidP="00FB7C1F">
            <w:pPr>
              <w:jc w:val="left"/>
              <w:rPr>
                <w:sz w:val="18"/>
                <w:szCs w:val="18"/>
              </w:rPr>
            </w:pPr>
            <w:r w:rsidRPr="004C78D8">
              <w:rPr>
                <w:sz w:val="18"/>
                <w:szCs w:val="18"/>
              </w:rPr>
              <w:t>Binary decision</w:t>
            </w:r>
          </w:p>
        </w:tc>
        <w:tc>
          <w:tcPr>
            <w:tcW w:w="355" w:type="pct"/>
            <w:tcBorders>
              <w:top w:val="nil"/>
              <w:left w:val="nil"/>
              <w:bottom w:val="nil"/>
              <w:right w:val="nil"/>
            </w:tcBorders>
          </w:tcPr>
          <w:p w14:paraId="792F89A8" w14:textId="77777777" w:rsidR="00F94244" w:rsidRPr="004C78D8" w:rsidRDefault="00F94244" w:rsidP="00FB7C1F">
            <w:pPr>
              <w:jc w:val="left"/>
              <w:rPr>
                <w:sz w:val="18"/>
                <w:szCs w:val="18"/>
              </w:rPr>
            </w:pPr>
            <w:r w:rsidRPr="004C78D8">
              <w:rPr>
                <w:sz w:val="18"/>
                <w:szCs w:val="18"/>
              </w:rPr>
              <w:t>1 year</w:t>
            </w:r>
          </w:p>
        </w:tc>
        <w:tc>
          <w:tcPr>
            <w:tcW w:w="377" w:type="pct"/>
            <w:tcBorders>
              <w:top w:val="nil"/>
              <w:left w:val="nil"/>
              <w:bottom w:val="nil"/>
            </w:tcBorders>
          </w:tcPr>
          <w:p w14:paraId="2FC0D95C" w14:textId="77777777" w:rsidR="00F94244" w:rsidRPr="004C78D8" w:rsidRDefault="00F94244" w:rsidP="00FB7C1F">
            <w:pPr>
              <w:jc w:val="left"/>
              <w:rPr>
                <w:sz w:val="18"/>
                <w:szCs w:val="18"/>
              </w:rPr>
            </w:pPr>
            <w:r w:rsidRPr="004C78D8">
              <w:rPr>
                <w:sz w:val="18"/>
                <w:szCs w:val="18"/>
              </w:rPr>
              <w:t>23.5</w:t>
            </w:r>
          </w:p>
        </w:tc>
      </w:tr>
      <w:tr w:rsidR="00F94244" w:rsidRPr="004C78D8" w14:paraId="2268F9A6" w14:textId="77777777" w:rsidTr="002828C1">
        <w:tc>
          <w:tcPr>
            <w:tcW w:w="149" w:type="pct"/>
            <w:tcBorders>
              <w:top w:val="nil"/>
              <w:bottom w:val="nil"/>
              <w:right w:val="nil"/>
            </w:tcBorders>
          </w:tcPr>
          <w:p w14:paraId="2A9E9628" w14:textId="77777777" w:rsidR="00F94244" w:rsidRPr="004C78D8" w:rsidRDefault="00F94244" w:rsidP="00FB7C1F">
            <w:pPr>
              <w:jc w:val="left"/>
              <w:rPr>
                <w:sz w:val="18"/>
                <w:szCs w:val="18"/>
              </w:rPr>
            </w:pPr>
            <w:r w:rsidRPr="004C78D8">
              <w:rPr>
                <w:sz w:val="18"/>
                <w:szCs w:val="18"/>
              </w:rPr>
              <w:t>35</w:t>
            </w:r>
          </w:p>
        </w:tc>
        <w:tc>
          <w:tcPr>
            <w:tcW w:w="455" w:type="pct"/>
            <w:tcBorders>
              <w:top w:val="nil"/>
              <w:left w:val="nil"/>
              <w:bottom w:val="nil"/>
              <w:right w:val="nil"/>
            </w:tcBorders>
          </w:tcPr>
          <w:p w14:paraId="20F33D59" w14:textId="1FFCAA32" w:rsidR="00F94244" w:rsidRPr="004C78D8" w:rsidRDefault="00F94244" w:rsidP="00FB7C1F">
            <w:pPr>
              <w:jc w:val="left"/>
              <w:rPr>
                <w:sz w:val="18"/>
                <w:szCs w:val="18"/>
              </w:rPr>
            </w:pPr>
            <w:r w:rsidRPr="004C78D8">
              <w:rPr>
                <w:sz w:val="18"/>
                <w:szCs w:val="18"/>
              </w:rPr>
              <w:t xml:space="preserve">Poole (2015) </w:t>
            </w:r>
            <w:r w:rsidRPr="004C78D8">
              <w:rPr>
                <w:sz w:val="18"/>
                <w:szCs w:val="18"/>
              </w:rPr>
              <w:fldChar w:fldCharType="begin">
                <w:fldData xml:space="preserve">PEVuZE5vdGU+PENpdGU+PEF1dGhvcj5Qb29sZTwvQXV0aG9yPjxZZWFyPjIwMTU8L1llYXI+PFJl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</w:fldData>
              </w:fldChar>
            </w:r>
            <w:r w:rsidR="00C630FC" w:rsidRPr="004C78D8">
              <w:rPr>
                <w:sz w:val="18"/>
                <w:szCs w:val="18"/>
              </w:rPr>
              <w:instrText xml:space="preserve"> ADDIN EN.CITE </w:instrText>
            </w:r>
            <w:r w:rsidR="00C630FC" w:rsidRPr="004C78D8">
              <w:rPr>
                <w:sz w:val="18"/>
                <w:szCs w:val="18"/>
              </w:rPr>
              <w:fldChar w:fldCharType="begin">
                <w:fldData xml:space="preserve">PEVuZE5vdGU+PENpdGU+PEF1dGhvcj5Qb29sZTwvQXV0aG9yPjxZZWFyPjIwMTU8L1llYXI+PFJl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</w:fldData>
              </w:fldChar>
            </w:r>
            <w:r w:rsidR="00C630FC" w:rsidRPr="004C78D8">
              <w:rPr>
                <w:sz w:val="18"/>
                <w:szCs w:val="18"/>
              </w:rPr>
              <w:instrText xml:space="preserve"> ADDIN EN.CITE.DATA </w:instrText>
            </w:r>
            <w:r w:rsidR="00C630FC" w:rsidRPr="004C78D8">
              <w:rPr>
                <w:sz w:val="18"/>
                <w:szCs w:val="18"/>
              </w:rPr>
            </w:r>
            <w:r w:rsidR="00C630FC" w:rsidRPr="004C78D8">
              <w:rPr>
                <w:sz w:val="18"/>
                <w:szCs w:val="18"/>
              </w:rPr>
              <w:fldChar w:fldCharType="end"/>
            </w:r>
            <w:r w:rsidRPr="004C78D8">
              <w:rPr>
                <w:sz w:val="18"/>
                <w:szCs w:val="18"/>
              </w:rPr>
            </w:r>
            <w:r w:rsidRPr="004C78D8">
              <w:rPr>
                <w:sz w:val="18"/>
                <w:szCs w:val="18"/>
              </w:rPr>
              <w:fldChar w:fldCharType="separate"/>
            </w:r>
            <w:r w:rsidR="00C630FC" w:rsidRPr="004C78D8">
              <w:rPr>
                <w:noProof/>
                <w:sz w:val="18"/>
                <w:szCs w:val="18"/>
              </w:rPr>
              <w:t>[356]</w:t>
            </w:r>
            <w:r w:rsidRPr="004C78D8">
              <w:rPr>
                <w:sz w:val="18"/>
                <w:szCs w:val="18"/>
              </w:rPr>
              <w:fldChar w:fldCharType="end"/>
            </w:r>
          </w:p>
        </w:tc>
        <w:tc>
          <w:tcPr>
            <w:tcW w:w="492" w:type="pct"/>
            <w:tcBorders>
              <w:top w:val="nil"/>
              <w:left w:val="nil"/>
              <w:bottom w:val="nil"/>
              <w:right w:val="nil"/>
            </w:tcBorders>
          </w:tcPr>
          <w:p w14:paraId="2E853761" w14:textId="77777777" w:rsidR="00F94244" w:rsidRPr="004C78D8" w:rsidRDefault="00F94244" w:rsidP="00FB7C1F">
            <w:pPr>
              <w:jc w:val="left"/>
              <w:rPr>
                <w:sz w:val="18"/>
                <w:szCs w:val="18"/>
              </w:rPr>
            </w:pPr>
            <w:r w:rsidRPr="004C78D8">
              <w:rPr>
                <w:sz w:val="18"/>
                <w:szCs w:val="18"/>
              </w:rPr>
              <w:t>UK</w:t>
            </w:r>
          </w:p>
        </w:tc>
        <w:tc>
          <w:tcPr>
            <w:tcW w:w="950" w:type="pct"/>
            <w:tcBorders>
              <w:top w:val="nil"/>
              <w:left w:val="nil"/>
              <w:bottom w:val="nil"/>
              <w:right w:val="nil"/>
            </w:tcBorders>
          </w:tcPr>
          <w:p w14:paraId="47AA58FB" w14:textId="77777777" w:rsidR="00F94244" w:rsidRPr="004C78D8" w:rsidRDefault="00F94244" w:rsidP="00FB7C1F">
            <w:pPr>
              <w:jc w:val="left"/>
              <w:rPr>
                <w:sz w:val="18"/>
                <w:szCs w:val="18"/>
              </w:rPr>
            </w:pPr>
            <w:r w:rsidRPr="004C78D8">
              <w:rPr>
                <w:sz w:val="18"/>
                <w:szCs w:val="18"/>
              </w:rPr>
              <w:t>CD adults aged 60+</w:t>
            </w:r>
          </w:p>
        </w:tc>
        <w:tc>
          <w:tcPr>
            <w:tcW w:w="321" w:type="pct"/>
            <w:tcBorders>
              <w:top w:val="nil"/>
              <w:left w:val="nil"/>
              <w:bottom w:val="nil"/>
              <w:right w:val="nil"/>
            </w:tcBorders>
          </w:tcPr>
          <w:p w14:paraId="6D247FBB" w14:textId="77777777" w:rsidR="00F94244" w:rsidRPr="004C78D8" w:rsidRDefault="00F94244" w:rsidP="00FB7C1F">
            <w:pPr>
              <w:jc w:val="left"/>
              <w:rPr>
                <w:sz w:val="18"/>
                <w:szCs w:val="18"/>
              </w:rPr>
            </w:pPr>
            <w:r w:rsidRPr="004C78D8">
              <w:rPr>
                <w:sz w:val="18"/>
                <w:szCs w:val="18"/>
              </w:rPr>
              <w:t>CUA; ROI</w:t>
            </w:r>
          </w:p>
        </w:tc>
        <w:tc>
          <w:tcPr>
            <w:tcW w:w="497" w:type="pct"/>
            <w:tcBorders>
              <w:top w:val="nil"/>
              <w:left w:val="nil"/>
              <w:bottom w:val="nil"/>
              <w:right w:val="nil"/>
            </w:tcBorders>
          </w:tcPr>
          <w:p w14:paraId="2C450E03" w14:textId="77777777" w:rsidR="00F94244" w:rsidRPr="004C78D8" w:rsidRDefault="00F94244" w:rsidP="00FB7C1F">
            <w:pPr>
              <w:jc w:val="left"/>
              <w:rPr>
                <w:sz w:val="18"/>
                <w:szCs w:val="18"/>
              </w:rPr>
            </w:pPr>
            <w:r w:rsidRPr="004C78D8">
              <w:rPr>
                <w:sz w:val="18"/>
                <w:szCs w:val="18"/>
              </w:rPr>
              <w:t>Public sector</w:t>
            </w:r>
          </w:p>
        </w:tc>
        <w:tc>
          <w:tcPr>
            <w:tcW w:w="952" w:type="pct"/>
            <w:tcBorders>
              <w:top w:val="nil"/>
              <w:left w:val="nil"/>
              <w:bottom w:val="nil"/>
              <w:right w:val="nil"/>
            </w:tcBorders>
          </w:tcPr>
          <w:p w14:paraId="70376446" w14:textId="77777777" w:rsidR="00F94244" w:rsidRPr="004C78D8" w:rsidRDefault="00F94244" w:rsidP="00FB7C1F">
            <w:pPr>
              <w:jc w:val="left"/>
              <w:rPr>
                <w:sz w:val="18"/>
                <w:szCs w:val="18"/>
              </w:rPr>
            </w:pPr>
            <w:r w:rsidRPr="004C78D8">
              <w:rPr>
                <w:sz w:val="18"/>
                <w:szCs w:val="18"/>
              </w:rPr>
              <w:t>Vit. D [NR]</w:t>
            </w:r>
          </w:p>
        </w:tc>
        <w:tc>
          <w:tcPr>
            <w:tcW w:w="453" w:type="pct"/>
            <w:tcBorders>
              <w:top w:val="nil"/>
              <w:left w:val="nil"/>
              <w:bottom w:val="nil"/>
              <w:right w:val="nil"/>
            </w:tcBorders>
          </w:tcPr>
          <w:p w14:paraId="180ED3CF" w14:textId="77777777" w:rsidR="00F94244" w:rsidRPr="004C78D8" w:rsidRDefault="00F94244" w:rsidP="00FB7C1F">
            <w:pPr>
              <w:jc w:val="left"/>
              <w:rPr>
                <w:sz w:val="18"/>
                <w:szCs w:val="18"/>
              </w:rPr>
            </w:pPr>
            <w:r w:rsidRPr="004C78D8">
              <w:rPr>
                <w:sz w:val="18"/>
                <w:szCs w:val="18"/>
              </w:rPr>
              <w:t>Markov cohort</w:t>
            </w:r>
          </w:p>
        </w:tc>
        <w:tc>
          <w:tcPr>
            <w:tcW w:w="355" w:type="pct"/>
            <w:tcBorders>
              <w:top w:val="nil"/>
              <w:left w:val="nil"/>
              <w:bottom w:val="nil"/>
              <w:right w:val="nil"/>
            </w:tcBorders>
          </w:tcPr>
          <w:p w14:paraId="0BE061C7" w14:textId="77777777" w:rsidR="00F94244" w:rsidRPr="004C78D8" w:rsidRDefault="00F94244" w:rsidP="00FB7C1F">
            <w:pPr>
              <w:jc w:val="left"/>
              <w:rPr>
                <w:sz w:val="18"/>
                <w:szCs w:val="18"/>
              </w:rPr>
            </w:pPr>
            <w:r w:rsidRPr="004C78D8">
              <w:rPr>
                <w:sz w:val="18"/>
                <w:szCs w:val="18"/>
              </w:rPr>
              <w:t>5 years</w:t>
            </w:r>
          </w:p>
        </w:tc>
        <w:tc>
          <w:tcPr>
            <w:tcW w:w="377" w:type="pct"/>
            <w:tcBorders>
              <w:top w:val="nil"/>
              <w:left w:val="nil"/>
              <w:bottom w:val="nil"/>
            </w:tcBorders>
          </w:tcPr>
          <w:p w14:paraId="3A13BDE6" w14:textId="77777777" w:rsidR="00F94244" w:rsidRPr="004C78D8" w:rsidRDefault="00F94244" w:rsidP="00FB7C1F">
            <w:pPr>
              <w:jc w:val="left"/>
              <w:rPr>
                <w:sz w:val="18"/>
                <w:szCs w:val="18"/>
              </w:rPr>
            </w:pPr>
            <w:r w:rsidRPr="004C78D8">
              <w:rPr>
                <w:sz w:val="18"/>
                <w:szCs w:val="18"/>
              </w:rPr>
              <w:t>20.5</w:t>
            </w:r>
          </w:p>
        </w:tc>
      </w:tr>
      <w:tr w:rsidR="00F94244" w:rsidRPr="004C78D8" w14:paraId="3DCAC20E" w14:textId="77777777" w:rsidTr="002828C1">
        <w:tc>
          <w:tcPr>
            <w:tcW w:w="149" w:type="pct"/>
            <w:tcBorders>
              <w:top w:val="nil"/>
              <w:bottom w:val="nil"/>
              <w:right w:val="nil"/>
            </w:tcBorders>
          </w:tcPr>
          <w:p w14:paraId="303E07A8" w14:textId="77777777" w:rsidR="00F94244" w:rsidRPr="004C78D8" w:rsidRDefault="00F94244" w:rsidP="00FB7C1F">
            <w:pPr>
              <w:jc w:val="left"/>
              <w:rPr>
                <w:sz w:val="18"/>
                <w:szCs w:val="18"/>
              </w:rPr>
            </w:pPr>
            <w:r w:rsidRPr="004C78D8">
              <w:rPr>
                <w:sz w:val="18"/>
                <w:szCs w:val="18"/>
              </w:rPr>
              <w:t>36</w:t>
            </w:r>
          </w:p>
        </w:tc>
        <w:tc>
          <w:tcPr>
            <w:tcW w:w="455" w:type="pct"/>
            <w:tcBorders>
              <w:top w:val="nil"/>
              <w:left w:val="nil"/>
              <w:bottom w:val="nil"/>
              <w:right w:val="nil"/>
            </w:tcBorders>
          </w:tcPr>
          <w:p w14:paraId="56B89444" w14:textId="4697A003" w:rsidR="00F94244" w:rsidRPr="004C78D8" w:rsidRDefault="00F94244" w:rsidP="00FB7C1F">
            <w:pPr>
              <w:jc w:val="left"/>
              <w:rPr>
                <w:sz w:val="18"/>
                <w:szCs w:val="18"/>
              </w:rPr>
            </w:pPr>
            <w:r w:rsidRPr="004C78D8">
              <w:rPr>
                <w:sz w:val="18"/>
                <w:szCs w:val="18"/>
              </w:rPr>
              <w:t xml:space="preserve">PHE (2018) </w:t>
            </w:r>
            <w:r w:rsidRPr="004C78D8">
              <w:rPr>
                <w:sz w:val="18"/>
                <w:szCs w:val="18"/>
              </w:rPr>
              <w:fldChar w:fldCharType="begin"/>
            </w:r>
            <w:r w:rsidR="00C630FC" w:rsidRPr="004C78D8">
              <w:rPr>
                <w:sz w:val="18"/>
                <w:szCs w:val="18"/>
              </w:rPr>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4C78D8">
              <w:rPr>
                <w:sz w:val="18"/>
                <w:szCs w:val="18"/>
              </w:rPr>
              <w:fldChar w:fldCharType="separate"/>
            </w:r>
            <w:r w:rsidR="00C630FC" w:rsidRPr="004C78D8">
              <w:rPr>
                <w:noProof/>
                <w:sz w:val="18"/>
                <w:szCs w:val="18"/>
              </w:rPr>
              <w:t>[216]</w:t>
            </w:r>
            <w:r w:rsidRPr="004C78D8">
              <w:rPr>
                <w:sz w:val="18"/>
                <w:szCs w:val="18"/>
              </w:rPr>
              <w:fldChar w:fldCharType="end"/>
            </w:r>
          </w:p>
        </w:tc>
        <w:tc>
          <w:tcPr>
            <w:tcW w:w="492" w:type="pct"/>
            <w:tcBorders>
              <w:top w:val="nil"/>
              <w:left w:val="nil"/>
              <w:bottom w:val="nil"/>
              <w:right w:val="nil"/>
            </w:tcBorders>
          </w:tcPr>
          <w:p w14:paraId="021CE58D" w14:textId="77777777" w:rsidR="00F94244" w:rsidRPr="004C78D8" w:rsidRDefault="00F94244" w:rsidP="00FB7C1F">
            <w:pPr>
              <w:jc w:val="left"/>
              <w:rPr>
                <w:sz w:val="18"/>
                <w:szCs w:val="18"/>
              </w:rPr>
            </w:pPr>
            <w:r w:rsidRPr="004C78D8">
              <w:rPr>
                <w:sz w:val="18"/>
                <w:szCs w:val="18"/>
              </w:rPr>
              <w:t>England, varying regions</w:t>
            </w:r>
          </w:p>
        </w:tc>
        <w:tc>
          <w:tcPr>
            <w:tcW w:w="950" w:type="pct"/>
            <w:tcBorders>
              <w:top w:val="nil"/>
              <w:left w:val="nil"/>
              <w:bottom w:val="nil"/>
              <w:right w:val="nil"/>
            </w:tcBorders>
          </w:tcPr>
          <w:p w14:paraId="299EF477" w14:textId="77777777" w:rsidR="00F94244" w:rsidRPr="004C78D8" w:rsidRDefault="00F94244" w:rsidP="00FB7C1F">
            <w:pPr>
              <w:jc w:val="left"/>
              <w:rPr>
                <w:sz w:val="18"/>
                <w:szCs w:val="18"/>
              </w:rPr>
            </w:pPr>
            <w:r w:rsidRPr="004C78D8">
              <w:rPr>
                <w:sz w:val="18"/>
                <w:szCs w:val="18"/>
              </w:rPr>
              <w:t>CD adults aged 65+</w:t>
            </w:r>
          </w:p>
        </w:tc>
        <w:tc>
          <w:tcPr>
            <w:tcW w:w="321" w:type="pct"/>
            <w:tcBorders>
              <w:top w:val="nil"/>
              <w:left w:val="nil"/>
              <w:bottom w:val="nil"/>
              <w:right w:val="nil"/>
            </w:tcBorders>
          </w:tcPr>
          <w:p w14:paraId="52155372" w14:textId="77777777" w:rsidR="00F94244" w:rsidRPr="004C78D8" w:rsidRDefault="00F94244" w:rsidP="00FB7C1F">
            <w:pPr>
              <w:jc w:val="left"/>
              <w:rPr>
                <w:sz w:val="18"/>
                <w:szCs w:val="18"/>
              </w:rPr>
            </w:pPr>
            <w:r w:rsidRPr="004C78D8">
              <w:rPr>
                <w:sz w:val="18"/>
                <w:szCs w:val="18"/>
              </w:rPr>
              <w:t>CUA; ROI</w:t>
            </w:r>
          </w:p>
        </w:tc>
        <w:tc>
          <w:tcPr>
            <w:tcW w:w="497" w:type="pct"/>
            <w:tcBorders>
              <w:top w:val="nil"/>
              <w:left w:val="nil"/>
              <w:bottom w:val="nil"/>
              <w:right w:val="nil"/>
            </w:tcBorders>
          </w:tcPr>
          <w:p w14:paraId="172F2192" w14:textId="77777777" w:rsidR="00F94244" w:rsidRPr="004C78D8" w:rsidRDefault="00F94244" w:rsidP="00FB7C1F">
            <w:pPr>
              <w:jc w:val="left"/>
              <w:rPr>
                <w:sz w:val="18"/>
                <w:szCs w:val="18"/>
              </w:rPr>
            </w:pPr>
            <w:r w:rsidRPr="004C78D8">
              <w:rPr>
                <w:sz w:val="18"/>
                <w:szCs w:val="18"/>
              </w:rPr>
              <w:t>Public sector</w:t>
            </w:r>
          </w:p>
        </w:tc>
        <w:tc>
          <w:tcPr>
            <w:tcW w:w="952" w:type="pct"/>
            <w:tcBorders>
              <w:top w:val="nil"/>
              <w:left w:val="nil"/>
              <w:bottom w:val="nil"/>
              <w:right w:val="nil"/>
            </w:tcBorders>
          </w:tcPr>
          <w:p w14:paraId="062799C3" w14:textId="77777777" w:rsidR="00F94244" w:rsidRPr="004C78D8" w:rsidRDefault="00F94244" w:rsidP="00FB7C1F">
            <w:pPr>
              <w:jc w:val="left"/>
              <w:rPr>
                <w:sz w:val="18"/>
                <w:szCs w:val="18"/>
              </w:rPr>
            </w:pPr>
            <w:r w:rsidRPr="004C78D8">
              <w:rPr>
                <w:sz w:val="18"/>
                <w:szCs w:val="18"/>
              </w:rPr>
              <w:t>Exercise (3 forms); HAM [NR]</w:t>
            </w:r>
          </w:p>
        </w:tc>
        <w:tc>
          <w:tcPr>
            <w:tcW w:w="453" w:type="pct"/>
            <w:tcBorders>
              <w:top w:val="nil"/>
              <w:left w:val="nil"/>
              <w:bottom w:val="nil"/>
              <w:right w:val="nil"/>
            </w:tcBorders>
          </w:tcPr>
          <w:p w14:paraId="38427866" w14:textId="77777777" w:rsidR="00F94244" w:rsidRPr="004C78D8" w:rsidRDefault="00F94244" w:rsidP="00FB7C1F">
            <w:pPr>
              <w:jc w:val="left"/>
              <w:rPr>
                <w:sz w:val="18"/>
                <w:szCs w:val="18"/>
              </w:rPr>
            </w:pPr>
            <w:r w:rsidRPr="004C78D8">
              <w:rPr>
                <w:sz w:val="18"/>
                <w:szCs w:val="18"/>
              </w:rPr>
              <w:t>DT</w:t>
            </w:r>
          </w:p>
        </w:tc>
        <w:tc>
          <w:tcPr>
            <w:tcW w:w="355" w:type="pct"/>
            <w:tcBorders>
              <w:top w:val="nil"/>
              <w:left w:val="nil"/>
              <w:bottom w:val="nil"/>
              <w:right w:val="nil"/>
            </w:tcBorders>
          </w:tcPr>
          <w:p w14:paraId="6911C17C" w14:textId="77777777" w:rsidR="00F94244" w:rsidRPr="004C78D8" w:rsidRDefault="00F94244" w:rsidP="00FB7C1F">
            <w:pPr>
              <w:jc w:val="left"/>
              <w:rPr>
                <w:sz w:val="18"/>
                <w:szCs w:val="18"/>
              </w:rPr>
            </w:pPr>
            <w:r w:rsidRPr="004C78D8">
              <w:rPr>
                <w:sz w:val="18"/>
                <w:szCs w:val="18"/>
              </w:rPr>
              <w:t>2 years</w:t>
            </w:r>
          </w:p>
        </w:tc>
        <w:tc>
          <w:tcPr>
            <w:tcW w:w="377" w:type="pct"/>
            <w:tcBorders>
              <w:top w:val="nil"/>
              <w:left w:val="nil"/>
              <w:bottom w:val="nil"/>
            </w:tcBorders>
          </w:tcPr>
          <w:p w14:paraId="6938A97B" w14:textId="77777777" w:rsidR="00F94244" w:rsidRPr="004C78D8" w:rsidRDefault="00F94244" w:rsidP="00FB7C1F">
            <w:pPr>
              <w:jc w:val="left"/>
              <w:rPr>
                <w:sz w:val="18"/>
                <w:szCs w:val="18"/>
              </w:rPr>
            </w:pPr>
            <w:r w:rsidRPr="004C78D8">
              <w:rPr>
                <w:sz w:val="18"/>
                <w:szCs w:val="18"/>
              </w:rPr>
              <w:t>26.5</w:t>
            </w:r>
          </w:p>
        </w:tc>
      </w:tr>
      <w:tr w:rsidR="00F94244" w:rsidRPr="004C78D8" w14:paraId="3E2002A7" w14:textId="77777777" w:rsidTr="002828C1">
        <w:tc>
          <w:tcPr>
            <w:tcW w:w="149" w:type="pct"/>
            <w:tcBorders>
              <w:top w:val="nil"/>
              <w:bottom w:val="nil"/>
              <w:right w:val="nil"/>
            </w:tcBorders>
          </w:tcPr>
          <w:p w14:paraId="26835BEB" w14:textId="77777777" w:rsidR="00F94244" w:rsidRPr="004C78D8" w:rsidRDefault="00F94244" w:rsidP="00FB7C1F">
            <w:pPr>
              <w:jc w:val="left"/>
              <w:rPr>
                <w:sz w:val="18"/>
                <w:szCs w:val="18"/>
              </w:rPr>
            </w:pPr>
            <w:r w:rsidRPr="004C78D8">
              <w:rPr>
                <w:sz w:val="18"/>
                <w:szCs w:val="18"/>
              </w:rPr>
              <w:t>37</w:t>
            </w:r>
          </w:p>
        </w:tc>
        <w:tc>
          <w:tcPr>
            <w:tcW w:w="455" w:type="pct"/>
            <w:tcBorders>
              <w:top w:val="nil"/>
              <w:left w:val="nil"/>
              <w:bottom w:val="nil"/>
              <w:right w:val="nil"/>
            </w:tcBorders>
          </w:tcPr>
          <w:p w14:paraId="186A0F21" w14:textId="72DE85CC" w:rsidR="00F94244" w:rsidRPr="004C78D8" w:rsidRDefault="00F94244" w:rsidP="00FB7C1F">
            <w:pPr>
              <w:jc w:val="left"/>
              <w:rPr>
                <w:sz w:val="18"/>
                <w:szCs w:val="18"/>
              </w:rPr>
            </w:pPr>
            <w:r w:rsidRPr="004C78D8">
              <w:rPr>
                <w:sz w:val="18"/>
                <w:szCs w:val="18"/>
              </w:rPr>
              <w:t xml:space="preserve">RCN (2005) </w:t>
            </w:r>
            <w:r w:rsidRPr="004C78D8">
              <w:rPr>
                <w:sz w:val="18"/>
                <w:szCs w:val="18"/>
              </w:rPr>
              <w:fldChar w:fldCharType="begin"/>
            </w:r>
            <w:r w:rsidR="00513646" w:rsidRPr="004C78D8">
              <w:rPr>
                <w:sz w:val="18"/>
                <w:szCs w:val="18"/>
              </w:rPr>
              <w:instrText xml:space="preserve"> ADDIN EN.CITE &lt;EndNote&gt;&lt;Cite&gt;&lt;Author&gt;Royal College of Nursing&lt;/Author&gt;&lt;Year&gt;2005&lt;/Year&gt;&lt;RecNum&gt;294&lt;/RecNum&gt;&lt;DisplayText&gt;[146]&lt;/DisplayText&gt;&lt;record&gt;&lt;rec-number&gt;294&lt;/rec-number&gt;&lt;foreign-keys&gt;&lt;key app="EN" db-id="tdtrdw9aepptzbefsat599syza29sxsd2wsp" timestamp="1611870926"&gt;294&lt;/key&gt;&lt;/foreign-keys&gt;&lt;ref-type name="Journal Article"&gt;17&lt;/ref-type&gt;&lt;contributors&gt;&lt;authors&gt;&lt;author&gt;Royal College of Nursing,&lt;/author&gt;&lt;/authors&gt;&lt;/contributors&gt;&lt;titles&gt;&lt;title&gt;Clinical practice guideline for the assessment and prevention of falls in older people&lt;/title&gt;&lt;secondary-title&gt;Clinical Practice Guidelines&lt;/secondary-title&gt;&lt;/titles&gt;&lt;periodical&gt;&lt;full-title&gt;Clinical Practice Guidelines&lt;/full-title&gt;&lt;/periodical&gt;&lt;volume&gt;London: Royal College of Nursing&lt;/volume&gt;&lt;dates&gt;&lt;year&gt;2005&lt;/year&gt;&lt;/dates&gt;&lt;urls&gt;&lt;/urls&gt;&lt;/record&gt;&lt;/Cite&gt;&lt;/EndNote&gt;</w:instrText>
            </w:r>
            <w:r w:rsidRPr="004C78D8">
              <w:rPr>
                <w:sz w:val="18"/>
                <w:szCs w:val="18"/>
              </w:rPr>
              <w:fldChar w:fldCharType="separate"/>
            </w:r>
            <w:r w:rsidR="00513646" w:rsidRPr="004C78D8">
              <w:rPr>
                <w:noProof/>
                <w:sz w:val="18"/>
                <w:szCs w:val="18"/>
              </w:rPr>
              <w:t>[146]</w:t>
            </w:r>
            <w:r w:rsidRPr="004C78D8">
              <w:rPr>
                <w:sz w:val="18"/>
                <w:szCs w:val="18"/>
              </w:rPr>
              <w:fldChar w:fldCharType="end"/>
            </w:r>
          </w:p>
        </w:tc>
        <w:tc>
          <w:tcPr>
            <w:tcW w:w="492" w:type="pct"/>
            <w:tcBorders>
              <w:top w:val="nil"/>
              <w:left w:val="nil"/>
              <w:bottom w:val="nil"/>
              <w:right w:val="nil"/>
            </w:tcBorders>
          </w:tcPr>
          <w:p w14:paraId="37D326C7" w14:textId="77777777" w:rsidR="00F94244" w:rsidRPr="004C78D8" w:rsidRDefault="00F94244" w:rsidP="00FB7C1F">
            <w:pPr>
              <w:jc w:val="left"/>
              <w:rPr>
                <w:sz w:val="18"/>
                <w:szCs w:val="18"/>
              </w:rPr>
            </w:pPr>
            <w:r w:rsidRPr="004C78D8">
              <w:rPr>
                <w:sz w:val="18"/>
                <w:szCs w:val="18"/>
              </w:rPr>
              <w:t>England &amp; Wales</w:t>
            </w:r>
          </w:p>
        </w:tc>
        <w:tc>
          <w:tcPr>
            <w:tcW w:w="950" w:type="pct"/>
            <w:tcBorders>
              <w:top w:val="nil"/>
              <w:left w:val="nil"/>
              <w:bottom w:val="nil"/>
              <w:right w:val="nil"/>
            </w:tcBorders>
          </w:tcPr>
          <w:p w14:paraId="3A836634" w14:textId="77777777" w:rsidR="00F94244" w:rsidRPr="004C78D8" w:rsidRDefault="00F94244" w:rsidP="00FB7C1F">
            <w:pPr>
              <w:jc w:val="left"/>
              <w:rPr>
                <w:sz w:val="18"/>
                <w:szCs w:val="18"/>
              </w:rPr>
            </w:pPr>
            <w:r w:rsidRPr="004C78D8">
              <w:rPr>
                <w:sz w:val="18"/>
                <w:szCs w:val="18"/>
              </w:rPr>
              <w:t>CD adults aged 60+</w:t>
            </w:r>
          </w:p>
        </w:tc>
        <w:tc>
          <w:tcPr>
            <w:tcW w:w="321" w:type="pct"/>
            <w:tcBorders>
              <w:top w:val="nil"/>
              <w:left w:val="nil"/>
              <w:bottom w:val="nil"/>
              <w:right w:val="nil"/>
            </w:tcBorders>
          </w:tcPr>
          <w:p w14:paraId="5DF49E6C" w14:textId="77777777" w:rsidR="00F94244" w:rsidRPr="004C78D8" w:rsidRDefault="00F94244" w:rsidP="00FB7C1F">
            <w:pPr>
              <w:jc w:val="left"/>
              <w:rPr>
                <w:sz w:val="18"/>
                <w:szCs w:val="18"/>
              </w:rPr>
            </w:pPr>
            <w:r w:rsidRPr="004C78D8">
              <w:rPr>
                <w:sz w:val="18"/>
                <w:szCs w:val="18"/>
              </w:rPr>
              <w:t>CUA</w:t>
            </w:r>
          </w:p>
        </w:tc>
        <w:tc>
          <w:tcPr>
            <w:tcW w:w="497" w:type="pct"/>
            <w:tcBorders>
              <w:top w:val="nil"/>
              <w:left w:val="nil"/>
              <w:bottom w:val="nil"/>
              <w:right w:val="nil"/>
            </w:tcBorders>
          </w:tcPr>
          <w:p w14:paraId="0C6E84A8" w14:textId="77777777" w:rsidR="00F94244" w:rsidRPr="004C78D8" w:rsidRDefault="00F94244" w:rsidP="00FB7C1F">
            <w:pPr>
              <w:jc w:val="left"/>
              <w:rPr>
                <w:sz w:val="18"/>
                <w:szCs w:val="18"/>
              </w:rPr>
            </w:pPr>
            <w:r w:rsidRPr="004C78D8">
              <w:rPr>
                <w:sz w:val="18"/>
                <w:szCs w:val="18"/>
              </w:rPr>
              <w:t>Public sector</w:t>
            </w:r>
          </w:p>
        </w:tc>
        <w:tc>
          <w:tcPr>
            <w:tcW w:w="952" w:type="pct"/>
            <w:tcBorders>
              <w:top w:val="nil"/>
              <w:left w:val="nil"/>
              <w:bottom w:val="nil"/>
              <w:right w:val="nil"/>
            </w:tcBorders>
          </w:tcPr>
          <w:p w14:paraId="06E3D855" w14:textId="77777777" w:rsidR="00F94244" w:rsidRPr="004C78D8" w:rsidRDefault="00F94244" w:rsidP="00FB7C1F">
            <w:pPr>
              <w:jc w:val="left"/>
              <w:rPr>
                <w:sz w:val="18"/>
                <w:szCs w:val="18"/>
              </w:rPr>
            </w:pPr>
            <w:r w:rsidRPr="004C78D8">
              <w:rPr>
                <w:sz w:val="18"/>
                <w:szCs w:val="18"/>
              </w:rPr>
              <w:t>Exercise; MF int. [NR]</w:t>
            </w:r>
          </w:p>
        </w:tc>
        <w:tc>
          <w:tcPr>
            <w:tcW w:w="453" w:type="pct"/>
            <w:tcBorders>
              <w:top w:val="nil"/>
              <w:left w:val="nil"/>
              <w:bottom w:val="nil"/>
              <w:right w:val="nil"/>
            </w:tcBorders>
          </w:tcPr>
          <w:p w14:paraId="6DEEEA4D" w14:textId="77777777" w:rsidR="00F94244" w:rsidRPr="004C78D8" w:rsidRDefault="00F94244" w:rsidP="00FB7C1F">
            <w:pPr>
              <w:jc w:val="left"/>
              <w:rPr>
                <w:sz w:val="18"/>
                <w:szCs w:val="18"/>
              </w:rPr>
            </w:pPr>
            <w:r w:rsidRPr="004C78D8">
              <w:rPr>
                <w:sz w:val="18"/>
                <w:szCs w:val="18"/>
              </w:rPr>
              <w:t>Markov cohort</w:t>
            </w:r>
          </w:p>
        </w:tc>
        <w:tc>
          <w:tcPr>
            <w:tcW w:w="355" w:type="pct"/>
            <w:tcBorders>
              <w:top w:val="nil"/>
              <w:left w:val="nil"/>
              <w:bottom w:val="nil"/>
              <w:right w:val="nil"/>
            </w:tcBorders>
          </w:tcPr>
          <w:p w14:paraId="019F795F" w14:textId="77777777" w:rsidR="00F94244" w:rsidRPr="004C78D8" w:rsidRDefault="00F94244" w:rsidP="00FB7C1F">
            <w:pPr>
              <w:jc w:val="left"/>
              <w:rPr>
                <w:sz w:val="18"/>
                <w:szCs w:val="18"/>
              </w:rPr>
            </w:pPr>
            <w:r w:rsidRPr="004C78D8">
              <w:rPr>
                <w:sz w:val="18"/>
                <w:szCs w:val="18"/>
              </w:rPr>
              <w:t>Lifetime</w:t>
            </w:r>
          </w:p>
        </w:tc>
        <w:tc>
          <w:tcPr>
            <w:tcW w:w="377" w:type="pct"/>
            <w:tcBorders>
              <w:top w:val="nil"/>
              <w:left w:val="nil"/>
              <w:bottom w:val="nil"/>
            </w:tcBorders>
          </w:tcPr>
          <w:p w14:paraId="5DFFEC7B" w14:textId="77777777" w:rsidR="00F94244" w:rsidRPr="004C78D8" w:rsidRDefault="00F94244" w:rsidP="00FB7C1F">
            <w:pPr>
              <w:jc w:val="left"/>
              <w:rPr>
                <w:sz w:val="18"/>
                <w:szCs w:val="18"/>
              </w:rPr>
            </w:pPr>
            <w:r w:rsidRPr="004C78D8">
              <w:rPr>
                <w:sz w:val="18"/>
                <w:szCs w:val="18"/>
              </w:rPr>
              <w:t>18</w:t>
            </w:r>
          </w:p>
        </w:tc>
      </w:tr>
      <w:tr w:rsidR="00F94244" w:rsidRPr="004C78D8" w14:paraId="22CEA073" w14:textId="77777777" w:rsidTr="002828C1">
        <w:tc>
          <w:tcPr>
            <w:tcW w:w="149" w:type="pct"/>
            <w:tcBorders>
              <w:top w:val="nil"/>
              <w:bottom w:val="nil"/>
              <w:right w:val="nil"/>
            </w:tcBorders>
          </w:tcPr>
          <w:p w14:paraId="6D12890C" w14:textId="77777777" w:rsidR="00F94244" w:rsidRPr="004C78D8" w:rsidRDefault="00F94244" w:rsidP="00FB7C1F">
            <w:pPr>
              <w:jc w:val="left"/>
              <w:rPr>
                <w:sz w:val="18"/>
                <w:szCs w:val="18"/>
              </w:rPr>
            </w:pPr>
            <w:r w:rsidRPr="004C78D8">
              <w:rPr>
                <w:sz w:val="18"/>
                <w:szCs w:val="18"/>
              </w:rPr>
              <w:t>38</w:t>
            </w:r>
          </w:p>
        </w:tc>
        <w:tc>
          <w:tcPr>
            <w:tcW w:w="455" w:type="pct"/>
            <w:tcBorders>
              <w:top w:val="nil"/>
              <w:left w:val="nil"/>
              <w:bottom w:val="nil"/>
              <w:right w:val="nil"/>
            </w:tcBorders>
          </w:tcPr>
          <w:p w14:paraId="7B207D07" w14:textId="75F906E1" w:rsidR="00F94244" w:rsidRPr="004C78D8" w:rsidRDefault="00F94244" w:rsidP="00FB7C1F">
            <w:pPr>
              <w:jc w:val="left"/>
              <w:rPr>
                <w:sz w:val="18"/>
                <w:szCs w:val="18"/>
              </w:rPr>
            </w:pPr>
            <w:r w:rsidRPr="004C78D8">
              <w:rPr>
                <w:sz w:val="18"/>
                <w:szCs w:val="18"/>
              </w:rPr>
              <w:t xml:space="preserve">Sach (2007) </w:t>
            </w:r>
            <w:r w:rsidRPr="004C78D8">
              <w:rPr>
                <w:sz w:val="18"/>
                <w:szCs w:val="18"/>
              </w:rPr>
              <w:fldChar w:fldCharType="begin"/>
            </w:r>
            <w:r w:rsidR="00C630FC" w:rsidRPr="004C78D8">
              <w:rPr>
                <w:sz w:val="18"/>
                <w:szCs w:val="18"/>
              </w:rPr>
              <w:instrText xml:space="preserve"> ADDIN EN.CITE &lt;EndNote&gt;&lt;Cite&gt;&lt;Author&gt;Sach&lt;/Author&gt;&lt;Year&gt;2007&lt;/Year&gt;&lt;RecNum&gt;354&lt;/RecNum&gt;&lt;DisplayText&gt;[349]&lt;/DisplayText&gt;&lt;record&gt;&lt;rec-number&gt;354&lt;/rec-number&gt;&lt;foreign-keys&gt;&lt;key app="EN" db-id="tdtrdw9aepptzbefsat599syza29sxsd2wsp" timestamp="1612212070"&gt;354&lt;/key&gt;&lt;/foreign-keys&gt;&lt;ref-type name="Journal Article"&gt;17&lt;/ref-type&gt;&lt;contributors&gt;&lt;authors&gt;&lt;author&gt;Sach, T. H.&lt;/author&gt;&lt;author&gt;Foss, A. J.&lt;/author&gt;&lt;author&gt;Gregson, R. M.&lt;/author&gt;&lt;author&gt;Zaman, A.&lt;/author&gt;&lt;author&gt;Osborn, F.&lt;/author&gt;&lt;author&gt;Masud, T.&lt;/author&gt;&lt;author&gt;Harwood, R. H.&lt;/author&gt;&lt;/authors&gt;&lt;/contributors&gt;&lt;auth-address&gt;School of Chemical Sciences and Pharmacy, University of East Anglia, Norwich NR4 7TJ, UK. T.Sach@uea.ac.uk&lt;/auth-address&gt;&lt;titles&gt;&lt;title&gt;Falls and health status in elderly women following first eye cataract surgery: an economic evaluation conducted alongside a randomised controlled trial&lt;/title&gt;&lt;secondary-title&gt;Br J Ophthalmol&lt;/secondary-title&gt;&lt;/titles&gt;&lt;periodical&gt;&lt;full-title&gt;Br J Ophthalmol&lt;/full-title&gt;&lt;/periodical&gt;&lt;pages&gt;1675-9&lt;/pages&gt;&lt;volume&gt;91&lt;/volume&gt;&lt;number&gt;12&lt;/number&gt;&lt;keywords&gt;&lt;keyword&gt;*Accidental Falls/prevention &amp;amp; control&lt;/keyword&gt;&lt;keyword&gt;Aged&lt;/keyword&gt;&lt;keyword&gt;Cataract/physiopathology&lt;/keyword&gt;&lt;keyword&gt;Cataract Extraction/*economics&lt;/keyword&gt;&lt;keyword&gt;Cost-Benefit Analysis&lt;/keyword&gt;&lt;keyword&gt;Female&lt;/keyword&gt;&lt;keyword&gt;Health Care Costs&lt;/keyword&gt;&lt;keyword&gt;*Health Status&lt;/keyword&gt;&lt;keyword&gt;Humans&lt;/keyword&gt;&lt;keyword&gt;Models, Economic&lt;/keyword&gt;&lt;keyword&gt;Postoperative Period&lt;/keyword&gt;&lt;keyword&gt;Quality-Adjusted Life Years&lt;/keyword&gt;&lt;keyword&gt;Visual Acuity&lt;/keyword&gt;&lt;/keywords&gt;&lt;dates&gt;&lt;year&gt;2007&lt;/year&gt;&lt;pub-dates&gt;&lt;date&gt;Dec&lt;/date&gt;&lt;/pub-dates&gt;&lt;/dates&gt;&lt;isbn&gt;1468-2079 (Electronic)&amp;#xD;0007-1161 (Linking)&lt;/isbn&gt;&lt;accession-num&gt;17585002&lt;/accession-num&gt;&lt;urls&gt;&lt;related-urls&gt;&lt;url&gt;https://www.ncbi.nlm.nih.gov/pubmed/17585002&lt;/url&gt;&lt;/related-urls&gt;&lt;/urls&gt;&lt;custom2&gt;PMC2095519&lt;/custom2&gt;&lt;electronic-resource-num&gt;10.1136/bjo.2007.118687&lt;/electronic-resource-num&gt;&lt;/record&gt;&lt;/Cite&gt;&lt;/EndNote&gt;</w:instrText>
            </w:r>
            <w:r w:rsidRPr="004C78D8">
              <w:rPr>
                <w:sz w:val="18"/>
                <w:szCs w:val="18"/>
              </w:rPr>
              <w:fldChar w:fldCharType="separate"/>
            </w:r>
            <w:r w:rsidR="00C630FC" w:rsidRPr="004C78D8">
              <w:rPr>
                <w:noProof/>
                <w:sz w:val="18"/>
                <w:szCs w:val="18"/>
              </w:rPr>
              <w:t>[349]</w:t>
            </w:r>
            <w:r w:rsidRPr="004C78D8">
              <w:rPr>
                <w:sz w:val="18"/>
                <w:szCs w:val="18"/>
              </w:rPr>
              <w:fldChar w:fldCharType="end"/>
            </w:r>
          </w:p>
        </w:tc>
        <w:tc>
          <w:tcPr>
            <w:tcW w:w="492" w:type="pct"/>
            <w:tcBorders>
              <w:top w:val="nil"/>
              <w:left w:val="nil"/>
              <w:bottom w:val="nil"/>
              <w:right w:val="nil"/>
            </w:tcBorders>
          </w:tcPr>
          <w:p w14:paraId="2869767F" w14:textId="77777777" w:rsidR="00F94244" w:rsidRPr="004C78D8" w:rsidRDefault="00F94244" w:rsidP="00FB7C1F">
            <w:pPr>
              <w:jc w:val="left"/>
              <w:rPr>
                <w:sz w:val="18"/>
                <w:szCs w:val="18"/>
              </w:rPr>
            </w:pPr>
            <w:r w:rsidRPr="004C78D8">
              <w:rPr>
                <w:sz w:val="18"/>
                <w:szCs w:val="18"/>
              </w:rPr>
              <w:t>UK</w:t>
            </w:r>
          </w:p>
        </w:tc>
        <w:tc>
          <w:tcPr>
            <w:tcW w:w="950" w:type="pct"/>
            <w:tcBorders>
              <w:top w:val="nil"/>
              <w:left w:val="nil"/>
              <w:bottom w:val="nil"/>
              <w:right w:val="nil"/>
            </w:tcBorders>
          </w:tcPr>
          <w:p w14:paraId="70F3B0D6" w14:textId="77777777" w:rsidR="00F94244" w:rsidRPr="004C78D8" w:rsidRDefault="00F94244" w:rsidP="00FB7C1F">
            <w:pPr>
              <w:jc w:val="left"/>
              <w:rPr>
                <w:sz w:val="18"/>
                <w:szCs w:val="18"/>
              </w:rPr>
            </w:pPr>
            <w:r w:rsidRPr="004C78D8">
              <w:rPr>
                <w:sz w:val="18"/>
                <w:szCs w:val="18"/>
              </w:rPr>
              <w:t>Women aged 70+ with bilateral cataracts</w:t>
            </w:r>
          </w:p>
        </w:tc>
        <w:tc>
          <w:tcPr>
            <w:tcW w:w="321" w:type="pct"/>
            <w:tcBorders>
              <w:top w:val="nil"/>
              <w:left w:val="nil"/>
              <w:bottom w:val="nil"/>
              <w:right w:val="nil"/>
            </w:tcBorders>
          </w:tcPr>
          <w:p w14:paraId="4FD4059E" w14:textId="77777777" w:rsidR="00F94244" w:rsidRPr="004C78D8" w:rsidRDefault="00F94244" w:rsidP="00FB7C1F">
            <w:pPr>
              <w:jc w:val="left"/>
              <w:rPr>
                <w:sz w:val="18"/>
                <w:szCs w:val="18"/>
              </w:rPr>
            </w:pPr>
            <w:r w:rsidRPr="004C78D8">
              <w:rPr>
                <w:sz w:val="18"/>
                <w:szCs w:val="18"/>
              </w:rPr>
              <w:t>CEA; CUA</w:t>
            </w:r>
          </w:p>
        </w:tc>
        <w:tc>
          <w:tcPr>
            <w:tcW w:w="497" w:type="pct"/>
            <w:tcBorders>
              <w:top w:val="nil"/>
              <w:left w:val="nil"/>
              <w:bottom w:val="nil"/>
              <w:right w:val="nil"/>
            </w:tcBorders>
          </w:tcPr>
          <w:p w14:paraId="13E84C40" w14:textId="77777777" w:rsidR="00F94244" w:rsidRPr="004C78D8" w:rsidRDefault="00F94244" w:rsidP="00FB7C1F">
            <w:pPr>
              <w:jc w:val="left"/>
              <w:rPr>
                <w:sz w:val="18"/>
                <w:szCs w:val="18"/>
              </w:rPr>
            </w:pPr>
            <w:r w:rsidRPr="004C78D8">
              <w:rPr>
                <w:sz w:val="18"/>
                <w:szCs w:val="18"/>
              </w:rPr>
              <w:t>Public sector; Societal</w:t>
            </w:r>
          </w:p>
        </w:tc>
        <w:tc>
          <w:tcPr>
            <w:tcW w:w="952" w:type="pct"/>
            <w:tcBorders>
              <w:top w:val="nil"/>
              <w:left w:val="nil"/>
              <w:bottom w:val="nil"/>
              <w:right w:val="nil"/>
            </w:tcBorders>
          </w:tcPr>
          <w:p w14:paraId="51C20286" w14:textId="77777777" w:rsidR="00F94244" w:rsidRPr="004C78D8" w:rsidRDefault="00F94244" w:rsidP="00FB7C1F">
            <w:pPr>
              <w:jc w:val="left"/>
              <w:rPr>
                <w:sz w:val="18"/>
                <w:szCs w:val="18"/>
              </w:rPr>
            </w:pPr>
            <w:r w:rsidRPr="004C78D8">
              <w:rPr>
                <w:sz w:val="18"/>
                <w:szCs w:val="18"/>
              </w:rPr>
              <w:t>Exp. cataract surgery (first eye) [UC: Routine surgery]</w:t>
            </w:r>
          </w:p>
        </w:tc>
        <w:tc>
          <w:tcPr>
            <w:tcW w:w="453" w:type="pct"/>
            <w:tcBorders>
              <w:top w:val="nil"/>
              <w:left w:val="nil"/>
              <w:bottom w:val="nil"/>
              <w:right w:val="nil"/>
            </w:tcBorders>
          </w:tcPr>
          <w:p w14:paraId="1AE7AF44" w14:textId="77777777" w:rsidR="00F94244" w:rsidRPr="004C78D8" w:rsidRDefault="00F94244" w:rsidP="00FB7C1F">
            <w:pPr>
              <w:jc w:val="left"/>
              <w:rPr>
                <w:sz w:val="18"/>
                <w:szCs w:val="18"/>
              </w:rPr>
            </w:pPr>
            <w:r w:rsidRPr="004C78D8">
              <w:rPr>
                <w:sz w:val="18"/>
                <w:szCs w:val="18"/>
              </w:rPr>
              <w:t>Binary decision</w:t>
            </w:r>
          </w:p>
        </w:tc>
        <w:tc>
          <w:tcPr>
            <w:tcW w:w="355" w:type="pct"/>
            <w:tcBorders>
              <w:top w:val="nil"/>
              <w:left w:val="nil"/>
              <w:bottom w:val="nil"/>
              <w:right w:val="nil"/>
            </w:tcBorders>
          </w:tcPr>
          <w:p w14:paraId="453B7C59" w14:textId="563200C3" w:rsidR="00F94244" w:rsidRPr="004C78D8" w:rsidRDefault="00F94244" w:rsidP="00FB7C1F">
            <w:pPr>
              <w:jc w:val="left"/>
              <w:rPr>
                <w:sz w:val="18"/>
                <w:szCs w:val="18"/>
              </w:rPr>
            </w:pPr>
            <w:r w:rsidRPr="004C78D8">
              <w:rPr>
                <w:sz w:val="18"/>
                <w:szCs w:val="18"/>
              </w:rPr>
              <w:t>Lifetime extrapol.</w:t>
            </w:r>
            <w:r w:rsidR="001B3C29" w:rsidRPr="004C78D8">
              <w:rPr>
                <w:sz w:val="18"/>
                <w:szCs w:val="18"/>
                <w:vertAlign w:val="superscript"/>
              </w:rPr>
              <w:t>9</w:t>
            </w:r>
          </w:p>
        </w:tc>
        <w:tc>
          <w:tcPr>
            <w:tcW w:w="377" w:type="pct"/>
            <w:tcBorders>
              <w:top w:val="nil"/>
              <w:left w:val="nil"/>
              <w:bottom w:val="nil"/>
            </w:tcBorders>
          </w:tcPr>
          <w:p w14:paraId="161E4876" w14:textId="77777777" w:rsidR="00F94244" w:rsidRPr="004C78D8" w:rsidRDefault="00F94244" w:rsidP="00FB7C1F">
            <w:pPr>
              <w:jc w:val="left"/>
              <w:rPr>
                <w:sz w:val="18"/>
                <w:szCs w:val="18"/>
              </w:rPr>
            </w:pPr>
            <w:r w:rsidRPr="004C78D8">
              <w:rPr>
                <w:sz w:val="18"/>
                <w:szCs w:val="18"/>
              </w:rPr>
              <w:t>20</w:t>
            </w:r>
          </w:p>
        </w:tc>
      </w:tr>
      <w:tr w:rsidR="00F94244" w:rsidRPr="004C78D8" w14:paraId="7FDC91A4" w14:textId="77777777" w:rsidTr="002828C1">
        <w:tc>
          <w:tcPr>
            <w:tcW w:w="149" w:type="pct"/>
            <w:tcBorders>
              <w:top w:val="nil"/>
              <w:bottom w:val="nil"/>
              <w:right w:val="nil"/>
            </w:tcBorders>
          </w:tcPr>
          <w:p w14:paraId="6BEE1D7D" w14:textId="77777777" w:rsidR="00F94244" w:rsidRPr="004C78D8" w:rsidRDefault="00F94244" w:rsidP="00FB7C1F">
            <w:pPr>
              <w:jc w:val="left"/>
              <w:rPr>
                <w:sz w:val="18"/>
                <w:szCs w:val="18"/>
              </w:rPr>
            </w:pPr>
            <w:r w:rsidRPr="004C78D8">
              <w:rPr>
                <w:sz w:val="18"/>
                <w:szCs w:val="18"/>
              </w:rPr>
              <w:t>39</w:t>
            </w:r>
          </w:p>
        </w:tc>
        <w:tc>
          <w:tcPr>
            <w:tcW w:w="455" w:type="pct"/>
            <w:tcBorders>
              <w:top w:val="nil"/>
              <w:left w:val="nil"/>
              <w:bottom w:val="nil"/>
              <w:right w:val="nil"/>
            </w:tcBorders>
          </w:tcPr>
          <w:p w14:paraId="28EE29B7" w14:textId="64BF1863" w:rsidR="00F94244" w:rsidRPr="004C78D8" w:rsidRDefault="00F94244" w:rsidP="00FB7C1F">
            <w:pPr>
              <w:jc w:val="left"/>
              <w:rPr>
                <w:sz w:val="18"/>
                <w:szCs w:val="18"/>
              </w:rPr>
            </w:pPr>
            <w:r w:rsidRPr="004C78D8">
              <w:rPr>
                <w:sz w:val="18"/>
                <w:szCs w:val="18"/>
              </w:rPr>
              <w:t xml:space="preserve">Sach (2010) </w:t>
            </w:r>
            <w:r w:rsidRPr="004C78D8">
              <w:rPr>
                <w:sz w:val="18"/>
                <w:szCs w:val="18"/>
              </w:rPr>
              <w:fldChar w:fldCharType="begin"/>
            </w:r>
            <w:r w:rsidR="00C630FC" w:rsidRPr="004C78D8">
              <w:rPr>
                <w:sz w:val="18"/>
                <w:szCs w:val="18"/>
              </w:rPr>
              <w:instrText xml:space="preserve"> ADDIN EN.CITE &lt;EndNote&gt;&lt;Cite&gt;&lt;Author&gt;Sach&lt;/Author&gt;&lt;Year&gt;2010&lt;/Year&gt;&lt;RecNum&gt;400&lt;/RecNum&gt;&lt;DisplayText&gt;[350]&lt;/DisplayText&gt;&lt;record&gt;&lt;rec-number&gt;400&lt;/rec-number&gt;&lt;foreign-keys&gt;&lt;key app="EN" db-id="tdtrdw9aepptzbefsat599syza29sxsd2wsp" timestamp="1612695305"&gt;400&lt;/key&gt;&lt;/foreign-keys&gt;&lt;ref-type name="Journal Article"&gt;17&lt;/ref-type&gt;&lt;contributors&gt;&lt;authors&gt;&lt;author&gt;Sach, TH&lt;/author&gt;&lt;author&gt;Foss, AJE&lt;/author&gt;&lt;author&gt;Gregson, RM&lt;/author&gt;&lt;author&gt;Zaman, A&lt;/author&gt;&lt;author&gt;Osborn, F&lt;/author&gt;&lt;author&gt;Masud, T&lt;/author&gt;&lt;author&gt;Harwood, RH&lt;/author&gt;&lt;/authors&gt;&lt;/contributors&gt;&lt;titles&gt;&lt;title&gt;Second-eye cataract surgery in elderly women: a cost-utility analysis conducted alongside a randomized controlled trial&lt;/title&gt;&lt;secondary-title&gt;Eye&lt;/secondary-title&gt;&lt;/titles&gt;&lt;periodical&gt;&lt;full-title&gt;Eye&lt;/full-title&gt;&lt;/periodical&gt;&lt;pages&gt;276&lt;/pages&gt;&lt;volume&gt;24&lt;/volume&gt;&lt;number&gt;2&lt;/number&gt;&lt;dates&gt;&lt;year&gt;2010&lt;/year&gt;&lt;/dates&gt;&lt;isbn&gt;1476-5454&lt;/isbn&gt;&lt;urls&gt;&lt;/urls&gt;&lt;/record&gt;&lt;/Cite&gt;&lt;/EndNote&gt;</w:instrText>
            </w:r>
            <w:r w:rsidRPr="004C78D8">
              <w:rPr>
                <w:sz w:val="18"/>
                <w:szCs w:val="18"/>
              </w:rPr>
              <w:fldChar w:fldCharType="separate"/>
            </w:r>
            <w:r w:rsidR="00C630FC" w:rsidRPr="004C78D8">
              <w:rPr>
                <w:noProof/>
                <w:sz w:val="18"/>
                <w:szCs w:val="18"/>
              </w:rPr>
              <w:t>[350]</w:t>
            </w:r>
            <w:r w:rsidRPr="004C78D8">
              <w:rPr>
                <w:sz w:val="18"/>
                <w:szCs w:val="18"/>
              </w:rPr>
              <w:fldChar w:fldCharType="end"/>
            </w:r>
          </w:p>
        </w:tc>
        <w:tc>
          <w:tcPr>
            <w:tcW w:w="492" w:type="pct"/>
            <w:tcBorders>
              <w:top w:val="nil"/>
              <w:left w:val="nil"/>
              <w:bottom w:val="nil"/>
              <w:right w:val="nil"/>
            </w:tcBorders>
          </w:tcPr>
          <w:p w14:paraId="53C31B22" w14:textId="77777777" w:rsidR="00F94244" w:rsidRPr="004C78D8" w:rsidRDefault="00F94244" w:rsidP="00FB7C1F">
            <w:pPr>
              <w:jc w:val="left"/>
              <w:rPr>
                <w:sz w:val="18"/>
                <w:szCs w:val="18"/>
              </w:rPr>
            </w:pPr>
            <w:r w:rsidRPr="004C78D8">
              <w:rPr>
                <w:sz w:val="18"/>
                <w:szCs w:val="18"/>
              </w:rPr>
              <w:t>UK</w:t>
            </w:r>
          </w:p>
        </w:tc>
        <w:tc>
          <w:tcPr>
            <w:tcW w:w="950" w:type="pct"/>
            <w:tcBorders>
              <w:top w:val="nil"/>
              <w:left w:val="nil"/>
              <w:bottom w:val="nil"/>
              <w:right w:val="nil"/>
            </w:tcBorders>
          </w:tcPr>
          <w:p w14:paraId="7EF4D664" w14:textId="77777777" w:rsidR="00F94244" w:rsidRPr="004C78D8" w:rsidRDefault="00F94244" w:rsidP="00FB7C1F">
            <w:pPr>
              <w:jc w:val="left"/>
              <w:rPr>
                <w:sz w:val="18"/>
                <w:szCs w:val="18"/>
              </w:rPr>
            </w:pPr>
            <w:r w:rsidRPr="004C78D8">
              <w:rPr>
                <w:sz w:val="18"/>
                <w:szCs w:val="18"/>
              </w:rPr>
              <w:t>Women aged 70+ with second operable cataract</w:t>
            </w:r>
          </w:p>
        </w:tc>
        <w:tc>
          <w:tcPr>
            <w:tcW w:w="321" w:type="pct"/>
            <w:tcBorders>
              <w:top w:val="nil"/>
              <w:left w:val="nil"/>
              <w:bottom w:val="nil"/>
              <w:right w:val="nil"/>
            </w:tcBorders>
          </w:tcPr>
          <w:p w14:paraId="11D1C1E0" w14:textId="77777777" w:rsidR="00F94244" w:rsidRPr="004C78D8" w:rsidRDefault="00F94244" w:rsidP="00FB7C1F">
            <w:pPr>
              <w:jc w:val="left"/>
              <w:rPr>
                <w:sz w:val="18"/>
                <w:szCs w:val="18"/>
              </w:rPr>
            </w:pPr>
            <w:r w:rsidRPr="004C78D8">
              <w:rPr>
                <w:sz w:val="18"/>
                <w:szCs w:val="18"/>
              </w:rPr>
              <w:t>CUA</w:t>
            </w:r>
          </w:p>
        </w:tc>
        <w:tc>
          <w:tcPr>
            <w:tcW w:w="497" w:type="pct"/>
            <w:tcBorders>
              <w:top w:val="nil"/>
              <w:left w:val="nil"/>
              <w:bottom w:val="nil"/>
              <w:right w:val="nil"/>
            </w:tcBorders>
          </w:tcPr>
          <w:p w14:paraId="3707787B" w14:textId="77777777" w:rsidR="00F94244" w:rsidRPr="004C78D8" w:rsidRDefault="00F94244" w:rsidP="00FB7C1F">
            <w:pPr>
              <w:jc w:val="left"/>
              <w:rPr>
                <w:sz w:val="18"/>
                <w:szCs w:val="18"/>
              </w:rPr>
            </w:pPr>
            <w:r w:rsidRPr="004C78D8">
              <w:rPr>
                <w:sz w:val="18"/>
                <w:szCs w:val="18"/>
              </w:rPr>
              <w:t>Public sector; Societal</w:t>
            </w:r>
          </w:p>
        </w:tc>
        <w:tc>
          <w:tcPr>
            <w:tcW w:w="952" w:type="pct"/>
            <w:tcBorders>
              <w:top w:val="nil"/>
              <w:left w:val="nil"/>
              <w:bottom w:val="nil"/>
              <w:right w:val="nil"/>
            </w:tcBorders>
          </w:tcPr>
          <w:p w14:paraId="34A5D2D0" w14:textId="77777777" w:rsidR="00F94244" w:rsidRPr="004C78D8" w:rsidRDefault="00F94244" w:rsidP="00FB7C1F">
            <w:pPr>
              <w:jc w:val="left"/>
              <w:rPr>
                <w:sz w:val="18"/>
                <w:szCs w:val="18"/>
              </w:rPr>
            </w:pPr>
            <w:r w:rsidRPr="004C78D8">
              <w:rPr>
                <w:sz w:val="18"/>
                <w:szCs w:val="18"/>
              </w:rPr>
              <w:t>Exp. cataract surgery (second eye) [UC: No surgery]</w:t>
            </w:r>
          </w:p>
        </w:tc>
        <w:tc>
          <w:tcPr>
            <w:tcW w:w="453" w:type="pct"/>
            <w:tcBorders>
              <w:top w:val="nil"/>
              <w:left w:val="nil"/>
              <w:bottom w:val="nil"/>
              <w:right w:val="nil"/>
            </w:tcBorders>
          </w:tcPr>
          <w:p w14:paraId="58953E04" w14:textId="77777777" w:rsidR="00F94244" w:rsidRPr="004C78D8" w:rsidRDefault="00F94244" w:rsidP="00FB7C1F">
            <w:pPr>
              <w:jc w:val="left"/>
              <w:rPr>
                <w:sz w:val="18"/>
                <w:szCs w:val="18"/>
              </w:rPr>
            </w:pPr>
            <w:r w:rsidRPr="004C78D8">
              <w:rPr>
                <w:sz w:val="18"/>
                <w:szCs w:val="18"/>
              </w:rPr>
              <w:t>Binary decision</w:t>
            </w:r>
          </w:p>
        </w:tc>
        <w:tc>
          <w:tcPr>
            <w:tcW w:w="355" w:type="pct"/>
            <w:tcBorders>
              <w:top w:val="nil"/>
              <w:left w:val="nil"/>
              <w:bottom w:val="nil"/>
              <w:right w:val="nil"/>
            </w:tcBorders>
          </w:tcPr>
          <w:p w14:paraId="70791217" w14:textId="51D012B0" w:rsidR="00F94244" w:rsidRPr="004C78D8" w:rsidRDefault="00F94244" w:rsidP="00FB7C1F">
            <w:pPr>
              <w:jc w:val="left"/>
              <w:rPr>
                <w:sz w:val="18"/>
                <w:szCs w:val="18"/>
              </w:rPr>
            </w:pPr>
            <w:r w:rsidRPr="004C78D8">
              <w:rPr>
                <w:sz w:val="18"/>
                <w:szCs w:val="18"/>
              </w:rPr>
              <w:t>Lifetime extrapol.</w:t>
            </w:r>
            <w:r w:rsidR="001B3C29" w:rsidRPr="004C78D8">
              <w:rPr>
                <w:sz w:val="18"/>
                <w:szCs w:val="18"/>
                <w:vertAlign w:val="superscript"/>
              </w:rPr>
              <w:t>9</w:t>
            </w:r>
          </w:p>
        </w:tc>
        <w:tc>
          <w:tcPr>
            <w:tcW w:w="377" w:type="pct"/>
            <w:tcBorders>
              <w:top w:val="nil"/>
              <w:left w:val="nil"/>
              <w:bottom w:val="nil"/>
            </w:tcBorders>
          </w:tcPr>
          <w:p w14:paraId="6FB7F91C" w14:textId="77777777" w:rsidR="00F94244" w:rsidRPr="004C78D8" w:rsidRDefault="00F94244" w:rsidP="00FB7C1F">
            <w:pPr>
              <w:jc w:val="left"/>
              <w:rPr>
                <w:sz w:val="18"/>
                <w:szCs w:val="18"/>
              </w:rPr>
            </w:pPr>
            <w:r w:rsidRPr="004C78D8">
              <w:rPr>
                <w:sz w:val="18"/>
                <w:szCs w:val="18"/>
              </w:rPr>
              <w:t>20</w:t>
            </w:r>
          </w:p>
        </w:tc>
      </w:tr>
      <w:tr w:rsidR="00F94244" w:rsidRPr="004C78D8" w14:paraId="4FC69A25" w14:textId="77777777" w:rsidTr="002828C1">
        <w:tc>
          <w:tcPr>
            <w:tcW w:w="149" w:type="pct"/>
            <w:tcBorders>
              <w:top w:val="nil"/>
              <w:bottom w:val="nil"/>
              <w:right w:val="nil"/>
            </w:tcBorders>
          </w:tcPr>
          <w:p w14:paraId="4BCC4520" w14:textId="77777777" w:rsidR="00F94244" w:rsidRPr="004C78D8" w:rsidRDefault="00F94244" w:rsidP="00FB7C1F">
            <w:pPr>
              <w:jc w:val="left"/>
              <w:rPr>
                <w:sz w:val="18"/>
                <w:szCs w:val="18"/>
              </w:rPr>
            </w:pPr>
            <w:r w:rsidRPr="004C78D8">
              <w:rPr>
                <w:sz w:val="18"/>
                <w:szCs w:val="18"/>
              </w:rPr>
              <w:t>40</w:t>
            </w:r>
          </w:p>
        </w:tc>
        <w:tc>
          <w:tcPr>
            <w:tcW w:w="455" w:type="pct"/>
            <w:tcBorders>
              <w:top w:val="nil"/>
              <w:left w:val="nil"/>
              <w:bottom w:val="nil"/>
              <w:right w:val="nil"/>
            </w:tcBorders>
          </w:tcPr>
          <w:p w14:paraId="7684C2E6" w14:textId="65BA6330" w:rsidR="00F94244" w:rsidRPr="004C78D8" w:rsidRDefault="00F94244" w:rsidP="00FB7C1F">
            <w:pPr>
              <w:jc w:val="left"/>
              <w:rPr>
                <w:sz w:val="18"/>
                <w:szCs w:val="18"/>
              </w:rPr>
            </w:pPr>
            <w:r w:rsidRPr="004C78D8">
              <w:rPr>
                <w:sz w:val="18"/>
                <w:szCs w:val="18"/>
              </w:rPr>
              <w:t xml:space="preserve">Smith (2016) </w:t>
            </w:r>
            <w:r w:rsidRPr="004C78D8">
              <w:rPr>
                <w:sz w:val="18"/>
                <w:szCs w:val="18"/>
              </w:rPr>
              <w:fldChar w:fldCharType="begin">
                <w:fldData xml:space="preserve">PEVuZE5vdGU+PENpdGU+PEF1dGhvcj5TbWl0aDwvQXV0aG9yPjxZZWFyPjIwMTY8L1llYXI+PFJl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</w:fldData>
              </w:fldChar>
            </w:r>
            <w:r w:rsidR="00513646" w:rsidRPr="004C78D8">
              <w:rPr>
                <w:sz w:val="18"/>
                <w:szCs w:val="18"/>
              </w:rPr>
              <w:instrText xml:space="preserve"> ADDIN EN.CITE </w:instrText>
            </w:r>
            <w:r w:rsidR="00513646" w:rsidRPr="004C78D8">
              <w:rPr>
                <w:sz w:val="18"/>
                <w:szCs w:val="18"/>
              </w:rPr>
              <w:fldChar w:fldCharType="begin">
                <w:fldData xml:space="preserve">PEVuZE5vdGU+PENpdGU+PEF1dGhvcj5TbWl0aDwvQXV0aG9yPjxZZWFyPjIwMTY8L1llYXI+PFJl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</w:fldData>
              </w:fldChar>
            </w:r>
            <w:r w:rsidR="00513646" w:rsidRPr="004C78D8">
              <w:rPr>
                <w:sz w:val="18"/>
                <w:szCs w:val="18"/>
              </w:rPr>
              <w:instrText xml:space="preserve"> ADDIN EN.CITE.DATA </w:instrText>
            </w:r>
            <w:r w:rsidR="00513646" w:rsidRPr="004C78D8">
              <w:rPr>
                <w:sz w:val="18"/>
                <w:szCs w:val="18"/>
              </w:rPr>
            </w:r>
            <w:r w:rsidR="00513646" w:rsidRPr="004C78D8">
              <w:rPr>
                <w:sz w:val="18"/>
                <w:szCs w:val="18"/>
              </w:rPr>
              <w:fldChar w:fldCharType="end"/>
            </w:r>
            <w:r w:rsidRPr="004C78D8">
              <w:rPr>
                <w:sz w:val="18"/>
                <w:szCs w:val="18"/>
              </w:rPr>
            </w:r>
            <w:r w:rsidRPr="004C78D8">
              <w:rPr>
                <w:sz w:val="18"/>
                <w:szCs w:val="18"/>
              </w:rPr>
              <w:fldChar w:fldCharType="separate"/>
            </w:r>
            <w:r w:rsidR="00513646" w:rsidRPr="004C78D8">
              <w:rPr>
                <w:noProof/>
                <w:sz w:val="18"/>
                <w:szCs w:val="18"/>
              </w:rPr>
              <w:t>[44]</w:t>
            </w:r>
            <w:r w:rsidRPr="004C78D8">
              <w:rPr>
                <w:sz w:val="18"/>
                <w:szCs w:val="18"/>
              </w:rPr>
              <w:fldChar w:fldCharType="end"/>
            </w:r>
          </w:p>
        </w:tc>
        <w:tc>
          <w:tcPr>
            <w:tcW w:w="492" w:type="pct"/>
            <w:tcBorders>
              <w:top w:val="nil"/>
              <w:left w:val="nil"/>
              <w:bottom w:val="nil"/>
              <w:right w:val="nil"/>
            </w:tcBorders>
          </w:tcPr>
          <w:p w14:paraId="5E35EF6F" w14:textId="77777777" w:rsidR="00F94244" w:rsidRPr="004C78D8" w:rsidRDefault="00F94244" w:rsidP="00FB7C1F">
            <w:pPr>
              <w:jc w:val="left"/>
              <w:rPr>
                <w:sz w:val="18"/>
                <w:szCs w:val="18"/>
              </w:rPr>
            </w:pPr>
            <w:r w:rsidRPr="004C78D8">
              <w:rPr>
                <w:sz w:val="18"/>
                <w:szCs w:val="18"/>
              </w:rPr>
              <w:t>UK, NW London</w:t>
            </w:r>
          </w:p>
        </w:tc>
        <w:tc>
          <w:tcPr>
            <w:tcW w:w="950" w:type="pct"/>
            <w:tcBorders>
              <w:top w:val="nil"/>
              <w:left w:val="nil"/>
              <w:bottom w:val="nil"/>
              <w:right w:val="nil"/>
            </w:tcBorders>
          </w:tcPr>
          <w:p w14:paraId="562F5528" w14:textId="77777777" w:rsidR="00F94244" w:rsidRPr="004C78D8" w:rsidRDefault="00F94244" w:rsidP="00FB7C1F">
            <w:pPr>
              <w:jc w:val="left"/>
              <w:rPr>
                <w:sz w:val="18"/>
                <w:szCs w:val="18"/>
              </w:rPr>
            </w:pPr>
            <w:r w:rsidRPr="004C78D8">
              <w:rPr>
                <w:sz w:val="18"/>
                <w:szCs w:val="18"/>
              </w:rPr>
              <w:t>Adults aged 65+ covered by GP practice and hospital</w:t>
            </w:r>
          </w:p>
        </w:tc>
        <w:tc>
          <w:tcPr>
            <w:tcW w:w="321" w:type="pct"/>
            <w:tcBorders>
              <w:top w:val="nil"/>
              <w:left w:val="nil"/>
              <w:bottom w:val="nil"/>
              <w:right w:val="nil"/>
            </w:tcBorders>
          </w:tcPr>
          <w:p w14:paraId="70E2C595" w14:textId="77777777" w:rsidR="00F94244" w:rsidRPr="004C78D8" w:rsidRDefault="00F94244" w:rsidP="00FB7C1F">
            <w:pPr>
              <w:jc w:val="left"/>
              <w:rPr>
                <w:sz w:val="18"/>
                <w:szCs w:val="18"/>
              </w:rPr>
            </w:pPr>
            <w:r w:rsidRPr="004C78D8">
              <w:rPr>
                <w:sz w:val="18"/>
                <w:szCs w:val="18"/>
              </w:rPr>
              <w:t>ROI</w:t>
            </w:r>
          </w:p>
        </w:tc>
        <w:tc>
          <w:tcPr>
            <w:tcW w:w="497" w:type="pct"/>
            <w:tcBorders>
              <w:top w:val="nil"/>
              <w:left w:val="nil"/>
              <w:bottom w:val="nil"/>
              <w:right w:val="nil"/>
            </w:tcBorders>
          </w:tcPr>
          <w:p w14:paraId="46C2CE1A" w14:textId="77777777" w:rsidR="00F94244" w:rsidRPr="004C78D8" w:rsidRDefault="00F94244" w:rsidP="00FB7C1F">
            <w:pPr>
              <w:jc w:val="left"/>
              <w:rPr>
                <w:sz w:val="18"/>
                <w:szCs w:val="18"/>
              </w:rPr>
            </w:pPr>
            <w:r w:rsidRPr="004C78D8">
              <w:rPr>
                <w:sz w:val="18"/>
                <w:szCs w:val="18"/>
              </w:rPr>
              <w:t>Public sector</w:t>
            </w:r>
          </w:p>
        </w:tc>
        <w:tc>
          <w:tcPr>
            <w:tcW w:w="952" w:type="pct"/>
            <w:tcBorders>
              <w:top w:val="nil"/>
              <w:left w:val="nil"/>
              <w:bottom w:val="nil"/>
              <w:right w:val="nil"/>
            </w:tcBorders>
          </w:tcPr>
          <w:p w14:paraId="3A69A7B8" w14:textId="77777777" w:rsidR="00F94244" w:rsidRPr="004C78D8" w:rsidRDefault="00F94244" w:rsidP="00FB7C1F">
            <w:pPr>
              <w:jc w:val="left"/>
              <w:rPr>
                <w:sz w:val="18"/>
                <w:szCs w:val="18"/>
              </w:rPr>
            </w:pPr>
            <w:r w:rsidRPr="004C78D8">
              <w:rPr>
                <w:sz w:val="18"/>
                <w:szCs w:val="18"/>
              </w:rPr>
              <w:t>FRS + MF int. [Cross-comparison]</w:t>
            </w:r>
          </w:p>
        </w:tc>
        <w:tc>
          <w:tcPr>
            <w:tcW w:w="453" w:type="pct"/>
            <w:tcBorders>
              <w:top w:val="nil"/>
              <w:left w:val="nil"/>
              <w:bottom w:val="nil"/>
              <w:right w:val="nil"/>
            </w:tcBorders>
          </w:tcPr>
          <w:p w14:paraId="02540362" w14:textId="77777777" w:rsidR="00F94244" w:rsidRPr="004C78D8" w:rsidRDefault="00F94244" w:rsidP="00FB7C1F">
            <w:pPr>
              <w:jc w:val="left"/>
              <w:rPr>
                <w:sz w:val="18"/>
                <w:szCs w:val="18"/>
              </w:rPr>
            </w:pPr>
            <w:r w:rsidRPr="004C78D8">
              <w:rPr>
                <w:sz w:val="18"/>
                <w:szCs w:val="18"/>
              </w:rPr>
              <w:t>Risk prediction</w:t>
            </w:r>
          </w:p>
        </w:tc>
        <w:tc>
          <w:tcPr>
            <w:tcW w:w="355" w:type="pct"/>
            <w:tcBorders>
              <w:top w:val="nil"/>
              <w:left w:val="nil"/>
              <w:bottom w:val="nil"/>
              <w:right w:val="nil"/>
            </w:tcBorders>
          </w:tcPr>
          <w:p w14:paraId="6C12694A" w14:textId="77777777" w:rsidR="00F94244" w:rsidRPr="004C78D8" w:rsidRDefault="00F94244" w:rsidP="00FB7C1F">
            <w:pPr>
              <w:jc w:val="left"/>
              <w:rPr>
                <w:sz w:val="18"/>
                <w:szCs w:val="18"/>
              </w:rPr>
            </w:pPr>
            <w:r w:rsidRPr="004C78D8">
              <w:rPr>
                <w:sz w:val="18"/>
                <w:szCs w:val="18"/>
              </w:rPr>
              <w:t>1 year</w:t>
            </w:r>
          </w:p>
        </w:tc>
        <w:tc>
          <w:tcPr>
            <w:tcW w:w="377" w:type="pct"/>
            <w:tcBorders>
              <w:top w:val="nil"/>
              <w:left w:val="nil"/>
              <w:bottom w:val="nil"/>
            </w:tcBorders>
          </w:tcPr>
          <w:p w14:paraId="195E3FE9" w14:textId="77777777" w:rsidR="00F94244" w:rsidRPr="004C78D8" w:rsidRDefault="00F94244" w:rsidP="00FB7C1F">
            <w:pPr>
              <w:jc w:val="left"/>
              <w:rPr>
                <w:sz w:val="18"/>
                <w:szCs w:val="18"/>
              </w:rPr>
            </w:pPr>
            <w:r w:rsidRPr="004C78D8">
              <w:rPr>
                <w:sz w:val="18"/>
                <w:szCs w:val="18"/>
              </w:rPr>
              <w:t>18</w:t>
            </w:r>
          </w:p>
        </w:tc>
      </w:tr>
      <w:tr w:rsidR="00F94244" w:rsidRPr="004C78D8" w14:paraId="255071CD" w14:textId="77777777" w:rsidTr="002828C1">
        <w:tc>
          <w:tcPr>
            <w:tcW w:w="149" w:type="pct"/>
            <w:tcBorders>
              <w:top w:val="nil"/>
              <w:bottom w:val="nil"/>
              <w:right w:val="nil"/>
            </w:tcBorders>
          </w:tcPr>
          <w:p w14:paraId="111468BE" w14:textId="77777777" w:rsidR="00F94244" w:rsidRPr="004C78D8" w:rsidRDefault="00F94244" w:rsidP="00FB7C1F">
            <w:pPr>
              <w:jc w:val="left"/>
              <w:rPr>
                <w:sz w:val="18"/>
                <w:szCs w:val="18"/>
              </w:rPr>
            </w:pPr>
            <w:r w:rsidRPr="004C78D8">
              <w:rPr>
                <w:sz w:val="18"/>
                <w:szCs w:val="18"/>
              </w:rPr>
              <w:t>41</w:t>
            </w:r>
          </w:p>
        </w:tc>
        <w:tc>
          <w:tcPr>
            <w:tcW w:w="455" w:type="pct"/>
            <w:tcBorders>
              <w:top w:val="nil"/>
              <w:left w:val="nil"/>
              <w:bottom w:val="nil"/>
              <w:right w:val="nil"/>
            </w:tcBorders>
          </w:tcPr>
          <w:p w14:paraId="5702F8B2" w14:textId="3AE3ECB3" w:rsidR="00F94244" w:rsidRPr="004C78D8" w:rsidRDefault="00F94244" w:rsidP="00FB7C1F">
            <w:pPr>
              <w:jc w:val="left"/>
              <w:rPr>
                <w:sz w:val="18"/>
                <w:szCs w:val="18"/>
              </w:rPr>
            </w:pPr>
            <w:r w:rsidRPr="004C78D8">
              <w:rPr>
                <w:sz w:val="18"/>
                <w:szCs w:val="18"/>
              </w:rPr>
              <w:t xml:space="preserve">Tannenbaum (2015) </w:t>
            </w:r>
            <w:r w:rsidRPr="004C78D8">
              <w:rPr>
                <w:sz w:val="18"/>
                <w:szCs w:val="18"/>
              </w:rPr>
              <w:fldChar w:fldCharType="begin">
                <w:fldData xml:space="preserve">PEVuZE5vdGU+PENpdGU+PEF1dGhvcj5UYW5uZW5iYXVtPC9BdXRob3I+PFllYXI+MjAxNTwvWWVh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</w:fldData>
              </w:fldChar>
            </w:r>
            <w:r w:rsidR="00C630FC" w:rsidRPr="004C78D8">
              <w:rPr>
                <w:sz w:val="18"/>
                <w:szCs w:val="18"/>
              </w:rPr>
              <w:instrText xml:space="preserve"> ADDIN EN.CITE </w:instrText>
            </w:r>
            <w:r w:rsidR="00C630FC" w:rsidRPr="004C78D8">
              <w:rPr>
                <w:sz w:val="18"/>
                <w:szCs w:val="18"/>
              </w:rPr>
              <w:fldChar w:fldCharType="begin">
                <w:fldData xml:space="preserve">PEVuZE5vdGU+PENpdGU+PEF1dGhvcj5UYW5uZW5iYXVtPC9BdXRob3I+PFllYXI+MjAxNTwvWWVh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</w:fldData>
              </w:fldChar>
            </w:r>
            <w:r w:rsidR="00C630FC" w:rsidRPr="004C78D8">
              <w:rPr>
                <w:sz w:val="18"/>
                <w:szCs w:val="18"/>
              </w:rPr>
              <w:instrText xml:space="preserve"> ADDIN EN.CITE.DATA </w:instrText>
            </w:r>
            <w:r w:rsidR="00C630FC" w:rsidRPr="004C78D8">
              <w:rPr>
                <w:sz w:val="18"/>
                <w:szCs w:val="18"/>
              </w:rPr>
            </w:r>
            <w:r w:rsidR="00C630FC" w:rsidRPr="004C78D8">
              <w:rPr>
                <w:sz w:val="18"/>
                <w:szCs w:val="18"/>
              </w:rPr>
              <w:fldChar w:fldCharType="end"/>
            </w:r>
            <w:r w:rsidRPr="004C78D8">
              <w:rPr>
                <w:sz w:val="18"/>
                <w:szCs w:val="18"/>
              </w:rPr>
            </w:r>
            <w:r w:rsidRPr="004C78D8">
              <w:rPr>
                <w:sz w:val="18"/>
                <w:szCs w:val="18"/>
              </w:rPr>
              <w:fldChar w:fldCharType="separate"/>
            </w:r>
            <w:r w:rsidR="00C630FC" w:rsidRPr="004C78D8">
              <w:rPr>
                <w:noProof/>
                <w:sz w:val="18"/>
                <w:szCs w:val="18"/>
              </w:rPr>
              <w:t>[347]</w:t>
            </w:r>
            <w:r w:rsidRPr="004C78D8">
              <w:rPr>
                <w:sz w:val="18"/>
                <w:szCs w:val="18"/>
              </w:rPr>
              <w:fldChar w:fldCharType="end"/>
            </w:r>
          </w:p>
        </w:tc>
        <w:tc>
          <w:tcPr>
            <w:tcW w:w="492" w:type="pct"/>
            <w:tcBorders>
              <w:top w:val="nil"/>
              <w:left w:val="nil"/>
              <w:bottom w:val="nil"/>
              <w:right w:val="nil"/>
            </w:tcBorders>
          </w:tcPr>
          <w:p w14:paraId="280B9CEE" w14:textId="77777777" w:rsidR="00F94244" w:rsidRPr="004C78D8" w:rsidRDefault="00F94244" w:rsidP="00FB7C1F">
            <w:pPr>
              <w:jc w:val="left"/>
              <w:rPr>
                <w:sz w:val="18"/>
                <w:szCs w:val="18"/>
              </w:rPr>
            </w:pPr>
            <w:r w:rsidRPr="004C78D8">
              <w:rPr>
                <w:sz w:val="18"/>
                <w:szCs w:val="18"/>
              </w:rPr>
              <w:t>US, Medicare/aid</w:t>
            </w:r>
          </w:p>
        </w:tc>
        <w:tc>
          <w:tcPr>
            <w:tcW w:w="950" w:type="pct"/>
            <w:tcBorders>
              <w:top w:val="nil"/>
              <w:left w:val="nil"/>
              <w:bottom w:val="nil"/>
              <w:right w:val="nil"/>
            </w:tcBorders>
          </w:tcPr>
          <w:p w14:paraId="60902F40" w14:textId="77777777" w:rsidR="00F94244" w:rsidRPr="004C78D8" w:rsidRDefault="00F94244" w:rsidP="00FB7C1F">
            <w:pPr>
              <w:jc w:val="left"/>
              <w:rPr>
                <w:sz w:val="18"/>
                <w:szCs w:val="18"/>
              </w:rPr>
            </w:pPr>
            <w:r w:rsidRPr="004C78D8">
              <w:rPr>
                <w:sz w:val="18"/>
                <w:szCs w:val="18"/>
              </w:rPr>
              <w:t>CD adults aged 65+ with insomnia</w:t>
            </w:r>
          </w:p>
        </w:tc>
        <w:tc>
          <w:tcPr>
            <w:tcW w:w="321" w:type="pct"/>
            <w:tcBorders>
              <w:top w:val="nil"/>
              <w:left w:val="nil"/>
              <w:bottom w:val="nil"/>
              <w:right w:val="nil"/>
            </w:tcBorders>
          </w:tcPr>
          <w:p w14:paraId="16718D75" w14:textId="77777777" w:rsidR="00F94244" w:rsidRPr="004C78D8" w:rsidRDefault="00F94244" w:rsidP="00FB7C1F">
            <w:pPr>
              <w:jc w:val="left"/>
              <w:rPr>
                <w:sz w:val="18"/>
                <w:szCs w:val="18"/>
              </w:rPr>
            </w:pPr>
            <w:r w:rsidRPr="004C78D8">
              <w:rPr>
                <w:sz w:val="18"/>
                <w:szCs w:val="18"/>
              </w:rPr>
              <w:t>CUA</w:t>
            </w:r>
          </w:p>
        </w:tc>
        <w:tc>
          <w:tcPr>
            <w:tcW w:w="497" w:type="pct"/>
            <w:tcBorders>
              <w:top w:val="nil"/>
              <w:left w:val="nil"/>
              <w:bottom w:val="nil"/>
              <w:right w:val="nil"/>
            </w:tcBorders>
          </w:tcPr>
          <w:p w14:paraId="1D4C87DD" w14:textId="77777777" w:rsidR="00F94244" w:rsidRPr="004C78D8" w:rsidRDefault="00F94244" w:rsidP="00FB7C1F">
            <w:pPr>
              <w:jc w:val="left"/>
              <w:rPr>
                <w:sz w:val="18"/>
                <w:szCs w:val="18"/>
              </w:rPr>
            </w:pPr>
            <w:r w:rsidRPr="004C78D8">
              <w:rPr>
                <w:sz w:val="18"/>
                <w:szCs w:val="18"/>
              </w:rPr>
              <w:t>Public sector</w:t>
            </w:r>
          </w:p>
        </w:tc>
        <w:tc>
          <w:tcPr>
            <w:tcW w:w="952" w:type="pct"/>
            <w:tcBorders>
              <w:top w:val="nil"/>
              <w:left w:val="nil"/>
              <w:bottom w:val="nil"/>
              <w:right w:val="nil"/>
            </w:tcBorders>
          </w:tcPr>
          <w:p w14:paraId="1C04F245" w14:textId="77777777" w:rsidR="00F94244" w:rsidRPr="004C78D8" w:rsidRDefault="00F94244" w:rsidP="00FB7C1F">
            <w:pPr>
              <w:jc w:val="left"/>
              <w:rPr>
                <w:sz w:val="18"/>
                <w:szCs w:val="18"/>
              </w:rPr>
            </w:pPr>
            <w:r w:rsidRPr="004C78D8">
              <w:rPr>
                <w:sz w:val="18"/>
                <w:szCs w:val="18"/>
              </w:rPr>
              <w:t>Med. modification; CBT [NR; Cross-comparison]</w:t>
            </w:r>
          </w:p>
        </w:tc>
        <w:tc>
          <w:tcPr>
            <w:tcW w:w="453" w:type="pct"/>
            <w:tcBorders>
              <w:top w:val="nil"/>
              <w:left w:val="nil"/>
              <w:bottom w:val="nil"/>
              <w:right w:val="nil"/>
            </w:tcBorders>
          </w:tcPr>
          <w:p w14:paraId="04CEF166" w14:textId="77777777" w:rsidR="00F94244" w:rsidRPr="004C78D8" w:rsidRDefault="00F94244" w:rsidP="00FB7C1F">
            <w:pPr>
              <w:jc w:val="left"/>
              <w:rPr>
                <w:sz w:val="18"/>
                <w:szCs w:val="18"/>
              </w:rPr>
            </w:pPr>
            <w:r w:rsidRPr="004C78D8">
              <w:rPr>
                <w:sz w:val="18"/>
                <w:szCs w:val="18"/>
              </w:rPr>
              <w:t>Markov cohort</w:t>
            </w:r>
          </w:p>
        </w:tc>
        <w:tc>
          <w:tcPr>
            <w:tcW w:w="355" w:type="pct"/>
            <w:tcBorders>
              <w:top w:val="nil"/>
              <w:left w:val="nil"/>
              <w:bottom w:val="nil"/>
              <w:right w:val="nil"/>
            </w:tcBorders>
          </w:tcPr>
          <w:p w14:paraId="120F8F9A" w14:textId="77777777" w:rsidR="00F94244" w:rsidRPr="004C78D8" w:rsidRDefault="00F94244" w:rsidP="00FB7C1F">
            <w:pPr>
              <w:jc w:val="left"/>
              <w:rPr>
                <w:sz w:val="18"/>
                <w:szCs w:val="18"/>
              </w:rPr>
            </w:pPr>
            <w:r w:rsidRPr="004C78D8">
              <w:rPr>
                <w:sz w:val="18"/>
                <w:szCs w:val="18"/>
              </w:rPr>
              <w:t>1 year</w:t>
            </w:r>
          </w:p>
        </w:tc>
        <w:tc>
          <w:tcPr>
            <w:tcW w:w="377" w:type="pct"/>
            <w:tcBorders>
              <w:top w:val="nil"/>
              <w:left w:val="nil"/>
              <w:bottom w:val="nil"/>
            </w:tcBorders>
          </w:tcPr>
          <w:p w14:paraId="7A04CD99" w14:textId="77777777" w:rsidR="00F94244" w:rsidRPr="004C78D8" w:rsidRDefault="00F94244" w:rsidP="00FB7C1F">
            <w:pPr>
              <w:jc w:val="left"/>
              <w:rPr>
                <w:sz w:val="18"/>
                <w:szCs w:val="18"/>
              </w:rPr>
            </w:pPr>
            <w:r w:rsidRPr="004C78D8">
              <w:rPr>
                <w:sz w:val="18"/>
                <w:szCs w:val="18"/>
              </w:rPr>
              <w:t>23.5</w:t>
            </w:r>
          </w:p>
        </w:tc>
      </w:tr>
      <w:tr w:rsidR="00F94244" w:rsidRPr="004C78D8" w14:paraId="5661B158" w14:textId="77777777" w:rsidTr="002828C1">
        <w:tc>
          <w:tcPr>
            <w:tcW w:w="149" w:type="pct"/>
            <w:tcBorders>
              <w:top w:val="nil"/>
              <w:bottom w:val="nil"/>
              <w:right w:val="nil"/>
            </w:tcBorders>
          </w:tcPr>
          <w:p w14:paraId="1A2A8BD5" w14:textId="77777777" w:rsidR="00F94244" w:rsidRPr="004C78D8" w:rsidRDefault="00F94244" w:rsidP="00FB7C1F">
            <w:pPr>
              <w:jc w:val="left"/>
              <w:rPr>
                <w:sz w:val="18"/>
                <w:szCs w:val="18"/>
              </w:rPr>
            </w:pPr>
            <w:r w:rsidRPr="004C78D8">
              <w:rPr>
                <w:sz w:val="18"/>
                <w:szCs w:val="18"/>
              </w:rPr>
              <w:t>42</w:t>
            </w:r>
          </w:p>
        </w:tc>
        <w:tc>
          <w:tcPr>
            <w:tcW w:w="455" w:type="pct"/>
            <w:tcBorders>
              <w:top w:val="nil"/>
              <w:left w:val="nil"/>
              <w:bottom w:val="nil"/>
              <w:right w:val="nil"/>
            </w:tcBorders>
          </w:tcPr>
          <w:p w14:paraId="6D43335B" w14:textId="3DD4816D" w:rsidR="00F94244" w:rsidRPr="004C78D8" w:rsidRDefault="00F94244" w:rsidP="00FB7C1F">
            <w:pPr>
              <w:jc w:val="left"/>
              <w:rPr>
                <w:sz w:val="18"/>
                <w:szCs w:val="18"/>
              </w:rPr>
            </w:pPr>
            <w:r w:rsidRPr="004C78D8">
              <w:rPr>
                <w:sz w:val="18"/>
                <w:szCs w:val="18"/>
              </w:rPr>
              <w:t xml:space="preserve">Turner (2020) </w:t>
            </w:r>
            <w:r w:rsidRPr="004C78D8">
              <w:rPr>
                <w:sz w:val="18"/>
                <w:szCs w:val="18"/>
              </w:rPr>
              <w:fldChar w:fldCharType="begin">
                <w:fldData xml:space="preserve">PEVuZE5vdGU+PENpdGU+PEF1dGhvcj5UdXJuZXI8L0F1dGhvcj48WWVhcj4yMDIwPC9ZZWFyPjxS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</w:fldData>
              </w:fldChar>
            </w:r>
            <w:r w:rsidR="00C630FC" w:rsidRPr="004C78D8">
              <w:rPr>
                <w:sz w:val="18"/>
                <w:szCs w:val="18"/>
              </w:rPr>
              <w:instrText xml:space="preserve"> ADDIN EN.CITE </w:instrText>
            </w:r>
            <w:r w:rsidR="00C630FC" w:rsidRPr="004C78D8">
              <w:rPr>
                <w:sz w:val="18"/>
                <w:szCs w:val="18"/>
              </w:rPr>
              <w:fldChar w:fldCharType="begin">
                <w:fldData xml:space="preserve">PEVuZE5vdGU+PENpdGU+PEF1dGhvcj5UdXJuZXI8L0F1dGhvcj48WWVhcj4yMDIwPC9ZZWFyPjxS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</w:fldData>
              </w:fldChar>
            </w:r>
            <w:r w:rsidR="00C630FC" w:rsidRPr="004C78D8">
              <w:rPr>
                <w:sz w:val="18"/>
                <w:szCs w:val="18"/>
              </w:rPr>
              <w:instrText xml:space="preserve"> ADDIN EN.CITE.DATA </w:instrText>
            </w:r>
            <w:r w:rsidR="00C630FC" w:rsidRPr="004C78D8">
              <w:rPr>
                <w:sz w:val="18"/>
                <w:szCs w:val="18"/>
              </w:rPr>
            </w:r>
            <w:r w:rsidR="00C630FC" w:rsidRPr="004C78D8">
              <w:rPr>
                <w:sz w:val="18"/>
                <w:szCs w:val="18"/>
              </w:rPr>
              <w:fldChar w:fldCharType="end"/>
            </w:r>
            <w:r w:rsidRPr="004C78D8">
              <w:rPr>
                <w:sz w:val="18"/>
                <w:szCs w:val="18"/>
              </w:rPr>
            </w:r>
            <w:r w:rsidRPr="004C78D8">
              <w:rPr>
                <w:sz w:val="18"/>
                <w:szCs w:val="18"/>
              </w:rPr>
              <w:fldChar w:fldCharType="separate"/>
            </w:r>
            <w:r w:rsidR="00C630FC" w:rsidRPr="004C78D8">
              <w:rPr>
                <w:noProof/>
                <w:sz w:val="18"/>
                <w:szCs w:val="18"/>
              </w:rPr>
              <w:t>[348]</w:t>
            </w:r>
            <w:r w:rsidRPr="004C78D8">
              <w:rPr>
                <w:sz w:val="18"/>
                <w:szCs w:val="18"/>
              </w:rPr>
              <w:fldChar w:fldCharType="end"/>
            </w:r>
          </w:p>
        </w:tc>
        <w:tc>
          <w:tcPr>
            <w:tcW w:w="492" w:type="pct"/>
            <w:tcBorders>
              <w:top w:val="nil"/>
              <w:left w:val="nil"/>
              <w:bottom w:val="nil"/>
              <w:right w:val="nil"/>
            </w:tcBorders>
          </w:tcPr>
          <w:p w14:paraId="4616271D" w14:textId="77777777" w:rsidR="00F94244" w:rsidRPr="004C78D8" w:rsidRDefault="00F94244" w:rsidP="00FB7C1F">
            <w:pPr>
              <w:jc w:val="left"/>
              <w:rPr>
                <w:sz w:val="18"/>
                <w:szCs w:val="18"/>
              </w:rPr>
            </w:pPr>
            <w:r w:rsidRPr="004C78D8">
              <w:rPr>
                <w:sz w:val="18"/>
                <w:szCs w:val="18"/>
              </w:rPr>
              <w:t>Canada, Quebec</w:t>
            </w:r>
          </w:p>
        </w:tc>
        <w:tc>
          <w:tcPr>
            <w:tcW w:w="950" w:type="pct"/>
            <w:tcBorders>
              <w:top w:val="nil"/>
              <w:left w:val="nil"/>
              <w:bottom w:val="nil"/>
              <w:right w:val="nil"/>
            </w:tcBorders>
          </w:tcPr>
          <w:p w14:paraId="5AE76384" w14:textId="77777777" w:rsidR="00F94244" w:rsidRPr="004C78D8" w:rsidRDefault="00F94244" w:rsidP="00FB7C1F">
            <w:pPr>
              <w:jc w:val="left"/>
              <w:rPr>
                <w:sz w:val="18"/>
                <w:szCs w:val="18"/>
              </w:rPr>
            </w:pPr>
            <w:r w:rsidRPr="004C78D8">
              <w:rPr>
                <w:sz w:val="18"/>
                <w:szCs w:val="18"/>
              </w:rPr>
              <w:t>CD adults aged 65+ who are chronic users of sedatives for insomnia</w:t>
            </w:r>
          </w:p>
        </w:tc>
        <w:tc>
          <w:tcPr>
            <w:tcW w:w="321" w:type="pct"/>
            <w:tcBorders>
              <w:top w:val="nil"/>
              <w:left w:val="nil"/>
              <w:bottom w:val="nil"/>
              <w:right w:val="nil"/>
            </w:tcBorders>
          </w:tcPr>
          <w:p w14:paraId="79E1B2F0" w14:textId="77777777" w:rsidR="00F94244" w:rsidRPr="004C78D8" w:rsidRDefault="00F94244" w:rsidP="00FB7C1F">
            <w:pPr>
              <w:jc w:val="left"/>
              <w:rPr>
                <w:sz w:val="18"/>
                <w:szCs w:val="18"/>
              </w:rPr>
            </w:pPr>
            <w:r w:rsidRPr="004C78D8">
              <w:rPr>
                <w:sz w:val="18"/>
                <w:szCs w:val="18"/>
              </w:rPr>
              <w:t>CUA</w:t>
            </w:r>
          </w:p>
        </w:tc>
        <w:tc>
          <w:tcPr>
            <w:tcW w:w="497" w:type="pct"/>
            <w:tcBorders>
              <w:top w:val="nil"/>
              <w:left w:val="nil"/>
              <w:bottom w:val="nil"/>
              <w:right w:val="nil"/>
            </w:tcBorders>
          </w:tcPr>
          <w:p w14:paraId="629AA848" w14:textId="77777777" w:rsidR="00F94244" w:rsidRPr="004C78D8" w:rsidRDefault="00F94244" w:rsidP="00FB7C1F">
            <w:pPr>
              <w:jc w:val="left"/>
              <w:rPr>
                <w:sz w:val="18"/>
                <w:szCs w:val="18"/>
              </w:rPr>
            </w:pPr>
            <w:r w:rsidRPr="004C78D8">
              <w:rPr>
                <w:sz w:val="18"/>
                <w:szCs w:val="18"/>
              </w:rPr>
              <w:t>Public sector</w:t>
            </w:r>
          </w:p>
        </w:tc>
        <w:tc>
          <w:tcPr>
            <w:tcW w:w="952" w:type="pct"/>
            <w:tcBorders>
              <w:top w:val="nil"/>
              <w:left w:val="nil"/>
              <w:bottom w:val="nil"/>
              <w:right w:val="nil"/>
            </w:tcBorders>
          </w:tcPr>
          <w:p w14:paraId="6236BF2D" w14:textId="77777777" w:rsidR="00F94244" w:rsidRPr="004C78D8" w:rsidRDefault="00F94244" w:rsidP="00FB7C1F">
            <w:pPr>
              <w:jc w:val="left"/>
              <w:rPr>
                <w:sz w:val="18"/>
                <w:szCs w:val="18"/>
              </w:rPr>
            </w:pPr>
            <w:r w:rsidRPr="004C78D8">
              <w:rPr>
                <w:sz w:val="18"/>
                <w:szCs w:val="18"/>
              </w:rPr>
              <w:t>Med. modification [NR]</w:t>
            </w:r>
          </w:p>
        </w:tc>
        <w:tc>
          <w:tcPr>
            <w:tcW w:w="453" w:type="pct"/>
            <w:tcBorders>
              <w:top w:val="nil"/>
              <w:left w:val="nil"/>
              <w:bottom w:val="nil"/>
              <w:right w:val="nil"/>
            </w:tcBorders>
          </w:tcPr>
          <w:p w14:paraId="69510633" w14:textId="77777777" w:rsidR="00F94244" w:rsidRPr="004C78D8" w:rsidRDefault="00F94244" w:rsidP="00FB7C1F">
            <w:pPr>
              <w:jc w:val="left"/>
              <w:rPr>
                <w:sz w:val="18"/>
                <w:szCs w:val="18"/>
              </w:rPr>
            </w:pPr>
            <w:r w:rsidRPr="004C78D8">
              <w:rPr>
                <w:sz w:val="18"/>
                <w:szCs w:val="18"/>
              </w:rPr>
              <w:t>DT + Markov cohort</w:t>
            </w:r>
          </w:p>
        </w:tc>
        <w:tc>
          <w:tcPr>
            <w:tcW w:w="355" w:type="pct"/>
            <w:tcBorders>
              <w:top w:val="nil"/>
              <w:left w:val="nil"/>
              <w:bottom w:val="nil"/>
              <w:right w:val="nil"/>
            </w:tcBorders>
          </w:tcPr>
          <w:p w14:paraId="6467BF19" w14:textId="77777777" w:rsidR="00F94244" w:rsidRPr="004C78D8" w:rsidRDefault="00F94244" w:rsidP="00FB7C1F">
            <w:pPr>
              <w:jc w:val="left"/>
              <w:rPr>
                <w:sz w:val="18"/>
                <w:szCs w:val="18"/>
              </w:rPr>
            </w:pPr>
            <w:r w:rsidRPr="004C78D8">
              <w:rPr>
                <w:sz w:val="18"/>
                <w:szCs w:val="18"/>
              </w:rPr>
              <w:t>1 year</w:t>
            </w:r>
          </w:p>
        </w:tc>
        <w:tc>
          <w:tcPr>
            <w:tcW w:w="377" w:type="pct"/>
            <w:tcBorders>
              <w:top w:val="nil"/>
              <w:left w:val="nil"/>
              <w:bottom w:val="nil"/>
            </w:tcBorders>
          </w:tcPr>
          <w:p w14:paraId="7B1B037C" w14:textId="77777777" w:rsidR="00F94244" w:rsidRPr="004C78D8" w:rsidRDefault="00F94244" w:rsidP="00FB7C1F">
            <w:pPr>
              <w:jc w:val="left"/>
              <w:rPr>
                <w:sz w:val="18"/>
                <w:szCs w:val="18"/>
              </w:rPr>
            </w:pPr>
            <w:r w:rsidRPr="004C78D8">
              <w:rPr>
                <w:sz w:val="18"/>
                <w:szCs w:val="18"/>
              </w:rPr>
              <w:t>22</w:t>
            </w:r>
          </w:p>
        </w:tc>
      </w:tr>
      <w:tr w:rsidR="00F94244" w:rsidRPr="004C78D8" w14:paraId="4AAFCEEB" w14:textId="77777777" w:rsidTr="002828C1">
        <w:tc>
          <w:tcPr>
            <w:tcW w:w="149" w:type="pct"/>
            <w:tcBorders>
              <w:top w:val="nil"/>
              <w:bottom w:val="nil"/>
              <w:right w:val="nil"/>
            </w:tcBorders>
          </w:tcPr>
          <w:p w14:paraId="7CDD5C33" w14:textId="77777777" w:rsidR="00F94244" w:rsidRPr="004C78D8" w:rsidRDefault="00F94244" w:rsidP="00FB7C1F">
            <w:pPr>
              <w:jc w:val="left"/>
              <w:rPr>
                <w:sz w:val="18"/>
                <w:szCs w:val="18"/>
              </w:rPr>
            </w:pPr>
            <w:r w:rsidRPr="004C78D8">
              <w:rPr>
                <w:sz w:val="18"/>
                <w:szCs w:val="18"/>
              </w:rPr>
              <w:t>43</w:t>
            </w:r>
          </w:p>
        </w:tc>
        <w:tc>
          <w:tcPr>
            <w:tcW w:w="455" w:type="pct"/>
            <w:tcBorders>
              <w:top w:val="nil"/>
              <w:left w:val="nil"/>
              <w:bottom w:val="nil"/>
              <w:right w:val="nil"/>
            </w:tcBorders>
          </w:tcPr>
          <w:p w14:paraId="53270B8F" w14:textId="54AD112A" w:rsidR="00F94244" w:rsidRPr="004C78D8" w:rsidRDefault="00F94244" w:rsidP="00FB7C1F">
            <w:pPr>
              <w:jc w:val="left"/>
              <w:rPr>
                <w:sz w:val="18"/>
                <w:szCs w:val="18"/>
              </w:rPr>
            </w:pPr>
            <w:r w:rsidRPr="004C78D8">
              <w:rPr>
                <w:sz w:val="18"/>
                <w:szCs w:val="18"/>
              </w:rPr>
              <w:t xml:space="preserve">Velde (2008) </w:t>
            </w:r>
            <w:r w:rsidRPr="004C78D8">
              <w:rPr>
                <w:sz w:val="18"/>
                <w:szCs w:val="18"/>
              </w:rPr>
              <w:fldChar w:fldCharType="begin"/>
            </w:r>
            <w:r w:rsidR="00C630FC" w:rsidRPr="004C78D8">
              <w:rPr>
                <w:sz w:val="18"/>
                <w:szCs w:val="18"/>
              </w:rPr>
              <w:instrText xml:space="preserve"> ADDIN EN.CITE &lt;EndNote&gt;&lt;Cite&gt;&lt;Author&gt;van der Velde&lt;/Author&gt;&lt;Year&gt;2008&lt;/Year&gt;&lt;RecNum&gt;356&lt;/RecNum&gt;&lt;DisplayText&gt;[339]&lt;/DisplayText&gt;&lt;record&gt;&lt;rec-number&gt;356&lt;/rec-number&gt;&lt;foreign-keys&gt;&lt;key app="EN" db-id="tdtrdw9aepptzbefsat599syza29sxsd2wsp" timestamp="1612212149"&gt;356&lt;/key&gt;&lt;/foreign-keys&gt;&lt;ref-type name="Journal Article"&gt;17&lt;/ref-type&gt;&lt;contributors&gt;&lt;authors&gt;&lt;author&gt;van der Velde, Nathalie&lt;/author&gt;&lt;author&gt;Meerding, Willen Jan&lt;/author&gt;&lt;author&gt;Looman, Caspar W&lt;/author&gt;&lt;author&gt;Pols, Huibert AP&lt;/author&gt;&lt;author&gt;van der Cammen, Tischa JM&lt;/author&gt;&lt;/authors&gt;&lt;/contributors&gt;&lt;titles&gt;&lt;title&gt;Cost effectiveness of withdrawal of fall-risk-increasing drugs in geriatric outpatients&lt;/title&gt;&lt;secondary-title&gt;Drugs &amp;amp; aging&lt;/secondary-title&gt;&lt;/titles&gt;&lt;periodical&gt;&lt;full-title&gt;Drugs &amp;amp; aging&lt;/full-title&gt;&lt;/periodical&gt;&lt;pages&gt;521-529&lt;/pages&gt;&lt;volume&gt;25&lt;/volume&gt;&lt;number&gt;6&lt;/number&gt;&lt;dates&gt;&lt;year&gt;2008&lt;/year&gt;&lt;/dates&gt;&lt;isbn&gt;1170-229X&lt;/isbn&gt;&lt;urls&gt;&lt;/urls&gt;&lt;/record&gt;&lt;/Cite&gt;&lt;/EndNote&gt;</w:instrText>
            </w:r>
            <w:r w:rsidRPr="004C78D8">
              <w:rPr>
                <w:sz w:val="18"/>
                <w:szCs w:val="18"/>
              </w:rPr>
              <w:fldChar w:fldCharType="separate"/>
            </w:r>
            <w:r w:rsidR="00C630FC" w:rsidRPr="004C78D8">
              <w:rPr>
                <w:noProof/>
                <w:sz w:val="18"/>
                <w:szCs w:val="18"/>
              </w:rPr>
              <w:t>[339]</w:t>
            </w:r>
            <w:r w:rsidRPr="004C78D8">
              <w:rPr>
                <w:sz w:val="18"/>
                <w:szCs w:val="18"/>
              </w:rPr>
              <w:fldChar w:fldCharType="end"/>
            </w:r>
          </w:p>
        </w:tc>
        <w:tc>
          <w:tcPr>
            <w:tcW w:w="492" w:type="pct"/>
            <w:tcBorders>
              <w:top w:val="nil"/>
              <w:left w:val="nil"/>
              <w:bottom w:val="nil"/>
              <w:right w:val="nil"/>
            </w:tcBorders>
          </w:tcPr>
          <w:p w14:paraId="1BF350AE" w14:textId="77777777" w:rsidR="00F94244" w:rsidRPr="004C78D8" w:rsidRDefault="00F94244" w:rsidP="00FB7C1F">
            <w:pPr>
              <w:jc w:val="left"/>
              <w:rPr>
                <w:sz w:val="18"/>
                <w:szCs w:val="18"/>
              </w:rPr>
            </w:pPr>
            <w:r w:rsidRPr="004C78D8">
              <w:rPr>
                <w:sz w:val="18"/>
                <w:szCs w:val="18"/>
              </w:rPr>
              <w:t>Netherlands</w:t>
            </w:r>
          </w:p>
        </w:tc>
        <w:tc>
          <w:tcPr>
            <w:tcW w:w="950" w:type="pct"/>
            <w:tcBorders>
              <w:top w:val="nil"/>
              <w:left w:val="nil"/>
              <w:bottom w:val="nil"/>
              <w:right w:val="nil"/>
            </w:tcBorders>
          </w:tcPr>
          <w:p w14:paraId="606AF3FB" w14:textId="77777777" w:rsidR="00F94244" w:rsidRPr="004C78D8" w:rsidRDefault="00F94244" w:rsidP="00FB7C1F">
            <w:pPr>
              <w:jc w:val="left"/>
              <w:rPr>
                <w:sz w:val="18"/>
                <w:szCs w:val="18"/>
              </w:rPr>
            </w:pPr>
            <w:r w:rsidRPr="004C78D8">
              <w:rPr>
                <w:sz w:val="18"/>
                <w:szCs w:val="18"/>
              </w:rPr>
              <w:t>CD geriatric outpatient population with falls history (mean age 78)</w:t>
            </w:r>
          </w:p>
        </w:tc>
        <w:tc>
          <w:tcPr>
            <w:tcW w:w="321" w:type="pct"/>
            <w:tcBorders>
              <w:top w:val="nil"/>
              <w:left w:val="nil"/>
              <w:bottom w:val="nil"/>
              <w:right w:val="nil"/>
            </w:tcBorders>
          </w:tcPr>
          <w:p w14:paraId="021EDD0C" w14:textId="77777777" w:rsidR="00F94244" w:rsidRPr="004C78D8" w:rsidRDefault="00F94244" w:rsidP="00FB7C1F">
            <w:pPr>
              <w:jc w:val="left"/>
              <w:rPr>
                <w:sz w:val="18"/>
                <w:szCs w:val="18"/>
              </w:rPr>
            </w:pPr>
            <w:r w:rsidRPr="004C78D8">
              <w:rPr>
                <w:sz w:val="18"/>
                <w:szCs w:val="18"/>
              </w:rPr>
              <w:t>CEA</w:t>
            </w:r>
          </w:p>
        </w:tc>
        <w:tc>
          <w:tcPr>
            <w:tcW w:w="497" w:type="pct"/>
            <w:tcBorders>
              <w:top w:val="nil"/>
              <w:left w:val="nil"/>
              <w:bottom w:val="nil"/>
              <w:right w:val="nil"/>
            </w:tcBorders>
          </w:tcPr>
          <w:p w14:paraId="7512C84F" w14:textId="77777777" w:rsidR="00F94244" w:rsidRPr="004C78D8" w:rsidRDefault="00F94244" w:rsidP="00FB7C1F">
            <w:pPr>
              <w:jc w:val="left"/>
              <w:rPr>
                <w:sz w:val="18"/>
                <w:szCs w:val="18"/>
              </w:rPr>
            </w:pPr>
            <w:r w:rsidRPr="004C78D8">
              <w:rPr>
                <w:sz w:val="18"/>
                <w:szCs w:val="18"/>
              </w:rPr>
              <w:t>Public sector</w:t>
            </w:r>
          </w:p>
        </w:tc>
        <w:tc>
          <w:tcPr>
            <w:tcW w:w="952" w:type="pct"/>
            <w:tcBorders>
              <w:top w:val="nil"/>
              <w:left w:val="nil"/>
              <w:bottom w:val="nil"/>
              <w:right w:val="nil"/>
            </w:tcBorders>
          </w:tcPr>
          <w:p w14:paraId="6C9B6C52" w14:textId="77777777" w:rsidR="00F94244" w:rsidRPr="004C78D8" w:rsidRDefault="00F94244" w:rsidP="00FB7C1F">
            <w:pPr>
              <w:jc w:val="left"/>
              <w:rPr>
                <w:sz w:val="18"/>
                <w:szCs w:val="18"/>
              </w:rPr>
            </w:pPr>
            <w:r w:rsidRPr="004C78D8">
              <w:rPr>
                <w:sz w:val="18"/>
                <w:szCs w:val="18"/>
              </w:rPr>
              <w:t>Med. modification [NR]</w:t>
            </w:r>
          </w:p>
        </w:tc>
        <w:tc>
          <w:tcPr>
            <w:tcW w:w="453" w:type="pct"/>
            <w:tcBorders>
              <w:top w:val="nil"/>
              <w:left w:val="nil"/>
              <w:bottom w:val="nil"/>
              <w:right w:val="nil"/>
            </w:tcBorders>
          </w:tcPr>
          <w:p w14:paraId="21976CAB" w14:textId="77777777" w:rsidR="00F94244" w:rsidRPr="004C78D8" w:rsidRDefault="00F94244" w:rsidP="00FB7C1F">
            <w:pPr>
              <w:jc w:val="left"/>
              <w:rPr>
                <w:sz w:val="18"/>
                <w:szCs w:val="18"/>
              </w:rPr>
            </w:pPr>
            <w:r w:rsidRPr="004C78D8">
              <w:rPr>
                <w:sz w:val="18"/>
                <w:szCs w:val="18"/>
              </w:rPr>
              <w:t>Binary decision</w:t>
            </w:r>
          </w:p>
        </w:tc>
        <w:tc>
          <w:tcPr>
            <w:tcW w:w="355" w:type="pct"/>
            <w:tcBorders>
              <w:top w:val="nil"/>
              <w:left w:val="nil"/>
              <w:bottom w:val="nil"/>
              <w:right w:val="nil"/>
            </w:tcBorders>
          </w:tcPr>
          <w:p w14:paraId="49309EBB" w14:textId="15CFD534" w:rsidR="00F94244" w:rsidRPr="004C78D8" w:rsidRDefault="00F94244" w:rsidP="00FB7C1F">
            <w:pPr>
              <w:jc w:val="left"/>
              <w:rPr>
                <w:sz w:val="18"/>
                <w:szCs w:val="18"/>
              </w:rPr>
            </w:pPr>
            <w:r w:rsidRPr="004C78D8">
              <w:rPr>
                <w:sz w:val="18"/>
                <w:szCs w:val="18"/>
              </w:rPr>
              <w:t>1 year</w:t>
            </w:r>
            <w:r w:rsidR="001B3C29" w:rsidRPr="004C78D8">
              <w:rPr>
                <w:sz w:val="18"/>
                <w:szCs w:val="18"/>
                <w:vertAlign w:val="superscript"/>
              </w:rPr>
              <w:t>6</w:t>
            </w:r>
          </w:p>
        </w:tc>
        <w:tc>
          <w:tcPr>
            <w:tcW w:w="377" w:type="pct"/>
            <w:tcBorders>
              <w:top w:val="nil"/>
              <w:left w:val="nil"/>
              <w:bottom w:val="nil"/>
            </w:tcBorders>
          </w:tcPr>
          <w:p w14:paraId="69465821" w14:textId="77777777" w:rsidR="00F94244" w:rsidRPr="004C78D8" w:rsidRDefault="00F94244" w:rsidP="00FB7C1F">
            <w:pPr>
              <w:jc w:val="left"/>
              <w:rPr>
                <w:sz w:val="18"/>
                <w:szCs w:val="18"/>
              </w:rPr>
            </w:pPr>
            <w:r w:rsidRPr="004C78D8">
              <w:rPr>
                <w:sz w:val="18"/>
                <w:szCs w:val="18"/>
              </w:rPr>
              <w:t>18</w:t>
            </w:r>
          </w:p>
        </w:tc>
      </w:tr>
      <w:tr w:rsidR="00F94244" w:rsidRPr="004C78D8" w14:paraId="2AC08FA7" w14:textId="77777777" w:rsidTr="002828C1">
        <w:tc>
          <w:tcPr>
            <w:tcW w:w="149" w:type="pct"/>
            <w:tcBorders>
              <w:top w:val="nil"/>
              <w:bottom w:val="nil"/>
              <w:right w:val="nil"/>
            </w:tcBorders>
          </w:tcPr>
          <w:p w14:paraId="55A1DA8C" w14:textId="77777777" w:rsidR="00F94244" w:rsidRPr="004C78D8" w:rsidRDefault="00F94244" w:rsidP="00FB7C1F">
            <w:pPr>
              <w:jc w:val="left"/>
              <w:rPr>
                <w:sz w:val="18"/>
                <w:szCs w:val="18"/>
              </w:rPr>
            </w:pPr>
            <w:r w:rsidRPr="004C78D8">
              <w:rPr>
                <w:sz w:val="18"/>
                <w:szCs w:val="18"/>
              </w:rPr>
              <w:t>44</w:t>
            </w:r>
          </w:p>
        </w:tc>
        <w:tc>
          <w:tcPr>
            <w:tcW w:w="455" w:type="pct"/>
            <w:tcBorders>
              <w:top w:val="nil"/>
              <w:left w:val="nil"/>
              <w:bottom w:val="nil"/>
              <w:right w:val="nil"/>
            </w:tcBorders>
          </w:tcPr>
          <w:p w14:paraId="3D4A0A25" w14:textId="5545E1B6" w:rsidR="00F94244" w:rsidRPr="004C78D8" w:rsidRDefault="00F94244" w:rsidP="00FB7C1F">
            <w:pPr>
              <w:jc w:val="left"/>
              <w:rPr>
                <w:sz w:val="18"/>
                <w:szCs w:val="18"/>
              </w:rPr>
            </w:pPr>
            <w:r w:rsidRPr="004C78D8">
              <w:rPr>
                <w:sz w:val="18"/>
                <w:szCs w:val="18"/>
              </w:rPr>
              <w:t xml:space="preserve">Wilson (2017) </w:t>
            </w:r>
            <w:r w:rsidRPr="004C78D8">
              <w:rPr>
                <w:sz w:val="18"/>
                <w:szCs w:val="18"/>
              </w:rPr>
              <w:fldChar w:fldCharType="begin"/>
            </w:r>
            <w:r w:rsidR="00C630FC" w:rsidRPr="004C78D8">
              <w:rPr>
                <w:sz w:val="18"/>
                <w:szCs w:val="18"/>
              </w:rPr>
              <w:instrText xml:space="preserve"> ADDIN EN.CITE &lt;EndNote&gt;&lt;Cite&gt;&lt;Author&gt;Wilson&lt;/Author&gt;&lt;Year&gt;2017&lt;/Year&gt;&lt;RecNum&gt;278&lt;/RecNum&gt;&lt;DisplayText&gt;[206]&lt;/DisplayText&gt;&lt;record&gt;&lt;rec-number&gt;278&lt;/rec-number&gt;&lt;foreign-keys&gt;&lt;key app="EN" db-id="tdtrdw9aepptzbefsat599syza29sxsd2wsp" timestamp="1611698655"&gt;278&lt;/key&gt;&lt;/foreign-keys&gt;&lt;ref-type name="Journal Article"&gt;17&lt;/ref-type&gt;&lt;contributors&gt;&lt;authors&gt;&lt;author&gt;Wilson, Nick&lt;/author&gt;&lt;author&gt;Kvizhinadze, Giorgi&lt;/author&gt;&lt;author&gt;Pega, Frank&lt;/author&gt;&lt;author&gt;Nair, Nisha&lt;/author&gt;&lt;author&gt;Blakely, Tony&lt;/author&gt;&lt;/authors&gt;&lt;/contributors&gt;&lt;titles&gt;&lt;title&gt;Home modification to reduce falls at a health district level: Modeling health gain, health inequalities and health costs&lt;/title&gt;&lt;secondary-title&gt;PloS one&lt;/secondary-title&gt;&lt;/titles&gt;&lt;periodical&gt;&lt;full-title&gt;PLoS One&lt;/full-title&gt;&lt;abbr-1&gt;PloS one&lt;/abbr-1&gt;&lt;/periodical&gt;&lt;pages&gt;e0184538&lt;/pages&gt;&lt;volume&gt;12&lt;/volume&gt;&lt;number&gt;9&lt;/number&gt;&lt;dates&gt;&lt;year&gt;2017&lt;/year&gt;&lt;/dates&gt;&lt;isbn&gt;1932-6203&lt;/isbn&gt;&lt;urls&gt;&lt;/urls&gt;&lt;/record&gt;&lt;/Cite&gt;&lt;/EndNote&gt;</w:instrText>
            </w:r>
            <w:r w:rsidRPr="004C78D8">
              <w:rPr>
                <w:sz w:val="18"/>
                <w:szCs w:val="18"/>
              </w:rPr>
              <w:fldChar w:fldCharType="separate"/>
            </w:r>
            <w:r w:rsidR="00C630FC" w:rsidRPr="004C78D8">
              <w:rPr>
                <w:noProof/>
                <w:sz w:val="18"/>
                <w:szCs w:val="18"/>
              </w:rPr>
              <w:t>[206]</w:t>
            </w:r>
            <w:r w:rsidRPr="004C78D8">
              <w:rPr>
                <w:sz w:val="18"/>
                <w:szCs w:val="18"/>
              </w:rPr>
              <w:fldChar w:fldCharType="end"/>
            </w:r>
          </w:p>
        </w:tc>
        <w:tc>
          <w:tcPr>
            <w:tcW w:w="492" w:type="pct"/>
            <w:tcBorders>
              <w:top w:val="nil"/>
              <w:left w:val="nil"/>
              <w:bottom w:val="nil"/>
              <w:right w:val="nil"/>
            </w:tcBorders>
          </w:tcPr>
          <w:p w14:paraId="5C740CC0" w14:textId="77777777" w:rsidR="00F94244" w:rsidRPr="004C78D8" w:rsidRDefault="00F94244" w:rsidP="00FB7C1F">
            <w:pPr>
              <w:jc w:val="left"/>
              <w:rPr>
                <w:sz w:val="18"/>
                <w:szCs w:val="18"/>
              </w:rPr>
            </w:pPr>
            <w:r w:rsidRPr="004C78D8">
              <w:rPr>
                <w:sz w:val="18"/>
                <w:szCs w:val="18"/>
              </w:rPr>
              <w:t>New Zealand, Manukau</w:t>
            </w:r>
          </w:p>
        </w:tc>
        <w:tc>
          <w:tcPr>
            <w:tcW w:w="950" w:type="pct"/>
            <w:tcBorders>
              <w:top w:val="nil"/>
              <w:left w:val="nil"/>
              <w:bottom w:val="nil"/>
              <w:right w:val="nil"/>
            </w:tcBorders>
          </w:tcPr>
          <w:p w14:paraId="6B19FD63" w14:textId="77777777" w:rsidR="00F94244" w:rsidRPr="004C78D8" w:rsidRDefault="00F94244" w:rsidP="00FB7C1F">
            <w:pPr>
              <w:jc w:val="left"/>
              <w:rPr>
                <w:sz w:val="18"/>
                <w:szCs w:val="18"/>
              </w:rPr>
            </w:pPr>
            <w:r w:rsidRPr="004C78D8">
              <w:rPr>
                <w:sz w:val="18"/>
                <w:szCs w:val="18"/>
              </w:rPr>
              <w:t>CD adults aged 65+</w:t>
            </w:r>
          </w:p>
        </w:tc>
        <w:tc>
          <w:tcPr>
            <w:tcW w:w="321" w:type="pct"/>
            <w:tcBorders>
              <w:top w:val="nil"/>
              <w:left w:val="nil"/>
              <w:bottom w:val="nil"/>
              <w:right w:val="nil"/>
            </w:tcBorders>
          </w:tcPr>
          <w:p w14:paraId="5F1A9E6C" w14:textId="77777777" w:rsidR="00F94244" w:rsidRPr="004C78D8" w:rsidRDefault="00F94244" w:rsidP="00FB7C1F">
            <w:pPr>
              <w:jc w:val="left"/>
              <w:rPr>
                <w:sz w:val="18"/>
                <w:szCs w:val="18"/>
              </w:rPr>
            </w:pPr>
            <w:r w:rsidRPr="004C78D8">
              <w:rPr>
                <w:sz w:val="18"/>
                <w:szCs w:val="18"/>
              </w:rPr>
              <w:t>CUA</w:t>
            </w:r>
          </w:p>
        </w:tc>
        <w:tc>
          <w:tcPr>
            <w:tcW w:w="497" w:type="pct"/>
            <w:tcBorders>
              <w:top w:val="nil"/>
              <w:left w:val="nil"/>
              <w:bottom w:val="nil"/>
              <w:right w:val="nil"/>
            </w:tcBorders>
          </w:tcPr>
          <w:p w14:paraId="1B3C7EF6" w14:textId="77777777" w:rsidR="00F94244" w:rsidRPr="004C78D8" w:rsidRDefault="00F94244" w:rsidP="00FB7C1F">
            <w:pPr>
              <w:jc w:val="left"/>
              <w:rPr>
                <w:sz w:val="18"/>
                <w:szCs w:val="18"/>
              </w:rPr>
            </w:pPr>
            <w:r w:rsidRPr="004C78D8">
              <w:rPr>
                <w:sz w:val="18"/>
                <w:szCs w:val="18"/>
              </w:rPr>
              <w:t>Public sector</w:t>
            </w:r>
          </w:p>
        </w:tc>
        <w:tc>
          <w:tcPr>
            <w:tcW w:w="952" w:type="pct"/>
            <w:tcBorders>
              <w:top w:val="nil"/>
              <w:left w:val="nil"/>
              <w:bottom w:val="nil"/>
              <w:right w:val="nil"/>
            </w:tcBorders>
          </w:tcPr>
          <w:p w14:paraId="7ADF6227" w14:textId="77777777" w:rsidR="00F94244" w:rsidRPr="004C78D8" w:rsidRDefault="00F94244" w:rsidP="00FB7C1F">
            <w:pPr>
              <w:jc w:val="left"/>
              <w:rPr>
                <w:sz w:val="18"/>
                <w:szCs w:val="18"/>
              </w:rPr>
            </w:pPr>
            <w:r w:rsidRPr="004C78D8">
              <w:rPr>
                <w:sz w:val="18"/>
                <w:szCs w:val="18"/>
              </w:rPr>
              <w:t>HAM [NR]</w:t>
            </w:r>
          </w:p>
        </w:tc>
        <w:tc>
          <w:tcPr>
            <w:tcW w:w="453" w:type="pct"/>
            <w:tcBorders>
              <w:top w:val="nil"/>
              <w:left w:val="nil"/>
              <w:bottom w:val="nil"/>
              <w:right w:val="nil"/>
            </w:tcBorders>
          </w:tcPr>
          <w:p w14:paraId="66C57A9C" w14:textId="77777777" w:rsidR="00F94244" w:rsidRPr="004C78D8" w:rsidRDefault="00F94244" w:rsidP="00FB7C1F">
            <w:pPr>
              <w:jc w:val="left"/>
              <w:rPr>
                <w:sz w:val="18"/>
                <w:szCs w:val="18"/>
              </w:rPr>
            </w:pPr>
            <w:r w:rsidRPr="004C78D8">
              <w:rPr>
                <w:sz w:val="18"/>
                <w:szCs w:val="18"/>
              </w:rPr>
              <w:t>Markov cohort</w:t>
            </w:r>
          </w:p>
        </w:tc>
        <w:tc>
          <w:tcPr>
            <w:tcW w:w="355" w:type="pct"/>
            <w:tcBorders>
              <w:top w:val="nil"/>
              <w:left w:val="nil"/>
              <w:bottom w:val="nil"/>
              <w:right w:val="nil"/>
            </w:tcBorders>
          </w:tcPr>
          <w:p w14:paraId="40FDAA08" w14:textId="77777777" w:rsidR="00F94244" w:rsidRPr="004C78D8" w:rsidRDefault="00F94244" w:rsidP="00FB7C1F">
            <w:pPr>
              <w:jc w:val="left"/>
              <w:rPr>
                <w:sz w:val="18"/>
                <w:szCs w:val="18"/>
              </w:rPr>
            </w:pPr>
            <w:r w:rsidRPr="004C78D8">
              <w:rPr>
                <w:sz w:val="18"/>
                <w:szCs w:val="18"/>
              </w:rPr>
              <w:t>Lifetime</w:t>
            </w:r>
          </w:p>
        </w:tc>
        <w:tc>
          <w:tcPr>
            <w:tcW w:w="377" w:type="pct"/>
            <w:tcBorders>
              <w:top w:val="nil"/>
              <w:left w:val="nil"/>
              <w:bottom w:val="nil"/>
            </w:tcBorders>
          </w:tcPr>
          <w:p w14:paraId="5E70DC4E" w14:textId="77777777" w:rsidR="00F94244" w:rsidRPr="004C78D8" w:rsidRDefault="00F94244" w:rsidP="00FB7C1F">
            <w:pPr>
              <w:jc w:val="left"/>
              <w:rPr>
                <w:sz w:val="18"/>
                <w:szCs w:val="18"/>
              </w:rPr>
            </w:pPr>
            <w:r w:rsidRPr="004C78D8">
              <w:rPr>
                <w:sz w:val="18"/>
                <w:szCs w:val="18"/>
              </w:rPr>
              <w:t>23.5</w:t>
            </w:r>
          </w:p>
        </w:tc>
      </w:tr>
      <w:tr w:rsidR="00F94244" w:rsidRPr="004C78D8" w14:paraId="2C2E9CBE" w14:textId="77777777" w:rsidTr="002828C1">
        <w:tc>
          <w:tcPr>
            <w:tcW w:w="149" w:type="pct"/>
            <w:tcBorders>
              <w:top w:val="nil"/>
              <w:bottom w:val="nil"/>
              <w:right w:val="nil"/>
            </w:tcBorders>
          </w:tcPr>
          <w:p w14:paraId="3853C20D" w14:textId="77777777" w:rsidR="00F94244" w:rsidRPr="004C78D8" w:rsidRDefault="00F94244" w:rsidP="00FB7C1F">
            <w:pPr>
              <w:jc w:val="left"/>
              <w:rPr>
                <w:sz w:val="18"/>
                <w:szCs w:val="18"/>
              </w:rPr>
            </w:pPr>
            <w:r w:rsidRPr="004C78D8">
              <w:rPr>
                <w:sz w:val="18"/>
                <w:szCs w:val="18"/>
              </w:rPr>
              <w:t>45</w:t>
            </w:r>
          </w:p>
        </w:tc>
        <w:tc>
          <w:tcPr>
            <w:tcW w:w="455" w:type="pct"/>
            <w:tcBorders>
              <w:top w:val="nil"/>
              <w:left w:val="nil"/>
              <w:bottom w:val="nil"/>
              <w:right w:val="nil"/>
            </w:tcBorders>
          </w:tcPr>
          <w:p w14:paraId="00483209" w14:textId="426E2438" w:rsidR="00F94244" w:rsidRPr="004C78D8" w:rsidRDefault="00F94244" w:rsidP="00FB7C1F">
            <w:pPr>
              <w:jc w:val="left"/>
              <w:rPr>
                <w:sz w:val="18"/>
                <w:szCs w:val="18"/>
              </w:rPr>
            </w:pPr>
            <w:r w:rsidRPr="004C78D8">
              <w:rPr>
                <w:sz w:val="18"/>
                <w:szCs w:val="18"/>
              </w:rPr>
              <w:t xml:space="preserve">Wu (2010) </w:t>
            </w:r>
            <w:r w:rsidRPr="004C78D8">
              <w:rPr>
                <w:sz w:val="18"/>
                <w:szCs w:val="18"/>
              </w:rPr>
              <w:fldChar w:fldCharType="begin">
                <w:fldData xml:space="preserve">PEVuZE5vdGU+PENpdGU+PEF1dGhvcj5XdTwvQXV0aG9yPjxZZWFyPjIwMTA8L1llYXI+PFJlY051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</w:fldData>
              </w:fldChar>
            </w:r>
            <w:r w:rsidR="00C630FC" w:rsidRPr="004C78D8">
              <w:rPr>
                <w:sz w:val="18"/>
                <w:szCs w:val="18"/>
              </w:rPr>
              <w:instrText xml:space="preserve"> ADDIN EN.CITE </w:instrText>
            </w:r>
            <w:r w:rsidR="00C630FC" w:rsidRPr="004C78D8">
              <w:rPr>
                <w:sz w:val="18"/>
                <w:szCs w:val="18"/>
              </w:rPr>
              <w:fldChar w:fldCharType="begin">
                <w:fldData xml:space="preserve">PEVuZE5vdGU+PENpdGU+PEF1dGhvcj5XdTwvQXV0aG9yPjxZZWFyPjIwMTA8L1llYXI+PFJlY051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</w:fldData>
              </w:fldChar>
            </w:r>
            <w:r w:rsidR="00C630FC" w:rsidRPr="004C78D8">
              <w:rPr>
                <w:sz w:val="18"/>
                <w:szCs w:val="18"/>
              </w:rPr>
              <w:instrText xml:space="preserve"> ADDIN EN.CITE.DATA </w:instrText>
            </w:r>
            <w:r w:rsidR="00C630FC" w:rsidRPr="004C78D8">
              <w:rPr>
                <w:sz w:val="18"/>
                <w:szCs w:val="18"/>
              </w:rPr>
            </w:r>
            <w:r w:rsidR="00C630FC" w:rsidRPr="004C78D8">
              <w:rPr>
                <w:sz w:val="18"/>
                <w:szCs w:val="18"/>
              </w:rPr>
              <w:fldChar w:fldCharType="end"/>
            </w:r>
            <w:r w:rsidRPr="004C78D8">
              <w:rPr>
                <w:sz w:val="18"/>
                <w:szCs w:val="18"/>
              </w:rPr>
            </w:r>
            <w:r w:rsidRPr="004C78D8">
              <w:rPr>
                <w:sz w:val="18"/>
                <w:szCs w:val="18"/>
              </w:rPr>
              <w:fldChar w:fldCharType="separate"/>
            </w:r>
            <w:r w:rsidR="00C630FC" w:rsidRPr="004C78D8">
              <w:rPr>
                <w:noProof/>
                <w:sz w:val="18"/>
                <w:szCs w:val="18"/>
              </w:rPr>
              <w:t>[340]</w:t>
            </w:r>
            <w:r w:rsidRPr="004C78D8">
              <w:rPr>
                <w:sz w:val="18"/>
                <w:szCs w:val="18"/>
              </w:rPr>
              <w:fldChar w:fldCharType="end"/>
            </w:r>
          </w:p>
        </w:tc>
        <w:tc>
          <w:tcPr>
            <w:tcW w:w="492" w:type="pct"/>
            <w:tcBorders>
              <w:top w:val="nil"/>
              <w:left w:val="nil"/>
              <w:bottom w:val="nil"/>
              <w:right w:val="nil"/>
            </w:tcBorders>
          </w:tcPr>
          <w:p w14:paraId="6CB4376B" w14:textId="77777777" w:rsidR="00F94244" w:rsidRPr="004C78D8" w:rsidRDefault="00F94244" w:rsidP="00FB7C1F">
            <w:pPr>
              <w:jc w:val="left"/>
              <w:rPr>
                <w:sz w:val="18"/>
                <w:szCs w:val="18"/>
              </w:rPr>
            </w:pPr>
            <w:r w:rsidRPr="004C78D8">
              <w:rPr>
                <w:sz w:val="18"/>
                <w:szCs w:val="18"/>
              </w:rPr>
              <w:t>US, Medicare/aid</w:t>
            </w:r>
          </w:p>
        </w:tc>
        <w:tc>
          <w:tcPr>
            <w:tcW w:w="950" w:type="pct"/>
            <w:tcBorders>
              <w:top w:val="nil"/>
              <w:left w:val="nil"/>
              <w:bottom w:val="nil"/>
              <w:right w:val="nil"/>
            </w:tcBorders>
          </w:tcPr>
          <w:p w14:paraId="58BEEDE5" w14:textId="77777777" w:rsidR="00F94244" w:rsidRPr="004C78D8" w:rsidRDefault="00F94244" w:rsidP="00FB7C1F">
            <w:pPr>
              <w:jc w:val="left"/>
              <w:rPr>
                <w:sz w:val="18"/>
                <w:szCs w:val="18"/>
              </w:rPr>
            </w:pPr>
            <w:r w:rsidRPr="004C78D8">
              <w:rPr>
                <w:sz w:val="18"/>
                <w:szCs w:val="18"/>
              </w:rPr>
              <w:t>CD Medicare beneficiaries aged 65+ with falls history</w:t>
            </w:r>
          </w:p>
        </w:tc>
        <w:tc>
          <w:tcPr>
            <w:tcW w:w="321" w:type="pct"/>
            <w:tcBorders>
              <w:top w:val="nil"/>
              <w:left w:val="nil"/>
              <w:bottom w:val="nil"/>
              <w:right w:val="nil"/>
            </w:tcBorders>
          </w:tcPr>
          <w:p w14:paraId="2FB95351" w14:textId="77777777" w:rsidR="00F94244" w:rsidRPr="004C78D8" w:rsidRDefault="00F94244" w:rsidP="00FB7C1F">
            <w:pPr>
              <w:jc w:val="left"/>
              <w:rPr>
                <w:sz w:val="18"/>
                <w:szCs w:val="18"/>
              </w:rPr>
            </w:pPr>
            <w:r w:rsidRPr="004C78D8">
              <w:rPr>
                <w:sz w:val="18"/>
                <w:szCs w:val="18"/>
              </w:rPr>
              <w:t>CEA; ROI</w:t>
            </w:r>
          </w:p>
        </w:tc>
        <w:tc>
          <w:tcPr>
            <w:tcW w:w="497" w:type="pct"/>
            <w:tcBorders>
              <w:top w:val="nil"/>
              <w:left w:val="nil"/>
              <w:bottom w:val="nil"/>
              <w:right w:val="nil"/>
            </w:tcBorders>
          </w:tcPr>
          <w:p w14:paraId="73BE1E31" w14:textId="77777777" w:rsidR="00F94244" w:rsidRPr="004C78D8" w:rsidRDefault="00F94244" w:rsidP="00FB7C1F">
            <w:pPr>
              <w:jc w:val="left"/>
              <w:rPr>
                <w:sz w:val="18"/>
                <w:szCs w:val="18"/>
              </w:rPr>
            </w:pPr>
            <w:r w:rsidRPr="004C78D8">
              <w:rPr>
                <w:sz w:val="18"/>
                <w:szCs w:val="18"/>
              </w:rPr>
              <w:t>Public sector; Societal</w:t>
            </w:r>
          </w:p>
        </w:tc>
        <w:tc>
          <w:tcPr>
            <w:tcW w:w="952" w:type="pct"/>
            <w:tcBorders>
              <w:top w:val="nil"/>
              <w:left w:val="nil"/>
              <w:bottom w:val="nil"/>
              <w:right w:val="nil"/>
            </w:tcBorders>
          </w:tcPr>
          <w:p w14:paraId="5F9940D9" w14:textId="77777777" w:rsidR="00F94244" w:rsidRPr="004C78D8" w:rsidRDefault="00F94244" w:rsidP="00FB7C1F">
            <w:pPr>
              <w:jc w:val="left"/>
              <w:rPr>
                <w:sz w:val="18"/>
                <w:szCs w:val="18"/>
              </w:rPr>
            </w:pPr>
            <w:r w:rsidRPr="004C78D8">
              <w:rPr>
                <w:sz w:val="18"/>
                <w:szCs w:val="18"/>
              </w:rPr>
              <w:t>MF int. [NR]</w:t>
            </w:r>
          </w:p>
        </w:tc>
        <w:tc>
          <w:tcPr>
            <w:tcW w:w="453" w:type="pct"/>
            <w:tcBorders>
              <w:top w:val="nil"/>
              <w:left w:val="nil"/>
              <w:bottom w:val="nil"/>
              <w:right w:val="nil"/>
            </w:tcBorders>
          </w:tcPr>
          <w:p w14:paraId="1559B933" w14:textId="77777777" w:rsidR="00F94244" w:rsidRPr="004C78D8" w:rsidRDefault="00F94244" w:rsidP="00FB7C1F">
            <w:pPr>
              <w:jc w:val="left"/>
              <w:rPr>
                <w:sz w:val="18"/>
                <w:szCs w:val="18"/>
              </w:rPr>
            </w:pPr>
            <w:r w:rsidRPr="004C78D8">
              <w:rPr>
                <w:sz w:val="18"/>
                <w:szCs w:val="18"/>
              </w:rPr>
              <w:t>Binary decision</w:t>
            </w:r>
          </w:p>
        </w:tc>
        <w:tc>
          <w:tcPr>
            <w:tcW w:w="355" w:type="pct"/>
            <w:tcBorders>
              <w:top w:val="nil"/>
              <w:left w:val="nil"/>
              <w:bottom w:val="nil"/>
              <w:right w:val="nil"/>
            </w:tcBorders>
          </w:tcPr>
          <w:p w14:paraId="2E229060" w14:textId="77777777" w:rsidR="00F94244" w:rsidRPr="004C78D8" w:rsidRDefault="00F94244" w:rsidP="00FB7C1F">
            <w:pPr>
              <w:jc w:val="left"/>
              <w:rPr>
                <w:sz w:val="18"/>
                <w:szCs w:val="18"/>
              </w:rPr>
            </w:pPr>
            <w:r w:rsidRPr="004C78D8">
              <w:rPr>
                <w:sz w:val="18"/>
                <w:szCs w:val="18"/>
              </w:rPr>
              <w:t>1 year</w:t>
            </w:r>
          </w:p>
        </w:tc>
        <w:tc>
          <w:tcPr>
            <w:tcW w:w="377" w:type="pct"/>
            <w:tcBorders>
              <w:top w:val="nil"/>
              <w:left w:val="nil"/>
              <w:bottom w:val="nil"/>
            </w:tcBorders>
          </w:tcPr>
          <w:p w14:paraId="7F098B36" w14:textId="77777777" w:rsidR="00F94244" w:rsidRPr="004C78D8" w:rsidRDefault="00F94244" w:rsidP="00FB7C1F">
            <w:pPr>
              <w:jc w:val="left"/>
              <w:rPr>
                <w:sz w:val="18"/>
                <w:szCs w:val="18"/>
              </w:rPr>
            </w:pPr>
            <w:r w:rsidRPr="004C78D8">
              <w:rPr>
                <w:sz w:val="18"/>
                <w:szCs w:val="18"/>
              </w:rPr>
              <w:t>22</w:t>
            </w:r>
          </w:p>
        </w:tc>
      </w:tr>
      <w:tr w:rsidR="00F94244" w:rsidRPr="004C78D8" w14:paraId="372BE2B0" w14:textId="77777777" w:rsidTr="002828C1">
        <w:tc>
          <w:tcPr>
            <w:tcW w:w="149" w:type="pct"/>
            <w:tcBorders>
              <w:top w:val="nil"/>
              <w:right w:val="nil"/>
            </w:tcBorders>
          </w:tcPr>
          <w:p w14:paraId="133FDDE6" w14:textId="77777777" w:rsidR="00F94244" w:rsidRPr="004C78D8" w:rsidRDefault="00F94244" w:rsidP="00FB7C1F">
            <w:pPr>
              <w:jc w:val="left"/>
              <w:rPr>
                <w:sz w:val="18"/>
                <w:szCs w:val="18"/>
              </w:rPr>
            </w:pPr>
            <w:r w:rsidRPr="004C78D8">
              <w:rPr>
                <w:sz w:val="18"/>
                <w:szCs w:val="18"/>
              </w:rPr>
              <w:t>46</w:t>
            </w:r>
          </w:p>
        </w:tc>
        <w:tc>
          <w:tcPr>
            <w:tcW w:w="455" w:type="pct"/>
            <w:tcBorders>
              <w:top w:val="nil"/>
              <w:left w:val="nil"/>
              <w:right w:val="nil"/>
            </w:tcBorders>
          </w:tcPr>
          <w:p w14:paraId="14306EDD" w14:textId="17E8F7F4" w:rsidR="00F94244" w:rsidRPr="004C78D8" w:rsidRDefault="00F94244" w:rsidP="00FB7C1F">
            <w:pPr>
              <w:jc w:val="left"/>
              <w:rPr>
                <w:sz w:val="18"/>
                <w:szCs w:val="18"/>
              </w:rPr>
            </w:pPr>
            <w:r w:rsidRPr="004C78D8">
              <w:rPr>
                <w:sz w:val="18"/>
                <w:szCs w:val="18"/>
              </w:rPr>
              <w:t xml:space="preserve">Zarca (2014) </w:t>
            </w:r>
            <w:r w:rsidRPr="004C78D8">
              <w:rPr>
                <w:sz w:val="18"/>
                <w:szCs w:val="18"/>
              </w:rPr>
              <w:fldChar w:fldCharType="begin"/>
            </w:r>
            <w:r w:rsidR="00C630FC" w:rsidRPr="004C78D8">
              <w:rPr>
                <w:sz w:val="18"/>
                <w:szCs w:val="18"/>
              </w:rPr>
              <w:instrText xml:space="preserve"> ADDIN EN.CITE &lt;EndNote&gt;&lt;Cite&gt;&lt;Author&gt;Zarca&lt;/Author&gt;&lt;Year&gt;2014&lt;/Year&gt;&lt;RecNum&gt;401&lt;/RecNum&gt;&lt;DisplayText&gt;[368]&lt;/DisplayText&gt;&lt;record&gt;&lt;rec-number&gt;401&lt;/rec-number&gt;&lt;foreign-keys&gt;&lt;key app="EN" db-id="tdtrdw9aepptzbefsat599syza29sxsd2wsp" timestamp="1612695492"&gt;401&lt;/key&gt;&lt;/foreign-keys&gt;&lt;ref-type name="Journal Article"&gt;17&lt;/ref-type&gt;&lt;contributors&gt;&lt;authors&gt;&lt;author&gt;Zarca, K&lt;/author&gt;&lt;author&gt;Durand-Zaleski, I&lt;/author&gt;&lt;author&gt;Roux, C&lt;/author&gt;&lt;author&gt;Souberbielle, JC&lt;/author&gt;&lt;author&gt;Schott, AM&lt;/author&gt;&lt;author&gt;Thomas, T&lt;/author&gt;&lt;author&gt;Fardellone, P&lt;/author&gt;&lt;author&gt;Benhamou, CL&lt;/author&gt;&lt;/authors&gt;&lt;/contributors&gt;&lt;titles&gt;&lt;title&gt;Cost-effectiveness analysis of hip fracture prevention with vitamin D supplementation: a Markov micro-simulation model applied to the French population over 65 years old without previous hip fracture&lt;/title&gt;&lt;secondary-title&gt;Osteoporosis International&lt;/secondary-title&gt;&lt;/titles&gt;&lt;periodical&gt;&lt;full-title&gt;Osteoporosis International&lt;/full-title&gt;&lt;/periodical&gt;&lt;pages&gt;1797-1806&lt;/pages&gt;&lt;volume&gt;25&lt;/volume&gt;&lt;number&gt;6&lt;/number&gt;&lt;dates&gt;&lt;year&gt;2014&lt;/year&gt;&lt;/dates&gt;&lt;isbn&gt;0937-941X&lt;/isbn&gt;&lt;urls&gt;&lt;/urls&gt;&lt;/record&gt;&lt;/Cite&gt;&lt;/EndNote&gt;</w:instrText>
            </w:r>
            <w:r w:rsidRPr="004C78D8">
              <w:rPr>
                <w:sz w:val="18"/>
                <w:szCs w:val="18"/>
              </w:rPr>
              <w:fldChar w:fldCharType="separate"/>
            </w:r>
            <w:r w:rsidR="00C630FC" w:rsidRPr="004C78D8">
              <w:rPr>
                <w:noProof/>
                <w:sz w:val="18"/>
                <w:szCs w:val="18"/>
              </w:rPr>
              <w:t>[368]</w:t>
            </w:r>
            <w:r w:rsidRPr="004C78D8">
              <w:rPr>
                <w:sz w:val="18"/>
                <w:szCs w:val="18"/>
              </w:rPr>
              <w:fldChar w:fldCharType="end"/>
            </w:r>
          </w:p>
        </w:tc>
        <w:tc>
          <w:tcPr>
            <w:tcW w:w="492" w:type="pct"/>
            <w:tcBorders>
              <w:top w:val="nil"/>
              <w:left w:val="nil"/>
              <w:right w:val="nil"/>
            </w:tcBorders>
          </w:tcPr>
          <w:p w14:paraId="2119D181" w14:textId="77777777" w:rsidR="00F94244" w:rsidRPr="004C78D8" w:rsidRDefault="00F94244" w:rsidP="00FB7C1F">
            <w:pPr>
              <w:jc w:val="left"/>
              <w:rPr>
                <w:sz w:val="18"/>
                <w:szCs w:val="18"/>
              </w:rPr>
            </w:pPr>
            <w:r w:rsidRPr="004C78D8">
              <w:rPr>
                <w:sz w:val="18"/>
                <w:szCs w:val="18"/>
              </w:rPr>
              <w:t>France</w:t>
            </w:r>
          </w:p>
        </w:tc>
        <w:tc>
          <w:tcPr>
            <w:tcW w:w="950" w:type="pct"/>
            <w:tcBorders>
              <w:top w:val="nil"/>
              <w:left w:val="nil"/>
              <w:right w:val="nil"/>
            </w:tcBorders>
          </w:tcPr>
          <w:p w14:paraId="768704B2" w14:textId="77777777" w:rsidR="00F94244" w:rsidRPr="004C78D8" w:rsidRDefault="00F94244" w:rsidP="00FB7C1F">
            <w:pPr>
              <w:jc w:val="left"/>
              <w:rPr>
                <w:sz w:val="18"/>
                <w:szCs w:val="18"/>
              </w:rPr>
            </w:pPr>
            <w:r w:rsidRPr="004C78D8">
              <w:rPr>
                <w:sz w:val="18"/>
                <w:szCs w:val="18"/>
              </w:rPr>
              <w:t>Adults aged 65+ without previous hip fracture</w:t>
            </w:r>
          </w:p>
        </w:tc>
        <w:tc>
          <w:tcPr>
            <w:tcW w:w="321" w:type="pct"/>
            <w:tcBorders>
              <w:top w:val="nil"/>
              <w:left w:val="nil"/>
              <w:right w:val="nil"/>
            </w:tcBorders>
          </w:tcPr>
          <w:p w14:paraId="34CC21C4" w14:textId="77777777" w:rsidR="00F94244" w:rsidRPr="004C78D8" w:rsidRDefault="00F94244" w:rsidP="00FB7C1F">
            <w:pPr>
              <w:jc w:val="left"/>
              <w:rPr>
                <w:sz w:val="18"/>
                <w:szCs w:val="18"/>
              </w:rPr>
            </w:pPr>
            <w:r w:rsidRPr="004C78D8">
              <w:rPr>
                <w:sz w:val="18"/>
                <w:szCs w:val="18"/>
              </w:rPr>
              <w:t>CEA; CUA</w:t>
            </w:r>
          </w:p>
        </w:tc>
        <w:tc>
          <w:tcPr>
            <w:tcW w:w="497" w:type="pct"/>
            <w:tcBorders>
              <w:top w:val="nil"/>
              <w:left w:val="nil"/>
              <w:right w:val="nil"/>
            </w:tcBorders>
          </w:tcPr>
          <w:p w14:paraId="163834D9" w14:textId="77777777" w:rsidR="00F94244" w:rsidRPr="004C78D8" w:rsidRDefault="00F94244" w:rsidP="00FB7C1F">
            <w:pPr>
              <w:jc w:val="left"/>
              <w:rPr>
                <w:sz w:val="18"/>
                <w:szCs w:val="18"/>
              </w:rPr>
            </w:pPr>
            <w:r w:rsidRPr="004C78D8">
              <w:rPr>
                <w:sz w:val="18"/>
                <w:szCs w:val="18"/>
              </w:rPr>
              <w:t>Public sector</w:t>
            </w:r>
          </w:p>
        </w:tc>
        <w:tc>
          <w:tcPr>
            <w:tcW w:w="952" w:type="pct"/>
            <w:tcBorders>
              <w:top w:val="nil"/>
              <w:left w:val="nil"/>
              <w:right w:val="nil"/>
            </w:tcBorders>
          </w:tcPr>
          <w:p w14:paraId="055017BE" w14:textId="77777777" w:rsidR="00F94244" w:rsidRPr="004C78D8" w:rsidRDefault="00F94244" w:rsidP="00FB7C1F">
            <w:pPr>
              <w:jc w:val="left"/>
              <w:rPr>
                <w:sz w:val="18"/>
                <w:szCs w:val="18"/>
              </w:rPr>
            </w:pPr>
            <w:r w:rsidRPr="004C78D8">
              <w:rPr>
                <w:sz w:val="18"/>
                <w:szCs w:val="18"/>
              </w:rPr>
              <w:t>Vit. D (targeted (2), universal) [NR; Cross-comparison]</w:t>
            </w:r>
          </w:p>
        </w:tc>
        <w:tc>
          <w:tcPr>
            <w:tcW w:w="453" w:type="pct"/>
            <w:tcBorders>
              <w:top w:val="nil"/>
              <w:left w:val="nil"/>
              <w:right w:val="nil"/>
            </w:tcBorders>
          </w:tcPr>
          <w:p w14:paraId="6CAB7C42" w14:textId="77777777" w:rsidR="00F94244" w:rsidRPr="004C78D8" w:rsidRDefault="00F94244" w:rsidP="00FB7C1F">
            <w:pPr>
              <w:jc w:val="left"/>
              <w:rPr>
                <w:sz w:val="18"/>
                <w:szCs w:val="18"/>
              </w:rPr>
            </w:pPr>
            <w:r w:rsidRPr="004C78D8">
              <w:rPr>
                <w:sz w:val="18"/>
                <w:szCs w:val="18"/>
              </w:rPr>
              <w:t>DT + Markov patient</w:t>
            </w:r>
          </w:p>
        </w:tc>
        <w:tc>
          <w:tcPr>
            <w:tcW w:w="355" w:type="pct"/>
            <w:tcBorders>
              <w:top w:val="nil"/>
              <w:left w:val="nil"/>
              <w:right w:val="nil"/>
            </w:tcBorders>
          </w:tcPr>
          <w:p w14:paraId="09CADE93" w14:textId="77777777" w:rsidR="00F94244" w:rsidRPr="004C78D8" w:rsidRDefault="00F94244" w:rsidP="00FB7C1F">
            <w:pPr>
              <w:jc w:val="left"/>
              <w:rPr>
                <w:sz w:val="18"/>
                <w:szCs w:val="18"/>
              </w:rPr>
            </w:pPr>
            <w:r w:rsidRPr="004C78D8">
              <w:rPr>
                <w:sz w:val="18"/>
                <w:szCs w:val="18"/>
              </w:rPr>
              <w:t>Lifetime</w:t>
            </w:r>
          </w:p>
        </w:tc>
        <w:tc>
          <w:tcPr>
            <w:tcW w:w="377" w:type="pct"/>
            <w:tcBorders>
              <w:top w:val="nil"/>
              <w:left w:val="nil"/>
            </w:tcBorders>
          </w:tcPr>
          <w:p w14:paraId="46C964C6" w14:textId="77777777" w:rsidR="00F94244" w:rsidRPr="004C78D8" w:rsidRDefault="00F94244" w:rsidP="00FB7C1F">
            <w:pPr>
              <w:jc w:val="left"/>
              <w:rPr>
                <w:sz w:val="18"/>
                <w:szCs w:val="18"/>
              </w:rPr>
            </w:pPr>
            <w:r w:rsidRPr="004C78D8">
              <w:rPr>
                <w:sz w:val="18"/>
                <w:szCs w:val="18"/>
              </w:rPr>
              <w:t>25.5</w:t>
            </w:r>
          </w:p>
        </w:tc>
      </w:tr>
      <w:tr w:rsidR="00F94244" w:rsidRPr="004C78D8" w14:paraId="4EE6EBDE" w14:textId="77777777" w:rsidTr="002828C1">
        <w:tc>
          <w:tcPr>
            <w:tcW w:w="5000" w:type="pct"/>
            <w:gridSpan w:val="10"/>
          </w:tcPr>
          <w:p w14:paraId="29A43CDA" w14:textId="4F1D31AE" w:rsidR="00F94244" w:rsidRPr="004C78D8" w:rsidRDefault="00F94244" w:rsidP="00FB7C1F">
            <w:pPr>
              <w:rPr>
                <w:sz w:val="16"/>
                <w:szCs w:val="16"/>
              </w:rPr>
            </w:pPr>
            <w:r w:rsidRPr="004C78D8">
              <w:rPr>
                <w:b/>
                <w:bCs/>
                <w:sz w:val="16"/>
                <w:szCs w:val="16"/>
              </w:rPr>
              <w:t>Abbreviation:</w:t>
            </w:r>
            <w:r w:rsidRPr="004C78D8">
              <w:rPr>
                <w:sz w:val="16"/>
                <w:szCs w:val="16"/>
              </w:rPr>
              <w:t xml:space="preserve"> CBA: cost-benefit analysis; CBT: cognitive behavioural therapy; CD: community-dwelling; CEA: cost-effectiveness analysis; CSP: Chartered Society of Physiotherapy; CUA: cost-utility analysis; DT: decision tree; Exp.: expedited; Extrapol.: extrapolated; FRS: falls risk screening; HAM: home assessment and modification; Int.: intervention; MC: multiple-component; Med.: medication; MF: multifactorial; MoB/VLL: Matter of Balance Lay-Led Version; MRA: multifactorial risk assessment only; NR: non-receipt of modelled intervention(s); NSW: New South Wales; OMAS: Ontario Medical Advisory Secretariat; PHE: Public Health England; PPI: proton pump inhibitor; RCN: Royal College of Nursing; ROI: return on investment analysis; UC: usual care</w:t>
            </w:r>
          </w:p>
          <w:p w14:paraId="1CBF328A" w14:textId="689B399D" w:rsidR="00F94244" w:rsidRPr="004C78D8" w:rsidRDefault="001B3C29" w:rsidP="00FB7C1F">
            <w:pPr>
              <w:jc w:val="left"/>
              <w:rPr>
                <w:sz w:val="18"/>
                <w:szCs w:val="18"/>
              </w:rPr>
            </w:pPr>
            <w:r w:rsidRPr="004C78D8">
              <w:rPr>
                <w:sz w:val="18"/>
                <w:szCs w:val="18"/>
                <w:vertAlign w:val="superscript"/>
              </w:rPr>
              <w:t>1</w:t>
            </w:r>
            <w:r w:rsidR="00F94244" w:rsidRPr="004C78D8">
              <w:rPr>
                <w:sz w:val="18"/>
                <w:szCs w:val="18"/>
              </w:rPr>
              <w:t xml:space="preserve"> This applies the adapted reporting/methodological quality checklist designed specifically for falls prevention economic evaluations </w:t>
            </w:r>
            <w:r w:rsidR="00F94244" w:rsidRPr="004C78D8">
              <w:rPr>
                <w:sz w:val="18"/>
                <w:szCs w:val="18"/>
              </w:rPr>
              <w:fldChar w:fldCharType="begin"/>
            </w:r>
            <w:r w:rsidR="00513646" w:rsidRPr="004C78D8">
              <w:rPr>
                <w:sz w:val="18"/>
                <w:szCs w:val="18"/>
              </w:rPr>
              <w:instrText xml:space="preserve"> ADDIN EN.CITE &lt;EndNote&gt;&lt;Cite&gt;&lt;Author&gt;Davis&lt;/Author&gt;&lt;Year&gt;2011&lt;/Year&gt;&lt;RecNum&gt;286&lt;/RecNum&gt;&lt;DisplayText&gt;[105]&lt;/DisplayText&gt;&lt;record&gt;&lt;rec-number&gt;286&lt;/rec-number&gt;&lt;foreign-keys&gt;&lt;key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00F94244" w:rsidRPr="004C78D8">
              <w:rPr>
                <w:sz w:val="18"/>
                <w:szCs w:val="18"/>
              </w:rPr>
              <w:fldChar w:fldCharType="separate"/>
            </w:r>
            <w:r w:rsidR="00513646" w:rsidRPr="004C78D8">
              <w:rPr>
                <w:noProof/>
                <w:sz w:val="18"/>
                <w:szCs w:val="18"/>
              </w:rPr>
              <w:t>[105]</w:t>
            </w:r>
            <w:r w:rsidR="00F94244" w:rsidRPr="004C78D8">
              <w:rPr>
                <w:sz w:val="18"/>
                <w:szCs w:val="18"/>
              </w:rPr>
              <w:fldChar w:fldCharType="end"/>
            </w:r>
            <w:r w:rsidR="00F94244" w:rsidRPr="004C78D8">
              <w:rPr>
                <w:sz w:val="18"/>
                <w:szCs w:val="18"/>
              </w:rPr>
              <w:t xml:space="preserve">. The maximum score is 32. See Tables </w:t>
            </w:r>
            <w:r w:rsidR="001168C7" w:rsidRPr="004C78D8">
              <w:rPr>
                <w:sz w:val="18"/>
                <w:szCs w:val="18"/>
              </w:rPr>
              <w:t>D</w:t>
            </w:r>
            <w:r w:rsidR="00DF6589" w:rsidRPr="004C78D8">
              <w:rPr>
                <w:sz w:val="18"/>
                <w:szCs w:val="18"/>
              </w:rPr>
              <w:t>1</w:t>
            </w:r>
            <w:r w:rsidR="00F94244" w:rsidRPr="004C78D8">
              <w:rPr>
                <w:sz w:val="18"/>
                <w:szCs w:val="18"/>
              </w:rPr>
              <w:t xml:space="preserve"> and </w:t>
            </w:r>
            <w:r w:rsidR="001168C7" w:rsidRPr="004C78D8">
              <w:rPr>
                <w:sz w:val="18"/>
                <w:szCs w:val="18"/>
              </w:rPr>
              <w:t>D</w:t>
            </w:r>
            <w:r w:rsidR="00F94244" w:rsidRPr="004C78D8">
              <w:rPr>
                <w:sz w:val="18"/>
                <w:szCs w:val="18"/>
              </w:rPr>
              <w:t xml:space="preserve">3 in </w:t>
            </w:r>
            <w:r w:rsidR="001168C7" w:rsidRPr="004C78D8">
              <w:rPr>
                <w:sz w:val="18"/>
                <w:szCs w:val="18"/>
              </w:rPr>
              <w:t>Appendix D</w:t>
            </w:r>
            <w:r w:rsidR="00F94244" w:rsidRPr="004C78D8">
              <w:rPr>
                <w:sz w:val="18"/>
                <w:szCs w:val="18"/>
              </w:rPr>
              <w:t xml:space="preserve"> for checklist content and item-specific scores for each study.</w:t>
            </w:r>
          </w:p>
          <w:p w14:paraId="6E02AC93" w14:textId="15F2A8FE" w:rsidR="00F94244" w:rsidRPr="004C78D8" w:rsidRDefault="001B3C29" w:rsidP="00FB7C1F">
            <w:pPr>
              <w:jc w:val="left"/>
              <w:rPr>
                <w:sz w:val="18"/>
                <w:szCs w:val="18"/>
              </w:rPr>
            </w:pPr>
            <w:r w:rsidRPr="004C78D8">
              <w:rPr>
                <w:sz w:val="18"/>
                <w:szCs w:val="18"/>
                <w:vertAlign w:val="superscript"/>
              </w:rPr>
              <w:t>2</w:t>
            </w:r>
            <w:r w:rsidR="00F94244" w:rsidRPr="004C78D8">
              <w:rPr>
                <w:sz w:val="18"/>
                <w:szCs w:val="18"/>
              </w:rPr>
              <w:t xml:space="preserve"> Intervention included individually tailored education, HAM and exercise and public space safety improvement.</w:t>
            </w:r>
          </w:p>
          <w:p w14:paraId="77A37870" w14:textId="1926EC51" w:rsidR="00F94244" w:rsidRPr="004C78D8" w:rsidRDefault="001B3C29" w:rsidP="00FB7C1F">
            <w:pPr>
              <w:jc w:val="left"/>
              <w:rPr>
                <w:sz w:val="18"/>
                <w:szCs w:val="18"/>
              </w:rPr>
            </w:pPr>
            <w:r w:rsidRPr="004C78D8">
              <w:rPr>
                <w:sz w:val="18"/>
                <w:szCs w:val="18"/>
                <w:vertAlign w:val="superscript"/>
              </w:rPr>
              <w:t>3</w:t>
            </w:r>
            <w:r w:rsidR="00F94244" w:rsidRPr="004C78D8">
              <w:rPr>
                <w:sz w:val="18"/>
                <w:szCs w:val="18"/>
              </w:rPr>
              <w:t xml:space="preserve"> Binary decision models include two scenarios, with or without intervention, and no time-based cycles or probability trees.</w:t>
            </w:r>
          </w:p>
          <w:p w14:paraId="55505666" w14:textId="07242709" w:rsidR="00F94244" w:rsidRPr="004C78D8" w:rsidRDefault="001B3C29" w:rsidP="00FB7C1F">
            <w:pPr>
              <w:jc w:val="left"/>
              <w:rPr>
                <w:sz w:val="18"/>
                <w:szCs w:val="18"/>
              </w:rPr>
            </w:pPr>
            <w:r w:rsidRPr="004C78D8">
              <w:rPr>
                <w:sz w:val="18"/>
                <w:szCs w:val="18"/>
                <w:vertAlign w:val="superscript"/>
              </w:rPr>
              <w:t>4</w:t>
            </w:r>
            <w:r w:rsidR="00F94244" w:rsidRPr="004C78D8">
              <w:rPr>
                <w:sz w:val="18"/>
                <w:szCs w:val="18"/>
              </w:rPr>
              <w:t xml:space="preserve"> Cardiac pacing targeted population aged 50+ due to their high falls risk. Other interventions targeted populations aged 65+.</w:t>
            </w:r>
          </w:p>
          <w:p w14:paraId="060F6EAF" w14:textId="6C3BF4E8" w:rsidR="00F94244" w:rsidRPr="004C78D8" w:rsidRDefault="001B3C29" w:rsidP="00FB7C1F">
            <w:pPr>
              <w:jc w:val="left"/>
              <w:rPr>
                <w:sz w:val="18"/>
                <w:szCs w:val="18"/>
              </w:rPr>
            </w:pPr>
            <w:r w:rsidRPr="004C78D8">
              <w:rPr>
                <w:sz w:val="18"/>
                <w:szCs w:val="18"/>
                <w:vertAlign w:val="superscript"/>
              </w:rPr>
              <w:t>5</w:t>
            </w:r>
            <w:r w:rsidR="00F94244" w:rsidRPr="004C78D8">
              <w:rPr>
                <w:sz w:val="18"/>
                <w:szCs w:val="18"/>
              </w:rPr>
              <w:t xml:space="preserve"> This would include Medicare/aid, private health insurance and patients.</w:t>
            </w:r>
          </w:p>
          <w:p w14:paraId="1915EB12" w14:textId="5B669EA0" w:rsidR="00F94244" w:rsidRPr="004C78D8" w:rsidRDefault="001B3C29" w:rsidP="00FB7C1F">
            <w:pPr>
              <w:jc w:val="left"/>
              <w:rPr>
                <w:sz w:val="18"/>
                <w:szCs w:val="18"/>
              </w:rPr>
            </w:pPr>
            <w:r w:rsidRPr="004C78D8">
              <w:rPr>
                <w:sz w:val="18"/>
                <w:szCs w:val="18"/>
                <w:vertAlign w:val="superscript"/>
              </w:rPr>
              <w:t>6</w:t>
            </w:r>
            <w:r w:rsidR="00F94244" w:rsidRPr="004C78D8">
              <w:rPr>
                <w:sz w:val="18"/>
                <w:szCs w:val="18"/>
              </w:rPr>
              <w:t xml:space="preserve"> One-year horizon with lifetime costs and health effects of falls.</w:t>
            </w:r>
          </w:p>
          <w:p w14:paraId="78E7CD8E" w14:textId="58449D15" w:rsidR="00F94244" w:rsidRPr="004C78D8" w:rsidRDefault="001B3C29" w:rsidP="00FB7C1F">
            <w:pPr>
              <w:jc w:val="left"/>
              <w:rPr>
                <w:sz w:val="18"/>
                <w:szCs w:val="18"/>
              </w:rPr>
            </w:pPr>
            <w:r w:rsidRPr="004C78D8">
              <w:rPr>
                <w:sz w:val="18"/>
                <w:szCs w:val="18"/>
                <w:vertAlign w:val="superscript"/>
              </w:rPr>
              <w:t>7</w:t>
            </w:r>
            <w:r w:rsidR="00F94244" w:rsidRPr="004C78D8">
              <w:rPr>
                <w:sz w:val="18"/>
                <w:szCs w:val="18"/>
              </w:rPr>
              <w:t xml:space="preserve"> Authors described the model as microsimulation; but there was only a single one-year cycle. Hence, the model is classified as a decision tree.</w:t>
            </w:r>
          </w:p>
          <w:p w14:paraId="6FC5AD61" w14:textId="68209A4F" w:rsidR="00F94244" w:rsidRPr="004C78D8" w:rsidRDefault="001B3C29" w:rsidP="00FB7C1F">
            <w:pPr>
              <w:jc w:val="left"/>
              <w:rPr>
                <w:sz w:val="18"/>
                <w:szCs w:val="18"/>
              </w:rPr>
            </w:pPr>
            <w:r w:rsidRPr="004C78D8">
              <w:rPr>
                <w:sz w:val="18"/>
                <w:szCs w:val="18"/>
                <w:vertAlign w:val="superscript"/>
              </w:rPr>
              <w:t>8</w:t>
            </w:r>
            <w:r w:rsidR="00F94244" w:rsidRPr="004C78D8">
              <w:rPr>
                <w:sz w:val="18"/>
                <w:szCs w:val="18"/>
              </w:rPr>
              <w:t xml:space="preserve"> Intervention included individually tailored education, group balance exercises, Tai Chi, other physical activities and HAM, neighbourhood hazard removal and housing reconstruction.</w:t>
            </w:r>
          </w:p>
          <w:p w14:paraId="0D99588E" w14:textId="5789EE09" w:rsidR="00F94244" w:rsidRPr="004C78D8" w:rsidRDefault="001B3C29" w:rsidP="00FB7C1F">
            <w:pPr>
              <w:jc w:val="left"/>
              <w:rPr>
                <w:sz w:val="18"/>
                <w:szCs w:val="18"/>
              </w:rPr>
            </w:pPr>
            <w:r w:rsidRPr="004C78D8">
              <w:rPr>
                <w:sz w:val="18"/>
                <w:szCs w:val="18"/>
                <w:vertAlign w:val="superscript"/>
              </w:rPr>
              <w:t>9</w:t>
            </w:r>
            <w:r w:rsidR="00F94244" w:rsidRPr="004C78D8">
              <w:rPr>
                <w:sz w:val="18"/>
                <w:szCs w:val="18"/>
              </w:rPr>
              <w:t xml:space="preserve"> One-year trial outcomes are extrapolated over lifetime horizon.</w:t>
            </w:r>
          </w:p>
        </w:tc>
      </w:tr>
    </w:tbl>
    <w:p w14:paraId="543972BD" w14:textId="77777777" w:rsidR="00D42329" w:rsidRPr="004C78D8" w:rsidRDefault="00D42329" w:rsidP="00FB7C1F">
      <w:pPr>
        <w:rPr>
          <w:sz w:val="20"/>
          <w:szCs w:val="20"/>
        </w:rPr>
      </w:pPr>
    </w:p>
    <w:p w14:paraId="505AB473" w14:textId="610995C0" w:rsidR="00D42329" w:rsidRPr="004C78D8" w:rsidRDefault="00D42329" w:rsidP="00FB7C1F">
      <w:pPr>
        <w:sectPr w:rsidR="00D42329" w:rsidRPr="004C78D8" w:rsidSect="00F520F3">
          <w:pgSz w:w="16838" w:h="11906" w:orient="landscape"/>
          <w:pgMar w:top="1440" w:right="1440" w:bottom="1440" w:left="1440" w:header="708" w:footer="708" w:gutter="0"/>
          <w:cols w:space="708"/>
          <w:docGrid w:linePitch="360"/>
        </w:sectPr>
      </w:pPr>
    </w:p>
    <w:p w14:paraId="2A42377C" w14:textId="55FCD85B" w:rsidR="001559CE" w:rsidRPr="004C78D8" w:rsidRDefault="00891C73" w:rsidP="00FB7C1F">
      <w:pPr>
        <w:pStyle w:val="Heading3"/>
      </w:pPr>
      <w:bookmarkStart w:id="116" w:name="_Toc111630755"/>
      <w:r w:rsidRPr="004C78D8">
        <w:lastRenderedPageBreak/>
        <w:t>4</w:t>
      </w:r>
      <w:r w:rsidR="005E7EF3" w:rsidRPr="004C78D8">
        <w:t>.4.3 Checklist scores for methodological and reporting quality</w:t>
      </w:r>
      <w:bookmarkEnd w:id="116"/>
    </w:p>
    <w:p w14:paraId="75DBF200" w14:textId="18E994A1" w:rsidR="005E7EF3" w:rsidRPr="004C78D8" w:rsidRDefault="00D078F8" w:rsidP="00FB7C1F">
      <w:r w:rsidRPr="004C78D8">
        <w:t xml:space="preserve">Table </w:t>
      </w:r>
      <w:r w:rsidR="00891C73" w:rsidRPr="004C78D8">
        <w:t>4</w:t>
      </w:r>
      <w:r w:rsidRPr="004C78D8">
        <w:t>.2 shows the checklist scores for models which ranged between 13.5 and 27 of maximum 32</w:t>
      </w:r>
      <w:r w:rsidR="003865F8" w:rsidRPr="004C78D8">
        <w:t xml:space="preserve"> </w:t>
      </w:r>
      <w:r w:rsidR="001375D4" w:rsidRPr="004C78D8">
        <w:t>with mean of</w:t>
      </w:r>
      <w:r w:rsidR="003865F8" w:rsidRPr="004C78D8">
        <w:t xml:space="preserve"> 21.2</w:t>
      </w:r>
      <w:r w:rsidRPr="004C78D8">
        <w:t xml:space="preserve">. </w:t>
      </w:r>
      <w:r w:rsidR="003865F8" w:rsidRPr="004C78D8">
        <w:t xml:space="preserve">Thus, around </w:t>
      </w:r>
      <w:r w:rsidR="001375D4" w:rsidRPr="004C78D8">
        <w:t xml:space="preserve">a </w:t>
      </w:r>
      <w:r w:rsidR="003865F8" w:rsidRPr="004C78D8">
        <w:t xml:space="preserve">third of checklist items were </w:t>
      </w:r>
      <w:r w:rsidR="001375D4" w:rsidRPr="004C78D8">
        <w:t>not met, suggesting</w:t>
      </w:r>
      <w:r w:rsidR="003865F8" w:rsidRPr="004C78D8">
        <w:t xml:space="preserve"> </w:t>
      </w:r>
      <w:r w:rsidR="001375D4" w:rsidRPr="004C78D8">
        <w:t xml:space="preserve">a general </w:t>
      </w:r>
      <w:r w:rsidR="003865F8" w:rsidRPr="004C78D8">
        <w:t xml:space="preserve">shortfall in methodological </w:t>
      </w:r>
      <w:r w:rsidR="001375D4" w:rsidRPr="004C78D8">
        <w:t>and/</w:t>
      </w:r>
      <w:r w:rsidR="003865F8" w:rsidRPr="004C78D8">
        <w:t xml:space="preserve">or reporting quality </w:t>
      </w:r>
      <w:r w:rsidR="001375D4" w:rsidRPr="004C78D8">
        <w:t xml:space="preserve">of models, at least </w:t>
      </w:r>
      <w:r w:rsidR="003865F8" w:rsidRPr="004C78D8">
        <w:t>relative to the expert recommendation</w:t>
      </w:r>
      <w:r w:rsidR="00890CC8">
        <w:t>s</w:t>
      </w:r>
      <w:r w:rsidR="003865F8" w:rsidRPr="004C78D8">
        <w:t xml:space="preserve"> on falls prevention economic evaluation</w:t>
      </w:r>
      <w:r w:rsidR="001375D4" w:rsidRPr="004C78D8">
        <w:t xml:space="preserve"> </w:t>
      </w:r>
      <w:r w:rsidR="001375D4" w:rsidRPr="004C78D8">
        <w:fldChar w:fldCharType="begin"/>
      </w:r>
      <w:r w:rsidR="001375D4" w:rsidRPr="004C78D8">
        <w:instrText xml:space="preserve"> ADDIN EN.CITE &lt;EndNote&gt;&lt;Cite&gt;&lt;Author&gt;Davis&lt;/Author&gt;&lt;Year&gt;2011&lt;/Year&gt;&lt;RecNum&gt;286&lt;/RecNum&gt;&lt;DisplayText&gt;[105]&lt;/DisplayText&gt;&lt;record&gt;&lt;rec-number&gt;286&lt;/rec-number&gt;&lt;foreign-keys&gt;&lt;key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001375D4" w:rsidRPr="004C78D8">
        <w:fldChar w:fldCharType="separate"/>
      </w:r>
      <w:r w:rsidR="001375D4" w:rsidRPr="004C78D8">
        <w:rPr>
          <w:noProof/>
        </w:rPr>
        <w:t>[105]</w:t>
      </w:r>
      <w:r w:rsidR="001375D4" w:rsidRPr="004C78D8">
        <w:fldChar w:fldCharType="end"/>
      </w:r>
      <w:r w:rsidR="003865F8" w:rsidRPr="004C78D8">
        <w:t xml:space="preserve">. </w:t>
      </w:r>
      <w:r w:rsidRPr="004C78D8">
        <w:t xml:space="preserve">Table </w:t>
      </w:r>
      <w:r w:rsidR="007F51A6" w:rsidRPr="004C78D8">
        <w:t>D</w:t>
      </w:r>
      <w:r w:rsidRPr="004C78D8">
        <w:t xml:space="preserve">3 in </w:t>
      </w:r>
      <w:r w:rsidR="007F51A6" w:rsidRPr="004C78D8">
        <w:t>Appendix D</w:t>
      </w:r>
      <w:r w:rsidRPr="004C78D8">
        <w:t xml:space="preserve"> shows the item-specific scores. The lowest scored item across models was item 15, which recommends reporting total/all-cause health resource utilisation costs under base case analysis and fall-related costs under sensitivity analysis. For this, only four models (all using primary collection of cost data) incorporated all-cause healthcare costs as the main economic outcome </w:t>
      </w:r>
      <w:r w:rsidRPr="004C78D8">
        <w:fldChar w:fldCharType="begin">
          <w:fldData xml:space="preserve">PEVuZE5vdGU+PENpdGU+PEF1dGhvcj5BbGJlcnQ8L0F1dGhvcj48WWVhcj4yMDE2PC9ZZWFyPjxS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</w:fldData>
        </w:fldChar>
      </w:r>
      <w:r w:rsidR="00C630FC" w:rsidRPr="004C78D8">
        <w:instrText xml:space="preserve"> ADDIN EN.CITE </w:instrText>
      </w:r>
      <w:r w:rsidR="00C630FC" w:rsidRPr="004C78D8">
        <w:fldChar w:fldCharType="begin">
          <w:fldData xml:space="preserve">PEVuZE5vdGU+PENpdGU+PEF1dGhvcj5BbGJlcnQ8L0F1dGhvcj48WWVhcj4yMDE2PC9ZZWFyPjxS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[341, 349, 350, 354]</w:t>
      </w:r>
      <w:r w:rsidRPr="004C78D8">
        <w:fldChar w:fldCharType="end"/>
      </w:r>
      <w:r w:rsidRPr="004C78D8">
        <w:t xml:space="preserve">; six incorporated comorbidity care costs, which together with fall-related costs constitute all-cause costs </w:t>
      </w:r>
      <w:r w:rsidRPr="004C78D8">
        <w:fldChar w:fldCharType="begin">
          <w:fldData xml:space="preserve">PEVuZE5vdGU+PENpdGU+PEF1dGhvcj5Cb3lkPC9BdXRob3I+PFllYXI+MjAyMDwvWWVhcj48UmVj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</w:fldData>
        </w:fldChar>
      </w:r>
      <w:r w:rsidR="00C630FC" w:rsidRPr="004C78D8">
        <w:instrText xml:space="preserve"> ADDIN EN.CITE </w:instrText>
      </w:r>
      <w:r w:rsidR="00C630FC" w:rsidRPr="004C78D8">
        <w:fldChar w:fldCharType="begin">
          <w:fldData xml:space="preserve">PEVuZE5vdGU+PENpdGU+PEF1dGhvcj5Cb3lkPC9BdXRob3I+PFllYXI+MjAyMDwvWWVhcj48UmVj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[128, 206, 241, 318, 337, 361]</w:t>
      </w:r>
      <w:r w:rsidRPr="004C78D8">
        <w:fldChar w:fldCharType="end"/>
      </w:r>
      <w:r w:rsidRPr="004C78D8">
        <w:t xml:space="preserve">. The second lowest scored item was item 21, which recommends: (i) reporting intervention costs and all-cause/fall-related healthcare costs separately; and (ii) reporting both aggregate and mean costs. For this, eight followed both recommendations </w:t>
      </w:r>
      <w:r w:rsidRPr="004C78D8">
        <w:fldChar w:fldCharType="begin">
          <w:fldData xml:space="preserve">PEVuZE5vdGU+PENpdGU+PEF1dGhvcj5Db21hbnM8L0F1dGhvcj48WWVhcj4yMDA5PC9ZZWFyPjxS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=
</w:fldData>
        </w:fldChar>
      </w:r>
      <w:r w:rsidR="00C630FC" w:rsidRPr="004C78D8">
        <w:instrText xml:space="preserve"> ADDIN EN.CITE </w:instrText>
      </w:r>
      <w:r w:rsidR="00C630FC" w:rsidRPr="004C78D8">
        <w:fldChar w:fldCharType="begin">
          <w:fldData xml:space="preserve">PEVuZE5vdGU+PENpdGU+PEF1dGhvcj5Db21hbnM8L0F1dGhvcj48WWVhcj4yMDA5PC9ZZWFyPjxS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=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[128, 200, 207, 216, 335, 340, 345, 364]</w:t>
      </w:r>
      <w:r w:rsidRPr="004C78D8">
        <w:fldChar w:fldCharType="end"/>
      </w:r>
      <w:r w:rsidRPr="004C78D8">
        <w:t xml:space="preserve">, five followed (i) only </w:t>
      </w:r>
      <w:r w:rsidRPr="004C78D8">
        <w:fldChar w:fldCharType="begin">
          <w:fldData xml:space="preserve">PEVuZE5vdGU+PENpdGU+PEF1dGhvcj5DaGFydGVyZWQgU29jaWV0eSBvZiBQaHlzaW90aGVyYXB5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</w:fldData>
        </w:fldChar>
      </w:r>
      <w:r w:rsidR="00C630FC" w:rsidRPr="004C78D8">
        <w:instrText xml:space="preserve"> ADDIN EN.CITE </w:instrText>
      </w:r>
      <w:r w:rsidR="00C630FC" w:rsidRPr="004C78D8">
        <w:fldChar w:fldCharType="begin">
          <w:fldData xml:space="preserve">PEVuZE5vdGU+PENpdGU+PEF1dGhvcj5DaGFydGVyZWQgU29jaWV0eSBvZiBQaHlzaW90aGVyYXB5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[338, 355, 356, 359, 367]</w:t>
      </w:r>
      <w:r w:rsidRPr="004C78D8">
        <w:fldChar w:fldCharType="end"/>
      </w:r>
      <w:r w:rsidRPr="004C78D8">
        <w:t xml:space="preserve">, and four followed (ii) only </w:t>
      </w:r>
      <w:r w:rsidRPr="004C78D8">
        <w:fldChar w:fldCharType="begin">
          <w:fldData xml:space="preserve">PEVuZE5vdGU+PENpdGU+PEF1dGhvcj5GYXJhZzwvQXV0aG9yPjxZZWFyPjIwMTU8L1llYXI+PFJl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</w:fldData>
        </w:fldChar>
      </w:r>
      <w:r w:rsidR="00C630FC" w:rsidRPr="004C78D8">
        <w:instrText xml:space="preserve"> ADDIN EN.CITE </w:instrText>
      </w:r>
      <w:r w:rsidR="00C630FC" w:rsidRPr="004C78D8">
        <w:fldChar w:fldCharType="begin">
          <w:fldData xml:space="preserve">PEVuZE5vdGU+PENpdGU+PEF1dGhvcj5GYXJhZzwvQXV0aG9yPjxZZWFyPjIwMTU8L1llYXI+PFJl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[336, 362, 366, 368]</w:t>
      </w:r>
      <w:r w:rsidRPr="004C78D8">
        <w:fldChar w:fldCharType="end"/>
      </w:r>
      <w:r w:rsidRPr="004C78D8">
        <w:t>. The third lowest scored item was item 8 for clearly stating and justifying the comparator which, as discussed above, was done by less than half (n=22) of studies.</w:t>
      </w:r>
    </w:p>
    <w:p w14:paraId="3278A8B2" w14:textId="251A5631" w:rsidR="005E7EF3" w:rsidRPr="004C78D8" w:rsidRDefault="005E7EF3" w:rsidP="00FB7C1F"/>
    <w:p w14:paraId="7E694E12" w14:textId="53F79A96" w:rsidR="007F51A6" w:rsidRPr="004C78D8" w:rsidRDefault="00891C73" w:rsidP="00FB7C1F">
      <w:pPr>
        <w:pStyle w:val="Heading2"/>
      </w:pPr>
      <w:bookmarkStart w:id="117" w:name="_Toc93566879"/>
      <w:bookmarkStart w:id="118" w:name="_Toc111630756"/>
      <w:r w:rsidRPr="004C78D8">
        <w:t>4</w:t>
      </w:r>
      <w:r w:rsidR="007F51A6" w:rsidRPr="004C78D8">
        <w:t>.5 Systematic review results part 2: narrative synthesis and appraisal</w:t>
      </w:r>
      <w:bookmarkEnd w:id="117"/>
      <w:bookmarkEnd w:id="118"/>
    </w:p>
    <w:p w14:paraId="729EB3C4" w14:textId="689E9FA7" w:rsidR="007F51A6" w:rsidRPr="004C78D8" w:rsidRDefault="007F51A6" w:rsidP="00FB7C1F">
      <w:r w:rsidRPr="004C78D8">
        <w:t xml:space="preserve">The results for narrative synthesis and appraisal are presented </w:t>
      </w:r>
      <w:r w:rsidR="000C4365" w:rsidRPr="004C78D8">
        <w:t>by the following</w:t>
      </w:r>
      <w:r w:rsidRPr="004C78D8">
        <w:t xml:space="preserve"> categories: falls epidemiolog</w:t>
      </w:r>
      <w:r w:rsidR="008930E4" w:rsidRPr="004C78D8">
        <w:t>y</w:t>
      </w:r>
      <w:r w:rsidRPr="004C78D8">
        <w:t xml:space="preserve"> features (Section </w:t>
      </w:r>
      <w:r w:rsidR="00891C73" w:rsidRPr="004C78D8">
        <w:t>4</w:t>
      </w:r>
      <w:r w:rsidRPr="004C78D8">
        <w:t xml:space="preserve">.5.1); falls prevention intervention features (Section </w:t>
      </w:r>
      <w:r w:rsidR="00891C73" w:rsidRPr="004C78D8">
        <w:t>4</w:t>
      </w:r>
      <w:r w:rsidRPr="004C78D8">
        <w:t xml:space="preserve">.5.2); key challenges for public health economic modelling (Section </w:t>
      </w:r>
      <w:r w:rsidR="00891C73" w:rsidRPr="004C78D8">
        <w:t>4</w:t>
      </w:r>
      <w:r w:rsidRPr="004C78D8">
        <w:t xml:space="preserve">.5.3); evaluation methods (Section </w:t>
      </w:r>
      <w:r w:rsidR="00891C73" w:rsidRPr="004C78D8">
        <w:t>4</w:t>
      </w:r>
      <w:r w:rsidRPr="004C78D8">
        <w:t xml:space="preserve">.5.4); and evaluation outcomes (Section </w:t>
      </w:r>
      <w:r w:rsidR="00891C73" w:rsidRPr="004C78D8">
        <w:t>4</w:t>
      </w:r>
      <w:r w:rsidRPr="004C78D8">
        <w:t xml:space="preserve">.5.5). </w:t>
      </w:r>
    </w:p>
    <w:p w14:paraId="3FC9D972" w14:textId="285FACCD" w:rsidR="007860B9" w:rsidRPr="004C78D8" w:rsidRDefault="00891C73" w:rsidP="00FB7C1F">
      <w:pPr>
        <w:pStyle w:val="Heading3"/>
      </w:pPr>
      <w:bookmarkStart w:id="119" w:name="_Toc111630757"/>
      <w:r w:rsidRPr="004C78D8">
        <w:t>4</w:t>
      </w:r>
      <w:r w:rsidR="0020463D" w:rsidRPr="004C78D8">
        <w:t>.</w:t>
      </w:r>
      <w:r w:rsidR="005E7EF3" w:rsidRPr="004C78D8">
        <w:t>5</w:t>
      </w:r>
      <w:r w:rsidR="007F51A6" w:rsidRPr="004C78D8">
        <w:t>.1</w:t>
      </w:r>
      <w:r w:rsidR="007860B9" w:rsidRPr="004C78D8">
        <w:t xml:space="preserve"> Falls epidemiolog</w:t>
      </w:r>
      <w:r w:rsidR="008930E4" w:rsidRPr="004C78D8">
        <w:t>y</w:t>
      </w:r>
      <w:r w:rsidR="007860B9" w:rsidRPr="004C78D8">
        <w:t xml:space="preserve"> features</w:t>
      </w:r>
      <w:bookmarkEnd w:id="119"/>
    </w:p>
    <w:p w14:paraId="3FF1CA96" w14:textId="30EEB301" w:rsidR="00D21C37" w:rsidRPr="004C78D8" w:rsidRDefault="000C4365" w:rsidP="00FB7C1F">
      <w:r w:rsidRPr="004C78D8">
        <w:t xml:space="preserve">As detailed in Table </w:t>
      </w:r>
      <w:r w:rsidR="00891C73" w:rsidRPr="004C78D8">
        <w:t>4</w:t>
      </w:r>
      <w:r w:rsidRPr="004C78D8">
        <w:t>.1, falls epidemiolog</w:t>
      </w:r>
      <w:r w:rsidR="008930E4" w:rsidRPr="004C78D8">
        <w:t>y</w:t>
      </w:r>
      <w:r w:rsidRPr="004C78D8">
        <w:t xml:space="preserve"> features are synthesised based on: (1) characterising baseline falls risk (Section </w:t>
      </w:r>
      <w:r w:rsidR="00891C73" w:rsidRPr="004C78D8">
        <w:t>4</w:t>
      </w:r>
      <w:r w:rsidRPr="004C78D8">
        <w:t xml:space="preserve">.5.1.1); (2) characterising recurrent falls (Section </w:t>
      </w:r>
      <w:r w:rsidR="00891C73" w:rsidRPr="004C78D8">
        <w:t>4</w:t>
      </w:r>
      <w:r w:rsidRPr="004C78D8">
        <w:t xml:space="preserve">.5.1.2); (3) range of falls risk factors (Section </w:t>
      </w:r>
      <w:r w:rsidR="00891C73" w:rsidRPr="004C78D8">
        <w:t>4</w:t>
      </w:r>
      <w:r w:rsidRPr="004C78D8">
        <w:t xml:space="preserve">.5.1.3); (4) range of falls health consequences (Section </w:t>
      </w:r>
      <w:r w:rsidR="00891C73" w:rsidRPr="004C78D8">
        <w:t>4</w:t>
      </w:r>
      <w:r w:rsidRPr="004C78D8">
        <w:t xml:space="preserve">.5.1.4); (5) health utilities for CUA (Section </w:t>
      </w:r>
      <w:r w:rsidR="00891C73" w:rsidRPr="004C78D8">
        <w:t>4</w:t>
      </w:r>
      <w:r w:rsidRPr="004C78D8">
        <w:t xml:space="preserve">.5.1.5); and (6) range of fall-related economic consequences (Section </w:t>
      </w:r>
      <w:r w:rsidR="00891C73" w:rsidRPr="004C78D8">
        <w:t>4</w:t>
      </w:r>
      <w:r w:rsidRPr="004C78D8">
        <w:t>.5.1.6).</w:t>
      </w:r>
    </w:p>
    <w:p w14:paraId="38B6AF42" w14:textId="5055F36C" w:rsidR="000C4365" w:rsidRPr="004C78D8" w:rsidRDefault="00891C73" w:rsidP="00FB7C1F">
      <w:pPr>
        <w:pStyle w:val="Heading4"/>
      </w:pPr>
      <w:r w:rsidRPr="004C78D8">
        <w:t>4</w:t>
      </w:r>
      <w:r w:rsidR="000C4365" w:rsidRPr="004C78D8">
        <w:t>.5.1.1 Baseline falls risk</w:t>
      </w:r>
    </w:p>
    <w:p w14:paraId="43B20AA3" w14:textId="0C6849B5" w:rsidR="000C4365" w:rsidRPr="004C78D8" w:rsidRDefault="000C4365" w:rsidP="00FB7C1F">
      <w:r w:rsidRPr="004C78D8">
        <w:t xml:space="preserve">Table </w:t>
      </w:r>
      <w:r w:rsidR="00891C73" w:rsidRPr="004C78D8">
        <w:t>4</w:t>
      </w:r>
      <w:r w:rsidRPr="004C78D8">
        <w:t>.3 shows four main approaches for characterising the baseline falls risk/rate: (1) analysis of individual-level epidemiological data; (2) use of published epidemiological data or expert/author opinion; (3) use of internal intervention study; and (4) use of falls risk/rate from RCT control group.</w:t>
      </w:r>
    </w:p>
    <w:tbl>
      <w:tblPr>
        <w:tblStyle w:val="TableGrid"/>
        <w:tblW w:w="5000" w:type="pct"/>
        <w:tblLook w:val="04A0" w:firstRow="1" w:lastRow="0" w:firstColumn="1" w:lastColumn="0" w:noHBand="0" w:noVBand="1"/>
      </w:tblPr>
      <w:tblGrid>
        <w:gridCol w:w="2079"/>
        <w:gridCol w:w="624"/>
        <w:gridCol w:w="6313"/>
      </w:tblGrid>
      <w:tr w:rsidR="000C4365" w:rsidRPr="004C78D8" w14:paraId="2FB2E32B" w14:textId="77777777" w:rsidTr="002828C1">
        <w:tc>
          <w:tcPr>
            <w:tcW w:w="5000" w:type="pct"/>
            <w:gridSpan w:val="3"/>
          </w:tcPr>
          <w:p w14:paraId="5C3671A6" w14:textId="17E06592" w:rsidR="000C4365" w:rsidRPr="004C78D8" w:rsidRDefault="000C4365" w:rsidP="00FB7C1F">
            <w:r w:rsidRPr="004C78D8">
              <w:rPr>
                <w:b/>
                <w:bCs/>
              </w:rPr>
              <w:t xml:space="preserve">Table </w:t>
            </w:r>
            <w:r w:rsidR="00891C73" w:rsidRPr="004C78D8">
              <w:rPr>
                <w:b/>
                <w:bCs/>
              </w:rPr>
              <w:t>4</w:t>
            </w:r>
            <w:r w:rsidR="00AF7468" w:rsidRPr="004C78D8">
              <w:rPr>
                <w:b/>
                <w:bCs/>
              </w:rPr>
              <w:t>.</w:t>
            </w:r>
            <w:r w:rsidRPr="004C78D8">
              <w:rPr>
                <w:b/>
                <w:bCs/>
              </w:rPr>
              <w:t>3</w:t>
            </w:r>
            <w:r w:rsidRPr="004C78D8">
              <w:t xml:space="preserve"> Evidence sources for baseline falls risk/rate used by </w:t>
            </w:r>
            <w:r w:rsidR="00AF7468" w:rsidRPr="004C78D8">
              <w:t xml:space="preserve">falls prevention </w:t>
            </w:r>
            <w:r w:rsidRPr="004C78D8">
              <w:t>decision models</w:t>
            </w:r>
            <w:r w:rsidR="00AF7468" w:rsidRPr="004C78D8">
              <w:t>.</w:t>
            </w:r>
          </w:p>
        </w:tc>
      </w:tr>
      <w:tr w:rsidR="000C4365" w:rsidRPr="004C78D8" w14:paraId="1D864AC8" w14:textId="77777777" w:rsidTr="002828C1">
        <w:tc>
          <w:tcPr>
            <w:tcW w:w="1153" w:type="pct"/>
          </w:tcPr>
          <w:p w14:paraId="7CC1B7BE" w14:textId="77777777" w:rsidR="000C4365" w:rsidRPr="004C78D8" w:rsidRDefault="000C4365" w:rsidP="00FB7C1F">
            <w:pPr>
              <w:jc w:val="left"/>
              <w:rPr>
                <w:b/>
                <w:bCs/>
                <w:sz w:val="20"/>
                <w:szCs w:val="20"/>
              </w:rPr>
            </w:pPr>
            <w:r w:rsidRPr="004C78D8">
              <w:rPr>
                <w:b/>
                <w:bCs/>
                <w:sz w:val="20"/>
                <w:szCs w:val="20"/>
              </w:rPr>
              <w:t>Data source</w:t>
            </w:r>
          </w:p>
        </w:tc>
        <w:tc>
          <w:tcPr>
            <w:tcW w:w="346" w:type="pct"/>
          </w:tcPr>
          <w:p w14:paraId="2EB2ED09" w14:textId="77777777" w:rsidR="000C4365" w:rsidRPr="004C78D8" w:rsidRDefault="000C4365" w:rsidP="00FB7C1F">
            <w:pPr>
              <w:jc w:val="left"/>
              <w:rPr>
                <w:b/>
                <w:bCs/>
                <w:sz w:val="20"/>
                <w:szCs w:val="20"/>
              </w:rPr>
            </w:pPr>
            <w:r w:rsidRPr="004C78D8">
              <w:rPr>
                <w:b/>
                <w:bCs/>
                <w:sz w:val="20"/>
                <w:szCs w:val="20"/>
              </w:rPr>
              <w:t>N</w:t>
            </w:r>
          </w:p>
        </w:tc>
        <w:tc>
          <w:tcPr>
            <w:tcW w:w="3500" w:type="pct"/>
          </w:tcPr>
          <w:p w14:paraId="213C333C" w14:textId="7DD5AC98" w:rsidR="000C4365" w:rsidRPr="004C78D8" w:rsidRDefault="000C4365" w:rsidP="00FB7C1F">
            <w:pPr>
              <w:jc w:val="left"/>
              <w:rPr>
                <w:b/>
                <w:bCs/>
                <w:sz w:val="20"/>
                <w:szCs w:val="20"/>
              </w:rPr>
            </w:pPr>
            <w:r w:rsidRPr="004C78D8">
              <w:rPr>
                <w:b/>
                <w:bCs/>
                <w:sz w:val="20"/>
                <w:szCs w:val="20"/>
              </w:rPr>
              <w:t>Study label</w:t>
            </w:r>
            <w:r w:rsidR="00AF7468" w:rsidRPr="004C78D8">
              <w:rPr>
                <w:b/>
                <w:bCs/>
                <w:sz w:val="20"/>
                <w:szCs w:val="20"/>
                <w:vertAlign w:val="superscript"/>
              </w:rPr>
              <w:t>1</w:t>
            </w:r>
          </w:p>
        </w:tc>
      </w:tr>
      <w:tr w:rsidR="000C4365" w:rsidRPr="004C78D8" w14:paraId="5C7C35FD" w14:textId="77777777" w:rsidTr="002828C1">
        <w:tc>
          <w:tcPr>
            <w:tcW w:w="1153" w:type="pct"/>
          </w:tcPr>
          <w:p w14:paraId="43EFA728" w14:textId="77777777" w:rsidR="000C4365" w:rsidRPr="004C78D8" w:rsidRDefault="000C4365" w:rsidP="00FB7C1F">
            <w:pPr>
              <w:jc w:val="left"/>
              <w:rPr>
                <w:sz w:val="18"/>
                <w:szCs w:val="18"/>
              </w:rPr>
            </w:pPr>
            <w:r w:rsidRPr="004C78D8">
              <w:rPr>
                <w:sz w:val="18"/>
                <w:szCs w:val="18"/>
              </w:rPr>
              <w:t>(1) Individual-level epidemiological data</w:t>
            </w:r>
          </w:p>
        </w:tc>
        <w:tc>
          <w:tcPr>
            <w:tcW w:w="346" w:type="pct"/>
          </w:tcPr>
          <w:p w14:paraId="5BEC94D4" w14:textId="77777777" w:rsidR="000C4365" w:rsidRPr="004C78D8" w:rsidRDefault="000C4365" w:rsidP="00FB7C1F">
            <w:pPr>
              <w:jc w:val="left"/>
              <w:rPr>
                <w:sz w:val="18"/>
                <w:szCs w:val="18"/>
              </w:rPr>
            </w:pPr>
            <w:r w:rsidRPr="004C78D8">
              <w:rPr>
                <w:sz w:val="18"/>
                <w:szCs w:val="18"/>
              </w:rPr>
              <w:t>8</w:t>
            </w:r>
          </w:p>
        </w:tc>
        <w:tc>
          <w:tcPr>
            <w:tcW w:w="3500" w:type="pct"/>
          </w:tcPr>
          <w:p w14:paraId="1E16670E" w14:textId="77777777" w:rsidR="000C4365" w:rsidRPr="004C78D8" w:rsidRDefault="000C4365" w:rsidP="00FB7C1F">
            <w:pPr>
              <w:jc w:val="left"/>
              <w:rPr>
                <w:sz w:val="18"/>
                <w:szCs w:val="18"/>
              </w:rPr>
            </w:pPr>
            <w:r w:rsidRPr="004C78D8">
              <w:rPr>
                <w:sz w:val="18"/>
                <w:szCs w:val="18"/>
              </w:rPr>
              <w:t>BODE3 models – Boyd (2020), Deverall (2018), Pega (2016), Wilson (2017); Eldridge (2005); Ippoliti (2018); OMAS (2008); Smith (2016)</w:t>
            </w:r>
          </w:p>
        </w:tc>
      </w:tr>
      <w:tr w:rsidR="000C4365" w:rsidRPr="004C78D8" w14:paraId="4AE6F083" w14:textId="77777777" w:rsidTr="002828C1">
        <w:tc>
          <w:tcPr>
            <w:tcW w:w="1153" w:type="pct"/>
          </w:tcPr>
          <w:p w14:paraId="243003B4" w14:textId="77777777" w:rsidR="000C4365" w:rsidRPr="004C78D8" w:rsidRDefault="000C4365" w:rsidP="00FB7C1F">
            <w:pPr>
              <w:jc w:val="left"/>
              <w:rPr>
                <w:sz w:val="18"/>
                <w:szCs w:val="18"/>
              </w:rPr>
            </w:pPr>
            <w:r w:rsidRPr="004C78D8">
              <w:rPr>
                <w:sz w:val="18"/>
                <w:szCs w:val="18"/>
              </w:rPr>
              <w:t>(2) Published epidemiological data or expert/author opinion</w:t>
            </w:r>
          </w:p>
        </w:tc>
        <w:tc>
          <w:tcPr>
            <w:tcW w:w="346" w:type="pct"/>
          </w:tcPr>
          <w:p w14:paraId="610ACD3B" w14:textId="77777777" w:rsidR="000C4365" w:rsidRPr="004C78D8" w:rsidRDefault="000C4365" w:rsidP="00FB7C1F">
            <w:pPr>
              <w:jc w:val="left"/>
              <w:rPr>
                <w:sz w:val="18"/>
                <w:szCs w:val="18"/>
              </w:rPr>
            </w:pPr>
            <w:r w:rsidRPr="004C78D8">
              <w:rPr>
                <w:sz w:val="18"/>
                <w:szCs w:val="18"/>
              </w:rPr>
              <w:t>25</w:t>
            </w:r>
          </w:p>
        </w:tc>
        <w:tc>
          <w:tcPr>
            <w:tcW w:w="3500" w:type="pct"/>
          </w:tcPr>
          <w:p w14:paraId="76703D27" w14:textId="77777777" w:rsidR="000C4365" w:rsidRPr="004C78D8" w:rsidRDefault="000C4365" w:rsidP="00FB7C1F">
            <w:pPr>
              <w:jc w:val="left"/>
              <w:rPr>
                <w:sz w:val="18"/>
                <w:szCs w:val="18"/>
              </w:rPr>
            </w:pPr>
            <w:r w:rsidRPr="004C78D8">
              <w:rPr>
                <w:sz w:val="18"/>
                <w:szCs w:val="18"/>
              </w:rPr>
              <w:t>Agartioglu (2020); Carande-Kulis (2015); CSP (2016); Church (2011); Church (2012); Farag (2015); Franklin (2019); Frick (2010); Hiligsmann (2014); Hirst (2016); Honkanen (2006); Howland (2015); Lee (2013); Ling (2008); Miller (2011); Mori (2017); Moriarty (2019); Nshimyumukiza (2013); Poole (2014); Poole (2015); RCN (2005); Tannenbaum (2015); Turner (2020); Wu (2010); Zarca (2014)</w:t>
            </w:r>
          </w:p>
        </w:tc>
      </w:tr>
      <w:tr w:rsidR="000C4365" w:rsidRPr="004C78D8" w14:paraId="2F14FCA4" w14:textId="77777777" w:rsidTr="002828C1">
        <w:tc>
          <w:tcPr>
            <w:tcW w:w="1153" w:type="pct"/>
          </w:tcPr>
          <w:p w14:paraId="18A5A86F" w14:textId="291E241F" w:rsidR="000C4365" w:rsidRPr="004C78D8" w:rsidRDefault="000C4365" w:rsidP="00FB7C1F">
            <w:pPr>
              <w:jc w:val="left"/>
              <w:rPr>
                <w:sz w:val="18"/>
                <w:szCs w:val="18"/>
              </w:rPr>
            </w:pPr>
            <w:r w:rsidRPr="004C78D8">
              <w:rPr>
                <w:sz w:val="18"/>
                <w:szCs w:val="18"/>
              </w:rPr>
              <w:t>(3) Internal intervention study</w:t>
            </w:r>
            <w:r w:rsidR="00AF7468" w:rsidRPr="004C78D8">
              <w:rPr>
                <w:sz w:val="18"/>
                <w:szCs w:val="18"/>
                <w:vertAlign w:val="superscript"/>
              </w:rPr>
              <w:t>2</w:t>
            </w:r>
            <w:r w:rsidRPr="004C78D8">
              <w:rPr>
                <w:sz w:val="18"/>
                <w:szCs w:val="18"/>
              </w:rPr>
              <w:t xml:space="preserve"> evidence</w:t>
            </w:r>
          </w:p>
        </w:tc>
        <w:tc>
          <w:tcPr>
            <w:tcW w:w="346" w:type="pct"/>
          </w:tcPr>
          <w:p w14:paraId="263B71CF" w14:textId="77777777" w:rsidR="000C4365" w:rsidRPr="004C78D8" w:rsidRDefault="000C4365" w:rsidP="00FB7C1F">
            <w:pPr>
              <w:jc w:val="left"/>
              <w:rPr>
                <w:sz w:val="18"/>
                <w:szCs w:val="18"/>
              </w:rPr>
            </w:pPr>
            <w:r w:rsidRPr="004C78D8">
              <w:rPr>
                <w:sz w:val="18"/>
                <w:szCs w:val="18"/>
              </w:rPr>
              <w:t>9</w:t>
            </w:r>
          </w:p>
        </w:tc>
        <w:tc>
          <w:tcPr>
            <w:tcW w:w="3500" w:type="pct"/>
          </w:tcPr>
          <w:p w14:paraId="5189D09D" w14:textId="77777777" w:rsidR="000C4365" w:rsidRPr="004C78D8" w:rsidRDefault="000C4365" w:rsidP="00FB7C1F">
            <w:pPr>
              <w:jc w:val="left"/>
              <w:rPr>
                <w:sz w:val="18"/>
                <w:szCs w:val="18"/>
              </w:rPr>
            </w:pPr>
            <w:r w:rsidRPr="004C78D8">
              <w:rPr>
                <w:sz w:val="18"/>
                <w:szCs w:val="18"/>
              </w:rPr>
              <w:t>Albert (2016); Alhambra-Borras (2019); Beard (2006); Comans (2009); Johansson (2008); McLean (2015); Sach (2007); Sach (2010); Velde (2008)</w:t>
            </w:r>
          </w:p>
        </w:tc>
      </w:tr>
      <w:tr w:rsidR="000C4365" w:rsidRPr="004C78D8" w14:paraId="19FB2A95" w14:textId="77777777" w:rsidTr="002828C1">
        <w:tc>
          <w:tcPr>
            <w:tcW w:w="1153" w:type="pct"/>
          </w:tcPr>
          <w:p w14:paraId="532CDEBE" w14:textId="77777777" w:rsidR="000C4365" w:rsidRPr="004C78D8" w:rsidRDefault="000C4365" w:rsidP="00FB7C1F">
            <w:pPr>
              <w:jc w:val="left"/>
              <w:rPr>
                <w:sz w:val="18"/>
                <w:szCs w:val="18"/>
              </w:rPr>
            </w:pPr>
            <w:r w:rsidRPr="004C78D8">
              <w:rPr>
                <w:sz w:val="18"/>
                <w:szCs w:val="18"/>
              </w:rPr>
              <w:t>(4) Risk/rate from external RCT control group</w:t>
            </w:r>
          </w:p>
        </w:tc>
        <w:tc>
          <w:tcPr>
            <w:tcW w:w="346" w:type="pct"/>
          </w:tcPr>
          <w:p w14:paraId="7B69FD94" w14:textId="77777777" w:rsidR="000C4365" w:rsidRPr="004C78D8" w:rsidRDefault="000C4365" w:rsidP="00FB7C1F">
            <w:pPr>
              <w:jc w:val="left"/>
              <w:rPr>
                <w:sz w:val="18"/>
                <w:szCs w:val="18"/>
              </w:rPr>
            </w:pPr>
            <w:r w:rsidRPr="004C78D8">
              <w:rPr>
                <w:sz w:val="18"/>
                <w:szCs w:val="18"/>
              </w:rPr>
              <w:t>4</w:t>
            </w:r>
          </w:p>
        </w:tc>
        <w:tc>
          <w:tcPr>
            <w:tcW w:w="3500" w:type="pct"/>
          </w:tcPr>
          <w:p w14:paraId="2C321FD0" w14:textId="77777777" w:rsidR="000C4365" w:rsidRPr="004C78D8" w:rsidRDefault="000C4365" w:rsidP="00FB7C1F">
            <w:pPr>
              <w:jc w:val="left"/>
              <w:rPr>
                <w:sz w:val="18"/>
                <w:szCs w:val="18"/>
              </w:rPr>
            </w:pPr>
            <w:r w:rsidRPr="004C78D8">
              <w:rPr>
                <w:sz w:val="18"/>
                <w:szCs w:val="18"/>
              </w:rPr>
              <w:t>Day (2009); Day (2010); Hektoen (2009); PHE (2018)</w:t>
            </w:r>
          </w:p>
        </w:tc>
      </w:tr>
      <w:tr w:rsidR="000C4365" w:rsidRPr="004C78D8" w14:paraId="0AED06EE" w14:textId="77777777" w:rsidTr="002828C1">
        <w:tc>
          <w:tcPr>
            <w:tcW w:w="5000" w:type="pct"/>
            <w:gridSpan w:val="3"/>
          </w:tcPr>
          <w:p w14:paraId="539D5C90" w14:textId="000E2985" w:rsidR="000C4365" w:rsidRPr="004C78D8" w:rsidRDefault="000C4365" w:rsidP="00FB7C1F">
            <w:pPr>
              <w:rPr>
                <w:sz w:val="18"/>
                <w:szCs w:val="18"/>
              </w:rPr>
            </w:pPr>
            <w:r w:rsidRPr="004C78D8">
              <w:rPr>
                <w:b/>
                <w:bCs/>
                <w:sz w:val="18"/>
                <w:szCs w:val="18"/>
              </w:rPr>
              <w:t>A</w:t>
            </w:r>
            <w:r w:rsidR="00AF7468" w:rsidRPr="004C78D8">
              <w:rPr>
                <w:b/>
                <w:bCs/>
                <w:sz w:val="18"/>
                <w:szCs w:val="18"/>
              </w:rPr>
              <w:t>bbreviation</w:t>
            </w:r>
            <w:r w:rsidRPr="004C78D8">
              <w:rPr>
                <w:b/>
                <w:bCs/>
                <w:sz w:val="18"/>
                <w:szCs w:val="18"/>
              </w:rPr>
              <w:t>:</w:t>
            </w:r>
            <w:r w:rsidRPr="004C78D8">
              <w:rPr>
                <w:sz w:val="18"/>
                <w:szCs w:val="18"/>
              </w:rPr>
              <w:t xml:space="preserve"> BODE3: Burden of Disease Epidemiology, Equity and Cost-Effectiveness; CSP: Chartered Society of Physiotherapy; OMAS: Ontario Medical Advisory Secretariat; PHE: Public Health England; RCN: Royal College of Nursing; RCT: randomised controlled trial</w:t>
            </w:r>
          </w:p>
          <w:p w14:paraId="56F4D043" w14:textId="16A54A17" w:rsidR="000C4365" w:rsidRPr="004C78D8" w:rsidRDefault="00AF7468" w:rsidP="00FB7C1F">
            <w:pPr>
              <w:rPr>
                <w:sz w:val="18"/>
                <w:szCs w:val="18"/>
              </w:rPr>
            </w:pPr>
            <w:r w:rsidRPr="004C78D8">
              <w:rPr>
                <w:sz w:val="18"/>
                <w:szCs w:val="18"/>
                <w:vertAlign w:val="superscript"/>
              </w:rPr>
              <w:t>1</w:t>
            </w:r>
            <w:r w:rsidR="000C4365" w:rsidRPr="004C78D8">
              <w:rPr>
                <w:sz w:val="18"/>
                <w:szCs w:val="18"/>
              </w:rPr>
              <w:t xml:space="preserve"> See Table </w:t>
            </w:r>
            <w:r w:rsidR="00891C73" w:rsidRPr="004C78D8">
              <w:rPr>
                <w:sz w:val="18"/>
                <w:szCs w:val="18"/>
              </w:rPr>
              <w:t>4</w:t>
            </w:r>
            <w:r w:rsidRPr="004C78D8">
              <w:rPr>
                <w:sz w:val="18"/>
                <w:szCs w:val="18"/>
              </w:rPr>
              <w:t>.</w:t>
            </w:r>
            <w:r w:rsidR="000C4365" w:rsidRPr="004C78D8">
              <w:rPr>
                <w:sz w:val="18"/>
                <w:szCs w:val="18"/>
              </w:rPr>
              <w:t>2 for study references.</w:t>
            </w:r>
          </w:p>
          <w:p w14:paraId="08E66CEA" w14:textId="4212ACAD" w:rsidR="000C4365" w:rsidRPr="004C78D8" w:rsidRDefault="00AF7468" w:rsidP="00FB7C1F">
            <w:pPr>
              <w:rPr>
                <w:sz w:val="20"/>
                <w:szCs w:val="20"/>
              </w:rPr>
            </w:pPr>
            <w:r w:rsidRPr="004C78D8">
              <w:rPr>
                <w:sz w:val="18"/>
                <w:szCs w:val="18"/>
                <w:vertAlign w:val="superscript"/>
              </w:rPr>
              <w:t>2</w:t>
            </w:r>
            <w:r w:rsidR="000C4365" w:rsidRPr="004C78D8">
              <w:rPr>
                <w:sz w:val="18"/>
                <w:szCs w:val="18"/>
              </w:rPr>
              <w:t xml:space="preserve"> This may be randomised or non-randomised.</w:t>
            </w:r>
          </w:p>
        </w:tc>
      </w:tr>
    </w:tbl>
    <w:p w14:paraId="18584C86" w14:textId="08C7B0FD" w:rsidR="000C4365" w:rsidRPr="004C78D8" w:rsidRDefault="000C4365" w:rsidP="00FB7C1F"/>
    <w:p w14:paraId="6FDDA237" w14:textId="1FAB65DA" w:rsidR="000D56E8" w:rsidRPr="004C78D8" w:rsidRDefault="000D56E8" w:rsidP="00FB7C1F">
      <w:r w:rsidRPr="004C78D8">
        <w:lastRenderedPageBreak/>
        <w:t xml:space="preserve">Eight models employing (1) estimated the baseline falls risk/rate by analysing individual-level data relevant to the decision-making context. One used a local survey </w:t>
      </w:r>
      <w:r w:rsidRPr="004C78D8">
        <w:fldChar w:fldCharType="begin"/>
      </w:r>
      <w:r w:rsidR="00C630FC" w:rsidRPr="004C78D8">
        <w:instrText xml:space="preserve"> ADDIN EN.CITE &lt;EndNote&gt;&lt;Cite&gt;&lt;Author&gt;Eldridge&lt;/Author&gt;&lt;Year&gt;2005&lt;/Year&gt;&lt;RecNum&gt;397&lt;/RecNum&gt;&lt;DisplayText&gt;[274]&lt;/DisplayText&gt;&lt;record&gt;&lt;rec-number&gt;397&lt;/rec-number&gt;&lt;foreign-keys&gt;&lt;key app="EN" db-id="tdtrdw9aepptzbefsat599syza29sxsd2wsp" timestamp="1612694614"&gt;397&lt;/key&gt;&lt;/foreign-keys&gt;&lt;ref-type name="Journal Article"&gt;17&lt;/ref-type&gt;&lt;contributors&gt;&lt;authors&gt;&lt;author&gt;Eldridge, Sandra&lt;/author&gt;&lt;author&gt;Spencer, Anne&lt;/author&gt;&lt;author&gt;Cryer, Colin&lt;/author&gt;&lt;author&gt;Parsons, Suzanne&lt;/author&gt;&lt;author&gt;Underwood, Martin&lt;/author&gt;&lt;author&gt;Feder, Gene&lt;/author&gt;&lt;/authors&gt;&lt;/contributors&gt;&lt;titles&gt;&lt;title&gt;Why modelling a complex intervention is an important precursor to trial design: lessons from studying an intervention to reduce falls-related injuries in older people&lt;/title&gt;&lt;secondary-title&gt;Journal of health services research &amp;amp; policy&lt;/secondary-title&gt;&lt;/titles&gt;&lt;periodical&gt;&lt;full-title&gt;Journal of health services research &amp;amp; policy&lt;/full-title&gt;&lt;/periodical&gt;&lt;pages&gt;133-42&lt;/pages&gt;&lt;volume&gt;10&lt;/volume&gt;&lt;number&gt;3&lt;/number&gt;&lt;section&gt;Eldridge, Sandra. Department of General Practice and Primary Care, Queen Mary University of London, UK. s.elridge@qmul.ac.uk&lt;/section&gt;&lt;keywords&gt;&lt;keyword&gt;*Accidental Falls/pc [Prevention &amp;amp; Control]&lt;/keyword&gt;&lt;keyword&gt;Aged&lt;/keyword&gt;&lt;keyword&gt;Aged, 80 and over&lt;/keyword&gt;&lt;keyword&gt;Cost-Benefit Analysis&lt;/keyword&gt;&lt;keyword&gt;*Decision Support Techniques&lt;/keyword&gt;&lt;keyword&gt;Humans&lt;/keyword&gt;&lt;keyword&gt;Markov Chains&lt;/keyword&gt;&lt;keyword&gt;Pilot Projects&lt;/keyword&gt;&lt;keyword&gt;State Medicine&lt;/keyword&gt;&lt;keyword&gt;United Kingdom&lt;/keyword&gt;&lt;/keywords&gt;&lt;dates&gt;&lt;year&gt;2005&lt;/year&gt;&lt;/dates&gt;&lt;pub-location&gt;England&lt;/pub-location&gt;&lt;isbn&gt;1355-8196&lt;/isbn&gt;&lt;urls&gt;&lt;related-urls&gt;&lt;url&gt;http://ovidsp.ovid.com/ovidweb.cgi?T=JS&amp;amp;PAGE=reference&amp;amp;D=med5&amp;amp;NEWS=N&amp;amp;AN=16053589&lt;/url&gt;&lt;/related-urls&gt;&lt;/urls&gt;&lt;remote-database-name&gt;Medline&lt;/remote-database-name&gt;&lt;/record&gt;&lt;/Cite&gt;&lt;/EndNote&gt;</w:instrText>
      </w:r>
      <w:r w:rsidRPr="004C78D8">
        <w:fldChar w:fldCharType="separate"/>
      </w:r>
      <w:r w:rsidR="00C630FC" w:rsidRPr="004C78D8">
        <w:rPr>
          <w:noProof/>
        </w:rPr>
        <w:t>[274]</w:t>
      </w:r>
      <w:r w:rsidRPr="004C78D8">
        <w:fldChar w:fldCharType="end"/>
      </w:r>
      <w:r w:rsidRPr="004C78D8">
        <w:t>, but the other seven analysed administrative healthcare (routine) datasets. For example, the four BODE3 models developed by the same research group analysed the insurance claims data at national and state levels to estimate the incidence rates of MA falls. A key strength of routine data is that falls incidence is linked to consequent care utilisation and cost; the latter can then be stratified by individual-level risk factors. The routine data should contain individual identifiers to distinguish between number of fallers and falls per faller. The BODE3 models did not make this distinction, counting multiple falls per person as multiple fallers and overestimating the baseline falls risk.</w:t>
      </w:r>
    </w:p>
    <w:p w14:paraId="5205FC3D" w14:textId="5E1802BC" w:rsidR="000D56E8" w:rsidRPr="004C78D8" w:rsidRDefault="00035FB9" w:rsidP="00FB7C1F">
      <w:bookmarkStart w:id="120" w:name="_Hlk63947858"/>
      <w:r w:rsidRPr="004C78D8">
        <w:t xml:space="preserve">Twenty-five models used published epidemiological evidence (n=22) or expert opinion (n=3) </w:t>
      </w:r>
      <w:r w:rsidRPr="004C78D8">
        <w:fldChar w:fldCharType="begin">
          <w:fldData xml:space="preserve">PEVuZE5vdGU+PENpdGU+PEF1dGhvcj5DaHVyY2g8L0F1dGhvcj48WWVhcj4yMDExPC9ZZWFyPjxS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</w:fldData>
        </w:fldChar>
      </w:r>
      <w:r w:rsidR="00C630FC" w:rsidRPr="004C78D8">
        <w:instrText xml:space="preserve"> ADDIN EN.CITE </w:instrText>
      </w:r>
      <w:r w:rsidR="00C630FC" w:rsidRPr="004C78D8">
        <w:fldChar w:fldCharType="begin">
          <w:fldData xml:space="preserve">PEVuZE5vdGU+PENpdGU+PEF1dGhvcj5DaHVyY2g8L0F1dGhvcj48WWVhcj4yMDExPC9ZZWFyPjxS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[342, 351, 360]</w:t>
      </w:r>
      <w:r w:rsidRPr="004C78D8">
        <w:fldChar w:fldCharType="end"/>
      </w:r>
      <w:r w:rsidRPr="004C78D8">
        <w:t xml:space="preserve">. </w:t>
      </w:r>
      <w:bookmarkEnd w:id="120"/>
      <w:r w:rsidRPr="004C78D8">
        <w:t xml:space="preserve">Compared to approach (1), the use of published evidence restricted the range of falls risk factors and relevant population subgroups (see Section </w:t>
      </w:r>
      <w:r w:rsidR="00D005E6" w:rsidRPr="004C78D8">
        <w:t>4</w:t>
      </w:r>
      <w:r w:rsidRPr="004C78D8">
        <w:t>.5.1.3). Nevertheless, published evidence allowed parameterisation of fall-related events that are not well-observed in routine data (e.g., non-MA falls).</w:t>
      </w:r>
    </w:p>
    <w:p w14:paraId="5B8DB636" w14:textId="3F595FE2" w:rsidR="00035FB9" w:rsidRPr="004C78D8" w:rsidRDefault="00035FB9" w:rsidP="00FB7C1F">
      <w:r w:rsidRPr="004C78D8">
        <w:t xml:space="preserve">Nine models sourced the baseline falls risk/rate and intervention effectiveness from the same internal intervention study. For example, Albert (2016) developed a decision tree model using the baseline risk, effectiveness, and costs evidence from a quasi-experimental evaluation of multifactorial intervention. The reliance on a single intervention study makes these models similar to non-modelling </w:t>
      </w:r>
      <w:r w:rsidR="00757128" w:rsidRPr="004C78D8">
        <w:t>SVEs</w:t>
      </w:r>
      <w:r w:rsidRPr="004C78D8">
        <w:t xml:space="preserve">. Nevertheless, the nine models: explicitly developed models using internal data </w:t>
      </w:r>
      <w:r w:rsidRPr="004C78D8">
        <w:fldChar w:fldCharType="begin">
          <w:fldData xml:space="preserve">PEVuZE5vdGU+PENpdGU+PEF1dGhvcj5BbGJlcnQ8L0F1dGhvcj48WWVhcj4yMDE2PC9ZZWFyPjxS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</w:fldData>
        </w:fldChar>
      </w:r>
      <w:r w:rsidR="00C630FC" w:rsidRPr="004C78D8">
        <w:instrText xml:space="preserve"> ADDIN EN.CITE </w:instrText>
      </w:r>
      <w:r w:rsidR="00C630FC" w:rsidRPr="004C78D8">
        <w:fldChar w:fldCharType="begin">
          <w:fldData xml:space="preserve">PEVuZE5vdGU+PENpdGU+PEF1dGhvcj5BbGJlcnQ8L0F1dGhvcj48WWVhcj4yMDE2PC9ZZWFyPjxS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[341, 354, 355]</w:t>
      </w:r>
      <w:r w:rsidRPr="004C78D8">
        <w:fldChar w:fldCharType="end"/>
      </w:r>
      <w:r w:rsidRPr="004C78D8">
        <w:t xml:space="preserve">; extrapolated results over a longer time horizon </w:t>
      </w:r>
      <w:r w:rsidRPr="004C78D8">
        <w:fldChar w:fldCharType="begin">
          <w:fldData xml:space="preserve">PEVuZE5vdGU+PENpdGU+PEF1dGhvcj5Kb2hhbnNzb248L0F1dGhvcj48WWVhcj4yMDA4PC9ZZWFy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</w:fldData>
        </w:fldChar>
      </w:r>
      <w:r w:rsidR="00C630FC" w:rsidRPr="004C78D8">
        <w:instrText xml:space="preserve"> ADDIN EN.CITE </w:instrText>
      </w:r>
      <w:r w:rsidR="00C630FC" w:rsidRPr="004C78D8">
        <w:fldChar w:fldCharType="begin">
          <w:fldData xml:space="preserve">PEVuZE5vdGU+PENpdGU+PEF1dGhvcj5Kb2hhbnNzb248L0F1dGhvcj48WWVhcj4yMDA4PC9ZZWFy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[128, 349, 350]</w:t>
      </w:r>
      <w:r w:rsidRPr="004C78D8">
        <w:fldChar w:fldCharType="end"/>
      </w:r>
      <w:r w:rsidRPr="004C78D8">
        <w:t xml:space="preserve">; extrapolated results to national population </w:t>
      </w:r>
      <w:r w:rsidRPr="004C78D8">
        <w:fldChar w:fldCharType="begin"/>
      </w:r>
      <w:r w:rsidR="00C630FC" w:rsidRPr="004C78D8">
        <w:instrText xml:space="preserve"> ADDIN EN.CITE &lt;EndNote&gt;&lt;Cite&gt;&lt;Author&gt;van der Velde&lt;/Author&gt;&lt;Year&gt;2008&lt;/Year&gt;&lt;RecNum&gt;356&lt;/RecNum&gt;&lt;DisplayText&gt;[339]&lt;/DisplayText&gt;&lt;record&gt;&lt;rec-number&gt;356&lt;/rec-number&gt;&lt;foreign-keys&gt;&lt;key app="EN" db-id="tdtrdw9aepptzbefsat599syza29sxsd2wsp" timestamp="1612212149"&gt;356&lt;/key&gt;&lt;/foreign-keys&gt;&lt;ref-type name="Journal Article"&gt;17&lt;/ref-type&gt;&lt;contributors&gt;&lt;authors&gt;&lt;author&gt;van der Velde, Nathalie&lt;/author&gt;&lt;author&gt;Meerding, Willen Jan&lt;/author&gt;&lt;author&gt;Looman, Caspar W&lt;/author&gt;&lt;author&gt;Pols, Huibert AP&lt;/author&gt;&lt;author&gt;van der Cammen, Tischa JM&lt;/author&gt;&lt;/authors&gt;&lt;/contributors&gt;&lt;titles&gt;&lt;title&gt;Cost effectiveness of withdrawal of fall-risk-increasing drugs in geriatric outpatients&lt;/title&gt;&lt;secondary-title&gt;Drugs &amp;amp; aging&lt;/secondary-title&gt;&lt;/titles&gt;&lt;periodical&gt;&lt;full-title&gt;Drugs &amp;amp; aging&lt;/full-title&gt;&lt;/periodical&gt;&lt;pages&gt;521-529&lt;/pages&gt;&lt;volume&gt;25&lt;/volume&gt;&lt;number&gt;6&lt;/number&gt;&lt;dates&gt;&lt;year&gt;2008&lt;/year&gt;&lt;/dates&gt;&lt;isbn&gt;1170-229X&lt;/isbn&gt;&lt;urls&gt;&lt;/urls&gt;&lt;/record&gt;&lt;/Cite&gt;&lt;/EndNote&gt;</w:instrText>
      </w:r>
      <w:r w:rsidRPr="004C78D8">
        <w:fldChar w:fldCharType="separate"/>
      </w:r>
      <w:r w:rsidR="00C630FC" w:rsidRPr="004C78D8">
        <w:rPr>
          <w:noProof/>
        </w:rPr>
        <w:t>[339]</w:t>
      </w:r>
      <w:r w:rsidRPr="004C78D8">
        <w:fldChar w:fldCharType="end"/>
      </w:r>
      <w:r w:rsidRPr="004C78D8">
        <w:t xml:space="preserve">; and extrapolated results to a wider societal perspective </w:t>
      </w:r>
      <w:r w:rsidRPr="004C78D8">
        <w:fldChar w:fldCharType="begin"/>
      </w:r>
      <w:r w:rsidR="00513646" w:rsidRPr="004C78D8">
        <w:instrText xml:space="preserve"> ADDIN EN.CITE &lt;EndNote&gt;&lt;Cite&gt;&lt;Author&gt;Beard&lt;/Author&gt;&lt;Year&gt;2006&lt;/Year&gt;&lt;RecNum&gt;287&lt;/RecNum&gt;&lt;DisplayText&gt;[127]&lt;/DisplayText&gt;&lt;record&gt;&lt;rec-number&gt;287&lt;/rec-number&gt;&lt;foreign-keys&gt;&lt;key app="EN" db-id="tdtrdw9aepptzbefsat599syza29sxsd2wsp" timestamp="1611700753"&gt;287&lt;/key&gt;&lt;/foreign-keys&gt;&lt;ref-type name="Journal Article"&gt;17&lt;/ref-type&gt;&lt;contributors&gt;&lt;authors&gt;&lt;author&gt;Beard, J.&lt;/author&gt;&lt;author&gt;Rowell, D.&lt;/author&gt;&lt;author&gt;Scott, D.&lt;/author&gt;&lt;author&gt;van Beurden, E.&lt;/author&gt;&lt;author&gt;Barnett, L.&lt;/author&gt;&lt;author&gt;Hughes, K.&lt;/author&gt;&lt;author&gt;Newman, B.&lt;/author&gt;&lt;/authors&gt;&lt;/contributors&gt;&lt;auth-address&gt;Northern Rivers University Department of Rural Health, University of Sydney, Southern Cross University, PO Box 3074, Lismore NSW 2480, Australia. jbeard@med.usyd.edu.au&lt;/auth-address&gt;&lt;titles&gt;&lt;title&gt;Economic analysis of a community-based falls prevention program&lt;/title&gt;&lt;secondary-title&gt;Public Health&lt;/secondary-title&gt;&lt;/titles&gt;&lt;periodical&gt;&lt;full-title&gt;Public Health&lt;/full-title&gt;&lt;/periodical&gt;&lt;pages&gt;742-51&lt;/pages&gt;&lt;volume&gt;120&lt;/volume&gt;&lt;number&gt;8&lt;/number&gt;&lt;keywords&gt;&lt;keyword&gt;Accidental Falls/*prevention &amp;amp; control&lt;/keyword&gt;&lt;keyword&gt;Aged&lt;/keyword&gt;&lt;keyword&gt;Community Health Services/*economics&lt;/keyword&gt;&lt;keyword&gt;Cost-Benefit Analysis&lt;/keyword&gt;&lt;keyword&gt;Health Promotion/economics/methods&lt;/keyword&gt;&lt;keyword&gt;Hospitalization/economics&lt;/keyword&gt;&lt;keyword&gt;Humans&lt;/keyword&gt;&lt;/keywords&gt;&lt;dates&gt;&lt;year&gt;2006&lt;/year&gt;&lt;pub-dates&gt;&lt;date&gt;Aug&lt;/date&gt;&lt;/pub-dates&gt;&lt;/dates&gt;&lt;isbn&gt;0033-3506 (Print)&amp;#xD;0033-3506 (Linking)&lt;/isbn&gt;&lt;accession-num&gt;16824563&lt;/accession-num&gt;&lt;urls&gt;&lt;related-urls&gt;&lt;url&gt;https://www.ncbi.nlm.nih.gov/pubmed/16824563&lt;/url&gt;&lt;/related-urls&gt;&lt;/urls&gt;&lt;electronic-resource-num&gt;10.1016/j.puhe.2006.04.011&lt;/electronic-resource-num&gt;&lt;/record&gt;&lt;/Cite&gt;&lt;/EndNote&gt;</w:instrText>
      </w:r>
      <w:r w:rsidRPr="004C78D8">
        <w:fldChar w:fldCharType="separate"/>
      </w:r>
      <w:r w:rsidR="00513646" w:rsidRPr="004C78D8">
        <w:rPr>
          <w:noProof/>
        </w:rPr>
        <w:t>[127]</w:t>
      </w:r>
      <w:r w:rsidRPr="004C78D8">
        <w:fldChar w:fldCharType="end"/>
      </w:r>
      <w:r w:rsidRPr="004C78D8">
        <w:t>. These models assumed that the internal intervention sample is representative of the target population; this assumption would not hold if there were sampling biases.</w:t>
      </w:r>
    </w:p>
    <w:p w14:paraId="471E58F7" w14:textId="12017A78" w:rsidR="00035FB9" w:rsidRPr="004C78D8" w:rsidRDefault="00035FB9" w:rsidP="00FB7C1F">
      <w:r w:rsidRPr="004C78D8">
        <w:t>Four models used the falls risk/rate from the control group of an external RCT (or pool of RCTs). For example, Day (2010) used the falls rate pooled from two Tai Chi RCTs to characterise the baseline rate, then applied the Tai Chi efficacy from a separate meta-analysis. Analysts can draw on diverse external RCTs to characterise the baseline risk; heterogeneous risks across subpopulations can be modelled by drawing on multiple sources simultaneously. However, this approach generally restricts the model time horizon to that of an external RCT and cannot model the long-term falls risk progression without being supplemented by longer-term observational data.</w:t>
      </w:r>
    </w:p>
    <w:p w14:paraId="5DC3FC59" w14:textId="5A2DD0D8" w:rsidR="00035FB9" w:rsidRPr="004C78D8" w:rsidRDefault="00D005E6" w:rsidP="00FB7C1F">
      <w:pPr>
        <w:pStyle w:val="Heading4"/>
      </w:pPr>
      <w:r w:rsidRPr="004C78D8">
        <w:t>4</w:t>
      </w:r>
      <w:r w:rsidR="00035FB9" w:rsidRPr="004C78D8">
        <w:t>.5.1.2 Recurrent falls</w:t>
      </w:r>
    </w:p>
    <w:p w14:paraId="09A2D907" w14:textId="7EAEE88B" w:rsidR="00035FB9" w:rsidRPr="004C78D8" w:rsidRDefault="00035FB9" w:rsidP="00FB7C1F">
      <w:r w:rsidRPr="004C78D8">
        <w:t xml:space="preserve">Table </w:t>
      </w:r>
      <w:r w:rsidR="00D005E6" w:rsidRPr="004C78D8">
        <w:t>4</w:t>
      </w:r>
      <w:r w:rsidRPr="004C78D8">
        <w:t xml:space="preserve">.4 lists the models by model type category and their features relevant to characterising recurrent falls. The first feature is the </w:t>
      </w:r>
      <w:r w:rsidR="0092747E" w:rsidRPr="004C78D8">
        <w:t>‘</w:t>
      </w:r>
      <w:r w:rsidRPr="004C78D8">
        <w:t>transition entity</w:t>
      </w:r>
      <w:r w:rsidR="0092747E" w:rsidRPr="004C78D8">
        <w:t>’</w:t>
      </w:r>
      <w:r w:rsidRPr="004C78D8">
        <w:t xml:space="preserve">, </w:t>
      </w:r>
      <w:r w:rsidR="00D12424" w:rsidRPr="004C78D8">
        <w:t>i.e.,</w:t>
      </w:r>
      <w:r w:rsidR="0092747E" w:rsidRPr="004C78D8">
        <w:t xml:space="preserve"> the type of entity that experiences the modelled events or faces the probabilities for them. In the study context, the entity </w:t>
      </w:r>
      <w:r w:rsidRPr="004C78D8">
        <w:t xml:space="preserve">is either </w:t>
      </w:r>
      <w:r w:rsidR="00D12424" w:rsidRPr="004C78D8">
        <w:t xml:space="preserve">a </w:t>
      </w:r>
      <w:r w:rsidRPr="004C78D8">
        <w:t xml:space="preserve">fall event </w:t>
      </w:r>
      <w:r w:rsidR="0092747E" w:rsidRPr="004C78D8">
        <w:t>(facing risks of different severit</w:t>
      </w:r>
      <w:r w:rsidR="00D12424" w:rsidRPr="004C78D8">
        <w:t>ies</w:t>
      </w:r>
      <w:r w:rsidR="0092747E" w:rsidRPr="004C78D8">
        <w:t xml:space="preserve"> and economic consequences) </w:t>
      </w:r>
      <w:r w:rsidRPr="004C78D8">
        <w:t xml:space="preserve">or </w:t>
      </w:r>
      <w:r w:rsidR="00D12424" w:rsidRPr="004C78D8">
        <w:t xml:space="preserve">an </w:t>
      </w:r>
      <w:r w:rsidRPr="004C78D8">
        <w:t>individual</w:t>
      </w:r>
      <w:r w:rsidR="0092747E" w:rsidRPr="004C78D8">
        <w:t xml:space="preserve"> (facing falls risks and </w:t>
      </w:r>
      <w:r w:rsidR="00D12424" w:rsidRPr="004C78D8">
        <w:t>transitioning</w:t>
      </w:r>
      <w:r w:rsidR="0092747E" w:rsidRPr="004C78D8">
        <w:t xml:space="preserve"> </w:t>
      </w:r>
      <w:r w:rsidR="00A870D4" w:rsidRPr="004C78D8">
        <w:t>to different model states</w:t>
      </w:r>
      <w:r w:rsidR="00D12424" w:rsidRPr="004C78D8">
        <w:t xml:space="preserve"> such as the ‘post-fall’ </w:t>
      </w:r>
      <w:r w:rsidR="00D005E6" w:rsidRPr="004C78D8">
        <w:t>one</w:t>
      </w:r>
      <w:r w:rsidR="00A870D4" w:rsidRPr="004C78D8">
        <w:t>)</w:t>
      </w:r>
      <w:r w:rsidRPr="004C78D8">
        <w:t xml:space="preserve">. The individual-transitioning models, particularly those with cycle length of one year or longer, should ensure that recurrent falls could occur to individuals during each cycle. A qualifying factor is the type of main fall-related event: if the event is </w:t>
      </w:r>
      <w:r w:rsidR="00D005E6" w:rsidRPr="004C78D8">
        <w:t>un</w:t>
      </w:r>
      <w:r w:rsidRPr="004C78D8">
        <w:t xml:space="preserve">likely to recur within a year (e.g., hip fracture), then the need to </w:t>
      </w:r>
      <w:r w:rsidR="00D005E6" w:rsidRPr="004C78D8">
        <w:t xml:space="preserve">model </w:t>
      </w:r>
      <w:r w:rsidRPr="004C78D8">
        <w:t>recurrent falls is reduced.</w:t>
      </w:r>
    </w:p>
    <w:tbl>
      <w:tblPr>
        <w:tblStyle w:val="TableGrid"/>
        <w:tblW w:w="0" w:type="auto"/>
        <w:tblInd w:w="-5" w:type="dxa"/>
        <w:tblLook w:val="04A0" w:firstRow="1" w:lastRow="0" w:firstColumn="1" w:lastColumn="0" w:noHBand="0" w:noVBand="1"/>
      </w:tblPr>
      <w:tblGrid>
        <w:gridCol w:w="2122"/>
        <w:gridCol w:w="1134"/>
        <w:gridCol w:w="992"/>
        <w:gridCol w:w="1843"/>
        <w:gridCol w:w="1701"/>
      </w:tblGrid>
      <w:tr w:rsidR="00035FB9" w:rsidRPr="004C78D8" w14:paraId="6D5872C6" w14:textId="77777777" w:rsidTr="002828C1">
        <w:tc>
          <w:tcPr>
            <w:tcW w:w="7792" w:type="dxa"/>
            <w:gridSpan w:val="5"/>
          </w:tcPr>
          <w:p w14:paraId="272FBC53" w14:textId="171C1668" w:rsidR="00035FB9" w:rsidRPr="004C78D8" w:rsidRDefault="00035FB9" w:rsidP="00FB7C1F">
            <w:pPr>
              <w:jc w:val="left"/>
            </w:pPr>
            <w:r w:rsidRPr="004C78D8">
              <w:rPr>
                <w:b/>
                <w:bCs/>
              </w:rPr>
              <w:t xml:space="preserve">Table </w:t>
            </w:r>
            <w:r w:rsidR="00D005E6" w:rsidRPr="004C78D8">
              <w:rPr>
                <w:b/>
                <w:bCs/>
              </w:rPr>
              <w:t>4</w:t>
            </w:r>
            <w:r w:rsidR="006512E2" w:rsidRPr="004C78D8">
              <w:rPr>
                <w:b/>
                <w:bCs/>
              </w:rPr>
              <w:t>.</w:t>
            </w:r>
            <w:r w:rsidRPr="004C78D8">
              <w:rPr>
                <w:b/>
                <w:bCs/>
              </w:rPr>
              <w:t>4</w:t>
            </w:r>
            <w:r w:rsidRPr="004C78D8">
              <w:t xml:space="preserve"> Modelling methods for characterising recurrent falls.</w:t>
            </w:r>
          </w:p>
        </w:tc>
      </w:tr>
      <w:tr w:rsidR="00035FB9" w:rsidRPr="004C78D8" w14:paraId="35A97CE7" w14:textId="77777777" w:rsidTr="002828C1">
        <w:tc>
          <w:tcPr>
            <w:tcW w:w="2122" w:type="dxa"/>
            <w:vAlign w:val="bottom"/>
          </w:tcPr>
          <w:p w14:paraId="7537FFBA" w14:textId="5D6E3AE3" w:rsidR="00035FB9" w:rsidRPr="004C78D8" w:rsidRDefault="00035FB9" w:rsidP="00FB7C1F">
            <w:pPr>
              <w:jc w:val="left"/>
              <w:rPr>
                <w:b/>
                <w:bCs/>
                <w:sz w:val="20"/>
                <w:szCs w:val="20"/>
              </w:rPr>
            </w:pPr>
            <w:r w:rsidRPr="004C78D8">
              <w:rPr>
                <w:b/>
                <w:bCs/>
                <w:sz w:val="20"/>
                <w:szCs w:val="20"/>
              </w:rPr>
              <w:t>Study label</w:t>
            </w:r>
            <w:r w:rsidR="00E66EFA" w:rsidRPr="004C78D8">
              <w:rPr>
                <w:b/>
                <w:bCs/>
                <w:sz w:val="20"/>
                <w:szCs w:val="20"/>
                <w:vertAlign w:val="superscript"/>
              </w:rPr>
              <w:t>1</w:t>
            </w:r>
          </w:p>
        </w:tc>
        <w:tc>
          <w:tcPr>
            <w:tcW w:w="1134" w:type="dxa"/>
            <w:vAlign w:val="bottom"/>
          </w:tcPr>
          <w:p w14:paraId="005A6EB2" w14:textId="74E075F1" w:rsidR="00035FB9" w:rsidRPr="004C78D8" w:rsidRDefault="00035FB9" w:rsidP="00FB7C1F">
            <w:pPr>
              <w:jc w:val="left"/>
              <w:rPr>
                <w:sz w:val="20"/>
                <w:szCs w:val="20"/>
              </w:rPr>
            </w:pPr>
            <w:r w:rsidRPr="004C78D8">
              <w:rPr>
                <w:sz w:val="20"/>
                <w:szCs w:val="20"/>
              </w:rPr>
              <w:t>Transition entity</w:t>
            </w:r>
            <w:r w:rsidR="00E66EFA" w:rsidRPr="004C78D8">
              <w:rPr>
                <w:sz w:val="20"/>
                <w:szCs w:val="20"/>
                <w:vertAlign w:val="superscript"/>
              </w:rPr>
              <w:t>2</w:t>
            </w:r>
          </w:p>
        </w:tc>
        <w:tc>
          <w:tcPr>
            <w:tcW w:w="992" w:type="dxa"/>
            <w:vAlign w:val="bottom"/>
          </w:tcPr>
          <w:p w14:paraId="28555A56" w14:textId="77777777" w:rsidR="00035FB9" w:rsidRPr="004C78D8" w:rsidRDefault="00035FB9" w:rsidP="00FB7C1F">
            <w:pPr>
              <w:jc w:val="left"/>
              <w:rPr>
                <w:sz w:val="20"/>
                <w:szCs w:val="20"/>
              </w:rPr>
            </w:pPr>
            <w:r w:rsidRPr="004C78D8">
              <w:rPr>
                <w:sz w:val="20"/>
                <w:szCs w:val="20"/>
              </w:rPr>
              <w:t>Cycle length</w:t>
            </w:r>
          </w:p>
        </w:tc>
        <w:tc>
          <w:tcPr>
            <w:tcW w:w="1843" w:type="dxa"/>
            <w:vAlign w:val="bottom"/>
          </w:tcPr>
          <w:p w14:paraId="6D776D82" w14:textId="77777777" w:rsidR="00035FB9" w:rsidRPr="004C78D8" w:rsidRDefault="00035FB9" w:rsidP="00FB7C1F">
            <w:pPr>
              <w:jc w:val="left"/>
              <w:rPr>
                <w:sz w:val="20"/>
                <w:szCs w:val="20"/>
              </w:rPr>
            </w:pPr>
            <w:r w:rsidRPr="004C78D8">
              <w:rPr>
                <w:sz w:val="20"/>
                <w:szCs w:val="20"/>
              </w:rPr>
              <w:t>Main fall-related event</w:t>
            </w:r>
          </w:p>
        </w:tc>
        <w:tc>
          <w:tcPr>
            <w:tcW w:w="1701" w:type="dxa"/>
            <w:vAlign w:val="bottom"/>
          </w:tcPr>
          <w:p w14:paraId="19B0FB68" w14:textId="77777777" w:rsidR="00035FB9" w:rsidRPr="004C78D8" w:rsidRDefault="00035FB9" w:rsidP="00FB7C1F">
            <w:pPr>
              <w:jc w:val="left"/>
              <w:rPr>
                <w:sz w:val="20"/>
                <w:szCs w:val="20"/>
              </w:rPr>
            </w:pPr>
            <w:r w:rsidRPr="004C78D8">
              <w:rPr>
                <w:sz w:val="20"/>
                <w:szCs w:val="20"/>
              </w:rPr>
              <w:t>Possible to model recurrent falls</w:t>
            </w:r>
          </w:p>
        </w:tc>
      </w:tr>
      <w:tr w:rsidR="00035FB9" w:rsidRPr="004C78D8" w14:paraId="4DF857EA" w14:textId="77777777" w:rsidTr="002828C1">
        <w:tc>
          <w:tcPr>
            <w:tcW w:w="7792" w:type="dxa"/>
            <w:gridSpan w:val="5"/>
            <w:tcBorders>
              <w:bottom w:val="single" w:sz="4" w:space="0" w:color="auto"/>
            </w:tcBorders>
          </w:tcPr>
          <w:p w14:paraId="422985A1" w14:textId="77777777" w:rsidR="00035FB9" w:rsidRPr="004C78D8" w:rsidRDefault="00035FB9" w:rsidP="00FB7C1F">
            <w:pPr>
              <w:jc w:val="left"/>
              <w:rPr>
                <w:b/>
                <w:bCs/>
              </w:rPr>
            </w:pPr>
            <w:r w:rsidRPr="004C78D8">
              <w:rPr>
                <w:b/>
                <w:bCs/>
                <w:sz w:val="20"/>
                <w:szCs w:val="20"/>
              </w:rPr>
              <w:t>Binary decision model</w:t>
            </w:r>
          </w:p>
        </w:tc>
      </w:tr>
      <w:tr w:rsidR="00035FB9" w:rsidRPr="004C78D8" w14:paraId="5E88BD8C" w14:textId="77777777" w:rsidTr="002828C1">
        <w:tc>
          <w:tcPr>
            <w:tcW w:w="2122" w:type="dxa"/>
            <w:tcBorders>
              <w:bottom w:val="nil"/>
            </w:tcBorders>
          </w:tcPr>
          <w:p w14:paraId="4B519176" w14:textId="77777777" w:rsidR="00035FB9" w:rsidRPr="004C78D8" w:rsidRDefault="00035FB9" w:rsidP="00FB7C1F">
            <w:pPr>
              <w:jc w:val="left"/>
              <w:rPr>
                <w:sz w:val="18"/>
                <w:szCs w:val="18"/>
              </w:rPr>
            </w:pPr>
            <w:r w:rsidRPr="004C78D8">
              <w:rPr>
                <w:sz w:val="18"/>
                <w:szCs w:val="18"/>
              </w:rPr>
              <w:t>Beard (2006)</w:t>
            </w:r>
          </w:p>
        </w:tc>
        <w:tc>
          <w:tcPr>
            <w:tcW w:w="1134" w:type="dxa"/>
            <w:tcBorders>
              <w:bottom w:val="nil"/>
            </w:tcBorders>
          </w:tcPr>
          <w:p w14:paraId="13463376" w14:textId="77777777" w:rsidR="00035FB9" w:rsidRPr="004C78D8" w:rsidRDefault="00035FB9" w:rsidP="00FB7C1F">
            <w:pPr>
              <w:jc w:val="left"/>
              <w:rPr>
                <w:sz w:val="18"/>
                <w:szCs w:val="18"/>
              </w:rPr>
            </w:pPr>
            <w:r w:rsidRPr="004C78D8">
              <w:rPr>
                <w:sz w:val="18"/>
                <w:szCs w:val="18"/>
              </w:rPr>
              <w:t>Fall event</w:t>
            </w:r>
          </w:p>
        </w:tc>
        <w:tc>
          <w:tcPr>
            <w:tcW w:w="992" w:type="dxa"/>
            <w:tcBorders>
              <w:bottom w:val="nil"/>
            </w:tcBorders>
          </w:tcPr>
          <w:p w14:paraId="0730F64F" w14:textId="57AC446D" w:rsidR="00035FB9" w:rsidRPr="004C78D8" w:rsidRDefault="00035FB9" w:rsidP="00FB7C1F">
            <w:pPr>
              <w:jc w:val="left"/>
              <w:rPr>
                <w:sz w:val="18"/>
                <w:szCs w:val="18"/>
              </w:rPr>
            </w:pPr>
            <w:r w:rsidRPr="004C78D8">
              <w:rPr>
                <w:sz w:val="18"/>
                <w:szCs w:val="18"/>
              </w:rPr>
              <w:t>N/A</w:t>
            </w:r>
            <w:r w:rsidR="008B1D72" w:rsidRPr="004C78D8">
              <w:rPr>
                <w:sz w:val="18"/>
                <w:szCs w:val="18"/>
                <w:vertAlign w:val="superscript"/>
              </w:rPr>
              <w:t>3</w:t>
            </w:r>
          </w:p>
        </w:tc>
        <w:tc>
          <w:tcPr>
            <w:tcW w:w="1843" w:type="dxa"/>
            <w:tcBorders>
              <w:bottom w:val="nil"/>
            </w:tcBorders>
          </w:tcPr>
          <w:p w14:paraId="7C65F044" w14:textId="77777777" w:rsidR="00035FB9" w:rsidRPr="004C78D8" w:rsidRDefault="00035FB9" w:rsidP="00FB7C1F">
            <w:pPr>
              <w:jc w:val="left"/>
              <w:rPr>
                <w:sz w:val="18"/>
                <w:szCs w:val="18"/>
              </w:rPr>
            </w:pPr>
            <w:r w:rsidRPr="004C78D8">
              <w:rPr>
                <w:sz w:val="18"/>
                <w:szCs w:val="18"/>
              </w:rPr>
              <w:t>MA fall</w:t>
            </w:r>
          </w:p>
        </w:tc>
        <w:tc>
          <w:tcPr>
            <w:tcW w:w="1701" w:type="dxa"/>
            <w:tcBorders>
              <w:bottom w:val="nil"/>
            </w:tcBorders>
          </w:tcPr>
          <w:p w14:paraId="6DBF4A0D" w14:textId="77777777" w:rsidR="00035FB9" w:rsidRPr="004C78D8" w:rsidRDefault="00035FB9" w:rsidP="00FB7C1F">
            <w:pPr>
              <w:jc w:val="left"/>
              <w:rPr>
                <w:sz w:val="18"/>
                <w:szCs w:val="18"/>
              </w:rPr>
            </w:pPr>
            <w:r w:rsidRPr="004C78D8">
              <w:rPr>
                <w:sz w:val="18"/>
                <w:szCs w:val="18"/>
              </w:rPr>
              <w:t>Yes</w:t>
            </w:r>
          </w:p>
        </w:tc>
      </w:tr>
      <w:tr w:rsidR="00035FB9" w:rsidRPr="004C78D8" w14:paraId="566D761B" w14:textId="77777777" w:rsidTr="002828C1">
        <w:tc>
          <w:tcPr>
            <w:tcW w:w="2122" w:type="dxa"/>
            <w:tcBorders>
              <w:top w:val="nil"/>
              <w:bottom w:val="nil"/>
            </w:tcBorders>
          </w:tcPr>
          <w:p w14:paraId="3EDC8232" w14:textId="77777777" w:rsidR="00035FB9" w:rsidRPr="004C78D8" w:rsidRDefault="00035FB9" w:rsidP="00FB7C1F">
            <w:pPr>
              <w:jc w:val="left"/>
              <w:rPr>
                <w:sz w:val="18"/>
                <w:szCs w:val="18"/>
              </w:rPr>
            </w:pPr>
            <w:r w:rsidRPr="004C78D8">
              <w:rPr>
                <w:sz w:val="18"/>
                <w:szCs w:val="18"/>
              </w:rPr>
              <w:t>Carande-Kulis (2015)</w:t>
            </w:r>
          </w:p>
        </w:tc>
        <w:tc>
          <w:tcPr>
            <w:tcW w:w="1134" w:type="dxa"/>
            <w:tcBorders>
              <w:top w:val="nil"/>
              <w:bottom w:val="nil"/>
            </w:tcBorders>
          </w:tcPr>
          <w:p w14:paraId="2C7B85F1" w14:textId="77777777" w:rsidR="00035FB9" w:rsidRPr="004C78D8" w:rsidRDefault="00035FB9" w:rsidP="00FB7C1F">
            <w:pPr>
              <w:jc w:val="left"/>
              <w:rPr>
                <w:sz w:val="18"/>
                <w:szCs w:val="18"/>
              </w:rPr>
            </w:pPr>
            <w:r w:rsidRPr="004C78D8">
              <w:rPr>
                <w:sz w:val="18"/>
                <w:szCs w:val="18"/>
              </w:rPr>
              <w:t>Individual</w:t>
            </w:r>
          </w:p>
        </w:tc>
        <w:tc>
          <w:tcPr>
            <w:tcW w:w="992" w:type="dxa"/>
            <w:tcBorders>
              <w:top w:val="nil"/>
              <w:bottom w:val="nil"/>
            </w:tcBorders>
          </w:tcPr>
          <w:p w14:paraId="19CE36DC" w14:textId="77777777" w:rsidR="00035FB9" w:rsidRPr="004C78D8" w:rsidRDefault="00035FB9" w:rsidP="00FB7C1F">
            <w:pPr>
              <w:jc w:val="left"/>
              <w:rPr>
                <w:sz w:val="18"/>
                <w:szCs w:val="18"/>
              </w:rPr>
            </w:pPr>
            <w:r w:rsidRPr="004C78D8">
              <w:rPr>
                <w:sz w:val="18"/>
                <w:szCs w:val="18"/>
              </w:rPr>
              <w:t>N/A</w:t>
            </w:r>
          </w:p>
        </w:tc>
        <w:tc>
          <w:tcPr>
            <w:tcW w:w="1843" w:type="dxa"/>
            <w:tcBorders>
              <w:top w:val="nil"/>
              <w:bottom w:val="nil"/>
            </w:tcBorders>
          </w:tcPr>
          <w:p w14:paraId="171B5444" w14:textId="77777777" w:rsidR="00035FB9" w:rsidRPr="004C78D8" w:rsidRDefault="00035FB9" w:rsidP="00FB7C1F">
            <w:pPr>
              <w:jc w:val="left"/>
              <w:rPr>
                <w:sz w:val="18"/>
                <w:szCs w:val="18"/>
              </w:rPr>
            </w:pPr>
            <w:r w:rsidRPr="004C78D8">
              <w:rPr>
                <w:sz w:val="18"/>
                <w:szCs w:val="18"/>
              </w:rPr>
              <w:t>MA fall</w:t>
            </w:r>
          </w:p>
        </w:tc>
        <w:tc>
          <w:tcPr>
            <w:tcW w:w="1701" w:type="dxa"/>
            <w:tcBorders>
              <w:top w:val="nil"/>
              <w:bottom w:val="nil"/>
            </w:tcBorders>
          </w:tcPr>
          <w:p w14:paraId="0E7C6CFA" w14:textId="77777777" w:rsidR="00035FB9" w:rsidRPr="004C78D8" w:rsidRDefault="00035FB9" w:rsidP="00FB7C1F">
            <w:pPr>
              <w:jc w:val="left"/>
              <w:rPr>
                <w:sz w:val="18"/>
                <w:szCs w:val="18"/>
              </w:rPr>
            </w:pPr>
            <w:r w:rsidRPr="004C78D8">
              <w:rPr>
                <w:sz w:val="18"/>
                <w:szCs w:val="18"/>
              </w:rPr>
              <w:t>No</w:t>
            </w:r>
          </w:p>
        </w:tc>
      </w:tr>
      <w:tr w:rsidR="00035FB9" w:rsidRPr="004C78D8" w14:paraId="27362642" w14:textId="77777777" w:rsidTr="002828C1">
        <w:tc>
          <w:tcPr>
            <w:tcW w:w="2122" w:type="dxa"/>
            <w:tcBorders>
              <w:top w:val="nil"/>
              <w:bottom w:val="nil"/>
            </w:tcBorders>
          </w:tcPr>
          <w:p w14:paraId="4058C7FE" w14:textId="77777777" w:rsidR="00035FB9" w:rsidRPr="004C78D8" w:rsidRDefault="00035FB9" w:rsidP="00FB7C1F">
            <w:pPr>
              <w:jc w:val="left"/>
              <w:rPr>
                <w:sz w:val="18"/>
                <w:szCs w:val="18"/>
              </w:rPr>
            </w:pPr>
            <w:r w:rsidRPr="004C78D8">
              <w:rPr>
                <w:sz w:val="18"/>
                <w:szCs w:val="18"/>
              </w:rPr>
              <w:t>Comans (2009)</w:t>
            </w:r>
          </w:p>
        </w:tc>
        <w:tc>
          <w:tcPr>
            <w:tcW w:w="1134" w:type="dxa"/>
            <w:tcBorders>
              <w:top w:val="nil"/>
              <w:bottom w:val="nil"/>
            </w:tcBorders>
          </w:tcPr>
          <w:p w14:paraId="28FD417A" w14:textId="77777777" w:rsidR="00035FB9" w:rsidRPr="004C78D8" w:rsidRDefault="00035FB9" w:rsidP="00FB7C1F">
            <w:pPr>
              <w:jc w:val="left"/>
              <w:rPr>
                <w:sz w:val="18"/>
                <w:szCs w:val="18"/>
              </w:rPr>
            </w:pPr>
            <w:r w:rsidRPr="004C78D8">
              <w:rPr>
                <w:sz w:val="18"/>
                <w:szCs w:val="18"/>
              </w:rPr>
              <w:t>Individual</w:t>
            </w:r>
          </w:p>
        </w:tc>
        <w:tc>
          <w:tcPr>
            <w:tcW w:w="992" w:type="dxa"/>
            <w:tcBorders>
              <w:top w:val="nil"/>
              <w:bottom w:val="nil"/>
            </w:tcBorders>
          </w:tcPr>
          <w:p w14:paraId="16C5B5DF" w14:textId="77777777" w:rsidR="00035FB9" w:rsidRPr="004C78D8" w:rsidRDefault="00035FB9" w:rsidP="00FB7C1F">
            <w:pPr>
              <w:jc w:val="left"/>
              <w:rPr>
                <w:sz w:val="18"/>
                <w:szCs w:val="18"/>
              </w:rPr>
            </w:pPr>
            <w:r w:rsidRPr="004C78D8">
              <w:rPr>
                <w:sz w:val="18"/>
                <w:szCs w:val="18"/>
              </w:rPr>
              <w:t>N/A</w:t>
            </w:r>
          </w:p>
        </w:tc>
        <w:tc>
          <w:tcPr>
            <w:tcW w:w="1843" w:type="dxa"/>
            <w:tcBorders>
              <w:top w:val="nil"/>
              <w:bottom w:val="nil"/>
            </w:tcBorders>
          </w:tcPr>
          <w:p w14:paraId="39DEE99A" w14:textId="77777777" w:rsidR="00035FB9" w:rsidRPr="004C78D8" w:rsidRDefault="00035FB9" w:rsidP="00FB7C1F">
            <w:pPr>
              <w:jc w:val="left"/>
              <w:rPr>
                <w:sz w:val="18"/>
                <w:szCs w:val="18"/>
              </w:rPr>
            </w:pPr>
            <w:r w:rsidRPr="004C78D8">
              <w:rPr>
                <w:sz w:val="18"/>
                <w:szCs w:val="18"/>
              </w:rPr>
              <w:t>Any fall</w:t>
            </w:r>
          </w:p>
        </w:tc>
        <w:tc>
          <w:tcPr>
            <w:tcW w:w="1701" w:type="dxa"/>
            <w:tcBorders>
              <w:top w:val="nil"/>
              <w:bottom w:val="nil"/>
            </w:tcBorders>
          </w:tcPr>
          <w:p w14:paraId="37B49EA0" w14:textId="77777777" w:rsidR="00035FB9" w:rsidRPr="004C78D8" w:rsidRDefault="00035FB9" w:rsidP="00FB7C1F">
            <w:pPr>
              <w:jc w:val="left"/>
              <w:rPr>
                <w:sz w:val="18"/>
                <w:szCs w:val="18"/>
              </w:rPr>
            </w:pPr>
            <w:r w:rsidRPr="004C78D8">
              <w:rPr>
                <w:sz w:val="18"/>
                <w:szCs w:val="18"/>
              </w:rPr>
              <w:t>Yes</w:t>
            </w:r>
          </w:p>
        </w:tc>
      </w:tr>
      <w:tr w:rsidR="00035FB9" w:rsidRPr="004C78D8" w14:paraId="7C824281" w14:textId="77777777" w:rsidTr="002828C1">
        <w:tc>
          <w:tcPr>
            <w:tcW w:w="2122" w:type="dxa"/>
            <w:tcBorders>
              <w:top w:val="nil"/>
              <w:bottom w:val="nil"/>
            </w:tcBorders>
          </w:tcPr>
          <w:p w14:paraId="63668C6A" w14:textId="77777777" w:rsidR="00035FB9" w:rsidRPr="004C78D8" w:rsidRDefault="00035FB9" w:rsidP="00FB7C1F">
            <w:pPr>
              <w:jc w:val="left"/>
              <w:rPr>
                <w:sz w:val="18"/>
                <w:szCs w:val="18"/>
              </w:rPr>
            </w:pPr>
            <w:r w:rsidRPr="004C78D8">
              <w:rPr>
                <w:sz w:val="18"/>
                <w:szCs w:val="18"/>
              </w:rPr>
              <w:t>Frick (2010)</w:t>
            </w:r>
          </w:p>
        </w:tc>
        <w:tc>
          <w:tcPr>
            <w:tcW w:w="1134" w:type="dxa"/>
            <w:tcBorders>
              <w:top w:val="nil"/>
              <w:bottom w:val="nil"/>
            </w:tcBorders>
          </w:tcPr>
          <w:p w14:paraId="7025A18F" w14:textId="77777777" w:rsidR="00035FB9" w:rsidRPr="004C78D8" w:rsidRDefault="00035FB9" w:rsidP="00FB7C1F">
            <w:pPr>
              <w:jc w:val="left"/>
              <w:rPr>
                <w:sz w:val="18"/>
                <w:szCs w:val="18"/>
              </w:rPr>
            </w:pPr>
            <w:r w:rsidRPr="004C78D8">
              <w:rPr>
                <w:sz w:val="18"/>
                <w:szCs w:val="18"/>
              </w:rPr>
              <w:t>Individual</w:t>
            </w:r>
          </w:p>
        </w:tc>
        <w:tc>
          <w:tcPr>
            <w:tcW w:w="992" w:type="dxa"/>
            <w:tcBorders>
              <w:top w:val="nil"/>
              <w:bottom w:val="nil"/>
            </w:tcBorders>
          </w:tcPr>
          <w:p w14:paraId="6EB3F018" w14:textId="77777777" w:rsidR="00035FB9" w:rsidRPr="004C78D8" w:rsidRDefault="00035FB9" w:rsidP="00FB7C1F">
            <w:pPr>
              <w:jc w:val="left"/>
              <w:rPr>
                <w:sz w:val="18"/>
                <w:szCs w:val="18"/>
              </w:rPr>
            </w:pPr>
            <w:r w:rsidRPr="004C78D8">
              <w:rPr>
                <w:sz w:val="18"/>
                <w:szCs w:val="18"/>
              </w:rPr>
              <w:t>N/A</w:t>
            </w:r>
          </w:p>
        </w:tc>
        <w:tc>
          <w:tcPr>
            <w:tcW w:w="1843" w:type="dxa"/>
            <w:tcBorders>
              <w:top w:val="nil"/>
              <w:bottom w:val="nil"/>
            </w:tcBorders>
          </w:tcPr>
          <w:p w14:paraId="080EC062" w14:textId="77777777" w:rsidR="00035FB9" w:rsidRPr="004C78D8" w:rsidRDefault="00035FB9" w:rsidP="00FB7C1F">
            <w:pPr>
              <w:jc w:val="left"/>
              <w:rPr>
                <w:sz w:val="18"/>
                <w:szCs w:val="18"/>
              </w:rPr>
            </w:pPr>
            <w:r w:rsidRPr="004C78D8">
              <w:rPr>
                <w:sz w:val="18"/>
                <w:szCs w:val="18"/>
              </w:rPr>
              <w:t>Hip fracture</w:t>
            </w:r>
          </w:p>
        </w:tc>
        <w:tc>
          <w:tcPr>
            <w:tcW w:w="1701" w:type="dxa"/>
            <w:tcBorders>
              <w:top w:val="nil"/>
              <w:bottom w:val="nil"/>
            </w:tcBorders>
          </w:tcPr>
          <w:p w14:paraId="38F7263A" w14:textId="77777777" w:rsidR="00035FB9" w:rsidRPr="004C78D8" w:rsidRDefault="00035FB9" w:rsidP="00FB7C1F">
            <w:pPr>
              <w:jc w:val="left"/>
              <w:rPr>
                <w:sz w:val="18"/>
                <w:szCs w:val="18"/>
              </w:rPr>
            </w:pPr>
            <w:r w:rsidRPr="004C78D8">
              <w:rPr>
                <w:sz w:val="18"/>
                <w:szCs w:val="18"/>
              </w:rPr>
              <w:t>No</w:t>
            </w:r>
          </w:p>
        </w:tc>
      </w:tr>
      <w:tr w:rsidR="00035FB9" w:rsidRPr="004C78D8" w14:paraId="5F3F500E" w14:textId="77777777" w:rsidTr="002828C1">
        <w:tc>
          <w:tcPr>
            <w:tcW w:w="2122" w:type="dxa"/>
            <w:tcBorders>
              <w:top w:val="nil"/>
              <w:bottom w:val="nil"/>
            </w:tcBorders>
          </w:tcPr>
          <w:p w14:paraId="2C3E3AFD" w14:textId="77777777" w:rsidR="00035FB9" w:rsidRPr="004C78D8" w:rsidRDefault="00035FB9" w:rsidP="00FB7C1F">
            <w:pPr>
              <w:jc w:val="left"/>
              <w:rPr>
                <w:sz w:val="18"/>
                <w:szCs w:val="18"/>
              </w:rPr>
            </w:pPr>
            <w:r w:rsidRPr="004C78D8">
              <w:rPr>
                <w:sz w:val="18"/>
                <w:szCs w:val="18"/>
              </w:rPr>
              <w:t>Hektoen (2009)</w:t>
            </w:r>
          </w:p>
        </w:tc>
        <w:tc>
          <w:tcPr>
            <w:tcW w:w="1134" w:type="dxa"/>
            <w:tcBorders>
              <w:top w:val="nil"/>
              <w:bottom w:val="nil"/>
            </w:tcBorders>
          </w:tcPr>
          <w:p w14:paraId="6A69B394" w14:textId="77777777" w:rsidR="00035FB9" w:rsidRPr="004C78D8" w:rsidRDefault="00035FB9" w:rsidP="00FB7C1F">
            <w:pPr>
              <w:jc w:val="left"/>
              <w:rPr>
                <w:sz w:val="18"/>
                <w:szCs w:val="18"/>
              </w:rPr>
            </w:pPr>
            <w:r w:rsidRPr="004C78D8">
              <w:rPr>
                <w:sz w:val="18"/>
                <w:szCs w:val="18"/>
              </w:rPr>
              <w:t>Fall event</w:t>
            </w:r>
          </w:p>
        </w:tc>
        <w:tc>
          <w:tcPr>
            <w:tcW w:w="992" w:type="dxa"/>
            <w:tcBorders>
              <w:top w:val="nil"/>
              <w:bottom w:val="nil"/>
            </w:tcBorders>
          </w:tcPr>
          <w:p w14:paraId="741B3364" w14:textId="77777777" w:rsidR="00035FB9" w:rsidRPr="004C78D8" w:rsidRDefault="00035FB9" w:rsidP="00FB7C1F">
            <w:pPr>
              <w:jc w:val="left"/>
              <w:rPr>
                <w:sz w:val="18"/>
                <w:szCs w:val="18"/>
              </w:rPr>
            </w:pPr>
            <w:r w:rsidRPr="004C78D8">
              <w:rPr>
                <w:sz w:val="18"/>
                <w:szCs w:val="18"/>
              </w:rPr>
              <w:t>N/A</w:t>
            </w:r>
          </w:p>
        </w:tc>
        <w:tc>
          <w:tcPr>
            <w:tcW w:w="1843" w:type="dxa"/>
            <w:tcBorders>
              <w:top w:val="nil"/>
              <w:bottom w:val="nil"/>
            </w:tcBorders>
          </w:tcPr>
          <w:p w14:paraId="528F827B" w14:textId="77777777" w:rsidR="00035FB9" w:rsidRPr="004C78D8" w:rsidRDefault="00035FB9" w:rsidP="00FB7C1F">
            <w:pPr>
              <w:jc w:val="left"/>
              <w:rPr>
                <w:sz w:val="18"/>
                <w:szCs w:val="18"/>
              </w:rPr>
            </w:pPr>
            <w:r w:rsidRPr="004C78D8">
              <w:rPr>
                <w:sz w:val="18"/>
                <w:szCs w:val="18"/>
              </w:rPr>
              <w:t>Any fall</w:t>
            </w:r>
          </w:p>
        </w:tc>
        <w:tc>
          <w:tcPr>
            <w:tcW w:w="1701" w:type="dxa"/>
            <w:tcBorders>
              <w:top w:val="nil"/>
              <w:bottom w:val="nil"/>
            </w:tcBorders>
          </w:tcPr>
          <w:p w14:paraId="668D8BF6" w14:textId="77777777" w:rsidR="00035FB9" w:rsidRPr="004C78D8" w:rsidRDefault="00035FB9" w:rsidP="00FB7C1F">
            <w:pPr>
              <w:jc w:val="left"/>
              <w:rPr>
                <w:sz w:val="18"/>
                <w:szCs w:val="18"/>
              </w:rPr>
            </w:pPr>
            <w:r w:rsidRPr="004C78D8">
              <w:rPr>
                <w:sz w:val="18"/>
                <w:szCs w:val="18"/>
              </w:rPr>
              <w:t>Yes</w:t>
            </w:r>
          </w:p>
        </w:tc>
      </w:tr>
      <w:tr w:rsidR="00035FB9" w:rsidRPr="004C78D8" w14:paraId="198A58B6" w14:textId="77777777" w:rsidTr="002828C1">
        <w:tc>
          <w:tcPr>
            <w:tcW w:w="2122" w:type="dxa"/>
            <w:tcBorders>
              <w:top w:val="nil"/>
              <w:bottom w:val="nil"/>
            </w:tcBorders>
          </w:tcPr>
          <w:p w14:paraId="1AEF1450" w14:textId="77777777" w:rsidR="00035FB9" w:rsidRPr="004C78D8" w:rsidRDefault="00035FB9" w:rsidP="00FB7C1F">
            <w:pPr>
              <w:jc w:val="left"/>
              <w:rPr>
                <w:sz w:val="18"/>
                <w:szCs w:val="18"/>
              </w:rPr>
            </w:pPr>
            <w:r w:rsidRPr="004C78D8">
              <w:rPr>
                <w:sz w:val="18"/>
                <w:szCs w:val="18"/>
              </w:rPr>
              <w:t>Howland (2015)</w:t>
            </w:r>
          </w:p>
        </w:tc>
        <w:tc>
          <w:tcPr>
            <w:tcW w:w="1134" w:type="dxa"/>
            <w:tcBorders>
              <w:top w:val="nil"/>
              <w:bottom w:val="nil"/>
            </w:tcBorders>
          </w:tcPr>
          <w:p w14:paraId="60EAF1C4" w14:textId="77777777" w:rsidR="00035FB9" w:rsidRPr="004C78D8" w:rsidRDefault="00035FB9" w:rsidP="00FB7C1F">
            <w:pPr>
              <w:jc w:val="left"/>
              <w:rPr>
                <w:sz w:val="18"/>
                <w:szCs w:val="18"/>
              </w:rPr>
            </w:pPr>
            <w:r w:rsidRPr="004C78D8">
              <w:rPr>
                <w:sz w:val="18"/>
                <w:szCs w:val="18"/>
              </w:rPr>
              <w:t>Individual</w:t>
            </w:r>
          </w:p>
        </w:tc>
        <w:tc>
          <w:tcPr>
            <w:tcW w:w="992" w:type="dxa"/>
            <w:tcBorders>
              <w:top w:val="nil"/>
              <w:bottom w:val="nil"/>
            </w:tcBorders>
          </w:tcPr>
          <w:p w14:paraId="3049C897" w14:textId="77777777" w:rsidR="00035FB9" w:rsidRPr="004C78D8" w:rsidRDefault="00035FB9" w:rsidP="00FB7C1F">
            <w:pPr>
              <w:jc w:val="left"/>
              <w:rPr>
                <w:sz w:val="18"/>
                <w:szCs w:val="18"/>
              </w:rPr>
            </w:pPr>
            <w:r w:rsidRPr="004C78D8">
              <w:rPr>
                <w:sz w:val="18"/>
                <w:szCs w:val="18"/>
              </w:rPr>
              <w:t>N/A</w:t>
            </w:r>
          </w:p>
        </w:tc>
        <w:tc>
          <w:tcPr>
            <w:tcW w:w="1843" w:type="dxa"/>
            <w:tcBorders>
              <w:top w:val="nil"/>
              <w:bottom w:val="nil"/>
            </w:tcBorders>
          </w:tcPr>
          <w:p w14:paraId="19A12146" w14:textId="77777777" w:rsidR="00035FB9" w:rsidRPr="004C78D8" w:rsidRDefault="00035FB9" w:rsidP="00FB7C1F">
            <w:pPr>
              <w:jc w:val="left"/>
              <w:rPr>
                <w:sz w:val="18"/>
                <w:szCs w:val="18"/>
              </w:rPr>
            </w:pPr>
            <w:r w:rsidRPr="004C78D8">
              <w:rPr>
                <w:sz w:val="18"/>
                <w:szCs w:val="18"/>
              </w:rPr>
              <w:t>MA fall</w:t>
            </w:r>
          </w:p>
        </w:tc>
        <w:tc>
          <w:tcPr>
            <w:tcW w:w="1701" w:type="dxa"/>
            <w:tcBorders>
              <w:top w:val="nil"/>
              <w:bottom w:val="nil"/>
            </w:tcBorders>
          </w:tcPr>
          <w:p w14:paraId="55863ACB" w14:textId="77777777" w:rsidR="00035FB9" w:rsidRPr="004C78D8" w:rsidRDefault="00035FB9" w:rsidP="00FB7C1F">
            <w:pPr>
              <w:jc w:val="left"/>
              <w:rPr>
                <w:sz w:val="18"/>
                <w:szCs w:val="18"/>
              </w:rPr>
            </w:pPr>
            <w:r w:rsidRPr="004C78D8">
              <w:rPr>
                <w:sz w:val="18"/>
                <w:szCs w:val="18"/>
              </w:rPr>
              <w:t>Yes: targeted recurrent fall</w:t>
            </w:r>
          </w:p>
        </w:tc>
      </w:tr>
      <w:tr w:rsidR="00035FB9" w:rsidRPr="004C78D8" w14:paraId="50A4B836" w14:textId="77777777" w:rsidTr="002828C1">
        <w:tc>
          <w:tcPr>
            <w:tcW w:w="2122" w:type="dxa"/>
            <w:tcBorders>
              <w:top w:val="nil"/>
              <w:bottom w:val="nil"/>
            </w:tcBorders>
          </w:tcPr>
          <w:p w14:paraId="6B7A0539" w14:textId="77777777" w:rsidR="00035FB9" w:rsidRPr="004C78D8" w:rsidRDefault="00035FB9" w:rsidP="00FB7C1F">
            <w:pPr>
              <w:jc w:val="left"/>
              <w:rPr>
                <w:sz w:val="18"/>
                <w:szCs w:val="18"/>
              </w:rPr>
            </w:pPr>
            <w:r w:rsidRPr="004C78D8">
              <w:rPr>
                <w:sz w:val="18"/>
                <w:szCs w:val="18"/>
              </w:rPr>
              <w:t>Ippoliti (2018)</w:t>
            </w:r>
          </w:p>
        </w:tc>
        <w:tc>
          <w:tcPr>
            <w:tcW w:w="1134" w:type="dxa"/>
            <w:tcBorders>
              <w:top w:val="nil"/>
              <w:bottom w:val="nil"/>
            </w:tcBorders>
          </w:tcPr>
          <w:p w14:paraId="43274402" w14:textId="77777777" w:rsidR="00035FB9" w:rsidRPr="004C78D8" w:rsidRDefault="00035FB9" w:rsidP="00FB7C1F">
            <w:pPr>
              <w:jc w:val="left"/>
              <w:rPr>
                <w:sz w:val="18"/>
                <w:szCs w:val="18"/>
              </w:rPr>
            </w:pPr>
            <w:r w:rsidRPr="004C78D8">
              <w:rPr>
                <w:sz w:val="18"/>
                <w:szCs w:val="18"/>
              </w:rPr>
              <w:t>Fall event</w:t>
            </w:r>
          </w:p>
        </w:tc>
        <w:tc>
          <w:tcPr>
            <w:tcW w:w="992" w:type="dxa"/>
            <w:tcBorders>
              <w:top w:val="nil"/>
              <w:bottom w:val="nil"/>
            </w:tcBorders>
          </w:tcPr>
          <w:p w14:paraId="5468D492" w14:textId="77777777" w:rsidR="00035FB9" w:rsidRPr="004C78D8" w:rsidRDefault="00035FB9" w:rsidP="00FB7C1F">
            <w:pPr>
              <w:jc w:val="left"/>
              <w:rPr>
                <w:sz w:val="18"/>
                <w:szCs w:val="18"/>
              </w:rPr>
            </w:pPr>
            <w:r w:rsidRPr="004C78D8">
              <w:rPr>
                <w:sz w:val="18"/>
                <w:szCs w:val="18"/>
              </w:rPr>
              <w:t>N/A</w:t>
            </w:r>
          </w:p>
        </w:tc>
        <w:tc>
          <w:tcPr>
            <w:tcW w:w="1843" w:type="dxa"/>
            <w:tcBorders>
              <w:top w:val="nil"/>
              <w:bottom w:val="nil"/>
            </w:tcBorders>
          </w:tcPr>
          <w:p w14:paraId="54AFC8B1" w14:textId="77777777" w:rsidR="00035FB9" w:rsidRPr="004C78D8" w:rsidRDefault="00035FB9" w:rsidP="00FB7C1F">
            <w:pPr>
              <w:jc w:val="left"/>
              <w:rPr>
                <w:sz w:val="18"/>
                <w:szCs w:val="18"/>
              </w:rPr>
            </w:pPr>
            <w:r w:rsidRPr="004C78D8">
              <w:rPr>
                <w:sz w:val="18"/>
                <w:szCs w:val="18"/>
              </w:rPr>
              <w:t>Hip fracture</w:t>
            </w:r>
          </w:p>
        </w:tc>
        <w:tc>
          <w:tcPr>
            <w:tcW w:w="1701" w:type="dxa"/>
            <w:tcBorders>
              <w:top w:val="nil"/>
              <w:bottom w:val="nil"/>
            </w:tcBorders>
          </w:tcPr>
          <w:p w14:paraId="76B31E77" w14:textId="77777777" w:rsidR="00035FB9" w:rsidRPr="004C78D8" w:rsidRDefault="00035FB9" w:rsidP="00FB7C1F">
            <w:pPr>
              <w:jc w:val="left"/>
              <w:rPr>
                <w:sz w:val="18"/>
                <w:szCs w:val="18"/>
              </w:rPr>
            </w:pPr>
            <w:r w:rsidRPr="004C78D8">
              <w:rPr>
                <w:sz w:val="18"/>
                <w:szCs w:val="18"/>
              </w:rPr>
              <w:t>Yes</w:t>
            </w:r>
          </w:p>
        </w:tc>
      </w:tr>
      <w:tr w:rsidR="00035FB9" w:rsidRPr="004C78D8" w14:paraId="0C623F72" w14:textId="77777777" w:rsidTr="002828C1">
        <w:tc>
          <w:tcPr>
            <w:tcW w:w="2122" w:type="dxa"/>
            <w:tcBorders>
              <w:top w:val="nil"/>
              <w:bottom w:val="nil"/>
            </w:tcBorders>
          </w:tcPr>
          <w:p w14:paraId="5A3BC88E" w14:textId="77777777" w:rsidR="00035FB9" w:rsidRPr="004C78D8" w:rsidRDefault="00035FB9" w:rsidP="00FB7C1F">
            <w:pPr>
              <w:jc w:val="left"/>
              <w:rPr>
                <w:sz w:val="18"/>
                <w:szCs w:val="18"/>
              </w:rPr>
            </w:pPr>
            <w:r w:rsidRPr="004C78D8">
              <w:rPr>
                <w:sz w:val="18"/>
                <w:szCs w:val="18"/>
              </w:rPr>
              <w:lastRenderedPageBreak/>
              <w:t>Ling (2008)</w:t>
            </w:r>
          </w:p>
        </w:tc>
        <w:tc>
          <w:tcPr>
            <w:tcW w:w="1134" w:type="dxa"/>
            <w:tcBorders>
              <w:top w:val="nil"/>
              <w:bottom w:val="nil"/>
            </w:tcBorders>
          </w:tcPr>
          <w:p w14:paraId="4289E0BA" w14:textId="77777777" w:rsidR="00035FB9" w:rsidRPr="004C78D8" w:rsidRDefault="00035FB9" w:rsidP="00FB7C1F">
            <w:pPr>
              <w:jc w:val="left"/>
              <w:rPr>
                <w:sz w:val="18"/>
                <w:szCs w:val="18"/>
              </w:rPr>
            </w:pPr>
            <w:r w:rsidRPr="004C78D8">
              <w:rPr>
                <w:sz w:val="18"/>
                <w:szCs w:val="18"/>
              </w:rPr>
              <w:t>Individual</w:t>
            </w:r>
          </w:p>
        </w:tc>
        <w:tc>
          <w:tcPr>
            <w:tcW w:w="992" w:type="dxa"/>
            <w:tcBorders>
              <w:top w:val="nil"/>
              <w:bottom w:val="nil"/>
            </w:tcBorders>
          </w:tcPr>
          <w:p w14:paraId="3E7F240D" w14:textId="77777777" w:rsidR="00035FB9" w:rsidRPr="004C78D8" w:rsidRDefault="00035FB9" w:rsidP="00FB7C1F">
            <w:pPr>
              <w:jc w:val="left"/>
              <w:rPr>
                <w:sz w:val="18"/>
                <w:szCs w:val="18"/>
              </w:rPr>
            </w:pPr>
            <w:r w:rsidRPr="004C78D8">
              <w:rPr>
                <w:sz w:val="18"/>
                <w:szCs w:val="18"/>
              </w:rPr>
              <w:t>N/A</w:t>
            </w:r>
          </w:p>
        </w:tc>
        <w:tc>
          <w:tcPr>
            <w:tcW w:w="1843" w:type="dxa"/>
            <w:tcBorders>
              <w:top w:val="nil"/>
              <w:bottom w:val="nil"/>
            </w:tcBorders>
          </w:tcPr>
          <w:p w14:paraId="2E96D074" w14:textId="77777777" w:rsidR="00035FB9" w:rsidRPr="004C78D8" w:rsidRDefault="00035FB9" w:rsidP="00FB7C1F">
            <w:pPr>
              <w:jc w:val="left"/>
              <w:rPr>
                <w:sz w:val="18"/>
                <w:szCs w:val="18"/>
              </w:rPr>
            </w:pPr>
            <w:r w:rsidRPr="004C78D8">
              <w:rPr>
                <w:sz w:val="18"/>
                <w:szCs w:val="18"/>
              </w:rPr>
              <w:t>Any fall</w:t>
            </w:r>
          </w:p>
        </w:tc>
        <w:tc>
          <w:tcPr>
            <w:tcW w:w="1701" w:type="dxa"/>
            <w:tcBorders>
              <w:top w:val="nil"/>
              <w:bottom w:val="nil"/>
            </w:tcBorders>
          </w:tcPr>
          <w:p w14:paraId="6AC7C1CA" w14:textId="77777777" w:rsidR="00035FB9" w:rsidRPr="004C78D8" w:rsidRDefault="00035FB9" w:rsidP="00FB7C1F">
            <w:pPr>
              <w:jc w:val="left"/>
              <w:rPr>
                <w:sz w:val="18"/>
                <w:szCs w:val="18"/>
              </w:rPr>
            </w:pPr>
            <w:r w:rsidRPr="004C78D8">
              <w:rPr>
                <w:sz w:val="18"/>
                <w:szCs w:val="18"/>
              </w:rPr>
              <w:t>No</w:t>
            </w:r>
          </w:p>
        </w:tc>
      </w:tr>
      <w:tr w:rsidR="00035FB9" w:rsidRPr="004C78D8" w14:paraId="253F0645" w14:textId="77777777" w:rsidTr="002828C1">
        <w:tc>
          <w:tcPr>
            <w:tcW w:w="2122" w:type="dxa"/>
            <w:tcBorders>
              <w:top w:val="nil"/>
              <w:bottom w:val="nil"/>
            </w:tcBorders>
          </w:tcPr>
          <w:p w14:paraId="3028C2F8" w14:textId="77777777" w:rsidR="00035FB9" w:rsidRPr="004C78D8" w:rsidRDefault="00035FB9" w:rsidP="00FB7C1F">
            <w:pPr>
              <w:jc w:val="left"/>
              <w:rPr>
                <w:sz w:val="18"/>
                <w:szCs w:val="18"/>
              </w:rPr>
            </w:pPr>
            <w:r w:rsidRPr="004C78D8">
              <w:rPr>
                <w:sz w:val="18"/>
                <w:szCs w:val="18"/>
              </w:rPr>
              <w:t>Miller (2011)</w:t>
            </w:r>
          </w:p>
        </w:tc>
        <w:tc>
          <w:tcPr>
            <w:tcW w:w="1134" w:type="dxa"/>
            <w:tcBorders>
              <w:top w:val="nil"/>
              <w:bottom w:val="nil"/>
            </w:tcBorders>
          </w:tcPr>
          <w:p w14:paraId="26CC73AB" w14:textId="77777777" w:rsidR="00035FB9" w:rsidRPr="004C78D8" w:rsidRDefault="00035FB9" w:rsidP="00FB7C1F">
            <w:pPr>
              <w:jc w:val="left"/>
              <w:rPr>
                <w:sz w:val="18"/>
                <w:szCs w:val="18"/>
              </w:rPr>
            </w:pPr>
            <w:r w:rsidRPr="004C78D8">
              <w:rPr>
                <w:sz w:val="18"/>
                <w:szCs w:val="18"/>
              </w:rPr>
              <w:t>Individual</w:t>
            </w:r>
          </w:p>
        </w:tc>
        <w:tc>
          <w:tcPr>
            <w:tcW w:w="992" w:type="dxa"/>
            <w:tcBorders>
              <w:top w:val="nil"/>
              <w:bottom w:val="nil"/>
            </w:tcBorders>
          </w:tcPr>
          <w:p w14:paraId="0C7E3D38" w14:textId="77777777" w:rsidR="00035FB9" w:rsidRPr="004C78D8" w:rsidRDefault="00035FB9" w:rsidP="00FB7C1F">
            <w:pPr>
              <w:jc w:val="left"/>
              <w:rPr>
                <w:sz w:val="18"/>
                <w:szCs w:val="18"/>
              </w:rPr>
            </w:pPr>
            <w:r w:rsidRPr="004C78D8">
              <w:rPr>
                <w:sz w:val="18"/>
                <w:szCs w:val="18"/>
              </w:rPr>
              <w:t>N/A</w:t>
            </w:r>
          </w:p>
        </w:tc>
        <w:tc>
          <w:tcPr>
            <w:tcW w:w="1843" w:type="dxa"/>
            <w:tcBorders>
              <w:top w:val="nil"/>
              <w:bottom w:val="nil"/>
            </w:tcBorders>
          </w:tcPr>
          <w:p w14:paraId="61FF3581" w14:textId="77777777" w:rsidR="00035FB9" w:rsidRPr="004C78D8" w:rsidRDefault="00035FB9" w:rsidP="00FB7C1F">
            <w:pPr>
              <w:jc w:val="left"/>
              <w:rPr>
                <w:sz w:val="18"/>
                <w:szCs w:val="18"/>
              </w:rPr>
            </w:pPr>
            <w:r w:rsidRPr="004C78D8">
              <w:rPr>
                <w:sz w:val="18"/>
                <w:szCs w:val="18"/>
              </w:rPr>
              <w:t>MA fall</w:t>
            </w:r>
          </w:p>
        </w:tc>
        <w:tc>
          <w:tcPr>
            <w:tcW w:w="1701" w:type="dxa"/>
            <w:tcBorders>
              <w:top w:val="nil"/>
              <w:bottom w:val="nil"/>
            </w:tcBorders>
          </w:tcPr>
          <w:p w14:paraId="16B47D7E" w14:textId="77777777" w:rsidR="00035FB9" w:rsidRPr="004C78D8" w:rsidRDefault="00035FB9" w:rsidP="00FB7C1F">
            <w:pPr>
              <w:jc w:val="left"/>
              <w:rPr>
                <w:sz w:val="18"/>
                <w:szCs w:val="18"/>
              </w:rPr>
            </w:pPr>
            <w:r w:rsidRPr="004C78D8">
              <w:rPr>
                <w:sz w:val="18"/>
                <w:szCs w:val="18"/>
              </w:rPr>
              <w:t>No</w:t>
            </w:r>
          </w:p>
        </w:tc>
      </w:tr>
      <w:tr w:rsidR="00035FB9" w:rsidRPr="004C78D8" w14:paraId="067A2D07" w14:textId="77777777" w:rsidTr="002828C1">
        <w:tc>
          <w:tcPr>
            <w:tcW w:w="2122" w:type="dxa"/>
            <w:tcBorders>
              <w:top w:val="nil"/>
              <w:bottom w:val="nil"/>
            </w:tcBorders>
          </w:tcPr>
          <w:p w14:paraId="7DE04115" w14:textId="77777777" w:rsidR="00035FB9" w:rsidRPr="004C78D8" w:rsidRDefault="00035FB9" w:rsidP="00FB7C1F">
            <w:pPr>
              <w:jc w:val="left"/>
              <w:rPr>
                <w:sz w:val="18"/>
                <w:szCs w:val="18"/>
              </w:rPr>
            </w:pPr>
            <w:r w:rsidRPr="004C78D8">
              <w:rPr>
                <w:sz w:val="18"/>
                <w:szCs w:val="18"/>
              </w:rPr>
              <w:t>Poole (2014)</w:t>
            </w:r>
          </w:p>
        </w:tc>
        <w:tc>
          <w:tcPr>
            <w:tcW w:w="1134" w:type="dxa"/>
            <w:tcBorders>
              <w:top w:val="nil"/>
              <w:bottom w:val="nil"/>
            </w:tcBorders>
          </w:tcPr>
          <w:p w14:paraId="1F2DAF6D" w14:textId="77777777" w:rsidR="00035FB9" w:rsidRPr="004C78D8" w:rsidRDefault="00035FB9" w:rsidP="00FB7C1F">
            <w:pPr>
              <w:jc w:val="left"/>
              <w:rPr>
                <w:sz w:val="18"/>
                <w:szCs w:val="18"/>
              </w:rPr>
            </w:pPr>
            <w:r w:rsidRPr="004C78D8">
              <w:rPr>
                <w:sz w:val="18"/>
                <w:szCs w:val="18"/>
              </w:rPr>
              <w:t>Fall event</w:t>
            </w:r>
          </w:p>
        </w:tc>
        <w:tc>
          <w:tcPr>
            <w:tcW w:w="992" w:type="dxa"/>
            <w:tcBorders>
              <w:top w:val="nil"/>
              <w:bottom w:val="nil"/>
            </w:tcBorders>
          </w:tcPr>
          <w:p w14:paraId="36AFB88C" w14:textId="77777777" w:rsidR="00035FB9" w:rsidRPr="004C78D8" w:rsidRDefault="00035FB9" w:rsidP="00FB7C1F">
            <w:pPr>
              <w:jc w:val="left"/>
              <w:rPr>
                <w:sz w:val="18"/>
                <w:szCs w:val="18"/>
              </w:rPr>
            </w:pPr>
            <w:r w:rsidRPr="004C78D8">
              <w:rPr>
                <w:sz w:val="18"/>
                <w:szCs w:val="18"/>
              </w:rPr>
              <w:t>N/A</w:t>
            </w:r>
          </w:p>
        </w:tc>
        <w:tc>
          <w:tcPr>
            <w:tcW w:w="1843" w:type="dxa"/>
            <w:tcBorders>
              <w:top w:val="nil"/>
              <w:bottom w:val="nil"/>
            </w:tcBorders>
          </w:tcPr>
          <w:p w14:paraId="0E47A56F" w14:textId="77777777" w:rsidR="00035FB9" w:rsidRPr="004C78D8" w:rsidRDefault="00035FB9" w:rsidP="00FB7C1F">
            <w:pPr>
              <w:jc w:val="left"/>
              <w:rPr>
                <w:sz w:val="18"/>
                <w:szCs w:val="18"/>
              </w:rPr>
            </w:pPr>
            <w:r w:rsidRPr="004C78D8">
              <w:rPr>
                <w:sz w:val="18"/>
                <w:szCs w:val="18"/>
              </w:rPr>
              <w:t>Hip fracture</w:t>
            </w:r>
          </w:p>
        </w:tc>
        <w:tc>
          <w:tcPr>
            <w:tcW w:w="1701" w:type="dxa"/>
            <w:tcBorders>
              <w:top w:val="nil"/>
              <w:bottom w:val="nil"/>
            </w:tcBorders>
          </w:tcPr>
          <w:p w14:paraId="6DA24D3E" w14:textId="77777777" w:rsidR="00035FB9" w:rsidRPr="004C78D8" w:rsidRDefault="00035FB9" w:rsidP="00FB7C1F">
            <w:pPr>
              <w:jc w:val="left"/>
              <w:rPr>
                <w:sz w:val="18"/>
                <w:szCs w:val="18"/>
              </w:rPr>
            </w:pPr>
            <w:r w:rsidRPr="004C78D8">
              <w:rPr>
                <w:sz w:val="18"/>
                <w:szCs w:val="18"/>
              </w:rPr>
              <w:t>Yes</w:t>
            </w:r>
          </w:p>
        </w:tc>
      </w:tr>
      <w:tr w:rsidR="00035FB9" w:rsidRPr="004C78D8" w14:paraId="5EDD569C" w14:textId="77777777" w:rsidTr="002828C1">
        <w:tc>
          <w:tcPr>
            <w:tcW w:w="2122" w:type="dxa"/>
            <w:tcBorders>
              <w:top w:val="nil"/>
              <w:bottom w:val="nil"/>
            </w:tcBorders>
          </w:tcPr>
          <w:p w14:paraId="181E0F6E" w14:textId="77777777" w:rsidR="00035FB9" w:rsidRPr="004C78D8" w:rsidRDefault="00035FB9" w:rsidP="00FB7C1F">
            <w:pPr>
              <w:jc w:val="left"/>
              <w:rPr>
                <w:sz w:val="18"/>
                <w:szCs w:val="18"/>
              </w:rPr>
            </w:pPr>
            <w:r w:rsidRPr="004C78D8">
              <w:rPr>
                <w:sz w:val="18"/>
                <w:szCs w:val="18"/>
              </w:rPr>
              <w:t>Sach (2007); (2010)</w:t>
            </w:r>
          </w:p>
        </w:tc>
        <w:tc>
          <w:tcPr>
            <w:tcW w:w="1134" w:type="dxa"/>
            <w:tcBorders>
              <w:top w:val="nil"/>
              <w:bottom w:val="nil"/>
            </w:tcBorders>
          </w:tcPr>
          <w:p w14:paraId="5442B70B" w14:textId="77777777" w:rsidR="00035FB9" w:rsidRPr="004C78D8" w:rsidRDefault="00035FB9" w:rsidP="00FB7C1F">
            <w:pPr>
              <w:jc w:val="left"/>
              <w:rPr>
                <w:sz w:val="18"/>
                <w:szCs w:val="18"/>
              </w:rPr>
            </w:pPr>
            <w:r w:rsidRPr="004C78D8">
              <w:rPr>
                <w:sz w:val="18"/>
                <w:szCs w:val="18"/>
              </w:rPr>
              <w:t>Fall event</w:t>
            </w:r>
          </w:p>
        </w:tc>
        <w:tc>
          <w:tcPr>
            <w:tcW w:w="992" w:type="dxa"/>
            <w:tcBorders>
              <w:top w:val="nil"/>
              <w:bottom w:val="nil"/>
            </w:tcBorders>
          </w:tcPr>
          <w:p w14:paraId="1E74F0CC" w14:textId="77777777" w:rsidR="00035FB9" w:rsidRPr="004C78D8" w:rsidRDefault="00035FB9" w:rsidP="00FB7C1F">
            <w:pPr>
              <w:jc w:val="left"/>
              <w:rPr>
                <w:sz w:val="18"/>
                <w:szCs w:val="18"/>
              </w:rPr>
            </w:pPr>
            <w:r w:rsidRPr="004C78D8">
              <w:rPr>
                <w:sz w:val="18"/>
                <w:szCs w:val="18"/>
              </w:rPr>
              <w:t>N/A</w:t>
            </w:r>
          </w:p>
        </w:tc>
        <w:tc>
          <w:tcPr>
            <w:tcW w:w="1843" w:type="dxa"/>
            <w:tcBorders>
              <w:top w:val="nil"/>
              <w:bottom w:val="nil"/>
            </w:tcBorders>
          </w:tcPr>
          <w:p w14:paraId="074686BF" w14:textId="77777777" w:rsidR="00035FB9" w:rsidRPr="004C78D8" w:rsidRDefault="00035FB9" w:rsidP="00FB7C1F">
            <w:pPr>
              <w:jc w:val="left"/>
              <w:rPr>
                <w:sz w:val="18"/>
                <w:szCs w:val="18"/>
              </w:rPr>
            </w:pPr>
            <w:r w:rsidRPr="004C78D8">
              <w:rPr>
                <w:sz w:val="18"/>
                <w:szCs w:val="18"/>
              </w:rPr>
              <w:t>Any fall</w:t>
            </w:r>
          </w:p>
        </w:tc>
        <w:tc>
          <w:tcPr>
            <w:tcW w:w="1701" w:type="dxa"/>
            <w:tcBorders>
              <w:top w:val="nil"/>
              <w:bottom w:val="nil"/>
            </w:tcBorders>
          </w:tcPr>
          <w:p w14:paraId="37AC0F8D" w14:textId="77777777" w:rsidR="00035FB9" w:rsidRPr="004C78D8" w:rsidRDefault="00035FB9" w:rsidP="00FB7C1F">
            <w:pPr>
              <w:jc w:val="left"/>
              <w:rPr>
                <w:sz w:val="18"/>
                <w:szCs w:val="18"/>
              </w:rPr>
            </w:pPr>
            <w:r w:rsidRPr="004C78D8">
              <w:rPr>
                <w:sz w:val="18"/>
                <w:szCs w:val="18"/>
              </w:rPr>
              <w:t>Yes</w:t>
            </w:r>
          </w:p>
        </w:tc>
      </w:tr>
      <w:tr w:rsidR="00035FB9" w:rsidRPr="004C78D8" w14:paraId="4AD0D776" w14:textId="77777777" w:rsidTr="002828C1">
        <w:tc>
          <w:tcPr>
            <w:tcW w:w="2122" w:type="dxa"/>
            <w:tcBorders>
              <w:top w:val="nil"/>
              <w:bottom w:val="nil"/>
            </w:tcBorders>
          </w:tcPr>
          <w:p w14:paraId="6C5075F6" w14:textId="77777777" w:rsidR="00035FB9" w:rsidRPr="004C78D8" w:rsidRDefault="00035FB9" w:rsidP="00FB7C1F">
            <w:pPr>
              <w:jc w:val="left"/>
              <w:rPr>
                <w:sz w:val="18"/>
                <w:szCs w:val="18"/>
              </w:rPr>
            </w:pPr>
            <w:r w:rsidRPr="004C78D8">
              <w:rPr>
                <w:sz w:val="18"/>
                <w:szCs w:val="18"/>
              </w:rPr>
              <w:t>Velde (2008)</w:t>
            </w:r>
          </w:p>
        </w:tc>
        <w:tc>
          <w:tcPr>
            <w:tcW w:w="1134" w:type="dxa"/>
            <w:tcBorders>
              <w:top w:val="nil"/>
              <w:bottom w:val="nil"/>
            </w:tcBorders>
          </w:tcPr>
          <w:p w14:paraId="65CA4FA8" w14:textId="77777777" w:rsidR="00035FB9" w:rsidRPr="004C78D8" w:rsidRDefault="00035FB9" w:rsidP="00FB7C1F">
            <w:pPr>
              <w:jc w:val="left"/>
              <w:rPr>
                <w:sz w:val="18"/>
                <w:szCs w:val="18"/>
              </w:rPr>
            </w:pPr>
            <w:r w:rsidRPr="004C78D8">
              <w:rPr>
                <w:sz w:val="18"/>
                <w:szCs w:val="18"/>
              </w:rPr>
              <w:t>Fall event</w:t>
            </w:r>
          </w:p>
        </w:tc>
        <w:tc>
          <w:tcPr>
            <w:tcW w:w="992" w:type="dxa"/>
            <w:tcBorders>
              <w:top w:val="nil"/>
              <w:bottom w:val="nil"/>
            </w:tcBorders>
          </w:tcPr>
          <w:p w14:paraId="1D5ED273" w14:textId="77777777" w:rsidR="00035FB9" w:rsidRPr="004C78D8" w:rsidRDefault="00035FB9" w:rsidP="00FB7C1F">
            <w:pPr>
              <w:jc w:val="left"/>
              <w:rPr>
                <w:sz w:val="18"/>
                <w:szCs w:val="18"/>
              </w:rPr>
            </w:pPr>
            <w:r w:rsidRPr="004C78D8">
              <w:rPr>
                <w:sz w:val="18"/>
                <w:szCs w:val="18"/>
              </w:rPr>
              <w:t>N/A</w:t>
            </w:r>
          </w:p>
        </w:tc>
        <w:tc>
          <w:tcPr>
            <w:tcW w:w="1843" w:type="dxa"/>
            <w:tcBorders>
              <w:top w:val="nil"/>
              <w:bottom w:val="nil"/>
            </w:tcBorders>
          </w:tcPr>
          <w:p w14:paraId="59BC4743" w14:textId="77777777" w:rsidR="00035FB9" w:rsidRPr="004C78D8" w:rsidRDefault="00035FB9" w:rsidP="00FB7C1F">
            <w:pPr>
              <w:jc w:val="left"/>
              <w:rPr>
                <w:sz w:val="18"/>
                <w:szCs w:val="18"/>
              </w:rPr>
            </w:pPr>
            <w:r w:rsidRPr="004C78D8">
              <w:rPr>
                <w:sz w:val="18"/>
                <w:szCs w:val="18"/>
              </w:rPr>
              <w:t>Any fall</w:t>
            </w:r>
          </w:p>
        </w:tc>
        <w:tc>
          <w:tcPr>
            <w:tcW w:w="1701" w:type="dxa"/>
            <w:tcBorders>
              <w:top w:val="nil"/>
              <w:bottom w:val="nil"/>
            </w:tcBorders>
          </w:tcPr>
          <w:p w14:paraId="2706CC1A" w14:textId="77777777" w:rsidR="00035FB9" w:rsidRPr="004C78D8" w:rsidRDefault="00035FB9" w:rsidP="00FB7C1F">
            <w:pPr>
              <w:jc w:val="left"/>
              <w:rPr>
                <w:sz w:val="18"/>
                <w:szCs w:val="18"/>
              </w:rPr>
            </w:pPr>
            <w:r w:rsidRPr="004C78D8">
              <w:rPr>
                <w:sz w:val="18"/>
                <w:szCs w:val="18"/>
              </w:rPr>
              <w:t>Yes</w:t>
            </w:r>
          </w:p>
        </w:tc>
      </w:tr>
      <w:tr w:rsidR="00035FB9" w:rsidRPr="004C78D8" w14:paraId="402E7A7F" w14:textId="77777777" w:rsidTr="002828C1">
        <w:tc>
          <w:tcPr>
            <w:tcW w:w="2122" w:type="dxa"/>
            <w:tcBorders>
              <w:top w:val="nil"/>
            </w:tcBorders>
          </w:tcPr>
          <w:p w14:paraId="48E6B7C9" w14:textId="77777777" w:rsidR="00035FB9" w:rsidRPr="004C78D8" w:rsidRDefault="00035FB9" w:rsidP="00FB7C1F">
            <w:pPr>
              <w:jc w:val="left"/>
              <w:rPr>
                <w:sz w:val="18"/>
                <w:szCs w:val="18"/>
              </w:rPr>
            </w:pPr>
            <w:r w:rsidRPr="004C78D8">
              <w:rPr>
                <w:sz w:val="18"/>
                <w:szCs w:val="18"/>
              </w:rPr>
              <w:t>Wu (2010)</w:t>
            </w:r>
          </w:p>
        </w:tc>
        <w:tc>
          <w:tcPr>
            <w:tcW w:w="1134" w:type="dxa"/>
            <w:tcBorders>
              <w:top w:val="nil"/>
            </w:tcBorders>
          </w:tcPr>
          <w:p w14:paraId="562585C4" w14:textId="77777777" w:rsidR="00035FB9" w:rsidRPr="004C78D8" w:rsidRDefault="00035FB9" w:rsidP="00FB7C1F">
            <w:pPr>
              <w:jc w:val="left"/>
              <w:rPr>
                <w:sz w:val="18"/>
                <w:szCs w:val="18"/>
              </w:rPr>
            </w:pPr>
            <w:r w:rsidRPr="004C78D8">
              <w:rPr>
                <w:sz w:val="18"/>
                <w:szCs w:val="18"/>
              </w:rPr>
              <w:t>Individual</w:t>
            </w:r>
          </w:p>
        </w:tc>
        <w:tc>
          <w:tcPr>
            <w:tcW w:w="992" w:type="dxa"/>
            <w:tcBorders>
              <w:top w:val="nil"/>
            </w:tcBorders>
          </w:tcPr>
          <w:p w14:paraId="788991AF" w14:textId="77777777" w:rsidR="00035FB9" w:rsidRPr="004C78D8" w:rsidRDefault="00035FB9" w:rsidP="00FB7C1F">
            <w:pPr>
              <w:jc w:val="left"/>
              <w:rPr>
                <w:sz w:val="18"/>
                <w:szCs w:val="18"/>
              </w:rPr>
            </w:pPr>
            <w:r w:rsidRPr="004C78D8">
              <w:rPr>
                <w:sz w:val="18"/>
                <w:szCs w:val="18"/>
              </w:rPr>
              <w:t>N/A</w:t>
            </w:r>
          </w:p>
        </w:tc>
        <w:tc>
          <w:tcPr>
            <w:tcW w:w="1843" w:type="dxa"/>
            <w:tcBorders>
              <w:top w:val="nil"/>
            </w:tcBorders>
          </w:tcPr>
          <w:p w14:paraId="50A6CC7A" w14:textId="77777777" w:rsidR="00035FB9" w:rsidRPr="004C78D8" w:rsidRDefault="00035FB9" w:rsidP="00FB7C1F">
            <w:pPr>
              <w:jc w:val="left"/>
              <w:rPr>
                <w:sz w:val="18"/>
                <w:szCs w:val="18"/>
              </w:rPr>
            </w:pPr>
            <w:r w:rsidRPr="004C78D8">
              <w:rPr>
                <w:sz w:val="18"/>
                <w:szCs w:val="18"/>
              </w:rPr>
              <w:t>Any fall</w:t>
            </w:r>
          </w:p>
        </w:tc>
        <w:tc>
          <w:tcPr>
            <w:tcW w:w="1701" w:type="dxa"/>
            <w:tcBorders>
              <w:top w:val="nil"/>
            </w:tcBorders>
          </w:tcPr>
          <w:p w14:paraId="29FF3F5C" w14:textId="77777777" w:rsidR="00035FB9" w:rsidRPr="004C78D8" w:rsidRDefault="00035FB9" w:rsidP="00FB7C1F">
            <w:pPr>
              <w:jc w:val="left"/>
              <w:rPr>
                <w:sz w:val="18"/>
                <w:szCs w:val="18"/>
              </w:rPr>
            </w:pPr>
            <w:r w:rsidRPr="004C78D8">
              <w:rPr>
                <w:sz w:val="18"/>
                <w:szCs w:val="18"/>
              </w:rPr>
              <w:t>Yes: targeted recurrent fall</w:t>
            </w:r>
          </w:p>
        </w:tc>
      </w:tr>
      <w:tr w:rsidR="00035FB9" w:rsidRPr="004C78D8" w14:paraId="6D497DA5" w14:textId="77777777" w:rsidTr="002828C1">
        <w:tc>
          <w:tcPr>
            <w:tcW w:w="7792" w:type="dxa"/>
            <w:gridSpan w:val="5"/>
            <w:tcBorders>
              <w:bottom w:val="single" w:sz="4" w:space="0" w:color="auto"/>
            </w:tcBorders>
          </w:tcPr>
          <w:p w14:paraId="521E3E51" w14:textId="0AC80A1F" w:rsidR="00035FB9" w:rsidRPr="004C78D8" w:rsidRDefault="00035FB9" w:rsidP="00FB7C1F">
            <w:pPr>
              <w:jc w:val="left"/>
            </w:pPr>
            <w:r w:rsidRPr="004C78D8">
              <w:rPr>
                <w:b/>
                <w:bCs/>
                <w:sz w:val="20"/>
                <w:szCs w:val="20"/>
              </w:rPr>
              <w:t>Static model</w:t>
            </w:r>
            <w:r w:rsidR="008B1D72" w:rsidRPr="004C78D8">
              <w:rPr>
                <w:sz w:val="20"/>
                <w:szCs w:val="20"/>
                <w:vertAlign w:val="superscript"/>
              </w:rPr>
              <w:t>4</w:t>
            </w:r>
          </w:p>
        </w:tc>
      </w:tr>
      <w:tr w:rsidR="00035FB9" w:rsidRPr="004C78D8" w14:paraId="6C88A5AB" w14:textId="77777777" w:rsidTr="002828C1">
        <w:tc>
          <w:tcPr>
            <w:tcW w:w="2122" w:type="dxa"/>
            <w:tcBorders>
              <w:bottom w:val="nil"/>
            </w:tcBorders>
          </w:tcPr>
          <w:p w14:paraId="37660313" w14:textId="77777777" w:rsidR="00035FB9" w:rsidRPr="004C78D8" w:rsidRDefault="00035FB9" w:rsidP="00FB7C1F">
            <w:pPr>
              <w:jc w:val="left"/>
              <w:rPr>
                <w:sz w:val="18"/>
                <w:szCs w:val="18"/>
              </w:rPr>
            </w:pPr>
            <w:r w:rsidRPr="004C78D8">
              <w:rPr>
                <w:sz w:val="18"/>
                <w:szCs w:val="18"/>
              </w:rPr>
              <w:t>Agartioglu (2020)</w:t>
            </w:r>
          </w:p>
        </w:tc>
        <w:tc>
          <w:tcPr>
            <w:tcW w:w="1134" w:type="dxa"/>
            <w:tcBorders>
              <w:bottom w:val="nil"/>
            </w:tcBorders>
          </w:tcPr>
          <w:p w14:paraId="5F90CB8A" w14:textId="77777777" w:rsidR="00035FB9" w:rsidRPr="004C78D8" w:rsidRDefault="00035FB9" w:rsidP="00FB7C1F">
            <w:pPr>
              <w:jc w:val="left"/>
              <w:rPr>
                <w:sz w:val="18"/>
                <w:szCs w:val="18"/>
              </w:rPr>
            </w:pPr>
            <w:r w:rsidRPr="004C78D8">
              <w:rPr>
                <w:sz w:val="18"/>
                <w:szCs w:val="18"/>
              </w:rPr>
              <w:t>Individual</w:t>
            </w:r>
          </w:p>
        </w:tc>
        <w:tc>
          <w:tcPr>
            <w:tcW w:w="992" w:type="dxa"/>
            <w:tcBorders>
              <w:bottom w:val="nil"/>
            </w:tcBorders>
          </w:tcPr>
          <w:p w14:paraId="50DD4C97" w14:textId="77777777" w:rsidR="00035FB9" w:rsidRPr="004C78D8" w:rsidRDefault="00035FB9" w:rsidP="00FB7C1F">
            <w:pPr>
              <w:jc w:val="left"/>
              <w:rPr>
                <w:sz w:val="18"/>
                <w:szCs w:val="18"/>
              </w:rPr>
            </w:pPr>
            <w:r w:rsidRPr="004C78D8">
              <w:rPr>
                <w:sz w:val="18"/>
                <w:szCs w:val="18"/>
              </w:rPr>
              <w:t>N/A</w:t>
            </w:r>
          </w:p>
        </w:tc>
        <w:tc>
          <w:tcPr>
            <w:tcW w:w="1843" w:type="dxa"/>
            <w:tcBorders>
              <w:bottom w:val="nil"/>
            </w:tcBorders>
          </w:tcPr>
          <w:p w14:paraId="54D0266E" w14:textId="77777777" w:rsidR="00035FB9" w:rsidRPr="004C78D8" w:rsidRDefault="00035FB9" w:rsidP="00FB7C1F">
            <w:pPr>
              <w:jc w:val="left"/>
              <w:rPr>
                <w:sz w:val="18"/>
                <w:szCs w:val="18"/>
              </w:rPr>
            </w:pPr>
            <w:r w:rsidRPr="004C78D8">
              <w:rPr>
                <w:sz w:val="18"/>
                <w:szCs w:val="18"/>
              </w:rPr>
              <w:t>Any fall</w:t>
            </w:r>
          </w:p>
        </w:tc>
        <w:tc>
          <w:tcPr>
            <w:tcW w:w="1701" w:type="dxa"/>
            <w:tcBorders>
              <w:bottom w:val="nil"/>
            </w:tcBorders>
          </w:tcPr>
          <w:p w14:paraId="505F212D" w14:textId="77777777" w:rsidR="00035FB9" w:rsidRPr="004C78D8" w:rsidRDefault="00035FB9" w:rsidP="00FB7C1F">
            <w:pPr>
              <w:jc w:val="left"/>
              <w:rPr>
                <w:sz w:val="18"/>
                <w:szCs w:val="18"/>
              </w:rPr>
            </w:pPr>
            <w:r w:rsidRPr="004C78D8">
              <w:rPr>
                <w:sz w:val="18"/>
                <w:szCs w:val="18"/>
              </w:rPr>
              <w:t>No</w:t>
            </w:r>
          </w:p>
        </w:tc>
      </w:tr>
      <w:tr w:rsidR="00035FB9" w:rsidRPr="004C78D8" w14:paraId="53676AA7" w14:textId="77777777" w:rsidTr="002828C1">
        <w:tc>
          <w:tcPr>
            <w:tcW w:w="2122" w:type="dxa"/>
            <w:tcBorders>
              <w:top w:val="nil"/>
              <w:bottom w:val="nil"/>
            </w:tcBorders>
          </w:tcPr>
          <w:p w14:paraId="514887A8" w14:textId="77777777" w:rsidR="00035FB9" w:rsidRPr="004C78D8" w:rsidRDefault="00035FB9" w:rsidP="00FB7C1F">
            <w:pPr>
              <w:jc w:val="left"/>
              <w:rPr>
                <w:sz w:val="18"/>
                <w:szCs w:val="18"/>
              </w:rPr>
            </w:pPr>
            <w:r w:rsidRPr="004C78D8">
              <w:rPr>
                <w:sz w:val="18"/>
                <w:szCs w:val="18"/>
              </w:rPr>
              <w:t>Albert (2016)</w:t>
            </w:r>
          </w:p>
        </w:tc>
        <w:tc>
          <w:tcPr>
            <w:tcW w:w="1134" w:type="dxa"/>
            <w:tcBorders>
              <w:top w:val="nil"/>
              <w:bottom w:val="nil"/>
            </w:tcBorders>
          </w:tcPr>
          <w:p w14:paraId="66891FA8" w14:textId="77777777" w:rsidR="00035FB9" w:rsidRPr="004C78D8" w:rsidRDefault="00035FB9" w:rsidP="00FB7C1F">
            <w:pPr>
              <w:jc w:val="left"/>
              <w:rPr>
                <w:sz w:val="18"/>
                <w:szCs w:val="18"/>
              </w:rPr>
            </w:pPr>
            <w:r w:rsidRPr="004C78D8">
              <w:rPr>
                <w:sz w:val="18"/>
                <w:szCs w:val="18"/>
              </w:rPr>
              <w:t>Individual</w:t>
            </w:r>
          </w:p>
        </w:tc>
        <w:tc>
          <w:tcPr>
            <w:tcW w:w="992" w:type="dxa"/>
            <w:tcBorders>
              <w:top w:val="nil"/>
              <w:bottom w:val="nil"/>
            </w:tcBorders>
          </w:tcPr>
          <w:p w14:paraId="359051E3" w14:textId="77777777" w:rsidR="00035FB9" w:rsidRPr="004C78D8" w:rsidRDefault="00035FB9" w:rsidP="00FB7C1F">
            <w:pPr>
              <w:jc w:val="left"/>
              <w:rPr>
                <w:sz w:val="18"/>
                <w:szCs w:val="18"/>
              </w:rPr>
            </w:pPr>
            <w:r w:rsidRPr="004C78D8">
              <w:rPr>
                <w:sz w:val="18"/>
                <w:szCs w:val="18"/>
              </w:rPr>
              <w:t>N/A</w:t>
            </w:r>
          </w:p>
        </w:tc>
        <w:tc>
          <w:tcPr>
            <w:tcW w:w="1843" w:type="dxa"/>
            <w:tcBorders>
              <w:top w:val="nil"/>
              <w:bottom w:val="nil"/>
            </w:tcBorders>
          </w:tcPr>
          <w:p w14:paraId="7CA253D8" w14:textId="77777777" w:rsidR="00035FB9" w:rsidRPr="004C78D8" w:rsidRDefault="00035FB9" w:rsidP="00FB7C1F">
            <w:pPr>
              <w:jc w:val="left"/>
              <w:rPr>
                <w:sz w:val="18"/>
                <w:szCs w:val="18"/>
              </w:rPr>
            </w:pPr>
            <w:r w:rsidRPr="004C78D8">
              <w:rPr>
                <w:sz w:val="18"/>
                <w:szCs w:val="18"/>
              </w:rPr>
              <w:t>Any fall</w:t>
            </w:r>
          </w:p>
        </w:tc>
        <w:tc>
          <w:tcPr>
            <w:tcW w:w="1701" w:type="dxa"/>
            <w:tcBorders>
              <w:top w:val="nil"/>
              <w:bottom w:val="nil"/>
            </w:tcBorders>
          </w:tcPr>
          <w:p w14:paraId="7A777243" w14:textId="77777777" w:rsidR="00035FB9" w:rsidRPr="004C78D8" w:rsidRDefault="00035FB9" w:rsidP="00FB7C1F">
            <w:pPr>
              <w:jc w:val="left"/>
              <w:rPr>
                <w:sz w:val="18"/>
                <w:szCs w:val="18"/>
              </w:rPr>
            </w:pPr>
            <w:r w:rsidRPr="004C78D8">
              <w:rPr>
                <w:sz w:val="18"/>
                <w:szCs w:val="18"/>
              </w:rPr>
              <w:t>Yes</w:t>
            </w:r>
          </w:p>
        </w:tc>
      </w:tr>
      <w:tr w:rsidR="00035FB9" w:rsidRPr="004C78D8" w14:paraId="0341C487" w14:textId="77777777" w:rsidTr="002828C1">
        <w:tc>
          <w:tcPr>
            <w:tcW w:w="2122" w:type="dxa"/>
            <w:tcBorders>
              <w:top w:val="nil"/>
              <w:bottom w:val="nil"/>
            </w:tcBorders>
          </w:tcPr>
          <w:p w14:paraId="41735B50" w14:textId="77777777" w:rsidR="00035FB9" w:rsidRPr="004C78D8" w:rsidRDefault="00035FB9" w:rsidP="00FB7C1F">
            <w:pPr>
              <w:jc w:val="left"/>
              <w:rPr>
                <w:sz w:val="18"/>
                <w:szCs w:val="18"/>
              </w:rPr>
            </w:pPr>
            <w:r w:rsidRPr="004C78D8">
              <w:rPr>
                <w:sz w:val="18"/>
                <w:szCs w:val="18"/>
              </w:rPr>
              <w:t>CSP (2016)</w:t>
            </w:r>
          </w:p>
        </w:tc>
        <w:tc>
          <w:tcPr>
            <w:tcW w:w="1134" w:type="dxa"/>
            <w:tcBorders>
              <w:top w:val="nil"/>
              <w:bottom w:val="nil"/>
            </w:tcBorders>
          </w:tcPr>
          <w:p w14:paraId="0182F351" w14:textId="77777777" w:rsidR="00035FB9" w:rsidRPr="004C78D8" w:rsidRDefault="00035FB9" w:rsidP="00FB7C1F">
            <w:pPr>
              <w:jc w:val="left"/>
              <w:rPr>
                <w:sz w:val="18"/>
                <w:szCs w:val="18"/>
              </w:rPr>
            </w:pPr>
            <w:r w:rsidRPr="004C78D8">
              <w:rPr>
                <w:sz w:val="18"/>
                <w:szCs w:val="18"/>
              </w:rPr>
              <w:t>Individual</w:t>
            </w:r>
          </w:p>
        </w:tc>
        <w:tc>
          <w:tcPr>
            <w:tcW w:w="992" w:type="dxa"/>
            <w:tcBorders>
              <w:top w:val="nil"/>
              <w:bottom w:val="nil"/>
            </w:tcBorders>
          </w:tcPr>
          <w:p w14:paraId="17BD2971" w14:textId="77777777" w:rsidR="00035FB9" w:rsidRPr="004C78D8" w:rsidRDefault="00035FB9" w:rsidP="00FB7C1F">
            <w:pPr>
              <w:jc w:val="left"/>
              <w:rPr>
                <w:sz w:val="18"/>
                <w:szCs w:val="18"/>
              </w:rPr>
            </w:pPr>
            <w:r w:rsidRPr="004C78D8">
              <w:rPr>
                <w:sz w:val="18"/>
                <w:szCs w:val="18"/>
              </w:rPr>
              <w:t>N/A</w:t>
            </w:r>
          </w:p>
        </w:tc>
        <w:tc>
          <w:tcPr>
            <w:tcW w:w="1843" w:type="dxa"/>
            <w:tcBorders>
              <w:top w:val="nil"/>
              <w:bottom w:val="nil"/>
            </w:tcBorders>
          </w:tcPr>
          <w:p w14:paraId="4EEBA4AD" w14:textId="77777777" w:rsidR="00035FB9" w:rsidRPr="004C78D8" w:rsidRDefault="00035FB9" w:rsidP="00FB7C1F">
            <w:pPr>
              <w:jc w:val="left"/>
              <w:rPr>
                <w:sz w:val="18"/>
                <w:szCs w:val="18"/>
              </w:rPr>
            </w:pPr>
            <w:r w:rsidRPr="004C78D8">
              <w:rPr>
                <w:sz w:val="18"/>
                <w:szCs w:val="18"/>
              </w:rPr>
              <w:t>MA fall</w:t>
            </w:r>
          </w:p>
        </w:tc>
        <w:tc>
          <w:tcPr>
            <w:tcW w:w="1701" w:type="dxa"/>
            <w:tcBorders>
              <w:top w:val="nil"/>
              <w:bottom w:val="nil"/>
            </w:tcBorders>
          </w:tcPr>
          <w:p w14:paraId="411950E9" w14:textId="77777777" w:rsidR="00035FB9" w:rsidRPr="004C78D8" w:rsidRDefault="00035FB9" w:rsidP="00FB7C1F">
            <w:pPr>
              <w:jc w:val="left"/>
              <w:rPr>
                <w:sz w:val="18"/>
                <w:szCs w:val="18"/>
              </w:rPr>
            </w:pPr>
            <w:r w:rsidRPr="004C78D8">
              <w:rPr>
                <w:sz w:val="18"/>
                <w:szCs w:val="18"/>
              </w:rPr>
              <w:t>Yes</w:t>
            </w:r>
          </w:p>
        </w:tc>
      </w:tr>
      <w:tr w:rsidR="00035FB9" w:rsidRPr="004C78D8" w14:paraId="77F118EA" w14:textId="77777777" w:rsidTr="002828C1">
        <w:tc>
          <w:tcPr>
            <w:tcW w:w="2122" w:type="dxa"/>
            <w:tcBorders>
              <w:top w:val="nil"/>
              <w:bottom w:val="nil"/>
            </w:tcBorders>
          </w:tcPr>
          <w:p w14:paraId="0D1D2645" w14:textId="77777777" w:rsidR="00035FB9" w:rsidRPr="004C78D8" w:rsidRDefault="00035FB9" w:rsidP="00FB7C1F">
            <w:pPr>
              <w:jc w:val="left"/>
              <w:rPr>
                <w:sz w:val="18"/>
                <w:szCs w:val="18"/>
              </w:rPr>
            </w:pPr>
            <w:r w:rsidRPr="004C78D8">
              <w:rPr>
                <w:sz w:val="18"/>
                <w:szCs w:val="18"/>
              </w:rPr>
              <w:t>Day (2009); (2010)</w:t>
            </w:r>
          </w:p>
        </w:tc>
        <w:tc>
          <w:tcPr>
            <w:tcW w:w="1134" w:type="dxa"/>
            <w:tcBorders>
              <w:top w:val="nil"/>
              <w:bottom w:val="nil"/>
            </w:tcBorders>
          </w:tcPr>
          <w:p w14:paraId="3251D387" w14:textId="77777777" w:rsidR="00035FB9" w:rsidRPr="004C78D8" w:rsidRDefault="00035FB9" w:rsidP="00FB7C1F">
            <w:pPr>
              <w:jc w:val="left"/>
              <w:rPr>
                <w:sz w:val="18"/>
                <w:szCs w:val="18"/>
              </w:rPr>
            </w:pPr>
            <w:r w:rsidRPr="004C78D8">
              <w:rPr>
                <w:sz w:val="18"/>
                <w:szCs w:val="18"/>
              </w:rPr>
              <w:t>Fall event</w:t>
            </w:r>
          </w:p>
        </w:tc>
        <w:tc>
          <w:tcPr>
            <w:tcW w:w="992" w:type="dxa"/>
            <w:tcBorders>
              <w:top w:val="nil"/>
              <w:bottom w:val="nil"/>
            </w:tcBorders>
          </w:tcPr>
          <w:p w14:paraId="082C9DD5" w14:textId="77777777" w:rsidR="00035FB9" w:rsidRPr="004C78D8" w:rsidRDefault="00035FB9" w:rsidP="00FB7C1F">
            <w:pPr>
              <w:jc w:val="left"/>
              <w:rPr>
                <w:sz w:val="18"/>
                <w:szCs w:val="18"/>
              </w:rPr>
            </w:pPr>
            <w:r w:rsidRPr="004C78D8">
              <w:rPr>
                <w:sz w:val="18"/>
                <w:szCs w:val="18"/>
              </w:rPr>
              <w:t>N/A</w:t>
            </w:r>
          </w:p>
        </w:tc>
        <w:tc>
          <w:tcPr>
            <w:tcW w:w="1843" w:type="dxa"/>
            <w:tcBorders>
              <w:top w:val="nil"/>
              <w:bottom w:val="nil"/>
            </w:tcBorders>
          </w:tcPr>
          <w:p w14:paraId="32AF96A9" w14:textId="77777777" w:rsidR="00035FB9" w:rsidRPr="004C78D8" w:rsidRDefault="00035FB9" w:rsidP="00FB7C1F">
            <w:pPr>
              <w:jc w:val="left"/>
              <w:rPr>
                <w:sz w:val="18"/>
                <w:szCs w:val="18"/>
              </w:rPr>
            </w:pPr>
            <w:r w:rsidRPr="004C78D8">
              <w:rPr>
                <w:sz w:val="18"/>
                <w:szCs w:val="18"/>
              </w:rPr>
              <w:t>Any fall</w:t>
            </w:r>
          </w:p>
        </w:tc>
        <w:tc>
          <w:tcPr>
            <w:tcW w:w="1701" w:type="dxa"/>
            <w:tcBorders>
              <w:top w:val="nil"/>
              <w:bottom w:val="nil"/>
            </w:tcBorders>
          </w:tcPr>
          <w:p w14:paraId="15339BEA" w14:textId="77777777" w:rsidR="00035FB9" w:rsidRPr="004C78D8" w:rsidRDefault="00035FB9" w:rsidP="00FB7C1F">
            <w:pPr>
              <w:jc w:val="left"/>
              <w:rPr>
                <w:sz w:val="18"/>
                <w:szCs w:val="18"/>
              </w:rPr>
            </w:pPr>
            <w:r w:rsidRPr="004C78D8">
              <w:rPr>
                <w:sz w:val="18"/>
                <w:szCs w:val="18"/>
              </w:rPr>
              <w:t>Yes</w:t>
            </w:r>
          </w:p>
        </w:tc>
      </w:tr>
      <w:tr w:rsidR="00035FB9" w:rsidRPr="004C78D8" w14:paraId="1A3CADD0" w14:textId="77777777" w:rsidTr="002828C1">
        <w:tc>
          <w:tcPr>
            <w:tcW w:w="2122" w:type="dxa"/>
            <w:tcBorders>
              <w:top w:val="nil"/>
              <w:bottom w:val="nil"/>
            </w:tcBorders>
          </w:tcPr>
          <w:p w14:paraId="7755B457" w14:textId="77777777" w:rsidR="00035FB9" w:rsidRPr="004C78D8" w:rsidRDefault="00035FB9" w:rsidP="00FB7C1F">
            <w:pPr>
              <w:jc w:val="left"/>
              <w:rPr>
                <w:sz w:val="18"/>
                <w:szCs w:val="18"/>
              </w:rPr>
            </w:pPr>
            <w:r w:rsidRPr="004C78D8">
              <w:rPr>
                <w:sz w:val="18"/>
                <w:szCs w:val="18"/>
              </w:rPr>
              <w:t>Hirst (2016)</w:t>
            </w:r>
          </w:p>
        </w:tc>
        <w:tc>
          <w:tcPr>
            <w:tcW w:w="1134" w:type="dxa"/>
            <w:tcBorders>
              <w:top w:val="nil"/>
              <w:bottom w:val="nil"/>
            </w:tcBorders>
          </w:tcPr>
          <w:p w14:paraId="2DF4626C" w14:textId="77777777" w:rsidR="00035FB9" w:rsidRPr="004C78D8" w:rsidRDefault="00035FB9" w:rsidP="00FB7C1F">
            <w:pPr>
              <w:jc w:val="left"/>
              <w:rPr>
                <w:sz w:val="18"/>
                <w:szCs w:val="18"/>
              </w:rPr>
            </w:pPr>
            <w:r w:rsidRPr="004C78D8">
              <w:rPr>
                <w:sz w:val="18"/>
                <w:szCs w:val="18"/>
              </w:rPr>
              <w:t>Individual</w:t>
            </w:r>
          </w:p>
        </w:tc>
        <w:tc>
          <w:tcPr>
            <w:tcW w:w="992" w:type="dxa"/>
            <w:tcBorders>
              <w:top w:val="nil"/>
              <w:bottom w:val="nil"/>
            </w:tcBorders>
          </w:tcPr>
          <w:p w14:paraId="1370839B" w14:textId="77777777" w:rsidR="00035FB9" w:rsidRPr="004C78D8" w:rsidRDefault="00035FB9" w:rsidP="00FB7C1F">
            <w:pPr>
              <w:jc w:val="left"/>
              <w:rPr>
                <w:sz w:val="18"/>
                <w:szCs w:val="18"/>
              </w:rPr>
            </w:pPr>
            <w:r w:rsidRPr="004C78D8">
              <w:rPr>
                <w:sz w:val="18"/>
                <w:szCs w:val="18"/>
              </w:rPr>
              <w:t>N/A</w:t>
            </w:r>
          </w:p>
        </w:tc>
        <w:tc>
          <w:tcPr>
            <w:tcW w:w="1843" w:type="dxa"/>
            <w:tcBorders>
              <w:top w:val="nil"/>
              <w:bottom w:val="nil"/>
            </w:tcBorders>
          </w:tcPr>
          <w:p w14:paraId="5E7597E4" w14:textId="77777777" w:rsidR="00035FB9" w:rsidRPr="004C78D8" w:rsidRDefault="00035FB9" w:rsidP="00FB7C1F">
            <w:pPr>
              <w:jc w:val="left"/>
              <w:rPr>
                <w:sz w:val="18"/>
                <w:szCs w:val="18"/>
              </w:rPr>
            </w:pPr>
            <w:r w:rsidRPr="004C78D8">
              <w:rPr>
                <w:sz w:val="18"/>
                <w:szCs w:val="18"/>
              </w:rPr>
              <w:t>Fractures</w:t>
            </w:r>
          </w:p>
        </w:tc>
        <w:tc>
          <w:tcPr>
            <w:tcW w:w="1701" w:type="dxa"/>
            <w:tcBorders>
              <w:top w:val="nil"/>
              <w:bottom w:val="nil"/>
            </w:tcBorders>
          </w:tcPr>
          <w:p w14:paraId="6050E3B6" w14:textId="77777777" w:rsidR="00035FB9" w:rsidRPr="004C78D8" w:rsidRDefault="00035FB9" w:rsidP="00FB7C1F">
            <w:pPr>
              <w:jc w:val="left"/>
              <w:rPr>
                <w:sz w:val="18"/>
                <w:szCs w:val="18"/>
              </w:rPr>
            </w:pPr>
            <w:r w:rsidRPr="004C78D8">
              <w:rPr>
                <w:sz w:val="18"/>
                <w:szCs w:val="18"/>
              </w:rPr>
              <w:t>No</w:t>
            </w:r>
          </w:p>
        </w:tc>
      </w:tr>
      <w:tr w:rsidR="00035FB9" w:rsidRPr="004C78D8" w14:paraId="31AD2F2C" w14:textId="77777777" w:rsidTr="002828C1">
        <w:tc>
          <w:tcPr>
            <w:tcW w:w="2122" w:type="dxa"/>
            <w:tcBorders>
              <w:top w:val="nil"/>
              <w:bottom w:val="nil"/>
            </w:tcBorders>
          </w:tcPr>
          <w:p w14:paraId="24E4BF3C" w14:textId="77777777" w:rsidR="00035FB9" w:rsidRPr="004C78D8" w:rsidRDefault="00035FB9" w:rsidP="00FB7C1F">
            <w:pPr>
              <w:jc w:val="left"/>
              <w:rPr>
                <w:sz w:val="18"/>
                <w:szCs w:val="18"/>
              </w:rPr>
            </w:pPr>
            <w:r w:rsidRPr="004C78D8">
              <w:rPr>
                <w:sz w:val="18"/>
                <w:szCs w:val="18"/>
              </w:rPr>
              <w:t>McLean (2015)</w:t>
            </w:r>
          </w:p>
        </w:tc>
        <w:tc>
          <w:tcPr>
            <w:tcW w:w="1134" w:type="dxa"/>
            <w:tcBorders>
              <w:top w:val="nil"/>
              <w:bottom w:val="nil"/>
            </w:tcBorders>
          </w:tcPr>
          <w:p w14:paraId="76891CE3" w14:textId="77777777" w:rsidR="00035FB9" w:rsidRPr="004C78D8" w:rsidRDefault="00035FB9" w:rsidP="00FB7C1F">
            <w:pPr>
              <w:jc w:val="left"/>
              <w:rPr>
                <w:sz w:val="18"/>
                <w:szCs w:val="18"/>
              </w:rPr>
            </w:pPr>
            <w:r w:rsidRPr="004C78D8">
              <w:rPr>
                <w:sz w:val="18"/>
                <w:szCs w:val="18"/>
              </w:rPr>
              <w:t>Individual</w:t>
            </w:r>
          </w:p>
        </w:tc>
        <w:tc>
          <w:tcPr>
            <w:tcW w:w="992" w:type="dxa"/>
            <w:tcBorders>
              <w:top w:val="nil"/>
              <w:bottom w:val="nil"/>
            </w:tcBorders>
          </w:tcPr>
          <w:p w14:paraId="0526243C" w14:textId="77777777" w:rsidR="00035FB9" w:rsidRPr="004C78D8" w:rsidRDefault="00035FB9" w:rsidP="00FB7C1F">
            <w:pPr>
              <w:jc w:val="left"/>
              <w:rPr>
                <w:sz w:val="18"/>
                <w:szCs w:val="18"/>
              </w:rPr>
            </w:pPr>
            <w:r w:rsidRPr="004C78D8">
              <w:rPr>
                <w:sz w:val="18"/>
                <w:szCs w:val="18"/>
              </w:rPr>
              <w:t>N/A</w:t>
            </w:r>
          </w:p>
        </w:tc>
        <w:tc>
          <w:tcPr>
            <w:tcW w:w="1843" w:type="dxa"/>
            <w:tcBorders>
              <w:top w:val="nil"/>
              <w:bottom w:val="nil"/>
            </w:tcBorders>
          </w:tcPr>
          <w:p w14:paraId="2348B757" w14:textId="77777777" w:rsidR="00035FB9" w:rsidRPr="004C78D8" w:rsidRDefault="00035FB9" w:rsidP="00FB7C1F">
            <w:pPr>
              <w:jc w:val="left"/>
              <w:rPr>
                <w:sz w:val="18"/>
                <w:szCs w:val="18"/>
              </w:rPr>
            </w:pPr>
            <w:r w:rsidRPr="004C78D8">
              <w:rPr>
                <w:sz w:val="18"/>
                <w:szCs w:val="18"/>
              </w:rPr>
              <w:t>Any fall</w:t>
            </w:r>
          </w:p>
        </w:tc>
        <w:tc>
          <w:tcPr>
            <w:tcW w:w="1701" w:type="dxa"/>
            <w:tcBorders>
              <w:top w:val="nil"/>
              <w:bottom w:val="nil"/>
            </w:tcBorders>
          </w:tcPr>
          <w:p w14:paraId="37AE3828" w14:textId="77777777" w:rsidR="00035FB9" w:rsidRPr="004C78D8" w:rsidRDefault="00035FB9" w:rsidP="00FB7C1F">
            <w:pPr>
              <w:jc w:val="left"/>
              <w:rPr>
                <w:sz w:val="18"/>
                <w:szCs w:val="18"/>
              </w:rPr>
            </w:pPr>
            <w:r w:rsidRPr="004C78D8">
              <w:rPr>
                <w:sz w:val="18"/>
                <w:szCs w:val="18"/>
              </w:rPr>
              <w:t>Yes: Adjusted risk</w:t>
            </w:r>
          </w:p>
        </w:tc>
      </w:tr>
      <w:tr w:rsidR="00035FB9" w:rsidRPr="004C78D8" w14:paraId="6118EF0D" w14:textId="77777777" w:rsidTr="002828C1">
        <w:tc>
          <w:tcPr>
            <w:tcW w:w="2122" w:type="dxa"/>
            <w:tcBorders>
              <w:top w:val="nil"/>
              <w:bottom w:val="nil"/>
            </w:tcBorders>
          </w:tcPr>
          <w:p w14:paraId="5BF78040" w14:textId="77777777" w:rsidR="00035FB9" w:rsidRPr="004C78D8" w:rsidRDefault="00035FB9" w:rsidP="00FB7C1F">
            <w:pPr>
              <w:jc w:val="left"/>
              <w:rPr>
                <w:sz w:val="18"/>
                <w:szCs w:val="18"/>
              </w:rPr>
            </w:pPr>
            <w:r w:rsidRPr="004C78D8">
              <w:rPr>
                <w:sz w:val="18"/>
                <w:szCs w:val="18"/>
              </w:rPr>
              <w:t>PHE (2018)</w:t>
            </w:r>
          </w:p>
        </w:tc>
        <w:tc>
          <w:tcPr>
            <w:tcW w:w="1134" w:type="dxa"/>
            <w:tcBorders>
              <w:top w:val="nil"/>
              <w:bottom w:val="nil"/>
            </w:tcBorders>
          </w:tcPr>
          <w:p w14:paraId="41000C37" w14:textId="77777777" w:rsidR="00035FB9" w:rsidRPr="004C78D8" w:rsidRDefault="00035FB9" w:rsidP="00FB7C1F">
            <w:pPr>
              <w:jc w:val="left"/>
              <w:rPr>
                <w:sz w:val="18"/>
                <w:szCs w:val="18"/>
              </w:rPr>
            </w:pPr>
            <w:r w:rsidRPr="004C78D8">
              <w:rPr>
                <w:sz w:val="18"/>
                <w:szCs w:val="18"/>
              </w:rPr>
              <w:t>Fall event</w:t>
            </w:r>
          </w:p>
        </w:tc>
        <w:tc>
          <w:tcPr>
            <w:tcW w:w="992" w:type="dxa"/>
            <w:tcBorders>
              <w:top w:val="nil"/>
              <w:bottom w:val="nil"/>
            </w:tcBorders>
          </w:tcPr>
          <w:p w14:paraId="39E16236" w14:textId="77777777" w:rsidR="00035FB9" w:rsidRPr="004C78D8" w:rsidRDefault="00035FB9" w:rsidP="00FB7C1F">
            <w:pPr>
              <w:jc w:val="left"/>
              <w:rPr>
                <w:sz w:val="18"/>
                <w:szCs w:val="18"/>
              </w:rPr>
            </w:pPr>
            <w:r w:rsidRPr="004C78D8">
              <w:rPr>
                <w:sz w:val="18"/>
                <w:szCs w:val="18"/>
              </w:rPr>
              <w:t>N/A</w:t>
            </w:r>
          </w:p>
        </w:tc>
        <w:tc>
          <w:tcPr>
            <w:tcW w:w="1843" w:type="dxa"/>
            <w:tcBorders>
              <w:top w:val="nil"/>
              <w:bottom w:val="nil"/>
            </w:tcBorders>
          </w:tcPr>
          <w:p w14:paraId="16818F5B" w14:textId="77777777" w:rsidR="00035FB9" w:rsidRPr="004C78D8" w:rsidRDefault="00035FB9" w:rsidP="00FB7C1F">
            <w:pPr>
              <w:jc w:val="left"/>
              <w:rPr>
                <w:sz w:val="18"/>
                <w:szCs w:val="18"/>
              </w:rPr>
            </w:pPr>
            <w:r w:rsidRPr="004C78D8">
              <w:rPr>
                <w:sz w:val="18"/>
                <w:szCs w:val="18"/>
              </w:rPr>
              <w:t>Any fall</w:t>
            </w:r>
          </w:p>
        </w:tc>
        <w:tc>
          <w:tcPr>
            <w:tcW w:w="1701" w:type="dxa"/>
            <w:tcBorders>
              <w:top w:val="nil"/>
              <w:bottom w:val="nil"/>
            </w:tcBorders>
          </w:tcPr>
          <w:p w14:paraId="03655274" w14:textId="77777777" w:rsidR="00035FB9" w:rsidRPr="004C78D8" w:rsidRDefault="00035FB9" w:rsidP="00FB7C1F">
            <w:pPr>
              <w:jc w:val="left"/>
              <w:rPr>
                <w:sz w:val="18"/>
                <w:szCs w:val="18"/>
              </w:rPr>
            </w:pPr>
            <w:r w:rsidRPr="004C78D8">
              <w:rPr>
                <w:sz w:val="18"/>
                <w:szCs w:val="18"/>
              </w:rPr>
              <w:t>Yes</w:t>
            </w:r>
          </w:p>
        </w:tc>
      </w:tr>
      <w:tr w:rsidR="00035FB9" w:rsidRPr="004C78D8" w14:paraId="7CB9DE7D" w14:textId="77777777" w:rsidTr="002828C1">
        <w:tc>
          <w:tcPr>
            <w:tcW w:w="2122" w:type="dxa"/>
            <w:tcBorders>
              <w:top w:val="nil"/>
            </w:tcBorders>
          </w:tcPr>
          <w:p w14:paraId="1497A76F" w14:textId="77777777" w:rsidR="00035FB9" w:rsidRPr="004C78D8" w:rsidRDefault="00035FB9" w:rsidP="00FB7C1F">
            <w:pPr>
              <w:jc w:val="left"/>
              <w:rPr>
                <w:sz w:val="18"/>
                <w:szCs w:val="18"/>
              </w:rPr>
            </w:pPr>
            <w:r w:rsidRPr="004C78D8">
              <w:rPr>
                <w:sz w:val="18"/>
                <w:szCs w:val="18"/>
              </w:rPr>
              <w:t>Smith et al (2016)</w:t>
            </w:r>
          </w:p>
        </w:tc>
        <w:tc>
          <w:tcPr>
            <w:tcW w:w="1134" w:type="dxa"/>
            <w:tcBorders>
              <w:top w:val="nil"/>
            </w:tcBorders>
          </w:tcPr>
          <w:p w14:paraId="18FEFB68" w14:textId="77777777" w:rsidR="00035FB9" w:rsidRPr="004C78D8" w:rsidRDefault="00035FB9" w:rsidP="00FB7C1F">
            <w:pPr>
              <w:jc w:val="left"/>
              <w:rPr>
                <w:sz w:val="18"/>
                <w:szCs w:val="18"/>
              </w:rPr>
            </w:pPr>
            <w:r w:rsidRPr="004C78D8">
              <w:rPr>
                <w:sz w:val="18"/>
                <w:szCs w:val="18"/>
              </w:rPr>
              <w:t>Individual</w:t>
            </w:r>
          </w:p>
        </w:tc>
        <w:tc>
          <w:tcPr>
            <w:tcW w:w="992" w:type="dxa"/>
            <w:tcBorders>
              <w:top w:val="nil"/>
            </w:tcBorders>
          </w:tcPr>
          <w:p w14:paraId="08FF9376" w14:textId="77777777" w:rsidR="00035FB9" w:rsidRPr="004C78D8" w:rsidRDefault="00035FB9" w:rsidP="00FB7C1F">
            <w:pPr>
              <w:jc w:val="left"/>
              <w:rPr>
                <w:sz w:val="18"/>
                <w:szCs w:val="18"/>
              </w:rPr>
            </w:pPr>
            <w:r w:rsidRPr="004C78D8">
              <w:rPr>
                <w:sz w:val="18"/>
                <w:szCs w:val="18"/>
              </w:rPr>
              <w:t>N/A</w:t>
            </w:r>
          </w:p>
        </w:tc>
        <w:tc>
          <w:tcPr>
            <w:tcW w:w="1843" w:type="dxa"/>
            <w:tcBorders>
              <w:top w:val="nil"/>
            </w:tcBorders>
          </w:tcPr>
          <w:p w14:paraId="4FC8BEB4" w14:textId="77777777" w:rsidR="00035FB9" w:rsidRPr="004C78D8" w:rsidRDefault="00035FB9" w:rsidP="00FB7C1F">
            <w:pPr>
              <w:jc w:val="left"/>
              <w:rPr>
                <w:sz w:val="18"/>
                <w:szCs w:val="18"/>
              </w:rPr>
            </w:pPr>
            <w:r w:rsidRPr="004C78D8">
              <w:rPr>
                <w:sz w:val="18"/>
                <w:szCs w:val="18"/>
              </w:rPr>
              <w:t>MA fall</w:t>
            </w:r>
          </w:p>
        </w:tc>
        <w:tc>
          <w:tcPr>
            <w:tcW w:w="1701" w:type="dxa"/>
            <w:tcBorders>
              <w:top w:val="nil"/>
            </w:tcBorders>
          </w:tcPr>
          <w:p w14:paraId="6348D901" w14:textId="77777777" w:rsidR="00035FB9" w:rsidRPr="004C78D8" w:rsidRDefault="00035FB9" w:rsidP="00FB7C1F">
            <w:pPr>
              <w:jc w:val="left"/>
              <w:rPr>
                <w:sz w:val="18"/>
                <w:szCs w:val="18"/>
              </w:rPr>
            </w:pPr>
            <w:r w:rsidRPr="004C78D8">
              <w:rPr>
                <w:sz w:val="18"/>
                <w:szCs w:val="18"/>
              </w:rPr>
              <w:t>No</w:t>
            </w:r>
          </w:p>
        </w:tc>
      </w:tr>
      <w:tr w:rsidR="00035FB9" w:rsidRPr="004C78D8" w14:paraId="760BA14B" w14:textId="77777777" w:rsidTr="002828C1">
        <w:tc>
          <w:tcPr>
            <w:tcW w:w="7792" w:type="dxa"/>
            <w:gridSpan w:val="5"/>
            <w:tcBorders>
              <w:bottom w:val="single" w:sz="4" w:space="0" w:color="auto"/>
            </w:tcBorders>
          </w:tcPr>
          <w:p w14:paraId="01996D88" w14:textId="77777777" w:rsidR="00035FB9" w:rsidRPr="004C78D8" w:rsidRDefault="00035FB9" w:rsidP="00FB7C1F">
            <w:pPr>
              <w:jc w:val="left"/>
              <w:rPr>
                <w:b/>
                <w:bCs/>
              </w:rPr>
            </w:pPr>
            <w:r w:rsidRPr="004C78D8">
              <w:rPr>
                <w:b/>
                <w:bCs/>
                <w:sz w:val="20"/>
                <w:szCs w:val="20"/>
              </w:rPr>
              <w:t>Cohort-level Markov model</w:t>
            </w:r>
          </w:p>
        </w:tc>
      </w:tr>
      <w:tr w:rsidR="00035FB9" w:rsidRPr="004C78D8" w14:paraId="3258EBFA" w14:textId="77777777" w:rsidTr="002828C1">
        <w:tc>
          <w:tcPr>
            <w:tcW w:w="2122" w:type="dxa"/>
            <w:tcBorders>
              <w:bottom w:val="nil"/>
            </w:tcBorders>
          </w:tcPr>
          <w:p w14:paraId="37379E81" w14:textId="77777777" w:rsidR="00035FB9" w:rsidRPr="004C78D8" w:rsidRDefault="00035FB9" w:rsidP="00FB7C1F">
            <w:pPr>
              <w:jc w:val="left"/>
              <w:rPr>
                <w:sz w:val="18"/>
                <w:szCs w:val="18"/>
              </w:rPr>
            </w:pPr>
            <w:r w:rsidRPr="004C78D8">
              <w:rPr>
                <w:sz w:val="18"/>
                <w:szCs w:val="18"/>
              </w:rPr>
              <w:t>Alhambra-Borras (2019)</w:t>
            </w:r>
          </w:p>
        </w:tc>
        <w:tc>
          <w:tcPr>
            <w:tcW w:w="1134" w:type="dxa"/>
            <w:tcBorders>
              <w:bottom w:val="nil"/>
            </w:tcBorders>
          </w:tcPr>
          <w:p w14:paraId="6BC87B39" w14:textId="77777777" w:rsidR="00035FB9" w:rsidRPr="004C78D8" w:rsidRDefault="00035FB9" w:rsidP="00FB7C1F">
            <w:pPr>
              <w:jc w:val="left"/>
              <w:rPr>
                <w:sz w:val="18"/>
                <w:szCs w:val="18"/>
              </w:rPr>
            </w:pPr>
            <w:r w:rsidRPr="004C78D8">
              <w:rPr>
                <w:sz w:val="18"/>
                <w:szCs w:val="18"/>
              </w:rPr>
              <w:t>Individual</w:t>
            </w:r>
          </w:p>
        </w:tc>
        <w:tc>
          <w:tcPr>
            <w:tcW w:w="992" w:type="dxa"/>
            <w:tcBorders>
              <w:bottom w:val="nil"/>
            </w:tcBorders>
          </w:tcPr>
          <w:p w14:paraId="052C3B0A" w14:textId="77777777" w:rsidR="00035FB9" w:rsidRPr="004C78D8" w:rsidRDefault="00035FB9" w:rsidP="00FB7C1F">
            <w:pPr>
              <w:jc w:val="left"/>
              <w:rPr>
                <w:sz w:val="18"/>
                <w:szCs w:val="18"/>
              </w:rPr>
            </w:pPr>
            <w:r w:rsidRPr="004C78D8">
              <w:rPr>
                <w:sz w:val="18"/>
                <w:szCs w:val="18"/>
              </w:rPr>
              <w:t>1 year</w:t>
            </w:r>
          </w:p>
        </w:tc>
        <w:tc>
          <w:tcPr>
            <w:tcW w:w="1843" w:type="dxa"/>
            <w:tcBorders>
              <w:bottom w:val="nil"/>
            </w:tcBorders>
          </w:tcPr>
          <w:p w14:paraId="0CE18F88" w14:textId="1FCFB825" w:rsidR="00035FB9" w:rsidRPr="004C78D8" w:rsidRDefault="00035FB9" w:rsidP="00FB7C1F">
            <w:pPr>
              <w:jc w:val="left"/>
              <w:rPr>
                <w:sz w:val="18"/>
                <w:szCs w:val="18"/>
              </w:rPr>
            </w:pPr>
            <w:r w:rsidRPr="004C78D8">
              <w:rPr>
                <w:sz w:val="18"/>
                <w:szCs w:val="18"/>
              </w:rPr>
              <w:t>Composite</w:t>
            </w:r>
            <w:r w:rsidR="008B1D72" w:rsidRPr="004C78D8">
              <w:rPr>
                <w:sz w:val="18"/>
                <w:szCs w:val="18"/>
                <w:vertAlign w:val="superscript"/>
              </w:rPr>
              <w:t>5</w:t>
            </w:r>
          </w:p>
        </w:tc>
        <w:tc>
          <w:tcPr>
            <w:tcW w:w="1701" w:type="dxa"/>
            <w:tcBorders>
              <w:bottom w:val="nil"/>
            </w:tcBorders>
          </w:tcPr>
          <w:p w14:paraId="444BFDEB" w14:textId="45C86674" w:rsidR="00035FB9" w:rsidRPr="004C78D8" w:rsidRDefault="00035FB9" w:rsidP="00FB7C1F">
            <w:pPr>
              <w:jc w:val="left"/>
              <w:rPr>
                <w:sz w:val="18"/>
                <w:szCs w:val="18"/>
              </w:rPr>
            </w:pPr>
            <w:r w:rsidRPr="004C78D8">
              <w:rPr>
                <w:sz w:val="18"/>
                <w:szCs w:val="18"/>
              </w:rPr>
              <w:t>Yes: Composite</w:t>
            </w:r>
            <w:r w:rsidR="008B1D72" w:rsidRPr="004C78D8">
              <w:rPr>
                <w:sz w:val="18"/>
                <w:szCs w:val="18"/>
                <w:vertAlign w:val="superscript"/>
              </w:rPr>
              <w:t>5</w:t>
            </w:r>
          </w:p>
        </w:tc>
      </w:tr>
      <w:tr w:rsidR="00035FB9" w:rsidRPr="004C78D8" w14:paraId="6B038DF4" w14:textId="77777777" w:rsidTr="002828C1">
        <w:tc>
          <w:tcPr>
            <w:tcW w:w="2122" w:type="dxa"/>
            <w:tcBorders>
              <w:top w:val="nil"/>
              <w:bottom w:val="nil"/>
            </w:tcBorders>
          </w:tcPr>
          <w:p w14:paraId="186193DD" w14:textId="77777777" w:rsidR="00035FB9" w:rsidRPr="004C78D8" w:rsidRDefault="00035FB9" w:rsidP="00FB7C1F">
            <w:pPr>
              <w:jc w:val="left"/>
              <w:rPr>
                <w:sz w:val="18"/>
                <w:szCs w:val="18"/>
              </w:rPr>
            </w:pPr>
            <w:r w:rsidRPr="004C78D8">
              <w:rPr>
                <w:sz w:val="18"/>
                <w:szCs w:val="18"/>
              </w:rPr>
              <w:t>BODE3 models</w:t>
            </w:r>
          </w:p>
        </w:tc>
        <w:tc>
          <w:tcPr>
            <w:tcW w:w="1134" w:type="dxa"/>
            <w:tcBorders>
              <w:top w:val="nil"/>
              <w:bottom w:val="nil"/>
            </w:tcBorders>
          </w:tcPr>
          <w:p w14:paraId="7272480B" w14:textId="77777777" w:rsidR="00035FB9" w:rsidRPr="004C78D8" w:rsidRDefault="00035FB9" w:rsidP="00FB7C1F">
            <w:pPr>
              <w:jc w:val="left"/>
              <w:rPr>
                <w:sz w:val="18"/>
                <w:szCs w:val="18"/>
              </w:rPr>
            </w:pPr>
            <w:r w:rsidRPr="004C78D8">
              <w:rPr>
                <w:sz w:val="18"/>
                <w:szCs w:val="18"/>
              </w:rPr>
              <w:t>Individual</w:t>
            </w:r>
          </w:p>
        </w:tc>
        <w:tc>
          <w:tcPr>
            <w:tcW w:w="992" w:type="dxa"/>
            <w:tcBorders>
              <w:top w:val="nil"/>
              <w:bottom w:val="nil"/>
            </w:tcBorders>
          </w:tcPr>
          <w:p w14:paraId="2542C822" w14:textId="77777777" w:rsidR="00035FB9" w:rsidRPr="004C78D8" w:rsidRDefault="00035FB9" w:rsidP="00FB7C1F">
            <w:pPr>
              <w:jc w:val="left"/>
              <w:rPr>
                <w:sz w:val="18"/>
                <w:szCs w:val="18"/>
              </w:rPr>
            </w:pPr>
            <w:r w:rsidRPr="004C78D8">
              <w:rPr>
                <w:sz w:val="18"/>
                <w:szCs w:val="18"/>
              </w:rPr>
              <w:t>1 year</w:t>
            </w:r>
          </w:p>
        </w:tc>
        <w:tc>
          <w:tcPr>
            <w:tcW w:w="1843" w:type="dxa"/>
            <w:tcBorders>
              <w:top w:val="nil"/>
              <w:bottom w:val="nil"/>
            </w:tcBorders>
          </w:tcPr>
          <w:p w14:paraId="0E0476D4" w14:textId="77777777" w:rsidR="00035FB9" w:rsidRPr="004C78D8" w:rsidRDefault="00035FB9" w:rsidP="00FB7C1F">
            <w:pPr>
              <w:jc w:val="left"/>
              <w:rPr>
                <w:sz w:val="18"/>
                <w:szCs w:val="18"/>
              </w:rPr>
            </w:pPr>
            <w:r w:rsidRPr="004C78D8">
              <w:rPr>
                <w:sz w:val="18"/>
                <w:szCs w:val="18"/>
              </w:rPr>
              <w:t>MA fall</w:t>
            </w:r>
          </w:p>
        </w:tc>
        <w:tc>
          <w:tcPr>
            <w:tcW w:w="1701" w:type="dxa"/>
            <w:tcBorders>
              <w:top w:val="nil"/>
              <w:bottom w:val="nil"/>
            </w:tcBorders>
          </w:tcPr>
          <w:p w14:paraId="5C4F5883" w14:textId="77777777" w:rsidR="00035FB9" w:rsidRPr="004C78D8" w:rsidRDefault="00035FB9" w:rsidP="00FB7C1F">
            <w:pPr>
              <w:jc w:val="left"/>
              <w:rPr>
                <w:sz w:val="18"/>
                <w:szCs w:val="18"/>
              </w:rPr>
            </w:pPr>
            <w:r w:rsidRPr="004C78D8">
              <w:rPr>
                <w:sz w:val="18"/>
                <w:szCs w:val="18"/>
              </w:rPr>
              <w:t>No</w:t>
            </w:r>
          </w:p>
        </w:tc>
      </w:tr>
      <w:tr w:rsidR="00035FB9" w:rsidRPr="004C78D8" w14:paraId="7E3B6119" w14:textId="77777777" w:rsidTr="002828C1">
        <w:tc>
          <w:tcPr>
            <w:tcW w:w="2122" w:type="dxa"/>
            <w:tcBorders>
              <w:top w:val="nil"/>
              <w:bottom w:val="nil"/>
            </w:tcBorders>
          </w:tcPr>
          <w:p w14:paraId="0269A6DB" w14:textId="77777777" w:rsidR="00035FB9" w:rsidRPr="004C78D8" w:rsidRDefault="00035FB9" w:rsidP="00FB7C1F">
            <w:pPr>
              <w:jc w:val="left"/>
              <w:rPr>
                <w:sz w:val="18"/>
                <w:szCs w:val="18"/>
              </w:rPr>
            </w:pPr>
            <w:r w:rsidRPr="004C78D8">
              <w:rPr>
                <w:sz w:val="18"/>
                <w:szCs w:val="18"/>
              </w:rPr>
              <w:t>Church (2011); (2012)</w:t>
            </w:r>
          </w:p>
        </w:tc>
        <w:tc>
          <w:tcPr>
            <w:tcW w:w="1134" w:type="dxa"/>
            <w:tcBorders>
              <w:top w:val="nil"/>
              <w:bottom w:val="nil"/>
            </w:tcBorders>
          </w:tcPr>
          <w:p w14:paraId="2A32D18A" w14:textId="77777777" w:rsidR="00035FB9" w:rsidRPr="004C78D8" w:rsidRDefault="00035FB9" w:rsidP="00FB7C1F">
            <w:pPr>
              <w:jc w:val="left"/>
              <w:rPr>
                <w:sz w:val="18"/>
                <w:szCs w:val="18"/>
              </w:rPr>
            </w:pPr>
            <w:r w:rsidRPr="004C78D8">
              <w:rPr>
                <w:sz w:val="18"/>
                <w:szCs w:val="18"/>
              </w:rPr>
              <w:t>Individual</w:t>
            </w:r>
          </w:p>
        </w:tc>
        <w:tc>
          <w:tcPr>
            <w:tcW w:w="992" w:type="dxa"/>
            <w:tcBorders>
              <w:top w:val="nil"/>
              <w:bottom w:val="nil"/>
            </w:tcBorders>
          </w:tcPr>
          <w:p w14:paraId="7A9D5487" w14:textId="77777777" w:rsidR="00035FB9" w:rsidRPr="004C78D8" w:rsidRDefault="00035FB9" w:rsidP="00FB7C1F">
            <w:pPr>
              <w:jc w:val="left"/>
              <w:rPr>
                <w:sz w:val="18"/>
                <w:szCs w:val="18"/>
              </w:rPr>
            </w:pPr>
            <w:r w:rsidRPr="004C78D8">
              <w:rPr>
                <w:sz w:val="18"/>
                <w:szCs w:val="18"/>
              </w:rPr>
              <w:t>1 year</w:t>
            </w:r>
          </w:p>
        </w:tc>
        <w:tc>
          <w:tcPr>
            <w:tcW w:w="1843" w:type="dxa"/>
            <w:tcBorders>
              <w:top w:val="nil"/>
              <w:bottom w:val="nil"/>
            </w:tcBorders>
          </w:tcPr>
          <w:p w14:paraId="00C0B522" w14:textId="77777777" w:rsidR="00035FB9" w:rsidRPr="004C78D8" w:rsidRDefault="00035FB9" w:rsidP="00FB7C1F">
            <w:pPr>
              <w:jc w:val="left"/>
              <w:rPr>
                <w:sz w:val="18"/>
                <w:szCs w:val="18"/>
              </w:rPr>
            </w:pPr>
            <w:r w:rsidRPr="004C78D8">
              <w:rPr>
                <w:sz w:val="18"/>
                <w:szCs w:val="18"/>
              </w:rPr>
              <w:t>Any fall</w:t>
            </w:r>
          </w:p>
        </w:tc>
        <w:tc>
          <w:tcPr>
            <w:tcW w:w="1701" w:type="dxa"/>
            <w:tcBorders>
              <w:top w:val="nil"/>
              <w:bottom w:val="nil"/>
            </w:tcBorders>
          </w:tcPr>
          <w:p w14:paraId="7BF19704" w14:textId="77777777" w:rsidR="00035FB9" w:rsidRPr="004C78D8" w:rsidRDefault="00035FB9" w:rsidP="00FB7C1F">
            <w:pPr>
              <w:jc w:val="left"/>
              <w:rPr>
                <w:sz w:val="18"/>
                <w:szCs w:val="18"/>
              </w:rPr>
            </w:pPr>
            <w:r w:rsidRPr="004C78D8">
              <w:rPr>
                <w:sz w:val="18"/>
                <w:szCs w:val="18"/>
              </w:rPr>
              <w:t>No</w:t>
            </w:r>
          </w:p>
        </w:tc>
      </w:tr>
      <w:tr w:rsidR="00035FB9" w:rsidRPr="004C78D8" w14:paraId="61AF1B4C" w14:textId="77777777" w:rsidTr="002828C1">
        <w:tc>
          <w:tcPr>
            <w:tcW w:w="2122" w:type="dxa"/>
            <w:tcBorders>
              <w:top w:val="nil"/>
              <w:bottom w:val="nil"/>
            </w:tcBorders>
          </w:tcPr>
          <w:p w14:paraId="4708EFFF" w14:textId="77777777" w:rsidR="00035FB9" w:rsidRPr="004C78D8" w:rsidRDefault="00035FB9" w:rsidP="00FB7C1F">
            <w:pPr>
              <w:jc w:val="left"/>
              <w:rPr>
                <w:sz w:val="18"/>
                <w:szCs w:val="18"/>
              </w:rPr>
            </w:pPr>
            <w:r w:rsidRPr="004C78D8">
              <w:rPr>
                <w:sz w:val="18"/>
                <w:szCs w:val="18"/>
              </w:rPr>
              <w:t>Eldridge (2005)</w:t>
            </w:r>
          </w:p>
        </w:tc>
        <w:tc>
          <w:tcPr>
            <w:tcW w:w="1134" w:type="dxa"/>
            <w:tcBorders>
              <w:top w:val="nil"/>
              <w:bottom w:val="nil"/>
            </w:tcBorders>
          </w:tcPr>
          <w:p w14:paraId="3CEBE37A" w14:textId="77777777" w:rsidR="00035FB9" w:rsidRPr="004C78D8" w:rsidRDefault="00035FB9" w:rsidP="00FB7C1F">
            <w:pPr>
              <w:jc w:val="left"/>
              <w:rPr>
                <w:sz w:val="18"/>
                <w:szCs w:val="18"/>
              </w:rPr>
            </w:pPr>
            <w:r w:rsidRPr="004C78D8">
              <w:rPr>
                <w:sz w:val="18"/>
                <w:szCs w:val="18"/>
              </w:rPr>
              <w:t>Individual</w:t>
            </w:r>
          </w:p>
        </w:tc>
        <w:tc>
          <w:tcPr>
            <w:tcW w:w="992" w:type="dxa"/>
            <w:tcBorders>
              <w:top w:val="nil"/>
              <w:bottom w:val="nil"/>
            </w:tcBorders>
          </w:tcPr>
          <w:p w14:paraId="408290FE" w14:textId="77777777" w:rsidR="00035FB9" w:rsidRPr="004C78D8" w:rsidRDefault="00035FB9" w:rsidP="00FB7C1F">
            <w:pPr>
              <w:jc w:val="left"/>
              <w:rPr>
                <w:sz w:val="18"/>
                <w:szCs w:val="18"/>
              </w:rPr>
            </w:pPr>
            <w:r w:rsidRPr="004C78D8">
              <w:rPr>
                <w:sz w:val="18"/>
                <w:szCs w:val="18"/>
              </w:rPr>
              <w:t>1 year</w:t>
            </w:r>
          </w:p>
        </w:tc>
        <w:tc>
          <w:tcPr>
            <w:tcW w:w="1843" w:type="dxa"/>
            <w:tcBorders>
              <w:top w:val="nil"/>
              <w:bottom w:val="nil"/>
            </w:tcBorders>
          </w:tcPr>
          <w:p w14:paraId="6C0139A9" w14:textId="77777777" w:rsidR="00035FB9" w:rsidRPr="004C78D8" w:rsidRDefault="00035FB9" w:rsidP="00FB7C1F">
            <w:pPr>
              <w:jc w:val="left"/>
              <w:rPr>
                <w:sz w:val="18"/>
                <w:szCs w:val="18"/>
              </w:rPr>
            </w:pPr>
            <w:r w:rsidRPr="004C78D8">
              <w:rPr>
                <w:sz w:val="18"/>
                <w:szCs w:val="18"/>
              </w:rPr>
              <w:t>Any fall</w:t>
            </w:r>
          </w:p>
        </w:tc>
        <w:tc>
          <w:tcPr>
            <w:tcW w:w="1701" w:type="dxa"/>
            <w:tcBorders>
              <w:top w:val="nil"/>
              <w:bottom w:val="nil"/>
            </w:tcBorders>
          </w:tcPr>
          <w:p w14:paraId="060DFCFD" w14:textId="77777777" w:rsidR="00035FB9" w:rsidRPr="004C78D8" w:rsidRDefault="00035FB9" w:rsidP="00FB7C1F">
            <w:pPr>
              <w:jc w:val="left"/>
              <w:rPr>
                <w:sz w:val="18"/>
                <w:szCs w:val="18"/>
              </w:rPr>
            </w:pPr>
            <w:r w:rsidRPr="004C78D8">
              <w:rPr>
                <w:sz w:val="18"/>
                <w:szCs w:val="18"/>
              </w:rPr>
              <w:t>No</w:t>
            </w:r>
          </w:p>
        </w:tc>
      </w:tr>
      <w:tr w:rsidR="00035FB9" w:rsidRPr="004C78D8" w14:paraId="08C345C0" w14:textId="77777777" w:rsidTr="002828C1">
        <w:tc>
          <w:tcPr>
            <w:tcW w:w="2122" w:type="dxa"/>
            <w:tcBorders>
              <w:top w:val="nil"/>
              <w:bottom w:val="nil"/>
            </w:tcBorders>
          </w:tcPr>
          <w:p w14:paraId="15B724F4" w14:textId="77777777" w:rsidR="00035FB9" w:rsidRPr="004C78D8" w:rsidRDefault="00035FB9" w:rsidP="00FB7C1F">
            <w:pPr>
              <w:jc w:val="left"/>
              <w:rPr>
                <w:sz w:val="18"/>
                <w:szCs w:val="18"/>
              </w:rPr>
            </w:pPr>
            <w:r w:rsidRPr="004C78D8">
              <w:rPr>
                <w:sz w:val="18"/>
                <w:szCs w:val="18"/>
              </w:rPr>
              <w:t>Farag (2015)</w:t>
            </w:r>
          </w:p>
        </w:tc>
        <w:tc>
          <w:tcPr>
            <w:tcW w:w="1134" w:type="dxa"/>
            <w:tcBorders>
              <w:top w:val="nil"/>
              <w:bottom w:val="nil"/>
            </w:tcBorders>
          </w:tcPr>
          <w:p w14:paraId="2E115F29" w14:textId="77777777" w:rsidR="00035FB9" w:rsidRPr="004C78D8" w:rsidRDefault="00035FB9" w:rsidP="00FB7C1F">
            <w:pPr>
              <w:jc w:val="left"/>
              <w:rPr>
                <w:sz w:val="18"/>
                <w:szCs w:val="18"/>
              </w:rPr>
            </w:pPr>
            <w:r w:rsidRPr="004C78D8">
              <w:rPr>
                <w:sz w:val="18"/>
                <w:szCs w:val="18"/>
              </w:rPr>
              <w:t>Individual</w:t>
            </w:r>
          </w:p>
        </w:tc>
        <w:tc>
          <w:tcPr>
            <w:tcW w:w="992" w:type="dxa"/>
            <w:tcBorders>
              <w:top w:val="nil"/>
              <w:bottom w:val="nil"/>
            </w:tcBorders>
          </w:tcPr>
          <w:p w14:paraId="6B7C7C69" w14:textId="77777777" w:rsidR="00035FB9" w:rsidRPr="004C78D8" w:rsidRDefault="00035FB9" w:rsidP="00FB7C1F">
            <w:pPr>
              <w:jc w:val="left"/>
              <w:rPr>
                <w:sz w:val="18"/>
                <w:szCs w:val="18"/>
              </w:rPr>
            </w:pPr>
            <w:r w:rsidRPr="004C78D8">
              <w:rPr>
                <w:sz w:val="18"/>
                <w:szCs w:val="18"/>
              </w:rPr>
              <w:t>1 year</w:t>
            </w:r>
          </w:p>
        </w:tc>
        <w:tc>
          <w:tcPr>
            <w:tcW w:w="1843" w:type="dxa"/>
            <w:tcBorders>
              <w:top w:val="nil"/>
              <w:bottom w:val="nil"/>
            </w:tcBorders>
          </w:tcPr>
          <w:p w14:paraId="21BDC427" w14:textId="77777777" w:rsidR="00035FB9" w:rsidRPr="004C78D8" w:rsidRDefault="00035FB9" w:rsidP="00FB7C1F">
            <w:pPr>
              <w:jc w:val="left"/>
              <w:rPr>
                <w:sz w:val="18"/>
                <w:szCs w:val="18"/>
              </w:rPr>
            </w:pPr>
            <w:r w:rsidRPr="004C78D8">
              <w:rPr>
                <w:sz w:val="18"/>
                <w:szCs w:val="18"/>
              </w:rPr>
              <w:t>Any fall</w:t>
            </w:r>
          </w:p>
        </w:tc>
        <w:tc>
          <w:tcPr>
            <w:tcW w:w="1701" w:type="dxa"/>
            <w:tcBorders>
              <w:top w:val="nil"/>
              <w:bottom w:val="nil"/>
            </w:tcBorders>
          </w:tcPr>
          <w:p w14:paraId="081AD753" w14:textId="77777777" w:rsidR="00035FB9" w:rsidRPr="004C78D8" w:rsidRDefault="00035FB9" w:rsidP="00FB7C1F">
            <w:pPr>
              <w:jc w:val="left"/>
              <w:rPr>
                <w:sz w:val="18"/>
                <w:szCs w:val="18"/>
              </w:rPr>
            </w:pPr>
            <w:r w:rsidRPr="004C78D8">
              <w:rPr>
                <w:sz w:val="18"/>
                <w:szCs w:val="18"/>
              </w:rPr>
              <w:t>No</w:t>
            </w:r>
          </w:p>
        </w:tc>
      </w:tr>
      <w:tr w:rsidR="00035FB9" w:rsidRPr="004C78D8" w14:paraId="2C250462" w14:textId="77777777" w:rsidTr="002828C1">
        <w:tc>
          <w:tcPr>
            <w:tcW w:w="2122" w:type="dxa"/>
            <w:tcBorders>
              <w:top w:val="nil"/>
              <w:bottom w:val="nil"/>
            </w:tcBorders>
          </w:tcPr>
          <w:p w14:paraId="46578BE0" w14:textId="77777777" w:rsidR="00035FB9" w:rsidRPr="004C78D8" w:rsidRDefault="00035FB9" w:rsidP="00FB7C1F">
            <w:pPr>
              <w:jc w:val="left"/>
              <w:rPr>
                <w:sz w:val="18"/>
                <w:szCs w:val="18"/>
              </w:rPr>
            </w:pPr>
            <w:r w:rsidRPr="004C78D8">
              <w:rPr>
                <w:sz w:val="18"/>
                <w:szCs w:val="18"/>
              </w:rPr>
              <w:t>Franklin (2019)</w:t>
            </w:r>
          </w:p>
        </w:tc>
        <w:tc>
          <w:tcPr>
            <w:tcW w:w="1134" w:type="dxa"/>
            <w:tcBorders>
              <w:top w:val="nil"/>
              <w:bottom w:val="nil"/>
            </w:tcBorders>
          </w:tcPr>
          <w:p w14:paraId="279DE1E6" w14:textId="77777777" w:rsidR="00035FB9" w:rsidRPr="004C78D8" w:rsidRDefault="00035FB9" w:rsidP="00FB7C1F">
            <w:pPr>
              <w:jc w:val="left"/>
              <w:rPr>
                <w:sz w:val="18"/>
                <w:szCs w:val="18"/>
              </w:rPr>
            </w:pPr>
            <w:r w:rsidRPr="004C78D8">
              <w:rPr>
                <w:sz w:val="18"/>
                <w:szCs w:val="18"/>
              </w:rPr>
              <w:t>Individual</w:t>
            </w:r>
          </w:p>
        </w:tc>
        <w:tc>
          <w:tcPr>
            <w:tcW w:w="992" w:type="dxa"/>
            <w:tcBorders>
              <w:top w:val="nil"/>
              <w:bottom w:val="nil"/>
            </w:tcBorders>
          </w:tcPr>
          <w:p w14:paraId="6EF00001" w14:textId="77777777" w:rsidR="00035FB9" w:rsidRPr="004C78D8" w:rsidRDefault="00035FB9" w:rsidP="00FB7C1F">
            <w:pPr>
              <w:jc w:val="left"/>
              <w:rPr>
                <w:sz w:val="18"/>
                <w:szCs w:val="18"/>
              </w:rPr>
            </w:pPr>
            <w:r w:rsidRPr="004C78D8">
              <w:rPr>
                <w:sz w:val="18"/>
                <w:szCs w:val="18"/>
              </w:rPr>
              <w:t>1 year</w:t>
            </w:r>
          </w:p>
        </w:tc>
        <w:tc>
          <w:tcPr>
            <w:tcW w:w="1843" w:type="dxa"/>
            <w:tcBorders>
              <w:top w:val="nil"/>
              <w:bottom w:val="nil"/>
            </w:tcBorders>
          </w:tcPr>
          <w:p w14:paraId="083D2333" w14:textId="77777777" w:rsidR="00035FB9" w:rsidRPr="004C78D8" w:rsidRDefault="00035FB9" w:rsidP="00FB7C1F">
            <w:pPr>
              <w:jc w:val="left"/>
              <w:rPr>
                <w:sz w:val="18"/>
                <w:szCs w:val="18"/>
              </w:rPr>
            </w:pPr>
            <w:r w:rsidRPr="004C78D8">
              <w:rPr>
                <w:sz w:val="18"/>
                <w:szCs w:val="18"/>
              </w:rPr>
              <w:t>Any fall</w:t>
            </w:r>
          </w:p>
        </w:tc>
        <w:tc>
          <w:tcPr>
            <w:tcW w:w="1701" w:type="dxa"/>
            <w:tcBorders>
              <w:top w:val="nil"/>
              <w:bottom w:val="nil"/>
            </w:tcBorders>
          </w:tcPr>
          <w:p w14:paraId="2C7C0052" w14:textId="77777777" w:rsidR="00035FB9" w:rsidRPr="004C78D8" w:rsidRDefault="00035FB9" w:rsidP="00FB7C1F">
            <w:pPr>
              <w:jc w:val="left"/>
              <w:rPr>
                <w:sz w:val="18"/>
                <w:szCs w:val="18"/>
              </w:rPr>
            </w:pPr>
            <w:r w:rsidRPr="004C78D8">
              <w:rPr>
                <w:sz w:val="18"/>
                <w:szCs w:val="18"/>
              </w:rPr>
              <w:t>Yes</w:t>
            </w:r>
          </w:p>
        </w:tc>
      </w:tr>
      <w:tr w:rsidR="00035FB9" w:rsidRPr="004C78D8" w14:paraId="7A3E528E" w14:textId="77777777" w:rsidTr="002828C1">
        <w:tc>
          <w:tcPr>
            <w:tcW w:w="2122" w:type="dxa"/>
            <w:tcBorders>
              <w:top w:val="nil"/>
              <w:bottom w:val="nil"/>
            </w:tcBorders>
          </w:tcPr>
          <w:p w14:paraId="2325FF17" w14:textId="77777777" w:rsidR="00035FB9" w:rsidRPr="004C78D8" w:rsidRDefault="00035FB9" w:rsidP="00FB7C1F">
            <w:pPr>
              <w:jc w:val="left"/>
              <w:rPr>
                <w:sz w:val="18"/>
                <w:szCs w:val="18"/>
              </w:rPr>
            </w:pPr>
            <w:r w:rsidRPr="004C78D8">
              <w:rPr>
                <w:sz w:val="18"/>
                <w:szCs w:val="18"/>
              </w:rPr>
              <w:t>Honkanen (2006)</w:t>
            </w:r>
          </w:p>
        </w:tc>
        <w:tc>
          <w:tcPr>
            <w:tcW w:w="1134" w:type="dxa"/>
            <w:tcBorders>
              <w:top w:val="nil"/>
              <w:bottom w:val="nil"/>
            </w:tcBorders>
          </w:tcPr>
          <w:p w14:paraId="03B7E6E2" w14:textId="77777777" w:rsidR="00035FB9" w:rsidRPr="004C78D8" w:rsidRDefault="00035FB9" w:rsidP="00FB7C1F">
            <w:pPr>
              <w:jc w:val="left"/>
              <w:rPr>
                <w:sz w:val="18"/>
                <w:szCs w:val="18"/>
              </w:rPr>
            </w:pPr>
            <w:r w:rsidRPr="004C78D8">
              <w:rPr>
                <w:sz w:val="18"/>
                <w:szCs w:val="18"/>
              </w:rPr>
              <w:t>Individual</w:t>
            </w:r>
          </w:p>
        </w:tc>
        <w:tc>
          <w:tcPr>
            <w:tcW w:w="992" w:type="dxa"/>
            <w:tcBorders>
              <w:top w:val="nil"/>
              <w:bottom w:val="nil"/>
            </w:tcBorders>
          </w:tcPr>
          <w:p w14:paraId="41211131" w14:textId="77777777" w:rsidR="00035FB9" w:rsidRPr="004C78D8" w:rsidRDefault="00035FB9" w:rsidP="00FB7C1F">
            <w:pPr>
              <w:jc w:val="left"/>
              <w:rPr>
                <w:sz w:val="18"/>
                <w:szCs w:val="18"/>
              </w:rPr>
            </w:pPr>
            <w:r w:rsidRPr="004C78D8">
              <w:rPr>
                <w:sz w:val="18"/>
                <w:szCs w:val="18"/>
              </w:rPr>
              <w:t>1 year</w:t>
            </w:r>
          </w:p>
        </w:tc>
        <w:tc>
          <w:tcPr>
            <w:tcW w:w="1843" w:type="dxa"/>
            <w:tcBorders>
              <w:top w:val="nil"/>
              <w:bottom w:val="nil"/>
            </w:tcBorders>
          </w:tcPr>
          <w:p w14:paraId="2C9D5B45" w14:textId="77777777" w:rsidR="00035FB9" w:rsidRPr="004C78D8" w:rsidRDefault="00035FB9" w:rsidP="00FB7C1F">
            <w:pPr>
              <w:jc w:val="left"/>
              <w:rPr>
                <w:sz w:val="18"/>
                <w:szCs w:val="18"/>
              </w:rPr>
            </w:pPr>
            <w:r w:rsidRPr="004C78D8">
              <w:rPr>
                <w:sz w:val="18"/>
                <w:szCs w:val="18"/>
              </w:rPr>
              <w:t>Hip fracture</w:t>
            </w:r>
          </w:p>
        </w:tc>
        <w:tc>
          <w:tcPr>
            <w:tcW w:w="1701" w:type="dxa"/>
            <w:tcBorders>
              <w:top w:val="nil"/>
              <w:bottom w:val="nil"/>
            </w:tcBorders>
          </w:tcPr>
          <w:p w14:paraId="2BC33112" w14:textId="77777777" w:rsidR="00035FB9" w:rsidRPr="004C78D8" w:rsidRDefault="00035FB9" w:rsidP="00FB7C1F">
            <w:pPr>
              <w:jc w:val="left"/>
              <w:rPr>
                <w:sz w:val="18"/>
                <w:szCs w:val="18"/>
              </w:rPr>
            </w:pPr>
            <w:r w:rsidRPr="004C78D8">
              <w:rPr>
                <w:sz w:val="18"/>
                <w:szCs w:val="18"/>
              </w:rPr>
              <w:t>No</w:t>
            </w:r>
          </w:p>
        </w:tc>
      </w:tr>
      <w:tr w:rsidR="00035FB9" w:rsidRPr="004C78D8" w14:paraId="4630FBE7" w14:textId="77777777" w:rsidTr="002828C1">
        <w:tc>
          <w:tcPr>
            <w:tcW w:w="2122" w:type="dxa"/>
            <w:tcBorders>
              <w:top w:val="nil"/>
              <w:bottom w:val="nil"/>
            </w:tcBorders>
          </w:tcPr>
          <w:p w14:paraId="43F21BAE" w14:textId="77777777" w:rsidR="00035FB9" w:rsidRPr="004C78D8" w:rsidRDefault="00035FB9" w:rsidP="00FB7C1F">
            <w:pPr>
              <w:jc w:val="left"/>
              <w:rPr>
                <w:sz w:val="18"/>
                <w:szCs w:val="18"/>
              </w:rPr>
            </w:pPr>
            <w:r w:rsidRPr="004C78D8">
              <w:rPr>
                <w:sz w:val="18"/>
                <w:szCs w:val="18"/>
              </w:rPr>
              <w:t>Johansson (2008)</w:t>
            </w:r>
          </w:p>
        </w:tc>
        <w:tc>
          <w:tcPr>
            <w:tcW w:w="1134" w:type="dxa"/>
            <w:tcBorders>
              <w:top w:val="nil"/>
              <w:bottom w:val="nil"/>
            </w:tcBorders>
          </w:tcPr>
          <w:p w14:paraId="3A1CB30F" w14:textId="77777777" w:rsidR="00035FB9" w:rsidRPr="004C78D8" w:rsidRDefault="00035FB9" w:rsidP="00FB7C1F">
            <w:pPr>
              <w:jc w:val="left"/>
              <w:rPr>
                <w:sz w:val="18"/>
                <w:szCs w:val="18"/>
              </w:rPr>
            </w:pPr>
            <w:r w:rsidRPr="004C78D8">
              <w:rPr>
                <w:sz w:val="18"/>
                <w:szCs w:val="18"/>
              </w:rPr>
              <w:t>Individual</w:t>
            </w:r>
          </w:p>
        </w:tc>
        <w:tc>
          <w:tcPr>
            <w:tcW w:w="992" w:type="dxa"/>
            <w:tcBorders>
              <w:top w:val="nil"/>
              <w:bottom w:val="nil"/>
            </w:tcBorders>
          </w:tcPr>
          <w:p w14:paraId="7A0E1FE9" w14:textId="77777777" w:rsidR="00035FB9" w:rsidRPr="004C78D8" w:rsidRDefault="00035FB9" w:rsidP="00FB7C1F">
            <w:pPr>
              <w:jc w:val="left"/>
              <w:rPr>
                <w:sz w:val="18"/>
                <w:szCs w:val="18"/>
              </w:rPr>
            </w:pPr>
            <w:r w:rsidRPr="004C78D8">
              <w:rPr>
                <w:sz w:val="18"/>
                <w:szCs w:val="18"/>
              </w:rPr>
              <w:t>1 year</w:t>
            </w:r>
          </w:p>
        </w:tc>
        <w:tc>
          <w:tcPr>
            <w:tcW w:w="1843" w:type="dxa"/>
            <w:tcBorders>
              <w:top w:val="nil"/>
              <w:bottom w:val="nil"/>
            </w:tcBorders>
          </w:tcPr>
          <w:p w14:paraId="0AEB2934" w14:textId="77777777" w:rsidR="00035FB9" w:rsidRPr="004C78D8" w:rsidRDefault="00035FB9" w:rsidP="00FB7C1F">
            <w:pPr>
              <w:jc w:val="left"/>
              <w:rPr>
                <w:sz w:val="18"/>
                <w:szCs w:val="18"/>
              </w:rPr>
            </w:pPr>
            <w:r w:rsidRPr="004C78D8">
              <w:rPr>
                <w:sz w:val="18"/>
                <w:szCs w:val="18"/>
              </w:rPr>
              <w:t>Hip fracture</w:t>
            </w:r>
          </w:p>
        </w:tc>
        <w:tc>
          <w:tcPr>
            <w:tcW w:w="1701" w:type="dxa"/>
            <w:tcBorders>
              <w:top w:val="nil"/>
              <w:bottom w:val="nil"/>
            </w:tcBorders>
          </w:tcPr>
          <w:p w14:paraId="7A987798" w14:textId="77777777" w:rsidR="00035FB9" w:rsidRPr="004C78D8" w:rsidRDefault="00035FB9" w:rsidP="00FB7C1F">
            <w:pPr>
              <w:jc w:val="left"/>
              <w:rPr>
                <w:sz w:val="18"/>
                <w:szCs w:val="18"/>
              </w:rPr>
            </w:pPr>
            <w:r w:rsidRPr="004C78D8">
              <w:rPr>
                <w:sz w:val="18"/>
                <w:szCs w:val="18"/>
              </w:rPr>
              <w:t>No</w:t>
            </w:r>
          </w:p>
        </w:tc>
      </w:tr>
      <w:tr w:rsidR="00035FB9" w:rsidRPr="004C78D8" w14:paraId="56A2B75B" w14:textId="77777777" w:rsidTr="002828C1">
        <w:tc>
          <w:tcPr>
            <w:tcW w:w="2122" w:type="dxa"/>
            <w:tcBorders>
              <w:top w:val="nil"/>
              <w:bottom w:val="nil"/>
            </w:tcBorders>
          </w:tcPr>
          <w:p w14:paraId="603CA628" w14:textId="77777777" w:rsidR="00035FB9" w:rsidRPr="004C78D8" w:rsidRDefault="00035FB9" w:rsidP="00FB7C1F">
            <w:pPr>
              <w:jc w:val="left"/>
              <w:rPr>
                <w:sz w:val="18"/>
                <w:szCs w:val="18"/>
              </w:rPr>
            </w:pPr>
            <w:r w:rsidRPr="004C78D8">
              <w:rPr>
                <w:sz w:val="18"/>
                <w:szCs w:val="18"/>
              </w:rPr>
              <w:t>Lee (2013)</w:t>
            </w:r>
          </w:p>
        </w:tc>
        <w:tc>
          <w:tcPr>
            <w:tcW w:w="1134" w:type="dxa"/>
            <w:tcBorders>
              <w:top w:val="nil"/>
              <w:bottom w:val="nil"/>
            </w:tcBorders>
          </w:tcPr>
          <w:p w14:paraId="11BF3330" w14:textId="77777777" w:rsidR="00035FB9" w:rsidRPr="004C78D8" w:rsidRDefault="00035FB9" w:rsidP="00FB7C1F">
            <w:pPr>
              <w:jc w:val="left"/>
              <w:rPr>
                <w:sz w:val="18"/>
                <w:szCs w:val="18"/>
              </w:rPr>
            </w:pPr>
            <w:r w:rsidRPr="004C78D8">
              <w:rPr>
                <w:sz w:val="18"/>
                <w:szCs w:val="18"/>
              </w:rPr>
              <w:t>Individual</w:t>
            </w:r>
          </w:p>
        </w:tc>
        <w:tc>
          <w:tcPr>
            <w:tcW w:w="992" w:type="dxa"/>
            <w:tcBorders>
              <w:top w:val="nil"/>
              <w:bottom w:val="nil"/>
            </w:tcBorders>
          </w:tcPr>
          <w:p w14:paraId="6F1B6611" w14:textId="77777777" w:rsidR="00035FB9" w:rsidRPr="004C78D8" w:rsidRDefault="00035FB9" w:rsidP="00FB7C1F">
            <w:pPr>
              <w:jc w:val="left"/>
              <w:rPr>
                <w:sz w:val="18"/>
                <w:szCs w:val="18"/>
              </w:rPr>
            </w:pPr>
            <w:r w:rsidRPr="004C78D8">
              <w:rPr>
                <w:sz w:val="18"/>
                <w:szCs w:val="18"/>
              </w:rPr>
              <w:t>1 month</w:t>
            </w:r>
          </w:p>
        </w:tc>
        <w:tc>
          <w:tcPr>
            <w:tcW w:w="1843" w:type="dxa"/>
            <w:tcBorders>
              <w:top w:val="nil"/>
              <w:bottom w:val="nil"/>
            </w:tcBorders>
          </w:tcPr>
          <w:p w14:paraId="09278BC5" w14:textId="77777777" w:rsidR="00035FB9" w:rsidRPr="004C78D8" w:rsidRDefault="00035FB9" w:rsidP="00FB7C1F">
            <w:pPr>
              <w:jc w:val="left"/>
              <w:rPr>
                <w:sz w:val="18"/>
                <w:szCs w:val="18"/>
              </w:rPr>
            </w:pPr>
            <w:r w:rsidRPr="004C78D8">
              <w:rPr>
                <w:sz w:val="18"/>
                <w:szCs w:val="18"/>
              </w:rPr>
              <w:t>Any fall</w:t>
            </w:r>
          </w:p>
        </w:tc>
        <w:tc>
          <w:tcPr>
            <w:tcW w:w="1701" w:type="dxa"/>
            <w:tcBorders>
              <w:top w:val="nil"/>
              <w:bottom w:val="nil"/>
            </w:tcBorders>
          </w:tcPr>
          <w:p w14:paraId="4D29C621" w14:textId="77777777" w:rsidR="00035FB9" w:rsidRPr="004C78D8" w:rsidRDefault="00035FB9" w:rsidP="00FB7C1F">
            <w:pPr>
              <w:jc w:val="left"/>
              <w:rPr>
                <w:sz w:val="18"/>
                <w:szCs w:val="18"/>
              </w:rPr>
            </w:pPr>
            <w:r w:rsidRPr="004C78D8">
              <w:rPr>
                <w:sz w:val="18"/>
                <w:szCs w:val="18"/>
              </w:rPr>
              <w:t>Yes</w:t>
            </w:r>
          </w:p>
        </w:tc>
      </w:tr>
      <w:tr w:rsidR="00035FB9" w:rsidRPr="004C78D8" w14:paraId="762AA8EC" w14:textId="77777777" w:rsidTr="002828C1">
        <w:tc>
          <w:tcPr>
            <w:tcW w:w="2122" w:type="dxa"/>
            <w:tcBorders>
              <w:top w:val="nil"/>
              <w:bottom w:val="nil"/>
            </w:tcBorders>
          </w:tcPr>
          <w:p w14:paraId="3B60EFF5" w14:textId="77777777" w:rsidR="00035FB9" w:rsidRPr="004C78D8" w:rsidRDefault="00035FB9" w:rsidP="00FB7C1F">
            <w:pPr>
              <w:jc w:val="left"/>
              <w:rPr>
                <w:sz w:val="18"/>
                <w:szCs w:val="18"/>
              </w:rPr>
            </w:pPr>
            <w:r w:rsidRPr="004C78D8">
              <w:rPr>
                <w:sz w:val="18"/>
                <w:szCs w:val="18"/>
              </w:rPr>
              <w:t>Moriarty (2019)</w:t>
            </w:r>
          </w:p>
        </w:tc>
        <w:tc>
          <w:tcPr>
            <w:tcW w:w="1134" w:type="dxa"/>
            <w:tcBorders>
              <w:top w:val="nil"/>
              <w:bottom w:val="nil"/>
            </w:tcBorders>
          </w:tcPr>
          <w:p w14:paraId="10E251F0" w14:textId="77777777" w:rsidR="00035FB9" w:rsidRPr="004C78D8" w:rsidRDefault="00035FB9" w:rsidP="00FB7C1F">
            <w:pPr>
              <w:jc w:val="left"/>
              <w:rPr>
                <w:sz w:val="18"/>
                <w:szCs w:val="18"/>
              </w:rPr>
            </w:pPr>
            <w:r w:rsidRPr="004C78D8">
              <w:rPr>
                <w:sz w:val="18"/>
                <w:szCs w:val="18"/>
              </w:rPr>
              <w:t>Individual</w:t>
            </w:r>
          </w:p>
        </w:tc>
        <w:tc>
          <w:tcPr>
            <w:tcW w:w="992" w:type="dxa"/>
            <w:tcBorders>
              <w:top w:val="nil"/>
              <w:bottom w:val="nil"/>
            </w:tcBorders>
          </w:tcPr>
          <w:p w14:paraId="556E260C" w14:textId="77777777" w:rsidR="00035FB9" w:rsidRPr="004C78D8" w:rsidRDefault="00035FB9" w:rsidP="00FB7C1F">
            <w:pPr>
              <w:jc w:val="left"/>
              <w:rPr>
                <w:sz w:val="18"/>
                <w:szCs w:val="18"/>
              </w:rPr>
            </w:pPr>
            <w:r w:rsidRPr="004C78D8">
              <w:rPr>
                <w:sz w:val="18"/>
                <w:szCs w:val="18"/>
              </w:rPr>
              <w:t>1 year</w:t>
            </w:r>
          </w:p>
        </w:tc>
        <w:tc>
          <w:tcPr>
            <w:tcW w:w="1843" w:type="dxa"/>
            <w:tcBorders>
              <w:top w:val="nil"/>
              <w:bottom w:val="nil"/>
            </w:tcBorders>
          </w:tcPr>
          <w:p w14:paraId="7DB68D98" w14:textId="77777777" w:rsidR="00035FB9" w:rsidRPr="004C78D8" w:rsidRDefault="00035FB9" w:rsidP="00FB7C1F">
            <w:pPr>
              <w:jc w:val="left"/>
              <w:rPr>
                <w:sz w:val="18"/>
                <w:szCs w:val="18"/>
              </w:rPr>
            </w:pPr>
            <w:r w:rsidRPr="004C78D8">
              <w:rPr>
                <w:sz w:val="18"/>
                <w:szCs w:val="18"/>
              </w:rPr>
              <w:t>MA fall/Hip fracture</w:t>
            </w:r>
          </w:p>
        </w:tc>
        <w:tc>
          <w:tcPr>
            <w:tcW w:w="1701" w:type="dxa"/>
            <w:tcBorders>
              <w:top w:val="nil"/>
              <w:bottom w:val="nil"/>
            </w:tcBorders>
          </w:tcPr>
          <w:p w14:paraId="5F630E5B" w14:textId="77777777" w:rsidR="00035FB9" w:rsidRPr="004C78D8" w:rsidRDefault="00035FB9" w:rsidP="00FB7C1F">
            <w:pPr>
              <w:jc w:val="left"/>
              <w:rPr>
                <w:sz w:val="18"/>
                <w:szCs w:val="18"/>
              </w:rPr>
            </w:pPr>
            <w:r w:rsidRPr="004C78D8">
              <w:rPr>
                <w:sz w:val="18"/>
                <w:szCs w:val="18"/>
              </w:rPr>
              <w:t>No</w:t>
            </w:r>
          </w:p>
        </w:tc>
      </w:tr>
      <w:tr w:rsidR="00035FB9" w:rsidRPr="004C78D8" w14:paraId="40A8EE1E" w14:textId="77777777" w:rsidTr="002828C1">
        <w:tc>
          <w:tcPr>
            <w:tcW w:w="2122" w:type="dxa"/>
            <w:tcBorders>
              <w:top w:val="nil"/>
              <w:bottom w:val="nil"/>
            </w:tcBorders>
          </w:tcPr>
          <w:p w14:paraId="5D9F6D34" w14:textId="77777777" w:rsidR="00035FB9" w:rsidRPr="004C78D8" w:rsidRDefault="00035FB9" w:rsidP="00FB7C1F">
            <w:pPr>
              <w:jc w:val="left"/>
              <w:rPr>
                <w:sz w:val="18"/>
                <w:szCs w:val="18"/>
              </w:rPr>
            </w:pPr>
            <w:r w:rsidRPr="004C78D8">
              <w:rPr>
                <w:sz w:val="18"/>
                <w:szCs w:val="18"/>
              </w:rPr>
              <w:t>OMAS (2008)</w:t>
            </w:r>
          </w:p>
        </w:tc>
        <w:tc>
          <w:tcPr>
            <w:tcW w:w="1134" w:type="dxa"/>
            <w:tcBorders>
              <w:top w:val="nil"/>
              <w:bottom w:val="nil"/>
            </w:tcBorders>
          </w:tcPr>
          <w:p w14:paraId="482D4D51" w14:textId="77777777" w:rsidR="00035FB9" w:rsidRPr="004C78D8" w:rsidRDefault="00035FB9" w:rsidP="00FB7C1F">
            <w:pPr>
              <w:jc w:val="left"/>
              <w:rPr>
                <w:sz w:val="18"/>
                <w:szCs w:val="18"/>
              </w:rPr>
            </w:pPr>
            <w:r w:rsidRPr="004C78D8">
              <w:rPr>
                <w:sz w:val="18"/>
                <w:szCs w:val="18"/>
              </w:rPr>
              <w:t>Individual</w:t>
            </w:r>
          </w:p>
        </w:tc>
        <w:tc>
          <w:tcPr>
            <w:tcW w:w="992" w:type="dxa"/>
            <w:tcBorders>
              <w:top w:val="nil"/>
              <w:bottom w:val="nil"/>
            </w:tcBorders>
          </w:tcPr>
          <w:p w14:paraId="0CFBE5B6" w14:textId="77777777" w:rsidR="00035FB9" w:rsidRPr="004C78D8" w:rsidRDefault="00035FB9" w:rsidP="00FB7C1F">
            <w:pPr>
              <w:jc w:val="left"/>
              <w:rPr>
                <w:sz w:val="18"/>
                <w:szCs w:val="18"/>
              </w:rPr>
            </w:pPr>
            <w:r w:rsidRPr="004C78D8">
              <w:rPr>
                <w:sz w:val="18"/>
                <w:szCs w:val="18"/>
              </w:rPr>
              <w:t>1 year</w:t>
            </w:r>
          </w:p>
        </w:tc>
        <w:tc>
          <w:tcPr>
            <w:tcW w:w="1843" w:type="dxa"/>
            <w:tcBorders>
              <w:top w:val="nil"/>
              <w:bottom w:val="nil"/>
            </w:tcBorders>
          </w:tcPr>
          <w:p w14:paraId="36A81CF5" w14:textId="77777777" w:rsidR="00035FB9" w:rsidRPr="004C78D8" w:rsidRDefault="00035FB9" w:rsidP="00FB7C1F">
            <w:pPr>
              <w:jc w:val="left"/>
              <w:rPr>
                <w:sz w:val="18"/>
                <w:szCs w:val="18"/>
              </w:rPr>
            </w:pPr>
            <w:r w:rsidRPr="004C78D8">
              <w:rPr>
                <w:sz w:val="18"/>
                <w:szCs w:val="18"/>
              </w:rPr>
              <w:t>MA fall</w:t>
            </w:r>
          </w:p>
        </w:tc>
        <w:tc>
          <w:tcPr>
            <w:tcW w:w="1701" w:type="dxa"/>
            <w:tcBorders>
              <w:top w:val="nil"/>
              <w:bottom w:val="nil"/>
            </w:tcBorders>
          </w:tcPr>
          <w:p w14:paraId="6A6BB26D" w14:textId="77777777" w:rsidR="00035FB9" w:rsidRPr="004C78D8" w:rsidRDefault="00035FB9" w:rsidP="00FB7C1F">
            <w:pPr>
              <w:jc w:val="left"/>
              <w:rPr>
                <w:sz w:val="18"/>
                <w:szCs w:val="18"/>
              </w:rPr>
            </w:pPr>
            <w:r w:rsidRPr="004C78D8">
              <w:rPr>
                <w:sz w:val="18"/>
                <w:szCs w:val="18"/>
              </w:rPr>
              <w:t>No</w:t>
            </w:r>
          </w:p>
        </w:tc>
      </w:tr>
      <w:tr w:rsidR="00035FB9" w:rsidRPr="004C78D8" w14:paraId="168A6ED1" w14:textId="77777777" w:rsidTr="002828C1">
        <w:tc>
          <w:tcPr>
            <w:tcW w:w="2122" w:type="dxa"/>
            <w:tcBorders>
              <w:top w:val="nil"/>
              <w:bottom w:val="nil"/>
            </w:tcBorders>
          </w:tcPr>
          <w:p w14:paraId="2BC3CBAB" w14:textId="77777777" w:rsidR="00035FB9" w:rsidRPr="004C78D8" w:rsidRDefault="00035FB9" w:rsidP="00FB7C1F">
            <w:pPr>
              <w:jc w:val="left"/>
              <w:rPr>
                <w:sz w:val="18"/>
                <w:szCs w:val="18"/>
              </w:rPr>
            </w:pPr>
            <w:r w:rsidRPr="004C78D8">
              <w:rPr>
                <w:sz w:val="18"/>
                <w:szCs w:val="18"/>
              </w:rPr>
              <w:t>Poole (2015)</w:t>
            </w:r>
          </w:p>
        </w:tc>
        <w:tc>
          <w:tcPr>
            <w:tcW w:w="1134" w:type="dxa"/>
            <w:tcBorders>
              <w:top w:val="nil"/>
              <w:bottom w:val="nil"/>
            </w:tcBorders>
          </w:tcPr>
          <w:p w14:paraId="11691FA3" w14:textId="77777777" w:rsidR="00035FB9" w:rsidRPr="004C78D8" w:rsidRDefault="00035FB9" w:rsidP="00FB7C1F">
            <w:pPr>
              <w:jc w:val="left"/>
              <w:rPr>
                <w:sz w:val="18"/>
                <w:szCs w:val="18"/>
              </w:rPr>
            </w:pPr>
            <w:r w:rsidRPr="004C78D8">
              <w:rPr>
                <w:sz w:val="18"/>
                <w:szCs w:val="18"/>
              </w:rPr>
              <w:t>Individual</w:t>
            </w:r>
          </w:p>
        </w:tc>
        <w:tc>
          <w:tcPr>
            <w:tcW w:w="992" w:type="dxa"/>
            <w:tcBorders>
              <w:top w:val="nil"/>
              <w:bottom w:val="nil"/>
            </w:tcBorders>
          </w:tcPr>
          <w:p w14:paraId="08EF72C1" w14:textId="77777777" w:rsidR="00035FB9" w:rsidRPr="004C78D8" w:rsidRDefault="00035FB9" w:rsidP="00FB7C1F">
            <w:pPr>
              <w:jc w:val="left"/>
              <w:rPr>
                <w:sz w:val="18"/>
                <w:szCs w:val="18"/>
              </w:rPr>
            </w:pPr>
            <w:r w:rsidRPr="004C78D8">
              <w:rPr>
                <w:sz w:val="18"/>
                <w:szCs w:val="18"/>
              </w:rPr>
              <w:t>1 year</w:t>
            </w:r>
          </w:p>
        </w:tc>
        <w:tc>
          <w:tcPr>
            <w:tcW w:w="1843" w:type="dxa"/>
            <w:tcBorders>
              <w:top w:val="nil"/>
              <w:bottom w:val="nil"/>
            </w:tcBorders>
          </w:tcPr>
          <w:p w14:paraId="651214FA" w14:textId="77777777" w:rsidR="00035FB9" w:rsidRPr="004C78D8" w:rsidRDefault="00035FB9" w:rsidP="00FB7C1F">
            <w:pPr>
              <w:jc w:val="left"/>
              <w:rPr>
                <w:sz w:val="18"/>
                <w:szCs w:val="18"/>
              </w:rPr>
            </w:pPr>
            <w:r w:rsidRPr="004C78D8">
              <w:rPr>
                <w:sz w:val="18"/>
                <w:szCs w:val="18"/>
              </w:rPr>
              <w:t>MA fall</w:t>
            </w:r>
          </w:p>
        </w:tc>
        <w:tc>
          <w:tcPr>
            <w:tcW w:w="1701" w:type="dxa"/>
            <w:tcBorders>
              <w:top w:val="nil"/>
              <w:bottom w:val="nil"/>
            </w:tcBorders>
          </w:tcPr>
          <w:p w14:paraId="01BBA3E0" w14:textId="77777777" w:rsidR="00035FB9" w:rsidRPr="004C78D8" w:rsidRDefault="00035FB9" w:rsidP="00FB7C1F">
            <w:pPr>
              <w:jc w:val="left"/>
              <w:rPr>
                <w:sz w:val="18"/>
                <w:szCs w:val="18"/>
              </w:rPr>
            </w:pPr>
            <w:r w:rsidRPr="004C78D8">
              <w:rPr>
                <w:sz w:val="18"/>
                <w:szCs w:val="18"/>
              </w:rPr>
              <w:t>No</w:t>
            </w:r>
          </w:p>
        </w:tc>
      </w:tr>
      <w:tr w:rsidR="00035FB9" w:rsidRPr="004C78D8" w14:paraId="2D4A55D5" w14:textId="77777777" w:rsidTr="002828C1">
        <w:tc>
          <w:tcPr>
            <w:tcW w:w="2122" w:type="dxa"/>
            <w:tcBorders>
              <w:top w:val="nil"/>
              <w:bottom w:val="nil"/>
            </w:tcBorders>
          </w:tcPr>
          <w:p w14:paraId="57CA025F" w14:textId="77777777" w:rsidR="00035FB9" w:rsidRPr="004C78D8" w:rsidRDefault="00035FB9" w:rsidP="00FB7C1F">
            <w:pPr>
              <w:jc w:val="left"/>
              <w:rPr>
                <w:sz w:val="18"/>
                <w:szCs w:val="18"/>
              </w:rPr>
            </w:pPr>
            <w:r w:rsidRPr="004C78D8">
              <w:rPr>
                <w:sz w:val="18"/>
                <w:szCs w:val="18"/>
              </w:rPr>
              <w:t>RCN (2005)</w:t>
            </w:r>
          </w:p>
        </w:tc>
        <w:tc>
          <w:tcPr>
            <w:tcW w:w="1134" w:type="dxa"/>
            <w:tcBorders>
              <w:top w:val="nil"/>
              <w:bottom w:val="nil"/>
            </w:tcBorders>
          </w:tcPr>
          <w:p w14:paraId="7BC9DB10" w14:textId="77777777" w:rsidR="00035FB9" w:rsidRPr="004C78D8" w:rsidRDefault="00035FB9" w:rsidP="00FB7C1F">
            <w:pPr>
              <w:jc w:val="left"/>
              <w:rPr>
                <w:sz w:val="18"/>
                <w:szCs w:val="18"/>
              </w:rPr>
            </w:pPr>
            <w:r w:rsidRPr="004C78D8">
              <w:rPr>
                <w:sz w:val="18"/>
                <w:szCs w:val="18"/>
              </w:rPr>
              <w:t>Individual</w:t>
            </w:r>
          </w:p>
        </w:tc>
        <w:tc>
          <w:tcPr>
            <w:tcW w:w="992" w:type="dxa"/>
            <w:tcBorders>
              <w:top w:val="nil"/>
              <w:bottom w:val="nil"/>
            </w:tcBorders>
          </w:tcPr>
          <w:p w14:paraId="09E5EBE1" w14:textId="77777777" w:rsidR="00035FB9" w:rsidRPr="004C78D8" w:rsidRDefault="00035FB9" w:rsidP="00FB7C1F">
            <w:pPr>
              <w:jc w:val="left"/>
              <w:rPr>
                <w:sz w:val="18"/>
                <w:szCs w:val="18"/>
              </w:rPr>
            </w:pPr>
            <w:r w:rsidRPr="004C78D8">
              <w:rPr>
                <w:sz w:val="18"/>
                <w:szCs w:val="18"/>
              </w:rPr>
              <w:t>1 year</w:t>
            </w:r>
          </w:p>
        </w:tc>
        <w:tc>
          <w:tcPr>
            <w:tcW w:w="1843" w:type="dxa"/>
            <w:tcBorders>
              <w:top w:val="nil"/>
              <w:bottom w:val="nil"/>
            </w:tcBorders>
          </w:tcPr>
          <w:p w14:paraId="5496BBFA" w14:textId="77777777" w:rsidR="00035FB9" w:rsidRPr="004C78D8" w:rsidRDefault="00035FB9" w:rsidP="00FB7C1F">
            <w:pPr>
              <w:jc w:val="left"/>
              <w:rPr>
                <w:sz w:val="18"/>
                <w:szCs w:val="18"/>
              </w:rPr>
            </w:pPr>
            <w:r w:rsidRPr="004C78D8">
              <w:rPr>
                <w:sz w:val="18"/>
                <w:szCs w:val="18"/>
              </w:rPr>
              <w:t>MA fall</w:t>
            </w:r>
          </w:p>
        </w:tc>
        <w:tc>
          <w:tcPr>
            <w:tcW w:w="1701" w:type="dxa"/>
            <w:tcBorders>
              <w:top w:val="nil"/>
              <w:bottom w:val="nil"/>
            </w:tcBorders>
          </w:tcPr>
          <w:p w14:paraId="35B64A3A" w14:textId="77777777" w:rsidR="00035FB9" w:rsidRPr="004C78D8" w:rsidRDefault="00035FB9" w:rsidP="00FB7C1F">
            <w:pPr>
              <w:jc w:val="left"/>
              <w:rPr>
                <w:sz w:val="18"/>
                <w:szCs w:val="18"/>
              </w:rPr>
            </w:pPr>
            <w:r w:rsidRPr="004C78D8">
              <w:rPr>
                <w:sz w:val="18"/>
                <w:szCs w:val="18"/>
              </w:rPr>
              <w:t>No</w:t>
            </w:r>
          </w:p>
        </w:tc>
      </w:tr>
      <w:tr w:rsidR="00035FB9" w:rsidRPr="004C78D8" w14:paraId="3CAACB94" w14:textId="77777777" w:rsidTr="002828C1">
        <w:tc>
          <w:tcPr>
            <w:tcW w:w="2122" w:type="dxa"/>
            <w:tcBorders>
              <w:top w:val="nil"/>
              <w:bottom w:val="nil"/>
            </w:tcBorders>
          </w:tcPr>
          <w:p w14:paraId="17CBA027" w14:textId="77777777" w:rsidR="00035FB9" w:rsidRPr="004C78D8" w:rsidRDefault="00035FB9" w:rsidP="00FB7C1F">
            <w:pPr>
              <w:jc w:val="left"/>
              <w:rPr>
                <w:sz w:val="18"/>
                <w:szCs w:val="18"/>
              </w:rPr>
            </w:pPr>
            <w:r w:rsidRPr="004C78D8">
              <w:rPr>
                <w:sz w:val="18"/>
                <w:szCs w:val="18"/>
              </w:rPr>
              <w:t>Tannenbaum (2015)</w:t>
            </w:r>
          </w:p>
        </w:tc>
        <w:tc>
          <w:tcPr>
            <w:tcW w:w="1134" w:type="dxa"/>
            <w:tcBorders>
              <w:top w:val="nil"/>
              <w:bottom w:val="nil"/>
            </w:tcBorders>
          </w:tcPr>
          <w:p w14:paraId="79CBAE7D" w14:textId="77777777" w:rsidR="00035FB9" w:rsidRPr="004C78D8" w:rsidRDefault="00035FB9" w:rsidP="00FB7C1F">
            <w:pPr>
              <w:jc w:val="left"/>
              <w:rPr>
                <w:sz w:val="18"/>
                <w:szCs w:val="18"/>
              </w:rPr>
            </w:pPr>
            <w:r w:rsidRPr="004C78D8">
              <w:rPr>
                <w:sz w:val="18"/>
                <w:szCs w:val="18"/>
              </w:rPr>
              <w:t>Individual</w:t>
            </w:r>
          </w:p>
        </w:tc>
        <w:tc>
          <w:tcPr>
            <w:tcW w:w="992" w:type="dxa"/>
            <w:tcBorders>
              <w:top w:val="nil"/>
              <w:bottom w:val="nil"/>
            </w:tcBorders>
          </w:tcPr>
          <w:p w14:paraId="15F1E5B4" w14:textId="77777777" w:rsidR="00035FB9" w:rsidRPr="004C78D8" w:rsidRDefault="00035FB9" w:rsidP="00FB7C1F">
            <w:pPr>
              <w:jc w:val="left"/>
              <w:rPr>
                <w:sz w:val="18"/>
                <w:szCs w:val="18"/>
              </w:rPr>
            </w:pPr>
            <w:r w:rsidRPr="004C78D8">
              <w:rPr>
                <w:sz w:val="18"/>
                <w:szCs w:val="18"/>
              </w:rPr>
              <w:t>6 months</w:t>
            </w:r>
          </w:p>
        </w:tc>
        <w:tc>
          <w:tcPr>
            <w:tcW w:w="1843" w:type="dxa"/>
            <w:tcBorders>
              <w:top w:val="nil"/>
              <w:bottom w:val="nil"/>
            </w:tcBorders>
          </w:tcPr>
          <w:p w14:paraId="7C05DA44" w14:textId="77777777" w:rsidR="00035FB9" w:rsidRPr="004C78D8" w:rsidRDefault="00035FB9" w:rsidP="00FB7C1F">
            <w:pPr>
              <w:jc w:val="left"/>
              <w:rPr>
                <w:sz w:val="18"/>
                <w:szCs w:val="18"/>
              </w:rPr>
            </w:pPr>
            <w:r w:rsidRPr="004C78D8">
              <w:rPr>
                <w:sz w:val="18"/>
                <w:szCs w:val="18"/>
              </w:rPr>
              <w:t>Any fall</w:t>
            </w:r>
          </w:p>
        </w:tc>
        <w:tc>
          <w:tcPr>
            <w:tcW w:w="1701" w:type="dxa"/>
            <w:tcBorders>
              <w:top w:val="nil"/>
              <w:bottom w:val="nil"/>
            </w:tcBorders>
          </w:tcPr>
          <w:p w14:paraId="07936588" w14:textId="77777777" w:rsidR="00035FB9" w:rsidRPr="004C78D8" w:rsidRDefault="00035FB9" w:rsidP="00FB7C1F">
            <w:pPr>
              <w:jc w:val="left"/>
              <w:rPr>
                <w:sz w:val="18"/>
                <w:szCs w:val="18"/>
              </w:rPr>
            </w:pPr>
            <w:r w:rsidRPr="004C78D8">
              <w:rPr>
                <w:sz w:val="18"/>
                <w:szCs w:val="18"/>
              </w:rPr>
              <w:t>Yes</w:t>
            </w:r>
          </w:p>
        </w:tc>
      </w:tr>
      <w:tr w:rsidR="00035FB9" w:rsidRPr="004C78D8" w14:paraId="4D275742" w14:textId="77777777" w:rsidTr="002828C1">
        <w:tc>
          <w:tcPr>
            <w:tcW w:w="2122" w:type="dxa"/>
            <w:tcBorders>
              <w:top w:val="nil"/>
              <w:bottom w:val="nil"/>
            </w:tcBorders>
          </w:tcPr>
          <w:p w14:paraId="7F50B6F1" w14:textId="77777777" w:rsidR="00035FB9" w:rsidRPr="004C78D8" w:rsidRDefault="00035FB9" w:rsidP="00FB7C1F">
            <w:pPr>
              <w:jc w:val="left"/>
              <w:rPr>
                <w:sz w:val="18"/>
                <w:szCs w:val="18"/>
              </w:rPr>
            </w:pPr>
            <w:r w:rsidRPr="004C78D8">
              <w:rPr>
                <w:sz w:val="18"/>
                <w:szCs w:val="18"/>
              </w:rPr>
              <w:t>Turner (2020)</w:t>
            </w:r>
          </w:p>
        </w:tc>
        <w:tc>
          <w:tcPr>
            <w:tcW w:w="1134" w:type="dxa"/>
            <w:tcBorders>
              <w:top w:val="nil"/>
              <w:bottom w:val="nil"/>
            </w:tcBorders>
          </w:tcPr>
          <w:p w14:paraId="56873502" w14:textId="77777777" w:rsidR="00035FB9" w:rsidRPr="004C78D8" w:rsidRDefault="00035FB9" w:rsidP="00FB7C1F">
            <w:pPr>
              <w:jc w:val="left"/>
              <w:rPr>
                <w:sz w:val="18"/>
                <w:szCs w:val="18"/>
              </w:rPr>
            </w:pPr>
            <w:r w:rsidRPr="004C78D8">
              <w:rPr>
                <w:sz w:val="18"/>
                <w:szCs w:val="18"/>
              </w:rPr>
              <w:t>Individual</w:t>
            </w:r>
          </w:p>
        </w:tc>
        <w:tc>
          <w:tcPr>
            <w:tcW w:w="992" w:type="dxa"/>
            <w:tcBorders>
              <w:top w:val="nil"/>
              <w:bottom w:val="nil"/>
            </w:tcBorders>
          </w:tcPr>
          <w:p w14:paraId="1C097880" w14:textId="77777777" w:rsidR="00035FB9" w:rsidRPr="004C78D8" w:rsidRDefault="00035FB9" w:rsidP="00FB7C1F">
            <w:pPr>
              <w:jc w:val="left"/>
              <w:rPr>
                <w:sz w:val="18"/>
                <w:szCs w:val="18"/>
              </w:rPr>
            </w:pPr>
            <w:r w:rsidRPr="004C78D8">
              <w:rPr>
                <w:sz w:val="18"/>
                <w:szCs w:val="18"/>
              </w:rPr>
              <w:t>1 month</w:t>
            </w:r>
          </w:p>
        </w:tc>
        <w:tc>
          <w:tcPr>
            <w:tcW w:w="1843" w:type="dxa"/>
            <w:tcBorders>
              <w:top w:val="nil"/>
              <w:bottom w:val="nil"/>
            </w:tcBorders>
          </w:tcPr>
          <w:p w14:paraId="32609A1F" w14:textId="77777777" w:rsidR="00035FB9" w:rsidRPr="004C78D8" w:rsidRDefault="00035FB9" w:rsidP="00FB7C1F">
            <w:pPr>
              <w:jc w:val="left"/>
              <w:rPr>
                <w:sz w:val="18"/>
                <w:szCs w:val="18"/>
              </w:rPr>
            </w:pPr>
            <w:r w:rsidRPr="004C78D8">
              <w:rPr>
                <w:sz w:val="18"/>
                <w:szCs w:val="18"/>
              </w:rPr>
              <w:t>MA fall/Hip fracture</w:t>
            </w:r>
          </w:p>
        </w:tc>
        <w:tc>
          <w:tcPr>
            <w:tcW w:w="1701" w:type="dxa"/>
            <w:tcBorders>
              <w:top w:val="nil"/>
              <w:bottom w:val="nil"/>
            </w:tcBorders>
          </w:tcPr>
          <w:p w14:paraId="3F056603" w14:textId="77777777" w:rsidR="00035FB9" w:rsidRPr="004C78D8" w:rsidRDefault="00035FB9" w:rsidP="00FB7C1F">
            <w:pPr>
              <w:jc w:val="left"/>
              <w:rPr>
                <w:sz w:val="18"/>
                <w:szCs w:val="18"/>
              </w:rPr>
            </w:pPr>
            <w:r w:rsidRPr="004C78D8">
              <w:rPr>
                <w:sz w:val="18"/>
                <w:szCs w:val="18"/>
              </w:rPr>
              <w:t>Yes</w:t>
            </w:r>
          </w:p>
        </w:tc>
      </w:tr>
      <w:tr w:rsidR="00035FB9" w:rsidRPr="004C78D8" w14:paraId="59F46319" w14:textId="77777777" w:rsidTr="002828C1">
        <w:tc>
          <w:tcPr>
            <w:tcW w:w="7792" w:type="dxa"/>
            <w:gridSpan w:val="5"/>
            <w:tcBorders>
              <w:bottom w:val="single" w:sz="4" w:space="0" w:color="auto"/>
            </w:tcBorders>
          </w:tcPr>
          <w:p w14:paraId="794B5477" w14:textId="77777777" w:rsidR="00035FB9" w:rsidRPr="004C78D8" w:rsidRDefault="00035FB9" w:rsidP="00FB7C1F">
            <w:pPr>
              <w:jc w:val="left"/>
              <w:rPr>
                <w:b/>
                <w:bCs/>
              </w:rPr>
            </w:pPr>
            <w:r w:rsidRPr="004C78D8">
              <w:rPr>
                <w:b/>
                <w:bCs/>
                <w:sz w:val="20"/>
                <w:szCs w:val="20"/>
              </w:rPr>
              <w:t>Individual-level Markov model (microsimulation)</w:t>
            </w:r>
          </w:p>
        </w:tc>
      </w:tr>
      <w:tr w:rsidR="00035FB9" w:rsidRPr="004C78D8" w14:paraId="6D79C802" w14:textId="77777777" w:rsidTr="002828C1">
        <w:tc>
          <w:tcPr>
            <w:tcW w:w="2122" w:type="dxa"/>
            <w:tcBorders>
              <w:bottom w:val="nil"/>
            </w:tcBorders>
          </w:tcPr>
          <w:p w14:paraId="0F8A9851" w14:textId="77777777" w:rsidR="00035FB9" w:rsidRPr="004C78D8" w:rsidRDefault="00035FB9" w:rsidP="00FB7C1F">
            <w:pPr>
              <w:jc w:val="left"/>
              <w:rPr>
                <w:sz w:val="18"/>
                <w:szCs w:val="18"/>
              </w:rPr>
            </w:pPr>
            <w:r w:rsidRPr="004C78D8">
              <w:rPr>
                <w:sz w:val="18"/>
                <w:szCs w:val="18"/>
              </w:rPr>
              <w:t>Hiligsmann (2014)</w:t>
            </w:r>
          </w:p>
        </w:tc>
        <w:tc>
          <w:tcPr>
            <w:tcW w:w="1134" w:type="dxa"/>
            <w:tcBorders>
              <w:bottom w:val="nil"/>
            </w:tcBorders>
          </w:tcPr>
          <w:p w14:paraId="530213EC" w14:textId="77777777" w:rsidR="00035FB9" w:rsidRPr="004C78D8" w:rsidRDefault="00035FB9" w:rsidP="00FB7C1F">
            <w:pPr>
              <w:jc w:val="left"/>
              <w:rPr>
                <w:sz w:val="18"/>
                <w:szCs w:val="18"/>
              </w:rPr>
            </w:pPr>
            <w:r w:rsidRPr="004C78D8">
              <w:rPr>
                <w:sz w:val="18"/>
                <w:szCs w:val="18"/>
              </w:rPr>
              <w:t>Individual</w:t>
            </w:r>
          </w:p>
        </w:tc>
        <w:tc>
          <w:tcPr>
            <w:tcW w:w="992" w:type="dxa"/>
            <w:tcBorders>
              <w:bottom w:val="nil"/>
            </w:tcBorders>
          </w:tcPr>
          <w:p w14:paraId="11C31CEE" w14:textId="77777777" w:rsidR="00035FB9" w:rsidRPr="004C78D8" w:rsidRDefault="00035FB9" w:rsidP="00FB7C1F">
            <w:pPr>
              <w:jc w:val="left"/>
              <w:rPr>
                <w:sz w:val="18"/>
                <w:szCs w:val="18"/>
              </w:rPr>
            </w:pPr>
            <w:r w:rsidRPr="004C78D8">
              <w:rPr>
                <w:sz w:val="18"/>
                <w:szCs w:val="18"/>
              </w:rPr>
              <w:t>6 months</w:t>
            </w:r>
          </w:p>
        </w:tc>
        <w:tc>
          <w:tcPr>
            <w:tcW w:w="1843" w:type="dxa"/>
            <w:tcBorders>
              <w:bottom w:val="nil"/>
            </w:tcBorders>
          </w:tcPr>
          <w:p w14:paraId="053981EC" w14:textId="77777777" w:rsidR="00035FB9" w:rsidRPr="004C78D8" w:rsidRDefault="00035FB9" w:rsidP="00FB7C1F">
            <w:pPr>
              <w:jc w:val="left"/>
              <w:rPr>
                <w:sz w:val="18"/>
                <w:szCs w:val="18"/>
              </w:rPr>
            </w:pPr>
            <w:r w:rsidRPr="004C78D8">
              <w:rPr>
                <w:sz w:val="18"/>
                <w:szCs w:val="18"/>
              </w:rPr>
              <w:t>Fractures</w:t>
            </w:r>
          </w:p>
        </w:tc>
        <w:tc>
          <w:tcPr>
            <w:tcW w:w="1701" w:type="dxa"/>
            <w:tcBorders>
              <w:bottom w:val="nil"/>
            </w:tcBorders>
          </w:tcPr>
          <w:p w14:paraId="0A39FBB3" w14:textId="77777777" w:rsidR="00035FB9" w:rsidRPr="004C78D8" w:rsidRDefault="00035FB9" w:rsidP="00FB7C1F">
            <w:pPr>
              <w:jc w:val="left"/>
              <w:rPr>
                <w:sz w:val="18"/>
                <w:szCs w:val="18"/>
              </w:rPr>
            </w:pPr>
            <w:r w:rsidRPr="004C78D8">
              <w:rPr>
                <w:sz w:val="18"/>
                <w:szCs w:val="18"/>
              </w:rPr>
              <w:t>Yes</w:t>
            </w:r>
          </w:p>
        </w:tc>
      </w:tr>
      <w:tr w:rsidR="00035FB9" w:rsidRPr="004C78D8" w14:paraId="116C8976" w14:textId="77777777" w:rsidTr="002828C1">
        <w:tc>
          <w:tcPr>
            <w:tcW w:w="2122" w:type="dxa"/>
            <w:tcBorders>
              <w:top w:val="nil"/>
              <w:bottom w:val="nil"/>
            </w:tcBorders>
          </w:tcPr>
          <w:p w14:paraId="73FAE797" w14:textId="77777777" w:rsidR="00035FB9" w:rsidRPr="004C78D8" w:rsidRDefault="00035FB9" w:rsidP="00FB7C1F">
            <w:pPr>
              <w:jc w:val="left"/>
              <w:rPr>
                <w:sz w:val="18"/>
                <w:szCs w:val="18"/>
              </w:rPr>
            </w:pPr>
            <w:r w:rsidRPr="004C78D8">
              <w:rPr>
                <w:sz w:val="18"/>
                <w:szCs w:val="18"/>
              </w:rPr>
              <w:t>Mori (2017)</w:t>
            </w:r>
          </w:p>
        </w:tc>
        <w:tc>
          <w:tcPr>
            <w:tcW w:w="1134" w:type="dxa"/>
            <w:tcBorders>
              <w:top w:val="nil"/>
              <w:bottom w:val="nil"/>
            </w:tcBorders>
          </w:tcPr>
          <w:p w14:paraId="7B937739" w14:textId="77777777" w:rsidR="00035FB9" w:rsidRPr="004C78D8" w:rsidRDefault="00035FB9" w:rsidP="00FB7C1F">
            <w:pPr>
              <w:jc w:val="left"/>
              <w:rPr>
                <w:sz w:val="18"/>
                <w:szCs w:val="18"/>
              </w:rPr>
            </w:pPr>
            <w:r w:rsidRPr="004C78D8">
              <w:rPr>
                <w:sz w:val="18"/>
                <w:szCs w:val="18"/>
              </w:rPr>
              <w:t>Individual</w:t>
            </w:r>
          </w:p>
        </w:tc>
        <w:tc>
          <w:tcPr>
            <w:tcW w:w="992" w:type="dxa"/>
            <w:tcBorders>
              <w:top w:val="nil"/>
              <w:bottom w:val="nil"/>
            </w:tcBorders>
          </w:tcPr>
          <w:p w14:paraId="6351D126" w14:textId="77777777" w:rsidR="00035FB9" w:rsidRPr="004C78D8" w:rsidRDefault="00035FB9" w:rsidP="00FB7C1F">
            <w:pPr>
              <w:jc w:val="left"/>
              <w:rPr>
                <w:sz w:val="18"/>
                <w:szCs w:val="18"/>
              </w:rPr>
            </w:pPr>
            <w:r w:rsidRPr="004C78D8">
              <w:rPr>
                <w:sz w:val="18"/>
                <w:szCs w:val="18"/>
              </w:rPr>
              <w:t>1 year</w:t>
            </w:r>
          </w:p>
        </w:tc>
        <w:tc>
          <w:tcPr>
            <w:tcW w:w="1843" w:type="dxa"/>
            <w:tcBorders>
              <w:top w:val="nil"/>
              <w:bottom w:val="nil"/>
            </w:tcBorders>
          </w:tcPr>
          <w:p w14:paraId="54D179FE" w14:textId="77777777" w:rsidR="00035FB9" w:rsidRPr="004C78D8" w:rsidRDefault="00035FB9" w:rsidP="00FB7C1F">
            <w:pPr>
              <w:jc w:val="left"/>
              <w:rPr>
                <w:sz w:val="18"/>
                <w:szCs w:val="18"/>
              </w:rPr>
            </w:pPr>
            <w:r w:rsidRPr="004C78D8">
              <w:rPr>
                <w:sz w:val="18"/>
                <w:szCs w:val="18"/>
              </w:rPr>
              <w:t>Fractures</w:t>
            </w:r>
          </w:p>
        </w:tc>
        <w:tc>
          <w:tcPr>
            <w:tcW w:w="1701" w:type="dxa"/>
            <w:tcBorders>
              <w:top w:val="nil"/>
              <w:bottom w:val="nil"/>
            </w:tcBorders>
          </w:tcPr>
          <w:p w14:paraId="0341E14A" w14:textId="77777777" w:rsidR="00035FB9" w:rsidRPr="004C78D8" w:rsidRDefault="00035FB9" w:rsidP="00FB7C1F">
            <w:pPr>
              <w:jc w:val="left"/>
              <w:rPr>
                <w:sz w:val="18"/>
                <w:szCs w:val="18"/>
              </w:rPr>
            </w:pPr>
            <w:r w:rsidRPr="004C78D8">
              <w:rPr>
                <w:sz w:val="18"/>
                <w:szCs w:val="18"/>
              </w:rPr>
              <w:t>No</w:t>
            </w:r>
          </w:p>
        </w:tc>
      </w:tr>
      <w:tr w:rsidR="00035FB9" w:rsidRPr="004C78D8" w14:paraId="07A0B4BB" w14:textId="77777777" w:rsidTr="002828C1">
        <w:trPr>
          <w:trHeight w:val="64"/>
        </w:trPr>
        <w:tc>
          <w:tcPr>
            <w:tcW w:w="2122" w:type="dxa"/>
            <w:tcBorders>
              <w:top w:val="nil"/>
              <w:bottom w:val="nil"/>
            </w:tcBorders>
          </w:tcPr>
          <w:p w14:paraId="0BE2227A" w14:textId="77777777" w:rsidR="00035FB9" w:rsidRPr="004C78D8" w:rsidRDefault="00035FB9" w:rsidP="00FB7C1F">
            <w:pPr>
              <w:jc w:val="left"/>
              <w:rPr>
                <w:sz w:val="18"/>
                <w:szCs w:val="18"/>
              </w:rPr>
            </w:pPr>
            <w:r w:rsidRPr="004C78D8">
              <w:rPr>
                <w:sz w:val="18"/>
                <w:szCs w:val="18"/>
              </w:rPr>
              <w:t>Nshimyumukiza (2013)</w:t>
            </w:r>
          </w:p>
        </w:tc>
        <w:tc>
          <w:tcPr>
            <w:tcW w:w="1134" w:type="dxa"/>
            <w:tcBorders>
              <w:top w:val="nil"/>
              <w:bottom w:val="nil"/>
            </w:tcBorders>
          </w:tcPr>
          <w:p w14:paraId="7D516C0C" w14:textId="77777777" w:rsidR="00035FB9" w:rsidRPr="004C78D8" w:rsidRDefault="00035FB9" w:rsidP="00FB7C1F">
            <w:pPr>
              <w:jc w:val="left"/>
              <w:rPr>
                <w:sz w:val="18"/>
                <w:szCs w:val="18"/>
              </w:rPr>
            </w:pPr>
            <w:r w:rsidRPr="004C78D8">
              <w:rPr>
                <w:sz w:val="18"/>
                <w:szCs w:val="18"/>
              </w:rPr>
              <w:t>Individual</w:t>
            </w:r>
          </w:p>
        </w:tc>
        <w:tc>
          <w:tcPr>
            <w:tcW w:w="992" w:type="dxa"/>
            <w:tcBorders>
              <w:top w:val="nil"/>
              <w:bottom w:val="nil"/>
            </w:tcBorders>
          </w:tcPr>
          <w:p w14:paraId="37AAFE5F" w14:textId="77777777" w:rsidR="00035FB9" w:rsidRPr="004C78D8" w:rsidRDefault="00035FB9" w:rsidP="00FB7C1F">
            <w:pPr>
              <w:jc w:val="left"/>
              <w:rPr>
                <w:sz w:val="18"/>
                <w:szCs w:val="18"/>
              </w:rPr>
            </w:pPr>
            <w:r w:rsidRPr="004C78D8">
              <w:rPr>
                <w:sz w:val="18"/>
                <w:szCs w:val="18"/>
              </w:rPr>
              <w:t>1 year</w:t>
            </w:r>
          </w:p>
        </w:tc>
        <w:tc>
          <w:tcPr>
            <w:tcW w:w="1843" w:type="dxa"/>
            <w:tcBorders>
              <w:top w:val="nil"/>
              <w:bottom w:val="nil"/>
            </w:tcBorders>
          </w:tcPr>
          <w:p w14:paraId="35ED5FA6" w14:textId="77777777" w:rsidR="00035FB9" w:rsidRPr="004C78D8" w:rsidRDefault="00035FB9" w:rsidP="00FB7C1F">
            <w:pPr>
              <w:jc w:val="left"/>
              <w:rPr>
                <w:sz w:val="18"/>
                <w:szCs w:val="18"/>
              </w:rPr>
            </w:pPr>
            <w:r w:rsidRPr="004C78D8">
              <w:rPr>
                <w:sz w:val="18"/>
                <w:szCs w:val="18"/>
              </w:rPr>
              <w:t>Fractures</w:t>
            </w:r>
          </w:p>
        </w:tc>
        <w:tc>
          <w:tcPr>
            <w:tcW w:w="1701" w:type="dxa"/>
            <w:tcBorders>
              <w:top w:val="nil"/>
              <w:bottom w:val="nil"/>
            </w:tcBorders>
          </w:tcPr>
          <w:p w14:paraId="6E7B34AD" w14:textId="77777777" w:rsidR="00035FB9" w:rsidRPr="004C78D8" w:rsidRDefault="00035FB9" w:rsidP="00FB7C1F">
            <w:pPr>
              <w:jc w:val="left"/>
              <w:rPr>
                <w:sz w:val="18"/>
                <w:szCs w:val="18"/>
              </w:rPr>
            </w:pPr>
            <w:r w:rsidRPr="004C78D8">
              <w:rPr>
                <w:sz w:val="18"/>
                <w:szCs w:val="18"/>
              </w:rPr>
              <w:t>No</w:t>
            </w:r>
          </w:p>
        </w:tc>
      </w:tr>
      <w:tr w:rsidR="00035FB9" w:rsidRPr="004C78D8" w14:paraId="062BF4EE" w14:textId="77777777" w:rsidTr="002828C1">
        <w:tc>
          <w:tcPr>
            <w:tcW w:w="2122" w:type="dxa"/>
            <w:tcBorders>
              <w:top w:val="nil"/>
            </w:tcBorders>
          </w:tcPr>
          <w:p w14:paraId="3B42225B" w14:textId="77777777" w:rsidR="00035FB9" w:rsidRPr="004C78D8" w:rsidRDefault="00035FB9" w:rsidP="00FB7C1F">
            <w:pPr>
              <w:jc w:val="left"/>
              <w:rPr>
                <w:sz w:val="18"/>
                <w:szCs w:val="18"/>
              </w:rPr>
            </w:pPr>
            <w:r w:rsidRPr="004C78D8">
              <w:rPr>
                <w:sz w:val="18"/>
                <w:szCs w:val="18"/>
              </w:rPr>
              <w:t>Zarca (2014)</w:t>
            </w:r>
          </w:p>
        </w:tc>
        <w:tc>
          <w:tcPr>
            <w:tcW w:w="1134" w:type="dxa"/>
            <w:tcBorders>
              <w:top w:val="nil"/>
            </w:tcBorders>
          </w:tcPr>
          <w:p w14:paraId="732CCE47" w14:textId="77777777" w:rsidR="00035FB9" w:rsidRPr="004C78D8" w:rsidRDefault="00035FB9" w:rsidP="00FB7C1F">
            <w:pPr>
              <w:jc w:val="left"/>
              <w:rPr>
                <w:sz w:val="18"/>
                <w:szCs w:val="18"/>
              </w:rPr>
            </w:pPr>
            <w:r w:rsidRPr="004C78D8">
              <w:rPr>
                <w:sz w:val="18"/>
                <w:szCs w:val="18"/>
              </w:rPr>
              <w:t>Individual</w:t>
            </w:r>
          </w:p>
        </w:tc>
        <w:tc>
          <w:tcPr>
            <w:tcW w:w="992" w:type="dxa"/>
            <w:tcBorders>
              <w:top w:val="nil"/>
            </w:tcBorders>
          </w:tcPr>
          <w:p w14:paraId="18F2761A" w14:textId="77777777" w:rsidR="00035FB9" w:rsidRPr="004C78D8" w:rsidRDefault="00035FB9" w:rsidP="00FB7C1F">
            <w:pPr>
              <w:jc w:val="left"/>
              <w:rPr>
                <w:sz w:val="18"/>
                <w:szCs w:val="18"/>
              </w:rPr>
            </w:pPr>
            <w:r w:rsidRPr="004C78D8">
              <w:rPr>
                <w:sz w:val="18"/>
                <w:szCs w:val="18"/>
              </w:rPr>
              <w:t>3 months</w:t>
            </w:r>
          </w:p>
        </w:tc>
        <w:tc>
          <w:tcPr>
            <w:tcW w:w="1843" w:type="dxa"/>
            <w:tcBorders>
              <w:top w:val="nil"/>
            </w:tcBorders>
          </w:tcPr>
          <w:p w14:paraId="28A9841C" w14:textId="77777777" w:rsidR="00035FB9" w:rsidRPr="004C78D8" w:rsidRDefault="00035FB9" w:rsidP="00FB7C1F">
            <w:pPr>
              <w:jc w:val="left"/>
              <w:rPr>
                <w:sz w:val="18"/>
                <w:szCs w:val="18"/>
              </w:rPr>
            </w:pPr>
            <w:r w:rsidRPr="004C78D8">
              <w:rPr>
                <w:sz w:val="18"/>
                <w:szCs w:val="18"/>
              </w:rPr>
              <w:t>Hip fracture</w:t>
            </w:r>
          </w:p>
        </w:tc>
        <w:tc>
          <w:tcPr>
            <w:tcW w:w="1701" w:type="dxa"/>
            <w:tcBorders>
              <w:top w:val="nil"/>
            </w:tcBorders>
          </w:tcPr>
          <w:p w14:paraId="0A3DF6A6" w14:textId="77777777" w:rsidR="00035FB9" w:rsidRPr="004C78D8" w:rsidRDefault="00035FB9" w:rsidP="00FB7C1F">
            <w:pPr>
              <w:jc w:val="left"/>
              <w:rPr>
                <w:sz w:val="18"/>
                <w:szCs w:val="18"/>
              </w:rPr>
            </w:pPr>
            <w:r w:rsidRPr="004C78D8">
              <w:rPr>
                <w:sz w:val="18"/>
                <w:szCs w:val="18"/>
              </w:rPr>
              <w:t>Yes</w:t>
            </w:r>
          </w:p>
        </w:tc>
      </w:tr>
      <w:tr w:rsidR="00035FB9" w:rsidRPr="004C78D8" w14:paraId="28E28B23" w14:textId="77777777" w:rsidTr="002828C1">
        <w:tc>
          <w:tcPr>
            <w:tcW w:w="7792" w:type="dxa"/>
            <w:gridSpan w:val="5"/>
          </w:tcPr>
          <w:p w14:paraId="5F6011E5" w14:textId="4465939C" w:rsidR="00035FB9" w:rsidRPr="004C78D8" w:rsidRDefault="00035FB9" w:rsidP="00FB7C1F">
            <w:pPr>
              <w:rPr>
                <w:sz w:val="18"/>
                <w:szCs w:val="18"/>
                <w:vertAlign w:val="superscript"/>
              </w:rPr>
            </w:pPr>
            <w:r w:rsidRPr="004C78D8">
              <w:rPr>
                <w:b/>
                <w:bCs/>
                <w:sz w:val="18"/>
                <w:szCs w:val="18"/>
              </w:rPr>
              <w:t>A</w:t>
            </w:r>
            <w:r w:rsidR="00E66EFA" w:rsidRPr="004C78D8">
              <w:rPr>
                <w:b/>
                <w:bCs/>
                <w:sz w:val="18"/>
                <w:szCs w:val="18"/>
              </w:rPr>
              <w:t>bbreviation</w:t>
            </w:r>
            <w:r w:rsidRPr="004C78D8">
              <w:rPr>
                <w:b/>
                <w:bCs/>
                <w:sz w:val="18"/>
                <w:szCs w:val="18"/>
              </w:rPr>
              <w:t>:</w:t>
            </w:r>
            <w:r w:rsidRPr="004C78D8">
              <w:rPr>
                <w:sz w:val="18"/>
                <w:szCs w:val="18"/>
              </w:rPr>
              <w:t xml:space="preserve"> BODE3: Burden of Disease Epidemiology, Equity and Cost-Effectiveness Programme studies, including Boyd (2020), Deverall (2018), Pega (2016) and Wilson (2017); CSP: Chartered Society of Physiotherapy; Int.: intervention; MA fall: fall requiring medical attention; </w:t>
            </w:r>
            <w:r w:rsidR="008B1D72" w:rsidRPr="004C78D8">
              <w:rPr>
                <w:sz w:val="18"/>
                <w:szCs w:val="18"/>
              </w:rPr>
              <w:t xml:space="preserve">N/A: not applicable; </w:t>
            </w:r>
            <w:r w:rsidRPr="004C78D8">
              <w:rPr>
                <w:sz w:val="18"/>
                <w:szCs w:val="18"/>
              </w:rPr>
              <w:t>OMAS: Ontario Medical Advisory Secretariat; PHE: Public Health England; RCN: Royal College of Nursing.</w:t>
            </w:r>
          </w:p>
          <w:p w14:paraId="039B6A51" w14:textId="2B945BA4" w:rsidR="00035FB9" w:rsidRPr="004C78D8" w:rsidRDefault="00E66EFA" w:rsidP="00FB7C1F">
            <w:pPr>
              <w:rPr>
                <w:sz w:val="18"/>
                <w:szCs w:val="18"/>
              </w:rPr>
            </w:pPr>
            <w:r w:rsidRPr="004C78D8">
              <w:rPr>
                <w:sz w:val="18"/>
                <w:szCs w:val="18"/>
                <w:vertAlign w:val="superscript"/>
              </w:rPr>
              <w:t>1</w:t>
            </w:r>
            <w:r w:rsidR="00035FB9" w:rsidRPr="004C78D8">
              <w:rPr>
                <w:sz w:val="18"/>
                <w:szCs w:val="18"/>
              </w:rPr>
              <w:t xml:space="preserve"> See Table </w:t>
            </w:r>
            <w:r w:rsidR="00D005E6" w:rsidRPr="004C78D8">
              <w:rPr>
                <w:sz w:val="18"/>
                <w:szCs w:val="18"/>
              </w:rPr>
              <w:t>4</w:t>
            </w:r>
            <w:r w:rsidRPr="004C78D8">
              <w:rPr>
                <w:sz w:val="18"/>
                <w:szCs w:val="18"/>
              </w:rPr>
              <w:t>.</w:t>
            </w:r>
            <w:r w:rsidR="00035FB9" w:rsidRPr="004C78D8">
              <w:rPr>
                <w:sz w:val="18"/>
                <w:szCs w:val="18"/>
              </w:rPr>
              <w:t>2 for study references.</w:t>
            </w:r>
          </w:p>
          <w:p w14:paraId="7C4A5D05" w14:textId="340F46FC" w:rsidR="00035FB9" w:rsidRPr="004C78D8" w:rsidRDefault="00E66EFA" w:rsidP="00FB7C1F">
            <w:pPr>
              <w:rPr>
                <w:sz w:val="18"/>
                <w:szCs w:val="18"/>
              </w:rPr>
            </w:pPr>
            <w:r w:rsidRPr="004C78D8">
              <w:rPr>
                <w:sz w:val="18"/>
                <w:szCs w:val="18"/>
                <w:vertAlign w:val="superscript"/>
              </w:rPr>
              <w:t>2</w:t>
            </w:r>
            <w:r w:rsidR="00035FB9" w:rsidRPr="004C78D8">
              <w:rPr>
                <w:sz w:val="18"/>
                <w:szCs w:val="18"/>
              </w:rPr>
              <w:t xml:space="preserve"> All Markov models conceive </w:t>
            </w:r>
            <w:r w:rsidR="00035FB9" w:rsidRPr="004C78D8">
              <w:rPr>
                <w:i/>
                <w:iCs/>
                <w:sz w:val="18"/>
                <w:szCs w:val="18"/>
              </w:rPr>
              <w:t>individuals</w:t>
            </w:r>
            <w:r w:rsidR="00035FB9" w:rsidRPr="004C78D8">
              <w:rPr>
                <w:sz w:val="18"/>
                <w:szCs w:val="18"/>
              </w:rPr>
              <w:t xml:space="preserve"> (or proportion of individuals within cohort) transitioning between model states. Some binary decision and static models have fall events transitioning through health and economic sequelae.</w:t>
            </w:r>
          </w:p>
          <w:p w14:paraId="4922F907" w14:textId="3A229EE4" w:rsidR="008B1D72" w:rsidRPr="004C78D8" w:rsidRDefault="008B1D72" w:rsidP="00FB7C1F">
            <w:pPr>
              <w:rPr>
                <w:sz w:val="18"/>
                <w:szCs w:val="18"/>
              </w:rPr>
            </w:pPr>
            <w:r w:rsidRPr="004C78D8">
              <w:rPr>
                <w:sz w:val="18"/>
                <w:szCs w:val="18"/>
                <w:vertAlign w:val="superscript"/>
              </w:rPr>
              <w:t>3</w:t>
            </w:r>
            <w:r w:rsidRPr="004C78D8">
              <w:rPr>
                <w:sz w:val="18"/>
                <w:szCs w:val="18"/>
              </w:rPr>
              <w:t xml:space="preserve"> Cycle length was not relevant or applicable to non-cycle-based models such as the decision tree.</w:t>
            </w:r>
          </w:p>
          <w:p w14:paraId="4BDF807A" w14:textId="09F7C732" w:rsidR="00035FB9" w:rsidRPr="004C78D8" w:rsidRDefault="008B1D72" w:rsidP="00FB7C1F">
            <w:pPr>
              <w:rPr>
                <w:sz w:val="18"/>
                <w:szCs w:val="18"/>
              </w:rPr>
            </w:pPr>
            <w:r w:rsidRPr="004C78D8">
              <w:rPr>
                <w:sz w:val="18"/>
                <w:szCs w:val="18"/>
                <w:vertAlign w:val="superscript"/>
              </w:rPr>
              <w:t>4</w:t>
            </w:r>
            <w:r w:rsidR="00035FB9" w:rsidRPr="004C78D8">
              <w:rPr>
                <w:sz w:val="18"/>
                <w:szCs w:val="18"/>
              </w:rPr>
              <w:t xml:space="preserve"> All studies under this category, except Smith (2016), used a decision tree model.</w:t>
            </w:r>
          </w:p>
          <w:p w14:paraId="5850A54E" w14:textId="2BCCEA87" w:rsidR="00035FB9" w:rsidRPr="004C78D8" w:rsidRDefault="008B1D72" w:rsidP="00FB7C1F">
            <w:pPr>
              <w:rPr>
                <w:sz w:val="18"/>
                <w:szCs w:val="18"/>
              </w:rPr>
            </w:pPr>
            <w:r w:rsidRPr="004C78D8">
              <w:rPr>
                <w:sz w:val="18"/>
                <w:szCs w:val="18"/>
                <w:vertAlign w:val="superscript"/>
              </w:rPr>
              <w:t>5</w:t>
            </w:r>
            <w:r w:rsidR="00035FB9" w:rsidRPr="004C78D8">
              <w:rPr>
                <w:sz w:val="18"/>
                <w:szCs w:val="18"/>
              </w:rPr>
              <w:t xml:space="preserve"> This model used a composite measure of health consequences including recurrent falls, fear of falling and mobility and balance problems. Hence, recurrent falls were captured within the composite measure. </w:t>
            </w:r>
          </w:p>
        </w:tc>
      </w:tr>
    </w:tbl>
    <w:p w14:paraId="1FB77097" w14:textId="0FEEE4B3" w:rsidR="00035FB9" w:rsidRPr="004C78D8" w:rsidRDefault="00035FB9" w:rsidP="00FB7C1F"/>
    <w:p w14:paraId="5AC85555" w14:textId="758C5D78" w:rsidR="000309BC" w:rsidRPr="004C78D8" w:rsidRDefault="000309BC" w:rsidP="00FB7C1F">
      <w:r w:rsidRPr="004C78D8">
        <w:t xml:space="preserve">There were 23 models incapable of characterising recurrent falls. Seven of the 23 had fracture as the main event which are less likely to recur within a year </w:t>
      </w:r>
      <w:r w:rsidRPr="004C78D8">
        <w:fldChar w:fldCharType="begin">
          <w:fldData xml:space="preserve">PEVuZE5vdGU+PENpdGU+PEF1dGhvcj5GcmljazwvQXV0aG9yPjxZZWFyPjIwMTA8L1llYXI+PFJl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</w:fldData>
        </w:fldChar>
      </w:r>
      <w:r w:rsidR="00C630FC" w:rsidRPr="004C78D8">
        <w:instrText xml:space="preserve"> ADDIN EN.CITE </w:instrText>
      </w:r>
      <w:r w:rsidR="00C630FC" w:rsidRPr="004C78D8">
        <w:fldChar w:fldCharType="begin">
          <w:fldData xml:space="preserve">PEVuZE5vdGU+PENpdGU+PEF1dGhvcj5GcmljazwvQXV0aG9yPjxZZWFyPjIwMTA8L1llYXI+PFJl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[128, 318, 336, 344-346, 352]</w:t>
      </w:r>
      <w:r w:rsidRPr="004C78D8">
        <w:fldChar w:fldCharType="end"/>
      </w:r>
      <w:r w:rsidRPr="004C78D8">
        <w:t xml:space="preserve">; whilst 16 models with falls as the main event were incapable of characterising recurrent MA or non-MA falls. Of 13 individual-transitioning models that </w:t>
      </w:r>
      <w:r w:rsidRPr="004C78D8">
        <w:rPr>
          <w:i/>
          <w:iCs/>
        </w:rPr>
        <w:t>were</w:t>
      </w:r>
      <w:r w:rsidRPr="004C78D8">
        <w:t xml:space="preserve"> capable of characterising recurrent falls, three methods were mainly used: (1) modelling separate health states for recurrent fallers; (2) assigning average number of falls per faller; and (3) incorporating cycle lengths shorter than one year. Three models used (1) </w:t>
      </w:r>
      <w:r w:rsidRPr="004C78D8">
        <w:fldChar w:fldCharType="begin">
          <w:fldData xml:space="preserve">PEVuZE5vdGU+PENpdGU+PEF1dGhvcj5BbGJlcnQ8L0F1dGhvcj48WWVhcj4yMDE2PC9ZZWFyPjxS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</w:fldData>
        </w:fldChar>
      </w:r>
      <w:r w:rsidR="00C630FC" w:rsidRPr="004C78D8">
        <w:instrText xml:space="preserve"> ADDIN EN.CITE </w:instrText>
      </w:r>
      <w:r w:rsidR="00C630FC" w:rsidRPr="004C78D8">
        <w:fldChar w:fldCharType="begin">
          <w:fldData xml:space="preserve">PEVuZE5vdGU+PENpdGU+PEF1dGhvcj5BbGJlcnQ8L0F1dGhvcj48WWVhcj4yMDE2PC9ZZWFyPjxS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[341, 354, 359]</w:t>
      </w:r>
      <w:r w:rsidRPr="004C78D8">
        <w:fldChar w:fldCharType="end"/>
      </w:r>
      <w:r w:rsidRPr="004C78D8">
        <w:t xml:space="preserve">: e.g., CSP (2016) incorporated </w:t>
      </w:r>
      <w:r w:rsidRPr="004C78D8">
        <w:rPr>
          <w:lang w:val="en-US"/>
        </w:rPr>
        <w:t xml:space="preserve">age- and gender-specific risks of experiencing recurrent falls conditional on having fallen. Three used (2) </w:t>
      </w:r>
      <w:r w:rsidRPr="004C78D8">
        <w:rPr>
          <w:lang w:val="en-US"/>
        </w:rPr>
        <w:fldChar w:fldCharType="begin">
          <w:fldData xml:space="preserve">PEVuZE5vdGU+PENpdGU+PEF1dGhvcj5GcmFua2xpbjwvQXV0aG9yPjxZZWFyPjIwMTk8L1llYXI+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</w:fldData>
        </w:fldChar>
      </w:r>
      <w:r w:rsidR="00C630FC" w:rsidRPr="004C78D8">
        <w:rPr>
          <w:lang w:val="en-US"/>
        </w:rPr>
        <w:instrText xml:space="preserve"> ADDIN EN.CITE </w:instrText>
      </w:r>
      <w:r w:rsidR="00C630FC" w:rsidRPr="004C78D8">
        <w:rPr>
          <w:lang w:val="en-US"/>
        </w:rPr>
        <w:fldChar w:fldCharType="begin">
          <w:fldData xml:space="preserve">PEVuZE5vdGU+PENpdGU+PEF1dGhvcj5GcmFua2xpbjwvQXV0aG9yPjxZZWFyPjIwMTk8L1llYXI+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</w:fldData>
        </w:fldChar>
      </w:r>
      <w:r w:rsidR="00C630FC" w:rsidRPr="004C78D8">
        <w:rPr>
          <w:lang w:val="en-US"/>
        </w:rPr>
        <w:instrText xml:space="preserve"> ADDIN EN.CITE.DATA </w:instrText>
      </w:r>
      <w:r w:rsidR="00C630FC" w:rsidRPr="004C78D8">
        <w:rPr>
          <w:lang w:val="en-US"/>
        </w:rPr>
      </w:r>
      <w:r w:rsidR="00C630FC" w:rsidRPr="004C78D8">
        <w:rPr>
          <w:lang w:val="en-US"/>
        </w:rPr>
        <w:fldChar w:fldCharType="end"/>
      </w:r>
      <w:r w:rsidRPr="004C78D8">
        <w:rPr>
          <w:lang w:val="en-US"/>
        </w:rPr>
      </w:r>
      <w:r w:rsidRPr="004C78D8">
        <w:rPr>
          <w:lang w:val="en-US"/>
        </w:rPr>
        <w:fldChar w:fldCharType="separate"/>
      </w:r>
      <w:r w:rsidR="00C630FC" w:rsidRPr="004C78D8">
        <w:rPr>
          <w:noProof/>
          <w:lang w:val="en-US"/>
        </w:rPr>
        <w:t>[207, 359, 363]</w:t>
      </w:r>
      <w:r w:rsidRPr="004C78D8">
        <w:rPr>
          <w:lang w:val="en-US"/>
        </w:rPr>
        <w:fldChar w:fldCharType="end"/>
      </w:r>
      <w:r w:rsidRPr="004C78D8">
        <w:rPr>
          <w:lang w:val="en-US"/>
        </w:rPr>
        <w:t xml:space="preserve">: e.g., </w:t>
      </w:r>
      <w:r w:rsidRPr="004C78D8">
        <w:t xml:space="preserve">Franklin (2019) assigned 2.8 falls as the average number of falls experienced per faller. Five used (3), incorporating the following cycle lengths: one month </w:t>
      </w:r>
      <w:r w:rsidRPr="004C78D8">
        <w:fldChar w:fldCharType="begin">
          <w:fldData xml:space="preserve">PEVuZE5vdGU+PENpdGU+PEF1dGhvcj5MZWU8L0F1dGhvcj48WWVhcj4yMDEzPC9ZZWFyPjxSZWNO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</w:fldData>
        </w:fldChar>
      </w:r>
      <w:r w:rsidR="00C630FC" w:rsidRPr="004C78D8">
        <w:instrText xml:space="preserve"> ADDIN EN.CITE </w:instrText>
      </w:r>
      <w:r w:rsidR="00C630FC" w:rsidRPr="004C78D8">
        <w:fldChar w:fldCharType="begin">
          <w:fldData xml:space="preserve">PEVuZE5vdGU+PENpdGU+PEF1dGhvcj5MZWU8L0F1dGhvcj48WWVhcj4yMDEzPC9ZZWFyPjxSZWNO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[348, 365]</w:t>
      </w:r>
      <w:r w:rsidRPr="004C78D8">
        <w:fldChar w:fldCharType="end"/>
      </w:r>
      <w:r w:rsidRPr="004C78D8">
        <w:t xml:space="preserve">; three months </w:t>
      </w:r>
      <w:r w:rsidRPr="004C78D8">
        <w:fldChar w:fldCharType="begin"/>
      </w:r>
      <w:r w:rsidR="00C630FC" w:rsidRPr="004C78D8">
        <w:instrText xml:space="preserve"> ADDIN EN.CITE &lt;EndNote&gt;&lt;Cite&gt;&lt;Author&gt;Zarca&lt;/Author&gt;&lt;Year&gt;2014&lt;/Year&gt;&lt;RecNum&gt;401&lt;/RecNum&gt;&lt;DisplayText&gt;[368]&lt;/DisplayText&gt;&lt;record&gt;&lt;rec-number&gt;401&lt;/rec-number&gt;&lt;foreign-keys&gt;&lt;key app="EN" db-id="tdtrdw9aepptzbefsat599syza29sxsd2wsp" timestamp="1612695492"&gt;401&lt;/key&gt;&lt;/foreign-keys&gt;&lt;ref-type name="Journal Article"&gt;17&lt;/ref-type&gt;&lt;contributors&gt;&lt;authors&gt;&lt;author&gt;Zarca, K&lt;/author&gt;&lt;author&gt;Durand-Zaleski, I&lt;/author&gt;&lt;author&gt;Roux, C&lt;/author&gt;&lt;author&gt;Souberbielle, JC&lt;/author&gt;&lt;author&gt;Schott, AM&lt;/author&gt;&lt;author&gt;Thomas, T&lt;/author&gt;&lt;author&gt;Fardellone, P&lt;/author&gt;&lt;author&gt;Benhamou, CL&lt;/author&gt;&lt;/authors&gt;&lt;/contributors&gt;&lt;titles&gt;&lt;title&gt;Cost-effectiveness analysis of hip fracture prevention with vitamin D supplementation: a Markov micro-simulation model applied to the French population over 65 years old without previous hip fracture&lt;/title&gt;&lt;secondary-title&gt;Osteoporosis International&lt;/secondary-title&gt;&lt;/titles&gt;&lt;periodical&gt;&lt;full-title&gt;Osteoporosis International&lt;/full-title&gt;&lt;/periodical&gt;&lt;pages&gt;1797-1806&lt;/pages&gt;&lt;volume&gt;25&lt;/volume&gt;&lt;number&gt;6&lt;/number&gt;&lt;dates&gt;&lt;year&gt;2014&lt;/year&gt;&lt;/dates&gt;&lt;isbn&gt;0937-941X&lt;/isbn&gt;&lt;urls&gt;&lt;/urls&gt;&lt;/record&gt;&lt;/Cite&gt;&lt;/EndNote&gt;</w:instrText>
      </w:r>
      <w:r w:rsidRPr="004C78D8">
        <w:fldChar w:fldCharType="separate"/>
      </w:r>
      <w:r w:rsidR="00C630FC" w:rsidRPr="004C78D8">
        <w:rPr>
          <w:noProof/>
        </w:rPr>
        <w:t>[368]</w:t>
      </w:r>
      <w:r w:rsidRPr="004C78D8">
        <w:fldChar w:fldCharType="end"/>
      </w:r>
      <w:r w:rsidRPr="004C78D8">
        <w:t xml:space="preserve">; and six months </w:t>
      </w:r>
      <w:r w:rsidRPr="004C78D8">
        <w:fldChar w:fldCharType="begin">
          <w:fldData xml:space="preserve">PEVuZE5vdGU+PENpdGU+PEF1dGhvcj5IaWxpZ3NtYW5uPC9BdXRob3I+PFllYXI+MjAxNDwvWWVh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==
</w:fldData>
        </w:fldChar>
      </w:r>
      <w:r w:rsidR="00C630FC" w:rsidRPr="004C78D8">
        <w:instrText xml:space="preserve"> ADDIN EN.CITE </w:instrText>
      </w:r>
      <w:r w:rsidR="00C630FC" w:rsidRPr="004C78D8">
        <w:fldChar w:fldCharType="begin">
          <w:fldData xml:space="preserve">PEVuZE5vdGU+PENpdGU+PEF1dGhvcj5IaWxpZ3NtYW5uPC9BdXRob3I+PFllYXI+MjAxNDwvWWVh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==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[343, 347]</w:t>
      </w:r>
      <w:r w:rsidRPr="004C78D8">
        <w:fldChar w:fldCharType="end"/>
      </w:r>
      <w:r w:rsidRPr="004C78D8">
        <w:t xml:space="preserve">. Hiligsmann (2014) and Zarca (2014) had fractures as the main event yet incorporated short cycles. </w:t>
      </w:r>
      <w:r w:rsidRPr="004C78D8">
        <w:rPr>
          <w:lang w:val="en-US"/>
        </w:rPr>
        <w:t xml:space="preserve">Tannenbaum (2015) </w:t>
      </w:r>
      <w:r w:rsidRPr="004C78D8">
        <w:rPr>
          <w:lang w:val="en-US"/>
        </w:rPr>
        <w:lastRenderedPageBreak/>
        <w:t xml:space="preserve">modelled higher falls risk in the second of the two six-month cycles for those who experienced a fall in the first. Other methods included: </w:t>
      </w:r>
      <w:r w:rsidRPr="004C78D8">
        <w:t xml:space="preserve">applying a negative binomial regression on individual-level data to adjust the falls risk for the number of falls per faller </w:t>
      </w:r>
      <w:r w:rsidRPr="004C78D8">
        <w:fldChar w:fldCharType="begin">
          <w:fldData xml:space="preserve">PEVuZE5vdGU+PENpdGU+PEF1dGhvcj5NY0xlYW48L0F1dGhvcj48WWVhcj4yMDE1PC9ZZWFyPjxS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</w:fldData>
        </w:fldChar>
      </w:r>
      <w:r w:rsidR="00C630FC" w:rsidRPr="004C78D8">
        <w:instrText xml:space="preserve"> ADDIN EN.CITE </w:instrText>
      </w:r>
      <w:r w:rsidR="00C630FC" w:rsidRPr="004C78D8">
        <w:fldChar w:fldCharType="begin">
          <w:fldData xml:space="preserve">PEVuZE5vdGU+PENpdGU+PEF1dGhvcj5NY0xlYW48L0F1dGhvcj48WWVhcj4yMDE1PC9ZZWFyPjxS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[355]</w:t>
      </w:r>
      <w:r w:rsidRPr="004C78D8">
        <w:fldChar w:fldCharType="end"/>
      </w:r>
      <w:r w:rsidRPr="004C78D8">
        <w:t xml:space="preserve">; and targeting those who have experienced a fall immediately prior to the model baseline (‘targeted recurrent fall’ in Table </w:t>
      </w:r>
      <w:r w:rsidR="00D005E6" w:rsidRPr="004C78D8">
        <w:t>4</w:t>
      </w:r>
      <w:r w:rsidRPr="004C78D8">
        <w:t xml:space="preserve">.4) </w:t>
      </w:r>
      <w:r w:rsidRPr="004C78D8">
        <w:fldChar w:fldCharType="begin">
          <w:fldData xml:space="preserve">PEVuZE5vdGU+PENpdGU+PEF1dGhvcj5Ib3dsYW5kPC9BdXRob3I+PFllYXI+MjAxNTwvWWVhcj48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</w:fldData>
        </w:fldChar>
      </w:r>
      <w:r w:rsidR="00C630FC" w:rsidRPr="004C78D8">
        <w:instrText xml:space="preserve"> ADDIN EN.CITE </w:instrText>
      </w:r>
      <w:r w:rsidR="00C630FC" w:rsidRPr="004C78D8">
        <w:fldChar w:fldCharType="begin">
          <w:fldData xml:space="preserve">PEVuZE5vdGU+PENpdGU+PEF1dGhvcj5Ib3dsYW5kPC9BdXRob3I+PFllYXI+MjAxNTwvWWVhcj48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[200, 340]</w:t>
      </w:r>
      <w:r w:rsidRPr="004C78D8">
        <w:fldChar w:fldCharType="end"/>
      </w:r>
      <w:r w:rsidRPr="004C78D8">
        <w:t>. No study employed model types incorporating time-to-event data (e.g., discrete event simulation) to overcome the limitation of set cycle lengths.</w:t>
      </w:r>
    </w:p>
    <w:p w14:paraId="30F58236" w14:textId="24EABBF5" w:rsidR="00F945C1" w:rsidRPr="004C78D8" w:rsidRDefault="00D005E6" w:rsidP="00FB7C1F">
      <w:pPr>
        <w:pStyle w:val="Heading4"/>
      </w:pPr>
      <w:r w:rsidRPr="004C78D8">
        <w:t>4</w:t>
      </w:r>
      <w:r w:rsidR="00F945C1" w:rsidRPr="004C78D8">
        <w:t>.5.1.3 Falls risk factors</w:t>
      </w:r>
    </w:p>
    <w:p w14:paraId="6A6CCFDF" w14:textId="2135BDD2" w:rsidR="00F945C1" w:rsidRPr="004C78D8" w:rsidRDefault="00F945C1" w:rsidP="00FB7C1F">
      <w:r w:rsidRPr="004C78D8">
        <w:t xml:space="preserve">Table </w:t>
      </w:r>
      <w:r w:rsidR="00D005E6" w:rsidRPr="004C78D8">
        <w:t>4</w:t>
      </w:r>
      <w:r w:rsidRPr="004C78D8">
        <w:t xml:space="preserve">.5 </w:t>
      </w:r>
      <w:r w:rsidR="00E45731" w:rsidRPr="004C78D8">
        <w:t xml:space="preserve">summarises the range of risk factors for falls and fall-related events incorporated by models that conducted primary analysis of individual-level data or used published epidemiological evidence (i.e., the first two approaches for characterising baseline risk in Table </w:t>
      </w:r>
      <w:r w:rsidR="00B14358" w:rsidRPr="004C78D8">
        <w:t>4</w:t>
      </w:r>
      <w:r w:rsidR="00E45731" w:rsidRPr="004C78D8">
        <w:t>.3). For the eight models that conducted primary analysis, the individual-level granula</w:t>
      </w:r>
      <w:r w:rsidR="007D0B79" w:rsidRPr="004C78D8">
        <w:t>rity</w:t>
      </w:r>
      <w:r w:rsidR="00E45731" w:rsidRPr="004C78D8">
        <w:t xml:space="preserve"> offered greater scope for incorporating a wide range of risk factors. For example, the four BODE3 models incorporated age, sex, ethnicity, and MA falls history as risk factors for MA fall, hospitalised fall</w:t>
      </w:r>
      <w:r w:rsidR="007D0B79" w:rsidRPr="004C78D8">
        <w:t>,</w:t>
      </w:r>
      <w:r w:rsidR="00E45731" w:rsidRPr="004C78D8">
        <w:t xml:space="preserve"> and fatal fall. Smith (2016) constructed a MA falls risk prediction tool using diverse variables in primary and secondary care routine data including history of fall/fracture</w:t>
      </w:r>
      <w:r w:rsidR="007D0B79" w:rsidRPr="004C78D8">
        <w:t>,</w:t>
      </w:r>
      <w:r w:rsidR="00E45731" w:rsidRPr="004C78D8">
        <w:t xml:space="preserve"> chronic disease diagnoses</w:t>
      </w:r>
      <w:r w:rsidR="007D0B79" w:rsidRPr="004C78D8">
        <w:t>,</w:t>
      </w:r>
      <w:r w:rsidR="00E45731" w:rsidRPr="004C78D8">
        <w:t xml:space="preserve"> and history of all-cause secondary care </w:t>
      </w:r>
      <w:r w:rsidR="007D0B79" w:rsidRPr="004C78D8">
        <w:t>use</w:t>
      </w:r>
      <w:r w:rsidR="00E45731" w:rsidRPr="004C78D8">
        <w:t>.</w:t>
      </w:r>
    </w:p>
    <w:p w14:paraId="0DAD0423" w14:textId="6B2C36A5" w:rsidR="00E45731" w:rsidRPr="004C78D8" w:rsidRDefault="008061DB" w:rsidP="00FB7C1F">
      <w:r w:rsidRPr="004C78D8">
        <w:t>Twenty-five models that used published evidence were more restricted in their incorporation of risk factors. Ten incorporated a single baseline risk or included age and/or sex as the only non-exogenous (i.e.</w:t>
      </w:r>
      <w:r w:rsidR="007D0B79" w:rsidRPr="004C78D8">
        <w:t>,</w:t>
      </w:r>
      <w:r w:rsidRPr="004C78D8">
        <w:t xml:space="preserve"> not </w:t>
      </w:r>
      <w:r w:rsidR="0068592F" w:rsidRPr="004C78D8">
        <w:t>set</w:t>
      </w:r>
      <w:r w:rsidRPr="004C78D8">
        <w:t xml:space="preserve"> at baseline) risk factors </w:t>
      </w:r>
      <w:r w:rsidRPr="004C78D8">
        <w:fldChar w:fldCharType="begin">
          <w:fldData xml:space="preserve">PEVuZE5vdGU+PENpdGU+PEF1dGhvcj5BZ2FydGlvZ2x1IEt1bmRha2NpPC9BdXRob3I+PFllYXI+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</w:fldData>
        </w:fldChar>
      </w:r>
      <w:r w:rsidR="00C630FC" w:rsidRPr="004C78D8">
        <w:instrText xml:space="preserve"> ADDIN EN.CITE </w:instrText>
      </w:r>
      <w:r w:rsidR="00C630FC" w:rsidRPr="004C78D8">
        <w:fldChar w:fldCharType="begin">
          <w:fldData xml:space="preserve">PEVuZE5vdGU+PENpdGU+PEF1dGhvcj5BZ2FydGlvZ2x1IEt1bmRha2NpPC9BdXRob3I+PFllYXI+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[146, 200, 340, 342, 343, 352, 356-358, 367]</w:t>
      </w:r>
      <w:r w:rsidRPr="004C78D8">
        <w:fldChar w:fldCharType="end"/>
      </w:r>
      <w:r w:rsidRPr="004C78D8">
        <w:t xml:space="preserve">. Only four incorporated non-injurious or non-MA falls as a risk factor for further falls within model simulation </w:t>
      </w:r>
      <w:r w:rsidRPr="004C78D8">
        <w:fldChar w:fldCharType="begin">
          <w:fldData xml:space="preserve">PEVuZE5vdGU+PENpdGU+PEF1dGhvcj5DaHVyY2g8L0F1dGhvcj48WWVhcj4yMDExPC9ZZWFyPjxS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</w:fldData>
        </w:fldChar>
      </w:r>
      <w:r w:rsidR="00C630FC" w:rsidRPr="004C78D8">
        <w:instrText xml:space="preserve"> ADDIN EN.CITE </w:instrText>
      </w:r>
      <w:r w:rsidR="00C630FC" w:rsidRPr="004C78D8">
        <w:fldChar w:fldCharType="begin">
          <w:fldData xml:space="preserve">PEVuZE5vdGU+PENpdGU+PEF1dGhvcj5DaHVyY2g8L0F1dGhvcj48WWVhcj4yMDExPC9ZZWFyPjxS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[338, 351, 360, 362]</w:t>
      </w:r>
      <w:r w:rsidRPr="004C78D8">
        <w:fldChar w:fldCharType="end"/>
      </w:r>
      <w:r w:rsidRPr="004C78D8">
        <w:t xml:space="preserve">. No model incorporated fear of falling as a risk factor. Only three incorporated chronic diseases: osteoporosis </w:t>
      </w:r>
      <w:r w:rsidRPr="004C78D8">
        <w:fldChar w:fldCharType="begin"/>
      </w:r>
      <w:r w:rsidR="00C630FC" w:rsidRPr="004C78D8">
        <w:instrText xml:space="preserve"> ADDIN EN.CITE &lt;EndNote&gt;&lt;Cite&gt;&lt;Author&gt;Mori&lt;/Author&gt;&lt;Year&gt;2017&lt;/Year&gt;&lt;RecNum&gt;352&lt;/RecNum&gt;&lt;DisplayText&gt;[336, 344]&lt;/DisplayText&gt;&lt;record&gt;&lt;rec-number&gt;352&lt;/rec-number&gt;&lt;foreign-keys&gt;&lt;key app="EN" db-id="tdtrdw9aepptzbefsat599syza29sxsd2wsp" timestamp="1612211992"&gt;352&lt;/key&gt;&lt;/foreign-keys&gt;&lt;ref-type name="Journal Article"&gt;17&lt;/ref-type&gt;&lt;contributors&gt;&lt;authors&gt;&lt;author&gt;Mori, T&lt;/author&gt;&lt;author&gt;Crandall, CJ&lt;/author&gt;&lt;author&gt;Ganz, David A&lt;/author&gt;&lt;/authors&gt;&lt;/contributors&gt;&lt;titles&gt;&lt;title&gt;Cost-effectiveness of combined oral bisphosphonate therapy and falls prevention exercise for fracture prevention in the USA&lt;/title&gt;&lt;secondary-title&gt;Osteoporosis international&lt;/secondary-title&gt;&lt;/titles&gt;&lt;periodical&gt;&lt;full-title&gt;Osteoporosis International&lt;/full-title&gt;&lt;/periodical&gt;&lt;pages&gt;585-595&lt;/pages&gt;&lt;volume&gt;28&lt;/volume&gt;&lt;number&gt;2&lt;/number&gt;&lt;dates&gt;&lt;year&gt;2017&lt;/year&gt;&lt;/dates&gt;&lt;isbn&gt;0937-941X&lt;/isbn&gt;&lt;urls&gt;&lt;/urls&gt;&lt;/record&gt;&lt;/Cite&gt;&lt;Cite&gt;&lt;Author&gt;Nshimyumukiza&lt;/Author&gt;&lt;Year&gt;2013&lt;/Year&gt;&lt;RecNum&gt;381&lt;/RecNum&gt;&lt;record&gt;&lt;rec-number&gt;381&lt;/rec-number&gt;&lt;foreign-keys&gt;&lt;key app="EN" db-id="tdtrdw9aepptzbefsat599syza29sxsd2wsp" timestamp="1612694614"&gt;381&lt;/key&gt;&lt;/foreign-keys&gt;&lt;ref-type name="Journal Article"&gt;17&lt;/ref-type&gt;&lt;contributors&gt;&lt;authors&gt;&lt;author&gt;Nshimyumukiza, Léon&lt;/author&gt;&lt;author&gt;Durand, Audrey&lt;/author&gt;&lt;author&gt;Gagnon, Mathieu&lt;/author&gt;&lt;author&gt;Douville, Xavier&lt;/author&gt;&lt;author&gt;Morin, Suzanne&lt;/author&gt;&lt;author&gt;Lindsay, Carmen&lt;/author&gt;&lt;author&gt;Duplantie, Julie&lt;/author&gt;&lt;author&gt;Gagné, Christian&lt;/author&gt;&lt;author&gt;Jean, Sonia&lt;/author&gt;&lt;author&gt;Giguere, Yves&lt;/author&gt;&lt;/authors&gt;&lt;/contributors&gt;&lt;titles&gt;&lt;title&gt;An economic evaluation: Simulation of the cost‐effectiveness and cost‐utility of universal prevention strategies against osteoporosis‐related fractures&lt;/title&gt;&lt;secondary-title&gt;Journal of Bone and Mineral Research&lt;/secondary-title&gt;&lt;/titles&gt;&lt;periodical&gt;&lt;full-title&gt;Journal of bone and mineral research&lt;/full-title&gt;&lt;/periodical&gt;&lt;pages&gt;383-394&lt;/pages&gt;&lt;volume&gt;28&lt;/volume&gt;&lt;number&gt;2&lt;/number&gt;&lt;dates&gt;&lt;year&gt;2013&lt;/year&gt;&lt;/dates&gt;&lt;isbn&gt;0884-0431&lt;/isbn&gt;&lt;urls&gt;&lt;/urls&gt;&lt;/record&gt;&lt;/Cite&gt;&lt;/EndNote&gt;</w:instrText>
      </w:r>
      <w:r w:rsidRPr="004C78D8">
        <w:fldChar w:fldCharType="separate"/>
      </w:r>
      <w:r w:rsidR="00C630FC" w:rsidRPr="004C78D8">
        <w:rPr>
          <w:noProof/>
        </w:rPr>
        <w:t>[336, 344]</w:t>
      </w:r>
      <w:r w:rsidRPr="004C78D8">
        <w:fldChar w:fldCharType="end"/>
      </w:r>
      <w:r w:rsidRPr="004C78D8">
        <w:t xml:space="preserve">; and depression and cognitive impairment </w:t>
      </w:r>
      <w:r w:rsidRPr="004C78D8">
        <w:fldChar w:fldCharType="begin"/>
      </w:r>
      <w:r w:rsidR="00C630FC" w:rsidRPr="004C78D8">
        <w:instrText xml:space="preserve"> ADDIN EN.CITE &lt;EndNote&gt;&lt;Cite&gt;&lt;Author&gt;Ling&lt;/Author&gt;&lt;Year&gt;2008&lt;/Year&gt;&lt;RecNum&gt;351&lt;/RecNum&gt;&lt;DisplayText&gt;[338]&lt;/DisplayText&gt;&lt;record&gt;&lt;rec-number&gt;351&lt;/rec-number&gt;&lt;foreign-keys&gt;&lt;key app="EN" db-id="tdtrdw9aepptzbefsat599syza29sxsd2wsp" timestamp="1612211980"&gt;351&lt;/key&gt;&lt;/foreign-keys&gt;&lt;ref-type name="Journal Article"&gt;17&lt;/ref-type&gt;&lt;contributors&gt;&lt;authors&gt;&lt;author&gt;Ling, Christian&lt;/author&gt;&lt;author&gt;Henderson, Stephen&lt;/author&gt;&lt;author&gt;Henderson, Ray&lt;/author&gt;&lt;author&gt;Henderson, Malia&lt;/author&gt;&lt;author&gt;Pedro, Tina&lt;/author&gt;&lt;author&gt;Pang, Lorrin&lt;/author&gt;&lt;/authors&gt;&lt;/contributors&gt;&lt;titles&gt;&lt;title&gt;Cost benefit considerations of preventing elderly falls through environmental modifications to homes in Hana, Maui&lt;/title&gt;&lt;secondary-title&gt;Hawaii medical journal&lt;/secondary-title&gt;&lt;/titles&gt;&lt;periodical&gt;&lt;full-title&gt;Hawaii medical journal&lt;/full-title&gt;&lt;/periodical&gt;&lt;pages&gt;65&lt;/pages&gt;&lt;volume&gt;67&lt;/volume&gt;&lt;number&gt;3&lt;/number&gt;&lt;dates&gt;&lt;year&gt;2008&lt;/year&gt;&lt;/dates&gt;&lt;isbn&gt;0017-8594&lt;/isbn&gt;&lt;urls&gt;&lt;/urls&gt;&lt;/record&gt;&lt;/Cite&gt;&lt;/EndNote&gt;</w:instrText>
      </w:r>
      <w:r w:rsidRPr="004C78D8">
        <w:fldChar w:fldCharType="separate"/>
      </w:r>
      <w:r w:rsidR="00C630FC" w:rsidRPr="004C78D8">
        <w:rPr>
          <w:noProof/>
        </w:rPr>
        <w:t>[338]</w:t>
      </w:r>
      <w:r w:rsidRPr="004C78D8">
        <w:fldChar w:fldCharType="end"/>
      </w:r>
      <w:r w:rsidRPr="004C78D8">
        <w:t xml:space="preserve">. Physical impairments as risk factors included: vitamin D deficiency </w:t>
      </w:r>
      <w:r w:rsidRPr="004C78D8">
        <w:fldChar w:fldCharType="begin">
          <w:fldData xml:space="preserve">PEVuZE5vdGU+PENpdGU+PEF1dGhvcj5MZWU8L0F1dGhvcj48WWVhcj4yMDEzPC9ZZWFyPjxSZWNO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</w:fldData>
        </w:fldChar>
      </w:r>
      <w:r w:rsidR="00C630FC" w:rsidRPr="004C78D8">
        <w:instrText xml:space="preserve"> ADDIN EN.CITE </w:instrText>
      </w:r>
      <w:r w:rsidR="00C630FC" w:rsidRPr="004C78D8">
        <w:fldChar w:fldCharType="begin">
          <w:fldData xml:space="preserve">PEVuZE5vdGU+PENpdGU+PEF1dGhvcj5MZWU8L0F1dGhvcj48WWVhcj4yMDEzPC9ZZWFyPjxSZWNO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[365, 368]</w:t>
      </w:r>
      <w:r w:rsidRPr="004C78D8">
        <w:fldChar w:fldCharType="end"/>
      </w:r>
      <w:r w:rsidRPr="004C78D8">
        <w:t xml:space="preserve">; low bone mass density </w:t>
      </w:r>
      <w:r w:rsidRPr="004C78D8">
        <w:fldChar w:fldCharType="begin"/>
      </w:r>
      <w:r w:rsidR="00C630FC" w:rsidRPr="004C78D8">
        <w:instrText xml:space="preserve"> ADDIN EN.CITE &lt;EndNote&gt;&lt;Cite&gt;&lt;Author&gt;Nshimyumukiza&lt;/Author&gt;&lt;Year&gt;2013&lt;/Year&gt;&lt;RecNum&gt;381&lt;/RecNum&gt;&lt;DisplayText&gt;[336]&lt;/DisplayText&gt;&lt;record&gt;&lt;rec-number&gt;381&lt;/rec-number&gt;&lt;foreign-keys&gt;&lt;key app="EN" db-id="tdtrdw9aepptzbefsat599syza29sxsd2wsp" timestamp="1612694614"&gt;381&lt;/key&gt;&lt;/foreign-keys&gt;&lt;ref-type name="Journal Article"&gt;17&lt;/ref-type&gt;&lt;contributors&gt;&lt;authors&gt;&lt;author&gt;Nshimyumukiza, Léon&lt;/author&gt;&lt;author&gt;Durand, Audrey&lt;/author&gt;&lt;author&gt;Gagnon, Mathieu&lt;/author&gt;&lt;author&gt;Douville, Xavier&lt;/author&gt;&lt;author&gt;Morin, Suzanne&lt;/author&gt;&lt;author&gt;Lindsay, Carmen&lt;/author&gt;&lt;author&gt;Duplantie, Julie&lt;/author&gt;&lt;author&gt;Gagné, Christian&lt;/author&gt;&lt;author&gt;Jean, Sonia&lt;/author&gt;&lt;author&gt;Giguere, Yves&lt;/author&gt;&lt;/authors&gt;&lt;/contributors&gt;&lt;titles&gt;&lt;title&gt;An economic evaluation: Simulation of the cost‐effectiveness and cost‐utility of universal prevention strategies against osteoporosis‐related fractures&lt;/title&gt;&lt;secondary-title&gt;Journal of Bone and Mineral Research&lt;/secondary-title&gt;&lt;/titles&gt;&lt;periodical&gt;&lt;full-title&gt;Journal of bone and mineral research&lt;/full-title&gt;&lt;/periodical&gt;&lt;pages&gt;383-394&lt;/pages&gt;&lt;volume&gt;28&lt;/volume&gt;&lt;number&gt;2&lt;/number&gt;&lt;dates&gt;&lt;year&gt;2013&lt;/year&gt;&lt;/dates&gt;&lt;isbn&gt;0884-0431&lt;/isbn&gt;&lt;urls&gt;&lt;/urls&gt;&lt;/record&gt;&lt;/Cite&gt;&lt;/EndNote&gt;</w:instrText>
      </w:r>
      <w:r w:rsidRPr="004C78D8">
        <w:fldChar w:fldCharType="separate"/>
      </w:r>
      <w:r w:rsidR="00C630FC" w:rsidRPr="004C78D8">
        <w:rPr>
          <w:noProof/>
        </w:rPr>
        <w:t>[336]</w:t>
      </w:r>
      <w:r w:rsidRPr="004C78D8">
        <w:fldChar w:fldCharType="end"/>
      </w:r>
      <w:r w:rsidRPr="004C78D8">
        <w:t>; impaired gait</w:t>
      </w:r>
      <w:r w:rsidR="0068592F" w:rsidRPr="004C78D8">
        <w:t>/</w:t>
      </w:r>
      <w:r w:rsidRPr="004C78D8">
        <w:t xml:space="preserve">balance, leg weakness and functional impairment </w:t>
      </w:r>
      <w:r w:rsidRPr="004C78D8">
        <w:fldChar w:fldCharType="begin"/>
      </w:r>
      <w:r w:rsidR="00C630FC" w:rsidRPr="004C78D8">
        <w:instrText xml:space="preserve"> ADDIN EN.CITE &lt;EndNote&gt;&lt;Cite&gt;&lt;Author&gt;Ling&lt;/Author&gt;&lt;Year&gt;2008&lt;/Year&gt;&lt;RecNum&gt;351&lt;/RecNum&gt;&lt;DisplayText&gt;[338]&lt;/DisplayText&gt;&lt;record&gt;&lt;rec-number&gt;351&lt;/rec-number&gt;&lt;foreign-keys&gt;&lt;key app="EN" db-id="tdtrdw9aepptzbefsat599syza29sxsd2wsp" timestamp="1612211980"&gt;351&lt;/key&gt;&lt;/foreign-keys&gt;&lt;ref-type name="Journal Article"&gt;17&lt;/ref-type&gt;&lt;contributors&gt;&lt;authors&gt;&lt;author&gt;Ling, Christian&lt;/author&gt;&lt;author&gt;Henderson, Stephen&lt;/author&gt;&lt;author&gt;Henderson, Ray&lt;/author&gt;&lt;author&gt;Henderson, Malia&lt;/author&gt;&lt;author&gt;Pedro, Tina&lt;/author&gt;&lt;author&gt;Pang, Lorrin&lt;/author&gt;&lt;/authors&gt;&lt;/contributors&gt;&lt;titles&gt;&lt;title&gt;Cost benefit considerations of preventing elderly falls through environmental modifications to homes in Hana, Maui&lt;/title&gt;&lt;secondary-title&gt;Hawaii medical journal&lt;/secondary-title&gt;&lt;/titles&gt;&lt;periodical&gt;&lt;full-title&gt;Hawaii medical journal&lt;/full-title&gt;&lt;/periodical&gt;&lt;pages&gt;65&lt;/pages&gt;&lt;volume&gt;67&lt;/volume&gt;&lt;number&gt;3&lt;/number&gt;&lt;dates&gt;&lt;year&gt;2008&lt;/year&gt;&lt;/dates&gt;&lt;isbn&gt;0017-8594&lt;/isbn&gt;&lt;urls&gt;&lt;/urls&gt;&lt;/record&gt;&lt;/Cite&gt;&lt;/EndNote&gt;</w:instrText>
      </w:r>
      <w:r w:rsidRPr="004C78D8">
        <w:fldChar w:fldCharType="separate"/>
      </w:r>
      <w:r w:rsidR="00C630FC" w:rsidRPr="004C78D8">
        <w:rPr>
          <w:noProof/>
        </w:rPr>
        <w:t>[338]</w:t>
      </w:r>
      <w:r w:rsidRPr="004C78D8">
        <w:fldChar w:fldCharType="end"/>
      </w:r>
      <w:r w:rsidRPr="004C78D8">
        <w:t xml:space="preserve">; and functional dependency </w:t>
      </w:r>
      <w:r w:rsidRPr="004C78D8">
        <w:fldChar w:fldCharType="begin"/>
      </w:r>
      <w:r w:rsidR="00C630FC" w:rsidRPr="004C78D8">
        <w:instrText xml:space="preserve"> ADDIN EN.CITE &lt;EndNote&gt;&lt;Cite&gt;&lt;Author&gt;Honkanen&lt;/Author&gt;&lt;Year&gt;2006&lt;/Year&gt;&lt;RecNum&gt;390&lt;/RecNum&gt;&lt;DisplayText&gt;[318]&lt;/DisplayText&gt;&lt;record&gt;&lt;rec-number&gt;390&lt;/rec-number&gt;&lt;foreign-keys&gt;&lt;key app="EN" db-id="tdtrdw9aepptzbefsat599syza29sxsd2wsp" timestamp="1612694614"&gt;390&lt;/key&gt;&lt;/foreign-keys&gt;&lt;ref-type name="Journal Article"&gt;17&lt;/ref-type&gt;&lt;contributors&gt;&lt;authors&gt;&lt;author&gt;Honkanen, Lisa A&lt;/author&gt;&lt;author&gt;Mushlin, Alvin I&lt;/author&gt;&lt;author&gt;Lachs, Mark&lt;/author&gt;&lt;author&gt;Schackman, Bruce R&lt;/author&gt;&lt;/authors&gt;&lt;/contributors&gt;&lt;titles&gt;&lt;title&gt;Can Hip Protector Use Cost‐Effectively Prevent Fractures in Community‐Dwelling Geriatric Populations?&lt;/title&gt;&lt;secondary-title&gt;Journal of the American Geriatrics Society&lt;/secondary-title&gt;&lt;/titles&gt;&lt;periodical&gt;&lt;full-title&gt;Journal of the American Geriatrics Society&lt;/full-title&gt;&lt;/periodical&gt;&lt;pages&gt;1658-1665&lt;/pages&gt;&lt;volume&gt;54&lt;/volume&gt;&lt;number&gt;11&lt;/number&gt;&lt;dates&gt;&lt;year&gt;2006&lt;/year&gt;&lt;/dates&gt;&lt;isbn&gt;0002-8614&lt;/isbn&gt;&lt;urls&gt;&lt;/urls&gt;&lt;/record&gt;&lt;/Cite&gt;&lt;/EndNote&gt;</w:instrText>
      </w:r>
      <w:r w:rsidRPr="004C78D8">
        <w:fldChar w:fldCharType="separate"/>
      </w:r>
      <w:r w:rsidR="00C630FC" w:rsidRPr="004C78D8">
        <w:rPr>
          <w:noProof/>
        </w:rPr>
        <w:t>[318]</w:t>
      </w:r>
      <w:r w:rsidRPr="004C78D8">
        <w:fldChar w:fldCharType="end"/>
      </w:r>
      <w:r w:rsidRPr="004C78D8">
        <w:t>.</w:t>
      </w:r>
    </w:p>
    <w:p w14:paraId="3F510307" w14:textId="25BFE58D" w:rsidR="00DF6589" w:rsidRPr="004C78D8" w:rsidRDefault="00DF6589" w:rsidP="00FB7C1F">
      <w:r w:rsidRPr="004C78D8">
        <w:t xml:space="preserve">Models using internal intervention study evidence or external RCT data to characterise the baseline falls risk/rate (i.e., the last two approaches in Table </w:t>
      </w:r>
      <w:r w:rsidR="00B14358" w:rsidRPr="004C78D8">
        <w:t>4</w:t>
      </w:r>
      <w:r w:rsidRPr="004C78D8">
        <w:t>.3) took the risk factors as given from the internal or external studies. For example, Day (2009) used the inclusion criteria of external RCTs to define the risk profiles of six model subgroups receiving different interventions. A representative population survey was then used to estimate the subgroup sizes.</w:t>
      </w:r>
    </w:p>
    <w:p w14:paraId="0616CA59" w14:textId="77777777" w:rsidR="00DF6589" w:rsidRPr="004C78D8" w:rsidRDefault="00DF6589" w:rsidP="00FB7C1F"/>
    <w:p w14:paraId="290F59E9" w14:textId="77777777" w:rsidR="00AF1972" w:rsidRPr="004C78D8" w:rsidRDefault="00AF1972" w:rsidP="00FB7C1F">
      <w:pPr>
        <w:sectPr w:rsidR="00AF1972" w:rsidRPr="004C78D8">
          <w:pgSz w:w="11906" w:h="16838"/>
          <w:pgMar w:top="1440" w:right="1440" w:bottom="1440" w:left="1440" w:header="708" w:footer="708" w:gutter="0"/>
          <w:cols w:space="708"/>
          <w:docGrid w:linePitch="36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64"/>
        <w:gridCol w:w="1981"/>
        <w:gridCol w:w="697"/>
        <w:gridCol w:w="697"/>
        <w:gridCol w:w="982"/>
        <w:gridCol w:w="968"/>
        <w:gridCol w:w="895"/>
        <w:gridCol w:w="895"/>
        <w:gridCol w:w="745"/>
        <w:gridCol w:w="840"/>
        <w:gridCol w:w="1102"/>
        <w:gridCol w:w="896"/>
        <w:gridCol w:w="810"/>
        <w:gridCol w:w="1176"/>
      </w:tblGrid>
      <w:tr w:rsidR="00E45731" w:rsidRPr="004C78D8" w14:paraId="53580290" w14:textId="77777777" w:rsidTr="002828C1">
        <w:tc>
          <w:tcPr>
            <w:tcW w:w="5000" w:type="pct"/>
            <w:gridSpan w:val="14"/>
          </w:tcPr>
          <w:p w14:paraId="2270902E" w14:textId="4DD617E8" w:rsidR="00E45731" w:rsidRPr="004C78D8" w:rsidRDefault="00E45731" w:rsidP="00FB7C1F">
            <w:pPr>
              <w:spacing w:after="0"/>
            </w:pPr>
            <w:r w:rsidRPr="004C78D8">
              <w:rPr>
                <w:b/>
              </w:rPr>
              <w:lastRenderedPageBreak/>
              <w:t xml:space="preserve">Table </w:t>
            </w:r>
            <w:r w:rsidR="00B14358" w:rsidRPr="004C78D8">
              <w:rPr>
                <w:b/>
              </w:rPr>
              <w:t>4</w:t>
            </w:r>
            <w:r w:rsidRPr="004C78D8">
              <w:rPr>
                <w:b/>
              </w:rPr>
              <w:t>.5</w:t>
            </w:r>
            <w:r w:rsidRPr="004C78D8">
              <w:t xml:space="preserve"> Risk factors for fall-related events in models conducting primary analysis of epidemiological data or using published epidemiological evidence.</w:t>
            </w:r>
          </w:p>
        </w:tc>
      </w:tr>
      <w:tr w:rsidR="00E45731" w:rsidRPr="004C78D8" w14:paraId="44AF2FB8" w14:textId="77777777" w:rsidTr="002828C1">
        <w:tc>
          <w:tcPr>
            <w:tcW w:w="458" w:type="pct"/>
            <w:tcBorders>
              <w:right w:val="nil"/>
            </w:tcBorders>
          </w:tcPr>
          <w:p w14:paraId="72671D95" w14:textId="77777777" w:rsidR="00E45731" w:rsidRPr="004C78D8" w:rsidRDefault="00E45731" w:rsidP="00FB7C1F">
            <w:pPr>
              <w:spacing w:after="0"/>
              <w:jc w:val="left"/>
            </w:pPr>
          </w:p>
        </w:tc>
        <w:tc>
          <w:tcPr>
            <w:tcW w:w="715" w:type="pct"/>
            <w:tcBorders>
              <w:left w:val="nil"/>
            </w:tcBorders>
          </w:tcPr>
          <w:p w14:paraId="78E6E412" w14:textId="77777777" w:rsidR="00E45731" w:rsidRPr="004C78D8" w:rsidRDefault="00E45731" w:rsidP="00FB7C1F">
            <w:pPr>
              <w:spacing w:after="0"/>
              <w:jc w:val="left"/>
            </w:pPr>
          </w:p>
        </w:tc>
        <w:tc>
          <w:tcPr>
            <w:tcW w:w="3828" w:type="pct"/>
            <w:gridSpan w:val="12"/>
          </w:tcPr>
          <w:p w14:paraId="4CC88BFC" w14:textId="77777777" w:rsidR="00E45731" w:rsidRPr="004C78D8" w:rsidRDefault="00E45731" w:rsidP="00FB7C1F">
            <w:pPr>
              <w:spacing w:after="0"/>
              <w:jc w:val="center"/>
              <w:rPr>
                <w:b/>
              </w:rPr>
            </w:pPr>
            <w:r w:rsidRPr="004C78D8">
              <w:rPr>
                <w:b/>
                <w:sz w:val="20"/>
                <w:szCs w:val="20"/>
              </w:rPr>
              <w:t>Falls risk factors</w:t>
            </w:r>
          </w:p>
        </w:tc>
      </w:tr>
      <w:tr w:rsidR="00E45731" w:rsidRPr="004C78D8" w14:paraId="0569AEA2" w14:textId="77777777" w:rsidTr="002828C1">
        <w:tc>
          <w:tcPr>
            <w:tcW w:w="458" w:type="pct"/>
            <w:vAlign w:val="bottom"/>
          </w:tcPr>
          <w:p w14:paraId="0FC67246" w14:textId="7BF6089E" w:rsidR="00E45731" w:rsidRPr="004C78D8" w:rsidRDefault="00E45731" w:rsidP="00FB7C1F">
            <w:pPr>
              <w:spacing w:after="0"/>
              <w:jc w:val="left"/>
              <w:rPr>
                <w:b/>
                <w:sz w:val="20"/>
                <w:szCs w:val="20"/>
              </w:rPr>
            </w:pPr>
            <w:r w:rsidRPr="004C78D8">
              <w:rPr>
                <w:b/>
                <w:sz w:val="20"/>
                <w:szCs w:val="20"/>
              </w:rPr>
              <w:t>Study label</w:t>
            </w:r>
            <w:r w:rsidRPr="004C78D8">
              <w:rPr>
                <w:b/>
                <w:sz w:val="20"/>
                <w:szCs w:val="20"/>
                <w:vertAlign w:val="superscript"/>
              </w:rPr>
              <w:t>1</w:t>
            </w:r>
          </w:p>
        </w:tc>
        <w:tc>
          <w:tcPr>
            <w:tcW w:w="715" w:type="pct"/>
            <w:vAlign w:val="bottom"/>
          </w:tcPr>
          <w:p w14:paraId="4B1AA565" w14:textId="77777777" w:rsidR="00E45731" w:rsidRPr="004C78D8" w:rsidRDefault="00E45731" w:rsidP="00FB7C1F">
            <w:pPr>
              <w:spacing w:after="0"/>
              <w:jc w:val="left"/>
              <w:rPr>
                <w:b/>
                <w:sz w:val="20"/>
                <w:szCs w:val="20"/>
              </w:rPr>
            </w:pPr>
            <w:r w:rsidRPr="004C78D8">
              <w:rPr>
                <w:b/>
                <w:sz w:val="20"/>
                <w:szCs w:val="20"/>
              </w:rPr>
              <w:t>Fall-related event</w:t>
            </w:r>
          </w:p>
        </w:tc>
        <w:tc>
          <w:tcPr>
            <w:tcW w:w="255" w:type="pct"/>
            <w:vAlign w:val="bottom"/>
          </w:tcPr>
          <w:p w14:paraId="5847F5D9" w14:textId="77777777" w:rsidR="00E45731" w:rsidRPr="004C78D8" w:rsidRDefault="00E45731" w:rsidP="00FB7C1F">
            <w:pPr>
              <w:spacing w:after="0"/>
              <w:jc w:val="left"/>
              <w:rPr>
                <w:b/>
                <w:sz w:val="18"/>
                <w:szCs w:val="18"/>
              </w:rPr>
            </w:pPr>
            <w:r w:rsidRPr="004C78D8">
              <w:rPr>
                <w:sz w:val="18"/>
                <w:szCs w:val="18"/>
              </w:rPr>
              <w:t>Age</w:t>
            </w:r>
          </w:p>
        </w:tc>
        <w:tc>
          <w:tcPr>
            <w:tcW w:w="255" w:type="pct"/>
            <w:vAlign w:val="bottom"/>
          </w:tcPr>
          <w:p w14:paraId="5BAF5DB9" w14:textId="77777777" w:rsidR="00E45731" w:rsidRPr="004C78D8" w:rsidRDefault="00E45731" w:rsidP="00FB7C1F">
            <w:pPr>
              <w:spacing w:after="0"/>
              <w:jc w:val="left"/>
              <w:rPr>
                <w:sz w:val="18"/>
                <w:szCs w:val="18"/>
              </w:rPr>
            </w:pPr>
            <w:r w:rsidRPr="004C78D8">
              <w:rPr>
                <w:sz w:val="18"/>
                <w:szCs w:val="18"/>
              </w:rPr>
              <w:t>Sex</w:t>
            </w:r>
          </w:p>
        </w:tc>
        <w:tc>
          <w:tcPr>
            <w:tcW w:w="357" w:type="pct"/>
            <w:vAlign w:val="bottom"/>
          </w:tcPr>
          <w:p w14:paraId="71AB5E84" w14:textId="77777777" w:rsidR="00E45731" w:rsidRPr="004C78D8" w:rsidRDefault="00E45731" w:rsidP="00FB7C1F">
            <w:pPr>
              <w:spacing w:after="0"/>
              <w:jc w:val="left"/>
              <w:rPr>
                <w:sz w:val="18"/>
                <w:szCs w:val="18"/>
              </w:rPr>
            </w:pPr>
            <w:r w:rsidRPr="004C78D8">
              <w:rPr>
                <w:sz w:val="18"/>
                <w:szCs w:val="18"/>
              </w:rPr>
              <w:t>Ethnicity</w:t>
            </w:r>
          </w:p>
        </w:tc>
        <w:tc>
          <w:tcPr>
            <w:tcW w:w="352" w:type="pct"/>
            <w:vAlign w:val="bottom"/>
          </w:tcPr>
          <w:p w14:paraId="5655E5C3" w14:textId="77777777" w:rsidR="00E45731" w:rsidRPr="004C78D8" w:rsidRDefault="00E45731" w:rsidP="00FB7C1F">
            <w:pPr>
              <w:spacing w:after="0"/>
              <w:jc w:val="left"/>
              <w:rPr>
                <w:sz w:val="18"/>
                <w:szCs w:val="18"/>
              </w:rPr>
            </w:pPr>
            <w:r w:rsidRPr="004C78D8">
              <w:rPr>
                <w:sz w:val="18"/>
                <w:szCs w:val="18"/>
              </w:rPr>
              <w:t>Region/ Residence</w:t>
            </w:r>
          </w:p>
        </w:tc>
        <w:tc>
          <w:tcPr>
            <w:tcW w:w="326" w:type="pct"/>
            <w:vAlign w:val="bottom"/>
          </w:tcPr>
          <w:p w14:paraId="385C54C3" w14:textId="77777777" w:rsidR="00E45731" w:rsidRPr="004C78D8" w:rsidRDefault="00E45731" w:rsidP="00FB7C1F">
            <w:pPr>
              <w:spacing w:after="0"/>
              <w:jc w:val="left"/>
              <w:rPr>
                <w:sz w:val="18"/>
                <w:szCs w:val="18"/>
              </w:rPr>
            </w:pPr>
            <w:r w:rsidRPr="004C78D8">
              <w:rPr>
                <w:sz w:val="18"/>
                <w:szCs w:val="18"/>
              </w:rPr>
              <w:t>Non-inj./MA falls history</w:t>
            </w:r>
          </w:p>
        </w:tc>
        <w:tc>
          <w:tcPr>
            <w:tcW w:w="326" w:type="pct"/>
            <w:vAlign w:val="bottom"/>
          </w:tcPr>
          <w:p w14:paraId="492C9E65" w14:textId="77777777" w:rsidR="00E45731" w:rsidRPr="004C78D8" w:rsidRDefault="00E45731" w:rsidP="00FB7C1F">
            <w:pPr>
              <w:spacing w:after="0"/>
              <w:jc w:val="left"/>
              <w:rPr>
                <w:sz w:val="18"/>
                <w:szCs w:val="18"/>
              </w:rPr>
            </w:pPr>
            <w:r w:rsidRPr="004C78D8">
              <w:rPr>
                <w:sz w:val="18"/>
                <w:szCs w:val="18"/>
              </w:rPr>
              <w:t>Inj./MA falls history</w:t>
            </w:r>
          </w:p>
        </w:tc>
        <w:tc>
          <w:tcPr>
            <w:tcW w:w="272" w:type="pct"/>
            <w:vAlign w:val="bottom"/>
          </w:tcPr>
          <w:p w14:paraId="4FC57590" w14:textId="77777777" w:rsidR="00E45731" w:rsidRPr="004C78D8" w:rsidRDefault="00E45731" w:rsidP="00FB7C1F">
            <w:pPr>
              <w:spacing w:after="0"/>
              <w:jc w:val="left"/>
              <w:rPr>
                <w:sz w:val="18"/>
                <w:szCs w:val="18"/>
              </w:rPr>
            </w:pPr>
            <w:r w:rsidRPr="004C78D8">
              <w:rPr>
                <w:sz w:val="18"/>
                <w:szCs w:val="18"/>
              </w:rPr>
              <w:t>Fear of falling</w:t>
            </w:r>
          </w:p>
        </w:tc>
        <w:tc>
          <w:tcPr>
            <w:tcW w:w="306" w:type="pct"/>
            <w:vAlign w:val="bottom"/>
          </w:tcPr>
          <w:p w14:paraId="653BEC3A" w14:textId="77777777" w:rsidR="00E45731" w:rsidRPr="004C78D8" w:rsidRDefault="00E45731" w:rsidP="00FB7C1F">
            <w:pPr>
              <w:spacing w:after="0"/>
              <w:jc w:val="left"/>
              <w:rPr>
                <w:sz w:val="18"/>
                <w:szCs w:val="18"/>
              </w:rPr>
            </w:pPr>
            <w:r w:rsidRPr="004C78D8">
              <w:rPr>
                <w:sz w:val="18"/>
                <w:szCs w:val="18"/>
              </w:rPr>
              <w:t>Chronic disease</w:t>
            </w:r>
          </w:p>
        </w:tc>
        <w:tc>
          <w:tcPr>
            <w:tcW w:w="400" w:type="pct"/>
            <w:vAlign w:val="bottom"/>
          </w:tcPr>
          <w:p w14:paraId="46E261E2" w14:textId="77777777" w:rsidR="00E45731" w:rsidRPr="004C78D8" w:rsidRDefault="00E45731" w:rsidP="00FB7C1F">
            <w:pPr>
              <w:spacing w:after="0"/>
              <w:jc w:val="left"/>
              <w:rPr>
                <w:sz w:val="18"/>
                <w:szCs w:val="18"/>
              </w:rPr>
            </w:pPr>
            <w:r w:rsidRPr="004C78D8">
              <w:rPr>
                <w:sz w:val="18"/>
                <w:szCs w:val="18"/>
              </w:rPr>
              <w:t>Medication</w:t>
            </w:r>
          </w:p>
        </w:tc>
        <w:tc>
          <w:tcPr>
            <w:tcW w:w="326" w:type="pct"/>
            <w:vAlign w:val="bottom"/>
          </w:tcPr>
          <w:p w14:paraId="75D1FBC2" w14:textId="77777777" w:rsidR="00E45731" w:rsidRPr="004C78D8" w:rsidRDefault="00E45731" w:rsidP="00FB7C1F">
            <w:pPr>
              <w:spacing w:after="0"/>
              <w:jc w:val="left"/>
              <w:rPr>
                <w:sz w:val="18"/>
                <w:szCs w:val="18"/>
              </w:rPr>
            </w:pPr>
            <w:r w:rsidRPr="004C78D8">
              <w:rPr>
                <w:sz w:val="18"/>
                <w:szCs w:val="18"/>
              </w:rPr>
              <w:t>Physical capacity</w:t>
            </w:r>
          </w:p>
        </w:tc>
        <w:tc>
          <w:tcPr>
            <w:tcW w:w="295" w:type="pct"/>
            <w:vAlign w:val="bottom"/>
          </w:tcPr>
          <w:p w14:paraId="13B42775" w14:textId="77777777" w:rsidR="00E45731" w:rsidRPr="004C78D8" w:rsidRDefault="00E45731" w:rsidP="00FB7C1F">
            <w:pPr>
              <w:spacing w:after="0"/>
              <w:jc w:val="left"/>
              <w:rPr>
                <w:sz w:val="18"/>
                <w:szCs w:val="18"/>
              </w:rPr>
            </w:pPr>
            <w:r w:rsidRPr="004C78D8">
              <w:rPr>
                <w:sz w:val="18"/>
                <w:szCs w:val="18"/>
              </w:rPr>
              <w:t>Service use history</w:t>
            </w:r>
          </w:p>
        </w:tc>
        <w:tc>
          <w:tcPr>
            <w:tcW w:w="357" w:type="pct"/>
            <w:vAlign w:val="bottom"/>
          </w:tcPr>
          <w:p w14:paraId="015A6F3A" w14:textId="77777777" w:rsidR="00E45731" w:rsidRPr="004C78D8" w:rsidRDefault="00E45731" w:rsidP="00FB7C1F">
            <w:pPr>
              <w:spacing w:after="0"/>
              <w:jc w:val="left"/>
              <w:rPr>
                <w:sz w:val="18"/>
                <w:szCs w:val="18"/>
              </w:rPr>
            </w:pPr>
            <w:r w:rsidRPr="004C78D8">
              <w:rPr>
                <w:sz w:val="18"/>
                <w:szCs w:val="18"/>
              </w:rPr>
              <w:t>Risk identification tool</w:t>
            </w:r>
          </w:p>
        </w:tc>
      </w:tr>
      <w:tr w:rsidR="00E45731" w:rsidRPr="004C78D8" w14:paraId="0D10D84F" w14:textId="77777777" w:rsidTr="002828C1">
        <w:tc>
          <w:tcPr>
            <w:tcW w:w="5000" w:type="pct"/>
            <w:gridSpan w:val="14"/>
          </w:tcPr>
          <w:p w14:paraId="425D36EC" w14:textId="77777777" w:rsidR="00E45731" w:rsidRPr="004C78D8" w:rsidRDefault="00E45731" w:rsidP="00FB7C1F">
            <w:pPr>
              <w:spacing w:after="0"/>
              <w:jc w:val="left"/>
            </w:pPr>
            <w:r w:rsidRPr="004C78D8">
              <w:rPr>
                <w:b/>
                <w:i/>
                <w:sz w:val="20"/>
                <w:szCs w:val="20"/>
              </w:rPr>
              <w:t>Primary analysis of epidemiological data</w:t>
            </w:r>
          </w:p>
        </w:tc>
      </w:tr>
      <w:tr w:rsidR="00E45731" w:rsidRPr="004C78D8" w14:paraId="5D6EEF86" w14:textId="77777777" w:rsidTr="002828C1">
        <w:tc>
          <w:tcPr>
            <w:tcW w:w="458" w:type="pct"/>
            <w:vMerge w:val="restart"/>
          </w:tcPr>
          <w:p w14:paraId="5A46F762" w14:textId="77777777" w:rsidR="00E45731" w:rsidRPr="004C78D8" w:rsidRDefault="00E45731" w:rsidP="00FB7C1F">
            <w:pPr>
              <w:spacing w:after="0"/>
              <w:jc w:val="left"/>
              <w:rPr>
                <w:sz w:val="18"/>
                <w:szCs w:val="18"/>
              </w:rPr>
            </w:pPr>
            <w:r w:rsidRPr="004C78D8">
              <w:rPr>
                <w:sz w:val="18"/>
                <w:szCs w:val="18"/>
              </w:rPr>
              <w:t>BODE3 models</w:t>
            </w:r>
          </w:p>
        </w:tc>
        <w:tc>
          <w:tcPr>
            <w:tcW w:w="715" w:type="pct"/>
            <w:tcBorders>
              <w:bottom w:val="single" w:sz="4" w:space="0" w:color="000000"/>
            </w:tcBorders>
          </w:tcPr>
          <w:p w14:paraId="6F8D5CA4" w14:textId="77777777" w:rsidR="00E45731" w:rsidRPr="004C78D8" w:rsidRDefault="00E45731" w:rsidP="00FB7C1F">
            <w:pPr>
              <w:spacing w:after="0"/>
              <w:jc w:val="left"/>
              <w:rPr>
                <w:sz w:val="18"/>
                <w:szCs w:val="18"/>
              </w:rPr>
            </w:pPr>
            <w:r w:rsidRPr="004C78D8">
              <w:rPr>
                <w:sz w:val="18"/>
                <w:szCs w:val="18"/>
              </w:rPr>
              <w:t>MA fall; Hospitalised fall; Fatal fall</w:t>
            </w:r>
          </w:p>
        </w:tc>
        <w:tc>
          <w:tcPr>
            <w:tcW w:w="255" w:type="pct"/>
            <w:tcBorders>
              <w:top w:val="nil"/>
              <w:bottom w:val="nil"/>
            </w:tcBorders>
            <w:vAlign w:val="center"/>
          </w:tcPr>
          <w:p w14:paraId="1D27EAF4" w14:textId="77777777" w:rsidR="00E45731" w:rsidRPr="004C78D8" w:rsidRDefault="00E45731" w:rsidP="00FB7C1F">
            <w:pPr>
              <w:spacing w:after="0"/>
              <w:jc w:val="center"/>
              <w:rPr>
                <w:sz w:val="28"/>
                <w:szCs w:val="28"/>
              </w:rPr>
            </w:pPr>
            <w:r w:rsidRPr="004C78D8">
              <w:rPr>
                <w:sz w:val="28"/>
                <w:szCs w:val="28"/>
              </w:rPr>
              <w:t>˟</w:t>
            </w:r>
          </w:p>
        </w:tc>
        <w:tc>
          <w:tcPr>
            <w:tcW w:w="255" w:type="pct"/>
            <w:tcBorders>
              <w:top w:val="nil"/>
              <w:bottom w:val="nil"/>
            </w:tcBorders>
            <w:vAlign w:val="center"/>
          </w:tcPr>
          <w:p w14:paraId="1F6D515C" w14:textId="77777777" w:rsidR="00E45731" w:rsidRPr="004C78D8" w:rsidRDefault="00E45731" w:rsidP="00FB7C1F">
            <w:pPr>
              <w:spacing w:after="0"/>
              <w:jc w:val="center"/>
              <w:rPr>
                <w:sz w:val="28"/>
                <w:szCs w:val="28"/>
              </w:rPr>
            </w:pPr>
            <w:r w:rsidRPr="004C78D8">
              <w:rPr>
                <w:sz w:val="28"/>
                <w:szCs w:val="28"/>
              </w:rPr>
              <w:t>˟</w:t>
            </w:r>
          </w:p>
        </w:tc>
        <w:tc>
          <w:tcPr>
            <w:tcW w:w="357" w:type="pct"/>
            <w:tcBorders>
              <w:top w:val="nil"/>
              <w:bottom w:val="nil"/>
            </w:tcBorders>
            <w:vAlign w:val="center"/>
          </w:tcPr>
          <w:p w14:paraId="3FD6EB2C" w14:textId="77777777" w:rsidR="00E45731" w:rsidRPr="004C78D8" w:rsidRDefault="00E45731" w:rsidP="00FB7C1F">
            <w:pPr>
              <w:spacing w:after="0"/>
              <w:jc w:val="center"/>
              <w:rPr>
                <w:sz w:val="28"/>
                <w:szCs w:val="28"/>
              </w:rPr>
            </w:pPr>
            <w:r w:rsidRPr="004C78D8">
              <w:rPr>
                <w:sz w:val="28"/>
                <w:szCs w:val="28"/>
              </w:rPr>
              <w:t>˟</w:t>
            </w:r>
          </w:p>
        </w:tc>
        <w:tc>
          <w:tcPr>
            <w:tcW w:w="352" w:type="pct"/>
            <w:tcBorders>
              <w:top w:val="nil"/>
              <w:bottom w:val="nil"/>
            </w:tcBorders>
            <w:vAlign w:val="center"/>
          </w:tcPr>
          <w:p w14:paraId="3308CC07" w14:textId="77777777" w:rsidR="00E45731" w:rsidRPr="004C78D8" w:rsidRDefault="00E45731" w:rsidP="00FB7C1F">
            <w:pPr>
              <w:spacing w:after="0"/>
              <w:jc w:val="center"/>
              <w:rPr>
                <w:sz w:val="28"/>
                <w:szCs w:val="28"/>
              </w:rPr>
            </w:pPr>
          </w:p>
        </w:tc>
        <w:tc>
          <w:tcPr>
            <w:tcW w:w="326" w:type="pct"/>
            <w:tcBorders>
              <w:top w:val="nil"/>
              <w:bottom w:val="nil"/>
            </w:tcBorders>
            <w:vAlign w:val="center"/>
          </w:tcPr>
          <w:p w14:paraId="73880899" w14:textId="77777777" w:rsidR="00E45731" w:rsidRPr="004C78D8" w:rsidRDefault="00E45731" w:rsidP="00FB7C1F">
            <w:pPr>
              <w:spacing w:after="0"/>
              <w:jc w:val="center"/>
              <w:rPr>
                <w:sz w:val="28"/>
                <w:szCs w:val="28"/>
              </w:rPr>
            </w:pPr>
          </w:p>
        </w:tc>
        <w:tc>
          <w:tcPr>
            <w:tcW w:w="326" w:type="pct"/>
            <w:tcBorders>
              <w:top w:val="nil"/>
              <w:bottom w:val="nil"/>
            </w:tcBorders>
            <w:vAlign w:val="center"/>
          </w:tcPr>
          <w:p w14:paraId="44BED08A" w14:textId="77777777" w:rsidR="00E45731" w:rsidRPr="004C78D8" w:rsidRDefault="00E45731" w:rsidP="00FB7C1F">
            <w:pPr>
              <w:spacing w:after="0"/>
              <w:jc w:val="center"/>
              <w:rPr>
                <w:sz w:val="28"/>
                <w:szCs w:val="28"/>
              </w:rPr>
            </w:pPr>
            <w:r w:rsidRPr="004C78D8">
              <w:rPr>
                <w:sz w:val="28"/>
                <w:szCs w:val="28"/>
              </w:rPr>
              <w:t>˟</w:t>
            </w:r>
          </w:p>
        </w:tc>
        <w:tc>
          <w:tcPr>
            <w:tcW w:w="272" w:type="pct"/>
            <w:tcBorders>
              <w:top w:val="nil"/>
              <w:bottom w:val="nil"/>
            </w:tcBorders>
            <w:vAlign w:val="center"/>
          </w:tcPr>
          <w:p w14:paraId="67531AD1" w14:textId="77777777" w:rsidR="00E45731" w:rsidRPr="004C78D8" w:rsidRDefault="00E45731" w:rsidP="00FB7C1F">
            <w:pPr>
              <w:spacing w:after="0"/>
              <w:jc w:val="center"/>
            </w:pPr>
          </w:p>
        </w:tc>
        <w:tc>
          <w:tcPr>
            <w:tcW w:w="306" w:type="pct"/>
            <w:tcBorders>
              <w:top w:val="nil"/>
              <w:bottom w:val="nil"/>
            </w:tcBorders>
            <w:vAlign w:val="center"/>
          </w:tcPr>
          <w:p w14:paraId="7A38B836" w14:textId="77777777" w:rsidR="00E45731" w:rsidRPr="004C78D8" w:rsidRDefault="00E45731" w:rsidP="00FB7C1F">
            <w:pPr>
              <w:spacing w:after="0"/>
              <w:jc w:val="center"/>
            </w:pPr>
          </w:p>
        </w:tc>
        <w:tc>
          <w:tcPr>
            <w:tcW w:w="400" w:type="pct"/>
            <w:tcBorders>
              <w:top w:val="nil"/>
              <w:bottom w:val="nil"/>
            </w:tcBorders>
            <w:vAlign w:val="center"/>
          </w:tcPr>
          <w:p w14:paraId="6CFFEC38" w14:textId="77777777" w:rsidR="00E45731" w:rsidRPr="004C78D8" w:rsidRDefault="00E45731" w:rsidP="00FB7C1F">
            <w:pPr>
              <w:spacing w:after="0"/>
              <w:jc w:val="center"/>
            </w:pPr>
          </w:p>
        </w:tc>
        <w:tc>
          <w:tcPr>
            <w:tcW w:w="326" w:type="pct"/>
            <w:tcBorders>
              <w:top w:val="nil"/>
              <w:bottom w:val="nil"/>
            </w:tcBorders>
            <w:vAlign w:val="center"/>
          </w:tcPr>
          <w:p w14:paraId="3116233F" w14:textId="77777777" w:rsidR="00E45731" w:rsidRPr="004C78D8" w:rsidRDefault="00E45731" w:rsidP="00FB7C1F">
            <w:pPr>
              <w:spacing w:after="0"/>
              <w:jc w:val="center"/>
            </w:pPr>
          </w:p>
        </w:tc>
        <w:tc>
          <w:tcPr>
            <w:tcW w:w="295" w:type="pct"/>
            <w:tcBorders>
              <w:top w:val="nil"/>
              <w:bottom w:val="nil"/>
            </w:tcBorders>
            <w:vAlign w:val="center"/>
          </w:tcPr>
          <w:p w14:paraId="3952E7F3" w14:textId="77777777" w:rsidR="00E45731" w:rsidRPr="004C78D8" w:rsidRDefault="00E45731" w:rsidP="00FB7C1F">
            <w:pPr>
              <w:spacing w:after="0"/>
              <w:jc w:val="center"/>
            </w:pPr>
          </w:p>
        </w:tc>
        <w:tc>
          <w:tcPr>
            <w:tcW w:w="357" w:type="pct"/>
            <w:tcBorders>
              <w:top w:val="nil"/>
              <w:bottom w:val="nil"/>
            </w:tcBorders>
            <w:vAlign w:val="center"/>
          </w:tcPr>
          <w:p w14:paraId="3C993ABB" w14:textId="77777777" w:rsidR="00E45731" w:rsidRPr="004C78D8" w:rsidRDefault="00E45731" w:rsidP="00FB7C1F">
            <w:pPr>
              <w:spacing w:after="0"/>
              <w:jc w:val="center"/>
            </w:pPr>
          </w:p>
        </w:tc>
      </w:tr>
      <w:tr w:rsidR="00E45731" w:rsidRPr="004C78D8" w14:paraId="6F42206C" w14:textId="77777777" w:rsidTr="002828C1">
        <w:tc>
          <w:tcPr>
            <w:tcW w:w="458" w:type="pct"/>
            <w:vMerge/>
          </w:tcPr>
          <w:p w14:paraId="03E7CE7C" w14:textId="77777777" w:rsidR="00E45731" w:rsidRPr="004C78D8" w:rsidRDefault="00E45731" w:rsidP="00FB7C1F">
            <w:pPr>
              <w:widowControl w:val="0"/>
              <w:pBdr>
                <w:top w:val="nil"/>
                <w:left w:val="nil"/>
                <w:bottom w:val="nil"/>
                <w:right w:val="nil"/>
                <w:between w:val="nil"/>
              </w:pBdr>
              <w:spacing w:after="0" w:line="276" w:lineRule="auto"/>
              <w:jc w:val="left"/>
            </w:pPr>
          </w:p>
        </w:tc>
        <w:tc>
          <w:tcPr>
            <w:tcW w:w="715" w:type="pct"/>
            <w:tcBorders>
              <w:bottom w:val="single" w:sz="4" w:space="0" w:color="000000"/>
            </w:tcBorders>
          </w:tcPr>
          <w:p w14:paraId="6EE9269D" w14:textId="77777777" w:rsidR="00E45731" w:rsidRPr="004C78D8" w:rsidRDefault="00E45731" w:rsidP="00FB7C1F">
            <w:pPr>
              <w:spacing w:after="0"/>
              <w:jc w:val="left"/>
              <w:rPr>
                <w:sz w:val="18"/>
                <w:szCs w:val="18"/>
              </w:rPr>
            </w:pPr>
            <w:r w:rsidRPr="004C78D8">
              <w:rPr>
                <w:sz w:val="18"/>
                <w:szCs w:val="18"/>
              </w:rPr>
              <w:t>Cataract surgery benefit in Boyd (2020)</w:t>
            </w:r>
          </w:p>
        </w:tc>
        <w:tc>
          <w:tcPr>
            <w:tcW w:w="255" w:type="pct"/>
            <w:tcBorders>
              <w:top w:val="nil"/>
              <w:bottom w:val="nil"/>
            </w:tcBorders>
            <w:vAlign w:val="center"/>
          </w:tcPr>
          <w:p w14:paraId="017B3E63" w14:textId="77777777" w:rsidR="00E45731" w:rsidRPr="004C78D8" w:rsidRDefault="00E45731" w:rsidP="00FB7C1F">
            <w:pPr>
              <w:spacing w:after="0"/>
              <w:jc w:val="center"/>
              <w:rPr>
                <w:sz w:val="28"/>
                <w:szCs w:val="28"/>
              </w:rPr>
            </w:pPr>
          </w:p>
        </w:tc>
        <w:tc>
          <w:tcPr>
            <w:tcW w:w="255" w:type="pct"/>
            <w:tcBorders>
              <w:top w:val="nil"/>
              <w:bottom w:val="nil"/>
            </w:tcBorders>
            <w:vAlign w:val="center"/>
          </w:tcPr>
          <w:p w14:paraId="70151E6C" w14:textId="77777777" w:rsidR="00E45731" w:rsidRPr="004C78D8" w:rsidRDefault="00E45731" w:rsidP="00FB7C1F">
            <w:pPr>
              <w:spacing w:after="0"/>
              <w:jc w:val="center"/>
              <w:rPr>
                <w:sz w:val="28"/>
                <w:szCs w:val="28"/>
              </w:rPr>
            </w:pPr>
          </w:p>
        </w:tc>
        <w:tc>
          <w:tcPr>
            <w:tcW w:w="357" w:type="pct"/>
            <w:tcBorders>
              <w:top w:val="nil"/>
              <w:bottom w:val="nil"/>
            </w:tcBorders>
            <w:vAlign w:val="center"/>
          </w:tcPr>
          <w:p w14:paraId="753D19DB" w14:textId="77777777" w:rsidR="00E45731" w:rsidRPr="004C78D8" w:rsidRDefault="00E45731" w:rsidP="00FB7C1F">
            <w:pPr>
              <w:spacing w:after="0"/>
              <w:jc w:val="center"/>
              <w:rPr>
                <w:sz w:val="28"/>
                <w:szCs w:val="28"/>
              </w:rPr>
            </w:pPr>
          </w:p>
        </w:tc>
        <w:tc>
          <w:tcPr>
            <w:tcW w:w="352" w:type="pct"/>
            <w:tcBorders>
              <w:top w:val="nil"/>
              <w:bottom w:val="nil"/>
            </w:tcBorders>
            <w:vAlign w:val="center"/>
          </w:tcPr>
          <w:p w14:paraId="4415DF45" w14:textId="77777777" w:rsidR="00E45731" w:rsidRPr="004C78D8" w:rsidRDefault="00E45731" w:rsidP="00FB7C1F">
            <w:pPr>
              <w:spacing w:after="0"/>
              <w:jc w:val="center"/>
              <w:rPr>
                <w:sz w:val="28"/>
                <w:szCs w:val="28"/>
              </w:rPr>
            </w:pPr>
          </w:p>
        </w:tc>
        <w:tc>
          <w:tcPr>
            <w:tcW w:w="326" w:type="pct"/>
            <w:tcBorders>
              <w:top w:val="nil"/>
              <w:bottom w:val="nil"/>
            </w:tcBorders>
            <w:vAlign w:val="center"/>
          </w:tcPr>
          <w:p w14:paraId="16232586" w14:textId="77777777" w:rsidR="00E45731" w:rsidRPr="004C78D8" w:rsidRDefault="00E45731" w:rsidP="00FB7C1F">
            <w:pPr>
              <w:spacing w:after="0"/>
              <w:jc w:val="center"/>
              <w:rPr>
                <w:sz w:val="28"/>
                <w:szCs w:val="28"/>
              </w:rPr>
            </w:pPr>
          </w:p>
        </w:tc>
        <w:tc>
          <w:tcPr>
            <w:tcW w:w="326" w:type="pct"/>
            <w:tcBorders>
              <w:top w:val="nil"/>
              <w:bottom w:val="nil"/>
            </w:tcBorders>
            <w:vAlign w:val="center"/>
          </w:tcPr>
          <w:p w14:paraId="5D6335C8" w14:textId="77777777" w:rsidR="00E45731" w:rsidRPr="004C78D8" w:rsidRDefault="00E45731" w:rsidP="00FB7C1F">
            <w:pPr>
              <w:spacing w:after="0"/>
              <w:jc w:val="center"/>
              <w:rPr>
                <w:sz w:val="28"/>
                <w:szCs w:val="28"/>
              </w:rPr>
            </w:pPr>
          </w:p>
        </w:tc>
        <w:tc>
          <w:tcPr>
            <w:tcW w:w="272" w:type="pct"/>
            <w:tcBorders>
              <w:top w:val="nil"/>
              <w:bottom w:val="nil"/>
            </w:tcBorders>
            <w:vAlign w:val="center"/>
          </w:tcPr>
          <w:p w14:paraId="42132B06" w14:textId="77777777" w:rsidR="00E45731" w:rsidRPr="004C78D8" w:rsidRDefault="00E45731" w:rsidP="00FB7C1F">
            <w:pPr>
              <w:spacing w:after="0"/>
              <w:jc w:val="center"/>
            </w:pPr>
          </w:p>
        </w:tc>
        <w:tc>
          <w:tcPr>
            <w:tcW w:w="306" w:type="pct"/>
            <w:tcBorders>
              <w:top w:val="nil"/>
              <w:bottom w:val="nil"/>
            </w:tcBorders>
            <w:vAlign w:val="center"/>
          </w:tcPr>
          <w:p w14:paraId="74665833" w14:textId="77777777" w:rsidR="00E45731" w:rsidRPr="004C78D8" w:rsidRDefault="00E45731" w:rsidP="00FB7C1F">
            <w:pPr>
              <w:spacing w:after="0"/>
              <w:jc w:val="center"/>
            </w:pPr>
            <w:r w:rsidRPr="004C78D8">
              <w:rPr>
                <w:sz w:val="28"/>
                <w:szCs w:val="28"/>
              </w:rPr>
              <w:t>˟</w:t>
            </w:r>
          </w:p>
        </w:tc>
        <w:tc>
          <w:tcPr>
            <w:tcW w:w="400" w:type="pct"/>
            <w:tcBorders>
              <w:top w:val="nil"/>
              <w:bottom w:val="nil"/>
            </w:tcBorders>
            <w:vAlign w:val="center"/>
          </w:tcPr>
          <w:p w14:paraId="15528043" w14:textId="77777777" w:rsidR="00E45731" w:rsidRPr="004C78D8" w:rsidRDefault="00E45731" w:rsidP="00FB7C1F">
            <w:pPr>
              <w:spacing w:after="0"/>
              <w:jc w:val="center"/>
            </w:pPr>
          </w:p>
        </w:tc>
        <w:tc>
          <w:tcPr>
            <w:tcW w:w="326" w:type="pct"/>
            <w:tcBorders>
              <w:top w:val="nil"/>
              <w:bottom w:val="nil"/>
            </w:tcBorders>
            <w:vAlign w:val="center"/>
          </w:tcPr>
          <w:p w14:paraId="190F34D4" w14:textId="77777777" w:rsidR="00E45731" w:rsidRPr="004C78D8" w:rsidRDefault="00E45731" w:rsidP="00FB7C1F">
            <w:pPr>
              <w:spacing w:after="0"/>
              <w:jc w:val="center"/>
            </w:pPr>
          </w:p>
        </w:tc>
        <w:tc>
          <w:tcPr>
            <w:tcW w:w="295" w:type="pct"/>
            <w:tcBorders>
              <w:top w:val="nil"/>
              <w:bottom w:val="nil"/>
            </w:tcBorders>
            <w:vAlign w:val="center"/>
          </w:tcPr>
          <w:p w14:paraId="776A5C1D" w14:textId="77777777" w:rsidR="00E45731" w:rsidRPr="004C78D8" w:rsidRDefault="00E45731" w:rsidP="00FB7C1F">
            <w:pPr>
              <w:spacing w:after="0"/>
              <w:jc w:val="center"/>
            </w:pPr>
          </w:p>
        </w:tc>
        <w:tc>
          <w:tcPr>
            <w:tcW w:w="357" w:type="pct"/>
            <w:tcBorders>
              <w:top w:val="nil"/>
              <w:bottom w:val="nil"/>
            </w:tcBorders>
            <w:vAlign w:val="center"/>
          </w:tcPr>
          <w:p w14:paraId="465CC018" w14:textId="77777777" w:rsidR="00E45731" w:rsidRPr="004C78D8" w:rsidRDefault="00E45731" w:rsidP="00FB7C1F">
            <w:pPr>
              <w:spacing w:after="0"/>
              <w:jc w:val="center"/>
            </w:pPr>
          </w:p>
        </w:tc>
      </w:tr>
      <w:tr w:rsidR="00E45731" w:rsidRPr="004C78D8" w14:paraId="051A4053" w14:textId="77777777" w:rsidTr="002828C1">
        <w:tc>
          <w:tcPr>
            <w:tcW w:w="458" w:type="pct"/>
            <w:vMerge w:val="restart"/>
          </w:tcPr>
          <w:p w14:paraId="56E2C8EB" w14:textId="77777777" w:rsidR="00E45731" w:rsidRPr="004C78D8" w:rsidRDefault="00E45731" w:rsidP="00FB7C1F">
            <w:pPr>
              <w:spacing w:after="0"/>
              <w:jc w:val="left"/>
              <w:rPr>
                <w:sz w:val="18"/>
                <w:szCs w:val="18"/>
              </w:rPr>
            </w:pPr>
            <w:r w:rsidRPr="004C78D8">
              <w:rPr>
                <w:sz w:val="18"/>
                <w:szCs w:val="18"/>
              </w:rPr>
              <w:t>Eldridge (2005)</w:t>
            </w:r>
          </w:p>
        </w:tc>
        <w:tc>
          <w:tcPr>
            <w:tcW w:w="715" w:type="pct"/>
            <w:tcBorders>
              <w:top w:val="single" w:sz="4" w:space="0" w:color="000000"/>
              <w:bottom w:val="single" w:sz="4" w:space="0" w:color="000000"/>
            </w:tcBorders>
          </w:tcPr>
          <w:p w14:paraId="5542B89C" w14:textId="77777777" w:rsidR="00E45731" w:rsidRPr="004C78D8" w:rsidRDefault="00E45731" w:rsidP="00FB7C1F">
            <w:pPr>
              <w:spacing w:after="0"/>
              <w:jc w:val="left"/>
              <w:rPr>
                <w:sz w:val="18"/>
                <w:szCs w:val="18"/>
              </w:rPr>
            </w:pPr>
            <w:r w:rsidRPr="004C78D8">
              <w:rPr>
                <w:sz w:val="18"/>
                <w:szCs w:val="18"/>
              </w:rPr>
              <w:t>Any fall</w:t>
            </w:r>
          </w:p>
        </w:tc>
        <w:tc>
          <w:tcPr>
            <w:tcW w:w="255" w:type="pct"/>
            <w:tcBorders>
              <w:top w:val="nil"/>
              <w:bottom w:val="nil"/>
            </w:tcBorders>
            <w:vAlign w:val="center"/>
          </w:tcPr>
          <w:p w14:paraId="7BB11F52" w14:textId="77777777" w:rsidR="00E45731" w:rsidRPr="004C78D8" w:rsidRDefault="00E45731" w:rsidP="00FB7C1F">
            <w:pPr>
              <w:spacing w:after="0"/>
              <w:jc w:val="center"/>
              <w:rPr>
                <w:sz w:val="28"/>
                <w:szCs w:val="28"/>
              </w:rPr>
            </w:pPr>
            <w:r w:rsidRPr="004C78D8">
              <w:rPr>
                <w:sz w:val="28"/>
                <w:szCs w:val="28"/>
              </w:rPr>
              <w:t>˟</w:t>
            </w:r>
          </w:p>
        </w:tc>
        <w:tc>
          <w:tcPr>
            <w:tcW w:w="255" w:type="pct"/>
            <w:tcBorders>
              <w:top w:val="nil"/>
              <w:bottom w:val="nil"/>
            </w:tcBorders>
            <w:vAlign w:val="center"/>
          </w:tcPr>
          <w:p w14:paraId="550B8725" w14:textId="77777777" w:rsidR="00E45731" w:rsidRPr="004C78D8" w:rsidRDefault="00E45731" w:rsidP="00FB7C1F">
            <w:pPr>
              <w:spacing w:after="0"/>
              <w:jc w:val="center"/>
              <w:rPr>
                <w:sz w:val="28"/>
                <w:szCs w:val="28"/>
              </w:rPr>
            </w:pPr>
          </w:p>
        </w:tc>
        <w:tc>
          <w:tcPr>
            <w:tcW w:w="357" w:type="pct"/>
            <w:tcBorders>
              <w:top w:val="nil"/>
              <w:bottom w:val="nil"/>
            </w:tcBorders>
            <w:vAlign w:val="center"/>
          </w:tcPr>
          <w:p w14:paraId="364C881C" w14:textId="77777777" w:rsidR="00E45731" w:rsidRPr="004C78D8" w:rsidRDefault="00E45731" w:rsidP="00FB7C1F">
            <w:pPr>
              <w:spacing w:after="0"/>
              <w:jc w:val="center"/>
              <w:rPr>
                <w:sz w:val="28"/>
                <w:szCs w:val="28"/>
              </w:rPr>
            </w:pPr>
          </w:p>
        </w:tc>
        <w:tc>
          <w:tcPr>
            <w:tcW w:w="352" w:type="pct"/>
            <w:tcBorders>
              <w:top w:val="nil"/>
              <w:bottom w:val="nil"/>
            </w:tcBorders>
            <w:vAlign w:val="center"/>
          </w:tcPr>
          <w:p w14:paraId="310E62B4" w14:textId="77777777" w:rsidR="00E45731" w:rsidRPr="004C78D8" w:rsidRDefault="00E45731" w:rsidP="00FB7C1F">
            <w:pPr>
              <w:spacing w:after="0"/>
              <w:jc w:val="center"/>
              <w:rPr>
                <w:sz w:val="28"/>
                <w:szCs w:val="28"/>
              </w:rPr>
            </w:pPr>
          </w:p>
        </w:tc>
        <w:tc>
          <w:tcPr>
            <w:tcW w:w="326" w:type="pct"/>
            <w:tcBorders>
              <w:top w:val="nil"/>
              <w:bottom w:val="nil"/>
            </w:tcBorders>
            <w:vAlign w:val="center"/>
          </w:tcPr>
          <w:p w14:paraId="0FED66A4" w14:textId="77777777" w:rsidR="00E45731" w:rsidRPr="004C78D8" w:rsidRDefault="00E45731" w:rsidP="00FB7C1F">
            <w:pPr>
              <w:spacing w:after="0"/>
              <w:jc w:val="center"/>
              <w:rPr>
                <w:sz w:val="28"/>
                <w:szCs w:val="28"/>
              </w:rPr>
            </w:pPr>
            <w:r w:rsidRPr="004C78D8">
              <w:rPr>
                <w:sz w:val="28"/>
                <w:szCs w:val="28"/>
              </w:rPr>
              <w:t>˟</w:t>
            </w:r>
          </w:p>
        </w:tc>
        <w:tc>
          <w:tcPr>
            <w:tcW w:w="326" w:type="pct"/>
            <w:tcBorders>
              <w:top w:val="nil"/>
              <w:bottom w:val="nil"/>
            </w:tcBorders>
            <w:vAlign w:val="center"/>
          </w:tcPr>
          <w:p w14:paraId="21874D7D" w14:textId="77777777" w:rsidR="00E45731" w:rsidRPr="004C78D8" w:rsidRDefault="00E45731" w:rsidP="00FB7C1F">
            <w:pPr>
              <w:spacing w:after="0"/>
              <w:jc w:val="center"/>
              <w:rPr>
                <w:sz w:val="28"/>
                <w:szCs w:val="28"/>
              </w:rPr>
            </w:pPr>
            <w:r w:rsidRPr="004C78D8">
              <w:rPr>
                <w:sz w:val="28"/>
                <w:szCs w:val="28"/>
              </w:rPr>
              <w:t>˟</w:t>
            </w:r>
          </w:p>
        </w:tc>
        <w:tc>
          <w:tcPr>
            <w:tcW w:w="272" w:type="pct"/>
            <w:tcBorders>
              <w:top w:val="nil"/>
              <w:bottom w:val="nil"/>
            </w:tcBorders>
            <w:vAlign w:val="center"/>
          </w:tcPr>
          <w:p w14:paraId="5EB478D1" w14:textId="77777777" w:rsidR="00E45731" w:rsidRPr="004C78D8" w:rsidRDefault="00E45731" w:rsidP="00FB7C1F">
            <w:pPr>
              <w:spacing w:after="0"/>
              <w:jc w:val="center"/>
              <w:rPr>
                <w:sz w:val="28"/>
                <w:szCs w:val="28"/>
              </w:rPr>
            </w:pPr>
          </w:p>
        </w:tc>
        <w:tc>
          <w:tcPr>
            <w:tcW w:w="306" w:type="pct"/>
            <w:tcBorders>
              <w:top w:val="nil"/>
              <w:bottom w:val="nil"/>
            </w:tcBorders>
            <w:vAlign w:val="center"/>
          </w:tcPr>
          <w:p w14:paraId="4C8BE3E9" w14:textId="77777777" w:rsidR="00E45731" w:rsidRPr="004C78D8" w:rsidRDefault="00E45731" w:rsidP="00FB7C1F">
            <w:pPr>
              <w:spacing w:after="0"/>
              <w:jc w:val="center"/>
              <w:rPr>
                <w:sz w:val="28"/>
                <w:szCs w:val="28"/>
              </w:rPr>
            </w:pPr>
            <w:r w:rsidRPr="004C78D8">
              <w:rPr>
                <w:sz w:val="28"/>
                <w:szCs w:val="28"/>
              </w:rPr>
              <w:t>˟</w:t>
            </w:r>
          </w:p>
        </w:tc>
        <w:tc>
          <w:tcPr>
            <w:tcW w:w="400" w:type="pct"/>
            <w:tcBorders>
              <w:top w:val="nil"/>
              <w:bottom w:val="nil"/>
            </w:tcBorders>
            <w:vAlign w:val="center"/>
          </w:tcPr>
          <w:p w14:paraId="2DB33065" w14:textId="77777777" w:rsidR="00E45731" w:rsidRPr="004C78D8" w:rsidRDefault="00E45731" w:rsidP="00FB7C1F">
            <w:pPr>
              <w:spacing w:after="0"/>
              <w:jc w:val="center"/>
              <w:rPr>
                <w:sz w:val="28"/>
                <w:szCs w:val="28"/>
              </w:rPr>
            </w:pPr>
            <w:r w:rsidRPr="004C78D8">
              <w:rPr>
                <w:sz w:val="28"/>
                <w:szCs w:val="28"/>
              </w:rPr>
              <w:t>˟</w:t>
            </w:r>
          </w:p>
        </w:tc>
        <w:tc>
          <w:tcPr>
            <w:tcW w:w="326" w:type="pct"/>
            <w:tcBorders>
              <w:top w:val="nil"/>
              <w:bottom w:val="nil"/>
            </w:tcBorders>
            <w:vAlign w:val="center"/>
          </w:tcPr>
          <w:p w14:paraId="4E5468DC" w14:textId="77777777" w:rsidR="00E45731" w:rsidRPr="004C78D8" w:rsidRDefault="00E45731" w:rsidP="00FB7C1F">
            <w:pPr>
              <w:spacing w:after="0"/>
              <w:jc w:val="center"/>
              <w:rPr>
                <w:sz w:val="28"/>
                <w:szCs w:val="28"/>
              </w:rPr>
            </w:pPr>
            <w:r w:rsidRPr="004C78D8">
              <w:rPr>
                <w:sz w:val="28"/>
                <w:szCs w:val="28"/>
              </w:rPr>
              <w:t>˟</w:t>
            </w:r>
          </w:p>
        </w:tc>
        <w:tc>
          <w:tcPr>
            <w:tcW w:w="295" w:type="pct"/>
            <w:tcBorders>
              <w:top w:val="nil"/>
              <w:bottom w:val="nil"/>
            </w:tcBorders>
            <w:vAlign w:val="center"/>
          </w:tcPr>
          <w:p w14:paraId="1747956B" w14:textId="77777777" w:rsidR="00E45731" w:rsidRPr="004C78D8" w:rsidRDefault="00E45731" w:rsidP="00FB7C1F">
            <w:pPr>
              <w:spacing w:after="0"/>
              <w:jc w:val="center"/>
            </w:pPr>
          </w:p>
        </w:tc>
        <w:tc>
          <w:tcPr>
            <w:tcW w:w="357" w:type="pct"/>
            <w:tcBorders>
              <w:top w:val="nil"/>
              <w:bottom w:val="nil"/>
            </w:tcBorders>
            <w:vAlign w:val="center"/>
          </w:tcPr>
          <w:p w14:paraId="303BE704" w14:textId="77777777" w:rsidR="00E45731" w:rsidRPr="004C78D8" w:rsidRDefault="00E45731" w:rsidP="00FB7C1F">
            <w:pPr>
              <w:spacing w:after="0"/>
              <w:jc w:val="center"/>
              <w:rPr>
                <w:sz w:val="18"/>
                <w:szCs w:val="18"/>
              </w:rPr>
            </w:pPr>
            <w:r w:rsidRPr="004C78D8">
              <w:rPr>
                <w:sz w:val="18"/>
                <w:szCs w:val="18"/>
              </w:rPr>
              <w:t>FRAT</w:t>
            </w:r>
          </w:p>
        </w:tc>
      </w:tr>
      <w:tr w:rsidR="00E45731" w:rsidRPr="004C78D8" w14:paraId="4AB1549C" w14:textId="77777777" w:rsidTr="002828C1">
        <w:trPr>
          <w:trHeight w:val="117"/>
        </w:trPr>
        <w:tc>
          <w:tcPr>
            <w:tcW w:w="458" w:type="pct"/>
            <w:vMerge/>
          </w:tcPr>
          <w:p w14:paraId="5B2268A6" w14:textId="77777777" w:rsidR="00E45731" w:rsidRPr="004C78D8" w:rsidRDefault="00E45731" w:rsidP="00FB7C1F">
            <w:pPr>
              <w:widowControl w:val="0"/>
              <w:pBdr>
                <w:top w:val="nil"/>
                <w:left w:val="nil"/>
                <w:bottom w:val="nil"/>
                <w:right w:val="nil"/>
                <w:between w:val="nil"/>
              </w:pBdr>
              <w:spacing w:after="0" w:line="276" w:lineRule="auto"/>
              <w:jc w:val="left"/>
              <w:rPr>
                <w:sz w:val="18"/>
                <w:szCs w:val="18"/>
              </w:rPr>
            </w:pPr>
          </w:p>
        </w:tc>
        <w:tc>
          <w:tcPr>
            <w:tcW w:w="715" w:type="pct"/>
            <w:tcBorders>
              <w:top w:val="single" w:sz="4" w:space="0" w:color="000000"/>
              <w:bottom w:val="single" w:sz="4" w:space="0" w:color="000000"/>
            </w:tcBorders>
          </w:tcPr>
          <w:p w14:paraId="5215807F" w14:textId="77777777" w:rsidR="00E45731" w:rsidRPr="004C78D8" w:rsidRDefault="00E45731" w:rsidP="00FB7C1F">
            <w:pPr>
              <w:spacing w:after="0"/>
              <w:jc w:val="left"/>
              <w:rPr>
                <w:sz w:val="18"/>
                <w:szCs w:val="18"/>
              </w:rPr>
            </w:pPr>
            <w:r w:rsidRPr="004C78D8">
              <w:rPr>
                <w:sz w:val="18"/>
                <w:szCs w:val="18"/>
              </w:rPr>
              <w:t>Fear of falling</w:t>
            </w:r>
          </w:p>
        </w:tc>
        <w:tc>
          <w:tcPr>
            <w:tcW w:w="255" w:type="pct"/>
            <w:tcBorders>
              <w:top w:val="nil"/>
              <w:bottom w:val="nil"/>
            </w:tcBorders>
            <w:vAlign w:val="center"/>
          </w:tcPr>
          <w:p w14:paraId="1DEF59F6" w14:textId="77777777" w:rsidR="00E45731" w:rsidRPr="004C78D8" w:rsidRDefault="00E45731" w:rsidP="00FB7C1F">
            <w:pPr>
              <w:spacing w:after="0"/>
              <w:jc w:val="center"/>
              <w:rPr>
                <w:sz w:val="28"/>
                <w:szCs w:val="28"/>
              </w:rPr>
            </w:pPr>
            <w:r w:rsidRPr="004C78D8">
              <w:rPr>
                <w:sz w:val="28"/>
                <w:szCs w:val="28"/>
              </w:rPr>
              <w:t>˟</w:t>
            </w:r>
          </w:p>
        </w:tc>
        <w:tc>
          <w:tcPr>
            <w:tcW w:w="255" w:type="pct"/>
            <w:tcBorders>
              <w:top w:val="nil"/>
              <w:bottom w:val="nil"/>
            </w:tcBorders>
            <w:vAlign w:val="center"/>
          </w:tcPr>
          <w:p w14:paraId="025AF356" w14:textId="77777777" w:rsidR="00E45731" w:rsidRPr="004C78D8" w:rsidRDefault="00E45731" w:rsidP="00FB7C1F">
            <w:pPr>
              <w:spacing w:after="0"/>
              <w:jc w:val="center"/>
            </w:pPr>
          </w:p>
        </w:tc>
        <w:tc>
          <w:tcPr>
            <w:tcW w:w="357" w:type="pct"/>
            <w:tcBorders>
              <w:top w:val="nil"/>
              <w:bottom w:val="nil"/>
            </w:tcBorders>
            <w:vAlign w:val="center"/>
          </w:tcPr>
          <w:p w14:paraId="7635C9DC" w14:textId="77777777" w:rsidR="00E45731" w:rsidRPr="004C78D8" w:rsidRDefault="00E45731" w:rsidP="00FB7C1F">
            <w:pPr>
              <w:spacing w:after="0"/>
              <w:jc w:val="center"/>
            </w:pPr>
          </w:p>
        </w:tc>
        <w:tc>
          <w:tcPr>
            <w:tcW w:w="352" w:type="pct"/>
            <w:tcBorders>
              <w:top w:val="nil"/>
              <w:bottom w:val="nil"/>
            </w:tcBorders>
            <w:vAlign w:val="center"/>
          </w:tcPr>
          <w:p w14:paraId="088DEFCB" w14:textId="77777777" w:rsidR="00E45731" w:rsidRPr="004C78D8" w:rsidRDefault="00E45731" w:rsidP="00FB7C1F">
            <w:pPr>
              <w:spacing w:after="0"/>
              <w:jc w:val="center"/>
              <w:rPr>
                <w:sz w:val="18"/>
                <w:szCs w:val="18"/>
              </w:rPr>
            </w:pPr>
            <w:r w:rsidRPr="004C78D8">
              <w:rPr>
                <w:i/>
                <w:sz w:val="18"/>
                <w:szCs w:val="18"/>
              </w:rPr>
              <w:t>LTC</w:t>
            </w:r>
          </w:p>
        </w:tc>
        <w:tc>
          <w:tcPr>
            <w:tcW w:w="326" w:type="pct"/>
            <w:tcBorders>
              <w:top w:val="nil"/>
              <w:bottom w:val="nil"/>
            </w:tcBorders>
            <w:vAlign w:val="center"/>
          </w:tcPr>
          <w:p w14:paraId="4834F452" w14:textId="77777777" w:rsidR="00E45731" w:rsidRPr="004C78D8" w:rsidRDefault="00E45731" w:rsidP="00FB7C1F">
            <w:pPr>
              <w:spacing w:after="0"/>
              <w:jc w:val="center"/>
              <w:rPr>
                <w:sz w:val="28"/>
                <w:szCs w:val="28"/>
              </w:rPr>
            </w:pPr>
            <w:r w:rsidRPr="004C78D8">
              <w:rPr>
                <w:sz w:val="28"/>
                <w:szCs w:val="28"/>
              </w:rPr>
              <w:t>˟</w:t>
            </w:r>
          </w:p>
        </w:tc>
        <w:tc>
          <w:tcPr>
            <w:tcW w:w="326" w:type="pct"/>
            <w:tcBorders>
              <w:top w:val="nil"/>
              <w:bottom w:val="nil"/>
            </w:tcBorders>
            <w:vAlign w:val="center"/>
          </w:tcPr>
          <w:p w14:paraId="328DC2C2" w14:textId="77777777" w:rsidR="00E45731" w:rsidRPr="004C78D8" w:rsidRDefault="00E45731" w:rsidP="00FB7C1F">
            <w:pPr>
              <w:spacing w:after="0"/>
              <w:jc w:val="center"/>
              <w:rPr>
                <w:sz w:val="28"/>
                <w:szCs w:val="28"/>
              </w:rPr>
            </w:pPr>
            <w:r w:rsidRPr="004C78D8">
              <w:rPr>
                <w:sz w:val="28"/>
                <w:szCs w:val="28"/>
              </w:rPr>
              <w:t>˟</w:t>
            </w:r>
          </w:p>
        </w:tc>
        <w:tc>
          <w:tcPr>
            <w:tcW w:w="272" w:type="pct"/>
            <w:tcBorders>
              <w:top w:val="nil"/>
              <w:bottom w:val="nil"/>
            </w:tcBorders>
            <w:vAlign w:val="center"/>
          </w:tcPr>
          <w:p w14:paraId="03756592" w14:textId="77777777" w:rsidR="00E45731" w:rsidRPr="004C78D8" w:rsidRDefault="00E45731" w:rsidP="00FB7C1F">
            <w:pPr>
              <w:spacing w:after="0"/>
              <w:jc w:val="center"/>
              <w:rPr>
                <w:sz w:val="28"/>
                <w:szCs w:val="28"/>
              </w:rPr>
            </w:pPr>
          </w:p>
        </w:tc>
        <w:tc>
          <w:tcPr>
            <w:tcW w:w="306" w:type="pct"/>
            <w:tcBorders>
              <w:top w:val="nil"/>
              <w:bottom w:val="nil"/>
            </w:tcBorders>
            <w:vAlign w:val="center"/>
          </w:tcPr>
          <w:p w14:paraId="49C64464" w14:textId="77777777" w:rsidR="00E45731" w:rsidRPr="004C78D8" w:rsidRDefault="00E45731" w:rsidP="00FB7C1F">
            <w:pPr>
              <w:spacing w:after="0"/>
              <w:jc w:val="center"/>
              <w:rPr>
                <w:sz w:val="28"/>
                <w:szCs w:val="28"/>
              </w:rPr>
            </w:pPr>
            <w:r w:rsidRPr="004C78D8">
              <w:rPr>
                <w:sz w:val="28"/>
                <w:szCs w:val="28"/>
              </w:rPr>
              <w:t>˟</w:t>
            </w:r>
          </w:p>
        </w:tc>
        <w:tc>
          <w:tcPr>
            <w:tcW w:w="400" w:type="pct"/>
            <w:tcBorders>
              <w:top w:val="nil"/>
              <w:bottom w:val="nil"/>
            </w:tcBorders>
            <w:vAlign w:val="center"/>
          </w:tcPr>
          <w:p w14:paraId="563A8C90" w14:textId="77777777" w:rsidR="00E45731" w:rsidRPr="004C78D8" w:rsidRDefault="00E45731" w:rsidP="00FB7C1F">
            <w:pPr>
              <w:spacing w:after="0"/>
              <w:jc w:val="center"/>
              <w:rPr>
                <w:sz w:val="28"/>
                <w:szCs w:val="28"/>
              </w:rPr>
            </w:pPr>
            <w:r w:rsidRPr="004C78D8">
              <w:rPr>
                <w:sz w:val="28"/>
                <w:szCs w:val="28"/>
              </w:rPr>
              <w:t>˟</w:t>
            </w:r>
          </w:p>
        </w:tc>
        <w:tc>
          <w:tcPr>
            <w:tcW w:w="326" w:type="pct"/>
            <w:tcBorders>
              <w:top w:val="nil"/>
              <w:bottom w:val="nil"/>
            </w:tcBorders>
            <w:vAlign w:val="center"/>
          </w:tcPr>
          <w:p w14:paraId="1F2F6128" w14:textId="77777777" w:rsidR="00E45731" w:rsidRPr="004C78D8" w:rsidRDefault="00E45731" w:rsidP="00FB7C1F">
            <w:pPr>
              <w:spacing w:after="0"/>
              <w:jc w:val="center"/>
              <w:rPr>
                <w:sz w:val="28"/>
                <w:szCs w:val="28"/>
              </w:rPr>
            </w:pPr>
            <w:r w:rsidRPr="004C78D8">
              <w:rPr>
                <w:sz w:val="28"/>
                <w:szCs w:val="28"/>
              </w:rPr>
              <w:t>˟</w:t>
            </w:r>
          </w:p>
        </w:tc>
        <w:tc>
          <w:tcPr>
            <w:tcW w:w="295" w:type="pct"/>
            <w:tcBorders>
              <w:top w:val="nil"/>
              <w:bottom w:val="nil"/>
            </w:tcBorders>
            <w:vAlign w:val="center"/>
          </w:tcPr>
          <w:p w14:paraId="77AF0422" w14:textId="77777777" w:rsidR="00E45731" w:rsidRPr="004C78D8" w:rsidRDefault="00E45731" w:rsidP="00FB7C1F">
            <w:pPr>
              <w:spacing w:after="0"/>
              <w:jc w:val="center"/>
            </w:pPr>
          </w:p>
        </w:tc>
        <w:tc>
          <w:tcPr>
            <w:tcW w:w="357" w:type="pct"/>
            <w:tcBorders>
              <w:top w:val="nil"/>
              <w:bottom w:val="nil"/>
            </w:tcBorders>
            <w:vAlign w:val="center"/>
          </w:tcPr>
          <w:p w14:paraId="103E8CEF" w14:textId="77777777" w:rsidR="00E45731" w:rsidRPr="004C78D8" w:rsidRDefault="00E45731" w:rsidP="00FB7C1F">
            <w:pPr>
              <w:spacing w:after="0"/>
              <w:jc w:val="center"/>
              <w:rPr>
                <w:sz w:val="18"/>
                <w:szCs w:val="18"/>
              </w:rPr>
            </w:pPr>
            <w:r w:rsidRPr="004C78D8">
              <w:rPr>
                <w:sz w:val="18"/>
                <w:szCs w:val="18"/>
              </w:rPr>
              <w:t>FRAT</w:t>
            </w:r>
          </w:p>
        </w:tc>
      </w:tr>
      <w:tr w:rsidR="00E45731" w:rsidRPr="004C78D8" w14:paraId="459C5160" w14:textId="77777777" w:rsidTr="002828C1">
        <w:tc>
          <w:tcPr>
            <w:tcW w:w="458" w:type="pct"/>
            <w:vMerge/>
          </w:tcPr>
          <w:p w14:paraId="1007CFD3" w14:textId="77777777" w:rsidR="00E45731" w:rsidRPr="004C78D8" w:rsidRDefault="00E45731" w:rsidP="00FB7C1F">
            <w:pPr>
              <w:widowControl w:val="0"/>
              <w:pBdr>
                <w:top w:val="nil"/>
                <w:left w:val="nil"/>
                <w:bottom w:val="nil"/>
                <w:right w:val="nil"/>
                <w:between w:val="nil"/>
              </w:pBdr>
              <w:spacing w:after="0" w:line="276" w:lineRule="auto"/>
              <w:jc w:val="left"/>
              <w:rPr>
                <w:sz w:val="18"/>
                <w:szCs w:val="18"/>
              </w:rPr>
            </w:pPr>
          </w:p>
        </w:tc>
        <w:tc>
          <w:tcPr>
            <w:tcW w:w="715" w:type="pct"/>
            <w:tcBorders>
              <w:top w:val="single" w:sz="4" w:space="0" w:color="000000"/>
              <w:bottom w:val="single" w:sz="4" w:space="0" w:color="000000"/>
            </w:tcBorders>
          </w:tcPr>
          <w:p w14:paraId="16BC7B64" w14:textId="77777777" w:rsidR="00E45731" w:rsidRPr="004C78D8" w:rsidRDefault="00E45731" w:rsidP="00FB7C1F">
            <w:pPr>
              <w:spacing w:after="0"/>
              <w:jc w:val="left"/>
              <w:rPr>
                <w:sz w:val="18"/>
                <w:szCs w:val="18"/>
              </w:rPr>
            </w:pPr>
            <w:r w:rsidRPr="004C78D8">
              <w:rPr>
                <w:sz w:val="18"/>
                <w:szCs w:val="18"/>
              </w:rPr>
              <w:t>Fracture</w:t>
            </w:r>
          </w:p>
        </w:tc>
        <w:tc>
          <w:tcPr>
            <w:tcW w:w="255" w:type="pct"/>
            <w:tcBorders>
              <w:top w:val="nil"/>
              <w:bottom w:val="nil"/>
            </w:tcBorders>
            <w:vAlign w:val="center"/>
          </w:tcPr>
          <w:p w14:paraId="57D66579" w14:textId="77777777" w:rsidR="00E45731" w:rsidRPr="004C78D8" w:rsidRDefault="00E45731" w:rsidP="00FB7C1F">
            <w:pPr>
              <w:spacing w:after="0"/>
              <w:jc w:val="center"/>
              <w:rPr>
                <w:sz w:val="28"/>
                <w:szCs w:val="28"/>
              </w:rPr>
            </w:pPr>
            <w:r w:rsidRPr="004C78D8">
              <w:rPr>
                <w:sz w:val="28"/>
                <w:szCs w:val="28"/>
              </w:rPr>
              <w:t>˟</w:t>
            </w:r>
          </w:p>
        </w:tc>
        <w:tc>
          <w:tcPr>
            <w:tcW w:w="255" w:type="pct"/>
            <w:tcBorders>
              <w:top w:val="nil"/>
              <w:bottom w:val="nil"/>
            </w:tcBorders>
            <w:vAlign w:val="center"/>
          </w:tcPr>
          <w:p w14:paraId="56FFAAFF" w14:textId="77777777" w:rsidR="00E45731" w:rsidRPr="004C78D8" w:rsidRDefault="00E45731" w:rsidP="00FB7C1F">
            <w:pPr>
              <w:spacing w:after="0"/>
              <w:jc w:val="center"/>
            </w:pPr>
          </w:p>
        </w:tc>
        <w:tc>
          <w:tcPr>
            <w:tcW w:w="357" w:type="pct"/>
            <w:tcBorders>
              <w:top w:val="nil"/>
              <w:bottom w:val="nil"/>
            </w:tcBorders>
            <w:vAlign w:val="center"/>
          </w:tcPr>
          <w:p w14:paraId="294FE2E3" w14:textId="77777777" w:rsidR="00E45731" w:rsidRPr="004C78D8" w:rsidRDefault="00E45731" w:rsidP="00FB7C1F">
            <w:pPr>
              <w:spacing w:after="0"/>
              <w:jc w:val="center"/>
            </w:pPr>
          </w:p>
        </w:tc>
        <w:tc>
          <w:tcPr>
            <w:tcW w:w="352" w:type="pct"/>
            <w:tcBorders>
              <w:top w:val="nil"/>
              <w:bottom w:val="nil"/>
            </w:tcBorders>
            <w:vAlign w:val="center"/>
          </w:tcPr>
          <w:p w14:paraId="78BFE7AB" w14:textId="77777777" w:rsidR="00E45731" w:rsidRPr="004C78D8" w:rsidRDefault="00E45731" w:rsidP="00FB7C1F">
            <w:pPr>
              <w:spacing w:after="0"/>
              <w:jc w:val="center"/>
              <w:rPr>
                <w:sz w:val="18"/>
                <w:szCs w:val="18"/>
              </w:rPr>
            </w:pPr>
            <w:r w:rsidRPr="004C78D8">
              <w:rPr>
                <w:i/>
                <w:sz w:val="18"/>
                <w:szCs w:val="18"/>
              </w:rPr>
              <w:t>LTC</w:t>
            </w:r>
          </w:p>
        </w:tc>
        <w:tc>
          <w:tcPr>
            <w:tcW w:w="326" w:type="pct"/>
            <w:tcBorders>
              <w:top w:val="nil"/>
              <w:bottom w:val="nil"/>
            </w:tcBorders>
            <w:vAlign w:val="center"/>
          </w:tcPr>
          <w:p w14:paraId="752776B7" w14:textId="77777777" w:rsidR="00E45731" w:rsidRPr="004C78D8" w:rsidRDefault="00E45731" w:rsidP="00FB7C1F">
            <w:pPr>
              <w:spacing w:after="0"/>
              <w:jc w:val="center"/>
            </w:pPr>
          </w:p>
        </w:tc>
        <w:tc>
          <w:tcPr>
            <w:tcW w:w="326" w:type="pct"/>
            <w:tcBorders>
              <w:top w:val="nil"/>
              <w:bottom w:val="nil"/>
            </w:tcBorders>
            <w:vAlign w:val="center"/>
          </w:tcPr>
          <w:p w14:paraId="06024465" w14:textId="77777777" w:rsidR="00E45731" w:rsidRPr="004C78D8" w:rsidRDefault="00E45731" w:rsidP="00FB7C1F">
            <w:pPr>
              <w:spacing w:after="0"/>
              <w:jc w:val="center"/>
            </w:pPr>
          </w:p>
        </w:tc>
        <w:tc>
          <w:tcPr>
            <w:tcW w:w="272" w:type="pct"/>
            <w:tcBorders>
              <w:top w:val="nil"/>
              <w:bottom w:val="nil"/>
            </w:tcBorders>
            <w:vAlign w:val="center"/>
          </w:tcPr>
          <w:p w14:paraId="20067830" w14:textId="77777777" w:rsidR="00E45731" w:rsidRPr="004C78D8" w:rsidRDefault="00E45731" w:rsidP="00FB7C1F">
            <w:pPr>
              <w:spacing w:after="0"/>
              <w:jc w:val="center"/>
              <w:rPr>
                <w:sz w:val="28"/>
                <w:szCs w:val="28"/>
              </w:rPr>
            </w:pPr>
            <w:r w:rsidRPr="004C78D8">
              <w:rPr>
                <w:sz w:val="28"/>
                <w:szCs w:val="28"/>
              </w:rPr>
              <w:t>˟</w:t>
            </w:r>
          </w:p>
        </w:tc>
        <w:tc>
          <w:tcPr>
            <w:tcW w:w="306" w:type="pct"/>
            <w:tcBorders>
              <w:top w:val="nil"/>
              <w:bottom w:val="nil"/>
            </w:tcBorders>
            <w:vAlign w:val="center"/>
          </w:tcPr>
          <w:p w14:paraId="333D8455" w14:textId="77777777" w:rsidR="00E45731" w:rsidRPr="004C78D8" w:rsidRDefault="00E45731" w:rsidP="00FB7C1F">
            <w:pPr>
              <w:spacing w:after="0"/>
              <w:jc w:val="center"/>
            </w:pPr>
          </w:p>
        </w:tc>
        <w:tc>
          <w:tcPr>
            <w:tcW w:w="400" w:type="pct"/>
            <w:tcBorders>
              <w:top w:val="nil"/>
              <w:bottom w:val="nil"/>
            </w:tcBorders>
            <w:vAlign w:val="center"/>
          </w:tcPr>
          <w:p w14:paraId="5A0A81E0" w14:textId="77777777" w:rsidR="00E45731" w:rsidRPr="004C78D8" w:rsidRDefault="00E45731" w:rsidP="00FB7C1F">
            <w:pPr>
              <w:spacing w:after="0"/>
              <w:jc w:val="center"/>
            </w:pPr>
          </w:p>
        </w:tc>
        <w:tc>
          <w:tcPr>
            <w:tcW w:w="326" w:type="pct"/>
            <w:tcBorders>
              <w:top w:val="nil"/>
              <w:bottom w:val="nil"/>
            </w:tcBorders>
            <w:vAlign w:val="center"/>
          </w:tcPr>
          <w:p w14:paraId="602555C6" w14:textId="77777777" w:rsidR="00E45731" w:rsidRPr="004C78D8" w:rsidRDefault="00E45731" w:rsidP="00FB7C1F">
            <w:pPr>
              <w:spacing w:after="0"/>
              <w:jc w:val="center"/>
            </w:pPr>
          </w:p>
        </w:tc>
        <w:tc>
          <w:tcPr>
            <w:tcW w:w="295" w:type="pct"/>
            <w:tcBorders>
              <w:top w:val="nil"/>
              <w:bottom w:val="nil"/>
            </w:tcBorders>
            <w:vAlign w:val="center"/>
          </w:tcPr>
          <w:p w14:paraId="1358803F" w14:textId="77777777" w:rsidR="00E45731" w:rsidRPr="004C78D8" w:rsidRDefault="00E45731" w:rsidP="00FB7C1F">
            <w:pPr>
              <w:spacing w:after="0"/>
              <w:jc w:val="center"/>
            </w:pPr>
          </w:p>
        </w:tc>
        <w:tc>
          <w:tcPr>
            <w:tcW w:w="357" w:type="pct"/>
            <w:tcBorders>
              <w:top w:val="nil"/>
              <w:bottom w:val="nil"/>
            </w:tcBorders>
            <w:vAlign w:val="center"/>
          </w:tcPr>
          <w:p w14:paraId="453CB944" w14:textId="77777777" w:rsidR="00E45731" w:rsidRPr="004C78D8" w:rsidRDefault="00E45731" w:rsidP="00FB7C1F">
            <w:pPr>
              <w:spacing w:after="0"/>
              <w:jc w:val="center"/>
              <w:rPr>
                <w:sz w:val="18"/>
                <w:szCs w:val="18"/>
              </w:rPr>
            </w:pPr>
          </w:p>
        </w:tc>
      </w:tr>
      <w:tr w:rsidR="00E45731" w:rsidRPr="004C78D8" w14:paraId="2736DE0C" w14:textId="77777777" w:rsidTr="002828C1">
        <w:tc>
          <w:tcPr>
            <w:tcW w:w="458" w:type="pct"/>
          </w:tcPr>
          <w:p w14:paraId="18EAAA64" w14:textId="77777777" w:rsidR="00E45731" w:rsidRPr="004C78D8" w:rsidRDefault="00E45731" w:rsidP="00FB7C1F">
            <w:pPr>
              <w:spacing w:after="0"/>
              <w:jc w:val="left"/>
              <w:rPr>
                <w:sz w:val="18"/>
                <w:szCs w:val="18"/>
              </w:rPr>
            </w:pPr>
            <w:r w:rsidRPr="004C78D8">
              <w:rPr>
                <w:sz w:val="18"/>
                <w:szCs w:val="18"/>
              </w:rPr>
              <w:t>Ippoliti (2018)</w:t>
            </w:r>
          </w:p>
        </w:tc>
        <w:tc>
          <w:tcPr>
            <w:tcW w:w="715" w:type="pct"/>
            <w:tcBorders>
              <w:top w:val="single" w:sz="4" w:space="0" w:color="000000"/>
              <w:bottom w:val="single" w:sz="4" w:space="0" w:color="000000"/>
            </w:tcBorders>
          </w:tcPr>
          <w:p w14:paraId="7D9781FC" w14:textId="77777777" w:rsidR="00E45731" w:rsidRPr="004C78D8" w:rsidRDefault="00E45731" w:rsidP="00FB7C1F">
            <w:pPr>
              <w:spacing w:after="0"/>
              <w:jc w:val="left"/>
              <w:rPr>
                <w:sz w:val="18"/>
                <w:szCs w:val="18"/>
              </w:rPr>
            </w:pPr>
            <w:r w:rsidRPr="004C78D8">
              <w:rPr>
                <w:sz w:val="18"/>
                <w:szCs w:val="18"/>
              </w:rPr>
              <w:t>Hip fracture</w:t>
            </w:r>
          </w:p>
        </w:tc>
        <w:tc>
          <w:tcPr>
            <w:tcW w:w="255" w:type="pct"/>
            <w:tcBorders>
              <w:top w:val="nil"/>
              <w:bottom w:val="nil"/>
            </w:tcBorders>
            <w:vAlign w:val="center"/>
          </w:tcPr>
          <w:p w14:paraId="3862A193" w14:textId="77777777" w:rsidR="00E45731" w:rsidRPr="004C78D8" w:rsidRDefault="00E45731" w:rsidP="00FB7C1F">
            <w:pPr>
              <w:spacing w:after="0"/>
              <w:jc w:val="center"/>
            </w:pPr>
          </w:p>
        </w:tc>
        <w:tc>
          <w:tcPr>
            <w:tcW w:w="255" w:type="pct"/>
            <w:tcBorders>
              <w:top w:val="nil"/>
              <w:bottom w:val="nil"/>
            </w:tcBorders>
            <w:vAlign w:val="center"/>
          </w:tcPr>
          <w:p w14:paraId="3ADD5626" w14:textId="77777777" w:rsidR="00E45731" w:rsidRPr="004C78D8" w:rsidRDefault="00E45731" w:rsidP="00FB7C1F">
            <w:pPr>
              <w:spacing w:after="0"/>
              <w:jc w:val="center"/>
            </w:pPr>
          </w:p>
        </w:tc>
        <w:tc>
          <w:tcPr>
            <w:tcW w:w="357" w:type="pct"/>
            <w:tcBorders>
              <w:top w:val="nil"/>
              <w:bottom w:val="nil"/>
            </w:tcBorders>
            <w:vAlign w:val="center"/>
          </w:tcPr>
          <w:p w14:paraId="583ED029" w14:textId="77777777" w:rsidR="00E45731" w:rsidRPr="004C78D8" w:rsidRDefault="00E45731" w:rsidP="00FB7C1F">
            <w:pPr>
              <w:spacing w:after="0"/>
              <w:jc w:val="center"/>
            </w:pPr>
          </w:p>
        </w:tc>
        <w:tc>
          <w:tcPr>
            <w:tcW w:w="352" w:type="pct"/>
            <w:tcBorders>
              <w:top w:val="nil"/>
              <w:bottom w:val="nil"/>
            </w:tcBorders>
            <w:vAlign w:val="center"/>
          </w:tcPr>
          <w:p w14:paraId="7CC4A55C" w14:textId="77777777" w:rsidR="00E45731" w:rsidRPr="004C78D8" w:rsidRDefault="00E45731" w:rsidP="00FB7C1F">
            <w:pPr>
              <w:spacing w:after="0"/>
              <w:jc w:val="center"/>
              <w:rPr>
                <w:i/>
                <w:sz w:val="18"/>
                <w:szCs w:val="18"/>
              </w:rPr>
            </w:pPr>
            <w:r w:rsidRPr="004C78D8">
              <w:rPr>
                <w:i/>
                <w:sz w:val="18"/>
                <w:szCs w:val="18"/>
              </w:rPr>
              <w:t>Region</w:t>
            </w:r>
          </w:p>
        </w:tc>
        <w:tc>
          <w:tcPr>
            <w:tcW w:w="326" w:type="pct"/>
            <w:tcBorders>
              <w:top w:val="nil"/>
              <w:bottom w:val="nil"/>
            </w:tcBorders>
            <w:vAlign w:val="center"/>
          </w:tcPr>
          <w:p w14:paraId="1F08ACEA" w14:textId="77777777" w:rsidR="00E45731" w:rsidRPr="004C78D8" w:rsidRDefault="00E45731" w:rsidP="00FB7C1F">
            <w:pPr>
              <w:spacing w:after="0"/>
              <w:jc w:val="center"/>
            </w:pPr>
          </w:p>
        </w:tc>
        <w:tc>
          <w:tcPr>
            <w:tcW w:w="326" w:type="pct"/>
            <w:tcBorders>
              <w:top w:val="nil"/>
              <w:bottom w:val="nil"/>
            </w:tcBorders>
            <w:vAlign w:val="center"/>
          </w:tcPr>
          <w:p w14:paraId="2ADE5577" w14:textId="77777777" w:rsidR="00E45731" w:rsidRPr="004C78D8" w:rsidRDefault="00E45731" w:rsidP="00FB7C1F">
            <w:pPr>
              <w:spacing w:after="0"/>
              <w:jc w:val="center"/>
            </w:pPr>
          </w:p>
        </w:tc>
        <w:tc>
          <w:tcPr>
            <w:tcW w:w="272" w:type="pct"/>
            <w:tcBorders>
              <w:top w:val="nil"/>
              <w:bottom w:val="nil"/>
            </w:tcBorders>
            <w:vAlign w:val="center"/>
          </w:tcPr>
          <w:p w14:paraId="2E818282" w14:textId="77777777" w:rsidR="00E45731" w:rsidRPr="004C78D8" w:rsidRDefault="00E45731" w:rsidP="00FB7C1F">
            <w:pPr>
              <w:spacing w:after="0"/>
              <w:jc w:val="center"/>
            </w:pPr>
          </w:p>
        </w:tc>
        <w:tc>
          <w:tcPr>
            <w:tcW w:w="306" w:type="pct"/>
            <w:tcBorders>
              <w:top w:val="nil"/>
              <w:bottom w:val="nil"/>
            </w:tcBorders>
            <w:vAlign w:val="center"/>
          </w:tcPr>
          <w:p w14:paraId="39788B9F" w14:textId="77777777" w:rsidR="00E45731" w:rsidRPr="004C78D8" w:rsidRDefault="00E45731" w:rsidP="00FB7C1F">
            <w:pPr>
              <w:spacing w:after="0"/>
              <w:jc w:val="center"/>
            </w:pPr>
          </w:p>
        </w:tc>
        <w:tc>
          <w:tcPr>
            <w:tcW w:w="400" w:type="pct"/>
            <w:tcBorders>
              <w:top w:val="nil"/>
              <w:bottom w:val="nil"/>
            </w:tcBorders>
            <w:vAlign w:val="center"/>
          </w:tcPr>
          <w:p w14:paraId="609116CC" w14:textId="77777777" w:rsidR="00E45731" w:rsidRPr="004C78D8" w:rsidRDefault="00E45731" w:rsidP="00FB7C1F">
            <w:pPr>
              <w:spacing w:after="0"/>
              <w:jc w:val="center"/>
            </w:pPr>
          </w:p>
        </w:tc>
        <w:tc>
          <w:tcPr>
            <w:tcW w:w="326" w:type="pct"/>
            <w:tcBorders>
              <w:top w:val="nil"/>
              <w:bottom w:val="nil"/>
            </w:tcBorders>
            <w:vAlign w:val="center"/>
          </w:tcPr>
          <w:p w14:paraId="39246740" w14:textId="77777777" w:rsidR="00E45731" w:rsidRPr="004C78D8" w:rsidRDefault="00E45731" w:rsidP="00FB7C1F">
            <w:pPr>
              <w:spacing w:after="0"/>
              <w:jc w:val="center"/>
            </w:pPr>
          </w:p>
        </w:tc>
        <w:tc>
          <w:tcPr>
            <w:tcW w:w="295" w:type="pct"/>
            <w:tcBorders>
              <w:top w:val="nil"/>
              <w:bottom w:val="nil"/>
            </w:tcBorders>
            <w:vAlign w:val="center"/>
          </w:tcPr>
          <w:p w14:paraId="4499E59B" w14:textId="77777777" w:rsidR="00E45731" w:rsidRPr="004C78D8" w:rsidRDefault="00E45731" w:rsidP="00FB7C1F">
            <w:pPr>
              <w:spacing w:after="0"/>
              <w:jc w:val="center"/>
            </w:pPr>
          </w:p>
        </w:tc>
        <w:tc>
          <w:tcPr>
            <w:tcW w:w="357" w:type="pct"/>
            <w:tcBorders>
              <w:top w:val="nil"/>
              <w:bottom w:val="nil"/>
            </w:tcBorders>
            <w:vAlign w:val="center"/>
          </w:tcPr>
          <w:p w14:paraId="5F0A3F9A" w14:textId="77777777" w:rsidR="00E45731" w:rsidRPr="004C78D8" w:rsidRDefault="00E45731" w:rsidP="00FB7C1F">
            <w:pPr>
              <w:spacing w:after="0"/>
              <w:jc w:val="center"/>
              <w:rPr>
                <w:sz w:val="18"/>
                <w:szCs w:val="18"/>
              </w:rPr>
            </w:pPr>
          </w:p>
        </w:tc>
      </w:tr>
      <w:tr w:rsidR="00E45731" w:rsidRPr="004C78D8" w14:paraId="39E00B49" w14:textId="77777777" w:rsidTr="002828C1">
        <w:tc>
          <w:tcPr>
            <w:tcW w:w="458" w:type="pct"/>
          </w:tcPr>
          <w:p w14:paraId="7EF149CC" w14:textId="77777777" w:rsidR="00E45731" w:rsidRPr="004C78D8" w:rsidRDefault="00E45731" w:rsidP="00FB7C1F">
            <w:pPr>
              <w:spacing w:after="0"/>
              <w:jc w:val="left"/>
              <w:rPr>
                <w:sz w:val="18"/>
                <w:szCs w:val="18"/>
              </w:rPr>
            </w:pPr>
            <w:r w:rsidRPr="004C78D8">
              <w:rPr>
                <w:sz w:val="18"/>
                <w:szCs w:val="18"/>
              </w:rPr>
              <w:t>OMAS (2008)</w:t>
            </w:r>
          </w:p>
        </w:tc>
        <w:tc>
          <w:tcPr>
            <w:tcW w:w="715" w:type="pct"/>
            <w:tcBorders>
              <w:top w:val="single" w:sz="4" w:space="0" w:color="000000"/>
              <w:bottom w:val="single" w:sz="4" w:space="0" w:color="000000"/>
            </w:tcBorders>
          </w:tcPr>
          <w:p w14:paraId="09A91657" w14:textId="77777777" w:rsidR="00E45731" w:rsidRPr="004C78D8" w:rsidRDefault="00E45731" w:rsidP="00FB7C1F">
            <w:pPr>
              <w:spacing w:after="0"/>
              <w:jc w:val="left"/>
              <w:rPr>
                <w:sz w:val="18"/>
                <w:szCs w:val="18"/>
              </w:rPr>
            </w:pPr>
            <w:r w:rsidRPr="004C78D8">
              <w:rPr>
                <w:sz w:val="18"/>
                <w:szCs w:val="18"/>
              </w:rPr>
              <w:t xml:space="preserve">MA fall; Fracture; Hip fracture; Fatal fall; LTC fall; Hospitalised fall </w:t>
            </w:r>
          </w:p>
        </w:tc>
        <w:tc>
          <w:tcPr>
            <w:tcW w:w="255" w:type="pct"/>
            <w:tcBorders>
              <w:top w:val="nil"/>
              <w:bottom w:val="nil"/>
            </w:tcBorders>
            <w:vAlign w:val="center"/>
          </w:tcPr>
          <w:p w14:paraId="36CACB91" w14:textId="77777777" w:rsidR="00E45731" w:rsidRPr="004C78D8" w:rsidRDefault="00E45731" w:rsidP="00FB7C1F">
            <w:pPr>
              <w:spacing w:after="0"/>
              <w:jc w:val="center"/>
              <w:rPr>
                <w:sz w:val="28"/>
                <w:szCs w:val="28"/>
              </w:rPr>
            </w:pPr>
            <w:r w:rsidRPr="004C78D8">
              <w:rPr>
                <w:sz w:val="28"/>
                <w:szCs w:val="28"/>
              </w:rPr>
              <w:t>˟</w:t>
            </w:r>
          </w:p>
        </w:tc>
        <w:tc>
          <w:tcPr>
            <w:tcW w:w="255" w:type="pct"/>
            <w:tcBorders>
              <w:top w:val="nil"/>
              <w:bottom w:val="nil"/>
            </w:tcBorders>
            <w:vAlign w:val="center"/>
          </w:tcPr>
          <w:p w14:paraId="1CF049DA" w14:textId="77777777" w:rsidR="00E45731" w:rsidRPr="004C78D8" w:rsidRDefault="00E45731" w:rsidP="00FB7C1F">
            <w:pPr>
              <w:spacing w:after="0"/>
              <w:jc w:val="center"/>
              <w:rPr>
                <w:sz w:val="28"/>
                <w:szCs w:val="28"/>
              </w:rPr>
            </w:pPr>
            <w:r w:rsidRPr="004C78D8">
              <w:rPr>
                <w:sz w:val="28"/>
                <w:szCs w:val="28"/>
              </w:rPr>
              <w:t>˟</w:t>
            </w:r>
          </w:p>
        </w:tc>
        <w:tc>
          <w:tcPr>
            <w:tcW w:w="357" w:type="pct"/>
            <w:tcBorders>
              <w:top w:val="nil"/>
              <w:bottom w:val="nil"/>
            </w:tcBorders>
            <w:vAlign w:val="center"/>
          </w:tcPr>
          <w:p w14:paraId="494DF14F" w14:textId="77777777" w:rsidR="00E45731" w:rsidRPr="004C78D8" w:rsidRDefault="00E45731" w:rsidP="00FB7C1F">
            <w:pPr>
              <w:spacing w:after="0"/>
              <w:jc w:val="center"/>
              <w:rPr>
                <w:sz w:val="28"/>
                <w:szCs w:val="28"/>
              </w:rPr>
            </w:pPr>
          </w:p>
        </w:tc>
        <w:tc>
          <w:tcPr>
            <w:tcW w:w="352" w:type="pct"/>
            <w:tcBorders>
              <w:top w:val="nil"/>
              <w:bottom w:val="nil"/>
            </w:tcBorders>
            <w:vAlign w:val="center"/>
          </w:tcPr>
          <w:p w14:paraId="4E2F379E" w14:textId="77777777" w:rsidR="00E45731" w:rsidRPr="004C78D8" w:rsidRDefault="00E45731" w:rsidP="00FB7C1F">
            <w:pPr>
              <w:spacing w:after="0"/>
              <w:jc w:val="center"/>
              <w:rPr>
                <w:sz w:val="28"/>
                <w:szCs w:val="28"/>
              </w:rPr>
            </w:pPr>
          </w:p>
        </w:tc>
        <w:tc>
          <w:tcPr>
            <w:tcW w:w="326" w:type="pct"/>
            <w:tcBorders>
              <w:top w:val="nil"/>
              <w:bottom w:val="nil"/>
            </w:tcBorders>
            <w:vAlign w:val="center"/>
          </w:tcPr>
          <w:p w14:paraId="04759306" w14:textId="77777777" w:rsidR="00E45731" w:rsidRPr="004C78D8" w:rsidRDefault="00E45731" w:rsidP="00FB7C1F">
            <w:pPr>
              <w:spacing w:after="0"/>
              <w:jc w:val="center"/>
              <w:rPr>
                <w:sz w:val="28"/>
                <w:szCs w:val="28"/>
              </w:rPr>
            </w:pPr>
          </w:p>
        </w:tc>
        <w:tc>
          <w:tcPr>
            <w:tcW w:w="326" w:type="pct"/>
            <w:tcBorders>
              <w:top w:val="nil"/>
              <w:bottom w:val="nil"/>
            </w:tcBorders>
            <w:vAlign w:val="center"/>
          </w:tcPr>
          <w:p w14:paraId="2D9612DD" w14:textId="77777777" w:rsidR="00E45731" w:rsidRPr="004C78D8" w:rsidRDefault="00E45731" w:rsidP="00FB7C1F">
            <w:pPr>
              <w:spacing w:after="0"/>
              <w:jc w:val="center"/>
              <w:rPr>
                <w:sz w:val="28"/>
                <w:szCs w:val="28"/>
              </w:rPr>
            </w:pPr>
            <w:r w:rsidRPr="004C78D8">
              <w:rPr>
                <w:sz w:val="28"/>
                <w:szCs w:val="28"/>
              </w:rPr>
              <w:t>˟</w:t>
            </w:r>
          </w:p>
        </w:tc>
        <w:tc>
          <w:tcPr>
            <w:tcW w:w="272" w:type="pct"/>
            <w:tcBorders>
              <w:top w:val="nil"/>
              <w:bottom w:val="nil"/>
            </w:tcBorders>
            <w:vAlign w:val="center"/>
          </w:tcPr>
          <w:p w14:paraId="715E7F46" w14:textId="77777777" w:rsidR="00E45731" w:rsidRPr="004C78D8" w:rsidRDefault="00E45731" w:rsidP="00FB7C1F">
            <w:pPr>
              <w:spacing w:after="0"/>
              <w:jc w:val="center"/>
              <w:rPr>
                <w:sz w:val="28"/>
                <w:szCs w:val="28"/>
              </w:rPr>
            </w:pPr>
          </w:p>
        </w:tc>
        <w:tc>
          <w:tcPr>
            <w:tcW w:w="306" w:type="pct"/>
            <w:tcBorders>
              <w:top w:val="nil"/>
              <w:bottom w:val="nil"/>
            </w:tcBorders>
            <w:vAlign w:val="center"/>
          </w:tcPr>
          <w:p w14:paraId="51459C36" w14:textId="77777777" w:rsidR="00E45731" w:rsidRPr="004C78D8" w:rsidRDefault="00E45731" w:rsidP="00FB7C1F">
            <w:pPr>
              <w:spacing w:after="0"/>
              <w:jc w:val="center"/>
              <w:rPr>
                <w:sz w:val="28"/>
                <w:szCs w:val="28"/>
              </w:rPr>
            </w:pPr>
          </w:p>
        </w:tc>
        <w:tc>
          <w:tcPr>
            <w:tcW w:w="400" w:type="pct"/>
            <w:tcBorders>
              <w:top w:val="nil"/>
              <w:bottom w:val="nil"/>
            </w:tcBorders>
            <w:vAlign w:val="center"/>
          </w:tcPr>
          <w:p w14:paraId="7686A027" w14:textId="77777777" w:rsidR="00E45731" w:rsidRPr="004C78D8" w:rsidRDefault="00E45731" w:rsidP="00FB7C1F">
            <w:pPr>
              <w:spacing w:after="0"/>
              <w:jc w:val="center"/>
              <w:rPr>
                <w:sz w:val="28"/>
                <w:szCs w:val="28"/>
              </w:rPr>
            </w:pPr>
          </w:p>
        </w:tc>
        <w:tc>
          <w:tcPr>
            <w:tcW w:w="326" w:type="pct"/>
            <w:tcBorders>
              <w:top w:val="nil"/>
              <w:bottom w:val="nil"/>
            </w:tcBorders>
            <w:vAlign w:val="center"/>
          </w:tcPr>
          <w:p w14:paraId="25BADE86" w14:textId="77777777" w:rsidR="00E45731" w:rsidRPr="004C78D8" w:rsidRDefault="00E45731" w:rsidP="00FB7C1F">
            <w:pPr>
              <w:spacing w:after="0"/>
              <w:jc w:val="center"/>
              <w:rPr>
                <w:sz w:val="28"/>
                <w:szCs w:val="28"/>
              </w:rPr>
            </w:pPr>
          </w:p>
        </w:tc>
        <w:tc>
          <w:tcPr>
            <w:tcW w:w="295" w:type="pct"/>
            <w:tcBorders>
              <w:top w:val="nil"/>
              <w:bottom w:val="nil"/>
            </w:tcBorders>
            <w:vAlign w:val="center"/>
          </w:tcPr>
          <w:p w14:paraId="0CF772F4" w14:textId="77777777" w:rsidR="00E45731" w:rsidRPr="004C78D8" w:rsidRDefault="00E45731" w:rsidP="00FB7C1F">
            <w:pPr>
              <w:spacing w:after="0"/>
              <w:jc w:val="center"/>
              <w:rPr>
                <w:sz w:val="28"/>
                <w:szCs w:val="28"/>
              </w:rPr>
            </w:pPr>
          </w:p>
        </w:tc>
        <w:tc>
          <w:tcPr>
            <w:tcW w:w="357" w:type="pct"/>
            <w:tcBorders>
              <w:top w:val="nil"/>
              <w:bottom w:val="nil"/>
            </w:tcBorders>
            <w:vAlign w:val="center"/>
          </w:tcPr>
          <w:p w14:paraId="0C01BDEE" w14:textId="77777777" w:rsidR="00E45731" w:rsidRPr="004C78D8" w:rsidRDefault="00E45731" w:rsidP="00FB7C1F">
            <w:pPr>
              <w:spacing w:after="0"/>
              <w:jc w:val="center"/>
              <w:rPr>
                <w:sz w:val="18"/>
                <w:szCs w:val="18"/>
              </w:rPr>
            </w:pPr>
          </w:p>
        </w:tc>
      </w:tr>
      <w:tr w:rsidR="00E45731" w:rsidRPr="004C78D8" w14:paraId="11C5D59D" w14:textId="77777777" w:rsidTr="002828C1">
        <w:tc>
          <w:tcPr>
            <w:tcW w:w="458" w:type="pct"/>
          </w:tcPr>
          <w:p w14:paraId="631DAF5B" w14:textId="77777777" w:rsidR="00E45731" w:rsidRPr="004C78D8" w:rsidRDefault="00E45731" w:rsidP="00FB7C1F">
            <w:pPr>
              <w:spacing w:after="0"/>
              <w:jc w:val="left"/>
              <w:rPr>
                <w:sz w:val="18"/>
                <w:szCs w:val="18"/>
              </w:rPr>
            </w:pPr>
            <w:r w:rsidRPr="004C78D8">
              <w:rPr>
                <w:sz w:val="18"/>
                <w:szCs w:val="18"/>
              </w:rPr>
              <w:t>Smith (2016)</w:t>
            </w:r>
          </w:p>
        </w:tc>
        <w:tc>
          <w:tcPr>
            <w:tcW w:w="715" w:type="pct"/>
            <w:tcBorders>
              <w:top w:val="single" w:sz="4" w:space="0" w:color="000000"/>
            </w:tcBorders>
          </w:tcPr>
          <w:p w14:paraId="04DD2CF9" w14:textId="77777777" w:rsidR="00E45731" w:rsidRPr="004C78D8" w:rsidRDefault="00E45731" w:rsidP="00FB7C1F">
            <w:pPr>
              <w:spacing w:after="0"/>
              <w:jc w:val="left"/>
              <w:rPr>
                <w:sz w:val="18"/>
                <w:szCs w:val="18"/>
              </w:rPr>
            </w:pPr>
            <w:r w:rsidRPr="004C78D8">
              <w:rPr>
                <w:sz w:val="18"/>
                <w:szCs w:val="18"/>
              </w:rPr>
              <w:t>MA fall</w:t>
            </w:r>
          </w:p>
        </w:tc>
        <w:tc>
          <w:tcPr>
            <w:tcW w:w="255" w:type="pct"/>
            <w:tcBorders>
              <w:top w:val="nil"/>
            </w:tcBorders>
            <w:vAlign w:val="center"/>
          </w:tcPr>
          <w:p w14:paraId="34130A0D" w14:textId="77777777" w:rsidR="00E45731" w:rsidRPr="004C78D8" w:rsidRDefault="00E45731" w:rsidP="00FB7C1F">
            <w:pPr>
              <w:spacing w:after="0"/>
              <w:jc w:val="center"/>
              <w:rPr>
                <w:sz w:val="28"/>
                <w:szCs w:val="28"/>
              </w:rPr>
            </w:pPr>
            <w:r w:rsidRPr="004C78D8">
              <w:rPr>
                <w:sz w:val="28"/>
                <w:szCs w:val="28"/>
              </w:rPr>
              <w:t>˟</w:t>
            </w:r>
          </w:p>
        </w:tc>
        <w:tc>
          <w:tcPr>
            <w:tcW w:w="255" w:type="pct"/>
            <w:tcBorders>
              <w:top w:val="nil"/>
            </w:tcBorders>
            <w:vAlign w:val="center"/>
          </w:tcPr>
          <w:p w14:paraId="59755409" w14:textId="77777777" w:rsidR="00E45731" w:rsidRPr="004C78D8" w:rsidRDefault="00E45731" w:rsidP="00FB7C1F">
            <w:pPr>
              <w:spacing w:after="0"/>
              <w:jc w:val="center"/>
              <w:rPr>
                <w:sz w:val="28"/>
                <w:szCs w:val="28"/>
              </w:rPr>
            </w:pPr>
            <w:r w:rsidRPr="004C78D8">
              <w:rPr>
                <w:sz w:val="28"/>
                <w:szCs w:val="28"/>
              </w:rPr>
              <w:t>˟</w:t>
            </w:r>
          </w:p>
        </w:tc>
        <w:tc>
          <w:tcPr>
            <w:tcW w:w="357" w:type="pct"/>
            <w:tcBorders>
              <w:top w:val="nil"/>
            </w:tcBorders>
            <w:vAlign w:val="center"/>
          </w:tcPr>
          <w:p w14:paraId="0525C9C5" w14:textId="77777777" w:rsidR="00E45731" w:rsidRPr="004C78D8" w:rsidRDefault="00E45731" w:rsidP="00FB7C1F">
            <w:pPr>
              <w:spacing w:after="0"/>
              <w:jc w:val="center"/>
              <w:rPr>
                <w:sz w:val="28"/>
                <w:szCs w:val="28"/>
              </w:rPr>
            </w:pPr>
          </w:p>
        </w:tc>
        <w:tc>
          <w:tcPr>
            <w:tcW w:w="352" w:type="pct"/>
            <w:tcBorders>
              <w:top w:val="nil"/>
            </w:tcBorders>
            <w:vAlign w:val="center"/>
          </w:tcPr>
          <w:p w14:paraId="15BA3EA5" w14:textId="77777777" w:rsidR="00E45731" w:rsidRPr="004C78D8" w:rsidRDefault="00E45731" w:rsidP="00FB7C1F">
            <w:pPr>
              <w:spacing w:after="0"/>
              <w:jc w:val="center"/>
              <w:rPr>
                <w:sz w:val="28"/>
                <w:szCs w:val="28"/>
              </w:rPr>
            </w:pPr>
          </w:p>
        </w:tc>
        <w:tc>
          <w:tcPr>
            <w:tcW w:w="326" w:type="pct"/>
            <w:tcBorders>
              <w:top w:val="nil"/>
            </w:tcBorders>
            <w:vAlign w:val="center"/>
          </w:tcPr>
          <w:p w14:paraId="2501FCA3" w14:textId="77777777" w:rsidR="00E45731" w:rsidRPr="004C78D8" w:rsidRDefault="00E45731" w:rsidP="00FB7C1F">
            <w:pPr>
              <w:spacing w:after="0"/>
              <w:jc w:val="center"/>
              <w:rPr>
                <w:sz w:val="28"/>
                <w:szCs w:val="28"/>
              </w:rPr>
            </w:pPr>
          </w:p>
        </w:tc>
        <w:tc>
          <w:tcPr>
            <w:tcW w:w="326" w:type="pct"/>
            <w:tcBorders>
              <w:top w:val="nil"/>
            </w:tcBorders>
            <w:vAlign w:val="center"/>
          </w:tcPr>
          <w:p w14:paraId="5845B1A2" w14:textId="77777777" w:rsidR="00E45731" w:rsidRPr="004C78D8" w:rsidRDefault="00E45731" w:rsidP="00FB7C1F">
            <w:pPr>
              <w:spacing w:after="0"/>
              <w:jc w:val="center"/>
              <w:rPr>
                <w:sz w:val="28"/>
                <w:szCs w:val="28"/>
              </w:rPr>
            </w:pPr>
            <w:r w:rsidRPr="004C78D8">
              <w:rPr>
                <w:sz w:val="28"/>
                <w:szCs w:val="28"/>
              </w:rPr>
              <w:t>˟</w:t>
            </w:r>
          </w:p>
        </w:tc>
        <w:tc>
          <w:tcPr>
            <w:tcW w:w="272" w:type="pct"/>
            <w:tcBorders>
              <w:top w:val="nil"/>
            </w:tcBorders>
            <w:vAlign w:val="center"/>
          </w:tcPr>
          <w:p w14:paraId="04BC8B71" w14:textId="77777777" w:rsidR="00E45731" w:rsidRPr="004C78D8" w:rsidRDefault="00E45731" w:rsidP="00FB7C1F">
            <w:pPr>
              <w:spacing w:after="0"/>
              <w:jc w:val="center"/>
              <w:rPr>
                <w:sz w:val="28"/>
                <w:szCs w:val="28"/>
              </w:rPr>
            </w:pPr>
          </w:p>
        </w:tc>
        <w:tc>
          <w:tcPr>
            <w:tcW w:w="306" w:type="pct"/>
            <w:tcBorders>
              <w:top w:val="nil"/>
            </w:tcBorders>
            <w:vAlign w:val="center"/>
          </w:tcPr>
          <w:p w14:paraId="503E1DA1" w14:textId="77777777" w:rsidR="00E45731" w:rsidRPr="004C78D8" w:rsidRDefault="00E45731" w:rsidP="00FB7C1F">
            <w:pPr>
              <w:spacing w:after="0"/>
              <w:jc w:val="center"/>
              <w:rPr>
                <w:sz w:val="28"/>
                <w:szCs w:val="28"/>
              </w:rPr>
            </w:pPr>
            <w:r w:rsidRPr="004C78D8">
              <w:rPr>
                <w:sz w:val="28"/>
                <w:szCs w:val="28"/>
              </w:rPr>
              <w:t>˟</w:t>
            </w:r>
          </w:p>
        </w:tc>
        <w:tc>
          <w:tcPr>
            <w:tcW w:w="400" w:type="pct"/>
            <w:tcBorders>
              <w:top w:val="nil"/>
            </w:tcBorders>
            <w:vAlign w:val="center"/>
          </w:tcPr>
          <w:p w14:paraId="7A039070" w14:textId="77777777" w:rsidR="00E45731" w:rsidRPr="004C78D8" w:rsidRDefault="00E45731" w:rsidP="00FB7C1F">
            <w:pPr>
              <w:spacing w:after="0"/>
              <w:jc w:val="center"/>
              <w:rPr>
                <w:sz w:val="28"/>
                <w:szCs w:val="28"/>
              </w:rPr>
            </w:pPr>
            <w:r w:rsidRPr="004C78D8">
              <w:rPr>
                <w:sz w:val="28"/>
                <w:szCs w:val="28"/>
              </w:rPr>
              <w:t>˟</w:t>
            </w:r>
          </w:p>
        </w:tc>
        <w:tc>
          <w:tcPr>
            <w:tcW w:w="326" w:type="pct"/>
            <w:tcBorders>
              <w:top w:val="nil"/>
            </w:tcBorders>
            <w:vAlign w:val="center"/>
          </w:tcPr>
          <w:p w14:paraId="75C9088D" w14:textId="77777777" w:rsidR="00E45731" w:rsidRPr="004C78D8" w:rsidRDefault="00E45731" w:rsidP="00FB7C1F">
            <w:pPr>
              <w:spacing w:after="0"/>
              <w:jc w:val="center"/>
              <w:rPr>
                <w:sz w:val="28"/>
                <w:szCs w:val="28"/>
              </w:rPr>
            </w:pPr>
          </w:p>
        </w:tc>
        <w:tc>
          <w:tcPr>
            <w:tcW w:w="295" w:type="pct"/>
            <w:tcBorders>
              <w:top w:val="nil"/>
            </w:tcBorders>
            <w:vAlign w:val="center"/>
          </w:tcPr>
          <w:p w14:paraId="3C5A10C5" w14:textId="77777777" w:rsidR="00E45731" w:rsidRPr="004C78D8" w:rsidRDefault="00E45731" w:rsidP="00FB7C1F">
            <w:pPr>
              <w:spacing w:after="0"/>
              <w:jc w:val="center"/>
              <w:rPr>
                <w:sz w:val="28"/>
                <w:szCs w:val="28"/>
              </w:rPr>
            </w:pPr>
            <w:r w:rsidRPr="004C78D8">
              <w:rPr>
                <w:sz w:val="28"/>
                <w:szCs w:val="28"/>
              </w:rPr>
              <w:t>˟</w:t>
            </w:r>
          </w:p>
        </w:tc>
        <w:tc>
          <w:tcPr>
            <w:tcW w:w="357" w:type="pct"/>
            <w:tcBorders>
              <w:top w:val="nil"/>
            </w:tcBorders>
            <w:vAlign w:val="center"/>
          </w:tcPr>
          <w:p w14:paraId="66421FAB" w14:textId="77777777" w:rsidR="00E45731" w:rsidRPr="004C78D8" w:rsidRDefault="00E45731" w:rsidP="00FB7C1F">
            <w:pPr>
              <w:spacing w:after="0"/>
              <w:jc w:val="center"/>
              <w:rPr>
                <w:sz w:val="18"/>
                <w:szCs w:val="18"/>
              </w:rPr>
            </w:pPr>
            <w:r w:rsidRPr="004C78D8">
              <w:rPr>
                <w:sz w:val="18"/>
                <w:szCs w:val="18"/>
              </w:rPr>
              <w:t>Internal tool</w:t>
            </w:r>
          </w:p>
        </w:tc>
      </w:tr>
      <w:tr w:rsidR="00E45731" w:rsidRPr="004C78D8" w14:paraId="489F9E0D" w14:textId="77777777" w:rsidTr="002828C1">
        <w:tc>
          <w:tcPr>
            <w:tcW w:w="5000" w:type="pct"/>
            <w:gridSpan w:val="14"/>
          </w:tcPr>
          <w:p w14:paraId="6DA0B07D" w14:textId="77777777" w:rsidR="00E45731" w:rsidRPr="004C78D8" w:rsidRDefault="00E45731" w:rsidP="00FB7C1F">
            <w:pPr>
              <w:spacing w:after="0"/>
              <w:jc w:val="left"/>
            </w:pPr>
            <w:r w:rsidRPr="004C78D8">
              <w:rPr>
                <w:b/>
                <w:i/>
                <w:sz w:val="20"/>
                <w:szCs w:val="20"/>
              </w:rPr>
              <w:t>Use of published epidemiological evidence or expert opinion</w:t>
            </w:r>
          </w:p>
        </w:tc>
      </w:tr>
      <w:tr w:rsidR="00E45731" w:rsidRPr="004C78D8" w14:paraId="79BBEF7D" w14:textId="77777777" w:rsidTr="002828C1">
        <w:tc>
          <w:tcPr>
            <w:tcW w:w="458" w:type="pct"/>
          </w:tcPr>
          <w:p w14:paraId="2E7F2F44" w14:textId="77777777" w:rsidR="00E45731" w:rsidRPr="004C78D8" w:rsidRDefault="00E45731" w:rsidP="00FB7C1F">
            <w:pPr>
              <w:spacing w:after="0"/>
              <w:jc w:val="left"/>
              <w:rPr>
                <w:sz w:val="18"/>
                <w:szCs w:val="18"/>
              </w:rPr>
            </w:pPr>
            <w:r w:rsidRPr="004C78D8">
              <w:rPr>
                <w:sz w:val="18"/>
                <w:szCs w:val="18"/>
              </w:rPr>
              <w:t>Agartioglu (2020)</w:t>
            </w:r>
          </w:p>
        </w:tc>
        <w:tc>
          <w:tcPr>
            <w:tcW w:w="715" w:type="pct"/>
          </w:tcPr>
          <w:p w14:paraId="604515AC" w14:textId="77777777" w:rsidR="00E45731" w:rsidRPr="004C78D8" w:rsidRDefault="00E45731" w:rsidP="00FB7C1F">
            <w:pPr>
              <w:spacing w:after="0"/>
              <w:jc w:val="left"/>
              <w:rPr>
                <w:sz w:val="18"/>
                <w:szCs w:val="18"/>
              </w:rPr>
            </w:pPr>
            <w:r w:rsidRPr="004C78D8">
              <w:rPr>
                <w:sz w:val="18"/>
                <w:szCs w:val="18"/>
              </w:rPr>
              <w:t>Any fall; MA fall; Hospitalised fall; Different injuries</w:t>
            </w:r>
          </w:p>
        </w:tc>
        <w:tc>
          <w:tcPr>
            <w:tcW w:w="3828" w:type="pct"/>
            <w:gridSpan w:val="12"/>
            <w:tcBorders>
              <w:bottom w:val="nil"/>
            </w:tcBorders>
            <w:vAlign w:val="center"/>
          </w:tcPr>
          <w:p w14:paraId="555D5CBF" w14:textId="77777777" w:rsidR="00E45731" w:rsidRPr="004C78D8" w:rsidRDefault="00E45731" w:rsidP="00FB7C1F">
            <w:pPr>
              <w:spacing w:after="0"/>
              <w:jc w:val="center"/>
            </w:pPr>
            <w:r w:rsidRPr="004C78D8">
              <w:rPr>
                <w:i/>
                <w:sz w:val="18"/>
                <w:szCs w:val="18"/>
              </w:rPr>
              <w:t>Single risk</w:t>
            </w:r>
          </w:p>
        </w:tc>
      </w:tr>
      <w:tr w:rsidR="00E45731" w:rsidRPr="004C78D8" w14:paraId="55C98870" w14:textId="77777777" w:rsidTr="002828C1">
        <w:tc>
          <w:tcPr>
            <w:tcW w:w="458" w:type="pct"/>
          </w:tcPr>
          <w:p w14:paraId="39DF8206" w14:textId="77777777" w:rsidR="00E45731" w:rsidRPr="004C78D8" w:rsidRDefault="00E45731" w:rsidP="00FB7C1F">
            <w:pPr>
              <w:spacing w:after="0"/>
              <w:jc w:val="left"/>
              <w:rPr>
                <w:sz w:val="18"/>
                <w:szCs w:val="18"/>
              </w:rPr>
            </w:pPr>
            <w:r w:rsidRPr="004C78D8">
              <w:rPr>
                <w:sz w:val="18"/>
                <w:szCs w:val="18"/>
              </w:rPr>
              <w:t>Carande-Kulis (2015)</w:t>
            </w:r>
          </w:p>
        </w:tc>
        <w:tc>
          <w:tcPr>
            <w:tcW w:w="715" w:type="pct"/>
          </w:tcPr>
          <w:p w14:paraId="4E8C0482" w14:textId="77777777" w:rsidR="00E45731" w:rsidRPr="004C78D8" w:rsidRDefault="00E45731" w:rsidP="00FB7C1F">
            <w:pPr>
              <w:spacing w:after="0"/>
              <w:jc w:val="left"/>
              <w:rPr>
                <w:sz w:val="18"/>
                <w:szCs w:val="18"/>
              </w:rPr>
            </w:pPr>
            <w:r w:rsidRPr="004C78D8">
              <w:rPr>
                <w:sz w:val="18"/>
                <w:szCs w:val="18"/>
              </w:rPr>
              <w:t>Any fall; Falls healthcare cost</w:t>
            </w:r>
          </w:p>
        </w:tc>
        <w:tc>
          <w:tcPr>
            <w:tcW w:w="255" w:type="pct"/>
            <w:tcBorders>
              <w:top w:val="nil"/>
              <w:bottom w:val="nil"/>
            </w:tcBorders>
            <w:vAlign w:val="center"/>
          </w:tcPr>
          <w:p w14:paraId="6C95D161" w14:textId="77777777" w:rsidR="00E45731" w:rsidRPr="004C78D8" w:rsidRDefault="00E45731" w:rsidP="00FB7C1F">
            <w:pPr>
              <w:spacing w:after="0"/>
              <w:jc w:val="center"/>
              <w:rPr>
                <w:sz w:val="28"/>
                <w:szCs w:val="28"/>
              </w:rPr>
            </w:pPr>
            <w:r w:rsidRPr="004C78D8">
              <w:rPr>
                <w:sz w:val="28"/>
                <w:szCs w:val="28"/>
              </w:rPr>
              <w:t>˟</w:t>
            </w:r>
          </w:p>
        </w:tc>
        <w:tc>
          <w:tcPr>
            <w:tcW w:w="255" w:type="pct"/>
            <w:tcBorders>
              <w:top w:val="nil"/>
              <w:bottom w:val="nil"/>
            </w:tcBorders>
            <w:vAlign w:val="center"/>
          </w:tcPr>
          <w:p w14:paraId="4A8E747E" w14:textId="77777777" w:rsidR="00E45731" w:rsidRPr="004C78D8" w:rsidRDefault="00E45731" w:rsidP="00FB7C1F">
            <w:pPr>
              <w:spacing w:after="0"/>
              <w:jc w:val="center"/>
              <w:rPr>
                <w:sz w:val="28"/>
                <w:szCs w:val="28"/>
              </w:rPr>
            </w:pPr>
          </w:p>
        </w:tc>
        <w:tc>
          <w:tcPr>
            <w:tcW w:w="357" w:type="pct"/>
            <w:tcBorders>
              <w:top w:val="nil"/>
              <w:bottom w:val="nil"/>
            </w:tcBorders>
            <w:vAlign w:val="center"/>
          </w:tcPr>
          <w:p w14:paraId="5617E229" w14:textId="77777777" w:rsidR="00E45731" w:rsidRPr="004C78D8" w:rsidRDefault="00E45731" w:rsidP="00FB7C1F">
            <w:pPr>
              <w:spacing w:after="0"/>
              <w:jc w:val="center"/>
            </w:pPr>
          </w:p>
        </w:tc>
        <w:tc>
          <w:tcPr>
            <w:tcW w:w="352" w:type="pct"/>
            <w:tcBorders>
              <w:top w:val="nil"/>
              <w:bottom w:val="nil"/>
            </w:tcBorders>
            <w:vAlign w:val="center"/>
          </w:tcPr>
          <w:p w14:paraId="6D4C174F" w14:textId="77777777" w:rsidR="00E45731" w:rsidRPr="004C78D8" w:rsidRDefault="00E45731" w:rsidP="00FB7C1F">
            <w:pPr>
              <w:spacing w:after="0"/>
              <w:jc w:val="center"/>
            </w:pPr>
          </w:p>
        </w:tc>
        <w:tc>
          <w:tcPr>
            <w:tcW w:w="326" w:type="pct"/>
            <w:tcBorders>
              <w:top w:val="nil"/>
              <w:bottom w:val="nil"/>
            </w:tcBorders>
            <w:vAlign w:val="center"/>
          </w:tcPr>
          <w:p w14:paraId="1B27186E" w14:textId="77777777" w:rsidR="00E45731" w:rsidRPr="004C78D8" w:rsidRDefault="00E45731" w:rsidP="00FB7C1F">
            <w:pPr>
              <w:spacing w:after="0"/>
              <w:jc w:val="center"/>
            </w:pPr>
          </w:p>
        </w:tc>
        <w:tc>
          <w:tcPr>
            <w:tcW w:w="326" w:type="pct"/>
            <w:tcBorders>
              <w:top w:val="nil"/>
              <w:bottom w:val="nil"/>
            </w:tcBorders>
            <w:vAlign w:val="center"/>
          </w:tcPr>
          <w:p w14:paraId="45E0E8A3" w14:textId="77777777" w:rsidR="00E45731" w:rsidRPr="004C78D8" w:rsidRDefault="00E45731" w:rsidP="00FB7C1F">
            <w:pPr>
              <w:spacing w:after="0"/>
              <w:jc w:val="center"/>
            </w:pPr>
          </w:p>
        </w:tc>
        <w:tc>
          <w:tcPr>
            <w:tcW w:w="272" w:type="pct"/>
            <w:tcBorders>
              <w:top w:val="nil"/>
              <w:bottom w:val="nil"/>
            </w:tcBorders>
            <w:vAlign w:val="center"/>
          </w:tcPr>
          <w:p w14:paraId="6049834A" w14:textId="77777777" w:rsidR="00E45731" w:rsidRPr="004C78D8" w:rsidRDefault="00E45731" w:rsidP="00FB7C1F">
            <w:pPr>
              <w:spacing w:after="0"/>
              <w:jc w:val="center"/>
            </w:pPr>
          </w:p>
        </w:tc>
        <w:tc>
          <w:tcPr>
            <w:tcW w:w="306" w:type="pct"/>
            <w:tcBorders>
              <w:top w:val="nil"/>
              <w:bottom w:val="nil"/>
            </w:tcBorders>
            <w:vAlign w:val="center"/>
          </w:tcPr>
          <w:p w14:paraId="7F3E920F" w14:textId="77777777" w:rsidR="00E45731" w:rsidRPr="004C78D8" w:rsidRDefault="00E45731" w:rsidP="00FB7C1F">
            <w:pPr>
              <w:spacing w:after="0"/>
              <w:jc w:val="center"/>
            </w:pPr>
          </w:p>
        </w:tc>
        <w:tc>
          <w:tcPr>
            <w:tcW w:w="400" w:type="pct"/>
            <w:tcBorders>
              <w:top w:val="nil"/>
              <w:bottom w:val="nil"/>
            </w:tcBorders>
            <w:vAlign w:val="center"/>
          </w:tcPr>
          <w:p w14:paraId="1E764409" w14:textId="77777777" w:rsidR="00E45731" w:rsidRPr="004C78D8" w:rsidRDefault="00E45731" w:rsidP="00FB7C1F">
            <w:pPr>
              <w:spacing w:after="0"/>
              <w:jc w:val="center"/>
            </w:pPr>
          </w:p>
        </w:tc>
        <w:tc>
          <w:tcPr>
            <w:tcW w:w="326" w:type="pct"/>
            <w:tcBorders>
              <w:top w:val="nil"/>
              <w:bottom w:val="nil"/>
            </w:tcBorders>
            <w:vAlign w:val="center"/>
          </w:tcPr>
          <w:p w14:paraId="3A1CC70A" w14:textId="77777777" w:rsidR="00E45731" w:rsidRPr="004C78D8" w:rsidRDefault="00E45731" w:rsidP="00FB7C1F">
            <w:pPr>
              <w:spacing w:after="0"/>
              <w:jc w:val="center"/>
            </w:pPr>
          </w:p>
        </w:tc>
        <w:tc>
          <w:tcPr>
            <w:tcW w:w="295" w:type="pct"/>
            <w:tcBorders>
              <w:top w:val="nil"/>
              <w:bottom w:val="nil"/>
            </w:tcBorders>
            <w:vAlign w:val="center"/>
          </w:tcPr>
          <w:p w14:paraId="7D0CA631" w14:textId="77777777" w:rsidR="00E45731" w:rsidRPr="004C78D8" w:rsidRDefault="00E45731" w:rsidP="00FB7C1F">
            <w:pPr>
              <w:spacing w:after="0"/>
              <w:jc w:val="center"/>
            </w:pPr>
          </w:p>
        </w:tc>
        <w:tc>
          <w:tcPr>
            <w:tcW w:w="357" w:type="pct"/>
            <w:tcBorders>
              <w:top w:val="nil"/>
              <w:bottom w:val="nil"/>
            </w:tcBorders>
            <w:vAlign w:val="center"/>
          </w:tcPr>
          <w:p w14:paraId="6950A4A7" w14:textId="77777777" w:rsidR="00E45731" w:rsidRPr="004C78D8" w:rsidRDefault="00E45731" w:rsidP="00FB7C1F">
            <w:pPr>
              <w:spacing w:after="0"/>
              <w:jc w:val="center"/>
            </w:pPr>
          </w:p>
        </w:tc>
      </w:tr>
      <w:tr w:rsidR="00E45731" w:rsidRPr="004C78D8" w14:paraId="4F5DFA42" w14:textId="77777777" w:rsidTr="002828C1">
        <w:tc>
          <w:tcPr>
            <w:tcW w:w="458" w:type="pct"/>
            <w:vMerge w:val="restart"/>
          </w:tcPr>
          <w:p w14:paraId="2F840E80" w14:textId="77777777" w:rsidR="00E45731" w:rsidRPr="004C78D8" w:rsidRDefault="00E45731" w:rsidP="00FB7C1F">
            <w:pPr>
              <w:spacing w:after="0"/>
              <w:jc w:val="left"/>
              <w:rPr>
                <w:sz w:val="18"/>
                <w:szCs w:val="18"/>
              </w:rPr>
            </w:pPr>
            <w:r w:rsidRPr="004C78D8">
              <w:rPr>
                <w:sz w:val="18"/>
                <w:szCs w:val="18"/>
              </w:rPr>
              <w:t>CSP (2016)</w:t>
            </w:r>
          </w:p>
        </w:tc>
        <w:tc>
          <w:tcPr>
            <w:tcW w:w="715" w:type="pct"/>
          </w:tcPr>
          <w:p w14:paraId="782D07DC" w14:textId="77777777" w:rsidR="00E45731" w:rsidRPr="004C78D8" w:rsidRDefault="00E45731" w:rsidP="00FB7C1F">
            <w:pPr>
              <w:spacing w:after="0"/>
              <w:jc w:val="left"/>
              <w:rPr>
                <w:sz w:val="18"/>
                <w:szCs w:val="18"/>
              </w:rPr>
            </w:pPr>
            <w:r w:rsidRPr="004C78D8">
              <w:rPr>
                <w:sz w:val="18"/>
                <w:szCs w:val="18"/>
              </w:rPr>
              <w:t>Any fall; Recurrent fall</w:t>
            </w:r>
          </w:p>
        </w:tc>
        <w:tc>
          <w:tcPr>
            <w:tcW w:w="255" w:type="pct"/>
            <w:tcBorders>
              <w:top w:val="nil"/>
              <w:bottom w:val="nil"/>
            </w:tcBorders>
            <w:vAlign w:val="center"/>
          </w:tcPr>
          <w:p w14:paraId="72936813" w14:textId="77777777" w:rsidR="00E45731" w:rsidRPr="004C78D8" w:rsidRDefault="00E45731" w:rsidP="00FB7C1F">
            <w:pPr>
              <w:spacing w:after="0"/>
              <w:jc w:val="center"/>
              <w:rPr>
                <w:sz w:val="28"/>
                <w:szCs w:val="28"/>
              </w:rPr>
            </w:pPr>
            <w:r w:rsidRPr="004C78D8">
              <w:rPr>
                <w:sz w:val="28"/>
                <w:szCs w:val="28"/>
              </w:rPr>
              <w:t>˟</w:t>
            </w:r>
          </w:p>
        </w:tc>
        <w:tc>
          <w:tcPr>
            <w:tcW w:w="255" w:type="pct"/>
            <w:tcBorders>
              <w:top w:val="nil"/>
              <w:bottom w:val="nil"/>
            </w:tcBorders>
            <w:vAlign w:val="center"/>
          </w:tcPr>
          <w:p w14:paraId="1C0C8323" w14:textId="77777777" w:rsidR="00E45731" w:rsidRPr="004C78D8" w:rsidRDefault="00E45731" w:rsidP="00FB7C1F">
            <w:pPr>
              <w:spacing w:after="0"/>
              <w:jc w:val="center"/>
              <w:rPr>
                <w:sz w:val="28"/>
                <w:szCs w:val="28"/>
              </w:rPr>
            </w:pPr>
            <w:r w:rsidRPr="004C78D8">
              <w:rPr>
                <w:sz w:val="28"/>
                <w:szCs w:val="28"/>
              </w:rPr>
              <w:t>˟</w:t>
            </w:r>
          </w:p>
        </w:tc>
        <w:tc>
          <w:tcPr>
            <w:tcW w:w="357" w:type="pct"/>
            <w:tcBorders>
              <w:top w:val="nil"/>
              <w:bottom w:val="nil"/>
            </w:tcBorders>
            <w:vAlign w:val="center"/>
          </w:tcPr>
          <w:p w14:paraId="270F8E4A" w14:textId="77777777" w:rsidR="00E45731" w:rsidRPr="004C78D8" w:rsidRDefault="00E45731" w:rsidP="00FB7C1F">
            <w:pPr>
              <w:spacing w:after="0"/>
              <w:jc w:val="center"/>
            </w:pPr>
          </w:p>
        </w:tc>
        <w:tc>
          <w:tcPr>
            <w:tcW w:w="352" w:type="pct"/>
            <w:tcBorders>
              <w:top w:val="nil"/>
              <w:bottom w:val="nil"/>
            </w:tcBorders>
            <w:vAlign w:val="center"/>
          </w:tcPr>
          <w:p w14:paraId="1AD265AE" w14:textId="77777777" w:rsidR="00E45731" w:rsidRPr="004C78D8" w:rsidRDefault="00E45731" w:rsidP="00FB7C1F">
            <w:pPr>
              <w:spacing w:after="0"/>
              <w:jc w:val="center"/>
            </w:pPr>
          </w:p>
        </w:tc>
        <w:tc>
          <w:tcPr>
            <w:tcW w:w="326" w:type="pct"/>
            <w:tcBorders>
              <w:top w:val="nil"/>
              <w:bottom w:val="nil"/>
            </w:tcBorders>
            <w:vAlign w:val="center"/>
          </w:tcPr>
          <w:p w14:paraId="149391EA" w14:textId="77777777" w:rsidR="00E45731" w:rsidRPr="004C78D8" w:rsidRDefault="00E45731" w:rsidP="00FB7C1F">
            <w:pPr>
              <w:spacing w:after="0"/>
              <w:jc w:val="center"/>
            </w:pPr>
          </w:p>
        </w:tc>
        <w:tc>
          <w:tcPr>
            <w:tcW w:w="326" w:type="pct"/>
            <w:tcBorders>
              <w:top w:val="nil"/>
              <w:bottom w:val="nil"/>
            </w:tcBorders>
            <w:vAlign w:val="center"/>
          </w:tcPr>
          <w:p w14:paraId="7C517F58" w14:textId="77777777" w:rsidR="00E45731" w:rsidRPr="004C78D8" w:rsidRDefault="00E45731" w:rsidP="00FB7C1F">
            <w:pPr>
              <w:spacing w:after="0"/>
              <w:jc w:val="center"/>
            </w:pPr>
          </w:p>
        </w:tc>
        <w:tc>
          <w:tcPr>
            <w:tcW w:w="272" w:type="pct"/>
            <w:tcBorders>
              <w:top w:val="nil"/>
              <w:bottom w:val="nil"/>
            </w:tcBorders>
            <w:vAlign w:val="center"/>
          </w:tcPr>
          <w:p w14:paraId="5D8F3BCB" w14:textId="77777777" w:rsidR="00E45731" w:rsidRPr="004C78D8" w:rsidRDefault="00E45731" w:rsidP="00FB7C1F">
            <w:pPr>
              <w:spacing w:after="0"/>
              <w:jc w:val="center"/>
            </w:pPr>
          </w:p>
        </w:tc>
        <w:tc>
          <w:tcPr>
            <w:tcW w:w="306" w:type="pct"/>
            <w:tcBorders>
              <w:top w:val="nil"/>
              <w:bottom w:val="nil"/>
            </w:tcBorders>
            <w:vAlign w:val="center"/>
          </w:tcPr>
          <w:p w14:paraId="5AF5B914" w14:textId="77777777" w:rsidR="00E45731" w:rsidRPr="004C78D8" w:rsidRDefault="00E45731" w:rsidP="00FB7C1F">
            <w:pPr>
              <w:spacing w:after="0"/>
              <w:jc w:val="center"/>
            </w:pPr>
          </w:p>
        </w:tc>
        <w:tc>
          <w:tcPr>
            <w:tcW w:w="400" w:type="pct"/>
            <w:tcBorders>
              <w:top w:val="nil"/>
              <w:bottom w:val="nil"/>
            </w:tcBorders>
            <w:vAlign w:val="center"/>
          </w:tcPr>
          <w:p w14:paraId="1FCA2868" w14:textId="77777777" w:rsidR="00E45731" w:rsidRPr="004C78D8" w:rsidRDefault="00E45731" w:rsidP="00FB7C1F">
            <w:pPr>
              <w:spacing w:after="0"/>
              <w:jc w:val="center"/>
            </w:pPr>
          </w:p>
        </w:tc>
        <w:tc>
          <w:tcPr>
            <w:tcW w:w="326" w:type="pct"/>
            <w:tcBorders>
              <w:top w:val="nil"/>
              <w:bottom w:val="nil"/>
            </w:tcBorders>
            <w:vAlign w:val="center"/>
          </w:tcPr>
          <w:p w14:paraId="297CE617" w14:textId="77777777" w:rsidR="00E45731" w:rsidRPr="004C78D8" w:rsidRDefault="00E45731" w:rsidP="00FB7C1F">
            <w:pPr>
              <w:spacing w:after="0"/>
              <w:jc w:val="center"/>
            </w:pPr>
          </w:p>
        </w:tc>
        <w:tc>
          <w:tcPr>
            <w:tcW w:w="295" w:type="pct"/>
            <w:tcBorders>
              <w:top w:val="nil"/>
              <w:bottom w:val="nil"/>
            </w:tcBorders>
            <w:vAlign w:val="center"/>
          </w:tcPr>
          <w:p w14:paraId="3793BEB2" w14:textId="77777777" w:rsidR="00E45731" w:rsidRPr="004C78D8" w:rsidRDefault="00E45731" w:rsidP="00FB7C1F">
            <w:pPr>
              <w:spacing w:after="0"/>
              <w:jc w:val="center"/>
            </w:pPr>
          </w:p>
        </w:tc>
        <w:tc>
          <w:tcPr>
            <w:tcW w:w="357" w:type="pct"/>
            <w:tcBorders>
              <w:top w:val="nil"/>
              <w:bottom w:val="nil"/>
            </w:tcBorders>
            <w:vAlign w:val="center"/>
          </w:tcPr>
          <w:p w14:paraId="3A07914D" w14:textId="77777777" w:rsidR="00E45731" w:rsidRPr="004C78D8" w:rsidRDefault="00E45731" w:rsidP="00FB7C1F">
            <w:pPr>
              <w:spacing w:after="0"/>
              <w:jc w:val="center"/>
            </w:pPr>
          </w:p>
        </w:tc>
      </w:tr>
      <w:tr w:rsidR="00E45731" w:rsidRPr="004C78D8" w14:paraId="2DA20DCD" w14:textId="77777777" w:rsidTr="002828C1">
        <w:tc>
          <w:tcPr>
            <w:tcW w:w="458" w:type="pct"/>
            <w:vMerge/>
          </w:tcPr>
          <w:p w14:paraId="63569429" w14:textId="77777777" w:rsidR="00E45731" w:rsidRPr="004C78D8" w:rsidRDefault="00E45731" w:rsidP="00FB7C1F">
            <w:pPr>
              <w:widowControl w:val="0"/>
              <w:pBdr>
                <w:top w:val="nil"/>
                <w:left w:val="nil"/>
                <w:bottom w:val="nil"/>
                <w:right w:val="nil"/>
                <w:between w:val="nil"/>
              </w:pBdr>
              <w:spacing w:after="0" w:line="276" w:lineRule="auto"/>
              <w:jc w:val="left"/>
            </w:pPr>
          </w:p>
        </w:tc>
        <w:tc>
          <w:tcPr>
            <w:tcW w:w="715" w:type="pct"/>
          </w:tcPr>
          <w:p w14:paraId="0B7ECF1A" w14:textId="77777777" w:rsidR="00E45731" w:rsidRPr="004C78D8" w:rsidRDefault="00E45731" w:rsidP="00FB7C1F">
            <w:pPr>
              <w:spacing w:after="0"/>
              <w:jc w:val="left"/>
              <w:rPr>
                <w:sz w:val="18"/>
                <w:szCs w:val="18"/>
              </w:rPr>
            </w:pPr>
            <w:r w:rsidRPr="004C78D8">
              <w:rPr>
                <w:sz w:val="18"/>
                <w:szCs w:val="18"/>
              </w:rPr>
              <w:t>Any fall</w:t>
            </w:r>
          </w:p>
        </w:tc>
        <w:tc>
          <w:tcPr>
            <w:tcW w:w="255" w:type="pct"/>
            <w:tcBorders>
              <w:top w:val="nil"/>
              <w:bottom w:val="nil"/>
            </w:tcBorders>
            <w:vAlign w:val="center"/>
          </w:tcPr>
          <w:p w14:paraId="1ADBC2A2" w14:textId="77777777" w:rsidR="00E45731" w:rsidRPr="004C78D8" w:rsidRDefault="00E45731" w:rsidP="00FB7C1F">
            <w:pPr>
              <w:spacing w:after="0"/>
              <w:jc w:val="center"/>
              <w:rPr>
                <w:sz w:val="28"/>
                <w:szCs w:val="28"/>
              </w:rPr>
            </w:pPr>
          </w:p>
        </w:tc>
        <w:tc>
          <w:tcPr>
            <w:tcW w:w="255" w:type="pct"/>
            <w:tcBorders>
              <w:top w:val="nil"/>
              <w:bottom w:val="nil"/>
            </w:tcBorders>
            <w:vAlign w:val="center"/>
          </w:tcPr>
          <w:p w14:paraId="7BC67E70" w14:textId="77777777" w:rsidR="00E45731" w:rsidRPr="004C78D8" w:rsidRDefault="00E45731" w:rsidP="00FB7C1F">
            <w:pPr>
              <w:spacing w:after="0"/>
              <w:jc w:val="center"/>
              <w:rPr>
                <w:sz w:val="28"/>
                <w:szCs w:val="28"/>
              </w:rPr>
            </w:pPr>
          </w:p>
        </w:tc>
        <w:tc>
          <w:tcPr>
            <w:tcW w:w="357" w:type="pct"/>
            <w:tcBorders>
              <w:top w:val="nil"/>
              <w:bottom w:val="nil"/>
            </w:tcBorders>
            <w:vAlign w:val="center"/>
          </w:tcPr>
          <w:p w14:paraId="08ED9ABB" w14:textId="77777777" w:rsidR="00E45731" w:rsidRPr="004C78D8" w:rsidRDefault="00E45731" w:rsidP="00FB7C1F">
            <w:pPr>
              <w:spacing w:after="0"/>
              <w:jc w:val="center"/>
            </w:pPr>
          </w:p>
        </w:tc>
        <w:tc>
          <w:tcPr>
            <w:tcW w:w="352" w:type="pct"/>
            <w:tcBorders>
              <w:top w:val="nil"/>
              <w:bottom w:val="nil"/>
            </w:tcBorders>
            <w:vAlign w:val="center"/>
          </w:tcPr>
          <w:p w14:paraId="1E55BE25" w14:textId="77777777" w:rsidR="00E45731" w:rsidRPr="004C78D8" w:rsidRDefault="00E45731" w:rsidP="00FB7C1F">
            <w:pPr>
              <w:spacing w:after="0"/>
              <w:jc w:val="center"/>
            </w:pPr>
          </w:p>
        </w:tc>
        <w:tc>
          <w:tcPr>
            <w:tcW w:w="326" w:type="pct"/>
            <w:tcBorders>
              <w:top w:val="nil"/>
              <w:bottom w:val="nil"/>
            </w:tcBorders>
            <w:vAlign w:val="center"/>
          </w:tcPr>
          <w:p w14:paraId="5A6C4C7C" w14:textId="77777777" w:rsidR="00E45731" w:rsidRPr="004C78D8" w:rsidRDefault="00E45731" w:rsidP="00FB7C1F">
            <w:pPr>
              <w:spacing w:after="0"/>
              <w:jc w:val="center"/>
            </w:pPr>
          </w:p>
        </w:tc>
        <w:tc>
          <w:tcPr>
            <w:tcW w:w="326" w:type="pct"/>
            <w:tcBorders>
              <w:top w:val="nil"/>
              <w:bottom w:val="nil"/>
            </w:tcBorders>
            <w:vAlign w:val="center"/>
          </w:tcPr>
          <w:p w14:paraId="07BF0FFC" w14:textId="77777777" w:rsidR="00E45731" w:rsidRPr="004C78D8" w:rsidRDefault="00E45731" w:rsidP="00FB7C1F">
            <w:pPr>
              <w:spacing w:after="0"/>
              <w:jc w:val="center"/>
            </w:pPr>
          </w:p>
        </w:tc>
        <w:tc>
          <w:tcPr>
            <w:tcW w:w="272" w:type="pct"/>
            <w:tcBorders>
              <w:top w:val="nil"/>
              <w:bottom w:val="nil"/>
            </w:tcBorders>
            <w:vAlign w:val="center"/>
          </w:tcPr>
          <w:p w14:paraId="47D4EF58" w14:textId="77777777" w:rsidR="00E45731" w:rsidRPr="004C78D8" w:rsidRDefault="00E45731" w:rsidP="00FB7C1F">
            <w:pPr>
              <w:spacing w:after="0"/>
              <w:jc w:val="center"/>
            </w:pPr>
          </w:p>
        </w:tc>
        <w:tc>
          <w:tcPr>
            <w:tcW w:w="306" w:type="pct"/>
            <w:tcBorders>
              <w:top w:val="nil"/>
              <w:bottom w:val="nil"/>
            </w:tcBorders>
            <w:vAlign w:val="center"/>
          </w:tcPr>
          <w:p w14:paraId="4EEED0AB" w14:textId="77777777" w:rsidR="00E45731" w:rsidRPr="004C78D8" w:rsidRDefault="00E45731" w:rsidP="00FB7C1F">
            <w:pPr>
              <w:spacing w:after="0"/>
              <w:jc w:val="center"/>
            </w:pPr>
          </w:p>
        </w:tc>
        <w:tc>
          <w:tcPr>
            <w:tcW w:w="400" w:type="pct"/>
            <w:tcBorders>
              <w:top w:val="nil"/>
              <w:bottom w:val="nil"/>
            </w:tcBorders>
            <w:vAlign w:val="center"/>
          </w:tcPr>
          <w:p w14:paraId="3AC817D3" w14:textId="77777777" w:rsidR="00E45731" w:rsidRPr="004C78D8" w:rsidRDefault="00E45731" w:rsidP="00FB7C1F">
            <w:pPr>
              <w:spacing w:after="0"/>
              <w:jc w:val="center"/>
            </w:pPr>
          </w:p>
        </w:tc>
        <w:tc>
          <w:tcPr>
            <w:tcW w:w="326" w:type="pct"/>
            <w:tcBorders>
              <w:top w:val="nil"/>
              <w:bottom w:val="nil"/>
            </w:tcBorders>
            <w:vAlign w:val="center"/>
          </w:tcPr>
          <w:p w14:paraId="2946BC1E" w14:textId="77777777" w:rsidR="00E45731" w:rsidRPr="004C78D8" w:rsidRDefault="00E45731" w:rsidP="00FB7C1F">
            <w:pPr>
              <w:spacing w:after="0"/>
              <w:jc w:val="center"/>
            </w:pPr>
          </w:p>
        </w:tc>
        <w:tc>
          <w:tcPr>
            <w:tcW w:w="295" w:type="pct"/>
            <w:tcBorders>
              <w:top w:val="nil"/>
              <w:bottom w:val="nil"/>
            </w:tcBorders>
            <w:vAlign w:val="center"/>
          </w:tcPr>
          <w:p w14:paraId="19AB82CC" w14:textId="77777777" w:rsidR="00E45731" w:rsidRPr="004C78D8" w:rsidRDefault="00E45731" w:rsidP="00FB7C1F">
            <w:pPr>
              <w:spacing w:after="0"/>
              <w:jc w:val="center"/>
              <w:rPr>
                <w:sz w:val="20"/>
                <w:szCs w:val="20"/>
              </w:rPr>
            </w:pPr>
          </w:p>
        </w:tc>
        <w:tc>
          <w:tcPr>
            <w:tcW w:w="357" w:type="pct"/>
            <w:tcBorders>
              <w:top w:val="nil"/>
              <w:bottom w:val="nil"/>
            </w:tcBorders>
            <w:vAlign w:val="center"/>
          </w:tcPr>
          <w:p w14:paraId="63C592EA" w14:textId="77777777" w:rsidR="00E45731" w:rsidRPr="004C78D8" w:rsidRDefault="00E45731" w:rsidP="00FB7C1F">
            <w:pPr>
              <w:spacing w:after="0"/>
              <w:jc w:val="center"/>
              <w:rPr>
                <w:sz w:val="20"/>
                <w:szCs w:val="20"/>
              </w:rPr>
            </w:pPr>
            <w:r w:rsidRPr="004C78D8">
              <w:rPr>
                <w:sz w:val="18"/>
                <w:szCs w:val="18"/>
              </w:rPr>
              <w:t>TUG</w:t>
            </w:r>
          </w:p>
        </w:tc>
      </w:tr>
      <w:tr w:rsidR="00E45731" w:rsidRPr="004C78D8" w14:paraId="09E8A8BD" w14:textId="77777777" w:rsidTr="002828C1">
        <w:tc>
          <w:tcPr>
            <w:tcW w:w="458" w:type="pct"/>
            <w:vMerge/>
          </w:tcPr>
          <w:p w14:paraId="3CF82F70" w14:textId="77777777" w:rsidR="00E45731" w:rsidRPr="004C78D8" w:rsidRDefault="00E45731" w:rsidP="00FB7C1F">
            <w:pPr>
              <w:widowControl w:val="0"/>
              <w:pBdr>
                <w:top w:val="nil"/>
                <w:left w:val="nil"/>
                <w:bottom w:val="nil"/>
                <w:right w:val="nil"/>
                <w:between w:val="nil"/>
              </w:pBdr>
              <w:spacing w:after="0" w:line="276" w:lineRule="auto"/>
              <w:jc w:val="left"/>
              <w:rPr>
                <w:sz w:val="20"/>
                <w:szCs w:val="20"/>
              </w:rPr>
            </w:pPr>
          </w:p>
        </w:tc>
        <w:tc>
          <w:tcPr>
            <w:tcW w:w="715" w:type="pct"/>
          </w:tcPr>
          <w:p w14:paraId="1840BDD9" w14:textId="77777777" w:rsidR="00E45731" w:rsidRPr="004C78D8" w:rsidRDefault="00E45731" w:rsidP="00FB7C1F">
            <w:pPr>
              <w:spacing w:after="0"/>
              <w:jc w:val="left"/>
              <w:rPr>
                <w:sz w:val="18"/>
                <w:szCs w:val="18"/>
              </w:rPr>
            </w:pPr>
            <w:r w:rsidRPr="004C78D8">
              <w:rPr>
                <w:sz w:val="18"/>
                <w:szCs w:val="18"/>
              </w:rPr>
              <w:t>MA fall</w:t>
            </w:r>
          </w:p>
        </w:tc>
        <w:tc>
          <w:tcPr>
            <w:tcW w:w="3828" w:type="pct"/>
            <w:gridSpan w:val="12"/>
            <w:tcBorders>
              <w:top w:val="nil"/>
              <w:bottom w:val="nil"/>
            </w:tcBorders>
            <w:vAlign w:val="center"/>
          </w:tcPr>
          <w:p w14:paraId="06BFDF5D" w14:textId="77777777" w:rsidR="00E45731" w:rsidRPr="004C78D8" w:rsidRDefault="00E45731" w:rsidP="00FB7C1F">
            <w:pPr>
              <w:spacing w:after="0"/>
              <w:jc w:val="center"/>
              <w:rPr>
                <w:sz w:val="20"/>
                <w:szCs w:val="20"/>
              </w:rPr>
            </w:pPr>
            <w:r w:rsidRPr="004C78D8">
              <w:rPr>
                <w:i/>
                <w:sz w:val="18"/>
                <w:szCs w:val="18"/>
              </w:rPr>
              <w:t>Single risk</w:t>
            </w:r>
          </w:p>
        </w:tc>
      </w:tr>
      <w:tr w:rsidR="00E45731" w:rsidRPr="004C78D8" w14:paraId="666C1E76" w14:textId="77777777" w:rsidTr="002828C1">
        <w:tc>
          <w:tcPr>
            <w:tcW w:w="458" w:type="pct"/>
            <w:vMerge/>
          </w:tcPr>
          <w:p w14:paraId="3D9E05BF" w14:textId="77777777" w:rsidR="00E45731" w:rsidRPr="004C78D8" w:rsidRDefault="00E45731" w:rsidP="00FB7C1F">
            <w:pPr>
              <w:widowControl w:val="0"/>
              <w:pBdr>
                <w:top w:val="nil"/>
                <w:left w:val="nil"/>
                <w:bottom w:val="nil"/>
                <w:right w:val="nil"/>
                <w:between w:val="nil"/>
              </w:pBdr>
              <w:spacing w:after="0" w:line="276" w:lineRule="auto"/>
              <w:jc w:val="left"/>
              <w:rPr>
                <w:sz w:val="20"/>
                <w:szCs w:val="20"/>
              </w:rPr>
            </w:pPr>
          </w:p>
        </w:tc>
        <w:tc>
          <w:tcPr>
            <w:tcW w:w="715" w:type="pct"/>
          </w:tcPr>
          <w:p w14:paraId="724F34DE" w14:textId="77777777" w:rsidR="00E45731" w:rsidRPr="004C78D8" w:rsidRDefault="00E45731" w:rsidP="00FB7C1F">
            <w:pPr>
              <w:spacing w:after="0"/>
              <w:jc w:val="left"/>
              <w:rPr>
                <w:sz w:val="18"/>
                <w:szCs w:val="18"/>
              </w:rPr>
            </w:pPr>
            <w:r w:rsidRPr="004C78D8">
              <w:rPr>
                <w:sz w:val="18"/>
                <w:szCs w:val="18"/>
              </w:rPr>
              <w:t>No. of recurrent falls</w:t>
            </w:r>
          </w:p>
        </w:tc>
        <w:tc>
          <w:tcPr>
            <w:tcW w:w="255" w:type="pct"/>
            <w:tcBorders>
              <w:top w:val="nil"/>
              <w:bottom w:val="nil"/>
            </w:tcBorders>
            <w:vAlign w:val="center"/>
          </w:tcPr>
          <w:p w14:paraId="63AC2999" w14:textId="77777777" w:rsidR="00E45731" w:rsidRPr="004C78D8" w:rsidRDefault="00E45731" w:rsidP="00FB7C1F">
            <w:pPr>
              <w:spacing w:after="0"/>
              <w:jc w:val="center"/>
              <w:rPr>
                <w:sz w:val="28"/>
                <w:szCs w:val="28"/>
              </w:rPr>
            </w:pPr>
          </w:p>
        </w:tc>
        <w:tc>
          <w:tcPr>
            <w:tcW w:w="255" w:type="pct"/>
            <w:tcBorders>
              <w:top w:val="nil"/>
              <w:bottom w:val="nil"/>
            </w:tcBorders>
            <w:vAlign w:val="center"/>
          </w:tcPr>
          <w:p w14:paraId="5EC4C3A6" w14:textId="77777777" w:rsidR="00E45731" w:rsidRPr="004C78D8" w:rsidRDefault="00E45731" w:rsidP="00FB7C1F">
            <w:pPr>
              <w:spacing w:after="0"/>
              <w:jc w:val="center"/>
              <w:rPr>
                <w:sz w:val="28"/>
                <w:szCs w:val="28"/>
              </w:rPr>
            </w:pPr>
            <w:r w:rsidRPr="004C78D8">
              <w:rPr>
                <w:sz w:val="28"/>
                <w:szCs w:val="28"/>
              </w:rPr>
              <w:t>˟</w:t>
            </w:r>
          </w:p>
        </w:tc>
        <w:tc>
          <w:tcPr>
            <w:tcW w:w="357" w:type="pct"/>
            <w:tcBorders>
              <w:top w:val="nil"/>
              <w:bottom w:val="nil"/>
            </w:tcBorders>
            <w:vAlign w:val="center"/>
          </w:tcPr>
          <w:p w14:paraId="3D9294D1" w14:textId="77777777" w:rsidR="00E45731" w:rsidRPr="004C78D8" w:rsidRDefault="00E45731" w:rsidP="00FB7C1F">
            <w:pPr>
              <w:spacing w:after="0"/>
              <w:jc w:val="center"/>
            </w:pPr>
          </w:p>
        </w:tc>
        <w:tc>
          <w:tcPr>
            <w:tcW w:w="352" w:type="pct"/>
            <w:tcBorders>
              <w:top w:val="nil"/>
              <w:bottom w:val="nil"/>
            </w:tcBorders>
            <w:vAlign w:val="center"/>
          </w:tcPr>
          <w:p w14:paraId="3B63E3C7" w14:textId="77777777" w:rsidR="00E45731" w:rsidRPr="004C78D8" w:rsidRDefault="00E45731" w:rsidP="00FB7C1F">
            <w:pPr>
              <w:spacing w:after="0"/>
              <w:jc w:val="center"/>
            </w:pPr>
          </w:p>
        </w:tc>
        <w:tc>
          <w:tcPr>
            <w:tcW w:w="326" w:type="pct"/>
            <w:tcBorders>
              <w:top w:val="nil"/>
              <w:bottom w:val="nil"/>
            </w:tcBorders>
            <w:vAlign w:val="center"/>
          </w:tcPr>
          <w:p w14:paraId="02261892" w14:textId="77777777" w:rsidR="00E45731" w:rsidRPr="004C78D8" w:rsidRDefault="00E45731" w:rsidP="00FB7C1F">
            <w:pPr>
              <w:spacing w:after="0"/>
              <w:jc w:val="center"/>
            </w:pPr>
          </w:p>
        </w:tc>
        <w:tc>
          <w:tcPr>
            <w:tcW w:w="326" w:type="pct"/>
            <w:tcBorders>
              <w:top w:val="nil"/>
              <w:bottom w:val="nil"/>
            </w:tcBorders>
            <w:vAlign w:val="center"/>
          </w:tcPr>
          <w:p w14:paraId="0A895343" w14:textId="77777777" w:rsidR="00E45731" w:rsidRPr="004C78D8" w:rsidRDefault="00E45731" w:rsidP="00FB7C1F">
            <w:pPr>
              <w:spacing w:after="0"/>
              <w:jc w:val="center"/>
            </w:pPr>
          </w:p>
        </w:tc>
        <w:tc>
          <w:tcPr>
            <w:tcW w:w="272" w:type="pct"/>
            <w:tcBorders>
              <w:top w:val="nil"/>
              <w:bottom w:val="nil"/>
            </w:tcBorders>
            <w:vAlign w:val="center"/>
          </w:tcPr>
          <w:p w14:paraId="514BE9FD" w14:textId="77777777" w:rsidR="00E45731" w:rsidRPr="004C78D8" w:rsidRDefault="00E45731" w:rsidP="00FB7C1F">
            <w:pPr>
              <w:spacing w:after="0"/>
              <w:jc w:val="center"/>
            </w:pPr>
          </w:p>
        </w:tc>
        <w:tc>
          <w:tcPr>
            <w:tcW w:w="306" w:type="pct"/>
            <w:tcBorders>
              <w:top w:val="nil"/>
              <w:bottom w:val="nil"/>
            </w:tcBorders>
            <w:vAlign w:val="center"/>
          </w:tcPr>
          <w:p w14:paraId="685C65AA" w14:textId="77777777" w:rsidR="00E45731" w:rsidRPr="004C78D8" w:rsidRDefault="00E45731" w:rsidP="00FB7C1F">
            <w:pPr>
              <w:spacing w:after="0"/>
              <w:jc w:val="center"/>
            </w:pPr>
          </w:p>
        </w:tc>
        <w:tc>
          <w:tcPr>
            <w:tcW w:w="400" w:type="pct"/>
            <w:tcBorders>
              <w:top w:val="nil"/>
              <w:bottom w:val="nil"/>
            </w:tcBorders>
            <w:vAlign w:val="center"/>
          </w:tcPr>
          <w:p w14:paraId="3BB528B6" w14:textId="77777777" w:rsidR="00E45731" w:rsidRPr="004C78D8" w:rsidRDefault="00E45731" w:rsidP="00FB7C1F">
            <w:pPr>
              <w:spacing w:after="0"/>
              <w:jc w:val="center"/>
            </w:pPr>
          </w:p>
        </w:tc>
        <w:tc>
          <w:tcPr>
            <w:tcW w:w="326" w:type="pct"/>
            <w:tcBorders>
              <w:top w:val="nil"/>
              <w:bottom w:val="nil"/>
            </w:tcBorders>
            <w:vAlign w:val="center"/>
          </w:tcPr>
          <w:p w14:paraId="2FE7B4EC" w14:textId="77777777" w:rsidR="00E45731" w:rsidRPr="004C78D8" w:rsidRDefault="00E45731" w:rsidP="00FB7C1F">
            <w:pPr>
              <w:spacing w:after="0"/>
              <w:jc w:val="center"/>
            </w:pPr>
          </w:p>
        </w:tc>
        <w:tc>
          <w:tcPr>
            <w:tcW w:w="295" w:type="pct"/>
            <w:tcBorders>
              <w:top w:val="nil"/>
              <w:bottom w:val="nil"/>
            </w:tcBorders>
            <w:vAlign w:val="center"/>
          </w:tcPr>
          <w:p w14:paraId="67147D4D" w14:textId="77777777" w:rsidR="00E45731" w:rsidRPr="004C78D8" w:rsidRDefault="00E45731" w:rsidP="00FB7C1F">
            <w:pPr>
              <w:spacing w:after="0"/>
              <w:jc w:val="center"/>
            </w:pPr>
          </w:p>
        </w:tc>
        <w:tc>
          <w:tcPr>
            <w:tcW w:w="357" w:type="pct"/>
            <w:tcBorders>
              <w:top w:val="nil"/>
              <w:bottom w:val="nil"/>
            </w:tcBorders>
            <w:vAlign w:val="center"/>
          </w:tcPr>
          <w:p w14:paraId="1817DC53" w14:textId="77777777" w:rsidR="00E45731" w:rsidRPr="004C78D8" w:rsidRDefault="00E45731" w:rsidP="00FB7C1F">
            <w:pPr>
              <w:spacing w:after="0"/>
              <w:jc w:val="center"/>
            </w:pPr>
          </w:p>
        </w:tc>
      </w:tr>
      <w:tr w:rsidR="00E45731" w:rsidRPr="004C78D8" w14:paraId="3DF29E4F" w14:textId="77777777" w:rsidTr="002828C1">
        <w:tc>
          <w:tcPr>
            <w:tcW w:w="458" w:type="pct"/>
            <w:vMerge/>
          </w:tcPr>
          <w:p w14:paraId="5CD98B8D" w14:textId="77777777" w:rsidR="00E45731" w:rsidRPr="004C78D8" w:rsidRDefault="00E45731" w:rsidP="00FB7C1F">
            <w:pPr>
              <w:widowControl w:val="0"/>
              <w:pBdr>
                <w:top w:val="nil"/>
                <w:left w:val="nil"/>
                <w:bottom w:val="nil"/>
                <w:right w:val="nil"/>
                <w:between w:val="nil"/>
              </w:pBdr>
              <w:spacing w:after="0" w:line="276" w:lineRule="auto"/>
              <w:jc w:val="left"/>
            </w:pPr>
          </w:p>
        </w:tc>
        <w:tc>
          <w:tcPr>
            <w:tcW w:w="715" w:type="pct"/>
          </w:tcPr>
          <w:p w14:paraId="20CB95A3" w14:textId="77777777" w:rsidR="00E45731" w:rsidRPr="004C78D8" w:rsidRDefault="00E45731" w:rsidP="00FB7C1F">
            <w:pPr>
              <w:spacing w:after="0"/>
              <w:jc w:val="left"/>
              <w:rPr>
                <w:sz w:val="18"/>
                <w:szCs w:val="18"/>
              </w:rPr>
            </w:pPr>
            <w:r w:rsidRPr="004C78D8">
              <w:rPr>
                <w:sz w:val="18"/>
                <w:szCs w:val="18"/>
              </w:rPr>
              <w:t>Care events</w:t>
            </w:r>
          </w:p>
        </w:tc>
        <w:tc>
          <w:tcPr>
            <w:tcW w:w="255" w:type="pct"/>
            <w:tcBorders>
              <w:top w:val="nil"/>
              <w:bottom w:val="nil"/>
            </w:tcBorders>
            <w:vAlign w:val="center"/>
          </w:tcPr>
          <w:p w14:paraId="3D3859E5" w14:textId="77777777" w:rsidR="00E45731" w:rsidRPr="004C78D8" w:rsidRDefault="00E45731" w:rsidP="00FB7C1F">
            <w:pPr>
              <w:spacing w:after="0"/>
              <w:jc w:val="center"/>
              <w:rPr>
                <w:sz w:val="28"/>
                <w:szCs w:val="28"/>
              </w:rPr>
            </w:pPr>
            <w:r w:rsidRPr="004C78D8">
              <w:rPr>
                <w:sz w:val="28"/>
                <w:szCs w:val="28"/>
              </w:rPr>
              <w:t>˟</w:t>
            </w:r>
          </w:p>
        </w:tc>
        <w:tc>
          <w:tcPr>
            <w:tcW w:w="255" w:type="pct"/>
            <w:tcBorders>
              <w:top w:val="nil"/>
              <w:bottom w:val="nil"/>
            </w:tcBorders>
            <w:vAlign w:val="center"/>
          </w:tcPr>
          <w:p w14:paraId="35DD6B34" w14:textId="77777777" w:rsidR="00E45731" w:rsidRPr="004C78D8" w:rsidRDefault="00E45731" w:rsidP="00FB7C1F">
            <w:pPr>
              <w:spacing w:after="0"/>
              <w:jc w:val="center"/>
              <w:rPr>
                <w:sz w:val="28"/>
                <w:szCs w:val="28"/>
              </w:rPr>
            </w:pPr>
          </w:p>
        </w:tc>
        <w:tc>
          <w:tcPr>
            <w:tcW w:w="357" w:type="pct"/>
            <w:tcBorders>
              <w:top w:val="nil"/>
              <w:bottom w:val="nil"/>
            </w:tcBorders>
            <w:vAlign w:val="center"/>
          </w:tcPr>
          <w:p w14:paraId="0A666889" w14:textId="77777777" w:rsidR="00E45731" w:rsidRPr="004C78D8" w:rsidRDefault="00E45731" w:rsidP="00FB7C1F">
            <w:pPr>
              <w:spacing w:after="0"/>
              <w:jc w:val="center"/>
            </w:pPr>
          </w:p>
        </w:tc>
        <w:tc>
          <w:tcPr>
            <w:tcW w:w="352" w:type="pct"/>
            <w:tcBorders>
              <w:top w:val="nil"/>
              <w:bottom w:val="nil"/>
            </w:tcBorders>
            <w:vAlign w:val="center"/>
          </w:tcPr>
          <w:p w14:paraId="15C4FD8E" w14:textId="77777777" w:rsidR="00E45731" w:rsidRPr="004C78D8" w:rsidRDefault="00E45731" w:rsidP="00FB7C1F">
            <w:pPr>
              <w:spacing w:after="0"/>
              <w:jc w:val="center"/>
            </w:pPr>
          </w:p>
        </w:tc>
        <w:tc>
          <w:tcPr>
            <w:tcW w:w="326" w:type="pct"/>
            <w:tcBorders>
              <w:top w:val="nil"/>
              <w:bottom w:val="nil"/>
            </w:tcBorders>
            <w:vAlign w:val="center"/>
          </w:tcPr>
          <w:p w14:paraId="413FE363" w14:textId="77777777" w:rsidR="00E45731" w:rsidRPr="004C78D8" w:rsidRDefault="00E45731" w:rsidP="00FB7C1F">
            <w:pPr>
              <w:spacing w:after="0"/>
              <w:jc w:val="center"/>
            </w:pPr>
          </w:p>
        </w:tc>
        <w:tc>
          <w:tcPr>
            <w:tcW w:w="326" w:type="pct"/>
            <w:tcBorders>
              <w:top w:val="nil"/>
              <w:bottom w:val="nil"/>
            </w:tcBorders>
            <w:vAlign w:val="center"/>
          </w:tcPr>
          <w:p w14:paraId="4B032CA6" w14:textId="77777777" w:rsidR="00E45731" w:rsidRPr="004C78D8" w:rsidRDefault="00E45731" w:rsidP="00FB7C1F">
            <w:pPr>
              <w:spacing w:after="0"/>
              <w:jc w:val="center"/>
            </w:pPr>
          </w:p>
        </w:tc>
        <w:tc>
          <w:tcPr>
            <w:tcW w:w="272" w:type="pct"/>
            <w:tcBorders>
              <w:top w:val="nil"/>
              <w:bottom w:val="nil"/>
            </w:tcBorders>
            <w:vAlign w:val="center"/>
          </w:tcPr>
          <w:p w14:paraId="53D4B46B" w14:textId="77777777" w:rsidR="00E45731" w:rsidRPr="004C78D8" w:rsidRDefault="00E45731" w:rsidP="00FB7C1F">
            <w:pPr>
              <w:spacing w:after="0"/>
              <w:jc w:val="center"/>
            </w:pPr>
          </w:p>
        </w:tc>
        <w:tc>
          <w:tcPr>
            <w:tcW w:w="306" w:type="pct"/>
            <w:tcBorders>
              <w:top w:val="nil"/>
              <w:bottom w:val="nil"/>
            </w:tcBorders>
            <w:vAlign w:val="center"/>
          </w:tcPr>
          <w:p w14:paraId="221A5E17" w14:textId="77777777" w:rsidR="00E45731" w:rsidRPr="004C78D8" w:rsidRDefault="00E45731" w:rsidP="00FB7C1F">
            <w:pPr>
              <w:spacing w:after="0"/>
              <w:jc w:val="center"/>
            </w:pPr>
          </w:p>
        </w:tc>
        <w:tc>
          <w:tcPr>
            <w:tcW w:w="400" w:type="pct"/>
            <w:tcBorders>
              <w:top w:val="nil"/>
              <w:bottom w:val="nil"/>
            </w:tcBorders>
            <w:vAlign w:val="center"/>
          </w:tcPr>
          <w:p w14:paraId="68985D70" w14:textId="77777777" w:rsidR="00E45731" w:rsidRPr="004C78D8" w:rsidRDefault="00E45731" w:rsidP="00FB7C1F">
            <w:pPr>
              <w:spacing w:after="0"/>
              <w:jc w:val="center"/>
            </w:pPr>
          </w:p>
        </w:tc>
        <w:tc>
          <w:tcPr>
            <w:tcW w:w="326" w:type="pct"/>
            <w:tcBorders>
              <w:top w:val="nil"/>
              <w:bottom w:val="nil"/>
            </w:tcBorders>
            <w:vAlign w:val="center"/>
          </w:tcPr>
          <w:p w14:paraId="38457DA9" w14:textId="77777777" w:rsidR="00E45731" w:rsidRPr="004C78D8" w:rsidRDefault="00E45731" w:rsidP="00FB7C1F">
            <w:pPr>
              <w:spacing w:after="0"/>
              <w:jc w:val="center"/>
            </w:pPr>
          </w:p>
        </w:tc>
        <w:tc>
          <w:tcPr>
            <w:tcW w:w="295" w:type="pct"/>
            <w:tcBorders>
              <w:top w:val="nil"/>
              <w:bottom w:val="nil"/>
            </w:tcBorders>
            <w:vAlign w:val="center"/>
          </w:tcPr>
          <w:p w14:paraId="5CF28C6B" w14:textId="77777777" w:rsidR="00E45731" w:rsidRPr="004C78D8" w:rsidRDefault="00E45731" w:rsidP="00FB7C1F">
            <w:pPr>
              <w:spacing w:after="0"/>
              <w:jc w:val="center"/>
            </w:pPr>
          </w:p>
        </w:tc>
        <w:tc>
          <w:tcPr>
            <w:tcW w:w="357" w:type="pct"/>
            <w:tcBorders>
              <w:top w:val="nil"/>
              <w:bottom w:val="nil"/>
            </w:tcBorders>
            <w:vAlign w:val="center"/>
          </w:tcPr>
          <w:p w14:paraId="6001BE69" w14:textId="77777777" w:rsidR="00E45731" w:rsidRPr="004C78D8" w:rsidRDefault="00E45731" w:rsidP="00FB7C1F">
            <w:pPr>
              <w:spacing w:after="0"/>
              <w:jc w:val="center"/>
            </w:pPr>
          </w:p>
        </w:tc>
      </w:tr>
      <w:tr w:rsidR="00E45731" w:rsidRPr="004C78D8" w14:paraId="3A7FDB37" w14:textId="77777777" w:rsidTr="002828C1">
        <w:tc>
          <w:tcPr>
            <w:tcW w:w="458" w:type="pct"/>
            <w:vMerge w:val="restart"/>
          </w:tcPr>
          <w:p w14:paraId="1FB00036" w14:textId="77777777" w:rsidR="00E45731" w:rsidRPr="004C78D8" w:rsidRDefault="00E45731" w:rsidP="00FB7C1F">
            <w:pPr>
              <w:spacing w:after="0"/>
              <w:jc w:val="left"/>
              <w:rPr>
                <w:sz w:val="18"/>
                <w:szCs w:val="18"/>
              </w:rPr>
            </w:pPr>
            <w:r w:rsidRPr="004C78D8">
              <w:rPr>
                <w:sz w:val="18"/>
                <w:szCs w:val="18"/>
              </w:rPr>
              <w:t>Church (2011); (2012)</w:t>
            </w:r>
          </w:p>
        </w:tc>
        <w:tc>
          <w:tcPr>
            <w:tcW w:w="715" w:type="pct"/>
          </w:tcPr>
          <w:p w14:paraId="3E04E458" w14:textId="77777777" w:rsidR="00E45731" w:rsidRPr="004C78D8" w:rsidRDefault="00E45731" w:rsidP="00FB7C1F">
            <w:pPr>
              <w:spacing w:after="0"/>
              <w:jc w:val="left"/>
              <w:rPr>
                <w:sz w:val="18"/>
                <w:szCs w:val="18"/>
              </w:rPr>
            </w:pPr>
            <w:r w:rsidRPr="004C78D8">
              <w:rPr>
                <w:sz w:val="18"/>
                <w:szCs w:val="18"/>
              </w:rPr>
              <w:t>Any fall</w:t>
            </w:r>
          </w:p>
        </w:tc>
        <w:tc>
          <w:tcPr>
            <w:tcW w:w="255" w:type="pct"/>
            <w:tcBorders>
              <w:top w:val="nil"/>
              <w:bottom w:val="nil"/>
            </w:tcBorders>
            <w:vAlign w:val="center"/>
          </w:tcPr>
          <w:p w14:paraId="5CB8DDCE" w14:textId="77777777" w:rsidR="00E45731" w:rsidRPr="004C78D8" w:rsidRDefault="00E45731" w:rsidP="00FB7C1F">
            <w:pPr>
              <w:spacing w:after="0"/>
              <w:jc w:val="center"/>
              <w:rPr>
                <w:sz w:val="28"/>
                <w:szCs w:val="28"/>
              </w:rPr>
            </w:pPr>
            <w:r w:rsidRPr="004C78D8">
              <w:rPr>
                <w:sz w:val="28"/>
                <w:szCs w:val="28"/>
              </w:rPr>
              <w:t>˟</w:t>
            </w:r>
          </w:p>
        </w:tc>
        <w:tc>
          <w:tcPr>
            <w:tcW w:w="255" w:type="pct"/>
            <w:tcBorders>
              <w:top w:val="nil"/>
              <w:bottom w:val="nil"/>
            </w:tcBorders>
            <w:vAlign w:val="center"/>
          </w:tcPr>
          <w:p w14:paraId="3B221FDF" w14:textId="77777777" w:rsidR="00E45731" w:rsidRPr="004C78D8" w:rsidRDefault="00E45731" w:rsidP="00FB7C1F">
            <w:pPr>
              <w:spacing w:after="0"/>
              <w:jc w:val="center"/>
              <w:rPr>
                <w:sz w:val="28"/>
                <w:szCs w:val="28"/>
              </w:rPr>
            </w:pPr>
          </w:p>
        </w:tc>
        <w:tc>
          <w:tcPr>
            <w:tcW w:w="357" w:type="pct"/>
            <w:tcBorders>
              <w:top w:val="nil"/>
              <w:bottom w:val="nil"/>
            </w:tcBorders>
            <w:vAlign w:val="center"/>
          </w:tcPr>
          <w:p w14:paraId="272D8767" w14:textId="77777777" w:rsidR="00E45731" w:rsidRPr="004C78D8" w:rsidRDefault="00E45731" w:rsidP="00FB7C1F">
            <w:pPr>
              <w:spacing w:after="0"/>
              <w:jc w:val="center"/>
              <w:rPr>
                <w:sz w:val="28"/>
                <w:szCs w:val="28"/>
              </w:rPr>
            </w:pPr>
          </w:p>
        </w:tc>
        <w:tc>
          <w:tcPr>
            <w:tcW w:w="352" w:type="pct"/>
            <w:tcBorders>
              <w:top w:val="nil"/>
              <w:bottom w:val="nil"/>
            </w:tcBorders>
            <w:vAlign w:val="center"/>
          </w:tcPr>
          <w:p w14:paraId="18B048A5" w14:textId="77777777" w:rsidR="00E45731" w:rsidRPr="004C78D8" w:rsidRDefault="00E45731" w:rsidP="00FB7C1F">
            <w:pPr>
              <w:spacing w:after="0"/>
              <w:jc w:val="center"/>
              <w:rPr>
                <w:sz w:val="28"/>
                <w:szCs w:val="28"/>
              </w:rPr>
            </w:pPr>
          </w:p>
        </w:tc>
        <w:tc>
          <w:tcPr>
            <w:tcW w:w="326" w:type="pct"/>
            <w:tcBorders>
              <w:top w:val="nil"/>
              <w:bottom w:val="nil"/>
            </w:tcBorders>
            <w:vAlign w:val="center"/>
          </w:tcPr>
          <w:p w14:paraId="3DDFADB2" w14:textId="77777777" w:rsidR="00E45731" w:rsidRPr="004C78D8" w:rsidRDefault="00E45731" w:rsidP="00FB7C1F">
            <w:pPr>
              <w:spacing w:after="0"/>
              <w:jc w:val="center"/>
              <w:rPr>
                <w:sz w:val="28"/>
                <w:szCs w:val="28"/>
              </w:rPr>
            </w:pPr>
            <w:r w:rsidRPr="004C78D8">
              <w:rPr>
                <w:sz w:val="28"/>
                <w:szCs w:val="28"/>
              </w:rPr>
              <w:t>˟</w:t>
            </w:r>
          </w:p>
        </w:tc>
        <w:tc>
          <w:tcPr>
            <w:tcW w:w="326" w:type="pct"/>
            <w:tcBorders>
              <w:top w:val="nil"/>
              <w:bottom w:val="nil"/>
            </w:tcBorders>
            <w:vAlign w:val="center"/>
          </w:tcPr>
          <w:p w14:paraId="491751A4" w14:textId="77777777" w:rsidR="00E45731" w:rsidRPr="004C78D8" w:rsidRDefault="00E45731" w:rsidP="00FB7C1F">
            <w:pPr>
              <w:spacing w:after="0"/>
              <w:jc w:val="center"/>
              <w:rPr>
                <w:sz w:val="28"/>
                <w:szCs w:val="28"/>
              </w:rPr>
            </w:pPr>
            <w:r w:rsidRPr="004C78D8">
              <w:rPr>
                <w:sz w:val="28"/>
                <w:szCs w:val="28"/>
              </w:rPr>
              <w:t>˟</w:t>
            </w:r>
          </w:p>
        </w:tc>
        <w:tc>
          <w:tcPr>
            <w:tcW w:w="272" w:type="pct"/>
            <w:tcBorders>
              <w:top w:val="nil"/>
              <w:bottom w:val="nil"/>
            </w:tcBorders>
            <w:vAlign w:val="center"/>
          </w:tcPr>
          <w:p w14:paraId="1EA3E176" w14:textId="77777777" w:rsidR="00E45731" w:rsidRPr="004C78D8" w:rsidRDefault="00E45731" w:rsidP="00FB7C1F">
            <w:pPr>
              <w:spacing w:after="0"/>
              <w:jc w:val="center"/>
            </w:pPr>
          </w:p>
        </w:tc>
        <w:tc>
          <w:tcPr>
            <w:tcW w:w="306" w:type="pct"/>
            <w:tcBorders>
              <w:top w:val="nil"/>
              <w:bottom w:val="nil"/>
            </w:tcBorders>
            <w:vAlign w:val="center"/>
          </w:tcPr>
          <w:p w14:paraId="100D4064" w14:textId="77777777" w:rsidR="00E45731" w:rsidRPr="004C78D8" w:rsidRDefault="00E45731" w:rsidP="00FB7C1F">
            <w:pPr>
              <w:spacing w:after="0"/>
              <w:jc w:val="center"/>
            </w:pPr>
          </w:p>
        </w:tc>
        <w:tc>
          <w:tcPr>
            <w:tcW w:w="400" w:type="pct"/>
            <w:tcBorders>
              <w:top w:val="nil"/>
              <w:bottom w:val="nil"/>
            </w:tcBorders>
            <w:vAlign w:val="center"/>
          </w:tcPr>
          <w:p w14:paraId="676BEB9B" w14:textId="77777777" w:rsidR="00E45731" w:rsidRPr="004C78D8" w:rsidRDefault="00E45731" w:rsidP="00FB7C1F">
            <w:pPr>
              <w:spacing w:after="0"/>
              <w:jc w:val="center"/>
            </w:pPr>
          </w:p>
        </w:tc>
        <w:tc>
          <w:tcPr>
            <w:tcW w:w="326" w:type="pct"/>
            <w:tcBorders>
              <w:top w:val="nil"/>
              <w:bottom w:val="nil"/>
            </w:tcBorders>
            <w:vAlign w:val="center"/>
          </w:tcPr>
          <w:p w14:paraId="323A8AC0" w14:textId="77777777" w:rsidR="00E45731" w:rsidRPr="004C78D8" w:rsidRDefault="00E45731" w:rsidP="00FB7C1F">
            <w:pPr>
              <w:spacing w:after="0"/>
              <w:jc w:val="center"/>
            </w:pPr>
          </w:p>
        </w:tc>
        <w:tc>
          <w:tcPr>
            <w:tcW w:w="295" w:type="pct"/>
            <w:tcBorders>
              <w:top w:val="nil"/>
              <w:bottom w:val="nil"/>
            </w:tcBorders>
            <w:vAlign w:val="center"/>
          </w:tcPr>
          <w:p w14:paraId="0AE9C1BE" w14:textId="77777777" w:rsidR="00E45731" w:rsidRPr="004C78D8" w:rsidRDefault="00E45731" w:rsidP="00FB7C1F">
            <w:pPr>
              <w:spacing w:after="0"/>
              <w:jc w:val="center"/>
            </w:pPr>
          </w:p>
        </w:tc>
        <w:tc>
          <w:tcPr>
            <w:tcW w:w="357" w:type="pct"/>
            <w:tcBorders>
              <w:top w:val="nil"/>
              <w:bottom w:val="nil"/>
            </w:tcBorders>
            <w:vAlign w:val="center"/>
          </w:tcPr>
          <w:p w14:paraId="44BA4F45" w14:textId="77777777" w:rsidR="00E45731" w:rsidRPr="004C78D8" w:rsidRDefault="00E45731" w:rsidP="00FB7C1F">
            <w:pPr>
              <w:spacing w:after="0"/>
              <w:jc w:val="center"/>
            </w:pPr>
          </w:p>
        </w:tc>
      </w:tr>
      <w:tr w:rsidR="00E45731" w:rsidRPr="004C78D8" w14:paraId="3D591BC5" w14:textId="77777777" w:rsidTr="002828C1">
        <w:tc>
          <w:tcPr>
            <w:tcW w:w="458" w:type="pct"/>
            <w:vMerge/>
          </w:tcPr>
          <w:p w14:paraId="56099BF4" w14:textId="77777777" w:rsidR="00E45731" w:rsidRPr="004C78D8" w:rsidRDefault="00E45731" w:rsidP="00FB7C1F">
            <w:pPr>
              <w:widowControl w:val="0"/>
              <w:pBdr>
                <w:top w:val="nil"/>
                <w:left w:val="nil"/>
                <w:bottom w:val="nil"/>
                <w:right w:val="nil"/>
                <w:between w:val="nil"/>
              </w:pBdr>
              <w:spacing w:after="0" w:line="276" w:lineRule="auto"/>
              <w:jc w:val="left"/>
            </w:pPr>
          </w:p>
        </w:tc>
        <w:tc>
          <w:tcPr>
            <w:tcW w:w="715" w:type="pct"/>
          </w:tcPr>
          <w:p w14:paraId="49B0CAB6" w14:textId="77777777" w:rsidR="00E45731" w:rsidRPr="004C78D8" w:rsidRDefault="00E45731" w:rsidP="00FB7C1F">
            <w:pPr>
              <w:spacing w:after="0"/>
              <w:jc w:val="left"/>
              <w:rPr>
                <w:sz w:val="18"/>
                <w:szCs w:val="18"/>
              </w:rPr>
            </w:pPr>
            <w:r w:rsidRPr="004C78D8">
              <w:rPr>
                <w:sz w:val="18"/>
                <w:szCs w:val="18"/>
              </w:rPr>
              <w:t>Fatal fall; Care events; LTC fall</w:t>
            </w:r>
          </w:p>
        </w:tc>
        <w:tc>
          <w:tcPr>
            <w:tcW w:w="255" w:type="pct"/>
            <w:tcBorders>
              <w:top w:val="nil"/>
              <w:bottom w:val="nil"/>
            </w:tcBorders>
            <w:vAlign w:val="center"/>
          </w:tcPr>
          <w:p w14:paraId="1E5D979D" w14:textId="77777777" w:rsidR="00E45731" w:rsidRPr="004C78D8" w:rsidRDefault="00E45731" w:rsidP="00FB7C1F">
            <w:pPr>
              <w:spacing w:after="0"/>
              <w:jc w:val="center"/>
              <w:rPr>
                <w:sz w:val="28"/>
                <w:szCs w:val="28"/>
              </w:rPr>
            </w:pPr>
            <w:r w:rsidRPr="004C78D8">
              <w:rPr>
                <w:sz w:val="28"/>
                <w:szCs w:val="28"/>
              </w:rPr>
              <w:t>˟</w:t>
            </w:r>
          </w:p>
        </w:tc>
        <w:tc>
          <w:tcPr>
            <w:tcW w:w="255" w:type="pct"/>
            <w:tcBorders>
              <w:top w:val="nil"/>
              <w:bottom w:val="nil"/>
            </w:tcBorders>
            <w:vAlign w:val="center"/>
          </w:tcPr>
          <w:p w14:paraId="078E204E" w14:textId="77777777" w:rsidR="00E45731" w:rsidRPr="004C78D8" w:rsidRDefault="00E45731" w:rsidP="00FB7C1F">
            <w:pPr>
              <w:spacing w:after="0"/>
              <w:jc w:val="center"/>
              <w:rPr>
                <w:sz w:val="28"/>
                <w:szCs w:val="28"/>
              </w:rPr>
            </w:pPr>
          </w:p>
        </w:tc>
        <w:tc>
          <w:tcPr>
            <w:tcW w:w="357" w:type="pct"/>
            <w:tcBorders>
              <w:top w:val="nil"/>
              <w:bottom w:val="nil"/>
            </w:tcBorders>
            <w:vAlign w:val="center"/>
          </w:tcPr>
          <w:p w14:paraId="727A01A3" w14:textId="77777777" w:rsidR="00E45731" w:rsidRPr="004C78D8" w:rsidRDefault="00E45731" w:rsidP="00FB7C1F">
            <w:pPr>
              <w:spacing w:after="0"/>
              <w:jc w:val="center"/>
              <w:rPr>
                <w:sz w:val="28"/>
                <w:szCs w:val="28"/>
              </w:rPr>
            </w:pPr>
          </w:p>
        </w:tc>
        <w:tc>
          <w:tcPr>
            <w:tcW w:w="352" w:type="pct"/>
            <w:tcBorders>
              <w:top w:val="nil"/>
              <w:bottom w:val="nil"/>
            </w:tcBorders>
            <w:vAlign w:val="center"/>
          </w:tcPr>
          <w:p w14:paraId="4D9DB7FC" w14:textId="77777777" w:rsidR="00E45731" w:rsidRPr="004C78D8" w:rsidRDefault="00E45731" w:rsidP="00FB7C1F">
            <w:pPr>
              <w:spacing w:after="0"/>
              <w:jc w:val="center"/>
              <w:rPr>
                <w:sz w:val="28"/>
                <w:szCs w:val="28"/>
              </w:rPr>
            </w:pPr>
          </w:p>
        </w:tc>
        <w:tc>
          <w:tcPr>
            <w:tcW w:w="326" w:type="pct"/>
            <w:tcBorders>
              <w:top w:val="nil"/>
              <w:bottom w:val="nil"/>
            </w:tcBorders>
            <w:vAlign w:val="center"/>
          </w:tcPr>
          <w:p w14:paraId="36A81C6F" w14:textId="77777777" w:rsidR="00E45731" w:rsidRPr="004C78D8" w:rsidRDefault="00E45731" w:rsidP="00FB7C1F">
            <w:pPr>
              <w:spacing w:after="0"/>
              <w:jc w:val="center"/>
              <w:rPr>
                <w:sz w:val="28"/>
                <w:szCs w:val="28"/>
              </w:rPr>
            </w:pPr>
          </w:p>
        </w:tc>
        <w:tc>
          <w:tcPr>
            <w:tcW w:w="326" w:type="pct"/>
            <w:tcBorders>
              <w:top w:val="nil"/>
              <w:bottom w:val="nil"/>
            </w:tcBorders>
            <w:vAlign w:val="center"/>
          </w:tcPr>
          <w:p w14:paraId="6A5798A7" w14:textId="77777777" w:rsidR="00E45731" w:rsidRPr="004C78D8" w:rsidRDefault="00E45731" w:rsidP="00FB7C1F">
            <w:pPr>
              <w:spacing w:after="0"/>
              <w:jc w:val="center"/>
              <w:rPr>
                <w:sz w:val="28"/>
                <w:szCs w:val="28"/>
              </w:rPr>
            </w:pPr>
          </w:p>
        </w:tc>
        <w:tc>
          <w:tcPr>
            <w:tcW w:w="272" w:type="pct"/>
            <w:tcBorders>
              <w:top w:val="nil"/>
              <w:bottom w:val="nil"/>
            </w:tcBorders>
            <w:vAlign w:val="center"/>
          </w:tcPr>
          <w:p w14:paraId="3D881FB3" w14:textId="77777777" w:rsidR="00E45731" w:rsidRPr="004C78D8" w:rsidRDefault="00E45731" w:rsidP="00FB7C1F">
            <w:pPr>
              <w:spacing w:after="0"/>
              <w:jc w:val="center"/>
            </w:pPr>
          </w:p>
        </w:tc>
        <w:tc>
          <w:tcPr>
            <w:tcW w:w="306" w:type="pct"/>
            <w:tcBorders>
              <w:top w:val="nil"/>
              <w:bottom w:val="nil"/>
            </w:tcBorders>
            <w:vAlign w:val="center"/>
          </w:tcPr>
          <w:p w14:paraId="2A34F87C" w14:textId="77777777" w:rsidR="00E45731" w:rsidRPr="004C78D8" w:rsidRDefault="00E45731" w:rsidP="00FB7C1F">
            <w:pPr>
              <w:spacing w:after="0"/>
              <w:jc w:val="center"/>
            </w:pPr>
          </w:p>
        </w:tc>
        <w:tc>
          <w:tcPr>
            <w:tcW w:w="400" w:type="pct"/>
            <w:tcBorders>
              <w:top w:val="nil"/>
              <w:bottom w:val="nil"/>
            </w:tcBorders>
            <w:vAlign w:val="center"/>
          </w:tcPr>
          <w:p w14:paraId="4D2D7A73" w14:textId="77777777" w:rsidR="00E45731" w:rsidRPr="004C78D8" w:rsidRDefault="00E45731" w:rsidP="00FB7C1F">
            <w:pPr>
              <w:spacing w:after="0"/>
              <w:jc w:val="center"/>
            </w:pPr>
          </w:p>
        </w:tc>
        <w:tc>
          <w:tcPr>
            <w:tcW w:w="326" w:type="pct"/>
            <w:tcBorders>
              <w:top w:val="nil"/>
              <w:bottom w:val="nil"/>
            </w:tcBorders>
            <w:vAlign w:val="center"/>
          </w:tcPr>
          <w:p w14:paraId="64BF599A" w14:textId="77777777" w:rsidR="00E45731" w:rsidRPr="004C78D8" w:rsidRDefault="00E45731" w:rsidP="00FB7C1F">
            <w:pPr>
              <w:spacing w:after="0"/>
              <w:jc w:val="center"/>
            </w:pPr>
          </w:p>
        </w:tc>
        <w:tc>
          <w:tcPr>
            <w:tcW w:w="295" w:type="pct"/>
            <w:tcBorders>
              <w:top w:val="nil"/>
              <w:bottom w:val="nil"/>
            </w:tcBorders>
            <w:vAlign w:val="center"/>
          </w:tcPr>
          <w:p w14:paraId="1BDD6242" w14:textId="77777777" w:rsidR="00E45731" w:rsidRPr="004C78D8" w:rsidRDefault="00E45731" w:rsidP="00FB7C1F">
            <w:pPr>
              <w:spacing w:after="0"/>
              <w:jc w:val="center"/>
            </w:pPr>
          </w:p>
        </w:tc>
        <w:tc>
          <w:tcPr>
            <w:tcW w:w="357" w:type="pct"/>
            <w:tcBorders>
              <w:top w:val="nil"/>
              <w:bottom w:val="nil"/>
            </w:tcBorders>
            <w:vAlign w:val="center"/>
          </w:tcPr>
          <w:p w14:paraId="170F3461" w14:textId="77777777" w:rsidR="00E45731" w:rsidRPr="004C78D8" w:rsidRDefault="00E45731" w:rsidP="00FB7C1F">
            <w:pPr>
              <w:spacing w:after="0"/>
              <w:jc w:val="center"/>
            </w:pPr>
          </w:p>
        </w:tc>
      </w:tr>
      <w:tr w:rsidR="00E45731" w:rsidRPr="004C78D8" w14:paraId="4D3FE445" w14:textId="77777777" w:rsidTr="002828C1">
        <w:tc>
          <w:tcPr>
            <w:tcW w:w="458" w:type="pct"/>
            <w:vMerge w:val="restart"/>
          </w:tcPr>
          <w:p w14:paraId="1E8B26B1" w14:textId="77777777" w:rsidR="00E45731" w:rsidRPr="004C78D8" w:rsidRDefault="00E45731" w:rsidP="00FB7C1F">
            <w:pPr>
              <w:spacing w:after="0"/>
              <w:jc w:val="left"/>
              <w:rPr>
                <w:sz w:val="18"/>
                <w:szCs w:val="18"/>
              </w:rPr>
            </w:pPr>
            <w:r w:rsidRPr="004C78D8">
              <w:rPr>
                <w:sz w:val="18"/>
                <w:szCs w:val="18"/>
              </w:rPr>
              <w:t>Farag (2015)</w:t>
            </w:r>
          </w:p>
        </w:tc>
        <w:tc>
          <w:tcPr>
            <w:tcW w:w="715" w:type="pct"/>
          </w:tcPr>
          <w:p w14:paraId="5B580AC6" w14:textId="77777777" w:rsidR="00E45731" w:rsidRPr="004C78D8" w:rsidRDefault="00E45731" w:rsidP="00FB7C1F">
            <w:pPr>
              <w:spacing w:after="0"/>
              <w:jc w:val="left"/>
              <w:rPr>
                <w:sz w:val="18"/>
                <w:szCs w:val="18"/>
              </w:rPr>
            </w:pPr>
            <w:r w:rsidRPr="004C78D8">
              <w:rPr>
                <w:sz w:val="18"/>
                <w:szCs w:val="18"/>
              </w:rPr>
              <w:t>Any fall</w:t>
            </w:r>
          </w:p>
        </w:tc>
        <w:tc>
          <w:tcPr>
            <w:tcW w:w="255" w:type="pct"/>
            <w:tcBorders>
              <w:top w:val="nil"/>
              <w:bottom w:val="nil"/>
            </w:tcBorders>
            <w:vAlign w:val="center"/>
          </w:tcPr>
          <w:p w14:paraId="5BA229CA" w14:textId="77777777" w:rsidR="00E45731" w:rsidRPr="004C78D8" w:rsidRDefault="00E45731" w:rsidP="00FB7C1F">
            <w:pPr>
              <w:spacing w:after="0"/>
              <w:jc w:val="center"/>
              <w:rPr>
                <w:sz w:val="28"/>
                <w:szCs w:val="28"/>
              </w:rPr>
            </w:pPr>
            <w:r w:rsidRPr="004C78D8">
              <w:rPr>
                <w:sz w:val="28"/>
                <w:szCs w:val="28"/>
              </w:rPr>
              <w:t>˟</w:t>
            </w:r>
          </w:p>
        </w:tc>
        <w:tc>
          <w:tcPr>
            <w:tcW w:w="255" w:type="pct"/>
            <w:tcBorders>
              <w:top w:val="nil"/>
              <w:bottom w:val="nil"/>
            </w:tcBorders>
            <w:vAlign w:val="center"/>
          </w:tcPr>
          <w:p w14:paraId="772A1EBE" w14:textId="77777777" w:rsidR="00E45731" w:rsidRPr="004C78D8" w:rsidRDefault="00E45731" w:rsidP="00FB7C1F">
            <w:pPr>
              <w:spacing w:after="0"/>
              <w:jc w:val="center"/>
              <w:rPr>
                <w:sz w:val="28"/>
                <w:szCs w:val="28"/>
              </w:rPr>
            </w:pPr>
          </w:p>
        </w:tc>
        <w:tc>
          <w:tcPr>
            <w:tcW w:w="357" w:type="pct"/>
            <w:tcBorders>
              <w:top w:val="nil"/>
              <w:bottom w:val="nil"/>
            </w:tcBorders>
            <w:vAlign w:val="center"/>
          </w:tcPr>
          <w:p w14:paraId="25EA6299" w14:textId="77777777" w:rsidR="00E45731" w:rsidRPr="004C78D8" w:rsidRDefault="00E45731" w:rsidP="00FB7C1F">
            <w:pPr>
              <w:spacing w:after="0"/>
              <w:jc w:val="center"/>
              <w:rPr>
                <w:sz w:val="28"/>
                <w:szCs w:val="28"/>
              </w:rPr>
            </w:pPr>
          </w:p>
        </w:tc>
        <w:tc>
          <w:tcPr>
            <w:tcW w:w="352" w:type="pct"/>
            <w:tcBorders>
              <w:top w:val="nil"/>
              <w:bottom w:val="nil"/>
            </w:tcBorders>
            <w:vAlign w:val="center"/>
          </w:tcPr>
          <w:p w14:paraId="2BD55FED" w14:textId="77777777" w:rsidR="00E45731" w:rsidRPr="004C78D8" w:rsidRDefault="00E45731" w:rsidP="00FB7C1F">
            <w:pPr>
              <w:spacing w:after="0"/>
              <w:jc w:val="center"/>
              <w:rPr>
                <w:sz w:val="28"/>
                <w:szCs w:val="28"/>
              </w:rPr>
            </w:pPr>
          </w:p>
        </w:tc>
        <w:tc>
          <w:tcPr>
            <w:tcW w:w="326" w:type="pct"/>
            <w:tcBorders>
              <w:top w:val="nil"/>
              <w:bottom w:val="nil"/>
            </w:tcBorders>
            <w:vAlign w:val="center"/>
          </w:tcPr>
          <w:p w14:paraId="33CDC07E" w14:textId="77777777" w:rsidR="00E45731" w:rsidRPr="004C78D8" w:rsidRDefault="00E45731" w:rsidP="00FB7C1F">
            <w:pPr>
              <w:spacing w:after="0"/>
              <w:jc w:val="center"/>
              <w:rPr>
                <w:sz w:val="28"/>
                <w:szCs w:val="28"/>
              </w:rPr>
            </w:pPr>
            <w:r w:rsidRPr="004C78D8">
              <w:rPr>
                <w:sz w:val="28"/>
                <w:szCs w:val="28"/>
              </w:rPr>
              <w:t>˟</w:t>
            </w:r>
          </w:p>
        </w:tc>
        <w:tc>
          <w:tcPr>
            <w:tcW w:w="326" w:type="pct"/>
            <w:tcBorders>
              <w:top w:val="nil"/>
              <w:bottom w:val="nil"/>
            </w:tcBorders>
            <w:vAlign w:val="center"/>
          </w:tcPr>
          <w:p w14:paraId="775E80DB" w14:textId="77777777" w:rsidR="00E45731" w:rsidRPr="004C78D8" w:rsidRDefault="00E45731" w:rsidP="00FB7C1F">
            <w:pPr>
              <w:spacing w:after="0"/>
              <w:jc w:val="center"/>
              <w:rPr>
                <w:sz w:val="28"/>
                <w:szCs w:val="28"/>
              </w:rPr>
            </w:pPr>
            <w:r w:rsidRPr="004C78D8">
              <w:rPr>
                <w:sz w:val="28"/>
                <w:szCs w:val="28"/>
              </w:rPr>
              <w:t>˟</w:t>
            </w:r>
          </w:p>
        </w:tc>
        <w:tc>
          <w:tcPr>
            <w:tcW w:w="272" w:type="pct"/>
            <w:tcBorders>
              <w:top w:val="nil"/>
              <w:bottom w:val="nil"/>
            </w:tcBorders>
            <w:vAlign w:val="center"/>
          </w:tcPr>
          <w:p w14:paraId="7F823EA7" w14:textId="77777777" w:rsidR="00E45731" w:rsidRPr="004C78D8" w:rsidRDefault="00E45731" w:rsidP="00FB7C1F">
            <w:pPr>
              <w:spacing w:after="0"/>
              <w:jc w:val="center"/>
            </w:pPr>
          </w:p>
        </w:tc>
        <w:tc>
          <w:tcPr>
            <w:tcW w:w="306" w:type="pct"/>
            <w:tcBorders>
              <w:top w:val="nil"/>
              <w:bottom w:val="nil"/>
            </w:tcBorders>
            <w:vAlign w:val="center"/>
          </w:tcPr>
          <w:p w14:paraId="42AA787D" w14:textId="77777777" w:rsidR="00E45731" w:rsidRPr="004C78D8" w:rsidRDefault="00E45731" w:rsidP="00FB7C1F">
            <w:pPr>
              <w:spacing w:after="0"/>
              <w:jc w:val="center"/>
            </w:pPr>
          </w:p>
        </w:tc>
        <w:tc>
          <w:tcPr>
            <w:tcW w:w="400" w:type="pct"/>
            <w:tcBorders>
              <w:top w:val="nil"/>
              <w:bottom w:val="nil"/>
            </w:tcBorders>
            <w:vAlign w:val="center"/>
          </w:tcPr>
          <w:p w14:paraId="20DD3BF0" w14:textId="77777777" w:rsidR="00E45731" w:rsidRPr="004C78D8" w:rsidRDefault="00E45731" w:rsidP="00FB7C1F">
            <w:pPr>
              <w:spacing w:after="0"/>
              <w:jc w:val="center"/>
            </w:pPr>
          </w:p>
        </w:tc>
        <w:tc>
          <w:tcPr>
            <w:tcW w:w="326" w:type="pct"/>
            <w:tcBorders>
              <w:top w:val="nil"/>
              <w:bottom w:val="nil"/>
            </w:tcBorders>
            <w:vAlign w:val="center"/>
          </w:tcPr>
          <w:p w14:paraId="62512892" w14:textId="77777777" w:rsidR="00E45731" w:rsidRPr="004C78D8" w:rsidRDefault="00E45731" w:rsidP="00FB7C1F">
            <w:pPr>
              <w:spacing w:after="0"/>
              <w:jc w:val="center"/>
            </w:pPr>
          </w:p>
        </w:tc>
        <w:tc>
          <w:tcPr>
            <w:tcW w:w="295" w:type="pct"/>
            <w:tcBorders>
              <w:top w:val="nil"/>
              <w:bottom w:val="nil"/>
            </w:tcBorders>
            <w:vAlign w:val="center"/>
          </w:tcPr>
          <w:p w14:paraId="5E8E66B1" w14:textId="77777777" w:rsidR="00E45731" w:rsidRPr="004C78D8" w:rsidRDefault="00E45731" w:rsidP="00FB7C1F">
            <w:pPr>
              <w:spacing w:after="0"/>
              <w:jc w:val="center"/>
            </w:pPr>
          </w:p>
        </w:tc>
        <w:tc>
          <w:tcPr>
            <w:tcW w:w="357" w:type="pct"/>
            <w:tcBorders>
              <w:top w:val="nil"/>
              <w:bottom w:val="nil"/>
            </w:tcBorders>
            <w:vAlign w:val="center"/>
          </w:tcPr>
          <w:p w14:paraId="18068598" w14:textId="77777777" w:rsidR="00E45731" w:rsidRPr="004C78D8" w:rsidRDefault="00E45731" w:rsidP="00FB7C1F">
            <w:pPr>
              <w:spacing w:after="0"/>
              <w:jc w:val="center"/>
            </w:pPr>
          </w:p>
        </w:tc>
      </w:tr>
      <w:tr w:rsidR="00E45731" w:rsidRPr="004C78D8" w14:paraId="59F0F8ED" w14:textId="77777777" w:rsidTr="002828C1">
        <w:tc>
          <w:tcPr>
            <w:tcW w:w="458" w:type="pct"/>
            <w:vMerge/>
          </w:tcPr>
          <w:p w14:paraId="272512EB" w14:textId="77777777" w:rsidR="00E45731" w:rsidRPr="004C78D8" w:rsidRDefault="00E45731" w:rsidP="00FB7C1F">
            <w:pPr>
              <w:widowControl w:val="0"/>
              <w:pBdr>
                <w:top w:val="nil"/>
                <w:left w:val="nil"/>
                <w:bottom w:val="nil"/>
                <w:right w:val="nil"/>
                <w:between w:val="nil"/>
              </w:pBdr>
              <w:spacing w:after="0" w:line="276" w:lineRule="auto"/>
              <w:jc w:val="left"/>
            </w:pPr>
          </w:p>
        </w:tc>
        <w:tc>
          <w:tcPr>
            <w:tcW w:w="715" w:type="pct"/>
          </w:tcPr>
          <w:p w14:paraId="545391C5" w14:textId="77777777" w:rsidR="00E45731" w:rsidRPr="004C78D8" w:rsidRDefault="00E45731" w:rsidP="00FB7C1F">
            <w:pPr>
              <w:spacing w:after="0"/>
              <w:jc w:val="left"/>
              <w:rPr>
                <w:sz w:val="18"/>
                <w:szCs w:val="18"/>
              </w:rPr>
            </w:pPr>
            <w:r w:rsidRPr="004C78D8">
              <w:rPr>
                <w:sz w:val="18"/>
                <w:szCs w:val="18"/>
              </w:rPr>
              <w:t>MA fall; Care events; LTC fall</w:t>
            </w:r>
          </w:p>
        </w:tc>
        <w:tc>
          <w:tcPr>
            <w:tcW w:w="255" w:type="pct"/>
            <w:tcBorders>
              <w:top w:val="nil"/>
              <w:bottom w:val="nil"/>
            </w:tcBorders>
            <w:vAlign w:val="center"/>
          </w:tcPr>
          <w:p w14:paraId="250C0896" w14:textId="77777777" w:rsidR="00E45731" w:rsidRPr="004C78D8" w:rsidRDefault="00E45731" w:rsidP="00FB7C1F">
            <w:pPr>
              <w:spacing w:after="0"/>
              <w:jc w:val="center"/>
              <w:rPr>
                <w:sz w:val="28"/>
                <w:szCs w:val="28"/>
              </w:rPr>
            </w:pPr>
            <w:r w:rsidRPr="004C78D8">
              <w:rPr>
                <w:sz w:val="28"/>
                <w:szCs w:val="28"/>
              </w:rPr>
              <w:t>˟</w:t>
            </w:r>
          </w:p>
        </w:tc>
        <w:tc>
          <w:tcPr>
            <w:tcW w:w="255" w:type="pct"/>
            <w:tcBorders>
              <w:top w:val="nil"/>
              <w:bottom w:val="nil"/>
            </w:tcBorders>
            <w:vAlign w:val="center"/>
          </w:tcPr>
          <w:p w14:paraId="59B22A0C" w14:textId="77777777" w:rsidR="00E45731" w:rsidRPr="004C78D8" w:rsidRDefault="00E45731" w:rsidP="00FB7C1F">
            <w:pPr>
              <w:spacing w:after="0"/>
              <w:jc w:val="center"/>
              <w:rPr>
                <w:sz w:val="28"/>
                <w:szCs w:val="28"/>
              </w:rPr>
            </w:pPr>
          </w:p>
        </w:tc>
        <w:tc>
          <w:tcPr>
            <w:tcW w:w="357" w:type="pct"/>
            <w:tcBorders>
              <w:top w:val="nil"/>
              <w:bottom w:val="nil"/>
            </w:tcBorders>
            <w:vAlign w:val="center"/>
          </w:tcPr>
          <w:p w14:paraId="2303FA1C" w14:textId="77777777" w:rsidR="00E45731" w:rsidRPr="004C78D8" w:rsidRDefault="00E45731" w:rsidP="00FB7C1F">
            <w:pPr>
              <w:spacing w:after="0"/>
              <w:jc w:val="center"/>
              <w:rPr>
                <w:sz w:val="28"/>
                <w:szCs w:val="28"/>
              </w:rPr>
            </w:pPr>
          </w:p>
        </w:tc>
        <w:tc>
          <w:tcPr>
            <w:tcW w:w="352" w:type="pct"/>
            <w:tcBorders>
              <w:top w:val="nil"/>
              <w:bottom w:val="nil"/>
            </w:tcBorders>
            <w:vAlign w:val="center"/>
          </w:tcPr>
          <w:p w14:paraId="6A9EBF4A" w14:textId="77777777" w:rsidR="00E45731" w:rsidRPr="004C78D8" w:rsidRDefault="00E45731" w:rsidP="00FB7C1F">
            <w:pPr>
              <w:spacing w:after="0"/>
              <w:jc w:val="center"/>
              <w:rPr>
                <w:sz w:val="28"/>
                <w:szCs w:val="28"/>
              </w:rPr>
            </w:pPr>
          </w:p>
        </w:tc>
        <w:tc>
          <w:tcPr>
            <w:tcW w:w="326" w:type="pct"/>
            <w:tcBorders>
              <w:top w:val="nil"/>
              <w:bottom w:val="nil"/>
            </w:tcBorders>
            <w:vAlign w:val="center"/>
          </w:tcPr>
          <w:p w14:paraId="671D5FC9" w14:textId="77777777" w:rsidR="00E45731" w:rsidRPr="004C78D8" w:rsidRDefault="00E45731" w:rsidP="00FB7C1F">
            <w:pPr>
              <w:spacing w:after="0"/>
              <w:jc w:val="center"/>
              <w:rPr>
                <w:sz w:val="28"/>
                <w:szCs w:val="28"/>
              </w:rPr>
            </w:pPr>
          </w:p>
        </w:tc>
        <w:tc>
          <w:tcPr>
            <w:tcW w:w="326" w:type="pct"/>
            <w:tcBorders>
              <w:top w:val="nil"/>
              <w:bottom w:val="nil"/>
            </w:tcBorders>
            <w:vAlign w:val="center"/>
          </w:tcPr>
          <w:p w14:paraId="6CF07D0E" w14:textId="77777777" w:rsidR="00E45731" w:rsidRPr="004C78D8" w:rsidRDefault="00E45731" w:rsidP="00FB7C1F">
            <w:pPr>
              <w:spacing w:after="0"/>
              <w:jc w:val="center"/>
              <w:rPr>
                <w:sz w:val="28"/>
                <w:szCs w:val="28"/>
              </w:rPr>
            </w:pPr>
          </w:p>
        </w:tc>
        <w:tc>
          <w:tcPr>
            <w:tcW w:w="272" w:type="pct"/>
            <w:tcBorders>
              <w:top w:val="nil"/>
              <w:bottom w:val="nil"/>
            </w:tcBorders>
            <w:vAlign w:val="center"/>
          </w:tcPr>
          <w:p w14:paraId="60FA7686" w14:textId="77777777" w:rsidR="00E45731" w:rsidRPr="004C78D8" w:rsidRDefault="00E45731" w:rsidP="00FB7C1F">
            <w:pPr>
              <w:spacing w:after="0"/>
              <w:jc w:val="center"/>
            </w:pPr>
          </w:p>
        </w:tc>
        <w:tc>
          <w:tcPr>
            <w:tcW w:w="306" w:type="pct"/>
            <w:tcBorders>
              <w:top w:val="nil"/>
              <w:bottom w:val="nil"/>
            </w:tcBorders>
            <w:vAlign w:val="center"/>
          </w:tcPr>
          <w:p w14:paraId="03A1D703" w14:textId="77777777" w:rsidR="00E45731" w:rsidRPr="004C78D8" w:rsidRDefault="00E45731" w:rsidP="00FB7C1F">
            <w:pPr>
              <w:spacing w:after="0"/>
              <w:jc w:val="center"/>
            </w:pPr>
          </w:p>
        </w:tc>
        <w:tc>
          <w:tcPr>
            <w:tcW w:w="400" w:type="pct"/>
            <w:tcBorders>
              <w:top w:val="nil"/>
              <w:bottom w:val="nil"/>
            </w:tcBorders>
            <w:vAlign w:val="center"/>
          </w:tcPr>
          <w:p w14:paraId="72C249E1" w14:textId="77777777" w:rsidR="00E45731" w:rsidRPr="004C78D8" w:rsidRDefault="00E45731" w:rsidP="00FB7C1F">
            <w:pPr>
              <w:spacing w:after="0"/>
              <w:jc w:val="center"/>
            </w:pPr>
          </w:p>
        </w:tc>
        <w:tc>
          <w:tcPr>
            <w:tcW w:w="326" w:type="pct"/>
            <w:tcBorders>
              <w:top w:val="nil"/>
              <w:bottom w:val="nil"/>
            </w:tcBorders>
            <w:vAlign w:val="center"/>
          </w:tcPr>
          <w:p w14:paraId="22993AFF" w14:textId="77777777" w:rsidR="00E45731" w:rsidRPr="004C78D8" w:rsidRDefault="00E45731" w:rsidP="00FB7C1F">
            <w:pPr>
              <w:spacing w:after="0"/>
              <w:jc w:val="center"/>
            </w:pPr>
          </w:p>
        </w:tc>
        <w:tc>
          <w:tcPr>
            <w:tcW w:w="295" w:type="pct"/>
            <w:tcBorders>
              <w:top w:val="nil"/>
              <w:bottom w:val="nil"/>
            </w:tcBorders>
            <w:vAlign w:val="center"/>
          </w:tcPr>
          <w:p w14:paraId="6B78FEA8" w14:textId="77777777" w:rsidR="00E45731" w:rsidRPr="004C78D8" w:rsidRDefault="00E45731" w:rsidP="00FB7C1F">
            <w:pPr>
              <w:spacing w:after="0"/>
              <w:jc w:val="center"/>
            </w:pPr>
          </w:p>
        </w:tc>
        <w:tc>
          <w:tcPr>
            <w:tcW w:w="357" w:type="pct"/>
            <w:tcBorders>
              <w:top w:val="nil"/>
              <w:bottom w:val="nil"/>
            </w:tcBorders>
            <w:vAlign w:val="center"/>
          </w:tcPr>
          <w:p w14:paraId="1BCE71D0" w14:textId="77777777" w:rsidR="00E45731" w:rsidRPr="004C78D8" w:rsidRDefault="00E45731" w:rsidP="00FB7C1F">
            <w:pPr>
              <w:spacing w:after="0"/>
              <w:jc w:val="center"/>
            </w:pPr>
          </w:p>
        </w:tc>
      </w:tr>
      <w:tr w:rsidR="00E45731" w:rsidRPr="004C78D8" w14:paraId="01778479" w14:textId="77777777" w:rsidTr="002828C1">
        <w:tc>
          <w:tcPr>
            <w:tcW w:w="458" w:type="pct"/>
            <w:vMerge w:val="restart"/>
          </w:tcPr>
          <w:p w14:paraId="0C8A7710" w14:textId="77777777" w:rsidR="00E45731" w:rsidRPr="004C78D8" w:rsidRDefault="00E45731" w:rsidP="00FB7C1F">
            <w:pPr>
              <w:spacing w:after="0"/>
              <w:jc w:val="left"/>
              <w:rPr>
                <w:sz w:val="18"/>
                <w:szCs w:val="18"/>
              </w:rPr>
            </w:pPr>
            <w:r w:rsidRPr="004C78D8">
              <w:rPr>
                <w:sz w:val="18"/>
                <w:szCs w:val="18"/>
              </w:rPr>
              <w:t>Franklin (2019)</w:t>
            </w:r>
          </w:p>
        </w:tc>
        <w:tc>
          <w:tcPr>
            <w:tcW w:w="715" w:type="pct"/>
          </w:tcPr>
          <w:p w14:paraId="370667EC" w14:textId="77777777" w:rsidR="00E45731" w:rsidRPr="004C78D8" w:rsidRDefault="00E45731" w:rsidP="00FB7C1F">
            <w:pPr>
              <w:spacing w:after="0"/>
              <w:jc w:val="left"/>
              <w:rPr>
                <w:sz w:val="18"/>
                <w:szCs w:val="18"/>
              </w:rPr>
            </w:pPr>
            <w:r w:rsidRPr="004C78D8">
              <w:rPr>
                <w:sz w:val="18"/>
                <w:szCs w:val="18"/>
              </w:rPr>
              <w:t>Any fall; MA fall; Fatal fall; LTC fall; Care events</w:t>
            </w:r>
          </w:p>
        </w:tc>
        <w:tc>
          <w:tcPr>
            <w:tcW w:w="255" w:type="pct"/>
            <w:tcBorders>
              <w:top w:val="nil"/>
              <w:bottom w:val="nil"/>
            </w:tcBorders>
            <w:vAlign w:val="center"/>
          </w:tcPr>
          <w:p w14:paraId="0BCD8AAD" w14:textId="77777777" w:rsidR="00E45731" w:rsidRPr="004C78D8" w:rsidRDefault="00E45731" w:rsidP="00FB7C1F">
            <w:pPr>
              <w:spacing w:after="0"/>
              <w:jc w:val="center"/>
              <w:rPr>
                <w:sz w:val="28"/>
                <w:szCs w:val="28"/>
              </w:rPr>
            </w:pPr>
            <w:r w:rsidRPr="004C78D8">
              <w:rPr>
                <w:sz w:val="28"/>
                <w:szCs w:val="28"/>
              </w:rPr>
              <w:t>˟</w:t>
            </w:r>
          </w:p>
        </w:tc>
        <w:tc>
          <w:tcPr>
            <w:tcW w:w="255" w:type="pct"/>
            <w:tcBorders>
              <w:top w:val="nil"/>
              <w:bottom w:val="nil"/>
            </w:tcBorders>
            <w:vAlign w:val="center"/>
          </w:tcPr>
          <w:p w14:paraId="674DBC54" w14:textId="77777777" w:rsidR="00E45731" w:rsidRPr="004C78D8" w:rsidRDefault="00E45731" w:rsidP="00FB7C1F">
            <w:pPr>
              <w:spacing w:after="0"/>
              <w:jc w:val="center"/>
              <w:rPr>
                <w:sz w:val="28"/>
                <w:szCs w:val="28"/>
              </w:rPr>
            </w:pPr>
          </w:p>
        </w:tc>
        <w:tc>
          <w:tcPr>
            <w:tcW w:w="357" w:type="pct"/>
            <w:tcBorders>
              <w:top w:val="nil"/>
              <w:bottom w:val="nil"/>
            </w:tcBorders>
            <w:vAlign w:val="center"/>
          </w:tcPr>
          <w:p w14:paraId="2C3EC62C" w14:textId="77777777" w:rsidR="00E45731" w:rsidRPr="004C78D8" w:rsidRDefault="00E45731" w:rsidP="00FB7C1F">
            <w:pPr>
              <w:spacing w:after="0"/>
              <w:jc w:val="center"/>
              <w:rPr>
                <w:sz w:val="28"/>
                <w:szCs w:val="28"/>
              </w:rPr>
            </w:pPr>
          </w:p>
        </w:tc>
        <w:tc>
          <w:tcPr>
            <w:tcW w:w="352" w:type="pct"/>
            <w:tcBorders>
              <w:top w:val="nil"/>
              <w:bottom w:val="nil"/>
            </w:tcBorders>
            <w:vAlign w:val="center"/>
          </w:tcPr>
          <w:p w14:paraId="7F454FC9" w14:textId="77777777" w:rsidR="00E45731" w:rsidRPr="004C78D8" w:rsidRDefault="00E45731" w:rsidP="00FB7C1F">
            <w:pPr>
              <w:spacing w:after="0"/>
              <w:jc w:val="center"/>
              <w:rPr>
                <w:sz w:val="28"/>
                <w:szCs w:val="28"/>
              </w:rPr>
            </w:pPr>
          </w:p>
        </w:tc>
        <w:tc>
          <w:tcPr>
            <w:tcW w:w="326" w:type="pct"/>
            <w:tcBorders>
              <w:top w:val="nil"/>
              <w:bottom w:val="nil"/>
            </w:tcBorders>
            <w:vAlign w:val="center"/>
          </w:tcPr>
          <w:p w14:paraId="2112CF01" w14:textId="77777777" w:rsidR="00E45731" w:rsidRPr="004C78D8" w:rsidRDefault="00E45731" w:rsidP="00FB7C1F">
            <w:pPr>
              <w:spacing w:after="0"/>
              <w:jc w:val="center"/>
              <w:rPr>
                <w:sz w:val="28"/>
                <w:szCs w:val="28"/>
              </w:rPr>
            </w:pPr>
          </w:p>
        </w:tc>
        <w:tc>
          <w:tcPr>
            <w:tcW w:w="326" w:type="pct"/>
            <w:tcBorders>
              <w:top w:val="nil"/>
              <w:bottom w:val="nil"/>
            </w:tcBorders>
            <w:vAlign w:val="center"/>
          </w:tcPr>
          <w:p w14:paraId="699C0BF0" w14:textId="77777777" w:rsidR="00E45731" w:rsidRPr="004C78D8" w:rsidRDefault="00E45731" w:rsidP="00FB7C1F">
            <w:pPr>
              <w:spacing w:after="0"/>
              <w:jc w:val="center"/>
              <w:rPr>
                <w:sz w:val="28"/>
                <w:szCs w:val="28"/>
              </w:rPr>
            </w:pPr>
          </w:p>
        </w:tc>
        <w:tc>
          <w:tcPr>
            <w:tcW w:w="272" w:type="pct"/>
            <w:tcBorders>
              <w:top w:val="nil"/>
              <w:bottom w:val="nil"/>
            </w:tcBorders>
            <w:vAlign w:val="center"/>
          </w:tcPr>
          <w:p w14:paraId="2282E755" w14:textId="77777777" w:rsidR="00E45731" w:rsidRPr="004C78D8" w:rsidRDefault="00E45731" w:rsidP="00FB7C1F">
            <w:pPr>
              <w:spacing w:after="0"/>
              <w:jc w:val="center"/>
            </w:pPr>
          </w:p>
        </w:tc>
        <w:tc>
          <w:tcPr>
            <w:tcW w:w="306" w:type="pct"/>
            <w:tcBorders>
              <w:top w:val="nil"/>
              <w:bottom w:val="nil"/>
            </w:tcBorders>
            <w:vAlign w:val="center"/>
          </w:tcPr>
          <w:p w14:paraId="12F165FF" w14:textId="77777777" w:rsidR="00E45731" w:rsidRPr="004C78D8" w:rsidRDefault="00E45731" w:rsidP="00FB7C1F">
            <w:pPr>
              <w:spacing w:after="0"/>
              <w:jc w:val="center"/>
            </w:pPr>
          </w:p>
        </w:tc>
        <w:tc>
          <w:tcPr>
            <w:tcW w:w="400" w:type="pct"/>
            <w:tcBorders>
              <w:top w:val="nil"/>
              <w:bottom w:val="nil"/>
            </w:tcBorders>
            <w:vAlign w:val="center"/>
          </w:tcPr>
          <w:p w14:paraId="51E2B15E" w14:textId="77777777" w:rsidR="00E45731" w:rsidRPr="004C78D8" w:rsidRDefault="00E45731" w:rsidP="00FB7C1F">
            <w:pPr>
              <w:spacing w:after="0"/>
              <w:jc w:val="center"/>
            </w:pPr>
          </w:p>
        </w:tc>
        <w:tc>
          <w:tcPr>
            <w:tcW w:w="326" w:type="pct"/>
            <w:tcBorders>
              <w:top w:val="nil"/>
              <w:bottom w:val="nil"/>
            </w:tcBorders>
            <w:vAlign w:val="center"/>
          </w:tcPr>
          <w:p w14:paraId="00BB32CD" w14:textId="77777777" w:rsidR="00E45731" w:rsidRPr="004C78D8" w:rsidRDefault="00E45731" w:rsidP="00FB7C1F">
            <w:pPr>
              <w:spacing w:after="0"/>
              <w:jc w:val="center"/>
            </w:pPr>
          </w:p>
        </w:tc>
        <w:tc>
          <w:tcPr>
            <w:tcW w:w="295" w:type="pct"/>
            <w:tcBorders>
              <w:top w:val="nil"/>
              <w:bottom w:val="nil"/>
            </w:tcBorders>
            <w:vAlign w:val="center"/>
          </w:tcPr>
          <w:p w14:paraId="2898992C" w14:textId="77777777" w:rsidR="00E45731" w:rsidRPr="004C78D8" w:rsidRDefault="00E45731" w:rsidP="00FB7C1F">
            <w:pPr>
              <w:spacing w:after="0"/>
              <w:jc w:val="center"/>
            </w:pPr>
          </w:p>
        </w:tc>
        <w:tc>
          <w:tcPr>
            <w:tcW w:w="357" w:type="pct"/>
            <w:tcBorders>
              <w:top w:val="nil"/>
              <w:bottom w:val="nil"/>
            </w:tcBorders>
            <w:vAlign w:val="center"/>
          </w:tcPr>
          <w:p w14:paraId="0138F765" w14:textId="77777777" w:rsidR="00E45731" w:rsidRPr="004C78D8" w:rsidRDefault="00E45731" w:rsidP="00FB7C1F">
            <w:pPr>
              <w:spacing w:after="0"/>
              <w:jc w:val="center"/>
            </w:pPr>
          </w:p>
        </w:tc>
      </w:tr>
      <w:tr w:rsidR="00E45731" w:rsidRPr="004C78D8" w14:paraId="2668C6F6" w14:textId="77777777" w:rsidTr="002828C1">
        <w:tc>
          <w:tcPr>
            <w:tcW w:w="458" w:type="pct"/>
            <w:vMerge/>
          </w:tcPr>
          <w:p w14:paraId="6121B637" w14:textId="77777777" w:rsidR="00E45731" w:rsidRPr="004C78D8" w:rsidRDefault="00E45731" w:rsidP="00FB7C1F">
            <w:pPr>
              <w:widowControl w:val="0"/>
              <w:pBdr>
                <w:top w:val="nil"/>
                <w:left w:val="nil"/>
                <w:bottom w:val="nil"/>
                <w:right w:val="nil"/>
                <w:between w:val="nil"/>
              </w:pBdr>
              <w:spacing w:after="0" w:line="276" w:lineRule="auto"/>
              <w:jc w:val="left"/>
            </w:pPr>
          </w:p>
        </w:tc>
        <w:tc>
          <w:tcPr>
            <w:tcW w:w="715" w:type="pct"/>
          </w:tcPr>
          <w:p w14:paraId="655835AA" w14:textId="77777777" w:rsidR="00E45731" w:rsidRPr="004C78D8" w:rsidRDefault="00E45731" w:rsidP="00FB7C1F">
            <w:pPr>
              <w:spacing w:after="0"/>
              <w:jc w:val="left"/>
              <w:rPr>
                <w:sz w:val="18"/>
                <w:szCs w:val="18"/>
              </w:rPr>
            </w:pPr>
            <w:r w:rsidRPr="004C78D8">
              <w:rPr>
                <w:sz w:val="18"/>
                <w:szCs w:val="18"/>
              </w:rPr>
              <w:t>Any fall</w:t>
            </w:r>
          </w:p>
        </w:tc>
        <w:tc>
          <w:tcPr>
            <w:tcW w:w="255" w:type="pct"/>
            <w:tcBorders>
              <w:top w:val="nil"/>
              <w:bottom w:val="nil"/>
            </w:tcBorders>
            <w:vAlign w:val="center"/>
          </w:tcPr>
          <w:p w14:paraId="040FB438" w14:textId="77777777" w:rsidR="00E45731" w:rsidRPr="004C78D8" w:rsidRDefault="00E45731" w:rsidP="00FB7C1F">
            <w:pPr>
              <w:spacing w:after="0"/>
              <w:jc w:val="center"/>
              <w:rPr>
                <w:sz w:val="36"/>
                <w:szCs w:val="36"/>
              </w:rPr>
            </w:pPr>
          </w:p>
        </w:tc>
        <w:tc>
          <w:tcPr>
            <w:tcW w:w="255" w:type="pct"/>
            <w:tcBorders>
              <w:top w:val="nil"/>
              <w:bottom w:val="nil"/>
            </w:tcBorders>
            <w:vAlign w:val="center"/>
          </w:tcPr>
          <w:p w14:paraId="69818CAD" w14:textId="77777777" w:rsidR="00E45731" w:rsidRPr="004C78D8" w:rsidRDefault="00E45731" w:rsidP="00FB7C1F">
            <w:pPr>
              <w:spacing w:after="0"/>
              <w:jc w:val="center"/>
            </w:pPr>
          </w:p>
        </w:tc>
        <w:tc>
          <w:tcPr>
            <w:tcW w:w="357" w:type="pct"/>
            <w:tcBorders>
              <w:top w:val="nil"/>
              <w:bottom w:val="nil"/>
            </w:tcBorders>
            <w:vAlign w:val="center"/>
          </w:tcPr>
          <w:p w14:paraId="29FEBBDD" w14:textId="77777777" w:rsidR="00E45731" w:rsidRPr="004C78D8" w:rsidRDefault="00E45731" w:rsidP="00FB7C1F">
            <w:pPr>
              <w:spacing w:after="0"/>
              <w:jc w:val="center"/>
            </w:pPr>
          </w:p>
        </w:tc>
        <w:tc>
          <w:tcPr>
            <w:tcW w:w="352" w:type="pct"/>
            <w:tcBorders>
              <w:top w:val="nil"/>
              <w:bottom w:val="nil"/>
            </w:tcBorders>
            <w:vAlign w:val="center"/>
          </w:tcPr>
          <w:p w14:paraId="2C79E028" w14:textId="77777777" w:rsidR="00E45731" w:rsidRPr="004C78D8" w:rsidRDefault="00E45731" w:rsidP="00FB7C1F">
            <w:pPr>
              <w:spacing w:after="0"/>
              <w:jc w:val="center"/>
            </w:pPr>
          </w:p>
        </w:tc>
        <w:tc>
          <w:tcPr>
            <w:tcW w:w="326" w:type="pct"/>
            <w:tcBorders>
              <w:top w:val="nil"/>
              <w:bottom w:val="nil"/>
            </w:tcBorders>
            <w:vAlign w:val="center"/>
          </w:tcPr>
          <w:p w14:paraId="5A993453" w14:textId="77777777" w:rsidR="00E45731" w:rsidRPr="004C78D8" w:rsidRDefault="00E45731" w:rsidP="00FB7C1F">
            <w:pPr>
              <w:spacing w:after="0"/>
              <w:jc w:val="center"/>
            </w:pPr>
          </w:p>
        </w:tc>
        <w:tc>
          <w:tcPr>
            <w:tcW w:w="326" w:type="pct"/>
            <w:tcBorders>
              <w:top w:val="nil"/>
              <w:bottom w:val="nil"/>
            </w:tcBorders>
            <w:vAlign w:val="center"/>
          </w:tcPr>
          <w:p w14:paraId="42792D2B" w14:textId="77777777" w:rsidR="00E45731" w:rsidRPr="004C78D8" w:rsidRDefault="00E45731" w:rsidP="00FB7C1F">
            <w:pPr>
              <w:spacing w:after="0"/>
              <w:jc w:val="center"/>
            </w:pPr>
          </w:p>
        </w:tc>
        <w:tc>
          <w:tcPr>
            <w:tcW w:w="272" w:type="pct"/>
            <w:tcBorders>
              <w:top w:val="nil"/>
              <w:bottom w:val="nil"/>
            </w:tcBorders>
            <w:vAlign w:val="center"/>
          </w:tcPr>
          <w:p w14:paraId="3DC69C5E" w14:textId="77777777" w:rsidR="00E45731" w:rsidRPr="004C78D8" w:rsidRDefault="00E45731" w:rsidP="00FB7C1F">
            <w:pPr>
              <w:spacing w:after="0"/>
              <w:jc w:val="center"/>
            </w:pPr>
          </w:p>
        </w:tc>
        <w:tc>
          <w:tcPr>
            <w:tcW w:w="306" w:type="pct"/>
            <w:tcBorders>
              <w:top w:val="nil"/>
              <w:bottom w:val="nil"/>
            </w:tcBorders>
            <w:vAlign w:val="center"/>
          </w:tcPr>
          <w:p w14:paraId="0769A283" w14:textId="77777777" w:rsidR="00E45731" w:rsidRPr="004C78D8" w:rsidRDefault="00E45731" w:rsidP="00FB7C1F">
            <w:pPr>
              <w:spacing w:after="0"/>
              <w:jc w:val="center"/>
            </w:pPr>
          </w:p>
        </w:tc>
        <w:tc>
          <w:tcPr>
            <w:tcW w:w="400" w:type="pct"/>
            <w:tcBorders>
              <w:top w:val="nil"/>
              <w:bottom w:val="nil"/>
            </w:tcBorders>
            <w:vAlign w:val="center"/>
          </w:tcPr>
          <w:p w14:paraId="7A8C1F54" w14:textId="77777777" w:rsidR="00E45731" w:rsidRPr="004C78D8" w:rsidRDefault="00E45731" w:rsidP="00FB7C1F">
            <w:pPr>
              <w:spacing w:after="0"/>
              <w:jc w:val="center"/>
            </w:pPr>
          </w:p>
        </w:tc>
        <w:tc>
          <w:tcPr>
            <w:tcW w:w="326" w:type="pct"/>
            <w:tcBorders>
              <w:top w:val="nil"/>
              <w:bottom w:val="nil"/>
            </w:tcBorders>
            <w:vAlign w:val="center"/>
          </w:tcPr>
          <w:p w14:paraId="6C9ACC01" w14:textId="77777777" w:rsidR="00E45731" w:rsidRPr="004C78D8" w:rsidRDefault="00E45731" w:rsidP="00FB7C1F">
            <w:pPr>
              <w:spacing w:after="0"/>
              <w:jc w:val="center"/>
            </w:pPr>
          </w:p>
        </w:tc>
        <w:tc>
          <w:tcPr>
            <w:tcW w:w="295" w:type="pct"/>
            <w:tcBorders>
              <w:top w:val="nil"/>
              <w:bottom w:val="nil"/>
            </w:tcBorders>
            <w:vAlign w:val="center"/>
          </w:tcPr>
          <w:p w14:paraId="09913130" w14:textId="77777777" w:rsidR="00E45731" w:rsidRPr="004C78D8" w:rsidRDefault="00E45731" w:rsidP="00FB7C1F">
            <w:pPr>
              <w:spacing w:after="0"/>
              <w:jc w:val="center"/>
            </w:pPr>
          </w:p>
        </w:tc>
        <w:tc>
          <w:tcPr>
            <w:tcW w:w="357" w:type="pct"/>
            <w:tcBorders>
              <w:top w:val="nil"/>
              <w:bottom w:val="nil"/>
            </w:tcBorders>
            <w:vAlign w:val="center"/>
          </w:tcPr>
          <w:p w14:paraId="2218A46E" w14:textId="77777777" w:rsidR="00E45731" w:rsidRPr="004C78D8" w:rsidRDefault="00E45731" w:rsidP="00FB7C1F">
            <w:pPr>
              <w:spacing w:after="0"/>
              <w:jc w:val="center"/>
              <w:rPr>
                <w:sz w:val="20"/>
                <w:szCs w:val="20"/>
              </w:rPr>
            </w:pPr>
            <w:r w:rsidRPr="004C78D8">
              <w:rPr>
                <w:sz w:val="18"/>
                <w:szCs w:val="18"/>
              </w:rPr>
              <w:t>TUG &amp; QTUG</w:t>
            </w:r>
          </w:p>
        </w:tc>
      </w:tr>
      <w:tr w:rsidR="00E45731" w:rsidRPr="004C78D8" w14:paraId="0005777B" w14:textId="77777777" w:rsidTr="002828C1">
        <w:tc>
          <w:tcPr>
            <w:tcW w:w="458" w:type="pct"/>
          </w:tcPr>
          <w:p w14:paraId="1CA58B49" w14:textId="77777777" w:rsidR="00E45731" w:rsidRPr="004C78D8" w:rsidRDefault="00E45731" w:rsidP="00FB7C1F">
            <w:pPr>
              <w:spacing w:after="0"/>
              <w:jc w:val="left"/>
              <w:rPr>
                <w:sz w:val="18"/>
                <w:szCs w:val="18"/>
              </w:rPr>
            </w:pPr>
            <w:r w:rsidRPr="004C78D8">
              <w:rPr>
                <w:sz w:val="18"/>
                <w:szCs w:val="18"/>
              </w:rPr>
              <w:t>Frick (2010)</w:t>
            </w:r>
          </w:p>
        </w:tc>
        <w:tc>
          <w:tcPr>
            <w:tcW w:w="715" w:type="pct"/>
          </w:tcPr>
          <w:p w14:paraId="15DD20AD" w14:textId="77777777" w:rsidR="00E45731" w:rsidRPr="004C78D8" w:rsidRDefault="00E45731" w:rsidP="00FB7C1F">
            <w:pPr>
              <w:spacing w:after="0"/>
              <w:jc w:val="left"/>
              <w:rPr>
                <w:sz w:val="18"/>
                <w:szCs w:val="18"/>
              </w:rPr>
            </w:pPr>
            <w:r w:rsidRPr="004C78D8">
              <w:rPr>
                <w:sz w:val="18"/>
                <w:szCs w:val="18"/>
              </w:rPr>
              <w:t>Any fall; Hip fracture</w:t>
            </w:r>
          </w:p>
        </w:tc>
        <w:tc>
          <w:tcPr>
            <w:tcW w:w="3828" w:type="pct"/>
            <w:gridSpan w:val="12"/>
            <w:tcBorders>
              <w:top w:val="nil"/>
              <w:bottom w:val="nil"/>
            </w:tcBorders>
            <w:vAlign w:val="center"/>
          </w:tcPr>
          <w:p w14:paraId="5F3B4651" w14:textId="77777777" w:rsidR="00E45731" w:rsidRPr="004C78D8" w:rsidRDefault="00E45731" w:rsidP="00FB7C1F">
            <w:pPr>
              <w:spacing w:after="0"/>
              <w:jc w:val="center"/>
            </w:pPr>
            <w:r w:rsidRPr="004C78D8">
              <w:rPr>
                <w:i/>
                <w:sz w:val="18"/>
                <w:szCs w:val="18"/>
              </w:rPr>
              <w:t>Single risk</w:t>
            </w:r>
          </w:p>
        </w:tc>
      </w:tr>
      <w:tr w:rsidR="00E45731" w:rsidRPr="004C78D8" w14:paraId="266D95F5" w14:textId="77777777" w:rsidTr="002828C1">
        <w:tc>
          <w:tcPr>
            <w:tcW w:w="458" w:type="pct"/>
          </w:tcPr>
          <w:p w14:paraId="6CC56C4B" w14:textId="77777777" w:rsidR="00E45731" w:rsidRPr="004C78D8" w:rsidRDefault="00E45731" w:rsidP="00FB7C1F">
            <w:pPr>
              <w:spacing w:after="0"/>
              <w:jc w:val="left"/>
              <w:rPr>
                <w:sz w:val="18"/>
                <w:szCs w:val="18"/>
              </w:rPr>
            </w:pPr>
            <w:r w:rsidRPr="004C78D8">
              <w:rPr>
                <w:sz w:val="18"/>
                <w:szCs w:val="18"/>
              </w:rPr>
              <w:t>Hiligsmann (2014)</w:t>
            </w:r>
          </w:p>
        </w:tc>
        <w:tc>
          <w:tcPr>
            <w:tcW w:w="715" w:type="pct"/>
          </w:tcPr>
          <w:p w14:paraId="6CD86571" w14:textId="77777777" w:rsidR="00E45731" w:rsidRPr="004C78D8" w:rsidRDefault="00E45731" w:rsidP="00FB7C1F">
            <w:pPr>
              <w:spacing w:after="0"/>
              <w:jc w:val="left"/>
              <w:rPr>
                <w:sz w:val="18"/>
                <w:szCs w:val="18"/>
              </w:rPr>
            </w:pPr>
            <w:r w:rsidRPr="004C78D8">
              <w:rPr>
                <w:sz w:val="18"/>
                <w:szCs w:val="18"/>
              </w:rPr>
              <w:t>Hip fracture; Vertebral fracture; Wrist fracture; Other fracture</w:t>
            </w:r>
          </w:p>
        </w:tc>
        <w:tc>
          <w:tcPr>
            <w:tcW w:w="255" w:type="pct"/>
            <w:tcBorders>
              <w:top w:val="nil"/>
              <w:bottom w:val="nil"/>
            </w:tcBorders>
            <w:vAlign w:val="center"/>
          </w:tcPr>
          <w:p w14:paraId="44B892EA" w14:textId="77777777" w:rsidR="00E45731" w:rsidRPr="004C78D8" w:rsidRDefault="00E45731" w:rsidP="00FB7C1F">
            <w:pPr>
              <w:spacing w:after="0"/>
              <w:jc w:val="center"/>
              <w:rPr>
                <w:sz w:val="28"/>
                <w:szCs w:val="28"/>
              </w:rPr>
            </w:pPr>
            <w:r w:rsidRPr="004C78D8">
              <w:rPr>
                <w:sz w:val="28"/>
                <w:szCs w:val="28"/>
              </w:rPr>
              <w:t>˟</w:t>
            </w:r>
          </w:p>
        </w:tc>
        <w:tc>
          <w:tcPr>
            <w:tcW w:w="255" w:type="pct"/>
            <w:tcBorders>
              <w:top w:val="nil"/>
              <w:bottom w:val="nil"/>
            </w:tcBorders>
            <w:vAlign w:val="center"/>
          </w:tcPr>
          <w:p w14:paraId="77E90661" w14:textId="77777777" w:rsidR="00E45731" w:rsidRPr="004C78D8" w:rsidRDefault="00E45731" w:rsidP="00FB7C1F">
            <w:pPr>
              <w:spacing w:after="0"/>
              <w:jc w:val="center"/>
              <w:rPr>
                <w:sz w:val="28"/>
                <w:szCs w:val="28"/>
              </w:rPr>
            </w:pPr>
            <w:r w:rsidRPr="004C78D8">
              <w:rPr>
                <w:sz w:val="28"/>
                <w:szCs w:val="28"/>
              </w:rPr>
              <w:t>˟</w:t>
            </w:r>
          </w:p>
        </w:tc>
        <w:tc>
          <w:tcPr>
            <w:tcW w:w="357" w:type="pct"/>
            <w:tcBorders>
              <w:top w:val="nil"/>
              <w:bottom w:val="nil"/>
            </w:tcBorders>
            <w:vAlign w:val="center"/>
          </w:tcPr>
          <w:p w14:paraId="41A69C3E" w14:textId="77777777" w:rsidR="00E45731" w:rsidRPr="004C78D8" w:rsidRDefault="00E45731" w:rsidP="00FB7C1F">
            <w:pPr>
              <w:spacing w:after="0"/>
              <w:jc w:val="center"/>
            </w:pPr>
          </w:p>
        </w:tc>
        <w:tc>
          <w:tcPr>
            <w:tcW w:w="352" w:type="pct"/>
            <w:tcBorders>
              <w:top w:val="nil"/>
              <w:bottom w:val="nil"/>
            </w:tcBorders>
            <w:vAlign w:val="center"/>
          </w:tcPr>
          <w:p w14:paraId="2FC4CAAB" w14:textId="77777777" w:rsidR="00E45731" w:rsidRPr="004C78D8" w:rsidRDefault="00E45731" w:rsidP="00FB7C1F">
            <w:pPr>
              <w:spacing w:after="0"/>
              <w:jc w:val="center"/>
            </w:pPr>
          </w:p>
        </w:tc>
        <w:tc>
          <w:tcPr>
            <w:tcW w:w="326" w:type="pct"/>
            <w:tcBorders>
              <w:top w:val="nil"/>
              <w:bottom w:val="nil"/>
            </w:tcBorders>
            <w:vAlign w:val="center"/>
          </w:tcPr>
          <w:p w14:paraId="2B9FDB4A" w14:textId="77777777" w:rsidR="00E45731" w:rsidRPr="004C78D8" w:rsidRDefault="00E45731" w:rsidP="00FB7C1F">
            <w:pPr>
              <w:spacing w:after="0"/>
              <w:jc w:val="center"/>
            </w:pPr>
          </w:p>
        </w:tc>
        <w:tc>
          <w:tcPr>
            <w:tcW w:w="326" w:type="pct"/>
            <w:tcBorders>
              <w:top w:val="nil"/>
              <w:bottom w:val="nil"/>
            </w:tcBorders>
            <w:vAlign w:val="center"/>
          </w:tcPr>
          <w:p w14:paraId="2EAC5F34" w14:textId="77777777" w:rsidR="00E45731" w:rsidRPr="004C78D8" w:rsidRDefault="00E45731" w:rsidP="00FB7C1F">
            <w:pPr>
              <w:spacing w:after="0"/>
              <w:jc w:val="center"/>
            </w:pPr>
          </w:p>
        </w:tc>
        <w:tc>
          <w:tcPr>
            <w:tcW w:w="272" w:type="pct"/>
            <w:tcBorders>
              <w:top w:val="nil"/>
              <w:bottom w:val="nil"/>
            </w:tcBorders>
            <w:vAlign w:val="center"/>
          </w:tcPr>
          <w:p w14:paraId="25CD2602" w14:textId="77777777" w:rsidR="00E45731" w:rsidRPr="004C78D8" w:rsidRDefault="00E45731" w:rsidP="00FB7C1F">
            <w:pPr>
              <w:spacing w:after="0"/>
              <w:jc w:val="center"/>
            </w:pPr>
          </w:p>
        </w:tc>
        <w:tc>
          <w:tcPr>
            <w:tcW w:w="306" w:type="pct"/>
            <w:tcBorders>
              <w:top w:val="nil"/>
              <w:bottom w:val="nil"/>
            </w:tcBorders>
            <w:vAlign w:val="center"/>
          </w:tcPr>
          <w:p w14:paraId="4A37E594" w14:textId="77777777" w:rsidR="00E45731" w:rsidRPr="004C78D8" w:rsidRDefault="00E45731" w:rsidP="00FB7C1F">
            <w:pPr>
              <w:spacing w:after="0"/>
              <w:jc w:val="center"/>
            </w:pPr>
            <w:r w:rsidRPr="004C78D8">
              <w:rPr>
                <w:i/>
                <w:sz w:val="18"/>
                <w:szCs w:val="18"/>
              </w:rPr>
              <w:t>Exo</w:t>
            </w:r>
          </w:p>
        </w:tc>
        <w:tc>
          <w:tcPr>
            <w:tcW w:w="400" w:type="pct"/>
            <w:tcBorders>
              <w:top w:val="nil"/>
              <w:bottom w:val="nil"/>
            </w:tcBorders>
            <w:vAlign w:val="center"/>
          </w:tcPr>
          <w:p w14:paraId="5D6F4A36" w14:textId="77777777" w:rsidR="00E45731" w:rsidRPr="004C78D8" w:rsidRDefault="00E45731" w:rsidP="00FB7C1F">
            <w:pPr>
              <w:spacing w:after="0"/>
              <w:jc w:val="center"/>
            </w:pPr>
          </w:p>
        </w:tc>
        <w:tc>
          <w:tcPr>
            <w:tcW w:w="326" w:type="pct"/>
            <w:tcBorders>
              <w:top w:val="nil"/>
              <w:bottom w:val="nil"/>
            </w:tcBorders>
            <w:vAlign w:val="center"/>
          </w:tcPr>
          <w:p w14:paraId="117EE598" w14:textId="77777777" w:rsidR="00E45731" w:rsidRPr="004C78D8" w:rsidRDefault="00E45731" w:rsidP="00FB7C1F">
            <w:pPr>
              <w:spacing w:after="0"/>
              <w:jc w:val="center"/>
            </w:pPr>
          </w:p>
        </w:tc>
        <w:tc>
          <w:tcPr>
            <w:tcW w:w="295" w:type="pct"/>
            <w:tcBorders>
              <w:top w:val="nil"/>
              <w:bottom w:val="nil"/>
            </w:tcBorders>
            <w:vAlign w:val="center"/>
          </w:tcPr>
          <w:p w14:paraId="4C3AA1E1" w14:textId="77777777" w:rsidR="00E45731" w:rsidRPr="004C78D8" w:rsidRDefault="00E45731" w:rsidP="00FB7C1F">
            <w:pPr>
              <w:spacing w:after="0"/>
              <w:jc w:val="center"/>
            </w:pPr>
          </w:p>
        </w:tc>
        <w:tc>
          <w:tcPr>
            <w:tcW w:w="357" w:type="pct"/>
            <w:tcBorders>
              <w:top w:val="nil"/>
              <w:bottom w:val="nil"/>
            </w:tcBorders>
            <w:vAlign w:val="center"/>
          </w:tcPr>
          <w:p w14:paraId="00610E48" w14:textId="77777777" w:rsidR="00E45731" w:rsidRPr="004C78D8" w:rsidRDefault="00E45731" w:rsidP="00FB7C1F">
            <w:pPr>
              <w:spacing w:after="0"/>
              <w:jc w:val="center"/>
            </w:pPr>
          </w:p>
        </w:tc>
      </w:tr>
      <w:tr w:rsidR="00E45731" w:rsidRPr="004C78D8" w14:paraId="7E6F15EF" w14:textId="77777777" w:rsidTr="002828C1">
        <w:tc>
          <w:tcPr>
            <w:tcW w:w="458" w:type="pct"/>
          </w:tcPr>
          <w:p w14:paraId="551E9B84" w14:textId="77777777" w:rsidR="00E45731" w:rsidRPr="004C78D8" w:rsidRDefault="00E45731" w:rsidP="00FB7C1F">
            <w:pPr>
              <w:spacing w:after="0"/>
              <w:jc w:val="left"/>
              <w:rPr>
                <w:sz w:val="18"/>
                <w:szCs w:val="18"/>
              </w:rPr>
            </w:pPr>
            <w:r w:rsidRPr="004C78D8">
              <w:rPr>
                <w:sz w:val="18"/>
                <w:szCs w:val="18"/>
              </w:rPr>
              <w:t>Hirst (2016)</w:t>
            </w:r>
          </w:p>
        </w:tc>
        <w:tc>
          <w:tcPr>
            <w:tcW w:w="715" w:type="pct"/>
          </w:tcPr>
          <w:p w14:paraId="1240F212" w14:textId="77777777" w:rsidR="00E45731" w:rsidRPr="004C78D8" w:rsidRDefault="00E45731" w:rsidP="00FB7C1F">
            <w:pPr>
              <w:spacing w:after="0"/>
              <w:jc w:val="left"/>
              <w:rPr>
                <w:sz w:val="18"/>
                <w:szCs w:val="18"/>
              </w:rPr>
            </w:pPr>
            <w:r w:rsidRPr="004C78D8">
              <w:rPr>
                <w:sz w:val="18"/>
                <w:szCs w:val="18"/>
              </w:rPr>
              <w:t>Hip fracture; Humerus fracture; Wrist fracture; Other fracture</w:t>
            </w:r>
          </w:p>
        </w:tc>
        <w:tc>
          <w:tcPr>
            <w:tcW w:w="255" w:type="pct"/>
            <w:tcBorders>
              <w:top w:val="nil"/>
              <w:bottom w:val="nil"/>
            </w:tcBorders>
            <w:vAlign w:val="center"/>
          </w:tcPr>
          <w:p w14:paraId="60934B38" w14:textId="77777777" w:rsidR="00E45731" w:rsidRPr="004C78D8" w:rsidRDefault="00E45731" w:rsidP="00FB7C1F">
            <w:pPr>
              <w:spacing w:after="0"/>
              <w:jc w:val="center"/>
              <w:rPr>
                <w:sz w:val="28"/>
                <w:szCs w:val="28"/>
              </w:rPr>
            </w:pPr>
            <w:r w:rsidRPr="004C78D8">
              <w:rPr>
                <w:sz w:val="28"/>
                <w:szCs w:val="28"/>
              </w:rPr>
              <w:t>˟</w:t>
            </w:r>
          </w:p>
        </w:tc>
        <w:tc>
          <w:tcPr>
            <w:tcW w:w="255" w:type="pct"/>
            <w:tcBorders>
              <w:top w:val="nil"/>
              <w:bottom w:val="nil"/>
            </w:tcBorders>
            <w:vAlign w:val="center"/>
          </w:tcPr>
          <w:p w14:paraId="0DB98368" w14:textId="77777777" w:rsidR="00E45731" w:rsidRPr="004C78D8" w:rsidRDefault="00E45731" w:rsidP="00FB7C1F">
            <w:pPr>
              <w:spacing w:after="0"/>
              <w:jc w:val="center"/>
            </w:pPr>
            <w:r w:rsidRPr="004C78D8">
              <w:rPr>
                <w:i/>
                <w:sz w:val="18"/>
                <w:szCs w:val="18"/>
              </w:rPr>
              <w:t>Exo</w:t>
            </w:r>
          </w:p>
        </w:tc>
        <w:tc>
          <w:tcPr>
            <w:tcW w:w="357" w:type="pct"/>
            <w:tcBorders>
              <w:top w:val="nil"/>
              <w:bottom w:val="nil"/>
            </w:tcBorders>
            <w:vAlign w:val="center"/>
          </w:tcPr>
          <w:p w14:paraId="20F2DB04" w14:textId="77777777" w:rsidR="00E45731" w:rsidRPr="004C78D8" w:rsidRDefault="00E45731" w:rsidP="00FB7C1F">
            <w:pPr>
              <w:spacing w:after="0"/>
              <w:jc w:val="center"/>
            </w:pPr>
          </w:p>
        </w:tc>
        <w:tc>
          <w:tcPr>
            <w:tcW w:w="352" w:type="pct"/>
            <w:tcBorders>
              <w:top w:val="nil"/>
              <w:bottom w:val="nil"/>
            </w:tcBorders>
            <w:vAlign w:val="center"/>
          </w:tcPr>
          <w:p w14:paraId="1FC8DEB4" w14:textId="77777777" w:rsidR="00E45731" w:rsidRPr="004C78D8" w:rsidRDefault="00E45731" w:rsidP="00FB7C1F">
            <w:pPr>
              <w:spacing w:after="0"/>
              <w:jc w:val="center"/>
            </w:pPr>
          </w:p>
        </w:tc>
        <w:tc>
          <w:tcPr>
            <w:tcW w:w="326" w:type="pct"/>
            <w:tcBorders>
              <w:top w:val="nil"/>
              <w:bottom w:val="nil"/>
            </w:tcBorders>
            <w:vAlign w:val="center"/>
          </w:tcPr>
          <w:p w14:paraId="78146658" w14:textId="77777777" w:rsidR="00E45731" w:rsidRPr="004C78D8" w:rsidRDefault="00E45731" w:rsidP="00FB7C1F">
            <w:pPr>
              <w:spacing w:after="0"/>
              <w:jc w:val="center"/>
            </w:pPr>
          </w:p>
        </w:tc>
        <w:tc>
          <w:tcPr>
            <w:tcW w:w="326" w:type="pct"/>
            <w:tcBorders>
              <w:top w:val="nil"/>
              <w:bottom w:val="nil"/>
            </w:tcBorders>
            <w:vAlign w:val="center"/>
          </w:tcPr>
          <w:p w14:paraId="41A73EB2" w14:textId="77777777" w:rsidR="00E45731" w:rsidRPr="004C78D8" w:rsidRDefault="00E45731" w:rsidP="00FB7C1F">
            <w:pPr>
              <w:spacing w:after="0"/>
              <w:jc w:val="center"/>
            </w:pPr>
          </w:p>
        </w:tc>
        <w:tc>
          <w:tcPr>
            <w:tcW w:w="272" w:type="pct"/>
            <w:tcBorders>
              <w:top w:val="nil"/>
              <w:bottom w:val="nil"/>
            </w:tcBorders>
            <w:vAlign w:val="center"/>
          </w:tcPr>
          <w:p w14:paraId="481D0EE7" w14:textId="77777777" w:rsidR="00E45731" w:rsidRPr="004C78D8" w:rsidRDefault="00E45731" w:rsidP="00FB7C1F">
            <w:pPr>
              <w:spacing w:after="0"/>
              <w:jc w:val="center"/>
            </w:pPr>
          </w:p>
        </w:tc>
        <w:tc>
          <w:tcPr>
            <w:tcW w:w="306" w:type="pct"/>
            <w:tcBorders>
              <w:top w:val="nil"/>
              <w:bottom w:val="nil"/>
            </w:tcBorders>
            <w:vAlign w:val="center"/>
          </w:tcPr>
          <w:p w14:paraId="1DD17E66" w14:textId="77777777" w:rsidR="00E45731" w:rsidRPr="004C78D8" w:rsidRDefault="00E45731" w:rsidP="00FB7C1F">
            <w:pPr>
              <w:spacing w:after="0"/>
              <w:jc w:val="center"/>
            </w:pPr>
          </w:p>
        </w:tc>
        <w:tc>
          <w:tcPr>
            <w:tcW w:w="400" w:type="pct"/>
            <w:tcBorders>
              <w:top w:val="nil"/>
              <w:bottom w:val="nil"/>
            </w:tcBorders>
            <w:vAlign w:val="center"/>
          </w:tcPr>
          <w:p w14:paraId="08EAD7AA" w14:textId="77777777" w:rsidR="00E45731" w:rsidRPr="004C78D8" w:rsidRDefault="00E45731" w:rsidP="00FB7C1F">
            <w:pPr>
              <w:spacing w:after="0"/>
              <w:jc w:val="center"/>
              <w:rPr>
                <w:sz w:val="28"/>
                <w:szCs w:val="28"/>
              </w:rPr>
            </w:pPr>
            <w:r w:rsidRPr="004C78D8">
              <w:rPr>
                <w:sz w:val="28"/>
                <w:szCs w:val="28"/>
              </w:rPr>
              <w:t>˟</w:t>
            </w:r>
          </w:p>
        </w:tc>
        <w:tc>
          <w:tcPr>
            <w:tcW w:w="326" w:type="pct"/>
            <w:tcBorders>
              <w:top w:val="nil"/>
              <w:bottom w:val="nil"/>
            </w:tcBorders>
            <w:vAlign w:val="center"/>
          </w:tcPr>
          <w:p w14:paraId="3460489C" w14:textId="77777777" w:rsidR="00E45731" w:rsidRPr="004C78D8" w:rsidRDefault="00E45731" w:rsidP="00FB7C1F">
            <w:pPr>
              <w:spacing w:after="0"/>
              <w:jc w:val="center"/>
            </w:pPr>
          </w:p>
        </w:tc>
        <w:tc>
          <w:tcPr>
            <w:tcW w:w="295" w:type="pct"/>
            <w:tcBorders>
              <w:top w:val="nil"/>
              <w:bottom w:val="nil"/>
            </w:tcBorders>
            <w:vAlign w:val="center"/>
          </w:tcPr>
          <w:p w14:paraId="6CCE56D2" w14:textId="77777777" w:rsidR="00E45731" w:rsidRPr="004C78D8" w:rsidRDefault="00E45731" w:rsidP="00FB7C1F">
            <w:pPr>
              <w:spacing w:after="0"/>
              <w:jc w:val="center"/>
            </w:pPr>
          </w:p>
        </w:tc>
        <w:tc>
          <w:tcPr>
            <w:tcW w:w="357" w:type="pct"/>
            <w:tcBorders>
              <w:top w:val="nil"/>
              <w:bottom w:val="nil"/>
            </w:tcBorders>
            <w:vAlign w:val="center"/>
          </w:tcPr>
          <w:p w14:paraId="42E5A170" w14:textId="77777777" w:rsidR="00E45731" w:rsidRPr="004C78D8" w:rsidRDefault="00E45731" w:rsidP="00FB7C1F">
            <w:pPr>
              <w:spacing w:after="0"/>
              <w:jc w:val="center"/>
            </w:pPr>
          </w:p>
        </w:tc>
      </w:tr>
      <w:tr w:rsidR="00E45731" w:rsidRPr="004C78D8" w14:paraId="28CC3B84" w14:textId="77777777" w:rsidTr="002828C1">
        <w:tc>
          <w:tcPr>
            <w:tcW w:w="458" w:type="pct"/>
            <w:vMerge w:val="restart"/>
          </w:tcPr>
          <w:p w14:paraId="06A96046" w14:textId="77777777" w:rsidR="00E45731" w:rsidRPr="004C78D8" w:rsidRDefault="00E45731" w:rsidP="00FB7C1F">
            <w:pPr>
              <w:spacing w:after="0"/>
              <w:jc w:val="left"/>
              <w:rPr>
                <w:sz w:val="18"/>
                <w:szCs w:val="18"/>
              </w:rPr>
            </w:pPr>
            <w:r w:rsidRPr="004C78D8">
              <w:rPr>
                <w:sz w:val="18"/>
                <w:szCs w:val="18"/>
              </w:rPr>
              <w:t>Honkanen (2006)</w:t>
            </w:r>
          </w:p>
        </w:tc>
        <w:tc>
          <w:tcPr>
            <w:tcW w:w="715" w:type="pct"/>
          </w:tcPr>
          <w:p w14:paraId="2ADF0704" w14:textId="77777777" w:rsidR="00E45731" w:rsidRPr="004C78D8" w:rsidRDefault="00E45731" w:rsidP="00FB7C1F">
            <w:pPr>
              <w:spacing w:after="0"/>
              <w:jc w:val="left"/>
              <w:rPr>
                <w:sz w:val="18"/>
                <w:szCs w:val="18"/>
              </w:rPr>
            </w:pPr>
            <w:r w:rsidRPr="004C78D8">
              <w:rPr>
                <w:sz w:val="18"/>
                <w:szCs w:val="18"/>
              </w:rPr>
              <w:t>Hip fracture; LTC hip fracture</w:t>
            </w:r>
          </w:p>
        </w:tc>
        <w:tc>
          <w:tcPr>
            <w:tcW w:w="255" w:type="pct"/>
            <w:tcBorders>
              <w:top w:val="nil"/>
              <w:bottom w:val="nil"/>
            </w:tcBorders>
            <w:vAlign w:val="center"/>
          </w:tcPr>
          <w:p w14:paraId="491CF706" w14:textId="77777777" w:rsidR="00E45731" w:rsidRPr="004C78D8" w:rsidRDefault="00E45731" w:rsidP="00FB7C1F">
            <w:pPr>
              <w:spacing w:after="0"/>
              <w:jc w:val="center"/>
              <w:rPr>
                <w:sz w:val="28"/>
                <w:szCs w:val="28"/>
              </w:rPr>
            </w:pPr>
            <w:r w:rsidRPr="004C78D8">
              <w:rPr>
                <w:sz w:val="28"/>
                <w:szCs w:val="28"/>
              </w:rPr>
              <w:t>˟</w:t>
            </w:r>
          </w:p>
        </w:tc>
        <w:tc>
          <w:tcPr>
            <w:tcW w:w="255" w:type="pct"/>
            <w:tcBorders>
              <w:top w:val="nil"/>
              <w:bottom w:val="nil"/>
            </w:tcBorders>
            <w:vAlign w:val="center"/>
          </w:tcPr>
          <w:p w14:paraId="773D8176" w14:textId="77777777" w:rsidR="00E45731" w:rsidRPr="004C78D8" w:rsidRDefault="00E45731" w:rsidP="00FB7C1F">
            <w:pPr>
              <w:spacing w:after="0"/>
              <w:jc w:val="center"/>
              <w:rPr>
                <w:sz w:val="28"/>
                <w:szCs w:val="28"/>
              </w:rPr>
            </w:pPr>
            <w:r w:rsidRPr="004C78D8">
              <w:rPr>
                <w:sz w:val="28"/>
                <w:szCs w:val="28"/>
              </w:rPr>
              <w:t>˟</w:t>
            </w:r>
          </w:p>
        </w:tc>
        <w:tc>
          <w:tcPr>
            <w:tcW w:w="357" w:type="pct"/>
            <w:tcBorders>
              <w:top w:val="nil"/>
              <w:bottom w:val="nil"/>
            </w:tcBorders>
            <w:vAlign w:val="center"/>
          </w:tcPr>
          <w:p w14:paraId="0D9C755F" w14:textId="77777777" w:rsidR="00E45731" w:rsidRPr="004C78D8" w:rsidRDefault="00E45731" w:rsidP="00FB7C1F">
            <w:pPr>
              <w:spacing w:after="0"/>
              <w:jc w:val="center"/>
              <w:rPr>
                <w:sz w:val="28"/>
                <w:szCs w:val="28"/>
              </w:rPr>
            </w:pPr>
          </w:p>
        </w:tc>
        <w:tc>
          <w:tcPr>
            <w:tcW w:w="352" w:type="pct"/>
            <w:tcBorders>
              <w:top w:val="nil"/>
              <w:bottom w:val="nil"/>
            </w:tcBorders>
            <w:vAlign w:val="center"/>
          </w:tcPr>
          <w:p w14:paraId="464F6766" w14:textId="77777777" w:rsidR="00E45731" w:rsidRPr="004C78D8" w:rsidRDefault="00E45731" w:rsidP="00FB7C1F">
            <w:pPr>
              <w:spacing w:after="0"/>
              <w:jc w:val="center"/>
              <w:rPr>
                <w:i/>
                <w:sz w:val="28"/>
                <w:szCs w:val="28"/>
              </w:rPr>
            </w:pPr>
          </w:p>
        </w:tc>
        <w:tc>
          <w:tcPr>
            <w:tcW w:w="326" w:type="pct"/>
            <w:tcBorders>
              <w:top w:val="nil"/>
              <w:bottom w:val="nil"/>
            </w:tcBorders>
            <w:vAlign w:val="center"/>
          </w:tcPr>
          <w:p w14:paraId="6F3E7C22" w14:textId="77777777" w:rsidR="00E45731" w:rsidRPr="004C78D8" w:rsidRDefault="00E45731" w:rsidP="00FB7C1F">
            <w:pPr>
              <w:spacing w:after="0"/>
              <w:jc w:val="center"/>
              <w:rPr>
                <w:sz w:val="28"/>
                <w:szCs w:val="28"/>
              </w:rPr>
            </w:pPr>
          </w:p>
        </w:tc>
        <w:tc>
          <w:tcPr>
            <w:tcW w:w="326" w:type="pct"/>
            <w:tcBorders>
              <w:top w:val="nil"/>
              <w:bottom w:val="nil"/>
            </w:tcBorders>
            <w:vAlign w:val="center"/>
          </w:tcPr>
          <w:p w14:paraId="4B2D1A83" w14:textId="77777777" w:rsidR="00E45731" w:rsidRPr="004C78D8" w:rsidRDefault="00E45731" w:rsidP="00FB7C1F">
            <w:pPr>
              <w:spacing w:after="0"/>
              <w:jc w:val="center"/>
              <w:rPr>
                <w:sz w:val="28"/>
                <w:szCs w:val="28"/>
              </w:rPr>
            </w:pPr>
            <w:r w:rsidRPr="004C78D8">
              <w:rPr>
                <w:sz w:val="28"/>
                <w:szCs w:val="28"/>
              </w:rPr>
              <w:t>˟</w:t>
            </w:r>
          </w:p>
        </w:tc>
        <w:tc>
          <w:tcPr>
            <w:tcW w:w="272" w:type="pct"/>
            <w:tcBorders>
              <w:top w:val="nil"/>
              <w:bottom w:val="nil"/>
            </w:tcBorders>
            <w:vAlign w:val="center"/>
          </w:tcPr>
          <w:p w14:paraId="1C5EFEAA" w14:textId="77777777" w:rsidR="00E45731" w:rsidRPr="004C78D8" w:rsidRDefault="00E45731" w:rsidP="00FB7C1F">
            <w:pPr>
              <w:spacing w:after="0"/>
              <w:jc w:val="center"/>
            </w:pPr>
          </w:p>
        </w:tc>
        <w:tc>
          <w:tcPr>
            <w:tcW w:w="306" w:type="pct"/>
            <w:tcBorders>
              <w:top w:val="nil"/>
              <w:bottom w:val="nil"/>
            </w:tcBorders>
            <w:vAlign w:val="center"/>
          </w:tcPr>
          <w:p w14:paraId="035C88E4" w14:textId="77777777" w:rsidR="00E45731" w:rsidRPr="004C78D8" w:rsidRDefault="00E45731" w:rsidP="00FB7C1F">
            <w:pPr>
              <w:spacing w:after="0"/>
              <w:jc w:val="center"/>
            </w:pPr>
          </w:p>
        </w:tc>
        <w:tc>
          <w:tcPr>
            <w:tcW w:w="400" w:type="pct"/>
            <w:tcBorders>
              <w:top w:val="nil"/>
              <w:bottom w:val="nil"/>
            </w:tcBorders>
            <w:vAlign w:val="center"/>
          </w:tcPr>
          <w:p w14:paraId="0FFC5119" w14:textId="77777777" w:rsidR="00E45731" w:rsidRPr="004C78D8" w:rsidRDefault="00E45731" w:rsidP="00FB7C1F">
            <w:pPr>
              <w:spacing w:after="0"/>
              <w:jc w:val="center"/>
            </w:pPr>
          </w:p>
        </w:tc>
        <w:tc>
          <w:tcPr>
            <w:tcW w:w="326" w:type="pct"/>
            <w:tcBorders>
              <w:top w:val="nil"/>
              <w:bottom w:val="nil"/>
            </w:tcBorders>
            <w:vAlign w:val="center"/>
          </w:tcPr>
          <w:p w14:paraId="5DBFDD62" w14:textId="77777777" w:rsidR="00E45731" w:rsidRPr="004C78D8" w:rsidRDefault="00E45731" w:rsidP="00FB7C1F">
            <w:pPr>
              <w:spacing w:after="0"/>
              <w:jc w:val="center"/>
              <w:rPr>
                <w:sz w:val="20"/>
                <w:szCs w:val="20"/>
              </w:rPr>
            </w:pPr>
            <w:r w:rsidRPr="004C78D8">
              <w:rPr>
                <w:sz w:val="20"/>
                <w:szCs w:val="20"/>
              </w:rPr>
              <w:t>Funct. dep.</w:t>
            </w:r>
          </w:p>
        </w:tc>
        <w:tc>
          <w:tcPr>
            <w:tcW w:w="295" w:type="pct"/>
            <w:tcBorders>
              <w:top w:val="nil"/>
              <w:bottom w:val="nil"/>
            </w:tcBorders>
            <w:vAlign w:val="center"/>
          </w:tcPr>
          <w:p w14:paraId="249CE660" w14:textId="77777777" w:rsidR="00E45731" w:rsidRPr="004C78D8" w:rsidRDefault="00E45731" w:rsidP="00FB7C1F">
            <w:pPr>
              <w:spacing w:after="0"/>
              <w:jc w:val="center"/>
            </w:pPr>
          </w:p>
        </w:tc>
        <w:tc>
          <w:tcPr>
            <w:tcW w:w="357" w:type="pct"/>
            <w:tcBorders>
              <w:top w:val="nil"/>
              <w:bottom w:val="nil"/>
            </w:tcBorders>
            <w:vAlign w:val="center"/>
          </w:tcPr>
          <w:p w14:paraId="323EA853" w14:textId="77777777" w:rsidR="00E45731" w:rsidRPr="004C78D8" w:rsidRDefault="00E45731" w:rsidP="00FB7C1F">
            <w:pPr>
              <w:spacing w:after="0"/>
              <w:jc w:val="center"/>
            </w:pPr>
          </w:p>
        </w:tc>
      </w:tr>
      <w:tr w:rsidR="00E45731" w:rsidRPr="004C78D8" w14:paraId="3E0A9A94" w14:textId="77777777" w:rsidTr="002828C1">
        <w:tc>
          <w:tcPr>
            <w:tcW w:w="458" w:type="pct"/>
            <w:vMerge/>
          </w:tcPr>
          <w:p w14:paraId="3E13F5BE" w14:textId="77777777" w:rsidR="00E45731" w:rsidRPr="004C78D8" w:rsidRDefault="00E45731" w:rsidP="00FB7C1F">
            <w:pPr>
              <w:widowControl w:val="0"/>
              <w:pBdr>
                <w:top w:val="nil"/>
                <w:left w:val="nil"/>
                <w:bottom w:val="nil"/>
                <w:right w:val="nil"/>
                <w:between w:val="nil"/>
              </w:pBdr>
              <w:spacing w:after="0" w:line="276" w:lineRule="auto"/>
              <w:jc w:val="left"/>
            </w:pPr>
          </w:p>
        </w:tc>
        <w:tc>
          <w:tcPr>
            <w:tcW w:w="715" w:type="pct"/>
          </w:tcPr>
          <w:p w14:paraId="1EC75C1B" w14:textId="77777777" w:rsidR="00E45731" w:rsidRPr="004C78D8" w:rsidRDefault="00E45731" w:rsidP="00FB7C1F">
            <w:pPr>
              <w:spacing w:after="0"/>
              <w:jc w:val="left"/>
              <w:rPr>
                <w:sz w:val="18"/>
                <w:szCs w:val="18"/>
              </w:rPr>
            </w:pPr>
            <w:r w:rsidRPr="004C78D8">
              <w:rPr>
                <w:sz w:val="18"/>
                <w:szCs w:val="18"/>
              </w:rPr>
              <w:t>Functional dependency</w:t>
            </w:r>
          </w:p>
        </w:tc>
        <w:tc>
          <w:tcPr>
            <w:tcW w:w="255" w:type="pct"/>
            <w:tcBorders>
              <w:top w:val="nil"/>
              <w:bottom w:val="nil"/>
            </w:tcBorders>
            <w:vAlign w:val="center"/>
          </w:tcPr>
          <w:p w14:paraId="612548BB" w14:textId="77777777" w:rsidR="00E45731" w:rsidRPr="004C78D8" w:rsidRDefault="00E45731" w:rsidP="00FB7C1F">
            <w:pPr>
              <w:spacing w:after="0"/>
              <w:jc w:val="center"/>
              <w:rPr>
                <w:sz w:val="28"/>
                <w:szCs w:val="28"/>
              </w:rPr>
            </w:pPr>
            <w:r w:rsidRPr="004C78D8">
              <w:rPr>
                <w:sz w:val="28"/>
                <w:szCs w:val="28"/>
              </w:rPr>
              <w:t>˟</w:t>
            </w:r>
          </w:p>
        </w:tc>
        <w:tc>
          <w:tcPr>
            <w:tcW w:w="255" w:type="pct"/>
            <w:tcBorders>
              <w:top w:val="nil"/>
              <w:bottom w:val="nil"/>
            </w:tcBorders>
            <w:vAlign w:val="center"/>
          </w:tcPr>
          <w:p w14:paraId="6E640E5D" w14:textId="77777777" w:rsidR="00E45731" w:rsidRPr="004C78D8" w:rsidRDefault="00E45731" w:rsidP="00FB7C1F">
            <w:pPr>
              <w:spacing w:after="0"/>
              <w:jc w:val="center"/>
              <w:rPr>
                <w:sz w:val="28"/>
                <w:szCs w:val="28"/>
              </w:rPr>
            </w:pPr>
            <w:r w:rsidRPr="004C78D8">
              <w:rPr>
                <w:sz w:val="28"/>
                <w:szCs w:val="28"/>
              </w:rPr>
              <w:t>˟</w:t>
            </w:r>
          </w:p>
        </w:tc>
        <w:tc>
          <w:tcPr>
            <w:tcW w:w="357" w:type="pct"/>
            <w:tcBorders>
              <w:top w:val="nil"/>
              <w:bottom w:val="nil"/>
            </w:tcBorders>
            <w:vAlign w:val="center"/>
          </w:tcPr>
          <w:p w14:paraId="0F87FD39" w14:textId="77777777" w:rsidR="00E45731" w:rsidRPr="004C78D8" w:rsidRDefault="00E45731" w:rsidP="00FB7C1F">
            <w:pPr>
              <w:spacing w:after="0"/>
              <w:jc w:val="center"/>
              <w:rPr>
                <w:sz w:val="28"/>
                <w:szCs w:val="28"/>
              </w:rPr>
            </w:pPr>
          </w:p>
        </w:tc>
        <w:tc>
          <w:tcPr>
            <w:tcW w:w="352" w:type="pct"/>
            <w:tcBorders>
              <w:top w:val="nil"/>
              <w:bottom w:val="nil"/>
            </w:tcBorders>
            <w:vAlign w:val="center"/>
          </w:tcPr>
          <w:p w14:paraId="6F0A3BDC" w14:textId="77777777" w:rsidR="00E45731" w:rsidRPr="004C78D8" w:rsidRDefault="00E45731" w:rsidP="00FB7C1F">
            <w:pPr>
              <w:spacing w:after="0"/>
              <w:jc w:val="center"/>
              <w:rPr>
                <w:i/>
                <w:sz w:val="28"/>
                <w:szCs w:val="28"/>
              </w:rPr>
            </w:pPr>
          </w:p>
        </w:tc>
        <w:tc>
          <w:tcPr>
            <w:tcW w:w="326" w:type="pct"/>
            <w:tcBorders>
              <w:top w:val="nil"/>
              <w:bottom w:val="nil"/>
            </w:tcBorders>
            <w:vAlign w:val="center"/>
          </w:tcPr>
          <w:p w14:paraId="76A7640D" w14:textId="77777777" w:rsidR="00E45731" w:rsidRPr="004C78D8" w:rsidRDefault="00E45731" w:rsidP="00FB7C1F">
            <w:pPr>
              <w:spacing w:after="0"/>
              <w:jc w:val="center"/>
              <w:rPr>
                <w:sz w:val="28"/>
                <w:szCs w:val="28"/>
              </w:rPr>
            </w:pPr>
          </w:p>
        </w:tc>
        <w:tc>
          <w:tcPr>
            <w:tcW w:w="326" w:type="pct"/>
            <w:tcBorders>
              <w:top w:val="nil"/>
              <w:bottom w:val="nil"/>
            </w:tcBorders>
            <w:vAlign w:val="center"/>
          </w:tcPr>
          <w:p w14:paraId="0EB62DC1" w14:textId="77777777" w:rsidR="00E45731" w:rsidRPr="004C78D8" w:rsidRDefault="00E45731" w:rsidP="00FB7C1F">
            <w:pPr>
              <w:spacing w:after="0"/>
              <w:jc w:val="center"/>
              <w:rPr>
                <w:sz w:val="28"/>
                <w:szCs w:val="28"/>
              </w:rPr>
            </w:pPr>
            <w:r w:rsidRPr="004C78D8">
              <w:rPr>
                <w:sz w:val="28"/>
                <w:szCs w:val="28"/>
              </w:rPr>
              <w:t>˟</w:t>
            </w:r>
          </w:p>
        </w:tc>
        <w:tc>
          <w:tcPr>
            <w:tcW w:w="272" w:type="pct"/>
            <w:tcBorders>
              <w:top w:val="nil"/>
              <w:bottom w:val="nil"/>
            </w:tcBorders>
            <w:vAlign w:val="center"/>
          </w:tcPr>
          <w:p w14:paraId="7E05EF4B" w14:textId="77777777" w:rsidR="00E45731" w:rsidRPr="004C78D8" w:rsidRDefault="00E45731" w:rsidP="00FB7C1F">
            <w:pPr>
              <w:spacing w:after="0"/>
              <w:jc w:val="center"/>
            </w:pPr>
          </w:p>
        </w:tc>
        <w:tc>
          <w:tcPr>
            <w:tcW w:w="306" w:type="pct"/>
            <w:tcBorders>
              <w:top w:val="nil"/>
              <w:bottom w:val="nil"/>
            </w:tcBorders>
            <w:vAlign w:val="center"/>
          </w:tcPr>
          <w:p w14:paraId="44BA1A90" w14:textId="77777777" w:rsidR="00E45731" w:rsidRPr="004C78D8" w:rsidRDefault="00E45731" w:rsidP="00FB7C1F">
            <w:pPr>
              <w:spacing w:after="0"/>
              <w:jc w:val="center"/>
            </w:pPr>
          </w:p>
        </w:tc>
        <w:tc>
          <w:tcPr>
            <w:tcW w:w="400" w:type="pct"/>
            <w:tcBorders>
              <w:top w:val="nil"/>
              <w:bottom w:val="nil"/>
            </w:tcBorders>
            <w:vAlign w:val="center"/>
          </w:tcPr>
          <w:p w14:paraId="3299EC24" w14:textId="77777777" w:rsidR="00E45731" w:rsidRPr="004C78D8" w:rsidRDefault="00E45731" w:rsidP="00FB7C1F">
            <w:pPr>
              <w:spacing w:after="0"/>
              <w:jc w:val="center"/>
              <w:rPr>
                <w:sz w:val="36"/>
                <w:szCs w:val="36"/>
              </w:rPr>
            </w:pPr>
          </w:p>
        </w:tc>
        <w:tc>
          <w:tcPr>
            <w:tcW w:w="326" w:type="pct"/>
            <w:tcBorders>
              <w:top w:val="nil"/>
              <w:bottom w:val="nil"/>
            </w:tcBorders>
            <w:vAlign w:val="center"/>
          </w:tcPr>
          <w:p w14:paraId="5604F526" w14:textId="77777777" w:rsidR="00E45731" w:rsidRPr="004C78D8" w:rsidRDefault="00E45731" w:rsidP="00FB7C1F">
            <w:pPr>
              <w:spacing w:after="0"/>
              <w:jc w:val="center"/>
              <w:rPr>
                <w:sz w:val="20"/>
                <w:szCs w:val="20"/>
              </w:rPr>
            </w:pPr>
          </w:p>
        </w:tc>
        <w:tc>
          <w:tcPr>
            <w:tcW w:w="295" w:type="pct"/>
            <w:tcBorders>
              <w:top w:val="nil"/>
              <w:bottom w:val="nil"/>
            </w:tcBorders>
            <w:vAlign w:val="center"/>
          </w:tcPr>
          <w:p w14:paraId="173D8501" w14:textId="77777777" w:rsidR="00E45731" w:rsidRPr="004C78D8" w:rsidRDefault="00E45731" w:rsidP="00FB7C1F">
            <w:pPr>
              <w:spacing w:after="0"/>
              <w:jc w:val="center"/>
            </w:pPr>
          </w:p>
        </w:tc>
        <w:tc>
          <w:tcPr>
            <w:tcW w:w="357" w:type="pct"/>
            <w:tcBorders>
              <w:top w:val="nil"/>
              <w:bottom w:val="nil"/>
            </w:tcBorders>
            <w:vAlign w:val="center"/>
          </w:tcPr>
          <w:p w14:paraId="2E2434CE" w14:textId="77777777" w:rsidR="00E45731" w:rsidRPr="004C78D8" w:rsidRDefault="00E45731" w:rsidP="00FB7C1F">
            <w:pPr>
              <w:spacing w:after="0"/>
              <w:jc w:val="center"/>
            </w:pPr>
          </w:p>
        </w:tc>
      </w:tr>
      <w:tr w:rsidR="00E45731" w:rsidRPr="004C78D8" w14:paraId="7D64AF5B" w14:textId="77777777" w:rsidTr="002828C1">
        <w:tc>
          <w:tcPr>
            <w:tcW w:w="458" w:type="pct"/>
          </w:tcPr>
          <w:p w14:paraId="37D8EE24" w14:textId="77777777" w:rsidR="00E45731" w:rsidRPr="004C78D8" w:rsidRDefault="00E45731" w:rsidP="00FB7C1F">
            <w:pPr>
              <w:spacing w:after="0"/>
              <w:jc w:val="left"/>
              <w:rPr>
                <w:sz w:val="18"/>
                <w:szCs w:val="18"/>
              </w:rPr>
            </w:pPr>
            <w:r w:rsidRPr="004C78D8">
              <w:rPr>
                <w:sz w:val="18"/>
                <w:szCs w:val="18"/>
              </w:rPr>
              <w:t>Howland (2015)</w:t>
            </w:r>
          </w:p>
        </w:tc>
        <w:tc>
          <w:tcPr>
            <w:tcW w:w="715" w:type="pct"/>
          </w:tcPr>
          <w:p w14:paraId="1834B4C5" w14:textId="77777777" w:rsidR="00E45731" w:rsidRPr="004C78D8" w:rsidRDefault="00E45731" w:rsidP="00FB7C1F">
            <w:pPr>
              <w:spacing w:after="0"/>
              <w:jc w:val="left"/>
              <w:rPr>
                <w:sz w:val="18"/>
                <w:szCs w:val="18"/>
              </w:rPr>
            </w:pPr>
            <w:r w:rsidRPr="004C78D8">
              <w:rPr>
                <w:sz w:val="18"/>
                <w:szCs w:val="18"/>
              </w:rPr>
              <w:t>MA fall; Care events</w:t>
            </w:r>
          </w:p>
        </w:tc>
        <w:tc>
          <w:tcPr>
            <w:tcW w:w="255" w:type="pct"/>
            <w:tcBorders>
              <w:top w:val="nil"/>
              <w:bottom w:val="nil"/>
            </w:tcBorders>
            <w:vAlign w:val="center"/>
          </w:tcPr>
          <w:p w14:paraId="3907AD4D" w14:textId="77777777" w:rsidR="00E45731" w:rsidRPr="004C78D8" w:rsidRDefault="00E45731" w:rsidP="00FB7C1F">
            <w:pPr>
              <w:spacing w:after="0"/>
              <w:jc w:val="center"/>
            </w:pPr>
          </w:p>
        </w:tc>
        <w:tc>
          <w:tcPr>
            <w:tcW w:w="255" w:type="pct"/>
            <w:tcBorders>
              <w:top w:val="nil"/>
              <w:bottom w:val="nil"/>
            </w:tcBorders>
            <w:vAlign w:val="center"/>
          </w:tcPr>
          <w:p w14:paraId="7690449A" w14:textId="77777777" w:rsidR="00E45731" w:rsidRPr="004C78D8" w:rsidRDefault="00E45731" w:rsidP="00FB7C1F">
            <w:pPr>
              <w:spacing w:after="0"/>
              <w:jc w:val="center"/>
            </w:pPr>
          </w:p>
        </w:tc>
        <w:tc>
          <w:tcPr>
            <w:tcW w:w="357" w:type="pct"/>
            <w:tcBorders>
              <w:top w:val="nil"/>
              <w:bottom w:val="nil"/>
            </w:tcBorders>
            <w:vAlign w:val="center"/>
          </w:tcPr>
          <w:p w14:paraId="17A4BBCA" w14:textId="77777777" w:rsidR="00E45731" w:rsidRPr="004C78D8" w:rsidRDefault="00E45731" w:rsidP="00FB7C1F">
            <w:pPr>
              <w:spacing w:after="0"/>
              <w:jc w:val="center"/>
            </w:pPr>
          </w:p>
        </w:tc>
        <w:tc>
          <w:tcPr>
            <w:tcW w:w="352" w:type="pct"/>
            <w:tcBorders>
              <w:top w:val="nil"/>
              <w:bottom w:val="nil"/>
            </w:tcBorders>
            <w:vAlign w:val="center"/>
          </w:tcPr>
          <w:p w14:paraId="25C4E0F8" w14:textId="77777777" w:rsidR="00E45731" w:rsidRPr="004C78D8" w:rsidRDefault="00E45731" w:rsidP="00FB7C1F">
            <w:pPr>
              <w:spacing w:after="0"/>
              <w:jc w:val="center"/>
            </w:pPr>
          </w:p>
        </w:tc>
        <w:tc>
          <w:tcPr>
            <w:tcW w:w="326" w:type="pct"/>
            <w:tcBorders>
              <w:top w:val="nil"/>
              <w:bottom w:val="nil"/>
            </w:tcBorders>
            <w:vAlign w:val="center"/>
          </w:tcPr>
          <w:p w14:paraId="0CF7407F" w14:textId="77777777" w:rsidR="00E45731" w:rsidRPr="004C78D8" w:rsidRDefault="00E45731" w:rsidP="00FB7C1F">
            <w:pPr>
              <w:spacing w:after="0"/>
              <w:jc w:val="center"/>
            </w:pPr>
          </w:p>
        </w:tc>
        <w:tc>
          <w:tcPr>
            <w:tcW w:w="326" w:type="pct"/>
            <w:tcBorders>
              <w:top w:val="nil"/>
              <w:bottom w:val="nil"/>
            </w:tcBorders>
            <w:vAlign w:val="center"/>
          </w:tcPr>
          <w:p w14:paraId="0471F6AC" w14:textId="77777777" w:rsidR="00E45731" w:rsidRPr="004C78D8" w:rsidRDefault="00E45731" w:rsidP="00FB7C1F">
            <w:pPr>
              <w:spacing w:after="0"/>
              <w:jc w:val="center"/>
              <w:rPr>
                <w:i/>
                <w:sz w:val="18"/>
                <w:szCs w:val="18"/>
              </w:rPr>
            </w:pPr>
            <w:r w:rsidRPr="004C78D8">
              <w:rPr>
                <w:i/>
                <w:sz w:val="18"/>
                <w:szCs w:val="18"/>
              </w:rPr>
              <w:t>Exo</w:t>
            </w:r>
          </w:p>
        </w:tc>
        <w:tc>
          <w:tcPr>
            <w:tcW w:w="272" w:type="pct"/>
            <w:tcBorders>
              <w:top w:val="nil"/>
              <w:bottom w:val="nil"/>
            </w:tcBorders>
            <w:vAlign w:val="center"/>
          </w:tcPr>
          <w:p w14:paraId="2310D03F" w14:textId="77777777" w:rsidR="00E45731" w:rsidRPr="004C78D8" w:rsidRDefault="00E45731" w:rsidP="00FB7C1F">
            <w:pPr>
              <w:spacing w:after="0"/>
              <w:jc w:val="center"/>
            </w:pPr>
          </w:p>
        </w:tc>
        <w:tc>
          <w:tcPr>
            <w:tcW w:w="306" w:type="pct"/>
            <w:tcBorders>
              <w:top w:val="nil"/>
              <w:bottom w:val="nil"/>
            </w:tcBorders>
            <w:vAlign w:val="center"/>
          </w:tcPr>
          <w:p w14:paraId="5711B75C" w14:textId="77777777" w:rsidR="00E45731" w:rsidRPr="004C78D8" w:rsidRDefault="00E45731" w:rsidP="00FB7C1F">
            <w:pPr>
              <w:spacing w:after="0"/>
              <w:jc w:val="center"/>
            </w:pPr>
          </w:p>
        </w:tc>
        <w:tc>
          <w:tcPr>
            <w:tcW w:w="400" w:type="pct"/>
            <w:tcBorders>
              <w:top w:val="nil"/>
              <w:bottom w:val="nil"/>
            </w:tcBorders>
            <w:vAlign w:val="center"/>
          </w:tcPr>
          <w:p w14:paraId="5DB42048" w14:textId="77777777" w:rsidR="00E45731" w:rsidRPr="004C78D8" w:rsidRDefault="00E45731" w:rsidP="00FB7C1F">
            <w:pPr>
              <w:spacing w:after="0"/>
              <w:jc w:val="center"/>
            </w:pPr>
          </w:p>
        </w:tc>
        <w:tc>
          <w:tcPr>
            <w:tcW w:w="326" w:type="pct"/>
            <w:tcBorders>
              <w:top w:val="nil"/>
              <w:bottom w:val="nil"/>
            </w:tcBorders>
            <w:vAlign w:val="center"/>
          </w:tcPr>
          <w:p w14:paraId="62475E85" w14:textId="77777777" w:rsidR="00E45731" w:rsidRPr="004C78D8" w:rsidRDefault="00E45731" w:rsidP="00FB7C1F">
            <w:pPr>
              <w:spacing w:after="0"/>
              <w:jc w:val="center"/>
            </w:pPr>
          </w:p>
        </w:tc>
        <w:tc>
          <w:tcPr>
            <w:tcW w:w="295" w:type="pct"/>
            <w:tcBorders>
              <w:top w:val="nil"/>
              <w:bottom w:val="nil"/>
            </w:tcBorders>
            <w:vAlign w:val="center"/>
          </w:tcPr>
          <w:p w14:paraId="6701F186" w14:textId="77777777" w:rsidR="00E45731" w:rsidRPr="004C78D8" w:rsidRDefault="00E45731" w:rsidP="00FB7C1F">
            <w:pPr>
              <w:spacing w:after="0"/>
              <w:jc w:val="center"/>
            </w:pPr>
          </w:p>
        </w:tc>
        <w:tc>
          <w:tcPr>
            <w:tcW w:w="357" w:type="pct"/>
            <w:tcBorders>
              <w:top w:val="nil"/>
              <w:bottom w:val="nil"/>
            </w:tcBorders>
            <w:vAlign w:val="center"/>
          </w:tcPr>
          <w:p w14:paraId="509BA062" w14:textId="77777777" w:rsidR="00E45731" w:rsidRPr="004C78D8" w:rsidRDefault="00E45731" w:rsidP="00FB7C1F">
            <w:pPr>
              <w:spacing w:after="0"/>
              <w:jc w:val="center"/>
            </w:pPr>
          </w:p>
        </w:tc>
      </w:tr>
      <w:tr w:rsidR="00E45731" w:rsidRPr="004C78D8" w14:paraId="249EA49D" w14:textId="77777777" w:rsidTr="002828C1">
        <w:tc>
          <w:tcPr>
            <w:tcW w:w="458" w:type="pct"/>
          </w:tcPr>
          <w:p w14:paraId="1AA83B82" w14:textId="77777777" w:rsidR="00E45731" w:rsidRPr="004C78D8" w:rsidRDefault="00E45731" w:rsidP="00FB7C1F">
            <w:pPr>
              <w:spacing w:after="0"/>
              <w:jc w:val="left"/>
              <w:rPr>
                <w:sz w:val="18"/>
                <w:szCs w:val="18"/>
              </w:rPr>
            </w:pPr>
            <w:r w:rsidRPr="004C78D8">
              <w:rPr>
                <w:sz w:val="18"/>
                <w:szCs w:val="18"/>
              </w:rPr>
              <w:t>Lee (2013)</w:t>
            </w:r>
          </w:p>
        </w:tc>
        <w:tc>
          <w:tcPr>
            <w:tcW w:w="715" w:type="pct"/>
          </w:tcPr>
          <w:p w14:paraId="42FFB109" w14:textId="77777777" w:rsidR="00E45731" w:rsidRPr="004C78D8" w:rsidRDefault="00E45731" w:rsidP="00FB7C1F">
            <w:pPr>
              <w:spacing w:after="0"/>
              <w:jc w:val="left"/>
              <w:rPr>
                <w:sz w:val="18"/>
                <w:szCs w:val="18"/>
              </w:rPr>
            </w:pPr>
            <w:r w:rsidRPr="004C78D8">
              <w:rPr>
                <w:sz w:val="18"/>
                <w:szCs w:val="18"/>
              </w:rPr>
              <w:t>Any fall; MA fall</w:t>
            </w:r>
          </w:p>
        </w:tc>
        <w:tc>
          <w:tcPr>
            <w:tcW w:w="255" w:type="pct"/>
            <w:tcBorders>
              <w:top w:val="nil"/>
              <w:bottom w:val="nil"/>
            </w:tcBorders>
            <w:vAlign w:val="center"/>
          </w:tcPr>
          <w:p w14:paraId="663772B2" w14:textId="77777777" w:rsidR="00E45731" w:rsidRPr="004C78D8" w:rsidRDefault="00E45731" w:rsidP="00FB7C1F">
            <w:pPr>
              <w:spacing w:after="0"/>
              <w:jc w:val="center"/>
              <w:rPr>
                <w:sz w:val="28"/>
                <w:szCs w:val="28"/>
              </w:rPr>
            </w:pPr>
            <w:r w:rsidRPr="004C78D8">
              <w:rPr>
                <w:sz w:val="28"/>
                <w:szCs w:val="28"/>
              </w:rPr>
              <w:t>˟</w:t>
            </w:r>
          </w:p>
        </w:tc>
        <w:tc>
          <w:tcPr>
            <w:tcW w:w="255" w:type="pct"/>
            <w:tcBorders>
              <w:top w:val="nil"/>
              <w:bottom w:val="nil"/>
            </w:tcBorders>
            <w:vAlign w:val="center"/>
          </w:tcPr>
          <w:p w14:paraId="7837FAFD" w14:textId="77777777" w:rsidR="00E45731" w:rsidRPr="004C78D8" w:rsidRDefault="00E45731" w:rsidP="00FB7C1F">
            <w:pPr>
              <w:spacing w:after="0"/>
              <w:jc w:val="center"/>
              <w:rPr>
                <w:sz w:val="28"/>
                <w:szCs w:val="28"/>
              </w:rPr>
            </w:pPr>
            <w:r w:rsidRPr="004C78D8">
              <w:rPr>
                <w:sz w:val="28"/>
                <w:szCs w:val="28"/>
              </w:rPr>
              <w:t>˟</w:t>
            </w:r>
          </w:p>
        </w:tc>
        <w:tc>
          <w:tcPr>
            <w:tcW w:w="357" w:type="pct"/>
            <w:tcBorders>
              <w:top w:val="nil"/>
              <w:bottom w:val="nil"/>
            </w:tcBorders>
            <w:vAlign w:val="center"/>
          </w:tcPr>
          <w:p w14:paraId="16A4C46F" w14:textId="77777777" w:rsidR="00E45731" w:rsidRPr="004C78D8" w:rsidRDefault="00E45731" w:rsidP="00FB7C1F">
            <w:pPr>
              <w:spacing w:after="0"/>
              <w:jc w:val="center"/>
            </w:pPr>
            <w:r w:rsidRPr="004C78D8">
              <w:rPr>
                <w:i/>
                <w:sz w:val="18"/>
                <w:szCs w:val="18"/>
              </w:rPr>
              <w:t>Exo</w:t>
            </w:r>
          </w:p>
        </w:tc>
        <w:tc>
          <w:tcPr>
            <w:tcW w:w="352" w:type="pct"/>
            <w:tcBorders>
              <w:top w:val="nil"/>
              <w:bottom w:val="nil"/>
            </w:tcBorders>
            <w:vAlign w:val="center"/>
          </w:tcPr>
          <w:p w14:paraId="4A108800" w14:textId="77777777" w:rsidR="00E45731" w:rsidRPr="004C78D8" w:rsidRDefault="00E45731" w:rsidP="00FB7C1F">
            <w:pPr>
              <w:spacing w:after="0"/>
              <w:jc w:val="center"/>
            </w:pPr>
          </w:p>
        </w:tc>
        <w:tc>
          <w:tcPr>
            <w:tcW w:w="326" w:type="pct"/>
            <w:tcBorders>
              <w:top w:val="nil"/>
              <w:bottom w:val="nil"/>
            </w:tcBorders>
            <w:vAlign w:val="center"/>
          </w:tcPr>
          <w:p w14:paraId="773E523F" w14:textId="77777777" w:rsidR="00E45731" w:rsidRPr="004C78D8" w:rsidRDefault="00E45731" w:rsidP="00FB7C1F">
            <w:pPr>
              <w:spacing w:after="0"/>
              <w:jc w:val="center"/>
            </w:pPr>
          </w:p>
        </w:tc>
        <w:tc>
          <w:tcPr>
            <w:tcW w:w="326" w:type="pct"/>
            <w:tcBorders>
              <w:top w:val="nil"/>
              <w:bottom w:val="nil"/>
            </w:tcBorders>
            <w:vAlign w:val="center"/>
          </w:tcPr>
          <w:p w14:paraId="2CE62A75" w14:textId="77777777" w:rsidR="00E45731" w:rsidRPr="004C78D8" w:rsidRDefault="00E45731" w:rsidP="00FB7C1F">
            <w:pPr>
              <w:spacing w:after="0"/>
              <w:jc w:val="center"/>
              <w:rPr>
                <w:sz w:val="18"/>
                <w:szCs w:val="18"/>
              </w:rPr>
            </w:pPr>
            <w:r w:rsidRPr="004C78D8">
              <w:rPr>
                <w:i/>
                <w:sz w:val="18"/>
                <w:szCs w:val="18"/>
              </w:rPr>
              <w:t>Exo</w:t>
            </w:r>
          </w:p>
        </w:tc>
        <w:tc>
          <w:tcPr>
            <w:tcW w:w="272" w:type="pct"/>
            <w:tcBorders>
              <w:top w:val="nil"/>
              <w:bottom w:val="nil"/>
            </w:tcBorders>
            <w:vAlign w:val="center"/>
          </w:tcPr>
          <w:p w14:paraId="14F78FD1" w14:textId="77777777" w:rsidR="00E45731" w:rsidRPr="004C78D8" w:rsidRDefault="00E45731" w:rsidP="00FB7C1F">
            <w:pPr>
              <w:spacing w:after="0"/>
              <w:jc w:val="center"/>
            </w:pPr>
          </w:p>
        </w:tc>
        <w:tc>
          <w:tcPr>
            <w:tcW w:w="306" w:type="pct"/>
            <w:tcBorders>
              <w:top w:val="nil"/>
              <w:bottom w:val="nil"/>
            </w:tcBorders>
            <w:vAlign w:val="center"/>
          </w:tcPr>
          <w:p w14:paraId="7854F913" w14:textId="77777777" w:rsidR="00E45731" w:rsidRPr="004C78D8" w:rsidRDefault="00E45731" w:rsidP="00FB7C1F">
            <w:pPr>
              <w:spacing w:after="0"/>
              <w:jc w:val="center"/>
            </w:pPr>
          </w:p>
        </w:tc>
        <w:tc>
          <w:tcPr>
            <w:tcW w:w="400" w:type="pct"/>
            <w:tcBorders>
              <w:top w:val="nil"/>
              <w:bottom w:val="nil"/>
            </w:tcBorders>
            <w:vAlign w:val="center"/>
          </w:tcPr>
          <w:p w14:paraId="6EE437EC" w14:textId="77777777" w:rsidR="00E45731" w:rsidRPr="004C78D8" w:rsidRDefault="00E45731" w:rsidP="00FB7C1F">
            <w:pPr>
              <w:spacing w:after="0"/>
              <w:jc w:val="center"/>
            </w:pPr>
          </w:p>
        </w:tc>
        <w:tc>
          <w:tcPr>
            <w:tcW w:w="326" w:type="pct"/>
            <w:tcBorders>
              <w:top w:val="nil"/>
              <w:bottom w:val="nil"/>
            </w:tcBorders>
            <w:vAlign w:val="center"/>
          </w:tcPr>
          <w:p w14:paraId="444259D6" w14:textId="77777777" w:rsidR="00E45731" w:rsidRPr="004C78D8" w:rsidRDefault="00E45731" w:rsidP="00FB7C1F">
            <w:pPr>
              <w:spacing w:after="0"/>
              <w:jc w:val="center"/>
              <w:rPr>
                <w:sz w:val="18"/>
                <w:szCs w:val="18"/>
              </w:rPr>
            </w:pPr>
            <w:r w:rsidRPr="004C78D8">
              <w:rPr>
                <w:sz w:val="18"/>
                <w:szCs w:val="18"/>
              </w:rPr>
              <w:t>Vit. D def.</w:t>
            </w:r>
          </w:p>
        </w:tc>
        <w:tc>
          <w:tcPr>
            <w:tcW w:w="295" w:type="pct"/>
            <w:tcBorders>
              <w:top w:val="nil"/>
              <w:bottom w:val="nil"/>
            </w:tcBorders>
            <w:vAlign w:val="center"/>
          </w:tcPr>
          <w:p w14:paraId="407D3F62" w14:textId="77777777" w:rsidR="00E45731" w:rsidRPr="004C78D8" w:rsidRDefault="00E45731" w:rsidP="00FB7C1F">
            <w:pPr>
              <w:spacing w:after="0"/>
              <w:jc w:val="center"/>
              <w:rPr>
                <w:sz w:val="18"/>
                <w:szCs w:val="18"/>
              </w:rPr>
            </w:pPr>
          </w:p>
        </w:tc>
        <w:tc>
          <w:tcPr>
            <w:tcW w:w="357" w:type="pct"/>
            <w:tcBorders>
              <w:top w:val="nil"/>
              <w:bottom w:val="nil"/>
            </w:tcBorders>
            <w:vAlign w:val="center"/>
          </w:tcPr>
          <w:p w14:paraId="1FF567DF" w14:textId="77777777" w:rsidR="00E45731" w:rsidRPr="004C78D8" w:rsidRDefault="00E45731" w:rsidP="00FB7C1F">
            <w:pPr>
              <w:spacing w:after="0"/>
              <w:jc w:val="center"/>
              <w:rPr>
                <w:sz w:val="18"/>
                <w:szCs w:val="18"/>
              </w:rPr>
            </w:pPr>
            <w:r w:rsidRPr="004C78D8">
              <w:rPr>
                <w:sz w:val="18"/>
                <w:szCs w:val="18"/>
              </w:rPr>
              <w:t>Vit. D level</w:t>
            </w:r>
          </w:p>
        </w:tc>
      </w:tr>
      <w:tr w:rsidR="00E45731" w:rsidRPr="004C78D8" w14:paraId="3DA96056" w14:textId="77777777" w:rsidTr="002828C1">
        <w:tc>
          <w:tcPr>
            <w:tcW w:w="458" w:type="pct"/>
          </w:tcPr>
          <w:p w14:paraId="751DE343" w14:textId="77777777" w:rsidR="00E45731" w:rsidRPr="004C78D8" w:rsidRDefault="00E45731" w:rsidP="00FB7C1F">
            <w:pPr>
              <w:spacing w:after="0"/>
              <w:jc w:val="left"/>
              <w:rPr>
                <w:sz w:val="18"/>
                <w:szCs w:val="18"/>
              </w:rPr>
            </w:pPr>
            <w:r w:rsidRPr="004C78D8">
              <w:rPr>
                <w:sz w:val="18"/>
                <w:szCs w:val="18"/>
              </w:rPr>
              <w:t>Ling (2008)</w:t>
            </w:r>
          </w:p>
        </w:tc>
        <w:tc>
          <w:tcPr>
            <w:tcW w:w="715" w:type="pct"/>
          </w:tcPr>
          <w:p w14:paraId="16A48571" w14:textId="77777777" w:rsidR="00E45731" w:rsidRPr="004C78D8" w:rsidRDefault="00E45731" w:rsidP="00FB7C1F">
            <w:pPr>
              <w:spacing w:after="0"/>
              <w:jc w:val="left"/>
              <w:rPr>
                <w:sz w:val="18"/>
                <w:szCs w:val="18"/>
              </w:rPr>
            </w:pPr>
            <w:r w:rsidRPr="004C78D8">
              <w:rPr>
                <w:sz w:val="18"/>
                <w:szCs w:val="18"/>
              </w:rPr>
              <w:t>Any fall</w:t>
            </w:r>
          </w:p>
        </w:tc>
        <w:tc>
          <w:tcPr>
            <w:tcW w:w="255" w:type="pct"/>
            <w:tcBorders>
              <w:top w:val="nil"/>
              <w:bottom w:val="nil"/>
            </w:tcBorders>
            <w:vAlign w:val="center"/>
          </w:tcPr>
          <w:p w14:paraId="409FFC85" w14:textId="77777777" w:rsidR="00E45731" w:rsidRPr="004C78D8" w:rsidRDefault="00E45731" w:rsidP="00FB7C1F">
            <w:pPr>
              <w:spacing w:after="0"/>
              <w:jc w:val="center"/>
              <w:rPr>
                <w:sz w:val="28"/>
                <w:szCs w:val="28"/>
              </w:rPr>
            </w:pPr>
            <w:r w:rsidRPr="004C78D8">
              <w:rPr>
                <w:sz w:val="28"/>
                <w:szCs w:val="28"/>
              </w:rPr>
              <w:t>˟</w:t>
            </w:r>
          </w:p>
        </w:tc>
        <w:tc>
          <w:tcPr>
            <w:tcW w:w="255" w:type="pct"/>
            <w:tcBorders>
              <w:top w:val="nil"/>
              <w:bottom w:val="nil"/>
            </w:tcBorders>
            <w:vAlign w:val="center"/>
          </w:tcPr>
          <w:p w14:paraId="54A74432" w14:textId="77777777" w:rsidR="00E45731" w:rsidRPr="004C78D8" w:rsidRDefault="00E45731" w:rsidP="00FB7C1F">
            <w:pPr>
              <w:spacing w:after="0"/>
              <w:jc w:val="center"/>
              <w:rPr>
                <w:sz w:val="28"/>
                <w:szCs w:val="28"/>
              </w:rPr>
            </w:pPr>
          </w:p>
        </w:tc>
        <w:tc>
          <w:tcPr>
            <w:tcW w:w="357" w:type="pct"/>
            <w:tcBorders>
              <w:top w:val="nil"/>
              <w:bottom w:val="nil"/>
            </w:tcBorders>
            <w:vAlign w:val="center"/>
          </w:tcPr>
          <w:p w14:paraId="2FF00FC0" w14:textId="77777777" w:rsidR="00E45731" w:rsidRPr="004C78D8" w:rsidRDefault="00E45731" w:rsidP="00FB7C1F">
            <w:pPr>
              <w:spacing w:after="0"/>
              <w:jc w:val="center"/>
              <w:rPr>
                <w:sz w:val="28"/>
                <w:szCs w:val="28"/>
              </w:rPr>
            </w:pPr>
          </w:p>
        </w:tc>
        <w:tc>
          <w:tcPr>
            <w:tcW w:w="352" w:type="pct"/>
            <w:tcBorders>
              <w:top w:val="nil"/>
              <w:bottom w:val="nil"/>
            </w:tcBorders>
            <w:vAlign w:val="center"/>
          </w:tcPr>
          <w:p w14:paraId="27990D92" w14:textId="77777777" w:rsidR="00E45731" w:rsidRPr="004C78D8" w:rsidRDefault="00E45731" w:rsidP="00FB7C1F">
            <w:pPr>
              <w:spacing w:after="0"/>
              <w:jc w:val="center"/>
              <w:rPr>
                <w:sz w:val="28"/>
                <w:szCs w:val="28"/>
              </w:rPr>
            </w:pPr>
          </w:p>
        </w:tc>
        <w:tc>
          <w:tcPr>
            <w:tcW w:w="326" w:type="pct"/>
            <w:tcBorders>
              <w:top w:val="nil"/>
              <w:bottom w:val="nil"/>
            </w:tcBorders>
            <w:vAlign w:val="center"/>
          </w:tcPr>
          <w:p w14:paraId="35AA6531" w14:textId="77777777" w:rsidR="00E45731" w:rsidRPr="004C78D8" w:rsidRDefault="00E45731" w:rsidP="00FB7C1F">
            <w:pPr>
              <w:spacing w:after="0"/>
              <w:jc w:val="center"/>
              <w:rPr>
                <w:sz w:val="28"/>
                <w:szCs w:val="28"/>
              </w:rPr>
            </w:pPr>
            <w:r w:rsidRPr="004C78D8">
              <w:rPr>
                <w:sz w:val="28"/>
                <w:szCs w:val="28"/>
              </w:rPr>
              <w:t>˟</w:t>
            </w:r>
          </w:p>
        </w:tc>
        <w:tc>
          <w:tcPr>
            <w:tcW w:w="326" w:type="pct"/>
            <w:tcBorders>
              <w:top w:val="nil"/>
              <w:bottom w:val="nil"/>
            </w:tcBorders>
            <w:vAlign w:val="center"/>
          </w:tcPr>
          <w:p w14:paraId="64F8E9C2" w14:textId="77777777" w:rsidR="00E45731" w:rsidRPr="004C78D8" w:rsidRDefault="00E45731" w:rsidP="00FB7C1F">
            <w:pPr>
              <w:spacing w:after="0"/>
              <w:jc w:val="center"/>
              <w:rPr>
                <w:sz w:val="28"/>
                <w:szCs w:val="28"/>
              </w:rPr>
            </w:pPr>
            <w:r w:rsidRPr="004C78D8">
              <w:rPr>
                <w:sz w:val="28"/>
                <w:szCs w:val="28"/>
              </w:rPr>
              <w:t>˟</w:t>
            </w:r>
          </w:p>
        </w:tc>
        <w:tc>
          <w:tcPr>
            <w:tcW w:w="272" w:type="pct"/>
            <w:tcBorders>
              <w:top w:val="nil"/>
              <w:bottom w:val="nil"/>
            </w:tcBorders>
            <w:vAlign w:val="center"/>
          </w:tcPr>
          <w:p w14:paraId="3C2C92F7" w14:textId="77777777" w:rsidR="00E45731" w:rsidRPr="004C78D8" w:rsidRDefault="00E45731" w:rsidP="00FB7C1F">
            <w:pPr>
              <w:spacing w:after="0"/>
              <w:jc w:val="center"/>
              <w:rPr>
                <w:sz w:val="28"/>
                <w:szCs w:val="28"/>
              </w:rPr>
            </w:pPr>
          </w:p>
        </w:tc>
        <w:tc>
          <w:tcPr>
            <w:tcW w:w="306" w:type="pct"/>
            <w:tcBorders>
              <w:top w:val="nil"/>
              <w:bottom w:val="nil"/>
            </w:tcBorders>
            <w:vAlign w:val="center"/>
          </w:tcPr>
          <w:p w14:paraId="150EDF41" w14:textId="77777777" w:rsidR="00E45731" w:rsidRPr="004C78D8" w:rsidRDefault="00E45731" w:rsidP="00FB7C1F">
            <w:pPr>
              <w:spacing w:after="0"/>
              <w:jc w:val="center"/>
              <w:rPr>
                <w:sz w:val="28"/>
                <w:szCs w:val="28"/>
              </w:rPr>
            </w:pPr>
            <w:r w:rsidRPr="004C78D8">
              <w:rPr>
                <w:sz w:val="28"/>
                <w:szCs w:val="28"/>
              </w:rPr>
              <w:t>˟</w:t>
            </w:r>
          </w:p>
        </w:tc>
        <w:tc>
          <w:tcPr>
            <w:tcW w:w="400" w:type="pct"/>
            <w:tcBorders>
              <w:top w:val="nil"/>
              <w:bottom w:val="nil"/>
            </w:tcBorders>
            <w:vAlign w:val="center"/>
          </w:tcPr>
          <w:p w14:paraId="76978C10" w14:textId="77777777" w:rsidR="00E45731" w:rsidRPr="004C78D8" w:rsidRDefault="00E45731" w:rsidP="00FB7C1F">
            <w:pPr>
              <w:spacing w:after="0"/>
              <w:jc w:val="center"/>
              <w:rPr>
                <w:sz w:val="28"/>
                <w:szCs w:val="28"/>
              </w:rPr>
            </w:pPr>
            <w:r w:rsidRPr="004C78D8">
              <w:rPr>
                <w:sz w:val="28"/>
                <w:szCs w:val="28"/>
              </w:rPr>
              <w:t>˟</w:t>
            </w:r>
          </w:p>
        </w:tc>
        <w:tc>
          <w:tcPr>
            <w:tcW w:w="326" w:type="pct"/>
            <w:tcBorders>
              <w:top w:val="nil"/>
              <w:bottom w:val="nil"/>
            </w:tcBorders>
            <w:vAlign w:val="center"/>
          </w:tcPr>
          <w:p w14:paraId="2EE53EA5" w14:textId="77777777" w:rsidR="00E45731" w:rsidRPr="004C78D8" w:rsidRDefault="00E45731" w:rsidP="00FB7C1F">
            <w:pPr>
              <w:spacing w:after="0"/>
              <w:jc w:val="center"/>
              <w:rPr>
                <w:sz w:val="28"/>
                <w:szCs w:val="28"/>
              </w:rPr>
            </w:pPr>
            <w:r w:rsidRPr="004C78D8">
              <w:rPr>
                <w:sz w:val="28"/>
                <w:szCs w:val="28"/>
              </w:rPr>
              <w:t>˟</w:t>
            </w:r>
          </w:p>
        </w:tc>
        <w:tc>
          <w:tcPr>
            <w:tcW w:w="295" w:type="pct"/>
            <w:tcBorders>
              <w:top w:val="nil"/>
              <w:bottom w:val="nil"/>
            </w:tcBorders>
            <w:vAlign w:val="center"/>
          </w:tcPr>
          <w:p w14:paraId="2BA10B19" w14:textId="77777777" w:rsidR="00E45731" w:rsidRPr="004C78D8" w:rsidRDefault="00E45731" w:rsidP="00FB7C1F">
            <w:pPr>
              <w:spacing w:after="0"/>
              <w:jc w:val="center"/>
            </w:pPr>
          </w:p>
        </w:tc>
        <w:tc>
          <w:tcPr>
            <w:tcW w:w="357" w:type="pct"/>
            <w:tcBorders>
              <w:top w:val="nil"/>
              <w:bottom w:val="nil"/>
            </w:tcBorders>
            <w:vAlign w:val="center"/>
          </w:tcPr>
          <w:p w14:paraId="5C3378AD" w14:textId="77777777" w:rsidR="00E45731" w:rsidRPr="004C78D8" w:rsidRDefault="00E45731" w:rsidP="00FB7C1F">
            <w:pPr>
              <w:spacing w:after="0"/>
              <w:jc w:val="center"/>
            </w:pPr>
          </w:p>
        </w:tc>
      </w:tr>
      <w:tr w:rsidR="00E45731" w:rsidRPr="004C78D8" w14:paraId="5D89AD04" w14:textId="77777777" w:rsidTr="002828C1">
        <w:tc>
          <w:tcPr>
            <w:tcW w:w="458" w:type="pct"/>
          </w:tcPr>
          <w:p w14:paraId="25E194C4" w14:textId="77777777" w:rsidR="00E45731" w:rsidRPr="004C78D8" w:rsidRDefault="00E45731" w:rsidP="00FB7C1F">
            <w:pPr>
              <w:spacing w:after="0"/>
              <w:jc w:val="left"/>
              <w:rPr>
                <w:sz w:val="18"/>
                <w:szCs w:val="18"/>
              </w:rPr>
            </w:pPr>
            <w:r w:rsidRPr="004C78D8">
              <w:rPr>
                <w:sz w:val="18"/>
                <w:szCs w:val="18"/>
              </w:rPr>
              <w:t>Miller (2011)</w:t>
            </w:r>
          </w:p>
        </w:tc>
        <w:tc>
          <w:tcPr>
            <w:tcW w:w="715" w:type="pct"/>
          </w:tcPr>
          <w:p w14:paraId="5A14EEA8" w14:textId="77777777" w:rsidR="00E45731" w:rsidRPr="004C78D8" w:rsidRDefault="00E45731" w:rsidP="00FB7C1F">
            <w:pPr>
              <w:spacing w:after="0"/>
              <w:jc w:val="left"/>
              <w:rPr>
                <w:sz w:val="18"/>
                <w:szCs w:val="18"/>
              </w:rPr>
            </w:pPr>
            <w:r w:rsidRPr="004C78D8">
              <w:rPr>
                <w:sz w:val="18"/>
                <w:szCs w:val="18"/>
              </w:rPr>
              <w:t>Hospitalised fall</w:t>
            </w:r>
          </w:p>
        </w:tc>
        <w:tc>
          <w:tcPr>
            <w:tcW w:w="255" w:type="pct"/>
            <w:tcBorders>
              <w:top w:val="nil"/>
              <w:bottom w:val="nil"/>
            </w:tcBorders>
            <w:vAlign w:val="center"/>
          </w:tcPr>
          <w:p w14:paraId="7014797F" w14:textId="77777777" w:rsidR="00E45731" w:rsidRPr="004C78D8" w:rsidRDefault="00E45731" w:rsidP="00FB7C1F">
            <w:pPr>
              <w:spacing w:after="0"/>
              <w:jc w:val="center"/>
              <w:rPr>
                <w:sz w:val="28"/>
                <w:szCs w:val="28"/>
              </w:rPr>
            </w:pPr>
            <w:r w:rsidRPr="004C78D8">
              <w:rPr>
                <w:sz w:val="28"/>
                <w:szCs w:val="28"/>
              </w:rPr>
              <w:t>˟</w:t>
            </w:r>
          </w:p>
        </w:tc>
        <w:tc>
          <w:tcPr>
            <w:tcW w:w="255" w:type="pct"/>
            <w:tcBorders>
              <w:top w:val="nil"/>
              <w:bottom w:val="nil"/>
            </w:tcBorders>
            <w:vAlign w:val="center"/>
          </w:tcPr>
          <w:p w14:paraId="5C85EE80" w14:textId="77777777" w:rsidR="00E45731" w:rsidRPr="004C78D8" w:rsidRDefault="00E45731" w:rsidP="00FB7C1F">
            <w:pPr>
              <w:spacing w:after="0"/>
              <w:jc w:val="center"/>
              <w:rPr>
                <w:sz w:val="28"/>
                <w:szCs w:val="28"/>
              </w:rPr>
            </w:pPr>
          </w:p>
        </w:tc>
        <w:tc>
          <w:tcPr>
            <w:tcW w:w="357" w:type="pct"/>
            <w:tcBorders>
              <w:top w:val="nil"/>
              <w:bottom w:val="nil"/>
            </w:tcBorders>
            <w:vAlign w:val="center"/>
          </w:tcPr>
          <w:p w14:paraId="191B9DF6" w14:textId="77777777" w:rsidR="00E45731" w:rsidRPr="004C78D8" w:rsidRDefault="00E45731" w:rsidP="00FB7C1F">
            <w:pPr>
              <w:spacing w:after="0"/>
              <w:jc w:val="center"/>
              <w:rPr>
                <w:sz w:val="28"/>
                <w:szCs w:val="28"/>
              </w:rPr>
            </w:pPr>
          </w:p>
        </w:tc>
        <w:tc>
          <w:tcPr>
            <w:tcW w:w="352" w:type="pct"/>
            <w:tcBorders>
              <w:top w:val="nil"/>
              <w:bottom w:val="nil"/>
            </w:tcBorders>
            <w:vAlign w:val="center"/>
          </w:tcPr>
          <w:p w14:paraId="5387AAB3" w14:textId="77777777" w:rsidR="00E45731" w:rsidRPr="004C78D8" w:rsidRDefault="00E45731" w:rsidP="00FB7C1F">
            <w:pPr>
              <w:spacing w:after="0"/>
              <w:jc w:val="center"/>
              <w:rPr>
                <w:sz w:val="28"/>
                <w:szCs w:val="28"/>
              </w:rPr>
            </w:pPr>
          </w:p>
        </w:tc>
        <w:tc>
          <w:tcPr>
            <w:tcW w:w="326" w:type="pct"/>
            <w:tcBorders>
              <w:top w:val="nil"/>
              <w:bottom w:val="nil"/>
            </w:tcBorders>
            <w:vAlign w:val="center"/>
          </w:tcPr>
          <w:p w14:paraId="16AC880C" w14:textId="77777777" w:rsidR="00E45731" w:rsidRPr="004C78D8" w:rsidRDefault="00E45731" w:rsidP="00FB7C1F">
            <w:pPr>
              <w:spacing w:after="0"/>
              <w:jc w:val="center"/>
              <w:rPr>
                <w:sz w:val="28"/>
                <w:szCs w:val="28"/>
              </w:rPr>
            </w:pPr>
          </w:p>
        </w:tc>
        <w:tc>
          <w:tcPr>
            <w:tcW w:w="326" w:type="pct"/>
            <w:tcBorders>
              <w:top w:val="nil"/>
              <w:bottom w:val="nil"/>
            </w:tcBorders>
            <w:vAlign w:val="center"/>
          </w:tcPr>
          <w:p w14:paraId="73EBE0DD" w14:textId="77777777" w:rsidR="00E45731" w:rsidRPr="004C78D8" w:rsidRDefault="00E45731" w:rsidP="00FB7C1F">
            <w:pPr>
              <w:spacing w:after="0"/>
              <w:jc w:val="center"/>
              <w:rPr>
                <w:sz w:val="28"/>
                <w:szCs w:val="28"/>
              </w:rPr>
            </w:pPr>
          </w:p>
        </w:tc>
        <w:tc>
          <w:tcPr>
            <w:tcW w:w="272" w:type="pct"/>
            <w:tcBorders>
              <w:top w:val="nil"/>
              <w:bottom w:val="nil"/>
            </w:tcBorders>
            <w:vAlign w:val="center"/>
          </w:tcPr>
          <w:p w14:paraId="3B1E7A71" w14:textId="77777777" w:rsidR="00E45731" w:rsidRPr="004C78D8" w:rsidRDefault="00E45731" w:rsidP="00FB7C1F">
            <w:pPr>
              <w:spacing w:after="0"/>
              <w:jc w:val="center"/>
              <w:rPr>
                <w:sz w:val="28"/>
                <w:szCs w:val="28"/>
              </w:rPr>
            </w:pPr>
          </w:p>
        </w:tc>
        <w:tc>
          <w:tcPr>
            <w:tcW w:w="306" w:type="pct"/>
            <w:tcBorders>
              <w:top w:val="nil"/>
              <w:bottom w:val="nil"/>
            </w:tcBorders>
            <w:vAlign w:val="center"/>
          </w:tcPr>
          <w:p w14:paraId="1B4C1A25" w14:textId="77777777" w:rsidR="00E45731" w:rsidRPr="004C78D8" w:rsidRDefault="00E45731" w:rsidP="00FB7C1F">
            <w:pPr>
              <w:spacing w:after="0"/>
              <w:jc w:val="center"/>
              <w:rPr>
                <w:sz w:val="28"/>
                <w:szCs w:val="28"/>
              </w:rPr>
            </w:pPr>
          </w:p>
        </w:tc>
        <w:tc>
          <w:tcPr>
            <w:tcW w:w="400" w:type="pct"/>
            <w:tcBorders>
              <w:top w:val="nil"/>
              <w:bottom w:val="nil"/>
            </w:tcBorders>
            <w:vAlign w:val="center"/>
          </w:tcPr>
          <w:p w14:paraId="5193AFCB" w14:textId="77777777" w:rsidR="00E45731" w:rsidRPr="004C78D8" w:rsidRDefault="00E45731" w:rsidP="00FB7C1F">
            <w:pPr>
              <w:spacing w:after="0"/>
              <w:jc w:val="center"/>
              <w:rPr>
                <w:sz w:val="28"/>
                <w:szCs w:val="28"/>
              </w:rPr>
            </w:pPr>
          </w:p>
        </w:tc>
        <w:tc>
          <w:tcPr>
            <w:tcW w:w="326" w:type="pct"/>
            <w:tcBorders>
              <w:top w:val="nil"/>
              <w:bottom w:val="nil"/>
            </w:tcBorders>
            <w:vAlign w:val="center"/>
          </w:tcPr>
          <w:p w14:paraId="29CBDAFC" w14:textId="77777777" w:rsidR="00E45731" w:rsidRPr="004C78D8" w:rsidRDefault="00E45731" w:rsidP="00FB7C1F">
            <w:pPr>
              <w:spacing w:after="0"/>
              <w:jc w:val="center"/>
              <w:rPr>
                <w:sz w:val="28"/>
                <w:szCs w:val="28"/>
              </w:rPr>
            </w:pPr>
          </w:p>
        </w:tc>
        <w:tc>
          <w:tcPr>
            <w:tcW w:w="295" w:type="pct"/>
            <w:tcBorders>
              <w:top w:val="nil"/>
              <w:bottom w:val="nil"/>
            </w:tcBorders>
            <w:vAlign w:val="center"/>
          </w:tcPr>
          <w:p w14:paraId="0C9CC007" w14:textId="77777777" w:rsidR="00E45731" w:rsidRPr="004C78D8" w:rsidRDefault="00E45731" w:rsidP="00FB7C1F">
            <w:pPr>
              <w:spacing w:after="0"/>
              <w:jc w:val="center"/>
            </w:pPr>
          </w:p>
        </w:tc>
        <w:tc>
          <w:tcPr>
            <w:tcW w:w="357" w:type="pct"/>
            <w:tcBorders>
              <w:top w:val="nil"/>
              <w:bottom w:val="nil"/>
            </w:tcBorders>
            <w:vAlign w:val="center"/>
          </w:tcPr>
          <w:p w14:paraId="747F9525" w14:textId="77777777" w:rsidR="00E45731" w:rsidRPr="004C78D8" w:rsidRDefault="00E45731" w:rsidP="00FB7C1F">
            <w:pPr>
              <w:spacing w:after="0"/>
              <w:jc w:val="center"/>
            </w:pPr>
          </w:p>
        </w:tc>
      </w:tr>
      <w:tr w:rsidR="00E45731" w:rsidRPr="004C78D8" w14:paraId="38B835DD" w14:textId="77777777" w:rsidTr="002828C1">
        <w:tc>
          <w:tcPr>
            <w:tcW w:w="458" w:type="pct"/>
          </w:tcPr>
          <w:p w14:paraId="05BF66F8" w14:textId="77777777" w:rsidR="00E45731" w:rsidRPr="004C78D8" w:rsidRDefault="00E45731" w:rsidP="00FB7C1F">
            <w:pPr>
              <w:spacing w:after="0"/>
              <w:jc w:val="left"/>
              <w:rPr>
                <w:sz w:val="18"/>
                <w:szCs w:val="18"/>
              </w:rPr>
            </w:pPr>
            <w:r w:rsidRPr="004C78D8">
              <w:rPr>
                <w:sz w:val="18"/>
                <w:szCs w:val="18"/>
              </w:rPr>
              <w:t>Mori (2017)</w:t>
            </w:r>
          </w:p>
        </w:tc>
        <w:tc>
          <w:tcPr>
            <w:tcW w:w="715" w:type="pct"/>
          </w:tcPr>
          <w:p w14:paraId="1ADDFCE1" w14:textId="77777777" w:rsidR="00E45731" w:rsidRPr="004C78D8" w:rsidRDefault="00E45731" w:rsidP="00FB7C1F">
            <w:pPr>
              <w:spacing w:after="0"/>
              <w:jc w:val="left"/>
              <w:rPr>
                <w:sz w:val="18"/>
                <w:szCs w:val="18"/>
              </w:rPr>
            </w:pPr>
            <w:r w:rsidRPr="004C78D8">
              <w:rPr>
                <w:sz w:val="18"/>
                <w:szCs w:val="18"/>
              </w:rPr>
              <w:t>Hip fracture; Humerus fracture; Wrist fracture; Other fracture</w:t>
            </w:r>
          </w:p>
        </w:tc>
        <w:tc>
          <w:tcPr>
            <w:tcW w:w="255" w:type="pct"/>
            <w:tcBorders>
              <w:top w:val="nil"/>
              <w:bottom w:val="nil"/>
            </w:tcBorders>
            <w:vAlign w:val="center"/>
          </w:tcPr>
          <w:p w14:paraId="513B13D6" w14:textId="77777777" w:rsidR="00E45731" w:rsidRPr="004C78D8" w:rsidRDefault="00E45731" w:rsidP="00FB7C1F">
            <w:pPr>
              <w:spacing w:after="0"/>
              <w:jc w:val="center"/>
              <w:rPr>
                <w:sz w:val="28"/>
                <w:szCs w:val="28"/>
              </w:rPr>
            </w:pPr>
            <w:r w:rsidRPr="004C78D8">
              <w:rPr>
                <w:sz w:val="28"/>
                <w:szCs w:val="28"/>
              </w:rPr>
              <w:t>˟</w:t>
            </w:r>
          </w:p>
        </w:tc>
        <w:tc>
          <w:tcPr>
            <w:tcW w:w="255" w:type="pct"/>
            <w:tcBorders>
              <w:top w:val="nil"/>
              <w:bottom w:val="nil"/>
            </w:tcBorders>
            <w:vAlign w:val="center"/>
          </w:tcPr>
          <w:p w14:paraId="6274D940" w14:textId="77777777" w:rsidR="00E45731" w:rsidRPr="004C78D8" w:rsidRDefault="00E45731" w:rsidP="00FB7C1F">
            <w:pPr>
              <w:spacing w:after="0"/>
              <w:jc w:val="center"/>
              <w:rPr>
                <w:sz w:val="18"/>
                <w:szCs w:val="18"/>
              </w:rPr>
            </w:pPr>
            <w:r w:rsidRPr="004C78D8">
              <w:rPr>
                <w:i/>
                <w:sz w:val="18"/>
                <w:szCs w:val="18"/>
              </w:rPr>
              <w:t>Exo</w:t>
            </w:r>
          </w:p>
        </w:tc>
        <w:tc>
          <w:tcPr>
            <w:tcW w:w="357" w:type="pct"/>
            <w:tcBorders>
              <w:top w:val="nil"/>
              <w:bottom w:val="nil"/>
            </w:tcBorders>
            <w:vAlign w:val="center"/>
          </w:tcPr>
          <w:p w14:paraId="37BF444B" w14:textId="77777777" w:rsidR="00E45731" w:rsidRPr="004C78D8" w:rsidRDefault="00E45731" w:rsidP="00FB7C1F">
            <w:pPr>
              <w:spacing w:after="0"/>
              <w:jc w:val="center"/>
              <w:rPr>
                <w:sz w:val="18"/>
                <w:szCs w:val="18"/>
              </w:rPr>
            </w:pPr>
            <w:r w:rsidRPr="004C78D8">
              <w:rPr>
                <w:i/>
                <w:sz w:val="18"/>
                <w:szCs w:val="18"/>
              </w:rPr>
              <w:t>Exo</w:t>
            </w:r>
          </w:p>
        </w:tc>
        <w:tc>
          <w:tcPr>
            <w:tcW w:w="352" w:type="pct"/>
            <w:tcBorders>
              <w:top w:val="nil"/>
              <w:bottom w:val="nil"/>
            </w:tcBorders>
            <w:vAlign w:val="center"/>
          </w:tcPr>
          <w:p w14:paraId="3FABB522" w14:textId="77777777" w:rsidR="00E45731" w:rsidRPr="004C78D8" w:rsidRDefault="00E45731" w:rsidP="00FB7C1F">
            <w:pPr>
              <w:spacing w:after="0"/>
              <w:jc w:val="center"/>
            </w:pPr>
          </w:p>
        </w:tc>
        <w:tc>
          <w:tcPr>
            <w:tcW w:w="326" w:type="pct"/>
            <w:tcBorders>
              <w:top w:val="nil"/>
              <w:bottom w:val="nil"/>
            </w:tcBorders>
            <w:vAlign w:val="center"/>
          </w:tcPr>
          <w:p w14:paraId="3950A28F" w14:textId="77777777" w:rsidR="00E45731" w:rsidRPr="004C78D8" w:rsidRDefault="00E45731" w:rsidP="00FB7C1F">
            <w:pPr>
              <w:spacing w:after="0"/>
              <w:jc w:val="center"/>
            </w:pPr>
          </w:p>
        </w:tc>
        <w:tc>
          <w:tcPr>
            <w:tcW w:w="326" w:type="pct"/>
            <w:tcBorders>
              <w:top w:val="nil"/>
              <w:bottom w:val="nil"/>
            </w:tcBorders>
            <w:vAlign w:val="center"/>
          </w:tcPr>
          <w:p w14:paraId="65790D2E" w14:textId="77777777" w:rsidR="00E45731" w:rsidRPr="004C78D8" w:rsidRDefault="00E45731" w:rsidP="00FB7C1F">
            <w:pPr>
              <w:spacing w:after="0"/>
              <w:jc w:val="center"/>
              <w:rPr>
                <w:sz w:val="28"/>
                <w:szCs w:val="28"/>
              </w:rPr>
            </w:pPr>
            <w:r w:rsidRPr="004C78D8">
              <w:rPr>
                <w:sz w:val="28"/>
                <w:szCs w:val="28"/>
              </w:rPr>
              <w:t>˟</w:t>
            </w:r>
          </w:p>
        </w:tc>
        <w:tc>
          <w:tcPr>
            <w:tcW w:w="272" w:type="pct"/>
            <w:tcBorders>
              <w:top w:val="nil"/>
              <w:bottom w:val="nil"/>
            </w:tcBorders>
            <w:vAlign w:val="center"/>
          </w:tcPr>
          <w:p w14:paraId="6FFB979E" w14:textId="77777777" w:rsidR="00E45731" w:rsidRPr="004C78D8" w:rsidRDefault="00E45731" w:rsidP="00FB7C1F">
            <w:pPr>
              <w:spacing w:after="0"/>
              <w:jc w:val="center"/>
              <w:rPr>
                <w:sz w:val="28"/>
                <w:szCs w:val="28"/>
              </w:rPr>
            </w:pPr>
          </w:p>
        </w:tc>
        <w:tc>
          <w:tcPr>
            <w:tcW w:w="306" w:type="pct"/>
            <w:tcBorders>
              <w:top w:val="nil"/>
              <w:bottom w:val="nil"/>
            </w:tcBorders>
            <w:vAlign w:val="center"/>
          </w:tcPr>
          <w:p w14:paraId="21F4768C" w14:textId="77777777" w:rsidR="00E45731" w:rsidRPr="004C78D8" w:rsidRDefault="00E45731" w:rsidP="00FB7C1F">
            <w:pPr>
              <w:spacing w:after="0"/>
              <w:jc w:val="center"/>
              <w:rPr>
                <w:sz w:val="28"/>
                <w:szCs w:val="28"/>
              </w:rPr>
            </w:pPr>
            <w:r w:rsidRPr="004C78D8">
              <w:rPr>
                <w:sz w:val="28"/>
                <w:szCs w:val="28"/>
              </w:rPr>
              <w:t>˟</w:t>
            </w:r>
          </w:p>
        </w:tc>
        <w:tc>
          <w:tcPr>
            <w:tcW w:w="400" w:type="pct"/>
            <w:tcBorders>
              <w:top w:val="nil"/>
              <w:bottom w:val="nil"/>
            </w:tcBorders>
            <w:vAlign w:val="center"/>
          </w:tcPr>
          <w:p w14:paraId="3A748CEF" w14:textId="77777777" w:rsidR="00E45731" w:rsidRPr="004C78D8" w:rsidRDefault="00E45731" w:rsidP="00FB7C1F">
            <w:pPr>
              <w:spacing w:after="0"/>
              <w:jc w:val="center"/>
            </w:pPr>
          </w:p>
        </w:tc>
        <w:tc>
          <w:tcPr>
            <w:tcW w:w="326" w:type="pct"/>
            <w:tcBorders>
              <w:top w:val="nil"/>
              <w:bottom w:val="nil"/>
            </w:tcBorders>
            <w:vAlign w:val="center"/>
          </w:tcPr>
          <w:p w14:paraId="244F8FE2" w14:textId="77777777" w:rsidR="00E45731" w:rsidRPr="004C78D8" w:rsidRDefault="00E45731" w:rsidP="00FB7C1F">
            <w:pPr>
              <w:spacing w:after="0"/>
              <w:jc w:val="center"/>
            </w:pPr>
          </w:p>
        </w:tc>
        <w:tc>
          <w:tcPr>
            <w:tcW w:w="295" w:type="pct"/>
            <w:tcBorders>
              <w:top w:val="nil"/>
              <w:bottom w:val="nil"/>
            </w:tcBorders>
            <w:vAlign w:val="center"/>
          </w:tcPr>
          <w:p w14:paraId="1B4F8986" w14:textId="77777777" w:rsidR="00E45731" w:rsidRPr="004C78D8" w:rsidRDefault="00E45731" w:rsidP="00FB7C1F">
            <w:pPr>
              <w:spacing w:after="0"/>
              <w:jc w:val="center"/>
            </w:pPr>
          </w:p>
        </w:tc>
        <w:tc>
          <w:tcPr>
            <w:tcW w:w="357" w:type="pct"/>
            <w:tcBorders>
              <w:top w:val="nil"/>
              <w:bottom w:val="nil"/>
            </w:tcBorders>
            <w:vAlign w:val="center"/>
          </w:tcPr>
          <w:p w14:paraId="555BAAE7" w14:textId="77777777" w:rsidR="00E45731" w:rsidRPr="004C78D8" w:rsidRDefault="00E45731" w:rsidP="00FB7C1F">
            <w:pPr>
              <w:spacing w:after="0"/>
              <w:jc w:val="center"/>
            </w:pPr>
          </w:p>
        </w:tc>
      </w:tr>
      <w:tr w:rsidR="00E45731" w:rsidRPr="004C78D8" w14:paraId="3FE3F7F4" w14:textId="77777777" w:rsidTr="002828C1">
        <w:tc>
          <w:tcPr>
            <w:tcW w:w="458" w:type="pct"/>
          </w:tcPr>
          <w:p w14:paraId="0DF71FE0" w14:textId="77777777" w:rsidR="00E45731" w:rsidRPr="004C78D8" w:rsidRDefault="00E45731" w:rsidP="00FB7C1F">
            <w:pPr>
              <w:spacing w:after="0"/>
              <w:jc w:val="left"/>
              <w:rPr>
                <w:sz w:val="18"/>
                <w:szCs w:val="18"/>
              </w:rPr>
            </w:pPr>
            <w:r w:rsidRPr="004C78D8">
              <w:rPr>
                <w:sz w:val="18"/>
                <w:szCs w:val="18"/>
              </w:rPr>
              <w:t>Moriarty (2019)</w:t>
            </w:r>
          </w:p>
        </w:tc>
        <w:tc>
          <w:tcPr>
            <w:tcW w:w="715" w:type="pct"/>
          </w:tcPr>
          <w:p w14:paraId="5C8E9DE1" w14:textId="77777777" w:rsidR="00E45731" w:rsidRPr="004C78D8" w:rsidRDefault="00E45731" w:rsidP="00FB7C1F">
            <w:pPr>
              <w:spacing w:after="0"/>
              <w:jc w:val="left"/>
              <w:rPr>
                <w:sz w:val="18"/>
                <w:szCs w:val="18"/>
              </w:rPr>
            </w:pPr>
            <w:r w:rsidRPr="004C78D8">
              <w:rPr>
                <w:sz w:val="18"/>
                <w:szCs w:val="18"/>
              </w:rPr>
              <w:t>Hip fracture; Other MA falls</w:t>
            </w:r>
          </w:p>
        </w:tc>
        <w:tc>
          <w:tcPr>
            <w:tcW w:w="255" w:type="pct"/>
            <w:tcBorders>
              <w:top w:val="nil"/>
              <w:bottom w:val="nil"/>
            </w:tcBorders>
            <w:vAlign w:val="center"/>
          </w:tcPr>
          <w:p w14:paraId="664BA1D8" w14:textId="77777777" w:rsidR="00E45731" w:rsidRPr="004C78D8" w:rsidRDefault="00E45731" w:rsidP="00FB7C1F">
            <w:pPr>
              <w:spacing w:after="0"/>
              <w:jc w:val="center"/>
              <w:rPr>
                <w:sz w:val="28"/>
                <w:szCs w:val="28"/>
              </w:rPr>
            </w:pPr>
            <w:r w:rsidRPr="004C78D8">
              <w:rPr>
                <w:sz w:val="28"/>
                <w:szCs w:val="28"/>
              </w:rPr>
              <w:t>˟</w:t>
            </w:r>
          </w:p>
        </w:tc>
        <w:tc>
          <w:tcPr>
            <w:tcW w:w="255" w:type="pct"/>
            <w:tcBorders>
              <w:top w:val="nil"/>
              <w:bottom w:val="nil"/>
            </w:tcBorders>
            <w:vAlign w:val="center"/>
          </w:tcPr>
          <w:p w14:paraId="7E8CC4E4" w14:textId="77777777" w:rsidR="00E45731" w:rsidRPr="004C78D8" w:rsidRDefault="00E45731" w:rsidP="00FB7C1F">
            <w:pPr>
              <w:spacing w:after="0"/>
              <w:jc w:val="center"/>
              <w:rPr>
                <w:i/>
                <w:sz w:val="28"/>
                <w:szCs w:val="28"/>
              </w:rPr>
            </w:pPr>
          </w:p>
        </w:tc>
        <w:tc>
          <w:tcPr>
            <w:tcW w:w="357" w:type="pct"/>
            <w:tcBorders>
              <w:top w:val="nil"/>
              <w:bottom w:val="nil"/>
            </w:tcBorders>
            <w:vAlign w:val="center"/>
          </w:tcPr>
          <w:p w14:paraId="796A4E78" w14:textId="77777777" w:rsidR="00E45731" w:rsidRPr="004C78D8" w:rsidRDefault="00E45731" w:rsidP="00FB7C1F">
            <w:pPr>
              <w:spacing w:after="0"/>
              <w:jc w:val="center"/>
              <w:rPr>
                <w:i/>
                <w:sz w:val="28"/>
                <w:szCs w:val="28"/>
              </w:rPr>
            </w:pPr>
          </w:p>
        </w:tc>
        <w:tc>
          <w:tcPr>
            <w:tcW w:w="352" w:type="pct"/>
            <w:tcBorders>
              <w:top w:val="nil"/>
              <w:bottom w:val="nil"/>
            </w:tcBorders>
            <w:vAlign w:val="center"/>
          </w:tcPr>
          <w:p w14:paraId="7E51444E" w14:textId="77777777" w:rsidR="00E45731" w:rsidRPr="004C78D8" w:rsidRDefault="00E45731" w:rsidP="00FB7C1F">
            <w:pPr>
              <w:spacing w:after="0"/>
              <w:jc w:val="center"/>
              <w:rPr>
                <w:sz w:val="28"/>
                <w:szCs w:val="28"/>
              </w:rPr>
            </w:pPr>
          </w:p>
        </w:tc>
        <w:tc>
          <w:tcPr>
            <w:tcW w:w="326" w:type="pct"/>
            <w:tcBorders>
              <w:top w:val="nil"/>
              <w:bottom w:val="nil"/>
            </w:tcBorders>
            <w:vAlign w:val="center"/>
          </w:tcPr>
          <w:p w14:paraId="0EB66823" w14:textId="77777777" w:rsidR="00E45731" w:rsidRPr="004C78D8" w:rsidRDefault="00E45731" w:rsidP="00FB7C1F">
            <w:pPr>
              <w:spacing w:after="0"/>
              <w:jc w:val="center"/>
              <w:rPr>
                <w:sz w:val="28"/>
                <w:szCs w:val="28"/>
              </w:rPr>
            </w:pPr>
          </w:p>
        </w:tc>
        <w:tc>
          <w:tcPr>
            <w:tcW w:w="326" w:type="pct"/>
            <w:tcBorders>
              <w:top w:val="nil"/>
              <w:bottom w:val="nil"/>
            </w:tcBorders>
            <w:vAlign w:val="center"/>
          </w:tcPr>
          <w:p w14:paraId="06C5CDAD" w14:textId="77777777" w:rsidR="00E45731" w:rsidRPr="004C78D8" w:rsidRDefault="00E45731" w:rsidP="00FB7C1F">
            <w:pPr>
              <w:spacing w:after="0"/>
              <w:jc w:val="center"/>
              <w:rPr>
                <w:sz w:val="28"/>
                <w:szCs w:val="28"/>
              </w:rPr>
            </w:pPr>
            <w:r w:rsidRPr="004C78D8">
              <w:rPr>
                <w:sz w:val="28"/>
                <w:szCs w:val="28"/>
              </w:rPr>
              <w:t>˟</w:t>
            </w:r>
          </w:p>
        </w:tc>
        <w:tc>
          <w:tcPr>
            <w:tcW w:w="272" w:type="pct"/>
            <w:tcBorders>
              <w:top w:val="nil"/>
              <w:bottom w:val="nil"/>
            </w:tcBorders>
            <w:vAlign w:val="center"/>
          </w:tcPr>
          <w:p w14:paraId="6D7019D8" w14:textId="77777777" w:rsidR="00E45731" w:rsidRPr="004C78D8" w:rsidRDefault="00E45731" w:rsidP="00FB7C1F">
            <w:pPr>
              <w:spacing w:after="0"/>
              <w:jc w:val="center"/>
              <w:rPr>
                <w:sz w:val="28"/>
                <w:szCs w:val="28"/>
              </w:rPr>
            </w:pPr>
          </w:p>
        </w:tc>
        <w:tc>
          <w:tcPr>
            <w:tcW w:w="306" w:type="pct"/>
            <w:tcBorders>
              <w:top w:val="nil"/>
              <w:bottom w:val="nil"/>
            </w:tcBorders>
            <w:vAlign w:val="center"/>
          </w:tcPr>
          <w:p w14:paraId="009C75EC" w14:textId="77777777" w:rsidR="00E45731" w:rsidRPr="004C78D8" w:rsidRDefault="00E45731" w:rsidP="00FB7C1F">
            <w:pPr>
              <w:spacing w:after="0"/>
              <w:jc w:val="center"/>
              <w:rPr>
                <w:sz w:val="28"/>
                <w:szCs w:val="28"/>
              </w:rPr>
            </w:pPr>
          </w:p>
        </w:tc>
        <w:tc>
          <w:tcPr>
            <w:tcW w:w="400" w:type="pct"/>
            <w:tcBorders>
              <w:top w:val="nil"/>
              <w:bottom w:val="nil"/>
            </w:tcBorders>
            <w:vAlign w:val="center"/>
          </w:tcPr>
          <w:p w14:paraId="0D649B5B" w14:textId="77777777" w:rsidR="00E45731" w:rsidRPr="004C78D8" w:rsidRDefault="00E45731" w:rsidP="00FB7C1F">
            <w:pPr>
              <w:spacing w:after="0"/>
              <w:jc w:val="center"/>
              <w:rPr>
                <w:sz w:val="28"/>
                <w:szCs w:val="28"/>
              </w:rPr>
            </w:pPr>
            <w:r w:rsidRPr="004C78D8">
              <w:rPr>
                <w:sz w:val="28"/>
                <w:szCs w:val="28"/>
              </w:rPr>
              <w:t>˟</w:t>
            </w:r>
          </w:p>
        </w:tc>
        <w:tc>
          <w:tcPr>
            <w:tcW w:w="326" w:type="pct"/>
            <w:tcBorders>
              <w:top w:val="nil"/>
              <w:bottom w:val="nil"/>
            </w:tcBorders>
            <w:vAlign w:val="center"/>
          </w:tcPr>
          <w:p w14:paraId="67A8A383" w14:textId="77777777" w:rsidR="00E45731" w:rsidRPr="004C78D8" w:rsidRDefault="00E45731" w:rsidP="00FB7C1F">
            <w:pPr>
              <w:spacing w:after="0"/>
              <w:jc w:val="center"/>
            </w:pPr>
          </w:p>
        </w:tc>
        <w:tc>
          <w:tcPr>
            <w:tcW w:w="295" w:type="pct"/>
            <w:tcBorders>
              <w:top w:val="nil"/>
              <w:bottom w:val="nil"/>
            </w:tcBorders>
            <w:vAlign w:val="center"/>
          </w:tcPr>
          <w:p w14:paraId="4B95B96F" w14:textId="77777777" w:rsidR="00E45731" w:rsidRPr="004C78D8" w:rsidRDefault="00E45731" w:rsidP="00FB7C1F">
            <w:pPr>
              <w:spacing w:after="0"/>
              <w:jc w:val="center"/>
            </w:pPr>
          </w:p>
        </w:tc>
        <w:tc>
          <w:tcPr>
            <w:tcW w:w="357" w:type="pct"/>
            <w:tcBorders>
              <w:top w:val="nil"/>
              <w:bottom w:val="nil"/>
            </w:tcBorders>
            <w:vAlign w:val="center"/>
          </w:tcPr>
          <w:p w14:paraId="49F7BB94" w14:textId="77777777" w:rsidR="00E45731" w:rsidRPr="004C78D8" w:rsidRDefault="00E45731" w:rsidP="00FB7C1F">
            <w:pPr>
              <w:spacing w:after="0"/>
              <w:jc w:val="center"/>
            </w:pPr>
          </w:p>
        </w:tc>
      </w:tr>
      <w:tr w:rsidR="00E45731" w:rsidRPr="004C78D8" w14:paraId="74688298" w14:textId="77777777" w:rsidTr="002828C1">
        <w:tc>
          <w:tcPr>
            <w:tcW w:w="458" w:type="pct"/>
            <w:vMerge w:val="restart"/>
          </w:tcPr>
          <w:p w14:paraId="27AC27A8" w14:textId="77777777" w:rsidR="00E45731" w:rsidRPr="004C78D8" w:rsidRDefault="00E45731" w:rsidP="00FB7C1F">
            <w:pPr>
              <w:spacing w:after="0"/>
              <w:jc w:val="left"/>
              <w:rPr>
                <w:sz w:val="18"/>
                <w:szCs w:val="18"/>
              </w:rPr>
            </w:pPr>
            <w:r w:rsidRPr="004C78D8">
              <w:rPr>
                <w:sz w:val="18"/>
                <w:szCs w:val="18"/>
              </w:rPr>
              <w:t>Nshimyu-mukiza (2013)</w:t>
            </w:r>
          </w:p>
        </w:tc>
        <w:tc>
          <w:tcPr>
            <w:tcW w:w="715" w:type="pct"/>
          </w:tcPr>
          <w:p w14:paraId="127A0D9C" w14:textId="77777777" w:rsidR="00E45731" w:rsidRPr="004C78D8" w:rsidRDefault="00E45731" w:rsidP="00FB7C1F">
            <w:pPr>
              <w:spacing w:after="0"/>
              <w:jc w:val="left"/>
              <w:rPr>
                <w:sz w:val="18"/>
                <w:szCs w:val="18"/>
              </w:rPr>
            </w:pPr>
            <w:r w:rsidRPr="004C78D8">
              <w:rPr>
                <w:sz w:val="18"/>
                <w:szCs w:val="18"/>
              </w:rPr>
              <w:t>Hip fracture; Vertebral fracture; Wrist fracture</w:t>
            </w:r>
          </w:p>
        </w:tc>
        <w:tc>
          <w:tcPr>
            <w:tcW w:w="255" w:type="pct"/>
            <w:tcBorders>
              <w:top w:val="nil"/>
              <w:bottom w:val="nil"/>
            </w:tcBorders>
            <w:vAlign w:val="center"/>
          </w:tcPr>
          <w:p w14:paraId="6F68C846" w14:textId="77777777" w:rsidR="00E45731" w:rsidRPr="004C78D8" w:rsidRDefault="00E45731" w:rsidP="00FB7C1F">
            <w:pPr>
              <w:spacing w:after="0"/>
              <w:jc w:val="center"/>
              <w:rPr>
                <w:sz w:val="28"/>
                <w:szCs w:val="28"/>
              </w:rPr>
            </w:pPr>
            <w:r w:rsidRPr="004C78D8">
              <w:rPr>
                <w:sz w:val="28"/>
                <w:szCs w:val="28"/>
              </w:rPr>
              <w:t>˟</w:t>
            </w:r>
          </w:p>
        </w:tc>
        <w:tc>
          <w:tcPr>
            <w:tcW w:w="255" w:type="pct"/>
            <w:tcBorders>
              <w:top w:val="nil"/>
              <w:bottom w:val="nil"/>
            </w:tcBorders>
            <w:vAlign w:val="center"/>
          </w:tcPr>
          <w:p w14:paraId="21D824E3" w14:textId="77777777" w:rsidR="00E45731" w:rsidRPr="004C78D8" w:rsidRDefault="00E45731" w:rsidP="00FB7C1F">
            <w:pPr>
              <w:spacing w:after="0"/>
              <w:jc w:val="center"/>
            </w:pPr>
            <w:r w:rsidRPr="004C78D8">
              <w:rPr>
                <w:i/>
                <w:sz w:val="18"/>
                <w:szCs w:val="18"/>
              </w:rPr>
              <w:t>Exo</w:t>
            </w:r>
          </w:p>
        </w:tc>
        <w:tc>
          <w:tcPr>
            <w:tcW w:w="357" w:type="pct"/>
            <w:tcBorders>
              <w:top w:val="nil"/>
              <w:bottom w:val="nil"/>
            </w:tcBorders>
            <w:vAlign w:val="center"/>
          </w:tcPr>
          <w:p w14:paraId="7C0BCAE3" w14:textId="77777777" w:rsidR="00E45731" w:rsidRPr="004C78D8" w:rsidRDefault="00E45731" w:rsidP="00FB7C1F">
            <w:pPr>
              <w:spacing w:after="0"/>
              <w:jc w:val="center"/>
            </w:pPr>
          </w:p>
        </w:tc>
        <w:tc>
          <w:tcPr>
            <w:tcW w:w="352" w:type="pct"/>
            <w:tcBorders>
              <w:top w:val="nil"/>
              <w:bottom w:val="nil"/>
            </w:tcBorders>
            <w:vAlign w:val="center"/>
          </w:tcPr>
          <w:p w14:paraId="6B737008" w14:textId="77777777" w:rsidR="00E45731" w:rsidRPr="004C78D8" w:rsidRDefault="00E45731" w:rsidP="00FB7C1F">
            <w:pPr>
              <w:spacing w:after="0"/>
              <w:jc w:val="center"/>
            </w:pPr>
          </w:p>
        </w:tc>
        <w:tc>
          <w:tcPr>
            <w:tcW w:w="326" w:type="pct"/>
            <w:tcBorders>
              <w:top w:val="nil"/>
              <w:bottom w:val="nil"/>
            </w:tcBorders>
            <w:vAlign w:val="center"/>
          </w:tcPr>
          <w:p w14:paraId="469DCFA1" w14:textId="77777777" w:rsidR="00E45731" w:rsidRPr="004C78D8" w:rsidRDefault="00E45731" w:rsidP="00FB7C1F">
            <w:pPr>
              <w:spacing w:after="0"/>
              <w:jc w:val="center"/>
            </w:pPr>
          </w:p>
        </w:tc>
        <w:tc>
          <w:tcPr>
            <w:tcW w:w="326" w:type="pct"/>
            <w:tcBorders>
              <w:top w:val="nil"/>
              <w:bottom w:val="nil"/>
            </w:tcBorders>
            <w:vAlign w:val="center"/>
          </w:tcPr>
          <w:p w14:paraId="2F331C8B" w14:textId="77777777" w:rsidR="00E45731" w:rsidRPr="004C78D8" w:rsidRDefault="00E45731" w:rsidP="00FB7C1F">
            <w:pPr>
              <w:spacing w:after="0"/>
              <w:jc w:val="center"/>
              <w:rPr>
                <w:sz w:val="28"/>
                <w:szCs w:val="28"/>
              </w:rPr>
            </w:pPr>
            <w:r w:rsidRPr="004C78D8">
              <w:rPr>
                <w:sz w:val="28"/>
                <w:szCs w:val="28"/>
              </w:rPr>
              <w:t>˟</w:t>
            </w:r>
          </w:p>
        </w:tc>
        <w:tc>
          <w:tcPr>
            <w:tcW w:w="272" w:type="pct"/>
            <w:tcBorders>
              <w:top w:val="nil"/>
              <w:bottom w:val="nil"/>
            </w:tcBorders>
            <w:vAlign w:val="center"/>
          </w:tcPr>
          <w:p w14:paraId="56DADE28" w14:textId="77777777" w:rsidR="00E45731" w:rsidRPr="004C78D8" w:rsidRDefault="00E45731" w:rsidP="00FB7C1F">
            <w:pPr>
              <w:spacing w:after="0"/>
              <w:jc w:val="center"/>
              <w:rPr>
                <w:sz w:val="28"/>
                <w:szCs w:val="28"/>
              </w:rPr>
            </w:pPr>
          </w:p>
        </w:tc>
        <w:tc>
          <w:tcPr>
            <w:tcW w:w="306" w:type="pct"/>
            <w:tcBorders>
              <w:top w:val="nil"/>
              <w:bottom w:val="nil"/>
            </w:tcBorders>
            <w:vAlign w:val="center"/>
          </w:tcPr>
          <w:p w14:paraId="25898052" w14:textId="77777777" w:rsidR="00E45731" w:rsidRPr="004C78D8" w:rsidRDefault="00E45731" w:rsidP="00FB7C1F">
            <w:pPr>
              <w:spacing w:after="0"/>
              <w:jc w:val="center"/>
              <w:rPr>
                <w:sz w:val="28"/>
                <w:szCs w:val="28"/>
              </w:rPr>
            </w:pPr>
            <w:r w:rsidRPr="004C78D8">
              <w:rPr>
                <w:sz w:val="28"/>
                <w:szCs w:val="28"/>
              </w:rPr>
              <w:t>˟</w:t>
            </w:r>
          </w:p>
        </w:tc>
        <w:tc>
          <w:tcPr>
            <w:tcW w:w="400" w:type="pct"/>
            <w:tcBorders>
              <w:top w:val="nil"/>
              <w:bottom w:val="nil"/>
            </w:tcBorders>
            <w:vAlign w:val="center"/>
          </w:tcPr>
          <w:p w14:paraId="270C90D3" w14:textId="77777777" w:rsidR="00E45731" w:rsidRPr="004C78D8" w:rsidRDefault="00E45731" w:rsidP="00FB7C1F">
            <w:pPr>
              <w:spacing w:after="0"/>
              <w:jc w:val="center"/>
            </w:pPr>
          </w:p>
        </w:tc>
        <w:tc>
          <w:tcPr>
            <w:tcW w:w="326" w:type="pct"/>
            <w:tcBorders>
              <w:top w:val="nil"/>
              <w:bottom w:val="nil"/>
            </w:tcBorders>
            <w:vAlign w:val="center"/>
          </w:tcPr>
          <w:p w14:paraId="281CA99F" w14:textId="77777777" w:rsidR="00E45731" w:rsidRPr="004C78D8" w:rsidRDefault="00E45731" w:rsidP="00FB7C1F">
            <w:pPr>
              <w:spacing w:after="0"/>
              <w:jc w:val="center"/>
              <w:rPr>
                <w:sz w:val="18"/>
                <w:szCs w:val="18"/>
              </w:rPr>
            </w:pPr>
            <w:r w:rsidRPr="004C78D8">
              <w:rPr>
                <w:sz w:val="18"/>
                <w:szCs w:val="18"/>
              </w:rPr>
              <w:t>BMD</w:t>
            </w:r>
          </w:p>
        </w:tc>
        <w:tc>
          <w:tcPr>
            <w:tcW w:w="295" w:type="pct"/>
            <w:tcBorders>
              <w:top w:val="nil"/>
              <w:bottom w:val="nil"/>
            </w:tcBorders>
            <w:vAlign w:val="center"/>
          </w:tcPr>
          <w:p w14:paraId="6EA410BA" w14:textId="77777777" w:rsidR="00E45731" w:rsidRPr="004C78D8" w:rsidRDefault="00E45731" w:rsidP="00FB7C1F">
            <w:pPr>
              <w:spacing w:after="0"/>
              <w:jc w:val="center"/>
              <w:rPr>
                <w:sz w:val="18"/>
                <w:szCs w:val="18"/>
              </w:rPr>
            </w:pPr>
          </w:p>
        </w:tc>
        <w:tc>
          <w:tcPr>
            <w:tcW w:w="357" w:type="pct"/>
            <w:tcBorders>
              <w:top w:val="nil"/>
              <w:bottom w:val="nil"/>
            </w:tcBorders>
            <w:vAlign w:val="center"/>
          </w:tcPr>
          <w:p w14:paraId="272292DA" w14:textId="77777777" w:rsidR="00E45731" w:rsidRPr="004C78D8" w:rsidRDefault="00E45731" w:rsidP="00FB7C1F">
            <w:pPr>
              <w:spacing w:after="0"/>
              <w:jc w:val="center"/>
              <w:rPr>
                <w:sz w:val="18"/>
                <w:szCs w:val="18"/>
              </w:rPr>
            </w:pPr>
            <w:r w:rsidRPr="004C78D8">
              <w:rPr>
                <w:sz w:val="18"/>
                <w:szCs w:val="18"/>
              </w:rPr>
              <w:t>Fracture risk tool</w:t>
            </w:r>
          </w:p>
        </w:tc>
      </w:tr>
      <w:tr w:rsidR="00E45731" w:rsidRPr="004C78D8" w14:paraId="004A7CBD" w14:textId="77777777" w:rsidTr="002828C1">
        <w:tc>
          <w:tcPr>
            <w:tcW w:w="458" w:type="pct"/>
            <w:vMerge/>
          </w:tcPr>
          <w:p w14:paraId="6866F368" w14:textId="77777777" w:rsidR="00E45731" w:rsidRPr="004C78D8" w:rsidRDefault="00E45731" w:rsidP="00FB7C1F">
            <w:pPr>
              <w:widowControl w:val="0"/>
              <w:pBdr>
                <w:top w:val="nil"/>
                <w:left w:val="nil"/>
                <w:bottom w:val="nil"/>
                <w:right w:val="nil"/>
                <w:between w:val="nil"/>
              </w:pBdr>
              <w:spacing w:after="0" w:line="276" w:lineRule="auto"/>
              <w:jc w:val="left"/>
              <w:rPr>
                <w:sz w:val="18"/>
                <w:szCs w:val="18"/>
              </w:rPr>
            </w:pPr>
          </w:p>
        </w:tc>
        <w:tc>
          <w:tcPr>
            <w:tcW w:w="715" w:type="pct"/>
          </w:tcPr>
          <w:p w14:paraId="5094D617" w14:textId="77777777" w:rsidR="00E45731" w:rsidRPr="004C78D8" w:rsidRDefault="00E45731" w:rsidP="00FB7C1F">
            <w:pPr>
              <w:spacing w:after="0"/>
              <w:jc w:val="left"/>
              <w:rPr>
                <w:sz w:val="18"/>
                <w:szCs w:val="18"/>
              </w:rPr>
            </w:pPr>
            <w:r w:rsidRPr="004C78D8">
              <w:rPr>
                <w:sz w:val="18"/>
                <w:szCs w:val="18"/>
              </w:rPr>
              <w:t xml:space="preserve">Fatal hip/vertebral fracture </w:t>
            </w:r>
          </w:p>
        </w:tc>
        <w:tc>
          <w:tcPr>
            <w:tcW w:w="255" w:type="pct"/>
            <w:tcBorders>
              <w:top w:val="nil"/>
              <w:bottom w:val="nil"/>
            </w:tcBorders>
            <w:vAlign w:val="center"/>
          </w:tcPr>
          <w:p w14:paraId="78E60D1D" w14:textId="77777777" w:rsidR="00E45731" w:rsidRPr="004C78D8" w:rsidRDefault="00E45731" w:rsidP="00FB7C1F">
            <w:pPr>
              <w:spacing w:after="0"/>
              <w:jc w:val="center"/>
              <w:rPr>
                <w:sz w:val="28"/>
                <w:szCs w:val="28"/>
              </w:rPr>
            </w:pPr>
            <w:r w:rsidRPr="004C78D8">
              <w:rPr>
                <w:sz w:val="28"/>
                <w:szCs w:val="28"/>
              </w:rPr>
              <w:t>˟</w:t>
            </w:r>
          </w:p>
        </w:tc>
        <w:tc>
          <w:tcPr>
            <w:tcW w:w="255" w:type="pct"/>
            <w:tcBorders>
              <w:top w:val="nil"/>
              <w:bottom w:val="nil"/>
            </w:tcBorders>
            <w:vAlign w:val="center"/>
          </w:tcPr>
          <w:p w14:paraId="2C920CCB" w14:textId="77777777" w:rsidR="00E45731" w:rsidRPr="004C78D8" w:rsidRDefault="00E45731" w:rsidP="00FB7C1F">
            <w:pPr>
              <w:spacing w:after="0"/>
              <w:jc w:val="center"/>
              <w:rPr>
                <w:i/>
                <w:sz w:val="28"/>
                <w:szCs w:val="28"/>
              </w:rPr>
            </w:pPr>
          </w:p>
        </w:tc>
        <w:tc>
          <w:tcPr>
            <w:tcW w:w="357" w:type="pct"/>
            <w:tcBorders>
              <w:top w:val="nil"/>
              <w:bottom w:val="nil"/>
            </w:tcBorders>
            <w:vAlign w:val="center"/>
          </w:tcPr>
          <w:p w14:paraId="7A0199F0" w14:textId="77777777" w:rsidR="00E45731" w:rsidRPr="004C78D8" w:rsidRDefault="00E45731" w:rsidP="00FB7C1F">
            <w:pPr>
              <w:spacing w:after="0"/>
              <w:jc w:val="center"/>
              <w:rPr>
                <w:sz w:val="28"/>
                <w:szCs w:val="28"/>
              </w:rPr>
            </w:pPr>
          </w:p>
        </w:tc>
        <w:tc>
          <w:tcPr>
            <w:tcW w:w="352" w:type="pct"/>
            <w:tcBorders>
              <w:top w:val="nil"/>
              <w:bottom w:val="nil"/>
            </w:tcBorders>
            <w:vAlign w:val="center"/>
          </w:tcPr>
          <w:p w14:paraId="2A7B965B" w14:textId="77777777" w:rsidR="00E45731" w:rsidRPr="004C78D8" w:rsidRDefault="00E45731" w:rsidP="00FB7C1F">
            <w:pPr>
              <w:spacing w:after="0"/>
              <w:jc w:val="center"/>
              <w:rPr>
                <w:sz w:val="28"/>
                <w:szCs w:val="28"/>
              </w:rPr>
            </w:pPr>
          </w:p>
        </w:tc>
        <w:tc>
          <w:tcPr>
            <w:tcW w:w="326" w:type="pct"/>
            <w:tcBorders>
              <w:top w:val="nil"/>
              <w:bottom w:val="nil"/>
            </w:tcBorders>
            <w:vAlign w:val="center"/>
          </w:tcPr>
          <w:p w14:paraId="6243F8CC" w14:textId="77777777" w:rsidR="00E45731" w:rsidRPr="004C78D8" w:rsidRDefault="00E45731" w:rsidP="00FB7C1F">
            <w:pPr>
              <w:spacing w:after="0"/>
              <w:jc w:val="center"/>
              <w:rPr>
                <w:sz w:val="28"/>
                <w:szCs w:val="28"/>
              </w:rPr>
            </w:pPr>
          </w:p>
        </w:tc>
        <w:tc>
          <w:tcPr>
            <w:tcW w:w="326" w:type="pct"/>
            <w:tcBorders>
              <w:top w:val="nil"/>
              <w:bottom w:val="nil"/>
            </w:tcBorders>
            <w:vAlign w:val="center"/>
          </w:tcPr>
          <w:p w14:paraId="64AC9ED9" w14:textId="77777777" w:rsidR="00E45731" w:rsidRPr="004C78D8" w:rsidRDefault="00E45731" w:rsidP="00FB7C1F">
            <w:pPr>
              <w:spacing w:after="0"/>
              <w:jc w:val="center"/>
              <w:rPr>
                <w:sz w:val="28"/>
                <w:szCs w:val="28"/>
              </w:rPr>
            </w:pPr>
          </w:p>
        </w:tc>
        <w:tc>
          <w:tcPr>
            <w:tcW w:w="272" w:type="pct"/>
            <w:tcBorders>
              <w:top w:val="nil"/>
              <w:bottom w:val="nil"/>
            </w:tcBorders>
            <w:vAlign w:val="center"/>
          </w:tcPr>
          <w:p w14:paraId="4D56C485" w14:textId="77777777" w:rsidR="00E45731" w:rsidRPr="004C78D8" w:rsidRDefault="00E45731" w:rsidP="00FB7C1F">
            <w:pPr>
              <w:spacing w:after="0"/>
              <w:jc w:val="center"/>
            </w:pPr>
          </w:p>
        </w:tc>
        <w:tc>
          <w:tcPr>
            <w:tcW w:w="306" w:type="pct"/>
            <w:tcBorders>
              <w:top w:val="nil"/>
              <w:bottom w:val="nil"/>
            </w:tcBorders>
            <w:vAlign w:val="center"/>
          </w:tcPr>
          <w:p w14:paraId="14BE0C6B" w14:textId="77777777" w:rsidR="00E45731" w:rsidRPr="004C78D8" w:rsidRDefault="00E45731" w:rsidP="00FB7C1F">
            <w:pPr>
              <w:spacing w:after="0"/>
              <w:jc w:val="center"/>
            </w:pPr>
          </w:p>
        </w:tc>
        <w:tc>
          <w:tcPr>
            <w:tcW w:w="400" w:type="pct"/>
            <w:tcBorders>
              <w:top w:val="nil"/>
              <w:bottom w:val="nil"/>
            </w:tcBorders>
            <w:vAlign w:val="center"/>
          </w:tcPr>
          <w:p w14:paraId="59EF2023" w14:textId="77777777" w:rsidR="00E45731" w:rsidRPr="004C78D8" w:rsidRDefault="00E45731" w:rsidP="00FB7C1F">
            <w:pPr>
              <w:spacing w:after="0"/>
              <w:jc w:val="center"/>
            </w:pPr>
          </w:p>
        </w:tc>
        <w:tc>
          <w:tcPr>
            <w:tcW w:w="326" w:type="pct"/>
            <w:tcBorders>
              <w:top w:val="nil"/>
              <w:bottom w:val="nil"/>
            </w:tcBorders>
            <w:vAlign w:val="center"/>
          </w:tcPr>
          <w:p w14:paraId="45B0D28E" w14:textId="77777777" w:rsidR="00E45731" w:rsidRPr="004C78D8" w:rsidRDefault="00E45731" w:rsidP="00FB7C1F">
            <w:pPr>
              <w:spacing w:after="0"/>
              <w:jc w:val="center"/>
              <w:rPr>
                <w:i/>
                <w:sz w:val="20"/>
                <w:szCs w:val="20"/>
              </w:rPr>
            </w:pPr>
          </w:p>
        </w:tc>
        <w:tc>
          <w:tcPr>
            <w:tcW w:w="295" w:type="pct"/>
            <w:tcBorders>
              <w:top w:val="nil"/>
              <w:bottom w:val="nil"/>
            </w:tcBorders>
            <w:vAlign w:val="center"/>
          </w:tcPr>
          <w:p w14:paraId="2B8A6462" w14:textId="77777777" w:rsidR="00E45731" w:rsidRPr="004C78D8" w:rsidRDefault="00E45731" w:rsidP="00FB7C1F">
            <w:pPr>
              <w:spacing w:after="0"/>
              <w:jc w:val="center"/>
            </w:pPr>
          </w:p>
        </w:tc>
        <w:tc>
          <w:tcPr>
            <w:tcW w:w="357" w:type="pct"/>
            <w:tcBorders>
              <w:top w:val="nil"/>
              <w:bottom w:val="nil"/>
            </w:tcBorders>
            <w:vAlign w:val="center"/>
          </w:tcPr>
          <w:p w14:paraId="7739D26C" w14:textId="77777777" w:rsidR="00E45731" w:rsidRPr="004C78D8" w:rsidRDefault="00E45731" w:rsidP="00FB7C1F">
            <w:pPr>
              <w:spacing w:after="0"/>
              <w:jc w:val="center"/>
            </w:pPr>
          </w:p>
        </w:tc>
      </w:tr>
      <w:tr w:rsidR="00E45731" w:rsidRPr="004C78D8" w14:paraId="24E77249" w14:textId="77777777" w:rsidTr="002828C1">
        <w:tc>
          <w:tcPr>
            <w:tcW w:w="458" w:type="pct"/>
          </w:tcPr>
          <w:p w14:paraId="44A009BE" w14:textId="77777777" w:rsidR="00E45731" w:rsidRPr="004C78D8" w:rsidRDefault="00E45731" w:rsidP="00FB7C1F">
            <w:pPr>
              <w:spacing w:after="0"/>
              <w:jc w:val="left"/>
              <w:rPr>
                <w:sz w:val="18"/>
                <w:szCs w:val="18"/>
              </w:rPr>
            </w:pPr>
            <w:r w:rsidRPr="004C78D8">
              <w:rPr>
                <w:sz w:val="18"/>
                <w:szCs w:val="18"/>
              </w:rPr>
              <w:lastRenderedPageBreak/>
              <w:t>Poole (2014)</w:t>
            </w:r>
          </w:p>
        </w:tc>
        <w:tc>
          <w:tcPr>
            <w:tcW w:w="715" w:type="pct"/>
          </w:tcPr>
          <w:p w14:paraId="4AA2A8DF" w14:textId="77777777" w:rsidR="00E45731" w:rsidRPr="004C78D8" w:rsidRDefault="00E45731" w:rsidP="00FB7C1F">
            <w:pPr>
              <w:spacing w:after="0"/>
              <w:jc w:val="left"/>
              <w:rPr>
                <w:sz w:val="18"/>
                <w:szCs w:val="18"/>
              </w:rPr>
            </w:pPr>
            <w:r w:rsidRPr="004C78D8">
              <w:rPr>
                <w:sz w:val="18"/>
                <w:szCs w:val="18"/>
              </w:rPr>
              <w:t>Hip fracture; Fatal hip fracture</w:t>
            </w:r>
          </w:p>
        </w:tc>
        <w:tc>
          <w:tcPr>
            <w:tcW w:w="255" w:type="pct"/>
            <w:tcBorders>
              <w:top w:val="nil"/>
              <w:bottom w:val="nil"/>
            </w:tcBorders>
            <w:vAlign w:val="center"/>
          </w:tcPr>
          <w:p w14:paraId="5D355BFC" w14:textId="77777777" w:rsidR="00E45731" w:rsidRPr="004C78D8" w:rsidRDefault="00E45731" w:rsidP="00FB7C1F">
            <w:pPr>
              <w:spacing w:after="0"/>
              <w:jc w:val="center"/>
              <w:rPr>
                <w:sz w:val="28"/>
                <w:szCs w:val="28"/>
              </w:rPr>
            </w:pPr>
            <w:r w:rsidRPr="004C78D8">
              <w:rPr>
                <w:sz w:val="28"/>
                <w:szCs w:val="28"/>
              </w:rPr>
              <w:t>˟</w:t>
            </w:r>
          </w:p>
        </w:tc>
        <w:tc>
          <w:tcPr>
            <w:tcW w:w="255" w:type="pct"/>
            <w:tcBorders>
              <w:top w:val="nil"/>
              <w:bottom w:val="nil"/>
            </w:tcBorders>
            <w:vAlign w:val="center"/>
          </w:tcPr>
          <w:p w14:paraId="6316BEBE" w14:textId="77777777" w:rsidR="00E45731" w:rsidRPr="004C78D8" w:rsidRDefault="00E45731" w:rsidP="00FB7C1F">
            <w:pPr>
              <w:spacing w:after="0"/>
              <w:jc w:val="center"/>
              <w:rPr>
                <w:sz w:val="28"/>
                <w:szCs w:val="28"/>
              </w:rPr>
            </w:pPr>
            <w:r w:rsidRPr="004C78D8">
              <w:rPr>
                <w:sz w:val="28"/>
                <w:szCs w:val="28"/>
              </w:rPr>
              <w:t>˟</w:t>
            </w:r>
          </w:p>
        </w:tc>
        <w:tc>
          <w:tcPr>
            <w:tcW w:w="357" w:type="pct"/>
            <w:tcBorders>
              <w:top w:val="nil"/>
              <w:bottom w:val="nil"/>
            </w:tcBorders>
            <w:vAlign w:val="center"/>
          </w:tcPr>
          <w:p w14:paraId="7AA063F3" w14:textId="77777777" w:rsidR="00E45731" w:rsidRPr="004C78D8" w:rsidRDefault="00E45731" w:rsidP="00FB7C1F">
            <w:pPr>
              <w:spacing w:after="0"/>
              <w:jc w:val="center"/>
              <w:rPr>
                <w:sz w:val="28"/>
                <w:szCs w:val="28"/>
              </w:rPr>
            </w:pPr>
          </w:p>
        </w:tc>
        <w:tc>
          <w:tcPr>
            <w:tcW w:w="352" w:type="pct"/>
            <w:tcBorders>
              <w:top w:val="nil"/>
              <w:bottom w:val="nil"/>
            </w:tcBorders>
            <w:vAlign w:val="center"/>
          </w:tcPr>
          <w:p w14:paraId="762754D0" w14:textId="77777777" w:rsidR="00E45731" w:rsidRPr="004C78D8" w:rsidRDefault="00E45731" w:rsidP="00FB7C1F">
            <w:pPr>
              <w:spacing w:after="0"/>
              <w:jc w:val="center"/>
              <w:rPr>
                <w:sz w:val="28"/>
                <w:szCs w:val="28"/>
              </w:rPr>
            </w:pPr>
          </w:p>
        </w:tc>
        <w:tc>
          <w:tcPr>
            <w:tcW w:w="326" w:type="pct"/>
            <w:tcBorders>
              <w:top w:val="nil"/>
              <w:bottom w:val="nil"/>
            </w:tcBorders>
            <w:vAlign w:val="center"/>
          </w:tcPr>
          <w:p w14:paraId="5DEDB35C" w14:textId="77777777" w:rsidR="00E45731" w:rsidRPr="004C78D8" w:rsidRDefault="00E45731" w:rsidP="00FB7C1F">
            <w:pPr>
              <w:spacing w:after="0"/>
              <w:jc w:val="center"/>
              <w:rPr>
                <w:sz w:val="28"/>
                <w:szCs w:val="28"/>
              </w:rPr>
            </w:pPr>
          </w:p>
        </w:tc>
        <w:tc>
          <w:tcPr>
            <w:tcW w:w="326" w:type="pct"/>
            <w:tcBorders>
              <w:top w:val="nil"/>
              <w:bottom w:val="nil"/>
            </w:tcBorders>
            <w:vAlign w:val="center"/>
          </w:tcPr>
          <w:p w14:paraId="0306BDBF" w14:textId="77777777" w:rsidR="00E45731" w:rsidRPr="004C78D8" w:rsidRDefault="00E45731" w:rsidP="00FB7C1F">
            <w:pPr>
              <w:spacing w:after="0"/>
              <w:jc w:val="center"/>
              <w:rPr>
                <w:sz w:val="28"/>
                <w:szCs w:val="28"/>
              </w:rPr>
            </w:pPr>
          </w:p>
        </w:tc>
        <w:tc>
          <w:tcPr>
            <w:tcW w:w="272" w:type="pct"/>
            <w:tcBorders>
              <w:top w:val="nil"/>
              <w:bottom w:val="nil"/>
            </w:tcBorders>
            <w:vAlign w:val="center"/>
          </w:tcPr>
          <w:p w14:paraId="34A9FC63" w14:textId="77777777" w:rsidR="00E45731" w:rsidRPr="004C78D8" w:rsidRDefault="00E45731" w:rsidP="00FB7C1F">
            <w:pPr>
              <w:spacing w:after="0"/>
              <w:jc w:val="center"/>
            </w:pPr>
          </w:p>
        </w:tc>
        <w:tc>
          <w:tcPr>
            <w:tcW w:w="306" w:type="pct"/>
            <w:tcBorders>
              <w:top w:val="nil"/>
              <w:bottom w:val="nil"/>
            </w:tcBorders>
            <w:vAlign w:val="center"/>
          </w:tcPr>
          <w:p w14:paraId="78443E0D" w14:textId="77777777" w:rsidR="00E45731" w:rsidRPr="004C78D8" w:rsidRDefault="00E45731" w:rsidP="00FB7C1F">
            <w:pPr>
              <w:spacing w:after="0"/>
              <w:jc w:val="center"/>
            </w:pPr>
          </w:p>
        </w:tc>
        <w:tc>
          <w:tcPr>
            <w:tcW w:w="400" w:type="pct"/>
            <w:tcBorders>
              <w:top w:val="nil"/>
              <w:bottom w:val="nil"/>
            </w:tcBorders>
            <w:vAlign w:val="center"/>
          </w:tcPr>
          <w:p w14:paraId="6D0D72A1" w14:textId="77777777" w:rsidR="00E45731" w:rsidRPr="004C78D8" w:rsidRDefault="00E45731" w:rsidP="00FB7C1F">
            <w:pPr>
              <w:spacing w:after="0"/>
              <w:jc w:val="center"/>
            </w:pPr>
          </w:p>
        </w:tc>
        <w:tc>
          <w:tcPr>
            <w:tcW w:w="326" w:type="pct"/>
            <w:tcBorders>
              <w:top w:val="nil"/>
              <w:bottom w:val="nil"/>
            </w:tcBorders>
            <w:vAlign w:val="center"/>
          </w:tcPr>
          <w:p w14:paraId="37F378B5" w14:textId="77777777" w:rsidR="00E45731" w:rsidRPr="004C78D8" w:rsidRDefault="00E45731" w:rsidP="00FB7C1F">
            <w:pPr>
              <w:spacing w:after="0"/>
              <w:jc w:val="center"/>
            </w:pPr>
          </w:p>
        </w:tc>
        <w:tc>
          <w:tcPr>
            <w:tcW w:w="295" w:type="pct"/>
            <w:tcBorders>
              <w:top w:val="nil"/>
              <w:bottom w:val="nil"/>
            </w:tcBorders>
            <w:vAlign w:val="center"/>
          </w:tcPr>
          <w:p w14:paraId="126A9917" w14:textId="77777777" w:rsidR="00E45731" w:rsidRPr="004C78D8" w:rsidRDefault="00E45731" w:rsidP="00FB7C1F">
            <w:pPr>
              <w:spacing w:after="0"/>
              <w:jc w:val="center"/>
            </w:pPr>
          </w:p>
        </w:tc>
        <w:tc>
          <w:tcPr>
            <w:tcW w:w="357" w:type="pct"/>
            <w:tcBorders>
              <w:top w:val="nil"/>
              <w:bottom w:val="nil"/>
            </w:tcBorders>
            <w:vAlign w:val="center"/>
          </w:tcPr>
          <w:p w14:paraId="1E7FB8F6" w14:textId="77777777" w:rsidR="00E45731" w:rsidRPr="004C78D8" w:rsidRDefault="00E45731" w:rsidP="00FB7C1F">
            <w:pPr>
              <w:spacing w:after="0"/>
              <w:jc w:val="center"/>
            </w:pPr>
          </w:p>
        </w:tc>
      </w:tr>
      <w:tr w:rsidR="00E45731" w:rsidRPr="004C78D8" w14:paraId="220C81F8" w14:textId="77777777" w:rsidTr="002828C1">
        <w:tc>
          <w:tcPr>
            <w:tcW w:w="458" w:type="pct"/>
          </w:tcPr>
          <w:p w14:paraId="5E1827D8" w14:textId="77777777" w:rsidR="00E45731" w:rsidRPr="004C78D8" w:rsidRDefault="00E45731" w:rsidP="00FB7C1F">
            <w:pPr>
              <w:spacing w:after="0"/>
              <w:jc w:val="left"/>
              <w:rPr>
                <w:sz w:val="18"/>
                <w:szCs w:val="18"/>
              </w:rPr>
            </w:pPr>
            <w:r w:rsidRPr="004C78D8">
              <w:rPr>
                <w:sz w:val="18"/>
                <w:szCs w:val="18"/>
              </w:rPr>
              <w:t>Poole (2015)</w:t>
            </w:r>
          </w:p>
        </w:tc>
        <w:tc>
          <w:tcPr>
            <w:tcW w:w="715" w:type="pct"/>
          </w:tcPr>
          <w:p w14:paraId="5FBD74B1" w14:textId="77777777" w:rsidR="00E45731" w:rsidRPr="004C78D8" w:rsidRDefault="00E45731" w:rsidP="00FB7C1F">
            <w:pPr>
              <w:spacing w:after="0"/>
              <w:jc w:val="left"/>
              <w:rPr>
                <w:sz w:val="18"/>
                <w:szCs w:val="18"/>
              </w:rPr>
            </w:pPr>
            <w:r w:rsidRPr="004C78D8">
              <w:rPr>
                <w:sz w:val="18"/>
                <w:szCs w:val="18"/>
              </w:rPr>
              <w:t>MA fall; Hospitalised fall; LTC fall; Fatal fall</w:t>
            </w:r>
          </w:p>
        </w:tc>
        <w:tc>
          <w:tcPr>
            <w:tcW w:w="255" w:type="pct"/>
            <w:tcBorders>
              <w:top w:val="nil"/>
              <w:bottom w:val="nil"/>
            </w:tcBorders>
            <w:vAlign w:val="center"/>
          </w:tcPr>
          <w:p w14:paraId="0232815F" w14:textId="77777777" w:rsidR="00E45731" w:rsidRPr="004C78D8" w:rsidRDefault="00E45731" w:rsidP="00FB7C1F">
            <w:pPr>
              <w:spacing w:after="0"/>
              <w:jc w:val="center"/>
              <w:rPr>
                <w:sz w:val="28"/>
                <w:szCs w:val="28"/>
              </w:rPr>
            </w:pPr>
            <w:r w:rsidRPr="004C78D8">
              <w:rPr>
                <w:sz w:val="28"/>
                <w:szCs w:val="28"/>
              </w:rPr>
              <w:t>˟</w:t>
            </w:r>
          </w:p>
        </w:tc>
        <w:tc>
          <w:tcPr>
            <w:tcW w:w="255" w:type="pct"/>
            <w:tcBorders>
              <w:top w:val="nil"/>
              <w:bottom w:val="nil"/>
            </w:tcBorders>
            <w:vAlign w:val="center"/>
          </w:tcPr>
          <w:p w14:paraId="6699CF88" w14:textId="77777777" w:rsidR="00E45731" w:rsidRPr="004C78D8" w:rsidRDefault="00E45731" w:rsidP="00FB7C1F">
            <w:pPr>
              <w:spacing w:after="0"/>
              <w:jc w:val="center"/>
              <w:rPr>
                <w:sz w:val="28"/>
                <w:szCs w:val="28"/>
              </w:rPr>
            </w:pPr>
          </w:p>
        </w:tc>
        <w:tc>
          <w:tcPr>
            <w:tcW w:w="357" w:type="pct"/>
            <w:tcBorders>
              <w:top w:val="nil"/>
              <w:bottom w:val="nil"/>
            </w:tcBorders>
            <w:vAlign w:val="center"/>
          </w:tcPr>
          <w:p w14:paraId="35BB9330" w14:textId="77777777" w:rsidR="00E45731" w:rsidRPr="004C78D8" w:rsidRDefault="00E45731" w:rsidP="00FB7C1F">
            <w:pPr>
              <w:spacing w:after="0"/>
              <w:jc w:val="center"/>
              <w:rPr>
                <w:sz w:val="28"/>
                <w:szCs w:val="28"/>
              </w:rPr>
            </w:pPr>
          </w:p>
        </w:tc>
        <w:tc>
          <w:tcPr>
            <w:tcW w:w="352" w:type="pct"/>
            <w:tcBorders>
              <w:top w:val="nil"/>
              <w:bottom w:val="nil"/>
            </w:tcBorders>
            <w:vAlign w:val="center"/>
          </w:tcPr>
          <w:p w14:paraId="780A6FCD" w14:textId="77777777" w:rsidR="00E45731" w:rsidRPr="004C78D8" w:rsidRDefault="00E45731" w:rsidP="00FB7C1F">
            <w:pPr>
              <w:spacing w:after="0"/>
              <w:jc w:val="center"/>
              <w:rPr>
                <w:sz w:val="28"/>
                <w:szCs w:val="28"/>
              </w:rPr>
            </w:pPr>
          </w:p>
        </w:tc>
        <w:tc>
          <w:tcPr>
            <w:tcW w:w="326" w:type="pct"/>
            <w:tcBorders>
              <w:top w:val="nil"/>
              <w:bottom w:val="nil"/>
            </w:tcBorders>
            <w:vAlign w:val="center"/>
          </w:tcPr>
          <w:p w14:paraId="437003BC" w14:textId="77777777" w:rsidR="00E45731" w:rsidRPr="004C78D8" w:rsidRDefault="00E45731" w:rsidP="00FB7C1F">
            <w:pPr>
              <w:spacing w:after="0"/>
              <w:jc w:val="center"/>
              <w:rPr>
                <w:sz w:val="28"/>
                <w:szCs w:val="28"/>
              </w:rPr>
            </w:pPr>
          </w:p>
        </w:tc>
        <w:tc>
          <w:tcPr>
            <w:tcW w:w="326" w:type="pct"/>
            <w:tcBorders>
              <w:top w:val="nil"/>
              <w:bottom w:val="nil"/>
            </w:tcBorders>
            <w:vAlign w:val="center"/>
          </w:tcPr>
          <w:p w14:paraId="3B4C0B4E" w14:textId="77777777" w:rsidR="00E45731" w:rsidRPr="004C78D8" w:rsidRDefault="00E45731" w:rsidP="00FB7C1F">
            <w:pPr>
              <w:spacing w:after="0"/>
              <w:jc w:val="center"/>
              <w:rPr>
                <w:sz w:val="28"/>
                <w:szCs w:val="28"/>
              </w:rPr>
            </w:pPr>
          </w:p>
        </w:tc>
        <w:tc>
          <w:tcPr>
            <w:tcW w:w="272" w:type="pct"/>
            <w:tcBorders>
              <w:top w:val="nil"/>
              <w:bottom w:val="nil"/>
            </w:tcBorders>
            <w:vAlign w:val="center"/>
          </w:tcPr>
          <w:p w14:paraId="6F5A782A" w14:textId="77777777" w:rsidR="00E45731" w:rsidRPr="004C78D8" w:rsidRDefault="00E45731" w:rsidP="00FB7C1F">
            <w:pPr>
              <w:spacing w:after="0"/>
              <w:jc w:val="center"/>
            </w:pPr>
          </w:p>
        </w:tc>
        <w:tc>
          <w:tcPr>
            <w:tcW w:w="306" w:type="pct"/>
            <w:tcBorders>
              <w:top w:val="nil"/>
              <w:bottom w:val="nil"/>
            </w:tcBorders>
            <w:vAlign w:val="center"/>
          </w:tcPr>
          <w:p w14:paraId="7CC0D260" w14:textId="77777777" w:rsidR="00E45731" w:rsidRPr="004C78D8" w:rsidRDefault="00E45731" w:rsidP="00FB7C1F">
            <w:pPr>
              <w:spacing w:after="0"/>
              <w:jc w:val="center"/>
            </w:pPr>
          </w:p>
        </w:tc>
        <w:tc>
          <w:tcPr>
            <w:tcW w:w="400" w:type="pct"/>
            <w:tcBorders>
              <w:top w:val="nil"/>
              <w:bottom w:val="nil"/>
            </w:tcBorders>
            <w:vAlign w:val="center"/>
          </w:tcPr>
          <w:p w14:paraId="0C53951B" w14:textId="77777777" w:rsidR="00E45731" w:rsidRPr="004C78D8" w:rsidRDefault="00E45731" w:rsidP="00FB7C1F">
            <w:pPr>
              <w:spacing w:after="0"/>
              <w:jc w:val="center"/>
            </w:pPr>
          </w:p>
        </w:tc>
        <w:tc>
          <w:tcPr>
            <w:tcW w:w="326" w:type="pct"/>
            <w:tcBorders>
              <w:top w:val="nil"/>
              <w:bottom w:val="nil"/>
            </w:tcBorders>
            <w:vAlign w:val="center"/>
          </w:tcPr>
          <w:p w14:paraId="7D8BD365" w14:textId="77777777" w:rsidR="00E45731" w:rsidRPr="004C78D8" w:rsidRDefault="00E45731" w:rsidP="00FB7C1F">
            <w:pPr>
              <w:spacing w:after="0"/>
              <w:jc w:val="center"/>
            </w:pPr>
          </w:p>
        </w:tc>
        <w:tc>
          <w:tcPr>
            <w:tcW w:w="295" w:type="pct"/>
            <w:tcBorders>
              <w:top w:val="nil"/>
              <w:bottom w:val="nil"/>
            </w:tcBorders>
            <w:vAlign w:val="center"/>
          </w:tcPr>
          <w:p w14:paraId="7839B86F" w14:textId="77777777" w:rsidR="00E45731" w:rsidRPr="004C78D8" w:rsidRDefault="00E45731" w:rsidP="00FB7C1F">
            <w:pPr>
              <w:spacing w:after="0"/>
              <w:jc w:val="center"/>
            </w:pPr>
          </w:p>
        </w:tc>
        <w:tc>
          <w:tcPr>
            <w:tcW w:w="357" w:type="pct"/>
            <w:tcBorders>
              <w:top w:val="nil"/>
              <w:bottom w:val="nil"/>
            </w:tcBorders>
            <w:vAlign w:val="center"/>
          </w:tcPr>
          <w:p w14:paraId="59656625" w14:textId="77777777" w:rsidR="00E45731" w:rsidRPr="004C78D8" w:rsidRDefault="00E45731" w:rsidP="00FB7C1F">
            <w:pPr>
              <w:spacing w:after="0"/>
              <w:jc w:val="center"/>
            </w:pPr>
          </w:p>
        </w:tc>
      </w:tr>
      <w:tr w:rsidR="00E45731" w:rsidRPr="004C78D8" w14:paraId="1E73F43E" w14:textId="77777777" w:rsidTr="002828C1">
        <w:tc>
          <w:tcPr>
            <w:tcW w:w="458" w:type="pct"/>
          </w:tcPr>
          <w:p w14:paraId="54E2C97B" w14:textId="77777777" w:rsidR="00E45731" w:rsidRPr="004C78D8" w:rsidRDefault="00E45731" w:rsidP="00FB7C1F">
            <w:pPr>
              <w:spacing w:after="0"/>
              <w:jc w:val="left"/>
              <w:rPr>
                <w:sz w:val="18"/>
                <w:szCs w:val="18"/>
              </w:rPr>
            </w:pPr>
            <w:r w:rsidRPr="004C78D8">
              <w:rPr>
                <w:sz w:val="18"/>
                <w:szCs w:val="18"/>
              </w:rPr>
              <w:t>RCN (2005)</w:t>
            </w:r>
          </w:p>
        </w:tc>
        <w:tc>
          <w:tcPr>
            <w:tcW w:w="715" w:type="pct"/>
          </w:tcPr>
          <w:p w14:paraId="1B584AFA" w14:textId="77777777" w:rsidR="00E45731" w:rsidRPr="004C78D8" w:rsidRDefault="00E45731" w:rsidP="00FB7C1F">
            <w:pPr>
              <w:spacing w:after="0"/>
              <w:jc w:val="left"/>
              <w:rPr>
                <w:sz w:val="18"/>
                <w:szCs w:val="18"/>
              </w:rPr>
            </w:pPr>
            <w:r w:rsidRPr="004C78D8">
              <w:rPr>
                <w:sz w:val="18"/>
                <w:szCs w:val="18"/>
              </w:rPr>
              <w:t>MA fall; Severity of MA fall</w:t>
            </w:r>
          </w:p>
        </w:tc>
        <w:tc>
          <w:tcPr>
            <w:tcW w:w="255" w:type="pct"/>
            <w:tcBorders>
              <w:top w:val="nil"/>
              <w:bottom w:val="nil"/>
            </w:tcBorders>
            <w:vAlign w:val="center"/>
          </w:tcPr>
          <w:p w14:paraId="254123C0" w14:textId="77777777" w:rsidR="00E45731" w:rsidRPr="004C78D8" w:rsidRDefault="00E45731" w:rsidP="00FB7C1F">
            <w:pPr>
              <w:spacing w:after="0"/>
              <w:jc w:val="center"/>
              <w:rPr>
                <w:sz w:val="28"/>
                <w:szCs w:val="28"/>
              </w:rPr>
            </w:pPr>
            <w:r w:rsidRPr="004C78D8">
              <w:rPr>
                <w:sz w:val="28"/>
                <w:szCs w:val="28"/>
              </w:rPr>
              <w:t>˟</w:t>
            </w:r>
          </w:p>
        </w:tc>
        <w:tc>
          <w:tcPr>
            <w:tcW w:w="255" w:type="pct"/>
            <w:tcBorders>
              <w:top w:val="nil"/>
              <w:bottom w:val="nil"/>
            </w:tcBorders>
            <w:vAlign w:val="center"/>
          </w:tcPr>
          <w:p w14:paraId="4F0548CD" w14:textId="77777777" w:rsidR="00E45731" w:rsidRPr="004C78D8" w:rsidRDefault="00E45731" w:rsidP="00FB7C1F">
            <w:pPr>
              <w:spacing w:after="0"/>
              <w:jc w:val="center"/>
              <w:rPr>
                <w:sz w:val="28"/>
                <w:szCs w:val="28"/>
              </w:rPr>
            </w:pPr>
          </w:p>
        </w:tc>
        <w:tc>
          <w:tcPr>
            <w:tcW w:w="357" w:type="pct"/>
            <w:tcBorders>
              <w:top w:val="nil"/>
              <w:bottom w:val="nil"/>
            </w:tcBorders>
            <w:vAlign w:val="center"/>
          </w:tcPr>
          <w:p w14:paraId="18C6C853" w14:textId="77777777" w:rsidR="00E45731" w:rsidRPr="004C78D8" w:rsidRDefault="00E45731" w:rsidP="00FB7C1F">
            <w:pPr>
              <w:spacing w:after="0"/>
              <w:jc w:val="center"/>
              <w:rPr>
                <w:sz w:val="28"/>
                <w:szCs w:val="28"/>
              </w:rPr>
            </w:pPr>
          </w:p>
        </w:tc>
        <w:tc>
          <w:tcPr>
            <w:tcW w:w="352" w:type="pct"/>
            <w:tcBorders>
              <w:top w:val="nil"/>
              <w:bottom w:val="nil"/>
            </w:tcBorders>
            <w:vAlign w:val="center"/>
          </w:tcPr>
          <w:p w14:paraId="1CFFE88E" w14:textId="77777777" w:rsidR="00E45731" w:rsidRPr="004C78D8" w:rsidRDefault="00E45731" w:rsidP="00FB7C1F">
            <w:pPr>
              <w:spacing w:after="0"/>
              <w:jc w:val="center"/>
              <w:rPr>
                <w:sz w:val="28"/>
                <w:szCs w:val="28"/>
              </w:rPr>
            </w:pPr>
          </w:p>
        </w:tc>
        <w:tc>
          <w:tcPr>
            <w:tcW w:w="326" w:type="pct"/>
            <w:tcBorders>
              <w:top w:val="nil"/>
              <w:bottom w:val="nil"/>
            </w:tcBorders>
            <w:vAlign w:val="center"/>
          </w:tcPr>
          <w:p w14:paraId="20893F3E" w14:textId="77777777" w:rsidR="00E45731" w:rsidRPr="004C78D8" w:rsidRDefault="00E45731" w:rsidP="00FB7C1F">
            <w:pPr>
              <w:spacing w:after="0"/>
              <w:jc w:val="center"/>
              <w:rPr>
                <w:sz w:val="28"/>
                <w:szCs w:val="28"/>
              </w:rPr>
            </w:pPr>
          </w:p>
        </w:tc>
        <w:tc>
          <w:tcPr>
            <w:tcW w:w="326" w:type="pct"/>
            <w:tcBorders>
              <w:top w:val="nil"/>
              <w:bottom w:val="nil"/>
            </w:tcBorders>
            <w:vAlign w:val="center"/>
          </w:tcPr>
          <w:p w14:paraId="4C4BF514" w14:textId="77777777" w:rsidR="00E45731" w:rsidRPr="004C78D8" w:rsidRDefault="00E45731" w:rsidP="00FB7C1F">
            <w:pPr>
              <w:spacing w:after="0"/>
              <w:jc w:val="center"/>
              <w:rPr>
                <w:sz w:val="28"/>
                <w:szCs w:val="28"/>
              </w:rPr>
            </w:pPr>
          </w:p>
        </w:tc>
        <w:tc>
          <w:tcPr>
            <w:tcW w:w="272" w:type="pct"/>
            <w:tcBorders>
              <w:top w:val="nil"/>
              <w:bottom w:val="nil"/>
            </w:tcBorders>
            <w:vAlign w:val="center"/>
          </w:tcPr>
          <w:p w14:paraId="1905EC04" w14:textId="77777777" w:rsidR="00E45731" w:rsidRPr="004C78D8" w:rsidRDefault="00E45731" w:rsidP="00FB7C1F">
            <w:pPr>
              <w:spacing w:after="0"/>
              <w:jc w:val="center"/>
            </w:pPr>
          </w:p>
        </w:tc>
        <w:tc>
          <w:tcPr>
            <w:tcW w:w="306" w:type="pct"/>
            <w:tcBorders>
              <w:top w:val="nil"/>
              <w:bottom w:val="nil"/>
            </w:tcBorders>
            <w:vAlign w:val="center"/>
          </w:tcPr>
          <w:p w14:paraId="133C1093" w14:textId="77777777" w:rsidR="00E45731" w:rsidRPr="004C78D8" w:rsidRDefault="00E45731" w:rsidP="00FB7C1F">
            <w:pPr>
              <w:spacing w:after="0"/>
              <w:jc w:val="center"/>
            </w:pPr>
          </w:p>
        </w:tc>
        <w:tc>
          <w:tcPr>
            <w:tcW w:w="400" w:type="pct"/>
            <w:tcBorders>
              <w:top w:val="nil"/>
              <w:bottom w:val="nil"/>
            </w:tcBorders>
            <w:vAlign w:val="center"/>
          </w:tcPr>
          <w:p w14:paraId="025496F2" w14:textId="77777777" w:rsidR="00E45731" w:rsidRPr="004C78D8" w:rsidRDefault="00E45731" w:rsidP="00FB7C1F">
            <w:pPr>
              <w:spacing w:after="0"/>
              <w:jc w:val="center"/>
            </w:pPr>
          </w:p>
        </w:tc>
        <w:tc>
          <w:tcPr>
            <w:tcW w:w="326" w:type="pct"/>
            <w:tcBorders>
              <w:top w:val="nil"/>
              <w:bottom w:val="nil"/>
            </w:tcBorders>
            <w:vAlign w:val="center"/>
          </w:tcPr>
          <w:p w14:paraId="022F7698" w14:textId="77777777" w:rsidR="00E45731" w:rsidRPr="004C78D8" w:rsidRDefault="00E45731" w:rsidP="00FB7C1F">
            <w:pPr>
              <w:spacing w:after="0"/>
              <w:jc w:val="center"/>
            </w:pPr>
          </w:p>
        </w:tc>
        <w:tc>
          <w:tcPr>
            <w:tcW w:w="295" w:type="pct"/>
            <w:tcBorders>
              <w:top w:val="nil"/>
              <w:bottom w:val="nil"/>
            </w:tcBorders>
            <w:vAlign w:val="center"/>
          </w:tcPr>
          <w:p w14:paraId="71E54CEE" w14:textId="77777777" w:rsidR="00E45731" w:rsidRPr="004C78D8" w:rsidRDefault="00E45731" w:rsidP="00FB7C1F">
            <w:pPr>
              <w:spacing w:after="0"/>
              <w:jc w:val="center"/>
            </w:pPr>
          </w:p>
        </w:tc>
        <w:tc>
          <w:tcPr>
            <w:tcW w:w="357" w:type="pct"/>
            <w:tcBorders>
              <w:top w:val="nil"/>
              <w:bottom w:val="nil"/>
            </w:tcBorders>
            <w:vAlign w:val="center"/>
          </w:tcPr>
          <w:p w14:paraId="04C541A4" w14:textId="77777777" w:rsidR="00E45731" w:rsidRPr="004C78D8" w:rsidRDefault="00E45731" w:rsidP="00FB7C1F">
            <w:pPr>
              <w:spacing w:after="0"/>
              <w:jc w:val="center"/>
            </w:pPr>
          </w:p>
        </w:tc>
      </w:tr>
      <w:tr w:rsidR="00E45731" w:rsidRPr="004C78D8" w14:paraId="19300F70" w14:textId="77777777" w:rsidTr="002828C1">
        <w:tc>
          <w:tcPr>
            <w:tcW w:w="458" w:type="pct"/>
          </w:tcPr>
          <w:p w14:paraId="616DA2D2" w14:textId="77777777" w:rsidR="00E45731" w:rsidRPr="004C78D8" w:rsidRDefault="00E45731" w:rsidP="00FB7C1F">
            <w:pPr>
              <w:spacing w:after="0"/>
              <w:jc w:val="left"/>
              <w:rPr>
                <w:sz w:val="18"/>
                <w:szCs w:val="18"/>
              </w:rPr>
            </w:pPr>
            <w:r w:rsidRPr="004C78D8">
              <w:rPr>
                <w:sz w:val="18"/>
                <w:szCs w:val="18"/>
              </w:rPr>
              <w:t>Tannenbaum (2015)</w:t>
            </w:r>
          </w:p>
        </w:tc>
        <w:tc>
          <w:tcPr>
            <w:tcW w:w="715" w:type="pct"/>
          </w:tcPr>
          <w:p w14:paraId="460C4A40" w14:textId="77777777" w:rsidR="00E45731" w:rsidRPr="004C78D8" w:rsidRDefault="00E45731" w:rsidP="00FB7C1F">
            <w:pPr>
              <w:spacing w:after="0"/>
              <w:jc w:val="left"/>
              <w:rPr>
                <w:sz w:val="18"/>
                <w:szCs w:val="18"/>
              </w:rPr>
            </w:pPr>
            <w:r w:rsidRPr="004C78D8">
              <w:rPr>
                <w:sz w:val="18"/>
                <w:szCs w:val="18"/>
              </w:rPr>
              <w:t>Any fall</w:t>
            </w:r>
          </w:p>
        </w:tc>
        <w:tc>
          <w:tcPr>
            <w:tcW w:w="255" w:type="pct"/>
            <w:tcBorders>
              <w:top w:val="nil"/>
              <w:bottom w:val="nil"/>
            </w:tcBorders>
            <w:vAlign w:val="center"/>
          </w:tcPr>
          <w:p w14:paraId="60894BAB" w14:textId="77777777" w:rsidR="00E45731" w:rsidRPr="004C78D8" w:rsidRDefault="00E45731" w:rsidP="00FB7C1F">
            <w:pPr>
              <w:spacing w:after="0"/>
              <w:jc w:val="center"/>
              <w:rPr>
                <w:sz w:val="28"/>
                <w:szCs w:val="28"/>
              </w:rPr>
            </w:pPr>
          </w:p>
        </w:tc>
        <w:tc>
          <w:tcPr>
            <w:tcW w:w="255" w:type="pct"/>
            <w:tcBorders>
              <w:top w:val="nil"/>
              <w:bottom w:val="nil"/>
            </w:tcBorders>
            <w:vAlign w:val="center"/>
          </w:tcPr>
          <w:p w14:paraId="0E28D7D5" w14:textId="77777777" w:rsidR="00E45731" w:rsidRPr="004C78D8" w:rsidRDefault="00E45731" w:rsidP="00FB7C1F">
            <w:pPr>
              <w:spacing w:after="0"/>
              <w:jc w:val="center"/>
              <w:rPr>
                <w:sz w:val="28"/>
                <w:szCs w:val="28"/>
              </w:rPr>
            </w:pPr>
          </w:p>
        </w:tc>
        <w:tc>
          <w:tcPr>
            <w:tcW w:w="357" w:type="pct"/>
            <w:tcBorders>
              <w:top w:val="nil"/>
              <w:bottom w:val="nil"/>
            </w:tcBorders>
            <w:vAlign w:val="center"/>
          </w:tcPr>
          <w:p w14:paraId="4FECD1C2" w14:textId="77777777" w:rsidR="00E45731" w:rsidRPr="004C78D8" w:rsidRDefault="00E45731" w:rsidP="00FB7C1F">
            <w:pPr>
              <w:spacing w:after="0"/>
              <w:jc w:val="center"/>
              <w:rPr>
                <w:sz w:val="28"/>
                <w:szCs w:val="28"/>
              </w:rPr>
            </w:pPr>
          </w:p>
        </w:tc>
        <w:tc>
          <w:tcPr>
            <w:tcW w:w="352" w:type="pct"/>
            <w:tcBorders>
              <w:top w:val="nil"/>
              <w:bottom w:val="nil"/>
            </w:tcBorders>
            <w:vAlign w:val="center"/>
          </w:tcPr>
          <w:p w14:paraId="4B37CEFA" w14:textId="77777777" w:rsidR="00E45731" w:rsidRPr="004C78D8" w:rsidRDefault="00E45731" w:rsidP="00FB7C1F">
            <w:pPr>
              <w:spacing w:after="0"/>
              <w:jc w:val="center"/>
              <w:rPr>
                <w:sz w:val="28"/>
                <w:szCs w:val="28"/>
              </w:rPr>
            </w:pPr>
          </w:p>
        </w:tc>
        <w:tc>
          <w:tcPr>
            <w:tcW w:w="326" w:type="pct"/>
            <w:tcBorders>
              <w:top w:val="nil"/>
              <w:bottom w:val="nil"/>
            </w:tcBorders>
            <w:vAlign w:val="center"/>
          </w:tcPr>
          <w:p w14:paraId="370C1BF2" w14:textId="77777777" w:rsidR="00E45731" w:rsidRPr="004C78D8" w:rsidRDefault="00E45731" w:rsidP="00FB7C1F">
            <w:pPr>
              <w:spacing w:after="0"/>
              <w:jc w:val="center"/>
              <w:rPr>
                <w:sz w:val="28"/>
                <w:szCs w:val="28"/>
              </w:rPr>
            </w:pPr>
          </w:p>
        </w:tc>
        <w:tc>
          <w:tcPr>
            <w:tcW w:w="326" w:type="pct"/>
            <w:tcBorders>
              <w:top w:val="nil"/>
              <w:bottom w:val="nil"/>
            </w:tcBorders>
            <w:vAlign w:val="center"/>
          </w:tcPr>
          <w:p w14:paraId="6698E58F" w14:textId="77777777" w:rsidR="00E45731" w:rsidRPr="004C78D8" w:rsidRDefault="00E45731" w:rsidP="00FB7C1F">
            <w:pPr>
              <w:spacing w:after="0"/>
              <w:jc w:val="center"/>
              <w:rPr>
                <w:sz w:val="28"/>
                <w:szCs w:val="28"/>
              </w:rPr>
            </w:pPr>
            <w:r w:rsidRPr="004C78D8">
              <w:rPr>
                <w:sz w:val="28"/>
                <w:szCs w:val="28"/>
              </w:rPr>
              <w:t>˟</w:t>
            </w:r>
          </w:p>
        </w:tc>
        <w:tc>
          <w:tcPr>
            <w:tcW w:w="272" w:type="pct"/>
            <w:tcBorders>
              <w:top w:val="nil"/>
              <w:bottom w:val="nil"/>
            </w:tcBorders>
            <w:vAlign w:val="center"/>
          </w:tcPr>
          <w:p w14:paraId="12AB8634" w14:textId="77777777" w:rsidR="00E45731" w:rsidRPr="004C78D8" w:rsidRDefault="00E45731" w:rsidP="00FB7C1F">
            <w:pPr>
              <w:spacing w:after="0"/>
              <w:jc w:val="center"/>
            </w:pPr>
          </w:p>
        </w:tc>
        <w:tc>
          <w:tcPr>
            <w:tcW w:w="306" w:type="pct"/>
            <w:tcBorders>
              <w:top w:val="nil"/>
              <w:bottom w:val="nil"/>
            </w:tcBorders>
            <w:vAlign w:val="center"/>
          </w:tcPr>
          <w:p w14:paraId="594837E7" w14:textId="77777777" w:rsidR="00E45731" w:rsidRPr="004C78D8" w:rsidRDefault="00E45731" w:rsidP="00FB7C1F">
            <w:pPr>
              <w:spacing w:after="0"/>
              <w:jc w:val="center"/>
              <w:rPr>
                <w:sz w:val="18"/>
                <w:szCs w:val="18"/>
              </w:rPr>
            </w:pPr>
            <w:r w:rsidRPr="004C78D8">
              <w:rPr>
                <w:i/>
                <w:sz w:val="18"/>
                <w:szCs w:val="18"/>
              </w:rPr>
              <w:t>Exo</w:t>
            </w:r>
          </w:p>
        </w:tc>
        <w:tc>
          <w:tcPr>
            <w:tcW w:w="400" w:type="pct"/>
            <w:tcBorders>
              <w:top w:val="nil"/>
              <w:bottom w:val="nil"/>
            </w:tcBorders>
            <w:vAlign w:val="center"/>
          </w:tcPr>
          <w:p w14:paraId="42958FE7" w14:textId="77777777" w:rsidR="00E45731" w:rsidRPr="004C78D8" w:rsidRDefault="00E45731" w:rsidP="00FB7C1F">
            <w:pPr>
              <w:spacing w:after="0"/>
              <w:jc w:val="center"/>
              <w:rPr>
                <w:sz w:val="28"/>
                <w:szCs w:val="28"/>
              </w:rPr>
            </w:pPr>
            <w:r w:rsidRPr="004C78D8">
              <w:rPr>
                <w:sz w:val="28"/>
                <w:szCs w:val="28"/>
              </w:rPr>
              <w:t>˟</w:t>
            </w:r>
          </w:p>
        </w:tc>
        <w:tc>
          <w:tcPr>
            <w:tcW w:w="326" w:type="pct"/>
            <w:tcBorders>
              <w:top w:val="nil"/>
              <w:bottom w:val="nil"/>
            </w:tcBorders>
            <w:vAlign w:val="center"/>
          </w:tcPr>
          <w:p w14:paraId="7EBE7BD6" w14:textId="77777777" w:rsidR="00E45731" w:rsidRPr="004C78D8" w:rsidRDefault="00E45731" w:rsidP="00FB7C1F">
            <w:pPr>
              <w:spacing w:after="0"/>
              <w:jc w:val="center"/>
            </w:pPr>
          </w:p>
        </w:tc>
        <w:tc>
          <w:tcPr>
            <w:tcW w:w="295" w:type="pct"/>
            <w:tcBorders>
              <w:top w:val="nil"/>
              <w:bottom w:val="nil"/>
            </w:tcBorders>
            <w:vAlign w:val="center"/>
          </w:tcPr>
          <w:p w14:paraId="6CA1C8A9" w14:textId="77777777" w:rsidR="00E45731" w:rsidRPr="004C78D8" w:rsidRDefault="00E45731" w:rsidP="00FB7C1F">
            <w:pPr>
              <w:spacing w:after="0"/>
              <w:jc w:val="center"/>
            </w:pPr>
          </w:p>
        </w:tc>
        <w:tc>
          <w:tcPr>
            <w:tcW w:w="357" w:type="pct"/>
            <w:tcBorders>
              <w:top w:val="nil"/>
              <w:bottom w:val="nil"/>
            </w:tcBorders>
            <w:vAlign w:val="center"/>
          </w:tcPr>
          <w:p w14:paraId="159BE86B" w14:textId="77777777" w:rsidR="00E45731" w:rsidRPr="004C78D8" w:rsidRDefault="00E45731" w:rsidP="00FB7C1F">
            <w:pPr>
              <w:spacing w:after="0"/>
              <w:jc w:val="center"/>
            </w:pPr>
          </w:p>
        </w:tc>
      </w:tr>
      <w:tr w:rsidR="00E45731" w:rsidRPr="004C78D8" w14:paraId="0C61ED5C" w14:textId="77777777" w:rsidTr="002828C1">
        <w:tc>
          <w:tcPr>
            <w:tcW w:w="458" w:type="pct"/>
          </w:tcPr>
          <w:p w14:paraId="63CD08DD" w14:textId="77777777" w:rsidR="00E45731" w:rsidRPr="004C78D8" w:rsidRDefault="00E45731" w:rsidP="00FB7C1F">
            <w:pPr>
              <w:spacing w:after="0"/>
              <w:jc w:val="left"/>
              <w:rPr>
                <w:sz w:val="18"/>
                <w:szCs w:val="18"/>
              </w:rPr>
            </w:pPr>
            <w:r w:rsidRPr="004C78D8">
              <w:rPr>
                <w:sz w:val="18"/>
                <w:szCs w:val="18"/>
              </w:rPr>
              <w:t>Turner (2020)</w:t>
            </w:r>
          </w:p>
        </w:tc>
        <w:tc>
          <w:tcPr>
            <w:tcW w:w="715" w:type="pct"/>
          </w:tcPr>
          <w:p w14:paraId="4BD9E392" w14:textId="77777777" w:rsidR="00E45731" w:rsidRPr="004C78D8" w:rsidRDefault="00E45731" w:rsidP="00FB7C1F">
            <w:pPr>
              <w:spacing w:after="0"/>
              <w:jc w:val="left"/>
              <w:rPr>
                <w:sz w:val="18"/>
                <w:szCs w:val="18"/>
              </w:rPr>
            </w:pPr>
            <w:r w:rsidRPr="004C78D8">
              <w:rPr>
                <w:sz w:val="18"/>
                <w:szCs w:val="18"/>
              </w:rPr>
              <w:t>Non-fracture MA fall; Hospitalised hip &amp; non-hip fractures; Fatal hip fracture</w:t>
            </w:r>
          </w:p>
        </w:tc>
        <w:tc>
          <w:tcPr>
            <w:tcW w:w="255" w:type="pct"/>
            <w:tcBorders>
              <w:top w:val="nil"/>
              <w:bottom w:val="nil"/>
            </w:tcBorders>
            <w:vAlign w:val="center"/>
          </w:tcPr>
          <w:p w14:paraId="00FC375A" w14:textId="77777777" w:rsidR="00E45731" w:rsidRPr="004C78D8" w:rsidRDefault="00E45731" w:rsidP="00FB7C1F">
            <w:pPr>
              <w:spacing w:after="0"/>
              <w:jc w:val="center"/>
            </w:pPr>
          </w:p>
        </w:tc>
        <w:tc>
          <w:tcPr>
            <w:tcW w:w="255" w:type="pct"/>
            <w:tcBorders>
              <w:top w:val="nil"/>
              <w:bottom w:val="nil"/>
            </w:tcBorders>
            <w:vAlign w:val="center"/>
          </w:tcPr>
          <w:p w14:paraId="66E42CF8" w14:textId="77777777" w:rsidR="00E45731" w:rsidRPr="004C78D8" w:rsidRDefault="00E45731" w:rsidP="00FB7C1F">
            <w:pPr>
              <w:spacing w:after="0"/>
              <w:jc w:val="center"/>
            </w:pPr>
          </w:p>
        </w:tc>
        <w:tc>
          <w:tcPr>
            <w:tcW w:w="357" w:type="pct"/>
            <w:tcBorders>
              <w:top w:val="nil"/>
              <w:bottom w:val="nil"/>
            </w:tcBorders>
            <w:vAlign w:val="center"/>
          </w:tcPr>
          <w:p w14:paraId="5A9E058D" w14:textId="77777777" w:rsidR="00E45731" w:rsidRPr="004C78D8" w:rsidRDefault="00E45731" w:rsidP="00FB7C1F">
            <w:pPr>
              <w:spacing w:after="0"/>
              <w:jc w:val="center"/>
            </w:pPr>
          </w:p>
        </w:tc>
        <w:tc>
          <w:tcPr>
            <w:tcW w:w="352" w:type="pct"/>
            <w:tcBorders>
              <w:top w:val="nil"/>
              <w:bottom w:val="nil"/>
            </w:tcBorders>
            <w:vAlign w:val="center"/>
          </w:tcPr>
          <w:p w14:paraId="7B47E742" w14:textId="77777777" w:rsidR="00E45731" w:rsidRPr="004C78D8" w:rsidRDefault="00E45731" w:rsidP="00FB7C1F">
            <w:pPr>
              <w:spacing w:after="0"/>
              <w:jc w:val="center"/>
            </w:pPr>
          </w:p>
        </w:tc>
        <w:tc>
          <w:tcPr>
            <w:tcW w:w="326" w:type="pct"/>
            <w:tcBorders>
              <w:top w:val="nil"/>
              <w:bottom w:val="nil"/>
            </w:tcBorders>
            <w:vAlign w:val="center"/>
          </w:tcPr>
          <w:p w14:paraId="107FC48B" w14:textId="77777777" w:rsidR="00E45731" w:rsidRPr="004C78D8" w:rsidRDefault="00E45731" w:rsidP="00FB7C1F">
            <w:pPr>
              <w:spacing w:after="0"/>
              <w:jc w:val="center"/>
            </w:pPr>
          </w:p>
        </w:tc>
        <w:tc>
          <w:tcPr>
            <w:tcW w:w="326" w:type="pct"/>
            <w:tcBorders>
              <w:top w:val="nil"/>
              <w:bottom w:val="nil"/>
            </w:tcBorders>
            <w:vAlign w:val="center"/>
          </w:tcPr>
          <w:p w14:paraId="10A3BBD3" w14:textId="77777777" w:rsidR="00E45731" w:rsidRPr="004C78D8" w:rsidRDefault="00E45731" w:rsidP="00FB7C1F">
            <w:pPr>
              <w:spacing w:after="0"/>
              <w:jc w:val="center"/>
              <w:rPr>
                <w:sz w:val="36"/>
                <w:szCs w:val="36"/>
              </w:rPr>
            </w:pPr>
          </w:p>
        </w:tc>
        <w:tc>
          <w:tcPr>
            <w:tcW w:w="272" w:type="pct"/>
            <w:tcBorders>
              <w:top w:val="nil"/>
              <w:bottom w:val="nil"/>
            </w:tcBorders>
            <w:vAlign w:val="center"/>
          </w:tcPr>
          <w:p w14:paraId="74695162" w14:textId="77777777" w:rsidR="00E45731" w:rsidRPr="004C78D8" w:rsidRDefault="00E45731" w:rsidP="00FB7C1F">
            <w:pPr>
              <w:spacing w:after="0"/>
              <w:jc w:val="center"/>
            </w:pPr>
          </w:p>
        </w:tc>
        <w:tc>
          <w:tcPr>
            <w:tcW w:w="306" w:type="pct"/>
            <w:tcBorders>
              <w:top w:val="nil"/>
              <w:bottom w:val="nil"/>
            </w:tcBorders>
            <w:vAlign w:val="center"/>
          </w:tcPr>
          <w:p w14:paraId="0764249A" w14:textId="77777777" w:rsidR="00E45731" w:rsidRPr="004C78D8" w:rsidRDefault="00E45731" w:rsidP="00FB7C1F">
            <w:pPr>
              <w:spacing w:after="0"/>
              <w:jc w:val="center"/>
              <w:rPr>
                <w:i/>
                <w:sz w:val="18"/>
                <w:szCs w:val="18"/>
              </w:rPr>
            </w:pPr>
            <w:r w:rsidRPr="004C78D8">
              <w:rPr>
                <w:i/>
                <w:sz w:val="18"/>
                <w:szCs w:val="18"/>
              </w:rPr>
              <w:t>Exo</w:t>
            </w:r>
          </w:p>
        </w:tc>
        <w:tc>
          <w:tcPr>
            <w:tcW w:w="400" w:type="pct"/>
            <w:tcBorders>
              <w:top w:val="nil"/>
              <w:bottom w:val="nil"/>
            </w:tcBorders>
            <w:vAlign w:val="center"/>
          </w:tcPr>
          <w:p w14:paraId="27DCCF22" w14:textId="77777777" w:rsidR="00E45731" w:rsidRPr="004C78D8" w:rsidRDefault="00E45731" w:rsidP="00FB7C1F">
            <w:pPr>
              <w:spacing w:after="0"/>
              <w:jc w:val="center"/>
              <w:rPr>
                <w:sz w:val="28"/>
                <w:szCs w:val="28"/>
              </w:rPr>
            </w:pPr>
            <w:r w:rsidRPr="004C78D8">
              <w:rPr>
                <w:sz w:val="28"/>
                <w:szCs w:val="28"/>
              </w:rPr>
              <w:t>˟</w:t>
            </w:r>
          </w:p>
        </w:tc>
        <w:tc>
          <w:tcPr>
            <w:tcW w:w="326" w:type="pct"/>
            <w:tcBorders>
              <w:top w:val="nil"/>
              <w:bottom w:val="nil"/>
            </w:tcBorders>
            <w:vAlign w:val="center"/>
          </w:tcPr>
          <w:p w14:paraId="5D03251D" w14:textId="77777777" w:rsidR="00E45731" w:rsidRPr="004C78D8" w:rsidRDefault="00E45731" w:rsidP="00FB7C1F">
            <w:pPr>
              <w:spacing w:after="0"/>
              <w:jc w:val="center"/>
            </w:pPr>
          </w:p>
        </w:tc>
        <w:tc>
          <w:tcPr>
            <w:tcW w:w="295" w:type="pct"/>
            <w:tcBorders>
              <w:top w:val="nil"/>
              <w:bottom w:val="nil"/>
            </w:tcBorders>
            <w:vAlign w:val="center"/>
          </w:tcPr>
          <w:p w14:paraId="5CB3BA9A" w14:textId="77777777" w:rsidR="00E45731" w:rsidRPr="004C78D8" w:rsidRDefault="00E45731" w:rsidP="00FB7C1F">
            <w:pPr>
              <w:spacing w:after="0"/>
              <w:jc w:val="center"/>
            </w:pPr>
          </w:p>
        </w:tc>
        <w:tc>
          <w:tcPr>
            <w:tcW w:w="357" w:type="pct"/>
            <w:tcBorders>
              <w:top w:val="nil"/>
              <w:bottom w:val="nil"/>
            </w:tcBorders>
            <w:vAlign w:val="center"/>
          </w:tcPr>
          <w:p w14:paraId="760A8374" w14:textId="77777777" w:rsidR="00E45731" w:rsidRPr="004C78D8" w:rsidRDefault="00E45731" w:rsidP="00FB7C1F">
            <w:pPr>
              <w:spacing w:after="0"/>
              <w:jc w:val="center"/>
            </w:pPr>
          </w:p>
        </w:tc>
      </w:tr>
      <w:tr w:rsidR="00E45731" w:rsidRPr="004C78D8" w14:paraId="2757C422" w14:textId="77777777" w:rsidTr="002828C1">
        <w:tc>
          <w:tcPr>
            <w:tcW w:w="458" w:type="pct"/>
          </w:tcPr>
          <w:p w14:paraId="23DB8B69" w14:textId="77777777" w:rsidR="00E45731" w:rsidRPr="004C78D8" w:rsidRDefault="00E45731" w:rsidP="00FB7C1F">
            <w:pPr>
              <w:spacing w:after="0"/>
              <w:jc w:val="left"/>
              <w:rPr>
                <w:sz w:val="18"/>
                <w:szCs w:val="18"/>
              </w:rPr>
            </w:pPr>
            <w:r w:rsidRPr="004C78D8">
              <w:rPr>
                <w:sz w:val="18"/>
                <w:szCs w:val="18"/>
              </w:rPr>
              <w:t>Wu (2010)</w:t>
            </w:r>
          </w:p>
        </w:tc>
        <w:tc>
          <w:tcPr>
            <w:tcW w:w="715" w:type="pct"/>
          </w:tcPr>
          <w:p w14:paraId="387FFC55" w14:textId="77777777" w:rsidR="00E45731" w:rsidRPr="004C78D8" w:rsidRDefault="00E45731" w:rsidP="00FB7C1F">
            <w:pPr>
              <w:spacing w:after="0"/>
              <w:jc w:val="left"/>
              <w:rPr>
                <w:sz w:val="18"/>
                <w:szCs w:val="18"/>
              </w:rPr>
            </w:pPr>
            <w:r w:rsidRPr="004C78D8">
              <w:rPr>
                <w:sz w:val="18"/>
                <w:szCs w:val="18"/>
              </w:rPr>
              <w:t>Recurrent MA fall</w:t>
            </w:r>
          </w:p>
        </w:tc>
        <w:tc>
          <w:tcPr>
            <w:tcW w:w="255" w:type="pct"/>
            <w:tcBorders>
              <w:top w:val="nil"/>
              <w:bottom w:val="nil"/>
            </w:tcBorders>
            <w:vAlign w:val="center"/>
          </w:tcPr>
          <w:p w14:paraId="210023C5" w14:textId="77777777" w:rsidR="00E45731" w:rsidRPr="004C78D8" w:rsidRDefault="00E45731" w:rsidP="00FB7C1F">
            <w:pPr>
              <w:spacing w:after="0"/>
              <w:jc w:val="center"/>
              <w:rPr>
                <w:sz w:val="28"/>
                <w:szCs w:val="28"/>
              </w:rPr>
            </w:pPr>
            <w:r w:rsidRPr="004C78D8">
              <w:rPr>
                <w:sz w:val="28"/>
                <w:szCs w:val="28"/>
              </w:rPr>
              <w:t>˟</w:t>
            </w:r>
          </w:p>
        </w:tc>
        <w:tc>
          <w:tcPr>
            <w:tcW w:w="255" w:type="pct"/>
            <w:tcBorders>
              <w:top w:val="nil"/>
              <w:bottom w:val="nil"/>
            </w:tcBorders>
            <w:vAlign w:val="center"/>
          </w:tcPr>
          <w:p w14:paraId="1D68FCB5" w14:textId="77777777" w:rsidR="00E45731" w:rsidRPr="004C78D8" w:rsidRDefault="00E45731" w:rsidP="00FB7C1F">
            <w:pPr>
              <w:spacing w:after="0"/>
              <w:jc w:val="center"/>
              <w:rPr>
                <w:sz w:val="28"/>
                <w:szCs w:val="28"/>
              </w:rPr>
            </w:pPr>
          </w:p>
        </w:tc>
        <w:tc>
          <w:tcPr>
            <w:tcW w:w="357" w:type="pct"/>
            <w:tcBorders>
              <w:top w:val="nil"/>
              <w:bottom w:val="nil"/>
            </w:tcBorders>
            <w:vAlign w:val="center"/>
          </w:tcPr>
          <w:p w14:paraId="5FB371CF" w14:textId="77777777" w:rsidR="00E45731" w:rsidRPr="004C78D8" w:rsidRDefault="00E45731" w:rsidP="00FB7C1F">
            <w:pPr>
              <w:spacing w:after="0"/>
              <w:jc w:val="center"/>
            </w:pPr>
          </w:p>
        </w:tc>
        <w:tc>
          <w:tcPr>
            <w:tcW w:w="352" w:type="pct"/>
            <w:tcBorders>
              <w:top w:val="nil"/>
              <w:bottom w:val="nil"/>
            </w:tcBorders>
            <w:vAlign w:val="center"/>
          </w:tcPr>
          <w:p w14:paraId="02220C09" w14:textId="77777777" w:rsidR="00E45731" w:rsidRPr="004C78D8" w:rsidRDefault="00E45731" w:rsidP="00FB7C1F">
            <w:pPr>
              <w:spacing w:after="0"/>
              <w:jc w:val="center"/>
            </w:pPr>
          </w:p>
        </w:tc>
        <w:tc>
          <w:tcPr>
            <w:tcW w:w="326" w:type="pct"/>
            <w:tcBorders>
              <w:top w:val="nil"/>
              <w:bottom w:val="nil"/>
            </w:tcBorders>
            <w:vAlign w:val="center"/>
          </w:tcPr>
          <w:p w14:paraId="6F347614" w14:textId="77777777" w:rsidR="00E45731" w:rsidRPr="004C78D8" w:rsidRDefault="00E45731" w:rsidP="00FB7C1F">
            <w:pPr>
              <w:spacing w:after="0"/>
              <w:jc w:val="center"/>
            </w:pPr>
          </w:p>
        </w:tc>
        <w:tc>
          <w:tcPr>
            <w:tcW w:w="326" w:type="pct"/>
            <w:tcBorders>
              <w:top w:val="nil"/>
              <w:bottom w:val="nil"/>
            </w:tcBorders>
            <w:vAlign w:val="center"/>
          </w:tcPr>
          <w:p w14:paraId="4AA2E20A" w14:textId="77777777" w:rsidR="00E45731" w:rsidRPr="004C78D8" w:rsidRDefault="00E45731" w:rsidP="00FB7C1F">
            <w:pPr>
              <w:spacing w:after="0"/>
              <w:jc w:val="center"/>
            </w:pPr>
            <w:r w:rsidRPr="004C78D8">
              <w:rPr>
                <w:i/>
                <w:sz w:val="18"/>
                <w:szCs w:val="18"/>
              </w:rPr>
              <w:t>Exo</w:t>
            </w:r>
          </w:p>
        </w:tc>
        <w:tc>
          <w:tcPr>
            <w:tcW w:w="272" w:type="pct"/>
            <w:tcBorders>
              <w:top w:val="nil"/>
              <w:bottom w:val="nil"/>
            </w:tcBorders>
            <w:vAlign w:val="center"/>
          </w:tcPr>
          <w:p w14:paraId="65C68574" w14:textId="77777777" w:rsidR="00E45731" w:rsidRPr="004C78D8" w:rsidRDefault="00E45731" w:rsidP="00FB7C1F">
            <w:pPr>
              <w:spacing w:after="0"/>
              <w:jc w:val="center"/>
            </w:pPr>
          </w:p>
        </w:tc>
        <w:tc>
          <w:tcPr>
            <w:tcW w:w="306" w:type="pct"/>
            <w:tcBorders>
              <w:top w:val="nil"/>
              <w:bottom w:val="nil"/>
            </w:tcBorders>
            <w:vAlign w:val="center"/>
          </w:tcPr>
          <w:p w14:paraId="0BFA9B98" w14:textId="77777777" w:rsidR="00E45731" w:rsidRPr="004C78D8" w:rsidRDefault="00E45731" w:rsidP="00FB7C1F">
            <w:pPr>
              <w:spacing w:after="0"/>
              <w:jc w:val="center"/>
            </w:pPr>
          </w:p>
        </w:tc>
        <w:tc>
          <w:tcPr>
            <w:tcW w:w="400" w:type="pct"/>
            <w:tcBorders>
              <w:top w:val="nil"/>
              <w:bottom w:val="nil"/>
            </w:tcBorders>
            <w:vAlign w:val="center"/>
          </w:tcPr>
          <w:p w14:paraId="282FD1A3" w14:textId="77777777" w:rsidR="00E45731" w:rsidRPr="004C78D8" w:rsidRDefault="00E45731" w:rsidP="00FB7C1F">
            <w:pPr>
              <w:spacing w:after="0"/>
              <w:jc w:val="center"/>
            </w:pPr>
          </w:p>
        </w:tc>
        <w:tc>
          <w:tcPr>
            <w:tcW w:w="326" w:type="pct"/>
            <w:tcBorders>
              <w:top w:val="nil"/>
              <w:bottom w:val="nil"/>
            </w:tcBorders>
            <w:vAlign w:val="center"/>
          </w:tcPr>
          <w:p w14:paraId="4D8A35A0" w14:textId="77777777" w:rsidR="00E45731" w:rsidRPr="004C78D8" w:rsidRDefault="00E45731" w:rsidP="00FB7C1F">
            <w:pPr>
              <w:spacing w:after="0"/>
              <w:jc w:val="center"/>
            </w:pPr>
          </w:p>
        </w:tc>
        <w:tc>
          <w:tcPr>
            <w:tcW w:w="295" w:type="pct"/>
            <w:tcBorders>
              <w:top w:val="nil"/>
              <w:bottom w:val="nil"/>
            </w:tcBorders>
            <w:vAlign w:val="center"/>
          </w:tcPr>
          <w:p w14:paraId="4A382C0B" w14:textId="77777777" w:rsidR="00E45731" w:rsidRPr="004C78D8" w:rsidRDefault="00E45731" w:rsidP="00FB7C1F">
            <w:pPr>
              <w:spacing w:after="0"/>
              <w:jc w:val="center"/>
            </w:pPr>
          </w:p>
        </w:tc>
        <w:tc>
          <w:tcPr>
            <w:tcW w:w="357" w:type="pct"/>
            <w:tcBorders>
              <w:top w:val="nil"/>
              <w:bottom w:val="nil"/>
            </w:tcBorders>
            <w:vAlign w:val="center"/>
          </w:tcPr>
          <w:p w14:paraId="67FE7191" w14:textId="77777777" w:rsidR="00E45731" w:rsidRPr="004C78D8" w:rsidRDefault="00E45731" w:rsidP="00FB7C1F">
            <w:pPr>
              <w:spacing w:after="0"/>
              <w:jc w:val="center"/>
            </w:pPr>
          </w:p>
        </w:tc>
      </w:tr>
      <w:tr w:rsidR="00E45731" w:rsidRPr="004C78D8" w14:paraId="3518C643" w14:textId="77777777" w:rsidTr="002828C1">
        <w:tc>
          <w:tcPr>
            <w:tcW w:w="458" w:type="pct"/>
            <w:vMerge w:val="restart"/>
          </w:tcPr>
          <w:p w14:paraId="6D0C1AE0" w14:textId="77777777" w:rsidR="00E45731" w:rsidRPr="004C78D8" w:rsidRDefault="00E45731" w:rsidP="00FB7C1F">
            <w:pPr>
              <w:spacing w:after="0"/>
              <w:jc w:val="left"/>
              <w:rPr>
                <w:sz w:val="18"/>
                <w:szCs w:val="18"/>
              </w:rPr>
            </w:pPr>
            <w:r w:rsidRPr="004C78D8">
              <w:rPr>
                <w:sz w:val="18"/>
                <w:szCs w:val="18"/>
              </w:rPr>
              <w:t>Zarca (2014)</w:t>
            </w:r>
          </w:p>
        </w:tc>
        <w:tc>
          <w:tcPr>
            <w:tcW w:w="715" w:type="pct"/>
          </w:tcPr>
          <w:p w14:paraId="046FEB01" w14:textId="77777777" w:rsidR="00E45731" w:rsidRPr="004C78D8" w:rsidRDefault="00E45731" w:rsidP="00FB7C1F">
            <w:pPr>
              <w:spacing w:after="0"/>
              <w:jc w:val="left"/>
              <w:rPr>
                <w:sz w:val="18"/>
                <w:szCs w:val="18"/>
              </w:rPr>
            </w:pPr>
            <w:r w:rsidRPr="004C78D8">
              <w:rPr>
                <w:sz w:val="18"/>
                <w:szCs w:val="18"/>
              </w:rPr>
              <w:t>Hip fracture</w:t>
            </w:r>
          </w:p>
        </w:tc>
        <w:tc>
          <w:tcPr>
            <w:tcW w:w="255" w:type="pct"/>
            <w:tcBorders>
              <w:top w:val="nil"/>
              <w:bottom w:val="nil"/>
            </w:tcBorders>
            <w:vAlign w:val="center"/>
          </w:tcPr>
          <w:p w14:paraId="549740EE" w14:textId="77777777" w:rsidR="00E45731" w:rsidRPr="004C78D8" w:rsidRDefault="00E45731" w:rsidP="00FB7C1F">
            <w:pPr>
              <w:spacing w:after="0"/>
              <w:jc w:val="center"/>
              <w:rPr>
                <w:sz w:val="28"/>
                <w:szCs w:val="28"/>
              </w:rPr>
            </w:pPr>
            <w:r w:rsidRPr="004C78D8">
              <w:rPr>
                <w:sz w:val="28"/>
                <w:szCs w:val="28"/>
              </w:rPr>
              <w:t>˟</w:t>
            </w:r>
          </w:p>
        </w:tc>
        <w:tc>
          <w:tcPr>
            <w:tcW w:w="255" w:type="pct"/>
            <w:tcBorders>
              <w:top w:val="nil"/>
              <w:bottom w:val="nil"/>
            </w:tcBorders>
            <w:vAlign w:val="center"/>
          </w:tcPr>
          <w:p w14:paraId="49A2D3CF" w14:textId="77777777" w:rsidR="00E45731" w:rsidRPr="004C78D8" w:rsidRDefault="00E45731" w:rsidP="00FB7C1F">
            <w:pPr>
              <w:spacing w:after="0"/>
              <w:jc w:val="center"/>
              <w:rPr>
                <w:sz w:val="28"/>
                <w:szCs w:val="28"/>
              </w:rPr>
            </w:pPr>
            <w:r w:rsidRPr="004C78D8">
              <w:rPr>
                <w:sz w:val="28"/>
                <w:szCs w:val="28"/>
              </w:rPr>
              <w:t>˟</w:t>
            </w:r>
          </w:p>
        </w:tc>
        <w:tc>
          <w:tcPr>
            <w:tcW w:w="357" w:type="pct"/>
            <w:tcBorders>
              <w:top w:val="nil"/>
              <w:bottom w:val="nil"/>
            </w:tcBorders>
            <w:vAlign w:val="center"/>
          </w:tcPr>
          <w:p w14:paraId="06A494E1" w14:textId="77777777" w:rsidR="00E45731" w:rsidRPr="004C78D8" w:rsidRDefault="00E45731" w:rsidP="00FB7C1F">
            <w:pPr>
              <w:spacing w:after="0"/>
              <w:jc w:val="center"/>
            </w:pPr>
          </w:p>
        </w:tc>
        <w:tc>
          <w:tcPr>
            <w:tcW w:w="352" w:type="pct"/>
            <w:tcBorders>
              <w:top w:val="nil"/>
              <w:bottom w:val="nil"/>
            </w:tcBorders>
            <w:vAlign w:val="center"/>
          </w:tcPr>
          <w:p w14:paraId="72F025B2" w14:textId="77777777" w:rsidR="00E45731" w:rsidRPr="004C78D8" w:rsidRDefault="00E45731" w:rsidP="00FB7C1F">
            <w:pPr>
              <w:spacing w:after="0"/>
              <w:jc w:val="center"/>
            </w:pPr>
          </w:p>
        </w:tc>
        <w:tc>
          <w:tcPr>
            <w:tcW w:w="326" w:type="pct"/>
            <w:tcBorders>
              <w:top w:val="nil"/>
              <w:bottom w:val="nil"/>
            </w:tcBorders>
            <w:vAlign w:val="center"/>
          </w:tcPr>
          <w:p w14:paraId="01E31315" w14:textId="77777777" w:rsidR="00E45731" w:rsidRPr="004C78D8" w:rsidRDefault="00E45731" w:rsidP="00FB7C1F">
            <w:pPr>
              <w:spacing w:after="0"/>
              <w:jc w:val="center"/>
            </w:pPr>
          </w:p>
        </w:tc>
        <w:tc>
          <w:tcPr>
            <w:tcW w:w="326" w:type="pct"/>
            <w:tcBorders>
              <w:top w:val="nil"/>
              <w:bottom w:val="nil"/>
            </w:tcBorders>
            <w:vAlign w:val="center"/>
          </w:tcPr>
          <w:p w14:paraId="7F5FB204" w14:textId="77777777" w:rsidR="00E45731" w:rsidRPr="004C78D8" w:rsidRDefault="00E45731" w:rsidP="00FB7C1F">
            <w:pPr>
              <w:spacing w:after="0"/>
              <w:jc w:val="center"/>
            </w:pPr>
            <w:r w:rsidRPr="004C78D8">
              <w:rPr>
                <w:sz w:val="28"/>
                <w:szCs w:val="28"/>
              </w:rPr>
              <w:t>˟</w:t>
            </w:r>
          </w:p>
        </w:tc>
        <w:tc>
          <w:tcPr>
            <w:tcW w:w="272" w:type="pct"/>
            <w:tcBorders>
              <w:top w:val="nil"/>
              <w:bottom w:val="nil"/>
            </w:tcBorders>
            <w:vAlign w:val="center"/>
          </w:tcPr>
          <w:p w14:paraId="153D35CD" w14:textId="77777777" w:rsidR="00E45731" w:rsidRPr="004C78D8" w:rsidRDefault="00E45731" w:rsidP="00FB7C1F">
            <w:pPr>
              <w:spacing w:after="0"/>
              <w:jc w:val="center"/>
            </w:pPr>
          </w:p>
        </w:tc>
        <w:tc>
          <w:tcPr>
            <w:tcW w:w="306" w:type="pct"/>
            <w:tcBorders>
              <w:top w:val="nil"/>
              <w:bottom w:val="nil"/>
            </w:tcBorders>
            <w:vAlign w:val="center"/>
          </w:tcPr>
          <w:p w14:paraId="6845A4B4" w14:textId="77777777" w:rsidR="00E45731" w:rsidRPr="004C78D8" w:rsidRDefault="00E45731" w:rsidP="00FB7C1F">
            <w:pPr>
              <w:spacing w:after="0"/>
              <w:jc w:val="center"/>
            </w:pPr>
          </w:p>
        </w:tc>
        <w:tc>
          <w:tcPr>
            <w:tcW w:w="400" w:type="pct"/>
            <w:tcBorders>
              <w:top w:val="nil"/>
              <w:bottom w:val="nil"/>
            </w:tcBorders>
            <w:vAlign w:val="center"/>
          </w:tcPr>
          <w:p w14:paraId="52CC862D" w14:textId="77777777" w:rsidR="00E45731" w:rsidRPr="004C78D8" w:rsidRDefault="00E45731" w:rsidP="00FB7C1F">
            <w:pPr>
              <w:spacing w:after="0"/>
              <w:jc w:val="center"/>
            </w:pPr>
          </w:p>
        </w:tc>
        <w:tc>
          <w:tcPr>
            <w:tcW w:w="326" w:type="pct"/>
            <w:tcBorders>
              <w:top w:val="nil"/>
              <w:bottom w:val="nil"/>
            </w:tcBorders>
            <w:vAlign w:val="center"/>
          </w:tcPr>
          <w:p w14:paraId="0B443EB3" w14:textId="77777777" w:rsidR="00E45731" w:rsidRPr="004C78D8" w:rsidRDefault="00E45731" w:rsidP="00FB7C1F">
            <w:pPr>
              <w:spacing w:after="0"/>
              <w:jc w:val="center"/>
              <w:rPr>
                <w:sz w:val="18"/>
                <w:szCs w:val="18"/>
              </w:rPr>
            </w:pPr>
            <w:r w:rsidRPr="004C78D8">
              <w:rPr>
                <w:sz w:val="18"/>
                <w:szCs w:val="18"/>
              </w:rPr>
              <w:t>Vit. D level</w:t>
            </w:r>
          </w:p>
        </w:tc>
        <w:tc>
          <w:tcPr>
            <w:tcW w:w="295" w:type="pct"/>
            <w:tcBorders>
              <w:top w:val="nil"/>
              <w:bottom w:val="nil"/>
            </w:tcBorders>
            <w:vAlign w:val="center"/>
          </w:tcPr>
          <w:p w14:paraId="5425FE0B" w14:textId="77777777" w:rsidR="00E45731" w:rsidRPr="004C78D8" w:rsidRDefault="00E45731" w:rsidP="00FB7C1F">
            <w:pPr>
              <w:spacing w:after="0"/>
              <w:jc w:val="center"/>
              <w:rPr>
                <w:sz w:val="18"/>
                <w:szCs w:val="18"/>
              </w:rPr>
            </w:pPr>
          </w:p>
        </w:tc>
        <w:tc>
          <w:tcPr>
            <w:tcW w:w="357" w:type="pct"/>
            <w:tcBorders>
              <w:top w:val="nil"/>
              <w:bottom w:val="nil"/>
            </w:tcBorders>
            <w:vAlign w:val="center"/>
          </w:tcPr>
          <w:p w14:paraId="508FBB7F" w14:textId="77777777" w:rsidR="00E45731" w:rsidRPr="004C78D8" w:rsidRDefault="00E45731" w:rsidP="00FB7C1F">
            <w:pPr>
              <w:spacing w:after="0"/>
              <w:jc w:val="center"/>
              <w:rPr>
                <w:sz w:val="18"/>
                <w:szCs w:val="18"/>
              </w:rPr>
            </w:pPr>
            <w:r w:rsidRPr="004C78D8">
              <w:rPr>
                <w:sz w:val="18"/>
                <w:szCs w:val="18"/>
              </w:rPr>
              <w:t>Vit. D level</w:t>
            </w:r>
          </w:p>
        </w:tc>
      </w:tr>
      <w:tr w:rsidR="00E45731" w:rsidRPr="004C78D8" w14:paraId="49BA42CA" w14:textId="77777777" w:rsidTr="002828C1">
        <w:tc>
          <w:tcPr>
            <w:tcW w:w="458" w:type="pct"/>
            <w:vMerge/>
          </w:tcPr>
          <w:p w14:paraId="127ACAFD" w14:textId="77777777" w:rsidR="00E45731" w:rsidRPr="004C78D8" w:rsidRDefault="00E45731" w:rsidP="00FB7C1F">
            <w:pPr>
              <w:widowControl w:val="0"/>
              <w:pBdr>
                <w:top w:val="nil"/>
                <w:left w:val="nil"/>
                <w:bottom w:val="nil"/>
                <w:right w:val="nil"/>
                <w:between w:val="nil"/>
              </w:pBdr>
              <w:spacing w:after="0" w:line="276" w:lineRule="auto"/>
              <w:jc w:val="left"/>
              <w:rPr>
                <w:sz w:val="18"/>
                <w:szCs w:val="18"/>
              </w:rPr>
            </w:pPr>
          </w:p>
        </w:tc>
        <w:tc>
          <w:tcPr>
            <w:tcW w:w="715" w:type="pct"/>
          </w:tcPr>
          <w:p w14:paraId="0BCA0CCD" w14:textId="77777777" w:rsidR="00E45731" w:rsidRPr="004C78D8" w:rsidRDefault="00E45731" w:rsidP="00FB7C1F">
            <w:pPr>
              <w:spacing w:after="0"/>
              <w:jc w:val="left"/>
              <w:rPr>
                <w:sz w:val="18"/>
                <w:szCs w:val="18"/>
              </w:rPr>
            </w:pPr>
            <w:r w:rsidRPr="004C78D8">
              <w:rPr>
                <w:sz w:val="18"/>
                <w:szCs w:val="18"/>
              </w:rPr>
              <w:t>Post-hip fracture excess mortality</w:t>
            </w:r>
          </w:p>
        </w:tc>
        <w:tc>
          <w:tcPr>
            <w:tcW w:w="255" w:type="pct"/>
            <w:tcBorders>
              <w:top w:val="nil"/>
            </w:tcBorders>
            <w:vAlign w:val="center"/>
          </w:tcPr>
          <w:p w14:paraId="6159D37C" w14:textId="77777777" w:rsidR="00E45731" w:rsidRPr="004C78D8" w:rsidRDefault="00E45731" w:rsidP="00FB7C1F">
            <w:pPr>
              <w:spacing w:after="0"/>
              <w:jc w:val="center"/>
              <w:rPr>
                <w:sz w:val="28"/>
                <w:szCs w:val="28"/>
              </w:rPr>
            </w:pPr>
          </w:p>
        </w:tc>
        <w:tc>
          <w:tcPr>
            <w:tcW w:w="255" w:type="pct"/>
            <w:tcBorders>
              <w:top w:val="nil"/>
            </w:tcBorders>
            <w:vAlign w:val="center"/>
          </w:tcPr>
          <w:p w14:paraId="4E133308" w14:textId="77777777" w:rsidR="00E45731" w:rsidRPr="004C78D8" w:rsidRDefault="00E45731" w:rsidP="00FB7C1F">
            <w:pPr>
              <w:spacing w:after="0"/>
              <w:jc w:val="center"/>
              <w:rPr>
                <w:sz w:val="28"/>
                <w:szCs w:val="28"/>
              </w:rPr>
            </w:pPr>
            <w:r w:rsidRPr="004C78D8">
              <w:rPr>
                <w:sz w:val="28"/>
                <w:szCs w:val="28"/>
              </w:rPr>
              <w:t>˟</w:t>
            </w:r>
          </w:p>
        </w:tc>
        <w:tc>
          <w:tcPr>
            <w:tcW w:w="357" w:type="pct"/>
            <w:tcBorders>
              <w:top w:val="nil"/>
            </w:tcBorders>
            <w:vAlign w:val="center"/>
          </w:tcPr>
          <w:p w14:paraId="5199A4D4" w14:textId="77777777" w:rsidR="00E45731" w:rsidRPr="004C78D8" w:rsidRDefault="00E45731" w:rsidP="00FB7C1F">
            <w:pPr>
              <w:spacing w:after="0"/>
              <w:jc w:val="center"/>
            </w:pPr>
          </w:p>
        </w:tc>
        <w:tc>
          <w:tcPr>
            <w:tcW w:w="352" w:type="pct"/>
            <w:tcBorders>
              <w:top w:val="nil"/>
            </w:tcBorders>
            <w:vAlign w:val="center"/>
          </w:tcPr>
          <w:p w14:paraId="0E553A93" w14:textId="77777777" w:rsidR="00E45731" w:rsidRPr="004C78D8" w:rsidRDefault="00E45731" w:rsidP="00FB7C1F">
            <w:pPr>
              <w:spacing w:after="0"/>
              <w:jc w:val="center"/>
            </w:pPr>
          </w:p>
        </w:tc>
        <w:tc>
          <w:tcPr>
            <w:tcW w:w="326" w:type="pct"/>
            <w:tcBorders>
              <w:top w:val="nil"/>
            </w:tcBorders>
            <w:vAlign w:val="center"/>
          </w:tcPr>
          <w:p w14:paraId="76B4DFE8" w14:textId="77777777" w:rsidR="00E45731" w:rsidRPr="004C78D8" w:rsidRDefault="00E45731" w:rsidP="00FB7C1F">
            <w:pPr>
              <w:spacing w:after="0"/>
              <w:jc w:val="center"/>
            </w:pPr>
          </w:p>
        </w:tc>
        <w:tc>
          <w:tcPr>
            <w:tcW w:w="326" w:type="pct"/>
            <w:tcBorders>
              <w:top w:val="nil"/>
            </w:tcBorders>
            <w:vAlign w:val="center"/>
          </w:tcPr>
          <w:p w14:paraId="13FEC490" w14:textId="77777777" w:rsidR="00E45731" w:rsidRPr="004C78D8" w:rsidRDefault="00E45731" w:rsidP="00FB7C1F">
            <w:pPr>
              <w:spacing w:after="0"/>
              <w:jc w:val="center"/>
            </w:pPr>
          </w:p>
        </w:tc>
        <w:tc>
          <w:tcPr>
            <w:tcW w:w="272" w:type="pct"/>
            <w:tcBorders>
              <w:top w:val="nil"/>
            </w:tcBorders>
            <w:vAlign w:val="center"/>
          </w:tcPr>
          <w:p w14:paraId="2FC796C4" w14:textId="77777777" w:rsidR="00E45731" w:rsidRPr="004C78D8" w:rsidRDefault="00E45731" w:rsidP="00FB7C1F">
            <w:pPr>
              <w:spacing w:after="0"/>
              <w:jc w:val="center"/>
            </w:pPr>
          </w:p>
        </w:tc>
        <w:tc>
          <w:tcPr>
            <w:tcW w:w="306" w:type="pct"/>
            <w:tcBorders>
              <w:top w:val="nil"/>
            </w:tcBorders>
            <w:vAlign w:val="center"/>
          </w:tcPr>
          <w:p w14:paraId="16EF9780" w14:textId="77777777" w:rsidR="00E45731" w:rsidRPr="004C78D8" w:rsidRDefault="00E45731" w:rsidP="00FB7C1F">
            <w:pPr>
              <w:spacing w:after="0"/>
              <w:jc w:val="center"/>
            </w:pPr>
          </w:p>
        </w:tc>
        <w:tc>
          <w:tcPr>
            <w:tcW w:w="400" w:type="pct"/>
            <w:tcBorders>
              <w:top w:val="nil"/>
            </w:tcBorders>
            <w:vAlign w:val="center"/>
          </w:tcPr>
          <w:p w14:paraId="0093C91E" w14:textId="77777777" w:rsidR="00E45731" w:rsidRPr="004C78D8" w:rsidRDefault="00E45731" w:rsidP="00FB7C1F">
            <w:pPr>
              <w:spacing w:after="0"/>
              <w:jc w:val="center"/>
            </w:pPr>
          </w:p>
        </w:tc>
        <w:tc>
          <w:tcPr>
            <w:tcW w:w="326" w:type="pct"/>
            <w:tcBorders>
              <w:top w:val="nil"/>
            </w:tcBorders>
            <w:vAlign w:val="center"/>
          </w:tcPr>
          <w:p w14:paraId="40973F8B" w14:textId="77777777" w:rsidR="00E45731" w:rsidRPr="004C78D8" w:rsidRDefault="00E45731" w:rsidP="00FB7C1F">
            <w:pPr>
              <w:spacing w:after="0"/>
              <w:jc w:val="center"/>
            </w:pPr>
          </w:p>
        </w:tc>
        <w:tc>
          <w:tcPr>
            <w:tcW w:w="295" w:type="pct"/>
            <w:tcBorders>
              <w:top w:val="nil"/>
            </w:tcBorders>
            <w:vAlign w:val="center"/>
          </w:tcPr>
          <w:p w14:paraId="056D8175" w14:textId="77777777" w:rsidR="00E45731" w:rsidRPr="004C78D8" w:rsidRDefault="00E45731" w:rsidP="00FB7C1F">
            <w:pPr>
              <w:spacing w:after="0"/>
              <w:jc w:val="center"/>
            </w:pPr>
          </w:p>
        </w:tc>
        <w:tc>
          <w:tcPr>
            <w:tcW w:w="357" w:type="pct"/>
            <w:tcBorders>
              <w:top w:val="nil"/>
            </w:tcBorders>
            <w:vAlign w:val="center"/>
          </w:tcPr>
          <w:p w14:paraId="550C08CB" w14:textId="77777777" w:rsidR="00E45731" w:rsidRPr="004C78D8" w:rsidRDefault="00E45731" w:rsidP="00FB7C1F">
            <w:pPr>
              <w:spacing w:after="0"/>
              <w:jc w:val="center"/>
            </w:pPr>
          </w:p>
        </w:tc>
      </w:tr>
      <w:tr w:rsidR="00E45731" w:rsidRPr="004C78D8" w14:paraId="1B38F596" w14:textId="77777777" w:rsidTr="002828C1">
        <w:tc>
          <w:tcPr>
            <w:tcW w:w="5000" w:type="pct"/>
            <w:gridSpan w:val="14"/>
          </w:tcPr>
          <w:p w14:paraId="09A12092" w14:textId="254598F1" w:rsidR="00E45731" w:rsidRPr="004C78D8" w:rsidRDefault="00E45731" w:rsidP="00FB7C1F">
            <w:pPr>
              <w:spacing w:after="0"/>
              <w:rPr>
                <w:sz w:val="18"/>
                <w:szCs w:val="18"/>
              </w:rPr>
            </w:pPr>
            <w:r w:rsidRPr="004C78D8">
              <w:rPr>
                <w:b/>
                <w:sz w:val="18"/>
                <w:szCs w:val="18"/>
              </w:rPr>
              <w:t xml:space="preserve">Abbreviation: </w:t>
            </w:r>
            <w:r w:rsidRPr="004C78D8">
              <w:rPr>
                <w:sz w:val="18"/>
                <w:szCs w:val="18"/>
              </w:rPr>
              <w:t>BMD: bone mass density; BODE3: Burden of Disease Epidemiology, Equity and Cost-Effectiveness Programme studies, including Boyd (2020), Deverall (2018), Pega (2016) and Wilson (2017); CSP: Chartered Society of Physiotherapy; Funct. dep.: functional dependency; FRAT: fall risk assessment tool; LTC fall: fall requiring long-term care; MA fall: fall requiring medical attention; OMAS: Ontario Medical Advisory Secretariat; QTUG: quantitative timed up and go test; RCN: Royal College of Nursing; TUG: timed up and go test; Vit. D def.: vitamin D deficiency</w:t>
            </w:r>
          </w:p>
          <w:p w14:paraId="056B24B5" w14:textId="77777777" w:rsidR="00E45731" w:rsidRPr="004C78D8" w:rsidRDefault="00E45731" w:rsidP="00FB7C1F">
            <w:pPr>
              <w:spacing w:after="0"/>
              <w:rPr>
                <w:sz w:val="18"/>
                <w:szCs w:val="18"/>
              </w:rPr>
            </w:pPr>
            <w:r w:rsidRPr="004C78D8">
              <w:rPr>
                <w:b/>
                <w:sz w:val="18"/>
                <w:szCs w:val="18"/>
              </w:rPr>
              <w:t xml:space="preserve">Note: </w:t>
            </w:r>
            <w:r w:rsidRPr="004C78D8">
              <w:rPr>
                <w:sz w:val="18"/>
                <w:szCs w:val="18"/>
              </w:rPr>
              <w:t>‘</w:t>
            </w:r>
            <w:r w:rsidRPr="004C78D8">
              <w:rPr>
                <w:i/>
                <w:sz w:val="18"/>
                <w:szCs w:val="18"/>
              </w:rPr>
              <w:t>Exo</w:t>
            </w:r>
            <w:r w:rsidRPr="004C78D8">
              <w:rPr>
                <w:sz w:val="18"/>
                <w:szCs w:val="18"/>
              </w:rPr>
              <w:t>’ denotes the case where a risk factor is exogenous to the model evaluation. ‘</w:t>
            </w:r>
            <w:r w:rsidRPr="004C78D8">
              <w:rPr>
                <w:i/>
                <w:sz w:val="18"/>
                <w:szCs w:val="18"/>
              </w:rPr>
              <w:t>Single Risk</w:t>
            </w:r>
            <w:r w:rsidRPr="004C78D8">
              <w:rPr>
                <w:sz w:val="18"/>
                <w:szCs w:val="18"/>
              </w:rPr>
              <w:t>’ denotes the case where the model incorporates a single event risk/rate.</w:t>
            </w:r>
          </w:p>
          <w:p w14:paraId="7A6BF8E9" w14:textId="295FF646" w:rsidR="00E45731" w:rsidRPr="004C78D8" w:rsidRDefault="00E45731" w:rsidP="00FB7C1F">
            <w:pPr>
              <w:spacing w:after="0"/>
              <w:rPr>
                <w:sz w:val="18"/>
                <w:szCs w:val="18"/>
              </w:rPr>
            </w:pPr>
            <w:r w:rsidRPr="004C78D8">
              <w:rPr>
                <w:sz w:val="18"/>
                <w:szCs w:val="18"/>
                <w:vertAlign w:val="superscript"/>
              </w:rPr>
              <w:t>1</w:t>
            </w:r>
            <w:r w:rsidRPr="004C78D8">
              <w:rPr>
                <w:sz w:val="18"/>
                <w:szCs w:val="18"/>
              </w:rPr>
              <w:t xml:space="preserve"> See Table </w:t>
            </w:r>
            <w:r w:rsidR="00B14358" w:rsidRPr="004C78D8">
              <w:rPr>
                <w:sz w:val="18"/>
                <w:szCs w:val="18"/>
              </w:rPr>
              <w:t>4</w:t>
            </w:r>
            <w:r w:rsidRPr="004C78D8">
              <w:rPr>
                <w:sz w:val="18"/>
                <w:szCs w:val="18"/>
              </w:rPr>
              <w:t xml:space="preserve">.2 for study references. </w:t>
            </w:r>
          </w:p>
        </w:tc>
      </w:tr>
    </w:tbl>
    <w:p w14:paraId="07D863D0" w14:textId="77777777" w:rsidR="00AF1972" w:rsidRPr="004C78D8" w:rsidRDefault="00AF1972" w:rsidP="00FB7C1F">
      <w:pPr>
        <w:sectPr w:rsidR="00AF1972" w:rsidRPr="004C78D8" w:rsidSect="00AF1972">
          <w:pgSz w:w="16838" w:h="11906" w:orient="landscape"/>
          <w:pgMar w:top="1440" w:right="1440" w:bottom="1440" w:left="1440" w:header="708" w:footer="708" w:gutter="0"/>
          <w:cols w:space="708"/>
          <w:docGrid w:linePitch="360"/>
        </w:sectPr>
      </w:pPr>
    </w:p>
    <w:p w14:paraId="10D5904A" w14:textId="6177B0D9" w:rsidR="00585FC5" w:rsidRPr="004C78D8" w:rsidRDefault="00B14358" w:rsidP="00FB7C1F">
      <w:pPr>
        <w:pStyle w:val="Heading4"/>
      </w:pPr>
      <w:r w:rsidRPr="004C78D8">
        <w:lastRenderedPageBreak/>
        <w:t>4</w:t>
      </w:r>
      <w:r w:rsidR="00585FC5" w:rsidRPr="004C78D8">
        <w:t>.5.</w:t>
      </w:r>
      <w:r w:rsidR="008061DB" w:rsidRPr="004C78D8">
        <w:t>1</w:t>
      </w:r>
      <w:r w:rsidR="00585FC5" w:rsidRPr="004C78D8">
        <w:t>.</w:t>
      </w:r>
      <w:r w:rsidR="009F5FB0" w:rsidRPr="004C78D8">
        <w:t>4</w:t>
      </w:r>
      <w:r w:rsidR="00585FC5" w:rsidRPr="004C78D8">
        <w:t xml:space="preserve"> </w:t>
      </w:r>
      <w:r w:rsidR="008061DB" w:rsidRPr="004C78D8">
        <w:t>Fall</w:t>
      </w:r>
      <w:r w:rsidR="00D71A94" w:rsidRPr="004C78D8">
        <w:t>-related</w:t>
      </w:r>
      <w:r w:rsidR="008061DB" w:rsidRPr="004C78D8">
        <w:t xml:space="preserve"> h</w:t>
      </w:r>
      <w:r w:rsidR="00585FC5" w:rsidRPr="004C78D8">
        <w:t>ealth consequences</w:t>
      </w:r>
    </w:p>
    <w:p w14:paraId="3C067C32" w14:textId="47C8515E" w:rsidR="008061DB" w:rsidRPr="004C78D8" w:rsidRDefault="008061DB" w:rsidP="00FB7C1F">
      <w:r w:rsidRPr="004C78D8">
        <w:t xml:space="preserve">Table </w:t>
      </w:r>
      <w:r w:rsidR="00B14358" w:rsidRPr="004C78D8">
        <w:t>4</w:t>
      </w:r>
      <w:r w:rsidRPr="004C78D8">
        <w:t xml:space="preserve">.6 summarises the health consequences of falls explicitly incorporated by models: i.e., </w:t>
      </w:r>
      <w:r w:rsidR="005D68D0" w:rsidRPr="004C78D8">
        <w:t xml:space="preserve">where </w:t>
      </w:r>
      <w:r w:rsidRPr="004C78D8">
        <w:t>studies included separate model states and probabilities for the consequence.</w:t>
      </w:r>
    </w:p>
    <w:tbl>
      <w:tblPr>
        <w:tblStyle w:val="TableGrid"/>
        <w:tblW w:w="5000" w:type="pct"/>
        <w:tblLook w:val="04A0" w:firstRow="1" w:lastRow="0" w:firstColumn="1" w:lastColumn="0" w:noHBand="0" w:noVBand="1"/>
      </w:tblPr>
      <w:tblGrid>
        <w:gridCol w:w="2263"/>
        <w:gridCol w:w="994"/>
        <w:gridCol w:w="992"/>
        <w:gridCol w:w="992"/>
        <w:gridCol w:w="851"/>
        <w:gridCol w:w="849"/>
        <w:gridCol w:w="1069"/>
        <w:gridCol w:w="1006"/>
      </w:tblGrid>
      <w:tr w:rsidR="008061DB" w:rsidRPr="004C78D8" w14:paraId="15FC70B1" w14:textId="77777777" w:rsidTr="002828C1">
        <w:tc>
          <w:tcPr>
            <w:tcW w:w="5000" w:type="pct"/>
            <w:gridSpan w:val="8"/>
          </w:tcPr>
          <w:p w14:paraId="0F0A3769" w14:textId="6AE66980" w:rsidR="008061DB" w:rsidRPr="004C78D8" w:rsidRDefault="008061DB" w:rsidP="00FB7C1F">
            <w:pPr>
              <w:jc w:val="left"/>
            </w:pPr>
            <w:r w:rsidRPr="004C78D8">
              <w:rPr>
                <w:b/>
                <w:bCs/>
              </w:rPr>
              <w:t xml:space="preserve">Table </w:t>
            </w:r>
            <w:r w:rsidR="00B14358" w:rsidRPr="004C78D8">
              <w:rPr>
                <w:b/>
                <w:bCs/>
              </w:rPr>
              <w:t>4</w:t>
            </w:r>
            <w:r w:rsidR="00F52A5F" w:rsidRPr="004C78D8">
              <w:rPr>
                <w:b/>
                <w:bCs/>
              </w:rPr>
              <w:t>.6</w:t>
            </w:r>
            <w:r w:rsidRPr="004C78D8">
              <w:t xml:space="preserve"> Summary of health consequences of falls included in decision models.</w:t>
            </w:r>
            <w:r w:rsidRPr="004C78D8">
              <w:rPr>
                <w:vertAlign w:val="superscript"/>
              </w:rPr>
              <w:t>1</w:t>
            </w:r>
          </w:p>
        </w:tc>
      </w:tr>
      <w:tr w:rsidR="008061DB" w:rsidRPr="004C78D8" w14:paraId="5DB3C1BA" w14:textId="77777777" w:rsidTr="002828C1">
        <w:tc>
          <w:tcPr>
            <w:tcW w:w="1255" w:type="pct"/>
            <w:vAlign w:val="bottom"/>
          </w:tcPr>
          <w:p w14:paraId="107BFCF6" w14:textId="7FA75BDF" w:rsidR="008061DB" w:rsidRPr="004C78D8" w:rsidRDefault="008061DB" w:rsidP="00FB7C1F">
            <w:pPr>
              <w:jc w:val="left"/>
              <w:rPr>
                <w:b/>
                <w:bCs/>
                <w:sz w:val="20"/>
                <w:szCs w:val="20"/>
              </w:rPr>
            </w:pPr>
            <w:r w:rsidRPr="004C78D8">
              <w:rPr>
                <w:b/>
                <w:bCs/>
                <w:sz w:val="20"/>
                <w:szCs w:val="20"/>
              </w:rPr>
              <w:t>Study label</w:t>
            </w:r>
            <w:r w:rsidRPr="004C78D8">
              <w:rPr>
                <w:b/>
                <w:bCs/>
                <w:sz w:val="20"/>
                <w:szCs w:val="20"/>
                <w:vertAlign w:val="superscript"/>
              </w:rPr>
              <w:t>2</w:t>
            </w:r>
          </w:p>
        </w:tc>
        <w:tc>
          <w:tcPr>
            <w:tcW w:w="551" w:type="pct"/>
            <w:tcBorders>
              <w:bottom w:val="single" w:sz="4" w:space="0" w:color="auto"/>
            </w:tcBorders>
            <w:vAlign w:val="bottom"/>
          </w:tcPr>
          <w:p w14:paraId="7FA427DB" w14:textId="77777777" w:rsidR="008061DB" w:rsidRPr="004C78D8" w:rsidRDefault="008061DB" w:rsidP="00FB7C1F">
            <w:pPr>
              <w:jc w:val="left"/>
              <w:rPr>
                <w:sz w:val="20"/>
                <w:szCs w:val="20"/>
              </w:rPr>
            </w:pPr>
            <w:r w:rsidRPr="004C78D8">
              <w:rPr>
                <w:sz w:val="20"/>
                <w:szCs w:val="20"/>
              </w:rPr>
              <w:t>Non-MA or non-injurious fall</w:t>
            </w:r>
          </w:p>
        </w:tc>
        <w:tc>
          <w:tcPr>
            <w:tcW w:w="550" w:type="pct"/>
            <w:tcBorders>
              <w:bottom w:val="single" w:sz="4" w:space="0" w:color="auto"/>
            </w:tcBorders>
            <w:vAlign w:val="bottom"/>
          </w:tcPr>
          <w:p w14:paraId="5799E921" w14:textId="77777777" w:rsidR="008061DB" w:rsidRPr="004C78D8" w:rsidRDefault="008061DB" w:rsidP="00FB7C1F">
            <w:pPr>
              <w:jc w:val="left"/>
              <w:rPr>
                <w:sz w:val="20"/>
                <w:szCs w:val="20"/>
              </w:rPr>
            </w:pPr>
            <w:r w:rsidRPr="004C78D8">
              <w:rPr>
                <w:sz w:val="20"/>
                <w:szCs w:val="20"/>
              </w:rPr>
              <w:t>MA or injurious fall</w:t>
            </w:r>
          </w:p>
        </w:tc>
        <w:tc>
          <w:tcPr>
            <w:tcW w:w="550" w:type="pct"/>
            <w:tcBorders>
              <w:bottom w:val="single" w:sz="4" w:space="0" w:color="auto"/>
            </w:tcBorders>
            <w:vAlign w:val="bottom"/>
          </w:tcPr>
          <w:p w14:paraId="46917878" w14:textId="77777777" w:rsidR="008061DB" w:rsidRPr="004C78D8" w:rsidRDefault="008061DB" w:rsidP="00FB7C1F">
            <w:pPr>
              <w:jc w:val="left"/>
              <w:rPr>
                <w:sz w:val="20"/>
                <w:szCs w:val="20"/>
              </w:rPr>
            </w:pPr>
            <w:r w:rsidRPr="004C78D8">
              <w:rPr>
                <w:sz w:val="20"/>
                <w:szCs w:val="20"/>
              </w:rPr>
              <w:t>Fracture</w:t>
            </w:r>
          </w:p>
        </w:tc>
        <w:tc>
          <w:tcPr>
            <w:tcW w:w="472" w:type="pct"/>
            <w:tcBorders>
              <w:bottom w:val="single" w:sz="4" w:space="0" w:color="auto"/>
            </w:tcBorders>
            <w:vAlign w:val="bottom"/>
          </w:tcPr>
          <w:p w14:paraId="55C7797F" w14:textId="77777777" w:rsidR="008061DB" w:rsidRPr="004C78D8" w:rsidRDefault="008061DB" w:rsidP="00FB7C1F">
            <w:pPr>
              <w:jc w:val="left"/>
              <w:rPr>
                <w:sz w:val="20"/>
                <w:szCs w:val="20"/>
              </w:rPr>
            </w:pPr>
            <w:r w:rsidRPr="004C78D8">
              <w:rPr>
                <w:sz w:val="20"/>
                <w:szCs w:val="20"/>
              </w:rPr>
              <w:t>Fatal fall</w:t>
            </w:r>
          </w:p>
        </w:tc>
        <w:tc>
          <w:tcPr>
            <w:tcW w:w="471" w:type="pct"/>
            <w:tcBorders>
              <w:bottom w:val="single" w:sz="4" w:space="0" w:color="auto"/>
            </w:tcBorders>
            <w:vAlign w:val="bottom"/>
          </w:tcPr>
          <w:p w14:paraId="608CD82C" w14:textId="77777777" w:rsidR="008061DB" w:rsidRPr="004C78D8" w:rsidRDefault="008061DB" w:rsidP="00FB7C1F">
            <w:pPr>
              <w:jc w:val="left"/>
              <w:rPr>
                <w:sz w:val="20"/>
                <w:szCs w:val="20"/>
              </w:rPr>
            </w:pPr>
            <w:r w:rsidRPr="004C78D8">
              <w:rPr>
                <w:sz w:val="20"/>
                <w:szCs w:val="20"/>
              </w:rPr>
              <w:t>Fear of falling</w:t>
            </w:r>
          </w:p>
        </w:tc>
        <w:tc>
          <w:tcPr>
            <w:tcW w:w="593" w:type="pct"/>
            <w:tcBorders>
              <w:bottom w:val="single" w:sz="4" w:space="0" w:color="auto"/>
            </w:tcBorders>
            <w:vAlign w:val="bottom"/>
          </w:tcPr>
          <w:p w14:paraId="164E046D" w14:textId="77777777" w:rsidR="008061DB" w:rsidRPr="004C78D8" w:rsidRDefault="008061DB" w:rsidP="00FB7C1F">
            <w:pPr>
              <w:jc w:val="left"/>
              <w:rPr>
                <w:sz w:val="20"/>
                <w:szCs w:val="20"/>
              </w:rPr>
            </w:pPr>
            <w:r w:rsidRPr="004C78D8">
              <w:rPr>
                <w:sz w:val="20"/>
                <w:szCs w:val="20"/>
              </w:rPr>
              <w:t>Fall-induced LTC admission</w:t>
            </w:r>
          </w:p>
        </w:tc>
        <w:tc>
          <w:tcPr>
            <w:tcW w:w="558" w:type="pct"/>
            <w:tcBorders>
              <w:bottom w:val="single" w:sz="4" w:space="0" w:color="auto"/>
            </w:tcBorders>
            <w:vAlign w:val="bottom"/>
          </w:tcPr>
          <w:p w14:paraId="4A0C876A" w14:textId="77777777" w:rsidR="008061DB" w:rsidRPr="004C78D8" w:rsidRDefault="008061DB" w:rsidP="00FB7C1F">
            <w:pPr>
              <w:jc w:val="left"/>
              <w:rPr>
                <w:sz w:val="20"/>
                <w:szCs w:val="20"/>
              </w:rPr>
            </w:pPr>
            <w:r w:rsidRPr="004C78D8">
              <w:rPr>
                <w:sz w:val="20"/>
                <w:szCs w:val="20"/>
              </w:rPr>
              <w:t>Excess mortality</w:t>
            </w:r>
          </w:p>
        </w:tc>
      </w:tr>
      <w:tr w:rsidR="008061DB" w:rsidRPr="004C78D8" w14:paraId="13BDEBC2" w14:textId="77777777" w:rsidTr="002828C1">
        <w:tc>
          <w:tcPr>
            <w:tcW w:w="1255" w:type="pct"/>
          </w:tcPr>
          <w:p w14:paraId="541BDCB4" w14:textId="77777777" w:rsidR="008061DB" w:rsidRPr="004C78D8" w:rsidRDefault="008061DB" w:rsidP="00FB7C1F">
            <w:pPr>
              <w:jc w:val="left"/>
              <w:rPr>
                <w:sz w:val="18"/>
                <w:szCs w:val="18"/>
              </w:rPr>
            </w:pPr>
            <w:r w:rsidRPr="004C78D8">
              <w:rPr>
                <w:sz w:val="18"/>
                <w:szCs w:val="18"/>
              </w:rPr>
              <w:t>Agartioglu (2020)</w:t>
            </w:r>
          </w:p>
        </w:tc>
        <w:tc>
          <w:tcPr>
            <w:tcW w:w="551" w:type="pct"/>
            <w:tcBorders>
              <w:bottom w:val="nil"/>
            </w:tcBorders>
            <w:vAlign w:val="center"/>
          </w:tcPr>
          <w:p w14:paraId="4BEEC0F4" w14:textId="77777777" w:rsidR="008061DB" w:rsidRPr="004C78D8" w:rsidRDefault="008061DB" w:rsidP="00FB7C1F">
            <w:pPr>
              <w:jc w:val="center"/>
              <w:rPr>
                <w:sz w:val="28"/>
                <w:szCs w:val="28"/>
              </w:rPr>
            </w:pPr>
            <w:r w:rsidRPr="004C78D8">
              <w:rPr>
                <w:rFonts w:cs="Times New Roman"/>
                <w:sz w:val="28"/>
                <w:szCs w:val="28"/>
              </w:rPr>
              <w:t>˟</w:t>
            </w:r>
          </w:p>
        </w:tc>
        <w:tc>
          <w:tcPr>
            <w:tcW w:w="550" w:type="pct"/>
            <w:tcBorders>
              <w:bottom w:val="nil"/>
            </w:tcBorders>
            <w:vAlign w:val="center"/>
          </w:tcPr>
          <w:p w14:paraId="216D2922" w14:textId="77777777" w:rsidR="008061DB" w:rsidRPr="004C78D8" w:rsidRDefault="008061DB" w:rsidP="00FB7C1F">
            <w:pPr>
              <w:jc w:val="center"/>
              <w:rPr>
                <w:sz w:val="18"/>
                <w:szCs w:val="18"/>
              </w:rPr>
            </w:pPr>
            <w:r w:rsidRPr="004C78D8">
              <w:rPr>
                <w:sz w:val="18"/>
                <w:szCs w:val="18"/>
              </w:rPr>
              <w:t>Injury</w:t>
            </w:r>
          </w:p>
        </w:tc>
        <w:tc>
          <w:tcPr>
            <w:tcW w:w="550" w:type="pct"/>
            <w:tcBorders>
              <w:bottom w:val="nil"/>
            </w:tcBorders>
            <w:vAlign w:val="center"/>
          </w:tcPr>
          <w:p w14:paraId="73CFC4AE" w14:textId="6F4DFFF4" w:rsidR="008061DB" w:rsidRPr="004C78D8" w:rsidRDefault="008061DB" w:rsidP="00FB7C1F">
            <w:pPr>
              <w:jc w:val="center"/>
              <w:rPr>
                <w:sz w:val="18"/>
                <w:szCs w:val="18"/>
              </w:rPr>
            </w:pPr>
            <w:r w:rsidRPr="004C78D8">
              <w:rPr>
                <w:sz w:val="18"/>
                <w:szCs w:val="18"/>
              </w:rPr>
              <w:t>Mix</w:t>
            </w:r>
            <w:r w:rsidR="008B1D72" w:rsidRPr="004C78D8">
              <w:rPr>
                <w:sz w:val="18"/>
                <w:szCs w:val="18"/>
                <w:vertAlign w:val="superscript"/>
              </w:rPr>
              <w:t>3</w:t>
            </w:r>
          </w:p>
        </w:tc>
        <w:tc>
          <w:tcPr>
            <w:tcW w:w="472" w:type="pct"/>
            <w:tcBorders>
              <w:bottom w:val="nil"/>
            </w:tcBorders>
            <w:vAlign w:val="center"/>
          </w:tcPr>
          <w:p w14:paraId="04B9446C" w14:textId="77777777" w:rsidR="008061DB" w:rsidRPr="004C78D8" w:rsidRDefault="008061DB" w:rsidP="00FB7C1F">
            <w:pPr>
              <w:jc w:val="center"/>
            </w:pPr>
          </w:p>
        </w:tc>
        <w:tc>
          <w:tcPr>
            <w:tcW w:w="471" w:type="pct"/>
            <w:tcBorders>
              <w:bottom w:val="nil"/>
            </w:tcBorders>
            <w:vAlign w:val="center"/>
          </w:tcPr>
          <w:p w14:paraId="5282846D" w14:textId="77777777" w:rsidR="008061DB" w:rsidRPr="004C78D8" w:rsidRDefault="008061DB" w:rsidP="00FB7C1F">
            <w:pPr>
              <w:jc w:val="center"/>
            </w:pPr>
          </w:p>
        </w:tc>
        <w:tc>
          <w:tcPr>
            <w:tcW w:w="593" w:type="pct"/>
            <w:tcBorders>
              <w:bottom w:val="nil"/>
            </w:tcBorders>
            <w:vAlign w:val="center"/>
          </w:tcPr>
          <w:p w14:paraId="741F3557" w14:textId="77777777" w:rsidR="008061DB" w:rsidRPr="004C78D8" w:rsidRDefault="008061DB" w:rsidP="00FB7C1F">
            <w:pPr>
              <w:jc w:val="center"/>
            </w:pPr>
          </w:p>
        </w:tc>
        <w:tc>
          <w:tcPr>
            <w:tcW w:w="558" w:type="pct"/>
            <w:tcBorders>
              <w:bottom w:val="nil"/>
            </w:tcBorders>
            <w:vAlign w:val="center"/>
          </w:tcPr>
          <w:p w14:paraId="6C4E5273" w14:textId="77777777" w:rsidR="008061DB" w:rsidRPr="004C78D8" w:rsidRDefault="008061DB" w:rsidP="00FB7C1F">
            <w:pPr>
              <w:jc w:val="center"/>
            </w:pPr>
          </w:p>
        </w:tc>
      </w:tr>
      <w:tr w:rsidR="008061DB" w:rsidRPr="004C78D8" w14:paraId="5BA4EFD7" w14:textId="77777777" w:rsidTr="002828C1">
        <w:tc>
          <w:tcPr>
            <w:tcW w:w="1255" w:type="pct"/>
          </w:tcPr>
          <w:p w14:paraId="780A2D31" w14:textId="77777777" w:rsidR="008061DB" w:rsidRPr="004C78D8" w:rsidRDefault="008061DB" w:rsidP="00FB7C1F">
            <w:pPr>
              <w:jc w:val="left"/>
              <w:rPr>
                <w:sz w:val="18"/>
                <w:szCs w:val="18"/>
              </w:rPr>
            </w:pPr>
            <w:r w:rsidRPr="004C78D8">
              <w:rPr>
                <w:sz w:val="18"/>
                <w:szCs w:val="18"/>
              </w:rPr>
              <w:t>Albert (2016)</w:t>
            </w:r>
          </w:p>
        </w:tc>
        <w:tc>
          <w:tcPr>
            <w:tcW w:w="551" w:type="pct"/>
            <w:tcBorders>
              <w:top w:val="nil"/>
              <w:bottom w:val="nil"/>
            </w:tcBorders>
            <w:vAlign w:val="center"/>
          </w:tcPr>
          <w:p w14:paraId="3974A816" w14:textId="77777777" w:rsidR="008061DB" w:rsidRPr="004C78D8" w:rsidRDefault="008061DB"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4B61346D" w14:textId="77777777" w:rsidR="008061DB" w:rsidRPr="004C78D8" w:rsidRDefault="008061DB" w:rsidP="00FB7C1F">
            <w:pPr>
              <w:jc w:val="center"/>
              <w:rPr>
                <w:rFonts w:cs="Times New Roman"/>
                <w:sz w:val="18"/>
                <w:szCs w:val="18"/>
              </w:rPr>
            </w:pPr>
            <w:r w:rsidRPr="004C78D8">
              <w:rPr>
                <w:rFonts w:cs="Times New Roman"/>
                <w:sz w:val="18"/>
                <w:szCs w:val="18"/>
              </w:rPr>
              <w:t>MA</w:t>
            </w:r>
          </w:p>
        </w:tc>
        <w:tc>
          <w:tcPr>
            <w:tcW w:w="550" w:type="pct"/>
            <w:tcBorders>
              <w:top w:val="nil"/>
              <w:bottom w:val="nil"/>
            </w:tcBorders>
            <w:vAlign w:val="center"/>
          </w:tcPr>
          <w:p w14:paraId="6B250AAB" w14:textId="77777777" w:rsidR="008061DB" w:rsidRPr="004C78D8" w:rsidRDefault="008061DB" w:rsidP="00FB7C1F">
            <w:pPr>
              <w:jc w:val="center"/>
              <w:rPr>
                <w:sz w:val="18"/>
                <w:szCs w:val="18"/>
              </w:rPr>
            </w:pPr>
          </w:p>
        </w:tc>
        <w:tc>
          <w:tcPr>
            <w:tcW w:w="472" w:type="pct"/>
            <w:tcBorders>
              <w:top w:val="nil"/>
              <w:bottom w:val="nil"/>
            </w:tcBorders>
            <w:vAlign w:val="center"/>
          </w:tcPr>
          <w:p w14:paraId="0717307F" w14:textId="77777777" w:rsidR="008061DB" w:rsidRPr="004C78D8" w:rsidRDefault="008061DB" w:rsidP="00FB7C1F">
            <w:pPr>
              <w:jc w:val="center"/>
            </w:pPr>
          </w:p>
        </w:tc>
        <w:tc>
          <w:tcPr>
            <w:tcW w:w="471" w:type="pct"/>
            <w:tcBorders>
              <w:top w:val="nil"/>
              <w:bottom w:val="nil"/>
            </w:tcBorders>
            <w:vAlign w:val="center"/>
          </w:tcPr>
          <w:p w14:paraId="1FAC1AAE" w14:textId="77777777" w:rsidR="008061DB" w:rsidRPr="004C78D8" w:rsidRDefault="008061DB" w:rsidP="00FB7C1F">
            <w:pPr>
              <w:jc w:val="center"/>
            </w:pPr>
          </w:p>
        </w:tc>
        <w:tc>
          <w:tcPr>
            <w:tcW w:w="593" w:type="pct"/>
            <w:tcBorders>
              <w:top w:val="nil"/>
              <w:bottom w:val="nil"/>
            </w:tcBorders>
            <w:vAlign w:val="center"/>
          </w:tcPr>
          <w:p w14:paraId="288854F0" w14:textId="77777777" w:rsidR="008061DB" w:rsidRPr="004C78D8" w:rsidRDefault="008061DB" w:rsidP="00FB7C1F">
            <w:pPr>
              <w:jc w:val="center"/>
            </w:pPr>
          </w:p>
        </w:tc>
        <w:tc>
          <w:tcPr>
            <w:tcW w:w="558" w:type="pct"/>
            <w:tcBorders>
              <w:top w:val="nil"/>
              <w:bottom w:val="nil"/>
            </w:tcBorders>
            <w:vAlign w:val="center"/>
          </w:tcPr>
          <w:p w14:paraId="112F38DB" w14:textId="77777777" w:rsidR="008061DB" w:rsidRPr="004C78D8" w:rsidRDefault="008061DB" w:rsidP="00FB7C1F">
            <w:pPr>
              <w:jc w:val="center"/>
            </w:pPr>
          </w:p>
        </w:tc>
      </w:tr>
      <w:tr w:rsidR="008061DB" w:rsidRPr="004C78D8" w14:paraId="40801566" w14:textId="77777777" w:rsidTr="002828C1">
        <w:tc>
          <w:tcPr>
            <w:tcW w:w="1255" w:type="pct"/>
          </w:tcPr>
          <w:p w14:paraId="6191F37B" w14:textId="246A31FD" w:rsidR="008061DB" w:rsidRPr="004C78D8" w:rsidRDefault="008061DB" w:rsidP="00FB7C1F">
            <w:pPr>
              <w:jc w:val="left"/>
              <w:rPr>
                <w:sz w:val="18"/>
                <w:szCs w:val="18"/>
              </w:rPr>
            </w:pPr>
            <w:r w:rsidRPr="004C78D8">
              <w:rPr>
                <w:sz w:val="18"/>
                <w:szCs w:val="18"/>
              </w:rPr>
              <w:t>Alhambra-Borras (2019)</w:t>
            </w:r>
          </w:p>
        </w:tc>
        <w:tc>
          <w:tcPr>
            <w:tcW w:w="551" w:type="pct"/>
            <w:tcBorders>
              <w:top w:val="nil"/>
              <w:bottom w:val="nil"/>
            </w:tcBorders>
            <w:vAlign w:val="center"/>
          </w:tcPr>
          <w:p w14:paraId="3736907F" w14:textId="65A26936" w:rsidR="008061DB" w:rsidRPr="004C78D8" w:rsidRDefault="008061DB" w:rsidP="00FB7C1F">
            <w:pPr>
              <w:jc w:val="center"/>
              <w:rPr>
                <w:sz w:val="20"/>
                <w:szCs w:val="20"/>
              </w:rPr>
            </w:pPr>
            <w:r w:rsidRPr="00972766">
              <w:rPr>
                <w:sz w:val="18"/>
                <w:szCs w:val="18"/>
              </w:rPr>
              <w:t>Com</w:t>
            </w:r>
            <w:r w:rsidR="00D14B01" w:rsidRPr="00972766">
              <w:rPr>
                <w:sz w:val="18"/>
                <w:szCs w:val="18"/>
                <w:vertAlign w:val="superscript"/>
              </w:rPr>
              <w:t>4</w:t>
            </w:r>
          </w:p>
        </w:tc>
        <w:tc>
          <w:tcPr>
            <w:tcW w:w="550" w:type="pct"/>
            <w:tcBorders>
              <w:top w:val="nil"/>
              <w:bottom w:val="nil"/>
            </w:tcBorders>
            <w:vAlign w:val="center"/>
          </w:tcPr>
          <w:p w14:paraId="435237AC" w14:textId="77777777" w:rsidR="008061DB" w:rsidRPr="004C78D8" w:rsidRDefault="008061DB" w:rsidP="00FB7C1F">
            <w:pPr>
              <w:jc w:val="center"/>
              <w:rPr>
                <w:rFonts w:cs="Times New Roman"/>
                <w:sz w:val="18"/>
                <w:szCs w:val="18"/>
              </w:rPr>
            </w:pPr>
            <w:r w:rsidRPr="004C78D8">
              <w:rPr>
                <w:rFonts w:cs="Times New Roman"/>
                <w:sz w:val="18"/>
                <w:szCs w:val="18"/>
              </w:rPr>
              <w:t>Com</w:t>
            </w:r>
          </w:p>
        </w:tc>
        <w:tc>
          <w:tcPr>
            <w:tcW w:w="550" w:type="pct"/>
            <w:tcBorders>
              <w:top w:val="nil"/>
              <w:bottom w:val="nil"/>
            </w:tcBorders>
            <w:vAlign w:val="center"/>
          </w:tcPr>
          <w:p w14:paraId="442E8BAA" w14:textId="77777777" w:rsidR="008061DB" w:rsidRPr="004C78D8" w:rsidRDefault="008061DB" w:rsidP="00FB7C1F">
            <w:pPr>
              <w:jc w:val="center"/>
              <w:rPr>
                <w:sz w:val="18"/>
                <w:szCs w:val="18"/>
              </w:rPr>
            </w:pPr>
          </w:p>
        </w:tc>
        <w:tc>
          <w:tcPr>
            <w:tcW w:w="472" w:type="pct"/>
            <w:tcBorders>
              <w:top w:val="nil"/>
              <w:bottom w:val="nil"/>
            </w:tcBorders>
            <w:vAlign w:val="center"/>
          </w:tcPr>
          <w:p w14:paraId="48B0CBDA" w14:textId="77777777" w:rsidR="008061DB" w:rsidRPr="004C78D8" w:rsidRDefault="008061DB" w:rsidP="00FB7C1F">
            <w:pPr>
              <w:jc w:val="center"/>
              <w:rPr>
                <w:sz w:val="20"/>
                <w:szCs w:val="20"/>
              </w:rPr>
            </w:pPr>
          </w:p>
        </w:tc>
        <w:tc>
          <w:tcPr>
            <w:tcW w:w="471" w:type="pct"/>
            <w:tcBorders>
              <w:top w:val="nil"/>
              <w:bottom w:val="nil"/>
            </w:tcBorders>
            <w:vAlign w:val="center"/>
          </w:tcPr>
          <w:p w14:paraId="418954E5" w14:textId="77777777" w:rsidR="008061DB" w:rsidRPr="004C78D8" w:rsidRDefault="008061DB" w:rsidP="00FB7C1F">
            <w:pPr>
              <w:jc w:val="center"/>
              <w:rPr>
                <w:sz w:val="20"/>
                <w:szCs w:val="20"/>
              </w:rPr>
            </w:pPr>
            <w:r w:rsidRPr="004C78D8">
              <w:rPr>
                <w:sz w:val="18"/>
                <w:szCs w:val="18"/>
              </w:rPr>
              <w:t>Com</w:t>
            </w:r>
          </w:p>
        </w:tc>
        <w:tc>
          <w:tcPr>
            <w:tcW w:w="593" w:type="pct"/>
            <w:tcBorders>
              <w:top w:val="nil"/>
              <w:bottom w:val="nil"/>
            </w:tcBorders>
            <w:vAlign w:val="center"/>
          </w:tcPr>
          <w:p w14:paraId="4C8AA1D8" w14:textId="77777777" w:rsidR="008061DB" w:rsidRPr="004C78D8" w:rsidRDefault="008061DB" w:rsidP="00FB7C1F">
            <w:pPr>
              <w:jc w:val="center"/>
            </w:pPr>
          </w:p>
        </w:tc>
        <w:tc>
          <w:tcPr>
            <w:tcW w:w="558" w:type="pct"/>
            <w:tcBorders>
              <w:top w:val="nil"/>
              <w:bottom w:val="nil"/>
            </w:tcBorders>
            <w:vAlign w:val="center"/>
          </w:tcPr>
          <w:p w14:paraId="7D6FAE56" w14:textId="77777777" w:rsidR="008061DB" w:rsidRPr="004C78D8" w:rsidRDefault="008061DB" w:rsidP="00FB7C1F">
            <w:pPr>
              <w:jc w:val="center"/>
            </w:pPr>
          </w:p>
        </w:tc>
      </w:tr>
      <w:tr w:rsidR="008061DB" w:rsidRPr="004C78D8" w14:paraId="4BD09C2F" w14:textId="77777777" w:rsidTr="002828C1">
        <w:tc>
          <w:tcPr>
            <w:tcW w:w="1255" w:type="pct"/>
          </w:tcPr>
          <w:p w14:paraId="0CC1C326" w14:textId="77777777" w:rsidR="008061DB" w:rsidRPr="004C78D8" w:rsidRDefault="008061DB" w:rsidP="00FB7C1F">
            <w:pPr>
              <w:jc w:val="left"/>
              <w:rPr>
                <w:sz w:val="18"/>
                <w:szCs w:val="18"/>
              </w:rPr>
            </w:pPr>
            <w:r w:rsidRPr="004C78D8">
              <w:rPr>
                <w:sz w:val="18"/>
                <w:szCs w:val="18"/>
              </w:rPr>
              <w:t>Beard (2006)</w:t>
            </w:r>
          </w:p>
        </w:tc>
        <w:tc>
          <w:tcPr>
            <w:tcW w:w="551" w:type="pct"/>
            <w:tcBorders>
              <w:top w:val="nil"/>
              <w:bottom w:val="nil"/>
            </w:tcBorders>
            <w:vAlign w:val="center"/>
          </w:tcPr>
          <w:p w14:paraId="00683B29" w14:textId="77777777" w:rsidR="008061DB" w:rsidRPr="004C78D8" w:rsidRDefault="008061DB" w:rsidP="00FB7C1F">
            <w:pPr>
              <w:jc w:val="center"/>
            </w:pPr>
          </w:p>
        </w:tc>
        <w:tc>
          <w:tcPr>
            <w:tcW w:w="550" w:type="pct"/>
            <w:tcBorders>
              <w:top w:val="nil"/>
              <w:bottom w:val="nil"/>
            </w:tcBorders>
            <w:vAlign w:val="center"/>
          </w:tcPr>
          <w:p w14:paraId="39B249C5" w14:textId="77777777" w:rsidR="008061DB" w:rsidRPr="004C78D8" w:rsidRDefault="008061DB" w:rsidP="00FB7C1F">
            <w:pPr>
              <w:jc w:val="center"/>
              <w:rPr>
                <w:sz w:val="18"/>
                <w:szCs w:val="18"/>
              </w:rPr>
            </w:pPr>
            <w:r w:rsidRPr="004C78D8">
              <w:rPr>
                <w:rFonts w:cs="Times New Roman"/>
                <w:sz w:val="18"/>
                <w:szCs w:val="18"/>
              </w:rPr>
              <w:t>MA</w:t>
            </w:r>
          </w:p>
        </w:tc>
        <w:tc>
          <w:tcPr>
            <w:tcW w:w="550" w:type="pct"/>
            <w:tcBorders>
              <w:top w:val="nil"/>
              <w:bottom w:val="nil"/>
            </w:tcBorders>
            <w:vAlign w:val="center"/>
          </w:tcPr>
          <w:p w14:paraId="07C4D50D" w14:textId="77777777" w:rsidR="008061DB" w:rsidRPr="004C78D8" w:rsidRDefault="008061DB" w:rsidP="00FB7C1F">
            <w:pPr>
              <w:jc w:val="center"/>
              <w:rPr>
                <w:sz w:val="18"/>
                <w:szCs w:val="18"/>
              </w:rPr>
            </w:pPr>
          </w:p>
        </w:tc>
        <w:tc>
          <w:tcPr>
            <w:tcW w:w="472" w:type="pct"/>
            <w:tcBorders>
              <w:top w:val="nil"/>
              <w:bottom w:val="nil"/>
            </w:tcBorders>
            <w:vAlign w:val="center"/>
          </w:tcPr>
          <w:p w14:paraId="252E045A" w14:textId="77777777" w:rsidR="008061DB" w:rsidRPr="004C78D8" w:rsidRDefault="008061DB" w:rsidP="00FB7C1F">
            <w:pPr>
              <w:jc w:val="center"/>
            </w:pPr>
          </w:p>
        </w:tc>
        <w:tc>
          <w:tcPr>
            <w:tcW w:w="471" w:type="pct"/>
            <w:tcBorders>
              <w:top w:val="nil"/>
              <w:bottom w:val="nil"/>
            </w:tcBorders>
            <w:vAlign w:val="center"/>
          </w:tcPr>
          <w:p w14:paraId="7169C61C" w14:textId="77777777" w:rsidR="008061DB" w:rsidRPr="004C78D8" w:rsidRDefault="008061DB" w:rsidP="00FB7C1F">
            <w:pPr>
              <w:jc w:val="center"/>
            </w:pPr>
          </w:p>
        </w:tc>
        <w:tc>
          <w:tcPr>
            <w:tcW w:w="593" w:type="pct"/>
            <w:tcBorders>
              <w:top w:val="nil"/>
              <w:bottom w:val="nil"/>
            </w:tcBorders>
            <w:vAlign w:val="center"/>
          </w:tcPr>
          <w:p w14:paraId="01E22313" w14:textId="77777777" w:rsidR="008061DB" w:rsidRPr="004C78D8" w:rsidRDefault="008061DB" w:rsidP="00FB7C1F">
            <w:pPr>
              <w:jc w:val="center"/>
            </w:pPr>
          </w:p>
        </w:tc>
        <w:tc>
          <w:tcPr>
            <w:tcW w:w="558" w:type="pct"/>
            <w:tcBorders>
              <w:top w:val="nil"/>
              <w:bottom w:val="nil"/>
            </w:tcBorders>
            <w:vAlign w:val="center"/>
          </w:tcPr>
          <w:p w14:paraId="5B684FF7" w14:textId="77777777" w:rsidR="008061DB" w:rsidRPr="004C78D8" w:rsidRDefault="008061DB" w:rsidP="00FB7C1F">
            <w:pPr>
              <w:jc w:val="center"/>
            </w:pPr>
          </w:p>
        </w:tc>
      </w:tr>
      <w:tr w:rsidR="008061DB" w:rsidRPr="004C78D8" w14:paraId="154A2485" w14:textId="77777777" w:rsidTr="002828C1">
        <w:tc>
          <w:tcPr>
            <w:tcW w:w="1255" w:type="pct"/>
          </w:tcPr>
          <w:p w14:paraId="1D04A5AC" w14:textId="77777777" w:rsidR="008061DB" w:rsidRPr="004C78D8" w:rsidRDefault="008061DB" w:rsidP="00FB7C1F">
            <w:pPr>
              <w:jc w:val="left"/>
              <w:rPr>
                <w:sz w:val="18"/>
                <w:szCs w:val="18"/>
              </w:rPr>
            </w:pPr>
            <w:r w:rsidRPr="004C78D8">
              <w:rPr>
                <w:sz w:val="18"/>
                <w:szCs w:val="18"/>
              </w:rPr>
              <w:t>BODE3 models</w:t>
            </w:r>
          </w:p>
        </w:tc>
        <w:tc>
          <w:tcPr>
            <w:tcW w:w="551" w:type="pct"/>
            <w:tcBorders>
              <w:top w:val="nil"/>
              <w:bottom w:val="nil"/>
            </w:tcBorders>
            <w:vAlign w:val="center"/>
          </w:tcPr>
          <w:p w14:paraId="56546EDB" w14:textId="77777777" w:rsidR="008061DB" w:rsidRPr="004C78D8" w:rsidRDefault="008061DB" w:rsidP="00FB7C1F">
            <w:pPr>
              <w:jc w:val="center"/>
            </w:pPr>
          </w:p>
        </w:tc>
        <w:tc>
          <w:tcPr>
            <w:tcW w:w="550" w:type="pct"/>
            <w:tcBorders>
              <w:top w:val="nil"/>
              <w:bottom w:val="nil"/>
            </w:tcBorders>
            <w:vAlign w:val="center"/>
          </w:tcPr>
          <w:p w14:paraId="002DAA51" w14:textId="77777777" w:rsidR="008061DB" w:rsidRPr="004C78D8" w:rsidRDefault="008061DB" w:rsidP="00FB7C1F">
            <w:pPr>
              <w:jc w:val="center"/>
              <w:rPr>
                <w:rFonts w:cs="Times New Roman"/>
                <w:sz w:val="18"/>
                <w:szCs w:val="18"/>
              </w:rPr>
            </w:pPr>
            <w:r w:rsidRPr="004C78D8">
              <w:rPr>
                <w:sz w:val="18"/>
                <w:szCs w:val="18"/>
              </w:rPr>
              <w:t>MA</w:t>
            </w:r>
          </w:p>
        </w:tc>
        <w:tc>
          <w:tcPr>
            <w:tcW w:w="550" w:type="pct"/>
            <w:tcBorders>
              <w:top w:val="nil"/>
              <w:bottom w:val="nil"/>
            </w:tcBorders>
            <w:vAlign w:val="center"/>
          </w:tcPr>
          <w:p w14:paraId="72EBA855" w14:textId="77777777" w:rsidR="008061DB" w:rsidRPr="004C78D8" w:rsidRDefault="008061DB" w:rsidP="00FB7C1F">
            <w:pPr>
              <w:jc w:val="center"/>
              <w:rPr>
                <w:sz w:val="18"/>
                <w:szCs w:val="18"/>
              </w:rPr>
            </w:pPr>
          </w:p>
        </w:tc>
        <w:tc>
          <w:tcPr>
            <w:tcW w:w="472" w:type="pct"/>
            <w:tcBorders>
              <w:top w:val="nil"/>
              <w:bottom w:val="nil"/>
            </w:tcBorders>
            <w:vAlign w:val="center"/>
          </w:tcPr>
          <w:p w14:paraId="55A5CCF3" w14:textId="77777777" w:rsidR="008061DB" w:rsidRPr="004C78D8" w:rsidRDefault="008061DB" w:rsidP="00FB7C1F">
            <w:pPr>
              <w:jc w:val="center"/>
            </w:pPr>
            <w:r w:rsidRPr="004C78D8">
              <w:rPr>
                <w:rFonts w:cs="Times New Roman"/>
                <w:sz w:val="28"/>
                <w:szCs w:val="28"/>
              </w:rPr>
              <w:t>˟</w:t>
            </w:r>
          </w:p>
        </w:tc>
        <w:tc>
          <w:tcPr>
            <w:tcW w:w="471" w:type="pct"/>
            <w:tcBorders>
              <w:top w:val="nil"/>
              <w:bottom w:val="nil"/>
            </w:tcBorders>
            <w:vAlign w:val="center"/>
          </w:tcPr>
          <w:p w14:paraId="54B4691B" w14:textId="77777777" w:rsidR="008061DB" w:rsidRPr="004C78D8" w:rsidRDefault="008061DB" w:rsidP="00FB7C1F">
            <w:pPr>
              <w:jc w:val="center"/>
            </w:pPr>
          </w:p>
        </w:tc>
        <w:tc>
          <w:tcPr>
            <w:tcW w:w="593" w:type="pct"/>
            <w:tcBorders>
              <w:top w:val="nil"/>
              <w:bottom w:val="nil"/>
            </w:tcBorders>
            <w:vAlign w:val="center"/>
          </w:tcPr>
          <w:p w14:paraId="2831210E" w14:textId="77777777" w:rsidR="008061DB" w:rsidRPr="004C78D8" w:rsidRDefault="008061DB" w:rsidP="00FB7C1F">
            <w:pPr>
              <w:jc w:val="center"/>
            </w:pPr>
          </w:p>
        </w:tc>
        <w:tc>
          <w:tcPr>
            <w:tcW w:w="558" w:type="pct"/>
            <w:tcBorders>
              <w:top w:val="nil"/>
              <w:bottom w:val="nil"/>
            </w:tcBorders>
            <w:vAlign w:val="center"/>
          </w:tcPr>
          <w:p w14:paraId="7FCDCD4E" w14:textId="77777777" w:rsidR="008061DB" w:rsidRPr="004C78D8" w:rsidRDefault="008061DB" w:rsidP="00FB7C1F">
            <w:pPr>
              <w:jc w:val="center"/>
            </w:pPr>
          </w:p>
        </w:tc>
      </w:tr>
      <w:tr w:rsidR="008061DB" w:rsidRPr="004C78D8" w14:paraId="225705A4" w14:textId="77777777" w:rsidTr="002828C1">
        <w:tc>
          <w:tcPr>
            <w:tcW w:w="1255" w:type="pct"/>
          </w:tcPr>
          <w:p w14:paraId="5867CD78" w14:textId="77777777" w:rsidR="008061DB" w:rsidRPr="004C78D8" w:rsidRDefault="008061DB" w:rsidP="00FB7C1F">
            <w:pPr>
              <w:jc w:val="left"/>
              <w:rPr>
                <w:sz w:val="18"/>
                <w:szCs w:val="18"/>
              </w:rPr>
            </w:pPr>
            <w:r w:rsidRPr="004C78D8">
              <w:rPr>
                <w:sz w:val="18"/>
                <w:szCs w:val="18"/>
              </w:rPr>
              <w:t>Carande-Kulis (2015)</w:t>
            </w:r>
          </w:p>
        </w:tc>
        <w:tc>
          <w:tcPr>
            <w:tcW w:w="551" w:type="pct"/>
            <w:tcBorders>
              <w:top w:val="nil"/>
              <w:bottom w:val="nil"/>
            </w:tcBorders>
            <w:vAlign w:val="center"/>
          </w:tcPr>
          <w:p w14:paraId="2142558E" w14:textId="77777777" w:rsidR="008061DB" w:rsidRPr="004C78D8" w:rsidRDefault="008061DB" w:rsidP="00FB7C1F">
            <w:pPr>
              <w:jc w:val="center"/>
            </w:pPr>
          </w:p>
        </w:tc>
        <w:tc>
          <w:tcPr>
            <w:tcW w:w="550" w:type="pct"/>
            <w:tcBorders>
              <w:top w:val="nil"/>
              <w:bottom w:val="nil"/>
            </w:tcBorders>
            <w:vAlign w:val="center"/>
          </w:tcPr>
          <w:p w14:paraId="08D8DDB7" w14:textId="77777777" w:rsidR="008061DB" w:rsidRPr="004C78D8" w:rsidRDefault="008061DB" w:rsidP="00FB7C1F">
            <w:pPr>
              <w:jc w:val="center"/>
              <w:rPr>
                <w:sz w:val="18"/>
                <w:szCs w:val="18"/>
              </w:rPr>
            </w:pPr>
            <w:r w:rsidRPr="004C78D8">
              <w:rPr>
                <w:rFonts w:cs="Times New Roman"/>
                <w:sz w:val="18"/>
                <w:szCs w:val="18"/>
              </w:rPr>
              <w:t>MA</w:t>
            </w:r>
          </w:p>
        </w:tc>
        <w:tc>
          <w:tcPr>
            <w:tcW w:w="550" w:type="pct"/>
            <w:tcBorders>
              <w:top w:val="nil"/>
              <w:bottom w:val="nil"/>
            </w:tcBorders>
            <w:vAlign w:val="center"/>
          </w:tcPr>
          <w:p w14:paraId="02BE60A5" w14:textId="77777777" w:rsidR="008061DB" w:rsidRPr="004C78D8" w:rsidRDefault="008061DB" w:rsidP="00FB7C1F">
            <w:pPr>
              <w:jc w:val="center"/>
              <w:rPr>
                <w:sz w:val="18"/>
                <w:szCs w:val="18"/>
              </w:rPr>
            </w:pPr>
          </w:p>
        </w:tc>
        <w:tc>
          <w:tcPr>
            <w:tcW w:w="472" w:type="pct"/>
            <w:tcBorders>
              <w:top w:val="nil"/>
              <w:bottom w:val="nil"/>
            </w:tcBorders>
            <w:vAlign w:val="center"/>
          </w:tcPr>
          <w:p w14:paraId="5C8E3F08" w14:textId="77777777" w:rsidR="008061DB" w:rsidRPr="004C78D8" w:rsidRDefault="008061DB" w:rsidP="00FB7C1F">
            <w:pPr>
              <w:jc w:val="center"/>
              <w:rPr>
                <w:sz w:val="28"/>
                <w:szCs w:val="28"/>
              </w:rPr>
            </w:pPr>
            <w:r w:rsidRPr="004C78D8">
              <w:rPr>
                <w:rFonts w:cs="Times New Roman"/>
                <w:sz w:val="28"/>
                <w:szCs w:val="28"/>
              </w:rPr>
              <w:t>˟</w:t>
            </w:r>
          </w:p>
        </w:tc>
        <w:tc>
          <w:tcPr>
            <w:tcW w:w="471" w:type="pct"/>
            <w:tcBorders>
              <w:top w:val="nil"/>
              <w:bottom w:val="nil"/>
            </w:tcBorders>
            <w:vAlign w:val="center"/>
          </w:tcPr>
          <w:p w14:paraId="5814EC60" w14:textId="77777777" w:rsidR="008061DB" w:rsidRPr="004C78D8" w:rsidRDefault="008061DB" w:rsidP="00FB7C1F">
            <w:pPr>
              <w:jc w:val="center"/>
            </w:pPr>
          </w:p>
        </w:tc>
        <w:tc>
          <w:tcPr>
            <w:tcW w:w="593" w:type="pct"/>
            <w:tcBorders>
              <w:top w:val="nil"/>
              <w:bottom w:val="nil"/>
            </w:tcBorders>
            <w:vAlign w:val="center"/>
          </w:tcPr>
          <w:p w14:paraId="35BD00E2" w14:textId="77777777" w:rsidR="008061DB" w:rsidRPr="004C78D8" w:rsidRDefault="008061DB" w:rsidP="00FB7C1F">
            <w:pPr>
              <w:jc w:val="center"/>
            </w:pPr>
          </w:p>
        </w:tc>
        <w:tc>
          <w:tcPr>
            <w:tcW w:w="558" w:type="pct"/>
            <w:tcBorders>
              <w:top w:val="nil"/>
              <w:bottom w:val="nil"/>
            </w:tcBorders>
            <w:vAlign w:val="center"/>
          </w:tcPr>
          <w:p w14:paraId="2ED7A80F" w14:textId="77777777" w:rsidR="008061DB" w:rsidRPr="004C78D8" w:rsidRDefault="008061DB" w:rsidP="00FB7C1F">
            <w:pPr>
              <w:jc w:val="center"/>
            </w:pPr>
          </w:p>
        </w:tc>
      </w:tr>
      <w:tr w:rsidR="008061DB" w:rsidRPr="004C78D8" w14:paraId="26B00D4A" w14:textId="77777777" w:rsidTr="002828C1">
        <w:tc>
          <w:tcPr>
            <w:tcW w:w="1255" w:type="pct"/>
          </w:tcPr>
          <w:p w14:paraId="7F803546" w14:textId="77777777" w:rsidR="008061DB" w:rsidRPr="004C78D8" w:rsidRDefault="008061DB" w:rsidP="00FB7C1F">
            <w:pPr>
              <w:jc w:val="left"/>
              <w:rPr>
                <w:sz w:val="18"/>
                <w:szCs w:val="18"/>
              </w:rPr>
            </w:pPr>
            <w:r w:rsidRPr="004C78D8">
              <w:rPr>
                <w:sz w:val="18"/>
                <w:szCs w:val="18"/>
              </w:rPr>
              <w:t>CSP (2016)</w:t>
            </w:r>
          </w:p>
        </w:tc>
        <w:tc>
          <w:tcPr>
            <w:tcW w:w="551" w:type="pct"/>
            <w:tcBorders>
              <w:top w:val="nil"/>
              <w:bottom w:val="nil"/>
            </w:tcBorders>
            <w:vAlign w:val="center"/>
          </w:tcPr>
          <w:p w14:paraId="7488B051" w14:textId="77777777" w:rsidR="008061DB" w:rsidRPr="004C78D8" w:rsidRDefault="008061DB" w:rsidP="00FB7C1F">
            <w:pPr>
              <w:jc w:val="center"/>
            </w:pPr>
            <w:r w:rsidRPr="004C78D8">
              <w:rPr>
                <w:rFonts w:cs="Times New Roman"/>
                <w:sz w:val="28"/>
                <w:szCs w:val="28"/>
              </w:rPr>
              <w:t>˟</w:t>
            </w:r>
          </w:p>
        </w:tc>
        <w:tc>
          <w:tcPr>
            <w:tcW w:w="550" w:type="pct"/>
            <w:tcBorders>
              <w:top w:val="nil"/>
              <w:bottom w:val="nil"/>
            </w:tcBorders>
            <w:vAlign w:val="center"/>
          </w:tcPr>
          <w:p w14:paraId="3AE1173A" w14:textId="77777777" w:rsidR="008061DB" w:rsidRPr="004C78D8" w:rsidRDefault="008061DB" w:rsidP="00FB7C1F">
            <w:pPr>
              <w:jc w:val="center"/>
              <w:rPr>
                <w:sz w:val="18"/>
                <w:szCs w:val="18"/>
              </w:rPr>
            </w:pPr>
            <w:r w:rsidRPr="004C78D8">
              <w:rPr>
                <w:rFonts w:cs="Times New Roman"/>
                <w:sz w:val="18"/>
                <w:szCs w:val="18"/>
              </w:rPr>
              <w:t>MA</w:t>
            </w:r>
          </w:p>
        </w:tc>
        <w:tc>
          <w:tcPr>
            <w:tcW w:w="550" w:type="pct"/>
            <w:tcBorders>
              <w:top w:val="nil"/>
              <w:bottom w:val="nil"/>
            </w:tcBorders>
            <w:vAlign w:val="center"/>
          </w:tcPr>
          <w:p w14:paraId="6844D306" w14:textId="77777777" w:rsidR="008061DB" w:rsidRPr="004C78D8" w:rsidRDefault="008061DB" w:rsidP="00FB7C1F">
            <w:pPr>
              <w:jc w:val="center"/>
              <w:rPr>
                <w:sz w:val="18"/>
                <w:szCs w:val="18"/>
              </w:rPr>
            </w:pPr>
          </w:p>
        </w:tc>
        <w:tc>
          <w:tcPr>
            <w:tcW w:w="472" w:type="pct"/>
            <w:tcBorders>
              <w:top w:val="nil"/>
              <w:bottom w:val="nil"/>
            </w:tcBorders>
            <w:vAlign w:val="center"/>
          </w:tcPr>
          <w:p w14:paraId="33608DE8" w14:textId="77777777" w:rsidR="008061DB" w:rsidRPr="004C78D8" w:rsidRDefault="008061DB" w:rsidP="00FB7C1F">
            <w:pPr>
              <w:jc w:val="center"/>
            </w:pPr>
          </w:p>
        </w:tc>
        <w:tc>
          <w:tcPr>
            <w:tcW w:w="471" w:type="pct"/>
            <w:tcBorders>
              <w:top w:val="nil"/>
              <w:bottom w:val="nil"/>
            </w:tcBorders>
            <w:vAlign w:val="center"/>
          </w:tcPr>
          <w:p w14:paraId="1A30D95F" w14:textId="77777777" w:rsidR="008061DB" w:rsidRPr="004C78D8" w:rsidRDefault="008061DB" w:rsidP="00FB7C1F">
            <w:pPr>
              <w:jc w:val="center"/>
            </w:pPr>
          </w:p>
        </w:tc>
        <w:tc>
          <w:tcPr>
            <w:tcW w:w="593" w:type="pct"/>
            <w:tcBorders>
              <w:top w:val="nil"/>
              <w:bottom w:val="nil"/>
            </w:tcBorders>
            <w:vAlign w:val="center"/>
          </w:tcPr>
          <w:p w14:paraId="5F0FCE0D" w14:textId="77777777" w:rsidR="008061DB" w:rsidRPr="004C78D8" w:rsidRDefault="008061DB" w:rsidP="00FB7C1F">
            <w:pPr>
              <w:jc w:val="center"/>
              <w:rPr>
                <w:sz w:val="28"/>
                <w:szCs w:val="28"/>
              </w:rPr>
            </w:pPr>
            <w:r w:rsidRPr="004C78D8">
              <w:rPr>
                <w:rFonts w:cs="Times New Roman"/>
                <w:sz w:val="28"/>
                <w:szCs w:val="28"/>
              </w:rPr>
              <w:t>˟</w:t>
            </w:r>
          </w:p>
        </w:tc>
        <w:tc>
          <w:tcPr>
            <w:tcW w:w="558" w:type="pct"/>
            <w:tcBorders>
              <w:top w:val="nil"/>
              <w:bottom w:val="nil"/>
            </w:tcBorders>
            <w:vAlign w:val="center"/>
          </w:tcPr>
          <w:p w14:paraId="7C60BFEE" w14:textId="77777777" w:rsidR="008061DB" w:rsidRPr="004C78D8" w:rsidRDefault="008061DB" w:rsidP="00FB7C1F">
            <w:pPr>
              <w:jc w:val="center"/>
            </w:pPr>
          </w:p>
        </w:tc>
      </w:tr>
      <w:tr w:rsidR="008061DB" w:rsidRPr="004C78D8" w14:paraId="4ABB0E1B" w14:textId="77777777" w:rsidTr="002828C1">
        <w:tc>
          <w:tcPr>
            <w:tcW w:w="1255" w:type="pct"/>
          </w:tcPr>
          <w:p w14:paraId="4AFAA53A" w14:textId="77777777" w:rsidR="008061DB" w:rsidRPr="004C78D8" w:rsidRDefault="008061DB" w:rsidP="00FB7C1F">
            <w:pPr>
              <w:jc w:val="left"/>
              <w:rPr>
                <w:sz w:val="18"/>
                <w:szCs w:val="18"/>
              </w:rPr>
            </w:pPr>
            <w:r w:rsidRPr="004C78D8">
              <w:rPr>
                <w:sz w:val="18"/>
                <w:szCs w:val="18"/>
              </w:rPr>
              <w:t>Church (2011); (2012)</w:t>
            </w:r>
          </w:p>
        </w:tc>
        <w:tc>
          <w:tcPr>
            <w:tcW w:w="551" w:type="pct"/>
            <w:tcBorders>
              <w:top w:val="nil"/>
              <w:bottom w:val="nil"/>
            </w:tcBorders>
            <w:vAlign w:val="center"/>
          </w:tcPr>
          <w:p w14:paraId="0CA177A4" w14:textId="77777777" w:rsidR="008061DB" w:rsidRPr="004C78D8" w:rsidRDefault="008061DB"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297792B1" w14:textId="77777777" w:rsidR="008061DB" w:rsidRPr="004C78D8" w:rsidRDefault="008061DB" w:rsidP="00FB7C1F">
            <w:pPr>
              <w:jc w:val="center"/>
              <w:rPr>
                <w:sz w:val="18"/>
                <w:szCs w:val="18"/>
              </w:rPr>
            </w:pPr>
            <w:r w:rsidRPr="004C78D8">
              <w:rPr>
                <w:rFonts w:cs="Times New Roman"/>
                <w:sz w:val="18"/>
                <w:szCs w:val="18"/>
              </w:rPr>
              <w:t>MA</w:t>
            </w:r>
          </w:p>
        </w:tc>
        <w:tc>
          <w:tcPr>
            <w:tcW w:w="550" w:type="pct"/>
            <w:tcBorders>
              <w:top w:val="nil"/>
              <w:bottom w:val="nil"/>
            </w:tcBorders>
            <w:vAlign w:val="center"/>
          </w:tcPr>
          <w:p w14:paraId="6B43480C" w14:textId="77777777" w:rsidR="008061DB" w:rsidRPr="004C78D8" w:rsidRDefault="008061DB" w:rsidP="00FB7C1F">
            <w:pPr>
              <w:jc w:val="center"/>
              <w:rPr>
                <w:sz w:val="18"/>
                <w:szCs w:val="18"/>
              </w:rPr>
            </w:pPr>
            <w:r w:rsidRPr="004C78D8">
              <w:rPr>
                <w:rFonts w:cs="Times New Roman"/>
                <w:sz w:val="18"/>
                <w:szCs w:val="18"/>
              </w:rPr>
              <w:t>Mix</w:t>
            </w:r>
          </w:p>
        </w:tc>
        <w:tc>
          <w:tcPr>
            <w:tcW w:w="472" w:type="pct"/>
            <w:tcBorders>
              <w:top w:val="nil"/>
              <w:bottom w:val="nil"/>
            </w:tcBorders>
            <w:vAlign w:val="center"/>
          </w:tcPr>
          <w:p w14:paraId="0F2FD399" w14:textId="77777777" w:rsidR="008061DB" w:rsidRPr="004C78D8" w:rsidRDefault="008061DB" w:rsidP="00FB7C1F">
            <w:pPr>
              <w:jc w:val="center"/>
              <w:rPr>
                <w:sz w:val="28"/>
                <w:szCs w:val="28"/>
              </w:rPr>
            </w:pPr>
            <w:r w:rsidRPr="004C78D8">
              <w:rPr>
                <w:rFonts w:cs="Times New Roman"/>
                <w:sz w:val="28"/>
                <w:szCs w:val="28"/>
              </w:rPr>
              <w:t>˟</w:t>
            </w:r>
          </w:p>
        </w:tc>
        <w:tc>
          <w:tcPr>
            <w:tcW w:w="471" w:type="pct"/>
            <w:tcBorders>
              <w:top w:val="nil"/>
              <w:bottom w:val="nil"/>
            </w:tcBorders>
            <w:vAlign w:val="center"/>
          </w:tcPr>
          <w:p w14:paraId="38D542F7" w14:textId="77777777" w:rsidR="008061DB" w:rsidRPr="004C78D8" w:rsidRDefault="008061DB" w:rsidP="00FB7C1F">
            <w:pPr>
              <w:jc w:val="center"/>
              <w:rPr>
                <w:sz w:val="28"/>
                <w:szCs w:val="28"/>
              </w:rPr>
            </w:pPr>
            <w:r w:rsidRPr="004C78D8">
              <w:rPr>
                <w:rFonts w:cs="Times New Roman"/>
                <w:sz w:val="28"/>
                <w:szCs w:val="28"/>
              </w:rPr>
              <w:t>˟</w:t>
            </w:r>
          </w:p>
        </w:tc>
        <w:tc>
          <w:tcPr>
            <w:tcW w:w="593" w:type="pct"/>
            <w:tcBorders>
              <w:top w:val="nil"/>
              <w:bottom w:val="nil"/>
            </w:tcBorders>
            <w:vAlign w:val="center"/>
          </w:tcPr>
          <w:p w14:paraId="6876C1EA" w14:textId="77777777" w:rsidR="008061DB" w:rsidRPr="004C78D8" w:rsidRDefault="008061DB" w:rsidP="00FB7C1F">
            <w:pPr>
              <w:jc w:val="center"/>
              <w:rPr>
                <w:sz w:val="28"/>
                <w:szCs w:val="28"/>
              </w:rPr>
            </w:pPr>
            <w:r w:rsidRPr="004C78D8">
              <w:rPr>
                <w:rFonts w:cs="Times New Roman"/>
                <w:sz w:val="28"/>
                <w:szCs w:val="28"/>
              </w:rPr>
              <w:t>˟</w:t>
            </w:r>
          </w:p>
        </w:tc>
        <w:tc>
          <w:tcPr>
            <w:tcW w:w="558" w:type="pct"/>
            <w:tcBorders>
              <w:top w:val="nil"/>
              <w:bottom w:val="nil"/>
            </w:tcBorders>
            <w:vAlign w:val="center"/>
          </w:tcPr>
          <w:p w14:paraId="2EFA1316" w14:textId="77777777" w:rsidR="008061DB" w:rsidRPr="004C78D8" w:rsidRDefault="008061DB" w:rsidP="00FB7C1F">
            <w:pPr>
              <w:jc w:val="center"/>
            </w:pPr>
          </w:p>
        </w:tc>
      </w:tr>
      <w:tr w:rsidR="008061DB" w:rsidRPr="004C78D8" w14:paraId="3691A4C3" w14:textId="77777777" w:rsidTr="002828C1">
        <w:tc>
          <w:tcPr>
            <w:tcW w:w="1255" w:type="pct"/>
          </w:tcPr>
          <w:p w14:paraId="0518F6DB" w14:textId="77777777" w:rsidR="008061DB" w:rsidRPr="004C78D8" w:rsidRDefault="008061DB" w:rsidP="00FB7C1F">
            <w:pPr>
              <w:jc w:val="left"/>
              <w:rPr>
                <w:sz w:val="18"/>
                <w:szCs w:val="18"/>
              </w:rPr>
            </w:pPr>
            <w:r w:rsidRPr="004C78D8">
              <w:rPr>
                <w:sz w:val="18"/>
                <w:szCs w:val="18"/>
              </w:rPr>
              <w:t>Comans (2009)</w:t>
            </w:r>
          </w:p>
        </w:tc>
        <w:tc>
          <w:tcPr>
            <w:tcW w:w="551" w:type="pct"/>
            <w:tcBorders>
              <w:top w:val="nil"/>
              <w:bottom w:val="nil"/>
            </w:tcBorders>
            <w:vAlign w:val="center"/>
          </w:tcPr>
          <w:p w14:paraId="29C2E941" w14:textId="77777777" w:rsidR="008061DB" w:rsidRPr="004C78D8" w:rsidRDefault="008061DB"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357B3735" w14:textId="77777777" w:rsidR="008061DB" w:rsidRPr="004C78D8" w:rsidRDefault="008061DB" w:rsidP="00FB7C1F">
            <w:pPr>
              <w:jc w:val="center"/>
              <w:rPr>
                <w:sz w:val="18"/>
                <w:szCs w:val="18"/>
              </w:rPr>
            </w:pPr>
            <w:r w:rsidRPr="004C78D8">
              <w:rPr>
                <w:rFonts w:cs="Times New Roman"/>
                <w:sz w:val="18"/>
                <w:szCs w:val="18"/>
              </w:rPr>
              <w:t>MA</w:t>
            </w:r>
          </w:p>
        </w:tc>
        <w:tc>
          <w:tcPr>
            <w:tcW w:w="550" w:type="pct"/>
            <w:tcBorders>
              <w:top w:val="nil"/>
              <w:bottom w:val="nil"/>
            </w:tcBorders>
            <w:vAlign w:val="center"/>
          </w:tcPr>
          <w:p w14:paraId="5301C8DD" w14:textId="77777777" w:rsidR="008061DB" w:rsidRPr="004C78D8" w:rsidRDefault="008061DB" w:rsidP="00FB7C1F">
            <w:pPr>
              <w:jc w:val="center"/>
              <w:rPr>
                <w:sz w:val="18"/>
                <w:szCs w:val="18"/>
              </w:rPr>
            </w:pPr>
          </w:p>
        </w:tc>
        <w:tc>
          <w:tcPr>
            <w:tcW w:w="472" w:type="pct"/>
            <w:tcBorders>
              <w:top w:val="nil"/>
              <w:bottom w:val="nil"/>
            </w:tcBorders>
            <w:vAlign w:val="center"/>
          </w:tcPr>
          <w:p w14:paraId="0683B39C" w14:textId="77777777" w:rsidR="008061DB" w:rsidRPr="004C78D8" w:rsidRDefault="008061DB" w:rsidP="00FB7C1F">
            <w:pPr>
              <w:jc w:val="center"/>
            </w:pPr>
          </w:p>
        </w:tc>
        <w:tc>
          <w:tcPr>
            <w:tcW w:w="471" w:type="pct"/>
            <w:tcBorders>
              <w:top w:val="nil"/>
              <w:bottom w:val="nil"/>
            </w:tcBorders>
            <w:vAlign w:val="center"/>
          </w:tcPr>
          <w:p w14:paraId="058E1BAD" w14:textId="77777777" w:rsidR="008061DB" w:rsidRPr="004C78D8" w:rsidRDefault="008061DB" w:rsidP="00FB7C1F">
            <w:pPr>
              <w:jc w:val="center"/>
            </w:pPr>
          </w:p>
        </w:tc>
        <w:tc>
          <w:tcPr>
            <w:tcW w:w="593" w:type="pct"/>
            <w:tcBorders>
              <w:top w:val="nil"/>
              <w:bottom w:val="nil"/>
            </w:tcBorders>
            <w:vAlign w:val="center"/>
          </w:tcPr>
          <w:p w14:paraId="37C87192" w14:textId="77777777" w:rsidR="008061DB" w:rsidRPr="004C78D8" w:rsidRDefault="008061DB" w:rsidP="00FB7C1F">
            <w:pPr>
              <w:jc w:val="center"/>
            </w:pPr>
          </w:p>
        </w:tc>
        <w:tc>
          <w:tcPr>
            <w:tcW w:w="558" w:type="pct"/>
            <w:tcBorders>
              <w:top w:val="nil"/>
              <w:bottom w:val="nil"/>
            </w:tcBorders>
            <w:vAlign w:val="center"/>
          </w:tcPr>
          <w:p w14:paraId="1FB9D0F2" w14:textId="77777777" w:rsidR="008061DB" w:rsidRPr="004C78D8" w:rsidRDefault="008061DB" w:rsidP="00FB7C1F">
            <w:pPr>
              <w:jc w:val="center"/>
            </w:pPr>
          </w:p>
        </w:tc>
      </w:tr>
      <w:tr w:rsidR="008061DB" w:rsidRPr="004C78D8" w14:paraId="4B0EC23C" w14:textId="77777777" w:rsidTr="002828C1">
        <w:tc>
          <w:tcPr>
            <w:tcW w:w="1255" w:type="pct"/>
          </w:tcPr>
          <w:p w14:paraId="0C6AA64F" w14:textId="77777777" w:rsidR="008061DB" w:rsidRPr="004C78D8" w:rsidRDefault="008061DB" w:rsidP="00FB7C1F">
            <w:pPr>
              <w:jc w:val="left"/>
              <w:rPr>
                <w:sz w:val="18"/>
                <w:szCs w:val="18"/>
              </w:rPr>
            </w:pPr>
            <w:r w:rsidRPr="004C78D8">
              <w:rPr>
                <w:sz w:val="18"/>
                <w:szCs w:val="18"/>
              </w:rPr>
              <w:t>Day (2009); (2010)</w:t>
            </w:r>
          </w:p>
        </w:tc>
        <w:tc>
          <w:tcPr>
            <w:tcW w:w="551" w:type="pct"/>
            <w:tcBorders>
              <w:top w:val="nil"/>
              <w:bottom w:val="nil"/>
            </w:tcBorders>
            <w:vAlign w:val="center"/>
          </w:tcPr>
          <w:p w14:paraId="727AD387" w14:textId="77777777" w:rsidR="008061DB" w:rsidRPr="004C78D8" w:rsidRDefault="008061DB"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6D11D009" w14:textId="77777777" w:rsidR="008061DB" w:rsidRPr="004C78D8" w:rsidRDefault="008061DB" w:rsidP="00FB7C1F">
            <w:pPr>
              <w:jc w:val="center"/>
              <w:rPr>
                <w:sz w:val="18"/>
                <w:szCs w:val="18"/>
              </w:rPr>
            </w:pPr>
            <w:r w:rsidRPr="004C78D8">
              <w:rPr>
                <w:rFonts w:cs="Times New Roman"/>
                <w:sz w:val="18"/>
                <w:szCs w:val="18"/>
              </w:rPr>
              <w:t>MA</w:t>
            </w:r>
          </w:p>
        </w:tc>
        <w:tc>
          <w:tcPr>
            <w:tcW w:w="550" w:type="pct"/>
            <w:tcBorders>
              <w:top w:val="nil"/>
              <w:bottom w:val="nil"/>
            </w:tcBorders>
            <w:vAlign w:val="center"/>
          </w:tcPr>
          <w:p w14:paraId="5F66DBFC" w14:textId="77777777" w:rsidR="008061DB" w:rsidRPr="004C78D8" w:rsidRDefault="008061DB" w:rsidP="00FB7C1F">
            <w:pPr>
              <w:jc w:val="center"/>
              <w:rPr>
                <w:sz w:val="18"/>
                <w:szCs w:val="18"/>
              </w:rPr>
            </w:pPr>
          </w:p>
        </w:tc>
        <w:tc>
          <w:tcPr>
            <w:tcW w:w="472" w:type="pct"/>
            <w:tcBorders>
              <w:top w:val="nil"/>
              <w:bottom w:val="nil"/>
            </w:tcBorders>
            <w:vAlign w:val="center"/>
          </w:tcPr>
          <w:p w14:paraId="08122FFC" w14:textId="77777777" w:rsidR="008061DB" w:rsidRPr="004C78D8" w:rsidRDefault="008061DB" w:rsidP="00FB7C1F">
            <w:pPr>
              <w:jc w:val="center"/>
            </w:pPr>
          </w:p>
        </w:tc>
        <w:tc>
          <w:tcPr>
            <w:tcW w:w="471" w:type="pct"/>
            <w:tcBorders>
              <w:top w:val="nil"/>
              <w:bottom w:val="nil"/>
            </w:tcBorders>
            <w:vAlign w:val="center"/>
          </w:tcPr>
          <w:p w14:paraId="3CC79D6E" w14:textId="77777777" w:rsidR="008061DB" w:rsidRPr="004C78D8" w:rsidRDefault="008061DB" w:rsidP="00FB7C1F">
            <w:pPr>
              <w:jc w:val="center"/>
            </w:pPr>
          </w:p>
        </w:tc>
        <w:tc>
          <w:tcPr>
            <w:tcW w:w="593" w:type="pct"/>
            <w:tcBorders>
              <w:top w:val="nil"/>
              <w:bottom w:val="nil"/>
            </w:tcBorders>
            <w:vAlign w:val="center"/>
          </w:tcPr>
          <w:p w14:paraId="50EF585B" w14:textId="77777777" w:rsidR="008061DB" w:rsidRPr="004C78D8" w:rsidRDefault="008061DB" w:rsidP="00FB7C1F">
            <w:pPr>
              <w:jc w:val="center"/>
            </w:pPr>
          </w:p>
        </w:tc>
        <w:tc>
          <w:tcPr>
            <w:tcW w:w="558" w:type="pct"/>
            <w:tcBorders>
              <w:top w:val="nil"/>
              <w:bottom w:val="nil"/>
            </w:tcBorders>
            <w:vAlign w:val="center"/>
          </w:tcPr>
          <w:p w14:paraId="091D7B45" w14:textId="77777777" w:rsidR="008061DB" w:rsidRPr="004C78D8" w:rsidRDefault="008061DB" w:rsidP="00FB7C1F">
            <w:pPr>
              <w:jc w:val="center"/>
            </w:pPr>
          </w:p>
        </w:tc>
      </w:tr>
      <w:tr w:rsidR="008061DB" w:rsidRPr="004C78D8" w14:paraId="664B1CB1" w14:textId="77777777" w:rsidTr="002828C1">
        <w:tc>
          <w:tcPr>
            <w:tcW w:w="1255" w:type="pct"/>
          </w:tcPr>
          <w:p w14:paraId="103E4C2B" w14:textId="77777777" w:rsidR="008061DB" w:rsidRPr="004C78D8" w:rsidRDefault="008061DB" w:rsidP="00FB7C1F">
            <w:pPr>
              <w:jc w:val="left"/>
              <w:rPr>
                <w:sz w:val="18"/>
                <w:szCs w:val="18"/>
              </w:rPr>
            </w:pPr>
            <w:r w:rsidRPr="004C78D8">
              <w:rPr>
                <w:sz w:val="18"/>
                <w:szCs w:val="18"/>
              </w:rPr>
              <w:t>Eldridge (2005)</w:t>
            </w:r>
          </w:p>
        </w:tc>
        <w:tc>
          <w:tcPr>
            <w:tcW w:w="551" w:type="pct"/>
            <w:tcBorders>
              <w:top w:val="nil"/>
              <w:bottom w:val="nil"/>
            </w:tcBorders>
            <w:vAlign w:val="center"/>
          </w:tcPr>
          <w:p w14:paraId="40FCD554" w14:textId="77777777" w:rsidR="008061DB" w:rsidRPr="004C78D8" w:rsidRDefault="008061DB"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3E90CAD6" w14:textId="77777777" w:rsidR="008061DB" w:rsidRPr="004C78D8" w:rsidRDefault="008061DB" w:rsidP="00FB7C1F">
            <w:pPr>
              <w:jc w:val="center"/>
              <w:rPr>
                <w:sz w:val="18"/>
                <w:szCs w:val="18"/>
              </w:rPr>
            </w:pPr>
            <w:r w:rsidRPr="004C78D8">
              <w:rPr>
                <w:rFonts w:cs="Times New Roman"/>
                <w:sz w:val="18"/>
                <w:szCs w:val="18"/>
              </w:rPr>
              <w:t>MA</w:t>
            </w:r>
          </w:p>
        </w:tc>
        <w:tc>
          <w:tcPr>
            <w:tcW w:w="550" w:type="pct"/>
            <w:tcBorders>
              <w:top w:val="nil"/>
              <w:bottom w:val="nil"/>
            </w:tcBorders>
            <w:vAlign w:val="center"/>
          </w:tcPr>
          <w:p w14:paraId="53C24CFB" w14:textId="77777777" w:rsidR="008061DB" w:rsidRPr="004C78D8" w:rsidRDefault="008061DB" w:rsidP="00FB7C1F">
            <w:pPr>
              <w:jc w:val="center"/>
              <w:rPr>
                <w:sz w:val="18"/>
                <w:szCs w:val="18"/>
              </w:rPr>
            </w:pPr>
            <w:r w:rsidRPr="004C78D8">
              <w:rPr>
                <w:rFonts w:cs="Times New Roman"/>
                <w:sz w:val="18"/>
                <w:szCs w:val="18"/>
              </w:rPr>
              <w:t>Hip</w:t>
            </w:r>
          </w:p>
        </w:tc>
        <w:tc>
          <w:tcPr>
            <w:tcW w:w="472" w:type="pct"/>
            <w:tcBorders>
              <w:top w:val="nil"/>
              <w:bottom w:val="nil"/>
            </w:tcBorders>
            <w:vAlign w:val="center"/>
          </w:tcPr>
          <w:p w14:paraId="60101FD5" w14:textId="77777777" w:rsidR="008061DB" w:rsidRPr="004C78D8" w:rsidRDefault="008061DB" w:rsidP="00FB7C1F">
            <w:pPr>
              <w:jc w:val="center"/>
              <w:rPr>
                <w:sz w:val="28"/>
                <w:szCs w:val="28"/>
              </w:rPr>
            </w:pPr>
            <w:r w:rsidRPr="004C78D8">
              <w:rPr>
                <w:rFonts w:cs="Times New Roman"/>
                <w:sz w:val="28"/>
                <w:szCs w:val="28"/>
              </w:rPr>
              <w:t>˟</w:t>
            </w:r>
          </w:p>
        </w:tc>
        <w:tc>
          <w:tcPr>
            <w:tcW w:w="471" w:type="pct"/>
            <w:tcBorders>
              <w:top w:val="nil"/>
              <w:bottom w:val="nil"/>
            </w:tcBorders>
            <w:vAlign w:val="center"/>
          </w:tcPr>
          <w:p w14:paraId="65A228BC" w14:textId="77777777" w:rsidR="008061DB" w:rsidRPr="004C78D8" w:rsidRDefault="008061DB" w:rsidP="00FB7C1F">
            <w:pPr>
              <w:jc w:val="center"/>
              <w:rPr>
                <w:sz w:val="28"/>
                <w:szCs w:val="28"/>
              </w:rPr>
            </w:pPr>
            <w:r w:rsidRPr="004C78D8">
              <w:rPr>
                <w:rFonts w:cs="Times New Roman"/>
                <w:sz w:val="28"/>
                <w:szCs w:val="28"/>
              </w:rPr>
              <w:t>˟</w:t>
            </w:r>
          </w:p>
        </w:tc>
        <w:tc>
          <w:tcPr>
            <w:tcW w:w="593" w:type="pct"/>
            <w:tcBorders>
              <w:top w:val="nil"/>
              <w:bottom w:val="nil"/>
            </w:tcBorders>
            <w:vAlign w:val="center"/>
          </w:tcPr>
          <w:p w14:paraId="1901A5E4" w14:textId="77777777" w:rsidR="008061DB" w:rsidRPr="004C78D8" w:rsidRDefault="008061DB" w:rsidP="00FB7C1F">
            <w:pPr>
              <w:jc w:val="center"/>
              <w:rPr>
                <w:sz w:val="28"/>
                <w:szCs w:val="28"/>
              </w:rPr>
            </w:pPr>
            <w:r w:rsidRPr="004C78D8">
              <w:rPr>
                <w:rFonts w:cs="Times New Roman"/>
                <w:sz w:val="28"/>
                <w:szCs w:val="28"/>
              </w:rPr>
              <w:t>˟</w:t>
            </w:r>
          </w:p>
        </w:tc>
        <w:tc>
          <w:tcPr>
            <w:tcW w:w="558" w:type="pct"/>
            <w:tcBorders>
              <w:top w:val="nil"/>
              <w:bottom w:val="nil"/>
            </w:tcBorders>
            <w:vAlign w:val="center"/>
          </w:tcPr>
          <w:p w14:paraId="6F45DD63" w14:textId="77777777" w:rsidR="008061DB" w:rsidRPr="004C78D8" w:rsidRDefault="008061DB" w:rsidP="00FB7C1F">
            <w:pPr>
              <w:jc w:val="center"/>
              <w:rPr>
                <w:sz w:val="28"/>
                <w:szCs w:val="28"/>
              </w:rPr>
            </w:pPr>
            <w:r w:rsidRPr="004C78D8">
              <w:rPr>
                <w:rFonts w:cs="Times New Roman"/>
                <w:sz w:val="28"/>
                <w:szCs w:val="28"/>
              </w:rPr>
              <w:t>˟</w:t>
            </w:r>
          </w:p>
        </w:tc>
      </w:tr>
      <w:tr w:rsidR="008061DB" w:rsidRPr="004C78D8" w14:paraId="5F31C77C" w14:textId="77777777" w:rsidTr="002828C1">
        <w:tc>
          <w:tcPr>
            <w:tcW w:w="1255" w:type="pct"/>
          </w:tcPr>
          <w:p w14:paraId="6A98AAB5" w14:textId="77777777" w:rsidR="008061DB" w:rsidRPr="004C78D8" w:rsidRDefault="008061DB" w:rsidP="00FB7C1F">
            <w:pPr>
              <w:jc w:val="left"/>
              <w:rPr>
                <w:sz w:val="18"/>
                <w:szCs w:val="18"/>
              </w:rPr>
            </w:pPr>
            <w:r w:rsidRPr="004C78D8">
              <w:rPr>
                <w:sz w:val="18"/>
                <w:szCs w:val="18"/>
              </w:rPr>
              <w:t>Farag (2015)</w:t>
            </w:r>
          </w:p>
        </w:tc>
        <w:tc>
          <w:tcPr>
            <w:tcW w:w="551" w:type="pct"/>
            <w:tcBorders>
              <w:top w:val="nil"/>
              <w:bottom w:val="nil"/>
            </w:tcBorders>
            <w:vAlign w:val="center"/>
          </w:tcPr>
          <w:p w14:paraId="7DD9DDFB" w14:textId="77777777" w:rsidR="008061DB" w:rsidRPr="004C78D8" w:rsidRDefault="008061DB"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2A25EC88" w14:textId="77777777" w:rsidR="008061DB" w:rsidRPr="004C78D8" w:rsidRDefault="008061DB" w:rsidP="00FB7C1F">
            <w:pPr>
              <w:jc w:val="center"/>
              <w:rPr>
                <w:sz w:val="18"/>
                <w:szCs w:val="18"/>
              </w:rPr>
            </w:pPr>
            <w:r w:rsidRPr="004C78D8">
              <w:rPr>
                <w:rFonts w:cs="Times New Roman"/>
                <w:sz w:val="18"/>
                <w:szCs w:val="18"/>
              </w:rPr>
              <w:t>MA</w:t>
            </w:r>
          </w:p>
        </w:tc>
        <w:tc>
          <w:tcPr>
            <w:tcW w:w="550" w:type="pct"/>
            <w:tcBorders>
              <w:top w:val="nil"/>
              <w:bottom w:val="nil"/>
            </w:tcBorders>
            <w:vAlign w:val="center"/>
          </w:tcPr>
          <w:p w14:paraId="0BEFEB1C" w14:textId="77777777" w:rsidR="008061DB" w:rsidRPr="004C78D8" w:rsidRDefault="008061DB" w:rsidP="00FB7C1F">
            <w:pPr>
              <w:jc w:val="center"/>
              <w:rPr>
                <w:sz w:val="18"/>
                <w:szCs w:val="18"/>
              </w:rPr>
            </w:pPr>
          </w:p>
        </w:tc>
        <w:tc>
          <w:tcPr>
            <w:tcW w:w="472" w:type="pct"/>
            <w:tcBorders>
              <w:top w:val="nil"/>
              <w:bottom w:val="nil"/>
            </w:tcBorders>
            <w:vAlign w:val="center"/>
          </w:tcPr>
          <w:p w14:paraId="0E1B5283" w14:textId="77777777" w:rsidR="008061DB" w:rsidRPr="004C78D8" w:rsidRDefault="008061DB" w:rsidP="00FB7C1F">
            <w:pPr>
              <w:jc w:val="center"/>
              <w:rPr>
                <w:sz w:val="28"/>
                <w:szCs w:val="28"/>
              </w:rPr>
            </w:pPr>
            <w:r w:rsidRPr="004C78D8">
              <w:rPr>
                <w:rFonts w:cs="Times New Roman"/>
                <w:sz w:val="28"/>
                <w:szCs w:val="28"/>
              </w:rPr>
              <w:t>˟</w:t>
            </w:r>
          </w:p>
        </w:tc>
        <w:tc>
          <w:tcPr>
            <w:tcW w:w="471" w:type="pct"/>
            <w:tcBorders>
              <w:top w:val="nil"/>
              <w:bottom w:val="nil"/>
            </w:tcBorders>
            <w:vAlign w:val="center"/>
          </w:tcPr>
          <w:p w14:paraId="49392E0D" w14:textId="77777777" w:rsidR="008061DB" w:rsidRPr="004C78D8" w:rsidRDefault="008061DB" w:rsidP="00FB7C1F">
            <w:pPr>
              <w:jc w:val="center"/>
              <w:rPr>
                <w:sz w:val="28"/>
                <w:szCs w:val="28"/>
              </w:rPr>
            </w:pPr>
          </w:p>
        </w:tc>
        <w:tc>
          <w:tcPr>
            <w:tcW w:w="593" w:type="pct"/>
            <w:tcBorders>
              <w:top w:val="nil"/>
              <w:bottom w:val="nil"/>
            </w:tcBorders>
            <w:vAlign w:val="center"/>
          </w:tcPr>
          <w:p w14:paraId="31A886FC" w14:textId="77777777" w:rsidR="008061DB" w:rsidRPr="004C78D8" w:rsidRDefault="008061DB" w:rsidP="00FB7C1F">
            <w:pPr>
              <w:jc w:val="center"/>
              <w:rPr>
                <w:sz w:val="28"/>
                <w:szCs w:val="28"/>
              </w:rPr>
            </w:pPr>
            <w:r w:rsidRPr="004C78D8">
              <w:rPr>
                <w:rFonts w:cs="Times New Roman"/>
                <w:sz w:val="28"/>
                <w:szCs w:val="28"/>
              </w:rPr>
              <w:t>˟</w:t>
            </w:r>
          </w:p>
        </w:tc>
        <w:tc>
          <w:tcPr>
            <w:tcW w:w="558" w:type="pct"/>
            <w:tcBorders>
              <w:top w:val="nil"/>
              <w:bottom w:val="nil"/>
            </w:tcBorders>
            <w:vAlign w:val="center"/>
          </w:tcPr>
          <w:p w14:paraId="294F385B" w14:textId="77777777" w:rsidR="008061DB" w:rsidRPr="004C78D8" w:rsidRDefault="008061DB" w:rsidP="00FB7C1F">
            <w:pPr>
              <w:jc w:val="center"/>
            </w:pPr>
          </w:p>
        </w:tc>
      </w:tr>
      <w:tr w:rsidR="008061DB" w:rsidRPr="004C78D8" w14:paraId="358DDFE2" w14:textId="77777777" w:rsidTr="002828C1">
        <w:tc>
          <w:tcPr>
            <w:tcW w:w="1255" w:type="pct"/>
          </w:tcPr>
          <w:p w14:paraId="13BEC461" w14:textId="77777777" w:rsidR="008061DB" w:rsidRPr="004C78D8" w:rsidRDefault="008061DB" w:rsidP="00FB7C1F">
            <w:pPr>
              <w:jc w:val="left"/>
              <w:rPr>
                <w:sz w:val="18"/>
                <w:szCs w:val="18"/>
              </w:rPr>
            </w:pPr>
            <w:r w:rsidRPr="004C78D8">
              <w:rPr>
                <w:sz w:val="18"/>
                <w:szCs w:val="18"/>
              </w:rPr>
              <w:t>Franklin (2019)</w:t>
            </w:r>
          </w:p>
        </w:tc>
        <w:tc>
          <w:tcPr>
            <w:tcW w:w="551" w:type="pct"/>
            <w:tcBorders>
              <w:top w:val="nil"/>
              <w:bottom w:val="nil"/>
            </w:tcBorders>
            <w:vAlign w:val="center"/>
          </w:tcPr>
          <w:p w14:paraId="18807909" w14:textId="77777777" w:rsidR="008061DB" w:rsidRPr="004C78D8" w:rsidRDefault="008061DB"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13AFFFCD" w14:textId="77777777" w:rsidR="008061DB" w:rsidRPr="004C78D8" w:rsidRDefault="008061DB" w:rsidP="00FB7C1F">
            <w:pPr>
              <w:jc w:val="center"/>
              <w:rPr>
                <w:sz w:val="18"/>
                <w:szCs w:val="18"/>
              </w:rPr>
            </w:pPr>
            <w:r w:rsidRPr="004C78D8">
              <w:rPr>
                <w:rFonts w:cs="Times New Roman"/>
                <w:sz w:val="18"/>
                <w:szCs w:val="18"/>
              </w:rPr>
              <w:t>MA</w:t>
            </w:r>
          </w:p>
        </w:tc>
        <w:tc>
          <w:tcPr>
            <w:tcW w:w="550" w:type="pct"/>
            <w:tcBorders>
              <w:top w:val="nil"/>
              <w:bottom w:val="nil"/>
            </w:tcBorders>
            <w:vAlign w:val="center"/>
          </w:tcPr>
          <w:p w14:paraId="61F5116B" w14:textId="77777777" w:rsidR="008061DB" w:rsidRPr="004C78D8" w:rsidRDefault="008061DB" w:rsidP="00FB7C1F">
            <w:pPr>
              <w:jc w:val="center"/>
              <w:rPr>
                <w:sz w:val="18"/>
                <w:szCs w:val="18"/>
              </w:rPr>
            </w:pPr>
          </w:p>
        </w:tc>
        <w:tc>
          <w:tcPr>
            <w:tcW w:w="472" w:type="pct"/>
            <w:tcBorders>
              <w:top w:val="nil"/>
              <w:bottom w:val="nil"/>
            </w:tcBorders>
            <w:vAlign w:val="center"/>
          </w:tcPr>
          <w:p w14:paraId="11AA2DAF" w14:textId="77777777" w:rsidR="008061DB" w:rsidRPr="004C78D8" w:rsidRDefault="008061DB" w:rsidP="00FB7C1F">
            <w:pPr>
              <w:jc w:val="center"/>
              <w:rPr>
                <w:sz w:val="28"/>
                <w:szCs w:val="28"/>
              </w:rPr>
            </w:pPr>
            <w:r w:rsidRPr="004C78D8">
              <w:rPr>
                <w:rFonts w:cs="Times New Roman"/>
                <w:sz w:val="28"/>
                <w:szCs w:val="28"/>
              </w:rPr>
              <w:t>˟</w:t>
            </w:r>
          </w:p>
        </w:tc>
        <w:tc>
          <w:tcPr>
            <w:tcW w:w="471" w:type="pct"/>
            <w:tcBorders>
              <w:top w:val="nil"/>
              <w:bottom w:val="nil"/>
            </w:tcBorders>
            <w:vAlign w:val="center"/>
          </w:tcPr>
          <w:p w14:paraId="48A7570F" w14:textId="77777777" w:rsidR="008061DB" w:rsidRPr="004C78D8" w:rsidRDefault="008061DB" w:rsidP="00FB7C1F">
            <w:pPr>
              <w:jc w:val="center"/>
              <w:rPr>
                <w:sz w:val="28"/>
                <w:szCs w:val="28"/>
              </w:rPr>
            </w:pPr>
          </w:p>
        </w:tc>
        <w:tc>
          <w:tcPr>
            <w:tcW w:w="593" w:type="pct"/>
            <w:tcBorders>
              <w:top w:val="nil"/>
              <w:bottom w:val="nil"/>
            </w:tcBorders>
            <w:vAlign w:val="center"/>
          </w:tcPr>
          <w:p w14:paraId="56C3B509" w14:textId="77777777" w:rsidR="008061DB" w:rsidRPr="004C78D8" w:rsidRDefault="008061DB" w:rsidP="00FB7C1F">
            <w:pPr>
              <w:jc w:val="center"/>
              <w:rPr>
                <w:sz w:val="28"/>
                <w:szCs w:val="28"/>
              </w:rPr>
            </w:pPr>
            <w:r w:rsidRPr="004C78D8">
              <w:rPr>
                <w:rFonts w:cs="Times New Roman"/>
                <w:sz w:val="28"/>
                <w:szCs w:val="28"/>
              </w:rPr>
              <w:t>˟</w:t>
            </w:r>
          </w:p>
        </w:tc>
        <w:tc>
          <w:tcPr>
            <w:tcW w:w="558" w:type="pct"/>
            <w:tcBorders>
              <w:top w:val="nil"/>
              <w:bottom w:val="nil"/>
            </w:tcBorders>
            <w:vAlign w:val="center"/>
          </w:tcPr>
          <w:p w14:paraId="2D050B43" w14:textId="77777777" w:rsidR="008061DB" w:rsidRPr="004C78D8" w:rsidRDefault="008061DB" w:rsidP="00FB7C1F">
            <w:pPr>
              <w:jc w:val="center"/>
              <w:rPr>
                <w:sz w:val="28"/>
                <w:szCs w:val="28"/>
              </w:rPr>
            </w:pPr>
            <w:r w:rsidRPr="004C78D8">
              <w:rPr>
                <w:rFonts w:cs="Times New Roman"/>
                <w:sz w:val="28"/>
                <w:szCs w:val="28"/>
              </w:rPr>
              <w:t>˟</w:t>
            </w:r>
          </w:p>
        </w:tc>
      </w:tr>
      <w:tr w:rsidR="008061DB" w:rsidRPr="004C78D8" w14:paraId="4CFC6D38" w14:textId="77777777" w:rsidTr="002828C1">
        <w:tc>
          <w:tcPr>
            <w:tcW w:w="1255" w:type="pct"/>
          </w:tcPr>
          <w:p w14:paraId="1ED2B313" w14:textId="77777777" w:rsidR="008061DB" w:rsidRPr="004C78D8" w:rsidRDefault="008061DB" w:rsidP="00FB7C1F">
            <w:pPr>
              <w:jc w:val="left"/>
              <w:rPr>
                <w:sz w:val="18"/>
                <w:szCs w:val="18"/>
              </w:rPr>
            </w:pPr>
            <w:r w:rsidRPr="004C78D8">
              <w:rPr>
                <w:sz w:val="18"/>
                <w:szCs w:val="18"/>
              </w:rPr>
              <w:t>Frick (2010)</w:t>
            </w:r>
          </w:p>
        </w:tc>
        <w:tc>
          <w:tcPr>
            <w:tcW w:w="551" w:type="pct"/>
            <w:tcBorders>
              <w:top w:val="nil"/>
              <w:bottom w:val="nil"/>
            </w:tcBorders>
            <w:vAlign w:val="center"/>
          </w:tcPr>
          <w:p w14:paraId="142CAECE" w14:textId="77777777" w:rsidR="008061DB" w:rsidRPr="004C78D8" w:rsidRDefault="008061DB" w:rsidP="00FB7C1F">
            <w:pPr>
              <w:jc w:val="center"/>
            </w:pPr>
          </w:p>
        </w:tc>
        <w:tc>
          <w:tcPr>
            <w:tcW w:w="550" w:type="pct"/>
            <w:tcBorders>
              <w:top w:val="nil"/>
              <w:bottom w:val="nil"/>
            </w:tcBorders>
            <w:vAlign w:val="center"/>
          </w:tcPr>
          <w:p w14:paraId="113AD294" w14:textId="77777777" w:rsidR="008061DB" w:rsidRPr="004C78D8" w:rsidRDefault="008061DB" w:rsidP="00FB7C1F">
            <w:pPr>
              <w:jc w:val="center"/>
              <w:rPr>
                <w:sz w:val="18"/>
                <w:szCs w:val="18"/>
              </w:rPr>
            </w:pPr>
          </w:p>
        </w:tc>
        <w:tc>
          <w:tcPr>
            <w:tcW w:w="550" w:type="pct"/>
            <w:tcBorders>
              <w:top w:val="nil"/>
              <w:bottom w:val="nil"/>
            </w:tcBorders>
            <w:vAlign w:val="center"/>
          </w:tcPr>
          <w:p w14:paraId="18AD4505" w14:textId="77777777" w:rsidR="008061DB" w:rsidRPr="004C78D8" w:rsidRDefault="008061DB" w:rsidP="00FB7C1F">
            <w:pPr>
              <w:jc w:val="center"/>
              <w:rPr>
                <w:sz w:val="18"/>
                <w:szCs w:val="18"/>
              </w:rPr>
            </w:pPr>
            <w:r w:rsidRPr="004C78D8">
              <w:rPr>
                <w:rFonts w:cs="Times New Roman"/>
                <w:sz w:val="18"/>
                <w:szCs w:val="18"/>
              </w:rPr>
              <w:t>Hip</w:t>
            </w:r>
          </w:p>
        </w:tc>
        <w:tc>
          <w:tcPr>
            <w:tcW w:w="472" w:type="pct"/>
            <w:tcBorders>
              <w:top w:val="nil"/>
              <w:bottom w:val="nil"/>
            </w:tcBorders>
            <w:vAlign w:val="center"/>
          </w:tcPr>
          <w:p w14:paraId="4A3D8EB5" w14:textId="77777777" w:rsidR="008061DB" w:rsidRPr="004C78D8" w:rsidRDefault="008061DB" w:rsidP="00FB7C1F">
            <w:pPr>
              <w:jc w:val="center"/>
              <w:rPr>
                <w:sz w:val="28"/>
                <w:szCs w:val="28"/>
              </w:rPr>
            </w:pPr>
            <w:r w:rsidRPr="004C78D8">
              <w:rPr>
                <w:rFonts w:cs="Times New Roman"/>
                <w:sz w:val="28"/>
                <w:szCs w:val="28"/>
              </w:rPr>
              <w:t>˟</w:t>
            </w:r>
          </w:p>
        </w:tc>
        <w:tc>
          <w:tcPr>
            <w:tcW w:w="471" w:type="pct"/>
            <w:tcBorders>
              <w:top w:val="nil"/>
              <w:bottom w:val="nil"/>
            </w:tcBorders>
            <w:vAlign w:val="center"/>
          </w:tcPr>
          <w:p w14:paraId="369890F1" w14:textId="77777777" w:rsidR="008061DB" w:rsidRPr="004C78D8" w:rsidRDefault="008061DB" w:rsidP="00FB7C1F">
            <w:pPr>
              <w:jc w:val="center"/>
              <w:rPr>
                <w:sz w:val="28"/>
                <w:szCs w:val="28"/>
              </w:rPr>
            </w:pPr>
          </w:p>
        </w:tc>
        <w:tc>
          <w:tcPr>
            <w:tcW w:w="593" w:type="pct"/>
            <w:tcBorders>
              <w:top w:val="nil"/>
              <w:bottom w:val="nil"/>
            </w:tcBorders>
            <w:vAlign w:val="center"/>
          </w:tcPr>
          <w:p w14:paraId="15FD4991" w14:textId="77777777" w:rsidR="008061DB" w:rsidRPr="004C78D8" w:rsidRDefault="008061DB" w:rsidP="00FB7C1F">
            <w:pPr>
              <w:jc w:val="center"/>
              <w:rPr>
                <w:sz w:val="28"/>
                <w:szCs w:val="28"/>
              </w:rPr>
            </w:pPr>
          </w:p>
        </w:tc>
        <w:tc>
          <w:tcPr>
            <w:tcW w:w="558" w:type="pct"/>
            <w:tcBorders>
              <w:top w:val="nil"/>
              <w:bottom w:val="nil"/>
            </w:tcBorders>
            <w:vAlign w:val="center"/>
          </w:tcPr>
          <w:p w14:paraId="30FBF540" w14:textId="77777777" w:rsidR="008061DB" w:rsidRPr="004C78D8" w:rsidRDefault="008061DB" w:rsidP="00FB7C1F">
            <w:pPr>
              <w:jc w:val="center"/>
              <w:rPr>
                <w:sz w:val="28"/>
                <w:szCs w:val="28"/>
              </w:rPr>
            </w:pPr>
            <w:r w:rsidRPr="004C78D8">
              <w:rPr>
                <w:rFonts w:cs="Times New Roman"/>
                <w:sz w:val="28"/>
                <w:szCs w:val="28"/>
              </w:rPr>
              <w:t>˟</w:t>
            </w:r>
          </w:p>
        </w:tc>
      </w:tr>
      <w:tr w:rsidR="008061DB" w:rsidRPr="004C78D8" w14:paraId="258DC702" w14:textId="77777777" w:rsidTr="002828C1">
        <w:tc>
          <w:tcPr>
            <w:tcW w:w="1255" w:type="pct"/>
          </w:tcPr>
          <w:p w14:paraId="0AF6D670" w14:textId="77777777" w:rsidR="008061DB" w:rsidRPr="004C78D8" w:rsidRDefault="008061DB" w:rsidP="00FB7C1F">
            <w:pPr>
              <w:jc w:val="left"/>
              <w:rPr>
                <w:sz w:val="18"/>
                <w:szCs w:val="18"/>
              </w:rPr>
            </w:pPr>
            <w:r w:rsidRPr="004C78D8">
              <w:rPr>
                <w:sz w:val="18"/>
                <w:szCs w:val="18"/>
              </w:rPr>
              <w:t>Hektoen (2009)</w:t>
            </w:r>
          </w:p>
        </w:tc>
        <w:tc>
          <w:tcPr>
            <w:tcW w:w="551" w:type="pct"/>
            <w:tcBorders>
              <w:top w:val="nil"/>
              <w:bottom w:val="nil"/>
            </w:tcBorders>
            <w:vAlign w:val="center"/>
          </w:tcPr>
          <w:p w14:paraId="3A8D390A" w14:textId="77777777" w:rsidR="008061DB" w:rsidRPr="004C78D8" w:rsidRDefault="008061DB"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56D210DE" w14:textId="77777777" w:rsidR="008061DB" w:rsidRPr="004C78D8" w:rsidRDefault="008061DB" w:rsidP="00FB7C1F">
            <w:pPr>
              <w:jc w:val="center"/>
              <w:rPr>
                <w:sz w:val="18"/>
                <w:szCs w:val="18"/>
              </w:rPr>
            </w:pPr>
            <w:r w:rsidRPr="004C78D8">
              <w:rPr>
                <w:sz w:val="18"/>
                <w:szCs w:val="18"/>
              </w:rPr>
              <w:t>Injury</w:t>
            </w:r>
          </w:p>
        </w:tc>
        <w:tc>
          <w:tcPr>
            <w:tcW w:w="550" w:type="pct"/>
            <w:tcBorders>
              <w:top w:val="nil"/>
              <w:bottom w:val="nil"/>
            </w:tcBorders>
            <w:vAlign w:val="center"/>
          </w:tcPr>
          <w:p w14:paraId="53DE057D" w14:textId="77777777" w:rsidR="008061DB" w:rsidRPr="004C78D8" w:rsidRDefault="008061DB" w:rsidP="00FB7C1F">
            <w:pPr>
              <w:jc w:val="center"/>
              <w:rPr>
                <w:sz w:val="18"/>
                <w:szCs w:val="18"/>
              </w:rPr>
            </w:pPr>
            <w:r w:rsidRPr="004C78D8">
              <w:rPr>
                <w:rFonts w:cs="Times New Roman"/>
                <w:sz w:val="18"/>
                <w:szCs w:val="18"/>
              </w:rPr>
              <w:t>Mix</w:t>
            </w:r>
          </w:p>
        </w:tc>
        <w:tc>
          <w:tcPr>
            <w:tcW w:w="472" w:type="pct"/>
            <w:tcBorders>
              <w:top w:val="nil"/>
              <w:bottom w:val="nil"/>
            </w:tcBorders>
            <w:vAlign w:val="center"/>
          </w:tcPr>
          <w:p w14:paraId="07857B62" w14:textId="77777777" w:rsidR="008061DB" w:rsidRPr="004C78D8" w:rsidRDefault="008061DB" w:rsidP="00FB7C1F">
            <w:pPr>
              <w:jc w:val="center"/>
            </w:pPr>
          </w:p>
        </w:tc>
        <w:tc>
          <w:tcPr>
            <w:tcW w:w="471" w:type="pct"/>
            <w:tcBorders>
              <w:top w:val="nil"/>
              <w:bottom w:val="nil"/>
            </w:tcBorders>
            <w:vAlign w:val="center"/>
          </w:tcPr>
          <w:p w14:paraId="26DB1274" w14:textId="77777777" w:rsidR="008061DB" w:rsidRPr="004C78D8" w:rsidRDefault="008061DB" w:rsidP="00FB7C1F">
            <w:pPr>
              <w:jc w:val="center"/>
            </w:pPr>
          </w:p>
        </w:tc>
        <w:tc>
          <w:tcPr>
            <w:tcW w:w="593" w:type="pct"/>
            <w:tcBorders>
              <w:top w:val="nil"/>
              <w:bottom w:val="nil"/>
            </w:tcBorders>
            <w:vAlign w:val="center"/>
          </w:tcPr>
          <w:p w14:paraId="3D5FBA4B" w14:textId="77777777" w:rsidR="008061DB" w:rsidRPr="004C78D8" w:rsidRDefault="008061DB" w:rsidP="00FB7C1F">
            <w:pPr>
              <w:jc w:val="center"/>
            </w:pPr>
          </w:p>
        </w:tc>
        <w:tc>
          <w:tcPr>
            <w:tcW w:w="558" w:type="pct"/>
            <w:tcBorders>
              <w:top w:val="nil"/>
              <w:bottom w:val="nil"/>
            </w:tcBorders>
            <w:vAlign w:val="center"/>
          </w:tcPr>
          <w:p w14:paraId="1C7A9408" w14:textId="77777777" w:rsidR="008061DB" w:rsidRPr="004C78D8" w:rsidRDefault="008061DB" w:rsidP="00FB7C1F">
            <w:pPr>
              <w:jc w:val="center"/>
            </w:pPr>
          </w:p>
        </w:tc>
      </w:tr>
      <w:tr w:rsidR="008061DB" w:rsidRPr="004C78D8" w14:paraId="21F259F3" w14:textId="77777777" w:rsidTr="002828C1">
        <w:tc>
          <w:tcPr>
            <w:tcW w:w="1255" w:type="pct"/>
          </w:tcPr>
          <w:p w14:paraId="4B1851DF" w14:textId="77777777" w:rsidR="008061DB" w:rsidRPr="004C78D8" w:rsidRDefault="008061DB" w:rsidP="00FB7C1F">
            <w:pPr>
              <w:jc w:val="left"/>
              <w:rPr>
                <w:sz w:val="18"/>
                <w:szCs w:val="18"/>
              </w:rPr>
            </w:pPr>
            <w:r w:rsidRPr="004C78D8">
              <w:rPr>
                <w:sz w:val="18"/>
                <w:szCs w:val="18"/>
              </w:rPr>
              <w:t>Hiligsmann (2014)</w:t>
            </w:r>
          </w:p>
        </w:tc>
        <w:tc>
          <w:tcPr>
            <w:tcW w:w="551" w:type="pct"/>
            <w:tcBorders>
              <w:top w:val="nil"/>
              <w:bottom w:val="nil"/>
            </w:tcBorders>
            <w:vAlign w:val="center"/>
          </w:tcPr>
          <w:p w14:paraId="7F09B00D" w14:textId="77777777" w:rsidR="008061DB" w:rsidRPr="004C78D8" w:rsidRDefault="008061DB" w:rsidP="00FB7C1F">
            <w:pPr>
              <w:jc w:val="center"/>
            </w:pPr>
          </w:p>
        </w:tc>
        <w:tc>
          <w:tcPr>
            <w:tcW w:w="550" w:type="pct"/>
            <w:tcBorders>
              <w:top w:val="nil"/>
              <w:bottom w:val="nil"/>
            </w:tcBorders>
            <w:vAlign w:val="center"/>
          </w:tcPr>
          <w:p w14:paraId="31B3CCF9" w14:textId="77777777" w:rsidR="008061DB" w:rsidRPr="004C78D8" w:rsidRDefault="008061DB" w:rsidP="00FB7C1F">
            <w:pPr>
              <w:jc w:val="center"/>
              <w:rPr>
                <w:sz w:val="18"/>
                <w:szCs w:val="18"/>
              </w:rPr>
            </w:pPr>
          </w:p>
        </w:tc>
        <w:tc>
          <w:tcPr>
            <w:tcW w:w="550" w:type="pct"/>
            <w:tcBorders>
              <w:top w:val="nil"/>
              <w:bottom w:val="nil"/>
            </w:tcBorders>
            <w:vAlign w:val="center"/>
          </w:tcPr>
          <w:p w14:paraId="59CB35D0" w14:textId="77777777" w:rsidR="008061DB" w:rsidRPr="004C78D8" w:rsidRDefault="008061DB" w:rsidP="00FB7C1F">
            <w:pPr>
              <w:jc w:val="center"/>
              <w:rPr>
                <w:sz w:val="18"/>
                <w:szCs w:val="18"/>
              </w:rPr>
            </w:pPr>
            <w:r w:rsidRPr="004C78D8">
              <w:rPr>
                <w:rFonts w:cs="Times New Roman"/>
                <w:sz w:val="18"/>
                <w:szCs w:val="18"/>
              </w:rPr>
              <w:t>Mix</w:t>
            </w:r>
          </w:p>
        </w:tc>
        <w:tc>
          <w:tcPr>
            <w:tcW w:w="472" w:type="pct"/>
            <w:tcBorders>
              <w:top w:val="nil"/>
              <w:bottom w:val="nil"/>
            </w:tcBorders>
            <w:vAlign w:val="center"/>
          </w:tcPr>
          <w:p w14:paraId="63DC3FBB" w14:textId="77777777" w:rsidR="008061DB" w:rsidRPr="004C78D8" w:rsidRDefault="008061DB" w:rsidP="00FB7C1F">
            <w:pPr>
              <w:jc w:val="center"/>
            </w:pPr>
          </w:p>
        </w:tc>
        <w:tc>
          <w:tcPr>
            <w:tcW w:w="471" w:type="pct"/>
            <w:tcBorders>
              <w:top w:val="nil"/>
              <w:bottom w:val="nil"/>
            </w:tcBorders>
            <w:vAlign w:val="center"/>
          </w:tcPr>
          <w:p w14:paraId="1385DA9A" w14:textId="77777777" w:rsidR="008061DB" w:rsidRPr="004C78D8" w:rsidRDefault="008061DB" w:rsidP="00FB7C1F">
            <w:pPr>
              <w:jc w:val="center"/>
            </w:pPr>
          </w:p>
        </w:tc>
        <w:tc>
          <w:tcPr>
            <w:tcW w:w="593" w:type="pct"/>
            <w:tcBorders>
              <w:top w:val="nil"/>
              <w:bottom w:val="nil"/>
            </w:tcBorders>
            <w:vAlign w:val="center"/>
          </w:tcPr>
          <w:p w14:paraId="11200E7B" w14:textId="77777777" w:rsidR="008061DB" w:rsidRPr="004C78D8" w:rsidRDefault="008061DB" w:rsidP="00FB7C1F">
            <w:pPr>
              <w:jc w:val="center"/>
            </w:pPr>
          </w:p>
        </w:tc>
        <w:tc>
          <w:tcPr>
            <w:tcW w:w="558" w:type="pct"/>
            <w:tcBorders>
              <w:top w:val="nil"/>
              <w:bottom w:val="nil"/>
            </w:tcBorders>
            <w:vAlign w:val="center"/>
          </w:tcPr>
          <w:p w14:paraId="15D83192" w14:textId="77777777" w:rsidR="008061DB" w:rsidRPr="004C78D8" w:rsidRDefault="008061DB" w:rsidP="00FB7C1F">
            <w:pPr>
              <w:jc w:val="center"/>
              <w:rPr>
                <w:sz w:val="28"/>
                <w:szCs w:val="28"/>
              </w:rPr>
            </w:pPr>
            <w:r w:rsidRPr="004C78D8">
              <w:rPr>
                <w:rFonts w:cs="Times New Roman"/>
                <w:sz w:val="28"/>
                <w:szCs w:val="28"/>
              </w:rPr>
              <w:t>˟</w:t>
            </w:r>
          </w:p>
        </w:tc>
      </w:tr>
      <w:tr w:rsidR="008061DB" w:rsidRPr="004C78D8" w14:paraId="3D52A61D" w14:textId="77777777" w:rsidTr="002828C1">
        <w:tc>
          <w:tcPr>
            <w:tcW w:w="1255" w:type="pct"/>
          </w:tcPr>
          <w:p w14:paraId="697183AF" w14:textId="77777777" w:rsidR="008061DB" w:rsidRPr="004C78D8" w:rsidRDefault="008061DB" w:rsidP="00FB7C1F">
            <w:pPr>
              <w:jc w:val="left"/>
              <w:rPr>
                <w:sz w:val="18"/>
                <w:szCs w:val="18"/>
              </w:rPr>
            </w:pPr>
            <w:r w:rsidRPr="004C78D8">
              <w:rPr>
                <w:sz w:val="18"/>
                <w:szCs w:val="18"/>
              </w:rPr>
              <w:t>Hirst (2016)</w:t>
            </w:r>
          </w:p>
        </w:tc>
        <w:tc>
          <w:tcPr>
            <w:tcW w:w="551" w:type="pct"/>
            <w:tcBorders>
              <w:top w:val="nil"/>
              <w:bottom w:val="nil"/>
            </w:tcBorders>
            <w:vAlign w:val="center"/>
          </w:tcPr>
          <w:p w14:paraId="42D5CA8F" w14:textId="77777777" w:rsidR="008061DB" w:rsidRPr="004C78D8" w:rsidRDefault="008061DB" w:rsidP="00FB7C1F">
            <w:pPr>
              <w:jc w:val="center"/>
            </w:pPr>
          </w:p>
        </w:tc>
        <w:tc>
          <w:tcPr>
            <w:tcW w:w="550" w:type="pct"/>
            <w:tcBorders>
              <w:top w:val="nil"/>
              <w:bottom w:val="nil"/>
            </w:tcBorders>
            <w:vAlign w:val="center"/>
          </w:tcPr>
          <w:p w14:paraId="1EC89EB4" w14:textId="77777777" w:rsidR="008061DB" w:rsidRPr="004C78D8" w:rsidRDefault="008061DB" w:rsidP="00FB7C1F">
            <w:pPr>
              <w:jc w:val="center"/>
              <w:rPr>
                <w:sz w:val="18"/>
                <w:szCs w:val="18"/>
              </w:rPr>
            </w:pPr>
          </w:p>
        </w:tc>
        <w:tc>
          <w:tcPr>
            <w:tcW w:w="550" w:type="pct"/>
            <w:tcBorders>
              <w:top w:val="nil"/>
              <w:bottom w:val="nil"/>
            </w:tcBorders>
            <w:vAlign w:val="center"/>
          </w:tcPr>
          <w:p w14:paraId="117D0F33" w14:textId="77777777" w:rsidR="008061DB" w:rsidRPr="004C78D8" w:rsidRDefault="008061DB" w:rsidP="00FB7C1F">
            <w:pPr>
              <w:jc w:val="center"/>
              <w:rPr>
                <w:sz w:val="18"/>
                <w:szCs w:val="18"/>
              </w:rPr>
            </w:pPr>
            <w:r w:rsidRPr="004C78D8">
              <w:rPr>
                <w:rFonts w:cs="Times New Roman"/>
                <w:sz w:val="18"/>
                <w:szCs w:val="18"/>
              </w:rPr>
              <w:t>Mix</w:t>
            </w:r>
          </w:p>
        </w:tc>
        <w:tc>
          <w:tcPr>
            <w:tcW w:w="472" w:type="pct"/>
            <w:tcBorders>
              <w:top w:val="nil"/>
              <w:bottom w:val="nil"/>
            </w:tcBorders>
            <w:vAlign w:val="center"/>
          </w:tcPr>
          <w:p w14:paraId="05BCC6A9" w14:textId="77777777" w:rsidR="008061DB" w:rsidRPr="004C78D8" w:rsidRDefault="008061DB" w:rsidP="00FB7C1F">
            <w:pPr>
              <w:jc w:val="center"/>
            </w:pPr>
          </w:p>
        </w:tc>
        <w:tc>
          <w:tcPr>
            <w:tcW w:w="471" w:type="pct"/>
            <w:tcBorders>
              <w:top w:val="nil"/>
              <w:bottom w:val="nil"/>
            </w:tcBorders>
            <w:vAlign w:val="center"/>
          </w:tcPr>
          <w:p w14:paraId="361DFE89" w14:textId="77777777" w:rsidR="008061DB" w:rsidRPr="004C78D8" w:rsidRDefault="008061DB" w:rsidP="00FB7C1F">
            <w:pPr>
              <w:jc w:val="center"/>
            </w:pPr>
          </w:p>
        </w:tc>
        <w:tc>
          <w:tcPr>
            <w:tcW w:w="593" w:type="pct"/>
            <w:tcBorders>
              <w:top w:val="nil"/>
              <w:bottom w:val="nil"/>
            </w:tcBorders>
            <w:vAlign w:val="center"/>
          </w:tcPr>
          <w:p w14:paraId="37BAB000" w14:textId="77777777" w:rsidR="008061DB" w:rsidRPr="004C78D8" w:rsidRDefault="008061DB" w:rsidP="00FB7C1F">
            <w:pPr>
              <w:jc w:val="center"/>
              <w:rPr>
                <w:sz w:val="28"/>
                <w:szCs w:val="28"/>
              </w:rPr>
            </w:pPr>
            <w:r w:rsidRPr="004C78D8">
              <w:rPr>
                <w:rFonts w:cs="Times New Roman"/>
                <w:sz w:val="28"/>
                <w:szCs w:val="28"/>
              </w:rPr>
              <w:t>˟</w:t>
            </w:r>
          </w:p>
        </w:tc>
        <w:tc>
          <w:tcPr>
            <w:tcW w:w="558" w:type="pct"/>
            <w:tcBorders>
              <w:top w:val="nil"/>
              <w:bottom w:val="nil"/>
            </w:tcBorders>
            <w:vAlign w:val="center"/>
          </w:tcPr>
          <w:p w14:paraId="0FFECEDD" w14:textId="77777777" w:rsidR="008061DB" w:rsidRPr="004C78D8" w:rsidRDefault="008061DB" w:rsidP="00FB7C1F">
            <w:pPr>
              <w:jc w:val="center"/>
            </w:pPr>
          </w:p>
        </w:tc>
      </w:tr>
      <w:tr w:rsidR="008061DB" w:rsidRPr="004C78D8" w14:paraId="45652865" w14:textId="77777777" w:rsidTr="002828C1">
        <w:tc>
          <w:tcPr>
            <w:tcW w:w="1255" w:type="pct"/>
          </w:tcPr>
          <w:p w14:paraId="26BB785C" w14:textId="77777777" w:rsidR="008061DB" w:rsidRPr="004C78D8" w:rsidRDefault="008061DB" w:rsidP="00FB7C1F">
            <w:pPr>
              <w:jc w:val="left"/>
              <w:rPr>
                <w:sz w:val="18"/>
                <w:szCs w:val="18"/>
              </w:rPr>
            </w:pPr>
            <w:r w:rsidRPr="004C78D8">
              <w:rPr>
                <w:sz w:val="18"/>
                <w:szCs w:val="18"/>
              </w:rPr>
              <w:t>Honkanen (2006)</w:t>
            </w:r>
          </w:p>
        </w:tc>
        <w:tc>
          <w:tcPr>
            <w:tcW w:w="551" w:type="pct"/>
            <w:tcBorders>
              <w:top w:val="nil"/>
              <w:bottom w:val="nil"/>
            </w:tcBorders>
            <w:vAlign w:val="center"/>
          </w:tcPr>
          <w:p w14:paraId="01052264" w14:textId="77777777" w:rsidR="008061DB" w:rsidRPr="004C78D8" w:rsidRDefault="008061DB" w:rsidP="00FB7C1F">
            <w:pPr>
              <w:jc w:val="center"/>
            </w:pPr>
          </w:p>
        </w:tc>
        <w:tc>
          <w:tcPr>
            <w:tcW w:w="550" w:type="pct"/>
            <w:tcBorders>
              <w:top w:val="nil"/>
              <w:bottom w:val="nil"/>
            </w:tcBorders>
            <w:vAlign w:val="center"/>
          </w:tcPr>
          <w:p w14:paraId="3D04F5F3" w14:textId="77777777" w:rsidR="008061DB" w:rsidRPr="004C78D8" w:rsidRDefault="008061DB" w:rsidP="00FB7C1F">
            <w:pPr>
              <w:jc w:val="center"/>
              <w:rPr>
                <w:sz w:val="18"/>
                <w:szCs w:val="18"/>
              </w:rPr>
            </w:pPr>
          </w:p>
        </w:tc>
        <w:tc>
          <w:tcPr>
            <w:tcW w:w="550" w:type="pct"/>
            <w:tcBorders>
              <w:top w:val="nil"/>
              <w:bottom w:val="nil"/>
            </w:tcBorders>
            <w:vAlign w:val="center"/>
          </w:tcPr>
          <w:p w14:paraId="025C37C9" w14:textId="77777777" w:rsidR="008061DB" w:rsidRPr="004C78D8" w:rsidRDefault="008061DB" w:rsidP="00FB7C1F">
            <w:pPr>
              <w:jc w:val="center"/>
              <w:rPr>
                <w:sz w:val="18"/>
                <w:szCs w:val="18"/>
              </w:rPr>
            </w:pPr>
            <w:r w:rsidRPr="004C78D8">
              <w:rPr>
                <w:rFonts w:cs="Times New Roman"/>
                <w:sz w:val="18"/>
                <w:szCs w:val="18"/>
              </w:rPr>
              <w:t>Hip</w:t>
            </w:r>
          </w:p>
        </w:tc>
        <w:tc>
          <w:tcPr>
            <w:tcW w:w="472" w:type="pct"/>
            <w:tcBorders>
              <w:top w:val="nil"/>
              <w:bottom w:val="nil"/>
            </w:tcBorders>
            <w:vAlign w:val="center"/>
          </w:tcPr>
          <w:p w14:paraId="26D4C40E" w14:textId="77777777" w:rsidR="008061DB" w:rsidRPr="004C78D8" w:rsidRDefault="008061DB" w:rsidP="00FB7C1F">
            <w:pPr>
              <w:jc w:val="center"/>
            </w:pPr>
          </w:p>
        </w:tc>
        <w:tc>
          <w:tcPr>
            <w:tcW w:w="471" w:type="pct"/>
            <w:tcBorders>
              <w:top w:val="nil"/>
              <w:bottom w:val="nil"/>
            </w:tcBorders>
            <w:vAlign w:val="center"/>
          </w:tcPr>
          <w:p w14:paraId="4B72231B" w14:textId="77777777" w:rsidR="008061DB" w:rsidRPr="004C78D8" w:rsidRDefault="008061DB" w:rsidP="00FB7C1F">
            <w:pPr>
              <w:jc w:val="center"/>
            </w:pPr>
          </w:p>
        </w:tc>
        <w:tc>
          <w:tcPr>
            <w:tcW w:w="593" w:type="pct"/>
            <w:tcBorders>
              <w:top w:val="nil"/>
              <w:bottom w:val="nil"/>
            </w:tcBorders>
            <w:vAlign w:val="center"/>
          </w:tcPr>
          <w:p w14:paraId="74B9A15D" w14:textId="77777777" w:rsidR="008061DB" w:rsidRPr="004C78D8" w:rsidRDefault="008061DB" w:rsidP="00FB7C1F">
            <w:pPr>
              <w:jc w:val="center"/>
              <w:rPr>
                <w:sz w:val="28"/>
                <w:szCs w:val="28"/>
              </w:rPr>
            </w:pPr>
            <w:r w:rsidRPr="004C78D8">
              <w:rPr>
                <w:rFonts w:cs="Times New Roman"/>
                <w:sz w:val="28"/>
                <w:szCs w:val="28"/>
              </w:rPr>
              <w:t>˟</w:t>
            </w:r>
          </w:p>
        </w:tc>
        <w:tc>
          <w:tcPr>
            <w:tcW w:w="558" w:type="pct"/>
            <w:tcBorders>
              <w:top w:val="nil"/>
              <w:bottom w:val="nil"/>
            </w:tcBorders>
            <w:vAlign w:val="center"/>
          </w:tcPr>
          <w:p w14:paraId="107075D5" w14:textId="77777777" w:rsidR="008061DB" w:rsidRPr="004C78D8" w:rsidRDefault="008061DB" w:rsidP="00FB7C1F">
            <w:pPr>
              <w:jc w:val="center"/>
              <w:rPr>
                <w:sz w:val="28"/>
                <w:szCs w:val="28"/>
              </w:rPr>
            </w:pPr>
            <w:r w:rsidRPr="004C78D8">
              <w:rPr>
                <w:rFonts w:cs="Times New Roman"/>
                <w:sz w:val="28"/>
                <w:szCs w:val="28"/>
              </w:rPr>
              <w:t>˟</w:t>
            </w:r>
          </w:p>
        </w:tc>
      </w:tr>
      <w:tr w:rsidR="008061DB" w:rsidRPr="004C78D8" w14:paraId="18F8B88D" w14:textId="77777777" w:rsidTr="002828C1">
        <w:tc>
          <w:tcPr>
            <w:tcW w:w="1255" w:type="pct"/>
          </w:tcPr>
          <w:p w14:paraId="54CB977D" w14:textId="77777777" w:rsidR="008061DB" w:rsidRPr="004C78D8" w:rsidRDefault="008061DB" w:rsidP="00FB7C1F">
            <w:pPr>
              <w:jc w:val="left"/>
              <w:rPr>
                <w:sz w:val="18"/>
                <w:szCs w:val="18"/>
              </w:rPr>
            </w:pPr>
            <w:r w:rsidRPr="004C78D8">
              <w:rPr>
                <w:sz w:val="18"/>
                <w:szCs w:val="18"/>
              </w:rPr>
              <w:t>Howland (2015)</w:t>
            </w:r>
          </w:p>
        </w:tc>
        <w:tc>
          <w:tcPr>
            <w:tcW w:w="551" w:type="pct"/>
            <w:tcBorders>
              <w:top w:val="nil"/>
              <w:bottom w:val="nil"/>
            </w:tcBorders>
            <w:vAlign w:val="center"/>
          </w:tcPr>
          <w:p w14:paraId="217F665C" w14:textId="77777777" w:rsidR="008061DB" w:rsidRPr="004C78D8" w:rsidRDefault="008061DB" w:rsidP="00FB7C1F">
            <w:pPr>
              <w:jc w:val="center"/>
            </w:pPr>
          </w:p>
        </w:tc>
        <w:tc>
          <w:tcPr>
            <w:tcW w:w="550" w:type="pct"/>
            <w:tcBorders>
              <w:top w:val="nil"/>
              <w:bottom w:val="nil"/>
            </w:tcBorders>
            <w:vAlign w:val="center"/>
          </w:tcPr>
          <w:p w14:paraId="2F86A9FF" w14:textId="77777777" w:rsidR="008061DB" w:rsidRPr="004C78D8" w:rsidRDefault="008061DB" w:rsidP="00FB7C1F">
            <w:pPr>
              <w:jc w:val="center"/>
              <w:rPr>
                <w:sz w:val="18"/>
                <w:szCs w:val="18"/>
              </w:rPr>
            </w:pPr>
            <w:r w:rsidRPr="004C78D8">
              <w:rPr>
                <w:rFonts w:cs="Times New Roman"/>
                <w:sz w:val="18"/>
                <w:szCs w:val="18"/>
              </w:rPr>
              <w:t>MA</w:t>
            </w:r>
          </w:p>
        </w:tc>
        <w:tc>
          <w:tcPr>
            <w:tcW w:w="550" w:type="pct"/>
            <w:tcBorders>
              <w:top w:val="nil"/>
              <w:bottom w:val="nil"/>
            </w:tcBorders>
            <w:vAlign w:val="center"/>
          </w:tcPr>
          <w:p w14:paraId="5C34558E" w14:textId="77777777" w:rsidR="008061DB" w:rsidRPr="004C78D8" w:rsidRDefault="008061DB" w:rsidP="00FB7C1F">
            <w:pPr>
              <w:jc w:val="center"/>
              <w:rPr>
                <w:sz w:val="18"/>
                <w:szCs w:val="18"/>
              </w:rPr>
            </w:pPr>
          </w:p>
        </w:tc>
        <w:tc>
          <w:tcPr>
            <w:tcW w:w="472" w:type="pct"/>
            <w:tcBorders>
              <w:top w:val="nil"/>
              <w:bottom w:val="nil"/>
            </w:tcBorders>
            <w:vAlign w:val="center"/>
          </w:tcPr>
          <w:p w14:paraId="5EC31215" w14:textId="77777777" w:rsidR="008061DB" w:rsidRPr="004C78D8" w:rsidRDefault="008061DB" w:rsidP="00FB7C1F">
            <w:pPr>
              <w:jc w:val="center"/>
            </w:pPr>
          </w:p>
        </w:tc>
        <w:tc>
          <w:tcPr>
            <w:tcW w:w="471" w:type="pct"/>
            <w:tcBorders>
              <w:top w:val="nil"/>
              <w:bottom w:val="nil"/>
            </w:tcBorders>
            <w:vAlign w:val="center"/>
          </w:tcPr>
          <w:p w14:paraId="7C99A63D" w14:textId="77777777" w:rsidR="008061DB" w:rsidRPr="004C78D8" w:rsidRDefault="008061DB" w:rsidP="00FB7C1F">
            <w:pPr>
              <w:jc w:val="center"/>
            </w:pPr>
          </w:p>
        </w:tc>
        <w:tc>
          <w:tcPr>
            <w:tcW w:w="593" w:type="pct"/>
            <w:tcBorders>
              <w:top w:val="nil"/>
              <w:bottom w:val="nil"/>
            </w:tcBorders>
            <w:vAlign w:val="center"/>
          </w:tcPr>
          <w:p w14:paraId="2D8B609B" w14:textId="77777777" w:rsidR="008061DB" w:rsidRPr="004C78D8" w:rsidRDefault="008061DB" w:rsidP="00FB7C1F">
            <w:pPr>
              <w:jc w:val="center"/>
            </w:pPr>
          </w:p>
        </w:tc>
        <w:tc>
          <w:tcPr>
            <w:tcW w:w="558" w:type="pct"/>
            <w:tcBorders>
              <w:top w:val="nil"/>
              <w:bottom w:val="nil"/>
            </w:tcBorders>
            <w:vAlign w:val="center"/>
          </w:tcPr>
          <w:p w14:paraId="5705EA42" w14:textId="77777777" w:rsidR="008061DB" w:rsidRPr="004C78D8" w:rsidRDefault="008061DB" w:rsidP="00FB7C1F">
            <w:pPr>
              <w:jc w:val="center"/>
            </w:pPr>
          </w:p>
        </w:tc>
      </w:tr>
      <w:tr w:rsidR="008061DB" w:rsidRPr="004C78D8" w14:paraId="69263EE0" w14:textId="77777777" w:rsidTr="002828C1">
        <w:tc>
          <w:tcPr>
            <w:tcW w:w="1255" w:type="pct"/>
          </w:tcPr>
          <w:p w14:paraId="18CCB325" w14:textId="77777777" w:rsidR="008061DB" w:rsidRPr="004C78D8" w:rsidRDefault="008061DB" w:rsidP="00FB7C1F">
            <w:pPr>
              <w:jc w:val="left"/>
              <w:rPr>
                <w:sz w:val="18"/>
                <w:szCs w:val="18"/>
              </w:rPr>
            </w:pPr>
            <w:r w:rsidRPr="004C78D8">
              <w:rPr>
                <w:sz w:val="18"/>
                <w:szCs w:val="18"/>
              </w:rPr>
              <w:t>Ippoliti (2018)</w:t>
            </w:r>
          </w:p>
        </w:tc>
        <w:tc>
          <w:tcPr>
            <w:tcW w:w="551" w:type="pct"/>
            <w:tcBorders>
              <w:top w:val="nil"/>
              <w:bottom w:val="nil"/>
            </w:tcBorders>
            <w:vAlign w:val="center"/>
          </w:tcPr>
          <w:p w14:paraId="00015595" w14:textId="77777777" w:rsidR="008061DB" w:rsidRPr="004C78D8" w:rsidRDefault="008061DB" w:rsidP="00FB7C1F">
            <w:pPr>
              <w:jc w:val="center"/>
            </w:pPr>
          </w:p>
        </w:tc>
        <w:tc>
          <w:tcPr>
            <w:tcW w:w="550" w:type="pct"/>
            <w:tcBorders>
              <w:top w:val="nil"/>
              <w:bottom w:val="nil"/>
            </w:tcBorders>
            <w:vAlign w:val="center"/>
          </w:tcPr>
          <w:p w14:paraId="4E3CDF03" w14:textId="77777777" w:rsidR="008061DB" w:rsidRPr="004C78D8" w:rsidRDefault="008061DB" w:rsidP="00FB7C1F">
            <w:pPr>
              <w:jc w:val="center"/>
              <w:rPr>
                <w:sz w:val="18"/>
                <w:szCs w:val="18"/>
              </w:rPr>
            </w:pPr>
          </w:p>
        </w:tc>
        <w:tc>
          <w:tcPr>
            <w:tcW w:w="550" w:type="pct"/>
            <w:tcBorders>
              <w:top w:val="nil"/>
              <w:bottom w:val="nil"/>
            </w:tcBorders>
            <w:vAlign w:val="center"/>
          </w:tcPr>
          <w:p w14:paraId="1044648A" w14:textId="77777777" w:rsidR="008061DB" w:rsidRPr="004C78D8" w:rsidRDefault="008061DB" w:rsidP="00FB7C1F">
            <w:pPr>
              <w:jc w:val="center"/>
              <w:rPr>
                <w:sz w:val="18"/>
                <w:szCs w:val="18"/>
              </w:rPr>
            </w:pPr>
            <w:r w:rsidRPr="004C78D8">
              <w:rPr>
                <w:rFonts w:cs="Times New Roman"/>
                <w:sz w:val="18"/>
                <w:szCs w:val="18"/>
              </w:rPr>
              <w:t>Hip</w:t>
            </w:r>
          </w:p>
        </w:tc>
        <w:tc>
          <w:tcPr>
            <w:tcW w:w="472" w:type="pct"/>
            <w:tcBorders>
              <w:top w:val="nil"/>
              <w:bottom w:val="nil"/>
            </w:tcBorders>
            <w:vAlign w:val="center"/>
          </w:tcPr>
          <w:p w14:paraId="2AD1B96E" w14:textId="77777777" w:rsidR="008061DB" w:rsidRPr="004C78D8" w:rsidRDefault="008061DB" w:rsidP="00FB7C1F">
            <w:pPr>
              <w:jc w:val="center"/>
            </w:pPr>
          </w:p>
        </w:tc>
        <w:tc>
          <w:tcPr>
            <w:tcW w:w="471" w:type="pct"/>
            <w:tcBorders>
              <w:top w:val="nil"/>
              <w:bottom w:val="nil"/>
            </w:tcBorders>
            <w:vAlign w:val="center"/>
          </w:tcPr>
          <w:p w14:paraId="4AC38CBF" w14:textId="77777777" w:rsidR="008061DB" w:rsidRPr="004C78D8" w:rsidRDefault="008061DB" w:rsidP="00FB7C1F">
            <w:pPr>
              <w:jc w:val="center"/>
            </w:pPr>
          </w:p>
        </w:tc>
        <w:tc>
          <w:tcPr>
            <w:tcW w:w="593" w:type="pct"/>
            <w:tcBorders>
              <w:top w:val="nil"/>
              <w:bottom w:val="nil"/>
            </w:tcBorders>
            <w:vAlign w:val="center"/>
          </w:tcPr>
          <w:p w14:paraId="4AFB68C8" w14:textId="77777777" w:rsidR="008061DB" w:rsidRPr="004C78D8" w:rsidRDefault="008061DB" w:rsidP="00FB7C1F">
            <w:pPr>
              <w:jc w:val="center"/>
            </w:pPr>
          </w:p>
        </w:tc>
        <w:tc>
          <w:tcPr>
            <w:tcW w:w="558" w:type="pct"/>
            <w:tcBorders>
              <w:top w:val="nil"/>
              <w:bottom w:val="nil"/>
            </w:tcBorders>
            <w:vAlign w:val="center"/>
          </w:tcPr>
          <w:p w14:paraId="29EFA1FD" w14:textId="77777777" w:rsidR="008061DB" w:rsidRPr="004C78D8" w:rsidRDefault="008061DB" w:rsidP="00FB7C1F">
            <w:pPr>
              <w:jc w:val="center"/>
            </w:pPr>
          </w:p>
        </w:tc>
      </w:tr>
      <w:tr w:rsidR="008061DB" w:rsidRPr="004C78D8" w14:paraId="0AB3A757" w14:textId="77777777" w:rsidTr="002828C1">
        <w:tc>
          <w:tcPr>
            <w:tcW w:w="1255" w:type="pct"/>
          </w:tcPr>
          <w:p w14:paraId="7B46FAA7" w14:textId="77777777" w:rsidR="008061DB" w:rsidRPr="004C78D8" w:rsidRDefault="008061DB" w:rsidP="00FB7C1F">
            <w:pPr>
              <w:jc w:val="left"/>
              <w:rPr>
                <w:sz w:val="18"/>
                <w:szCs w:val="18"/>
              </w:rPr>
            </w:pPr>
            <w:r w:rsidRPr="004C78D8">
              <w:rPr>
                <w:sz w:val="18"/>
                <w:szCs w:val="18"/>
              </w:rPr>
              <w:t>Johansson (2008)</w:t>
            </w:r>
          </w:p>
        </w:tc>
        <w:tc>
          <w:tcPr>
            <w:tcW w:w="551" w:type="pct"/>
            <w:tcBorders>
              <w:top w:val="nil"/>
              <w:bottom w:val="nil"/>
            </w:tcBorders>
            <w:vAlign w:val="center"/>
          </w:tcPr>
          <w:p w14:paraId="6D0ACC5B" w14:textId="77777777" w:rsidR="008061DB" w:rsidRPr="004C78D8" w:rsidRDefault="008061DB" w:rsidP="00FB7C1F">
            <w:pPr>
              <w:jc w:val="center"/>
            </w:pPr>
          </w:p>
        </w:tc>
        <w:tc>
          <w:tcPr>
            <w:tcW w:w="550" w:type="pct"/>
            <w:tcBorders>
              <w:top w:val="nil"/>
              <w:bottom w:val="nil"/>
            </w:tcBorders>
            <w:vAlign w:val="center"/>
          </w:tcPr>
          <w:p w14:paraId="524EAA48" w14:textId="77777777" w:rsidR="008061DB" w:rsidRPr="004C78D8" w:rsidRDefault="008061DB" w:rsidP="00FB7C1F">
            <w:pPr>
              <w:jc w:val="center"/>
              <w:rPr>
                <w:sz w:val="18"/>
                <w:szCs w:val="18"/>
              </w:rPr>
            </w:pPr>
          </w:p>
        </w:tc>
        <w:tc>
          <w:tcPr>
            <w:tcW w:w="550" w:type="pct"/>
            <w:tcBorders>
              <w:top w:val="nil"/>
              <w:bottom w:val="nil"/>
            </w:tcBorders>
            <w:vAlign w:val="center"/>
          </w:tcPr>
          <w:p w14:paraId="2EE7634D" w14:textId="77777777" w:rsidR="008061DB" w:rsidRPr="004C78D8" w:rsidRDefault="008061DB" w:rsidP="00FB7C1F">
            <w:pPr>
              <w:jc w:val="center"/>
              <w:rPr>
                <w:sz w:val="18"/>
                <w:szCs w:val="18"/>
              </w:rPr>
            </w:pPr>
            <w:r w:rsidRPr="004C78D8">
              <w:rPr>
                <w:rFonts w:cs="Times New Roman"/>
                <w:sz w:val="18"/>
                <w:szCs w:val="18"/>
              </w:rPr>
              <w:t>Hip</w:t>
            </w:r>
          </w:p>
        </w:tc>
        <w:tc>
          <w:tcPr>
            <w:tcW w:w="472" w:type="pct"/>
            <w:tcBorders>
              <w:top w:val="nil"/>
              <w:bottom w:val="nil"/>
            </w:tcBorders>
            <w:vAlign w:val="center"/>
          </w:tcPr>
          <w:p w14:paraId="7DD93DF6" w14:textId="77777777" w:rsidR="008061DB" w:rsidRPr="004C78D8" w:rsidRDefault="008061DB" w:rsidP="00FB7C1F">
            <w:pPr>
              <w:jc w:val="center"/>
            </w:pPr>
          </w:p>
        </w:tc>
        <w:tc>
          <w:tcPr>
            <w:tcW w:w="471" w:type="pct"/>
            <w:tcBorders>
              <w:top w:val="nil"/>
              <w:bottom w:val="nil"/>
            </w:tcBorders>
            <w:vAlign w:val="center"/>
          </w:tcPr>
          <w:p w14:paraId="122B0107" w14:textId="77777777" w:rsidR="008061DB" w:rsidRPr="004C78D8" w:rsidRDefault="008061DB" w:rsidP="00FB7C1F">
            <w:pPr>
              <w:jc w:val="center"/>
            </w:pPr>
          </w:p>
        </w:tc>
        <w:tc>
          <w:tcPr>
            <w:tcW w:w="593" w:type="pct"/>
            <w:tcBorders>
              <w:top w:val="nil"/>
              <w:bottom w:val="nil"/>
            </w:tcBorders>
            <w:vAlign w:val="center"/>
          </w:tcPr>
          <w:p w14:paraId="16D32A5C" w14:textId="77777777" w:rsidR="008061DB" w:rsidRPr="004C78D8" w:rsidRDefault="008061DB" w:rsidP="00FB7C1F">
            <w:pPr>
              <w:jc w:val="center"/>
            </w:pPr>
          </w:p>
        </w:tc>
        <w:tc>
          <w:tcPr>
            <w:tcW w:w="558" w:type="pct"/>
            <w:tcBorders>
              <w:top w:val="nil"/>
              <w:bottom w:val="nil"/>
            </w:tcBorders>
            <w:vAlign w:val="center"/>
          </w:tcPr>
          <w:p w14:paraId="3E0CC378" w14:textId="77777777" w:rsidR="008061DB" w:rsidRPr="004C78D8" w:rsidRDefault="008061DB" w:rsidP="00FB7C1F">
            <w:pPr>
              <w:jc w:val="center"/>
              <w:rPr>
                <w:sz w:val="28"/>
                <w:szCs w:val="28"/>
              </w:rPr>
            </w:pPr>
            <w:r w:rsidRPr="004C78D8">
              <w:rPr>
                <w:rFonts w:cs="Times New Roman"/>
                <w:sz w:val="28"/>
                <w:szCs w:val="28"/>
              </w:rPr>
              <w:t>˟</w:t>
            </w:r>
          </w:p>
        </w:tc>
      </w:tr>
      <w:tr w:rsidR="008061DB" w:rsidRPr="004C78D8" w14:paraId="02DE1E8D" w14:textId="77777777" w:rsidTr="002828C1">
        <w:tc>
          <w:tcPr>
            <w:tcW w:w="1255" w:type="pct"/>
          </w:tcPr>
          <w:p w14:paraId="292778CB" w14:textId="77777777" w:rsidR="008061DB" w:rsidRPr="004C78D8" w:rsidRDefault="008061DB" w:rsidP="00FB7C1F">
            <w:pPr>
              <w:jc w:val="left"/>
              <w:rPr>
                <w:sz w:val="18"/>
                <w:szCs w:val="18"/>
              </w:rPr>
            </w:pPr>
            <w:r w:rsidRPr="004C78D8">
              <w:rPr>
                <w:sz w:val="18"/>
                <w:szCs w:val="18"/>
              </w:rPr>
              <w:t>Lee (2013)</w:t>
            </w:r>
          </w:p>
        </w:tc>
        <w:tc>
          <w:tcPr>
            <w:tcW w:w="551" w:type="pct"/>
            <w:tcBorders>
              <w:top w:val="nil"/>
              <w:bottom w:val="nil"/>
            </w:tcBorders>
            <w:vAlign w:val="center"/>
          </w:tcPr>
          <w:p w14:paraId="6A51C275" w14:textId="77777777" w:rsidR="008061DB" w:rsidRPr="004C78D8" w:rsidRDefault="008061DB"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5D9E03FA" w14:textId="77777777" w:rsidR="008061DB" w:rsidRPr="004C78D8" w:rsidRDefault="008061DB" w:rsidP="00FB7C1F">
            <w:pPr>
              <w:jc w:val="center"/>
              <w:rPr>
                <w:sz w:val="18"/>
                <w:szCs w:val="18"/>
              </w:rPr>
            </w:pPr>
            <w:r w:rsidRPr="004C78D8">
              <w:rPr>
                <w:rFonts w:cs="Times New Roman"/>
                <w:sz w:val="18"/>
                <w:szCs w:val="18"/>
              </w:rPr>
              <w:t>MA</w:t>
            </w:r>
          </w:p>
        </w:tc>
        <w:tc>
          <w:tcPr>
            <w:tcW w:w="550" w:type="pct"/>
            <w:tcBorders>
              <w:top w:val="nil"/>
              <w:bottom w:val="nil"/>
            </w:tcBorders>
            <w:vAlign w:val="center"/>
          </w:tcPr>
          <w:p w14:paraId="120B893B" w14:textId="77777777" w:rsidR="008061DB" w:rsidRPr="004C78D8" w:rsidRDefault="008061DB" w:rsidP="00FB7C1F">
            <w:pPr>
              <w:jc w:val="center"/>
              <w:rPr>
                <w:sz w:val="18"/>
                <w:szCs w:val="18"/>
              </w:rPr>
            </w:pPr>
          </w:p>
        </w:tc>
        <w:tc>
          <w:tcPr>
            <w:tcW w:w="472" w:type="pct"/>
            <w:tcBorders>
              <w:top w:val="nil"/>
              <w:bottom w:val="nil"/>
            </w:tcBorders>
            <w:vAlign w:val="center"/>
          </w:tcPr>
          <w:p w14:paraId="5F9C5620" w14:textId="77777777" w:rsidR="008061DB" w:rsidRPr="004C78D8" w:rsidRDefault="008061DB" w:rsidP="00FB7C1F">
            <w:pPr>
              <w:jc w:val="center"/>
            </w:pPr>
          </w:p>
        </w:tc>
        <w:tc>
          <w:tcPr>
            <w:tcW w:w="471" w:type="pct"/>
            <w:tcBorders>
              <w:top w:val="nil"/>
              <w:bottom w:val="nil"/>
            </w:tcBorders>
            <w:vAlign w:val="center"/>
          </w:tcPr>
          <w:p w14:paraId="0BA10496" w14:textId="77777777" w:rsidR="008061DB" w:rsidRPr="004C78D8" w:rsidRDefault="008061DB" w:rsidP="00FB7C1F">
            <w:pPr>
              <w:jc w:val="center"/>
              <w:rPr>
                <w:sz w:val="28"/>
                <w:szCs w:val="28"/>
              </w:rPr>
            </w:pPr>
            <w:r w:rsidRPr="004C78D8">
              <w:rPr>
                <w:rFonts w:cs="Times New Roman"/>
                <w:sz w:val="28"/>
                <w:szCs w:val="28"/>
              </w:rPr>
              <w:t>˟</w:t>
            </w:r>
          </w:p>
        </w:tc>
        <w:tc>
          <w:tcPr>
            <w:tcW w:w="593" w:type="pct"/>
            <w:tcBorders>
              <w:top w:val="nil"/>
              <w:bottom w:val="nil"/>
            </w:tcBorders>
            <w:vAlign w:val="center"/>
          </w:tcPr>
          <w:p w14:paraId="3B39A4BE" w14:textId="77777777" w:rsidR="008061DB" w:rsidRPr="004C78D8" w:rsidRDefault="008061DB" w:rsidP="00FB7C1F">
            <w:pPr>
              <w:jc w:val="center"/>
            </w:pPr>
          </w:p>
        </w:tc>
        <w:tc>
          <w:tcPr>
            <w:tcW w:w="558" w:type="pct"/>
            <w:tcBorders>
              <w:top w:val="nil"/>
              <w:bottom w:val="nil"/>
            </w:tcBorders>
            <w:vAlign w:val="center"/>
          </w:tcPr>
          <w:p w14:paraId="2D71D3FB" w14:textId="77777777" w:rsidR="008061DB" w:rsidRPr="004C78D8" w:rsidRDefault="008061DB" w:rsidP="00FB7C1F">
            <w:pPr>
              <w:jc w:val="center"/>
            </w:pPr>
          </w:p>
        </w:tc>
      </w:tr>
      <w:tr w:rsidR="008061DB" w:rsidRPr="004C78D8" w14:paraId="300D945A" w14:textId="77777777" w:rsidTr="002828C1">
        <w:tc>
          <w:tcPr>
            <w:tcW w:w="1255" w:type="pct"/>
          </w:tcPr>
          <w:p w14:paraId="1E46BCF3" w14:textId="77777777" w:rsidR="008061DB" w:rsidRPr="004C78D8" w:rsidRDefault="008061DB" w:rsidP="00FB7C1F">
            <w:pPr>
              <w:jc w:val="left"/>
              <w:rPr>
                <w:sz w:val="18"/>
                <w:szCs w:val="18"/>
              </w:rPr>
            </w:pPr>
            <w:r w:rsidRPr="004C78D8">
              <w:rPr>
                <w:sz w:val="18"/>
                <w:szCs w:val="18"/>
              </w:rPr>
              <w:t>Ling (2008)</w:t>
            </w:r>
          </w:p>
        </w:tc>
        <w:tc>
          <w:tcPr>
            <w:tcW w:w="551" w:type="pct"/>
            <w:tcBorders>
              <w:top w:val="nil"/>
              <w:bottom w:val="nil"/>
            </w:tcBorders>
            <w:vAlign w:val="center"/>
          </w:tcPr>
          <w:p w14:paraId="1ACB72D3" w14:textId="77777777" w:rsidR="008061DB" w:rsidRPr="004C78D8" w:rsidRDefault="008061DB"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0A00CA25" w14:textId="77777777" w:rsidR="008061DB" w:rsidRPr="004C78D8" w:rsidRDefault="008061DB" w:rsidP="00FB7C1F">
            <w:pPr>
              <w:jc w:val="center"/>
              <w:rPr>
                <w:sz w:val="18"/>
                <w:szCs w:val="18"/>
              </w:rPr>
            </w:pPr>
            <w:r w:rsidRPr="004C78D8">
              <w:rPr>
                <w:rFonts w:cs="Times New Roman"/>
                <w:sz w:val="18"/>
                <w:szCs w:val="18"/>
              </w:rPr>
              <w:t>MA</w:t>
            </w:r>
          </w:p>
        </w:tc>
        <w:tc>
          <w:tcPr>
            <w:tcW w:w="550" w:type="pct"/>
            <w:tcBorders>
              <w:top w:val="nil"/>
              <w:bottom w:val="nil"/>
            </w:tcBorders>
            <w:vAlign w:val="center"/>
          </w:tcPr>
          <w:p w14:paraId="5B57977A" w14:textId="77777777" w:rsidR="008061DB" w:rsidRPr="004C78D8" w:rsidRDefault="008061DB" w:rsidP="00FB7C1F">
            <w:pPr>
              <w:jc w:val="center"/>
              <w:rPr>
                <w:sz w:val="18"/>
                <w:szCs w:val="18"/>
              </w:rPr>
            </w:pPr>
          </w:p>
        </w:tc>
        <w:tc>
          <w:tcPr>
            <w:tcW w:w="472" w:type="pct"/>
            <w:tcBorders>
              <w:top w:val="nil"/>
              <w:bottom w:val="nil"/>
            </w:tcBorders>
            <w:vAlign w:val="center"/>
          </w:tcPr>
          <w:p w14:paraId="4A5AF956" w14:textId="77777777" w:rsidR="008061DB" w:rsidRPr="004C78D8" w:rsidRDefault="008061DB" w:rsidP="00FB7C1F">
            <w:pPr>
              <w:jc w:val="center"/>
            </w:pPr>
          </w:p>
        </w:tc>
        <w:tc>
          <w:tcPr>
            <w:tcW w:w="471" w:type="pct"/>
            <w:tcBorders>
              <w:top w:val="nil"/>
              <w:bottom w:val="nil"/>
            </w:tcBorders>
            <w:vAlign w:val="center"/>
          </w:tcPr>
          <w:p w14:paraId="1F1C462A" w14:textId="77777777" w:rsidR="008061DB" w:rsidRPr="004C78D8" w:rsidRDefault="008061DB" w:rsidP="00FB7C1F">
            <w:pPr>
              <w:jc w:val="center"/>
            </w:pPr>
          </w:p>
        </w:tc>
        <w:tc>
          <w:tcPr>
            <w:tcW w:w="593" w:type="pct"/>
            <w:tcBorders>
              <w:top w:val="nil"/>
              <w:bottom w:val="nil"/>
            </w:tcBorders>
            <w:vAlign w:val="center"/>
          </w:tcPr>
          <w:p w14:paraId="1ABC7EA5" w14:textId="77777777" w:rsidR="008061DB" w:rsidRPr="004C78D8" w:rsidRDefault="008061DB" w:rsidP="00FB7C1F">
            <w:pPr>
              <w:jc w:val="center"/>
              <w:rPr>
                <w:sz w:val="28"/>
                <w:szCs w:val="28"/>
              </w:rPr>
            </w:pPr>
            <w:r w:rsidRPr="004C78D8">
              <w:rPr>
                <w:rFonts w:cs="Times New Roman"/>
                <w:sz w:val="28"/>
                <w:szCs w:val="28"/>
              </w:rPr>
              <w:t>˟</w:t>
            </w:r>
          </w:p>
        </w:tc>
        <w:tc>
          <w:tcPr>
            <w:tcW w:w="558" w:type="pct"/>
            <w:tcBorders>
              <w:top w:val="nil"/>
              <w:bottom w:val="nil"/>
            </w:tcBorders>
            <w:vAlign w:val="center"/>
          </w:tcPr>
          <w:p w14:paraId="4C533B0F" w14:textId="77777777" w:rsidR="008061DB" w:rsidRPr="004C78D8" w:rsidRDefault="008061DB" w:rsidP="00FB7C1F">
            <w:pPr>
              <w:jc w:val="center"/>
            </w:pPr>
          </w:p>
        </w:tc>
      </w:tr>
      <w:tr w:rsidR="008061DB" w:rsidRPr="004C78D8" w14:paraId="478F6959" w14:textId="77777777" w:rsidTr="002828C1">
        <w:tc>
          <w:tcPr>
            <w:tcW w:w="1255" w:type="pct"/>
          </w:tcPr>
          <w:p w14:paraId="14011BBC" w14:textId="77777777" w:rsidR="008061DB" w:rsidRPr="004C78D8" w:rsidRDefault="008061DB" w:rsidP="00FB7C1F">
            <w:pPr>
              <w:jc w:val="left"/>
              <w:rPr>
                <w:sz w:val="18"/>
                <w:szCs w:val="18"/>
              </w:rPr>
            </w:pPr>
            <w:r w:rsidRPr="004C78D8">
              <w:rPr>
                <w:sz w:val="18"/>
                <w:szCs w:val="18"/>
              </w:rPr>
              <w:t>McLean (2015)</w:t>
            </w:r>
          </w:p>
        </w:tc>
        <w:tc>
          <w:tcPr>
            <w:tcW w:w="551" w:type="pct"/>
            <w:tcBorders>
              <w:top w:val="nil"/>
              <w:bottom w:val="nil"/>
            </w:tcBorders>
            <w:vAlign w:val="center"/>
          </w:tcPr>
          <w:p w14:paraId="0991C960" w14:textId="77777777" w:rsidR="008061DB" w:rsidRPr="004C78D8" w:rsidRDefault="008061DB"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38E725B1" w14:textId="77777777" w:rsidR="008061DB" w:rsidRPr="004C78D8" w:rsidRDefault="008061DB" w:rsidP="00FB7C1F">
            <w:pPr>
              <w:jc w:val="center"/>
              <w:rPr>
                <w:sz w:val="18"/>
                <w:szCs w:val="18"/>
              </w:rPr>
            </w:pPr>
            <w:r w:rsidRPr="004C78D8">
              <w:rPr>
                <w:sz w:val="18"/>
                <w:szCs w:val="18"/>
              </w:rPr>
              <w:t>Injury</w:t>
            </w:r>
          </w:p>
        </w:tc>
        <w:tc>
          <w:tcPr>
            <w:tcW w:w="550" w:type="pct"/>
            <w:tcBorders>
              <w:top w:val="nil"/>
              <w:bottom w:val="nil"/>
            </w:tcBorders>
            <w:vAlign w:val="center"/>
          </w:tcPr>
          <w:p w14:paraId="169DCB86" w14:textId="77777777" w:rsidR="008061DB" w:rsidRPr="004C78D8" w:rsidRDefault="008061DB" w:rsidP="00FB7C1F">
            <w:pPr>
              <w:jc w:val="center"/>
              <w:rPr>
                <w:sz w:val="18"/>
                <w:szCs w:val="18"/>
              </w:rPr>
            </w:pPr>
            <w:r w:rsidRPr="004C78D8">
              <w:rPr>
                <w:rFonts w:cs="Times New Roman"/>
                <w:sz w:val="18"/>
                <w:szCs w:val="18"/>
              </w:rPr>
              <w:t>Mix</w:t>
            </w:r>
          </w:p>
        </w:tc>
        <w:tc>
          <w:tcPr>
            <w:tcW w:w="472" w:type="pct"/>
            <w:tcBorders>
              <w:top w:val="nil"/>
              <w:bottom w:val="nil"/>
            </w:tcBorders>
            <w:vAlign w:val="center"/>
          </w:tcPr>
          <w:p w14:paraId="3E958D73" w14:textId="77777777" w:rsidR="008061DB" w:rsidRPr="004C78D8" w:rsidRDefault="008061DB" w:rsidP="00FB7C1F">
            <w:pPr>
              <w:jc w:val="center"/>
            </w:pPr>
          </w:p>
        </w:tc>
        <w:tc>
          <w:tcPr>
            <w:tcW w:w="471" w:type="pct"/>
            <w:tcBorders>
              <w:top w:val="nil"/>
              <w:bottom w:val="nil"/>
            </w:tcBorders>
            <w:vAlign w:val="center"/>
          </w:tcPr>
          <w:p w14:paraId="0A605058" w14:textId="77777777" w:rsidR="008061DB" w:rsidRPr="004C78D8" w:rsidRDefault="008061DB" w:rsidP="00FB7C1F">
            <w:pPr>
              <w:jc w:val="center"/>
            </w:pPr>
          </w:p>
        </w:tc>
        <w:tc>
          <w:tcPr>
            <w:tcW w:w="593" w:type="pct"/>
            <w:tcBorders>
              <w:top w:val="nil"/>
              <w:bottom w:val="nil"/>
            </w:tcBorders>
            <w:vAlign w:val="center"/>
          </w:tcPr>
          <w:p w14:paraId="2BF6F219" w14:textId="77777777" w:rsidR="008061DB" w:rsidRPr="004C78D8" w:rsidRDefault="008061DB" w:rsidP="00FB7C1F">
            <w:pPr>
              <w:jc w:val="center"/>
            </w:pPr>
          </w:p>
        </w:tc>
        <w:tc>
          <w:tcPr>
            <w:tcW w:w="558" w:type="pct"/>
            <w:tcBorders>
              <w:top w:val="nil"/>
              <w:bottom w:val="nil"/>
            </w:tcBorders>
            <w:vAlign w:val="center"/>
          </w:tcPr>
          <w:p w14:paraId="3BB2706A" w14:textId="77777777" w:rsidR="008061DB" w:rsidRPr="004C78D8" w:rsidRDefault="008061DB" w:rsidP="00FB7C1F">
            <w:pPr>
              <w:jc w:val="center"/>
            </w:pPr>
          </w:p>
        </w:tc>
      </w:tr>
      <w:tr w:rsidR="008061DB" w:rsidRPr="004C78D8" w14:paraId="68B6211D" w14:textId="77777777" w:rsidTr="002828C1">
        <w:tc>
          <w:tcPr>
            <w:tcW w:w="1255" w:type="pct"/>
          </w:tcPr>
          <w:p w14:paraId="63C9692D" w14:textId="77777777" w:rsidR="008061DB" w:rsidRPr="004C78D8" w:rsidRDefault="008061DB" w:rsidP="00FB7C1F">
            <w:pPr>
              <w:jc w:val="left"/>
              <w:rPr>
                <w:sz w:val="18"/>
                <w:szCs w:val="18"/>
              </w:rPr>
            </w:pPr>
            <w:r w:rsidRPr="004C78D8">
              <w:rPr>
                <w:sz w:val="18"/>
                <w:szCs w:val="18"/>
              </w:rPr>
              <w:t>Miller (2011)</w:t>
            </w:r>
          </w:p>
        </w:tc>
        <w:tc>
          <w:tcPr>
            <w:tcW w:w="551" w:type="pct"/>
            <w:tcBorders>
              <w:top w:val="nil"/>
              <w:bottom w:val="nil"/>
            </w:tcBorders>
            <w:vAlign w:val="center"/>
          </w:tcPr>
          <w:p w14:paraId="40D4C820" w14:textId="77777777" w:rsidR="008061DB" w:rsidRPr="004C78D8" w:rsidRDefault="008061DB"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3E0E593A" w14:textId="77777777" w:rsidR="008061DB" w:rsidRPr="004C78D8" w:rsidRDefault="008061DB" w:rsidP="00FB7C1F">
            <w:pPr>
              <w:jc w:val="center"/>
              <w:rPr>
                <w:sz w:val="18"/>
                <w:szCs w:val="18"/>
              </w:rPr>
            </w:pPr>
            <w:r w:rsidRPr="004C78D8">
              <w:rPr>
                <w:rFonts w:cs="Times New Roman"/>
                <w:sz w:val="18"/>
                <w:szCs w:val="18"/>
              </w:rPr>
              <w:t>MA</w:t>
            </w:r>
          </w:p>
        </w:tc>
        <w:tc>
          <w:tcPr>
            <w:tcW w:w="550" w:type="pct"/>
            <w:tcBorders>
              <w:top w:val="nil"/>
              <w:bottom w:val="nil"/>
            </w:tcBorders>
            <w:vAlign w:val="center"/>
          </w:tcPr>
          <w:p w14:paraId="4781EB99" w14:textId="77777777" w:rsidR="008061DB" w:rsidRPr="004C78D8" w:rsidRDefault="008061DB" w:rsidP="00FB7C1F">
            <w:pPr>
              <w:jc w:val="center"/>
              <w:rPr>
                <w:sz w:val="18"/>
                <w:szCs w:val="18"/>
              </w:rPr>
            </w:pPr>
          </w:p>
        </w:tc>
        <w:tc>
          <w:tcPr>
            <w:tcW w:w="472" w:type="pct"/>
            <w:tcBorders>
              <w:top w:val="nil"/>
              <w:bottom w:val="nil"/>
            </w:tcBorders>
            <w:vAlign w:val="center"/>
          </w:tcPr>
          <w:p w14:paraId="5E382B24" w14:textId="77777777" w:rsidR="008061DB" w:rsidRPr="004C78D8" w:rsidRDefault="008061DB" w:rsidP="00FB7C1F">
            <w:pPr>
              <w:jc w:val="center"/>
            </w:pPr>
          </w:p>
        </w:tc>
        <w:tc>
          <w:tcPr>
            <w:tcW w:w="471" w:type="pct"/>
            <w:tcBorders>
              <w:top w:val="nil"/>
              <w:bottom w:val="nil"/>
            </w:tcBorders>
            <w:vAlign w:val="center"/>
          </w:tcPr>
          <w:p w14:paraId="2BDBE6C3" w14:textId="77777777" w:rsidR="008061DB" w:rsidRPr="004C78D8" w:rsidRDefault="008061DB" w:rsidP="00FB7C1F">
            <w:pPr>
              <w:jc w:val="center"/>
            </w:pPr>
          </w:p>
        </w:tc>
        <w:tc>
          <w:tcPr>
            <w:tcW w:w="593" w:type="pct"/>
            <w:tcBorders>
              <w:top w:val="nil"/>
              <w:bottom w:val="nil"/>
            </w:tcBorders>
            <w:vAlign w:val="center"/>
          </w:tcPr>
          <w:p w14:paraId="2E3082C9" w14:textId="77777777" w:rsidR="008061DB" w:rsidRPr="004C78D8" w:rsidRDefault="008061DB" w:rsidP="00FB7C1F">
            <w:pPr>
              <w:jc w:val="center"/>
            </w:pPr>
          </w:p>
        </w:tc>
        <w:tc>
          <w:tcPr>
            <w:tcW w:w="558" w:type="pct"/>
            <w:tcBorders>
              <w:top w:val="nil"/>
              <w:bottom w:val="nil"/>
            </w:tcBorders>
            <w:vAlign w:val="center"/>
          </w:tcPr>
          <w:p w14:paraId="1616187D" w14:textId="77777777" w:rsidR="008061DB" w:rsidRPr="004C78D8" w:rsidRDefault="008061DB" w:rsidP="00FB7C1F">
            <w:pPr>
              <w:jc w:val="center"/>
            </w:pPr>
          </w:p>
        </w:tc>
      </w:tr>
      <w:tr w:rsidR="008061DB" w:rsidRPr="004C78D8" w14:paraId="1156E91D" w14:textId="77777777" w:rsidTr="002828C1">
        <w:tc>
          <w:tcPr>
            <w:tcW w:w="1255" w:type="pct"/>
          </w:tcPr>
          <w:p w14:paraId="2E214E19" w14:textId="77777777" w:rsidR="008061DB" w:rsidRPr="004C78D8" w:rsidRDefault="008061DB" w:rsidP="00FB7C1F">
            <w:pPr>
              <w:jc w:val="left"/>
              <w:rPr>
                <w:sz w:val="18"/>
                <w:szCs w:val="18"/>
              </w:rPr>
            </w:pPr>
            <w:r w:rsidRPr="004C78D8">
              <w:rPr>
                <w:sz w:val="18"/>
                <w:szCs w:val="18"/>
              </w:rPr>
              <w:t>Mori (2017)</w:t>
            </w:r>
          </w:p>
        </w:tc>
        <w:tc>
          <w:tcPr>
            <w:tcW w:w="551" w:type="pct"/>
            <w:tcBorders>
              <w:top w:val="nil"/>
              <w:bottom w:val="nil"/>
            </w:tcBorders>
            <w:vAlign w:val="center"/>
          </w:tcPr>
          <w:p w14:paraId="4EBDD286" w14:textId="77777777" w:rsidR="008061DB" w:rsidRPr="004C78D8" w:rsidRDefault="008061DB" w:rsidP="00FB7C1F">
            <w:pPr>
              <w:jc w:val="center"/>
            </w:pPr>
          </w:p>
        </w:tc>
        <w:tc>
          <w:tcPr>
            <w:tcW w:w="550" w:type="pct"/>
            <w:tcBorders>
              <w:top w:val="nil"/>
              <w:bottom w:val="nil"/>
            </w:tcBorders>
            <w:vAlign w:val="center"/>
          </w:tcPr>
          <w:p w14:paraId="6342366B" w14:textId="77777777" w:rsidR="008061DB" w:rsidRPr="004C78D8" w:rsidRDefault="008061DB" w:rsidP="00FB7C1F">
            <w:pPr>
              <w:jc w:val="center"/>
              <w:rPr>
                <w:sz w:val="18"/>
                <w:szCs w:val="18"/>
              </w:rPr>
            </w:pPr>
          </w:p>
        </w:tc>
        <w:tc>
          <w:tcPr>
            <w:tcW w:w="550" w:type="pct"/>
            <w:tcBorders>
              <w:top w:val="nil"/>
              <w:bottom w:val="nil"/>
            </w:tcBorders>
            <w:vAlign w:val="center"/>
          </w:tcPr>
          <w:p w14:paraId="7E2E9B9B" w14:textId="77777777" w:rsidR="008061DB" w:rsidRPr="004C78D8" w:rsidRDefault="008061DB" w:rsidP="00FB7C1F">
            <w:pPr>
              <w:jc w:val="center"/>
              <w:rPr>
                <w:sz w:val="18"/>
                <w:szCs w:val="18"/>
              </w:rPr>
            </w:pPr>
            <w:r w:rsidRPr="004C78D8">
              <w:rPr>
                <w:rFonts w:cs="Times New Roman"/>
                <w:sz w:val="18"/>
                <w:szCs w:val="18"/>
              </w:rPr>
              <w:t>Mix</w:t>
            </w:r>
          </w:p>
        </w:tc>
        <w:tc>
          <w:tcPr>
            <w:tcW w:w="472" w:type="pct"/>
            <w:tcBorders>
              <w:top w:val="nil"/>
              <w:bottom w:val="nil"/>
            </w:tcBorders>
            <w:vAlign w:val="center"/>
          </w:tcPr>
          <w:p w14:paraId="5D14895C" w14:textId="77777777" w:rsidR="008061DB" w:rsidRPr="004C78D8" w:rsidRDefault="008061DB" w:rsidP="00FB7C1F">
            <w:pPr>
              <w:jc w:val="center"/>
            </w:pPr>
          </w:p>
        </w:tc>
        <w:tc>
          <w:tcPr>
            <w:tcW w:w="471" w:type="pct"/>
            <w:tcBorders>
              <w:top w:val="nil"/>
              <w:bottom w:val="nil"/>
            </w:tcBorders>
            <w:vAlign w:val="center"/>
          </w:tcPr>
          <w:p w14:paraId="77E67898" w14:textId="77777777" w:rsidR="008061DB" w:rsidRPr="004C78D8" w:rsidRDefault="008061DB" w:rsidP="00FB7C1F">
            <w:pPr>
              <w:jc w:val="center"/>
            </w:pPr>
          </w:p>
        </w:tc>
        <w:tc>
          <w:tcPr>
            <w:tcW w:w="593" w:type="pct"/>
            <w:tcBorders>
              <w:top w:val="nil"/>
              <w:bottom w:val="nil"/>
            </w:tcBorders>
            <w:vAlign w:val="center"/>
          </w:tcPr>
          <w:p w14:paraId="5FAD47D1" w14:textId="77777777" w:rsidR="008061DB" w:rsidRPr="004C78D8" w:rsidRDefault="008061DB" w:rsidP="00FB7C1F">
            <w:pPr>
              <w:jc w:val="center"/>
              <w:rPr>
                <w:sz w:val="28"/>
                <w:szCs w:val="28"/>
              </w:rPr>
            </w:pPr>
            <w:r w:rsidRPr="004C78D8">
              <w:rPr>
                <w:rFonts w:cs="Times New Roman"/>
                <w:sz w:val="28"/>
                <w:szCs w:val="28"/>
              </w:rPr>
              <w:t>˟</w:t>
            </w:r>
          </w:p>
        </w:tc>
        <w:tc>
          <w:tcPr>
            <w:tcW w:w="558" w:type="pct"/>
            <w:tcBorders>
              <w:top w:val="nil"/>
              <w:bottom w:val="nil"/>
            </w:tcBorders>
            <w:vAlign w:val="center"/>
          </w:tcPr>
          <w:p w14:paraId="15A90CA6" w14:textId="77777777" w:rsidR="008061DB" w:rsidRPr="004C78D8" w:rsidRDefault="008061DB" w:rsidP="00FB7C1F">
            <w:pPr>
              <w:jc w:val="center"/>
              <w:rPr>
                <w:sz w:val="28"/>
                <w:szCs w:val="28"/>
              </w:rPr>
            </w:pPr>
            <w:r w:rsidRPr="004C78D8">
              <w:rPr>
                <w:rFonts w:cs="Times New Roman"/>
                <w:sz w:val="28"/>
                <w:szCs w:val="28"/>
              </w:rPr>
              <w:t>˟</w:t>
            </w:r>
          </w:p>
        </w:tc>
      </w:tr>
      <w:tr w:rsidR="008061DB" w:rsidRPr="004C78D8" w14:paraId="055FC1C3" w14:textId="77777777" w:rsidTr="002828C1">
        <w:tc>
          <w:tcPr>
            <w:tcW w:w="1255" w:type="pct"/>
          </w:tcPr>
          <w:p w14:paraId="4E39C8D6" w14:textId="77777777" w:rsidR="008061DB" w:rsidRPr="004C78D8" w:rsidRDefault="008061DB" w:rsidP="00FB7C1F">
            <w:pPr>
              <w:jc w:val="left"/>
              <w:rPr>
                <w:sz w:val="18"/>
                <w:szCs w:val="18"/>
              </w:rPr>
            </w:pPr>
            <w:r w:rsidRPr="004C78D8">
              <w:rPr>
                <w:sz w:val="18"/>
                <w:szCs w:val="18"/>
              </w:rPr>
              <w:t>Moriarty (2019)</w:t>
            </w:r>
          </w:p>
        </w:tc>
        <w:tc>
          <w:tcPr>
            <w:tcW w:w="551" w:type="pct"/>
            <w:tcBorders>
              <w:top w:val="nil"/>
              <w:bottom w:val="nil"/>
            </w:tcBorders>
            <w:vAlign w:val="center"/>
          </w:tcPr>
          <w:p w14:paraId="19DAA8A4" w14:textId="77777777" w:rsidR="008061DB" w:rsidRPr="004C78D8" w:rsidRDefault="008061DB" w:rsidP="00FB7C1F">
            <w:pPr>
              <w:jc w:val="center"/>
            </w:pPr>
          </w:p>
        </w:tc>
        <w:tc>
          <w:tcPr>
            <w:tcW w:w="550" w:type="pct"/>
            <w:tcBorders>
              <w:top w:val="nil"/>
              <w:bottom w:val="nil"/>
            </w:tcBorders>
            <w:vAlign w:val="center"/>
          </w:tcPr>
          <w:p w14:paraId="74844875" w14:textId="77777777" w:rsidR="008061DB" w:rsidRPr="004C78D8" w:rsidRDefault="008061DB" w:rsidP="00FB7C1F">
            <w:pPr>
              <w:jc w:val="center"/>
              <w:rPr>
                <w:sz w:val="18"/>
                <w:szCs w:val="18"/>
              </w:rPr>
            </w:pPr>
            <w:r w:rsidRPr="004C78D8">
              <w:rPr>
                <w:rFonts w:cs="Times New Roman"/>
                <w:sz w:val="18"/>
                <w:szCs w:val="18"/>
              </w:rPr>
              <w:t>MA</w:t>
            </w:r>
          </w:p>
        </w:tc>
        <w:tc>
          <w:tcPr>
            <w:tcW w:w="550" w:type="pct"/>
            <w:tcBorders>
              <w:top w:val="nil"/>
              <w:bottom w:val="nil"/>
            </w:tcBorders>
            <w:vAlign w:val="center"/>
          </w:tcPr>
          <w:p w14:paraId="11DCA924" w14:textId="77777777" w:rsidR="008061DB" w:rsidRPr="004C78D8" w:rsidRDefault="008061DB" w:rsidP="00FB7C1F">
            <w:pPr>
              <w:jc w:val="center"/>
              <w:rPr>
                <w:rFonts w:cs="Times New Roman"/>
                <w:sz w:val="18"/>
                <w:szCs w:val="18"/>
              </w:rPr>
            </w:pPr>
            <w:r w:rsidRPr="004C78D8">
              <w:rPr>
                <w:rFonts w:cs="Times New Roman"/>
                <w:sz w:val="18"/>
                <w:szCs w:val="18"/>
              </w:rPr>
              <w:t>Hip</w:t>
            </w:r>
          </w:p>
        </w:tc>
        <w:tc>
          <w:tcPr>
            <w:tcW w:w="472" w:type="pct"/>
            <w:tcBorders>
              <w:top w:val="nil"/>
              <w:bottom w:val="nil"/>
            </w:tcBorders>
            <w:vAlign w:val="center"/>
          </w:tcPr>
          <w:p w14:paraId="59518EA3" w14:textId="77777777" w:rsidR="008061DB" w:rsidRPr="004C78D8" w:rsidRDefault="008061DB" w:rsidP="00FB7C1F">
            <w:pPr>
              <w:jc w:val="center"/>
            </w:pPr>
          </w:p>
        </w:tc>
        <w:tc>
          <w:tcPr>
            <w:tcW w:w="471" w:type="pct"/>
            <w:tcBorders>
              <w:top w:val="nil"/>
              <w:bottom w:val="nil"/>
            </w:tcBorders>
            <w:vAlign w:val="center"/>
          </w:tcPr>
          <w:p w14:paraId="28D9E4C6" w14:textId="77777777" w:rsidR="008061DB" w:rsidRPr="004C78D8" w:rsidRDefault="008061DB" w:rsidP="00FB7C1F">
            <w:pPr>
              <w:jc w:val="center"/>
            </w:pPr>
          </w:p>
        </w:tc>
        <w:tc>
          <w:tcPr>
            <w:tcW w:w="593" w:type="pct"/>
            <w:tcBorders>
              <w:top w:val="nil"/>
              <w:bottom w:val="nil"/>
            </w:tcBorders>
            <w:vAlign w:val="center"/>
          </w:tcPr>
          <w:p w14:paraId="4A2A4670" w14:textId="77777777" w:rsidR="008061DB" w:rsidRPr="004C78D8" w:rsidRDefault="008061DB" w:rsidP="00FB7C1F">
            <w:pPr>
              <w:jc w:val="center"/>
              <w:rPr>
                <w:rFonts w:cs="Times New Roman"/>
                <w:sz w:val="28"/>
                <w:szCs w:val="28"/>
              </w:rPr>
            </w:pPr>
            <w:r w:rsidRPr="004C78D8">
              <w:rPr>
                <w:rFonts w:cs="Times New Roman"/>
                <w:sz w:val="28"/>
                <w:szCs w:val="28"/>
              </w:rPr>
              <w:t>˟</w:t>
            </w:r>
          </w:p>
        </w:tc>
        <w:tc>
          <w:tcPr>
            <w:tcW w:w="558" w:type="pct"/>
            <w:tcBorders>
              <w:top w:val="nil"/>
              <w:bottom w:val="nil"/>
            </w:tcBorders>
            <w:vAlign w:val="center"/>
          </w:tcPr>
          <w:p w14:paraId="52DD0D9A" w14:textId="77777777" w:rsidR="008061DB" w:rsidRPr="004C78D8" w:rsidRDefault="008061DB" w:rsidP="00FB7C1F">
            <w:pPr>
              <w:jc w:val="center"/>
              <w:rPr>
                <w:rFonts w:cs="Times New Roman"/>
                <w:sz w:val="28"/>
                <w:szCs w:val="28"/>
              </w:rPr>
            </w:pPr>
            <w:r w:rsidRPr="004C78D8">
              <w:rPr>
                <w:rFonts w:cs="Times New Roman"/>
                <w:sz w:val="28"/>
                <w:szCs w:val="28"/>
              </w:rPr>
              <w:t>˟</w:t>
            </w:r>
          </w:p>
        </w:tc>
      </w:tr>
      <w:tr w:rsidR="008061DB" w:rsidRPr="004C78D8" w14:paraId="0854A80C" w14:textId="77777777" w:rsidTr="002828C1">
        <w:tc>
          <w:tcPr>
            <w:tcW w:w="1255" w:type="pct"/>
          </w:tcPr>
          <w:p w14:paraId="45991022" w14:textId="77777777" w:rsidR="008061DB" w:rsidRPr="004C78D8" w:rsidRDefault="008061DB" w:rsidP="00FB7C1F">
            <w:pPr>
              <w:jc w:val="left"/>
              <w:rPr>
                <w:sz w:val="18"/>
                <w:szCs w:val="18"/>
              </w:rPr>
            </w:pPr>
            <w:r w:rsidRPr="004C78D8">
              <w:rPr>
                <w:sz w:val="18"/>
                <w:szCs w:val="18"/>
              </w:rPr>
              <w:t>Nshimyumukiza (2013)</w:t>
            </w:r>
          </w:p>
        </w:tc>
        <w:tc>
          <w:tcPr>
            <w:tcW w:w="551" w:type="pct"/>
            <w:tcBorders>
              <w:top w:val="nil"/>
              <w:bottom w:val="nil"/>
            </w:tcBorders>
            <w:vAlign w:val="center"/>
          </w:tcPr>
          <w:p w14:paraId="1C0CCE55" w14:textId="77777777" w:rsidR="008061DB" w:rsidRPr="004C78D8" w:rsidRDefault="008061DB" w:rsidP="00FB7C1F">
            <w:pPr>
              <w:jc w:val="center"/>
            </w:pPr>
          </w:p>
        </w:tc>
        <w:tc>
          <w:tcPr>
            <w:tcW w:w="550" w:type="pct"/>
            <w:tcBorders>
              <w:top w:val="nil"/>
              <w:bottom w:val="nil"/>
            </w:tcBorders>
            <w:vAlign w:val="center"/>
          </w:tcPr>
          <w:p w14:paraId="32544E86" w14:textId="77777777" w:rsidR="008061DB" w:rsidRPr="004C78D8" w:rsidRDefault="008061DB" w:rsidP="00FB7C1F">
            <w:pPr>
              <w:jc w:val="center"/>
              <w:rPr>
                <w:sz w:val="18"/>
                <w:szCs w:val="18"/>
              </w:rPr>
            </w:pPr>
          </w:p>
        </w:tc>
        <w:tc>
          <w:tcPr>
            <w:tcW w:w="550" w:type="pct"/>
            <w:tcBorders>
              <w:top w:val="nil"/>
              <w:bottom w:val="nil"/>
            </w:tcBorders>
            <w:vAlign w:val="center"/>
          </w:tcPr>
          <w:p w14:paraId="675534A2" w14:textId="77777777" w:rsidR="008061DB" w:rsidRPr="004C78D8" w:rsidRDefault="008061DB" w:rsidP="00FB7C1F">
            <w:pPr>
              <w:jc w:val="center"/>
              <w:rPr>
                <w:sz w:val="18"/>
                <w:szCs w:val="18"/>
              </w:rPr>
            </w:pPr>
            <w:r w:rsidRPr="004C78D8">
              <w:rPr>
                <w:rFonts w:cs="Times New Roman"/>
                <w:sz w:val="18"/>
                <w:szCs w:val="18"/>
              </w:rPr>
              <w:t>Mix</w:t>
            </w:r>
          </w:p>
        </w:tc>
        <w:tc>
          <w:tcPr>
            <w:tcW w:w="472" w:type="pct"/>
            <w:tcBorders>
              <w:top w:val="nil"/>
              <w:bottom w:val="nil"/>
            </w:tcBorders>
            <w:vAlign w:val="center"/>
          </w:tcPr>
          <w:p w14:paraId="4AD10F68" w14:textId="77777777" w:rsidR="008061DB" w:rsidRPr="004C78D8" w:rsidRDefault="008061DB" w:rsidP="00FB7C1F">
            <w:pPr>
              <w:jc w:val="center"/>
            </w:pPr>
          </w:p>
        </w:tc>
        <w:tc>
          <w:tcPr>
            <w:tcW w:w="471" w:type="pct"/>
            <w:tcBorders>
              <w:top w:val="nil"/>
              <w:bottom w:val="nil"/>
            </w:tcBorders>
            <w:vAlign w:val="center"/>
          </w:tcPr>
          <w:p w14:paraId="5148D97A" w14:textId="77777777" w:rsidR="008061DB" w:rsidRPr="004C78D8" w:rsidRDefault="008061DB" w:rsidP="00FB7C1F">
            <w:pPr>
              <w:jc w:val="center"/>
            </w:pPr>
          </w:p>
        </w:tc>
        <w:tc>
          <w:tcPr>
            <w:tcW w:w="593" w:type="pct"/>
            <w:tcBorders>
              <w:top w:val="nil"/>
              <w:bottom w:val="nil"/>
            </w:tcBorders>
            <w:vAlign w:val="center"/>
          </w:tcPr>
          <w:p w14:paraId="72CC0F35" w14:textId="77777777" w:rsidR="008061DB" w:rsidRPr="004C78D8" w:rsidRDefault="008061DB" w:rsidP="00FB7C1F">
            <w:pPr>
              <w:jc w:val="center"/>
              <w:rPr>
                <w:sz w:val="28"/>
                <w:szCs w:val="28"/>
              </w:rPr>
            </w:pPr>
            <w:r w:rsidRPr="004C78D8">
              <w:rPr>
                <w:rFonts w:cs="Times New Roman"/>
                <w:sz w:val="28"/>
                <w:szCs w:val="28"/>
              </w:rPr>
              <w:t>˟</w:t>
            </w:r>
          </w:p>
        </w:tc>
        <w:tc>
          <w:tcPr>
            <w:tcW w:w="558" w:type="pct"/>
            <w:tcBorders>
              <w:top w:val="nil"/>
              <w:bottom w:val="nil"/>
            </w:tcBorders>
            <w:vAlign w:val="center"/>
          </w:tcPr>
          <w:p w14:paraId="1970680E" w14:textId="77777777" w:rsidR="008061DB" w:rsidRPr="004C78D8" w:rsidRDefault="008061DB" w:rsidP="00FB7C1F">
            <w:pPr>
              <w:jc w:val="center"/>
              <w:rPr>
                <w:sz w:val="28"/>
                <w:szCs w:val="28"/>
              </w:rPr>
            </w:pPr>
            <w:r w:rsidRPr="004C78D8">
              <w:rPr>
                <w:rFonts w:cs="Times New Roman"/>
                <w:sz w:val="28"/>
                <w:szCs w:val="28"/>
              </w:rPr>
              <w:t>˟</w:t>
            </w:r>
          </w:p>
        </w:tc>
      </w:tr>
      <w:tr w:rsidR="008061DB" w:rsidRPr="004C78D8" w14:paraId="410C0A98" w14:textId="77777777" w:rsidTr="002828C1">
        <w:tc>
          <w:tcPr>
            <w:tcW w:w="1255" w:type="pct"/>
          </w:tcPr>
          <w:p w14:paraId="32BF885C" w14:textId="77777777" w:rsidR="008061DB" w:rsidRPr="004C78D8" w:rsidRDefault="008061DB" w:rsidP="00FB7C1F">
            <w:pPr>
              <w:jc w:val="left"/>
              <w:rPr>
                <w:sz w:val="18"/>
                <w:szCs w:val="18"/>
              </w:rPr>
            </w:pPr>
            <w:r w:rsidRPr="004C78D8">
              <w:rPr>
                <w:sz w:val="18"/>
                <w:szCs w:val="18"/>
              </w:rPr>
              <w:t>OMAS (2008)</w:t>
            </w:r>
          </w:p>
        </w:tc>
        <w:tc>
          <w:tcPr>
            <w:tcW w:w="551" w:type="pct"/>
            <w:tcBorders>
              <w:top w:val="nil"/>
              <w:bottom w:val="nil"/>
            </w:tcBorders>
            <w:vAlign w:val="center"/>
          </w:tcPr>
          <w:p w14:paraId="78DF0D81" w14:textId="77777777" w:rsidR="008061DB" w:rsidRPr="004C78D8" w:rsidRDefault="008061DB" w:rsidP="00FB7C1F">
            <w:pPr>
              <w:jc w:val="center"/>
            </w:pPr>
          </w:p>
        </w:tc>
        <w:tc>
          <w:tcPr>
            <w:tcW w:w="550" w:type="pct"/>
            <w:tcBorders>
              <w:top w:val="nil"/>
              <w:bottom w:val="nil"/>
            </w:tcBorders>
            <w:vAlign w:val="center"/>
          </w:tcPr>
          <w:p w14:paraId="20161722" w14:textId="77777777" w:rsidR="008061DB" w:rsidRPr="004C78D8" w:rsidRDefault="008061DB" w:rsidP="00FB7C1F">
            <w:pPr>
              <w:jc w:val="center"/>
              <w:rPr>
                <w:sz w:val="18"/>
                <w:szCs w:val="18"/>
              </w:rPr>
            </w:pPr>
            <w:r w:rsidRPr="004C78D8">
              <w:rPr>
                <w:rFonts w:cs="Times New Roman"/>
                <w:sz w:val="18"/>
                <w:szCs w:val="18"/>
              </w:rPr>
              <w:t>MA</w:t>
            </w:r>
          </w:p>
        </w:tc>
        <w:tc>
          <w:tcPr>
            <w:tcW w:w="550" w:type="pct"/>
            <w:tcBorders>
              <w:top w:val="nil"/>
              <w:bottom w:val="nil"/>
            </w:tcBorders>
            <w:vAlign w:val="center"/>
          </w:tcPr>
          <w:p w14:paraId="0A824434" w14:textId="77777777" w:rsidR="008061DB" w:rsidRPr="004C78D8" w:rsidRDefault="008061DB" w:rsidP="00FB7C1F">
            <w:pPr>
              <w:jc w:val="center"/>
              <w:rPr>
                <w:sz w:val="18"/>
                <w:szCs w:val="18"/>
              </w:rPr>
            </w:pPr>
            <w:r w:rsidRPr="004C78D8">
              <w:rPr>
                <w:rFonts w:cs="Times New Roman"/>
                <w:sz w:val="18"/>
                <w:szCs w:val="18"/>
              </w:rPr>
              <w:t>Mix</w:t>
            </w:r>
          </w:p>
        </w:tc>
        <w:tc>
          <w:tcPr>
            <w:tcW w:w="472" w:type="pct"/>
            <w:tcBorders>
              <w:top w:val="nil"/>
              <w:bottom w:val="nil"/>
            </w:tcBorders>
            <w:vAlign w:val="center"/>
          </w:tcPr>
          <w:p w14:paraId="427F31FE" w14:textId="77777777" w:rsidR="008061DB" w:rsidRPr="004C78D8" w:rsidRDefault="008061DB" w:rsidP="00FB7C1F">
            <w:pPr>
              <w:jc w:val="center"/>
              <w:rPr>
                <w:sz w:val="28"/>
                <w:szCs w:val="28"/>
              </w:rPr>
            </w:pPr>
            <w:r w:rsidRPr="004C78D8">
              <w:rPr>
                <w:rFonts w:cs="Times New Roman"/>
                <w:sz w:val="28"/>
                <w:szCs w:val="28"/>
              </w:rPr>
              <w:t>˟</w:t>
            </w:r>
          </w:p>
        </w:tc>
        <w:tc>
          <w:tcPr>
            <w:tcW w:w="471" w:type="pct"/>
            <w:tcBorders>
              <w:top w:val="nil"/>
              <w:bottom w:val="nil"/>
            </w:tcBorders>
            <w:vAlign w:val="center"/>
          </w:tcPr>
          <w:p w14:paraId="24ADB278" w14:textId="77777777" w:rsidR="008061DB" w:rsidRPr="004C78D8" w:rsidRDefault="008061DB" w:rsidP="00FB7C1F">
            <w:pPr>
              <w:jc w:val="center"/>
              <w:rPr>
                <w:sz w:val="28"/>
                <w:szCs w:val="28"/>
              </w:rPr>
            </w:pPr>
          </w:p>
        </w:tc>
        <w:tc>
          <w:tcPr>
            <w:tcW w:w="593" w:type="pct"/>
            <w:tcBorders>
              <w:top w:val="nil"/>
              <w:bottom w:val="nil"/>
            </w:tcBorders>
            <w:vAlign w:val="center"/>
          </w:tcPr>
          <w:p w14:paraId="36A46D3A" w14:textId="77777777" w:rsidR="008061DB" w:rsidRPr="004C78D8" w:rsidRDefault="008061DB" w:rsidP="00FB7C1F">
            <w:pPr>
              <w:jc w:val="center"/>
              <w:rPr>
                <w:sz w:val="28"/>
                <w:szCs w:val="28"/>
              </w:rPr>
            </w:pPr>
            <w:r w:rsidRPr="004C78D8">
              <w:rPr>
                <w:rFonts w:cs="Times New Roman"/>
                <w:sz w:val="28"/>
                <w:szCs w:val="28"/>
              </w:rPr>
              <w:t>˟</w:t>
            </w:r>
          </w:p>
        </w:tc>
        <w:tc>
          <w:tcPr>
            <w:tcW w:w="558" w:type="pct"/>
            <w:tcBorders>
              <w:top w:val="nil"/>
              <w:bottom w:val="nil"/>
            </w:tcBorders>
            <w:vAlign w:val="center"/>
          </w:tcPr>
          <w:p w14:paraId="5CFF166C" w14:textId="77777777" w:rsidR="008061DB" w:rsidRPr="004C78D8" w:rsidRDefault="008061DB" w:rsidP="00FB7C1F">
            <w:pPr>
              <w:jc w:val="center"/>
            </w:pPr>
          </w:p>
        </w:tc>
      </w:tr>
      <w:tr w:rsidR="008061DB" w:rsidRPr="004C78D8" w14:paraId="04E8EB81" w14:textId="77777777" w:rsidTr="002828C1">
        <w:tc>
          <w:tcPr>
            <w:tcW w:w="1255" w:type="pct"/>
          </w:tcPr>
          <w:p w14:paraId="05FF4F80" w14:textId="77777777" w:rsidR="008061DB" w:rsidRPr="004C78D8" w:rsidRDefault="008061DB" w:rsidP="00FB7C1F">
            <w:pPr>
              <w:jc w:val="left"/>
              <w:rPr>
                <w:sz w:val="18"/>
                <w:szCs w:val="18"/>
              </w:rPr>
            </w:pPr>
            <w:r w:rsidRPr="004C78D8">
              <w:rPr>
                <w:sz w:val="18"/>
                <w:szCs w:val="18"/>
              </w:rPr>
              <w:t>Poole (2014)</w:t>
            </w:r>
          </w:p>
        </w:tc>
        <w:tc>
          <w:tcPr>
            <w:tcW w:w="551" w:type="pct"/>
            <w:tcBorders>
              <w:top w:val="nil"/>
              <w:bottom w:val="nil"/>
            </w:tcBorders>
            <w:vAlign w:val="center"/>
          </w:tcPr>
          <w:p w14:paraId="2E9992A8" w14:textId="77777777" w:rsidR="008061DB" w:rsidRPr="004C78D8" w:rsidRDefault="008061DB" w:rsidP="00FB7C1F">
            <w:pPr>
              <w:jc w:val="center"/>
            </w:pPr>
          </w:p>
        </w:tc>
        <w:tc>
          <w:tcPr>
            <w:tcW w:w="550" w:type="pct"/>
            <w:tcBorders>
              <w:top w:val="nil"/>
              <w:bottom w:val="nil"/>
            </w:tcBorders>
            <w:vAlign w:val="center"/>
          </w:tcPr>
          <w:p w14:paraId="549BF080" w14:textId="77777777" w:rsidR="008061DB" w:rsidRPr="004C78D8" w:rsidRDefault="008061DB" w:rsidP="00FB7C1F">
            <w:pPr>
              <w:jc w:val="center"/>
              <w:rPr>
                <w:sz w:val="18"/>
                <w:szCs w:val="18"/>
              </w:rPr>
            </w:pPr>
          </w:p>
        </w:tc>
        <w:tc>
          <w:tcPr>
            <w:tcW w:w="550" w:type="pct"/>
            <w:tcBorders>
              <w:top w:val="nil"/>
              <w:bottom w:val="nil"/>
            </w:tcBorders>
            <w:vAlign w:val="center"/>
          </w:tcPr>
          <w:p w14:paraId="7D66448D" w14:textId="77777777" w:rsidR="008061DB" w:rsidRPr="004C78D8" w:rsidRDefault="008061DB" w:rsidP="00FB7C1F">
            <w:pPr>
              <w:jc w:val="center"/>
              <w:rPr>
                <w:sz w:val="18"/>
                <w:szCs w:val="18"/>
              </w:rPr>
            </w:pPr>
            <w:r w:rsidRPr="004C78D8">
              <w:rPr>
                <w:rFonts w:cs="Times New Roman"/>
                <w:sz w:val="18"/>
                <w:szCs w:val="18"/>
              </w:rPr>
              <w:t>Hip</w:t>
            </w:r>
          </w:p>
        </w:tc>
        <w:tc>
          <w:tcPr>
            <w:tcW w:w="472" w:type="pct"/>
            <w:tcBorders>
              <w:top w:val="nil"/>
              <w:bottom w:val="nil"/>
            </w:tcBorders>
            <w:vAlign w:val="center"/>
          </w:tcPr>
          <w:p w14:paraId="5760BE32" w14:textId="77777777" w:rsidR="008061DB" w:rsidRPr="004C78D8" w:rsidRDefault="008061DB" w:rsidP="00FB7C1F">
            <w:pPr>
              <w:jc w:val="center"/>
            </w:pPr>
          </w:p>
        </w:tc>
        <w:tc>
          <w:tcPr>
            <w:tcW w:w="471" w:type="pct"/>
            <w:tcBorders>
              <w:top w:val="nil"/>
              <w:bottom w:val="nil"/>
            </w:tcBorders>
            <w:vAlign w:val="center"/>
          </w:tcPr>
          <w:p w14:paraId="356D7070" w14:textId="77777777" w:rsidR="008061DB" w:rsidRPr="004C78D8" w:rsidRDefault="008061DB" w:rsidP="00FB7C1F">
            <w:pPr>
              <w:jc w:val="center"/>
            </w:pPr>
          </w:p>
        </w:tc>
        <w:tc>
          <w:tcPr>
            <w:tcW w:w="593" w:type="pct"/>
            <w:tcBorders>
              <w:top w:val="nil"/>
              <w:bottom w:val="nil"/>
            </w:tcBorders>
            <w:vAlign w:val="center"/>
          </w:tcPr>
          <w:p w14:paraId="427F3E39" w14:textId="77777777" w:rsidR="008061DB" w:rsidRPr="004C78D8" w:rsidRDefault="008061DB" w:rsidP="00FB7C1F">
            <w:pPr>
              <w:jc w:val="center"/>
            </w:pPr>
          </w:p>
        </w:tc>
        <w:tc>
          <w:tcPr>
            <w:tcW w:w="558" w:type="pct"/>
            <w:tcBorders>
              <w:top w:val="nil"/>
              <w:bottom w:val="nil"/>
            </w:tcBorders>
            <w:vAlign w:val="center"/>
          </w:tcPr>
          <w:p w14:paraId="2682D9C4" w14:textId="77777777" w:rsidR="008061DB" w:rsidRPr="004C78D8" w:rsidRDefault="008061DB" w:rsidP="00FB7C1F">
            <w:pPr>
              <w:jc w:val="center"/>
              <w:rPr>
                <w:sz w:val="28"/>
                <w:szCs w:val="28"/>
              </w:rPr>
            </w:pPr>
            <w:r w:rsidRPr="004C78D8">
              <w:rPr>
                <w:rFonts w:cs="Times New Roman"/>
                <w:sz w:val="28"/>
                <w:szCs w:val="28"/>
              </w:rPr>
              <w:t>˟</w:t>
            </w:r>
          </w:p>
        </w:tc>
      </w:tr>
      <w:tr w:rsidR="008061DB" w:rsidRPr="004C78D8" w14:paraId="772D60C0" w14:textId="77777777" w:rsidTr="002828C1">
        <w:tc>
          <w:tcPr>
            <w:tcW w:w="1255" w:type="pct"/>
          </w:tcPr>
          <w:p w14:paraId="769F6949" w14:textId="77777777" w:rsidR="008061DB" w:rsidRPr="004C78D8" w:rsidRDefault="008061DB" w:rsidP="00FB7C1F">
            <w:pPr>
              <w:jc w:val="left"/>
              <w:rPr>
                <w:sz w:val="18"/>
                <w:szCs w:val="18"/>
              </w:rPr>
            </w:pPr>
            <w:r w:rsidRPr="004C78D8">
              <w:rPr>
                <w:sz w:val="18"/>
                <w:szCs w:val="18"/>
              </w:rPr>
              <w:t>Poole (2015)</w:t>
            </w:r>
          </w:p>
        </w:tc>
        <w:tc>
          <w:tcPr>
            <w:tcW w:w="551" w:type="pct"/>
            <w:tcBorders>
              <w:top w:val="nil"/>
              <w:bottom w:val="nil"/>
            </w:tcBorders>
            <w:vAlign w:val="center"/>
          </w:tcPr>
          <w:p w14:paraId="5C9702EA" w14:textId="77777777" w:rsidR="008061DB" w:rsidRPr="004C78D8" w:rsidRDefault="008061DB" w:rsidP="00FB7C1F">
            <w:pPr>
              <w:jc w:val="center"/>
            </w:pPr>
          </w:p>
        </w:tc>
        <w:tc>
          <w:tcPr>
            <w:tcW w:w="550" w:type="pct"/>
            <w:tcBorders>
              <w:top w:val="nil"/>
              <w:bottom w:val="nil"/>
            </w:tcBorders>
            <w:vAlign w:val="center"/>
          </w:tcPr>
          <w:p w14:paraId="2857AC57" w14:textId="77777777" w:rsidR="008061DB" w:rsidRPr="004C78D8" w:rsidRDefault="008061DB" w:rsidP="00FB7C1F">
            <w:pPr>
              <w:jc w:val="center"/>
              <w:rPr>
                <w:sz w:val="18"/>
                <w:szCs w:val="18"/>
              </w:rPr>
            </w:pPr>
            <w:r w:rsidRPr="004C78D8">
              <w:rPr>
                <w:rFonts w:cs="Times New Roman"/>
                <w:sz w:val="18"/>
                <w:szCs w:val="18"/>
              </w:rPr>
              <w:t>MA</w:t>
            </w:r>
          </w:p>
        </w:tc>
        <w:tc>
          <w:tcPr>
            <w:tcW w:w="550" w:type="pct"/>
            <w:tcBorders>
              <w:top w:val="nil"/>
              <w:bottom w:val="nil"/>
            </w:tcBorders>
            <w:vAlign w:val="center"/>
          </w:tcPr>
          <w:p w14:paraId="467B5D92" w14:textId="77777777" w:rsidR="008061DB" w:rsidRPr="004C78D8" w:rsidRDefault="008061DB" w:rsidP="00FB7C1F">
            <w:pPr>
              <w:jc w:val="center"/>
              <w:rPr>
                <w:sz w:val="18"/>
                <w:szCs w:val="18"/>
              </w:rPr>
            </w:pPr>
          </w:p>
        </w:tc>
        <w:tc>
          <w:tcPr>
            <w:tcW w:w="472" w:type="pct"/>
            <w:tcBorders>
              <w:top w:val="nil"/>
              <w:bottom w:val="nil"/>
            </w:tcBorders>
            <w:vAlign w:val="center"/>
          </w:tcPr>
          <w:p w14:paraId="05C18D53" w14:textId="77777777" w:rsidR="008061DB" w:rsidRPr="004C78D8" w:rsidRDefault="008061DB" w:rsidP="00FB7C1F">
            <w:pPr>
              <w:jc w:val="center"/>
              <w:rPr>
                <w:sz w:val="28"/>
                <w:szCs w:val="28"/>
              </w:rPr>
            </w:pPr>
            <w:r w:rsidRPr="004C78D8">
              <w:rPr>
                <w:rFonts w:cs="Times New Roman"/>
                <w:sz w:val="28"/>
                <w:szCs w:val="28"/>
              </w:rPr>
              <w:t>˟</w:t>
            </w:r>
          </w:p>
        </w:tc>
        <w:tc>
          <w:tcPr>
            <w:tcW w:w="471" w:type="pct"/>
            <w:tcBorders>
              <w:top w:val="nil"/>
              <w:bottom w:val="nil"/>
            </w:tcBorders>
            <w:vAlign w:val="center"/>
          </w:tcPr>
          <w:p w14:paraId="6D57501D" w14:textId="77777777" w:rsidR="008061DB" w:rsidRPr="004C78D8" w:rsidRDefault="008061DB" w:rsidP="00FB7C1F">
            <w:pPr>
              <w:jc w:val="center"/>
              <w:rPr>
                <w:sz w:val="28"/>
                <w:szCs w:val="28"/>
              </w:rPr>
            </w:pPr>
          </w:p>
        </w:tc>
        <w:tc>
          <w:tcPr>
            <w:tcW w:w="593" w:type="pct"/>
            <w:tcBorders>
              <w:top w:val="nil"/>
              <w:bottom w:val="nil"/>
            </w:tcBorders>
            <w:vAlign w:val="center"/>
          </w:tcPr>
          <w:p w14:paraId="49A953C2" w14:textId="77777777" w:rsidR="008061DB" w:rsidRPr="004C78D8" w:rsidRDefault="008061DB" w:rsidP="00FB7C1F">
            <w:pPr>
              <w:jc w:val="center"/>
              <w:rPr>
                <w:sz w:val="28"/>
                <w:szCs w:val="28"/>
              </w:rPr>
            </w:pPr>
            <w:r w:rsidRPr="004C78D8">
              <w:rPr>
                <w:rFonts w:cs="Times New Roman"/>
                <w:sz w:val="28"/>
                <w:szCs w:val="28"/>
              </w:rPr>
              <w:t>˟</w:t>
            </w:r>
          </w:p>
        </w:tc>
        <w:tc>
          <w:tcPr>
            <w:tcW w:w="558" w:type="pct"/>
            <w:tcBorders>
              <w:top w:val="nil"/>
              <w:bottom w:val="nil"/>
            </w:tcBorders>
            <w:vAlign w:val="center"/>
          </w:tcPr>
          <w:p w14:paraId="7FFF109D" w14:textId="77777777" w:rsidR="008061DB" w:rsidRPr="004C78D8" w:rsidRDefault="008061DB" w:rsidP="00FB7C1F">
            <w:pPr>
              <w:jc w:val="center"/>
            </w:pPr>
          </w:p>
        </w:tc>
      </w:tr>
      <w:tr w:rsidR="008061DB" w:rsidRPr="004C78D8" w14:paraId="53410E6E" w14:textId="77777777" w:rsidTr="002828C1">
        <w:tc>
          <w:tcPr>
            <w:tcW w:w="1255" w:type="pct"/>
          </w:tcPr>
          <w:p w14:paraId="22E5A08F" w14:textId="77777777" w:rsidR="008061DB" w:rsidRPr="004C78D8" w:rsidRDefault="008061DB" w:rsidP="00FB7C1F">
            <w:pPr>
              <w:jc w:val="left"/>
              <w:rPr>
                <w:sz w:val="18"/>
                <w:szCs w:val="18"/>
              </w:rPr>
            </w:pPr>
            <w:r w:rsidRPr="004C78D8">
              <w:rPr>
                <w:sz w:val="18"/>
                <w:szCs w:val="18"/>
              </w:rPr>
              <w:t>PHE (2018)</w:t>
            </w:r>
          </w:p>
        </w:tc>
        <w:tc>
          <w:tcPr>
            <w:tcW w:w="551" w:type="pct"/>
            <w:tcBorders>
              <w:top w:val="nil"/>
              <w:bottom w:val="nil"/>
            </w:tcBorders>
            <w:vAlign w:val="center"/>
          </w:tcPr>
          <w:p w14:paraId="5E4D5CB3" w14:textId="77777777" w:rsidR="008061DB" w:rsidRPr="004C78D8" w:rsidRDefault="008061DB"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58EA1532" w14:textId="77777777" w:rsidR="008061DB" w:rsidRPr="004C78D8" w:rsidRDefault="008061DB" w:rsidP="00FB7C1F">
            <w:pPr>
              <w:jc w:val="center"/>
              <w:rPr>
                <w:sz w:val="18"/>
                <w:szCs w:val="18"/>
              </w:rPr>
            </w:pPr>
            <w:r w:rsidRPr="004C78D8">
              <w:rPr>
                <w:rFonts w:cs="Times New Roman"/>
                <w:sz w:val="18"/>
                <w:szCs w:val="18"/>
              </w:rPr>
              <w:t>MA</w:t>
            </w:r>
          </w:p>
        </w:tc>
        <w:tc>
          <w:tcPr>
            <w:tcW w:w="550" w:type="pct"/>
            <w:tcBorders>
              <w:top w:val="nil"/>
              <w:bottom w:val="nil"/>
            </w:tcBorders>
            <w:vAlign w:val="center"/>
          </w:tcPr>
          <w:p w14:paraId="273BF4A9" w14:textId="77777777" w:rsidR="008061DB" w:rsidRPr="004C78D8" w:rsidRDefault="008061DB" w:rsidP="00FB7C1F">
            <w:pPr>
              <w:jc w:val="center"/>
              <w:rPr>
                <w:sz w:val="18"/>
                <w:szCs w:val="18"/>
              </w:rPr>
            </w:pPr>
            <w:r w:rsidRPr="004C78D8">
              <w:rPr>
                <w:rFonts w:cs="Times New Roman"/>
                <w:sz w:val="18"/>
                <w:szCs w:val="18"/>
              </w:rPr>
              <w:t>Mix</w:t>
            </w:r>
          </w:p>
        </w:tc>
        <w:tc>
          <w:tcPr>
            <w:tcW w:w="472" w:type="pct"/>
            <w:tcBorders>
              <w:top w:val="nil"/>
              <w:bottom w:val="nil"/>
            </w:tcBorders>
            <w:vAlign w:val="center"/>
          </w:tcPr>
          <w:p w14:paraId="4225B489" w14:textId="77777777" w:rsidR="008061DB" w:rsidRPr="004C78D8" w:rsidRDefault="008061DB" w:rsidP="00FB7C1F">
            <w:pPr>
              <w:jc w:val="center"/>
              <w:rPr>
                <w:sz w:val="28"/>
                <w:szCs w:val="28"/>
              </w:rPr>
            </w:pPr>
            <w:r w:rsidRPr="004C78D8">
              <w:rPr>
                <w:rFonts w:cs="Times New Roman"/>
                <w:sz w:val="28"/>
                <w:szCs w:val="28"/>
              </w:rPr>
              <w:t>˟</w:t>
            </w:r>
          </w:p>
        </w:tc>
        <w:tc>
          <w:tcPr>
            <w:tcW w:w="471" w:type="pct"/>
            <w:tcBorders>
              <w:top w:val="nil"/>
              <w:bottom w:val="nil"/>
            </w:tcBorders>
            <w:vAlign w:val="center"/>
          </w:tcPr>
          <w:p w14:paraId="3B8BCE00" w14:textId="77777777" w:rsidR="008061DB" w:rsidRPr="004C78D8" w:rsidRDefault="008061DB" w:rsidP="00FB7C1F">
            <w:pPr>
              <w:jc w:val="center"/>
              <w:rPr>
                <w:sz w:val="28"/>
                <w:szCs w:val="28"/>
              </w:rPr>
            </w:pPr>
            <w:r w:rsidRPr="004C78D8">
              <w:rPr>
                <w:rFonts w:cs="Times New Roman"/>
                <w:sz w:val="28"/>
                <w:szCs w:val="28"/>
              </w:rPr>
              <w:t>˟</w:t>
            </w:r>
          </w:p>
        </w:tc>
        <w:tc>
          <w:tcPr>
            <w:tcW w:w="593" w:type="pct"/>
            <w:tcBorders>
              <w:top w:val="nil"/>
              <w:bottom w:val="nil"/>
            </w:tcBorders>
            <w:vAlign w:val="center"/>
          </w:tcPr>
          <w:p w14:paraId="7D6AB4DB" w14:textId="77777777" w:rsidR="008061DB" w:rsidRPr="004C78D8" w:rsidRDefault="008061DB" w:rsidP="00FB7C1F">
            <w:pPr>
              <w:jc w:val="center"/>
              <w:rPr>
                <w:sz w:val="28"/>
                <w:szCs w:val="28"/>
              </w:rPr>
            </w:pPr>
            <w:r w:rsidRPr="004C78D8">
              <w:rPr>
                <w:rFonts w:cs="Times New Roman"/>
                <w:sz w:val="28"/>
                <w:szCs w:val="28"/>
              </w:rPr>
              <w:t>˟</w:t>
            </w:r>
          </w:p>
        </w:tc>
        <w:tc>
          <w:tcPr>
            <w:tcW w:w="558" w:type="pct"/>
            <w:tcBorders>
              <w:top w:val="nil"/>
              <w:bottom w:val="nil"/>
            </w:tcBorders>
            <w:vAlign w:val="center"/>
          </w:tcPr>
          <w:p w14:paraId="01A9341E" w14:textId="77777777" w:rsidR="008061DB" w:rsidRPr="004C78D8" w:rsidRDefault="008061DB" w:rsidP="00FB7C1F">
            <w:pPr>
              <w:jc w:val="center"/>
            </w:pPr>
          </w:p>
        </w:tc>
      </w:tr>
      <w:tr w:rsidR="008061DB" w:rsidRPr="004C78D8" w14:paraId="6E4D2CBE" w14:textId="77777777" w:rsidTr="002828C1">
        <w:tc>
          <w:tcPr>
            <w:tcW w:w="1255" w:type="pct"/>
          </w:tcPr>
          <w:p w14:paraId="01D38043" w14:textId="77777777" w:rsidR="008061DB" w:rsidRPr="004C78D8" w:rsidRDefault="008061DB" w:rsidP="00FB7C1F">
            <w:pPr>
              <w:jc w:val="left"/>
              <w:rPr>
                <w:sz w:val="18"/>
                <w:szCs w:val="18"/>
              </w:rPr>
            </w:pPr>
            <w:r w:rsidRPr="004C78D8">
              <w:rPr>
                <w:sz w:val="18"/>
                <w:szCs w:val="18"/>
              </w:rPr>
              <w:t>RCN (2005)</w:t>
            </w:r>
          </w:p>
        </w:tc>
        <w:tc>
          <w:tcPr>
            <w:tcW w:w="551" w:type="pct"/>
            <w:tcBorders>
              <w:top w:val="nil"/>
              <w:bottom w:val="nil"/>
            </w:tcBorders>
            <w:vAlign w:val="center"/>
          </w:tcPr>
          <w:p w14:paraId="29EC314E" w14:textId="77777777" w:rsidR="008061DB" w:rsidRPr="004C78D8" w:rsidRDefault="008061DB" w:rsidP="00FB7C1F">
            <w:pPr>
              <w:jc w:val="center"/>
            </w:pPr>
          </w:p>
        </w:tc>
        <w:tc>
          <w:tcPr>
            <w:tcW w:w="550" w:type="pct"/>
            <w:tcBorders>
              <w:top w:val="nil"/>
              <w:bottom w:val="nil"/>
            </w:tcBorders>
            <w:vAlign w:val="center"/>
          </w:tcPr>
          <w:p w14:paraId="652C4232" w14:textId="77777777" w:rsidR="008061DB" w:rsidRPr="004C78D8" w:rsidRDefault="008061DB" w:rsidP="00FB7C1F">
            <w:pPr>
              <w:jc w:val="center"/>
              <w:rPr>
                <w:sz w:val="18"/>
                <w:szCs w:val="18"/>
              </w:rPr>
            </w:pPr>
            <w:r w:rsidRPr="004C78D8">
              <w:rPr>
                <w:rFonts w:cs="Times New Roman"/>
                <w:sz w:val="18"/>
                <w:szCs w:val="18"/>
              </w:rPr>
              <w:t>MA</w:t>
            </w:r>
          </w:p>
        </w:tc>
        <w:tc>
          <w:tcPr>
            <w:tcW w:w="550" w:type="pct"/>
            <w:tcBorders>
              <w:top w:val="nil"/>
              <w:bottom w:val="nil"/>
            </w:tcBorders>
            <w:vAlign w:val="center"/>
          </w:tcPr>
          <w:p w14:paraId="6DF4663B" w14:textId="77777777" w:rsidR="008061DB" w:rsidRPr="004C78D8" w:rsidRDefault="008061DB" w:rsidP="00FB7C1F">
            <w:pPr>
              <w:jc w:val="center"/>
              <w:rPr>
                <w:sz w:val="18"/>
                <w:szCs w:val="18"/>
              </w:rPr>
            </w:pPr>
            <w:r w:rsidRPr="004C78D8">
              <w:rPr>
                <w:rFonts w:cs="Times New Roman"/>
                <w:sz w:val="18"/>
                <w:szCs w:val="18"/>
              </w:rPr>
              <w:t>Hip</w:t>
            </w:r>
          </w:p>
        </w:tc>
        <w:tc>
          <w:tcPr>
            <w:tcW w:w="472" w:type="pct"/>
            <w:tcBorders>
              <w:top w:val="nil"/>
              <w:bottom w:val="nil"/>
            </w:tcBorders>
            <w:vAlign w:val="center"/>
          </w:tcPr>
          <w:p w14:paraId="5402DF1E" w14:textId="77777777" w:rsidR="008061DB" w:rsidRPr="004C78D8" w:rsidRDefault="008061DB" w:rsidP="00FB7C1F">
            <w:pPr>
              <w:jc w:val="center"/>
            </w:pPr>
          </w:p>
        </w:tc>
        <w:tc>
          <w:tcPr>
            <w:tcW w:w="471" w:type="pct"/>
            <w:tcBorders>
              <w:top w:val="nil"/>
              <w:bottom w:val="nil"/>
            </w:tcBorders>
            <w:vAlign w:val="center"/>
          </w:tcPr>
          <w:p w14:paraId="0D365B24" w14:textId="77777777" w:rsidR="008061DB" w:rsidRPr="004C78D8" w:rsidRDefault="008061DB" w:rsidP="00FB7C1F">
            <w:pPr>
              <w:jc w:val="center"/>
            </w:pPr>
          </w:p>
        </w:tc>
        <w:tc>
          <w:tcPr>
            <w:tcW w:w="593" w:type="pct"/>
            <w:tcBorders>
              <w:top w:val="nil"/>
              <w:bottom w:val="nil"/>
            </w:tcBorders>
            <w:vAlign w:val="center"/>
          </w:tcPr>
          <w:p w14:paraId="7953345D" w14:textId="77777777" w:rsidR="008061DB" w:rsidRPr="004C78D8" w:rsidRDefault="008061DB" w:rsidP="00FB7C1F">
            <w:pPr>
              <w:jc w:val="center"/>
            </w:pPr>
          </w:p>
        </w:tc>
        <w:tc>
          <w:tcPr>
            <w:tcW w:w="558" w:type="pct"/>
            <w:tcBorders>
              <w:top w:val="nil"/>
              <w:bottom w:val="nil"/>
            </w:tcBorders>
            <w:vAlign w:val="center"/>
          </w:tcPr>
          <w:p w14:paraId="080CCE26" w14:textId="77777777" w:rsidR="008061DB" w:rsidRPr="004C78D8" w:rsidRDefault="008061DB" w:rsidP="00FB7C1F">
            <w:pPr>
              <w:jc w:val="center"/>
            </w:pPr>
          </w:p>
        </w:tc>
      </w:tr>
      <w:tr w:rsidR="008061DB" w:rsidRPr="004C78D8" w14:paraId="428E129A" w14:textId="77777777" w:rsidTr="002828C1">
        <w:tc>
          <w:tcPr>
            <w:tcW w:w="1255" w:type="pct"/>
          </w:tcPr>
          <w:p w14:paraId="21BA63EB" w14:textId="77777777" w:rsidR="008061DB" w:rsidRPr="004C78D8" w:rsidRDefault="008061DB" w:rsidP="00FB7C1F">
            <w:pPr>
              <w:jc w:val="left"/>
              <w:rPr>
                <w:sz w:val="18"/>
                <w:szCs w:val="18"/>
              </w:rPr>
            </w:pPr>
            <w:r w:rsidRPr="004C78D8">
              <w:rPr>
                <w:sz w:val="18"/>
                <w:szCs w:val="18"/>
              </w:rPr>
              <w:t>Sach (2007); (2010)</w:t>
            </w:r>
          </w:p>
        </w:tc>
        <w:tc>
          <w:tcPr>
            <w:tcW w:w="551" w:type="pct"/>
            <w:tcBorders>
              <w:top w:val="nil"/>
              <w:bottom w:val="nil"/>
            </w:tcBorders>
            <w:vAlign w:val="center"/>
          </w:tcPr>
          <w:p w14:paraId="0698019F" w14:textId="77777777" w:rsidR="008061DB" w:rsidRPr="004C78D8" w:rsidRDefault="008061DB"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1082DCAC" w14:textId="77777777" w:rsidR="008061DB" w:rsidRPr="004C78D8" w:rsidRDefault="008061DB" w:rsidP="00FB7C1F">
            <w:pPr>
              <w:jc w:val="center"/>
              <w:rPr>
                <w:sz w:val="18"/>
                <w:szCs w:val="18"/>
              </w:rPr>
            </w:pPr>
            <w:r w:rsidRPr="004C78D8">
              <w:rPr>
                <w:rFonts w:cs="Times New Roman"/>
                <w:sz w:val="18"/>
                <w:szCs w:val="18"/>
              </w:rPr>
              <w:t>MA</w:t>
            </w:r>
          </w:p>
        </w:tc>
        <w:tc>
          <w:tcPr>
            <w:tcW w:w="550" w:type="pct"/>
            <w:tcBorders>
              <w:top w:val="nil"/>
              <w:bottom w:val="nil"/>
            </w:tcBorders>
            <w:vAlign w:val="center"/>
          </w:tcPr>
          <w:p w14:paraId="075876E6" w14:textId="77777777" w:rsidR="008061DB" w:rsidRPr="004C78D8" w:rsidRDefault="008061DB" w:rsidP="00FB7C1F">
            <w:pPr>
              <w:jc w:val="center"/>
              <w:rPr>
                <w:sz w:val="18"/>
                <w:szCs w:val="18"/>
              </w:rPr>
            </w:pPr>
          </w:p>
        </w:tc>
        <w:tc>
          <w:tcPr>
            <w:tcW w:w="472" w:type="pct"/>
            <w:tcBorders>
              <w:top w:val="nil"/>
              <w:bottom w:val="nil"/>
            </w:tcBorders>
            <w:vAlign w:val="center"/>
          </w:tcPr>
          <w:p w14:paraId="67D602CF" w14:textId="77777777" w:rsidR="008061DB" w:rsidRPr="004C78D8" w:rsidRDefault="008061DB" w:rsidP="00FB7C1F">
            <w:pPr>
              <w:jc w:val="center"/>
            </w:pPr>
          </w:p>
        </w:tc>
        <w:tc>
          <w:tcPr>
            <w:tcW w:w="471" w:type="pct"/>
            <w:tcBorders>
              <w:top w:val="nil"/>
              <w:bottom w:val="nil"/>
            </w:tcBorders>
            <w:vAlign w:val="center"/>
          </w:tcPr>
          <w:p w14:paraId="1836B451" w14:textId="77777777" w:rsidR="008061DB" w:rsidRPr="004C78D8" w:rsidRDefault="008061DB" w:rsidP="00FB7C1F">
            <w:pPr>
              <w:jc w:val="center"/>
            </w:pPr>
          </w:p>
        </w:tc>
        <w:tc>
          <w:tcPr>
            <w:tcW w:w="593" w:type="pct"/>
            <w:tcBorders>
              <w:top w:val="nil"/>
              <w:bottom w:val="nil"/>
            </w:tcBorders>
            <w:vAlign w:val="center"/>
          </w:tcPr>
          <w:p w14:paraId="05B0373C" w14:textId="77777777" w:rsidR="008061DB" w:rsidRPr="004C78D8" w:rsidRDefault="008061DB" w:rsidP="00FB7C1F">
            <w:pPr>
              <w:jc w:val="center"/>
            </w:pPr>
          </w:p>
        </w:tc>
        <w:tc>
          <w:tcPr>
            <w:tcW w:w="558" w:type="pct"/>
            <w:tcBorders>
              <w:top w:val="nil"/>
              <w:bottom w:val="nil"/>
            </w:tcBorders>
            <w:vAlign w:val="center"/>
          </w:tcPr>
          <w:p w14:paraId="5443A7ED" w14:textId="77777777" w:rsidR="008061DB" w:rsidRPr="004C78D8" w:rsidRDefault="008061DB" w:rsidP="00FB7C1F">
            <w:pPr>
              <w:jc w:val="center"/>
            </w:pPr>
          </w:p>
        </w:tc>
      </w:tr>
      <w:tr w:rsidR="008061DB" w:rsidRPr="004C78D8" w14:paraId="1ADC1B11" w14:textId="77777777" w:rsidTr="002828C1">
        <w:tc>
          <w:tcPr>
            <w:tcW w:w="1255" w:type="pct"/>
          </w:tcPr>
          <w:p w14:paraId="5F6C802D" w14:textId="77777777" w:rsidR="008061DB" w:rsidRPr="004C78D8" w:rsidRDefault="008061DB" w:rsidP="00FB7C1F">
            <w:pPr>
              <w:jc w:val="left"/>
              <w:rPr>
                <w:sz w:val="18"/>
                <w:szCs w:val="18"/>
              </w:rPr>
            </w:pPr>
            <w:r w:rsidRPr="004C78D8">
              <w:rPr>
                <w:sz w:val="18"/>
                <w:szCs w:val="18"/>
              </w:rPr>
              <w:t>Smith (2016)</w:t>
            </w:r>
          </w:p>
        </w:tc>
        <w:tc>
          <w:tcPr>
            <w:tcW w:w="551" w:type="pct"/>
            <w:tcBorders>
              <w:top w:val="nil"/>
              <w:bottom w:val="nil"/>
            </w:tcBorders>
            <w:vAlign w:val="center"/>
          </w:tcPr>
          <w:p w14:paraId="607E1D35" w14:textId="77777777" w:rsidR="008061DB" w:rsidRPr="004C78D8" w:rsidRDefault="008061DB" w:rsidP="00FB7C1F">
            <w:pPr>
              <w:jc w:val="center"/>
            </w:pPr>
          </w:p>
        </w:tc>
        <w:tc>
          <w:tcPr>
            <w:tcW w:w="550" w:type="pct"/>
            <w:tcBorders>
              <w:top w:val="nil"/>
              <w:bottom w:val="nil"/>
            </w:tcBorders>
            <w:vAlign w:val="center"/>
          </w:tcPr>
          <w:p w14:paraId="61335271" w14:textId="77777777" w:rsidR="008061DB" w:rsidRPr="004C78D8" w:rsidRDefault="008061DB" w:rsidP="00FB7C1F">
            <w:pPr>
              <w:jc w:val="center"/>
              <w:rPr>
                <w:sz w:val="18"/>
                <w:szCs w:val="18"/>
              </w:rPr>
            </w:pPr>
            <w:r w:rsidRPr="004C78D8">
              <w:rPr>
                <w:rFonts w:cs="Times New Roman"/>
                <w:sz w:val="18"/>
                <w:szCs w:val="18"/>
              </w:rPr>
              <w:t>MA</w:t>
            </w:r>
          </w:p>
        </w:tc>
        <w:tc>
          <w:tcPr>
            <w:tcW w:w="550" w:type="pct"/>
            <w:tcBorders>
              <w:top w:val="nil"/>
              <w:bottom w:val="nil"/>
            </w:tcBorders>
            <w:vAlign w:val="center"/>
          </w:tcPr>
          <w:p w14:paraId="08EEB13D" w14:textId="77777777" w:rsidR="008061DB" w:rsidRPr="004C78D8" w:rsidRDefault="008061DB" w:rsidP="00FB7C1F">
            <w:pPr>
              <w:jc w:val="center"/>
              <w:rPr>
                <w:sz w:val="18"/>
                <w:szCs w:val="18"/>
              </w:rPr>
            </w:pPr>
            <w:r w:rsidRPr="004C78D8">
              <w:rPr>
                <w:rFonts w:cs="Times New Roman"/>
                <w:sz w:val="18"/>
                <w:szCs w:val="18"/>
              </w:rPr>
              <w:t>Mix</w:t>
            </w:r>
          </w:p>
        </w:tc>
        <w:tc>
          <w:tcPr>
            <w:tcW w:w="472" w:type="pct"/>
            <w:tcBorders>
              <w:top w:val="nil"/>
              <w:bottom w:val="nil"/>
            </w:tcBorders>
            <w:vAlign w:val="center"/>
          </w:tcPr>
          <w:p w14:paraId="4812321F" w14:textId="77777777" w:rsidR="008061DB" w:rsidRPr="004C78D8" w:rsidRDefault="008061DB" w:rsidP="00FB7C1F">
            <w:pPr>
              <w:jc w:val="center"/>
            </w:pPr>
          </w:p>
        </w:tc>
        <w:tc>
          <w:tcPr>
            <w:tcW w:w="471" w:type="pct"/>
            <w:tcBorders>
              <w:top w:val="nil"/>
              <w:bottom w:val="nil"/>
            </w:tcBorders>
            <w:vAlign w:val="center"/>
          </w:tcPr>
          <w:p w14:paraId="7D19BB9B" w14:textId="77777777" w:rsidR="008061DB" w:rsidRPr="004C78D8" w:rsidRDefault="008061DB" w:rsidP="00FB7C1F">
            <w:pPr>
              <w:jc w:val="center"/>
            </w:pPr>
          </w:p>
        </w:tc>
        <w:tc>
          <w:tcPr>
            <w:tcW w:w="593" w:type="pct"/>
            <w:tcBorders>
              <w:top w:val="nil"/>
              <w:bottom w:val="nil"/>
            </w:tcBorders>
            <w:vAlign w:val="center"/>
          </w:tcPr>
          <w:p w14:paraId="5F3F1C2C" w14:textId="77777777" w:rsidR="008061DB" w:rsidRPr="004C78D8" w:rsidRDefault="008061DB" w:rsidP="00FB7C1F">
            <w:pPr>
              <w:jc w:val="center"/>
            </w:pPr>
          </w:p>
        </w:tc>
        <w:tc>
          <w:tcPr>
            <w:tcW w:w="558" w:type="pct"/>
            <w:tcBorders>
              <w:top w:val="nil"/>
              <w:bottom w:val="nil"/>
            </w:tcBorders>
            <w:vAlign w:val="center"/>
          </w:tcPr>
          <w:p w14:paraId="1328AF5C" w14:textId="77777777" w:rsidR="008061DB" w:rsidRPr="004C78D8" w:rsidRDefault="008061DB" w:rsidP="00FB7C1F">
            <w:pPr>
              <w:jc w:val="center"/>
            </w:pPr>
          </w:p>
        </w:tc>
      </w:tr>
      <w:tr w:rsidR="008061DB" w:rsidRPr="004C78D8" w14:paraId="6DB8EDCC" w14:textId="77777777" w:rsidTr="002828C1">
        <w:tc>
          <w:tcPr>
            <w:tcW w:w="1255" w:type="pct"/>
          </w:tcPr>
          <w:p w14:paraId="090708F6" w14:textId="77777777" w:rsidR="008061DB" w:rsidRPr="004C78D8" w:rsidRDefault="008061DB" w:rsidP="00FB7C1F">
            <w:pPr>
              <w:jc w:val="left"/>
              <w:rPr>
                <w:sz w:val="18"/>
                <w:szCs w:val="18"/>
              </w:rPr>
            </w:pPr>
            <w:r w:rsidRPr="004C78D8">
              <w:rPr>
                <w:sz w:val="18"/>
                <w:szCs w:val="18"/>
              </w:rPr>
              <w:t>Tannenbaum (2015)</w:t>
            </w:r>
          </w:p>
        </w:tc>
        <w:tc>
          <w:tcPr>
            <w:tcW w:w="551" w:type="pct"/>
            <w:tcBorders>
              <w:top w:val="nil"/>
              <w:bottom w:val="nil"/>
            </w:tcBorders>
            <w:vAlign w:val="center"/>
          </w:tcPr>
          <w:p w14:paraId="6DEF782B" w14:textId="77777777" w:rsidR="008061DB" w:rsidRPr="004C78D8" w:rsidRDefault="008061DB"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16E1E94F" w14:textId="77777777" w:rsidR="008061DB" w:rsidRPr="004C78D8" w:rsidRDefault="008061DB" w:rsidP="00FB7C1F">
            <w:pPr>
              <w:jc w:val="center"/>
              <w:rPr>
                <w:sz w:val="18"/>
                <w:szCs w:val="18"/>
              </w:rPr>
            </w:pPr>
            <w:r w:rsidRPr="004C78D8">
              <w:rPr>
                <w:rFonts w:cs="Times New Roman"/>
                <w:sz w:val="18"/>
                <w:szCs w:val="18"/>
              </w:rPr>
              <w:t>MA</w:t>
            </w:r>
          </w:p>
        </w:tc>
        <w:tc>
          <w:tcPr>
            <w:tcW w:w="550" w:type="pct"/>
            <w:tcBorders>
              <w:top w:val="nil"/>
              <w:bottom w:val="nil"/>
            </w:tcBorders>
            <w:vAlign w:val="center"/>
          </w:tcPr>
          <w:p w14:paraId="73C02D86" w14:textId="77777777" w:rsidR="008061DB" w:rsidRPr="004C78D8" w:rsidRDefault="008061DB" w:rsidP="00FB7C1F">
            <w:pPr>
              <w:jc w:val="center"/>
              <w:rPr>
                <w:sz w:val="18"/>
                <w:szCs w:val="18"/>
              </w:rPr>
            </w:pPr>
            <w:r w:rsidRPr="004C78D8">
              <w:rPr>
                <w:rFonts w:cs="Times New Roman"/>
                <w:sz w:val="18"/>
                <w:szCs w:val="18"/>
              </w:rPr>
              <w:t>Mix</w:t>
            </w:r>
          </w:p>
        </w:tc>
        <w:tc>
          <w:tcPr>
            <w:tcW w:w="472" w:type="pct"/>
            <w:tcBorders>
              <w:top w:val="nil"/>
              <w:bottom w:val="nil"/>
            </w:tcBorders>
            <w:vAlign w:val="center"/>
          </w:tcPr>
          <w:p w14:paraId="2E9F65DE" w14:textId="77777777" w:rsidR="008061DB" w:rsidRPr="004C78D8" w:rsidRDefault="008061DB" w:rsidP="00FB7C1F">
            <w:pPr>
              <w:jc w:val="center"/>
              <w:rPr>
                <w:sz w:val="28"/>
                <w:szCs w:val="28"/>
              </w:rPr>
            </w:pPr>
            <w:r w:rsidRPr="004C78D8">
              <w:rPr>
                <w:rFonts w:cs="Times New Roman"/>
                <w:sz w:val="28"/>
                <w:szCs w:val="28"/>
              </w:rPr>
              <w:t>˟</w:t>
            </w:r>
          </w:p>
        </w:tc>
        <w:tc>
          <w:tcPr>
            <w:tcW w:w="471" w:type="pct"/>
            <w:tcBorders>
              <w:top w:val="nil"/>
              <w:bottom w:val="nil"/>
            </w:tcBorders>
            <w:vAlign w:val="center"/>
          </w:tcPr>
          <w:p w14:paraId="3413B69D" w14:textId="77777777" w:rsidR="008061DB" w:rsidRPr="004C78D8" w:rsidRDefault="008061DB" w:rsidP="00FB7C1F">
            <w:pPr>
              <w:jc w:val="center"/>
              <w:rPr>
                <w:sz w:val="28"/>
                <w:szCs w:val="28"/>
              </w:rPr>
            </w:pPr>
            <w:r w:rsidRPr="004C78D8">
              <w:rPr>
                <w:rFonts w:cs="Times New Roman"/>
                <w:sz w:val="28"/>
                <w:szCs w:val="28"/>
              </w:rPr>
              <w:t>˟</w:t>
            </w:r>
          </w:p>
        </w:tc>
        <w:tc>
          <w:tcPr>
            <w:tcW w:w="593" w:type="pct"/>
            <w:tcBorders>
              <w:top w:val="nil"/>
              <w:bottom w:val="nil"/>
            </w:tcBorders>
            <w:vAlign w:val="center"/>
          </w:tcPr>
          <w:p w14:paraId="73516B04" w14:textId="77777777" w:rsidR="008061DB" w:rsidRPr="004C78D8" w:rsidRDefault="008061DB" w:rsidP="00FB7C1F">
            <w:pPr>
              <w:jc w:val="center"/>
              <w:rPr>
                <w:sz w:val="28"/>
                <w:szCs w:val="28"/>
              </w:rPr>
            </w:pPr>
          </w:p>
        </w:tc>
        <w:tc>
          <w:tcPr>
            <w:tcW w:w="558" w:type="pct"/>
            <w:tcBorders>
              <w:top w:val="nil"/>
              <w:bottom w:val="nil"/>
            </w:tcBorders>
            <w:vAlign w:val="center"/>
          </w:tcPr>
          <w:p w14:paraId="15836B52" w14:textId="77777777" w:rsidR="008061DB" w:rsidRPr="004C78D8" w:rsidRDefault="008061DB" w:rsidP="00FB7C1F">
            <w:pPr>
              <w:jc w:val="center"/>
              <w:rPr>
                <w:sz w:val="28"/>
                <w:szCs w:val="28"/>
              </w:rPr>
            </w:pPr>
            <w:r w:rsidRPr="004C78D8">
              <w:rPr>
                <w:rFonts w:cs="Times New Roman"/>
                <w:sz w:val="28"/>
                <w:szCs w:val="28"/>
              </w:rPr>
              <w:t>˟</w:t>
            </w:r>
          </w:p>
        </w:tc>
      </w:tr>
      <w:tr w:rsidR="008061DB" w:rsidRPr="004C78D8" w14:paraId="29CBAEF1" w14:textId="77777777" w:rsidTr="002828C1">
        <w:tc>
          <w:tcPr>
            <w:tcW w:w="1255" w:type="pct"/>
          </w:tcPr>
          <w:p w14:paraId="6A87901C" w14:textId="77777777" w:rsidR="008061DB" w:rsidRPr="004C78D8" w:rsidRDefault="008061DB" w:rsidP="00FB7C1F">
            <w:pPr>
              <w:jc w:val="left"/>
              <w:rPr>
                <w:sz w:val="18"/>
                <w:szCs w:val="18"/>
              </w:rPr>
            </w:pPr>
            <w:r w:rsidRPr="004C78D8">
              <w:rPr>
                <w:sz w:val="18"/>
                <w:szCs w:val="18"/>
              </w:rPr>
              <w:lastRenderedPageBreak/>
              <w:t>Turner (2020)</w:t>
            </w:r>
          </w:p>
        </w:tc>
        <w:tc>
          <w:tcPr>
            <w:tcW w:w="551" w:type="pct"/>
            <w:tcBorders>
              <w:top w:val="nil"/>
              <w:bottom w:val="nil"/>
            </w:tcBorders>
            <w:vAlign w:val="center"/>
          </w:tcPr>
          <w:p w14:paraId="6DB07CAD" w14:textId="77777777" w:rsidR="008061DB" w:rsidRPr="004C78D8" w:rsidRDefault="008061DB" w:rsidP="00FB7C1F">
            <w:pPr>
              <w:jc w:val="center"/>
              <w:rPr>
                <w:rFonts w:cs="Times New Roman"/>
                <w:sz w:val="28"/>
                <w:szCs w:val="28"/>
              </w:rPr>
            </w:pPr>
          </w:p>
        </w:tc>
        <w:tc>
          <w:tcPr>
            <w:tcW w:w="550" w:type="pct"/>
            <w:tcBorders>
              <w:top w:val="nil"/>
              <w:bottom w:val="nil"/>
            </w:tcBorders>
            <w:vAlign w:val="center"/>
          </w:tcPr>
          <w:p w14:paraId="26ABF861" w14:textId="77777777" w:rsidR="008061DB" w:rsidRPr="004C78D8" w:rsidRDefault="008061DB" w:rsidP="00FB7C1F">
            <w:pPr>
              <w:jc w:val="center"/>
              <w:rPr>
                <w:rFonts w:cs="Times New Roman"/>
                <w:sz w:val="18"/>
                <w:szCs w:val="18"/>
              </w:rPr>
            </w:pPr>
            <w:r w:rsidRPr="004C78D8">
              <w:rPr>
                <w:rFonts w:cs="Times New Roman"/>
                <w:sz w:val="18"/>
                <w:szCs w:val="18"/>
              </w:rPr>
              <w:t>MA</w:t>
            </w:r>
          </w:p>
        </w:tc>
        <w:tc>
          <w:tcPr>
            <w:tcW w:w="550" w:type="pct"/>
            <w:tcBorders>
              <w:top w:val="nil"/>
              <w:bottom w:val="nil"/>
            </w:tcBorders>
            <w:vAlign w:val="center"/>
          </w:tcPr>
          <w:p w14:paraId="2E645AB6" w14:textId="77777777" w:rsidR="008061DB" w:rsidRPr="004C78D8" w:rsidRDefault="008061DB" w:rsidP="00FB7C1F">
            <w:pPr>
              <w:jc w:val="center"/>
              <w:rPr>
                <w:rFonts w:cs="Times New Roman"/>
                <w:sz w:val="18"/>
                <w:szCs w:val="18"/>
              </w:rPr>
            </w:pPr>
            <w:r w:rsidRPr="004C78D8">
              <w:rPr>
                <w:rFonts w:cs="Times New Roman"/>
                <w:sz w:val="18"/>
                <w:szCs w:val="18"/>
              </w:rPr>
              <w:t>Mix</w:t>
            </w:r>
          </w:p>
        </w:tc>
        <w:tc>
          <w:tcPr>
            <w:tcW w:w="472" w:type="pct"/>
            <w:tcBorders>
              <w:top w:val="nil"/>
              <w:bottom w:val="nil"/>
            </w:tcBorders>
            <w:vAlign w:val="center"/>
          </w:tcPr>
          <w:p w14:paraId="5AF8B7CE" w14:textId="77777777" w:rsidR="008061DB" w:rsidRPr="004C78D8" w:rsidRDefault="008061DB" w:rsidP="00FB7C1F">
            <w:pPr>
              <w:jc w:val="center"/>
              <w:rPr>
                <w:rFonts w:cs="Times New Roman"/>
                <w:sz w:val="28"/>
                <w:szCs w:val="28"/>
              </w:rPr>
            </w:pPr>
            <w:r w:rsidRPr="004C78D8">
              <w:rPr>
                <w:rFonts w:cs="Times New Roman"/>
                <w:sz w:val="28"/>
                <w:szCs w:val="28"/>
              </w:rPr>
              <w:t>˟</w:t>
            </w:r>
          </w:p>
        </w:tc>
        <w:tc>
          <w:tcPr>
            <w:tcW w:w="471" w:type="pct"/>
            <w:tcBorders>
              <w:top w:val="nil"/>
              <w:bottom w:val="nil"/>
            </w:tcBorders>
            <w:vAlign w:val="center"/>
          </w:tcPr>
          <w:p w14:paraId="12B042D0" w14:textId="77777777" w:rsidR="008061DB" w:rsidRPr="004C78D8" w:rsidRDefault="008061DB" w:rsidP="00FB7C1F">
            <w:pPr>
              <w:jc w:val="center"/>
              <w:rPr>
                <w:rFonts w:cs="Times New Roman"/>
                <w:sz w:val="28"/>
                <w:szCs w:val="28"/>
              </w:rPr>
            </w:pPr>
          </w:p>
        </w:tc>
        <w:tc>
          <w:tcPr>
            <w:tcW w:w="593" w:type="pct"/>
            <w:tcBorders>
              <w:top w:val="nil"/>
              <w:bottom w:val="nil"/>
            </w:tcBorders>
            <w:vAlign w:val="center"/>
          </w:tcPr>
          <w:p w14:paraId="0EFFEB66" w14:textId="77777777" w:rsidR="008061DB" w:rsidRPr="004C78D8" w:rsidRDefault="008061DB" w:rsidP="00FB7C1F">
            <w:pPr>
              <w:jc w:val="center"/>
              <w:rPr>
                <w:sz w:val="28"/>
                <w:szCs w:val="28"/>
              </w:rPr>
            </w:pPr>
          </w:p>
        </w:tc>
        <w:tc>
          <w:tcPr>
            <w:tcW w:w="558" w:type="pct"/>
            <w:tcBorders>
              <w:top w:val="nil"/>
              <w:bottom w:val="nil"/>
            </w:tcBorders>
            <w:vAlign w:val="center"/>
          </w:tcPr>
          <w:p w14:paraId="0AF666A0" w14:textId="77777777" w:rsidR="008061DB" w:rsidRPr="004C78D8" w:rsidRDefault="008061DB" w:rsidP="00FB7C1F">
            <w:pPr>
              <w:jc w:val="center"/>
              <w:rPr>
                <w:rFonts w:cs="Times New Roman"/>
                <w:sz w:val="28"/>
                <w:szCs w:val="28"/>
              </w:rPr>
            </w:pPr>
          </w:p>
        </w:tc>
      </w:tr>
      <w:tr w:rsidR="008061DB" w:rsidRPr="004C78D8" w14:paraId="58CEE532" w14:textId="77777777" w:rsidTr="002828C1">
        <w:tc>
          <w:tcPr>
            <w:tcW w:w="1255" w:type="pct"/>
          </w:tcPr>
          <w:p w14:paraId="06030A7A" w14:textId="77777777" w:rsidR="008061DB" w:rsidRPr="004C78D8" w:rsidRDefault="008061DB" w:rsidP="00FB7C1F">
            <w:pPr>
              <w:jc w:val="left"/>
              <w:rPr>
                <w:sz w:val="18"/>
                <w:szCs w:val="18"/>
              </w:rPr>
            </w:pPr>
            <w:r w:rsidRPr="004C78D8">
              <w:rPr>
                <w:sz w:val="18"/>
                <w:szCs w:val="18"/>
              </w:rPr>
              <w:t>Velde (2008)</w:t>
            </w:r>
          </w:p>
        </w:tc>
        <w:tc>
          <w:tcPr>
            <w:tcW w:w="551" w:type="pct"/>
            <w:tcBorders>
              <w:top w:val="nil"/>
              <w:bottom w:val="nil"/>
            </w:tcBorders>
            <w:vAlign w:val="center"/>
          </w:tcPr>
          <w:p w14:paraId="3DB5A344" w14:textId="77777777" w:rsidR="008061DB" w:rsidRPr="004C78D8" w:rsidRDefault="008061DB"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7C454356" w14:textId="77777777" w:rsidR="008061DB" w:rsidRPr="004C78D8" w:rsidRDefault="008061DB" w:rsidP="00FB7C1F">
            <w:pPr>
              <w:jc w:val="center"/>
              <w:rPr>
                <w:sz w:val="18"/>
                <w:szCs w:val="18"/>
              </w:rPr>
            </w:pPr>
            <w:r w:rsidRPr="004C78D8">
              <w:rPr>
                <w:rFonts w:cs="Times New Roman"/>
                <w:sz w:val="18"/>
                <w:szCs w:val="18"/>
              </w:rPr>
              <w:t>MA</w:t>
            </w:r>
          </w:p>
        </w:tc>
        <w:tc>
          <w:tcPr>
            <w:tcW w:w="550" w:type="pct"/>
            <w:tcBorders>
              <w:top w:val="nil"/>
              <w:bottom w:val="nil"/>
            </w:tcBorders>
            <w:vAlign w:val="center"/>
          </w:tcPr>
          <w:p w14:paraId="08354011" w14:textId="77777777" w:rsidR="008061DB" w:rsidRPr="004C78D8" w:rsidRDefault="008061DB" w:rsidP="00FB7C1F">
            <w:pPr>
              <w:jc w:val="center"/>
              <w:rPr>
                <w:sz w:val="18"/>
                <w:szCs w:val="18"/>
              </w:rPr>
            </w:pPr>
          </w:p>
        </w:tc>
        <w:tc>
          <w:tcPr>
            <w:tcW w:w="472" w:type="pct"/>
            <w:tcBorders>
              <w:top w:val="nil"/>
              <w:bottom w:val="nil"/>
            </w:tcBorders>
            <w:vAlign w:val="center"/>
          </w:tcPr>
          <w:p w14:paraId="7DE78F88" w14:textId="77777777" w:rsidR="008061DB" w:rsidRPr="004C78D8" w:rsidRDefault="008061DB" w:rsidP="00FB7C1F">
            <w:pPr>
              <w:jc w:val="center"/>
            </w:pPr>
          </w:p>
        </w:tc>
        <w:tc>
          <w:tcPr>
            <w:tcW w:w="471" w:type="pct"/>
            <w:tcBorders>
              <w:top w:val="nil"/>
              <w:bottom w:val="nil"/>
            </w:tcBorders>
            <w:vAlign w:val="center"/>
          </w:tcPr>
          <w:p w14:paraId="377A5FEC" w14:textId="77777777" w:rsidR="008061DB" w:rsidRPr="004C78D8" w:rsidRDefault="008061DB" w:rsidP="00FB7C1F">
            <w:pPr>
              <w:jc w:val="center"/>
            </w:pPr>
          </w:p>
        </w:tc>
        <w:tc>
          <w:tcPr>
            <w:tcW w:w="593" w:type="pct"/>
            <w:tcBorders>
              <w:top w:val="nil"/>
              <w:bottom w:val="nil"/>
            </w:tcBorders>
            <w:vAlign w:val="center"/>
          </w:tcPr>
          <w:p w14:paraId="6CBEC2F7" w14:textId="77777777" w:rsidR="008061DB" w:rsidRPr="004C78D8" w:rsidRDefault="008061DB" w:rsidP="00FB7C1F">
            <w:pPr>
              <w:jc w:val="center"/>
            </w:pPr>
          </w:p>
        </w:tc>
        <w:tc>
          <w:tcPr>
            <w:tcW w:w="558" w:type="pct"/>
            <w:tcBorders>
              <w:top w:val="nil"/>
              <w:bottom w:val="nil"/>
            </w:tcBorders>
            <w:vAlign w:val="center"/>
          </w:tcPr>
          <w:p w14:paraId="6D4A5C96" w14:textId="77777777" w:rsidR="008061DB" w:rsidRPr="004C78D8" w:rsidRDefault="008061DB" w:rsidP="00FB7C1F">
            <w:pPr>
              <w:jc w:val="center"/>
            </w:pPr>
          </w:p>
        </w:tc>
      </w:tr>
      <w:tr w:rsidR="008061DB" w:rsidRPr="004C78D8" w14:paraId="407595E1" w14:textId="77777777" w:rsidTr="002828C1">
        <w:tc>
          <w:tcPr>
            <w:tcW w:w="1255" w:type="pct"/>
          </w:tcPr>
          <w:p w14:paraId="143B8F00" w14:textId="77777777" w:rsidR="008061DB" w:rsidRPr="004C78D8" w:rsidRDefault="008061DB" w:rsidP="00FB7C1F">
            <w:pPr>
              <w:jc w:val="left"/>
              <w:rPr>
                <w:sz w:val="18"/>
                <w:szCs w:val="18"/>
              </w:rPr>
            </w:pPr>
            <w:r w:rsidRPr="004C78D8">
              <w:rPr>
                <w:sz w:val="18"/>
                <w:szCs w:val="18"/>
              </w:rPr>
              <w:t>Wu (2010)</w:t>
            </w:r>
          </w:p>
        </w:tc>
        <w:tc>
          <w:tcPr>
            <w:tcW w:w="551" w:type="pct"/>
            <w:tcBorders>
              <w:top w:val="nil"/>
              <w:bottom w:val="nil"/>
            </w:tcBorders>
            <w:vAlign w:val="center"/>
          </w:tcPr>
          <w:p w14:paraId="4BE9B2B0" w14:textId="77777777" w:rsidR="008061DB" w:rsidRPr="004C78D8" w:rsidRDefault="008061DB"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5F78F2E9" w14:textId="77777777" w:rsidR="008061DB" w:rsidRPr="004C78D8" w:rsidRDefault="008061DB" w:rsidP="00FB7C1F">
            <w:pPr>
              <w:jc w:val="center"/>
              <w:rPr>
                <w:sz w:val="18"/>
                <w:szCs w:val="18"/>
              </w:rPr>
            </w:pPr>
            <w:r w:rsidRPr="004C78D8">
              <w:rPr>
                <w:sz w:val="18"/>
                <w:szCs w:val="18"/>
              </w:rPr>
              <w:t>MA</w:t>
            </w:r>
          </w:p>
        </w:tc>
        <w:tc>
          <w:tcPr>
            <w:tcW w:w="550" w:type="pct"/>
            <w:tcBorders>
              <w:top w:val="nil"/>
              <w:bottom w:val="nil"/>
            </w:tcBorders>
            <w:vAlign w:val="center"/>
          </w:tcPr>
          <w:p w14:paraId="3E0BC0D7" w14:textId="77777777" w:rsidR="008061DB" w:rsidRPr="004C78D8" w:rsidRDefault="008061DB" w:rsidP="00FB7C1F">
            <w:pPr>
              <w:jc w:val="center"/>
              <w:rPr>
                <w:sz w:val="18"/>
                <w:szCs w:val="18"/>
              </w:rPr>
            </w:pPr>
          </w:p>
        </w:tc>
        <w:tc>
          <w:tcPr>
            <w:tcW w:w="472" w:type="pct"/>
            <w:tcBorders>
              <w:top w:val="nil"/>
              <w:bottom w:val="nil"/>
            </w:tcBorders>
            <w:vAlign w:val="center"/>
          </w:tcPr>
          <w:p w14:paraId="63F1DD08" w14:textId="77777777" w:rsidR="008061DB" w:rsidRPr="004C78D8" w:rsidRDefault="008061DB" w:rsidP="00FB7C1F">
            <w:pPr>
              <w:jc w:val="center"/>
            </w:pPr>
          </w:p>
        </w:tc>
        <w:tc>
          <w:tcPr>
            <w:tcW w:w="471" w:type="pct"/>
            <w:tcBorders>
              <w:top w:val="nil"/>
              <w:bottom w:val="nil"/>
            </w:tcBorders>
            <w:vAlign w:val="center"/>
          </w:tcPr>
          <w:p w14:paraId="50B96F72" w14:textId="77777777" w:rsidR="008061DB" w:rsidRPr="004C78D8" w:rsidRDefault="008061DB" w:rsidP="00FB7C1F">
            <w:pPr>
              <w:jc w:val="center"/>
            </w:pPr>
          </w:p>
        </w:tc>
        <w:tc>
          <w:tcPr>
            <w:tcW w:w="593" w:type="pct"/>
            <w:tcBorders>
              <w:top w:val="nil"/>
              <w:bottom w:val="nil"/>
            </w:tcBorders>
            <w:vAlign w:val="center"/>
          </w:tcPr>
          <w:p w14:paraId="74F545B2" w14:textId="77777777" w:rsidR="008061DB" w:rsidRPr="004C78D8" w:rsidRDefault="008061DB" w:rsidP="00FB7C1F">
            <w:pPr>
              <w:jc w:val="center"/>
            </w:pPr>
          </w:p>
        </w:tc>
        <w:tc>
          <w:tcPr>
            <w:tcW w:w="558" w:type="pct"/>
            <w:tcBorders>
              <w:top w:val="nil"/>
              <w:bottom w:val="nil"/>
            </w:tcBorders>
            <w:vAlign w:val="center"/>
          </w:tcPr>
          <w:p w14:paraId="007FC357" w14:textId="77777777" w:rsidR="008061DB" w:rsidRPr="004C78D8" w:rsidRDefault="008061DB" w:rsidP="00FB7C1F">
            <w:pPr>
              <w:jc w:val="center"/>
            </w:pPr>
          </w:p>
        </w:tc>
      </w:tr>
      <w:tr w:rsidR="008061DB" w:rsidRPr="004C78D8" w14:paraId="76EACCAD" w14:textId="77777777" w:rsidTr="002828C1">
        <w:tc>
          <w:tcPr>
            <w:tcW w:w="1255" w:type="pct"/>
          </w:tcPr>
          <w:p w14:paraId="7A03B832" w14:textId="77777777" w:rsidR="008061DB" w:rsidRPr="004C78D8" w:rsidRDefault="008061DB" w:rsidP="00FB7C1F">
            <w:pPr>
              <w:jc w:val="left"/>
              <w:rPr>
                <w:sz w:val="18"/>
                <w:szCs w:val="18"/>
              </w:rPr>
            </w:pPr>
            <w:r w:rsidRPr="004C78D8">
              <w:rPr>
                <w:sz w:val="18"/>
                <w:szCs w:val="18"/>
              </w:rPr>
              <w:t>Zarca (2014)</w:t>
            </w:r>
          </w:p>
        </w:tc>
        <w:tc>
          <w:tcPr>
            <w:tcW w:w="551" w:type="pct"/>
            <w:tcBorders>
              <w:top w:val="nil"/>
            </w:tcBorders>
            <w:vAlign w:val="center"/>
          </w:tcPr>
          <w:p w14:paraId="7BBE4B33" w14:textId="77777777" w:rsidR="008061DB" w:rsidRPr="004C78D8" w:rsidRDefault="008061DB" w:rsidP="00FB7C1F">
            <w:pPr>
              <w:jc w:val="center"/>
            </w:pPr>
          </w:p>
        </w:tc>
        <w:tc>
          <w:tcPr>
            <w:tcW w:w="550" w:type="pct"/>
            <w:tcBorders>
              <w:top w:val="nil"/>
            </w:tcBorders>
            <w:vAlign w:val="center"/>
          </w:tcPr>
          <w:p w14:paraId="4E57D93D" w14:textId="77777777" w:rsidR="008061DB" w:rsidRPr="004C78D8" w:rsidRDefault="008061DB" w:rsidP="00FB7C1F">
            <w:pPr>
              <w:jc w:val="center"/>
            </w:pPr>
          </w:p>
        </w:tc>
        <w:tc>
          <w:tcPr>
            <w:tcW w:w="550" w:type="pct"/>
            <w:tcBorders>
              <w:top w:val="nil"/>
            </w:tcBorders>
            <w:vAlign w:val="center"/>
          </w:tcPr>
          <w:p w14:paraId="1B35E0CA" w14:textId="77777777" w:rsidR="008061DB" w:rsidRPr="004C78D8" w:rsidRDefault="008061DB" w:rsidP="00FB7C1F">
            <w:pPr>
              <w:jc w:val="center"/>
              <w:rPr>
                <w:sz w:val="18"/>
                <w:szCs w:val="18"/>
              </w:rPr>
            </w:pPr>
            <w:r w:rsidRPr="004C78D8">
              <w:rPr>
                <w:sz w:val="18"/>
                <w:szCs w:val="18"/>
              </w:rPr>
              <w:t>Hip</w:t>
            </w:r>
          </w:p>
        </w:tc>
        <w:tc>
          <w:tcPr>
            <w:tcW w:w="472" w:type="pct"/>
            <w:tcBorders>
              <w:top w:val="nil"/>
            </w:tcBorders>
            <w:vAlign w:val="center"/>
          </w:tcPr>
          <w:p w14:paraId="7CFD60DF" w14:textId="77777777" w:rsidR="008061DB" w:rsidRPr="004C78D8" w:rsidRDefault="008061DB" w:rsidP="00FB7C1F">
            <w:pPr>
              <w:jc w:val="center"/>
            </w:pPr>
          </w:p>
        </w:tc>
        <w:tc>
          <w:tcPr>
            <w:tcW w:w="471" w:type="pct"/>
            <w:tcBorders>
              <w:top w:val="nil"/>
            </w:tcBorders>
            <w:vAlign w:val="center"/>
          </w:tcPr>
          <w:p w14:paraId="1F7A53C2" w14:textId="77777777" w:rsidR="008061DB" w:rsidRPr="004C78D8" w:rsidRDefault="008061DB" w:rsidP="00FB7C1F">
            <w:pPr>
              <w:jc w:val="center"/>
            </w:pPr>
          </w:p>
        </w:tc>
        <w:tc>
          <w:tcPr>
            <w:tcW w:w="593" w:type="pct"/>
            <w:tcBorders>
              <w:top w:val="nil"/>
            </w:tcBorders>
            <w:vAlign w:val="center"/>
          </w:tcPr>
          <w:p w14:paraId="32EBFFFC" w14:textId="77777777" w:rsidR="008061DB" w:rsidRPr="004C78D8" w:rsidRDefault="008061DB" w:rsidP="00FB7C1F">
            <w:pPr>
              <w:jc w:val="center"/>
            </w:pPr>
          </w:p>
        </w:tc>
        <w:tc>
          <w:tcPr>
            <w:tcW w:w="558" w:type="pct"/>
            <w:tcBorders>
              <w:top w:val="nil"/>
            </w:tcBorders>
            <w:vAlign w:val="center"/>
          </w:tcPr>
          <w:p w14:paraId="22C83D77" w14:textId="77777777" w:rsidR="008061DB" w:rsidRPr="004C78D8" w:rsidRDefault="008061DB" w:rsidP="00FB7C1F">
            <w:pPr>
              <w:jc w:val="center"/>
              <w:rPr>
                <w:sz w:val="28"/>
                <w:szCs w:val="28"/>
              </w:rPr>
            </w:pPr>
            <w:r w:rsidRPr="004C78D8">
              <w:rPr>
                <w:rFonts w:cs="Times New Roman"/>
                <w:sz w:val="28"/>
                <w:szCs w:val="28"/>
              </w:rPr>
              <w:t>˟</w:t>
            </w:r>
          </w:p>
        </w:tc>
      </w:tr>
      <w:tr w:rsidR="008061DB" w:rsidRPr="004C78D8" w14:paraId="63901C4B" w14:textId="77777777" w:rsidTr="002828C1">
        <w:tc>
          <w:tcPr>
            <w:tcW w:w="5000" w:type="pct"/>
            <w:gridSpan w:val="8"/>
          </w:tcPr>
          <w:p w14:paraId="28BB0FDF" w14:textId="71C69C41" w:rsidR="008061DB" w:rsidRPr="004C78D8" w:rsidRDefault="008061DB" w:rsidP="00FB7C1F">
            <w:pPr>
              <w:rPr>
                <w:sz w:val="18"/>
                <w:szCs w:val="18"/>
              </w:rPr>
            </w:pPr>
            <w:r w:rsidRPr="004C78D8">
              <w:rPr>
                <w:b/>
                <w:bCs/>
                <w:sz w:val="18"/>
                <w:szCs w:val="18"/>
              </w:rPr>
              <w:t xml:space="preserve">Abbreviation: </w:t>
            </w:r>
            <w:r w:rsidRPr="004C78D8">
              <w:rPr>
                <w:sz w:val="18"/>
                <w:szCs w:val="18"/>
              </w:rPr>
              <w:t>BODE3: Burden of Disease Epidemiology, Equity and Cost-Effectiveness Programme studies, including Boyd (2020), Deverall (2018), Pega (2016) and Wilson (2017); Com: composite; LTC: long-term care; MA fall: fall requiring medical attention.</w:t>
            </w:r>
          </w:p>
          <w:p w14:paraId="2B5C9DC7" w14:textId="4315F700" w:rsidR="008061DB" w:rsidRPr="004C78D8" w:rsidRDefault="008061DB" w:rsidP="00FB7C1F">
            <w:pPr>
              <w:rPr>
                <w:sz w:val="18"/>
                <w:szCs w:val="18"/>
              </w:rPr>
            </w:pPr>
            <w:r w:rsidRPr="004C78D8">
              <w:rPr>
                <w:sz w:val="18"/>
                <w:szCs w:val="18"/>
                <w:vertAlign w:val="superscript"/>
              </w:rPr>
              <w:t>1</w:t>
            </w:r>
            <w:r w:rsidRPr="004C78D8">
              <w:rPr>
                <w:sz w:val="18"/>
                <w:szCs w:val="18"/>
              </w:rPr>
              <w:t xml:space="preserve"> Only the health consequences that are explicitly incorporated by models are catalogued: i.e., </w:t>
            </w:r>
            <w:r w:rsidR="00D71A94" w:rsidRPr="004C78D8">
              <w:rPr>
                <w:sz w:val="18"/>
                <w:szCs w:val="18"/>
              </w:rPr>
              <w:t xml:space="preserve">where </w:t>
            </w:r>
            <w:r w:rsidRPr="004C78D8">
              <w:rPr>
                <w:sz w:val="18"/>
                <w:szCs w:val="18"/>
              </w:rPr>
              <w:t>studies included separate model states and probabilities for each consequence.</w:t>
            </w:r>
          </w:p>
          <w:p w14:paraId="1B1DA4E0" w14:textId="190C6C56" w:rsidR="008061DB" w:rsidRPr="004C78D8" w:rsidRDefault="008061DB" w:rsidP="00FB7C1F">
            <w:pPr>
              <w:rPr>
                <w:sz w:val="18"/>
                <w:szCs w:val="18"/>
              </w:rPr>
            </w:pPr>
            <w:r w:rsidRPr="004C78D8">
              <w:rPr>
                <w:sz w:val="18"/>
                <w:szCs w:val="18"/>
                <w:vertAlign w:val="superscript"/>
              </w:rPr>
              <w:t>2</w:t>
            </w:r>
            <w:r w:rsidRPr="004C78D8">
              <w:rPr>
                <w:sz w:val="18"/>
                <w:szCs w:val="18"/>
              </w:rPr>
              <w:t xml:space="preserve"> See Table </w:t>
            </w:r>
            <w:r w:rsidR="00D14B01" w:rsidRPr="004C78D8">
              <w:rPr>
                <w:sz w:val="18"/>
                <w:szCs w:val="18"/>
              </w:rPr>
              <w:t>4</w:t>
            </w:r>
            <w:r w:rsidRPr="004C78D8">
              <w:rPr>
                <w:sz w:val="18"/>
                <w:szCs w:val="18"/>
              </w:rPr>
              <w:t>.2 for study references.</w:t>
            </w:r>
          </w:p>
          <w:p w14:paraId="6CADC85C" w14:textId="69227F44" w:rsidR="008B1D72" w:rsidRPr="004C78D8" w:rsidRDefault="008B1D72" w:rsidP="00FB7C1F">
            <w:pPr>
              <w:rPr>
                <w:sz w:val="18"/>
                <w:szCs w:val="18"/>
              </w:rPr>
            </w:pPr>
            <w:r w:rsidRPr="004C78D8">
              <w:rPr>
                <w:sz w:val="18"/>
                <w:szCs w:val="18"/>
                <w:vertAlign w:val="superscript"/>
              </w:rPr>
              <w:t>3</w:t>
            </w:r>
            <w:r w:rsidRPr="004C78D8">
              <w:rPr>
                <w:sz w:val="18"/>
                <w:szCs w:val="18"/>
              </w:rPr>
              <w:t xml:space="preserve"> The model incorporated multiple specified fracture types (e.g., hip, vertebral, wrist) or a general category of fracture without specifying the component fracture types.</w:t>
            </w:r>
          </w:p>
          <w:p w14:paraId="5B4AE716" w14:textId="2D22ECC3" w:rsidR="008061DB" w:rsidRPr="004C78D8" w:rsidRDefault="008B1D72" w:rsidP="00FB7C1F">
            <w:pPr>
              <w:rPr>
                <w:sz w:val="18"/>
                <w:szCs w:val="18"/>
              </w:rPr>
            </w:pPr>
            <w:r w:rsidRPr="004C78D8">
              <w:rPr>
                <w:sz w:val="18"/>
                <w:szCs w:val="18"/>
                <w:vertAlign w:val="superscript"/>
              </w:rPr>
              <w:t>4</w:t>
            </w:r>
            <w:r w:rsidR="008061DB" w:rsidRPr="004C78D8">
              <w:rPr>
                <w:sz w:val="18"/>
                <w:szCs w:val="18"/>
              </w:rPr>
              <w:t xml:space="preserve"> </w:t>
            </w:r>
            <w:r w:rsidR="00D14B01" w:rsidRPr="004C78D8">
              <w:rPr>
                <w:sz w:val="18"/>
                <w:szCs w:val="18"/>
              </w:rPr>
              <w:t>A</w:t>
            </w:r>
            <w:r w:rsidR="008061DB" w:rsidRPr="004C78D8">
              <w:rPr>
                <w:sz w:val="18"/>
                <w:szCs w:val="18"/>
              </w:rPr>
              <w:t xml:space="preserve"> composite measure of health consequences including recurrent falls, fear of falling and mobility and balance problems. Thus, </w:t>
            </w:r>
            <w:r w:rsidR="00D14B01" w:rsidRPr="004C78D8">
              <w:rPr>
                <w:sz w:val="18"/>
                <w:szCs w:val="18"/>
              </w:rPr>
              <w:t xml:space="preserve">columns for </w:t>
            </w:r>
            <w:r w:rsidR="008061DB" w:rsidRPr="004C78D8">
              <w:rPr>
                <w:sz w:val="18"/>
                <w:szCs w:val="18"/>
              </w:rPr>
              <w:t xml:space="preserve">fall types and fear of falling are marked as ‘Composite’ (Com). The model also included a multivariate frailty index capturing physical, psychological and social aspects of vulnerability. </w:t>
            </w:r>
          </w:p>
        </w:tc>
      </w:tr>
    </w:tbl>
    <w:p w14:paraId="78D92207" w14:textId="653C8F65" w:rsidR="008061DB" w:rsidRPr="004C78D8" w:rsidRDefault="008061DB" w:rsidP="00FB7C1F"/>
    <w:p w14:paraId="5F5608C8" w14:textId="6766704B" w:rsidR="00F52A5F" w:rsidRPr="004C78D8" w:rsidRDefault="00F52A5F" w:rsidP="00FB7C1F">
      <w:r w:rsidRPr="004C78D8">
        <w:t xml:space="preserve">There was </w:t>
      </w:r>
      <w:r w:rsidR="0068592F" w:rsidRPr="004C78D8">
        <w:t xml:space="preserve">a </w:t>
      </w:r>
      <w:r w:rsidRPr="004C78D8">
        <w:t>noticeable between-study variation in the range of health consequences: 21 (45.7%) models included non-injurious or non-MA falls; 10 (21.7%) considered only fractures, of which six considered only hip fracture; 16 (34.8%) included fatal falls; and six (13.0%) fear of falling. In Church (2011) and (2012), and Tannenbaum (2015), fear of falling was associated with non-MA and MA fall incidence; in Lee (2013) and PHE (2018) only with MA fall; in Eldridge (2005) fear could occur independently of falls. Fifteen (32.6%) incorporated fall-induced LTC admission; 12 (26.1%) incorporated excess mortality associated with major injuries.</w:t>
      </w:r>
    </w:p>
    <w:p w14:paraId="5F0F7CA1" w14:textId="7020E0C5" w:rsidR="00F52A5F" w:rsidRPr="004C78D8" w:rsidRDefault="00F52A5F" w:rsidP="00FB7C1F">
      <w:r w:rsidRPr="004C78D8">
        <w:t xml:space="preserve">Since a narrower range of health consequences would underestimate the cost-effectiveness of falls prevention, several models highlighted the exclusion of specific health consequences as a limitation: fear of falling </w:t>
      </w:r>
      <w:r w:rsidRPr="004C78D8">
        <w:fldChar w:fldCharType="begin">
          <w:fldData xml:space="preserve">PEVuZE5vdGU+PENpdGU+PEF1dGhvcj5EZXZlcmFsbDwvQXV0aG9yPjxZZWFyPjIwMTg8L1llYXI+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</w:fldData>
        </w:fldChar>
      </w:r>
      <w:r w:rsidR="00C630FC" w:rsidRPr="004C78D8">
        <w:instrText xml:space="preserve"> ADDIN EN.CITE </w:instrText>
      </w:r>
      <w:r w:rsidR="00C630FC" w:rsidRPr="004C78D8">
        <w:fldChar w:fldCharType="begin">
          <w:fldData xml:space="preserve">PEVuZE5vdGU+PENpdGU+PEF1dGhvcj5EZXZlcmFsbDwvQXV0aG9yPjxZZWFyPjIwMTg8L1llYXI+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[206, 241, 361]</w:t>
      </w:r>
      <w:r w:rsidRPr="004C78D8">
        <w:fldChar w:fldCharType="end"/>
      </w:r>
      <w:r w:rsidRPr="004C78D8">
        <w:t xml:space="preserve">; fatal falls </w:t>
      </w:r>
      <w:r w:rsidRPr="004C78D8">
        <w:fldChar w:fldCharType="begin">
          <w:fldData xml:space="preserve">PEVuZE5vdGU+PENpdGU+PEF1dGhvcj5NY0xlYW48L0F1dGhvcj48WWVhcj4yMDE1PC9ZZWFyPjxS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</w:fldData>
        </w:fldChar>
      </w:r>
      <w:r w:rsidR="00C630FC" w:rsidRPr="004C78D8">
        <w:instrText xml:space="preserve"> ADDIN EN.CITE </w:instrText>
      </w:r>
      <w:r w:rsidR="00C630FC" w:rsidRPr="004C78D8">
        <w:fldChar w:fldCharType="begin">
          <w:fldData xml:space="preserve">PEVuZE5vdGU+PENpdGU+PEF1dGhvcj5NY0xlYW48L0F1dGhvcj48WWVhcj4yMDE1PC9ZZWFyPjxS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[355]</w:t>
      </w:r>
      <w:r w:rsidRPr="004C78D8">
        <w:fldChar w:fldCharType="end"/>
      </w:r>
      <w:r w:rsidRPr="004C78D8">
        <w:t xml:space="preserve">; and non-fracture injuries </w:t>
      </w:r>
      <w:r w:rsidRPr="004C78D8">
        <w:fldChar w:fldCharType="begin">
          <w:fldData xml:space="preserve">PEVuZE5vdGU+PENpdGU+PEF1dGhvcj5Kb2hhbnNzb248L0F1dGhvcj48WWVhcj4yMDA4PC9ZZWFy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</w:fldData>
        </w:fldChar>
      </w:r>
      <w:r w:rsidR="00C630FC" w:rsidRPr="004C78D8">
        <w:instrText xml:space="preserve"> ADDIN EN.CITE </w:instrText>
      </w:r>
      <w:r w:rsidR="00C630FC" w:rsidRPr="004C78D8">
        <w:fldChar w:fldCharType="begin">
          <w:fldData xml:space="preserve">PEVuZE5vdGU+PENpdGU+PEF1dGhvcj5Kb2hhbnNzb248L0F1dGhvcj48WWVhcj4yMDA4PC9ZZWFy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[128, 344, 368]</w:t>
      </w:r>
      <w:r w:rsidRPr="004C78D8">
        <w:fldChar w:fldCharType="end"/>
      </w:r>
      <w:r w:rsidRPr="004C78D8">
        <w:t xml:space="preserve">. Yet others advocated a narrower range to focus on falls with discernible health consequences </w:t>
      </w:r>
      <w:r w:rsidRPr="004C78D8">
        <w:fldChar w:fldCharType="begin">
          <w:fldData xml:space="preserve">PEVuZE5vdGU+PENpdGU+PEF1dGhvcj5TbWl0aDwvQXV0aG9yPjxZZWFyPjIwMTY8L1llYXI+PFJl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</w:fldData>
        </w:fldChar>
      </w:r>
      <w:r w:rsidR="00513646" w:rsidRPr="004C78D8">
        <w:instrText xml:space="preserve"> ADDIN EN.CITE </w:instrText>
      </w:r>
      <w:r w:rsidR="00513646" w:rsidRPr="004C78D8">
        <w:fldChar w:fldCharType="begin">
          <w:fldData xml:space="preserve">PEVuZE5vdGU+PENpdGU+PEF1dGhvcj5TbWl0aDwvQXV0aG9yPjxZZWFyPjIwMTY8L1llYXI+PFJl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</w:fldData>
        </w:fldChar>
      </w:r>
      <w:r w:rsidR="00513646" w:rsidRPr="004C78D8">
        <w:instrText xml:space="preserve"> ADDIN EN.CITE.DATA </w:instrText>
      </w:r>
      <w:r w:rsidR="00513646" w:rsidRPr="004C78D8">
        <w:fldChar w:fldCharType="end"/>
      </w:r>
      <w:r w:rsidRPr="004C78D8">
        <w:fldChar w:fldCharType="separate"/>
      </w:r>
      <w:r w:rsidR="00513646" w:rsidRPr="004C78D8">
        <w:rPr>
          <w:noProof/>
        </w:rPr>
        <w:t>[44]</w:t>
      </w:r>
      <w:r w:rsidRPr="004C78D8">
        <w:fldChar w:fldCharType="end"/>
      </w:r>
      <w:r w:rsidRPr="004C78D8">
        <w:t xml:space="preserve"> and generate conservative results </w:t>
      </w:r>
      <w:r w:rsidRPr="004C78D8">
        <w:fldChar w:fldCharType="begin"/>
      </w:r>
      <w:r w:rsidR="00C630FC" w:rsidRPr="004C78D8">
        <w:instrText xml:space="preserve"> ADDIN EN.CITE &lt;EndNote&gt;&lt;Cite&gt;&lt;Author&gt;Chartered Society of Physiotherapy&lt;/Author&gt;&lt;Year&gt;2016&lt;/Year&gt;&lt;RecNum&gt;375&lt;/RecNum&gt;&lt;DisplayText&gt;[359]&lt;/DisplayText&gt;&lt;record&gt;&lt;rec-number&gt;375&lt;/rec-number&gt;&lt;foreign-keys&gt;&lt;key app="EN" db-id="tdtrdw9aepptzbefsat599syza29sxsd2wsp" timestamp="1612625004"&gt;375&lt;/key&gt;&lt;/foreign-keys&gt;&lt;ref-type name="Manuscript"&gt;36&lt;/ref-type&gt;&lt;contributors&gt;&lt;authors&gt;&lt;author&gt;Chartered Society of Physiotherapy,&lt;/author&gt;&lt;/authors&gt;&lt;secondary-authors&gt;&lt;author&gt;West and South Yorkshire and Bassetlaw Commissioning Support Unit (WSYBCSU)&lt;/author&gt;&lt;/secondary-authors&gt;&lt;/contributors&gt;&lt;titles&gt;&lt;title&gt;The falls prevention economic model: Physiotherapy commissioning support tool&lt;/title&gt;&lt;/titles&gt;&lt;dates&gt;&lt;year&gt;2016&lt;/year&gt;&lt;/dates&gt;&lt;urls&gt;&lt;/urls&gt;&lt;/record&gt;&lt;/Cite&gt;&lt;/EndNote&gt;</w:instrText>
      </w:r>
      <w:r w:rsidRPr="004C78D8">
        <w:fldChar w:fldCharType="separate"/>
      </w:r>
      <w:r w:rsidR="00C630FC" w:rsidRPr="004C78D8">
        <w:rPr>
          <w:noProof/>
        </w:rPr>
        <w:t>[359]</w:t>
      </w:r>
      <w:r w:rsidRPr="004C78D8">
        <w:fldChar w:fldCharType="end"/>
      </w:r>
      <w:r w:rsidRPr="004C78D8">
        <w:t>. Regardless, the between-study variation impairs outcome comparisons.</w:t>
      </w:r>
    </w:p>
    <w:p w14:paraId="0177914D" w14:textId="2FE1CCCF" w:rsidR="00F52A5F" w:rsidRPr="004C78D8" w:rsidRDefault="00D14B01" w:rsidP="00FB7C1F">
      <w:pPr>
        <w:pStyle w:val="Heading4"/>
      </w:pPr>
      <w:r w:rsidRPr="004C78D8">
        <w:t>4</w:t>
      </w:r>
      <w:r w:rsidR="00F52A5F" w:rsidRPr="004C78D8">
        <w:t>.5.1.</w:t>
      </w:r>
      <w:r w:rsidR="009F5FB0" w:rsidRPr="004C78D8">
        <w:t>5</w:t>
      </w:r>
      <w:r w:rsidR="00F52A5F" w:rsidRPr="004C78D8">
        <w:t xml:space="preserve"> Health utilities</w:t>
      </w:r>
    </w:p>
    <w:p w14:paraId="47697E8C" w14:textId="129B1D3E" w:rsidR="00F52A5F" w:rsidRPr="004C78D8" w:rsidRDefault="009F5FB0" w:rsidP="00FB7C1F">
      <w:r w:rsidRPr="004C78D8">
        <w:t xml:space="preserve">Table </w:t>
      </w:r>
      <w:r w:rsidR="00A17580" w:rsidRPr="004C78D8">
        <w:t>D4</w:t>
      </w:r>
      <w:r w:rsidRPr="004C78D8">
        <w:t xml:space="preserve"> in </w:t>
      </w:r>
      <w:r w:rsidR="00A17580" w:rsidRPr="004C78D8">
        <w:t>Appendix D</w:t>
      </w:r>
      <w:r w:rsidRPr="004C78D8">
        <w:t xml:space="preserve"> summarises the health utilities data used for CUA, the health states to which they are applied, and their sources. Twenty-nine models incorporated health utilities; 25 sourced them from external literature. EQ-5D was the most widely used instrument by 17 models; other instruments included HUI2, HUI3, and SF-6D. Four models concurrently used multiple instruments </w:t>
      </w:r>
      <w:r w:rsidRPr="004C78D8">
        <w:fldChar w:fldCharType="begin">
          <w:fldData xml:space="preserve">PEVuZE5vdGU+PENpdGU+PEF1dGhvcj5Ib25rYW5lbjwvQXV0aG9yPjxZZWFyPjIwMDY8L1llYXI+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</w:fldData>
        </w:fldChar>
      </w:r>
      <w:r w:rsidR="00C630FC" w:rsidRPr="004C78D8">
        <w:instrText xml:space="preserve"> ADDIN EN.CITE </w:instrText>
      </w:r>
      <w:r w:rsidR="00C630FC" w:rsidRPr="004C78D8">
        <w:fldChar w:fldCharType="begin">
          <w:fldData xml:space="preserve">PEVuZE5vdGU+PENpdGU+PEF1dGhvcj5Ib25rYW5lbjwvQXV0aG9yPjxZZWFyPjIwMDY8L1llYXI+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[318, 346-348]</w:t>
      </w:r>
      <w:r w:rsidRPr="004C78D8">
        <w:fldChar w:fldCharType="end"/>
      </w:r>
      <w:r w:rsidRPr="004C78D8">
        <w:t xml:space="preserve">; two used values directly elicited from TTO exercises </w:t>
      </w:r>
      <w:r w:rsidRPr="004C78D8">
        <w:fldChar w:fldCharType="begin">
          <w:fldData xml:space="preserve">PEVuZE5vdGU+PENpdGU+PEF1dGhvcj5FbGRyaWRnZTwvQXV0aG9yPjxZZWFyPjIwMDU8L1llYXI+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</w:fldData>
        </w:fldChar>
      </w:r>
      <w:r w:rsidR="00C630FC" w:rsidRPr="004C78D8">
        <w:instrText xml:space="preserve"> ADDIN EN.CITE </w:instrText>
      </w:r>
      <w:r w:rsidR="00C630FC" w:rsidRPr="004C78D8">
        <w:fldChar w:fldCharType="begin">
          <w:fldData xml:space="preserve">PEVuZE5vdGU+PENpdGU+PEF1dGhvcj5FbGRyaWRnZTwvQXV0aG9yPjxZZWFyPjIwMDU8L1llYXI+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[274, 318]</w:t>
      </w:r>
      <w:r w:rsidRPr="004C78D8">
        <w:fldChar w:fldCharType="end"/>
      </w:r>
      <w:r w:rsidRPr="004C78D8">
        <w:t>.</w:t>
      </w:r>
    </w:p>
    <w:p w14:paraId="2E9EF7C2" w14:textId="284605AE" w:rsidR="00A17580" w:rsidRPr="004C78D8" w:rsidRDefault="009A0F1D" w:rsidP="00FB7C1F">
      <w:r w:rsidRPr="004C78D8">
        <w:t>The effect of an adverse event on health utility was depicted in three main approaches: (i) assigning an absolute decrement/loss to pre-event utility level; (ii) assigning proportional (i.e., multiplier) decrement to pre-event level; and (iii) assigning a specific health utility level to post-event state. An example of each are: EQ-5D loss of 0.200 for hip fracture in the 1</w:t>
      </w:r>
      <w:r w:rsidRPr="004C78D8">
        <w:rPr>
          <w:vertAlign w:val="superscript"/>
        </w:rPr>
        <w:t>st</w:t>
      </w:r>
      <w:r w:rsidRPr="004C78D8">
        <w:t xml:space="preserve"> year, followed by loss of 0.060 for subsequent years </w:t>
      </w:r>
      <w:r w:rsidRPr="004C78D8">
        <w:fldChar w:fldCharType="begin"/>
      </w:r>
      <w:r w:rsidR="00C630FC" w:rsidRPr="004C78D8">
        <w:instrText xml:space="preserve"> ADDIN EN.CITE &lt;EndNote&gt;&lt;Cite&gt;&lt;Author&gt;Frick&lt;/Author&gt;&lt;Year&gt;2010&lt;/Year&gt;&lt;RecNum&gt;347&lt;/RecNum&gt;&lt;DisplayText&gt;[352]&lt;/DisplayText&gt;&lt;record&gt;&lt;rec-number&gt;347&lt;/rec-number&gt;&lt;foreign-keys&gt;&lt;key app="EN" db-id="tdtrdw9aepptzbefsat599syza29sxsd2wsp" timestamp="1612211813"&gt;347&lt;/key&gt;&lt;/foreign-keys&gt;&lt;ref-type name="Journal Article"&gt;17&lt;/ref-type&gt;&lt;contributors&gt;&lt;authors&gt;&lt;author&gt;Frick, K. D.&lt;/author&gt;&lt;author&gt;Kung, J. Y.&lt;/author&gt;&lt;author&gt;Parrish, J. M.&lt;/author&gt;&lt;author&gt;Narrett, M. J.&lt;/author&gt;&lt;/authors&gt;&lt;/contributors&gt;&lt;auth-address&gt;Department of Health Policy and Management, Bloomberg School of Public Health, Johns Hopkins University, Baltimore, MD 21205, USA. kfrick@jhsph.edu&lt;/auth-address&gt;&lt;titles&gt;&lt;title&gt;Evaluating the cost-effectiveness of fall prevention programs that reduce fall-related hip fractures in older adults&lt;/title&gt;&lt;secondary-title&gt;J Am Geriatr Soc&lt;/secondary-title&gt;&lt;/titles&gt;&lt;periodical&gt;&lt;full-title&gt;J Am Geriatr Soc&lt;/full-title&gt;&lt;/periodical&gt;&lt;pages&gt;136-41&lt;/pages&gt;&lt;volume&gt;58&lt;/volume&gt;&lt;number&gt;1&lt;/number&gt;&lt;keywords&gt;&lt;keyword&gt;Accidental Falls/*economics/*prevention &amp;amp; control&lt;/keyword&gt;&lt;keyword&gt;Aged&lt;/keyword&gt;&lt;keyword&gt;Cost-Benefit Analysis&lt;/keyword&gt;&lt;keyword&gt;Hip Fractures/*economics/etiology/*prevention &amp;amp; control&lt;/keyword&gt;&lt;keyword&gt;Humans&lt;/keyword&gt;&lt;keyword&gt;*Models, Theoretical&lt;/keyword&gt;&lt;/keywords&gt;&lt;dates&gt;&lt;year&gt;2010&lt;/year&gt;&lt;pub-dates&gt;&lt;date&gt;Jan&lt;/date&gt;&lt;/pub-dates&gt;&lt;/dates&gt;&lt;isbn&gt;1532-5415 (Electronic)&amp;#xD;0002-8614 (Linking)&lt;/isbn&gt;&lt;accession-num&gt;20122044&lt;/accession-num&gt;&lt;urls&gt;&lt;related-urls&gt;&lt;url&gt;https://www.ncbi.nlm.nih.gov/pubmed/20122044&lt;/url&gt;&lt;/related-urls&gt;&lt;/urls&gt;&lt;electronic-resource-num&gt;10.1111/j.1532-5415.2009.02575.x&lt;/electronic-resource-num&gt;&lt;/record&gt;&lt;/Cite&gt;&lt;/EndNote&gt;</w:instrText>
      </w:r>
      <w:r w:rsidRPr="004C78D8">
        <w:fldChar w:fldCharType="separate"/>
      </w:r>
      <w:r w:rsidR="00C630FC" w:rsidRPr="004C78D8">
        <w:rPr>
          <w:noProof/>
        </w:rPr>
        <w:t>[352]</w:t>
      </w:r>
      <w:r w:rsidRPr="004C78D8">
        <w:fldChar w:fldCharType="end"/>
      </w:r>
      <w:r w:rsidRPr="004C78D8">
        <w:t>; multiplier 0.79 for hip fracture to pre-fracture level for 1</w:t>
      </w:r>
      <w:r w:rsidRPr="004C78D8">
        <w:rPr>
          <w:vertAlign w:val="superscript"/>
        </w:rPr>
        <w:t>st</w:t>
      </w:r>
      <w:r w:rsidRPr="004C78D8">
        <w:t xml:space="preserve"> year, followed by multiplier 0.90 for subsequent years </w:t>
      </w:r>
      <w:r w:rsidRPr="004C78D8">
        <w:fldChar w:fldCharType="begin"/>
      </w:r>
      <w:r w:rsidR="00C630FC" w:rsidRPr="004C78D8">
        <w:instrText xml:space="preserve"> ADDIN EN.CITE &lt;EndNote&gt;&lt;Cite&gt;&lt;Author&gt;Zarca&lt;/Author&gt;&lt;Year&gt;2014&lt;/Year&gt;&lt;RecNum&gt;401&lt;/RecNum&gt;&lt;DisplayText&gt;[368]&lt;/DisplayText&gt;&lt;record&gt;&lt;rec-number&gt;401&lt;/rec-number&gt;&lt;foreign-keys&gt;&lt;key app="EN" db-id="tdtrdw9aepptzbefsat599syza29sxsd2wsp" timestamp="1612695492"&gt;401&lt;/key&gt;&lt;/foreign-keys&gt;&lt;ref-type name="Journal Article"&gt;17&lt;/ref-type&gt;&lt;contributors&gt;&lt;authors&gt;&lt;author&gt;Zarca, K&lt;/author&gt;&lt;author&gt;Durand-Zaleski, I&lt;/author&gt;&lt;author&gt;Roux, C&lt;/author&gt;&lt;author&gt;Souberbielle, JC&lt;/author&gt;&lt;author&gt;Schott, AM&lt;/author&gt;&lt;author&gt;Thomas, T&lt;/author&gt;&lt;author&gt;Fardellone, P&lt;/author&gt;&lt;author&gt;Benhamou, CL&lt;/author&gt;&lt;/authors&gt;&lt;/contributors&gt;&lt;titles&gt;&lt;title&gt;Cost-effectiveness analysis of hip fracture prevention with vitamin D supplementation: a Markov micro-simulation model applied to the French population over 65 years old without previous hip fracture&lt;/title&gt;&lt;secondary-title&gt;Osteoporosis International&lt;/secondary-title&gt;&lt;/titles&gt;&lt;periodical&gt;&lt;full-title&gt;Osteoporosis International&lt;/full-title&gt;&lt;/periodical&gt;&lt;pages&gt;1797-1806&lt;/pages&gt;&lt;volume&gt;25&lt;/volume&gt;&lt;number&gt;6&lt;/number&gt;&lt;dates&gt;&lt;year&gt;2014&lt;/year&gt;&lt;/dates&gt;&lt;isbn&gt;0937-941X&lt;/isbn&gt;&lt;urls&gt;&lt;/urls&gt;&lt;/record&gt;&lt;/Cite&gt;&lt;/EndNote&gt;</w:instrText>
      </w:r>
      <w:r w:rsidRPr="004C78D8">
        <w:fldChar w:fldCharType="separate"/>
      </w:r>
      <w:r w:rsidR="00C630FC" w:rsidRPr="004C78D8">
        <w:rPr>
          <w:noProof/>
        </w:rPr>
        <w:t>[368]</w:t>
      </w:r>
      <w:r w:rsidRPr="004C78D8">
        <w:fldChar w:fldCharType="end"/>
      </w:r>
      <w:r w:rsidRPr="004C78D8">
        <w:t xml:space="preserve">; utility level of 0.050 for bad hip fracture requiring LTC admission </w:t>
      </w:r>
      <w:r w:rsidRPr="004C78D8">
        <w:fldChar w:fldCharType="begin"/>
      </w:r>
      <w:r w:rsidR="00C630FC" w:rsidRPr="004C78D8">
        <w:instrText xml:space="preserve"> ADDIN EN.CITE &lt;EndNote&gt;&lt;Cite&gt;&lt;Author&gt;Eldridge&lt;/Author&gt;&lt;Year&gt;2005&lt;/Year&gt;&lt;RecNum&gt;397&lt;/RecNum&gt;&lt;DisplayText&gt;[274]&lt;/DisplayText&gt;&lt;record&gt;&lt;rec-number&gt;397&lt;/rec-number&gt;&lt;foreign-keys&gt;&lt;key app="EN" db-id="tdtrdw9aepptzbefsat599syza29sxsd2wsp" timestamp="1612694614"&gt;397&lt;/key&gt;&lt;/foreign-keys&gt;&lt;ref-type name="Journal Article"&gt;17&lt;/ref-type&gt;&lt;contributors&gt;&lt;authors&gt;&lt;author&gt;Eldridge, Sandra&lt;/author&gt;&lt;author&gt;Spencer, Anne&lt;/author&gt;&lt;author&gt;Cryer, Colin&lt;/author&gt;&lt;author&gt;Parsons, Suzanne&lt;/author&gt;&lt;author&gt;Underwood, Martin&lt;/author&gt;&lt;author&gt;Feder, Gene&lt;/author&gt;&lt;/authors&gt;&lt;/contributors&gt;&lt;titles&gt;&lt;title&gt;Why modelling a complex intervention is an important precursor to trial design: lessons from studying an intervention to reduce falls-related injuries in older people&lt;/title&gt;&lt;secondary-title&gt;Journal of health services research &amp;amp; policy&lt;/secondary-title&gt;&lt;/titles&gt;&lt;periodical&gt;&lt;full-title&gt;Journal of health services research &amp;amp; policy&lt;/full-title&gt;&lt;/periodical&gt;&lt;pages&gt;133-42&lt;/pages&gt;&lt;volume&gt;10&lt;/volume&gt;&lt;number&gt;3&lt;/number&gt;&lt;section&gt;Eldridge, Sandra. Department of General Practice and Primary Care, Queen Mary University of London, UK. s.elridge@qmul.ac.uk&lt;/section&gt;&lt;keywords&gt;&lt;keyword&gt;*Accidental Falls/pc [Prevention &amp;amp; Control]&lt;/keyword&gt;&lt;keyword&gt;Aged&lt;/keyword&gt;&lt;keyword&gt;Aged, 80 and over&lt;/keyword&gt;&lt;keyword&gt;Cost-Benefit Analysis&lt;/keyword&gt;&lt;keyword&gt;*Decision Support Techniques&lt;/keyword&gt;&lt;keyword&gt;Humans&lt;/keyword&gt;&lt;keyword&gt;Markov Chains&lt;/keyword&gt;&lt;keyword&gt;Pilot Projects&lt;/keyword&gt;&lt;keyword&gt;State Medicine&lt;/keyword&gt;&lt;keyword&gt;United Kingdom&lt;/keyword&gt;&lt;/keywords&gt;&lt;dates&gt;&lt;year&gt;2005&lt;/year&gt;&lt;/dates&gt;&lt;pub-location&gt;England&lt;/pub-location&gt;&lt;isbn&gt;1355-8196&lt;/isbn&gt;&lt;urls&gt;&lt;related-urls&gt;&lt;url&gt;http://ovidsp.ovid.com/ovidweb.cgi?T=JS&amp;amp;PAGE=reference&amp;amp;D=med5&amp;amp;NEWS=N&amp;amp;AN=16053589&lt;/url&gt;&lt;/related-urls&gt;&lt;/urls&gt;&lt;remote-database-name&gt;Medline&lt;/remote-database-name&gt;&lt;/record&gt;&lt;/Cite&gt;&lt;/EndNote&gt;</w:instrText>
      </w:r>
      <w:r w:rsidRPr="004C78D8">
        <w:fldChar w:fldCharType="separate"/>
      </w:r>
      <w:r w:rsidR="00C630FC" w:rsidRPr="004C78D8">
        <w:rPr>
          <w:noProof/>
        </w:rPr>
        <w:t>[274]</w:t>
      </w:r>
      <w:r w:rsidRPr="004C78D8">
        <w:fldChar w:fldCharType="end"/>
      </w:r>
      <w:r w:rsidRPr="004C78D8">
        <w:t xml:space="preserve">. These illustrate the significant between-model variation in the applied utility data </w:t>
      </w:r>
      <w:r w:rsidR="005C1BC8" w:rsidRPr="004C78D8">
        <w:t>that reduces</w:t>
      </w:r>
      <w:r w:rsidRPr="004C78D8">
        <w:t xml:space="preserve"> the comparability of CUA results.</w:t>
      </w:r>
    </w:p>
    <w:p w14:paraId="4B224DBC" w14:textId="047ADE1F" w:rsidR="00585FC5" w:rsidRPr="004C78D8" w:rsidRDefault="00D14B01" w:rsidP="00FB7C1F">
      <w:pPr>
        <w:pStyle w:val="Heading4"/>
      </w:pPr>
      <w:r w:rsidRPr="004C78D8">
        <w:t>4</w:t>
      </w:r>
      <w:r w:rsidR="00585FC5" w:rsidRPr="004C78D8">
        <w:t>.5.</w:t>
      </w:r>
      <w:r w:rsidR="009F5FB0" w:rsidRPr="004C78D8">
        <w:t>1</w:t>
      </w:r>
      <w:r w:rsidR="00585FC5" w:rsidRPr="004C78D8">
        <w:t>.</w:t>
      </w:r>
      <w:r w:rsidR="009F5FB0" w:rsidRPr="004C78D8">
        <w:t>6</w:t>
      </w:r>
      <w:r w:rsidR="00585FC5" w:rsidRPr="004C78D8">
        <w:t xml:space="preserve"> </w:t>
      </w:r>
      <w:r w:rsidR="00876594" w:rsidRPr="004C78D8">
        <w:t>Fall-related e</w:t>
      </w:r>
      <w:r w:rsidR="00585FC5" w:rsidRPr="004C78D8">
        <w:t>conomic consequences</w:t>
      </w:r>
    </w:p>
    <w:p w14:paraId="659AD7A6" w14:textId="5E045FEE" w:rsidR="00876594" w:rsidRPr="004C78D8" w:rsidRDefault="00876594" w:rsidP="00FB7C1F">
      <w:r w:rsidRPr="004C78D8">
        <w:t xml:space="preserve">Table </w:t>
      </w:r>
      <w:r w:rsidR="00D14B01" w:rsidRPr="004C78D8">
        <w:t>4</w:t>
      </w:r>
      <w:r w:rsidRPr="004C78D8">
        <w:t xml:space="preserve">.7 summarises the economic consequences of falls from the health and social care perspective. The economic consequences were marked even if only their costs were considered without separate model states (unlike health consequences in Table </w:t>
      </w:r>
      <w:r w:rsidR="00D14B01" w:rsidRPr="004C78D8">
        <w:t>4</w:t>
      </w:r>
      <w:r w:rsidRPr="004C78D8">
        <w:t xml:space="preserve">.6). Care consequences directly attributed to falls are divided into six categories: (i) ambulatory care excluding emergency department (ED), e.g., GP visit and ambulance call-out; (ii) ED visit/admission; (iii) hospitalisation; (iv) rehabilitation, e.g., outpatient; (v) short-term social care, e.g., meal-on-wheels; and (vi) LTC. </w:t>
      </w:r>
      <w:r w:rsidRPr="004C78D8">
        <w:rPr>
          <w:lang w:val="en-US"/>
        </w:rPr>
        <w:t xml:space="preserve">The cost of LTC admission was </w:t>
      </w:r>
      <w:r w:rsidRPr="004C78D8">
        <w:rPr>
          <w:lang w:val="en-US"/>
        </w:rPr>
        <w:lastRenderedPageBreak/>
        <w:t xml:space="preserve">incorporated by 26 (56.5%) models. </w:t>
      </w:r>
      <w:r w:rsidRPr="004C78D8">
        <w:rPr>
          <w:color w:val="000000" w:themeColor="text1"/>
        </w:rPr>
        <w:t>Studies noted the technical difficulty in costing LTC admission</w:t>
      </w:r>
      <w:r w:rsidRPr="004C78D8">
        <w:t xml:space="preserve">, particularly in identifying admissions directly attributable to falls and in stratifying costs by age and life expectancy at admission </w:t>
      </w:r>
      <w:r w:rsidRPr="004C78D8">
        <w:rPr>
          <w:color w:val="000000" w:themeColor="text1"/>
        </w:rPr>
        <w:fldChar w:fldCharType="begin">
          <w:fldData xml:space="preserve">PEVuZE5vdGU+PENpdGU+PEF1dGhvcj5DaGFydGVyZWQgU29jaWV0eSBvZiBQaHlzaW90aGVyYXB5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</w:fldData>
        </w:fldChar>
      </w:r>
      <w:r w:rsidR="00C630FC" w:rsidRPr="004C78D8">
        <w:rPr>
          <w:color w:val="000000" w:themeColor="text1"/>
        </w:rPr>
        <w:instrText xml:space="preserve"> ADDIN EN.CITE </w:instrText>
      </w:r>
      <w:r w:rsidR="00C630FC" w:rsidRPr="004C78D8">
        <w:rPr>
          <w:color w:val="000000" w:themeColor="text1"/>
        </w:rPr>
        <w:fldChar w:fldCharType="begin">
          <w:fldData xml:space="preserve">PEVuZE5vdGU+PENpdGU+PEF1dGhvcj5DaGFydGVyZWQgU29jaWV0eSBvZiBQaHlzaW90aGVyYXB5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</w:fldData>
        </w:fldChar>
      </w:r>
      <w:r w:rsidR="00C630FC" w:rsidRPr="004C78D8">
        <w:rPr>
          <w:color w:val="000000" w:themeColor="text1"/>
        </w:rPr>
        <w:instrText xml:space="preserve"> ADDIN EN.CITE.DATA </w:instrText>
      </w:r>
      <w:r w:rsidR="00C630FC" w:rsidRPr="004C78D8">
        <w:rPr>
          <w:color w:val="000000" w:themeColor="text1"/>
        </w:rPr>
      </w:r>
      <w:r w:rsidR="00C630FC" w:rsidRPr="004C78D8">
        <w:rPr>
          <w:color w:val="000000" w:themeColor="text1"/>
        </w:rPr>
        <w:fldChar w:fldCharType="end"/>
      </w:r>
      <w:r w:rsidRPr="004C78D8">
        <w:rPr>
          <w:color w:val="000000" w:themeColor="text1"/>
        </w:rPr>
      </w:r>
      <w:r w:rsidRPr="004C78D8">
        <w:rPr>
          <w:color w:val="000000" w:themeColor="text1"/>
        </w:rPr>
        <w:fldChar w:fldCharType="separate"/>
      </w:r>
      <w:r w:rsidR="00C630FC" w:rsidRPr="004C78D8">
        <w:rPr>
          <w:noProof/>
          <w:color w:val="000000" w:themeColor="text1"/>
        </w:rPr>
        <w:t>[207, 359, 361]</w:t>
      </w:r>
      <w:r w:rsidRPr="004C78D8">
        <w:rPr>
          <w:color w:val="000000" w:themeColor="text1"/>
        </w:rPr>
        <w:fldChar w:fldCharType="end"/>
      </w:r>
      <w:r w:rsidRPr="004C78D8">
        <w:t>.</w:t>
      </w:r>
    </w:p>
    <w:tbl>
      <w:tblPr>
        <w:tblStyle w:val="TableGrid"/>
        <w:tblW w:w="5000" w:type="pct"/>
        <w:tblLook w:val="04A0" w:firstRow="1" w:lastRow="0" w:firstColumn="1" w:lastColumn="0" w:noHBand="0" w:noVBand="1"/>
      </w:tblPr>
      <w:tblGrid>
        <w:gridCol w:w="2097"/>
        <w:gridCol w:w="1086"/>
        <w:gridCol w:w="684"/>
        <w:gridCol w:w="967"/>
        <w:gridCol w:w="967"/>
        <w:gridCol w:w="1110"/>
        <w:gridCol w:w="968"/>
        <w:gridCol w:w="1137"/>
      </w:tblGrid>
      <w:tr w:rsidR="00F63C53" w:rsidRPr="004C78D8" w14:paraId="68AAFA61" w14:textId="77777777" w:rsidTr="002828C1">
        <w:tc>
          <w:tcPr>
            <w:tcW w:w="5000" w:type="pct"/>
            <w:gridSpan w:val="8"/>
          </w:tcPr>
          <w:p w14:paraId="2C76E7E5" w14:textId="68E1049A" w:rsidR="00F63C53" w:rsidRPr="004C78D8" w:rsidRDefault="00F63C53" w:rsidP="00FB7C1F">
            <w:r w:rsidRPr="004C78D8">
              <w:rPr>
                <w:b/>
                <w:bCs/>
              </w:rPr>
              <w:t xml:space="preserve">Table </w:t>
            </w:r>
            <w:r w:rsidR="00D14B01" w:rsidRPr="004C78D8">
              <w:rPr>
                <w:b/>
                <w:bCs/>
              </w:rPr>
              <w:t>4</w:t>
            </w:r>
            <w:r w:rsidRPr="004C78D8">
              <w:rPr>
                <w:b/>
                <w:bCs/>
              </w:rPr>
              <w:t>.7</w:t>
            </w:r>
            <w:r w:rsidRPr="004C78D8">
              <w:t xml:space="preserve"> Summary of economic consequences of falls from the health and social care perspective included in decision models.</w:t>
            </w:r>
            <w:r w:rsidRPr="004C78D8">
              <w:rPr>
                <w:vertAlign w:val="superscript"/>
              </w:rPr>
              <w:t>1</w:t>
            </w:r>
          </w:p>
        </w:tc>
      </w:tr>
      <w:tr w:rsidR="00F63C53" w:rsidRPr="004C78D8" w14:paraId="41E5576F" w14:textId="77777777" w:rsidTr="002828C1">
        <w:tc>
          <w:tcPr>
            <w:tcW w:w="1177" w:type="pct"/>
            <w:vAlign w:val="bottom"/>
          </w:tcPr>
          <w:p w14:paraId="0254524E" w14:textId="1D7F09DF" w:rsidR="00F63C53" w:rsidRPr="004C78D8" w:rsidRDefault="00F63C53" w:rsidP="00FB7C1F">
            <w:pPr>
              <w:jc w:val="left"/>
              <w:rPr>
                <w:b/>
                <w:bCs/>
              </w:rPr>
            </w:pPr>
            <w:r w:rsidRPr="004C78D8">
              <w:rPr>
                <w:b/>
                <w:bCs/>
                <w:sz w:val="20"/>
                <w:szCs w:val="20"/>
              </w:rPr>
              <w:t>Study label</w:t>
            </w:r>
            <w:r w:rsidRPr="004C78D8">
              <w:rPr>
                <w:b/>
                <w:bCs/>
                <w:sz w:val="20"/>
                <w:szCs w:val="20"/>
                <w:vertAlign w:val="superscript"/>
              </w:rPr>
              <w:t>2</w:t>
            </w:r>
          </w:p>
        </w:tc>
        <w:tc>
          <w:tcPr>
            <w:tcW w:w="550" w:type="pct"/>
            <w:tcBorders>
              <w:bottom w:val="single" w:sz="4" w:space="0" w:color="auto"/>
            </w:tcBorders>
            <w:vAlign w:val="bottom"/>
          </w:tcPr>
          <w:p w14:paraId="77E61F7F" w14:textId="77777777" w:rsidR="00F63C53" w:rsidRPr="004C78D8" w:rsidRDefault="00F63C53" w:rsidP="00FB7C1F">
            <w:pPr>
              <w:jc w:val="left"/>
              <w:rPr>
                <w:sz w:val="18"/>
                <w:szCs w:val="18"/>
              </w:rPr>
            </w:pPr>
            <w:r w:rsidRPr="004C78D8">
              <w:rPr>
                <w:sz w:val="18"/>
                <w:szCs w:val="18"/>
              </w:rPr>
              <w:t>Ambulatory care</w:t>
            </w:r>
          </w:p>
        </w:tc>
        <w:tc>
          <w:tcPr>
            <w:tcW w:w="393" w:type="pct"/>
            <w:tcBorders>
              <w:bottom w:val="single" w:sz="4" w:space="0" w:color="auto"/>
            </w:tcBorders>
            <w:vAlign w:val="bottom"/>
          </w:tcPr>
          <w:p w14:paraId="52534EF0" w14:textId="77777777" w:rsidR="00F63C53" w:rsidRPr="004C78D8" w:rsidRDefault="00F63C53" w:rsidP="00FB7C1F">
            <w:pPr>
              <w:jc w:val="left"/>
              <w:rPr>
                <w:sz w:val="18"/>
                <w:szCs w:val="18"/>
              </w:rPr>
            </w:pPr>
            <w:r w:rsidRPr="004C78D8">
              <w:rPr>
                <w:sz w:val="18"/>
                <w:szCs w:val="18"/>
              </w:rPr>
              <w:t>ED</w:t>
            </w:r>
          </w:p>
        </w:tc>
        <w:tc>
          <w:tcPr>
            <w:tcW w:w="550" w:type="pct"/>
            <w:tcBorders>
              <w:bottom w:val="single" w:sz="4" w:space="0" w:color="auto"/>
            </w:tcBorders>
            <w:vAlign w:val="bottom"/>
          </w:tcPr>
          <w:p w14:paraId="61082B12" w14:textId="77777777" w:rsidR="00F63C53" w:rsidRPr="004C78D8" w:rsidRDefault="00F63C53" w:rsidP="00FB7C1F">
            <w:pPr>
              <w:jc w:val="left"/>
              <w:rPr>
                <w:sz w:val="18"/>
                <w:szCs w:val="18"/>
              </w:rPr>
            </w:pPr>
            <w:r w:rsidRPr="004C78D8">
              <w:rPr>
                <w:sz w:val="18"/>
                <w:szCs w:val="18"/>
              </w:rPr>
              <w:t>Hospital-isation</w:t>
            </w:r>
          </w:p>
        </w:tc>
        <w:tc>
          <w:tcPr>
            <w:tcW w:w="550" w:type="pct"/>
            <w:tcBorders>
              <w:bottom w:val="single" w:sz="4" w:space="0" w:color="auto"/>
            </w:tcBorders>
            <w:vAlign w:val="bottom"/>
          </w:tcPr>
          <w:p w14:paraId="1169423C" w14:textId="77777777" w:rsidR="00F63C53" w:rsidRPr="004C78D8" w:rsidRDefault="00F63C53" w:rsidP="00FB7C1F">
            <w:pPr>
              <w:jc w:val="left"/>
              <w:rPr>
                <w:sz w:val="18"/>
                <w:szCs w:val="18"/>
              </w:rPr>
            </w:pPr>
            <w:r w:rsidRPr="004C78D8">
              <w:rPr>
                <w:sz w:val="18"/>
                <w:szCs w:val="18"/>
              </w:rPr>
              <w:t>Rehabili-tation</w:t>
            </w:r>
          </w:p>
        </w:tc>
        <w:tc>
          <w:tcPr>
            <w:tcW w:w="629" w:type="pct"/>
            <w:tcBorders>
              <w:bottom w:val="single" w:sz="4" w:space="0" w:color="auto"/>
            </w:tcBorders>
            <w:vAlign w:val="bottom"/>
          </w:tcPr>
          <w:p w14:paraId="0E1EB278" w14:textId="77777777" w:rsidR="00F63C53" w:rsidRPr="004C78D8" w:rsidRDefault="00F63C53" w:rsidP="00FB7C1F">
            <w:pPr>
              <w:jc w:val="left"/>
              <w:rPr>
                <w:sz w:val="18"/>
                <w:szCs w:val="18"/>
              </w:rPr>
            </w:pPr>
            <w:r w:rsidRPr="004C78D8">
              <w:rPr>
                <w:sz w:val="18"/>
                <w:szCs w:val="18"/>
              </w:rPr>
              <w:t>Short-term social care</w:t>
            </w:r>
          </w:p>
        </w:tc>
        <w:tc>
          <w:tcPr>
            <w:tcW w:w="550" w:type="pct"/>
            <w:tcBorders>
              <w:bottom w:val="single" w:sz="4" w:space="0" w:color="auto"/>
            </w:tcBorders>
            <w:vAlign w:val="bottom"/>
          </w:tcPr>
          <w:p w14:paraId="4AB161B0" w14:textId="77777777" w:rsidR="00F63C53" w:rsidRPr="004C78D8" w:rsidRDefault="00F63C53" w:rsidP="00FB7C1F">
            <w:pPr>
              <w:jc w:val="left"/>
              <w:rPr>
                <w:sz w:val="18"/>
                <w:szCs w:val="18"/>
              </w:rPr>
            </w:pPr>
            <w:r w:rsidRPr="004C78D8">
              <w:rPr>
                <w:sz w:val="18"/>
                <w:szCs w:val="18"/>
              </w:rPr>
              <w:t>LTC admission</w:t>
            </w:r>
          </w:p>
        </w:tc>
        <w:tc>
          <w:tcPr>
            <w:tcW w:w="601" w:type="pct"/>
            <w:tcBorders>
              <w:bottom w:val="single" w:sz="4" w:space="0" w:color="auto"/>
            </w:tcBorders>
            <w:vAlign w:val="bottom"/>
          </w:tcPr>
          <w:p w14:paraId="11FD6A57" w14:textId="77777777" w:rsidR="00F63C53" w:rsidRPr="004C78D8" w:rsidRDefault="00F63C53" w:rsidP="00FB7C1F">
            <w:pPr>
              <w:jc w:val="left"/>
              <w:rPr>
                <w:sz w:val="18"/>
                <w:szCs w:val="18"/>
              </w:rPr>
            </w:pPr>
            <w:r w:rsidRPr="004C78D8">
              <w:rPr>
                <w:sz w:val="18"/>
                <w:szCs w:val="18"/>
              </w:rPr>
              <w:t>Comorbidity care cost</w:t>
            </w:r>
          </w:p>
        </w:tc>
      </w:tr>
      <w:tr w:rsidR="00F63C53" w:rsidRPr="004C78D8" w14:paraId="348080A4" w14:textId="77777777" w:rsidTr="002828C1">
        <w:tc>
          <w:tcPr>
            <w:tcW w:w="1177" w:type="pct"/>
          </w:tcPr>
          <w:p w14:paraId="16581046" w14:textId="77777777" w:rsidR="00F63C53" w:rsidRPr="004C78D8" w:rsidRDefault="00F63C53" w:rsidP="00FB7C1F">
            <w:pPr>
              <w:jc w:val="left"/>
              <w:rPr>
                <w:sz w:val="18"/>
                <w:szCs w:val="18"/>
              </w:rPr>
            </w:pPr>
            <w:r w:rsidRPr="004C78D8">
              <w:rPr>
                <w:sz w:val="18"/>
                <w:szCs w:val="18"/>
              </w:rPr>
              <w:t>Agartioglu (2020)</w:t>
            </w:r>
          </w:p>
        </w:tc>
        <w:tc>
          <w:tcPr>
            <w:tcW w:w="550" w:type="pct"/>
            <w:tcBorders>
              <w:bottom w:val="nil"/>
            </w:tcBorders>
            <w:vAlign w:val="center"/>
          </w:tcPr>
          <w:p w14:paraId="4B7503D4" w14:textId="77777777" w:rsidR="00F63C53" w:rsidRPr="004C78D8" w:rsidRDefault="00F63C53" w:rsidP="00FB7C1F">
            <w:pPr>
              <w:jc w:val="center"/>
              <w:rPr>
                <w:sz w:val="24"/>
                <w:szCs w:val="24"/>
              </w:rPr>
            </w:pPr>
            <w:r w:rsidRPr="004C78D8">
              <w:rPr>
                <w:rFonts w:cs="Times New Roman"/>
                <w:sz w:val="24"/>
                <w:szCs w:val="24"/>
              </w:rPr>
              <w:t>˟</w:t>
            </w:r>
          </w:p>
        </w:tc>
        <w:tc>
          <w:tcPr>
            <w:tcW w:w="393" w:type="pct"/>
            <w:tcBorders>
              <w:bottom w:val="nil"/>
            </w:tcBorders>
            <w:vAlign w:val="center"/>
          </w:tcPr>
          <w:p w14:paraId="6320B0E8" w14:textId="77777777" w:rsidR="00F63C53" w:rsidRPr="004C78D8" w:rsidRDefault="00F63C53" w:rsidP="00FB7C1F">
            <w:pPr>
              <w:jc w:val="center"/>
              <w:rPr>
                <w:sz w:val="24"/>
                <w:szCs w:val="24"/>
              </w:rPr>
            </w:pPr>
            <w:r w:rsidRPr="004C78D8">
              <w:rPr>
                <w:rFonts w:cs="Times New Roman"/>
                <w:sz w:val="24"/>
                <w:szCs w:val="24"/>
              </w:rPr>
              <w:t>˟</w:t>
            </w:r>
          </w:p>
        </w:tc>
        <w:tc>
          <w:tcPr>
            <w:tcW w:w="550" w:type="pct"/>
            <w:tcBorders>
              <w:bottom w:val="nil"/>
            </w:tcBorders>
            <w:vAlign w:val="center"/>
          </w:tcPr>
          <w:p w14:paraId="782FACC3" w14:textId="77777777" w:rsidR="00F63C53" w:rsidRPr="004C78D8" w:rsidRDefault="00F63C53" w:rsidP="00FB7C1F">
            <w:pPr>
              <w:jc w:val="center"/>
              <w:rPr>
                <w:sz w:val="24"/>
                <w:szCs w:val="24"/>
              </w:rPr>
            </w:pPr>
            <w:r w:rsidRPr="004C78D8">
              <w:rPr>
                <w:rFonts w:cs="Times New Roman"/>
                <w:sz w:val="24"/>
                <w:szCs w:val="24"/>
              </w:rPr>
              <w:t>˟</w:t>
            </w:r>
          </w:p>
        </w:tc>
        <w:tc>
          <w:tcPr>
            <w:tcW w:w="550" w:type="pct"/>
            <w:tcBorders>
              <w:bottom w:val="nil"/>
            </w:tcBorders>
            <w:vAlign w:val="center"/>
          </w:tcPr>
          <w:p w14:paraId="5803B80A" w14:textId="77777777" w:rsidR="00F63C53" w:rsidRPr="004C78D8" w:rsidRDefault="00F63C53" w:rsidP="00FB7C1F">
            <w:pPr>
              <w:jc w:val="center"/>
              <w:rPr>
                <w:sz w:val="24"/>
                <w:szCs w:val="24"/>
              </w:rPr>
            </w:pPr>
          </w:p>
        </w:tc>
        <w:tc>
          <w:tcPr>
            <w:tcW w:w="629" w:type="pct"/>
            <w:tcBorders>
              <w:bottom w:val="nil"/>
            </w:tcBorders>
            <w:vAlign w:val="center"/>
          </w:tcPr>
          <w:p w14:paraId="21B83392" w14:textId="77777777" w:rsidR="00F63C53" w:rsidRPr="004C78D8" w:rsidRDefault="00F63C53" w:rsidP="00FB7C1F">
            <w:pPr>
              <w:jc w:val="center"/>
              <w:rPr>
                <w:sz w:val="24"/>
                <w:szCs w:val="24"/>
              </w:rPr>
            </w:pPr>
          </w:p>
        </w:tc>
        <w:tc>
          <w:tcPr>
            <w:tcW w:w="550" w:type="pct"/>
            <w:tcBorders>
              <w:bottom w:val="nil"/>
            </w:tcBorders>
            <w:vAlign w:val="center"/>
          </w:tcPr>
          <w:p w14:paraId="329F3D02" w14:textId="77777777" w:rsidR="00F63C53" w:rsidRPr="004C78D8" w:rsidRDefault="00F63C53" w:rsidP="00FB7C1F">
            <w:pPr>
              <w:jc w:val="center"/>
              <w:rPr>
                <w:sz w:val="24"/>
                <w:szCs w:val="24"/>
              </w:rPr>
            </w:pPr>
          </w:p>
        </w:tc>
        <w:tc>
          <w:tcPr>
            <w:tcW w:w="601" w:type="pct"/>
            <w:tcBorders>
              <w:bottom w:val="nil"/>
            </w:tcBorders>
            <w:vAlign w:val="center"/>
          </w:tcPr>
          <w:p w14:paraId="21F44ED2" w14:textId="77777777" w:rsidR="00F63C53" w:rsidRPr="004C78D8" w:rsidRDefault="00F63C53" w:rsidP="00FB7C1F">
            <w:pPr>
              <w:jc w:val="center"/>
              <w:rPr>
                <w:sz w:val="24"/>
                <w:szCs w:val="24"/>
              </w:rPr>
            </w:pPr>
          </w:p>
        </w:tc>
      </w:tr>
      <w:tr w:rsidR="00F63C53" w:rsidRPr="004C78D8" w14:paraId="0E751640" w14:textId="77777777" w:rsidTr="002828C1">
        <w:tc>
          <w:tcPr>
            <w:tcW w:w="1177" w:type="pct"/>
          </w:tcPr>
          <w:p w14:paraId="40D3EFD1" w14:textId="77777777" w:rsidR="00F63C53" w:rsidRPr="004C78D8" w:rsidRDefault="00F63C53" w:rsidP="00FB7C1F">
            <w:pPr>
              <w:jc w:val="left"/>
              <w:rPr>
                <w:sz w:val="18"/>
                <w:szCs w:val="18"/>
              </w:rPr>
            </w:pPr>
            <w:r w:rsidRPr="004C78D8">
              <w:rPr>
                <w:sz w:val="18"/>
                <w:szCs w:val="18"/>
              </w:rPr>
              <w:t>Albert (2016)</w:t>
            </w:r>
          </w:p>
        </w:tc>
        <w:tc>
          <w:tcPr>
            <w:tcW w:w="550" w:type="pct"/>
            <w:tcBorders>
              <w:top w:val="nil"/>
              <w:bottom w:val="nil"/>
            </w:tcBorders>
            <w:vAlign w:val="center"/>
          </w:tcPr>
          <w:p w14:paraId="1DA3EF68" w14:textId="77777777" w:rsidR="00F63C53" w:rsidRPr="004C78D8" w:rsidRDefault="00F63C53" w:rsidP="00FB7C1F">
            <w:pPr>
              <w:jc w:val="center"/>
              <w:rPr>
                <w:rFonts w:cs="Times New Roman"/>
                <w:sz w:val="20"/>
                <w:szCs w:val="20"/>
              </w:rPr>
            </w:pPr>
          </w:p>
        </w:tc>
        <w:tc>
          <w:tcPr>
            <w:tcW w:w="393" w:type="pct"/>
            <w:tcBorders>
              <w:top w:val="nil"/>
              <w:bottom w:val="nil"/>
            </w:tcBorders>
            <w:vAlign w:val="center"/>
          </w:tcPr>
          <w:p w14:paraId="35243163" w14:textId="77777777" w:rsidR="00F63C53" w:rsidRPr="004C78D8" w:rsidRDefault="00F63C53" w:rsidP="00FB7C1F">
            <w:pPr>
              <w:jc w:val="center"/>
              <w:rPr>
                <w:rFonts w:cs="Times New Roman"/>
                <w:sz w:val="20"/>
                <w:szCs w:val="20"/>
              </w:rPr>
            </w:pPr>
            <w:r w:rsidRPr="004C78D8">
              <w:rPr>
                <w:rFonts w:cs="Times New Roman"/>
                <w:sz w:val="20"/>
                <w:szCs w:val="20"/>
              </w:rPr>
              <w:t>AC</w:t>
            </w:r>
          </w:p>
        </w:tc>
        <w:tc>
          <w:tcPr>
            <w:tcW w:w="550" w:type="pct"/>
            <w:tcBorders>
              <w:top w:val="nil"/>
              <w:bottom w:val="nil"/>
            </w:tcBorders>
            <w:vAlign w:val="center"/>
          </w:tcPr>
          <w:p w14:paraId="48877D2E" w14:textId="77777777" w:rsidR="00F63C53" w:rsidRPr="004C78D8" w:rsidRDefault="00F63C53" w:rsidP="00FB7C1F">
            <w:pPr>
              <w:jc w:val="center"/>
              <w:rPr>
                <w:rFonts w:cs="Times New Roman"/>
                <w:sz w:val="20"/>
                <w:szCs w:val="20"/>
              </w:rPr>
            </w:pPr>
            <w:r w:rsidRPr="004C78D8">
              <w:rPr>
                <w:rFonts w:cs="Times New Roman"/>
                <w:sz w:val="20"/>
                <w:szCs w:val="20"/>
              </w:rPr>
              <w:t>AC</w:t>
            </w:r>
          </w:p>
        </w:tc>
        <w:tc>
          <w:tcPr>
            <w:tcW w:w="550" w:type="pct"/>
            <w:tcBorders>
              <w:top w:val="nil"/>
              <w:bottom w:val="nil"/>
            </w:tcBorders>
            <w:vAlign w:val="center"/>
          </w:tcPr>
          <w:p w14:paraId="10DA1BDD" w14:textId="77777777" w:rsidR="00F63C53" w:rsidRPr="004C78D8" w:rsidRDefault="00F63C53" w:rsidP="00FB7C1F">
            <w:pPr>
              <w:jc w:val="center"/>
              <w:rPr>
                <w:rFonts w:cs="Times New Roman"/>
                <w:sz w:val="20"/>
                <w:szCs w:val="20"/>
              </w:rPr>
            </w:pPr>
          </w:p>
        </w:tc>
        <w:tc>
          <w:tcPr>
            <w:tcW w:w="629" w:type="pct"/>
            <w:tcBorders>
              <w:top w:val="nil"/>
              <w:bottom w:val="nil"/>
            </w:tcBorders>
            <w:vAlign w:val="center"/>
          </w:tcPr>
          <w:p w14:paraId="1A6BB212" w14:textId="77777777" w:rsidR="00F63C53" w:rsidRPr="004C78D8" w:rsidRDefault="00F63C53" w:rsidP="00FB7C1F">
            <w:pPr>
              <w:jc w:val="center"/>
              <w:rPr>
                <w:rFonts w:cs="Times New Roman"/>
                <w:sz w:val="20"/>
                <w:szCs w:val="20"/>
              </w:rPr>
            </w:pPr>
          </w:p>
        </w:tc>
        <w:tc>
          <w:tcPr>
            <w:tcW w:w="550" w:type="pct"/>
            <w:tcBorders>
              <w:top w:val="nil"/>
              <w:bottom w:val="nil"/>
            </w:tcBorders>
            <w:vAlign w:val="center"/>
          </w:tcPr>
          <w:p w14:paraId="309B2CA4" w14:textId="77777777" w:rsidR="00F63C53" w:rsidRPr="004C78D8" w:rsidRDefault="00F63C53" w:rsidP="00FB7C1F">
            <w:pPr>
              <w:jc w:val="center"/>
              <w:rPr>
                <w:rFonts w:cs="Times New Roman"/>
                <w:sz w:val="20"/>
                <w:szCs w:val="20"/>
              </w:rPr>
            </w:pPr>
          </w:p>
        </w:tc>
        <w:tc>
          <w:tcPr>
            <w:tcW w:w="601" w:type="pct"/>
            <w:tcBorders>
              <w:top w:val="nil"/>
              <w:bottom w:val="nil"/>
            </w:tcBorders>
            <w:vAlign w:val="center"/>
          </w:tcPr>
          <w:p w14:paraId="4C0C49B9" w14:textId="77777777" w:rsidR="00F63C53" w:rsidRPr="004C78D8" w:rsidRDefault="00F63C53" w:rsidP="00FB7C1F">
            <w:pPr>
              <w:jc w:val="center"/>
              <w:rPr>
                <w:sz w:val="20"/>
                <w:szCs w:val="20"/>
              </w:rPr>
            </w:pPr>
          </w:p>
        </w:tc>
      </w:tr>
      <w:tr w:rsidR="00F63C53" w:rsidRPr="004C78D8" w14:paraId="247B0721" w14:textId="77777777" w:rsidTr="002828C1">
        <w:tc>
          <w:tcPr>
            <w:tcW w:w="1177" w:type="pct"/>
          </w:tcPr>
          <w:p w14:paraId="3CE35923" w14:textId="77777777" w:rsidR="00F63C53" w:rsidRPr="004C78D8" w:rsidRDefault="00F63C53" w:rsidP="00FB7C1F">
            <w:pPr>
              <w:jc w:val="left"/>
              <w:rPr>
                <w:sz w:val="18"/>
                <w:szCs w:val="18"/>
              </w:rPr>
            </w:pPr>
            <w:r w:rsidRPr="004C78D8">
              <w:rPr>
                <w:sz w:val="18"/>
                <w:szCs w:val="18"/>
              </w:rPr>
              <w:t>Alhambra-Borras (2019)</w:t>
            </w:r>
          </w:p>
        </w:tc>
        <w:tc>
          <w:tcPr>
            <w:tcW w:w="550" w:type="pct"/>
            <w:tcBorders>
              <w:top w:val="nil"/>
              <w:bottom w:val="nil"/>
            </w:tcBorders>
            <w:vAlign w:val="center"/>
          </w:tcPr>
          <w:p w14:paraId="78DF5CEB" w14:textId="77777777" w:rsidR="00F63C53" w:rsidRPr="004C78D8" w:rsidRDefault="00F63C53" w:rsidP="00FB7C1F">
            <w:pPr>
              <w:jc w:val="center"/>
              <w:rPr>
                <w:rFonts w:cs="Times New Roman"/>
                <w:sz w:val="28"/>
                <w:szCs w:val="28"/>
              </w:rPr>
            </w:pPr>
            <w:r w:rsidRPr="004C78D8">
              <w:rPr>
                <w:rFonts w:cs="Times New Roman"/>
                <w:sz w:val="20"/>
                <w:szCs w:val="20"/>
              </w:rPr>
              <w:t>AC</w:t>
            </w:r>
          </w:p>
        </w:tc>
        <w:tc>
          <w:tcPr>
            <w:tcW w:w="393" w:type="pct"/>
            <w:tcBorders>
              <w:top w:val="nil"/>
              <w:bottom w:val="nil"/>
            </w:tcBorders>
            <w:vAlign w:val="center"/>
          </w:tcPr>
          <w:p w14:paraId="2BFC8EF8" w14:textId="77777777" w:rsidR="00F63C53" w:rsidRPr="004C78D8" w:rsidRDefault="00F63C53" w:rsidP="00FB7C1F">
            <w:pPr>
              <w:jc w:val="center"/>
              <w:rPr>
                <w:rFonts w:cs="Times New Roman"/>
                <w:sz w:val="20"/>
                <w:szCs w:val="20"/>
              </w:rPr>
            </w:pPr>
          </w:p>
        </w:tc>
        <w:tc>
          <w:tcPr>
            <w:tcW w:w="550" w:type="pct"/>
            <w:tcBorders>
              <w:top w:val="nil"/>
              <w:bottom w:val="nil"/>
            </w:tcBorders>
            <w:vAlign w:val="center"/>
          </w:tcPr>
          <w:p w14:paraId="130593A4" w14:textId="77777777" w:rsidR="00F63C53" w:rsidRPr="004C78D8" w:rsidRDefault="00F63C53" w:rsidP="00FB7C1F">
            <w:pPr>
              <w:jc w:val="center"/>
              <w:rPr>
                <w:rFonts w:cs="Times New Roman"/>
                <w:sz w:val="20"/>
                <w:szCs w:val="20"/>
              </w:rPr>
            </w:pPr>
            <w:r w:rsidRPr="004C78D8">
              <w:rPr>
                <w:rFonts w:cs="Times New Roman"/>
                <w:sz w:val="20"/>
                <w:szCs w:val="20"/>
              </w:rPr>
              <w:t>AC</w:t>
            </w:r>
          </w:p>
        </w:tc>
        <w:tc>
          <w:tcPr>
            <w:tcW w:w="550" w:type="pct"/>
            <w:tcBorders>
              <w:top w:val="nil"/>
              <w:bottom w:val="nil"/>
            </w:tcBorders>
            <w:vAlign w:val="center"/>
          </w:tcPr>
          <w:p w14:paraId="57FDC25C" w14:textId="77777777" w:rsidR="00F63C53" w:rsidRPr="004C78D8" w:rsidRDefault="00F63C53" w:rsidP="00FB7C1F">
            <w:pPr>
              <w:jc w:val="center"/>
              <w:rPr>
                <w:rFonts w:cs="Times New Roman"/>
                <w:sz w:val="28"/>
                <w:szCs w:val="28"/>
              </w:rPr>
            </w:pPr>
          </w:p>
        </w:tc>
        <w:tc>
          <w:tcPr>
            <w:tcW w:w="629" w:type="pct"/>
            <w:tcBorders>
              <w:top w:val="nil"/>
              <w:bottom w:val="nil"/>
            </w:tcBorders>
            <w:vAlign w:val="center"/>
          </w:tcPr>
          <w:p w14:paraId="3D161DB6" w14:textId="77777777" w:rsidR="00F63C53" w:rsidRPr="004C78D8" w:rsidRDefault="00F63C53" w:rsidP="00FB7C1F">
            <w:pPr>
              <w:jc w:val="center"/>
              <w:rPr>
                <w:rFonts w:cs="Times New Roman"/>
                <w:sz w:val="28"/>
                <w:szCs w:val="28"/>
              </w:rPr>
            </w:pPr>
          </w:p>
        </w:tc>
        <w:tc>
          <w:tcPr>
            <w:tcW w:w="550" w:type="pct"/>
            <w:tcBorders>
              <w:top w:val="nil"/>
              <w:bottom w:val="nil"/>
            </w:tcBorders>
            <w:vAlign w:val="center"/>
          </w:tcPr>
          <w:p w14:paraId="147EA43D" w14:textId="77777777" w:rsidR="00F63C53" w:rsidRPr="004C78D8" w:rsidRDefault="00F63C53" w:rsidP="00FB7C1F">
            <w:pPr>
              <w:jc w:val="center"/>
              <w:rPr>
                <w:rFonts w:cs="Times New Roman"/>
                <w:sz w:val="28"/>
                <w:szCs w:val="28"/>
              </w:rPr>
            </w:pPr>
          </w:p>
        </w:tc>
        <w:tc>
          <w:tcPr>
            <w:tcW w:w="601" w:type="pct"/>
            <w:tcBorders>
              <w:top w:val="nil"/>
              <w:bottom w:val="nil"/>
            </w:tcBorders>
            <w:vAlign w:val="center"/>
          </w:tcPr>
          <w:p w14:paraId="596F78D2" w14:textId="77777777" w:rsidR="00F63C53" w:rsidRPr="004C78D8" w:rsidRDefault="00F63C53" w:rsidP="00FB7C1F">
            <w:pPr>
              <w:jc w:val="center"/>
              <w:rPr>
                <w:sz w:val="28"/>
                <w:szCs w:val="28"/>
              </w:rPr>
            </w:pPr>
          </w:p>
        </w:tc>
      </w:tr>
      <w:tr w:rsidR="00F63C53" w:rsidRPr="004C78D8" w14:paraId="2F975AC6" w14:textId="77777777" w:rsidTr="002828C1">
        <w:tc>
          <w:tcPr>
            <w:tcW w:w="1177" w:type="pct"/>
          </w:tcPr>
          <w:p w14:paraId="1ECD339D" w14:textId="77777777" w:rsidR="00F63C53" w:rsidRPr="004C78D8" w:rsidRDefault="00F63C53" w:rsidP="00FB7C1F">
            <w:pPr>
              <w:jc w:val="left"/>
              <w:rPr>
                <w:sz w:val="18"/>
                <w:szCs w:val="18"/>
              </w:rPr>
            </w:pPr>
            <w:r w:rsidRPr="004C78D8">
              <w:rPr>
                <w:sz w:val="18"/>
                <w:szCs w:val="18"/>
              </w:rPr>
              <w:t>Beard (2006)</w:t>
            </w:r>
          </w:p>
        </w:tc>
        <w:tc>
          <w:tcPr>
            <w:tcW w:w="550" w:type="pct"/>
            <w:tcBorders>
              <w:top w:val="nil"/>
              <w:bottom w:val="nil"/>
            </w:tcBorders>
            <w:vAlign w:val="center"/>
          </w:tcPr>
          <w:p w14:paraId="4141D179" w14:textId="77777777" w:rsidR="00F63C53" w:rsidRPr="004C78D8" w:rsidRDefault="00F63C53" w:rsidP="00FB7C1F">
            <w:pPr>
              <w:jc w:val="center"/>
              <w:rPr>
                <w:sz w:val="28"/>
                <w:szCs w:val="28"/>
              </w:rPr>
            </w:pPr>
            <w:r w:rsidRPr="004C78D8">
              <w:rPr>
                <w:rFonts w:cs="Times New Roman"/>
                <w:sz w:val="28"/>
                <w:szCs w:val="28"/>
              </w:rPr>
              <w:t>˟</w:t>
            </w:r>
          </w:p>
        </w:tc>
        <w:tc>
          <w:tcPr>
            <w:tcW w:w="393" w:type="pct"/>
            <w:tcBorders>
              <w:top w:val="nil"/>
              <w:bottom w:val="nil"/>
            </w:tcBorders>
            <w:vAlign w:val="center"/>
          </w:tcPr>
          <w:p w14:paraId="150DD4B8" w14:textId="77777777" w:rsidR="00F63C53" w:rsidRPr="004C78D8" w:rsidRDefault="00F63C53" w:rsidP="00FB7C1F">
            <w:pPr>
              <w:jc w:val="center"/>
              <w:rPr>
                <w:sz w:val="20"/>
                <w:szCs w:val="20"/>
              </w:rPr>
            </w:pPr>
            <w:r w:rsidRPr="004C78D8">
              <w:rPr>
                <w:rFonts w:cs="Times New Roman"/>
                <w:sz w:val="20"/>
                <w:szCs w:val="20"/>
              </w:rPr>
              <w:t>NS</w:t>
            </w:r>
          </w:p>
        </w:tc>
        <w:tc>
          <w:tcPr>
            <w:tcW w:w="550" w:type="pct"/>
            <w:tcBorders>
              <w:top w:val="nil"/>
              <w:bottom w:val="nil"/>
            </w:tcBorders>
            <w:vAlign w:val="center"/>
          </w:tcPr>
          <w:p w14:paraId="4EA64E71"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5D1C1659" w14:textId="77777777" w:rsidR="00F63C53" w:rsidRPr="004C78D8" w:rsidRDefault="00F63C53" w:rsidP="00FB7C1F">
            <w:pPr>
              <w:jc w:val="center"/>
              <w:rPr>
                <w:sz w:val="28"/>
                <w:szCs w:val="28"/>
              </w:rPr>
            </w:pPr>
            <w:r w:rsidRPr="004C78D8">
              <w:rPr>
                <w:rFonts w:cs="Times New Roman"/>
                <w:sz w:val="28"/>
                <w:szCs w:val="28"/>
              </w:rPr>
              <w:t>˟</w:t>
            </w:r>
          </w:p>
        </w:tc>
        <w:tc>
          <w:tcPr>
            <w:tcW w:w="629" w:type="pct"/>
            <w:tcBorders>
              <w:top w:val="nil"/>
              <w:bottom w:val="nil"/>
            </w:tcBorders>
            <w:vAlign w:val="center"/>
          </w:tcPr>
          <w:p w14:paraId="1992313F" w14:textId="77777777" w:rsidR="00F63C53" w:rsidRPr="004C78D8" w:rsidRDefault="00F63C53" w:rsidP="00FB7C1F">
            <w:pPr>
              <w:jc w:val="center"/>
            </w:pPr>
            <w:r w:rsidRPr="004C78D8">
              <w:rPr>
                <w:rFonts w:cs="Times New Roman"/>
                <w:sz w:val="20"/>
                <w:szCs w:val="20"/>
              </w:rPr>
              <w:t>NS</w:t>
            </w:r>
          </w:p>
        </w:tc>
        <w:tc>
          <w:tcPr>
            <w:tcW w:w="550" w:type="pct"/>
            <w:tcBorders>
              <w:top w:val="nil"/>
              <w:bottom w:val="nil"/>
            </w:tcBorders>
            <w:vAlign w:val="center"/>
          </w:tcPr>
          <w:p w14:paraId="1877FA5B" w14:textId="77777777" w:rsidR="00F63C53" w:rsidRPr="004C78D8" w:rsidRDefault="00F63C53" w:rsidP="00FB7C1F">
            <w:pPr>
              <w:jc w:val="center"/>
              <w:rPr>
                <w:sz w:val="28"/>
                <w:szCs w:val="28"/>
              </w:rPr>
            </w:pPr>
            <w:r w:rsidRPr="004C78D8">
              <w:rPr>
                <w:rFonts w:cs="Times New Roman"/>
                <w:sz w:val="28"/>
                <w:szCs w:val="28"/>
              </w:rPr>
              <w:t>˟</w:t>
            </w:r>
          </w:p>
        </w:tc>
        <w:tc>
          <w:tcPr>
            <w:tcW w:w="601" w:type="pct"/>
            <w:tcBorders>
              <w:top w:val="nil"/>
              <w:bottom w:val="nil"/>
            </w:tcBorders>
            <w:vAlign w:val="center"/>
          </w:tcPr>
          <w:p w14:paraId="4DCC3EF0" w14:textId="77777777" w:rsidR="00F63C53" w:rsidRPr="004C78D8" w:rsidRDefault="00F63C53" w:rsidP="00FB7C1F">
            <w:pPr>
              <w:jc w:val="center"/>
            </w:pPr>
          </w:p>
        </w:tc>
      </w:tr>
      <w:tr w:rsidR="00F63C53" w:rsidRPr="004C78D8" w14:paraId="592AEADD" w14:textId="77777777" w:rsidTr="002828C1">
        <w:tc>
          <w:tcPr>
            <w:tcW w:w="1177" w:type="pct"/>
          </w:tcPr>
          <w:p w14:paraId="5C8232BF" w14:textId="77777777" w:rsidR="00F63C53" w:rsidRPr="004C78D8" w:rsidRDefault="00F63C53" w:rsidP="00FB7C1F">
            <w:pPr>
              <w:jc w:val="left"/>
              <w:rPr>
                <w:sz w:val="18"/>
                <w:szCs w:val="18"/>
              </w:rPr>
            </w:pPr>
            <w:r w:rsidRPr="004C78D8">
              <w:rPr>
                <w:sz w:val="18"/>
                <w:szCs w:val="18"/>
              </w:rPr>
              <w:t>BODE3 models</w:t>
            </w:r>
          </w:p>
        </w:tc>
        <w:tc>
          <w:tcPr>
            <w:tcW w:w="550" w:type="pct"/>
            <w:tcBorders>
              <w:top w:val="nil"/>
              <w:bottom w:val="nil"/>
            </w:tcBorders>
            <w:vAlign w:val="center"/>
          </w:tcPr>
          <w:p w14:paraId="09E1BAE8" w14:textId="77777777" w:rsidR="00F63C53" w:rsidRPr="004C78D8" w:rsidRDefault="00F63C53" w:rsidP="00FB7C1F">
            <w:pPr>
              <w:jc w:val="center"/>
              <w:rPr>
                <w:rFonts w:cs="Times New Roman"/>
                <w:sz w:val="28"/>
                <w:szCs w:val="28"/>
              </w:rPr>
            </w:pPr>
            <w:r w:rsidRPr="004C78D8">
              <w:rPr>
                <w:rFonts w:cs="Times New Roman"/>
                <w:sz w:val="28"/>
                <w:szCs w:val="28"/>
              </w:rPr>
              <w:t>˟</w:t>
            </w:r>
          </w:p>
        </w:tc>
        <w:tc>
          <w:tcPr>
            <w:tcW w:w="393" w:type="pct"/>
            <w:tcBorders>
              <w:top w:val="nil"/>
              <w:bottom w:val="nil"/>
            </w:tcBorders>
            <w:vAlign w:val="center"/>
          </w:tcPr>
          <w:p w14:paraId="33CC10E0" w14:textId="77777777" w:rsidR="00F63C53" w:rsidRPr="004C78D8" w:rsidRDefault="00F63C53" w:rsidP="00FB7C1F">
            <w:pPr>
              <w:jc w:val="center"/>
              <w:rPr>
                <w:rFonts w:cs="Times New Roman"/>
                <w:sz w:val="20"/>
                <w:szCs w:val="20"/>
              </w:rPr>
            </w:pPr>
          </w:p>
        </w:tc>
        <w:tc>
          <w:tcPr>
            <w:tcW w:w="550" w:type="pct"/>
            <w:tcBorders>
              <w:top w:val="nil"/>
              <w:bottom w:val="nil"/>
            </w:tcBorders>
            <w:vAlign w:val="center"/>
          </w:tcPr>
          <w:p w14:paraId="36B03CDD" w14:textId="77777777" w:rsidR="00F63C53" w:rsidRPr="004C78D8" w:rsidRDefault="00F63C53" w:rsidP="00FB7C1F">
            <w:pPr>
              <w:jc w:val="center"/>
              <w:rPr>
                <w:rFonts w:cs="Times New Roman"/>
                <w:sz w:val="28"/>
                <w:szCs w:val="28"/>
              </w:rPr>
            </w:pPr>
            <w:r w:rsidRPr="004C78D8">
              <w:rPr>
                <w:rFonts w:cs="Times New Roman"/>
                <w:sz w:val="28"/>
                <w:szCs w:val="28"/>
              </w:rPr>
              <w:t>˟</w:t>
            </w:r>
          </w:p>
        </w:tc>
        <w:tc>
          <w:tcPr>
            <w:tcW w:w="550" w:type="pct"/>
            <w:tcBorders>
              <w:top w:val="nil"/>
              <w:bottom w:val="nil"/>
            </w:tcBorders>
            <w:vAlign w:val="center"/>
          </w:tcPr>
          <w:p w14:paraId="221BBBCF" w14:textId="77777777" w:rsidR="00F63C53" w:rsidRPr="004C78D8" w:rsidRDefault="00F63C53" w:rsidP="00FB7C1F">
            <w:pPr>
              <w:jc w:val="center"/>
              <w:rPr>
                <w:rFonts w:cs="Times New Roman"/>
                <w:sz w:val="28"/>
                <w:szCs w:val="28"/>
              </w:rPr>
            </w:pPr>
            <w:r w:rsidRPr="004C78D8">
              <w:rPr>
                <w:rFonts w:cs="Times New Roman"/>
                <w:sz w:val="28"/>
                <w:szCs w:val="28"/>
              </w:rPr>
              <w:t>˟</w:t>
            </w:r>
          </w:p>
        </w:tc>
        <w:tc>
          <w:tcPr>
            <w:tcW w:w="629" w:type="pct"/>
            <w:tcBorders>
              <w:top w:val="nil"/>
              <w:bottom w:val="nil"/>
            </w:tcBorders>
            <w:vAlign w:val="center"/>
          </w:tcPr>
          <w:p w14:paraId="1D00BFA8" w14:textId="77777777" w:rsidR="00F63C53" w:rsidRPr="004C78D8" w:rsidRDefault="00F63C53" w:rsidP="00FB7C1F">
            <w:pPr>
              <w:jc w:val="center"/>
              <w:rPr>
                <w:rFonts w:cs="Times New Roman"/>
                <w:sz w:val="20"/>
                <w:szCs w:val="20"/>
              </w:rPr>
            </w:pPr>
          </w:p>
        </w:tc>
        <w:tc>
          <w:tcPr>
            <w:tcW w:w="550" w:type="pct"/>
            <w:tcBorders>
              <w:top w:val="nil"/>
              <w:bottom w:val="nil"/>
            </w:tcBorders>
            <w:vAlign w:val="center"/>
          </w:tcPr>
          <w:p w14:paraId="40C54023" w14:textId="77777777" w:rsidR="00F63C53" w:rsidRPr="004C78D8" w:rsidRDefault="00F63C53" w:rsidP="00FB7C1F">
            <w:pPr>
              <w:jc w:val="center"/>
              <w:rPr>
                <w:rFonts w:cs="Times New Roman"/>
                <w:sz w:val="28"/>
                <w:szCs w:val="28"/>
              </w:rPr>
            </w:pPr>
          </w:p>
        </w:tc>
        <w:tc>
          <w:tcPr>
            <w:tcW w:w="601" w:type="pct"/>
            <w:tcBorders>
              <w:top w:val="nil"/>
              <w:bottom w:val="nil"/>
            </w:tcBorders>
            <w:vAlign w:val="center"/>
          </w:tcPr>
          <w:p w14:paraId="6A3A49B7" w14:textId="77777777" w:rsidR="00F63C53" w:rsidRPr="004C78D8" w:rsidRDefault="00F63C53" w:rsidP="00FB7C1F">
            <w:pPr>
              <w:jc w:val="center"/>
            </w:pPr>
            <w:r w:rsidRPr="004C78D8">
              <w:rPr>
                <w:rFonts w:cs="Times New Roman"/>
                <w:sz w:val="28"/>
                <w:szCs w:val="28"/>
              </w:rPr>
              <w:t>˟</w:t>
            </w:r>
          </w:p>
        </w:tc>
      </w:tr>
      <w:tr w:rsidR="00F63C53" w:rsidRPr="004C78D8" w14:paraId="71C663A4" w14:textId="77777777" w:rsidTr="002828C1">
        <w:tc>
          <w:tcPr>
            <w:tcW w:w="1177" w:type="pct"/>
          </w:tcPr>
          <w:p w14:paraId="5E810403" w14:textId="77777777" w:rsidR="00F63C53" w:rsidRPr="004C78D8" w:rsidRDefault="00F63C53" w:rsidP="00FB7C1F">
            <w:pPr>
              <w:jc w:val="left"/>
              <w:rPr>
                <w:sz w:val="18"/>
                <w:szCs w:val="18"/>
              </w:rPr>
            </w:pPr>
            <w:r w:rsidRPr="004C78D8">
              <w:rPr>
                <w:sz w:val="18"/>
                <w:szCs w:val="18"/>
              </w:rPr>
              <w:t>Carande-Kulis (2015)</w:t>
            </w:r>
          </w:p>
        </w:tc>
        <w:tc>
          <w:tcPr>
            <w:tcW w:w="550" w:type="pct"/>
            <w:tcBorders>
              <w:top w:val="nil"/>
              <w:bottom w:val="nil"/>
            </w:tcBorders>
            <w:vAlign w:val="center"/>
          </w:tcPr>
          <w:p w14:paraId="1683DE3B" w14:textId="77777777" w:rsidR="00F63C53" w:rsidRPr="004C78D8" w:rsidRDefault="00F63C53" w:rsidP="00FB7C1F">
            <w:pPr>
              <w:jc w:val="center"/>
            </w:pPr>
            <w:r w:rsidRPr="004C78D8">
              <w:rPr>
                <w:rFonts w:cs="Times New Roman"/>
                <w:sz w:val="20"/>
                <w:szCs w:val="20"/>
              </w:rPr>
              <w:t>NS</w:t>
            </w:r>
          </w:p>
        </w:tc>
        <w:tc>
          <w:tcPr>
            <w:tcW w:w="393" w:type="pct"/>
            <w:tcBorders>
              <w:top w:val="nil"/>
              <w:bottom w:val="nil"/>
            </w:tcBorders>
            <w:vAlign w:val="center"/>
          </w:tcPr>
          <w:p w14:paraId="5BF12991" w14:textId="77777777" w:rsidR="00F63C53" w:rsidRPr="004C78D8" w:rsidRDefault="00F63C53" w:rsidP="00FB7C1F">
            <w:pPr>
              <w:jc w:val="center"/>
            </w:pPr>
            <w:r w:rsidRPr="004C78D8">
              <w:rPr>
                <w:rFonts w:cs="Times New Roman"/>
                <w:sz w:val="20"/>
                <w:szCs w:val="20"/>
              </w:rPr>
              <w:t>NS</w:t>
            </w:r>
          </w:p>
        </w:tc>
        <w:tc>
          <w:tcPr>
            <w:tcW w:w="550" w:type="pct"/>
            <w:tcBorders>
              <w:top w:val="nil"/>
              <w:bottom w:val="nil"/>
            </w:tcBorders>
            <w:vAlign w:val="center"/>
          </w:tcPr>
          <w:p w14:paraId="4DD478FD" w14:textId="77777777" w:rsidR="00F63C53" w:rsidRPr="004C78D8" w:rsidRDefault="00F63C53" w:rsidP="00FB7C1F">
            <w:pPr>
              <w:jc w:val="center"/>
            </w:pPr>
            <w:r w:rsidRPr="004C78D8">
              <w:rPr>
                <w:rFonts w:cs="Times New Roman"/>
                <w:sz w:val="20"/>
                <w:szCs w:val="20"/>
              </w:rPr>
              <w:t>NS</w:t>
            </w:r>
          </w:p>
        </w:tc>
        <w:tc>
          <w:tcPr>
            <w:tcW w:w="550" w:type="pct"/>
            <w:tcBorders>
              <w:top w:val="nil"/>
              <w:bottom w:val="nil"/>
            </w:tcBorders>
            <w:vAlign w:val="center"/>
          </w:tcPr>
          <w:p w14:paraId="6B326F87" w14:textId="77777777" w:rsidR="00F63C53" w:rsidRPr="004C78D8" w:rsidRDefault="00F63C53" w:rsidP="00FB7C1F">
            <w:pPr>
              <w:jc w:val="center"/>
            </w:pPr>
            <w:r w:rsidRPr="004C78D8">
              <w:rPr>
                <w:rFonts w:cs="Times New Roman"/>
                <w:sz w:val="20"/>
                <w:szCs w:val="20"/>
              </w:rPr>
              <w:t>NS</w:t>
            </w:r>
          </w:p>
        </w:tc>
        <w:tc>
          <w:tcPr>
            <w:tcW w:w="629" w:type="pct"/>
            <w:tcBorders>
              <w:top w:val="nil"/>
              <w:bottom w:val="nil"/>
            </w:tcBorders>
            <w:vAlign w:val="center"/>
          </w:tcPr>
          <w:p w14:paraId="08ED8449" w14:textId="77777777" w:rsidR="00F63C53" w:rsidRPr="004C78D8" w:rsidRDefault="00F63C53" w:rsidP="00FB7C1F">
            <w:pPr>
              <w:jc w:val="center"/>
            </w:pPr>
          </w:p>
        </w:tc>
        <w:tc>
          <w:tcPr>
            <w:tcW w:w="550" w:type="pct"/>
            <w:tcBorders>
              <w:top w:val="nil"/>
              <w:bottom w:val="nil"/>
            </w:tcBorders>
            <w:vAlign w:val="center"/>
          </w:tcPr>
          <w:p w14:paraId="1AF889E9" w14:textId="77777777" w:rsidR="00F63C53" w:rsidRPr="004C78D8" w:rsidRDefault="00F63C53" w:rsidP="00FB7C1F">
            <w:pPr>
              <w:jc w:val="center"/>
            </w:pPr>
          </w:p>
        </w:tc>
        <w:tc>
          <w:tcPr>
            <w:tcW w:w="601" w:type="pct"/>
            <w:tcBorders>
              <w:top w:val="nil"/>
              <w:bottom w:val="nil"/>
            </w:tcBorders>
            <w:vAlign w:val="center"/>
          </w:tcPr>
          <w:p w14:paraId="4BCF7B9F" w14:textId="77777777" w:rsidR="00F63C53" w:rsidRPr="004C78D8" w:rsidRDefault="00F63C53" w:rsidP="00FB7C1F">
            <w:pPr>
              <w:jc w:val="center"/>
            </w:pPr>
          </w:p>
        </w:tc>
      </w:tr>
      <w:tr w:rsidR="00F63C53" w:rsidRPr="004C78D8" w14:paraId="54115A65" w14:textId="77777777" w:rsidTr="002828C1">
        <w:tc>
          <w:tcPr>
            <w:tcW w:w="1177" w:type="pct"/>
          </w:tcPr>
          <w:p w14:paraId="62E98575" w14:textId="77777777" w:rsidR="00F63C53" w:rsidRPr="004C78D8" w:rsidRDefault="00F63C53" w:rsidP="00FB7C1F">
            <w:pPr>
              <w:jc w:val="left"/>
              <w:rPr>
                <w:sz w:val="18"/>
                <w:szCs w:val="18"/>
              </w:rPr>
            </w:pPr>
            <w:r w:rsidRPr="004C78D8">
              <w:rPr>
                <w:sz w:val="18"/>
                <w:szCs w:val="18"/>
              </w:rPr>
              <w:t>CSP (2016)</w:t>
            </w:r>
          </w:p>
        </w:tc>
        <w:tc>
          <w:tcPr>
            <w:tcW w:w="550" w:type="pct"/>
            <w:tcBorders>
              <w:top w:val="nil"/>
              <w:bottom w:val="nil"/>
            </w:tcBorders>
            <w:vAlign w:val="center"/>
          </w:tcPr>
          <w:p w14:paraId="33B1D583" w14:textId="77777777" w:rsidR="00F63C53" w:rsidRPr="004C78D8" w:rsidRDefault="00F63C53" w:rsidP="00FB7C1F">
            <w:pPr>
              <w:jc w:val="center"/>
              <w:rPr>
                <w:sz w:val="28"/>
                <w:szCs w:val="28"/>
              </w:rPr>
            </w:pPr>
            <w:r w:rsidRPr="004C78D8">
              <w:rPr>
                <w:rFonts w:cs="Times New Roman"/>
                <w:sz w:val="28"/>
                <w:szCs w:val="28"/>
              </w:rPr>
              <w:t>˟</w:t>
            </w:r>
          </w:p>
        </w:tc>
        <w:tc>
          <w:tcPr>
            <w:tcW w:w="393" w:type="pct"/>
            <w:tcBorders>
              <w:top w:val="nil"/>
              <w:bottom w:val="nil"/>
            </w:tcBorders>
            <w:vAlign w:val="center"/>
          </w:tcPr>
          <w:p w14:paraId="4858CDAB"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11D6F31D"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7E3958C7" w14:textId="77777777" w:rsidR="00F63C53" w:rsidRPr="004C78D8" w:rsidRDefault="00F63C53" w:rsidP="00FB7C1F">
            <w:pPr>
              <w:jc w:val="center"/>
              <w:rPr>
                <w:sz w:val="28"/>
                <w:szCs w:val="28"/>
              </w:rPr>
            </w:pPr>
            <w:r w:rsidRPr="004C78D8">
              <w:rPr>
                <w:rFonts w:cs="Times New Roman"/>
                <w:sz w:val="28"/>
                <w:szCs w:val="28"/>
              </w:rPr>
              <w:t>˟</w:t>
            </w:r>
          </w:p>
        </w:tc>
        <w:tc>
          <w:tcPr>
            <w:tcW w:w="629" w:type="pct"/>
            <w:tcBorders>
              <w:top w:val="nil"/>
              <w:bottom w:val="nil"/>
            </w:tcBorders>
            <w:vAlign w:val="center"/>
          </w:tcPr>
          <w:p w14:paraId="790FC1CD" w14:textId="77777777" w:rsidR="00F63C53" w:rsidRPr="004C78D8" w:rsidRDefault="00F63C53" w:rsidP="00FB7C1F">
            <w:pPr>
              <w:jc w:val="center"/>
              <w:rPr>
                <w:sz w:val="28"/>
                <w:szCs w:val="28"/>
              </w:rPr>
            </w:pPr>
          </w:p>
        </w:tc>
        <w:tc>
          <w:tcPr>
            <w:tcW w:w="550" w:type="pct"/>
            <w:tcBorders>
              <w:top w:val="nil"/>
              <w:bottom w:val="nil"/>
            </w:tcBorders>
            <w:vAlign w:val="center"/>
          </w:tcPr>
          <w:p w14:paraId="6C8ACAE2" w14:textId="77777777" w:rsidR="00F63C53" w:rsidRPr="004C78D8" w:rsidRDefault="00F63C53" w:rsidP="00FB7C1F">
            <w:pPr>
              <w:jc w:val="center"/>
              <w:rPr>
                <w:sz w:val="28"/>
                <w:szCs w:val="28"/>
              </w:rPr>
            </w:pPr>
            <w:r w:rsidRPr="004C78D8">
              <w:rPr>
                <w:rFonts w:cs="Times New Roman"/>
                <w:sz w:val="28"/>
                <w:szCs w:val="28"/>
              </w:rPr>
              <w:t>˟</w:t>
            </w:r>
          </w:p>
        </w:tc>
        <w:tc>
          <w:tcPr>
            <w:tcW w:w="601" w:type="pct"/>
            <w:tcBorders>
              <w:top w:val="nil"/>
              <w:bottom w:val="nil"/>
            </w:tcBorders>
            <w:vAlign w:val="center"/>
          </w:tcPr>
          <w:p w14:paraId="23963238" w14:textId="77777777" w:rsidR="00F63C53" w:rsidRPr="004C78D8" w:rsidRDefault="00F63C53" w:rsidP="00FB7C1F">
            <w:pPr>
              <w:jc w:val="center"/>
            </w:pPr>
          </w:p>
        </w:tc>
      </w:tr>
      <w:tr w:rsidR="00F63C53" w:rsidRPr="004C78D8" w14:paraId="5EC42426" w14:textId="77777777" w:rsidTr="002828C1">
        <w:tc>
          <w:tcPr>
            <w:tcW w:w="1177" w:type="pct"/>
          </w:tcPr>
          <w:p w14:paraId="38C5BC8B" w14:textId="77777777" w:rsidR="00F63C53" w:rsidRPr="004C78D8" w:rsidRDefault="00F63C53" w:rsidP="00FB7C1F">
            <w:pPr>
              <w:jc w:val="left"/>
              <w:rPr>
                <w:sz w:val="18"/>
                <w:szCs w:val="18"/>
              </w:rPr>
            </w:pPr>
            <w:r w:rsidRPr="004C78D8">
              <w:rPr>
                <w:sz w:val="18"/>
                <w:szCs w:val="18"/>
              </w:rPr>
              <w:t>Church (2011); (2012)</w:t>
            </w:r>
          </w:p>
        </w:tc>
        <w:tc>
          <w:tcPr>
            <w:tcW w:w="550" w:type="pct"/>
            <w:tcBorders>
              <w:top w:val="nil"/>
              <w:bottom w:val="nil"/>
            </w:tcBorders>
            <w:vAlign w:val="center"/>
          </w:tcPr>
          <w:p w14:paraId="14DEF0E6" w14:textId="77777777" w:rsidR="00F63C53" w:rsidRPr="004C78D8" w:rsidRDefault="00F63C53" w:rsidP="00FB7C1F">
            <w:pPr>
              <w:jc w:val="center"/>
            </w:pPr>
            <w:r w:rsidRPr="004C78D8">
              <w:rPr>
                <w:rFonts w:cs="Times New Roman"/>
                <w:sz w:val="20"/>
                <w:szCs w:val="20"/>
              </w:rPr>
              <w:t>NS</w:t>
            </w:r>
          </w:p>
        </w:tc>
        <w:tc>
          <w:tcPr>
            <w:tcW w:w="393" w:type="pct"/>
            <w:tcBorders>
              <w:top w:val="nil"/>
              <w:bottom w:val="nil"/>
            </w:tcBorders>
            <w:vAlign w:val="center"/>
          </w:tcPr>
          <w:p w14:paraId="47CC5735"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053A7A2D"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2F6DD5BC" w14:textId="77777777" w:rsidR="00F63C53" w:rsidRPr="004C78D8" w:rsidRDefault="00F63C53" w:rsidP="00FB7C1F">
            <w:pPr>
              <w:jc w:val="center"/>
              <w:rPr>
                <w:sz w:val="28"/>
                <w:szCs w:val="28"/>
              </w:rPr>
            </w:pPr>
            <w:r w:rsidRPr="004C78D8">
              <w:rPr>
                <w:rFonts w:cs="Times New Roman"/>
                <w:sz w:val="28"/>
                <w:szCs w:val="28"/>
              </w:rPr>
              <w:t>˟</w:t>
            </w:r>
          </w:p>
        </w:tc>
        <w:tc>
          <w:tcPr>
            <w:tcW w:w="629" w:type="pct"/>
            <w:tcBorders>
              <w:top w:val="nil"/>
              <w:bottom w:val="nil"/>
            </w:tcBorders>
            <w:vAlign w:val="center"/>
          </w:tcPr>
          <w:p w14:paraId="23AD486B" w14:textId="77777777" w:rsidR="00F63C53" w:rsidRPr="004C78D8" w:rsidRDefault="00F63C53" w:rsidP="00FB7C1F">
            <w:pPr>
              <w:jc w:val="center"/>
              <w:rPr>
                <w:sz w:val="28"/>
                <w:szCs w:val="28"/>
              </w:rPr>
            </w:pPr>
          </w:p>
        </w:tc>
        <w:tc>
          <w:tcPr>
            <w:tcW w:w="550" w:type="pct"/>
            <w:tcBorders>
              <w:top w:val="nil"/>
              <w:bottom w:val="nil"/>
            </w:tcBorders>
            <w:vAlign w:val="center"/>
          </w:tcPr>
          <w:p w14:paraId="49BFF069" w14:textId="77777777" w:rsidR="00F63C53" w:rsidRPr="004C78D8" w:rsidRDefault="00F63C53" w:rsidP="00FB7C1F">
            <w:pPr>
              <w:jc w:val="center"/>
              <w:rPr>
                <w:sz w:val="28"/>
                <w:szCs w:val="28"/>
              </w:rPr>
            </w:pPr>
            <w:r w:rsidRPr="004C78D8">
              <w:rPr>
                <w:rFonts w:cs="Times New Roman"/>
                <w:sz w:val="28"/>
                <w:szCs w:val="28"/>
              </w:rPr>
              <w:t>˟</w:t>
            </w:r>
          </w:p>
        </w:tc>
        <w:tc>
          <w:tcPr>
            <w:tcW w:w="601" w:type="pct"/>
            <w:tcBorders>
              <w:top w:val="nil"/>
              <w:bottom w:val="nil"/>
            </w:tcBorders>
            <w:vAlign w:val="center"/>
          </w:tcPr>
          <w:p w14:paraId="6376C72E" w14:textId="77777777" w:rsidR="00F63C53" w:rsidRPr="004C78D8" w:rsidRDefault="00F63C53" w:rsidP="00FB7C1F">
            <w:pPr>
              <w:jc w:val="center"/>
            </w:pPr>
          </w:p>
        </w:tc>
      </w:tr>
      <w:tr w:rsidR="00F63C53" w:rsidRPr="004C78D8" w14:paraId="0B1E434C" w14:textId="77777777" w:rsidTr="002828C1">
        <w:tc>
          <w:tcPr>
            <w:tcW w:w="1177" w:type="pct"/>
          </w:tcPr>
          <w:p w14:paraId="25ABA9FC" w14:textId="77777777" w:rsidR="00F63C53" w:rsidRPr="004C78D8" w:rsidRDefault="00F63C53" w:rsidP="00FB7C1F">
            <w:pPr>
              <w:jc w:val="left"/>
              <w:rPr>
                <w:sz w:val="18"/>
                <w:szCs w:val="18"/>
              </w:rPr>
            </w:pPr>
            <w:r w:rsidRPr="004C78D8">
              <w:rPr>
                <w:sz w:val="18"/>
                <w:szCs w:val="18"/>
              </w:rPr>
              <w:t>Comans (2009)</w:t>
            </w:r>
          </w:p>
        </w:tc>
        <w:tc>
          <w:tcPr>
            <w:tcW w:w="550" w:type="pct"/>
            <w:tcBorders>
              <w:top w:val="nil"/>
              <w:bottom w:val="nil"/>
            </w:tcBorders>
            <w:vAlign w:val="center"/>
          </w:tcPr>
          <w:p w14:paraId="45A4FCC4" w14:textId="77777777" w:rsidR="00F63C53" w:rsidRPr="004C78D8" w:rsidRDefault="00F63C53" w:rsidP="00FB7C1F">
            <w:pPr>
              <w:jc w:val="center"/>
              <w:rPr>
                <w:sz w:val="28"/>
                <w:szCs w:val="28"/>
              </w:rPr>
            </w:pPr>
            <w:r w:rsidRPr="004C78D8">
              <w:rPr>
                <w:rFonts w:cs="Times New Roman"/>
                <w:sz w:val="28"/>
                <w:szCs w:val="28"/>
              </w:rPr>
              <w:t>˟</w:t>
            </w:r>
          </w:p>
        </w:tc>
        <w:tc>
          <w:tcPr>
            <w:tcW w:w="393" w:type="pct"/>
            <w:tcBorders>
              <w:top w:val="nil"/>
              <w:bottom w:val="nil"/>
            </w:tcBorders>
            <w:vAlign w:val="center"/>
          </w:tcPr>
          <w:p w14:paraId="6581CB56"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3F627DCE"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40812054" w14:textId="77777777" w:rsidR="00F63C53" w:rsidRPr="004C78D8" w:rsidRDefault="00F63C53" w:rsidP="00FB7C1F">
            <w:pPr>
              <w:jc w:val="center"/>
              <w:rPr>
                <w:sz w:val="28"/>
                <w:szCs w:val="28"/>
              </w:rPr>
            </w:pPr>
            <w:r w:rsidRPr="004C78D8">
              <w:rPr>
                <w:rFonts w:cs="Times New Roman"/>
                <w:sz w:val="28"/>
                <w:szCs w:val="28"/>
              </w:rPr>
              <w:t>˟</w:t>
            </w:r>
          </w:p>
        </w:tc>
        <w:tc>
          <w:tcPr>
            <w:tcW w:w="629" w:type="pct"/>
            <w:tcBorders>
              <w:top w:val="nil"/>
              <w:bottom w:val="nil"/>
            </w:tcBorders>
            <w:vAlign w:val="center"/>
          </w:tcPr>
          <w:p w14:paraId="34C1FDD9"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113444AD" w14:textId="77777777" w:rsidR="00F63C53" w:rsidRPr="004C78D8" w:rsidRDefault="00F63C53" w:rsidP="00FB7C1F">
            <w:pPr>
              <w:jc w:val="center"/>
              <w:rPr>
                <w:sz w:val="28"/>
                <w:szCs w:val="28"/>
              </w:rPr>
            </w:pPr>
            <w:r w:rsidRPr="004C78D8">
              <w:rPr>
                <w:rFonts w:cs="Times New Roman"/>
                <w:sz w:val="28"/>
                <w:szCs w:val="28"/>
              </w:rPr>
              <w:t>˟</w:t>
            </w:r>
          </w:p>
        </w:tc>
        <w:tc>
          <w:tcPr>
            <w:tcW w:w="601" w:type="pct"/>
            <w:tcBorders>
              <w:top w:val="nil"/>
              <w:bottom w:val="nil"/>
            </w:tcBorders>
            <w:vAlign w:val="center"/>
          </w:tcPr>
          <w:p w14:paraId="1D3B6855" w14:textId="77777777" w:rsidR="00F63C53" w:rsidRPr="004C78D8" w:rsidRDefault="00F63C53" w:rsidP="00FB7C1F">
            <w:pPr>
              <w:jc w:val="center"/>
            </w:pPr>
          </w:p>
        </w:tc>
      </w:tr>
      <w:tr w:rsidR="00F63C53" w:rsidRPr="004C78D8" w14:paraId="73D97E84" w14:textId="77777777" w:rsidTr="002828C1">
        <w:tc>
          <w:tcPr>
            <w:tcW w:w="1177" w:type="pct"/>
          </w:tcPr>
          <w:p w14:paraId="230879DA" w14:textId="77777777" w:rsidR="00F63C53" w:rsidRPr="004C78D8" w:rsidRDefault="00F63C53" w:rsidP="00FB7C1F">
            <w:pPr>
              <w:jc w:val="left"/>
              <w:rPr>
                <w:sz w:val="18"/>
                <w:szCs w:val="18"/>
              </w:rPr>
            </w:pPr>
            <w:r w:rsidRPr="004C78D8">
              <w:rPr>
                <w:sz w:val="18"/>
                <w:szCs w:val="18"/>
              </w:rPr>
              <w:t>Day (2009); (2010)</w:t>
            </w:r>
          </w:p>
        </w:tc>
        <w:tc>
          <w:tcPr>
            <w:tcW w:w="550" w:type="pct"/>
            <w:tcBorders>
              <w:top w:val="nil"/>
              <w:bottom w:val="nil"/>
            </w:tcBorders>
            <w:vAlign w:val="center"/>
          </w:tcPr>
          <w:p w14:paraId="17375F5D" w14:textId="77777777" w:rsidR="00F63C53" w:rsidRPr="004C78D8" w:rsidRDefault="00F63C53" w:rsidP="00FB7C1F">
            <w:pPr>
              <w:jc w:val="center"/>
              <w:rPr>
                <w:i/>
                <w:iCs/>
                <w:sz w:val="20"/>
                <w:szCs w:val="20"/>
              </w:rPr>
            </w:pPr>
          </w:p>
        </w:tc>
        <w:tc>
          <w:tcPr>
            <w:tcW w:w="393" w:type="pct"/>
            <w:tcBorders>
              <w:top w:val="nil"/>
              <w:bottom w:val="nil"/>
            </w:tcBorders>
            <w:vAlign w:val="center"/>
          </w:tcPr>
          <w:p w14:paraId="42522AFB" w14:textId="77777777" w:rsidR="00F63C53" w:rsidRPr="004C78D8" w:rsidRDefault="00F63C53" w:rsidP="00FB7C1F">
            <w:pPr>
              <w:jc w:val="center"/>
            </w:pPr>
          </w:p>
        </w:tc>
        <w:tc>
          <w:tcPr>
            <w:tcW w:w="550" w:type="pct"/>
            <w:tcBorders>
              <w:top w:val="nil"/>
              <w:bottom w:val="nil"/>
            </w:tcBorders>
            <w:vAlign w:val="center"/>
          </w:tcPr>
          <w:p w14:paraId="6547C1DD" w14:textId="7C83C668" w:rsidR="00F63C53" w:rsidRPr="004C78D8" w:rsidRDefault="00F63C53" w:rsidP="00FB7C1F">
            <w:pPr>
              <w:jc w:val="center"/>
            </w:pPr>
            <w:r w:rsidRPr="004C78D8">
              <w:rPr>
                <w:sz w:val="20"/>
                <w:szCs w:val="20"/>
              </w:rPr>
              <w:t>No cost</w:t>
            </w:r>
            <w:r w:rsidRPr="004C78D8">
              <w:rPr>
                <w:sz w:val="20"/>
                <w:szCs w:val="20"/>
                <w:vertAlign w:val="superscript"/>
              </w:rPr>
              <w:t>3</w:t>
            </w:r>
          </w:p>
        </w:tc>
        <w:tc>
          <w:tcPr>
            <w:tcW w:w="550" w:type="pct"/>
            <w:tcBorders>
              <w:top w:val="nil"/>
              <w:bottom w:val="nil"/>
            </w:tcBorders>
            <w:vAlign w:val="center"/>
          </w:tcPr>
          <w:p w14:paraId="0CE51D98" w14:textId="77777777" w:rsidR="00F63C53" w:rsidRPr="004C78D8" w:rsidRDefault="00F63C53" w:rsidP="00FB7C1F">
            <w:pPr>
              <w:jc w:val="center"/>
            </w:pPr>
          </w:p>
        </w:tc>
        <w:tc>
          <w:tcPr>
            <w:tcW w:w="629" w:type="pct"/>
            <w:tcBorders>
              <w:top w:val="nil"/>
              <w:bottom w:val="nil"/>
            </w:tcBorders>
            <w:vAlign w:val="center"/>
          </w:tcPr>
          <w:p w14:paraId="4CAD0FAF" w14:textId="77777777" w:rsidR="00F63C53" w:rsidRPr="004C78D8" w:rsidRDefault="00F63C53" w:rsidP="00FB7C1F">
            <w:pPr>
              <w:jc w:val="center"/>
            </w:pPr>
          </w:p>
        </w:tc>
        <w:tc>
          <w:tcPr>
            <w:tcW w:w="550" w:type="pct"/>
            <w:tcBorders>
              <w:top w:val="nil"/>
              <w:bottom w:val="nil"/>
            </w:tcBorders>
            <w:vAlign w:val="center"/>
          </w:tcPr>
          <w:p w14:paraId="263F80A5" w14:textId="77777777" w:rsidR="00F63C53" w:rsidRPr="004C78D8" w:rsidRDefault="00F63C53" w:rsidP="00FB7C1F">
            <w:pPr>
              <w:jc w:val="center"/>
            </w:pPr>
          </w:p>
        </w:tc>
        <w:tc>
          <w:tcPr>
            <w:tcW w:w="601" w:type="pct"/>
            <w:tcBorders>
              <w:top w:val="nil"/>
              <w:bottom w:val="nil"/>
            </w:tcBorders>
            <w:vAlign w:val="center"/>
          </w:tcPr>
          <w:p w14:paraId="6D370C23" w14:textId="77777777" w:rsidR="00F63C53" w:rsidRPr="004C78D8" w:rsidRDefault="00F63C53" w:rsidP="00FB7C1F">
            <w:pPr>
              <w:jc w:val="center"/>
            </w:pPr>
          </w:p>
        </w:tc>
      </w:tr>
      <w:tr w:rsidR="00F63C53" w:rsidRPr="004C78D8" w14:paraId="5BB1E50E" w14:textId="77777777" w:rsidTr="002828C1">
        <w:tc>
          <w:tcPr>
            <w:tcW w:w="1177" w:type="pct"/>
          </w:tcPr>
          <w:p w14:paraId="79D78C0E" w14:textId="77777777" w:rsidR="00F63C53" w:rsidRPr="004C78D8" w:rsidRDefault="00F63C53" w:rsidP="00FB7C1F">
            <w:pPr>
              <w:jc w:val="left"/>
              <w:rPr>
                <w:sz w:val="18"/>
                <w:szCs w:val="18"/>
              </w:rPr>
            </w:pPr>
            <w:r w:rsidRPr="004C78D8">
              <w:rPr>
                <w:sz w:val="18"/>
                <w:szCs w:val="18"/>
              </w:rPr>
              <w:t>Eldridge (2005)</w:t>
            </w:r>
          </w:p>
        </w:tc>
        <w:tc>
          <w:tcPr>
            <w:tcW w:w="550" w:type="pct"/>
            <w:tcBorders>
              <w:top w:val="nil"/>
              <w:bottom w:val="nil"/>
            </w:tcBorders>
            <w:vAlign w:val="center"/>
          </w:tcPr>
          <w:p w14:paraId="5D24E9E6" w14:textId="77777777" w:rsidR="00F63C53" w:rsidRPr="004C78D8" w:rsidRDefault="00F63C53" w:rsidP="00FB7C1F">
            <w:pPr>
              <w:jc w:val="center"/>
            </w:pPr>
            <w:r w:rsidRPr="004C78D8">
              <w:rPr>
                <w:rFonts w:cs="Times New Roman"/>
                <w:sz w:val="20"/>
                <w:szCs w:val="20"/>
              </w:rPr>
              <w:t>NS</w:t>
            </w:r>
          </w:p>
        </w:tc>
        <w:tc>
          <w:tcPr>
            <w:tcW w:w="393" w:type="pct"/>
            <w:tcBorders>
              <w:top w:val="nil"/>
              <w:bottom w:val="nil"/>
            </w:tcBorders>
            <w:vAlign w:val="center"/>
          </w:tcPr>
          <w:p w14:paraId="6C2DFD49" w14:textId="77777777" w:rsidR="00F63C53" w:rsidRPr="004C78D8" w:rsidRDefault="00F63C53" w:rsidP="00FB7C1F">
            <w:pPr>
              <w:jc w:val="center"/>
            </w:pPr>
            <w:r w:rsidRPr="004C78D8">
              <w:rPr>
                <w:rFonts w:cs="Times New Roman"/>
                <w:sz w:val="20"/>
                <w:szCs w:val="20"/>
              </w:rPr>
              <w:t>NS</w:t>
            </w:r>
          </w:p>
        </w:tc>
        <w:tc>
          <w:tcPr>
            <w:tcW w:w="550" w:type="pct"/>
            <w:tcBorders>
              <w:top w:val="nil"/>
              <w:bottom w:val="nil"/>
            </w:tcBorders>
            <w:vAlign w:val="center"/>
          </w:tcPr>
          <w:p w14:paraId="3B5AC677" w14:textId="77777777" w:rsidR="00F63C53" w:rsidRPr="004C78D8" w:rsidRDefault="00F63C53" w:rsidP="00FB7C1F">
            <w:pPr>
              <w:jc w:val="center"/>
              <w:rPr>
                <w:sz w:val="20"/>
                <w:szCs w:val="20"/>
              </w:rPr>
            </w:pPr>
            <w:r w:rsidRPr="004C78D8">
              <w:rPr>
                <w:rFonts w:cs="Times New Roman"/>
                <w:sz w:val="20"/>
                <w:szCs w:val="20"/>
              </w:rPr>
              <w:t>NS</w:t>
            </w:r>
          </w:p>
        </w:tc>
        <w:tc>
          <w:tcPr>
            <w:tcW w:w="550" w:type="pct"/>
            <w:tcBorders>
              <w:top w:val="nil"/>
              <w:bottom w:val="nil"/>
            </w:tcBorders>
            <w:vAlign w:val="center"/>
          </w:tcPr>
          <w:p w14:paraId="247CA144" w14:textId="77777777" w:rsidR="00F63C53" w:rsidRPr="004C78D8" w:rsidRDefault="00F63C53" w:rsidP="00FB7C1F">
            <w:pPr>
              <w:jc w:val="center"/>
              <w:rPr>
                <w:sz w:val="28"/>
                <w:szCs w:val="28"/>
              </w:rPr>
            </w:pPr>
            <w:r w:rsidRPr="004C78D8">
              <w:rPr>
                <w:rFonts w:cs="Times New Roman"/>
                <w:sz w:val="28"/>
                <w:szCs w:val="28"/>
              </w:rPr>
              <w:t>˟</w:t>
            </w:r>
          </w:p>
        </w:tc>
        <w:tc>
          <w:tcPr>
            <w:tcW w:w="629" w:type="pct"/>
            <w:tcBorders>
              <w:top w:val="nil"/>
              <w:bottom w:val="nil"/>
            </w:tcBorders>
            <w:vAlign w:val="center"/>
          </w:tcPr>
          <w:p w14:paraId="5C4385F8" w14:textId="77777777" w:rsidR="00F63C53" w:rsidRPr="004C78D8" w:rsidRDefault="00F63C53" w:rsidP="00FB7C1F">
            <w:pPr>
              <w:jc w:val="center"/>
              <w:rPr>
                <w:sz w:val="28"/>
                <w:szCs w:val="28"/>
              </w:rPr>
            </w:pPr>
          </w:p>
        </w:tc>
        <w:tc>
          <w:tcPr>
            <w:tcW w:w="550" w:type="pct"/>
            <w:tcBorders>
              <w:top w:val="nil"/>
              <w:bottom w:val="nil"/>
            </w:tcBorders>
            <w:vAlign w:val="center"/>
          </w:tcPr>
          <w:p w14:paraId="257753E3" w14:textId="77777777" w:rsidR="00F63C53" w:rsidRPr="004C78D8" w:rsidRDefault="00F63C53" w:rsidP="00FB7C1F">
            <w:pPr>
              <w:jc w:val="center"/>
              <w:rPr>
                <w:sz w:val="28"/>
                <w:szCs w:val="28"/>
              </w:rPr>
            </w:pPr>
            <w:r w:rsidRPr="004C78D8">
              <w:rPr>
                <w:rFonts w:cs="Times New Roman"/>
                <w:sz w:val="28"/>
                <w:szCs w:val="28"/>
              </w:rPr>
              <w:t>˟</w:t>
            </w:r>
          </w:p>
        </w:tc>
        <w:tc>
          <w:tcPr>
            <w:tcW w:w="601" w:type="pct"/>
            <w:tcBorders>
              <w:top w:val="nil"/>
              <w:bottom w:val="nil"/>
            </w:tcBorders>
            <w:vAlign w:val="center"/>
          </w:tcPr>
          <w:p w14:paraId="6DD9E84E" w14:textId="77777777" w:rsidR="00F63C53" w:rsidRPr="004C78D8" w:rsidRDefault="00F63C53" w:rsidP="00FB7C1F">
            <w:pPr>
              <w:jc w:val="center"/>
            </w:pPr>
          </w:p>
        </w:tc>
      </w:tr>
      <w:tr w:rsidR="00F63C53" w:rsidRPr="004C78D8" w14:paraId="1C25DA41" w14:textId="77777777" w:rsidTr="002828C1">
        <w:tc>
          <w:tcPr>
            <w:tcW w:w="1177" w:type="pct"/>
          </w:tcPr>
          <w:p w14:paraId="52AD3981" w14:textId="77777777" w:rsidR="00F63C53" w:rsidRPr="004C78D8" w:rsidRDefault="00F63C53" w:rsidP="00FB7C1F">
            <w:pPr>
              <w:jc w:val="left"/>
              <w:rPr>
                <w:sz w:val="18"/>
                <w:szCs w:val="18"/>
              </w:rPr>
            </w:pPr>
            <w:r w:rsidRPr="004C78D8">
              <w:rPr>
                <w:sz w:val="18"/>
                <w:szCs w:val="18"/>
              </w:rPr>
              <w:t>Farag (2015)</w:t>
            </w:r>
          </w:p>
        </w:tc>
        <w:tc>
          <w:tcPr>
            <w:tcW w:w="550" w:type="pct"/>
            <w:tcBorders>
              <w:top w:val="nil"/>
              <w:bottom w:val="nil"/>
            </w:tcBorders>
            <w:vAlign w:val="center"/>
          </w:tcPr>
          <w:p w14:paraId="5A83E786" w14:textId="77777777" w:rsidR="00F63C53" w:rsidRPr="004C78D8" w:rsidRDefault="00F63C53" w:rsidP="00FB7C1F">
            <w:pPr>
              <w:jc w:val="center"/>
            </w:pPr>
            <w:r w:rsidRPr="004C78D8">
              <w:rPr>
                <w:rFonts w:cs="Times New Roman"/>
                <w:sz w:val="20"/>
                <w:szCs w:val="20"/>
              </w:rPr>
              <w:t>NS</w:t>
            </w:r>
          </w:p>
        </w:tc>
        <w:tc>
          <w:tcPr>
            <w:tcW w:w="393" w:type="pct"/>
            <w:tcBorders>
              <w:top w:val="nil"/>
              <w:bottom w:val="nil"/>
            </w:tcBorders>
            <w:vAlign w:val="center"/>
          </w:tcPr>
          <w:p w14:paraId="1155DB78"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25D151A1"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6A354874" w14:textId="77777777" w:rsidR="00F63C53" w:rsidRPr="004C78D8" w:rsidRDefault="00F63C53" w:rsidP="00FB7C1F">
            <w:pPr>
              <w:jc w:val="center"/>
            </w:pPr>
            <w:r w:rsidRPr="004C78D8">
              <w:rPr>
                <w:rFonts w:cs="Times New Roman"/>
                <w:sz w:val="20"/>
                <w:szCs w:val="20"/>
              </w:rPr>
              <w:t>NS</w:t>
            </w:r>
          </w:p>
        </w:tc>
        <w:tc>
          <w:tcPr>
            <w:tcW w:w="629" w:type="pct"/>
            <w:tcBorders>
              <w:top w:val="nil"/>
              <w:bottom w:val="nil"/>
            </w:tcBorders>
            <w:vAlign w:val="center"/>
          </w:tcPr>
          <w:p w14:paraId="19298879" w14:textId="77777777" w:rsidR="00F63C53" w:rsidRPr="004C78D8" w:rsidRDefault="00F63C53" w:rsidP="00FB7C1F">
            <w:pPr>
              <w:jc w:val="center"/>
            </w:pPr>
          </w:p>
        </w:tc>
        <w:tc>
          <w:tcPr>
            <w:tcW w:w="550" w:type="pct"/>
            <w:tcBorders>
              <w:top w:val="nil"/>
              <w:bottom w:val="nil"/>
            </w:tcBorders>
            <w:vAlign w:val="center"/>
          </w:tcPr>
          <w:p w14:paraId="696546DF" w14:textId="77777777" w:rsidR="00F63C53" w:rsidRPr="004C78D8" w:rsidRDefault="00F63C53" w:rsidP="00FB7C1F">
            <w:pPr>
              <w:jc w:val="center"/>
              <w:rPr>
                <w:sz w:val="28"/>
                <w:szCs w:val="28"/>
              </w:rPr>
            </w:pPr>
            <w:r w:rsidRPr="004C78D8">
              <w:rPr>
                <w:rFonts w:cs="Times New Roman"/>
                <w:sz w:val="28"/>
                <w:szCs w:val="28"/>
              </w:rPr>
              <w:t>˟</w:t>
            </w:r>
          </w:p>
        </w:tc>
        <w:tc>
          <w:tcPr>
            <w:tcW w:w="601" w:type="pct"/>
            <w:tcBorders>
              <w:top w:val="nil"/>
              <w:bottom w:val="nil"/>
            </w:tcBorders>
            <w:vAlign w:val="center"/>
          </w:tcPr>
          <w:p w14:paraId="6D5CCCB3" w14:textId="77777777" w:rsidR="00F63C53" w:rsidRPr="004C78D8" w:rsidRDefault="00F63C53" w:rsidP="00FB7C1F">
            <w:pPr>
              <w:jc w:val="center"/>
            </w:pPr>
          </w:p>
        </w:tc>
      </w:tr>
      <w:tr w:rsidR="00F63C53" w:rsidRPr="004C78D8" w14:paraId="67FD3061" w14:textId="77777777" w:rsidTr="002828C1">
        <w:tc>
          <w:tcPr>
            <w:tcW w:w="1177" w:type="pct"/>
          </w:tcPr>
          <w:p w14:paraId="7332A064" w14:textId="77777777" w:rsidR="00F63C53" w:rsidRPr="004C78D8" w:rsidRDefault="00F63C53" w:rsidP="00FB7C1F">
            <w:pPr>
              <w:jc w:val="left"/>
              <w:rPr>
                <w:sz w:val="18"/>
                <w:szCs w:val="18"/>
              </w:rPr>
            </w:pPr>
            <w:r w:rsidRPr="004C78D8">
              <w:rPr>
                <w:sz w:val="18"/>
                <w:szCs w:val="18"/>
              </w:rPr>
              <w:t>Franklin (2019)</w:t>
            </w:r>
          </w:p>
        </w:tc>
        <w:tc>
          <w:tcPr>
            <w:tcW w:w="550" w:type="pct"/>
            <w:tcBorders>
              <w:top w:val="nil"/>
              <w:bottom w:val="nil"/>
            </w:tcBorders>
            <w:vAlign w:val="center"/>
          </w:tcPr>
          <w:p w14:paraId="783FFFAE" w14:textId="77777777" w:rsidR="00F63C53" w:rsidRPr="004C78D8" w:rsidRDefault="00F63C53" w:rsidP="00FB7C1F">
            <w:pPr>
              <w:jc w:val="center"/>
              <w:rPr>
                <w:sz w:val="28"/>
                <w:szCs w:val="28"/>
              </w:rPr>
            </w:pPr>
            <w:r w:rsidRPr="004C78D8">
              <w:rPr>
                <w:rFonts w:cs="Times New Roman"/>
                <w:sz w:val="28"/>
                <w:szCs w:val="28"/>
              </w:rPr>
              <w:t>˟</w:t>
            </w:r>
          </w:p>
        </w:tc>
        <w:tc>
          <w:tcPr>
            <w:tcW w:w="393" w:type="pct"/>
            <w:tcBorders>
              <w:top w:val="nil"/>
              <w:bottom w:val="nil"/>
            </w:tcBorders>
            <w:vAlign w:val="center"/>
          </w:tcPr>
          <w:p w14:paraId="4A40B105"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2ED3DB91"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109B1FD9" w14:textId="77777777" w:rsidR="00F63C53" w:rsidRPr="004C78D8" w:rsidRDefault="00F63C53" w:rsidP="00FB7C1F">
            <w:pPr>
              <w:jc w:val="center"/>
              <w:rPr>
                <w:sz w:val="28"/>
                <w:szCs w:val="28"/>
              </w:rPr>
            </w:pPr>
            <w:r w:rsidRPr="004C78D8">
              <w:rPr>
                <w:rFonts w:cs="Times New Roman"/>
                <w:sz w:val="28"/>
                <w:szCs w:val="28"/>
              </w:rPr>
              <w:t>˟</w:t>
            </w:r>
          </w:p>
        </w:tc>
        <w:tc>
          <w:tcPr>
            <w:tcW w:w="629" w:type="pct"/>
            <w:tcBorders>
              <w:top w:val="nil"/>
              <w:bottom w:val="nil"/>
            </w:tcBorders>
            <w:vAlign w:val="center"/>
          </w:tcPr>
          <w:p w14:paraId="2A2176F7" w14:textId="77777777" w:rsidR="00F63C53" w:rsidRPr="004C78D8" w:rsidRDefault="00F63C53" w:rsidP="00FB7C1F">
            <w:pPr>
              <w:jc w:val="center"/>
              <w:rPr>
                <w:sz w:val="28"/>
                <w:szCs w:val="28"/>
              </w:rPr>
            </w:pPr>
          </w:p>
        </w:tc>
        <w:tc>
          <w:tcPr>
            <w:tcW w:w="550" w:type="pct"/>
            <w:tcBorders>
              <w:top w:val="nil"/>
              <w:bottom w:val="nil"/>
            </w:tcBorders>
            <w:vAlign w:val="center"/>
          </w:tcPr>
          <w:p w14:paraId="60DD9EDF" w14:textId="77777777" w:rsidR="00F63C53" w:rsidRPr="004C78D8" w:rsidRDefault="00F63C53" w:rsidP="00FB7C1F">
            <w:pPr>
              <w:jc w:val="center"/>
              <w:rPr>
                <w:sz w:val="28"/>
                <w:szCs w:val="28"/>
              </w:rPr>
            </w:pPr>
            <w:r w:rsidRPr="004C78D8">
              <w:rPr>
                <w:rFonts w:cs="Times New Roman"/>
                <w:sz w:val="28"/>
                <w:szCs w:val="28"/>
              </w:rPr>
              <w:t>˟</w:t>
            </w:r>
          </w:p>
        </w:tc>
        <w:tc>
          <w:tcPr>
            <w:tcW w:w="601" w:type="pct"/>
            <w:tcBorders>
              <w:top w:val="nil"/>
              <w:bottom w:val="nil"/>
            </w:tcBorders>
            <w:vAlign w:val="center"/>
          </w:tcPr>
          <w:p w14:paraId="3124B33E" w14:textId="77777777" w:rsidR="00F63C53" w:rsidRPr="004C78D8" w:rsidRDefault="00F63C53" w:rsidP="00FB7C1F">
            <w:pPr>
              <w:jc w:val="center"/>
            </w:pPr>
          </w:p>
        </w:tc>
      </w:tr>
      <w:tr w:rsidR="00F63C53" w:rsidRPr="004C78D8" w14:paraId="0FC02041" w14:textId="77777777" w:rsidTr="002828C1">
        <w:tc>
          <w:tcPr>
            <w:tcW w:w="1177" w:type="pct"/>
          </w:tcPr>
          <w:p w14:paraId="7735F7CA" w14:textId="77777777" w:rsidR="00F63C53" w:rsidRPr="004C78D8" w:rsidRDefault="00F63C53" w:rsidP="00FB7C1F">
            <w:pPr>
              <w:jc w:val="left"/>
              <w:rPr>
                <w:sz w:val="18"/>
                <w:szCs w:val="18"/>
              </w:rPr>
            </w:pPr>
            <w:r w:rsidRPr="004C78D8">
              <w:rPr>
                <w:sz w:val="18"/>
                <w:szCs w:val="18"/>
              </w:rPr>
              <w:t>Frick (2010)</w:t>
            </w:r>
          </w:p>
        </w:tc>
        <w:tc>
          <w:tcPr>
            <w:tcW w:w="550" w:type="pct"/>
            <w:tcBorders>
              <w:top w:val="nil"/>
              <w:bottom w:val="nil"/>
            </w:tcBorders>
            <w:vAlign w:val="center"/>
          </w:tcPr>
          <w:p w14:paraId="6C6FF891" w14:textId="77777777" w:rsidR="00F63C53" w:rsidRPr="004C78D8" w:rsidRDefault="00F63C53" w:rsidP="00FB7C1F">
            <w:pPr>
              <w:jc w:val="center"/>
            </w:pPr>
            <w:r w:rsidRPr="004C78D8">
              <w:rPr>
                <w:rFonts w:cs="Times New Roman"/>
                <w:sz w:val="20"/>
                <w:szCs w:val="20"/>
              </w:rPr>
              <w:t>NS</w:t>
            </w:r>
          </w:p>
        </w:tc>
        <w:tc>
          <w:tcPr>
            <w:tcW w:w="393" w:type="pct"/>
            <w:tcBorders>
              <w:top w:val="nil"/>
              <w:bottom w:val="nil"/>
            </w:tcBorders>
            <w:vAlign w:val="center"/>
          </w:tcPr>
          <w:p w14:paraId="1E9FBA01" w14:textId="77777777" w:rsidR="00F63C53" w:rsidRPr="004C78D8" w:rsidRDefault="00F63C53" w:rsidP="00FB7C1F">
            <w:pPr>
              <w:jc w:val="center"/>
            </w:pPr>
            <w:r w:rsidRPr="004C78D8">
              <w:rPr>
                <w:rFonts w:cs="Times New Roman"/>
                <w:sz w:val="20"/>
                <w:szCs w:val="20"/>
              </w:rPr>
              <w:t>NS</w:t>
            </w:r>
          </w:p>
        </w:tc>
        <w:tc>
          <w:tcPr>
            <w:tcW w:w="550" w:type="pct"/>
            <w:tcBorders>
              <w:top w:val="nil"/>
              <w:bottom w:val="nil"/>
            </w:tcBorders>
            <w:vAlign w:val="center"/>
          </w:tcPr>
          <w:p w14:paraId="70AF7E6B" w14:textId="77777777" w:rsidR="00F63C53" w:rsidRPr="004C78D8" w:rsidRDefault="00F63C53" w:rsidP="00FB7C1F">
            <w:pPr>
              <w:jc w:val="center"/>
            </w:pPr>
            <w:r w:rsidRPr="004C78D8">
              <w:rPr>
                <w:rFonts w:cs="Times New Roman"/>
                <w:sz w:val="20"/>
                <w:szCs w:val="20"/>
              </w:rPr>
              <w:t>NS</w:t>
            </w:r>
          </w:p>
        </w:tc>
        <w:tc>
          <w:tcPr>
            <w:tcW w:w="550" w:type="pct"/>
            <w:tcBorders>
              <w:top w:val="nil"/>
              <w:bottom w:val="nil"/>
            </w:tcBorders>
            <w:vAlign w:val="center"/>
          </w:tcPr>
          <w:p w14:paraId="1791C8B5" w14:textId="77777777" w:rsidR="00F63C53" w:rsidRPr="004C78D8" w:rsidRDefault="00F63C53" w:rsidP="00FB7C1F">
            <w:pPr>
              <w:jc w:val="center"/>
            </w:pPr>
            <w:r w:rsidRPr="004C78D8">
              <w:rPr>
                <w:rFonts w:cs="Times New Roman"/>
                <w:sz w:val="20"/>
                <w:szCs w:val="20"/>
              </w:rPr>
              <w:t>NS</w:t>
            </w:r>
          </w:p>
        </w:tc>
        <w:tc>
          <w:tcPr>
            <w:tcW w:w="629" w:type="pct"/>
            <w:tcBorders>
              <w:top w:val="nil"/>
              <w:bottom w:val="nil"/>
            </w:tcBorders>
            <w:vAlign w:val="center"/>
          </w:tcPr>
          <w:p w14:paraId="4ECD88B7" w14:textId="77777777" w:rsidR="00F63C53" w:rsidRPr="004C78D8" w:rsidRDefault="00F63C53" w:rsidP="00FB7C1F">
            <w:pPr>
              <w:jc w:val="center"/>
            </w:pPr>
            <w:r w:rsidRPr="004C78D8">
              <w:rPr>
                <w:rFonts w:cs="Times New Roman"/>
                <w:sz w:val="20"/>
                <w:szCs w:val="20"/>
              </w:rPr>
              <w:t>NS</w:t>
            </w:r>
          </w:p>
        </w:tc>
        <w:tc>
          <w:tcPr>
            <w:tcW w:w="550" w:type="pct"/>
            <w:tcBorders>
              <w:top w:val="nil"/>
              <w:bottom w:val="nil"/>
            </w:tcBorders>
            <w:vAlign w:val="center"/>
          </w:tcPr>
          <w:p w14:paraId="3E02C0D4" w14:textId="77777777" w:rsidR="00F63C53" w:rsidRPr="004C78D8" w:rsidRDefault="00F63C53" w:rsidP="00FB7C1F">
            <w:pPr>
              <w:jc w:val="center"/>
            </w:pPr>
            <w:r w:rsidRPr="004C78D8">
              <w:rPr>
                <w:rFonts w:cs="Times New Roman"/>
                <w:sz w:val="20"/>
                <w:szCs w:val="20"/>
              </w:rPr>
              <w:t>NS</w:t>
            </w:r>
          </w:p>
        </w:tc>
        <w:tc>
          <w:tcPr>
            <w:tcW w:w="601" w:type="pct"/>
            <w:tcBorders>
              <w:top w:val="nil"/>
              <w:bottom w:val="nil"/>
            </w:tcBorders>
            <w:vAlign w:val="center"/>
          </w:tcPr>
          <w:p w14:paraId="0AAC5185" w14:textId="77777777" w:rsidR="00F63C53" w:rsidRPr="004C78D8" w:rsidRDefault="00F63C53" w:rsidP="00FB7C1F">
            <w:pPr>
              <w:jc w:val="center"/>
            </w:pPr>
          </w:p>
        </w:tc>
      </w:tr>
      <w:tr w:rsidR="00F63C53" w:rsidRPr="004C78D8" w14:paraId="55410459" w14:textId="77777777" w:rsidTr="002828C1">
        <w:tc>
          <w:tcPr>
            <w:tcW w:w="1177" w:type="pct"/>
          </w:tcPr>
          <w:p w14:paraId="58A21549" w14:textId="77777777" w:rsidR="00F63C53" w:rsidRPr="004C78D8" w:rsidRDefault="00F63C53" w:rsidP="00FB7C1F">
            <w:pPr>
              <w:jc w:val="left"/>
              <w:rPr>
                <w:sz w:val="18"/>
                <w:szCs w:val="18"/>
              </w:rPr>
            </w:pPr>
            <w:r w:rsidRPr="004C78D8">
              <w:rPr>
                <w:sz w:val="18"/>
                <w:szCs w:val="18"/>
              </w:rPr>
              <w:t>Hektoen (2009)</w:t>
            </w:r>
          </w:p>
        </w:tc>
        <w:tc>
          <w:tcPr>
            <w:tcW w:w="550" w:type="pct"/>
            <w:tcBorders>
              <w:top w:val="nil"/>
              <w:bottom w:val="nil"/>
            </w:tcBorders>
            <w:vAlign w:val="center"/>
          </w:tcPr>
          <w:p w14:paraId="5D1769C9" w14:textId="77777777" w:rsidR="00F63C53" w:rsidRPr="004C78D8" w:rsidRDefault="00F63C53" w:rsidP="00FB7C1F">
            <w:pPr>
              <w:jc w:val="center"/>
              <w:rPr>
                <w:sz w:val="28"/>
                <w:szCs w:val="28"/>
              </w:rPr>
            </w:pPr>
            <w:r w:rsidRPr="004C78D8">
              <w:rPr>
                <w:rFonts w:cs="Times New Roman"/>
                <w:sz w:val="28"/>
                <w:szCs w:val="28"/>
              </w:rPr>
              <w:t>˟</w:t>
            </w:r>
          </w:p>
        </w:tc>
        <w:tc>
          <w:tcPr>
            <w:tcW w:w="393" w:type="pct"/>
            <w:tcBorders>
              <w:top w:val="nil"/>
              <w:bottom w:val="nil"/>
            </w:tcBorders>
            <w:vAlign w:val="center"/>
          </w:tcPr>
          <w:p w14:paraId="66421CCF"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11581468"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7B13A023" w14:textId="77777777" w:rsidR="00F63C53" w:rsidRPr="004C78D8" w:rsidRDefault="00F63C53" w:rsidP="00FB7C1F">
            <w:pPr>
              <w:jc w:val="center"/>
              <w:rPr>
                <w:sz w:val="28"/>
                <w:szCs w:val="28"/>
              </w:rPr>
            </w:pPr>
            <w:r w:rsidRPr="004C78D8">
              <w:rPr>
                <w:rFonts w:cs="Times New Roman"/>
                <w:sz w:val="28"/>
                <w:szCs w:val="28"/>
              </w:rPr>
              <w:t>˟</w:t>
            </w:r>
          </w:p>
        </w:tc>
        <w:tc>
          <w:tcPr>
            <w:tcW w:w="629" w:type="pct"/>
            <w:tcBorders>
              <w:top w:val="nil"/>
              <w:bottom w:val="nil"/>
            </w:tcBorders>
            <w:vAlign w:val="center"/>
          </w:tcPr>
          <w:p w14:paraId="3AF34E0F"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23066C4B" w14:textId="77777777" w:rsidR="00F63C53" w:rsidRPr="004C78D8" w:rsidRDefault="00F63C53" w:rsidP="00FB7C1F">
            <w:pPr>
              <w:jc w:val="center"/>
              <w:rPr>
                <w:sz w:val="28"/>
                <w:szCs w:val="28"/>
              </w:rPr>
            </w:pPr>
            <w:r w:rsidRPr="004C78D8">
              <w:rPr>
                <w:rFonts w:cs="Times New Roman"/>
                <w:sz w:val="28"/>
                <w:szCs w:val="28"/>
              </w:rPr>
              <w:t>˟</w:t>
            </w:r>
          </w:p>
        </w:tc>
        <w:tc>
          <w:tcPr>
            <w:tcW w:w="601" w:type="pct"/>
            <w:tcBorders>
              <w:top w:val="nil"/>
              <w:bottom w:val="nil"/>
            </w:tcBorders>
            <w:vAlign w:val="center"/>
          </w:tcPr>
          <w:p w14:paraId="487540BA" w14:textId="77777777" w:rsidR="00F63C53" w:rsidRPr="004C78D8" w:rsidRDefault="00F63C53" w:rsidP="00FB7C1F">
            <w:pPr>
              <w:jc w:val="center"/>
            </w:pPr>
          </w:p>
        </w:tc>
      </w:tr>
      <w:tr w:rsidR="00F63C53" w:rsidRPr="004C78D8" w14:paraId="6BD27C3E" w14:textId="77777777" w:rsidTr="002828C1">
        <w:tc>
          <w:tcPr>
            <w:tcW w:w="1177" w:type="pct"/>
          </w:tcPr>
          <w:p w14:paraId="3A50AFEF" w14:textId="77777777" w:rsidR="00F63C53" w:rsidRPr="004C78D8" w:rsidRDefault="00F63C53" w:rsidP="00FB7C1F">
            <w:pPr>
              <w:jc w:val="left"/>
              <w:rPr>
                <w:sz w:val="18"/>
                <w:szCs w:val="18"/>
              </w:rPr>
            </w:pPr>
            <w:r w:rsidRPr="004C78D8">
              <w:rPr>
                <w:sz w:val="18"/>
                <w:szCs w:val="18"/>
              </w:rPr>
              <w:t>Hiligsmann (2014)</w:t>
            </w:r>
          </w:p>
        </w:tc>
        <w:tc>
          <w:tcPr>
            <w:tcW w:w="550" w:type="pct"/>
            <w:tcBorders>
              <w:top w:val="nil"/>
              <w:bottom w:val="nil"/>
            </w:tcBorders>
            <w:vAlign w:val="center"/>
          </w:tcPr>
          <w:p w14:paraId="447A495A" w14:textId="77777777" w:rsidR="00F63C53" w:rsidRPr="004C78D8" w:rsidRDefault="00F63C53" w:rsidP="00FB7C1F">
            <w:pPr>
              <w:jc w:val="center"/>
            </w:pPr>
            <w:r w:rsidRPr="004C78D8">
              <w:rPr>
                <w:rFonts w:cs="Times New Roman"/>
                <w:sz w:val="20"/>
                <w:szCs w:val="20"/>
              </w:rPr>
              <w:t>NS</w:t>
            </w:r>
          </w:p>
        </w:tc>
        <w:tc>
          <w:tcPr>
            <w:tcW w:w="393" w:type="pct"/>
            <w:tcBorders>
              <w:top w:val="nil"/>
              <w:bottom w:val="nil"/>
            </w:tcBorders>
            <w:vAlign w:val="center"/>
          </w:tcPr>
          <w:p w14:paraId="225CE042" w14:textId="77777777" w:rsidR="00F63C53" w:rsidRPr="004C78D8" w:rsidRDefault="00F63C53" w:rsidP="00FB7C1F">
            <w:pPr>
              <w:jc w:val="center"/>
            </w:pPr>
            <w:r w:rsidRPr="004C78D8">
              <w:rPr>
                <w:rFonts w:cs="Times New Roman"/>
                <w:sz w:val="20"/>
                <w:szCs w:val="20"/>
              </w:rPr>
              <w:t>NS</w:t>
            </w:r>
          </w:p>
        </w:tc>
        <w:tc>
          <w:tcPr>
            <w:tcW w:w="550" w:type="pct"/>
            <w:tcBorders>
              <w:top w:val="nil"/>
              <w:bottom w:val="nil"/>
            </w:tcBorders>
            <w:vAlign w:val="center"/>
          </w:tcPr>
          <w:p w14:paraId="6014004B" w14:textId="77777777" w:rsidR="00F63C53" w:rsidRPr="004C78D8" w:rsidRDefault="00F63C53" w:rsidP="00FB7C1F">
            <w:pPr>
              <w:jc w:val="center"/>
            </w:pPr>
            <w:r w:rsidRPr="004C78D8">
              <w:rPr>
                <w:rFonts w:cs="Times New Roman"/>
                <w:sz w:val="20"/>
                <w:szCs w:val="20"/>
              </w:rPr>
              <w:t>NS</w:t>
            </w:r>
          </w:p>
        </w:tc>
        <w:tc>
          <w:tcPr>
            <w:tcW w:w="550" w:type="pct"/>
            <w:tcBorders>
              <w:top w:val="nil"/>
              <w:bottom w:val="nil"/>
            </w:tcBorders>
            <w:vAlign w:val="center"/>
          </w:tcPr>
          <w:p w14:paraId="7A5C1F8C" w14:textId="77777777" w:rsidR="00F63C53" w:rsidRPr="004C78D8" w:rsidRDefault="00F63C53" w:rsidP="00FB7C1F">
            <w:pPr>
              <w:jc w:val="center"/>
            </w:pPr>
            <w:r w:rsidRPr="004C78D8">
              <w:rPr>
                <w:rFonts w:cs="Times New Roman"/>
                <w:sz w:val="20"/>
                <w:szCs w:val="20"/>
              </w:rPr>
              <w:t>NS</w:t>
            </w:r>
          </w:p>
        </w:tc>
        <w:tc>
          <w:tcPr>
            <w:tcW w:w="629" w:type="pct"/>
            <w:tcBorders>
              <w:top w:val="nil"/>
              <w:bottom w:val="nil"/>
            </w:tcBorders>
            <w:vAlign w:val="center"/>
          </w:tcPr>
          <w:p w14:paraId="3B334A0D" w14:textId="77777777" w:rsidR="00F63C53" w:rsidRPr="004C78D8" w:rsidRDefault="00F63C53" w:rsidP="00FB7C1F">
            <w:pPr>
              <w:jc w:val="center"/>
            </w:pPr>
          </w:p>
        </w:tc>
        <w:tc>
          <w:tcPr>
            <w:tcW w:w="550" w:type="pct"/>
            <w:tcBorders>
              <w:top w:val="nil"/>
              <w:bottom w:val="nil"/>
            </w:tcBorders>
            <w:vAlign w:val="center"/>
          </w:tcPr>
          <w:p w14:paraId="39ACA8DE" w14:textId="77777777" w:rsidR="00F63C53" w:rsidRPr="004C78D8" w:rsidRDefault="00F63C53" w:rsidP="00FB7C1F">
            <w:pPr>
              <w:jc w:val="center"/>
              <w:rPr>
                <w:sz w:val="28"/>
                <w:szCs w:val="28"/>
              </w:rPr>
            </w:pPr>
            <w:r w:rsidRPr="004C78D8">
              <w:rPr>
                <w:rFonts w:cs="Times New Roman"/>
                <w:sz w:val="28"/>
                <w:szCs w:val="28"/>
              </w:rPr>
              <w:t>˟</w:t>
            </w:r>
          </w:p>
        </w:tc>
        <w:tc>
          <w:tcPr>
            <w:tcW w:w="601" w:type="pct"/>
            <w:tcBorders>
              <w:top w:val="nil"/>
              <w:bottom w:val="nil"/>
            </w:tcBorders>
            <w:vAlign w:val="center"/>
          </w:tcPr>
          <w:p w14:paraId="2FD725D0" w14:textId="77777777" w:rsidR="00F63C53" w:rsidRPr="004C78D8" w:rsidRDefault="00F63C53" w:rsidP="00FB7C1F">
            <w:pPr>
              <w:jc w:val="center"/>
            </w:pPr>
          </w:p>
        </w:tc>
      </w:tr>
      <w:tr w:rsidR="00F63C53" w:rsidRPr="004C78D8" w14:paraId="4845967C" w14:textId="77777777" w:rsidTr="002828C1">
        <w:tc>
          <w:tcPr>
            <w:tcW w:w="1177" w:type="pct"/>
          </w:tcPr>
          <w:p w14:paraId="04F55502" w14:textId="77777777" w:rsidR="00F63C53" w:rsidRPr="004C78D8" w:rsidRDefault="00F63C53" w:rsidP="00FB7C1F">
            <w:pPr>
              <w:jc w:val="left"/>
              <w:rPr>
                <w:sz w:val="18"/>
                <w:szCs w:val="18"/>
              </w:rPr>
            </w:pPr>
            <w:r w:rsidRPr="004C78D8">
              <w:rPr>
                <w:sz w:val="18"/>
                <w:szCs w:val="18"/>
              </w:rPr>
              <w:t>Hirst (2016)</w:t>
            </w:r>
          </w:p>
        </w:tc>
        <w:tc>
          <w:tcPr>
            <w:tcW w:w="550" w:type="pct"/>
            <w:tcBorders>
              <w:top w:val="nil"/>
              <w:bottom w:val="nil"/>
            </w:tcBorders>
            <w:vAlign w:val="center"/>
          </w:tcPr>
          <w:p w14:paraId="52CAD237" w14:textId="77777777" w:rsidR="00F63C53" w:rsidRPr="004C78D8" w:rsidRDefault="00F63C53" w:rsidP="00FB7C1F">
            <w:pPr>
              <w:jc w:val="center"/>
            </w:pPr>
            <w:r w:rsidRPr="004C78D8">
              <w:rPr>
                <w:rFonts w:cs="Times New Roman"/>
                <w:sz w:val="20"/>
                <w:szCs w:val="20"/>
              </w:rPr>
              <w:t>NS</w:t>
            </w:r>
          </w:p>
        </w:tc>
        <w:tc>
          <w:tcPr>
            <w:tcW w:w="393" w:type="pct"/>
            <w:tcBorders>
              <w:top w:val="nil"/>
              <w:bottom w:val="nil"/>
            </w:tcBorders>
            <w:vAlign w:val="center"/>
          </w:tcPr>
          <w:p w14:paraId="49EF736D" w14:textId="77777777" w:rsidR="00F63C53" w:rsidRPr="004C78D8" w:rsidRDefault="00F63C53" w:rsidP="00FB7C1F">
            <w:pPr>
              <w:jc w:val="center"/>
            </w:pPr>
            <w:r w:rsidRPr="004C78D8">
              <w:rPr>
                <w:rFonts w:cs="Times New Roman"/>
                <w:sz w:val="20"/>
                <w:szCs w:val="20"/>
              </w:rPr>
              <w:t>NS</w:t>
            </w:r>
          </w:p>
        </w:tc>
        <w:tc>
          <w:tcPr>
            <w:tcW w:w="550" w:type="pct"/>
            <w:tcBorders>
              <w:top w:val="nil"/>
              <w:bottom w:val="nil"/>
            </w:tcBorders>
            <w:vAlign w:val="center"/>
          </w:tcPr>
          <w:p w14:paraId="022C0893" w14:textId="77777777" w:rsidR="00F63C53" w:rsidRPr="004C78D8" w:rsidRDefault="00F63C53" w:rsidP="00FB7C1F">
            <w:pPr>
              <w:jc w:val="center"/>
            </w:pPr>
            <w:r w:rsidRPr="004C78D8">
              <w:rPr>
                <w:rFonts w:cs="Times New Roman"/>
                <w:sz w:val="20"/>
                <w:szCs w:val="20"/>
              </w:rPr>
              <w:t>NS</w:t>
            </w:r>
          </w:p>
        </w:tc>
        <w:tc>
          <w:tcPr>
            <w:tcW w:w="550" w:type="pct"/>
            <w:tcBorders>
              <w:top w:val="nil"/>
              <w:bottom w:val="nil"/>
            </w:tcBorders>
            <w:vAlign w:val="center"/>
          </w:tcPr>
          <w:p w14:paraId="6E51990F" w14:textId="77777777" w:rsidR="00F63C53" w:rsidRPr="004C78D8" w:rsidRDefault="00F63C53" w:rsidP="00FB7C1F">
            <w:pPr>
              <w:jc w:val="center"/>
            </w:pPr>
            <w:r w:rsidRPr="004C78D8">
              <w:rPr>
                <w:rFonts w:cs="Times New Roman"/>
                <w:sz w:val="20"/>
                <w:szCs w:val="20"/>
              </w:rPr>
              <w:t>NS</w:t>
            </w:r>
          </w:p>
        </w:tc>
        <w:tc>
          <w:tcPr>
            <w:tcW w:w="629" w:type="pct"/>
            <w:tcBorders>
              <w:top w:val="nil"/>
              <w:bottom w:val="nil"/>
            </w:tcBorders>
            <w:vAlign w:val="center"/>
          </w:tcPr>
          <w:p w14:paraId="4B69D45B" w14:textId="77777777" w:rsidR="00F63C53" w:rsidRPr="004C78D8" w:rsidRDefault="00F63C53" w:rsidP="00FB7C1F">
            <w:pPr>
              <w:jc w:val="center"/>
            </w:pPr>
          </w:p>
        </w:tc>
        <w:tc>
          <w:tcPr>
            <w:tcW w:w="550" w:type="pct"/>
            <w:tcBorders>
              <w:top w:val="nil"/>
              <w:bottom w:val="nil"/>
            </w:tcBorders>
            <w:vAlign w:val="center"/>
          </w:tcPr>
          <w:p w14:paraId="360473DC" w14:textId="77777777" w:rsidR="00F63C53" w:rsidRPr="004C78D8" w:rsidRDefault="00F63C53" w:rsidP="00FB7C1F">
            <w:pPr>
              <w:jc w:val="center"/>
              <w:rPr>
                <w:sz w:val="28"/>
                <w:szCs w:val="28"/>
              </w:rPr>
            </w:pPr>
            <w:r w:rsidRPr="004C78D8">
              <w:rPr>
                <w:rFonts w:cs="Times New Roman"/>
                <w:sz w:val="28"/>
                <w:szCs w:val="28"/>
              </w:rPr>
              <w:t>˟</w:t>
            </w:r>
          </w:p>
        </w:tc>
        <w:tc>
          <w:tcPr>
            <w:tcW w:w="601" w:type="pct"/>
            <w:tcBorders>
              <w:top w:val="nil"/>
              <w:bottom w:val="nil"/>
            </w:tcBorders>
            <w:vAlign w:val="center"/>
          </w:tcPr>
          <w:p w14:paraId="63DD9FBA" w14:textId="77777777" w:rsidR="00F63C53" w:rsidRPr="004C78D8" w:rsidRDefault="00F63C53" w:rsidP="00FB7C1F">
            <w:pPr>
              <w:jc w:val="center"/>
            </w:pPr>
          </w:p>
        </w:tc>
      </w:tr>
      <w:tr w:rsidR="00F63C53" w:rsidRPr="004C78D8" w14:paraId="64250C89" w14:textId="77777777" w:rsidTr="002828C1">
        <w:tc>
          <w:tcPr>
            <w:tcW w:w="1177" w:type="pct"/>
          </w:tcPr>
          <w:p w14:paraId="30AAECD0" w14:textId="77777777" w:rsidR="00F63C53" w:rsidRPr="004C78D8" w:rsidRDefault="00F63C53" w:rsidP="00FB7C1F">
            <w:pPr>
              <w:jc w:val="left"/>
              <w:rPr>
                <w:sz w:val="18"/>
                <w:szCs w:val="18"/>
              </w:rPr>
            </w:pPr>
            <w:r w:rsidRPr="004C78D8">
              <w:rPr>
                <w:sz w:val="18"/>
                <w:szCs w:val="18"/>
              </w:rPr>
              <w:t>Honkanen (2006)</w:t>
            </w:r>
          </w:p>
        </w:tc>
        <w:tc>
          <w:tcPr>
            <w:tcW w:w="550" w:type="pct"/>
            <w:tcBorders>
              <w:top w:val="nil"/>
              <w:bottom w:val="nil"/>
            </w:tcBorders>
            <w:vAlign w:val="center"/>
          </w:tcPr>
          <w:p w14:paraId="284BB245" w14:textId="77777777" w:rsidR="00F63C53" w:rsidRPr="004C78D8" w:rsidRDefault="00F63C53" w:rsidP="00FB7C1F">
            <w:pPr>
              <w:jc w:val="center"/>
              <w:rPr>
                <w:sz w:val="28"/>
                <w:szCs w:val="28"/>
              </w:rPr>
            </w:pPr>
            <w:r w:rsidRPr="004C78D8">
              <w:rPr>
                <w:rFonts w:cs="Times New Roman"/>
                <w:sz w:val="28"/>
                <w:szCs w:val="28"/>
              </w:rPr>
              <w:t>˟</w:t>
            </w:r>
          </w:p>
        </w:tc>
        <w:tc>
          <w:tcPr>
            <w:tcW w:w="393" w:type="pct"/>
            <w:tcBorders>
              <w:top w:val="nil"/>
              <w:bottom w:val="nil"/>
            </w:tcBorders>
            <w:vAlign w:val="center"/>
          </w:tcPr>
          <w:p w14:paraId="7B02B836" w14:textId="77777777" w:rsidR="00F63C53" w:rsidRPr="004C78D8" w:rsidRDefault="00F63C53" w:rsidP="00FB7C1F">
            <w:pPr>
              <w:jc w:val="center"/>
            </w:pPr>
            <w:r w:rsidRPr="004C78D8">
              <w:rPr>
                <w:rFonts w:cs="Times New Roman"/>
                <w:sz w:val="20"/>
                <w:szCs w:val="20"/>
              </w:rPr>
              <w:t>NS</w:t>
            </w:r>
          </w:p>
        </w:tc>
        <w:tc>
          <w:tcPr>
            <w:tcW w:w="550" w:type="pct"/>
            <w:tcBorders>
              <w:top w:val="nil"/>
              <w:bottom w:val="nil"/>
            </w:tcBorders>
            <w:vAlign w:val="center"/>
          </w:tcPr>
          <w:p w14:paraId="3261E3D5"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706E31BA" w14:textId="77777777" w:rsidR="00F63C53" w:rsidRPr="004C78D8" w:rsidRDefault="00F63C53" w:rsidP="00FB7C1F">
            <w:pPr>
              <w:jc w:val="center"/>
              <w:rPr>
                <w:sz w:val="28"/>
                <w:szCs w:val="28"/>
              </w:rPr>
            </w:pPr>
            <w:r w:rsidRPr="004C78D8">
              <w:rPr>
                <w:rFonts w:cs="Times New Roman"/>
                <w:sz w:val="28"/>
                <w:szCs w:val="28"/>
              </w:rPr>
              <w:t>˟</w:t>
            </w:r>
          </w:p>
        </w:tc>
        <w:tc>
          <w:tcPr>
            <w:tcW w:w="629" w:type="pct"/>
            <w:tcBorders>
              <w:top w:val="nil"/>
              <w:bottom w:val="nil"/>
            </w:tcBorders>
            <w:vAlign w:val="center"/>
          </w:tcPr>
          <w:p w14:paraId="4E76941F" w14:textId="77777777" w:rsidR="00F63C53" w:rsidRPr="004C78D8" w:rsidRDefault="00F63C53" w:rsidP="00FB7C1F">
            <w:pPr>
              <w:jc w:val="center"/>
              <w:rPr>
                <w:sz w:val="28"/>
                <w:szCs w:val="28"/>
              </w:rPr>
            </w:pPr>
          </w:p>
        </w:tc>
        <w:tc>
          <w:tcPr>
            <w:tcW w:w="550" w:type="pct"/>
            <w:tcBorders>
              <w:top w:val="nil"/>
              <w:bottom w:val="nil"/>
            </w:tcBorders>
            <w:vAlign w:val="center"/>
          </w:tcPr>
          <w:p w14:paraId="361D444D" w14:textId="77777777" w:rsidR="00F63C53" w:rsidRPr="004C78D8" w:rsidRDefault="00F63C53" w:rsidP="00FB7C1F">
            <w:pPr>
              <w:jc w:val="center"/>
              <w:rPr>
                <w:sz w:val="28"/>
                <w:szCs w:val="28"/>
              </w:rPr>
            </w:pPr>
            <w:r w:rsidRPr="004C78D8">
              <w:rPr>
                <w:rFonts w:cs="Times New Roman"/>
                <w:sz w:val="28"/>
                <w:szCs w:val="28"/>
              </w:rPr>
              <w:t>˟</w:t>
            </w:r>
          </w:p>
        </w:tc>
        <w:tc>
          <w:tcPr>
            <w:tcW w:w="601" w:type="pct"/>
            <w:tcBorders>
              <w:top w:val="nil"/>
              <w:bottom w:val="nil"/>
            </w:tcBorders>
            <w:vAlign w:val="center"/>
          </w:tcPr>
          <w:p w14:paraId="1BD20C0D" w14:textId="77777777" w:rsidR="00F63C53" w:rsidRPr="004C78D8" w:rsidRDefault="00F63C53" w:rsidP="00FB7C1F">
            <w:pPr>
              <w:jc w:val="center"/>
              <w:rPr>
                <w:sz w:val="28"/>
                <w:szCs w:val="28"/>
              </w:rPr>
            </w:pPr>
            <w:r w:rsidRPr="004C78D8">
              <w:rPr>
                <w:rFonts w:cs="Times New Roman"/>
                <w:sz w:val="28"/>
                <w:szCs w:val="28"/>
              </w:rPr>
              <w:t>˟</w:t>
            </w:r>
          </w:p>
        </w:tc>
      </w:tr>
      <w:tr w:rsidR="00F63C53" w:rsidRPr="004C78D8" w14:paraId="15B92786" w14:textId="77777777" w:rsidTr="002828C1">
        <w:tc>
          <w:tcPr>
            <w:tcW w:w="1177" w:type="pct"/>
          </w:tcPr>
          <w:p w14:paraId="7C5EDE59" w14:textId="77777777" w:rsidR="00F63C53" w:rsidRPr="004C78D8" w:rsidRDefault="00F63C53" w:rsidP="00FB7C1F">
            <w:pPr>
              <w:jc w:val="left"/>
              <w:rPr>
                <w:sz w:val="18"/>
                <w:szCs w:val="18"/>
              </w:rPr>
            </w:pPr>
            <w:r w:rsidRPr="004C78D8">
              <w:rPr>
                <w:sz w:val="18"/>
                <w:szCs w:val="18"/>
              </w:rPr>
              <w:t>Howland (2015)</w:t>
            </w:r>
          </w:p>
        </w:tc>
        <w:tc>
          <w:tcPr>
            <w:tcW w:w="550" w:type="pct"/>
            <w:tcBorders>
              <w:top w:val="nil"/>
              <w:bottom w:val="nil"/>
            </w:tcBorders>
            <w:vAlign w:val="center"/>
          </w:tcPr>
          <w:p w14:paraId="5E8502D4" w14:textId="77777777" w:rsidR="00F63C53" w:rsidRPr="004C78D8" w:rsidRDefault="00F63C53" w:rsidP="00FB7C1F">
            <w:pPr>
              <w:jc w:val="center"/>
            </w:pPr>
          </w:p>
        </w:tc>
        <w:tc>
          <w:tcPr>
            <w:tcW w:w="393" w:type="pct"/>
            <w:tcBorders>
              <w:top w:val="nil"/>
              <w:bottom w:val="nil"/>
            </w:tcBorders>
            <w:vAlign w:val="center"/>
          </w:tcPr>
          <w:p w14:paraId="2FCA5AA7"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01049821"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284CED33" w14:textId="77777777" w:rsidR="00F63C53" w:rsidRPr="004C78D8" w:rsidRDefault="00F63C53" w:rsidP="00FB7C1F">
            <w:pPr>
              <w:jc w:val="center"/>
            </w:pPr>
          </w:p>
        </w:tc>
        <w:tc>
          <w:tcPr>
            <w:tcW w:w="629" w:type="pct"/>
            <w:tcBorders>
              <w:top w:val="nil"/>
              <w:bottom w:val="nil"/>
            </w:tcBorders>
            <w:vAlign w:val="center"/>
          </w:tcPr>
          <w:p w14:paraId="2A3494BF" w14:textId="77777777" w:rsidR="00F63C53" w:rsidRPr="004C78D8" w:rsidRDefault="00F63C53" w:rsidP="00FB7C1F">
            <w:pPr>
              <w:jc w:val="center"/>
            </w:pPr>
          </w:p>
        </w:tc>
        <w:tc>
          <w:tcPr>
            <w:tcW w:w="550" w:type="pct"/>
            <w:tcBorders>
              <w:top w:val="nil"/>
              <w:bottom w:val="nil"/>
            </w:tcBorders>
            <w:vAlign w:val="center"/>
          </w:tcPr>
          <w:p w14:paraId="3E3B32D9" w14:textId="77777777" w:rsidR="00F63C53" w:rsidRPr="004C78D8" w:rsidRDefault="00F63C53" w:rsidP="00FB7C1F">
            <w:pPr>
              <w:jc w:val="center"/>
            </w:pPr>
          </w:p>
        </w:tc>
        <w:tc>
          <w:tcPr>
            <w:tcW w:w="601" w:type="pct"/>
            <w:tcBorders>
              <w:top w:val="nil"/>
              <w:bottom w:val="nil"/>
            </w:tcBorders>
            <w:vAlign w:val="center"/>
          </w:tcPr>
          <w:p w14:paraId="001A8DA8" w14:textId="77777777" w:rsidR="00F63C53" w:rsidRPr="004C78D8" w:rsidRDefault="00F63C53" w:rsidP="00FB7C1F">
            <w:pPr>
              <w:jc w:val="center"/>
            </w:pPr>
          </w:p>
        </w:tc>
      </w:tr>
      <w:tr w:rsidR="00F63C53" w:rsidRPr="004C78D8" w14:paraId="01210C42" w14:textId="77777777" w:rsidTr="002828C1">
        <w:tc>
          <w:tcPr>
            <w:tcW w:w="1177" w:type="pct"/>
          </w:tcPr>
          <w:p w14:paraId="7B2DE9B6" w14:textId="77777777" w:rsidR="00F63C53" w:rsidRPr="004C78D8" w:rsidRDefault="00F63C53" w:rsidP="00FB7C1F">
            <w:pPr>
              <w:jc w:val="left"/>
              <w:rPr>
                <w:sz w:val="18"/>
                <w:szCs w:val="18"/>
              </w:rPr>
            </w:pPr>
            <w:r w:rsidRPr="004C78D8">
              <w:rPr>
                <w:sz w:val="18"/>
                <w:szCs w:val="18"/>
              </w:rPr>
              <w:t>Ippoliti (2018)</w:t>
            </w:r>
          </w:p>
        </w:tc>
        <w:tc>
          <w:tcPr>
            <w:tcW w:w="550" w:type="pct"/>
            <w:tcBorders>
              <w:top w:val="nil"/>
              <w:bottom w:val="nil"/>
            </w:tcBorders>
            <w:vAlign w:val="center"/>
          </w:tcPr>
          <w:p w14:paraId="2B6BF5DE" w14:textId="77777777" w:rsidR="00F63C53" w:rsidRPr="004C78D8" w:rsidRDefault="00F63C53" w:rsidP="00FB7C1F">
            <w:pPr>
              <w:jc w:val="center"/>
            </w:pPr>
          </w:p>
        </w:tc>
        <w:tc>
          <w:tcPr>
            <w:tcW w:w="393" w:type="pct"/>
            <w:tcBorders>
              <w:top w:val="nil"/>
              <w:bottom w:val="nil"/>
            </w:tcBorders>
            <w:vAlign w:val="center"/>
          </w:tcPr>
          <w:p w14:paraId="67C4105A" w14:textId="77777777" w:rsidR="00F63C53" w:rsidRPr="004C78D8" w:rsidRDefault="00F63C53" w:rsidP="00FB7C1F">
            <w:pPr>
              <w:jc w:val="center"/>
            </w:pPr>
          </w:p>
        </w:tc>
        <w:tc>
          <w:tcPr>
            <w:tcW w:w="550" w:type="pct"/>
            <w:tcBorders>
              <w:top w:val="nil"/>
              <w:bottom w:val="nil"/>
            </w:tcBorders>
            <w:vAlign w:val="center"/>
          </w:tcPr>
          <w:p w14:paraId="67B42A34"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05C4011C" w14:textId="77777777" w:rsidR="00F63C53" w:rsidRPr="004C78D8" w:rsidRDefault="00F63C53" w:rsidP="00FB7C1F">
            <w:pPr>
              <w:jc w:val="center"/>
              <w:rPr>
                <w:sz w:val="28"/>
                <w:szCs w:val="28"/>
              </w:rPr>
            </w:pPr>
            <w:r w:rsidRPr="004C78D8">
              <w:rPr>
                <w:rFonts w:cs="Times New Roman"/>
                <w:sz w:val="28"/>
                <w:szCs w:val="28"/>
              </w:rPr>
              <w:t>˟</w:t>
            </w:r>
          </w:p>
        </w:tc>
        <w:tc>
          <w:tcPr>
            <w:tcW w:w="629" w:type="pct"/>
            <w:tcBorders>
              <w:top w:val="nil"/>
              <w:bottom w:val="nil"/>
            </w:tcBorders>
            <w:vAlign w:val="center"/>
          </w:tcPr>
          <w:p w14:paraId="4B6B3815" w14:textId="77777777" w:rsidR="00F63C53" w:rsidRPr="004C78D8" w:rsidRDefault="00F63C53" w:rsidP="00FB7C1F">
            <w:pPr>
              <w:jc w:val="center"/>
            </w:pPr>
          </w:p>
        </w:tc>
        <w:tc>
          <w:tcPr>
            <w:tcW w:w="550" w:type="pct"/>
            <w:tcBorders>
              <w:top w:val="nil"/>
              <w:bottom w:val="nil"/>
            </w:tcBorders>
            <w:vAlign w:val="center"/>
          </w:tcPr>
          <w:p w14:paraId="6B535E36" w14:textId="77777777" w:rsidR="00F63C53" w:rsidRPr="004C78D8" w:rsidRDefault="00F63C53" w:rsidP="00FB7C1F">
            <w:pPr>
              <w:jc w:val="center"/>
            </w:pPr>
          </w:p>
        </w:tc>
        <w:tc>
          <w:tcPr>
            <w:tcW w:w="601" w:type="pct"/>
            <w:tcBorders>
              <w:top w:val="nil"/>
              <w:bottom w:val="nil"/>
            </w:tcBorders>
            <w:vAlign w:val="center"/>
          </w:tcPr>
          <w:p w14:paraId="78521CA0" w14:textId="77777777" w:rsidR="00F63C53" w:rsidRPr="004C78D8" w:rsidRDefault="00F63C53" w:rsidP="00FB7C1F">
            <w:pPr>
              <w:jc w:val="center"/>
            </w:pPr>
          </w:p>
        </w:tc>
      </w:tr>
      <w:tr w:rsidR="00F63C53" w:rsidRPr="004C78D8" w14:paraId="66BA73D5" w14:textId="77777777" w:rsidTr="002828C1">
        <w:tc>
          <w:tcPr>
            <w:tcW w:w="1177" w:type="pct"/>
          </w:tcPr>
          <w:p w14:paraId="6BDFE344" w14:textId="77777777" w:rsidR="00F63C53" w:rsidRPr="004C78D8" w:rsidRDefault="00F63C53" w:rsidP="00FB7C1F">
            <w:pPr>
              <w:jc w:val="left"/>
              <w:rPr>
                <w:sz w:val="18"/>
                <w:szCs w:val="18"/>
              </w:rPr>
            </w:pPr>
            <w:r w:rsidRPr="004C78D8">
              <w:rPr>
                <w:sz w:val="18"/>
                <w:szCs w:val="18"/>
              </w:rPr>
              <w:t>Johansson (2008)</w:t>
            </w:r>
          </w:p>
        </w:tc>
        <w:tc>
          <w:tcPr>
            <w:tcW w:w="550" w:type="pct"/>
            <w:tcBorders>
              <w:top w:val="nil"/>
              <w:bottom w:val="nil"/>
            </w:tcBorders>
            <w:vAlign w:val="center"/>
          </w:tcPr>
          <w:p w14:paraId="071E96C0" w14:textId="77777777" w:rsidR="00F63C53" w:rsidRPr="004C78D8" w:rsidRDefault="00F63C53" w:rsidP="00FB7C1F">
            <w:pPr>
              <w:jc w:val="center"/>
              <w:rPr>
                <w:sz w:val="28"/>
                <w:szCs w:val="28"/>
              </w:rPr>
            </w:pPr>
            <w:r w:rsidRPr="004C78D8">
              <w:rPr>
                <w:rFonts w:cs="Times New Roman"/>
                <w:sz w:val="28"/>
                <w:szCs w:val="28"/>
              </w:rPr>
              <w:t>˟</w:t>
            </w:r>
          </w:p>
        </w:tc>
        <w:tc>
          <w:tcPr>
            <w:tcW w:w="393" w:type="pct"/>
            <w:tcBorders>
              <w:top w:val="nil"/>
              <w:bottom w:val="nil"/>
            </w:tcBorders>
            <w:vAlign w:val="center"/>
          </w:tcPr>
          <w:p w14:paraId="3B8A0A1C" w14:textId="77777777" w:rsidR="00F63C53" w:rsidRPr="004C78D8" w:rsidRDefault="00F63C53" w:rsidP="00FB7C1F">
            <w:pPr>
              <w:jc w:val="center"/>
            </w:pPr>
            <w:r w:rsidRPr="004C78D8">
              <w:rPr>
                <w:rFonts w:cs="Times New Roman"/>
                <w:sz w:val="20"/>
                <w:szCs w:val="20"/>
              </w:rPr>
              <w:t>NS</w:t>
            </w:r>
          </w:p>
        </w:tc>
        <w:tc>
          <w:tcPr>
            <w:tcW w:w="550" w:type="pct"/>
            <w:tcBorders>
              <w:top w:val="nil"/>
              <w:bottom w:val="nil"/>
            </w:tcBorders>
            <w:vAlign w:val="center"/>
          </w:tcPr>
          <w:p w14:paraId="39B29D27"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1443B7DD" w14:textId="77777777" w:rsidR="00F63C53" w:rsidRPr="004C78D8" w:rsidRDefault="00F63C53" w:rsidP="00FB7C1F">
            <w:pPr>
              <w:jc w:val="center"/>
              <w:rPr>
                <w:sz w:val="28"/>
                <w:szCs w:val="28"/>
              </w:rPr>
            </w:pPr>
            <w:r w:rsidRPr="004C78D8">
              <w:rPr>
                <w:rFonts w:cs="Times New Roman"/>
                <w:sz w:val="28"/>
                <w:szCs w:val="28"/>
              </w:rPr>
              <w:t>˟</w:t>
            </w:r>
          </w:p>
        </w:tc>
        <w:tc>
          <w:tcPr>
            <w:tcW w:w="629" w:type="pct"/>
            <w:tcBorders>
              <w:top w:val="nil"/>
              <w:bottom w:val="nil"/>
            </w:tcBorders>
            <w:vAlign w:val="center"/>
          </w:tcPr>
          <w:p w14:paraId="04F152D6"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39037C09" w14:textId="77777777" w:rsidR="00F63C53" w:rsidRPr="004C78D8" w:rsidRDefault="00F63C53" w:rsidP="00FB7C1F">
            <w:pPr>
              <w:jc w:val="center"/>
              <w:rPr>
                <w:sz w:val="28"/>
                <w:szCs w:val="28"/>
              </w:rPr>
            </w:pPr>
            <w:r w:rsidRPr="004C78D8">
              <w:rPr>
                <w:rFonts w:cs="Times New Roman"/>
                <w:sz w:val="28"/>
                <w:szCs w:val="28"/>
              </w:rPr>
              <w:t>˟</w:t>
            </w:r>
          </w:p>
        </w:tc>
        <w:tc>
          <w:tcPr>
            <w:tcW w:w="601" w:type="pct"/>
            <w:tcBorders>
              <w:top w:val="nil"/>
              <w:bottom w:val="nil"/>
            </w:tcBorders>
            <w:vAlign w:val="center"/>
          </w:tcPr>
          <w:p w14:paraId="55BA4A1F" w14:textId="77777777" w:rsidR="00F63C53" w:rsidRPr="004C78D8" w:rsidRDefault="00F63C53" w:rsidP="00FB7C1F">
            <w:pPr>
              <w:jc w:val="center"/>
              <w:rPr>
                <w:sz w:val="28"/>
                <w:szCs w:val="28"/>
              </w:rPr>
            </w:pPr>
            <w:r w:rsidRPr="004C78D8">
              <w:rPr>
                <w:rFonts w:cs="Times New Roman"/>
                <w:sz w:val="28"/>
                <w:szCs w:val="28"/>
              </w:rPr>
              <w:t>˟</w:t>
            </w:r>
          </w:p>
        </w:tc>
      </w:tr>
      <w:tr w:rsidR="00F63C53" w:rsidRPr="004C78D8" w14:paraId="55AE9476" w14:textId="77777777" w:rsidTr="002828C1">
        <w:tc>
          <w:tcPr>
            <w:tcW w:w="1177" w:type="pct"/>
          </w:tcPr>
          <w:p w14:paraId="19FA93CA" w14:textId="77777777" w:rsidR="00F63C53" w:rsidRPr="004C78D8" w:rsidRDefault="00F63C53" w:rsidP="00FB7C1F">
            <w:pPr>
              <w:jc w:val="left"/>
              <w:rPr>
                <w:sz w:val="18"/>
                <w:szCs w:val="18"/>
              </w:rPr>
            </w:pPr>
            <w:r w:rsidRPr="004C78D8">
              <w:rPr>
                <w:sz w:val="18"/>
                <w:szCs w:val="18"/>
              </w:rPr>
              <w:t>Lee (2013)</w:t>
            </w:r>
          </w:p>
        </w:tc>
        <w:tc>
          <w:tcPr>
            <w:tcW w:w="550" w:type="pct"/>
            <w:tcBorders>
              <w:top w:val="nil"/>
              <w:bottom w:val="nil"/>
            </w:tcBorders>
            <w:vAlign w:val="center"/>
          </w:tcPr>
          <w:p w14:paraId="3D0464F4" w14:textId="77777777" w:rsidR="00F63C53" w:rsidRPr="004C78D8" w:rsidRDefault="00F63C53" w:rsidP="00FB7C1F">
            <w:pPr>
              <w:jc w:val="center"/>
              <w:rPr>
                <w:sz w:val="28"/>
                <w:szCs w:val="28"/>
              </w:rPr>
            </w:pPr>
            <w:r w:rsidRPr="004C78D8">
              <w:rPr>
                <w:rFonts w:cs="Times New Roman"/>
                <w:sz w:val="28"/>
                <w:szCs w:val="28"/>
              </w:rPr>
              <w:t>˟</w:t>
            </w:r>
          </w:p>
        </w:tc>
        <w:tc>
          <w:tcPr>
            <w:tcW w:w="393" w:type="pct"/>
            <w:tcBorders>
              <w:top w:val="nil"/>
              <w:bottom w:val="nil"/>
            </w:tcBorders>
            <w:vAlign w:val="center"/>
          </w:tcPr>
          <w:p w14:paraId="6CA1C3CC" w14:textId="77777777" w:rsidR="00F63C53" w:rsidRPr="004C78D8" w:rsidRDefault="00F63C53" w:rsidP="00FB7C1F">
            <w:pPr>
              <w:jc w:val="center"/>
            </w:pPr>
            <w:r w:rsidRPr="004C78D8">
              <w:rPr>
                <w:rFonts w:cs="Times New Roman"/>
                <w:sz w:val="20"/>
                <w:szCs w:val="20"/>
              </w:rPr>
              <w:t>NS</w:t>
            </w:r>
          </w:p>
        </w:tc>
        <w:tc>
          <w:tcPr>
            <w:tcW w:w="550" w:type="pct"/>
            <w:tcBorders>
              <w:top w:val="nil"/>
              <w:bottom w:val="nil"/>
            </w:tcBorders>
            <w:vAlign w:val="center"/>
          </w:tcPr>
          <w:p w14:paraId="14E15D2D"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24C048C3" w14:textId="77777777" w:rsidR="00F63C53" w:rsidRPr="004C78D8" w:rsidRDefault="00F63C53" w:rsidP="00FB7C1F">
            <w:pPr>
              <w:jc w:val="center"/>
            </w:pPr>
          </w:p>
        </w:tc>
        <w:tc>
          <w:tcPr>
            <w:tcW w:w="629" w:type="pct"/>
            <w:tcBorders>
              <w:top w:val="nil"/>
              <w:bottom w:val="nil"/>
            </w:tcBorders>
            <w:vAlign w:val="center"/>
          </w:tcPr>
          <w:p w14:paraId="7FB42A44" w14:textId="77777777" w:rsidR="00F63C53" w:rsidRPr="004C78D8" w:rsidRDefault="00F63C53" w:rsidP="00FB7C1F">
            <w:pPr>
              <w:jc w:val="center"/>
            </w:pPr>
          </w:p>
        </w:tc>
        <w:tc>
          <w:tcPr>
            <w:tcW w:w="550" w:type="pct"/>
            <w:tcBorders>
              <w:top w:val="nil"/>
              <w:bottom w:val="nil"/>
            </w:tcBorders>
            <w:vAlign w:val="center"/>
          </w:tcPr>
          <w:p w14:paraId="3DC67335" w14:textId="77777777" w:rsidR="00F63C53" w:rsidRPr="004C78D8" w:rsidRDefault="00F63C53" w:rsidP="00FB7C1F">
            <w:pPr>
              <w:jc w:val="center"/>
            </w:pPr>
          </w:p>
        </w:tc>
        <w:tc>
          <w:tcPr>
            <w:tcW w:w="601" w:type="pct"/>
            <w:tcBorders>
              <w:top w:val="nil"/>
              <w:bottom w:val="nil"/>
            </w:tcBorders>
            <w:vAlign w:val="center"/>
          </w:tcPr>
          <w:p w14:paraId="013E7F84" w14:textId="77777777" w:rsidR="00F63C53" w:rsidRPr="004C78D8" w:rsidRDefault="00F63C53" w:rsidP="00FB7C1F">
            <w:pPr>
              <w:jc w:val="center"/>
            </w:pPr>
          </w:p>
        </w:tc>
      </w:tr>
      <w:tr w:rsidR="00F63C53" w:rsidRPr="004C78D8" w14:paraId="137AF5C4" w14:textId="77777777" w:rsidTr="002828C1">
        <w:tc>
          <w:tcPr>
            <w:tcW w:w="1177" w:type="pct"/>
          </w:tcPr>
          <w:p w14:paraId="258264D6" w14:textId="77777777" w:rsidR="00F63C53" w:rsidRPr="004C78D8" w:rsidRDefault="00F63C53" w:rsidP="00FB7C1F">
            <w:pPr>
              <w:jc w:val="left"/>
              <w:rPr>
                <w:sz w:val="18"/>
                <w:szCs w:val="18"/>
              </w:rPr>
            </w:pPr>
            <w:r w:rsidRPr="004C78D8">
              <w:rPr>
                <w:sz w:val="18"/>
                <w:szCs w:val="18"/>
              </w:rPr>
              <w:t>Ling (2008)</w:t>
            </w:r>
          </w:p>
        </w:tc>
        <w:tc>
          <w:tcPr>
            <w:tcW w:w="550" w:type="pct"/>
            <w:tcBorders>
              <w:top w:val="nil"/>
              <w:bottom w:val="nil"/>
            </w:tcBorders>
            <w:vAlign w:val="center"/>
          </w:tcPr>
          <w:p w14:paraId="16632F40" w14:textId="77777777" w:rsidR="00F63C53" w:rsidRPr="004C78D8" w:rsidRDefault="00F63C53" w:rsidP="00FB7C1F">
            <w:pPr>
              <w:jc w:val="center"/>
            </w:pPr>
            <w:r w:rsidRPr="004C78D8">
              <w:rPr>
                <w:rFonts w:cs="Times New Roman"/>
                <w:sz w:val="20"/>
                <w:szCs w:val="20"/>
              </w:rPr>
              <w:t>NS</w:t>
            </w:r>
          </w:p>
        </w:tc>
        <w:tc>
          <w:tcPr>
            <w:tcW w:w="393" w:type="pct"/>
            <w:tcBorders>
              <w:top w:val="nil"/>
              <w:bottom w:val="nil"/>
            </w:tcBorders>
            <w:vAlign w:val="center"/>
          </w:tcPr>
          <w:p w14:paraId="761864FE" w14:textId="77777777" w:rsidR="00F63C53" w:rsidRPr="004C78D8" w:rsidRDefault="00F63C53" w:rsidP="00FB7C1F">
            <w:pPr>
              <w:jc w:val="center"/>
            </w:pPr>
            <w:r w:rsidRPr="004C78D8">
              <w:rPr>
                <w:rFonts w:cs="Times New Roman"/>
                <w:sz w:val="20"/>
                <w:szCs w:val="20"/>
              </w:rPr>
              <w:t>NS</w:t>
            </w:r>
          </w:p>
        </w:tc>
        <w:tc>
          <w:tcPr>
            <w:tcW w:w="550" w:type="pct"/>
            <w:tcBorders>
              <w:top w:val="nil"/>
              <w:bottom w:val="nil"/>
            </w:tcBorders>
            <w:vAlign w:val="center"/>
          </w:tcPr>
          <w:p w14:paraId="20E74DB3" w14:textId="77777777" w:rsidR="00F63C53" w:rsidRPr="004C78D8" w:rsidRDefault="00F63C53" w:rsidP="00FB7C1F">
            <w:pPr>
              <w:jc w:val="center"/>
            </w:pPr>
            <w:r w:rsidRPr="004C78D8">
              <w:rPr>
                <w:rFonts w:cs="Times New Roman"/>
                <w:sz w:val="20"/>
                <w:szCs w:val="20"/>
              </w:rPr>
              <w:t>NS</w:t>
            </w:r>
          </w:p>
        </w:tc>
        <w:tc>
          <w:tcPr>
            <w:tcW w:w="550" w:type="pct"/>
            <w:tcBorders>
              <w:top w:val="nil"/>
              <w:bottom w:val="nil"/>
            </w:tcBorders>
            <w:vAlign w:val="center"/>
          </w:tcPr>
          <w:p w14:paraId="649C9561" w14:textId="77777777" w:rsidR="00F63C53" w:rsidRPr="004C78D8" w:rsidRDefault="00F63C53" w:rsidP="00FB7C1F">
            <w:pPr>
              <w:jc w:val="center"/>
            </w:pPr>
            <w:r w:rsidRPr="004C78D8">
              <w:rPr>
                <w:rFonts w:cs="Times New Roman"/>
                <w:sz w:val="20"/>
                <w:szCs w:val="20"/>
              </w:rPr>
              <w:t>NS</w:t>
            </w:r>
          </w:p>
        </w:tc>
        <w:tc>
          <w:tcPr>
            <w:tcW w:w="629" w:type="pct"/>
            <w:tcBorders>
              <w:top w:val="nil"/>
              <w:bottom w:val="nil"/>
            </w:tcBorders>
            <w:vAlign w:val="center"/>
          </w:tcPr>
          <w:p w14:paraId="661BA3C5" w14:textId="77777777" w:rsidR="00F63C53" w:rsidRPr="004C78D8" w:rsidRDefault="00F63C53" w:rsidP="00FB7C1F">
            <w:pPr>
              <w:jc w:val="center"/>
            </w:pPr>
          </w:p>
        </w:tc>
        <w:tc>
          <w:tcPr>
            <w:tcW w:w="550" w:type="pct"/>
            <w:tcBorders>
              <w:top w:val="nil"/>
              <w:bottom w:val="nil"/>
            </w:tcBorders>
            <w:vAlign w:val="center"/>
          </w:tcPr>
          <w:p w14:paraId="4D66AE3B" w14:textId="77777777" w:rsidR="00F63C53" w:rsidRPr="004C78D8" w:rsidRDefault="00F63C53" w:rsidP="00FB7C1F">
            <w:pPr>
              <w:jc w:val="center"/>
              <w:rPr>
                <w:sz w:val="28"/>
                <w:szCs w:val="28"/>
              </w:rPr>
            </w:pPr>
            <w:r w:rsidRPr="004C78D8">
              <w:rPr>
                <w:rFonts w:cs="Times New Roman"/>
                <w:sz w:val="28"/>
                <w:szCs w:val="28"/>
              </w:rPr>
              <w:t>˟</w:t>
            </w:r>
          </w:p>
        </w:tc>
        <w:tc>
          <w:tcPr>
            <w:tcW w:w="601" w:type="pct"/>
            <w:tcBorders>
              <w:top w:val="nil"/>
              <w:bottom w:val="nil"/>
            </w:tcBorders>
            <w:vAlign w:val="center"/>
          </w:tcPr>
          <w:p w14:paraId="7736FC53" w14:textId="77777777" w:rsidR="00F63C53" w:rsidRPr="004C78D8" w:rsidRDefault="00F63C53" w:rsidP="00FB7C1F">
            <w:pPr>
              <w:jc w:val="center"/>
            </w:pPr>
          </w:p>
        </w:tc>
      </w:tr>
      <w:tr w:rsidR="00F63C53" w:rsidRPr="004C78D8" w14:paraId="05F21C64" w14:textId="77777777" w:rsidTr="002828C1">
        <w:tc>
          <w:tcPr>
            <w:tcW w:w="1177" w:type="pct"/>
          </w:tcPr>
          <w:p w14:paraId="6F330C2F" w14:textId="77777777" w:rsidR="00F63C53" w:rsidRPr="004C78D8" w:rsidRDefault="00F63C53" w:rsidP="00FB7C1F">
            <w:pPr>
              <w:jc w:val="left"/>
              <w:rPr>
                <w:sz w:val="18"/>
                <w:szCs w:val="18"/>
              </w:rPr>
            </w:pPr>
            <w:r w:rsidRPr="004C78D8">
              <w:rPr>
                <w:sz w:val="18"/>
                <w:szCs w:val="18"/>
              </w:rPr>
              <w:t>McLean (2015)</w:t>
            </w:r>
          </w:p>
        </w:tc>
        <w:tc>
          <w:tcPr>
            <w:tcW w:w="550" w:type="pct"/>
            <w:tcBorders>
              <w:top w:val="nil"/>
              <w:bottom w:val="nil"/>
            </w:tcBorders>
            <w:vAlign w:val="center"/>
          </w:tcPr>
          <w:p w14:paraId="146758D2" w14:textId="77777777" w:rsidR="00F63C53" w:rsidRPr="004C78D8" w:rsidRDefault="00F63C53" w:rsidP="00FB7C1F">
            <w:pPr>
              <w:jc w:val="center"/>
              <w:rPr>
                <w:sz w:val="28"/>
                <w:szCs w:val="28"/>
              </w:rPr>
            </w:pPr>
            <w:r w:rsidRPr="004C78D8">
              <w:rPr>
                <w:rFonts w:cs="Times New Roman"/>
                <w:sz w:val="28"/>
                <w:szCs w:val="28"/>
              </w:rPr>
              <w:t>˟</w:t>
            </w:r>
          </w:p>
        </w:tc>
        <w:tc>
          <w:tcPr>
            <w:tcW w:w="393" w:type="pct"/>
            <w:tcBorders>
              <w:top w:val="nil"/>
              <w:bottom w:val="nil"/>
            </w:tcBorders>
            <w:vAlign w:val="center"/>
          </w:tcPr>
          <w:p w14:paraId="5BC71993"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002CF978"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586B14A2" w14:textId="77777777" w:rsidR="00F63C53" w:rsidRPr="004C78D8" w:rsidRDefault="00F63C53" w:rsidP="00FB7C1F">
            <w:pPr>
              <w:jc w:val="center"/>
              <w:rPr>
                <w:sz w:val="28"/>
                <w:szCs w:val="28"/>
              </w:rPr>
            </w:pPr>
            <w:r w:rsidRPr="004C78D8">
              <w:rPr>
                <w:rFonts w:cs="Times New Roman"/>
                <w:sz w:val="28"/>
                <w:szCs w:val="28"/>
              </w:rPr>
              <w:t>˟</w:t>
            </w:r>
          </w:p>
        </w:tc>
        <w:tc>
          <w:tcPr>
            <w:tcW w:w="629" w:type="pct"/>
            <w:tcBorders>
              <w:top w:val="nil"/>
              <w:bottom w:val="nil"/>
            </w:tcBorders>
            <w:vAlign w:val="center"/>
          </w:tcPr>
          <w:p w14:paraId="1F0372DB" w14:textId="77777777" w:rsidR="00F63C53" w:rsidRPr="004C78D8" w:rsidRDefault="00F63C53" w:rsidP="00FB7C1F">
            <w:pPr>
              <w:jc w:val="center"/>
            </w:pPr>
          </w:p>
        </w:tc>
        <w:tc>
          <w:tcPr>
            <w:tcW w:w="550" w:type="pct"/>
            <w:tcBorders>
              <w:top w:val="nil"/>
              <w:bottom w:val="nil"/>
            </w:tcBorders>
            <w:vAlign w:val="center"/>
          </w:tcPr>
          <w:p w14:paraId="625A01EA" w14:textId="77777777" w:rsidR="00F63C53" w:rsidRPr="004C78D8" w:rsidRDefault="00F63C53" w:rsidP="00FB7C1F">
            <w:pPr>
              <w:jc w:val="center"/>
            </w:pPr>
          </w:p>
        </w:tc>
        <w:tc>
          <w:tcPr>
            <w:tcW w:w="601" w:type="pct"/>
            <w:tcBorders>
              <w:top w:val="nil"/>
              <w:bottom w:val="nil"/>
            </w:tcBorders>
            <w:vAlign w:val="center"/>
          </w:tcPr>
          <w:p w14:paraId="32085D5A" w14:textId="77777777" w:rsidR="00F63C53" w:rsidRPr="004C78D8" w:rsidRDefault="00F63C53" w:rsidP="00FB7C1F">
            <w:pPr>
              <w:jc w:val="center"/>
            </w:pPr>
          </w:p>
        </w:tc>
      </w:tr>
      <w:tr w:rsidR="00F63C53" w:rsidRPr="004C78D8" w14:paraId="7F455DF8" w14:textId="77777777" w:rsidTr="002828C1">
        <w:tc>
          <w:tcPr>
            <w:tcW w:w="1177" w:type="pct"/>
          </w:tcPr>
          <w:p w14:paraId="3437E1E0" w14:textId="77777777" w:rsidR="00F63C53" w:rsidRPr="004C78D8" w:rsidRDefault="00F63C53" w:rsidP="00FB7C1F">
            <w:pPr>
              <w:jc w:val="left"/>
              <w:rPr>
                <w:sz w:val="18"/>
                <w:szCs w:val="18"/>
              </w:rPr>
            </w:pPr>
            <w:r w:rsidRPr="004C78D8">
              <w:rPr>
                <w:sz w:val="18"/>
                <w:szCs w:val="18"/>
              </w:rPr>
              <w:t>Miller (2011)</w:t>
            </w:r>
          </w:p>
        </w:tc>
        <w:tc>
          <w:tcPr>
            <w:tcW w:w="550" w:type="pct"/>
            <w:tcBorders>
              <w:top w:val="nil"/>
              <w:bottom w:val="nil"/>
            </w:tcBorders>
            <w:vAlign w:val="center"/>
          </w:tcPr>
          <w:p w14:paraId="5EE11508" w14:textId="77777777" w:rsidR="00F63C53" w:rsidRPr="004C78D8" w:rsidRDefault="00F63C53" w:rsidP="00FB7C1F">
            <w:pPr>
              <w:jc w:val="center"/>
              <w:rPr>
                <w:sz w:val="28"/>
                <w:szCs w:val="28"/>
              </w:rPr>
            </w:pPr>
            <w:r w:rsidRPr="004C78D8">
              <w:rPr>
                <w:rFonts w:cs="Times New Roman"/>
                <w:sz w:val="28"/>
                <w:szCs w:val="28"/>
              </w:rPr>
              <w:t>˟</w:t>
            </w:r>
          </w:p>
        </w:tc>
        <w:tc>
          <w:tcPr>
            <w:tcW w:w="393" w:type="pct"/>
            <w:tcBorders>
              <w:top w:val="nil"/>
              <w:bottom w:val="nil"/>
            </w:tcBorders>
            <w:vAlign w:val="center"/>
          </w:tcPr>
          <w:p w14:paraId="7BF0B8C2"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5CECD70C"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0502C8D8" w14:textId="77777777" w:rsidR="00F63C53" w:rsidRPr="004C78D8" w:rsidRDefault="00F63C53" w:rsidP="00FB7C1F">
            <w:pPr>
              <w:jc w:val="center"/>
              <w:rPr>
                <w:sz w:val="28"/>
                <w:szCs w:val="28"/>
              </w:rPr>
            </w:pPr>
            <w:r w:rsidRPr="004C78D8">
              <w:rPr>
                <w:rFonts w:cs="Times New Roman"/>
                <w:sz w:val="28"/>
                <w:szCs w:val="28"/>
              </w:rPr>
              <w:t>˟</w:t>
            </w:r>
          </w:p>
        </w:tc>
        <w:tc>
          <w:tcPr>
            <w:tcW w:w="629" w:type="pct"/>
            <w:tcBorders>
              <w:top w:val="nil"/>
              <w:bottom w:val="nil"/>
            </w:tcBorders>
            <w:vAlign w:val="center"/>
          </w:tcPr>
          <w:p w14:paraId="56DFC602" w14:textId="77777777" w:rsidR="00F63C53" w:rsidRPr="004C78D8" w:rsidRDefault="00F63C53" w:rsidP="00FB7C1F">
            <w:pPr>
              <w:jc w:val="center"/>
            </w:pPr>
          </w:p>
        </w:tc>
        <w:tc>
          <w:tcPr>
            <w:tcW w:w="550" w:type="pct"/>
            <w:tcBorders>
              <w:top w:val="nil"/>
              <w:bottom w:val="nil"/>
            </w:tcBorders>
            <w:vAlign w:val="center"/>
          </w:tcPr>
          <w:p w14:paraId="61BC15C3" w14:textId="77777777" w:rsidR="00F63C53" w:rsidRPr="004C78D8" w:rsidRDefault="00F63C53" w:rsidP="00FB7C1F">
            <w:pPr>
              <w:jc w:val="center"/>
            </w:pPr>
          </w:p>
        </w:tc>
        <w:tc>
          <w:tcPr>
            <w:tcW w:w="601" w:type="pct"/>
            <w:tcBorders>
              <w:top w:val="nil"/>
              <w:bottom w:val="nil"/>
            </w:tcBorders>
            <w:vAlign w:val="center"/>
          </w:tcPr>
          <w:p w14:paraId="079BCE48" w14:textId="77777777" w:rsidR="00F63C53" w:rsidRPr="004C78D8" w:rsidRDefault="00F63C53" w:rsidP="00FB7C1F">
            <w:pPr>
              <w:jc w:val="center"/>
            </w:pPr>
          </w:p>
        </w:tc>
      </w:tr>
      <w:tr w:rsidR="00F63C53" w:rsidRPr="004C78D8" w14:paraId="4BF7BAAD" w14:textId="77777777" w:rsidTr="002828C1">
        <w:tc>
          <w:tcPr>
            <w:tcW w:w="1177" w:type="pct"/>
          </w:tcPr>
          <w:p w14:paraId="2332EDAE" w14:textId="77777777" w:rsidR="00F63C53" w:rsidRPr="004C78D8" w:rsidRDefault="00F63C53" w:rsidP="00FB7C1F">
            <w:pPr>
              <w:jc w:val="left"/>
              <w:rPr>
                <w:sz w:val="18"/>
                <w:szCs w:val="18"/>
              </w:rPr>
            </w:pPr>
            <w:r w:rsidRPr="004C78D8">
              <w:rPr>
                <w:sz w:val="18"/>
                <w:szCs w:val="18"/>
              </w:rPr>
              <w:t>Mori (2017)</w:t>
            </w:r>
          </w:p>
        </w:tc>
        <w:tc>
          <w:tcPr>
            <w:tcW w:w="550" w:type="pct"/>
            <w:tcBorders>
              <w:top w:val="nil"/>
              <w:bottom w:val="nil"/>
            </w:tcBorders>
            <w:vAlign w:val="center"/>
          </w:tcPr>
          <w:p w14:paraId="73D4E5FA" w14:textId="77777777" w:rsidR="00F63C53" w:rsidRPr="004C78D8" w:rsidRDefault="00F63C53" w:rsidP="00FB7C1F">
            <w:pPr>
              <w:jc w:val="center"/>
            </w:pPr>
            <w:r w:rsidRPr="004C78D8">
              <w:rPr>
                <w:rFonts w:cs="Times New Roman"/>
                <w:sz w:val="20"/>
                <w:szCs w:val="20"/>
              </w:rPr>
              <w:t>NS</w:t>
            </w:r>
          </w:p>
        </w:tc>
        <w:tc>
          <w:tcPr>
            <w:tcW w:w="393" w:type="pct"/>
            <w:tcBorders>
              <w:top w:val="nil"/>
              <w:bottom w:val="nil"/>
            </w:tcBorders>
            <w:vAlign w:val="center"/>
          </w:tcPr>
          <w:p w14:paraId="4987A9BF" w14:textId="77777777" w:rsidR="00F63C53" w:rsidRPr="004C78D8" w:rsidRDefault="00F63C53" w:rsidP="00FB7C1F">
            <w:pPr>
              <w:jc w:val="center"/>
            </w:pPr>
            <w:r w:rsidRPr="004C78D8">
              <w:rPr>
                <w:rFonts w:cs="Times New Roman"/>
                <w:sz w:val="20"/>
                <w:szCs w:val="20"/>
              </w:rPr>
              <w:t>NS</w:t>
            </w:r>
          </w:p>
        </w:tc>
        <w:tc>
          <w:tcPr>
            <w:tcW w:w="550" w:type="pct"/>
            <w:tcBorders>
              <w:top w:val="nil"/>
              <w:bottom w:val="nil"/>
            </w:tcBorders>
            <w:vAlign w:val="center"/>
          </w:tcPr>
          <w:p w14:paraId="7487DD06" w14:textId="77777777" w:rsidR="00F63C53" w:rsidRPr="004C78D8" w:rsidRDefault="00F63C53" w:rsidP="00FB7C1F">
            <w:pPr>
              <w:jc w:val="center"/>
            </w:pPr>
            <w:r w:rsidRPr="004C78D8">
              <w:rPr>
                <w:rFonts w:cs="Times New Roman"/>
                <w:sz w:val="20"/>
                <w:szCs w:val="20"/>
              </w:rPr>
              <w:t>NS</w:t>
            </w:r>
          </w:p>
        </w:tc>
        <w:tc>
          <w:tcPr>
            <w:tcW w:w="550" w:type="pct"/>
            <w:tcBorders>
              <w:top w:val="nil"/>
              <w:bottom w:val="nil"/>
            </w:tcBorders>
            <w:vAlign w:val="center"/>
          </w:tcPr>
          <w:p w14:paraId="1B372AD0" w14:textId="77777777" w:rsidR="00F63C53" w:rsidRPr="004C78D8" w:rsidRDefault="00F63C53" w:rsidP="00FB7C1F">
            <w:pPr>
              <w:jc w:val="center"/>
            </w:pPr>
            <w:r w:rsidRPr="004C78D8">
              <w:rPr>
                <w:rFonts w:cs="Times New Roman"/>
                <w:sz w:val="20"/>
                <w:szCs w:val="20"/>
              </w:rPr>
              <w:t>NS</w:t>
            </w:r>
          </w:p>
        </w:tc>
        <w:tc>
          <w:tcPr>
            <w:tcW w:w="629" w:type="pct"/>
            <w:tcBorders>
              <w:top w:val="nil"/>
              <w:bottom w:val="nil"/>
            </w:tcBorders>
            <w:vAlign w:val="center"/>
          </w:tcPr>
          <w:p w14:paraId="2E723C50" w14:textId="77777777" w:rsidR="00F63C53" w:rsidRPr="004C78D8" w:rsidRDefault="00F63C53" w:rsidP="00FB7C1F">
            <w:pPr>
              <w:jc w:val="center"/>
            </w:pPr>
          </w:p>
        </w:tc>
        <w:tc>
          <w:tcPr>
            <w:tcW w:w="550" w:type="pct"/>
            <w:tcBorders>
              <w:top w:val="nil"/>
              <w:bottom w:val="nil"/>
            </w:tcBorders>
            <w:vAlign w:val="center"/>
          </w:tcPr>
          <w:p w14:paraId="6F809F3A" w14:textId="77777777" w:rsidR="00F63C53" w:rsidRPr="004C78D8" w:rsidRDefault="00F63C53" w:rsidP="00FB7C1F">
            <w:pPr>
              <w:jc w:val="center"/>
              <w:rPr>
                <w:sz w:val="28"/>
                <w:szCs w:val="28"/>
              </w:rPr>
            </w:pPr>
            <w:r w:rsidRPr="004C78D8">
              <w:rPr>
                <w:rFonts w:cs="Times New Roman"/>
                <w:sz w:val="28"/>
                <w:szCs w:val="28"/>
              </w:rPr>
              <w:t>˟</w:t>
            </w:r>
          </w:p>
        </w:tc>
        <w:tc>
          <w:tcPr>
            <w:tcW w:w="601" w:type="pct"/>
            <w:tcBorders>
              <w:top w:val="nil"/>
              <w:bottom w:val="nil"/>
            </w:tcBorders>
            <w:vAlign w:val="center"/>
          </w:tcPr>
          <w:p w14:paraId="34696FEE" w14:textId="77777777" w:rsidR="00F63C53" w:rsidRPr="004C78D8" w:rsidRDefault="00F63C53" w:rsidP="00FB7C1F">
            <w:pPr>
              <w:jc w:val="center"/>
            </w:pPr>
          </w:p>
        </w:tc>
      </w:tr>
      <w:tr w:rsidR="00F63C53" w:rsidRPr="004C78D8" w14:paraId="4620CFD2" w14:textId="77777777" w:rsidTr="002828C1">
        <w:tc>
          <w:tcPr>
            <w:tcW w:w="1177" w:type="pct"/>
          </w:tcPr>
          <w:p w14:paraId="79C1680B" w14:textId="77777777" w:rsidR="00F63C53" w:rsidRPr="004C78D8" w:rsidRDefault="00F63C53" w:rsidP="00FB7C1F">
            <w:pPr>
              <w:jc w:val="left"/>
              <w:rPr>
                <w:sz w:val="18"/>
                <w:szCs w:val="18"/>
              </w:rPr>
            </w:pPr>
            <w:r w:rsidRPr="004C78D8">
              <w:rPr>
                <w:sz w:val="18"/>
                <w:szCs w:val="18"/>
              </w:rPr>
              <w:t>Moriarty (2019)</w:t>
            </w:r>
          </w:p>
        </w:tc>
        <w:tc>
          <w:tcPr>
            <w:tcW w:w="550" w:type="pct"/>
            <w:tcBorders>
              <w:top w:val="nil"/>
              <w:bottom w:val="nil"/>
            </w:tcBorders>
            <w:vAlign w:val="center"/>
          </w:tcPr>
          <w:p w14:paraId="0BC16F1A" w14:textId="77777777" w:rsidR="00F63C53" w:rsidRPr="004C78D8" w:rsidRDefault="00F63C53" w:rsidP="00FB7C1F">
            <w:pPr>
              <w:jc w:val="center"/>
              <w:rPr>
                <w:rFonts w:cs="Times New Roman"/>
                <w:sz w:val="20"/>
                <w:szCs w:val="20"/>
              </w:rPr>
            </w:pPr>
            <w:r w:rsidRPr="004C78D8">
              <w:rPr>
                <w:rFonts w:cs="Times New Roman"/>
                <w:sz w:val="28"/>
                <w:szCs w:val="28"/>
              </w:rPr>
              <w:t>˟</w:t>
            </w:r>
          </w:p>
        </w:tc>
        <w:tc>
          <w:tcPr>
            <w:tcW w:w="393" w:type="pct"/>
            <w:tcBorders>
              <w:top w:val="nil"/>
              <w:bottom w:val="nil"/>
            </w:tcBorders>
            <w:vAlign w:val="center"/>
          </w:tcPr>
          <w:p w14:paraId="16CFEABA" w14:textId="77777777" w:rsidR="00F63C53" w:rsidRPr="004C78D8" w:rsidRDefault="00F63C53" w:rsidP="00FB7C1F">
            <w:pPr>
              <w:jc w:val="center"/>
              <w:rPr>
                <w:rFonts w:cs="Times New Roman"/>
                <w:sz w:val="20"/>
                <w:szCs w:val="20"/>
              </w:rPr>
            </w:pPr>
            <w:r w:rsidRPr="004C78D8">
              <w:rPr>
                <w:rFonts w:cs="Times New Roman"/>
                <w:sz w:val="28"/>
                <w:szCs w:val="28"/>
              </w:rPr>
              <w:t>˟</w:t>
            </w:r>
          </w:p>
        </w:tc>
        <w:tc>
          <w:tcPr>
            <w:tcW w:w="550" w:type="pct"/>
            <w:tcBorders>
              <w:top w:val="nil"/>
              <w:bottom w:val="nil"/>
            </w:tcBorders>
            <w:vAlign w:val="center"/>
          </w:tcPr>
          <w:p w14:paraId="416C907A" w14:textId="77777777" w:rsidR="00F63C53" w:rsidRPr="004C78D8" w:rsidRDefault="00F63C53" w:rsidP="00FB7C1F">
            <w:pPr>
              <w:jc w:val="center"/>
              <w:rPr>
                <w:rFonts w:cs="Times New Roman"/>
                <w:sz w:val="20"/>
                <w:szCs w:val="20"/>
              </w:rPr>
            </w:pPr>
            <w:r w:rsidRPr="004C78D8">
              <w:rPr>
                <w:rFonts w:cs="Times New Roman"/>
                <w:sz w:val="28"/>
                <w:szCs w:val="28"/>
              </w:rPr>
              <w:t>˟</w:t>
            </w:r>
          </w:p>
        </w:tc>
        <w:tc>
          <w:tcPr>
            <w:tcW w:w="550" w:type="pct"/>
            <w:tcBorders>
              <w:top w:val="nil"/>
              <w:bottom w:val="nil"/>
            </w:tcBorders>
            <w:vAlign w:val="center"/>
          </w:tcPr>
          <w:p w14:paraId="7CEF66EB" w14:textId="77777777" w:rsidR="00F63C53" w:rsidRPr="004C78D8" w:rsidRDefault="00F63C53" w:rsidP="00FB7C1F">
            <w:pPr>
              <w:jc w:val="center"/>
              <w:rPr>
                <w:rFonts w:cs="Times New Roman"/>
                <w:sz w:val="20"/>
                <w:szCs w:val="20"/>
              </w:rPr>
            </w:pPr>
            <w:r w:rsidRPr="004C78D8">
              <w:rPr>
                <w:rFonts w:cs="Times New Roman"/>
                <w:sz w:val="28"/>
                <w:szCs w:val="28"/>
              </w:rPr>
              <w:t>˟</w:t>
            </w:r>
          </w:p>
        </w:tc>
        <w:tc>
          <w:tcPr>
            <w:tcW w:w="629" w:type="pct"/>
            <w:tcBorders>
              <w:top w:val="nil"/>
              <w:bottom w:val="nil"/>
            </w:tcBorders>
            <w:vAlign w:val="center"/>
          </w:tcPr>
          <w:p w14:paraId="074C33F8" w14:textId="77777777" w:rsidR="00F63C53" w:rsidRPr="004C78D8" w:rsidRDefault="00F63C53" w:rsidP="00FB7C1F">
            <w:pPr>
              <w:jc w:val="center"/>
            </w:pPr>
          </w:p>
        </w:tc>
        <w:tc>
          <w:tcPr>
            <w:tcW w:w="550" w:type="pct"/>
            <w:tcBorders>
              <w:top w:val="nil"/>
              <w:bottom w:val="nil"/>
            </w:tcBorders>
            <w:vAlign w:val="center"/>
          </w:tcPr>
          <w:p w14:paraId="11726878" w14:textId="77777777" w:rsidR="00F63C53" w:rsidRPr="004C78D8" w:rsidRDefault="00F63C53" w:rsidP="00FB7C1F">
            <w:pPr>
              <w:jc w:val="center"/>
              <w:rPr>
                <w:rFonts w:cs="Times New Roman"/>
                <w:sz w:val="28"/>
                <w:szCs w:val="28"/>
              </w:rPr>
            </w:pPr>
            <w:r w:rsidRPr="004C78D8">
              <w:rPr>
                <w:rFonts w:cs="Times New Roman"/>
                <w:sz w:val="28"/>
                <w:szCs w:val="28"/>
              </w:rPr>
              <w:t>˟</w:t>
            </w:r>
          </w:p>
        </w:tc>
        <w:tc>
          <w:tcPr>
            <w:tcW w:w="601" w:type="pct"/>
            <w:tcBorders>
              <w:top w:val="nil"/>
              <w:bottom w:val="nil"/>
            </w:tcBorders>
            <w:vAlign w:val="center"/>
          </w:tcPr>
          <w:p w14:paraId="6D1E7FFC" w14:textId="77777777" w:rsidR="00F63C53" w:rsidRPr="004C78D8" w:rsidRDefault="00F63C53" w:rsidP="00FB7C1F">
            <w:pPr>
              <w:jc w:val="center"/>
            </w:pPr>
          </w:p>
        </w:tc>
      </w:tr>
      <w:tr w:rsidR="00F63C53" w:rsidRPr="004C78D8" w14:paraId="6E5FCCF3" w14:textId="77777777" w:rsidTr="002828C1">
        <w:tc>
          <w:tcPr>
            <w:tcW w:w="1177" w:type="pct"/>
          </w:tcPr>
          <w:p w14:paraId="73D18D11" w14:textId="77777777" w:rsidR="00F63C53" w:rsidRPr="004C78D8" w:rsidRDefault="00F63C53" w:rsidP="00FB7C1F">
            <w:pPr>
              <w:jc w:val="left"/>
              <w:rPr>
                <w:sz w:val="18"/>
                <w:szCs w:val="18"/>
              </w:rPr>
            </w:pPr>
            <w:r w:rsidRPr="004C78D8">
              <w:rPr>
                <w:sz w:val="18"/>
                <w:szCs w:val="18"/>
              </w:rPr>
              <w:t>Nshimyumukiza (2013)</w:t>
            </w:r>
          </w:p>
        </w:tc>
        <w:tc>
          <w:tcPr>
            <w:tcW w:w="550" w:type="pct"/>
            <w:tcBorders>
              <w:top w:val="nil"/>
              <w:bottom w:val="nil"/>
            </w:tcBorders>
            <w:vAlign w:val="center"/>
          </w:tcPr>
          <w:p w14:paraId="491DC6F4" w14:textId="77777777" w:rsidR="00F63C53" w:rsidRPr="004C78D8" w:rsidRDefault="00F63C53" w:rsidP="00FB7C1F">
            <w:pPr>
              <w:jc w:val="center"/>
            </w:pPr>
          </w:p>
        </w:tc>
        <w:tc>
          <w:tcPr>
            <w:tcW w:w="393" w:type="pct"/>
            <w:tcBorders>
              <w:top w:val="nil"/>
              <w:bottom w:val="nil"/>
            </w:tcBorders>
            <w:vAlign w:val="center"/>
          </w:tcPr>
          <w:p w14:paraId="16664932"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6D12D2BC"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062B72C2" w14:textId="77777777" w:rsidR="00F63C53" w:rsidRPr="004C78D8" w:rsidRDefault="00F63C53" w:rsidP="00FB7C1F">
            <w:pPr>
              <w:jc w:val="center"/>
              <w:rPr>
                <w:sz w:val="28"/>
                <w:szCs w:val="28"/>
              </w:rPr>
            </w:pPr>
            <w:r w:rsidRPr="004C78D8">
              <w:rPr>
                <w:rFonts w:cs="Times New Roman"/>
                <w:sz w:val="28"/>
                <w:szCs w:val="28"/>
              </w:rPr>
              <w:t>˟</w:t>
            </w:r>
          </w:p>
        </w:tc>
        <w:tc>
          <w:tcPr>
            <w:tcW w:w="629" w:type="pct"/>
            <w:tcBorders>
              <w:top w:val="nil"/>
              <w:bottom w:val="nil"/>
            </w:tcBorders>
            <w:vAlign w:val="center"/>
          </w:tcPr>
          <w:p w14:paraId="4BDE24B6" w14:textId="77777777" w:rsidR="00F63C53" w:rsidRPr="004C78D8" w:rsidRDefault="00F63C53" w:rsidP="00FB7C1F">
            <w:pPr>
              <w:jc w:val="center"/>
              <w:rPr>
                <w:sz w:val="28"/>
                <w:szCs w:val="28"/>
              </w:rPr>
            </w:pPr>
          </w:p>
        </w:tc>
        <w:tc>
          <w:tcPr>
            <w:tcW w:w="550" w:type="pct"/>
            <w:tcBorders>
              <w:top w:val="nil"/>
              <w:bottom w:val="nil"/>
            </w:tcBorders>
            <w:vAlign w:val="center"/>
          </w:tcPr>
          <w:p w14:paraId="243348B7" w14:textId="77777777" w:rsidR="00F63C53" w:rsidRPr="004C78D8" w:rsidRDefault="00F63C53" w:rsidP="00FB7C1F">
            <w:pPr>
              <w:jc w:val="center"/>
              <w:rPr>
                <w:sz w:val="28"/>
                <w:szCs w:val="28"/>
              </w:rPr>
            </w:pPr>
            <w:r w:rsidRPr="004C78D8">
              <w:rPr>
                <w:rFonts w:cs="Times New Roman"/>
                <w:sz w:val="28"/>
                <w:szCs w:val="28"/>
              </w:rPr>
              <w:t>˟</w:t>
            </w:r>
          </w:p>
        </w:tc>
        <w:tc>
          <w:tcPr>
            <w:tcW w:w="601" w:type="pct"/>
            <w:tcBorders>
              <w:top w:val="nil"/>
              <w:bottom w:val="nil"/>
            </w:tcBorders>
            <w:vAlign w:val="center"/>
          </w:tcPr>
          <w:p w14:paraId="5E794BDA" w14:textId="77777777" w:rsidR="00F63C53" w:rsidRPr="004C78D8" w:rsidRDefault="00F63C53" w:rsidP="00FB7C1F">
            <w:pPr>
              <w:jc w:val="center"/>
            </w:pPr>
          </w:p>
        </w:tc>
      </w:tr>
      <w:tr w:rsidR="00F63C53" w:rsidRPr="004C78D8" w14:paraId="56E169EA" w14:textId="77777777" w:rsidTr="002828C1">
        <w:tc>
          <w:tcPr>
            <w:tcW w:w="1177" w:type="pct"/>
          </w:tcPr>
          <w:p w14:paraId="6C466F8D" w14:textId="77777777" w:rsidR="00F63C53" w:rsidRPr="004C78D8" w:rsidRDefault="00F63C53" w:rsidP="00FB7C1F">
            <w:pPr>
              <w:jc w:val="left"/>
              <w:rPr>
                <w:sz w:val="18"/>
                <w:szCs w:val="18"/>
              </w:rPr>
            </w:pPr>
            <w:r w:rsidRPr="004C78D8">
              <w:rPr>
                <w:sz w:val="18"/>
                <w:szCs w:val="18"/>
              </w:rPr>
              <w:t>OMAS (2008)</w:t>
            </w:r>
          </w:p>
        </w:tc>
        <w:tc>
          <w:tcPr>
            <w:tcW w:w="550" w:type="pct"/>
            <w:tcBorders>
              <w:top w:val="nil"/>
              <w:bottom w:val="nil"/>
            </w:tcBorders>
            <w:vAlign w:val="center"/>
          </w:tcPr>
          <w:p w14:paraId="65325601" w14:textId="77777777" w:rsidR="00F63C53" w:rsidRPr="004C78D8" w:rsidRDefault="00F63C53" w:rsidP="00FB7C1F">
            <w:pPr>
              <w:jc w:val="center"/>
            </w:pPr>
          </w:p>
        </w:tc>
        <w:tc>
          <w:tcPr>
            <w:tcW w:w="393" w:type="pct"/>
            <w:tcBorders>
              <w:top w:val="nil"/>
              <w:bottom w:val="nil"/>
            </w:tcBorders>
            <w:vAlign w:val="center"/>
          </w:tcPr>
          <w:p w14:paraId="571A3FDA"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25105FB8"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0034E14D" w14:textId="77777777" w:rsidR="00F63C53" w:rsidRPr="004C78D8" w:rsidRDefault="00F63C53" w:rsidP="00FB7C1F">
            <w:pPr>
              <w:jc w:val="center"/>
              <w:rPr>
                <w:sz w:val="28"/>
                <w:szCs w:val="28"/>
              </w:rPr>
            </w:pPr>
            <w:r w:rsidRPr="004C78D8">
              <w:rPr>
                <w:rFonts w:cs="Times New Roman"/>
                <w:sz w:val="28"/>
                <w:szCs w:val="28"/>
              </w:rPr>
              <w:t>˟</w:t>
            </w:r>
          </w:p>
        </w:tc>
        <w:tc>
          <w:tcPr>
            <w:tcW w:w="629" w:type="pct"/>
            <w:tcBorders>
              <w:top w:val="nil"/>
              <w:bottom w:val="nil"/>
            </w:tcBorders>
            <w:vAlign w:val="center"/>
          </w:tcPr>
          <w:p w14:paraId="07B3F715" w14:textId="77777777" w:rsidR="00F63C53" w:rsidRPr="004C78D8" w:rsidRDefault="00F63C53" w:rsidP="00FB7C1F">
            <w:pPr>
              <w:jc w:val="center"/>
              <w:rPr>
                <w:sz w:val="28"/>
                <w:szCs w:val="28"/>
              </w:rPr>
            </w:pPr>
          </w:p>
        </w:tc>
        <w:tc>
          <w:tcPr>
            <w:tcW w:w="550" w:type="pct"/>
            <w:tcBorders>
              <w:top w:val="nil"/>
              <w:bottom w:val="nil"/>
            </w:tcBorders>
            <w:vAlign w:val="center"/>
          </w:tcPr>
          <w:p w14:paraId="1E1A8546" w14:textId="77777777" w:rsidR="00F63C53" w:rsidRPr="004C78D8" w:rsidRDefault="00F63C53" w:rsidP="00FB7C1F">
            <w:pPr>
              <w:jc w:val="center"/>
              <w:rPr>
                <w:sz w:val="28"/>
                <w:szCs w:val="28"/>
              </w:rPr>
            </w:pPr>
            <w:r w:rsidRPr="004C78D8">
              <w:rPr>
                <w:rFonts w:cs="Times New Roman"/>
                <w:sz w:val="28"/>
                <w:szCs w:val="28"/>
              </w:rPr>
              <w:t>˟</w:t>
            </w:r>
          </w:p>
        </w:tc>
        <w:tc>
          <w:tcPr>
            <w:tcW w:w="601" w:type="pct"/>
            <w:tcBorders>
              <w:top w:val="nil"/>
              <w:bottom w:val="nil"/>
            </w:tcBorders>
            <w:vAlign w:val="center"/>
          </w:tcPr>
          <w:p w14:paraId="7A778976" w14:textId="77777777" w:rsidR="00F63C53" w:rsidRPr="004C78D8" w:rsidRDefault="00F63C53" w:rsidP="00FB7C1F">
            <w:pPr>
              <w:jc w:val="center"/>
            </w:pPr>
          </w:p>
        </w:tc>
      </w:tr>
      <w:tr w:rsidR="00F63C53" w:rsidRPr="004C78D8" w14:paraId="54BF49D1" w14:textId="77777777" w:rsidTr="002828C1">
        <w:tc>
          <w:tcPr>
            <w:tcW w:w="1177" w:type="pct"/>
          </w:tcPr>
          <w:p w14:paraId="20A929C6" w14:textId="77777777" w:rsidR="00F63C53" w:rsidRPr="004C78D8" w:rsidRDefault="00F63C53" w:rsidP="00FB7C1F">
            <w:pPr>
              <w:jc w:val="left"/>
              <w:rPr>
                <w:sz w:val="18"/>
                <w:szCs w:val="18"/>
              </w:rPr>
            </w:pPr>
            <w:r w:rsidRPr="004C78D8">
              <w:rPr>
                <w:sz w:val="18"/>
                <w:szCs w:val="18"/>
              </w:rPr>
              <w:t>Poole (2014); (2015)</w:t>
            </w:r>
          </w:p>
        </w:tc>
        <w:tc>
          <w:tcPr>
            <w:tcW w:w="550" w:type="pct"/>
            <w:tcBorders>
              <w:top w:val="nil"/>
              <w:bottom w:val="nil"/>
            </w:tcBorders>
            <w:vAlign w:val="center"/>
          </w:tcPr>
          <w:p w14:paraId="14B45CC3" w14:textId="77777777" w:rsidR="00F63C53" w:rsidRPr="004C78D8" w:rsidRDefault="00F63C53" w:rsidP="00FB7C1F">
            <w:pPr>
              <w:jc w:val="center"/>
              <w:rPr>
                <w:sz w:val="28"/>
                <w:szCs w:val="28"/>
              </w:rPr>
            </w:pPr>
            <w:r w:rsidRPr="004C78D8">
              <w:rPr>
                <w:rFonts w:cs="Times New Roman"/>
                <w:sz w:val="28"/>
                <w:szCs w:val="28"/>
              </w:rPr>
              <w:t>˟</w:t>
            </w:r>
          </w:p>
        </w:tc>
        <w:tc>
          <w:tcPr>
            <w:tcW w:w="393" w:type="pct"/>
            <w:tcBorders>
              <w:top w:val="nil"/>
              <w:bottom w:val="nil"/>
            </w:tcBorders>
            <w:vAlign w:val="center"/>
          </w:tcPr>
          <w:p w14:paraId="6657516C"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3EDB78FF"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04BDA389" w14:textId="77777777" w:rsidR="00F63C53" w:rsidRPr="004C78D8" w:rsidRDefault="00F63C53" w:rsidP="00FB7C1F">
            <w:pPr>
              <w:jc w:val="center"/>
              <w:rPr>
                <w:sz w:val="28"/>
                <w:szCs w:val="28"/>
              </w:rPr>
            </w:pPr>
            <w:r w:rsidRPr="004C78D8">
              <w:rPr>
                <w:rFonts w:cs="Times New Roman"/>
                <w:sz w:val="28"/>
                <w:szCs w:val="28"/>
              </w:rPr>
              <w:t>˟</w:t>
            </w:r>
          </w:p>
        </w:tc>
        <w:tc>
          <w:tcPr>
            <w:tcW w:w="629" w:type="pct"/>
            <w:tcBorders>
              <w:top w:val="nil"/>
              <w:bottom w:val="nil"/>
            </w:tcBorders>
            <w:vAlign w:val="center"/>
          </w:tcPr>
          <w:p w14:paraId="7A376A86" w14:textId="77777777" w:rsidR="00F63C53" w:rsidRPr="004C78D8" w:rsidRDefault="00F63C53" w:rsidP="00FB7C1F">
            <w:pPr>
              <w:jc w:val="center"/>
              <w:rPr>
                <w:sz w:val="28"/>
                <w:szCs w:val="28"/>
              </w:rPr>
            </w:pPr>
          </w:p>
        </w:tc>
        <w:tc>
          <w:tcPr>
            <w:tcW w:w="550" w:type="pct"/>
            <w:tcBorders>
              <w:top w:val="nil"/>
              <w:bottom w:val="nil"/>
            </w:tcBorders>
            <w:vAlign w:val="center"/>
          </w:tcPr>
          <w:p w14:paraId="3AFE99E1" w14:textId="77777777" w:rsidR="00F63C53" w:rsidRPr="004C78D8" w:rsidRDefault="00F63C53" w:rsidP="00FB7C1F">
            <w:pPr>
              <w:jc w:val="center"/>
              <w:rPr>
                <w:sz w:val="28"/>
                <w:szCs w:val="28"/>
              </w:rPr>
            </w:pPr>
            <w:r w:rsidRPr="004C78D8">
              <w:rPr>
                <w:rFonts w:cs="Times New Roman"/>
                <w:sz w:val="28"/>
                <w:szCs w:val="28"/>
              </w:rPr>
              <w:t>˟</w:t>
            </w:r>
          </w:p>
        </w:tc>
        <w:tc>
          <w:tcPr>
            <w:tcW w:w="601" w:type="pct"/>
            <w:tcBorders>
              <w:top w:val="nil"/>
              <w:bottom w:val="nil"/>
            </w:tcBorders>
            <w:vAlign w:val="center"/>
          </w:tcPr>
          <w:p w14:paraId="546228AD" w14:textId="77777777" w:rsidR="00F63C53" w:rsidRPr="004C78D8" w:rsidRDefault="00F63C53" w:rsidP="00FB7C1F">
            <w:pPr>
              <w:jc w:val="center"/>
            </w:pPr>
          </w:p>
        </w:tc>
      </w:tr>
      <w:tr w:rsidR="00F63C53" w:rsidRPr="004C78D8" w14:paraId="210155B7" w14:textId="77777777" w:rsidTr="002828C1">
        <w:tc>
          <w:tcPr>
            <w:tcW w:w="1177" w:type="pct"/>
          </w:tcPr>
          <w:p w14:paraId="497FB004" w14:textId="77777777" w:rsidR="00F63C53" w:rsidRPr="004C78D8" w:rsidRDefault="00F63C53" w:rsidP="00FB7C1F">
            <w:pPr>
              <w:jc w:val="left"/>
              <w:rPr>
                <w:sz w:val="18"/>
                <w:szCs w:val="18"/>
              </w:rPr>
            </w:pPr>
            <w:r w:rsidRPr="004C78D8">
              <w:rPr>
                <w:sz w:val="18"/>
                <w:szCs w:val="18"/>
              </w:rPr>
              <w:t>PHE (2018)</w:t>
            </w:r>
          </w:p>
        </w:tc>
        <w:tc>
          <w:tcPr>
            <w:tcW w:w="550" w:type="pct"/>
            <w:tcBorders>
              <w:top w:val="nil"/>
              <w:bottom w:val="nil"/>
            </w:tcBorders>
            <w:vAlign w:val="center"/>
          </w:tcPr>
          <w:p w14:paraId="4290622B" w14:textId="77777777" w:rsidR="00F63C53" w:rsidRPr="004C78D8" w:rsidRDefault="00F63C53" w:rsidP="00FB7C1F">
            <w:pPr>
              <w:jc w:val="center"/>
              <w:rPr>
                <w:sz w:val="28"/>
                <w:szCs w:val="28"/>
              </w:rPr>
            </w:pPr>
            <w:r w:rsidRPr="004C78D8">
              <w:rPr>
                <w:rFonts w:cs="Times New Roman"/>
                <w:sz w:val="28"/>
                <w:szCs w:val="28"/>
              </w:rPr>
              <w:t>˟</w:t>
            </w:r>
          </w:p>
        </w:tc>
        <w:tc>
          <w:tcPr>
            <w:tcW w:w="393" w:type="pct"/>
            <w:tcBorders>
              <w:top w:val="nil"/>
              <w:bottom w:val="nil"/>
            </w:tcBorders>
            <w:vAlign w:val="center"/>
          </w:tcPr>
          <w:p w14:paraId="3812E7DC"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4855AD67"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19EA1107" w14:textId="77777777" w:rsidR="00F63C53" w:rsidRPr="004C78D8" w:rsidRDefault="00F63C53" w:rsidP="00FB7C1F">
            <w:pPr>
              <w:jc w:val="center"/>
              <w:rPr>
                <w:sz w:val="28"/>
                <w:szCs w:val="28"/>
              </w:rPr>
            </w:pPr>
            <w:r w:rsidRPr="004C78D8">
              <w:rPr>
                <w:rFonts w:cs="Times New Roman"/>
                <w:sz w:val="28"/>
                <w:szCs w:val="28"/>
              </w:rPr>
              <w:t>˟</w:t>
            </w:r>
          </w:p>
        </w:tc>
        <w:tc>
          <w:tcPr>
            <w:tcW w:w="629" w:type="pct"/>
            <w:tcBorders>
              <w:top w:val="nil"/>
              <w:bottom w:val="nil"/>
            </w:tcBorders>
            <w:vAlign w:val="center"/>
          </w:tcPr>
          <w:p w14:paraId="439BED65" w14:textId="77777777" w:rsidR="00F63C53" w:rsidRPr="004C78D8" w:rsidRDefault="00F63C53" w:rsidP="00FB7C1F">
            <w:pPr>
              <w:jc w:val="center"/>
              <w:rPr>
                <w:sz w:val="28"/>
                <w:szCs w:val="28"/>
              </w:rPr>
            </w:pPr>
          </w:p>
        </w:tc>
        <w:tc>
          <w:tcPr>
            <w:tcW w:w="550" w:type="pct"/>
            <w:tcBorders>
              <w:top w:val="nil"/>
              <w:bottom w:val="nil"/>
            </w:tcBorders>
            <w:vAlign w:val="center"/>
          </w:tcPr>
          <w:p w14:paraId="4FEF09D7" w14:textId="77777777" w:rsidR="00F63C53" w:rsidRPr="004C78D8" w:rsidRDefault="00F63C53" w:rsidP="00FB7C1F">
            <w:pPr>
              <w:jc w:val="center"/>
              <w:rPr>
                <w:sz w:val="28"/>
                <w:szCs w:val="28"/>
              </w:rPr>
            </w:pPr>
            <w:r w:rsidRPr="004C78D8">
              <w:rPr>
                <w:rFonts w:cs="Times New Roman"/>
                <w:sz w:val="28"/>
                <w:szCs w:val="28"/>
              </w:rPr>
              <w:t>˟</w:t>
            </w:r>
          </w:p>
        </w:tc>
        <w:tc>
          <w:tcPr>
            <w:tcW w:w="601" w:type="pct"/>
            <w:tcBorders>
              <w:top w:val="nil"/>
              <w:bottom w:val="nil"/>
            </w:tcBorders>
            <w:vAlign w:val="center"/>
          </w:tcPr>
          <w:p w14:paraId="20596841" w14:textId="77777777" w:rsidR="00F63C53" w:rsidRPr="004C78D8" w:rsidRDefault="00F63C53" w:rsidP="00FB7C1F">
            <w:pPr>
              <w:jc w:val="center"/>
            </w:pPr>
          </w:p>
        </w:tc>
      </w:tr>
      <w:tr w:rsidR="00F63C53" w:rsidRPr="004C78D8" w14:paraId="7275D1E1" w14:textId="77777777" w:rsidTr="002828C1">
        <w:tc>
          <w:tcPr>
            <w:tcW w:w="1177" w:type="pct"/>
          </w:tcPr>
          <w:p w14:paraId="4B4207A0" w14:textId="77777777" w:rsidR="00F63C53" w:rsidRPr="004C78D8" w:rsidRDefault="00F63C53" w:rsidP="00FB7C1F">
            <w:pPr>
              <w:jc w:val="left"/>
              <w:rPr>
                <w:sz w:val="18"/>
                <w:szCs w:val="18"/>
              </w:rPr>
            </w:pPr>
            <w:r w:rsidRPr="004C78D8">
              <w:rPr>
                <w:sz w:val="18"/>
                <w:szCs w:val="18"/>
              </w:rPr>
              <w:t>RCN (2005)</w:t>
            </w:r>
          </w:p>
        </w:tc>
        <w:tc>
          <w:tcPr>
            <w:tcW w:w="550" w:type="pct"/>
            <w:tcBorders>
              <w:top w:val="nil"/>
              <w:bottom w:val="nil"/>
            </w:tcBorders>
            <w:vAlign w:val="center"/>
          </w:tcPr>
          <w:p w14:paraId="3F2B5D2B" w14:textId="77777777" w:rsidR="00F63C53" w:rsidRPr="004C78D8" w:rsidRDefault="00F63C53" w:rsidP="00FB7C1F">
            <w:pPr>
              <w:jc w:val="center"/>
              <w:rPr>
                <w:sz w:val="28"/>
                <w:szCs w:val="28"/>
              </w:rPr>
            </w:pPr>
            <w:r w:rsidRPr="004C78D8">
              <w:rPr>
                <w:rFonts w:cs="Times New Roman"/>
                <w:sz w:val="28"/>
                <w:szCs w:val="28"/>
              </w:rPr>
              <w:t>˟</w:t>
            </w:r>
          </w:p>
        </w:tc>
        <w:tc>
          <w:tcPr>
            <w:tcW w:w="393" w:type="pct"/>
            <w:tcBorders>
              <w:top w:val="nil"/>
              <w:bottom w:val="nil"/>
            </w:tcBorders>
            <w:vAlign w:val="center"/>
          </w:tcPr>
          <w:p w14:paraId="7DA1FE81"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4AAD8A6E"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7EA489A1" w14:textId="77777777" w:rsidR="00F63C53" w:rsidRPr="004C78D8" w:rsidRDefault="00F63C53" w:rsidP="00FB7C1F">
            <w:pPr>
              <w:jc w:val="center"/>
              <w:rPr>
                <w:sz w:val="28"/>
                <w:szCs w:val="28"/>
              </w:rPr>
            </w:pPr>
            <w:r w:rsidRPr="004C78D8">
              <w:rPr>
                <w:rFonts w:cs="Times New Roman"/>
                <w:sz w:val="28"/>
                <w:szCs w:val="28"/>
              </w:rPr>
              <w:t>˟</w:t>
            </w:r>
          </w:p>
        </w:tc>
        <w:tc>
          <w:tcPr>
            <w:tcW w:w="629" w:type="pct"/>
            <w:tcBorders>
              <w:top w:val="nil"/>
              <w:bottom w:val="nil"/>
            </w:tcBorders>
            <w:vAlign w:val="center"/>
          </w:tcPr>
          <w:p w14:paraId="0940E65E" w14:textId="77777777" w:rsidR="00F63C53" w:rsidRPr="004C78D8" w:rsidRDefault="00F63C53" w:rsidP="00FB7C1F">
            <w:pPr>
              <w:jc w:val="center"/>
              <w:rPr>
                <w:sz w:val="28"/>
                <w:szCs w:val="28"/>
              </w:rPr>
            </w:pPr>
          </w:p>
        </w:tc>
        <w:tc>
          <w:tcPr>
            <w:tcW w:w="550" w:type="pct"/>
            <w:tcBorders>
              <w:top w:val="nil"/>
              <w:bottom w:val="nil"/>
            </w:tcBorders>
            <w:vAlign w:val="center"/>
          </w:tcPr>
          <w:p w14:paraId="19D267D0" w14:textId="77777777" w:rsidR="00F63C53" w:rsidRPr="004C78D8" w:rsidRDefault="00F63C53" w:rsidP="00FB7C1F">
            <w:pPr>
              <w:jc w:val="center"/>
              <w:rPr>
                <w:sz w:val="28"/>
                <w:szCs w:val="28"/>
              </w:rPr>
            </w:pPr>
            <w:r w:rsidRPr="004C78D8">
              <w:rPr>
                <w:rFonts w:cs="Times New Roman"/>
                <w:sz w:val="28"/>
                <w:szCs w:val="28"/>
              </w:rPr>
              <w:t>˟</w:t>
            </w:r>
          </w:p>
        </w:tc>
        <w:tc>
          <w:tcPr>
            <w:tcW w:w="601" w:type="pct"/>
            <w:tcBorders>
              <w:top w:val="nil"/>
              <w:bottom w:val="nil"/>
            </w:tcBorders>
            <w:vAlign w:val="center"/>
          </w:tcPr>
          <w:p w14:paraId="37E54ADD" w14:textId="77777777" w:rsidR="00F63C53" w:rsidRPr="004C78D8" w:rsidRDefault="00F63C53" w:rsidP="00FB7C1F">
            <w:pPr>
              <w:jc w:val="center"/>
            </w:pPr>
          </w:p>
        </w:tc>
      </w:tr>
      <w:tr w:rsidR="00F63C53" w:rsidRPr="004C78D8" w14:paraId="31EB7875" w14:textId="77777777" w:rsidTr="002828C1">
        <w:tc>
          <w:tcPr>
            <w:tcW w:w="1177" w:type="pct"/>
          </w:tcPr>
          <w:p w14:paraId="2D019D86" w14:textId="77777777" w:rsidR="00F63C53" w:rsidRPr="004C78D8" w:rsidRDefault="00F63C53" w:rsidP="00FB7C1F">
            <w:pPr>
              <w:jc w:val="left"/>
              <w:rPr>
                <w:sz w:val="18"/>
                <w:szCs w:val="18"/>
              </w:rPr>
            </w:pPr>
            <w:r w:rsidRPr="004C78D8">
              <w:rPr>
                <w:sz w:val="18"/>
                <w:szCs w:val="18"/>
              </w:rPr>
              <w:t>Sach (2007); (2010)</w:t>
            </w:r>
          </w:p>
        </w:tc>
        <w:tc>
          <w:tcPr>
            <w:tcW w:w="550" w:type="pct"/>
            <w:tcBorders>
              <w:top w:val="nil"/>
              <w:bottom w:val="nil"/>
            </w:tcBorders>
            <w:vAlign w:val="center"/>
          </w:tcPr>
          <w:p w14:paraId="3204F007" w14:textId="77777777" w:rsidR="00F63C53" w:rsidRPr="004C78D8" w:rsidRDefault="00F63C53" w:rsidP="00FB7C1F">
            <w:pPr>
              <w:jc w:val="center"/>
            </w:pPr>
            <w:r w:rsidRPr="004C78D8">
              <w:rPr>
                <w:sz w:val="20"/>
                <w:szCs w:val="20"/>
              </w:rPr>
              <w:t>AC</w:t>
            </w:r>
          </w:p>
        </w:tc>
        <w:tc>
          <w:tcPr>
            <w:tcW w:w="393" w:type="pct"/>
            <w:tcBorders>
              <w:top w:val="nil"/>
              <w:bottom w:val="nil"/>
            </w:tcBorders>
            <w:vAlign w:val="center"/>
          </w:tcPr>
          <w:p w14:paraId="027907ED" w14:textId="77777777" w:rsidR="00F63C53" w:rsidRPr="004C78D8" w:rsidRDefault="00F63C53" w:rsidP="00FB7C1F">
            <w:pPr>
              <w:jc w:val="center"/>
            </w:pPr>
            <w:r w:rsidRPr="004C78D8">
              <w:rPr>
                <w:sz w:val="20"/>
                <w:szCs w:val="20"/>
              </w:rPr>
              <w:t>AC</w:t>
            </w:r>
          </w:p>
        </w:tc>
        <w:tc>
          <w:tcPr>
            <w:tcW w:w="550" w:type="pct"/>
            <w:tcBorders>
              <w:top w:val="nil"/>
              <w:bottom w:val="nil"/>
            </w:tcBorders>
            <w:vAlign w:val="center"/>
          </w:tcPr>
          <w:p w14:paraId="7831B83B" w14:textId="77777777" w:rsidR="00F63C53" w:rsidRPr="004C78D8" w:rsidRDefault="00F63C53" w:rsidP="00FB7C1F">
            <w:pPr>
              <w:jc w:val="center"/>
            </w:pPr>
            <w:r w:rsidRPr="004C78D8">
              <w:rPr>
                <w:sz w:val="20"/>
                <w:szCs w:val="20"/>
              </w:rPr>
              <w:t>AC</w:t>
            </w:r>
          </w:p>
        </w:tc>
        <w:tc>
          <w:tcPr>
            <w:tcW w:w="550" w:type="pct"/>
            <w:tcBorders>
              <w:top w:val="nil"/>
              <w:bottom w:val="nil"/>
            </w:tcBorders>
            <w:vAlign w:val="center"/>
          </w:tcPr>
          <w:p w14:paraId="2675A4ED" w14:textId="77777777" w:rsidR="00F63C53" w:rsidRPr="004C78D8" w:rsidRDefault="00F63C53" w:rsidP="00FB7C1F">
            <w:pPr>
              <w:jc w:val="center"/>
            </w:pPr>
            <w:r w:rsidRPr="004C78D8">
              <w:rPr>
                <w:sz w:val="20"/>
                <w:szCs w:val="20"/>
              </w:rPr>
              <w:t>AC</w:t>
            </w:r>
          </w:p>
        </w:tc>
        <w:tc>
          <w:tcPr>
            <w:tcW w:w="629" w:type="pct"/>
            <w:tcBorders>
              <w:top w:val="nil"/>
              <w:bottom w:val="nil"/>
            </w:tcBorders>
            <w:vAlign w:val="center"/>
          </w:tcPr>
          <w:p w14:paraId="0A44DB76" w14:textId="77777777" w:rsidR="00F63C53" w:rsidRPr="004C78D8" w:rsidRDefault="00F63C53" w:rsidP="00FB7C1F">
            <w:pPr>
              <w:jc w:val="center"/>
            </w:pPr>
            <w:r w:rsidRPr="004C78D8">
              <w:rPr>
                <w:sz w:val="20"/>
                <w:szCs w:val="20"/>
              </w:rPr>
              <w:t>AC</w:t>
            </w:r>
          </w:p>
        </w:tc>
        <w:tc>
          <w:tcPr>
            <w:tcW w:w="550" w:type="pct"/>
            <w:tcBorders>
              <w:top w:val="nil"/>
              <w:bottom w:val="nil"/>
            </w:tcBorders>
            <w:vAlign w:val="center"/>
          </w:tcPr>
          <w:p w14:paraId="0EA3FCA9" w14:textId="77777777" w:rsidR="00F63C53" w:rsidRPr="004C78D8" w:rsidRDefault="00F63C53" w:rsidP="00FB7C1F">
            <w:pPr>
              <w:jc w:val="center"/>
            </w:pPr>
            <w:r w:rsidRPr="004C78D8">
              <w:rPr>
                <w:sz w:val="20"/>
                <w:szCs w:val="20"/>
              </w:rPr>
              <w:t>AC</w:t>
            </w:r>
          </w:p>
        </w:tc>
        <w:tc>
          <w:tcPr>
            <w:tcW w:w="601" w:type="pct"/>
            <w:tcBorders>
              <w:top w:val="nil"/>
              <w:bottom w:val="nil"/>
            </w:tcBorders>
            <w:vAlign w:val="center"/>
          </w:tcPr>
          <w:p w14:paraId="44209B1D" w14:textId="77777777" w:rsidR="00F63C53" w:rsidRPr="004C78D8" w:rsidRDefault="00F63C53" w:rsidP="00FB7C1F">
            <w:pPr>
              <w:jc w:val="center"/>
            </w:pPr>
          </w:p>
        </w:tc>
      </w:tr>
      <w:tr w:rsidR="00F63C53" w:rsidRPr="004C78D8" w14:paraId="2EE173FA" w14:textId="77777777" w:rsidTr="002828C1">
        <w:tc>
          <w:tcPr>
            <w:tcW w:w="1177" w:type="pct"/>
          </w:tcPr>
          <w:p w14:paraId="317900F0" w14:textId="77777777" w:rsidR="00F63C53" w:rsidRPr="004C78D8" w:rsidRDefault="00F63C53" w:rsidP="00FB7C1F">
            <w:pPr>
              <w:jc w:val="left"/>
              <w:rPr>
                <w:sz w:val="18"/>
                <w:szCs w:val="18"/>
              </w:rPr>
            </w:pPr>
            <w:r w:rsidRPr="004C78D8">
              <w:rPr>
                <w:sz w:val="18"/>
                <w:szCs w:val="18"/>
              </w:rPr>
              <w:t>Smith (2016)</w:t>
            </w:r>
          </w:p>
        </w:tc>
        <w:tc>
          <w:tcPr>
            <w:tcW w:w="550" w:type="pct"/>
            <w:tcBorders>
              <w:top w:val="nil"/>
              <w:bottom w:val="nil"/>
            </w:tcBorders>
            <w:vAlign w:val="center"/>
          </w:tcPr>
          <w:p w14:paraId="0A25C843" w14:textId="77777777" w:rsidR="00F63C53" w:rsidRPr="004C78D8" w:rsidRDefault="00F63C53" w:rsidP="00FB7C1F">
            <w:pPr>
              <w:jc w:val="center"/>
              <w:rPr>
                <w:sz w:val="28"/>
                <w:szCs w:val="28"/>
              </w:rPr>
            </w:pPr>
            <w:r w:rsidRPr="004C78D8">
              <w:rPr>
                <w:rFonts w:cs="Times New Roman"/>
                <w:sz w:val="28"/>
                <w:szCs w:val="28"/>
              </w:rPr>
              <w:t>˟</w:t>
            </w:r>
          </w:p>
        </w:tc>
        <w:tc>
          <w:tcPr>
            <w:tcW w:w="393" w:type="pct"/>
            <w:tcBorders>
              <w:top w:val="nil"/>
              <w:bottom w:val="nil"/>
            </w:tcBorders>
            <w:vAlign w:val="center"/>
          </w:tcPr>
          <w:p w14:paraId="66807A58" w14:textId="77777777" w:rsidR="00F63C53" w:rsidRPr="004C78D8" w:rsidRDefault="00F63C53" w:rsidP="00FB7C1F">
            <w:pPr>
              <w:jc w:val="center"/>
              <w:rPr>
                <w:sz w:val="28"/>
                <w:szCs w:val="28"/>
              </w:rPr>
            </w:pPr>
          </w:p>
        </w:tc>
        <w:tc>
          <w:tcPr>
            <w:tcW w:w="550" w:type="pct"/>
            <w:tcBorders>
              <w:top w:val="nil"/>
              <w:bottom w:val="nil"/>
            </w:tcBorders>
            <w:vAlign w:val="center"/>
          </w:tcPr>
          <w:p w14:paraId="69E27129"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2F1C2104" w14:textId="77777777" w:rsidR="00F63C53" w:rsidRPr="004C78D8" w:rsidRDefault="00F63C53" w:rsidP="00FB7C1F">
            <w:pPr>
              <w:jc w:val="center"/>
            </w:pPr>
          </w:p>
        </w:tc>
        <w:tc>
          <w:tcPr>
            <w:tcW w:w="629" w:type="pct"/>
            <w:tcBorders>
              <w:top w:val="nil"/>
              <w:bottom w:val="nil"/>
            </w:tcBorders>
            <w:vAlign w:val="center"/>
          </w:tcPr>
          <w:p w14:paraId="652B583D" w14:textId="77777777" w:rsidR="00F63C53" w:rsidRPr="004C78D8" w:rsidRDefault="00F63C53" w:rsidP="00FB7C1F">
            <w:pPr>
              <w:jc w:val="center"/>
            </w:pPr>
          </w:p>
        </w:tc>
        <w:tc>
          <w:tcPr>
            <w:tcW w:w="550" w:type="pct"/>
            <w:tcBorders>
              <w:top w:val="nil"/>
              <w:bottom w:val="nil"/>
            </w:tcBorders>
            <w:vAlign w:val="center"/>
          </w:tcPr>
          <w:p w14:paraId="4AE5086E" w14:textId="77777777" w:rsidR="00F63C53" w:rsidRPr="004C78D8" w:rsidRDefault="00F63C53" w:rsidP="00FB7C1F">
            <w:pPr>
              <w:jc w:val="center"/>
            </w:pPr>
          </w:p>
        </w:tc>
        <w:tc>
          <w:tcPr>
            <w:tcW w:w="601" w:type="pct"/>
            <w:tcBorders>
              <w:top w:val="nil"/>
              <w:bottom w:val="nil"/>
            </w:tcBorders>
            <w:vAlign w:val="center"/>
          </w:tcPr>
          <w:p w14:paraId="4F814FDB" w14:textId="77777777" w:rsidR="00F63C53" w:rsidRPr="004C78D8" w:rsidRDefault="00F63C53" w:rsidP="00FB7C1F">
            <w:pPr>
              <w:jc w:val="center"/>
            </w:pPr>
          </w:p>
        </w:tc>
      </w:tr>
      <w:tr w:rsidR="00F63C53" w:rsidRPr="004C78D8" w14:paraId="3D404BD5" w14:textId="77777777" w:rsidTr="002828C1">
        <w:tc>
          <w:tcPr>
            <w:tcW w:w="1177" w:type="pct"/>
          </w:tcPr>
          <w:p w14:paraId="1A2B1B7C" w14:textId="77777777" w:rsidR="00F63C53" w:rsidRPr="004C78D8" w:rsidRDefault="00F63C53" w:rsidP="00FB7C1F">
            <w:pPr>
              <w:jc w:val="left"/>
              <w:rPr>
                <w:sz w:val="18"/>
                <w:szCs w:val="18"/>
              </w:rPr>
            </w:pPr>
            <w:r w:rsidRPr="004C78D8">
              <w:rPr>
                <w:sz w:val="18"/>
                <w:szCs w:val="18"/>
              </w:rPr>
              <w:t>Tannenbaum (2015)</w:t>
            </w:r>
          </w:p>
        </w:tc>
        <w:tc>
          <w:tcPr>
            <w:tcW w:w="550" w:type="pct"/>
            <w:tcBorders>
              <w:top w:val="nil"/>
              <w:bottom w:val="nil"/>
            </w:tcBorders>
            <w:vAlign w:val="center"/>
          </w:tcPr>
          <w:p w14:paraId="02CA197A" w14:textId="77777777" w:rsidR="00F63C53" w:rsidRPr="004C78D8" w:rsidRDefault="00F63C53" w:rsidP="00FB7C1F">
            <w:pPr>
              <w:jc w:val="center"/>
            </w:pPr>
          </w:p>
        </w:tc>
        <w:tc>
          <w:tcPr>
            <w:tcW w:w="393" w:type="pct"/>
            <w:tcBorders>
              <w:top w:val="nil"/>
              <w:bottom w:val="nil"/>
            </w:tcBorders>
            <w:vAlign w:val="center"/>
          </w:tcPr>
          <w:p w14:paraId="1E3FFDFE"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17FFB43F"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47B29D7E" w14:textId="77777777" w:rsidR="00F63C53" w:rsidRPr="004C78D8" w:rsidRDefault="00F63C53" w:rsidP="00FB7C1F">
            <w:pPr>
              <w:jc w:val="center"/>
              <w:rPr>
                <w:sz w:val="28"/>
                <w:szCs w:val="28"/>
              </w:rPr>
            </w:pPr>
          </w:p>
        </w:tc>
        <w:tc>
          <w:tcPr>
            <w:tcW w:w="629" w:type="pct"/>
            <w:tcBorders>
              <w:top w:val="nil"/>
              <w:bottom w:val="nil"/>
            </w:tcBorders>
            <w:vAlign w:val="center"/>
          </w:tcPr>
          <w:p w14:paraId="2A50C4FD" w14:textId="77777777" w:rsidR="00F63C53" w:rsidRPr="004C78D8" w:rsidRDefault="00F63C53" w:rsidP="00FB7C1F">
            <w:pPr>
              <w:jc w:val="center"/>
              <w:rPr>
                <w:sz w:val="28"/>
                <w:szCs w:val="28"/>
              </w:rPr>
            </w:pPr>
          </w:p>
        </w:tc>
        <w:tc>
          <w:tcPr>
            <w:tcW w:w="550" w:type="pct"/>
            <w:tcBorders>
              <w:top w:val="nil"/>
              <w:bottom w:val="nil"/>
            </w:tcBorders>
            <w:vAlign w:val="center"/>
          </w:tcPr>
          <w:p w14:paraId="77A1EC0F" w14:textId="77777777" w:rsidR="00F63C53" w:rsidRPr="004C78D8" w:rsidRDefault="00F63C53" w:rsidP="00FB7C1F">
            <w:pPr>
              <w:jc w:val="center"/>
              <w:rPr>
                <w:sz w:val="28"/>
                <w:szCs w:val="28"/>
              </w:rPr>
            </w:pPr>
          </w:p>
        </w:tc>
        <w:tc>
          <w:tcPr>
            <w:tcW w:w="601" w:type="pct"/>
            <w:tcBorders>
              <w:top w:val="nil"/>
              <w:bottom w:val="nil"/>
            </w:tcBorders>
            <w:vAlign w:val="center"/>
          </w:tcPr>
          <w:p w14:paraId="19E9E699" w14:textId="77777777" w:rsidR="00F63C53" w:rsidRPr="004C78D8" w:rsidRDefault="00F63C53" w:rsidP="00FB7C1F">
            <w:pPr>
              <w:jc w:val="center"/>
            </w:pPr>
          </w:p>
        </w:tc>
      </w:tr>
      <w:tr w:rsidR="00F63C53" w:rsidRPr="004C78D8" w14:paraId="23FDED8F" w14:textId="77777777" w:rsidTr="002828C1">
        <w:tc>
          <w:tcPr>
            <w:tcW w:w="1177" w:type="pct"/>
          </w:tcPr>
          <w:p w14:paraId="66A9F275" w14:textId="77777777" w:rsidR="00F63C53" w:rsidRPr="004C78D8" w:rsidRDefault="00F63C53" w:rsidP="00FB7C1F">
            <w:pPr>
              <w:jc w:val="left"/>
              <w:rPr>
                <w:sz w:val="18"/>
                <w:szCs w:val="18"/>
              </w:rPr>
            </w:pPr>
            <w:r w:rsidRPr="004C78D8">
              <w:rPr>
                <w:sz w:val="18"/>
                <w:szCs w:val="18"/>
              </w:rPr>
              <w:t>Turner (2020)</w:t>
            </w:r>
          </w:p>
        </w:tc>
        <w:tc>
          <w:tcPr>
            <w:tcW w:w="550" w:type="pct"/>
            <w:tcBorders>
              <w:top w:val="nil"/>
              <w:bottom w:val="nil"/>
            </w:tcBorders>
            <w:vAlign w:val="center"/>
          </w:tcPr>
          <w:p w14:paraId="20C768AB" w14:textId="77777777" w:rsidR="00F63C53" w:rsidRPr="004C78D8" w:rsidRDefault="00F63C53" w:rsidP="00FB7C1F">
            <w:pPr>
              <w:jc w:val="center"/>
            </w:pPr>
            <w:r w:rsidRPr="004C78D8">
              <w:rPr>
                <w:rFonts w:cs="Times New Roman"/>
                <w:sz w:val="28"/>
                <w:szCs w:val="28"/>
              </w:rPr>
              <w:t>˟</w:t>
            </w:r>
          </w:p>
        </w:tc>
        <w:tc>
          <w:tcPr>
            <w:tcW w:w="393" w:type="pct"/>
            <w:tcBorders>
              <w:top w:val="nil"/>
              <w:bottom w:val="nil"/>
            </w:tcBorders>
            <w:vAlign w:val="center"/>
          </w:tcPr>
          <w:p w14:paraId="1D072CC2" w14:textId="77777777" w:rsidR="00F63C53" w:rsidRPr="004C78D8" w:rsidRDefault="00F63C53" w:rsidP="00FB7C1F">
            <w:pPr>
              <w:jc w:val="center"/>
              <w:rPr>
                <w:rFonts w:cs="Times New Roman"/>
                <w:sz w:val="28"/>
                <w:szCs w:val="28"/>
              </w:rPr>
            </w:pPr>
            <w:r w:rsidRPr="004C78D8">
              <w:rPr>
                <w:rFonts w:cs="Times New Roman"/>
                <w:sz w:val="28"/>
                <w:szCs w:val="28"/>
              </w:rPr>
              <w:t>˟</w:t>
            </w:r>
          </w:p>
        </w:tc>
        <w:tc>
          <w:tcPr>
            <w:tcW w:w="550" w:type="pct"/>
            <w:tcBorders>
              <w:top w:val="nil"/>
              <w:bottom w:val="nil"/>
            </w:tcBorders>
            <w:vAlign w:val="center"/>
          </w:tcPr>
          <w:p w14:paraId="374CD0A4" w14:textId="77777777" w:rsidR="00F63C53" w:rsidRPr="004C78D8" w:rsidRDefault="00F63C53" w:rsidP="00FB7C1F">
            <w:pPr>
              <w:jc w:val="center"/>
              <w:rPr>
                <w:rFonts w:cs="Times New Roman"/>
                <w:sz w:val="28"/>
                <w:szCs w:val="28"/>
              </w:rPr>
            </w:pPr>
            <w:r w:rsidRPr="004C78D8">
              <w:rPr>
                <w:rFonts w:cs="Times New Roman"/>
                <w:sz w:val="28"/>
                <w:szCs w:val="28"/>
              </w:rPr>
              <w:t>˟</w:t>
            </w:r>
          </w:p>
        </w:tc>
        <w:tc>
          <w:tcPr>
            <w:tcW w:w="550" w:type="pct"/>
            <w:tcBorders>
              <w:top w:val="nil"/>
              <w:bottom w:val="nil"/>
            </w:tcBorders>
            <w:vAlign w:val="center"/>
          </w:tcPr>
          <w:p w14:paraId="18ECE5F8" w14:textId="77777777" w:rsidR="00F63C53" w:rsidRPr="004C78D8" w:rsidRDefault="00F63C53" w:rsidP="00FB7C1F">
            <w:pPr>
              <w:jc w:val="center"/>
              <w:rPr>
                <w:sz w:val="28"/>
                <w:szCs w:val="28"/>
              </w:rPr>
            </w:pPr>
            <w:r w:rsidRPr="004C78D8">
              <w:rPr>
                <w:rFonts w:cs="Times New Roman"/>
                <w:sz w:val="28"/>
                <w:szCs w:val="28"/>
              </w:rPr>
              <w:t>˟</w:t>
            </w:r>
          </w:p>
        </w:tc>
        <w:tc>
          <w:tcPr>
            <w:tcW w:w="629" w:type="pct"/>
            <w:tcBorders>
              <w:top w:val="nil"/>
              <w:bottom w:val="nil"/>
            </w:tcBorders>
            <w:vAlign w:val="center"/>
          </w:tcPr>
          <w:p w14:paraId="533F0C05" w14:textId="77777777" w:rsidR="00F63C53" w:rsidRPr="004C78D8" w:rsidRDefault="00F63C53" w:rsidP="00FB7C1F">
            <w:pPr>
              <w:jc w:val="center"/>
              <w:rPr>
                <w:sz w:val="28"/>
                <w:szCs w:val="28"/>
              </w:rPr>
            </w:pPr>
          </w:p>
        </w:tc>
        <w:tc>
          <w:tcPr>
            <w:tcW w:w="550" w:type="pct"/>
            <w:tcBorders>
              <w:top w:val="nil"/>
              <w:bottom w:val="nil"/>
            </w:tcBorders>
            <w:vAlign w:val="center"/>
          </w:tcPr>
          <w:p w14:paraId="34BD0D1C" w14:textId="77777777" w:rsidR="00F63C53" w:rsidRPr="004C78D8" w:rsidRDefault="00F63C53" w:rsidP="00FB7C1F">
            <w:pPr>
              <w:jc w:val="center"/>
              <w:rPr>
                <w:sz w:val="28"/>
                <w:szCs w:val="28"/>
              </w:rPr>
            </w:pPr>
          </w:p>
        </w:tc>
        <w:tc>
          <w:tcPr>
            <w:tcW w:w="601" w:type="pct"/>
            <w:tcBorders>
              <w:top w:val="nil"/>
              <w:bottom w:val="nil"/>
            </w:tcBorders>
            <w:vAlign w:val="center"/>
          </w:tcPr>
          <w:p w14:paraId="53ACB739" w14:textId="77777777" w:rsidR="00F63C53" w:rsidRPr="004C78D8" w:rsidRDefault="00F63C53" w:rsidP="00FB7C1F">
            <w:pPr>
              <w:jc w:val="center"/>
            </w:pPr>
          </w:p>
        </w:tc>
      </w:tr>
      <w:tr w:rsidR="00F63C53" w:rsidRPr="004C78D8" w14:paraId="1F61F8F0" w14:textId="77777777" w:rsidTr="002828C1">
        <w:tc>
          <w:tcPr>
            <w:tcW w:w="1177" w:type="pct"/>
          </w:tcPr>
          <w:p w14:paraId="5F8F5758" w14:textId="77777777" w:rsidR="00F63C53" w:rsidRPr="004C78D8" w:rsidRDefault="00F63C53" w:rsidP="00FB7C1F">
            <w:pPr>
              <w:jc w:val="left"/>
              <w:rPr>
                <w:sz w:val="18"/>
                <w:szCs w:val="18"/>
              </w:rPr>
            </w:pPr>
            <w:r w:rsidRPr="004C78D8">
              <w:rPr>
                <w:sz w:val="18"/>
                <w:szCs w:val="18"/>
              </w:rPr>
              <w:t>Velde (2008)</w:t>
            </w:r>
          </w:p>
        </w:tc>
        <w:tc>
          <w:tcPr>
            <w:tcW w:w="550" w:type="pct"/>
            <w:tcBorders>
              <w:top w:val="nil"/>
              <w:bottom w:val="nil"/>
            </w:tcBorders>
            <w:vAlign w:val="center"/>
          </w:tcPr>
          <w:p w14:paraId="1916C75A" w14:textId="77777777" w:rsidR="00F63C53" w:rsidRPr="004C78D8" w:rsidRDefault="00F63C53" w:rsidP="00FB7C1F">
            <w:pPr>
              <w:jc w:val="center"/>
            </w:pPr>
          </w:p>
        </w:tc>
        <w:tc>
          <w:tcPr>
            <w:tcW w:w="393" w:type="pct"/>
            <w:tcBorders>
              <w:top w:val="nil"/>
              <w:bottom w:val="nil"/>
            </w:tcBorders>
            <w:vAlign w:val="center"/>
          </w:tcPr>
          <w:p w14:paraId="19EA8F41"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568675FF"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7F69991D" w14:textId="77777777" w:rsidR="00F63C53" w:rsidRPr="004C78D8" w:rsidRDefault="00F63C53" w:rsidP="00FB7C1F">
            <w:pPr>
              <w:jc w:val="center"/>
              <w:rPr>
                <w:sz w:val="28"/>
                <w:szCs w:val="28"/>
              </w:rPr>
            </w:pPr>
            <w:r w:rsidRPr="004C78D8">
              <w:rPr>
                <w:rFonts w:cs="Times New Roman"/>
                <w:sz w:val="28"/>
                <w:szCs w:val="28"/>
              </w:rPr>
              <w:t>˟</w:t>
            </w:r>
          </w:p>
        </w:tc>
        <w:tc>
          <w:tcPr>
            <w:tcW w:w="629" w:type="pct"/>
            <w:tcBorders>
              <w:top w:val="nil"/>
              <w:bottom w:val="nil"/>
            </w:tcBorders>
            <w:vAlign w:val="center"/>
          </w:tcPr>
          <w:p w14:paraId="1123F9CE"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2C330883" w14:textId="77777777" w:rsidR="00F63C53" w:rsidRPr="004C78D8" w:rsidRDefault="00F63C53" w:rsidP="00FB7C1F">
            <w:pPr>
              <w:jc w:val="center"/>
              <w:rPr>
                <w:sz w:val="28"/>
                <w:szCs w:val="28"/>
              </w:rPr>
            </w:pPr>
            <w:r w:rsidRPr="004C78D8">
              <w:rPr>
                <w:rFonts w:cs="Times New Roman"/>
                <w:sz w:val="28"/>
                <w:szCs w:val="28"/>
              </w:rPr>
              <w:t>˟</w:t>
            </w:r>
          </w:p>
        </w:tc>
        <w:tc>
          <w:tcPr>
            <w:tcW w:w="601" w:type="pct"/>
            <w:tcBorders>
              <w:top w:val="nil"/>
              <w:bottom w:val="nil"/>
            </w:tcBorders>
            <w:vAlign w:val="center"/>
          </w:tcPr>
          <w:p w14:paraId="3CDA57AA" w14:textId="77777777" w:rsidR="00F63C53" w:rsidRPr="004C78D8" w:rsidRDefault="00F63C53" w:rsidP="00FB7C1F">
            <w:pPr>
              <w:jc w:val="center"/>
            </w:pPr>
          </w:p>
        </w:tc>
      </w:tr>
      <w:tr w:rsidR="00F63C53" w:rsidRPr="004C78D8" w14:paraId="3F69E6FD" w14:textId="77777777" w:rsidTr="002828C1">
        <w:tc>
          <w:tcPr>
            <w:tcW w:w="1177" w:type="pct"/>
          </w:tcPr>
          <w:p w14:paraId="0C97E369" w14:textId="77777777" w:rsidR="00F63C53" w:rsidRPr="004C78D8" w:rsidRDefault="00F63C53" w:rsidP="00FB7C1F">
            <w:pPr>
              <w:jc w:val="left"/>
              <w:rPr>
                <w:sz w:val="18"/>
                <w:szCs w:val="18"/>
              </w:rPr>
            </w:pPr>
            <w:r w:rsidRPr="004C78D8">
              <w:rPr>
                <w:sz w:val="18"/>
                <w:szCs w:val="18"/>
              </w:rPr>
              <w:lastRenderedPageBreak/>
              <w:t>Wu (2010)</w:t>
            </w:r>
          </w:p>
        </w:tc>
        <w:tc>
          <w:tcPr>
            <w:tcW w:w="550" w:type="pct"/>
            <w:tcBorders>
              <w:top w:val="nil"/>
              <w:bottom w:val="nil"/>
            </w:tcBorders>
            <w:vAlign w:val="center"/>
          </w:tcPr>
          <w:p w14:paraId="39FBECEA" w14:textId="77777777" w:rsidR="00F63C53" w:rsidRPr="004C78D8" w:rsidRDefault="00F63C53" w:rsidP="00FB7C1F">
            <w:pPr>
              <w:jc w:val="center"/>
            </w:pPr>
          </w:p>
        </w:tc>
        <w:tc>
          <w:tcPr>
            <w:tcW w:w="393" w:type="pct"/>
            <w:tcBorders>
              <w:top w:val="nil"/>
              <w:bottom w:val="nil"/>
            </w:tcBorders>
            <w:vAlign w:val="center"/>
          </w:tcPr>
          <w:p w14:paraId="10BCA893"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309BC188"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bottom w:val="nil"/>
            </w:tcBorders>
            <w:vAlign w:val="center"/>
          </w:tcPr>
          <w:p w14:paraId="625C45BC" w14:textId="77777777" w:rsidR="00F63C53" w:rsidRPr="004C78D8" w:rsidRDefault="00F63C53" w:rsidP="00FB7C1F">
            <w:pPr>
              <w:jc w:val="center"/>
              <w:rPr>
                <w:sz w:val="28"/>
                <w:szCs w:val="28"/>
              </w:rPr>
            </w:pPr>
            <w:r w:rsidRPr="004C78D8">
              <w:rPr>
                <w:rFonts w:cs="Times New Roman"/>
                <w:sz w:val="28"/>
                <w:szCs w:val="28"/>
              </w:rPr>
              <w:t>˟</w:t>
            </w:r>
          </w:p>
        </w:tc>
        <w:tc>
          <w:tcPr>
            <w:tcW w:w="629" w:type="pct"/>
            <w:tcBorders>
              <w:top w:val="nil"/>
              <w:bottom w:val="nil"/>
            </w:tcBorders>
            <w:vAlign w:val="center"/>
          </w:tcPr>
          <w:p w14:paraId="08EC3A81" w14:textId="77777777" w:rsidR="00F63C53" w:rsidRPr="004C78D8" w:rsidRDefault="00F63C53" w:rsidP="00FB7C1F">
            <w:pPr>
              <w:jc w:val="center"/>
              <w:rPr>
                <w:sz w:val="28"/>
                <w:szCs w:val="28"/>
              </w:rPr>
            </w:pPr>
          </w:p>
        </w:tc>
        <w:tc>
          <w:tcPr>
            <w:tcW w:w="550" w:type="pct"/>
            <w:tcBorders>
              <w:top w:val="nil"/>
              <w:bottom w:val="nil"/>
            </w:tcBorders>
            <w:vAlign w:val="center"/>
          </w:tcPr>
          <w:p w14:paraId="698D2E58" w14:textId="77777777" w:rsidR="00F63C53" w:rsidRPr="004C78D8" w:rsidRDefault="00F63C53" w:rsidP="00FB7C1F">
            <w:pPr>
              <w:jc w:val="center"/>
              <w:rPr>
                <w:sz w:val="28"/>
                <w:szCs w:val="28"/>
              </w:rPr>
            </w:pPr>
          </w:p>
        </w:tc>
        <w:tc>
          <w:tcPr>
            <w:tcW w:w="601" w:type="pct"/>
            <w:tcBorders>
              <w:top w:val="nil"/>
              <w:bottom w:val="nil"/>
            </w:tcBorders>
            <w:vAlign w:val="center"/>
          </w:tcPr>
          <w:p w14:paraId="6837CABF" w14:textId="77777777" w:rsidR="00F63C53" w:rsidRPr="004C78D8" w:rsidRDefault="00F63C53" w:rsidP="00FB7C1F">
            <w:pPr>
              <w:jc w:val="center"/>
            </w:pPr>
          </w:p>
        </w:tc>
      </w:tr>
      <w:tr w:rsidR="00F63C53" w:rsidRPr="004C78D8" w14:paraId="6A7D7CD4" w14:textId="77777777" w:rsidTr="002828C1">
        <w:tc>
          <w:tcPr>
            <w:tcW w:w="1177" w:type="pct"/>
          </w:tcPr>
          <w:p w14:paraId="5CCF5D70" w14:textId="77777777" w:rsidR="00F63C53" w:rsidRPr="004C78D8" w:rsidRDefault="00F63C53" w:rsidP="00FB7C1F">
            <w:pPr>
              <w:jc w:val="left"/>
              <w:rPr>
                <w:sz w:val="18"/>
                <w:szCs w:val="18"/>
              </w:rPr>
            </w:pPr>
            <w:r w:rsidRPr="004C78D8">
              <w:rPr>
                <w:sz w:val="18"/>
                <w:szCs w:val="18"/>
              </w:rPr>
              <w:t>Zarca (2014)</w:t>
            </w:r>
          </w:p>
        </w:tc>
        <w:tc>
          <w:tcPr>
            <w:tcW w:w="550" w:type="pct"/>
            <w:tcBorders>
              <w:top w:val="nil"/>
            </w:tcBorders>
            <w:vAlign w:val="center"/>
          </w:tcPr>
          <w:p w14:paraId="1A407040" w14:textId="77777777" w:rsidR="00F63C53" w:rsidRPr="004C78D8" w:rsidRDefault="00F63C53" w:rsidP="00FB7C1F">
            <w:pPr>
              <w:jc w:val="center"/>
            </w:pPr>
          </w:p>
        </w:tc>
        <w:tc>
          <w:tcPr>
            <w:tcW w:w="393" w:type="pct"/>
            <w:tcBorders>
              <w:top w:val="nil"/>
            </w:tcBorders>
            <w:vAlign w:val="center"/>
          </w:tcPr>
          <w:p w14:paraId="351F0391" w14:textId="77777777" w:rsidR="00F63C53" w:rsidRPr="004C78D8" w:rsidRDefault="00F63C53" w:rsidP="00FB7C1F">
            <w:pPr>
              <w:jc w:val="center"/>
              <w:rPr>
                <w:sz w:val="28"/>
                <w:szCs w:val="28"/>
              </w:rPr>
            </w:pPr>
          </w:p>
        </w:tc>
        <w:tc>
          <w:tcPr>
            <w:tcW w:w="550" w:type="pct"/>
            <w:tcBorders>
              <w:top w:val="nil"/>
            </w:tcBorders>
            <w:vAlign w:val="center"/>
          </w:tcPr>
          <w:p w14:paraId="01D8B3FC" w14:textId="77777777" w:rsidR="00F63C53" w:rsidRPr="004C78D8" w:rsidRDefault="00F63C53" w:rsidP="00FB7C1F">
            <w:pPr>
              <w:jc w:val="center"/>
              <w:rPr>
                <w:sz w:val="28"/>
                <w:szCs w:val="28"/>
              </w:rPr>
            </w:pPr>
            <w:r w:rsidRPr="004C78D8">
              <w:rPr>
                <w:rFonts w:cs="Times New Roman"/>
                <w:sz w:val="28"/>
                <w:szCs w:val="28"/>
              </w:rPr>
              <w:t>˟</w:t>
            </w:r>
          </w:p>
        </w:tc>
        <w:tc>
          <w:tcPr>
            <w:tcW w:w="550" w:type="pct"/>
            <w:tcBorders>
              <w:top w:val="nil"/>
            </w:tcBorders>
            <w:vAlign w:val="center"/>
          </w:tcPr>
          <w:p w14:paraId="717D8A02" w14:textId="77777777" w:rsidR="00F63C53" w:rsidRPr="004C78D8" w:rsidRDefault="00F63C53" w:rsidP="00FB7C1F">
            <w:pPr>
              <w:jc w:val="center"/>
              <w:rPr>
                <w:sz w:val="28"/>
                <w:szCs w:val="28"/>
              </w:rPr>
            </w:pPr>
          </w:p>
        </w:tc>
        <w:tc>
          <w:tcPr>
            <w:tcW w:w="629" w:type="pct"/>
            <w:tcBorders>
              <w:top w:val="nil"/>
            </w:tcBorders>
            <w:vAlign w:val="center"/>
          </w:tcPr>
          <w:p w14:paraId="78246929" w14:textId="77777777" w:rsidR="00F63C53" w:rsidRPr="004C78D8" w:rsidRDefault="00F63C53" w:rsidP="00FB7C1F">
            <w:pPr>
              <w:jc w:val="center"/>
              <w:rPr>
                <w:sz w:val="28"/>
                <w:szCs w:val="28"/>
              </w:rPr>
            </w:pPr>
          </w:p>
        </w:tc>
        <w:tc>
          <w:tcPr>
            <w:tcW w:w="550" w:type="pct"/>
            <w:tcBorders>
              <w:top w:val="nil"/>
            </w:tcBorders>
            <w:vAlign w:val="center"/>
          </w:tcPr>
          <w:p w14:paraId="27E3332C" w14:textId="77777777" w:rsidR="00F63C53" w:rsidRPr="004C78D8" w:rsidRDefault="00F63C53" w:rsidP="00FB7C1F">
            <w:pPr>
              <w:jc w:val="center"/>
              <w:rPr>
                <w:sz w:val="28"/>
                <w:szCs w:val="28"/>
              </w:rPr>
            </w:pPr>
          </w:p>
        </w:tc>
        <w:tc>
          <w:tcPr>
            <w:tcW w:w="601" w:type="pct"/>
            <w:tcBorders>
              <w:top w:val="nil"/>
            </w:tcBorders>
            <w:vAlign w:val="center"/>
          </w:tcPr>
          <w:p w14:paraId="522EDA67" w14:textId="77777777" w:rsidR="00F63C53" w:rsidRPr="004C78D8" w:rsidRDefault="00F63C53" w:rsidP="00FB7C1F">
            <w:pPr>
              <w:jc w:val="center"/>
            </w:pPr>
          </w:p>
        </w:tc>
      </w:tr>
      <w:tr w:rsidR="00F63C53" w:rsidRPr="004C78D8" w14:paraId="6FD7D9EC" w14:textId="77777777" w:rsidTr="002828C1">
        <w:tc>
          <w:tcPr>
            <w:tcW w:w="5000" w:type="pct"/>
            <w:gridSpan w:val="8"/>
          </w:tcPr>
          <w:p w14:paraId="6B2AC1EE" w14:textId="169BD538" w:rsidR="00F63C53" w:rsidRPr="004C78D8" w:rsidRDefault="00F63C53" w:rsidP="00FB7C1F">
            <w:pPr>
              <w:rPr>
                <w:sz w:val="18"/>
                <w:szCs w:val="18"/>
              </w:rPr>
            </w:pPr>
            <w:r w:rsidRPr="004C78D8">
              <w:rPr>
                <w:b/>
                <w:bCs/>
                <w:sz w:val="18"/>
                <w:szCs w:val="18"/>
              </w:rPr>
              <w:t>Abbreviation:</w:t>
            </w:r>
            <w:r w:rsidRPr="004C78D8">
              <w:rPr>
                <w:sz w:val="18"/>
                <w:szCs w:val="18"/>
              </w:rPr>
              <w:t xml:space="preserve"> AC: all-cause; BODE3: Burden of Disease Epidemiology, Equity and Cost-Effectiveness Programme studies, including Boyd (2020), Deverall (2018), Pega (2016) and Wilson (2017); CSP: Chartered Society of Physiotherapy; ED: emergency department; Int. cost only: intervention cost only; LTC: long-term care; NS: not (precisely) specified; OMAS: Ontario Medical Advisory Secretariat; PHE: Public Health England; RCN: Royal College of Nursing.</w:t>
            </w:r>
          </w:p>
          <w:p w14:paraId="625EBD65" w14:textId="4BB27843" w:rsidR="00F63C53" w:rsidRPr="004C78D8" w:rsidRDefault="00F63C53" w:rsidP="00FB7C1F">
            <w:pPr>
              <w:rPr>
                <w:sz w:val="18"/>
                <w:szCs w:val="18"/>
              </w:rPr>
            </w:pPr>
            <w:r w:rsidRPr="004C78D8">
              <w:rPr>
                <w:sz w:val="18"/>
                <w:szCs w:val="18"/>
                <w:vertAlign w:val="superscript"/>
              </w:rPr>
              <w:t>1</w:t>
            </w:r>
            <w:r w:rsidRPr="004C78D8">
              <w:rPr>
                <w:sz w:val="18"/>
                <w:szCs w:val="18"/>
              </w:rPr>
              <w:t xml:space="preserve"> Economic consequences are marked even if only their costs are incorporated without separate model states or probabilities.</w:t>
            </w:r>
          </w:p>
          <w:p w14:paraId="6794C84C" w14:textId="1B7A6B4E" w:rsidR="00F63C53" w:rsidRPr="004C78D8" w:rsidRDefault="00F63C53" w:rsidP="00FB7C1F">
            <w:pPr>
              <w:rPr>
                <w:sz w:val="18"/>
                <w:szCs w:val="18"/>
              </w:rPr>
            </w:pPr>
            <w:r w:rsidRPr="004C78D8">
              <w:rPr>
                <w:sz w:val="18"/>
                <w:szCs w:val="18"/>
                <w:vertAlign w:val="superscript"/>
              </w:rPr>
              <w:t>2</w:t>
            </w:r>
            <w:r w:rsidRPr="004C78D8">
              <w:rPr>
                <w:sz w:val="18"/>
                <w:szCs w:val="18"/>
              </w:rPr>
              <w:t xml:space="preserve"> See Table </w:t>
            </w:r>
            <w:r w:rsidR="00D14B01" w:rsidRPr="004C78D8">
              <w:rPr>
                <w:sz w:val="18"/>
                <w:szCs w:val="18"/>
              </w:rPr>
              <w:t>4</w:t>
            </w:r>
            <w:r w:rsidRPr="004C78D8">
              <w:rPr>
                <w:sz w:val="18"/>
                <w:szCs w:val="18"/>
              </w:rPr>
              <w:t>.2 for study references.</w:t>
            </w:r>
          </w:p>
          <w:p w14:paraId="51D4E812" w14:textId="24A6F19B" w:rsidR="00F63C53" w:rsidRPr="004C78D8" w:rsidRDefault="00F63C53" w:rsidP="00FB7C1F">
            <w:pPr>
              <w:rPr>
                <w:sz w:val="18"/>
                <w:szCs w:val="18"/>
              </w:rPr>
            </w:pPr>
            <w:r w:rsidRPr="004C78D8">
              <w:rPr>
                <w:sz w:val="18"/>
                <w:szCs w:val="18"/>
                <w:vertAlign w:val="superscript"/>
              </w:rPr>
              <w:t>3</w:t>
            </w:r>
            <w:r w:rsidRPr="004C78D8">
              <w:rPr>
                <w:sz w:val="18"/>
                <w:szCs w:val="18"/>
              </w:rPr>
              <w:t xml:space="preserve"> The models estimated the intervention impact on hospital admission rate but not cost and used only intervention costs in conducting cost-effectiveness analysis.</w:t>
            </w:r>
          </w:p>
        </w:tc>
      </w:tr>
    </w:tbl>
    <w:p w14:paraId="1D3D5B65" w14:textId="7A943CE9" w:rsidR="00D55F54" w:rsidRPr="004C78D8" w:rsidRDefault="00D55F54" w:rsidP="00FB7C1F"/>
    <w:p w14:paraId="23F19E46" w14:textId="5C8FEE4D" w:rsidR="00F63C53" w:rsidRPr="004C78D8" w:rsidRDefault="00F63C53" w:rsidP="00FB7C1F">
      <w:r w:rsidRPr="004C78D8">
        <w:t xml:space="preserve">Four models incorporated all-cause (‘AC’), rather than fall-specific, care consequences using primary data from intervention studies </w:t>
      </w:r>
      <w:r w:rsidRPr="004C78D8">
        <w:fldChar w:fldCharType="begin">
          <w:fldData xml:space="preserve">PEVuZE5vdGU+PENpdGU+PEF1dGhvcj5BbGJlcnQ8L0F1dGhvcj48WWVhcj4yMDE2PC9ZZWFyPjxS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</w:fldData>
        </w:fldChar>
      </w:r>
      <w:r w:rsidR="00C630FC" w:rsidRPr="004C78D8">
        <w:instrText xml:space="preserve"> ADDIN EN.CITE </w:instrText>
      </w:r>
      <w:r w:rsidR="00C630FC" w:rsidRPr="004C78D8">
        <w:fldChar w:fldCharType="begin">
          <w:fldData xml:space="preserve">PEVuZE5vdGU+PENpdGU+PEF1dGhvcj5BbGJlcnQ8L0F1dGhvcj48WWVhcj4yMDE2PC9ZZWFyPjxS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[341, 349, 350, 354]</w:t>
      </w:r>
      <w:r w:rsidRPr="004C78D8">
        <w:fldChar w:fldCharType="end"/>
      </w:r>
      <w:r w:rsidRPr="004C78D8">
        <w:t xml:space="preserve">. Six models incorporated comorbidity care costs </w:t>
      </w:r>
      <w:r w:rsidRPr="004C78D8">
        <w:fldChar w:fldCharType="begin">
          <w:fldData xml:space="preserve">PEVuZE5vdGU+PENpdGU+PEF1dGhvcj5Cb3lkPC9BdXRob3I+PFllYXI+MjAyMDwvWWVhcj48UmVj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</w:fldData>
        </w:fldChar>
      </w:r>
      <w:r w:rsidR="00C630FC" w:rsidRPr="004C78D8">
        <w:instrText xml:space="preserve"> ADDIN EN.CITE </w:instrText>
      </w:r>
      <w:r w:rsidR="00C630FC" w:rsidRPr="004C78D8">
        <w:fldChar w:fldCharType="begin">
          <w:fldData xml:space="preserve">PEVuZE5vdGU+PENpdGU+PEF1dGhvcj5Cb3lkPC9BdXRob3I+PFllYXI+MjAyMDwvWWVhcj48UmVj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[128, 206, 241, 318, 337, 361]</w:t>
      </w:r>
      <w:r w:rsidRPr="004C78D8">
        <w:fldChar w:fldCharType="end"/>
      </w:r>
      <w:r w:rsidRPr="004C78D8">
        <w:t xml:space="preserve">. The four BODE3 models incorporated annual (all-cause) healthcare cost and cost of dying that varied by age and sex; falls prevention indirectly affected these costs by changing the life expectancy and age at death via fatal fall prevention. Johansson (2008) incorporated age-stratified societal costs of added life-years measured in net consumption (production value minus consumption and care costs) but not cost of dying. In Honkanen (2006), the annual healthcare cost and cost of dying were stratified by functional dependency and residence (community vs. nursing home); fracture prevention indirectly affected these by lowering the risks of functional dependency and nursing home admission. Comorbidity care costs </w:t>
      </w:r>
      <w:r w:rsidR="004B4E0F" w:rsidRPr="004C78D8">
        <w:t>we</w:t>
      </w:r>
      <w:r w:rsidRPr="004C78D8">
        <w:t>re hence relevant to models that incorporate</w:t>
      </w:r>
      <w:r w:rsidR="004B4E0F" w:rsidRPr="004C78D8">
        <w:t>d</w:t>
      </w:r>
      <w:r w:rsidRPr="004C78D8">
        <w:t xml:space="preserve"> fatal falls and injuries that contribute to increased frailty</w:t>
      </w:r>
      <w:r w:rsidR="004B4E0F" w:rsidRPr="004C78D8">
        <w:t>,</w:t>
      </w:r>
      <w:r w:rsidRPr="004C78D8">
        <w:t xml:space="preserve"> care dependency</w:t>
      </w:r>
      <w:r w:rsidR="004B4E0F" w:rsidRPr="004C78D8">
        <w:t>, and excess mortality</w:t>
      </w:r>
      <w:r w:rsidRPr="004C78D8">
        <w:t>. Yet these costs were included in only six (listed above) of 24 models that incorporated fatal falls and/or excess mortality.</w:t>
      </w:r>
    </w:p>
    <w:p w14:paraId="38B80977" w14:textId="08F42F8F" w:rsidR="00673E0C" w:rsidRPr="004C78D8" w:rsidRDefault="00673E0C" w:rsidP="00FB7C1F"/>
    <w:p w14:paraId="6C64B6FA" w14:textId="42733D44" w:rsidR="007860B9" w:rsidRPr="004C78D8" w:rsidRDefault="00772C3D" w:rsidP="00FB7C1F">
      <w:pPr>
        <w:pStyle w:val="Heading3"/>
      </w:pPr>
      <w:bookmarkStart w:id="121" w:name="_Toc111630758"/>
      <w:r w:rsidRPr="004C78D8">
        <w:t>4</w:t>
      </w:r>
      <w:r w:rsidR="0020463D" w:rsidRPr="004C78D8">
        <w:t>.</w:t>
      </w:r>
      <w:r w:rsidR="00966B6A" w:rsidRPr="004C78D8">
        <w:t>5</w:t>
      </w:r>
      <w:r w:rsidR="007860B9" w:rsidRPr="004C78D8">
        <w:t>.</w:t>
      </w:r>
      <w:r w:rsidR="00966B6A" w:rsidRPr="004C78D8">
        <w:t>2</w:t>
      </w:r>
      <w:r w:rsidR="007860B9" w:rsidRPr="004C78D8">
        <w:t xml:space="preserve"> Falls prevention intervention features</w:t>
      </w:r>
      <w:bookmarkEnd w:id="121"/>
    </w:p>
    <w:p w14:paraId="5CF2BD6D" w14:textId="02F05F78" w:rsidR="003A40E4" w:rsidRPr="004C78D8" w:rsidRDefault="00C272D1" w:rsidP="00FB7C1F">
      <w:r w:rsidRPr="004C78D8">
        <w:t xml:space="preserve">As detailed in Table </w:t>
      </w:r>
      <w:r w:rsidR="00772C3D" w:rsidRPr="004C78D8">
        <w:t>4</w:t>
      </w:r>
      <w:r w:rsidRPr="004C78D8">
        <w:t>.1, falls prevention intervention features are synthesised based on: (1) intervention access pathways</w:t>
      </w:r>
      <w:r w:rsidR="003A09D9" w:rsidRPr="004C78D8">
        <w:t xml:space="preserve"> (Section </w:t>
      </w:r>
      <w:r w:rsidR="00772C3D" w:rsidRPr="004C78D8">
        <w:t>4</w:t>
      </w:r>
      <w:r w:rsidR="003A09D9" w:rsidRPr="004C78D8">
        <w:t>.5.2.1)</w:t>
      </w:r>
      <w:r w:rsidRPr="004C78D8">
        <w:t>; (2) falls risk identification methods</w:t>
      </w:r>
      <w:r w:rsidR="003A09D9" w:rsidRPr="004C78D8">
        <w:t xml:space="preserve"> (Section </w:t>
      </w:r>
      <w:r w:rsidR="00772C3D" w:rsidRPr="004C78D8">
        <w:t>4</w:t>
      </w:r>
      <w:r w:rsidR="003A09D9" w:rsidRPr="004C78D8">
        <w:t>.5.2.2)</w:t>
      </w:r>
      <w:r w:rsidRPr="004C78D8">
        <w:t>; (3) intervention resource-use and cost</w:t>
      </w:r>
      <w:r w:rsidR="003A09D9" w:rsidRPr="004C78D8">
        <w:t xml:space="preserve"> (Section </w:t>
      </w:r>
      <w:r w:rsidR="00772C3D" w:rsidRPr="004C78D8">
        <w:t>4</w:t>
      </w:r>
      <w:r w:rsidR="003A09D9" w:rsidRPr="004C78D8">
        <w:t>.5.2.3)</w:t>
      </w:r>
      <w:r w:rsidRPr="004C78D8">
        <w:t>; (4) intervention efficacy</w:t>
      </w:r>
      <w:r w:rsidR="003A09D9" w:rsidRPr="004C78D8">
        <w:t xml:space="preserve"> (Section </w:t>
      </w:r>
      <w:r w:rsidR="00772C3D" w:rsidRPr="004C78D8">
        <w:t>4</w:t>
      </w:r>
      <w:r w:rsidR="003A09D9" w:rsidRPr="004C78D8">
        <w:t>.5.2.4)</w:t>
      </w:r>
      <w:r w:rsidRPr="004C78D8">
        <w:t>; and (5) wider health effects of interventions beyond falls prevention</w:t>
      </w:r>
      <w:r w:rsidR="003A09D9" w:rsidRPr="004C78D8">
        <w:t xml:space="preserve"> (Section </w:t>
      </w:r>
      <w:r w:rsidR="00772C3D" w:rsidRPr="004C78D8">
        <w:t>4</w:t>
      </w:r>
      <w:r w:rsidR="003A09D9" w:rsidRPr="004C78D8">
        <w:t>.5.2.5)</w:t>
      </w:r>
      <w:r w:rsidRPr="004C78D8">
        <w:t>. Table D5 in Appendix D provides additional detail on intervention components by study.</w:t>
      </w:r>
    </w:p>
    <w:p w14:paraId="22A4F628" w14:textId="5A8B1E36" w:rsidR="004A249A" w:rsidRPr="004C78D8" w:rsidRDefault="00772C3D" w:rsidP="00FB7C1F">
      <w:pPr>
        <w:pStyle w:val="Heading4"/>
      </w:pPr>
      <w:r w:rsidRPr="004C78D8">
        <w:t>4</w:t>
      </w:r>
      <w:r w:rsidR="004A249A" w:rsidRPr="004C78D8">
        <w:t>.5.2.1 Intervention access pathway</w:t>
      </w:r>
    </w:p>
    <w:p w14:paraId="7467023A" w14:textId="2612F07D" w:rsidR="004A249A" w:rsidRPr="004C78D8" w:rsidRDefault="00D0230D" w:rsidP="00FB7C1F">
      <w:r w:rsidRPr="004C78D8">
        <w:t xml:space="preserve">Table </w:t>
      </w:r>
      <w:r w:rsidR="00772C3D" w:rsidRPr="004C78D8">
        <w:t>4</w:t>
      </w:r>
      <w:r w:rsidRPr="004C78D8">
        <w:t>.8 categorises all model-evaluated interventions by access pathway – reactive, proactive, self-referred or unclear – and intervention type. Of 101 interventions in total – counting multiple forms per study separately – nearly half (49) had unclear pathway descriptions. The most common pathway was proactive with 29 interventions, followed by self-referred (16) and reactive (7).</w:t>
      </w:r>
    </w:p>
    <w:tbl>
      <w:tblPr>
        <w:tblStyle w:val="TableGrid"/>
        <w:tblW w:w="5000" w:type="pct"/>
        <w:tblLook w:val="04A0" w:firstRow="1" w:lastRow="0" w:firstColumn="1" w:lastColumn="0" w:noHBand="0" w:noVBand="1"/>
      </w:tblPr>
      <w:tblGrid>
        <w:gridCol w:w="1249"/>
        <w:gridCol w:w="1406"/>
        <w:gridCol w:w="414"/>
        <w:gridCol w:w="1662"/>
        <w:gridCol w:w="422"/>
        <w:gridCol w:w="1523"/>
        <w:gridCol w:w="396"/>
        <w:gridCol w:w="1548"/>
        <w:gridCol w:w="396"/>
      </w:tblGrid>
      <w:tr w:rsidR="00BB094C" w:rsidRPr="004C78D8" w14:paraId="62E9D5B6" w14:textId="77777777" w:rsidTr="002828C1">
        <w:tc>
          <w:tcPr>
            <w:tcW w:w="5000" w:type="pct"/>
            <w:gridSpan w:val="9"/>
          </w:tcPr>
          <w:p w14:paraId="3CFA21A7" w14:textId="3FA0A0FC" w:rsidR="00BB094C" w:rsidRPr="004C78D8" w:rsidRDefault="00BB094C" w:rsidP="00FB7C1F">
            <w:r w:rsidRPr="004C78D8">
              <w:rPr>
                <w:b/>
                <w:bCs/>
              </w:rPr>
              <w:t xml:space="preserve">Table </w:t>
            </w:r>
            <w:r w:rsidR="00772C3D" w:rsidRPr="004C78D8">
              <w:rPr>
                <w:b/>
                <w:bCs/>
              </w:rPr>
              <w:t>4</w:t>
            </w:r>
            <w:r w:rsidRPr="004C78D8">
              <w:rPr>
                <w:b/>
                <w:bCs/>
              </w:rPr>
              <w:t>.8</w:t>
            </w:r>
            <w:r w:rsidRPr="004C78D8">
              <w:t xml:space="preserve"> Intervention access pathways by intervention type [number of intervention forms].</w:t>
            </w:r>
            <w:r w:rsidR="001D2C27" w:rsidRPr="004C78D8">
              <w:rPr>
                <w:vertAlign w:val="superscript"/>
              </w:rPr>
              <w:t>1</w:t>
            </w:r>
          </w:p>
        </w:tc>
      </w:tr>
      <w:tr w:rsidR="00BB094C" w:rsidRPr="004C78D8" w14:paraId="72256284" w14:textId="77777777" w:rsidTr="002828C1">
        <w:tc>
          <w:tcPr>
            <w:tcW w:w="695" w:type="pct"/>
          </w:tcPr>
          <w:p w14:paraId="3FB8A359" w14:textId="77777777" w:rsidR="00BB094C" w:rsidRPr="004C78D8" w:rsidRDefault="00BB094C" w:rsidP="00FB7C1F">
            <w:pPr>
              <w:jc w:val="left"/>
              <w:rPr>
                <w:b/>
                <w:bCs/>
                <w:sz w:val="18"/>
                <w:szCs w:val="18"/>
              </w:rPr>
            </w:pPr>
            <w:r w:rsidRPr="004C78D8">
              <w:rPr>
                <w:b/>
                <w:bCs/>
                <w:sz w:val="18"/>
                <w:szCs w:val="18"/>
              </w:rPr>
              <w:t>Intervention type (total N)</w:t>
            </w:r>
          </w:p>
        </w:tc>
        <w:tc>
          <w:tcPr>
            <w:tcW w:w="769" w:type="pct"/>
            <w:tcBorders>
              <w:right w:val="nil"/>
            </w:tcBorders>
          </w:tcPr>
          <w:p w14:paraId="295F6D51" w14:textId="77777777" w:rsidR="00BB094C" w:rsidRPr="004C78D8" w:rsidRDefault="00BB094C" w:rsidP="00FB7C1F">
            <w:pPr>
              <w:rPr>
                <w:b/>
                <w:bCs/>
                <w:sz w:val="18"/>
                <w:szCs w:val="18"/>
              </w:rPr>
            </w:pPr>
            <w:r w:rsidRPr="004C78D8">
              <w:rPr>
                <w:b/>
                <w:bCs/>
                <w:sz w:val="18"/>
                <w:szCs w:val="18"/>
              </w:rPr>
              <w:t>Reactive</w:t>
            </w:r>
          </w:p>
        </w:tc>
        <w:tc>
          <w:tcPr>
            <w:tcW w:w="232" w:type="pct"/>
            <w:tcBorders>
              <w:left w:val="nil"/>
            </w:tcBorders>
          </w:tcPr>
          <w:p w14:paraId="4CF18A0D" w14:textId="77777777" w:rsidR="00BB094C" w:rsidRPr="004C78D8" w:rsidRDefault="00BB094C" w:rsidP="00FB7C1F">
            <w:pPr>
              <w:rPr>
                <w:b/>
                <w:bCs/>
                <w:sz w:val="18"/>
                <w:szCs w:val="18"/>
              </w:rPr>
            </w:pPr>
            <w:r w:rsidRPr="004C78D8">
              <w:rPr>
                <w:b/>
                <w:bCs/>
                <w:sz w:val="18"/>
                <w:szCs w:val="18"/>
              </w:rPr>
              <w:t>N</w:t>
            </w:r>
          </w:p>
        </w:tc>
        <w:tc>
          <w:tcPr>
            <w:tcW w:w="924" w:type="pct"/>
            <w:tcBorders>
              <w:right w:val="nil"/>
            </w:tcBorders>
          </w:tcPr>
          <w:p w14:paraId="6949F574" w14:textId="77777777" w:rsidR="00BB094C" w:rsidRPr="004C78D8" w:rsidRDefault="00BB094C" w:rsidP="00FB7C1F">
            <w:pPr>
              <w:rPr>
                <w:b/>
                <w:bCs/>
                <w:sz w:val="18"/>
                <w:szCs w:val="18"/>
              </w:rPr>
            </w:pPr>
            <w:r w:rsidRPr="004C78D8">
              <w:rPr>
                <w:b/>
                <w:bCs/>
                <w:sz w:val="18"/>
                <w:szCs w:val="18"/>
              </w:rPr>
              <w:t>Proactive</w:t>
            </w:r>
          </w:p>
        </w:tc>
        <w:tc>
          <w:tcPr>
            <w:tcW w:w="236" w:type="pct"/>
            <w:tcBorders>
              <w:left w:val="nil"/>
            </w:tcBorders>
          </w:tcPr>
          <w:p w14:paraId="555A5016" w14:textId="77777777" w:rsidR="00BB094C" w:rsidRPr="004C78D8" w:rsidRDefault="00BB094C" w:rsidP="00FB7C1F">
            <w:pPr>
              <w:rPr>
                <w:b/>
                <w:bCs/>
                <w:sz w:val="18"/>
                <w:szCs w:val="18"/>
              </w:rPr>
            </w:pPr>
            <w:r w:rsidRPr="004C78D8">
              <w:rPr>
                <w:b/>
                <w:bCs/>
                <w:sz w:val="18"/>
                <w:szCs w:val="18"/>
              </w:rPr>
              <w:t>N</w:t>
            </w:r>
          </w:p>
        </w:tc>
        <w:tc>
          <w:tcPr>
            <w:tcW w:w="847" w:type="pct"/>
            <w:tcBorders>
              <w:right w:val="nil"/>
            </w:tcBorders>
          </w:tcPr>
          <w:p w14:paraId="04BF39E2" w14:textId="77777777" w:rsidR="00BB094C" w:rsidRPr="004C78D8" w:rsidRDefault="00BB094C" w:rsidP="00FB7C1F">
            <w:pPr>
              <w:rPr>
                <w:b/>
                <w:bCs/>
                <w:sz w:val="18"/>
                <w:szCs w:val="18"/>
              </w:rPr>
            </w:pPr>
            <w:r w:rsidRPr="004C78D8">
              <w:rPr>
                <w:b/>
                <w:bCs/>
                <w:sz w:val="18"/>
                <w:szCs w:val="18"/>
              </w:rPr>
              <w:t>Self-referred</w:t>
            </w:r>
          </w:p>
        </w:tc>
        <w:tc>
          <w:tcPr>
            <w:tcW w:w="220" w:type="pct"/>
            <w:tcBorders>
              <w:left w:val="nil"/>
            </w:tcBorders>
          </w:tcPr>
          <w:p w14:paraId="371C3711" w14:textId="77777777" w:rsidR="00BB094C" w:rsidRPr="004C78D8" w:rsidRDefault="00BB094C" w:rsidP="00FB7C1F">
            <w:pPr>
              <w:rPr>
                <w:b/>
                <w:bCs/>
                <w:sz w:val="18"/>
                <w:szCs w:val="18"/>
              </w:rPr>
            </w:pPr>
            <w:r w:rsidRPr="004C78D8">
              <w:rPr>
                <w:b/>
                <w:bCs/>
                <w:sz w:val="18"/>
                <w:szCs w:val="18"/>
              </w:rPr>
              <w:t>N</w:t>
            </w:r>
          </w:p>
        </w:tc>
        <w:tc>
          <w:tcPr>
            <w:tcW w:w="862" w:type="pct"/>
            <w:tcBorders>
              <w:right w:val="nil"/>
            </w:tcBorders>
          </w:tcPr>
          <w:p w14:paraId="50796835" w14:textId="77777777" w:rsidR="00BB094C" w:rsidRPr="004C78D8" w:rsidRDefault="00BB094C" w:rsidP="00FB7C1F">
            <w:pPr>
              <w:rPr>
                <w:b/>
                <w:bCs/>
                <w:sz w:val="18"/>
                <w:szCs w:val="18"/>
              </w:rPr>
            </w:pPr>
            <w:r w:rsidRPr="004C78D8">
              <w:rPr>
                <w:b/>
                <w:bCs/>
                <w:sz w:val="18"/>
                <w:szCs w:val="18"/>
              </w:rPr>
              <w:t>Unclear</w:t>
            </w:r>
          </w:p>
        </w:tc>
        <w:tc>
          <w:tcPr>
            <w:tcW w:w="216" w:type="pct"/>
            <w:tcBorders>
              <w:left w:val="nil"/>
            </w:tcBorders>
          </w:tcPr>
          <w:p w14:paraId="5C9F9BB5" w14:textId="77777777" w:rsidR="00BB094C" w:rsidRPr="004C78D8" w:rsidRDefault="00BB094C" w:rsidP="00FB7C1F">
            <w:pPr>
              <w:rPr>
                <w:b/>
                <w:bCs/>
                <w:sz w:val="18"/>
                <w:szCs w:val="18"/>
              </w:rPr>
            </w:pPr>
            <w:r w:rsidRPr="004C78D8">
              <w:rPr>
                <w:b/>
                <w:bCs/>
                <w:sz w:val="18"/>
                <w:szCs w:val="18"/>
              </w:rPr>
              <w:t>N</w:t>
            </w:r>
          </w:p>
        </w:tc>
      </w:tr>
      <w:tr w:rsidR="00BB094C" w:rsidRPr="004C78D8" w14:paraId="4F7CA54E" w14:textId="77777777" w:rsidTr="002828C1">
        <w:tc>
          <w:tcPr>
            <w:tcW w:w="695" w:type="pct"/>
          </w:tcPr>
          <w:p w14:paraId="1F415425" w14:textId="77777777" w:rsidR="00BB094C" w:rsidRPr="004C78D8" w:rsidRDefault="00BB094C" w:rsidP="00FB7C1F">
            <w:pPr>
              <w:jc w:val="left"/>
              <w:rPr>
                <w:sz w:val="18"/>
                <w:szCs w:val="18"/>
              </w:rPr>
            </w:pPr>
            <w:r w:rsidRPr="004C78D8">
              <w:rPr>
                <w:sz w:val="18"/>
                <w:szCs w:val="18"/>
              </w:rPr>
              <w:t>Exercise (33)</w:t>
            </w:r>
          </w:p>
        </w:tc>
        <w:tc>
          <w:tcPr>
            <w:tcW w:w="769" w:type="pct"/>
            <w:tcBorders>
              <w:right w:val="nil"/>
            </w:tcBorders>
          </w:tcPr>
          <w:p w14:paraId="2845E264" w14:textId="77777777" w:rsidR="00BB094C" w:rsidRPr="004C78D8" w:rsidRDefault="00BB094C" w:rsidP="00FB7C1F">
            <w:pPr>
              <w:jc w:val="left"/>
              <w:rPr>
                <w:sz w:val="18"/>
                <w:szCs w:val="18"/>
              </w:rPr>
            </w:pPr>
          </w:p>
        </w:tc>
        <w:tc>
          <w:tcPr>
            <w:tcW w:w="232" w:type="pct"/>
            <w:tcBorders>
              <w:left w:val="nil"/>
            </w:tcBorders>
          </w:tcPr>
          <w:p w14:paraId="1C0ACCBB" w14:textId="77777777" w:rsidR="00BB094C" w:rsidRPr="004C78D8" w:rsidRDefault="00BB094C" w:rsidP="00FB7C1F">
            <w:pPr>
              <w:jc w:val="left"/>
              <w:rPr>
                <w:sz w:val="18"/>
                <w:szCs w:val="18"/>
              </w:rPr>
            </w:pPr>
            <w:r w:rsidRPr="004C78D8">
              <w:rPr>
                <w:sz w:val="18"/>
                <w:szCs w:val="18"/>
              </w:rPr>
              <w:t>0</w:t>
            </w:r>
          </w:p>
        </w:tc>
        <w:tc>
          <w:tcPr>
            <w:tcW w:w="924" w:type="pct"/>
            <w:tcBorders>
              <w:right w:val="nil"/>
            </w:tcBorders>
          </w:tcPr>
          <w:p w14:paraId="655CD076" w14:textId="62FD375A" w:rsidR="00BB094C" w:rsidRPr="004C78D8" w:rsidRDefault="00BB094C" w:rsidP="00FB7C1F">
            <w:pPr>
              <w:jc w:val="left"/>
              <w:rPr>
                <w:sz w:val="18"/>
                <w:szCs w:val="18"/>
              </w:rPr>
            </w:pPr>
            <w:r w:rsidRPr="004C78D8">
              <w:rPr>
                <w:sz w:val="18"/>
                <w:szCs w:val="18"/>
              </w:rPr>
              <w:t>Alhambra-Borras (2019); CSP (2016); Day (2009); Eldridge (2005); Franklin (2019) [3]; Nshimyumukiza (2013); RCN (200</w:t>
            </w:r>
            <w:r w:rsidR="007D2523" w:rsidRPr="004C78D8">
              <w:rPr>
                <w:sz w:val="18"/>
                <w:szCs w:val="18"/>
              </w:rPr>
              <w:t>5</w:t>
            </w:r>
            <w:r w:rsidRPr="004C78D8">
              <w:rPr>
                <w:sz w:val="18"/>
                <w:szCs w:val="18"/>
              </w:rPr>
              <w:t>)</w:t>
            </w:r>
          </w:p>
        </w:tc>
        <w:tc>
          <w:tcPr>
            <w:tcW w:w="236" w:type="pct"/>
            <w:tcBorders>
              <w:left w:val="nil"/>
            </w:tcBorders>
          </w:tcPr>
          <w:p w14:paraId="34B6375A" w14:textId="77777777" w:rsidR="00BB094C" w:rsidRPr="004C78D8" w:rsidRDefault="00BB094C" w:rsidP="00FB7C1F">
            <w:pPr>
              <w:jc w:val="left"/>
              <w:rPr>
                <w:sz w:val="18"/>
                <w:szCs w:val="18"/>
              </w:rPr>
            </w:pPr>
            <w:r w:rsidRPr="004C78D8">
              <w:rPr>
                <w:sz w:val="18"/>
                <w:szCs w:val="18"/>
              </w:rPr>
              <w:t>9</w:t>
            </w:r>
          </w:p>
        </w:tc>
        <w:tc>
          <w:tcPr>
            <w:tcW w:w="847" w:type="pct"/>
            <w:tcBorders>
              <w:right w:val="nil"/>
            </w:tcBorders>
          </w:tcPr>
          <w:p w14:paraId="4D765488" w14:textId="77777777" w:rsidR="00BB094C" w:rsidRPr="004C78D8" w:rsidRDefault="00BB094C" w:rsidP="00FB7C1F">
            <w:pPr>
              <w:jc w:val="left"/>
              <w:rPr>
                <w:sz w:val="18"/>
                <w:szCs w:val="18"/>
              </w:rPr>
            </w:pPr>
            <w:r w:rsidRPr="004C78D8">
              <w:rPr>
                <w:sz w:val="18"/>
                <w:szCs w:val="18"/>
              </w:rPr>
              <w:t>Carande-Kulis (2015) [2]; Day (2009); Day (2010); Deverall (2018) [3]; Eldridge (2005); Hektoen (2009); McLean (2015)</w:t>
            </w:r>
          </w:p>
        </w:tc>
        <w:tc>
          <w:tcPr>
            <w:tcW w:w="220" w:type="pct"/>
            <w:tcBorders>
              <w:left w:val="nil"/>
            </w:tcBorders>
          </w:tcPr>
          <w:p w14:paraId="4F95C145" w14:textId="77777777" w:rsidR="00BB094C" w:rsidRPr="004C78D8" w:rsidRDefault="00BB094C" w:rsidP="00FB7C1F">
            <w:pPr>
              <w:jc w:val="left"/>
              <w:rPr>
                <w:sz w:val="18"/>
                <w:szCs w:val="18"/>
              </w:rPr>
            </w:pPr>
            <w:r w:rsidRPr="004C78D8">
              <w:rPr>
                <w:sz w:val="18"/>
                <w:szCs w:val="18"/>
              </w:rPr>
              <w:t>10</w:t>
            </w:r>
          </w:p>
        </w:tc>
        <w:tc>
          <w:tcPr>
            <w:tcW w:w="862" w:type="pct"/>
            <w:tcBorders>
              <w:right w:val="nil"/>
            </w:tcBorders>
          </w:tcPr>
          <w:p w14:paraId="3F244211" w14:textId="77777777" w:rsidR="00BB094C" w:rsidRPr="004C78D8" w:rsidRDefault="00BB094C" w:rsidP="00FB7C1F">
            <w:pPr>
              <w:jc w:val="left"/>
              <w:rPr>
                <w:sz w:val="18"/>
                <w:szCs w:val="18"/>
              </w:rPr>
            </w:pPr>
            <w:r w:rsidRPr="004C78D8">
              <w:rPr>
                <w:sz w:val="18"/>
                <w:szCs w:val="18"/>
              </w:rPr>
              <w:t>Church (2011) [3]; Church (2012) [4]; Frick (2010) [2]; Mori (2017); OMAS (2008); PHE (2018) [3]</w:t>
            </w:r>
          </w:p>
        </w:tc>
        <w:tc>
          <w:tcPr>
            <w:tcW w:w="216" w:type="pct"/>
            <w:tcBorders>
              <w:left w:val="nil"/>
            </w:tcBorders>
          </w:tcPr>
          <w:p w14:paraId="6D076362" w14:textId="77777777" w:rsidR="00BB094C" w:rsidRPr="004C78D8" w:rsidRDefault="00BB094C" w:rsidP="00FB7C1F">
            <w:pPr>
              <w:jc w:val="left"/>
              <w:rPr>
                <w:sz w:val="18"/>
                <w:szCs w:val="18"/>
              </w:rPr>
            </w:pPr>
            <w:r w:rsidRPr="004C78D8">
              <w:rPr>
                <w:sz w:val="18"/>
                <w:szCs w:val="18"/>
              </w:rPr>
              <w:t>14</w:t>
            </w:r>
          </w:p>
        </w:tc>
      </w:tr>
      <w:tr w:rsidR="00BB094C" w:rsidRPr="004C78D8" w14:paraId="3F61719A" w14:textId="77777777" w:rsidTr="002828C1">
        <w:tc>
          <w:tcPr>
            <w:tcW w:w="695" w:type="pct"/>
          </w:tcPr>
          <w:p w14:paraId="7BDE812A" w14:textId="77777777" w:rsidR="00BB094C" w:rsidRPr="004C78D8" w:rsidRDefault="00BB094C" w:rsidP="00FB7C1F">
            <w:pPr>
              <w:jc w:val="left"/>
              <w:rPr>
                <w:sz w:val="18"/>
                <w:szCs w:val="18"/>
              </w:rPr>
            </w:pPr>
            <w:r w:rsidRPr="004C78D8">
              <w:rPr>
                <w:sz w:val="18"/>
                <w:szCs w:val="18"/>
              </w:rPr>
              <w:t>HAM (11)</w:t>
            </w:r>
          </w:p>
        </w:tc>
        <w:tc>
          <w:tcPr>
            <w:tcW w:w="769" w:type="pct"/>
            <w:tcBorders>
              <w:right w:val="nil"/>
            </w:tcBorders>
          </w:tcPr>
          <w:p w14:paraId="220E34AD" w14:textId="53E2F749" w:rsidR="00BB094C" w:rsidRPr="004C78D8" w:rsidRDefault="00BB094C" w:rsidP="00FB7C1F">
            <w:pPr>
              <w:jc w:val="left"/>
              <w:rPr>
                <w:sz w:val="18"/>
                <w:szCs w:val="18"/>
              </w:rPr>
            </w:pPr>
            <w:r w:rsidRPr="004C78D8">
              <w:rPr>
                <w:sz w:val="18"/>
                <w:szCs w:val="18"/>
              </w:rPr>
              <w:t>Day (2009);</w:t>
            </w:r>
            <w:r w:rsidR="00042035" w:rsidRPr="004C78D8">
              <w:rPr>
                <w:sz w:val="18"/>
                <w:szCs w:val="18"/>
                <w:vertAlign w:val="superscript"/>
              </w:rPr>
              <w:t>2</w:t>
            </w:r>
            <w:r w:rsidRPr="004C78D8">
              <w:rPr>
                <w:sz w:val="18"/>
                <w:szCs w:val="18"/>
              </w:rPr>
              <w:t xml:space="preserve"> PHE (2018)</w:t>
            </w:r>
          </w:p>
        </w:tc>
        <w:tc>
          <w:tcPr>
            <w:tcW w:w="232" w:type="pct"/>
            <w:tcBorders>
              <w:left w:val="nil"/>
            </w:tcBorders>
          </w:tcPr>
          <w:p w14:paraId="1607939D" w14:textId="77777777" w:rsidR="00BB094C" w:rsidRPr="004C78D8" w:rsidRDefault="00BB094C" w:rsidP="00FB7C1F">
            <w:pPr>
              <w:jc w:val="left"/>
              <w:rPr>
                <w:sz w:val="18"/>
                <w:szCs w:val="18"/>
              </w:rPr>
            </w:pPr>
            <w:r w:rsidRPr="004C78D8">
              <w:rPr>
                <w:sz w:val="18"/>
                <w:szCs w:val="18"/>
              </w:rPr>
              <w:t>2</w:t>
            </w:r>
          </w:p>
        </w:tc>
        <w:tc>
          <w:tcPr>
            <w:tcW w:w="924" w:type="pct"/>
            <w:tcBorders>
              <w:right w:val="nil"/>
            </w:tcBorders>
          </w:tcPr>
          <w:p w14:paraId="3BB69B71" w14:textId="34D6433A" w:rsidR="00BB094C" w:rsidRPr="004C78D8" w:rsidRDefault="00BB094C" w:rsidP="00FB7C1F">
            <w:pPr>
              <w:jc w:val="left"/>
              <w:rPr>
                <w:sz w:val="18"/>
                <w:szCs w:val="18"/>
              </w:rPr>
            </w:pPr>
            <w:r w:rsidRPr="004C78D8">
              <w:rPr>
                <w:sz w:val="18"/>
                <w:szCs w:val="18"/>
              </w:rPr>
              <w:t>Franklin (2019); Wilson (2017)</w:t>
            </w:r>
            <w:r w:rsidR="00042035" w:rsidRPr="004C78D8">
              <w:rPr>
                <w:sz w:val="18"/>
                <w:szCs w:val="18"/>
                <w:vertAlign w:val="superscript"/>
              </w:rPr>
              <w:t>3</w:t>
            </w:r>
          </w:p>
        </w:tc>
        <w:tc>
          <w:tcPr>
            <w:tcW w:w="236" w:type="pct"/>
            <w:tcBorders>
              <w:left w:val="nil"/>
            </w:tcBorders>
          </w:tcPr>
          <w:p w14:paraId="67761ABC" w14:textId="77777777" w:rsidR="00BB094C" w:rsidRPr="004C78D8" w:rsidRDefault="00BB094C" w:rsidP="00FB7C1F">
            <w:pPr>
              <w:jc w:val="left"/>
              <w:rPr>
                <w:sz w:val="18"/>
                <w:szCs w:val="18"/>
              </w:rPr>
            </w:pPr>
            <w:r w:rsidRPr="004C78D8">
              <w:rPr>
                <w:sz w:val="18"/>
                <w:szCs w:val="18"/>
              </w:rPr>
              <w:t>2</w:t>
            </w:r>
          </w:p>
        </w:tc>
        <w:tc>
          <w:tcPr>
            <w:tcW w:w="847" w:type="pct"/>
            <w:tcBorders>
              <w:right w:val="nil"/>
            </w:tcBorders>
          </w:tcPr>
          <w:p w14:paraId="38EC9296" w14:textId="77777777" w:rsidR="00BB094C" w:rsidRPr="004C78D8" w:rsidRDefault="00BB094C" w:rsidP="00FB7C1F">
            <w:pPr>
              <w:jc w:val="left"/>
              <w:rPr>
                <w:sz w:val="18"/>
                <w:szCs w:val="18"/>
              </w:rPr>
            </w:pPr>
            <w:r w:rsidRPr="004C78D8">
              <w:rPr>
                <w:sz w:val="18"/>
                <w:szCs w:val="18"/>
              </w:rPr>
              <w:t>Wilson (2017)</w:t>
            </w:r>
          </w:p>
        </w:tc>
        <w:tc>
          <w:tcPr>
            <w:tcW w:w="220" w:type="pct"/>
            <w:tcBorders>
              <w:left w:val="nil"/>
            </w:tcBorders>
          </w:tcPr>
          <w:p w14:paraId="66C05ABC" w14:textId="77777777" w:rsidR="00BB094C" w:rsidRPr="004C78D8" w:rsidRDefault="00BB094C" w:rsidP="00FB7C1F">
            <w:pPr>
              <w:jc w:val="left"/>
              <w:rPr>
                <w:sz w:val="18"/>
                <w:szCs w:val="18"/>
              </w:rPr>
            </w:pPr>
            <w:r w:rsidRPr="004C78D8">
              <w:rPr>
                <w:sz w:val="18"/>
                <w:szCs w:val="18"/>
              </w:rPr>
              <w:t>1</w:t>
            </w:r>
          </w:p>
        </w:tc>
        <w:tc>
          <w:tcPr>
            <w:tcW w:w="862" w:type="pct"/>
            <w:tcBorders>
              <w:right w:val="nil"/>
            </w:tcBorders>
          </w:tcPr>
          <w:p w14:paraId="7C65BAC1" w14:textId="77777777" w:rsidR="00BB094C" w:rsidRPr="004C78D8" w:rsidRDefault="00BB094C" w:rsidP="00FB7C1F">
            <w:pPr>
              <w:jc w:val="left"/>
              <w:rPr>
                <w:sz w:val="18"/>
                <w:szCs w:val="18"/>
              </w:rPr>
            </w:pPr>
            <w:r w:rsidRPr="004C78D8">
              <w:rPr>
                <w:sz w:val="18"/>
                <w:szCs w:val="18"/>
              </w:rPr>
              <w:t xml:space="preserve">Agartioglu (2020); Church (2012); Ling (2008); OMAS (2008); Pega </w:t>
            </w:r>
            <w:r w:rsidRPr="004C78D8">
              <w:rPr>
                <w:sz w:val="18"/>
                <w:szCs w:val="18"/>
              </w:rPr>
              <w:lastRenderedPageBreak/>
              <w:t>(2016); Frick (2010)</w:t>
            </w:r>
          </w:p>
        </w:tc>
        <w:tc>
          <w:tcPr>
            <w:tcW w:w="216" w:type="pct"/>
            <w:tcBorders>
              <w:left w:val="nil"/>
            </w:tcBorders>
          </w:tcPr>
          <w:p w14:paraId="65BA83DC" w14:textId="77777777" w:rsidR="00BB094C" w:rsidRPr="004C78D8" w:rsidRDefault="00BB094C" w:rsidP="00FB7C1F">
            <w:pPr>
              <w:jc w:val="left"/>
              <w:rPr>
                <w:sz w:val="18"/>
                <w:szCs w:val="18"/>
              </w:rPr>
            </w:pPr>
            <w:r w:rsidRPr="004C78D8">
              <w:rPr>
                <w:sz w:val="18"/>
                <w:szCs w:val="18"/>
              </w:rPr>
              <w:lastRenderedPageBreak/>
              <w:t>6</w:t>
            </w:r>
          </w:p>
        </w:tc>
      </w:tr>
      <w:tr w:rsidR="00BB094C" w:rsidRPr="004C78D8" w14:paraId="7C7B628A" w14:textId="77777777" w:rsidTr="002828C1">
        <w:tc>
          <w:tcPr>
            <w:tcW w:w="695" w:type="pct"/>
          </w:tcPr>
          <w:p w14:paraId="18500341" w14:textId="77777777" w:rsidR="00BB094C" w:rsidRPr="004C78D8" w:rsidRDefault="00BB094C" w:rsidP="00FB7C1F">
            <w:pPr>
              <w:jc w:val="left"/>
              <w:rPr>
                <w:sz w:val="18"/>
                <w:szCs w:val="18"/>
              </w:rPr>
            </w:pPr>
            <w:r w:rsidRPr="004C78D8">
              <w:rPr>
                <w:sz w:val="18"/>
                <w:szCs w:val="18"/>
              </w:rPr>
              <w:t>Medication review and modification (10)</w:t>
            </w:r>
          </w:p>
        </w:tc>
        <w:tc>
          <w:tcPr>
            <w:tcW w:w="769" w:type="pct"/>
            <w:tcBorders>
              <w:right w:val="nil"/>
            </w:tcBorders>
          </w:tcPr>
          <w:p w14:paraId="50999414" w14:textId="77777777" w:rsidR="00BB094C" w:rsidRPr="004C78D8" w:rsidRDefault="00BB094C" w:rsidP="00FB7C1F">
            <w:pPr>
              <w:jc w:val="left"/>
              <w:rPr>
                <w:sz w:val="18"/>
                <w:szCs w:val="18"/>
              </w:rPr>
            </w:pPr>
          </w:p>
        </w:tc>
        <w:tc>
          <w:tcPr>
            <w:tcW w:w="232" w:type="pct"/>
            <w:tcBorders>
              <w:left w:val="nil"/>
            </w:tcBorders>
          </w:tcPr>
          <w:p w14:paraId="2ED29756" w14:textId="77777777" w:rsidR="00BB094C" w:rsidRPr="004C78D8" w:rsidRDefault="00BB094C" w:rsidP="00FB7C1F">
            <w:pPr>
              <w:jc w:val="left"/>
              <w:rPr>
                <w:sz w:val="18"/>
                <w:szCs w:val="18"/>
              </w:rPr>
            </w:pPr>
            <w:r w:rsidRPr="004C78D8">
              <w:rPr>
                <w:sz w:val="18"/>
                <w:szCs w:val="18"/>
              </w:rPr>
              <w:t>0</w:t>
            </w:r>
          </w:p>
        </w:tc>
        <w:tc>
          <w:tcPr>
            <w:tcW w:w="924" w:type="pct"/>
            <w:tcBorders>
              <w:right w:val="nil"/>
            </w:tcBorders>
          </w:tcPr>
          <w:p w14:paraId="60049070" w14:textId="77777777" w:rsidR="00BB094C" w:rsidRPr="004C78D8" w:rsidRDefault="00BB094C" w:rsidP="00FB7C1F">
            <w:pPr>
              <w:jc w:val="left"/>
              <w:rPr>
                <w:sz w:val="18"/>
                <w:szCs w:val="18"/>
              </w:rPr>
            </w:pPr>
            <w:r w:rsidRPr="004C78D8">
              <w:rPr>
                <w:sz w:val="18"/>
                <w:szCs w:val="18"/>
              </w:rPr>
              <w:t>Day (2009); Tannenbaum (2015); Turner (2020); Velde (2008)</w:t>
            </w:r>
          </w:p>
        </w:tc>
        <w:tc>
          <w:tcPr>
            <w:tcW w:w="236" w:type="pct"/>
            <w:tcBorders>
              <w:left w:val="nil"/>
            </w:tcBorders>
          </w:tcPr>
          <w:p w14:paraId="2A25FC7E" w14:textId="77777777" w:rsidR="00BB094C" w:rsidRPr="004C78D8" w:rsidRDefault="00BB094C" w:rsidP="00FB7C1F">
            <w:pPr>
              <w:jc w:val="left"/>
              <w:rPr>
                <w:sz w:val="18"/>
                <w:szCs w:val="18"/>
              </w:rPr>
            </w:pPr>
            <w:r w:rsidRPr="004C78D8">
              <w:rPr>
                <w:sz w:val="18"/>
                <w:szCs w:val="18"/>
              </w:rPr>
              <w:t>4</w:t>
            </w:r>
          </w:p>
        </w:tc>
        <w:tc>
          <w:tcPr>
            <w:tcW w:w="847" w:type="pct"/>
            <w:tcBorders>
              <w:right w:val="nil"/>
            </w:tcBorders>
          </w:tcPr>
          <w:p w14:paraId="0E544585" w14:textId="77777777" w:rsidR="00BB094C" w:rsidRPr="004C78D8" w:rsidRDefault="00BB094C" w:rsidP="00FB7C1F">
            <w:pPr>
              <w:jc w:val="left"/>
              <w:rPr>
                <w:sz w:val="18"/>
                <w:szCs w:val="18"/>
              </w:rPr>
            </w:pPr>
          </w:p>
        </w:tc>
        <w:tc>
          <w:tcPr>
            <w:tcW w:w="220" w:type="pct"/>
            <w:tcBorders>
              <w:left w:val="nil"/>
            </w:tcBorders>
          </w:tcPr>
          <w:p w14:paraId="51FBA754" w14:textId="77777777" w:rsidR="00BB094C" w:rsidRPr="004C78D8" w:rsidRDefault="00BB094C" w:rsidP="00FB7C1F">
            <w:pPr>
              <w:jc w:val="left"/>
              <w:rPr>
                <w:sz w:val="18"/>
                <w:szCs w:val="18"/>
              </w:rPr>
            </w:pPr>
            <w:r w:rsidRPr="004C78D8">
              <w:rPr>
                <w:sz w:val="18"/>
                <w:szCs w:val="18"/>
              </w:rPr>
              <w:t>0</w:t>
            </w:r>
          </w:p>
        </w:tc>
        <w:tc>
          <w:tcPr>
            <w:tcW w:w="862" w:type="pct"/>
            <w:tcBorders>
              <w:right w:val="nil"/>
            </w:tcBorders>
          </w:tcPr>
          <w:p w14:paraId="3E4F1B35" w14:textId="77777777" w:rsidR="00BB094C" w:rsidRPr="004C78D8" w:rsidRDefault="00BB094C" w:rsidP="00FB7C1F">
            <w:pPr>
              <w:jc w:val="left"/>
              <w:rPr>
                <w:sz w:val="18"/>
                <w:szCs w:val="18"/>
              </w:rPr>
            </w:pPr>
            <w:r w:rsidRPr="004C78D8">
              <w:rPr>
                <w:sz w:val="18"/>
                <w:szCs w:val="18"/>
              </w:rPr>
              <w:t>Church (2011); Church (2012); Frick (2010); Hirst (2016); Moriarty (2019); OMAS (2008)</w:t>
            </w:r>
          </w:p>
        </w:tc>
        <w:tc>
          <w:tcPr>
            <w:tcW w:w="216" w:type="pct"/>
            <w:tcBorders>
              <w:left w:val="nil"/>
            </w:tcBorders>
          </w:tcPr>
          <w:p w14:paraId="7BD383FC" w14:textId="77777777" w:rsidR="00BB094C" w:rsidRPr="004C78D8" w:rsidRDefault="00BB094C" w:rsidP="00FB7C1F">
            <w:pPr>
              <w:jc w:val="left"/>
              <w:rPr>
                <w:sz w:val="18"/>
                <w:szCs w:val="18"/>
              </w:rPr>
            </w:pPr>
            <w:r w:rsidRPr="004C78D8">
              <w:rPr>
                <w:sz w:val="18"/>
                <w:szCs w:val="18"/>
              </w:rPr>
              <w:t>6</w:t>
            </w:r>
          </w:p>
        </w:tc>
      </w:tr>
      <w:tr w:rsidR="00BB094C" w:rsidRPr="004C78D8" w14:paraId="50E6E8CA" w14:textId="77777777" w:rsidTr="002828C1">
        <w:tc>
          <w:tcPr>
            <w:tcW w:w="695" w:type="pct"/>
          </w:tcPr>
          <w:p w14:paraId="24803C0D" w14:textId="77777777" w:rsidR="00BB094C" w:rsidRPr="004C78D8" w:rsidRDefault="00BB094C" w:rsidP="00FB7C1F">
            <w:pPr>
              <w:jc w:val="left"/>
              <w:rPr>
                <w:sz w:val="18"/>
                <w:szCs w:val="18"/>
              </w:rPr>
            </w:pPr>
            <w:r w:rsidRPr="004C78D8">
              <w:rPr>
                <w:sz w:val="18"/>
                <w:szCs w:val="18"/>
              </w:rPr>
              <w:t>Cataract surgery (5)</w:t>
            </w:r>
          </w:p>
        </w:tc>
        <w:tc>
          <w:tcPr>
            <w:tcW w:w="769" w:type="pct"/>
            <w:tcBorders>
              <w:right w:val="nil"/>
            </w:tcBorders>
          </w:tcPr>
          <w:p w14:paraId="668C7232" w14:textId="77777777" w:rsidR="00BB094C" w:rsidRPr="004C78D8" w:rsidRDefault="00BB094C" w:rsidP="00FB7C1F">
            <w:pPr>
              <w:jc w:val="left"/>
              <w:rPr>
                <w:sz w:val="18"/>
                <w:szCs w:val="18"/>
              </w:rPr>
            </w:pPr>
          </w:p>
        </w:tc>
        <w:tc>
          <w:tcPr>
            <w:tcW w:w="232" w:type="pct"/>
            <w:tcBorders>
              <w:left w:val="nil"/>
            </w:tcBorders>
          </w:tcPr>
          <w:p w14:paraId="3505E033" w14:textId="77777777" w:rsidR="00BB094C" w:rsidRPr="004C78D8" w:rsidRDefault="00BB094C" w:rsidP="00FB7C1F">
            <w:pPr>
              <w:jc w:val="left"/>
              <w:rPr>
                <w:sz w:val="18"/>
                <w:szCs w:val="18"/>
              </w:rPr>
            </w:pPr>
            <w:r w:rsidRPr="004C78D8">
              <w:rPr>
                <w:sz w:val="18"/>
                <w:szCs w:val="18"/>
              </w:rPr>
              <w:t>0</w:t>
            </w:r>
          </w:p>
        </w:tc>
        <w:tc>
          <w:tcPr>
            <w:tcW w:w="924" w:type="pct"/>
            <w:tcBorders>
              <w:right w:val="nil"/>
            </w:tcBorders>
          </w:tcPr>
          <w:p w14:paraId="3D76DDEB" w14:textId="77777777" w:rsidR="00BB094C" w:rsidRPr="004C78D8" w:rsidRDefault="00BB094C" w:rsidP="00FB7C1F">
            <w:pPr>
              <w:jc w:val="left"/>
              <w:rPr>
                <w:sz w:val="18"/>
                <w:szCs w:val="18"/>
              </w:rPr>
            </w:pPr>
            <w:r w:rsidRPr="004C78D8">
              <w:rPr>
                <w:sz w:val="18"/>
                <w:szCs w:val="18"/>
              </w:rPr>
              <w:t>Sach (2007); Sach (2010)</w:t>
            </w:r>
          </w:p>
        </w:tc>
        <w:tc>
          <w:tcPr>
            <w:tcW w:w="236" w:type="pct"/>
            <w:tcBorders>
              <w:left w:val="nil"/>
            </w:tcBorders>
          </w:tcPr>
          <w:p w14:paraId="142C4E99" w14:textId="77777777" w:rsidR="00BB094C" w:rsidRPr="004C78D8" w:rsidRDefault="00BB094C" w:rsidP="00FB7C1F">
            <w:pPr>
              <w:jc w:val="left"/>
              <w:rPr>
                <w:sz w:val="18"/>
                <w:szCs w:val="18"/>
              </w:rPr>
            </w:pPr>
            <w:r w:rsidRPr="004C78D8">
              <w:rPr>
                <w:sz w:val="18"/>
                <w:szCs w:val="18"/>
              </w:rPr>
              <w:t>2</w:t>
            </w:r>
          </w:p>
        </w:tc>
        <w:tc>
          <w:tcPr>
            <w:tcW w:w="847" w:type="pct"/>
            <w:tcBorders>
              <w:right w:val="nil"/>
            </w:tcBorders>
          </w:tcPr>
          <w:p w14:paraId="02D00F57" w14:textId="77777777" w:rsidR="00BB094C" w:rsidRPr="004C78D8" w:rsidRDefault="00BB094C" w:rsidP="00FB7C1F">
            <w:pPr>
              <w:jc w:val="left"/>
              <w:rPr>
                <w:sz w:val="18"/>
                <w:szCs w:val="18"/>
              </w:rPr>
            </w:pPr>
          </w:p>
        </w:tc>
        <w:tc>
          <w:tcPr>
            <w:tcW w:w="220" w:type="pct"/>
            <w:tcBorders>
              <w:left w:val="nil"/>
            </w:tcBorders>
          </w:tcPr>
          <w:p w14:paraId="02E92239" w14:textId="77777777" w:rsidR="00BB094C" w:rsidRPr="004C78D8" w:rsidRDefault="00BB094C" w:rsidP="00FB7C1F">
            <w:pPr>
              <w:jc w:val="left"/>
              <w:rPr>
                <w:sz w:val="18"/>
                <w:szCs w:val="18"/>
              </w:rPr>
            </w:pPr>
            <w:r w:rsidRPr="004C78D8">
              <w:rPr>
                <w:sz w:val="18"/>
                <w:szCs w:val="18"/>
              </w:rPr>
              <w:t>0</w:t>
            </w:r>
          </w:p>
        </w:tc>
        <w:tc>
          <w:tcPr>
            <w:tcW w:w="862" w:type="pct"/>
            <w:tcBorders>
              <w:right w:val="nil"/>
            </w:tcBorders>
          </w:tcPr>
          <w:p w14:paraId="44D29F3A" w14:textId="77777777" w:rsidR="00BB094C" w:rsidRPr="004C78D8" w:rsidRDefault="00BB094C" w:rsidP="00FB7C1F">
            <w:pPr>
              <w:jc w:val="left"/>
              <w:rPr>
                <w:sz w:val="18"/>
                <w:szCs w:val="18"/>
              </w:rPr>
            </w:pPr>
            <w:r w:rsidRPr="004C78D8">
              <w:rPr>
                <w:sz w:val="18"/>
                <w:szCs w:val="18"/>
              </w:rPr>
              <w:t>Boyd (2020); Church (2011); Church (2012)</w:t>
            </w:r>
          </w:p>
        </w:tc>
        <w:tc>
          <w:tcPr>
            <w:tcW w:w="216" w:type="pct"/>
            <w:tcBorders>
              <w:left w:val="nil"/>
            </w:tcBorders>
          </w:tcPr>
          <w:p w14:paraId="5F335F96" w14:textId="77777777" w:rsidR="00BB094C" w:rsidRPr="004C78D8" w:rsidRDefault="00BB094C" w:rsidP="00FB7C1F">
            <w:pPr>
              <w:jc w:val="left"/>
              <w:rPr>
                <w:sz w:val="18"/>
                <w:szCs w:val="18"/>
              </w:rPr>
            </w:pPr>
            <w:r w:rsidRPr="004C78D8">
              <w:rPr>
                <w:sz w:val="18"/>
                <w:szCs w:val="18"/>
              </w:rPr>
              <w:t>3</w:t>
            </w:r>
          </w:p>
        </w:tc>
      </w:tr>
      <w:tr w:rsidR="00BB094C" w:rsidRPr="004C78D8" w14:paraId="70000E48" w14:textId="77777777" w:rsidTr="002828C1">
        <w:tc>
          <w:tcPr>
            <w:tcW w:w="695" w:type="pct"/>
          </w:tcPr>
          <w:p w14:paraId="457D6B6B" w14:textId="77777777" w:rsidR="00BB094C" w:rsidRPr="004C78D8" w:rsidRDefault="00BB094C" w:rsidP="00FB7C1F">
            <w:pPr>
              <w:jc w:val="left"/>
              <w:rPr>
                <w:sz w:val="18"/>
                <w:szCs w:val="18"/>
              </w:rPr>
            </w:pPr>
            <w:r w:rsidRPr="004C78D8">
              <w:rPr>
                <w:sz w:val="18"/>
                <w:szCs w:val="18"/>
              </w:rPr>
              <w:t>Vitamin D supplement (11)</w:t>
            </w:r>
          </w:p>
        </w:tc>
        <w:tc>
          <w:tcPr>
            <w:tcW w:w="769" w:type="pct"/>
            <w:tcBorders>
              <w:right w:val="nil"/>
            </w:tcBorders>
          </w:tcPr>
          <w:p w14:paraId="778EC022" w14:textId="77777777" w:rsidR="00BB094C" w:rsidRPr="004C78D8" w:rsidRDefault="00BB094C" w:rsidP="00FB7C1F">
            <w:pPr>
              <w:jc w:val="left"/>
              <w:rPr>
                <w:sz w:val="18"/>
                <w:szCs w:val="18"/>
              </w:rPr>
            </w:pPr>
            <w:r w:rsidRPr="004C78D8">
              <w:rPr>
                <w:sz w:val="18"/>
                <w:szCs w:val="18"/>
              </w:rPr>
              <w:t>Nshimyumukiza (2013)</w:t>
            </w:r>
          </w:p>
        </w:tc>
        <w:tc>
          <w:tcPr>
            <w:tcW w:w="232" w:type="pct"/>
            <w:tcBorders>
              <w:left w:val="nil"/>
            </w:tcBorders>
          </w:tcPr>
          <w:p w14:paraId="3A6DD781" w14:textId="77777777" w:rsidR="00BB094C" w:rsidRPr="004C78D8" w:rsidRDefault="00BB094C" w:rsidP="00FB7C1F">
            <w:pPr>
              <w:jc w:val="left"/>
              <w:rPr>
                <w:sz w:val="18"/>
                <w:szCs w:val="18"/>
              </w:rPr>
            </w:pPr>
            <w:r w:rsidRPr="004C78D8">
              <w:rPr>
                <w:sz w:val="18"/>
                <w:szCs w:val="18"/>
              </w:rPr>
              <w:t>1</w:t>
            </w:r>
          </w:p>
        </w:tc>
        <w:tc>
          <w:tcPr>
            <w:tcW w:w="924" w:type="pct"/>
            <w:tcBorders>
              <w:right w:val="nil"/>
            </w:tcBorders>
          </w:tcPr>
          <w:p w14:paraId="22F15325" w14:textId="77777777" w:rsidR="00BB094C" w:rsidRPr="004C78D8" w:rsidRDefault="00BB094C" w:rsidP="00FB7C1F">
            <w:pPr>
              <w:jc w:val="left"/>
              <w:rPr>
                <w:sz w:val="18"/>
                <w:szCs w:val="18"/>
              </w:rPr>
            </w:pPr>
            <w:r w:rsidRPr="004C78D8">
              <w:rPr>
                <w:sz w:val="18"/>
                <w:szCs w:val="18"/>
              </w:rPr>
              <w:t>Hiligsmann (2014); Lee (2013) [2]; Nshimyumukiza (2013); Zarca (2014) [3]</w:t>
            </w:r>
          </w:p>
        </w:tc>
        <w:tc>
          <w:tcPr>
            <w:tcW w:w="236" w:type="pct"/>
            <w:tcBorders>
              <w:left w:val="nil"/>
            </w:tcBorders>
          </w:tcPr>
          <w:p w14:paraId="1F0F7FC5" w14:textId="77777777" w:rsidR="00BB094C" w:rsidRPr="004C78D8" w:rsidRDefault="00BB094C" w:rsidP="00FB7C1F">
            <w:pPr>
              <w:jc w:val="left"/>
              <w:rPr>
                <w:sz w:val="18"/>
                <w:szCs w:val="18"/>
              </w:rPr>
            </w:pPr>
            <w:r w:rsidRPr="004C78D8">
              <w:rPr>
                <w:sz w:val="18"/>
                <w:szCs w:val="18"/>
              </w:rPr>
              <w:t>7</w:t>
            </w:r>
          </w:p>
        </w:tc>
        <w:tc>
          <w:tcPr>
            <w:tcW w:w="847" w:type="pct"/>
            <w:tcBorders>
              <w:right w:val="nil"/>
            </w:tcBorders>
          </w:tcPr>
          <w:p w14:paraId="30A56D6D" w14:textId="77777777" w:rsidR="00BB094C" w:rsidRPr="004C78D8" w:rsidRDefault="00BB094C" w:rsidP="00FB7C1F">
            <w:pPr>
              <w:jc w:val="left"/>
              <w:rPr>
                <w:sz w:val="18"/>
                <w:szCs w:val="18"/>
              </w:rPr>
            </w:pPr>
          </w:p>
        </w:tc>
        <w:tc>
          <w:tcPr>
            <w:tcW w:w="220" w:type="pct"/>
            <w:tcBorders>
              <w:left w:val="nil"/>
            </w:tcBorders>
          </w:tcPr>
          <w:p w14:paraId="5563C5AA" w14:textId="77777777" w:rsidR="00BB094C" w:rsidRPr="004C78D8" w:rsidRDefault="00BB094C" w:rsidP="00FB7C1F">
            <w:pPr>
              <w:jc w:val="left"/>
              <w:rPr>
                <w:sz w:val="18"/>
                <w:szCs w:val="18"/>
              </w:rPr>
            </w:pPr>
            <w:r w:rsidRPr="004C78D8">
              <w:rPr>
                <w:sz w:val="18"/>
                <w:szCs w:val="18"/>
              </w:rPr>
              <w:t>0</w:t>
            </w:r>
          </w:p>
        </w:tc>
        <w:tc>
          <w:tcPr>
            <w:tcW w:w="862" w:type="pct"/>
            <w:tcBorders>
              <w:right w:val="nil"/>
            </w:tcBorders>
          </w:tcPr>
          <w:p w14:paraId="6FA2E724" w14:textId="77777777" w:rsidR="00BB094C" w:rsidRPr="004C78D8" w:rsidRDefault="00BB094C" w:rsidP="00FB7C1F">
            <w:pPr>
              <w:jc w:val="left"/>
              <w:rPr>
                <w:sz w:val="18"/>
                <w:szCs w:val="18"/>
              </w:rPr>
            </w:pPr>
            <w:r w:rsidRPr="004C78D8">
              <w:rPr>
                <w:sz w:val="18"/>
                <w:szCs w:val="18"/>
              </w:rPr>
              <w:t>Poole (2014); Poole (2015); Frick (2010); OMAS (2008)</w:t>
            </w:r>
          </w:p>
        </w:tc>
        <w:tc>
          <w:tcPr>
            <w:tcW w:w="216" w:type="pct"/>
            <w:tcBorders>
              <w:left w:val="nil"/>
            </w:tcBorders>
          </w:tcPr>
          <w:p w14:paraId="578A4EDB" w14:textId="77777777" w:rsidR="00BB094C" w:rsidRPr="004C78D8" w:rsidRDefault="00BB094C" w:rsidP="00FB7C1F">
            <w:pPr>
              <w:jc w:val="left"/>
              <w:rPr>
                <w:sz w:val="18"/>
                <w:szCs w:val="18"/>
              </w:rPr>
            </w:pPr>
            <w:r w:rsidRPr="004C78D8">
              <w:rPr>
                <w:sz w:val="18"/>
                <w:szCs w:val="18"/>
              </w:rPr>
              <w:t>4</w:t>
            </w:r>
          </w:p>
        </w:tc>
      </w:tr>
      <w:tr w:rsidR="00BB094C" w:rsidRPr="004C78D8" w14:paraId="13C14854" w14:textId="77777777" w:rsidTr="002828C1">
        <w:tc>
          <w:tcPr>
            <w:tcW w:w="695" w:type="pct"/>
          </w:tcPr>
          <w:p w14:paraId="4D30E17B" w14:textId="77777777" w:rsidR="00BB094C" w:rsidRPr="004C78D8" w:rsidRDefault="00BB094C" w:rsidP="00FB7C1F">
            <w:pPr>
              <w:jc w:val="left"/>
              <w:rPr>
                <w:sz w:val="18"/>
                <w:szCs w:val="18"/>
              </w:rPr>
            </w:pPr>
            <w:r w:rsidRPr="004C78D8">
              <w:rPr>
                <w:sz w:val="18"/>
                <w:szCs w:val="18"/>
              </w:rPr>
              <w:t>Other single-component (6)</w:t>
            </w:r>
          </w:p>
        </w:tc>
        <w:tc>
          <w:tcPr>
            <w:tcW w:w="769" w:type="pct"/>
            <w:tcBorders>
              <w:right w:val="nil"/>
            </w:tcBorders>
          </w:tcPr>
          <w:p w14:paraId="6747194D" w14:textId="77777777" w:rsidR="00BB094C" w:rsidRPr="004C78D8" w:rsidRDefault="00BB094C" w:rsidP="00FB7C1F">
            <w:pPr>
              <w:jc w:val="left"/>
              <w:rPr>
                <w:sz w:val="18"/>
                <w:szCs w:val="18"/>
              </w:rPr>
            </w:pPr>
            <w:r w:rsidRPr="004C78D8">
              <w:rPr>
                <w:sz w:val="18"/>
                <w:szCs w:val="18"/>
              </w:rPr>
              <w:t>Day (2009) – cardiac pacing</w:t>
            </w:r>
          </w:p>
        </w:tc>
        <w:tc>
          <w:tcPr>
            <w:tcW w:w="232" w:type="pct"/>
            <w:tcBorders>
              <w:left w:val="nil"/>
            </w:tcBorders>
          </w:tcPr>
          <w:p w14:paraId="2DA29536" w14:textId="77777777" w:rsidR="00BB094C" w:rsidRPr="004C78D8" w:rsidRDefault="00BB094C" w:rsidP="00FB7C1F">
            <w:pPr>
              <w:jc w:val="left"/>
              <w:rPr>
                <w:sz w:val="18"/>
                <w:szCs w:val="18"/>
              </w:rPr>
            </w:pPr>
            <w:r w:rsidRPr="004C78D8">
              <w:rPr>
                <w:sz w:val="18"/>
                <w:szCs w:val="18"/>
              </w:rPr>
              <w:t>1</w:t>
            </w:r>
          </w:p>
        </w:tc>
        <w:tc>
          <w:tcPr>
            <w:tcW w:w="924" w:type="pct"/>
            <w:tcBorders>
              <w:right w:val="nil"/>
            </w:tcBorders>
          </w:tcPr>
          <w:p w14:paraId="51430438" w14:textId="77777777" w:rsidR="00BB094C" w:rsidRPr="004C78D8" w:rsidRDefault="00BB094C" w:rsidP="00FB7C1F">
            <w:pPr>
              <w:jc w:val="left"/>
              <w:rPr>
                <w:sz w:val="18"/>
                <w:szCs w:val="18"/>
              </w:rPr>
            </w:pPr>
          </w:p>
        </w:tc>
        <w:tc>
          <w:tcPr>
            <w:tcW w:w="236" w:type="pct"/>
            <w:tcBorders>
              <w:left w:val="nil"/>
            </w:tcBorders>
          </w:tcPr>
          <w:p w14:paraId="1305BCC0" w14:textId="77777777" w:rsidR="00BB094C" w:rsidRPr="004C78D8" w:rsidRDefault="00BB094C" w:rsidP="00FB7C1F">
            <w:pPr>
              <w:jc w:val="left"/>
              <w:rPr>
                <w:sz w:val="18"/>
                <w:szCs w:val="18"/>
              </w:rPr>
            </w:pPr>
            <w:r w:rsidRPr="004C78D8">
              <w:rPr>
                <w:sz w:val="18"/>
                <w:szCs w:val="18"/>
              </w:rPr>
              <w:t>0</w:t>
            </w:r>
          </w:p>
        </w:tc>
        <w:tc>
          <w:tcPr>
            <w:tcW w:w="847" w:type="pct"/>
            <w:tcBorders>
              <w:right w:val="nil"/>
            </w:tcBorders>
          </w:tcPr>
          <w:p w14:paraId="5E26D482" w14:textId="77777777" w:rsidR="00BB094C" w:rsidRPr="004C78D8" w:rsidRDefault="00BB094C" w:rsidP="00FB7C1F">
            <w:pPr>
              <w:jc w:val="left"/>
              <w:rPr>
                <w:sz w:val="18"/>
                <w:szCs w:val="18"/>
              </w:rPr>
            </w:pPr>
            <w:r w:rsidRPr="004C78D8">
              <w:rPr>
                <w:sz w:val="18"/>
                <w:szCs w:val="18"/>
              </w:rPr>
              <w:t>Farag (2015) – non-specific intervention</w:t>
            </w:r>
          </w:p>
        </w:tc>
        <w:tc>
          <w:tcPr>
            <w:tcW w:w="220" w:type="pct"/>
            <w:tcBorders>
              <w:left w:val="nil"/>
            </w:tcBorders>
          </w:tcPr>
          <w:p w14:paraId="12B3795D" w14:textId="77777777" w:rsidR="00BB094C" w:rsidRPr="004C78D8" w:rsidRDefault="00BB094C" w:rsidP="00FB7C1F">
            <w:pPr>
              <w:jc w:val="left"/>
              <w:rPr>
                <w:sz w:val="18"/>
                <w:szCs w:val="18"/>
              </w:rPr>
            </w:pPr>
            <w:r w:rsidRPr="004C78D8">
              <w:rPr>
                <w:sz w:val="18"/>
                <w:szCs w:val="18"/>
              </w:rPr>
              <w:t>1</w:t>
            </w:r>
          </w:p>
        </w:tc>
        <w:tc>
          <w:tcPr>
            <w:tcW w:w="862" w:type="pct"/>
            <w:tcBorders>
              <w:right w:val="nil"/>
            </w:tcBorders>
          </w:tcPr>
          <w:p w14:paraId="0A439B1D" w14:textId="77777777" w:rsidR="00BB094C" w:rsidRPr="004C78D8" w:rsidRDefault="00BB094C" w:rsidP="00FB7C1F">
            <w:pPr>
              <w:jc w:val="left"/>
              <w:rPr>
                <w:sz w:val="18"/>
                <w:szCs w:val="18"/>
              </w:rPr>
            </w:pPr>
            <w:r w:rsidRPr="004C78D8">
              <w:rPr>
                <w:sz w:val="18"/>
                <w:szCs w:val="18"/>
              </w:rPr>
              <w:t>Church (2011) – cardiac pacing; Church (2012) – cardiac pacing; Honkanen (2006) – hip protector; OMAS (2008) – gait stabiliser</w:t>
            </w:r>
          </w:p>
        </w:tc>
        <w:tc>
          <w:tcPr>
            <w:tcW w:w="216" w:type="pct"/>
            <w:tcBorders>
              <w:left w:val="nil"/>
            </w:tcBorders>
          </w:tcPr>
          <w:p w14:paraId="5EA24F19" w14:textId="77777777" w:rsidR="00BB094C" w:rsidRPr="004C78D8" w:rsidRDefault="00BB094C" w:rsidP="00FB7C1F">
            <w:pPr>
              <w:jc w:val="left"/>
              <w:rPr>
                <w:sz w:val="18"/>
                <w:szCs w:val="18"/>
              </w:rPr>
            </w:pPr>
            <w:r w:rsidRPr="004C78D8">
              <w:rPr>
                <w:sz w:val="18"/>
                <w:szCs w:val="18"/>
              </w:rPr>
              <w:t>4</w:t>
            </w:r>
          </w:p>
        </w:tc>
      </w:tr>
      <w:tr w:rsidR="00BB094C" w:rsidRPr="004C78D8" w14:paraId="32240FAB" w14:textId="77777777" w:rsidTr="002828C1">
        <w:tc>
          <w:tcPr>
            <w:tcW w:w="695" w:type="pct"/>
          </w:tcPr>
          <w:p w14:paraId="7900749C" w14:textId="77777777" w:rsidR="00BB094C" w:rsidRPr="004C78D8" w:rsidRDefault="00BB094C" w:rsidP="00FB7C1F">
            <w:pPr>
              <w:jc w:val="left"/>
              <w:rPr>
                <w:sz w:val="18"/>
                <w:szCs w:val="18"/>
              </w:rPr>
            </w:pPr>
            <w:r w:rsidRPr="004C78D8">
              <w:rPr>
                <w:sz w:val="18"/>
                <w:szCs w:val="18"/>
              </w:rPr>
              <w:t>MF int. and MF FRA (17)</w:t>
            </w:r>
          </w:p>
        </w:tc>
        <w:tc>
          <w:tcPr>
            <w:tcW w:w="769" w:type="pct"/>
            <w:tcBorders>
              <w:right w:val="nil"/>
            </w:tcBorders>
          </w:tcPr>
          <w:p w14:paraId="21868A6C" w14:textId="77777777" w:rsidR="00BB094C" w:rsidRPr="004C78D8" w:rsidRDefault="00BB094C" w:rsidP="00FB7C1F">
            <w:pPr>
              <w:jc w:val="left"/>
              <w:rPr>
                <w:sz w:val="18"/>
                <w:szCs w:val="18"/>
              </w:rPr>
            </w:pPr>
            <w:r w:rsidRPr="004C78D8">
              <w:rPr>
                <w:sz w:val="18"/>
                <w:szCs w:val="18"/>
              </w:rPr>
              <w:t>Day (2009); Eldridge (2005)</w:t>
            </w:r>
          </w:p>
        </w:tc>
        <w:tc>
          <w:tcPr>
            <w:tcW w:w="232" w:type="pct"/>
            <w:tcBorders>
              <w:left w:val="nil"/>
            </w:tcBorders>
          </w:tcPr>
          <w:p w14:paraId="41790D8D" w14:textId="77777777" w:rsidR="00BB094C" w:rsidRPr="004C78D8" w:rsidRDefault="00BB094C" w:rsidP="00FB7C1F">
            <w:pPr>
              <w:jc w:val="left"/>
              <w:rPr>
                <w:sz w:val="18"/>
                <w:szCs w:val="18"/>
              </w:rPr>
            </w:pPr>
            <w:r w:rsidRPr="004C78D8">
              <w:rPr>
                <w:sz w:val="18"/>
                <w:szCs w:val="18"/>
              </w:rPr>
              <w:t>2</w:t>
            </w:r>
          </w:p>
        </w:tc>
        <w:tc>
          <w:tcPr>
            <w:tcW w:w="924" w:type="pct"/>
            <w:tcBorders>
              <w:right w:val="nil"/>
            </w:tcBorders>
          </w:tcPr>
          <w:p w14:paraId="5C09BC87" w14:textId="10E19AEF" w:rsidR="00BB094C" w:rsidRPr="004C78D8" w:rsidRDefault="00BB094C" w:rsidP="00FB7C1F">
            <w:pPr>
              <w:jc w:val="left"/>
              <w:rPr>
                <w:sz w:val="18"/>
                <w:szCs w:val="18"/>
              </w:rPr>
            </w:pPr>
            <w:r w:rsidRPr="004C78D8">
              <w:rPr>
                <w:sz w:val="18"/>
                <w:szCs w:val="18"/>
              </w:rPr>
              <w:t>Eldridge (2005); Ippoliti (2018); RCN (200</w:t>
            </w:r>
            <w:r w:rsidR="007D2523" w:rsidRPr="004C78D8">
              <w:rPr>
                <w:sz w:val="18"/>
                <w:szCs w:val="18"/>
              </w:rPr>
              <w:t>5</w:t>
            </w:r>
            <w:r w:rsidRPr="004C78D8">
              <w:rPr>
                <w:sz w:val="18"/>
                <w:szCs w:val="18"/>
              </w:rPr>
              <w:t>); Smith (2016); Wu (2010)</w:t>
            </w:r>
          </w:p>
        </w:tc>
        <w:tc>
          <w:tcPr>
            <w:tcW w:w="236" w:type="pct"/>
            <w:tcBorders>
              <w:left w:val="nil"/>
            </w:tcBorders>
          </w:tcPr>
          <w:p w14:paraId="7C926CDE" w14:textId="77777777" w:rsidR="00BB094C" w:rsidRPr="004C78D8" w:rsidRDefault="00BB094C" w:rsidP="00FB7C1F">
            <w:pPr>
              <w:jc w:val="left"/>
              <w:rPr>
                <w:sz w:val="18"/>
                <w:szCs w:val="18"/>
              </w:rPr>
            </w:pPr>
            <w:r w:rsidRPr="004C78D8">
              <w:rPr>
                <w:sz w:val="18"/>
                <w:szCs w:val="18"/>
              </w:rPr>
              <w:t>5</w:t>
            </w:r>
          </w:p>
        </w:tc>
        <w:tc>
          <w:tcPr>
            <w:tcW w:w="847" w:type="pct"/>
            <w:tcBorders>
              <w:right w:val="nil"/>
            </w:tcBorders>
          </w:tcPr>
          <w:p w14:paraId="18677B16" w14:textId="77777777" w:rsidR="00BB094C" w:rsidRPr="004C78D8" w:rsidRDefault="00BB094C" w:rsidP="00FB7C1F">
            <w:pPr>
              <w:jc w:val="left"/>
              <w:rPr>
                <w:sz w:val="18"/>
                <w:szCs w:val="18"/>
              </w:rPr>
            </w:pPr>
            <w:r w:rsidRPr="004C78D8">
              <w:rPr>
                <w:sz w:val="18"/>
                <w:szCs w:val="18"/>
              </w:rPr>
              <w:t>Albert (2016)</w:t>
            </w:r>
          </w:p>
        </w:tc>
        <w:tc>
          <w:tcPr>
            <w:tcW w:w="220" w:type="pct"/>
            <w:tcBorders>
              <w:left w:val="nil"/>
            </w:tcBorders>
          </w:tcPr>
          <w:p w14:paraId="54E9A6F9" w14:textId="77777777" w:rsidR="00BB094C" w:rsidRPr="004C78D8" w:rsidRDefault="00BB094C" w:rsidP="00FB7C1F">
            <w:pPr>
              <w:jc w:val="left"/>
              <w:rPr>
                <w:sz w:val="18"/>
                <w:szCs w:val="18"/>
              </w:rPr>
            </w:pPr>
            <w:r w:rsidRPr="004C78D8">
              <w:rPr>
                <w:sz w:val="18"/>
                <w:szCs w:val="18"/>
              </w:rPr>
              <w:t>1</w:t>
            </w:r>
          </w:p>
        </w:tc>
        <w:tc>
          <w:tcPr>
            <w:tcW w:w="862" w:type="pct"/>
            <w:tcBorders>
              <w:right w:val="nil"/>
            </w:tcBorders>
          </w:tcPr>
          <w:p w14:paraId="22B79033" w14:textId="77777777" w:rsidR="00BB094C" w:rsidRPr="004C78D8" w:rsidRDefault="00BB094C" w:rsidP="00FB7C1F">
            <w:pPr>
              <w:jc w:val="left"/>
              <w:rPr>
                <w:sz w:val="18"/>
                <w:szCs w:val="18"/>
              </w:rPr>
            </w:pPr>
            <w:r w:rsidRPr="004C78D8">
              <w:rPr>
                <w:sz w:val="18"/>
                <w:szCs w:val="18"/>
              </w:rPr>
              <w:t>Church (2011) [2]; Church (2012) [3]; Comans (2009) [2]; Frick (2010) [2]</w:t>
            </w:r>
          </w:p>
        </w:tc>
        <w:tc>
          <w:tcPr>
            <w:tcW w:w="216" w:type="pct"/>
            <w:tcBorders>
              <w:left w:val="nil"/>
            </w:tcBorders>
          </w:tcPr>
          <w:p w14:paraId="7723C406" w14:textId="77777777" w:rsidR="00BB094C" w:rsidRPr="004C78D8" w:rsidRDefault="00BB094C" w:rsidP="00FB7C1F">
            <w:pPr>
              <w:jc w:val="left"/>
              <w:rPr>
                <w:sz w:val="18"/>
                <w:szCs w:val="18"/>
              </w:rPr>
            </w:pPr>
            <w:r w:rsidRPr="004C78D8">
              <w:rPr>
                <w:sz w:val="18"/>
                <w:szCs w:val="18"/>
              </w:rPr>
              <w:t>9</w:t>
            </w:r>
          </w:p>
        </w:tc>
      </w:tr>
      <w:tr w:rsidR="00BB094C" w:rsidRPr="004C78D8" w14:paraId="7344D50B" w14:textId="77777777" w:rsidTr="002828C1">
        <w:tc>
          <w:tcPr>
            <w:tcW w:w="695" w:type="pct"/>
          </w:tcPr>
          <w:p w14:paraId="2C79E5C5" w14:textId="77777777" w:rsidR="00BB094C" w:rsidRPr="004C78D8" w:rsidRDefault="00BB094C" w:rsidP="00FB7C1F">
            <w:pPr>
              <w:jc w:val="left"/>
              <w:rPr>
                <w:sz w:val="18"/>
                <w:szCs w:val="18"/>
              </w:rPr>
            </w:pPr>
            <w:r w:rsidRPr="004C78D8">
              <w:rPr>
                <w:sz w:val="18"/>
                <w:szCs w:val="18"/>
              </w:rPr>
              <w:t>MC int. (7)</w:t>
            </w:r>
          </w:p>
        </w:tc>
        <w:tc>
          <w:tcPr>
            <w:tcW w:w="769" w:type="pct"/>
            <w:tcBorders>
              <w:right w:val="nil"/>
            </w:tcBorders>
          </w:tcPr>
          <w:p w14:paraId="5B707774" w14:textId="77777777" w:rsidR="00BB094C" w:rsidRPr="004C78D8" w:rsidRDefault="00BB094C" w:rsidP="00FB7C1F">
            <w:pPr>
              <w:jc w:val="left"/>
              <w:rPr>
                <w:sz w:val="18"/>
                <w:szCs w:val="18"/>
              </w:rPr>
            </w:pPr>
            <w:r w:rsidRPr="004C78D8">
              <w:rPr>
                <w:sz w:val="18"/>
                <w:szCs w:val="18"/>
              </w:rPr>
              <w:t>Howland (2015)</w:t>
            </w:r>
          </w:p>
        </w:tc>
        <w:tc>
          <w:tcPr>
            <w:tcW w:w="232" w:type="pct"/>
            <w:tcBorders>
              <w:left w:val="nil"/>
            </w:tcBorders>
          </w:tcPr>
          <w:p w14:paraId="04A38286" w14:textId="77777777" w:rsidR="00BB094C" w:rsidRPr="004C78D8" w:rsidRDefault="00BB094C" w:rsidP="00FB7C1F">
            <w:pPr>
              <w:jc w:val="left"/>
              <w:rPr>
                <w:sz w:val="18"/>
                <w:szCs w:val="18"/>
              </w:rPr>
            </w:pPr>
            <w:r w:rsidRPr="004C78D8">
              <w:rPr>
                <w:sz w:val="18"/>
                <w:szCs w:val="18"/>
              </w:rPr>
              <w:t>1</w:t>
            </w:r>
          </w:p>
        </w:tc>
        <w:tc>
          <w:tcPr>
            <w:tcW w:w="924" w:type="pct"/>
            <w:tcBorders>
              <w:right w:val="nil"/>
            </w:tcBorders>
          </w:tcPr>
          <w:p w14:paraId="0FD2F8F1" w14:textId="77777777" w:rsidR="00BB094C" w:rsidRPr="004C78D8" w:rsidRDefault="00BB094C" w:rsidP="00FB7C1F">
            <w:pPr>
              <w:jc w:val="left"/>
              <w:rPr>
                <w:sz w:val="18"/>
                <w:szCs w:val="18"/>
              </w:rPr>
            </w:pPr>
          </w:p>
        </w:tc>
        <w:tc>
          <w:tcPr>
            <w:tcW w:w="236" w:type="pct"/>
            <w:tcBorders>
              <w:left w:val="nil"/>
            </w:tcBorders>
          </w:tcPr>
          <w:p w14:paraId="2BA4FA1D" w14:textId="77777777" w:rsidR="00BB094C" w:rsidRPr="004C78D8" w:rsidRDefault="00BB094C" w:rsidP="00FB7C1F">
            <w:pPr>
              <w:jc w:val="left"/>
              <w:rPr>
                <w:sz w:val="18"/>
                <w:szCs w:val="18"/>
              </w:rPr>
            </w:pPr>
            <w:r w:rsidRPr="004C78D8">
              <w:rPr>
                <w:sz w:val="18"/>
                <w:szCs w:val="18"/>
              </w:rPr>
              <w:t>0</w:t>
            </w:r>
          </w:p>
        </w:tc>
        <w:tc>
          <w:tcPr>
            <w:tcW w:w="847" w:type="pct"/>
            <w:tcBorders>
              <w:right w:val="nil"/>
            </w:tcBorders>
          </w:tcPr>
          <w:p w14:paraId="731BE5BA" w14:textId="77777777" w:rsidR="00BB094C" w:rsidRPr="004C78D8" w:rsidRDefault="00BB094C" w:rsidP="00FB7C1F">
            <w:pPr>
              <w:jc w:val="left"/>
              <w:rPr>
                <w:sz w:val="18"/>
                <w:szCs w:val="18"/>
              </w:rPr>
            </w:pPr>
            <w:r w:rsidRPr="004C78D8">
              <w:rPr>
                <w:sz w:val="18"/>
                <w:szCs w:val="18"/>
              </w:rPr>
              <w:t>Beard (2006); Carande-Kulis (2015); Johansson (2008)</w:t>
            </w:r>
          </w:p>
        </w:tc>
        <w:tc>
          <w:tcPr>
            <w:tcW w:w="220" w:type="pct"/>
            <w:tcBorders>
              <w:left w:val="nil"/>
            </w:tcBorders>
          </w:tcPr>
          <w:p w14:paraId="1048FD72" w14:textId="77777777" w:rsidR="00BB094C" w:rsidRPr="004C78D8" w:rsidRDefault="00BB094C" w:rsidP="00FB7C1F">
            <w:pPr>
              <w:jc w:val="left"/>
              <w:rPr>
                <w:sz w:val="18"/>
                <w:szCs w:val="18"/>
              </w:rPr>
            </w:pPr>
            <w:r w:rsidRPr="004C78D8">
              <w:rPr>
                <w:sz w:val="18"/>
                <w:szCs w:val="18"/>
              </w:rPr>
              <w:t>3</w:t>
            </w:r>
          </w:p>
        </w:tc>
        <w:tc>
          <w:tcPr>
            <w:tcW w:w="862" w:type="pct"/>
            <w:tcBorders>
              <w:right w:val="nil"/>
            </w:tcBorders>
          </w:tcPr>
          <w:p w14:paraId="5B2FAF0B" w14:textId="77777777" w:rsidR="00BB094C" w:rsidRPr="004C78D8" w:rsidRDefault="00BB094C" w:rsidP="00FB7C1F">
            <w:pPr>
              <w:jc w:val="left"/>
              <w:rPr>
                <w:sz w:val="18"/>
                <w:szCs w:val="18"/>
              </w:rPr>
            </w:pPr>
            <w:r w:rsidRPr="004C78D8">
              <w:rPr>
                <w:sz w:val="18"/>
                <w:szCs w:val="18"/>
              </w:rPr>
              <w:t>Church (2011); Church (2012); Miller (2011)</w:t>
            </w:r>
          </w:p>
        </w:tc>
        <w:tc>
          <w:tcPr>
            <w:tcW w:w="216" w:type="pct"/>
            <w:tcBorders>
              <w:left w:val="nil"/>
            </w:tcBorders>
          </w:tcPr>
          <w:p w14:paraId="4F5B0E6A" w14:textId="77777777" w:rsidR="00BB094C" w:rsidRPr="004C78D8" w:rsidRDefault="00BB094C" w:rsidP="00FB7C1F">
            <w:pPr>
              <w:jc w:val="left"/>
              <w:rPr>
                <w:sz w:val="18"/>
                <w:szCs w:val="18"/>
              </w:rPr>
            </w:pPr>
            <w:r w:rsidRPr="004C78D8">
              <w:rPr>
                <w:sz w:val="18"/>
                <w:szCs w:val="18"/>
              </w:rPr>
              <w:t>3</w:t>
            </w:r>
          </w:p>
        </w:tc>
      </w:tr>
      <w:tr w:rsidR="00BB094C" w:rsidRPr="004C78D8" w14:paraId="2F525C29" w14:textId="77777777" w:rsidTr="002828C1">
        <w:tc>
          <w:tcPr>
            <w:tcW w:w="695" w:type="pct"/>
          </w:tcPr>
          <w:p w14:paraId="32ADED59" w14:textId="77777777" w:rsidR="00BB094C" w:rsidRPr="004C78D8" w:rsidRDefault="00BB094C" w:rsidP="00FB7C1F">
            <w:pPr>
              <w:jc w:val="right"/>
              <w:rPr>
                <w:b/>
                <w:bCs/>
                <w:sz w:val="18"/>
                <w:szCs w:val="18"/>
              </w:rPr>
            </w:pPr>
            <w:r w:rsidRPr="004C78D8">
              <w:rPr>
                <w:b/>
                <w:bCs/>
                <w:sz w:val="18"/>
                <w:szCs w:val="18"/>
              </w:rPr>
              <w:t>Total (101)</w:t>
            </w:r>
          </w:p>
        </w:tc>
        <w:tc>
          <w:tcPr>
            <w:tcW w:w="769" w:type="pct"/>
            <w:tcBorders>
              <w:right w:val="nil"/>
            </w:tcBorders>
          </w:tcPr>
          <w:p w14:paraId="55774DF7" w14:textId="77777777" w:rsidR="00BB094C" w:rsidRPr="004C78D8" w:rsidRDefault="00BB094C" w:rsidP="00FB7C1F">
            <w:pPr>
              <w:jc w:val="left"/>
              <w:rPr>
                <w:sz w:val="18"/>
                <w:szCs w:val="18"/>
              </w:rPr>
            </w:pPr>
          </w:p>
        </w:tc>
        <w:tc>
          <w:tcPr>
            <w:tcW w:w="232" w:type="pct"/>
            <w:tcBorders>
              <w:left w:val="nil"/>
            </w:tcBorders>
          </w:tcPr>
          <w:p w14:paraId="5CF6E661" w14:textId="77777777" w:rsidR="00BB094C" w:rsidRPr="004C78D8" w:rsidRDefault="00BB094C" w:rsidP="00FB7C1F">
            <w:pPr>
              <w:jc w:val="left"/>
              <w:rPr>
                <w:sz w:val="18"/>
                <w:szCs w:val="18"/>
              </w:rPr>
            </w:pPr>
            <w:r w:rsidRPr="004C78D8">
              <w:rPr>
                <w:sz w:val="18"/>
                <w:szCs w:val="18"/>
              </w:rPr>
              <w:t>7</w:t>
            </w:r>
          </w:p>
        </w:tc>
        <w:tc>
          <w:tcPr>
            <w:tcW w:w="924" w:type="pct"/>
            <w:tcBorders>
              <w:right w:val="nil"/>
            </w:tcBorders>
          </w:tcPr>
          <w:p w14:paraId="06F0F56D" w14:textId="77777777" w:rsidR="00BB094C" w:rsidRPr="004C78D8" w:rsidRDefault="00BB094C" w:rsidP="00FB7C1F">
            <w:pPr>
              <w:jc w:val="left"/>
              <w:rPr>
                <w:sz w:val="18"/>
                <w:szCs w:val="18"/>
              </w:rPr>
            </w:pPr>
          </w:p>
        </w:tc>
        <w:tc>
          <w:tcPr>
            <w:tcW w:w="236" w:type="pct"/>
            <w:tcBorders>
              <w:left w:val="nil"/>
            </w:tcBorders>
          </w:tcPr>
          <w:p w14:paraId="6504166F" w14:textId="77777777" w:rsidR="00BB094C" w:rsidRPr="004C78D8" w:rsidRDefault="00BB094C" w:rsidP="00FB7C1F">
            <w:pPr>
              <w:jc w:val="left"/>
              <w:rPr>
                <w:sz w:val="18"/>
                <w:szCs w:val="18"/>
              </w:rPr>
            </w:pPr>
            <w:r w:rsidRPr="004C78D8">
              <w:rPr>
                <w:sz w:val="18"/>
                <w:szCs w:val="18"/>
              </w:rPr>
              <w:t>29</w:t>
            </w:r>
          </w:p>
        </w:tc>
        <w:tc>
          <w:tcPr>
            <w:tcW w:w="847" w:type="pct"/>
            <w:tcBorders>
              <w:right w:val="nil"/>
            </w:tcBorders>
          </w:tcPr>
          <w:p w14:paraId="68DD973C" w14:textId="77777777" w:rsidR="00BB094C" w:rsidRPr="004C78D8" w:rsidRDefault="00BB094C" w:rsidP="00FB7C1F">
            <w:pPr>
              <w:jc w:val="left"/>
              <w:rPr>
                <w:sz w:val="18"/>
                <w:szCs w:val="18"/>
              </w:rPr>
            </w:pPr>
          </w:p>
        </w:tc>
        <w:tc>
          <w:tcPr>
            <w:tcW w:w="220" w:type="pct"/>
            <w:tcBorders>
              <w:left w:val="nil"/>
            </w:tcBorders>
          </w:tcPr>
          <w:p w14:paraId="17FFBCC1" w14:textId="77777777" w:rsidR="00BB094C" w:rsidRPr="004C78D8" w:rsidRDefault="00BB094C" w:rsidP="00FB7C1F">
            <w:pPr>
              <w:jc w:val="left"/>
              <w:rPr>
                <w:sz w:val="18"/>
                <w:szCs w:val="18"/>
              </w:rPr>
            </w:pPr>
            <w:r w:rsidRPr="004C78D8">
              <w:rPr>
                <w:sz w:val="18"/>
                <w:szCs w:val="18"/>
              </w:rPr>
              <w:t>16</w:t>
            </w:r>
          </w:p>
        </w:tc>
        <w:tc>
          <w:tcPr>
            <w:tcW w:w="862" w:type="pct"/>
            <w:tcBorders>
              <w:right w:val="nil"/>
            </w:tcBorders>
          </w:tcPr>
          <w:p w14:paraId="48F8F76D" w14:textId="77777777" w:rsidR="00BB094C" w:rsidRPr="004C78D8" w:rsidRDefault="00BB094C" w:rsidP="00FB7C1F">
            <w:pPr>
              <w:jc w:val="left"/>
              <w:rPr>
                <w:sz w:val="18"/>
                <w:szCs w:val="18"/>
              </w:rPr>
            </w:pPr>
          </w:p>
        </w:tc>
        <w:tc>
          <w:tcPr>
            <w:tcW w:w="216" w:type="pct"/>
            <w:tcBorders>
              <w:left w:val="nil"/>
            </w:tcBorders>
          </w:tcPr>
          <w:p w14:paraId="1238FD19" w14:textId="77777777" w:rsidR="00BB094C" w:rsidRPr="004C78D8" w:rsidRDefault="00BB094C" w:rsidP="00FB7C1F">
            <w:pPr>
              <w:jc w:val="left"/>
              <w:rPr>
                <w:sz w:val="18"/>
                <w:szCs w:val="18"/>
              </w:rPr>
            </w:pPr>
            <w:r w:rsidRPr="004C78D8">
              <w:rPr>
                <w:sz w:val="18"/>
                <w:szCs w:val="18"/>
              </w:rPr>
              <w:t>49</w:t>
            </w:r>
          </w:p>
        </w:tc>
      </w:tr>
      <w:tr w:rsidR="00BB094C" w:rsidRPr="004C78D8" w14:paraId="753BD3A4" w14:textId="77777777" w:rsidTr="002828C1">
        <w:tc>
          <w:tcPr>
            <w:tcW w:w="5000" w:type="pct"/>
            <w:gridSpan w:val="9"/>
          </w:tcPr>
          <w:p w14:paraId="05A64D97" w14:textId="03D3981B" w:rsidR="00BB094C" w:rsidRPr="004C78D8" w:rsidRDefault="00BB094C" w:rsidP="00FB7C1F">
            <w:pPr>
              <w:rPr>
                <w:sz w:val="18"/>
                <w:szCs w:val="18"/>
              </w:rPr>
            </w:pPr>
            <w:r w:rsidRPr="004C78D8">
              <w:rPr>
                <w:b/>
                <w:bCs/>
                <w:sz w:val="18"/>
                <w:szCs w:val="18"/>
              </w:rPr>
              <w:t>A</w:t>
            </w:r>
            <w:r w:rsidR="00042035" w:rsidRPr="004C78D8">
              <w:rPr>
                <w:b/>
                <w:bCs/>
                <w:sz w:val="18"/>
                <w:szCs w:val="18"/>
              </w:rPr>
              <w:t>bbreviation</w:t>
            </w:r>
            <w:r w:rsidRPr="004C78D8">
              <w:rPr>
                <w:b/>
                <w:bCs/>
                <w:sz w:val="18"/>
                <w:szCs w:val="18"/>
              </w:rPr>
              <w:t>:</w:t>
            </w:r>
            <w:r w:rsidRPr="004C78D8">
              <w:rPr>
                <w:sz w:val="18"/>
                <w:szCs w:val="18"/>
              </w:rPr>
              <w:t xml:space="preserve"> CSP: Chartered Society of Physiotherapy; FRA: falls risk assessment; HAM: home assessment and modification; MC int.: multiple-component intervention; MF int.: multifactorial intervention; OMAS: Ontario Medical Advisory Secretariat; PHE: Public Health England; RCN: Royal College of Nursing</w:t>
            </w:r>
          </w:p>
          <w:p w14:paraId="57FB5246" w14:textId="104CB885" w:rsidR="00BB094C" w:rsidRPr="004C78D8" w:rsidRDefault="00042035" w:rsidP="00FB7C1F">
            <w:pPr>
              <w:rPr>
                <w:sz w:val="18"/>
                <w:szCs w:val="18"/>
              </w:rPr>
            </w:pPr>
            <w:r w:rsidRPr="004C78D8">
              <w:rPr>
                <w:sz w:val="18"/>
                <w:szCs w:val="18"/>
                <w:vertAlign w:val="superscript"/>
              </w:rPr>
              <w:t>1</w:t>
            </w:r>
            <w:r w:rsidR="00BB094C" w:rsidRPr="004C78D8">
              <w:rPr>
                <w:sz w:val="18"/>
                <w:szCs w:val="18"/>
              </w:rPr>
              <w:t xml:space="preserve"> See Table </w:t>
            </w:r>
            <w:r w:rsidR="00772C3D" w:rsidRPr="004C78D8">
              <w:rPr>
                <w:sz w:val="18"/>
                <w:szCs w:val="18"/>
              </w:rPr>
              <w:t>4</w:t>
            </w:r>
            <w:r w:rsidRPr="004C78D8">
              <w:rPr>
                <w:sz w:val="18"/>
                <w:szCs w:val="18"/>
              </w:rPr>
              <w:t>.</w:t>
            </w:r>
            <w:r w:rsidR="00BB094C" w:rsidRPr="004C78D8">
              <w:rPr>
                <w:sz w:val="18"/>
                <w:szCs w:val="18"/>
              </w:rPr>
              <w:t>2 for study references. Number of intervention form is one unless specified.</w:t>
            </w:r>
          </w:p>
          <w:p w14:paraId="5F903F03" w14:textId="68E579A8" w:rsidR="00BB094C" w:rsidRPr="004C78D8" w:rsidRDefault="00042035" w:rsidP="00FB7C1F">
            <w:pPr>
              <w:rPr>
                <w:sz w:val="18"/>
                <w:szCs w:val="18"/>
              </w:rPr>
            </w:pPr>
            <w:r w:rsidRPr="004C78D8">
              <w:rPr>
                <w:sz w:val="18"/>
                <w:szCs w:val="18"/>
                <w:vertAlign w:val="superscript"/>
              </w:rPr>
              <w:t>2</w:t>
            </w:r>
            <w:r w:rsidR="00BB094C" w:rsidRPr="004C78D8">
              <w:rPr>
                <w:sz w:val="18"/>
                <w:szCs w:val="18"/>
              </w:rPr>
              <w:t xml:space="preserve"> For all-cause, not fall-related, hospital inpatients.</w:t>
            </w:r>
          </w:p>
          <w:p w14:paraId="3BCE5265" w14:textId="2BBC5C2B" w:rsidR="00BB094C" w:rsidRPr="004C78D8" w:rsidRDefault="00042035" w:rsidP="00FB7C1F">
            <w:pPr>
              <w:rPr>
                <w:sz w:val="18"/>
                <w:szCs w:val="18"/>
              </w:rPr>
            </w:pPr>
            <w:r w:rsidRPr="004C78D8">
              <w:rPr>
                <w:sz w:val="18"/>
                <w:szCs w:val="18"/>
                <w:vertAlign w:val="superscript"/>
              </w:rPr>
              <w:t>3</w:t>
            </w:r>
            <w:r w:rsidR="00BB094C" w:rsidRPr="004C78D8">
              <w:rPr>
                <w:sz w:val="18"/>
                <w:szCs w:val="18"/>
              </w:rPr>
              <w:t xml:space="preserve"> In alternative intervention scenario.</w:t>
            </w:r>
          </w:p>
        </w:tc>
      </w:tr>
    </w:tbl>
    <w:p w14:paraId="008C73BF" w14:textId="13C5C6AA" w:rsidR="00BB094C" w:rsidRPr="004C78D8" w:rsidRDefault="00BB094C" w:rsidP="00FB7C1F"/>
    <w:p w14:paraId="25632F04" w14:textId="4E4630BE" w:rsidR="00396A31" w:rsidRPr="004C78D8" w:rsidRDefault="00396A31" w:rsidP="00FB7C1F">
      <w:r w:rsidRPr="004C78D8">
        <w:t xml:space="preserve">Models with unclear access pathways frequently failed to mention how specific groups eligible for intervention were identified and recruited. For example, Church (2012) evaluated group exercise, HAM, and multifactorial intervention given to the high falls risk subgroup within the target population but did not mention how this subgroup would be identified; it </w:t>
      </w:r>
      <w:r w:rsidR="00176D14" w:rsidRPr="004C78D8">
        <w:t>also</w:t>
      </w:r>
      <w:r w:rsidRPr="004C78D8">
        <w:t xml:space="preserve"> failed to mention how specific patient groups for cataract surgery, psychotropic medication withdrawal, and cardiac pacing would be identified.</w:t>
      </w:r>
    </w:p>
    <w:p w14:paraId="065967EE" w14:textId="271CDCFB" w:rsidR="00396A31" w:rsidRPr="004C78D8" w:rsidRDefault="00396A31" w:rsidP="00FB7C1F">
      <w:r w:rsidRPr="004C78D8">
        <w:t>Three models considered multiple pathways for the same intervention. Eldridge (2005) evaluated a falls risk screening and referral programme that encompassed all three pathways operating in tandem: falls patients at A&amp;E and hospital would be screened by the falls risk assessment tool (FRAT) and referred to a multidisciplinary falls clinic (reactive pathway); primary care professionals would screen and refer high-risk individuals to the falls clinic or bi-disciplinary treatment (proactive); the low-risk individuals not referred could still self-refer to the bi-disciplinary treatment (self-referred). In Nshimyumukiza (2013), vitamin D and calcium supplementation could be initiated proactively after fracture risk screening or reactively after fracture incidence. Wilson (2017) evaluated a self-referred HAM in the base case and a proactive HAM (targeted at those with MA falls history) as an alternative scenario.</w:t>
      </w:r>
    </w:p>
    <w:p w14:paraId="19564774" w14:textId="6A4F790A" w:rsidR="00396A31" w:rsidRPr="004C78D8" w:rsidRDefault="00772C3D" w:rsidP="00FB7C1F">
      <w:pPr>
        <w:pStyle w:val="Heading4"/>
      </w:pPr>
      <w:r w:rsidRPr="004C78D8">
        <w:lastRenderedPageBreak/>
        <w:t>4</w:t>
      </w:r>
      <w:r w:rsidR="00396A31" w:rsidRPr="004C78D8">
        <w:t>.5.2.2 Falls risk screening</w:t>
      </w:r>
    </w:p>
    <w:p w14:paraId="7C4D9778" w14:textId="6A98ACBD" w:rsidR="00396A31" w:rsidRPr="004C78D8" w:rsidRDefault="002E513C" w:rsidP="00FB7C1F">
      <w:r w:rsidRPr="004C78D8">
        <w:t>Falls risk screening is required to identify subgroups within target population eligible for intervention or specific risk/patient groups serving as the target population itself. Four methods were used to model the screening process: (i) using primary data to assign individual-level distribution of falls risk factors; (ii) using external data to assign cohort-level distribution of falls risk factors; (iii) using external data on screening efficacy (i.e., sensitivity and specificity) without assigning distributions; and (iv) incorporating screening cost only. Two models used (i): Eldridge (2005) used primary survey data to estimate falls risk according to FRAT; Smith (2016) used routine data to predict falls risk. Three used (ii): Lee (2013) assigned age- and sex-stratified prevalence of vitamin D insufficiency; Zarca (2014) a lognormal distribution of vitamin D level; and Nshimyumukiza (2013) a distribution of BMD level. Screening detected (with perfect precision) vitamin D or BMD insufficiency for intervention referrals.</w:t>
      </w:r>
    </w:p>
    <w:p w14:paraId="7E27CB30" w14:textId="4567A19F" w:rsidR="0025223A" w:rsidRPr="004C78D8" w:rsidRDefault="0025223A" w:rsidP="00FB7C1F">
      <w:r w:rsidRPr="004C78D8">
        <w:t xml:space="preserve">Two used (iii): CSP (2016) assumed that the sensitivity and specificity of </w:t>
      </w:r>
      <w:r w:rsidR="00176D14" w:rsidRPr="004C78D8">
        <w:t xml:space="preserve">the </w:t>
      </w:r>
      <w:r w:rsidRPr="004C78D8">
        <w:t xml:space="preserve">TUG test were both 87% regardless of the underlying distribution of gait/balance impairment; following screening, the 11% highest risk individuals from each five-year age group were referred to physiotherapy. The latter assumption is problematic given that older age groups likely have higher proportions of high-risk individuals (unless the test cut-off levels varied across age groups). Franklin (2019) similarly incorporated fixed efficacies for TUG and quantitative TUG (QTUG) without modelling the underlying gait/balance distribution. A disadvantage of this approach is that subgroup variation in the joint distributions of diverse falls risk factors would introduce subgroup differences in the screening efficacy not explored by Franklin (2019). Seven used (iv) </w:t>
      </w:r>
      <w:r w:rsidRPr="004C78D8">
        <w:fldChar w:fldCharType="begin">
          <w:fldData xml:space="preserve">PEVuZE5vdGU+PENpdGU+PEF1dGhvcj5IaWxpZ3NtYW5uPC9BdXRob3I+PFllYXI+MjAxNDwvWWVh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</w:fldData>
        </w:fldChar>
      </w:r>
      <w:r w:rsidR="00C630FC" w:rsidRPr="004C78D8">
        <w:instrText xml:space="preserve"> ADDIN EN.CITE </w:instrText>
      </w:r>
      <w:r w:rsidR="00C630FC" w:rsidRPr="004C78D8">
        <w:fldChar w:fldCharType="begin">
          <w:fldData xml:space="preserve">PEVuZE5vdGU+PENpdGU+PEF1dGhvcj5IaWxpZ3NtYW5uPC9BdXRob3I+PFllYXI+MjAxNDwvWWVh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[146, 167, 343, 347-350]</w:t>
      </w:r>
      <w:r w:rsidRPr="004C78D8">
        <w:fldChar w:fldCharType="end"/>
      </w:r>
      <w:r w:rsidRPr="004C78D8">
        <w:t>: e.g., RCN (2005) included the cost of identifying eligible high-risk individuals.</w:t>
      </w:r>
    </w:p>
    <w:p w14:paraId="6B0337DA" w14:textId="05E373B7" w:rsidR="0025223A" w:rsidRPr="004C78D8" w:rsidRDefault="00602B46" w:rsidP="00FB7C1F">
      <w:pPr>
        <w:pStyle w:val="Heading4"/>
      </w:pPr>
      <w:r w:rsidRPr="004C78D8">
        <w:t>4</w:t>
      </w:r>
      <w:r w:rsidR="0025223A" w:rsidRPr="004C78D8">
        <w:t>.5.2.3 Intervention resource-use and cost</w:t>
      </w:r>
    </w:p>
    <w:p w14:paraId="457B74AC" w14:textId="4637128A" w:rsidR="0025223A" w:rsidRPr="004C78D8" w:rsidRDefault="00D15999" w:rsidP="00FB7C1F">
      <w:r w:rsidRPr="004C78D8">
        <w:t xml:space="preserve">Table </w:t>
      </w:r>
      <w:r w:rsidR="00602B46" w:rsidRPr="004C78D8">
        <w:t>4</w:t>
      </w:r>
      <w:r w:rsidRPr="004C78D8">
        <w:t xml:space="preserve">.9 summarises the intervention resource-use and cost from the public sector perspective (see Section </w:t>
      </w:r>
      <w:r w:rsidR="00602B46" w:rsidRPr="004C78D8">
        <w:t>4</w:t>
      </w:r>
      <w:r w:rsidRPr="004C78D8">
        <w:t xml:space="preserve">.5.3.1 for societal intervention costs). The resources are divided into auxiliary resources facilitating implementation and resources generating therapeutic effects. Exercise and multiple-component interventions were most likely to incorporate these auxiliary resources: e.g., marketing to assist exercise uptake </w:t>
      </w:r>
      <w:r w:rsidRPr="004C78D8">
        <w:fldChar w:fldCharType="begin">
          <w:fldData xml:space="preserve">PEVuZE5vdGU+PENpdGU+PEF1dGhvcj5DYXJhbmRlLUt1bGlzPC9BdXRob3I+PFllYXI+MjAxNTwv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</w:fldData>
        </w:fldChar>
      </w:r>
      <w:r w:rsidR="00C630FC" w:rsidRPr="004C78D8">
        <w:instrText xml:space="preserve"> ADDIN EN.CITE </w:instrText>
      </w:r>
      <w:r w:rsidR="00C630FC" w:rsidRPr="004C78D8">
        <w:fldChar w:fldCharType="begin">
          <w:fldData xml:space="preserve">PEVuZE5vdGU+PENpdGU+PEF1dGhvcj5DYXJhbmRlLUt1bGlzPC9BdXRob3I+PFllYXI+MjAxNTwv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[358]</w:t>
      </w:r>
      <w:r w:rsidRPr="004C78D8">
        <w:fldChar w:fldCharType="end"/>
      </w:r>
      <w:r w:rsidRPr="004C78D8">
        <w:t xml:space="preserve">. </w:t>
      </w:r>
      <w:r w:rsidR="006D7328" w:rsidRPr="004C78D8">
        <w:t>Regarding auxiliary resources for f</w:t>
      </w:r>
      <w:r w:rsidRPr="004C78D8">
        <w:t>alls risk screening</w:t>
      </w:r>
      <w:r w:rsidR="006D7328" w:rsidRPr="004C78D8">
        <w:t>, t</w:t>
      </w:r>
      <w:r w:rsidRPr="004C78D8">
        <w:t xml:space="preserve">wo models failed to cost their screening tools </w:t>
      </w:r>
      <w:r w:rsidRPr="004C78D8">
        <w:fldChar w:fldCharType="begin">
          <w:fldData xml:space="preserve">PEVuZE5vdGU+PENpdGU+PEF1dGhvcj5TbWl0aDwvQXV0aG9yPjxZZWFyPjIwMTY8L1llYXI+PFJl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</w:fldData>
        </w:fldChar>
      </w:r>
      <w:r w:rsidR="00C630FC" w:rsidRPr="004C78D8">
        <w:instrText xml:space="preserve"> ADDIN EN.CITE </w:instrText>
      </w:r>
      <w:r w:rsidR="00C630FC" w:rsidRPr="004C78D8">
        <w:fldChar w:fldCharType="begin">
          <w:fldData xml:space="preserve">PEVuZE5vdGU+PENpdGU+PEF1dGhvcj5TbWl0aDwvQXV0aG9yPjxZZWFyPjIwMTY8L1llYXI+PFJl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[44, 359]</w:t>
      </w:r>
      <w:r w:rsidRPr="004C78D8">
        <w:fldChar w:fldCharType="end"/>
      </w:r>
      <w:r w:rsidRPr="004C78D8">
        <w:t xml:space="preserve">. Three models included set-up costs </w:t>
      </w:r>
      <w:r w:rsidRPr="004C78D8">
        <w:fldChar w:fldCharType="begin">
          <w:fldData xml:space="preserve">PEVuZE5vdGU+PENpdGU+PEF1dGhvcj5GcmFua2xpbjwvQXV0aG9yPjxZZWFyPjIwMTk8L1llYXI+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</w:fldData>
        </w:fldChar>
      </w:r>
      <w:r w:rsidR="00C630FC" w:rsidRPr="004C78D8">
        <w:instrText xml:space="preserve"> ADDIN EN.CITE </w:instrText>
      </w:r>
      <w:r w:rsidR="00C630FC" w:rsidRPr="004C78D8">
        <w:fldChar w:fldCharType="begin">
          <w:fldData xml:space="preserve">PEVuZE5vdGU+PENpdGU+PEF1dGhvcj5GcmFua2xpbjwvQXV0aG9yPjxZZWFyPjIwMTk8L1llYXI+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[274, 342, 363]</w:t>
      </w:r>
      <w:r w:rsidRPr="004C78D8">
        <w:fldChar w:fldCharType="end"/>
      </w:r>
      <w:r w:rsidRPr="004C78D8">
        <w:t>. There were noticeable between-study variations in resource incorporation for each intervention type.</w:t>
      </w:r>
    </w:p>
    <w:p w14:paraId="3FB42F33" w14:textId="020EDDFC" w:rsidR="00D15999" w:rsidRPr="004C78D8" w:rsidRDefault="00E75956" w:rsidP="00FB7C1F">
      <w:r w:rsidRPr="004C78D8">
        <w:t xml:space="preserve">Therapeutic resources included labour, training, transport, venue and overheads, and health technology and equipment. Labour was the most widely costed resource, including labour performed by nonprofessional volunteers and reimbursed by the public sector </w:t>
      </w:r>
      <w:r w:rsidRPr="004C78D8">
        <w:fldChar w:fldCharType="begin">
          <w:fldData xml:space="preserve">PEVuZE5vdGU+PENpdGU+PEF1dGhvcj5BbGJlcnQ8L0F1dGhvcj48WWVhcj4yMDE2PC9ZZWFyPjxS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</w:fldData>
        </w:fldChar>
      </w:r>
      <w:r w:rsidR="00C630FC" w:rsidRPr="004C78D8">
        <w:instrText xml:space="preserve"> ADDIN EN.CITE </w:instrText>
      </w:r>
      <w:r w:rsidR="00C630FC" w:rsidRPr="004C78D8">
        <w:fldChar w:fldCharType="begin">
          <w:fldData xml:space="preserve">PEVuZE5vdGU+PENpdGU+PEF1dGhvcj5BbGJlcnQ8L0F1dGhvcj48WWVhcj4yMDE2PC9ZZWFyPjxS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[200, 342, 354, 361]</w:t>
      </w:r>
      <w:r w:rsidRPr="004C78D8">
        <w:fldChar w:fldCharType="end"/>
      </w:r>
      <w:r w:rsidRPr="004C78D8">
        <w:t xml:space="preserve">. Models evaluating technology-based interventions such as hip protector and gait stabiliser tended to neglect the cost of contributory labour </w:t>
      </w:r>
      <w:r w:rsidRPr="004C78D8">
        <w:fldChar w:fldCharType="begin">
          <w:fldData xml:space="preserve">PEVuZE5vdGU+PENpdGU+PEF1dGhvcj5PbnRhcmlvIE1lZGljYWwgQWR2aXNvcnkgU2VjcmV0YXJp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</w:fldData>
        </w:fldChar>
      </w:r>
      <w:r w:rsidR="00C630FC" w:rsidRPr="004C78D8">
        <w:instrText xml:space="preserve"> ADDIN EN.CITE </w:instrText>
      </w:r>
      <w:r w:rsidR="00C630FC" w:rsidRPr="004C78D8">
        <w:fldChar w:fldCharType="begin">
          <w:fldData xml:space="preserve">PEVuZE5vdGU+PENpdGU+PEF1dGhvcj5PbnRhcmlvIE1lZGljYWwgQWR2aXNvcnkgU2VjcmV0YXJp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[318, 336, 345, 347, 356, 365-367]</w:t>
      </w:r>
      <w:r w:rsidRPr="004C78D8">
        <w:fldChar w:fldCharType="end"/>
      </w:r>
      <w:r w:rsidRPr="004C78D8">
        <w:t xml:space="preserve">. Training costs were concentrated in exercise interventions; only three non-exercise evaluations incorporated them </w:t>
      </w:r>
      <w:r w:rsidRPr="004C78D8">
        <w:fldChar w:fldCharType="begin">
          <w:fldData xml:space="preserve">PEVuZE5vdGU+PENpdGU+PEF1dGhvcj5BbGJlcnQ8L0F1dGhvcj48WWVhcj4yMDE2PC9ZZWFyPjxS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</w:fldData>
        </w:fldChar>
      </w:r>
      <w:r w:rsidR="00C630FC" w:rsidRPr="004C78D8">
        <w:instrText xml:space="preserve"> ADDIN EN.CITE </w:instrText>
      </w:r>
      <w:r w:rsidR="00C630FC" w:rsidRPr="004C78D8">
        <w:fldChar w:fldCharType="begin">
          <w:fldData xml:space="preserve">PEVuZE5vdGU+PENpdGU+PEF1dGhvcj5BbGJlcnQ8L0F1dGhvcj48WWVhcj4yMDE2PC9ZZWFyPjxS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[342, 354, 358]</w:t>
      </w:r>
      <w:r w:rsidRPr="004C78D8">
        <w:fldChar w:fldCharType="end"/>
      </w:r>
      <w:r w:rsidRPr="004C78D8">
        <w:t>. Staff transport costs were concentrated in models evaluating exercise, HAM, and multifactorial intervention. Venue costs and overheads were generally included as simple supplements to per-participant labour cost: e.g., Frick (2010) increased the labour cost by 50% to account for overheads; Velde (2008) by 72%. All intervention types required some technology and equipment; yet not all models detailed or costed them. For example, Frick (2010) costed the labour but not the equipment for HAM.</w:t>
      </w:r>
    </w:p>
    <w:p w14:paraId="7DBDD08D" w14:textId="756F460D" w:rsidR="00E05B22" w:rsidRPr="004C78D8" w:rsidRDefault="00E75956" w:rsidP="00FB7C1F">
      <w:r w:rsidRPr="004C78D8">
        <w:t xml:space="preserve">In costing the interventions, preserving the distinction between fixed and variable (i.e., per-participant) costs had a significant impact on results. For example, Eldridge (2005) incorporated the fixed cost in running the falls clinic which, under a low uptake rate (6.5% of eligible population), increased the per-participant cost and reduced the cost-effectiveness. Likewise, Comans (2009) included annual fixed cost of multifactorial intervention, which determined the uptake rate required to break-even financially. Despite this, 36 (78.3%) models only incorporated per-participant costs, some deliberately translating fixed costs into per-participant rates </w:t>
      </w:r>
      <w:r w:rsidRPr="004C78D8">
        <w:fldChar w:fldCharType="begin">
          <w:fldData xml:space="preserve">PEVuZE5vdGU+PENpdGU+PEF1dGhvcj5EYXk8L0F1dGhvcj48WWVhcj4yMDA5PC9ZZWFyPjxSZWNO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</w:fldData>
        </w:fldChar>
      </w:r>
      <w:r w:rsidR="00C630FC" w:rsidRPr="004C78D8">
        <w:instrText xml:space="preserve"> ADDIN EN.CITE </w:instrText>
      </w:r>
      <w:r w:rsidR="00C630FC" w:rsidRPr="004C78D8">
        <w:fldChar w:fldCharType="begin">
          <w:fldData xml:space="preserve">PEVuZE5vdGU+PENpdGU+PEF1dGhvcj5EYXk8L0F1dGhvcj48WWVhcj4yMDA5PC9ZZWFyPjxSZWNO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[167, 206, 342, 353]</w:t>
      </w:r>
      <w:r w:rsidRPr="004C78D8">
        <w:fldChar w:fldCharType="end"/>
      </w:r>
      <w:r w:rsidRPr="004C78D8">
        <w:t>.</w:t>
      </w:r>
    </w:p>
    <w:p w14:paraId="035798A6" w14:textId="77777777" w:rsidR="00E05B22" w:rsidRPr="004C78D8" w:rsidRDefault="00E05B22" w:rsidP="00FB7C1F">
      <w:pPr>
        <w:sectPr w:rsidR="00E05B22" w:rsidRPr="004C78D8">
          <w:pgSz w:w="11906" w:h="16838"/>
          <w:pgMar w:top="1440" w:right="1440" w:bottom="1440" w:left="1440" w:header="708" w:footer="708" w:gutter="0"/>
          <w:cols w:space="708"/>
          <w:docGrid w:linePitch="360"/>
        </w:sectPr>
      </w:pPr>
    </w:p>
    <w:tbl>
      <w:tblPr>
        <w:tblStyle w:val="TableGrid"/>
        <w:tblW w:w="5000" w:type="pct"/>
        <w:tblLook w:val="04A0" w:firstRow="1" w:lastRow="0" w:firstColumn="1" w:lastColumn="0" w:noHBand="0" w:noVBand="1"/>
      </w:tblPr>
      <w:tblGrid>
        <w:gridCol w:w="1846"/>
        <w:gridCol w:w="2134"/>
        <w:gridCol w:w="711"/>
        <w:gridCol w:w="1138"/>
        <w:gridCol w:w="996"/>
        <w:gridCol w:w="999"/>
        <w:gridCol w:w="854"/>
        <w:gridCol w:w="854"/>
        <w:gridCol w:w="996"/>
        <w:gridCol w:w="996"/>
        <w:gridCol w:w="1283"/>
        <w:gridCol w:w="1141"/>
      </w:tblGrid>
      <w:tr w:rsidR="0025223A" w:rsidRPr="004C78D8" w14:paraId="2C52D424" w14:textId="77777777" w:rsidTr="002828C1">
        <w:tc>
          <w:tcPr>
            <w:tcW w:w="5000" w:type="pct"/>
            <w:gridSpan w:val="12"/>
          </w:tcPr>
          <w:p w14:paraId="172CCA1F" w14:textId="49CF00BE" w:rsidR="0025223A" w:rsidRPr="004C78D8" w:rsidRDefault="0025223A" w:rsidP="00FB7C1F">
            <w:pPr>
              <w:jc w:val="left"/>
            </w:pPr>
            <w:r w:rsidRPr="004C78D8">
              <w:rPr>
                <w:b/>
                <w:bCs/>
              </w:rPr>
              <w:lastRenderedPageBreak/>
              <w:t xml:space="preserve">Table </w:t>
            </w:r>
            <w:r w:rsidR="00602B46" w:rsidRPr="004C78D8">
              <w:rPr>
                <w:b/>
                <w:bCs/>
              </w:rPr>
              <w:t>4</w:t>
            </w:r>
            <w:r w:rsidRPr="004C78D8">
              <w:rPr>
                <w:b/>
                <w:bCs/>
              </w:rPr>
              <w:t>.9</w:t>
            </w:r>
            <w:r w:rsidRPr="004C78D8">
              <w:t xml:space="preserve"> Intervention resource-use and cost from the public sector perspective in included decision models.</w:t>
            </w:r>
          </w:p>
        </w:tc>
      </w:tr>
      <w:tr w:rsidR="0025223A" w:rsidRPr="004C78D8" w14:paraId="3C647235" w14:textId="77777777" w:rsidTr="002828C1">
        <w:tc>
          <w:tcPr>
            <w:tcW w:w="662" w:type="pct"/>
            <w:tcBorders>
              <w:right w:val="nil"/>
            </w:tcBorders>
          </w:tcPr>
          <w:p w14:paraId="00A12A7F" w14:textId="77777777" w:rsidR="0025223A" w:rsidRPr="004C78D8" w:rsidRDefault="0025223A" w:rsidP="00FB7C1F">
            <w:pPr>
              <w:jc w:val="left"/>
              <w:rPr>
                <w:sz w:val="20"/>
                <w:szCs w:val="20"/>
              </w:rPr>
            </w:pPr>
          </w:p>
        </w:tc>
        <w:tc>
          <w:tcPr>
            <w:tcW w:w="765" w:type="pct"/>
            <w:tcBorders>
              <w:left w:val="nil"/>
            </w:tcBorders>
          </w:tcPr>
          <w:p w14:paraId="41E7ED34" w14:textId="77777777" w:rsidR="0025223A" w:rsidRPr="004C78D8" w:rsidRDefault="0025223A" w:rsidP="00FB7C1F">
            <w:pPr>
              <w:jc w:val="left"/>
              <w:rPr>
                <w:sz w:val="20"/>
                <w:szCs w:val="20"/>
              </w:rPr>
            </w:pPr>
          </w:p>
        </w:tc>
        <w:tc>
          <w:tcPr>
            <w:tcW w:w="1378" w:type="pct"/>
            <w:gridSpan w:val="4"/>
          </w:tcPr>
          <w:p w14:paraId="7983BE07" w14:textId="034571B2" w:rsidR="0025223A" w:rsidRPr="004C78D8" w:rsidRDefault="0025223A" w:rsidP="00FB7C1F">
            <w:pPr>
              <w:jc w:val="center"/>
              <w:rPr>
                <w:b/>
                <w:bCs/>
                <w:sz w:val="20"/>
                <w:szCs w:val="20"/>
              </w:rPr>
            </w:pPr>
            <w:r w:rsidRPr="004C78D8">
              <w:rPr>
                <w:b/>
                <w:bCs/>
                <w:sz w:val="20"/>
                <w:szCs w:val="20"/>
              </w:rPr>
              <w:t>Auxiliary implementation resources</w:t>
            </w:r>
            <w:r w:rsidRPr="004C78D8">
              <w:rPr>
                <w:b/>
                <w:bCs/>
                <w:sz w:val="20"/>
                <w:szCs w:val="20"/>
                <w:vertAlign w:val="superscript"/>
              </w:rPr>
              <w:t>1</w:t>
            </w:r>
          </w:p>
        </w:tc>
        <w:tc>
          <w:tcPr>
            <w:tcW w:w="1786" w:type="pct"/>
            <w:gridSpan w:val="5"/>
          </w:tcPr>
          <w:p w14:paraId="4E1E0B8D" w14:textId="72A1B1A2" w:rsidR="0025223A" w:rsidRPr="004C78D8" w:rsidRDefault="0025223A" w:rsidP="00FB7C1F">
            <w:pPr>
              <w:jc w:val="center"/>
              <w:rPr>
                <w:b/>
                <w:bCs/>
                <w:sz w:val="20"/>
                <w:szCs w:val="20"/>
              </w:rPr>
            </w:pPr>
            <w:r w:rsidRPr="004C78D8">
              <w:rPr>
                <w:b/>
                <w:bCs/>
                <w:sz w:val="20"/>
                <w:szCs w:val="20"/>
              </w:rPr>
              <w:t>Therapeutic resources</w:t>
            </w:r>
            <w:r w:rsidRPr="004C78D8">
              <w:rPr>
                <w:b/>
                <w:bCs/>
                <w:sz w:val="20"/>
                <w:szCs w:val="20"/>
                <w:vertAlign w:val="superscript"/>
              </w:rPr>
              <w:t>1</w:t>
            </w:r>
          </w:p>
        </w:tc>
        <w:tc>
          <w:tcPr>
            <w:tcW w:w="408" w:type="pct"/>
          </w:tcPr>
          <w:p w14:paraId="71AE078C" w14:textId="77777777" w:rsidR="0025223A" w:rsidRPr="004C78D8" w:rsidRDefault="0025223A" w:rsidP="00FB7C1F">
            <w:pPr>
              <w:jc w:val="center"/>
              <w:rPr>
                <w:b/>
                <w:bCs/>
                <w:sz w:val="20"/>
                <w:szCs w:val="20"/>
              </w:rPr>
            </w:pPr>
            <w:r w:rsidRPr="004C78D8">
              <w:rPr>
                <w:b/>
                <w:bCs/>
                <w:sz w:val="20"/>
                <w:szCs w:val="20"/>
              </w:rPr>
              <w:t>Cost</w:t>
            </w:r>
          </w:p>
        </w:tc>
      </w:tr>
      <w:tr w:rsidR="0025223A" w:rsidRPr="004C78D8" w14:paraId="480B2956" w14:textId="77777777" w:rsidTr="002828C1">
        <w:tc>
          <w:tcPr>
            <w:tcW w:w="662" w:type="pct"/>
            <w:vAlign w:val="bottom"/>
          </w:tcPr>
          <w:p w14:paraId="747E27E7" w14:textId="6E3AE09F" w:rsidR="0025223A" w:rsidRPr="004C78D8" w:rsidRDefault="0025223A" w:rsidP="00FB7C1F">
            <w:pPr>
              <w:jc w:val="left"/>
              <w:rPr>
                <w:b/>
                <w:bCs/>
                <w:sz w:val="20"/>
                <w:szCs w:val="20"/>
              </w:rPr>
            </w:pPr>
            <w:r w:rsidRPr="004C78D8">
              <w:rPr>
                <w:b/>
                <w:bCs/>
                <w:sz w:val="20"/>
                <w:szCs w:val="20"/>
              </w:rPr>
              <w:t>Study label</w:t>
            </w:r>
            <w:r w:rsidRPr="004C78D8">
              <w:rPr>
                <w:b/>
                <w:bCs/>
                <w:sz w:val="20"/>
                <w:szCs w:val="20"/>
                <w:vertAlign w:val="superscript"/>
              </w:rPr>
              <w:t>2</w:t>
            </w:r>
          </w:p>
        </w:tc>
        <w:tc>
          <w:tcPr>
            <w:tcW w:w="765" w:type="pct"/>
            <w:vAlign w:val="bottom"/>
          </w:tcPr>
          <w:p w14:paraId="26CDC227" w14:textId="77777777" w:rsidR="0025223A" w:rsidRPr="004C78D8" w:rsidRDefault="0025223A" w:rsidP="00FB7C1F">
            <w:pPr>
              <w:jc w:val="left"/>
              <w:rPr>
                <w:b/>
                <w:bCs/>
                <w:sz w:val="20"/>
                <w:szCs w:val="20"/>
              </w:rPr>
            </w:pPr>
            <w:r w:rsidRPr="004C78D8">
              <w:rPr>
                <w:b/>
                <w:bCs/>
                <w:sz w:val="20"/>
                <w:szCs w:val="20"/>
              </w:rPr>
              <w:t>Intervention</w:t>
            </w:r>
          </w:p>
        </w:tc>
        <w:tc>
          <w:tcPr>
            <w:tcW w:w="255" w:type="pct"/>
            <w:vAlign w:val="bottom"/>
          </w:tcPr>
          <w:p w14:paraId="3E9E281C" w14:textId="77777777" w:rsidR="0025223A" w:rsidRPr="004C78D8" w:rsidRDefault="0025223A" w:rsidP="00FB7C1F">
            <w:pPr>
              <w:jc w:val="left"/>
              <w:rPr>
                <w:sz w:val="18"/>
                <w:szCs w:val="18"/>
              </w:rPr>
            </w:pPr>
            <w:r w:rsidRPr="004C78D8">
              <w:rPr>
                <w:sz w:val="18"/>
                <w:szCs w:val="18"/>
              </w:rPr>
              <w:t>Initial access</w:t>
            </w:r>
          </w:p>
        </w:tc>
        <w:tc>
          <w:tcPr>
            <w:tcW w:w="408" w:type="pct"/>
            <w:vAlign w:val="bottom"/>
          </w:tcPr>
          <w:p w14:paraId="5475A11F" w14:textId="77777777" w:rsidR="0025223A" w:rsidRPr="004C78D8" w:rsidRDefault="0025223A" w:rsidP="00FB7C1F">
            <w:pPr>
              <w:jc w:val="left"/>
              <w:rPr>
                <w:sz w:val="18"/>
                <w:szCs w:val="18"/>
              </w:rPr>
            </w:pPr>
            <w:r w:rsidRPr="004C78D8">
              <w:rPr>
                <w:sz w:val="18"/>
                <w:szCs w:val="18"/>
              </w:rPr>
              <w:t>Compliance &amp; sustain.</w:t>
            </w:r>
          </w:p>
        </w:tc>
        <w:tc>
          <w:tcPr>
            <w:tcW w:w="357" w:type="pct"/>
            <w:vAlign w:val="bottom"/>
          </w:tcPr>
          <w:p w14:paraId="3FB31221" w14:textId="77777777" w:rsidR="0025223A" w:rsidRPr="004C78D8" w:rsidRDefault="0025223A" w:rsidP="00FB7C1F">
            <w:pPr>
              <w:jc w:val="left"/>
              <w:rPr>
                <w:sz w:val="18"/>
                <w:szCs w:val="18"/>
              </w:rPr>
            </w:pPr>
            <w:r w:rsidRPr="004C78D8">
              <w:rPr>
                <w:sz w:val="18"/>
                <w:szCs w:val="18"/>
              </w:rPr>
              <w:t>Falls risk screening</w:t>
            </w:r>
          </w:p>
        </w:tc>
        <w:tc>
          <w:tcPr>
            <w:tcW w:w="358" w:type="pct"/>
            <w:vAlign w:val="bottom"/>
          </w:tcPr>
          <w:p w14:paraId="53CB5D18" w14:textId="77777777" w:rsidR="0025223A" w:rsidRPr="004C78D8" w:rsidRDefault="0025223A" w:rsidP="00FB7C1F">
            <w:pPr>
              <w:jc w:val="left"/>
              <w:rPr>
                <w:sz w:val="18"/>
                <w:szCs w:val="18"/>
              </w:rPr>
            </w:pPr>
            <w:r w:rsidRPr="004C78D8">
              <w:rPr>
                <w:sz w:val="18"/>
                <w:szCs w:val="18"/>
              </w:rPr>
              <w:t>Set-up; other</w:t>
            </w:r>
          </w:p>
        </w:tc>
        <w:tc>
          <w:tcPr>
            <w:tcW w:w="306" w:type="pct"/>
            <w:vAlign w:val="bottom"/>
          </w:tcPr>
          <w:p w14:paraId="3BBF4B25" w14:textId="77777777" w:rsidR="0025223A" w:rsidRPr="004C78D8" w:rsidRDefault="0025223A" w:rsidP="00FB7C1F">
            <w:pPr>
              <w:jc w:val="left"/>
              <w:rPr>
                <w:sz w:val="18"/>
                <w:szCs w:val="18"/>
              </w:rPr>
            </w:pPr>
            <w:r w:rsidRPr="004C78D8">
              <w:rPr>
                <w:sz w:val="18"/>
                <w:szCs w:val="18"/>
              </w:rPr>
              <w:t>Staff labour</w:t>
            </w:r>
          </w:p>
        </w:tc>
        <w:tc>
          <w:tcPr>
            <w:tcW w:w="306" w:type="pct"/>
            <w:vAlign w:val="bottom"/>
          </w:tcPr>
          <w:p w14:paraId="34B293B9" w14:textId="77777777" w:rsidR="0025223A" w:rsidRPr="004C78D8" w:rsidRDefault="0025223A" w:rsidP="00FB7C1F">
            <w:pPr>
              <w:jc w:val="left"/>
              <w:rPr>
                <w:sz w:val="18"/>
                <w:szCs w:val="18"/>
              </w:rPr>
            </w:pPr>
            <w:r w:rsidRPr="004C78D8">
              <w:rPr>
                <w:sz w:val="18"/>
                <w:szCs w:val="18"/>
              </w:rPr>
              <w:t>Training</w:t>
            </w:r>
          </w:p>
        </w:tc>
        <w:tc>
          <w:tcPr>
            <w:tcW w:w="357" w:type="pct"/>
            <w:vAlign w:val="bottom"/>
          </w:tcPr>
          <w:p w14:paraId="41D9EC69" w14:textId="77777777" w:rsidR="0025223A" w:rsidRPr="004C78D8" w:rsidRDefault="0025223A" w:rsidP="00FB7C1F">
            <w:pPr>
              <w:jc w:val="left"/>
              <w:rPr>
                <w:sz w:val="18"/>
                <w:szCs w:val="18"/>
              </w:rPr>
            </w:pPr>
            <w:r w:rsidRPr="004C78D8">
              <w:rPr>
                <w:sz w:val="18"/>
                <w:szCs w:val="18"/>
              </w:rPr>
              <w:t>Staff transport</w:t>
            </w:r>
          </w:p>
        </w:tc>
        <w:tc>
          <w:tcPr>
            <w:tcW w:w="357" w:type="pct"/>
            <w:vAlign w:val="bottom"/>
          </w:tcPr>
          <w:p w14:paraId="604F4791" w14:textId="77777777" w:rsidR="0025223A" w:rsidRPr="004C78D8" w:rsidRDefault="0025223A" w:rsidP="00FB7C1F">
            <w:pPr>
              <w:jc w:val="left"/>
              <w:rPr>
                <w:sz w:val="18"/>
                <w:szCs w:val="18"/>
              </w:rPr>
            </w:pPr>
            <w:r w:rsidRPr="004C78D8">
              <w:rPr>
                <w:sz w:val="18"/>
                <w:szCs w:val="18"/>
              </w:rPr>
              <w:t>Venue &amp; Overhead</w:t>
            </w:r>
          </w:p>
        </w:tc>
        <w:tc>
          <w:tcPr>
            <w:tcW w:w="459" w:type="pct"/>
            <w:vAlign w:val="bottom"/>
          </w:tcPr>
          <w:p w14:paraId="5C797432" w14:textId="77777777" w:rsidR="0025223A" w:rsidRPr="004C78D8" w:rsidRDefault="0025223A" w:rsidP="00FB7C1F">
            <w:pPr>
              <w:jc w:val="left"/>
              <w:rPr>
                <w:sz w:val="18"/>
                <w:szCs w:val="18"/>
              </w:rPr>
            </w:pPr>
            <w:r w:rsidRPr="004C78D8">
              <w:rPr>
                <w:sz w:val="18"/>
                <w:szCs w:val="18"/>
              </w:rPr>
              <w:t>Health tech. &amp; equipment</w:t>
            </w:r>
          </w:p>
        </w:tc>
        <w:tc>
          <w:tcPr>
            <w:tcW w:w="408" w:type="pct"/>
            <w:vAlign w:val="bottom"/>
          </w:tcPr>
          <w:p w14:paraId="3A6B78EF" w14:textId="77777777" w:rsidR="0025223A" w:rsidRPr="004C78D8" w:rsidRDefault="0025223A" w:rsidP="00FB7C1F">
            <w:pPr>
              <w:jc w:val="left"/>
              <w:rPr>
                <w:sz w:val="18"/>
                <w:szCs w:val="18"/>
              </w:rPr>
            </w:pPr>
            <w:r w:rsidRPr="004C78D8">
              <w:rPr>
                <w:sz w:val="18"/>
                <w:szCs w:val="18"/>
              </w:rPr>
              <w:t>Summary</w:t>
            </w:r>
          </w:p>
        </w:tc>
      </w:tr>
      <w:tr w:rsidR="0025223A" w:rsidRPr="004C78D8" w14:paraId="2CC1974F" w14:textId="77777777" w:rsidTr="002828C1">
        <w:tc>
          <w:tcPr>
            <w:tcW w:w="5000" w:type="pct"/>
            <w:gridSpan w:val="12"/>
          </w:tcPr>
          <w:p w14:paraId="6F3DB124" w14:textId="77777777" w:rsidR="0025223A" w:rsidRPr="004C78D8" w:rsidRDefault="0025223A" w:rsidP="00FB7C1F">
            <w:pPr>
              <w:jc w:val="left"/>
              <w:rPr>
                <w:b/>
                <w:bCs/>
                <w:i/>
                <w:iCs/>
                <w:sz w:val="20"/>
                <w:szCs w:val="20"/>
              </w:rPr>
            </w:pPr>
            <w:r w:rsidRPr="004C78D8">
              <w:rPr>
                <w:b/>
                <w:bCs/>
                <w:i/>
                <w:iCs/>
                <w:sz w:val="20"/>
                <w:szCs w:val="20"/>
              </w:rPr>
              <w:t>Exercise</w:t>
            </w:r>
          </w:p>
        </w:tc>
      </w:tr>
      <w:tr w:rsidR="0025223A" w:rsidRPr="004C78D8" w14:paraId="60645A7A" w14:textId="77777777" w:rsidTr="002828C1">
        <w:tc>
          <w:tcPr>
            <w:tcW w:w="662" w:type="pct"/>
          </w:tcPr>
          <w:p w14:paraId="19D67477" w14:textId="77777777" w:rsidR="0025223A" w:rsidRPr="004C78D8" w:rsidRDefault="0025223A" w:rsidP="00FB7C1F">
            <w:pPr>
              <w:jc w:val="left"/>
              <w:rPr>
                <w:sz w:val="18"/>
                <w:szCs w:val="18"/>
              </w:rPr>
            </w:pPr>
            <w:r w:rsidRPr="004C78D8">
              <w:rPr>
                <w:sz w:val="18"/>
                <w:szCs w:val="18"/>
              </w:rPr>
              <w:t>Alhambra-Borras (2019)</w:t>
            </w:r>
          </w:p>
        </w:tc>
        <w:tc>
          <w:tcPr>
            <w:tcW w:w="765" w:type="pct"/>
          </w:tcPr>
          <w:p w14:paraId="533EA6A3" w14:textId="77777777" w:rsidR="0025223A" w:rsidRPr="004C78D8" w:rsidRDefault="0025223A" w:rsidP="00FB7C1F">
            <w:pPr>
              <w:jc w:val="left"/>
              <w:rPr>
                <w:sz w:val="18"/>
                <w:szCs w:val="18"/>
              </w:rPr>
            </w:pPr>
            <w:r w:rsidRPr="004C78D8">
              <w:rPr>
                <w:sz w:val="18"/>
                <w:szCs w:val="18"/>
              </w:rPr>
              <w:t>Group exercise</w:t>
            </w:r>
          </w:p>
        </w:tc>
        <w:tc>
          <w:tcPr>
            <w:tcW w:w="255" w:type="pct"/>
            <w:tcBorders>
              <w:bottom w:val="nil"/>
            </w:tcBorders>
            <w:vAlign w:val="center"/>
          </w:tcPr>
          <w:p w14:paraId="258B97E7" w14:textId="77777777" w:rsidR="0025223A" w:rsidRPr="004C78D8" w:rsidRDefault="0025223A" w:rsidP="00FB7C1F">
            <w:pPr>
              <w:jc w:val="center"/>
              <w:rPr>
                <w:rFonts w:cs="Times New Roman"/>
                <w:sz w:val="28"/>
                <w:szCs w:val="28"/>
              </w:rPr>
            </w:pPr>
          </w:p>
        </w:tc>
        <w:tc>
          <w:tcPr>
            <w:tcW w:w="408" w:type="pct"/>
            <w:tcBorders>
              <w:bottom w:val="nil"/>
            </w:tcBorders>
            <w:vAlign w:val="center"/>
          </w:tcPr>
          <w:p w14:paraId="774F46D7" w14:textId="77777777" w:rsidR="0025223A" w:rsidRPr="004C78D8" w:rsidRDefault="0025223A" w:rsidP="00FB7C1F">
            <w:pPr>
              <w:jc w:val="center"/>
              <w:rPr>
                <w:sz w:val="28"/>
                <w:szCs w:val="28"/>
              </w:rPr>
            </w:pPr>
          </w:p>
        </w:tc>
        <w:tc>
          <w:tcPr>
            <w:tcW w:w="357" w:type="pct"/>
            <w:tcBorders>
              <w:bottom w:val="nil"/>
            </w:tcBorders>
            <w:vAlign w:val="center"/>
          </w:tcPr>
          <w:p w14:paraId="375DA2B6" w14:textId="77777777" w:rsidR="0025223A" w:rsidRPr="004C78D8" w:rsidRDefault="0025223A" w:rsidP="00FB7C1F">
            <w:pPr>
              <w:jc w:val="center"/>
              <w:rPr>
                <w:sz w:val="18"/>
                <w:szCs w:val="18"/>
              </w:rPr>
            </w:pPr>
          </w:p>
        </w:tc>
        <w:tc>
          <w:tcPr>
            <w:tcW w:w="358" w:type="pct"/>
            <w:tcBorders>
              <w:bottom w:val="nil"/>
            </w:tcBorders>
            <w:vAlign w:val="center"/>
          </w:tcPr>
          <w:p w14:paraId="1E37FCA8" w14:textId="77777777" w:rsidR="0025223A" w:rsidRPr="004C78D8" w:rsidRDefault="0025223A" w:rsidP="00FB7C1F">
            <w:pPr>
              <w:jc w:val="center"/>
              <w:rPr>
                <w:sz w:val="28"/>
                <w:szCs w:val="28"/>
              </w:rPr>
            </w:pPr>
          </w:p>
        </w:tc>
        <w:tc>
          <w:tcPr>
            <w:tcW w:w="306" w:type="pct"/>
            <w:tcBorders>
              <w:bottom w:val="nil"/>
            </w:tcBorders>
            <w:vAlign w:val="center"/>
          </w:tcPr>
          <w:p w14:paraId="64E47905"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06" w:type="pct"/>
            <w:tcBorders>
              <w:bottom w:val="nil"/>
            </w:tcBorders>
          </w:tcPr>
          <w:p w14:paraId="2C03934D" w14:textId="77777777" w:rsidR="0025223A" w:rsidRPr="004C78D8" w:rsidRDefault="0025223A" w:rsidP="00FB7C1F">
            <w:pPr>
              <w:jc w:val="center"/>
              <w:rPr>
                <w:rFonts w:cs="Times New Roman"/>
                <w:sz w:val="28"/>
                <w:szCs w:val="28"/>
              </w:rPr>
            </w:pPr>
          </w:p>
        </w:tc>
        <w:tc>
          <w:tcPr>
            <w:tcW w:w="357" w:type="pct"/>
            <w:tcBorders>
              <w:bottom w:val="nil"/>
            </w:tcBorders>
            <w:vAlign w:val="center"/>
          </w:tcPr>
          <w:p w14:paraId="2036CCB0" w14:textId="77777777" w:rsidR="0025223A" w:rsidRPr="004C78D8" w:rsidRDefault="0025223A" w:rsidP="00FB7C1F">
            <w:pPr>
              <w:jc w:val="center"/>
              <w:rPr>
                <w:rFonts w:cs="Times New Roman"/>
                <w:sz w:val="28"/>
                <w:szCs w:val="28"/>
              </w:rPr>
            </w:pPr>
          </w:p>
        </w:tc>
        <w:tc>
          <w:tcPr>
            <w:tcW w:w="357" w:type="pct"/>
            <w:tcBorders>
              <w:bottom w:val="nil"/>
            </w:tcBorders>
            <w:vAlign w:val="center"/>
          </w:tcPr>
          <w:p w14:paraId="71573C00" w14:textId="77777777" w:rsidR="0025223A" w:rsidRPr="004C78D8" w:rsidRDefault="0025223A" w:rsidP="00FB7C1F">
            <w:pPr>
              <w:jc w:val="center"/>
              <w:rPr>
                <w:sz w:val="20"/>
                <w:szCs w:val="20"/>
              </w:rPr>
            </w:pPr>
          </w:p>
        </w:tc>
        <w:tc>
          <w:tcPr>
            <w:tcW w:w="459" w:type="pct"/>
            <w:tcBorders>
              <w:bottom w:val="nil"/>
            </w:tcBorders>
            <w:vAlign w:val="center"/>
          </w:tcPr>
          <w:p w14:paraId="3AA5B174" w14:textId="77777777" w:rsidR="0025223A" w:rsidRPr="004C78D8" w:rsidRDefault="0025223A" w:rsidP="00FB7C1F">
            <w:pPr>
              <w:jc w:val="center"/>
              <w:rPr>
                <w:sz w:val="20"/>
                <w:szCs w:val="20"/>
              </w:rPr>
            </w:pPr>
          </w:p>
        </w:tc>
        <w:tc>
          <w:tcPr>
            <w:tcW w:w="408" w:type="pct"/>
            <w:tcBorders>
              <w:bottom w:val="nil"/>
            </w:tcBorders>
            <w:vAlign w:val="center"/>
          </w:tcPr>
          <w:p w14:paraId="019586E3" w14:textId="77777777" w:rsidR="0025223A" w:rsidRPr="004C78D8" w:rsidRDefault="0025223A" w:rsidP="00FB7C1F">
            <w:pPr>
              <w:jc w:val="center"/>
              <w:rPr>
                <w:sz w:val="18"/>
                <w:szCs w:val="18"/>
              </w:rPr>
            </w:pPr>
            <w:r w:rsidRPr="004C78D8">
              <w:rPr>
                <w:sz w:val="18"/>
                <w:szCs w:val="18"/>
              </w:rPr>
              <w:t>PP</w:t>
            </w:r>
          </w:p>
        </w:tc>
      </w:tr>
      <w:tr w:rsidR="0025223A" w:rsidRPr="004C78D8" w14:paraId="47C3C103" w14:textId="77777777" w:rsidTr="002828C1">
        <w:tc>
          <w:tcPr>
            <w:tcW w:w="662" w:type="pct"/>
            <w:vMerge w:val="restart"/>
          </w:tcPr>
          <w:p w14:paraId="04EFD404" w14:textId="77777777" w:rsidR="0025223A" w:rsidRPr="004C78D8" w:rsidRDefault="0025223A" w:rsidP="00FB7C1F">
            <w:pPr>
              <w:jc w:val="left"/>
              <w:rPr>
                <w:sz w:val="18"/>
                <w:szCs w:val="18"/>
              </w:rPr>
            </w:pPr>
            <w:r w:rsidRPr="004C78D8">
              <w:rPr>
                <w:sz w:val="18"/>
                <w:szCs w:val="18"/>
              </w:rPr>
              <w:t>Carande-Kulis (2015)</w:t>
            </w:r>
          </w:p>
        </w:tc>
        <w:tc>
          <w:tcPr>
            <w:tcW w:w="765" w:type="pct"/>
          </w:tcPr>
          <w:p w14:paraId="7FA54649" w14:textId="77777777" w:rsidR="0025223A" w:rsidRPr="004C78D8" w:rsidRDefault="0025223A" w:rsidP="00FB7C1F">
            <w:pPr>
              <w:jc w:val="left"/>
              <w:rPr>
                <w:sz w:val="18"/>
                <w:szCs w:val="18"/>
              </w:rPr>
            </w:pPr>
            <w:r w:rsidRPr="004C78D8">
              <w:rPr>
                <w:sz w:val="18"/>
                <w:szCs w:val="18"/>
              </w:rPr>
              <w:t>Home exercise</w:t>
            </w:r>
          </w:p>
        </w:tc>
        <w:tc>
          <w:tcPr>
            <w:tcW w:w="255" w:type="pct"/>
            <w:tcBorders>
              <w:top w:val="nil"/>
              <w:bottom w:val="nil"/>
            </w:tcBorders>
            <w:vAlign w:val="center"/>
          </w:tcPr>
          <w:p w14:paraId="02865E80" w14:textId="77777777" w:rsidR="0025223A" w:rsidRPr="004C78D8" w:rsidRDefault="0025223A" w:rsidP="00FB7C1F">
            <w:pPr>
              <w:jc w:val="center"/>
              <w:rPr>
                <w:sz w:val="28"/>
                <w:szCs w:val="28"/>
              </w:rPr>
            </w:pPr>
            <w:r w:rsidRPr="004C78D8">
              <w:rPr>
                <w:rFonts w:cs="Times New Roman"/>
                <w:sz w:val="28"/>
                <w:szCs w:val="28"/>
              </w:rPr>
              <w:t>˟</w:t>
            </w:r>
          </w:p>
        </w:tc>
        <w:tc>
          <w:tcPr>
            <w:tcW w:w="408" w:type="pct"/>
            <w:tcBorders>
              <w:top w:val="nil"/>
              <w:bottom w:val="nil"/>
            </w:tcBorders>
            <w:vAlign w:val="center"/>
          </w:tcPr>
          <w:p w14:paraId="77E41144" w14:textId="77777777" w:rsidR="0025223A" w:rsidRPr="004C78D8" w:rsidRDefault="0025223A" w:rsidP="00FB7C1F">
            <w:pPr>
              <w:jc w:val="center"/>
              <w:rPr>
                <w:sz w:val="28"/>
                <w:szCs w:val="28"/>
              </w:rPr>
            </w:pPr>
          </w:p>
        </w:tc>
        <w:tc>
          <w:tcPr>
            <w:tcW w:w="357" w:type="pct"/>
            <w:tcBorders>
              <w:top w:val="nil"/>
              <w:bottom w:val="nil"/>
            </w:tcBorders>
            <w:vAlign w:val="center"/>
          </w:tcPr>
          <w:p w14:paraId="03774376" w14:textId="77777777" w:rsidR="0025223A" w:rsidRPr="004C78D8" w:rsidRDefault="0025223A" w:rsidP="00FB7C1F">
            <w:pPr>
              <w:jc w:val="center"/>
              <w:rPr>
                <w:sz w:val="28"/>
                <w:szCs w:val="28"/>
              </w:rPr>
            </w:pPr>
          </w:p>
        </w:tc>
        <w:tc>
          <w:tcPr>
            <w:tcW w:w="358" w:type="pct"/>
            <w:tcBorders>
              <w:top w:val="nil"/>
              <w:bottom w:val="nil"/>
            </w:tcBorders>
            <w:vAlign w:val="center"/>
          </w:tcPr>
          <w:p w14:paraId="1163C3B0" w14:textId="77777777" w:rsidR="0025223A" w:rsidRPr="004C78D8" w:rsidRDefault="0025223A" w:rsidP="00FB7C1F">
            <w:pPr>
              <w:jc w:val="center"/>
              <w:rPr>
                <w:sz w:val="28"/>
                <w:szCs w:val="28"/>
              </w:rPr>
            </w:pPr>
          </w:p>
        </w:tc>
        <w:tc>
          <w:tcPr>
            <w:tcW w:w="306" w:type="pct"/>
            <w:tcBorders>
              <w:top w:val="nil"/>
              <w:bottom w:val="nil"/>
            </w:tcBorders>
            <w:vAlign w:val="center"/>
          </w:tcPr>
          <w:p w14:paraId="3B56E4CB" w14:textId="77777777" w:rsidR="0025223A" w:rsidRPr="004C78D8" w:rsidRDefault="0025223A" w:rsidP="00FB7C1F">
            <w:pPr>
              <w:jc w:val="center"/>
              <w:rPr>
                <w:sz w:val="28"/>
                <w:szCs w:val="28"/>
              </w:rPr>
            </w:pPr>
            <w:r w:rsidRPr="004C78D8">
              <w:rPr>
                <w:rFonts w:cs="Times New Roman"/>
                <w:sz w:val="28"/>
                <w:szCs w:val="28"/>
              </w:rPr>
              <w:t>˟</w:t>
            </w:r>
          </w:p>
        </w:tc>
        <w:tc>
          <w:tcPr>
            <w:tcW w:w="306" w:type="pct"/>
            <w:tcBorders>
              <w:top w:val="nil"/>
              <w:bottom w:val="nil"/>
            </w:tcBorders>
            <w:vAlign w:val="center"/>
          </w:tcPr>
          <w:p w14:paraId="0F941FE2"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57" w:type="pct"/>
            <w:tcBorders>
              <w:top w:val="nil"/>
              <w:bottom w:val="nil"/>
            </w:tcBorders>
            <w:vAlign w:val="center"/>
          </w:tcPr>
          <w:p w14:paraId="4097D64D" w14:textId="77777777" w:rsidR="0025223A" w:rsidRPr="004C78D8" w:rsidRDefault="0025223A" w:rsidP="00FB7C1F">
            <w:pPr>
              <w:jc w:val="center"/>
              <w:rPr>
                <w:sz w:val="28"/>
                <w:szCs w:val="28"/>
              </w:rPr>
            </w:pPr>
            <w:r w:rsidRPr="004C78D8">
              <w:rPr>
                <w:rFonts w:cs="Times New Roman"/>
                <w:sz w:val="28"/>
                <w:szCs w:val="28"/>
              </w:rPr>
              <w:t>˟</w:t>
            </w:r>
          </w:p>
        </w:tc>
        <w:tc>
          <w:tcPr>
            <w:tcW w:w="357" w:type="pct"/>
            <w:tcBorders>
              <w:top w:val="nil"/>
              <w:bottom w:val="nil"/>
            </w:tcBorders>
            <w:vAlign w:val="center"/>
          </w:tcPr>
          <w:p w14:paraId="1C052077" w14:textId="77777777" w:rsidR="0025223A" w:rsidRPr="004C78D8" w:rsidRDefault="0025223A" w:rsidP="00FB7C1F">
            <w:pPr>
              <w:jc w:val="center"/>
              <w:rPr>
                <w:sz w:val="20"/>
                <w:szCs w:val="20"/>
              </w:rPr>
            </w:pPr>
          </w:p>
        </w:tc>
        <w:tc>
          <w:tcPr>
            <w:tcW w:w="459" w:type="pct"/>
            <w:tcBorders>
              <w:top w:val="nil"/>
              <w:bottom w:val="nil"/>
            </w:tcBorders>
            <w:vAlign w:val="center"/>
          </w:tcPr>
          <w:p w14:paraId="0BBB3C91" w14:textId="77777777" w:rsidR="0025223A" w:rsidRPr="004C78D8" w:rsidRDefault="0025223A" w:rsidP="00FB7C1F">
            <w:pPr>
              <w:jc w:val="center"/>
              <w:rPr>
                <w:sz w:val="20"/>
                <w:szCs w:val="20"/>
              </w:rPr>
            </w:pPr>
          </w:p>
        </w:tc>
        <w:tc>
          <w:tcPr>
            <w:tcW w:w="408" w:type="pct"/>
            <w:tcBorders>
              <w:top w:val="nil"/>
              <w:bottom w:val="nil"/>
            </w:tcBorders>
            <w:vAlign w:val="center"/>
          </w:tcPr>
          <w:p w14:paraId="290F3728" w14:textId="77777777" w:rsidR="0025223A" w:rsidRPr="004C78D8" w:rsidRDefault="0025223A" w:rsidP="00FB7C1F">
            <w:pPr>
              <w:jc w:val="center"/>
              <w:rPr>
                <w:sz w:val="18"/>
                <w:szCs w:val="18"/>
              </w:rPr>
            </w:pPr>
            <w:r w:rsidRPr="004C78D8">
              <w:rPr>
                <w:sz w:val="18"/>
                <w:szCs w:val="18"/>
              </w:rPr>
              <w:t>PP</w:t>
            </w:r>
          </w:p>
        </w:tc>
      </w:tr>
      <w:tr w:rsidR="0025223A" w:rsidRPr="004C78D8" w14:paraId="05E0B568" w14:textId="77777777" w:rsidTr="002828C1">
        <w:tc>
          <w:tcPr>
            <w:tcW w:w="662" w:type="pct"/>
            <w:vMerge/>
          </w:tcPr>
          <w:p w14:paraId="3BD074DE" w14:textId="77777777" w:rsidR="0025223A" w:rsidRPr="004C78D8" w:rsidRDefault="0025223A" w:rsidP="00FB7C1F">
            <w:pPr>
              <w:jc w:val="left"/>
              <w:rPr>
                <w:sz w:val="18"/>
                <w:szCs w:val="18"/>
              </w:rPr>
            </w:pPr>
          </w:p>
        </w:tc>
        <w:tc>
          <w:tcPr>
            <w:tcW w:w="765" w:type="pct"/>
          </w:tcPr>
          <w:p w14:paraId="47204E40" w14:textId="77777777" w:rsidR="0025223A" w:rsidRPr="004C78D8" w:rsidRDefault="0025223A" w:rsidP="00FB7C1F">
            <w:pPr>
              <w:jc w:val="left"/>
              <w:rPr>
                <w:sz w:val="18"/>
                <w:szCs w:val="18"/>
              </w:rPr>
            </w:pPr>
            <w:r w:rsidRPr="004C78D8">
              <w:rPr>
                <w:sz w:val="18"/>
                <w:szCs w:val="18"/>
              </w:rPr>
              <w:t>Tai Chi (group)</w:t>
            </w:r>
          </w:p>
        </w:tc>
        <w:tc>
          <w:tcPr>
            <w:tcW w:w="255" w:type="pct"/>
            <w:tcBorders>
              <w:top w:val="nil"/>
              <w:bottom w:val="nil"/>
            </w:tcBorders>
            <w:vAlign w:val="center"/>
          </w:tcPr>
          <w:p w14:paraId="3D66D2C7"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408" w:type="pct"/>
            <w:tcBorders>
              <w:top w:val="nil"/>
              <w:bottom w:val="nil"/>
            </w:tcBorders>
            <w:vAlign w:val="center"/>
          </w:tcPr>
          <w:p w14:paraId="2CB0FADB" w14:textId="77777777" w:rsidR="0025223A" w:rsidRPr="004C78D8" w:rsidRDefault="0025223A" w:rsidP="00FB7C1F">
            <w:pPr>
              <w:jc w:val="center"/>
              <w:rPr>
                <w:sz w:val="28"/>
                <w:szCs w:val="28"/>
              </w:rPr>
            </w:pPr>
          </w:p>
        </w:tc>
        <w:tc>
          <w:tcPr>
            <w:tcW w:w="357" w:type="pct"/>
            <w:tcBorders>
              <w:top w:val="nil"/>
              <w:bottom w:val="nil"/>
            </w:tcBorders>
            <w:vAlign w:val="center"/>
          </w:tcPr>
          <w:p w14:paraId="1C945FE1" w14:textId="77777777" w:rsidR="0025223A" w:rsidRPr="004C78D8" w:rsidRDefault="0025223A" w:rsidP="00FB7C1F">
            <w:pPr>
              <w:jc w:val="center"/>
              <w:rPr>
                <w:sz w:val="28"/>
                <w:szCs w:val="28"/>
              </w:rPr>
            </w:pPr>
          </w:p>
        </w:tc>
        <w:tc>
          <w:tcPr>
            <w:tcW w:w="358" w:type="pct"/>
            <w:tcBorders>
              <w:top w:val="nil"/>
              <w:bottom w:val="nil"/>
            </w:tcBorders>
            <w:vAlign w:val="center"/>
          </w:tcPr>
          <w:p w14:paraId="032EF6AF" w14:textId="77777777" w:rsidR="0025223A" w:rsidRPr="004C78D8" w:rsidRDefault="0025223A" w:rsidP="00FB7C1F">
            <w:pPr>
              <w:jc w:val="center"/>
              <w:rPr>
                <w:sz w:val="28"/>
                <w:szCs w:val="28"/>
              </w:rPr>
            </w:pPr>
          </w:p>
        </w:tc>
        <w:tc>
          <w:tcPr>
            <w:tcW w:w="306" w:type="pct"/>
            <w:tcBorders>
              <w:top w:val="nil"/>
              <w:bottom w:val="nil"/>
            </w:tcBorders>
            <w:vAlign w:val="center"/>
          </w:tcPr>
          <w:p w14:paraId="3BBA570A"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06" w:type="pct"/>
            <w:tcBorders>
              <w:top w:val="nil"/>
              <w:bottom w:val="nil"/>
            </w:tcBorders>
            <w:vAlign w:val="center"/>
          </w:tcPr>
          <w:p w14:paraId="76A9EEB4" w14:textId="77777777" w:rsidR="0025223A" w:rsidRPr="004C78D8" w:rsidRDefault="0025223A" w:rsidP="00FB7C1F">
            <w:pPr>
              <w:jc w:val="center"/>
              <w:rPr>
                <w:sz w:val="28"/>
                <w:szCs w:val="28"/>
              </w:rPr>
            </w:pPr>
            <w:r w:rsidRPr="004C78D8">
              <w:rPr>
                <w:rFonts w:cs="Times New Roman"/>
                <w:sz w:val="28"/>
                <w:szCs w:val="28"/>
              </w:rPr>
              <w:t>˟</w:t>
            </w:r>
          </w:p>
        </w:tc>
        <w:tc>
          <w:tcPr>
            <w:tcW w:w="357" w:type="pct"/>
            <w:tcBorders>
              <w:top w:val="nil"/>
              <w:bottom w:val="nil"/>
            </w:tcBorders>
            <w:vAlign w:val="center"/>
          </w:tcPr>
          <w:p w14:paraId="70375896" w14:textId="77777777" w:rsidR="0025223A" w:rsidRPr="004C78D8" w:rsidRDefault="0025223A" w:rsidP="00FB7C1F">
            <w:pPr>
              <w:jc w:val="center"/>
              <w:rPr>
                <w:sz w:val="28"/>
                <w:szCs w:val="28"/>
              </w:rPr>
            </w:pPr>
          </w:p>
        </w:tc>
        <w:tc>
          <w:tcPr>
            <w:tcW w:w="357" w:type="pct"/>
            <w:tcBorders>
              <w:top w:val="nil"/>
              <w:bottom w:val="nil"/>
            </w:tcBorders>
            <w:vAlign w:val="center"/>
          </w:tcPr>
          <w:p w14:paraId="164E7399" w14:textId="77777777" w:rsidR="0025223A" w:rsidRPr="004C78D8" w:rsidRDefault="0025223A" w:rsidP="00FB7C1F">
            <w:pPr>
              <w:jc w:val="center"/>
              <w:rPr>
                <w:rFonts w:cs="Times New Roman"/>
                <w:sz w:val="36"/>
                <w:szCs w:val="36"/>
              </w:rPr>
            </w:pPr>
          </w:p>
        </w:tc>
        <w:tc>
          <w:tcPr>
            <w:tcW w:w="459" w:type="pct"/>
            <w:tcBorders>
              <w:top w:val="nil"/>
              <w:bottom w:val="nil"/>
            </w:tcBorders>
            <w:vAlign w:val="center"/>
          </w:tcPr>
          <w:p w14:paraId="5AB566DC" w14:textId="77777777" w:rsidR="0025223A" w:rsidRPr="004C78D8" w:rsidRDefault="0025223A" w:rsidP="00FB7C1F">
            <w:pPr>
              <w:jc w:val="center"/>
              <w:rPr>
                <w:sz w:val="20"/>
                <w:szCs w:val="20"/>
              </w:rPr>
            </w:pPr>
          </w:p>
        </w:tc>
        <w:tc>
          <w:tcPr>
            <w:tcW w:w="408" w:type="pct"/>
            <w:tcBorders>
              <w:top w:val="nil"/>
              <w:bottom w:val="nil"/>
            </w:tcBorders>
            <w:vAlign w:val="center"/>
          </w:tcPr>
          <w:p w14:paraId="7C37DB30" w14:textId="77777777" w:rsidR="0025223A" w:rsidRPr="004C78D8" w:rsidRDefault="0025223A" w:rsidP="00FB7C1F">
            <w:pPr>
              <w:jc w:val="center"/>
              <w:rPr>
                <w:sz w:val="18"/>
                <w:szCs w:val="18"/>
              </w:rPr>
            </w:pPr>
            <w:r w:rsidRPr="004C78D8">
              <w:rPr>
                <w:sz w:val="18"/>
                <w:szCs w:val="18"/>
              </w:rPr>
              <w:t>PP</w:t>
            </w:r>
          </w:p>
        </w:tc>
      </w:tr>
      <w:tr w:rsidR="0025223A" w:rsidRPr="004C78D8" w14:paraId="620F5852" w14:textId="77777777" w:rsidTr="002828C1">
        <w:tc>
          <w:tcPr>
            <w:tcW w:w="662" w:type="pct"/>
          </w:tcPr>
          <w:p w14:paraId="189BF8BA" w14:textId="77777777" w:rsidR="0025223A" w:rsidRPr="004C78D8" w:rsidRDefault="0025223A" w:rsidP="00FB7C1F">
            <w:pPr>
              <w:jc w:val="left"/>
              <w:rPr>
                <w:sz w:val="18"/>
                <w:szCs w:val="18"/>
              </w:rPr>
            </w:pPr>
            <w:r w:rsidRPr="004C78D8">
              <w:rPr>
                <w:sz w:val="18"/>
                <w:szCs w:val="18"/>
              </w:rPr>
              <w:t>CSP (2016)</w:t>
            </w:r>
          </w:p>
        </w:tc>
        <w:tc>
          <w:tcPr>
            <w:tcW w:w="765" w:type="pct"/>
          </w:tcPr>
          <w:p w14:paraId="32A1B5E9" w14:textId="77777777" w:rsidR="0025223A" w:rsidRPr="004C78D8" w:rsidRDefault="0025223A" w:rsidP="00FB7C1F">
            <w:pPr>
              <w:jc w:val="left"/>
              <w:rPr>
                <w:sz w:val="18"/>
                <w:szCs w:val="18"/>
              </w:rPr>
            </w:pPr>
            <w:r w:rsidRPr="004C78D8">
              <w:rPr>
                <w:sz w:val="18"/>
                <w:szCs w:val="18"/>
              </w:rPr>
              <w:t>FRS and physiotherapy (group or home)</w:t>
            </w:r>
          </w:p>
        </w:tc>
        <w:tc>
          <w:tcPr>
            <w:tcW w:w="255" w:type="pct"/>
            <w:tcBorders>
              <w:top w:val="nil"/>
              <w:bottom w:val="nil"/>
            </w:tcBorders>
            <w:vAlign w:val="center"/>
          </w:tcPr>
          <w:p w14:paraId="00CC8A48" w14:textId="77777777" w:rsidR="0025223A" w:rsidRPr="004C78D8" w:rsidRDefault="0025223A" w:rsidP="00FB7C1F">
            <w:pPr>
              <w:jc w:val="center"/>
              <w:rPr>
                <w:rFonts w:cs="Times New Roman"/>
                <w:sz w:val="28"/>
                <w:szCs w:val="28"/>
              </w:rPr>
            </w:pPr>
          </w:p>
        </w:tc>
        <w:tc>
          <w:tcPr>
            <w:tcW w:w="408" w:type="pct"/>
            <w:tcBorders>
              <w:top w:val="nil"/>
              <w:bottom w:val="nil"/>
            </w:tcBorders>
            <w:vAlign w:val="center"/>
          </w:tcPr>
          <w:p w14:paraId="41E1AF71" w14:textId="77777777" w:rsidR="0025223A" w:rsidRPr="004C78D8" w:rsidRDefault="0025223A" w:rsidP="00FB7C1F">
            <w:pPr>
              <w:jc w:val="center"/>
              <w:rPr>
                <w:sz w:val="28"/>
                <w:szCs w:val="28"/>
              </w:rPr>
            </w:pPr>
          </w:p>
        </w:tc>
        <w:tc>
          <w:tcPr>
            <w:tcW w:w="357" w:type="pct"/>
            <w:tcBorders>
              <w:top w:val="nil"/>
              <w:bottom w:val="nil"/>
            </w:tcBorders>
            <w:vAlign w:val="center"/>
          </w:tcPr>
          <w:p w14:paraId="0A14603E" w14:textId="77777777" w:rsidR="0025223A" w:rsidRPr="004C78D8" w:rsidRDefault="0025223A" w:rsidP="00FB7C1F">
            <w:pPr>
              <w:jc w:val="center"/>
              <w:rPr>
                <w:sz w:val="28"/>
                <w:szCs w:val="28"/>
              </w:rPr>
            </w:pPr>
            <w:r w:rsidRPr="004C78D8">
              <w:rPr>
                <w:sz w:val="18"/>
                <w:szCs w:val="18"/>
              </w:rPr>
              <w:t>Not costed</w:t>
            </w:r>
          </w:p>
        </w:tc>
        <w:tc>
          <w:tcPr>
            <w:tcW w:w="358" w:type="pct"/>
            <w:tcBorders>
              <w:top w:val="nil"/>
              <w:bottom w:val="nil"/>
            </w:tcBorders>
            <w:vAlign w:val="center"/>
          </w:tcPr>
          <w:p w14:paraId="4ABCCF76" w14:textId="77777777" w:rsidR="0025223A" w:rsidRPr="004C78D8" w:rsidRDefault="0025223A" w:rsidP="00FB7C1F">
            <w:pPr>
              <w:jc w:val="center"/>
              <w:rPr>
                <w:sz w:val="28"/>
                <w:szCs w:val="28"/>
              </w:rPr>
            </w:pPr>
          </w:p>
        </w:tc>
        <w:tc>
          <w:tcPr>
            <w:tcW w:w="306" w:type="pct"/>
            <w:tcBorders>
              <w:top w:val="nil"/>
              <w:bottom w:val="nil"/>
            </w:tcBorders>
            <w:vAlign w:val="center"/>
          </w:tcPr>
          <w:p w14:paraId="486FD0C3"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06" w:type="pct"/>
            <w:tcBorders>
              <w:top w:val="nil"/>
              <w:bottom w:val="nil"/>
            </w:tcBorders>
            <w:vAlign w:val="center"/>
          </w:tcPr>
          <w:p w14:paraId="04A89C17" w14:textId="77777777" w:rsidR="0025223A" w:rsidRPr="004C78D8" w:rsidRDefault="0025223A" w:rsidP="00FB7C1F">
            <w:pPr>
              <w:jc w:val="center"/>
              <w:rPr>
                <w:sz w:val="28"/>
                <w:szCs w:val="28"/>
              </w:rPr>
            </w:pPr>
          </w:p>
        </w:tc>
        <w:tc>
          <w:tcPr>
            <w:tcW w:w="357" w:type="pct"/>
            <w:tcBorders>
              <w:top w:val="nil"/>
              <w:bottom w:val="nil"/>
            </w:tcBorders>
            <w:vAlign w:val="center"/>
          </w:tcPr>
          <w:p w14:paraId="5378CA43" w14:textId="77777777" w:rsidR="0025223A" w:rsidRPr="004C78D8" w:rsidRDefault="0025223A" w:rsidP="00FB7C1F">
            <w:pPr>
              <w:jc w:val="center"/>
              <w:rPr>
                <w:sz w:val="28"/>
                <w:szCs w:val="28"/>
              </w:rPr>
            </w:pPr>
          </w:p>
        </w:tc>
        <w:tc>
          <w:tcPr>
            <w:tcW w:w="357" w:type="pct"/>
            <w:tcBorders>
              <w:top w:val="nil"/>
              <w:bottom w:val="nil"/>
            </w:tcBorders>
            <w:vAlign w:val="center"/>
          </w:tcPr>
          <w:p w14:paraId="5BF4571C" w14:textId="77777777" w:rsidR="0025223A" w:rsidRPr="004C78D8" w:rsidRDefault="0025223A" w:rsidP="00FB7C1F">
            <w:pPr>
              <w:jc w:val="center"/>
              <w:rPr>
                <w:rFonts w:cs="Times New Roman"/>
                <w:sz w:val="36"/>
                <w:szCs w:val="36"/>
              </w:rPr>
            </w:pPr>
          </w:p>
        </w:tc>
        <w:tc>
          <w:tcPr>
            <w:tcW w:w="459" w:type="pct"/>
            <w:tcBorders>
              <w:top w:val="nil"/>
              <w:bottom w:val="nil"/>
            </w:tcBorders>
            <w:vAlign w:val="center"/>
          </w:tcPr>
          <w:p w14:paraId="47BEC728" w14:textId="77777777" w:rsidR="0025223A" w:rsidRPr="004C78D8" w:rsidRDefault="0025223A" w:rsidP="00FB7C1F">
            <w:pPr>
              <w:jc w:val="center"/>
              <w:rPr>
                <w:sz w:val="20"/>
                <w:szCs w:val="20"/>
              </w:rPr>
            </w:pPr>
          </w:p>
        </w:tc>
        <w:tc>
          <w:tcPr>
            <w:tcW w:w="408" w:type="pct"/>
            <w:tcBorders>
              <w:top w:val="nil"/>
              <w:bottom w:val="nil"/>
            </w:tcBorders>
            <w:vAlign w:val="center"/>
          </w:tcPr>
          <w:p w14:paraId="7CEB1847" w14:textId="77777777" w:rsidR="0025223A" w:rsidRPr="004C78D8" w:rsidRDefault="0025223A" w:rsidP="00FB7C1F">
            <w:pPr>
              <w:jc w:val="center"/>
              <w:rPr>
                <w:sz w:val="18"/>
                <w:szCs w:val="18"/>
              </w:rPr>
            </w:pPr>
            <w:r w:rsidRPr="004C78D8">
              <w:rPr>
                <w:sz w:val="18"/>
                <w:szCs w:val="18"/>
              </w:rPr>
              <w:t>Per staff; Total</w:t>
            </w:r>
          </w:p>
        </w:tc>
      </w:tr>
      <w:tr w:rsidR="0025223A" w:rsidRPr="004C78D8" w14:paraId="56C195FF" w14:textId="77777777" w:rsidTr="002828C1">
        <w:tc>
          <w:tcPr>
            <w:tcW w:w="662" w:type="pct"/>
          </w:tcPr>
          <w:p w14:paraId="01BC3DCD" w14:textId="77777777" w:rsidR="0025223A" w:rsidRPr="004C78D8" w:rsidRDefault="0025223A" w:rsidP="00FB7C1F">
            <w:pPr>
              <w:jc w:val="left"/>
              <w:rPr>
                <w:sz w:val="18"/>
                <w:szCs w:val="18"/>
              </w:rPr>
            </w:pPr>
            <w:r w:rsidRPr="004C78D8">
              <w:rPr>
                <w:sz w:val="18"/>
                <w:szCs w:val="18"/>
              </w:rPr>
              <w:t>Day (2009)</w:t>
            </w:r>
          </w:p>
        </w:tc>
        <w:tc>
          <w:tcPr>
            <w:tcW w:w="765" w:type="pct"/>
          </w:tcPr>
          <w:p w14:paraId="2D9B8630" w14:textId="1533CE4A" w:rsidR="0025223A" w:rsidRPr="004C78D8" w:rsidRDefault="0025223A" w:rsidP="00FB7C1F">
            <w:pPr>
              <w:jc w:val="left"/>
              <w:rPr>
                <w:sz w:val="18"/>
                <w:szCs w:val="18"/>
              </w:rPr>
            </w:pPr>
            <w:r w:rsidRPr="004C78D8">
              <w:rPr>
                <w:sz w:val="18"/>
                <w:szCs w:val="18"/>
              </w:rPr>
              <w:t>Home exercise</w:t>
            </w:r>
            <w:r w:rsidRPr="004C78D8">
              <w:rPr>
                <w:sz w:val="18"/>
                <w:szCs w:val="18"/>
                <w:vertAlign w:val="superscript"/>
              </w:rPr>
              <w:t>3</w:t>
            </w:r>
          </w:p>
        </w:tc>
        <w:tc>
          <w:tcPr>
            <w:tcW w:w="255" w:type="pct"/>
            <w:tcBorders>
              <w:top w:val="nil"/>
              <w:bottom w:val="nil"/>
            </w:tcBorders>
            <w:vAlign w:val="center"/>
          </w:tcPr>
          <w:p w14:paraId="4277B96E" w14:textId="77777777" w:rsidR="0025223A" w:rsidRPr="004C78D8" w:rsidRDefault="0025223A" w:rsidP="00FB7C1F">
            <w:pPr>
              <w:jc w:val="center"/>
              <w:rPr>
                <w:sz w:val="28"/>
                <w:szCs w:val="28"/>
              </w:rPr>
            </w:pPr>
            <w:r w:rsidRPr="004C78D8">
              <w:rPr>
                <w:rFonts w:cs="Times New Roman"/>
                <w:sz w:val="28"/>
                <w:szCs w:val="28"/>
              </w:rPr>
              <w:t>˟</w:t>
            </w:r>
          </w:p>
        </w:tc>
        <w:tc>
          <w:tcPr>
            <w:tcW w:w="408" w:type="pct"/>
            <w:tcBorders>
              <w:top w:val="nil"/>
              <w:bottom w:val="nil"/>
            </w:tcBorders>
            <w:vAlign w:val="center"/>
          </w:tcPr>
          <w:p w14:paraId="06118137" w14:textId="77777777" w:rsidR="0025223A" w:rsidRPr="004C78D8" w:rsidRDefault="0025223A" w:rsidP="00FB7C1F">
            <w:pPr>
              <w:jc w:val="center"/>
              <w:rPr>
                <w:sz w:val="28"/>
                <w:szCs w:val="28"/>
              </w:rPr>
            </w:pPr>
          </w:p>
        </w:tc>
        <w:tc>
          <w:tcPr>
            <w:tcW w:w="357" w:type="pct"/>
            <w:tcBorders>
              <w:top w:val="nil"/>
              <w:bottom w:val="nil"/>
            </w:tcBorders>
            <w:vAlign w:val="center"/>
          </w:tcPr>
          <w:p w14:paraId="6896BCB2" w14:textId="77777777" w:rsidR="0025223A" w:rsidRPr="004C78D8" w:rsidRDefault="0025223A" w:rsidP="00FB7C1F">
            <w:pPr>
              <w:jc w:val="center"/>
              <w:rPr>
                <w:sz w:val="28"/>
                <w:szCs w:val="28"/>
              </w:rPr>
            </w:pPr>
            <w:r w:rsidRPr="004C78D8">
              <w:rPr>
                <w:rFonts w:cs="Times New Roman"/>
                <w:sz w:val="28"/>
                <w:szCs w:val="28"/>
              </w:rPr>
              <w:t>˟</w:t>
            </w:r>
          </w:p>
        </w:tc>
        <w:tc>
          <w:tcPr>
            <w:tcW w:w="358" w:type="pct"/>
            <w:tcBorders>
              <w:top w:val="nil"/>
              <w:bottom w:val="nil"/>
            </w:tcBorders>
            <w:vAlign w:val="center"/>
          </w:tcPr>
          <w:p w14:paraId="79D1EED3" w14:textId="77777777" w:rsidR="0025223A" w:rsidRPr="004C78D8" w:rsidRDefault="0025223A" w:rsidP="00FB7C1F">
            <w:pPr>
              <w:jc w:val="center"/>
              <w:rPr>
                <w:sz w:val="28"/>
                <w:szCs w:val="28"/>
              </w:rPr>
            </w:pPr>
          </w:p>
        </w:tc>
        <w:tc>
          <w:tcPr>
            <w:tcW w:w="306" w:type="pct"/>
            <w:tcBorders>
              <w:top w:val="nil"/>
              <w:bottom w:val="nil"/>
            </w:tcBorders>
            <w:vAlign w:val="center"/>
          </w:tcPr>
          <w:p w14:paraId="05C3FFA7" w14:textId="77777777" w:rsidR="0025223A" w:rsidRPr="004C78D8" w:rsidRDefault="0025223A" w:rsidP="00FB7C1F">
            <w:pPr>
              <w:jc w:val="center"/>
              <w:rPr>
                <w:sz w:val="28"/>
                <w:szCs w:val="28"/>
              </w:rPr>
            </w:pPr>
            <w:r w:rsidRPr="004C78D8">
              <w:rPr>
                <w:rFonts w:cs="Times New Roman"/>
                <w:sz w:val="28"/>
                <w:szCs w:val="28"/>
              </w:rPr>
              <w:t>˟</w:t>
            </w:r>
          </w:p>
        </w:tc>
        <w:tc>
          <w:tcPr>
            <w:tcW w:w="306" w:type="pct"/>
            <w:tcBorders>
              <w:top w:val="nil"/>
              <w:bottom w:val="nil"/>
            </w:tcBorders>
            <w:vAlign w:val="center"/>
          </w:tcPr>
          <w:p w14:paraId="4B336BD4"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57" w:type="pct"/>
            <w:tcBorders>
              <w:top w:val="nil"/>
              <w:bottom w:val="nil"/>
            </w:tcBorders>
            <w:vAlign w:val="center"/>
          </w:tcPr>
          <w:p w14:paraId="0EBC8CC5" w14:textId="77777777" w:rsidR="0025223A" w:rsidRPr="004C78D8" w:rsidRDefault="0025223A" w:rsidP="00FB7C1F">
            <w:pPr>
              <w:jc w:val="center"/>
              <w:rPr>
                <w:sz w:val="28"/>
                <w:szCs w:val="28"/>
              </w:rPr>
            </w:pPr>
            <w:r w:rsidRPr="004C78D8">
              <w:rPr>
                <w:rFonts w:cs="Times New Roman"/>
                <w:sz w:val="28"/>
                <w:szCs w:val="28"/>
              </w:rPr>
              <w:t>˟</w:t>
            </w:r>
          </w:p>
        </w:tc>
        <w:tc>
          <w:tcPr>
            <w:tcW w:w="357" w:type="pct"/>
            <w:tcBorders>
              <w:top w:val="nil"/>
              <w:bottom w:val="nil"/>
            </w:tcBorders>
            <w:vAlign w:val="center"/>
          </w:tcPr>
          <w:p w14:paraId="7271127E" w14:textId="77777777" w:rsidR="0025223A" w:rsidRPr="004C78D8" w:rsidRDefault="0025223A" w:rsidP="00FB7C1F">
            <w:pPr>
              <w:jc w:val="center"/>
              <w:rPr>
                <w:sz w:val="20"/>
                <w:szCs w:val="20"/>
              </w:rPr>
            </w:pPr>
          </w:p>
        </w:tc>
        <w:tc>
          <w:tcPr>
            <w:tcW w:w="459" w:type="pct"/>
            <w:tcBorders>
              <w:top w:val="nil"/>
              <w:bottom w:val="nil"/>
            </w:tcBorders>
            <w:vAlign w:val="center"/>
          </w:tcPr>
          <w:p w14:paraId="76DF5D10" w14:textId="77777777" w:rsidR="0025223A" w:rsidRPr="004C78D8" w:rsidRDefault="0025223A" w:rsidP="00FB7C1F">
            <w:pPr>
              <w:jc w:val="center"/>
              <w:rPr>
                <w:sz w:val="28"/>
                <w:szCs w:val="28"/>
              </w:rPr>
            </w:pPr>
            <w:r w:rsidRPr="004C78D8">
              <w:rPr>
                <w:rFonts w:cs="Times New Roman"/>
                <w:sz w:val="28"/>
                <w:szCs w:val="28"/>
              </w:rPr>
              <w:t>˟</w:t>
            </w:r>
          </w:p>
        </w:tc>
        <w:tc>
          <w:tcPr>
            <w:tcW w:w="408" w:type="pct"/>
            <w:tcBorders>
              <w:top w:val="nil"/>
              <w:bottom w:val="nil"/>
            </w:tcBorders>
            <w:vAlign w:val="center"/>
          </w:tcPr>
          <w:p w14:paraId="7202213A" w14:textId="77777777" w:rsidR="0025223A" w:rsidRPr="004C78D8" w:rsidRDefault="0025223A" w:rsidP="00FB7C1F">
            <w:pPr>
              <w:jc w:val="center"/>
              <w:rPr>
                <w:sz w:val="18"/>
                <w:szCs w:val="18"/>
              </w:rPr>
            </w:pPr>
            <w:r w:rsidRPr="004C78D8">
              <w:rPr>
                <w:sz w:val="18"/>
                <w:szCs w:val="18"/>
              </w:rPr>
              <w:t>PP</w:t>
            </w:r>
          </w:p>
        </w:tc>
      </w:tr>
      <w:tr w:rsidR="0025223A" w:rsidRPr="004C78D8" w14:paraId="7A1C900C" w14:textId="77777777" w:rsidTr="002828C1">
        <w:tc>
          <w:tcPr>
            <w:tcW w:w="662" w:type="pct"/>
          </w:tcPr>
          <w:p w14:paraId="5BA42F14" w14:textId="77777777" w:rsidR="0025223A" w:rsidRPr="004C78D8" w:rsidRDefault="0025223A" w:rsidP="00FB7C1F">
            <w:pPr>
              <w:jc w:val="left"/>
              <w:rPr>
                <w:sz w:val="18"/>
                <w:szCs w:val="18"/>
              </w:rPr>
            </w:pPr>
            <w:r w:rsidRPr="004C78D8">
              <w:rPr>
                <w:sz w:val="18"/>
                <w:szCs w:val="18"/>
              </w:rPr>
              <w:t>Day (2009); (2010)</w:t>
            </w:r>
          </w:p>
        </w:tc>
        <w:tc>
          <w:tcPr>
            <w:tcW w:w="765" w:type="pct"/>
          </w:tcPr>
          <w:p w14:paraId="44AEEB21" w14:textId="77777777" w:rsidR="0025223A" w:rsidRPr="004C78D8" w:rsidRDefault="0025223A" w:rsidP="00FB7C1F">
            <w:pPr>
              <w:jc w:val="left"/>
              <w:rPr>
                <w:sz w:val="18"/>
                <w:szCs w:val="18"/>
              </w:rPr>
            </w:pPr>
            <w:r w:rsidRPr="004C78D8">
              <w:rPr>
                <w:sz w:val="18"/>
                <w:szCs w:val="18"/>
              </w:rPr>
              <w:t>Tai Chi (group)</w:t>
            </w:r>
          </w:p>
        </w:tc>
        <w:tc>
          <w:tcPr>
            <w:tcW w:w="255" w:type="pct"/>
            <w:tcBorders>
              <w:top w:val="nil"/>
              <w:bottom w:val="nil"/>
            </w:tcBorders>
            <w:vAlign w:val="center"/>
          </w:tcPr>
          <w:p w14:paraId="057F3B2A"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408" w:type="pct"/>
            <w:tcBorders>
              <w:top w:val="nil"/>
              <w:bottom w:val="nil"/>
            </w:tcBorders>
            <w:vAlign w:val="center"/>
          </w:tcPr>
          <w:p w14:paraId="7D0D7C7E" w14:textId="77777777" w:rsidR="0025223A" w:rsidRPr="004C78D8" w:rsidRDefault="0025223A" w:rsidP="00FB7C1F">
            <w:pPr>
              <w:jc w:val="center"/>
              <w:rPr>
                <w:sz w:val="28"/>
                <w:szCs w:val="28"/>
              </w:rPr>
            </w:pPr>
            <w:r w:rsidRPr="004C78D8">
              <w:rPr>
                <w:rFonts w:cs="Times New Roman"/>
                <w:sz w:val="28"/>
                <w:szCs w:val="28"/>
              </w:rPr>
              <w:t>˟</w:t>
            </w:r>
          </w:p>
        </w:tc>
        <w:tc>
          <w:tcPr>
            <w:tcW w:w="357" w:type="pct"/>
            <w:tcBorders>
              <w:top w:val="nil"/>
              <w:bottom w:val="nil"/>
            </w:tcBorders>
            <w:vAlign w:val="center"/>
          </w:tcPr>
          <w:p w14:paraId="096DDD7F" w14:textId="77777777" w:rsidR="0025223A" w:rsidRPr="004C78D8" w:rsidRDefault="0025223A" w:rsidP="00FB7C1F">
            <w:pPr>
              <w:jc w:val="center"/>
              <w:rPr>
                <w:sz w:val="28"/>
                <w:szCs w:val="28"/>
              </w:rPr>
            </w:pPr>
          </w:p>
        </w:tc>
        <w:tc>
          <w:tcPr>
            <w:tcW w:w="358" w:type="pct"/>
            <w:tcBorders>
              <w:top w:val="nil"/>
              <w:bottom w:val="nil"/>
            </w:tcBorders>
            <w:vAlign w:val="center"/>
          </w:tcPr>
          <w:p w14:paraId="56D6FE05" w14:textId="77777777" w:rsidR="0025223A" w:rsidRPr="004C78D8" w:rsidRDefault="0025223A" w:rsidP="00FB7C1F">
            <w:pPr>
              <w:jc w:val="center"/>
              <w:rPr>
                <w:sz w:val="28"/>
                <w:szCs w:val="28"/>
              </w:rPr>
            </w:pPr>
          </w:p>
        </w:tc>
        <w:tc>
          <w:tcPr>
            <w:tcW w:w="306" w:type="pct"/>
            <w:tcBorders>
              <w:top w:val="nil"/>
              <w:bottom w:val="nil"/>
            </w:tcBorders>
            <w:vAlign w:val="center"/>
          </w:tcPr>
          <w:p w14:paraId="10DBD817"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06" w:type="pct"/>
            <w:tcBorders>
              <w:top w:val="nil"/>
              <w:bottom w:val="nil"/>
            </w:tcBorders>
            <w:vAlign w:val="center"/>
          </w:tcPr>
          <w:p w14:paraId="5CFDAEC3" w14:textId="77777777" w:rsidR="0025223A" w:rsidRPr="004C78D8" w:rsidRDefault="0025223A" w:rsidP="00FB7C1F">
            <w:pPr>
              <w:jc w:val="center"/>
              <w:rPr>
                <w:sz w:val="28"/>
                <w:szCs w:val="28"/>
              </w:rPr>
            </w:pPr>
          </w:p>
        </w:tc>
        <w:tc>
          <w:tcPr>
            <w:tcW w:w="357" w:type="pct"/>
            <w:tcBorders>
              <w:top w:val="nil"/>
              <w:bottom w:val="nil"/>
            </w:tcBorders>
            <w:vAlign w:val="center"/>
          </w:tcPr>
          <w:p w14:paraId="0B2668D4" w14:textId="77777777" w:rsidR="0025223A" w:rsidRPr="004C78D8" w:rsidRDefault="0025223A" w:rsidP="00FB7C1F">
            <w:pPr>
              <w:jc w:val="center"/>
              <w:rPr>
                <w:sz w:val="28"/>
                <w:szCs w:val="28"/>
              </w:rPr>
            </w:pPr>
          </w:p>
        </w:tc>
        <w:tc>
          <w:tcPr>
            <w:tcW w:w="357" w:type="pct"/>
            <w:tcBorders>
              <w:top w:val="nil"/>
              <w:bottom w:val="nil"/>
            </w:tcBorders>
            <w:vAlign w:val="center"/>
          </w:tcPr>
          <w:p w14:paraId="5B903567" w14:textId="77777777" w:rsidR="0025223A" w:rsidRPr="004C78D8" w:rsidRDefault="0025223A" w:rsidP="00FB7C1F">
            <w:pPr>
              <w:jc w:val="center"/>
              <w:rPr>
                <w:rFonts w:cs="Times New Roman"/>
                <w:sz w:val="18"/>
                <w:szCs w:val="18"/>
              </w:rPr>
            </w:pPr>
            <w:r w:rsidRPr="004C78D8">
              <w:rPr>
                <w:sz w:val="18"/>
                <w:szCs w:val="18"/>
              </w:rPr>
              <w:t>VN</w:t>
            </w:r>
          </w:p>
        </w:tc>
        <w:tc>
          <w:tcPr>
            <w:tcW w:w="459" w:type="pct"/>
            <w:tcBorders>
              <w:top w:val="nil"/>
              <w:bottom w:val="nil"/>
            </w:tcBorders>
            <w:vAlign w:val="center"/>
          </w:tcPr>
          <w:p w14:paraId="465D8696"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408" w:type="pct"/>
            <w:tcBorders>
              <w:top w:val="nil"/>
              <w:bottom w:val="nil"/>
            </w:tcBorders>
            <w:vAlign w:val="center"/>
          </w:tcPr>
          <w:p w14:paraId="0D00FDFD" w14:textId="77777777" w:rsidR="0025223A" w:rsidRPr="004C78D8" w:rsidRDefault="0025223A" w:rsidP="00FB7C1F">
            <w:pPr>
              <w:jc w:val="center"/>
              <w:rPr>
                <w:sz w:val="18"/>
                <w:szCs w:val="18"/>
              </w:rPr>
            </w:pPr>
            <w:r w:rsidRPr="004C78D8">
              <w:rPr>
                <w:sz w:val="18"/>
                <w:szCs w:val="18"/>
              </w:rPr>
              <w:t>PP</w:t>
            </w:r>
          </w:p>
        </w:tc>
      </w:tr>
      <w:tr w:rsidR="0025223A" w:rsidRPr="004C78D8" w14:paraId="647BE571" w14:textId="77777777" w:rsidTr="002828C1">
        <w:tc>
          <w:tcPr>
            <w:tcW w:w="662" w:type="pct"/>
            <w:vMerge w:val="restart"/>
          </w:tcPr>
          <w:p w14:paraId="34CF24F4" w14:textId="77777777" w:rsidR="0025223A" w:rsidRPr="004C78D8" w:rsidRDefault="0025223A" w:rsidP="00FB7C1F">
            <w:pPr>
              <w:jc w:val="left"/>
              <w:rPr>
                <w:sz w:val="18"/>
                <w:szCs w:val="18"/>
              </w:rPr>
            </w:pPr>
            <w:r w:rsidRPr="004C78D8">
              <w:rPr>
                <w:sz w:val="18"/>
                <w:szCs w:val="18"/>
              </w:rPr>
              <w:t>Deverall (2018)</w:t>
            </w:r>
          </w:p>
        </w:tc>
        <w:tc>
          <w:tcPr>
            <w:tcW w:w="765" w:type="pct"/>
          </w:tcPr>
          <w:p w14:paraId="09C98394" w14:textId="77777777" w:rsidR="0025223A" w:rsidRPr="004C78D8" w:rsidRDefault="0025223A" w:rsidP="00FB7C1F">
            <w:pPr>
              <w:jc w:val="left"/>
              <w:rPr>
                <w:sz w:val="18"/>
                <w:szCs w:val="18"/>
              </w:rPr>
            </w:pPr>
            <w:r w:rsidRPr="004C78D8">
              <w:rPr>
                <w:sz w:val="18"/>
                <w:szCs w:val="18"/>
              </w:rPr>
              <w:t>Home exercise</w:t>
            </w:r>
          </w:p>
        </w:tc>
        <w:tc>
          <w:tcPr>
            <w:tcW w:w="255" w:type="pct"/>
            <w:tcBorders>
              <w:top w:val="nil"/>
              <w:bottom w:val="nil"/>
            </w:tcBorders>
            <w:vAlign w:val="center"/>
          </w:tcPr>
          <w:p w14:paraId="12C97D90" w14:textId="77777777" w:rsidR="0025223A" w:rsidRPr="004C78D8" w:rsidRDefault="0025223A" w:rsidP="00FB7C1F">
            <w:pPr>
              <w:jc w:val="center"/>
              <w:rPr>
                <w:sz w:val="28"/>
                <w:szCs w:val="28"/>
              </w:rPr>
            </w:pPr>
            <w:r w:rsidRPr="004C78D8">
              <w:rPr>
                <w:rFonts w:cs="Times New Roman"/>
                <w:sz w:val="28"/>
                <w:szCs w:val="28"/>
              </w:rPr>
              <w:t>˟</w:t>
            </w:r>
          </w:p>
        </w:tc>
        <w:tc>
          <w:tcPr>
            <w:tcW w:w="408" w:type="pct"/>
            <w:tcBorders>
              <w:top w:val="nil"/>
              <w:bottom w:val="nil"/>
            </w:tcBorders>
            <w:vAlign w:val="center"/>
          </w:tcPr>
          <w:p w14:paraId="56E2CB03" w14:textId="77777777" w:rsidR="0025223A" w:rsidRPr="004C78D8" w:rsidRDefault="0025223A" w:rsidP="00FB7C1F">
            <w:pPr>
              <w:jc w:val="center"/>
              <w:rPr>
                <w:sz w:val="28"/>
                <w:szCs w:val="28"/>
              </w:rPr>
            </w:pPr>
          </w:p>
        </w:tc>
        <w:tc>
          <w:tcPr>
            <w:tcW w:w="357" w:type="pct"/>
            <w:tcBorders>
              <w:top w:val="nil"/>
              <w:bottom w:val="nil"/>
            </w:tcBorders>
            <w:vAlign w:val="center"/>
          </w:tcPr>
          <w:p w14:paraId="559319CA" w14:textId="77777777" w:rsidR="0025223A" w:rsidRPr="004C78D8" w:rsidRDefault="0025223A" w:rsidP="00FB7C1F">
            <w:pPr>
              <w:jc w:val="center"/>
              <w:rPr>
                <w:sz w:val="28"/>
                <w:szCs w:val="28"/>
              </w:rPr>
            </w:pPr>
          </w:p>
        </w:tc>
        <w:tc>
          <w:tcPr>
            <w:tcW w:w="358" w:type="pct"/>
            <w:tcBorders>
              <w:top w:val="nil"/>
              <w:bottom w:val="nil"/>
            </w:tcBorders>
            <w:vAlign w:val="center"/>
          </w:tcPr>
          <w:p w14:paraId="07514336" w14:textId="77777777" w:rsidR="0025223A" w:rsidRPr="004C78D8" w:rsidRDefault="0025223A" w:rsidP="00FB7C1F">
            <w:pPr>
              <w:jc w:val="center"/>
              <w:rPr>
                <w:sz w:val="28"/>
                <w:szCs w:val="28"/>
              </w:rPr>
            </w:pPr>
          </w:p>
        </w:tc>
        <w:tc>
          <w:tcPr>
            <w:tcW w:w="306" w:type="pct"/>
            <w:tcBorders>
              <w:top w:val="nil"/>
              <w:bottom w:val="nil"/>
            </w:tcBorders>
            <w:vAlign w:val="center"/>
          </w:tcPr>
          <w:p w14:paraId="538C2683" w14:textId="77777777" w:rsidR="0025223A" w:rsidRPr="004C78D8" w:rsidRDefault="0025223A" w:rsidP="00FB7C1F">
            <w:pPr>
              <w:jc w:val="center"/>
              <w:rPr>
                <w:sz w:val="28"/>
                <w:szCs w:val="28"/>
              </w:rPr>
            </w:pPr>
            <w:r w:rsidRPr="004C78D8">
              <w:rPr>
                <w:rFonts w:cs="Times New Roman"/>
                <w:sz w:val="28"/>
                <w:szCs w:val="28"/>
              </w:rPr>
              <w:t>˟</w:t>
            </w:r>
          </w:p>
        </w:tc>
        <w:tc>
          <w:tcPr>
            <w:tcW w:w="306" w:type="pct"/>
            <w:tcBorders>
              <w:top w:val="nil"/>
              <w:bottom w:val="nil"/>
            </w:tcBorders>
            <w:vAlign w:val="center"/>
          </w:tcPr>
          <w:p w14:paraId="42AE5CC3" w14:textId="77777777" w:rsidR="0025223A" w:rsidRPr="004C78D8" w:rsidRDefault="0025223A" w:rsidP="00FB7C1F">
            <w:pPr>
              <w:jc w:val="center"/>
              <w:rPr>
                <w:sz w:val="28"/>
                <w:szCs w:val="28"/>
              </w:rPr>
            </w:pPr>
          </w:p>
        </w:tc>
        <w:tc>
          <w:tcPr>
            <w:tcW w:w="357" w:type="pct"/>
            <w:tcBorders>
              <w:top w:val="nil"/>
              <w:bottom w:val="nil"/>
            </w:tcBorders>
            <w:vAlign w:val="center"/>
          </w:tcPr>
          <w:p w14:paraId="36297145" w14:textId="77777777" w:rsidR="0025223A" w:rsidRPr="004C78D8" w:rsidRDefault="0025223A" w:rsidP="00FB7C1F">
            <w:pPr>
              <w:jc w:val="center"/>
              <w:rPr>
                <w:sz w:val="28"/>
                <w:szCs w:val="28"/>
              </w:rPr>
            </w:pPr>
          </w:p>
        </w:tc>
        <w:tc>
          <w:tcPr>
            <w:tcW w:w="357" w:type="pct"/>
            <w:tcBorders>
              <w:top w:val="nil"/>
              <w:bottom w:val="nil"/>
            </w:tcBorders>
            <w:vAlign w:val="center"/>
          </w:tcPr>
          <w:p w14:paraId="6EEB2208" w14:textId="77777777" w:rsidR="0025223A" w:rsidRPr="004C78D8" w:rsidRDefault="0025223A" w:rsidP="00FB7C1F">
            <w:pPr>
              <w:jc w:val="center"/>
              <w:rPr>
                <w:sz w:val="18"/>
                <w:szCs w:val="18"/>
              </w:rPr>
            </w:pPr>
            <w:r w:rsidRPr="004C78D8">
              <w:rPr>
                <w:sz w:val="18"/>
                <w:szCs w:val="18"/>
              </w:rPr>
              <w:t>OH</w:t>
            </w:r>
          </w:p>
        </w:tc>
        <w:tc>
          <w:tcPr>
            <w:tcW w:w="459" w:type="pct"/>
            <w:tcBorders>
              <w:top w:val="nil"/>
              <w:bottom w:val="nil"/>
            </w:tcBorders>
            <w:vAlign w:val="center"/>
          </w:tcPr>
          <w:p w14:paraId="4D856F10" w14:textId="77777777" w:rsidR="0025223A" w:rsidRPr="004C78D8" w:rsidRDefault="0025223A" w:rsidP="00FB7C1F">
            <w:pPr>
              <w:jc w:val="center"/>
              <w:rPr>
                <w:sz w:val="28"/>
                <w:szCs w:val="28"/>
              </w:rPr>
            </w:pPr>
            <w:r w:rsidRPr="004C78D8">
              <w:rPr>
                <w:rFonts w:cs="Times New Roman"/>
                <w:sz w:val="28"/>
                <w:szCs w:val="28"/>
              </w:rPr>
              <w:t>˟</w:t>
            </w:r>
          </w:p>
        </w:tc>
        <w:tc>
          <w:tcPr>
            <w:tcW w:w="408" w:type="pct"/>
            <w:tcBorders>
              <w:top w:val="nil"/>
              <w:bottom w:val="nil"/>
            </w:tcBorders>
            <w:vAlign w:val="center"/>
          </w:tcPr>
          <w:p w14:paraId="130290DB" w14:textId="77777777" w:rsidR="0025223A" w:rsidRPr="004C78D8" w:rsidRDefault="0025223A" w:rsidP="00FB7C1F">
            <w:pPr>
              <w:jc w:val="center"/>
              <w:rPr>
                <w:sz w:val="18"/>
                <w:szCs w:val="18"/>
              </w:rPr>
            </w:pPr>
            <w:r w:rsidRPr="004C78D8">
              <w:rPr>
                <w:sz w:val="18"/>
                <w:szCs w:val="18"/>
              </w:rPr>
              <w:t>PP</w:t>
            </w:r>
          </w:p>
        </w:tc>
      </w:tr>
      <w:tr w:rsidR="0025223A" w:rsidRPr="004C78D8" w14:paraId="6D84B2E9" w14:textId="77777777" w:rsidTr="002828C1">
        <w:tc>
          <w:tcPr>
            <w:tcW w:w="662" w:type="pct"/>
            <w:vMerge/>
          </w:tcPr>
          <w:p w14:paraId="001E0FA0" w14:textId="77777777" w:rsidR="0025223A" w:rsidRPr="004C78D8" w:rsidRDefault="0025223A" w:rsidP="00FB7C1F">
            <w:pPr>
              <w:jc w:val="left"/>
              <w:rPr>
                <w:sz w:val="18"/>
                <w:szCs w:val="18"/>
              </w:rPr>
            </w:pPr>
          </w:p>
        </w:tc>
        <w:tc>
          <w:tcPr>
            <w:tcW w:w="765" w:type="pct"/>
          </w:tcPr>
          <w:p w14:paraId="1C4A0BFF" w14:textId="77777777" w:rsidR="0025223A" w:rsidRPr="004C78D8" w:rsidRDefault="0025223A" w:rsidP="00FB7C1F">
            <w:pPr>
              <w:jc w:val="left"/>
              <w:rPr>
                <w:sz w:val="18"/>
                <w:szCs w:val="18"/>
              </w:rPr>
            </w:pPr>
            <w:r w:rsidRPr="004C78D8">
              <w:rPr>
                <w:sz w:val="18"/>
                <w:szCs w:val="18"/>
              </w:rPr>
              <w:t>Group exercise (peer-led)</w:t>
            </w:r>
          </w:p>
        </w:tc>
        <w:tc>
          <w:tcPr>
            <w:tcW w:w="255" w:type="pct"/>
            <w:tcBorders>
              <w:top w:val="nil"/>
              <w:bottom w:val="nil"/>
            </w:tcBorders>
            <w:vAlign w:val="center"/>
          </w:tcPr>
          <w:p w14:paraId="5FBB092E" w14:textId="77777777" w:rsidR="0025223A" w:rsidRPr="004C78D8" w:rsidRDefault="0025223A" w:rsidP="00FB7C1F">
            <w:pPr>
              <w:jc w:val="center"/>
              <w:rPr>
                <w:rFonts w:cs="Times New Roman"/>
                <w:sz w:val="28"/>
                <w:szCs w:val="28"/>
              </w:rPr>
            </w:pPr>
          </w:p>
        </w:tc>
        <w:tc>
          <w:tcPr>
            <w:tcW w:w="408" w:type="pct"/>
            <w:tcBorders>
              <w:top w:val="nil"/>
              <w:bottom w:val="nil"/>
            </w:tcBorders>
            <w:vAlign w:val="center"/>
          </w:tcPr>
          <w:p w14:paraId="255C263E" w14:textId="77777777" w:rsidR="0025223A" w:rsidRPr="004C78D8" w:rsidRDefault="0025223A" w:rsidP="00FB7C1F">
            <w:pPr>
              <w:jc w:val="center"/>
              <w:rPr>
                <w:sz w:val="28"/>
                <w:szCs w:val="28"/>
              </w:rPr>
            </w:pPr>
          </w:p>
        </w:tc>
        <w:tc>
          <w:tcPr>
            <w:tcW w:w="357" w:type="pct"/>
            <w:tcBorders>
              <w:top w:val="nil"/>
              <w:bottom w:val="nil"/>
            </w:tcBorders>
            <w:vAlign w:val="center"/>
          </w:tcPr>
          <w:p w14:paraId="5B33EE04" w14:textId="77777777" w:rsidR="0025223A" w:rsidRPr="004C78D8" w:rsidRDefault="0025223A" w:rsidP="00FB7C1F">
            <w:pPr>
              <w:jc w:val="center"/>
              <w:rPr>
                <w:sz w:val="28"/>
                <w:szCs w:val="28"/>
              </w:rPr>
            </w:pPr>
          </w:p>
        </w:tc>
        <w:tc>
          <w:tcPr>
            <w:tcW w:w="358" w:type="pct"/>
            <w:tcBorders>
              <w:top w:val="nil"/>
              <w:bottom w:val="nil"/>
            </w:tcBorders>
            <w:vAlign w:val="center"/>
          </w:tcPr>
          <w:p w14:paraId="723EF2F5" w14:textId="77777777" w:rsidR="0025223A" w:rsidRPr="004C78D8" w:rsidRDefault="0025223A" w:rsidP="00FB7C1F">
            <w:pPr>
              <w:jc w:val="center"/>
              <w:rPr>
                <w:sz w:val="28"/>
                <w:szCs w:val="28"/>
              </w:rPr>
            </w:pPr>
          </w:p>
        </w:tc>
        <w:tc>
          <w:tcPr>
            <w:tcW w:w="306" w:type="pct"/>
            <w:tcBorders>
              <w:top w:val="nil"/>
              <w:bottom w:val="nil"/>
            </w:tcBorders>
            <w:vAlign w:val="center"/>
          </w:tcPr>
          <w:p w14:paraId="73FB833B"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06" w:type="pct"/>
            <w:tcBorders>
              <w:top w:val="nil"/>
              <w:bottom w:val="nil"/>
            </w:tcBorders>
            <w:vAlign w:val="center"/>
          </w:tcPr>
          <w:p w14:paraId="12E673BC"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57" w:type="pct"/>
            <w:tcBorders>
              <w:top w:val="nil"/>
              <w:bottom w:val="nil"/>
            </w:tcBorders>
            <w:vAlign w:val="center"/>
          </w:tcPr>
          <w:p w14:paraId="2DF2AC2B" w14:textId="77777777" w:rsidR="0025223A" w:rsidRPr="004C78D8" w:rsidRDefault="0025223A" w:rsidP="00FB7C1F">
            <w:pPr>
              <w:jc w:val="center"/>
              <w:rPr>
                <w:sz w:val="28"/>
                <w:szCs w:val="28"/>
              </w:rPr>
            </w:pPr>
            <w:r w:rsidRPr="004C78D8">
              <w:rPr>
                <w:rFonts w:cs="Times New Roman"/>
                <w:sz w:val="28"/>
                <w:szCs w:val="28"/>
              </w:rPr>
              <w:t>˟</w:t>
            </w:r>
          </w:p>
        </w:tc>
        <w:tc>
          <w:tcPr>
            <w:tcW w:w="357" w:type="pct"/>
            <w:tcBorders>
              <w:top w:val="nil"/>
              <w:bottom w:val="nil"/>
            </w:tcBorders>
            <w:vAlign w:val="center"/>
          </w:tcPr>
          <w:p w14:paraId="51C3C24A" w14:textId="77777777" w:rsidR="0025223A" w:rsidRPr="004C78D8" w:rsidRDefault="0025223A" w:rsidP="00FB7C1F">
            <w:pPr>
              <w:jc w:val="center"/>
              <w:rPr>
                <w:sz w:val="18"/>
                <w:szCs w:val="18"/>
              </w:rPr>
            </w:pPr>
          </w:p>
        </w:tc>
        <w:tc>
          <w:tcPr>
            <w:tcW w:w="459" w:type="pct"/>
            <w:tcBorders>
              <w:top w:val="nil"/>
              <w:bottom w:val="nil"/>
            </w:tcBorders>
            <w:vAlign w:val="center"/>
          </w:tcPr>
          <w:p w14:paraId="5E017476" w14:textId="77777777" w:rsidR="0025223A" w:rsidRPr="004C78D8" w:rsidRDefault="0025223A" w:rsidP="00FB7C1F">
            <w:pPr>
              <w:jc w:val="center"/>
              <w:rPr>
                <w:rFonts w:cs="Times New Roman"/>
                <w:sz w:val="28"/>
                <w:szCs w:val="28"/>
              </w:rPr>
            </w:pPr>
          </w:p>
        </w:tc>
        <w:tc>
          <w:tcPr>
            <w:tcW w:w="408" w:type="pct"/>
            <w:tcBorders>
              <w:top w:val="nil"/>
              <w:bottom w:val="nil"/>
            </w:tcBorders>
            <w:vAlign w:val="center"/>
          </w:tcPr>
          <w:p w14:paraId="78DDBC10" w14:textId="77777777" w:rsidR="0025223A" w:rsidRPr="004C78D8" w:rsidRDefault="0025223A" w:rsidP="00FB7C1F">
            <w:pPr>
              <w:jc w:val="center"/>
              <w:rPr>
                <w:sz w:val="18"/>
                <w:szCs w:val="18"/>
              </w:rPr>
            </w:pPr>
            <w:r w:rsidRPr="004C78D8">
              <w:rPr>
                <w:sz w:val="18"/>
                <w:szCs w:val="18"/>
              </w:rPr>
              <w:t>PP</w:t>
            </w:r>
          </w:p>
        </w:tc>
      </w:tr>
      <w:tr w:rsidR="0025223A" w:rsidRPr="004C78D8" w14:paraId="6ACC838C" w14:textId="77777777" w:rsidTr="002828C1">
        <w:tc>
          <w:tcPr>
            <w:tcW w:w="662" w:type="pct"/>
            <w:vMerge w:val="restart"/>
          </w:tcPr>
          <w:p w14:paraId="16D093A7" w14:textId="77777777" w:rsidR="0025223A" w:rsidRPr="004C78D8" w:rsidRDefault="0025223A" w:rsidP="00FB7C1F">
            <w:pPr>
              <w:jc w:val="left"/>
              <w:rPr>
                <w:sz w:val="18"/>
                <w:szCs w:val="18"/>
              </w:rPr>
            </w:pPr>
            <w:r w:rsidRPr="004C78D8">
              <w:rPr>
                <w:sz w:val="18"/>
                <w:szCs w:val="18"/>
              </w:rPr>
              <w:t>Franklin (2019)</w:t>
            </w:r>
          </w:p>
        </w:tc>
        <w:tc>
          <w:tcPr>
            <w:tcW w:w="765" w:type="pct"/>
          </w:tcPr>
          <w:p w14:paraId="5ABD1CA6" w14:textId="77777777" w:rsidR="0025223A" w:rsidRPr="004C78D8" w:rsidRDefault="0025223A" w:rsidP="00FB7C1F">
            <w:pPr>
              <w:jc w:val="left"/>
              <w:rPr>
                <w:sz w:val="18"/>
                <w:szCs w:val="18"/>
              </w:rPr>
            </w:pPr>
            <w:r w:rsidRPr="004C78D8">
              <w:rPr>
                <w:sz w:val="18"/>
                <w:szCs w:val="18"/>
              </w:rPr>
              <w:t>FRS and home exercise</w:t>
            </w:r>
          </w:p>
        </w:tc>
        <w:tc>
          <w:tcPr>
            <w:tcW w:w="255" w:type="pct"/>
            <w:tcBorders>
              <w:top w:val="nil"/>
              <w:bottom w:val="nil"/>
            </w:tcBorders>
            <w:vAlign w:val="center"/>
          </w:tcPr>
          <w:p w14:paraId="2400E1E0" w14:textId="77777777" w:rsidR="0025223A" w:rsidRPr="004C78D8" w:rsidRDefault="0025223A" w:rsidP="00FB7C1F">
            <w:pPr>
              <w:jc w:val="center"/>
              <w:rPr>
                <w:rFonts w:cs="Times New Roman"/>
                <w:sz w:val="28"/>
                <w:szCs w:val="28"/>
              </w:rPr>
            </w:pPr>
          </w:p>
        </w:tc>
        <w:tc>
          <w:tcPr>
            <w:tcW w:w="408" w:type="pct"/>
            <w:tcBorders>
              <w:top w:val="nil"/>
              <w:bottom w:val="nil"/>
            </w:tcBorders>
            <w:vAlign w:val="center"/>
          </w:tcPr>
          <w:p w14:paraId="50E6127C" w14:textId="77777777" w:rsidR="0025223A" w:rsidRPr="004C78D8" w:rsidRDefault="0025223A" w:rsidP="00FB7C1F">
            <w:pPr>
              <w:jc w:val="center"/>
              <w:rPr>
                <w:sz w:val="28"/>
                <w:szCs w:val="28"/>
              </w:rPr>
            </w:pPr>
          </w:p>
        </w:tc>
        <w:tc>
          <w:tcPr>
            <w:tcW w:w="357" w:type="pct"/>
            <w:tcBorders>
              <w:top w:val="nil"/>
              <w:bottom w:val="nil"/>
            </w:tcBorders>
            <w:vAlign w:val="center"/>
          </w:tcPr>
          <w:p w14:paraId="255FFD29"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58" w:type="pct"/>
            <w:tcBorders>
              <w:top w:val="nil"/>
              <w:bottom w:val="nil"/>
            </w:tcBorders>
            <w:vAlign w:val="center"/>
          </w:tcPr>
          <w:p w14:paraId="6E7FC6C3" w14:textId="77777777" w:rsidR="0025223A" w:rsidRPr="004C78D8" w:rsidRDefault="0025223A" w:rsidP="00FB7C1F">
            <w:pPr>
              <w:jc w:val="center"/>
              <w:rPr>
                <w:rFonts w:cs="Times New Roman"/>
                <w:sz w:val="18"/>
                <w:szCs w:val="18"/>
              </w:rPr>
            </w:pPr>
            <w:r w:rsidRPr="004C78D8">
              <w:rPr>
                <w:rFonts w:cs="Times New Roman"/>
                <w:sz w:val="18"/>
                <w:szCs w:val="18"/>
              </w:rPr>
              <w:t>Set-up; Eval. cost</w:t>
            </w:r>
          </w:p>
        </w:tc>
        <w:tc>
          <w:tcPr>
            <w:tcW w:w="306" w:type="pct"/>
            <w:tcBorders>
              <w:top w:val="nil"/>
              <w:bottom w:val="nil"/>
            </w:tcBorders>
            <w:vAlign w:val="center"/>
          </w:tcPr>
          <w:p w14:paraId="36F921DF"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06" w:type="pct"/>
            <w:tcBorders>
              <w:top w:val="nil"/>
              <w:bottom w:val="nil"/>
            </w:tcBorders>
            <w:vAlign w:val="center"/>
          </w:tcPr>
          <w:p w14:paraId="0E954BBF"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57" w:type="pct"/>
            <w:tcBorders>
              <w:top w:val="nil"/>
              <w:bottom w:val="nil"/>
            </w:tcBorders>
            <w:vAlign w:val="center"/>
          </w:tcPr>
          <w:p w14:paraId="108788CD" w14:textId="77777777" w:rsidR="0025223A" w:rsidRPr="004C78D8" w:rsidRDefault="0025223A" w:rsidP="00FB7C1F">
            <w:pPr>
              <w:jc w:val="center"/>
              <w:rPr>
                <w:sz w:val="28"/>
                <w:szCs w:val="28"/>
              </w:rPr>
            </w:pPr>
            <w:r w:rsidRPr="004C78D8">
              <w:rPr>
                <w:rFonts w:cs="Times New Roman"/>
                <w:sz w:val="28"/>
                <w:szCs w:val="28"/>
              </w:rPr>
              <w:t>˟</w:t>
            </w:r>
          </w:p>
        </w:tc>
        <w:tc>
          <w:tcPr>
            <w:tcW w:w="357" w:type="pct"/>
            <w:tcBorders>
              <w:top w:val="nil"/>
              <w:bottom w:val="nil"/>
            </w:tcBorders>
            <w:vAlign w:val="center"/>
          </w:tcPr>
          <w:p w14:paraId="3A97CC9B" w14:textId="77777777" w:rsidR="0025223A" w:rsidRPr="004C78D8" w:rsidRDefault="0025223A" w:rsidP="00FB7C1F">
            <w:pPr>
              <w:jc w:val="center"/>
              <w:rPr>
                <w:rFonts w:cs="Times New Roman"/>
                <w:sz w:val="18"/>
                <w:szCs w:val="18"/>
              </w:rPr>
            </w:pPr>
          </w:p>
        </w:tc>
        <w:tc>
          <w:tcPr>
            <w:tcW w:w="459" w:type="pct"/>
            <w:tcBorders>
              <w:top w:val="nil"/>
              <w:bottom w:val="nil"/>
            </w:tcBorders>
            <w:vAlign w:val="center"/>
          </w:tcPr>
          <w:p w14:paraId="6C912F9F"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408" w:type="pct"/>
            <w:tcBorders>
              <w:top w:val="nil"/>
              <w:bottom w:val="nil"/>
            </w:tcBorders>
            <w:vAlign w:val="center"/>
          </w:tcPr>
          <w:p w14:paraId="18DCD462" w14:textId="77777777" w:rsidR="0025223A" w:rsidRPr="004C78D8" w:rsidRDefault="0025223A" w:rsidP="00FB7C1F">
            <w:pPr>
              <w:jc w:val="center"/>
              <w:rPr>
                <w:sz w:val="18"/>
                <w:szCs w:val="18"/>
              </w:rPr>
            </w:pPr>
            <w:r w:rsidRPr="004C78D8">
              <w:rPr>
                <w:sz w:val="18"/>
                <w:szCs w:val="18"/>
              </w:rPr>
              <w:t xml:space="preserve">Fixed &amp; PP </w:t>
            </w:r>
          </w:p>
        </w:tc>
      </w:tr>
      <w:tr w:rsidR="0025223A" w:rsidRPr="004C78D8" w14:paraId="19163C6C" w14:textId="77777777" w:rsidTr="002828C1">
        <w:tc>
          <w:tcPr>
            <w:tcW w:w="662" w:type="pct"/>
            <w:vMerge/>
          </w:tcPr>
          <w:p w14:paraId="42DF8ACB" w14:textId="77777777" w:rsidR="0025223A" w:rsidRPr="004C78D8" w:rsidRDefault="0025223A" w:rsidP="00FB7C1F">
            <w:pPr>
              <w:jc w:val="left"/>
              <w:rPr>
                <w:sz w:val="18"/>
                <w:szCs w:val="18"/>
              </w:rPr>
            </w:pPr>
          </w:p>
        </w:tc>
        <w:tc>
          <w:tcPr>
            <w:tcW w:w="765" w:type="pct"/>
          </w:tcPr>
          <w:p w14:paraId="14DC6E2F" w14:textId="77777777" w:rsidR="0025223A" w:rsidRPr="004C78D8" w:rsidRDefault="0025223A" w:rsidP="00FB7C1F">
            <w:pPr>
              <w:jc w:val="left"/>
              <w:rPr>
                <w:sz w:val="18"/>
                <w:szCs w:val="18"/>
              </w:rPr>
            </w:pPr>
            <w:r w:rsidRPr="004C78D8">
              <w:rPr>
                <w:sz w:val="18"/>
                <w:szCs w:val="18"/>
              </w:rPr>
              <w:t>FRS and group exercise (FaME)</w:t>
            </w:r>
          </w:p>
        </w:tc>
        <w:tc>
          <w:tcPr>
            <w:tcW w:w="255" w:type="pct"/>
            <w:tcBorders>
              <w:top w:val="nil"/>
              <w:bottom w:val="nil"/>
            </w:tcBorders>
            <w:vAlign w:val="center"/>
          </w:tcPr>
          <w:p w14:paraId="677BABC8" w14:textId="77777777" w:rsidR="0025223A" w:rsidRPr="004C78D8" w:rsidRDefault="0025223A" w:rsidP="00FB7C1F">
            <w:pPr>
              <w:jc w:val="center"/>
              <w:rPr>
                <w:rFonts w:cs="Times New Roman"/>
                <w:sz w:val="28"/>
                <w:szCs w:val="28"/>
              </w:rPr>
            </w:pPr>
          </w:p>
        </w:tc>
        <w:tc>
          <w:tcPr>
            <w:tcW w:w="408" w:type="pct"/>
            <w:tcBorders>
              <w:top w:val="nil"/>
              <w:bottom w:val="nil"/>
            </w:tcBorders>
            <w:vAlign w:val="center"/>
          </w:tcPr>
          <w:p w14:paraId="0E7A0607" w14:textId="77777777" w:rsidR="0025223A" w:rsidRPr="004C78D8" w:rsidRDefault="0025223A" w:rsidP="00FB7C1F">
            <w:pPr>
              <w:jc w:val="center"/>
              <w:rPr>
                <w:sz w:val="28"/>
                <w:szCs w:val="28"/>
              </w:rPr>
            </w:pPr>
          </w:p>
        </w:tc>
        <w:tc>
          <w:tcPr>
            <w:tcW w:w="357" w:type="pct"/>
            <w:tcBorders>
              <w:top w:val="nil"/>
              <w:bottom w:val="nil"/>
            </w:tcBorders>
            <w:vAlign w:val="center"/>
          </w:tcPr>
          <w:p w14:paraId="7A46035F"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58" w:type="pct"/>
            <w:tcBorders>
              <w:top w:val="nil"/>
              <w:bottom w:val="nil"/>
            </w:tcBorders>
            <w:vAlign w:val="center"/>
          </w:tcPr>
          <w:p w14:paraId="6AFC42A1" w14:textId="77777777" w:rsidR="0025223A" w:rsidRPr="004C78D8" w:rsidRDefault="0025223A" w:rsidP="00FB7C1F">
            <w:pPr>
              <w:jc w:val="center"/>
              <w:rPr>
                <w:rFonts w:cs="Times New Roman"/>
                <w:sz w:val="28"/>
                <w:szCs w:val="28"/>
              </w:rPr>
            </w:pPr>
            <w:r w:rsidRPr="004C78D8">
              <w:rPr>
                <w:rFonts w:cs="Times New Roman"/>
                <w:sz w:val="18"/>
                <w:szCs w:val="18"/>
              </w:rPr>
              <w:t>Set-up; Eval. cost</w:t>
            </w:r>
          </w:p>
        </w:tc>
        <w:tc>
          <w:tcPr>
            <w:tcW w:w="306" w:type="pct"/>
            <w:tcBorders>
              <w:top w:val="nil"/>
              <w:bottom w:val="nil"/>
            </w:tcBorders>
            <w:vAlign w:val="center"/>
          </w:tcPr>
          <w:p w14:paraId="6A9502B6"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06" w:type="pct"/>
            <w:tcBorders>
              <w:top w:val="nil"/>
              <w:bottom w:val="nil"/>
            </w:tcBorders>
            <w:vAlign w:val="center"/>
          </w:tcPr>
          <w:p w14:paraId="7195F36E"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57" w:type="pct"/>
            <w:tcBorders>
              <w:top w:val="nil"/>
              <w:bottom w:val="nil"/>
            </w:tcBorders>
            <w:vAlign w:val="center"/>
          </w:tcPr>
          <w:p w14:paraId="20A8B1B5" w14:textId="77777777" w:rsidR="0025223A" w:rsidRPr="004C78D8" w:rsidRDefault="0025223A" w:rsidP="00FB7C1F">
            <w:pPr>
              <w:jc w:val="center"/>
              <w:rPr>
                <w:sz w:val="28"/>
                <w:szCs w:val="28"/>
              </w:rPr>
            </w:pPr>
            <w:r w:rsidRPr="004C78D8">
              <w:rPr>
                <w:rFonts w:cs="Times New Roman"/>
                <w:sz w:val="28"/>
                <w:szCs w:val="28"/>
              </w:rPr>
              <w:t>˟</w:t>
            </w:r>
          </w:p>
        </w:tc>
        <w:tc>
          <w:tcPr>
            <w:tcW w:w="357" w:type="pct"/>
            <w:tcBorders>
              <w:top w:val="nil"/>
              <w:bottom w:val="nil"/>
            </w:tcBorders>
            <w:vAlign w:val="center"/>
          </w:tcPr>
          <w:p w14:paraId="02B63237" w14:textId="77777777" w:rsidR="0025223A" w:rsidRPr="004C78D8" w:rsidRDefault="0025223A" w:rsidP="00FB7C1F">
            <w:pPr>
              <w:jc w:val="center"/>
              <w:rPr>
                <w:rFonts w:cs="Times New Roman"/>
                <w:sz w:val="18"/>
                <w:szCs w:val="18"/>
              </w:rPr>
            </w:pPr>
            <w:r w:rsidRPr="004C78D8">
              <w:rPr>
                <w:sz w:val="18"/>
                <w:szCs w:val="18"/>
              </w:rPr>
              <w:t>VN&amp;OH</w:t>
            </w:r>
          </w:p>
        </w:tc>
        <w:tc>
          <w:tcPr>
            <w:tcW w:w="459" w:type="pct"/>
            <w:tcBorders>
              <w:top w:val="nil"/>
              <w:bottom w:val="nil"/>
            </w:tcBorders>
            <w:vAlign w:val="center"/>
          </w:tcPr>
          <w:p w14:paraId="22B12A12"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408" w:type="pct"/>
            <w:tcBorders>
              <w:top w:val="nil"/>
              <w:bottom w:val="nil"/>
            </w:tcBorders>
            <w:vAlign w:val="center"/>
          </w:tcPr>
          <w:p w14:paraId="01A7AFF7" w14:textId="77777777" w:rsidR="0025223A" w:rsidRPr="004C78D8" w:rsidRDefault="0025223A" w:rsidP="00FB7C1F">
            <w:pPr>
              <w:jc w:val="center"/>
              <w:rPr>
                <w:sz w:val="18"/>
                <w:szCs w:val="18"/>
              </w:rPr>
            </w:pPr>
            <w:r w:rsidRPr="004C78D8">
              <w:rPr>
                <w:sz w:val="18"/>
                <w:szCs w:val="18"/>
              </w:rPr>
              <w:t>Fixed &amp; PP</w:t>
            </w:r>
          </w:p>
        </w:tc>
      </w:tr>
      <w:tr w:rsidR="0025223A" w:rsidRPr="004C78D8" w14:paraId="1F9179DA" w14:textId="77777777" w:rsidTr="002828C1">
        <w:tc>
          <w:tcPr>
            <w:tcW w:w="662" w:type="pct"/>
            <w:vMerge/>
          </w:tcPr>
          <w:p w14:paraId="0518BCBA" w14:textId="77777777" w:rsidR="0025223A" w:rsidRPr="004C78D8" w:rsidRDefault="0025223A" w:rsidP="00FB7C1F">
            <w:pPr>
              <w:jc w:val="left"/>
              <w:rPr>
                <w:sz w:val="18"/>
                <w:szCs w:val="18"/>
              </w:rPr>
            </w:pPr>
          </w:p>
        </w:tc>
        <w:tc>
          <w:tcPr>
            <w:tcW w:w="765" w:type="pct"/>
          </w:tcPr>
          <w:p w14:paraId="210CE11C" w14:textId="77777777" w:rsidR="0025223A" w:rsidRPr="004C78D8" w:rsidRDefault="0025223A" w:rsidP="00FB7C1F">
            <w:pPr>
              <w:jc w:val="left"/>
              <w:rPr>
                <w:sz w:val="18"/>
                <w:szCs w:val="18"/>
              </w:rPr>
            </w:pPr>
            <w:r w:rsidRPr="004C78D8">
              <w:rPr>
                <w:sz w:val="18"/>
                <w:szCs w:val="18"/>
              </w:rPr>
              <w:t>FRS and Tai Chi (group or home)</w:t>
            </w:r>
          </w:p>
        </w:tc>
        <w:tc>
          <w:tcPr>
            <w:tcW w:w="255" w:type="pct"/>
            <w:tcBorders>
              <w:top w:val="nil"/>
              <w:bottom w:val="nil"/>
            </w:tcBorders>
            <w:vAlign w:val="center"/>
          </w:tcPr>
          <w:p w14:paraId="0624AD7B" w14:textId="77777777" w:rsidR="0025223A" w:rsidRPr="004C78D8" w:rsidRDefault="0025223A" w:rsidP="00FB7C1F">
            <w:pPr>
              <w:jc w:val="center"/>
              <w:rPr>
                <w:rFonts w:cs="Times New Roman"/>
                <w:sz w:val="28"/>
                <w:szCs w:val="28"/>
              </w:rPr>
            </w:pPr>
          </w:p>
        </w:tc>
        <w:tc>
          <w:tcPr>
            <w:tcW w:w="408" w:type="pct"/>
            <w:tcBorders>
              <w:top w:val="nil"/>
              <w:bottom w:val="nil"/>
            </w:tcBorders>
            <w:vAlign w:val="center"/>
          </w:tcPr>
          <w:p w14:paraId="481FE94A" w14:textId="77777777" w:rsidR="0025223A" w:rsidRPr="004C78D8" w:rsidRDefault="0025223A" w:rsidP="00FB7C1F">
            <w:pPr>
              <w:jc w:val="center"/>
              <w:rPr>
                <w:sz w:val="28"/>
                <w:szCs w:val="28"/>
              </w:rPr>
            </w:pPr>
          </w:p>
        </w:tc>
        <w:tc>
          <w:tcPr>
            <w:tcW w:w="357" w:type="pct"/>
            <w:tcBorders>
              <w:top w:val="nil"/>
              <w:bottom w:val="nil"/>
            </w:tcBorders>
            <w:vAlign w:val="center"/>
          </w:tcPr>
          <w:p w14:paraId="0B45946A"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58" w:type="pct"/>
            <w:tcBorders>
              <w:top w:val="nil"/>
              <w:bottom w:val="nil"/>
            </w:tcBorders>
            <w:vAlign w:val="center"/>
          </w:tcPr>
          <w:p w14:paraId="075B5E1C" w14:textId="77777777" w:rsidR="0025223A" w:rsidRPr="004C78D8" w:rsidRDefault="0025223A" w:rsidP="00FB7C1F">
            <w:pPr>
              <w:jc w:val="center"/>
              <w:rPr>
                <w:rFonts w:cs="Times New Roman"/>
                <w:sz w:val="28"/>
                <w:szCs w:val="28"/>
              </w:rPr>
            </w:pPr>
            <w:r w:rsidRPr="004C78D8">
              <w:rPr>
                <w:rFonts w:cs="Times New Roman"/>
                <w:sz w:val="18"/>
                <w:szCs w:val="18"/>
              </w:rPr>
              <w:t>Set-up; Eval. cost</w:t>
            </w:r>
          </w:p>
        </w:tc>
        <w:tc>
          <w:tcPr>
            <w:tcW w:w="306" w:type="pct"/>
            <w:tcBorders>
              <w:top w:val="nil"/>
              <w:bottom w:val="nil"/>
            </w:tcBorders>
            <w:vAlign w:val="center"/>
          </w:tcPr>
          <w:p w14:paraId="5736031B"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06" w:type="pct"/>
            <w:tcBorders>
              <w:top w:val="nil"/>
              <w:bottom w:val="nil"/>
            </w:tcBorders>
            <w:vAlign w:val="center"/>
          </w:tcPr>
          <w:p w14:paraId="4E21FFB8"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57" w:type="pct"/>
            <w:tcBorders>
              <w:top w:val="nil"/>
              <w:bottom w:val="nil"/>
            </w:tcBorders>
            <w:vAlign w:val="center"/>
          </w:tcPr>
          <w:p w14:paraId="095C18AE" w14:textId="77777777" w:rsidR="0025223A" w:rsidRPr="004C78D8" w:rsidRDefault="0025223A" w:rsidP="00FB7C1F">
            <w:pPr>
              <w:jc w:val="center"/>
              <w:rPr>
                <w:sz w:val="28"/>
                <w:szCs w:val="28"/>
              </w:rPr>
            </w:pPr>
            <w:r w:rsidRPr="004C78D8">
              <w:rPr>
                <w:rFonts w:cs="Times New Roman"/>
                <w:sz w:val="28"/>
                <w:szCs w:val="28"/>
              </w:rPr>
              <w:t>˟</w:t>
            </w:r>
          </w:p>
        </w:tc>
        <w:tc>
          <w:tcPr>
            <w:tcW w:w="357" w:type="pct"/>
            <w:tcBorders>
              <w:top w:val="nil"/>
              <w:bottom w:val="nil"/>
            </w:tcBorders>
            <w:vAlign w:val="center"/>
          </w:tcPr>
          <w:p w14:paraId="2D2B6EBA" w14:textId="77777777" w:rsidR="0025223A" w:rsidRPr="004C78D8" w:rsidRDefault="0025223A" w:rsidP="00FB7C1F">
            <w:pPr>
              <w:jc w:val="center"/>
              <w:rPr>
                <w:rFonts w:cs="Times New Roman"/>
                <w:sz w:val="18"/>
                <w:szCs w:val="18"/>
              </w:rPr>
            </w:pPr>
            <w:r w:rsidRPr="004C78D8">
              <w:rPr>
                <w:sz w:val="18"/>
                <w:szCs w:val="18"/>
              </w:rPr>
              <w:t>VN&amp;OH</w:t>
            </w:r>
          </w:p>
        </w:tc>
        <w:tc>
          <w:tcPr>
            <w:tcW w:w="459" w:type="pct"/>
            <w:tcBorders>
              <w:top w:val="nil"/>
              <w:bottom w:val="nil"/>
            </w:tcBorders>
            <w:vAlign w:val="center"/>
          </w:tcPr>
          <w:p w14:paraId="7643B327"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408" w:type="pct"/>
            <w:tcBorders>
              <w:top w:val="nil"/>
              <w:bottom w:val="nil"/>
            </w:tcBorders>
            <w:vAlign w:val="center"/>
          </w:tcPr>
          <w:p w14:paraId="1E3CDA5A" w14:textId="77777777" w:rsidR="0025223A" w:rsidRPr="004C78D8" w:rsidRDefault="0025223A" w:rsidP="00FB7C1F">
            <w:pPr>
              <w:jc w:val="center"/>
              <w:rPr>
                <w:sz w:val="18"/>
                <w:szCs w:val="18"/>
              </w:rPr>
            </w:pPr>
            <w:r w:rsidRPr="004C78D8">
              <w:rPr>
                <w:sz w:val="18"/>
                <w:szCs w:val="18"/>
              </w:rPr>
              <w:t>Fixed &amp; PP</w:t>
            </w:r>
          </w:p>
        </w:tc>
      </w:tr>
      <w:tr w:rsidR="0025223A" w:rsidRPr="004C78D8" w14:paraId="79B698B6" w14:textId="77777777" w:rsidTr="002828C1">
        <w:tc>
          <w:tcPr>
            <w:tcW w:w="662" w:type="pct"/>
            <w:vMerge w:val="restart"/>
          </w:tcPr>
          <w:p w14:paraId="2AFC5ACA" w14:textId="77777777" w:rsidR="0025223A" w:rsidRPr="004C78D8" w:rsidRDefault="0025223A" w:rsidP="00FB7C1F">
            <w:pPr>
              <w:jc w:val="left"/>
              <w:rPr>
                <w:sz w:val="18"/>
                <w:szCs w:val="18"/>
              </w:rPr>
            </w:pPr>
            <w:r w:rsidRPr="004C78D8">
              <w:rPr>
                <w:sz w:val="18"/>
                <w:szCs w:val="18"/>
              </w:rPr>
              <w:t>Frick (2010)</w:t>
            </w:r>
          </w:p>
        </w:tc>
        <w:tc>
          <w:tcPr>
            <w:tcW w:w="765" w:type="pct"/>
          </w:tcPr>
          <w:p w14:paraId="2E33D2DF" w14:textId="77777777" w:rsidR="0025223A" w:rsidRPr="004C78D8" w:rsidRDefault="0025223A" w:rsidP="00FB7C1F">
            <w:pPr>
              <w:jc w:val="left"/>
              <w:rPr>
                <w:sz w:val="18"/>
                <w:szCs w:val="18"/>
              </w:rPr>
            </w:pPr>
            <w:r w:rsidRPr="004C78D8">
              <w:rPr>
                <w:sz w:val="18"/>
                <w:szCs w:val="18"/>
              </w:rPr>
              <w:t>Muscle &amp; balance training</w:t>
            </w:r>
          </w:p>
        </w:tc>
        <w:tc>
          <w:tcPr>
            <w:tcW w:w="255" w:type="pct"/>
            <w:tcBorders>
              <w:top w:val="nil"/>
              <w:bottom w:val="nil"/>
            </w:tcBorders>
            <w:vAlign w:val="center"/>
          </w:tcPr>
          <w:p w14:paraId="152D8689" w14:textId="77777777" w:rsidR="0025223A" w:rsidRPr="004C78D8" w:rsidRDefault="0025223A" w:rsidP="00FB7C1F">
            <w:pPr>
              <w:jc w:val="center"/>
              <w:rPr>
                <w:rFonts w:cs="Times New Roman"/>
                <w:sz w:val="28"/>
                <w:szCs w:val="28"/>
              </w:rPr>
            </w:pPr>
          </w:p>
        </w:tc>
        <w:tc>
          <w:tcPr>
            <w:tcW w:w="408" w:type="pct"/>
            <w:tcBorders>
              <w:top w:val="nil"/>
              <w:bottom w:val="nil"/>
            </w:tcBorders>
            <w:vAlign w:val="center"/>
          </w:tcPr>
          <w:p w14:paraId="0E8F013A" w14:textId="77777777" w:rsidR="0025223A" w:rsidRPr="004C78D8" w:rsidRDefault="0025223A" w:rsidP="00FB7C1F">
            <w:pPr>
              <w:jc w:val="center"/>
              <w:rPr>
                <w:sz w:val="28"/>
                <w:szCs w:val="28"/>
              </w:rPr>
            </w:pPr>
          </w:p>
        </w:tc>
        <w:tc>
          <w:tcPr>
            <w:tcW w:w="357" w:type="pct"/>
            <w:tcBorders>
              <w:top w:val="nil"/>
              <w:bottom w:val="nil"/>
            </w:tcBorders>
            <w:vAlign w:val="center"/>
          </w:tcPr>
          <w:p w14:paraId="1F2EBE2D" w14:textId="77777777" w:rsidR="0025223A" w:rsidRPr="004C78D8" w:rsidRDefault="0025223A" w:rsidP="00FB7C1F">
            <w:pPr>
              <w:jc w:val="center"/>
              <w:rPr>
                <w:rFonts w:cs="Times New Roman"/>
                <w:sz w:val="28"/>
                <w:szCs w:val="28"/>
              </w:rPr>
            </w:pPr>
          </w:p>
        </w:tc>
        <w:tc>
          <w:tcPr>
            <w:tcW w:w="358" w:type="pct"/>
            <w:tcBorders>
              <w:top w:val="nil"/>
              <w:bottom w:val="nil"/>
            </w:tcBorders>
            <w:vAlign w:val="center"/>
          </w:tcPr>
          <w:p w14:paraId="5F428F59" w14:textId="77777777" w:rsidR="0025223A" w:rsidRPr="004C78D8" w:rsidRDefault="0025223A" w:rsidP="00FB7C1F">
            <w:pPr>
              <w:jc w:val="center"/>
              <w:rPr>
                <w:rFonts w:cs="Times New Roman"/>
                <w:sz w:val="28"/>
                <w:szCs w:val="28"/>
              </w:rPr>
            </w:pPr>
          </w:p>
        </w:tc>
        <w:tc>
          <w:tcPr>
            <w:tcW w:w="306" w:type="pct"/>
            <w:tcBorders>
              <w:top w:val="nil"/>
              <w:bottom w:val="nil"/>
            </w:tcBorders>
            <w:vAlign w:val="center"/>
          </w:tcPr>
          <w:p w14:paraId="178242B8"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06" w:type="pct"/>
            <w:tcBorders>
              <w:top w:val="nil"/>
              <w:bottom w:val="nil"/>
            </w:tcBorders>
            <w:vAlign w:val="center"/>
          </w:tcPr>
          <w:p w14:paraId="7B464A35" w14:textId="77777777" w:rsidR="0025223A" w:rsidRPr="004C78D8" w:rsidRDefault="0025223A" w:rsidP="00FB7C1F">
            <w:pPr>
              <w:jc w:val="center"/>
              <w:rPr>
                <w:rFonts w:cs="Times New Roman"/>
                <w:sz w:val="28"/>
                <w:szCs w:val="28"/>
              </w:rPr>
            </w:pPr>
          </w:p>
        </w:tc>
        <w:tc>
          <w:tcPr>
            <w:tcW w:w="357" w:type="pct"/>
            <w:tcBorders>
              <w:top w:val="nil"/>
              <w:bottom w:val="nil"/>
            </w:tcBorders>
            <w:vAlign w:val="center"/>
          </w:tcPr>
          <w:p w14:paraId="5299CA64" w14:textId="77777777" w:rsidR="0025223A" w:rsidRPr="004C78D8" w:rsidRDefault="0025223A" w:rsidP="00FB7C1F">
            <w:pPr>
              <w:jc w:val="center"/>
              <w:rPr>
                <w:sz w:val="20"/>
                <w:szCs w:val="20"/>
              </w:rPr>
            </w:pPr>
            <w:r w:rsidRPr="004C78D8">
              <w:rPr>
                <w:rFonts w:cs="Times New Roman"/>
                <w:sz w:val="28"/>
                <w:szCs w:val="28"/>
              </w:rPr>
              <w:t>˟</w:t>
            </w:r>
          </w:p>
        </w:tc>
        <w:tc>
          <w:tcPr>
            <w:tcW w:w="357" w:type="pct"/>
            <w:tcBorders>
              <w:top w:val="nil"/>
              <w:bottom w:val="nil"/>
            </w:tcBorders>
            <w:vAlign w:val="center"/>
          </w:tcPr>
          <w:p w14:paraId="70F630F9" w14:textId="77777777" w:rsidR="0025223A" w:rsidRPr="004C78D8" w:rsidRDefault="0025223A" w:rsidP="00FB7C1F">
            <w:pPr>
              <w:jc w:val="center"/>
              <w:rPr>
                <w:rFonts w:cs="Times New Roman"/>
                <w:sz w:val="18"/>
                <w:szCs w:val="18"/>
              </w:rPr>
            </w:pPr>
            <w:r w:rsidRPr="004C78D8">
              <w:rPr>
                <w:sz w:val="18"/>
                <w:szCs w:val="18"/>
              </w:rPr>
              <w:t>OH</w:t>
            </w:r>
          </w:p>
        </w:tc>
        <w:tc>
          <w:tcPr>
            <w:tcW w:w="459" w:type="pct"/>
            <w:tcBorders>
              <w:top w:val="nil"/>
              <w:bottom w:val="nil"/>
            </w:tcBorders>
            <w:vAlign w:val="center"/>
          </w:tcPr>
          <w:p w14:paraId="2FC1A7B6" w14:textId="77777777" w:rsidR="0025223A" w:rsidRPr="004C78D8" w:rsidRDefault="0025223A" w:rsidP="00FB7C1F">
            <w:pPr>
              <w:jc w:val="center"/>
              <w:rPr>
                <w:rFonts w:cs="Times New Roman"/>
                <w:sz w:val="28"/>
                <w:szCs w:val="28"/>
              </w:rPr>
            </w:pPr>
          </w:p>
        </w:tc>
        <w:tc>
          <w:tcPr>
            <w:tcW w:w="408" w:type="pct"/>
            <w:tcBorders>
              <w:top w:val="nil"/>
              <w:bottom w:val="nil"/>
            </w:tcBorders>
            <w:vAlign w:val="center"/>
          </w:tcPr>
          <w:p w14:paraId="334BB048" w14:textId="77777777" w:rsidR="0025223A" w:rsidRPr="004C78D8" w:rsidRDefault="0025223A" w:rsidP="00FB7C1F">
            <w:pPr>
              <w:jc w:val="center"/>
              <w:rPr>
                <w:sz w:val="18"/>
                <w:szCs w:val="18"/>
              </w:rPr>
            </w:pPr>
            <w:r w:rsidRPr="004C78D8">
              <w:rPr>
                <w:sz w:val="18"/>
                <w:szCs w:val="18"/>
              </w:rPr>
              <w:t>PP</w:t>
            </w:r>
          </w:p>
        </w:tc>
      </w:tr>
      <w:tr w:rsidR="0025223A" w:rsidRPr="004C78D8" w14:paraId="16422BA0" w14:textId="77777777" w:rsidTr="002828C1">
        <w:tc>
          <w:tcPr>
            <w:tcW w:w="662" w:type="pct"/>
            <w:vMerge/>
          </w:tcPr>
          <w:p w14:paraId="6D0D8729" w14:textId="77777777" w:rsidR="0025223A" w:rsidRPr="004C78D8" w:rsidRDefault="0025223A" w:rsidP="00FB7C1F">
            <w:pPr>
              <w:jc w:val="left"/>
              <w:rPr>
                <w:sz w:val="18"/>
                <w:szCs w:val="18"/>
              </w:rPr>
            </w:pPr>
          </w:p>
        </w:tc>
        <w:tc>
          <w:tcPr>
            <w:tcW w:w="765" w:type="pct"/>
          </w:tcPr>
          <w:p w14:paraId="3B071247" w14:textId="77777777" w:rsidR="0025223A" w:rsidRPr="004C78D8" w:rsidRDefault="0025223A" w:rsidP="00FB7C1F">
            <w:pPr>
              <w:jc w:val="left"/>
              <w:rPr>
                <w:sz w:val="18"/>
                <w:szCs w:val="18"/>
              </w:rPr>
            </w:pPr>
            <w:r w:rsidRPr="004C78D8">
              <w:rPr>
                <w:sz w:val="18"/>
                <w:szCs w:val="18"/>
              </w:rPr>
              <w:t>Tai Chi</w:t>
            </w:r>
          </w:p>
        </w:tc>
        <w:tc>
          <w:tcPr>
            <w:tcW w:w="255" w:type="pct"/>
            <w:tcBorders>
              <w:top w:val="nil"/>
              <w:bottom w:val="nil"/>
            </w:tcBorders>
            <w:vAlign w:val="center"/>
          </w:tcPr>
          <w:p w14:paraId="1954F44E" w14:textId="77777777" w:rsidR="0025223A" w:rsidRPr="004C78D8" w:rsidRDefault="0025223A" w:rsidP="00FB7C1F">
            <w:pPr>
              <w:jc w:val="center"/>
              <w:rPr>
                <w:rFonts w:cs="Times New Roman"/>
                <w:sz w:val="28"/>
                <w:szCs w:val="28"/>
              </w:rPr>
            </w:pPr>
          </w:p>
        </w:tc>
        <w:tc>
          <w:tcPr>
            <w:tcW w:w="408" w:type="pct"/>
            <w:tcBorders>
              <w:top w:val="nil"/>
              <w:bottom w:val="nil"/>
            </w:tcBorders>
            <w:vAlign w:val="center"/>
          </w:tcPr>
          <w:p w14:paraId="6B2D04E3" w14:textId="77777777" w:rsidR="0025223A" w:rsidRPr="004C78D8" w:rsidRDefault="0025223A" w:rsidP="00FB7C1F">
            <w:pPr>
              <w:jc w:val="center"/>
              <w:rPr>
                <w:sz w:val="28"/>
                <w:szCs w:val="28"/>
              </w:rPr>
            </w:pPr>
          </w:p>
        </w:tc>
        <w:tc>
          <w:tcPr>
            <w:tcW w:w="357" w:type="pct"/>
            <w:tcBorders>
              <w:top w:val="nil"/>
              <w:bottom w:val="nil"/>
            </w:tcBorders>
            <w:vAlign w:val="center"/>
          </w:tcPr>
          <w:p w14:paraId="39216D47" w14:textId="77777777" w:rsidR="0025223A" w:rsidRPr="004C78D8" w:rsidRDefault="0025223A" w:rsidP="00FB7C1F">
            <w:pPr>
              <w:jc w:val="center"/>
              <w:rPr>
                <w:rFonts w:cs="Times New Roman"/>
                <w:sz w:val="28"/>
                <w:szCs w:val="28"/>
              </w:rPr>
            </w:pPr>
          </w:p>
        </w:tc>
        <w:tc>
          <w:tcPr>
            <w:tcW w:w="358" w:type="pct"/>
            <w:tcBorders>
              <w:top w:val="nil"/>
              <w:bottom w:val="nil"/>
            </w:tcBorders>
            <w:vAlign w:val="center"/>
          </w:tcPr>
          <w:p w14:paraId="526A1D86" w14:textId="77777777" w:rsidR="0025223A" w:rsidRPr="004C78D8" w:rsidRDefault="0025223A" w:rsidP="00FB7C1F">
            <w:pPr>
              <w:jc w:val="center"/>
              <w:rPr>
                <w:rFonts w:cs="Times New Roman"/>
                <w:sz w:val="28"/>
                <w:szCs w:val="28"/>
              </w:rPr>
            </w:pPr>
          </w:p>
        </w:tc>
        <w:tc>
          <w:tcPr>
            <w:tcW w:w="306" w:type="pct"/>
            <w:tcBorders>
              <w:top w:val="nil"/>
              <w:bottom w:val="nil"/>
            </w:tcBorders>
            <w:vAlign w:val="center"/>
          </w:tcPr>
          <w:p w14:paraId="4BFB8AA0"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06" w:type="pct"/>
            <w:tcBorders>
              <w:top w:val="nil"/>
              <w:bottom w:val="nil"/>
            </w:tcBorders>
            <w:vAlign w:val="center"/>
          </w:tcPr>
          <w:p w14:paraId="0C01FA03" w14:textId="77777777" w:rsidR="0025223A" w:rsidRPr="004C78D8" w:rsidRDefault="0025223A" w:rsidP="00FB7C1F">
            <w:pPr>
              <w:jc w:val="center"/>
              <w:rPr>
                <w:rFonts w:cs="Times New Roman"/>
                <w:sz w:val="28"/>
                <w:szCs w:val="28"/>
              </w:rPr>
            </w:pPr>
          </w:p>
        </w:tc>
        <w:tc>
          <w:tcPr>
            <w:tcW w:w="357" w:type="pct"/>
            <w:tcBorders>
              <w:top w:val="nil"/>
              <w:bottom w:val="nil"/>
            </w:tcBorders>
            <w:vAlign w:val="center"/>
          </w:tcPr>
          <w:p w14:paraId="42E10F6B" w14:textId="77777777" w:rsidR="0025223A" w:rsidRPr="004C78D8" w:rsidRDefault="0025223A" w:rsidP="00FB7C1F">
            <w:pPr>
              <w:jc w:val="center"/>
              <w:rPr>
                <w:sz w:val="20"/>
                <w:szCs w:val="20"/>
              </w:rPr>
            </w:pPr>
            <w:r w:rsidRPr="004C78D8">
              <w:rPr>
                <w:rFonts w:cs="Times New Roman"/>
                <w:sz w:val="28"/>
                <w:szCs w:val="28"/>
              </w:rPr>
              <w:t>˟</w:t>
            </w:r>
          </w:p>
        </w:tc>
        <w:tc>
          <w:tcPr>
            <w:tcW w:w="357" w:type="pct"/>
            <w:tcBorders>
              <w:top w:val="nil"/>
              <w:bottom w:val="nil"/>
            </w:tcBorders>
            <w:vAlign w:val="center"/>
          </w:tcPr>
          <w:p w14:paraId="4F195CE7" w14:textId="77777777" w:rsidR="0025223A" w:rsidRPr="004C78D8" w:rsidRDefault="0025223A" w:rsidP="00FB7C1F">
            <w:pPr>
              <w:jc w:val="center"/>
              <w:rPr>
                <w:rFonts w:cs="Times New Roman"/>
                <w:sz w:val="18"/>
                <w:szCs w:val="18"/>
              </w:rPr>
            </w:pPr>
            <w:r w:rsidRPr="004C78D8">
              <w:rPr>
                <w:sz w:val="18"/>
                <w:szCs w:val="18"/>
              </w:rPr>
              <w:t>OH</w:t>
            </w:r>
          </w:p>
        </w:tc>
        <w:tc>
          <w:tcPr>
            <w:tcW w:w="459" w:type="pct"/>
            <w:tcBorders>
              <w:top w:val="nil"/>
              <w:bottom w:val="nil"/>
            </w:tcBorders>
            <w:vAlign w:val="center"/>
          </w:tcPr>
          <w:p w14:paraId="1B0DEC60" w14:textId="77777777" w:rsidR="0025223A" w:rsidRPr="004C78D8" w:rsidRDefault="0025223A" w:rsidP="00FB7C1F">
            <w:pPr>
              <w:jc w:val="center"/>
              <w:rPr>
                <w:rFonts w:cs="Times New Roman"/>
                <w:sz w:val="28"/>
                <w:szCs w:val="28"/>
              </w:rPr>
            </w:pPr>
          </w:p>
        </w:tc>
        <w:tc>
          <w:tcPr>
            <w:tcW w:w="408" w:type="pct"/>
            <w:tcBorders>
              <w:top w:val="nil"/>
              <w:bottom w:val="nil"/>
            </w:tcBorders>
            <w:vAlign w:val="center"/>
          </w:tcPr>
          <w:p w14:paraId="0031EC48" w14:textId="77777777" w:rsidR="0025223A" w:rsidRPr="004C78D8" w:rsidRDefault="0025223A" w:rsidP="00FB7C1F">
            <w:pPr>
              <w:jc w:val="center"/>
              <w:rPr>
                <w:sz w:val="18"/>
                <w:szCs w:val="18"/>
              </w:rPr>
            </w:pPr>
            <w:r w:rsidRPr="004C78D8">
              <w:rPr>
                <w:sz w:val="18"/>
                <w:szCs w:val="18"/>
              </w:rPr>
              <w:t>PP</w:t>
            </w:r>
          </w:p>
        </w:tc>
      </w:tr>
      <w:tr w:rsidR="0025223A" w:rsidRPr="004C78D8" w14:paraId="05E4D267" w14:textId="77777777" w:rsidTr="002828C1">
        <w:tc>
          <w:tcPr>
            <w:tcW w:w="662" w:type="pct"/>
          </w:tcPr>
          <w:p w14:paraId="039045B6" w14:textId="77777777" w:rsidR="0025223A" w:rsidRPr="004C78D8" w:rsidRDefault="0025223A" w:rsidP="00FB7C1F">
            <w:pPr>
              <w:jc w:val="left"/>
              <w:rPr>
                <w:sz w:val="18"/>
                <w:szCs w:val="18"/>
              </w:rPr>
            </w:pPr>
            <w:r w:rsidRPr="004C78D8">
              <w:rPr>
                <w:sz w:val="18"/>
                <w:szCs w:val="18"/>
              </w:rPr>
              <w:t>Hektoen (2009)</w:t>
            </w:r>
          </w:p>
        </w:tc>
        <w:tc>
          <w:tcPr>
            <w:tcW w:w="765" w:type="pct"/>
          </w:tcPr>
          <w:p w14:paraId="50CF1BE2" w14:textId="77777777" w:rsidR="0025223A" w:rsidRPr="004C78D8" w:rsidRDefault="0025223A" w:rsidP="00FB7C1F">
            <w:pPr>
              <w:jc w:val="left"/>
              <w:rPr>
                <w:sz w:val="18"/>
                <w:szCs w:val="18"/>
              </w:rPr>
            </w:pPr>
            <w:r w:rsidRPr="004C78D8">
              <w:rPr>
                <w:sz w:val="18"/>
                <w:szCs w:val="18"/>
              </w:rPr>
              <w:t>Home exercise</w:t>
            </w:r>
          </w:p>
        </w:tc>
        <w:tc>
          <w:tcPr>
            <w:tcW w:w="255" w:type="pct"/>
            <w:tcBorders>
              <w:top w:val="nil"/>
              <w:bottom w:val="nil"/>
            </w:tcBorders>
            <w:vAlign w:val="center"/>
          </w:tcPr>
          <w:p w14:paraId="346D850D" w14:textId="77777777" w:rsidR="0025223A" w:rsidRPr="004C78D8" w:rsidRDefault="0025223A" w:rsidP="00FB7C1F">
            <w:pPr>
              <w:jc w:val="center"/>
              <w:rPr>
                <w:sz w:val="28"/>
                <w:szCs w:val="28"/>
              </w:rPr>
            </w:pPr>
            <w:r w:rsidRPr="004C78D8">
              <w:rPr>
                <w:rFonts w:cs="Times New Roman"/>
                <w:sz w:val="28"/>
                <w:szCs w:val="28"/>
              </w:rPr>
              <w:t>˟</w:t>
            </w:r>
          </w:p>
        </w:tc>
        <w:tc>
          <w:tcPr>
            <w:tcW w:w="408" w:type="pct"/>
            <w:tcBorders>
              <w:top w:val="nil"/>
              <w:bottom w:val="nil"/>
            </w:tcBorders>
            <w:vAlign w:val="center"/>
          </w:tcPr>
          <w:p w14:paraId="68960881" w14:textId="77777777" w:rsidR="0025223A" w:rsidRPr="004C78D8" w:rsidRDefault="0025223A" w:rsidP="00FB7C1F">
            <w:pPr>
              <w:jc w:val="center"/>
              <w:rPr>
                <w:sz w:val="28"/>
                <w:szCs w:val="28"/>
              </w:rPr>
            </w:pPr>
          </w:p>
        </w:tc>
        <w:tc>
          <w:tcPr>
            <w:tcW w:w="357" w:type="pct"/>
            <w:tcBorders>
              <w:top w:val="nil"/>
              <w:bottom w:val="nil"/>
            </w:tcBorders>
            <w:vAlign w:val="center"/>
          </w:tcPr>
          <w:p w14:paraId="5ED13353" w14:textId="77777777" w:rsidR="0025223A" w:rsidRPr="004C78D8" w:rsidRDefault="0025223A" w:rsidP="00FB7C1F">
            <w:pPr>
              <w:jc w:val="center"/>
              <w:rPr>
                <w:sz w:val="28"/>
                <w:szCs w:val="28"/>
              </w:rPr>
            </w:pPr>
          </w:p>
        </w:tc>
        <w:tc>
          <w:tcPr>
            <w:tcW w:w="358" w:type="pct"/>
            <w:tcBorders>
              <w:top w:val="nil"/>
              <w:bottom w:val="nil"/>
            </w:tcBorders>
            <w:vAlign w:val="center"/>
          </w:tcPr>
          <w:p w14:paraId="1AAAD7AA" w14:textId="77777777" w:rsidR="0025223A" w:rsidRPr="004C78D8" w:rsidRDefault="0025223A" w:rsidP="00FB7C1F">
            <w:pPr>
              <w:jc w:val="center"/>
              <w:rPr>
                <w:sz w:val="28"/>
                <w:szCs w:val="28"/>
              </w:rPr>
            </w:pPr>
          </w:p>
        </w:tc>
        <w:tc>
          <w:tcPr>
            <w:tcW w:w="306" w:type="pct"/>
            <w:tcBorders>
              <w:top w:val="nil"/>
              <w:bottom w:val="nil"/>
            </w:tcBorders>
            <w:vAlign w:val="center"/>
          </w:tcPr>
          <w:p w14:paraId="27204670" w14:textId="77777777" w:rsidR="0025223A" w:rsidRPr="004C78D8" w:rsidRDefault="0025223A" w:rsidP="00FB7C1F">
            <w:pPr>
              <w:jc w:val="center"/>
              <w:rPr>
                <w:sz w:val="28"/>
                <w:szCs w:val="28"/>
              </w:rPr>
            </w:pPr>
            <w:r w:rsidRPr="004C78D8">
              <w:rPr>
                <w:rFonts w:cs="Times New Roman"/>
                <w:sz w:val="28"/>
                <w:szCs w:val="28"/>
              </w:rPr>
              <w:t>˟</w:t>
            </w:r>
          </w:p>
        </w:tc>
        <w:tc>
          <w:tcPr>
            <w:tcW w:w="306" w:type="pct"/>
            <w:tcBorders>
              <w:top w:val="nil"/>
              <w:bottom w:val="nil"/>
            </w:tcBorders>
            <w:vAlign w:val="center"/>
          </w:tcPr>
          <w:p w14:paraId="1C3AFA93" w14:textId="77777777" w:rsidR="0025223A" w:rsidRPr="004C78D8" w:rsidRDefault="0025223A" w:rsidP="00FB7C1F">
            <w:pPr>
              <w:jc w:val="center"/>
              <w:rPr>
                <w:sz w:val="20"/>
                <w:szCs w:val="20"/>
              </w:rPr>
            </w:pPr>
          </w:p>
        </w:tc>
        <w:tc>
          <w:tcPr>
            <w:tcW w:w="357" w:type="pct"/>
            <w:tcBorders>
              <w:top w:val="nil"/>
              <w:bottom w:val="nil"/>
            </w:tcBorders>
            <w:vAlign w:val="center"/>
          </w:tcPr>
          <w:p w14:paraId="1DABA29C" w14:textId="77777777" w:rsidR="0025223A" w:rsidRPr="004C78D8" w:rsidRDefault="0025223A" w:rsidP="00FB7C1F">
            <w:pPr>
              <w:jc w:val="center"/>
              <w:rPr>
                <w:sz w:val="20"/>
                <w:szCs w:val="20"/>
              </w:rPr>
            </w:pPr>
          </w:p>
        </w:tc>
        <w:tc>
          <w:tcPr>
            <w:tcW w:w="357" w:type="pct"/>
            <w:tcBorders>
              <w:top w:val="nil"/>
              <w:bottom w:val="nil"/>
            </w:tcBorders>
            <w:vAlign w:val="center"/>
          </w:tcPr>
          <w:p w14:paraId="5C89FFE7" w14:textId="77777777" w:rsidR="0025223A" w:rsidRPr="004C78D8" w:rsidRDefault="0025223A" w:rsidP="00FB7C1F">
            <w:pPr>
              <w:jc w:val="center"/>
              <w:rPr>
                <w:sz w:val="18"/>
                <w:szCs w:val="18"/>
              </w:rPr>
            </w:pPr>
          </w:p>
        </w:tc>
        <w:tc>
          <w:tcPr>
            <w:tcW w:w="459" w:type="pct"/>
            <w:tcBorders>
              <w:top w:val="nil"/>
              <w:bottom w:val="nil"/>
            </w:tcBorders>
            <w:vAlign w:val="center"/>
          </w:tcPr>
          <w:p w14:paraId="352B3AD4" w14:textId="77777777" w:rsidR="0025223A" w:rsidRPr="004C78D8" w:rsidRDefault="0025223A" w:rsidP="00FB7C1F">
            <w:pPr>
              <w:jc w:val="center"/>
              <w:rPr>
                <w:sz w:val="28"/>
                <w:szCs w:val="28"/>
              </w:rPr>
            </w:pPr>
            <w:r w:rsidRPr="004C78D8">
              <w:rPr>
                <w:rFonts w:cs="Times New Roman"/>
                <w:sz w:val="28"/>
                <w:szCs w:val="28"/>
              </w:rPr>
              <w:t>˟</w:t>
            </w:r>
          </w:p>
        </w:tc>
        <w:tc>
          <w:tcPr>
            <w:tcW w:w="408" w:type="pct"/>
            <w:tcBorders>
              <w:top w:val="nil"/>
              <w:bottom w:val="nil"/>
            </w:tcBorders>
            <w:vAlign w:val="center"/>
          </w:tcPr>
          <w:p w14:paraId="567C9ECC" w14:textId="77777777" w:rsidR="0025223A" w:rsidRPr="004C78D8" w:rsidRDefault="0025223A" w:rsidP="00FB7C1F">
            <w:pPr>
              <w:jc w:val="center"/>
              <w:rPr>
                <w:sz w:val="18"/>
                <w:szCs w:val="18"/>
              </w:rPr>
            </w:pPr>
            <w:r w:rsidRPr="004C78D8">
              <w:rPr>
                <w:sz w:val="18"/>
                <w:szCs w:val="18"/>
              </w:rPr>
              <w:t>PP</w:t>
            </w:r>
          </w:p>
        </w:tc>
      </w:tr>
      <w:tr w:rsidR="0025223A" w:rsidRPr="004C78D8" w14:paraId="13A44FD8" w14:textId="77777777" w:rsidTr="002828C1">
        <w:tc>
          <w:tcPr>
            <w:tcW w:w="662" w:type="pct"/>
          </w:tcPr>
          <w:p w14:paraId="3668682D" w14:textId="77777777" w:rsidR="0025223A" w:rsidRPr="004C78D8" w:rsidRDefault="0025223A" w:rsidP="00FB7C1F">
            <w:pPr>
              <w:jc w:val="left"/>
              <w:rPr>
                <w:sz w:val="18"/>
                <w:szCs w:val="18"/>
              </w:rPr>
            </w:pPr>
            <w:r w:rsidRPr="004C78D8">
              <w:rPr>
                <w:sz w:val="18"/>
                <w:szCs w:val="18"/>
              </w:rPr>
              <w:t>McLean (2015)</w:t>
            </w:r>
          </w:p>
        </w:tc>
        <w:tc>
          <w:tcPr>
            <w:tcW w:w="765" w:type="pct"/>
          </w:tcPr>
          <w:p w14:paraId="5E714702" w14:textId="77777777" w:rsidR="0025223A" w:rsidRPr="004C78D8" w:rsidRDefault="0025223A" w:rsidP="00FB7C1F">
            <w:pPr>
              <w:jc w:val="left"/>
              <w:rPr>
                <w:sz w:val="18"/>
                <w:szCs w:val="18"/>
              </w:rPr>
            </w:pPr>
            <w:r w:rsidRPr="004C78D8">
              <w:rPr>
                <w:sz w:val="18"/>
                <w:szCs w:val="18"/>
              </w:rPr>
              <w:t>Group + home exercise</w:t>
            </w:r>
          </w:p>
        </w:tc>
        <w:tc>
          <w:tcPr>
            <w:tcW w:w="255" w:type="pct"/>
            <w:tcBorders>
              <w:top w:val="nil"/>
              <w:bottom w:val="nil"/>
            </w:tcBorders>
            <w:vAlign w:val="center"/>
          </w:tcPr>
          <w:p w14:paraId="3ABE0E90" w14:textId="77777777" w:rsidR="0025223A" w:rsidRPr="004C78D8" w:rsidRDefault="0025223A" w:rsidP="00FB7C1F">
            <w:pPr>
              <w:jc w:val="center"/>
              <w:rPr>
                <w:sz w:val="28"/>
                <w:szCs w:val="28"/>
              </w:rPr>
            </w:pPr>
            <w:r w:rsidRPr="004C78D8">
              <w:rPr>
                <w:rFonts w:cs="Times New Roman"/>
                <w:sz w:val="28"/>
                <w:szCs w:val="28"/>
              </w:rPr>
              <w:t>˟</w:t>
            </w:r>
          </w:p>
        </w:tc>
        <w:tc>
          <w:tcPr>
            <w:tcW w:w="408" w:type="pct"/>
            <w:tcBorders>
              <w:top w:val="nil"/>
              <w:bottom w:val="nil"/>
            </w:tcBorders>
            <w:vAlign w:val="center"/>
          </w:tcPr>
          <w:p w14:paraId="2841874D" w14:textId="77777777" w:rsidR="0025223A" w:rsidRPr="004C78D8" w:rsidRDefault="0025223A" w:rsidP="00FB7C1F">
            <w:pPr>
              <w:jc w:val="center"/>
              <w:rPr>
                <w:sz w:val="28"/>
                <w:szCs w:val="28"/>
              </w:rPr>
            </w:pPr>
          </w:p>
        </w:tc>
        <w:tc>
          <w:tcPr>
            <w:tcW w:w="357" w:type="pct"/>
            <w:tcBorders>
              <w:top w:val="nil"/>
              <w:bottom w:val="nil"/>
            </w:tcBorders>
            <w:vAlign w:val="center"/>
          </w:tcPr>
          <w:p w14:paraId="74F05868" w14:textId="77777777" w:rsidR="0025223A" w:rsidRPr="004C78D8" w:rsidRDefault="0025223A" w:rsidP="00FB7C1F">
            <w:pPr>
              <w:jc w:val="center"/>
              <w:rPr>
                <w:sz w:val="28"/>
                <w:szCs w:val="28"/>
              </w:rPr>
            </w:pPr>
          </w:p>
        </w:tc>
        <w:tc>
          <w:tcPr>
            <w:tcW w:w="358" w:type="pct"/>
            <w:tcBorders>
              <w:top w:val="nil"/>
              <w:bottom w:val="nil"/>
            </w:tcBorders>
            <w:vAlign w:val="center"/>
          </w:tcPr>
          <w:p w14:paraId="437C79E7" w14:textId="77777777" w:rsidR="0025223A" w:rsidRPr="004C78D8" w:rsidRDefault="0025223A" w:rsidP="00FB7C1F">
            <w:pPr>
              <w:jc w:val="center"/>
              <w:rPr>
                <w:sz w:val="28"/>
                <w:szCs w:val="28"/>
              </w:rPr>
            </w:pPr>
          </w:p>
        </w:tc>
        <w:tc>
          <w:tcPr>
            <w:tcW w:w="306" w:type="pct"/>
            <w:tcBorders>
              <w:top w:val="nil"/>
              <w:bottom w:val="nil"/>
            </w:tcBorders>
            <w:vAlign w:val="center"/>
          </w:tcPr>
          <w:p w14:paraId="195D70F5" w14:textId="77777777" w:rsidR="0025223A" w:rsidRPr="004C78D8" w:rsidRDefault="0025223A" w:rsidP="00FB7C1F">
            <w:pPr>
              <w:jc w:val="center"/>
              <w:rPr>
                <w:sz w:val="28"/>
                <w:szCs w:val="28"/>
              </w:rPr>
            </w:pPr>
            <w:r w:rsidRPr="004C78D8">
              <w:rPr>
                <w:rFonts w:cs="Times New Roman"/>
                <w:sz w:val="28"/>
                <w:szCs w:val="28"/>
              </w:rPr>
              <w:t>˟</w:t>
            </w:r>
          </w:p>
        </w:tc>
        <w:tc>
          <w:tcPr>
            <w:tcW w:w="306" w:type="pct"/>
            <w:tcBorders>
              <w:top w:val="nil"/>
              <w:bottom w:val="nil"/>
            </w:tcBorders>
            <w:vAlign w:val="center"/>
          </w:tcPr>
          <w:p w14:paraId="30C318E8" w14:textId="77777777" w:rsidR="0025223A" w:rsidRPr="004C78D8" w:rsidRDefault="0025223A" w:rsidP="00FB7C1F">
            <w:pPr>
              <w:jc w:val="center"/>
              <w:rPr>
                <w:sz w:val="20"/>
                <w:szCs w:val="20"/>
              </w:rPr>
            </w:pPr>
          </w:p>
        </w:tc>
        <w:tc>
          <w:tcPr>
            <w:tcW w:w="357" w:type="pct"/>
            <w:tcBorders>
              <w:top w:val="nil"/>
              <w:bottom w:val="nil"/>
            </w:tcBorders>
            <w:vAlign w:val="center"/>
          </w:tcPr>
          <w:p w14:paraId="479F5512" w14:textId="77777777" w:rsidR="0025223A" w:rsidRPr="004C78D8" w:rsidRDefault="0025223A" w:rsidP="00FB7C1F">
            <w:pPr>
              <w:jc w:val="center"/>
              <w:rPr>
                <w:sz w:val="20"/>
                <w:szCs w:val="20"/>
              </w:rPr>
            </w:pPr>
          </w:p>
        </w:tc>
        <w:tc>
          <w:tcPr>
            <w:tcW w:w="357" w:type="pct"/>
            <w:tcBorders>
              <w:top w:val="nil"/>
              <w:bottom w:val="nil"/>
            </w:tcBorders>
            <w:vAlign w:val="center"/>
          </w:tcPr>
          <w:p w14:paraId="468F76BE" w14:textId="77777777" w:rsidR="0025223A" w:rsidRPr="004C78D8" w:rsidRDefault="0025223A" w:rsidP="00FB7C1F">
            <w:pPr>
              <w:jc w:val="center"/>
              <w:rPr>
                <w:sz w:val="18"/>
                <w:szCs w:val="18"/>
              </w:rPr>
            </w:pPr>
            <w:r w:rsidRPr="004C78D8">
              <w:rPr>
                <w:sz w:val="18"/>
                <w:szCs w:val="18"/>
              </w:rPr>
              <w:t>VN&amp;OH</w:t>
            </w:r>
          </w:p>
        </w:tc>
        <w:tc>
          <w:tcPr>
            <w:tcW w:w="459" w:type="pct"/>
            <w:tcBorders>
              <w:top w:val="nil"/>
              <w:bottom w:val="nil"/>
            </w:tcBorders>
            <w:vAlign w:val="center"/>
          </w:tcPr>
          <w:p w14:paraId="08CB43C0" w14:textId="77777777" w:rsidR="0025223A" w:rsidRPr="004C78D8" w:rsidRDefault="0025223A" w:rsidP="00FB7C1F">
            <w:pPr>
              <w:jc w:val="center"/>
              <w:rPr>
                <w:sz w:val="28"/>
                <w:szCs w:val="28"/>
              </w:rPr>
            </w:pPr>
            <w:r w:rsidRPr="004C78D8">
              <w:rPr>
                <w:rFonts w:cs="Times New Roman"/>
                <w:sz w:val="28"/>
                <w:szCs w:val="28"/>
              </w:rPr>
              <w:t>˟</w:t>
            </w:r>
          </w:p>
        </w:tc>
        <w:tc>
          <w:tcPr>
            <w:tcW w:w="408" w:type="pct"/>
            <w:tcBorders>
              <w:top w:val="nil"/>
              <w:bottom w:val="nil"/>
            </w:tcBorders>
            <w:vAlign w:val="center"/>
          </w:tcPr>
          <w:p w14:paraId="78F2BF5D" w14:textId="77777777" w:rsidR="0025223A" w:rsidRPr="004C78D8" w:rsidRDefault="0025223A" w:rsidP="00FB7C1F">
            <w:pPr>
              <w:jc w:val="center"/>
              <w:rPr>
                <w:sz w:val="18"/>
                <w:szCs w:val="18"/>
              </w:rPr>
            </w:pPr>
            <w:r w:rsidRPr="004C78D8">
              <w:rPr>
                <w:sz w:val="18"/>
                <w:szCs w:val="18"/>
              </w:rPr>
              <w:t>PP</w:t>
            </w:r>
          </w:p>
        </w:tc>
      </w:tr>
      <w:tr w:rsidR="0025223A" w:rsidRPr="004C78D8" w14:paraId="37E180DD" w14:textId="77777777" w:rsidTr="002828C1">
        <w:tc>
          <w:tcPr>
            <w:tcW w:w="662" w:type="pct"/>
          </w:tcPr>
          <w:p w14:paraId="2197CB17" w14:textId="77777777" w:rsidR="0025223A" w:rsidRPr="004C78D8" w:rsidRDefault="0025223A" w:rsidP="00FB7C1F">
            <w:pPr>
              <w:jc w:val="left"/>
              <w:rPr>
                <w:sz w:val="18"/>
                <w:szCs w:val="18"/>
              </w:rPr>
            </w:pPr>
            <w:r w:rsidRPr="004C78D8">
              <w:rPr>
                <w:sz w:val="18"/>
                <w:szCs w:val="18"/>
              </w:rPr>
              <w:t>Mori (2017)</w:t>
            </w:r>
          </w:p>
        </w:tc>
        <w:tc>
          <w:tcPr>
            <w:tcW w:w="765" w:type="pct"/>
          </w:tcPr>
          <w:p w14:paraId="5756FEFB" w14:textId="77777777" w:rsidR="0025223A" w:rsidRPr="004C78D8" w:rsidRDefault="0025223A" w:rsidP="00FB7C1F">
            <w:pPr>
              <w:jc w:val="left"/>
              <w:rPr>
                <w:sz w:val="18"/>
                <w:szCs w:val="18"/>
              </w:rPr>
            </w:pPr>
            <w:r w:rsidRPr="004C78D8">
              <w:rPr>
                <w:sz w:val="18"/>
                <w:szCs w:val="18"/>
              </w:rPr>
              <w:t>Home exercise</w:t>
            </w:r>
          </w:p>
        </w:tc>
        <w:tc>
          <w:tcPr>
            <w:tcW w:w="255" w:type="pct"/>
            <w:tcBorders>
              <w:top w:val="nil"/>
              <w:bottom w:val="nil"/>
            </w:tcBorders>
            <w:vAlign w:val="center"/>
          </w:tcPr>
          <w:p w14:paraId="3F80C3EB"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408" w:type="pct"/>
            <w:tcBorders>
              <w:top w:val="nil"/>
              <w:bottom w:val="nil"/>
            </w:tcBorders>
            <w:vAlign w:val="center"/>
          </w:tcPr>
          <w:p w14:paraId="49E8D4F4" w14:textId="77777777" w:rsidR="0025223A" w:rsidRPr="004C78D8" w:rsidRDefault="0025223A" w:rsidP="00FB7C1F">
            <w:pPr>
              <w:jc w:val="center"/>
              <w:rPr>
                <w:sz w:val="28"/>
                <w:szCs w:val="28"/>
              </w:rPr>
            </w:pPr>
          </w:p>
        </w:tc>
        <w:tc>
          <w:tcPr>
            <w:tcW w:w="357" w:type="pct"/>
            <w:tcBorders>
              <w:top w:val="nil"/>
              <w:bottom w:val="nil"/>
            </w:tcBorders>
            <w:vAlign w:val="center"/>
          </w:tcPr>
          <w:p w14:paraId="043E7288" w14:textId="77777777" w:rsidR="0025223A" w:rsidRPr="004C78D8" w:rsidRDefault="0025223A" w:rsidP="00FB7C1F">
            <w:pPr>
              <w:jc w:val="center"/>
              <w:rPr>
                <w:sz w:val="28"/>
                <w:szCs w:val="28"/>
              </w:rPr>
            </w:pPr>
          </w:p>
        </w:tc>
        <w:tc>
          <w:tcPr>
            <w:tcW w:w="358" w:type="pct"/>
            <w:tcBorders>
              <w:top w:val="nil"/>
              <w:bottom w:val="nil"/>
            </w:tcBorders>
            <w:vAlign w:val="center"/>
          </w:tcPr>
          <w:p w14:paraId="6ABC6F5F" w14:textId="77777777" w:rsidR="0025223A" w:rsidRPr="004C78D8" w:rsidRDefault="0025223A" w:rsidP="00FB7C1F">
            <w:pPr>
              <w:jc w:val="center"/>
              <w:rPr>
                <w:sz w:val="28"/>
                <w:szCs w:val="28"/>
              </w:rPr>
            </w:pPr>
          </w:p>
        </w:tc>
        <w:tc>
          <w:tcPr>
            <w:tcW w:w="306" w:type="pct"/>
            <w:tcBorders>
              <w:top w:val="nil"/>
              <w:bottom w:val="nil"/>
            </w:tcBorders>
            <w:vAlign w:val="center"/>
          </w:tcPr>
          <w:p w14:paraId="5A09708B"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06" w:type="pct"/>
            <w:tcBorders>
              <w:top w:val="nil"/>
              <w:bottom w:val="nil"/>
            </w:tcBorders>
            <w:vAlign w:val="center"/>
          </w:tcPr>
          <w:p w14:paraId="372F66F4" w14:textId="77777777" w:rsidR="0025223A" w:rsidRPr="004C78D8" w:rsidRDefault="0025223A" w:rsidP="00FB7C1F">
            <w:pPr>
              <w:jc w:val="center"/>
              <w:rPr>
                <w:sz w:val="20"/>
                <w:szCs w:val="20"/>
              </w:rPr>
            </w:pPr>
            <w:r w:rsidRPr="004C78D8">
              <w:rPr>
                <w:rFonts w:cs="Times New Roman"/>
                <w:sz w:val="28"/>
                <w:szCs w:val="28"/>
              </w:rPr>
              <w:t>˟</w:t>
            </w:r>
          </w:p>
        </w:tc>
        <w:tc>
          <w:tcPr>
            <w:tcW w:w="357" w:type="pct"/>
            <w:tcBorders>
              <w:top w:val="nil"/>
              <w:bottom w:val="nil"/>
            </w:tcBorders>
            <w:vAlign w:val="center"/>
          </w:tcPr>
          <w:p w14:paraId="308D6C0B" w14:textId="77777777" w:rsidR="0025223A" w:rsidRPr="004C78D8" w:rsidRDefault="0025223A" w:rsidP="00FB7C1F">
            <w:pPr>
              <w:jc w:val="center"/>
              <w:rPr>
                <w:sz w:val="20"/>
                <w:szCs w:val="20"/>
              </w:rPr>
            </w:pPr>
            <w:r w:rsidRPr="004C78D8">
              <w:rPr>
                <w:rFonts w:cs="Times New Roman"/>
                <w:sz w:val="28"/>
                <w:szCs w:val="28"/>
              </w:rPr>
              <w:t>˟</w:t>
            </w:r>
          </w:p>
        </w:tc>
        <w:tc>
          <w:tcPr>
            <w:tcW w:w="357" w:type="pct"/>
            <w:tcBorders>
              <w:top w:val="nil"/>
              <w:bottom w:val="nil"/>
            </w:tcBorders>
            <w:vAlign w:val="center"/>
          </w:tcPr>
          <w:p w14:paraId="3C76ADD3" w14:textId="77777777" w:rsidR="0025223A" w:rsidRPr="004C78D8" w:rsidRDefault="0025223A" w:rsidP="00FB7C1F">
            <w:pPr>
              <w:jc w:val="center"/>
              <w:rPr>
                <w:sz w:val="18"/>
                <w:szCs w:val="18"/>
              </w:rPr>
            </w:pPr>
          </w:p>
        </w:tc>
        <w:tc>
          <w:tcPr>
            <w:tcW w:w="459" w:type="pct"/>
            <w:tcBorders>
              <w:top w:val="nil"/>
              <w:bottom w:val="nil"/>
            </w:tcBorders>
            <w:vAlign w:val="center"/>
          </w:tcPr>
          <w:p w14:paraId="2FF74A99" w14:textId="77777777" w:rsidR="0025223A" w:rsidRPr="004C78D8" w:rsidRDefault="0025223A" w:rsidP="00FB7C1F">
            <w:pPr>
              <w:jc w:val="center"/>
              <w:rPr>
                <w:rFonts w:cs="Times New Roman"/>
                <w:sz w:val="28"/>
                <w:szCs w:val="28"/>
              </w:rPr>
            </w:pPr>
          </w:p>
        </w:tc>
        <w:tc>
          <w:tcPr>
            <w:tcW w:w="408" w:type="pct"/>
            <w:tcBorders>
              <w:top w:val="nil"/>
              <w:bottom w:val="nil"/>
            </w:tcBorders>
            <w:vAlign w:val="center"/>
          </w:tcPr>
          <w:p w14:paraId="3CF5AC58" w14:textId="77777777" w:rsidR="0025223A" w:rsidRPr="004C78D8" w:rsidRDefault="0025223A" w:rsidP="00FB7C1F">
            <w:pPr>
              <w:jc w:val="center"/>
              <w:rPr>
                <w:sz w:val="18"/>
                <w:szCs w:val="18"/>
              </w:rPr>
            </w:pPr>
            <w:r w:rsidRPr="004C78D8">
              <w:rPr>
                <w:sz w:val="18"/>
                <w:szCs w:val="18"/>
              </w:rPr>
              <w:t>PP</w:t>
            </w:r>
          </w:p>
        </w:tc>
      </w:tr>
      <w:tr w:rsidR="0025223A" w:rsidRPr="004C78D8" w14:paraId="0E2CF706" w14:textId="77777777" w:rsidTr="002828C1">
        <w:tc>
          <w:tcPr>
            <w:tcW w:w="662" w:type="pct"/>
          </w:tcPr>
          <w:p w14:paraId="61197068" w14:textId="77777777" w:rsidR="0025223A" w:rsidRPr="004C78D8" w:rsidRDefault="0025223A" w:rsidP="00FB7C1F">
            <w:pPr>
              <w:jc w:val="left"/>
              <w:rPr>
                <w:sz w:val="18"/>
                <w:szCs w:val="18"/>
              </w:rPr>
            </w:pPr>
            <w:r w:rsidRPr="004C78D8">
              <w:rPr>
                <w:sz w:val="18"/>
                <w:szCs w:val="18"/>
              </w:rPr>
              <w:t>OMAS (2008)</w:t>
            </w:r>
          </w:p>
        </w:tc>
        <w:tc>
          <w:tcPr>
            <w:tcW w:w="765" w:type="pct"/>
          </w:tcPr>
          <w:p w14:paraId="27FA229F" w14:textId="77777777" w:rsidR="0025223A" w:rsidRPr="004C78D8" w:rsidRDefault="0025223A" w:rsidP="00FB7C1F">
            <w:pPr>
              <w:jc w:val="left"/>
              <w:rPr>
                <w:sz w:val="18"/>
                <w:szCs w:val="18"/>
              </w:rPr>
            </w:pPr>
            <w:r w:rsidRPr="004C78D8">
              <w:rPr>
                <w:sz w:val="18"/>
                <w:szCs w:val="18"/>
              </w:rPr>
              <w:t>Group exercise</w:t>
            </w:r>
          </w:p>
        </w:tc>
        <w:tc>
          <w:tcPr>
            <w:tcW w:w="255" w:type="pct"/>
            <w:tcBorders>
              <w:top w:val="nil"/>
              <w:bottom w:val="nil"/>
            </w:tcBorders>
            <w:vAlign w:val="center"/>
          </w:tcPr>
          <w:p w14:paraId="420EE343" w14:textId="77777777" w:rsidR="0025223A" w:rsidRPr="004C78D8" w:rsidRDefault="0025223A" w:rsidP="00FB7C1F">
            <w:pPr>
              <w:jc w:val="center"/>
              <w:rPr>
                <w:sz w:val="20"/>
                <w:szCs w:val="20"/>
              </w:rPr>
            </w:pPr>
          </w:p>
        </w:tc>
        <w:tc>
          <w:tcPr>
            <w:tcW w:w="408" w:type="pct"/>
            <w:tcBorders>
              <w:top w:val="nil"/>
              <w:bottom w:val="nil"/>
            </w:tcBorders>
            <w:vAlign w:val="center"/>
          </w:tcPr>
          <w:p w14:paraId="50314F57" w14:textId="77777777" w:rsidR="0025223A" w:rsidRPr="004C78D8" w:rsidRDefault="0025223A" w:rsidP="00FB7C1F">
            <w:pPr>
              <w:jc w:val="center"/>
              <w:rPr>
                <w:sz w:val="20"/>
                <w:szCs w:val="20"/>
              </w:rPr>
            </w:pPr>
          </w:p>
        </w:tc>
        <w:tc>
          <w:tcPr>
            <w:tcW w:w="357" w:type="pct"/>
            <w:tcBorders>
              <w:top w:val="nil"/>
              <w:bottom w:val="nil"/>
            </w:tcBorders>
            <w:vAlign w:val="center"/>
          </w:tcPr>
          <w:p w14:paraId="0EBD99D2" w14:textId="77777777" w:rsidR="0025223A" w:rsidRPr="004C78D8" w:rsidRDefault="0025223A" w:rsidP="00FB7C1F">
            <w:pPr>
              <w:jc w:val="center"/>
              <w:rPr>
                <w:sz w:val="20"/>
                <w:szCs w:val="20"/>
              </w:rPr>
            </w:pPr>
          </w:p>
        </w:tc>
        <w:tc>
          <w:tcPr>
            <w:tcW w:w="358" w:type="pct"/>
            <w:tcBorders>
              <w:top w:val="nil"/>
              <w:bottom w:val="nil"/>
            </w:tcBorders>
            <w:vAlign w:val="center"/>
          </w:tcPr>
          <w:p w14:paraId="1AC2BF45" w14:textId="77777777" w:rsidR="0025223A" w:rsidRPr="004C78D8" w:rsidRDefault="0025223A" w:rsidP="00FB7C1F">
            <w:pPr>
              <w:jc w:val="center"/>
              <w:rPr>
                <w:sz w:val="20"/>
                <w:szCs w:val="20"/>
              </w:rPr>
            </w:pPr>
          </w:p>
        </w:tc>
        <w:tc>
          <w:tcPr>
            <w:tcW w:w="306" w:type="pct"/>
            <w:tcBorders>
              <w:top w:val="nil"/>
              <w:bottom w:val="nil"/>
            </w:tcBorders>
            <w:vAlign w:val="center"/>
          </w:tcPr>
          <w:p w14:paraId="3C307376" w14:textId="77777777" w:rsidR="0025223A" w:rsidRPr="004C78D8" w:rsidRDefault="0025223A" w:rsidP="00FB7C1F">
            <w:pPr>
              <w:jc w:val="center"/>
              <w:rPr>
                <w:sz w:val="20"/>
                <w:szCs w:val="20"/>
              </w:rPr>
            </w:pPr>
            <w:r w:rsidRPr="004C78D8">
              <w:rPr>
                <w:rFonts w:cs="Times New Roman"/>
                <w:sz w:val="28"/>
                <w:szCs w:val="28"/>
              </w:rPr>
              <w:t>˟</w:t>
            </w:r>
          </w:p>
        </w:tc>
        <w:tc>
          <w:tcPr>
            <w:tcW w:w="306" w:type="pct"/>
            <w:tcBorders>
              <w:top w:val="nil"/>
              <w:bottom w:val="nil"/>
            </w:tcBorders>
            <w:vAlign w:val="center"/>
          </w:tcPr>
          <w:p w14:paraId="29CA54F4" w14:textId="77777777" w:rsidR="0025223A" w:rsidRPr="004C78D8" w:rsidRDefault="0025223A" w:rsidP="00FB7C1F">
            <w:pPr>
              <w:jc w:val="center"/>
              <w:rPr>
                <w:sz w:val="20"/>
                <w:szCs w:val="20"/>
              </w:rPr>
            </w:pPr>
          </w:p>
        </w:tc>
        <w:tc>
          <w:tcPr>
            <w:tcW w:w="357" w:type="pct"/>
            <w:tcBorders>
              <w:top w:val="nil"/>
              <w:bottom w:val="nil"/>
            </w:tcBorders>
            <w:vAlign w:val="center"/>
          </w:tcPr>
          <w:p w14:paraId="5229DB5F" w14:textId="77777777" w:rsidR="0025223A" w:rsidRPr="004C78D8" w:rsidRDefault="0025223A" w:rsidP="00FB7C1F">
            <w:pPr>
              <w:jc w:val="center"/>
              <w:rPr>
                <w:sz w:val="20"/>
                <w:szCs w:val="20"/>
              </w:rPr>
            </w:pPr>
          </w:p>
        </w:tc>
        <w:tc>
          <w:tcPr>
            <w:tcW w:w="357" w:type="pct"/>
            <w:tcBorders>
              <w:top w:val="nil"/>
              <w:bottom w:val="nil"/>
            </w:tcBorders>
            <w:vAlign w:val="center"/>
          </w:tcPr>
          <w:p w14:paraId="2AD1B756" w14:textId="77777777" w:rsidR="0025223A" w:rsidRPr="004C78D8" w:rsidRDefault="0025223A" w:rsidP="00FB7C1F">
            <w:pPr>
              <w:jc w:val="center"/>
              <w:rPr>
                <w:sz w:val="18"/>
                <w:szCs w:val="18"/>
              </w:rPr>
            </w:pPr>
          </w:p>
        </w:tc>
        <w:tc>
          <w:tcPr>
            <w:tcW w:w="459" w:type="pct"/>
            <w:tcBorders>
              <w:top w:val="nil"/>
              <w:bottom w:val="nil"/>
            </w:tcBorders>
            <w:vAlign w:val="center"/>
          </w:tcPr>
          <w:p w14:paraId="4A732054" w14:textId="77777777" w:rsidR="0025223A" w:rsidRPr="004C78D8" w:rsidRDefault="0025223A" w:rsidP="00FB7C1F">
            <w:pPr>
              <w:jc w:val="center"/>
              <w:rPr>
                <w:sz w:val="20"/>
                <w:szCs w:val="20"/>
              </w:rPr>
            </w:pPr>
          </w:p>
        </w:tc>
        <w:tc>
          <w:tcPr>
            <w:tcW w:w="408" w:type="pct"/>
            <w:tcBorders>
              <w:top w:val="nil"/>
              <w:bottom w:val="nil"/>
            </w:tcBorders>
            <w:vAlign w:val="center"/>
          </w:tcPr>
          <w:p w14:paraId="3DAC184C" w14:textId="77777777" w:rsidR="0025223A" w:rsidRPr="004C78D8" w:rsidRDefault="0025223A" w:rsidP="00FB7C1F">
            <w:pPr>
              <w:jc w:val="center"/>
              <w:rPr>
                <w:sz w:val="18"/>
                <w:szCs w:val="18"/>
              </w:rPr>
            </w:pPr>
            <w:r w:rsidRPr="004C78D8">
              <w:rPr>
                <w:sz w:val="18"/>
                <w:szCs w:val="18"/>
              </w:rPr>
              <w:t>PP</w:t>
            </w:r>
          </w:p>
        </w:tc>
      </w:tr>
      <w:tr w:rsidR="0025223A" w:rsidRPr="004C78D8" w14:paraId="014747F6" w14:textId="77777777" w:rsidTr="002828C1">
        <w:tc>
          <w:tcPr>
            <w:tcW w:w="662" w:type="pct"/>
            <w:vMerge w:val="restart"/>
          </w:tcPr>
          <w:p w14:paraId="6E0D6BBB" w14:textId="77777777" w:rsidR="0025223A" w:rsidRPr="004C78D8" w:rsidRDefault="0025223A" w:rsidP="00FB7C1F">
            <w:pPr>
              <w:jc w:val="left"/>
              <w:rPr>
                <w:sz w:val="18"/>
                <w:szCs w:val="18"/>
              </w:rPr>
            </w:pPr>
            <w:r w:rsidRPr="004C78D8">
              <w:rPr>
                <w:sz w:val="18"/>
                <w:szCs w:val="18"/>
              </w:rPr>
              <w:t>PHE (2018)</w:t>
            </w:r>
          </w:p>
        </w:tc>
        <w:tc>
          <w:tcPr>
            <w:tcW w:w="765" w:type="pct"/>
          </w:tcPr>
          <w:p w14:paraId="13EADAE0" w14:textId="77777777" w:rsidR="0025223A" w:rsidRPr="004C78D8" w:rsidRDefault="0025223A" w:rsidP="00FB7C1F">
            <w:pPr>
              <w:jc w:val="left"/>
              <w:rPr>
                <w:sz w:val="18"/>
                <w:szCs w:val="18"/>
              </w:rPr>
            </w:pPr>
            <w:r w:rsidRPr="004C78D8">
              <w:rPr>
                <w:sz w:val="18"/>
                <w:szCs w:val="18"/>
              </w:rPr>
              <w:t>Home exercise</w:t>
            </w:r>
          </w:p>
        </w:tc>
        <w:tc>
          <w:tcPr>
            <w:tcW w:w="255" w:type="pct"/>
            <w:tcBorders>
              <w:top w:val="nil"/>
              <w:bottom w:val="nil"/>
            </w:tcBorders>
            <w:vAlign w:val="center"/>
          </w:tcPr>
          <w:p w14:paraId="33DB7341" w14:textId="77777777" w:rsidR="0025223A" w:rsidRPr="004C78D8" w:rsidRDefault="0025223A" w:rsidP="00FB7C1F">
            <w:pPr>
              <w:jc w:val="center"/>
              <w:rPr>
                <w:sz w:val="20"/>
                <w:szCs w:val="20"/>
              </w:rPr>
            </w:pPr>
          </w:p>
        </w:tc>
        <w:tc>
          <w:tcPr>
            <w:tcW w:w="408" w:type="pct"/>
            <w:tcBorders>
              <w:top w:val="nil"/>
              <w:bottom w:val="nil"/>
            </w:tcBorders>
            <w:vAlign w:val="center"/>
          </w:tcPr>
          <w:p w14:paraId="04E16114" w14:textId="77777777" w:rsidR="0025223A" w:rsidRPr="004C78D8" w:rsidRDefault="0025223A" w:rsidP="00FB7C1F">
            <w:pPr>
              <w:jc w:val="center"/>
              <w:rPr>
                <w:sz w:val="20"/>
                <w:szCs w:val="20"/>
              </w:rPr>
            </w:pPr>
          </w:p>
        </w:tc>
        <w:tc>
          <w:tcPr>
            <w:tcW w:w="357" w:type="pct"/>
            <w:tcBorders>
              <w:top w:val="nil"/>
              <w:bottom w:val="nil"/>
            </w:tcBorders>
            <w:vAlign w:val="center"/>
          </w:tcPr>
          <w:p w14:paraId="5555F549" w14:textId="77777777" w:rsidR="0025223A" w:rsidRPr="004C78D8" w:rsidRDefault="0025223A" w:rsidP="00FB7C1F">
            <w:pPr>
              <w:jc w:val="center"/>
              <w:rPr>
                <w:sz w:val="20"/>
                <w:szCs w:val="20"/>
              </w:rPr>
            </w:pPr>
          </w:p>
        </w:tc>
        <w:tc>
          <w:tcPr>
            <w:tcW w:w="358" w:type="pct"/>
            <w:tcBorders>
              <w:top w:val="nil"/>
              <w:bottom w:val="nil"/>
            </w:tcBorders>
            <w:vAlign w:val="center"/>
          </w:tcPr>
          <w:p w14:paraId="5DAFD420" w14:textId="77777777" w:rsidR="0025223A" w:rsidRPr="004C78D8" w:rsidRDefault="0025223A" w:rsidP="00FB7C1F">
            <w:pPr>
              <w:jc w:val="center"/>
              <w:rPr>
                <w:sz w:val="18"/>
                <w:szCs w:val="18"/>
              </w:rPr>
            </w:pPr>
            <w:r w:rsidRPr="004C78D8">
              <w:rPr>
                <w:sz w:val="18"/>
                <w:szCs w:val="18"/>
              </w:rPr>
              <w:t>Eval. cost</w:t>
            </w:r>
          </w:p>
        </w:tc>
        <w:tc>
          <w:tcPr>
            <w:tcW w:w="306" w:type="pct"/>
            <w:tcBorders>
              <w:top w:val="nil"/>
              <w:bottom w:val="nil"/>
            </w:tcBorders>
            <w:vAlign w:val="center"/>
          </w:tcPr>
          <w:p w14:paraId="3D69AAF7"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06" w:type="pct"/>
            <w:tcBorders>
              <w:top w:val="nil"/>
              <w:bottom w:val="nil"/>
            </w:tcBorders>
            <w:vAlign w:val="center"/>
          </w:tcPr>
          <w:p w14:paraId="19D08952"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57" w:type="pct"/>
            <w:tcBorders>
              <w:top w:val="nil"/>
              <w:bottom w:val="nil"/>
            </w:tcBorders>
            <w:vAlign w:val="center"/>
          </w:tcPr>
          <w:p w14:paraId="7030BC1E" w14:textId="77777777" w:rsidR="0025223A" w:rsidRPr="004C78D8" w:rsidRDefault="0025223A" w:rsidP="00FB7C1F">
            <w:pPr>
              <w:jc w:val="center"/>
              <w:rPr>
                <w:sz w:val="28"/>
                <w:szCs w:val="28"/>
              </w:rPr>
            </w:pPr>
            <w:r w:rsidRPr="004C78D8">
              <w:rPr>
                <w:rFonts w:cs="Times New Roman"/>
                <w:sz w:val="28"/>
                <w:szCs w:val="28"/>
              </w:rPr>
              <w:t>˟</w:t>
            </w:r>
          </w:p>
        </w:tc>
        <w:tc>
          <w:tcPr>
            <w:tcW w:w="357" w:type="pct"/>
            <w:tcBorders>
              <w:top w:val="nil"/>
              <w:bottom w:val="nil"/>
            </w:tcBorders>
            <w:vAlign w:val="center"/>
          </w:tcPr>
          <w:p w14:paraId="18ADC6FB" w14:textId="77777777" w:rsidR="0025223A" w:rsidRPr="004C78D8" w:rsidRDefault="0025223A" w:rsidP="00FB7C1F">
            <w:pPr>
              <w:jc w:val="center"/>
              <w:rPr>
                <w:sz w:val="18"/>
                <w:szCs w:val="18"/>
              </w:rPr>
            </w:pPr>
          </w:p>
        </w:tc>
        <w:tc>
          <w:tcPr>
            <w:tcW w:w="459" w:type="pct"/>
            <w:tcBorders>
              <w:top w:val="nil"/>
              <w:bottom w:val="nil"/>
            </w:tcBorders>
            <w:vAlign w:val="center"/>
          </w:tcPr>
          <w:p w14:paraId="5DB75D3B" w14:textId="77777777" w:rsidR="0025223A" w:rsidRPr="004C78D8" w:rsidRDefault="0025223A" w:rsidP="00FB7C1F">
            <w:pPr>
              <w:jc w:val="center"/>
              <w:rPr>
                <w:sz w:val="28"/>
                <w:szCs w:val="28"/>
              </w:rPr>
            </w:pPr>
            <w:r w:rsidRPr="004C78D8">
              <w:rPr>
                <w:rFonts w:cs="Times New Roman"/>
                <w:sz w:val="28"/>
                <w:szCs w:val="28"/>
              </w:rPr>
              <w:t>˟</w:t>
            </w:r>
          </w:p>
        </w:tc>
        <w:tc>
          <w:tcPr>
            <w:tcW w:w="408" w:type="pct"/>
            <w:tcBorders>
              <w:top w:val="nil"/>
              <w:bottom w:val="nil"/>
            </w:tcBorders>
            <w:vAlign w:val="center"/>
          </w:tcPr>
          <w:p w14:paraId="5E80764D" w14:textId="77777777" w:rsidR="0025223A" w:rsidRPr="004C78D8" w:rsidRDefault="0025223A" w:rsidP="00FB7C1F">
            <w:pPr>
              <w:jc w:val="center"/>
              <w:rPr>
                <w:sz w:val="18"/>
                <w:szCs w:val="18"/>
              </w:rPr>
            </w:pPr>
            <w:r w:rsidRPr="004C78D8">
              <w:rPr>
                <w:sz w:val="18"/>
                <w:szCs w:val="18"/>
              </w:rPr>
              <w:t>PP</w:t>
            </w:r>
          </w:p>
        </w:tc>
      </w:tr>
      <w:tr w:rsidR="0025223A" w:rsidRPr="004C78D8" w14:paraId="10053894" w14:textId="77777777" w:rsidTr="002828C1">
        <w:tc>
          <w:tcPr>
            <w:tcW w:w="662" w:type="pct"/>
            <w:vMerge/>
          </w:tcPr>
          <w:p w14:paraId="26A04FA2" w14:textId="77777777" w:rsidR="0025223A" w:rsidRPr="004C78D8" w:rsidRDefault="0025223A" w:rsidP="00FB7C1F">
            <w:pPr>
              <w:jc w:val="left"/>
              <w:rPr>
                <w:sz w:val="18"/>
                <w:szCs w:val="18"/>
              </w:rPr>
            </w:pPr>
          </w:p>
        </w:tc>
        <w:tc>
          <w:tcPr>
            <w:tcW w:w="765" w:type="pct"/>
          </w:tcPr>
          <w:p w14:paraId="6F1BB438" w14:textId="77777777" w:rsidR="0025223A" w:rsidRPr="004C78D8" w:rsidRDefault="0025223A" w:rsidP="00FB7C1F">
            <w:pPr>
              <w:jc w:val="left"/>
              <w:rPr>
                <w:sz w:val="18"/>
                <w:szCs w:val="18"/>
              </w:rPr>
            </w:pPr>
            <w:r w:rsidRPr="004C78D8">
              <w:rPr>
                <w:sz w:val="18"/>
                <w:szCs w:val="18"/>
              </w:rPr>
              <w:t>Group exercise (FaME)</w:t>
            </w:r>
          </w:p>
        </w:tc>
        <w:tc>
          <w:tcPr>
            <w:tcW w:w="255" w:type="pct"/>
            <w:tcBorders>
              <w:top w:val="nil"/>
              <w:bottom w:val="nil"/>
            </w:tcBorders>
            <w:vAlign w:val="center"/>
          </w:tcPr>
          <w:p w14:paraId="14DDC0CB" w14:textId="77777777" w:rsidR="0025223A" w:rsidRPr="004C78D8" w:rsidRDefault="0025223A" w:rsidP="00FB7C1F">
            <w:pPr>
              <w:jc w:val="center"/>
              <w:rPr>
                <w:sz w:val="20"/>
                <w:szCs w:val="20"/>
              </w:rPr>
            </w:pPr>
          </w:p>
        </w:tc>
        <w:tc>
          <w:tcPr>
            <w:tcW w:w="408" w:type="pct"/>
            <w:tcBorders>
              <w:top w:val="nil"/>
              <w:bottom w:val="nil"/>
            </w:tcBorders>
            <w:vAlign w:val="center"/>
          </w:tcPr>
          <w:p w14:paraId="1A39F1F5" w14:textId="77777777" w:rsidR="0025223A" w:rsidRPr="004C78D8" w:rsidRDefault="0025223A" w:rsidP="00FB7C1F">
            <w:pPr>
              <w:jc w:val="center"/>
              <w:rPr>
                <w:sz w:val="20"/>
                <w:szCs w:val="20"/>
              </w:rPr>
            </w:pPr>
          </w:p>
        </w:tc>
        <w:tc>
          <w:tcPr>
            <w:tcW w:w="357" w:type="pct"/>
            <w:tcBorders>
              <w:top w:val="nil"/>
              <w:bottom w:val="nil"/>
            </w:tcBorders>
            <w:vAlign w:val="center"/>
          </w:tcPr>
          <w:p w14:paraId="3C03FF0C" w14:textId="77777777" w:rsidR="0025223A" w:rsidRPr="004C78D8" w:rsidRDefault="0025223A" w:rsidP="00FB7C1F">
            <w:pPr>
              <w:jc w:val="center"/>
              <w:rPr>
                <w:sz w:val="20"/>
                <w:szCs w:val="20"/>
              </w:rPr>
            </w:pPr>
          </w:p>
        </w:tc>
        <w:tc>
          <w:tcPr>
            <w:tcW w:w="358" w:type="pct"/>
            <w:tcBorders>
              <w:top w:val="nil"/>
              <w:bottom w:val="nil"/>
            </w:tcBorders>
            <w:vAlign w:val="center"/>
          </w:tcPr>
          <w:p w14:paraId="005C4E4C" w14:textId="77777777" w:rsidR="0025223A" w:rsidRPr="004C78D8" w:rsidRDefault="0025223A" w:rsidP="00FB7C1F">
            <w:pPr>
              <w:jc w:val="center"/>
              <w:rPr>
                <w:sz w:val="18"/>
                <w:szCs w:val="18"/>
              </w:rPr>
            </w:pPr>
            <w:r w:rsidRPr="004C78D8">
              <w:rPr>
                <w:sz w:val="18"/>
                <w:szCs w:val="18"/>
              </w:rPr>
              <w:t>Eval. cost</w:t>
            </w:r>
          </w:p>
        </w:tc>
        <w:tc>
          <w:tcPr>
            <w:tcW w:w="306" w:type="pct"/>
            <w:tcBorders>
              <w:top w:val="nil"/>
              <w:bottom w:val="nil"/>
            </w:tcBorders>
            <w:vAlign w:val="center"/>
          </w:tcPr>
          <w:p w14:paraId="70347267"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06" w:type="pct"/>
            <w:tcBorders>
              <w:top w:val="nil"/>
              <w:bottom w:val="nil"/>
            </w:tcBorders>
            <w:vAlign w:val="center"/>
          </w:tcPr>
          <w:p w14:paraId="2715CD7C"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57" w:type="pct"/>
            <w:tcBorders>
              <w:top w:val="nil"/>
              <w:bottom w:val="nil"/>
            </w:tcBorders>
            <w:vAlign w:val="center"/>
          </w:tcPr>
          <w:p w14:paraId="0A78DDD9" w14:textId="77777777" w:rsidR="0025223A" w:rsidRPr="004C78D8" w:rsidRDefault="0025223A" w:rsidP="00FB7C1F">
            <w:pPr>
              <w:jc w:val="center"/>
              <w:rPr>
                <w:sz w:val="28"/>
                <w:szCs w:val="28"/>
              </w:rPr>
            </w:pPr>
            <w:r w:rsidRPr="004C78D8">
              <w:rPr>
                <w:rFonts w:cs="Times New Roman"/>
                <w:sz w:val="28"/>
                <w:szCs w:val="28"/>
              </w:rPr>
              <w:t>˟</w:t>
            </w:r>
          </w:p>
        </w:tc>
        <w:tc>
          <w:tcPr>
            <w:tcW w:w="357" w:type="pct"/>
            <w:tcBorders>
              <w:top w:val="nil"/>
              <w:bottom w:val="nil"/>
            </w:tcBorders>
            <w:vAlign w:val="center"/>
          </w:tcPr>
          <w:p w14:paraId="59E39277" w14:textId="77777777" w:rsidR="0025223A" w:rsidRPr="004C78D8" w:rsidRDefault="0025223A" w:rsidP="00FB7C1F">
            <w:pPr>
              <w:jc w:val="center"/>
              <w:rPr>
                <w:sz w:val="18"/>
                <w:szCs w:val="18"/>
              </w:rPr>
            </w:pPr>
            <w:r w:rsidRPr="004C78D8">
              <w:rPr>
                <w:sz w:val="18"/>
                <w:szCs w:val="18"/>
              </w:rPr>
              <w:t>VN&amp;OH</w:t>
            </w:r>
          </w:p>
        </w:tc>
        <w:tc>
          <w:tcPr>
            <w:tcW w:w="459" w:type="pct"/>
            <w:tcBorders>
              <w:top w:val="nil"/>
              <w:bottom w:val="nil"/>
            </w:tcBorders>
            <w:vAlign w:val="center"/>
          </w:tcPr>
          <w:p w14:paraId="0A76C7C2" w14:textId="77777777" w:rsidR="0025223A" w:rsidRPr="004C78D8" w:rsidRDefault="0025223A" w:rsidP="00FB7C1F">
            <w:pPr>
              <w:jc w:val="center"/>
              <w:rPr>
                <w:sz w:val="28"/>
                <w:szCs w:val="28"/>
              </w:rPr>
            </w:pPr>
            <w:r w:rsidRPr="004C78D8">
              <w:rPr>
                <w:rFonts w:cs="Times New Roman"/>
                <w:sz w:val="28"/>
                <w:szCs w:val="28"/>
              </w:rPr>
              <w:t>˟</w:t>
            </w:r>
          </w:p>
        </w:tc>
        <w:tc>
          <w:tcPr>
            <w:tcW w:w="408" w:type="pct"/>
            <w:tcBorders>
              <w:top w:val="nil"/>
              <w:bottom w:val="nil"/>
            </w:tcBorders>
            <w:vAlign w:val="center"/>
          </w:tcPr>
          <w:p w14:paraId="09DA1FDE" w14:textId="77777777" w:rsidR="0025223A" w:rsidRPr="004C78D8" w:rsidRDefault="0025223A" w:rsidP="00FB7C1F">
            <w:pPr>
              <w:jc w:val="center"/>
              <w:rPr>
                <w:sz w:val="18"/>
                <w:szCs w:val="18"/>
              </w:rPr>
            </w:pPr>
            <w:r w:rsidRPr="004C78D8">
              <w:rPr>
                <w:sz w:val="18"/>
                <w:szCs w:val="18"/>
              </w:rPr>
              <w:t>PP</w:t>
            </w:r>
          </w:p>
        </w:tc>
      </w:tr>
      <w:tr w:rsidR="0025223A" w:rsidRPr="004C78D8" w14:paraId="42727BFD" w14:textId="77777777" w:rsidTr="002828C1">
        <w:tc>
          <w:tcPr>
            <w:tcW w:w="662" w:type="pct"/>
            <w:vMerge/>
          </w:tcPr>
          <w:p w14:paraId="335850B2" w14:textId="77777777" w:rsidR="0025223A" w:rsidRPr="004C78D8" w:rsidRDefault="0025223A" w:rsidP="00FB7C1F">
            <w:pPr>
              <w:jc w:val="left"/>
              <w:rPr>
                <w:sz w:val="18"/>
                <w:szCs w:val="18"/>
              </w:rPr>
            </w:pPr>
          </w:p>
        </w:tc>
        <w:tc>
          <w:tcPr>
            <w:tcW w:w="765" w:type="pct"/>
          </w:tcPr>
          <w:p w14:paraId="5E1C88B7" w14:textId="77777777" w:rsidR="0025223A" w:rsidRPr="004C78D8" w:rsidRDefault="0025223A" w:rsidP="00FB7C1F">
            <w:pPr>
              <w:jc w:val="left"/>
              <w:rPr>
                <w:sz w:val="18"/>
                <w:szCs w:val="18"/>
              </w:rPr>
            </w:pPr>
            <w:r w:rsidRPr="004C78D8">
              <w:rPr>
                <w:sz w:val="18"/>
                <w:szCs w:val="18"/>
              </w:rPr>
              <w:t>Tai Chi (group or home)</w:t>
            </w:r>
          </w:p>
        </w:tc>
        <w:tc>
          <w:tcPr>
            <w:tcW w:w="255" w:type="pct"/>
            <w:tcBorders>
              <w:top w:val="nil"/>
              <w:bottom w:val="nil"/>
            </w:tcBorders>
            <w:vAlign w:val="center"/>
          </w:tcPr>
          <w:p w14:paraId="07B5BC56" w14:textId="77777777" w:rsidR="0025223A" w:rsidRPr="004C78D8" w:rsidRDefault="0025223A" w:rsidP="00FB7C1F">
            <w:pPr>
              <w:jc w:val="center"/>
              <w:rPr>
                <w:sz w:val="20"/>
                <w:szCs w:val="20"/>
              </w:rPr>
            </w:pPr>
          </w:p>
        </w:tc>
        <w:tc>
          <w:tcPr>
            <w:tcW w:w="408" w:type="pct"/>
            <w:tcBorders>
              <w:top w:val="nil"/>
              <w:bottom w:val="nil"/>
            </w:tcBorders>
            <w:vAlign w:val="center"/>
          </w:tcPr>
          <w:p w14:paraId="6206D946" w14:textId="77777777" w:rsidR="0025223A" w:rsidRPr="004C78D8" w:rsidRDefault="0025223A" w:rsidP="00FB7C1F">
            <w:pPr>
              <w:jc w:val="center"/>
              <w:rPr>
                <w:sz w:val="20"/>
                <w:szCs w:val="20"/>
              </w:rPr>
            </w:pPr>
          </w:p>
        </w:tc>
        <w:tc>
          <w:tcPr>
            <w:tcW w:w="357" w:type="pct"/>
            <w:tcBorders>
              <w:top w:val="nil"/>
              <w:bottom w:val="nil"/>
            </w:tcBorders>
            <w:vAlign w:val="center"/>
          </w:tcPr>
          <w:p w14:paraId="3BCA4ED0" w14:textId="77777777" w:rsidR="0025223A" w:rsidRPr="004C78D8" w:rsidRDefault="0025223A" w:rsidP="00FB7C1F">
            <w:pPr>
              <w:jc w:val="center"/>
              <w:rPr>
                <w:sz w:val="20"/>
                <w:szCs w:val="20"/>
              </w:rPr>
            </w:pPr>
          </w:p>
        </w:tc>
        <w:tc>
          <w:tcPr>
            <w:tcW w:w="358" w:type="pct"/>
            <w:tcBorders>
              <w:top w:val="nil"/>
              <w:bottom w:val="nil"/>
            </w:tcBorders>
            <w:vAlign w:val="center"/>
          </w:tcPr>
          <w:p w14:paraId="5B3E491E" w14:textId="77777777" w:rsidR="0025223A" w:rsidRPr="004C78D8" w:rsidRDefault="0025223A" w:rsidP="00FB7C1F">
            <w:pPr>
              <w:jc w:val="center"/>
              <w:rPr>
                <w:sz w:val="20"/>
                <w:szCs w:val="20"/>
              </w:rPr>
            </w:pPr>
            <w:r w:rsidRPr="004C78D8">
              <w:rPr>
                <w:sz w:val="18"/>
                <w:szCs w:val="18"/>
              </w:rPr>
              <w:t>Eval. cost</w:t>
            </w:r>
          </w:p>
        </w:tc>
        <w:tc>
          <w:tcPr>
            <w:tcW w:w="306" w:type="pct"/>
            <w:tcBorders>
              <w:top w:val="nil"/>
              <w:bottom w:val="nil"/>
            </w:tcBorders>
            <w:vAlign w:val="center"/>
          </w:tcPr>
          <w:p w14:paraId="7F87EFA4"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06" w:type="pct"/>
            <w:tcBorders>
              <w:top w:val="nil"/>
              <w:bottom w:val="nil"/>
            </w:tcBorders>
            <w:vAlign w:val="center"/>
          </w:tcPr>
          <w:p w14:paraId="1D016E6D"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57" w:type="pct"/>
            <w:tcBorders>
              <w:top w:val="nil"/>
              <w:bottom w:val="nil"/>
            </w:tcBorders>
            <w:vAlign w:val="center"/>
          </w:tcPr>
          <w:p w14:paraId="5AF60B36" w14:textId="77777777" w:rsidR="0025223A" w:rsidRPr="004C78D8" w:rsidRDefault="0025223A" w:rsidP="00FB7C1F">
            <w:pPr>
              <w:jc w:val="center"/>
              <w:rPr>
                <w:sz w:val="28"/>
                <w:szCs w:val="28"/>
              </w:rPr>
            </w:pPr>
            <w:r w:rsidRPr="004C78D8">
              <w:rPr>
                <w:rFonts w:cs="Times New Roman"/>
                <w:sz w:val="28"/>
                <w:szCs w:val="28"/>
              </w:rPr>
              <w:t>˟</w:t>
            </w:r>
          </w:p>
        </w:tc>
        <w:tc>
          <w:tcPr>
            <w:tcW w:w="357" w:type="pct"/>
            <w:tcBorders>
              <w:top w:val="nil"/>
              <w:bottom w:val="nil"/>
            </w:tcBorders>
            <w:vAlign w:val="center"/>
          </w:tcPr>
          <w:p w14:paraId="2C18F8A0" w14:textId="77777777" w:rsidR="0025223A" w:rsidRPr="004C78D8" w:rsidRDefault="0025223A" w:rsidP="00FB7C1F">
            <w:pPr>
              <w:jc w:val="center"/>
              <w:rPr>
                <w:sz w:val="18"/>
                <w:szCs w:val="18"/>
              </w:rPr>
            </w:pPr>
            <w:r w:rsidRPr="004C78D8">
              <w:rPr>
                <w:sz w:val="18"/>
                <w:szCs w:val="18"/>
              </w:rPr>
              <w:t>VN&amp;OH</w:t>
            </w:r>
          </w:p>
        </w:tc>
        <w:tc>
          <w:tcPr>
            <w:tcW w:w="459" w:type="pct"/>
            <w:tcBorders>
              <w:top w:val="nil"/>
              <w:bottom w:val="nil"/>
            </w:tcBorders>
            <w:vAlign w:val="center"/>
          </w:tcPr>
          <w:p w14:paraId="5506DC14" w14:textId="77777777" w:rsidR="0025223A" w:rsidRPr="004C78D8" w:rsidRDefault="0025223A" w:rsidP="00FB7C1F">
            <w:pPr>
              <w:jc w:val="center"/>
              <w:rPr>
                <w:sz w:val="28"/>
                <w:szCs w:val="28"/>
              </w:rPr>
            </w:pPr>
            <w:r w:rsidRPr="004C78D8">
              <w:rPr>
                <w:rFonts w:cs="Times New Roman"/>
                <w:sz w:val="28"/>
                <w:szCs w:val="28"/>
              </w:rPr>
              <w:t>˟</w:t>
            </w:r>
          </w:p>
        </w:tc>
        <w:tc>
          <w:tcPr>
            <w:tcW w:w="408" w:type="pct"/>
            <w:tcBorders>
              <w:top w:val="nil"/>
              <w:bottom w:val="nil"/>
            </w:tcBorders>
            <w:vAlign w:val="center"/>
          </w:tcPr>
          <w:p w14:paraId="0335CFD3" w14:textId="77777777" w:rsidR="0025223A" w:rsidRPr="004C78D8" w:rsidRDefault="0025223A" w:rsidP="00FB7C1F">
            <w:pPr>
              <w:jc w:val="center"/>
              <w:rPr>
                <w:sz w:val="18"/>
                <w:szCs w:val="18"/>
              </w:rPr>
            </w:pPr>
            <w:r w:rsidRPr="004C78D8">
              <w:rPr>
                <w:sz w:val="18"/>
                <w:szCs w:val="18"/>
              </w:rPr>
              <w:t>PP</w:t>
            </w:r>
          </w:p>
        </w:tc>
      </w:tr>
      <w:tr w:rsidR="0025223A" w:rsidRPr="004C78D8" w14:paraId="69FA19B5" w14:textId="77777777" w:rsidTr="002828C1">
        <w:tc>
          <w:tcPr>
            <w:tcW w:w="662" w:type="pct"/>
          </w:tcPr>
          <w:p w14:paraId="3D0B6471" w14:textId="77777777" w:rsidR="0025223A" w:rsidRPr="004C78D8" w:rsidRDefault="0025223A" w:rsidP="00FB7C1F">
            <w:pPr>
              <w:jc w:val="left"/>
              <w:rPr>
                <w:sz w:val="18"/>
                <w:szCs w:val="18"/>
              </w:rPr>
            </w:pPr>
            <w:r w:rsidRPr="004C78D8">
              <w:rPr>
                <w:sz w:val="18"/>
                <w:szCs w:val="18"/>
              </w:rPr>
              <w:t>Nshimyumukiza (2013)</w:t>
            </w:r>
          </w:p>
        </w:tc>
        <w:tc>
          <w:tcPr>
            <w:tcW w:w="765" w:type="pct"/>
          </w:tcPr>
          <w:p w14:paraId="7919111F" w14:textId="77777777" w:rsidR="0025223A" w:rsidRPr="004C78D8" w:rsidRDefault="0025223A" w:rsidP="00FB7C1F">
            <w:pPr>
              <w:jc w:val="left"/>
              <w:rPr>
                <w:sz w:val="18"/>
                <w:szCs w:val="18"/>
              </w:rPr>
            </w:pPr>
            <w:r w:rsidRPr="004C78D8">
              <w:rPr>
                <w:sz w:val="18"/>
                <w:szCs w:val="18"/>
              </w:rPr>
              <w:t>BMD screening and physical activity</w:t>
            </w:r>
          </w:p>
        </w:tc>
        <w:tc>
          <w:tcPr>
            <w:tcW w:w="255" w:type="pct"/>
            <w:tcBorders>
              <w:top w:val="nil"/>
              <w:bottom w:val="nil"/>
            </w:tcBorders>
            <w:vAlign w:val="center"/>
          </w:tcPr>
          <w:p w14:paraId="51B2DCCE" w14:textId="77777777" w:rsidR="0025223A" w:rsidRPr="004C78D8" w:rsidRDefault="0025223A" w:rsidP="00FB7C1F">
            <w:pPr>
              <w:jc w:val="center"/>
              <w:rPr>
                <w:sz w:val="20"/>
                <w:szCs w:val="20"/>
              </w:rPr>
            </w:pPr>
            <w:r w:rsidRPr="004C78D8">
              <w:rPr>
                <w:rFonts w:cs="Times New Roman"/>
                <w:sz w:val="28"/>
                <w:szCs w:val="28"/>
              </w:rPr>
              <w:t>˟</w:t>
            </w:r>
          </w:p>
        </w:tc>
        <w:tc>
          <w:tcPr>
            <w:tcW w:w="408" w:type="pct"/>
            <w:tcBorders>
              <w:top w:val="nil"/>
              <w:bottom w:val="nil"/>
            </w:tcBorders>
            <w:vAlign w:val="center"/>
          </w:tcPr>
          <w:p w14:paraId="55CD9F21" w14:textId="77777777" w:rsidR="0025223A" w:rsidRPr="004C78D8" w:rsidRDefault="0025223A" w:rsidP="00FB7C1F">
            <w:pPr>
              <w:jc w:val="center"/>
              <w:rPr>
                <w:sz w:val="20"/>
                <w:szCs w:val="20"/>
              </w:rPr>
            </w:pPr>
          </w:p>
        </w:tc>
        <w:tc>
          <w:tcPr>
            <w:tcW w:w="357" w:type="pct"/>
            <w:tcBorders>
              <w:top w:val="nil"/>
              <w:bottom w:val="nil"/>
            </w:tcBorders>
            <w:vAlign w:val="center"/>
          </w:tcPr>
          <w:p w14:paraId="4C5E9C17" w14:textId="77777777" w:rsidR="0025223A" w:rsidRPr="004C78D8" w:rsidRDefault="0025223A" w:rsidP="00FB7C1F">
            <w:pPr>
              <w:jc w:val="center"/>
              <w:rPr>
                <w:rFonts w:cs="Times New Roman"/>
                <w:sz w:val="36"/>
                <w:szCs w:val="36"/>
              </w:rPr>
            </w:pPr>
            <w:r w:rsidRPr="004C78D8">
              <w:rPr>
                <w:sz w:val="18"/>
                <w:szCs w:val="18"/>
              </w:rPr>
              <w:t>BMD</w:t>
            </w:r>
          </w:p>
        </w:tc>
        <w:tc>
          <w:tcPr>
            <w:tcW w:w="358" w:type="pct"/>
            <w:tcBorders>
              <w:top w:val="nil"/>
              <w:bottom w:val="nil"/>
            </w:tcBorders>
            <w:vAlign w:val="center"/>
          </w:tcPr>
          <w:p w14:paraId="6496F5CB" w14:textId="77777777" w:rsidR="0025223A" w:rsidRPr="004C78D8" w:rsidRDefault="0025223A" w:rsidP="00FB7C1F">
            <w:pPr>
              <w:jc w:val="center"/>
              <w:rPr>
                <w:sz w:val="20"/>
                <w:szCs w:val="20"/>
              </w:rPr>
            </w:pPr>
          </w:p>
        </w:tc>
        <w:tc>
          <w:tcPr>
            <w:tcW w:w="306" w:type="pct"/>
            <w:tcBorders>
              <w:top w:val="nil"/>
              <w:bottom w:val="nil"/>
            </w:tcBorders>
            <w:vAlign w:val="center"/>
          </w:tcPr>
          <w:p w14:paraId="0E606BFA" w14:textId="77777777" w:rsidR="0025223A" w:rsidRPr="004C78D8" w:rsidRDefault="0025223A" w:rsidP="00FB7C1F">
            <w:pPr>
              <w:jc w:val="center"/>
              <w:rPr>
                <w:rFonts w:cs="Times New Roman"/>
                <w:sz w:val="36"/>
                <w:szCs w:val="36"/>
              </w:rPr>
            </w:pPr>
          </w:p>
        </w:tc>
        <w:tc>
          <w:tcPr>
            <w:tcW w:w="306" w:type="pct"/>
            <w:tcBorders>
              <w:top w:val="nil"/>
              <w:bottom w:val="nil"/>
            </w:tcBorders>
          </w:tcPr>
          <w:p w14:paraId="241B19A2" w14:textId="77777777" w:rsidR="0025223A" w:rsidRPr="004C78D8" w:rsidRDefault="0025223A" w:rsidP="00FB7C1F">
            <w:pPr>
              <w:jc w:val="center"/>
              <w:rPr>
                <w:sz w:val="20"/>
                <w:szCs w:val="20"/>
              </w:rPr>
            </w:pPr>
          </w:p>
        </w:tc>
        <w:tc>
          <w:tcPr>
            <w:tcW w:w="357" w:type="pct"/>
            <w:tcBorders>
              <w:top w:val="nil"/>
              <w:bottom w:val="nil"/>
            </w:tcBorders>
            <w:vAlign w:val="center"/>
          </w:tcPr>
          <w:p w14:paraId="3EB31E17" w14:textId="77777777" w:rsidR="0025223A" w:rsidRPr="004C78D8" w:rsidRDefault="0025223A" w:rsidP="00FB7C1F">
            <w:pPr>
              <w:jc w:val="center"/>
              <w:rPr>
                <w:sz w:val="20"/>
                <w:szCs w:val="20"/>
              </w:rPr>
            </w:pPr>
          </w:p>
        </w:tc>
        <w:tc>
          <w:tcPr>
            <w:tcW w:w="357" w:type="pct"/>
            <w:tcBorders>
              <w:top w:val="nil"/>
              <w:bottom w:val="nil"/>
            </w:tcBorders>
            <w:vAlign w:val="center"/>
          </w:tcPr>
          <w:p w14:paraId="789621B5" w14:textId="77777777" w:rsidR="0025223A" w:rsidRPr="004C78D8" w:rsidRDefault="0025223A" w:rsidP="00FB7C1F">
            <w:pPr>
              <w:jc w:val="center"/>
              <w:rPr>
                <w:rFonts w:cs="Times New Roman"/>
                <w:sz w:val="18"/>
                <w:szCs w:val="18"/>
              </w:rPr>
            </w:pPr>
          </w:p>
        </w:tc>
        <w:tc>
          <w:tcPr>
            <w:tcW w:w="459" w:type="pct"/>
            <w:tcBorders>
              <w:top w:val="nil"/>
              <w:bottom w:val="nil"/>
            </w:tcBorders>
            <w:vAlign w:val="center"/>
          </w:tcPr>
          <w:p w14:paraId="3298164A" w14:textId="77777777" w:rsidR="0025223A" w:rsidRPr="004C78D8" w:rsidRDefault="0025223A" w:rsidP="00FB7C1F">
            <w:pPr>
              <w:jc w:val="center"/>
              <w:rPr>
                <w:sz w:val="20"/>
                <w:szCs w:val="20"/>
              </w:rPr>
            </w:pPr>
          </w:p>
        </w:tc>
        <w:tc>
          <w:tcPr>
            <w:tcW w:w="408" w:type="pct"/>
            <w:tcBorders>
              <w:top w:val="nil"/>
              <w:bottom w:val="nil"/>
            </w:tcBorders>
            <w:vAlign w:val="center"/>
          </w:tcPr>
          <w:p w14:paraId="0F9BE057" w14:textId="77777777" w:rsidR="0025223A" w:rsidRPr="004C78D8" w:rsidRDefault="0025223A" w:rsidP="00FB7C1F">
            <w:pPr>
              <w:jc w:val="center"/>
              <w:rPr>
                <w:sz w:val="18"/>
                <w:szCs w:val="18"/>
              </w:rPr>
            </w:pPr>
            <w:r w:rsidRPr="004C78D8">
              <w:rPr>
                <w:sz w:val="18"/>
                <w:szCs w:val="18"/>
              </w:rPr>
              <w:t>PP</w:t>
            </w:r>
          </w:p>
        </w:tc>
      </w:tr>
      <w:tr w:rsidR="0025223A" w:rsidRPr="004C78D8" w14:paraId="25ED5185" w14:textId="77777777" w:rsidTr="002828C1">
        <w:tc>
          <w:tcPr>
            <w:tcW w:w="662" w:type="pct"/>
          </w:tcPr>
          <w:p w14:paraId="3AB9261F" w14:textId="77777777" w:rsidR="0025223A" w:rsidRPr="004C78D8" w:rsidRDefault="0025223A" w:rsidP="00FB7C1F">
            <w:pPr>
              <w:jc w:val="left"/>
              <w:rPr>
                <w:sz w:val="18"/>
                <w:szCs w:val="18"/>
              </w:rPr>
            </w:pPr>
            <w:r w:rsidRPr="004C78D8">
              <w:rPr>
                <w:sz w:val="18"/>
                <w:szCs w:val="18"/>
              </w:rPr>
              <w:lastRenderedPageBreak/>
              <w:t>RCN (2005)</w:t>
            </w:r>
          </w:p>
        </w:tc>
        <w:tc>
          <w:tcPr>
            <w:tcW w:w="765" w:type="pct"/>
          </w:tcPr>
          <w:p w14:paraId="6BF84648" w14:textId="77777777" w:rsidR="0025223A" w:rsidRPr="004C78D8" w:rsidRDefault="0025223A" w:rsidP="00FB7C1F">
            <w:pPr>
              <w:jc w:val="left"/>
              <w:rPr>
                <w:sz w:val="18"/>
                <w:szCs w:val="18"/>
              </w:rPr>
            </w:pPr>
            <w:r w:rsidRPr="004C78D8">
              <w:rPr>
                <w:sz w:val="18"/>
                <w:szCs w:val="18"/>
              </w:rPr>
              <w:t>FRS and exercise (unspecified)</w:t>
            </w:r>
          </w:p>
        </w:tc>
        <w:tc>
          <w:tcPr>
            <w:tcW w:w="255" w:type="pct"/>
            <w:tcBorders>
              <w:top w:val="nil"/>
            </w:tcBorders>
            <w:vAlign w:val="center"/>
          </w:tcPr>
          <w:p w14:paraId="2EAD1BE3" w14:textId="77777777" w:rsidR="0025223A" w:rsidRPr="004C78D8" w:rsidRDefault="0025223A" w:rsidP="00FB7C1F">
            <w:pPr>
              <w:jc w:val="center"/>
              <w:rPr>
                <w:sz w:val="20"/>
                <w:szCs w:val="20"/>
              </w:rPr>
            </w:pPr>
          </w:p>
        </w:tc>
        <w:tc>
          <w:tcPr>
            <w:tcW w:w="408" w:type="pct"/>
            <w:tcBorders>
              <w:top w:val="nil"/>
            </w:tcBorders>
            <w:vAlign w:val="center"/>
          </w:tcPr>
          <w:p w14:paraId="4213A450" w14:textId="77777777" w:rsidR="0025223A" w:rsidRPr="004C78D8" w:rsidRDefault="0025223A" w:rsidP="00FB7C1F">
            <w:pPr>
              <w:jc w:val="center"/>
              <w:rPr>
                <w:sz w:val="20"/>
                <w:szCs w:val="20"/>
              </w:rPr>
            </w:pPr>
          </w:p>
        </w:tc>
        <w:tc>
          <w:tcPr>
            <w:tcW w:w="357" w:type="pct"/>
            <w:tcBorders>
              <w:top w:val="nil"/>
            </w:tcBorders>
            <w:vAlign w:val="center"/>
          </w:tcPr>
          <w:p w14:paraId="06936A88" w14:textId="77777777" w:rsidR="0025223A" w:rsidRPr="004C78D8" w:rsidRDefault="0025223A" w:rsidP="00FB7C1F">
            <w:pPr>
              <w:jc w:val="center"/>
              <w:rPr>
                <w:sz w:val="20"/>
                <w:szCs w:val="20"/>
              </w:rPr>
            </w:pPr>
            <w:r w:rsidRPr="004C78D8">
              <w:rPr>
                <w:rFonts w:cs="Times New Roman"/>
                <w:sz w:val="28"/>
                <w:szCs w:val="28"/>
              </w:rPr>
              <w:t>˟</w:t>
            </w:r>
          </w:p>
        </w:tc>
        <w:tc>
          <w:tcPr>
            <w:tcW w:w="358" w:type="pct"/>
            <w:tcBorders>
              <w:top w:val="nil"/>
            </w:tcBorders>
            <w:vAlign w:val="center"/>
          </w:tcPr>
          <w:p w14:paraId="606A923C" w14:textId="77777777" w:rsidR="0025223A" w:rsidRPr="004C78D8" w:rsidRDefault="0025223A" w:rsidP="00FB7C1F">
            <w:pPr>
              <w:jc w:val="center"/>
              <w:rPr>
                <w:sz w:val="20"/>
                <w:szCs w:val="20"/>
              </w:rPr>
            </w:pPr>
          </w:p>
        </w:tc>
        <w:tc>
          <w:tcPr>
            <w:tcW w:w="1786" w:type="pct"/>
            <w:gridSpan w:val="5"/>
            <w:tcBorders>
              <w:top w:val="nil"/>
            </w:tcBorders>
            <w:vAlign w:val="center"/>
          </w:tcPr>
          <w:p w14:paraId="7378F5CA" w14:textId="77777777" w:rsidR="0025223A" w:rsidRPr="004C78D8" w:rsidRDefault="0025223A" w:rsidP="00FB7C1F">
            <w:pPr>
              <w:jc w:val="center"/>
              <w:rPr>
                <w:sz w:val="18"/>
                <w:szCs w:val="18"/>
              </w:rPr>
            </w:pPr>
            <w:r w:rsidRPr="004C78D8">
              <w:rPr>
                <w:sz w:val="18"/>
                <w:szCs w:val="18"/>
              </w:rPr>
              <w:t>Not specified</w:t>
            </w:r>
          </w:p>
        </w:tc>
        <w:tc>
          <w:tcPr>
            <w:tcW w:w="408" w:type="pct"/>
            <w:tcBorders>
              <w:top w:val="nil"/>
            </w:tcBorders>
            <w:vAlign w:val="center"/>
          </w:tcPr>
          <w:p w14:paraId="027A391A" w14:textId="77777777" w:rsidR="0025223A" w:rsidRPr="004C78D8" w:rsidRDefault="0025223A" w:rsidP="00FB7C1F">
            <w:pPr>
              <w:jc w:val="center"/>
              <w:rPr>
                <w:sz w:val="18"/>
                <w:szCs w:val="18"/>
              </w:rPr>
            </w:pPr>
            <w:r w:rsidRPr="004C78D8">
              <w:rPr>
                <w:sz w:val="18"/>
                <w:szCs w:val="18"/>
              </w:rPr>
              <w:t>PP</w:t>
            </w:r>
          </w:p>
        </w:tc>
      </w:tr>
      <w:tr w:rsidR="0025223A" w:rsidRPr="004C78D8" w14:paraId="3BF5E8ED" w14:textId="77777777" w:rsidTr="002828C1">
        <w:tc>
          <w:tcPr>
            <w:tcW w:w="5000" w:type="pct"/>
            <w:gridSpan w:val="12"/>
            <w:tcBorders>
              <w:bottom w:val="single" w:sz="4" w:space="0" w:color="auto"/>
            </w:tcBorders>
          </w:tcPr>
          <w:p w14:paraId="1C5D2234" w14:textId="77777777" w:rsidR="0025223A" w:rsidRPr="004C78D8" w:rsidRDefault="0025223A" w:rsidP="00FB7C1F">
            <w:pPr>
              <w:jc w:val="left"/>
              <w:rPr>
                <w:b/>
                <w:bCs/>
                <w:i/>
                <w:iCs/>
                <w:sz w:val="24"/>
                <w:szCs w:val="24"/>
              </w:rPr>
            </w:pPr>
            <w:r w:rsidRPr="004C78D8">
              <w:rPr>
                <w:b/>
                <w:bCs/>
                <w:i/>
                <w:iCs/>
                <w:sz w:val="20"/>
                <w:szCs w:val="20"/>
              </w:rPr>
              <w:t>Home assessment and modification (HAM)</w:t>
            </w:r>
          </w:p>
        </w:tc>
      </w:tr>
      <w:tr w:rsidR="0025223A" w:rsidRPr="004C78D8" w14:paraId="102093A6" w14:textId="77777777" w:rsidTr="002828C1">
        <w:tc>
          <w:tcPr>
            <w:tcW w:w="662" w:type="pct"/>
            <w:tcBorders>
              <w:bottom w:val="single" w:sz="4" w:space="0" w:color="auto"/>
            </w:tcBorders>
          </w:tcPr>
          <w:p w14:paraId="63F5A33D" w14:textId="77777777" w:rsidR="0025223A" w:rsidRPr="004C78D8" w:rsidRDefault="0025223A" w:rsidP="00FB7C1F">
            <w:pPr>
              <w:jc w:val="left"/>
              <w:rPr>
                <w:sz w:val="18"/>
                <w:szCs w:val="18"/>
              </w:rPr>
            </w:pPr>
            <w:r w:rsidRPr="004C78D8">
              <w:rPr>
                <w:sz w:val="18"/>
                <w:szCs w:val="18"/>
              </w:rPr>
              <w:t>Agartioglu (2020)</w:t>
            </w:r>
          </w:p>
        </w:tc>
        <w:tc>
          <w:tcPr>
            <w:tcW w:w="765" w:type="pct"/>
            <w:tcBorders>
              <w:bottom w:val="single" w:sz="4" w:space="0" w:color="auto"/>
            </w:tcBorders>
          </w:tcPr>
          <w:p w14:paraId="61843E83" w14:textId="77777777" w:rsidR="0025223A" w:rsidRPr="004C78D8" w:rsidRDefault="0025223A" w:rsidP="00FB7C1F">
            <w:pPr>
              <w:jc w:val="left"/>
              <w:rPr>
                <w:sz w:val="18"/>
                <w:szCs w:val="18"/>
              </w:rPr>
            </w:pPr>
            <w:r w:rsidRPr="004C78D8">
              <w:rPr>
                <w:sz w:val="18"/>
                <w:szCs w:val="18"/>
              </w:rPr>
              <w:t>HAM</w:t>
            </w:r>
          </w:p>
        </w:tc>
        <w:tc>
          <w:tcPr>
            <w:tcW w:w="255" w:type="pct"/>
            <w:tcBorders>
              <w:bottom w:val="nil"/>
            </w:tcBorders>
            <w:vAlign w:val="center"/>
          </w:tcPr>
          <w:p w14:paraId="295F2240" w14:textId="77777777" w:rsidR="0025223A" w:rsidRPr="004C78D8" w:rsidRDefault="0025223A" w:rsidP="00FB7C1F">
            <w:pPr>
              <w:jc w:val="center"/>
              <w:rPr>
                <w:sz w:val="20"/>
                <w:szCs w:val="20"/>
              </w:rPr>
            </w:pPr>
          </w:p>
        </w:tc>
        <w:tc>
          <w:tcPr>
            <w:tcW w:w="408" w:type="pct"/>
            <w:tcBorders>
              <w:bottom w:val="nil"/>
            </w:tcBorders>
            <w:vAlign w:val="center"/>
          </w:tcPr>
          <w:p w14:paraId="41B1B1FD" w14:textId="77777777" w:rsidR="0025223A" w:rsidRPr="004C78D8" w:rsidRDefault="0025223A" w:rsidP="00FB7C1F">
            <w:pPr>
              <w:jc w:val="center"/>
              <w:rPr>
                <w:sz w:val="20"/>
                <w:szCs w:val="20"/>
              </w:rPr>
            </w:pPr>
          </w:p>
        </w:tc>
        <w:tc>
          <w:tcPr>
            <w:tcW w:w="357" w:type="pct"/>
            <w:tcBorders>
              <w:bottom w:val="nil"/>
            </w:tcBorders>
            <w:vAlign w:val="center"/>
          </w:tcPr>
          <w:p w14:paraId="59060E5A" w14:textId="77777777" w:rsidR="0025223A" w:rsidRPr="004C78D8" w:rsidRDefault="0025223A" w:rsidP="00FB7C1F">
            <w:pPr>
              <w:jc w:val="center"/>
              <w:rPr>
                <w:sz w:val="20"/>
                <w:szCs w:val="20"/>
              </w:rPr>
            </w:pPr>
          </w:p>
        </w:tc>
        <w:tc>
          <w:tcPr>
            <w:tcW w:w="358" w:type="pct"/>
            <w:tcBorders>
              <w:bottom w:val="nil"/>
            </w:tcBorders>
            <w:vAlign w:val="center"/>
          </w:tcPr>
          <w:p w14:paraId="58616B8F" w14:textId="77777777" w:rsidR="0025223A" w:rsidRPr="004C78D8" w:rsidRDefault="0025223A" w:rsidP="00FB7C1F">
            <w:pPr>
              <w:jc w:val="center"/>
              <w:rPr>
                <w:sz w:val="20"/>
                <w:szCs w:val="20"/>
              </w:rPr>
            </w:pPr>
            <w:r w:rsidRPr="004C78D8">
              <w:rPr>
                <w:rFonts w:cs="Times New Roman"/>
                <w:sz w:val="28"/>
                <w:szCs w:val="28"/>
              </w:rPr>
              <w:t>˟</w:t>
            </w:r>
          </w:p>
        </w:tc>
        <w:tc>
          <w:tcPr>
            <w:tcW w:w="306" w:type="pct"/>
            <w:tcBorders>
              <w:bottom w:val="nil"/>
            </w:tcBorders>
            <w:vAlign w:val="center"/>
          </w:tcPr>
          <w:p w14:paraId="2C683720"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06" w:type="pct"/>
            <w:tcBorders>
              <w:bottom w:val="nil"/>
            </w:tcBorders>
          </w:tcPr>
          <w:p w14:paraId="351788DD" w14:textId="77777777" w:rsidR="0025223A" w:rsidRPr="004C78D8" w:rsidRDefault="0025223A" w:rsidP="00FB7C1F">
            <w:pPr>
              <w:jc w:val="center"/>
              <w:rPr>
                <w:rFonts w:cs="Times New Roman"/>
                <w:sz w:val="28"/>
                <w:szCs w:val="28"/>
              </w:rPr>
            </w:pPr>
          </w:p>
        </w:tc>
        <w:tc>
          <w:tcPr>
            <w:tcW w:w="357" w:type="pct"/>
            <w:tcBorders>
              <w:bottom w:val="nil"/>
            </w:tcBorders>
            <w:vAlign w:val="center"/>
          </w:tcPr>
          <w:p w14:paraId="62EA4FA3"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57" w:type="pct"/>
            <w:tcBorders>
              <w:bottom w:val="nil"/>
            </w:tcBorders>
            <w:vAlign w:val="center"/>
          </w:tcPr>
          <w:p w14:paraId="51FE19BF" w14:textId="77777777" w:rsidR="0025223A" w:rsidRPr="004C78D8" w:rsidRDefault="0025223A" w:rsidP="00FB7C1F">
            <w:pPr>
              <w:jc w:val="center"/>
              <w:rPr>
                <w:sz w:val="20"/>
                <w:szCs w:val="20"/>
              </w:rPr>
            </w:pPr>
          </w:p>
        </w:tc>
        <w:tc>
          <w:tcPr>
            <w:tcW w:w="459" w:type="pct"/>
            <w:tcBorders>
              <w:bottom w:val="nil"/>
            </w:tcBorders>
            <w:vAlign w:val="center"/>
          </w:tcPr>
          <w:p w14:paraId="1C2EA60E"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408" w:type="pct"/>
            <w:tcBorders>
              <w:bottom w:val="nil"/>
            </w:tcBorders>
            <w:vAlign w:val="center"/>
          </w:tcPr>
          <w:p w14:paraId="44A52F9E" w14:textId="77777777" w:rsidR="0025223A" w:rsidRPr="004C78D8" w:rsidRDefault="0025223A" w:rsidP="00FB7C1F">
            <w:pPr>
              <w:jc w:val="center"/>
              <w:rPr>
                <w:sz w:val="18"/>
                <w:szCs w:val="18"/>
              </w:rPr>
            </w:pPr>
            <w:r w:rsidRPr="004C78D8">
              <w:rPr>
                <w:sz w:val="18"/>
                <w:szCs w:val="18"/>
              </w:rPr>
              <w:t>PP</w:t>
            </w:r>
          </w:p>
        </w:tc>
      </w:tr>
      <w:tr w:rsidR="0025223A" w:rsidRPr="004C78D8" w14:paraId="1DEFB33A" w14:textId="77777777" w:rsidTr="002828C1">
        <w:tc>
          <w:tcPr>
            <w:tcW w:w="662" w:type="pct"/>
            <w:tcBorders>
              <w:bottom w:val="single" w:sz="4" w:space="0" w:color="auto"/>
            </w:tcBorders>
          </w:tcPr>
          <w:p w14:paraId="4CCCF336" w14:textId="77777777" w:rsidR="0025223A" w:rsidRPr="004C78D8" w:rsidRDefault="0025223A" w:rsidP="00FB7C1F">
            <w:pPr>
              <w:jc w:val="left"/>
              <w:rPr>
                <w:sz w:val="18"/>
                <w:szCs w:val="18"/>
              </w:rPr>
            </w:pPr>
            <w:r w:rsidRPr="004C78D8">
              <w:rPr>
                <w:sz w:val="18"/>
                <w:szCs w:val="18"/>
              </w:rPr>
              <w:t>Day (2009)</w:t>
            </w:r>
          </w:p>
        </w:tc>
        <w:tc>
          <w:tcPr>
            <w:tcW w:w="765" w:type="pct"/>
            <w:tcBorders>
              <w:bottom w:val="single" w:sz="4" w:space="0" w:color="auto"/>
            </w:tcBorders>
          </w:tcPr>
          <w:p w14:paraId="6D9B4963" w14:textId="2BD65A04" w:rsidR="0025223A" w:rsidRPr="004C78D8" w:rsidRDefault="0025223A" w:rsidP="00FB7C1F">
            <w:pPr>
              <w:jc w:val="left"/>
              <w:rPr>
                <w:sz w:val="18"/>
                <w:szCs w:val="18"/>
              </w:rPr>
            </w:pPr>
            <w:r w:rsidRPr="004C78D8">
              <w:rPr>
                <w:sz w:val="18"/>
                <w:szCs w:val="18"/>
              </w:rPr>
              <w:t>HAM (reactive)</w:t>
            </w:r>
            <w:r w:rsidR="005E2745" w:rsidRPr="004C78D8">
              <w:rPr>
                <w:sz w:val="18"/>
                <w:szCs w:val="18"/>
                <w:vertAlign w:val="superscript"/>
              </w:rPr>
              <w:t>3</w:t>
            </w:r>
          </w:p>
        </w:tc>
        <w:tc>
          <w:tcPr>
            <w:tcW w:w="255" w:type="pct"/>
            <w:tcBorders>
              <w:top w:val="nil"/>
              <w:bottom w:val="nil"/>
            </w:tcBorders>
            <w:vAlign w:val="center"/>
          </w:tcPr>
          <w:p w14:paraId="795B54F2" w14:textId="77777777" w:rsidR="0025223A" w:rsidRPr="004C78D8" w:rsidRDefault="0025223A" w:rsidP="00FB7C1F">
            <w:pPr>
              <w:jc w:val="center"/>
              <w:rPr>
                <w:sz w:val="20"/>
                <w:szCs w:val="20"/>
              </w:rPr>
            </w:pPr>
          </w:p>
        </w:tc>
        <w:tc>
          <w:tcPr>
            <w:tcW w:w="408" w:type="pct"/>
            <w:tcBorders>
              <w:top w:val="nil"/>
              <w:bottom w:val="nil"/>
            </w:tcBorders>
            <w:vAlign w:val="center"/>
          </w:tcPr>
          <w:p w14:paraId="3FD6BD07" w14:textId="77777777" w:rsidR="0025223A" w:rsidRPr="004C78D8" w:rsidRDefault="0025223A" w:rsidP="00FB7C1F">
            <w:pPr>
              <w:jc w:val="center"/>
              <w:rPr>
                <w:sz w:val="20"/>
                <w:szCs w:val="20"/>
              </w:rPr>
            </w:pPr>
          </w:p>
        </w:tc>
        <w:tc>
          <w:tcPr>
            <w:tcW w:w="357" w:type="pct"/>
            <w:tcBorders>
              <w:top w:val="nil"/>
              <w:bottom w:val="nil"/>
            </w:tcBorders>
            <w:vAlign w:val="center"/>
          </w:tcPr>
          <w:p w14:paraId="2C1E8BC9" w14:textId="77777777" w:rsidR="0025223A" w:rsidRPr="004C78D8" w:rsidRDefault="0025223A" w:rsidP="00FB7C1F">
            <w:pPr>
              <w:jc w:val="center"/>
              <w:rPr>
                <w:sz w:val="20"/>
                <w:szCs w:val="20"/>
              </w:rPr>
            </w:pPr>
            <w:r w:rsidRPr="004C78D8">
              <w:rPr>
                <w:sz w:val="18"/>
                <w:szCs w:val="18"/>
              </w:rPr>
              <w:t>Not costed</w:t>
            </w:r>
          </w:p>
        </w:tc>
        <w:tc>
          <w:tcPr>
            <w:tcW w:w="358" w:type="pct"/>
            <w:tcBorders>
              <w:top w:val="nil"/>
              <w:bottom w:val="nil"/>
            </w:tcBorders>
            <w:vAlign w:val="center"/>
          </w:tcPr>
          <w:p w14:paraId="2AE57A7C" w14:textId="77777777" w:rsidR="0025223A" w:rsidRPr="004C78D8" w:rsidRDefault="0025223A" w:rsidP="00FB7C1F">
            <w:pPr>
              <w:jc w:val="center"/>
              <w:rPr>
                <w:sz w:val="20"/>
                <w:szCs w:val="20"/>
              </w:rPr>
            </w:pPr>
          </w:p>
        </w:tc>
        <w:tc>
          <w:tcPr>
            <w:tcW w:w="306" w:type="pct"/>
            <w:tcBorders>
              <w:top w:val="nil"/>
              <w:bottom w:val="nil"/>
            </w:tcBorders>
            <w:vAlign w:val="center"/>
          </w:tcPr>
          <w:p w14:paraId="4098A011" w14:textId="77777777" w:rsidR="0025223A" w:rsidRPr="004C78D8" w:rsidRDefault="0025223A" w:rsidP="00FB7C1F">
            <w:pPr>
              <w:jc w:val="center"/>
              <w:rPr>
                <w:sz w:val="28"/>
                <w:szCs w:val="28"/>
              </w:rPr>
            </w:pPr>
            <w:r w:rsidRPr="004C78D8">
              <w:rPr>
                <w:rFonts w:cs="Times New Roman"/>
                <w:sz w:val="28"/>
                <w:szCs w:val="28"/>
              </w:rPr>
              <w:t>˟</w:t>
            </w:r>
          </w:p>
        </w:tc>
        <w:tc>
          <w:tcPr>
            <w:tcW w:w="306" w:type="pct"/>
            <w:tcBorders>
              <w:top w:val="nil"/>
              <w:bottom w:val="nil"/>
            </w:tcBorders>
          </w:tcPr>
          <w:p w14:paraId="3A418EC8" w14:textId="77777777" w:rsidR="0025223A" w:rsidRPr="004C78D8" w:rsidRDefault="0025223A" w:rsidP="00FB7C1F">
            <w:pPr>
              <w:jc w:val="center"/>
              <w:rPr>
                <w:rFonts w:cs="Times New Roman"/>
                <w:sz w:val="28"/>
                <w:szCs w:val="28"/>
              </w:rPr>
            </w:pPr>
          </w:p>
        </w:tc>
        <w:tc>
          <w:tcPr>
            <w:tcW w:w="357" w:type="pct"/>
            <w:tcBorders>
              <w:top w:val="nil"/>
              <w:bottom w:val="nil"/>
            </w:tcBorders>
            <w:vAlign w:val="center"/>
          </w:tcPr>
          <w:p w14:paraId="000F6A00" w14:textId="77777777" w:rsidR="0025223A" w:rsidRPr="004C78D8" w:rsidRDefault="0025223A" w:rsidP="00FB7C1F">
            <w:pPr>
              <w:jc w:val="center"/>
              <w:rPr>
                <w:sz w:val="20"/>
                <w:szCs w:val="20"/>
              </w:rPr>
            </w:pPr>
            <w:r w:rsidRPr="004C78D8">
              <w:rPr>
                <w:rFonts w:cs="Times New Roman"/>
                <w:sz w:val="28"/>
                <w:szCs w:val="28"/>
              </w:rPr>
              <w:t>˟</w:t>
            </w:r>
          </w:p>
        </w:tc>
        <w:tc>
          <w:tcPr>
            <w:tcW w:w="357" w:type="pct"/>
            <w:tcBorders>
              <w:top w:val="nil"/>
              <w:bottom w:val="nil"/>
            </w:tcBorders>
            <w:vAlign w:val="center"/>
          </w:tcPr>
          <w:p w14:paraId="6A621F38" w14:textId="77777777" w:rsidR="0025223A" w:rsidRPr="004C78D8" w:rsidRDefault="0025223A" w:rsidP="00FB7C1F">
            <w:pPr>
              <w:jc w:val="center"/>
              <w:rPr>
                <w:sz w:val="20"/>
                <w:szCs w:val="20"/>
              </w:rPr>
            </w:pPr>
          </w:p>
        </w:tc>
        <w:tc>
          <w:tcPr>
            <w:tcW w:w="459" w:type="pct"/>
            <w:tcBorders>
              <w:top w:val="nil"/>
              <w:bottom w:val="nil"/>
            </w:tcBorders>
            <w:vAlign w:val="center"/>
          </w:tcPr>
          <w:p w14:paraId="5154A167" w14:textId="77777777" w:rsidR="0025223A" w:rsidRPr="004C78D8" w:rsidRDefault="0025223A" w:rsidP="00FB7C1F">
            <w:pPr>
              <w:jc w:val="center"/>
              <w:rPr>
                <w:sz w:val="28"/>
                <w:szCs w:val="28"/>
              </w:rPr>
            </w:pPr>
            <w:r w:rsidRPr="004C78D8">
              <w:rPr>
                <w:rFonts w:cs="Times New Roman"/>
                <w:sz w:val="28"/>
                <w:szCs w:val="28"/>
              </w:rPr>
              <w:t>˟</w:t>
            </w:r>
          </w:p>
        </w:tc>
        <w:tc>
          <w:tcPr>
            <w:tcW w:w="408" w:type="pct"/>
            <w:tcBorders>
              <w:top w:val="nil"/>
              <w:bottom w:val="nil"/>
            </w:tcBorders>
            <w:vAlign w:val="center"/>
          </w:tcPr>
          <w:p w14:paraId="36C0CFC6" w14:textId="77777777" w:rsidR="0025223A" w:rsidRPr="004C78D8" w:rsidRDefault="0025223A" w:rsidP="00FB7C1F">
            <w:pPr>
              <w:jc w:val="center"/>
              <w:rPr>
                <w:sz w:val="18"/>
                <w:szCs w:val="18"/>
              </w:rPr>
            </w:pPr>
            <w:r w:rsidRPr="004C78D8">
              <w:rPr>
                <w:sz w:val="18"/>
                <w:szCs w:val="18"/>
              </w:rPr>
              <w:t>PP</w:t>
            </w:r>
          </w:p>
        </w:tc>
      </w:tr>
      <w:tr w:rsidR="0025223A" w:rsidRPr="004C78D8" w14:paraId="6960FBA4" w14:textId="77777777" w:rsidTr="002828C1">
        <w:tc>
          <w:tcPr>
            <w:tcW w:w="662" w:type="pct"/>
            <w:tcBorders>
              <w:top w:val="single" w:sz="4" w:space="0" w:color="auto"/>
            </w:tcBorders>
          </w:tcPr>
          <w:p w14:paraId="0FBB78D0" w14:textId="77777777" w:rsidR="0025223A" w:rsidRPr="004C78D8" w:rsidRDefault="0025223A" w:rsidP="00FB7C1F">
            <w:pPr>
              <w:jc w:val="left"/>
              <w:rPr>
                <w:sz w:val="18"/>
                <w:szCs w:val="18"/>
              </w:rPr>
            </w:pPr>
            <w:r w:rsidRPr="004C78D8">
              <w:rPr>
                <w:sz w:val="18"/>
                <w:szCs w:val="18"/>
              </w:rPr>
              <w:t>PHE (2018)</w:t>
            </w:r>
          </w:p>
        </w:tc>
        <w:tc>
          <w:tcPr>
            <w:tcW w:w="765" w:type="pct"/>
            <w:tcBorders>
              <w:top w:val="single" w:sz="4" w:space="0" w:color="auto"/>
            </w:tcBorders>
          </w:tcPr>
          <w:p w14:paraId="261674A4" w14:textId="77777777" w:rsidR="0025223A" w:rsidRPr="004C78D8" w:rsidRDefault="0025223A" w:rsidP="00FB7C1F">
            <w:pPr>
              <w:jc w:val="left"/>
              <w:rPr>
                <w:sz w:val="18"/>
                <w:szCs w:val="18"/>
              </w:rPr>
            </w:pPr>
            <w:r w:rsidRPr="004C78D8">
              <w:rPr>
                <w:sz w:val="18"/>
                <w:szCs w:val="18"/>
              </w:rPr>
              <w:t>HAM (reactive)</w:t>
            </w:r>
          </w:p>
        </w:tc>
        <w:tc>
          <w:tcPr>
            <w:tcW w:w="255" w:type="pct"/>
            <w:tcBorders>
              <w:top w:val="nil"/>
              <w:bottom w:val="nil"/>
            </w:tcBorders>
            <w:vAlign w:val="center"/>
          </w:tcPr>
          <w:p w14:paraId="46859071" w14:textId="77777777" w:rsidR="0025223A" w:rsidRPr="004C78D8" w:rsidRDefault="0025223A" w:rsidP="00FB7C1F">
            <w:pPr>
              <w:jc w:val="center"/>
              <w:rPr>
                <w:sz w:val="20"/>
                <w:szCs w:val="20"/>
              </w:rPr>
            </w:pPr>
          </w:p>
        </w:tc>
        <w:tc>
          <w:tcPr>
            <w:tcW w:w="408" w:type="pct"/>
            <w:tcBorders>
              <w:top w:val="nil"/>
              <w:bottom w:val="nil"/>
            </w:tcBorders>
            <w:vAlign w:val="center"/>
          </w:tcPr>
          <w:p w14:paraId="0D03293A" w14:textId="77777777" w:rsidR="0025223A" w:rsidRPr="004C78D8" w:rsidRDefault="0025223A" w:rsidP="00FB7C1F">
            <w:pPr>
              <w:jc w:val="center"/>
              <w:rPr>
                <w:sz w:val="20"/>
                <w:szCs w:val="20"/>
              </w:rPr>
            </w:pPr>
          </w:p>
        </w:tc>
        <w:tc>
          <w:tcPr>
            <w:tcW w:w="357" w:type="pct"/>
            <w:tcBorders>
              <w:top w:val="nil"/>
              <w:bottom w:val="nil"/>
            </w:tcBorders>
            <w:vAlign w:val="center"/>
          </w:tcPr>
          <w:p w14:paraId="4D51584E" w14:textId="77777777" w:rsidR="0025223A" w:rsidRPr="004C78D8" w:rsidRDefault="0025223A" w:rsidP="00FB7C1F">
            <w:pPr>
              <w:jc w:val="center"/>
              <w:rPr>
                <w:sz w:val="20"/>
                <w:szCs w:val="20"/>
              </w:rPr>
            </w:pPr>
          </w:p>
        </w:tc>
        <w:tc>
          <w:tcPr>
            <w:tcW w:w="358" w:type="pct"/>
            <w:tcBorders>
              <w:top w:val="nil"/>
              <w:bottom w:val="nil"/>
            </w:tcBorders>
            <w:vAlign w:val="center"/>
          </w:tcPr>
          <w:p w14:paraId="44B5980E" w14:textId="77777777" w:rsidR="0025223A" w:rsidRPr="004C78D8" w:rsidRDefault="0025223A" w:rsidP="00FB7C1F">
            <w:pPr>
              <w:jc w:val="center"/>
              <w:rPr>
                <w:sz w:val="20"/>
                <w:szCs w:val="20"/>
              </w:rPr>
            </w:pPr>
            <w:r w:rsidRPr="004C78D8">
              <w:rPr>
                <w:sz w:val="18"/>
                <w:szCs w:val="18"/>
              </w:rPr>
              <w:t>Eval. cost</w:t>
            </w:r>
          </w:p>
        </w:tc>
        <w:tc>
          <w:tcPr>
            <w:tcW w:w="306" w:type="pct"/>
            <w:tcBorders>
              <w:top w:val="nil"/>
              <w:bottom w:val="nil"/>
            </w:tcBorders>
            <w:vAlign w:val="center"/>
          </w:tcPr>
          <w:p w14:paraId="05972443"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06" w:type="pct"/>
            <w:tcBorders>
              <w:top w:val="nil"/>
              <w:bottom w:val="nil"/>
            </w:tcBorders>
          </w:tcPr>
          <w:p w14:paraId="1256C348" w14:textId="77777777" w:rsidR="0025223A" w:rsidRPr="004C78D8" w:rsidRDefault="0025223A" w:rsidP="00FB7C1F">
            <w:pPr>
              <w:jc w:val="center"/>
              <w:rPr>
                <w:sz w:val="20"/>
                <w:szCs w:val="20"/>
              </w:rPr>
            </w:pPr>
          </w:p>
        </w:tc>
        <w:tc>
          <w:tcPr>
            <w:tcW w:w="357" w:type="pct"/>
            <w:tcBorders>
              <w:top w:val="nil"/>
              <w:bottom w:val="nil"/>
            </w:tcBorders>
            <w:vAlign w:val="center"/>
          </w:tcPr>
          <w:p w14:paraId="258E69B0" w14:textId="77777777" w:rsidR="0025223A" w:rsidRPr="004C78D8" w:rsidRDefault="0025223A" w:rsidP="00FB7C1F">
            <w:pPr>
              <w:jc w:val="center"/>
              <w:rPr>
                <w:sz w:val="20"/>
                <w:szCs w:val="20"/>
              </w:rPr>
            </w:pPr>
          </w:p>
        </w:tc>
        <w:tc>
          <w:tcPr>
            <w:tcW w:w="357" w:type="pct"/>
            <w:tcBorders>
              <w:top w:val="nil"/>
              <w:bottom w:val="nil"/>
            </w:tcBorders>
            <w:vAlign w:val="center"/>
          </w:tcPr>
          <w:p w14:paraId="6379582E" w14:textId="77777777" w:rsidR="0025223A" w:rsidRPr="004C78D8" w:rsidRDefault="0025223A" w:rsidP="00FB7C1F">
            <w:pPr>
              <w:jc w:val="center"/>
              <w:rPr>
                <w:rFonts w:cs="Times New Roman"/>
                <w:sz w:val="18"/>
                <w:szCs w:val="18"/>
              </w:rPr>
            </w:pPr>
            <w:r w:rsidRPr="004C78D8">
              <w:rPr>
                <w:sz w:val="18"/>
                <w:szCs w:val="18"/>
              </w:rPr>
              <w:t>OH</w:t>
            </w:r>
          </w:p>
        </w:tc>
        <w:tc>
          <w:tcPr>
            <w:tcW w:w="459" w:type="pct"/>
            <w:tcBorders>
              <w:top w:val="nil"/>
              <w:bottom w:val="nil"/>
            </w:tcBorders>
            <w:vAlign w:val="center"/>
          </w:tcPr>
          <w:p w14:paraId="4138D559"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408" w:type="pct"/>
            <w:tcBorders>
              <w:top w:val="nil"/>
              <w:bottom w:val="nil"/>
            </w:tcBorders>
            <w:vAlign w:val="center"/>
          </w:tcPr>
          <w:p w14:paraId="3C5D7BBE" w14:textId="77777777" w:rsidR="0025223A" w:rsidRPr="004C78D8" w:rsidRDefault="0025223A" w:rsidP="00FB7C1F">
            <w:pPr>
              <w:jc w:val="center"/>
              <w:rPr>
                <w:sz w:val="18"/>
                <w:szCs w:val="18"/>
              </w:rPr>
            </w:pPr>
            <w:r w:rsidRPr="004C78D8">
              <w:rPr>
                <w:sz w:val="18"/>
                <w:szCs w:val="18"/>
              </w:rPr>
              <w:t>PP</w:t>
            </w:r>
          </w:p>
        </w:tc>
      </w:tr>
      <w:tr w:rsidR="0025223A" w:rsidRPr="004C78D8" w14:paraId="2CFC31A4" w14:textId="77777777" w:rsidTr="002828C1">
        <w:tc>
          <w:tcPr>
            <w:tcW w:w="662" w:type="pct"/>
          </w:tcPr>
          <w:p w14:paraId="48A2B7B1" w14:textId="77777777" w:rsidR="0025223A" w:rsidRPr="004C78D8" w:rsidRDefault="0025223A" w:rsidP="00FB7C1F">
            <w:pPr>
              <w:jc w:val="left"/>
              <w:rPr>
                <w:sz w:val="18"/>
                <w:szCs w:val="18"/>
              </w:rPr>
            </w:pPr>
            <w:r w:rsidRPr="004C78D8">
              <w:rPr>
                <w:sz w:val="18"/>
                <w:szCs w:val="18"/>
              </w:rPr>
              <w:t>Franklin (2019)</w:t>
            </w:r>
          </w:p>
        </w:tc>
        <w:tc>
          <w:tcPr>
            <w:tcW w:w="765" w:type="pct"/>
          </w:tcPr>
          <w:p w14:paraId="256DD778" w14:textId="77777777" w:rsidR="0025223A" w:rsidRPr="004C78D8" w:rsidRDefault="0025223A" w:rsidP="00FB7C1F">
            <w:pPr>
              <w:jc w:val="left"/>
              <w:rPr>
                <w:sz w:val="18"/>
                <w:szCs w:val="18"/>
              </w:rPr>
            </w:pPr>
            <w:r w:rsidRPr="004C78D8">
              <w:rPr>
                <w:sz w:val="18"/>
                <w:szCs w:val="18"/>
              </w:rPr>
              <w:t>FRS and HAM</w:t>
            </w:r>
          </w:p>
        </w:tc>
        <w:tc>
          <w:tcPr>
            <w:tcW w:w="255" w:type="pct"/>
            <w:tcBorders>
              <w:top w:val="nil"/>
              <w:bottom w:val="nil"/>
            </w:tcBorders>
            <w:vAlign w:val="center"/>
          </w:tcPr>
          <w:p w14:paraId="01EFEC17" w14:textId="77777777" w:rsidR="0025223A" w:rsidRPr="004C78D8" w:rsidRDefault="0025223A" w:rsidP="00FB7C1F">
            <w:pPr>
              <w:jc w:val="center"/>
              <w:rPr>
                <w:sz w:val="20"/>
                <w:szCs w:val="20"/>
              </w:rPr>
            </w:pPr>
          </w:p>
        </w:tc>
        <w:tc>
          <w:tcPr>
            <w:tcW w:w="408" w:type="pct"/>
            <w:tcBorders>
              <w:top w:val="nil"/>
              <w:bottom w:val="nil"/>
            </w:tcBorders>
            <w:vAlign w:val="center"/>
          </w:tcPr>
          <w:p w14:paraId="6C40EB7F" w14:textId="77777777" w:rsidR="0025223A" w:rsidRPr="004C78D8" w:rsidRDefault="0025223A" w:rsidP="00FB7C1F">
            <w:pPr>
              <w:jc w:val="center"/>
              <w:rPr>
                <w:sz w:val="20"/>
                <w:szCs w:val="20"/>
              </w:rPr>
            </w:pPr>
          </w:p>
        </w:tc>
        <w:tc>
          <w:tcPr>
            <w:tcW w:w="357" w:type="pct"/>
            <w:tcBorders>
              <w:top w:val="nil"/>
              <w:bottom w:val="nil"/>
            </w:tcBorders>
            <w:vAlign w:val="center"/>
          </w:tcPr>
          <w:p w14:paraId="11974960" w14:textId="77777777" w:rsidR="0025223A" w:rsidRPr="004C78D8" w:rsidRDefault="0025223A" w:rsidP="00FB7C1F">
            <w:pPr>
              <w:jc w:val="center"/>
              <w:rPr>
                <w:sz w:val="28"/>
                <w:szCs w:val="28"/>
              </w:rPr>
            </w:pPr>
            <w:r w:rsidRPr="004C78D8">
              <w:rPr>
                <w:rFonts w:cs="Times New Roman"/>
                <w:sz w:val="28"/>
                <w:szCs w:val="28"/>
              </w:rPr>
              <w:t>˟</w:t>
            </w:r>
          </w:p>
        </w:tc>
        <w:tc>
          <w:tcPr>
            <w:tcW w:w="358" w:type="pct"/>
            <w:tcBorders>
              <w:top w:val="nil"/>
              <w:bottom w:val="nil"/>
            </w:tcBorders>
            <w:vAlign w:val="center"/>
          </w:tcPr>
          <w:p w14:paraId="73E69102" w14:textId="77777777" w:rsidR="0025223A" w:rsidRPr="004C78D8" w:rsidRDefault="0025223A" w:rsidP="00FB7C1F">
            <w:pPr>
              <w:jc w:val="center"/>
              <w:rPr>
                <w:sz w:val="28"/>
                <w:szCs w:val="28"/>
              </w:rPr>
            </w:pPr>
            <w:r w:rsidRPr="004C78D8">
              <w:rPr>
                <w:rFonts w:cs="Times New Roman"/>
                <w:sz w:val="18"/>
                <w:szCs w:val="18"/>
              </w:rPr>
              <w:t>Set-up; Eval. cost</w:t>
            </w:r>
          </w:p>
        </w:tc>
        <w:tc>
          <w:tcPr>
            <w:tcW w:w="306" w:type="pct"/>
            <w:tcBorders>
              <w:top w:val="nil"/>
              <w:bottom w:val="nil"/>
            </w:tcBorders>
            <w:vAlign w:val="center"/>
          </w:tcPr>
          <w:p w14:paraId="6F55EF36"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06" w:type="pct"/>
            <w:tcBorders>
              <w:top w:val="nil"/>
              <w:bottom w:val="nil"/>
            </w:tcBorders>
          </w:tcPr>
          <w:p w14:paraId="4EC6E3A0" w14:textId="77777777" w:rsidR="0025223A" w:rsidRPr="004C78D8" w:rsidRDefault="0025223A" w:rsidP="00FB7C1F">
            <w:pPr>
              <w:jc w:val="center"/>
              <w:rPr>
                <w:sz w:val="20"/>
                <w:szCs w:val="20"/>
              </w:rPr>
            </w:pPr>
          </w:p>
        </w:tc>
        <w:tc>
          <w:tcPr>
            <w:tcW w:w="357" w:type="pct"/>
            <w:tcBorders>
              <w:top w:val="nil"/>
              <w:bottom w:val="nil"/>
            </w:tcBorders>
            <w:vAlign w:val="center"/>
          </w:tcPr>
          <w:p w14:paraId="3F175874" w14:textId="77777777" w:rsidR="0025223A" w:rsidRPr="004C78D8" w:rsidRDefault="0025223A" w:rsidP="00FB7C1F">
            <w:pPr>
              <w:jc w:val="center"/>
              <w:rPr>
                <w:sz w:val="20"/>
                <w:szCs w:val="20"/>
              </w:rPr>
            </w:pPr>
          </w:p>
        </w:tc>
        <w:tc>
          <w:tcPr>
            <w:tcW w:w="357" w:type="pct"/>
            <w:tcBorders>
              <w:top w:val="nil"/>
              <w:bottom w:val="nil"/>
            </w:tcBorders>
            <w:vAlign w:val="center"/>
          </w:tcPr>
          <w:p w14:paraId="7DA9201F" w14:textId="77777777" w:rsidR="0025223A" w:rsidRPr="004C78D8" w:rsidRDefault="0025223A" w:rsidP="00FB7C1F">
            <w:pPr>
              <w:jc w:val="center"/>
              <w:rPr>
                <w:sz w:val="18"/>
                <w:szCs w:val="18"/>
              </w:rPr>
            </w:pPr>
            <w:r w:rsidRPr="004C78D8">
              <w:rPr>
                <w:sz w:val="18"/>
                <w:szCs w:val="18"/>
              </w:rPr>
              <w:t>OH</w:t>
            </w:r>
          </w:p>
        </w:tc>
        <w:tc>
          <w:tcPr>
            <w:tcW w:w="459" w:type="pct"/>
            <w:tcBorders>
              <w:top w:val="nil"/>
              <w:bottom w:val="nil"/>
            </w:tcBorders>
            <w:vAlign w:val="center"/>
          </w:tcPr>
          <w:p w14:paraId="5C423820"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408" w:type="pct"/>
            <w:tcBorders>
              <w:top w:val="nil"/>
              <w:bottom w:val="nil"/>
            </w:tcBorders>
            <w:vAlign w:val="center"/>
          </w:tcPr>
          <w:p w14:paraId="73700EFF" w14:textId="77777777" w:rsidR="0025223A" w:rsidRPr="004C78D8" w:rsidRDefault="0025223A" w:rsidP="00FB7C1F">
            <w:pPr>
              <w:jc w:val="center"/>
              <w:rPr>
                <w:sz w:val="18"/>
                <w:szCs w:val="18"/>
              </w:rPr>
            </w:pPr>
            <w:r w:rsidRPr="004C78D8">
              <w:rPr>
                <w:sz w:val="18"/>
                <w:szCs w:val="18"/>
              </w:rPr>
              <w:t>Fixed &amp; PP</w:t>
            </w:r>
          </w:p>
        </w:tc>
      </w:tr>
      <w:tr w:rsidR="0025223A" w:rsidRPr="004C78D8" w14:paraId="1FC090B1" w14:textId="77777777" w:rsidTr="002828C1">
        <w:tc>
          <w:tcPr>
            <w:tcW w:w="662" w:type="pct"/>
          </w:tcPr>
          <w:p w14:paraId="620934B9" w14:textId="77777777" w:rsidR="0025223A" w:rsidRPr="004C78D8" w:rsidRDefault="0025223A" w:rsidP="00FB7C1F">
            <w:pPr>
              <w:jc w:val="left"/>
              <w:rPr>
                <w:sz w:val="18"/>
                <w:szCs w:val="18"/>
              </w:rPr>
            </w:pPr>
            <w:r w:rsidRPr="004C78D8">
              <w:rPr>
                <w:sz w:val="18"/>
                <w:szCs w:val="18"/>
              </w:rPr>
              <w:t>Frick (2010)</w:t>
            </w:r>
          </w:p>
        </w:tc>
        <w:tc>
          <w:tcPr>
            <w:tcW w:w="765" w:type="pct"/>
          </w:tcPr>
          <w:p w14:paraId="16387660" w14:textId="77777777" w:rsidR="0025223A" w:rsidRPr="004C78D8" w:rsidRDefault="0025223A" w:rsidP="00FB7C1F">
            <w:pPr>
              <w:jc w:val="left"/>
              <w:rPr>
                <w:sz w:val="18"/>
                <w:szCs w:val="18"/>
              </w:rPr>
            </w:pPr>
            <w:r w:rsidRPr="004C78D8">
              <w:rPr>
                <w:sz w:val="18"/>
                <w:szCs w:val="18"/>
              </w:rPr>
              <w:t>HAM</w:t>
            </w:r>
          </w:p>
        </w:tc>
        <w:tc>
          <w:tcPr>
            <w:tcW w:w="255" w:type="pct"/>
            <w:tcBorders>
              <w:top w:val="nil"/>
              <w:bottom w:val="nil"/>
            </w:tcBorders>
            <w:vAlign w:val="center"/>
          </w:tcPr>
          <w:p w14:paraId="0F21FA33" w14:textId="77777777" w:rsidR="0025223A" w:rsidRPr="004C78D8" w:rsidRDefault="0025223A" w:rsidP="00FB7C1F">
            <w:pPr>
              <w:jc w:val="center"/>
              <w:rPr>
                <w:sz w:val="20"/>
                <w:szCs w:val="20"/>
              </w:rPr>
            </w:pPr>
          </w:p>
        </w:tc>
        <w:tc>
          <w:tcPr>
            <w:tcW w:w="408" w:type="pct"/>
            <w:tcBorders>
              <w:top w:val="nil"/>
              <w:bottom w:val="nil"/>
            </w:tcBorders>
            <w:vAlign w:val="center"/>
          </w:tcPr>
          <w:p w14:paraId="25882848" w14:textId="77777777" w:rsidR="0025223A" w:rsidRPr="004C78D8" w:rsidRDefault="0025223A" w:rsidP="00FB7C1F">
            <w:pPr>
              <w:jc w:val="center"/>
              <w:rPr>
                <w:sz w:val="20"/>
                <w:szCs w:val="20"/>
              </w:rPr>
            </w:pPr>
          </w:p>
        </w:tc>
        <w:tc>
          <w:tcPr>
            <w:tcW w:w="357" w:type="pct"/>
            <w:tcBorders>
              <w:top w:val="nil"/>
              <w:bottom w:val="nil"/>
            </w:tcBorders>
            <w:vAlign w:val="center"/>
          </w:tcPr>
          <w:p w14:paraId="737E1D02" w14:textId="77777777" w:rsidR="0025223A" w:rsidRPr="004C78D8" w:rsidRDefault="0025223A" w:rsidP="00FB7C1F">
            <w:pPr>
              <w:jc w:val="center"/>
              <w:rPr>
                <w:sz w:val="20"/>
                <w:szCs w:val="20"/>
              </w:rPr>
            </w:pPr>
          </w:p>
        </w:tc>
        <w:tc>
          <w:tcPr>
            <w:tcW w:w="358" w:type="pct"/>
            <w:tcBorders>
              <w:top w:val="nil"/>
              <w:bottom w:val="nil"/>
            </w:tcBorders>
            <w:vAlign w:val="center"/>
          </w:tcPr>
          <w:p w14:paraId="482BC12C" w14:textId="77777777" w:rsidR="0025223A" w:rsidRPr="004C78D8" w:rsidRDefault="0025223A" w:rsidP="00FB7C1F">
            <w:pPr>
              <w:jc w:val="center"/>
              <w:rPr>
                <w:sz w:val="20"/>
                <w:szCs w:val="20"/>
              </w:rPr>
            </w:pPr>
          </w:p>
        </w:tc>
        <w:tc>
          <w:tcPr>
            <w:tcW w:w="306" w:type="pct"/>
            <w:tcBorders>
              <w:top w:val="nil"/>
              <w:bottom w:val="nil"/>
            </w:tcBorders>
            <w:vAlign w:val="center"/>
          </w:tcPr>
          <w:p w14:paraId="519EA11B"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06" w:type="pct"/>
            <w:tcBorders>
              <w:top w:val="nil"/>
              <w:bottom w:val="nil"/>
            </w:tcBorders>
          </w:tcPr>
          <w:p w14:paraId="4D9766C5" w14:textId="77777777" w:rsidR="0025223A" w:rsidRPr="004C78D8" w:rsidRDefault="0025223A" w:rsidP="00FB7C1F">
            <w:pPr>
              <w:jc w:val="center"/>
              <w:rPr>
                <w:rFonts w:cs="Times New Roman"/>
                <w:sz w:val="28"/>
                <w:szCs w:val="28"/>
              </w:rPr>
            </w:pPr>
          </w:p>
        </w:tc>
        <w:tc>
          <w:tcPr>
            <w:tcW w:w="357" w:type="pct"/>
            <w:tcBorders>
              <w:top w:val="nil"/>
              <w:bottom w:val="nil"/>
            </w:tcBorders>
            <w:vAlign w:val="center"/>
          </w:tcPr>
          <w:p w14:paraId="444E64DD" w14:textId="77777777" w:rsidR="0025223A" w:rsidRPr="004C78D8" w:rsidRDefault="0025223A" w:rsidP="00FB7C1F">
            <w:pPr>
              <w:jc w:val="center"/>
              <w:rPr>
                <w:sz w:val="20"/>
                <w:szCs w:val="20"/>
              </w:rPr>
            </w:pPr>
            <w:r w:rsidRPr="004C78D8">
              <w:rPr>
                <w:rFonts w:cs="Times New Roman"/>
                <w:sz w:val="28"/>
                <w:szCs w:val="28"/>
              </w:rPr>
              <w:t>˟</w:t>
            </w:r>
          </w:p>
        </w:tc>
        <w:tc>
          <w:tcPr>
            <w:tcW w:w="357" w:type="pct"/>
            <w:tcBorders>
              <w:top w:val="nil"/>
              <w:bottom w:val="nil"/>
            </w:tcBorders>
            <w:vAlign w:val="center"/>
          </w:tcPr>
          <w:p w14:paraId="0E804F33" w14:textId="77777777" w:rsidR="0025223A" w:rsidRPr="004C78D8" w:rsidRDefault="0025223A" w:rsidP="00FB7C1F">
            <w:pPr>
              <w:jc w:val="center"/>
              <w:rPr>
                <w:sz w:val="18"/>
                <w:szCs w:val="18"/>
              </w:rPr>
            </w:pPr>
            <w:r w:rsidRPr="004C78D8">
              <w:rPr>
                <w:sz w:val="18"/>
                <w:szCs w:val="18"/>
              </w:rPr>
              <w:t>OH</w:t>
            </w:r>
          </w:p>
        </w:tc>
        <w:tc>
          <w:tcPr>
            <w:tcW w:w="459" w:type="pct"/>
            <w:tcBorders>
              <w:top w:val="nil"/>
              <w:bottom w:val="nil"/>
            </w:tcBorders>
            <w:vAlign w:val="center"/>
          </w:tcPr>
          <w:p w14:paraId="6B6B13FE" w14:textId="77777777" w:rsidR="0025223A" w:rsidRPr="004C78D8" w:rsidRDefault="0025223A" w:rsidP="00FB7C1F">
            <w:pPr>
              <w:jc w:val="center"/>
              <w:rPr>
                <w:rFonts w:cs="Times New Roman"/>
                <w:sz w:val="28"/>
                <w:szCs w:val="28"/>
              </w:rPr>
            </w:pPr>
          </w:p>
        </w:tc>
        <w:tc>
          <w:tcPr>
            <w:tcW w:w="408" w:type="pct"/>
            <w:tcBorders>
              <w:top w:val="nil"/>
              <w:bottom w:val="nil"/>
            </w:tcBorders>
            <w:vAlign w:val="center"/>
          </w:tcPr>
          <w:p w14:paraId="05EAE785" w14:textId="77777777" w:rsidR="0025223A" w:rsidRPr="004C78D8" w:rsidRDefault="0025223A" w:rsidP="00FB7C1F">
            <w:pPr>
              <w:jc w:val="center"/>
              <w:rPr>
                <w:sz w:val="18"/>
                <w:szCs w:val="18"/>
              </w:rPr>
            </w:pPr>
            <w:r w:rsidRPr="004C78D8">
              <w:rPr>
                <w:sz w:val="18"/>
                <w:szCs w:val="18"/>
              </w:rPr>
              <w:t>PP</w:t>
            </w:r>
          </w:p>
        </w:tc>
      </w:tr>
      <w:tr w:rsidR="0025223A" w:rsidRPr="004C78D8" w14:paraId="438E85FC" w14:textId="77777777" w:rsidTr="002828C1">
        <w:tc>
          <w:tcPr>
            <w:tcW w:w="662" w:type="pct"/>
          </w:tcPr>
          <w:p w14:paraId="397B92B2" w14:textId="77777777" w:rsidR="0025223A" w:rsidRPr="004C78D8" w:rsidRDefault="0025223A" w:rsidP="00FB7C1F">
            <w:pPr>
              <w:jc w:val="left"/>
              <w:rPr>
                <w:sz w:val="18"/>
                <w:szCs w:val="18"/>
              </w:rPr>
            </w:pPr>
            <w:r w:rsidRPr="004C78D8">
              <w:rPr>
                <w:sz w:val="18"/>
                <w:szCs w:val="18"/>
              </w:rPr>
              <w:t>Ling (2008)</w:t>
            </w:r>
          </w:p>
        </w:tc>
        <w:tc>
          <w:tcPr>
            <w:tcW w:w="765" w:type="pct"/>
          </w:tcPr>
          <w:p w14:paraId="54B77993" w14:textId="77777777" w:rsidR="0025223A" w:rsidRPr="004C78D8" w:rsidRDefault="0025223A" w:rsidP="00FB7C1F">
            <w:pPr>
              <w:jc w:val="left"/>
              <w:rPr>
                <w:sz w:val="18"/>
                <w:szCs w:val="18"/>
              </w:rPr>
            </w:pPr>
            <w:r w:rsidRPr="004C78D8">
              <w:rPr>
                <w:sz w:val="18"/>
                <w:szCs w:val="18"/>
              </w:rPr>
              <w:t>HAM</w:t>
            </w:r>
          </w:p>
        </w:tc>
        <w:tc>
          <w:tcPr>
            <w:tcW w:w="255" w:type="pct"/>
            <w:tcBorders>
              <w:top w:val="nil"/>
              <w:bottom w:val="nil"/>
            </w:tcBorders>
            <w:vAlign w:val="center"/>
          </w:tcPr>
          <w:p w14:paraId="1DBFDE1C" w14:textId="77777777" w:rsidR="0025223A" w:rsidRPr="004C78D8" w:rsidRDefault="0025223A" w:rsidP="00FB7C1F">
            <w:pPr>
              <w:jc w:val="center"/>
              <w:rPr>
                <w:sz w:val="20"/>
                <w:szCs w:val="20"/>
              </w:rPr>
            </w:pPr>
          </w:p>
        </w:tc>
        <w:tc>
          <w:tcPr>
            <w:tcW w:w="408" w:type="pct"/>
            <w:tcBorders>
              <w:top w:val="nil"/>
              <w:bottom w:val="nil"/>
            </w:tcBorders>
            <w:vAlign w:val="center"/>
          </w:tcPr>
          <w:p w14:paraId="64B8AC9D" w14:textId="77777777" w:rsidR="0025223A" w:rsidRPr="004C78D8" w:rsidRDefault="0025223A" w:rsidP="00FB7C1F">
            <w:pPr>
              <w:jc w:val="center"/>
              <w:rPr>
                <w:sz w:val="20"/>
                <w:szCs w:val="20"/>
              </w:rPr>
            </w:pPr>
          </w:p>
        </w:tc>
        <w:tc>
          <w:tcPr>
            <w:tcW w:w="357" w:type="pct"/>
            <w:tcBorders>
              <w:top w:val="nil"/>
              <w:bottom w:val="nil"/>
            </w:tcBorders>
            <w:vAlign w:val="center"/>
          </w:tcPr>
          <w:p w14:paraId="1BC2F813" w14:textId="77777777" w:rsidR="0025223A" w:rsidRPr="004C78D8" w:rsidRDefault="0025223A" w:rsidP="00FB7C1F">
            <w:pPr>
              <w:jc w:val="center"/>
              <w:rPr>
                <w:sz w:val="20"/>
                <w:szCs w:val="20"/>
              </w:rPr>
            </w:pPr>
          </w:p>
        </w:tc>
        <w:tc>
          <w:tcPr>
            <w:tcW w:w="358" w:type="pct"/>
            <w:tcBorders>
              <w:top w:val="nil"/>
              <w:bottom w:val="nil"/>
            </w:tcBorders>
            <w:vAlign w:val="center"/>
          </w:tcPr>
          <w:p w14:paraId="21B3C01B" w14:textId="77777777" w:rsidR="0025223A" w:rsidRPr="004C78D8" w:rsidRDefault="0025223A" w:rsidP="00FB7C1F">
            <w:pPr>
              <w:jc w:val="center"/>
              <w:rPr>
                <w:sz w:val="20"/>
                <w:szCs w:val="20"/>
              </w:rPr>
            </w:pPr>
          </w:p>
        </w:tc>
        <w:tc>
          <w:tcPr>
            <w:tcW w:w="306" w:type="pct"/>
            <w:tcBorders>
              <w:top w:val="nil"/>
              <w:bottom w:val="nil"/>
            </w:tcBorders>
            <w:vAlign w:val="center"/>
          </w:tcPr>
          <w:p w14:paraId="07DD7F10"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06" w:type="pct"/>
            <w:tcBorders>
              <w:top w:val="nil"/>
              <w:bottom w:val="nil"/>
            </w:tcBorders>
          </w:tcPr>
          <w:p w14:paraId="57604594" w14:textId="77777777" w:rsidR="0025223A" w:rsidRPr="004C78D8" w:rsidRDefault="0025223A" w:rsidP="00FB7C1F">
            <w:pPr>
              <w:jc w:val="center"/>
              <w:rPr>
                <w:sz w:val="20"/>
                <w:szCs w:val="20"/>
              </w:rPr>
            </w:pPr>
          </w:p>
        </w:tc>
        <w:tc>
          <w:tcPr>
            <w:tcW w:w="357" w:type="pct"/>
            <w:tcBorders>
              <w:top w:val="nil"/>
              <w:bottom w:val="nil"/>
            </w:tcBorders>
            <w:vAlign w:val="center"/>
          </w:tcPr>
          <w:p w14:paraId="235A2485" w14:textId="77777777" w:rsidR="0025223A" w:rsidRPr="004C78D8" w:rsidRDefault="0025223A" w:rsidP="00FB7C1F">
            <w:pPr>
              <w:jc w:val="center"/>
              <w:rPr>
                <w:sz w:val="20"/>
                <w:szCs w:val="20"/>
              </w:rPr>
            </w:pPr>
          </w:p>
        </w:tc>
        <w:tc>
          <w:tcPr>
            <w:tcW w:w="357" w:type="pct"/>
            <w:tcBorders>
              <w:top w:val="nil"/>
              <w:bottom w:val="nil"/>
            </w:tcBorders>
            <w:vAlign w:val="center"/>
          </w:tcPr>
          <w:p w14:paraId="5437CF6B" w14:textId="77777777" w:rsidR="0025223A" w:rsidRPr="004C78D8" w:rsidRDefault="0025223A" w:rsidP="00FB7C1F">
            <w:pPr>
              <w:jc w:val="center"/>
              <w:rPr>
                <w:sz w:val="20"/>
                <w:szCs w:val="20"/>
              </w:rPr>
            </w:pPr>
          </w:p>
        </w:tc>
        <w:tc>
          <w:tcPr>
            <w:tcW w:w="459" w:type="pct"/>
            <w:tcBorders>
              <w:top w:val="nil"/>
              <w:bottom w:val="nil"/>
            </w:tcBorders>
            <w:vAlign w:val="center"/>
          </w:tcPr>
          <w:p w14:paraId="7C1D122F"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408" w:type="pct"/>
            <w:tcBorders>
              <w:top w:val="nil"/>
              <w:bottom w:val="nil"/>
            </w:tcBorders>
            <w:vAlign w:val="center"/>
          </w:tcPr>
          <w:p w14:paraId="024F9EDF" w14:textId="77777777" w:rsidR="0025223A" w:rsidRPr="004C78D8" w:rsidRDefault="0025223A" w:rsidP="00FB7C1F">
            <w:pPr>
              <w:jc w:val="center"/>
              <w:rPr>
                <w:sz w:val="18"/>
                <w:szCs w:val="18"/>
              </w:rPr>
            </w:pPr>
            <w:r w:rsidRPr="004C78D8">
              <w:rPr>
                <w:sz w:val="18"/>
                <w:szCs w:val="18"/>
              </w:rPr>
              <w:t>PP</w:t>
            </w:r>
          </w:p>
        </w:tc>
      </w:tr>
      <w:tr w:rsidR="0025223A" w:rsidRPr="004C78D8" w14:paraId="417E79FF" w14:textId="77777777" w:rsidTr="002828C1">
        <w:tc>
          <w:tcPr>
            <w:tcW w:w="662" w:type="pct"/>
          </w:tcPr>
          <w:p w14:paraId="4DB6FE7F" w14:textId="77777777" w:rsidR="0025223A" w:rsidRPr="004C78D8" w:rsidRDefault="0025223A" w:rsidP="00FB7C1F">
            <w:pPr>
              <w:jc w:val="left"/>
              <w:rPr>
                <w:sz w:val="18"/>
                <w:szCs w:val="18"/>
              </w:rPr>
            </w:pPr>
            <w:r w:rsidRPr="004C78D8">
              <w:rPr>
                <w:sz w:val="18"/>
                <w:szCs w:val="18"/>
              </w:rPr>
              <w:t>OMAS (2008)</w:t>
            </w:r>
          </w:p>
        </w:tc>
        <w:tc>
          <w:tcPr>
            <w:tcW w:w="765" w:type="pct"/>
          </w:tcPr>
          <w:p w14:paraId="004E38D7" w14:textId="77777777" w:rsidR="0025223A" w:rsidRPr="004C78D8" w:rsidRDefault="0025223A" w:rsidP="00FB7C1F">
            <w:pPr>
              <w:jc w:val="left"/>
              <w:rPr>
                <w:sz w:val="18"/>
                <w:szCs w:val="18"/>
              </w:rPr>
            </w:pPr>
            <w:r w:rsidRPr="004C78D8">
              <w:rPr>
                <w:sz w:val="18"/>
                <w:szCs w:val="18"/>
              </w:rPr>
              <w:t>HAM</w:t>
            </w:r>
          </w:p>
        </w:tc>
        <w:tc>
          <w:tcPr>
            <w:tcW w:w="255" w:type="pct"/>
            <w:tcBorders>
              <w:top w:val="nil"/>
              <w:bottom w:val="nil"/>
            </w:tcBorders>
            <w:vAlign w:val="center"/>
          </w:tcPr>
          <w:p w14:paraId="53E73665" w14:textId="77777777" w:rsidR="0025223A" w:rsidRPr="004C78D8" w:rsidRDefault="0025223A" w:rsidP="00FB7C1F">
            <w:pPr>
              <w:jc w:val="center"/>
              <w:rPr>
                <w:sz w:val="20"/>
                <w:szCs w:val="20"/>
              </w:rPr>
            </w:pPr>
          </w:p>
        </w:tc>
        <w:tc>
          <w:tcPr>
            <w:tcW w:w="408" w:type="pct"/>
            <w:tcBorders>
              <w:top w:val="nil"/>
              <w:bottom w:val="nil"/>
            </w:tcBorders>
            <w:vAlign w:val="center"/>
          </w:tcPr>
          <w:p w14:paraId="681E9390" w14:textId="77777777" w:rsidR="0025223A" w:rsidRPr="004C78D8" w:rsidRDefault="0025223A" w:rsidP="00FB7C1F">
            <w:pPr>
              <w:jc w:val="center"/>
              <w:rPr>
                <w:sz w:val="20"/>
                <w:szCs w:val="20"/>
              </w:rPr>
            </w:pPr>
          </w:p>
        </w:tc>
        <w:tc>
          <w:tcPr>
            <w:tcW w:w="357" w:type="pct"/>
            <w:tcBorders>
              <w:top w:val="nil"/>
              <w:bottom w:val="nil"/>
            </w:tcBorders>
            <w:vAlign w:val="center"/>
          </w:tcPr>
          <w:p w14:paraId="780FDF7D" w14:textId="77777777" w:rsidR="0025223A" w:rsidRPr="004C78D8" w:rsidRDefault="0025223A" w:rsidP="00FB7C1F">
            <w:pPr>
              <w:jc w:val="center"/>
              <w:rPr>
                <w:sz w:val="20"/>
                <w:szCs w:val="20"/>
              </w:rPr>
            </w:pPr>
          </w:p>
        </w:tc>
        <w:tc>
          <w:tcPr>
            <w:tcW w:w="358" w:type="pct"/>
            <w:tcBorders>
              <w:top w:val="nil"/>
              <w:bottom w:val="nil"/>
            </w:tcBorders>
            <w:vAlign w:val="center"/>
          </w:tcPr>
          <w:p w14:paraId="13FDB8FF" w14:textId="77777777" w:rsidR="0025223A" w:rsidRPr="004C78D8" w:rsidRDefault="0025223A" w:rsidP="00FB7C1F">
            <w:pPr>
              <w:jc w:val="center"/>
              <w:rPr>
                <w:sz w:val="20"/>
                <w:szCs w:val="20"/>
              </w:rPr>
            </w:pPr>
          </w:p>
        </w:tc>
        <w:tc>
          <w:tcPr>
            <w:tcW w:w="306" w:type="pct"/>
            <w:tcBorders>
              <w:top w:val="nil"/>
              <w:bottom w:val="nil"/>
            </w:tcBorders>
            <w:vAlign w:val="center"/>
          </w:tcPr>
          <w:p w14:paraId="07AEC869"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06" w:type="pct"/>
            <w:tcBorders>
              <w:top w:val="nil"/>
              <w:bottom w:val="nil"/>
            </w:tcBorders>
          </w:tcPr>
          <w:p w14:paraId="574B1958" w14:textId="77777777" w:rsidR="0025223A" w:rsidRPr="004C78D8" w:rsidRDefault="0025223A" w:rsidP="00FB7C1F">
            <w:pPr>
              <w:jc w:val="center"/>
              <w:rPr>
                <w:sz w:val="20"/>
                <w:szCs w:val="20"/>
              </w:rPr>
            </w:pPr>
          </w:p>
        </w:tc>
        <w:tc>
          <w:tcPr>
            <w:tcW w:w="357" w:type="pct"/>
            <w:tcBorders>
              <w:top w:val="nil"/>
              <w:bottom w:val="nil"/>
            </w:tcBorders>
            <w:vAlign w:val="center"/>
          </w:tcPr>
          <w:p w14:paraId="77181D75" w14:textId="77777777" w:rsidR="0025223A" w:rsidRPr="004C78D8" w:rsidRDefault="0025223A" w:rsidP="00FB7C1F">
            <w:pPr>
              <w:jc w:val="center"/>
              <w:rPr>
                <w:sz w:val="20"/>
                <w:szCs w:val="20"/>
              </w:rPr>
            </w:pPr>
          </w:p>
        </w:tc>
        <w:tc>
          <w:tcPr>
            <w:tcW w:w="357" w:type="pct"/>
            <w:tcBorders>
              <w:top w:val="nil"/>
              <w:bottom w:val="nil"/>
            </w:tcBorders>
            <w:vAlign w:val="center"/>
          </w:tcPr>
          <w:p w14:paraId="732EFF32" w14:textId="77777777" w:rsidR="0025223A" w:rsidRPr="004C78D8" w:rsidRDefault="0025223A" w:rsidP="00FB7C1F">
            <w:pPr>
              <w:jc w:val="center"/>
              <w:rPr>
                <w:sz w:val="20"/>
                <w:szCs w:val="20"/>
              </w:rPr>
            </w:pPr>
          </w:p>
        </w:tc>
        <w:tc>
          <w:tcPr>
            <w:tcW w:w="459" w:type="pct"/>
            <w:tcBorders>
              <w:top w:val="nil"/>
              <w:bottom w:val="nil"/>
            </w:tcBorders>
            <w:vAlign w:val="center"/>
          </w:tcPr>
          <w:p w14:paraId="6D011E5E"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408" w:type="pct"/>
            <w:tcBorders>
              <w:top w:val="nil"/>
              <w:bottom w:val="nil"/>
            </w:tcBorders>
            <w:vAlign w:val="center"/>
          </w:tcPr>
          <w:p w14:paraId="5EF6EA11" w14:textId="77777777" w:rsidR="0025223A" w:rsidRPr="004C78D8" w:rsidRDefault="0025223A" w:rsidP="00FB7C1F">
            <w:pPr>
              <w:jc w:val="center"/>
              <w:rPr>
                <w:sz w:val="18"/>
                <w:szCs w:val="18"/>
              </w:rPr>
            </w:pPr>
            <w:r w:rsidRPr="004C78D8">
              <w:rPr>
                <w:sz w:val="18"/>
                <w:szCs w:val="18"/>
              </w:rPr>
              <w:t>PP</w:t>
            </w:r>
          </w:p>
        </w:tc>
      </w:tr>
      <w:tr w:rsidR="0025223A" w:rsidRPr="004C78D8" w14:paraId="7BB5C9D7" w14:textId="77777777" w:rsidTr="002828C1">
        <w:tc>
          <w:tcPr>
            <w:tcW w:w="662" w:type="pct"/>
          </w:tcPr>
          <w:p w14:paraId="2C1B1417" w14:textId="77777777" w:rsidR="0025223A" w:rsidRPr="004C78D8" w:rsidRDefault="0025223A" w:rsidP="00FB7C1F">
            <w:pPr>
              <w:jc w:val="left"/>
              <w:rPr>
                <w:sz w:val="18"/>
                <w:szCs w:val="18"/>
              </w:rPr>
            </w:pPr>
            <w:r w:rsidRPr="004C78D8">
              <w:rPr>
                <w:sz w:val="18"/>
                <w:szCs w:val="18"/>
              </w:rPr>
              <w:t>Pega (2016)</w:t>
            </w:r>
          </w:p>
        </w:tc>
        <w:tc>
          <w:tcPr>
            <w:tcW w:w="765" w:type="pct"/>
          </w:tcPr>
          <w:p w14:paraId="25DE71C7" w14:textId="77777777" w:rsidR="0025223A" w:rsidRPr="004C78D8" w:rsidRDefault="0025223A" w:rsidP="00FB7C1F">
            <w:pPr>
              <w:jc w:val="left"/>
              <w:rPr>
                <w:sz w:val="18"/>
                <w:szCs w:val="18"/>
              </w:rPr>
            </w:pPr>
            <w:r w:rsidRPr="004C78D8">
              <w:rPr>
                <w:sz w:val="18"/>
                <w:szCs w:val="18"/>
              </w:rPr>
              <w:t>HAM</w:t>
            </w:r>
          </w:p>
        </w:tc>
        <w:tc>
          <w:tcPr>
            <w:tcW w:w="255" w:type="pct"/>
            <w:tcBorders>
              <w:top w:val="nil"/>
              <w:bottom w:val="nil"/>
            </w:tcBorders>
            <w:vAlign w:val="center"/>
          </w:tcPr>
          <w:p w14:paraId="61BF9457" w14:textId="77777777" w:rsidR="0025223A" w:rsidRPr="004C78D8" w:rsidRDefault="0025223A" w:rsidP="00FB7C1F">
            <w:pPr>
              <w:jc w:val="center"/>
              <w:rPr>
                <w:sz w:val="20"/>
                <w:szCs w:val="20"/>
              </w:rPr>
            </w:pPr>
          </w:p>
        </w:tc>
        <w:tc>
          <w:tcPr>
            <w:tcW w:w="408" w:type="pct"/>
            <w:tcBorders>
              <w:top w:val="nil"/>
              <w:bottom w:val="nil"/>
            </w:tcBorders>
            <w:vAlign w:val="center"/>
          </w:tcPr>
          <w:p w14:paraId="0DAABE87" w14:textId="77777777" w:rsidR="0025223A" w:rsidRPr="004C78D8" w:rsidRDefault="0025223A" w:rsidP="00FB7C1F">
            <w:pPr>
              <w:jc w:val="center"/>
              <w:rPr>
                <w:sz w:val="20"/>
                <w:szCs w:val="20"/>
              </w:rPr>
            </w:pPr>
          </w:p>
        </w:tc>
        <w:tc>
          <w:tcPr>
            <w:tcW w:w="357" w:type="pct"/>
            <w:tcBorders>
              <w:top w:val="nil"/>
              <w:bottom w:val="nil"/>
            </w:tcBorders>
            <w:vAlign w:val="center"/>
          </w:tcPr>
          <w:p w14:paraId="6A5BEA40" w14:textId="77777777" w:rsidR="0025223A" w:rsidRPr="004C78D8" w:rsidRDefault="0025223A" w:rsidP="00FB7C1F">
            <w:pPr>
              <w:jc w:val="center"/>
              <w:rPr>
                <w:sz w:val="20"/>
                <w:szCs w:val="20"/>
              </w:rPr>
            </w:pPr>
          </w:p>
        </w:tc>
        <w:tc>
          <w:tcPr>
            <w:tcW w:w="358" w:type="pct"/>
            <w:tcBorders>
              <w:top w:val="nil"/>
              <w:bottom w:val="nil"/>
            </w:tcBorders>
            <w:vAlign w:val="center"/>
          </w:tcPr>
          <w:p w14:paraId="633695B4" w14:textId="77777777" w:rsidR="0025223A" w:rsidRPr="004C78D8" w:rsidRDefault="0025223A" w:rsidP="00FB7C1F">
            <w:pPr>
              <w:jc w:val="center"/>
              <w:rPr>
                <w:sz w:val="20"/>
                <w:szCs w:val="20"/>
              </w:rPr>
            </w:pPr>
          </w:p>
        </w:tc>
        <w:tc>
          <w:tcPr>
            <w:tcW w:w="306" w:type="pct"/>
            <w:tcBorders>
              <w:top w:val="nil"/>
              <w:bottom w:val="nil"/>
            </w:tcBorders>
            <w:vAlign w:val="center"/>
          </w:tcPr>
          <w:p w14:paraId="401A0F47"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06" w:type="pct"/>
            <w:tcBorders>
              <w:top w:val="nil"/>
              <w:bottom w:val="nil"/>
            </w:tcBorders>
          </w:tcPr>
          <w:p w14:paraId="42C8FE6B" w14:textId="77777777" w:rsidR="0025223A" w:rsidRPr="004C78D8" w:rsidRDefault="0025223A" w:rsidP="00FB7C1F">
            <w:pPr>
              <w:jc w:val="center"/>
              <w:rPr>
                <w:sz w:val="20"/>
                <w:szCs w:val="20"/>
              </w:rPr>
            </w:pPr>
          </w:p>
        </w:tc>
        <w:tc>
          <w:tcPr>
            <w:tcW w:w="357" w:type="pct"/>
            <w:tcBorders>
              <w:top w:val="nil"/>
              <w:bottom w:val="nil"/>
            </w:tcBorders>
            <w:vAlign w:val="center"/>
          </w:tcPr>
          <w:p w14:paraId="33D530BA" w14:textId="77777777" w:rsidR="0025223A" w:rsidRPr="004C78D8" w:rsidRDefault="0025223A" w:rsidP="00FB7C1F">
            <w:pPr>
              <w:jc w:val="center"/>
              <w:rPr>
                <w:sz w:val="20"/>
                <w:szCs w:val="20"/>
              </w:rPr>
            </w:pPr>
          </w:p>
        </w:tc>
        <w:tc>
          <w:tcPr>
            <w:tcW w:w="357" w:type="pct"/>
            <w:tcBorders>
              <w:top w:val="nil"/>
              <w:bottom w:val="nil"/>
            </w:tcBorders>
            <w:vAlign w:val="center"/>
          </w:tcPr>
          <w:p w14:paraId="14BB31F4" w14:textId="77777777" w:rsidR="0025223A" w:rsidRPr="004C78D8" w:rsidRDefault="0025223A" w:rsidP="00FB7C1F">
            <w:pPr>
              <w:jc w:val="center"/>
              <w:rPr>
                <w:sz w:val="20"/>
                <w:szCs w:val="20"/>
              </w:rPr>
            </w:pPr>
          </w:p>
        </w:tc>
        <w:tc>
          <w:tcPr>
            <w:tcW w:w="459" w:type="pct"/>
            <w:tcBorders>
              <w:top w:val="nil"/>
              <w:bottom w:val="nil"/>
            </w:tcBorders>
            <w:vAlign w:val="center"/>
          </w:tcPr>
          <w:p w14:paraId="6C782412"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408" w:type="pct"/>
            <w:tcBorders>
              <w:top w:val="nil"/>
              <w:bottom w:val="nil"/>
            </w:tcBorders>
            <w:vAlign w:val="center"/>
          </w:tcPr>
          <w:p w14:paraId="580CBCDA" w14:textId="77777777" w:rsidR="0025223A" w:rsidRPr="004C78D8" w:rsidRDefault="0025223A" w:rsidP="00FB7C1F">
            <w:pPr>
              <w:jc w:val="center"/>
              <w:rPr>
                <w:sz w:val="18"/>
                <w:szCs w:val="18"/>
              </w:rPr>
            </w:pPr>
            <w:r w:rsidRPr="004C78D8">
              <w:rPr>
                <w:sz w:val="18"/>
                <w:szCs w:val="18"/>
              </w:rPr>
              <w:t>PP</w:t>
            </w:r>
          </w:p>
        </w:tc>
      </w:tr>
      <w:tr w:rsidR="0025223A" w:rsidRPr="004C78D8" w14:paraId="4695C2F8" w14:textId="77777777" w:rsidTr="002828C1">
        <w:tc>
          <w:tcPr>
            <w:tcW w:w="662" w:type="pct"/>
          </w:tcPr>
          <w:p w14:paraId="080D245C" w14:textId="77777777" w:rsidR="0025223A" w:rsidRPr="004C78D8" w:rsidRDefault="0025223A" w:rsidP="00FB7C1F">
            <w:pPr>
              <w:jc w:val="left"/>
              <w:rPr>
                <w:sz w:val="18"/>
                <w:szCs w:val="18"/>
              </w:rPr>
            </w:pPr>
            <w:r w:rsidRPr="004C78D8">
              <w:rPr>
                <w:sz w:val="18"/>
                <w:szCs w:val="18"/>
              </w:rPr>
              <w:t>Wilson (2017)</w:t>
            </w:r>
          </w:p>
        </w:tc>
        <w:tc>
          <w:tcPr>
            <w:tcW w:w="765" w:type="pct"/>
          </w:tcPr>
          <w:p w14:paraId="7B389C95" w14:textId="77777777" w:rsidR="0025223A" w:rsidRPr="004C78D8" w:rsidRDefault="0025223A" w:rsidP="00FB7C1F">
            <w:pPr>
              <w:jc w:val="left"/>
              <w:rPr>
                <w:sz w:val="18"/>
                <w:szCs w:val="18"/>
              </w:rPr>
            </w:pPr>
            <w:r w:rsidRPr="004C78D8">
              <w:rPr>
                <w:sz w:val="18"/>
                <w:szCs w:val="18"/>
              </w:rPr>
              <w:t>HAM</w:t>
            </w:r>
          </w:p>
        </w:tc>
        <w:tc>
          <w:tcPr>
            <w:tcW w:w="255" w:type="pct"/>
            <w:tcBorders>
              <w:top w:val="nil"/>
            </w:tcBorders>
            <w:vAlign w:val="center"/>
          </w:tcPr>
          <w:p w14:paraId="45DC050D" w14:textId="77777777" w:rsidR="0025223A" w:rsidRPr="004C78D8" w:rsidRDefault="0025223A" w:rsidP="00FB7C1F">
            <w:pPr>
              <w:jc w:val="center"/>
              <w:rPr>
                <w:sz w:val="20"/>
                <w:szCs w:val="20"/>
              </w:rPr>
            </w:pPr>
            <w:r w:rsidRPr="004C78D8">
              <w:rPr>
                <w:rFonts w:cs="Times New Roman"/>
                <w:sz w:val="28"/>
                <w:szCs w:val="28"/>
              </w:rPr>
              <w:t>˟</w:t>
            </w:r>
          </w:p>
        </w:tc>
        <w:tc>
          <w:tcPr>
            <w:tcW w:w="408" w:type="pct"/>
            <w:tcBorders>
              <w:top w:val="nil"/>
            </w:tcBorders>
            <w:vAlign w:val="center"/>
          </w:tcPr>
          <w:p w14:paraId="24BAA68E" w14:textId="77777777" w:rsidR="0025223A" w:rsidRPr="004C78D8" w:rsidRDefault="0025223A" w:rsidP="00FB7C1F">
            <w:pPr>
              <w:jc w:val="center"/>
              <w:rPr>
                <w:sz w:val="20"/>
                <w:szCs w:val="20"/>
              </w:rPr>
            </w:pPr>
          </w:p>
        </w:tc>
        <w:tc>
          <w:tcPr>
            <w:tcW w:w="357" w:type="pct"/>
            <w:tcBorders>
              <w:top w:val="nil"/>
            </w:tcBorders>
            <w:vAlign w:val="center"/>
          </w:tcPr>
          <w:p w14:paraId="27945F78" w14:textId="77777777" w:rsidR="0025223A" w:rsidRPr="004C78D8" w:rsidRDefault="0025223A" w:rsidP="00FB7C1F">
            <w:pPr>
              <w:jc w:val="center"/>
              <w:rPr>
                <w:sz w:val="20"/>
                <w:szCs w:val="20"/>
              </w:rPr>
            </w:pPr>
            <w:r w:rsidRPr="004C78D8">
              <w:rPr>
                <w:rFonts w:cs="Times New Roman"/>
                <w:sz w:val="28"/>
                <w:szCs w:val="28"/>
              </w:rPr>
              <w:t>˟</w:t>
            </w:r>
          </w:p>
        </w:tc>
        <w:tc>
          <w:tcPr>
            <w:tcW w:w="358" w:type="pct"/>
            <w:tcBorders>
              <w:top w:val="nil"/>
            </w:tcBorders>
            <w:vAlign w:val="center"/>
          </w:tcPr>
          <w:p w14:paraId="021F35D2" w14:textId="77777777" w:rsidR="0025223A" w:rsidRPr="004C78D8" w:rsidRDefault="0025223A" w:rsidP="00FB7C1F">
            <w:pPr>
              <w:jc w:val="center"/>
              <w:rPr>
                <w:sz w:val="20"/>
                <w:szCs w:val="20"/>
              </w:rPr>
            </w:pPr>
          </w:p>
        </w:tc>
        <w:tc>
          <w:tcPr>
            <w:tcW w:w="306" w:type="pct"/>
            <w:tcBorders>
              <w:top w:val="nil"/>
            </w:tcBorders>
            <w:vAlign w:val="center"/>
          </w:tcPr>
          <w:p w14:paraId="026067C0" w14:textId="77777777" w:rsidR="0025223A" w:rsidRPr="004C78D8" w:rsidRDefault="0025223A" w:rsidP="00FB7C1F">
            <w:pPr>
              <w:jc w:val="center"/>
              <w:rPr>
                <w:sz w:val="28"/>
                <w:szCs w:val="28"/>
              </w:rPr>
            </w:pPr>
            <w:r w:rsidRPr="004C78D8">
              <w:rPr>
                <w:rFonts w:cs="Times New Roman"/>
                <w:sz w:val="28"/>
                <w:szCs w:val="28"/>
              </w:rPr>
              <w:t>˟</w:t>
            </w:r>
          </w:p>
        </w:tc>
        <w:tc>
          <w:tcPr>
            <w:tcW w:w="306" w:type="pct"/>
            <w:tcBorders>
              <w:top w:val="nil"/>
            </w:tcBorders>
          </w:tcPr>
          <w:p w14:paraId="4778D58B" w14:textId="77777777" w:rsidR="0025223A" w:rsidRPr="004C78D8" w:rsidRDefault="0025223A" w:rsidP="00FB7C1F">
            <w:pPr>
              <w:jc w:val="center"/>
              <w:rPr>
                <w:sz w:val="20"/>
                <w:szCs w:val="20"/>
              </w:rPr>
            </w:pPr>
          </w:p>
        </w:tc>
        <w:tc>
          <w:tcPr>
            <w:tcW w:w="357" w:type="pct"/>
            <w:tcBorders>
              <w:top w:val="nil"/>
            </w:tcBorders>
            <w:vAlign w:val="center"/>
          </w:tcPr>
          <w:p w14:paraId="01A50718" w14:textId="77777777" w:rsidR="0025223A" w:rsidRPr="004C78D8" w:rsidRDefault="0025223A" w:rsidP="00FB7C1F">
            <w:pPr>
              <w:jc w:val="center"/>
              <w:rPr>
                <w:sz w:val="20"/>
                <w:szCs w:val="20"/>
              </w:rPr>
            </w:pPr>
          </w:p>
        </w:tc>
        <w:tc>
          <w:tcPr>
            <w:tcW w:w="357" w:type="pct"/>
            <w:tcBorders>
              <w:top w:val="nil"/>
            </w:tcBorders>
            <w:vAlign w:val="center"/>
          </w:tcPr>
          <w:p w14:paraId="330DC823" w14:textId="77777777" w:rsidR="0025223A" w:rsidRPr="004C78D8" w:rsidRDefault="0025223A" w:rsidP="00FB7C1F">
            <w:pPr>
              <w:jc w:val="center"/>
              <w:rPr>
                <w:sz w:val="20"/>
                <w:szCs w:val="20"/>
              </w:rPr>
            </w:pPr>
          </w:p>
        </w:tc>
        <w:tc>
          <w:tcPr>
            <w:tcW w:w="459" w:type="pct"/>
            <w:tcBorders>
              <w:top w:val="nil"/>
            </w:tcBorders>
            <w:vAlign w:val="center"/>
          </w:tcPr>
          <w:p w14:paraId="32C3A4D5" w14:textId="77777777" w:rsidR="0025223A" w:rsidRPr="004C78D8" w:rsidRDefault="0025223A" w:rsidP="00FB7C1F">
            <w:pPr>
              <w:jc w:val="center"/>
              <w:rPr>
                <w:sz w:val="28"/>
                <w:szCs w:val="28"/>
              </w:rPr>
            </w:pPr>
            <w:r w:rsidRPr="004C78D8">
              <w:rPr>
                <w:rFonts w:cs="Times New Roman"/>
                <w:sz w:val="28"/>
                <w:szCs w:val="28"/>
              </w:rPr>
              <w:t>˟</w:t>
            </w:r>
          </w:p>
        </w:tc>
        <w:tc>
          <w:tcPr>
            <w:tcW w:w="408" w:type="pct"/>
            <w:tcBorders>
              <w:top w:val="nil"/>
            </w:tcBorders>
            <w:vAlign w:val="center"/>
          </w:tcPr>
          <w:p w14:paraId="1697549D" w14:textId="77777777" w:rsidR="0025223A" w:rsidRPr="004C78D8" w:rsidRDefault="0025223A" w:rsidP="00FB7C1F">
            <w:pPr>
              <w:jc w:val="center"/>
              <w:rPr>
                <w:sz w:val="18"/>
                <w:szCs w:val="18"/>
              </w:rPr>
            </w:pPr>
            <w:r w:rsidRPr="004C78D8">
              <w:rPr>
                <w:sz w:val="18"/>
                <w:szCs w:val="18"/>
              </w:rPr>
              <w:t>PP</w:t>
            </w:r>
          </w:p>
        </w:tc>
      </w:tr>
      <w:tr w:rsidR="0025223A" w:rsidRPr="004C78D8" w14:paraId="23287530" w14:textId="77777777" w:rsidTr="002828C1">
        <w:tc>
          <w:tcPr>
            <w:tcW w:w="5000" w:type="pct"/>
            <w:gridSpan w:val="12"/>
          </w:tcPr>
          <w:p w14:paraId="7A658190" w14:textId="77777777" w:rsidR="0025223A" w:rsidRPr="004C78D8" w:rsidRDefault="0025223A" w:rsidP="00FB7C1F">
            <w:pPr>
              <w:jc w:val="left"/>
              <w:rPr>
                <w:b/>
                <w:bCs/>
                <w:i/>
                <w:iCs/>
                <w:sz w:val="24"/>
                <w:szCs w:val="24"/>
              </w:rPr>
            </w:pPr>
            <w:r w:rsidRPr="004C78D8">
              <w:rPr>
                <w:b/>
                <w:bCs/>
                <w:i/>
                <w:iCs/>
                <w:sz w:val="20"/>
                <w:szCs w:val="20"/>
              </w:rPr>
              <w:t>Medication review and change</w:t>
            </w:r>
          </w:p>
        </w:tc>
      </w:tr>
      <w:tr w:rsidR="0025223A" w:rsidRPr="004C78D8" w14:paraId="546BB1E1" w14:textId="77777777" w:rsidTr="002828C1">
        <w:tc>
          <w:tcPr>
            <w:tcW w:w="662" w:type="pct"/>
          </w:tcPr>
          <w:p w14:paraId="62248049" w14:textId="77777777" w:rsidR="0025223A" w:rsidRPr="004C78D8" w:rsidRDefault="0025223A" w:rsidP="00FB7C1F">
            <w:pPr>
              <w:jc w:val="left"/>
              <w:rPr>
                <w:sz w:val="18"/>
                <w:szCs w:val="18"/>
              </w:rPr>
            </w:pPr>
            <w:r w:rsidRPr="004C78D8">
              <w:rPr>
                <w:sz w:val="18"/>
                <w:szCs w:val="18"/>
              </w:rPr>
              <w:t>Day (2009)</w:t>
            </w:r>
          </w:p>
        </w:tc>
        <w:tc>
          <w:tcPr>
            <w:tcW w:w="765" w:type="pct"/>
          </w:tcPr>
          <w:p w14:paraId="2D5A6629" w14:textId="3F10A853" w:rsidR="0025223A" w:rsidRPr="004C78D8" w:rsidRDefault="0025223A" w:rsidP="00FB7C1F">
            <w:pPr>
              <w:jc w:val="left"/>
              <w:rPr>
                <w:sz w:val="18"/>
                <w:szCs w:val="18"/>
              </w:rPr>
            </w:pPr>
            <w:r w:rsidRPr="004C78D8">
              <w:rPr>
                <w:sz w:val="18"/>
                <w:szCs w:val="18"/>
              </w:rPr>
              <w:t>FRS and psychotropic withdrawal</w:t>
            </w:r>
            <w:r w:rsidR="005E2745" w:rsidRPr="004C78D8">
              <w:rPr>
                <w:sz w:val="18"/>
                <w:szCs w:val="18"/>
                <w:vertAlign w:val="superscript"/>
              </w:rPr>
              <w:t>3</w:t>
            </w:r>
          </w:p>
        </w:tc>
        <w:tc>
          <w:tcPr>
            <w:tcW w:w="255" w:type="pct"/>
            <w:tcBorders>
              <w:bottom w:val="nil"/>
            </w:tcBorders>
            <w:vAlign w:val="center"/>
          </w:tcPr>
          <w:p w14:paraId="000DED1E" w14:textId="77777777" w:rsidR="0025223A" w:rsidRPr="004C78D8" w:rsidRDefault="0025223A" w:rsidP="00FB7C1F">
            <w:pPr>
              <w:jc w:val="center"/>
              <w:rPr>
                <w:sz w:val="20"/>
                <w:szCs w:val="20"/>
              </w:rPr>
            </w:pPr>
          </w:p>
        </w:tc>
        <w:tc>
          <w:tcPr>
            <w:tcW w:w="408" w:type="pct"/>
            <w:tcBorders>
              <w:bottom w:val="nil"/>
            </w:tcBorders>
            <w:vAlign w:val="center"/>
          </w:tcPr>
          <w:p w14:paraId="314E508C" w14:textId="77777777" w:rsidR="0025223A" w:rsidRPr="004C78D8" w:rsidRDefault="0025223A" w:rsidP="00FB7C1F">
            <w:pPr>
              <w:jc w:val="center"/>
              <w:rPr>
                <w:sz w:val="20"/>
                <w:szCs w:val="20"/>
              </w:rPr>
            </w:pPr>
          </w:p>
        </w:tc>
        <w:tc>
          <w:tcPr>
            <w:tcW w:w="357" w:type="pct"/>
            <w:tcBorders>
              <w:bottom w:val="nil"/>
            </w:tcBorders>
            <w:vAlign w:val="center"/>
          </w:tcPr>
          <w:p w14:paraId="2474CAA0" w14:textId="77777777" w:rsidR="0025223A" w:rsidRPr="004C78D8" w:rsidRDefault="0025223A" w:rsidP="00FB7C1F">
            <w:pPr>
              <w:jc w:val="center"/>
              <w:rPr>
                <w:sz w:val="28"/>
                <w:szCs w:val="28"/>
              </w:rPr>
            </w:pPr>
            <w:r w:rsidRPr="004C78D8">
              <w:rPr>
                <w:rFonts w:cs="Times New Roman"/>
                <w:sz w:val="28"/>
                <w:szCs w:val="28"/>
              </w:rPr>
              <w:t>˟</w:t>
            </w:r>
          </w:p>
        </w:tc>
        <w:tc>
          <w:tcPr>
            <w:tcW w:w="358" w:type="pct"/>
            <w:tcBorders>
              <w:bottom w:val="nil"/>
            </w:tcBorders>
            <w:vAlign w:val="center"/>
          </w:tcPr>
          <w:p w14:paraId="2F8E3358" w14:textId="77777777" w:rsidR="0025223A" w:rsidRPr="004C78D8" w:rsidRDefault="0025223A" w:rsidP="00FB7C1F">
            <w:pPr>
              <w:jc w:val="center"/>
              <w:rPr>
                <w:sz w:val="28"/>
                <w:szCs w:val="28"/>
              </w:rPr>
            </w:pPr>
          </w:p>
        </w:tc>
        <w:tc>
          <w:tcPr>
            <w:tcW w:w="306" w:type="pct"/>
            <w:tcBorders>
              <w:bottom w:val="nil"/>
            </w:tcBorders>
            <w:vAlign w:val="center"/>
          </w:tcPr>
          <w:p w14:paraId="7D547AED" w14:textId="77777777" w:rsidR="0025223A" w:rsidRPr="004C78D8" w:rsidRDefault="0025223A" w:rsidP="00FB7C1F">
            <w:pPr>
              <w:jc w:val="center"/>
              <w:rPr>
                <w:sz w:val="28"/>
                <w:szCs w:val="28"/>
              </w:rPr>
            </w:pPr>
            <w:r w:rsidRPr="004C78D8">
              <w:rPr>
                <w:rFonts w:cs="Times New Roman"/>
                <w:sz w:val="28"/>
                <w:szCs w:val="28"/>
              </w:rPr>
              <w:t>˟</w:t>
            </w:r>
          </w:p>
        </w:tc>
        <w:tc>
          <w:tcPr>
            <w:tcW w:w="306" w:type="pct"/>
            <w:tcBorders>
              <w:bottom w:val="nil"/>
            </w:tcBorders>
          </w:tcPr>
          <w:p w14:paraId="2CFCCCA3" w14:textId="77777777" w:rsidR="0025223A" w:rsidRPr="004C78D8" w:rsidRDefault="0025223A" w:rsidP="00FB7C1F">
            <w:pPr>
              <w:jc w:val="center"/>
              <w:rPr>
                <w:sz w:val="28"/>
                <w:szCs w:val="28"/>
              </w:rPr>
            </w:pPr>
          </w:p>
        </w:tc>
        <w:tc>
          <w:tcPr>
            <w:tcW w:w="357" w:type="pct"/>
            <w:tcBorders>
              <w:bottom w:val="nil"/>
            </w:tcBorders>
            <w:vAlign w:val="center"/>
          </w:tcPr>
          <w:p w14:paraId="79434A79" w14:textId="77777777" w:rsidR="0025223A" w:rsidRPr="004C78D8" w:rsidRDefault="0025223A" w:rsidP="00FB7C1F">
            <w:pPr>
              <w:jc w:val="center"/>
              <w:rPr>
                <w:sz w:val="28"/>
                <w:szCs w:val="28"/>
              </w:rPr>
            </w:pPr>
          </w:p>
        </w:tc>
        <w:tc>
          <w:tcPr>
            <w:tcW w:w="357" w:type="pct"/>
            <w:tcBorders>
              <w:bottom w:val="nil"/>
            </w:tcBorders>
            <w:vAlign w:val="center"/>
          </w:tcPr>
          <w:p w14:paraId="258D0C2E" w14:textId="77777777" w:rsidR="0025223A" w:rsidRPr="004C78D8" w:rsidRDefault="0025223A" w:rsidP="00FB7C1F">
            <w:pPr>
              <w:jc w:val="center"/>
              <w:rPr>
                <w:sz w:val="28"/>
                <w:szCs w:val="28"/>
              </w:rPr>
            </w:pPr>
          </w:p>
        </w:tc>
        <w:tc>
          <w:tcPr>
            <w:tcW w:w="459" w:type="pct"/>
            <w:tcBorders>
              <w:bottom w:val="nil"/>
            </w:tcBorders>
            <w:vAlign w:val="center"/>
          </w:tcPr>
          <w:p w14:paraId="2F18FCE1" w14:textId="77777777" w:rsidR="0025223A" w:rsidRPr="004C78D8" w:rsidRDefault="0025223A" w:rsidP="00FB7C1F">
            <w:pPr>
              <w:jc w:val="center"/>
              <w:rPr>
                <w:sz w:val="28"/>
                <w:szCs w:val="28"/>
              </w:rPr>
            </w:pPr>
            <w:r w:rsidRPr="004C78D8">
              <w:rPr>
                <w:rFonts w:cs="Times New Roman"/>
                <w:sz w:val="28"/>
                <w:szCs w:val="28"/>
              </w:rPr>
              <w:t>˟</w:t>
            </w:r>
          </w:p>
        </w:tc>
        <w:tc>
          <w:tcPr>
            <w:tcW w:w="408" w:type="pct"/>
            <w:tcBorders>
              <w:bottom w:val="nil"/>
            </w:tcBorders>
            <w:vAlign w:val="center"/>
          </w:tcPr>
          <w:p w14:paraId="6CAA181B" w14:textId="77777777" w:rsidR="0025223A" w:rsidRPr="004C78D8" w:rsidRDefault="0025223A" w:rsidP="00FB7C1F">
            <w:pPr>
              <w:jc w:val="center"/>
              <w:rPr>
                <w:sz w:val="18"/>
                <w:szCs w:val="18"/>
              </w:rPr>
            </w:pPr>
            <w:r w:rsidRPr="004C78D8">
              <w:rPr>
                <w:sz w:val="18"/>
                <w:szCs w:val="18"/>
              </w:rPr>
              <w:t>PP</w:t>
            </w:r>
          </w:p>
        </w:tc>
      </w:tr>
      <w:tr w:rsidR="0025223A" w:rsidRPr="004C78D8" w14:paraId="4D8EAC53" w14:textId="77777777" w:rsidTr="002828C1">
        <w:tc>
          <w:tcPr>
            <w:tcW w:w="662" w:type="pct"/>
          </w:tcPr>
          <w:p w14:paraId="4293D822" w14:textId="77777777" w:rsidR="0025223A" w:rsidRPr="004C78D8" w:rsidRDefault="0025223A" w:rsidP="00FB7C1F">
            <w:pPr>
              <w:jc w:val="left"/>
              <w:rPr>
                <w:sz w:val="18"/>
                <w:szCs w:val="18"/>
              </w:rPr>
            </w:pPr>
            <w:r w:rsidRPr="004C78D8">
              <w:rPr>
                <w:sz w:val="18"/>
                <w:szCs w:val="18"/>
              </w:rPr>
              <w:t>Frick (2010)</w:t>
            </w:r>
          </w:p>
        </w:tc>
        <w:tc>
          <w:tcPr>
            <w:tcW w:w="765" w:type="pct"/>
          </w:tcPr>
          <w:p w14:paraId="3CD7708F" w14:textId="77777777" w:rsidR="0025223A" w:rsidRPr="004C78D8" w:rsidRDefault="0025223A" w:rsidP="00FB7C1F">
            <w:pPr>
              <w:jc w:val="left"/>
              <w:rPr>
                <w:sz w:val="18"/>
                <w:szCs w:val="18"/>
              </w:rPr>
            </w:pPr>
            <w:r w:rsidRPr="004C78D8">
              <w:rPr>
                <w:sz w:val="18"/>
                <w:szCs w:val="18"/>
              </w:rPr>
              <w:t>Psychotropic withdrawal</w:t>
            </w:r>
          </w:p>
        </w:tc>
        <w:tc>
          <w:tcPr>
            <w:tcW w:w="255" w:type="pct"/>
            <w:tcBorders>
              <w:top w:val="nil"/>
              <w:bottom w:val="nil"/>
            </w:tcBorders>
            <w:vAlign w:val="center"/>
          </w:tcPr>
          <w:p w14:paraId="3006007B" w14:textId="77777777" w:rsidR="0025223A" w:rsidRPr="004C78D8" w:rsidRDefault="0025223A" w:rsidP="00FB7C1F">
            <w:pPr>
              <w:jc w:val="center"/>
              <w:rPr>
                <w:sz w:val="20"/>
                <w:szCs w:val="20"/>
              </w:rPr>
            </w:pPr>
          </w:p>
        </w:tc>
        <w:tc>
          <w:tcPr>
            <w:tcW w:w="408" w:type="pct"/>
            <w:tcBorders>
              <w:top w:val="nil"/>
              <w:bottom w:val="nil"/>
            </w:tcBorders>
            <w:vAlign w:val="center"/>
          </w:tcPr>
          <w:p w14:paraId="714D430D" w14:textId="77777777" w:rsidR="0025223A" w:rsidRPr="004C78D8" w:rsidRDefault="0025223A" w:rsidP="00FB7C1F">
            <w:pPr>
              <w:jc w:val="center"/>
              <w:rPr>
                <w:sz w:val="20"/>
                <w:szCs w:val="20"/>
              </w:rPr>
            </w:pPr>
          </w:p>
        </w:tc>
        <w:tc>
          <w:tcPr>
            <w:tcW w:w="357" w:type="pct"/>
            <w:tcBorders>
              <w:top w:val="nil"/>
              <w:bottom w:val="nil"/>
            </w:tcBorders>
            <w:vAlign w:val="center"/>
          </w:tcPr>
          <w:p w14:paraId="3C1237CB" w14:textId="77777777" w:rsidR="0025223A" w:rsidRPr="004C78D8" w:rsidRDefault="0025223A" w:rsidP="00FB7C1F">
            <w:pPr>
              <w:jc w:val="center"/>
              <w:rPr>
                <w:sz w:val="20"/>
                <w:szCs w:val="20"/>
              </w:rPr>
            </w:pPr>
          </w:p>
        </w:tc>
        <w:tc>
          <w:tcPr>
            <w:tcW w:w="358" w:type="pct"/>
            <w:tcBorders>
              <w:top w:val="nil"/>
              <w:bottom w:val="nil"/>
            </w:tcBorders>
            <w:vAlign w:val="center"/>
          </w:tcPr>
          <w:p w14:paraId="21F33A25" w14:textId="77777777" w:rsidR="0025223A" w:rsidRPr="004C78D8" w:rsidRDefault="0025223A" w:rsidP="00FB7C1F">
            <w:pPr>
              <w:jc w:val="center"/>
              <w:rPr>
                <w:sz w:val="20"/>
                <w:szCs w:val="20"/>
              </w:rPr>
            </w:pPr>
          </w:p>
        </w:tc>
        <w:tc>
          <w:tcPr>
            <w:tcW w:w="306" w:type="pct"/>
            <w:tcBorders>
              <w:top w:val="nil"/>
              <w:bottom w:val="nil"/>
            </w:tcBorders>
            <w:vAlign w:val="center"/>
          </w:tcPr>
          <w:p w14:paraId="0B0A574A" w14:textId="77777777" w:rsidR="0025223A" w:rsidRPr="004C78D8" w:rsidRDefault="0025223A" w:rsidP="00FB7C1F">
            <w:pPr>
              <w:jc w:val="center"/>
              <w:rPr>
                <w:sz w:val="18"/>
                <w:szCs w:val="18"/>
              </w:rPr>
            </w:pPr>
            <w:r w:rsidRPr="004C78D8">
              <w:rPr>
                <w:rFonts w:cs="Times New Roman"/>
                <w:sz w:val="28"/>
                <w:szCs w:val="28"/>
              </w:rPr>
              <w:t>˟</w:t>
            </w:r>
          </w:p>
        </w:tc>
        <w:tc>
          <w:tcPr>
            <w:tcW w:w="306" w:type="pct"/>
            <w:tcBorders>
              <w:top w:val="nil"/>
              <w:bottom w:val="nil"/>
            </w:tcBorders>
          </w:tcPr>
          <w:p w14:paraId="26C36E0D" w14:textId="77777777" w:rsidR="0025223A" w:rsidRPr="004C78D8" w:rsidRDefault="0025223A" w:rsidP="00FB7C1F">
            <w:pPr>
              <w:jc w:val="center"/>
              <w:rPr>
                <w:sz w:val="18"/>
                <w:szCs w:val="18"/>
              </w:rPr>
            </w:pPr>
          </w:p>
        </w:tc>
        <w:tc>
          <w:tcPr>
            <w:tcW w:w="357" w:type="pct"/>
            <w:tcBorders>
              <w:top w:val="nil"/>
              <w:bottom w:val="nil"/>
            </w:tcBorders>
            <w:vAlign w:val="center"/>
          </w:tcPr>
          <w:p w14:paraId="3261BD18" w14:textId="77777777" w:rsidR="0025223A" w:rsidRPr="004C78D8" w:rsidRDefault="0025223A" w:rsidP="00FB7C1F">
            <w:pPr>
              <w:jc w:val="center"/>
              <w:rPr>
                <w:sz w:val="18"/>
                <w:szCs w:val="18"/>
              </w:rPr>
            </w:pPr>
          </w:p>
        </w:tc>
        <w:tc>
          <w:tcPr>
            <w:tcW w:w="357" w:type="pct"/>
            <w:tcBorders>
              <w:top w:val="nil"/>
              <w:bottom w:val="nil"/>
            </w:tcBorders>
            <w:vAlign w:val="center"/>
          </w:tcPr>
          <w:p w14:paraId="6AA0096C" w14:textId="77777777" w:rsidR="0025223A" w:rsidRPr="004C78D8" w:rsidRDefault="0025223A" w:rsidP="00FB7C1F">
            <w:pPr>
              <w:jc w:val="center"/>
              <w:rPr>
                <w:sz w:val="18"/>
                <w:szCs w:val="18"/>
              </w:rPr>
            </w:pPr>
            <w:r w:rsidRPr="004C78D8">
              <w:rPr>
                <w:sz w:val="18"/>
                <w:szCs w:val="18"/>
              </w:rPr>
              <w:t>OH</w:t>
            </w:r>
          </w:p>
        </w:tc>
        <w:tc>
          <w:tcPr>
            <w:tcW w:w="459" w:type="pct"/>
            <w:tcBorders>
              <w:top w:val="nil"/>
              <w:bottom w:val="nil"/>
            </w:tcBorders>
            <w:vAlign w:val="center"/>
          </w:tcPr>
          <w:p w14:paraId="18966DEC" w14:textId="77777777" w:rsidR="0025223A" w:rsidRPr="004C78D8" w:rsidRDefault="0025223A" w:rsidP="00FB7C1F">
            <w:pPr>
              <w:jc w:val="center"/>
              <w:rPr>
                <w:rFonts w:cs="Times New Roman"/>
                <w:sz w:val="28"/>
                <w:szCs w:val="28"/>
              </w:rPr>
            </w:pPr>
            <w:r w:rsidRPr="004C78D8">
              <w:rPr>
                <w:rFonts w:cs="Times New Roman"/>
                <w:sz w:val="18"/>
                <w:szCs w:val="18"/>
              </w:rPr>
              <w:t>Not specified</w:t>
            </w:r>
          </w:p>
        </w:tc>
        <w:tc>
          <w:tcPr>
            <w:tcW w:w="408" w:type="pct"/>
            <w:tcBorders>
              <w:top w:val="nil"/>
              <w:bottom w:val="nil"/>
            </w:tcBorders>
            <w:vAlign w:val="center"/>
          </w:tcPr>
          <w:p w14:paraId="5E03A99C" w14:textId="77777777" w:rsidR="0025223A" w:rsidRPr="004C78D8" w:rsidRDefault="0025223A" w:rsidP="00FB7C1F">
            <w:pPr>
              <w:jc w:val="center"/>
              <w:rPr>
                <w:sz w:val="18"/>
                <w:szCs w:val="18"/>
              </w:rPr>
            </w:pPr>
            <w:r w:rsidRPr="004C78D8">
              <w:rPr>
                <w:sz w:val="18"/>
                <w:szCs w:val="18"/>
              </w:rPr>
              <w:t>PP</w:t>
            </w:r>
          </w:p>
        </w:tc>
      </w:tr>
      <w:tr w:rsidR="0025223A" w:rsidRPr="004C78D8" w14:paraId="173A0055" w14:textId="77777777" w:rsidTr="002828C1">
        <w:tc>
          <w:tcPr>
            <w:tcW w:w="662" w:type="pct"/>
          </w:tcPr>
          <w:p w14:paraId="7575C025" w14:textId="77777777" w:rsidR="0025223A" w:rsidRPr="004C78D8" w:rsidRDefault="0025223A" w:rsidP="00FB7C1F">
            <w:pPr>
              <w:jc w:val="left"/>
              <w:rPr>
                <w:sz w:val="18"/>
                <w:szCs w:val="18"/>
              </w:rPr>
            </w:pPr>
            <w:r w:rsidRPr="004C78D8">
              <w:rPr>
                <w:sz w:val="18"/>
                <w:szCs w:val="18"/>
              </w:rPr>
              <w:t>Hirst (2016)</w:t>
            </w:r>
          </w:p>
        </w:tc>
        <w:tc>
          <w:tcPr>
            <w:tcW w:w="765" w:type="pct"/>
          </w:tcPr>
          <w:p w14:paraId="41593D08" w14:textId="77777777" w:rsidR="0025223A" w:rsidRPr="004C78D8" w:rsidRDefault="0025223A" w:rsidP="00FB7C1F">
            <w:pPr>
              <w:jc w:val="left"/>
              <w:rPr>
                <w:sz w:val="18"/>
                <w:szCs w:val="18"/>
              </w:rPr>
            </w:pPr>
            <w:r w:rsidRPr="004C78D8">
              <w:rPr>
                <w:sz w:val="18"/>
                <w:szCs w:val="18"/>
              </w:rPr>
              <w:t>Pain medication change</w:t>
            </w:r>
          </w:p>
        </w:tc>
        <w:tc>
          <w:tcPr>
            <w:tcW w:w="255" w:type="pct"/>
            <w:tcBorders>
              <w:top w:val="nil"/>
              <w:bottom w:val="nil"/>
            </w:tcBorders>
            <w:vAlign w:val="center"/>
          </w:tcPr>
          <w:p w14:paraId="178743D6" w14:textId="77777777" w:rsidR="0025223A" w:rsidRPr="004C78D8" w:rsidRDefault="0025223A" w:rsidP="00FB7C1F">
            <w:pPr>
              <w:jc w:val="center"/>
              <w:rPr>
                <w:sz w:val="20"/>
                <w:szCs w:val="20"/>
              </w:rPr>
            </w:pPr>
          </w:p>
        </w:tc>
        <w:tc>
          <w:tcPr>
            <w:tcW w:w="408" w:type="pct"/>
            <w:tcBorders>
              <w:top w:val="nil"/>
              <w:bottom w:val="nil"/>
            </w:tcBorders>
            <w:vAlign w:val="center"/>
          </w:tcPr>
          <w:p w14:paraId="3B4219BF" w14:textId="77777777" w:rsidR="0025223A" w:rsidRPr="004C78D8" w:rsidRDefault="0025223A" w:rsidP="00FB7C1F">
            <w:pPr>
              <w:jc w:val="center"/>
              <w:rPr>
                <w:sz w:val="20"/>
                <w:szCs w:val="20"/>
              </w:rPr>
            </w:pPr>
          </w:p>
        </w:tc>
        <w:tc>
          <w:tcPr>
            <w:tcW w:w="357" w:type="pct"/>
            <w:tcBorders>
              <w:top w:val="nil"/>
              <w:bottom w:val="nil"/>
            </w:tcBorders>
            <w:vAlign w:val="center"/>
          </w:tcPr>
          <w:p w14:paraId="71E28648" w14:textId="77777777" w:rsidR="0025223A" w:rsidRPr="004C78D8" w:rsidRDefault="0025223A" w:rsidP="00FB7C1F">
            <w:pPr>
              <w:jc w:val="center"/>
              <w:rPr>
                <w:sz w:val="20"/>
                <w:szCs w:val="20"/>
              </w:rPr>
            </w:pPr>
          </w:p>
        </w:tc>
        <w:tc>
          <w:tcPr>
            <w:tcW w:w="358" w:type="pct"/>
            <w:tcBorders>
              <w:top w:val="nil"/>
              <w:bottom w:val="nil"/>
            </w:tcBorders>
            <w:vAlign w:val="center"/>
          </w:tcPr>
          <w:p w14:paraId="1A466674" w14:textId="77777777" w:rsidR="0025223A" w:rsidRPr="004C78D8" w:rsidRDefault="0025223A" w:rsidP="00FB7C1F">
            <w:pPr>
              <w:jc w:val="center"/>
              <w:rPr>
                <w:sz w:val="20"/>
                <w:szCs w:val="20"/>
              </w:rPr>
            </w:pPr>
          </w:p>
        </w:tc>
        <w:tc>
          <w:tcPr>
            <w:tcW w:w="306" w:type="pct"/>
            <w:tcBorders>
              <w:top w:val="nil"/>
              <w:bottom w:val="nil"/>
            </w:tcBorders>
            <w:vAlign w:val="center"/>
          </w:tcPr>
          <w:p w14:paraId="19D53201" w14:textId="77777777" w:rsidR="0025223A" w:rsidRPr="004C78D8" w:rsidRDefault="0025223A" w:rsidP="00FB7C1F">
            <w:pPr>
              <w:jc w:val="center"/>
              <w:rPr>
                <w:sz w:val="18"/>
                <w:szCs w:val="18"/>
              </w:rPr>
            </w:pPr>
          </w:p>
        </w:tc>
        <w:tc>
          <w:tcPr>
            <w:tcW w:w="306" w:type="pct"/>
            <w:tcBorders>
              <w:top w:val="nil"/>
              <w:bottom w:val="nil"/>
            </w:tcBorders>
          </w:tcPr>
          <w:p w14:paraId="22EC1D3E" w14:textId="77777777" w:rsidR="0025223A" w:rsidRPr="004C78D8" w:rsidRDefault="0025223A" w:rsidP="00FB7C1F">
            <w:pPr>
              <w:jc w:val="center"/>
              <w:rPr>
                <w:sz w:val="18"/>
                <w:szCs w:val="18"/>
              </w:rPr>
            </w:pPr>
          </w:p>
        </w:tc>
        <w:tc>
          <w:tcPr>
            <w:tcW w:w="357" w:type="pct"/>
            <w:tcBorders>
              <w:top w:val="nil"/>
              <w:bottom w:val="nil"/>
            </w:tcBorders>
            <w:vAlign w:val="center"/>
          </w:tcPr>
          <w:p w14:paraId="572A94EF" w14:textId="77777777" w:rsidR="0025223A" w:rsidRPr="004C78D8" w:rsidRDefault="0025223A" w:rsidP="00FB7C1F">
            <w:pPr>
              <w:jc w:val="center"/>
              <w:rPr>
                <w:sz w:val="18"/>
                <w:szCs w:val="18"/>
              </w:rPr>
            </w:pPr>
          </w:p>
        </w:tc>
        <w:tc>
          <w:tcPr>
            <w:tcW w:w="357" w:type="pct"/>
            <w:tcBorders>
              <w:top w:val="nil"/>
              <w:bottom w:val="nil"/>
            </w:tcBorders>
            <w:vAlign w:val="center"/>
          </w:tcPr>
          <w:p w14:paraId="17A0849F" w14:textId="77777777" w:rsidR="0025223A" w:rsidRPr="004C78D8" w:rsidRDefault="0025223A" w:rsidP="00FB7C1F">
            <w:pPr>
              <w:jc w:val="center"/>
              <w:rPr>
                <w:sz w:val="18"/>
                <w:szCs w:val="18"/>
              </w:rPr>
            </w:pPr>
          </w:p>
        </w:tc>
        <w:tc>
          <w:tcPr>
            <w:tcW w:w="459" w:type="pct"/>
            <w:tcBorders>
              <w:top w:val="nil"/>
              <w:bottom w:val="nil"/>
            </w:tcBorders>
            <w:vAlign w:val="center"/>
          </w:tcPr>
          <w:p w14:paraId="040C7B8B" w14:textId="77777777" w:rsidR="0025223A" w:rsidRPr="004C78D8" w:rsidRDefault="0025223A" w:rsidP="00FB7C1F">
            <w:pPr>
              <w:jc w:val="center"/>
              <w:rPr>
                <w:sz w:val="18"/>
                <w:szCs w:val="18"/>
              </w:rPr>
            </w:pPr>
            <w:r w:rsidRPr="004C78D8">
              <w:rPr>
                <w:rFonts w:cs="Times New Roman"/>
                <w:sz w:val="28"/>
                <w:szCs w:val="28"/>
              </w:rPr>
              <w:t>˟</w:t>
            </w:r>
          </w:p>
        </w:tc>
        <w:tc>
          <w:tcPr>
            <w:tcW w:w="408" w:type="pct"/>
            <w:tcBorders>
              <w:top w:val="nil"/>
              <w:bottom w:val="nil"/>
            </w:tcBorders>
            <w:vAlign w:val="center"/>
          </w:tcPr>
          <w:p w14:paraId="6DEC2450" w14:textId="77777777" w:rsidR="0025223A" w:rsidRPr="004C78D8" w:rsidRDefault="0025223A" w:rsidP="00FB7C1F">
            <w:pPr>
              <w:jc w:val="center"/>
              <w:rPr>
                <w:sz w:val="18"/>
                <w:szCs w:val="18"/>
              </w:rPr>
            </w:pPr>
            <w:r w:rsidRPr="004C78D8">
              <w:rPr>
                <w:sz w:val="18"/>
                <w:szCs w:val="18"/>
              </w:rPr>
              <w:t>PP</w:t>
            </w:r>
          </w:p>
        </w:tc>
      </w:tr>
      <w:tr w:rsidR="0025223A" w:rsidRPr="004C78D8" w14:paraId="29CD6472" w14:textId="77777777" w:rsidTr="002828C1">
        <w:tc>
          <w:tcPr>
            <w:tcW w:w="662" w:type="pct"/>
          </w:tcPr>
          <w:p w14:paraId="272B8CAE" w14:textId="77777777" w:rsidR="0025223A" w:rsidRPr="004C78D8" w:rsidRDefault="0025223A" w:rsidP="00FB7C1F">
            <w:pPr>
              <w:jc w:val="left"/>
              <w:rPr>
                <w:sz w:val="18"/>
                <w:szCs w:val="18"/>
              </w:rPr>
            </w:pPr>
            <w:r w:rsidRPr="004C78D8">
              <w:rPr>
                <w:sz w:val="18"/>
                <w:szCs w:val="18"/>
              </w:rPr>
              <w:t>Moriarty (2019)</w:t>
            </w:r>
          </w:p>
        </w:tc>
        <w:tc>
          <w:tcPr>
            <w:tcW w:w="765" w:type="pct"/>
          </w:tcPr>
          <w:p w14:paraId="4CC0B3D8" w14:textId="77777777" w:rsidR="0025223A" w:rsidRPr="004C78D8" w:rsidRDefault="0025223A" w:rsidP="00FB7C1F">
            <w:pPr>
              <w:jc w:val="left"/>
              <w:rPr>
                <w:sz w:val="18"/>
                <w:szCs w:val="18"/>
              </w:rPr>
            </w:pPr>
            <w:r w:rsidRPr="004C78D8">
              <w:rPr>
                <w:sz w:val="18"/>
                <w:szCs w:val="18"/>
              </w:rPr>
              <w:t>Change in PIP benzodiazepine and PPI</w:t>
            </w:r>
          </w:p>
        </w:tc>
        <w:tc>
          <w:tcPr>
            <w:tcW w:w="255" w:type="pct"/>
            <w:tcBorders>
              <w:top w:val="nil"/>
              <w:bottom w:val="nil"/>
            </w:tcBorders>
            <w:vAlign w:val="center"/>
          </w:tcPr>
          <w:p w14:paraId="17C04DFF" w14:textId="77777777" w:rsidR="0025223A" w:rsidRPr="004C78D8" w:rsidRDefault="0025223A" w:rsidP="00FB7C1F">
            <w:pPr>
              <w:jc w:val="center"/>
              <w:rPr>
                <w:sz w:val="20"/>
                <w:szCs w:val="20"/>
              </w:rPr>
            </w:pPr>
          </w:p>
        </w:tc>
        <w:tc>
          <w:tcPr>
            <w:tcW w:w="408" w:type="pct"/>
            <w:tcBorders>
              <w:top w:val="nil"/>
              <w:bottom w:val="nil"/>
            </w:tcBorders>
            <w:vAlign w:val="center"/>
          </w:tcPr>
          <w:p w14:paraId="477CF206" w14:textId="77777777" w:rsidR="0025223A" w:rsidRPr="004C78D8" w:rsidRDefault="0025223A" w:rsidP="00FB7C1F">
            <w:pPr>
              <w:jc w:val="center"/>
              <w:rPr>
                <w:sz w:val="20"/>
                <w:szCs w:val="20"/>
              </w:rPr>
            </w:pPr>
          </w:p>
        </w:tc>
        <w:tc>
          <w:tcPr>
            <w:tcW w:w="357" w:type="pct"/>
            <w:tcBorders>
              <w:top w:val="nil"/>
              <w:bottom w:val="nil"/>
            </w:tcBorders>
            <w:vAlign w:val="center"/>
          </w:tcPr>
          <w:p w14:paraId="1F5DA779" w14:textId="77777777" w:rsidR="0025223A" w:rsidRPr="004C78D8" w:rsidRDefault="0025223A" w:rsidP="00FB7C1F">
            <w:pPr>
              <w:jc w:val="center"/>
              <w:rPr>
                <w:sz w:val="20"/>
                <w:szCs w:val="20"/>
              </w:rPr>
            </w:pPr>
          </w:p>
        </w:tc>
        <w:tc>
          <w:tcPr>
            <w:tcW w:w="358" w:type="pct"/>
            <w:tcBorders>
              <w:top w:val="nil"/>
              <w:bottom w:val="nil"/>
            </w:tcBorders>
            <w:vAlign w:val="center"/>
          </w:tcPr>
          <w:p w14:paraId="66EE97E2" w14:textId="77777777" w:rsidR="0025223A" w:rsidRPr="004C78D8" w:rsidRDefault="0025223A" w:rsidP="00FB7C1F">
            <w:pPr>
              <w:jc w:val="center"/>
              <w:rPr>
                <w:sz w:val="20"/>
                <w:szCs w:val="20"/>
              </w:rPr>
            </w:pPr>
          </w:p>
        </w:tc>
        <w:tc>
          <w:tcPr>
            <w:tcW w:w="306" w:type="pct"/>
            <w:tcBorders>
              <w:top w:val="nil"/>
              <w:bottom w:val="nil"/>
            </w:tcBorders>
            <w:vAlign w:val="center"/>
          </w:tcPr>
          <w:p w14:paraId="6A45AB84" w14:textId="77777777" w:rsidR="0025223A" w:rsidRPr="004C78D8" w:rsidRDefault="0025223A" w:rsidP="00FB7C1F">
            <w:pPr>
              <w:jc w:val="center"/>
              <w:rPr>
                <w:sz w:val="18"/>
                <w:szCs w:val="18"/>
              </w:rPr>
            </w:pPr>
            <w:r w:rsidRPr="004C78D8">
              <w:rPr>
                <w:rFonts w:cs="Times New Roman"/>
                <w:sz w:val="28"/>
                <w:szCs w:val="28"/>
              </w:rPr>
              <w:t>˟</w:t>
            </w:r>
          </w:p>
        </w:tc>
        <w:tc>
          <w:tcPr>
            <w:tcW w:w="306" w:type="pct"/>
            <w:tcBorders>
              <w:top w:val="nil"/>
              <w:bottom w:val="nil"/>
            </w:tcBorders>
          </w:tcPr>
          <w:p w14:paraId="0DD1CECF" w14:textId="77777777" w:rsidR="0025223A" w:rsidRPr="004C78D8" w:rsidRDefault="0025223A" w:rsidP="00FB7C1F">
            <w:pPr>
              <w:jc w:val="center"/>
              <w:rPr>
                <w:sz w:val="18"/>
                <w:szCs w:val="18"/>
              </w:rPr>
            </w:pPr>
          </w:p>
        </w:tc>
        <w:tc>
          <w:tcPr>
            <w:tcW w:w="357" w:type="pct"/>
            <w:tcBorders>
              <w:top w:val="nil"/>
              <w:bottom w:val="nil"/>
            </w:tcBorders>
            <w:vAlign w:val="center"/>
          </w:tcPr>
          <w:p w14:paraId="44F7853C" w14:textId="77777777" w:rsidR="0025223A" w:rsidRPr="004C78D8" w:rsidRDefault="0025223A" w:rsidP="00FB7C1F">
            <w:pPr>
              <w:jc w:val="center"/>
              <w:rPr>
                <w:sz w:val="18"/>
                <w:szCs w:val="18"/>
              </w:rPr>
            </w:pPr>
          </w:p>
        </w:tc>
        <w:tc>
          <w:tcPr>
            <w:tcW w:w="357" w:type="pct"/>
            <w:tcBorders>
              <w:top w:val="nil"/>
              <w:bottom w:val="nil"/>
            </w:tcBorders>
            <w:vAlign w:val="center"/>
          </w:tcPr>
          <w:p w14:paraId="66BF24D0" w14:textId="77777777" w:rsidR="0025223A" w:rsidRPr="004C78D8" w:rsidRDefault="0025223A" w:rsidP="00FB7C1F">
            <w:pPr>
              <w:jc w:val="center"/>
              <w:rPr>
                <w:sz w:val="18"/>
                <w:szCs w:val="18"/>
              </w:rPr>
            </w:pPr>
          </w:p>
        </w:tc>
        <w:tc>
          <w:tcPr>
            <w:tcW w:w="459" w:type="pct"/>
            <w:tcBorders>
              <w:top w:val="nil"/>
              <w:bottom w:val="nil"/>
            </w:tcBorders>
            <w:vAlign w:val="center"/>
          </w:tcPr>
          <w:p w14:paraId="4DF42D7B" w14:textId="77777777" w:rsidR="0025223A" w:rsidRPr="004C78D8" w:rsidRDefault="0025223A" w:rsidP="00FB7C1F">
            <w:pPr>
              <w:jc w:val="center"/>
              <w:rPr>
                <w:sz w:val="18"/>
                <w:szCs w:val="18"/>
              </w:rPr>
            </w:pPr>
            <w:r w:rsidRPr="004C78D8">
              <w:rPr>
                <w:rFonts w:cs="Times New Roman"/>
                <w:sz w:val="28"/>
                <w:szCs w:val="28"/>
              </w:rPr>
              <w:t>˟</w:t>
            </w:r>
          </w:p>
        </w:tc>
        <w:tc>
          <w:tcPr>
            <w:tcW w:w="408" w:type="pct"/>
            <w:tcBorders>
              <w:top w:val="nil"/>
              <w:bottom w:val="nil"/>
            </w:tcBorders>
            <w:vAlign w:val="center"/>
          </w:tcPr>
          <w:p w14:paraId="2B81B36F" w14:textId="77777777" w:rsidR="0025223A" w:rsidRPr="004C78D8" w:rsidRDefault="0025223A" w:rsidP="00FB7C1F">
            <w:pPr>
              <w:jc w:val="center"/>
              <w:rPr>
                <w:sz w:val="18"/>
                <w:szCs w:val="18"/>
              </w:rPr>
            </w:pPr>
            <w:r w:rsidRPr="004C78D8">
              <w:rPr>
                <w:sz w:val="18"/>
                <w:szCs w:val="18"/>
              </w:rPr>
              <w:t>PP</w:t>
            </w:r>
          </w:p>
        </w:tc>
      </w:tr>
      <w:tr w:rsidR="0025223A" w:rsidRPr="004C78D8" w14:paraId="06985765" w14:textId="77777777" w:rsidTr="002828C1">
        <w:tc>
          <w:tcPr>
            <w:tcW w:w="662" w:type="pct"/>
          </w:tcPr>
          <w:p w14:paraId="479328F4" w14:textId="77777777" w:rsidR="0025223A" w:rsidRPr="004C78D8" w:rsidRDefault="0025223A" w:rsidP="00FB7C1F">
            <w:pPr>
              <w:jc w:val="left"/>
              <w:rPr>
                <w:sz w:val="18"/>
                <w:szCs w:val="18"/>
              </w:rPr>
            </w:pPr>
            <w:r w:rsidRPr="004C78D8">
              <w:rPr>
                <w:sz w:val="18"/>
                <w:szCs w:val="18"/>
              </w:rPr>
              <w:t>OMAS (2008)</w:t>
            </w:r>
          </w:p>
        </w:tc>
        <w:tc>
          <w:tcPr>
            <w:tcW w:w="765" w:type="pct"/>
          </w:tcPr>
          <w:p w14:paraId="7396F3AD" w14:textId="77777777" w:rsidR="0025223A" w:rsidRPr="004C78D8" w:rsidRDefault="0025223A" w:rsidP="00FB7C1F">
            <w:pPr>
              <w:jc w:val="left"/>
              <w:rPr>
                <w:sz w:val="18"/>
                <w:szCs w:val="18"/>
              </w:rPr>
            </w:pPr>
            <w:r w:rsidRPr="004C78D8">
              <w:rPr>
                <w:sz w:val="18"/>
                <w:szCs w:val="18"/>
              </w:rPr>
              <w:t>Psychotropic withdrawal</w:t>
            </w:r>
          </w:p>
        </w:tc>
        <w:tc>
          <w:tcPr>
            <w:tcW w:w="255" w:type="pct"/>
            <w:tcBorders>
              <w:top w:val="nil"/>
              <w:bottom w:val="nil"/>
            </w:tcBorders>
            <w:vAlign w:val="center"/>
          </w:tcPr>
          <w:p w14:paraId="010F284A" w14:textId="77777777" w:rsidR="0025223A" w:rsidRPr="004C78D8" w:rsidRDefault="0025223A" w:rsidP="00FB7C1F">
            <w:pPr>
              <w:jc w:val="center"/>
              <w:rPr>
                <w:sz w:val="20"/>
                <w:szCs w:val="20"/>
              </w:rPr>
            </w:pPr>
          </w:p>
        </w:tc>
        <w:tc>
          <w:tcPr>
            <w:tcW w:w="408" w:type="pct"/>
            <w:tcBorders>
              <w:top w:val="nil"/>
              <w:bottom w:val="nil"/>
            </w:tcBorders>
            <w:vAlign w:val="center"/>
          </w:tcPr>
          <w:p w14:paraId="3D895CD9" w14:textId="77777777" w:rsidR="0025223A" w:rsidRPr="004C78D8" w:rsidRDefault="0025223A" w:rsidP="00FB7C1F">
            <w:pPr>
              <w:jc w:val="center"/>
              <w:rPr>
                <w:sz w:val="20"/>
                <w:szCs w:val="20"/>
              </w:rPr>
            </w:pPr>
          </w:p>
        </w:tc>
        <w:tc>
          <w:tcPr>
            <w:tcW w:w="357" w:type="pct"/>
            <w:tcBorders>
              <w:top w:val="nil"/>
              <w:bottom w:val="nil"/>
            </w:tcBorders>
            <w:vAlign w:val="center"/>
          </w:tcPr>
          <w:p w14:paraId="59BBD2FD" w14:textId="77777777" w:rsidR="0025223A" w:rsidRPr="004C78D8" w:rsidRDefault="0025223A" w:rsidP="00FB7C1F">
            <w:pPr>
              <w:jc w:val="center"/>
              <w:rPr>
                <w:sz w:val="20"/>
                <w:szCs w:val="20"/>
              </w:rPr>
            </w:pPr>
          </w:p>
        </w:tc>
        <w:tc>
          <w:tcPr>
            <w:tcW w:w="358" w:type="pct"/>
            <w:tcBorders>
              <w:top w:val="nil"/>
              <w:bottom w:val="nil"/>
            </w:tcBorders>
            <w:vAlign w:val="center"/>
          </w:tcPr>
          <w:p w14:paraId="159A1745" w14:textId="77777777" w:rsidR="0025223A" w:rsidRPr="004C78D8" w:rsidRDefault="0025223A" w:rsidP="00FB7C1F">
            <w:pPr>
              <w:jc w:val="center"/>
              <w:rPr>
                <w:sz w:val="20"/>
                <w:szCs w:val="20"/>
              </w:rPr>
            </w:pPr>
          </w:p>
        </w:tc>
        <w:tc>
          <w:tcPr>
            <w:tcW w:w="306" w:type="pct"/>
            <w:tcBorders>
              <w:top w:val="nil"/>
              <w:bottom w:val="nil"/>
            </w:tcBorders>
            <w:vAlign w:val="center"/>
          </w:tcPr>
          <w:p w14:paraId="537B5FFF" w14:textId="77777777" w:rsidR="0025223A" w:rsidRPr="004C78D8" w:rsidRDefault="0025223A" w:rsidP="00FB7C1F">
            <w:pPr>
              <w:jc w:val="center"/>
              <w:rPr>
                <w:sz w:val="18"/>
                <w:szCs w:val="18"/>
              </w:rPr>
            </w:pPr>
            <w:r w:rsidRPr="004C78D8">
              <w:rPr>
                <w:rFonts w:cs="Times New Roman"/>
                <w:sz w:val="28"/>
                <w:szCs w:val="28"/>
              </w:rPr>
              <w:t>˟</w:t>
            </w:r>
          </w:p>
        </w:tc>
        <w:tc>
          <w:tcPr>
            <w:tcW w:w="306" w:type="pct"/>
            <w:tcBorders>
              <w:top w:val="nil"/>
              <w:bottom w:val="nil"/>
            </w:tcBorders>
          </w:tcPr>
          <w:p w14:paraId="3F1EA0BD" w14:textId="77777777" w:rsidR="0025223A" w:rsidRPr="004C78D8" w:rsidRDefault="0025223A" w:rsidP="00FB7C1F">
            <w:pPr>
              <w:jc w:val="center"/>
              <w:rPr>
                <w:sz w:val="18"/>
                <w:szCs w:val="18"/>
              </w:rPr>
            </w:pPr>
          </w:p>
        </w:tc>
        <w:tc>
          <w:tcPr>
            <w:tcW w:w="357" w:type="pct"/>
            <w:tcBorders>
              <w:top w:val="nil"/>
              <w:bottom w:val="nil"/>
            </w:tcBorders>
            <w:vAlign w:val="center"/>
          </w:tcPr>
          <w:p w14:paraId="15094A1B" w14:textId="77777777" w:rsidR="0025223A" w:rsidRPr="004C78D8" w:rsidRDefault="0025223A" w:rsidP="00FB7C1F">
            <w:pPr>
              <w:jc w:val="center"/>
              <w:rPr>
                <w:sz w:val="18"/>
                <w:szCs w:val="18"/>
              </w:rPr>
            </w:pPr>
          </w:p>
        </w:tc>
        <w:tc>
          <w:tcPr>
            <w:tcW w:w="357" w:type="pct"/>
            <w:tcBorders>
              <w:top w:val="nil"/>
              <w:bottom w:val="nil"/>
            </w:tcBorders>
            <w:vAlign w:val="center"/>
          </w:tcPr>
          <w:p w14:paraId="206CA050" w14:textId="77777777" w:rsidR="0025223A" w:rsidRPr="004C78D8" w:rsidRDefault="0025223A" w:rsidP="00FB7C1F">
            <w:pPr>
              <w:jc w:val="center"/>
              <w:rPr>
                <w:sz w:val="18"/>
                <w:szCs w:val="18"/>
              </w:rPr>
            </w:pPr>
          </w:p>
        </w:tc>
        <w:tc>
          <w:tcPr>
            <w:tcW w:w="459" w:type="pct"/>
            <w:tcBorders>
              <w:top w:val="nil"/>
              <w:bottom w:val="nil"/>
            </w:tcBorders>
            <w:vAlign w:val="center"/>
          </w:tcPr>
          <w:p w14:paraId="024EE0E0" w14:textId="77777777" w:rsidR="0025223A" w:rsidRPr="004C78D8" w:rsidRDefault="0025223A" w:rsidP="00FB7C1F">
            <w:pPr>
              <w:jc w:val="center"/>
              <w:rPr>
                <w:sz w:val="18"/>
                <w:szCs w:val="18"/>
              </w:rPr>
            </w:pPr>
            <w:r w:rsidRPr="004C78D8">
              <w:rPr>
                <w:sz w:val="18"/>
                <w:szCs w:val="18"/>
              </w:rPr>
              <w:t>Not specified</w:t>
            </w:r>
          </w:p>
        </w:tc>
        <w:tc>
          <w:tcPr>
            <w:tcW w:w="408" w:type="pct"/>
            <w:tcBorders>
              <w:top w:val="nil"/>
              <w:bottom w:val="nil"/>
            </w:tcBorders>
            <w:vAlign w:val="center"/>
          </w:tcPr>
          <w:p w14:paraId="2715B39D" w14:textId="77777777" w:rsidR="0025223A" w:rsidRPr="004C78D8" w:rsidRDefault="0025223A" w:rsidP="00FB7C1F">
            <w:pPr>
              <w:jc w:val="center"/>
              <w:rPr>
                <w:sz w:val="18"/>
                <w:szCs w:val="18"/>
              </w:rPr>
            </w:pPr>
            <w:r w:rsidRPr="004C78D8">
              <w:rPr>
                <w:sz w:val="18"/>
                <w:szCs w:val="18"/>
              </w:rPr>
              <w:t>PP</w:t>
            </w:r>
          </w:p>
        </w:tc>
      </w:tr>
      <w:tr w:rsidR="0025223A" w:rsidRPr="004C78D8" w14:paraId="15FE40D9" w14:textId="77777777" w:rsidTr="002828C1">
        <w:tc>
          <w:tcPr>
            <w:tcW w:w="662" w:type="pct"/>
          </w:tcPr>
          <w:p w14:paraId="1D5D8181" w14:textId="77777777" w:rsidR="0025223A" w:rsidRPr="004C78D8" w:rsidRDefault="0025223A" w:rsidP="00FB7C1F">
            <w:pPr>
              <w:jc w:val="left"/>
              <w:rPr>
                <w:sz w:val="18"/>
                <w:szCs w:val="18"/>
              </w:rPr>
            </w:pPr>
            <w:r w:rsidRPr="004C78D8">
              <w:rPr>
                <w:sz w:val="18"/>
                <w:szCs w:val="18"/>
              </w:rPr>
              <w:t>Tannenbaum (2015)</w:t>
            </w:r>
          </w:p>
        </w:tc>
        <w:tc>
          <w:tcPr>
            <w:tcW w:w="765" w:type="pct"/>
          </w:tcPr>
          <w:p w14:paraId="273DF41A" w14:textId="77777777" w:rsidR="0025223A" w:rsidRPr="004C78D8" w:rsidRDefault="0025223A" w:rsidP="00FB7C1F">
            <w:pPr>
              <w:jc w:val="left"/>
              <w:rPr>
                <w:sz w:val="18"/>
                <w:szCs w:val="18"/>
              </w:rPr>
            </w:pPr>
            <w:r w:rsidRPr="004C78D8">
              <w:rPr>
                <w:sz w:val="18"/>
                <w:szCs w:val="18"/>
              </w:rPr>
              <w:t>FRS and insomnia drug vs. CBT</w:t>
            </w:r>
          </w:p>
        </w:tc>
        <w:tc>
          <w:tcPr>
            <w:tcW w:w="255" w:type="pct"/>
            <w:tcBorders>
              <w:top w:val="nil"/>
              <w:bottom w:val="nil"/>
            </w:tcBorders>
            <w:vAlign w:val="center"/>
          </w:tcPr>
          <w:p w14:paraId="0ECA52CE" w14:textId="77777777" w:rsidR="0025223A" w:rsidRPr="004C78D8" w:rsidRDefault="0025223A" w:rsidP="00FB7C1F">
            <w:pPr>
              <w:jc w:val="center"/>
              <w:rPr>
                <w:sz w:val="20"/>
                <w:szCs w:val="20"/>
              </w:rPr>
            </w:pPr>
          </w:p>
        </w:tc>
        <w:tc>
          <w:tcPr>
            <w:tcW w:w="408" w:type="pct"/>
            <w:tcBorders>
              <w:top w:val="nil"/>
              <w:bottom w:val="nil"/>
            </w:tcBorders>
            <w:vAlign w:val="center"/>
          </w:tcPr>
          <w:p w14:paraId="02D755A6" w14:textId="77777777" w:rsidR="0025223A" w:rsidRPr="004C78D8" w:rsidRDefault="0025223A" w:rsidP="00FB7C1F">
            <w:pPr>
              <w:jc w:val="center"/>
              <w:rPr>
                <w:sz w:val="20"/>
                <w:szCs w:val="20"/>
              </w:rPr>
            </w:pPr>
          </w:p>
        </w:tc>
        <w:tc>
          <w:tcPr>
            <w:tcW w:w="357" w:type="pct"/>
            <w:tcBorders>
              <w:top w:val="nil"/>
              <w:bottom w:val="nil"/>
            </w:tcBorders>
            <w:vAlign w:val="center"/>
          </w:tcPr>
          <w:p w14:paraId="19FD663F" w14:textId="77777777" w:rsidR="0025223A" w:rsidRPr="004C78D8" w:rsidRDefault="0025223A" w:rsidP="00FB7C1F">
            <w:pPr>
              <w:jc w:val="center"/>
              <w:rPr>
                <w:sz w:val="20"/>
                <w:szCs w:val="20"/>
              </w:rPr>
            </w:pPr>
            <w:r w:rsidRPr="004C78D8">
              <w:rPr>
                <w:rFonts w:cs="Times New Roman"/>
                <w:sz w:val="28"/>
                <w:szCs w:val="28"/>
              </w:rPr>
              <w:t>˟</w:t>
            </w:r>
          </w:p>
        </w:tc>
        <w:tc>
          <w:tcPr>
            <w:tcW w:w="358" w:type="pct"/>
            <w:tcBorders>
              <w:top w:val="nil"/>
              <w:bottom w:val="nil"/>
            </w:tcBorders>
            <w:vAlign w:val="center"/>
          </w:tcPr>
          <w:p w14:paraId="2948476C" w14:textId="77777777" w:rsidR="0025223A" w:rsidRPr="004C78D8" w:rsidRDefault="0025223A" w:rsidP="00FB7C1F">
            <w:pPr>
              <w:jc w:val="center"/>
              <w:rPr>
                <w:sz w:val="20"/>
                <w:szCs w:val="20"/>
              </w:rPr>
            </w:pPr>
          </w:p>
        </w:tc>
        <w:tc>
          <w:tcPr>
            <w:tcW w:w="306" w:type="pct"/>
            <w:tcBorders>
              <w:top w:val="nil"/>
              <w:bottom w:val="nil"/>
            </w:tcBorders>
            <w:vAlign w:val="center"/>
          </w:tcPr>
          <w:p w14:paraId="54E8BE1E" w14:textId="77777777" w:rsidR="0025223A" w:rsidRPr="004C78D8" w:rsidRDefault="0025223A" w:rsidP="00FB7C1F">
            <w:pPr>
              <w:jc w:val="center"/>
              <w:rPr>
                <w:sz w:val="18"/>
                <w:szCs w:val="18"/>
              </w:rPr>
            </w:pPr>
          </w:p>
        </w:tc>
        <w:tc>
          <w:tcPr>
            <w:tcW w:w="306" w:type="pct"/>
            <w:tcBorders>
              <w:top w:val="nil"/>
              <w:bottom w:val="nil"/>
            </w:tcBorders>
          </w:tcPr>
          <w:p w14:paraId="7FD27477" w14:textId="77777777" w:rsidR="0025223A" w:rsidRPr="004C78D8" w:rsidRDefault="0025223A" w:rsidP="00FB7C1F">
            <w:pPr>
              <w:jc w:val="center"/>
              <w:rPr>
                <w:sz w:val="18"/>
                <w:szCs w:val="18"/>
              </w:rPr>
            </w:pPr>
          </w:p>
        </w:tc>
        <w:tc>
          <w:tcPr>
            <w:tcW w:w="357" w:type="pct"/>
            <w:tcBorders>
              <w:top w:val="nil"/>
              <w:bottom w:val="nil"/>
            </w:tcBorders>
            <w:vAlign w:val="center"/>
          </w:tcPr>
          <w:p w14:paraId="47CAE4D4" w14:textId="77777777" w:rsidR="0025223A" w:rsidRPr="004C78D8" w:rsidRDefault="0025223A" w:rsidP="00FB7C1F">
            <w:pPr>
              <w:jc w:val="center"/>
              <w:rPr>
                <w:sz w:val="18"/>
                <w:szCs w:val="18"/>
              </w:rPr>
            </w:pPr>
          </w:p>
        </w:tc>
        <w:tc>
          <w:tcPr>
            <w:tcW w:w="357" w:type="pct"/>
            <w:tcBorders>
              <w:top w:val="nil"/>
              <w:bottom w:val="nil"/>
            </w:tcBorders>
            <w:vAlign w:val="center"/>
          </w:tcPr>
          <w:p w14:paraId="4DB96C8F" w14:textId="77777777" w:rsidR="0025223A" w:rsidRPr="004C78D8" w:rsidRDefault="0025223A" w:rsidP="00FB7C1F">
            <w:pPr>
              <w:jc w:val="center"/>
              <w:rPr>
                <w:sz w:val="18"/>
                <w:szCs w:val="18"/>
              </w:rPr>
            </w:pPr>
          </w:p>
        </w:tc>
        <w:tc>
          <w:tcPr>
            <w:tcW w:w="459" w:type="pct"/>
            <w:tcBorders>
              <w:top w:val="nil"/>
              <w:bottom w:val="nil"/>
            </w:tcBorders>
            <w:vAlign w:val="center"/>
          </w:tcPr>
          <w:p w14:paraId="5D869818" w14:textId="77777777" w:rsidR="0025223A" w:rsidRPr="004C78D8" w:rsidRDefault="0025223A" w:rsidP="00FB7C1F">
            <w:pPr>
              <w:jc w:val="center"/>
              <w:rPr>
                <w:sz w:val="28"/>
                <w:szCs w:val="28"/>
              </w:rPr>
            </w:pPr>
            <w:r w:rsidRPr="004C78D8">
              <w:rPr>
                <w:rFonts w:cs="Times New Roman"/>
                <w:sz w:val="28"/>
                <w:szCs w:val="28"/>
              </w:rPr>
              <w:t>˟</w:t>
            </w:r>
          </w:p>
        </w:tc>
        <w:tc>
          <w:tcPr>
            <w:tcW w:w="408" w:type="pct"/>
            <w:tcBorders>
              <w:top w:val="nil"/>
              <w:bottom w:val="nil"/>
            </w:tcBorders>
            <w:vAlign w:val="center"/>
          </w:tcPr>
          <w:p w14:paraId="0F85AB03" w14:textId="77777777" w:rsidR="0025223A" w:rsidRPr="004C78D8" w:rsidRDefault="0025223A" w:rsidP="00FB7C1F">
            <w:pPr>
              <w:jc w:val="center"/>
              <w:rPr>
                <w:sz w:val="18"/>
                <w:szCs w:val="18"/>
              </w:rPr>
            </w:pPr>
            <w:r w:rsidRPr="004C78D8">
              <w:rPr>
                <w:sz w:val="18"/>
                <w:szCs w:val="18"/>
              </w:rPr>
              <w:t>PP</w:t>
            </w:r>
          </w:p>
        </w:tc>
      </w:tr>
      <w:tr w:rsidR="0025223A" w:rsidRPr="004C78D8" w14:paraId="1F0AF74D" w14:textId="77777777" w:rsidTr="002828C1">
        <w:tc>
          <w:tcPr>
            <w:tcW w:w="662" w:type="pct"/>
          </w:tcPr>
          <w:p w14:paraId="560A857E" w14:textId="77777777" w:rsidR="0025223A" w:rsidRPr="004C78D8" w:rsidRDefault="0025223A" w:rsidP="00FB7C1F">
            <w:pPr>
              <w:jc w:val="left"/>
              <w:rPr>
                <w:sz w:val="18"/>
                <w:szCs w:val="18"/>
                <w:lang w:val="it-IT"/>
              </w:rPr>
            </w:pPr>
            <w:r w:rsidRPr="004C78D8">
              <w:rPr>
                <w:sz w:val="18"/>
                <w:szCs w:val="18"/>
                <w:lang w:val="it-IT"/>
              </w:rPr>
              <w:t>Turner (2020)</w:t>
            </w:r>
          </w:p>
        </w:tc>
        <w:tc>
          <w:tcPr>
            <w:tcW w:w="765" w:type="pct"/>
          </w:tcPr>
          <w:p w14:paraId="6CB0299B" w14:textId="77777777" w:rsidR="0025223A" w:rsidRPr="004C78D8" w:rsidRDefault="0025223A" w:rsidP="00FB7C1F">
            <w:pPr>
              <w:jc w:val="left"/>
              <w:rPr>
                <w:sz w:val="18"/>
                <w:szCs w:val="18"/>
              </w:rPr>
            </w:pPr>
            <w:r w:rsidRPr="004C78D8">
              <w:rPr>
                <w:sz w:val="18"/>
                <w:szCs w:val="18"/>
              </w:rPr>
              <w:t>Sedatives withdrawal</w:t>
            </w:r>
          </w:p>
        </w:tc>
        <w:tc>
          <w:tcPr>
            <w:tcW w:w="255" w:type="pct"/>
            <w:tcBorders>
              <w:top w:val="nil"/>
              <w:bottom w:val="nil"/>
            </w:tcBorders>
            <w:vAlign w:val="center"/>
          </w:tcPr>
          <w:p w14:paraId="3D3922A9" w14:textId="77777777" w:rsidR="0025223A" w:rsidRPr="004C78D8" w:rsidRDefault="0025223A" w:rsidP="00FB7C1F">
            <w:pPr>
              <w:jc w:val="center"/>
              <w:rPr>
                <w:sz w:val="20"/>
                <w:szCs w:val="20"/>
              </w:rPr>
            </w:pPr>
          </w:p>
        </w:tc>
        <w:tc>
          <w:tcPr>
            <w:tcW w:w="408" w:type="pct"/>
            <w:tcBorders>
              <w:top w:val="nil"/>
              <w:bottom w:val="nil"/>
            </w:tcBorders>
            <w:vAlign w:val="center"/>
          </w:tcPr>
          <w:p w14:paraId="53F370E7" w14:textId="77777777" w:rsidR="0025223A" w:rsidRPr="004C78D8" w:rsidRDefault="0025223A" w:rsidP="00FB7C1F">
            <w:pPr>
              <w:jc w:val="center"/>
              <w:rPr>
                <w:sz w:val="20"/>
                <w:szCs w:val="20"/>
              </w:rPr>
            </w:pPr>
          </w:p>
        </w:tc>
        <w:tc>
          <w:tcPr>
            <w:tcW w:w="357" w:type="pct"/>
            <w:tcBorders>
              <w:top w:val="nil"/>
              <w:bottom w:val="nil"/>
            </w:tcBorders>
            <w:vAlign w:val="center"/>
          </w:tcPr>
          <w:p w14:paraId="3D3F4102" w14:textId="77777777" w:rsidR="0025223A" w:rsidRPr="004C78D8" w:rsidRDefault="0025223A" w:rsidP="00FB7C1F">
            <w:pPr>
              <w:jc w:val="center"/>
              <w:rPr>
                <w:sz w:val="20"/>
                <w:szCs w:val="20"/>
              </w:rPr>
            </w:pPr>
            <w:r w:rsidRPr="004C78D8">
              <w:rPr>
                <w:rFonts w:cs="Times New Roman"/>
                <w:sz w:val="28"/>
                <w:szCs w:val="28"/>
              </w:rPr>
              <w:t>˟</w:t>
            </w:r>
          </w:p>
        </w:tc>
        <w:tc>
          <w:tcPr>
            <w:tcW w:w="358" w:type="pct"/>
            <w:tcBorders>
              <w:top w:val="nil"/>
              <w:bottom w:val="nil"/>
            </w:tcBorders>
            <w:vAlign w:val="center"/>
          </w:tcPr>
          <w:p w14:paraId="3EADC391" w14:textId="77777777" w:rsidR="0025223A" w:rsidRPr="004C78D8" w:rsidRDefault="0025223A" w:rsidP="00FB7C1F">
            <w:pPr>
              <w:jc w:val="center"/>
              <w:rPr>
                <w:sz w:val="20"/>
                <w:szCs w:val="20"/>
              </w:rPr>
            </w:pPr>
          </w:p>
        </w:tc>
        <w:tc>
          <w:tcPr>
            <w:tcW w:w="306" w:type="pct"/>
            <w:tcBorders>
              <w:top w:val="nil"/>
              <w:bottom w:val="nil"/>
            </w:tcBorders>
            <w:vAlign w:val="center"/>
          </w:tcPr>
          <w:p w14:paraId="2B346359" w14:textId="77777777" w:rsidR="0025223A" w:rsidRPr="004C78D8" w:rsidRDefault="0025223A" w:rsidP="00FB7C1F">
            <w:pPr>
              <w:jc w:val="center"/>
              <w:rPr>
                <w:sz w:val="20"/>
                <w:szCs w:val="20"/>
              </w:rPr>
            </w:pPr>
            <w:r w:rsidRPr="004C78D8">
              <w:rPr>
                <w:rFonts w:cs="Times New Roman"/>
                <w:sz w:val="28"/>
                <w:szCs w:val="28"/>
              </w:rPr>
              <w:t>˟</w:t>
            </w:r>
          </w:p>
        </w:tc>
        <w:tc>
          <w:tcPr>
            <w:tcW w:w="306" w:type="pct"/>
            <w:tcBorders>
              <w:top w:val="nil"/>
              <w:bottom w:val="nil"/>
            </w:tcBorders>
          </w:tcPr>
          <w:p w14:paraId="13D426B9" w14:textId="77777777" w:rsidR="0025223A" w:rsidRPr="004C78D8" w:rsidRDefault="0025223A" w:rsidP="00FB7C1F">
            <w:pPr>
              <w:jc w:val="center"/>
              <w:rPr>
                <w:sz w:val="20"/>
                <w:szCs w:val="20"/>
              </w:rPr>
            </w:pPr>
          </w:p>
        </w:tc>
        <w:tc>
          <w:tcPr>
            <w:tcW w:w="357" w:type="pct"/>
            <w:tcBorders>
              <w:top w:val="nil"/>
              <w:bottom w:val="nil"/>
            </w:tcBorders>
            <w:vAlign w:val="center"/>
          </w:tcPr>
          <w:p w14:paraId="4CDE556F" w14:textId="77777777" w:rsidR="0025223A" w:rsidRPr="004C78D8" w:rsidRDefault="0025223A" w:rsidP="00FB7C1F">
            <w:pPr>
              <w:jc w:val="center"/>
              <w:rPr>
                <w:sz w:val="20"/>
                <w:szCs w:val="20"/>
              </w:rPr>
            </w:pPr>
          </w:p>
        </w:tc>
        <w:tc>
          <w:tcPr>
            <w:tcW w:w="357" w:type="pct"/>
            <w:tcBorders>
              <w:top w:val="nil"/>
              <w:bottom w:val="nil"/>
            </w:tcBorders>
            <w:vAlign w:val="center"/>
          </w:tcPr>
          <w:p w14:paraId="08804F15" w14:textId="77777777" w:rsidR="0025223A" w:rsidRPr="004C78D8" w:rsidRDefault="0025223A" w:rsidP="00FB7C1F">
            <w:pPr>
              <w:jc w:val="center"/>
              <w:rPr>
                <w:sz w:val="18"/>
                <w:szCs w:val="18"/>
              </w:rPr>
            </w:pPr>
          </w:p>
        </w:tc>
        <w:tc>
          <w:tcPr>
            <w:tcW w:w="459" w:type="pct"/>
            <w:tcBorders>
              <w:top w:val="nil"/>
              <w:bottom w:val="nil"/>
            </w:tcBorders>
            <w:vAlign w:val="center"/>
          </w:tcPr>
          <w:p w14:paraId="3D667E3E" w14:textId="77777777" w:rsidR="0025223A" w:rsidRPr="004C78D8" w:rsidRDefault="0025223A" w:rsidP="00FB7C1F">
            <w:pPr>
              <w:jc w:val="center"/>
              <w:rPr>
                <w:sz w:val="28"/>
                <w:szCs w:val="28"/>
              </w:rPr>
            </w:pPr>
            <w:r w:rsidRPr="004C78D8">
              <w:rPr>
                <w:rFonts w:cs="Times New Roman"/>
                <w:sz w:val="28"/>
                <w:szCs w:val="28"/>
              </w:rPr>
              <w:t>˟</w:t>
            </w:r>
          </w:p>
        </w:tc>
        <w:tc>
          <w:tcPr>
            <w:tcW w:w="408" w:type="pct"/>
            <w:tcBorders>
              <w:top w:val="nil"/>
              <w:bottom w:val="nil"/>
            </w:tcBorders>
            <w:vAlign w:val="center"/>
          </w:tcPr>
          <w:p w14:paraId="2005F168" w14:textId="77777777" w:rsidR="0025223A" w:rsidRPr="004C78D8" w:rsidRDefault="0025223A" w:rsidP="00FB7C1F">
            <w:pPr>
              <w:jc w:val="center"/>
              <w:rPr>
                <w:sz w:val="18"/>
                <w:szCs w:val="18"/>
              </w:rPr>
            </w:pPr>
            <w:r w:rsidRPr="004C78D8">
              <w:rPr>
                <w:sz w:val="18"/>
                <w:szCs w:val="18"/>
              </w:rPr>
              <w:t>PP</w:t>
            </w:r>
          </w:p>
        </w:tc>
      </w:tr>
      <w:tr w:rsidR="0025223A" w:rsidRPr="004C78D8" w14:paraId="2513FCEA" w14:textId="77777777" w:rsidTr="002828C1">
        <w:tc>
          <w:tcPr>
            <w:tcW w:w="662" w:type="pct"/>
          </w:tcPr>
          <w:p w14:paraId="02BE1A9F" w14:textId="77777777" w:rsidR="0025223A" w:rsidRPr="004C78D8" w:rsidRDefault="0025223A" w:rsidP="00FB7C1F">
            <w:pPr>
              <w:jc w:val="left"/>
              <w:rPr>
                <w:sz w:val="18"/>
                <w:szCs w:val="18"/>
              </w:rPr>
            </w:pPr>
            <w:r w:rsidRPr="004C78D8">
              <w:rPr>
                <w:sz w:val="18"/>
                <w:szCs w:val="18"/>
                <w:lang w:val="it-IT"/>
              </w:rPr>
              <w:t>Velde (2008)</w:t>
            </w:r>
          </w:p>
        </w:tc>
        <w:tc>
          <w:tcPr>
            <w:tcW w:w="765" w:type="pct"/>
          </w:tcPr>
          <w:p w14:paraId="520FEA7A" w14:textId="77777777" w:rsidR="0025223A" w:rsidRPr="004C78D8" w:rsidRDefault="0025223A" w:rsidP="00FB7C1F">
            <w:pPr>
              <w:jc w:val="left"/>
              <w:rPr>
                <w:sz w:val="18"/>
                <w:szCs w:val="18"/>
              </w:rPr>
            </w:pPr>
            <w:r w:rsidRPr="004C78D8">
              <w:rPr>
                <w:sz w:val="18"/>
                <w:szCs w:val="18"/>
              </w:rPr>
              <w:t>FRID withdrawal</w:t>
            </w:r>
          </w:p>
        </w:tc>
        <w:tc>
          <w:tcPr>
            <w:tcW w:w="255" w:type="pct"/>
            <w:tcBorders>
              <w:top w:val="nil"/>
            </w:tcBorders>
            <w:vAlign w:val="center"/>
          </w:tcPr>
          <w:p w14:paraId="47A32450" w14:textId="77777777" w:rsidR="0025223A" w:rsidRPr="004C78D8" w:rsidRDefault="0025223A" w:rsidP="00FB7C1F">
            <w:pPr>
              <w:jc w:val="center"/>
              <w:rPr>
                <w:sz w:val="20"/>
                <w:szCs w:val="20"/>
              </w:rPr>
            </w:pPr>
          </w:p>
        </w:tc>
        <w:tc>
          <w:tcPr>
            <w:tcW w:w="408" w:type="pct"/>
            <w:tcBorders>
              <w:top w:val="nil"/>
            </w:tcBorders>
            <w:vAlign w:val="center"/>
          </w:tcPr>
          <w:p w14:paraId="58B4E14F" w14:textId="77777777" w:rsidR="0025223A" w:rsidRPr="004C78D8" w:rsidRDefault="0025223A" w:rsidP="00FB7C1F">
            <w:pPr>
              <w:jc w:val="center"/>
              <w:rPr>
                <w:sz w:val="20"/>
                <w:szCs w:val="20"/>
              </w:rPr>
            </w:pPr>
          </w:p>
        </w:tc>
        <w:tc>
          <w:tcPr>
            <w:tcW w:w="357" w:type="pct"/>
            <w:tcBorders>
              <w:top w:val="nil"/>
            </w:tcBorders>
            <w:vAlign w:val="center"/>
          </w:tcPr>
          <w:p w14:paraId="2E348225" w14:textId="77777777" w:rsidR="0025223A" w:rsidRPr="004C78D8" w:rsidRDefault="0025223A" w:rsidP="00FB7C1F">
            <w:pPr>
              <w:jc w:val="center"/>
              <w:rPr>
                <w:sz w:val="20"/>
                <w:szCs w:val="20"/>
              </w:rPr>
            </w:pPr>
          </w:p>
        </w:tc>
        <w:tc>
          <w:tcPr>
            <w:tcW w:w="358" w:type="pct"/>
            <w:tcBorders>
              <w:top w:val="nil"/>
            </w:tcBorders>
            <w:vAlign w:val="center"/>
          </w:tcPr>
          <w:p w14:paraId="2F71953E" w14:textId="77777777" w:rsidR="0025223A" w:rsidRPr="004C78D8" w:rsidRDefault="0025223A" w:rsidP="00FB7C1F">
            <w:pPr>
              <w:jc w:val="center"/>
              <w:rPr>
                <w:sz w:val="20"/>
                <w:szCs w:val="20"/>
              </w:rPr>
            </w:pPr>
          </w:p>
        </w:tc>
        <w:tc>
          <w:tcPr>
            <w:tcW w:w="306" w:type="pct"/>
            <w:tcBorders>
              <w:top w:val="nil"/>
            </w:tcBorders>
            <w:vAlign w:val="center"/>
          </w:tcPr>
          <w:p w14:paraId="33773029" w14:textId="77777777" w:rsidR="0025223A" w:rsidRPr="004C78D8" w:rsidRDefault="0025223A" w:rsidP="00FB7C1F">
            <w:pPr>
              <w:jc w:val="center"/>
              <w:rPr>
                <w:sz w:val="20"/>
                <w:szCs w:val="20"/>
              </w:rPr>
            </w:pPr>
            <w:r w:rsidRPr="004C78D8">
              <w:rPr>
                <w:rFonts w:cs="Times New Roman"/>
                <w:sz w:val="28"/>
                <w:szCs w:val="28"/>
              </w:rPr>
              <w:t>˟</w:t>
            </w:r>
          </w:p>
        </w:tc>
        <w:tc>
          <w:tcPr>
            <w:tcW w:w="306" w:type="pct"/>
            <w:tcBorders>
              <w:top w:val="nil"/>
            </w:tcBorders>
          </w:tcPr>
          <w:p w14:paraId="7E7F570D" w14:textId="77777777" w:rsidR="0025223A" w:rsidRPr="004C78D8" w:rsidRDefault="0025223A" w:rsidP="00FB7C1F">
            <w:pPr>
              <w:jc w:val="center"/>
              <w:rPr>
                <w:sz w:val="20"/>
                <w:szCs w:val="20"/>
              </w:rPr>
            </w:pPr>
          </w:p>
        </w:tc>
        <w:tc>
          <w:tcPr>
            <w:tcW w:w="357" w:type="pct"/>
            <w:tcBorders>
              <w:top w:val="nil"/>
            </w:tcBorders>
            <w:vAlign w:val="center"/>
          </w:tcPr>
          <w:p w14:paraId="763B9CD5" w14:textId="77777777" w:rsidR="0025223A" w:rsidRPr="004C78D8" w:rsidRDefault="0025223A" w:rsidP="00FB7C1F">
            <w:pPr>
              <w:jc w:val="center"/>
              <w:rPr>
                <w:sz w:val="20"/>
                <w:szCs w:val="20"/>
              </w:rPr>
            </w:pPr>
          </w:p>
        </w:tc>
        <w:tc>
          <w:tcPr>
            <w:tcW w:w="357" w:type="pct"/>
            <w:tcBorders>
              <w:top w:val="nil"/>
            </w:tcBorders>
            <w:vAlign w:val="center"/>
          </w:tcPr>
          <w:p w14:paraId="67FC952E" w14:textId="77777777" w:rsidR="0025223A" w:rsidRPr="004C78D8" w:rsidRDefault="0025223A" w:rsidP="00FB7C1F">
            <w:pPr>
              <w:jc w:val="center"/>
              <w:rPr>
                <w:sz w:val="20"/>
                <w:szCs w:val="20"/>
              </w:rPr>
            </w:pPr>
            <w:r w:rsidRPr="004C78D8">
              <w:rPr>
                <w:sz w:val="18"/>
                <w:szCs w:val="18"/>
              </w:rPr>
              <w:t>OH</w:t>
            </w:r>
          </w:p>
        </w:tc>
        <w:tc>
          <w:tcPr>
            <w:tcW w:w="459" w:type="pct"/>
            <w:tcBorders>
              <w:top w:val="nil"/>
            </w:tcBorders>
            <w:vAlign w:val="center"/>
          </w:tcPr>
          <w:p w14:paraId="5FF40503" w14:textId="77777777" w:rsidR="0025223A" w:rsidRPr="004C78D8" w:rsidRDefault="0025223A" w:rsidP="00FB7C1F">
            <w:pPr>
              <w:jc w:val="center"/>
              <w:rPr>
                <w:sz w:val="28"/>
                <w:szCs w:val="28"/>
              </w:rPr>
            </w:pPr>
            <w:r w:rsidRPr="004C78D8">
              <w:rPr>
                <w:rFonts w:cs="Times New Roman"/>
                <w:sz w:val="28"/>
                <w:szCs w:val="28"/>
              </w:rPr>
              <w:t>˟</w:t>
            </w:r>
          </w:p>
        </w:tc>
        <w:tc>
          <w:tcPr>
            <w:tcW w:w="408" w:type="pct"/>
            <w:tcBorders>
              <w:top w:val="nil"/>
            </w:tcBorders>
            <w:vAlign w:val="center"/>
          </w:tcPr>
          <w:p w14:paraId="2F71353C" w14:textId="77777777" w:rsidR="0025223A" w:rsidRPr="004C78D8" w:rsidRDefault="0025223A" w:rsidP="00FB7C1F">
            <w:pPr>
              <w:jc w:val="center"/>
              <w:rPr>
                <w:sz w:val="18"/>
                <w:szCs w:val="18"/>
              </w:rPr>
            </w:pPr>
            <w:r w:rsidRPr="004C78D8">
              <w:rPr>
                <w:sz w:val="18"/>
                <w:szCs w:val="18"/>
              </w:rPr>
              <w:t>PP</w:t>
            </w:r>
          </w:p>
        </w:tc>
      </w:tr>
      <w:tr w:rsidR="0025223A" w:rsidRPr="004C78D8" w14:paraId="77A4304E" w14:textId="77777777" w:rsidTr="002828C1">
        <w:tc>
          <w:tcPr>
            <w:tcW w:w="5000" w:type="pct"/>
            <w:gridSpan w:val="12"/>
          </w:tcPr>
          <w:p w14:paraId="0ADA66BE" w14:textId="77777777" w:rsidR="0025223A" w:rsidRPr="004C78D8" w:rsidRDefault="0025223A" w:rsidP="00FB7C1F">
            <w:pPr>
              <w:jc w:val="left"/>
              <w:rPr>
                <w:b/>
                <w:bCs/>
                <w:i/>
                <w:iCs/>
                <w:sz w:val="28"/>
                <w:szCs w:val="28"/>
              </w:rPr>
            </w:pPr>
            <w:r w:rsidRPr="004C78D8">
              <w:rPr>
                <w:b/>
                <w:bCs/>
                <w:i/>
                <w:iCs/>
                <w:sz w:val="20"/>
                <w:szCs w:val="20"/>
              </w:rPr>
              <w:t>Expedited cataract surgery</w:t>
            </w:r>
          </w:p>
        </w:tc>
      </w:tr>
      <w:tr w:rsidR="0025223A" w:rsidRPr="004C78D8" w14:paraId="137DDBD7" w14:textId="77777777" w:rsidTr="002828C1">
        <w:tc>
          <w:tcPr>
            <w:tcW w:w="662" w:type="pct"/>
          </w:tcPr>
          <w:p w14:paraId="70DE23C2" w14:textId="77777777" w:rsidR="0025223A" w:rsidRPr="004C78D8" w:rsidRDefault="0025223A" w:rsidP="00FB7C1F">
            <w:pPr>
              <w:jc w:val="left"/>
              <w:rPr>
                <w:sz w:val="18"/>
                <w:szCs w:val="18"/>
              </w:rPr>
            </w:pPr>
            <w:r w:rsidRPr="004C78D8">
              <w:rPr>
                <w:sz w:val="18"/>
                <w:szCs w:val="18"/>
              </w:rPr>
              <w:t>Boyd (2020)</w:t>
            </w:r>
          </w:p>
        </w:tc>
        <w:tc>
          <w:tcPr>
            <w:tcW w:w="765" w:type="pct"/>
          </w:tcPr>
          <w:p w14:paraId="150EBA65" w14:textId="77777777" w:rsidR="0025223A" w:rsidRPr="004C78D8" w:rsidRDefault="0025223A" w:rsidP="00FB7C1F">
            <w:pPr>
              <w:jc w:val="left"/>
              <w:rPr>
                <w:sz w:val="18"/>
                <w:szCs w:val="18"/>
              </w:rPr>
            </w:pPr>
            <w:r w:rsidRPr="004C78D8">
              <w:rPr>
                <w:sz w:val="18"/>
                <w:szCs w:val="18"/>
              </w:rPr>
              <w:t>Expedited and routine surgeries</w:t>
            </w:r>
          </w:p>
        </w:tc>
        <w:tc>
          <w:tcPr>
            <w:tcW w:w="255" w:type="pct"/>
            <w:tcBorders>
              <w:bottom w:val="nil"/>
            </w:tcBorders>
            <w:vAlign w:val="center"/>
          </w:tcPr>
          <w:p w14:paraId="71118456" w14:textId="77777777" w:rsidR="0025223A" w:rsidRPr="004C78D8" w:rsidRDefault="0025223A" w:rsidP="00FB7C1F">
            <w:pPr>
              <w:jc w:val="center"/>
              <w:rPr>
                <w:sz w:val="20"/>
                <w:szCs w:val="20"/>
              </w:rPr>
            </w:pPr>
          </w:p>
        </w:tc>
        <w:tc>
          <w:tcPr>
            <w:tcW w:w="408" w:type="pct"/>
            <w:tcBorders>
              <w:bottom w:val="nil"/>
            </w:tcBorders>
            <w:vAlign w:val="center"/>
          </w:tcPr>
          <w:p w14:paraId="480EDAAB" w14:textId="77777777" w:rsidR="0025223A" w:rsidRPr="004C78D8" w:rsidRDefault="0025223A" w:rsidP="00FB7C1F">
            <w:pPr>
              <w:jc w:val="center"/>
              <w:rPr>
                <w:sz w:val="20"/>
                <w:szCs w:val="20"/>
              </w:rPr>
            </w:pPr>
          </w:p>
        </w:tc>
        <w:tc>
          <w:tcPr>
            <w:tcW w:w="357" w:type="pct"/>
            <w:tcBorders>
              <w:bottom w:val="nil"/>
            </w:tcBorders>
            <w:vAlign w:val="center"/>
          </w:tcPr>
          <w:p w14:paraId="7CE79CAC" w14:textId="77777777" w:rsidR="0025223A" w:rsidRPr="004C78D8" w:rsidRDefault="0025223A" w:rsidP="00FB7C1F">
            <w:pPr>
              <w:jc w:val="center"/>
              <w:rPr>
                <w:sz w:val="20"/>
                <w:szCs w:val="20"/>
              </w:rPr>
            </w:pPr>
          </w:p>
        </w:tc>
        <w:tc>
          <w:tcPr>
            <w:tcW w:w="358" w:type="pct"/>
            <w:tcBorders>
              <w:bottom w:val="nil"/>
            </w:tcBorders>
            <w:vAlign w:val="center"/>
          </w:tcPr>
          <w:p w14:paraId="5C72686C" w14:textId="77777777" w:rsidR="0025223A" w:rsidRPr="004C78D8" w:rsidRDefault="0025223A" w:rsidP="00FB7C1F">
            <w:pPr>
              <w:jc w:val="center"/>
              <w:rPr>
                <w:sz w:val="20"/>
                <w:szCs w:val="20"/>
              </w:rPr>
            </w:pPr>
          </w:p>
        </w:tc>
        <w:tc>
          <w:tcPr>
            <w:tcW w:w="306" w:type="pct"/>
            <w:tcBorders>
              <w:bottom w:val="nil"/>
            </w:tcBorders>
            <w:vAlign w:val="center"/>
          </w:tcPr>
          <w:p w14:paraId="2C1CCD7A" w14:textId="77777777" w:rsidR="0025223A" w:rsidRPr="004C78D8" w:rsidRDefault="0025223A" w:rsidP="00FB7C1F">
            <w:pPr>
              <w:jc w:val="center"/>
              <w:rPr>
                <w:sz w:val="20"/>
                <w:szCs w:val="20"/>
              </w:rPr>
            </w:pPr>
            <w:r w:rsidRPr="004C78D8">
              <w:rPr>
                <w:rFonts w:cs="Times New Roman"/>
                <w:sz w:val="28"/>
                <w:szCs w:val="28"/>
              </w:rPr>
              <w:t>˟</w:t>
            </w:r>
          </w:p>
        </w:tc>
        <w:tc>
          <w:tcPr>
            <w:tcW w:w="306" w:type="pct"/>
            <w:tcBorders>
              <w:bottom w:val="nil"/>
            </w:tcBorders>
          </w:tcPr>
          <w:p w14:paraId="68039DC8" w14:textId="77777777" w:rsidR="0025223A" w:rsidRPr="004C78D8" w:rsidRDefault="0025223A" w:rsidP="00FB7C1F">
            <w:pPr>
              <w:jc w:val="center"/>
              <w:rPr>
                <w:sz w:val="20"/>
                <w:szCs w:val="20"/>
              </w:rPr>
            </w:pPr>
          </w:p>
        </w:tc>
        <w:tc>
          <w:tcPr>
            <w:tcW w:w="357" w:type="pct"/>
            <w:tcBorders>
              <w:bottom w:val="nil"/>
            </w:tcBorders>
            <w:vAlign w:val="center"/>
          </w:tcPr>
          <w:p w14:paraId="6DC8E10A" w14:textId="77777777" w:rsidR="0025223A" w:rsidRPr="004C78D8" w:rsidRDefault="0025223A" w:rsidP="00FB7C1F">
            <w:pPr>
              <w:jc w:val="center"/>
              <w:rPr>
                <w:sz w:val="20"/>
                <w:szCs w:val="20"/>
              </w:rPr>
            </w:pPr>
          </w:p>
        </w:tc>
        <w:tc>
          <w:tcPr>
            <w:tcW w:w="357" w:type="pct"/>
            <w:tcBorders>
              <w:bottom w:val="nil"/>
            </w:tcBorders>
            <w:vAlign w:val="center"/>
          </w:tcPr>
          <w:p w14:paraId="4E6E1F3D" w14:textId="77777777" w:rsidR="0025223A" w:rsidRPr="004C78D8" w:rsidRDefault="0025223A" w:rsidP="00FB7C1F">
            <w:pPr>
              <w:jc w:val="center"/>
              <w:rPr>
                <w:sz w:val="20"/>
                <w:szCs w:val="20"/>
              </w:rPr>
            </w:pPr>
          </w:p>
        </w:tc>
        <w:tc>
          <w:tcPr>
            <w:tcW w:w="459" w:type="pct"/>
            <w:tcBorders>
              <w:bottom w:val="nil"/>
            </w:tcBorders>
            <w:vAlign w:val="center"/>
          </w:tcPr>
          <w:p w14:paraId="71B1427F" w14:textId="77777777" w:rsidR="0025223A" w:rsidRPr="004C78D8" w:rsidRDefault="0025223A" w:rsidP="00FB7C1F">
            <w:pPr>
              <w:jc w:val="center"/>
              <w:rPr>
                <w:sz w:val="28"/>
                <w:szCs w:val="28"/>
              </w:rPr>
            </w:pPr>
            <w:r w:rsidRPr="004C78D8">
              <w:rPr>
                <w:rFonts w:cs="Times New Roman"/>
                <w:sz w:val="28"/>
                <w:szCs w:val="28"/>
              </w:rPr>
              <w:t>˟</w:t>
            </w:r>
          </w:p>
        </w:tc>
        <w:tc>
          <w:tcPr>
            <w:tcW w:w="408" w:type="pct"/>
            <w:tcBorders>
              <w:bottom w:val="nil"/>
            </w:tcBorders>
            <w:vAlign w:val="center"/>
          </w:tcPr>
          <w:p w14:paraId="3850EC16" w14:textId="77777777" w:rsidR="0025223A" w:rsidRPr="004C78D8" w:rsidRDefault="0025223A" w:rsidP="00FB7C1F">
            <w:pPr>
              <w:jc w:val="center"/>
              <w:rPr>
                <w:sz w:val="18"/>
                <w:szCs w:val="18"/>
              </w:rPr>
            </w:pPr>
            <w:r w:rsidRPr="004C78D8">
              <w:rPr>
                <w:sz w:val="18"/>
                <w:szCs w:val="18"/>
              </w:rPr>
              <w:t>PP</w:t>
            </w:r>
          </w:p>
        </w:tc>
      </w:tr>
      <w:tr w:rsidR="0025223A" w:rsidRPr="004C78D8" w14:paraId="5430578D" w14:textId="77777777" w:rsidTr="002828C1">
        <w:tc>
          <w:tcPr>
            <w:tcW w:w="662" w:type="pct"/>
          </w:tcPr>
          <w:p w14:paraId="5E678465" w14:textId="77777777" w:rsidR="0025223A" w:rsidRPr="004C78D8" w:rsidRDefault="0025223A" w:rsidP="00FB7C1F">
            <w:pPr>
              <w:jc w:val="left"/>
              <w:rPr>
                <w:sz w:val="18"/>
                <w:szCs w:val="18"/>
              </w:rPr>
            </w:pPr>
            <w:r w:rsidRPr="004C78D8">
              <w:rPr>
                <w:sz w:val="18"/>
                <w:szCs w:val="18"/>
              </w:rPr>
              <w:t>Church (2011); (2012)</w:t>
            </w:r>
          </w:p>
        </w:tc>
        <w:tc>
          <w:tcPr>
            <w:tcW w:w="765" w:type="pct"/>
          </w:tcPr>
          <w:p w14:paraId="444F06DC" w14:textId="77777777" w:rsidR="0025223A" w:rsidRPr="004C78D8" w:rsidRDefault="0025223A" w:rsidP="00FB7C1F">
            <w:pPr>
              <w:jc w:val="left"/>
              <w:rPr>
                <w:sz w:val="18"/>
                <w:szCs w:val="18"/>
              </w:rPr>
            </w:pPr>
            <w:r w:rsidRPr="004C78D8">
              <w:rPr>
                <w:sz w:val="18"/>
                <w:szCs w:val="18"/>
              </w:rPr>
              <w:t>Expedited surgery</w:t>
            </w:r>
          </w:p>
        </w:tc>
        <w:tc>
          <w:tcPr>
            <w:tcW w:w="255" w:type="pct"/>
            <w:tcBorders>
              <w:top w:val="nil"/>
              <w:bottom w:val="nil"/>
            </w:tcBorders>
            <w:vAlign w:val="center"/>
          </w:tcPr>
          <w:p w14:paraId="26C6FC8A" w14:textId="77777777" w:rsidR="0025223A" w:rsidRPr="004C78D8" w:rsidRDefault="0025223A" w:rsidP="00FB7C1F">
            <w:pPr>
              <w:jc w:val="center"/>
              <w:rPr>
                <w:sz w:val="20"/>
                <w:szCs w:val="20"/>
              </w:rPr>
            </w:pPr>
          </w:p>
        </w:tc>
        <w:tc>
          <w:tcPr>
            <w:tcW w:w="408" w:type="pct"/>
            <w:tcBorders>
              <w:top w:val="nil"/>
              <w:bottom w:val="nil"/>
            </w:tcBorders>
            <w:vAlign w:val="center"/>
          </w:tcPr>
          <w:p w14:paraId="3AD31313" w14:textId="77777777" w:rsidR="0025223A" w:rsidRPr="004C78D8" w:rsidRDefault="0025223A" w:rsidP="00FB7C1F">
            <w:pPr>
              <w:jc w:val="center"/>
              <w:rPr>
                <w:sz w:val="20"/>
                <w:szCs w:val="20"/>
              </w:rPr>
            </w:pPr>
          </w:p>
        </w:tc>
        <w:tc>
          <w:tcPr>
            <w:tcW w:w="357" w:type="pct"/>
            <w:tcBorders>
              <w:top w:val="nil"/>
              <w:bottom w:val="nil"/>
            </w:tcBorders>
            <w:vAlign w:val="center"/>
          </w:tcPr>
          <w:p w14:paraId="4E8F8AAE" w14:textId="77777777" w:rsidR="0025223A" w:rsidRPr="004C78D8" w:rsidRDefault="0025223A" w:rsidP="00FB7C1F">
            <w:pPr>
              <w:jc w:val="center"/>
              <w:rPr>
                <w:sz w:val="20"/>
                <w:szCs w:val="20"/>
              </w:rPr>
            </w:pPr>
          </w:p>
        </w:tc>
        <w:tc>
          <w:tcPr>
            <w:tcW w:w="358" w:type="pct"/>
            <w:tcBorders>
              <w:top w:val="nil"/>
              <w:bottom w:val="nil"/>
            </w:tcBorders>
            <w:vAlign w:val="center"/>
          </w:tcPr>
          <w:p w14:paraId="73C819B0" w14:textId="77777777" w:rsidR="0025223A" w:rsidRPr="004C78D8" w:rsidRDefault="0025223A" w:rsidP="00FB7C1F">
            <w:pPr>
              <w:jc w:val="center"/>
              <w:rPr>
                <w:sz w:val="20"/>
                <w:szCs w:val="20"/>
              </w:rPr>
            </w:pPr>
          </w:p>
        </w:tc>
        <w:tc>
          <w:tcPr>
            <w:tcW w:w="306" w:type="pct"/>
            <w:tcBorders>
              <w:top w:val="nil"/>
              <w:bottom w:val="nil"/>
            </w:tcBorders>
            <w:vAlign w:val="center"/>
          </w:tcPr>
          <w:p w14:paraId="5E8E6507"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06" w:type="pct"/>
            <w:tcBorders>
              <w:top w:val="nil"/>
              <w:bottom w:val="nil"/>
            </w:tcBorders>
          </w:tcPr>
          <w:p w14:paraId="17C6B38F" w14:textId="77777777" w:rsidR="0025223A" w:rsidRPr="004C78D8" w:rsidRDefault="0025223A" w:rsidP="00FB7C1F">
            <w:pPr>
              <w:jc w:val="center"/>
              <w:rPr>
                <w:sz w:val="20"/>
                <w:szCs w:val="20"/>
              </w:rPr>
            </w:pPr>
          </w:p>
        </w:tc>
        <w:tc>
          <w:tcPr>
            <w:tcW w:w="357" w:type="pct"/>
            <w:tcBorders>
              <w:top w:val="nil"/>
              <w:bottom w:val="nil"/>
            </w:tcBorders>
            <w:vAlign w:val="center"/>
          </w:tcPr>
          <w:p w14:paraId="3CE32BA6" w14:textId="77777777" w:rsidR="0025223A" w:rsidRPr="004C78D8" w:rsidRDefault="0025223A" w:rsidP="00FB7C1F">
            <w:pPr>
              <w:jc w:val="center"/>
              <w:rPr>
                <w:sz w:val="20"/>
                <w:szCs w:val="20"/>
              </w:rPr>
            </w:pPr>
          </w:p>
        </w:tc>
        <w:tc>
          <w:tcPr>
            <w:tcW w:w="357" w:type="pct"/>
            <w:tcBorders>
              <w:top w:val="nil"/>
              <w:bottom w:val="nil"/>
            </w:tcBorders>
            <w:vAlign w:val="center"/>
          </w:tcPr>
          <w:p w14:paraId="720E49B5" w14:textId="77777777" w:rsidR="0025223A" w:rsidRPr="004C78D8" w:rsidRDefault="0025223A" w:rsidP="00FB7C1F">
            <w:pPr>
              <w:jc w:val="center"/>
              <w:rPr>
                <w:sz w:val="20"/>
                <w:szCs w:val="20"/>
              </w:rPr>
            </w:pPr>
          </w:p>
        </w:tc>
        <w:tc>
          <w:tcPr>
            <w:tcW w:w="459" w:type="pct"/>
            <w:tcBorders>
              <w:top w:val="nil"/>
              <w:bottom w:val="nil"/>
            </w:tcBorders>
            <w:vAlign w:val="center"/>
          </w:tcPr>
          <w:p w14:paraId="292E8CC2"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408" w:type="pct"/>
            <w:tcBorders>
              <w:top w:val="nil"/>
              <w:bottom w:val="nil"/>
            </w:tcBorders>
            <w:vAlign w:val="center"/>
          </w:tcPr>
          <w:p w14:paraId="79DAA672" w14:textId="77777777" w:rsidR="0025223A" w:rsidRPr="004C78D8" w:rsidRDefault="0025223A" w:rsidP="00FB7C1F">
            <w:pPr>
              <w:jc w:val="center"/>
              <w:rPr>
                <w:sz w:val="18"/>
                <w:szCs w:val="18"/>
              </w:rPr>
            </w:pPr>
            <w:r w:rsidRPr="004C78D8">
              <w:rPr>
                <w:sz w:val="18"/>
                <w:szCs w:val="18"/>
              </w:rPr>
              <w:t>PP</w:t>
            </w:r>
          </w:p>
        </w:tc>
      </w:tr>
      <w:tr w:rsidR="0025223A" w:rsidRPr="004C78D8" w14:paraId="1C238BDB" w14:textId="77777777" w:rsidTr="002828C1">
        <w:tc>
          <w:tcPr>
            <w:tcW w:w="662" w:type="pct"/>
          </w:tcPr>
          <w:p w14:paraId="5D9BAB0A" w14:textId="77777777" w:rsidR="0025223A" w:rsidRPr="004C78D8" w:rsidRDefault="0025223A" w:rsidP="00FB7C1F">
            <w:pPr>
              <w:jc w:val="left"/>
              <w:rPr>
                <w:sz w:val="18"/>
                <w:szCs w:val="18"/>
              </w:rPr>
            </w:pPr>
            <w:r w:rsidRPr="004C78D8">
              <w:rPr>
                <w:sz w:val="18"/>
                <w:szCs w:val="18"/>
              </w:rPr>
              <w:t>Sach (2007); (2010)</w:t>
            </w:r>
          </w:p>
        </w:tc>
        <w:tc>
          <w:tcPr>
            <w:tcW w:w="765" w:type="pct"/>
          </w:tcPr>
          <w:p w14:paraId="37FD9146" w14:textId="77777777" w:rsidR="0025223A" w:rsidRPr="004C78D8" w:rsidRDefault="0025223A" w:rsidP="00FB7C1F">
            <w:pPr>
              <w:jc w:val="left"/>
              <w:rPr>
                <w:sz w:val="18"/>
                <w:szCs w:val="18"/>
              </w:rPr>
            </w:pPr>
            <w:r w:rsidRPr="004C78D8">
              <w:rPr>
                <w:sz w:val="18"/>
                <w:szCs w:val="18"/>
              </w:rPr>
              <w:t>Expedited surgery</w:t>
            </w:r>
          </w:p>
        </w:tc>
        <w:tc>
          <w:tcPr>
            <w:tcW w:w="255" w:type="pct"/>
            <w:tcBorders>
              <w:top w:val="nil"/>
            </w:tcBorders>
            <w:vAlign w:val="center"/>
          </w:tcPr>
          <w:p w14:paraId="15BB00D3" w14:textId="77777777" w:rsidR="0025223A" w:rsidRPr="004C78D8" w:rsidRDefault="0025223A" w:rsidP="00FB7C1F">
            <w:pPr>
              <w:jc w:val="center"/>
              <w:rPr>
                <w:sz w:val="20"/>
                <w:szCs w:val="20"/>
              </w:rPr>
            </w:pPr>
          </w:p>
        </w:tc>
        <w:tc>
          <w:tcPr>
            <w:tcW w:w="408" w:type="pct"/>
            <w:tcBorders>
              <w:top w:val="nil"/>
            </w:tcBorders>
            <w:vAlign w:val="center"/>
          </w:tcPr>
          <w:p w14:paraId="421B62B0" w14:textId="77777777" w:rsidR="0025223A" w:rsidRPr="004C78D8" w:rsidRDefault="0025223A" w:rsidP="00FB7C1F">
            <w:pPr>
              <w:jc w:val="center"/>
              <w:rPr>
                <w:sz w:val="20"/>
                <w:szCs w:val="20"/>
              </w:rPr>
            </w:pPr>
          </w:p>
        </w:tc>
        <w:tc>
          <w:tcPr>
            <w:tcW w:w="357" w:type="pct"/>
            <w:tcBorders>
              <w:top w:val="nil"/>
            </w:tcBorders>
            <w:vAlign w:val="center"/>
          </w:tcPr>
          <w:p w14:paraId="2FA5D115" w14:textId="77777777" w:rsidR="0025223A" w:rsidRPr="004C78D8" w:rsidRDefault="0025223A" w:rsidP="00FB7C1F">
            <w:pPr>
              <w:jc w:val="center"/>
              <w:rPr>
                <w:sz w:val="20"/>
                <w:szCs w:val="20"/>
              </w:rPr>
            </w:pPr>
            <w:r w:rsidRPr="004C78D8">
              <w:rPr>
                <w:rFonts w:cs="Times New Roman"/>
                <w:sz w:val="28"/>
                <w:szCs w:val="28"/>
              </w:rPr>
              <w:t>˟</w:t>
            </w:r>
          </w:p>
        </w:tc>
        <w:tc>
          <w:tcPr>
            <w:tcW w:w="358" w:type="pct"/>
            <w:tcBorders>
              <w:top w:val="nil"/>
            </w:tcBorders>
            <w:vAlign w:val="center"/>
          </w:tcPr>
          <w:p w14:paraId="0752CFA0" w14:textId="77777777" w:rsidR="0025223A" w:rsidRPr="004C78D8" w:rsidRDefault="0025223A" w:rsidP="00FB7C1F">
            <w:pPr>
              <w:jc w:val="center"/>
              <w:rPr>
                <w:sz w:val="20"/>
                <w:szCs w:val="20"/>
              </w:rPr>
            </w:pPr>
          </w:p>
        </w:tc>
        <w:tc>
          <w:tcPr>
            <w:tcW w:w="306" w:type="pct"/>
            <w:tcBorders>
              <w:top w:val="nil"/>
            </w:tcBorders>
            <w:vAlign w:val="center"/>
          </w:tcPr>
          <w:p w14:paraId="0EF3DB0F" w14:textId="77777777" w:rsidR="0025223A" w:rsidRPr="004C78D8" w:rsidRDefault="0025223A" w:rsidP="00FB7C1F">
            <w:pPr>
              <w:jc w:val="center"/>
              <w:rPr>
                <w:sz w:val="20"/>
                <w:szCs w:val="20"/>
              </w:rPr>
            </w:pPr>
            <w:r w:rsidRPr="004C78D8">
              <w:rPr>
                <w:rFonts w:cs="Times New Roman"/>
                <w:sz w:val="28"/>
                <w:szCs w:val="28"/>
              </w:rPr>
              <w:t>˟</w:t>
            </w:r>
          </w:p>
        </w:tc>
        <w:tc>
          <w:tcPr>
            <w:tcW w:w="306" w:type="pct"/>
            <w:tcBorders>
              <w:top w:val="nil"/>
            </w:tcBorders>
          </w:tcPr>
          <w:p w14:paraId="3C278F30" w14:textId="77777777" w:rsidR="0025223A" w:rsidRPr="004C78D8" w:rsidRDefault="0025223A" w:rsidP="00FB7C1F">
            <w:pPr>
              <w:jc w:val="center"/>
              <w:rPr>
                <w:sz w:val="20"/>
                <w:szCs w:val="20"/>
              </w:rPr>
            </w:pPr>
          </w:p>
        </w:tc>
        <w:tc>
          <w:tcPr>
            <w:tcW w:w="357" w:type="pct"/>
            <w:tcBorders>
              <w:top w:val="nil"/>
            </w:tcBorders>
            <w:vAlign w:val="center"/>
          </w:tcPr>
          <w:p w14:paraId="54ACFBE1" w14:textId="77777777" w:rsidR="0025223A" w:rsidRPr="004C78D8" w:rsidRDefault="0025223A" w:rsidP="00FB7C1F">
            <w:pPr>
              <w:jc w:val="center"/>
              <w:rPr>
                <w:sz w:val="20"/>
                <w:szCs w:val="20"/>
              </w:rPr>
            </w:pPr>
          </w:p>
        </w:tc>
        <w:tc>
          <w:tcPr>
            <w:tcW w:w="357" w:type="pct"/>
            <w:tcBorders>
              <w:top w:val="nil"/>
            </w:tcBorders>
            <w:vAlign w:val="center"/>
          </w:tcPr>
          <w:p w14:paraId="0B47BF9B" w14:textId="77777777" w:rsidR="0025223A" w:rsidRPr="004C78D8" w:rsidRDefault="0025223A" w:rsidP="00FB7C1F">
            <w:pPr>
              <w:jc w:val="center"/>
              <w:rPr>
                <w:sz w:val="20"/>
                <w:szCs w:val="20"/>
              </w:rPr>
            </w:pPr>
          </w:p>
        </w:tc>
        <w:tc>
          <w:tcPr>
            <w:tcW w:w="459" w:type="pct"/>
            <w:tcBorders>
              <w:top w:val="nil"/>
            </w:tcBorders>
            <w:vAlign w:val="center"/>
          </w:tcPr>
          <w:p w14:paraId="5A8E611E" w14:textId="77777777" w:rsidR="0025223A" w:rsidRPr="004C78D8" w:rsidRDefault="0025223A" w:rsidP="00FB7C1F">
            <w:pPr>
              <w:jc w:val="center"/>
              <w:rPr>
                <w:sz w:val="28"/>
                <w:szCs w:val="28"/>
              </w:rPr>
            </w:pPr>
            <w:r w:rsidRPr="004C78D8">
              <w:rPr>
                <w:rFonts w:cs="Times New Roman"/>
                <w:sz w:val="28"/>
                <w:szCs w:val="28"/>
              </w:rPr>
              <w:t>˟</w:t>
            </w:r>
          </w:p>
        </w:tc>
        <w:tc>
          <w:tcPr>
            <w:tcW w:w="408" w:type="pct"/>
            <w:tcBorders>
              <w:top w:val="nil"/>
            </w:tcBorders>
            <w:vAlign w:val="center"/>
          </w:tcPr>
          <w:p w14:paraId="2330A480" w14:textId="77777777" w:rsidR="0025223A" w:rsidRPr="004C78D8" w:rsidRDefault="0025223A" w:rsidP="00FB7C1F">
            <w:pPr>
              <w:jc w:val="center"/>
              <w:rPr>
                <w:sz w:val="18"/>
                <w:szCs w:val="18"/>
              </w:rPr>
            </w:pPr>
            <w:r w:rsidRPr="004C78D8">
              <w:rPr>
                <w:sz w:val="18"/>
                <w:szCs w:val="18"/>
              </w:rPr>
              <w:t>Total</w:t>
            </w:r>
          </w:p>
        </w:tc>
      </w:tr>
      <w:tr w:rsidR="0025223A" w:rsidRPr="004C78D8" w14:paraId="4B9C883C" w14:textId="77777777" w:rsidTr="002828C1">
        <w:tc>
          <w:tcPr>
            <w:tcW w:w="5000" w:type="pct"/>
            <w:gridSpan w:val="12"/>
          </w:tcPr>
          <w:p w14:paraId="1AB923BB" w14:textId="77777777" w:rsidR="0025223A" w:rsidRPr="004C78D8" w:rsidRDefault="0025223A" w:rsidP="00FB7C1F">
            <w:pPr>
              <w:jc w:val="left"/>
              <w:rPr>
                <w:b/>
                <w:bCs/>
                <w:i/>
                <w:iCs/>
                <w:sz w:val="24"/>
                <w:szCs w:val="24"/>
              </w:rPr>
            </w:pPr>
            <w:r w:rsidRPr="004C78D8">
              <w:rPr>
                <w:b/>
                <w:bCs/>
                <w:i/>
                <w:iCs/>
                <w:sz w:val="20"/>
                <w:szCs w:val="20"/>
              </w:rPr>
              <w:t>Vitamin D supplementation</w:t>
            </w:r>
          </w:p>
        </w:tc>
      </w:tr>
      <w:tr w:rsidR="0025223A" w:rsidRPr="004C78D8" w14:paraId="18EA44A3" w14:textId="77777777" w:rsidTr="002828C1">
        <w:tc>
          <w:tcPr>
            <w:tcW w:w="662" w:type="pct"/>
          </w:tcPr>
          <w:p w14:paraId="4F2354B1" w14:textId="77777777" w:rsidR="0025223A" w:rsidRPr="004C78D8" w:rsidRDefault="0025223A" w:rsidP="00FB7C1F">
            <w:pPr>
              <w:jc w:val="left"/>
              <w:rPr>
                <w:sz w:val="18"/>
                <w:szCs w:val="18"/>
              </w:rPr>
            </w:pPr>
            <w:r w:rsidRPr="004C78D8">
              <w:rPr>
                <w:sz w:val="18"/>
                <w:szCs w:val="18"/>
              </w:rPr>
              <w:t>Lee (2013)</w:t>
            </w:r>
          </w:p>
        </w:tc>
        <w:tc>
          <w:tcPr>
            <w:tcW w:w="765" w:type="pct"/>
          </w:tcPr>
          <w:p w14:paraId="1974DD8C" w14:textId="77777777" w:rsidR="0025223A" w:rsidRPr="004C78D8" w:rsidRDefault="0025223A" w:rsidP="00FB7C1F">
            <w:pPr>
              <w:jc w:val="left"/>
              <w:rPr>
                <w:sz w:val="18"/>
                <w:szCs w:val="18"/>
              </w:rPr>
            </w:pPr>
            <w:r w:rsidRPr="004C78D8">
              <w:rPr>
                <w:sz w:val="18"/>
                <w:szCs w:val="18"/>
              </w:rPr>
              <w:t>Vit. D screening and supplementation</w:t>
            </w:r>
          </w:p>
        </w:tc>
        <w:tc>
          <w:tcPr>
            <w:tcW w:w="255" w:type="pct"/>
            <w:tcBorders>
              <w:bottom w:val="nil"/>
            </w:tcBorders>
            <w:vAlign w:val="center"/>
          </w:tcPr>
          <w:p w14:paraId="33641622" w14:textId="77777777" w:rsidR="0025223A" w:rsidRPr="004C78D8" w:rsidRDefault="0025223A" w:rsidP="00FB7C1F">
            <w:pPr>
              <w:jc w:val="center"/>
              <w:rPr>
                <w:sz w:val="20"/>
                <w:szCs w:val="20"/>
              </w:rPr>
            </w:pPr>
          </w:p>
        </w:tc>
        <w:tc>
          <w:tcPr>
            <w:tcW w:w="408" w:type="pct"/>
            <w:tcBorders>
              <w:bottom w:val="nil"/>
            </w:tcBorders>
            <w:vAlign w:val="center"/>
          </w:tcPr>
          <w:p w14:paraId="21B1DAC3" w14:textId="77777777" w:rsidR="0025223A" w:rsidRPr="004C78D8" w:rsidRDefault="0025223A" w:rsidP="00FB7C1F">
            <w:pPr>
              <w:jc w:val="center"/>
              <w:rPr>
                <w:sz w:val="20"/>
                <w:szCs w:val="20"/>
              </w:rPr>
            </w:pPr>
          </w:p>
        </w:tc>
        <w:tc>
          <w:tcPr>
            <w:tcW w:w="357" w:type="pct"/>
            <w:tcBorders>
              <w:bottom w:val="nil"/>
            </w:tcBorders>
            <w:vAlign w:val="center"/>
          </w:tcPr>
          <w:p w14:paraId="3F223E76" w14:textId="77777777" w:rsidR="0025223A" w:rsidRPr="004C78D8" w:rsidRDefault="0025223A" w:rsidP="00FB7C1F">
            <w:pPr>
              <w:jc w:val="center"/>
              <w:rPr>
                <w:sz w:val="18"/>
                <w:szCs w:val="18"/>
              </w:rPr>
            </w:pPr>
            <w:r w:rsidRPr="004C78D8">
              <w:rPr>
                <w:rFonts w:cs="Times New Roman"/>
                <w:sz w:val="18"/>
                <w:szCs w:val="18"/>
              </w:rPr>
              <w:t>Vit. D</w:t>
            </w:r>
          </w:p>
        </w:tc>
        <w:tc>
          <w:tcPr>
            <w:tcW w:w="358" w:type="pct"/>
            <w:tcBorders>
              <w:bottom w:val="nil"/>
            </w:tcBorders>
            <w:vAlign w:val="center"/>
          </w:tcPr>
          <w:p w14:paraId="1FC3039E" w14:textId="77777777" w:rsidR="0025223A" w:rsidRPr="004C78D8" w:rsidRDefault="0025223A" w:rsidP="00FB7C1F">
            <w:pPr>
              <w:jc w:val="center"/>
              <w:rPr>
                <w:sz w:val="20"/>
                <w:szCs w:val="20"/>
              </w:rPr>
            </w:pPr>
          </w:p>
        </w:tc>
        <w:tc>
          <w:tcPr>
            <w:tcW w:w="306" w:type="pct"/>
            <w:tcBorders>
              <w:bottom w:val="nil"/>
            </w:tcBorders>
            <w:vAlign w:val="center"/>
          </w:tcPr>
          <w:p w14:paraId="176E9A92" w14:textId="77777777" w:rsidR="0025223A" w:rsidRPr="004C78D8" w:rsidRDefault="0025223A" w:rsidP="00FB7C1F">
            <w:pPr>
              <w:jc w:val="center"/>
              <w:rPr>
                <w:sz w:val="20"/>
                <w:szCs w:val="20"/>
              </w:rPr>
            </w:pPr>
          </w:p>
        </w:tc>
        <w:tc>
          <w:tcPr>
            <w:tcW w:w="306" w:type="pct"/>
            <w:tcBorders>
              <w:bottom w:val="nil"/>
            </w:tcBorders>
          </w:tcPr>
          <w:p w14:paraId="092C822C" w14:textId="77777777" w:rsidR="0025223A" w:rsidRPr="004C78D8" w:rsidRDefault="0025223A" w:rsidP="00FB7C1F">
            <w:pPr>
              <w:jc w:val="center"/>
              <w:rPr>
                <w:sz w:val="20"/>
                <w:szCs w:val="20"/>
              </w:rPr>
            </w:pPr>
          </w:p>
        </w:tc>
        <w:tc>
          <w:tcPr>
            <w:tcW w:w="357" w:type="pct"/>
            <w:tcBorders>
              <w:bottom w:val="nil"/>
            </w:tcBorders>
            <w:vAlign w:val="center"/>
          </w:tcPr>
          <w:p w14:paraId="0B8A8F21" w14:textId="77777777" w:rsidR="0025223A" w:rsidRPr="004C78D8" w:rsidRDefault="0025223A" w:rsidP="00FB7C1F">
            <w:pPr>
              <w:jc w:val="center"/>
              <w:rPr>
                <w:sz w:val="20"/>
                <w:szCs w:val="20"/>
              </w:rPr>
            </w:pPr>
          </w:p>
        </w:tc>
        <w:tc>
          <w:tcPr>
            <w:tcW w:w="357" w:type="pct"/>
            <w:tcBorders>
              <w:bottom w:val="nil"/>
            </w:tcBorders>
            <w:vAlign w:val="center"/>
          </w:tcPr>
          <w:p w14:paraId="5DA1A0DB" w14:textId="77777777" w:rsidR="0025223A" w:rsidRPr="004C78D8" w:rsidRDefault="0025223A" w:rsidP="00FB7C1F">
            <w:pPr>
              <w:jc w:val="center"/>
              <w:rPr>
                <w:sz w:val="20"/>
                <w:szCs w:val="20"/>
              </w:rPr>
            </w:pPr>
          </w:p>
        </w:tc>
        <w:tc>
          <w:tcPr>
            <w:tcW w:w="459" w:type="pct"/>
            <w:tcBorders>
              <w:bottom w:val="nil"/>
            </w:tcBorders>
            <w:vAlign w:val="center"/>
          </w:tcPr>
          <w:p w14:paraId="1CA4D06C" w14:textId="77777777" w:rsidR="0025223A" w:rsidRPr="004C78D8" w:rsidRDefault="0025223A" w:rsidP="00FB7C1F">
            <w:pPr>
              <w:jc w:val="center"/>
              <w:rPr>
                <w:sz w:val="28"/>
                <w:szCs w:val="28"/>
              </w:rPr>
            </w:pPr>
            <w:r w:rsidRPr="004C78D8">
              <w:rPr>
                <w:rFonts w:cs="Times New Roman"/>
                <w:sz w:val="28"/>
                <w:szCs w:val="28"/>
              </w:rPr>
              <w:t>˟</w:t>
            </w:r>
          </w:p>
        </w:tc>
        <w:tc>
          <w:tcPr>
            <w:tcW w:w="408" w:type="pct"/>
            <w:tcBorders>
              <w:bottom w:val="nil"/>
            </w:tcBorders>
            <w:vAlign w:val="center"/>
          </w:tcPr>
          <w:p w14:paraId="79DC710F" w14:textId="77777777" w:rsidR="0025223A" w:rsidRPr="004C78D8" w:rsidRDefault="0025223A" w:rsidP="00FB7C1F">
            <w:pPr>
              <w:jc w:val="center"/>
              <w:rPr>
                <w:sz w:val="18"/>
                <w:szCs w:val="18"/>
              </w:rPr>
            </w:pPr>
            <w:r w:rsidRPr="004C78D8">
              <w:rPr>
                <w:sz w:val="18"/>
                <w:szCs w:val="18"/>
              </w:rPr>
              <w:t>Unit cost</w:t>
            </w:r>
          </w:p>
        </w:tc>
      </w:tr>
      <w:tr w:rsidR="0025223A" w:rsidRPr="004C78D8" w14:paraId="3ADB840F" w14:textId="77777777" w:rsidTr="002828C1">
        <w:tc>
          <w:tcPr>
            <w:tcW w:w="662" w:type="pct"/>
          </w:tcPr>
          <w:p w14:paraId="6E57E22D" w14:textId="77777777" w:rsidR="0025223A" w:rsidRPr="004C78D8" w:rsidRDefault="0025223A" w:rsidP="00FB7C1F">
            <w:pPr>
              <w:jc w:val="left"/>
              <w:rPr>
                <w:sz w:val="18"/>
                <w:szCs w:val="18"/>
              </w:rPr>
            </w:pPr>
            <w:r w:rsidRPr="004C78D8">
              <w:rPr>
                <w:sz w:val="18"/>
                <w:szCs w:val="18"/>
              </w:rPr>
              <w:lastRenderedPageBreak/>
              <w:t>Zarca (2014)</w:t>
            </w:r>
          </w:p>
        </w:tc>
        <w:tc>
          <w:tcPr>
            <w:tcW w:w="765" w:type="pct"/>
          </w:tcPr>
          <w:p w14:paraId="3C8CC4B2" w14:textId="77777777" w:rsidR="0025223A" w:rsidRPr="004C78D8" w:rsidRDefault="0025223A" w:rsidP="00FB7C1F">
            <w:pPr>
              <w:jc w:val="left"/>
              <w:rPr>
                <w:sz w:val="18"/>
                <w:szCs w:val="18"/>
              </w:rPr>
            </w:pPr>
            <w:r w:rsidRPr="004C78D8">
              <w:rPr>
                <w:sz w:val="18"/>
                <w:szCs w:val="18"/>
              </w:rPr>
              <w:t>Vit. D screening and supplementation</w:t>
            </w:r>
          </w:p>
        </w:tc>
        <w:tc>
          <w:tcPr>
            <w:tcW w:w="255" w:type="pct"/>
            <w:tcBorders>
              <w:top w:val="nil"/>
              <w:bottom w:val="nil"/>
            </w:tcBorders>
            <w:vAlign w:val="center"/>
          </w:tcPr>
          <w:p w14:paraId="7F62AD50" w14:textId="77777777" w:rsidR="0025223A" w:rsidRPr="004C78D8" w:rsidRDefault="0025223A" w:rsidP="00FB7C1F">
            <w:pPr>
              <w:jc w:val="center"/>
              <w:rPr>
                <w:sz w:val="20"/>
                <w:szCs w:val="20"/>
              </w:rPr>
            </w:pPr>
          </w:p>
        </w:tc>
        <w:tc>
          <w:tcPr>
            <w:tcW w:w="408" w:type="pct"/>
            <w:tcBorders>
              <w:top w:val="nil"/>
              <w:bottom w:val="nil"/>
            </w:tcBorders>
            <w:vAlign w:val="center"/>
          </w:tcPr>
          <w:p w14:paraId="079FCF4D" w14:textId="77777777" w:rsidR="0025223A" w:rsidRPr="004C78D8" w:rsidRDefault="0025223A" w:rsidP="00FB7C1F">
            <w:pPr>
              <w:jc w:val="center"/>
              <w:rPr>
                <w:sz w:val="20"/>
                <w:szCs w:val="20"/>
              </w:rPr>
            </w:pPr>
          </w:p>
        </w:tc>
        <w:tc>
          <w:tcPr>
            <w:tcW w:w="357" w:type="pct"/>
            <w:tcBorders>
              <w:top w:val="nil"/>
              <w:bottom w:val="nil"/>
            </w:tcBorders>
            <w:vAlign w:val="center"/>
          </w:tcPr>
          <w:p w14:paraId="18E06C8E" w14:textId="77777777" w:rsidR="0025223A" w:rsidRPr="004C78D8" w:rsidRDefault="0025223A" w:rsidP="00FB7C1F">
            <w:pPr>
              <w:jc w:val="center"/>
              <w:rPr>
                <w:sz w:val="18"/>
                <w:szCs w:val="18"/>
              </w:rPr>
            </w:pPr>
            <w:r w:rsidRPr="004C78D8">
              <w:rPr>
                <w:rFonts w:cs="Times New Roman"/>
                <w:sz w:val="18"/>
                <w:szCs w:val="18"/>
              </w:rPr>
              <w:t>Vit. D</w:t>
            </w:r>
          </w:p>
        </w:tc>
        <w:tc>
          <w:tcPr>
            <w:tcW w:w="358" w:type="pct"/>
            <w:tcBorders>
              <w:top w:val="nil"/>
              <w:bottom w:val="nil"/>
            </w:tcBorders>
            <w:vAlign w:val="center"/>
          </w:tcPr>
          <w:p w14:paraId="74B1442C" w14:textId="77777777" w:rsidR="0025223A" w:rsidRPr="004C78D8" w:rsidRDefault="0025223A" w:rsidP="00FB7C1F">
            <w:pPr>
              <w:jc w:val="center"/>
              <w:rPr>
                <w:sz w:val="20"/>
                <w:szCs w:val="20"/>
              </w:rPr>
            </w:pPr>
          </w:p>
        </w:tc>
        <w:tc>
          <w:tcPr>
            <w:tcW w:w="306" w:type="pct"/>
            <w:tcBorders>
              <w:top w:val="nil"/>
              <w:bottom w:val="nil"/>
            </w:tcBorders>
            <w:vAlign w:val="center"/>
          </w:tcPr>
          <w:p w14:paraId="4F913BDA" w14:textId="77777777" w:rsidR="0025223A" w:rsidRPr="004C78D8" w:rsidRDefault="0025223A" w:rsidP="00FB7C1F">
            <w:pPr>
              <w:jc w:val="center"/>
              <w:rPr>
                <w:sz w:val="28"/>
                <w:szCs w:val="28"/>
              </w:rPr>
            </w:pPr>
            <w:r w:rsidRPr="004C78D8">
              <w:rPr>
                <w:rFonts w:cs="Times New Roman"/>
                <w:sz w:val="28"/>
                <w:szCs w:val="28"/>
              </w:rPr>
              <w:t>˟</w:t>
            </w:r>
          </w:p>
        </w:tc>
        <w:tc>
          <w:tcPr>
            <w:tcW w:w="306" w:type="pct"/>
            <w:tcBorders>
              <w:top w:val="nil"/>
              <w:bottom w:val="nil"/>
            </w:tcBorders>
          </w:tcPr>
          <w:p w14:paraId="11B1FB61" w14:textId="77777777" w:rsidR="0025223A" w:rsidRPr="004C78D8" w:rsidRDefault="0025223A" w:rsidP="00FB7C1F">
            <w:pPr>
              <w:jc w:val="center"/>
              <w:rPr>
                <w:sz w:val="20"/>
                <w:szCs w:val="20"/>
              </w:rPr>
            </w:pPr>
          </w:p>
        </w:tc>
        <w:tc>
          <w:tcPr>
            <w:tcW w:w="357" w:type="pct"/>
            <w:tcBorders>
              <w:top w:val="nil"/>
              <w:bottom w:val="nil"/>
            </w:tcBorders>
            <w:vAlign w:val="center"/>
          </w:tcPr>
          <w:p w14:paraId="74058244" w14:textId="77777777" w:rsidR="0025223A" w:rsidRPr="004C78D8" w:rsidRDefault="0025223A" w:rsidP="00FB7C1F">
            <w:pPr>
              <w:jc w:val="center"/>
              <w:rPr>
                <w:sz w:val="20"/>
                <w:szCs w:val="20"/>
              </w:rPr>
            </w:pPr>
          </w:p>
        </w:tc>
        <w:tc>
          <w:tcPr>
            <w:tcW w:w="357" w:type="pct"/>
            <w:tcBorders>
              <w:top w:val="nil"/>
              <w:bottom w:val="nil"/>
            </w:tcBorders>
            <w:vAlign w:val="center"/>
          </w:tcPr>
          <w:p w14:paraId="1263563A" w14:textId="77777777" w:rsidR="0025223A" w:rsidRPr="004C78D8" w:rsidRDefault="0025223A" w:rsidP="00FB7C1F">
            <w:pPr>
              <w:jc w:val="center"/>
              <w:rPr>
                <w:sz w:val="20"/>
                <w:szCs w:val="20"/>
              </w:rPr>
            </w:pPr>
          </w:p>
        </w:tc>
        <w:tc>
          <w:tcPr>
            <w:tcW w:w="459" w:type="pct"/>
            <w:tcBorders>
              <w:top w:val="nil"/>
              <w:bottom w:val="nil"/>
            </w:tcBorders>
            <w:vAlign w:val="center"/>
          </w:tcPr>
          <w:p w14:paraId="07EFBBBA" w14:textId="77777777" w:rsidR="0025223A" w:rsidRPr="004C78D8" w:rsidRDefault="0025223A" w:rsidP="00FB7C1F">
            <w:pPr>
              <w:jc w:val="center"/>
              <w:rPr>
                <w:sz w:val="28"/>
                <w:szCs w:val="28"/>
              </w:rPr>
            </w:pPr>
            <w:r w:rsidRPr="004C78D8">
              <w:rPr>
                <w:rFonts w:cs="Times New Roman"/>
                <w:sz w:val="28"/>
                <w:szCs w:val="28"/>
              </w:rPr>
              <w:t>˟</w:t>
            </w:r>
          </w:p>
        </w:tc>
        <w:tc>
          <w:tcPr>
            <w:tcW w:w="408" w:type="pct"/>
            <w:tcBorders>
              <w:top w:val="nil"/>
              <w:bottom w:val="nil"/>
            </w:tcBorders>
            <w:vAlign w:val="center"/>
          </w:tcPr>
          <w:p w14:paraId="13017B15" w14:textId="77777777" w:rsidR="0025223A" w:rsidRPr="004C78D8" w:rsidRDefault="0025223A" w:rsidP="00FB7C1F">
            <w:pPr>
              <w:jc w:val="center"/>
              <w:rPr>
                <w:sz w:val="18"/>
                <w:szCs w:val="18"/>
              </w:rPr>
            </w:pPr>
            <w:r w:rsidRPr="004C78D8">
              <w:rPr>
                <w:sz w:val="18"/>
                <w:szCs w:val="18"/>
              </w:rPr>
              <w:t>Unit cost</w:t>
            </w:r>
          </w:p>
        </w:tc>
      </w:tr>
      <w:tr w:rsidR="0025223A" w:rsidRPr="004C78D8" w14:paraId="18FDC503" w14:textId="77777777" w:rsidTr="002828C1">
        <w:tc>
          <w:tcPr>
            <w:tcW w:w="662" w:type="pct"/>
          </w:tcPr>
          <w:p w14:paraId="12660C78" w14:textId="77777777" w:rsidR="0025223A" w:rsidRPr="004C78D8" w:rsidRDefault="0025223A" w:rsidP="00FB7C1F">
            <w:pPr>
              <w:jc w:val="left"/>
              <w:rPr>
                <w:sz w:val="18"/>
                <w:szCs w:val="18"/>
              </w:rPr>
            </w:pPr>
            <w:r w:rsidRPr="004C78D8">
              <w:rPr>
                <w:sz w:val="18"/>
                <w:szCs w:val="18"/>
              </w:rPr>
              <w:t>Frick (2010)</w:t>
            </w:r>
          </w:p>
        </w:tc>
        <w:tc>
          <w:tcPr>
            <w:tcW w:w="765" w:type="pct"/>
          </w:tcPr>
          <w:p w14:paraId="6FF902FA" w14:textId="77777777" w:rsidR="0025223A" w:rsidRPr="004C78D8" w:rsidRDefault="0025223A" w:rsidP="00FB7C1F">
            <w:pPr>
              <w:jc w:val="left"/>
              <w:rPr>
                <w:sz w:val="18"/>
                <w:szCs w:val="18"/>
              </w:rPr>
            </w:pPr>
            <w:r w:rsidRPr="004C78D8">
              <w:rPr>
                <w:sz w:val="18"/>
                <w:szCs w:val="18"/>
              </w:rPr>
              <w:t>Vit. D</w:t>
            </w:r>
          </w:p>
        </w:tc>
        <w:tc>
          <w:tcPr>
            <w:tcW w:w="255" w:type="pct"/>
            <w:tcBorders>
              <w:top w:val="nil"/>
              <w:bottom w:val="nil"/>
            </w:tcBorders>
            <w:vAlign w:val="center"/>
          </w:tcPr>
          <w:p w14:paraId="3EF4112E" w14:textId="77777777" w:rsidR="0025223A" w:rsidRPr="004C78D8" w:rsidRDefault="0025223A" w:rsidP="00FB7C1F">
            <w:pPr>
              <w:jc w:val="center"/>
              <w:rPr>
                <w:sz w:val="20"/>
                <w:szCs w:val="20"/>
              </w:rPr>
            </w:pPr>
          </w:p>
        </w:tc>
        <w:tc>
          <w:tcPr>
            <w:tcW w:w="408" w:type="pct"/>
            <w:tcBorders>
              <w:top w:val="nil"/>
              <w:bottom w:val="nil"/>
            </w:tcBorders>
            <w:vAlign w:val="center"/>
          </w:tcPr>
          <w:p w14:paraId="3443DBF7" w14:textId="77777777" w:rsidR="0025223A" w:rsidRPr="004C78D8" w:rsidRDefault="0025223A" w:rsidP="00FB7C1F">
            <w:pPr>
              <w:jc w:val="center"/>
              <w:rPr>
                <w:sz w:val="20"/>
                <w:szCs w:val="20"/>
              </w:rPr>
            </w:pPr>
          </w:p>
        </w:tc>
        <w:tc>
          <w:tcPr>
            <w:tcW w:w="357" w:type="pct"/>
            <w:tcBorders>
              <w:top w:val="nil"/>
              <w:bottom w:val="nil"/>
            </w:tcBorders>
            <w:vAlign w:val="center"/>
          </w:tcPr>
          <w:p w14:paraId="2A5A6CCC" w14:textId="77777777" w:rsidR="0025223A" w:rsidRPr="004C78D8" w:rsidRDefault="0025223A" w:rsidP="00FB7C1F">
            <w:pPr>
              <w:jc w:val="center"/>
              <w:rPr>
                <w:sz w:val="18"/>
                <w:szCs w:val="18"/>
              </w:rPr>
            </w:pPr>
          </w:p>
        </w:tc>
        <w:tc>
          <w:tcPr>
            <w:tcW w:w="358" w:type="pct"/>
            <w:tcBorders>
              <w:top w:val="nil"/>
              <w:bottom w:val="nil"/>
            </w:tcBorders>
            <w:vAlign w:val="center"/>
          </w:tcPr>
          <w:p w14:paraId="6A0C8E52" w14:textId="77777777" w:rsidR="0025223A" w:rsidRPr="004C78D8" w:rsidRDefault="0025223A" w:rsidP="00FB7C1F">
            <w:pPr>
              <w:jc w:val="center"/>
              <w:rPr>
                <w:sz w:val="20"/>
                <w:szCs w:val="20"/>
              </w:rPr>
            </w:pPr>
          </w:p>
        </w:tc>
        <w:tc>
          <w:tcPr>
            <w:tcW w:w="306" w:type="pct"/>
            <w:tcBorders>
              <w:top w:val="nil"/>
              <w:bottom w:val="nil"/>
            </w:tcBorders>
            <w:vAlign w:val="center"/>
          </w:tcPr>
          <w:p w14:paraId="7EBCD32D" w14:textId="77777777" w:rsidR="0025223A" w:rsidRPr="004C78D8" w:rsidRDefault="0025223A" w:rsidP="00FB7C1F">
            <w:pPr>
              <w:jc w:val="center"/>
              <w:rPr>
                <w:sz w:val="28"/>
                <w:szCs w:val="28"/>
              </w:rPr>
            </w:pPr>
            <w:r w:rsidRPr="004C78D8">
              <w:rPr>
                <w:rFonts w:cs="Times New Roman"/>
                <w:sz w:val="28"/>
                <w:szCs w:val="28"/>
              </w:rPr>
              <w:t>˟</w:t>
            </w:r>
          </w:p>
        </w:tc>
        <w:tc>
          <w:tcPr>
            <w:tcW w:w="306" w:type="pct"/>
            <w:tcBorders>
              <w:top w:val="nil"/>
              <w:bottom w:val="nil"/>
            </w:tcBorders>
          </w:tcPr>
          <w:p w14:paraId="2CFE5B10" w14:textId="77777777" w:rsidR="0025223A" w:rsidRPr="004C78D8" w:rsidRDefault="0025223A" w:rsidP="00FB7C1F">
            <w:pPr>
              <w:jc w:val="center"/>
              <w:rPr>
                <w:sz w:val="20"/>
                <w:szCs w:val="20"/>
              </w:rPr>
            </w:pPr>
          </w:p>
        </w:tc>
        <w:tc>
          <w:tcPr>
            <w:tcW w:w="357" w:type="pct"/>
            <w:tcBorders>
              <w:top w:val="nil"/>
              <w:bottom w:val="nil"/>
            </w:tcBorders>
            <w:vAlign w:val="center"/>
          </w:tcPr>
          <w:p w14:paraId="34F83613" w14:textId="77777777" w:rsidR="0025223A" w:rsidRPr="004C78D8" w:rsidRDefault="0025223A" w:rsidP="00FB7C1F">
            <w:pPr>
              <w:jc w:val="center"/>
              <w:rPr>
                <w:sz w:val="20"/>
                <w:szCs w:val="20"/>
              </w:rPr>
            </w:pPr>
          </w:p>
        </w:tc>
        <w:tc>
          <w:tcPr>
            <w:tcW w:w="357" w:type="pct"/>
            <w:tcBorders>
              <w:top w:val="nil"/>
              <w:bottom w:val="nil"/>
            </w:tcBorders>
            <w:vAlign w:val="center"/>
          </w:tcPr>
          <w:p w14:paraId="313F58C3" w14:textId="77777777" w:rsidR="0025223A" w:rsidRPr="004C78D8" w:rsidRDefault="0025223A" w:rsidP="00FB7C1F">
            <w:pPr>
              <w:jc w:val="center"/>
              <w:rPr>
                <w:sz w:val="18"/>
                <w:szCs w:val="18"/>
              </w:rPr>
            </w:pPr>
            <w:r w:rsidRPr="004C78D8">
              <w:rPr>
                <w:sz w:val="18"/>
                <w:szCs w:val="18"/>
              </w:rPr>
              <w:t>OH</w:t>
            </w:r>
          </w:p>
        </w:tc>
        <w:tc>
          <w:tcPr>
            <w:tcW w:w="459" w:type="pct"/>
            <w:tcBorders>
              <w:top w:val="nil"/>
              <w:bottom w:val="nil"/>
            </w:tcBorders>
            <w:vAlign w:val="center"/>
          </w:tcPr>
          <w:p w14:paraId="663CECDB" w14:textId="77777777" w:rsidR="0025223A" w:rsidRPr="004C78D8" w:rsidRDefault="0025223A" w:rsidP="00FB7C1F">
            <w:pPr>
              <w:jc w:val="center"/>
              <w:rPr>
                <w:sz w:val="18"/>
                <w:szCs w:val="18"/>
              </w:rPr>
            </w:pPr>
            <w:r w:rsidRPr="004C78D8">
              <w:rPr>
                <w:sz w:val="18"/>
                <w:szCs w:val="18"/>
              </w:rPr>
              <w:t>Not specified</w:t>
            </w:r>
          </w:p>
        </w:tc>
        <w:tc>
          <w:tcPr>
            <w:tcW w:w="408" w:type="pct"/>
            <w:tcBorders>
              <w:top w:val="nil"/>
              <w:bottom w:val="nil"/>
            </w:tcBorders>
            <w:vAlign w:val="center"/>
          </w:tcPr>
          <w:p w14:paraId="4A577A5B" w14:textId="77777777" w:rsidR="0025223A" w:rsidRPr="004C78D8" w:rsidRDefault="0025223A" w:rsidP="00FB7C1F">
            <w:pPr>
              <w:jc w:val="center"/>
              <w:rPr>
                <w:sz w:val="18"/>
                <w:szCs w:val="18"/>
              </w:rPr>
            </w:pPr>
            <w:r w:rsidRPr="004C78D8">
              <w:rPr>
                <w:sz w:val="18"/>
                <w:szCs w:val="18"/>
              </w:rPr>
              <w:t>PP</w:t>
            </w:r>
          </w:p>
        </w:tc>
      </w:tr>
      <w:tr w:rsidR="0025223A" w:rsidRPr="004C78D8" w14:paraId="07118F43" w14:textId="77777777" w:rsidTr="002828C1">
        <w:tc>
          <w:tcPr>
            <w:tcW w:w="662" w:type="pct"/>
          </w:tcPr>
          <w:p w14:paraId="5A7BB04C" w14:textId="77777777" w:rsidR="0025223A" w:rsidRPr="004C78D8" w:rsidRDefault="0025223A" w:rsidP="00FB7C1F">
            <w:pPr>
              <w:jc w:val="left"/>
              <w:rPr>
                <w:sz w:val="18"/>
                <w:szCs w:val="18"/>
              </w:rPr>
            </w:pPr>
            <w:r w:rsidRPr="004C78D8">
              <w:rPr>
                <w:sz w:val="18"/>
                <w:szCs w:val="18"/>
              </w:rPr>
              <w:t>Hiligsmann (2014)</w:t>
            </w:r>
          </w:p>
        </w:tc>
        <w:tc>
          <w:tcPr>
            <w:tcW w:w="765" w:type="pct"/>
          </w:tcPr>
          <w:p w14:paraId="562733E4" w14:textId="77777777" w:rsidR="0025223A" w:rsidRPr="004C78D8" w:rsidRDefault="0025223A" w:rsidP="00FB7C1F">
            <w:pPr>
              <w:jc w:val="left"/>
              <w:rPr>
                <w:sz w:val="18"/>
                <w:szCs w:val="18"/>
              </w:rPr>
            </w:pPr>
            <w:r w:rsidRPr="004C78D8">
              <w:rPr>
                <w:sz w:val="18"/>
                <w:szCs w:val="18"/>
              </w:rPr>
              <w:t xml:space="preserve">Vit. D screening and Vit. D + calcium </w:t>
            </w:r>
          </w:p>
        </w:tc>
        <w:tc>
          <w:tcPr>
            <w:tcW w:w="255" w:type="pct"/>
            <w:tcBorders>
              <w:top w:val="nil"/>
              <w:bottom w:val="nil"/>
            </w:tcBorders>
            <w:vAlign w:val="center"/>
          </w:tcPr>
          <w:p w14:paraId="38FE9B54" w14:textId="77777777" w:rsidR="0025223A" w:rsidRPr="004C78D8" w:rsidRDefault="0025223A" w:rsidP="00FB7C1F">
            <w:pPr>
              <w:jc w:val="center"/>
              <w:rPr>
                <w:sz w:val="20"/>
                <w:szCs w:val="20"/>
              </w:rPr>
            </w:pPr>
          </w:p>
        </w:tc>
        <w:tc>
          <w:tcPr>
            <w:tcW w:w="408" w:type="pct"/>
            <w:tcBorders>
              <w:top w:val="nil"/>
              <w:bottom w:val="nil"/>
            </w:tcBorders>
            <w:vAlign w:val="center"/>
          </w:tcPr>
          <w:p w14:paraId="1A99B5C4" w14:textId="77777777" w:rsidR="0025223A" w:rsidRPr="004C78D8" w:rsidRDefault="0025223A" w:rsidP="00FB7C1F">
            <w:pPr>
              <w:jc w:val="center"/>
              <w:rPr>
                <w:sz w:val="20"/>
                <w:szCs w:val="20"/>
              </w:rPr>
            </w:pPr>
          </w:p>
        </w:tc>
        <w:tc>
          <w:tcPr>
            <w:tcW w:w="357" w:type="pct"/>
            <w:tcBorders>
              <w:top w:val="nil"/>
              <w:bottom w:val="nil"/>
            </w:tcBorders>
            <w:vAlign w:val="center"/>
          </w:tcPr>
          <w:p w14:paraId="15DEE849" w14:textId="77777777" w:rsidR="0025223A" w:rsidRPr="004C78D8" w:rsidRDefault="0025223A" w:rsidP="00FB7C1F">
            <w:pPr>
              <w:jc w:val="center"/>
              <w:rPr>
                <w:sz w:val="18"/>
                <w:szCs w:val="18"/>
              </w:rPr>
            </w:pPr>
            <w:r w:rsidRPr="004C78D8">
              <w:rPr>
                <w:sz w:val="18"/>
                <w:szCs w:val="18"/>
              </w:rPr>
              <w:t>BMD</w:t>
            </w:r>
          </w:p>
        </w:tc>
        <w:tc>
          <w:tcPr>
            <w:tcW w:w="358" w:type="pct"/>
            <w:tcBorders>
              <w:top w:val="nil"/>
              <w:bottom w:val="nil"/>
            </w:tcBorders>
            <w:vAlign w:val="center"/>
          </w:tcPr>
          <w:p w14:paraId="23820852" w14:textId="77777777" w:rsidR="0025223A" w:rsidRPr="004C78D8" w:rsidRDefault="0025223A" w:rsidP="00FB7C1F">
            <w:pPr>
              <w:jc w:val="center"/>
              <w:rPr>
                <w:sz w:val="20"/>
                <w:szCs w:val="20"/>
              </w:rPr>
            </w:pPr>
          </w:p>
        </w:tc>
        <w:tc>
          <w:tcPr>
            <w:tcW w:w="306" w:type="pct"/>
            <w:tcBorders>
              <w:top w:val="nil"/>
              <w:bottom w:val="nil"/>
            </w:tcBorders>
            <w:vAlign w:val="center"/>
          </w:tcPr>
          <w:p w14:paraId="4E85F66C" w14:textId="77777777" w:rsidR="0025223A" w:rsidRPr="004C78D8" w:rsidRDefault="0025223A" w:rsidP="00FB7C1F">
            <w:pPr>
              <w:jc w:val="center"/>
              <w:rPr>
                <w:sz w:val="28"/>
                <w:szCs w:val="28"/>
              </w:rPr>
            </w:pPr>
            <w:r w:rsidRPr="004C78D8">
              <w:rPr>
                <w:rFonts w:cs="Times New Roman"/>
                <w:sz w:val="28"/>
                <w:szCs w:val="28"/>
              </w:rPr>
              <w:t>˟</w:t>
            </w:r>
          </w:p>
        </w:tc>
        <w:tc>
          <w:tcPr>
            <w:tcW w:w="306" w:type="pct"/>
            <w:tcBorders>
              <w:top w:val="nil"/>
              <w:bottom w:val="nil"/>
            </w:tcBorders>
          </w:tcPr>
          <w:p w14:paraId="044B75C3" w14:textId="77777777" w:rsidR="0025223A" w:rsidRPr="004C78D8" w:rsidRDefault="0025223A" w:rsidP="00FB7C1F">
            <w:pPr>
              <w:jc w:val="center"/>
              <w:rPr>
                <w:sz w:val="20"/>
                <w:szCs w:val="20"/>
              </w:rPr>
            </w:pPr>
          </w:p>
        </w:tc>
        <w:tc>
          <w:tcPr>
            <w:tcW w:w="357" w:type="pct"/>
            <w:tcBorders>
              <w:top w:val="nil"/>
              <w:bottom w:val="nil"/>
            </w:tcBorders>
            <w:vAlign w:val="center"/>
          </w:tcPr>
          <w:p w14:paraId="5DF17C3A" w14:textId="77777777" w:rsidR="0025223A" w:rsidRPr="004C78D8" w:rsidRDefault="0025223A" w:rsidP="00FB7C1F">
            <w:pPr>
              <w:jc w:val="center"/>
              <w:rPr>
                <w:sz w:val="20"/>
                <w:szCs w:val="20"/>
              </w:rPr>
            </w:pPr>
          </w:p>
        </w:tc>
        <w:tc>
          <w:tcPr>
            <w:tcW w:w="357" w:type="pct"/>
            <w:tcBorders>
              <w:top w:val="nil"/>
              <w:bottom w:val="nil"/>
            </w:tcBorders>
            <w:vAlign w:val="center"/>
          </w:tcPr>
          <w:p w14:paraId="1437945D" w14:textId="77777777" w:rsidR="0025223A" w:rsidRPr="004C78D8" w:rsidRDefault="0025223A" w:rsidP="00FB7C1F">
            <w:pPr>
              <w:jc w:val="center"/>
              <w:rPr>
                <w:sz w:val="20"/>
                <w:szCs w:val="20"/>
              </w:rPr>
            </w:pPr>
          </w:p>
        </w:tc>
        <w:tc>
          <w:tcPr>
            <w:tcW w:w="459" w:type="pct"/>
            <w:tcBorders>
              <w:top w:val="nil"/>
              <w:bottom w:val="nil"/>
            </w:tcBorders>
            <w:vAlign w:val="center"/>
          </w:tcPr>
          <w:p w14:paraId="33437EB7" w14:textId="77777777" w:rsidR="0025223A" w:rsidRPr="004C78D8" w:rsidRDefault="0025223A" w:rsidP="00FB7C1F">
            <w:pPr>
              <w:jc w:val="center"/>
              <w:rPr>
                <w:sz w:val="28"/>
                <w:szCs w:val="28"/>
              </w:rPr>
            </w:pPr>
            <w:r w:rsidRPr="004C78D8">
              <w:rPr>
                <w:rFonts w:cs="Times New Roman"/>
                <w:sz w:val="28"/>
                <w:szCs w:val="28"/>
              </w:rPr>
              <w:t>˟</w:t>
            </w:r>
          </w:p>
        </w:tc>
        <w:tc>
          <w:tcPr>
            <w:tcW w:w="408" w:type="pct"/>
            <w:tcBorders>
              <w:top w:val="nil"/>
              <w:bottom w:val="nil"/>
            </w:tcBorders>
            <w:vAlign w:val="center"/>
          </w:tcPr>
          <w:p w14:paraId="3F60FE88" w14:textId="77777777" w:rsidR="0025223A" w:rsidRPr="004C78D8" w:rsidRDefault="0025223A" w:rsidP="00FB7C1F">
            <w:pPr>
              <w:jc w:val="center"/>
              <w:rPr>
                <w:sz w:val="18"/>
                <w:szCs w:val="18"/>
              </w:rPr>
            </w:pPr>
            <w:r w:rsidRPr="004C78D8">
              <w:rPr>
                <w:sz w:val="18"/>
                <w:szCs w:val="18"/>
              </w:rPr>
              <w:t>PP</w:t>
            </w:r>
          </w:p>
        </w:tc>
      </w:tr>
      <w:tr w:rsidR="0025223A" w:rsidRPr="004C78D8" w14:paraId="65C43FE6" w14:textId="77777777" w:rsidTr="002828C1">
        <w:tc>
          <w:tcPr>
            <w:tcW w:w="662" w:type="pct"/>
          </w:tcPr>
          <w:p w14:paraId="47B1A760" w14:textId="77777777" w:rsidR="0025223A" w:rsidRPr="004C78D8" w:rsidRDefault="0025223A" w:rsidP="00FB7C1F">
            <w:pPr>
              <w:jc w:val="left"/>
              <w:rPr>
                <w:sz w:val="18"/>
                <w:szCs w:val="18"/>
              </w:rPr>
            </w:pPr>
            <w:r w:rsidRPr="004C78D8">
              <w:rPr>
                <w:sz w:val="18"/>
                <w:szCs w:val="18"/>
              </w:rPr>
              <w:t>Nshimyumukiza (2013)</w:t>
            </w:r>
          </w:p>
        </w:tc>
        <w:tc>
          <w:tcPr>
            <w:tcW w:w="765" w:type="pct"/>
          </w:tcPr>
          <w:p w14:paraId="056EE3E6" w14:textId="77777777" w:rsidR="0025223A" w:rsidRPr="004C78D8" w:rsidRDefault="0025223A" w:rsidP="00FB7C1F">
            <w:pPr>
              <w:jc w:val="left"/>
              <w:rPr>
                <w:sz w:val="18"/>
                <w:szCs w:val="18"/>
              </w:rPr>
            </w:pPr>
            <w:r w:rsidRPr="004C78D8">
              <w:rPr>
                <w:sz w:val="18"/>
                <w:szCs w:val="18"/>
              </w:rPr>
              <w:t>Vit. D screening and Vit. D + calcium</w:t>
            </w:r>
          </w:p>
        </w:tc>
        <w:tc>
          <w:tcPr>
            <w:tcW w:w="255" w:type="pct"/>
            <w:tcBorders>
              <w:top w:val="nil"/>
              <w:bottom w:val="nil"/>
            </w:tcBorders>
            <w:vAlign w:val="center"/>
          </w:tcPr>
          <w:p w14:paraId="0A298FC0" w14:textId="77777777" w:rsidR="0025223A" w:rsidRPr="004C78D8" w:rsidRDefault="0025223A" w:rsidP="00FB7C1F">
            <w:pPr>
              <w:jc w:val="center"/>
              <w:rPr>
                <w:sz w:val="20"/>
                <w:szCs w:val="20"/>
              </w:rPr>
            </w:pPr>
          </w:p>
        </w:tc>
        <w:tc>
          <w:tcPr>
            <w:tcW w:w="408" w:type="pct"/>
            <w:tcBorders>
              <w:top w:val="nil"/>
              <w:bottom w:val="nil"/>
            </w:tcBorders>
            <w:vAlign w:val="center"/>
          </w:tcPr>
          <w:p w14:paraId="777C7E21" w14:textId="77777777" w:rsidR="0025223A" w:rsidRPr="004C78D8" w:rsidRDefault="0025223A" w:rsidP="00FB7C1F">
            <w:pPr>
              <w:jc w:val="center"/>
              <w:rPr>
                <w:sz w:val="20"/>
                <w:szCs w:val="20"/>
              </w:rPr>
            </w:pPr>
          </w:p>
        </w:tc>
        <w:tc>
          <w:tcPr>
            <w:tcW w:w="357" w:type="pct"/>
            <w:tcBorders>
              <w:top w:val="nil"/>
              <w:bottom w:val="nil"/>
            </w:tcBorders>
            <w:vAlign w:val="center"/>
          </w:tcPr>
          <w:p w14:paraId="7DFFBFD4" w14:textId="77777777" w:rsidR="0025223A" w:rsidRPr="004C78D8" w:rsidRDefault="0025223A" w:rsidP="00FB7C1F">
            <w:pPr>
              <w:jc w:val="center"/>
              <w:rPr>
                <w:sz w:val="18"/>
                <w:szCs w:val="18"/>
              </w:rPr>
            </w:pPr>
            <w:r w:rsidRPr="004C78D8">
              <w:rPr>
                <w:sz w:val="18"/>
                <w:szCs w:val="18"/>
              </w:rPr>
              <w:t>BMD</w:t>
            </w:r>
          </w:p>
        </w:tc>
        <w:tc>
          <w:tcPr>
            <w:tcW w:w="358" w:type="pct"/>
            <w:tcBorders>
              <w:top w:val="nil"/>
              <w:bottom w:val="nil"/>
            </w:tcBorders>
            <w:vAlign w:val="center"/>
          </w:tcPr>
          <w:p w14:paraId="576F345B" w14:textId="77777777" w:rsidR="0025223A" w:rsidRPr="004C78D8" w:rsidRDefault="0025223A" w:rsidP="00FB7C1F">
            <w:pPr>
              <w:jc w:val="center"/>
              <w:rPr>
                <w:sz w:val="20"/>
                <w:szCs w:val="20"/>
              </w:rPr>
            </w:pPr>
          </w:p>
        </w:tc>
        <w:tc>
          <w:tcPr>
            <w:tcW w:w="306" w:type="pct"/>
            <w:tcBorders>
              <w:top w:val="nil"/>
              <w:bottom w:val="nil"/>
            </w:tcBorders>
            <w:vAlign w:val="center"/>
          </w:tcPr>
          <w:p w14:paraId="60386923" w14:textId="77777777" w:rsidR="0025223A" w:rsidRPr="004C78D8" w:rsidRDefault="0025223A" w:rsidP="00FB7C1F">
            <w:pPr>
              <w:jc w:val="center"/>
              <w:rPr>
                <w:sz w:val="20"/>
                <w:szCs w:val="20"/>
              </w:rPr>
            </w:pPr>
          </w:p>
        </w:tc>
        <w:tc>
          <w:tcPr>
            <w:tcW w:w="306" w:type="pct"/>
            <w:tcBorders>
              <w:top w:val="nil"/>
              <w:bottom w:val="nil"/>
            </w:tcBorders>
          </w:tcPr>
          <w:p w14:paraId="6F265B00" w14:textId="77777777" w:rsidR="0025223A" w:rsidRPr="004C78D8" w:rsidRDefault="0025223A" w:rsidP="00FB7C1F">
            <w:pPr>
              <w:jc w:val="center"/>
              <w:rPr>
                <w:sz w:val="20"/>
                <w:szCs w:val="20"/>
              </w:rPr>
            </w:pPr>
          </w:p>
        </w:tc>
        <w:tc>
          <w:tcPr>
            <w:tcW w:w="357" w:type="pct"/>
            <w:tcBorders>
              <w:top w:val="nil"/>
              <w:bottom w:val="nil"/>
            </w:tcBorders>
            <w:vAlign w:val="center"/>
          </w:tcPr>
          <w:p w14:paraId="2D7DEF6F" w14:textId="77777777" w:rsidR="0025223A" w:rsidRPr="004C78D8" w:rsidRDefault="0025223A" w:rsidP="00FB7C1F">
            <w:pPr>
              <w:jc w:val="center"/>
              <w:rPr>
                <w:sz w:val="20"/>
                <w:szCs w:val="20"/>
              </w:rPr>
            </w:pPr>
          </w:p>
        </w:tc>
        <w:tc>
          <w:tcPr>
            <w:tcW w:w="357" w:type="pct"/>
            <w:tcBorders>
              <w:top w:val="nil"/>
              <w:bottom w:val="nil"/>
            </w:tcBorders>
            <w:vAlign w:val="center"/>
          </w:tcPr>
          <w:p w14:paraId="53574679" w14:textId="77777777" w:rsidR="0025223A" w:rsidRPr="004C78D8" w:rsidRDefault="0025223A" w:rsidP="00FB7C1F">
            <w:pPr>
              <w:jc w:val="center"/>
              <w:rPr>
                <w:sz w:val="20"/>
                <w:szCs w:val="20"/>
              </w:rPr>
            </w:pPr>
          </w:p>
        </w:tc>
        <w:tc>
          <w:tcPr>
            <w:tcW w:w="459" w:type="pct"/>
            <w:tcBorders>
              <w:top w:val="nil"/>
              <w:bottom w:val="nil"/>
            </w:tcBorders>
            <w:vAlign w:val="center"/>
          </w:tcPr>
          <w:p w14:paraId="56375EEE" w14:textId="77777777" w:rsidR="0025223A" w:rsidRPr="004C78D8" w:rsidRDefault="0025223A" w:rsidP="00FB7C1F">
            <w:pPr>
              <w:jc w:val="center"/>
              <w:rPr>
                <w:sz w:val="28"/>
                <w:szCs w:val="28"/>
              </w:rPr>
            </w:pPr>
            <w:r w:rsidRPr="004C78D8">
              <w:rPr>
                <w:rFonts w:cs="Times New Roman"/>
                <w:sz w:val="28"/>
                <w:szCs w:val="28"/>
              </w:rPr>
              <w:t>˟</w:t>
            </w:r>
          </w:p>
        </w:tc>
        <w:tc>
          <w:tcPr>
            <w:tcW w:w="408" w:type="pct"/>
            <w:tcBorders>
              <w:top w:val="nil"/>
              <w:bottom w:val="nil"/>
            </w:tcBorders>
            <w:vAlign w:val="center"/>
          </w:tcPr>
          <w:p w14:paraId="2541BB89" w14:textId="77777777" w:rsidR="0025223A" w:rsidRPr="004C78D8" w:rsidRDefault="0025223A" w:rsidP="00FB7C1F">
            <w:pPr>
              <w:jc w:val="center"/>
              <w:rPr>
                <w:sz w:val="18"/>
                <w:szCs w:val="18"/>
              </w:rPr>
            </w:pPr>
            <w:r w:rsidRPr="004C78D8">
              <w:rPr>
                <w:sz w:val="18"/>
                <w:szCs w:val="18"/>
              </w:rPr>
              <w:t>PP</w:t>
            </w:r>
          </w:p>
        </w:tc>
      </w:tr>
      <w:tr w:rsidR="0025223A" w:rsidRPr="004C78D8" w14:paraId="5141ACE5" w14:textId="77777777" w:rsidTr="002828C1">
        <w:tc>
          <w:tcPr>
            <w:tcW w:w="662" w:type="pct"/>
          </w:tcPr>
          <w:p w14:paraId="34D43F2F" w14:textId="77777777" w:rsidR="0025223A" w:rsidRPr="004C78D8" w:rsidRDefault="0025223A" w:rsidP="00FB7C1F">
            <w:pPr>
              <w:jc w:val="left"/>
              <w:rPr>
                <w:sz w:val="18"/>
                <w:szCs w:val="18"/>
              </w:rPr>
            </w:pPr>
            <w:r w:rsidRPr="004C78D8">
              <w:rPr>
                <w:sz w:val="18"/>
                <w:szCs w:val="18"/>
              </w:rPr>
              <w:t>OMAS (2008)</w:t>
            </w:r>
          </w:p>
        </w:tc>
        <w:tc>
          <w:tcPr>
            <w:tcW w:w="765" w:type="pct"/>
          </w:tcPr>
          <w:p w14:paraId="4D88C5BD" w14:textId="77777777" w:rsidR="0025223A" w:rsidRPr="004C78D8" w:rsidRDefault="0025223A" w:rsidP="00FB7C1F">
            <w:pPr>
              <w:jc w:val="left"/>
              <w:rPr>
                <w:sz w:val="18"/>
                <w:szCs w:val="18"/>
              </w:rPr>
            </w:pPr>
            <w:r w:rsidRPr="004C78D8">
              <w:rPr>
                <w:sz w:val="18"/>
                <w:szCs w:val="18"/>
              </w:rPr>
              <w:t>Vit. D + calcium</w:t>
            </w:r>
          </w:p>
        </w:tc>
        <w:tc>
          <w:tcPr>
            <w:tcW w:w="255" w:type="pct"/>
            <w:tcBorders>
              <w:top w:val="nil"/>
              <w:bottom w:val="nil"/>
            </w:tcBorders>
            <w:vAlign w:val="center"/>
          </w:tcPr>
          <w:p w14:paraId="1316D16F" w14:textId="77777777" w:rsidR="0025223A" w:rsidRPr="004C78D8" w:rsidRDefault="0025223A" w:rsidP="00FB7C1F">
            <w:pPr>
              <w:jc w:val="center"/>
              <w:rPr>
                <w:sz w:val="20"/>
                <w:szCs w:val="20"/>
              </w:rPr>
            </w:pPr>
          </w:p>
        </w:tc>
        <w:tc>
          <w:tcPr>
            <w:tcW w:w="408" w:type="pct"/>
            <w:tcBorders>
              <w:top w:val="nil"/>
              <w:bottom w:val="nil"/>
            </w:tcBorders>
            <w:vAlign w:val="center"/>
          </w:tcPr>
          <w:p w14:paraId="6D6D46C5" w14:textId="77777777" w:rsidR="0025223A" w:rsidRPr="004C78D8" w:rsidRDefault="0025223A" w:rsidP="00FB7C1F">
            <w:pPr>
              <w:jc w:val="center"/>
              <w:rPr>
                <w:sz w:val="20"/>
                <w:szCs w:val="20"/>
              </w:rPr>
            </w:pPr>
          </w:p>
        </w:tc>
        <w:tc>
          <w:tcPr>
            <w:tcW w:w="357" w:type="pct"/>
            <w:tcBorders>
              <w:top w:val="nil"/>
              <w:bottom w:val="nil"/>
            </w:tcBorders>
            <w:vAlign w:val="center"/>
          </w:tcPr>
          <w:p w14:paraId="1440DD4B" w14:textId="77777777" w:rsidR="0025223A" w:rsidRPr="004C78D8" w:rsidRDefault="0025223A" w:rsidP="00FB7C1F">
            <w:pPr>
              <w:jc w:val="center"/>
              <w:rPr>
                <w:sz w:val="20"/>
                <w:szCs w:val="20"/>
              </w:rPr>
            </w:pPr>
          </w:p>
        </w:tc>
        <w:tc>
          <w:tcPr>
            <w:tcW w:w="358" w:type="pct"/>
            <w:tcBorders>
              <w:top w:val="nil"/>
              <w:bottom w:val="nil"/>
            </w:tcBorders>
            <w:vAlign w:val="center"/>
          </w:tcPr>
          <w:p w14:paraId="1776451D" w14:textId="77777777" w:rsidR="0025223A" w:rsidRPr="004C78D8" w:rsidRDefault="0025223A" w:rsidP="00FB7C1F">
            <w:pPr>
              <w:jc w:val="center"/>
              <w:rPr>
                <w:sz w:val="20"/>
                <w:szCs w:val="20"/>
              </w:rPr>
            </w:pPr>
          </w:p>
        </w:tc>
        <w:tc>
          <w:tcPr>
            <w:tcW w:w="306" w:type="pct"/>
            <w:tcBorders>
              <w:top w:val="nil"/>
              <w:bottom w:val="nil"/>
            </w:tcBorders>
            <w:vAlign w:val="center"/>
          </w:tcPr>
          <w:p w14:paraId="2F462C39" w14:textId="77777777" w:rsidR="0025223A" w:rsidRPr="004C78D8" w:rsidRDefault="0025223A" w:rsidP="00FB7C1F">
            <w:pPr>
              <w:jc w:val="center"/>
              <w:rPr>
                <w:sz w:val="20"/>
                <w:szCs w:val="20"/>
              </w:rPr>
            </w:pPr>
          </w:p>
        </w:tc>
        <w:tc>
          <w:tcPr>
            <w:tcW w:w="306" w:type="pct"/>
            <w:tcBorders>
              <w:top w:val="nil"/>
              <w:bottom w:val="nil"/>
            </w:tcBorders>
          </w:tcPr>
          <w:p w14:paraId="321B5382" w14:textId="77777777" w:rsidR="0025223A" w:rsidRPr="004C78D8" w:rsidRDefault="0025223A" w:rsidP="00FB7C1F">
            <w:pPr>
              <w:jc w:val="center"/>
              <w:rPr>
                <w:sz w:val="20"/>
                <w:szCs w:val="20"/>
              </w:rPr>
            </w:pPr>
          </w:p>
        </w:tc>
        <w:tc>
          <w:tcPr>
            <w:tcW w:w="357" w:type="pct"/>
            <w:tcBorders>
              <w:top w:val="nil"/>
              <w:bottom w:val="nil"/>
            </w:tcBorders>
            <w:vAlign w:val="center"/>
          </w:tcPr>
          <w:p w14:paraId="5D5F8308" w14:textId="77777777" w:rsidR="0025223A" w:rsidRPr="004C78D8" w:rsidRDefault="0025223A" w:rsidP="00FB7C1F">
            <w:pPr>
              <w:jc w:val="center"/>
              <w:rPr>
                <w:sz w:val="20"/>
                <w:szCs w:val="20"/>
              </w:rPr>
            </w:pPr>
          </w:p>
        </w:tc>
        <w:tc>
          <w:tcPr>
            <w:tcW w:w="357" w:type="pct"/>
            <w:tcBorders>
              <w:top w:val="nil"/>
              <w:bottom w:val="nil"/>
            </w:tcBorders>
            <w:vAlign w:val="center"/>
          </w:tcPr>
          <w:p w14:paraId="3432BDD2" w14:textId="77777777" w:rsidR="0025223A" w:rsidRPr="004C78D8" w:rsidRDefault="0025223A" w:rsidP="00FB7C1F">
            <w:pPr>
              <w:jc w:val="center"/>
              <w:rPr>
                <w:sz w:val="20"/>
                <w:szCs w:val="20"/>
              </w:rPr>
            </w:pPr>
          </w:p>
        </w:tc>
        <w:tc>
          <w:tcPr>
            <w:tcW w:w="459" w:type="pct"/>
            <w:tcBorders>
              <w:top w:val="nil"/>
              <w:bottom w:val="nil"/>
            </w:tcBorders>
            <w:vAlign w:val="center"/>
          </w:tcPr>
          <w:p w14:paraId="19A8FB0E" w14:textId="77777777" w:rsidR="0025223A" w:rsidRPr="004C78D8" w:rsidRDefault="0025223A" w:rsidP="00FB7C1F">
            <w:pPr>
              <w:jc w:val="center"/>
              <w:rPr>
                <w:sz w:val="28"/>
                <w:szCs w:val="28"/>
              </w:rPr>
            </w:pPr>
            <w:r w:rsidRPr="004C78D8">
              <w:rPr>
                <w:rFonts w:cs="Times New Roman"/>
                <w:sz w:val="28"/>
                <w:szCs w:val="28"/>
              </w:rPr>
              <w:t>˟</w:t>
            </w:r>
          </w:p>
        </w:tc>
        <w:tc>
          <w:tcPr>
            <w:tcW w:w="408" w:type="pct"/>
            <w:tcBorders>
              <w:top w:val="nil"/>
              <w:bottom w:val="nil"/>
            </w:tcBorders>
            <w:vAlign w:val="center"/>
          </w:tcPr>
          <w:p w14:paraId="02B412CB" w14:textId="77777777" w:rsidR="0025223A" w:rsidRPr="004C78D8" w:rsidRDefault="0025223A" w:rsidP="00FB7C1F">
            <w:pPr>
              <w:jc w:val="center"/>
              <w:rPr>
                <w:sz w:val="18"/>
                <w:szCs w:val="18"/>
              </w:rPr>
            </w:pPr>
            <w:r w:rsidRPr="004C78D8">
              <w:rPr>
                <w:sz w:val="18"/>
                <w:szCs w:val="18"/>
              </w:rPr>
              <w:t>PP</w:t>
            </w:r>
          </w:p>
        </w:tc>
      </w:tr>
      <w:tr w:rsidR="0025223A" w:rsidRPr="004C78D8" w14:paraId="2A61DB68" w14:textId="77777777" w:rsidTr="002828C1">
        <w:tc>
          <w:tcPr>
            <w:tcW w:w="662" w:type="pct"/>
          </w:tcPr>
          <w:p w14:paraId="5F929B0B" w14:textId="77777777" w:rsidR="0025223A" w:rsidRPr="004C78D8" w:rsidRDefault="0025223A" w:rsidP="00FB7C1F">
            <w:pPr>
              <w:jc w:val="left"/>
              <w:rPr>
                <w:sz w:val="18"/>
                <w:szCs w:val="18"/>
              </w:rPr>
            </w:pPr>
            <w:r w:rsidRPr="004C78D8">
              <w:rPr>
                <w:sz w:val="18"/>
                <w:szCs w:val="18"/>
              </w:rPr>
              <w:t>Poole (2014); (2015)</w:t>
            </w:r>
          </w:p>
        </w:tc>
        <w:tc>
          <w:tcPr>
            <w:tcW w:w="765" w:type="pct"/>
          </w:tcPr>
          <w:p w14:paraId="1652DB47" w14:textId="77777777" w:rsidR="0025223A" w:rsidRPr="004C78D8" w:rsidRDefault="0025223A" w:rsidP="00FB7C1F">
            <w:pPr>
              <w:jc w:val="left"/>
              <w:rPr>
                <w:sz w:val="18"/>
                <w:szCs w:val="18"/>
              </w:rPr>
            </w:pPr>
            <w:r w:rsidRPr="004C78D8">
              <w:rPr>
                <w:sz w:val="18"/>
                <w:szCs w:val="18"/>
              </w:rPr>
              <w:t>Vit. D</w:t>
            </w:r>
          </w:p>
        </w:tc>
        <w:tc>
          <w:tcPr>
            <w:tcW w:w="255" w:type="pct"/>
            <w:tcBorders>
              <w:top w:val="nil"/>
            </w:tcBorders>
            <w:vAlign w:val="center"/>
          </w:tcPr>
          <w:p w14:paraId="03B2E3F3" w14:textId="77777777" w:rsidR="0025223A" w:rsidRPr="004C78D8" w:rsidRDefault="0025223A" w:rsidP="00FB7C1F">
            <w:pPr>
              <w:jc w:val="center"/>
              <w:rPr>
                <w:sz w:val="20"/>
                <w:szCs w:val="20"/>
              </w:rPr>
            </w:pPr>
          </w:p>
        </w:tc>
        <w:tc>
          <w:tcPr>
            <w:tcW w:w="408" w:type="pct"/>
            <w:tcBorders>
              <w:top w:val="nil"/>
            </w:tcBorders>
            <w:vAlign w:val="center"/>
          </w:tcPr>
          <w:p w14:paraId="00DF9AC0" w14:textId="77777777" w:rsidR="0025223A" w:rsidRPr="004C78D8" w:rsidRDefault="0025223A" w:rsidP="00FB7C1F">
            <w:pPr>
              <w:jc w:val="center"/>
              <w:rPr>
                <w:sz w:val="20"/>
                <w:szCs w:val="20"/>
              </w:rPr>
            </w:pPr>
          </w:p>
        </w:tc>
        <w:tc>
          <w:tcPr>
            <w:tcW w:w="357" w:type="pct"/>
            <w:tcBorders>
              <w:top w:val="nil"/>
            </w:tcBorders>
            <w:vAlign w:val="center"/>
          </w:tcPr>
          <w:p w14:paraId="1D407771" w14:textId="77777777" w:rsidR="0025223A" w:rsidRPr="004C78D8" w:rsidRDefault="0025223A" w:rsidP="00FB7C1F">
            <w:pPr>
              <w:jc w:val="center"/>
              <w:rPr>
                <w:sz w:val="20"/>
                <w:szCs w:val="20"/>
              </w:rPr>
            </w:pPr>
          </w:p>
        </w:tc>
        <w:tc>
          <w:tcPr>
            <w:tcW w:w="358" w:type="pct"/>
            <w:tcBorders>
              <w:top w:val="nil"/>
            </w:tcBorders>
            <w:vAlign w:val="center"/>
          </w:tcPr>
          <w:p w14:paraId="4D32ECAA" w14:textId="77777777" w:rsidR="0025223A" w:rsidRPr="004C78D8" w:rsidRDefault="0025223A" w:rsidP="00FB7C1F">
            <w:pPr>
              <w:jc w:val="center"/>
              <w:rPr>
                <w:sz w:val="20"/>
                <w:szCs w:val="20"/>
              </w:rPr>
            </w:pPr>
          </w:p>
        </w:tc>
        <w:tc>
          <w:tcPr>
            <w:tcW w:w="306" w:type="pct"/>
            <w:tcBorders>
              <w:top w:val="nil"/>
            </w:tcBorders>
            <w:vAlign w:val="center"/>
          </w:tcPr>
          <w:p w14:paraId="35AE0718" w14:textId="77777777" w:rsidR="0025223A" w:rsidRPr="004C78D8" w:rsidRDefault="0025223A" w:rsidP="00FB7C1F">
            <w:pPr>
              <w:jc w:val="center"/>
              <w:rPr>
                <w:sz w:val="20"/>
                <w:szCs w:val="20"/>
              </w:rPr>
            </w:pPr>
          </w:p>
        </w:tc>
        <w:tc>
          <w:tcPr>
            <w:tcW w:w="306" w:type="pct"/>
            <w:tcBorders>
              <w:top w:val="nil"/>
            </w:tcBorders>
          </w:tcPr>
          <w:p w14:paraId="7052F0E4" w14:textId="77777777" w:rsidR="0025223A" w:rsidRPr="004C78D8" w:rsidRDefault="0025223A" w:rsidP="00FB7C1F">
            <w:pPr>
              <w:jc w:val="center"/>
              <w:rPr>
                <w:sz w:val="20"/>
                <w:szCs w:val="20"/>
              </w:rPr>
            </w:pPr>
          </w:p>
        </w:tc>
        <w:tc>
          <w:tcPr>
            <w:tcW w:w="357" w:type="pct"/>
            <w:tcBorders>
              <w:top w:val="nil"/>
            </w:tcBorders>
            <w:vAlign w:val="center"/>
          </w:tcPr>
          <w:p w14:paraId="38F05E7A" w14:textId="77777777" w:rsidR="0025223A" w:rsidRPr="004C78D8" w:rsidRDefault="0025223A" w:rsidP="00FB7C1F">
            <w:pPr>
              <w:jc w:val="center"/>
              <w:rPr>
                <w:sz w:val="20"/>
                <w:szCs w:val="20"/>
              </w:rPr>
            </w:pPr>
          </w:p>
        </w:tc>
        <w:tc>
          <w:tcPr>
            <w:tcW w:w="357" w:type="pct"/>
            <w:tcBorders>
              <w:top w:val="nil"/>
            </w:tcBorders>
            <w:vAlign w:val="center"/>
          </w:tcPr>
          <w:p w14:paraId="78654DB3" w14:textId="77777777" w:rsidR="0025223A" w:rsidRPr="004C78D8" w:rsidRDefault="0025223A" w:rsidP="00FB7C1F">
            <w:pPr>
              <w:jc w:val="center"/>
              <w:rPr>
                <w:sz w:val="20"/>
                <w:szCs w:val="20"/>
              </w:rPr>
            </w:pPr>
          </w:p>
        </w:tc>
        <w:tc>
          <w:tcPr>
            <w:tcW w:w="459" w:type="pct"/>
            <w:tcBorders>
              <w:top w:val="nil"/>
            </w:tcBorders>
            <w:vAlign w:val="center"/>
          </w:tcPr>
          <w:p w14:paraId="6162D4FF" w14:textId="77777777" w:rsidR="0025223A" w:rsidRPr="004C78D8" w:rsidRDefault="0025223A" w:rsidP="00FB7C1F">
            <w:pPr>
              <w:jc w:val="center"/>
              <w:rPr>
                <w:sz w:val="28"/>
                <w:szCs w:val="28"/>
              </w:rPr>
            </w:pPr>
            <w:r w:rsidRPr="004C78D8">
              <w:rPr>
                <w:rFonts w:cs="Times New Roman"/>
                <w:sz w:val="28"/>
                <w:szCs w:val="28"/>
              </w:rPr>
              <w:t>˟</w:t>
            </w:r>
          </w:p>
        </w:tc>
        <w:tc>
          <w:tcPr>
            <w:tcW w:w="408" w:type="pct"/>
            <w:tcBorders>
              <w:top w:val="nil"/>
            </w:tcBorders>
            <w:vAlign w:val="center"/>
          </w:tcPr>
          <w:p w14:paraId="279215FA" w14:textId="77777777" w:rsidR="0025223A" w:rsidRPr="004C78D8" w:rsidRDefault="0025223A" w:rsidP="00FB7C1F">
            <w:pPr>
              <w:jc w:val="center"/>
              <w:rPr>
                <w:sz w:val="18"/>
                <w:szCs w:val="18"/>
              </w:rPr>
            </w:pPr>
            <w:r w:rsidRPr="004C78D8">
              <w:rPr>
                <w:sz w:val="18"/>
                <w:szCs w:val="18"/>
              </w:rPr>
              <w:t>PP</w:t>
            </w:r>
          </w:p>
        </w:tc>
      </w:tr>
      <w:tr w:rsidR="0025223A" w:rsidRPr="004C78D8" w14:paraId="168B360B" w14:textId="77777777" w:rsidTr="002828C1">
        <w:tc>
          <w:tcPr>
            <w:tcW w:w="5000" w:type="pct"/>
            <w:gridSpan w:val="12"/>
          </w:tcPr>
          <w:p w14:paraId="072AF87B" w14:textId="77777777" w:rsidR="0025223A" w:rsidRPr="004C78D8" w:rsidRDefault="0025223A" w:rsidP="00FB7C1F">
            <w:pPr>
              <w:jc w:val="left"/>
              <w:rPr>
                <w:b/>
                <w:bCs/>
                <w:i/>
                <w:iCs/>
                <w:sz w:val="24"/>
                <w:szCs w:val="24"/>
              </w:rPr>
            </w:pPr>
            <w:r w:rsidRPr="004C78D8">
              <w:rPr>
                <w:b/>
                <w:bCs/>
                <w:i/>
                <w:iCs/>
                <w:sz w:val="20"/>
                <w:szCs w:val="20"/>
              </w:rPr>
              <w:t>Other single-component interventions</w:t>
            </w:r>
          </w:p>
        </w:tc>
      </w:tr>
      <w:tr w:rsidR="0025223A" w:rsidRPr="004C78D8" w14:paraId="49E59B55" w14:textId="77777777" w:rsidTr="002828C1">
        <w:tc>
          <w:tcPr>
            <w:tcW w:w="662" w:type="pct"/>
          </w:tcPr>
          <w:p w14:paraId="75A4EFAD" w14:textId="77777777" w:rsidR="0025223A" w:rsidRPr="004C78D8" w:rsidRDefault="0025223A" w:rsidP="00FB7C1F">
            <w:pPr>
              <w:jc w:val="left"/>
              <w:rPr>
                <w:sz w:val="18"/>
                <w:szCs w:val="18"/>
              </w:rPr>
            </w:pPr>
            <w:r w:rsidRPr="004C78D8">
              <w:rPr>
                <w:sz w:val="18"/>
                <w:szCs w:val="18"/>
              </w:rPr>
              <w:t>Day (2009)</w:t>
            </w:r>
          </w:p>
        </w:tc>
        <w:tc>
          <w:tcPr>
            <w:tcW w:w="765" w:type="pct"/>
          </w:tcPr>
          <w:p w14:paraId="538BBC14" w14:textId="5C2930E2" w:rsidR="0025223A" w:rsidRPr="004C78D8" w:rsidRDefault="0025223A" w:rsidP="00FB7C1F">
            <w:pPr>
              <w:jc w:val="left"/>
              <w:rPr>
                <w:sz w:val="18"/>
                <w:szCs w:val="18"/>
              </w:rPr>
            </w:pPr>
            <w:r w:rsidRPr="004C78D8">
              <w:rPr>
                <w:sz w:val="18"/>
                <w:szCs w:val="18"/>
              </w:rPr>
              <w:t>Cardiac pacing</w:t>
            </w:r>
            <w:r w:rsidR="005E2745" w:rsidRPr="004C78D8">
              <w:rPr>
                <w:sz w:val="18"/>
                <w:szCs w:val="18"/>
                <w:vertAlign w:val="superscript"/>
              </w:rPr>
              <w:t>3</w:t>
            </w:r>
          </w:p>
        </w:tc>
        <w:tc>
          <w:tcPr>
            <w:tcW w:w="255" w:type="pct"/>
            <w:tcBorders>
              <w:bottom w:val="nil"/>
            </w:tcBorders>
            <w:vAlign w:val="center"/>
          </w:tcPr>
          <w:p w14:paraId="32BB2B66" w14:textId="77777777" w:rsidR="0025223A" w:rsidRPr="004C78D8" w:rsidRDefault="0025223A" w:rsidP="00FB7C1F">
            <w:pPr>
              <w:jc w:val="center"/>
              <w:rPr>
                <w:sz w:val="20"/>
                <w:szCs w:val="20"/>
              </w:rPr>
            </w:pPr>
          </w:p>
        </w:tc>
        <w:tc>
          <w:tcPr>
            <w:tcW w:w="408" w:type="pct"/>
            <w:tcBorders>
              <w:bottom w:val="nil"/>
            </w:tcBorders>
            <w:vAlign w:val="center"/>
          </w:tcPr>
          <w:p w14:paraId="517CC39E" w14:textId="77777777" w:rsidR="0025223A" w:rsidRPr="004C78D8" w:rsidRDefault="0025223A" w:rsidP="00FB7C1F">
            <w:pPr>
              <w:jc w:val="center"/>
              <w:rPr>
                <w:sz w:val="20"/>
                <w:szCs w:val="20"/>
              </w:rPr>
            </w:pPr>
          </w:p>
        </w:tc>
        <w:tc>
          <w:tcPr>
            <w:tcW w:w="357" w:type="pct"/>
            <w:tcBorders>
              <w:bottom w:val="nil"/>
            </w:tcBorders>
            <w:vAlign w:val="center"/>
          </w:tcPr>
          <w:p w14:paraId="3A695CE4" w14:textId="77777777" w:rsidR="0025223A" w:rsidRPr="004C78D8" w:rsidRDefault="0025223A" w:rsidP="00FB7C1F">
            <w:pPr>
              <w:jc w:val="center"/>
              <w:rPr>
                <w:sz w:val="20"/>
                <w:szCs w:val="20"/>
              </w:rPr>
            </w:pPr>
            <w:r w:rsidRPr="004C78D8">
              <w:rPr>
                <w:rFonts w:cs="Times New Roman"/>
                <w:sz w:val="28"/>
                <w:szCs w:val="28"/>
              </w:rPr>
              <w:t>˟</w:t>
            </w:r>
          </w:p>
        </w:tc>
        <w:tc>
          <w:tcPr>
            <w:tcW w:w="358" w:type="pct"/>
            <w:tcBorders>
              <w:bottom w:val="nil"/>
            </w:tcBorders>
            <w:vAlign w:val="center"/>
          </w:tcPr>
          <w:p w14:paraId="771D5E28" w14:textId="77777777" w:rsidR="0025223A" w:rsidRPr="004C78D8" w:rsidRDefault="0025223A" w:rsidP="00FB7C1F">
            <w:pPr>
              <w:jc w:val="center"/>
              <w:rPr>
                <w:sz w:val="20"/>
                <w:szCs w:val="20"/>
              </w:rPr>
            </w:pPr>
          </w:p>
        </w:tc>
        <w:tc>
          <w:tcPr>
            <w:tcW w:w="306" w:type="pct"/>
            <w:tcBorders>
              <w:bottom w:val="nil"/>
            </w:tcBorders>
            <w:vAlign w:val="center"/>
          </w:tcPr>
          <w:p w14:paraId="3CB221BD" w14:textId="77777777" w:rsidR="0025223A" w:rsidRPr="004C78D8" w:rsidRDefault="0025223A" w:rsidP="00FB7C1F">
            <w:pPr>
              <w:jc w:val="center"/>
              <w:rPr>
                <w:sz w:val="28"/>
                <w:szCs w:val="28"/>
              </w:rPr>
            </w:pPr>
            <w:r w:rsidRPr="004C78D8">
              <w:rPr>
                <w:rFonts w:cs="Times New Roman"/>
                <w:sz w:val="28"/>
                <w:szCs w:val="28"/>
              </w:rPr>
              <w:t>˟</w:t>
            </w:r>
          </w:p>
        </w:tc>
        <w:tc>
          <w:tcPr>
            <w:tcW w:w="306" w:type="pct"/>
            <w:tcBorders>
              <w:bottom w:val="nil"/>
            </w:tcBorders>
          </w:tcPr>
          <w:p w14:paraId="18C51738" w14:textId="77777777" w:rsidR="0025223A" w:rsidRPr="004C78D8" w:rsidRDefault="0025223A" w:rsidP="00FB7C1F">
            <w:pPr>
              <w:jc w:val="center"/>
              <w:rPr>
                <w:sz w:val="28"/>
                <w:szCs w:val="28"/>
              </w:rPr>
            </w:pPr>
          </w:p>
        </w:tc>
        <w:tc>
          <w:tcPr>
            <w:tcW w:w="357" w:type="pct"/>
            <w:tcBorders>
              <w:bottom w:val="nil"/>
            </w:tcBorders>
            <w:vAlign w:val="center"/>
          </w:tcPr>
          <w:p w14:paraId="5C1884BA" w14:textId="77777777" w:rsidR="0025223A" w:rsidRPr="004C78D8" w:rsidRDefault="0025223A" w:rsidP="00FB7C1F">
            <w:pPr>
              <w:jc w:val="center"/>
              <w:rPr>
                <w:sz w:val="28"/>
                <w:szCs w:val="28"/>
              </w:rPr>
            </w:pPr>
          </w:p>
        </w:tc>
        <w:tc>
          <w:tcPr>
            <w:tcW w:w="357" w:type="pct"/>
            <w:tcBorders>
              <w:bottom w:val="nil"/>
            </w:tcBorders>
            <w:vAlign w:val="center"/>
          </w:tcPr>
          <w:p w14:paraId="33A8B50E" w14:textId="77777777" w:rsidR="0025223A" w:rsidRPr="004C78D8" w:rsidRDefault="0025223A" w:rsidP="00FB7C1F">
            <w:pPr>
              <w:jc w:val="center"/>
              <w:rPr>
                <w:sz w:val="28"/>
                <w:szCs w:val="28"/>
              </w:rPr>
            </w:pPr>
          </w:p>
        </w:tc>
        <w:tc>
          <w:tcPr>
            <w:tcW w:w="459" w:type="pct"/>
            <w:tcBorders>
              <w:bottom w:val="nil"/>
            </w:tcBorders>
            <w:vAlign w:val="center"/>
          </w:tcPr>
          <w:p w14:paraId="6A36999F" w14:textId="77777777" w:rsidR="0025223A" w:rsidRPr="004C78D8" w:rsidRDefault="0025223A" w:rsidP="00FB7C1F">
            <w:pPr>
              <w:jc w:val="center"/>
              <w:rPr>
                <w:sz w:val="28"/>
                <w:szCs w:val="28"/>
              </w:rPr>
            </w:pPr>
            <w:r w:rsidRPr="004C78D8">
              <w:rPr>
                <w:rFonts w:cs="Times New Roman"/>
                <w:sz w:val="28"/>
                <w:szCs w:val="28"/>
              </w:rPr>
              <w:t>˟</w:t>
            </w:r>
          </w:p>
        </w:tc>
        <w:tc>
          <w:tcPr>
            <w:tcW w:w="408" w:type="pct"/>
            <w:tcBorders>
              <w:bottom w:val="nil"/>
            </w:tcBorders>
            <w:vAlign w:val="center"/>
          </w:tcPr>
          <w:p w14:paraId="4BB06A2A" w14:textId="77777777" w:rsidR="0025223A" w:rsidRPr="004C78D8" w:rsidRDefault="0025223A" w:rsidP="00FB7C1F">
            <w:pPr>
              <w:jc w:val="center"/>
              <w:rPr>
                <w:sz w:val="18"/>
                <w:szCs w:val="18"/>
              </w:rPr>
            </w:pPr>
            <w:r w:rsidRPr="004C78D8">
              <w:rPr>
                <w:sz w:val="18"/>
                <w:szCs w:val="18"/>
              </w:rPr>
              <w:t>PP</w:t>
            </w:r>
          </w:p>
        </w:tc>
      </w:tr>
      <w:tr w:rsidR="0025223A" w:rsidRPr="004C78D8" w14:paraId="53FE42E1" w14:textId="77777777" w:rsidTr="002828C1">
        <w:tc>
          <w:tcPr>
            <w:tcW w:w="662" w:type="pct"/>
          </w:tcPr>
          <w:p w14:paraId="0884F010" w14:textId="77777777" w:rsidR="0025223A" w:rsidRPr="004C78D8" w:rsidRDefault="0025223A" w:rsidP="00FB7C1F">
            <w:pPr>
              <w:jc w:val="left"/>
              <w:rPr>
                <w:sz w:val="18"/>
                <w:szCs w:val="18"/>
              </w:rPr>
            </w:pPr>
            <w:r w:rsidRPr="004C78D8">
              <w:rPr>
                <w:sz w:val="18"/>
                <w:szCs w:val="18"/>
              </w:rPr>
              <w:t>Honkanen (2006)</w:t>
            </w:r>
          </w:p>
        </w:tc>
        <w:tc>
          <w:tcPr>
            <w:tcW w:w="765" w:type="pct"/>
          </w:tcPr>
          <w:p w14:paraId="6EFA43AB" w14:textId="77777777" w:rsidR="0025223A" w:rsidRPr="004C78D8" w:rsidRDefault="0025223A" w:rsidP="00FB7C1F">
            <w:pPr>
              <w:jc w:val="left"/>
              <w:rPr>
                <w:sz w:val="18"/>
                <w:szCs w:val="18"/>
              </w:rPr>
            </w:pPr>
            <w:r w:rsidRPr="004C78D8">
              <w:rPr>
                <w:sz w:val="18"/>
                <w:szCs w:val="18"/>
              </w:rPr>
              <w:t>Hip protector</w:t>
            </w:r>
          </w:p>
        </w:tc>
        <w:tc>
          <w:tcPr>
            <w:tcW w:w="255" w:type="pct"/>
            <w:tcBorders>
              <w:top w:val="nil"/>
              <w:bottom w:val="nil"/>
            </w:tcBorders>
            <w:vAlign w:val="center"/>
          </w:tcPr>
          <w:p w14:paraId="1202D742" w14:textId="77777777" w:rsidR="0025223A" w:rsidRPr="004C78D8" w:rsidRDefault="0025223A" w:rsidP="00FB7C1F">
            <w:pPr>
              <w:jc w:val="center"/>
              <w:rPr>
                <w:sz w:val="20"/>
                <w:szCs w:val="20"/>
              </w:rPr>
            </w:pPr>
          </w:p>
        </w:tc>
        <w:tc>
          <w:tcPr>
            <w:tcW w:w="408" w:type="pct"/>
            <w:tcBorders>
              <w:top w:val="nil"/>
              <w:bottom w:val="nil"/>
            </w:tcBorders>
            <w:vAlign w:val="center"/>
          </w:tcPr>
          <w:p w14:paraId="1208B441" w14:textId="77777777" w:rsidR="0025223A" w:rsidRPr="004C78D8" w:rsidRDefault="0025223A" w:rsidP="00FB7C1F">
            <w:pPr>
              <w:jc w:val="center"/>
              <w:rPr>
                <w:sz w:val="20"/>
                <w:szCs w:val="20"/>
              </w:rPr>
            </w:pPr>
          </w:p>
        </w:tc>
        <w:tc>
          <w:tcPr>
            <w:tcW w:w="357" w:type="pct"/>
            <w:tcBorders>
              <w:top w:val="nil"/>
              <w:bottom w:val="nil"/>
            </w:tcBorders>
            <w:vAlign w:val="center"/>
          </w:tcPr>
          <w:p w14:paraId="72F7DAB5" w14:textId="77777777" w:rsidR="0025223A" w:rsidRPr="004C78D8" w:rsidRDefault="0025223A" w:rsidP="00FB7C1F">
            <w:pPr>
              <w:jc w:val="center"/>
              <w:rPr>
                <w:sz w:val="20"/>
                <w:szCs w:val="20"/>
              </w:rPr>
            </w:pPr>
          </w:p>
        </w:tc>
        <w:tc>
          <w:tcPr>
            <w:tcW w:w="358" w:type="pct"/>
            <w:tcBorders>
              <w:top w:val="nil"/>
              <w:bottom w:val="nil"/>
            </w:tcBorders>
            <w:vAlign w:val="center"/>
          </w:tcPr>
          <w:p w14:paraId="298E3B54" w14:textId="77777777" w:rsidR="0025223A" w:rsidRPr="004C78D8" w:rsidRDefault="0025223A" w:rsidP="00FB7C1F">
            <w:pPr>
              <w:jc w:val="center"/>
              <w:rPr>
                <w:sz w:val="20"/>
                <w:szCs w:val="20"/>
              </w:rPr>
            </w:pPr>
          </w:p>
        </w:tc>
        <w:tc>
          <w:tcPr>
            <w:tcW w:w="306" w:type="pct"/>
            <w:tcBorders>
              <w:top w:val="nil"/>
              <w:bottom w:val="nil"/>
            </w:tcBorders>
            <w:vAlign w:val="center"/>
          </w:tcPr>
          <w:p w14:paraId="5086DCCE" w14:textId="77777777" w:rsidR="0025223A" w:rsidRPr="004C78D8" w:rsidRDefault="0025223A" w:rsidP="00FB7C1F">
            <w:pPr>
              <w:jc w:val="center"/>
              <w:rPr>
                <w:sz w:val="28"/>
                <w:szCs w:val="28"/>
              </w:rPr>
            </w:pPr>
          </w:p>
        </w:tc>
        <w:tc>
          <w:tcPr>
            <w:tcW w:w="306" w:type="pct"/>
            <w:tcBorders>
              <w:top w:val="nil"/>
              <w:bottom w:val="nil"/>
            </w:tcBorders>
          </w:tcPr>
          <w:p w14:paraId="60D1BC20" w14:textId="77777777" w:rsidR="0025223A" w:rsidRPr="004C78D8" w:rsidRDefault="0025223A" w:rsidP="00FB7C1F">
            <w:pPr>
              <w:jc w:val="center"/>
              <w:rPr>
                <w:sz w:val="28"/>
                <w:szCs w:val="28"/>
              </w:rPr>
            </w:pPr>
          </w:p>
        </w:tc>
        <w:tc>
          <w:tcPr>
            <w:tcW w:w="357" w:type="pct"/>
            <w:tcBorders>
              <w:top w:val="nil"/>
              <w:bottom w:val="nil"/>
            </w:tcBorders>
            <w:vAlign w:val="center"/>
          </w:tcPr>
          <w:p w14:paraId="692B0A0A" w14:textId="77777777" w:rsidR="0025223A" w:rsidRPr="004C78D8" w:rsidRDefault="0025223A" w:rsidP="00FB7C1F">
            <w:pPr>
              <w:jc w:val="center"/>
              <w:rPr>
                <w:sz w:val="28"/>
                <w:szCs w:val="28"/>
              </w:rPr>
            </w:pPr>
          </w:p>
        </w:tc>
        <w:tc>
          <w:tcPr>
            <w:tcW w:w="357" w:type="pct"/>
            <w:tcBorders>
              <w:top w:val="nil"/>
              <w:bottom w:val="nil"/>
            </w:tcBorders>
            <w:vAlign w:val="center"/>
          </w:tcPr>
          <w:p w14:paraId="332D097C" w14:textId="77777777" w:rsidR="0025223A" w:rsidRPr="004C78D8" w:rsidRDefault="0025223A" w:rsidP="00FB7C1F">
            <w:pPr>
              <w:jc w:val="center"/>
              <w:rPr>
                <w:sz w:val="28"/>
                <w:szCs w:val="28"/>
              </w:rPr>
            </w:pPr>
          </w:p>
        </w:tc>
        <w:tc>
          <w:tcPr>
            <w:tcW w:w="459" w:type="pct"/>
            <w:tcBorders>
              <w:top w:val="nil"/>
              <w:bottom w:val="nil"/>
            </w:tcBorders>
            <w:vAlign w:val="center"/>
          </w:tcPr>
          <w:p w14:paraId="61D1AA71" w14:textId="77777777" w:rsidR="0025223A" w:rsidRPr="004C78D8" w:rsidRDefault="0025223A" w:rsidP="00FB7C1F">
            <w:pPr>
              <w:jc w:val="center"/>
              <w:rPr>
                <w:sz w:val="28"/>
                <w:szCs w:val="28"/>
              </w:rPr>
            </w:pPr>
            <w:r w:rsidRPr="004C78D8">
              <w:rPr>
                <w:rFonts w:cs="Times New Roman"/>
                <w:sz w:val="28"/>
                <w:szCs w:val="28"/>
              </w:rPr>
              <w:t>˟</w:t>
            </w:r>
          </w:p>
        </w:tc>
        <w:tc>
          <w:tcPr>
            <w:tcW w:w="408" w:type="pct"/>
            <w:tcBorders>
              <w:top w:val="nil"/>
              <w:bottom w:val="nil"/>
            </w:tcBorders>
            <w:vAlign w:val="center"/>
          </w:tcPr>
          <w:p w14:paraId="4384AD6F" w14:textId="77777777" w:rsidR="0025223A" w:rsidRPr="004C78D8" w:rsidRDefault="0025223A" w:rsidP="00FB7C1F">
            <w:pPr>
              <w:jc w:val="center"/>
              <w:rPr>
                <w:sz w:val="18"/>
                <w:szCs w:val="18"/>
              </w:rPr>
            </w:pPr>
            <w:r w:rsidRPr="004C78D8">
              <w:rPr>
                <w:sz w:val="18"/>
                <w:szCs w:val="18"/>
              </w:rPr>
              <w:t>PP</w:t>
            </w:r>
          </w:p>
        </w:tc>
      </w:tr>
      <w:tr w:rsidR="0025223A" w:rsidRPr="004C78D8" w14:paraId="500390F3" w14:textId="77777777" w:rsidTr="002828C1">
        <w:tc>
          <w:tcPr>
            <w:tcW w:w="662" w:type="pct"/>
          </w:tcPr>
          <w:p w14:paraId="5C589D7C" w14:textId="77777777" w:rsidR="0025223A" w:rsidRPr="004C78D8" w:rsidRDefault="0025223A" w:rsidP="00FB7C1F">
            <w:pPr>
              <w:jc w:val="left"/>
              <w:rPr>
                <w:sz w:val="18"/>
                <w:szCs w:val="18"/>
              </w:rPr>
            </w:pPr>
            <w:r w:rsidRPr="004C78D8">
              <w:rPr>
                <w:sz w:val="18"/>
                <w:szCs w:val="18"/>
              </w:rPr>
              <w:t>OMAS (2008)</w:t>
            </w:r>
          </w:p>
        </w:tc>
        <w:tc>
          <w:tcPr>
            <w:tcW w:w="765" w:type="pct"/>
          </w:tcPr>
          <w:p w14:paraId="4E9E7F87" w14:textId="77777777" w:rsidR="0025223A" w:rsidRPr="004C78D8" w:rsidRDefault="0025223A" w:rsidP="00FB7C1F">
            <w:pPr>
              <w:jc w:val="left"/>
              <w:rPr>
                <w:sz w:val="18"/>
                <w:szCs w:val="18"/>
              </w:rPr>
            </w:pPr>
            <w:r w:rsidRPr="004C78D8">
              <w:rPr>
                <w:sz w:val="18"/>
                <w:szCs w:val="18"/>
              </w:rPr>
              <w:t>Gait stabiliser</w:t>
            </w:r>
          </w:p>
        </w:tc>
        <w:tc>
          <w:tcPr>
            <w:tcW w:w="255" w:type="pct"/>
            <w:tcBorders>
              <w:top w:val="nil"/>
            </w:tcBorders>
            <w:vAlign w:val="center"/>
          </w:tcPr>
          <w:p w14:paraId="318F43F2" w14:textId="77777777" w:rsidR="0025223A" w:rsidRPr="004C78D8" w:rsidRDefault="0025223A" w:rsidP="00FB7C1F">
            <w:pPr>
              <w:jc w:val="center"/>
              <w:rPr>
                <w:sz w:val="20"/>
                <w:szCs w:val="20"/>
              </w:rPr>
            </w:pPr>
          </w:p>
        </w:tc>
        <w:tc>
          <w:tcPr>
            <w:tcW w:w="408" w:type="pct"/>
            <w:tcBorders>
              <w:top w:val="nil"/>
            </w:tcBorders>
            <w:vAlign w:val="center"/>
          </w:tcPr>
          <w:p w14:paraId="602E75F3" w14:textId="77777777" w:rsidR="0025223A" w:rsidRPr="004C78D8" w:rsidRDefault="0025223A" w:rsidP="00FB7C1F">
            <w:pPr>
              <w:jc w:val="center"/>
              <w:rPr>
                <w:sz w:val="20"/>
                <w:szCs w:val="20"/>
              </w:rPr>
            </w:pPr>
          </w:p>
        </w:tc>
        <w:tc>
          <w:tcPr>
            <w:tcW w:w="357" w:type="pct"/>
            <w:tcBorders>
              <w:top w:val="nil"/>
            </w:tcBorders>
            <w:vAlign w:val="center"/>
          </w:tcPr>
          <w:p w14:paraId="716FDFB7" w14:textId="77777777" w:rsidR="0025223A" w:rsidRPr="004C78D8" w:rsidRDefault="0025223A" w:rsidP="00FB7C1F">
            <w:pPr>
              <w:jc w:val="center"/>
              <w:rPr>
                <w:sz w:val="20"/>
                <w:szCs w:val="20"/>
              </w:rPr>
            </w:pPr>
          </w:p>
        </w:tc>
        <w:tc>
          <w:tcPr>
            <w:tcW w:w="358" w:type="pct"/>
            <w:tcBorders>
              <w:top w:val="nil"/>
            </w:tcBorders>
            <w:vAlign w:val="center"/>
          </w:tcPr>
          <w:p w14:paraId="6BE653A8" w14:textId="77777777" w:rsidR="0025223A" w:rsidRPr="004C78D8" w:rsidRDefault="0025223A" w:rsidP="00FB7C1F">
            <w:pPr>
              <w:jc w:val="center"/>
              <w:rPr>
                <w:sz w:val="20"/>
                <w:szCs w:val="20"/>
              </w:rPr>
            </w:pPr>
          </w:p>
        </w:tc>
        <w:tc>
          <w:tcPr>
            <w:tcW w:w="306" w:type="pct"/>
            <w:tcBorders>
              <w:top w:val="nil"/>
            </w:tcBorders>
            <w:vAlign w:val="center"/>
          </w:tcPr>
          <w:p w14:paraId="7E244EAF" w14:textId="77777777" w:rsidR="0025223A" w:rsidRPr="004C78D8" w:rsidRDefault="0025223A" w:rsidP="00FB7C1F">
            <w:pPr>
              <w:jc w:val="center"/>
              <w:rPr>
                <w:sz w:val="28"/>
                <w:szCs w:val="28"/>
              </w:rPr>
            </w:pPr>
          </w:p>
        </w:tc>
        <w:tc>
          <w:tcPr>
            <w:tcW w:w="306" w:type="pct"/>
            <w:tcBorders>
              <w:top w:val="nil"/>
            </w:tcBorders>
          </w:tcPr>
          <w:p w14:paraId="51EB9D1D" w14:textId="77777777" w:rsidR="0025223A" w:rsidRPr="004C78D8" w:rsidRDefault="0025223A" w:rsidP="00FB7C1F">
            <w:pPr>
              <w:jc w:val="center"/>
              <w:rPr>
                <w:sz w:val="28"/>
                <w:szCs w:val="28"/>
              </w:rPr>
            </w:pPr>
          </w:p>
        </w:tc>
        <w:tc>
          <w:tcPr>
            <w:tcW w:w="357" w:type="pct"/>
            <w:tcBorders>
              <w:top w:val="nil"/>
            </w:tcBorders>
            <w:vAlign w:val="center"/>
          </w:tcPr>
          <w:p w14:paraId="56F74005" w14:textId="77777777" w:rsidR="0025223A" w:rsidRPr="004C78D8" w:rsidRDefault="0025223A" w:rsidP="00FB7C1F">
            <w:pPr>
              <w:jc w:val="center"/>
              <w:rPr>
                <w:sz w:val="28"/>
                <w:szCs w:val="28"/>
              </w:rPr>
            </w:pPr>
          </w:p>
        </w:tc>
        <w:tc>
          <w:tcPr>
            <w:tcW w:w="357" w:type="pct"/>
            <w:tcBorders>
              <w:top w:val="nil"/>
            </w:tcBorders>
            <w:vAlign w:val="center"/>
          </w:tcPr>
          <w:p w14:paraId="665FDB87" w14:textId="77777777" w:rsidR="0025223A" w:rsidRPr="004C78D8" w:rsidRDefault="0025223A" w:rsidP="00FB7C1F">
            <w:pPr>
              <w:jc w:val="center"/>
              <w:rPr>
                <w:sz w:val="28"/>
                <w:szCs w:val="28"/>
              </w:rPr>
            </w:pPr>
          </w:p>
        </w:tc>
        <w:tc>
          <w:tcPr>
            <w:tcW w:w="459" w:type="pct"/>
            <w:tcBorders>
              <w:top w:val="nil"/>
            </w:tcBorders>
            <w:vAlign w:val="center"/>
          </w:tcPr>
          <w:p w14:paraId="0675B079" w14:textId="77777777" w:rsidR="0025223A" w:rsidRPr="004C78D8" w:rsidRDefault="0025223A" w:rsidP="00FB7C1F">
            <w:pPr>
              <w:jc w:val="center"/>
              <w:rPr>
                <w:sz w:val="28"/>
                <w:szCs w:val="28"/>
              </w:rPr>
            </w:pPr>
            <w:r w:rsidRPr="004C78D8">
              <w:rPr>
                <w:rFonts w:cs="Times New Roman"/>
                <w:sz w:val="28"/>
                <w:szCs w:val="28"/>
              </w:rPr>
              <w:t>˟</w:t>
            </w:r>
          </w:p>
        </w:tc>
        <w:tc>
          <w:tcPr>
            <w:tcW w:w="408" w:type="pct"/>
            <w:tcBorders>
              <w:top w:val="nil"/>
            </w:tcBorders>
            <w:vAlign w:val="center"/>
          </w:tcPr>
          <w:p w14:paraId="6BFFD10B" w14:textId="77777777" w:rsidR="0025223A" w:rsidRPr="004C78D8" w:rsidRDefault="0025223A" w:rsidP="00FB7C1F">
            <w:pPr>
              <w:jc w:val="center"/>
              <w:rPr>
                <w:sz w:val="18"/>
                <w:szCs w:val="18"/>
              </w:rPr>
            </w:pPr>
            <w:r w:rsidRPr="004C78D8">
              <w:rPr>
                <w:sz w:val="18"/>
                <w:szCs w:val="18"/>
              </w:rPr>
              <w:t>PP</w:t>
            </w:r>
          </w:p>
        </w:tc>
      </w:tr>
      <w:tr w:rsidR="0025223A" w:rsidRPr="004C78D8" w14:paraId="321F3E12" w14:textId="77777777" w:rsidTr="002828C1">
        <w:tc>
          <w:tcPr>
            <w:tcW w:w="5000" w:type="pct"/>
            <w:gridSpan w:val="12"/>
          </w:tcPr>
          <w:p w14:paraId="33DCA128" w14:textId="77777777" w:rsidR="0025223A" w:rsidRPr="004C78D8" w:rsidRDefault="0025223A" w:rsidP="00FB7C1F">
            <w:pPr>
              <w:jc w:val="left"/>
              <w:rPr>
                <w:b/>
                <w:bCs/>
                <w:i/>
                <w:iCs/>
                <w:sz w:val="24"/>
                <w:szCs w:val="24"/>
              </w:rPr>
            </w:pPr>
            <w:r w:rsidRPr="004C78D8">
              <w:rPr>
                <w:b/>
                <w:bCs/>
                <w:i/>
                <w:iCs/>
                <w:sz w:val="20"/>
                <w:szCs w:val="20"/>
              </w:rPr>
              <w:t>Multifactorial intervention and risk assessment</w:t>
            </w:r>
          </w:p>
        </w:tc>
      </w:tr>
      <w:tr w:rsidR="0025223A" w:rsidRPr="004C78D8" w14:paraId="19B8F086" w14:textId="77777777" w:rsidTr="002828C1">
        <w:tc>
          <w:tcPr>
            <w:tcW w:w="662" w:type="pct"/>
          </w:tcPr>
          <w:p w14:paraId="739CF767" w14:textId="77777777" w:rsidR="0025223A" w:rsidRPr="004C78D8" w:rsidRDefault="0025223A" w:rsidP="00FB7C1F">
            <w:pPr>
              <w:jc w:val="left"/>
              <w:rPr>
                <w:sz w:val="18"/>
                <w:szCs w:val="18"/>
              </w:rPr>
            </w:pPr>
            <w:r w:rsidRPr="004C78D8">
              <w:rPr>
                <w:sz w:val="18"/>
                <w:szCs w:val="18"/>
              </w:rPr>
              <w:t>Albert (2016)</w:t>
            </w:r>
          </w:p>
        </w:tc>
        <w:tc>
          <w:tcPr>
            <w:tcW w:w="765" w:type="pct"/>
          </w:tcPr>
          <w:p w14:paraId="67CC1377" w14:textId="77777777" w:rsidR="0025223A" w:rsidRPr="004C78D8" w:rsidRDefault="0025223A" w:rsidP="00FB7C1F">
            <w:pPr>
              <w:jc w:val="left"/>
              <w:rPr>
                <w:sz w:val="18"/>
                <w:szCs w:val="18"/>
              </w:rPr>
            </w:pPr>
            <w:r w:rsidRPr="004C78D8">
              <w:rPr>
                <w:sz w:val="18"/>
                <w:szCs w:val="18"/>
              </w:rPr>
              <w:t>MF int.</w:t>
            </w:r>
          </w:p>
        </w:tc>
        <w:tc>
          <w:tcPr>
            <w:tcW w:w="255" w:type="pct"/>
            <w:tcBorders>
              <w:bottom w:val="nil"/>
            </w:tcBorders>
            <w:vAlign w:val="center"/>
          </w:tcPr>
          <w:p w14:paraId="1B13AF8C" w14:textId="77777777" w:rsidR="0025223A" w:rsidRPr="004C78D8" w:rsidRDefault="0025223A" w:rsidP="00FB7C1F">
            <w:pPr>
              <w:jc w:val="center"/>
              <w:rPr>
                <w:sz w:val="28"/>
                <w:szCs w:val="28"/>
              </w:rPr>
            </w:pPr>
          </w:p>
        </w:tc>
        <w:tc>
          <w:tcPr>
            <w:tcW w:w="408" w:type="pct"/>
            <w:tcBorders>
              <w:bottom w:val="nil"/>
            </w:tcBorders>
            <w:vAlign w:val="center"/>
          </w:tcPr>
          <w:p w14:paraId="5D42563D" w14:textId="77777777" w:rsidR="0025223A" w:rsidRPr="004C78D8" w:rsidRDefault="0025223A" w:rsidP="00FB7C1F">
            <w:pPr>
              <w:jc w:val="center"/>
              <w:rPr>
                <w:sz w:val="28"/>
                <w:szCs w:val="28"/>
              </w:rPr>
            </w:pPr>
            <w:r w:rsidRPr="004C78D8">
              <w:rPr>
                <w:rFonts w:cs="Times New Roman"/>
                <w:sz w:val="28"/>
                <w:szCs w:val="28"/>
              </w:rPr>
              <w:t>˟</w:t>
            </w:r>
          </w:p>
        </w:tc>
        <w:tc>
          <w:tcPr>
            <w:tcW w:w="357" w:type="pct"/>
            <w:tcBorders>
              <w:bottom w:val="nil"/>
            </w:tcBorders>
            <w:vAlign w:val="center"/>
          </w:tcPr>
          <w:p w14:paraId="54F34DD5" w14:textId="77777777" w:rsidR="0025223A" w:rsidRPr="004C78D8" w:rsidRDefault="0025223A" w:rsidP="00FB7C1F">
            <w:pPr>
              <w:jc w:val="center"/>
              <w:rPr>
                <w:sz w:val="28"/>
                <w:szCs w:val="28"/>
              </w:rPr>
            </w:pPr>
          </w:p>
        </w:tc>
        <w:tc>
          <w:tcPr>
            <w:tcW w:w="358" w:type="pct"/>
            <w:tcBorders>
              <w:bottom w:val="nil"/>
            </w:tcBorders>
            <w:vAlign w:val="center"/>
          </w:tcPr>
          <w:p w14:paraId="14FDBEE5" w14:textId="77777777" w:rsidR="0025223A" w:rsidRPr="004C78D8" w:rsidRDefault="0025223A" w:rsidP="00FB7C1F">
            <w:pPr>
              <w:jc w:val="center"/>
              <w:rPr>
                <w:sz w:val="28"/>
                <w:szCs w:val="28"/>
              </w:rPr>
            </w:pPr>
          </w:p>
        </w:tc>
        <w:tc>
          <w:tcPr>
            <w:tcW w:w="306" w:type="pct"/>
            <w:tcBorders>
              <w:bottom w:val="nil"/>
            </w:tcBorders>
            <w:vAlign w:val="center"/>
          </w:tcPr>
          <w:p w14:paraId="65911ADA" w14:textId="77777777" w:rsidR="0025223A" w:rsidRPr="004C78D8" w:rsidRDefault="0025223A" w:rsidP="00FB7C1F">
            <w:pPr>
              <w:jc w:val="center"/>
              <w:rPr>
                <w:sz w:val="28"/>
                <w:szCs w:val="28"/>
              </w:rPr>
            </w:pPr>
            <w:r w:rsidRPr="004C78D8">
              <w:rPr>
                <w:rFonts w:cs="Times New Roman"/>
                <w:sz w:val="28"/>
                <w:szCs w:val="28"/>
              </w:rPr>
              <w:t>˟</w:t>
            </w:r>
          </w:p>
        </w:tc>
        <w:tc>
          <w:tcPr>
            <w:tcW w:w="306" w:type="pct"/>
            <w:tcBorders>
              <w:bottom w:val="nil"/>
            </w:tcBorders>
          </w:tcPr>
          <w:p w14:paraId="0ABFF7DD" w14:textId="77777777" w:rsidR="0025223A" w:rsidRPr="004C78D8" w:rsidRDefault="0025223A" w:rsidP="00FB7C1F">
            <w:pPr>
              <w:jc w:val="center"/>
              <w:rPr>
                <w:sz w:val="28"/>
                <w:szCs w:val="28"/>
              </w:rPr>
            </w:pPr>
            <w:r w:rsidRPr="004C78D8">
              <w:rPr>
                <w:rFonts w:cs="Times New Roman"/>
                <w:sz w:val="28"/>
                <w:szCs w:val="28"/>
              </w:rPr>
              <w:t>˟</w:t>
            </w:r>
          </w:p>
        </w:tc>
        <w:tc>
          <w:tcPr>
            <w:tcW w:w="357" w:type="pct"/>
            <w:tcBorders>
              <w:bottom w:val="nil"/>
            </w:tcBorders>
            <w:vAlign w:val="center"/>
          </w:tcPr>
          <w:p w14:paraId="01948486" w14:textId="77777777" w:rsidR="0025223A" w:rsidRPr="004C78D8" w:rsidRDefault="0025223A" w:rsidP="00FB7C1F">
            <w:pPr>
              <w:jc w:val="center"/>
              <w:rPr>
                <w:sz w:val="28"/>
                <w:szCs w:val="28"/>
              </w:rPr>
            </w:pPr>
          </w:p>
        </w:tc>
        <w:tc>
          <w:tcPr>
            <w:tcW w:w="357" w:type="pct"/>
            <w:tcBorders>
              <w:bottom w:val="nil"/>
            </w:tcBorders>
            <w:vAlign w:val="center"/>
          </w:tcPr>
          <w:p w14:paraId="39ACB4BD" w14:textId="77777777" w:rsidR="0025223A" w:rsidRPr="004C78D8" w:rsidRDefault="0025223A" w:rsidP="00FB7C1F">
            <w:pPr>
              <w:jc w:val="center"/>
              <w:rPr>
                <w:sz w:val="20"/>
                <w:szCs w:val="20"/>
              </w:rPr>
            </w:pPr>
          </w:p>
        </w:tc>
        <w:tc>
          <w:tcPr>
            <w:tcW w:w="459" w:type="pct"/>
            <w:tcBorders>
              <w:bottom w:val="nil"/>
            </w:tcBorders>
            <w:vAlign w:val="center"/>
          </w:tcPr>
          <w:p w14:paraId="319E8902" w14:textId="77777777" w:rsidR="0025223A" w:rsidRPr="004C78D8" w:rsidRDefault="0025223A" w:rsidP="00FB7C1F">
            <w:pPr>
              <w:jc w:val="center"/>
              <w:rPr>
                <w:sz w:val="20"/>
                <w:szCs w:val="20"/>
              </w:rPr>
            </w:pPr>
          </w:p>
        </w:tc>
        <w:tc>
          <w:tcPr>
            <w:tcW w:w="408" w:type="pct"/>
            <w:tcBorders>
              <w:bottom w:val="nil"/>
            </w:tcBorders>
            <w:vAlign w:val="center"/>
          </w:tcPr>
          <w:p w14:paraId="29FAE892" w14:textId="77777777" w:rsidR="0025223A" w:rsidRPr="004C78D8" w:rsidRDefault="0025223A" w:rsidP="00FB7C1F">
            <w:pPr>
              <w:jc w:val="center"/>
              <w:rPr>
                <w:sz w:val="18"/>
                <w:szCs w:val="18"/>
              </w:rPr>
            </w:pPr>
            <w:r w:rsidRPr="004C78D8">
              <w:rPr>
                <w:sz w:val="18"/>
                <w:szCs w:val="18"/>
              </w:rPr>
              <w:t>PP</w:t>
            </w:r>
          </w:p>
        </w:tc>
      </w:tr>
      <w:tr w:rsidR="0025223A" w:rsidRPr="004C78D8" w14:paraId="60CBA3EE" w14:textId="77777777" w:rsidTr="002828C1">
        <w:tc>
          <w:tcPr>
            <w:tcW w:w="662" w:type="pct"/>
          </w:tcPr>
          <w:p w14:paraId="66F00318" w14:textId="77777777" w:rsidR="0025223A" w:rsidRPr="004C78D8" w:rsidRDefault="0025223A" w:rsidP="00FB7C1F">
            <w:pPr>
              <w:jc w:val="left"/>
              <w:rPr>
                <w:sz w:val="18"/>
                <w:szCs w:val="18"/>
              </w:rPr>
            </w:pPr>
            <w:r w:rsidRPr="004C78D8">
              <w:rPr>
                <w:sz w:val="18"/>
                <w:szCs w:val="18"/>
              </w:rPr>
              <w:t>Comans (2009)</w:t>
            </w:r>
          </w:p>
        </w:tc>
        <w:tc>
          <w:tcPr>
            <w:tcW w:w="765" w:type="pct"/>
          </w:tcPr>
          <w:p w14:paraId="20B39553" w14:textId="77777777" w:rsidR="0025223A" w:rsidRPr="004C78D8" w:rsidRDefault="0025223A" w:rsidP="00FB7C1F">
            <w:pPr>
              <w:jc w:val="left"/>
              <w:rPr>
                <w:sz w:val="18"/>
                <w:szCs w:val="18"/>
              </w:rPr>
            </w:pPr>
            <w:r w:rsidRPr="004C78D8">
              <w:rPr>
                <w:sz w:val="18"/>
                <w:szCs w:val="18"/>
              </w:rPr>
              <w:t>MF int.</w:t>
            </w:r>
          </w:p>
        </w:tc>
        <w:tc>
          <w:tcPr>
            <w:tcW w:w="255" w:type="pct"/>
            <w:tcBorders>
              <w:top w:val="nil"/>
              <w:bottom w:val="nil"/>
            </w:tcBorders>
            <w:vAlign w:val="center"/>
          </w:tcPr>
          <w:p w14:paraId="24745052" w14:textId="77777777" w:rsidR="0025223A" w:rsidRPr="004C78D8" w:rsidRDefault="0025223A" w:rsidP="00FB7C1F">
            <w:pPr>
              <w:jc w:val="center"/>
              <w:rPr>
                <w:sz w:val="28"/>
                <w:szCs w:val="28"/>
              </w:rPr>
            </w:pPr>
          </w:p>
        </w:tc>
        <w:tc>
          <w:tcPr>
            <w:tcW w:w="408" w:type="pct"/>
            <w:tcBorders>
              <w:top w:val="nil"/>
              <w:bottom w:val="nil"/>
            </w:tcBorders>
            <w:vAlign w:val="center"/>
          </w:tcPr>
          <w:p w14:paraId="1D3A11FD" w14:textId="77777777" w:rsidR="0025223A" w:rsidRPr="004C78D8" w:rsidRDefault="0025223A" w:rsidP="00FB7C1F">
            <w:pPr>
              <w:jc w:val="center"/>
              <w:rPr>
                <w:sz w:val="28"/>
                <w:szCs w:val="28"/>
              </w:rPr>
            </w:pPr>
          </w:p>
        </w:tc>
        <w:tc>
          <w:tcPr>
            <w:tcW w:w="357" w:type="pct"/>
            <w:tcBorders>
              <w:top w:val="nil"/>
              <w:bottom w:val="nil"/>
            </w:tcBorders>
            <w:vAlign w:val="center"/>
          </w:tcPr>
          <w:p w14:paraId="57D0D33A" w14:textId="77777777" w:rsidR="0025223A" w:rsidRPr="004C78D8" w:rsidRDefault="0025223A" w:rsidP="00FB7C1F">
            <w:pPr>
              <w:jc w:val="center"/>
              <w:rPr>
                <w:sz w:val="28"/>
                <w:szCs w:val="28"/>
              </w:rPr>
            </w:pPr>
          </w:p>
        </w:tc>
        <w:tc>
          <w:tcPr>
            <w:tcW w:w="358" w:type="pct"/>
            <w:tcBorders>
              <w:top w:val="nil"/>
              <w:bottom w:val="nil"/>
            </w:tcBorders>
            <w:vAlign w:val="center"/>
          </w:tcPr>
          <w:p w14:paraId="01443A61" w14:textId="77777777" w:rsidR="0025223A" w:rsidRPr="004C78D8" w:rsidRDefault="0025223A" w:rsidP="00FB7C1F">
            <w:pPr>
              <w:jc w:val="center"/>
              <w:rPr>
                <w:sz w:val="28"/>
                <w:szCs w:val="28"/>
              </w:rPr>
            </w:pPr>
          </w:p>
        </w:tc>
        <w:tc>
          <w:tcPr>
            <w:tcW w:w="306" w:type="pct"/>
            <w:tcBorders>
              <w:top w:val="nil"/>
              <w:bottom w:val="nil"/>
            </w:tcBorders>
            <w:vAlign w:val="center"/>
          </w:tcPr>
          <w:p w14:paraId="31805AB4" w14:textId="77777777" w:rsidR="0025223A" w:rsidRPr="004C78D8" w:rsidRDefault="0025223A" w:rsidP="00FB7C1F">
            <w:pPr>
              <w:jc w:val="center"/>
              <w:rPr>
                <w:sz w:val="28"/>
                <w:szCs w:val="28"/>
              </w:rPr>
            </w:pPr>
            <w:r w:rsidRPr="004C78D8">
              <w:rPr>
                <w:rFonts w:cs="Times New Roman"/>
                <w:sz w:val="28"/>
                <w:szCs w:val="28"/>
              </w:rPr>
              <w:t>˟</w:t>
            </w:r>
          </w:p>
        </w:tc>
        <w:tc>
          <w:tcPr>
            <w:tcW w:w="306" w:type="pct"/>
            <w:tcBorders>
              <w:top w:val="nil"/>
              <w:bottom w:val="nil"/>
            </w:tcBorders>
          </w:tcPr>
          <w:p w14:paraId="24247F77" w14:textId="77777777" w:rsidR="0025223A" w:rsidRPr="004C78D8" w:rsidRDefault="0025223A" w:rsidP="00FB7C1F">
            <w:pPr>
              <w:jc w:val="center"/>
              <w:rPr>
                <w:rFonts w:cs="Times New Roman"/>
                <w:sz w:val="28"/>
                <w:szCs w:val="28"/>
              </w:rPr>
            </w:pPr>
          </w:p>
        </w:tc>
        <w:tc>
          <w:tcPr>
            <w:tcW w:w="357" w:type="pct"/>
            <w:tcBorders>
              <w:top w:val="nil"/>
              <w:bottom w:val="nil"/>
            </w:tcBorders>
            <w:vAlign w:val="center"/>
          </w:tcPr>
          <w:p w14:paraId="273AAF91" w14:textId="77777777" w:rsidR="0025223A" w:rsidRPr="004C78D8" w:rsidRDefault="0025223A" w:rsidP="00FB7C1F">
            <w:pPr>
              <w:jc w:val="center"/>
              <w:rPr>
                <w:sz w:val="28"/>
                <w:szCs w:val="28"/>
              </w:rPr>
            </w:pPr>
            <w:r w:rsidRPr="004C78D8">
              <w:rPr>
                <w:rFonts w:cs="Times New Roman"/>
                <w:sz w:val="28"/>
                <w:szCs w:val="28"/>
              </w:rPr>
              <w:t>˟</w:t>
            </w:r>
          </w:p>
        </w:tc>
        <w:tc>
          <w:tcPr>
            <w:tcW w:w="357" w:type="pct"/>
            <w:tcBorders>
              <w:top w:val="nil"/>
              <w:bottom w:val="nil"/>
            </w:tcBorders>
            <w:vAlign w:val="center"/>
          </w:tcPr>
          <w:p w14:paraId="116E19C5" w14:textId="77777777" w:rsidR="0025223A" w:rsidRPr="004C78D8" w:rsidRDefault="0025223A" w:rsidP="00FB7C1F">
            <w:pPr>
              <w:jc w:val="center"/>
              <w:rPr>
                <w:sz w:val="20"/>
                <w:szCs w:val="20"/>
              </w:rPr>
            </w:pPr>
          </w:p>
        </w:tc>
        <w:tc>
          <w:tcPr>
            <w:tcW w:w="459" w:type="pct"/>
            <w:tcBorders>
              <w:top w:val="nil"/>
              <w:bottom w:val="nil"/>
            </w:tcBorders>
            <w:vAlign w:val="center"/>
          </w:tcPr>
          <w:p w14:paraId="47DF4C5B" w14:textId="77777777" w:rsidR="0025223A" w:rsidRPr="004C78D8" w:rsidRDefault="0025223A" w:rsidP="00FB7C1F">
            <w:pPr>
              <w:jc w:val="center"/>
              <w:rPr>
                <w:sz w:val="28"/>
                <w:szCs w:val="28"/>
              </w:rPr>
            </w:pPr>
            <w:r w:rsidRPr="004C78D8">
              <w:rPr>
                <w:rFonts w:cs="Times New Roman"/>
                <w:sz w:val="28"/>
                <w:szCs w:val="28"/>
              </w:rPr>
              <w:t>˟</w:t>
            </w:r>
          </w:p>
        </w:tc>
        <w:tc>
          <w:tcPr>
            <w:tcW w:w="408" w:type="pct"/>
            <w:tcBorders>
              <w:top w:val="nil"/>
              <w:bottom w:val="nil"/>
            </w:tcBorders>
            <w:vAlign w:val="center"/>
          </w:tcPr>
          <w:p w14:paraId="5C812094" w14:textId="77777777" w:rsidR="0025223A" w:rsidRPr="004C78D8" w:rsidRDefault="0025223A" w:rsidP="00FB7C1F">
            <w:pPr>
              <w:jc w:val="center"/>
              <w:rPr>
                <w:sz w:val="18"/>
                <w:szCs w:val="18"/>
              </w:rPr>
            </w:pPr>
            <w:r w:rsidRPr="004C78D8">
              <w:rPr>
                <w:sz w:val="18"/>
                <w:szCs w:val="18"/>
              </w:rPr>
              <w:t>Fixed &amp; PP</w:t>
            </w:r>
          </w:p>
        </w:tc>
      </w:tr>
      <w:tr w:rsidR="0025223A" w:rsidRPr="004C78D8" w14:paraId="07D5011C" w14:textId="77777777" w:rsidTr="002828C1">
        <w:tc>
          <w:tcPr>
            <w:tcW w:w="662" w:type="pct"/>
          </w:tcPr>
          <w:p w14:paraId="7F5CDD50" w14:textId="77777777" w:rsidR="0025223A" w:rsidRPr="004C78D8" w:rsidRDefault="0025223A" w:rsidP="00FB7C1F">
            <w:pPr>
              <w:jc w:val="left"/>
              <w:rPr>
                <w:sz w:val="18"/>
                <w:szCs w:val="18"/>
              </w:rPr>
            </w:pPr>
            <w:r w:rsidRPr="004C78D8">
              <w:rPr>
                <w:sz w:val="18"/>
                <w:szCs w:val="18"/>
              </w:rPr>
              <w:t>Day (2009)</w:t>
            </w:r>
          </w:p>
        </w:tc>
        <w:tc>
          <w:tcPr>
            <w:tcW w:w="765" w:type="pct"/>
          </w:tcPr>
          <w:p w14:paraId="28A34FEF" w14:textId="028F7265" w:rsidR="0025223A" w:rsidRPr="004C78D8" w:rsidRDefault="0025223A" w:rsidP="00FB7C1F">
            <w:pPr>
              <w:jc w:val="left"/>
              <w:rPr>
                <w:sz w:val="18"/>
                <w:szCs w:val="18"/>
              </w:rPr>
            </w:pPr>
            <w:r w:rsidRPr="004C78D8">
              <w:rPr>
                <w:sz w:val="18"/>
                <w:szCs w:val="18"/>
              </w:rPr>
              <w:t>FRS and MF int.</w:t>
            </w:r>
            <w:r w:rsidR="005E2745" w:rsidRPr="004C78D8">
              <w:rPr>
                <w:sz w:val="18"/>
                <w:szCs w:val="18"/>
                <w:vertAlign w:val="superscript"/>
              </w:rPr>
              <w:t>3</w:t>
            </w:r>
          </w:p>
        </w:tc>
        <w:tc>
          <w:tcPr>
            <w:tcW w:w="255" w:type="pct"/>
            <w:tcBorders>
              <w:top w:val="nil"/>
              <w:bottom w:val="nil"/>
            </w:tcBorders>
            <w:vAlign w:val="center"/>
          </w:tcPr>
          <w:p w14:paraId="1C3E3FB2" w14:textId="77777777" w:rsidR="0025223A" w:rsidRPr="004C78D8" w:rsidRDefault="0025223A" w:rsidP="00FB7C1F">
            <w:pPr>
              <w:jc w:val="center"/>
              <w:rPr>
                <w:sz w:val="28"/>
                <w:szCs w:val="28"/>
              </w:rPr>
            </w:pPr>
            <w:r w:rsidRPr="004C78D8">
              <w:rPr>
                <w:rFonts w:cs="Times New Roman"/>
                <w:sz w:val="28"/>
                <w:szCs w:val="28"/>
              </w:rPr>
              <w:t>˟</w:t>
            </w:r>
          </w:p>
        </w:tc>
        <w:tc>
          <w:tcPr>
            <w:tcW w:w="408" w:type="pct"/>
            <w:tcBorders>
              <w:top w:val="nil"/>
              <w:bottom w:val="nil"/>
            </w:tcBorders>
            <w:vAlign w:val="center"/>
          </w:tcPr>
          <w:p w14:paraId="1B1E482A" w14:textId="77777777" w:rsidR="0025223A" w:rsidRPr="004C78D8" w:rsidRDefault="0025223A" w:rsidP="00FB7C1F">
            <w:pPr>
              <w:jc w:val="center"/>
              <w:rPr>
                <w:sz w:val="28"/>
                <w:szCs w:val="28"/>
              </w:rPr>
            </w:pPr>
          </w:p>
        </w:tc>
        <w:tc>
          <w:tcPr>
            <w:tcW w:w="357" w:type="pct"/>
            <w:tcBorders>
              <w:top w:val="nil"/>
              <w:bottom w:val="nil"/>
            </w:tcBorders>
            <w:vAlign w:val="center"/>
          </w:tcPr>
          <w:p w14:paraId="73C32515" w14:textId="77777777" w:rsidR="0025223A" w:rsidRPr="004C78D8" w:rsidRDefault="0025223A" w:rsidP="00FB7C1F">
            <w:pPr>
              <w:jc w:val="center"/>
              <w:rPr>
                <w:sz w:val="28"/>
                <w:szCs w:val="28"/>
              </w:rPr>
            </w:pPr>
            <w:r w:rsidRPr="004C78D8">
              <w:rPr>
                <w:rFonts w:cs="Times New Roman"/>
                <w:sz w:val="28"/>
                <w:szCs w:val="28"/>
              </w:rPr>
              <w:t>˟</w:t>
            </w:r>
          </w:p>
        </w:tc>
        <w:tc>
          <w:tcPr>
            <w:tcW w:w="358" w:type="pct"/>
            <w:tcBorders>
              <w:top w:val="nil"/>
              <w:bottom w:val="nil"/>
            </w:tcBorders>
            <w:vAlign w:val="center"/>
          </w:tcPr>
          <w:p w14:paraId="20728ED1" w14:textId="77777777" w:rsidR="0025223A" w:rsidRPr="004C78D8" w:rsidRDefault="0025223A" w:rsidP="00FB7C1F">
            <w:pPr>
              <w:jc w:val="center"/>
              <w:rPr>
                <w:sz w:val="28"/>
                <w:szCs w:val="28"/>
              </w:rPr>
            </w:pPr>
          </w:p>
        </w:tc>
        <w:tc>
          <w:tcPr>
            <w:tcW w:w="306" w:type="pct"/>
            <w:tcBorders>
              <w:top w:val="nil"/>
              <w:bottom w:val="nil"/>
            </w:tcBorders>
            <w:vAlign w:val="center"/>
          </w:tcPr>
          <w:p w14:paraId="65DDA8E3" w14:textId="77777777" w:rsidR="0025223A" w:rsidRPr="004C78D8" w:rsidRDefault="0025223A" w:rsidP="00FB7C1F">
            <w:pPr>
              <w:jc w:val="center"/>
              <w:rPr>
                <w:sz w:val="28"/>
                <w:szCs w:val="28"/>
              </w:rPr>
            </w:pPr>
            <w:r w:rsidRPr="004C78D8">
              <w:rPr>
                <w:rFonts w:cs="Times New Roman"/>
                <w:sz w:val="28"/>
                <w:szCs w:val="28"/>
              </w:rPr>
              <w:t>˟</w:t>
            </w:r>
          </w:p>
        </w:tc>
        <w:tc>
          <w:tcPr>
            <w:tcW w:w="306" w:type="pct"/>
            <w:tcBorders>
              <w:top w:val="nil"/>
              <w:bottom w:val="nil"/>
            </w:tcBorders>
          </w:tcPr>
          <w:p w14:paraId="03A4F8D1" w14:textId="77777777" w:rsidR="0025223A" w:rsidRPr="004C78D8" w:rsidRDefault="0025223A" w:rsidP="00FB7C1F">
            <w:pPr>
              <w:jc w:val="center"/>
              <w:rPr>
                <w:sz w:val="28"/>
                <w:szCs w:val="28"/>
              </w:rPr>
            </w:pPr>
          </w:p>
        </w:tc>
        <w:tc>
          <w:tcPr>
            <w:tcW w:w="357" w:type="pct"/>
            <w:tcBorders>
              <w:top w:val="nil"/>
              <w:bottom w:val="nil"/>
            </w:tcBorders>
            <w:vAlign w:val="center"/>
          </w:tcPr>
          <w:p w14:paraId="6AEA1010" w14:textId="77777777" w:rsidR="0025223A" w:rsidRPr="004C78D8" w:rsidRDefault="0025223A" w:rsidP="00FB7C1F">
            <w:pPr>
              <w:jc w:val="center"/>
              <w:rPr>
                <w:sz w:val="28"/>
                <w:szCs w:val="28"/>
              </w:rPr>
            </w:pPr>
          </w:p>
        </w:tc>
        <w:tc>
          <w:tcPr>
            <w:tcW w:w="357" w:type="pct"/>
            <w:tcBorders>
              <w:top w:val="nil"/>
              <w:bottom w:val="nil"/>
            </w:tcBorders>
            <w:vAlign w:val="center"/>
          </w:tcPr>
          <w:p w14:paraId="3077211C" w14:textId="77777777" w:rsidR="0025223A" w:rsidRPr="004C78D8" w:rsidRDefault="0025223A" w:rsidP="00FB7C1F">
            <w:pPr>
              <w:jc w:val="center"/>
              <w:rPr>
                <w:sz w:val="18"/>
                <w:szCs w:val="18"/>
              </w:rPr>
            </w:pPr>
            <w:r w:rsidRPr="004C78D8">
              <w:rPr>
                <w:sz w:val="18"/>
                <w:szCs w:val="18"/>
              </w:rPr>
              <w:t>OH</w:t>
            </w:r>
          </w:p>
        </w:tc>
        <w:tc>
          <w:tcPr>
            <w:tcW w:w="459" w:type="pct"/>
            <w:tcBorders>
              <w:top w:val="nil"/>
              <w:bottom w:val="nil"/>
            </w:tcBorders>
            <w:vAlign w:val="center"/>
          </w:tcPr>
          <w:p w14:paraId="653E0D34" w14:textId="77777777" w:rsidR="0025223A" w:rsidRPr="004C78D8" w:rsidRDefault="0025223A" w:rsidP="00FB7C1F">
            <w:pPr>
              <w:jc w:val="center"/>
              <w:rPr>
                <w:sz w:val="28"/>
                <w:szCs w:val="28"/>
              </w:rPr>
            </w:pPr>
            <w:r w:rsidRPr="004C78D8">
              <w:rPr>
                <w:rFonts w:cs="Times New Roman"/>
                <w:sz w:val="28"/>
                <w:szCs w:val="28"/>
              </w:rPr>
              <w:t>˟</w:t>
            </w:r>
          </w:p>
        </w:tc>
        <w:tc>
          <w:tcPr>
            <w:tcW w:w="408" w:type="pct"/>
            <w:tcBorders>
              <w:top w:val="nil"/>
              <w:bottom w:val="nil"/>
            </w:tcBorders>
            <w:vAlign w:val="center"/>
          </w:tcPr>
          <w:p w14:paraId="188D8286" w14:textId="77777777" w:rsidR="0025223A" w:rsidRPr="004C78D8" w:rsidRDefault="0025223A" w:rsidP="00FB7C1F">
            <w:pPr>
              <w:jc w:val="center"/>
              <w:rPr>
                <w:sz w:val="18"/>
                <w:szCs w:val="18"/>
              </w:rPr>
            </w:pPr>
            <w:r w:rsidRPr="004C78D8">
              <w:rPr>
                <w:sz w:val="18"/>
                <w:szCs w:val="18"/>
              </w:rPr>
              <w:t>PP</w:t>
            </w:r>
          </w:p>
        </w:tc>
      </w:tr>
      <w:tr w:rsidR="0025223A" w:rsidRPr="004C78D8" w14:paraId="083C1385" w14:textId="77777777" w:rsidTr="002828C1">
        <w:tc>
          <w:tcPr>
            <w:tcW w:w="662" w:type="pct"/>
          </w:tcPr>
          <w:p w14:paraId="11984C04" w14:textId="77777777" w:rsidR="0025223A" w:rsidRPr="004C78D8" w:rsidRDefault="0025223A" w:rsidP="00FB7C1F">
            <w:pPr>
              <w:jc w:val="left"/>
              <w:rPr>
                <w:sz w:val="18"/>
                <w:szCs w:val="18"/>
              </w:rPr>
            </w:pPr>
            <w:r w:rsidRPr="004C78D8">
              <w:rPr>
                <w:sz w:val="18"/>
                <w:szCs w:val="18"/>
              </w:rPr>
              <w:t>Eldridge (2005)</w:t>
            </w:r>
          </w:p>
        </w:tc>
        <w:tc>
          <w:tcPr>
            <w:tcW w:w="765" w:type="pct"/>
          </w:tcPr>
          <w:p w14:paraId="1AA8FBD0" w14:textId="77777777" w:rsidR="0025223A" w:rsidRPr="004C78D8" w:rsidRDefault="0025223A" w:rsidP="00FB7C1F">
            <w:pPr>
              <w:jc w:val="left"/>
              <w:rPr>
                <w:sz w:val="18"/>
                <w:szCs w:val="18"/>
              </w:rPr>
            </w:pPr>
            <w:r w:rsidRPr="004C78D8">
              <w:rPr>
                <w:sz w:val="18"/>
                <w:szCs w:val="18"/>
              </w:rPr>
              <w:t>FRS and falls clinic MF int. or balance and gait treatment</w:t>
            </w:r>
          </w:p>
        </w:tc>
        <w:tc>
          <w:tcPr>
            <w:tcW w:w="255" w:type="pct"/>
            <w:tcBorders>
              <w:top w:val="nil"/>
              <w:bottom w:val="nil"/>
            </w:tcBorders>
            <w:vAlign w:val="center"/>
          </w:tcPr>
          <w:p w14:paraId="5FD1238B"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408" w:type="pct"/>
            <w:tcBorders>
              <w:top w:val="nil"/>
              <w:bottom w:val="nil"/>
            </w:tcBorders>
            <w:vAlign w:val="center"/>
          </w:tcPr>
          <w:p w14:paraId="754D622F" w14:textId="77777777" w:rsidR="0025223A" w:rsidRPr="004C78D8" w:rsidRDefault="0025223A" w:rsidP="00FB7C1F">
            <w:pPr>
              <w:jc w:val="center"/>
              <w:rPr>
                <w:sz w:val="28"/>
                <w:szCs w:val="28"/>
              </w:rPr>
            </w:pPr>
            <w:r w:rsidRPr="004C78D8">
              <w:rPr>
                <w:rFonts w:cs="Times New Roman"/>
                <w:sz w:val="28"/>
                <w:szCs w:val="28"/>
              </w:rPr>
              <w:t>˟</w:t>
            </w:r>
          </w:p>
        </w:tc>
        <w:tc>
          <w:tcPr>
            <w:tcW w:w="357" w:type="pct"/>
            <w:tcBorders>
              <w:top w:val="nil"/>
              <w:bottom w:val="nil"/>
            </w:tcBorders>
            <w:vAlign w:val="center"/>
          </w:tcPr>
          <w:p w14:paraId="34BCAB59"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58" w:type="pct"/>
            <w:tcBorders>
              <w:top w:val="nil"/>
              <w:bottom w:val="nil"/>
            </w:tcBorders>
            <w:vAlign w:val="center"/>
          </w:tcPr>
          <w:p w14:paraId="45063BFD" w14:textId="77777777" w:rsidR="0025223A" w:rsidRPr="004C78D8" w:rsidRDefault="0025223A" w:rsidP="00FB7C1F">
            <w:pPr>
              <w:jc w:val="center"/>
              <w:rPr>
                <w:sz w:val="28"/>
                <w:szCs w:val="28"/>
              </w:rPr>
            </w:pPr>
            <w:r w:rsidRPr="004C78D8">
              <w:rPr>
                <w:rFonts w:cs="Times New Roman"/>
                <w:sz w:val="18"/>
                <w:szCs w:val="18"/>
              </w:rPr>
              <w:t>Set-up</w:t>
            </w:r>
          </w:p>
        </w:tc>
        <w:tc>
          <w:tcPr>
            <w:tcW w:w="306" w:type="pct"/>
            <w:tcBorders>
              <w:top w:val="nil"/>
              <w:bottom w:val="nil"/>
            </w:tcBorders>
            <w:vAlign w:val="center"/>
          </w:tcPr>
          <w:p w14:paraId="1B383DC4"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06" w:type="pct"/>
            <w:tcBorders>
              <w:top w:val="nil"/>
              <w:bottom w:val="nil"/>
            </w:tcBorders>
            <w:vAlign w:val="center"/>
          </w:tcPr>
          <w:p w14:paraId="57A64E69" w14:textId="77777777" w:rsidR="0025223A" w:rsidRPr="004C78D8" w:rsidRDefault="0025223A" w:rsidP="00FB7C1F">
            <w:pPr>
              <w:jc w:val="center"/>
              <w:rPr>
                <w:sz w:val="28"/>
                <w:szCs w:val="28"/>
              </w:rPr>
            </w:pPr>
          </w:p>
        </w:tc>
        <w:tc>
          <w:tcPr>
            <w:tcW w:w="357" w:type="pct"/>
            <w:tcBorders>
              <w:top w:val="nil"/>
              <w:bottom w:val="nil"/>
            </w:tcBorders>
            <w:vAlign w:val="center"/>
          </w:tcPr>
          <w:p w14:paraId="221AF38E" w14:textId="77777777" w:rsidR="0025223A" w:rsidRPr="004C78D8" w:rsidRDefault="0025223A" w:rsidP="00FB7C1F">
            <w:pPr>
              <w:jc w:val="center"/>
              <w:rPr>
                <w:sz w:val="28"/>
                <w:szCs w:val="28"/>
              </w:rPr>
            </w:pPr>
          </w:p>
        </w:tc>
        <w:tc>
          <w:tcPr>
            <w:tcW w:w="357" w:type="pct"/>
            <w:tcBorders>
              <w:top w:val="nil"/>
              <w:bottom w:val="nil"/>
            </w:tcBorders>
            <w:vAlign w:val="center"/>
          </w:tcPr>
          <w:p w14:paraId="7EFE4727" w14:textId="77777777" w:rsidR="0025223A" w:rsidRPr="004C78D8" w:rsidRDefault="0025223A" w:rsidP="00FB7C1F">
            <w:pPr>
              <w:jc w:val="center"/>
              <w:rPr>
                <w:sz w:val="18"/>
                <w:szCs w:val="18"/>
              </w:rPr>
            </w:pPr>
            <w:r w:rsidRPr="004C78D8">
              <w:rPr>
                <w:sz w:val="18"/>
                <w:szCs w:val="18"/>
              </w:rPr>
              <w:t>VN&amp;OH</w:t>
            </w:r>
          </w:p>
        </w:tc>
        <w:tc>
          <w:tcPr>
            <w:tcW w:w="459" w:type="pct"/>
            <w:tcBorders>
              <w:top w:val="nil"/>
              <w:bottom w:val="nil"/>
            </w:tcBorders>
            <w:vAlign w:val="center"/>
          </w:tcPr>
          <w:p w14:paraId="7BFCA8B0"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408" w:type="pct"/>
            <w:tcBorders>
              <w:top w:val="nil"/>
              <w:bottom w:val="nil"/>
            </w:tcBorders>
            <w:vAlign w:val="center"/>
          </w:tcPr>
          <w:p w14:paraId="26E05C27" w14:textId="77777777" w:rsidR="0025223A" w:rsidRPr="004C78D8" w:rsidRDefault="0025223A" w:rsidP="00FB7C1F">
            <w:pPr>
              <w:jc w:val="center"/>
              <w:rPr>
                <w:sz w:val="18"/>
                <w:szCs w:val="18"/>
              </w:rPr>
            </w:pPr>
            <w:r w:rsidRPr="004C78D8">
              <w:rPr>
                <w:sz w:val="18"/>
                <w:szCs w:val="18"/>
              </w:rPr>
              <w:t>Fixed &amp; PP</w:t>
            </w:r>
          </w:p>
        </w:tc>
      </w:tr>
      <w:tr w:rsidR="0025223A" w:rsidRPr="004C78D8" w14:paraId="3EA01DC9" w14:textId="77777777" w:rsidTr="002828C1">
        <w:tc>
          <w:tcPr>
            <w:tcW w:w="662" w:type="pct"/>
            <w:vMerge w:val="restart"/>
            <w:shd w:val="clear" w:color="auto" w:fill="auto"/>
          </w:tcPr>
          <w:p w14:paraId="03C59682" w14:textId="77777777" w:rsidR="0025223A" w:rsidRPr="004C78D8" w:rsidRDefault="0025223A" w:rsidP="00FB7C1F">
            <w:pPr>
              <w:jc w:val="left"/>
              <w:rPr>
                <w:sz w:val="18"/>
                <w:szCs w:val="18"/>
              </w:rPr>
            </w:pPr>
            <w:r w:rsidRPr="004C78D8">
              <w:rPr>
                <w:sz w:val="18"/>
                <w:szCs w:val="18"/>
              </w:rPr>
              <w:t>Frick (2010)</w:t>
            </w:r>
          </w:p>
        </w:tc>
        <w:tc>
          <w:tcPr>
            <w:tcW w:w="765" w:type="pct"/>
            <w:shd w:val="clear" w:color="auto" w:fill="auto"/>
          </w:tcPr>
          <w:p w14:paraId="4E2BADC0" w14:textId="77777777" w:rsidR="0025223A" w:rsidRPr="004C78D8" w:rsidRDefault="0025223A" w:rsidP="00FB7C1F">
            <w:pPr>
              <w:jc w:val="left"/>
              <w:rPr>
                <w:sz w:val="18"/>
                <w:szCs w:val="18"/>
              </w:rPr>
            </w:pPr>
            <w:r w:rsidRPr="004C78D8">
              <w:rPr>
                <w:sz w:val="18"/>
                <w:szCs w:val="18"/>
              </w:rPr>
              <w:t>MF int.</w:t>
            </w:r>
          </w:p>
        </w:tc>
        <w:tc>
          <w:tcPr>
            <w:tcW w:w="255" w:type="pct"/>
            <w:tcBorders>
              <w:top w:val="nil"/>
              <w:bottom w:val="nil"/>
            </w:tcBorders>
            <w:vAlign w:val="center"/>
          </w:tcPr>
          <w:p w14:paraId="7CB58540" w14:textId="77777777" w:rsidR="0025223A" w:rsidRPr="004C78D8" w:rsidRDefault="0025223A" w:rsidP="00FB7C1F">
            <w:pPr>
              <w:jc w:val="center"/>
              <w:rPr>
                <w:sz w:val="28"/>
                <w:szCs w:val="28"/>
              </w:rPr>
            </w:pPr>
          </w:p>
        </w:tc>
        <w:tc>
          <w:tcPr>
            <w:tcW w:w="408" w:type="pct"/>
            <w:tcBorders>
              <w:top w:val="nil"/>
              <w:bottom w:val="nil"/>
            </w:tcBorders>
            <w:vAlign w:val="center"/>
          </w:tcPr>
          <w:p w14:paraId="5AC5D4AC" w14:textId="77777777" w:rsidR="0025223A" w:rsidRPr="004C78D8" w:rsidRDefault="0025223A" w:rsidP="00FB7C1F">
            <w:pPr>
              <w:jc w:val="center"/>
              <w:rPr>
                <w:sz w:val="28"/>
                <w:szCs w:val="28"/>
              </w:rPr>
            </w:pPr>
          </w:p>
        </w:tc>
        <w:tc>
          <w:tcPr>
            <w:tcW w:w="357" w:type="pct"/>
            <w:tcBorders>
              <w:top w:val="nil"/>
              <w:bottom w:val="nil"/>
            </w:tcBorders>
            <w:vAlign w:val="center"/>
          </w:tcPr>
          <w:p w14:paraId="727C9E07" w14:textId="77777777" w:rsidR="0025223A" w:rsidRPr="004C78D8" w:rsidRDefault="0025223A" w:rsidP="00FB7C1F">
            <w:pPr>
              <w:jc w:val="center"/>
              <w:rPr>
                <w:sz w:val="28"/>
                <w:szCs w:val="28"/>
              </w:rPr>
            </w:pPr>
          </w:p>
        </w:tc>
        <w:tc>
          <w:tcPr>
            <w:tcW w:w="358" w:type="pct"/>
            <w:tcBorders>
              <w:top w:val="nil"/>
              <w:bottom w:val="nil"/>
            </w:tcBorders>
            <w:vAlign w:val="center"/>
          </w:tcPr>
          <w:p w14:paraId="31C760B0" w14:textId="77777777" w:rsidR="0025223A" w:rsidRPr="004C78D8" w:rsidRDefault="0025223A" w:rsidP="00FB7C1F">
            <w:pPr>
              <w:jc w:val="center"/>
              <w:rPr>
                <w:sz w:val="28"/>
                <w:szCs w:val="28"/>
              </w:rPr>
            </w:pPr>
          </w:p>
        </w:tc>
        <w:tc>
          <w:tcPr>
            <w:tcW w:w="306" w:type="pct"/>
            <w:tcBorders>
              <w:top w:val="nil"/>
              <w:bottom w:val="nil"/>
            </w:tcBorders>
            <w:vAlign w:val="center"/>
          </w:tcPr>
          <w:p w14:paraId="48D51A60" w14:textId="77777777" w:rsidR="0025223A" w:rsidRPr="004C78D8" w:rsidRDefault="0025223A" w:rsidP="00FB7C1F">
            <w:pPr>
              <w:jc w:val="center"/>
              <w:rPr>
                <w:sz w:val="28"/>
                <w:szCs w:val="28"/>
              </w:rPr>
            </w:pPr>
            <w:r w:rsidRPr="004C78D8">
              <w:rPr>
                <w:rFonts w:cs="Times New Roman"/>
                <w:sz w:val="28"/>
                <w:szCs w:val="28"/>
              </w:rPr>
              <w:t>˟</w:t>
            </w:r>
          </w:p>
        </w:tc>
        <w:tc>
          <w:tcPr>
            <w:tcW w:w="306" w:type="pct"/>
            <w:tcBorders>
              <w:top w:val="nil"/>
              <w:bottom w:val="nil"/>
            </w:tcBorders>
          </w:tcPr>
          <w:p w14:paraId="3261B7EE" w14:textId="77777777" w:rsidR="0025223A" w:rsidRPr="004C78D8" w:rsidRDefault="0025223A" w:rsidP="00FB7C1F">
            <w:pPr>
              <w:jc w:val="center"/>
              <w:rPr>
                <w:rFonts w:cs="Times New Roman"/>
                <w:sz w:val="28"/>
                <w:szCs w:val="28"/>
              </w:rPr>
            </w:pPr>
          </w:p>
        </w:tc>
        <w:tc>
          <w:tcPr>
            <w:tcW w:w="357" w:type="pct"/>
            <w:tcBorders>
              <w:top w:val="nil"/>
              <w:bottom w:val="nil"/>
            </w:tcBorders>
            <w:vAlign w:val="center"/>
          </w:tcPr>
          <w:p w14:paraId="69DA043E" w14:textId="77777777" w:rsidR="0025223A" w:rsidRPr="004C78D8" w:rsidRDefault="0025223A" w:rsidP="00FB7C1F">
            <w:pPr>
              <w:jc w:val="center"/>
              <w:rPr>
                <w:sz w:val="28"/>
                <w:szCs w:val="28"/>
              </w:rPr>
            </w:pPr>
            <w:r w:rsidRPr="004C78D8">
              <w:rPr>
                <w:rFonts w:cs="Times New Roman"/>
                <w:sz w:val="28"/>
                <w:szCs w:val="28"/>
              </w:rPr>
              <w:t>˟</w:t>
            </w:r>
          </w:p>
        </w:tc>
        <w:tc>
          <w:tcPr>
            <w:tcW w:w="357" w:type="pct"/>
            <w:tcBorders>
              <w:top w:val="nil"/>
              <w:bottom w:val="nil"/>
            </w:tcBorders>
            <w:vAlign w:val="center"/>
          </w:tcPr>
          <w:p w14:paraId="6BE1B61B" w14:textId="77777777" w:rsidR="0025223A" w:rsidRPr="004C78D8" w:rsidRDefault="0025223A" w:rsidP="00FB7C1F">
            <w:pPr>
              <w:jc w:val="center"/>
              <w:rPr>
                <w:sz w:val="18"/>
                <w:szCs w:val="18"/>
              </w:rPr>
            </w:pPr>
            <w:r w:rsidRPr="004C78D8">
              <w:rPr>
                <w:sz w:val="18"/>
                <w:szCs w:val="18"/>
              </w:rPr>
              <w:t>OH</w:t>
            </w:r>
          </w:p>
        </w:tc>
        <w:tc>
          <w:tcPr>
            <w:tcW w:w="459" w:type="pct"/>
            <w:tcBorders>
              <w:top w:val="nil"/>
              <w:bottom w:val="nil"/>
            </w:tcBorders>
            <w:vAlign w:val="center"/>
          </w:tcPr>
          <w:p w14:paraId="4D14261D" w14:textId="77777777" w:rsidR="0025223A" w:rsidRPr="004C78D8" w:rsidRDefault="0025223A" w:rsidP="00FB7C1F">
            <w:pPr>
              <w:jc w:val="center"/>
              <w:rPr>
                <w:sz w:val="28"/>
                <w:szCs w:val="28"/>
              </w:rPr>
            </w:pPr>
          </w:p>
        </w:tc>
        <w:tc>
          <w:tcPr>
            <w:tcW w:w="408" w:type="pct"/>
            <w:tcBorders>
              <w:top w:val="nil"/>
              <w:bottom w:val="nil"/>
            </w:tcBorders>
            <w:vAlign w:val="center"/>
          </w:tcPr>
          <w:p w14:paraId="19070D90" w14:textId="77777777" w:rsidR="0025223A" w:rsidRPr="004C78D8" w:rsidRDefault="0025223A" w:rsidP="00FB7C1F">
            <w:pPr>
              <w:jc w:val="center"/>
              <w:rPr>
                <w:sz w:val="18"/>
                <w:szCs w:val="18"/>
              </w:rPr>
            </w:pPr>
            <w:r w:rsidRPr="004C78D8">
              <w:rPr>
                <w:sz w:val="18"/>
                <w:szCs w:val="18"/>
              </w:rPr>
              <w:t>PP</w:t>
            </w:r>
          </w:p>
        </w:tc>
      </w:tr>
      <w:tr w:rsidR="0025223A" w:rsidRPr="004C78D8" w14:paraId="4B361472" w14:textId="77777777" w:rsidTr="002828C1">
        <w:trPr>
          <w:trHeight w:val="313"/>
        </w:trPr>
        <w:tc>
          <w:tcPr>
            <w:tcW w:w="662" w:type="pct"/>
            <w:vMerge/>
            <w:shd w:val="clear" w:color="auto" w:fill="auto"/>
          </w:tcPr>
          <w:p w14:paraId="1FA38502" w14:textId="77777777" w:rsidR="0025223A" w:rsidRPr="004C78D8" w:rsidRDefault="0025223A" w:rsidP="00FB7C1F">
            <w:pPr>
              <w:jc w:val="left"/>
              <w:rPr>
                <w:sz w:val="18"/>
                <w:szCs w:val="18"/>
              </w:rPr>
            </w:pPr>
          </w:p>
        </w:tc>
        <w:tc>
          <w:tcPr>
            <w:tcW w:w="765" w:type="pct"/>
            <w:shd w:val="clear" w:color="auto" w:fill="auto"/>
          </w:tcPr>
          <w:p w14:paraId="5F326129" w14:textId="77777777" w:rsidR="0025223A" w:rsidRPr="004C78D8" w:rsidRDefault="0025223A" w:rsidP="00FB7C1F">
            <w:pPr>
              <w:jc w:val="left"/>
              <w:rPr>
                <w:sz w:val="18"/>
                <w:szCs w:val="18"/>
              </w:rPr>
            </w:pPr>
            <w:r w:rsidRPr="004C78D8">
              <w:rPr>
                <w:sz w:val="18"/>
                <w:szCs w:val="18"/>
              </w:rPr>
              <w:t>MF int. for high risk</w:t>
            </w:r>
          </w:p>
        </w:tc>
        <w:tc>
          <w:tcPr>
            <w:tcW w:w="255" w:type="pct"/>
            <w:tcBorders>
              <w:top w:val="nil"/>
              <w:bottom w:val="nil"/>
            </w:tcBorders>
            <w:vAlign w:val="center"/>
          </w:tcPr>
          <w:p w14:paraId="2AC64E05" w14:textId="77777777" w:rsidR="0025223A" w:rsidRPr="004C78D8" w:rsidRDefault="0025223A" w:rsidP="00FB7C1F">
            <w:pPr>
              <w:jc w:val="center"/>
              <w:rPr>
                <w:sz w:val="28"/>
                <w:szCs w:val="28"/>
              </w:rPr>
            </w:pPr>
          </w:p>
        </w:tc>
        <w:tc>
          <w:tcPr>
            <w:tcW w:w="408" w:type="pct"/>
            <w:tcBorders>
              <w:top w:val="nil"/>
              <w:bottom w:val="nil"/>
            </w:tcBorders>
            <w:vAlign w:val="center"/>
          </w:tcPr>
          <w:p w14:paraId="14ABCD6B" w14:textId="77777777" w:rsidR="0025223A" w:rsidRPr="004C78D8" w:rsidRDefault="0025223A" w:rsidP="00FB7C1F">
            <w:pPr>
              <w:jc w:val="center"/>
              <w:rPr>
                <w:sz w:val="28"/>
                <w:szCs w:val="28"/>
              </w:rPr>
            </w:pPr>
          </w:p>
        </w:tc>
        <w:tc>
          <w:tcPr>
            <w:tcW w:w="357" w:type="pct"/>
            <w:tcBorders>
              <w:top w:val="nil"/>
              <w:bottom w:val="nil"/>
            </w:tcBorders>
            <w:vAlign w:val="center"/>
          </w:tcPr>
          <w:p w14:paraId="1DF42CCF" w14:textId="77777777" w:rsidR="0025223A" w:rsidRPr="004C78D8" w:rsidRDefault="0025223A" w:rsidP="00FB7C1F">
            <w:pPr>
              <w:jc w:val="center"/>
              <w:rPr>
                <w:sz w:val="28"/>
                <w:szCs w:val="28"/>
              </w:rPr>
            </w:pPr>
          </w:p>
        </w:tc>
        <w:tc>
          <w:tcPr>
            <w:tcW w:w="358" w:type="pct"/>
            <w:tcBorders>
              <w:top w:val="nil"/>
              <w:bottom w:val="nil"/>
            </w:tcBorders>
            <w:vAlign w:val="center"/>
          </w:tcPr>
          <w:p w14:paraId="3B67B7BF" w14:textId="77777777" w:rsidR="0025223A" w:rsidRPr="004C78D8" w:rsidRDefault="0025223A" w:rsidP="00FB7C1F">
            <w:pPr>
              <w:jc w:val="center"/>
              <w:rPr>
                <w:sz w:val="28"/>
                <w:szCs w:val="28"/>
              </w:rPr>
            </w:pPr>
          </w:p>
        </w:tc>
        <w:tc>
          <w:tcPr>
            <w:tcW w:w="306" w:type="pct"/>
            <w:tcBorders>
              <w:top w:val="nil"/>
              <w:bottom w:val="nil"/>
            </w:tcBorders>
            <w:vAlign w:val="center"/>
          </w:tcPr>
          <w:p w14:paraId="1500FD38"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06" w:type="pct"/>
            <w:tcBorders>
              <w:top w:val="nil"/>
              <w:bottom w:val="nil"/>
            </w:tcBorders>
          </w:tcPr>
          <w:p w14:paraId="61FF1739" w14:textId="77777777" w:rsidR="0025223A" w:rsidRPr="004C78D8" w:rsidRDefault="0025223A" w:rsidP="00FB7C1F">
            <w:pPr>
              <w:jc w:val="center"/>
              <w:rPr>
                <w:rFonts w:cs="Times New Roman"/>
                <w:sz w:val="28"/>
                <w:szCs w:val="28"/>
              </w:rPr>
            </w:pPr>
          </w:p>
        </w:tc>
        <w:tc>
          <w:tcPr>
            <w:tcW w:w="357" w:type="pct"/>
            <w:tcBorders>
              <w:top w:val="nil"/>
              <w:bottom w:val="nil"/>
            </w:tcBorders>
            <w:vAlign w:val="center"/>
          </w:tcPr>
          <w:p w14:paraId="122AC34C" w14:textId="77777777" w:rsidR="0025223A" w:rsidRPr="004C78D8" w:rsidRDefault="0025223A" w:rsidP="00FB7C1F">
            <w:pPr>
              <w:jc w:val="center"/>
              <w:rPr>
                <w:sz w:val="28"/>
                <w:szCs w:val="28"/>
              </w:rPr>
            </w:pPr>
            <w:r w:rsidRPr="004C78D8">
              <w:rPr>
                <w:rFonts w:cs="Times New Roman"/>
                <w:sz w:val="28"/>
                <w:szCs w:val="28"/>
              </w:rPr>
              <w:t>˟</w:t>
            </w:r>
          </w:p>
        </w:tc>
        <w:tc>
          <w:tcPr>
            <w:tcW w:w="357" w:type="pct"/>
            <w:tcBorders>
              <w:top w:val="nil"/>
              <w:bottom w:val="nil"/>
            </w:tcBorders>
            <w:vAlign w:val="center"/>
          </w:tcPr>
          <w:p w14:paraId="0D92E911" w14:textId="77777777" w:rsidR="0025223A" w:rsidRPr="004C78D8" w:rsidRDefault="0025223A" w:rsidP="00FB7C1F">
            <w:pPr>
              <w:jc w:val="center"/>
              <w:rPr>
                <w:sz w:val="18"/>
                <w:szCs w:val="18"/>
              </w:rPr>
            </w:pPr>
            <w:r w:rsidRPr="004C78D8">
              <w:rPr>
                <w:sz w:val="18"/>
                <w:szCs w:val="18"/>
              </w:rPr>
              <w:t>OH</w:t>
            </w:r>
          </w:p>
        </w:tc>
        <w:tc>
          <w:tcPr>
            <w:tcW w:w="459" w:type="pct"/>
            <w:tcBorders>
              <w:top w:val="nil"/>
              <w:bottom w:val="nil"/>
            </w:tcBorders>
            <w:vAlign w:val="center"/>
          </w:tcPr>
          <w:p w14:paraId="5803FC54" w14:textId="77777777" w:rsidR="0025223A" w:rsidRPr="004C78D8" w:rsidRDefault="0025223A" w:rsidP="00FB7C1F">
            <w:pPr>
              <w:jc w:val="center"/>
              <w:rPr>
                <w:sz w:val="28"/>
                <w:szCs w:val="28"/>
              </w:rPr>
            </w:pPr>
          </w:p>
        </w:tc>
        <w:tc>
          <w:tcPr>
            <w:tcW w:w="408" w:type="pct"/>
            <w:tcBorders>
              <w:top w:val="nil"/>
              <w:bottom w:val="nil"/>
            </w:tcBorders>
            <w:vAlign w:val="center"/>
          </w:tcPr>
          <w:p w14:paraId="2BF40379" w14:textId="77777777" w:rsidR="0025223A" w:rsidRPr="004C78D8" w:rsidRDefault="0025223A" w:rsidP="00FB7C1F">
            <w:pPr>
              <w:jc w:val="center"/>
              <w:rPr>
                <w:sz w:val="18"/>
                <w:szCs w:val="18"/>
              </w:rPr>
            </w:pPr>
            <w:r w:rsidRPr="004C78D8">
              <w:rPr>
                <w:sz w:val="18"/>
                <w:szCs w:val="18"/>
              </w:rPr>
              <w:t>PP</w:t>
            </w:r>
          </w:p>
        </w:tc>
      </w:tr>
      <w:tr w:rsidR="0025223A" w:rsidRPr="004C78D8" w14:paraId="305E54BB" w14:textId="77777777" w:rsidTr="002828C1">
        <w:tc>
          <w:tcPr>
            <w:tcW w:w="662" w:type="pct"/>
          </w:tcPr>
          <w:p w14:paraId="74BB2AEF" w14:textId="77777777" w:rsidR="0025223A" w:rsidRPr="004C78D8" w:rsidRDefault="0025223A" w:rsidP="00FB7C1F">
            <w:pPr>
              <w:jc w:val="left"/>
              <w:rPr>
                <w:sz w:val="18"/>
                <w:szCs w:val="18"/>
              </w:rPr>
            </w:pPr>
            <w:r w:rsidRPr="004C78D8">
              <w:rPr>
                <w:sz w:val="18"/>
                <w:szCs w:val="18"/>
              </w:rPr>
              <w:t>Ippoliti (2018)</w:t>
            </w:r>
          </w:p>
        </w:tc>
        <w:tc>
          <w:tcPr>
            <w:tcW w:w="765" w:type="pct"/>
          </w:tcPr>
          <w:p w14:paraId="4B6B04A4" w14:textId="77777777" w:rsidR="0025223A" w:rsidRPr="004C78D8" w:rsidRDefault="0025223A" w:rsidP="00FB7C1F">
            <w:pPr>
              <w:jc w:val="left"/>
              <w:rPr>
                <w:sz w:val="18"/>
                <w:szCs w:val="18"/>
              </w:rPr>
            </w:pPr>
            <w:r w:rsidRPr="004C78D8">
              <w:rPr>
                <w:sz w:val="18"/>
                <w:szCs w:val="18"/>
              </w:rPr>
              <w:t>MF int.</w:t>
            </w:r>
          </w:p>
        </w:tc>
        <w:tc>
          <w:tcPr>
            <w:tcW w:w="255" w:type="pct"/>
            <w:tcBorders>
              <w:top w:val="nil"/>
              <w:bottom w:val="nil"/>
            </w:tcBorders>
            <w:vAlign w:val="center"/>
          </w:tcPr>
          <w:p w14:paraId="639DDE1E" w14:textId="77777777" w:rsidR="0025223A" w:rsidRPr="004C78D8" w:rsidRDefault="0025223A" w:rsidP="00FB7C1F">
            <w:pPr>
              <w:jc w:val="center"/>
              <w:rPr>
                <w:sz w:val="28"/>
                <w:szCs w:val="28"/>
              </w:rPr>
            </w:pPr>
          </w:p>
        </w:tc>
        <w:tc>
          <w:tcPr>
            <w:tcW w:w="408" w:type="pct"/>
            <w:tcBorders>
              <w:top w:val="nil"/>
              <w:bottom w:val="nil"/>
            </w:tcBorders>
            <w:vAlign w:val="center"/>
          </w:tcPr>
          <w:p w14:paraId="3A5F1D3C" w14:textId="77777777" w:rsidR="0025223A" w:rsidRPr="004C78D8" w:rsidRDefault="0025223A" w:rsidP="00FB7C1F">
            <w:pPr>
              <w:jc w:val="center"/>
              <w:rPr>
                <w:sz w:val="28"/>
                <w:szCs w:val="28"/>
              </w:rPr>
            </w:pPr>
          </w:p>
        </w:tc>
        <w:tc>
          <w:tcPr>
            <w:tcW w:w="357" w:type="pct"/>
            <w:tcBorders>
              <w:top w:val="nil"/>
              <w:bottom w:val="nil"/>
            </w:tcBorders>
            <w:vAlign w:val="center"/>
          </w:tcPr>
          <w:p w14:paraId="6DF155B2" w14:textId="77777777" w:rsidR="0025223A" w:rsidRPr="004C78D8" w:rsidRDefault="0025223A" w:rsidP="00FB7C1F">
            <w:pPr>
              <w:jc w:val="center"/>
              <w:rPr>
                <w:sz w:val="28"/>
                <w:szCs w:val="28"/>
              </w:rPr>
            </w:pPr>
          </w:p>
        </w:tc>
        <w:tc>
          <w:tcPr>
            <w:tcW w:w="358" w:type="pct"/>
            <w:tcBorders>
              <w:top w:val="nil"/>
              <w:bottom w:val="nil"/>
            </w:tcBorders>
            <w:vAlign w:val="center"/>
          </w:tcPr>
          <w:p w14:paraId="5E7171C4" w14:textId="77777777" w:rsidR="0025223A" w:rsidRPr="004C78D8" w:rsidRDefault="0025223A" w:rsidP="00FB7C1F">
            <w:pPr>
              <w:jc w:val="center"/>
              <w:rPr>
                <w:sz w:val="28"/>
                <w:szCs w:val="28"/>
              </w:rPr>
            </w:pPr>
          </w:p>
        </w:tc>
        <w:tc>
          <w:tcPr>
            <w:tcW w:w="306" w:type="pct"/>
            <w:tcBorders>
              <w:top w:val="nil"/>
              <w:bottom w:val="nil"/>
            </w:tcBorders>
            <w:vAlign w:val="center"/>
          </w:tcPr>
          <w:p w14:paraId="41265FD1" w14:textId="77777777" w:rsidR="0025223A" w:rsidRPr="004C78D8" w:rsidRDefault="0025223A" w:rsidP="00FB7C1F">
            <w:pPr>
              <w:jc w:val="center"/>
              <w:rPr>
                <w:sz w:val="28"/>
                <w:szCs w:val="28"/>
              </w:rPr>
            </w:pPr>
            <w:r w:rsidRPr="004C78D8">
              <w:rPr>
                <w:rFonts w:cs="Times New Roman"/>
                <w:sz w:val="28"/>
                <w:szCs w:val="28"/>
              </w:rPr>
              <w:t>˟</w:t>
            </w:r>
          </w:p>
        </w:tc>
        <w:tc>
          <w:tcPr>
            <w:tcW w:w="306" w:type="pct"/>
            <w:tcBorders>
              <w:top w:val="nil"/>
              <w:bottom w:val="nil"/>
            </w:tcBorders>
          </w:tcPr>
          <w:p w14:paraId="7836B92D" w14:textId="77777777" w:rsidR="0025223A" w:rsidRPr="004C78D8" w:rsidRDefault="0025223A" w:rsidP="00FB7C1F">
            <w:pPr>
              <w:jc w:val="center"/>
              <w:rPr>
                <w:rFonts w:cs="Times New Roman"/>
                <w:sz w:val="28"/>
                <w:szCs w:val="28"/>
              </w:rPr>
            </w:pPr>
          </w:p>
        </w:tc>
        <w:tc>
          <w:tcPr>
            <w:tcW w:w="357" w:type="pct"/>
            <w:tcBorders>
              <w:top w:val="nil"/>
              <w:bottom w:val="nil"/>
            </w:tcBorders>
            <w:vAlign w:val="center"/>
          </w:tcPr>
          <w:p w14:paraId="666AF4E6" w14:textId="77777777" w:rsidR="0025223A" w:rsidRPr="004C78D8" w:rsidRDefault="0025223A" w:rsidP="00FB7C1F">
            <w:pPr>
              <w:jc w:val="center"/>
              <w:rPr>
                <w:sz w:val="28"/>
                <w:szCs w:val="28"/>
              </w:rPr>
            </w:pPr>
            <w:r w:rsidRPr="004C78D8">
              <w:rPr>
                <w:rFonts w:cs="Times New Roman"/>
                <w:sz w:val="28"/>
                <w:szCs w:val="28"/>
              </w:rPr>
              <w:t>˟</w:t>
            </w:r>
          </w:p>
        </w:tc>
        <w:tc>
          <w:tcPr>
            <w:tcW w:w="357" w:type="pct"/>
            <w:tcBorders>
              <w:top w:val="nil"/>
              <w:bottom w:val="nil"/>
            </w:tcBorders>
            <w:vAlign w:val="center"/>
          </w:tcPr>
          <w:p w14:paraId="3041F7A5" w14:textId="77777777" w:rsidR="0025223A" w:rsidRPr="004C78D8" w:rsidRDefault="0025223A" w:rsidP="00FB7C1F">
            <w:pPr>
              <w:jc w:val="center"/>
              <w:rPr>
                <w:sz w:val="20"/>
                <w:szCs w:val="20"/>
              </w:rPr>
            </w:pPr>
          </w:p>
        </w:tc>
        <w:tc>
          <w:tcPr>
            <w:tcW w:w="459" w:type="pct"/>
            <w:tcBorders>
              <w:top w:val="nil"/>
              <w:bottom w:val="nil"/>
            </w:tcBorders>
            <w:vAlign w:val="center"/>
          </w:tcPr>
          <w:p w14:paraId="6DC6317B" w14:textId="77777777" w:rsidR="0025223A" w:rsidRPr="004C78D8" w:rsidRDefault="0025223A" w:rsidP="00FB7C1F">
            <w:pPr>
              <w:jc w:val="center"/>
              <w:rPr>
                <w:sz w:val="28"/>
                <w:szCs w:val="28"/>
              </w:rPr>
            </w:pPr>
          </w:p>
        </w:tc>
        <w:tc>
          <w:tcPr>
            <w:tcW w:w="408" w:type="pct"/>
            <w:tcBorders>
              <w:top w:val="nil"/>
              <w:bottom w:val="nil"/>
            </w:tcBorders>
            <w:vAlign w:val="center"/>
          </w:tcPr>
          <w:p w14:paraId="676532E4" w14:textId="77777777" w:rsidR="0025223A" w:rsidRPr="004C78D8" w:rsidRDefault="0025223A" w:rsidP="00FB7C1F">
            <w:pPr>
              <w:jc w:val="center"/>
              <w:rPr>
                <w:sz w:val="18"/>
                <w:szCs w:val="18"/>
              </w:rPr>
            </w:pPr>
            <w:r w:rsidRPr="004C78D8">
              <w:rPr>
                <w:sz w:val="18"/>
                <w:szCs w:val="18"/>
              </w:rPr>
              <w:t>Total</w:t>
            </w:r>
          </w:p>
        </w:tc>
      </w:tr>
      <w:tr w:rsidR="0025223A" w:rsidRPr="004C78D8" w14:paraId="749367AD" w14:textId="77777777" w:rsidTr="002828C1">
        <w:tc>
          <w:tcPr>
            <w:tcW w:w="662" w:type="pct"/>
          </w:tcPr>
          <w:p w14:paraId="2DE56619" w14:textId="77777777" w:rsidR="0025223A" w:rsidRPr="004C78D8" w:rsidRDefault="0025223A" w:rsidP="00FB7C1F">
            <w:pPr>
              <w:jc w:val="left"/>
              <w:rPr>
                <w:sz w:val="18"/>
                <w:szCs w:val="18"/>
              </w:rPr>
            </w:pPr>
            <w:r w:rsidRPr="004C78D8">
              <w:rPr>
                <w:sz w:val="18"/>
                <w:szCs w:val="18"/>
              </w:rPr>
              <w:t>RCN (2005)</w:t>
            </w:r>
          </w:p>
        </w:tc>
        <w:tc>
          <w:tcPr>
            <w:tcW w:w="765" w:type="pct"/>
          </w:tcPr>
          <w:p w14:paraId="548A9097" w14:textId="77777777" w:rsidR="0025223A" w:rsidRPr="004C78D8" w:rsidRDefault="0025223A" w:rsidP="00FB7C1F">
            <w:pPr>
              <w:jc w:val="left"/>
              <w:rPr>
                <w:sz w:val="18"/>
                <w:szCs w:val="18"/>
              </w:rPr>
            </w:pPr>
            <w:r w:rsidRPr="004C78D8">
              <w:rPr>
                <w:sz w:val="18"/>
                <w:szCs w:val="18"/>
              </w:rPr>
              <w:t>FRS and MF int.</w:t>
            </w:r>
          </w:p>
        </w:tc>
        <w:tc>
          <w:tcPr>
            <w:tcW w:w="255" w:type="pct"/>
            <w:tcBorders>
              <w:top w:val="nil"/>
              <w:bottom w:val="nil"/>
            </w:tcBorders>
            <w:vAlign w:val="center"/>
          </w:tcPr>
          <w:p w14:paraId="62D9E3F2" w14:textId="77777777" w:rsidR="0025223A" w:rsidRPr="004C78D8" w:rsidRDefault="0025223A" w:rsidP="00FB7C1F">
            <w:pPr>
              <w:jc w:val="center"/>
              <w:rPr>
                <w:sz w:val="28"/>
                <w:szCs w:val="28"/>
              </w:rPr>
            </w:pPr>
          </w:p>
        </w:tc>
        <w:tc>
          <w:tcPr>
            <w:tcW w:w="408" w:type="pct"/>
            <w:tcBorders>
              <w:top w:val="nil"/>
              <w:bottom w:val="nil"/>
            </w:tcBorders>
            <w:vAlign w:val="center"/>
          </w:tcPr>
          <w:p w14:paraId="5C0A94C0" w14:textId="77777777" w:rsidR="0025223A" w:rsidRPr="004C78D8" w:rsidRDefault="0025223A" w:rsidP="00FB7C1F">
            <w:pPr>
              <w:jc w:val="center"/>
              <w:rPr>
                <w:sz w:val="28"/>
                <w:szCs w:val="28"/>
              </w:rPr>
            </w:pPr>
          </w:p>
        </w:tc>
        <w:tc>
          <w:tcPr>
            <w:tcW w:w="357" w:type="pct"/>
            <w:tcBorders>
              <w:top w:val="nil"/>
              <w:bottom w:val="nil"/>
            </w:tcBorders>
            <w:vAlign w:val="center"/>
          </w:tcPr>
          <w:p w14:paraId="1CF981CA" w14:textId="77777777" w:rsidR="0025223A" w:rsidRPr="004C78D8" w:rsidRDefault="0025223A" w:rsidP="00FB7C1F">
            <w:pPr>
              <w:jc w:val="center"/>
              <w:rPr>
                <w:sz w:val="28"/>
                <w:szCs w:val="28"/>
              </w:rPr>
            </w:pPr>
            <w:r w:rsidRPr="004C78D8">
              <w:rPr>
                <w:rFonts w:cs="Times New Roman"/>
                <w:sz w:val="28"/>
                <w:szCs w:val="28"/>
              </w:rPr>
              <w:t>˟</w:t>
            </w:r>
          </w:p>
        </w:tc>
        <w:tc>
          <w:tcPr>
            <w:tcW w:w="358" w:type="pct"/>
            <w:tcBorders>
              <w:top w:val="nil"/>
              <w:bottom w:val="nil"/>
            </w:tcBorders>
            <w:vAlign w:val="center"/>
          </w:tcPr>
          <w:p w14:paraId="2AF4D569" w14:textId="77777777" w:rsidR="0025223A" w:rsidRPr="004C78D8" w:rsidRDefault="0025223A" w:rsidP="00FB7C1F">
            <w:pPr>
              <w:jc w:val="center"/>
              <w:rPr>
                <w:sz w:val="28"/>
                <w:szCs w:val="28"/>
              </w:rPr>
            </w:pPr>
          </w:p>
        </w:tc>
        <w:tc>
          <w:tcPr>
            <w:tcW w:w="1786" w:type="pct"/>
            <w:gridSpan w:val="5"/>
            <w:tcBorders>
              <w:top w:val="nil"/>
              <w:bottom w:val="nil"/>
            </w:tcBorders>
            <w:vAlign w:val="center"/>
          </w:tcPr>
          <w:p w14:paraId="0DABEB60" w14:textId="77777777" w:rsidR="0025223A" w:rsidRPr="004C78D8" w:rsidRDefault="0025223A" w:rsidP="00FB7C1F">
            <w:pPr>
              <w:jc w:val="center"/>
              <w:rPr>
                <w:sz w:val="18"/>
                <w:szCs w:val="18"/>
              </w:rPr>
            </w:pPr>
            <w:r w:rsidRPr="004C78D8">
              <w:rPr>
                <w:sz w:val="18"/>
                <w:szCs w:val="18"/>
              </w:rPr>
              <w:t>Not specified</w:t>
            </w:r>
          </w:p>
        </w:tc>
        <w:tc>
          <w:tcPr>
            <w:tcW w:w="408" w:type="pct"/>
            <w:tcBorders>
              <w:top w:val="nil"/>
              <w:bottom w:val="nil"/>
            </w:tcBorders>
            <w:vAlign w:val="center"/>
          </w:tcPr>
          <w:p w14:paraId="17716744" w14:textId="77777777" w:rsidR="0025223A" w:rsidRPr="004C78D8" w:rsidRDefault="0025223A" w:rsidP="00FB7C1F">
            <w:pPr>
              <w:jc w:val="center"/>
              <w:rPr>
                <w:sz w:val="18"/>
                <w:szCs w:val="18"/>
              </w:rPr>
            </w:pPr>
            <w:r w:rsidRPr="004C78D8">
              <w:rPr>
                <w:sz w:val="18"/>
                <w:szCs w:val="18"/>
              </w:rPr>
              <w:t>PP</w:t>
            </w:r>
          </w:p>
        </w:tc>
      </w:tr>
      <w:tr w:rsidR="0025223A" w:rsidRPr="004C78D8" w14:paraId="1FA19469" w14:textId="77777777" w:rsidTr="002828C1">
        <w:tc>
          <w:tcPr>
            <w:tcW w:w="662" w:type="pct"/>
          </w:tcPr>
          <w:p w14:paraId="55FD5F18" w14:textId="77777777" w:rsidR="0025223A" w:rsidRPr="004C78D8" w:rsidRDefault="0025223A" w:rsidP="00FB7C1F">
            <w:pPr>
              <w:jc w:val="left"/>
              <w:rPr>
                <w:sz w:val="18"/>
                <w:szCs w:val="18"/>
              </w:rPr>
            </w:pPr>
            <w:r w:rsidRPr="004C78D8">
              <w:rPr>
                <w:sz w:val="18"/>
                <w:szCs w:val="18"/>
              </w:rPr>
              <w:t>Smith (2016)</w:t>
            </w:r>
          </w:p>
        </w:tc>
        <w:tc>
          <w:tcPr>
            <w:tcW w:w="765" w:type="pct"/>
          </w:tcPr>
          <w:p w14:paraId="7435F04F" w14:textId="77777777" w:rsidR="0025223A" w:rsidRPr="004C78D8" w:rsidRDefault="0025223A" w:rsidP="00FB7C1F">
            <w:pPr>
              <w:jc w:val="left"/>
              <w:rPr>
                <w:sz w:val="18"/>
                <w:szCs w:val="18"/>
              </w:rPr>
            </w:pPr>
            <w:r w:rsidRPr="004C78D8">
              <w:rPr>
                <w:sz w:val="18"/>
                <w:szCs w:val="18"/>
              </w:rPr>
              <w:t>FRS and MF int.</w:t>
            </w:r>
          </w:p>
        </w:tc>
        <w:tc>
          <w:tcPr>
            <w:tcW w:w="255" w:type="pct"/>
            <w:tcBorders>
              <w:top w:val="nil"/>
              <w:bottom w:val="nil"/>
            </w:tcBorders>
            <w:vAlign w:val="center"/>
          </w:tcPr>
          <w:p w14:paraId="545109AC" w14:textId="77777777" w:rsidR="0025223A" w:rsidRPr="004C78D8" w:rsidRDefault="0025223A" w:rsidP="00FB7C1F">
            <w:pPr>
              <w:jc w:val="center"/>
              <w:rPr>
                <w:sz w:val="20"/>
                <w:szCs w:val="20"/>
              </w:rPr>
            </w:pPr>
          </w:p>
        </w:tc>
        <w:tc>
          <w:tcPr>
            <w:tcW w:w="408" w:type="pct"/>
            <w:tcBorders>
              <w:top w:val="nil"/>
              <w:bottom w:val="nil"/>
            </w:tcBorders>
            <w:vAlign w:val="center"/>
          </w:tcPr>
          <w:p w14:paraId="43ECF8CE" w14:textId="77777777" w:rsidR="0025223A" w:rsidRPr="004C78D8" w:rsidRDefault="0025223A" w:rsidP="00FB7C1F">
            <w:pPr>
              <w:jc w:val="center"/>
              <w:rPr>
                <w:sz w:val="20"/>
                <w:szCs w:val="20"/>
              </w:rPr>
            </w:pPr>
          </w:p>
        </w:tc>
        <w:tc>
          <w:tcPr>
            <w:tcW w:w="357" w:type="pct"/>
            <w:tcBorders>
              <w:top w:val="nil"/>
              <w:bottom w:val="nil"/>
            </w:tcBorders>
            <w:vAlign w:val="center"/>
          </w:tcPr>
          <w:p w14:paraId="7511D132" w14:textId="77777777" w:rsidR="0025223A" w:rsidRPr="004C78D8" w:rsidRDefault="0025223A" w:rsidP="00FB7C1F">
            <w:pPr>
              <w:jc w:val="center"/>
              <w:rPr>
                <w:sz w:val="20"/>
                <w:szCs w:val="20"/>
              </w:rPr>
            </w:pPr>
            <w:r w:rsidRPr="004C78D8">
              <w:rPr>
                <w:sz w:val="18"/>
                <w:szCs w:val="18"/>
              </w:rPr>
              <w:t>Not costed</w:t>
            </w:r>
          </w:p>
        </w:tc>
        <w:tc>
          <w:tcPr>
            <w:tcW w:w="358" w:type="pct"/>
            <w:tcBorders>
              <w:top w:val="nil"/>
              <w:bottom w:val="nil"/>
            </w:tcBorders>
            <w:vAlign w:val="center"/>
          </w:tcPr>
          <w:p w14:paraId="47936D9D" w14:textId="77777777" w:rsidR="0025223A" w:rsidRPr="004C78D8" w:rsidRDefault="0025223A" w:rsidP="00FB7C1F">
            <w:pPr>
              <w:jc w:val="center"/>
              <w:rPr>
                <w:sz w:val="20"/>
                <w:szCs w:val="20"/>
              </w:rPr>
            </w:pPr>
          </w:p>
        </w:tc>
        <w:tc>
          <w:tcPr>
            <w:tcW w:w="1786" w:type="pct"/>
            <w:gridSpan w:val="5"/>
            <w:tcBorders>
              <w:top w:val="nil"/>
              <w:bottom w:val="nil"/>
            </w:tcBorders>
            <w:vAlign w:val="center"/>
          </w:tcPr>
          <w:p w14:paraId="7DE10303" w14:textId="77777777" w:rsidR="0025223A" w:rsidRPr="004C78D8" w:rsidRDefault="0025223A" w:rsidP="00FB7C1F">
            <w:pPr>
              <w:jc w:val="center"/>
              <w:rPr>
                <w:sz w:val="18"/>
                <w:szCs w:val="18"/>
              </w:rPr>
            </w:pPr>
            <w:r w:rsidRPr="004C78D8">
              <w:rPr>
                <w:sz w:val="18"/>
                <w:szCs w:val="18"/>
              </w:rPr>
              <w:t>Not specified</w:t>
            </w:r>
          </w:p>
        </w:tc>
        <w:tc>
          <w:tcPr>
            <w:tcW w:w="408" w:type="pct"/>
            <w:tcBorders>
              <w:top w:val="nil"/>
              <w:bottom w:val="nil"/>
            </w:tcBorders>
            <w:vAlign w:val="center"/>
          </w:tcPr>
          <w:p w14:paraId="3C3D8845" w14:textId="77777777" w:rsidR="0025223A" w:rsidRPr="004C78D8" w:rsidRDefault="0025223A" w:rsidP="00FB7C1F">
            <w:pPr>
              <w:jc w:val="center"/>
              <w:rPr>
                <w:sz w:val="18"/>
                <w:szCs w:val="18"/>
              </w:rPr>
            </w:pPr>
            <w:r w:rsidRPr="004C78D8">
              <w:rPr>
                <w:sz w:val="18"/>
                <w:szCs w:val="18"/>
              </w:rPr>
              <w:t>PP</w:t>
            </w:r>
          </w:p>
        </w:tc>
      </w:tr>
      <w:tr w:rsidR="0025223A" w:rsidRPr="004C78D8" w14:paraId="1343D16F" w14:textId="77777777" w:rsidTr="002828C1">
        <w:trPr>
          <w:trHeight w:val="420"/>
        </w:trPr>
        <w:tc>
          <w:tcPr>
            <w:tcW w:w="662" w:type="pct"/>
          </w:tcPr>
          <w:p w14:paraId="14C755B7" w14:textId="77777777" w:rsidR="0025223A" w:rsidRPr="004C78D8" w:rsidRDefault="0025223A" w:rsidP="00FB7C1F">
            <w:pPr>
              <w:jc w:val="left"/>
              <w:rPr>
                <w:sz w:val="18"/>
                <w:szCs w:val="18"/>
              </w:rPr>
            </w:pPr>
            <w:r w:rsidRPr="004C78D8">
              <w:rPr>
                <w:sz w:val="18"/>
                <w:szCs w:val="18"/>
              </w:rPr>
              <w:t>Wu (2010)</w:t>
            </w:r>
          </w:p>
        </w:tc>
        <w:tc>
          <w:tcPr>
            <w:tcW w:w="765" w:type="pct"/>
          </w:tcPr>
          <w:p w14:paraId="3E301197" w14:textId="77777777" w:rsidR="0025223A" w:rsidRPr="004C78D8" w:rsidRDefault="0025223A" w:rsidP="00FB7C1F">
            <w:pPr>
              <w:jc w:val="left"/>
              <w:rPr>
                <w:sz w:val="18"/>
                <w:szCs w:val="18"/>
              </w:rPr>
            </w:pPr>
            <w:r w:rsidRPr="004C78D8">
              <w:rPr>
                <w:sz w:val="18"/>
                <w:szCs w:val="18"/>
              </w:rPr>
              <w:t>MF int.</w:t>
            </w:r>
          </w:p>
        </w:tc>
        <w:tc>
          <w:tcPr>
            <w:tcW w:w="255" w:type="pct"/>
            <w:tcBorders>
              <w:top w:val="nil"/>
              <w:bottom w:val="nil"/>
            </w:tcBorders>
            <w:vAlign w:val="center"/>
          </w:tcPr>
          <w:p w14:paraId="551FABF7" w14:textId="77777777" w:rsidR="0025223A" w:rsidRPr="004C78D8" w:rsidRDefault="0025223A" w:rsidP="00FB7C1F">
            <w:pPr>
              <w:jc w:val="center"/>
              <w:rPr>
                <w:sz w:val="20"/>
                <w:szCs w:val="20"/>
              </w:rPr>
            </w:pPr>
          </w:p>
        </w:tc>
        <w:tc>
          <w:tcPr>
            <w:tcW w:w="408" w:type="pct"/>
            <w:tcBorders>
              <w:top w:val="nil"/>
              <w:bottom w:val="nil"/>
            </w:tcBorders>
            <w:vAlign w:val="center"/>
          </w:tcPr>
          <w:p w14:paraId="3B1501F7" w14:textId="77777777" w:rsidR="0025223A" w:rsidRPr="004C78D8" w:rsidRDefault="0025223A" w:rsidP="00FB7C1F">
            <w:pPr>
              <w:jc w:val="center"/>
              <w:rPr>
                <w:sz w:val="20"/>
                <w:szCs w:val="20"/>
              </w:rPr>
            </w:pPr>
          </w:p>
        </w:tc>
        <w:tc>
          <w:tcPr>
            <w:tcW w:w="357" w:type="pct"/>
            <w:tcBorders>
              <w:top w:val="nil"/>
              <w:bottom w:val="nil"/>
            </w:tcBorders>
            <w:vAlign w:val="center"/>
          </w:tcPr>
          <w:p w14:paraId="2FF93567" w14:textId="77777777" w:rsidR="0025223A" w:rsidRPr="004C78D8" w:rsidRDefault="0025223A" w:rsidP="00FB7C1F">
            <w:pPr>
              <w:jc w:val="center"/>
              <w:rPr>
                <w:sz w:val="20"/>
                <w:szCs w:val="20"/>
              </w:rPr>
            </w:pPr>
          </w:p>
        </w:tc>
        <w:tc>
          <w:tcPr>
            <w:tcW w:w="358" w:type="pct"/>
            <w:tcBorders>
              <w:top w:val="nil"/>
              <w:bottom w:val="nil"/>
            </w:tcBorders>
            <w:vAlign w:val="center"/>
          </w:tcPr>
          <w:p w14:paraId="06826DA3" w14:textId="77777777" w:rsidR="0025223A" w:rsidRPr="004C78D8" w:rsidRDefault="0025223A" w:rsidP="00FB7C1F">
            <w:pPr>
              <w:jc w:val="center"/>
              <w:rPr>
                <w:sz w:val="20"/>
                <w:szCs w:val="20"/>
              </w:rPr>
            </w:pPr>
          </w:p>
        </w:tc>
        <w:tc>
          <w:tcPr>
            <w:tcW w:w="1786" w:type="pct"/>
            <w:gridSpan w:val="5"/>
            <w:tcBorders>
              <w:top w:val="nil"/>
              <w:bottom w:val="nil"/>
            </w:tcBorders>
            <w:vAlign w:val="center"/>
          </w:tcPr>
          <w:p w14:paraId="54B4C90D" w14:textId="77777777" w:rsidR="0025223A" w:rsidRPr="004C78D8" w:rsidRDefault="0025223A" w:rsidP="00FB7C1F">
            <w:pPr>
              <w:jc w:val="center"/>
              <w:rPr>
                <w:sz w:val="18"/>
                <w:szCs w:val="18"/>
              </w:rPr>
            </w:pPr>
            <w:r w:rsidRPr="004C78D8">
              <w:rPr>
                <w:sz w:val="18"/>
                <w:szCs w:val="18"/>
              </w:rPr>
              <w:t>Not specified</w:t>
            </w:r>
          </w:p>
        </w:tc>
        <w:tc>
          <w:tcPr>
            <w:tcW w:w="408" w:type="pct"/>
            <w:tcBorders>
              <w:top w:val="nil"/>
              <w:bottom w:val="nil"/>
            </w:tcBorders>
            <w:vAlign w:val="center"/>
          </w:tcPr>
          <w:p w14:paraId="3691D276" w14:textId="77777777" w:rsidR="0025223A" w:rsidRPr="004C78D8" w:rsidRDefault="0025223A" w:rsidP="00FB7C1F">
            <w:pPr>
              <w:jc w:val="center"/>
              <w:rPr>
                <w:sz w:val="18"/>
                <w:szCs w:val="18"/>
              </w:rPr>
            </w:pPr>
            <w:r w:rsidRPr="004C78D8">
              <w:rPr>
                <w:sz w:val="18"/>
                <w:szCs w:val="18"/>
              </w:rPr>
              <w:t>PP</w:t>
            </w:r>
          </w:p>
        </w:tc>
      </w:tr>
      <w:tr w:rsidR="0025223A" w:rsidRPr="004C78D8" w14:paraId="07134763" w14:textId="77777777" w:rsidTr="002828C1">
        <w:tc>
          <w:tcPr>
            <w:tcW w:w="662" w:type="pct"/>
          </w:tcPr>
          <w:p w14:paraId="2BC65DA0" w14:textId="77777777" w:rsidR="0025223A" w:rsidRPr="004C78D8" w:rsidRDefault="0025223A" w:rsidP="00FB7C1F">
            <w:pPr>
              <w:jc w:val="left"/>
              <w:rPr>
                <w:sz w:val="18"/>
                <w:szCs w:val="18"/>
              </w:rPr>
            </w:pPr>
            <w:r w:rsidRPr="004C78D8">
              <w:rPr>
                <w:sz w:val="18"/>
                <w:szCs w:val="18"/>
              </w:rPr>
              <w:t>Church (2011); (2012)</w:t>
            </w:r>
          </w:p>
        </w:tc>
        <w:tc>
          <w:tcPr>
            <w:tcW w:w="765" w:type="pct"/>
          </w:tcPr>
          <w:p w14:paraId="740295D8" w14:textId="77777777" w:rsidR="0025223A" w:rsidRPr="004C78D8" w:rsidRDefault="0025223A" w:rsidP="00FB7C1F">
            <w:pPr>
              <w:jc w:val="left"/>
              <w:rPr>
                <w:sz w:val="18"/>
                <w:szCs w:val="18"/>
              </w:rPr>
            </w:pPr>
            <w:r w:rsidRPr="004C78D8">
              <w:rPr>
                <w:sz w:val="18"/>
                <w:szCs w:val="18"/>
              </w:rPr>
              <w:t>MF risk assessment</w:t>
            </w:r>
          </w:p>
        </w:tc>
        <w:tc>
          <w:tcPr>
            <w:tcW w:w="255" w:type="pct"/>
            <w:tcBorders>
              <w:top w:val="nil"/>
            </w:tcBorders>
            <w:vAlign w:val="center"/>
          </w:tcPr>
          <w:p w14:paraId="223B6DB1" w14:textId="77777777" w:rsidR="0025223A" w:rsidRPr="004C78D8" w:rsidRDefault="0025223A" w:rsidP="00FB7C1F">
            <w:pPr>
              <w:jc w:val="center"/>
              <w:rPr>
                <w:sz w:val="20"/>
                <w:szCs w:val="20"/>
              </w:rPr>
            </w:pPr>
          </w:p>
        </w:tc>
        <w:tc>
          <w:tcPr>
            <w:tcW w:w="408" w:type="pct"/>
            <w:tcBorders>
              <w:top w:val="nil"/>
            </w:tcBorders>
            <w:vAlign w:val="center"/>
          </w:tcPr>
          <w:p w14:paraId="5CEBDA45" w14:textId="77777777" w:rsidR="0025223A" w:rsidRPr="004C78D8" w:rsidRDefault="0025223A" w:rsidP="00FB7C1F">
            <w:pPr>
              <w:jc w:val="center"/>
              <w:rPr>
                <w:sz w:val="20"/>
                <w:szCs w:val="20"/>
              </w:rPr>
            </w:pPr>
          </w:p>
        </w:tc>
        <w:tc>
          <w:tcPr>
            <w:tcW w:w="357" w:type="pct"/>
            <w:tcBorders>
              <w:top w:val="nil"/>
            </w:tcBorders>
            <w:vAlign w:val="center"/>
          </w:tcPr>
          <w:p w14:paraId="5F216108" w14:textId="77777777" w:rsidR="0025223A" w:rsidRPr="004C78D8" w:rsidRDefault="0025223A" w:rsidP="00FB7C1F">
            <w:pPr>
              <w:jc w:val="center"/>
              <w:rPr>
                <w:sz w:val="20"/>
                <w:szCs w:val="20"/>
              </w:rPr>
            </w:pPr>
          </w:p>
        </w:tc>
        <w:tc>
          <w:tcPr>
            <w:tcW w:w="358" w:type="pct"/>
            <w:tcBorders>
              <w:top w:val="nil"/>
            </w:tcBorders>
            <w:vAlign w:val="center"/>
          </w:tcPr>
          <w:p w14:paraId="1E945330" w14:textId="77777777" w:rsidR="0025223A" w:rsidRPr="004C78D8" w:rsidRDefault="0025223A" w:rsidP="00FB7C1F">
            <w:pPr>
              <w:jc w:val="center"/>
              <w:rPr>
                <w:sz w:val="20"/>
                <w:szCs w:val="20"/>
              </w:rPr>
            </w:pPr>
          </w:p>
        </w:tc>
        <w:tc>
          <w:tcPr>
            <w:tcW w:w="306" w:type="pct"/>
            <w:tcBorders>
              <w:top w:val="nil"/>
            </w:tcBorders>
            <w:vAlign w:val="center"/>
          </w:tcPr>
          <w:p w14:paraId="3B4825C4" w14:textId="77777777" w:rsidR="0025223A" w:rsidRPr="004C78D8" w:rsidRDefault="0025223A" w:rsidP="00FB7C1F">
            <w:pPr>
              <w:jc w:val="center"/>
              <w:rPr>
                <w:sz w:val="20"/>
                <w:szCs w:val="20"/>
              </w:rPr>
            </w:pPr>
            <w:r w:rsidRPr="004C78D8">
              <w:rPr>
                <w:rFonts w:cs="Times New Roman"/>
                <w:sz w:val="28"/>
                <w:szCs w:val="28"/>
              </w:rPr>
              <w:t>˟</w:t>
            </w:r>
          </w:p>
        </w:tc>
        <w:tc>
          <w:tcPr>
            <w:tcW w:w="306" w:type="pct"/>
            <w:tcBorders>
              <w:top w:val="nil"/>
            </w:tcBorders>
          </w:tcPr>
          <w:p w14:paraId="59DD9510" w14:textId="77777777" w:rsidR="0025223A" w:rsidRPr="004C78D8" w:rsidRDefault="0025223A" w:rsidP="00FB7C1F">
            <w:pPr>
              <w:jc w:val="center"/>
              <w:rPr>
                <w:sz w:val="20"/>
                <w:szCs w:val="20"/>
              </w:rPr>
            </w:pPr>
          </w:p>
        </w:tc>
        <w:tc>
          <w:tcPr>
            <w:tcW w:w="357" w:type="pct"/>
            <w:tcBorders>
              <w:top w:val="nil"/>
            </w:tcBorders>
            <w:vAlign w:val="center"/>
          </w:tcPr>
          <w:p w14:paraId="24AC5DE2" w14:textId="77777777" w:rsidR="0025223A" w:rsidRPr="004C78D8" w:rsidRDefault="0025223A" w:rsidP="00FB7C1F">
            <w:pPr>
              <w:jc w:val="center"/>
              <w:rPr>
                <w:sz w:val="20"/>
                <w:szCs w:val="20"/>
              </w:rPr>
            </w:pPr>
          </w:p>
        </w:tc>
        <w:tc>
          <w:tcPr>
            <w:tcW w:w="357" w:type="pct"/>
            <w:tcBorders>
              <w:top w:val="nil"/>
            </w:tcBorders>
            <w:vAlign w:val="center"/>
          </w:tcPr>
          <w:p w14:paraId="039A5D21" w14:textId="77777777" w:rsidR="0025223A" w:rsidRPr="004C78D8" w:rsidRDefault="0025223A" w:rsidP="00FB7C1F">
            <w:pPr>
              <w:jc w:val="center"/>
              <w:rPr>
                <w:sz w:val="20"/>
                <w:szCs w:val="20"/>
              </w:rPr>
            </w:pPr>
          </w:p>
        </w:tc>
        <w:tc>
          <w:tcPr>
            <w:tcW w:w="459" w:type="pct"/>
            <w:tcBorders>
              <w:top w:val="nil"/>
            </w:tcBorders>
            <w:vAlign w:val="center"/>
          </w:tcPr>
          <w:p w14:paraId="53F36D0A" w14:textId="77777777" w:rsidR="0025223A" w:rsidRPr="004C78D8" w:rsidRDefault="0025223A" w:rsidP="00FB7C1F">
            <w:pPr>
              <w:jc w:val="center"/>
              <w:rPr>
                <w:sz w:val="20"/>
                <w:szCs w:val="20"/>
              </w:rPr>
            </w:pPr>
          </w:p>
        </w:tc>
        <w:tc>
          <w:tcPr>
            <w:tcW w:w="408" w:type="pct"/>
            <w:tcBorders>
              <w:top w:val="nil"/>
            </w:tcBorders>
            <w:vAlign w:val="center"/>
          </w:tcPr>
          <w:p w14:paraId="3CAAFF5C" w14:textId="77777777" w:rsidR="0025223A" w:rsidRPr="004C78D8" w:rsidRDefault="0025223A" w:rsidP="00FB7C1F">
            <w:pPr>
              <w:jc w:val="center"/>
              <w:rPr>
                <w:sz w:val="18"/>
                <w:szCs w:val="18"/>
              </w:rPr>
            </w:pPr>
            <w:r w:rsidRPr="004C78D8">
              <w:rPr>
                <w:sz w:val="18"/>
                <w:szCs w:val="18"/>
              </w:rPr>
              <w:t>PP</w:t>
            </w:r>
          </w:p>
        </w:tc>
      </w:tr>
      <w:tr w:rsidR="0025223A" w:rsidRPr="004C78D8" w14:paraId="4FF362D7" w14:textId="77777777" w:rsidTr="002828C1">
        <w:tc>
          <w:tcPr>
            <w:tcW w:w="5000" w:type="pct"/>
            <w:gridSpan w:val="12"/>
            <w:tcBorders>
              <w:bottom w:val="single" w:sz="4" w:space="0" w:color="auto"/>
            </w:tcBorders>
          </w:tcPr>
          <w:p w14:paraId="09A66813" w14:textId="77777777" w:rsidR="0025223A" w:rsidRPr="004C78D8" w:rsidRDefault="0025223A" w:rsidP="00FB7C1F">
            <w:pPr>
              <w:jc w:val="left"/>
              <w:rPr>
                <w:b/>
                <w:bCs/>
                <w:i/>
                <w:iCs/>
                <w:sz w:val="24"/>
                <w:szCs w:val="24"/>
              </w:rPr>
            </w:pPr>
            <w:r w:rsidRPr="004C78D8">
              <w:rPr>
                <w:b/>
                <w:bCs/>
                <w:i/>
                <w:iCs/>
                <w:sz w:val="20"/>
                <w:szCs w:val="20"/>
              </w:rPr>
              <w:t>Multiple-component intervention</w:t>
            </w:r>
          </w:p>
        </w:tc>
      </w:tr>
      <w:tr w:rsidR="0025223A" w:rsidRPr="004C78D8" w14:paraId="3A158774" w14:textId="77777777" w:rsidTr="002828C1">
        <w:tc>
          <w:tcPr>
            <w:tcW w:w="662" w:type="pct"/>
            <w:tcBorders>
              <w:bottom w:val="single" w:sz="4" w:space="0" w:color="auto"/>
            </w:tcBorders>
          </w:tcPr>
          <w:p w14:paraId="4723A5F3" w14:textId="77777777" w:rsidR="0025223A" w:rsidRPr="004C78D8" w:rsidRDefault="0025223A" w:rsidP="00FB7C1F">
            <w:pPr>
              <w:jc w:val="left"/>
              <w:rPr>
                <w:sz w:val="18"/>
                <w:szCs w:val="18"/>
              </w:rPr>
            </w:pPr>
            <w:r w:rsidRPr="004C78D8">
              <w:rPr>
                <w:sz w:val="18"/>
                <w:szCs w:val="18"/>
              </w:rPr>
              <w:t>Beard (2006)</w:t>
            </w:r>
          </w:p>
        </w:tc>
        <w:tc>
          <w:tcPr>
            <w:tcW w:w="765" w:type="pct"/>
            <w:tcBorders>
              <w:bottom w:val="single" w:sz="4" w:space="0" w:color="auto"/>
            </w:tcBorders>
          </w:tcPr>
          <w:p w14:paraId="3DA23EEF" w14:textId="0D2EC9C4" w:rsidR="0025223A" w:rsidRPr="004C78D8" w:rsidRDefault="0025223A" w:rsidP="00FB7C1F">
            <w:pPr>
              <w:jc w:val="left"/>
              <w:rPr>
                <w:sz w:val="18"/>
                <w:szCs w:val="18"/>
              </w:rPr>
            </w:pPr>
            <w:r w:rsidRPr="004C78D8">
              <w:rPr>
                <w:sz w:val="18"/>
                <w:szCs w:val="18"/>
              </w:rPr>
              <w:t>MC (intersectoral) int.</w:t>
            </w:r>
            <w:r w:rsidR="005E2745" w:rsidRPr="004C78D8">
              <w:rPr>
                <w:sz w:val="18"/>
                <w:szCs w:val="18"/>
                <w:vertAlign w:val="superscript"/>
              </w:rPr>
              <w:t>4</w:t>
            </w:r>
          </w:p>
        </w:tc>
        <w:tc>
          <w:tcPr>
            <w:tcW w:w="255" w:type="pct"/>
            <w:tcBorders>
              <w:bottom w:val="nil"/>
            </w:tcBorders>
            <w:vAlign w:val="center"/>
          </w:tcPr>
          <w:p w14:paraId="145520A2"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408" w:type="pct"/>
            <w:tcBorders>
              <w:bottom w:val="nil"/>
            </w:tcBorders>
            <w:vAlign w:val="center"/>
          </w:tcPr>
          <w:p w14:paraId="20D1971C" w14:textId="77777777" w:rsidR="0025223A" w:rsidRPr="004C78D8" w:rsidRDefault="0025223A" w:rsidP="00FB7C1F">
            <w:pPr>
              <w:jc w:val="center"/>
              <w:rPr>
                <w:rFonts w:cs="Times New Roman"/>
                <w:sz w:val="28"/>
                <w:szCs w:val="28"/>
              </w:rPr>
            </w:pPr>
          </w:p>
        </w:tc>
        <w:tc>
          <w:tcPr>
            <w:tcW w:w="357" w:type="pct"/>
            <w:tcBorders>
              <w:bottom w:val="nil"/>
            </w:tcBorders>
            <w:vAlign w:val="center"/>
          </w:tcPr>
          <w:p w14:paraId="239EBFC0" w14:textId="77777777" w:rsidR="0025223A" w:rsidRPr="004C78D8" w:rsidRDefault="0025223A" w:rsidP="00FB7C1F">
            <w:pPr>
              <w:jc w:val="center"/>
              <w:rPr>
                <w:sz w:val="28"/>
                <w:szCs w:val="28"/>
              </w:rPr>
            </w:pPr>
          </w:p>
        </w:tc>
        <w:tc>
          <w:tcPr>
            <w:tcW w:w="358" w:type="pct"/>
            <w:tcBorders>
              <w:bottom w:val="nil"/>
            </w:tcBorders>
            <w:vAlign w:val="center"/>
          </w:tcPr>
          <w:p w14:paraId="1C2EF388" w14:textId="77777777" w:rsidR="0025223A" w:rsidRPr="004C78D8" w:rsidRDefault="0025223A" w:rsidP="00FB7C1F">
            <w:pPr>
              <w:jc w:val="center"/>
              <w:rPr>
                <w:sz w:val="28"/>
                <w:szCs w:val="28"/>
              </w:rPr>
            </w:pPr>
          </w:p>
        </w:tc>
        <w:tc>
          <w:tcPr>
            <w:tcW w:w="306" w:type="pct"/>
            <w:tcBorders>
              <w:bottom w:val="nil"/>
            </w:tcBorders>
            <w:vAlign w:val="center"/>
          </w:tcPr>
          <w:p w14:paraId="50416685" w14:textId="77777777" w:rsidR="0025223A" w:rsidRPr="004C78D8" w:rsidRDefault="0025223A" w:rsidP="00FB7C1F">
            <w:pPr>
              <w:jc w:val="center"/>
              <w:rPr>
                <w:rFonts w:cs="Times New Roman"/>
                <w:sz w:val="28"/>
                <w:szCs w:val="28"/>
              </w:rPr>
            </w:pPr>
            <w:r w:rsidRPr="004C78D8">
              <w:rPr>
                <w:rFonts w:cs="Times New Roman"/>
                <w:sz w:val="28"/>
                <w:szCs w:val="28"/>
              </w:rPr>
              <w:t>˟</w:t>
            </w:r>
          </w:p>
        </w:tc>
        <w:tc>
          <w:tcPr>
            <w:tcW w:w="306" w:type="pct"/>
            <w:tcBorders>
              <w:bottom w:val="nil"/>
            </w:tcBorders>
          </w:tcPr>
          <w:p w14:paraId="7806EC68" w14:textId="77777777" w:rsidR="0025223A" w:rsidRPr="004C78D8" w:rsidRDefault="0025223A" w:rsidP="00FB7C1F">
            <w:pPr>
              <w:jc w:val="center"/>
              <w:rPr>
                <w:sz w:val="20"/>
                <w:szCs w:val="20"/>
              </w:rPr>
            </w:pPr>
          </w:p>
        </w:tc>
        <w:tc>
          <w:tcPr>
            <w:tcW w:w="357" w:type="pct"/>
            <w:tcBorders>
              <w:bottom w:val="nil"/>
            </w:tcBorders>
            <w:vAlign w:val="center"/>
          </w:tcPr>
          <w:p w14:paraId="3CA847CB" w14:textId="77777777" w:rsidR="0025223A" w:rsidRPr="004C78D8" w:rsidRDefault="0025223A" w:rsidP="00FB7C1F">
            <w:pPr>
              <w:jc w:val="center"/>
              <w:rPr>
                <w:sz w:val="20"/>
                <w:szCs w:val="20"/>
              </w:rPr>
            </w:pPr>
          </w:p>
        </w:tc>
        <w:tc>
          <w:tcPr>
            <w:tcW w:w="357" w:type="pct"/>
            <w:tcBorders>
              <w:bottom w:val="nil"/>
            </w:tcBorders>
            <w:vAlign w:val="center"/>
          </w:tcPr>
          <w:p w14:paraId="1ED713E2" w14:textId="77777777" w:rsidR="0025223A" w:rsidRPr="004C78D8" w:rsidRDefault="0025223A" w:rsidP="00FB7C1F">
            <w:pPr>
              <w:jc w:val="center"/>
              <w:rPr>
                <w:sz w:val="18"/>
                <w:szCs w:val="18"/>
              </w:rPr>
            </w:pPr>
            <w:r w:rsidRPr="004C78D8">
              <w:rPr>
                <w:sz w:val="18"/>
                <w:szCs w:val="18"/>
              </w:rPr>
              <w:t>OH</w:t>
            </w:r>
          </w:p>
        </w:tc>
        <w:tc>
          <w:tcPr>
            <w:tcW w:w="459" w:type="pct"/>
            <w:tcBorders>
              <w:bottom w:val="nil"/>
            </w:tcBorders>
            <w:vAlign w:val="center"/>
          </w:tcPr>
          <w:p w14:paraId="3C229679" w14:textId="77777777" w:rsidR="0025223A" w:rsidRPr="004C78D8" w:rsidRDefault="0025223A" w:rsidP="00FB7C1F">
            <w:pPr>
              <w:jc w:val="center"/>
              <w:rPr>
                <w:sz w:val="20"/>
                <w:szCs w:val="20"/>
              </w:rPr>
            </w:pPr>
          </w:p>
        </w:tc>
        <w:tc>
          <w:tcPr>
            <w:tcW w:w="408" w:type="pct"/>
            <w:tcBorders>
              <w:bottom w:val="nil"/>
            </w:tcBorders>
            <w:vAlign w:val="center"/>
          </w:tcPr>
          <w:p w14:paraId="15F383D7" w14:textId="77777777" w:rsidR="0025223A" w:rsidRPr="004C78D8" w:rsidRDefault="0025223A" w:rsidP="00FB7C1F">
            <w:pPr>
              <w:jc w:val="center"/>
              <w:rPr>
                <w:sz w:val="18"/>
                <w:szCs w:val="18"/>
              </w:rPr>
            </w:pPr>
            <w:r w:rsidRPr="004C78D8">
              <w:rPr>
                <w:sz w:val="18"/>
                <w:szCs w:val="18"/>
              </w:rPr>
              <w:t>Annual total</w:t>
            </w:r>
          </w:p>
        </w:tc>
      </w:tr>
      <w:tr w:rsidR="0025223A" w:rsidRPr="004C78D8" w14:paraId="06956A41" w14:textId="77777777" w:rsidTr="002828C1">
        <w:tc>
          <w:tcPr>
            <w:tcW w:w="662" w:type="pct"/>
            <w:tcBorders>
              <w:top w:val="single" w:sz="4" w:space="0" w:color="auto"/>
            </w:tcBorders>
          </w:tcPr>
          <w:p w14:paraId="66FA3764" w14:textId="77777777" w:rsidR="0025223A" w:rsidRPr="004C78D8" w:rsidRDefault="0025223A" w:rsidP="00FB7C1F">
            <w:pPr>
              <w:jc w:val="left"/>
              <w:rPr>
                <w:sz w:val="18"/>
                <w:szCs w:val="18"/>
              </w:rPr>
            </w:pPr>
            <w:r w:rsidRPr="004C78D8">
              <w:rPr>
                <w:sz w:val="18"/>
                <w:szCs w:val="18"/>
              </w:rPr>
              <w:t>Carande-Kulis (2015)</w:t>
            </w:r>
          </w:p>
        </w:tc>
        <w:tc>
          <w:tcPr>
            <w:tcW w:w="765" w:type="pct"/>
            <w:tcBorders>
              <w:top w:val="single" w:sz="4" w:space="0" w:color="auto"/>
            </w:tcBorders>
          </w:tcPr>
          <w:p w14:paraId="282BF7C2" w14:textId="12FFE29A" w:rsidR="0025223A" w:rsidRPr="004C78D8" w:rsidRDefault="0025223A" w:rsidP="00FB7C1F">
            <w:pPr>
              <w:jc w:val="left"/>
              <w:rPr>
                <w:sz w:val="18"/>
                <w:szCs w:val="18"/>
              </w:rPr>
            </w:pPr>
            <w:r w:rsidRPr="004C78D8">
              <w:rPr>
                <w:sz w:val="18"/>
                <w:szCs w:val="18"/>
              </w:rPr>
              <w:t>Stepping On</w:t>
            </w:r>
            <w:r w:rsidR="005E2745" w:rsidRPr="004C78D8">
              <w:rPr>
                <w:sz w:val="18"/>
                <w:szCs w:val="18"/>
                <w:vertAlign w:val="superscript"/>
              </w:rPr>
              <w:t>5</w:t>
            </w:r>
          </w:p>
        </w:tc>
        <w:tc>
          <w:tcPr>
            <w:tcW w:w="255" w:type="pct"/>
            <w:tcBorders>
              <w:top w:val="nil"/>
              <w:bottom w:val="nil"/>
            </w:tcBorders>
            <w:vAlign w:val="center"/>
          </w:tcPr>
          <w:p w14:paraId="39CC8DB1" w14:textId="77777777" w:rsidR="0025223A" w:rsidRPr="004C78D8" w:rsidRDefault="0025223A" w:rsidP="00FB7C1F">
            <w:pPr>
              <w:jc w:val="center"/>
              <w:rPr>
                <w:sz w:val="28"/>
                <w:szCs w:val="28"/>
              </w:rPr>
            </w:pPr>
            <w:r w:rsidRPr="004C78D8">
              <w:rPr>
                <w:rFonts w:cs="Times New Roman"/>
                <w:sz w:val="28"/>
                <w:szCs w:val="28"/>
              </w:rPr>
              <w:t>˟</w:t>
            </w:r>
          </w:p>
        </w:tc>
        <w:tc>
          <w:tcPr>
            <w:tcW w:w="408" w:type="pct"/>
            <w:tcBorders>
              <w:top w:val="nil"/>
              <w:bottom w:val="nil"/>
            </w:tcBorders>
            <w:vAlign w:val="center"/>
          </w:tcPr>
          <w:p w14:paraId="77648C53" w14:textId="77777777" w:rsidR="0025223A" w:rsidRPr="004C78D8" w:rsidRDefault="0025223A" w:rsidP="00FB7C1F">
            <w:pPr>
              <w:jc w:val="center"/>
              <w:rPr>
                <w:sz w:val="28"/>
                <w:szCs w:val="28"/>
              </w:rPr>
            </w:pPr>
            <w:r w:rsidRPr="004C78D8">
              <w:rPr>
                <w:rFonts w:cs="Times New Roman"/>
                <w:sz w:val="28"/>
                <w:szCs w:val="28"/>
              </w:rPr>
              <w:t>˟</w:t>
            </w:r>
          </w:p>
        </w:tc>
        <w:tc>
          <w:tcPr>
            <w:tcW w:w="357" w:type="pct"/>
            <w:tcBorders>
              <w:top w:val="nil"/>
              <w:bottom w:val="nil"/>
            </w:tcBorders>
            <w:vAlign w:val="center"/>
          </w:tcPr>
          <w:p w14:paraId="676841DD" w14:textId="77777777" w:rsidR="0025223A" w:rsidRPr="004C78D8" w:rsidRDefault="0025223A" w:rsidP="00FB7C1F">
            <w:pPr>
              <w:jc w:val="center"/>
              <w:rPr>
                <w:sz w:val="28"/>
                <w:szCs w:val="28"/>
              </w:rPr>
            </w:pPr>
          </w:p>
        </w:tc>
        <w:tc>
          <w:tcPr>
            <w:tcW w:w="358" w:type="pct"/>
            <w:tcBorders>
              <w:top w:val="nil"/>
              <w:bottom w:val="nil"/>
            </w:tcBorders>
            <w:vAlign w:val="center"/>
          </w:tcPr>
          <w:p w14:paraId="25B3A2EA" w14:textId="77777777" w:rsidR="0025223A" w:rsidRPr="004C78D8" w:rsidRDefault="0025223A" w:rsidP="00FB7C1F">
            <w:pPr>
              <w:jc w:val="center"/>
              <w:rPr>
                <w:sz w:val="28"/>
                <w:szCs w:val="28"/>
              </w:rPr>
            </w:pPr>
          </w:p>
        </w:tc>
        <w:tc>
          <w:tcPr>
            <w:tcW w:w="306" w:type="pct"/>
            <w:tcBorders>
              <w:top w:val="nil"/>
              <w:bottom w:val="nil"/>
            </w:tcBorders>
            <w:vAlign w:val="center"/>
          </w:tcPr>
          <w:p w14:paraId="777DA67F" w14:textId="77777777" w:rsidR="0025223A" w:rsidRPr="004C78D8" w:rsidRDefault="0025223A" w:rsidP="00FB7C1F">
            <w:pPr>
              <w:jc w:val="center"/>
              <w:rPr>
                <w:sz w:val="20"/>
                <w:szCs w:val="20"/>
              </w:rPr>
            </w:pPr>
            <w:r w:rsidRPr="004C78D8">
              <w:rPr>
                <w:rFonts w:cs="Times New Roman"/>
                <w:sz w:val="28"/>
                <w:szCs w:val="28"/>
              </w:rPr>
              <w:t>˟</w:t>
            </w:r>
          </w:p>
        </w:tc>
        <w:tc>
          <w:tcPr>
            <w:tcW w:w="306" w:type="pct"/>
            <w:tcBorders>
              <w:top w:val="nil"/>
              <w:bottom w:val="nil"/>
            </w:tcBorders>
          </w:tcPr>
          <w:p w14:paraId="2A695EE2" w14:textId="77777777" w:rsidR="0025223A" w:rsidRPr="004C78D8" w:rsidRDefault="0025223A" w:rsidP="00FB7C1F">
            <w:pPr>
              <w:jc w:val="center"/>
              <w:rPr>
                <w:sz w:val="20"/>
                <w:szCs w:val="20"/>
              </w:rPr>
            </w:pPr>
            <w:r w:rsidRPr="004C78D8">
              <w:rPr>
                <w:rFonts w:cs="Times New Roman"/>
                <w:sz w:val="28"/>
                <w:szCs w:val="28"/>
              </w:rPr>
              <w:t>˟</w:t>
            </w:r>
          </w:p>
        </w:tc>
        <w:tc>
          <w:tcPr>
            <w:tcW w:w="357" w:type="pct"/>
            <w:tcBorders>
              <w:top w:val="nil"/>
              <w:bottom w:val="nil"/>
            </w:tcBorders>
            <w:vAlign w:val="center"/>
          </w:tcPr>
          <w:p w14:paraId="2769CA9C" w14:textId="77777777" w:rsidR="0025223A" w:rsidRPr="004C78D8" w:rsidRDefault="0025223A" w:rsidP="00FB7C1F">
            <w:pPr>
              <w:jc w:val="center"/>
              <w:rPr>
                <w:sz w:val="20"/>
                <w:szCs w:val="20"/>
              </w:rPr>
            </w:pPr>
          </w:p>
        </w:tc>
        <w:tc>
          <w:tcPr>
            <w:tcW w:w="357" w:type="pct"/>
            <w:tcBorders>
              <w:top w:val="nil"/>
              <w:bottom w:val="nil"/>
            </w:tcBorders>
            <w:vAlign w:val="center"/>
          </w:tcPr>
          <w:p w14:paraId="208E9997" w14:textId="77777777" w:rsidR="0025223A" w:rsidRPr="004C78D8" w:rsidRDefault="0025223A" w:rsidP="00FB7C1F">
            <w:pPr>
              <w:jc w:val="center"/>
              <w:rPr>
                <w:sz w:val="18"/>
                <w:szCs w:val="18"/>
              </w:rPr>
            </w:pPr>
            <w:r w:rsidRPr="004C78D8">
              <w:rPr>
                <w:sz w:val="18"/>
                <w:szCs w:val="18"/>
              </w:rPr>
              <w:t>VN</w:t>
            </w:r>
          </w:p>
        </w:tc>
        <w:tc>
          <w:tcPr>
            <w:tcW w:w="459" w:type="pct"/>
            <w:tcBorders>
              <w:top w:val="nil"/>
              <w:bottom w:val="nil"/>
            </w:tcBorders>
            <w:vAlign w:val="center"/>
          </w:tcPr>
          <w:p w14:paraId="19A7044F" w14:textId="77777777" w:rsidR="0025223A" w:rsidRPr="004C78D8" w:rsidRDefault="0025223A" w:rsidP="00FB7C1F">
            <w:pPr>
              <w:jc w:val="center"/>
              <w:rPr>
                <w:sz w:val="20"/>
                <w:szCs w:val="20"/>
              </w:rPr>
            </w:pPr>
          </w:p>
        </w:tc>
        <w:tc>
          <w:tcPr>
            <w:tcW w:w="408" w:type="pct"/>
            <w:tcBorders>
              <w:top w:val="nil"/>
              <w:bottom w:val="nil"/>
            </w:tcBorders>
            <w:vAlign w:val="center"/>
          </w:tcPr>
          <w:p w14:paraId="375D04FF" w14:textId="77777777" w:rsidR="0025223A" w:rsidRPr="004C78D8" w:rsidRDefault="0025223A" w:rsidP="00FB7C1F">
            <w:pPr>
              <w:jc w:val="center"/>
              <w:rPr>
                <w:sz w:val="18"/>
                <w:szCs w:val="18"/>
              </w:rPr>
            </w:pPr>
            <w:r w:rsidRPr="004C78D8">
              <w:rPr>
                <w:sz w:val="18"/>
                <w:szCs w:val="18"/>
              </w:rPr>
              <w:t>PP</w:t>
            </w:r>
          </w:p>
        </w:tc>
      </w:tr>
      <w:tr w:rsidR="0025223A" w:rsidRPr="004C78D8" w14:paraId="5C04E5DA" w14:textId="77777777" w:rsidTr="002828C1">
        <w:tc>
          <w:tcPr>
            <w:tcW w:w="662" w:type="pct"/>
          </w:tcPr>
          <w:p w14:paraId="2D19FB42" w14:textId="77777777" w:rsidR="0025223A" w:rsidRPr="004C78D8" w:rsidRDefault="0025223A" w:rsidP="00FB7C1F">
            <w:pPr>
              <w:jc w:val="left"/>
              <w:rPr>
                <w:sz w:val="18"/>
                <w:szCs w:val="18"/>
              </w:rPr>
            </w:pPr>
            <w:r w:rsidRPr="004C78D8">
              <w:rPr>
                <w:sz w:val="18"/>
                <w:szCs w:val="18"/>
              </w:rPr>
              <w:lastRenderedPageBreak/>
              <w:t>Howland (2015)</w:t>
            </w:r>
          </w:p>
        </w:tc>
        <w:tc>
          <w:tcPr>
            <w:tcW w:w="765" w:type="pct"/>
          </w:tcPr>
          <w:p w14:paraId="58C8DCEE" w14:textId="77777777" w:rsidR="0025223A" w:rsidRPr="004C78D8" w:rsidRDefault="0025223A" w:rsidP="00FB7C1F">
            <w:pPr>
              <w:jc w:val="left"/>
              <w:rPr>
                <w:sz w:val="18"/>
                <w:szCs w:val="18"/>
              </w:rPr>
            </w:pPr>
            <w:r w:rsidRPr="004C78D8">
              <w:rPr>
                <w:sz w:val="18"/>
                <w:szCs w:val="18"/>
              </w:rPr>
              <w:t>MoB (lay-led)</w:t>
            </w:r>
          </w:p>
        </w:tc>
        <w:tc>
          <w:tcPr>
            <w:tcW w:w="255" w:type="pct"/>
            <w:tcBorders>
              <w:top w:val="nil"/>
              <w:bottom w:val="nil"/>
            </w:tcBorders>
            <w:vAlign w:val="center"/>
          </w:tcPr>
          <w:p w14:paraId="2CD07B04" w14:textId="77777777" w:rsidR="0025223A" w:rsidRPr="004C78D8" w:rsidRDefault="0025223A" w:rsidP="00FB7C1F">
            <w:pPr>
              <w:jc w:val="center"/>
              <w:rPr>
                <w:sz w:val="28"/>
                <w:szCs w:val="28"/>
              </w:rPr>
            </w:pPr>
            <w:r w:rsidRPr="004C78D8">
              <w:rPr>
                <w:sz w:val="18"/>
                <w:szCs w:val="18"/>
              </w:rPr>
              <w:t>Not costed</w:t>
            </w:r>
          </w:p>
        </w:tc>
        <w:tc>
          <w:tcPr>
            <w:tcW w:w="408" w:type="pct"/>
            <w:tcBorders>
              <w:top w:val="nil"/>
              <w:bottom w:val="nil"/>
            </w:tcBorders>
            <w:vAlign w:val="center"/>
          </w:tcPr>
          <w:p w14:paraId="550C1926" w14:textId="77777777" w:rsidR="0025223A" w:rsidRPr="004C78D8" w:rsidRDefault="0025223A" w:rsidP="00FB7C1F">
            <w:pPr>
              <w:jc w:val="center"/>
              <w:rPr>
                <w:sz w:val="28"/>
                <w:szCs w:val="28"/>
              </w:rPr>
            </w:pPr>
          </w:p>
        </w:tc>
        <w:tc>
          <w:tcPr>
            <w:tcW w:w="357" w:type="pct"/>
            <w:tcBorders>
              <w:top w:val="nil"/>
              <w:bottom w:val="nil"/>
            </w:tcBorders>
            <w:vAlign w:val="center"/>
          </w:tcPr>
          <w:p w14:paraId="4C2DB8B2" w14:textId="77777777" w:rsidR="0025223A" w:rsidRPr="004C78D8" w:rsidRDefault="0025223A" w:rsidP="00FB7C1F">
            <w:pPr>
              <w:jc w:val="center"/>
              <w:rPr>
                <w:sz w:val="28"/>
                <w:szCs w:val="28"/>
              </w:rPr>
            </w:pPr>
          </w:p>
        </w:tc>
        <w:tc>
          <w:tcPr>
            <w:tcW w:w="358" w:type="pct"/>
            <w:tcBorders>
              <w:top w:val="nil"/>
              <w:bottom w:val="nil"/>
            </w:tcBorders>
            <w:vAlign w:val="center"/>
          </w:tcPr>
          <w:p w14:paraId="1113621A" w14:textId="77777777" w:rsidR="0025223A" w:rsidRPr="004C78D8" w:rsidRDefault="0025223A" w:rsidP="00FB7C1F">
            <w:pPr>
              <w:jc w:val="center"/>
              <w:rPr>
                <w:sz w:val="28"/>
                <w:szCs w:val="28"/>
              </w:rPr>
            </w:pPr>
          </w:p>
        </w:tc>
        <w:tc>
          <w:tcPr>
            <w:tcW w:w="1786" w:type="pct"/>
            <w:gridSpan w:val="5"/>
            <w:tcBorders>
              <w:top w:val="nil"/>
              <w:bottom w:val="nil"/>
            </w:tcBorders>
            <w:vAlign w:val="center"/>
          </w:tcPr>
          <w:p w14:paraId="2FA74654" w14:textId="77777777" w:rsidR="0025223A" w:rsidRPr="004C78D8" w:rsidRDefault="0025223A" w:rsidP="00FB7C1F">
            <w:pPr>
              <w:jc w:val="center"/>
              <w:rPr>
                <w:sz w:val="18"/>
                <w:szCs w:val="18"/>
              </w:rPr>
            </w:pPr>
            <w:r w:rsidRPr="004C78D8">
              <w:rPr>
                <w:sz w:val="18"/>
                <w:szCs w:val="18"/>
              </w:rPr>
              <w:t>Not specified</w:t>
            </w:r>
          </w:p>
        </w:tc>
        <w:tc>
          <w:tcPr>
            <w:tcW w:w="408" w:type="pct"/>
            <w:tcBorders>
              <w:top w:val="nil"/>
              <w:bottom w:val="nil"/>
            </w:tcBorders>
            <w:vAlign w:val="center"/>
          </w:tcPr>
          <w:p w14:paraId="3F41D7E9" w14:textId="77777777" w:rsidR="0025223A" w:rsidRPr="004C78D8" w:rsidRDefault="0025223A" w:rsidP="00FB7C1F">
            <w:pPr>
              <w:jc w:val="center"/>
              <w:rPr>
                <w:sz w:val="18"/>
                <w:szCs w:val="18"/>
              </w:rPr>
            </w:pPr>
            <w:r w:rsidRPr="004C78D8">
              <w:rPr>
                <w:sz w:val="18"/>
                <w:szCs w:val="18"/>
              </w:rPr>
              <w:t>PP</w:t>
            </w:r>
          </w:p>
        </w:tc>
      </w:tr>
      <w:tr w:rsidR="0025223A" w:rsidRPr="004C78D8" w14:paraId="3C3BEC36" w14:textId="77777777" w:rsidTr="002828C1">
        <w:tc>
          <w:tcPr>
            <w:tcW w:w="662" w:type="pct"/>
          </w:tcPr>
          <w:p w14:paraId="42F2BEBA" w14:textId="77777777" w:rsidR="0025223A" w:rsidRPr="004C78D8" w:rsidRDefault="0025223A" w:rsidP="00FB7C1F">
            <w:pPr>
              <w:jc w:val="left"/>
              <w:rPr>
                <w:sz w:val="18"/>
                <w:szCs w:val="18"/>
              </w:rPr>
            </w:pPr>
            <w:r w:rsidRPr="004C78D8">
              <w:rPr>
                <w:sz w:val="18"/>
                <w:szCs w:val="18"/>
              </w:rPr>
              <w:t>Johansson (2008)</w:t>
            </w:r>
          </w:p>
        </w:tc>
        <w:tc>
          <w:tcPr>
            <w:tcW w:w="765" w:type="pct"/>
          </w:tcPr>
          <w:p w14:paraId="758BB9F0" w14:textId="3AD00DBE" w:rsidR="0025223A" w:rsidRPr="004C78D8" w:rsidRDefault="0025223A" w:rsidP="00FB7C1F">
            <w:pPr>
              <w:jc w:val="left"/>
              <w:rPr>
                <w:sz w:val="18"/>
                <w:szCs w:val="18"/>
              </w:rPr>
            </w:pPr>
            <w:r w:rsidRPr="004C78D8">
              <w:rPr>
                <w:sz w:val="18"/>
                <w:szCs w:val="18"/>
              </w:rPr>
              <w:t>MC (intersectoral) int.</w:t>
            </w:r>
            <w:r w:rsidR="005E2745" w:rsidRPr="004C78D8">
              <w:rPr>
                <w:sz w:val="18"/>
                <w:szCs w:val="18"/>
                <w:vertAlign w:val="superscript"/>
              </w:rPr>
              <w:t>6</w:t>
            </w:r>
          </w:p>
        </w:tc>
        <w:tc>
          <w:tcPr>
            <w:tcW w:w="255" w:type="pct"/>
            <w:tcBorders>
              <w:top w:val="nil"/>
              <w:bottom w:val="nil"/>
            </w:tcBorders>
            <w:vAlign w:val="center"/>
          </w:tcPr>
          <w:p w14:paraId="0C691A43" w14:textId="77777777" w:rsidR="0025223A" w:rsidRPr="004C78D8" w:rsidRDefault="0025223A" w:rsidP="00FB7C1F">
            <w:pPr>
              <w:jc w:val="center"/>
              <w:rPr>
                <w:sz w:val="28"/>
                <w:szCs w:val="28"/>
              </w:rPr>
            </w:pPr>
            <w:r w:rsidRPr="004C78D8">
              <w:rPr>
                <w:rFonts w:cs="Times New Roman"/>
                <w:sz w:val="28"/>
                <w:szCs w:val="28"/>
              </w:rPr>
              <w:t>˟</w:t>
            </w:r>
          </w:p>
        </w:tc>
        <w:tc>
          <w:tcPr>
            <w:tcW w:w="408" w:type="pct"/>
            <w:tcBorders>
              <w:top w:val="nil"/>
              <w:bottom w:val="nil"/>
            </w:tcBorders>
            <w:vAlign w:val="center"/>
          </w:tcPr>
          <w:p w14:paraId="3721295F" w14:textId="77777777" w:rsidR="0025223A" w:rsidRPr="004C78D8" w:rsidRDefault="0025223A" w:rsidP="00FB7C1F">
            <w:pPr>
              <w:jc w:val="center"/>
              <w:rPr>
                <w:sz w:val="28"/>
                <w:szCs w:val="28"/>
              </w:rPr>
            </w:pPr>
            <w:r w:rsidRPr="004C78D8">
              <w:rPr>
                <w:rFonts w:cs="Times New Roman"/>
                <w:sz w:val="28"/>
                <w:szCs w:val="28"/>
              </w:rPr>
              <w:t>˟</w:t>
            </w:r>
          </w:p>
        </w:tc>
        <w:tc>
          <w:tcPr>
            <w:tcW w:w="357" w:type="pct"/>
            <w:tcBorders>
              <w:top w:val="nil"/>
              <w:bottom w:val="nil"/>
            </w:tcBorders>
            <w:vAlign w:val="center"/>
          </w:tcPr>
          <w:p w14:paraId="0E3D01B9" w14:textId="77777777" w:rsidR="0025223A" w:rsidRPr="004C78D8" w:rsidRDefault="0025223A" w:rsidP="00FB7C1F">
            <w:pPr>
              <w:jc w:val="center"/>
              <w:rPr>
                <w:sz w:val="28"/>
                <w:szCs w:val="28"/>
              </w:rPr>
            </w:pPr>
          </w:p>
        </w:tc>
        <w:tc>
          <w:tcPr>
            <w:tcW w:w="358" w:type="pct"/>
            <w:tcBorders>
              <w:top w:val="nil"/>
              <w:bottom w:val="nil"/>
            </w:tcBorders>
            <w:vAlign w:val="center"/>
          </w:tcPr>
          <w:p w14:paraId="5577D260" w14:textId="77777777" w:rsidR="0025223A" w:rsidRPr="004C78D8" w:rsidRDefault="0025223A" w:rsidP="00FB7C1F">
            <w:pPr>
              <w:jc w:val="center"/>
              <w:rPr>
                <w:sz w:val="28"/>
                <w:szCs w:val="28"/>
              </w:rPr>
            </w:pPr>
          </w:p>
        </w:tc>
        <w:tc>
          <w:tcPr>
            <w:tcW w:w="306" w:type="pct"/>
            <w:tcBorders>
              <w:top w:val="nil"/>
              <w:bottom w:val="nil"/>
            </w:tcBorders>
            <w:vAlign w:val="center"/>
          </w:tcPr>
          <w:p w14:paraId="70CE813E" w14:textId="77777777" w:rsidR="0025223A" w:rsidRPr="004C78D8" w:rsidRDefault="0025223A" w:rsidP="00FB7C1F">
            <w:pPr>
              <w:jc w:val="center"/>
              <w:rPr>
                <w:sz w:val="20"/>
                <w:szCs w:val="20"/>
              </w:rPr>
            </w:pPr>
            <w:r w:rsidRPr="004C78D8">
              <w:rPr>
                <w:rFonts w:cs="Times New Roman"/>
                <w:sz w:val="28"/>
                <w:szCs w:val="28"/>
              </w:rPr>
              <w:t>˟</w:t>
            </w:r>
          </w:p>
        </w:tc>
        <w:tc>
          <w:tcPr>
            <w:tcW w:w="306" w:type="pct"/>
            <w:tcBorders>
              <w:top w:val="nil"/>
              <w:bottom w:val="nil"/>
            </w:tcBorders>
          </w:tcPr>
          <w:p w14:paraId="3D411598" w14:textId="77777777" w:rsidR="0025223A" w:rsidRPr="004C78D8" w:rsidRDefault="0025223A" w:rsidP="00FB7C1F">
            <w:pPr>
              <w:jc w:val="center"/>
              <w:rPr>
                <w:sz w:val="20"/>
                <w:szCs w:val="20"/>
              </w:rPr>
            </w:pPr>
          </w:p>
        </w:tc>
        <w:tc>
          <w:tcPr>
            <w:tcW w:w="357" w:type="pct"/>
            <w:tcBorders>
              <w:top w:val="nil"/>
              <w:bottom w:val="nil"/>
            </w:tcBorders>
            <w:vAlign w:val="center"/>
          </w:tcPr>
          <w:p w14:paraId="04E63B9E" w14:textId="77777777" w:rsidR="0025223A" w:rsidRPr="004C78D8" w:rsidRDefault="0025223A" w:rsidP="00FB7C1F">
            <w:pPr>
              <w:jc w:val="center"/>
              <w:rPr>
                <w:sz w:val="20"/>
                <w:szCs w:val="20"/>
              </w:rPr>
            </w:pPr>
          </w:p>
        </w:tc>
        <w:tc>
          <w:tcPr>
            <w:tcW w:w="357" w:type="pct"/>
            <w:tcBorders>
              <w:top w:val="nil"/>
              <w:bottom w:val="nil"/>
            </w:tcBorders>
            <w:vAlign w:val="center"/>
          </w:tcPr>
          <w:p w14:paraId="0F89D63F" w14:textId="77777777" w:rsidR="0025223A" w:rsidRPr="004C78D8" w:rsidRDefault="0025223A" w:rsidP="00FB7C1F">
            <w:pPr>
              <w:jc w:val="center"/>
              <w:rPr>
                <w:sz w:val="18"/>
                <w:szCs w:val="18"/>
              </w:rPr>
            </w:pPr>
            <w:r w:rsidRPr="004C78D8">
              <w:rPr>
                <w:sz w:val="18"/>
                <w:szCs w:val="18"/>
              </w:rPr>
              <w:t>VN&amp;OH</w:t>
            </w:r>
          </w:p>
        </w:tc>
        <w:tc>
          <w:tcPr>
            <w:tcW w:w="459" w:type="pct"/>
            <w:tcBorders>
              <w:top w:val="nil"/>
              <w:bottom w:val="nil"/>
            </w:tcBorders>
            <w:vAlign w:val="center"/>
          </w:tcPr>
          <w:p w14:paraId="35ECEB0E" w14:textId="77777777" w:rsidR="0025223A" w:rsidRPr="004C78D8" w:rsidRDefault="0025223A" w:rsidP="00FB7C1F">
            <w:pPr>
              <w:jc w:val="center"/>
              <w:rPr>
                <w:sz w:val="20"/>
                <w:szCs w:val="20"/>
              </w:rPr>
            </w:pPr>
            <w:r w:rsidRPr="004C78D8">
              <w:rPr>
                <w:rFonts w:cs="Times New Roman"/>
                <w:sz w:val="28"/>
                <w:szCs w:val="28"/>
              </w:rPr>
              <w:t>˟</w:t>
            </w:r>
          </w:p>
        </w:tc>
        <w:tc>
          <w:tcPr>
            <w:tcW w:w="408" w:type="pct"/>
            <w:tcBorders>
              <w:top w:val="nil"/>
              <w:bottom w:val="nil"/>
            </w:tcBorders>
            <w:vAlign w:val="center"/>
          </w:tcPr>
          <w:p w14:paraId="5D024C74" w14:textId="77777777" w:rsidR="0025223A" w:rsidRPr="004C78D8" w:rsidRDefault="0025223A" w:rsidP="00FB7C1F">
            <w:pPr>
              <w:jc w:val="center"/>
              <w:rPr>
                <w:sz w:val="18"/>
                <w:szCs w:val="18"/>
              </w:rPr>
            </w:pPr>
            <w:r w:rsidRPr="004C78D8">
              <w:rPr>
                <w:sz w:val="18"/>
                <w:szCs w:val="18"/>
              </w:rPr>
              <w:t>Total</w:t>
            </w:r>
          </w:p>
        </w:tc>
      </w:tr>
      <w:tr w:rsidR="0025223A" w:rsidRPr="004C78D8" w14:paraId="43F4EA2E" w14:textId="77777777" w:rsidTr="002828C1">
        <w:tc>
          <w:tcPr>
            <w:tcW w:w="662" w:type="pct"/>
          </w:tcPr>
          <w:p w14:paraId="61E1A6F0" w14:textId="77777777" w:rsidR="0025223A" w:rsidRPr="004C78D8" w:rsidRDefault="0025223A" w:rsidP="00FB7C1F">
            <w:pPr>
              <w:jc w:val="left"/>
              <w:rPr>
                <w:sz w:val="18"/>
                <w:szCs w:val="18"/>
              </w:rPr>
            </w:pPr>
            <w:r w:rsidRPr="004C78D8">
              <w:rPr>
                <w:sz w:val="18"/>
                <w:szCs w:val="18"/>
              </w:rPr>
              <w:t>Miller (2011)</w:t>
            </w:r>
          </w:p>
        </w:tc>
        <w:tc>
          <w:tcPr>
            <w:tcW w:w="765" w:type="pct"/>
          </w:tcPr>
          <w:p w14:paraId="28CE1E6E" w14:textId="77777777" w:rsidR="0025223A" w:rsidRPr="004C78D8" w:rsidRDefault="0025223A" w:rsidP="00FB7C1F">
            <w:pPr>
              <w:jc w:val="left"/>
              <w:rPr>
                <w:sz w:val="18"/>
                <w:szCs w:val="18"/>
              </w:rPr>
            </w:pPr>
            <w:r w:rsidRPr="004C78D8">
              <w:rPr>
                <w:sz w:val="18"/>
                <w:szCs w:val="18"/>
              </w:rPr>
              <w:t>MoB (lay-led)</w:t>
            </w:r>
          </w:p>
        </w:tc>
        <w:tc>
          <w:tcPr>
            <w:tcW w:w="255" w:type="pct"/>
            <w:tcBorders>
              <w:top w:val="nil"/>
            </w:tcBorders>
            <w:vAlign w:val="center"/>
          </w:tcPr>
          <w:p w14:paraId="06722241" w14:textId="77777777" w:rsidR="0025223A" w:rsidRPr="004C78D8" w:rsidRDefault="0025223A" w:rsidP="00FB7C1F">
            <w:pPr>
              <w:jc w:val="center"/>
              <w:rPr>
                <w:sz w:val="28"/>
                <w:szCs w:val="28"/>
              </w:rPr>
            </w:pPr>
          </w:p>
        </w:tc>
        <w:tc>
          <w:tcPr>
            <w:tcW w:w="408" w:type="pct"/>
            <w:tcBorders>
              <w:top w:val="nil"/>
            </w:tcBorders>
            <w:vAlign w:val="center"/>
          </w:tcPr>
          <w:p w14:paraId="6398C53E" w14:textId="77777777" w:rsidR="0025223A" w:rsidRPr="004C78D8" w:rsidRDefault="0025223A" w:rsidP="00FB7C1F">
            <w:pPr>
              <w:jc w:val="center"/>
              <w:rPr>
                <w:sz w:val="28"/>
                <w:szCs w:val="28"/>
              </w:rPr>
            </w:pPr>
            <w:r w:rsidRPr="004C78D8">
              <w:rPr>
                <w:rFonts w:cs="Times New Roman"/>
                <w:sz w:val="28"/>
                <w:szCs w:val="28"/>
              </w:rPr>
              <w:t>˟</w:t>
            </w:r>
          </w:p>
        </w:tc>
        <w:tc>
          <w:tcPr>
            <w:tcW w:w="357" w:type="pct"/>
            <w:tcBorders>
              <w:top w:val="nil"/>
            </w:tcBorders>
            <w:vAlign w:val="center"/>
          </w:tcPr>
          <w:p w14:paraId="76D3CD1D" w14:textId="77777777" w:rsidR="0025223A" w:rsidRPr="004C78D8" w:rsidRDefault="0025223A" w:rsidP="00FB7C1F">
            <w:pPr>
              <w:jc w:val="center"/>
              <w:rPr>
                <w:sz w:val="28"/>
                <w:szCs w:val="28"/>
              </w:rPr>
            </w:pPr>
          </w:p>
        </w:tc>
        <w:tc>
          <w:tcPr>
            <w:tcW w:w="358" w:type="pct"/>
            <w:tcBorders>
              <w:top w:val="nil"/>
            </w:tcBorders>
            <w:vAlign w:val="center"/>
          </w:tcPr>
          <w:p w14:paraId="3670B976" w14:textId="77777777" w:rsidR="0025223A" w:rsidRPr="004C78D8" w:rsidRDefault="0025223A" w:rsidP="00FB7C1F">
            <w:pPr>
              <w:jc w:val="center"/>
              <w:rPr>
                <w:sz w:val="28"/>
                <w:szCs w:val="28"/>
              </w:rPr>
            </w:pPr>
            <w:r w:rsidRPr="004C78D8">
              <w:rPr>
                <w:rFonts w:cs="Times New Roman"/>
                <w:sz w:val="18"/>
                <w:szCs w:val="18"/>
              </w:rPr>
              <w:t>Set-up</w:t>
            </w:r>
          </w:p>
        </w:tc>
        <w:tc>
          <w:tcPr>
            <w:tcW w:w="306" w:type="pct"/>
            <w:tcBorders>
              <w:top w:val="nil"/>
            </w:tcBorders>
            <w:vAlign w:val="center"/>
          </w:tcPr>
          <w:p w14:paraId="1D87BB50" w14:textId="77777777" w:rsidR="0025223A" w:rsidRPr="004C78D8" w:rsidRDefault="0025223A" w:rsidP="00FB7C1F">
            <w:pPr>
              <w:jc w:val="center"/>
              <w:rPr>
                <w:sz w:val="20"/>
                <w:szCs w:val="20"/>
              </w:rPr>
            </w:pPr>
            <w:r w:rsidRPr="004C78D8">
              <w:rPr>
                <w:rFonts w:cs="Times New Roman"/>
                <w:sz w:val="28"/>
                <w:szCs w:val="28"/>
              </w:rPr>
              <w:t>˟</w:t>
            </w:r>
          </w:p>
        </w:tc>
        <w:tc>
          <w:tcPr>
            <w:tcW w:w="306" w:type="pct"/>
            <w:tcBorders>
              <w:top w:val="nil"/>
            </w:tcBorders>
          </w:tcPr>
          <w:p w14:paraId="7B299E90" w14:textId="77777777" w:rsidR="0025223A" w:rsidRPr="004C78D8" w:rsidRDefault="0025223A" w:rsidP="00FB7C1F">
            <w:pPr>
              <w:jc w:val="center"/>
              <w:rPr>
                <w:sz w:val="20"/>
                <w:szCs w:val="20"/>
              </w:rPr>
            </w:pPr>
            <w:r w:rsidRPr="004C78D8">
              <w:rPr>
                <w:rFonts w:cs="Times New Roman"/>
                <w:sz w:val="28"/>
                <w:szCs w:val="28"/>
              </w:rPr>
              <w:t>˟</w:t>
            </w:r>
          </w:p>
        </w:tc>
        <w:tc>
          <w:tcPr>
            <w:tcW w:w="357" w:type="pct"/>
            <w:tcBorders>
              <w:top w:val="nil"/>
            </w:tcBorders>
            <w:vAlign w:val="center"/>
          </w:tcPr>
          <w:p w14:paraId="06B4E47D" w14:textId="77777777" w:rsidR="0025223A" w:rsidRPr="004C78D8" w:rsidRDefault="0025223A" w:rsidP="00FB7C1F">
            <w:pPr>
              <w:jc w:val="center"/>
              <w:rPr>
                <w:sz w:val="20"/>
                <w:szCs w:val="20"/>
              </w:rPr>
            </w:pPr>
          </w:p>
        </w:tc>
        <w:tc>
          <w:tcPr>
            <w:tcW w:w="357" w:type="pct"/>
            <w:tcBorders>
              <w:top w:val="nil"/>
            </w:tcBorders>
            <w:vAlign w:val="center"/>
          </w:tcPr>
          <w:p w14:paraId="64AE51B8" w14:textId="77777777" w:rsidR="0025223A" w:rsidRPr="004C78D8" w:rsidRDefault="0025223A" w:rsidP="00FB7C1F">
            <w:pPr>
              <w:jc w:val="center"/>
              <w:rPr>
                <w:sz w:val="20"/>
                <w:szCs w:val="20"/>
              </w:rPr>
            </w:pPr>
          </w:p>
        </w:tc>
        <w:tc>
          <w:tcPr>
            <w:tcW w:w="459" w:type="pct"/>
            <w:tcBorders>
              <w:top w:val="nil"/>
            </w:tcBorders>
            <w:vAlign w:val="center"/>
          </w:tcPr>
          <w:p w14:paraId="0E81F689" w14:textId="77777777" w:rsidR="0025223A" w:rsidRPr="004C78D8" w:rsidRDefault="0025223A" w:rsidP="00FB7C1F">
            <w:pPr>
              <w:jc w:val="center"/>
              <w:rPr>
                <w:sz w:val="20"/>
                <w:szCs w:val="20"/>
              </w:rPr>
            </w:pPr>
            <w:r w:rsidRPr="004C78D8">
              <w:rPr>
                <w:rFonts w:cs="Times New Roman"/>
                <w:sz w:val="28"/>
                <w:szCs w:val="28"/>
              </w:rPr>
              <w:t>˟</w:t>
            </w:r>
          </w:p>
        </w:tc>
        <w:tc>
          <w:tcPr>
            <w:tcW w:w="408" w:type="pct"/>
            <w:tcBorders>
              <w:top w:val="nil"/>
            </w:tcBorders>
            <w:vAlign w:val="center"/>
          </w:tcPr>
          <w:p w14:paraId="2ADB8E75" w14:textId="77777777" w:rsidR="0025223A" w:rsidRPr="004C78D8" w:rsidRDefault="0025223A" w:rsidP="00FB7C1F">
            <w:pPr>
              <w:jc w:val="center"/>
              <w:rPr>
                <w:sz w:val="18"/>
                <w:szCs w:val="18"/>
              </w:rPr>
            </w:pPr>
            <w:r w:rsidRPr="004C78D8">
              <w:rPr>
                <w:sz w:val="18"/>
                <w:szCs w:val="18"/>
              </w:rPr>
              <w:t>PP</w:t>
            </w:r>
          </w:p>
        </w:tc>
      </w:tr>
      <w:tr w:rsidR="0025223A" w:rsidRPr="004C78D8" w14:paraId="65402C62" w14:textId="77777777" w:rsidTr="002828C1">
        <w:tc>
          <w:tcPr>
            <w:tcW w:w="5000" w:type="pct"/>
            <w:gridSpan w:val="12"/>
          </w:tcPr>
          <w:p w14:paraId="25C8D216" w14:textId="7176CE1E" w:rsidR="0025223A" w:rsidRPr="004C78D8" w:rsidRDefault="0025223A" w:rsidP="00FB7C1F">
            <w:pPr>
              <w:rPr>
                <w:sz w:val="18"/>
                <w:szCs w:val="18"/>
              </w:rPr>
            </w:pPr>
            <w:r w:rsidRPr="004C78D8">
              <w:rPr>
                <w:b/>
                <w:bCs/>
                <w:sz w:val="18"/>
                <w:szCs w:val="18"/>
              </w:rPr>
              <w:t xml:space="preserve">Abbreviation: </w:t>
            </w:r>
            <w:r w:rsidRPr="004C78D8">
              <w:rPr>
                <w:sz w:val="18"/>
                <w:szCs w:val="18"/>
              </w:rPr>
              <w:t>BMD: bone mineral density; CBT: cognitive behavioural therapy; Compliance &amp; sustain.: compliance and sustainability; CSP: Chartered Society of Physiotherapy; FaME: Falls Management Exercise programme; FRID: fall-risk increasing drug; FRS: falls risk screening; Health tech.: health technology; Int.: intervention; MC: multiple-component; MF: multifactorial; MoB: Matter of Balance; OH: overhead; OMAS: Ontario Medical Advisory Secretariat; PHE: Public Health England; PIP: potential inappropriately prescribed; PP: per participant; PPI: proton pump inhibitor; PT: physiotherapy; RCN: Royal College of Nursing; VN: venue</w:t>
            </w:r>
          </w:p>
          <w:p w14:paraId="243054A2" w14:textId="034E0A1E" w:rsidR="0025223A" w:rsidRPr="004C78D8" w:rsidRDefault="0025223A" w:rsidP="00FB7C1F">
            <w:pPr>
              <w:rPr>
                <w:sz w:val="18"/>
                <w:szCs w:val="18"/>
              </w:rPr>
            </w:pPr>
            <w:r w:rsidRPr="004C78D8">
              <w:rPr>
                <w:sz w:val="18"/>
                <w:szCs w:val="18"/>
                <w:vertAlign w:val="superscript"/>
              </w:rPr>
              <w:t>1</w:t>
            </w:r>
            <w:r w:rsidRPr="004C78D8">
              <w:rPr>
                <w:sz w:val="18"/>
                <w:szCs w:val="18"/>
              </w:rPr>
              <w:t xml:space="preserve"> ‘Not costed’ refers to cases where resource use is mentioned but not costed. ‘Not specified’ refers to cases where summary cost is reported but component resources are not, requiring inference on the likely components.</w:t>
            </w:r>
          </w:p>
          <w:p w14:paraId="6D2B9EFE" w14:textId="255C43E1" w:rsidR="0025223A" w:rsidRPr="004C78D8" w:rsidRDefault="0025223A" w:rsidP="00FB7C1F">
            <w:pPr>
              <w:rPr>
                <w:sz w:val="18"/>
                <w:szCs w:val="18"/>
              </w:rPr>
            </w:pPr>
            <w:r w:rsidRPr="004C78D8">
              <w:rPr>
                <w:sz w:val="18"/>
                <w:szCs w:val="18"/>
                <w:vertAlign w:val="superscript"/>
              </w:rPr>
              <w:t>2</w:t>
            </w:r>
            <w:r w:rsidRPr="004C78D8">
              <w:rPr>
                <w:sz w:val="18"/>
                <w:szCs w:val="18"/>
              </w:rPr>
              <w:t xml:space="preserve"> See Table </w:t>
            </w:r>
            <w:r w:rsidR="00602B46" w:rsidRPr="004C78D8">
              <w:rPr>
                <w:sz w:val="18"/>
                <w:szCs w:val="18"/>
              </w:rPr>
              <w:t>4</w:t>
            </w:r>
            <w:r w:rsidRPr="004C78D8">
              <w:rPr>
                <w:sz w:val="18"/>
                <w:szCs w:val="18"/>
              </w:rPr>
              <w:t>.2 for study references.</w:t>
            </w:r>
          </w:p>
          <w:p w14:paraId="3D7F75CD" w14:textId="20A7D203" w:rsidR="0025223A" w:rsidRPr="004C78D8" w:rsidRDefault="0025223A" w:rsidP="00FB7C1F">
            <w:pPr>
              <w:jc w:val="left"/>
              <w:rPr>
                <w:sz w:val="18"/>
                <w:szCs w:val="18"/>
              </w:rPr>
            </w:pPr>
            <w:r w:rsidRPr="004C78D8">
              <w:rPr>
                <w:sz w:val="18"/>
                <w:szCs w:val="18"/>
                <w:vertAlign w:val="superscript"/>
              </w:rPr>
              <w:t>3</w:t>
            </w:r>
            <w:r w:rsidRPr="004C78D8">
              <w:rPr>
                <w:sz w:val="18"/>
                <w:szCs w:val="18"/>
              </w:rPr>
              <w:t xml:space="preserve"> Same intervention resource use and cost data were used by Church (2011) and (2012).</w:t>
            </w:r>
          </w:p>
          <w:p w14:paraId="5DD7194E" w14:textId="1EB3AA4D" w:rsidR="0025223A" w:rsidRPr="004C78D8" w:rsidRDefault="0025223A" w:rsidP="00FB7C1F">
            <w:pPr>
              <w:jc w:val="left"/>
              <w:rPr>
                <w:sz w:val="18"/>
                <w:szCs w:val="18"/>
              </w:rPr>
            </w:pPr>
            <w:r w:rsidRPr="004C78D8">
              <w:rPr>
                <w:sz w:val="18"/>
                <w:szCs w:val="18"/>
                <w:vertAlign w:val="superscript"/>
              </w:rPr>
              <w:t>4</w:t>
            </w:r>
            <w:r w:rsidRPr="004C78D8">
              <w:rPr>
                <w:sz w:val="18"/>
                <w:szCs w:val="18"/>
              </w:rPr>
              <w:t xml:space="preserve"> Intervention included individually tailored education, HAM and exercise and public space safety improvement.</w:t>
            </w:r>
          </w:p>
          <w:p w14:paraId="1FF2AB64" w14:textId="23F0F4E8" w:rsidR="0025223A" w:rsidRPr="004C78D8" w:rsidRDefault="0025223A" w:rsidP="00FB7C1F">
            <w:pPr>
              <w:jc w:val="left"/>
              <w:rPr>
                <w:sz w:val="18"/>
                <w:szCs w:val="18"/>
              </w:rPr>
            </w:pPr>
            <w:r w:rsidRPr="004C78D8">
              <w:rPr>
                <w:sz w:val="18"/>
                <w:szCs w:val="18"/>
                <w:vertAlign w:val="superscript"/>
              </w:rPr>
              <w:t>5</w:t>
            </w:r>
            <w:r w:rsidRPr="004C78D8">
              <w:rPr>
                <w:sz w:val="18"/>
                <w:szCs w:val="18"/>
              </w:rPr>
              <w:t xml:space="preserve"> Church (2011) and (2012) cite the same RCT as the source of intervention resource use and cost; but the final PPY mean costs differ.</w:t>
            </w:r>
          </w:p>
          <w:p w14:paraId="3BA5DDF1" w14:textId="3006ABE8" w:rsidR="0025223A" w:rsidRPr="004C78D8" w:rsidRDefault="0025223A" w:rsidP="00FB7C1F">
            <w:pPr>
              <w:jc w:val="left"/>
              <w:rPr>
                <w:sz w:val="18"/>
                <w:szCs w:val="18"/>
              </w:rPr>
            </w:pPr>
            <w:r w:rsidRPr="004C78D8">
              <w:rPr>
                <w:sz w:val="18"/>
                <w:szCs w:val="18"/>
                <w:vertAlign w:val="superscript"/>
              </w:rPr>
              <w:t>6</w:t>
            </w:r>
            <w:r w:rsidRPr="004C78D8">
              <w:rPr>
                <w:sz w:val="18"/>
                <w:szCs w:val="18"/>
              </w:rPr>
              <w:t xml:space="preserve"> Intervention included individually tailored education, group balance exercises, Tai Chi, other physical activities and HAM, neighbourhood hazard removal and housing reconstruction.</w:t>
            </w:r>
          </w:p>
        </w:tc>
      </w:tr>
    </w:tbl>
    <w:p w14:paraId="3E0EEFED" w14:textId="1F5C6E5D" w:rsidR="00E05B22" w:rsidRPr="004C78D8" w:rsidRDefault="00E05B22" w:rsidP="00FB7C1F"/>
    <w:p w14:paraId="56BF3559" w14:textId="77777777" w:rsidR="00E05B22" w:rsidRPr="004C78D8" w:rsidRDefault="00E05B22" w:rsidP="00FB7C1F"/>
    <w:p w14:paraId="3802AB2B" w14:textId="596D721A" w:rsidR="00E05B22" w:rsidRPr="004C78D8" w:rsidRDefault="00E05B22" w:rsidP="00FB7C1F">
      <w:r w:rsidRPr="004C78D8">
        <w:br w:type="page"/>
      </w:r>
    </w:p>
    <w:p w14:paraId="48487925" w14:textId="77777777" w:rsidR="00E05B22" w:rsidRPr="004C78D8" w:rsidRDefault="00E05B22" w:rsidP="00FB7C1F">
      <w:pPr>
        <w:sectPr w:rsidR="00E05B22" w:rsidRPr="004C78D8" w:rsidSect="00E05B22">
          <w:pgSz w:w="16838" w:h="11906" w:orient="landscape"/>
          <w:pgMar w:top="1440" w:right="1440" w:bottom="1440" w:left="1440" w:header="708" w:footer="708" w:gutter="0"/>
          <w:cols w:space="708"/>
          <w:docGrid w:linePitch="360"/>
        </w:sectPr>
      </w:pPr>
    </w:p>
    <w:p w14:paraId="163D1C75" w14:textId="5FA4D3D2" w:rsidR="002538CF" w:rsidRPr="004C78D8" w:rsidRDefault="00602B46" w:rsidP="00FB7C1F">
      <w:pPr>
        <w:pStyle w:val="Heading4"/>
      </w:pPr>
      <w:r w:rsidRPr="004C78D8">
        <w:lastRenderedPageBreak/>
        <w:t>4</w:t>
      </w:r>
      <w:r w:rsidR="00E75956" w:rsidRPr="004C78D8">
        <w:t>.5.2.4 Intervention efficacy</w:t>
      </w:r>
    </w:p>
    <w:p w14:paraId="43EA2FC4" w14:textId="515F0B43" w:rsidR="00E75956" w:rsidRPr="004C78D8" w:rsidRDefault="00E75956" w:rsidP="00FB7C1F">
      <w:pPr>
        <w:rPr>
          <w:lang w:val="en-US"/>
        </w:rPr>
      </w:pPr>
      <w:r w:rsidRPr="004C78D8">
        <w:t xml:space="preserve">Table </w:t>
      </w:r>
      <w:r w:rsidR="00602B46" w:rsidRPr="004C78D8">
        <w:t>4</w:t>
      </w:r>
      <w:r w:rsidRPr="004C78D8">
        <w:t xml:space="preserve">.10 specifies the fall-related event used for the intervention efficacy and, in parenthesis, the main fall-related event used to characterise falls risk/rate. Twelve (26.1%) models did not incorporate matching events (highlighted in bold). Thirty-six (78.3%) sourced efficacy data from internal or external RCTs and meta-analyses, while three used observational studies </w:t>
      </w:r>
      <w:r w:rsidRPr="004C78D8">
        <w:fldChar w:fldCharType="begin">
          <w:fldData xml:space="preserve">PEVuZE5vdGU+PENpdGU+PEF1dGhvcj5IaXJzdDwvQXV0aG9yPjxZZWFyPjIwMTY8L1llYXI+PFJl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</w:fldData>
        </w:fldChar>
      </w:r>
      <w:r w:rsidR="00C630FC" w:rsidRPr="004C78D8">
        <w:instrText xml:space="preserve"> ADDIN EN.CITE </w:instrText>
      </w:r>
      <w:r w:rsidR="00C630FC" w:rsidRPr="004C78D8">
        <w:fldChar w:fldCharType="begin">
          <w:fldData xml:space="preserve">PEVuZE5vdGU+PENpdGU+PEF1dGhvcj5IaXJzdDwvQXV0aG9yPjxZZWFyPjIwMTY8L1llYXI+PFJl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[336, 345, 347]</w:t>
      </w:r>
      <w:r w:rsidRPr="004C78D8">
        <w:fldChar w:fldCharType="end"/>
      </w:r>
      <w:r w:rsidRPr="004C78D8">
        <w:t xml:space="preserve">. On using external RCT data, several models questioned whether it can be generalised to routine practice </w:t>
      </w:r>
      <w:r w:rsidRPr="004C78D8">
        <w:fldChar w:fldCharType="begin">
          <w:fldData xml:space="preserve">PEVuZE5vdGU+PENpdGU+PEF1dGhvcj5DYXJhbmRlLUt1bGlzPC9BdXRob3I+PFllYXI+MjAxNTwv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</w:fldData>
        </w:fldChar>
      </w:r>
      <w:r w:rsidR="00C630FC" w:rsidRPr="004C78D8">
        <w:instrText xml:space="preserve"> ADDIN EN.CITE </w:instrText>
      </w:r>
      <w:r w:rsidR="00C630FC" w:rsidRPr="004C78D8">
        <w:fldChar w:fldCharType="begin">
          <w:fldData xml:space="preserve">PEVuZE5vdGU+PENpdGU+PEF1dGhvcj5DYXJhbmRlLUt1bGlzPC9BdXRob3I+PFllYXI+MjAxNTwv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[167, 200, 216, 340, 353, 358, 367]</w:t>
      </w:r>
      <w:r w:rsidRPr="004C78D8">
        <w:fldChar w:fldCharType="end"/>
      </w:r>
      <w:r w:rsidRPr="004C78D8">
        <w:t xml:space="preserve">; Mori (2017) down-adjusted the RCT-based efficacy by 40% for generalisation. </w:t>
      </w:r>
      <w:r w:rsidRPr="004C78D8">
        <w:rPr>
          <w:lang w:val="en-US"/>
        </w:rPr>
        <w:t xml:space="preserve">The fifth column details the efficacy and, in parenthesis, incidence metrics. The metrics did not match in 12 (26.1%) models: e.g., Deverall (2018) applied </w:t>
      </w:r>
      <w:r w:rsidR="00602B46" w:rsidRPr="004C78D8">
        <w:rPr>
          <w:lang w:val="en-US"/>
        </w:rPr>
        <w:t>rate ratio (</w:t>
      </w:r>
      <w:r w:rsidRPr="004C78D8">
        <w:rPr>
          <w:lang w:val="en-US"/>
        </w:rPr>
        <w:t>RaR</w:t>
      </w:r>
      <w:r w:rsidR="00602B46" w:rsidRPr="004C78D8">
        <w:rPr>
          <w:lang w:val="en-US"/>
        </w:rPr>
        <w:t xml:space="preserve">; </w:t>
      </w:r>
      <w:r w:rsidR="00C53EAE" w:rsidRPr="004C78D8">
        <w:rPr>
          <w:lang w:val="en-US"/>
        </w:rPr>
        <w:t xml:space="preserve">i.e., </w:t>
      </w:r>
      <w:r w:rsidR="00602B46" w:rsidRPr="004C78D8">
        <w:rPr>
          <w:lang w:val="en-US"/>
        </w:rPr>
        <w:t>reduction in number of falls</w:t>
      </w:r>
      <w:r w:rsidR="00C53EAE" w:rsidRPr="004C78D8">
        <w:rPr>
          <w:lang w:val="en-US"/>
        </w:rPr>
        <w:t>, not fallers</w:t>
      </w:r>
      <w:r w:rsidR="00602B46" w:rsidRPr="004C78D8">
        <w:rPr>
          <w:lang w:val="en-US"/>
        </w:rPr>
        <w:t>)</w:t>
      </w:r>
      <w:r w:rsidRPr="004C78D8">
        <w:rPr>
          <w:lang w:val="en-US"/>
        </w:rPr>
        <w:t xml:space="preserve"> on individual falls risk</w:t>
      </w:r>
      <w:r w:rsidR="00C53EAE" w:rsidRPr="004C78D8">
        <w:rPr>
          <w:lang w:val="en-US"/>
        </w:rPr>
        <w:t xml:space="preserve"> (determining number of fallers)</w:t>
      </w:r>
      <w:r w:rsidRPr="004C78D8">
        <w:rPr>
          <w:lang w:val="en-US"/>
        </w:rPr>
        <w:t>.</w:t>
      </w:r>
    </w:p>
    <w:tbl>
      <w:tblPr>
        <w:tblStyle w:val="TableGrid"/>
        <w:tblW w:w="5000" w:type="pct"/>
        <w:tblLook w:val="04A0" w:firstRow="1" w:lastRow="0" w:firstColumn="1" w:lastColumn="0" w:noHBand="0" w:noVBand="1"/>
      </w:tblPr>
      <w:tblGrid>
        <w:gridCol w:w="1694"/>
        <w:gridCol w:w="1571"/>
        <w:gridCol w:w="1416"/>
        <w:gridCol w:w="1515"/>
        <w:gridCol w:w="1044"/>
        <w:gridCol w:w="1776"/>
      </w:tblGrid>
      <w:tr w:rsidR="00E75956" w:rsidRPr="004C78D8" w14:paraId="77F9A100" w14:textId="77777777" w:rsidTr="002828C1">
        <w:tc>
          <w:tcPr>
            <w:tcW w:w="5000" w:type="pct"/>
            <w:gridSpan w:val="6"/>
          </w:tcPr>
          <w:p w14:paraId="20FF29F7" w14:textId="463FD95D" w:rsidR="00E75956" w:rsidRPr="004C78D8" w:rsidRDefault="00E75956" w:rsidP="00FB7C1F">
            <w:pPr>
              <w:rPr>
                <w:b/>
                <w:bCs/>
                <w:lang w:val="en-US"/>
              </w:rPr>
            </w:pPr>
            <w:r w:rsidRPr="004C78D8">
              <w:rPr>
                <w:b/>
                <w:bCs/>
                <w:lang w:val="en-US"/>
              </w:rPr>
              <w:t xml:space="preserve">Table </w:t>
            </w:r>
            <w:r w:rsidR="00602B46" w:rsidRPr="004C78D8">
              <w:rPr>
                <w:b/>
                <w:bCs/>
                <w:lang w:val="en-US"/>
              </w:rPr>
              <w:t>4</w:t>
            </w:r>
            <w:r w:rsidRPr="004C78D8">
              <w:rPr>
                <w:b/>
                <w:bCs/>
                <w:lang w:val="en-US"/>
              </w:rPr>
              <w:t xml:space="preserve">.10 </w:t>
            </w:r>
            <w:r w:rsidRPr="004C78D8">
              <w:rPr>
                <w:lang w:val="en-US"/>
              </w:rPr>
              <w:t>Summary of intervention efficacy data used by decision models.</w:t>
            </w:r>
          </w:p>
        </w:tc>
      </w:tr>
      <w:tr w:rsidR="00E75956" w:rsidRPr="004C78D8" w14:paraId="2B6EBA21" w14:textId="77777777" w:rsidTr="002828C1">
        <w:tc>
          <w:tcPr>
            <w:tcW w:w="940" w:type="pct"/>
            <w:vAlign w:val="bottom"/>
          </w:tcPr>
          <w:p w14:paraId="3EA266A6" w14:textId="6A14F8B0" w:rsidR="00E75956" w:rsidRPr="004C78D8" w:rsidRDefault="00E75956" w:rsidP="00FB7C1F">
            <w:pPr>
              <w:jc w:val="left"/>
              <w:rPr>
                <w:b/>
                <w:bCs/>
                <w:sz w:val="18"/>
                <w:szCs w:val="18"/>
                <w:lang w:val="en-US"/>
              </w:rPr>
            </w:pPr>
            <w:r w:rsidRPr="004C78D8">
              <w:rPr>
                <w:b/>
                <w:bCs/>
                <w:sz w:val="18"/>
                <w:szCs w:val="18"/>
                <w:lang w:val="en-US"/>
              </w:rPr>
              <w:t>Study label</w:t>
            </w:r>
            <w:r w:rsidRPr="004C78D8">
              <w:rPr>
                <w:b/>
                <w:bCs/>
                <w:sz w:val="18"/>
                <w:szCs w:val="18"/>
                <w:vertAlign w:val="superscript"/>
                <w:lang w:val="en-US"/>
              </w:rPr>
              <w:t>1</w:t>
            </w:r>
          </w:p>
        </w:tc>
        <w:tc>
          <w:tcPr>
            <w:tcW w:w="871" w:type="pct"/>
            <w:tcBorders>
              <w:bottom w:val="single" w:sz="4" w:space="0" w:color="auto"/>
            </w:tcBorders>
            <w:vAlign w:val="bottom"/>
          </w:tcPr>
          <w:p w14:paraId="7748CCA3" w14:textId="77777777" w:rsidR="00E75956" w:rsidRPr="004C78D8" w:rsidRDefault="00E75956" w:rsidP="00FB7C1F">
            <w:pPr>
              <w:jc w:val="left"/>
              <w:rPr>
                <w:sz w:val="18"/>
                <w:szCs w:val="18"/>
                <w:lang w:val="en-US"/>
              </w:rPr>
            </w:pPr>
            <w:r w:rsidRPr="004C78D8">
              <w:rPr>
                <w:sz w:val="18"/>
                <w:szCs w:val="18"/>
                <w:lang w:val="en-US"/>
              </w:rPr>
              <w:t>Intervention type</w:t>
            </w:r>
          </w:p>
        </w:tc>
        <w:tc>
          <w:tcPr>
            <w:tcW w:w="785" w:type="pct"/>
            <w:tcBorders>
              <w:bottom w:val="single" w:sz="4" w:space="0" w:color="auto"/>
            </w:tcBorders>
            <w:vAlign w:val="bottom"/>
          </w:tcPr>
          <w:p w14:paraId="3EDF7D5B" w14:textId="77777777" w:rsidR="00E75956" w:rsidRPr="004C78D8" w:rsidRDefault="00E75956" w:rsidP="00FB7C1F">
            <w:pPr>
              <w:jc w:val="left"/>
              <w:rPr>
                <w:sz w:val="18"/>
                <w:szCs w:val="18"/>
                <w:lang w:val="en-US"/>
              </w:rPr>
            </w:pPr>
            <w:r w:rsidRPr="004C78D8">
              <w:rPr>
                <w:sz w:val="18"/>
                <w:szCs w:val="18"/>
                <w:lang w:val="en-US"/>
              </w:rPr>
              <w:t>Efficacy (main model) fall-related event</w:t>
            </w:r>
          </w:p>
        </w:tc>
        <w:tc>
          <w:tcPr>
            <w:tcW w:w="840" w:type="pct"/>
            <w:tcBorders>
              <w:bottom w:val="single" w:sz="4" w:space="0" w:color="auto"/>
            </w:tcBorders>
            <w:vAlign w:val="bottom"/>
          </w:tcPr>
          <w:p w14:paraId="1ED8D484" w14:textId="77777777" w:rsidR="00E75956" w:rsidRPr="004C78D8" w:rsidRDefault="00E75956" w:rsidP="00FB7C1F">
            <w:pPr>
              <w:jc w:val="left"/>
              <w:rPr>
                <w:sz w:val="18"/>
                <w:szCs w:val="18"/>
                <w:lang w:val="en-US"/>
              </w:rPr>
            </w:pPr>
            <w:r w:rsidRPr="004C78D8">
              <w:rPr>
                <w:sz w:val="18"/>
                <w:szCs w:val="18"/>
                <w:lang w:val="en-US"/>
              </w:rPr>
              <w:t>Data source type</w:t>
            </w:r>
          </w:p>
        </w:tc>
        <w:tc>
          <w:tcPr>
            <w:tcW w:w="579" w:type="pct"/>
            <w:tcBorders>
              <w:bottom w:val="single" w:sz="4" w:space="0" w:color="auto"/>
            </w:tcBorders>
            <w:vAlign w:val="bottom"/>
          </w:tcPr>
          <w:p w14:paraId="7F5D983A" w14:textId="77777777" w:rsidR="00E75956" w:rsidRPr="004C78D8" w:rsidRDefault="00E75956" w:rsidP="00FB7C1F">
            <w:pPr>
              <w:jc w:val="left"/>
              <w:rPr>
                <w:sz w:val="18"/>
                <w:szCs w:val="18"/>
                <w:lang w:val="en-US"/>
              </w:rPr>
            </w:pPr>
            <w:r w:rsidRPr="004C78D8">
              <w:rPr>
                <w:sz w:val="18"/>
                <w:szCs w:val="18"/>
                <w:lang w:val="en-US"/>
              </w:rPr>
              <w:t>Efficacy (incidence) metric</w:t>
            </w:r>
          </w:p>
        </w:tc>
        <w:tc>
          <w:tcPr>
            <w:tcW w:w="986" w:type="pct"/>
            <w:tcBorders>
              <w:bottom w:val="single" w:sz="4" w:space="0" w:color="auto"/>
            </w:tcBorders>
            <w:vAlign w:val="bottom"/>
          </w:tcPr>
          <w:p w14:paraId="44A5E5D3" w14:textId="731E4431" w:rsidR="00E75956" w:rsidRPr="004C78D8" w:rsidRDefault="00E75956" w:rsidP="00FB7C1F">
            <w:pPr>
              <w:jc w:val="left"/>
              <w:rPr>
                <w:sz w:val="18"/>
                <w:szCs w:val="18"/>
                <w:lang w:val="en-US"/>
              </w:rPr>
            </w:pPr>
            <w:r w:rsidRPr="004C78D8">
              <w:rPr>
                <w:sz w:val="18"/>
                <w:szCs w:val="18"/>
                <w:lang w:val="en-US"/>
              </w:rPr>
              <w:t>Effectiveness period</w:t>
            </w:r>
            <w:r w:rsidR="00EE7A8E" w:rsidRPr="004C78D8">
              <w:rPr>
                <w:sz w:val="18"/>
                <w:szCs w:val="18"/>
                <w:vertAlign w:val="superscript"/>
                <w:lang w:val="en-US"/>
              </w:rPr>
              <w:t>2</w:t>
            </w:r>
            <w:r w:rsidRPr="004C78D8">
              <w:rPr>
                <w:sz w:val="18"/>
                <w:szCs w:val="18"/>
                <w:lang w:val="en-US"/>
              </w:rPr>
              <w:t xml:space="preserve"> (model time horizon)</w:t>
            </w:r>
          </w:p>
        </w:tc>
      </w:tr>
      <w:tr w:rsidR="00E75956" w:rsidRPr="004C78D8" w14:paraId="6D02F3C8" w14:textId="77777777" w:rsidTr="002828C1">
        <w:tc>
          <w:tcPr>
            <w:tcW w:w="940" w:type="pct"/>
          </w:tcPr>
          <w:p w14:paraId="51E73BBC" w14:textId="77777777" w:rsidR="00E75956" w:rsidRPr="004C78D8" w:rsidRDefault="00E75956" w:rsidP="00FB7C1F">
            <w:pPr>
              <w:jc w:val="left"/>
              <w:rPr>
                <w:sz w:val="18"/>
                <w:szCs w:val="18"/>
              </w:rPr>
            </w:pPr>
            <w:r w:rsidRPr="004C78D8">
              <w:rPr>
                <w:sz w:val="18"/>
                <w:szCs w:val="18"/>
              </w:rPr>
              <w:t>Agartioglu (2020)</w:t>
            </w:r>
          </w:p>
        </w:tc>
        <w:tc>
          <w:tcPr>
            <w:tcW w:w="871" w:type="pct"/>
            <w:tcBorders>
              <w:bottom w:val="nil"/>
            </w:tcBorders>
          </w:tcPr>
          <w:p w14:paraId="2EEB7A88" w14:textId="77777777" w:rsidR="00E75956" w:rsidRPr="004C78D8" w:rsidRDefault="00E75956" w:rsidP="00FB7C1F">
            <w:pPr>
              <w:jc w:val="left"/>
              <w:rPr>
                <w:sz w:val="18"/>
                <w:szCs w:val="18"/>
              </w:rPr>
            </w:pPr>
            <w:r w:rsidRPr="004C78D8">
              <w:rPr>
                <w:sz w:val="18"/>
                <w:szCs w:val="18"/>
              </w:rPr>
              <w:t>HAM</w:t>
            </w:r>
          </w:p>
        </w:tc>
        <w:tc>
          <w:tcPr>
            <w:tcW w:w="785" w:type="pct"/>
            <w:tcBorders>
              <w:bottom w:val="nil"/>
            </w:tcBorders>
          </w:tcPr>
          <w:p w14:paraId="1AC88814" w14:textId="77777777" w:rsidR="00E75956" w:rsidRPr="004C78D8" w:rsidRDefault="00E75956" w:rsidP="00FB7C1F">
            <w:pPr>
              <w:jc w:val="left"/>
              <w:rPr>
                <w:sz w:val="18"/>
                <w:szCs w:val="18"/>
                <w:lang w:val="en-US"/>
              </w:rPr>
            </w:pPr>
            <w:r w:rsidRPr="004C78D8">
              <w:rPr>
                <w:sz w:val="18"/>
                <w:szCs w:val="18"/>
                <w:lang w:val="en-US"/>
              </w:rPr>
              <w:t xml:space="preserve">Any fall </w:t>
            </w:r>
          </w:p>
          <w:p w14:paraId="1A19247C" w14:textId="77777777" w:rsidR="00E75956" w:rsidRPr="004C78D8" w:rsidRDefault="00E75956" w:rsidP="00FB7C1F">
            <w:pPr>
              <w:jc w:val="left"/>
              <w:rPr>
                <w:sz w:val="18"/>
                <w:szCs w:val="18"/>
                <w:lang w:val="en-US"/>
              </w:rPr>
            </w:pPr>
            <w:r w:rsidRPr="004C78D8">
              <w:rPr>
                <w:sz w:val="18"/>
                <w:szCs w:val="18"/>
                <w:lang w:val="en-US"/>
              </w:rPr>
              <w:t>(any fall)</w:t>
            </w:r>
          </w:p>
        </w:tc>
        <w:tc>
          <w:tcPr>
            <w:tcW w:w="840" w:type="pct"/>
            <w:tcBorders>
              <w:bottom w:val="nil"/>
            </w:tcBorders>
          </w:tcPr>
          <w:p w14:paraId="51996BE2" w14:textId="77777777" w:rsidR="00E75956" w:rsidRPr="004C78D8" w:rsidRDefault="00E75956" w:rsidP="00FB7C1F">
            <w:pPr>
              <w:jc w:val="left"/>
              <w:rPr>
                <w:sz w:val="18"/>
                <w:szCs w:val="18"/>
                <w:lang w:val="en-US"/>
              </w:rPr>
            </w:pPr>
            <w:r w:rsidRPr="004C78D8">
              <w:rPr>
                <w:sz w:val="18"/>
                <w:szCs w:val="18"/>
                <w:lang w:val="en-US"/>
              </w:rPr>
              <w:t>External meta-an. and internal RCT</w:t>
            </w:r>
          </w:p>
        </w:tc>
        <w:tc>
          <w:tcPr>
            <w:tcW w:w="579" w:type="pct"/>
            <w:tcBorders>
              <w:bottom w:val="nil"/>
            </w:tcBorders>
          </w:tcPr>
          <w:p w14:paraId="05CC97D8" w14:textId="77777777" w:rsidR="00E75956" w:rsidRPr="004C78D8" w:rsidRDefault="00E75956" w:rsidP="00FB7C1F">
            <w:pPr>
              <w:jc w:val="left"/>
              <w:rPr>
                <w:sz w:val="18"/>
                <w:szCs w:val="18"/>
                <w:lang w:val="en-US"/>
              </w:rPr>
            </w:pPr>
            <w:r w:rsidRPr="004C78D8">
              <w:rPr>
                <w:sz w:val="18"/>
                <w:szCs w:val="18"/>
                <w:lang w:val="en-US"/>
              </w:rPr>
              <w:t>RR (risk)</w:t>
            </w:r>
          </w:p>
        </w:tc>
        <w:tc>
          <w:tcPr>
            <w:tcW w:w="986" w:type="pct"/>
            <w:tcBorders>
              <w:bottom w:val="nil"/>
            </w:tcBorders>
          </w:tcPr>
          <w:p w14:paraId="14E9EBAC" w14:textId="77777777" w:rsidR="00E75956" w:rsidRPr="004C78D8" w:rsidRDefault="00E75956" w:rsidP="00FB7C1F">
            <w:pPr>
              <w:jc w:val="left"/>
              <w:rPr>
                <w:sz w:val="18"/>
                <w:szCs w:val="18"/>
                <w:lang w:val="en-US"/>
              </w:rPr>
            </w:pPr>
            <w:r w:rsidRPr="004C78D8">
              <w:rPr>
                <w:sz w:val="18"/>
                <w:szCs w:val="18"/>
                <w:lang w:val="en-US"/>
              </w:rPr>
              <w:t>1 year (1 year)</w:t>
            </w:r>
          </w:p>
        </w:tc>
      </w:tr>
      <w:tr w:rsidR="00E75956" w:rsidRPr="004C78D8" w14:paraId="3A95D17F" w14:textId="77777777" w:rsidTr="002828C1">
        <w:tc>
          <w:tcPr>
            <w:tcW w:w="940" w:type="pct"/>
          </w:tcPr>
          <w:p w14:paraId="254F38BE" w14:textId="77777777" w:rsidR="00E75956" w:rsidRPr="004C78D8" w:rsidRDefault="00E75956" w:rsidP="00FB7C1F">
            <w:pPr>
              <w:jc w:val="left"/>
              <w:rPr>
                <w:sz w:val="18"/>
                <w:szCs w:val="18"/>
                <w:lang w:val="en-US"/>
              </w:rPr>
            </w:pPr>
            <w:r w:rsidRPr="004C78D8">
              <w:rPr>
                <w:sz w:val="18"/>
                <w:szCs w:val="18"/>
              </w:rPr>
              <w:t>Albert (2016)</w:t>
            </w:r>
          </w:p>
        </w:tc>
        <w:tc>
          <w:tcPr>
            <w:tcW w:w="871" w:type="pct"/>
            <w:tcBorders>
              <w:top w:val="nil"/>
              <w:bottom w:val="nil"/>
            </w:tcBorders>
          </w:tcPr>
          <w:p w14:paraId="6B4098E1" w14:textId="77777777" w:rsidR="00E75956" w:rsidRPr="004C78D8" w:rsidRDefault="00E75956" w:rsidP="00FB7C1F">
            <w:pPr>
              <w:jc w:val="left"/>
              <w:rPr>
                <w:sz w:val="18"/>
                <w:szCs w:val="18"/>
                <w:lang w:val="en-US"/>
              </w:rPr>
            </w:pPr>
            <w:r w:rsidRPr="004C78D8">
              <w:rPr>
                <w:sz w:val="18"/>
                <w:szCs w:val="18"/>
              </w:rPr>
              <w:t>Multifactorial int.</w:t>
            </w:r>
          </w:p>
        </w:tc>
        <w:tc>
          <w:tcPr>
            <w:tcW w:w="785" w:type="pct"/>
            <w:tcBorders>
              <w:top w:val="nil"/>
              <w:bottom w:val="nil"/>
            </w:tcBorders>
          </w:tcPr>
          <w:p w14:paraId="2835D0FF" w14:textId="77777777" w:rsidR="00E75956" w:rsidRPr="004C78D8" w:rsidRDefault="00E75956" w:rsidP="00FB7C1F">
            <w:pPr>
              <w:jc w:val="left"/>
              <w:rPr>
                <w:sz w:val="18"/>
                <w:szCs w:val="18"/>
                <w:lang w:val="en-US"/>
              </w:rPr>
            </w:pPr>
            <w:r w:rsidRPr="004C78D8">
              <w:rPr>
                <w:sz w:val="18"/>
                <w:szCs w:val="18"/>
                <w:lang w:val="en-US"/>
              </w:rPr>
              <w:t xml:space="preserve">Any fall </w:t>
            </w:r>
          </w:p>
          <w:p w14:paraId="339F97C9" w14:textId="77777777" w:rsidR="00E75956" w:rsidRPr="004C78D8" w:rsidRDefault="00E75956" w:rsidP="00FB7C1F">
            <w:pPr>
              <w:jc w:val="left"/>
              <w:rPr>
                <w:sz w:val="18"/>
                <w:szCs w:val="18"/>
                <w:lang w:val="en-US"/>
              </w:rPr>
            </w:pPr>
            <w:r w:rsidRPr="004C78D8">
              <w:rPr>
                <w:sz w:val="18"/>
                <w:szCs w:val="18"/>
                <w:lang w:val="en-US"/>
              </w:rPr>
              <w:t>(any fall)</w:t>
            </w:r>
          </w:p>
        </w:tc>
        <w:tc>
          <w:tcPr>
            <w:tcW w:w="840" w:type="pct"/>
            <w:tcBorders>
              <w:top w:val="nil"/>
              <w:bottom w:val="nil"/>
            </w:tcBorders>
          </w:tcPr>
          <w:p w14:paraId="0C8EC8FF" w14:textId="77777777" w:rsidR="00E75956" w:rsidRPr="004C78D8" w:rsidRDefault="00E75956" w:rsidP="00FB7C1F">
            <w:pPr>
              <w:jc w:val="left"/>
              <w:rPr>
                <w:sz w:val="18"/>
                <w:szCs w:val="18"/>
                <w:lang w:val="en-US"/>
              </w:rPr>
            </w:pPr>
            <w:r w:rsidRPr="004C78D8">
              <w:rPr>
                <w:sz w:val="18"/>
                <w:szCs w:val="18"/>
                <w:lang w:val="en-US"/>
              </w:rPr>
              <w:t>Internal non-randomised</w:t>
            </w:r>
          </w:p>
        </w:tc>
        <w:tc>
          <w:tcPr>
            <w:tcW w:w="579" w:type="pct"/>
            <w:tcBorders>
              <w:top w:val="nil"/>
              <w:bottom w:val="nil"/>
            </w:tcBorders>
          </w:tcPr>
          <w:p w14:paraId="5CC1A358" w14:textId="77777777" w:rsidR="00E75956" w:rsidRPr="004C78D8" w:rsidRDefault="00E75956" w:rsidP="00FB7C1F">
            <w:pPr>
              <w:jc w:val="left"/>
              <w:rPr>
                <w:sz w:val="18"/>
                <w:szCs w:val="18"/>
                <w:lang w:val="en-US"/>
              </w:rPr>
            </w:pPr>
            <w:r w:rsidRPr="004C78D8">
              <w:rPr>
                <w:sz w:val="18"/>
                <w:szCs w:val="18"/>
                <w:lang w:val="en-US"/>
              </w:rPr>
              <w:t>RR (risk)</w:t>
            </w:r>
          </w:p>
        </w:tc>
        <w:tc>
          <w:tcPr>
            <w:tcW w:w="986" w:type="pct"/>
            <w:tcBorders>
              <w:top w:val="nil"/>
              <w:bottom w:val="nil"/>
            </w:tcBorders>
          </w:tcPr>
          <w:p w14:paraId="0BA45677" w14:textId="77777777" w:rsidR="00E75956" w:rsidRPr="004C78D8" w:rsidRDefault="00E75956" w:rsidP="00FB7C1F">
            <w:pPr>
              <w:jc w:val="left"/>
              <w:rPr>
                <w:sz w:val="18"/>
                <w:szCs w:val="18"/>
                <w:lang w:val="en-US"/>
              </w:rPr>
            </w:pPr>
            <w:r w:rsidRPr="004C78D8">
              <w:rPr>
                <w:sz w:val="18"/>
                <w:szCs w:val="18"/>
                <w:lang w:val="en-US"/>
              </w:rPr>
              <w:t>1 year (1 year)</w:t>
            </w:r>
          </w:p>
        </w:tc>
      </w:tr>
      <w:tr w:rsidR="00E75956" w:rsidRPr="004C78D8" w14:paraId="70DC9A2D" w14:textId="77777777" w:rsidTr="002828C1">
        <w:tc>
          <w:tcPr>
            <w:tcW w:w="940" w:type="pct"/>
          </w:tcPr>
          <w:p w14:paraId="2092CCCE" w14:textId="77777777" w:rsidR="00E75956" w:rsidRPr="004C78D8" w:rsidRDefault="00E75956" w:rsidP="00FB7C1F">
            <w:pPr>
              <w:jc w:val="left"/>
              <w:rPr>
                <w:sz w:val="18"/>
                <w:szCs w:val="18"/>
              </w:rPr>
            </w:pPr>
            <w:r w:rsidRPr="004C78D8">
              <w:rPr>
                <w:sz w:val="18"/>
                <w:szCs w:val="18"/>
              </w:rPr>
              <w:t>Alhambra-Borras (2019)</w:t>
            </w:r>
          </w:p>
        </w:tc>
        <w:tc>
          <w:tcPr>
            <w:tcW w:w="871" w:type="pct"/>
            <w:tcBorders>
              <w:top w:val="nil"/>
              <w:bottom w:val="nil"/>
            </w:tcBorders>
          </w:tcPr>
          <w:p w14:paraId="3AC7C23E" w14:textId="77777777" w:rsidR="00E75956" w:rsidRPr="004C78D8" w:rsidRDefault="00E75956" w:rsidP="00FB7C1F">
            <w:pPr>
              <w:jc w:val="left"/>
              <w:rPr>
                <w:sz w:val="18"/>
                <w:szCs w:val="18"/>
              </w:rPr>
            </w:pPr>
            <w:r w:rsidRPr="004C78D8">
              <w:rPr>
                <w:sz w:val="18"/>
                <w:szCs w:val="18"/>
              </w:rPr>
              <w:t>Group exercise</w:t>
            </w:r>
          </w:p>
        </w:tc>
        <w:tc>
          <w:tcPr>
            <w:tcW w:w="785" w:type="pct"/>
            <w:tcBorders>
              <w:top w:val="nil"/>
              <w:bottom w:val="nil"/>
            </w:tcBorders>
          </w:tcPr>
          <w:p w14:paraId="1C73A256" w14:textId="6CC8FC12" w:rsidR="00E75956" w:rsidRPr="004C78D8" w:rsidRDefault="00E75956" w:rsidP="00FB7C1F">
            <w:pPr>
              <w:jc w:val="left"/>
              <w:rPr>
                <w:sz w:val="18"/>
                <w:szCs w:val="18"/>
                <w:lang w:val="en-US"/>
              </w:rPr>
            </w:pPr>
            <w:r w:rsidRPr="004C78D8">
              <w:rPr>
                <w:sz w:val="18"/>
                <w:szCs w:val="18"/>
                <w:lang w:val="en-US"/>
              </w:rPr>
              <w:t>Composite</w:t>
            </w:r>
            <w:r w:rsidR="00EE7A8E" w:rsidRPr="004C78D8">
              <w:rPr>
                <w:sz w:val="18"/>
                <w:szCs w:val="18"/>
                <w:vertAlign w:val="superscript"/>
                <w:lang w:val="en-US"/>
              </w:rPr>
              <w:t>3</w:t>
            </w:r>
            <w:r w:rsidRPr="004C78D8">
              <w:rPr>
                <w:sz w:val="18"/>
                <w:szCs w:val="18"/>
                <w:lang w:val="en-US"/>
              </w:rPr>
              <w:t xml:space="preserve"> (composite)</w:t>
            </w:r>
          </w:p>
        </w:tc>
        <w:tc>
          <w:tcPr>
            <w:tcW w:w="840" w:type="pct"/>
            <w:tcBorders>
              <w:top w:val="nil"/>
              <w:bottom w:val="nil"/>
            </w:tcBorders>
          </w:tcPr>
          <w:p w14:paraId="1B27809B" w14:textId="77777777" w:rsidR="00E75956" w:rsidRPr="004C78D8" w:rsidRDefault="00E75956" w:rsidP="00FB7C1F">
            <w:pPr>
              <w:jc w:val="left"/>
              <w:rPr>
                <w:sz w:val="18"/>
                <w:szCs w:val="18"/>
                <w:lang w:val="en-US"/>
              </w:rPr>
            </w:pPr>
            <w:r w:rsidRPr="004C78D8">
              <w:rPr>
                <w:sz w:val="18"/>
                <w:szCs w:val="18"/>
                <w:lang w:val="en-US"/>
              </w:rPr>
              <w:t>Internal quasi-experiment</w:t>
            </w:r>
          </w:p>
        </w:tc>
        <w:tc>
          <w:tcPr>
            <w:tcW w:w="579" w:type="pct"/>
            <w:tcBorders>
              <w:top w:val="nil"/>
              <w:bottom w:val="nil"/>
            </w:tcBorders>
          </w:tcPr>
          <w:p w14:paraId="557D7919" w14:textId="77777777" w:rsidR="00E75956" w:rsidRPr="004C78D8" w:rsidRDefault="00E75956" w:rsidP="00FB7C1F">
            <w:pPr>
              <w:jc w:val="left"/>
              <w:rPr>
                <w:sz w:val="18"/>
                <w:szCs w:val="18"/>
                <w:lang w:val="en-US"/>
              </w:rPr>
            </w:pPr>
            <w:r w:rsidRPr="004C78D8">
              <w:rPr>
                <w:sz w:val="18"/>
                <w:szCs w:val="18"/>
                <w:lang w:val="en-US"/>
              </w:rPr>
              <w:t>RR (risk)</w:t>
            </w:r>
          </w:p>
        </w:tc>
        <w:tc>
          <w:tcPr>
            <w:tcW w:w="986" w:type="pct"/>
            <w:tcBorders>
              <w:top w:val="nil"/>
              <w:bottom w:val="nil"/>
            </w:tcBorders>
          </w:tcPr>
          <w:p w14:paraId="499B962A" w14:textId="77777777" w:rsidR="00E75956" w:rsidRPr="004C78D8" w:rsidRDefault="00E75956" w:rsidP="00FB7C1F">
            <w:pPr>
              <w:jc w:val="left"/>
              <w:rPr>
                <w:sz w:val="18"/>
                <w:szCs w:val="18"/>
                <w:lang w:val="en-US"/>
              </w:rPr>
            </w:pPr>
            <w:r w:rsidRPr="004C78D8">
              <w:rPr>
                <w:sz w:val="18"/>
                <w:szCs w:val="18"/>
                <w:lang w:val="en-US"/>
              </w:rPr>
              <w:t>1 year (lifetime)</w:t>
            </w:r>
          </w:p>
        </w:tc>
      </w:tr>
      <w:tr w:rsidR="00E75956" w:rsidRPr="004C78D8" w14:paraId="12419068" w14:textId="77777777" w:rsidTr="002828C1">
        <w:tc>
          <w:tcPr>
            <w:tcW w:w="940" w:type="pct"/>
          </w:tcPr>
          <w:p w14:paraId="5A13B724" w14:textId="77777777" w:rsidR="00E75956" w:rsidRPr="004C78D8" w:rsidRDefault="00E75956" w:rsidP="00FB7C1F">
            <w:pPr>
              <w:jc w:val="left"/>
              <w:rPr>
                <w:sz w:val="18"/>
                <w:szCs w:val="18"/>
                <w:lang w:val="en-US"/>
              </w:rPr>
            </w:pPr>
            <w:r w:rsidRPr="004C78D8">
              <w:rPr>
                <w:sz w:val="18"/>
                <w:szCs w:val="18"/>
              </w:rPr>
              <w:t>Beard (2006)</w:t>
            </w:r>
          </w:p>
        </w:tc>
        <w:tc>
          <w:tcPr>
            <w:tcW w:w="871" w:type="pct"/>
            <w:tcBorders>
              <w:top w:val="nil"/>
              <w:bottom w:val="nil"/>
            </w:tcBorders>
          </w:tcPr>
          <w:p w14:paraId="4165D797" w14:textId="77777777" w:rsidR="00E75956" w:rsidRPr="004C78D8" w:rsidRDefault="00E75956" w:rsidP="00FB7C1F">
            <w:pPr>
              <w:jc w:val="left"/>
              <w:rPr>
                <w:sz w:val="18"/>
                <w:szCs w:val="18"/>
                <w:lang w:val="en-US"/>
              </w:rPr>
            </w:pPr>
            <w:r w:rsidRPr="004C78D8">
              <w:rPr>
                <w:sz w:val="18"/>
                <w:szCs w:val="18"/>
              </w:rPr>
              <w:t>Multifactorial int.</w:t>
            </w:r>
          </w:p>
        </w:tc>
        <w:tc>
          <w:tcPr>
            <w:tcW w:w="785" w:type="pct"/>
            <w:tcBorders>
              <w:top w:val="nil"/>
              <w:bottom w:val="nil"/>
            </w:tcBorders>
          </w:tcPr>
          <w:p w14:paraId="7B0C8AD4" w14:textId="77777777" w:rsidR="00E75956" w:rsidRPr="004C78D8" w:rsidRDefault="00E75956" w:rsidP="00FB7C1F">
            <w:pPr>
              <w:jc w:val="left"/>
              <w:rPr>
                <w:sz w:val="18"/>
                <w:szCs w:val="18"/>
                <w:lang w:val="en-US"/>
              </w:rPr>
            </w:pPr>
            <w:r w:rsidRPr="004C78D8">
              <w:rPr>
                <w:sz w:val="18"/>
                <w:szCs w:val="18"/>
                <w:lang w:val="en-US"/>
              </w:rPr>
              <w:t>Hospital fall (hospital fall)</w:t>
            </w:r>
          </w:p>
        </w:tc>
        <w:tc>
          <w:tcPr>
            <w:tcW w:w="840" w:type="pct"/>
            <w:tcBorders>
              <w:top w:val="nil"/>
              <w:bottom w:val="nil"/>
            </w:tcBorders>
          </w:tcPr>
          <w:p w14:paraId="2B36D217" w14:textId="77777777" w:rsidR="00E75956" w:rsidRPr="004C78D8" w:rsidRDefault="00E75956" w:rsidP="00FB7C1F">
            <w:pPr>
              <w:jc w:val="left"/>
              <w:rPr>
                <w:sz w:val="18"/>
                <w:szCs w:val="18"/>
                <w:lang w:val="en-US"/>
              </w:rPr>
            </w:pPr>
            <w:r w:rsidRPr="004C78D8">
              <w:rPr>
                <w:sz w:val="18"/>
                <w:szCs w:val="18"/>
                <w:lang w:val="en-US"/>
              </w:rPr>
              <w:t>Internal quasi-experiment</w:t>
            </w:r>
          </w:p>
        </w:tc>
        <w:tc>
          <w:tcPr>
            <w:tcW w:w="579" w:type="pct"/>
            <w:tcBorders>
              <w:top w:val="nil"/>
              <w:bottom w:val="nil"/>
            </w:tcBorders>
          </w:tcPr>
          <w:p w14:paraId="7126858F" w14:textId="77777777" w:rsidR="00E75956" w:rsidRPr="004C78D8" w:rsidRDefault="00E75956" w:rsidP="00FB7C1F">
            <w:pPr>
              <w:jc w:val="left"/>
              <w:rPr>
                <w:sz w:val="18"/>
                <w:szCs w:val="18"/>
                <w:lang w:val="en-US"/>
              </w:rPr>
            </w:pPr>
            <w:r w:rsidRPr="004C78D8">
              <w:rPr>
                <w:sz w:val="18"/>
                <w:szCs w:val="18"/>
                <w:lang w:val="en-US"/>
              </w:rPr>
              <w:t>RaR (rate)</w:t>
            </w:r>
          </w:p>
        </w:tc>
        <w:tc>
          <w:tcPr>
            <w:tcW w:w="986" w:type="pct"/>
            <w:tcBorders>
              <w:top w:val="nil"/>
              <w:bottom w:val="nil"/>
            </w:tcBorders>
          </w:tcPr>
          <w:p w14:paraId="6DDEAA8B" w14:textId="77777777" w:rsidR="00E75956" w:rsidRPr="004C78D8" w:rsidRDefault="00E75956" w:rsidP="00FB7C1F">
            <w:pPr>
              <w:jc w:val="left"/>
              <w:rPr>
                <w:sz w:val="18"/>
                <w:szCs w:val="18"/>
                <w:lang w:val="en-US"/>
              </w:rPr>
            </w:pPr>
            <w:r w:rsidRPr="004C78D8">
              <w:rPr>
                <w:sz w:val="18"/>
                <w:szCs w:val="18"/>
                <w:lang w:val="en-US"/>
              </w:rPr>
              <w:t>5-year sustainability (5 years)</w:t>
            </w:r>
          </w:p>
        </w:tc>
      </w:tr>
      <w:tr w:rsidR="00E75956" w:rsidRPr="004C78D8" w14:paraId="2F0D5EB8" w14:textId="77777777" w:rsidTr="002828C1">
        <w:tc>
          <w:tcPr>
            <w:tcW w:w="940" w:type="pct"/>
          </w:tcPr>
          <w:p w14:paraId="784DADA2" w14:textId="77777777" w:rsidR="00E75956" w:rsidRPr="004C78D8" w:rsidRDefault="00E75956" w:rsidP="00FB7C1F">
            <w:pPr>
              <w:jc w:val="left"/>
              <w:rPr>
                <w:sz w:val="18"/>
                <w:szCs w:val="18"/>
              </w:rPr>
            </w:pPr>
            <w:r w:rsidRPr="004C78D8">
              <w:rPr>
                <w:sz w:val="18"/>
                <w:szCs w:val="18"/>
              </w:rPr>
              <w:t>Boyd (2020)</w:t>
            </w:r>
          </w:p>
        </w:tc>
        <w:tc>
          <w:tcPr>
            <w:tcW w:w="871" w:type="pct"/>
            <w:tcBorders>
              <w:top w:val="nil"/>
              <w:bottom w:val="nil"/>
            </w:tcBorders>
          </w:tcPr>
          <w:p w14:paraId="570B2778" w14:textId="77777777" w:rsidR="00E75956" w:rsidRPr="004C78D8" w:rsidRDefault="00E75956" w:rsidP="00FB7C1F">
            <w:pPr>
              <w:jc w:val="left"/>
              <w:rPr>
                <w:sz w:val="18"/>
                <w:szCs w:val="18"/>
              </w:rPr>
            </w:pPr>
            <w:r w:rsidRPr="004C78D8">
              <w:rPr>
                <w:sz w:val="18"/>
                <w:szCs w:val="18"/>
              </w:rPr>
              <w:t>Expedited cataract surgery</w:t>
            </w:r>
          </w:p>
        </w:tc>
        <w:tc>
          <w:tcPr>
            <w:tcW w:w="785" w:type="pct"/>
            <w:tcBorders>
              <w:top w:val="nil"/>
              <w:bottom w:val="nil"/>
            </w:tcBorders>
          </w:tcPr>
          <w:p w14:paraId="61F61E1A" w14:textId="77777777" w:rsidR="00E75956" w:rsidRPr="004C78D8" w:rsidRDefault="00E75956" w:rsidP="00FB7C1F">
            <w:pPr>
              <w:jc w:val="left"/>
              <w:rPr>
                <w:sz w:val="18"/>
                <w:szCs w:val="18"/>
                <w:lang w:val="en-US"/>
              </w:rPr>
            </w:pPr>
            <w:r w:rsidRPr="004C78D8">
              <w:rPr>
                <w:sz w:val="18"/>
                <w:szCs w:val="18"/>
                <w:lang w:val="en-US"/>
              </w:rPr>
              <w:t xml:space="preserve">Any fall </w:t>
            </w:r>
          </w:p>
          <w:p w14:paraId="39EDC0C9" w14:textId="77777777" w:rsidR="00E75956" w:rsidRPr="004C78D8" w:rsidRDefault="00E75956" w:rsidP="00FB7C1F">
            <w:pPr>
              <w:jc w:val="left"/>
              <w:rPr>
                <w:sz w:val="18"/>
                <w:szCs w:val="18"/>
                <w:lang w:val="en-US"/>
              </w:rPr>
            </w:pPr>
            <w:r w:rsidRPr="004C78D8">
              <w:rPr>
                <w:sz w:val="18"/>
                <w:szCs w:val="18"/>
                <w:lang w:val="en-US"/>
              </w:rPr>
              <w:t>(</w:t>
            </w:r>
            <w:r w:rsidRPr="004C78D8">
              <w:rPr>
                <w:b/>
                <w:bCs/>
                <w:sz w:val="18"/>
                <w:szCs w:val="18"/>
                <w:lang w:val="en-US"/>
              </w:rPr>
              <w:t>MA fall</w:t>
            </w:r>
            <w:r w:rsidRPr="004C78D8">
              <w:rPr>
                <w:sz w:val="18"/>
                <w:szCs w:val="18"/>
                <w:lang w:val="en-US"/>
              </w:rPr>
              <w:t>)</w:t>
            </w:r>
          </w:p>
        </w:tc>
        <w:tc>
          <w:tcPr>
            <w:tcW w:w="840" w:type="pct"/>
            <w:tcBorders>
              <w:top w:val="nil"/>
              <w:bottom w:val="nil"/>
            </w:tcBorders>
          </w:tcPr>
          <w:p w14:paraId="7109A3BA" w14:textId="77777777" w:rsidR="00E75956" w:rsidRPr="004C78D8" w:rsidRDefault="00E75956" w:rsidP="00FB7C1F">
            <w:pPr>
              <w:jc w:val="left"/>
              <w:rPr>
                <w:sz w:val="18"/>
                <w:szCs w:val="18"/>
                <w:lang w:val="en-US"/>
              </w:rPr>
            </w:pPr>
            <w:r w:rsidRPr="004C78D8">
              <w:rPr>
                <w:sz w:val="18"/>
                <w:szCs w:val="18"/>
                <w:lang w:val="en-US"/>
              </w:rPr>
              <w:t>External RCT</w:t>
            </w:r>
          </w:p>
        </w:tc>
        <w:tc>
          <w:tcPr>
            <w:tcW w:w="579" w:type="pct"/>
            <w:tcBorders>
              <w:top w:val="nil"/>
              <w:bottom w:val="nil"/>
            </w:tcBorders>
          </w:tcPr>
          <w:p w14:paraId="19DB0611" w14:textId="77777777" w:rsidR="00E75956" w:rsidRPr="004C78D8" w:rsidRDefault="00E75956" w:rsidP="00FB7C1F">
            <w:pPr>
              <w:jc w:val="left"/>
              <w:rPr>
                <w:sz w:val="18"/>
                <w:szCs w:val="18"/>
                <w:lang w:val="en-US"/>
              </w:rPr>
            </w:pPr>
            <w:r w:rsidRPr="004C78D8">
              <w:rPr>
                <w:sz w:val="18"/>
                <w:szCs w:val="18"/>
                <w:lang w:val="en-US"/>
              </w:rPr>
              <w:t>RR (risk)</w:t>
            </w:r>
          </w:p>
        </w:tc>
        <w:tc>
          <w:tcPr>
            <w:tcW w:w="986" w:type="pct"/>
            <w:tcBorders>
              <w:top w:val="nil"/>
              <w:bottom w:val="nil"/>
            </w:tcBorders>
          </w:tcPr>
          <w:p w14:paraId="02847872" w14:textId="1398D6FB" w:rsidR="00E75956" w:rsidRPr="004C78D8" w:rsidRDefault="00E75956" w:rsidP="00FB7C1F">
            <w:pPr>
              <w:jc w:val="left"/>
              <w:rPr>
                <w:sz w:val="18"/>
                <w:szCs w:val="18"/>
                <w:lang w:val="en-US"/>
              </w:rPr>
            </w:pPr>
            <w:r w:rsidRPr="004C78D8">
              <w:rPr>
                <w:sz w:val="18"/>
                <w:szCs w:val="18"/>
                <w:lang w:val="en-US"/>
              </w:rPr>
              <w:t>1 year</w:t>
            </w:r>
            <w:r w:rsidR="00EE7A8E" w:rsidRPr="004C78D8">
              <w:rPr>
                <w:sz w:val="18"/>
                <w:szCs w:val="18"/>
                <w:vertAlign w:val="superscript"/>
                <w:lang w:val="en-US"/>
              </w:rPr>
              <w:t>4</w:t>
            </w:r>
            <w:r w:rsidRPr="004C78D8">
              <w:rPr>
                <w:sz w:val="18"/>
                <w:szCs w:val="18"/>
                <w:lang w:val="en-US"/>
              </w:rPr>
              <w:t xml:space="preserve"> (lifetime)</w:t>
            </w:r>
          </w:p>
        </w:tc>
      </w:tr>
      <w:tr w:rsidR="00E75956" w:rsidRPr="004C78D8" w14:paraId="71D57B18" w14:textId="77777777" w:rsidTr="002828C1">
        <w:tc>
          <w:tcPr>
            <w:tcW w:w="940" w:type="pct"/>
          </w:tcPr>
          <w:p w14:paraId="2EF78041" w14:textId="77777777" w:rsidR="00E75956" w:rsidRPr="004C78D8" w:rsidRDefault="00E75956" w:rsidP="00FB7C1F">
            <w:pPr>
              <w:jc w:val="left"/>
              <w:rPr>
                <w:sz w:val="18"/>
                <w:szCs w:val="18"/>
                <w:lang w:val="en-US"/>
              </w:rPr>
            </w:pPr>
            <w:r w:rsidRPr="004C78D8">
              <w:rPr>
                <w:sz w:val="18"/>
                <w:szCs w:val="18"/>
                <w:lang w:val="en-US"/>
              </w:rPr>
              <w:t>Carande-Kulis (2015)</w:t>
            </w:r>
          </w:p>
        </w:tc>
        <w:tc>
          <w:tcPr>
            <w:tcW w:w="871" w:type="pct"/>
            <w:tcBorders>
              <w:top w:val="nil"/>
              <w:bottom w:val="nil"/>
            </w:tcBorders>
          </w:tcPr>
          <w:p w14:paraId="68000C10" w14:textId="77777777" w:rsidR="00E75956" w:rsidRPr="004C78D8" w:rsidRDefault="00E75956" w:rsidP="00FB7C1F">
            <w:pPr>
              <w:jc w:val="left"/>
              <w:rPr>
                <w:sz w:val="18"/>
                <w:szCs w:val="18"/>
                <w:lang w:val="en-US"/>
              </w:rPr>
            </w:pPr>
            <w:r w:rsidRPr="004C78D8">
              <w:rPr>
                <w:sz w:val="18"/>
                <w:szCs w:val="18"/>
                <w:lang w:val="en-US"/>
              </w:rPr>
              <w:t>Multiple types</w:t>
            </w:r>
          </w:p>
        </w:tc>
        <w:tc>
          <w:tcPr>
            <w:tcW w:w="785" w:type="pct"/>
            <w:tcBorders>
              <w:top w:val="nil"/>
              <w:bottom w:val="nil"/>
            </w:tcBorders>
          </w:tcPr>
          <w:p w14:paraId="64DBA278" w14:textId="77777777" w:rsidR="00E75956" w:rsidRPr="004C78D8" w:rsidRDefault="00E75956" w:rsidP="00FB7C1F">
            <w:pPr>
              <w:jc w:val="left"/>
              <w:rPr>
                <w:sz w:val="18"/>
                <w:szCs w:val="18"/>
                <w:lang w:val="en-US"/>
              </w:rPr>
            </w:pPr>
            <w:r w:rsidRPr="004C78D8">
              <w:rPr>
                <w:sz w:val="18"/>
                <w:szCs w:val="18"/>
                <w:lang w:val="en-US"/>
              </w:rPr>
              <w:t xml:space="preserve">Any fall </w:t>
            </w:r>
          </w:p>
          <w:p w14:paraId="58F4BB92" w14:textId="77777777" w:rsidR="00E75956" w:rsidRPr="004C78D8" w:rsidRDefault="00E75956" w:rsidP="00FB7C1F">
            <w:pPr>
              <w:jc w:val="left"/>
              <w:rPr>
                <w:sz w:val="18"/>
                <w:szCs w:val="18"/>
                <w:lang w:val="en-US"/>
              </w:rPr>
            </w:pPr>
            <w:r w:rsidRPr="004C78D8">
              <w:rPr>
                <w:sz w:val="18"/>
                <w:szCs w:val="18"/>
                <w:lang w:val="en-US"/>
              </w:rPr>
              <w:t>(</w:t>
            </w:r>
            <w:r w:rsidRPr="004C78D8">
              <w:rPr>
                <w:b/>
                <w:bCs/>
                <w:sz w:val="18"/>
                <w:szCs w:val="18"/>
                <w:lang w:val="en-US"/>
              </w:rPr>
              <w:t>MA fall</w:t>
            </w:r>
            <w:r w:rsidRPr="004C78D8">
              <w:rPr>
                <w:sz w:val="18"/>
                <w:szCs w:val="18"/>
                <w:lang w:val="en-US"/>
              </w:rPr>
              <w:t>)</w:t>
            </w:r>
          </w:p>
        </w:tc>
        <w:tc>
          <w:tcPr>
            <w:tcW w:w="840" w:type="pct"/>
            <w:tcBorders>
              <w:top w:val="nil"/>
              <w:bottom w:val="nil"/>
            </w:tcBorders>
          </w:tcPr>
          <w:p w14:paraId="3FCCB20C" w14:textId="77777777" w:rsidR="00E75956" w:rsidRPr="004C78D8" w:rsidRDefault="00E75956" w:rsidP="00FB7C1F">
            <w:pPr>
              <w:jc w:val="left"/>
              <w:rPr>
                <w:sz w:val="18"/>
                <w:szCs w:val="18"/>
                <w:lang w:val="en-US"/>
              </w:rPr>
            </w:pPr>
            <w:r w:rsidRPr="004C78D8">
              <w:rPr>
                <w:sz w:val="18"/>
                <w:szCs w:val="18"/>
                <w:lang w:val="en-US"/>
              </w:rPr>
              <w:t>External RCTs</w:t>
            </w:r>
          </w:p>
        </w:tc>
        <w:tc>
          <w:tcPr>
            <w:tcW w:w="579" w:type="pct"/>
            <w:tcBorders>
              <w:top w:val="nil"/>
              <w:bottom w:val="nil"/>
            </w:tcBorders>
          </w:tcPr>
          <w:p w14:paraId="2AD74051" w14:textId="77777777" w:rsidR="00E75956" w:rsidRPr="004C78D8" w:rsidRDefault="00E75956" w:rsidP="00FB7C1F">
            <w:pPr>
              <w:jc w:val="left"/>
              <w:rPr>
                <w:sz w:val="18"/>
                <w:szCs w:val="18"/>
                <w:lang w:val="en-US"/>
              </w:rPr>
            </w:pPr>
            <w:r w:rsidRPr="004C78D8">
              <w:rPr>
                <w:sz w:val="18"/>
                <w:szCs w:val="18"/>
                <w:lang w:val="en-US"/>
              </w:rPr>
              <w:t>RR or RaR (</w:t>
            </w:r>
            <w:r w:rsidRPr="004C78D8">
              <w:rPr>
                <w:b/>
                <w:bCs/>
                <w:sz w:val="18"/>
                <w:szCs w:val="18"/>
                <w:lang w:val="en-US"/>
              </w:rPr>
              <w:t>risk</w:t>
            </w:r>
            <w:r w:rsidRPr="004C78D8">
              <w:rPr>
                <w:sz w:val="18"/>
                <w:szCs w:val="18"/>
                <w:lang w:val="en-US"/>
              </w:rPr>
              <w:t>)</w:t>
            </w:r>
          </w:p>
        </w:tc>
        <w:tc>
          <w:tcPr>
            <w:tcW w:w="986" w:type="pct"/>
            <w:tcBorders>
              <w:top w:val="nil"/>
              <w:bottom w:val="nil"/>
            </w:tcBorders>
          </w:tcPr>
          <w:p w14:paraId="1ECB219E" w14:textId="77777777" w:rsidR="00E75956" w:rsidRPr="004C78D8" w:rsidRDefault="00E75956" w:rsidP="00FB7C1F">
            <w:pPr>
              <w:jc w:val="left"/>
              <w:rPr>
                <w:sz w:val="18"/>
                <w:szCs w:val="18"/>
                <w:lang w:val="en-US"/>
              </w:rPr>
            </w:pPr>
            <w:r w:rsidRPr="004C78D8">
              <w:rPr>
                <w:sz w:val="18"/>
                <w:szCs w:val="18"/>
                <w:lang w:val="en-US"/>
              </w:rPr>
              <w:t>1 year (1 year)</w:t>
            </w:r>
          </w:p>
        </w:tc>
      </w:tr>
      <w:tr w:rsidR="00E75956" w:rsidRPr="004C78D8" w14:paraId="6CD8C365" w14:textId="77777777" w:rsidTr="002828C1">
        <w:tc>
          <w:tcPr>
            <w:tcW w:w="940" w:type="pct"/>
          </w:tcPr>
          <w:p w14:paraId="25E0399D" w14:textId="77777777" w:rsidR="00E75956" w:rsidRPr="004C78D8" w:rsidRDefault="00E75956" w:rsidP="00FB7C1F">
            <w:pPr>
              <w:jc w:val="left"/>
              <w:rPr>
                <w:sz w:val="18"/>
                <w:szCs w:val="18"/>
                <w:lang w:val="en-US"/>
              </w:rPr>
            </w:pPr>
            <w:r w:rsidRPr="004C78D8">
              <w:rPr>
                <w:sz w:val="18"/>
                <w:szCs w:val="18"/>
                <w:lang w:val="en-US"/>
              </w:rPr>
              <w:t>CSP (2016)</w:t>
            </w:r>
          </w:p>
        </w:tc>
        <w:tc>
          <w:tcPr>
            <w:tcW w:w="871" w:type="pct"/>
            <w:tcBorders>
              <w:top w:val="nil"/>
              <w:bottom w:val="nil"/>
            </w:tcBorders>
          </w:tcPr>
          <w:p w14:paraId="260EF31C" w14:textId="77777777" w:rsidR="00E75956" w:rsidRPr="004C78D8" w:rsidRDefault="00E75956" w:rsidP="00FB7C1F">
            <w:pPr>
              <w:jc w:val="left"/>
              <w:rPr>
                <w:sz w:val="18"/>
                <w:szCs w:val="18"/>
                <w:lang w:val="en-US"/>
              </w:rPr>
            </w:pPr>
            <w:r w:rsidRPr="004C78D8">
              <w:rPr>
                <w:sz w:val="18"/>
                <w:szCs w:val="18"/>
                <w:lang w:val="en-US"/>
              </w:rPr>
              <w:t>Physiotherapy</w:t>
            </w:r>
          </w:p>
        </w:tc>
        <w:tc>
          <w:tcPr>
            <w:tcW w:w="785" w:type="pct"/>
            <w:tcBorders>
              <w:top w:val="nil"/>
              <w:bottom w:val="nil"/>
            </w:tcBorders>
          </w:tcPr>
          <w:p w14:paraId="2691400E" w14:textId="77777777" w:rsidR="00E75956" w:rsidRPr="004C78D8" w:rsidRDefault="00E75956" w:rsidP="00FB7C1F">
            <w:pPr>
              <w:jc w:val="left"/>
              <w:rPr>
                <w:sz w:val="18"/>
                <w:szCs w:val="18"/>
                <w:lang w:val="en-US"/>
              </w:rPr>
            </w:pPr>
            <w:r w:rsidRPr="004C78D8">
              <w:rPr>
                <w:sz w:val="18"/>
                <w:szCs w:val="18"/>
                <w:lang w:val="en-US"/>
              </w:rPr>
              <w:t xml:space="preserve">Any fall </w:t>
            </w:r>
          </w:p>
          <w:p w14:paraId="2D532C7C" w14:textId="77777777" w:rsidR="00E75956" w:rsidRPr="004C78D8" w:rsidRDefault="00E75956" w:rsidP="00FB7C1F">
            <w:pPr>
              <w:jc w:val="left"/>
              <w:rPr>
                <w:sz w:val="18"/>
                <w:szCs w:val="18"/>
                <w:lang w:val="en-US"/>
              </w:rPr>
            </w:pPr>
            <w:r w:rsidRPr="004C78D8">
              <w:rPr>
                <w:sz w:val="18"/>
                <w:szCs w:val="18"/>
                <w:lang w:val="en-US"/>
              </w:rPr>
              <w:t>(</w:t>
            </w:r>
            <w:r w:rsidRPr="004C78D8">
              <w:rPr>
                <w:b/>
                <w:bCs/>
                <w:sz w:val="18"/>
                <w:szCs w:val="18"/>
                <w:lang w:val="en-US"/>
              </w:rPr>
              <w:t>MA fall</w:t>
            </w:r>
            <w:r w:rsidRPr="004C78D8">
              <w:rPr>
                <w:sz w:val="18"/>
                <w:szCs w:val="18"/>
                <w:lang w:val="en-US"/>
              </w:rPr>
              <w:t>)</w:t>
            </w:r>
          </w:p>
        </w:tc>
        <w:tc>
          <w:tcPr>
            <w:tcW w:w="840" w:type="pct"/>
            <w:tcBorders>
              <w:top w:val="nil"/>
              <w:bottom w:val="nil"/>
            </w:tcBorders>
          </w:tcPr>
          <w:p w14:paraId="6ADE4AE4" w14:textId="77777777" w:rsidR="00E75956" w:rsidRPr="004C78D8" w:rsidRDefault="00E75956" w:rsidP="00FB7C1F">
            <w:pPr>
              <w:jc w:val="left"/>
              <w:rPr>
                <w:sz w:val="18"/>
                <w:szCs w:val="18"/>
                <w:lang w:val="en-US"/>
              </w:rPr>
            </w:pPr>
            <w:r w:rsidRPr="004C78D8">
              <w:rPr>
                <w:sz w:val="18"/>
                <w:szCs w:val="18"/>
                <w:lang w:val="en-US"/>
              </w:rPr>
              <w:t>External meta-an.</w:t>
            </w:r>
          </w:p>
        </w:tc>
        <w:tc>
          <w:tcPr>
            <w:tcW w:w="579" w:type="pct"/>
            <w:tcBorders>
              <w:top w:val="nil"/>
              <w:bottom w:val="nil"/>
            </w:tcBorders>
          </w:tcPr>
          <w:p w14:paraId="6CEBEF5B" w14:textId="77777777" w:rsidR="00E75956" w:rsidRPr="004C78D8" w:rsidRDefault="00E75956" w:rsidP="00FB7C1F">
            <w:pPr>
              <w:jc w:val="left"/>
              <w:rPr>
                <w:sz w:val="18"/>
                <w:szCs w:val="18"/>
                <w:lang w:val="en-US"/>
              </w:rPr>
            </w:pPr>
            <w:r w:rsidRPr="004C78D8">
              <w:rPr>
                <w:sz w:val="18"/>
                <w:szCs w:val="18"/>
                <w:lang w:val="en-US"/>
              </w:rPr>
              <w:t>RaR (</w:t>
            </w:r>
            <w:r w:rsidRPr="004C78D8">
              <w:rPr>
                <w:b/>
                <w:bCs/>
                <w:sz w:val="18"/>
                <w:szCs w:val="18"/>
                <w:lang w:val="en-US"/>
              </w:rPr>
              <w:t>risk</w:t>
            </w:r>
            <w:r w:rsidRPr="004C78D8">
              <w:rPr>
                <w:sz w:val="18"/>
                <w:szCs w:val="18"/>
                <w:lang w:val="en-US"/>
              </w:rPr>
              <w:t>)</w:t>
            </w:r>
          </w:p>
        </w:tc>
        <w:tc>
          <w:tcPr>
            <w:tcW w:w="986" w:type="pct"/>
            <w:tcBorders>
              <w:top w:val="nil"/>
              <w:bottom w:val="nil"/>
            </w:tcBorders>
          </w:tcPr>
          <w:p w14:paraId="324A70DE" w14:textId="77777777" w:rsidR="00E75956" w:rsidRPr="004C78D8" w:rsidRDefault="00E75956" w:rsidP="00FB7C1F">
            <w:pPr>
              <w:jc w:val="left"/>
              <w:rPr>
                <w:sz w:val="18"/>
                <w:szCs w:val="18"/>
                <w:lang w:val="en-US"/>
              </w:rPr>
            </w:pPr>
            <w:r w:rsidRPr="004C78D8">
              <w:rPr>
                <w:sz w:val="18"/>
                <w:szCs w:val="18"/>
                <w:lang w:val="en-US"/>
              </w:rPr>
              <w:t>1 year (1 year)</w:t>
            </w:r>
          </w:p>
        </w:tc>
      </w:tr>
      <w:tr w:rsidR="00E75956" w:rsidRPr="004C78D8" w14:paraId="20D40F79" w14:textId="77777777" w:rsidTr="002828C1">
        <w:tc>
          <w:tcPr>
            <w:tcW w:w="940" w:type="pct"/>
          </w:tcPr>
          <w:p w14:paraId="52CCF639" w14:textId="77777777" w:rsidR="00E75956" w:rsidRPr="004C78D8" w:rsidRDefault="00E75956" w:rsidP="00FB7C1F">
            <w:pPr>
              <w:jc w:val="left"/>
              <w:rPr>
                <w:sz w:val="18"/>
                <w:szCs w:val="18"/>
                <w:lang w:val="en-US"/>
              </w:rPr>
            </w:pPr>
            <w:r w:rsidRPr="004C78D8">
              <w:rPr>
                <w:sz w:val="18"/>
                <w:szCs w:val="18"/>
                <w:lang w:val="en-US"/>
              </w:rPr>
              <w:t>Church (2011)</w:t>
            </w:r>
          </w:p>
        </w:tc>
        <w:tc>
          <w:tcPr>
            <w:tcW w:w="871" w:type="pct"/>
            <w:tcBorders>
              <w:top w:val="nil"/>
              <w:bottom w:val="nil"/>
            </w:tcBorders>
          </w:tcPr>
          <w:p w14:paraId="1C0EBE5A" w14:textId="77777777" w:rsidR="00E75956" w:rsidRPr="004C78D8" w:rsidRDefault="00E75956" w:rsidP="00FB7C1F">
            <w:pPr>
              <w:jc w:val="left"/>
              <w:rPr>
                <w:sz w:val="18"/>
                <w:szCs w:val="18"/>
                <w:lang w:val="en-US"/>
              </w:rPr>
            </w:pPr>
            <w:r w:rsidRPr="004C78D8">
              <w:rPr>
                <w:sz w:val="18"/>
                <w:szCs w:val="18"/>
                <w:lang w:val="en-US"/>
              </w:rPr>
              <w:t>Multiple types</w:t>
            </w:r>
          </w:p>
        </w:tc>
        <w:tc>
          <w:tcPr>
            <w:tcW w:w="785" w:type="pct"/>
            <w:tcBorders>
              <w:top w:val="nil"/>
              <w:bottom w:val="nil"/>
            </w:tcBorders>
          </w:tcPr>
          <w:p w14:paraId="7CA94DC5" w14:textId="77777777" w:rsidR="00E75956" w:rsidRPr="004C78D8" w:rsidRDefault="00E75956" w:rsidP="00FB7C1F">
            <w:pPr>
              <w:jc w:val="left"/>
              <w:rPr>
                <w:sz w:val="18"/>
                <w:szCs w:val="18"/>
                <w:lang w:val="en-US"/>
              </w:rPr>
            </w:pPr>
            <w:r w:rsidRPr="004C78D8">
              <w:rPr>
                <w:sz w:val="18"/>
                <w:szCs w:val="18"/>
                <w:lang w:val="en-US"/>
              </w:rPr>
              <w:t xml:space="preserve">Any fall </w:t>
            </w:r>
          </w:p>
          <w:p w14:paraId="06197EEC" w14:textId="77777777" w:rsidR="00E75956" w:rsidRPr="004C78D8" w:rsidRDefault="00E75956" w:rsidP="00FB7C1F">
            <w:pPr>
              <w:jc w:val="left"/>
              <w:rPr>
                <w:sz w:val="18"/>
                <w:szCs w:val="18"/>
                <w:lang w:val="en-US"/>
              </w:rPr>
            </w:pPr>
            <w:r w:rsidRPr="004C78D8">
              <w:rPr>
                <w:sz w:val="18"/>
                <w:szCs w:val="18"/>
                <w:lang w:val="en-US"/>
              </w:rPr>
              <w:t>(any fall)</w:t>
            </w:r>
          </w:p>
        </w:tc>
        <w:tc>
          <w:tcPr>
            <w:tcW w:w="840" w:type="pct"/>
            <w:tcBorders>
              <w:top w:val="nil"/>
              <w:bottom w:val="nil"/>
            </w:tcBorders>
          </w:tcPr>
          <w:p w14:paraId="1B26DD0F" w14:textId="77777777" w:rsidR="00E75956" w:rsidRPr="004C78D8" w:rsidRDefault="00E75956" w:rsidP="00FB7C1F">
            <w:pPr>
              <w:jc w:val="left"/>
              <w:rPr>
                <w:sz w:val="18"/>
                <w:szCs w:val="18"/>
                <w:lang w:val="en-US"/>
              </w:rPr>
            </w:pPr>
            <w:r w:rsidRPr="004C78D8">
              <w:rPr>
                <w:sz w:val="18"/>
                <w:szCs w:val="18"/>
                <w:lang w:val="en-US"/>
              </w:rPr>
              <w:t>External meta-an.</w:t>
            </w:r>
          </w:p>
        </w:tc>
        <w:tc>
          <w:tcPr>
            <w:tcW w:w="579" w:type="pct"/>
            <w:tcBorders>
              <w:top w:val="nil"/>
              <w:bottom w:val="nil"/>
            </w:tcBorders>
          </w:tcPr>
          <w:p w14:paraId="3CFB3A34" w14:textId="77777777" w:rsidR="00E75956" w:rsidRPr="004C78D8" w:rsidRDefault="00E75956" w:rsidP="00FB7C1F">
            <w:pPr>
              <w:jc w:val="left"/>
              <w:rPr>
                <w:sz w:val="18"/>
                <w:szCs w:val="18"/>
                <w:lang w:val="en-US"/>
              </w:rPr>
            </w:pPr>
            <w:r w:rsidRPr="004C78D8">
              <w:rPr>
                <w:sz w:val="18"/>
                <w:szCs w:val="18"/>
                <w:lang w:val="en-US"/>
              </w:rPr>
              <w:t>RaR (</w:t>
            </w:r>
            <w:r w:rsidRPr="004C78D8">
              <w:rPr>
                <w:b/>
                <w:bCs/>
                <w:sz w:val="18"/>
                <w:szCs w:val="18"/>
                <w:lang w:val="en-US"/>
              </w:rPr>
              <w:t>risk</w:t>
            </w:r>
            <w:r w:rsidRPr="004C78D8">
              <w:rPr>
                <w:sz w:val="18"/>
                <w:szCs w:val="18"/>
                <w:lang w:val="en-US"/>
              </w:rPr>
              <w:t>)</w:t>
            </w:r>
          </w:p>
        </w:tc>
        <w:tc>
          <w:tcPr>
            <w:tcW w:w="986" w:type="pct"/>
            <w:tcBorders>
              <w:top w:val="nil"/>
              <w:bottom w:val="nil"/>
            </w:tcBorders>
          </w:tcPr>
          <w:p w14:paraId="0CF4A7BF" w14:textId="77777777" w:rsidR="00E75956" w:rsidRPr="004C78D8" w:rsidRDefault="00E75956" w:rsidP="00FB7C1F">
            <w:pPr>
              <w:jc w:val="left"/>
              <w:rPr>
                <w:sz w:val="18"/>
                <w:szCs w:val="18"/>
                <w:lang w:val="en-US"/>
              </w:rPr>
            </w:pPr>
            <w:r w:rsidRPr="004C78D8">
              <w:rPr>
                <w:sz w:val="18"/>
                <w:szCs w:val="18"/>
                <w:lang w:val="en-US"/>
              </w:rPr>
              <w:t>Efficacy durability differ by int. type (10 years)</w:t>
            </w:r>
          </w:p>
        </w:tc>
      </w:tr>
      <w:tr w:rsidR="00E75956" w:rsidRPr="004C78D8" w14:paraId="468E1D2F" w14:textId="77777777" w:rsidTr="002828C1">
        <w:tc>
          <w:tcPr>
            <w:tcW w:w="940" w:type="pct"/>
          </w:tcPr>
          <w:p w14:paraId="02625A92" w14:textId="77777777" w:rsidR="00E75956" w:rsidRPr="004C78D8" w:rsidRDefault="00E75956" w:rsidP="00FB7C1F">
            <w:pPr>
              <w:jc w:val="left"/>
              <w:rPr>
                <w:sz w:val="18"/>
                <w:szCs w:val="18"/>
                <w:lang w:val="en-US"/>
              </w:rPr>
            </w:pPr>
            <w:r w:rsidRPr="004C78D8">
              <w:rPr>
                <w:sz w:val="18"/>
                <w:szCs w:val="18"/>
                <w:lang w:val="en-US"/>
              </w:rPr>
              <w:t>Church (2012)</w:t>
            </w:r>
          </w:p>
        </w:tc>
        <w:tc>
          <w:tcPr>
            <w:tcW w:w="871" w:type="pct"/>
            <w:tcBorders>
              <w:top w:val="nil"/>
              <w:bottom w:val="nil"/>
            </w:tcBorders>
          </w:tcPr>
          <w:p w14:paraId="12393CB4" w14:textId="77777777" w:rsidR="00E75956" w:rsidRPr="004C78D8" w:rsidRDefault="00E75956" w:rsidP="00FB7C1F">
            <w:pPr>
              <w:jc w:val="left"/>
              <w:rPr>
                <w:sz w:val="18"/>
                <w:szCs w:val="18"/>
                <w:lang w:val="en-US"/>
              </w:rPr>
            </w:pPr>
            <w:r w:rsidRPr="004C78D8">
              <w:rPr>
                <w:sz w:val="18"/>
                <w:szCs w:val="18"/>
                <w:lang w:val="en-US"/>
              </w:rPr>
              <w:t>Multiple types</w:t>
            </w:r>
          </w:p>
        </w:tc>
        <w:tc>
          <w:tcPr>
            <w:tcW w:w="785" w:type="pct"/>
            <w:tcBorders>
              <w:top w:val="nil"/>
              <w:bottom w:val="nil"/>
            </w:tcBorders>
          </w:tcPr>
          <w:p w14:paraId="38DA7892" w14:textId="77777777" w:rsidR="00E75956" w:rsidRPr="004C78D8" w:rsidRDefault="00E75956" w:rsidP="00FB7C1F">
            <w:pPr>
              <w:jc w:val="left"/>
              <w:rPr>
                <w:sz w:val="18"/>
                <w:szCs w:val="18"/>
                <w:lang w:val="en-US"/>
              </w:rPr>
            </w:pPr>
            <w:r w:rsidRPr="004C78D8">
              <w:rPr>
                <w:sz w:val="18"/>
                <w:szCs w:val="18"/>
                <w:lang w:val="en-US"/>
              </w:rPr>
              <w:t>Any fall</w:t>
            </w:r>
          </w:p>
          <w:p w14:paraId="305045D8" w14:textId="77777777" w:rsidR="00E75956" w:rsidRPr="004C78D8" w:rsidRDefault="00E75956" w:rsidP="00FB7C1F">
            <w:pPr>
              <w:jc w:val="left"/>
              <w:rPr>
                <w:sz w:val="18"/>
                <w:szCs w:val="18"/>
                <w:lang w:val="en-US"/>
              </w:rPr>
            </w:pPr>
            <w:r w:rsidRPr="004C78D8">
              <w:rPr>
                <w:sz w:val="18"/>
                <w:szCs w:val="18"/>
                <w:lang w:val="en-US"/>
              </w:rPr>
              <w:t>(any fall)</w:t>
            </w:r>
          </w:p>
        </w:tc>
        <w:tc>
          <w:tcPr>
            <w:tcW w:w="840" w:type="pct"/>
            <w:tcBorders>
              <w:top w:val="nil"/>
              <w:bottom w:val="nil"/>
            </w:tcBorders>
          </w:tcPr>
          <w:p w14:paraId="129429EA" w14:textId="77777777" w:rsidR="00E75956" w:rsidRPr="004C78D8" w:rsidRDefault="00E75956" w:rsidP="00FB7C1F">
            <w:pPr>
              <w:jc w:val="left"/>
              <w:rPr>
                <w:sz w:val="18"/>
                <w:szCs w:val="18"/>
                <w:lang w:val="en-US"/>
              </w:rPr>
            </w:pPr>
            <w:r w:rsidRPr="004C78D8">
              <w:rPr>
                <w:sz w:val="18"/>
                <w:szCs w:val="18"/>
                <w:lang w:val="en-US"/>
              </w:rPr>
              <w:t>External meta-an.</w:t>
            </w:r>
          </w:p>
        </w:tc>
        <w:tc>
          <w:tcPr>
            <w:tcW w:w="579" w:type="pct"/>
            <w:tcBorders>
              <w:top w:val="nil"/>
              <w:bottom w:val="nil"/>
            </w:tcBorders>
          </w:tcPr>
          <w:p w14:paraId="5918C38F" w14:textId="77777777" w:rsidR="00E75956" w:rsidRPr="004C78D8" w:rsidRDefault="00E75956" w:rsidP="00FB7C1F">
            <w:pPr>
              <w:jc w:val="left"/>
              <w:rPr>
                <w:sz w:val="18"/>
                <w:szCs w:val="18"/>
                <w:lang w:val="en-US"/>
              </w:rPr>
            </w:pPr>
            <w:r w:rsidRPr="004C78D8">
              <w:rPr>
                <w:sz w:val="18"/>
                <w:szCs w:val="18"/>
                <w:lang w:val="en-US"/>
              </w:rPr>
              <w:t>RaR (</w:t>
            </w:r>
            <w:r w:rsidRPr="004C78D8">
              <w:rPr>
                <w:b/>
                <w:bCs/>
                <w:sz w:val="18"/>
                <w:szCs w:val="18"/>
                <w:lang w:val="en-US"/>
              </w:rPr>
              <w:t>risk</w:t>
            </w:r>
            <w:r w:rsidRPr="004C78D8">
              <w:rPr>
                <w:sz w:val="18"/>
                <w:szCs w:val="18"/>
                <w:lang w:val="en-US"/>
              </w:rPr>
              <w:t>)</w:t>
            </w:r>
          </w:p>
        </w:tc>
        <w:tc>
          <w:tcPr>
            <w:tcW w:w="986" w:type="pct"/>
            <w:tcBorders>
              <w:top w:val="nil"/>
              <w:bottom w:val="nil"/>
            </w:tcBorders>
          </w:tcPr>
          <w:p w14:paraId="26131EB7" w14:textId="77777777" w:rsidR="00E75956" w:rsidRPr="004C78D8" w:rsidRDefault="00E75956" w:rsidP="00FB7C1F">
            <w:pPr>
              <w:jc w:val="left"/>
              <w:rPr>
                <w:sz w:val="18"/>
                <w:szCs w:val="18"/>
                <w:lang w:val="en-US"/>
              </w:rPr>
            </w:pPr>
            <w:r w:rsidRPr="004C78D8">
              <w:rPr>
                <w:sz w:val="18"/>
                <w:szCs w:val="18"/>
                <w:lang w:val="en-US"/>
              </w:rPr>
              <w:t>Efficacy durability differ by int. type (lifetime)</w:t>
            </w:r>
          </w:p>
        </w:tc>
      </w:tr>
      <w:tr w:rsidR="00E75956" w:rsidRPr="004C78D8" w14:paraId="600E80D5" w14:textId="77777777" w:rsidTr="002828C1">
        <w:tc>
          <w:tcPr>
            <w:tcW w:w="940" w:type="pct"/>
          </w:tcPr>
          <w:p w14:paraId="55027195" w14:textId="77777777" w:rsidR="00E75956" w:rsidRPr="004C78D8" w:rsidRDefault="00E75956" w:rsidP="00FB7C1F">
            <w:pPr>
              <w:jc w:val="left"/>
              <w:rPr>
                <w:sz w:val="18"/>
                <w:szCs w:val="18"/>
                <w:lang w:val="en-US"/>
              </w:rPr>
            </w:pPr>
            <w:r w:rsidRPr="004C78D8">
              <w:rPr>
                <w:sz w:val="18"/>
                <w:szCs w:val="18"/>
              </w:rPr>
              <w:t>Comans (2009)</w:t>
            </w:r>
          </w:p>
        </w:tc>
        <w:tc>
          <w:tcPr>
            <w:tcW w:w="871" w:type="pct"/>
            <w:tcBorders>
              <w:top w:val="nil"/>
              <w:bottom w:val="nil"/>
            </w:tcBorders>
          </w:tcPr>
          <w:p w14:paraId="59CC5557" w14:textId="77777777" w:rsidR="00E75956" w:rsidRPr="004C78D8" w:rsidRDefault="00E75956" w:rsidP="00FB7C1F">
            <w:pPr>
              <w:jc w:val="left"/>
              <w:rPr>
                <w:sz w:val="18"/>
                <w:szCs w:val="18"/>
                <w:lang w:val="en-US"/>
              </w:rPr>
            </w:pPr>
            <w:r w:rsidRPr="004C78D8">
              <w:rPr>
                <w:sz w:val="18"/>
                <w:szCs w:val="18"/>
              </w:rPr>
              <w:t>Multifactorial int.</w:t>
            </w:r>
          </w:p>
        </w:tc>
        <w:tc>
          <w:tcPr>
            <w:tcW w:w="785" w:type="pct"/>
            <w:tcBorders>
              <w:top w:val="nil"/>
              <w:bottom w:val="nil"/>
            </w:tcBorders>
          </w:tcPr>
          <w:p w14:paraId="0EF2E03F" w14:textId="77777777" w:rsidR="00E75956" w:rsidRPr="004C78D8" w:rsidRDefault="00E75956" w:rsidP="00FB7C1F">
            <w:pPr>
              <w:jc w:val="left"/>
              <w:rPr>
                <w:sz w:val="18"/>
                <w:szCs w:val="18"/>
                <w:lang w:val="en-US"/>
              </w:rPr>
            </w:pPr>
            <w:r w:rsidRPr="004C78D8">
              <w:rPr>
                <w:sz w:val="18"/>
                <w:szCs w:val="18"/>
                <w:lang w:val="en-US"/>
              </w:rPr>
              <w:t xml:space="preserve">Any fall </w:t>
            </w:r>
          </w:p>
          <w:p w14:paraId="16918B1C" w14:textId="77777777" w:rsidR="00E75956" w:rsidRPr="004C78D8" w:rsidRDefault="00E75956" w:rsidP="00FB7C1F">
            <w:pPr>
              <w:jc w:val="left"/>
              <w:rPr>
                <w:sz w:val="18"/>
                <w:szCs w:val="18"/>
                <w:lang w:val="en-US"/>
              </w:rPr>
            </w:pPr>
            <w:r w:rsidRPr="004C78D8">
              <w:rPr>
                <w:sz w:val="18"/>
                <w:szCs w:val="18"/>
                <w:lang w:val="en-US"/>
              </w:rPr>
              <w:t>(any fall)</w:t>
            </w:r>
          </w:p>
        </w:tc>
        <w:tc>
          <w:tcPr>
            <w:tcW w:w="840" w:type="pct"/>
            <w:tcBorders>
              <w:top w:val="nil"/>
              <w:bottom w:val="nil"/>
            </w:tcBorders>
          </w:tcPr>
          <w:p w14:paraId="689269D1" w14:textId="77777777" w:rsidR="00E75956" w:rsidRPr="004C78D8" w:rsidRDefault="00E75956" w:rsidP="00FB7C1F">
            <w:pPr>
              <w:jc w:val="left"/>
              <w:rPr>
                <w:sz w:val="18"/>
                <w:szCs w:val="18"/>
                <w:lang w:val="en-US"/>
              </w:rPr>
            </w:pPr>
            <w:r w:rsidRPr="004C78D8">
              <w:rPr>
                <w:sz w:val="18"/>
                <w:szCs w:val="18"/>
                <w:lang w:val="en-US"/>
              </w:rPr>
              <w:t>External RCT</w:t>
            </w:r>
          </w:p>
        </w:tc>
        <w:tc>
          <w:tcPr>
            <w:tcW w:w="579" w:type="pct"/>
            <w:tcBorders>
              <w:top w:val="nil"/>
              <w:bottom w:val="nil"/>
            </w:tcBorders>
          </w:tcPr>
          <w:p w14:paraId="53F25D0D" w14:textId="77777777" w:rsidR="00E75956" w:rsidRPr="004C78D8" w:rsidRDefault="00E75956" w:rsidP="00FB7C1F">
            <w:pPr>
              <w:jc w:val="left"/>
              <w:rPr>
                <w:sz w:val="18"/>
                <w:szCs w:val="18"/>
                <w:lang w:val="en-US"/>
              </w:rPr>
            </w:pPr>
            <w:r w:rsidRPr="004C78D8">
              <w:rPr>
                <w:sz w:val="18"/>
                <w:szCs w:val="18"/>
                <w:lang w:val="en-US"/>
              </w:rPr>
              <w:t>RaR (</w:t>
            </w:r>
            <w:r w:rsidRPr="004C78D8">
              <w:rPr>
                <w:b/>
                <w:bCs/>
                <w:sz w:val="18"/>
                <w:szCs w:val="18"/>
                <w:lang w:val="en-US"/>
              </w:rPr>
              <w:t>risk &amp; rate</w:t>
            </w:r>
            <w:r w:rsidRPr="004C78D8">
              <w:rPr>
                <w:sz w:val="18"/>
                <w:szCs w:val="18"/>
                <w:lang w:val="en-US"/>
              </w:rPr>
              <w:t>)</w:t>
            </w:r>
          </w:p>
        </w:tc>
        <w:tc>
          <w:tcPr>
            <w:tcW w:w="986" w:type="pct"/>
            <w:tcBorders>
              <w:top w:val="nil"/>
              <w:bottom w:val="nil"/>
            </w:tcBorders>
          </w:tcPr>
          <w:p w14:paraId="13E8ABAB" w14:textId="77777777" w:rsidR="00E75956" w:rsidRPr="004C78D8" w:rsidRDefault="00E75956" w:rsidP="00FB7C1F">
            <w:pPr>
              <w:jc w:val="left"/>
              <w:rPr>
                <w:sz w:val="18"/>
                <w:szCs w:val="18"/>
                <w:lang w:val="en-US"/>
              </w:rPr>
            </w:pPr>
            <w:r w:rsidRPr="004C78D8">
              <w:rPr>
                <w:sz w:val="18"/>
                <w:szCs w:val="18"/>
                <w:lang w:val="en-US"/>
              </w:rPr>
              <w:t>1 year (1 year)</w:t>
            </w:r>
          </w:p>
        </w:tc>
      </w:tr>
      <w:tr w:rsidR="00E75956" w:rsidRPr="004C78D8" w14:paraId="7AF57C3B" w14:textId="77777777" w:rsidTr="002828C1">
        <w:tc>
          <w:tcPr>
            <w:tcW w:w="940" w:type="pct"/>
          </w:tcPr>
          <w:p w14:paraId="277150AF" w14:textId="77777777" w:rsidR="00E75956" w:rsidRPr="004C78D8" w:rsidRDefault="00E75956" w:rsidP="00FB7C1F">
            <w:pPr>
              <w:jc w:val="left"/>
              <w:rPr>
                <w:sz w:val="18"/>
                <w:szCs w:val="18"/>
                <w:lang w:val="en-US"/>
              </w:rPr>
            </w:pPr>
            <w:r w:rsidRPr="004C78D8">
              <w:rPr>
                <w:sz w:val="18"/>
                <w:szCs w:val="18"/>
              </w:rPr>
              <w:t>Day (2009)</w:t>
            </w:r>
          </w:p>
        </w:tc>
        <w:tc>
          <w:tcPr>
            <w:tcW w:w="871" w:type="pct"/>
            <w:tcBorders>
              <w:top w:val="nil"/>
              <w:bottom w:val="nil"/>
            </w:tcBorders>
          </w:tcPr>
          <w:p w14:paraId="4131133B" w14:textId="77777777" w:rsidR="00E75956" w:rsidRPr="004C78D8" w:rsidRDefault="00E75956" w:rsidP="00FB7C1F">
            <w:pPr>
              <w:jc w:val="left"/>
              <w:rPr>
                <w:sz w:val="18"/>
                <w:szCs w:val="18"/>
                <w:lang w:val="en-US"/>
              </w:rPr>
            </w:pPr>
            <w:r w:rsidRPr="004C78D8">
              <w:rPr>
                <w:sz w:val="18"/>
                <w:szCs w:val="18"/>
              </w:rPr>
              <w:t>Multiple types</w:t>
            </w:r>
          </w:p>
        </w:tc>
        <w:tc>
          <w:tcPr>
            <w:tcW w:w="785" w:type="pct"/>
            <w:tcBorders>
              <w:top w:val="nil"/>
              <w:bottom w:val="nil"/>
            </w:tcBorders>
          </w:tcPr>
          <w:p w14:paraId="12BB871E" w14:textId="77777777" w:rsidR="00E75956" w:rsidRPr="004C78D8" w:rsidRDefault="00E75956" w:rsidP="00FB7C1F">
            <w:pPr>
              <w:jc w:val="left"/>
              <w:rPr>
                <w:sz w:val="18"/>
                <w:szCs w:val="18"/>
                <w:lang w:val="en-US"/>
              </w:rPr>
            </w:pPr>
            <w:r w:rsidRPr="004C78D8">
              <w:rPr>
                <w:sz w:val="18"/>
                <w:szCs w:val="18"/>
                <w:lang w:val="en-US"/>
              </w:rPr>
              <w:t>Any fall</w:t>
            </w:r>
          </w:p>
          <w:p w14:paraId="3F3B44B8" w14:textId="77777777" w:rsidR="00E75956" w:rsidRPr="004C78D8" w:rsidRDefault="00E75956" w:rsidP="00FB7C1F">
            <w:pPr>
              <w:jc w:val="left"/>
              <w:rPr>
                <w:sz w:val="18"/>
                <w:szCs w:val="18"/>
                <w:lang w:val="en-US"/>
              </w:rPr>
            </w:pPr>
            <w:r w:rsidRPr="004C78D8">
              <w:rPr>
                <w:sz w:val="18"/>
                <w:szCs w:val="18"/>
                <w:lang w:val="en-US"/>
              </w:rPr>
              <w:t>(any fall)</w:t>
            </w:r>
          </w:p>
        </w:tc>
        <w:tc>
          <w:tcPr>
            <w:tcW w:w="840" w:type="pct"/>
            <w:tcBorders>
              <w:top w:val="nil"/>
              <w:bottom w:val="nil"/>
            </w:tcBorders>
          </w:tcPr>
          <w:p w14:paraId="5FC810DF" w14:textId="77777777" w:rsidR="00E75956" w:rsidRPr="004C78D8" w:rsidRDefault="00E75956" w:rsidP="00FB7C1F">
            <w:pPr>
              <w:jc w:val="left"/>
              <w:rPr>
                <w:sz w:val="18"/>
                <w:szCs w:val="18"/>
                <w:lang w:val="en-US"/>
              </w:rPr>
            </w:pPr>
            <w:r w:rsidRPr="004C78D8">
              <w:rPr>
                <w:sz w:val="18"/>
                <w:szCs w:val="18"/>
                <w:lang w:val="en-US"/>
              </w:rPr>
              <w:t>External RCTs</w:t>
            </w:r>
          </w:p>
        </w:tc>
        <w:tc>
          <w:tcPr>
            <w:tcW w:w="579" w:type="pct"/>
            <w:tcBorders>
              <w:top w:val="nil"/>
              <w:bottom w:val="nil"/>
            </w:tcBorders>
          </w:tcPr>
          <w:p w14:paraId="193C2689" w14:textId="77777777" w:rsidR="00E75956" w:rsidRPr="004C78D8" w:rsidRDefault="00E75956" w:rsidP="00FB7C1F">
            <w:pPr>
              <w:jc w:val="left"/>
              <w:rPr>
                <w:sz w:val="18"/>
                <w:szCs w:val="18"/>
                <w:lang w:val="en-US"/>
              </w:rPr>
            </w:pPr>
            <w:r w:rsidRPr="004C78D8">
              <w:rPr>
                <w:sz w:val="18"/>
                <w:szCs w:val="18"/>
                <w:lang w:val="en-US"/>
              </w:rPr>
              <w:t>RaR (rate)</w:t>
            </w:r>
          </w:p>
        </w:tc>
        <w:tc>
          <w:tcPr>
            <w:tcW w:w="986" w:type="pct"/>
            <w:tcBorders>
              <w:top w:val="nil"/>
              <w:bottom w:val="nil"/>
            </w:tcBorders>
          </w:tcPr>
          <w:p w14:paraId="339F2259" w14:textId="77777777" w:rsidR="00E75956" w:rsidRPr="004C78D8" w:rsidRDefault="00E75956" w:rsidP="00FB7C1F">
            <w:pPr>
              <w:jc w:val="left"/>
              <w:rPr>
                <w:sz w:val="18"/>
                <w:szCs w:val="18"/>
                <w:lang w:val="en-US"/>
              </w:rPr>
            </w:pPr>
            <w:r w:rsidRPr="004C78D8">
              <w:rPr>
                <w:sz w:val="18"/>
                <w:szCs w:val="18"/>
                <w:lang w:val="en-US"/>
              </w:rPr>
              <w:t>Efficacy durability same as model time (1, 2 or 5 years)</w:t>
            </w:r>
          </w:p>
        </w:tc>
      </w:tr>
      <w:tr w:rsidR="00E75956" w:rsidRPr="004C78D8" w14:paraId="02AA362B" w14:textId="77777777" w:rsidTr="002828C1">
        <w:tc>
          <w:tcPr>
            <w:tcW w:w="940" w:type="pct"/>
          </w:tcPr>
          <w:p w14:paraId="36ABE3B6" w14:textId="77777777" w:rsidR="00E75956" w:rsidRPr="004C78D8" w:rsidRDefault="00E75956" w:rsidP="00FB7C1F">
            <w:pPr>
              <w:jc w:val="left"/>
              <w:rPr>
                <w:sz w:val="18"/>
                <w:szCs w:val="18"/>
              </w:rPr>
            </w:pPr>
            <w:r w:rsidRPr="004C78D8">
              <w:rPr>
                <w:sz w:val="18"/>
                <w:szCs w:val="18"/>
              </w:rPr>
              <w:t>Day (2010)</w:t>
            </w:r>
          </w:p>
        </w:tc>
        <w:tc>
          <w:tcPr>
            <w:tcW w:w="871" w:type="pct"/>
            <w:tcBorders>
              <w:top w:val="nil"/>
              <w:bottom w:val="nil"/>
            </w:tcBorders>
          </w:tcPr>
          <w:p w14:paraId="7B4B95C1" w14:textId="77777777" w:rsidR="00E75956" w:rsidRPr="004C78D8" w:rsidRDefault="00E75956" w:rsidP="00FB7C1F">
            <w:pPr>
              <w:jc w:val="left"/>
              <w:rPr>
                <w:sz w:val="18"/>
                <w:szCs w:val="18"/>
              </w:rPr>
            </w:pPr>
            <w:r w:rsidRPr="004C78D8">
              <w:rPr>
                <w:sz w:val="18"/>
                <w:szCs w:val="18"/>
              </w:rPr>
              <w:t>Tai Chi</w:t>
            </w:r>
          </w:p>
        </w:tc>
        <w:tc>
          <w:tcPr>
            <w:tcW w:w="785" w:type="pct"/>
            <w:tcBorders>
              <w:top w:val="nil"/>
              <w:bottom w:val="nil"/>
            </w:tcBorders>
          </w:tcPr>
          <w:p w14:paraId="1DBD08BF" w14:textId="77777777" w:rsidR="00E75956" w:rsidRPr="004C78D8" w:rsidRDefault="00E75956" w:rsidP="00FB7C1F">
            <w:pPr>
              <w:jc w:val="left"/>
              <w:rPr>
                <w:sz w:val="18"/>
                <w:szCs w:val="18"/>
                <w:lang w:val="en-US"/>
              </w:rPr>
            </w:pPr>
            <w:r w:rsidRPr="004C78D8">
              <w:rPr>
                <w:sz w:val="18"/>
                <w:szCs w:val="18"/>
                <w:lang w:val="en-US"/>
              </w:rPr>
              <w:t>Any fall</w:t>
            </w:r>
          </w:p>
          <w:p w14:paraId="78055622" w14:textId="77777777" w:rsidR="00E75956" w:rsidRPr="004C78D8" w:rsidRDefault="00E75956" w:rsidP="00FB7C1F">
            <w:pPr>
              <w:jc w:val="left"/>
              <w:rPr>
                <w:sz w:val="18"/>
                <w:szCs w:val="18"/>
                <w:lang w:val="en-US"/>
              </w:rPr>
            </w:pPr>
            <w:r w:rsidRPr="004C78D8">
              <w:rPr>
                <w:sz w:val="18"/>
                <w:szCs w:val="18"/>
                <w:lang w:val="en-US"/>
              </w:rPr>
              <w:t>(any fall)</w:t>
            </w:r>
          </w:p>
        </w:tc>
        <w:tc>
          <w:tcPr>
            <w:tcW w:w="840" w:type="pct"/>
            <w:tcBorders>
              <w:top w:val="nil"/>
              <w:bottom w:val="nil"/>
            </w:tcBorders>
          </w:tcPr>
          <w:p w14:paraId="7FC652E1" w14:textId="77777777" w:rsidR="00E75956" w:rsidRPr="004C78D8" w:rsidRDefault="00E75956" w:rsidP="00FB7C1F">
            <w:pPr>
              <w:jc w:val="left"/>
              <w:rPr>
                <w:sz w:val="18"/>
                <w:szCs w:val="18"/>
                <w:lang w:val="en-US"/>
              </w:rPr>
            </w:pPr>
            <w:r w:rsidRPr="004C78D8">
              <w:rPr>
                <w:sz w:val="18"/>
                <w:szCs w:val="18"/>
                <w:lang w:val="en-US"/>
              </w:rPr>
              <w:t>External meta-an.</w:t>
            </w:r>
          </w:p>
        </w:tc>
        <w:tc>
          <w:tcPr>
            <w:tcW w:w="579" w:type="pct"/>
            <w:tcBorders>
              <w:top w:val="nil"/>
              <w:bottom w:val="nil"/>
            </w:tcBorders>
          </w:tcPr>
          <w:p w14:paraId="76667DBE" w14:textId="77777777" w:rsidR="00E75956" w:rsidRPr="004C78D8" w:rsidRDefault="00E75956" w:rsidP="00FB7C1F">
            <w:pPr>
              <w:jc w:val="left"/>
              <w:rPr>
                <w:sz w:val="18"/>
                <w:szCs w:val="18"/>
                <w:lang w:val="en-US"/>
              </w:rPr>
            </w:pPr>
            <w:r w:rsidRPr="004C78D8">
              <w:rPr>
                <w:sz w:val="18"/>
                <w:szCs w:val="18"/>
                <w:lang w:val="en-US"/>
              </w:rPr>
              <w:t>RaR (rate)</w:t>
            </w:r>
          </w:p>
        </w:tc>
        <w:tc>
          <w:tcPr>
            <w:tcW w:w="986" w:type="pct"/>
            <w:tcBorders>
              <w:top w:val="nil"/>
              <w:bottom w:val="nil"/>
            </w:tcBorders>
          </w:tcPr>
          <w:p w14:paraId="54F2D38A" w14:textId="77777777" w:rsidR="00E75956" w:rsidRPr="004C78D8" w:rsidRDefault="00E75956" w:rsidP="00FB7C1F">
            <w:pPr>
              <w:jc w:val="left"/>
              <w:rPr>
                <w:sz w:val="18"/>
                <w:szCs w:val="18"/>
                <w:lang w:val="en-US"/>
              </w:rPr>
            </w:pPr>
            <w:r w:rsidRPr="004C78D8">
              <w:rPr>
                <w:sz w:val="18"/>
                <w:szCs w:val="18"/>
                <w:lang w:val="en-US"/>
              </w:rPr>
              <w:t>1 year (1 year)</w:t>
            </w:r>
          </w:p>
        </w:tc>
      </w:tr>
      <w:tr w:rsidR="00E75956" w:rsidRPr="004C78D8" w14:paraId="546B3841" w14:textId="77777777" w:rsidTr="002828C1">
        <w:tc>
          <w:tcPr>
            <w:tcW w:w="940" w:type="pct"/>
          </w:tcPr>
          <w:p w14:paraId="56ECCBB6" w14:textId="77777777" w:rsidR="00E75956" w:rsidRPr="004C78D8" w:rsidRDefault="00E75956" w:rsidP="00FB7C1F">
            <w:pPr>
              <w:jc w:val="left"/>
              <w:rPr>
                <w:sz w:val="18"/>
                <w:szCs w:val="18"/>
              </w:rPr>
            </w:pPr>
            <w:r w:rsidRPr="004C78D8">
              <w:rPr>
                <w:sz w:val="18"/>
                <w:szCs w:val="18"/>
              </w:rPr>
              <w:t>Deverall (2018)</w:t>
            </w:r>
          </w:p>
        </w:tc>
        <w:tc>
          <w:tcPr>
            <w:tcW w:w="871" w:type="pct"/>
            <w:tcBorders>
              <w:top w:val="nil"/>
              <w:bottom w:val="nil"/>
            </w:tcBorders>
          </w:tcPr>
          <w:p w14:paraId="554FF8E2" w14:textId="77777777" w:rsidR="00E75956" w:rsidRPr="004C78D8" w:rsidRDefault="00E75956" w:rsidP="00FB7C1F">
            <w:pPr>
              <w:jc w:val="left"/>
              <w:rPr>
                <w:sz w:val="18"/>
                <w:szCs w:val="18"/>
              </w:rPr>
            </w:pPr>
            <w:r w:rsidRPr="004C78D8">
              <w:rPr>
                <w:sz w:val="18"/>
                <w:szCs w:val="18"/>
              </w:rPr>
              <w:t>Multiple exercise types</w:t>
            </w:r>
          </w:p>
        </w:tc>
        <w:tc>
          <w:tcPr>
            <w:tcW w:w="785" w:type="pct"/>
            <w:tcBorders>
              <w:top w:val="nil"/>
              <w:bottom w:val="nil"/>
            </w:tcBorders>
          </w:tcPr>
          <w:p w14:paraId="780BD8EE" w14:textId="77777777" w:rsidR="00E75956" w:rsidRPr="004C78D8" w:rsidRDefault="00E75956" w:rsidP="00FB7C1F">
            <w:pPr>
              <w:jc w:val="left"/>
              <w:rPr>
                <w:sz w:val="18"/>
                <w:szCs w:val="18"/>
                <w:lang w:val="en-US"/>
              </w:rPr>
            </w:pPr>
            <w:r w:rsidRPr="004C78D8">
              <w:rPr>
                <w:sz w:val="18"/>
                <w:szCs w:val="18"/>
                <w:lang w:val="en-US"/>
              </w:rPr>
              <w:t xml:space="preserve">Any fall </w:t>
            </w:r>
          </w:p>
          <w:p w14:paraId="798E12B3" w14:textId="77777777" w:rsidR="00E75956" w:rsidRPr="004C78D8" w:rsidRDefault="00E75956" w:rsidP="00FB7C1F">
            <w:pPr>
              <w:jc w:val="left"/>
              <w:rPr>
                <w:sz w:val="18"/>
                <w:szCs w:val="18"/>
                <w:lang w:val="en-US"/>
              </w:rPr>
            </w:pPr>
            <w:r w:rsidRPr="004C78D8">
              <w:rPr>
                <w:sz w:val="18"/>
                <w:szCs w:val="18"/>
                <w:lang w:val="en-US"/>
              </w:rPr>
              <w:t>(</w:t>
            </w:r>
            <w:r w:rsidRPr="004C78D8">
              <w:rPr>
                <w:b/>
                <w:bCs/>
                <w:sz w:val="18"/>
                <w:szCs w:val="18"/>
                <w:lang w:val="en-US"/>
              </w:rPr>
              <w:t>MA fall</w:t>
            </w:r>
            <w:r w:rsidRPr="004C78D8">
              <w:rPr>
                <w:sz w:val="18"/>
                <w:szCs w:val="18"/>
                <w:lang w:val="en-US"/>
              </w:rPr>
              <w:t>)</w:t>
            </w:r>
          </w:p>
        </w:tc>
        <w:tc>
          <w:tcPr>
            <w:tcW w:w="840" w:type="pct"/>
            <w:tcBorders>
              <w:top w:val="nil"/>
              <w:bottom w:val="nil"/>
            </w:tcBorders>
          </w:tcPr>
          <w:p w14:paraId="5A706120" w14:textId="77777777" w:rsidR="00E75956" w:rsidRPr="004C78D8" w:rsidRDefault="00E75956" w:rsidP="00FB7C1F">
            <w:pPr>
              <w:jc w:val="left"/>
              <w:rPr>
                <w:sz w:val="18"/>
                <w:szCs w:val="18"/>
                <w:lang w:val="en-US"/>
              </w:rPr>
            </w:pPr>
            <w:r w:rsidRPr="004C78D8">
              <w:rPr>
                <w:sz w:val="18"/>
                <w:szCs w:val="18"/>
                <w:lang w:val="en-US"/>
              </w:rPr>
              <w:t>External meta-an.</w:t>
            </w:r>
          </w:p>
        </w:tc>
        <w:tc>
          <w:tcPr>
            <w:tcW w:w="579" w:type="pct"/>
            <w:tcBorders>
              <w:top w:val="nil"/>
              <w:bottom w:val="nil"/>
            </w:tcBorders>
          </w:tcPr>
          <w:p w14:paraId="244AEB75" w14:textId="77777777" w:rsidR="00E75956" w:rsidRPr="004C78D8" w:rsidRDefault="00E75956" w:rsidP="00FB7C1F">
            <w:pPr>
              <w:jc w:val="left"/>
              <w:rPr>
                <w:sz w:val="18"/>
                <w:szCs w:val="18"/>
                <w:lang w:val="en-US"/>
              </w:rPr>
            </w:pPr>
            <w:r w:rsidRPr="004C78D8">
              <w:rPr>
                <w:sz w:val="18"/>
                <w:szCs w:val="18"/>
                <w:lang w:val="en-US"/>
              </w:rPr>
              <w:t>RaR (</w:t>
            </w:r>
            <w:r w:rsidRPr="004C78D8">
              <w:rPr>
                <w:b/>
                <w:bCs/>
                <w:sz w:val="18"/>
                <w:szCs w:val="18"/>
                <w:lang w:val="en-US"/>
              </w:rPr>
              <w:t>risk</w:t>
            </w:r>
            <w:r w:rsidRPr="004C78D8">
              <w:rPr>
                <w:sz w:val="18"/>
                <w:szCs w:val="18"/>
                <w:lang w:val="en-US"/>
              </w:rPr>
              <w:t>)</w:t>
            </w:r>
          </w:p>
        </w:tc>
        <w:tc>
          <w:tcPr>
            <w:tcW w:w="986" w:type="pct"/>
            <w:tcBorders>
              <w:top w:val="nil"/>
              <w:bottom w:val="nil"/>
            </w:tcBorders>
          </w:tcPr>
          <w:p w14:paraId="6937B162" w14:textId="77777777" w:rsidR="00E75956" w:rsidRPr="004C78D8" w:rsidRDefault="00E75956" w:rsidP="00FB7C1F">
            <w:pPr>
              <w:jc w:val="left"/>
              <w:rPr>
                <w:sz w:val="18"/>
                <w:szCs w:val="18"/>
                <w:lang w:val="en-US"/>
              </w:rPr>
            </w:pPr>
            <w:r w:rsidRPr="004C78D8">
              <w:rPr>
                <w:sz w:val="18"/>
                <w:szCs w:val="18"/>
                <w:lang w:val="en-US"/>
              </w:rPr>
              <w:t>Varying persistence</w:t>
            </w:r>
          </w:p>
          <w:p w14:paraId="189CDA31" w14:textId="77777777" w:rsidR="00E75956" w:rsidRPr="004C78D8" w:rsidRDefault="00E75956" w:rsidP="00FB7C1F">
            <w:pPr>
              <w:jc w:val="left"/>
              <w:rPr>
                <w:sz w:val="18"/>
                <w:szCs w:val="18"/>
                <w:lang w:val="en-US"/>
              </w:rPr>
            </w:pPr>
            <w:r w:rsidRPr="004C78D8">
              <w:rPr>
                <w:sz w:val="18"/>
                <w:szCs w:val="18"/>
                <w:lang w:val="en-US"/>
              </w:rPr>
              <w:t>(25 years)</w:t>
            </w:r>
          </w:p>
        </w:tc>
      </w:tr>
      <w:tr w:rsidR="00E75956" w:rsidRPr="004C78D8" w14:paraId="078F2003" w14:textId="77777777" w:rsidTr="002828C1">
        <w:tc>
          <w:tcPr>
            <w:tcW w:w="940" w:type="pct"/>
          </w:tcPr>
          <w:p w14:paraId="305A0722" w14:textId="77777777" w:rsidR="00E75956" w:rsidRPr="004C78D8" w:rsidRDefault="00E75956" w:rsidP="00FB7C1F">
            <w:pPr>
              <w:jc w:val="left"/>
              <w:rPr>
                <w:sz w:val="18"/>
                <w:szCs w:val="18"/>
              </w:rPr>
            </w:pPr>
            <w:r w:rsidRPr="004C78D8">
              <w:rPr>
                <w:sz w:val="18"/>
                <w:szCs w:val="18"/>
              </w:rPr>
              <w:t>Eldridge (2005)</w:t>
            </w:r>
          </w:p>
        </w:tc>
        <w:tc>
          <w:tcPr>
            <w:tcW w:w="871" w:type="pct"/>
            <w:tcBorders>
              <w:top w:val="nil"/>
              <w:bottom w:val="nil"/>
            </w:tcBorders>
          </w:tcPr>
          <w:p w14:paraId="08D05DF3" w14:textId="77777777" w:rsidR="00E75956" w:rsidRPr="004C78D8" w:rsidRDefault="00E75956" w:rsidP="00FB7C1F">
            <w:pPr>
              <w:jc w:val="left"/>
              <w:rPr>
                <w:sz w:val="18"/>
                <w:szCs w:val="18"/>
              </w:rPr>
            </w:pPr>
            <w:r w:rsidRPr="004C78D8">
              <w:rPr>
                <w:sz w:val="18"/>
                <w:szCs w:val="18"/>
              </w:rPr>
              <w:t xml:space="preserve">FRAT; balance and gait int. </w:t>
            </w:r>
          </w:p>
        </w:tc>
        <w:tc>
          <w:tcPr>
            <w:tcW w:w="785" w:type="pct"/>
            <w:tcBorders>
              <w:top w:val="nil"/>
              <w:bottom w:val="nil"/>
            </w:tcBorders>
          </w:tcPr>
          <w:p w14:paraId="3CB0E867" w14:textId="77777777" w:rsidR="00E75956" w:rsidRPr="004C78D8" w:rsidRDefault="00E75956" w:rsidP="00FB7C1F">
            <w:pPr>
              <w:jc w:val="left"/>
              <w:rPr>
                <w:sz w:val="18"/>
                <w:szCs w:val="18"/>
                <w:lang w:val="en-US"/>
              </w:rPr>
            </w:pPr>
            <w:r w:rsidRPr="004C78D8">
              <w:rPr>
                <w:sz w:val="18"/>
                <w:szCs w:val="18"/>
                <w:lang w:val="en-US"/>
              </w:rPr>
              <w:t>Any fall</w:t>
            </w:r>
          </w:p>
          <w:p w14:paraId="69D088F0" w14:textId="77777777" w:rsidR="00E75956" w:rsidRPr="004C78D8" w:rsidRDefault="00E75956" w:rsidP="00FB7C1F">
            <w:pPr>
              <w:jc w:val="left"/>
              <w:rPr>
                <w:sz w:val="18"/>
                <w:szCs w:val="18"/>
                <w:lang w:val="en-US"/>
              </w:rPr>
            </w:pPr>
            <w:r w:rsidRPr="004C78D8">
              <w:rPr>
                <w:sz w:val="18"/>
                <w:szCs w:val="18"/>
                <w:lang w:val="en-US"/>
              </w:rPr>
              <w:t>(any fall)</w:t>
            </w:r>
          </w:p>
        </w:tc>
        <w:tc>
          <w:tcPr>
            <w:tcW w:w="840" w:type="pct"/>
            <w:tcBorders>
              <w:top w:val="nil"/>
              <w:bottom w:val="nil"/>
            </w:tcBorders>
          </w:tcPr>
          <w:p w14:paraId="00225102" w14:textId="77777777" w:rsidR="00E75956" w:rsidRPr="004C78D8" w:rsidRDefault="00E75956" w:rsidP="00FB7C1F">
            <w:pPr>
              <w:jc w:val="left"/>
              <w:rPr>
                <w:sz w:val="18"/>
                <w:szCs w:val="18"/>
                <w:lang w:val="en-US"/>
              </w:rPr>
            </w:pPr>
            <w:r w:rsidRPr="004C78D8">
              <w:rPr>
                <w:sz w:val="18"/>
                <w:szCs w:val="18"/>
                <w:lang w:val="en-US"/>
              </w:rPr>
              <w:t>External meta-an.</w:t>
            </w:r>
          </w:p>
        </w:tc>
        <w:tc>
          <w:tcPr>
            <w:tcW w:w="579" w:type="pct"/>
            <w:tcBorders>
              <w:top w:val="nil"/>
              <w:bottom w:val="nil"/>
            </w:tcBorders>
          </w:tcPr>
          <w:p w14:paraId="3F8A69D5" w14:textId="77777777" w:rsidR="00E75956" w:rsidRPr="004C78D8" w:rsidRDefault="00E75956" w:rsidP="00FB7C1F">
            <w:pPr>
              <w:jc w:val="left"/>
              <w:rPr>
                <w:sz w:val="18"/>
                <w:szCs w:val="18"/>
                <w:lang w:val="en-US"/>
              </w:rPr>
            </w:pPr>
            <w:r w:rsidRPr="004C78D8">
              <w:rPr>
                <w:sz w:val="18"/>
                <w:szCs w:val="18"/>
                <w:lang w:val="en-US"/>
              </w:rPr>
              <w:t>RR (risk)</w:t>
            </w:r>
          </w:p>
        </w:tc>
        <w:tc>
          <w:tcPr>
            <w:tcW w:w="986" w:type="pct"/>
            <w:tcBorders>
              <w:top w:val="nil"/>
              <w:bottom w:val="nil"/>
            </w:tcBorders>
          </w:tcPr>
          <w:p w14:paraId="3C0ADB62" w14:textId="77777777" w:rsidR="00E75956" w:rsidRPr="004C78D8" w:rsidRDefault="00E75956" w:rsidP="00FB7C1F">
            <w:pPr>
              <w:jc w:val="left"/>
              <w:rPr>
                <w:sz w:val="18"/>
                <w:szCs w:val="18"/>
                <w:lang w:val="en-US"/>
              </w:rPr>
            </w:pPr>
            <w:r w:rsidRPr="004C78D8">
              <w:rPr>
                <w:sz w:val="18"/>
                <w:szCs w:val="18"/>
                <w:lang w:val="en-US"/>
              </w:rPr>
              <w:t>Not specified (lifetime)</w:t>
            </w:r>
          </w:p>
        </w:tc>
      </w:tr>
      <w:tr w:rsidR="00E75956" w:rsidRPr="004C78D8" w14:paraId="05D5E7BE" w14:textId="77777777" w:rsidTr="002828C1">
        <w:tc>
          <w:tcPr>
            <w:tcW w:w="940" w:type="pct"/>
          </w:tcPr>
          <w:p w14:paraId="18CBCBAA" w14:textId="77777777" w:rsidR="00E75956" w:rsidRPr="004C78D8" w:rsidRDefault="00E75956" w:rsidP="00FB7C1F">
            <w:pPr>
              <w:jc w:val="left"/>
              <w:rPr>
                <w:sz w:val="18"/>
                <w:szCs w:val="18"/>
                <w:lang w:val="en-US"/>
              </w:rPr>
            </w:pPr>
            <w:r w:rsidRPr="004C78D8">
              <w:rPr>
                <w:sz w:val="18"/>
                <w:szCs w:val="18"/>
                <w:lang w:val="en-US"/>
              </w:rPr>
              <w:t>Farag (2015)</w:t>
            </w:r>
          </w:p>
        </w:tc>
        <w:tc>
          <w:tcPr>
            <w:tcW w:w="871" w:type="pct"/>
            <w:tcBorders>
              <w:top w:val="nil"/>
              <w:bottom w:val="nil"/>
            </w:tcBorders>
          </w:tcPr>
          <w:p w14:paraId="5D50F18D" w14:textId="77777777" w:rsidR="00E75956" w:rsidRPr="004C78D8" w:rsidRDefault="00E75956" w:rsidP="00FB7C1F">
            <w:pPr>
              <w:jc w:val="left"/>
              <w:rPr>
                <w:sz w:val="18"/>
                <w:szCs w:val="18"/>
                <w:lang w:val="en-US"/>
              </w:rPr>
            </w:pPr>
            <w:r w:rsidRPr="004C78D8">
              <w:rPr>
                <w:sz w:val="18"/>
                <w:szCs w:val="18"/>
                <w:lang w:val="en-US"/>
              </w:rPr>
              <w:t>Unspecified</w:t>
            </w:r>
          </w:p>
        </w:tc>
        <w:tc>
          <w:tcPr>
            <w:tcW w:w="785" w:type="pct"/>
            <w:tcBorders>
              <w:top w:val="nil"/>
              <w:bottom w:val="nil"/>
            </w:tcBorders>
          </w:tcPr>
          <w:p w14:paraId="054FA24A" w14:textId="77777777" w:rsidR="00E75956" w:rsidRPr="004C78D8" w:rsidRDefault="00E75956" w:rsidP="00FB7C1F">
            <w:pPr>
              <w:jc w:val="left"/>
              <w:rPr>
                <w:sz w:val="18"/>
                <w:szCs w:val="18"/>
                <w:lang w:val="en-US"/>
              </w:rPr>
            </w:pPr>
            <w:r w:rsidRPr="004C78D8">
              <w:rPr>
                <w:sz w:val="18"/>
                <w:szCs w:val="18"/>
                <w:lang w:val="en-US"/>
              </w:rPr>
              <w:t>Any fall</w:t>
            </w:r>
          </w:p>
          <w:p w14:paraId="5B11B238" w14:textId="77777777" w:rsidR="00E75956" w:rsidRPr="004C78D8" w:rsidRDefault="00E75956" w:rsidP="00FB7C1F">
            <w:pPr>
              <w:jc w:val="left"/>
              <w:rPr>
                <w:sz w:val="18"/>
                <w:szCs w:val="18"/>
                <w:lang w:val="en-US"/>
              </w:rPr>
            </w:pPr>
            <w:r w:rsidRPr="004C78D8">
              <w:rPr>
                <w:sz w:val="18"/>
                <w:szCs w:val="18"/>
                <w:lang w:val="en-US"/>
              </w:rPr>
              <w:t>(any fall)</w:t>
            </w:r>
          </w:p>
        </w:tc>
        <w:tc>
          <w:tcPr>
            <w:tcW w:w="840" w:type="pct"/>
            <w:tcBorders>
              <w:top w:val="nil"/>
              <w:bottom w:val="nil"/>
            </w:tcBorders>
          </w:tcPr>
          <w:p w14:paraId="50EEF72B" w14:textId="77777777" w:rsidR="00E75956" w:rsidRPr="004C78D8" w:rsidRDefault="00E75956" w:rsidP="00FB7C1F">
            <w:pPr>
              <w:jc w:val="left"/>
              <w:rPr>
                <w:sz w:val="18"/>
                <w:szCs w:val="18"/>
                <w:lang w:val="en-US"/>
              </w:rPr>
            </w:pPr>
            <w:r w:rsidRPr="004C78D8">
              <w:rPr>
                <w:sz w:val="18"/>
                <w:szCs w:val="18"/>
                <w:lang w:val="en-US"/>
              </w:rPr>
              <w:t>Assumption</w:t>
            </w:r>
          </w:p>
        </w:tc>
        <w:tc>
          <w:tcPr>
            <w:tcW w:w="579" w:type="pct"/>
            <w:tcBorders>
              <w:top w:val="nil"/>
              <w:bottom w:val="nil"/>
            </w:tcBorders>
          </w:tcPr>
          <w:p w14:paraId="7A8D0AE1" w14:textId="77777777" w:rsidR="00E75956" w:rsidRPr="004C78D8" w:rsidRDefault="00E75956" w:rsidP="00FB7C1F">
            <w:pPr>
              <w:jc w:val="left"/>
              <w:rPr>
                <w:sz w:val="18"/>
                <w:szCs w:val="18"/>
                <w:lang w:val="en-US"/>
              </w:rPr>
            </w:pPr>
            <w:r w:rsidRPr="004C78D8">
              <w:rPr>
                <w:sz w:val="18"/>
                <w:szCs w:val="18"/>
                <w:lang w:val="en-US"/>
              </w:rPr>
              <w:t>RR (risk)</w:t>
            </w:r>
          </w:p>
        </w:tc>
        <w:tc>
          <w:tcPr>
            <w:tcW w:w="986" w:type="pct"/>
            <w:tcBorders>
              <w:top w:val="nil"/>
              <w:bottom w:val="nil"/>
            </w:tcBorders>
          </w:tcPr>
          <w:p w14:paraId="0FE746E9" w14:textId="77777777" w:rsidR="00E75956" w:rsidRPr="004C78D8" w:rsidRDefault="00E75956" w:rsidP="00FB7C1F">
            <w:pPr>
              <w:jc w:val="left"/>
              <w:rPr>
                <w:sz w:val="18"/>
                <w:szCs w:val="18"/>
                <w:lang w:val="en-US"/>
              </w:rPr>
            </w:pPr>
            <w:r w:rsidRPr="004C78D8">
              <w:rPr>
                <w:sz w:val="18"/>
                <w:szCs w:val="18"/>
                <w:lang w:val="en-US"/>
              </w:rPr>
              <w:t>Not specified</w:t>
            </w:r>
          </w:p>
          <w:p w14:paraId="36982526" w14:textId="77777777" w:rsidR="00E75956" w:rsidRPr="004C78D8" w:rsidRDefault="00E75956" w:rsidP="00FB7C1F">
            <w:pPr>
              <w:jc w:val="left"/>
              <w:rPr>
                <w:sz w:val="18"/>
                <w:szCs w:val="18"/>
                <w:lang w:val="en-US"/>
              </w:rPr>
            </w:pPr>
            <w:r w:rsidRPr="004C78D8">
              <w:rPr>
                <w:sz w:val="18"/>
                <w:szCs w:val="18"/>
                <w:lang w:val="en-US"/>
              </w:rPr>
              <w:t>(lifetime)</w:t>
            </w:r>
          </w:p>
        </w:tc>
      </w:tr>
      <w:tr w:rsidR="00E75956" w:rsidRPr="004C78D8" w14:paraId="209299CE" w14:textId="77777777" w:rsidTr="002828C1">
        <w:tc>
          <w:tcPr>
            <w:tcW w:w="940" w:type="pct"/>
          </w:tcPr>
          <w:p w14:paraId="7A281BB1" w14:textId="77777777" w:rsidR="00E75956" w:rsidRPr="004C78D8" w:rsidRDefault="00E75956" w:rsidP="00FB7C1F">
            <w:pPr>
              <w:jc w:val="left"/>
              <w:rPr>
                <w:sz w:val="18"/>
                <w:szCs w:val="18"/>
                <w:lang w:val="en-US"/>
              </w:rPr>
            </w:pPr>
            <w:r w:rsidRPr="004C78D8">
              <w:rPr>
                <w:sz w:val="18"/>
                <w:szCs w:val="18"/>
                <w:lang w:val="en-US"/>
              </w:rPr>
              <w:t>Franklin (2019)</w:t>
            </w:r>
          </w:p>
        </w:tc>
        <w:tc>
          <w:tcPr>
            <w:tcW w:w="871" w:type="pct"/>
            <w:tcBorders>
              <w:top w:val="nil"/>
              <w:bottom w:val="nil"/>
            </w:tcBorders>
          </w:tcPr>
          <w:p w14:paraId="6FBB53ED" w14:textId="77777777" w:rsidR="00E75956" w:rsidRPr="004C78D8" w:rsidRDefault="00E75956" w:rsidP="00FB7C1F">
            <w:pPr>
              <w:jc w:val="left"/>
              <w:rPr>
                <w:sz w:val="18"/>
                <w:szCs w:val="18"/>
                <w:lang w:val="en-US"/>
              </w:rPr>
            </w:pPr>
            <w:r w:rsidRPr="004C78D8">
              <w:rPr>
                <w:sz w:val="18"/>
                <w:szCs w:val="18"/>
                <w:lang w:val="en-US"/>
              </w:rPr>
              <w:t>Multiple types</w:t>
            </w:r>
          </w:p>
        </w:tc>
        <w:tc>
          <w:tcPr>
            <w:tcW w:w="785" w:type="pct"/>
            <w:tcBorders>
              <w:top w:val="nil"/>
              <w:bottom w:val="nil"/>
            </w:tcBorders>
          </w:tcPr>
          <w:p w14:paraId="008FAA68" w14:textId="77777777" w:rsidR="00E75956" w:rsidRPr="004C78D8" w:rsidRDefault="00E75956" w:rsidP="00FB7C1F">
            <w:pPr>
              <w:jc w:val="left"/>
              <w:rPr>
                <w:sz w:val="18"/>
                <w:szCs w:val="18"/>
                <w:lang w:val="en-US"/>
              </w:rPr>
            </w:pPr>
            <w:r w:rsidRPr="004C78D8">
              <w:rPr>
                <w:sz w:val="18"/>
                <w:szCs w:val="18"/>
                <w:lang w:val="en-US"/>
              </w:rPr>
              <w:t xml:space="preserve">Any fall </w:t>
            </w:r>
          </w:p>
          <w:p w14:paraId="2288FC46" w14:textId="77777777" w:rsidR="00E75956" w:rsidRPr="004C78D8" w:rsidRDefault="00E75956" w:rsidP="00FB7C1F">
            <w:pPr>
              <w:jc w:val="left"/>
              <w:rPr>
                <w:sz w:val="18"/>
                <w:szCs w:val="18"/>
                <w:lang w:val="en-US"/>
              </w:rPr>
            </w:pPr>
            <w:r w:rsidRPr="004C78D8">
              <w:rPr>
                <w:sz w:val="18"/>
                <w:szCs w:val="18"/>
                <w:lang w:val="en-US"/>
              </w:rPr>
              <w:t>(any fall)</w:t>
            </w:r>
          </w:p>
        </w:tc>
        <w:tc>
          <w:tcPr>
            <w:tcW w:w="840" w:type="pct"/>
            <w:tcBorders>
              <w:top w:val="nil"/>
              <w:bottom w:val="nil"/>
            </w:tcBorders>
          </w:tcPr>
          <w:p w14:paraId="7C42CE83" w14:textId="77777777" w:rsidR="00E75956" w:rsidRPr="004C78D8" w:rsidRDefault="00E75956" w:rsidP="00FB7C1F">
            <w:pPr>
              <w:jc w:val="left"/>
              <w:rPr>
                <w:sz w:val="18"/>
                <w:szCs w:val="18"/>
                <w:lang w:val="en-US"/>
              </w:rPr>
            </w:pPr>
            <w:r w:rsidRPr="004C78D8">
              <w:rPr>
                <w:sz w:val="18"/>
                <w:szCs w:val="18"/>
                <w:lang w:val="en-US"/>
              </w:rPr>
              <w:t>External meta-an. and RCTs</w:t>
            </w:r>
          </w:p>
        </w:tc>
        <w:tc>
          <w:tcPr>
            <w:tcW w:w="579" w:type="pct"/>
            <w:tcBorders>
              <w:top w:val="nil"/>
              <w:bottom w:val="nil"/>
            </w:tcBorders>
          </w:tcPr>
          <w:p w14:paraId="29F96F11" w14:textId="77777777" w:rsidR="00E75956" w:rsidRPr="004C78D8" w:rsidRDefault="00E75956" w:rsidP="00FB7C1F">
            <w:pPr>
              <w:jc w:val="left"/>
              <w:rPr>
                <w:sz w:val="18"/>
                <w:szCs w:val="18"/>
                <w:lang w:val="en-US"/>
              </w:rPr>
            </w:pPr>
            <w:r w:rsidRPr="004C78D8">
              <w:rPr>
                <w:sz w:val="18"/>
                <w:szCs w:val="18"/>
                <w:lang w:val="en-US"/>
              </w:rPr>
              <w:t>RR and RaR (risk &amp; rate)</w:t>
            </w:r>
          </w:p>
        </w:tc>
        <w:tc>
          <w:tcPr>
            <w:tcW w:w="986" w:type="pct"/>
            <w:tcBorders>
              <w:top w:val="nil"/>
              <w:bottom w:val="nil"/>
            </w:tcBorders>
          </w:tcPr>
          <w:p w14:paraId="61269798" w14:textId="77777777" w:rsidR="00E75956" w:rsidRPr="004C78D8" w:rsidRDefault="00E75956" w:rsidP="00FB7C1F">
            <w:pPr>
              <w:jc w:val="left"/>
              <w:rPr>
                <w:sz w:val="18"/>
                <w:szCs w:val="18"/>
                <w:lang w:val="en-US"/>
              </w:rPr>
            </w:pPr>
            <w:r w:rsidRPr="004C78D8">
              <w:rPr>
                <w:sz w:val="18"/>
                <w:szCs w:val="18"/>
                <w:lang w:val="en-US"/>
              </w:rPr>
              <w:t>1 year (2 years)</w:t>
            </w:r>
          </w:p>
        </w:tc>
      </w:tr>
      <w:tr w:rsidR="00E75956" w:rsidRPr="004C78D8" w14:paraId="31160304" w14:textId="77777777" w:rsidTr="002828C1">
        <w:tc>
          <w:tcPr>
            <w:tcW w:w="940" w:type="pct"/>
          </w:tcPr>
          <w:p w14:paraId="332349C8" w14:textId="77777777" w:rsidR="00E75956" w:rsidRPr="004C78D8" w:rsidRDefault="00E75956" w:rsidP="00FB7C1F">
            <w:pPr>
              <w:jc w:val="left"/>
              <w:rPr>
                <w:sz w:val="18"/>
                <w:szCs w:val="18"/>
                <w:lang w:val="en-US"/>
              </w:rPr>
            </w:pPr>
            <w:r w:rsidRPr="004C78D8">
              <w:rPr>
                <w:sz w:val="18"/>
                <w:szCs w:val="18"/>
              </w:rPr>
              <w:t>Frick (2010)</w:t>
            </w:r>
          </w:p>
        </w:tc>
        <w:tc>
          <w:tcPr>
            <w:tcW w:w="871" w:type="pct"/>
            <w:tcBorders>
              <w:top w:val="nil"/>
              <w:bottom w:val="nil"/>
            </w:tcBorders>
          </w:tcPr>
          <w:p w14:paraId="6BD23E3E" w14:textId="77777777" w:rsidR="00E75956" w:rsidRPr="004C78D8" w:rsidRDefault="00E75956" w:rsidP="00FB7C1F">
            <w:pPr>
              <w:jc w:val="left"/>
              <w:rPr>
                <w:sz w:val="18"/>
                <w:szCs w:val="18"/>
                <w:lang w:val="en-US"/>
              </w:rPr>
            </w:pPr>
            <w:r w:rsidRPr="004C78D8">
              <w:rPr>
                <w:sz w:val="18"/>
                <w:szCs w:val="18"/>
              </w:rPr>
              <w:t>Multiple types</w:t>
            </w:r>
          </w:p>
        </w:tc>
        <w:tc>
          <w:tcPr>
            <w:tcW w:w="785" w:type="pct"/>
            <w:tcBorders>
              <w:top w:val="nil"/>
              <w:bottom w:val="nil"/>
            </w:tcBorders>
          </w:tcPr>
          <w:p w14:paraId="7BAAC063" w14:textId="77777777" w:rsidR="00E75956" w:rsidRPr="004C78D8" w:rsidRDefault="00E75956" w:rsidP="00FB7C1F">
            <w:pPr>
              <w:jc w:val="left"/>
              <w:rPr>
                <w:sz w:val="18"/>
                <w:szCs w:val="18"/>
                <w:lang w:val="en-US"/>
              </w:rPr>
            </w:pPr>
            <w:r w:rsidRPr="004C78D8">
              <w:rPr>
                <w:sz w:val="18"/>
                <w:szCs w:val="18"/>
                <w:lang w:val="en-US"/>
              </w:rPr>
              <w:t>Any fall</w:t>
            </w:r>
          </w:p>
          <w:p w14:paraId="60A39D82" w14:textId="77777777" w:rsidR="00E75956" w:rsidRPr="004C78D8" w:rsidRDefault="00E75956" w:rsidP="00FB7C1F">
            <w:pPr>
              <w:jc w:val="left"/>
              <w:rPr>
                <w:sz w:val="18"/>
                <w:szCs w:val="18"/>
                <w:lang w:val="en-US"/>
              </w:rPr>
            </w:pPr>
            <w:r w:rsidRPr="004C78D8">
              <w:rPr>
                <w:sz w:val="18"/>
                <w:szCs w:val="18"/>
                <w:lang w:val="en-US"/>
              </w:rPr>
              <w:t>(</w:t>
            </w:r>
            <w:r w:rsidRPr="004C78D8">
              <w:rPr>
                <w:b/>
                <w:bCs/>
                <w:sz w:val="18"/>
                <w:szCs w:val="18"/>
                <w:lang w:val="en-US"/>
              </w:rPr>
              <w:t>hip fracture</w:t>
            </w:r>
            <w:r w:rsidRPr="004C78D8">
              <w:rPr>
                <w:sz w:val="18"/>
                <w:szCs w:val="18"/>
                <w:lang w:val="en-US"/>
              </w:rPr>
              <w:t>)</w:t>
            </w:r>
          </w:p>
        </w:tc>
        <w:tc>
          <w:tcPr>
            <w:tcW w:w="840" w:type="pct"/>
            <w:tcBorders>
              <w:top w:val="nil"/>
              <w:bottom w:val="nil"/>
            </w:tcBorders>
          </w:tcPr>
          <w:p w14:paraId="7FDE74B1" w14:textId="77777777" w:rsidR="00E75956" w:rsidRPr="004C78D8" w:rsidRDefault="00E75956" w:rsidP="00FB7C1F">
            <w:pPr>
              <w:jc w:val="left"/>
              <w:rPr>
                <w:sz w:val="18"/>
                <w:szCs w:val="18"/>
                <w:lang w:val="en-US"/>
              </w:rPr>
            </w:pPr>
            <w:r w:rsidRPr="004C78D8">
              <w:rPr>
                <w:sz w:val="18"/>
                <w:szCs w:val="18"/>
                <w:lang w:val="en-US"/>
              </w:rPr>
              <w:t>External meta-an.</w:t>
            </w:r>
          </w:p>
        </w:tc>
        <w:tc>
          <w:tcPr>
            <w:tcW w:w="579" w:type="pct"/>
            <w:tcBorders>
              <w:top w:val="nil"/>
              <w:bottom w:val="nil"/>
            </w:tcBorders>
          </w:tcPr>
          <w:p w14:paraId="142F9CCB" w14:textId="77777777" w:rsidR="00E75956" w:rsidRPr="004C78D8" w:rsidRDefault="00E75956" w:rsidP="00FB7C1F">
            <w:pPr>
              <w:jc w:val="left"/>
              <w:rPr>
                <w:sz w:val="18"/>
                <w:szCs w:val="18"/>
                <w:lang w:val="en-US"/>
              </w:rPr>
            </w:pPr>
            <w:r w:rsidRPr="004C78D8">
              <w:rPr>
                <w:sz w:val="18"/>
                <w:szCs w:val="18"/>
                <w:lang w:val="en-US"/>
              </w:rPr>
              <w:t>RR (risk)</w:t>
            </w:r>
          </w:p>
        </w:tc>
        <w:tc>
          <w:tcPr>
            <w:tcW w:w="986" w:type="pct"/>
            <w:tcBorders>
              <w:top w:val="nil"/>
              <w:bottom w:val="nil"/>
            </w:tcBorders>
          </w:tcPr>
          <w:p w14:paraId="019EE035" w14:textId="77777777" w:rsidR="00E75956" w:rsidRPr="004C78D8" w:rsidRDefault="00E75956" w:rsidP="00FB7C1F">
            <w:pPr>
              <w:jc w:val="left"/>
              <w:rPr>
                <w:sz w:val="18"/>
                <w:szCs w:val="18"/>
                <w:lang w:val="en-US"/>
              </w:rPr>
            </w:pPr>
            <w:r w:rsidRPr="004C78D8">
              <w:rPr>
                <w:sz w:val="18"/>
                <w:szCs w:val="18"/>
                <w:lang w:val="en-US"/>
              </w:rPr>
              <w:t>1 year</w:t>
            </w:r>
          </w:p>
          <w:p w14:paraId="470BF72B" w14:textId="592E2557" w:rsidR="00E75956" w:rsidRPr="004C78D8" w:rsidRDefault="00E75956" w:rsidP="00FB7C1F">
            <w:pPr>
              <w:jc w:val="left"/>
              <w:rPr>
                <w:sz w:val="18"/>
                <w:szCs w:val="18"/>
                <w:lang w:val="en-US"/>
              </w:rPr>
            </w:pPr>
            <w:r w:rsidRPr="004C78D8">
              <w:rPr>
                <w:sz w:val="18"/>
                <w:szCs w:val="18"/>
                <w:lang w:val="en-US"/>
              </w:rPr>
              <w:t>(1 year</w:t>
            </w:r>
            <w:r w:rsidR="00EE7A8E" w:rsidRPr="004C78D8">
              <w:rPr>
                <w:sz w:val="18"/>
                <w:szCs w:val="18"/>
                <w:vertAlign w:val="superscript"/>
                <w:lang w:val="en-US"/>
              </w:rPr>
              <w:t>5</w:t>
            </w:r>
            <w:r w:rsidRPr="004C78D8">
              <w:rPr>
                <w:sz w:val="18"/>
                <w:szCs w:val="18"/>
                <w:lang w:val="en-US"/>
              </w:rPr>
              <w:t>)</w:t>
            </w:r>
          </w:p>
        </w:tc>
      </w:tr>
      <w:tr w:rsidR="00E75956" w:rsidRPr="004C78D8" w14:paraId="4A391E52" w14:textId="77777777" w:rsidTr="002828C1">
        <w:tc>
          <w:tcPr>
            <w:tcW w:w="940" w:type="pct"/>
          </w:tcPr>
          <w:p w14:paraId="347E7FF4" w14:textId="77777777" w:rsidR="00E75956" w:rsidRPr="004C78D8" w:rsidRDefault="00E75956" w:rsidP="00FB7C1F">
            <w:pPr>
              <w:jc w:val="left"/>
              <w:rPr>
                <w:sz w:val="18"/>
                <w:szCs w:val="18"/>
                <w:lang w:val="en-US"/>
              </w:rPr>
            </w:pPr>
            <w:r w:rsidRPr="004C78D8">
              <w:rPr>
                <w:sz w:val="18"/>
                <w:szCs w:val="18"/>
                <w:lang w:val="en-US"/>
              </w:rPr>
              <w:t>Hektoen (2009)</w:t>
            </w:r>
          </w:p>
        </w:tc>
        <w:tc>
          <w:tcPr>
            <w:tcW w:w="871" w:type="pct"/>
            <w:tcBorders>
              <w:top w:val="nil"/>
              <w:bottom w:val="nil"/>
            </w:tcBorders>
          </w:tcPr>
          <w:p w14:paraId="73FF82C3" w14:textId="77777777" w:rsidR="00E75956" w:rsidRPr="004C78D8" w:rsidRDefault="00E75956" w:rsidP="00FB7C1F">
            <w:pPr>
              <w:jc w:val="left"/>
              <w:rPr>
                <w:sz w:val="18"/>
                <w:szCs w:val="18"/>
                <w:lang w:val="en-US"/>
              </w:rPr>
            </w:pPr>
            <w:r w:rsidRPr="004C78D8">
              <w:rPr>
                <w:sz w:val="18"/>
                <w:szCs w:val="18"/>
                <w:lang w:val="en-US"/>
              </w:rPr>
              <w:t>Home exercise</w:t>
            </w:r>
          </w:p>
        </w:tc>
        <w:tc>
          <w:tcPr>
            <w:tcW w:w="785" w:type="pct"/>
            <w:tcBorders>
              <w:top w:val="nil"/>
              <w:bottom w:val="nil"/>
            </w:tcBorders>
          </w:tcPr>
          <w:p w14:paraId="2C486BDA" w14:textId="77777777" w:rsidR="00E75956" w:rsidRPr="004C78D8" w:rsidRDefault="00E75956" w:rsidP="00FB7C1F">
            <w:pPr>
              <w:jc w:val="left"/>
              <w:rPr>
                <w:sz w:val="18"/>
                <w:szCs w:val="18"/>
                <w:lang w:val="en-US"/>
              </w:rPr>
            </w:pPr>
            <w:r w:rsidRPr="004C78D8">
              <w:rPr>
                <w:sz w:val="18"/>
                <w:szCs w:val="18"/>
                <w:lang w:val="en-US"/>
              </w:rPr>
              <w:t>Any fall</w:t>
            </w:r>
          </w:p>
          <w:p w14:paraId="715E4B28" w14:textId="77777777" w:rsidR="00E75956" w:rsidRPr="004C78D8" w:rsidRDefault="00E75956" w:rsidP="00FB7C1F">
            <w:pPr>
              <w:jc w:val="left"/>
              <w:rPr>
                <w:sz w:val="18"/>
                <w:szCs w:val="18"/>
                <w:lang w:val="en-US"/>
              </w:rPr>
            </w:pPr>
            <w:r w:rsidRPr="004C78D8">
              <w:rPr>
                <w:sz w:val="18"/>
                <w:szCs w:val="18"/>
                <w:lang w:val="en-US"/>
              </w:rPr>
              <w:t>(any fall)</w:t>
            </w:r>
          </w:p>
        </w:tc>
        <w:tc>
          <w:tcPr>
            <w:tcW w:w="840" w:type="pct"/>
            <w:tcBorders>
              <w:top w:val="nil"/>
              <w:bottom w:val="nil"/>
            </w:tcBorders>
          </w:tcPr>
          <w:p w14:paraId="497629E1" w14:textId="77777777" w:rsidR="00E75956" w:rsidRPr="004C78D8" w:rsidRDefault="00E75956" w:rsidP="00FB7C1F">
            <w:pPr>
              <w:jc w:val="left"/>
              <w:rPr>
                <w:sz w:val="18"/>
                <w:szCs w:val="18"/>
                <w:lang w:val="en-US"/>
              </w:rPr>
            </w:pPr>
            <w:r w:rsidRPr="004C78D8">
              <w:rPr>
                <w:sz w:val="18"/>
                <w:szCs w:val="18"/>
                <w:lang w:val="en-US"/>
              </w:rPr>
              <w:t>External RCT</w:t>
            </w:r>
          </w:p>
        </w:tc>
        <w:tc>
          <w:tcPr>
            <w:tcW w:w="579" w:type="pct"/>
            <w:tcBorders>
              <w:top w:val="nil"/>
              <w:bottom w:val="nil"/>
            </w:tcBorders>
          </w:tcPr>
          <w:p w14:paraId="55316964" w14:textId="77777777" w:rsidR="00E75956" w:rsidRPr="004C78D8" w:rsidRDefault="00E75956" w:rsidP="00FB7C1F">
            <w:pPr>
              <w:jc w:val="left"/>
              <w:rPr>
                <w:sz w:val="18"/>
                <w:szCs w:val="18"/>
                <w:lang w:val="en-US"/>
              </w:rPr>
            </w:pPr>
            <w:r w:rsidRPr="004C78D8">
              <w:rPr>
                <w:sz w:val="18"/>
                <w:szCs w:val="18"/>
                <w:lang w:val="en-US"/>
              </w:rPr>
              <w:t>RaR (rate)</w:t>
            </w:r>
          </w:p>
        </w:tc>
        <w:tc>
          <w:tcPr>
            <w:tcW w:w="986" w:type="pct"/>
            <w:tcBorders>
              <w:top w:val="nil"/>
              <w:bottom w:val="nil"/>
            </w:tcBorders>
          </w:tcPr>
          <w:p w14:paraId="63A4F432" w14:textId="77777777" w:rsidR="00E75956" w:rsidRPr="004C78D8" w:rsidRDefault="00E75956" w:rsidP="00FB7C1F">
            <w:pPr>
              <w:jc w:val="left"/>
              <w:rPr>
                <w:sz w:val="18"/>
                <w:szCs w:val="18"/>
                <w:lang w:val="en-US"/>
              </w:rPr>
            </w:pPr>
            <w:r w:rsidRPr="004C78D8">
              <w:rPr>
                <w:sz w:val="18"/>
                <w:szCs w:val="18"/>
                <w:lang w:val="en-US"/>
              </w:rPr>
              <w:t>1 year (1 year)</w:t>
            </w:r>
          </w:p>
        </w:tc>
      </w:tr>
      <w:tr w:rsidR="00E75956" w:rsidRPr="004C78D8" w14:paraId="385D83DA" w14:textId="77777777" w:rsidTr="002828C1">
        <w:tc>
          <w:tcPr>
            <w:tcW w:w="940" w:type="pct"/>
          </w:tcPr>
          <w:p w14:paraId="0C4D08CF" w14:textId="77777777" w:rsidR="00E75956" w:rsidRPr="004C78D8" w:rsidRDefault="00E75956" w:rsidP="00FB7C1F">
            <w:pPr>
              <w:jc w:val="left"/>
              <w:rPr>
                <w:sz w:val="18"/>
                <w:szCs w:val="18"/>
                <w:lang w:val="en-US"/>
              </w:rPr>
            </w:pPr>
            <w:r w:rsidRPr="004C78D8">
              <w:rPr>
                <w:sz w:val="18"/>
                <w:szCs w:val="18"/>
                <w:lang w:val="en-US"/>
              </w:rPr>
              <w:t>Hiligsmann (2014)</w:t>
            </w:r>
          </w:p>
        </w:tc>
        <w:tc>
          <w:tcPr>
            <w:tcW w:w="871" w:type="pct"/>
            <w:tcBorders>
              <w:top w:val="nil"/>
              <w:bottom w:val="nil"/>
            </w:tcBorders>
          </w:tcPr>
          <w:p w14:paraId="02579896" w14:textId="77777777" w:rsidR="00E75956" w:rsidRPr="004C78D8" w:rsidRDefault="00E75956" w:rsidP="00FB7C1F">
            <w:pPr>
              <w:jc w:val="left"/>
              <w:rPr>
                <w:sz w:val="18"/>
                <w:szCs w:val="18"/>
                <w:lang w:val="en-US"/>
              </w:rPr>
            </w:pPr>
            <w:r w:rsidRPr="004C78D8">
              <w:rPr>
                <w:sz w:val="18"/>
                <w:szCs w:val="18"/>
                <w:lang w:val="en-US"/>
              </w:rPr>
              <w:t>Vit. D + calcium supplement</w:t>
            </w:r>
          </w:p>
        </w:tc>
        <w:tc>
          <w:tcPr>
            <w:tcW w:w="785" w:type="pct"/>
            <w:tcBorders>
              <w:top w:val="nil"/>
              <w:bottom w:val="nil"/>
            </w:tcBorders>
          </w:tcPr>
          <w:p w14:paraId="75856C7C" w14:textId="77777777" w:rsidR="00E75956" w:rsidRPr="004C78D8" w:rsidRDefault="00E75956" w:rsidP="00FB7C1F">
            <w:pPr>
              <w:jc w:val="left"/>
              <w:rPr>
                <w:sz w:val="18"/>
                <w:szCs w:val="18"/>
                <w:lang w:val="en-US"/>
              </w:rPr>
            </w:pPr>
            <w:r w:rsidRPr="004C78D8">
              <w:rPr>
                <w:sz w:val="18"/>
                <w:szCs w:val="18"/>
                <w:lang w:val="en-US"/>
              </w:rPr>
              <w:t>Mix fracture; (mix fracture)</w:t>
            </w:r>
          </w:p>
        </w:tc>
        <w:tc>
          <w:tcPr>
            <w:tcW w:w="840" w:type="pct"/>
            <w:tcBorders>
              <w:top w:val="nil"/>
              <w:bottom w:val="nil"/>
            </w:tcBorders>
          </w:tcPr>
          <w:p w14:paraId="1A9FC185" w14:textId="77777777" w:rsidR="00E75956" w:rsidRPr="004C78D8" w:rsidRDefault="00E75956" w:rsidP="00FB7C1F">
            <w:pPr>
              <w:jc w:val="left"/>
              <w:rPr>
                <w:sz w:val="18"/>
                <w:szCs w:val="18"/>
                <w:lang w:val="en-US"/>
              </w:rPr>
            </w:pPr>
            <w:r w:rsidRPr="004C78D8">
              <w:rPr>
                <w:sz w:val="18"/>
                <w:szCs w:val="18"/>
                <w:lang w:val="en-US"/>
              </w:rPr>
              <w:t>External meta-an.</w:t>
            </w:r>
          </w:p>
        </w:tc>
        <w:tc>
          <w:tcPr>
            <w:tcW w:w="579" w:type="pct"/>
            <w:tcBorders>
              <w:top w:val="nil"/>
              <w:bottom w:val="nil"/>
            </w:tcBorders>
          </w:tcPr>
          <w:p w14:paraId="7DCFC814" w14:textId="77777777" w:rsidR="00E75956" w:rsidRPr="004C78D8" w:rsidRDefault="00E75956" w:rsidP="00FB7C1F">
            <w:pPr>
              <w:jc w:val="left"/>
              <w:rPr>
                <w:sz w:val="18"/>
                <w:szCs w:val="18"/>
                <w:lang w:val="en-US"/>
              </w:rPr>
            </w:pPr>
            <w:r w:rsidRPr="004C78D8">
              <w:rPr>
                <w:sz w:val="18"/>
                <w:szCs w:val="18"/>
                <w:lang w:val="en-US"/>
              </w:rPr>
              <w:t>RR (risk)</w:t>
            </w:r>
          </w:p>
        </w:tc>
        <w:tc>
          <w:tcPr>
            <w:tcW w:w="986" w:type="pct"/>
            <w:tcBorders>
              <w:top w:val="nil"/>
              <w:bottom w:val="nil"/>
            </w:tcBorders>
          </w:tcPr>
          <w:p w14:paraId="273BB362" w14:textId="7C6D2EF6" w:rsidR="00E75956" w:rsidRPr="004C78D8" w:rsidRDefault="00E75956" w:rsidP="00FB7C1F">
            <w:pPr>
              <w:jc w:val="left"/>
              <w:rPr>
                <w:sz w:val="18"/>
                <w:szCs w:val="18"/>
                <w:lang w:val="en-US"/>
              </w:rPr>
            </w:pPr>
            <w:r w:rsidRPr="004C78D8">
              <w:rPr>
                <w:sz w:val="18"/>
                <w:szCs w:val="18"/>
                <w:lang w:val="en-US"/>
              </w:rPr>
              <w:t>6 years</w:t>
            </w:r>
            <w:r w:rsidR="00EE7A8E" w:rsidRPr="004C78D8">
              <w:rPr>
                <w:sz w:val="18"/>
                <w:szCs w:val="18"/>
                <w:vertAlign w:val="superscript"/>
                <w:lang w:val="en-US"/>
              </w:rPr>
              <w:t>6</w:t>
            </w:r>
            <w:r w:rsidRPr="004C78D8">
              <w:rPr>
                <w:sz w:val="18"/>
                <w:szCs w:val="18"/>
                <w:lang w:val="en-US"/>
              </w:rPr>
              <w:t xml:space="preserve"> (lifetime)</w:t>
            </w:r>
          </w:p>
        </w:tc>
      </w:tr>
      <w:tr w:rsidR="00E75956" w:rsidRPr="004C78D8" w14:paraId="047A685E" w14:textId="77777777" w:rsidTr="002828C1">
        <w:tc>
          <w:tcPr>
            <w:tcW w:w="940" w:type="pct"/>
          </w:tcPr>
          <w:p w14:paraId="76982672" w14:textId="77777777" w:rsidR="00E75956" w:rsidRPr="004C78D8" w:rsidRDefault="00E75956" w:rsidP="00FB7C1F">
            <w:pPr>
              <w:jc w:val="left"/>
              <w:rPr>
                <w:sz w:val="18"/>
                <w:szCs w:val="18"/>
                <w:lang w:val="en-US"/>
              </w:rPr>
            </w:pPr>
            <w:r w:rsidRPr="004C78D8">
              <w:rPr>
                <w:sz w:val="18"/>
                <w:szCs w:val="18"/>
                <w:lang w:val="en-US"/>
              </w:rPr>
              <w:t>Hirst (2016)</w:t>
            </w:r>
          </w:p>
        </w:tc>
        <w:tc>
          <w:tcPr>
            <w:tcW w:w="871" w:type="pct"/>
            <w:tcBorders>
              <w:top w:val="nil"/>
              <w:bottom w:val="nil"/>
            </w:tcBorders>
          </w:tcPr>
          <w:p w14:paraId="4607E4F7" w14:textId="77777777" w:rsidR="00E75956" w:rsidRPr="004C78D8" w:rsidRDefault="00E75956" w:rsidP="00FB7C1F">
            <w:pPr>
              <w:jc w:val="left"/>
              <w:rPr>
                <w:sz w:val="18"/>
                <w:szCs w:val="18"/>
                <w:lang w:val="en-US"/>
              </w:rPr>
            </w:pPr>
            <w:r w:rsidRPr="004C78D8">
              <w:rPr>
                <w:sz w:val="18"/>
                <w:szCs w:val="18"/>
                <w:lang w:val="en-US"/>
              </w:rPr>
              <w:t>Buprenorphine vs. Tramadol</w:t>
            </w:r>
          </w:p>
        </w:tc>
        <w:tc>
          <w:tcPr>
            <w:tcW w:w="785" w:type="pct"/>
            <w:tcBorders>
              <w:top w:val="nil"/>
              <w:bottom w:val="nil"/>
            </w:tcBorders>
          </w:tcPr>
          <w:p w14:paraId="37E7B3D1" w14:textId="77777777" w:rsidR="00E75956" w:rsidRPr="004C78D8" w:rsidRDefault="00E75956" w:rsidP="00FB7C1F">
            <w:pPr>
              <w:jc w:val="left"/>
              <w:rPr>
                <w:sz w:val="18"/>
                <w:szCs w:val="18"/>
                <w:lang w:val="en-US"/>
              </w:rPr>
            </w:pPr>
            <w:r w:rsidRPr="004C78D8">
              <w:rPr>
                <w:sz w:val="18"/>
                <w:szCs w:val="18"/>
                <w:lang w:val="en-US"/>
              </w:rPr>
              <w:t>Mix fracture</w:t>
            </w:r>
          </w:p>
          <w:p w14:paraId="4EEA3BD5" w14:textId="77777777" w:rsidR="00E75956" w:rsidRPr="004C78D8" w:rsidRDefault="00E75956" w:rsidP="00FB7C1F">
            <w:pPr>
              <w:jc w:val="left"/>
              <w:rPr>
                <w:sz w:val="18"/>
                <w:szCs w:val="18"/>
                <w:lang w:val="en-US"/>
              </w:rPr>
            </w:pPr>
            <w:r w:rsidRPr="004C78D8">
              <w:rPr>
                <w:sz w:val="18"/>
                <w:szCs w:val="18"/>
                <w:lang w:val="en-US"/>
              </w:rPr>
              <w:t>(mix fracture)</w:t>
            </w:r>
          </w:p>
        </w:tc>
        <w:tc>
          <w:tcPr>
            <w:tcW w:w="840" w:type="pct"/>
            <w:tcBorders>
              <w:top w:val="nil"/>
              <w:bottom w:val="nil"/>
            </w:tcBorders>
          </w:tcPr>
          <w:p w14:paraId="0B062B3B" w14:textId="77777777" w:rsidR="00E75956" w:rsidRPr="004C78D8" w:rsidRDefault="00E75956" w:rsidP="00FB7C1F">
            <w:pPr>
              <w:jc w:val="left"/>
              <w:rPr>
                <w:sz w:val="18"/>
                <w:szCs w:val="18"/>
                <w:lang w:val="en-US"/>
              </w:rPr>
            </w:pPr>
            <w:r w:rsidRPr="004C78D8">
              <w:rPr>
                <w:sz w:val="18"/>
                <w:szCs w:val="18"/>
                <w:lang w:val="en-US"/>
              </w:rPr>
              <w:t>External surveys</w:t>
            </w:r>
          </w:p>
        </w:tc>
        <w:tc>
          <w:tcPr>
            <w:tcW w:w="579" w:type="pct"/>
            <w:tcBorders>
              <w:top w:val="nil"/>
              <w:bottom w:val="nil"/>
            </w:tcBorders>
          </w:tcPr>
          <w:p w14:paraId="06B5298A" w14:textId="77777777" w:rsidR="00E75956" w:rsidRPr="004C78D8" w:rsidRDefault="00E75956" w:rsidP="00FB7C1F">
            <w:pPr>
              <w:jc w:val="left"/>
              <w:rPr>
                <w:sz w:val="18"/>
                <w:szCs w:val="18"/>
                <w:lang w:val="en-US"/>
              </w:rPr>
            </w:pPr>
            <w:r w:rsidRPr="004C78D8">
              <w:rPr>
                <w:sz w:val="18"/>
                <w:szCs w:val="18"/>
                <w:lang w:val="en-US"/>
              </w:rPr>
              <w:t>OR (risk)</w:t>
            </w:r>
          </w:p>
        </w:tc>
        <w:tc>
          <w:tcPr>
            <w:tcW w:w="986" w:type="pct"/>
            <w:tcBorders>
              <w:top w:val="nil"/>
              <w:bottom w:val="nil"/>
            </w:tcBorders>
          </w:tcPr>
          <w:p w14:paraId="6F0741F6" w14:textId="77777777" w:rsidR="00E75956" w:rsidRPr="004C78D8" w:rsidRDefault="00E75956" w:rsidP="00FB7C1F">
            <w:pPr>
              <w:jc w:val="left"/>
              <w:rPr>
                <w:sz w:val="18"/>
                <w:szCs w:val="18"/>
                <w:lang w:val="en-US"/>
              </w:rPr>
            </w:pPr>
            <w:r w:rsidRPr="004C78D8">
              <w:rPr>
                <w:sz w:val="18"/>
                <w:szCs w:val="18"/>
                <w:lang w:val="en-US"/>
              </w:rPr>
              <w:t>1 year (1 year)</w:t>
            </w:r>
          </w:p>
        </w:tc>
      </w:tr>
      <w:tr w:rsidR="00E75956" w:rsidRPr="004C78D8" w14:paraId="40D5C671" w14:textId="77777777" w:rsidTr="002828C1">
        <w:tc>
          <w:tcPr>
            <w:tcW w:w="940" w:type="pct"/>
          </w:tcPr>
          <w:p w14:paraId="67028423" w14:textId="77777777" w:rsidR="00E75956" w:rsidRPr="004C78D8" w:rsidRDefault="00E75956" w:rsidP="00FB7C1F">
            <w:pPr>
              <w:jc w:val="left"/>
              <w:rPr>
                <w:sz w:val="18"/>
                <w:szCs w:val="18"/>
                <w:lang w:val="en-US"/>
              </w:rPr>
            </w:pPr>
            <w:r w:rsidRPr="004C78D8">
              <w:rPr>
                <w:sz w:val="18"/>
                <w:szCs w:val="18"/>
                <w:lang w:val="en-US"/>
              </w:rPr>
              <w:t>Honkanen (2006)</w:t>
            </w:r>
          </w:p>
        </w:tc>
        <w:tc>
          <w:tcPr>
            <w:tcW w:w="871" w:type="pct"/>
            <w:tcBorders>
              <w:top w:val="nil"/>
              <w:bottom w:val="nil"/>
            </w:tcBorders>
          </w:tcPr>
          <w:p w14:paraId="66941013" w14:textId="77777777" w:rsidR="00E75956" w:rsidRPr="004C78D8" w:rsidRDefault="00E75956" w:rsidP="00FB7C1F">
            <w:pPr>
              <w:jc w:val="left"/>
              <w:rPr>
                <w:sz w:val="18"/>
                <w:szCs w:val="18"/>
                <w:lang w:val="en-US"/>
              </w:rPr>
            </w:pPr>
            <w:r w:rsidRPr="004C78D8">
              <w:rPr>
                <w:sz w:val="18"/>
                <w:szCs w:val="18"/>
                <w:lang w:val="en-US"/>
              </w:rPr>
              <w:t>Hip protector</w:t>
            </w:r>
          </w:p>
        </w:tc>
        <w:tc>
          <w:tcPr>
            <w:tcW w:w="785" w:type="pct"/>
            <w:tcBorders>
              <w:top w:val="nil"/>
              <w:bottom w:val="nil"/>
            </w:tcBorders>
          </w:tcPr>
          <w:p w14:paraId="59398F2E" w14:textId="77777777" w:rsidR="00E75956" w:rsidRPr="004C78D8" w:rsidRDefault="00E75956" w:rsidP="00FB7C1F">
            <w:pPr>
              <w:jc w:val="left"/>
              <w:rPr>
                <w:sz w:val="18"/>
                <w:szCs w:val="18"/>
                <w:lang w:val="en-US"/>
              </w:rPr>
            </w:pPr>
            <w:r w:rsidRPr="004C78D8">
              <w:rPr>
                <w:sz w:val="18"/>
                <w:szCs w:val="18"/>
                <w:lang w:val="en-US"/>
              </w:rPr>
              <w:t>Hip fracture</w:t>
            </w:r>
          </w:p>
          <w:p w14:paraId="1036AF3B" w14:textId="77777777" w:rsidR="00E75956" w:rsidRPr="004C78D8" w:rsidRDefault="00E75956" w:rsidP="00FB7C1F">
            <w:pPr>
              <w:jc w:val="left"/>
              <w:rPr>
                <w:sz w:val="18"/>
                <w:szCs w:val="18"/>
                <w:lang w:val="en-US"/>
              </w:rPr>
            </w:pPr>
            <w:r w:rsidRPr="004C78D8">
              <w:rPr>
                <w:sz w:val="18"/>
                <w:szCs w:val="18"/>
                <w:lang w:val="en-US"/>
              </w:rPr>
              <w:t>(hip fracture)</w:t>
            </w:r>
          </w:p>
        </w:tc>
        <w:tc>
          <w:tcPr>
            <w:tcW w:w="840" w:type="pct"/>
            <w:tcBorders>
              <w:top w:val="nil"/>
              <w:bottom w:val="nil"/>
            </w:tcBorders>
          </w:tcPr>
          <w:p w14:paraId="1CED23E8" w14:textId="77777777" w:rsidR="00E75956" w:rsidRPr="004C78D8" w:rsidRDefault="00E75956" w:rsidP="00FB7C1F">
            <w:pPr>
              <w:jc w:val="left"/>
              <w:rPr>
                <w:sz w:val="18"/>
                <w:szCs w:val="18"/>
                <w:lang w:val="en-US"/>
              </w:rPr>
            </w:pPr>
            <w:r w:rsidRPr="004C78D8">
              <w:rPr>
                <w:sz w:val="18"/>
                <w:szCs w:val="18"/>
                <w:lang w:val="en-US"/>
              </w:rPr>
              <w:t>External RCT</w:t>
            </w:r>
          </w:p>
        </w:tc>
        <w:tc>
          <w:tcPr>
            <w:tcW w:w="579" w:type="pct"/>
            <w:tcBorders>
              <w:top w:val="nil"/>
              <w:bottom w:val="nil"/>
            </w:tcBorders>
          </w:tcPr>
          <w:p w14:paraId="50873AF8" w14:textId="77777777" w:rsidR="00E75956" w:rsidRPr="004C78D8" w:rsidRDefault="00E75956" w:rsidP="00FB7C1F">
            <w:pPr>
              <w:jc w:val="left"/>
              <w:rPr>
                <w:sz w:val="18"/>
                <w:szCs w:val="18"/>
                <w:lang w:val="en-US"/>
              </w:rPr>
            </w:pPr>
            <w:r w:rsidRPr="004C78D8">
              <w:rPr>
                <w:sz w:val="18"/>
                <w:szCs w:val="18"/>
                <w:lang w:val="en-US"/>
              </w:rPr>
              <w:t>RR (risk)</w:t>
            </w:r>
          </w:p>
        </w:tc>
        <w:tc>
          <w:tcPr>
            <w:tcW w:w="986" w:type="pct"/>
            <w:tcBorders>
              <w:top w:val="nil"/>
              <w:bottom w:val="nil"/>
            </w:tcBorders>
          </w:tcPr>
          <w:p w14:paraId="6EEE2511" w14:textId="77777777" w:rsidR="00E75956" w:rsidRPr="004C78D8" w:rsidRDefault="00E75956" w:rsidP="00FB7C1F">
            <w:pPr>
              <w:jc w:val="left"/>
              <w:rPr>
                <w:sz w:val="18"/>
                <w:szCs w:val="18"/>
                <w:lang w:val="en-US"/>
              </w:rPr>
            </w:pPr>
            <w:r w:rsidRPr="004C78D8">
              <w:rPr>
                <w:sz w:val="18"/>
                <w:szCs w:val="18"/>
                <w:lang w:val="en-US"/>
              </w:rPr>
              <w:t>Varying persistence</w:t>
            </w:r>
          </w:p>
          <w:p w14:paraId="4110E95F" w14:textId="77777777" w:rsidR="00E75956" w:rsidRPr="004C78D8" w:rsidRDefault="00E75956" w:rsidP="00FB7C1F">
            <w:pPr>
              <w:jc w:val="left"/>
              <w:rPr>
                <w:sz w:val="18"/>
                <w:szCs w:val="18"/>
                <w:lang w:val="en-US"/>
              </w:rPr>
            </w:pPr>
            <w:r w:rsidRPr="004C78D8">
              <w:rPr>
                <w:sz w:val="18"/>
                <w:szCs w:val="18"/>
                <w:lang w:val="en-US"/>
              </w:rPr>
              <w:t>(20 years)</w:t>
            </w:r>
          </w:p>
        </w:tc>
      </w:tr>
      <w:tr w:rsidR="00E75956" w:rsidRPr="004C78D8" w14:paraId="2888621B" w14:textId="77777777" w:rsidTr="002828C1">
        <w:tc>
          <w:tcPr>
            <w:tcW w:w="940" w:type="pct"/>
          </w:tcPr>
          <w:p w14:paraId="642AAA3A" w14:textId="77777777" w:rsidR="00E75956" w:rsidRPr="004C78D8" w:rsidRDefault="00E75956" w:rsidP="00FB7C1F">
            <w:pPr>
              <w:jc w:val="left"/>
              <w:rPr>
                <w:sz w:val="18"/>
                <w:szCs w:val="18"/>
                <w:lang w:val="en-US"/>
              </w:rPr>
            </w:pPr>
            <w:r w:rsidRPr="004C78D8">
              <w:rPr>
                <w:sz w:val="18"/>
                <w:szCs w:val="18"/>
                <w:lang w:val="en-US"/>
              </w:rPr>
              <w:t>Howland (2015)</w:t>
            </w:r>
          </w:p>
        </w:tc>
        <w:tc>
          <w:tcPr>
            <w:tcW w:w="871" w:type="pct"/>
            <w:tcBorders>
              <w:top w:val="nil"/>
              <w:bottom w:val="nil"/>
            </w:tcBorders>
          </w:tcPr>
          <w:p w14:paraId="53D1505B" w14:textId="77777777" w:rsidR="00E75956" w:rsidRPr="004C78D8" w:rsidRDefault="00E75956" w:rsidP="00FB7C1F">
            <w:pPr>
              <w:jc w:val="left"/>
              <w:rPr>
                <w:sz w:val="18"/>
                <w:szCs w:val="18"/>
                <w:lang w:val="en-US"/>
              </w:rPr>
            </w:pPr>
            <w:r w:rsidRPr="004C78D8">
              <w:rPr>
                <w:sz w:val="18"/>
                <w:szCs w:val="18"/>
                <w:lang w:val="en-US"/>
              </w:rPr>
              <w:t>Matter of Balance lay-led</w:t>
            </w:r>
          </w:p>
        </w:tc>
        <w:tc>
          <w:tcPr>
            <w:tcW w:w="785" w:type="pct"/>
            <w:tcBorders>
              <w:top w:val="nil"/>
              <w:bottom w:val="nil"/>
            </w:tcBorders>
          </w:tcPr>
          <w:p w14:paraId="2004925F" w14:textId="77777777" w:rsidR="00E75956" w:rsidRPr="004C78D8" w:rsidRDefault="00E75956" w:rsidP="00FB7C1F">
            <w:pPr>
              <w:jc w:val="left"/>
              <w:rPr>
                <w:sz w:val="18"/>
                <w:szCs w:val="18"/>
                <w:lang w:val="en-US"/>
              </w:rPr>
            </w:pPr>
            <w:r w:rsidRPr="004C78D8">
              <w:rPr>
                <w:sz w:val="18"/>
                <w:szCs w:val="18"/>
                <w:lang w:val="en-US"/>
              </w:rPr>
              <w:t>MA fall</w:t>
            </w:r>
          </w:p>
          <w:p w14:paraId="6A6FFBC9" w14:textId="77777777" w:rsidR="00E75956" w:rsidRPr="004C78D8" w:rsidRDefault="00E75956" w:rsidP="00FB7C1F">
            <w:pPr>
              <w:jc w:val="left"/>
              <w:rPr>
                <w:sz w:val="18"/>
                <w:szCs w:val="18"/>
                <w:lang w:val="en-US"/>
              </w:rPr>
            </w:pPr>
            <w:r w:rsidRPr="004C78D8">
              <w:rPr>
                <w:sz w:val="18"/>
                <w:szCs w:val="18"/>
                <w:lang w:val="en-US"/>
              </w:rPr>
              <w:t>(MA fall)</w:t>
            </w:r>
          </w:p>
        </w:tc>
        <w:tc>
          <w:tcPr>
            <w:tcW w:w="840" w:type="pct"/>
            <w:tcBorders>
              <w:top w:val="nil"/>
              <w:bottom w:val="nil"/>
            </w:tcBorders>
          </w:tcPr>
          <w:p w14:paraId="651B2D7A" w14:textId="77777777" w:rsidR="00E75956" w:rsidRPr="004C78D8" w:rsidRDefault="00E75956" w:rsidP="00FB7C1F">
            <w:pPr>
              <w:jc w:val="left"/>
              <w:rPr>
                <w:sz w:val="18"/>
                <w:szCs w:val="18"/>
                <w:lang w:val="en-US"/>
              </w:rPr>
            </w:pPr>
            <w:r w:rsidRPr="004C78D8">
              <w:rPr>
                <w:sz w:val="18"/>
                <w:szCs w:val="18"/>
                <w:lang w:val="en-US"/>
              </w:rPr>
              <w:t>External RCT</w:t>
            </w:r>
          </w:p>
        </w:tc>
        <w:tc>
          <w:tcPr>
            <w:tcW w:w="579" w:type="pct"/>
            <w:tcBorders>
              <w:top w:val="nil"/>
              <w:bottom w:val="nil"/>
            </w:tcBorders>
          </w:tcPr>
          <w:p w14:paraId="5EAC8AE5" w14:textId="77777777" w:rsidR="00E75956" w:rsidRPr="004C78D8" w:rsidRDefault="00E75956" w:rsidP="00FB7C1F">
            <w:pPr>
              <w:jc w:val="left"/>
              <w:rPr>
                <w:sz w:val="18"/>
                <w:szCs w:val="18"/>
                <w:lang w:val="en-US"/>
              </w:rPr>
            </w:pPr>
            <w:r w:rsidRPr="004C78D8">
              <w:rPr>
                <w:sz w:val="18"/>
                <w:szCs w:val="18"/>
                <w:lang w:val="en-US"/>
              </w:rPr>
              <w:t>RR (risk)</w:t>
            </w:r>
          </w:p>
        </w:tc>
        <w:tc>
          <w:tcPr>
            <w:tcW w:w="986" w:type="pct"/>
            <w:tcBorders>
              <w:top w:val="nil"/>
              <w:bottom w:val="nil"/>
            </w:tcBorders>
          </w:tcPr>
          <w:p w14:paraId="1C594A69" w14:textId="77777777" w:rsidR="00E75956" w:rsidRPr="004C78D8" w:rsidRDefault="00E75956" w:rsidP="00FB7C1F">
            <w:pPr>
              <w:jc w:val="left"/>
              <w:rPr>
                <w:sz w:val="18"/>
                <w:szCs w:val="18"/>
                <w:lang w:val="en-US"/>
              </w:rPr>
            </w:pPr>
            <w:r w:rsidRPr="004C78D8">
              <w:rPr>
                <w:sz w:val="18"/>
                <w:szCs w:val="18"/>
                <w:lang w:val="en-US"/>
              </w:rPr>
              <w:t>1 year (1 year)</w:t>
            </w:r>
          </w:p>
        </w:tc>
      </w:tr>
      <w:tr w:rsidR="00E75956" w:rsidRPr="004C78D8" w14:paraId="01C0BCF2" w14:textId="77777777" w:rsidTr="002828C1">
        <w:tc>
          <w:tcPr>
            <w:tcW w:w="940" w:type="pct"/>
          </w:tcPr>
          <w:p w14:paraId="132875FC" w14:textId="77777777" w:rsidR="00E75956" w:rsidRPr="004C78D8" w:rsidRDefault="00E75956" w:rsidP="00FB7C1F">
            <w:pPr>
              <w:jc w:val="left"/>
              <w:rPr>
                <w:sz w:val="18"/>
                <w:szCs w:val="18"/>
                <w:lang w:val="en-US"/>
              </w:rPr>
            </w:pPr>
            <w:r w:rsidRPr="004C78D8">
              <w:rPr>
                <w:sz w:val="18"/>
                <w:szCs w:val="18"/>
              </w:rPr>
              <w:lastRenderedPageBreak/>
              <w:t>Ippoliti (2018)</w:t>
            </w:r>
          </w:p>
        </w:tc>
        <w:tc>
          <w:tcPr>
            <w:tcW w:w="871" w:type="pct"/>
            <w:tcBorders>
              <w:top w:val="nil"/>
              <w:bottom w:val="nil"/>
            </w:tcBorders>
          </w:tcPr>
          <w:p w14:paraId="124305AA" w14:textId="77777777" w:rsidR="00E75956" w:rsidRPr="004C78D8" w:rsidRDefault="00E75956" w:rsidP="00FB7C1F">
            <w:pPr>
              <w:jc w:val="left"/>
              <w:rPr>
                <w:sz w:val="18"/>
                <w:szCs w:val="18"/>
                <w:lang w:val="en-US"/>
              </w:rPr>
            </w:pPr>
            <w:r w:rsidRPr="004C78D8">
              <w:rPr>
                <w:sz w:val="18"/>
                <w:szCs w:val="18"/>
              </w:rPr>
              <w:t>Multifactorial int.</w:t>
            </w:r>
          </w:p>
        </w:tc>
        <w:tc>
          <w:tcPr>
            <w:tcW w:w="785" w:type="pct"/>
            <w:tcBorders>
              <w:top w:val="nil"/>
              <w:bottom w:val="nil"/>
            </w:tcBorders>
          </w:tcPr>
          <w:p w14:paraId="303CF851" w14:textId="77777777" w:rsidR="00E75956" w:rsidRPr="004C78D8" w:rsidRDefault="00E75956" w:rsidP="00FB7C1F">
            <w:pPr>
              <w:jc w:val="left"/>
              <w:rPr>
                <w:sz w:val="18"/>
                <w:szCs w:val="18"/>
                <w:lang w:val="en-US"/>
              </w:rPr>
            </w:pPr>
            <w:r w:rsidRPr="004C78D8">
              <w:rPr>
                <w:sz w:val="18"/>
                <w:szCs w:val="18"/>
                <w:lang w:val="en-US"/>
              </w:rPr>
              <w:t xml:space="preserve">Hip fracture </w:t>
            </w:r>
          </w:p>
          <w:p w14:paraId="2E0EFFB0" w14:textId="77777777" w:rsidR="00E75956" w:rsidRPr="004C78D8" w:rsidRDefault="00E75956" w:rsidP="00FB7C1F">
            <w:pPr>
              <w:jc w:val="left"/>
              <w:rPr>
                <w:sz w:val="18"/>
                <w:szCs w:val="18"/>
                <w:lang w:val="en-US"/>
              </w:rPr>
            </w:pPr>
            <w:r w:rsidRPr="004C78D8">
              <w:rPr>
                <w:sz w:val="18"/>
                <w:szCs w:val="18"/>
                <w:lang w:val="en-US"/>
              </w:rPr>
              <w:t>(hip fracture)</w:t>
            </w:r>
          </w:p>
        </w:tc>
        <w:tc>
          <w:tcPr>
            <w:tcW w:w="840" w:type="pct"/>
            <w:tcBorders>
              <w:top w:val="nil"/>
              <w:bottom w:val="nil"/>
            </w:tcBorders>
          </w:tcPr>
          <w:p w14:paraId="1073C8A0" w14:textId="77777777" w:rsidR="00E75956" w:rsidRPr="004C78D8" w:rsidRDefault="00E75956" w:rsidP="00FB7C1F">
            <w:pPr>
              <w:jc w:val="left"/>
              <w:rPr>
                <w:sz w:val="18"/>
                <w:szCs w:val="18"/>
                <w:lang w:val="en-US"/>
              </w:rPr>
            </w:pPr>
            <w:r w:rsidRPr="004C78D8">
              <w:rPr>
                <w:sz w:val="18"/>
                <w:szCs w:val="18"/>
                <w:lang w:val="en-US"/>
              </w:rPr>
              <w:t>Policy variable</w:t>
            </w:r>
          </w:p>
        </w:tc>
        <w:tc>
          <w:tcPr>
            <w:tcW w:w="579" w:type="pct"/>
            <w:tcBorders>
              <w:top w:val="nil"/>
              <w:bottom w:val="nil"/>
            </w:tcBorders>
          </w:tcPr>
          <w:p w14:paraId="44E452C1" w14:textId="77777777" w:rsidR="00E75956" w:rsidRPr="004C78D8" w:rsidRDefault="00E75956" w:rsidP="00FB7C1F">
            <w:pPr>
              <w:jc w:val="left"/>
              <w:rPr>
                <w:sz w:val="18"/>
                <w:szCs w:val="18"/>
                <w:lang w:val="en-US"/>
              </w:rPr>
            </w:pPr>
            <w:r w:rsidRPr="004C78D8">
              <w:rPr>
                <w:sz w:val="18"/>
                <w:szCs w:val="18"/>
                <w:lang w:val="en-US"/>
              </w:rPr>
              <w:t>RaR (rate)</w:t>
            </w:r>
          </w:p>
        </w:tc>
        <w:tc>
          <w:tcPr>
            <w:tcW w:w="986" w:type="pct"/>
            <w:tcBorders>
              <w:top w:val="nil"/>
              <w:bottom w:val="nil"/>
            </w:tcBorders>
          </w:tcPr>
          <w:p w14:paraId="06478B89" w14:textId="77777777" w:rsidR="00E75956" w:rsidRPr="004C78D8" w:rsidRDefault="00E75956" w:rsidP="00FB7C1F">
            <w:pPr>
              <w:jc w:val="left"/>
              <w:rPr>
                <w:sz w:val="18"/>
                <w:szCs w:val="18"/>
                <w:lang w:val="en-US"/>
              </w:rPr>
            </w:pPr>
            <w:r w:rsidRPr="004C78D8">
              <w:rPr>
                <w:sz w:val="18"/>
                <w:szCs w:val="18"/>
                <w:lang w:val="en-US"/>
              </w:rPr>
              <w:t>3 years (3 years)</w:t>
            </w:r>
          </w:p>
        </w:tc>
      </w:tr>
      <w:tr w:rsidR="00E75956" w:rsidRPr="004C78D8" w14:paraId="45FE9B0B" w14:textId="77777777" w:rsidTr="002828C1">
        <w:tc>
          <w:tcPr>
            <w:tcW w:w="940" w:type="pct"/>
          </w:tcPr>
          <w:p w14:paraId="5A1D4FE7" w14:textId="77777777" w:rsidR="00E75956" w:rsidRPr="004C78D8" w:rsidRDefault="00E75956" w:rsidP="00FB7C1F">
            <w:pPr>
              <w:jc w:val="left"/>
              <w:rPr>
                <w:sz w:val="18"/>
                <w:szCs w:val="18"/>
                <w:lang w:val="en-US"/>
              </w:rPr>
            </w:pPr>
            <w:r w:rsidRPr="004C78D8">
              <w:rPr>
                <w:sz w:val="18"/>
                <w:szCs w:val="18"/>
              </w:rPr>
              <w:t>Johansson (2008)</w:t>
            </w:r>
          </w:p>
        </w:tc>
        <w:tc>
          <w:tcPr>
            <w:tcW w:w="871" w:type="pct"/>
            <w:tcBorders>
              <w:top w:val="nil"/>
              <w:bottom w:val="nil"/>
            </w:tcBorders>
          </w:tcPr>
          <w:p w14:paraId="318F2F68" w14:textId="77777777" w:rsidR="00E75956" w:rsidRPr="004C78D8" w:rsidRDefault="00E75956" w:rsidP="00FB7C1F">
            <w:pPr>
              <w:jc w:val="left"/>
              <w:rPr>
                <w:sz w:val="18"/>
                <w:szCs w:val="18"/>
                <w:lang w:val="en-US"/>
              </w:rPr>
            </w:pPr>
            <w:r w:rsidRPr="004C78D8">
              <w:rPr>
                <w:sz w:val="18"/>
                <w:szCs w:val="18"/>
              </w:rPr>
              <w:t>Multifactorial int.</w:t>
            </w:r>
          </w:p>
        </w:tc>
        <w:tc>
          <w:tcPr>
            <w:tcW w:w="785" w:type="pct"/>
            <w:tcBorders>
              <w:top w:val="nil"/>
              <w:bottom w:val="nil"/>
            </w:tcBorders>
          </w:tcPr>
          <w:p w14:paraId="5D1A7522" w14:textId="77777777" w:rsidR="00E75956" w:rsidRPr="004C78D8" w:rsidRDefault="00E75956" w:rsidP="00FB7C1F">
            <w:pPr>
              <w:jc w:val="left"/>
              <w:rPr>
                <w:sz w:val="18"/>
                <w:szCs w:val="18"/>
                <w:lang w:val="en-US"/>
              </w:rPr>
            </w:pPr>
            <w:r w:rsidRPr="004C78D8">
              <w:rPr>
                <w:sz w:val="18"/>
                <w:szCs w:val="18"/>
                <w:lang w:val="en-US"/>
              </w:rPr>
              <w:t xml:space="preserve">Hip fracture </w:t>
            </w:r>
          </w:p>
          <w:p w14:paraId="5B0C76B6" w14:textId="77777777" w:rsidR="00E75956" w:rsidRPr="004C78D8" w:rsidRDefault="00E75956" w:rsidP="00FB7C1F">
            <w:pPr>
              <w:jc w:val="left"/>
              <w:rPr>
                <w:sz w:val="18"/>
                <w:szCs w:val="18"/>
                <w:lang w:val="en-US"/>
              </w:rPr>
            </w:pPr>
            <w:r w:rsidRPr="004C78D8">
              <w:rPr>
                <w:sz w:val="18"/>
                <w:szCs w:val="18"/>
                <w:lang w:val="en-US"/>
              </w:rPr>
              <w:t>(hip fracture)</w:t>
            </w:r>
          </w:p>
        </w:tc>
        <w:tc>
          <w:tcPr>
            <w:tcW w:w="840" w:type="pct"/>
            <w:tcBorders>
              <w:top w:val="nil"/>
              <w:bottom w:val="nil"/>
            </w:tcBorders>
          </w:tcPr>
          <w:p w14:paraId="08330A66" w14:textId="77777777" w:rsidR="00E75956" w:rsidRPr="004C78D8" w:rsidRDefault="00E75956" w:rsidP="00FB7C1F">
            <w:pPr>
              <w:jc w:val="left"/>
              <w:rPr>
                <w:sz w:val="18"/>
                <w:szCs w:val="18"/>
                <w:lang w:val="en-US"/>
              </w:rPr>
            </w:pPr>
            <w:r w:rsidRPr="004C78D8">
              <w:rPr>
                <w:sz w:val="18"/>
                <w:szCs w:val="18"/>
                <w:lang w:val="en-US"/>
              </w:rPr>
              <w:t>Internal quasi-experiment</w:t>
            </w:r>
          </w:p>
        </w:tc>
        <w:tc>
          <w:tcPr>
            <w:tcW w:w="579" w:type="pct"/>
            <w:tcBorders>
              <w:top w:val="nil"/>
              <w:bottom w:val="nil"/>
            </w:tcBorders>
          </w:tcPr>
          <w:p w14:paraId="29229C36" w14:textId="77777777" w:rsidR="00E75956" w:rsidRPr="004C78D8" w:rsidRDefault="00E75956" w:rsidP="00FB7C1F">
            <w:pPr>
              <w:jc w:val="left"/>
              <w:rPr>
                <w:sz w:val="18"/>
                <w:szCs w:val="18"/>
                <w:lang w:val="en-US"/>
              </w:rPr>
            </w:pPr>
            <w:r w:rsidRPr="004C78D8">
              <w:rPr>
                <w:sz w:val="18"/>
                <w:szCs w:val="18"/>
                <w:lang w:val="en-US"/>
              </w:rPr>
              <w:t>RaR (</w:t>
            </w:r>
            <w:r w:rsidRPr="004C78D8">
              <w:rPr>
                <w:b/>
                <w:bCs/>
                <w:sz w:val="18"/>
                <w:szCs w:val="18"/>
                <w:lang w:val="en-US"/>
              </w:rPr>
              <w:t>risk</w:t>
            </w:r>
            <w:r w:rsidRPr="004C78D8">
              <w:rPr>
                <w:sz w:val="18"/>
                <w:szCs w:val="18"/>
                <w:lang w:val="en-US"/>
              </w:rPr>
              <w:t>)</w:t>
            </w:r>
          </w:p>
        </w:tc>
        <w:tc>
          <w:tcPr>
            <w:tcW w:w="986" w:type="pct"/>
            <w:tcBorders>
              <w:top w:val="nil"/>
              <w:bottom w:val="nil"/>
            </w:tcBorders>
          </w:tcPr>
          <w:p w14:paraId="2FCF7D17" w14:textId="77777777" w:rsidR="00E75956" w:rsidRPr="004C78D8" w:rsidRDefault="00E75956" w:rsidP="00FB7C1F">
            <w:pPr>
              <w:jc w:val="left"/>
              <w:rPr>
                <w:sz w:val="18"/>
                <w:szCs w:val="18"/>
                <w:lang w:val="en-US"/>
              </w:rPr>
            </w:pPr>
            <w:r w:rsidRPr="004C78D8">
              <w:rPr>
                <w:sz w:val="18"/>
                <w:szCs w:val="18"/>
                <w:lang w:val="en-US"/>
              </w:rPr>
              <w:t>1 year (lifetime)</w:t>
            </w:r>
          </w:p>
        </w:tc>
      </w:tr>
      <w:tr w:rsidR="00E75956" w:rsidRPr="004C78D8" w14:paraId="31D9A16E" w14:textId="77777777" w:rsidTr="002828C1">
        <w:tc>
          <w:tcPr>
            <w:tcW w:w="940" w:type="pct"/>
          </w:tcPr>
          <w:p w14:paraId="538EDDF8" w14:textId="77777777" w:rsidR="00E75956" w:rsidRPr="004C78D8" w:rsidRDefault="00E75956" w:rsidP="00FB7C1F">
            <w:pPr>
              <w:jc w:val="left"/>
              <w:rPr>
                <w:sz w:val="18"/>
                <w:szCs w:val="18"/>
              </w:rPr>
            </w:pPr>
            <w:r w:rsidRPr="004C78D8">
              <w:rPr>
                <w:sz w:val="18"/>
                <w:szCs w:val="18"/>
              </w:rPr>
              <w:t>Lee (2013)</w:t>
            </w:r>
          </w:p>
        </w:tc>
        <w:tc>
          <w:tcPr>
            <w:tcW w:w="871" w:type="pct"/>
            <w:tcBorders>
              <w:top w:val="nil"/>
              <w:bottom w:val="nil"/>
            </w:tcBorders>
          </w:tcPr>
          <w:p w14:paraId="2AE65F4B" w14:textId="77777777" w:rsidR="00E75956" w:rsidRPr="004C78D8" w:rsidRDefault="00E75956" w:rsidP="00FB7C1F">
            <w:pPr>
              <w:jc w:val="left"/>
              <w:rPr>
                <w:sz w:val="18"/>
                <w:szCs w:val="18"/>
              </w:rPr>
            </w:pPr>
            <w:r w:rsidRPr="004C78D8">
              <w:rPr>
                <w:sz w:val="18"/>
                <w:szCs w:val="18"/>
              </w:rPr>
              <w:t>Vit. D screening &amp; supplement</w:t>
            </w:r>
          </w:p>
        </w:tc>
        <w:tc>
          <w:tcPr>
            <w:tcW w:w="785" w:type="pct"/>
            <w:tcBorders>
              <w:top w:val="nil"/>
              <w:bottom w:val="nil"/>
            </w:tcBorders>
          </w:tcPr>
          <w:p w14:paraId="62E27ECF" w14:textId="77777777" w:rsidR="00E75956" w:rsidRPr="004C78D8" w:rsidRDefault="00E75956" w:rsidP="00FB7C1F">
            <w:pPr>
              <w:jc w:val="left"/>
              <w:rPr>
                <w:sz w:val="18"/>
                <w:szCs w:val="18"/>
                <w:lang w:val="en-US"/>
              </w:rPr>
            </w:pPr>
            <w:r w:rsidRPr="004C78D8">
              <w:rPr>
                <w:sz w:val="18"/>
                <w:szCs w:val="18"/>
                <w:lang w:val="en-US"/>
              </w:rPr>
              <w:t>Any fall</w:t>
            </w:r>
          </w:p>
          <w:p w14:paraId="2627BEBE" w14:textId="77777777" w:rsidR="00E75956" w:rsidRPr="004C78D8" w:rsidRDefault="00E75956" w:rsidP="00FB7C1F">
            <w:pPr>
              <w:jc w:val="left"/>
              <w:rPr>
                <w:sz w:val="18"/>
                <w:szCs w:val="18"/>
                <w:lang w:val="en-US"/>
              </w:rPr>
            </w:pPr>
            <w:r w:rsidRPr="004C78D8">
              <w:rPr>
                <w:sz w:val="18"/>
                <w:szCs w:val="18"/>
                <w:lang w:val="en-US"/>
              </w:rPr>
              <w:t>(any fall)</w:t>
            </w:r>
          </w:p>
        </w:tc>
        <w:tc>
          <w:tcPr>
            <w:tcW w:w="840" w:type="pct"/>
            <w:tcBorders>
              <w:top w:val="nil"/>
              <w:bottom w:val="nil"/>
            </w:tcBorders>
          </w:tcPr>
          <w:p w14:paraId="5DCD35F2" w14:textId="77777777" w:rsidR="00E75956" w:rsidRPr="004C78D8" w:rsidRDefault="00E75956" w:rsidP="00FB7C1F">
            <w:pPr>
              <w:jc w:val="left"/>
              <w:rPr>
                <w:sz w:val="18"/>
                <w:szCs w:val="18"/>
                <w:lang w:val="en-US"/>
              </w:rPr>
            </w:pPr>
            <w:r w:rsidRPr="004C78D8">
              <w:rPr>
                <w:sz w:val="18"/>
                <w:szCs w:val="18"/>
                <w:lang w:val="en-US"/>
              </w:rPr>
              <w:t>External meta-an.</w:t>
            </w:r>
          </w:p>
        </w:tc>
        <w:tc>
          <w:tcPr>
            <w:tcW w:w="579" w:type="pct"/>
            <w:tcBorders>
              <w:top w:val="nil"/>
              <w:bottom w:val="nil"/>
            </w:tcBorders>
          </w:tcPr>
          <w:p w14:paraId="249B643A" w14:textId="77777777" w:rsidR="00E75956" w:rsidRPr="004C78D8" w:rsidRDefault="00E75956" w:rsidP="00FB7C1F">
            <w:pPr>
              <w:jc w:val="left"/>
              <w:rPr>
                <w:sz w:val="18"/>
                <w:szCs w:val="18"/>
                <w:lang w:val="en-US"/>
              </w:rPr>
            </w:pPr>
            <w:r w:rsidRPr="004C78D8">
              <w:rPr>
                <w:sz w:val="18"/>
                <w:szCs w:val="18"/>
                <w:lang w:val="en-US"/>
              </w:rPr>
              <w:t>RR (risk)</w:t>
            </w:r>
          </w:p>
        </w:tc>
        <w:tc>
          <w:tcPr>
            <w:tcW w:w="986" w:type="pct"/>
            <w:tcBorders>
              <w:top w:val="nil"/>
              <w:bottom w:val="nil"/>
            </w:tcBorders>
          </w:tcPr>
          <w:p w14:paraId="7860BA57" w14:textId="77777777" w:rsidR="00E75956" w:rsidRPr="004C78D8" w:rsidRDefault="00E75956" w:rsidP="00FB7C1F">
            <w:pPr>
              <w:jc w:val="left"/>
              <w:rPr>
                <w:sz w:val="18"/>
                <w:szCs w:val="18"/>
                <w:lang w:val="en-US"/>
              </w:rPr>
            </w:pPr>
            <w:r w:rsidRPr="004C78D8">
              <w:rPr>
                <w:sz w:val="18"/>
                <w:szCs w:val="18"/>
                <w:lang w:val="en-US"/>
              </w:rPr>
              <w:t>2.5 years (3 years)</w:t>
            </w:r>
          </w:p>
        </w:tc>
      </w:tr>
      <w:tr w:rsidR="00E75956" w:rsidRPr="004C78D8" w14:paraId="58AA164A" w14:textId="77777777" w:rsidTr="002828C1">
        <w:tc>
          <w:tcPr>
            <w:tcW w:w="940" w:type="pct"/>
          </w:tcPr>
          <w:p w14:paraId="0512BC53" w14:textId="77777777" w:rsidR="00E75956" w:rsidRPr="004C78D8" w:rsidRDefault="00E75956" w:rsidP="00FB7C1F">
            <w:pPr>
              <w:jc w:val="left"/>
              <w:rPr>
                <w:sz w:val="18"/>
                <w:szCs w:val="18"/>
              </w:rPr>
            </w:pPr>
            <w:r w:rsidRPr="004C78D8">
              <w:rPr>
                <w:sz w:val="18"/>
                <w:szCs w:val="18"/>
              </w:rPr>
              <w:t>Ling (2008)</w:t>
            </w:r>
          </w:p>
        </w:tc>
        <w:tc>
          <w:tcPr>
            <w:tcW w:w="871" w:type="pct"/>
            <w:tcBorders>
              <w:top w:val="nil"/>
              <w:bottom w:val="nil"/>
            </w:tcBorders>
          </w:tcPr>
          <w:p w14:paraId="3ACF7AF1" w14:textId="77777777" w:rsidR="00E75956" w:rsidRPr="004C78D8" w:rsidRDefault="00E75956" w:rsidP="00FB7C1F">
            <w:pPr>
              <w:jc w:val="left"/>
              <w:rPr>
                <w:sz w:val="18"/>
                <w:szCs w:val="18"/>
              </w:rPr>
            </w:pPr>
            <w:r w:rsidRPr="004C78D8">
              <w:rPr>
                <w:sz w:val="18"/>
                <w:szCs w:val="18"/>
              </w:rPr>
              <w:t>HAM</w:t>
            </w:r>
          </w:p>
        </w:tc>
        <w:tc>
          <w:tcPr>
            <w:tcW w:w="785" w:type="pct"/>
            <w:tcBorders>
              <w:top w:val="nil"/>
              <w:bottom w:val="nil"/>
            </w:tcBorders>
          </w:tcPr>
          <w:p w14:paraId="44AC51A2" w14:textId="77777777" w:rsidR="00E75956" w:rsidRPr="004C78D8" w:rsidRDefault="00E75956" w:rsidP="00FB7C1F">
            <w:pPr>
              <w:jc w:val="left"/>
              <w:rPr>
                <w:sz w:val="18"/>
                <w:szCs w:val="18"/>
                <w:lang w:val="en-US"/>
              </w:rPr>
            </w:pPr>
            <w:r w:rsidRPr="004C78D8">
              <w:rPr>
                <w:sz w:val="18"/>
                <w:szCs w:val="18"/>
                <w:lang w:val="en-US"/>
              </w:rPr>
              <w:t>Any fall</w:t>
            </w:r>
          </w:p>
          <w:p w14:paraId="21C484C7" w14:textId="77777777" w:rsidR="00E75956" w:rsidRPr="004C78D8" w:rsidRDefault="00E75956" w:rsidP="00FB7C1F">
            <w:pPr>
              <w:jc w:val="left"/>
              <w:rPr>
                <w:sz w:val="18"/>
                <w:szCs w:val="18"/>
                <w:lang w:val="en-US"/>
              </w:rPr>
            </w:pPr>
            <w:r w:rsidRPr="004C78D8">
              <w:rPr>
                <w:sz w:val="18"/>
                <w:szCs w:val="18"/>
                <w:lang w:val="en-US"/>
              </w:rPr>
              <w:t>(any fall)</w:t>
            </w:r>
          </w:p>
        </w:tc>
        <w:tc>
          <w:tcPr>
            <w:tcW w:w="840" w:type="pct"/>
            <w:tcBorders>
              <w:top w:val="nil"/>
              <w:bottom w:val="nil"/>
            </w:tcBorders>
          </w:tcPr>
          <w:p w14:paraId="0B26805E" w14:textId="77777777" w:rsidR="00E75956" w:rsidRPr="004C78D8" w:rsidRDefault="00E75956" w:rsidP="00FB7C1F">
            <w:pPr>
              <w:jc w:val="left"/>
              <w:rPr>
                <w:sz w:val="18"/>
                <w:szCs w:val="18"/>
                <w:lang w:val="en-US"/>
              </w:rPr>
            </w:pPr>
            <w:r w:rsidRPr="004C78D8">
              <w:rPr>
                <w:sz w:val="18"/>
                <w:szCs w:val="18"/>
                <w:lang w:val="en-US"/>
              </w:rPr>
              <w:t>External RCT</w:t>
            </w:r>
          </w:p>
        </w:tc>
        <w:tc>
          <w:tcPr>
            <w:tcW w:w="579" w:type="pct"/>
            <w:tcBorders>
              <w:top w:val="nil"/>
              <w:bottom w:val="nil"/>
            </w:tcBorders>
          </w:tcPr>
          <w:p w14:paraId="5F1740DB" w14:textId="77777777" w:rsidR="00E75956" w:rsidRPr="004C78D8" w:rsidRDefault="00E75956" w:rsidP="00FB7C1F">
            <w:pPr>
              <w:jc w:val="left"/>
              <w:rPr>
                <w:sz w:val="18"/>
                <w:szCs w:val="18"/>
                <w:lang w:val="en-US"/>
              </w:rPr>
            </w:pPr>
            <w:r w:rsidRPr="004C78D8">
              <w:rPr>
                <w:sz w:val="18"/>
                <w:szCs w:val="18"/>
                <w:lang w:val="en-US"/>
              </w:rPr>
              <w:t>RR (risk)</w:t>
            </w:r>
          </w:p>
        </w:tc>
        <w:tc>
          <w:tcPr>
            <w:tcW w:w="986" w:type="pct"/>
            <w:tcBorders>
              <w:top w:val="nil"/>
              <w:bottom w:val="nil"/>
            </w:tcBorders>
          </w:tcPr>
          <w:p w14:paraId="1A1FFFEE" w14:textId="77777777" w:rsidR="00E75956" w:rsidRPr="004C78D8" w:rsidRDefault="00E75956" w:rsidP="00FB7C1F">
            <w:pPr>
              <w:jc w:val="left"/>
              <w:rPr>
                <w:sz w:val="18"/>
                <w:szCs w:val="18"/>
                <w:lang w:val="en-US"/>
              </w:rPr>
            </w:pPr>
            <w:r w:rsidRPr="004C78D8">
              <w:rPr>
                <w:sz w:val="18"/>
                <w:szCs w:val="18"/>
                <w:lang w:val="en-US"/>
              </w:rPr>
              <w:t>1 year (1 year)</w:t>
            </w:r>
          </w:p>
        </w:tc>
      </w:tr>
      <w:tr w:rsidR="00E75956" w:rsidRPr="004C78D8" w14:paraId="24A16F7C" w14:textId="77777777" w:rsidTr="002828C1">
        <w:tc>
          <w:tcPr>
            <w:tcW w:w="940" w:type="pct"/>
          </w:tcPr>
          <w:p w14:paraId="10260401" w14:textId="77777777" w:rsidR="00E75956" w:rsidRPr="004C78D8" w:rsidRDefault="00E75956" w:rsidP="00FB7C1F">
            <w:pPr>
              <w:jc w:val="left"/>
              <w:rPr>
                <w:sz w:val="18"/>
                <w:szCs w:val="18"/>
              </w:rPr>
            </w:pPr>
            <w:r w:rsidRPr="004C78D8">
              <w:rPr>
                <w:sz w:val="18"/>
                <w:szCs w:val="18"/>
              </w:rPr>
              <w:t>McLean (2015)</w:t>
            </w:r>
          </w:p>
        </w:tc>
        <w:tc>
          <w:tcPr>
            <w:tcW w:w="871" w:type="pct"/>
            <w:tcBorders>
              <w:top w:val="nil"/>
              <w:bottom w:val="nil"/>
            </w:tcBorders>
          </w:tcPr>
          <w:p w14:paraId="1D745C27" w14:textId="77777777" w:rsidR="00E75956" w:rsidRPr="004C78D8" w:rsidRDefault="00E75956" w:rsidP="00FB7C1F">
            <w:pPr>
              <w:jc w:val="left"/>
              <w:rPr>
                <w:sz w:val="18"/>
                <w:szCs w:val="18"/>
              </w:rPr>
            </w:pPr>
            <w:r w:rsidRPr="004C78D8">
              <w:rPr>
                <w:sz w:val="18"/>
                <w:szCs w:val="18"/>
              </w:rPr>
              <w:t>Exercise</w:t>
            </w:r>
          </w:p>
        </w:tc>
        <w:tc>
          <w:tcPr>
            <w:tcW w:w="785" w:type="pct"/>
            <w:tcBorders>
              <w:top w:val="nil"/>
              <w:bottom w:val="nil"/>
            </w:tcBorders>
          </w:tcPr>
          <w:p w14:paraId="14000A14" w14:textId="77777777" w:rsidR="00E75956" w:rsidRPr="004C78D8" w:rsidRDefault="00E75956" w:rsidP="00FB7C1F">
            <w:pPr>
              <w:jc w:val="left"/>
              <w:rPr>
                <w:sz w:val="18"/>
                <w:szCs w:val="18"/>
                <w:lang w:val="en-US"/>
              </w:rPr>
            </w:pPr>
            <w:r w:rsidRPr="004C78D8">
              <w:rPr>
                <w:sz w:val="18"/>
                <w:szCs w:val="18"/>
                <w:lang w:val="en-US"/>
              </w:rPr>
              <w:t xml:space="preserve">Any fall </w:t>
            </w:r>
          </w:p>
          <w:p w14:paraId="608F66CC" w14:textId="77777777" w:rsidR="00E75956" w:rsidRPr="004C78D8" w:rsidRDefault="00E75956" w:rsidP="00FB7C1F">
            <w:pPr>
              <w:jc w:val="left"/>
              <w:rPr>
                <w:sz w:val="18"/>
                <w:szCs w:val="18"/>
                <w:lang w:val="en-US"/>
              </w:rPr>
            </w:pPr>
            <w:r w:rsidRPr="004C78D8">
              <w:rPr>
                <w:sz w:val="18"/>
                <w:szCs w:val="18"/>
                <w:lang w:val="en-US"/>
              </w:rPr>
              <w:t>(any fall)</w:t>
            </w:r>
          </w:p>
        </w:tc>
        <w:tc>
          <w:tcPr>
            <w:tcW w:w="840" w:type="pct"/>
            <w:tcBorders>
              <w:top w:val="nil"/>
              <w:bottom w:val="nil"/>
            </w:tcBorders>
          </w:tcPr>
          <w:p w14:paraId="78678F86" w14:textId="77777777" w:rsidR="00E75956" w:rsidRPr="004C78D8" w:rsidRDefault="00E75956" w:rsidP="00FB7C1F">
            <w:pPr>
              <w:jc w:val="left"/>
              <w:rPr>
                <w:sz w:val="18"/>
                <w:szCs w:val="18"/>
                <w:lang w:val="en-US"/>
              </w:rPr>
            </w:pPr>
            <w:r w:rsidRPr="004C78D8">
              <w:rPr>
                <w:sz w:val="18"/>
                <w:szCs w:val="18"/>
                <w:lang w:val="en-US"/>
              </w:rPr>
              <w:t>Internal RCT</w:t>
            </w:r>
          </w:p>
        </w:tc>
        <w:tc>
          <w:tcPr>
            <w:tcW w:w="579" w:type="pct"/>
            <w:tcBorders>
              <w:top w:val="nil"/>
              <w:bottom w:val="nil"/>
            </w:tcBorders>
          </w:tcPr>
          <w:p w14:paraId="37FA0BB4" w14:textId="77777777" w:rsidR="00E75956" w:rsidRPr="004C78D8" w:rsidRDefault="00E75956" w:rsidP="00FB7C1F">
            <w:pPr>
              <w:jc w:val="left"/>
              <w:rPr>
                <w:sz w:val="18"/>
                <w:szCs w:val="18"/>
                <w:lang w:val="en-US"/>
              </w:rPr>
            </w:pPr>
            <w:r w:rsidRPr="004C78D8">
              <w:rPr>
                <w:sz w:val="18"/>
                <w:szCs w:val="18"/>
                <w:lang w:val="en-US"/>
              </w:rPr>
              <w:t>RR (risk)</w:t>
            </w:r>
          </w:p>
        </w:tc>
        <w:tc>
          <w:tcPr>
            <w:tcW w:w="986" w:type="pct"/>
            <w:tcBorders>
              <w:top w:val="nil"/>
              <w:bottom w:val="nil"/>
            </w:tcBorders>
          </w:tcPr>
          <w:p w14:paraId="0E9FD455" w14:textId="77777777" w:rsidR="00E75956" w:rsidRPr="004C78D8" w:rsidRDefault="00E75956" w:rsidP="00FB7C1F">
            <w:pPr>
              <w:jc w:val="left"/>
              <w:rPr>
                <w:sz w:val="18"/>
                <w:szCs w:val="18"/>
                <w:lang w:val="en-US"/>
              </w:rPr>
            </w:pPr>
            <w:r w:rsidRPr="004C78D8">
              <w:rPr>
                <w:sz w:val="18"/>
                <w:szCs w:val="18"/>
                <w:lang w:val="en-US"/>
              </w:rPr>
              <w:t>1.5 years (1.5 years)</w:t>
            </w:r>
          </w:p>
        </w:tc>
      </w:tr>
      <w:tr w:rsidR="00E75956" w:rsidRPr="004C78D8" w14:paraId="7ACE60CB" w14:textId="77777777" w:rsidTr="002828C1">
        <w:tc>
          <w:tcPr>
            <w:tcW w:w="940" w:type="pct"/>
          </w:tcPr>
          <w:p w14:paraId="603EC123" w14:textId="77777777" w:rsidR="00E75956" w:rsidRPr="004C78D8" w:rsidRDefault="00E75956" w:rsidP="00FB7C1F">
            <w:pPr>
              <w:jc w:val="left"/>
              <w:rPr>
                <w:sz w:val="18"/>
                <w:szCs w:val="18"/>
              </w:rPr>
            </w:pPr>
            <w:r w:rsidRPr="004C78D8">
              <w:rPr>
                <w:sz w:val="18"/>
                <w:szCs w:val="18"/>
              </w:rPr>
              <w:t>Miller (2011)</w:t>
            </w:r>
          </w:p>
        </w:tc>
        <w:tc>
          <w:tcPr>
            <w:tcW w:w="871" w:type="pct"/>
            <w:tcBorders>
              <w:top w:val="nil"/>
              <w:bottom w:val="nil"/>
            </w:tcBorders>
          </w:tcPr>
          <w:p w14:paraId="6284346E" w14:textId="77777777" w:rsidR="00E75956" w:rsidRPr="004C78D8" w:rsidRDefault="00E75956" w:rsidP="00FB7C1F">
            <w:pPr>
              <w:jc w:val="left"/>
              <w:rPr>
                <w:sz w:val="18"/>
                <w:szCs w:val="18"/>
              </w:rPr>
            </w:pPr>
            <w:r w:rsidRPr="004C78D8">
              <w:rPr>
                <w:sz w:val="18"/>
                <w:szCs w:val="18"/>
              </w:rPr>
              <w:t>Matter of Balance lay-led</w:t>
            </w:r>
          </w:p>
        </w:tc>
        <w:tc>
          <w:tcPr>
            <w:tcW w:w="785" w:type="pct"/>
            <w:tcBorders>
              <w:top w:val="nil"/>
              <w:bottom w:val="nil"/>
            </w:tcBorders>
          </w:tcPr>
          <w:p w14:paraId="04DC3C34" w14:textId="77777777" w:rsidR="00E75956" w:rsidRPr="004C78D8" w:rsidRDefault="00E75956" w:rsidP="00FB7C1F">
            <w:pPr>
              <w:jc w:val="left"/>
              <w:rPr>
                <w:sz w:val="18"/>
                <w:szCs w:val="18"/>
                <w:lang w:val="en-US"/>
              </w:rPr>
            </w:pPr>
            <w:r w:rsidRPr="004C78D8">
              <w:rPr>
                <w:sz w:val="18"/>
                <w:szCs w:val="18"/>
                <w:lang w:val="en-US"/>
              </w:rPr>
              <w:t>Any fall</w:t>
            </w:r>
          </w:p>
          <w:p w14:paraId="0FFE3B02" w14:textId="77777777" w:rsidR="00E75956" w:rsidRPr="004C78D8" w:rsidRDefault="00E75956" w:rsidP="00FB7C1F">
            <w:pPr>
              <w:jc w:val="left"/>
              <w:rPr>
                <w:sz w:val="18"/>
                <w:szCs w:val="18"/>
                <w:lang w:val="en-US"/>
              </w:rPr>
            </w:pPr>
            <w:r w:rsidRPr="004C78D8">
              <w:rPr>
                <w:sz w:val="18"/>
                <w:szCs w:val="18"/>
                <w:lang w:val="en-US"/>
              </w:rPr>
              <w:t>(any fall)</w:t>
            </w:r>
          </w:p>
        </w:tc>
        <w:tc>
          <w:tcPr>
            <w:tcW w:w="840" w:type="pct"/>
            <w:tcBorders>
              <w:top w:val="nil"/>
              <w:bottom w:val="nil"/>
            </w:tcBorders>
          </w:tcPr>
          <w:p w14:paraId="272A8455" w14:textId="77777777" w:rsidR="00E75956" w:rsidRPr="004C78D8" w:rsidRDefault="00E75956" w:rsidP="00FB7C1F">
            <w:pPr>
              <w:jc w:val="left"/>
              <w:rPr>
                <w:sz w:val="18"/>
                <w:szCs w:val="18"/>
                <w:lang w:val="en-US"/>
              </w:rPr>
            </w:pPr>
            <w:r w:rsidRPr="004C78D8">
              <w:rPr>
                <w:sz w:val="18"/>
                <w:szCs w:val="18"/>
                <w:lang w:val="en-US"/>
              </w:rPr>
              <w:t>Policy variable</w:t>
            </w:r>
          </w:p>
        </w:tc>
        <w:tc>
          <w:tcPr>
            <w:tcW w:w="579" w:type="pct"/>
            <w:tcBorders>
              <w:top w:val="nil"/>
              <w:bottom w:val="nil"/>
            </w:tcBorders>
          </w:tcPr>
          <w:p w14:paraId="25238B18" w14:textId="77777777" w:rsidR="00E75956" w:rsidRPr="004C78D8" w:rsidRDefault="00E75956" w:rsidP="00FB7C1F">
            <w:pPr>
              <w:jc w:val="left"/>
              <w:rPr>
                <w:sz w:val="18"/>
                <w:szCs w:val="18"/>
                <w:lang w:val="en-US"/>
              </w:rPr>
            </w:pPr>
            <w:r w:rsidRPr="004C78D8">
              <w:rPr>
                <w:sz w:val="18"/>
                <w:szCs w:val="18"/>
                <w:lang w:val="en-US"/>
              </w:rPr>
              <w:t>RR (risk)</w:t>
            </w:r>
          </w:p>
        </w:tc>
        <w:tc>
          <w:tcPr>
            <w:tcW w:w="986" w:type="pct"/>
            <w:tcBorders>
              <w:top w:val="nil"/>
              <w:bottom w:val="nil"/>
            </w:tcBorders>
          </w:tcPr>
          <w:p w14:paraId="5F9BE5DE" w14:textId="77777777" w:rsidR="00E75956" w:rsidRPr="004C78D8" w:rsidRDefault="00E75956" w:rsidP="00FB7C1F">
            <w:pPr>
              <w:jc w:val="left"/>
              <w:rPr>
                <w:sz w:val="18"/>
                <w:szCs w:val="18"/>
                <w:lang w:val="en-US"/>
              </w:rPr>
            </w:pPr>
            <w:r w:rsidRPr="004C78D8">
              <w:rPr>
                <w:sz w:val="18"/>
                <w:szCs w:val="18"/>
                <w:lang w:val="en-US"/>
              </w:rPr>
              <w:t>2 years (2 years)</w:t>
            </w:r>
          </w:p>
        </w:tc>
      </w:tr>
      <w:tr w:rsidR="00E75956" w:rsidRPr="004C78D8" w14:paraId="7939557D" w14:textId="77777777" w:rsidTr="002828C1">
        <w:tc>
          <w:tcPr>
            <w:tcW w:w="940" w:type="pct"/>
          </w:tcPr>
          <w:p w14:paraId="5A644235" w14:textId="77777777" w:rsidR="00E75956" w:rsidRPr="004C78D8" w:rsidRDefault="00E75956" w:rsidP="00FB7C1F">
            <w:pPr>
              <w:jc w:val="left"/>
              <w:rPr>
                <w:sz w:val="18"/>
                <w:szCs w:val="18"/>
              </w:rPr>
            </w:pPr>
            <w:r w:rsidRPr="004C78D8">
              <w:rPr>
                <w:sz w:val="18"/>
                <w:szCs w:val="18"/>
              </w:rPr>
              <w:t>Mori (2017)</w:t>
            </w:r>
          </w:p>
        </w:tc>
        <w:tc>
          <w:tcPr>
            <w:tcW w:w="871" w:type="pct"/>
            <w:tcBorders>
              <w:top w:val="nil"/>
              <w:bottom w:val="nil"/>
            </w:tcBorders>
          </w:tcPr>
          <w:p w14:paraId="534CCBD6" w14:textId="77777777" w:rsidR="00E75956" w:rsidRPr="004C78D8" w:rsidRDefault="00E75956" w:rsidP="00FB7C1F">
            <w:pPr>
              <w:jc w:val="left"/>
              <w:rPr>
                <w:sz w:val="18"/>
                <w:szCs w:val="18"/>
              </w:rPr>
            </w:pPr>
            <w:r w:rsidRPr="004C78D8">
              <w:rPr>
                <w:sz w:val="18"/>
                <w:szCs w:val="18"/>
              </w:rPr>
              <w:t>Exercise &amp; bisphosphonate</w:t>
            </w:r>
          </w:p>
        </w:tc>
        <w:tc>
          <w:tcPr>
            <w:tcW w:w="785" w:type="pct"/>
            <w:tcBorders>
              <w:top w:val="nil"/>
              <w:bottom w:val="nil"/>
            </w:tcBorders>
          </w:tcPr>
          <w:p w14:paraId="4434AFC0" w14:textId="77777777" w:rsidR="00E75956" w:rsidRPr="004C78D8" w:rsidRDefault="00E75956" w:rsidP="00FB7C1F">
            <w:pPr>
              <w:jc w:val="left"/>
              <w:rPr>
                <w:sz w:val="18"/>
                <w:szCs w:val="18"/>
                <w:lang w:val="en-US"/>
              </w:rPr>
            </w:pPr>
            <w:r w:rsidRPr="004C78D8">
              <w:rPr>
                <w:sz w:val="18"/>
                <w:szCs w:val="18"/>
                <w:lang w:val="en-US"/>
              </w:rPr>
              <w:t>Mix fracture</w:t>
            </w:r>
          </w:p>
          <w:p w14:paraId="34473EE1" w14:textId="77777777" w:rsidR="00E75956" w:rsidRPr="004C78D8" w:rsidRDefault="00E75956" w:rsidP="00FB7C1F">
            <w:pPr>
              <w:jc w:val="left"/>
              <w:rPr>
                <w:sz w:val="18"/>
                <w:szCs w:val="18"/>
                <w:lang w:val="en-US"/>
              </w:rPr>
            </w:pPr>
            <w:r w:rsidRPr="004C78D8">
              <w:rPr>
                <w:sz w:val="18"/>
                <w:szCs w:val="18"/>
                <w:lang w:val="en-US"/>
              </w:rPr>
              <w:t>(mix fracture)</w:t>
            </w:r>
          </w:p>
        </w:tc>
        <w:tc>
          <w:tcPr>
            <w:tcW w:w="840" w:type="pct"/>
            <w:tcBorders>
              <w:top w:val="nil"/>
              <w:bottom w:val="nil"/>
            </w:tcBorders>
          </w:tcPr>
          <w:p w14:paraId="2C440752" w14:textId="77777777" w:rsidR="00E75956" w:rsidRPr="004C78D8" w:rsidRDefault="00E75956" w:rsidP="00FB7C1F">
            <w:pPr>
              <w:jc w:val="left"/>
              <w:rPr>
                <w:sz w:val="18"/>
                <w:szCs w:val="18"/>
                <w:lang w:val="en-US"/>
              </w:rPr>
            </w:pPr>
            <w:r w:rsidRPr="004C78D8">
              <w:rPr>
                <w:sz w:val="18"/>
                <w:szCs w:val="18"/>
                <w:lang w:val="en-US"/>
              </w:rPr>
              <w:t>External meta-analyses</w:t>
            </w:r>
          </w:p>
        </w:tc>
        <w:tc>
          <w:tcPr>
            <w:tcW w:w="579" w:type="pct"/>
            <w:tcBorders>
              <w:top w:val="nil"/>
              <w:bottom w:val="nil"/>
            </w:tcBorders>
          </w:tcPr>
          <w:p w14:paraId="48D99680" w14:textId="77777777" w:rsidR="00E75956" w:rsidRPr="004C78D8" w:rsidRDefault="00E75956" w:rsidP="00FB7C1F">
            <w:pPr>
              <w:jc w:val="left"/>
              <w:rPr>
                <w:sz w:val="18"/>
                <w:szCs w:val="18"/>
                <w:lang w:val="en-US"/>
              </w:rPr>
            </w:pPr>
            <w:r w:rsidRPr="004C78D8">
              <w:rPr>
                <w:sz w:val="18"/>
                <w:szCs w:val="18"/>
                <w:lang w:val="en-US"/>
              </w:rPr>
              <w:t>RR or RaR (</w:t>
            </w:r>
            <w:r w:rsidRPr="004C78D8">
              <w:rPr>
                <w:b/>
                <w:bCs/>
                <w:sz w:val="18"/>
                <w:szCs w:val="18"/>
                <w:lang w:val="en-US"/>
              </w:rPr>
              <w:t>risk</w:t>
            </w:r>
            <w:r w:rsidRPr="004C78D8">
              <w:rPr>
                <w:sz w:val="18"/>
                <w:szCs w:val="18"/>
                <w:lang w:val="en-US"/>
              </w:rPr>
              <w:t>)</w:t>
            </w:r>
          </w:p>
        </w:tc>
        <w:tc>
          <w:tcPr>
            <w:tcW w:w="986" w:type="pct"/>
            <w:tcBorders>
              <w:top w:val="nil"/>
              <w:bottom w:val="nil"/>
            </w:tcBorders>
          </w:tcPr>
          <w:p w14:paraId="5E6F91CD" w14:textId="77777777" w:rsidR="00E75956" w:rsidRPr="004C78D8" w:rsidRDefault="00E75956" w:rsidP="00FB7C1F">
            <w:pPr>
              <w:jc w:val="left"/>
              <w:rPr>
                <w:sz w:val="18"/>
                <w:szCs w:val="18"/>
                <w:lang w:val="en-US"/>
              </w:rPr>
            </w:pPr>
            <w:r w:rsidRPr="004C78D8">
              <w:rPr>
                <w:sz w:val="18"/>
                <w:szCs w:val="18"/>
                <w:lang w:val="en-US"/>
              </w:rPr>
              <w:t>1/2 year maintenance (lifetime)</w:t>
            </w:r>
          </w:p>
        </w:tc>
      </w:tr>
      <w:tr w:rsidR="00E75956" w:rsidRPr="004C78D8" w14:paraId="49188605" w14:textId="77777777" w:rsidTr="002828C1">
        <w:tc>
          <w:tcPr>
            <w:tcW w:w="940" w:type="pct"/>
          </w:tcPr>
          <w:p w14:paraId="27918B75" w14:textId="77777777" w:rsidR="00E75956" w:rsidRPr="004C78D8" w:rsidRDefault="00E75956" w:rsidP="00FB7C1F">
            <w:pPr>
              <w:jc w:val="left"/>
              <w:rPr>
                <w:sz w:val="18"/>
                <w:szCs w:val="18"/>
              </w:rPr>
            </w:pPr>
            <w:r w:rsidRPr="004C78D8">
              <w:rPr>
                <w:sz w:val="18"/>
                <w:szCs w:val="18"/>
              </w:rPr>
              <w:t>Moriarty (2019)</w:t>
            </w:r>
          </w:p>
        </w:tc>
        <w:tc>
          <w:tcPr>
            <w:tcW w:w="871" w:type="pct"/>
            <w:tcBorders>
              <w:top w:val="nil"/>
              <w:bottom w:val="nil"/>
            </w:tcBorders>
          </w:tcPr>
          <w:p w14:paraId="159FC27A" w14:textId="77777777" w:rsidR="00E75956" w:rsidRPr="004C78D8" w:rsidRDefault="00E75956" w:rsidP="00FB7C1F">
            <w:pPr>
              <w:jc w:val="left"/>
              <w:rPr>
                <w:sz w:val="18"/>
                <w:szCs w:val="18"/>
              </w:rPr>
            </w:pPr>
            <w:r w:rsidRPr="004C78D8">
              <w:rPr>
                <w:sz w:val="18"/>
                <w:szCs w:val="18"/>
              </w:rPr>
              <w:t>Withdrawal of PIP mediations</w:t>
            </w:r>
          </w:p>
        </w:tc>
        <w:tc>
          <w:tcPr>
            <w:tcW w:w="785" w:type="pct"/>
            <w:tcBorders>
              <w:top w:val="nil"/>
              <w:bottom w:val="nil"/>
            </w:tcBorders>
          </w:tcPr>
          <w:p w14:paraId="2CF473ED" w14:textId="77777777" w:rsidR="00E75956" w:rsidRPr="004C78D8" w:rsidRDefault="00E75956" w:rsidP="00FB7C1F">
            <w:pPr>
              <w:jc w:val="left"/>
              <w:rPr>
                <w:sz w:val="18"/>
                <w:szCs w:val="18"/>
                <w:lang w:val="en-US"/>
              </w:rPr>
            </w:pPr>
            <w:r w:rsidRPr="004C78D8">
              <w:rPr>
                <w:sz w:val="18"/>
                <w:szCs w:val="18"/>
                <w:lang w:val="en-US"/>
              </w:rPr>
              <w:t>MA fall/Hip fracture (MA fall/hip fracture)</w:t>
            </w:r>
          </w:p>
        </w:tc>
        <w:tc>
          <w:tcPr>
            <w:tcW w:w="840" w:type="pct"/>
            <w:tcBorders>
              <w:top w:val="nil"/>
              <w:bottom w:val="nil"/>
            </w:tcBorders>
          </w:tcPr>
          <w:p w14:paraId="39100804" w14:textId="77777777" w:rsidR="00E75956" w:rsidRPr="004C78D8" w:rsidRDefault="00E75956" w:rsidP="00FB7C1F">
            <w:pPr>
              <w:jc w:val="left"/>
              <w:rPr>
                <w:sz w:val="18"/>
                <w:szCs w:val="18"/>
                <w:lang w:val="en-US"/>
              </w:rPr>
            </w:pPr>
            <w:r w:rsidRPr="004C78D8">
              <w:rPr>
                <w:sz w:val="18"/>
                <w:szCs w:val="18"/>
                <w:lang w:val="en-US"/>
              </w:rPr>
              <w:t>External RCTs</w:t>
            </w:r>
          </w:p>
        </w:tc>
        <w:tc>
          <w:tcPr>
            <w:tcW w:w="579" w:type="pct"/>
            <w:tcBorders>
              <w:top w:val="nil"/>
              <w:bottom w:val="nil"/>
            </w:tcBorders>
          </w:tcPr>
          <w:p w14:paraId="37104EC8" w14:textId="77777777" w:rsidR="00E75956" w:rsidRPr="004C78D8" w:rsidRDefault="00E75956" w:rsidP="00FB7C1F">
            <w:pPr>
              <w:jc w:val="left"/>
              <w:rPr>
                <w:sz w:val="18"/>
                <w:szCs w:val="18"/>
                <w:lang w:val="en-US"/>
              </w:rPr>
            </w:pPr>
            <w:r w:rsidRPr="004C78D8">
              <w:rPr>
                <w:sz w:val="18"/>
                <w:szCs w:val="18"/>
                <w:lang w:val="en-US"/>
              </w:rPr>
              <w:t>RR (risk)</w:t>
            </w:r>
          </w:p>
        </w:tc>
        <w:tc>
          <w:tcPr>
            <w:tcW w:w="986" w:type="pct"/>
            <w:tcBorders>
              <w:top w:val="nil"/>
              <w:bottom w:val="nil"/>
            </w:tcBorders>
          </w:tcPr>
          <w:p w14:paraId="07AB1385" w14:textId="77777777" w:rsidR="00E75956" w:rsidRPr="004C78D8" w:rsidRDefault="00E75956" w:rsidP="00FB7C1F">
            <w:pPr>
              <w:jc w:val="left"/>
              <w:rPr>
                <w:sz w:val="18"/>
                <w:szCs w:val="18"/>
                <w:lang w:val="en-US"/>
              </w:rPr>
            </w:pPr>
            <w:r w:rsidRPr="004C78D8">
              <w:rPr>
                <w:sz w:val="18"/>
                <w:szCs w:val="18"/>
                <w:lang w:val="en-US"/>
              </w:rPr>
              <w:t>Lifetime persistence (35 years)</w:t>
            </w:r>
          </w:p>
        </w:tc>
      </w:tr>
      <w:tr w:rsidR="00E75956" w:rsidRPr="004C78D8" w14:paraId="3EAAB4F1" w14:textId="77777777" w:rsidTr="002828C1">
        <w:tc>
          <w:tcPr>
            <w:tcW w:w="940" w:type="pct"/>
          </w:tcPr>
          <w:p w14:paraId="4CDA4A34" w14:textId="77777777" w:rsidR="00E75956" w:rsidRPr="004C78D8" w:rsidRDefault="00E75956" w:rsidP="00FB7C1F">
            <w:pPr>
              <w:jc w:val="left"/>
              <w:rPr>
                <w:sz w:val="18"/>
                <w:szCs w:val="18"/>
              </w:rPr>
            </w:pPr>
            <w:r w:rsidRPr="004C78D8">
              <w:rPr>
                <w:sz w:val="18"/>
                <w:szCs w:val="18"/>
              </w:rPr>
              <w:t>Nshimyumukiza (2013)</w:t>
            </w:r>
          </w:p>
        </w:tc>
        <w:tc>
          <w:tcPr>
            <w:tcW w:w="871" w:type="pct"/>
            <w:tcBorders>
              <w:top w:val="nil"/>
              <w:bottom w:val="nil"/>
            </w:tcBorders>
          </w:tcPr>
          <w:p w14:paraId="6D5D854E" w14:textId="77777777" w:rsidR="00E75956" w:rsidRPr="004C78D8" w:rsidRDefault="00E75956" w:rsidP="00FB7C1F">
            <w:pPr>
              <w:jc w:val="left"/>
              <w:rPr>
                <w:sz w:val="18"/>
                <w:szCs w:val="18"/>
              </w:rPr>
            </w:pPr>
            <w:r w:rsidRPr="004C78D8">
              <w:rPr>
                <w:sz w:val="18"/>
                <w:szCs w:val="18"/>
              </w:rPr>
              <w:t>Exercise, Vit. D + calcium &amp; osteoporosis int.</w:t>
            </w:r>
          </w:p>
        </w:tc>
        <w:tc>
          <w:tcPr>
            <w:tcW w:w="785" w:type="pct"/>
            <w:tcBorders>
              <w:top w:val="nil"/>
              <w:bottom w:val="nil"/>
            </w:tcBorders>
          </w:tcPr>
          <w:p w14:paraId="37CFE810" w14:textId="77777777" w:rsidR="00E75956" w:rsidRPr="004C78D8" w:rsidRDefault="00E75956" w:rsidP="00FB7C1F">
            <w:pPr>
              <w:jc w:val="left"/>
              <w:rPr>
                <w:sz w:val="18"/>
                <w:szCs w:val="18"/>
                <w:lang w:val="en-US"/>
              </w:rPr>
            </w:pPr>
            <w:r w:rsidRPr="004C78D8">
              <w:rPr>
                <w:sz w:val="18"/>
                <w:szCs w:val="18"/>
                <w:lang w:val="en-US"/>
              </w:rPr>
              <w:t>Mix fracture (mix fracture)</w:t>
            </w:r>
          </w:p>
        </w:tc>
        <w:tc>
          <w:tcPr>
            <w:tcW w:w="840" w:type="pct"/>
            <w:tcBorders>
              <w:top w:val="nil"/>
              <w:bottom w:val="nil"/>
            </w:tcBorders>
          </w:tcPr>
          <w:p w14:paraId="3E0688DA" w14:textId="77777777" w:rsidR="00E75956" w:rsidRPr="004C78D8" w:rsidRDefault="00E75956" w:rsidP="00FB7C1F">
            <w:pPr>
              <w:jc w:val="left"/>
              <w:rPr>
                <w:sz w:val="18"/>
                <w:szCs w:val="18"/>
                <w:lang w:val="en-US"/>
              </w:rPr>
            </w:pPr>
            <w:r w:rsidRPr="004C78D8">
              <w:rPr>
                <w:sz w:val="18"/>
                <w:szCs w:val="18"/>
                <w:lang w:val="en-US"/>
              </w:rPr>
              <w:t>External meta-an. &amp; surveys</w:t>
            </w:r>
          </w:p>
        </w:tc>
        <w:tc>
          <w:tcPr>
            <w:tcW w:w="579" w:type="pct"/>
            <w:tcBorders>
              <w:top w:val="nil"/>
              <w:bottom w:val="nil"/>
            </w:tcBorders>
          </w:tcPr>
          <w:p w14:paraId="1BBCE146" w14:textId="77777777" w:rsidR="00E75956" w:rsidRPr="004C78D8" w:rsidRDefault="00E75956" w:rsidP="00FB7C1F">
            <w:pPr>
              <w:jc w:val="left"/>
              <w:rPr>
                <w:sz w:val="18"/>
                <w:szCs w:val="18"/>
                <w:lang w:val="en-US"/>
              </w:rPr>
            </w:pPr>
            <w:r w:rsidRPr="004C78D8">
              <w:rPr>
                <w:sz w:val="18"/>
                <w:szCs w:val="18"/>
                <w:lang w:val="en-US"/>
              </w:rPr>
              <w:t>RR (risk)</w:t>
            </w:r>
          </w:p>
        </w:tc>
        <w:tc>
          <w:tcPr>
            <w:tcW w:w="986" w:type="pct"/>
            <w:tcBorders>
              <w:top w:val="nil"/>
              <w:bottom w:val="nil"/>
            </w:tcBorders>
          </w:tcPr>
          <w:p w14:paraId="381AF83F" w14:textId="77777777" w:rsidR="00E75956" w:rsidRPr="004C78D8" w:rsidRDefault="00E75956" w:rsidP="00FB7C1F">
            <w:pPr>
              <w:jc w:val="left"/>
              <w:rPr>
                <w:sz w:val="18"/>
                <w:szCs w:val="18"/>
                <w:lang w:val="en-US"/>
              </w:rPr>
            </w:pPr>
            <w:r w:rsidRPr="004C78D8">
              <w:rPr>
                <w:sz w:val="18"/>
                <w:szCs w:val="18"/>
                <w:lang w:val="en-US"/>
              </w:rPr>
              <w:t>Lifetime sustainability</w:t>
            </w:r>
          </w:p>
          <w:p w14:paraId="7DB25D1A" w14:textId="77777777" w:rsidR="00E75956" w:rsidRPr="004C78D8" w:rsidRDefault="00E75956" w:rsidP="00FB7C1F">
            <w:pPr>
              <w:jc w:val="left"/>
              <w:rPr>
                <w:sz w:val="18"/>
                <w:szCs w:val="18"/>
                <w:lang w:val="en-US"/>
              </w:rPr>
            </w:pPr>
            <w:r w:rsidRPr="004C78D8">
              <w:rPr>
                <w:sz w:val="18"/>
                <w:szCs w:val="18"/>
                <w:lang w:val="en-US"/>
              </w:rPr>
              <w:t>(lifetime)</w:t>
            </w:r>
          </w:p>
        </w:tc>
      </w:tr>
      <w:tr w:rsidR="00E75956" w:rsidRPr="004C78D8" w14:paraId="75FFBEC3" w14:textId="77777777" w:rsidTr="002828C1">
        <w:tc>
          <w:tcPr>
            <w:tcW w:w="940" w:type="pct"/>
          </w:tcPr>
          <w:p w14:paraId="35EC5D30" w14:textId="77777777" w:rsidR="00E75956" w:rsidRPr="004C78D8" w:rsidRDefault="00E75956" w:rsidP="00FB7C1F">
            <w:pPr>
              <w:jc w:val="left"/>
              <w:rPr>
                <w:sz w:val="18"/>
                <w:szCs w:val="18"/>
              </w:rPr>
            </w:pPr>
            <w:r w:rsidRPr="004C78D8">
              <w:rPr>
                <w:sz w:val="18"/>
                <w:szCs w:val="18"/>
              </w:rPr>
              <w:t>OMAS (2008)</w:t>
            </w:r>
          </w:p>
        </w:tc>
        <w:tc>
          <w:tcPr>
            <w:tcW w:w="871" w:type="pct"/>
            <w:tcBorders>
              <w:top w:val="nil"/>
              <w:bottom w:val="nil"/>
            </w:tcBorders>
          </w:tcPr>
          <w:p w14:paraId="47BFD9E5" w14:textId="77777777" w:rsidR="00E75956" w:rsidRPr="004C78D8" w:rsidRDefault="00E75956" w:rsidP="00FB7C1F">
            <w:pPr>
              <w:jc w:val="left"/>
              <w:rPr>
                <w:sz w:val="18"/>
                <w:szCs w:val="18"/>
              </w:rPr>
            </w:pPr>
            <w:r w:rsidRPr="004C78D8">
              <w:rPr>
                <w:sz w:val="18"/>
                <w:szCs w:val="18"/>
              </w:rPr>
              <w:t>Multiple types</w:t>
            </w:r>
          </w:p>
        </w:tc>
        <w:tc>
          <w:tcPr>
            <w:tcW w:w="785" w:type="pct"/>
            <w:tcBorders>
              <w:top w:val="nil"/>
              <w:bottom w:val="nil"/>
            </w:tcBorders>
          </w:tcPr>
          <w:p w14:paraId="26170FC4" w14:textId="77777777" w:rsidR="00E75956" w:rsidRPr="004C78D8" w:rsidRDefault="00E75956" w:rsidP="00FB7C1F">
            <w:pPr>
              <w:jc w:val="left"/>
              <w:rPr>
                <w:sz w:val="18"/>
                <w:szCs w:val="18"/>
                <w:lang w:val="en-US"/>
              </w:rPr>
            </w:pPr>
            <w:r w:rsidRPr="004C78D8">
              <w:rPr>
                <w:sz w:val="18"/>
                <w:szCs w:val="18"/>
                <w:lang w:val="en-US"/>
              </w:rPr>
              <w:t>Any fall</w:t>
            </w:r>
          </w:p>
          <w:p w14:paraId="5DC4A96B" w14:textId="77777777" w:rsidR="00E75956" w:rsidRPr="004C78D8" w:rsidRDefault="00E75956" w:rsidP="00FB7C1F">
            <w:pPr>
              <w:jc w:val="left"/>
              <w:rPr>
                <w:sz w:val="18"/>
                <w:szCs w:val="18"/>
                <w:lang w:val="en-US"/>
              </w:rPr>
            </w:pPr>
            <w:r w:rsidRPr="004C78D8">
              <w:rPr>
                <w:sz w:val="18"/>
                <w:szCs w:val="18"/>
                <w:lang w:val="en-US"/>
              </w:rPr>
              <w:t>(</w:t>
            </w:r>
            <w:r w:rsidRPr="004C78D8">
              <w:rPr>
                <w:b/>
                <w:bCs/>
                <w:sz w:val="18"/>
                <w:szCs w:val="18"/>
                <w:lang w:val="en-US"/>
              </w:rPr>
              <w:t>MA fall</w:t>
            </w:r>
            <w:r w:rsidRPr="004C78D8">
              <w:rPr>
                <w:sz w:val="18"/>
                <w:szCs w:val="18"/>
                <w:lang w:val="en-US"/>
              </w:rPr>
              <w:t>)</w:t>
            </w:r>
          </w:p>
        </w:tc>
        <w:tc>
          <w:tcPr>
            <w:tcW w:w="840" w:type="pct"/>
            <w:tcBorders>
              <w:top w:val="nil"/>
              <w:bottom w:val="nil"/>
            </w:tcBorders>
          </w:tcPr>
          <w:p w14:paraId="5CA45831" w14:textId="77777777" w:rsidR="00E75956" w:rsidRPr="004C78D8" w:rsidRDefault="00E75956" w:rsidP="00FB7C1F">
            <w:pPr>
              <w:jc w:val="left"/>
              <w:rPr>
                <w:sz w:val="18"/>
                <w:szCs w:val="18"/>
                <w:lang w:val="en-US"/>
              </w:rPr>
            </w:pPr>
            <w:r w:rsidRPr="004C78D8">
              <w:rPr>
                <w:sz w:val="18"/>
                <w:szCs w:val="18"/>
                <w:lang w:val="en-US"/>
              </w:rPr>
              <w:t>Internal meta-an.</w:t>
            </w:r>
          </w:p>
        </w:tc>
        <w:tc>
          <w:tcPr>
            <w:tcW w:w="579" w:type="pct"/>
            <w:tcBorders>
              <w:top w:val="nil"/>
              <w:bottom w:val="nil"/>
            </w:tcBorders>
          </w:tcPr>
          <w:p w14:paraId="27D84657" w14:textId="77777777" w:rsidR="00E75956" w:rsidRPr="004C78D8" w:rsidRDefault="00E75956" w:rsidP="00FB7C1F">
            <w:pPr>
              <w:jc w:val="left"/>
              <w:rPr>
                <w:sz w:val="18"/>
                <w:szCs w:val="18"/>
                <w:lang w:val="en-US"/>
              </w:rPr>
            </w:pPr>
            <w:r w:rsidRPr="004C78D8">
              <w:rPr>
                <w:sz w:val="18"/>
                <w:szCs w:val="18"/>
                <w:lang w:val="en-US"/>
              </w:rPr>
              <w:t>RR (risk)</w:t>
            </w:r>
          </w:p>
        </w:tc>
        <w:tc>
          <w:tcPr>
            <w:tcW w:w="986" w:type="pct"/>
            <w:tcBorders>
              <w:top w:val="nil"/>
              <w:bottom w:val="nil"/>
            </w:tcBorders>
          </w:tcPr>
          <w:p w14:paraId="2F0F38B8" w14:textId="77777777" w:rsidR="00E75956" w:rsidRPr="004C78D8" w:rsidRDefault="00E75956" w:rsidP="00FB7C1F">
            <w:pPr>
              <w:jc w:val="left"/>
              <w:rPr>
                <w:sz w:val="18"/>
                <w:szCs w:val="18"/>
                <w:lang w:val="en-US"/>
              </w:rPr>
            </w:pPr>
            <w:r w:rsidRPr="004C78D8">
              <w:rPr>
                <w:sz w:val="18"/>
                <w:szCs w:val="18"/>
                <w:lang w:val="en-US"/>
              </w:rPr>
              <w:t>Lifetime persistence for 1</w:t>
            </w:r>
            <w:r w:rsidRPr="004C78D8">
              <w:rPr>
                <w:sz w:val="18"/>
                <w:szCs w:val="18"/>
                <w:vertAlign w:val="superscript"/>
                <w:lang w:val="en-US"/>
              </w:rPr>
              <w:t>st</w:t>
            </w:r>
            <w:r w:rsidRPr="004C78D8">
              <w:rPr>
                <w:sz w:val="18"/>
                <w:szCs w:val="18"/>
                <w:lang w:val="en-US"/>
              </w:rPr>
              <w:t xml:space="preserve"> year adherers (lifetime)</w:t>
            </w:r>
          </w:p>
        </w:tc>
      </w:tr>
      <w:tr w:rsidR="00E75956" w:rsidRPr="004C78D8" w14:paraId="49210EE2" w14:textId="77777777" w:rsidTr="002828C1">
        <w:tc>
          <w:tcPr>
            <w:tcW w:w="940" w:type="pct"/>
          </w:tcPr>
          <w:p w14:paraId="6F462976" w14:textId="77777777" w:rsidR="00E75956" w:rsidRPr="004C78D8" w:rsidRDefault="00E75956" w:rsidP="00FB7C1F">
            <w:pPr>
              <w:jc w:val="left"/>
              <w:rPr>
                <w:sz w:val="18"/>
                <w:szCs w:val="18"/>
              </w:rPr>
            </w:pPr>
            <w:r w:rsidRPr="004C78D8">
              <w:rPr>
                <w:sz w:val="18"/>
                <w:szCs w:val="18"/>
              </w:rPr>
              <w:t>Pega (2016); Wilson (2017)</w:t>
            </w:r>
          </w:p>
        </w:tc>
        <w:tc>
          <w:tcPr>
            <w:tcW w:w="871" w:type="pct"/>
            <w:tcBorders>
              <w:top w:val="nil"/>
              <w:bottom w:val="nil"/>
            </w:tcBorders>
          </w:tcPr>
          <w:p w14:paraId="71B17FFC" w14:textId="77777777" w:rsidR="00E75956" w:rsidRPr="004C78D8" w:rsidRDefault="00E75956" w:rsidP="00FB7C1F">
            <w:pPr>
              <w:jc w:val="left"/>
              <w:rPr>
                <w:sz w:val="18"/>
                <w:szCs w:val="18"/>
              </w:rPr>
            </w:pPr>
            <w:r w:rsidRPr="004C78D8">
              <w:rPr>
                <w:sz w:val="18"/>
                <w:szCs w:val="18"/>
              </w:rPr>
              <w:t>HAM</w:t>
            </w:r>
          </w:p>
        </w:tc>
        <w:tc>
          <w:tcPr>
            <w:tcW w:w="785" w:type="pct"/>
            <w:tcBorders>
              <w:top w:val="nil"/>
              <w:bottom w:val="nil"/>
            </w:tcBorders>
          </w:tcPr>
          <w:p w14:paraId="4187EAF2" w14:textId="77777777" w:rsidR="00E75956" w:rsidRPr="004C78D8" w:rsidRDefault="00E75956" w:rsidP="00FB7C1F">
            <w:pPr>
              <w:jc w:val="left"/>
              <w:rPr>
                <w:sz w:val="18"/>
                <w:szCs w:val="18"/>
                <w:lang w:val="en-US"/>
              </w:rPr>
            </w:pPr>
            <w:r w:rsidRPr="004C78D8">
              <w:rPr>
                <w:sz w:val="18"/>
                <w:szCs w:val="18"/>
                <w:lang w:val="en-US"/>
              </w:rPr>
              <w:t>Any fall</w:t>
            </w:r>
          </w:p>
          <w:p w14:paraId="164D1E42" w14:textId="77777777" w:rsidR="00E75956" w:rsidRPr="004C78D8" w:rsidRDefault="00E75956" w:rsidP="00FB7C1F">
            <w:pPr>
              <w:jc w:val="left"/>
              <w:rPr>
                <w:sz w:val="18"/>
                <w:szCs w:val="18"/>
                <w:lang w:val="en-US"/>
              </w:rPr>
            </w:pPr>
            <w:r w:rsidRPr="004C78D8">
              <w:rPr>
                <w:sz w:val="18"/>
                <w:szCs w:val="18"/>
                <w:lang w:val="en-US"/>
              </w:rPr>
              <w:t>(</w:t>
            </w:r>
            <w:r w:rsidRPr="004C78D8">
              <w:rPr>
                <w:b/>
                <w:bCs/>
                <w:sz w:val="18"/>
                <w:szCs w:val="18"/>
                <w:lang w:val="en-US"/>
              </w:rPr>
              <w:t>MA fall</w:t>
            </w:r>
            <w:r w:rsidRPr="004C78D8">
              <w:rPr>
                <w:sz w:val="18"/>
                <w:szCs w:val="18"/>
                <w:lang w:val="en-US"/>
              </w:rPr>
              <w:t>)</w:t>
            </w:r>
          </w:p>
        </w:tc>
        <w:tc>
          <w:tcPr>
            <w:tcW w:w="840" w:type="pct"/>
            <w:tcBorders>
              <w:top w:val="nil"/>
              <w:bottom w:val="nil"/>
            </w:tcBorders>
          </w:tcPr>
          <w:p w14:paraId="278E8360" w14:textId="77777777" w:rsidR="00E75956" w:rsidRPr="004C78D8" w:rsidRDefault="00E75956" w:rsidP="00FB7C1F">
            <w:pPr>
              <w:jc w:val="left"/>
              <w:rPr>
                <w:sz w:val="18"/>
                <w:szCs w:val="18"/>
                <w:lang w:val="en-US"/>
              </w:rPr>
            </w:pPr>
            <w:r w:rsidRPr="004C78D8">
              <w:rPr>
                <w:sz w:val="18"/>
                <w:szCs w:val="18"/>
                <w:lang w:val="en-US"/>
              </w:rPr>
              <w:t>External meta-an.</w:t>
            </w:r>
          </w:p>
        </w:tc>
        <w:tc>
          <w:tcPr>
            <w:tcW w:w="579" w:type="pct"/>
            <w:tcBorders>
              <w:top w:val="nil"/>
              <w:bottom w:val="nil"/>
            </w:tcBorders>
          </w:tcPr>
          <w:p w14:paraId="2152B299" w14:textId="77777777" w:rsidR="00E75956" w:rsidRPr="004C78D8" w:rsidRDefault="00E75956" w:rsidP="00FB7C1F">
            <w:pPr>
              <w:jc w:val="left"/>
              <w:rPr>
                <w:sz w:val="18"/>
                <w:szCs w:val="18"/>
                <w:lang w:val="en-US"/>
              </w:rPr>
            </w:pPr>
            <w:r w:rsidRPr="004C78D8">
              <w:rPr>
                <w:sz w:val="18"/>
                <w:szCs w:val="18"/>
                <w:lang w:val="en-US"/>
              </w:rPr>
              <w:t>RaR (</w:t>
            </w:r>
            <w:r w:rsidRPr="004C78D8">
              <w:rPr>
                <w:b/>
                <w:bCs/>
                <w:sz w:val="18"/>
                <w:szCs w:val="18"/>
                <w:lang w:val="en-US"/>
              </w:rPr>
              <w:t>risk</w:t>
            </w:r>
            <w:r w:rsidRPr="004C78D8">
              <w:rPr>
                <w:sz w:val="18"/>
                <w:szCs w:val="18"/>
                <w:lang w:val="en-US"/>
              </w:rPr>
              <w:t>)</w:t>
            </w:r>
          </w:p>
        </w:tc>
        <w:tc>
          <w:tcPr>
            <w:tcW w:w="986" w:type="pct"/>
            <w:tcBorders>
              <w:top w:val="nil"/>
              <w:bottom w:val="nil"/>
            </w:tcBorders>
          </w:tcPr>
          <w:p w14:paraId="7C9A5E50" w14:textId="77777777" w:rsidR="00E75956" w:rsidRPr="004C78D8" w:rsidRDefault="00E75956" w:rsidP="00FB7C1F">
            <w:pPr>
              <w:jc w:val="left"/>
              <w:rPr>
                <w:sz w:val="18"/>
                <w:szCs w:val="18"/>
                <w:lang w:val="en-US"/>
              </w:rPr>
            </w:pPr>
            <w:r w:rsidRPr="004C78D8">
              <w:rPr>
                <w:sz w:val="18"/>
                <w:szCs w:val="18"/>
                <w:lang w:val="en-US"/>
              </w:rPr>
              <w:t>Lifetime or 10-year efficacy (lifetime)</w:t>
            </w:r>
          </w:p>
        </w:tc>
      </w:tr>
      <w:tr w:rsidR="00E75956" w:rsidRPr="004C78D8" w14:paraId="48A2D61A" w14:textId="77777777" w:rsidTr="002828C1">
        <w:tc>
          <w:tcPr>
            <w:tcW w:w="940" w:type="pct"/>
          </w:tcPr>
          <w:p w14:paraId="1444DCA1" w14:textId="77777777" w:rsidR="00E75956" w:rsidRPr="004C78D8" w:rsidRDefault="00E75956" w:rsidP="00FB7C1F">
            <w:pPr>
              <w:jc w:val="left"/>
              <w:rPr>
                <w:sz w:val="18"/>
                <w:szCs w:val="18"/>
              </w:rPr>
            </w:pPr>
            <w:r w:rsidRPr="004C78D8">
              <w:rPr>
                <w:sz w:val="18"/>
                <w:szCs w:val="18"/>
              </w:rPr>
              <w:t>Poole (2014)</w:t>
            </w:r>
          </w:p>
        </w:tc>
        <w:tc>
          <w:tcPr>
            <w:tcW w:w="871" w:type="pct"/>
            <w:tcBorders>
              <w:top w:val="nil"/>
              <w:bottom w:val="nil"/>
            </w:tcBorders>
          </w:tcPr>
          <w:p w14:paraId="30D0CEE0" w14:textId="77777777" w:rsidR="00E75956" w:rsidRPr="004C78D8" w:rsidRDefault="00E75956" w:rsidP="00FB7C1F">
            <w:pPr>
              <w:jc w:val="left"/>
              <w:rPr>
                <w:sz w:val="18"/>
                <w:szCs w:val="18"/>
              </w:rPr>
            </w:pPr>
            <w:r w:rsidRPr="004C78D8">
              <w:rPr>
                <w:sz w:val="18"/>
                <w:szCs w:val="18"/>
              </w:rPr>
              <w:t>Vit. D supplement</w:t>
            </w:r>
          </w:p>
        </w:tc>
        <w:tc>
          <w:tcPr>
            <w:tcW w:w="785" w:type="pct"/>
            <w:tcBorders>
              <w:top w:val="nil"/>
              <w:bottom w:val="nil"/>
            </w:tcBorders>
          </w:tcPr>
          <w:p w14:paraId="559D3EAA" w14:textId="77777777" w:rsidR="00E75956" w:rsidRPr="004C78D8" w:rsidRDefault="00E75956" w:rsidP="00FB7C1F">
            <w:pPr>
              <w:jc w:val="left"/>
              <w:rPr>
                <w:sz w:val="18"/>
                <w:szCs w:val="18"/>
                <w:lang w:val="en-US"/>
              </w:rPr>
            </w:pPr>
            <w:r w:rsidRPr="004C78D8">
              <w:rPr>
                <w:sz w:val="18"/>
                <w:szCs w:val="18"/>
                <w:lang w:val="en-US"/>
              </w:rPr>
              <w:t>Hip fracture</w:t>
            </w:r>
          </w:p>
          <w:p w14:paraId="0C79F10E" w14:textId="77777777" w:rsidR="00E75956" w:rsidRPr="004C78D8" w:rsidRDefault="00E75956" w:rsidP="00FB7C1F">
            <w:pPr>
              <w:jc w:val="left"/>
              <w:rPr>
                <w:sz w:val="18"/>
                <w:szCs w:val="18"/>
                <w:lang w:val="en-US"/>
              </w:rPr>
            </w:pPr>
            <w:r w:rsidRPr="004C78D8">
              <w:rPr>
                <w:sz w:val="18"/>
                <w:szCs w:val="18"/>
                <w:lang w:val="en-US"/>
              </w:rPr>
              <w:t>(hip fracture)</w:t>
            </w:r>
          </w:p>
        </w:tc>
        <w:tc>
          <w:tcPr>
            <w:tcW w:w="840" w:type="pct"/>
            <w:tcBorders>
              <w:top w:val="nil"/>
              <w:bottom w:val="nil"/>
            </w:tcBorders>
          </w:tcPr>
          <w:p w14:paraId="3D214BC6" w14:textId="77777777" w:rsidR="00E75956" w:rsidRPr="004C78D8" w:rsidRDefault="00E75956" w:rsidP="00FB7C1F">
            <w:pPr>
              <w:jc w:val="left"/>
              <w:rPr>
                <w:sz w:val="18"/>
                <w:szCs w:val="18"/>
                <w:lang w:val="en-US"/>
              </w:rPr>
            </w:pPr>
            <w:r w:rsidRPr="004C78D8">
              <w:rPr>
                <w:sz w:val="18"/>
                <w:szCs w:val="18"/>
                <w:lang w:val="en-US"/>
              </w:rPr>
              <w:t>External meta-an.</w:t>
            </w:r>
          </w:p>
        </w:tc>
        <w:tc>
          <w:tcPr>
            <w:tcW w:w="579" w:type="pct"/>
            <w:tcBorders>
              <w:top w:val="nil"/>
              <w:bottom w:val="nil"/>
            </w:tcBorders>
          </w:tcPr>
          <w:p w14:paraId="4164D2C8" w14:textId="77777777" w:rsidR="00E75956" w:rsidRPr="004C78D8" w:rsidRDefault="00E75956" w:rsidP="00FB7C1F">
            <w:pPr>
              <w:jc w:val="left"/>
              <w:rPr>
                <w:sz w:val="18"/>
                <w:szCs w:val="18"/>
                <w:lang w:val="en-US"/>
              </w:rPr>
            </w:pPr>
            <w:r w:rsidRPr="004C78D8">
              <w:rPr>
                <w:sz w:val="18"/>
                <w:szCs w:val="18"/>
                <w:lang w:val="en-US"/>
              </w:rPr>
              <w:t>HR (rate)</w:t>
            </w:r>
          </w:p>
        </w:tc>
        <w:tc>
          <w:tcPr>
            <w:tcW w:w="986" w:type="pct"/>
            <w:tcBorders>
              <w:top w:val="nil"/>
              <w:bottom w:val="nil"/>
            </w:tcBorders>
          </w:tcPr>
          <w:p w14:paraId="53F7130E" w14:textId="77777777" w:rsidR="00E75956" w:rsidRPr="004C78D8" w:rsidRDefault="00E75956" w:rsidP="00FB7C1F">
            <w:pPr>
              <w:jc w:val="left"/>
              <w:rPr>
                <w:sz w:val="18"/>
                <w:szCs w:val="18"/>
                <w:lang w:val="en-US"/>
              </w:rPr>
            </w:pPr>
            <w:r w:rsidRPr="004C78D8">
              <w:rPr>
                <w:sz w:val="18"/>
                <w:szCs w:val="18"/>
                <w:lang w:val="en-US"/>
              </w:rPr>
              <w:t>1 year (1 year)</w:t>
            </w:r>
          </w:p>
        </w:tc>
      </w:tr>
      <w:tr w:rsidR="00E75956" w:rsidRPr="004C78D8" w14:paraId="462CB927" w14:textId="77777777" w:rsidTr="002828C1">
        <w:tc>
          <w:tcPr>
            <w:tcW w:w="940" w:type="pct"/>
          </w:tcPr>
          <w:p w14:paraId="29FC915E" w14:textId="77777777" w:rsidR="00E75956" w:rsidRPr="004C78D8" w:rsidRDefault="00E75956" w:rsidP="00FB7C1F">
            <w:pPr>
              <w:jc w:val="left"/>
              <w:rPr>
                <w:sz w:val="18"/>
                <w:szCs w:val="18"/>
              </w:rPr>
            </w:pPr>
            <w:r w:rsidRPr="004C78D8">
              <w:rPr>
                <w:sz w:val="18"/>
                <w:szCs w:val="18"/>
              </w:rPr>
              <w:t>Poole (2015)</w:t>
            </w:r>
          </w:p>
        </w:tc>
        <w:tc>
          <w:tcPr>
            <w:tcW w:w="871" w:type="pct"/>
            <w:tcBorders>
              <w:top w:val="nil"/>
              <w:bottom w:val="nil"/>
            </w:tcBorders>
          </w:tcPr>
          <w:p w14:paraId="59618888" w14:textId="77777777" w:rsidR="00E75956" w:rsidRPr="004C78D8" w:rsidRDefault="00E75956" w:rsidP="00FB7C1F">
            <w:pPr>
              <w:jc w:val="left"/>
              <w:rPr>
                <w:sz w:val="18"/>
                <w:szCs w:val="18"/>
              </w:rPr>
            </w:pPr>
            <w:r w:rsidRPr="004C78D8">
              <w:rPr>
                <w:sz w:val="18"/>
                <w:szCs w:val="18"/>
              </w:rPr>
              <w:t>Vit. D supplement</w:t>
            </w:r>
          </w:p>
        </w:tc>
        <w:tc>
          <w:tcPr>
            <w:tcW w:w="785" w:type="pct"/>
            <w:tcBorders>
              <w:top w:val="nil"/>
              <w:bottom w:val="nil"/>
            </w:tcBorders>
          </w:tcPr>
          <w:p w14:paraId="0DBFAAE4" w14:textId="77777777" w:rsidR="00E75956" w:rsidRPr="004C78D8" w:rsidRDefault="00E75956" w:rsidP="00FB7C1F">
            <w:pPr>
              <w:jc w:val="left"/>
              <w:rPr>
                <w:sz w:val="18"/>
                <w:szCs w:val="18"/>
                <w:lang w:val="en-US"/>
              </w:rPr>
            </w:pPr>
            <w:r w:rsidRPr="004C78D8">
              <w:rPr>
                <w:sz w:val="18"/>
                <w:szCs w:val="18"/>
                <w:lang w:val="en-US"/>
              </w:rPr>
              <w:t>Any fall</w:t>
            </w:r>
          </w:p>
          <w:p w14:paraId="0D0BAC5F" w14:textId="77777777" w:rsidR="00E75956" w:rsidRPr="004C78D8" w:rsidRDefault="00E75956" w:rsidP="00FB7C1F">
            <w:pPr>
              <w:jc w:val="left"/>
              <w:rPr>
                <w:sz w:val="18"/>
                <w:szCs w:val="18"/>
                <w:lang w:val="en-US"/>
              </w:rPr>
            </w:pPr>
            <w:r w:rsidRPr="004C78D8">
              <w:rPr>
                <w:sz w:val="18"/>
                <w:szCs w:val="18"/>
                <w:lang w:val="en-US"/>
              </w:rPr>
              <w:t>(</w:t>
            </w:r>
            <w:r w:rsidRPr="004C78D8">
              <w:rPr>
                <w:b/>
                <w:bCs/>
                <w:sz w:val="18"/>
                <w:szCs w:val="18"/>
                <w:lang w:val="en-US"/>
              </w:rPr>
              <w:t>MA fall</w:t>
            </w:r>
            <w:r w:rsidRPr="004C78D8">
              <w:rPr>
                <w:sz w:val="18"/>
                <w:szCs w:val="18"/>
                <w:lang w:val="en-US"/>
              </w:rPr>
              <w:t>)</w:t>
            </w:r>
          </w:p>
        </w:tc>
        <w:tc>
          <w:tcPr>
            <w:tcW w:w="840" w:type="pct"/>
            <w:tcBorders>
              <w:top w:val="nil"/>
              <w:bottom w:val="nil"/>
            </w:tcBorders>
          </w:tcPr>
          <w:p w14:paraId="13E06D30" w14:textId="77777777" w:rsidR="00E75956" w:rsidRPr="004C78D8" w:rsidRDefault="00E75956" w:rsidP="00FB7C1F">
            <w:pPr>
              <w:jc w:val="left"/>
              <w:rPr>
                <w:sz w:val="18"/>
                <w:szCs w:val="18"/>
                <w:lang w:val="en-US"/>
              </w:rPr>
            </w:pPr>
            <w:r w:rsidRPr="004C78D8">
              <w:rPr>
                <w:sz w:val="18"/>
                <w:szCs w:val="18"/>
                <w:lang w:val="en-US"/>
              </w:rPr>
              <w:t>External meta-an.</w:t>
            </w:r>
          </w:p>
        </w:tc>
        <w:tc>
          <w:tcPr>
            <w:tcW w:w="579" w:type="pct"/>
            <w:tcBorders>
              <w:top w:val="nil"/>
              <w:bottom w:val="nil"/>
            </w:tcBorders>
          </w:tcPr>
          <w:p w14:paraId="23C99884" w14:textId="77777777" w:rsidR="00E75956" w:rsidRPr="004C78D8" w:rsidRDefault="00E75956" w:rsidP="00FB7C1F">
            <w:pPr>
              <w:jc w:val="left"/>
              <w:rPr>
                <w:sz w:val="18"/>
                <w:szCs w:val="18"/>
                <w:lang w:val="en-US"/>
              </w:rPr>
            </w:pPr>
            <w:r w:rsidRPr="004C78D8">
              <w:rPr>
                <w:sz w:val="18"/>
                <w:szCs w:val="18"/>
                <w:lang w:val="en-US"/>
              </w:rPr>
              <w:t>RR (risk)</w:t>
            </w:r>
          </w:p>
        </w:tc>
        <w:tc>
          <w:tcPr>
            <w:tcW w:w="986" w:type="pct"/>
            <w:tcBorders>
              <w:top w:val="nil"/>
              <w:bottom w:val="nil"/>
            </w:tcBorders>
          </w:tcPr>
          <w:p w14:paraId="07ECBDC6" w14:textId="77777777" w:rsidR="00E75956" w:rsidRPr="004C78D8" w:rsidRDefault="00E75956" w:rsidP="00FB7C1F">
            <w:pPr>
              <w:jc w:val="left"/>
              <w:rPr>
                <w:sz w:val="18"/>
                <w:szCs w:val="18"/>
                <w:lang w:val="en-US"/>
              </w:rPr>
            </w:pPr>
            <w:r w:rsidRPr="004C78D8">
              <w:rPr>
                <w:sz w:val="18"/>
                <w:szCs w:val="18"/>
                <w:lang w:val="en-US"/>
              </w:rPr>
              <w:t>5 years maintenance</w:t>
            </w:r>
          </w:p>
          <w:p w14:paraId="203902CA" w14:textId="77777777" w:rsidR="00E75956" w:rsidRPr="004C78D8" w:rsidRDefault="00E75956" w:rsidP="00FB7C1F">
            <w:pPr>
              <w:jc w:val="left"/>
              <w:rPr>
                <w:sz w:val="18"/>
                <w:szCs w:val="18"/>
                <w:lang w:val="en-US"/>
              </w:rPr>
            </w:pPr>
            <w:r w:rsidRPr="004C78D8">
              <w:rPr>
                <w:sz w:val="18"/>
                <w:szCs w:val="18"/>
                <w:lang w:val="en-US"/>
              </w:rPr>
              <w:t>(5 years)</w:t>
            </w:r>
          </w:p>
        </w:tc>
      </w:tr>
      <w:tr w:rsidR="00E75956" w:rsidRPr="004C78D8" w14:paraId="099B020C" w14:textId="77777777" w:rsidTr="002828C1">
        <w:tc>
          <w:tcPr>
            <w:tcW w:w="940" w:type="pct"/>
          </w:tcPr>
          <w:p w14:paraId="3CC7E8BB" w14:textId="77777777" w:rsidR="00E75956" w:rsidRPr="004C78D8" w:rsidRDefault="00E75956" w:rsidP="00FB7C1F">
            <w:pPr>
              <w:jc w:val="left"/>
              <w:rPr>
                <w:sz w:val="18"/>
                <w:szCs w:val="18"/>
              </w:rPr>
            </w:pPr>
            <w:r w:rsidRPr="004C78D8">
              <w:rPr>
                <w:sz w:val="18"/>
                <w:szCs w:val="18"/>
              </w:rPr>
              <w:t>PHE (2018)</w:t>
            </w:r>
          </w:p>
        </w:tc>
        <w:tc>
          <w:tcPr>
            <w:tcW w:w="871" w:type="pct"/>
            <w:tcBorders>
              <w:top w:val="nil"/>
              <w:bottom w:val="nil"/>
            </w:tcBorders>
          </w:tcPr>
          <w:p w14:paraId="5C38266C" w14:textId="77777777" w:rsidR="00E75956" w:rsidRPr="004C78D8" w:rsidRDefault="00E75956" w:rsidP="00FB7C1F">
            <w:pPr>
              <w:jc w:val="left"/>
              <w:rPr>
                <w:sz w:val="18"/>
                <w:szCs w:val="18"/>
              </w:rPr>
            </w:pPr>
            <w:r w:rsidRPr="004C78D8">
              <w:rPr>
                <w:sz w:val="18"/>
                <w:szCs w:val="18"/>
              </w:rPr>
              <w:t>Multiple types</w:t>
            </w:r>
          </w:p>
        </w:tc>
        <w:tc>
          <w:tcPr>
            <w:tcW w:w="785" w:type="pct"/>
            <w:tcBorders>
              <w:top w:val="nil"/>
              <w:bottom w:val="nil"/>
            </w:tcBorders>
          </w:tcPr>
          <w:p w14:paraId="7126EAED" w14:textId="77777777" w:rsidR="00E75956" w:rsidRPr="004C78D8" w:rsidRDefault="00E75956" w:rsidP="00FB7C1F">
            <w:pPr>
              <w:jc w:val="left"/>
              <w:rPr>
                <w:sz w:val="18"/>
                <w:szCs w:val="18"/>
                <w:lang w:val="en-US"/>
              </w:rPr>
            </w:pPr>
            <w:r w:rsidRPr="004C78D8">
              <w:rPr>
                <w:sz w:val="18"/>
                <w:szCs w:val="18"/>
                <w:lang w:val="en-US"/>
              </w:rPr>
              <w:t>Any fall</w:t>
            </w:r>
          </w:p>
          <w:p w14:paraId="7D0F834D" w14:textId="77777777" w:rsidR="00E75956" w:rsidRPr="004C78D8" w:rsidRDefault="00E75956" w:rsidP="00FB7C1F">
            <w:pPr>
              <w:jc w:val="left"/>
              <w:rPr>
                <w:sz w:val="18"/>
                <w:szCs w:val="18"/>
                <w:lang w:val="en-US"/>
              </w:rPr>
            </w:pPr>
            <w:r w:rsidRPr="004C78D8">
              <w:rPr>
                <w:sz w:val="18"/>
                <w:szCs w:val="18"/>
                <w:lang w:val="en-US"/>
              </w:rPr>
              <w:t>(any fall)</w:t>
            </w:r>
          </w:p>
        </w:tc>
        <w:tc>
          <w:tcPr>
            <w:tcW w:w="840" w:type="pct"/>
            <w:tcBorders>
              <w:top w:val="nil"/>
              <w:bottom w:val="nil"/>
            </w:tcBorders>
          </w:tcPr>
          <w:p w14:paraId="572D0EE4" w14:textId="77777777" w:rsidR="00E75956" w:rsidRPr="004C78D8" w:rsidRDefault="00E75956" w:rsidP="00FB7C1F">
            <w:pPr>
              <w:jc w:val="left"/>
              <w:rPr>
                <w:sz w:val="18"/>
                <w:szCs w:val="18"/>
                <w:lang w:val="en-US"/>
              </w:rPr>
            </w:pPr>
            <w:r w:rsidRPr="004C78D8">
              <w:rPr>
                <w:sz w:val="18"/>
                <w:szCs w:val="18"/>
                <w:lang w:val="en-US"/>
              </w:rPr>
              <w:t>External meta-an. and RCTs</w:t>
            </w:r>
          </w:p>
        </w:tc>
        <w:tc>
          <w:tcPr>
            <w:tcW w:w="579" w:type="pct"/>
            <w:tcBorders>
              <w:top w:val="nil"/>
              <w:bottom w:val="nil"/>
            </w:tcBorders>
          </w:tcPr>
          <w:p w14:paraId="76A12CA6" w14:textId="77777777" w:rsidR="00E75956" w:rsidRPr="004C78D8" w:rsidRDefault="00E75956" w:rsidP="00FB7C1F">
            <w:pPr>
              <w:jc w:val="left"/>
              <w:rPr>
                <w:sz w:val="18"/>
                <w:szCs w:val="18"/>
                <w:lang w:val="en-US"/>
              </w:rPr>
            </w:pPr>
            <w:r w:rsidRPr="004C78D8">
              <w:rPr>
                <w:sz w:val="18"/>
                <w:szCs w:val="18"/>
                <w:lang w:val="en-US"/>
              </w:rPr>
              <w:t>RaR (rate)</w:t>
            </w:r>
          </w:p>
        </w:tc>
        <w:tc>
          <w:tcPr>
            <w:tcW w:w="986" w:type="pct"/>
            <w:tcBorders>
              <w:top w:val="nil"/>
              <w:bottom w:val="nil"/>
            </w:tcBorders>
          </w:tcPr>
          <w:p w14:paraId="203AC4C2" w14:textId="77777777" w:rsidR="00E75956" w:rsidRPr="004C78D8" w:rsidRDefault="00E75956" w:rsidP="00FB7C1F">
            <w:pPr>
              <w:jc w:val="left"/>
              <w:rPr>
                <w:sz w:val="18"/>
                <w:szCs w:val="18"/>
                <w:lang w:val="en-US"/>
              </w:rPr>
            </w:pPr>
            <w:r w:rsidRPr="004C78D8">
              <w:rPr>
                <w:sz w:val="18"/>
                <w:szCs w:val="18"/>
                <w:lang w:val="en-US"/>
              </w:rPr>
              <w:t>2 years (2 years)</w:t>
            </w:r>
          </w:p>
        </w:tc>
      </w:tr>
      <w:tr w:rsidR="00E75956" w:rsidRPr="004C78D8" w14:paraId="6F972F4F" w14:textId="77777777" w:rsidTr="002828C1">
        <w:tc>
          <w:tcPr>
            <w:tcW w:w="940" w:type="pct"/>
          </w:tcPr>
          <w:p w14:paraId="1AAA4959" w14:textId="77777777" w:rsidR="00E75956" w:rsidRPr="004C78D8" w:rsidRDefault="00E75956" w:rsidP="00FB7C1F">
            <w:pPr>
              <w:jc w:val="left"/>
              <w:rPr>
                <w:sz w:val="18"/>
                <w:szCs w:val="18"/>
                <w:lang w:val="en-US"/>
              </w:rPr>
            </w:pPr>
            <w:r w:rsidRPr="004C78D8">
              <w:rPr>
                <w:sz w:val="18"/>
                <w:szCs w:val="18"/>
              </w:rPr>
              <w:t>RCN (2005)</w:t>
            </w:r>
          </w:p>
        </w:tc>
        <w:tc>
          <w:tcPr>
            <w:tcW w:w="871" w:type="pct"/>
            <w:tcBorders>
              <w:top w:val="nil"/>
              <w:bottom w:val="nil"/>
            </w:tcBorders>
          </w:tcPr>
          <w:p w14:paraId="11CC9DA6" w14:textId="77777777" w:rsidR="00E75956" w:rsidRPr="004C78D8" w:rsidRDefault="00E75956" w:rsidP="00FB7C1F">
            <w:pPr>
              <w:jc w:val="left"/>
              <w:rPr>
                <w:sz w:val="18"/>
                <w:szCs w:val="18"/>
                <w:lang w:val="en-US"/>
              </w:rPr>
            </w:pPr>
            <w:r w:rsidRPr="004C78D8">
              <w:rPr>
                <w:sz w:val="18"/>
                <w:szCs w:val="18"/>
              </w:rPr>
              <w:t>Multiple types</w:t>
            </w:r>
          </w:p>
        </w:tc>
        <w:tc>
          <w:tcPr>
            <w:tcW w:w="785" w:type="pct"/>
            <w:tcBorders>
              <w:top w:val="nil"/>
              <w:bottom w:val="nil"/>
            </w:tcBorders>
          </w:tcPr>
          <w:p w14:paraId="71C89343" w14:textId="77777777" w:rsidR="00E75956" w:rsidRPr="004C78D8" w:rsidRDefault="00E75956" w:rsidP="00FB7C1F">
            <w:pPr>
              <w:jc w:val="left"/>
              <w:rPr>
                <w:sz w:val="18"/>
                <w:szCs w:val="18"/>
                <w:lang w:val="en-US"/>
              </w:rPr>
            </w:pPr>
            <w:r w:rsidRPr="004C78D8">
              <w:rPr>
                <w:sz w:val="18"/>
                <w:szCs w:val="18"/>
                <w:lang w:val="en-US"/>
              </w:rPr>
              <w:t>Any fall</w:t>
            </w:r>
          </w:p>
          <w:p w14:paraId="36C666C1" w14:textId="77777777" w:rsidR="00E75956" w:rsidRPr="004C78D8" w:rsidRDefault="00E75956" w:rsidP="00FB7C1F">
            <w:pPr>
              <w:jc w:val="left"/>
              <w:rPr>
                <w:sz w:val="18"/>
                <w:szCs w:val="18"/>
                <w:lang w:val="en-US"/>
              </w:rPr>
            </w:pPr>
            <w:r w:rsidRPr="004C78D8">
              <w:rPr>
                <w:sz w:val="18"/>
                <w:szCs w:val="18"/>
                <w:lang w:val="en-US"/>
              </w:rPr>
              <w:t>(</w:t>
            </w:r>
            <w:r w:rsidRPr="004C78D8">
              <w:rPr>
                <w:b/>
                <w:bCs/>
                <w:sz w:val="18"/>
                <w:szCs w:val="18"/>
                <w:lang w:val="en-US"/>
              </w:rPr>
              <w:t>MA fall</w:t>
            </w:r>
            <w:r w:rsidRPr="004C78D8">
              <w:rPr>
                <w:sz w:val="18"/>
                <w:szCs w:val="18"/>
                <w:lang w:val="en-US"/>
              </w:rPr>
              <w:t>)</w:t>
            </w:r>
          </w:p>
        </w:tc>
        <w:tc>
          <w:tcPr>
            <w:tcW w:w="840" w:type="pct"/>
            <w:tcBorders>
              <w:top w:val="nil"/>
              <w:bottom w:val="nil"/>
            </w:tcBorders>
          </w:tcPr>
          <w:p w14:paraId="7460C5DD" w14:textId="77777777" w:rsidR="00E75956" w:rsidRPr="004C78D8" w:rsidRDefault="00E75956" w:rsidP="00FB7C1F">
            <w:pPr>
              <w:jc w:val="left"/>
              <w:rPr>
                <w:sz w:val="18"/>
                <w:szCs w:val="18"/>
                <w:lang w:val="en-US"/>
              </w:rPr>
            </w:pPr>
            <w:r w:rsidRPr="004C78D8">
              <w:rPr>
                <w:sz w:val="18"/>
                <w:szCs w:val="18"/>
                <w:lang w:val="en-US"/>
              </w:rPr>
              <w:t>External meta-an.</w:t>
            </w:r>
          </w:p>
        </w:tc>
        <w:tc>
          <w:tcPr>
            <w:tcW w:w="579" w:type="pct"/>
            <w:tcBorders>
              <w:top w:val="nil"/>
              <w:bottom w:val="nil"/>
            </w:tcBorders>
          </w:tcPr>
          <w:p w14:paraId="3F93A1A0" w14:textId="77777777" w:rsidR="00E75956" w:rsidRPr="004C78D8" w:rsidRDefault="00E75956" w:rsidP="00FB7C1F">
            <w:pPr>
              <w:jc w:val="left"/>
              <w:rPr>
                <w:sz w:val="18"/>
                <w:szCs w:val="18"/>
                <w:lang w:val="en-US"/>
              </w:rPr>
            </w:pPr>
            <w:r w:rsidRPr="004C78D8">
              <w:rPr>
                <w:sz w:val="18"/>
                <w:szCs w:val="18"/>
                <w:lang w:val="en-US"/>
              </w:rPr>
              <w:t>RR (risk)</w:t>
            </w:r>
          </w:p>
        </w:tc>
        <w:tc>
          <w:tcPr>
            <w:tcW w:w="986" w:type="pct"/>
            <w:tcBorders>
              <w:top w:val="nil"/>
              <w:bottom w:val="nil"/>
            </w:tcBorders>
          </w:tcPr>
          <w:p w14:paraId="1DAC5829" w14:textId="77777777" w:rsidR="00E75956" w:rsidRPr="004C78D8" w:rsidRDefault="00E75956" w:rsidP="00FB7C1F">
            <w:pPr>
              <w:jc w:val="left"/>
              <w:rPr>
                <w:sz w:val="18"/>
                <w:szCs w:val="18"/>
                <w:lang w:val="en-US"/>
              </w:rPr>
            </w:pPr>
            <w:r w:rsidRPr="004C78D8">
              <w:rPr>
                <w:sz w:val="18"/>
                <w:szCs w:val="18"/>
                <w:lang w:val="en-US"/>
              </w:rPr>
              <w:t>Not specified</w:t>
            </w:r>
          </w:p>
          <w:p w14:paraId="77BED8FC" w14:textId="77777777" w:rsidR="00E75956" w:rsidRPr="004C78D8" w:rsidRDefault="00E75956" w:rsidP="00FB7C1F">
            <w:pPr>
              <w:jc w:val="left"/>
              <w:rPr>
                <w:sz w:val="18"/>
                <w:szCs w:val="18"/>
                <w:lang w:val="en-US"/>
              </w:rPr>
            </w:pPr>
            <w:r w:rsidRPr="004C78D8">
              <w:rPr>
                <w:sz w:val="18"/>
                <w:szCs w:val="18"/>
                <w:lang w:val="en-US"/>
              </w:rPr>
              <w:t>(lifetime)</w:t>
            </w:r>
          </w:p>
        </w:tc>
      </w:tr>
      <w:tr w:rsidR="00E75956" w:rsidRPr="004C78D8" w14:paraId="3638C2D0" w14:textId="77777777" w:rsidTr="002828C1">
        <w:tc>
          <w:tcPr>
            <w:tcW w:w="940" w:type="pct"/>
          </w:tcPr>
          <w:p w14:paraId="15FEDBF8" w14:textId="77777777" w:rsidR="00E75956" w:rsidRPr="004C78D8" w:rsidRDefault="00E75956" w:rsidP="00FB7C1F">
            <w:pPr>
              <w:jc w:val="left"/>
              <w:rPr>
                <w:sz w:val="18"/>
                <w:szCs w:val="18"/>
              </w:rPr>
            </w:pPr>
            <w:r w:rsidRPr="004C78D8">
              <w:rPr>
                <w:sz w:val="18"/>
                <w:szCs w:val="18"/>
              </w:rPr>
              <w:t>Sach (2007); (2010)</w:t>
            </w:r>
          </w:p>
        </w:tc>
        <w:tc>
          <w:tcPr>
            <w:tcW w:w="871" w:type="pct"/>
            <w:tcBorders>
              <w:top w:val="nil"/>
              <w:bottom w:val="nil"/>
            </w:tcBorders>
          </w:tcPr>
          <w:p w14:paraId="6D496CB8" w14:textId="77777777" w:rsidR="00E75956" w:rsidRPr="004C78D8" w:rsidRDefault="00E75956" w:rsidP="00FB7C1F">
            <w:pPr>
              <w:jc w:val="left"/>
              <w:rPr>
                <w:sz w:val="18"/>
                <w:szCs w:val="18"/>
              </w:rPr>
            </w:pPr>
            <w:r w:rsidRPr="004C78D8">
              <w:rPr>
                <w:sz w:val="18"/>
                <w:szCs w:val="18"/>
              </w:rPr>
              <w:t>Expedited cataract surgery</w:t>
            </w:r>
          </w:p>
        </w:tc>
        <w:tc>
          <w:tcPr>
            <w:tcW w:w="785" w:type="pct"/>
            <w:tcBorders>
              <w:top w:val="nil"/>
              <w:bottom w:val="nil"/>
            </w:tcBorders>
          </w:tcPr>
          <w:p w14:paraId="34DCAE74" w14:textId="77777777" w:rsidR="00E75956" w:rsidRPr="004C78D8" w:rsidRDefault="00E75956" w:rsidP="00FB7C1F">
            <w:pPr>
              <w:jc w:val="left"/>
              <w:rPr>
                <w:sz w:val="18"/>
                <w:szCs w:val="18"/>
                <w:lang w:val="en-US"/>
              </w:rPr>
            </w:pPr>
            <w:r w:rsidRPr="004C78D8">
              <w:rPr>
                <w:sz w:val="18"/>
                <w:szCs w:val="18"/>
                <w:lang w:val="en-US"/>
              </w:rPr>
              <w:t>Any fall</w:t>
            </w:r>
          </w:p>
          <w:p w14:paraId="111D694B" w14:textId="77777777" w:rsidR="00E75956" w:rsidRPr="004C78D8" w:rsidRDefault="00E75956" w:rsidP="00FB7C1F">
            <w:pPr>
              <w:jc w:val="left"/>
              <w:rPr>
                <w:sz w:val="18"/>
                <w:szCs w:val="18"/>
                <w:lang w:val="en-US"/>
              </w:rPr>
            </w:pPr>
            <w:r w:rsidRPr="004C78D8">
              <w:rPr>
                <w:sz w:val="18"/>
                <w:szCs w:val="18"/>
                <w:lang w:val="en-US"/>
              </w:rPr>
              <w:t>(any fall)</w:t>
            </w:r>
          </w:p>
        </w:tc>
        <w:tc>
          <w:tcPr>
            <w:tcW w:w="840" w:type="pct"/>
            <w:tcBorders>
              <w:top w:val="nil"/>
              <w:bottom w:val="nil"/>
            </w:tcBorders>
          </w:tcPr>
          <w:p w14:paraId="305D0ADC" w14:textId="77777777" w:rsidR="00E75956" w:rsidRPr="004C78D8" w:rsidRDefault="00E75956" w:rsidP="00FB7C1F">
            <w:pPr>
              <w:jc w:val="left"/>
              <w:rPr>
                <w:sz w:val="18"/>
                <w:szCs w:val="18"/>
                <w:lang w:val="en-US"/>
              </w:rPr>
            </w:pPr>
            <w:r w:rsidRPr="004C78D8">
              <w:rPr>
                <w:sz w:val="18"/>
                <w:szCs w:val="18"/>
                <w:lang w:val="en-US"/>
              </w:rPr>
              <w:t>Internal RCT</w:t>
            </w:r>
          </w:p>
        </w:tc>
        <w:tc>
          <w:tcPr>
            <w:tcW w:w="579" w:type="pct"/>
            <w:tcBorders>
              <w:top w:val="nil"/>
              <w:bottom w:val="nil"/>
            </w:tcBorders>
          </w:tcPr>
          <w:p w14:paraId="7C765EA1" w14:textId="77777777" w:rsidR="00E75956" w:rsidRPr="004C78D8" w:rsidRDefault="00E75956" w:rsidP="00FB7C1F">
            <w:pPr>
              <w:jc w:val="left"/>
              <w:rPr>
                <w:sz w:val="18"/>
                <w:szCs w:val="18"/>
                <w:lang w:val="en-US"/>
              </w:rPr>
            </w:pPr>
            <w:r w:rsidRPr="004C78D8">
              <w:rPr>
                <w:sz w:val="18"/>
                <w:szCs w:val="18"/>
                <w:lang w:val="en-US"/>
              </w:rPr>
              <w:t>RaR (rate)</w:t>
            </w:r>
          </w:p>
        </w:tc>
        <w:tc>
          <w:tcPr>
            <w:tcW w:w="986" w:type="pct"/>
            <w:tcBorders>
              <w:top w:val="nil"/>
              <w:bottom w:val="nil"/>
            </w:tcBorders>
          </w:tcPr>
          <w:p w14:paraId="641935FB" w14:textId="77777777" w:rsidR="00E75956" w:rsidRPr="004C78D8" w:rsidRDefault="00E75956" w:rsidP="00FB7C1F">
            <w:pPr>
              <w:jc w:val="left"/>
              <w:rPr>
                <w:sz w:val="18"/>
                <w:szCs w:val="18"/>
                <w:lang w:val="en-US"/>
              </w:rPr>
            </w:pPr>
            <w:r w:rsidRPr="004C78D8">
              <w:rPr>
                <w:sz w:val="18"/>
                <w:szCs w:val="18"/>
                <w:lang w:val="en-US"/>
              </w:rPr>
              <w:t>Lifetime efficacy durability (lifetime)</w:t>
            </w:r>
          </w:p>
        </w:tc>
      </w:tr>
      <w:tr w:rsidR="00E75956" w:rsidRPr="004C78D8" w14:paraId="4B52D316" w14:textId="77777777" w:rsidTr="002828C1">
        <w:tc>
          <w:tcPr>
            <w:tcW w:w="940" w:type="pct"/>
          </w:tcPr>
          <w:p w14:paraId="3A967D3B" w14:textId="77777777" w:rsidR="00E75956" w:rsidRPr="004C78D8" w:rsidRDefault="00E75956" w:rsidP="00FB7C1F">
            <w:pPr>
              <w:jc w:val="left"/>
              <w:rPr>
                <w:sz w:val="18"/>
                <w:szCs w:val="18"/>
                <w:lang w:val="en-US"/>
              </w:rPr>
            </w:pPr>
            <w:r w:rsidRPr="004C78D8">
              <w:rPr>
                <w:sz w:val="18"/>
                <w:szCs w:val="18"/>
              </w:rPr>
              <w:t>Smith (2016)</w:t>
            </w:r>
          </w:p>
        </w:tc>
        <w:tc>
          <w:tcPr>
            <w:tcW w:w="871" w:type="pct"/>
            <w:tcBorders>
              <w:top w:val="nil"/>
              <w:bottom w:val="nil"/>
            </w:tcBorders>
          </w:tcPr>
          <w:p w14:paraId="3A4F07D7" w14:textId="77777777" w:rsidR="00E75956" w:rsidRPr="004C78D8" w:rsidRDefault="00E75956" w:rsidP="00FB7C1F">
            <w:pPr>
              <w:jc w:val="left"/>
              <w:rPr>
                <w:sz w:val="18"/>
                <w:szCs w:val="18"/>
                <w:lang w:val="en-US"/>
              </w:rPr>
            </w:pPr>
            <w:r w:rsidRPr="004C78D8">
              <w:rPr>
                <w:sz w:val="18"/>
                <w:szCs w:val="18"/>
              </w:rPr>
              <w:t>Risk prediction; Multifactorial int.</w:t>
            </w:r>
          </w:p>
        </w:tc>
        <w:tc>
          <w:tcPr>
            <w:tcW w:w="785" w:type="pct"/>
            <w:tcBorders>
              <w:top w:val="nil"/>
              <w:bottom w:val="nil"/>
            </w:tcBorders>
          </w:tcPr>
          <w:p w14:paraId="04ECA0EB" w14:textId="77777777" w:rsidR="00E75956" w:rsidRPr="004C78D8" w:rsidRDefault="00E75956" w:rsidP="00FB7C1F">
            <w:pPr>
              <w:jc w:val="left"/>
              <w:rPr>
                <w:sz w:val="18"/>
                <w:szCs w:val="18"/>
                <w:lang w:val="en-US"/>
              </w:rPr>
            </w:pPr>
            <w:r w:rsidRPr="004C78D8">
              <w:rPr>
                <w:sz w:val="18"/>
                <w:szCs w:val="18"/>
                <w:lang w:val="en-US"/>
              </w:rPr>
              <w:t>Any fall</w:t>
            </w:r>
          </w:p>
          <w:p w14:paraId="04E61ABC" w14:textId="77777777" w:rsidR="00E75956" w:rsidRPr="004C78D8" w:rsidRDefault="00E75956" w:rsidP="00FB7C1F">
            <w:pPr>
              <w:jc w:val="left"/>
              <w:rPr>
                <w:sz w:val="18"/>
                <w:szCs w:val="18"/>
                <w:lang w:val="en-US"/>
              </w:rPr>
            </w:pPr>
            <w:r w:rsidRPr="004C78D8">
              <w:rPr>
                <w:sz w:val="18"/>
                <w:szCs w:val="18"/>
                <w:lang w:val="en-US"/>
              </w:rPr>
              <w:t>(</w:t>
            </w:r>
            <w:r w:rsidRPr="004C78D8">
              <w:rPr>
                <w:b/>
                <w:bCs/>
                <w:sz w:val="18"/>
                <w:szCs w:val="18"/>
                <w:lang w:val="en-US"/>
              </w:rPr>
              <w:t>MA fall</w:t>
            </w:r>
            <w:r w:rsidRPr="004C78D8">
              <w:rPr>
                <w:sz w:val="18"/>
                <w:szCs w:val="18"/>
                <w:lang w:val="en-US"/>
              </w:rPr>
              <w:t>)</w:t>
            </w:r>
          </w:p>
        </w:tc>
        <w:tc>
          <w:tcPr>
            <w:tcW w:w="840" w:type="pct"/>
            <w:tcBorders>
              <w:top w:val="nil"/>
              <w:bottom w:val="nil"/>
            </w:tcBorders>
          </w:tcPr>
          <w:p w14:paraId="0A9C5D17" w14:textId="77777777" w:rsidR="00E75956" w:rsidRPr="004C78D8" w:rsidRDefault="00E75956" w:rsidP="00FB7C1F">
            <w:pPr>
              <w:jc w:val="left"/>
              <w:rPr>
                <w:sz w:val="18"/>
                <w:szCs w:val="18"/>
                <w:lang w:val="en-US"/>
              </w:rPr>
            </w:pPr>
            <w:r w:rsidRPr="004C78D8">
              <w:rPr>
                <w:sz w:val="18"/>
                <w:szCs w:val="18"/>
                <w:lang w:val="en-US"/>
              </w:rPr>
              <w:t>External meta-an.</w:t>
            </w:r>
          </w:p>
        </w:tc>
        <w:tc>
          <w:tcPr>
            <w:tcW w:w="579" w:type="pct"/>
            <w:tcBorders>
              <w:top w:val="nil"/>
              <w:bottom w:val="nil"/>
            </w:tcBorders>
          </w:tcPr>
          <w:p w14:paraId="2BABF713" w14:textId="77777777" w:rsidR="00E75956" w:rsidRPr="004C78D8" w:rsidRDefault="00E75956" w:rsidP="00FB7C1F">
            <w:pPr>
              <w:jc w:val="left"/>
              <w:rPr>
                <w:sz w:val="18"/>
                <w:szCs w:val="18"/>
                <w:lang w:val="en-US"/>
              </w:rPr>
            </w:pPr>
            <w:r w:rsidRPr="004C78D8">
              <w:rPr>
                <w:sz w:val="18"/>
                <w:szCs w:val="18"/>
                <w:lang w:val="en-US"/>
              </w:rPr>
              <w:t>RaR (</w:t>
            </w:r>
            <w:r w:rsidRPr="004C78D8">
              <w:rPr>
                <w:b/>
                <w:bCs/>
                <w:sz w:val="18"/>
                <w:szCs w:val="18"/>
                <w:lang w:val="en-US"/>
              </w:rPr>
              <w:t>risk</w:t>
            </w:r>
            <w:r w:rsidRPr="004C78D8">
              <w:rPr>
                <w:sz w:val="18"/>
                <w:szCs w:val="18"/>
                <w:lang w:val="en-US"/>
              </w:rPr>
              <w:t>)</w:t>
            </w:r>
          </w:p>
        </w:tc>
        <w:tc>
          <w:tcPr>
            <w:tcW w:w="986" w:type="pct"/>
            <w:tcBorders>
              <w:top w:val="nil"/>
              <w:bottom w:val="nil"/>
            </w:tcBorders>
          </w:tcPr>
          <w:p w14:paraId="7F3264D2" w14:textId="77777777" w:rsidR="00E75956" w:rsidRPr="004C78D8" w:rsidRDefault="00E75956" w:rsidP="00FB7C1F">
            <w:pPr>
              <w:jc w:val="left"/>
              <w:rPr>
                <w:sz w:val="18"/>
                <w:szCs w:val="18"/>
                <w:lang w:val="en-US"/>
              </w:rPr>
            </w:pPr>
            <w:r w:rsidRPr="004C78D8">
              <w:rPr>
                <w:sz w:val="18"/>
                <w:szCs w:val="18"/>
                <w:lang w:val="en-US"/>
              </w:rPr>
              <w:t>1 year (1 year)</w:t>
            </w:r>
          </w:p>
        </w:tc>
      </w:tr>
      <w:tr w:rsidR="00E75956" w:rsidRPr="004C78D8" w14:paraId="35505C15" w14:textId="77777777" w:rsidTr="002828C1">
        <w:tc>
          <w:tcPr>
            <w:tcW w:w="940" w:type="pct"/>
          </w:tcPr>
          <w:p w14:paraId="4378C424" w14:textId="77777777" w:rsidR="00E75956" w:rsidRPr="004C78D8" w:rsidRDefault="00E75956" w:rsidP="00FB7C1F">
            <w:pPr>
              <w:jc w:val="left"/>
              <w:rPr>
                <w:sz w:val="18"/>
                <w:szCs w:val="18"/>
              </w:rPr>
            </w:pPr>
            <w:r w:rsidRPr="004C78D8">
              <w:rPr>
                <w:sz w:val="18"/>
                <w:szCs w:val="18"/>
              </w:rPr>
              <w:t>Tannenbaum (2015)</w:t>
            </w:r>
          </w:p>
        </w:tc>
        <w:tc>
          <w:tcPr>
            <w:tcW w:w="871" w:type="pct"/>
            <w:tcBorders>
              <w:top w:val="nil"/>
              <w:bottom w:val="nil"/>
            </w:tcBorders>
          </w:tcPr>
          <w:p w14:paraId="0B09680E" w14:textId="77777777" w:rsidR="00E75956" w:rsidRPr="004C78D8" w:rsidRDefault="00E75956" w:rsidP="00FB7C1F">
            <w:pPr>
              <w:jc w:val="left"/>
              <w:rPr>
                <w:sz w:val="18"/>
                <w:szCs w:val="18"/>
              </w:rPr>
            </w:pPr>
            <w:r w:rsidRPr="004C78D8">
              <w:rPr>
                <w:sz w:val="18"/>
                <w:szCs w:val="18"/>
              </w:rPr>
              <w:t>Insomnia treatments</w:t>
            </w:r>
          </w:p>
        </w:tc>
        <w:tc>
          <w:tcPr>
            <w:tcW w:w="785" w:type="pct"/>
            <w:tcBorders>
              <w:top w:val="nil"/>
              <w:bottom w:val="nil"/>
            </w:tcBorders>
          </w:tcPr>
          <w:p w14:paraId="02E9A5CD" w14:textId="77777777" w:rsidR="00E75956" w:rsidRPr="004C78D8" w:rsidRDefault="00E75956" w:rsidP="00FB7C1F">
            <w:pPr>
              <w:jc w:val="left"/>
              <w:rPr>
                <w:sz w:val="18"/>
                <w:szCs w:val="18"/>
                <w:lang w:val="en-US"/>
              </w:rPr>
            </w:pPr>
            <w:r w:rsidRPr="004C78D8">
              <w:rPr>
                <w:sz w:val="18"/>
                <w:szCs w:val="18"/>
                <w:lang w:val="en-US"/>
              </w:rPr>
              <w:t>Any fall</w:t>
            </w:r>
          </w:p>
          <w:p w14:paraId="588A4C3D" w14:textId="77777777" w:rsidR="00E75956" w:rsidRPr="004C78D8" w:rsidRDefault="00E75956" w:rsidP="00FB7C1F">
            <w:pPr>
              <w:jc w:val="left"/>
              <w:rPr>
                <w:sz w:val="18"/>
                <w:szCs w:val="18"/>
                <w:lang w:val="en-US"/>
              </w:rPr>
            </w:pPr>
            <w:r w:rsidRPr="004C78D8">
              <w:rPr>
                <w:sz w:val="18"/>
                <w:szCs w:val="18"/>
                <w:lang w:val="en-US"/>
              </w:rPr>
              <w:t>(any fall)</w:t>
            </w:r>
          </w:p>
        </w:tc>
        <w:tc>
          <w:tcPr>
            <w:tcW w:w="840" w:type="pct"/>
            <w:tcBorders>
              <w:top w:val="nil"/>
              <w:bottom w:val="nil"/>
            </w:tcBorders>
          </w:tcPr>
          <w:p w14:paraId="4C9BA4CA" w14:textId="77777777" w:rsidR="00E75956" w:rsidRPr="004C78D8" w:rsidRDefault="00E75956" w:rsidP="00FB7C1F">
            <w:pPr>
              <w:jc w:val="left"/>
              <w:rPr>
                <w:sz w:val="18"/>
                <w:szCs w:val="18"/>
                <w:lang w:val="en-US"/>
              </w:rPr>
            </w:pPr>
            <w:r w:rsidRPr="004C78D8">
              <w:rPr>
                <w:sz w:val="18"/>
                <w:szCs w:val="18"/>
                <w:lang w:val="en-US"/>
              </w:rPr>
              <w:t>External surveys</w:t>
            </w:r>
          </w:p>
        </w:tc>
        <w:tc>
          <w:tcPr>
            <w:tcW w:w="579" w:type="pct"/>
            <w:tcBorders>
              <w:top w:val="nil"/>
              <w:bottom w:val="nil"/>
            </w:tcBorders>
          </w:tcPr>
          <w:p w14:paraId="0A0DC80E" w14:textId="77777777" w:rsidR="00E75956" w:rsidRPr="004C78D8" w:rsidRDefault="00E75956" w:rsidP="00FB7C1F">
            <w:pPr>
              <w:jc w:val="left"/>
              <w:rPr>
                <w:sz w:val="18"/>
                <w:szCs w:val="18"/>
                <w:lang w:val="en-US"/>
              </w:rPr>
            </w:pPr>
            <w:r w:rsidRPr="004C78D8">
              <w:rPr>
                <w:sz w:val="18"/>
                <w:szCs w:val="18"/>
                <w:lang w:val="en-US"/>
              </w:rPr>
              <w:t>OR (risk)</w:t>
            </w:r>
          </w:p>
        </w:tc>
        <w:tc>
          <w:tcPr>
            <w:tcW w:w="986" w:type="pct"/>
            <w:tcBorders>
              <w:top w:val="nil"/>
              <w:bottom w:val="nil"/>
            </w:tcBorders>
          </w:tcPr>
          <w:p w14:paraId="4DC07F6D" w14:textId="77777777" w:rsidR="00E75956" w:rsidRPr="004C78D8" w:rsidRDefault="00E75956" w:rsidP="00FB7C1F">
            <w:pPr>
              <w:jc w:val="left"/>
              <w:rPr>
                <w:sz w:val="18"/>
                <w:szCs w:val="18"/>
                <w:lang w:val="en-US"/>
              </w:rPr>
            </w:pPr>
            <w:r w:rsidRPr="004C78D8">
              <w:rPr>
                <w:sz w:val="18"/>
                <w:szCs w:val="18"/>
                <w:lang w:val="en-US"/>
              </w:rPr>
              <w:t>Not specified</w:t>
            </w:r>
          </w:p>
          <w:p w14:paraId="6CE5573B" w14:textId="77777777" w:rsidR="00E75956" w:rsidRPr="004C78D8" w:rsidRDefault="00E75956" w:rsidP="00FB7C1F">
            <w:pPr>
              <w:jc w:val="left"/>
              <w:rPr>
                <w:sz w:val="18"/>
                <w:szCs w:val="18"/>
                <w:lang w:val="en-US"/>
              </w:rPr>
            </w:pPr>
            <w:r w:rsidRPr="004C78D8">
              <w:rPr>
                <w:sz w:val="18"/>
                <w:szCs w:val="18"/>
                <w:lang w:val="en-US"/>
              </w:rPr>
              <w:t>(1 or 5 years)</w:t>
            </w:r>
          </w:p>
        </w:tc>
      </w:tr>
      <w:tr w:rsidR="00E75956" w:rsidRPr="004C78D8" w14:paraId="2E25103C" w14:textId="77777777" w:rsidTr="002828C1">
        <w:tc>
          <w:tcPr>
            <w:tcW w:w="940" w:type="pct"/>
          </w:tcPr>
          <w:p w14:paraId="66E96FF6" w14:textId="77777777" w:rsidR="00E75956" w:rsidRPr="004C78D8" w:rsidRDefault="00E75956" w:rsidP="00FB7C1F">
            <w:pPr>
              <w:jc w:val="left"/>
              <w:rPr>
                <w:sz w:val="18"/>
                <w:szCs w:val="18"/>
              </w:rPr>
            </w:pPr>
            <w:r w:rsidRPr="004C78D8">
              <w:rPr>
                <w:sz w:val="18"/>
                <w:szCs w:val="18"/>
              </w:rPr>
              <w:t>Turner (2020)</w:t>
            </w:r>
          </w:p>
        </w:tc>
        <w:tc>
          <w:tcPr>
            <w:tcW w:w="871" w:type="pct"/>
            <w:tcBorders>
              <w:top w:val="nil"/>
              <w:bottom w:val="nil"/>
            </w:tcBorders>
          </w:tcPr>
          <w:p w14:paraId="24792482" w14:textId="77777777" w:rsidR="00E75956" w:rsidRPr="004C78D8" w:rsidRDefault="00E75956" w:rsidP="00FB7C1F">
            <w:pPr>
              <w:jc w:val="left"/>
              <w:rPr>
                <w:sz w:val="18"/>
                <w:szCs w:val="18"/>
              </w:rPr>
            </w:pPr>
            <w:r w:rsidRPr="004C78D8">
              <w:rPr>
                <w:sz w:val="18"/>
                <w:szCs w:val="18"/>
              </w:rPr>
              <w:t>Sedative withdrawal</w:t>
            </w:r>
          </w:p>
        </w:tc>
        <w:tc>
          <w:tcPr>
            <w:tcW w:w="785" w:type="pct"/>
            <w:tcBorders>
              <w:top w:val="nil"/>
              <w:bottom w:val="nil"/>
            </w:tcBorders>
          </w:tcPr>
          <w:p w14:paraId="567A5788" w14:textId="77777777" w:rsidR="00E75956" w:rsidRPr="004C78D8" w:rsidRDefault="00E75956" w:rsidP="00FB7C1F">
            <w:pPr>
              <w:jc w:val="left"/>
              <w:rPr>
                <w:sz w:val="18"/>
                <w:szCs w:val="18"/>
                <w:lang w:val="en-US"/>
              </w:rPr>
            </w:pPr>
            <w:r w:rsidRPr="004C78D8">
              <w:rPr>
                <w:sz w:val="18"/>
                <w:szCs w:val="18"/>
                <w:lang w:val="en-US"/>
              </w:rPr>
              <w:t>Hip/non-hip fracture (</w:t>
            </w:r>
            <w:r w:rsidRPr="004C78D8">
              <w:rPr>
                <w:b/>
                <w:bCs/>
                <w:sz w:val="18"/>
                <w:szCs w:val="18"/>
                <w:lang w:val="en-US"/>
              </w:rPr>
              <w:t>MA fall, hip/non-hip fracture</w:t>
            </w:r>
            <w:r w:rsidRPr="004C78D8">
              <w:rPr>
                <w:sz w:val="18"/>
                <w:szCs w:val="18"/>
                <w:lang w:val="en-US"/>
              </w:rPr>
              <w:t>)</w:t>
            </w:r>
          </w:p>
        </w:tc>
        <w:tc>
          <w:tcPr>
            <w:tcW w:w="840" w:type="pct"/>
            <w:tcBorders>
              <w:top w:val="nil"/>
              <w:bottom w:val="nil"/>
            </w:tcBorders>
          </w:tcPr>
          <w:p w14:paraId="2E7CE11C" w14:textId="77777777" w:rsidR="00E75956" w:rsidRPr="004C78D8" w:rsidRDefault="00E75956" w:rsidP="00FB7C1F">
            <w:pPr>
              <w:jc w:val="left"/>
              <w:rPr>
                <w:sz w:val="18"/>
                <w:szCs w:val="18"/>
                <w:lang w:val="en-US"/>
              </w:rPr>
            </w:pPr>
            <w:r w:rsidRPr="004C78D8">
              <w:rPr>
                <w:sz w:val="18"/>
                <w:szCs w:val="18"/>
                <w:lang w:val="en-US"/>
              </w:rPr>
              <w:t>External RCT</w:t>
            </w:r>
          </w:p>
        </w:tc>
        <w:tc>
          <w:tcPr>
            <w:tcW w:w="579" w:type="pct"/>
            <w:tcBorders>
              <w:top w:val="nil"/>
              <w:bottom w:val="nil"/>
            </w:tcBorders>
          </w:tcPr>
          <w:p w14:paraId="07D4CDCF" w14:textId="77777777" w:rsidR="00E75956" w:rsidRPr="004C78D8" w:rsidRDefault="00E75956" w:rsidP="00FB7C1F">
            <w:pPr>
              <w:jc w:val="left"/>
              <w:rPr>
                <w:sz w:val="18"/>
                <w:szCs w:val="18"/>
                <w:lang w:val="en-US"/>
              </w:rPr>
            </w:pPr>
            <w:r w:rsidRPr="004C78D8">
              <w:rPr>
                <w:sz w:val="18"/>
                <w:szCs w:val="18"/>
                <w:lang w:val="en-US"/>
              </w:rPr>
              <w:t>RaR (</w:t>
            </w:r>
            <w:r w:rsidRPr="004C78D8">
              <w:rPr>
                <w:b/>
                <w:bCs/>
                <w:sz w:val="18"/>
                <w:szCs w:val="18"/>
                <w:lang w:val="en-US"/>
              </w:rPr>
              <w:t>risk</w:t>
            </w:r>
            <w:r w:rsidRPr="004C78D8">
              <w:rPr>
                <w:sz w:val="18"/>
                <w:szCs w:val="18"/>
                <w:lang w:val="en-US"/>
              </w:rPr>
              <w:t>)</w:t>
            </w:r>
          </w:p>
        </w:tc>
        <w:tc>
          <w:tcPr>
            <w:tcW w:w="986" w:type="pct"/>
            <w:tcBorders>
              <w:top w:val="nil"/>
              <w:bottom w:val="nil"/>
            </w:tcBorders>
          </w:tcPr>
          <w:p w14:paraId="09E8417D" w14:textId="77777777" w:rsidR="00E75956" w:rsidRPr="004C78D8" w:rsidRDefault="00E75956" w:rsidP="00FB7C1F">
            <w:pPr>
              <w:jc w:val="left"/>
              <w:rPr>
                <w:sz w:val="18"/>
                <w:szCs w:val="18"/>
                <w:lang w:val="en-US"/>
              </w:rPr>
            </w:pPr>
            <w:r w:rsidRPr="004C78D8">
              <w:rPr>
                <w:sz w:val="18"/>
                <w:szCs w:val="18"/>
                <w:lang w:val="en-US"/>
              </w:rPr>
              <w:t>1 year (1 year)</w:t>
            </w:r>
          </w:p>
        </w:tc>
      </w:tr>
      <w:tr w:rsidR="00E75956" w:rsidRPr="004C78D8" w14:paraId="5955D675" w14:textId="77777777" w:rsidTr="002828C1">
        <w:tc>
          <w:tcPr>
            <w:tcW w:w="940" w:type="pct"/>
          </w:tcPr>
          <w:p w14:paraId="5EEC8DA2" w14:textId="77777777" w:rsidR="00E75956" w:rsidRPr="004C78D8" w:rsidRDefault="00E75956" w:rsidP="00FB7C1F">
            <w:pPr>
              <w:jc w:val="left"/>
              <w:rPr>
                <w:sz w:val="18"/>
                <w:szCs w:val="18"/>
                <w:lang w:val="it-IT"/>
              </w:rPr>
            </w:pPr>
            <w:r w:rsidRPr="004C78D8">
              <w:rPr>
                <w:sz w:val="18"/>
                <w:szCs w:val="18"/>
                <w:lang w:val="it-IT"/>
              </w:rPr>
              <w:t>Velde (2008)</w:t>
            </w:r>
          </w:p>
        </w:tc>
        <w:tc>
          <w:tcPr>
            <w:tcW w:w="871" w:type="pct"/>
            <w:tcBorders>
              <w:top w:val="nil"/>
              <w:bottom w:val="nil"/>
            </w:tcBorders>
          </w:tcPr>
          <w:p w14:paraId="340276C4" w14:textId="77777777" w:rsidR="00E75956" w:rsidRPr="004C78D8" w:rsidRDefault="00E75956" w:rsidP="00FB7C1F">
            <w:pPr>
              <w:jc w:val="left"/>
              <w:rPr>
                <w:sz w:val="18"/>
                <w:szCs w:val="18"/>
              </w:rPr>
            </w:pPr>
            <w:r w:rsidRPr="004C78D8">
              <w:rPr>
                <w:sz w:val="18"/>
                <w:szCs w:val="18"/>
              </w:rPr>
              <w:t>FRID withdrawal</w:t>
            </w:r>
          </w:p>
        </w:tc>
        <w:tc>
          <w:tcPr>
            <w:tcW w:w="785" w:type="pct"/>
            <w:tcBorders>
              <w:top w:val="nil"/>
              <w:bottom w:val="nil"/>
            </w:tcBorders>
          </w:tcPr>
          <w:p w14:paraId="5D92FACB" w14:textId="77777777" w:rsidR="00E75956" w:rsidRPr="004C78D8" w:rsidRDefault="00E75956" w:rsidP="00FB7C1F">
            <w:pPr>
              <w:jc w:val="left"/>
              <w:rPr>
                <w:sz w:val="18"/>
                <w:szCs w:val="18"/>
                <w:lang w:val="en-US"/>
              </w:rPr>
            </w:pPr>
            <w:r w:rsidRPr="004C78D8">
              <w:rPr>
                <w:sz w:val="18"/>
                <w:szCs w:val="18"/>
                <w:lang w:val="en-US"/>
              </w:rPr>
              <w:t>Any fall</w:t>
            </w:r>
          </w:p>
          <w:p w14:paraId="6AAC236C" w14:textId="77777777" w:rsidR="00E75956" w:rsidRPr="004C78D8" w:rsidRDefault="00E75956" w:rsidP="00FB7C1F">
            <w:pPr>
              <w:jc w:val="left"/>
              <w:rPr>
                <w:sz w:val="18"/>
                <w:szCs w:val="18"/>
                <w:lang w:val="en-US"/>
              </w:rPr>
            </w:pPr>
            <w:r w:rsidRPr="004C78D8">
              <w:rPr>
                <w:sz w:val="18"/>
                <w:szCs w:val="18"/>
                <w:lang w:val="en-US"/>
              </w:rPr>
              <w:t>(any fall)</w:t>
            </w:r>
          </w:p>
        </w:tc>
        <w:tc>
          <w:tcPr>
            <w:tcW w:w="840" w:type="pct"/>
            <w:tcBorders>
              <w:top w:val="nil"/>
              <w:bottom w:val="nil"/>
            </w:tcBorders>
          </w:tcPr>
          <w:p w14:paraId="68D7D2BA" w14:textId="77777777" w:rsidR="00E75956" w:rsidRPr="004C78D8" w:rsidRDefault="00E75956" w:rsidP="00FB7C1F">
            <w:pPr>
              <w:jc w:val="left"/>
              <w:rPr>
                <w:sz w:val="18"/>
                <w:szCs w:val="18"/>
                <w:lang w:val="en-US"/>
              </w:rPr>
            </w:pPr>
            <w:r w:rsidRPr="004C78D8">
              <w:rPr>
                <w:sz w:val="18"/>
                <w:szCs w:val="18"/>
                <w:lang w:val="en-US"/>
              </w:rPr>
              <w:t>Internal non-randomised</w:t>
            </w:r>
          </w:p>
        </w:tc>
        <w:tc>
          <w:tcPr>
            <w:tcW w:w="579" w:type="pct"/>
            <w:tcBorders>
              <w:top w:val="nil"/>
              <w:bottom w:val="nil"/>
            </w:tcBorders>
          </w:tcPr>
          <w:p w14:paraId="3ABC2A5F" w14:textId="77777777" w:rsidR="00E75956" w:rsidRPr="004C78D8" w:rsidRDefault="00E75956" w:rsidP="00FB7C1F">
            <w:pPr>
              <w:jc w:val="left"/>
              <w:rPr>
                <w:sz w:val="18"/>
                <w:szCs w:val="18"/>
                <w:lang w:val="en-US"/>
              </w:rPr>
            </w:pPr>
            <w:r w:rsidRPr="004C78D8">
              <w:rPr>
                <w:sz w:val="18"/>
                <w:szCs w:val="18"/>
                <w:lang w:val="en-US"/>
              </w:rPr>
              <w:t>RaR (rate)</w:t>
            </w:r>
          </w:p>
        </w:tc>
        <w:tc>
          <w:tcPr>
            <w:tcW w:w="986" w:type="pct"/>
            <w:tcBorders>
              <w:top w:val="nil"/>
              <w:bottom w:val="nil"/>
            </w:tcBorders>
          </w:tcPr>
          <w:p w14:paraId="5FB26191" w14:textId="02F38BD3" w:rsidR="00E75956" w:rsidRPr="004C78D8" w:rsidRDefault="00E75956" w:rsidP="00FB7C1F">
            <w:pPr>
              <w:jc w:val="left"/>
              <w:rPr>
                <w:sz w:val="18"/>
                <w:szCs w:val="18"/>
                <w:lang w:val="en-US"/>
              </w:rPr>
            </w:pPr>
            <w:r w:rsidRPr="004C78D8">
              <w:rPr>
                <w:sz w:val="18"/>
                <w:szCs w:val="18"/>
                <w:lang w:val="en-US"/>
              </w:rPr>
              <w:t>1 year (1 year</w:t>
            </w:r>
            <w:r w:rsidR="00EE7A8E" w:rsidRPr="004C78D8">
              <w:rPr>
                <w:sz w:val="18"/>
                <w:szCs w:val="18"/>
                <w:vertAlign w:val="superscript"/>
                <w:lang w:val="en-US"/>
              </w:rPr>
              <w:t>5</w:t>
            </w:r>
            <w:r w:rsidRPr="004C78D8">
              <w:rPr>
                <w:sz w:val="18"/>
                <w:szCs w:val="18"/>
                <w:lang w:val="en-US"/>
              </w:rPr>
              <w:t>)</w:t>
            </w:r>
          </w:p>
        </w:tc>
      </w:tr>
      <w:tr w:rsidR="00E75956" w:rsidRPr="004C78D8" w14:paraId="20A22719" w14:textId="77777777" w:rsidTr="002828C1">
        <w:tc>
          <w:tcPr>
            <w:tcW w:w="940" w:type="pct"/>
          </w:tcPr>
          <w:p w14:paraId="4D113E17" w14:textId="77777777" w:rsidR="00E75956" w:rsidRPr="004C78D8" w:rsidRDefault="00E75956" w:rsidP="00FB7C1F">
            <w:pPr>
              <w:jc w:val="left"/>
              <w:rPr>
                <w:sz w:val="18"/>
                <w:szCs w:val="18"/>
                <w:lang w:val="en-US"/>
              </w:rPr>
            </w:pPr>
            <w:r w:rsidRPr="004C78D8">
              <w:rPr>
                <w:sz w:val="18"/>
                <w:szCs w:val="18"/>
              </w:rPr>
              <w:t>Wu (2010)</w:t>
            </w:r>
          </w:p>
        </w:tc>
        <w:tc>
          <w:tcPr>
            <w:tcW w:w="871" w:type="pct"/>
            <w:tcBorders>
              <w:top w:val="nil"/>
              <w:bottom w:val="nil"/>
            </w:tcBorders>
          </w:tcPr>
          <w:p w14:paraId="2987CE4D" w14:textId="77777777" w:rsidR="00E75956" w:rsidRPr="004C78D8" w:rsidRDefault="00E75956" w:rsidP="00FB7C1F">
            <w:pPr>
              <w:jc w:val="left"/>
              <w:rPr>
                <w:sz w:val="18"/>
                <w:szCs w:val="18"/>
                <w:lang w:val="en-US"/>
              </w:rPr>
            </w:pPr>
            <w:r w:rsidRPr="004C78D8">
              <w:rPr>
                <w:sz w:val="18"/>
                <w:szCs w:val="18"/>
              </w:rPr>
              <w:t>Multifactorial int.</w:t>
            </w:r>
          </w:p>
        </w:tc>
        <w:tc>
          <w:tcPr>
            <w:tcW w:w="785" w:type="pct"/>
            <w:tcBorders>
              <w:top w:val="nil"/>
              <w:bottom w:val="nil"/>
            </w:tcBorders>
          </w:tcPr>
          <w:p w14:paraId="5A02208F" w14:textId="77777777" w:rsidR="00E75956" w:rsidRPr="004C78D8" w:rsidRDefault="00E75956" w:rsidP="00FB7C1F">
            <w:pPr>
              <w:jc w:val="left"/>
              <w:rPr>
                <w:sz w:val="18"/>
                <w:szCs w:val="18"/>
                <w:lang w:val="en-US"/>
              </w:rPr>
            </w:pPr>
            <w:r w:rsidRPr="004C78D8">
              <w:rPr>
                <w:sz w:val="18"/>
                <w:szCs w:val="18"/>
                <w:lang w:val="en-US"/>
              </w:rPr>
              <w:t>Any fall</w:t>
            </w:r>
          </w:p>
          <w:p w14:paraId="1EA7FDD2" w14:textId="77777777" w:rsidR="00E75956" w:rsidRPr="004C78D8" w:rsidRDefault="00E75956" w:rsidP="00FB7C1F">
            <w:pPr>
              <w:jc w:val="left"/>
              <w:rPr>
                <w:sz w:val="18"/>
                <w:szCs w:val="18"/>
                <w:lang w:val="en-US"/>
              </w:rPr>
            </w:pPr>
            <w:r w:rsidRPr="004C78D8">
              <w:rPr>
                <w:sz w:val="18"/>
                <w:szCs w:val="18"/>
                <w:lang w:val="en-US"/>
              </w:rPr>
              <w:t>(any fall)</w:t>
            </w:r>
          </w:p>
        </w:tc>
        <w:tc>
          <w:tcPr>
            <w:tcW w:w="840" w:type="pct"/>
            <w:tcBorders>
              <w:top w:val="nil"/>
              <w:bottom w:val="nil"/>
            </w:tcBorders>
          </w:tcPr>
          <w:p w14:paraId="2DC11C09" w14:textId="77777777" w:rsidR="00E75956" w:rsidRPr="004C78D8" w:rsidRDefault="00E75956" w:rsidP="00FB7C1F">
            <w:pPr>
              <w:jc w:val="left"/>
              <w:rPr>
                <w:sz w:val="18"/>
                <w:szCs w:val="18"/>
                <w:lang w:val="en-US"/>
              </w:rPr>
            </w:pPr>
            <w:r w:rsidRPr="004C78D8">
              <w:rPr>
                <w:sz w:val="18"/>
                <w:szCs w:val="18"/>
                <w:lang w:val="en-US"/>
              </w:rPr>
              <w:t>External meta-an.</w:t>
            </w:r>
          </w:p>
        </w:tc>
        <w:tc>
          <w:tcPr>
            <w:tcW w:w="579" w:type="pct"/>
            <w:tcBorders>
              <w:top w:val="nil"/>
              <w:bottom w:val="nil"/>
            </w:tcBorders>
          </w:tcPr>
          <w:p w14:paraId="645D4854" w14:textId="77777777" w:rsidR="00E75956" w:rsidRPr="004C78D8" w:rsidRDefault="00E75956" w:rsidP="00FB7C1F">
            <w:pPr>
              <w:jc w:val="left"/>
              <w:rPr>
                <w:sz w:val="18"/>
                <w:szCs w:val="18"/>
                <w:lang w:val="en-US"/>
              </w:rPr>
            </w:pPr>
            <w:r w:rsidRPr="004C78D8">
              <w:rPr>
                <w:sz w:val="18"/>
                <w:szCs w:val="18"/>
                <w:lang w:val="en-US"/>
              </w:rPr>
              <w:t>RR (risk)</w:t>
            </w:r>
          </w:p>
        </w:tc>
        <w:tc>
          <w:tcPr>
            <w:tcW w:w="986" w:type="pct"/>
            <w:tcBorders>
              <w:top w:val="nil"/>
              <w:bottom w:val="nil"/>
            </w:tcBorders>
          </w:tcPr>
          <w:p w14:paraId="69ACAE28" w14:textId="77777777" w:rsidR="00E75956" w:rsidRPr="004C78D8" w:rsidRDefault="00E75956" w:rsidP="00FB7C1F">
            <w:pPr>
              <w:jc w:val="left"/>
              <w:rPr>
                <w:sz w:val="18"/>
                <w:szCs w:val="18"/>
                <w:lang w:val="en-US"/>
              </w:rPr>
            </w:pPr>
            <w:r w:rsidRPr="004C78D8">
              <w:rPr>
                <w:sz w:val="18"/>
                <w:szCs w:val="18"/>
                <w:lang w:val="en-US"/>
              </w:rPr>
              <w:t>1 year (1 year)</w:t>
            </w:r>
          </w:p>
        </w:tc>
      </w:tr>
      <w:tr w:rsidR="00E75956" w:rsidRPr="004C78D8" w14:paraId="17DD2F75" w14:textId="77777777" w:rsidTr="002828C1">
        <w:tc>
          <w:tcPr>
            <w:tcW w:w="940" w:type="pct"/>
          </w:tcPr>
          <w:p w14:paraId="07C2B983" w14:textId="77777777" w:rsidR="00E75956" w:rsidRPr="004C78D8" w:rsidRDefault="00E75956" w:rsidP="00FB7C1F">
            <w:pPr>
              <w:jc w:val="left"/>
              <w:rPr>
                <w:sz w:val="18"/>
                <w:szCs w:val="18"/>
              </w:rPr>
            </w:pPr>
            <w:r w:rsidRPr="004C78D8">
              <w:rPr>
                <w:sz w:val="18"/>
                <w:szCs w:val="18"/>
              </w:rPr>
              <w:t>Zarca (2014)</w:t>
            </w:r>
          </w:p>
        </w:tc>
        <w:tc>
          <w:tcPr>
            <w:tcW w:w="871" w:type="pct"/>
            <w:tcBorders>
              <w:top w:val="nil"/>
            </w:tcBorders>
          </w:tcPr>
          <w:p w14:paraId="54537862" w14:textId="77777777" w:rsidR="00E75956" w:rsidRPr="004C78D8" w:rsidRDefault="00E75956" w:rsidP="00FB7C1F">
            <w:pPr>
              <w:jc w:val="left"/>
              <w:rPr>
                <w:sz w:val="18"/>
                <w:szCs w:val="18"/>
              </w:rPr>
            </w:pPr>
            <w:r w:rsidRPr="004C78D8">
              <w:rPr>
                <w:sz w:val="18"/>
                <w:szCs w:val="18"/>
              </w:rPr>
              <w:t>Vit. D screening &amp; supplement</w:t>
            </w:r>
          </w:p>
        </w:tc>
        <w:tc>
          <w:tcPr>
            <w:tcW w:w="785" w:type="pct"/>
            <w:tcBorders>
              <w:top w:val="nil"/>
            </w:tcBorders>
          </w:tcPr>
          <w:p w14:paraId="213E1E5F" w14:textId="77777777" w:rsidR="00E75956" w:rsidRPr="004C78D8" w:rsidRDefault="00E75956" w:rsidP="00FB7C1F">
            <w:pPr>
              <w:jc w:val="left"/>
              <w:rPr>
                <w:sz w:val="18"/>
                <w:szCs w:val="18"/>
                <w:lang w:val="en-US"/>
              </w:rPr>
            </w:pPr>
            <w:r w:rsidRPr="004C78D8">
              <w:rPr>
                <w:sz w:val="18"/>
                <w:szCs w:val="18"/>
                <w:lang w:val="en-US"/>
              </w:rPr>
              <w:t xml:space="preserve">Vit. D level </w:t>
            </w:r>
          </w:p>
          <w:p w14:paraId="671FE306" w14:textId="77777777" w:rsidR="00E75956" w:rsidRPr="004C78D8" w:rsidRDefault="00E75956" w:rsidP="00FB7C1F">
            <w:pPr>
              <w:jc w:val="left"/>
              <w:rPr>
                <w:sz w:val="18"/>
                <w:szCs w:val="18"/>
                <w:lang w:val="en-US"/>
              </w:rPr>
            </w:pPr>
            <w:r w:rsidRPr="004C78D8">
              <w:rPr>
                <w:sz w:val="18"/>
                <w:szCs w:val="18"/>
                <w:lang w:val="en-US"/>
              </w:rPr>
              <w:t>(vit. D level)</w:t>
            </w:r>
          </w:p>
        </w:tc>
        <w:tc>
          <w:tcPr>
            <w:tcW w:w="840" w:type="pct"/>
            <w:tcBorders>
              <w:top w:val="nil"/>
            </w:tcBorders>
          </w:tcPr>
          <w:p w14:paraId="4D554614" w14:textId="77777777" w:rsidR="00E75956" w:rsidRPr="004C78D8" w:rsidRDefault="00E75956" w:rsidP="00FB7C1F">
            <w:pPr>
              <w:jc w:val="left"/>
              <w:rPr>
                <w:sz w:val="18"/>
                <w:szCs w:val="18"/>
                <w:lang w:val="en-US"/>
              </w:rPr>
            </w:pPr>
            <w:r w:rsidRPr="004C78D8">
              <w:rPr>
                <w:sz w:val="18"/>
                <w:szCs w:val="18"/>
                <w:lang w:val="en-US"/>
              </w:rPr>
              <w:t>External meta-an. and RCT</w:t>
            </w:r>
          </w:p>
        </w:tc>
        <w:tc>
          <w:tcPr>
            <w:tcW w:w="579" w:type="pct"/>
            <w:tcBorders>
              <w:top w:val="nil"/>
            </w:tcBorders>
          </w:tcPr>
          <w:p w14:paraId="5B6E527E" w14:textId="5FB36D3E" w:rsidR="00E75956" w:rsidRPr="004C78D8" w:rsidRDefault="00E75956" w:rsidP="00FB7C1F">
            <w:pPr>
              <w:jc w:val="left"/>
              <w:rPr>
                <w:sz w:val="18"/>
                <w:szCs w:val="18"/>
                <w:lang w:val="en-US"/>
              </w:rPr>
            </w:pPr>
            <w:r w:rsidRPr="004C78D8">
              <w:rPr>
                <w:sz w:val="18"/>
                <w:szCs w:val="18"/>
                <w:lang w:val="en-US"/>
              </w:rPr>
              <w:t>Other</w:t>
            </w:r>
            <w:r w:rsidR="00EE7A8E" w:rsidRPr="004C78D8">
              <w:rPr>
                <w:sz w:val="18"/>
                <w:szCs w:val="18"/>
                <w:vertAlign w:val="superscript"/>
                <w:lang w:val="en-US"/>
              </w:rPr>
              <w:t>7</w:t>
            </w:r>
          </w:p>
        </w:tc>
        <w:tc>
          <w:tcPr>
            <w:tcW w:w="986" w:type="pct"/>
            <w:tcBorders>
              <w:top w:val="nil"/>
            </w:tcBorders>
          </w:tcPr>
          <w:p w14:paraId="325F94D3" w14:textId="77777777" w:rsidR="00E75956" w:rsidRPr="004C78D8" w:rsidRDefault="00E75956" w:rsidP="00FB7C1F">
            <w:pPr>
              <w:jc w:val="left"/>
              <w:rPr>
                <w:sz w:val="18"/>
                <w:szCs w:val="18"/>
                <w:lang w:val="en-US"/>
              </w:rPr>
            </w:pPr>
            <w:r w:rsidRPr="004C78D8">
              <w:rPr>
                <w:sz w:val="18"/>
                <w:szCs w:val="18"/>
                <w:lang w:val="en-US"/>
              </w:rPr>
              <w:t>Varying persistence (lifetime)</w:t>
            </w:r>
          </w:p>
        </w:tc>
      </w:tr>
      <w:tr w:rsidR="00E75956" w:rsidRPr="004C78D8" w14:paraId="579A734B" w14:textId="77777777" w:rsidTr="002828C1">
        <w:tc>
          <w:tcPr>
            <w:tcW w:w="5000" w:type="pct"/>
            <w:gridSpan w:val="6"/>
          </w:tcPr>
          <w:p w14:paraId="1B7255F3" w14:textId="33044DC4" w:rsidR="00E75956" w:rsidRPr="004C78D8" w:rsidRDefault="00E75956" w:rsidP="00FB7C1F">
            <w:pPr>
              <w:rPr>
                <w:sz w:val="18"/>
                <w:szCs w:val="18"/>
              </w:rPr>
            </w:pPr>
            <w:r w:rsidRPr="004C78D8">
              <w:rPr>
                <w:b/>
                <w:bCs/>
                <w:sz w:val="18"/>
                <w:szCs w:val="18"/>
              </w:rPr>
              <w:t xml:space="preserve">Abbreviation: </w:t>
            </w:r>
            <w:r w:rsidRPr="004C78D8">
              <w:rPr>
                <w:sz w:val="18"/>
                <w:szCs w:val="18"/>
              </w:rPr>
              <w:t>CSP: Chartered Society of Physiotherapy; FRID: fall-risk-increasing drug; HAM: home assessment and modification; MA fall: fall requiring medical attention; Met-An.: meta-analysis; OMAS: Ontario Medical Advisory Secretariat; OR: odds ratio; PHE: Public Health England; PIP: potential inappropriately prescribed; RaR: rate ratio; RCN: Royal College of Nursing; RCT: randomised controlled trial; RR: relative risk; Vit. D: vitamin D</w:t>
            </w:r>
          </w:p>
          <w:p w14:paraId="0C5818D5" w14:textId="1A829E54" w:rsidR="00E75956" w:rsidRPr="004C78D8" w:rsidRDefault="00EE7A8E" w:rsidP="00FB7C1F">
            <w:pPr>
              <w:rPr>
                <w:sz w:val="18"/>
                <w:szCs w:val="18"/>
                <w:lang w:val="en-US"/>
              </w:rPr>
            </w:pPr>
            <w:r w:rsidRPr="004C78D8">
              <w:rPr>
                <w:sz w:val="18"/>
                <w:szCs w:val="18"/>
                <w:vertAlign w:val="superscript"/>
                <w:lang w:val="en-US"/>
              </w:rPr>
              <w:t>1</w:t>
            </w:r>
            <w:r w:rsidR="00E75956" w:rsidRPr="004C78D8">
              <w:rPr>
                <w:sz w:val="18"/>
                <w:szCs w:val="18"/>
                <w:lang w:val="en-US"/>
              </w:rPr>
              <w:t xml:space="preserve"> </w:t>
            </w:r>
            <w:r w:rsidR="00E75956" w:rsidRPr="004C78D8">
              <w:rPr>
                <w:sz w:val="18"/>
                <w:szCs w:val="18"/>
              </w:rPr>
              <w:t xml:space="preserve">See Table </w:t>
            </w:r>
            <w:r w:rsidR="00602B46" w:rsidRPr="004C78D8">
              <w:rPr>
                <w:sz w:val="18"/>
                <w:szCs w:val="18"/>
              </w:rPr>
              <w:t>4</w:t>
            </w:r>
            <w:r w:rsidRPr="004C78D8">
              <w:rPr>
                <w:sz w:val="18"/>
                <w:szCs w:val="18"/>
              </w:rPr>
              <w:t>.</w:t>
            </w:r>
            <w:r w:rsidR="00E75956" w:rsidRPr="004C78D8">
              <w:rPr>
                <w:sz w:val="18"/>
                <w:szCs w:val="18"/>
              </w:rPr>
              <w:t>2 for study references.</w:t>
            </w:r>
          </w:p>
          <w:p w14:paraId="2ABD56C8" w14:textId="6C2FF699" w:rsidR="00E75956" w:rsidRPr="004C78D8" w:rsidRDefault="00EE7A8E" w:rsidP="00FB7C1F">
            <w:pPr>
              <w:rPr>
                <w:sz w:val="18"/>
                <w:szCs w:val="18"/>
                <w:lang w:val="en-US"/>
              </w:rPr>
            </w:pPr>
            <w:r w:rsidRPr="004C78D8">
              <w:rPr>
                <w:sz w:val="18"/>
                <w:szCs w:val="18"/>
                <w:vertAlign w:val="superscript"/>
                <w:lang w:val="en-US"/>
              </w:rPr>
              <w:t>2</w:t>
            </w:r>
            <w:r w:rsidR="00E75956" w:rsidRPr="004C78D8">
              <w:rPr>
                <w:sz w:val="18"/>
                <w:szCs w:val="18"/>
                <w:lang w:val="en-US"/>
              </w:rPr>
              <w:t xml:space="preserve"> The effectiveness period is a function of efficacy durability and implementation sustainability. Key determinants of sustainability are demand-side </w:t>
            </w:r>
            <w:r w:rsidR="00E75956" w:rsidRPr="004C78D8">
              <w:rPr>
                <w:i/>
                <w:iCs/>
                <w:sz w:val="18"/>
                <w:szCs w:val="18"/>
                <w:lang w:val="en-US"/>
              </w:rPr>
              <w:t>persistence</w:t>
            </w:r>
            <w:r w:rsidR="00E75956" w:rsidRPr="004C78D8">
              <w:rPr>
                <w:sz w:val="18"/>
                <w:szCs w:val="18"/>
                <w:lang w:val="en-US"/>
              </w:rPr>
              <w:t xml:space="preserve"> and supply-side </w:t>
            </w:r>
            <w:r w:rsidR="00E75956" w:rsidRPr="004C78D8">
              <w:rPr>
                <w:i/>
                <w:iCs/>
                <w:sz w:val="18"/>
                <w:szCs w:val="18"/>
                <w:lang w:val="en-US"/>
              </w:rPr>
              <w:t>maintenance</w:t>
            </w:r>
            <w:r w:rsidR="00E75956" w:rsidRPr="004C78D8">
              <w:rPr>
                <w:sz w:val="18"/>
                <w:szCs w:val="18"/>
                <w:lang w:val="en-US"/>
              </w:rPr>
              <w:t xml:space="preserve">; not all studies made this distinction. </w:t>
            </w:r>
          </w:p>
          <w:p w14:paraId="3CB7015C" w14:textId="30029753" w:rsidR="00E75956" w:rsidRPr="004C78D8" w:rsidRDefault="00EE7A8E" w:rsidP="00FB7C1F">
            <w:pPr>
              <w:rPr>
                <w:sz w:val="18"/>
                <w:szCs w:val="18"/>
                <w:lang w:val="en-US"/>
              </w:rPr>
            </w:pPr>
            <w:r w:rsidRPr="004C78D8">
              <w:rPr>
                <w:sz w:val="18"/>
                <w:szCs w:val="18"/>
                <w:vertAlign w:val="superscript"/>
                <w:lang w:val="en-US"/>
              </w:rPr>
              <w:t>3</w:t>
            </w:r>
            <w:r w:rsidR="00E75956" w:rsidRPr="004C78D8">
              <w:rPr>
                <w:sz w:val="18"/>
                <w:szCs w:val="18"/>
                <w:lang w:val="en-US"/>
              </w:rPr>
              <w:t xml:space="preserve"> </w:t>
            </w:r>
            <w:r w:rsidR="00E75956" w:rsidRPr="004C78D8">
              <w:rPr>
                <w:sz w:val="18"/>
                <w:szCs w:val="18"/>
              </w:rPr>
              <w:t>This model used a composite outcome including fall-related consequences – recurrent falls, fear of falling and mobility and balance problems – and multivariate frailty index – physical, psychological and social aspects of vulnerability.</w:t>
            </w:r>
          </w:p>
          <w:p w14:paraId="53BC03EE" w14:textId="74DC428F" w:rsidR="00E75956" w:rsidRPr="004C78D8" w:rsidRDefault="00EE7A8E" w:rsidP="00FB7C1F">
            <w:pPr>
              <w:rPr>
                <w:sz w:val="18"/>
                <w:szCs w:val="18"/>
                <w:lang w:val="en-US"/>
              </w:rPr>
            </w:pPr>
            <w:r w:rsidRPr="004C78D8">
              <w:rPr>
                <w:sz w:val="18"/>
                <w:szCs w:val="18"/>
                <w:vertAlign w:val="superscript"/>
                <w:lang w:val="en-US"/>
              </w:rPr>
              <w:t>4</w:t>
            </w:r>
            <w:r w:rsidR="00E75956" w:rsidRPr="004C78D8">
              <w:rPr>
                <w:sz w:val="18"/>
                <w:szCs w:val="18"/>
                <w:lang w:val="en-US"/>
              </w:rPr>
              <w:t xml:space="preserve"> Also includes benefit of cataract surgery on vision: permanent increase of 0.0565 quality-adjusted life year per person.</w:t>
            </w:r>
          </w:p>
          <w:p w14:paraId="6EEFB5AC" w14:textId="2EDD2E8E" w:rsidR="00E75956" w:rsidRPr="004C78D8" w:rsidRDefault="00EE7A8E" w:rsidP="00FB7C1F">
            <w:pPr>
              <w:rPr>
                <w:sz w:val="18"/>
                <w:szCs w:val="18"/>
                <w:lang w:val="en-US"/>
              </w:rPr>
            </w:pPr>
            <w:r w:rsidRPr="004C78D8">
              <w:rPr>
                <w:sz w:val="18"/>
                <w:szCs w:val="18"/>
                <w:vertAlign w:val="superscript"/>
                <w:lang w:val="en-US"/>
              </w:rPr>
              <w:t>5</w:t>
            </w:r>
            <w:r w:rsidR="00E75956" w:rsidRPr="004C78D8">
              <w:rPr>
                <w:sz w:val="18"/>
                <w:szCs w:val="18"/>
                <w:lang w:val="en-US"/>
              </w:rPr>
              <w:t xml:space="preserve"> The study contained a single one-year cycle but included lifetime healthcare costs and effects of hip fracture.</w:t>
            </w:r>
          </w:p>
          <w:p w14:paraId="7D197D1E" w14:textId="5F027DA2" w:rsidR="00E75956" w:rsidRPr="004C78D8" w:rsidRDefault="00EE7A8E" w:rsidP="00FB7C1F">
            <w:pPr>
              <w:rPr>
                <w:sz w:val="18"/>
                <w:szCs w:val="18"/>
                <w:lang w:val="en-US"/>
              </w:rPr>
            </w:pPr>
            <w:r w:rsidRPr="004C78D8">
              <w:rPr>
                <w:sz w:val="18"/>
                <w:szCs w:val="18"/>
                <w:vertAlign w:val="superscript"/>
                <w:lang w:val="en-US"/>
              </w:rPr>
              <w:t>6</w:t>
            </w:r>
            <w:r w:rsidR="00E75956" w:rsidRPr="004C78D8">
              <w:rPr>
                <w:sz w:val="18"/>
                <w:szCs w:val="18"/>
                <w:lang w:val="en-US"/>
              </w:rPr>
              <w:t xml:space="preserve"> After </w:t>
            </w:r>
            <w:r w:rsidR="00A1576C" w:rsidRPr="004C78D8">
              <w:rPr>
                <w:sz w:val="18"/>
                <w:szCs w:val="18"/>
                <w:lang w:val="en-US"/>
              </w:rPr>
              <w:t>three</w:t>
            </w:r>
            <w:r w:rsidR="00E75956" w:rsidRPr="004C78D8">
              <w:rPr>
                <w:sz w:val="18"/>
                <w:szCs w:val="18"/>
                <w:lang w:val="en-US"/>
              </w:rPr>
              <w:t xml:space="preserve"> years of vitamin D and calcium supplementation, the efficacy would remain for further </w:t>
            </w:r>
            <w:r w:rsidR="00A1576C" w:rsidRPr="004C78D8">
              <w:rPr>
                <w:sz w:val="18"/>
                <w:szCs w:val="18"/>
                <w:lang w:val="en-US"/>
              </w:rPr>
              <w:t>three</w:t>
            </w:r>
            <w:r w:rsidR="00E75956" w:rsidRPr="004C78D8">
              <w:rPr>
                <w:sz w:val="18"/>
                <w:szCs w:val="18"/>
                <w:lang w:val="en-US"/>
              </w:rPr>
              <w:t xml:space="preserve"> years, though declining linearly over that period.</w:t>
            </w:r>
          </w:p>
          <w:p w14:paraId="55E1EEFE" w14:textId="14CB87FF" w:rsidR="00E75956" w:rsidRPr="004C78D8" w:rsidRDefault="00EE7A8E" w:rsidP="00FB7C1F">
            <w:pPr>
              <w:rPr>
                <w:sz w:val="20"/>
                <w:szCs w:val="20"/>
                <w:lang w:val="en-US"/>
              </w:rPr>
            </w:pPr>
            <w:r w:rsidRPr="004C78D8">
              <w:rPr>
                <w:sz w:val="18"/>
                <w:szCs w:val="18"/>
                <w:vertAlign w:val="superscript"/>
                <w:lang w:val="en-US"/>
              </w:rPr>
              <w:t>7</w:t>
            </w:r>
            <w:r w:rsidR="00E75956" w:rsidRPr="004C78D8">
              <w:rPr>
                <w:sz w:val="18"/>
                <w:szCs w:val="18"/>
                <w:lang w:val="en-US"/>
              </w:rPr>
              <w:t xml:space="preserve"> Supplementation increased the vitamin D level which in turn reduced hip fracture risk. </w:t>
            </w:r>
          </w:p>
        </w:tc>
      </w:tr>
    </w:tbl>
    <w:p w14:paraId="39924230" w14:textId="07BAE44C" w:rsidR="00E75956" w:rsidRPr="004C78D8" w:rsidRDefault="00E75956" w:rsidP="00FB7C1F"/>
    <w:p w14:paraId="27D4FF51" w14:textId="55C590EF" w:rsidR="00357976" w:rsidRPr="004C78D8" w:rsidRDefault="00357976" w:rsidP="00FB7C1F">
      <w:r w:rsidRPr="004C78D8">
        <w:lastRenderedPageBreak/>
        <w:t xml:space="preserve">Table </w:t>
      </w:r>
      <w:r w:rsidR="00D17835" w:rsidRPr="004C78D8">
        <w:t>4</w:t>
      </w:r>
      <w:r w:rsidRPr="004C78D8">
        <w:t xml:space="preserve">.10 also compares the model horizon with the ‘effectiveness period’, i.e., a function of efficacy durability and implementation sustainability. Several studies contained significant disparities between the model horizon and the effectiveness period. For example, </w:t>
      </w:r>
      <w:r w:rsidR="002700AD" w:rsidRPr="004C78D8">
        <w:t>Mori</w:t>
      </w:r>
      <w:r w:rsidRPr="004C78D8">
        <w:t xml:space="preserve"> (2017) restricted the effectiveness period to one year within </w:t>
      </w:r>
      <w:r w:rsidR="00AD3F43" w:rsidRPr="004C78D8">
        <w:t xml:space="preserve">a </w:t>
      </w:r>
      <w:r w:rsidRPr="004C78D8">
        <w:t xml:space="preserve">lifetime horizon to produce conservative outcomes. Several lifetime models incorporated long-term effectiveness for individuals who persisted in intervention uptake </w:t>
      </w:r>
      <w:r w:rsidRPr="004C78D8">
        <w:fldChar w:fldCharType="begin">
          <w:fldData xml:space="preserve">PEVuZE5vdGU+PENpdGU+PEF1dGhvcj5EZXZlcmFsbDwvQXV0aG9yPjxZZWFyPjIwMTg8L1llYXI+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</w:fldData>
        </w:fldChar>
      </w:r>
      <w:r w:rsidR="00C630FC" w:rsidRPr="004C78D8">
        <w:instrText xml:space="preserve"> ADDIN EN.CITE </w:instrText>
      </w:r>
      <w:r w:rsidR="00C630FC" w:rsidRPr="004C78D8">
        <w:fldChar w:fldCharType="begin">
          <w:fldData xml:space="preserve">PEVuZE5vdGU+PENpdGU+PEF1dGhvcj5EZXZlcmFsbDwvQXV0aG9yPjxZZWFyPjIwMTg8L1llYXI+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[318, 346, 361, 366, 368]</w:t>
      </w:r>
      <w:r w:rsidRPr="004C78D8">
        <w:fldChar w:fldCharType="end"/>
      </w:r>
      <w:r w:rsidRPr="004C78D8">
        <w:t xml:space="preserve">. Models made diverse assumptions on post-implementation efficacy often without justification </w:t>
      </w:r>
      <w:r w:rsidRPr="004C78D8">
        <w:fldChar w:fldCharType="begin">
          <w:fldData xml:space="preserve">PEVuZE5vdGU+PENpdGU+PEF1dGhvcj5QdWJsaWMgSGVhbHRoIEVuZ2xhbmQ8L0F1dGhvcj48WWVh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</w:fldData>
        </w:fldChar>
      </w:r>
      <w:r w:rsidR="00C630FC" w:rsidRPr="004C78D8">
        <w:instrText xml:space="preserve"> ADDIN EN.CITE </w:instrText>
      </w:r>
      <w:r w:rsidR="00C630FC" w:rsidRPr="004C78D8">
        <w:fldChar w:fldCharType="begin">
          <w:fldData xml:space="preserve">PEVuZE5vdGU+PENpdGU+PEF1dGhvcj5QdWJsaWMgSGVhbHRoIEVuZ2xhbmQ8L0F1dGhvcj48WWVh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[216, 342, 343, 351, 360]</w:t>
      </w:r>
      <w:r w:rsidRPr="004C78D8">
        <w:fldChar w:fldCharType="end"/>
      </w:r>
      <w:r w:rsidRPr="004C78D8">
        <w:t xml:space="preserve">. For example, Church (2011) and (2012) incorporated lifetime efficacy for expedited cataract surgery and cardiac pacing but one-year efficacy for other interventions; unsurprisingly, the latter were significantly less cost-effective. Some deliberately curtailed the model horizon to reduce the discrepancy with the effectiveness period </w:t>
      </w:r>
      <w:r w:rsidRPr="004C78D8">
        <w:fldChar w:fldCharType="begin">
          <w:fldData xml:space="preserve">PEVuZE5vdGU+PENpdGU+PEF1dGhvcj5EYXk8L0F1dGhvcj48WWVhcj4yMDA5PC9ZZWFyPjxSZWNO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</w:fldData>
        </w:fldChar>
      </w:r>
      <w:r w:rsidR="00C630FC" w:rsidRPr="004C78D8">
        <w:instrText xml:space="preserve"> ADDIN EN.CITE </w:instrText>
      </w:r>
      <w:r w:rsidR="00C630FC" w:rsidRPr="004C78D8">
        <w:fldChar w:fldCharType="begin">
          <w:fldData xml:space="preserve">PEVuZE5vdGU+PENpdGU+PEF1dGhvcj5EYXk8L0F1dGhvcj48WWVhcj4yMDA5PC9ZZWFyPjxSZWNO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[167, 216, 353, 356]</w:t>
      </w:r>
      <w:r w:rsidRPr="004C78D8">
        <w:fldChar w:fldCharType="end"/>
      </w:r>
      <w:r w:rsidRPr="004C78D8">
        <w:t xml:space="preserve">. See Section </w:t>
      </w:r>
      <w:r w:rsidR="00D17835" w:rsidRPr="004C78D8">
        <w:t>4</w:t>
      </w:r>
      <w:r w:rsidRPr="004C78D8">
        <w:t>.5.3.3 for further discussion on modelled implementation sustainability.</w:t>
      </w:r>
    </w:p>
    <w:p w14:paraId="7A324F4A" w14:textId="175613EB" w:rsidR="00E37732" w:rsidRPr="004C78D8" w:rsidRDefault="00D17835" w:rsidP="00FB7C1F">
      <w:pPr>
        <w:pStyle w:val="Heading4"/>
      </w:pPr>
      <w:r w:rsidRPr="004C78D8">
        <w:t>4</w:t>
      </w:r>
      <w:r w:rsidR="00E37732" w:rsidRPr="004C78D8">
        <w:t xml:space="preserve">.5.2.5 </w:t>
      </w:r>
      <w:r w:rsidR="00587495" w:rsidRPr="004C78D8">
        <w:t>Wider health effects of interventions</w:t>
      </w:r>
    </w:p>
    <w:p w14:paraId="571D3077" w14:textId="3362D16C" w:rsidR="00587495" w:rsidRPr="004C78D8" w:rsidRDefault="00587495" w:rsidP="00FB7C1F">
      <w:r w:rsidRPr="004C78D8">
        <w:t xml:space="preserve">Few models incorporated wider health effects of interventions beyond falls prevention. Hiligsmann (2014) evaluated a scenario where vitamin D and calcium supplementation reduced the background mortality risk. Alhambra-Borras (2019) incorporated the effect of falls prevention exercise on frailty reduction. Boyd (2020) allowed cataract surgery to generate QALY gain through vision improvement. Models that incorporated all-cause care costs captured wider health effects without specifying the mechanism </w:t>
      </w:r>
      <w:r w:rsidRPr="004C78D8">
        <w:fldChar w:fldCharType="begin">
          <w:fldData xml:space="preserve">PEVuZE5vdGU+PENpdGU+PEF1dGhvcj5BbGJlcnQ8L0F1dGhvcj48WWVhcj4yMDE2PC9ZZWFyPjxS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</w:fldData>
        </w:fldChar>
      </w:r>
      <w:r w:rsidR="00C630FC" w:rsidRPr="004C78D8">
        <w:instrText xml:space="preserve"> ADDIN EN.CITE </w:instrText>
      </w:r>
      <w:r w:rsidR="00C630FC" w:rsidRPr="004C78D8">
        <w:fldChar w:fldCharType="begin">
          <w:fldData xml:space="preserve">PEVuZE5vdGU+PENpdGU+PEF1dGhvcj5BbGJlcnQ8L0F1dGhvcj48WWVhcj4yMDE2PC9ZZWFyPjxS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[349, 350, 354]</w:t>
      </w:r>
      <w:r w:rsidRPr="004C78D8">
        <w:fldChar w:fldCharType="end"/>
      </w:r>
      <w:r w:rsidRPr="004C78D8">
        <w:t xml:space="preserve">. Other models mentioned their non-incorporation as a limitation </w:t>
      </w:r>
      <w:r w:rsidRPr="004C78D8">
        <w:fldChar w:fldCharType="begin">
          <w:fldData xml:space="preserve">PEVuZE5vdGU+PENpdGU+PEF1dGhvcj5Ib3dsYW5kPC9BdXRob3I+PFllYXI+MjAxNTwvWWVhcj48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</w:fldData>
        </w:fldChar>
      </w:r>
      <w:r w:rsidR="00C630FC" w:rsidRPr="004C78D8">
        <w:instrText xml:space="preserve"> ADDIN EN.CITE </w:instrText>
      </w:r>
      <w:r w:rsidR="00C630FC" w:rsidRPr="004C78D8">
        <w:fldChar w:fldCharType="begin">
          <w:fldData xml:space="preserve">PEVuZE5vdGU+PENpdGU+PEF1dGhvcj5Ib3dsYW5kPC9BdXRob3I+PFllYXI+MjAxNTwvWWVhcj48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[128, 167, 200, 336, 342, 344, 353, 358, 359, 361, 368]</w:t>
      </w:r>
      <w:r w:rsidRPr="004C78D8">
        <w:fldChar w:fldCharType="end"/>
      </w:r>
      <w:r w:rsidRPr="004C78D8">
        <w:t>. Deverall (2018), for example, stated that the non-incorporation of exercise benefit on cardiovascular disease (CVD) risk reduction potentially biased the evaluation against the ethnic Maori subgroup who have greater CVD risk.</w:t>
      </w:r>
    </w:p>
    <w:p w14:paraId="2EB568A0" w14:textId="60438540" w:rsidR="00587495" w:rsidRPr="004C78D8" w:rsidRDefault="00DF7CCA" w:rsidP="00FB7C1F">
      <w:r w:rsidRPr="004C78D8">
        <w:t xml:space="preserve">Two models incorporated </w:t>
      </w:r>
      <w:r w:rsidRPr="004C78D8">
        <w:rPr>
          <w:i/>
          <w:iCs/>
        </w:rPr>
        <w:t>adverse</w:t>
      </w:r>
      <w:r w:rsidRPr="004C78D8">
        <w:t xml:space="preserve"> health effects and process costs of interventions. Hirst (2016) considered the side-effect of transdermal buprenorphine as a replacement for (more fall-risk-inducing) tramadol in chronic pain management. Honkanen (2006) expressed the process/social cost of hip protector use through a health utility decrement of 0.010 for each year of use. Due to the decrement, younger groups aged 65 and 70 experienced overall QALY </w:t>
      </w:r>
      <w:r w:rsidRPr="004C78D8">
        <w:rPr>
          <w:i/>
          <w:iCs/>
        </w:rPr>
        <w:t>loss</w:t>
      </w:r>
      <w:r w:rsidRPr="004C78D8">
        <w:t xml:space="preserve"> from hip protector use despite fractures being prevented.</w:t>
      </w:r>
    </w:p>
    <w:p w14:paraId="654F61A7" w14:textId="5B3CF13F" w:rsidR="00E05B22" w:rsidRPr="004C78D8" w:rsidRDefault="00E05B22" w:rsidP="00FB7C1F"/>
    <w:p w14:paraId="4BFFE703" w14:textId="195BDCD7" w:rsidR="00587495" w:rsidRPr="004C78D8" w:rsidRDefault="0044170A" w:rsidP="00FB7C1F">
      <w:pPr>
        <w:pStyle w:val="Heading3"/>
      </w:pPr>
      <w:bookmarkStart w:id="122" w:name="_Toc111630759"/>
      <w:r w:rsidRPr="004C78D8">
        <w:t>4</w:t>
      </w:r>
      <w:r w:rsidR="00587495" w:rsidRPr="004C78D8">
        <w:t xml:space="preserve">.5.3 </w:t>
      </w:r>
      <w:r w:rsidR="00DF7CCA" w:rsidRPr="004C78D8">
        <w:t>Key challenges for public health economic modelling</w:t>
      </w:r>
      <w:bookmarkEnd w:id="122"/>
    </w:p>
    <w:p w14:paraId="55E90AED" w14:textId="0B334D34" w:rsidR="00DF7CCA" w:rsidRPr="004C78D8" w:rsidRDefault="004F37AA" w:rsidP="00FB7C1F">
      <w:r w:rsidRPr="004C78D8">
        <w:t xml:space="preserve">The modelling methodological features are synthesised by the four key challenges: (1) capturing non-health outcomes and societal intervention costs (Section </w:t>
      </w:r>
      <w:r w:rsidR="0044170A" w:rsidRPr="004C78D8">
        <w:t>4</w:t>
      </w:r>
      <w:r w:rsidRPr="004C78D8">
        <w:t xml:space="preserve">.5.3.1); (2) considering heterogeneity and dynamic complexity (Section </w:t>
      </w:r>
      <w:r w:rsidR="0044170A" w:rsidRPr="004C78D8">
        <w:t>4</w:t>
      </w:r>
      <w:r w:rsidRPr="004C78D8">
        <w:t xml:space="preserve">.5.3.2); considering theories of human behaviour and implementation (Section </w:t>
      </w:r>
      <w:r w:rsidR="0044170A" w:rsidRPr="004C78D8">
        <w:t>4</w:t>
      </w:r>
      <w:r w:rsidRPr="004C78D8">
        <w:t xml:space="preserve">.5.3.3); and considering issues of equity (Section </w:t>
      </w:r>
      <w:r w:rsidR="0044170A" w:rsidRPr="004C78D8">
        <w:t>4</w:t>
      </w:r>
      <w:r w:rsidRPr="004C78D8">
        <w:t xml:space="preserve">.5.3.4). </w:t>
      </w:r>
    </w:p>
    <w:p w14:paraId="472F843D" w14:textId="4A256CCD" w:rsidR="00096AEC" w:rsidRPr="004C78D8" w:rsidRDefault="008D59D9" w:rsidP="00FB7C1F">
      <w:pPr>
        <w:pStyle w:val="Heading4"/>
      </w:pPr>
      <w:r w:rsidRPr="004C78D8">
        <w:t>4</w:t>
      </w:r>
      <w:r w:rsidR="00C211AB" w:rsidRPr="004C78D8">
        <w:t>.5.3.1 Capturing non-health outcomes and societal intervention costs</w:t>
      </w:r>
    </w:p>
    <w:p w14:paraId="6B4F0801" w14:textId="079BD3DA" w:rsidR="00C211AB" w:rsidRPr="004C78D8" w:rsidRDefault="001B1E83" w:rsidP="00FB7C1F">
      <w:r w:rsidRPr="004C78D8">
        <w:t xml:space="preserve">Eighteen models operationalised analyses from the societal perspective (Table </w:t>
      </w:r>
      <w:r w:rsidR="008D59D9" w:rsidRPr="004C78D8">
        <w:t>4</w:t>
      </w:r>
      <w:r w:rsidR="00C42EBD" w:rsidRPr="004C78D8">
        <w:t>.2</w:t>
      </w:r>
      <w:r w:rsidRPr="004C78D8">
        <w:t xml:space="preserve">). Of these, 15 described the non-health outcomes and/or societal intervention costs incorporated in the analyses, as </w:t>
      </w:r>
      <w:r w:rsidR="00ED2DFE" w:rsidRPr="004C78D8">
        <w:t>shown</w:t>
      </w:r>
      <w:r w:rsidRPr="004C78D8">
        <w:t xml:space="preserve"> in Table </w:t>
      </w:r>
      <w:r w:rsidR="008D59D9" w:rsidRPr="004C78D8">
        <w:t>4</w:t>
      </w:r>
      <w:r w:rsidR="00C42EBD" w:rsidRPr="004C78D8">
        <w:t>.11</w:t>
      </w:r>
      <w:r w:rsidRPr="004C78D8">
        <w:t xml:space="preserve">. The three models not included in Table </w:t>
      </w:r>
      <w:r w:rsidR="008D59D9" w:rsidRPr="004C78D8">
        <w:t>4</w:t>
      </w:r>
      <w:r w:rsidR="00C42EBD" w:rsidRPr="004C78D8">
        <w:t>.11</w:t>
      </w:r>
      <w:r w:rsidRPr="004C78D8">
        <w:t xml:space="preserve"> conducted evaluations from the US healthcare perspective (broader than Medicare/Medicaid) </w:t>
      </w:r>
      <w:r w:rsidR="00ED2DFE" w:rsidRPr="004C78D8">
        <w:t>including</w:t>
      </w:r>
      <w:r w:rsidRPr="004C78D8">
        <w:t xml:space="preserve"> private healthcare costs but did not specify the cost type or proportion by sector </w:t>
      </w:r>
      <w:r w:rsidRPr="004C78D8">
        <w:fldChar w:fldCharType="begin">
          <w:fldData xml:space="preserve">PEVuZE5vdGU+PENpdGU+PEF1dGhvcj5GcmljazwvQXV0aG9yPjxZZWFyPjIwMTA8L1llYXI+PFJl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</w:fldData>
        </w:fldChar>
      </w:r>
      <w:r w:rsidR="00C630FC" w:rsidRPr="004C78D8">
        <w:instrText xml:space="preserve"> ADDIN EN.CITE </w:instrText>
      </w:r>
      <w:r w:rsidR="00C630FC" w:rsidRPr="004C78D8">
        <w:fldChar w:fldCharType="begin">
          <w:fldData xml:space="preserve">PEVuZE5vdGU+PENpdGU+PEF1dGhvcj5GcmljazwvQXV0aG9yPjxZZWFyPjIwMTA8L1llYXI+PFJl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[200, 338, 352]</w:t>
      </w:r>
      <w:r w:rsidRPr="004C78D8">
        <w:fldChar w:fldCharType="end"/>
      </w:r>
      <w:r w:rsidRPr="004C78D8">
        <w:t xml:space="preserve">. Further studies specified non-inclusion of non-health outcomes or societal intervention costs as limitations </w:t>
      </w:r>
      <w:r w:rsidR="00C42EBD" w:rsidRPr="004C78D8">
        <w:fldChar w:fldCharType="begin">
          <w:fldData xml:space="preserve">PEVuZE5vdGU+PENpdGU+PEF1dGhvcj5DYXJhbmRlLUt1bGlzPC9BdXRob3I+PFllYXI+MjAxNTwv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==
</w:fldData>
        </w:fldChar>
      </w:r>
      <w:r w:rsidR="00C630FC" w:rsidRPr="004C78D8">
        <w:instrText xml:space="preserve"> ADDIN EN.CITE </w:instrText>
      </w:r>
      <w:r w:rsidR="00C630FC" w:rsidRPr="004C78D8">
        <w:fldChar w:fldCharType="begin">
          <w:fldData xml:space="preserve">PEVuZE5vdGU+PENpdGU+PEF1dGhvcj5DYXJhbmRlLUt1bGlzPC9BdXRob3I+PFllYXI+MjAxNTwv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==
</w:fldData>
        </w:fldChar>
      </w:r>
      <w:r w:rsidR="00C630FC" w:rsidRPr="004C78D8">
        <w:instrText xml:space="preserve"> ADDIN EN.CITE.DATA </w:instrText>
      </w:r>
      <w:r w:rsidR="00C630FC" w:rsidRPr="004C78D8">
        <w:fldChar w:fldCharType="end"/>
      </w:r>
      <w:r w:rsidR="00C42EBD" w:rsidRPr="004C78D8">
        <w:fldChar w:fldCharType="separate"/>
      </w:r>
      <w:r w:rsidR="00C630FC" w:rsidRPr="004C78D8">
        <w:rPr>
          <w:noProof/>
        </w:rPr>
        <w:t>[207, 336, 347, 355, 358, 365, 367]</w:t>
      </w:r>
      <w:r w:rsidR="00C42EBD" w:rsidRPr="004C78D8">
        <w:fldChar w:fldCharType="end"/>
      </w:r>
    </w:p>
    <w:tbl>
      <w:tblPr>
        <w:tblStyle w:val="TableGrid"/>
        <w:tblW w:w="5000" w:type="pct"/>
        <w:tblLook w:val="04A0" w:firstRow="1" w:lastRow="0" w:firstColumn="1" w:lastColumn="0" w:noHBand="0" w:noVBand="1"/>
      </w:tblPr>
      <w:tblGrid>
        <w:gridCol w:w="1250"/>
        <w:gridCol w:w="938"/>
        <w:gridCol w:w="1232"/>
        <w:gridCol w:w="1120"/>
        <w:gridCol w:w="1102"/>
        <w:gridCol w:w="766"/>
        <w:gridCol w:w="1120"/>
        <w:gridCol w:w="1488"/>
      </w:tblGrid>
      <w:tr w:rsidR="00C42EBD" w:rsidRPr="004C78D8" w14:paraId="42DA4857" w14:textId="77777777" w:rsidTr="002828C1">
        <w:tc>
          <w:tcPr>
            <w:tcW w:w="5000" w:type="pct"/>
            <w:gridSpan w:val="8"/>
          </w:tcPr>
          <w:p w14:paraId="08871FC4" w14:textId="001AF56A" w:rsidR="00C42EBD" w:rsidRPr="004C78D8" w:rsidRDefault="00C42EBD" w:rsidP="00FB7C1F">
            <w:r w:rsidRPr="004C78D8">
              <w:rPr>
                <w:b/>
                <w:bCs/>
              </w:rPr>
              <w:t xml:space="preserve">Table </w:t>
            </w:r>
            <w:r w:rsidR="008D59D9" w:rsidRPr="004C78D8">
              <w:rPr>
                <w:b/>
                <w:bCs/>
              </w:rPr>
              <w:t>4</w:t>
            </w:r>
            <w:r w:rsidRPr="004C78D8">
              <w:rPr>
                <w:b/>
                <w:bCs/>
              </w:rPr>
              <w:t>.11</w:t>
            </w:r>
            <w:r w:rsidRPr="004C78D8">
              <w:t xml:space="preserve"> Non-health outcomes and societal intervention costs included in decision models.</w:t>
            </w:r>
          </w:p>
        </w:tc>
      </w:tr>
      <w:tr w:rsidR="00C42EBD" w:rsidRPr="004C78D8" w14:paraId="4DF78412" w14:textId="77777777" w:rsidTr="002828C1">
        <w:tc>
          <w:tcPr>
            <w:tcW w:w="694" w:type="pct"/>
            <w:vMerge w:val="restart"/>
            <w:vAlign w:val="bottom"/>
          </w:tcPr>
          <w:p w14:paraId="4B161CE7" w14:textId="77777777" w:rsidR="00C42EBD" w:rsidRPr="004C78D8" w:rsidRDefault="00C42EBD" w:rsidP="00FB7C1F">
            <w:pPr>
              <w:jc w:val="left"/>
              <w:rPr>
                <w:b/>
                <w:bCs/>
                <w:sz w:val="18"/>
                <w:szCs w:val="18"/>
              </w:rPr>
            </w:pPr>
            <w:r w:rsidRPr="004C78D8">
              <w:rPr>
                <w:b/>
                <w:bCs/>
                <w:sz w:val="18"/>
                <w:szCs w:val="18"/>
              </w:rPr>
              <w:t>Study label</w:t>
            </w:r>
            <w:r w:rsidRPr="004C78D8">
              <w:rPr>
                <w:b/>
                <w:bCs/>
                <w:sz w:val="18"/>
                <w:szCs w:val="18"/>
                <w:vertAlign w:val="superscript"/>
              </w:rPr>
              <w:t>1</w:t>
            </w:r>
          </w:p>
        </w:tc>
        <w:tc>
          <w:tcPr>
            <w:tcW w:w="2435" w:type="pct"/>
            <w:gridSpan w:val="4"/>
            <w:vAlign w:val="bottom"/>
          </w:tcPr>
          <w:p w14:paraId="2A5FA7F4" w14:textId="77777777" w:rsidR="00C42EBD" w:rsidRPr="004C78D8" w:rsidRDefault="00C42EBD" w:rsidP="00FB7C1F">
            <w:pPr>
              <w:jc w:val="center"/>
              <w:rPr>
                <w:b/>
                <w:bCs/>
                <w:sz w:val="18"/>
                <w:szCs w:val="18"/>
              </w:rPr>
            </w:pPr>
            <w:r w:rsidRPr="004C78D8">
              <w:rPr>
                <w:b/>
                <w:bCs/>
                <w:sz w:val="18"/>
                <w:szCs w:val="18"/>
              </w:rPr>
              <w:t>Non-health outcomes</w:t>
            </w:r>
          </w:p>
        </w:tc>
        <w:tc>
          <w:tcPr>
            <w:tcW w:w="1871" w:type="pct"/>
            <w:gridSpan w:val="3"/>
            <w:vAlign w:val="bottom"/>
          </w:tcPr>
          <w:p w14:paraId="32BB13E8" w14:textId="77777777" w:rsidR="00C42EBD" w:rsidRPr="004C78D8" w:rsidRDefault="00C42EBD" w:rsidP="00FB7C1F">
            <w:pPr>
              <w:jc w:val="center"/>
              <w:rPr>
                <w:b/>
                <w:bCs/>
                <w:sz w:val="18"/>
                <w:szCs w:val="18"/>
              </w:rPr>
            </w:pPr>
            <w:r w:rsidRPr="004C78D8">
              <w:rPr>
                <w:b/>
                <w:bCs/>
                <w:sz w:val="18"/>
                <w:szCs w:val="18"/>
              </w:rPr>
              <w:t>Societal intervention costs</w:t>
            </w:r>
          </w:p>
        </w:tc>
      </w:tr>
      <w:tr w:rsidR="00C42EBD" w:rsidRPr="004C78D8" w14:paraId="37948E28" w14:textId="77777777" w:rsidTr="002828C1">
        <w:tc>
          <w:tcPr>
            <w:tcW w:w="694" w:type="pct"/>
            <w:vMerge/>
          </w:tcPr>
          <w:p w14:paraId="2B9289BF" w14:textId="77777777" w:rsidR="00C42EBD" w:rsidRPr="004C78D8" w:rsidRDefault="00C42EBD" w:rsidP="00FB7C1F">
            <w:pPr>
              <w:jc w:val="left"/>
              <w:rPr>
                <w:sz w:val="18"/>
                <w:szCs w:val="18"/>
              </w:rPr>
            </w:pPr>
          </w:p>
        </w:tc>
        <w:tc>
          <w:tcPr>
            <w:tcW w:w="520" w:type="pct"/>
            <w:tcBorders>
              <w:bottom w:val="single" w:sz="4" w:space="0" w:color="auto"/>
            </w:tcBorders>
            <w:vAlign w:val="bottom"/>
          </w:tcPr>
          <w:p w14:paraId="2FBB2ABF" w14:textId="77777777" w:rsidR="00C42EBD" w:rsidRPr="004C78D8" w:rsidRDefault="00C42EBD" w:rsidP="00FB7C1F">
            <w:pPr>
              <w:jc w:val="left"/>
              <w:rPr>
                <w:sz w:val="18"/>
                <w:szCs w:val="18"/>
              </w:rPr>
            </w:pPr>
            <w:r w:rsidRPr="004C78D8">
              <w:rPr>
                <w:sz w:val="18"/>
                <w:szCs w:val="18"/>
              </w:rPr>
              <w:t>Social wellbeing</w:t>
            </w:r>
          </w:p>
        </w:tc>
        <w:tc>
          <w:tcPr>
            <w:tcW w:w="683" w:type="pct"/>
            <w:tcBorders>
              <w:bottom w:val="single" w:sz="4" w:space="0" w:color="auto"/>
            </w:tcBorders>
            <w:vAlign w:val="bottom"/>
          </w:tcPr>
          <w:p w14:paraId="3A63AA5E" w14:textId="77777777" w:rsidR="00C42EBD" w:rsidRPr="004C78D8" w:rsidRDefault="00C42EBD" w:rsidP="00FB7C1F">
            <w:pPr>
              <w:jc w:val="left"/>
              <w:rPr>
                <w:sz w:val="18"/>
                <w:szCs w:val="18"/>
              </w:rPr>
            </w:pPr>
            <w:r w:rsidRPr="004C78D8">
              <w:rPr>
                <w:sz w:val="18"/>
                <w:szCs w:val="18"/>
              </w:rPr>
              <w:t>Out-of-pocket expenditure</w:t>
            </w:r>
          </w:p>
        </w:tc>
        <w:tc>
          <w:tcPr>
            <w:tcW w:w="621" w:type="pct"/>
            <w:tcBorders>
              <w:bottom w:val="single" w:sz="4" w:space="0" w:color="auto"/>
            </w:tcBorders>
            <w:vAlign w:val="bottom"/>
          </w:tcPr>
          <w:p w14:paraId="1C8BAED8" w14:textId="77777777" w:rsidR="00C42EBD" w:rsidRPr="004C78D8" w:rsidRDefault="00C42EBD" w:rsidP="00FB7C1F">
            <w:pPr>
              <w:jc w:val="left"/>
              <w:rPr>
                <w:sz w:val="18"/>
                <w:szCs w:val="18"/>
              </w:rPr>
            </w:pPr>
            <w:r w:rsidRPr="004C78D8">
              <w:rPr>
                <w:sz w:val="18"/>
                <w:szCs w:val="18"/>
              </w:rPr>
              <w:t>Productivity</w:t>
            </w:r>
          </w:p>
        </w:tc>
        <w:tc>
          <w:tcPr>
            <w:tcW w:w="611" w:type="pct"/>
            <w:tcBorders>
              <w:bottom w:val="single" w:sz="4" w:space="0" w:color="auto"/>
            </w:tcBorders>
            <w:vAlign w:val="bottom"/>
          </w:tcPr>
          <w:p w14:paraId="35BF4E04" w14:textId="77777777" w:rsidR="00C42EBD" w:rsidRPr="004C78D8" w:rsidRDefault="00C42EBD" w:rsidP="00FB7C1F">
            <w:pPr>
              <w:jc w:val="left"/>
              <w:rPr>
                <w:sz w:val="18"/>
                <w:szCs w:val="18"/>
              </w:rPr>
            </w:pPr>
            <w:r w:rsidRPr="004C78D8">
              <w:rPr>
                <w:sz w:val="18"/>
                <w:szCs w:val="18"/>
              </w:rPr>
              <w:t>Informal caregiver burden</w:t>
            </w:r>
          </w:p>
        </w:tc>
        <w:tc>
          <w:tcPr>
            <w:tcW w:w="425" w:type="pct"/>
            <w:tcBorders>
              <w:bottom w:val="single" w:sz="4" w:space="0" w:color="auto"/>
            </w:tcBorders>
            <w:vAlign w:val="bottom"/>
          </w:tcPr>
          <w:p w14:paraId="0720B61D" w14:textId="77777777" w:rsidR="00C42EBD" w:rsidRPr="004C78D8" w:rsidRDefault="00C42EBD" w:rsidP="00FB7C1F">
            <w:pPr>
              <w:jc w:val="left"/>
              <w:rPr>
                <w:sz w:val="18"/>
                <w:szCs w:val="18"/>
              </w:rPr>
            </w:pPr>
            <w:r w:rsidRPr="004C78D8">
              <w:rPr>
                <w:sz w:val="18"/>
                <w:szCs w:val="18"/>
              </w:rPr>
              <w:t>Social cost</w:t>
            </w:r>
          </w:p>
        </w:tc>
        <w:tc>
          <w:tcPr>
            <w:tcW w:w="621" w:type="pct"/>
            <w:tcBorders>
              <w:bottom w:val="single" w:sz="4" w:space="0" w:color="auto"/>
            </w:tcBorders>
            <w:vAlign w:val="bottom"/>
          </w:tcPr>
          <w:p w14:paraId="0CF73507" w14:textId="77777777" w:rsidR="00C42EBD" w:rsidRPr="004C78D8" w:rsidRDefault="00C42EBD" w:rsidP="00FB7C1F">
            <w:pPr>
              <w:jc w:val="left"/>
              <w:rPr>
                <w:sz w:val="18"/>
                <w:szCs w:val="18"/>
              </w:rPr>
            </w:pPr>
            <w:r w:rsidRPr="004C78D8">
              <w:rPr>
                <w:sz w:val="18"/>
                <w:szCs w:val="18"/>
              </w:rPr>
              <w:t>Private co-payment</w:t>
            </w:r>
          </w:p>
        </w:tc>
        <w:tc>
          <w:tcPr>
            <w:tcW w:w="824" w:type="pct"/>
            <w:tcBorders>
              <w:bottom w:val="single" w:sz="4" w:space="0" w:color="auto"/>
            </w:tcBorders>
            <w:vAlign w:val="bottom"/>
          </w:tcPr>
          <w:p w14:paraId="02BA13C1" w14:textId="77777777" w:rsidR="00C42EBD" w:rsidRPr="004C78D8" w:rsidRDefault="00C42EBD" w:rsidP="00FB7C1F">
            <w:pPr>
              <w:jc w:val="left"/>
              <w:rPr>
                <w:sz w:val="18"/>
                <w:szCs w:val="18"/>
              </w:rPr>
            </w:pPr>
            <w:r w:rsidRPr="004C78D8">
              <w:rPr>
                <w:sz w:val="18"/>
                <w:szCs w:val="18"/>
              </w:rPr>
              <w:t>Time opportunity cost</w:t>
            </w:r>
            <w:r w:rsidRPr="004C78D8">
              <w:rPr>
                <w:sz w:val="18"/>
                <w:szCs w:val="18"/>
                <w:vertAlign w:val="superscript"/>
              </w:rPr>
              <w:t>2</w:t>
            </w:r>
          </w:p>
        </w:tc>
      </w:tr>
      <w:tr w:rsidR="00C42EBD" w:rsidRPr="004C78D8" w14:paraId="7C7046A9" w14:textId="77777777" w:rsidTr="002828C1">
        <w:tc>
          <w:tcPr>
            <w:tcW w:w="694" w:type="pct"/>
          </w:tcPr>
          <w:p w14:paraId="591E7377" w14:textId="77777777" w:rsidR="00C42EBD" w:rsidRPr="004C78D8" w:rsidRDefault="00C42EBD" w:rsidP="00FB7C1F">
            <w:pPr>
              <w:jc w:val="left"/>
              <w:rPr>
                <w:sz w:val="18"/>
                <w:szCs w:val="18"/>
              </w:rPr>
            </w:pPr>
            <w:r w:rsidRPr="004C78D8">
              <w:rPr>
                <w:sz w:val="18"/>
                <w:szCs w:val="18"/>
              </w:rPr>
              <w:t>Beard (2006)</w:t>
            </w:r>
          </w:p>
        </w:tc>
        <w:tc>
          <w:tcPr>
            <w:tcW w:w="520" w:type="pct"/>
            <w:tcBorders>
              <w:top w:val="nil"/>
              <w:bottom w:val="nil"/>
            </w:tcBorders>
          </w:tcPr>
          <w:p w14:paraId="00409266" w14:textId="77777777" w:rsidR="00C42EBD" w:rsidRPr="004C78D8" w:rsidRDefault="00C42EBD" w:rsidP="00FB7C1F">
            <w:pPr>
              <w:jc w:val="left"/>
              <w:rPr>
                <w:sz w:val="18"/>
                <w:szCs w:val="18"/>
              </w:rPr>
            </w:pPr>
          </w:p>
        </w:tc>
        <w:tc>
          <w:tcPr>
            <w:tcW w:w="683" w:type="pct"/>
            <w:tcBorders>
              <w:top w:val="nil"/>
              <w:bottom w:val="nil"/>
            </w:tcBorders>
            <w:vAlign w:val="center"/>
          </w:tcPr>
          <w:p w14:paraId="483CF153" w14:textId="77777777" w:rsidR="00C42EBD" w:rsidRPr="004C78D8" w:rsidRDefault="00C42EBD" w:rsidP="00FB7C1F">
            <w:pPr>
              <w:jc w:val="center"/>
              <w:rPr>
                <w:sz w:val="18"/>
                <w:szCs w:val="18"/>
              </w:rPr>
            </w:pPr>
          </w:p>
        </w:tc>
        <w:tc>
          <w:tcPr>
            <w:tcW w:w="621" w:type="pct"/>
            <w:tcBorders>
              <w:top w:val="nil"/>
              <w:bottom w:val="nil"/>
            </w:tcBorders>
            <w:vAlign w:val="center"/>
          </w:tcPr>
          <w:p w14:paraId="6502E5AD" w14:textId="77777777" w:rsidR="00C42EBD" w:rsidRPr="004C78D8" w:rsidRDefault="00C42EBD" w:rsidP="00FB7C1F">
            <w:pPr>
              <w:jc w:val="center"/>
              <w:rPr>
                <w:sz w:val="18"/>
                <w:szCs w:val="18"/>
              </w:rPr>
            </w:pPr>
          </w:p>
        </w:tc>
        <w:tc>
          <w:tcPr>
            <w:tcW w:w="611" w:type="pct"/>
            <w:tcBorders>
              <w:top w:val="nil"/>
              <w:bottom w:val="nil"/>
            </w:tcBorders>
            <w:vAlign w:val="center"/>
          </w:tcPr>
          <w:p w14:paraId="3B3214FC" w14:textId="77777777" w:rsidR="00C42EBD" w:rsidRPr="004C78D8" w:rsidRDefault="00C42EBD" w:rsidP="00FB7C1F">
            <w:pPr>
              <w:jc w:val="center"/>
              <w:rPr>
                <w:sz w:val="18"/>
                <w:szCs w:val="18"/>
              </w:rPr>
            </w:pPr>
          </w:p>
        </w:tc>
        <w:tc>
          <w:tcPr>
            <w:tcW w:w="425" w:type="pct"/>
            <w:tcBorders>
              <w:top w:val="nil"/>
              <w:bottom w:val="nil"/>
            </w:tcBorders>
          </w:tcPr>
          <w:p w14:paraId="0B5BDA0C" w14:textId="77777777" w:rsidR="00C42EBD" w:rsidRPr="004C78D8" w:rsidRDefault="00C42EBD" w:rsidP="00FB7C1F">
            <w:pPr>
              <w:jc w:val="left"/>
              <w:rPr>
                <w:sz w:val="18"/>
                <w:szCs w:val="18"/>
              </w:rPr>
            </w:pPr>
          </w:p>
        </w:tc>
        <w:tc>
          <w:tcPr>
            <w:tcW w:w="621" w:type="pct"/>
            <w:tcBorders>
              <w:top w:val="nil"/>
              <w:bottom w:val="nil"/>
            </w:tcBorders>
            <w:vAlign w:val="center"/>
          </w:tcPr>
          <w:p w14:paraId="5DC8B14F" w14:textId="77777777" w:rsidR="00C42EBD" w:rsidRPr="004C78D8" w:rsidRDefault="00C42EBD" w:rsidP="00FB7C1F">
            <w:pPr>
              <w:jc w:val="center"/>
              <w:rPr>
                <w:sz w:val="18"/>
                <w:szCs w:val="18"/>
              </w:rPr>
            </w:pPr>
            <w:r w:rsidRPr="004C78D8">
              <w:rPr>
                <w:rFonts w:cs="Times New Roman"/>
                <w:sz w:val="28"/>
                <w:szCs w:val="28"/>
              </w:rPr>
              <w:t>˟</w:t>
            </w:r>
          </w:p>
        </w:tc>
        <w:tc>
          <w:tcPr>
            <w:tcW w:w="824" w:type="pct"/>
            <w:tcBorders>
              <w:top w:val="nil"/>
              <w:bottom w:val="nil"/>
            </w:tcBorders>
          </w:tcPr>
          <w:p w14:paraId="77471151" w14:textId="77777777" w:rsidR="00C42EBD" w:rsidRPr="004C78D8" w:rsidRDefault="00C42EBD" w:rsidP="00FB7C1F">
            <w:pPr>
              <w:jc w:val="center"/>
              <w:rPr>
                <w:sz w:val="18"/>
                <w:szCs w:val="18"/>
              </w:rPr>
            </w:pPr>
            <w:r w:rsidRPr="004C78D8">
              <w:rPr>
                <w:rFonts w:cs="Times New Roman"/>
                <w:sz w:val="18"/>
                <w:szCs w:val="18"/>
              </w:rPr>
              <w:t>Not costed</w:t>
            </w:r>
          </w:p>
        </w:tc>
      </w:tr>
      <w:tr w:rsidR="00C42EBD" w:rsidRPr="004C78D8" w14:paraId="07938BA5" w14:textId="77777777" w:rsidTr="002828C1">
        <w:tc>
          <w:tcPr>
            <w:tcW w:w="694" w:type="pct"/>
          </w:tcPr>
          <w:p w14:paraId="7A53B382" w14:textId="77777777" w:rsidR="00C42EBD" w:rsidRPr="004C78D8" w:rsidRDefault="00C42EBD" w:rsidP="00FB7C1F">
            <w:pPr>
              <w:jc w:val="left"/>
              <w:rPr>
                <w:sz w:val="18"/>
                <w:szCs w:val="18"/>
              </w:rPr>
            </w:pPr>
            <w:r w:rsidRPr="004C78D8">
              <w:rPr>
                <w:sz w:val="18"/>
                <w:szCs w:val="18"/>
              </w:rPr>
              <w:t>Carande-Kulis (2015)</w:t>
            </w:r>
          </w:p>
        </w:tc>
        <w:tc>
          <w:tcPr>
            <w:tcW w:w="520" w:type="pct"/>
            <w:tcBorders>
              <w:top w:val="nil"/>
              <w:bottom w:val="nil"/>
            </w:tcBorders>
          </w:tcPr>
          <w:p w14:paraId="781A74A4" w14:textId="77777777" w:rsidR="00C42EBD" w:rsidRPr="004C78D8" w:rsidRDefault="00C42EBD" w:rsidP="00FB7C1F">
            <w:pPr>
              <w:jc w:val="left"/>
              <w:rPr>
                <w:sz w:val="18"/>
                <w:szCs w:val="18"/>
              </w:rPr>
            </w:pPr>
          </w:p>
        </w:tc>
        <w:tc>
          <w:tcPr>
            <w:tcW w:w="683" w:type="pct"/>
            <w:tcBorders>
              <w:top w:val="nil"/>
              <w:bottom w:val="nil"/>
            </w:tcBorders>
            <w:vAlign w:val="center"/>
          </w:tcPr>
          <w:p w14:paraId="29F99F81" w14:textId="77777777" w:rsidR="00C42EBD" w:rsidRPr="004C78D8" w:rsidRDefault="00C42EBD" w:rsidP="00FB7C1F">
            <w:pPr>
              <w:jc w:val="center"/>
              <w:rPr>
                <w:sz w:val="18"/>
                <w:szCs w:val="18"/>
              </w:rPr>
            </w:pPr>
          </w:p>
        </w:tc>
        <w:tc>
          <w:tcPr>
            <w:tcW w:w="621" w:type="pct"/>
            <w:tcBorders>
              <w:top w:val="nil"/>
              <w:bottom w:val="nil"/>
            </w:tcBorders>
            <w:vAlign w:val="center"/>
          </w:tcPr>
          <w:p w14:paraId="6868EF4D" w14:textId="77777777" w:rsidR="00C42EBD" w:rsidRPr="004C78D8" w:rsidRDefault="00C42EBD" w:rsidP="00FB7C1F">
            <w:pPr>
              <w:jc w:val="center"/>
              <w:rPr>
                <w:sz w:val="18"/>
                <w:szCs w:val="18"/>
              </w:rPr>
            </w:pPr>
          </w:p>
        </w:tc>
        <w:tc>
          <w:tcPr>
            <w:tcW w:w="611" w:type="pct"/>
            <w:tcBorders>
              <w:top w:val="nil"/>
              <w:bottom w:val="nil"/>
            </w:tcBorders>
            <w:vAlign w:val="center"/>
          </w:tcPr>
          <w:p w14:paraId="1CB15C34" w14:textId="77777777" w:rsidR="00C42EBD" w:rsidRPr="004C78D8" w:rsidRDefault="00C42EBD" w:rsidP="00FB7C1F">
            <w:pPr>
              <w:jc w:val="center"/>
              <w:rPr>
                <w:sz w:val="18"/>
                <w:szCs w:val="18"/>
              </w:rPr>
            </w:pPr>
          </w:p>
        </w:tc>
        <w:tc>
          <w:tcPr>
            <w:tcW w:w="425" w:type="pct"/>
            <w:tcBorders>
              <w:top w:val="nil"/>
              <w:bottom w:val="nil"/>
            </w:tcBorders>
          </w:tcPr>
          <w:p w14:paraId="5B2AFAB3" w14:textId="77777777" w:rsidR="00C42EBD" w:rsidRPr="004C78D8" w:rsidRDefault="00C42EBD" w:rsidP="00FB7C1F">
            <w:pPr>
              <w:jc w:val="left"/>
              <w:rPr>
                <w:sz w:val="18"/>
                <w:szCs w:val="18"/>
              </w:rPr>
            </w:pPr>
          </w:p>
        </w:tc>
        <w:tc>
          <w:tcPr>
            <w:tcW w:w="621" w:type="pct"/>
            <w:tcBorders>
              <w:top w:val="nil"/>
              <w:bottom w:val="nil"/>
            </w:tcBorders>
            <w:vAlign w:val="center"/>
          </w:tcPr>
          <w:p w14:paraId="1AE08DA1" w14:textId="77777777" w:rsidR="00C42EBD" w:rsidRPr="004C78D8" w:rsidRDefault="00C42EBD" w:rsidP="00FB7C1F">
            <w:pPr>
              <w:jc w:val="center"/>
              <w:rPr>
                <w:sz w:val="18"/>
                <w:szCs w:val="18"/>
              </w:rPr>
            </w:pPr>
          </w:p>
        </w:tc>
        <w:tc>
          <w:tcPr>
            <w:tcW w:w="824" w:type="pct"/>
            <w:tcBorders>
              <w:top w:val="nil"/>
              <w:bottom w:val="nil"/>
            </w:tcBorders>
          </w:tcPr>
          <w:p w14:paraId="33A622D8" w14:textId="77777777" w:rsidR="00C42EBD" w:rsidRPr="004C78D8" w:rsidRDefault="00C42EBD" w:rsidP="00FB7C1F">
            <w:pPr>
              <w:jc w:val="center"/>
              <w:rPr>
                <w:sz w:val="18"/>
                <w:szCs w:val="18"/>
              </w:rPr>
            </w:pPr>
            <w:r w:rsidRPr="004C78D8">
              <w:rPr>
                <w:rFonts w:cs="Times New Roman"/>
                <w:sz w:val="28"/>
                <w:szCs w:val="28"/>
              </w:rPr>
              <w:t>˟</w:t>
            </w:r>
          </w:p>
        </w:tc>
      </w:tr>
      <w:tr w:rsidR="00C42EBD" w:rsidRPr="004C78D8" w14:paraId="318B258C" w14:textId="77777777" w:rsidTr="002828C1">
        <w:tc>
          <w:tcPr>
            <w:tcW w:w="694" w:type="pct"/>
          </w:tcPr>
          <w:p w14:paraId="4260DDE2" w14:textId="77777777" w:rsidR="00C42EBD" w:rsidRPr="004C78D8" w:rsidRDefault="00C42EBD" w:rsidP="00FB7C1F">
            <w:pPr>
              <w:jc w:val="left"/>
              <w:rPr>
                <w:sz w:val="18"/>
                <w:szCs w:val="18"/>
              </w:rPr>
            </w:pPr>
            <w:r w:rsidRPr="004C78D8">
              <w:rPr>
                <w:sz w:val="18"/>
                <w:szCs w:val="18"/>
              </w:rPr>
              <w:lastRenderedPageBreak/>
              <w:t>Comans (2009)</w:t>
            </w:r>
          </w:p>
        </w:tc>
        <w:tc>
          <w:tcPr>
            <w:tcW w:w="520" w:type="pct"/>
            <w:tcBorders>
              <w:top w:val="nil"/>
              <w:bottom w:val="nil"/>
            </w:tcBorders>
          </w:tcPr>
          <w:p w14:paraId="192CEFA3" w14:textId="77777777" w:rsidR="00C42EBD" w:rsidRPr="004C78D8" w:rsidRDefault="00C42EBD" w:rsidP="00FB7C1F">
            <w:pPr>
              <w:jc w:val="left"/>
              <w:rPr>
                <w:sz w:val="18"/>
                <w:szCs w:val="18"/>
              </w:rPr>
            </w:pPr>
          </w:p>
        </w:tc>
        <w:tc>
          <w:tcPr>
            <w:tcW w:w="683" w:type="pct"/>
            <w:tcBorders>
              <w:top w:val="nil"/>
              <w:bottom w:val="nil"/>
            </w:tcBorders>
            <w:vAlign w:val="center"/>
          </w:tcPr>
          <w:p w14:paraId="6BF1ED18" w14:textId="77777777" w:rsidR="00C42EBD" w:rsidRPr="004C78D8" w:rsidRDefault="00C42EBD" w:rsidP="00FB7C1F">
            <w:pPr>
              <w:jc w:val="center"/>
              <w:rPr>
                <w:sz w:val="18"/>
                <w:szCs w:val="18"/>
              </w:rPr>
            </w:pPr>
          </w:p>
        </w:tc>
        <w:tc>
          <w:tcPr>
            <w:tcW w:w="621" w:type="pct"/>
            <w:tcBorders>
              <w:top w:val="nil"/>
              <w:bottom w:val="nil"/>
            </w:tcBorders>
            <w:vAlign w:val="center"/>
          </w:tcPr>
          <w:p w14:paraId="3B21AA5B" w14:textId="77777777" w:rsidR="00C42EBD" w:rsidRPr="004C78D8" w:rsidRDefault="00C42EBD" w:rsidP="00FB7C1F">
            <w:pPr>
              <w:jc w:val="center"/>
              <w:rPr>
                <w:sz w:val="18"/>
                <w:szCs w:val="18"/>
              </w:rPr>
            </w:pPr>
          </w:p>
        </w:tc>
        <w:tc>
          <w:tcPr>
            <w:tcW w:w="611" w:type="pct"/>
            <w:tcBorders>
              <w:top w:val="nil"/>
              <w:bottom w:val="nil"/>
            </w:tcBorders>
            <w:vAlign w:val="center"/>
          </w:tcPr>
          <w:p w14:paraId="1591299F" w14:textId="77777777" w:rsidR="00C42EBD" w:rsidRPr="004C78D8" w:rsidRDefault="00C42EBD" w:rsidP="00FB7C1F">
            <w:pPr>
              <w:jc w:val="center"/>
              <w:rPr>
                <w:sz w:val="18"/>
                <w:szCs w:val="18"/>
              </w:rPr>
            </w:pPr>
          </w:p>
        </w:tc>
        <w:tc>
          <w:tcPr>
            <w:tcW w:w="425" w:type="pct"/>
            <w:tcBorders>
              <w:top w:val="nil"/>
              <w:bottom w:val="nil"/>
            </w:tcBorders>
          </w:tcPr>
          <w:p w14:paraId="7CF673F4" w14:textId="77777777" w:rsidR="00C42EBD" w:rsidRPr="004C78D8" w:rsidRDefault="00C42EBD" w:rsidP="00FB7C1F">
            <w:pPr>
              <w:jc w:val="left"/>
              <w:rPr>
                <w:sz w:val="18"/>
                <w:szCs w:val="18"/>
              </w:rPr>
            </w:pPr>
          </w:p>
        </w:tc>
        <w:tc>
          <w:tcPr>
            <w:tcW w:w="621" w:type="pct"/>
            <w:tcBorders>
              <w:top w:val="nil"/>
              <w:bottom w:val="nil"/>
            </w:tcBorders>
            <w:vAlign w:val="center"/>
          </w:tcPr>
          <w:p w14:paraId="15CB4484" w14:textId="77777777" w:rsidR="00C42EBD" w:rsidRPr="004C78D8" w:rsidRDefault="00C42EBD" w:rsidP="00FB7C1F">
            <w:pPr>
              <w:jc w:val="center"/>
              <w:rPr>
                <w:sz w:val="18"/>
                <w:szCs w:val="18"/>
              </w:rPr>
            </w:pPr>
            <w:r w:rsidRPr="004C78D8">
              <w:rPr>
                <w:rFonts w:cs="Times New Roman"/>
                <w:sz w:val="28"/>
                <w:szCs w:val="28"/>
              </w:rPr>
              <w:t>˟</w:t>
            </w:r>
          </w:p>
        </w:tc>
        <w:tc>
          <w:tcPr>
            <w:tcW w:w="824" w:type="pct"/>
            <w:tcBorders>
              <w:top w:val="nil"/>
              <w:bottom w:val="nil"/>
            </w:tcBorders>
          </w:tcPr>
          <w:p w14:paraId="32102C95" w14:textId="77777777" w:rsidR="00C42EBD" w:rsidRPr="004C78D8" w:rsidRDefault="00C42EBD" w:rsidP="00FB7C1F">
            <w:pPr>
              <w:jc w:val="center"/>
              <w:rPr>
                <w:sz w:val="18"/>
                <w:szCs w:val="18"/>
              </w:rPr>
            </w:pPr>
          </w:p>
        </w:tc>
      </w:tr>
      <w:tr w:rsidR="00C42EBD" w:rsidRPr="004C78D8" w14:paraId="3BFCF2B9" w14:textId="77777777" w:rsidTr="002828C1">
        <w:tc>
          <w:tcPr>
            <w:tcW w:w="694" w:type="pct"/>
          </w:tcPr>
          <w:p w14:paraId="422C4865" w14:textId="77777777" w:rsidR="00C42EBD" w:rsidRPr="004C78D8" w:rsidRDefault="00C42EBD" w:rsidP="00FB7C1F">
            <w:pPr>
              <w:jc w:val="left"/>
              <w:rPr>
                <w:sz w:val="18"/>
                <w:szCs w:val="18"/>
              </w:rPr>
            </w:pPr>
            <w:r w:rsidRPr="004C78D8">
              <w:rPr>
                <w:sz w:val="18"/>
                <w:szCs w:val="18"/>
              </w:rPr>
              <w:t>Day (2009); (2010)</w:t>
            </w:r>
          </w:p>
        </w:tc>
        <w:tc>
          <w:tcPr>
            <w:tcW w:w="520" w:type="pct"/>
            <w:tcBorders>
              <w:top w:val="nil"/>
              <w:bottom w:val="nil"/>
            </w:tcBorders>
          </w:tcPr>
          <w:p w14:paraId="37E2310B" w14:textId="77777777" w:rsidR="00C42EBD" w:rsidRPr="004C78D8" w:rsidRDefault="00C42EBD" w:rsidP="00FB7C1F">
            <w:pPr>
              <w:jc w:val="left"/>
              <w:rPr>
                <w:sz w:val="18"/>
                <w:szCs w:val="18"/>
              </w:rPr>
            </w:pPr>
          </w:p>
        </w:tc>
        <w:tc>
          <w:tcPr>
            <w:tcW w:w="683" w:type="pct"/>
            <w:tcBorders>
              <w:top w:val="nil"/>
              <w:bottom w:val="nil"/>
            </w:tcBorders>
            <w:vAlign w:val="center"/>
          </w:tcPr>
          <w:p w14:paraId="7B80517A" w14:textId="77777777" w:rsidR="00C42EBD" w:rsidRPr="004C78D8" w:rsidRDefault="00C42EBD" w:rsidP="00FB7C1F">
            <w:pPr>
              <w:jc w:val="center"/>
              <w:rPr>
                <w:sz w:val="18"/>
                <w:szCs w:val="18"/>
              </w:rPr>
            </w:pPr>
          </w:p>
        </w:tc>
        <w:tc>
          <w:tcPr>
            <w:tcW w:w="621" w:type="pct"/>
            <w:tcBorders>
              <w:top w:val="nil"/>
              <w:bottom w:val="nil"/>
            </w:tcBorders>
            <w:vAlign w:val="center"/>
          </w:tcPr>
          <w:p w14:paraId="04C2B766" w14:textId="77777777" w:rsidR="00C42EBD" w:rsidRPr="004C78D8" w:rsidRDefault="00C42EBD" w:rsidP="00FB7C1F">
            <w:pPr>
              <w:jc w:val="center"/>
              <w:rPr>
                <w:sz w:val="18"/>
                <w:szCs w:val="18"/>
              </w:rPr>
            </w:pPr>
          </w:p>
        </w:tc>
        <w:tc>
          <w:tcPr>
            <w:tcW w:w="611" w:type="pct"/>
            <w:tcBorders>
              <w:top w:val="nil"/>
              <w:bottom w:val="nil"/>
            </w:tcBorders>
            <w:vAlign w:val="center"/>
          </w:tcPr>
          <w:p w14:paraId="3D02841E" w14:textId="77777777" w:rsidR="00C42EBD" w:rsidRPr="004C78D8" w:rsidRDefault="00C42EBD" w:rsidP="00FB7C1F">
            <w:pPr>
              <w:jc w:val="center"/>
              <w:rPr>
                <w:sz w:val="18"/>
                <w:szCs w:val="18"/>
              </w:rPr>
            </w:pPr>
          </w:p>
        </w:tc>
        <w:tc>
          <w:tcPr>
            <w:tcW w:w="425" w:type="pct"/>
            <w:tcBorders>
              <w:top w:val="nil"/>
              <w:bottom w:val="nil"/>
            </w:tcBorders>
          </w:tcPr>
          <w:p w14:paraId="2493585A" w14:textId="77777777" w:rsidR="00C42EBD" w:rsidRPr="004C78D8" w:rsidRDefault="00C42EBD" w:rsidP="00FB7C1F">
            <w:pPr>
              <w:jc w:val="left"/>
              <w:rPr>
                <w:sz w:val="18"/>
                <w:szCs w:val="18"/>
              </w:rPr>
            </w:pPr>
          </w:p>
        </w:tc>
        <w:tc>
          <w:tcPr>
            <w:tcW w:w="621" w:type="pct"/>
            <w:tcBorders>
              <w:top w:val="nil"/>
              <w:bottom w:val="nil"/>
            </w:tcBorders>
            <w:vAlign w:val="center"/>
          </w:tcPr>
          <w:p w14:paraId="43B14C49" w14:textId="77777777" w:rsidR="00C42EBD" w:rsidRPr="004C78D8" w:rsidRDefault="00C42EBD" w:rsidP="00FB7C1F">
            <w:pPr>
              <w:jc w:val="center"/>
              <w:rPr>
                <w:sz w:val="18"/>
                <w:szCs w:val="18"/>
              </w:rPr>
            </w:pPr>
            <w:r w:rsidRPr="004C78D8">
              <w:rPr>
                <w:rFonts w:cs="Times New Roman"/>
                <w:sz w:val="28"/>
                <w:szCs w:val="28"/>
              </w:rPr>
              <w:t>˟</w:t>
            </w:r>
          </w:p>
        </w:tc>
        <w:tc>
          <w:tcPr>
            <w:tcW w:w="824" w:type="pct"/>
            <w:tcBorders>
              <w:top w:val="nil"/>
              <w:bottom w:val="nil"/>
            </w:tcBorders>
          </w:tcPr>
          <w:p w14:paraId="03C87353" w14:textId="77777777" w:rsidR="00C42EBD" w:rsidRPr="004C78D8" w:rsidRDefault="00C42EBD" w:rsidP="00FB7C1F">
            <w:pPr>
              <w:jc w:val="center"/>
              <w:rPr>
                <w:sz w:val="18"/>
                <w:szCs w:val="18"/>
              </w:rPr>
            </w:pPr>
          </w:p>
        </w:tc>
      </w:tr>
      <w:tr w:rsidR="00C42EBD" w:rsidRPr="004C78D8" w14:paraId="02F35493" w14:textId="77777777" w:rsidTr="002828C1">
        <w:tc>
          <w:tcPr>
            <w:tcW w:w="694" w:type="pct"/>
          </w:tcPr>
          <w:p w14:paraId="71F86631" w14:textId="77777777" w:rsidR="00C42EBD" w:rsidRPr="004C78D8" w:rsidRDefault="00C42EBD" w:rsidP="00FB7C1F">
            <w:pPr>
              <w:jc w:val="left"/>
              <w:rPr>
                <w:sz w:val="18"/>
                <w:szCs w:val="18"/>
              </w:rPr>
            </w:pPr>
            <w:r w:rsidRPr="004C78D8">
              <w:rPr>
                <w:sz w:val="18"/>
                <w:szCs w:val="18"/>
              </w:rPr>
              <w:t>Deverall (2018)</w:t>
            </w:r>
          </w:p>
        </w:tc>
        <w:tc>
          <w:tcPr>
            <w:tcW w:w="520" w:type="pct"/>
            <w:tcBorders>
              <w:top w:val="nil"/>
              <w:bottom w:val="nil"/>
            </w:tcBorders>
          </w:tcPr>
          <w:p w14:paraId="61754E79" w14:textId="77777777" w:rsidR="00C42EBD" w:rsidRPr="004C78D8" w:rsidRDefault="00C42EBD" w:rsidP="00FB7C1F">
            <w:pPr>
              <w:jc w:val="left"/>
              <w:rPr>
                <w:sz w:val="18"/>
                <w:szCs w:val="18"/>
              </w:rPr>
            </w:pPr>
          </w:p>
        </w:tc>
        <w:tc>
          <w:tcPr>
            <w:tcW w:w="683" w:type="pct"/>
            <w:tcBorders>
              <w:top w:val="nil"/>
              <w:bottom w:val="nil"/>
            </w:tcBorders>
            <w:vAlign w:val="center"/>
          </w:tcPr>
          <w:p w14:paraId="6C506EB7" w14:textId="77777777" w:rsidR="00C42EBD" w:rsidRPr="004C78D8" w:rsidRDefault="00C42EBD" w:rsidP="00FB7C1F">
            <w:pPr>
              <w:jc w:val="center"/>
              <w:rPr>
                <w:sz w:val="18"/>
                <w:szCs w:val="18"/>
              </w:rPr>
            </w:pPr>
          </w:p>
        </w:tc>
        <w:tc>
          <w:tcPr>
            <w:tcW w:w="621" w:type="pct"/>
            <w:tcBorders>
              <w:top w:val="nil"/>
              <w:bottom w:val="nil"/>
            </w:tcBorders>
            <w:vAlign w:val="center"/>
          </w:tcPr>
          <w:p w14:paraId="64B45EDC" w14:textId="77777777" w:rsidR="00C42EBD" w:rsidRPr="004C78D8" w:rsidRDefault="00C42EBD" w:rsidP="00FB7C1F">
            <w:pPr>
              <w:jc w:val="center"/>
              <w:rPr>
                <w:sz w:val="18"/>
                <w:szCs w:val="18"/>
              </w:rPr>
            </w:pPr>
          </w:p>
        </w:tc>
        <w:tc>
          <w:tcPr>
            <w:tcW w:w="611" w:type="pct"/>
            <w:tcBorders>
              <w:top w:val="nil"/>
              <w:bottom w:val="nil"/>
            </w:tcBorders>
            <w:vAlign w:val="center"/>
          </w:tcPr>
          <w:p w14:paraId="76A80BD7" w14:textId="77777777" w:rsidR="00C42EBD" w:rsidRPr="004C78D8" w:rsidRDefault="00C42EBD" w:rsidP="00FB7C1F">
            <w:pPr>
              <w:jc w:val="center"/>
              <w:rPr>
                <w:sz w:val="18"/>
                <w:szCs w:val="18"/>
              </w:rPr>
            </w:pPr>
          </w:p>
        </w:tc>
        <w:tc>
          <w:tcPr>
            <w:tcW w:w="425" w:type="pct"/>
            <w:tcBorders>
              <w:top w:val="nil"/>
              <w:bottom w:val="nil"/>
            </w:tcBorders>
          </w:tcPr>
          <w:p w14:paraId="27DB22DB" w14:textId="77777777" w:rsidR="00C42EBD" w:rsidRPr="004C78D8" w:rsidRDefault="00C42EBD" w:rsidP="00FB7C1F">
            <w:pPr>
              <w:jc w:val="left"/>
              <w:rPr>
                <w:sz w:val="18"/>
                <w:szCs w:val="18"/>
              </w:rPr>
            </w:pPr>
          </w:p>
        </w:tc>
        <w:tc>
          <w:tcPr>
            <w:tcW w:w="621" w:type="pct"/>
            <w:tcBorders>
              <w:top w:val="nil"/>
              <w:bottom w:val="nil"/>
            </w:tcBorders>
            <w:vAlign w:val="center"/>
          </w:tcPr>
          <w:p w14:paraId="1CD4E6D4" w14:textId="77777777" w:rsidR="00C42EBD" w:rsidRPr="004C78D8" w:rsidRDefault="00C42EBD" w:rsidP="00FB7C1F">
            <w:pPr>
              <w:jc w:val="center"/>
              <w:rPr>
                <w:sz w:val="18"/>
                <w:szCs w:val="18"/>
              </w:rPr>
            </w:pPr>
            <w:r w:rsidRPr="004C78D8">
              <w:rPr>
                <w:rFonts w:cs="Times New Roman"/>
                <w:sz w:val="28"/>
                <w:szCs w:val="28"/>
              </w:rPr>
              <w:t>˟</w:t>
            </w:r>
          </w:p>
        </w:tc>
        <w:tc>
          <w:tcPr>
            <w:tcW w:w="824" w:type="pct"/>
            <w:tcBorders>
              <w:top w:val="nil"/>
              <w:bottom w:val="nil"/>
            </w:tcBorders>
            <w:vAlign w:val="center"/>
          </w:tcPr>
          <w:p w14:paraId="2EA8207E" w14:textId="77777777" w:rsidR="00C42EBD" w:rsidRPr="004C78D8" w:rsidRDefault="00C42EBD" w:rsidP="00FB7C1F">
            <w:pPr>
              <w:jc w:val="center"/>
              <w:rPr>
                <w:sz w:val="18"/>
                <w:szCs w:val="18"/>
              </w:rPr>
            </w:pPr>
            <w:r w:rsidRPr="004C78D8">
              <w:rPr>
                <w:rFonts w:cs="Times New Roman"/>
                <w:sz w:val="18"/>
                <w:szCs w:val="18"/>
              </w:rPr>
              <w:t>Not costed</w:t>
            </w:r>
          </w:p>
        </w:tc>
      </w:tr>
      <w:tr w:rsidR="00C42EBD" w:rsidRPr="004C78D8" w14:paraId="463C2148" w14:textId="77777777" w:rsidTr="002828C1">
        <w:tc>
          <w:tcPr>
            <w:tcW w:w="694" w:type="pct"/>
          </w:tcPr>
          <w:p w14:paraId="4C0033DD" w14:textId="77777777" w:rsidR="00C42EBD" w:rsidRPr="004C78D8" w:rsidRDefault="00C42EBD" w:rsidP="00FB7C1F">
            <w:pPr>
              <w:jc w:val="left"/>
              <w:rPr>
                <w:sz w:val="18"/>
                <w:szCs w:val="18"/>
              </w:rPr>
            </w:pPr>
            <w:r w:rsidRPr="004C78D8">
              <w:rPr>
                <w:sz w:val="18"/>
                <w:szCs w:val="18"/>
              </w:rPr>
              <w:t>Hektoen (2009)</w:t>
            </w:r>
          </w:p>
        </w:tc>
        <w:tc>
          <w:tcPr>
            <w:tcW w:w="520" w:type="pct"/>
            <w:tcBorders>
              <w:top w:val="nil"/>
              <w:bottom w:val="nil"/>
            </w:tcBorders>
          </w:tcPr>
          <w:p w14:paraId="3ED2826C" w14:textId="77777777" w:rsidR="00C42EBD" w:rsidRPr="004C78D8" w:rsidRDefault="00C42EBD" w:rsidP="00FB7C1F">
            <w:pPr>
              <w:jc w:val="left"/>
              <w:rPr>
                <w:sz w:val="18"/>
                <w:szCs w:val="18"/>
              </w:rPr>
            </w:pPr>
          </w:p>
        </w:tc>
        <w:tc>
          <w:tcPr>
            <w:tcW w:w="683" w:type="pct"/>
            <w:tcBorders>
              <w:top w:val="nil"/>
              <w:bottom w:val="nil"/>
            </w:tcBorders>
            <w:vAlign w:val="center"/>
          </w:tcPr>
          <w:p w14:paraId="2CE2519C" w14:textId="77777777" w:rsidR="00C42EBD" w:rsidRPr="004C78D8" w:rsidRDefault="00C42EBD" w:rsidP="00FB7C1F">
            <w:pPr>
              <w:jc w:val="center"/>
              <w:rPr>
                <w:sz w:val="18"/>
                <w:szCs w:val="18"/>
              </w:rPr>
            </w:pPr>
            <w:r w:rsidRPr="004C78D8">
              <w:rPr>
                <w:rFonts w:cs="Times New Roman"/>
                <w:sz w:val="28"/>
                <w:szCs w:val="28"/>
              </w:rPr>
              <w:t>˟</w:t>
            </w:r>
          </w:p>
        </w:tc>
        <w:tc>
          <w:tcPr>
            <w:tcW w:w="621" w:type="pct"/>
            <w:tcBorders>
              <w:top w:val="nil"/>
              <w:bottom w:val="nil"/>
            </w:tcBorders>
            <w:vAlign w:val="center"/>
          </w:tcPr>
          <w:p w14:paraId="0161A87D" w14:textId="77777777" w:rsidR="00C42EBD" w:rsidRPr="004C78D8" w:rsidRDefault="00C42EBD" w:rsidP="00FB7C1F">
            <w:pPr>
              <w:jc w:val="center"/>
              <w:rPr>
                <w:sz w:val="18"/>
                <w:szCs w:val="18"/>
              </w:rPr>
            </w:pPr>
          </w:p>
        </w:tc>
        <w:tc>
          <w:tcPr>
            <w:tcW w:w="611" w:type="pct"/>
            <w:tcBorders>
              <w:top w:val="nil"/>
              <w:bottom w:val="nil"/>
            </w:tcBorders>
            <w:vAlign w:val="center"/>
          </w:tcPr>
          <w:p w14:paraId="1A897C95" w14:textId="77777777" w:rsidR="00C42EBD" w:rsidRPr="004C78D8" w:rsidRDefault="00C42EBD" w:rsidP="00FB7C1F">
            <w:pPr>
              <w:jc w:val="center"/>
              <w:rPr>
                <w:sz w:val="18"/>
                <w:szCs w:val="18"/>
              </w:rPr>
            </w:pPr>
          </w:p>
        </w:tc>
        <w:tc>
          <w:tcPr>
            <w:tcW w:w="425" w:type="pct"/>
            <w:tcBorders>
              <w:top w:val="nil"/>
              <w:bottom w:val="nil"/>
            </w:tcBorders>
          </w:tcPr>
          <w:p w14:paraId="277D2A50" w14:textId="77777777" w:rsidR="00C42EBD" w:rsidRPr="004C78D8" w:rsidRDefault="00C42EBD" w:rsidP="00FB7C1F">
            <w:pPr>
              <w:jc w:val="left"/>
              <w:rPr>
                <w:sz w:val="18"/>
                <w:szCs w:val="18"/>
              </w:rPr>
            </w:pPr>
          </w:p>
        </w:tc>
        <w:tc>
          <w:tcPr>
            <w:tcW w:w="621" w:type="pct"/>
            <w:tcBorders>
              <w:top w:val="nil"/>
              <w:bottom w:val="nil"/>
            </w:tcBorders>
            <w:vAlign w:val="center"/>
          </w:tcPr>
          <w:p w14:paraId="07CCF74D" w14:textId="77777777" w:rsidR="00C42EBD" w:rsidRPr="004C78D8" w:rsidRDefault="00C42EBD" w:rsidP="00FB7C1F">
            <w:pPr>
              <w:jc w:val="center"/>
              <w:rPr>
                <w:sz w:val="18"/>
                <w:szCs w:val="18"/>
              </w:rPr>
            </w:pPr>
          </w:p>
        </w:tc>
        <w:tc>
          <w:tcPr>
            <w:tcW w:w="824" w:type="pct"/>
            <w:tcBorders>
              <w:top w:val="nil"/>
              <w:bottom w:val="nil"/>
            </w:tcBorders>
          </w:tcPr>
          <w:p w14:paraId="5D37F197" w14:textId="77777777" w:rsidR="00C42EBD" w:rsidRPr="004C78D8" w:rsidRDefault="00C42EBD" w:rsidP="00FB7C1F">
            <w:pPr>
              <w:jc w:val="center"/>
              <w:rPr>
                <w:sz w:val="18"/>
                <w:szCs w:val="18"/>
              </w:rPr>
            </w:pPr>
          </w:p>
        </w:tc>
      </w:tr>
      <w:tr w:rsidR="00C42EBD" w:rsidRPr="004C78D8" w14:paraId="6A52C79A" w14:textId="77777777" w:rsidTr="002828C1">
        <w:tc>
          <w:tcPr>
            <w:tcW w:w="694" w:type="pct"/>
          </w:tcPr>
          <w:p w14:paraId="0BD5AD36" w14:textId="77777777" w:rsidR="00C42EBD" w:rsidRPr="004C78D8" w:rsidRDefault="00C42EBD" w:rsidP="00FB7C1F">
            <w:pPr>
              <w:jc w:val="left"/>
              <w:rPr>
                <w:sz w:val="18"/>
                <w:szCs w:val="18"/>
              </w:rPr>
            </w:pPr>
            <w:r w:rsidRPr="004C78D8">
              <w:rPr>
                <w:sz w:val="18"/>
                <w:szCs w:val="18"/>
              </w:rPr>
              <w:t>Hiligsmann (2014)</w:t>
            </w:r>
          </w:p>
        </w:tc>
        <w:tc>
          <w:tcPr>
            <w:tcW w:w="520" w:type="pct"/>
            <w:tcBorders>
              <w:top w:val="nil"/>
              <w:bottom w:val="nil"/>
            </w:tcBorders>
          </w:tcPr>
          <w:p w14:paraId="1F62B33B" w14:textId="77777777" w:rsidR="00C42EBD" w:rsidRPr="004C78D8" w:rsidRDefault="00C42EBD" w:rsidP="00FB7C1F">
            <w:pPr>
              <w:jc w:val="left"/>
              <w:rPr>
                <w:sz w:val="18"/>
                <w:szCs w:val="18"/>
              </w:rPr>
            </w:pPr>
          </w:p>
        </w:tc>
        <w:tc>
          <w:tcPr>
            <w:tcW w:w="683" w:type="pct"/>
            <w:tcBorders>
              <w:top w:val="nil"/>
              <w:bottom w:val="nil"/>
            </w:tcBorders>
            <w:vAlign w:val="center"/>
          </w:tcPr>
          <w:p w14:paraId="2882A445" w14:textId="77777777" w:rsidR="00C42EBD" w:rsidRPr="004C78D8" w:rsidRDefault="00C42EBD" w:rsidP="00FB7C1F">
            <w:pPr>
              <w:jc w:val="center"/>
              <w:rPr>
                <w:sz w:val="18"/>
                <w:szCs w:val="18"/>
              </w:rPr>
            </w:pPr>
            <w:r w:rsidRPr="004C78D8">
              <w:rPr>
                <w:rFonts w:cs="Times New Roman"/>
                <w:sz w:val="28"/>
                <w:szCs w:val="28"/>
              </w:rPr>
              <w:t>˟</w:t>
            </w:r>
          </w:p>
        </w:tc>
        <w:tc>
          <w:tcPr>
            <w:tcW w:w="621" w:type="pct"/>
            <w:tcBorders>
              <w:top w:val="nil"/>
              <w:bottom w:val="nil"/>
            </w:tcBorders>
            <w:vAlign w:val="center"/>
          </w:tcPr>
          <w:p w14:paraId="36E4A9A2" w14:textId="77777777" w:rsidR="00C42EBD" w:rsidRPr="004C78D8" w:rsidRDefault="00C42EBD" w:rsidP="00FB7C1F">
            <w:pPr>
              <w:jc w:val="center"/>
              <w:rPr>
                <w:sz w:val="18"/>
                <w:szCs w:val="18"/>
              </w:rPr>
            </w:pPr>
          </w:p>
        </w:tc>
        <w:tc>
          <w:tcPr>
            <w:tcW w:w="611" w:type="pct"/>
            <w:tcBorders>
              <w:top w:val="nil"/>
              <w:bottom w:val="nil"/>
            </w:tcBorders>
            <w:vAlign w:val="center"/>
          </w:tcPr>
          <w:p w14:paraId="7D4C7906" w14:textId="77777777" w:rsidR="00C42EBD" w:rsidRPr="004C78D8" w:rsidRDefault="00C42EBD" w:rsidP="00FB7C1F">
            <w:pPr>
              <w:jc w:val="center"/>
              <w:rPr>
                <w:sz w:val="18"/>
                <w:szCs w:val="18"/>
              </w:rPr>
            </w:pPr>
          </w:p>
        </w:tc>
        <w:tc>
          <w:tcPr>
            <w:tcW w:w="425" w:type="pct"/>
            <w:tcBorders>
              <w:top w:val="nil"/>
              <w:bottom w:val="nil"/>
            </w:tcBorders>
          </w:tcPr>
          <w:p w14:paraId="79CBDED3" w14:textId="77777777" w:rsidR="00C42EBD" w:rsidRPr="004C78D8" w:rsidRDefault="00C42EBD" w:rsidP="00FB7C1F">
            <w:pPr>
              <w:jc w:val="left"/>
              <w:rPr>
                <w:sz w:val="18"/>
                <w:szCs w:val="18"/>
              </w:rPr>
            </w:pPr>
          </w:p>
        </w:tc>
        <w:tc>
          <w:tcPr>
            <w:tcW w:w="621" w:type="pct"/>
            <w:tcBorders>
              <w:top w:val="nil"/>
              <w:bottom w:val="nil"/>
            </w:tcBorders>
            <w:vAlign w:val="center"/>
          </w:tcPr>
          <w:p w14:paraId="1D304A67" w14:textId="77777777" w:rsidR="00C42EBD" w:rsidRPr="004C78D8" w:rsidRDefault="00C42EBD" w:rsidP="00FB7C1F">
            <w:pPr>
              <w:jc w:val="center"/>
              <w:rPr>
                <w:sz w:val="18"/>
                <w:szCs w:val="18"/>
              </w:rPr>
            </w:pPr>
          </w:p>
        </w:tc>
        <w:tc>
          <w:tcPr>
            <w:tcW w:w="824" w:type="pct"/>
            <w:tcBorders>
              <w:top w:val="nil"/>
              <w:bottom w:val="nil"/>
            </w:tcBorders>
          </w:tcPr>
          <w:p w14:paraId="60A30DBC" w14:textId="77777777" w:rsidR="00C42EBD" w:rsidRPr="004C78D8" w:rsidRDefault="00C42EBD" w:rsidP="00FB7C1F">
            <w:pPr>
              <w:jc w:val="center"/>
              <w:rPr>
                <w:sz w:val="18"/>
                <w:szCs w:val="18"/>
              </w:rPr>
            </w:pPr>
          </w:p>
        </w:tc>
      </w:tr>
      <w:tr w:rsidR="00C42EBD" w:rsidRPr="004C78D8" w14:paraId="69C8B27C" w14:textId="77777777" w:rsidTr="002828C1">
        <w:tc>
          <w:tcPr>
            <w:tcW w:w="694" w:type="pct"/>
          </w:tcPr>
          <w:p w14:paraId="04C044C7" w14:textId="77777777" w:rsidR="00C42EBD" w:rsidRPr="004C78D8" w:rsidRDefault="00C42EBD" w:rsidP="00FB7C1F">
            <w:pPr>
              <w:jc w:val="left"/>
              <w:rPr>
                <w:sz w:val="18"/>
                <w:szCs w:val="18"/>
              </w:rPr>
            </w:pPr>
            <w:r w:rsidRPr="004C78D8">
              <w:rPr>
                <w:sz w:val="18"/>
                <w:szCs w:val="18"/>
              </w:rPr>
              <w:t>Honkanen (2006)</w:t>
            </w:r>
          </w:p>
        </w:tc>
        <w:tc>
          <w:tcPr>
            <w:tcW w:w="520" w:type="pct"/>
            <w:tcBorders>
              <w:top w:val="nil"/>
              <w:bottom w:val="nil"/>
            </w:tcBorders>
          </w:tcPr>
          <w:p w14:paraId="5F1B33FF" w14:textId="77777777" w:rsidR="00C42EBD" w:rsidRPr="004C78D8" w:rsidRDefault="00C42EBD" w:rsidP="00FB7C1F">
            <w:pPr>
              <w:jc w:val="center"/>
              <w:rPr>
                <w:sz w:val="18"/>
                <w:szCs w:val="18"/>
              </w:rPr>
            </w:pPr>
            <w:r w:rsidRPr="004C78D8">
              <w:rPr>
                <w:rFonts w:cs="Times New Roman"/>
                <w:sz w:val="28"/>
                <w:szCs w:val="28"/>
              </w:rPr>
              <w:t>˟</w:t>
            </w:r>
          </w:p>
        </w:tc>
        <w:tc>
          <w:tcPr>
            <w:tcW w:w="683" w:type="pct"/>
            <w:tcBorders>
              <w:top w:val="nil"/>
              <w:bottom w:val="nil"/>
            </w:tcBorders>
            <w:vAlign w:val="center"/>
          </w:tcPr>
          <w:p w14:paraId="31A6B633" w14:textId="77777777" w:rsidR="00C42EBD" w:rsidRPr="004C78D8" w:rsidRDefault="00C42EBD" w:rsidP="00FB7C1F">
            <w:pPr>
              <w:jc w:val="center"/>
              <w:rPr>
                <w:rFonts w:cs="Times New Roman"/>
                <w:sz w:val="28"/>
                <w:szCs w:val="28"/>
              </w:rPr>
            </w:pPr>
          </w:p>
        </w:tc>
        <w:tc>
          <w:tcPr>
            <w:tcW w:w="621" w:type="pct"/>
            <w:tcBorders>
              <w:top w:val="nil"/>
              <w:bottom w:val="nil"/>
            </w:tcBorders>
            <w:vAlign w:val="center"/>
          </w:tcPr>
          <w:p w14:paraId="63A87FF7" w14:textId="77777777" w:rsidR="00C42EBD" w:rsidRPr="004C78D8" w:rsidRDefault="00C42EBD" w:rsidP="00FB7C1F">
            <w:pPr>
              <w:jc w:val="center"/>
              <w:rPr>
                <w:sz w:val="18"/>
                <w:szCs w:val="18"/>
              </w:rPr>
            </w:pPr>
          </w:p>
        </w:tc>
        <w:tc>
          <w:tcPr>
            <w:tcW w:w="611" w:type="pct"/>
            <w:tcBorders>
              <w:top w:val="nil"/>
              <w:bottom w:val="nil"/>
            </w:tcBorders>
            <w:vAlign w:val="center"/>
          </w:tcPr>
          <w:p w14:paraId="524224D6" w14:textId="77777777" w:rsidR="00C42EBD" w:rsidRPr="004C78D8" w:rsidRDefault="00C42EBD" w:rsidP="00FB7C1F">
            <w:pPr>
              <w:jc w:val="center"/>
              <w:rPr>
                <w:sz w:val="18"/>
                <w:szCs w:val="18"/>
              </w:rPr>
            </w:pPr>
          </w:p>
        </w:tc>
        <w:tc>
          <w:tcPr>
            <w:tcW w:w="425" w:type="pct"/>
            <w:tcBorders>
              <w:top w:val="nil"/>
              <w:bottom w:val="nil"/>
            </w:tcBorders>
          </w:tcPr>
          <w:p w14:paraId="4E8BF41E" w14:textId="77777777" w:rsidR="00C42EBD" w:rsidRPr="004C78D8" w:rsidRDefault="00C42EBD" w:rsidP="00FB7C1F">
            <w:pPr>
              <w:jc w:val="center"/>
              <w:rPr>
                <w:sz w:val="18"/>
                <w:szCs w:val="18"/>
              </w:rPr>
            </w:pPr>
            <w:r w:rsidRPr="004C78D8">
              <w:rPr>
                <w:rFonts w:cs="Times New Roman"/>
                <w:sz w:val="28"/>
                <w:szCs w:val="28"/>
              </w:rPr>
              <w:t>˟</w:t>
            </w:r>
          </w:p>
        </w:tc>
        <w:tc>
          <w:tcPr>
            <w:tcW w:w="621" w:type="pct"/>
            <w:tcBorders>
              <w:top w:val="nil"/>
              <w:bottom w:val="nil"/>
            </w:tcBorders>
            <w:vAlign w:val="center"/>
          </w:tcPr>
          <w:p w14:paraId="6A20FC96" w14:textId="77777777" w:rsidR="00C42EBD" w:rsidRPr="004C78D8" w:rsidRDefault="00C42EBD" w:rsidP="00FB7C1F">
            <w:pPr>
              <w:jc w:val="center"/>
              <w:rPr>
                <w:sz w:val="18"/>
                <w:szCs w:val="18"/>
              </w:rPr>
            </w:pPr>
          </w:p>
        </w:tc>
        <w:tc>
          <w:tcPr>
            <w:tcW w:w="824" w:type="pct"/>
            <w:tcBorders>
              <w:top w:val="nil"/>
              <w:bottom w:val="nil"/>
            </w:tcBorders>
          </w:tcPr>
          <w:p w14:paraId="0E86F098" w14:textId="77777777" w:rsidR="00C42EBD" w:rsidRPr="004C78D8" w:rsidRDefault="00C42EBD" w:rsidP="00FB7C1F">
            <w:pPr>
              <w:jc w:val="center"/>
              <w:rPr>
                <w:sz w:val="18"/>
                <w:szCs w:val="18"/>
              </w:rPr>
            </w:pPr>
          </w:p>
        </w:tc>
      </w:tr>
      <w:tr w:rsidR="00C42EBD" w:rsidRPr="004C78D8" w14:paraId="08E46F09" w14:textId="77777777" w:rsidTr="002828C1">
        <w:tc>
          <w:tcPr>
            <w:tcW w:w="694" w:type="pct"/>
          </w:tcPr>
          <w:p w14:paraId="537432E3" w14:textId="77777777" w:rsidR="00C42EBD" w:rsidRPr="004C78D8" w:rsidRDefault="00C42EBD" w:rsidP="00FB7C1F">
            <w:pPr>
              <w:jc w:val="left"/>
              <w:rPr>
                <w:sz w:val="18"/>
                <w:szCs w:val="18"/>
              </w:rPr>
            </w:pPr>
            <w:r w:rsidRPr="004C78D8">
              <w:rPr>
                <w:sz w:val="18"/>
                <w:szCs w:val="18"/>
              </w:rPr>
              <w:t>Johansson (2008)</w:t>
            </w:r>
          </w:p>
        </w:tc>
        <w:tc>
          <w:tcPr>
            <w:tcW w:w="520" w:type="pct"/>
            <w:tcBorders>
              <w:top w:val="nil"/>
              <w:bottom w:val="nil"/>
            </w:tcBorders>
          </w:tcPr>
          <w:p w14:paraId="2BD10143" w14:textId="77777777" w:rsidR="00C42EBD" w:rsidRPr="004C78D8" w:rsidRDefault="00C42EBD" w:rsidP="00FB7C1F">
            <w:pPr>
              <w:jc w:val="left"/>
              <w:rPr>
                <w:sz w:val="18"/>
                <w:szCs w:val="18"/>
              </w:rPr>
            </w:pPr>
          </w:p>
        </w:tc>
        <w:tc>
          <w:tcPr>
            <w:tcW w:w="683" w:type="pct"/>
            <w:tcBorders>
              <w:top w:val="nil"/>
              <w:bottom w:val="nil"/>
            </w:tcBorders>
            <w:vAlign w:val="center"/>
          </w:tcPr>
          <w:p w14:paraId="0C2A362B" w14:textId="77777777" w:rsidR="00C42EBD" w:rsidRPr="004C78D8" w:rsidRDefault="00C42EBD" w:rsidP="00FB7C1F">
            <w:pPr>
              <w:jc w:val="center"/>
              <w:rPr>
                <w:sz w:val="18"/>
                <w:szCs w:val="18"/>
              </w:rPr>
            </w:pPr>
          </w:p>
        </w:tc>
        <w:tc>
          <w:tcPr>
            <w:tcW w:w="621" w:type="pct"/>
            <w:tcBorders>
              <w:top w:val="nil"/>
              <w:bottom w:val="nil"/>
            </w:tcBorders>
            <w:vAlign w:val="center"/>
          </w:tcPr>
          <w:p w14:paraId="4A6CC665" w14:textId="77777777" w:rsidR="00C42EBD" w:rsidRPr="004C78D8" w:rsidRDefault="00C42EBD" w:rsidP="00FB7C1F">
            <w:pPr>
              <w:jc w:val="center"/>
              <w:rPr>
                <w:sz w:val="18"/>
                <w:szCs w:val="18"/>
              </w:rPr>
            </w:pPr>
            <w:r w:rsidRPr="004C78D8">
              <w:rPr>
                <w:rFonts w:cs="Times New Roman"/>
                <w:sz w:val="28"/>
                <w:szCs w:val="28"/>
              </w:rPr>
              <w:t>˟</w:t>
            </w:r>
          </w:p>
        </w:tc>
        <w:tc>
          <w:tcPr>
            <w:tcW w:w="611" w:type="pct"/>
            <w:tcBorders>
              <w:top w:val="nil"/>
              <w:bottom w:val="nil"/>
            </w:tcBorders>
            <w:vAlign w:val="center"/>
          </w:tcPr>
          <w:p w14:paraId="4A03E210" w14:textId="77777777" w:rsidR="00C42EBD" w:rsidRPr="004C78D8" w:rsidRDefault="00C42EBD" w:rsidP="00FB7C1F">
            <w:pPr>
              <w:jc w:val="center"/>
              <w:rPr>
                <w:sz w:val="18"/>
                <w:szCs w:val="18"/>
              </w:rPr>
            </w:pPr>
            <w:r w:rsidRPr="004C78D8">
              <w:rPr>
                <w:rFonts w:cs="Times New Roman"/>
                <w:sz w:val="28"/>
                <w:szCs w:val="28"/>
              </w:rPr>
              <w:t>˟</w:t>
            </w:r>
          </w:p>
        </w:tc>
        <w:tc>
          <w:tcPr>
            <w:tcW w:w="425" w:type="pct"/>
            <w:tcBorders>
              <w:top w:val="nil"/>
              <w:bottom w:val="nil"/>
            </w:tcBorders>
          </w:tcPr>
          <w:p w14:paraId="120463B2" w14:textId="77777777" w:rsidR="00C42EBD" w:rsidRPr="004C78D8" w:rsidRDefault="00C42EBD" w:rsidP="00FB7C1F">
            <w:pPr>
              <w:jc w:val="left"/>
              <w:rPr>
                <w:sz w:val="18"/>
                <w:szCs w:val="18"/>
              </w:rPr>
            </w:pPr>
          </w:p>
        </w:tc>
        <w:tc>
          <w:tcPr>
            <w:tcW w:w="621" w:type="pct"/>
            <w:tcBorders>
              <w:top w:val="nil"/>
              <w:bottom w:val="nil"/>
            </w:tcBorders>
            <w:vAlign w:val="center"/>
          </w:tcPr>
          <w:p w14:paraId="4D715C02" w14:textId="77777777" w:rsidR="00C42EBD" w:rsidRPr="004C78D8" w:rsidRDefault="00C42EBD" w:rsidP="00FB7C1F">
            <w:pPr>
              <w:jc w:val="center"/>
              <w:rPr>
                <w:sz w:val="18"/>
                <w:szCs w:val="18"/>
              </w:rPr>
            </w:pPr>
            <w:r w:rsidRPr="004C78D8">
              <w:rPr>
                <w:rFonts w:cs="Times New Roman"/>
                <w:sz w:val="28"/>
                <w:szCs w:val="28"/>
              </w:rPr>
              <w:t>˟</w:t>
            </w:r>
          </w:p>
        </w:tc>
        <w:tc>
          <w:tcPr>
            <w:tcW w:w="824" w:type="pct"/>
            <w:tcBorders>
              <w:top w:val="nil"/>
              <w:bottom w:val="nil"/>
            </w:tcBorders>
            <w:vAlign w:val="center"/>
          </w:tcPr>
          <w:p w14:paraId="10E3A959" w14:textId="77777777" w:rsidR="00C42EBD" w:rsidRPr="004C78D8" w:rsidRDefault="00C42EBD" w:rsidP="00FB7C1F">
            <w:pPr>
              <w:jc w:val="center"/>
              <w:rPr>
                <w:sz w:val="18"/>
                <w:szCs w:val="18"/>
              </w:rPr>
            </w:pPr>
            <w:r w:rsidRPr="004C78D8">
              <w:rPr>
                <w:rFonts w:cs="Times New Roman"/>
                <w:sz w:val="28"/>
                <w:szCs w:val="28"/>
              </w:rPr>
              <w:t>˟</w:t>
            </w:r>
          </w:p>
        </w:tc>
      </w:tr>
      <w:tr w:rsidR="00C42EBD" w:rsidRPr="004C78D8" w14:paraId="50920015" w14:textId="77777777" w:rsidTr="002828C1">
        <w:tc>
          <w:tcPr>
            <w:tcW w:w="694" w:type="pct"/>
          </w:tcPr>
          <w:p w14:paraId="3E846C7C" w14:textId="77777777" w:rsidR="00C42EBD" w:rsidRPr="004C78D8" w:rsidRDefault="00C42EBD" w:rsidP="00FB7C1F">
            <w:pPr>
              <w:jc w:val="left"/>
              <w:rPr>
                <w:sz w:val="18"/>
                <w:szCs w:val="18"/>
              </w:rPr>
            </w:pPr>
            <w:r w:rsidRPr="004C78D8">
              <w:rPr>
                <w:sz w:val="18"/>
                <w:szCs w:val="18"/>
              </w:rPr>
              <w:t>Miller (2011)</w:t>
            </w:r>
          </w:p>
        </w:tc>
        <w:tc>
          <w:tcPr>
            <w:tcW w:w="520" w:type="pct"/>
            <w:tcBorders>
              <w:top w:val="nil"/>
              <w:bottom w:val="nil"/>
            </w:tcBorders>
          </w:tcPr>
          <w:p w14:paraId="79429E12" w14:textId="77777777" w:rsidR="00C42EBD" w:rsidRPr="004C78D8" w:rsidRDefault="00C42EBD" w:rsidP="00FB7C1F">
            <w:pPr>
              <w:jc w:val="left"/>
              <w:rPr>
                <w:sz w:val="18"/>
                <w:szCs w:val="18"/>
              </w:rPr>
            </w:pPr>
          </w:p>
        </w:tc>
        <w:tc>
          <w:tcPr>
            <w:tcW w:w="683" w:type="pct"/>
            <w:tcBorders>
              <w:top w:val="nil"/>
              <w:bottom w:val="nil"/>
            </w:tcBorders>
            <w:vAlign w:val="center"/>
          </w:tcPr>
          <w:p w14:paraId="0BB70E41" w14:textId="77777777" w:rsidR="00C42EBD" w:rsidRPr="004C78D8" w:rsidRDefault="00C42EBD" w:rsidP="00FB7C1F">
            <w:pPr>
              <w:jc w:val="center"/>
              <w:rPr>
                <w:sz w:val="18"/>
                <w:szCs w:val="18"/>
              </w:rPr>
            </w:pPr>
          </w:p>
        </w:tc>
        <w:tc>
          <w:tcPr>
            <w:tcW w:w="621" w:type="pct"/>
            <w:tcBorders>
              <w:top w:val="nil"/>
              <w:bottom w:val="nil"/>
            </w:tcBorders>
            <w:vAlign w:val="center"/>
          </w:tcPr>
          <w:p w14:paraId="08AA94E1" w14:textId="77777777" w:rsidR="00C42EBD" w:rsidRPr="004C78D8" w:rsidRDefault="00C42EBD" w:rsidP="00FB7C1F">
            <w:pPr>
              <w:jc w:val="center"/>
              <w:rPr>
                <w:sz w:val="18"/>
                <w:szCs w:val="18"/>
              </w:rPr>
            </w:pPr>
          </w:p>
        </w:tc>
        <w:tc>
          <w:tcPr>
            <w:tcW w:w="611" w:type="pct"/>
            <w:tcBorders>
              <w:top w:val="nil"/>
              <w:bottom w:val="nil"/>
            </w:tcBorders>
            <w:vAlign w:val="center"/>
          </w:tcPr>
          <w:p w14:paraId="131E373C" w14:textId="77777777" w:rsidR="00C42EBD" w:rsidRPr="004C78D8" w:rsidRDefault="00C42EBD" w:rsidP="00FB7C1F">
            <w:pPr>
              <w:jc w:val="center"/>
              <w:rPr>
                <w:sz w:val="18"/>
                <w:szCs w:val="18"/>
              </w:rPr>
            </w:pPr>
          </w:p>
        </w:tc>
        <w:tc>
          <w:tcPr>
            <w:tcW w:w="425" w:type="pct"/>
            <w:tcBorders>
              <w:top w:val="nil"/>
              <w:bottom w:val="nil"/>
            </w:tcBorders>
          </w:tcPr>
          <w:p w14:paraId="0939B4D1" w14:textId="77777777" w:rsidR="00C42EBD" w:rsidRPr="004C78D8" w:rsidRDefault="00C42EBD" w:rsidP="00FB7C1F">
            <w:pPr>
              <w:jc w:val="left"/>
              <w:rPr>
                <w:sz w:val="18"/>
                <w:szCs w:val="18"/>
              </w:rPr>
            </w:pPr>
          </w:p>
        </w:tc>
        <w:tc>
          <w:tcPr>
            <w:tcW w:w="621" w:type="pct"/>
            <w:tcBorders>
              <w:top w:val="nil"/>
              <w:bottom w:val="nil"/>
            </w:tcBorders>
            <w:vAlign w:val="center"/>
          </w:tcPr>
          <w:p w14:paraId="05DA7C5D" w14:textId="77777777" w:rsidR="00C42EBD" w:rsidRPr="004C78D8" w:rsidRDefault="00C42EBD" w:rsidP="00FB7C1F">
            <w:pPr>
              <w:jc w:val="center"/>
              <w:rPr>
                <w:sz w:val="18"/>
                <w:szCs w:val="18"/>
              </w:rPr>
            </w:pPr>
            <w:r w:rsidRPr="004C78D8">
              <w:rPr>
                <w:rFonts w:cs="Times New Roman"/>
                <w:sz w:val="28"/>
                <w:szCs w:val="28"/>
              </w:rPr>
              <w:t>˟</w:t>
            </w:r>
          </w:p>
        </w:tc>
        <w:tc>
          <w:tcPr>
            <w:tcW w:w="824" w:type="pct"/>
            <w:tcBorders>
              <w:top w:val="nil"/>
              <w:bottom w:val="nil"/>
            </w:tcBorders>
            <w:vAlign w:val="center"/>
          </w:tcPr>
          <w:p w14:paraId="29E1A55F" w14:textId="77777777" w:rsidR="00C42EBD" w:rsidRPr="004C78D8" w:rsidRDefault="00C42EBD" w:rsidP="00FB7C1F">
            <w:pPr>
              <w:jc w:val="center"/>
              <w:rPr>
                <w:sz w:val="18"/>
                <w:szCs w:val="18"/>
              </w:rPr>
            </w:pPr>
            <w:r w:rsidRPr="004C78D8">
              <w:rPr>
                <w:rFonts w:cs="Times New Roman"/>
                <w:sz w:val="28"/>
                <w:szCs w:val="28"/>
              </w:rPr>
              <w:t>˟</w:t>
            </w:r>
          </w:p>
        </w:tc>
      </w:tr>
      <w:tr w:rsidR="00C42EBD" w:rsidRPr="004C78D8" w14:paraId="01DEE183" w14:textId="77777777" w:rsidTr="002828C1">
        <w:tc>
          <w:tcPr>
            <w:tcW w:w="694" w:type="pct"/>
          </w:tcPr>
          <w:p w14:paraId="0C1A05EA" w14:textId="77777777" w:rsidR="00C42EBD" w:rsidRPr="004C78D8" w:rsidRDefault="00C42EBD" w:rsidP="00FB7C1F">
            <w:pPr>
              <w:jc w:val="left"/>
              <w:rPr>
                <w:sz w:val="18"/>
                <w:szCs w:val="18"/>
              </w:rPr>
            </w:pPr>
            <w:r w:rsidRPr="004C78D8">
              <w:rPr>
                <w:sz w:val="18"/>
                <w:szCs w:val="18"/>
              </w:rPr>
              <w:t>Mori (2017)</w:t>
            </w:r>
          </w:p>
        </w:tc>
        <w:tc>
          <w:tcPr>
            <w:tcW w:w="520" w:type="pct"/>
            <w:tcBorders>
              <w:top w:val="nil"/>
              <w:bottom w:val="nil"/>
            </w:tcBorders>
          </w:tcPr>
          <w:p w14:paraId="5D61A524" w14:textId="77777777" w:rsidR="00C42EBD" w:rsidRPr="004C78D8" w:rsidRDefault="00C42EBD" w:rsidP="00FB7C1F">
            <w:pPr>
              <w:jc w:val="left"/>
              <w:rPr>
                <w:sz w:val="18"/>
                <w:szCs w:val="18"/>
              </w:rPr>
            </w:pPr>
          </w:p>
        </w:tc>
        <w:tc>
          <w:tcPr>
            <w:tcW w:w="683" w:type="pct"/>
            <w:tcBorders>
              <w:top w:val="nil"/>
              <w:bottom w:val="nil"/>
            </w:tcBorders>
            <w:vAlign w:val="center"/>
          </w:tcPr>
          <w:p w14:paraId="06094CB2" w14:textId="77777777" w:rsidR="00C42EBD" w:rsidRPr="004C78D8" w:rsidRDefault="00C42EBD" w:rsidP="00FB7C1F">
            <w:pPr>
              <w:jc w:val="center"/>
              <w:rPr>
                <w:sz w:val="18"/>
                <w:szCs w:val="18"/>
              </w:rPr>
            </w:pPr>
          </w:p>
        </w:tc>
        <w:tc>
          <w:tcPr>
            <w:tcW w:w="621" w:type="pct"/>
            <w:tcBorders>
              <w:top w:val="nil"/>
              <w:bottom w:val="nil"/>
            </w:tcBorders>
            <w:vAlign w:val="center"/>
          </w:tcPr>
          <w:p w14:paraId="2DCFEA62" w14:textId="77777777" w:rsidR="00C42EBD" w:rsidRPr="004C78D8" w:rsidRDefault="00C42EBD" w:rsidP="00FB7C1F">
            <w:pPr>
              <w:jc w:val="center"/>
              <w:rPr>
                <w:sz w:val="18"/>
                <w:szCs w:val="18"/>
              </w:rPr>
            </w:pPr>
          </w:p>
        </w:tc>
        <w:tc>
          <w:tcPr>
            <w:tcW w:w="611" w:type="pct"/>
            <w:tcBorders>
              <w:top w:val="nil"/>
              <w:bottom w:val="nil"/>
            </w:tcBorders>
            <w:vAlign w:val="center"/>
          </w:tcPr>
          <w:p w14:paraId="1C5F8167" w14:textId="77777777" w:rsidR="00C42EBD" w:rsidRPr="004C78D8" w:rsidRDefault="00C42EBD" w:rsidP="00FB7C1F">
            <w:pPr>
              <w:jc w:val="center"/>
              <w:rPr>
                <w:sz w:val="18"/>
                <w:szCs w:val="18"/>
              </w:rPr>
            </w:pPr>
          </w:p>
        </w:tc>
        <w:tc>
          <w:tcPr>
            <w:tcW w:w="425" w:type="pct"/>
            <w:tcBorders>
              <w:top w:val="nil"/>
              <w:bottom w:val="nil"/>
            </w:tcBorders>
          </w:tcPr>
          <w:p w14:paraId="16F4110E" w14:textId="77777777" w:rsidR="00C42EBD" w:rsidRPr="004C78D8" w:rsidRDefault="00C42EBD" w:rsidP="00FB7C1F">
            <w:pPr>
              <w:jc w:val="left"/>
              <w:rPr>
                <w:sz w:val="18"/>
                <w:szCs w:val="18"/>
              </w:rPr>
            </w:pPr>
          </w:p>
        </w:tc>
        <w:tc>
          <w:tcPr>
            <w:tcW w:w="621" w:type="pct"/>
            <w:tcBorders>
              <w:top w:val="nil"/>
              <w:bottom w:val="nil"/>
            </w:tcBorders>
            <w:vAlign w:val="center"/>
          </w:tcPr>
          <w:p w14:paraId="2C3F0840" w14:textId="77777777" w:rsidR="00C42EBD" w:rsidRPr="004C78D8" w:rsidRDefault="00C42EBD" w:rsidP="00FB7C1F">
            <w:pPr>
              <w:jc w:val="center"/>
              <w:rPr>
                <w:sz w:val="18"/>
                <w:szCs w:val="18"/>
              </w:rPr>
            </w:pPr>
          </w:p>
        </w:tc>
        <w:tc>
          <w:tcPr>
            <w:tcW w:w="824" w:type="pct"/>
            <w:tcBorders>
              <w:top w:val="nil"/>
              <w:bottom w:val="nil"/>
            </w:tcBorders>
            <w:vAlign w:val="center"/>
          </w:tcPr>
          <w:p w14:paraId="092C41A4" w14:textId="77777777" w:rsidR="00C42EBD" w:rsidRPr="004C78D8" w:rsidRDefault="00C42EBD" w:rsidP="00FB7C1F">
            <w:pPr>
              <w:jc w:val="center"/>
              <w:rPr>
                <w:sz w:val="18"/>
                <w:szCs w:val="18"/>
              </w:rPr>
            </w:pPr>
            <w:r w:rsidRPr="004C78D8">
              <w:rPr>
                <w:rFonts w:cs="Times New Roman"/>
                <w:sz w:val="28"/>
                <w:szCs w:val="28"/>
              </w:rPr>
              <w:t>˟</w:t>
            </w:r>
          </w:p>
        </w:tc>
      </w:tr>
      <w:tr w:rsidR="00C42EBD" w:rsidRPr="004C78D8" w14:paraId="17B41A8D" w14:textId="77777777" w:rsidTr="002828C1">
        <w:tc>
          <w:tcPr>
            <w:tcW w:w="694" w:type="pct"/>
          </w:tcPr>
          <w:p w14:paraId="5E7E0327" w14:textId="77777777" w:rsidR="00C42EBD" w:rsidRPr="004C78D8" w:rsidRDefault="00C42EBD" w:rsidP="00FB7C1F">
            <w:pPr>
              <w:jc w:val="left"/>
              <w:rPr>
                <w:sz w:val="18"/>
                <w:szCs w:val="18"/>
              </w:rPr>
            </w:pPr>
            <w:r w:rsidRPr="004C78D8">
              <w:rPr>
                <w:sz w:val="18"/>
                <w:szCs w:val="18"/>
              </w:rPr>
              <w:t>Sach (2007); (2010)</w:t>
            </w:r>
          </w:p>
        </w:tc>
        <w:tc>
          <w:tcPr>
            <w:tcW w:w="520" w:type="pct"/>
            <w:tcBorders>
              <w:top w:val="nil"/>
              <w:bottom w:val="nil"/>
            </w:tcBorders>
          </w:tcPr>
          <w:p w14:paraId="234BE196" w14:textId="77777777" w:rsidR="00C42EBD" w:rsidRPr="004C78D8" w:rsidRDefault="00C42EBD" w:rsidP="00FB7C1F">
            <w:pPr>
              <w:jc w:val="left"/>
              <w:rPr>
                <w:sz w:val="18"/>
                <w:szCs w:val="18"/>
              </w:rPr>
            </w:pPr>
          </w:p>
        </w:tc>
        <w:tc>
          <w:tcPr>
            <w:tcW w:w="683" w:type="pct"/>
            <w:tcBorders>
              <w:top w:val="nil"/>
              <w:bottom w:val="nil"/>
            </w:tcBorders>
            <w:vAlign w:val="center"/>
          </w:tcPr>
          <w:p w14:paraId="311A0FFC" w14:textId="77777777" w:rsidR="00C42EBD" w:rsidRPr="004C78D8" w:rsidRDefault="00C42EBD" w:rsidP="00FB7C1F">
            <w:pPr>
              <w:jc w:val="center"/>
              <w:rPr>
                <w:sz w:val="18"/>
                <w:szCs w:val="18"/>
              </w:rPr>
            </w:pPr>
            <w:r w:rsidRPr="004C78D8">
              <w:rPr>
                <w:rFonts w:cs="Times New Roman"/>
                <w:sz w:val="28"/>
                <w:szCs w:val="28"/>
              </w:rPr>
              <w:t>˟</w:t>
            </w:r>
          </w:p>
        </w:tc>
        <w:tc>
          <w:tcPr>
            <w:tcW w:w="621" w:type="pct"/>
            <w:tcBorders>
              <w:top w:val="nil"/>
              <w:bottom w:val="nil"/>
            </w:tcBorders>
            <w:vAlign w:val="center"/>
          </w:tcPr>
          <w:p w14:paraId="4FE3FDE1" w14:textId="77777777" w:rsidR="00C42EBD" w:rsidRPr="004C78D8" w:rsidRDefault="00C42EBD" w:rsidP="00FB7C1F">
            <w:pPr>
              <w:jc w:val="center"/>
              <w:rPr>
                <w:sz w:val="18"/>
                <w:szCs w:val="18"/>
              </w:rPr>
            </w:pPr>
          </w:p>
        </w:tc>
        <w:tc>
          <w:tcPr>
            <w:tcW w:w="611" w:type="pct"/>
            <w:tcBorders>
              <w:top w:val="nil"/>
              <w:bottom w:val="nil"/>
            </w:tcBorders>
            <w:vAlign w:val="center"/>
          </w:tcPr>
          <w:p w14:paraId="788F7794" w14:textId="77777777" w:rsidR="00C42EBD" w:rsidRPr="004C78D8" w:rsidRDefault="00C42EBD" w:rsidP="00FB7C1F">
            <w:pPr>
              <w:jc w:val="center"/>
              <w:rPr>
                <w:sz w:val="18"/>
                <w:szCs w:val="18"/>
              </w:rPr>
            </w:pPr>
            <w:r w:rsidRPr="004C78D8">
              <w:rPr>
                <w:rFonts w:cs="Times New Roman"/>
                <w:sz w:val="28"/>
                <w:szCs w:val="28"/>
              </w:rPr>
              <w:t>˟</w:t>
            </w:r>
          </w:p>
        </w:tc>
        <w:tc>
          <w:tcPr>
            <w:tcW w:w="425" w:type="pct"/>
            <w:tcBorders>
              <w:top w:val="nil"/>
              <w:bottom w:val="nil"/>
            </w:tcBorders>
          </w:tcPr>
          <w:p w14:paraId="32EB569D" w14:textId="77777777" w:rsidR="00C42EBD" w:rsidRPr="004C78D8" w:rsidRDefault="00C42EBD" w:rsidP="00FB7C1F">
            <w:pPr>
              <w:jc w:val="left"/>
              <w:rPr>
                <w:sz w:val="18"/>
                <w:szCs w:val="18"/>
              </w:rPr>
            </w:pPr>
          </w:p>
        </w:tc>
        <w:tc>
          <w:tcPr>
            <w:tcW w:w="621" w:type="pct"/>
            <w:tcBorders>
              <w:top w:val="nil"/>
              <w:bottom w:val="nil"/>
            </w:tcBorders>
            <w:vAlign w:val="center"/>
          </w:tcPr>
          <w:p w14:paraId="0966839B" w14:textId="77777777" w:rsidR="00C42EBD" w:rsidRPr="004C78D8" w:rsidRDefault="00C42EBD" w:rsidP="00FB7C1F">
            <w:pPr>
              <w:jc w:val="center"/>
              <w:rPr>
                <w:sz w:val="18"/>
                <w:szCs w:val="18"/>
              </w:rPr>
            </w:pPr>
          </w:p>
        </w:tc>
        <w:tc>
          <w:tcPr>
            <w:tcW w:w="824" w:type="pct"/>
            <w:tcBorders>
              <w:top w:val="nil"/>
              <w:bottom w:val="nil"/>
            </w:tcBorders>
          </w:tcPr>
          <w:p w14:paraId="3CD3781F" w14:textId="77777777" w:rsidR="00C42EBD" w:rsidRPr="004C78D8" w:rsidRDefault="00C42EBD" w:rsidP="00FB7C1F">
            <w:pPr>
              <w:jc w:val="center"/>
              <w:rPr>
                <w:sz w:val="18"/>
                <w:szCs w:val="18"/>
              </w:rPr>
            </w:pPr>
          </w:p>
        </w:tc>
      </w:tr>
      <w:tr w:rsidR="00C42EBD" w:rsidRPr="004C78D8" w14:paraId="67721692" w14:textId="77777777" w:rsidTr="002828C1">
        <w:tc>
          <w:tcPr>
            <w:tcW w:w="694" w:type="pct"/>
          </w:tcPr>
          <w:p w14:paraId="736B4C2A" w14:textId="77777777" w:rsidR="00C42EBD" w:rsidRPr="004C78D8" w:rsidRDefault="00C42EBD" w:rsidP="00FB7C1F">
            <w:pPr>
              <w:jc w:val="left"/>
              <w:rPr>
                <w:sz w:val="18"/>
                <w:szCs w:val="18"/>
              </w:rPr>
            </w:pPr>
            <w:r w:rsidRPr="004C78D8">
              <w:rPr>
                <w:sz w:val="18"/>
                <w:szCs w:val="18"/>
              </w:rPr>
              <w:t>Wu (2010)</w:t>
            </w:r>
          </w:p>
        </w:tc>
        <w:tc>
          <w:tcPr>
            <w:tcW w:w="520" w:type="pct"/>
            <w:tcBorders>
              <w:top w:val="nil"/>
            </w:tcBorders>
          </w:tcPr>
          <w:p w14:paraId="7655E941" w14:textId="77777777" w:rsidR="00C42EBD" w:rsidRPr="004C78D8" w:rsidRDefault="00C42EBD" w:rsidP="00FB7C1F">
            <w:pPr>
              <w:jc w:val="left"/>
              <w:rPr>
                <w:sz w:val="18"/>
                <w:szCs w:val="18"/>
              </w:rPr>
            </w:pPr>
          </w:p>
        </w:tc>
        <w:tc>
          <w:tcPr>
            <w:tcW w:w="683" w:type="pct"/>
            <w:tcBorders>
              <w:top w:val="nil"/>
            </w:tcBorders>
            <w:vAlign w:val="center"/>
          </w:tcPr>
          <w:p w14:paraId="58E26882" w14:textId="77777777" w:rsidR="00C42EBD" w:rsidRPr="004C78D8" w:rsidRDefault="00C42EBD" w:rsidP="00FB7C1F">
            <w:pPr>
              <w:jc w:val="center"/>
              <w:rPr>
                <w:sz w:val="18"/>
                <w:szCs w:val="18"/>
              </w:rPr>
            </w:pPr>
            <w:r w:rsidRPr="004C78D8">
              <w:rPr>
                <w:sz w:val="18"/>
                <w:szCs w:val="18"/>
              </w:rPr>
              <w:t>Private insurance</w:t>
            </w:r>
          </w:p>
        </w:tc>
        <w:tc>
          <w:tcPr>
            <w:tcW w:w="621" w:type="pct"/>
            <w:tcBorders>
              <w:top w:val="nil"/>
            </w:tcBorders>
            <w:vAlign w:val="center"/>
          </w:tcPr>
          <w:p w14:paraId="00D033D9" w14:textId="77777777" w:rsidR="00C42EBD" w:rsidRPr="004C78D8" w:rsidRDefault="00C42EBD" w:rsidP="00FB7C1F">
            <w:pPr>
              <w:jc w:val="center"/>
              <w:rPr>
                <w:sz w:val="18"/>
                <w:szCs w:val="18"/>
              </w:rPr>
            </w:pPr>
          </w:p>
        </w:tc>
        <w:tc>
          <w:tcPr>
            <w:tcW w:w="611" w:type="pct"/>
            <w:tcBorders>
              <w:top w:val="nil"/>
            </w:tcBorders>
            <w:vAlign w:val="center"/>
          </w:tcPr>
          <w:p w14:paraId="4E61BF88" w14:textId="77777777" w:rsidR="00C42EBD" w:rsidRPr="004C78D8" w:rsidRDefault="00C42EBD" w:rsidP="00FB7C1F">
            <w:pPr>
              <w:jc w:val="center"/>
              <w:rPr>
                <w:sz w:val="18"/>
                <w:szCs w:val="18"/>
              </w:rPr>
            </w:pPr>
          </w:p>
        </w:tc>
        <w:tc>
          <w:tcPr>
            <w:tcW w:w="425" w:type="pct"/>
            <w:tcBorders>
              <w:top w:val="nil"/>
            </w:tcBorders>
          </w:tcPr>
          <w:p w14:paraId="16FDAAFD" w14:textId="77777777" w:rsidR="00C42EBD" w:rsidRPr="004C78D8" w:rsidRDefault="00C42EBD" w:rsidP="00FB7C1F">
            <w:pPr>
              <w:jc w:val="left"/>
              <w:rPr>
                <w:sz w:val="18"/>
                <w:szCs w:val="18"/>
              </w:rPr>
            </w:pPr>
          </w:p>
        </w:tc>
        <w:tc>
          <w:tcPr>
            <w:tcW w:w="621" w:type="pct"/>
            <w:tcBorders>
              <w:top w:val="nil"/>
            </w:tcBorders>
            <w:vAlign w:val="center"/>
          </w:tcPr>
          <w:p w14:paraId="1C955E0A" w14:textId="77777777" w:rsidR="00C42EBD" w:rsidRPr="004C78D8" w:rsidRDefault="00C42EBD" w:rsidP="00FB7C1F">
            <w:pPr>
              <w:jc w:val="center"/>
              <w:rPr>
                <w:sz w:val="18"/>
                <w:szCs w:val="18"/>
              </w:rPr>
            </w:pPr>
          </w:p>
        </w:tc>
        <w:tc>
          <w:tcPr>
            <w:tcW w:w="824" w:type="pct"/>
            <w:tcBorders>
              <w:top w:val="nil"/>
            </w:tcBorders>
          </w:tcPr>
          <w:p w14:paraId="29456CF7" w14:textId="77777777" w:rsidR="00C42EBD" w:rsidRPr="004C78D8" w:rsidRDefault="00C42EBD" w:rsidP="00FB7C1F">
            <w:pPr>
              <w:jc w:val="center"/>
              <w:rPr>
                <w:sz w:val="18"/>
                <w:szCs w:val="18"/>
              </w:rPr>
            </w:pPr>
          </w:p>
        </w:tc>
      </w:tr>
      <w:tr w:rsidR="00C42EBD" w:rsidRPr="004C78D8" w14:paraId="66CB4357" w14:textId="77777777" w:rsidTr="002828C1">
        <w:tc>
          <w:tcPr>
            <w:tcW w:w="5000" w:type="pct"/>
            <w:gridSpan w:val="8"/>
          </w:tcPr>
          <w:p w14:paraId="1ED8CCE3" w14:textId="2545A539" w:rsidR="00C42EBD" w:rsidRPr="004C78D8" w:rsidRDefault="00C42EBD" w:rsidP="00FB7C1F">
            <w:pPr>
              <w:rPr>
                <w:sz w:val="18"/>
                <w:szCs w:val="18"/>
              </w:rPr>
            </w:pPr>
            <w:r w:rsidRPr="004C78D8">
              <w:rPr>
                <w:sz w:val="18"/>
                <w:szCs w:val="18"/>
                <w:vertAlign w:val="superscript"/>
              </w:rPr>
              <w:t>1</w:t>
            </w:r>
            <w:r w:rsidRPr="004C78D8">
              <w:rPr>
                <w:sz w:val="18"/>
                <w:szCs w:val="18"/>
              </w:rPr>
              <w:t xml:space="preserve"> See Table </w:t>
            </w:r>
            <w:r w:rsidR="008D59D9" w:rsidRPr="004C78D8">
              <w:rPr>
                <w:sz w:val="18"/>
                <w:szCs w:val="18"/>
              </w:rPr>
              <w:t>4</w:t>
            </w:r>
            <w:r w:rsidRPr="004C78D8">
              <w:rPr>
                <w:sz w:val="18"/>
                <w:szCs w:val="18"/>
              </w:rPr>
              <w:t>.2 for study references.</w:t>
            </w:r>
          </w:p>
          <w:p w14:paraId="7E38DEE0" w14:textId="77777777" w:rsidR="00C42EBD" w:rsidRPr="004C78D8" w:rsidRDefault="00C42EBD" w:rsidP="00FB7C1F">
            <w:pPr>
              <w:rPr>
                <w:sz w:val="18"/>
                <w:szCs w:val="18"/>
              </w:rPr>
            </w:pPr>
            <w:r w:rsidRPr="004C78D8">
              <w:rPr>
                <w:sz w:val="18"/>
                <w:szCs w:val="18"/>
                <w:vertAlign w:val="superscript"/>
              </w:rPr>
              <w:t>2</w:t>
            </w:r>
            <w:r w:rsidRPr="004C78D8">
              <w:rPr>
                <w:sz w:val="18"/>
                <w:szCs w:val="18"/>
              </w:rPr>
              <w:t xml:space="preserve"> Time opportunity cost of older participants and volunteers corresponding to productivity. No study incorporated time opportunity cost of informal caregivers attending intervention corresponding to informal caregiver burden; there is hence no dedicated column.</w:t>
            </w:r>
          </w:p>
        </w:tc>
      </w:tr>
    </w:tbl>
    <w:p w14:paraId="37F4EDD6" w14:textId="5A042CBF" w:rsidR="001B1E83" w:rsidRPr="004C78D8" w:rsidRDefault="001B1E83" w:rsidP="00FB7C1F"/>
    <w:p w14:paraId="6D3575E6" w14:textId="3A4D9FDC" w:rsidR="00C42EBD" w:rsidRPr="004C78D8" w:rsidRDefault="00366855" w:rsidP="00FB7C1F">
      <w:r w:rsidRPr="004C78D8">
        <w:t xml:space="preserve">Only Honkanen (2006) incorporated the social wellbeing loss of fracture-induced residence change from community to nursing home, expressed within a health utility decrement. Other models similarly assigned utility decrements for </w:t>
      </w:r>
      <w:r w:rsidR="00ED2DFE" w:rsidRPr="004C78D8">
        <w:t>LTC</w:t>
      </w:r>
      <w:r w:rsidRPr="004C78D8">
        <w:t xml:space="preserve"> admission, but it was unclear whether these were specifically associated with residence change or with severity of admission-related fall </w:t>
      </w:r>
      <w:r w:rsidRPr="004C78D8">
        <w:fldChar w:fldCharType="begin">
          <w:fldData xml:space="preserve">PEVuZE5vdGU+PENpdGU+PEF1dGhvcj5DaHVyY2g8L0F1dGhvcj48WWVhcj4yMDExPC9ZZWFyPjxS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</w:fldData>
        </w:fldChar>
      </w:r>
      <w:r w:rsidR="00C630FC" w:rsidRPr="004C78D8">
        <w:instrText xml:space="preserve"> ADDIN EN.CITE </w:instrText>
      </w:r>
      <w:r w:rsidR="00C630FC" w:rsidRPr="004C78D8">
        <w:fldChar w:fldCharType="begin">
          <w:fldData xml:space="preserve">PEVuZE5vdGU+PENpdGU+PEF1dGhvcj5DaHVyY2g8L0F1dGhvcj48WWVhcj4yMDExPC9ZZWFyPjxS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[351, 360, 362, 363]</w:t>
      </w:r>
      <w:r w:rsidRPr="004C78D8">
        <w:fldChar w:fldCharType="end"/>
      </w:r>
      <w:r w:rsidRPr="004C78D8">
        <w:t xml:space="preserve">. The use of </w:t>
      </w:r>
      <w:r w:rsidR="00ED2DFE" w:rsidRPr="004C78D8">
        <w:t>health utilities</w:t>
      </w:r>
      <w:r w:rsidRPr="004C78D8">
        <w:t xml:space="preserve"> to express social wellbeing is noteworthy given their narrow health dimensions. Studies frequently mentioned the exclusion of non-health benefits of exercise interventions, particularly regarding social participation </w:t>
      </w:r>
      <w:r w:rsidRPr="004C78D8">
        <w:fldChar w:fldCharType="begin">
          <w:fldData xml:space="preserve">PEVuZE5vdGU+PENpdGU+PEF1dGhvcj5EYXk8L0F1dGhvcj48WWVhcj4yMDEwPC9ZZWFyPjxSZWNO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</w:fldData>
        </w:fldChar>
      </w:r>
      <w:r w:rsidR="00C630FC" w:rsidRPr="004C78D8">
        <w:instrText xml:space="preserve"> ADDIN EN.CITE </w:instrText>
      </w:r>
      <w:r w:rsidR="00C630FC" w:rsidRPr="004C78D8">
        <w:fldChar w:fldCharType="begin">
          <w:fldData xml:space="preserve">PEVuZE5vdGU+PENpdGU+PEF1dGhvcj5EYXk8L0F1dGhvcj48WWVhcj4yMDEwPC9ZZWFyPjxSZWNO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[344, 353, 361]</w:t>
      </w:r>
      <w:r w:rsidRPr="004C78D8">
        <w:fldChar w:fldCharType="end"/>
      </w:r>
      <w:r w:rsidRPr="004C78D8">
        <w:t xml:space="preserve"> and broader wellbeing (e.g., self-confidence) gains </w:t>
      </w:r>
      <w:r w:rsidRPr="004C78D8">
        <w:fldChar w:fldCharType="begin">
          <w:fldData xml:space="preserve">PEVuZE5vdGU+PENpdGU+PEF1dGhvcj5DaGFydGVyZWQgU29jaWV0eSBvZiBQaHlzaW90aGVyYXB5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</w:fldData>
        </w:fldChar>
      </w:r>
      <w:r w:rsidR="00C630FC" w:rsidRPr="004C78D8">
        <w:instrText xml:space="preserve"> ADDIN EN.CITE </w:instrText>
      </w:r>
      <w:r w:rsidR="00C630FC" w:rsidRPr="004C78D8">
        <w:fldChar w:fldCharType="begin">
          <w:fldData xml:space="preserve">PEVuZE5vdGU+PENpdGU+PEF1dGhvcj5DaGFydGVyZWQgU29jaWV0eSBvZiBQaHlzaW90aGVyYXB5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[358, 359]</w:t>
      </w:r>
      <w:r w:rsidRPr="004C78D8">
        <w:fldChar w:fldCharType="end"/>
      </w:r>
      <w:r w:rsidRPr="004C78D8">
        <w:t xml:space="preserve">. On the intervention cost side, Honkanen (2006) expressed the social cost of hip protector use (discomfort, embarrassment) again within a </w:t>
      </w:r>
      <w:r w:rsidR="00ED2DFE" w:rsidRPr="004C78D8">
        <w:t xml:space="preserve">health </w:t>
      </w:r>
      <w:r w:rsidRPr="004C78D8">
        <w:t xml:space="preserve">utility decrement; the impact was significant, producing an overall QALY </w:t>
      </w:r>
      <w:r w:rsidRPr="004C78D8">
        <w:rPr>
          <w:i/>
          <w:iCs/>
        </w:rPr>
        <w:t>loss</w:t>
      </w:r>
      <w:r w:rsidRPr="004C78D8">
        <w:t xml:space="preserve"> from intervention for younger subgroups.</w:t>
      </w:r>
    </w:p>
    <w:p w14:paraId="02976F31" w14:textId="39B1CDCA" w:rsidR="00366855" w:rsidRPr="004C78D8" w:rsidRDefault="00366855" w:rsidP="00FB7C1F">
      <w:r w:rsidRPr="004C78D8">
        <w:t xml:space="preserve">Five models incorporated OOP care expenditure: transport costs for fallers </w:t>
      </w:r>
      <w:r w:rsidRPr="004C78D8">
        <w:fldChar w:fldCharType="begin"/>
      </w:r>
      <w:r w:rsidR="00C630FC" w:rsidRPr="004C78D8">
        <w:instrText xml:space="preserve"> ADDIN EN.CITE &lt;EndNote&gt;&lt;Cite&gt;&lt;Author&gt;Hektoen&lt;/Author&gt;&lt;Year&gt;2009&lt;/Year&gt;&lt;RecNum&gt;349&lt;/RecNum&gt;&lt;DisplayText&gt;[335]&lt;/DisplayText&gt;&lt;record&gt;&lt;rec-number&gt;349&lt;/rec-number&gt;&lt;foreign-keys&gt;&lt;key app="EN" db-id="tdtrdw9aepptzbefsat599syza29sxsd2wsp" timestamp="1612211903"&gt;349&lt;/key&gt;&lt;/foreign-keys&gt;&lt;ref-type name="Journal Article"&gt;17&lt;/ref-type&gt;&lt;contributors&gt;&lt;authors&gt;&lt;author&gt;Hektoen, L. F.&lt;/author&gt;&lt;author&gt;Aas, E.&lt;/author&gt;&lt;author&gt;Luras, H.&lt;/author&gt;&lt;/authors&gt;&lt;/contributors&gt;&lt;auth-address&gt;Faculty of Health Sciences, Physiotherapy, Oslo University College, Oslo Norway. Liv.Hektoen@hf.hio.no&lt;/auth-address&gt;&lt;titles&gt;&lt;title&gt;Cost-effectiveness in fall prevention for older women&lt;/title&gt;&lt;secondary-title&gt;Scand J Public Health&lt;/secondary-title&gt;&lt;/titles&gt;&lt;periodical&gt;&lt;full-title&gt;Scand J Public Health&lt;/full-title&gt;&lt;/periodical&gt;&lt;pages&gt;584-9&lt;/pages&gt;&lt;volume&gt;37&lt;/volume&gt;&lt;number&gt;6&lt;/number&gt;&lt;keywords&gt;&lt;keyword&gt;Accidental Falls/economics/*prevention &amp;amp; control&lt;/keyword&gt;&lt;keyword&gt;Aged&lt;/keyword&gt;&lt;keyword&gt;Aged, 80 and over&lt;/keyword&gt;&lt;keyword&gt;Cost Savings&lt;/keyword&gt;&lt;keyword&gt;Cost-Benefit Analysis&lt;/keyword&gt;&lt;keyword&gt;Exercise&lt;/keyword&gt;&lt;keyword&gt;Exercise Therapy&lt;/keyword&gt;&lt;keyword&gt;Female&lt;/keyword&gt;&lt;keyword&gt;Health Care Costs&lt;/keyword&gt;&lt;keyword&gt;Health Policy/economics&lt;/keyword&gt;&lt;keyword&gt;Humans&lt;/keyword&gt;&lt;keyword&gt;Norway&lt;/keyword&gt;&lt;keyword&gt;Patient Education as Topic&lt;/keyword&gt;&lt;keyword&gt;Program Evaluation&lt;/keyword&gt;&lt;keyword&gt;Quality-Adjusted Life Years&lt;/keyword&gt;&lt;/keywords&gt;&lt;dates&gt;&lt;year&gt;2009&lt;/year&gt;&lt;pub-dates&gt;&lt;date&gt;Aug&lt;/date&gt;&lt;/pub-dates&gt;&lt;/dates&gt;&lt;isbn&gt;1403-4948 (Print)&amp;#xD;1403-4948 (Linking)&lt;/isbn&gt;&lt;accession-num&gt;19666674&lt;/accession-num&gt;&lt;urls&gt;&lt;related-urls&gt;&lt;url&gt;https://www.ncbi.nlm.nih.gov/pubmed/19666674&lt;/url&gt;&lt;/related-urls&gt;&lt;/urls&gt;&lt;electronic-resource-num&gt;10.1177/1403494809341093&lt;/electronic-resource-num&gt;&lt;/record&gt;&lt;/Cite&gt;&lt;/EndNote&gt;</w:instrText>
      </w:r>
      <w:r w:rsidRPr="004C78D8">
        <w:fldChar w:fldCharType="separate"/>
      </w:r>
      <w:r w:rsidR="00C630FC" w:rsidRPr="004C78D8">
        <w:rPr>
          <w:noProof/>
        </w:rPr>
        <w:t>[335]</w:t>
      </w:r>
      <w:r w:rsidRPr="004C78D8">
        <w:fldChar w:fldCharType="end"/>
      </w:r>
      <w:r w:rsidRPr="004C78D8">
        <w:t xml:space="preserve">; home care </w:t>
      </w:r>
      <w:r w:rsidRPr="004C78D8">
        <w:fldChar w:fldCharType="begin">
          <w:fldData xml:space="preserve">PEVuZE5vdGU+PENpdGU+PEF1dGhvcj5TYWNoPC9BdXRob3I+PFllYXI+MjAwNzwvWWVhcj48UmVj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</w:fldData>
        </w:fldChar>
      </w:r>
      <w:r w:rsidR="00C630FC" w:rsidRPr="004C78D8">
        <w:instrText xml:space="preserve"> ADDIN EN.CITE </w:instrText>
      </w:r>
      <w:r w:rsidR="00C630FC" w:rsidRPr="004C78D8">
        <w:fldChar w:fldCharType="begin">
          <w:fldData xml:space="preserve">PEVuZE5vdGU+PENpdGU+PEF1dGhvcj5TYWNoPC9BdXRob3I+PFllYXI+MjAwNzwvWWVhcj48UmVj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[349, 350]</w:t>
      </w:r>
      <w:r w:rsidRPr="004C78D8">
        <w:fldChar w:fldCharType="end"/>
      </w:r>
      <w:r w:rsidRPr="004C78D8">
        <w:t xml:space="preserve">; non-specific care </w:t>
      </w:r>
      <w:r w:rsidRPr="004C78D8">
        <w:fldChar w:fldCharType="begin"/>
      </w:r>
      <w:r w:rsidR="00C630FC" w:rsidRPr="004C78D8">
        <w:instrText xml:space="preserve"> ADDIN EN.CITE &lt;EndNote&gt;&lt;Cite&gt;&lt;Author&gt;Hiligsmann&lt;/Author&gt;&lt;Year&gt;2014&lt;/Year&gt;&lt;RecNum&gt;392&lt;/RecNum&gt;&lt;DisplayText&gt;[343]&lt;/DisplayText&gt;&lt;record&gt;&lt;rec-number&gt;392&lt;/rec-number&gt;&lt;foreign-keys&gt;&lt;key app="EN" db-id="tdtrdw9aepptzbefsat599syza29sxsd2wsp" timestamp="1612694614"&gt;392&lt;/key&gt;&lt;/foreign-keys&gt;&lt;ref-type name="Journal Article"&gt;17&lt;/ref-type&gt;&lt;contributors&gt;&lt;authors&gt;&lt;author&gt;Hiligsmann, Mickaël&lt;/author&gt;&lt;author&gt;Ben Sedrine, Wafa&lt;/author&gt;&lt;author&gt;Bruyère, Olivier&lt;/author&gt;&lt;author&gt;Evers, Silvia M&lt;/author&gt;&lt;author&gt;Rabenda, Véronique&lt;/author&gt;&lt;author&gt;Reginster, Jean-Yves&lt;/author&gt;&lt;/authors&gt;&lt;/contributors&gt;&lt;titles&gt;&lt;title&gt;Cost-effectiveness of vitamin D and calcium supplementation in the treatment of elderly women and men with osteoporosis&lt;/title&gt;&lt;secondary-title&gt;The European Journal of Public Health&lt;/secondary-title&gt;&lt;/titles&gt;&lt;periodical&gt;&lt;full-title&gt;The European Journal of Public Health&lt;/full-title&gt;&lt;/periodical&gt;&lt;pages&gt;20-25&lt;/pages&gt;&lt;volume&gt;25&lt;/volume&gt;&lt;number&gt;1&lt;/number&gt;&lt;dates&gt;&lt;year&gt;2014&lt;/year&gt;&lt;/dates&gt;&lt;isbn&gt;1101-1262&lt;/isbn&gt;&lt;urls&gt;&lt;/urls&gt;&lt;/record&gt;&lt;/Cite&gt;&lt;/EndNote&gt;</w:instrText>
      </w:r>
      <w:r w:rsidRPr="004C78D8">
        <w:fldChar w:fldCharType="separate"/>
      </w:r>
      <w:r w:rsidR="00C630FC" w:rsidRPr="004C78D8">
        <w:rPr>
          <w:noProof/>
        </w:rPr>
        <w:t>[343]</w:t>
      </w:r>
      <w:r w:rsidRPr="004C78D8">
        <w:fldChar w:fldCharType="end"/>
      </w:r>
      <w:r w:rsidRPr="004C78D8">
        <w:t xml:space="preserve">; and cost of private insurance </w:t>
      </w:r>
      <w:r w:rsidRPr="004C78D8">
        <w:fldChar w:fldCharType="begin">
          <w:fldData xml:space="preserve">PEVuZE5vdGU+PENpdGU+PEF1dGhvcj5XdTwvQXV0aG9yPjxZZWFyPjIwMTA8L1llYXI+PFJlY051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</w:fldData>
        </w:fldChar>
      </w:r>
      <w:r w:rsidR="00C630FC" w:rsidRPr="004C78D8">
        <w:instrText xml:space="preserve"> ADDIN EN.CITE </w:instrText>
      </w:r>
      <w:r w:rsidR="00C630FC" w:rsidRPr="004C78D8">
        <w:fldChar w:fldCharType="begin">
          <w:fldData xml:space="preserve">PEVuZE5vdGU+PENpdGU+PEF1dGhvcj5XdTwvQXV0aG9yPjxZZWFyPjIwMTA8L1llYXI+PFJlY051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[340]</w:t>
      </w:r>
      <w:r w:rsidRPr="004C78D8">
        <w:fldChar w:fldCharType="end"/>
      </w:r>
      <w:r w:rsidRPr="004C78D8">
        <w:t xml:space="preserve">. Of these, none incorporated private co-payments as an intervention cost. Seven incorporated intervention co-payments borne by individuals or organisations (but not OOP care expenditure): exercise enrolment </w:t>
      </w:r>
      <w:r w:rsidRPr="004C78D8">
        <w:fldChar w:fldCharType="begin">
          <w:fldData xml:space="preserve">PEVuZE5vdGU+PENpdGU+PEF1dGhvcj5CZWFyZDwvQXV0aG9yPjxZZWFyPjIwMDY8L1llYXI+PFJl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</w:fldData>
        </w:fldChar>
      </w:r>
      <w:r w:rsidR="00C630FC" w:rsidRPr="004C78D8">
        <w:instrText xml:space="preserve"> ADDIN EN.CITE </w:instrText>
      </w:r>
      <w:r w:rsidR="00C630FC" w:rsidRPr="004C78D8">
        <w:fldChar w:fldCharType="begin">
          <w:fldData xml:space="preserve">PEVuZE5vdGU+PENpdGU+PEF1dGhvcj5CZWFyZDwvQXV0aG9yPjxZZWFyPjIwMDY8L1llYXI+PFJl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[127, 167, 353]</w:t>
      </w:r>
      <w:r w:rsidRPr="004C78D8">
        <w:fldChar w:fldCharType="end"/>
      </w:r>
      <w:r w:rsidRPr="004C78D8">
        <w:t xml:space="preserve">; transport cost for participants </w:t>
      </w:r>
      <w:r w:rsidRPr="004C78D8">
        <w:fldChar w:fldCharType="begin"/>
      </w:r>
      <w:r w:rsidR="00C630FC" w:rsidRPr="004C78D8">
        <w:instrText xml:space="preserve"> ADDIN EN.CITE &lt;EndNote&gt;&lt;Cite&gt;&lt;Author&gt;Comans&lt;/Author&gt;&lt;Year&gt;2009&lt;/Year&gt;&lt;RecNum&gt;376&lt;/RecNum&gt;&lt;DisplayText&gt;[207]&lt;/DisplayText&gt;&lt;record&gt;&lt;rec-number&gt;376&lt;/rec-number&gt;&lt;foreign-keys&gt;&lt;key app="EN" db-id="tdtrdw9aepptzbefsat599syza29sxsd2wsp" timestamp="1612625082"&gt;376&lt;/key&gt;&lt;/foreign-keys&gt;&lt;ref-type name="Journal Article"&gt;17&lt;/ref-type&gt;&lt;contributors&gt;&lt;authors&gt;&lt;author&gt;Comans, Tracy&lt;/author&gt;&lt;author&gt;Brauer, Sandy&lt;/author&gt;&lt;author&gt;Haines, Terry&lt;/author&gt;&lt;/authors&gt;&lt;/contributors&gt;&lt;titles&gt;&lt;title&gt;A break-even analysis of a community rehabilitation falls prevention service&lt;/title&gt;&lt;secondary-title&gt;Australian and New Zealand journal of public health&lt;/secondary-title&gt;&lt;/titles&gt;&lt;periodical&gt;&lt;full-title&gt;Australian and New Zealand journal of public health&lt;/full-title&gt;&lt;/periodical&gt;&lt;pages&gt;240-5&lt;/pages&gt;&lt;volume&gt;33&lt;/volume&gt;&lt;number&gt;3&lt;/number&gt;&lt;section&gt;Comans, Tracy. The Community Rehabilitation Service, Southside Health Service District and School of Health and Rehabilitation Sciences, University of Queensland, Queensland, Australia. tracy.comans@uqconnect.edu.au&lt;/section&gt;&lt;keywords&gt;&lt;keyword&gt;*Accidental Falls/pc [Prevention &amp;amp; Control]&lt;/keyword&gt;&lt;keyword&gt;Aged&lt;/keyword&gt;&lt;keyword&gt;Aged, 80 and over&lt;/keyword&gt;&lt;keyword&gt;Cost-Benefit Analysis&lt;/keyword&gt;&lt;keyword&gt;Efficiency, Organizational/ec [Economics]&lt;/keyword&gt;&lt;keyword&gt;*Efficiency, Organizational&lt;/keyword&gt;&lt;keyword&gt;Female&lt;/keyword&gt;&lt;keyword&gt;Humans&lt;/keyword&gt;&lt;keyword&gt;Interdisciplinary Communication&lt;/keyword&gt;&lt;keyword&gt;Male&lt;/keyword&gt;&lt;keyword&gt;Models, Theoretical&lt;/keyword&gt;&lt;keyword&gt;*Preventive Health Services/st [Standards]&lt;/keyword&gt;&lt;keyword&gt;*Rehabilitation Centers&lt;/keyword&gt;&lt;/keywords&gt;&lt;dates&gt;&lt;year&gt;2009&lt;/year&gt;&lt;/dates&gt;&lt;pub-location&gt;Australia&lt;/pub-location&gt;&lt;isbn&gt;1326-0200&lt;/isbn&gt;&lt;urls&gt;&lt;related-urls&gt;&lt;url&gt;http://ovidsp.ovid.com/ovidweb.cgi?T=JS&amp;amp;PAGE=reference&amp;amp;D=med6&amp;amp;NEWS=N&amp;amp;AN=19630843&lt;/url&gt;&lt;/related-urls&gt;&lt;/urls&gt;&lt;electronic-resource-num&gt;https://dx.doi.org/10.1111/j.1753-6405.2009.00382.x&lt;/electronic-resource-num&gt;&lt;remote-database-name&gt;Medline&lt;/remote-database-name&gt;&lt;/record&gt;&lt;/Cite&gt;&lt;/EndNote&gt;</w:instrText>
      </w:r>
      <w:r w:rsidRPr="004C78D8">
        <w:fldChar w:fldCharType="separate"/>
      </w:r>
      <w:r w:rsidR="00C630FC" w:rsidRPr="004C78D8">
        <w:rPr>
          <w:noProof/>
        </w:rPr>
        <w:t>[207]</w:t>
      </w:r>
      <w:r w:rsidRPr="004C78D8">
        <w:fldChar w:fldCharType="end"/>
      </w:r>
      <w:r w:rsidRPr="004C78D8">
        <w:t xml:space="preserve">; venue hire </w:t>
      </w:r>
      <w:r w:rsidRPr="004C78D8">
        <w:fldChar w:fldCharType="begin">
          <w:fldData xml:space="preserve">PEVuZE5vdGU+PENpdGU+PEF1dGhvcj5EZXZlcmFsbDwvQXV0aG9yPjxZZWFyPjIwMTg8L1llYXI+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</w:fldData>
        </w:fldChar>
      </w:r>
      <w:r w:rsidR="00C630FC" w:rsidRPr="004C78D8">
        <w:instrText xml:space="preserve"> ADDIN EN.CITE </w:instrText>
      </w:r>
      <w:r w:rsidR="00C630FC" w:rsidRPr="004C78D8">
        <w:fldChar w:fldCharType="begin">
          <w:fldData xml:space="preserve">PEVuZE5vdGU+PENpdGU+PEF1dGhvcj5EZXZlcmFsbDwvQXV0aG9yPjxZZWFyPjIwMTg8L1llYXI+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[342, 361]</w:t>
      </w:r>
      <w:r w:rsidRPr="004C78D8">
        <w:fldChar w:fldCharType="end"/>
      </w:r>
      <w:r w:rsidRPr="004C78D8">
        <w:t xml:space="preserve">; and local stakeholder involvement </w:t>
      </w:r>
      <w:r w:rsidRPr="004C78D8">
        <w:fldChar w:fldCharType="begin"/>
      </w:r>
      <w:r w:rsidR="00513646" w:rsidRPr="004C78D8">
        <w:instrText xml:space="preserve"> ADDIN EN.CITE &lt;EndNote&gt;&lt;Cite&gt;&lt;Author&gt;Johansson&lt;/Author&gt;&lt;Year&gt;2008&lt;/Year&gt;&lt;RecNum&gt;288&lt;/RecNum&gt;&lt;DisplayText&gt;[128]&lt;/DisplayText&gt;&lt;record&gt;&lt;rec-number&gt;288&lt;/rec-number&gt;&lt;foreign-keys&gt;&lt;key app="EN" db-id="tdtrdw9aepptzbefsat599syza29sxsd2wsp" timestamp="1611700763"&gt;288&lt;/key&gt;&lt;/foreign-keys&gt;&lt;ref-type name="Journal Article"&gt;17&lt;/ref-type&gt;&lt;contributors&gt;&lt;authors&gt;&lt;author&gt;Johansson, Pia&lt;/author&gt;&lt;author&gt;Sadigh, Siv&lt;/author&gt;&lt;author&gt;Tillgren, Per&lt;/author&gt;&lt;author&gt;Rehnberg, Clas&lt;/author&gt;&lt;/authors&gt;&lt;/contributors&gt;&lt;titles&gt;&lt;title&gt;Non-pharmaceutical prevention of hip fractures - a cost-effectiveness analysis of a community-based elderly safety promotion program in Sweden&lt;/title&gt;&lt;secondary-title&gt;Cost effectiveness and resource allocation : C/E&lt;/secondary-title&gt;&lt;/titles&gt;&lt;periodical&gt;&lt;full-title&gt;Cost effectiveness and resource allocation : C/E&lt;/full-title&gt;&lt;/periodical&gt;&lt;pages&gt;11&lt;/pages&gt;&lt;volume&gt;6&lt;/volume&gt;&lt;section&gt;Johansson, Pia. Karolinska Institutet, Department of Public Health Sciences, Stockholm, Sweden. pia.m.johansson@sll.se&lt;/section&gt;&lt;dates&gt;&lt;year&gt;2008&lt;/year&gt;&lt;/dates&gt;&lt;pub-location&gt;England&lt;/pub-location&gt;&lt;isbn&gt;1478-7547&lt;/isbn&gt;&lt;urls&gt;&lt;related-urls&gt;&lt;url&gt;http://ovidsp.ovid.com/ovidweb.cgi?T=JS&amp;amp;PAGE=reference&amp;amp;D=prem&amp;amp;NEWS=N&amp;amp;AN=18513425&lt;/url&gt;&lt;/related-urls&gt;&lt;/urls&gt;&lt;electronic-resource-num&gt;https://dx.doi.org/10.1186/1478-7547-6-11&lt;/electronic-resource-num&gt;&lt;/record&gt;&lt;/Cite&gt;&lt;/EndNote&gt;</w:instrText>
      </w:r>
      <w:r w:rsidRPr="004C78D8">
        <w:fldChar w:fldCharType="separate"/>
      </w:r>
      <w:r w:rsidR="00513646" w:rsidRPr="004C78D8">
        <w:rPr>
          <w:noProof/>
        </w:rPr>
        <w:t>[128]</w:t>
      </w:r>
      <w:r w:rsidRPr="004C78D8">
        <w:fldChar w:fldCharType="end"/>
      </w:r>
      <w:r w:rsidRPr="004C78D8">
        <w:t>.</w:t>
      </w:r>
    </w:p>
    <w:p w14:paraId="06A8EE23" w14:textId="51231283" w:rsidR="00366855" w:rsidRPr="004C78D8" w:rsidRDefault="00366855" w:rsidP="00FB7C1F">
      <w:r w:rsidRPr="004C78D8">
        <w:t xml:space="preserve">Only Johansson (2008) </w:t>
      </w:r>
      <w:r w:rsidR="00DA49A8" w:rsidRPr="004C78D8">
        <w:t>included</w:t>
      </w:r>
      <w:r w:rsidRPr="004C78D8">
        <w:t xml:space="preserve"> productivity as outcome. Specifically, the productivity value (net consumption) was assigned by age group; hip fractures would then reduce net productivity by shortening life</w:t>
      </w:r>
      <w:r w:rsidR="00DA49A8" w:rsidRPr="004C78D8">
        <w:t>-years</w:t>
      </w:r>
      <w:r w:rsidRPr="004C78D8">
        <w:t>. On the intervention cost side, Johansson (2008) included the time opportunity costs of unpaid volunteering and older persons’ participation. Three further models incorporated time opportunity costs of volunteers</w:t>
      </w:r>
      <w:r w:rsidR="00DA49A8" w:rsidRPr="004C78D8">
        <w:t>/</w:t>
      </w:r>
      <w:r w:rsidRPr="004C78D8">
        <w:t xml:space="preserve">participants but not productivity outcomes </w:t>
      </w:r>
      <w:r w:rsidRPr="004C78D8">
        <w:fldChar w:fldCharType="begin">
          <w:fldData xml:space="preserve">PEVuZE5vdGU+PENpdGU+PEF1dGhvcj5DYXJhbmRlLUt1bGlzPC9BdXRob3I+PFllYXI+MjAxNTwv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</w:fldData>
        </w:fldChar>
      </w:r>
      <w:r w:rsidR="00C630FC" w:rsidRPr="004C78D8">
        <w:instrText xml:space="preserve"> ADDIN EN.CITE </w:instrText>
      </w:r>
      <w:r w:rsidR="00C630FC" w:rsidRPr="004C78D8">
        <w:fldChar w:fldCharType="begin">
          <w:fldData xml:space="preserve">PEVuZE5vdGU+PENpdGU+PEF1dGhvcj5DYXJhbmRlLUt1bGlzPC9BdXRob3I+PFllYXI+MjAxNTwv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[342, 344, 358]</w:t>
      </w:r>
      <w:r w:rsidRPr="004C78D8">
        <w:fldChar w:fldCharType="end"/>
      </w:r>
      <w:r w:rsidRPr="004C78D8">
        <w:t xml:space="preserve">. Two models mentioned </w:t>
      </w:r>
      <w:r w:rsidR="00DA49A8" w:rsidRPr="004C78D8">
        <w:t xml:space="preserve">volunteer </w:t>
      </w:r>
      <w:r w:rsidRPr="004C78D8">
        <w:t xml:space="preserve">time commitments but did not apply monetary values </w:t>
      </w:r>
      <w:r w:rsidRPr="004C78D8">
        <w:fldChar w:fldCharType="begin">
          <w:fldData xml:space="preserve">PEVuZE5vdGU+PENpdGU+PEF1dGhvcj5CZWFyZDwvQXV0aG9yPjxZZWFyPjIwMDY8L1llYXI+PFJl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</w:fldData>
        </w:fldChar>
      </w:r>
      <w:r w:rsidR="00C630FC" w:rsidRPr="004C78D8">
        <w:instrText xml:space="preserve"> ADDIN EN.CITE </w:instrText>
      </w:r>
      <w:r w:rsidR="00C630FC" w:rsidRPr="004C78D8">
        <w:fldChar w:fldCharType="begin">
          <w:fldData xml:space="preserve">PEVuZE5vdGU+PENpdGU+PEF1dGhvcj5CZWFyZDwvQXV0aG9yPjxZZWFyPjIwMDY8L1llYXI+PFJl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[127, 361]</w:t>
      </w:r>
      <w:r w:rsidRPr="004C78D8">
        <w:fldChar w:fldCharType="end"/>
      </w:r>
      <w:r w:rsidRPr="004C78D8">
        <w:t>.</w:t>
      </w:r>
    </w:p>
    <w:p w14:paraId="54023E53" w14:textId="0D52BABE" w:rsidR="00366855" w:rsidRPr="004C78D8" w:rsidRDefault="00366855" w:rsidP="00FB7C1F">
      <w:r w:rsidRPr="004C78D8">
        <w:t xml:space="preserve">Three models incorporated informal caregiver burden as productivity loss </w:t>
      </w:r>
      <w:r w:rsidRPr="004C78D8">
        <w:fldChar w:fldCharType="begin">
          <w:fldData xml:space="preserve">PEVuZE5vdGU+PENpdGU+PEF1dGhvcj5Kb2hhbnNzb248L0F1dGhvcj48WWVhcj4yMDA4PC9ZZWFy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</w:fldData>
        </w:fldChar>
      </w:r>
      <w:r w:rsidR="00C630FC" w:rsidRPr="004C78D8">
        <w:instrText xml:space="preserve"> ADDIN EN.CITE </w:instrText>
      </w:r>
      <w:r w:rsidR="00C630FC" w:rsidRPr="004C78D8">
        <w:fldChar w:fldCharType="begin">
          <w:fldData xml:space="preserve">PEVuZE5vdGU+PENpdGU+PEF1dGhvcj5Kb2hhbnNzb248L0F1dGhvcj48WWVhcj4yMDA4PC9ZZWFy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[128, 349, 350]</w:t>
      </w:r>
      <w:r w:rsidRPr="004C78D8">
        <w:fldChar w:fldCharType="end"/>
      </w:r>
      <w:r w:rsidRPr="004C78D8">
        <w:t>; none incorporated the health impact on caregivers. Likewise, none incorporated the informal caregivers’ time opportunity cost in accompanying intervention participants.</w:t>
      </w:r>
    </w:p>
    <w:p w14:paraId="1905C8C5" w14:textId="6696F32E" w:rsidR="00366855" w:rsidRPr="004C78D8" w:rsidRDefault="00366855" w:rsidP="00FB7C1F">
      <w:r w:rsidRPr="004C78D8">
        <w:t xml:space="preserve">Two models – both evaluating a combined programme of environmental modifications and multifactorial intervention – discussed the intervention impact on community empowerment but did not quantify it </w:t>
      </w:r>
      <w:r w:rsidRPr="004C78D8">
        <w:fldChar w:fldCharType="begin">
          <w:fldData xml:space="preserve">PEVuZE5vdGU+PENpdGU+PEF1dGhvcj5CZWFyZDwvQXV0aG9yPjxZZWFyPjIwMDY8L1llYXI+PFJl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==
</w:fldData>
        </w:fldChar>
      </w:r>
      <w:r w:rsidR="00513646" w:rsidRPr="004C78D8">
        <w:instrText xml:space="preserve"> ADDIN EN.CITE </w:instrText>
      </w:r>
      <w:r w:rsidR="00513646" w:rsidRPr="004C78D8">
        <w:fldChar w:fldCharType="begin">
          <w:fldData xml:space="preserve">PEVuZE5vdGU+PENpdGU+PEF1dGhvcj5CZWFyZDwvQXV0aG9yPjxZZWFyPjIwMDY8L1llYXI+PFJl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==
</w:fldData>
        </w:fldChar>
      </w:r>
      <w:r w:rsidR="00513646" w:rsidRPr="004C78D8">
        <w:instrText xml:space="preserve"> ADDIN EN.CITE.DATA </w:instrText>
      </w:r>
      <w:r w:rsidR="00513646" w:rsidRPr="004C78D8">
        <w:fldChar w:fldCharType="end"/>
      </w:r>
      <w:r w:rsidRPr="004C78D8">
        <w:fldChar w:fldCharType="separate"/>
      </w:r>
      <w:r w:rsidR="00513646" w:rsidRPr="004C78D8">
        <w:rPr>
          <w:noProof/>
        </w:rPr>
        <w:t>[127, 128]</w:t>
      </w:r>
      <w:r w:rsidRPr="004C78D8">
        <w:fldChar w:fldCharType="end"/>
      </w:r>
      <w:r w:rsidRPr="004C78D8">
        <w:t xml:space="preserve">. Both also perceived community involvement – community healthcare staff </w:t>
      </w:r>
      <w:r w:rsidRPr="004C78D8">
        <w:lastRenderedPageBreak/>
        <w:t xml:space="preserve">raising falls risk awareness </w:t>
      </w:r>
      <w:r w:rsidRPr="004C78D8">
        <w:fldChar w:fldCharType="begin"/>
      </w:r>
      <w:r w:rsidR="00513646" w:rsidRPr="004C78D8">
        <w:instrText xml:space="preserve"> ADDIN EN.CITE &lt;EndNote&gt;&lt;Cite&gt;&lt;Author&gt;Beard&lt;/Author&gt;&lt;Year&gt;2006&lt;/Year&gt;&lt;RecNum&gt;287&lt;/RecNum&gt;&lt;DisplayText&gt;[127]&lt;/DisplayText&gt;&lt;record&gt;&lt;rec-number&gt;287&lt;/rec-number&gt;&lt;foreign-keys&gt;&lt;key app="EN" db-id="tdtrdw9aepptzbefsat599syza29sxsd2wsp" timestamp="1611700753"&gt;287&lt;/key&gt;&lt;/foreign-keys&gt;&lt;ref-type name="Journal Article"&gt;17&lt;/ref-type&gt;&lt;contributors&gt;&lt;authors&gt;&lt;author&gt;Beard, J.&lt;/author&gt;&lt;author&gt;Rowell, D.&lt;/author&gt;&lt;author&gt;Scott, D.&lt;/author&gt;&lt;author&gt;van Beurden, E.&lt;/author&gt;&lt;author&gt;Barnett, L.&lt;/author&gt;&lt;author&gt;Hughes, K.&lt;/author&gt;&lt;author&gt;Newman, B.&lt;/author&gt;&lt;/authors&gt;&lt;/contributors&gt;&lt;auth-address&gt;Northern Rivers University Department of Rural Health, University of Sydney, Southern Cross University, PO Box 3074, Lismore NSW 2480, Australia. jbeard@med.usyd.edu.au&lt;/auth-address&gt;&lt;titles&gt;&lt;title&gt;Economic analysis of a community-based falls prevention program&lt;/title&gt;&lt;secondary-title&gt;Public Health&lt;/secondary-title&gt;&lt;/titles&gt;&lt;periodical&gt;&lt;full-title&gt;Public Health&lt;/full-title&gt;&lt;/periodical&gt;&lt;pages&gt;742-51&lt;/pages&gt;&lt;volume&gt;120&lt;/volume&gt;&lt;number&gt;8&lt;/number&gt;&lt;keywords&gt;&lt;keyword&gt;Accidental Falls/*prevention &amp;amp; control&lt;/keyword&gt;&lt;keyword&gt;Aged&lt;/keyword&gt;&lt;keyword&gt;Community Health Services/*economics&lt;/keyword&gt;&lt;keyword&gt;Cost-Benefit Analysis&lt;/keyword&gt;&lt;keyword&gt;Health Promotion/economics/methods&lt;/keyword&gt;&lt;keyword&gt;Hospitalization/economics&lt;/keyword&gt;&lt;keyword&gt;Humans&lt;/keyword&gt;&lt;/keywords&gt;&lt;dates&gt;&lt;year&gt;2006&lt;/year&gt;&lt;pub-dates&gt;&lt;date&gt;Aug&lt;/date&gt;&lt;/pub-dates&gt;&lt;/dates&gt;&lt;isbn&gt;0033-3506 (Print)&amp;#xD;0033-3506 (Linking)&lt;/isbn&gt;&lt;accession-num&gt;16824563&lt;/accession-num&gt;&lt;urls&gt;&lt;related-urls&gt;&lt;url&gt;https://www.ncbi.nlm.nih.gov/pubmed/16824563&lt;/url&gt;&lt;/related-urls&gt;&lt;/urls&gt;&lt;electronic-resource-num&gt;10.1016/j.puhe.2006.04.011&lt;/electronic-resource-num&gt;&lt;/record&gt;&lt;/Cite&gt;&lt;/EndNote&gt;</w:instrText>
      </w:r>
      <w:r w:rsidRPr="004C78D8">
        <w:fldChar w:fldCharType="separate"/>
      </w:r>
      <w:r w:rsidR="00513646" w:rsidRPr="004C78D8">
        <w:rPr>
          <w:noProof/>
        </w:rPr>
        <w:t>[127]</w:t>
      </w:r>
      <w:r w:rsidRPr="004C78D8">
        <w:fldChar w:fldCharType="end"/>
      </w:r>
      <w:r w:rsidRPr="004C78D8">
        <w:t xml:space="preserve"> and local stakeholders designing and delivering interventions </w:t>
      </w:r>
      <w:r w:rsidRPr="004C78D8">
        <w:fldChar w:fldCharType="begin"/>
      </w:r>
      <w:r w:rsidR="00513646" w:rsidRPr="004C78D8">
        <w:instrText xml:space="preserve"> ADDIN EN.CITE &lt;EndNote&gt;&lt;Cite&gt;&lt;Author&gt;Johansson&lt;/Author&gt;&lt;Year&gt;2008&lt;/Year&gt;&lt;RecNum&gt;288&lt;/RecNum&gt;&lt;DisplayText&gt;[128]&lt;/DisplayText&gt;&lt;record&gt;&lt;rec-number&gt;288&lt;/rec-number&gt;&lt;foreign-keys&gt;&lt;key app="EN" db-id="tdtrdw9aepptzbefsat599syza29sxsd2wsp" timestamp="1611700763"&gt;288&lt;/key&gt;&lt;/foreign-keys&gt;&lt;ref-type name="Journal Article"&gt;17&lt;/ref-type&gt;&lt;contributors&gt;&lt;authors&gt;&lt;author&gt;Johansson, Pia&lt;/author&gt;&lt;author&gt;Sadigh, Siv&lt;/author&gt;&lt;author&gt;Tillgren, Per&lt;/author&gt;&lt;author&gt;Rehnberg, Clas&lt;/author&gt;&lt;/authors&gt;&lt;/contributors&gt;&lt;titles&gt;&lt;title&gt;Non-pharmaceutical prevention of hip fractures - a cost-effectiveness analysis of a community-based elderly safety promotion program in Sweden&lt;/title&gt;&lt;secondary-title&gt;Cost effectiveness and resource allocation : C/E&lt;/secondary-title&gt;&lt;/titles&gt;&lt;periodical&gt;&lt;full-title&gt;Cost effectiveness and resource allocation : C/E&lt;/full-title&gt;&lt;/periodical&gt;&lt;pages&gt;11&lt;/pages&gt;&lt;volume&gt;6&lt;/volume&gt;&lt;section&gt;Johansson, Pia. Karolinska Institutet, Department of Public Health Sciences, Stockholm, Sweden. pia.m.johansson@sll.se&lt;/section&gt;&lt;dates&gt;&lt;year&gt;2008&lt;/year&gt;&lt;/dates&gt;&lt;pub-location&gt;England&lt;/pub-location&gt;&lt;isbn&gt;1478-7547&lt;/isbn&gt;&lt;urls&gt;&lt;related-urls&gt;&lt;url&gt;http://ovidsp.ovid.com/ovidweb.cgi?T=JS&amp;amp;PAGE=reference&amp;amp;D=prem&amp;amp;NEWS=N&amp;amp;AN=18513425&lt;/url&gt;&lt;/related-urls&gt;&lt;/urls&gt;&lt;electronic-resource-num&gt;https://dx.doi.org/10.1186/1478-7547-6-11&lt;/electronic-resource-num&gt;&lt;/record&gt;&lt;/Cite&gt;&lt;/EndNote&gt;</w:instrText>
      </w:r>
      <w:r w:rsidRPr="004C78D8">
        <w:fldChar w:fldCharType="separate"/>
      </w:r>
      <w:r w:rsidR="00513646" w:rsidRPr="004C78D8">
        <w:rPr>
          <w:noProof/>
        </w:rPr>
        <w:t>[128]</w:t>
      </w:r>
      <w:r w:rsidRPr="004C78D8">
        <w:fldChar w:fldCharType="end"/>
      </w:r>
      <w:r w:rsidRPr="004C78D8">
        <w:t xml:space="preserve"> – solely as intervention costs rather than as empowerment.</w:t>
      </w:r>
    </w:p>
    <w:p w14:paraId="08D1C9BA" w14:textId="765ED6F2" w:rsidR="00366855" w:rsidRPr="004C78D8" w:rsidRDefault="0052701E" w:rsidP="00FB7C1F">
      <w:r w:rsidRPr="004C78D8">
        <w:t xml:space="preserve">Where outcomes are generated and costs incurred outside the public healthcare system, their valuation methods should change accordingly </w:t>
      </w:r>
      <w:r w:rsidRPr="004C78D8">
        <w:fldChar w:fldCharType="begin"/>
      </w:r>
      <w:r w:rsidR="00513646" w:rsidRPr="004C78D8">
        <w:instrText xml:space="preserve"> ADDIN EN.CITE &lt;EndNote&gt;&lt;Cite&gt;&lt;Author&gt;Drummond&lt;/Author&gt;&lt;Year&gt;2015&lt;/Year&gt;&lt;RecNum&gt;2&lt;/RecNum&gt;&lt;DisplayText&gt;[145]&lt;/DisplayText&gt;&lt;record&gt;&lt;rec-number&gt;2&lt;/rec-number&gt;&lt;foreign-keys&gt;&lt;key app="EN" db-id="tdtrdw9aepptzbefsat599syza29sxsd2wsp" timestamp="1596571149"&gt;2&lt;/key&gt;&lt;/foreign-keys&gt;&lt;ref-type name="Book"&gt;6&lt;/ref-type&gt;&lt;contributors&gt;&lt;authors&gt;&lt;author&gt;Drummond, Michael F&lt;/author&gt;&lt;author&gt;Sculpher, Mark J&lt;/author&gt;&lt;author&gt;Claxton, Karl&lt;/author&gt;&lt;author&gt;Stoddart, Greg L&lt;/author&gt;&lt;author&gt;Torrance, George W&lt;/author&gt;&lt;/authors&gt;&lt;/contributors&gt;&lt;titles&gt;&lt;title&gt;Methods for the economic evaluation of health care programmes&lt;/title&gt;&lt;/titles&gt;&lt;dates&gt;&lt;year&gt;2015&lt;/year&gt;&lt;/dates&gt;&lt;publisher&gt;Oxford university press&lt;/publisher&gt;&lt;isbn&gt;0191643580&lt;/isbn&gt;&lt;urls&gt;&lt;/urls&gt;&lt;/record&gt;&lt;/Cite&gt;&lt;/EndNote&gt;</w:instrText>
      </w:r>
      <w:r w:rsidRPr="004C78D8">
        <w:fldChar w:fldCharType="separate"/>
      </w:r>
      <w:r w:rsidR="00513646" w:rsidRPr="004C78D8">
        <w:rPr>
          <w:noProof/>
        </w:rPr>
        <w:t>[145]</w:t>
      </w:r>
      <w:r w:rsidRPr="004C78D8">
        <w:fldChar w:fldCharType="end"/>
      </w:r>
      <w:r w:rsidRPr="004C78D8">
        <w:t xml:space="preserve">. Yet only Beard (2006) used the value of a statistical life to estimate the </w:t>
      </w:r>
      <w:r w:rsidRPr="004C78D8">
        <w:rPr>
          <w:i/>
          <w:iCs/>
        </w:rPr>
        <w:t>consumption</w:t>
      </w:r>
      <w:r w:rsidRPr="004C78D8">
        <w:t xml:space="preserve"> value of disability-adjusted life year (DALY) burden of falls under CBA. There may also be differences in productive efficiencies </w:t>
      </w:r>
      <w:r w:rsidR="00113F68" w:rsidRPr="004C78D8">
        <w:t xml:space="preserve">between the healthcare sector and wider society, </w:t>
      </w:r>
      <w:r w:rsidRPr="004C78D8">
        <w:t xml:space="preserve">leading to intersectoral variations in cost-effectiveness thresholds </w:t>
      </w:r>
      <w:r w:rsidRPr="004C78D8">
        <w:fldChar w:fldCharType="begin"/>
      </w:r>
      <w:r w:rsidR="00513646" w:rsidRPr="004C78D8">
        <w:instrText xml:space="preserve"> ADDIN EN.CITE &lt;EndNote&gt;&lt;Cite&gt;&lt;Author&gt;Tong&lt;/Author&gt;&lt;Year&gt;2017&lt;/Year&gt;&lt;RecNum&gt;432&lt;/RecNum&gt;&lt;DisplayText&gt;[161]&lt;/DisplayText&gt;&lt;record&gt;&lt;rec-number&gt;432&lt;/rec-number&gt;&lt;foreign-keys&gt;&lt;key app="EN" db-id="tdtrdw9aepptzbefsat599syza29sxsd2wsp" timestamp="1616415999"&gt;432&lt;/key&gt;&lt;/foreign-keys&gt;&lt;ref-type name="Thesis"&gt;32&lt;/ref-type&gt;&lt;contributors&gt;&lt;authors&gt;&lt;author&gt;Tong, Thaison&lt;/author&gt;&lt;/authors&gt;&lt;/contributors&gt;&lt;titles&gt;&lt;title&gt;Broadening the perspective of economic evaluation in health care - A case study in dementia care in the UK&lt;/title&gt;&lt;/titles&gt;&lt;dates&gt;&lt;year&gt;2017&lt;/year&gt;&lt;/dates&gt;&lt;publisher&gt;University of Sheffield&lt;/publisher&gt;&lt;urls&gt;&lt;/urls&gt;&lt;/record&gt;&lt;/Cite&gt;&lt;/EndNote&gt;</w:instrText>
      </w:r>
      <w:r w:rsidRPr="004C78D8">
        <w:fldChar w:fldCharType="separate"/>
      </w:r>
      <w:r w:rsidR="00513646" w:rsidRPr="004C78D8">
        <w:rPr>
          <w:noProof/>
        </w:rPr>
        <w:t>[161]</w:t>
      </w:r>
      <w:r w:rsidRPr="004C78D8">
        <w:fldChar w:fldCharType="end"/>
      </w:r>
      <w:r w:rsidRPr="004C78D8">
        <w:t xml:space="preserve">. </w:t>
      </w:r>
      <w:r w:rsidR="00113F68" w:rsidRPr="004C78D8">
        <w:t xml:space="preserve">Yet Beard (2006) did not account for the threshold differential under CBA. </w:t>
      </w:r>
      <w:r w:rsidRPr="004C78D8">
        <w:t xml:space="preserve">Incorporating </w:t>
      </w:r>
      <w:r w:rsidR="00113F68" w:rsidRPr="004C78D8">
        <w:t>such</w:t>
      </w:r>
      <w:r w:rsidRPr="004C78D8">
        <w:t xml:space="preserve"> differential may have changed the final decision in </w:t>
      </w:r>
      <w:r w:rsidR="00113F68" w:rsidRPr="004C78D8">
        <w:t>further</w:t>
      </w:r>
      <w:r w:rsidRPr="004C78D8">
        <w:t xml:space="preserve"> models </w:t>
      </w:r>
      <w:r w:rsidRPr="004C78D8">
        <w:fldChar w:fldCharType="begin">
          <w:fldData xml:space="preserve">PEVuZE5vdGU+PENpdGU+PEF1dGhvcj5EZXZlcmFsbDwvQXV0aG9yPjxZZWFyPjIwMTg8L1llYXI+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</w:fldData>
        </w:fldChar>
      </w:r>
      <w:r w:rsidR="00C630FC" w:rsidRPr="004C78D8">
        <w:instrText xml:space="preserve"> ADDIN EN.CITE </w:instrText>
      </w:r>
      <w:r w:rsidR="00C630FC" w:rsidRPr="004C78D8">
        <w:fldChar w:fldCharType="begin">
          <w:fldData xml:space="preserve">PEVuZE5vdGU+PENpdGU+PEF1dGhvcj5EZXZlcmFsbDwvQXV0aG9yPjxZZWFyPjIwMTg8L1llYXI+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[349, 350, 361]</w:t>
      </w:r>
      <w:r w:rsidRPr="004C78D8">
        <w:fldChar w:fldCharType="end"/>
      </w:r>
      <w:r w:rsidRPr="004C78D8">
        <w:t xml:space="preserve">. </w:t>
      </w:r>
    </w:p>
    <w:p w14:paraId="7747F197" w14:textId="10C280F2" w:rsidR="00EB28E9" w:rsidRPr="004C78D8" w:rsidRDefault="00EB28E9" w:rsidP="00FB7C1F">
      <w:r w:rsidRPr="004C78D8">
        <w:t>Overall, comprehensive incorporation of non-health outcomes and societal intervention costs is</w:t>
      </w:r>
      <w:r w:rsidR="006F490F" w:rsidRPr="004C78D8">
        <w:t xml:space="preserve"> infrequent</w:t>
      </w:r>
      <w:r w:rsidRPr="004C78D8">
        <w:t xml:space="preserve"> among models operationalising analyses from the societal perspective. A pressing issue is the balanced incorporation of non-health outcomes and societal intervention costs to prevent models over-estimating (if intervention costs are excluded) or under-estimating (if outcomes excluded) the cost-effectiveness of interventions.</w:t>
      </w:r>
    </w:p>
    <w:p w14:paraId="6F4CDE6D" w14:textId="7BE03AA5" w:rsidR="00C211AB" w:rsidRPr="004C78D8" w:rsidRDefault="002C4E28" w:rsidP="00FB7C1F">
      <w:pPr>
        <w:pStyle w:val="Heading4"/>
      </w:pPr>
      <w:r w:rsidRPr="004C78D8">
        <w:t>4</w:t>
      </w:r>
      <w:r w:rsidR="00C211AB" w:rsidRPr="004C78D8">
        <w:t>.5.3.2 Considering heterogeneity and dynamic complexity</w:t>
      </w:r>
    </w:p>
    <w:p w14:paraId="5D9DAF51" w14:textId="43237FF7" w:rsidR="00C211AB" w:rsidRPr="004C78D8" w:rsidRDefault="008C6076" w:rsidP="00FB7C1F">
      <w:pPr>
        <w:pStyle w:val="Heading5"/>
      </w:pPr>
      <w:r w:rsidRPr="004C78D8">
        <w:t>Heterogeneity</w:t>
      </w:r>
    </w:p>
    <w:p w14:paraId="43F0F687" w14:textId="6436CA58" w:rsidR="008C6076" w:rsidRPr="004C78D8" w:rsidRDefault="008C6076" w:rsidP="00FB7C1F">
      <w:r w:rsidRPr="004C78D8">
        <w:rPr>
          <w:lang w:val="en-US"/>
        </w:rPr>
        <w:t xml:space="preserve">Overall, 27 (58.7%) models conducted at least one analysis related to heterogeneity. </w:t>
      </w:r>
      <w:r w:rsidRPr="004C78D8">
        <w:t xml:space="preserve">Table </w:t>
      </w:r>
      <w:r w:rsidR="002C4E28" w:rsidRPr="004C78D8">
        <w:t>4</w:t>
      </w:r>
      <w:r w:rsidRPr="004C78D8">
        <w:t>.12 categorises these analyses into subgroup analysis (SA), targeting analysis (TA), and analysis of heterogeneous intervention needs (IN) and specifies the relevant subgroup delineating variables.</w:t>
      </w:r>
      <w:r w:rsidR="00DA5AB2" w:rsidRPr="004C78D8">
        <w:t xml:space="preserve"> The table excludes studies that targeted specific patient groups from the outset, e.g., cataract patients </w:t>
      </w:r>
      <w:r w:rsidR="00DA5AB2" w:rsidRPr="004C78D8">
        <w:fldChar w:fldCharType="begin"/>
      </w:r>
      <w:r w:rsidR="00C630FC" w:rsidRPr="004C78D8">
        <w:instrText xml:space="preserve"> ADDIN EN.CITE &lt;EndNote&gt;&lt;Cite&gt;&lt;Author&gt;Sach&lt;/Author&gt;&lt;Year&gt;2007&lt;/Year&gt;&lt;RecNum&gt;354&lt;/RecNum&gt;&lt;DisplayText&gt;[349]&lt;/DisplayText&gt;&lt;record&gt;&lt;rec-number&gt;354&lt;/rec-number&gt;&lt;foreign-keys&gt;&lt;key app="EN" db-id="tdtrdw9aepptzbefsat599syza29sxsd2wsp" timestamp="1612212070"&gt;354&lt;/key&gt;&lt;/foreign-keys&gt;&lt;ref-type name="Journal Article"&gt;17&lt;/ref-type&gt;&lt;contributors&gt;&lt;authors&gt;&lt;author&gt;Sach, T. H.&lt;/author&gt;&lt;author&gt;Foss, A. J.&lt;/author&gt;&lt;author&gt;Gregson, R. M.&lt;/author&gt;&lt;author&gt;Zaman, A.&lt;/author&gt;&lt;author&gt;Osborn, F.&lt;/author&gt;&lt;author&gt;Masud, T.&lt;/author&gt;&lt;author&gt;Harwood, R. H.&lt;/author&gt;&lt;/authors&gt;&lt;/contributors&gt;&lt;auth-address&gt;School of Chemical Sciences and Pharmacy, University of East Anglia, Norwich NR4 7TJ, UK. T.Sach@uea.ac.uk&lt;/auth-address&gt;&lt;titles&gt;&lt;title&gt;Falls and health status in elderly women following first eye cataract surgery: an economic evaluation conducted alongside a randomised controlled trial&lt;/title&gt;&lt;secondary-title&gt;Br J Ophthalmol&lt;/secondary-title&gt;&lt;/titles&gt;&lt;periodical&gt;&lt;full-title&gt;Br J Ophthalmol&lt;/full-title&gt;&lt;/periodical&gt;&lt;pages&gt;1675-9&lt;/pages&gt;&lt;volume&gt;91&lt;/volume&gt;&lt;number&gt;12&lt;/number&gt;&lt;keywords&gt;&lt;keyword&gt;*Accidental Falls/prevention &amp;amp; control&lt;/keyword&gt;&lt;keyword&gt;Aged&lt;/keyword&gt;&lt;keyword&gt;Cataract/physiopathology&lt;/keyword&gt;&lt;keyword&gt;Cataract Extraction/*economics&lt;/keyword&gt;&lt;keyword&gt;Cost-Benefit Analysis&lt;/keyword&gt;&lt;keyword&gt;Female&lt;/keyword&gt;&lt;keyword&gt;Health Care Costs&lt;/keyword&gt;&lt;keyword&gt;*Health Status&lt;/keyword&gt;&lt;keyword&gt;Humans&lt;/keyword&gt;&lt;keyword&gt;Models, Economic&lt;/keyword&gt;&lt;keyword&gt;Postoperative Period&lt;/keyword&gt;&lt;keyword&gt;Quality-Adjusted Life Years&lt;/keyword&gt;&lt;keyword&gt;Visual Acuity&lt;/keyword&gt;&lt;/keywords&gt;&lt;dates&gt;&lt;year&gt;2007&lt;/year&gt;&lt;pub-dates&gt;&lt;date&gt;Dec&lt;/date&gt;&lt;/pub-dates&gt;&lt;/dates&gt;&lt;isbn&gt;1468-2079 (Electronic)&amp;#xD;0007-1161 (Linking)&lt;/isbn&gt;&lt;accession-num&gt;17585002&lt;/accession-num&gt;&lt;urls&gt;&lt;related-urls&gt;&lt;url&gt;https://www.ncbi.nlm.nih.gov/pubmed/17585002&lt;/url&gt;&lt;/related-urls&gt;&lt;/urls&gt;&lt;custom2&gt;PMC2095519&lt;/custom2&gt;&lt;electronic-resource-num&gt;10.1136/bjo.2007.118687&lt;/electronic-resource-num&gt;&lt;/record&gt;&lt;/Cite&gt;&lt;/EndNote&gt;</w:instrText>
      </w:r>
      <w:r w:rsidR="00DA5AB2" w:rsidRPr="004C78D8">
        <w:fldChar w:fldCharType="separate"/>
      </w:r>
      <w:r w:rsidR="00C630FC" w:rsidRPr="004C78D8">
        <w:rPr>
          <w:noProof/>
        </w:rPr>
        <w:t>[349]</w:t>
      </w:r>
      <w:r w:rsidR="00DA5AB2" w:rsidRPr="004C78D8">
        <w:fldChar w:fldCharType="end"/>
      </w:r>
      <w:r w:rsidR="00DA5AB2" w:rsidRPr="004C78D8">
        <w:t>.</w:t>
      </w:r>
    </w:p>
    <w:tbl>
      <w:tblPr>
        <w:tblStyle w:val="TableGrid"/>
        <w:tblW w:w="5000" w:type="pct"/>
        <w:tblLook w:val="04A0" w:firstRow="1" w:lastRow="0" w:firstColumn="1" w:lastColumn="0" w:noHBand="0" w:noVBand="1"/>
      </w:tblPr>
      <w:tblGrid>
        <w:gridCol w:w="2121"/>
        <w:gridCol w:w="984"/>
        <w:gridCol w:w="858"/>
        <w:gridCol w:w="1113"/>
        <w:gridCol w:w="985"/>
        <w:gridCol w:w="985"/>
        <w:gridCol w:w="985"/>
        <w:gridCol w:w="985"/>
      </w:tblGrid>
      <w:tr w:rsidR="008C6076" w:rsidRPr="004C78D8" w14:paraId="6F09BEE0" w14:textId="77777777" w:rsidTr="002828C1">
        <w:tc>
          <w:tcPr>
            <w:tcW w:w="5000" w:type="pct"/>
            <w:gridSpan w:val="8"/>
          </w:tcPr>
          <w:p w14:paraId="5AA7B64E" w14:textId="24FD7C4B" w:rsidR="008C6076" w:rsidRPr="004C78D8" w:rsidRDefault="008C6076" w:rsidP="00FB7C1F">
            <w:pPr>
              <w:jc w:val="left"/>
              <w:rPr>
                <w:b/>
                <w:bCs/>
                <w:lang w:val="en-US"/>
              </w:rPr>
            </w:pPr>
            <w:r w:rsidRPr="004C78D8">
              <w:rPr>
                <w:b/>
                <w:bCs/>
                <w:lang w:val="en-US"/>
              </w:rPr>
              <w:t xml:space="preserve">Table </w:t>
            </w:r>
            <w:r w:rsidR="002C4E28" w:rsidRPr="004C78D8">
              <w:rPr>
                <w:b/>
                <w:bCs/>
                <w:lang w:val="en-US"/>
              </w:rPr>
              <w:t>4</w:t>
            </w:r>
            <w:r w:rsidRPr="004C78D8">
              <w:rPr>
                <w:b/>
                <w:bCs/>
                <w:lang w:val="en-US"/>
              </w:rPr>
              <w:t>.12</w:t>
            </w:r>
            <w:r w:rsidRPr="004C78D8">
              <w:rPr>
                <w:lang w:val="en-US"/>
              </w:rPr>
              <w:t xml:space="preserve"> Methods for assessing heterogeneity in decision models.</w:t>
            </w:r>
          </w:p>
        </w:tc>
      </w:tr>
      <w:tr w:rsidR="008C6076" w:rsidRPr="004C78D8" w14:paraId="1545A2EF" w14:textId="77777777" w:rsidTr="002828C1">
        <w:tc>
          <w:tcPr>
            <w:tcW w:w="1177" w:type="pct"/>
            <w:vMerge w:val="restart"/>
            <w:vAlign w:val="bottom"/>
          </w:tcPr>
          <w:p w14:paraId="63EC9C4C" w14:textId="77777777" w:rsidR="008C6076" w:rsidRPr="004C78D8" w:rsidRDefault="008C6076" w:rsidP="00FB7C1F">
            <w:pPr>
              <w:jc w:val="left"/>
              <w:rPr>
                <w:sz w:val="18"/>
                <w:szCs w:val="18"/>
                <w:lang w:val="en-US"/>
              </w:rPr>
            </w:pPr>
            <w:r w:rsidRPr="004C78D8">
              <w:rPr>
                <w:b/>
                <w:bCs/>
                <w:sz w:val="18"/>
                <w:szCs w:val="18"/>
                <w:lang w:val="en-US"/>
              </w:rPr>
              <w:t>Study label</w:t>
            </w:r>
            <w:r w:rsidRPr="004C78D8">
              <w:rPr>
                <w:b/>
                <w:bCs/>
                <w:sz w:val="18"/>
                <w:szCs w:val="18"/>
                <w:vertAlign w:val="superscript"/>
                <w:lang w:val="en-US"/>
              </w:rPr>
              <w:t>1</w:t>
            </w:r>
          </w:p>
        </w:tc>
        <w:tc>
          <w:tcPr>
            <w:tcW w:w="3823" w:type="pct"/>
            <w:gridSpan w:val="7"/>
          </w:tcPr>
          <w:p w14:paraId="0734F272" w14:textId="77777777" w:rsidR="008C6076" w:rsidRPr="004C78D8" w:rsidRDefault="008C6076" w:rsidP="00FB7C1F">
            <w:pPr>
              <w:jc w:val="center"/>
              <w:rPr>
                <w:b/>
                <w:bCs/>
                <w:sz w:val="18"/>
                <w:szCs w:val="18"/>
                <w:lang w:val="en-US"/>
              </w:rPr>
            </w:pPr>
            <w:r w:rsidRPr="004C78D8">
              <w:rPr>
                <w:b/>
                <w:bCs/>
                <w:sz w:val="18"/>
                <w:szCs w:val="18"/>
                <w:lang w:val="en-US"/>
              </w:rPr>
              <w:t>Subgroup delineating variables</w:t>
            </w:r>
          </w:p>
        </w:tc>
      </w:tr>
      <w:tr w:rsidR="008C6076" w:rsidRPr="004C78D8" w14:paraId="3C48ECBE" w14:textId="77777777" w:rsidTr="002828C1">
        <w:tc>
          <w:tcPr>
            <w:tcW w:w="1177" w:type="pct"/>
            <w:vMerge/>
            <w:vAlign w:val="bottom"/>
          </w:tcPr>
          <w:p w14:paraId="2B88620C" w14:textId="77777777" w:rsidR="008C6076" w:rsidRPr="004C78D8" w:rsidRDefault="008C6076" w:rsidP="00FB7C1F">
            <w:pPr>
              <w:jc w:val="left"/>
              <w:rPr>
                <w:b/>
                <w:bCs/>
                <w:sz w:val="18"/>
                <w:szCs w:val="18"/>
                <w:lang w:val="en-US"/>
              </w:rPr>
            </w:pPr>
          </w:p>
        </w:tc>
        <w:tc>
          <w:tcPr>
            <w:tcW w:w="546" w:type="pct"/>
            <w:tcBorders>
              <w:bottom w:val="single" w:sz="4" w:space="0" w:color="auto"/>
            </w:tcBorders>
            <w:vAlign w:val="bottom"/>
          </w:tcPr>
          <w:p w14:paraId="2A263B2E" w14:textId="77777777" w:rsidR="008C6076" w:rsidRPr="004C78D8" w:rsidRDefault="008C6076" w:rsidP="00FB7C1F">
            <w:pPr>
              <w:jc w:val="center"/>
              <w:rPr>
                <w:sz w:val="18"/>
                <w:szCs w:val="18"/>
                <w:lang w:val="en-US"/>
              </w:rPr>
            </w:pPr>
            <w:r w:rsidRPr="004C78D8">
              <w:rPr>
                <w:sz w:val="18"/>
                <w:szCs w:val="18"/>
                <w:lang w:val="en-US"/>
              </w:rPr>
              <w:t>Age</w:t>
            </w:r>
          </w:p>
        </w:tc>
        <w:tc>
          <w:tcPr>
            <w:tcW w:w="476" w:type="pct"/>
            <w:tcBorders>
              <w:bottom w:val="single" w:sz="4" w:space="0" w:color="auto"/>
            </w:tcBorders>
            <w:vAlign w:val="bottom"/>
          </w:tcPr>
          <w:p w14:paraId="17B91EDE" w14:textId="77777777" w:rsidR="008C6076" w:rsidRPr="004C78D8" w:rsidRDefault="008C6076" w:rsidP="00FB7C1F">
            <w:pPr>
              <w:jc w:val="center"/>
              <w:rPr>
                <w:sz w:val="18"/>
                <w:szCs w:val="18"/>
                <w:lang w:val="en-US"/>
              </w:rPr>
            </w:pPr>
            <w:r w:rsidRPr="004C78D8">
              <w:rPr>
                <w:sz w:val="18"/>
                <w:szCs w:val="18"/>
                <w:lang w:val="en-US"/>
              </w:rPr>
              <w:t>Sex</w:t>
            </w:r>
          </w:p>
        </w:tc>
        <w:tc>
          <w:tcPr>
            <w:tcW w:w="617" w:type="pct"/>
            <w:tcBorders>
              <w:bottom w:val="single" w:sz="4" w:space="0" w:color="auto"/>
            </w:tcBorders>
            <w:vAlign w:val="bottom"/>
          </w:tcPr>
          <w:p w14:paraId="33E1E53E" w14:textId="77777777" w:rsidR="008C6076" w:rsidRPr="004C78D8" w:rsidRDefault="008C6076" w:rsidP="00FB7C1F">
            <w:pPr>
              <w:jc w:val="center"/>
              <w:rPr>
                <w:sz w:val="18"/>
                <w:szCs w:val="18"/>
                <w:lang w:val="en-US"/>
              </w:rPr>
            </w:pPr>
            <w:r w:rsidRPr="004C78D8">
              <w:rPr>
                <w:sz w:val="18"/>
                <w:szCs w:val="18"/>
                <w:lang w:val="en-US"/>
              </w:rPr>
              <w:t>Social</w:t>
            </w:r>
          </w:p>
        </w:tc>
        <w:tc>
          <w:tcPr>
            <w:tcW w:w="546" w:type="pct"/>
            <w:tcBorders>
              <w:bottom w:val="single" w:sz="4" w:space="0" w:color="auto"/>
            </w:tcBorders>
            <w:vAlign w:val="bottom"/>
          </w:tcPr>
          <w:p w14:paraId="7C245702" w14:textId="77777777" w:rsidR="008C6076" w:rsidRPr="004C78D8" w:rsidRDefault="008C6076" w:rsidP="00FB7C1F">
            <w:pPr>
              <w:jc w:val="center"/>
              <w:rPr>
                <w:sz w:val="18"/>
                <w:szCs w:val="18"/>
                <w:lang w:val="en-US"/>
              </w:rPr>
            </w:pPr>
            <w:r w:rsidRPr="004C78D8">
              <w:rPr>
                <w:sz w:val="18"/>
                <w:szCs w:val="18"/>
                <w:lang w:val="en-US"/>
              </w:rPr>
              <w:t>Falls history</w:t>
            </w:r>
          </w:p>
        </w:tc>
        <w:tc>
          <w:tcPr>
            <w:tcW w:w="546" w:type="pct"/>
            <w:tcBorders>
              <w:bottom w:val="single" w:sz="4" w:space="0" w:color="auto"/>
            </w:tcBorders>
            <w:vAlign w:val="bottom"/>
          </w:tcPr>
          <w:p w14:paraId="192ADF9D" w14:textId="77777777" w:rsidR="008C6076" w:rsidRPr="004C78D8" w:rsidRDefault="008C6076" w:rsidP="00FB7C1F">
            <w:pPr>
              <w:jc w:val="center"/>
              <w:rPr>
                <w:sz w:val="18"/>
                <w:szCs w:val="18"/>
                <w:lang w:val="en-US"/>
              </w:rPr>
            </w:pPr>
            <w:r w:rsidRPr="004C78D8">
              <w:rPr>
                <w:sz w:val="18"/>
                <w:szCs w:val="18"/>
                <w:lang w:val="en-US"/>
              </w:rPr>
              <w:t>Falls risk</w:t>
            </w:r>
            <w:r w:rsidRPr="004C78D8">
              <w:rPr>
                <w:sz w:val="18"/>
                <w:szCs w:val="18"/>
                <w:vertAlign w:val="superscript"/>
                <w:lang w:val="en-US"/>
              </w:rPr>
              <w:t>2</w:t>
            </w:r>
          </w:p>
        </w:tc>
        <w:tc>
          <w:tcPr>
            <w:tcW w:w="546" w:type="pct"/>
            <w:tcBorders>
              <w:bottom w:val="single" w:sz="4" w:space="0" w:color="auto"/>
            </w:tcBorders>
            <w:vAlign w:val="bottom"/>
          </w:tcPr>
          <w:p w14:paraId="1CD1557E" w14:textId="77777777" w:rsidR="008C6076" w:rsidRPr="004C78D8" w:rsidRDefault="008C6076" w:rsidP="00FB7C1F">
            <w:pPr>
              <w:jc w:val="center"/>
              <w:rPr>
                <w:sz w:val="18"/>
                <w:szCs w:val="18"/>
                <w:lang w:val="en-US"/>
              </w:rPr>
            </w:pPr>
            <w:r w:rsidRPr="004C78D8">
              <w:rPr>
                <w:sz w:val="18"/>
                <w:szCs w:val="18"/>
                <w:lang w:val="en-US"/>
              </w:rPr>
              <w:t>Chronic disease &amp; Med. use</w:t>
            </w:r>
          </w:p>
        </w:tc>
        <w:tc>
          <w:tcPr>
            <w:tcW w:w="546" w:type="pct"/>
            <w:tcBorders>
              <w:bottom w:val="single" w:sz="4" w:space="0" w:color="auto"/>
            </w:tcBorders>
            <w:vAlign w:val="bottom"/>
          </w:tcPr>
          <w:p w14:paraId="25C972E1" w14:textId="77777777" w:rsidR="008C6076" w:rsidRPr="004C78D8" w:rsidRDefault="008C6076" w:rsidP="00FB7C1F">
            <w:pPr>
              <w:jc w:val="center"/>
              <w:rPr>
                <w:sz w:val="18"/>
                <w:szCs w:val="18"/>
                <w:lang w:val="en-US"/>
              </w:rPr>
            </w:pPr>
            <w:r w:rsidRPr="004C78D8">
              <w:rPr>
                <w:sz w:val="18"/>
                <w:szCs w:val="18"/>
                <w:lang w:val="en-US"/>
              </w:rPr>
              <w:t>Physical capacity</w:t>
            </w:r>
          </w:p>
        </w:tc>
      </w:tr>
      <w:tr w:rsidR="008C6076" w:rsidRPr="004C78D8" w14:paraId="297CE5D0" w14:textId="77777777" w:rsidTr="002828C1">
        <w:tc>
          <w:tcPr>
            <w:tcW w:w="1177" w:type="pct"/>
          </w:tcPr>
          <w:p w14:paraId="54AF080B" w14:textId="77777777" w:rsidR="008C6076" w:rsidRPr="004C78D8" w:rsidRDefault="008C6076" w:rsidP="00FB7C1F">
            <w:pPr>
              <w:jc w:val="left"/>
              <w:rPr>
                <w:sz w:val="18"/>
                <w:szCs w:val="18"/>
                <w:lang w:val="en-US"/>
              </w:rPr>
            </w:pPr>
            <w:r w:rsidRPr="004C78D8">
              <w:rPr>
                <w:sz w:val="18"/>
                <w:szCs w:val="18"/>
                <w:lang w:val="en-US"/>
              </w:rPr>
              <w:t>Alhambra-Borras (2019)</w:t>
            </w:r>
          </w:p>
        </w:tc>
        <w:tc>
          <w:tcPr>
            <w:tcW w:w="546" w:type="pct"/>
            <w:tcBorders>
              <w:top w:val="nil"/>
              <w:bottom w:val="nil"/>
            </w:tcBorders>
            <w:vAlign w:val="center"/>
          </w:tcPr>
          <w:p w14:paraId="59D471B9" w14:textId="77777777" w:rsidR="008C6076" w:rsidRPr="004C78D8" w:rsidRDefault="008C6076" w:rsidP="00FB7C1F">
            <w:pPr>
              <w:jc w:val="center"/>
              <w:rPr>
                <w:sz w:val="20"/>
                <w:szCs w:val="20"/>
                <w:lang w:val="en-US"/>
              </w:rPr>
            </w:pPr>
            <w:r w:rsidRPr="004C78D8">
              <w:rPr>
                <w:sz w:val="18"/>
                <w:szCs w:val="18"/>
                <w:lang w:val="en-US"/>
              </w:rPr>
              <w:t>SA</w:t>
            </w:r>
          </w:p>
        </w:tc>
        <w:tc>
          <w:tcPr>
            <w:tcW w:w="476" w:type="pct"/>
            <w:tcBorders>
              <w:top w:val="nil"/>
              <w:bottom w:val="nil"/>
            </w:tcBorders>
            <w:vAlign w:val="center"/>
          </w:tcPr>
          <w:p w14:paraId="461BBD58" w14:textId="77777777" w:rsidR="008C6076" w:rsidRPr="004C78D8" w:rsidRDefault="008C6076" w:rsidP="00FB7C1F">
            <w:pPr>
              <w:jc w:val="center"/>
              <w:rPr>
                <w:sz w:val="20"/>
                <w:szCs w:val="20"/>
                <w:lang w:val="en-US"/>
              </w:rPr>
            </w:pPr>
            <w:r w:rsidRPr="004C78D8">
              <w:rPr>
                <w:sz w:val="18"/>
                <w:szCs w:val="18"/>
                <w:lang w:val="en-US"/>
              </w:rPr>
              <w:t>SA</w:t>
            </w:r>
          </w:p>
        </w:tc>
        <w:tc>
          <w:tcPr>
            <w:tcW w:w="617" w:type="pct"/>
            <w:tcBorders>
              <w:top w:val="nil"/>
              <w:bottom w:val="nil"/>
            </w:tcBorders>
            <w:vAlign w:val="center"/>
          </w:tcPr>
          <w:p w14:paraId="313BAB77" w14:textId="77777777" w:rsidR="008C6076" w:rsidRPr="004C78D8" w:rsidRDefault="008C6076" w:rsidP="00FB7C1F">
            <w:pPr>
              <w:jc w:val="center"/>
              <w:rPr>
                <w:sz w:val="20"/>
                <w:szCs w:val="20"/>
                <w:lang w:val="en-US"/>
              </w:rPr>
            </w:pPr>
          </w:p>
        </w:tc>
        <w:tc>
          <w:tcPr>
            <w:tcW w:w="546" w:type="pct"/>
            <w:tcBorders>
              <w:top w:val="nil"/>
              <w:bottom w:val="nil"/>
            </w:tcBorders>
            <w:vAlign w:val="center"/>
          </w:tcPr>
          <w:p w14:paraId="592DCD8B" w14:textId="77777777" w:rsidR="008C6076" w:rsidRPr="004C78D8" w:rsidRDefault="008C6076" w:rsidP="00FB7C1F">
            <w:pPr>
              <w:jc w:val="center"/>
              <w:rPr>
                <w:sz w:val="20"/>
                <w:szCs w:val="20"/>
                <w:lang w:val="en-US"/>
              </w:rPr>
            </w:pPr>
          </w:p>
        </w:tc>
        <w:tc>
          <w:tcPr>
            <w:tcW w:w="546" w:type="pct"/>
            <w:tcBorders>
              <w:top w:val="nil"/>
              <w:bottom w:val="nil"/>
            </w:tcBorders>
            <w:vAlign w:val="center"/>
          </w:tcPr>
          <w:p w14:paraId="4D333B1E" w14:textId="77777777" w:rsidR="008C6076" w:rsidRPr="004C78D8" w:rsidRDefault="008C6076" w:rsidP="00FB7C1F">
            <w:pPr>
              <w:jc w:val="center"/>
              <w:rPr>
                <w:sz w:val="20"/>
                <w:szCs w:val="20"/>
                <w:lang w:val="en-US"/>
              </w:rPr>
            </w:pPr>
          </w:p>
        </w:tc>
        <w:tc>
          <w:tcPr>
            <w:tcW w:w="546" w:type="pct"/>
            <w:tcBorders>
              <w:top w:val="nil"/>
              <w:bottom w:val="nil"/>
            </w:tcBorders>
            <w:vAlign w:val="center"/>
          </w:tcPr>
          <w:p w14:paraId="416FBDC6" w14:textId="77777777" w:rsidR="008C6076" w:rsidRPr="004C78D8" w:rsidRDefault="008C6076" w:rsidP="00FB7C1F">
            <w:pPr>
              <w:jc w:val="center"/>
              <w:rPr>
                <w:sz w:val="20"/>
                <w:szCs w:val="20"/>
                <w:lang w:val="en-US"/>
              </w:rPr>
            </w:pPr>
          </w:p>
        </w:tc>
        <w:tc>
          <w:tcPr>
            <w:tcW w:w="546" w:type="pct"/>
            <w:tcBorders>
              <w:top w:val="nil"/>
              <w:bottom w:val="nil"/>
            </w:tcBorders>
            <w:vAlign w:val="center"/>
          </w:tcPr>
          <w:p w14:paraId="76D02088" w14:textId="77777777" w:rsidR="008C6076" w:rsidRPr="004C78D8" w:rsidRDefault="008C6076" w:rsidP="00FB7C1F">
            <w:pPr>
              <w:jc w:val="center"/>
              <w:rPr>
                <w:sz w:val="18"/>
                <w:szCs w:val="18"/>
                <w:lang w:val="en-US"/>
              </w:rPr>
            </w:pPr>
          </w:p>
        </w:tc>
      </w:tr>
      <w:tr w:rsidR="008C6076" w:rsidRPr="004C78D8" w14:paraId="34476979" w14:textId="77777777" w:rsidTr="002828C1">
        <w:tc>
          <w:tcPr>
            <w:tcW w:w="1177" w:type="pct"/>
          </w:tcPr>
          <w:p w14:paraId="37891F53" w14:textId="77777777" w:rsidR="008C6076" w:rsidRPr="004C78D8" w:rsidRDefault="008C6076" w:rsidP="00FB7C1F">
            <w:pPr>
              <w:jc w:val="left"/>
              <w:rPr>
                <w:sz w:val="18"/>
                <w:szCs w:val="18"/>
                <w:lang w:val="en-US"/>
              </w:rPr>
            </w:pPr>
            <w:r w:rsidRPr="004C78D8">
              <w:rPr>
                <w:sz w:val="18"/>
                <w:szCs w:val="18"/>
                <w:lang w:val="en-US"/>
              </w:rPr>
              <w:t>Boyd (2020)</w:t>
            </w:r>
          </w:p>
        </w:tc>
        <w:tc>
          <w:tcPr>
            <w:tcW w:w="546" w:type="pct"/>
            <w:tcBorders>
              <w:top w:val="nil"/>
              <w:bottom w:val="nil"/>
            </w:tcBorders>
            <w:vAlign w:val="center"/>
          </w:tcPr>
          <w:p w14:paraId="228386ED" w14:textId="77777777" w:rsidR="008C6076" w:rsidRPr="004C78D8" w:rsidRDefault="008C6076" w:rsidP="00FB7C1F">
            <w:pPr>
              <w:jc w:val="center"/>
              <w:rPr>
                <w:sz w:val="20"/>
                <w:szCs w:val="20"/>
                <w:lang w:val="en-US"/>
              </w:rPr>
            </w:pPr>
            <w:r w:rsidRPr="004C78D8">
              <w:rPr>
                <w:sz w:val="18"/>
                <w:szCs w:val="18"/>
                <w:lang w:val="en-US"/>
              </w:rPr>
              <w:t>SA</w:t>
            </w:r>
          </w:p>
        </w:tc>
        <w:tc>
          <w:tcPr>
            <w:tcW w:w="476" w:type="pct"/>
            <w:tcBorders>
              <w:top w:val="nil"/>
              <w:bottom w:val="nil"/>
            </w:tcBorders>
            <w:vAlign w:val="center"/>
          </w:tcPr>
          <w:p w14:paraId="2ADBE86C" w14:textId="77777777" w:rsidR="008C6076" w:rsidRPr="004C78D8" w:rsidRDefault="008C6076" w:rsidP="00FB7C1F">
            <w:pPr>
              <w:jc w:val="center"/>
              <w:rPr>
                <w:sz w:val="20"/>
                <w:szCs w:val="20"/>
                <w:lang w:val="en-US"/>
              </w:rPr>
            </w:pPr>
            <w:r w:rsidRPr="004C78D8">
              <w:rPr>
                <w:sz w:val="18"/>
                <w:szCs w:val="18"/>
                <w:lang w:val="en-US"/>
              </w:rPr>
              <w:t>SA</w:t>
            </w:r>
          </w:p>
        </w:tc>
        <w:tc>
          <w:tcPr>
            <w:tcW w:w="617" w:type="pct"/>
            <w:tcBorders>
              <w:top w:val="nil"/>
              <w:bottom w:val="nil"/>
            </w:tcBorders>
            <w:vAlign w:val="center"/>
          </w:tcPr>
          <w:p w14:paraId="51704529" w14:textId="77777777" w:rsidR="008C6076" w:rsidRPr="004C78D8" w:rsidRDefault="008C6076" w:rsidP="00FB7C1F">
            <w:pPr>
              <w:jc w:val="center"/>
              <w:rPr>
                <w:sz w:val="18"/>
                <w:szCs w:val="18"/>
                <w:lang w:val="en-US"/>
              </w:rPr>
            </w:pPr>
            <w:r w:rsidRPr="004C78D8">
              <w:rPr>
                <w:sz w:val="18"/>
                <w:szCs w:val="18"/>
                <w:lang w:val="en-US"/>
              </w:rPr>
              <w:t>SA: ethnic.</w:t>
            </w:r>
          </w:p>
        </w:tc>
        <w:tc>
          <w:tcPr>
            <w:tcW w:w="546" w:type="pct"/>
            <w:tcBorders>
              <w:top w:val="nil"/>
              <w:bottom w:val="nil"/>
            </w:tcBorders>
            <w:vAlign w:val="center"/>
          </w:tcPr>
          <w:p w14:paraId="5B1A0C23" w14:textId="77777777" w:rsidR="008C6076" w:rsidRPr="004C78D8" w:rsidRDefault="008C6076" w:rsidP="00FB7C1F">
            <w:pPr>
              <w:jc w:val="center"/>
              <w:rPr>
                <w:sz w:val="20"/>
                <w:szCs w:val="20"/>
                <w:lang w:val="en-US"/>
              </w:rPr>
            </w:pPr>
            <w:r w:rsidRPr="004C78D8">
              <w:rPr>
                <w:sz w:val="18"/>
                <w:szCs w:val="18"/>
                <w:lang w:val="en-US"/>
              </w:rPr>
              <w:t>SA</w:t>
            </w:r>
          </w:p>
        </w:tc>
        <w:tc>
          <w:tcPr>
            <w:tcW w:w="546" w:type="pct"/>
            <w:tcBorders>
              <w:top w:val="nil"/>
              <w:bottom w:val="nil"/>
            </w:tcBorders>
            <w:vAlign w:val="center"/>
          </w:tcPr>
          <w:p w14:paraId="1150772E" w14:textId="77777777" w:rsidR="008C6076" w:rsidRPr="004C78D8" w:rsidRDefault="008C6076" w:rsidP="00FB7C1F">
            <w:pPr>
              <w:jc w:val="center"/>
              <w:rPr>
                <w:sz w:val="20"/>
                <w:szCs w:val="20"/>
                <w:lang w:val="en-US"/>
              </w:rPr>
            </w:pPr>
          </w:p>
        </w:tc>
        <w:tc>
          <w:tcPr>
            <w:tcW w:w="546" w:type="pct"/>
            <w:tcBorders>
              <w:top w:val="nil"/>
              <w:bottom w:val="nil"/>
            </w:tcBorders>
            <w:vAlign w:val="center"/>
          </w:tcPr>
          <w:p w14:paraId="56F8D8BB" w14:textId="77777777" w:rsidR="008C6076" w:rsidRPr="004C78D8" w:rsidRDefault="008C6076" w:rsidP="00FB7C1F">
            <w:pPr>
              <w:jc w:val="center"/>
              <w:rPr>
                <w:sz w:val="20"/>
                <w:szCs w:val="20"/>
                <w:lang w:val="en-US"/>
              </w:rPr>
            </w:pPr>
          </w:p>
        </w:tc>
        <w:tc>
          <w:tcPr>
            <w:tcW w:w="546" w:type="pct"/>
            <w:tcBorders>
              <w:top w:val="nil"/>
              <w:bottom w:val="nil"/>
            </w:tcBorders>
            <w:vAlign w:val="center"/>
          </w:tcPr>
          <w:p w14:paraId="239F608B" w14:textId="77777777" w:rsidR="008C6076" w:rsidRPr="004C78D8" w:rsidRDefault="008C6076" w:rsidP="00FB7C1F">
            <w:pPr>
              <w:jc w:val="center"/>
              <w:rPr>
                <w:sz w:val="18"/>
                <w:szCs w:val="18"/>
                <w:lang w:val="en-US"/>
              </w:rPr>
            </w:pPr>
          </w:p>
        </w:tc>
      </w:tr>
      <w:tr w:rsidR="008C6076" w:rsidRPr="004C78D8" w14:paraId="4B56EAC4" w14:textId="77777777" w:rsidTr="002828C1">
        <w:tc>
          <w:tcPr>
            <w:tcW w:w="1177" w:type="pct"/>
          </w:tcPr>
          <w:p w14:paraId="32A60A8B" w14:textId="77777777" w:rsidR="008C6076" w:rsidRPr="004C78D8" w:rsidRDefault="008C6076" w:rsidP="00FB7C1F">
            <w:pPr>
              <w:jc w:val="left"/>
              <w:rPr>
                <w:sz w:val="18"/>
                <w:szCs w:val="18"/>
                <w:lang w:val="en-US"/>
              </w:rPr>
            </w:pPr>
            <w:r w:rsidRPr="004C78D8">
              <w:rPr>
                <w:sz w:val="18"/>
                <w:szCs w:val="18"/>
                <w:lang w:val="en-US"/>
              </w:rPr>
              <w:t>Carande-Kulis (2015)</w:t>
            </w:r>
          </w:p>
        </w:tc>
        <w:tc>
          <w:tcPr>
            <w:tcW w:w="546" w:type="pct"/>
            <w:tcBorders>
              <w:top w:val="nil"/>
              <w:bottom w:val="nil"/>
            </w:tcBorders>
            <w:vAlign w:val="center"/>
          </w:tcPr>
          <w:p w14:paraId="26EF4A31" w14:textId="77777777" w:rsidR="008C6076" w:rsidRPr="004C78D8" w:rsidRDefault="008C6076" w:rsidP="00FB7C1F">
            <w:pPr>
              <w:jc w:val="center"/>
              <w:rPr>
                <w:sz w:val="18"/>
                <w:szCs w:val="18"/>
                <w:lang w:val="en-US"/>
              </w:rPr>
            </w:pPr>
            <w:r w:rsidRPr="004C78D8">
              <w:rPr>
                <w:sz w:val="18"/>
                <w:szCs w:val="18"/>
                <w:lang w:val="en-US"/>
              </w:rPr>
              <w:t>TA</w:t>
            </w:r>
          </w:p>
        </w:tc>
        <w:tc>
          <w:tcPr>
            <w:tcW w:w="476" w:type="pct"/>
            <w:tcBorders>
              <w:top w:val="nil"/>
              <w:bottom w:val="nil"/>
            </w:tcBorders>
            <w:vAlign w:val="center"/>
          </w:tcPr>
          <w:p w14:paraId="44FE0F85" w14:textId="77777777" w:rsidR="008C6076" w:rsidRPr="004C78D8" w:rsidRDefault="008C6076" w:rsidP="00FB7C1F">
            <w:pPr>
              <w:jc w:val="center"/>
              <w:rPr>
                <w:sz w:val="18"/>
                <w:szCs w:val="18"/>
                <w:lang w:val="en-US"/>
              </w:rPr>
            </w:pPr>
          </w:p>
        </w:tc>
        <w:tc>
          <w:tcPr>
            <w:tcW w:w="617" w:type="pct"/>
            <w:tcBorders>
              <w:top w:val="nil"/>
              <w:bottom w:val="nil"/>
            </w:tcBorders>
            <w:vAlign w:val="center"/>
          </w:tcPr>
          <w:p w14:paraId="61A6335C"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400D4CA7" w14:textId="77777777" w:rsidR="008C6076" w:rsidRPr="004C78D8" w:rsidRDefault="008C6076" w:rsidP="00FB7C1F">
            <w:pPr>
              <w:jc w:val="center"/>
              <w:rPr>
                <w:sz w:val="18"/>
                <w:szCs w:val="18"/>
                <w:lang w:val="en-US"/>
              </w:rPr>
            </w:pPr>
            <w:r w:rsidRPr="004C78D8">
              <w:rPr>
                <w:sz w:val="18"/>
                <w:szCs w:val="18"/>
                <w:lang w:val="en-US"/>
              </w:rPr>
              <w:t>TA</w:t>
            </w:r>
          </w:p>
        </w:tc>
        <w:tc>
          <w:tcPr>
            <w:tcW w:w="546" w:type="pct"/>
            <w:tcBorders>
              <w:top w:val="nil"/>
              <w:bottom w:val="nil"/>
            </w:tcBorders>
            <w:vAlign w:val="center"/>
          </w:tcPr>
          <w:p w14:paraId="594282A6"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679B0E4B"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428033FB" w14:textId="77777777" w:rsidR="008C6076" w:rsidRPr="004C78D8" w:rsidRDefault="008C6076" w:rsidP="00FB7C1F">
            <w:pPr>
              <w:jc w:val="center"/>
              <w:rPr>
                <w:sz w:val="18"/>
                <w:szCs w:val="18"/>
                <w:lang w:val="en-US"/>
              </w:rPr>
            </w:pPr>
          </w:p>
        </w:tc>
      </w:tr>
      <w:tr w:rsidR="008C6076" w:rsidRPr="004C78D8" w14:paraId="6385A793" w14:textId="77777777" w:rsidTr="002828C1">
        <w:tc>
          <w:tcPr>
            <w:tcW w:w="1177" w:type="pct"/>
          </w:tcPr>
          <w:p w14:paraId="60793F16" w14:textId="77777777" w:rsidR="008C6076" w:rsidRPr="004C78D8" w:rsidRDefault="008C6076" w:rsidP="00FB7C1F">
            <w:pPr>
              <w:jc w:val="left"/>
              <w:rPr>
                <w:sz w:val="18"/>
                <w:szCs w:val="18"/>
                <w:lang w:val="en-US"/>
              </w:rPr>
            </w:pPr>
            <w:r w:rsidRPr="004C78D8">
              <w:rPr>
                <w:sz w:val="18"/>
                <w:szCs w:val="18"/>
                <w:lang w:val="en-US"/>
              </w:rPr>
              <w:t>CSP (2016)</w:t>
            </w:r>
          </w:p>
        </w:tc>
        <w:tc>
          <w:tcPr>
            <w:tcW w:w="546" w:type="pct"/>
            <w:tcBorders>
              <w:top w:val="nil"/>
              <w:bottom w:val="nil"/>
            </w:tcBorders>
            <w:vAlign w:val="center"/>
          </w:tcPr>
          <w:p w14:paraId="26761FB0" w14:textId="77777777" w:rsidR="008C6076" w:rsidRPr="004C78D8" w:rsidRDefault="008C6076" w:rsidP="00FB7C1F">
            <w:pPr>
              <w:jc w:val="center"/>
              <w:rPr>
                <w:sz w:val="18"/>
                <w:szCs w:val="18"/>
                <w:lang w:val="en-US"/>
              </w:rPr>
            </w:pPr>
          </w:p>
        </w:tc>
        <w:tc>
          <w:tcPr>
            <w:tcW w:w="476" w:type="pct"/>
            <w:tcBorders>
              <w:top w:val="nil"/>
              <w:bottom w:val="nil"/>
            </w:tcBorders>
            <w:vAlign w:val="center"/>
          </w:tcPr>
          <w:p w14:paraId="1CAA5D9C" w14:textId="77777777" w:rsidR="008C6076" w:rsidRPr="004C78D8" w:rsidRDefault="008C6076" w:rsidP="00FB7C1F">
            <w:pPr>
              <w:jc w:val="center"/>
              <w:rPr>
                <w:sz w:val="18"/>
                <w:szCs w:val="18"/>
                <w:lang w:val="en-US"/>
              </w:rPr>
            </w:pPr>
          </w:p>
        </w:tc>
        <w:tc>
          <w:tcPr>
            <w:tcW w:w="617" w:type="pct"/>
            <w:tcBorders>
              <w:top w:val="nil"/>
              <w:bottom w:val="nil"/>
            </w:tcBorders>
            <w:vAlign w:val="center"/>
          </w:tcPr>
          <w:p w14:paraId="4ED5E5C4"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7EDC5D9A"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66FFCF22"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7EBA44A8"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4AE8E428" w14:textId="77777777" w:rsidR="008C6076" w:rsidRPr="004C78D8" w:rsidRDefault="008C6076" w:rsidP="00FB7C1F">
            <w:pPr>
              <w:jc w:val="center"/>
              <w:rPr>
                <w:sz w:val="18"/>
                <w:szCs w:val="18"/>
                <w:lang w:val="en-US"/>
              </w:rPr>
            </w:pPr>
          </w:p>
        </w:tc>
      </w:tr>
      <w:tr w:rsidR="008C6076" w:rsidRPr="004C78D8" w14:paraId="041DC8A4" w14:textId="77777777" w:rsidTr="002828C1">
        <w:tc>
          <w:tcPr>
            <w:tcW w:w="1177" w:type="pct"/>
          </w:tcPr>
          <w:p w14:paraId="197A9277" w14:textId="77777777" w:rsidR="008C6076" w:rsidRPr="004C78D8" w:rsidRDefault="008C6076" w:rsidP="00FB7C1F">
            <w:pPr>
              <w:jc w:val="left"/>
              <w:rPr>
                <w:sz w:val="18"/>
                <w:szCs w:val="18"/>
                <w:lang w:val="en-US"/>
              </w:rPr>
            </w:pPr>
            <w:r w:rsidRPr="004C78D8">
              <w:rPr>
                <w:sz w:val="18"/>
                <w:szCs w:val="18"/>
                <w:lang w:val="en-US"/>
              </w:rPr>
              <w:t>Day (2009)</w:t>
            </w:r>
          </w:p>
        </w:tc>
        <w:tc>
          <w:tcPr>
            <w:tcW w:w="546" w:type="pct"/>
            <w:tcBorders>
              <w:top w:val="nil"/>
              <w:bottom w:val="nil"/>
            </w:tcBorders>
            <w:vAlign w:val="center"/>
          </w:tcPr>
          <w:p w14:paraId="0E518D77" w14:textId="77777777" w:rsidR="008C6076" w:rsidRPr="004C78D8" w:rsidRDefault="008C6076" w:rsidP="00FB7C1F">
            <w:pPr>
              <w:jc w:val="center"/>
              <w:rPr>
                <w:sz w:val="18"/>
                <w:szCs w:val="18"/>
                <w:lang w:val="en-US"/>
              </w:rPr>
            </w:pPr>
            <w:r w:rsidRPr="004C78D8">
              <w:rPr>
                <w:sz w:val="18"/>
                <w:szCs w:val="18"/>
                <w:lang w:val="en-US"/>
              </w:rPr>
              <w:t>IN</w:t>
            </w:r>
          </w:p>
        </w:tc>
        <w:tc>
          <w:tcPr>
            <w:tcW w:w="476" w:type="pct"/>
            <w:tcBorders>
              <w:top w:val="nil"/>
              <w:bottom w:val="nil"/>
            </w:tcBorders>
            <w:vAlign w:val="center"/>
          </w:tcPr>
          <w:p w14:paraId="69ACC47A" w14:textId="77777777" w:rsidR="008C6076" w:rsidRPr="004C78D8" w:rsidRDefault="008C6076" w:rsidP="00FB7C1F">
            <w:pPr>
              <w:jc w:val="center"/>
              <w:rPr>
                <w:sz w:val="18"/>
                <w:szCs w:val="18"/>
                <w:lang w:val="en-US"/>
              </w:rPr>
            </w:pPr>
          </w:p>
        </w:tc>
        <w:tc>
          <w:tcPr>
            <w:tcW w:w="617" w:type="pct"/>
            <w:tcBorders>
              <w:top w:val="nil"/>
              <w:bottom w:val="nil"/>
            </w:tcBorders>
            <w:vAlign w:val="center"/>
          </w:tcPr>
          <w:p w14:paraId="23FA69A5"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58B392F1" w14:textId="77777777" w:rsidR="008C6076" w:rsidRPr="004C78D8" w:rsidRDefault="008C6076" w:rsidP="00FB7C1F">
            <w:pPr>
              <w:jc w:val="center"/>
              <w:rPr>
                <w:sz w:val="18"/>
                <w:szCs w:val="18"/>
                <w:lang w:val="en-US"/>
              </w:rPr>
            </w:pPr>
            <w:r w:rsidRPr="004C78D8">
              <w:rPr>
                <w:sz w:val="18"/>
                <w:szCs w:val="18"/>
                <w:lang w:val="en-US"/>
              </w:rPr>
              <w:t>IN</w:t>
            </w:r>
          </w:p>
        </w:tc>
        <w:tc>
          <w:tcPr>
            <w:tcW w:w="546" w:type="pct"/>
            <w:tcBorders>
              <w:top w:val="nil"/>
              <w:bottom w:val="nil"/>
            </w:tcBorders>
            <w:vAlign w:val="center"/>
          </w:tcPr>
          <w:p w14:paraId="7C1903A2"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66AD671E" w14:textId="77777777" w:rsidR="008C6076" w:rsidRPr="004C78D8" w:rsidRDefault="008C6076" w:rsidP="00FB7C1F">
            <w:pPr>
              <w:jc w:val="center"/>
              <w:rPr>
                <w:sz w:val="18"/>
                <w:szCs w:val="18"/>
                <w:lang w:val="en-US"/>
              </w:rPr>
            </w:pPr>
            <w:r w:rsidRPr="004C78D8">
              <w:rPr>
                <w:sz w:val="18"/>
                <w:szCs w:val="18"/>
                <w:lang w:val="en-US"/>
              </w:rPr>
              <w:t>IN</w:t>
            </w:r>
          </w:p>
        </w:tc>
        <w:tc>
          <w:tcPr>
            <w:tcW w:w="546" w:type="pct"/>
            <w:tcBorders>
              <w:top w:val="nil"/>
              <w:bottom w:val="nil"/>
            </w:tcBorders>
            <w:vAlign w:val="center"/>
          </w:tcPr>
          <w:p w14:paraId="2559E11C" w14:textId="77777777" w:rsidR="008C6076" w:rsidRPr="004C78D8" w:rsidRDefault="008C6076" w:rsidP="00FB7C1F">
            <w:pPr>
              <w:jc w:val="center"/>
              <w:rPr>
                <w:sz w:val="18"/>
                <w:szCs w:val="18"/>
                <w:lang w:val="en-US"/>
              </w:rPr>
            </w:pPr>
            <w:r w:rsidRPr="004C78D8">
              <w:rPr>
                <w:sz w:val="18"/>
                <w:szCs w:val="18"/>
                <w:lang w:val="en-US"/>
              </w:rPr>
              <w:t>IN</w:t>
            </w:r>
          </w:p>
        </w:tc>
      </w:tr>
      <w:tr w:rsidR="008C6076" w:rsidRPr="004C78D8" w14:paraId="0C205F0B" w14:textId="77777777" w:rsidTr="002828C1">
        <w:tc>
          <w:tcPr>
            <w:tcW w:w="1177" w:type="pct"/>
          </w:tcPr>
          <w:p w14:paraId="05A6EA6A" w14:textId="77777777" w:rsidR="008C6076" w:rsidRPr="004C78D8" w:rsidRDefault="008C6076" w:rsidP="00FB7C1F">
            <w:pPr>
              <w:jc w:val="left"/>
              <w:rPr>
                <w:sz w:val="18"/>
                <w:szCs w:val="18"/>
                <w:lang w:val="en-US"/>
              </w:rPr>
            </w:pPr>
            <w:r w:rsidRPr="004C78D8">
              <w:rPr>
                <w:sz w:val="18"/>
                <w:szCs w:val="18"/>
                <w:lang w:val="en-US"/>
              </w:rPr>
              <w:t>Deverall (2018)</w:t>
            </w:r>
          </w:p>
        </w:tc>
        <w:tc>
          <w:tcPr>
            <w:tcW w:w="546" w:type="pct"/>
            <w:tcBorders>
              <w:top w:val="nil"/>
              <w:bottom w:val="nil"/>
            </w:tcBorders>
            <w:vAlign w:val="center"/>
          </w:tcPr>
          <w:p w14:paraId="6F7B85C6" w14:textId="77777777" w:rsidR="008C6076" w:rsidRPr="004C78D8" w:rsidRDefault="008C6076" w:rsidP="00FB7C1F">
            <w:pPr>
              <w:jc w:val="center"/>
              <w:rPr>
                <w:sz w:val="18"/>
                <w:szCs w:val="18"/>
                <w:lang w:val="en-US"/>
              </w:rPr>
            </w:pPr>
            <w:r w:rsidRPr="004C78D8">
              <w:rPr>
                <w:sz w:val="18"/>
                <w:szCs w:val="18"/>
                <w:lang w:val="en-US"/>
              </w:rPr>
              <w:t>TA</w:t>
            </w:r>
          </w:p>
        </w:tc>
        <w:tc>
          <w:tcPr>
            <w:tcW w:w="476" w:type="pct"/>
            <w:tcBorders>
              <w:top w:val="nil"/>
              <w:bottom w:val="nil"/>
            </w:tcBorders>
            <w:vAlign w:val="center"/>
          </w:tcPr>
          <w:p w14:paraId="70C7EFA4" w14:textId="77777777" w:rsidR="008C6076" w:rsidRPr="004C78D8" w:rsidRDefault="008C6076" w:rsidP="00FB7C1F">
            <w:pPr>
              <w:jc w:val="center"/>
              <w:rPr>
                <w:sz w:val="18"/>
                <w:szCs w:val="18"/>
                <w:lang w:val="en-US"/>
              </w:rPr>
            </w:pPr>
            <w:r w:rsidRPr="004C78D8">
              <w:rPr>
                <w:sz w:val="18"/>
                <w:szCs w:val="18"/>
                <w:lang w:val="en-US"/>
              </w:rPr>
              <w:t>SA</w:t>
            </w:r>
          </w:p>
        </w:tc>
        <w:tc>
          <w:tcPr>
            <w:tcW w:w="617" w:type="pct"/>
            <w:tcBorders>
              <w:top w:val="nil"/>
              <w:bottom w:val="nil"/>
            </w:tcBorders>
            <w:vAlign w:val="center"/>
          </w:tcPr>
          <w:p w14:paraId="41416A61" w14:textId="77777777" w:rsidR="008C6076" w:rsidRPr="004C78D8" w:rsidRDefault="008C6076" w:rsidP="00FB7C1F">
            <w:pPr>
              <w:jc w:val="center"/>
              <w:rPr>
                <w:sz w:val="18"/>
                <w:szCs w:val="18"/>
                <w:lang w:val="en-US"/>
              </w:rPr>
            </w:pPr>
            <w:r w:rsidRPr="004C78D8">
              <w:rPr>
                <w:sz w:val="18"/>
                <w:szCs w:val="18"/>
                <w:lang w:val="en-US"/>
              </w:rPr>
              <w:t>SA: ethnic.</w:t>
            </w:r>
          </w:p>
        </w:tc>
        <w:tc>
          <w:tcPr>
            <w:tcW w:w="546" w:type="pct"/>
            <w:tcBorders>
              <w:top w:val="nil"/>
              <w:bottom w:val="nil"/>
            </w:tcBorders>
            <w:vAlign w:val="center"/>
          </w:tcPr>
          <w:p w14:paraId="059AD233"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1F7EA288"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582DF121"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758861E4" w14:textId="77777777" w:rsidR="008C6076" w:rsidRPr="004C78D8" w:rsidRDefault="008C6076" w:rsidP="00FB7C1F">
            <w:pPr>
              <w:jc w:val="center"/>
              <w:rPr>
                <w:sz w:val="18"/>
                <w:szCs w:val="18"/>
                <w:lang w:val="en-US"/>
              </w:rPr>
            </w:pPr>
          </w:p>
        </w:tc>
      </w:tr>
      <w:tr w:rsidR="008C6076" w:rsidRPr="004C78D8" w14:paraId="6762ED54" w14:textId="77777777" w:rsidTr="002828C1">
        <w:tc>
          <w:tcPr>
            <w:tcW w:w="1177" w:type="pct"/>
          </w:tcPr>
          <w:p w14:paraId="50EADC2C" w14:textId="77777777" w:rsidR="008C6076" w:rsidRPr="004C78D8" w:rsidRDefault="008C6076" w:rsidP="00FB7C1F">
            <w:pPr>
              <w:jc w:val="left"/>
              <w:rPr>
                <w:sz w:val="18"/>
                <w:szCs w:val="18"/>
                <w:lang w:val="en-US"/>
              </w:rPr>
            </w:pPr>
            <w:r w:rsidRPr="004C78D8">
              <w:rPr>
                <w:sz w:val="18"/>
                <w:szCs w:val="18"/>
                <w:lang w:val="en-US"/>
              </w:rPr>
              <w:t>Eldridge (2005)</w:t>
            </w:r>
          </w:p>
        </w:tc>
        <w:tc>
          <w:tcPr>
            <w:tcW w:w="546" w:type="pct"/>
            <w:tcBorders>
              <w:top w:val="nil"/>
              <w:bottom w:val="nil"/>
            </w:tcBorders>
            <w:vAlign w:val="center"/>
          </w:tcPr>
          <w:p w14:paraId="5D0D6025" w14:textId="77777777" w:rsidR="008C6076" w:rsidRPr="004C78D8" w:rsidRDefault="008C6076" w:rsidP="00FB7C1F">
            <w:pPr>
              <w:jc w:val="center"/>
              <w:rPr>
                <w:sz w:val="18"/>
                <w:szCs w:val="18"/>
                <w:lang w:val="en-US"/>
              </w:rPr>
            </w:pPr>
          </w:p>
        </w:tc>
        <w:tc>
          <w:tcPr>
            <w:tcW w:w="476" w:type="pct"/>
            <w:tcBorders>
              <w:top w:val="nil"/>
              <w:bottom w:val="nil"/>
            </w:tcBorders>
            <w:vAlign w:val="center"/>
          </w:tcPr>
          <w:p w14:paraId="652E5550" w14:textId="77777777" w:rsidR="008C6076" w:rsidRPr="004C78D8" w:rsidRDefault="008C6076" w:rsidP="00FB7C1F">
            <w:pPr>
              <w:jc w:val="center"/>
              <w:rPr>
                <w:sz w:val="18"/>
                <w:szCs w:val="18"/>
                <w:lang w:val="en-US"/>
              </w:rPr>
            </w:pPr>
          </w:p>
        </w:tc>
        <w:tc>
          <w:tcPr>
            <w:tcW w:w="617" w:type="pct"/>
            <w:tcBorders>
              <w:top w:val="nil"/>
              <w:bottom w:val="nil"/>
            </w:tcBorders>
            <w:vAlign w:val="center"/>
          </w:tcPr>
          <w:p w14:paraId="3D8BD127"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37E39F02" w14:textId="77777777" w:rsidR="008C6076" w:rsidRPr="004C78D8" w:rsidRDefault="008C6076" w:rsidP="00FB7C1F">
            <w:pPr>
              <w:jc w:val="center"/>
              <w:rPr>
                <w:sz w:val="18"/>
                <w:szCs w:val="18"/>
                <w:lang w:val="en-US"/>
              </w:rPr>
            </w:pPr>
            <w:r w:rsidRPr="004C78D8">
              <w:rPr>
                <w:sz w:val="18"/>
                <w:szCs w:val="18"/>
                <w:lang w:val="en-US"/>
              </w:rPr>
              <w:t>IN</w:t>
            </w:r>
          </w:p>
        </w:tc>
        <w:tc>
          <w:tcPr>
            <w:tcW w:w="546" w:type="pct"/>
            <w:tcBorders>
              <w:top w:val="nil"/>
              <w:bottom w:val="nil"/>
            </w:tcBorders>
            <w:vAlign w:val="center"/>
          </w:tcPr>
          <w:p w14:paraId="3257E166" w14:textId="77777777" w:rsidR="008C6076" w:rsidRPr="004C78D8" w:rsidRDefault="008C6076" w:rsidP="00FB7C1F">
            <w:pPr>
              <w:jc w:val="center"/>
              <w:rPr>
                <w:sz w:val="18"/>
                <w:szCs w:val="18"/>
                <w:lang w:val="en-US"/>
              </w:rPr>
            </w:pPr>
            <w:r w:rsidRPr="004C78D8">
              <w:rPr>
                <w:sz w:val="18"/>
                <w:szCs w:val="18"/>
                <w:lang w:val="en-US"/>
              </w:rPr>
              <w:t>IN</w:t>
            </w:r>
          </w:p>
        </w:tc>
        <w:tc>
          <w:tcPr>
            <w:tcW w:w="546" w:type="pct"/>
            <w:tcBorders>
              <w:top w:val="nil"/>
              <w:bottom w:val="nil"/>
            </w:tcBorders>
            <w:vAlign w:val="center"/>
          </w:tcPr>
          <w:p w14:paraId="706EDF71"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687EE6A3" w14:textId="77777777" w:rsidR="008C6076" w:rsidRPr="004C78D8" w:rsidRDefault="008C6076" w:rsidP="00FB7C1F">
            <w:pPr>
              <w:jc w:val="center"/>
              <w:rPr>
                <w:sz w:val="18"/>
                <w:szCs w:val="18"/>
                <w:lang w:val="en-US"/>
              </w:rPr>
            </w:pPr>
          </w:p>
        </w:tc>
      </w:tr>
      <w:tr w:rsidR="008C6076" w:rsidRPr="004C78D8" w14:paraId="046B8DAC" w14:textId="77777777" w:rsidTr="002828C1">
        <w:tc>
          <w:tcPr>
            <w:tcW w:w="1177" w:type="pct"/>
          </w:tcPr>
          <w:p w14:paraId="5937A1DB" w14:textId="77777777" w:rsidR="008C6076" w:rsidRPr="004C78D8" w:rsidRDefault="008C6076" w:rsidP="00FB7C1F">
            <w:pPr>
              <w:jc w:val="left"/>
              <w:rPr>
                <w:sz w:val="18"/>
                <w:szCs w:val="18"/>
                <w:lang w:val="en-US"/>
              </w:rPr>
            </w:pPr>
            <w:r w:rsidRPr="004C78D8">
              <w:rPr>
                <w:sz w:val="18"/>
                <w:szCs w:val="18"/>
                <w:lang w:val="en-US"/>
              </w:rPr>
              <w:t>Franklin (2019)</w:t>
            </w:r>
          </w:p>
        </w:tc>
        <w:tc>
          <w:tcPr>
            <w:tcW w:w="546" w:type="pct"/>
            <w:tcBorders>
              <w:top w:val="nil"/>
              <w:bottom w:val="nil"/>
            </w:tcBorders>
            <w:vAlign w:val="center"/>
          </w:tcPr>
          <w:p w14:paraId="46492F71" w14:textId="77777777" w:rsidR="008C6076" w:rsidRPr="004C78D8" w:rsidRDefault="008C6076" w:rsidP="00FB7C1F">
            <w:pPr>
              <w:jc w:val="center"/>
              <w:rPr>
                <w:sz w:val="18"/>
                <w:szCs w:val="18"/>
                <w:lang w:val="en-US"/>
              </w:rPr>
            </w:pPr>
            <w:r w:rsidRPr="004C78D8">
              <w:rPr>
                <w:sz w:val="18"/>
                <w:szCs w:val="18"/>
                <w:lang w:val="en-US"/>
              </w:rPr>
              <w:t>TA</w:t>
            </w:r>
          </w:p>
        </w:tc>
        <w:tc>
          <w:tcPr>
            <w:tcW w:w="476" w:type="pct"/>
            <w:tcBorders>
              <w:top w:val="nil"/>
              <w:bottom w:val="nil"/>
            </w:tcBorders>
            <w:vAlign w:val="center"/>
          </w:tcPr>
          <w:p w14:paraId="00ADD693" w14:textId="77777777" w:rsidR="008C6076" w:rsidRPr="004C78D8" w:rsidRDefault="008C6076" w:rsidP="00FB7C1F">
            <w:pPr>
              <w:jc w:val="center"/>
              <w:rPr>
                <w:sz w:val="18"/>
                <w:szCs w:val="18"/>
                <w:lang w:val="en-US"/>
              </w:rPr>
            </w:pPr>
          </w:p>
        </w:tc>
        <w:tc>
          <w:tcPr>
            <w:tcW w:w="617" w:type="pct"/>
            <w:tcBorders>
              <w:top w:val="nil"/>
              <w:bottom w:val="nil"/>
            </w:tcBorders>
            <w:vAlign w:val="center"/>
          </w:tcPr>
          <w:p w14:paraId="280D74AF"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274228A8"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301E7429"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1B5B10CA"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0F9FE6F2" w14:textId="77777777" w:rsidR="008C6076" w:rsidRPr="004C78D8" w:rsidRDefault="008C6076" w:rsidP="00FB7C1F">
            <w:pPr>
              <w:jc w:val="center"/>
              <w:rPr>
                <w:sz w:val="18"/>
                <w:szCs w:val="18"/>
                <w:lang w:val="en-US"/>
              </w:rPr>
            </w:pPr>
          </w:p>
        </w:tc>
      </w:tr>
      <w:tr w:rsidR="008C6076" w:rsidRPr="004C78D8" w14:paraId="16B0BA7F" w14:textId="77777777" w:rsidTr="002828C1">
        <w:tc>
          <w:tcPr>
            <w:tcW w:w="1177" w:type="pct"/>
          </w:tcPr>
          <w:p w14:paraId="2D26C0B6" w14:textId="77777777" w:rsidR="008C6076" w:rsidRPr="004C78D8" w:rsidRDefault="008C6076" w:rsidP="00FB7C1F">
            <w:pPr>
              <w:jc w:val="left"/>
              <w:rPr>
                <w:sz w:val="18"/>
                <w:szCs w:val="18"/>
                <w:lang w:val="en-US"/>
              </w:rPr>
            </w:pPr>
            <w:r w:rsidRPr="004C78D8">
              <w:rPr>
                <w:sz w:val="18"/>
                <w:szCs w:val="18"/>
                <w:lang w:val="en-US"/>
              </w:rPr>
              <w:t>Hiligsmann (2014)</w:t>
            </w:r>
          </w:p>
        </w:tc>
        <w:tc>
          <w:tcPr>
            <w:tcW w:w="546" w:type="pct"/>
            <w:tcBorders>
              <w:top w:val="nil"/>
              <w:bottom w:val="nil"/>
            </w:tcBorders>
            <w:vAlign w:val="center"/>
          </w:tcPr>
          <w:p w14:paraId="42BBD14F" w14:textId="77777777" w:rsidR="008C6076" w:rsidRPr="004C78D8" w:rsidRDefault="008C6076" w:rsidP="00FB7C1F">
            <w:pPr>
              <w:jc w:val="center"/>
              <w:rPr>
                <w:sz w:val="18"/>
                <w:szCs w:val="18"/>
                <w:lang w:val="en-US"/>
              </w:rPr>
            </w:pPr>
            <w:r w:rsidRPr="004C78D8">
              <w:rPr>
                <w:sz w:val="18"/>
                <w:szCs w:val="18"/>
                <w:lang w:val="en-US"/>
              </w:rPr>
              <w:t>TA</w:t>
            </w:r>
          </w:p>
        </w:tc>
        <w:tc>
          <w:tcPr>
            <w:tcW w:w="476" w:type="pct"/>
            <w:tcBorders>
              <w:top w:val="nil"/>
              <w:bottom w:val="nil"/>
            </w:tcBorders>
            <w:vAlign w:val="center"/>
          </w:tcPr>
          <w:p w14:paraId="3A5994F6" w14:textId="77777777" w:rsidR="008C6076" w:rsidRPr="004C78D8" w:rsidRDefault="008C6076" w:rsidP="00FB7C1F">
            <w:pPr>
              <w:jc w:val="center"/>
              <w:rPr>
                <w:sz w:val="18"/>
                <w:szCs w:val="18"/>
                <w:lang w:val="en-US"/>
              </w:rPr>
            </w:pPr>
            <w:r w:rsidRPr="004C78D8">
              <w:rPr>
                <w:sz w:val="18"/>
                <w:szCs w:val="18"/>
                <w:lang w:val="en-US"/>
              </w:rPr>
              <w:t>TA</w:t>
            </w:r>
          </w:p>
        </w:tc>
        <w:tc>
          <w:tcPr>
            <w:tcW w:w="617" w:type="pct"/>
            <w:tcBorders>
              <w:top w:val="nil"/>
              <w:bottom w:val="nil"/>
            </w:tcBorders>
            <w:vAlign w:val="center"/>
          </w:tcPr>
          <w:p w14:paraId="19B467A7"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38F933AE"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4B407506"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02D646B8" w14:textId="77777777" w:rsidR="008C6076" w:rsidRPr="004C78D8" w:rsidRDefault="008C6076" w:rsidP="00FB7C1F">
            <w:pPr>
              <w:jc w:val="center"/>
              <w:rPr>
                <w:i/>
                <w:iCs/>
                <w:sz w:val="18"/>
                <w:szCs w:val="18"/>
                <w:lang w:val="en-US"/>
              </w:rPr>
            </w:pPr>
          </w:p>
        </w:tc>
        <w:tc>
          <w:tcPr>
            <w:tcW w:w="546" w:type="pct"/>
            <w:tcBorders>
              <w:top w:val="nil"/>
              <w:bottom w:val="nil"/>
            </w:tcBorders>
            <w:vAlign w:val="center"/>
          </w:tcPr>
          <w:p w14:paraId="7163A4A8" w14:textId="77777777" w:rsidR="008C6076" w:rsidRPr="004C78D8" w:rsidRDefault="008C6076" w:rsidP="00FB7C1F">
            <w:pPr>
              <w:jc w:val="center"/>
              <w:rPr>
                <w:sz w:val="18"/>
                <w:szCs w:val="18"/>
                <w:lang w:val="en-US"/>
              </w:rPr>
            </w:pPr>
          </w:p>
        </w:tc>
      </w:tr>
      <w:tr w:rsidR="008C6076" w:rsidRPr="004C78D8" w14:paraId="67DE001E" w14:textId="77777777" w:rsidTr="002828C1">
        <w:tc>
          <w:tcPr>
            <w:tcW w:w="1177" w:type="pct"/>
          </w:tcPr>
          <w:p w14:paraId="14EF4F1D" w14:textId="77777777" w:rsidR="008C6076" w:rsidRPr="004C78D8" w:rsidRDefault="008C6076" w:rsidP="00FB7C1F">
            <w:pPr>
              <w:jc w:val="left"/>
              <w:rPr>
                <w:sz w:val="18"/>
                <w:szCs w:val="18"/>
                <w:lang w:val="en-US"/>
              </w:rPr>
            </w:pPr>
            <w:r w:rsidRPr="004C78D8">
              <w:rPr>
                <w:sz w:val="18"/>
                <w:szCs w:val="18"/>
                <w:lang w:val="en-US"/>
              </w:rPr>
              <w:t>Hirst (2016)</w:t>
            </w:r>
          </w:p>
        </w:tc>
        <w:tc>
          <w:tcPr>
            <w:tcW w:w="546" w:type="pct"/>
            <w:tcBorders>
              <w:top w:val="nil"/>
              <w:bottom w:val="nil"/>
            </w:tcBorders>
            <w:vAlign w:val="center"/>
          </w:tcPr>
          <w:p w14:paraId="3BBACF1F" w14:textId="77777777" w:rsidR="008C6076" w:rsidRPr="004C78D8" w:rsidRDefault="008C6076" w:rsidP="00FB7C1F">
            <w:pPr>
              <w:jc w:val="center"/>
              <w:rPr>
                <w:sz w:val="18"/>
                <w:szCs w:val="18"/>
                <w:lang w:val="en-US"/>
              </w:rPr>
            </w:pPr>
            <w:r w:rsidRPr="004C78D8">
              <w:rPr>
                <w:sz w:val="18"/>
                <w:szCs w:val="18"/>
                <w:lang w:val="en-US"/>
              </w:rPr>
              <w:t>TA</w:t>
            </w:r>
          </w:p>
        </w:tc>
        <w:tc>
          <w:tcPr>
            <w:tcW w:w="476" w:type="pct"/>
            <w:tcBorders>
              <w:top w:val="nil"/>
              <w:bottom w:val="nil"/>
            </w:tcBorders>
            <w:vAlign w:val="center"/>
          </w:tcPr>
          <w:p w14:paraId="08A8ABF6" w14:textId="77777777" w:rsidR="008C6076" w:rsidRPr="004C78D8" w:rsidRDefault="008C6076" w:rsidP="00FB7C1F">
            <w:pPr>
              <w:jc w:val="center"/>
              <w:rPr>
                <w:sz w:val="18"/>
                <w:szCs w:val="18"/>
                <w:lang w:val="en-US"/>
              </w:rPr>
            </w:pPr>
          </w:p>
        </w:tc>
        <w:tc>
          <w:tcPr>
            <w:tcW w:w="617" w:type="pct"/>
            <w:tcBorders>
              <w:top w:val="nil"/>
              <w:bottom w:val="nil"/>
            </w:tcBorders>
            <w:vAlign w:val="center"/>
          </w:tcPr>
          <w:p w14:paraId="49D9ABB9"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3E9DAA41"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4199557B"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32712FAB"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3B3E80BF" w14:textId="77777777" w:rsidR="008C6076" w:rsidRPr="004C78D8" w:rsidRDefault="008C6076" w:rsidP="00FB7C1F">
            <w:pPr>
              <w:jc w:val="center"/>
              <w:rPr>
                <w:sz w:val="18"/>
                <w:szCs w:val="18"/>
                <w:lang w:val="en-US"/>
              </w:rPr>
            </w:pPr>
          </w:p>
        </w:tc>
      </w:tr>
      <w:tr w:rsidR="008C6076" w:rsidRPr="004C78D8" w14:paraId="1F76F1BC" w14:textId="77777777" w:rsidTr="002828C1">
        <w:tc>
          <w:tcPr>
            <w:tcW w:w="1177" w:type="pct"/>
          </w:tcPr>
          <w:p w14:paraId="4AB76BD8" w14:textId="77777777" w:rsidR="008C6076" w:rsidRPr="004C78D8" w:rsidRDefault="008C6076" w:rsidP="00FB7C1F">
            <w:pPr>
              <w:jc w:val="left"/>
              <w:rPr>
                <w:sz w:val="18"/>
                <w:szCs w:val="18"/>
                <w:lang w:val="en-US"/>
              </w:rPr>
            </w:pPr>
            <w:r w:rsidRPr="004C78D8">
              <w:rPr>
                <w:sz w:val="18"/>
                <w:szCs w:val="18"/>
                <w:lang w:val="en-US"/>
              </w:rPr>
              <w:t>Honkanen (2006)</w:t>
            </w:r>
          </w:p>
        </w:tc>
        <w:tc>
          <w:tcPr>
            <w:tcW w:w="546" w:type="pct"/>
            <w:tcBorders>
              <w:top w:val="nil"/>
              <w:bottom w:val="nil"/>
            </w:tcBorders>
            <w:vAlign w:val="center"/>
          </w:tcPr>
          <w:p w14:paraId="79B11B5A" w14:textId="77777777" w:rsidR="008C6076" w:rsidRPr="004C78D8" w:rsidRDefault="008C6076" w:rsidP="00FB7C1F">
            <w:pPr>
              <w:jc w:val="center"/>
              <w:rPr>
                <w:sz w:val="18"/>
                <w:szCs w:val="18"/>
                <w:lang w:val="en-US"/>
              </w:rPr>
            </w:pPr>
            <w:r w:rsidRPr="004C78D8">
              <w:rPr>
                <w:sz w:val="18"/>
                <w:szCs w:val="18"/>
                <w:lang w:val="en-US"/>
              </w:rPr>
              <w:t>TA</w:t>
            </w:r>
          </w:p>
        </w:tc>
        <w:tc>
          <w:tcPr>
            <w:tcW w:w="476" w:type="pct"/>
            <w:tcBorders>
              <w:top w:val="nil"/>
              <w:bottom w:val="nil"/>
            </w:tcBorders>
            <w:vAlign w:val="center"/>
          </w:tcPr>
          <w:p w14:paraId="1A733C64" w14:textId="77777777" w:rsidR="008C6076" w:rsidRPr="004C78D8" w:rsidRDefault="008C6076" w:rsidP="00FB7C1F">
            <w:pPr>
              <w:jc w:val="center"/>
              <w:rPr>
                <w:sz w:val="18"/>
                <w:szCs w:val="18"/>
                <w:lang w:val="en-US"/>
              </w:rPr>
            </w:pPr>
            <w:r w:rsidRPr="004C78D8">
              <w:rPr>
                <w:sz w:val="18"/>
                <w:szCs w:val="18"/>
                <w:lang w:val="en-US"/>
              </w:rPr>
              <w:t>TA</w:t>
            </w:r>
          </w:p>
        </w:tc>
        <w:tc>
          <w:tcPr>
            <w:tcW w:w="617" w:type="pct"/>
            <w:tcBorders>
              <w:top w:val="nil"/>
              <w:bottom w:val="nil"/>
            </w:tcBorders>
            <w:vAlign w:val="center"/>
          </w:tcPr>
          <w:p w14:paraId="51E082FF"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2D0E5318"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19968D1F"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3FB0AA17"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777A074C" w14:textId="77777777" w:rsidR="008C6076" w:rsidRPr="004C78D8" w:rsidRDefault="008C6076" w:rsidP="00FB7C1F">
            <w:pPr>
              <w:jc w:val="center"/>
              <w:rPr>
                <w:sz w:val="18"/>
                <w:szCs w:val="18"/>
                <w:lang w:val="en-US"/>
              </w:rPr>
            </w:pPr>
            <w:r w:rsidRPr="004C78D8">
              <w:rPr>
                <w:sz w:val="18"/>
                <w:szCs w:val="18"/>
                <w:lang w:val="en-US"/>
              </w:rPr>
              <w:t>SA</w:t>
            </w:r>
          </w:p>
        </w:tc>
      </w:tr>
      <w:tr w:rsidR="008C6076" w:rsidRPr="004C78D8" w14:paraId="026EB295" w14:textId="77777777" w:rsidTr="002828C1">
        <w:tc>
          <w:tcPr>
            <w:tcW w:w="1177" w:type="pct"/>
          </w:tcPr>
          <w:p w14:paraId="31248E57" w14:textId="77777777" w:rsidR="008C6076" w:rsidRPr="004C78D8" w:rsidRDefault="008C6076" w:rsidP="00FB7C1F">
            <w:pPr>
              <w:jc w:val="left"/>
              <w:rPr>
                <w:sz w:val="18"/>
                <w:szCs w:val="18"/>
                <w:lang w:val="en-US"/>
              </w:rPr>
            </w:pPr>
            <w:r w:rsidRPr="004C78D8">
              <w:rPr>
                <w:sz w:val="18"/>
                <w:szCs w:val="18"/>
                <w:lang w:val="en-US"/>
              </w:rPr>
              <w:t>Ippoliti (2018)</w:t>
            </w:r>
          </w:p>
        </w:tc>
        <w:tc>
          <w:tcPr>
            <w:tcW w:w="546" w:type="pct"/>
            <w:tcBorders>
              <w:top w:val="nil"/>
              <w:bottom w:val="nil"/>
            </w:tcBorders>
            <w:vAlign w:val="center"/>
          </w:tcPr>
          <w:p w14:paraId="62757FA9" w14:textId="77777777" w:rsidR="008C6076" w:rsidRPr="004C78D8" w:rsidRDefault="008C6076" w:rsidP="00FB7C1F">
            <w:pPr>
              <w:jc w:val="center"/>
              <w:rPr>
                <w:sz w:val="18"/>
                <w:szCs w:val="18"/>
                <w:lang w:val="en-US"/>
              </w:rPr>
            </w:pPr>
          </w:p>
        </w:tc>
        <w:tc>
          <w:tcPr>
            <w:tcW w:w="476" w:type="pct"/>
            <w:tcBorders>
              <w:top w:val="nil"/>
              <w:bottom w:val="nil"/>
            </w:tcBorders>
            <w:vAlign w:val="center"/>
          </w:tcPr>
          <w:p w14:paraId="50AF715A" w14:textId="77777777" w:rsidR="008C6076" w:rsidRPr="004C78D8" w:rsidRDefault="008C6076" w:rsidP="00FB7C1F">
            <w:pPr>
              <w:jc w:val="center"/>
              <w:rPr>
                <w:sz w:val="18"/>
                <w:szCs w:val="18"/>
                <w:lang w:val="en-US"/>
              </w:rPr>
            </w:pPr>
          </w:p>
        </w:tc>
        <w:tc>
          <w:tcPr>
            <w:tcW w:w="617" w:type="pct"/>
            <w:tcBorders>
              <w:top w:val="nil"/>
              <w:bottom w:val="nil"/>
            </w:tcBorders>
            <w:vAlign w:val="center"/>
          </w:tcPr>
          <w:p w14:paraId="759C664E" w14:textId="77777777" w:rsidR="008C6076" w:rsidRPr="004C78D8" w:rsidRDefault="008C6076" w:rsidP="00FB7C1F">
            <w:pPr>
              <w:jc w:val="center"/>
              <w:rPr>
                <w:sz w:val="18"/>
                <w:szCs w:val="18"/>
                <w:lang w:val="en-US"/>
              </w:rPr>
            </w:pPr>
            <w:r w:rsidRPr="004C78D8">
              <w:rPr>
                <w:sz w:val="18"/>
                <w:szCs w:val="18"/>
                <w:lang w:val="en-US"/>
              </w:rPr>
              <w:t>SA: region</w:t>
            </w:r>
          </w:p>
        </w:tc>
        <w:tc>
          <w:tcPr>
            <w:tcW w:w="546" w:type="pct"/>
            <w:tcBorders>
              <w:top w:val="nil"/>
              <w:bottom w:val="nil"/>
            </w:tcBorders>
            <w:vAlign w:val="center"/>
          </w:tcPr>
          <w:p w14:paraId="0C0DABA9"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037F2679"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3FF3ACA6"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02333B18" w14:textId="77777777" w:rsidR="008C6076" w:rsidRPr="004C78D8" w:rsidRDefault="008C6076" w:rsidP="00FB7C1F">
            <w:pPr>
              <w:jc w:val="center"/>
              <w:rPr>
                <w:sz w:val="18"/>
                <w:szCs w:val="18"/>
                <w:lang w:val="en-US"/>
              </w:rPr>
            </w:pPr>
          </w:p>
        </w:tc>
      </w:tr>
      <w:tr w:rsidR="008C6076" w:rsidRPr="004C78D8" w14:paraId="5F5AD220" w14:textId="77777777" w:rsidTr="002828C1">
        <w:tc>
          <w:tcPr>
            <w:tcW w:w="1177" w:type="pct"/>
          </w:tcPr>
          <w:p w14:paraId="6BC5ADB5" w14:textId="77777777" w:rsidR="008C6076" w:rsidRPr="004C78D8" w:rsidRDefault="008C6076" w:rsidP="00FB7C1F">
            <w:pPr>
              <w:jc w:val="left"/>
              <w:rPr>
                <w:sz w:val="18"/>
                <w:szCs w:val="18"/>
                <w:lang w:val="en-US"/>
              </w:rPr>
            </w:pPr>
            <w:r w:rsidRPr="004C78D8">
              <w:rPr>
                <w:sz w:val="18"/>
                <w:szCs w:val="18"/>
                <w:lang w:val="en-US"/>
              </w:rPr>
              <w:t>Johansson (2008)</w:t>
            </w:r>
          </w:p>
        </w:tc>
        <w:tc>
          <w:tcPr>
            <w:tcW w:w="546" w:type="pct"/>
            <w:tcBorders>
              <w:top w:val="nil"/>
              <w:bottom w:val="nil"/>
            </w:tcBorders>
            <w:vAlign w:val="center"/>
          </w:tcPr>
          <w:p w14:paraId="19A5F6B5" w14:textId="77777777" w:rsidR="008C6076" w:rsidRPr="004C78D8" w:rsidRDefault="008C6076" w:rsidP="00FB7C1F">
            <w:pPr>
              <w:jc w:val="center"/>
              <w:rPr>
                <w:sz w:val="18"/>
                <w:szCs w:val="18"/>
                <w:lang w:val="en-US"/>
              </w:rPr>
            </w:pPr>
            <w:r w:rsidRPr="004C78D8">
              <w:rPr>
                <w:sz w:val="18"/>
                <w:szCs w:val="18"/>
                <w:lang w:val="en-US"/>
              </w:rPr>
              <w:t>SA</w:t>
            </w:r>
          </w:p>
        </w:tc>
        <w:tc>
          <w:tcPr>
            <w:tcW w:w="476" w:type="pct"/>
            <w:tcBorders>
              <w:top w:val="nil"/>
              <w:bottom w:val="nil"/>
            </w:tcBorders>
            <w:vAlign w:val="center"/>
          </w:tcPr>
          <w:p w14:paraId="0EF636A1" w14:textId="77777777" w:rsidR="008C6076" w:rsidRPr="004C78D8" w:rsidRDefault="008C6076" w:rsidP="00FB7C1F">
            <w:pPr>
              <w:jc w:val="center"/>
              <w:rPr>
                <w:sz w:val="18"/>
                <w:szCs w:val="18"/>
                <w:lang w:val="en-US"/>
              </w:rPr>
            </w:pPr>
            <w:r w:rsidRPr="004C78D8">
              <w:rPr>
                <w:sz w:val="18"/>
                <w:szCs w:val="18"/>
                <w:lang w:val="en-US"/>
              </w:rPr>
              <w:t>SA</w:t>
            </w:r>
          </w:p>
        </w:tc>
        <w:tc>
          <w:tcPr>
            <w:tcW w:w="617" w:type="pct"/>
            <w:tcBorders>
              <w:top w:val="nil"/>
              <w:bottom w:val="nil"/>
            </w:tcBorders>
            <w:vAlign w:val="center"/>
          </w:tcPr>
          <w:p w14:paraId="169A6CCC"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3D4C8B54"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3C89D85A"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0F3DCF70"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514BADE4" w14:textId="77777777" w:rsidR="008C6076" w:rsidRPr="004C78D8" w:rsidRDefault="008C6076" w:rsidP="00FB7C1F">
            <w:pPr>
              <w:jc w:val="center"/>
              <w:rPr>
                <w:sz w:val="18"/>
                <w:szCs w:val="18"/>
                <w:lang w:val="en-US"/>
              </w:rPr>
            </w:pPr>
          </w:p>
        </w:tc>
      </w:tr>
      <w:tr w:rsidR="008C6076" w:rsidRPr="004C78D8" w14:paraId="7F1AEF53" w14:textId="77777777" w:rsidTr="002828C1">
        <w:tc>
          <w:tcPr>
            <w:tcW w:w="1177" w:type="pct"/>
          </w:tcPr>
          <w:p w14:paraId="3A3C0EB6" w14:textId="77777777" w:rsidR="008C6076" w:rsidRPr="004C78D8" w:rsidRDefault="008C6076" w:rsidP="00FB7C1F">
            <w:pPr>
              <w:jc w:val="left"/>
              <w:rPr>
                <w:sz w:val="18"/>
                <w:szCs w:val="18"/>
                <w:lang w:val="en-US"/>
              </w:rPr>
            </w:pPr>
            <w:r w:rsidRPr="004C78D8">
              <w:rPr>
                <w:sz w:val="18"/>
                <w:szCs w:val="18"/>
                <w:lang w:val="en-US"/>
              </w:rPr>
              <w:t>Lee (2013)</w:t>
            </w:r>
          </w:p>
        </w:tc>
        <w:tc>
          <w:tcPr>
            <w:tcW w:w="546" w:type="pct"/>
            <w:tcBorders>
              <w:top w:val="nil"/>
              <w:bottom w:val="nil"/>
            </w:tcBorders>
            <w:vAlign w:val="center"/>
          </w:tcPr>
          <w:p w14:paraId="2D0D23FA" w14:textId="77777777" w:rsidR="008C6076" w:rsidRPr="004C78D8" w:rsidRDefault="008C6076" w:rsidP="00FB7C1F">
            <w:pPr>
              <w:jc w:val="center"/>
              <w:rPr>
                <w:sz w:val="18"/>
                <w:szCs w:val="18"/>
                <w:lang w:val="en-US"/>
              </w:rPr>
            </w:pPr>
            <w:r w:rsidRPr="004C78D8">
              <w:rPr>
                <w:sz w:val="18"/>
                <w:szCs w:val="18"/>
                <w:lang w:val="en-US"/>
              </w:rPr>
              <w:t>SA</w:t>
            </w:r>
          </w:p>
        </w:tc>
        <w:tc>
          <w:tcPr>
            <w:tcW w:w="476" w:type="pct"/>
            <w:tcBorders>
              <w:top w:val="nil"/>
              <w:bottom w:val="nil"/>
            </w:tcBorders>
            <w:vAlign w:val="center"/>
          </w:tcPr>
          <w:p w14:paraId="6C29E8B6" w14:textId="77777777" w:rsidR="008C6076" w:rsidRPr="004C78D8" w:rsidRDefault="008C6076" w:rsidP="00FB7C1F">
            <w:pPr>
              <w:jc w:val="center"/>
              <w:rPr>
                <w:sz w:val="18"/>
                <w:szCs w:val="18"/>
                <w:lang w:val="en-US"/>
              </w:rPr>
            </w:pPr>
            <w:r w:rsidRPr="004C78D8">
              <w:rPr>
                <w:sz w:val="18"/>
                <w:szCs w:val="18"/>
                <w:lang w:val="en-US"/>
              </w:rPr>
              <w:t>SA</w:t>
            </w:r>
          </w:p>
        </w:tc>
        <w:tc>
          <w:tcPr>
            <w:tcW w:w="617" w:type="pct"/>
            <w:tcBorders>
              <w:top w:val="nil"/>
              <w:bottom w:val="nil"/>
            </w:tcBorders>
            <w:vAlign w:val="center"/>
          </w:tcPr>
          <w:p w14:paraId="1ED1857B"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66FA80CB"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332BE608"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3624852B"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3215884E" w14:textId="77777777" w:rsidR="008C6076" w:rsidRPr="004C78D8" w:rsidRDefault="008C6076" w:rsidP="00FB7C1F">
            <w:pPr>
              <w:jc w:val="center"/>
              <w:rPr>
                <w:sz w:val="18"/>
                <w:szCs w:val="18"/>
                <w:lang w:val="en-US"/>
              </w:rPr>
            </w:pPr>
            <w:r w:rsidRPr="004C78D8">
              <w:rPr>
                <w:sz w:val="18"/>
                <w:szCs w:val="18"/>
                <w:lang w:val="en-US"/>
              </w:rPr>
              <w:t>TA</w:t>
            </w:r>
          </w:p>
        </w:tc>
      </w:tr>
      <w:tr w:rsidR="008C6076" w:rsidRPr="004C78D8" w14:paraId="7A1FF294" w14:textId="77777777" w:rsidTr="002828C1">
        <w:tc>
          <w:tcPr>
            <w:tcW w:w="1177" w:type="pct"/>
          </w:tcPr>
          <w:p w14:paraId="475C3EEF" w14:textId="77777777" w:rsidR="008C6076" w:rsidRPr="004C78D8" w:rsidRDefault="008C6076" w:rsidP="00FB7C1F">
            <w:pPr>
              <w:jc w:val="left"/>
              <w:rPr>
                <w:sz w:val="18"/>
                <w:szCs w:val="18"/>
                <w:lang w:val="en-US"/>
              </w:rPr>
            </w:pPr>
            <w:r w:rsidRPr="004C78D8">
              <w:rPr>
                <w:sz w:val="18"/>
                <w:szCs w:val="18"/>
                <w:lang w:val="en-US"/>
              </w:rPr>
              <w:t>McLean (2015)</w:t>
            </w:r>
          </w:p>
        </w:tc>
        <w:tc>
          <w:tcPr>
            <w:tcW w:w="546" w:type="pct"/>
            <w:tcBorders>
              <w:top w:val="nil"/>
              <w:bottom w:val="nil"/>
            </w:tcBorders>
            <w:vAlign w:val="center"/>
          </w:tcPr>
          <w:p w14:paraId="38E7335D" w14:textId="77777777" w:rsidR="008C6076" w:rsidRPr="004C78D8" w:rsidRDefault="008C6076" w:rsidP="00FB7C1F">
            <w:pPr>
              <w:jc w:val="center"/>
              <w:rPr>
                <w:sz w:val="18"/>
                <w:szCs w:val="18"/>
                <w:lang w:val="en-US"/>
              </w:rPr>
            </w:pPr>
          </w:p>
        </w:tc>
        <w:tc>
          <w:tcPr>
            <w:tcW w:w="476" w:type="pct"/>
            <w:tcBorders>
              <w:top w:val="nil"/>
              <w:bottom w:val="nil"/>
            </w:tcBorders>
            <w:vAlign w:val="center"/>
          </w:tcPr>
          <w:p w14:paraId="18AA36C7" w14:textId="77777777" w:rsidR="008C6076" w:rsidRPr="004C78D8" w:rsidRDefault="008C6076" w:rsidP="00FB7C1F">
            <w:pPr>
              <w:jc w:val="center"/>
              <w:rPr>
                <w:sz w:val="18"/>
                <w:szCs w:val="18"/>
                <w:lang w:val="en-US"/>
              </w:rPr>
            </w:pPr>
            <w:r w:rsidRPr="004C78D8">
              <w:rPr>
                <w:sz w:val="18"/>
                <w:szCs w:val="18"/>
                <w:lang w:val="en-US"/>
              </w:rPr>
              <w:t>SA</w:t>
            </w:r>
          </w:p>
        </w:tc>
        <w:tc>
          <w:tcPr>
            <w:tcW w:w="617" w:type="pct"/>
            <w:tcBorders>
              <w:top w:val="nil"/>
              <w:bottom w:val="nil"/>
            </w:tcBorders>
            <w:vAlign w:val="center"/>
          </w:tcPr>
          <w:p w14:paraId="5504286A"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1B8F4639"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6285B8C5"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3F0E4305"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212DEE69" w14:textId="77777777" w:rsidR="008C6076" w:rsidRPr="004C78D8" w:rsidRDefault="008C6076" w:rsidP="00FB7C1F">
            <w:pPr>
              <w:jc w:val="center"/>
              <w:rPr>
                <w:sz w:val="18"/>
                <w:szCs w:val="18"/>
                <w:lang w:val="en-US"/>
              </w:rPr>
            </w:pPr>
          </w:p>
        </w:tc>
      </w:tr>
      <w:tr w:rsidR="008C6076" w:rsidRPr="004C78D8" w14:paraId="42B5B68F" w14:textId="77777777" w:rsidTr="002828C1">
        <w:tc>
          <w:tcPr>
            <w:tcW w:w="1177" w:type="pct"/>
          </w:tcPr>
          <w:p w14:paraId="36AA2010" w14:textId="77777777" w:rsidR="008C6076" w:rsidRPr="004C78D8" w:rsidRDefault="008C6076" w:rsidP="00FB7C1F">
            <w:pPr>
              <w:jc w:val="left"/>
              <w:rPr>
                <w:sz w:val="18"/>
                <w:szCs w:val="18"/>
                <w:lang w:val="en-US"/>
              </w:rPr>
            </w:pPr>
            <w:r w:rsidRPr="004C78D8">
              <w:rPr>
                <w:sz w:val="18"/>
                <w:szCs w:val="18"/>
                <w:lang w:val="en-US"/>
              </w:rPr>
              <w:t>Mori (2017)</w:t>
            </w:r>
          </w:p>
        </w:tc>
        <w:tc>
          <w:tcPr>
            <w:tcW w:w="546" w:type="pct"/>
            <w:tcBorders>
              <w:top w:val="nil"/>
              <w:bottom w:val="nil"/>
            </w:tcBorders>
            <w:vAlign w:val="center"/>
          </w:tcPr>
          <w:p w14:paraId="379CC8E0" w14:textId="77777777" w:rsidR="008C6076" w:rsidRPr="004C78D8" w:rsidRDefault="008C6076" w:rsidP="00FB7C1F">
            <w:pPr>
              <w:jc w:val="center"/>
              <w:rPr>
                <w:sz w:val="18"/>
                <w:szCs w:val="18"/>
                <w:lang w:val="en-US"/>
              </w:rPr>
            </w:pPr>
            <w:r w:rsidRPr="004C78D8">
              <w:rPr>
                <w:sz w:val="18"/>
                <w:szCs w:val="18"/>
                <w:lang w:val="en-US"/>
              </w:rPr>
              <w:t>TA</w:t>
            </w:r>
          </w:p>
        </w:tc>
        <w:tc>
          <w:tcPr>
            <w:tcW w:w="476" w:type="pct"/>
            <w:tcBorders>
              <w:top w:val="nil"/>
              <w:bottom w:val="nil"/>
            </w:tcBorders>
            <w:vAlign w:val="center"/>
          </w:tcPr>
          <w:p w14:paraId="14D302A8" w14:textId="77777777" w:rsidR="008C6076" w:rsidRPr="004C78D8" w:rsidRDefault="008C6076" w:rsidP="00FB7C1F">
            <w:pPr>
              <w:jc w:val="center"/>
              <w:rPr>
                <w:sz w:val="18"/>
                <w:szCs w:val="18"/>
                <w:lang w:val="en-US"/>
              </w:rPr>
            </w:pPr>
          </w:p>
        </w:tc>
        <w:tc>
          <w:tcPr>
            <w:tcW w:w="617" w:type="pct"/>
            <w:tcBorders>
              <w:top w:val="nil"/>
              <w:bottom w:val="nil"/>
            </w:tcBorders>
            <w:vAlign w:val="center"/>
          </w:tcPr>
          <w:p w14:paraId="7E19B33B"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3AFDD439"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36C356DD"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7EE8330C" w14:textId="77777777" w:rsidR="008C6076" w:rsidRPr="004C78D8" w:rsidRDefault="008C6076" w:rsidP="00FB7C1F">
            <w:pPr>
              <w:jc w:val="center"/>
              <w:rPr>
                <w:sz w:val="18"/>
                <w:szCs w:val="18"/>
                <w:lang w:val="en-US"/>
              </w:rPr>
            </w:pPr>
            <w:r w:rsidRPr="004C78D8">
              <w:rPr>
                <w:sz w:val="18"/>
                <w:szCs w:val="18"/>
                <w:lang w:val="en-US"/>
              </w:rPr>
              <w:t>TA</w:t>
            </w:r>
          </w:p>
        </w:tc>
        <w:tc>
          <w:tcPr>
            <w:tcW w:w="546" w:type="pct"/>
            <w:tcBorders>
              <w:top w:val="nil"/>
              <w:bottom w:val="nil"/>
            </w:tcBorders>
            <w:vAlign w:val="center"/>
          </w:tcPr>
          <w:p w14:paraId="2CFB609A" w14:textId="77777777" w:rsidR="008C6076" w:rsidRPr="004C78D8" w:rsidRDefault="008C6076" w:rsidP="00FB7C1F">
            <w:pPr>
              <w:jc w:val="center"/>
              <w:rPr>
                <w:sz w:val="18"/>
                <w:szCs w:val="18"/>
                <w:lang w:val="en-US"/>
              </w:rPr>
            </w:pPr>
          </w:p>
        </w:tc>
      </w:tr>
      <w:tr w:rsidR="008C6076" w:rsidRPr="004C78D8" w14:paraId="36524C2F" w14:textId="77777777" w:rsidTr="002828C1">
        <w:tc>
          <w:tcPr>
            <w:tcW w:w="1177" w:type="pct"/>
          </w:tcPr>
          <w:p w14:paraId="502951C8" w14:textId="77777777" w:rsidR="008C6076" w:rsidRPr="004C78D8" w:rsidRDefault="008C6076" w:rsidP="00FB7C1F">
            <w:pPr>
              <w:jc w:val="left"/>
              <w:rPr>
                <w:sz w:val="18"/>
                <w:szCs w:val="18"/>
                <w:lang w:val="en-US"/>
              </w:rPr>
            </w:pPr>
            <w:r w:rsidRPr="004C78D8">
              <w:rPr>
                <w:sz w:val="18"/>
                <w:szCs w:val="18"/>
                <w:lang w:val="en-US"/>
              </w:rPr>
              <w:t>Moriarty (2019)</w:t>
            </w:r>
          </w:p>
        </w:tc>
        <w:tc>
          <w:tcPr>
            <w:tcW w:w="546" w:type="pct"/>
            <w:tcBorders>
              <w:top w:val="nil"/>
              <w:bottom w:val="nil"/>
            </w:tcBorders>
            <w:vAlign w:val="center"/>
          </w:tcPr>
          <w:p w14:paraId="5C334A95" w14:textId="77777777" w:rsidR="008C6076" w:rsidRPr="004C78D8" w:rsidRDefault="008C6076" w:rsidP="00FB7C1F">
            <w:pPr>
              <w:jc w:val="center"/>
              <w:rPr>
                <w:sz w:val="18"/>
                <w:szCs w:val="18"/>
                <w:lang w:val="en-US"/>
              </w:rPr>
            </w:pPr>
          </w:p>
        </w:tc>
        <w:tc>
          <w:tcPr>
            <w:tcW w:w="476" w:type="pct"/>
            <w:tcBorders>
              <w:top w:val="nil"/>
              <w:bottom w:val="nil"/>
            </w:tcBorders>
            <w:vAlign w:val="center"/>
          </w:tcPr>
          <w:p w14:paraId="36C129AB" w14:textId="77777777" w:rsidR="008C6076" w:rsidRPr="004C78D8" w:rsidRDefault="008C6076" w:rsidP="00FB7C1F">
            <w:pPr>
              <w:jc w:val="center"/>
              <w:rPr>
                <w:sz w:val="18"/>
                <w:szCs w:val="18"/>
                <w:lang w:val="en-US"/>
              </w:rPr>
            </w:pPr>
          </w:p>
        </w:tc>
        <w:tc>
          <w:tcPr>
            <w:tcW w:w="617" w:type="pct"/>
            <w:tcBorders>
              <w:top w:val="nil"/>
              <w:bottom w:val="nil"/>
            </w:tcBorders>
            <w:vAlign w:val="center"/>
          </w:tcPr>
          <w:p w14:paraId="2B686269"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5E940F17"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7113C0FD"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1DDFAFBC" w14:textId="77777777" w:rsidR="008C6076" w:rsidRPr="004C78D8" w:rsidRDefault="008C6076" w:rsidP="00FB7C1F">
            <w:pPr>
              <w:jc w:val="center"/>
              <w:rPr>
                <w:sz w:val="18"/>
                <w:szCs w:val="18"/>
                <w:lang w:val="en-US"/>
              </w:rPr>
            </w:pPr>
            <w:r w:rsidRPr="004C78D8">
              <w:rPr>
                <w:sz w:val="18"/>
                <w:szCs w:val="18"/>
                <w:lang w:val="en-US"/>
              </w:rPr>
              <w:t>Separate models</w:t>
            </w:r>
            <w:r w:rsidRPr="004C78D8">
              <w:rPr>
                <w:sz w:val="18"/>
                <w:szCs w:val="18"/>
                <w:vertAlign w:val="superscript"/>
                <w:lang w:val="en-US"/>
              </w:rPr>
              <w:t>3</w:t>
            </w:r>
          </w:p>
        </w:tc>
        <w:tc>
          <w:tcPr>
            <w:tcW w:w="546" w:type="pct"/>
            <w:tcBorders>
              <w:top w:val="nil"/>
              <w:bottom w:val="nil"/>
            </w:tcBorders>
            <w:vAlign w:val="center"/>
          </w:tcPr>
          <w:p w14:paraId="296582A9" w14:textId="77777777" w:rsidR="008C6076" w:rsidRPr="004C78D8" w:rsidRDefault="008C6076" w:rsidP="00FB7C1F">
            <w:pPr>
              <w:jc w:val="center"/>
              <w:rPr>
                <w:sz w:val="18"/>
                <w:szCs w:val="18"/>
                <w:lang w:val="en-US"/>
              </w:rPr>
            </w:pPr>
          </w:p>
        </w:tc>
      </w:tr>
      <w:tr w:rsidR="008C6076" w:rsidRPr="004C78D8" w14:paraId="5EF79CEE" w14:textId="77777777" w:rsidTr="002828C1">
        <w:tc>
          <w:tcPr>
            <w:tcW w:w="1177" w:type="pct"/>
          </w:tcPr>
          <w:p w14:paraId="0E418929" w14:textId="77777777" w:rsidR="008C6076" w:rsidRPr="004C78D8" w:rsidRDefault="008C6076" w:rsidP="00FB7C1F">
            <w:pPr>
              <w:jc w:val="left"/>
              <w:rPr>
                <w:sz w:val="18"/>
                <w:szCs w:val="18"/>
                <w:lang w:val="en-US"/>
              </w:rPr>
            </w:pPr>
            <w:r w:rsidRPr="004C78D8">
              <w:rPr>
                <w:sz w:val="18"/>
                <w:szCs w:val="18"/>
                <w:lang w:val="en-US"/>
              </w:rPr>
              <w:t>Nshimyumukiza (2013)</w:t>
            </w:r>
          </w:p>
        </w:tc>
        <w:tc>
          <w:tcPr>
            <w:tcW w:w="546" w:type="pct"/>
            <w:tcBorders>
              <w:top w:val="nil"/>
              <w:bottom w:val="nil"/>
            </w:tcBorders>
            <w:vAlign w:val="center"/>
          </w:tcPr>
          <w:p w14:paraId="03379475" w14:textId="77777777" w:rsidR="008C6076" w:rsidRPr="004C78D8" w:rsidRDefault="008C6076" w:rsidP="00FB7C1F">
            <w:pPr>
              <w:jc w:val="center"/>
              <w:rPr>
                <w:sz w:val="18"/>
                <w:szCs w:val="18"/>
                <w:lang w:val="en-US"/>
              </w:rPr>
            </w:pPr>
            <w:r w:rsidRPr="004C78D8">
              <w:rPr>
                <w:sz w:val="18"/>
                <w:szCs w:val="18"/>
                <w:lang w:val="en-US"/>
              </w:rPr>
              <w:t>TA</w:t>
            </w:r>
          </w:p>
        </w:tc>
        <w:tc>
          <w:tcPr>
            <w:tcW w:w="476" w:type="pct"/>
            <w:tcBorders>
              <w:top w:val="nil"/>
              <w:bottom w:val="nil"/>
            </w:tcBorders>
            <w:vAlign w:val="center"/>
          </w:tcPr>
          <w:p w14:paraId="06470694" w14:textId="77777777" w:rsidR="008C6076" w:rsidRPr="004C78D8" w:rsidRDefault="008C6076" w:rsidP="00FB7C1F">
            <w:pPr>
              <w:jc w:val="center"/>
              <w:rPr>
                <w:sz w:val="18"/>
                <w:szCs w:val="18"/>
                <w:lang w:val="en-US"/>
              </w:rPr>
            </w:pPr>
          </w:p>
        </w:tc>
        <w:tc>
          <w:tcPr>
            <w:tcW w:w="617" w:type="pct"/>
            <w:tcBorders>
              <w:top w:val="nil"/>
              <w:bottom w:val="nil"/>
            </w:tcBorders>
            <w:vAlign w:val="center"/>
          </w:tcPr>
          <w:p w14:paraId="6DD4067A"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7A095551"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531B01C8"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4E202B26" w14:textId="77777777" w:rsidR="008C6076" w:rsidRPr="004C78D8" w:rsidRDefault="008C6076" w:rsidP="00FB7C1F">
            <w:pPr>
              <w:jc w:val="center"/>
              <w:rPr>
                <w:sz w:val="18"/>
                <w:szCs w:val="18"/>
                <w:lang w:val="en-US"/>
              </w:rPr>
            </w:pPr>
            <w:r w:rsidRPr="004C78D8">
              <w:rPr>
                <w:sz w:val="18"/>
                <w:szCs w:val="18"/>
                <w:lang w:val="en-US"/>
              </w:rPr>
              <w:t>IN</w:t>
            </w:r>
          </w:p>
        </w:tc>
        <w:tc>
          <w:tcPr>
            <w:tcW w:w="546" w:type="pct"/>
            <w:tcBorders>
              <w:top w:val="nil"/>
              <w:bottom w:val="nil"/>
            </w:tcBorders>
            <w:vAlign w:val="center"/>
          </w:tcPr>
          <w:p w14:paraId="4324344F" w14:textId="77777777" w:rsidR="008C6076" w:rsidRPr="004C78D8" w:rsidRDefault="008C6076" w:rsidP="00FB7C1F">
            <w:pPr>
              <w:jc w:val="center"/>
              <w:rPr>
                <w:sz w:val="18"/>
                <w:szCs w:val="18"/>
                <w:lang w:val="en-US"/>
              </w:rPr>
            </w:pPr>
          </w:p>
        </w:tc>
      </w:tr>
      <w:tr w:rsidR="008C6076" w:rsidRPr="004C78D8" w14:paraId="4AB868E0" w14:textId="77777777" w:rsidTr="002828C1">
        <w:tc>
          <w:tcPr>
            <w:tcW w:w="1177" w:type="pct"/>
          </w:tcPr>
          <w:p w14:paraId="5C4C3552" w14:textId="77777777" w:rsidR="008C6076" w:rsidRPr="004C78D8" w:rsidRDefault="008C6076" w:rsidP="00FB7C1F">
            <w:pPr>
              <w:jc w:val="left"/>
              <w:rPr>
                <w:sz w:val="18"/>
                <w:szCs w:val="18"/>
                <w:lang w:val="en-US"/>
              </w:rPr>
            </w:pPr>
            <w:r w:rsidRPr="004C78D8">
              <w:rPr>
                <w:sz w:val="18"/>
                <w:szCs w:val="18"/>
                <w:lang w:val="en-US"/>
              </w:rPr>
              <w:t>OMAS (2008)</w:t>
            </w:r>
          </w:p>
        </w:tc>
        <w:tc>
          <w:tcPr>
            <w:tcW w:w="546" w:type="pct"/>
            <w:tcBorders>
              <w:top w:val="nil"/>
              <w:bottom w:val="nil"/>
            </w:tcBorders>
            <w:vAlign w:val="center"/>
          </w:tcPr>
          <w:p w14:paraId="72A662FA" w14:textId="77777777" w:rsidR="008C6076" w:rsidRPr="004C78D8" w:rsidRDefault="008C6076" w:rsidP="00FB7C1F">
            <w:pPr>
              <w:jc w:val="center"/>
              <w:rPr>
                <w:sz w:val="18"/>
                <w:szCs w:val="18"/>
                <w:lang w:val="en-US"/>
              </w:rPr>
            </w:pPr>
          </w:p>
        </w:tc>
        <w:tc>
          <w:tcPr>
            <w:tcW w:w="476" w:type="pct"/>
            <w:tcBorders>
              <w:top w:val="nil"/>
              <w:bottom w:val="nil"/>
            </w:tcBorders>
            <w:vAlign w:val="center"/>
          </w:tcPr>
          <w:p w14:paraId="74300901" w14:textId="77777777" w:rsidR="008C6076" w:rsidRPr="004C78D8" w:rsidRDefault="008C6076" w:rsidP="00FB7C1F">
            <w:pPr>
              <w:jc w:val="center"/>
              <w:rPr>
                <w:sz w:val="18"/>
                <w:szCs w:val="18"/>
                <w:lang w:val="en-US"/>
              </w:rPr>
            </w:pPr>
            <w:r w:rsidRPr="004C78D8">
              <w:rPr>
                <w:sz w:val="18"/>
                <w:szCs w:val="18"/>
                <w:lang w:val="en-US"/>
              </w:rPr>
              <w:t>SA; IN</w:t>
            </w:r>
          </w:p>
        </w:tc>
        <w:tc>
          <w:tcPr>
            <w:tcW w:w="617" w:type="pct"/>
            <w:tcBorders>
              <w:top w:val="nil"/>
              <w:bottom w:val="nil"/>
            </w:tcBorders>
            <w:vAlign w:val="center"/>
          </w:tcPr>
          <w:p w14:paraId="71D652B0"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462F165C"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17799AF8" w14:textId="77777777" w:rsidR="008C6076" w:rsidRPr="004C78D8" w:rsidRDefault="008C6076" w:rsidP="00FB7C1F">
            <w:pPr>
              <w:jc w:val="center"/>
              <w:rPr>
                <w:sz w:val="18"/>
                <w:szCs w:val="18"/>
                <w:lang w:val="en-US"/>
              </w:rPr>
            </w:pPr>
            <w:r w:rsidRPr="004C78D8">
              <w:rPr>
                <w:sz w:val="18"/>
                <w:szCs w:val="18"/>
                <w:lang w:val="en-US"/>
              </w:rPr>
              <w:t>IN</w:t>
            </w:r>
          </w:p>
        </w:tc>
        <w:tc>
          <w:tcPr>
            <w:tcW w:w="546" w:type="pct"/>
            <w:tcBorders>
              <w:top w:val="nil"/>
              <w:bottom w:val="nil"/>
            </w:tcBorders>
            <w:vAlign w:val="center"/>
          </w:tcPr>
          <w:p w14:paraId="2F3AE3E0" w14:textId="77777777" w:rsidR="008C6076" w:rsidRPr="004C78D8" w:rsidRDefault="008C6076" w:rsidP="00FB7C1F">
            <w:pPr>
              <w:jc w:val="center"/>
              <w:rPr>
                <w:sz w:val="18"/>
                <w:szCs w:val="18"/>
                <w:lang w:val="en-US"/>
              </w:rPr>
            </w:pPr>
            <w:r w:rsidRPr="004C78D8">
              <w:rPr>
                <w:sz w:val="18"/>
                <w:szCs w:val="18"/>
                <w:lang w:val="en-US"/>
              </w:rPr>
              <w:t>IN</w:t>
            </w:r>
          </w:p>
        </w:tc>
        <w:tc>
          <w:tcPr>
            <w:tcW w:w="546" w:type="pct"/>
            <w:tcBorders>
              <w:top w:val="nil"/>
              <w:bottom w:val="nil"/>
            </w:tcBorders>
            <w:vAlign w:val="center"/>
          </w:tcPr>
          <w:p w14:paraId="0144E2AB" w14:textId="77777777" w:rsidR="008C6076" w:rsidRPr="004C78D8" w:rsidRDefault="008C6076" w:rsidP="00FB7C1F">
            <w:pPr>
              <w:jc w:val="center"/>
              <w:rPr>
                <w:sz w:val="18"/>
                <w:szCs w:val="18"/>
                <w:lang w:val="en-US"/>
              </w:rPr>
            </w:pPr>
            <w:r w:rsidRPr="004C78D8">
              <w:rPr>
                <w:sz w:val="18"/>
                <w:szCs w:val="18"/>
                <w:lang w:val="en-US"/>
              </w:rPr>
              <w:t>IN</w:t>
            </w:r>
          </w:p>
        </w:tc>
      </w:tr>
      <w:tr w:rsidR="008C6076" w:rsidRPr="004C78D8" w14:paraId="1C1F21B6" w14:textId="77777777" w:rsidTr="002828C1">
        <w:tc>
          <w:tcPr>
            <w:tcW w:w="1177" w:type="pct"/>
          </w:tcPr>
          <w:p w14:paraId="1F9C4068" w14:textId="77777777" w:rsidR="008C6076" w:rsidRPr="004C78D8" w:rsidRDefault="008C6076" w:rsidP="00FB7C1F">
            <w:pPr>
              <w:jc w:val="left"/>
              <w:rPr>
                <w:sz w:val="18"/>
                <w:szCs w:val="18"/>
                <w:lang w:val="en-US"/>
              </w:rPr>
            </w:pPr>
            <w:r w:rsidRPr="004C78D8">
              <w:rPr>
                <w:sz w:val="18"/>
                <w:szCs w:val="18"/>
                <w:lang w:val="en-US"/>
              </w:rPr>
              <w:t>Pega (2016)</w:t>
            </w:r>
          </w:p>
        </w:tc>
        <w:tc>
          <w:tcPr>
            <w:tcW w:w="546" w:type="pct"/>
            <w:tcBorders>
              <w:top w:val="nil"/>
              <w:bottom w:val="nil"/>
            </w:tcBorders>
            <w:vAlign w:val="center"/>
          </w:tcPr>
          <w:p w14:paraId="485F8B5B" w14:textId="77777777" w:rsidR="008C6076" w:rsidRPr="004C78D8" w:rsidRDefault="008C6076" w:rsidP="00FB7C1F">
            <w:pPr>
              <w:jc w:val="center"/>
              <w:rPr>
                <w:sz w:val="18"/>
                <w:szCs w:val="18"/>
                <w:lang w:val="en-US"/>
              </w:rPr>
            </w:pPr>
            <w:r w:rsidRPr="004C78D8">
              <w:rPr>
                <w:sz w:val="18"/>
                <w:szCs w:val="18"/>
                <w:lang w:val="en-US"/>
              </w:rPr>
              <w:t>TA</w:t>
            </w:r>
          </w:p>
        </w:tc>
        <w:tc>
          <w:tcPr>
            <w:tcW w:w="476" w:type="pct"/>
            <w:tcBorders>
              <w:top w:val="nil"/>
              <w:bottom w:val="nil"/>
            </w:tcBorders>
            <w:vAlign w:val="center"/>
          </w:tcPr>
          <w:p w14:paraId="1471F708" w14:textId="77777777" w:rsidR="008C6076" w:rsidRPr="004C78D8" w:rsidRDefault="008C6076" w:rsidP="00FB7C1F">
            <w:pPr>
              <w:jc w:val="center"/>
              <w:rPr>
                <w:sz w:val="18"/>
                <w:szCs w:val="18"/>
                <w:lang w:val="en-US"/>
              </w:rPr>
            </w:pPr>
            <w:r w:rsidRPr="004C78D8">
              <w:rPr>
                <w:sz w:val="18"/>
                <w:szCs w:val="18"/>
                <w:lang w:val="en-US"/>
              </w:rPr>
              <w:t>SA</w:t>
            </w:r>
          </w:p>
        </w:tc>
        <w:tc>
          <w:tcPr>
            <w:tcW w:w="617" w:type="pct"/>
            <w:tcBorders>
              <w:top w:val="nil"/>
              <w:bottom w:val="nil"/>
            </w:tcBorders>
            <w:vAlign w:val="center"/>
          </w:tcPr>
          <w:p w14:paraId="731EA0A1" w14:textId="77777777" w:rsidR="008C6076" w:rsidRPr="004C78D8" w:rsidRDefault="008C6076" w:rsidP="00FB7C1F">
            <w:pPr>
              <w:jc w:val="center"/>
              <w:rPr>
                <w:sz w:val="18"/>
                <w:szCs w:val="18"/>
                <w:lang w:val="en-US"/>
              </w:rPr>
            </w:pPr>
            <w:r w:rsidRPr="004C78D8">
              <w:rPr>
                <w:sz w:val="18"/>
                <w:szCs w:val="18"/>
                <w:lang w:val="en-US"/>
              </w:rPr>
              <w:t>SA: ethnic.</w:t>
            </w:r>
          </w:p>
        </w:tc>
        <w:tc>
          <w:tcPr>
            <w:tcW w:w="546" w:type="pct"/>
            <w:tcBorders>
              <w:top w:val="nil"/>
              <w:bottom w:val="nil"/>
            </w:tcBorders>
            <w:vAlign w:val="center"/>
          </w:tcPr>
          <w:p w14:paraId="79053F90" w14:textId="77777777" w:rsidR="008C6076" w:rsidRPr="004C78D8" w:rsidRDefault="008C6076" w:rsidP="00FB7C1F">
            <w:pPr>
              <w:jc w:val="center"/>
              <w:rPr>
                <w:sz w:val="18"/>
                <w:szCs w:val="18"/>
                <w:lang w:val="en-US"/>
              </w:rPr>
            </w:pPr>
            <w:r w:rsidRPr="004C78D8">
              <w:rPr>
                <w:sz w:val="18"/>
                <w:szCs w:val="18"/>
                <w:lang w:val="en-US"/>
              </w:rPr>
              <w:t>TA</w:t>
            </w:r>
          </w:p>
        </w:tc>
        <w:tc>
          <w:tcPr>
            <w:tcW w:w="546" w:type="pct"/>
            <w:tcBorders>
              <w:top w:val="nil"/>
              <w:bottom w:val="nil"/>
            </w:tcBorders>
            <w:vAlign w:val="center"/>
          </w:tcPr>
          <w:p w14:paraId="596479E9"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7EA5D08F"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3A3EF3E3" w14:textId="77777777" w:rsidR="008C6076" w:rsidRPr="004C78D8" w:rsidRDefault="008C6076" w:rsidP="00FB7C1F">
            <w:pPr>
              <w:jc w:val="center"/>
              <w:rPr>
                <w:sz w:val="18"/>
                <w:szCs w:val="18"/>
                <w:lang w:val="en-US"/>
              </w:rPr>
            </w:pPr>
          </w:p>
        </w:tc>
      </w:tr>
      <w:tr w:rsidR="008C6076" w:rsidRPr="004C78D8" w14:paraId="2D9A4C94" w14:textId="77777777" w:rsidTr="002828C1">
        <w:tc>
          <w:tcPr>
            <w:tcW w:w="1177" w:type="pct"/>
          </w:tcPr>
          <w:p w14:paraId="715CF936" w14:textId="77777777" w:rsidR="008C6076" w:rsidRPr="004C78D8" w:rsidRDefault="008C6076" w:rsidP="00FB7C1F">
            <w:pPr>
              <w:jc w:val="left"/>
              <w:rPr>
                <w:sz w:val="18"/>
                <w:szCs w:val="18"/>
                <w:lang w:val="en-US"/>
              </w:rPr>
            </w:pPr>
            <w:r w:rsidRPr="004C78D8">
              <w:rPr>
                <w:sz w:val="18"/>
                <w:szCs w:val="18"/>
                <w:lang w:val="en-US"/>
              </w:rPr>
              <w:t>Poole (2014)</w:t>
            </w:r>
          </w:p>
        </w:tc>
        <w:tc>
          <w:tcPr>
            <w:tcW w:w="546" w:type="pct"/>
            <w:tcBorders>
              <w:top w:val="nil"/>
              <w:bottom w:val="nil"/>
            </w:tcBorders>
            <w:vAlign w:val="center"/>
          </w:tcPr>
          <w:p w14:paraId="16D1925E" w14:textId="77777777" w:rsidR="008C6076" w:rsidRPr="004C78D8" w:rsidRDefault="008C6076" w:rsidP="00FB7C1F">
            <w:pPr>
              <w:jc w:val="center"/>
              <w:rPr>
                <w:sz w:val="18"/>
                <w:szCs w:val="18"/>
                <w:lang w:val="en-US"/>
              </w:rPr>
            </w:pPr>
            <w:r w:rsidRPr="004C78D8">
              <w:rPr>
                <w:sz w:val="18"/>
                <w:szCs w:val="18"/>
                <w:lang w:val="en-US"/>
              </w:rPr>
              <w:t>SA; TA</w:t>
            </w:r>
          </w:p>
        </w:tc>
        <w:tc>
          <w:tcPr>
            <w:tcW w:w="476" w:type="pct"/>
            <w:tcBorders>
              <w:top w:val="nil"/>
              <w:bottom w:val="nil"/>
            </w:tcBorders>
            <w:vAlign w:val="center"/>
          </w:tcPr>
          <w:p w14:paraId="00E8DC78" w14:textId="77777777" w:rsidR="008C6076" w:rsidRPr="004C78D8" w:rsidRDefault="008C6076" w:rsidP="00FB7C1F">
            <w:pPr>
              <w:jc w:val="center"/>
              <w:rPr>
                <w:sz w:val="18"/>
                <w:szCs w:val="18"/>
                <w:lang w:val="en-US"/>
              </w:rPr>
            </w:pPr>
            <w:r w:rsidRPr="004C78D8">
              <w:rPr>
                <w:sz w:val="18"/>
                <w:szCs w:val="18"/>
                <w:lang w:val="en-US"/>
              </w:rPr>
              <w:t>SA</w:t>
            </w:r>
          </w:p>
        </w:tc>
        <w:tc>
          <w:tcPr>
            <w:tcW w:w="617" w:type="pct"/>
            <w:tcBorders>
              <w:top w:val="nil"/>
              <w:bottom w:val="nil"/>
            </w:tcBorders>
            <w:vAlign w:val="center"/>
          </w:tcPr>
          <w:p w14:paraId="005EA38A"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49B4A499"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321B6127"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5F6AE1E5"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2268E808" w14:textId="77777777" w:rsidR="008C6076" w:rsidRPr="004C78D8" w:rsidRDefault="008C6076" w:rsidP="00FB7C1F">
            <w:pPr>
              <w:jc w:val="center"/>
              <w:rPr>
                <w:sz w:val="18"/>
                <w:szCs w:val="18"/>
                <w:lang w:val="en-US"/>
              </w:rPr>
            </w:pPr>
          </w:p>
        </w:tc>
      </w:tr>
      <w:tr w:rsidR="008C6076" w:rsidRPr="004C78D8" w14:paraId="3F797920" w14:textId="77777777" w:rsidTr="002828C1">
        <w:tc>
          <w:tcPr>
            <w:tcW w:w="1177" w:type="pct"/>
          </w:tcPr>
          <w:p w14:paraId="1378A328" w14:textId="77777777" w:rsidR="008C6076" w:rsidRPr="004C78D8" w:rsidRDefault="008C6076" w:rsidP="00FB7C1F">
            <w:pPr>
              <w:jc w:val="left"/>
              <w:rPr>
                <w:sz w:val="18"/>
                <w:szCs w:val="18"/>
                <w:lang w:val="en-US"/>
              </w:rPr>
            </w:pPr>
            <w:r w:rsidRPr="004C78D8">
              <w:rPr>
                <w:sz w:val="18"/>
                <w:szCs w:val="18"/>
                <w:lang w:val="en-US"/>
              </w:rPr>
              <w:t>Poole (2015)</w:t>
            </w:r>
          </w:p>
        </w:tc>
        <w:tc>
          <w:tcPr>
            <w:tcW w:w="546" w:type="pct"/>
            <w:tcBorders>
              <w:top w:val="nil"/>
              <w:bottom w:val="nil"/>
            </w:tcBorders>
            <w:vAlign w:val="center"/>
          </w:tcPr>
          <w:p w14:paraId="161803C2" w14:textId="77777777" w:rsidR="008C6076" w:rsidRPr="004C78D8" w:rsidRDefault="008C6076" w:rsidP="00FB7C1F">
            <w:pPr>
              <w:jc w:val="center"/>
              <w:rPr>
                <w:sz w:val="18"/>
                <w:szCs w:val="18"/>
                <w:lang w:val="en-US"/>
              </w:rPr>
            </w:pPr>
            <w:r w:rsidRPr="004C78D8">
              <w:rPr>
                <w:sz w:val="18"/>
                <w:szCs w:val="18"/>
                <w:lang w:val="en-US"/>
              </w:rPr>
              <w:t>SA; TA</w:t>
            </w:r>
          </w:p>
        </w:tc>
        <w:tc>
          <w:tcPr>
            <w:tcW w:w="476" w:type="pct"/>
            <w:tcBorders>
              <w:top w:val="nil"/>
              <w:bottom w:val="nil"/>
            </w:tcBorders>
            <w:vAlign w:val="center"/>
          </w:tcPr>
          <w:p w14:paraId="3254F53B" w14:textId="77777777" w:rsidR="008C6076" w:rsidRPr="004C78D8" w:rsidRDefault="008C6076" w:rsidP="00FB7C1F">
            <w:pPr>
              <w:jc w:val="center"/>
              <w:rPr>
                <w:sz w:val="18"/>
                <w:szCs w:val="18"/>
                <w:lang w:val="en-US"/>
              </w:rPr>
            </w:pPr>
          </w:p>
        </w:tc>
        <w:tc>
          <w:tcPr>
            <w:tcW w:w="617" w:type="pct"/>
            <w:tcBorders>
              <w:top w:val="nil"/>
              <w:bottom w:val="nil"/>
            </w:tcBorders>
            <w:vAlign w:val="center"/>
          </w:tcPr>
          <w:p w14:paraId="0050A46A"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30C03107"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5825AE10"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38937FD8"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0D9C47C1" w14:textId="77777777" w:rsidR="008C6076" w:rsidRPr="004C78D8" w:rsidRDefault="008C6076" w:rsidP="00FB7C1F">
            <w:pPr>
              <w:jc w:val="center"/>
              <w:rPr>
                <w:sz w:val="18"/>
                <w:szCs w:val="18"/>
                <w:lang w:val="en-US"/>
              </w:rPr>
            </w:pPr>
          </w:p>
        </w:tc>
      </w:tr>
      <w:tr w:rsidR="008C6076" w:rsidRPr="004C78D8" w14:paraId="03484667" w14:textId="77777777" w:rsidTr="002828C1">
        <w:tc>
          <w:tcPr>
            <w:tcW w:w="1177" w:type="pct"/>
          </w:tcPr>
          <w:p w14:paraId="32289B70" w14:textId="77777777" w:rsidR="008C6076" w:rsidRPr="004C78D8" w:rsidRDefault="008C6076" w:rsidP="00FB7C1F">
            <w:pPr>
              <w:jc w:val="left"/>
              <w:rPr>
                <w:sz w:val="18"/>
                <w:szCs w:val="18"/>
                <w:lang w:val="en-US"/>
              </w:rPr>
            </w:pPr>
            <w:r w:rsidRPr="004C78D8">
              <w:rPr>
                <w:sz w:val="18"/>
                <w:szCs w:val="18"/>
                <w:lang w:val="en-US"/>
              </w:rPr>
              <w:t>PHE (2018)</w:t>
            </w:r>
          </w:p>
        </w:tc>
        <w:tc>
          <w:tcPr>
            <w:tcW w:w="546" w:type="pct"/>
            <w:tcBorders>
              <w:top w:val="nil"/>
              <w:bottom w:val="nil"/>
            </w:tcBorders>
            <w:vAlign w:val="center"/>
          </w:tcPr>
          <w:p w14:paraId="5ADFF738" w14:textId="77777777" w:rsidR="008C6076" w:rsidRPr="004C78D8" w:rsidRDefault="008C6076" w:rsidP="00FB7C1F">
            <w:pPr>
              <w:jc w:val="center"/>
              <w:rPr>
                <w:sz w:val="18"/>
                <w:szCs w:val="18"/>
                <w:lang w:val="en-US"/>
              </w:rPr>
            </w:pPr>
          </w:p>
        </w:tc>
        <w:tc>
          <w:tcPr>
            <w:tcW w:w="476" w:type="pct"/>
            <w:tcBorders>
              <w:top w:val="nil"/>
              <w:bottom w:val="nil"/>
            </w:tcBorders>
            <w:vAlign w:val="center"/>
          </w:tcPr>
          <w:p w14:paraId="5D1C0FE2" w14:textId="77777777" w:rsidR="008C6076" w:rsidRPr="004C78D8" w:rsidRDefault="008C6076" w:rsidP="00FB7C1F">
            <w:pPr>
              <w:jc w:val="center"/>
              <w:rPr>
                <w:sz w:val="18"/>
                <w:szCs w:val="18"/>
                <w:lang w:val="en-US"/>
              </w:rPr>
            </w:pPr>
          </w:p>
        </w:tc>
        <w:tc>
          <w:tcPr>
            <w:tcW w:w="617" w:type="pct"/>
            <w:tcBorders>
              <w:top w:val="nil"/>
              <w:bottom w:val="nil"/>
            </w:tcBorders>
            <w:vAlign w:val="center"/>
          </w:tcPr>
          <w:p w14:paraId="189A4A90"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722B3AA5" w14:textId="77777777" w:rsidR="008C6076" w:rsidRPr="004C78D8" w:rsidRDefault="008C6076" w:rsidP="00FB7C1F">
            <w:pPr>
              <w:jc w:val="center"/>
              <w:rPr>
                <w:sz w:val="18"/>
                <w:szCs w:val="18"/>
                <w:lang w:val="en-US"/>
              </w:rPr>
            </w:pPr>
            <w:r w:rsidRPr="004C78D8">
              <w:rPr>
                <w:sz w:val="18"/>
                <w:szCs w:val="18"/>
                <w:lang w:val="en-US"/>
              </w:rPr>
              <w:t>IN</w:t>
            </w:r>
          </w:p>
        </w:tc>
        <w:tc>
          <w:tcPr>
            <w:tcW w:w="546" w:type="pct"/>
            <w:tcBorders>
              <w:top w:val="nil"/>
              <w:bottom w:val="nil"/>
            </w:tcBorders>
            <w:vAlign w:val="center"/>
          </w:tcPr>
          <w:p w14:paraId="7F75BEF4"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632B8FF3"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193E3A1E" w14:textId="77777777" w:rsidR="008C6076" w:rsidRPr="004C78D8" w:rsidRDefault="008C6076" w:rsidP="00FB7C1F">
            <w:pPr>
              <w:jc w:val="center"/>
              <w:rPr>
                <w:sz w:val="18"/>
                <w:szCs w:val="18"/>
                <w:lang w:val="en-US"/>
              </w:rPr>
            </w:pPr>
          </w:p>
        </w:tc>
      </w:tr>
      <w:tr w:rsidR="008C6076" w:rsidRPr="004C78D8" w14:paraId="60A8C6B2" w14:textId="77777777" w:rsidTr="002828C1">
        <w:tc>
          <w:tcPr>
            <w:tcW w:w="1177" w:type="pct"/>
          </w:tcPr>
          <w:p w14:paraId="06C1850F" w14:textId="77777777" w:rsidR="008C6076" w:rsidRPr="004C78D8" w:rsidRDefault="008C6076" w:rsidP="00FB7C1F">
            <w:pPr>
              <w:jc w:val="left"/>
              <w:rPr>
                <w:sz w:val="18"/>
                <w:szCs w:val="18"/>
                <w:lang w:val="en-US"/>
              </w:rPr>
            </w:pPr>
            <w:r w:rsidRPr="004C78D8">
              <w:rPr>
                <w:sz w:val="18"/>
                <w:szCs w:val="18"/>
                <w:lang w:val="en-US"/>
              </w:rPr>
              <w:t>Smith (2016)</w:t>
            </w:r>
          </w:p>
        </w:tc>
        <w:tc>
          <w:tcPr>
            <w:tcW w:w="546" w:type="pct"/>
            <w:tcBorders>
              <w:top w:val="nil"/>
              <w:bottom w:val="nil"/>
            </w:tcBorders>
            <w:vAlign w:val="center"/>
          </w:tcPr>
          <w:p w14:paraId="491A474D" w14:textId="77777777" w:rsidR="008C6076" w:rsidRPr="004C78D8" w:rsidRDefault="008C6076" w:rsidP="00FB7C1F">
            <w:pPr>
              <w:jc w:val="center"/>
              <w:rPr>
                <w:sz w:val="18"/>
                <w:szCs w:val="18"/>
                <w:lang w:val="en-US"/>
              </w:rPr>
            </w:pPr>
          </w:p>
        </w:tc>
        <w:tc>
          <w:tcPr>
            <w:tcW w:w="476" w:type="pct"/>
            <w:tcBorders>
              <w:top w:val="nil"/>
              <w:bottom w:val="nil"/>
            </w:tcBorders>
            <w:vAlign w:val="center"/>
          </w:tcPr>
          <w:p w14:paraId="102E1DF2" w14:textId="77777777" w:rsidR="008C6076" w:rsidRPr="004C78D8" w:rsidRDefault="008C6076" w:rsidP="00FB7C1F">
            <w:pPr>
              <w:jc w:val="center"/>
              <w:rPr>
                <w:sz w:val="18"/>
                <w:szCs w:val="18"/>
                <w:lang w:val="en-US"/>
              </w:rPr>
            </w:pPr>
          </w:p>
        </w:tc>
        <w:tc>
          <w:tcPr>
            <w:tcW w:w="617" w:type="pct"/>
            <w:tcBorders>
              <w:top w:val="nil"/>
              <w:bottom w:val="nil"/>
            </w:tcBorders>
            <w:vAlign w:val="center"/>
          </w:tcPr>
          <w:p w14:paraId="543F9452"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2629EB9A"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3140364F" w14:textId="77777777" w:rsidR="008C6076" w:rsidRPr="004C78D8" w:rsidRDefault="008C6076" w:rsidP="00FB7C1F">
            <w:pPr>
              <w:jc w:val="center"/>
              <w:rPr>
                <w:sz w:val="18"/>
                <w:szCs w:val="18"/>
                <w:lang w:val="en-US"/>
              </w:rPr>
            </w:pPr>
            <w:r w:rsidRPr="004C78D8">
              <w:rPr>
                <w:sz w:val="18"/>
                <w:szCs w:val="18"/>
                <w:lang w:val="en-US"/>
              </w:rPr>
              <w:t>TA</w:t>
            </w:r>
          </w:p>
        </w:tc>
        <w:tc>
          <w:tcPr>
            <w:tcW w:w="546" w:type="pct"/>
            <w:tcBorders>
              <w:top w:val="nil"/>
              <w:bottom w:val="nil"/>
            </w:tcBorders>
            <w:vAlign w:val="center"/>
          </w:tcPr>
          <w:p w14:paraId="0770337E"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7674247D" w14:textId="77777777" w:rsidR="008C6076" w:rsidRPr="004C78D8" w:rsidRDefault="008C6076" w:rsidP="00FB7C1F">
            <w:pPr>
              <w:jc w:val="center"/>
              <w:rPr>
                <w:sz w:val="18"/>
                <w:szCs w:val="18"/>
                <w:lang w:val="en-US"/>
              </w:rPr>
            </w:pPr>
          </w:p>
        </w:tc>
      </w:tr>
      <w:tr w:rsidR="008C6076" w:rsidRPr="004C78D8" w14:paraId="0723DFC4" w14:textId="77777777" w:rsidTr="002828C1">
        <w:tc>
          <w:tcPr>
            <w:tcW w:w="1177" w:type="pct"/>
          </w:tcPr>
          <w:p w14:paraId="45DB7B19" w14:textId="77777777" w:rsidR="008C6076" w:rsidRPr="004C78D8" w:rsidRDefault="008C6076" w:rsidP="00FB7C1F">
            <w:pPr>
              <w:jc w:val="left"/>
              <w:rPr>
                <w:sz w:val="18"/>
                <w:szCs w:val="18"/>
                <w:lang w:val="en-US"/>
              </w:rPr>
            </w:pPr>
            <w:r w:rsidRPr="004C78D8">
              <w:rPr>
                <w:sz w:val="18"/>
                <w:szCs w:val="18"/>
                <w:lang w:val="en-US"/>
              </w:rPr>
              <w:t>Wilson (2017)</w:t>
            </w:r>
          </w:p>
        </w:tc>
        <w:tc>
          <w:tcPr>
            <w:tcW w:w="546" w:type="pct"/>
            <w:tcBorders>
              <w:top w:val="nil"/>
              <w:bottom w:val="nil"/>
            </w:tcBorders>
            <w:vAlign w:val="center"/>
          </w:tcPr>
          <w:p w14:paraId="100E3F28" w14:textId="77777777" w:rsidR="008C6076" w:rsidRPr="004C78D8" w:rsidRDefault="008C6076" w:rsidP="00FB7C1F">
            <w:pPr>
              <w:jc w:val="center"/>
              <w:rPr>
                <w:sz w:val="18"/>
                <w:szCs w:val="18"/>
                <w:lang w:val="en-US"/>
              </w:rPr>
            </w:pPr>
            <w:r w:rsidRPr="004C78D8">
              <w:rPr>
                <w:sz w:val="18"/>
                <w:szCs w:val="18"/>
                <w:lang w:val="en-US"/>
              </w:rPr>
              <w:t>TA</w:t>
            </w:r>
          </w:p>
        </w:tc>
        <w:tc>
          <w:tcPr>
            <w:tcW w:w="476" w:type="pct"/>
            <w:tcBorders>
              <w:top w:val="nil"/>
              <w:bottom w:val="nil"/>
            </w:tcBorders>
            <w:vAlign w:val="center"/>
          </w:tcPr>
          <w:p w14:paraId="0D99A98A" w14:textId="77777777" w:rsidR="008C6076" w:rsidRPr="004C78D8" w:rsidRDefault="008C6076" w:rsidP="00FB7C1F">
            <w:pPr>
              <w:jc w:val="center"/>
              <w:rPr>
                <w:sz w:val="18"/>
                <w:szCs w:val="18"/>
                <w:lang w:val="en-US"/>
              </w:rPr>
            </w:pPr>
            <w:r w:rsidRPr="004C78D8">
              <w:rPr>
                <w:sz w:val="18"/>
                <w:szCs w:val="18"/>
                <w:lang w:val="en-US"/>
              </w:rPr>
              <w:t>SA</w:t>
            </w:r>
          </w:p>
        </w:tc>
        <w:tc>
          <w:tcPr>
            <w:tcW w:w="617" w:type="pct"/>
            <w:tcBorders>
              <w:top w:val="nil"/>
              <w:bottom w:val="nil"/>
            </w:tcBorders>
            <w:vAlign w:val="center"/>
          </w:tcPr>
          <w:p w14:paraId="5B09DBF6" w14:textId="77777777" w:rsidR="008C6076" w:rsidRPr="004C78D8" w:rsidRDefault="008C6076" w:rsidP="00FB7C1F">
            <w:pPr>
              <w:jc w:val="center"/>
              <w:rPr>
                <w:sz w:val="18"/>
                <w:szCs w:val="18"/>
                <w:lang w:val="en-US"/>
              </w:rPr>
            </w:pPr>
            <w:r w:rsidRPr="004C78D8">
              <w:rPr>
                <w:sz w:val="18"/>
                <w:szCs w:val="18"/>
                <w:lang w:val="en-US"/>
              </w:rPr>
              <w:t>SA: ethnic.</w:t>
            </w:r>
          </w:p>
        </w:tc>
        <w:tc>
          <w:tcPr>
            <w:tcW w:w="546" w:type="pct"/>
            <w:tcBorders>
              <w:top w:val="nil"/>
              <w:bottom w:val="nil"/>
            </w:tcBorders>
            <w:vAlign w:val="center"/>
          </w:tcPr>
          <w:p w14:paraId="24485B7D" w14:textId="77777777" w:rsidR="008C6076" w:rsidRPr="004C78D8" w:rsidRDefault="008C6076" w:rsidP="00FB7C1F">
            <w:pPr>
              <w:jc w:val="center"/>
              <w:rPr>
                <w:sz w:val="18"/>
                <w:szCs w:val="18"/>
                <w:lang w:val="en-US"/>
              </w:rPr>
            </w:pPr>
            <w:r w:rsidRPr="004C78D8">
              <w:rPr>
                <w:sz w:val="18"/>
                <w:szCs w:val="18"/>
                <w:lang w:val="en-US"/>
              </w:rPr>
              <w:t>TA</w:t>
            </w:r>
          </w:p>
        </w:tc>
        <w:tc>
          <w:tcPr>
            <w:tcW w:w="546" w:type="pct"/>
            <w:tcBorders>
              <w:top w:val="nil"/>
              <w:bottom w:val="nil"/>
            </w:tcBorders>
            <w:vAlign w:val="center"/>
          </w:tcPr>
          <w:p w14:paraId="06EA8C33"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6F11466F"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04C7FC3A" w14:textId="77777777" w:rsidR="008C6076" w:rsidRPr="004C78D8" w:rsidRDefault="008C6076" w:rsidP="00FB7C1F">
            <w:pPr>
              <w:jc w:val="center"/>
              <w:rPr>
                <w:sz w:val="18"/>
                <w:szCs w:val="18"/>
                <w:lang w:val="en-US"/>
              </w:rPr>
            </w:pPr>
          </w:p>
        </w:tc>
      </w:tr>
      <w:tr w:rsidR="008C6076" w:rsidRPr="004C78D8" w14:paraId="12CFD5EA" w14:textId="77777777" w:rsidTr="002828C1">
        <w:tc>
          <w:tcPr>
            <w:tcW w:w="1177" w:type="pct"/>
          </w:tcPr>
          <w:p w14:paraId="064C1981" w14:textId="77777777" w:rsidR="008C6076" w:rsidRPr="004C78D8" w:rsidRDefault="008C6076" w:rsidP="00FB7C1F">
            <w:pPr>
              <w:jc w:val="left"/>
              <w:rPr>
                <w:sz w:val="18"/>
                <w:szCs w:val="18"/>
                <w:lang w:val="en-US"/>
              </w:rPr>
            </w:pPr>
            <w:r w:rsidRPr="004C78D8">
              <w:rPr>
                <w:sz w:val="18"/>
                <w:szCs w:val="18"/>
                <w:lang w:val="en-US"/>
              </w:rPr>
              <w:t>Wu (2010)</w:t>
            </w:r>
          </w:p>
        </w:tc>
        <w:tc>
          <w:tcPr>
            <w:tcW w:w="546" w:type="pct"/>
            <w:tcBorders>
              <w:top w:val="nil"/>
              <w:bottom w:val="nil"/>
            </w:tcBorders>
            <w:vAlign w:val="center"/>
          </w:tcPr>
          <w:p w14:paraId="307B1F4A" w14:textId="77777777" w:rsidR="008C6076" w:rsidRPr="004C78D8" w:rsidRDefault="008C6076" w:rsidP="00FB7C1F">
            <w:pPr>
              <w:jc w:val="center"/>
              <w:rPr>
                <w:sz w:val="18"/>
                <w:szCs w:val="18"/>
                <w:lang w:val="en-US"/>
              </w:rPr>
            </w:pPr>
            <w:r w:rsidRPr="004C78D8">
              <w:rPr>
                <w:sz w:val="18"/>
                <w:szCs w:val="18"/>
                <w:lang w:val="en-US"/>
              </w:rPr>
              <w:t>SA</w:t>
            </w:r>
          </w:p>
        </w:tc>
        <w:tc>
          <w:tcPr>
            <w:tcW w:w="476" w:type="pct"/>
            <w:tcBorders>
              <w:top w:val="nil"/>
              <w:bottom w:val="nil"/>
            </w:tcBorders>
            <w:vAlign w:val="center"/>
          </w:tcPr>
          <w:p w14:paraId="7E6C20E9" w14:textId="77777777" w:rsidR="008C6076" w:rsidRPr="004C78D8" w:rsidRDefault="008C6076" w:rsidP="00FB7C1F">
            <w:pPr>
              <w:jc w:val="center"/>
              <w:rPr>
                <w:sz w:val="18"/>
                <w:szCs w:val="18"/>
                <w:lang w:val="en-US"/>
              </w:rPr>
            </w:pPr>
          </w:p>
        </w:tc>
        <w:tc>
          <w:tcPr>
            <w:tcW w:w="617" w:type="pct"/>
            <w:tcBorders>
              <w:top w:val="nil"/>
              <w:bottom w:val="nil"/>
            </w:tcBorders>
            <w:vAlign w:val="center"/>
          </w:tcPr>
          <w:p w14:paraId="15379258"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0FF5EBA6"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685E0330"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79AD3801" w14:textId="77777777" w:rsidR="008C6076" w:rsidRPr="004C78D8" w:rsidRDefault="008C6076" w:rsidP="00FB7C1F">
            <w:pPr>
              <w:jc w:val="center"/>
              <w:rPr>
                <w:sz w:val="18"/>
                <w:szCs w:val="18"/>
                <w:lang w:val="en-US"/>
              </w:rPr>
            </w:pPr>
          </w:p>
        </w:tc>
        <w:tc>
          <w:tcPr>
            <w:tcW w:w="546" w:type="pct"/>
            <w:tcBorders>
              <w:top w:val="nil"/>
              <w:bottom w:val="nil"/>
            </w:tcBorders>
            <w:vAlign w:val="center"/>
          </w:tcPr>
          <w:p w14:paraId="054A69F7" w14:textId="77777777" w:rsidR="008C6076" w:rsidRPr="004C78D8" w:rsidRDefault="008C6076" w:rsidP="00FB7C1F">
            <w:pPr>
              <w:jc w:val="center"/>
              <w:rPr>
                <w:sz w:val="18"/>
                <w:szCs w:val="18"/>
                <w:lang w:val="en-US"/>
              </w:rPr>
            </w:pPr>
          </w:p>
        </w:tc>
      </w:tr>
      <w:tr w:rsidR="008C6076" w:rsidRPr="004C78D8" w14:paraId="75E511FC" w14:textId="77777777" w:rsidTr="002828C1">
        <w:tc>
          <w:tcPr>
            <w:tcW w:w="1177" w:type="pct"/>
          </w:tcPr>
          <w:p w14:paraId="4A4E39CA" w14:textId="77777777" w:rsidR="008C6076" w:rsidRPr="004C78D8" w:rsidRDefault="008C6076" w:rsidP="00FB7C1F">
            <w:pPr>
              <w:jc w:val="left"/>
              <w:rPr>
                <w:sz w:val="18"/>
                <w:szCs w:val="18"/>
                <w:lang w:val="en-US"/>
              </w:rPr>
            </w:pPr>
            <w:r w:rsidRPr="004C78D8">
              <w:rPr>
                <w:sz w:val="18"/>
                <w:szCs w:val="18"/>
                <w:lang w:val="en-US"/>
              </w:rPr>
              <w:t>Zarca (2014)</w:t>
            </w:r>
          </w:p>
        </w:tc>
        <w:tc>
          <w:tcPr>
            <w:tcW w:w="546" w:type="pct"/>
            <w:tcBorders>
              <w:top w:val="nil"/>
            </w:tcBorders>
            <w:vAlign w:val="center"/>
          </w:tcPr>
          <w:p w14:paraId="360BD4AC" w14:textId="77777777" w:rsidR="008C6076" w:rsidRPr="004C78D8" w:rsidRDefault="008C6076" w:rsidP="00FB7C1F">
            <w:pPr>
              <w:jc w:val="center"/>
              <w:rPr>
                <w:sz w:val="18"/>
                <w:szCs w:val="18"/>
                <w:lang w:val="en-US"/>
              </w:rPr>
            </w:pPr>
            <w:r w:rsidRPr="004C78D8">
              <w:rPr>
                <w:sz w:val="18"/>
                <w:szCs w:val="18"/>
                <w:lang w:val="en-US"/>
              </w:rPr>
              <w:t>TA</w:t>
            </w:r>
          </w:p>
        </w:tc>
        <w:tc>
          <w:tcPr>
            <w:tcW w:w="476" w:type="pct"/>
            <w:tcBorders>
              <w:top w:val="nil"/>
            </w:tcBorders>
            <w:vAlign w:val="center"/>
          </w:tcPr>
          <w:p w14:paraId="7EEA9F99" w14:textId="77777777" w:rsidR="008C6076" w:rsidRPr="004C78D8" w:rsidRDefault="008C6076" w:rsidP="00FB7C1F">
            <w:pPr>
              <w:jc w:val="center"/>
              <w:rPr>
                <w:sz w:val="18"/>
                <w:szCs w:val="18"/>
                <w:lang w:val="en-US"/>
              </w:rPr>
            </w:pPr>
            <w:r w:rsidRPr="004C78D8">
              <w:rPr>
                <w:sz w:val="18"/>
                <w:szCs w:val="18"/>
                <w:lang w:val="en-US"/>
              </w:rPr>
              <w:t>SA</w:t>
            </w:r>
          </w:p>
        </w:tc>
        <w:tc>
          <w:tcPr>
            <w:tcW w:w="617" w:type="pct"/>
            <w:tcBorders>
              <w:top w:val="nil"/>
            </w:tcBorders>
            <w:vAlign w:val="center"/>
          </w:tcPr>
          <w:p w14:paraId="09F9BDFA" w14:textId="77777777" w:rsidR="008C6076" w:rsidRPr="004C78D8" w:rsidRDefault="008C6076" w:rsidP="00FB7C1F">
            <w:pPr>
              <w:jc w:val="center"/>
              <w:rPr>
                <w:sz w:val="18"/>
                <w:szCs w:val="18"/>
                <w:lang w:val="en-US"/>
              </w:rPr>
            </w:pPr>
          </w:p>
        </w:tc>
        <w:tc>
          <w:tcPr>
            <w:tcW w:w="546" w:type="pct"/>
            <w:tcBorders>
              <w:top w:val="nil"/>
            </w:tcBorders>
            <w:vAlign w:val="center"/>
          </w:tcPr>
          <w:p w14:paraId="4CF9CA01" w14:textId="77777777" w:rsidR="008C6076" w:rsidRPr="004C78D8" w:rsidRDefault="008C6076" w:rsidP="00FB7C1F">
            <w:pPr>
              <w:jc w:val="center"/>
              <w:rPr>
                <w:sz w:val="18"/>
                <w:szCs w:val="18"/>
                <w:lang w:val="en-US"/>
              </w:rPr>
            </w:pPr>
          </w:p>
        </w:tc>
        <w:tc>
          <w:tcPr>
            <w:tcW w:w="546" w:type="pct"/>
            <w:tcBorders>
              <w:top w:val="nil"/>
            </w:tcBorders>
            <w:vAlign w:val="center"/>
          </w:tcPr>
          <w:p w14:paraId="25C76C52" w14:textId="77777777" w:rsidR="008C6076" w:rsidRPr="004C78D8" w:rsidRDefault="008C6076" w:rsidP="00FB7C1F">
            <w:pPr>
              <w:jc w:val="center"/>
              <w:rPr>
                <w:sz w:val="18"/>
                <w:szCs w:val="18"/>
                <w:lang w:val="en-US"/>
              </w:rPr>
            </w:pPr>
          </w:p>
        </w:tc>
        <w:tc>
          <w:tcPr>
            <w:tcW w:w="546" w:type="pct"/>
            <w:tcBorders>
              <w:top w:val="nil"/>
            </w:tcBorders>
            <w:vAlign w:val="center"/>
          </w:tcPr>
          <w:p w14:paraId="6E93451A" w14:textId="77777777" w:rsidR="008C6076" w:rsidRPr="004C78D8" w:rsidRDefault="008C6076" w:rsidP="00FB7C1F">
            <w:pPr>
              <w:jc w:val="center"/>
              <w:rPr>
                <w:sz w:val="18"/>
                <w:szCs w:val="18"/>
                <w:lang w:val="en-US"/>
              </w:rPr>
            </w:pPr>
          </w:p>
        </w:tc>
        <w:tc>
          <w:tcPr>
            <w:tcW w:w="546" w:type="pct"/>
            <w:tcBorders>
              <w:top w:val="nil"/>
            </w:tcBorders>
            <w:vAlign w:val="center"/>
          </w:tcPr>
          <w:p w14:paraId="22CEE2F2" w14:textId="77777777" w:rsidR="008C6076" w:rsidRPr="004C78D8" w:rsidRDefault="008C6076" w:rsidP="00FB7C1F">
            <w:pPr>
              <w:jc w:val="center"/>
              <w:rPr>
                <w:sz w:val="18"/>
                <w:szCs w:val="18"/>
                <w:lang w:val="en-US"/>
              </w:rPr>
            </w:pPr>
            <w:r w:rsidRPr="004C78D8">
              <w:rPr>
                <w:sz w:val="18"/>
                <w:szCs w:val="18"/>
                <w:lang w:val="en-US"/>
              </w:rPr>
              <w:t>TA</w:t>
            </w:r>
          </w:p>
        </w:tc>
      </w:tr>
      <w:tr w:rsidR="008C6076" w:rsidRPr="004C78D8" w14:paraId="293BA022" w14:textId="77777777" w:rsidTr="002828C1">
        <w:tc>
          <w:tcPr>
            <w:tcW w:w="5000" w:type="pct"/>
            <w:gridSpan w:val="8"/>
          </w:tcPr>
          <w:p w14:paraId="6FEFF9F6" w14:textId="77777777" w:rsidR="008C6076" w:rsidRPr="004C78D8" w:rsidRDefault="008C6076" w:rsidP="00FB7C1F">
            <w:pPr>
              <w:rPr>
                <w:sz w:val="18"/>
                <w:szCs w:val="18"/>
                <w:lang w:val="en-US"/>
              </w:rPr>
            </w:pPr>
            <w:r w:rsidRPr="004C78D8">
              <w:rPr>
                <w:b/>
                <w:bCs/>
                <w:sz w:val="18"/>
                <w:szCs w:val="18"/>
                <w:lang w:val="en-US"/>
              </w:rPr>
              <w:lastRenderedPageBreak/>
              <w:t xml:space="preserve">Abbreviation: </w:t>
            </w:r>
            <w:r w:rsidRPr="004C78D8">
              <w:rPr>
                <w:sz w:val="18"/>
                <w:szCs w:val="18"/>
                <w:lang w:val="en-US"/>
              </w:rPr>
              <w:t>CSP: Chartered Society of Physiotherapy; ethnic.: ethnicity; Exo: exogenous; Int.: intervention; IN: intervention need; Med.: medication; OMAS: Ontario Medical Advisory Secretariat; PHE: Public Health England; RCN: Royal College of Nursing; SA: subgroup analysis; TA: targeting analysis</w:t>
            </w:r>
          </w:p>
          <w:p w14:paraId="645557AA" w14:textId="2B96196C" w:rsidR="008C6076" w:rsidRPr="004C78D8" w:rsidRDefault="008C6076" w:rsidP="00FB7C1F">
            <w:pPr>
              <w:rPr>
                <w:sz w:val="18"/>
                <w:szCs w:val="18"/>
              </w:rPr>
            </w:pPr>
            <w:r w:rsidRPr="004C78D8">
              <w:rPr>
                <w:sz w:val="18"/>
                <w:szCs w:val="18"/>
                <w:vertAlign w:val="superscript"/>
              </w:rPr>
              <w:t>1</w:t>
            </w:r>
            <w:r w:rsidRPr="004C78D8">
              <w:rPr>
                <w:sz w:val="18"/>
                <w:szCs w:val="18"/>
              </w:rPr>
              <w:t xml:space="preserve"> See Table </w:t>
            </w:r>
            <w:r w:rsidR="002C4E28" w:rsidRPr="004C78D8">
              <w:rPr>
                <w:sz w:val="18"/>
                <w:szCs w:val="18"/>
              </w:rPr>
              <w:t>4</w:t>
            </w:r>
            <w:r w:rsidRPr="004C78D8">
              <w:rPr>
                <w:sz w:val="18"/>
                <w:szCs w:val="18"/>
              </w:rPr>
              <w:t>.2 for study references.</w:t>
            </w:r>
          </w:p>
          <w:p w14:paraId="3910F3FE" w14:textId="77777777" w:rsidR="008C6076" w:rsidRPr="004C78D8" w:rsidRDefault="008C6076" w:rsidP="00FB7C1F">
            <w:pPr>
              <w:rPr>
                <w:sz w:val="18"/>
                <w:szCs w:val="18"/>
              </w:rPr>
            </w:pPr>
            <w:r w:rsidRPr="004C78D8">
              <w:rPr>
                <w:sz w:val="18"/>
                <w:szCs w:val="18"/>
                <w:vertAlign w:val="superscript"/>
              </w:rPr>
              <w:t>2</w:t>
            </w:r>
            <w:r w:rsidRPr="004C78D8">
              <w:rPr>
                <w:sz w:val="18"/>
                <w:szCs w:val="18"/>
              </w:rPr>
              <w:t xml:space="preserve"> Models which evaluated a falls risk screening process and targeted intervention at high fall risk individuals in base case analysis but did not explore alternative non-targeted or differently targeted scenario(s) (e.g., CSP (2016) and Franklin (2019)) were not marked as having performed TA.</w:t>
            </w:r>
          </w:p>
          <w:p w14:paraId="5A6D2BF1" w14:textId="77777777" w:rsidR="008C6076" w:rsidRPr="004C78D8" w:rsidRDefault="008C6076" w:rsidP="00FB7C1F">
            <w:pPr>
              <w:rPr>
                <w:sz w:val="18"/>
                <w:szCs w:val="18"/>
              </w:rPr>
            </w:pPr>
            <w:r w:rsidRPr="004C78D8">
              <w:rPr>
                <w:sz w:val="18"/>
                <w:szCs w:val="18"/>
                <w:vertAlign w:val="superscript"/>
              </w:rPr>
              <w:t>3</w:t>
            </w:r>
            <w:r w:rsidRPr="004C78D8">
              <w:rPr>
                <w:sz w:val="18"/>
                <w:szCs w:val="18"/>
              </w:rPr>
              <w:t xml:space="preserve"> The study constructed separate models for non-steroidal anti-inflammatory drug, benzodiazepine and proton pump inhibitor users. The latter could be interpreted as intervention subgroups within the same target population.</w:t>
            </w:r>
          </w:p>
        </w:tc>
      </w:tr>
    </w:tbl>
    <w:p w14:paraId="157BC4FB" w14:textId="262BF27B" w:rsidR="008C6076" w:rsidRPr="004C78D8" w:rsidRDefault="008C6076" w:rsidP="00FB7C1F"/>
    <w:p w14:paraId="7F0217B2" w14:textId="44B84722" w:rsidR="00627A35" w:rsidRPr="004C78D8" w:rsidRDefault="003A1321" w:rsidP="00FB7C1F">
      <w:r w:rsidRPr="004C78D8">
        <w:t xml:space="preserve">Age and sex were the most common </w:t>
      </w:r>
      <w:r w:rsidR="005056A1" w:rsidRPr="004C78D8">
        <w:t>delineating characteristics</w:t>
      </w:r>
      <w:r w:rsidRPr="004C78D8">
        <w:t xml:space="preserve">, used in 24 models. The use of social </w:t>
      </w:r>
      <w:r w:rsidR="005056A1" w:rsidRPr="004C78D8">
        <w:t xml:space="preserve">characteristics </w:t>
      </w:r>
      <w:r w:rsidRPr="004C78D8">
        <w:t xml:space="preserve">was infrequent: four models from the same BODE3 research group used ethnicity </w:t>
      </w:r>
      <w:r w:rsidRPr="004C78D8">
        <w:fldChar w:fldCharType="begin">
          <w:fldData xml:space="preserve">PEVuZE5vdGU+PENpdGU+PEF1dGhvcj5Cb3lkPC9BdXRob3I+PFllYXI+MjAyMDwvWWVhcj48UmVj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</w:fldData>
        </w:fldChar>
      </w:r>
      <w:r w:rsidR="00C630FC" w:rsidRPr="004C78D8">
        <w:instrText xml:space="preserve"> ADDIN EN.CITE </w:instrText>
      </w:r>
      <w:r w:rsidR="00C630FC" w:rsidRPr="004C78D8">
        <w:fldChar w:fldCharType="begin">
          <w:fldData xml:space="preserve">PEVuZE5vdGU+PENpdGU+PEF1dGhvcj5Cb3lkPC9BdXRob3I+PFllYXI+MjAyMDwvWWVhcj48UmVj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[206, 241, 337, 361]</w:t>
      </w:r>
      <w:r w:rsidRPr="004C78D8">
        <w:fldChar w:fldCharType="end"/>
      </w:r>
      <w:r w:rsidRPr="004C78D8">
        <w:t xml:space="preserve">, while one used health authority region </w:t>
      </w:r>
      <w:r w:rsidRPr="004C78D8">
        <w:fldChar w:fldCharType="begin">
          <w:fldData xml:space="preserve">PEVuZE5vdGU+PENpdGU+PEF1dGhvcj5JcHBvbGl0aTwvQXV0aG9yPjxZZWFyPjIwMTg8L1llYXI+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</w:fldData>
        </w:fldChar>
      </w:r>
      <w:r w:rsidR="00C630FC" w:rsidRPr="004C78D8">
        <w:instrText xml:space="preserve"> ADDIN EN.CITE </w:instrText>
      </w:r>
      <w:r w:rsidR="00C630FC" w:rsidRPr="004C78D8">
        <w:fldChar w:fldCharType="begin">
          <w:fldData xml:space="preserve">PEVuZE5vdGU+PENpdGU+PEF1dGhvcj5JcHBvbGl0aTwvQXV0aG9yPjxZZWFyPjIwMTg8L1llYXI+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[364]</w:t>
      </w:r>
      <w:r w:rsidRPr="004C78D8">
        <w:fldChar w:fldCharType="end"/>
      </w:r>
      <w:r w:rsidRPr="004C78D8">
        <w:t xml:space="preserve">. Smith (2016) compared different cut-off levels (i.e., targeting scenarios) based on multivariate falls risk estimated from routine data. Osteoporosis and carotid sinus hypersensitivity were the only chronic disease </w:t>
      </w:r>
      <w:r w:rsidR="005056A1" w:rsidRPr="004C78D8">
        <w:t xml:space="preserve">factors </w:t>
      </w:r>
      <w:r w:rsidRPr="004C78D8">
        <w:fldChar w:fldCharType="begin">
          <w:fldData xml:space="preserve">PEVuZE5vdGU+PENpdGU+PEF1dGhvcj5Nb3JpPC9BdXRob3I+PFllYXI+MjAxNzwvWWVhcj48UmVj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</w:fldData>
        </w:fldChar>
      </w:r>
      <w:r w:rsidR="00C630FC" w:rsidRPr="004C78D8">
        <w:instrText xml:space="preserve"> ADDIN EN.CITE </w:instrText>
      </w:r>
      <w:r w:rsidR="00C630FC" w:rsidRPr="004C78D8">
        <w:fldChar w:fldCharType="begin">
          <w:fldData xml:space="preserve">PEVuZE5vdGU+PENpdGU+PEF1dGhvcj5Nb3JpPC9BdXRob3I+PFllYXI+MjAxNzwvWWVhcj48UmVj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[167, 336, 344]</w:t>
      </w:r>
      <w:r w:rsidRPr="004C78D8">
        <w:fldChar w:fldCharType="end"/>
      </w:r>
      <w:r w:rsidRPr="004C78D8">
        <w:t xml:space="preserve">; psychotropic medication use delineated intervention need in two models </w:t>
      </w:r>
      <w:r w:rsidRPr="004C78D8">
        <w:fldChar w:fldCharType="begin"/>
      </w:r>
      <w:r w:rsidR="00C630FC" w:rsidRPr="004C78D8">
        <w:instrText xml:space="preserve"> ADDIN EN.CITE &lt;EndNote&gt;&lt;Cite&gt;&lt;Author&gt;Day&lt;/Author&gt;&lt;Year&gt;2009&lt;/Year&gt;&lt;RecNum&gt;346&lt;/RecNum&gt;&lt;DisplayText&gt;[167, 366]&lt;/DisplayText&gt;&lt;record&gt;&lt;rec-number&gt;346&lt;/rec-number&gt;&lt;foreign-keys&gt;&lt;key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planners&lt;/title&gt;&lt;/titles&gt;&lt;dates&gt;&lt;year&gt;2009&lt;/year&gt;&lt;/dates&gt;&lt;urls&gt;&lt;/urls&gt;&lt;/record&gt;&lt;/Cite&gt;&lt;Cite&gt;&lt;Author&gt;Ontario Medical Advisory Secretariat&lt;/Author&gt;&lt;Year&gt;2008&lt;/Year&gt;&lt;RecNum&gt;348&lt;/RecNum&gt;&lt;record&gt;&lt;rec-number&gt;348&lt;/rec-number&gt;&lt;foreign-keys&gt;&lt;key app="EN" db-id="tdtrdw9aepptzbefsat599syza29sxsd2wsp" timestamp="1612211831"&gt;348&lt;/key&gt;&lt;/foreign-keys&gt;&lt;ref-type name="Journal Article"&gt;17&lt;/ref-type&gt;&lt;contributors&gt;&lt;authors&gt;&lt;author&gt;Ontario Medical Advisory Secretariat,&lt;/author&gt;&lt;/authors&gt;&lt;/contributors&gt;&lt;titles&gt;&lt;title&gt;The Falls/fractures Economic Model in Ontario Residents aged 65 years and over (FEMOR)&lt;/title&gt;&lt;secondary-title&gt;Ontario health technology assessment series&lt;/secondary-title&gt;&lt;/titles&gt;&lt;periodical&gt;&lt;full-title&gt;Ontario health technology assessment series&lt;/full-title&gt;&lt;/periodical&gt;&lt;pages&gt;1&lt;/pages&gt;&lt;volume&gt;8&lt;/volume&gt;&lt;number&gt;6&lt;/number&gt;&lt;dates&gt;&lt;year&gt;2008&lt;/year&gt;&lt;/dates&gt;&lt;urls&gt;&lt;/urls&gt;&lt;/record&gt;&lt;/Cite&gt;&lt;/EndNote&gt;</w:instrText>
      </w:r>
      <w:r w:rsidRPr="004C78D8">
        <w:fldChar w:fldCharType="separate"/>
      </w:r>
      <w:r w:rsidR="00C630FC" w:rsidRPr="004C78D8">
        <w:rPr>
          <w:noProof/>
        </w:rPr>
        <w:t>[167, 366]</w:t>
      </w:r>
      <w:r w:rsidRPr="004C78D8">
        <w:fldChar w:fldCharType="end"/>
      </w:r>
      <w:r w:rsidRPr="004C78D8">
        <w:t xml:space="preserve">. Physical capacity </w:t>
      </w:r>
      <w:r w:rsidR="005056A1" w:rsidRPr="004C78D8">
        <w:t xml:space="preserve">factors </w:t>
      </w:r>
      <w:r w:rsidRPr="004C78D8">
        <w:t xml:space="preserve">included mobility, functional status and vitamin D level. Five models incorporated heterogeneous intervention subgroups </w:t>
      </w:r>
      <w:r w:rsidRPr="004C78D8">
        <w:fldChar w:fldCharType="begin">
          <w:fldData xml:space="preserve">PEVuZE5vdGU+PENpdGU+PEF1dGhvcj5EYXk8L0F1dGhvcj48WWVhcj4yMDA5PC9ZZWFyPjxSZWNO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</w:fldData>
        </w:fldChar>
      </w:r>
      <w:r w:rsidR="00C630FC" w:rsidRPr="004C78D8">
        <w:instrText xml:space="preserve"> ADDIN EN.CITE </w:instrText>
      </w:r>
      <w:r w:rsidR="00C630FC" w:rsidRPr="004C78D8">
        <w:fldChar w:fldCharType="begin">
          <w:fldData xml:space="preserve">PEVuZE5vdGU+PENpdGU+PEF1dGhvcj5EYXk8L0F1dGhvcj48WWVhcj4yMDA5PC9ZZWFyPjxSZWNO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[167, 216, 274, 336, 366]</w:t>
      </w:r>
      <w:r w:rsidRPr="004C78D8">
        <w:fldChar w:fldCharType="end"/>
      </w:r>
      <w:r w:rsidRPr="004C78D8">
        <w:t xml:space="preserve">; of these, two incorporated non-mutually exclusive interventions </w:t>
      </w:r>
      <w:r w:rsidRPr="004C78D8">
        <w:fldChar w:fldCharType="begin">
          <w:fldData xml:space="preserve">PEVuZE5vdGU+PENpdGU+PEF1dGhvcj5Oc2hpbXl1bXVraXphPC9BdXRob3I+PFllYXI+MjAxMzwv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</w:fldData>
        </w:fldChar>
      </w:r>
      <w:r w:rsidR="00C630FC" w:rsidRPr="004C78D8">
        <w:instrText xml:space="preserve"> ADDIN EN.CITE </w:instrText>
      </w:r>
      <w:r w:rsidR="00C630FC" w:rsidRPr="004C78D8">
        <w:fldChar w:fldCharType="begin">
          <w:fldData xml:space="preserve">PEVuZE5vdGU+PENpdGU+PEF1dGhvcj5Oc2hpbXl1bXVraXphPC9BdXRob3I+PFllYXI+MjAxMzwv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[274, 336]</w:t>
      </w:r>
      <w:r w:rsidRPr="004C78D8">
        <w:fldChar w:fldCharType="end"/>
      </w:r>
      <w:r w:rsidRPr="004C78D8">
        <w:t>.</w:t>
      </w:r>
    </w:p>
    <w:p w14:paraId="29460AB8" w14:textId="6C8DC14F" w:rsidR="003A1321" w:rsidRPr="004C78D8" w:rsidRDefault="003A1321" w:rsidP="00FB7C1F">
      <w:r w:rsidRPr="004C78D8">
        <w:t>Pega (2016) was unique in characterising heterogeneity in efficacy for the same intervention across recipient subgroups: in one scenario analysis, the falls rate ratio of HAM compared to usual care was set to be 0.62 for those at high falls risk and 0.94 for low risk. Studies generally favoured the use of pooled efficacy estimates from meta-analyses: 23 of 35 models using external efficacy sourced meta-analysis estimates</w:t>
      </w:r>
      <w:r w:rsidR="00DA5AB2" w:rsidRPr="004C78D8">
        <w:t xml:space="preserve"> (Table </w:t>
      </w:r>
      <w:r w:rsidR="00824AFF" w:rsidRPr="004C78D8">
        <w:t>4</w:t>
      </w:r>
      <w:r w:rsidR="00DA5AB2" w:rsidRPr="004C78D8">
        <w:t>.10)</w:t>
      </w:r>
      <w:r w:rsidRPr="004C78D8">
        <w:t xml:space="preserve">; however, pooled estimates can mask heterogeneity in efficacy. With some exceptions </w:t>
      </w:r>
      <w:r w:rsidRPr="004C78D8">
        <w:fldChar w:fldCharType="begin">
          <w:fldData xml:space="preserve">PEVuZE5vdGU+PENpdGU+PEF1dGhvcj5QZWdhPC9BdXRob3I+PFllYXI+MjAxNjwvWWVhcj48UmVj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</w:fldData>
        </w:fldChar>
      </w:r>
      <w:r w:rsidR="00C630FC" w:rsidRPr="004C78D8">
        <w:instrText xml:space="preserve"> ADDIN EN.CITE </w:instrText>
      </w:r>
      <w:r w:rsidR="00C630FC" w:rsidRPr="004C78D8">
        <w:fldChar w:fldCharType="begin">
          <w:fldData xml:space="preserve">PEVuZE5vdGU+PENpdGU+PEF1dGhvcj5QZWdhPC9BdXRob3I+PFllYXI+MjAxNjwvWWVhcj48UmVj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[207, 216, 241, 363]</w:t>
      </w:r>
      <w:r w:rsidRPr="004C78D8">
        <w:fldChar w:fldCharType="end"/>
      </w:r>
      <w:r w:rsidRPr="004C78D8">
        <w:t>, there was little effort to discern whether a single or pooled estimate would better reflect the heterogeneity in efficacy</w:t>
      </w:r>
      <w:r w:rsidRPr="004C78D8">
        <w:rPr>
          <w:b/>
          <w:bCs/>
        </w:rPr>
        <w:t xml:space="preserve">. </w:t>
      </w:r>
      <w:r w:rsidRPr="004C78D8">
        <w:t xml:space="preserve">Likewise, heterogeneity in intervention cost was poorly modelled: only Honkanen (2006) allowed the hip protector </w:t>
      </w:r>
      <w:r w:rsidR="00DA5AB2" w:rsidRPr="004C78D8">
        <w:t xml:space="preserve">cost </w:t>
      </w:r>
      <w:r w:rsidRPr="004C78D8">
        <w:t>to vary by recipients’ functional status and residence.</w:t>
      </w:r>
    </w:p>
    <w:p w14:paraId="246CB5DE" w14:textId="3F1C97A7" w:rsidR="00C211AB" w:rsidRPr="004C78D8" w:rsidRDefault="003A1321" w:rsidP="00FB7C1F">
      <w:r w:rsidRPr="004C78D8">
        <w:t xml:space="preserve">An issue in several models concerned how evaluation outcomes were compared across heterogeneously sized target subgroups. Specifically, there was a need to compare both incremental cost-per-unit ratios (e.g., ICER) and aggregate outcomes (e.g., total INMB). An intervention tailored to a specific subgroup may generate a very favourable cost-per-unit ratio but a low aggregate benefit due to the small subgroup size. Accordingly, Day (2009) compared both the ICER and total falls prevented across six heterogeneously sized subgroups with different intervention needs; here, Otago exercise had the least favourable ICER (although still cost-effective) but the most favourable aggregate impact in terms of the number of hospitalised falls prevented. By contrast, Moriarty (2019) estimated the most favourable ICER for modification of inappropriate non-steroidal anti-inflammatory drug (NSAID) relative to benzodiazepine and proton pump inhibitor (PPI) modifications (all three dominated no modification as comparator); however, the prevalence of inappropriate NSAID use was 4.1% compared to 23.6% for PPI. Hence, if aggregate benefits are considered, PPI modification likely becomes the policy priority, not NSAID as concluded by the study. Likewise, PHE (2018) estimated that HAM had the most favourable ROI and ICER (with </w:t>
      </w:r>
      <w:r w:rsidR="00316119" w:rsidRPr="004C78D8">
        <w:t>‘</w:t>
      </w:r>
      <w:r w:rsidRPr="004C78D8">
        <w:t>no intervention</w:t>
      </w:r>
      <w:r w:rsidR="00316119" w:rsidRPr="004C78D8">
        <w:t>’</w:t>
      </w:r>
      <w:r w:rsidRPr="004C78D8">
        <w:t xml:space="preserve"> as comparator) relative to three exercise interventions; but HAM targeted a subgroup 17 times smaller than the latter, thus generating the smallest INMB.</w:t>
      </w:r>
      <w:r w:rsidR="00F0466A" w:rsidRPr="004C78D8">
        <w:t xml:space="preserve"> </w:t>
      </w:r>
    </w:p>
    <w:p w14:paraId="20E45B34" w14:textId="43EE30A3" w:rsidR="00F0466A" w:rsidRPr="004C78D8" w:rsidRDefault="00F0466A" w:rsidP="00FB7C1F">
      <w:pPr>
        <w:pStyle w:val="Heading5"/>
      </w:pPr>
      <w:r w:rsidRPr="004C78D8">
        <w:t>Dynamic complexity</w:t>
      </w:r>
    </w:p>
    <w:p w14:paraId="23CCAD3E" w14:textId="153DEB5D" w:rsidR="00840E31" w:rsidRPr="004C78D8" w:rsidRDefault="006C5D2F" w:rsidP="00FB7C1F">
      <w:r w:rsidRPr="004C78D8">
        <w:t xml:space="preserve">Table </w:t>
      </w:r>
      <w:r w:rsidR="00EE19A2" w:rsidRPr="004C78D8">
        <w:t>4</w:t>
      </w:r>
      <w:r w:rsidRPr="004C78D8">
        <w:t>.13 shows the time-variant falls risk factors and determinants of background health (expressed in health utility values) and comorbidity care costs incorporated in 17 models (13 cohort- and four individual-level Markov models) with time horizons longer than five years.</w:t>
      </w:r>
    </w:p>
    <w:tbl>
      <w:tblPr>
        <w:tblStyle w:val="TableGrid"/>
        <w:tblW w:w="5000" w:type="pct"/>
        <w:tblLook w:val="04A0" w:firstRow="1" w:lastRow="0" w:firstColumn="1" w:lastColumn="0" w:noHBand="0" w:noVBand="1"/>
      </w:tblPr>
      <w:tblGrid>
        <w:gridCol w:w="2098"/>
        <w:gridCol w:w="1289"/>
        <w:gridCol w:w="1278"/>
        <w:gridCol w:w="1170"/>
        <w:gridCol w:w="1668"/>
        <w:gridCol w:w="1513"/>
      </w:tblGrid>
      <w:tr w:rsidR="00F0466A" w:rsidRPr="004C78D8" w14:paraId="5EB55E80" w14:textId="77777777" w:rsidTr="002828C1">
        <w:tc>
          <w:tcPr>
            <w:tcW w:w="5000" w:type="pct"/>
            <w:gridSpan w:val="6"/>
          </w:tcPr>
          <w:p w14:paraId="0CF99AD4" w14:textId="037B0569" w:rsidR="00F0466A" w:rsidRPr="004C78D8" w:rsidRDefault="00F0466A" w:rsidP="00FB7C1F">
            <w:pPr>
              <w:rPr>
                <w:b/>
                <w:bCs/>
              </w:rPr>
            </w:pPr>
            <w:r w:rsidRPr="004C78D8">
              <w:rPr>
                <w:b/>
                <w:bCs/>
              </w:rPr>
              <w:t xml:space="preserve">Table </w:t>
            </w:r>
            <w:r w:rsidR="00EE19A2" w:rsidRPr="004C78D8">
              <w:rPr>
                <w:b/>
                <w:bCs/>
              </w:rPr>
              <w:t>4</w:t>
            </w:r>
            <w:r w:rsidR="00840E31" w:rsidRPr="004C78D8">
              <w:rPr>
                <w:b/>
                <w:bCs/>
              </w:rPr>
              <w:t>.13</w:t>
            </w:r>
            <w:r w:rsidRPr="004C78D8">
              <w:t xml:space="preserve"> Time-variant falls risk factors and determinants of background health utility and care cost progressions in non-binary models with horizons longer than five years</w:t>
            </w:r>
            <w:r w:rsidR="00840E31" w:rsidRPr="004C78D8">
              <w:t>.</w:t>
            </w:r>
          </w:p>
        </w:tc>
      </w:tr>
      <w:tr w:rsidR="00F0466A" w:rsidRPr="004C78D8" w14:paraId="2A853666" w14:textId="77777777" w:rsidTr="002828C1">
        <w:tc>
          <w:tcPr>
            <w:tcW w:w="1163" w:type="pct"/>
          </w:tcPr>
          <w:p w14:paraId="6EF74A23" w14:textId="77777777" w:rsidR="00F0466A" w:rsidRPr="004C78D8" w:rsidRDefault="00F0466A" w:rsidP="00FB7C1F">
            <w:pPr>
              <w:jc w:val="left"/>
              <w:rPr>
                <w:b/>
                <w:bCs/>
                <w:sz w:val="20"/>
                <w:szCs w:val="20"/>
              </w:rPr>
            </w:pPr>
          </w:p>
        </w:tc>
        <w:tc>
          <w:tcPr>
            <w:tcW w:w="2072" w:type="pct"/>
            <w:gridSpan w:val="3"/>
          </w:tcPr>
          <w:p w14:paraId="1FE4014D" w14:textId="77777777" w:rsidR="00F0466A" w:rsidRPr="004C78D8" w:rsidRDefault="00F0466A" w:rsidP="00FB7C1F">
            <w:pPr>
              <w:jc w:val="center"/>
              <w:rPr>
                <w:b/>
                <w:bCs/>
                <w:sz w:val="20"/>
                <w:szCs w:val="20"/>
              </w:rPr>
            </w:pPr>
            <w:r w:rsidRPr="004C78D8">
              <w:rPr>
                <w:b/>
                <w:bCs/>
                <w:sz w:val="20"/>
                <w:szCs w:val="20"/>
              </w:rPr>
              <w:t>Time-variant falls risk factors</w:t>
            </w:r>
          </w:p>
        </w:tc>
        <w:tc>
          <w:tcPr>
            <w:tcW w:w="1765" w:type="pct"/>
            <w:gridSpan w:val="2"/>
            <w:vAlign w:val="bottom"/>
          </w:tcPr>
          <w:p w14:paraId="09129FB2" w14:textId="77777777" w:rsidR="00F0466A" w:rsidRPr="004C78D8" w:rsidRDefault="00F0466A" w:rsidP="00FB7C1F">
            <w:pPr>
              <w:jc w:val="center"/>
              <w:rPr>
                <w:b/>
                <w:bCs/>
                <w:sz w:val="18"/>
                <w:szCs w:val="18"/>
              </w:rPr>
            </w:pPr>
            <w:r w:rsidRPr="004C78D8">
              <w:rPr>
                <w:b/>
                <w:bCs/>
                <w:sz w:val="18"/>
                <w:szCs w:val="18"/>
              </w:rPr>
              <w:t>Background</w:t>
            </w:r>
            <w:r w:rsidRPr="004C78D8">
              <w:rPr>
                <w:b/>
                <w:bCs/>
                <w:sz w:val="18"/>
                <w:szCs w:val="18"/>
                <w:vertAlign w:val="superscript"/>
              </w:rPr>
              <w:t>2</w:t>
            </w:r>
            <w:r w:rsidRPr="004C78D8">
              <w:rPr>
                <w:b/>
                <w:bCs/>
                <w:sz w:val="18"/>
                <w:szCs w:val="18"/>
              </w:rPr>
              <w:t xml:space="preserve"> health/cost determinants</w:t>
            </w:r>
          </w:p>
        </w:tc>
      </w:tr>
      <w:tr w:rsidR="00F0466A" w:rsidRPr="004C78D8" w14:paraId="1D70C499" w14:textId="77777777" w:rsidTr="002828C1">
        <w:tc>
          <w:tcPr>
            <w:tcW w:w="1163" w:type="pct"/>
            <w:tcBorders>
              <w:bottom w:val="single" w:sz="4" w:space="0" w:color="auto"/>
            </w:tcBorders>
            <w:vAlign w:val="bottom"/>
          </w:tcPr>
          <w:p w14:paraId="5384AC83" w14:textId="77777777" w:rsidR="00F0466A" w:rsidRPr="004C78D8" w:rsidRDefault="00F0466A" w:rsidP="00FB7C1F">
            <w:pPr>
              <w:jc w:val="left"/>
              <w:rPr>
                <w:b/>
                <w:bCs/>
                <w:sz w:val="18"/>
                <w:szCs w:val="18"/>
              </w:rPr>
            </w:pPr>
            <w:r w:rsidRPr="004C78D8">
              <w:rPr>
                <w:b/>
                <w:bCs/>
                <w:sz w:val="18"/>
                <w:szCs w:val="18"/>
              </w:rPr>
              <w:lastRenderedPageBreak/>
              <w:t>Study label</w:t>
            </w:r>
            <w:r w:rsidRPr="004C78D8">
              <w:rPr>
                <w:b/>
                <w:bCs/>
                <w:sz w:val="18"/>
                <w:szCs w:val="18"/>
                <w:vertAlign w:val="superscript"/>
              </w:rPr>
              <w:t>1</w:t>
            </w:r>
          </w:p>
        </w:tc>
        <w:tc>
          <w:tcPr>
            <w:tcW w:w="715" w:type="pct"/>
            <w:tcBorders>
              <w:bottom w:val="single" w:sz="4" w:space="0" w:color="auto"/>
            </w:tcBorders>
            <w:vAlign w:val="bottom"/>
          </w:tcPr>
          <w:p w14:paraId="23DB060B" w14:textId="77777777" w:rsidR="00F0466A" w:rsidRPr="004C78D8" w:rsidRDefault="00F0466A" w:rsidP="00FB7C1F">
            <w:pPr>
              <w:jc w:val="center"/>
              <w:rPr>
                <w:b/>
                <w:bCs/>
                <w:sz w:val="18"/>
                <w:szCs w:val="18"/>
              </w:rPr>
            </w:pPr>
            <w:r w:rsidRPr="004C78D8">
              <w:rPr>
                <w:b/>
                <w:bCs/>
                <w:sz w:val="18"/>
                <w:szCs w:val="18"/>
              </w:rPr>
              <w:t>Age</w:t>
            </w:r>
          </w:p>
        </w:tc>
        <w:tc>
          <w:tcPr>
            <w:tcW w:w="709" w:type="pct"/>
            <w:tcBorders>
              <w:bottom w:val="single" w:sz="4" w:space="0" w:color="auto"/>
            </w:tcBorders>
            <w:vAlign w:val="bottom"/>
          </w:tcPr>
          <w:p w14:paraId="24838F6B" w14:textId="77777777" w:rsidR="00F0466A" w:rsidRPr="004C78D8" w:rsidRDefault="00F0466A" w:rsidP="00FB7C1F">
            <w:pPr>
              <w:jc w:val="center"/>
              <w:rPr>
                <w:b/>
                <w:bCs/>
                <w:sz w:val="18"/>
                <w:szCs w:val="18"/>
              </w:rPr>
            </w:pPr>
            <w:r w:rsidRPr="004C78D8">
              <w:rPr>
                <w:b/>
                <w:bCs/>
                <w:sz w:val="18"/>
                <w:szCs w:val="18"/>
              </w:rPr>
              <w:t>Falls incidence</w:t>
            </w:r>
          </w:p>
        </w:tc>
        <w:tc>
          <w:tcPr>
            <w:tcW w:w="649" w:type="pct"/>
            <w:tcBorders>
              <w:bottom w:val="single" w:sz="4" w:space="0" w:color="auto"/>
            </w:tcBorders>
            <w:vAlign w:val="bottom"/>
          </w:tcPr>
          <w:p w14:paraId="6621B0EB" w14:textId="77777777" w:rsidR="00F0466A" w:rsidRPr="004C78D8" w:rsidRDefault="00F0466A" w:rsidP="00FB7C1F">
            <w:pPr>
              <w:jc w:val="center"/>
              <w:rPr>
                <w:b/>
                <w:bCs/>
                <w:sz w:val="18"/>
                <w:szCs w:val="18"/>
              </w:rPr>
            </w:pPr>
            <w:r w:rsidRPr="004C78D8">
              <w:rPr>
                <w:b/>
                <w:bCs/>
                <w:sz w:val="18"/>
                <w:szCs w:val="18"/>
              </w:rPr>
              <w:t>Other</w:t>
            </w:r>
          </w:p>
        </w:tc>
        <w:tc>
          <w:tcPr>
            <w:tcW w:w="925" w:type="pct"/>
            <w:tcBorders>
              <w:bottom w:val="single" w:sz="4" w:space="0" w:color="auto"/>
            </w:tcBorders>
            <w:vAlign w:val="bottom"/>
          </w:tcPr>
          <w:p w14:paraId="358D184A" w14:textId="410B965C" w:rsidR="00F0466A" w:rsidRPr="004C78D8" w:rsidRDefault="00F0466A" w:rsidP="00FB7C1F">
            <w:pPr>
              <w:jc w:val="center"/>
              <w:rPr>
                <w:b/>
                <w:bCs/>
                <w:sz w:val="18"/>
                <w:szCs w:val="18"/>
              </w:rPr>
            </w:pPr>
            <w:r w:rsidRPr="004C78D8">
              <w:rPr>
                <w:b/>
                <w:bCs/>
                <w:sz w:val="18"/>
                <w:szCs w:val="18"/>
              </w:rPr>
              <w:t>Health utility</w:t>
            </w:r>
          </w:p>
        </w:tc>
        <w:tc>
          <w:tcPr>
            <w:tcW w:w="840" w:type="pct"/>
            <w:tcBorders>
              <w:bottom w:val="single" w:sz="4" w:space="0" w:color="auto"/>
            </w:tcBorders>
            <w:vAlign w:val="bottom"/>
          </w:tcPr>
          <w:p w14:paraId="00E99E76" w14:textId="77777777" w:rsidR="00F0466A" w:rsidRPr="004C78D8" w:rsidRDefault="00F0466A" w:rsidP="00FB7C1F">
            <w:pPr>
              <w:jc w:val="center"/>
              <w:rPr>
                <w:b/>
                <w:bCs/>
                <w:sz w:val="18"/>
                <w:szCs w:val="18"/>
              </w:rPr>
            </w:pPr>
            <w:r w:rsidRPr="004C78D8">
              <w:rPr>
                <w:b/>
                <w:bCs/>
                <w:sz w:val="18"/>
                <w:szCs w:val="18"/>
              </w:rPr>
              <w:t>Comorbidity care cost</w:t>
            </w:r>
          </w:p>
        </w:tc>
      </w:tr>
      <w:tr w:rsidR="00F0466A" w:rsidRPr="004C78D8" w14:paraId="5F322EEF" w14:textId="77777777" w:rsidTr="002828C1">
        <w:tc>
          <w:tcPr>
            <w:tcW w:w="5000" w:type="pct"/>
            <w:gridSpan w:val="6"/>
            <w:tcBorders>
              <w:bottom w:val="single" w:sz="4" w:space="0" w:color="auto"/>
            </w:tcBorders>
          </w:tcPr>
          <w:p w14:paraId="0A32F01D" w14:textId="77777777" w:rsidR="00F0466A" w:rsidRPr="004C78D8" w:rsidRDefault="00F0466A" w:rsidP="00FB7C1F">
            <w:pPr>
              <w:jc w:val="left"/>
              <w:rPr>
                <w:b/>
                <w:bCs/>
                <w:sz w:val="18"/>
                <w:szCs w:val="18"/>
              </w:rPr>
            </w:pPr>
            <w:r w:rsidRPr="004C78D8">
              <w:rPr>
                <w:b/>
                <w:bCs/>
                <w:sz w:val="18"/>
                <w:szCs w:val="18"/>
              </w:rPr>
              <w:t>Cohort-level Markov models</w:t>
            </w:r>
            <w:r w:rsidRPr="004C78D8">
              <w:rPr>
                <w:b/>
                <w:bCs/>
                <w:sz w:val="18"/>
                <w:szCs w:val="18"/>
                <w:vertAlign w:val="superscript"/>
              </w:rPr>
              <w:t>3</w:t>
            </w:r>
          </w:p>
        </w:tc>
      </w:tr>
      <w:tr w:rsidR="00F0466A" w:rsidRPr="004C78D8" w14:paraId="17B1861F" w14:textId="77777777" w:rsidTr="002828C1">
        <w:tc>
          <w:tcPr>
            <w:tcW w:w="1163" w:type="pct"/>
            <w:tcBorders>
              <w:top w:val="single" w:sz="4" w:space="0" w:color="auto"/>
              <w:bottom w:val="nil"/>
            </w:tcBorders>
          </w:tcPr>
          <w:p w14:paraId="233F7755" w14:textId="77777777" w:rsidR="00F0466A" w:rsidRPr="004C78D8" w:rsidRDefault="00F0466A" w:rsidP="00FB7C1F">
            <w:pPr>
              <w:jc w:val="left"/>
              <w:rPr>
                <w:sz w:val="18"/>
                <w:szCs w:val="18"/>
              </w:rPr>
            </w:pPr>
            <w:r w:rsidRPr="004C78D8">
              <w:rPr>
                <w:sz w:val="18"/>
                <w:szCs w:val="18"/>
              </w:rPr>
              <w:t>Boyd (2020)</w:t>
            </w:r>
          </w:p>
        </w:tc>
        <w:tc>
          <w:tcPr>
            <w:tcW w:w="715" w:type="pct"/>
            <w:tcBorders>
              <w:top w:val="single" w:sz="4" w:space="0" w:color="auto"/>
              <w:bottom w:val="nil"/>
            </w:tcBorders>
          </w:tcPr>
          <w:p w14:paraId="54D1B445" w14:textId="77777777" w:rsidR="00F0466A" w:rsidRPr="004C78D8" w:rsidRDefault="00F0466A" w:rsidP="00FB7C1F">
            <w:pPr>
              <w:jc w:val="center"/>
              <w:rPr>
                <w:sz w:val="18"/>
                <w:szCs w:val="18"/>
              </w:rPr>
            </w:pPr>
            <w:r w:rsidRPr="004C78D8">
              <w:rPr>
                <w:sz w:val="18"/>
                <w:szCs w:val="18"/>
              </w:rPr>
              <w:t>Tunnel state?</w:t>
            </w:r>
            <w:r w:rsidRPr="004C78D8">
              <w:rPr>
                <w:sz w:val="18"/>
                <w:szCs w:val="18"/>
                <w:vertAlign w:val="superscript"/>
              </w:rPr>
              <w:t>4</w:t>
            </w:r>
          </w:p>
        </w:tc>
        <w:tc>
          <w:tcPr>
            <w:tcW w:w="709" w:type="pct"/>
            <w:tcBorders>
              <w:top w:val="single" w:sz="4" w:space="0" w:color="auto"/>
              <w:bottom w:val="nil"/>
            </w:tcBorders>
          </w:tcPr>
          <w:p w14:paraId="0BFDA458" w14:textId="77777777" w:rsidR="00F0466A" w:rsidRPr="004C78D8" w:rsidRDefault="00F0466A" w:rsidP="00FB7C1F">
            <w:pPr>
              <w:jc w:val="center"/>
              <w:rPr>
                <w:sz w:val="18"/>
                <w:szCs w:val="18"/>
              </w:rPr>
            </w:pPr>
            <w:r w:rsidRPr="004C78D8">
              <w:rPr>
                <w:sz w:val="18"/>
                <w:szCs w:val="18"/>
              </w:rPr>
              <w:t>MA fall</w:t>
            </w:r>
          </w:p>
        </w:tc>
        <w:tc>
          <w:tcPr>
            <w:tcW w:w="649" w:type="pct"/>
            <w:tcBorders>
              <w:top w:val="single" w:sz="4" w:space="0" w:color="auto"/>
              <w:bottom w:val="nil"/>
            </w:tcBorders>
          </w:tcPr>
          <w:p w14:paraId="1C967F50" w14:textId="77777777" w:rsidR="00F0466A" w:rsidRPr="004C78D8" w:rsidRDefault="00F0466A" w:rsidP="00FB7C1F">
            <w:pPr>
              <w:jc w:val="center"/>
              <w:rPr>
                <w:sz w:val="18"/>
                <w:szCs w:val="18"/>
              </w:rPr>
            </w:pPr>
          </w:p>
        </w:tc>
        <w:tc>
          <w:tcPr>
            <w:tcW w:w="925" w:type="pct"/>
            <w:tcBorders>
              <w:top w:val="single" w:sz="4" w:space="0" w:color="auto"/>
              <w:bottom w:val="nil"/>
            </w:tcBorders>
          </w:tcPr>
          <w:p w14:paraId="549EF481" w14:textId="77777777" w:rsidR="00F0466A" w:rsidRPr="004C78D8" w:rsidRDefault="00F0466A" w:rsidP="00FB7C1F">
            <w:pPr>
              <w:jc w:val="center"/>
              <w:rPr>
                <w:sz w:val="18"/>
                <w:szCs w:val="18"/>
              </w:rPr>
            </w:pPr>
            <w:r w:rsidRPr="004C78D8">
              <w:rPr>
                <w:sz w:val="18"/>
                <w:szCs w:val="18"/>
              </w:rPr>
              <w:t>Age</w:t>
            </w:r>
            <w:r w:rsidRPr="004C78D8">
              <w:rPr>
                <w:sz w:val="18"/>
                <w:szCs w:val="18"/>
                <w:vertAlign w:val="superscript"/>
              </w:rPr>
              <w:t>5</w:t>
            </w:r>
          </w:p>
        </w:tc>
        <w:tc>
          <w:tcPr>
            <w:tcW w:w="840" w:type="pct"/>
            <w:tcBorders>
              <w:top w:val="single" w:sz="4" w:space="0" w:color="auto"/>
              <w:bottom w:val="nil"/>
            </w:tcBorders>
          </w:tcPr>
          <w:p w14:paraId="7116EDE6" w14:textId="77777777" w:rsidR="00F0466A" w:rsidRPr="004C78D8" w:rsidRDefault="00F0466A" w:rsidP="00FB7C1F">
            <w:pPr>
              <w:jc w:val="center"/>
              <w:rPr>
                <w:sz w:val="18"/>
                <w:szCs w:val="18"/>
              </w:rPr>
            </w:pPr>
            <w:r w:rsidRPr="004C78D8">
              <w:rPr>
                <w:sz w:val="18"/>
                <w:szCs w:val="18"/>
              </w:rPr>
              <w:t>Age</w:t>
            </w:r>
            <w:r w:rsidRPr="004C78D8">
              <w:rPr>
                <w:sz w:val="18"/>
                <w:szCs w:val="18"/>
                <w:vertAlign w:val="superscript"/>
              </w:rPr>
              <w:t>5</w:t>
            </w:r>
          </w:p>
        </w:tc>
      </w:tr>
      <w:tr w:rsidR="00F0466A" w:rsidRPr="004C78D8" w14:paraId="628FC064" w14:textId="77777777" w:rsidTr="002828C1">
        <w:tc>
          <w:tcPr>
            <w:tcW w:w="1163" w:type="pct"/>
            <w:tcBorders>
              <w:top w:val="nil"/>
              <w:bottom w:val="nil"/>
            </w:tcBorders>
          </w:tcPr>
          <w:p w14:paraId="10730697" w14:textId="77777777" w:rsidR="00F0466A" w:rsidRPr="004C78D8" w:rsidRDefault="00F0466A" w:rsidP="00FB7C1F">
            <w:pPr>
              <w:jc w:val="left"/>
              <w:rPr>
                <w:sz w:val="18"/>
                <w:szCs w:val="18"/>
              </w:rPr>
            </w:pPr>
            <w:r w:rsidRPr="004C78D8">
              <w:rPr>
                <w:sz w:val="18"/>
                <w:szCs w:val="18"/>
              </w:rPr>
              <w:t>Church (2011); (2012)</w:t>
            </w:r>
          </w:p>
        </w:tc>
        <w:tc>
          <w:tcPr>
            <w:tcW w:w="715" w:type="pct"/>
            <w:tcBorders>
              <w:top w:val="nil"/>
              <w:bottom w:val="nil"/>
            </w:tcBorders>
          </w:tcPr>
          <w:p w14:paraId="27D09298" w14:textId="77777777" w:rsidR="00F0466A" w:rsidRPr="004C78D8" w:rsidRDefault="00F0466A" w:rsidP="00FB7C1F">
            <w:pPr>
              <w:jc w:val="center"/>
              <w:rPr>
                <w:sz w:val="18"/>
                <w:szCs w:val="18"/>
              </w:rPr>
            </w:pPr>
            <w:r w:rsidRPr="004C78D8">
              <w:rPr>
                <w:sz w:val="18"/>
                <w:szCs w:val="18"/>
              </w:rPr>
              <w:t>Tunnel state?</w:t>
            </w:r>
          </w:p>
        </w:tc>
        <w:tc>
          <w:tcPr>
            <w:tcW w:w="709" w:type="pct"/>
            <w:tcBorders>
              <w:top w:val="nil"/>
              <w:bottom w:val="nil"/>
            </w:tcBorders>
          </w:tcPr>
          <w:p w14:paraId="07948C7E" w14:textId="77777777" w:rsidR="00F0466A" w:rsidRPr="004C78D8" w:rsidRDefault="00F0466A" w:rsidP="00FB7C1F">
            <w:pPr>
              <w:jc w:val="center"/>
              <w:rPr>
                <w:sz w:val="18"/>
                <w:szCs w:val="18"/>
              </w:rPr>
            </w:pPr>
            <w:r w:rsidRPr="004C78D8">
              <w:rPr>
                <w:sz w:val="18"/>
                <w:szCs w:val="18"/>
              </w:rPr>
              <w:t>Any fall</w:t>
            </w:r>
          </w:p>
        </w:tc>
        <w:tc>
          <w:tcPr>
            <w:tcW w:w="649" w:type="pct"/>
            <w:tcBorders>
              <w:top w:val="nil"/>
              <w:bottom w:val="nil"/>
            </w:tcBorders>
          </w:tcPr>
          <w:p w14:paraId="68DE64E2" w14:textId="77777777" w:rsidR="00F0466A" w:rsidRPr="004C78D8" w:rsidRDefault="00F0466A" w:rsidP="00FB7C1F">
            <w:pPr>
              <w:jc w:val="center"/>
              <w:rPr>
                <w:sz w:val="18"/>
                <w:szCs w:val="18"/>
              </w:rPr>
            </w:pPr>
          </w:p>
        </w:tc>
        <w:tc>
          <w:tcPr>
            <w:tcW w:w="925" w:type="pct"/>
            <w:tcBorders>
              <w:top w:val="nil"/>
              <w:bottom w:val="nil"/>
            </w:tcBorders>
          </w:tcPr>
          <w:p w14:paraId="36D12B43" w14:textId="77777777" w:rsidR="00F0466A" w:rsidRPr="004C78D8" w:rsidRDefault="00F0466A" w:rsidP="00FB7C1F">
            <w:pPr>
              <w:jc w:val="center"/>
              <w:rPr>
                <w:sz w:val="18"/>
                <w:szCs w:val="18"/>
              </w:rPr>
            </w:pPr>
            <w:r w:rsidRPr="004C78D8">
              <w:rPr>
                <w:sz w:val="18"/>
                <w:szCs w:val="18"/>
              </w:rPr>
              <w:t>Age</w:t>
            </w:r>
            <w:r w:rsidRPr="004C78D8">
              <w:rPr>
                <w:sz w:val="18"/>
                <w:szCs w:val="18"/>
                <w:vertAlign w:val="superscript"/>
              </w:rPr>
              <w:t>6</w:t>
            </w:r>
          </w:p>
        </w:tc>
        <w:tc>
          <w:tcPr>
            <w:tcW w:w="840" w:type="pct"/>
            <w:tcBorders>
              <w:top w:val="nil"/>
              <w:bottom w:val="nil"/>
            </w:tcBorders>
          </w:tcPr>
          <w:p w14:paraId="1175782B" w14:textId="77777777" w:rsidR="00F0466A" w:rsidRPr="004C78D8" w:rsidRDefault="00F0466A" w:rsidP="00FB7C1F">
            <w:pPr>
              <w:jc w:val="center"/>
              <w:rPr>
                <w:sz w:val="18"/>
                <w:szCs w:val="18"/>
              </w:rPr>
            </w:pPr>
          </w:p>
        </w:tc>
      </w:tr>
      <w:tr w:rsidR="00F0466A" w:rsidRPr="004C78D8" w14:paraId="3F472026" w14:textId="77777777" w:rsidTr="002828C1">
        <w:tc>
          <w:tcPr>
            <w:tcW w:w="1163" w:type="pct"/>
            <w:tcBorders>
              <w:top w:val="nil"/>
              <w:bottom w:val="nil"/>
            </w:tcBorders>
          </w:tcPr>
          <w:p w14:paraId="3FD4B410" w14:textId="77777777" w:rsidR="00F0466A" w:rsidRPr="004C78D8" w:rsidRDefault="00F0466A" w:rsidP="00FB7C1F">
            <w:pPr>
              <w:jc w:val="left"/>
              <w:rPr>
                <w:sz w:val="18"/>
                <w:szCs w:val="18"/>
              </w:rPr>
            </w:pPr>
            <w:r w:rsidRPr="004C78D8">
              <w:rPr>
                <w:sz w:val="18"/>
                <w:szCs w:val="18"/>
              </w:rPr>
              <w:t>Deverall (2018)</w:t>
            </w:r>
          </w:p>
        </w:tc>
        <w:tc>
          <w:tcPr>
            <w:tcW w:w="715" w:type="pct"/>
            <w:tcBorders>
              <w:top w:val="nil"/>
              <w:bottom w:val="nil"/>
            </w:tcBorders>
          </w:tcPr>
          <w:p w14:paraId="5E0CADB1" w14:textId="77777777" w:rsidR="00F0466A" w:rsidRPr="004C78D8" w:rsidRDefault="00F0466A" w:rsidP="00FB7C1F">
            <w:pPr>
              <w:jc w:val="center"/>
              <w:rPr>
                <w:sz w:val="18"/>
                <w:szCs w:val="18"/>
              </w:rPr>
            </w:pPr>
            <w:r w:rsidRPr="004C78D8">
              <w:rPr>
                <w:sz w:val="18"/>
                <w:szCs w:val="18"/>
              </w:rPr>
              <w:t>Tunnel state?</w:t>
            </w:r>
          </w:p>
        </w:tc>
        <w:tc>
          <w:tcPr>
            <w:tcW w:w="709" w:type="pct"/>
            <w:tcBorders>
              <w:top w:val="nil"/>
              <w:bottom w:val="nil"/>
            </w:tcBorders>
          </w:tcPr>
          <w:p w14:paraId="27703E03" w14:textId="77777777" w:rsidR="00F0466A" w:rsidRPr="004C78D8" w:rsidRDefault="00F0466A" w:rsidP="00FB7C1F">
            <w:pPr>
              <w:jc w:val="center"/>
              <w:rPr>
                <w:sz w:val="18"/>
                <w:szCs w:val="18"/>
              </w:rPr>
            </w:pPr>
            <w:r w:rsidRPr="004C78D8">
              <w:rPr>
                <w:sz w:val="18"/>
                <w:szCs w:val="18"/>
              </w:rPr>
              <w:t>MA fall</w:t>
            </w:r>
          </w:p>
        </w:tc>
        <w:tc>
          <w:tcPr>
            <w:tcW w:w="649" w:type="pct"/>
            <w:tcBorders>
              <w:top w:val="nil"/>
              <w:bottom w:val="nil"/>
            </w:tcBorders>
          </w:tcPr>
          <w:p w14:paraId="1807C359" w14:textId="77777777" w:rsidR="00F0466A" w:rsidRPr="004C78D8" w:rsidRDefault="00F0466A" w:rsidP="00FB7C1F">
            <w:pPr>
              <w:jc w:val="center"/>
              <w:rPr>
                <w:sz w:val="18"/>
                <w:szCs w:val="18"/>
              </w:rPr>
            </w:pPr>
          </w:p>
        </w:tc>
        <w:tc>
          <w:tcPr>
            <w:tcW w:w="925" w:type="pct"/>
            <w:tcBorders>
              <w:top w:val="nil"/>
              <w:bottom w:val="nil"/>
            </w:tcBorders>
          </w:tcPr>
          <w:p w14:paraId="7CDDE107" w14:textId="77777777" w:rsidR="00F0466A" w:rsidRPr="004C78D8" w:rsidRDefault="00F0466A" w:rsidP="00FB7C1F">
            <w:pPr>
              <w:jc w:val="center"/>
              <w:rPr>
                <w:sz w:val="18"/>
                <w:szCs w:val="18"/>
              </w:rPr>
            </w:pPr>
            <w:r w:rsidRPr="004C78D8">
              <w:rPr>
                <w:sz w:val="18"/>
                <w:szCs w:val="18"/>
              </w:rPr>
              <w:t>Age</w:t>
            </w:r>
            <w:r w:rsidRPr="004C78D8">
              <w:rPr>
                <w:sz w:val="18"/>
                <w:szCs w:val="18"/>
                <w:vertAlign w:val="superscript"/>
              </w:rPr>
              <w:t>5</w:t>
            </w:r>
          </w:p>
        </w:tc>
        <w:tc>
          <w:tcPr>
            <w:tcW w:w="840" w:type="pct"/>
            <w:tcBorders>
              <w:top w:val="nil"/>
              <w:bottom w:val="nil"/>
            </w:tcBorders>
          </w:tcPr>
          <w:p w14:paraId="670ED67B" w14:textId="77777777" w:rsidR="00F0466A" w:rsidRPr="004C78D8" w:rsidRDefault="00F0466A" w:rsidP="00FB7C1F">
            <w:pPr>
              <w:jc w:val="center"/>
              <w:rPr>
                <w:sz w:val="18"/>
                <w:szCs w:val="18"/>
              </w:rPr>
            </w:pPr>
            <w:r w:rsidRPr="004C78D8">
              <w:rPr>
                <w:sz w:val="18"/>
                <w:szCs w:val="18"/>
              </w:rPr>
              <w:t>Age</w:t>
            </w:r>
            <w:r w:rsidRPr="004C78D8">
              <w:rPr>
                <w:sz w:val="18"/>
                <w:szCs w:val="18"/>
                <w:vertAlign w:val="superscript"/>
              </w:rPr>
              <w:t>5</w:t>
            </w:r>
          </w:p>
        </w:tc>
      </w:tr>
      <w:tr w:rsidR="00F0466A" w:rsidRPr="004C78D8" w14:paraId="75B81419" w14:textId="77777777" w:rsidTr="002828C1">
        <w:tc>
          <w:tcPr>
            <w:tcW w:w="1163" w:type="pct"/>
            <w:tcBorders>
              <w:top w:val="nil"/>
              <w:bottom w:val="nil"/>
            </w:tcBorders>
          </w:tcPr>
          <w:p w14:paraId="26A92820" w14:textId="77777777" w:rsidR="00F0466A" w:rsidRPr="004C78D8" w:rsidRDefault="00F0466A" w:rsidP="00FB7C1F">
            <w:pPr>
              <w:jc w:val="left"/>
              <w:rPr>
                <w:sz w:val="18"/>
                <w:szCs w:val="18"/>
              </w:rPr>
            </w:pPr>
            <w:r w:rsidRPr="004C78D8">
              <w:rPr>
                <w:sz w:val="18"/>
                <w:szCs w:val="18"/>
              </w:rPr>
              <w:t>Eldridge (2005)</w:t>
            </w:r>
          </w:p>
        </w:tc>
        <w:tc>
          <w:tcPr>
            <w:tcW w:w="715" w:type="pct"/>
            <w:tcBorders>
              <w:top w:val="nil"/>
              <w:bottom w:val="nil"/>
            </w:tcBorders>
          </w:tcPr>
          <w:p w14:paraId="427510B1" w14:textId="77777777" w:rsidR="00F0466A" w:rsidRPr="004C78D8" w:rsidRDefault="00F0466A" w:rsidP="00FB7C1F">
            <w:pPr>
              <w:jc w:val="center"/>
              <w:rPr>
                <w:sz w:val="18"/>
                <w:szCs w:val="18"/>
              </w:rPr>
            </w:pPr>
            <w:r w:rsidRPr="004C78D8">
              <w:rPr>
                <w:sz w:val="18"/>
                <w:szCs w:val="18"/>
              </w:rPr>
              <w:t>Tunnel state?</w:t>
            </w:r>
          </w:p>
        </w:tc>
        <w:tc>
          <w:tcPr>
            <w:tcW w:w="709" w:type="pct"/>
            <w:tcBorders>
              <w:top w:val="nil"/>
              <w:bottom w:val="nil"/>
            </w:tcBorders>
          </w:tcPr>
          <w:p w14:paraId="200E3191" w14:textId="77777777" w:rsidR="00F0466A" w:rsidRPr="004C78D8" w:rsidRDefault="00F0466A" w:rsidP="00FB7C1F">
            <w:pPr>
              <w:jc w:val="center"/>
              <w:rPr>
                <w:sz w:val="18"/>
                <w:szCs w:val="18"/>
              </w:rPr>
            </w:pPr>
            <w:r w:rsidRPr="004C78D8">
              <w:rPr>
                <w:sz w:val="18"/>
                <w:szCs w:val="18"/>
              </w:rPr>
              <w:t>Fracture</w:t>
            </w:r>
          </w:p>
        </w:tc>
        <w:tc>
          <w:tcPr>
            <w:tcW w:w="649" w:type="pct"/>
            <w:tcBorders>
              <w:top w:val="nil"/>
              <w:bottom w:val="nil"/>
            </w:tcBorders>
          </w:tcPr>
          <w:p w14:paraId="5B90444B" w14:textId="77777777" w:rsidR="00F0466A" w:rsidRPr="004C78D8" w:rsidRDefault="00F0466A" w:rsidP="00FB7C1F">
            <w:pPr>
              <w:jc w:val="center"/>
              <w:rPr>
                <w:sz w:val="18"/>
                <w:szCs w:val="18"/>
              </w:rPr>
            </w:pPr>
            <w:r w:rsidRPr="004C78D8">
              <w:rPr>
                <w:sz w:val="18"/>
                <w:szCs w:val="18"/>
              </w:rPr>
              <w:t>FoF</w:t>
            </w:r>
          </w:p>
        </w:tc>
        <w:tc>
          <w:tcPr>
            <w:tcW w:w="925" w:type="pct"/>
            <w:tcBorders>
              <w:top w:val="nil"/>
              <w:bottom w:val="nil"/>
            </w:tcBorders>
          </w:tcPr>
          <w:p w14:paraId="4898C910" w14:textId="77777777" w:rsidR="00F0466A" w:rsidRPr="004C78D8" w:rsidRDefault="00F0466A" w:rsidP="00FB7C1F">
            <w:pPr>
              <w:jc w:val="center"/>
              <w:rPr>
                <w:sz w:val="18"/>
                <w:szCs w:val="18"/>
              </w:rPr>
            </w:pPr>
            <w:r w:rsidRPr="004C78D8">
              <w:rPr>
                <w:sz w:val="18"/>
                <w:szCs w:val="18"/>
              </w:rPr>
              <w:t>Unclear</w:t>
            </w:r>
            <w:r w:rsidRPr="004C78D8">
              <w:rPr>
                <w:sz w:val="18"/>
                <w:szCs w:val="18"/>
                <w:vertAlign w:val="superscript"/>
              </w:rPr>
              <w:t>6</w:t>
            </w:r>
          </w:p>
        </w:tc>
        <w:tc>
          <w:tcPr>
            <w:tcW w:w="840" w:type="pct"/>
            <w:tcBorders>
              <w:top w:val="nil"/>
              <w:bottom w:val="nil"/>
            </w:tcBorders>
          </w:tcPr>
          <w:p w14:paraId="28664028" w14:textId="77777777" w:rsidR="00F0466A" w:rsidRPr="004C78D8" w:rsidRDefault="00F0466A" w:rsidP="00FB7C1F">
            <w:pPr>
              <w:jc w:val="center"/>
              <w:rPr>
                <w:sz w:val="18"/>
                <w:szCs w:val="18"/>
              </w:rPr>
            </w:pPr>
            <w:r w:rsidRPr="004C78D8">
              <w:rPr>
                <w:sz w:val="18"/>
                <w:szCs w:val="18"/>
              </w:rPr>
              <w:t>Post-fracture</w:t>
            </w:r>
            <w:r w:rsidRPr="004C78D8">
              <w:rPr>
                <w:sz w:val="18"/>
                <w:szCs w:val="18"/>
                <w:vertAlign w:val="superscript"/>
              </w:rPr>
              <w:t>7</w:t>
            </w:r>
          </w:p>
        </w:tc>
      </w:tr>
      <w:tr w:rsidR="00F0466A" w:rsidRPr="004C78D8" w14:paraId="49F8407D" w14:textId="77777777" w:rsidTr="002828C1">
        <w:tc>
          <w:tcPr>
            <w:tcW w:w="1163" w:type="pct"/>
            <w:tcBorders>
              <w:top w:val="nil"/>
              <w:bottom w:val="nil"/>
            </w:tcBorders>
          </w:tcPr>
          <w:p w14:paraId="31E7ED8E" w14:textId="77777777" w:rsidR="00F0466A" w:rsidRPr="004C78D8" w:rsidRDefault="00F0466A" w:rsidP="00FB7C1F">
            <w:pPr>
              <w:jc w:val="left"/>
              <w:rPr>
                <w:sz w:val="18"/>
                <w:szCs w:val="18"/>
              </w:rPr>
            </w:pPr>
            <w:r w:rsidRPr="004C78D8">
              <w:rPr>
                <w:sz w:val="18"/>
                <w:szCs w:val="18"/>
              </w:rPr>
              <w:t>Farag (2015)</w:t>
            </w:r>
          </w:p>
        </w:tc>
        <w:tc>
          <w:tcPr>
            <w:tcW w:w="715" w:type="pct"/>
            <w:tcBorders>
              <w:top w:val="nil"/>
              <w:bottom w:val="nil"/>
            </w:tcBorders>
          </w:tcPr>
          <w:p w14:paraId="29913EC6" w14:textId="77777777" w:rsidR="00F0466A" w:rsidRPr="004C78D8" w:rsidRDefault="00F0466A" w:rsidP="00FB7C1F">
            <w:pPr>
              <w:jc w:val="center"/>
              <w:rPr>
                <w:sz w:val="18"/>
                <w:szCs w:val="18"/>
              </w:rPr>
            </w:pPr>
            <w:r w:rsidRPr="004C78D8">
              <w:rPr>
                <w:sz w:val="18"/>
                <w:szCs w:val="18"/>
              </w:rPr>
              <w:t>Tunnel state?</w:t>
            </w:r>
          </w:p>
        </w:tc>
        <w:tc>
          <w:tcPr>
            <w:tcW w:w="709" w:type="pct"/>
            <w:tcBorders>
              <w:top w:val="nil"/>
              <w:bottom w:val="nil"/>
            </w:tcBorders>
          </w:tcPr>
          <w:p w14:paraId="4421F1C5" w14:textId="77777777" w:rsidR="00F0466A" w:rsidRPr="004C78D8" w:rsidRDefault="00F0466A" w:rsidP="00FB7C1F">
            <w:pPr>
              <w:jc w:val="center"/>
              <w:rPr>
                <w:sz w:val="18"/>
                <w:szCs w:val="18"/>
              </w:rPr>
            </w:pPr>
            <w:r w:rsidRPr="004C78D8">
              <w:rPr>
                <w:sz w:val="18"/>
                <w:szCs w:val="18"/>
              </w:rPr>
              <w:t>Any fall</w:t>
            </w:r>
          </w:p>
        </w:tc>
        <w:tc>
          <w:tcPr>
            <w:tcW w:w="649" w:type="pct"/>
            <w:tcBorders>
              <w:top w:val="nil"/>
              <w:bottom w:val="nil"/>
            </w:tcBorders>
          </w:tcPr>
          <w:p w14:paraId="6544E31D" w14:textId="77777777" w:rsidR="00F0466A" w:rsidRPr="004C78D8" w:rsidRDefault="00F0466A" w:rsidP="00FB7C1F">
            <w:pPr>
              <w:jc w:val="center"/>
              <w:rPr>
                <w:sz w:val="18"/>
                <w:szCs w:val="18"/>
              </w:rPr>
            </w:pPr>
          </w:p>
        </w:tc>
        <w:tc>
          <w:tcPr>
            <w:tcW w:w="925" w:type="pct"/>
            <w:tcBorders>
              <w:top w:val="nil"/>
              <w:bottom w:val="nil"/>
            </w:tcBorders>
          </w:tcPr>
          <w:p w14:paraId="1EC9B37E" w14:textId="77777777" w:rsidR="00F0466A" w:rsidRPr="004C78D8" w:rsidRDefault="00F0466A" w:rsidP="00FB7C1F">
            <w:pPr>
              <w:jc w:val="center"/>
              <w:rPr>
                <w:sz w:val="18"/>
                <w:szCs w:val="18"/>
              </w:rPr>
            </w:pPr>
            <w:r w:rsidRPr="004C78D8">
              <w:rPr>
                <w:sz w:val="18"/>
                <w:szCs w:val="18"/>
              </w:rPr>
              <w:t>Age</w:t>
            </w:r>
            <w:r w:rsidRPr="004C78D8">
              <w:rPr>
                <w:sz w:val="18"/>
                <w:szCs w:val="18"/>
                <w:vertAlign w:val="superscript"/>
              </w:rPr>
              <w:t>6</w:t>
            </w:r>
          </w:p>
        </w:tc>
        <w:tc>
          <w:tcPr>
            <w:tcW w:w="840" w:type="pct"/>
            <w:tcBorders>
              <w:top w:val="nil"/>
              <w:bottom w:val="nil"/>
            </w:tcBorders>
          </w:tcPr>
          <w:p w14:paraId="3AF7A817" w14:textId="77777777" w:rsidR="00F0466A" w:rsidRPr="004C78D8" w:rsidRDefault="00F0466A" w:rsidP="00FB7C1F">
            <w:pPr>
              <w:jc w:val="center"/>
              <w:rPr>
                <w:sz w:val="18"/>
                <w:szCs w:val="18"/>
              </w:rPr>
            </w:pPr>
          </w:p>
        </w:tc>
      </w:tr>
      <w:tr w:rsidR="00F0466A" w:rsidRPr="004C78D8" w14:paraId="0B32BC9B" w14:textId="77777777" w:rsidTr="002828C1">
        <w:tc>
          <w:tcPr>
            <w:tcW w:w="1163" w:type="pct"/>
            <w:tcBorders>
              <w:top w:val="nil"/>
              <w:bottom w:val="nil"/>
            </w:tcBorders>
          </w:tcPr>
          <w:p w14:paraId="53CED5D9" w14:textId="77777777" w:rsidR="00F0466A" w:rsidRPr="004C78D8" w:rsidRDefault="00F0466A" w:rsidP="00FB7C1F">
            <w:pPr>
              <w:jc w:val="left"/>
              <w:rPr>
                <w:sz w:val="18"/>
                <w:szCs w:val="18"/>
              </w:rPr>
            </w:pPr>
            <w:r w:rsidRPr="004C78D8">
              <w:rPr>
                <w:sz w:val="18"/>
                <w:szCs w:val="18"/>
              </w:rPr>
              <w:t>Honkanen (2006)</w:t>
            </w:r>
          </w:p>
        </w:tc>
        <w:tc>
          <w:tcPr>
            <w:tcW w:w="715" w:type="pct"/>
            <w:tcBorders>
              <w:top w:val="nil"/>
              <w:bottom w:val="nil"/>
            </w:tcBorders>
          </w:tcPr>
          <w:p w14:paraId="40EEC8E3" w14:textId="77777777" w:rsidR="00F0466A" w:rsidRPr="004C78D8" w:rsidRDefault="00F0466A" w:rsidP="00FB7C1F">
            <w:pPr>
              <w:jc w:val="center"/>
              <w:rPr>
                <w:sz w:val="18"/>
                <w:szCs w:val="18"/>
              </w:rPr>
            </w:pPr>
            <w:r w:rsidRPr="004C78D8">
              <w:rPr>
                <w:sz w:val="18"/>
                <w:szCs w:val="18"/>
              </w:rPr>
              <w:t>Tunnel state?</w:t>
            </w:r>
          </w:p>
        </w:tc>
        <w:tc>
          <w:tcPr>
            <w:tcW w:w="709" w:type="pct"/>
            <w:tcBorders>
              <w:top w:val="nil"/>
              <w:bottom w:val="nil"/>
            </w:tcBorders>
          </w:tcPr>
          <w:p w14:paraId="239D8B40" w14:textId="77777777" w:rsidR="00F0466A" w:rsidRPr="004C78D8" w:rsidRDefault="00F0466A" w:rsidP="00FB7C1F">
            <w:pPr>
              <w:jc w:val="center"/>
              <w:rPr>
                <w:sz w:val="18"/>
                <w:szCs w:val="18"/>
              </w:rPr>
            </w:pPr>
            <w:r w:rsidRPr="004C78D8">
              <w:rPr>
                <w:sz w:val="18"/>
                <w:szCs w:val="18"/>
              </w:rPr>
              <w:t>Hip fracture</w:t>
            </w:r>
          </w:p>
        </w:tc>
        <w:tc>
          <w:tcPr>
            <w:tcW w:w="649" w:type="pct"/>
            <w:tcBorders>
              <w:top w:val="nil"/>
              <w:bottom w:val="nil"/>
            </w:tcBorders>
          </w:tcPr>
          <w:p w14:paraId="6DF3E778" w14:textId="77777777" w:rsidR="00F0466A" w:rsidRPr="004C78D8" w:rsidRDefault="00F0466A" w:rsidP="00FB7C1F">
            <w:pPr>
              <w:jc w:val="center"/>
              <w:rPr>
                <w:sz w:val="18"/>
                <w:szCs w:val="18"/>
              </w:rPr>
            </w:pPr>
            <w:r w:rsidRPr="004C78D8">
              <w:rPr>
                <w:sz w:val="18"/>
                <w:szCs w:val="18"/>
              </w:rPr>
              <w:t>FS</w:t>
            </w:r>
          </w:p>
        </w:tc>
        <w:tc>
          <w:tcPr>
            <w:tcW w:w="925" w:type="pct"/>
            <w:tcBorders>
              <w:top w:val="nil"/>
              <w:bottom w:val="nil"/>
            </w:tcBorders>
          </w:tcPr>
          <w:p w14:paraId="4103E2E6" w14:textId="77777777" w:rsidR="00F0466A" w:rsidRPr="004C78D8" w:rsidRDefault="00F0466A" w:rsidP="00FB7C1F">
            <w:pPr>
              <w:jc w:val="center"/>
              <w:rPr>
                <w:sz w:val="18"/>
                <w:szCs w:val="18"/>
              </w:rPr>
            </w:pPr>
            <w:r w:rsidRPr="004C78D8">
              <w:rPr>
                <w:sz w:val="18"/>
                <w:szCs w:val="18"/>
              </w:rPr>
              <w:t>Age;</w:t>
            </w:r>
            <w:r w:rsidRPr="004C78D8">
              <w:rPr>
                <w:sz w:val="18"/>
                <w:szCs w:val="18"/>
                <w:vertAlign w:val="superscript"/>
              </w:rPr>
              <w:t>5</w:t>
            </w:r>
            <w:r w:rsidRPr="004C78D8">
              <w:rPr>
                <w:sz w:val="18"/>
                <w:szCs w:val="18"/>
              </w:rPr>
              <w:t xml:space="preserve"> FS; LTC; Post-hip fracture</w:t>
            </w:r>
          </w:p>
        </w:tc>
        <w:tc>
          <w:tcPr>
            <w:tcW w:w="840" w:type="pct"/>
            <w:tcBorders>
              <w:top w:val="nil"/>
              <w:bottom w:val="nil"/>
            </w:tcBorders>
          </w:tcPr>
          <w:p w14:paraId="4D247895" w14:textId="77777777" w:rsidR="00F0466A" w:rsidRPr="004C78D8" w:rsidRDefault="00F0466A" w:rsidP="00FB7C1F">
            <w:pPr>
              <w:jc w:val="center"/>
              <w:rPr>
                <w:sz w:val="18"/>
                <w:szCs w:val="18"/>
              </w:rPr>
            </w:pPr>
            <w:r w:rsidRPr="004C78D8">
              <w:rPr>
                <w:sz w:val="18"/>
                <w:szCs w:val="18"/>
              </w:rPr>
              <w:t>FS; LTC</w:t>
            </w:r>
          </w:p>
        </w:tc>
      </w:tr>
      <w:tr w:rsidR="00F0466A" w:rsidRPr="004C78D8" w14:paraId="7D8D633B" w14:textId="77777777" w:rsidTr="002828C1">
        <w:tc>
          <w:tcPr>
            <w:tcW w:w="1163" w:type="pct"/>
            <w:tcBorders>
              <w:top w:val="nil"/>
              <w:bottom w:val="nil"/>
            </w:tcBorders>
          </w:tcPr>
          <w:p w14:paraId="347A3CEF" w14:textId="77777777" w:rsidR="00F0466A" w:rsidRPr="004C78D8" w:rsidRDefault="00F0466A" w:rsidP="00FB7C1F">
            <w:pPr>
              <w:jc w:val="left"/>
              <w:rPr>
                <w:sz w:val="18"/>
                <w:szCs w:val="18"/>
              </w:rPr>
            </w:pPr>
            <w:r w:rsidRPr="004C78D8">
              <w:rPr>
                <w:sz w:val="18"/>
                <w:szCs w:val="18"/>
              </w:rPr>
              <w:t>Johansson (2008)</w:t>
            </w:r>
          </w:p>
        </w:tc>
        <w:tc>
          <w:tcPr>
            <w:tcW w:w="715" w:type="pct"/>
            <w:tcBorders>
              <w:top w:val="nil"/>
              <w:bottom w:val="nil"/>
            </w:tcBorders>
          </w:tcPr>
          <w:p w14:paraId="50806042" w14:textId="77777777" w:rsidR="00F0466A" w:rsidRPr="004C78D8" w:rsidRDefault="00F0466A" w:rsidP="00FB7C1F">
            <w:pPr>
              <w:jc w:val="center"/>
              <w:rPr>
                <w:sz w:val="18"/>
                <w:szCs w:val="18"/>
              </w:rPr>
            </w:pPr>
            <w:r w:rsidRPr="004C78D8">
              <w:rPr>
                <w:sz w:val="18"/>
                <w:szCs w:val="18"/>
              </w:rPr>
              <w:t>Tunnel state?</w:t>
            </w:r>
          </w:p>
        </w:tc>
        <w:tc>
          <w:tcPr>
            <w:tcW w:w="709" w:type="pct"/>
            <w:tcBorders>
              <w:top w:val="nil"/>
              <w:bottom w:val="nil"/>
            </w:tcBorders>
          </w:tcPr>
          <w:p w14:paraId="67F9B019" w14:textId="77777777" w:rsidR="00F0466A" w:rsidRPr="004C78D8" w:rsidRDefault="00F0466A" w:rsidP="00FB7C1F">
            <w:pPr>
              <w:jc w:val="center"/>
              <w:rPr>
                <w:sz w:val="18"/>
                <w:szCs w:val="18"/>
              </w:rPr>
            </w:pPr>
            <w:r w:rsidRPr="004C78D8">
              <w:rPr>
                <w:sz w:val="18"/>
                <w:szCs w:val="18"/>
              </w:rPr>
              <w:t>Hip fracture</w:t>
            </w:r>
          </w:p>
        </w:tc>
        <w:tc>
          <w:tcPr>
            <w:tcW w:w="649" w:type="pct"/>
            <w:tcBorders>
              <w:top w:val="nil"/>
              <w:bottom w:val="nil"/>
            </w:tcBorders>
          </w:tcPr>
          <w:p w14:paraId="70E58D0A" w14:textId="77777777" w:rsidR="00F0466A" w:rsidRPr="004C78D8" w:rsidRDefault="00F0466A" w:rsidP="00FB7C1F">
            <w:pPr>
              <w:jc w:val="center"/>
              <w:rPr>
                <w:sz w:val="18"/>
                <w:szCs w:val="18"/>
              </w:rPr>
            </w:pPr>
          </w:p>
        </w:tc>
        <w:tc>
          <w:tcPr>
            <w:tcW w:w="925" w:type="pct"/>
            <w:tcBorders>
              <w:top w:val="nil"/>
              <w:bottom w:val="nil"/>
            </w:tcBorders>
          </w:tcPr>
          <w:p w14:paraId="3160B04B" w14:textId="77777777" w:rsidR="00F0466A" w:rsidRPr="004C78D8" w:rsidRDefault="00F0466A" w:rsidP="00FB7C1F">
            <w:pPr>
              <w:jc w:val="center"/>
              <w:rPr>
                <w:sz w:val="18"/>
                <w:szCs w:val="18"/>
              </w:rPr>
            </w:pPr>
            <w:r w:rsidRPr="004C78D8">
              <w:rPr>
                <w:sz w:val="18"/>
                <w:szCs w:val="18"/>
              </w:rPr>
              <w:t>Age</w:t>
            </w:r>
            <w:r w:rsidRPr="004C78D8">
              <w:rPr>
                <w:sz w:val="18"/>
                <w:szCs w:val="18"/>
                <w:vertAlign w:val="superscript"/>
              </w:rPr>
              <w:t>5,6</w:t>
            </w:r>
          </w:p>
        </w:tc>
        <w:tc>
          <w:tcPr>
            <w:tcW w:w="840" w:type="pct"/>
            <w:tcBorders>
              <w:top w:val="nil"/>
              <w:bottom w:val="nil"/>
            </w:tcBorders>
          </w:tcPr>
          <w:p w14:paraId="65580A3B" w14:textId="77777777" w:rsidR="00F0466A" w:rsidRPr="004C78D8" w:rsidRDefault="00F0466A" w:rsidP="00FB7C1F">
            <w:pPr>
              <w:jc w:val="center"/>
              <w:rPr>
                <w:sz w:val="18"/>
                <w:szCs w:val="18"/>
              </w:rPr>
            </w:pPr>
            <w:r w:rsidRPr="004C78D8">
              <w:rPr>
                <w:sz w:val="18"/>
                <w:szCs w:val="18"/>
              </w:rPr>
              <w:t>Age</w:t>
            </w:r>
          </w:p>
        </w:tc>
      </w:tr>
      <w:tr w:rsidR="00F0466A" w:rsidRPr="004C78D8" w14:paraId="3EBB07C7" w14:textId="77777777" w:rsidTr="002828C1">
        <w:tc>
          <w:tcPr>
            <w:tcW w:w="1163" w:type="pct"/>
            <w:tcBorders>
              <w:top w:val="nil"/>
              <w:bottom w:val="nil"/>
            </w:tcBorders>
          </w:tcPr>
          <w:p w14:paraId="3424BA8E" w14:textId="77777777" w:rsidR="00F0466A" w:rsidRPr="004C78D8" w:rsidRDefault="00F0466A" w:rsidP="00FB7C1F">
            <w:pPr>
              <w:jc w:val="left"/>
              <w:rPr>
                <w:sz w:val="18"/>
                <w:szCs w:val="18"/>
              </w:rPr>
            </w:pPr>
            <w:r w:rsidRPr="004C78D8">
              <w:rPr>
                <w:sz w:val="18"/>
                <w:szCs w:val="18"/>
              </w:rPr>
              <w:t>Moriarty (2019)</w:t>
            </w:r>
          </w:p>
        </w:tc>
        <w:tc>
          <w:tcPr>
            <w:tcW w:w="715" w:type="pct"/>
            <w:tcBorders>
              <w:top w:val="nil"/>
              <w:bottom w:val="nil"/>
            </w:tcBorders>
          </w:tcPr>
          <w:p w14:paraId="0015B7A0" w14:textId="77777777" w:rsidR="00F0466A" w:rsidRPr="004C78D8" w:rsidRDefault="00F0466A" w:rsidP="00FB7C1F">
            <w:pPr>
              <w:jc w:val="center"/>
              <w:rPr>
                <w:sz w:val="18"/>
                <w:szCs w:val="18"/>
              </w:rPr>
            </w:pPr>
            <w:r w:rsidRPr="004C78D8">
              <w:rPr>
                <w:sz w:val="18"/>
                <w:szCs w:val="18"/>
              </w:rPr>
              <w:t>Tunnel state?</w:t>
            </w:r>
          </w:p>
        </w:tc>
        <w:tc>
          <w:tcPr>
            <w:tcW w:w="709" w:type="pct"/>
            <w:tcBorders>
              <w:top w:val="nil"/>
              <w:bottom w:val="nil"/>
            </w:tcBorders>
          </w:tcPr>
          <w:p w14:paraId="5C322707" w14:textId="77777777" w:rsidR="00F0466A" w:rsidRPr="004C78D8" w:rsidRDefault="00F0466A" w:rsidP="00FB7C1F">
            <w:pPr>
              <w:jc w:val="center"/>
              <w:rPr>
                <w:sz w:val="18"/>
                <w:szCs w:val="18"/>
              </w:rPr>
            </w:pPr>
            <w:r w:rsidRPr="004C78D8">
              <w:rPr>
                <w:sz w:val="18"/>
                <w:szCs w:val="18"/>
              </w:rPr>
              <w:t>MA fall, Hip fracture</w:t>
            </w:r>
          </w:p>
        </w:tc>
        <w:tc>
          <w:tcPr>
            <w:tcW w:w="649" w:type="pct"/>
            <w:tcBorders>
              <w:top w:val="nil"/>
              <w:bottom w:val="nil"/>
            </w:tcBorders>
          </w:tcPr>
          <w:p w14:paraId="0B101057" w14:textId="77777777" w:rsidR="00F0466A" w:rsidRPr="004C78D8" w:rsidRDefault="00F0466A" w:rsidP="00FB7C1F">
            <w:pPr>
              <w:jc w:val="center"/>
              <w:rPr>
                <w:sz w:val="18"/>
                <w:szCs w:val="18"/>
              </w:rPr>
            </w:pPr>
          </w:p>
        </w:tc>
        <w:tc>
          <w:tcPr>
            <w:tcW w:w="925" w:type="pct"/>
            <w:tcBorders>
              <w:top w:val="nil"/>
              <w:bottom w:val="nil"/>
            </w:tcBorders>
          </w:tcPr>
          <w:p w14:paraId="024F7DBA" w14:textId="77777777" w:rsidR="00F0466A" w:rsidRPr="004C78D8" w:rsidRDefault="00F0466A" w:rsidP="00FB7C1F">
            <w:pPr>
              <w:jc w:val="center"/>
              <w:rPr>
                <w:sz w:val="18"/>
                <w:szCs w:val="18"/>
              </w:rPr>
            </w:pPr>
            <w:r w:rsidRPr="004C78D8">
              <w:rPr>
                <w:sz w:val="18"/>
                <w:szCs w:val="18"/>
              </w:rPr>
              <w:t>Age</w:t>
            </w:r>
            <w:r w:rsidRPr="004C78D8">
              <w:rPr>
                <w:sz w:val="18"/>
                <w:szCs w:val="18"/>
                <w:vertAlign w:val="superscript"/>
              </w:rPr>
              <w:t>6</w:t>
            </w:r>
          </w:p>
        </w:tc>
        <w:tc>
          <w:tcPr>
            <w:tcW w:w="840" w:type="pct"/>
            <w:tcBorders>
              <w:top w:val="nil"/>
              <w:bottom w:val="nil"/>
            </w:tcBorders>
          </w:tcPr>
          <w:p w14:paraId="3E96EAD0" w14:textId="77777777" w:rsidR="00F0466A" w:rsidRPr="004C78D8" w:rsidRDefault="00F0466A" w:rsidP="00FB7C1F">
            <w:pPr>
              <w:jc w:val="center"/>
              <w:rPr>
                <w:sz w:val="18"/>
                <w:szCs w:val="18"/>
              </w:rPr>
            </w:pPr>
          </w:p>
        </w:tc>
      </w:tr>
      <w:tr w:rsidR="00F0466A" w:rsidRPr="004C78D8" w14:paraId="7A4721A1" w14:textId="77777777" w:rsidTr="002828C1">
        <w:tc>
          <w:tcPr>
            <w:tcW w:w="1163" w:type="pct"/>
            <w:tcBorders>
              <w:top w:val="nil"/>
              <w:bottom w:val="nil"/>
            </w:tcBorders>
          </w:tcPr>
          <w:p w14:paraId="28264273" w14:textId="77777777" w:rsidR="00F0466A" w:rsidRPr="004C78D8" w:rsidRDefault="00F0466A" w:rsidP="00FB7C1F">
            <w:pPr>
              <w:jc w:val="left"/>
              <w:rPr>
                <w:sz w:val="18"/>
                <w:szCs w:val="18"/>
              </w:rPr>
            </w:pPr>
            <w:r w:rsidRPr="004C78D8">
              <w:rPr>
                <w:sz w:val="18"/>
                <w:szCs w:val="18"/>
              </w:rPr>
              <w:t>OMAS (2008)</w:t>
            </w:r>
          </w:p>
        </w:tc>
        <w:tc>
          <w:tcPr>
            <w:tcW w:w="715" w:type="pct"/>
            <w:tcBorders>
              <w:top w:val="nil"/>
              <w:bottom w:val="nil"/>
            </w:tcBorders>
          </w:tcPr>
          <w:p w14:paraId="5ECFF17E" w14:textId="77777777" w:rsidR="00F0466A" w:rsidRPr="004C78D8" w:rsidRDefault="00F0466A" w:rsidP="00FB7C1F">
            <w:pPr>
              <w:jc w:val="center"/>
              <w:rPr>
                <w:sz w:val="18"/>
                <w:szCs w:val="18"/>
              </w:rPr>
            </w:pPr>
            <w:r w:rsidRPr="004C78D8">
              <w:rPr>
                <w:sz w:val="18"/>
                <w:szCs w:val="18"/>
              </w:rPr>
              <w:t>Tunnel state?</w:t>
            </w:r>
          </w:p>
        </w:tc>
        <w:tc>
          <w:tcPr>
            <w:tcW w:w="709" w:type="pct"/>
            <w:tcBorders>
              <w:top w:val="nil"/>
              <w:bottom w:val="nil"/>
            </w:tcBorders>
          </w:tcPr>
          <w:p w14:paraId="6A70660F" w14:textId="77777777" w:rsidR="00F0466A" w:rsidRPr="004C78D8" w:rsidRDefault="00F0466A" w:rsidP="00FB7C1F">
            <w:pPr>
              <w:jc w:val="center"/>
              <w:rPr>
                <w:sz w:val="18"/>
                <w:szCs w:val="18"/>
              </w:rPr>
            </w:pPr>
            <w:r w:rsidRPr="004C78D8">
              <w:rPr>
                <w:sz w:val="18"/>
                <w:szCs w:val="18"/>
              </w:rPr>
              <w:t>MA fall</w:t>
            </w:r>
          </w:p>
        </w:tc>
        <w:tc>
          <w:tcPr>
            <w:tcW w:w="649" w:type="pct"/>
            <w:tcBorders>
              <w:top w:val="nil"/>
              <w:bottom w:val="nil"/>
            </w:tcBorders>
          </w:tcPr>
          <w:p w14:paraId="75082DE1" w14:textId="77777777" w:rsidR="00F0466A" w:rsidRPr="004C78D8" w:rsidRDefault="00F0466A" w:rsidP="00FB7C1F">
            <w:pPr>
              <w:jc w:val="center"/>
              <w:rPr>
                <w:sz w:val="18"/>
                <w:szCs w:val="18"/>
              </w:rPr>
            </w:pPr>
          </w:p>
        </w:tc>
        <w:tc>
          <w:tcPr>
            <w:tcW w:w="925" w:type="pct"/>
            <w:tcBorders>
              <w:top w:val="nil"/>
              <w:bottom w:val="nil"/>
            </w:tcBorders>
          </w:tcPr>
          <w:p w14:paraId="55D5082C" w14:textId="77777777" w:rsidR="00F0466A" w:rsidRPr="004C78D8" w:rsidRDefault="00F0466A" w:rsidP="00FB7C1F">
            <w:pPr>
              <w:jc w:val="center"/>
              <w:rPr>
                <w:sz w:val="18"/>
                <w:szCs w:val="18"/>
              </w:rPr>
            </w:pPr>
            <w:r w:rsidRPr="004C78D8">
              <w:rPr>
                <w:sz w:val="18"/>
                <w:szCs w:val="18"/>
              </w:rPr>
              <w:t>CEA</w:t>
            </w:r>
          </w:p>
        </w:tc>
        <w:tc>
          <w:tcPr>
            <w:tcW w:w="840" w:type="pct"/>
            <w:tcBorders>
              <w:top w:val="nil"/>
              <w:bottom w:val="nil"/>
            </w:tcBorders>
          </w:tcPr>
          <w:p w14:paraId="68A76E80" w14:textId="77777777" w:rsidR="00F0466A" w:rsidRPr="004C78D8" w:rsidRDefault="00F0466A" w:rsidP="00FB7C1F">
            <w:pPr>
              <w:jc w:val="center"/>
              <w:rPr>
                <w:sz w:val="18"/>
                <w:szCs w:val="18"/>
              </w:rPr>
            </w:pPr>
          </w:p>
        </w:tc>
      </w:tr>
      <w:tr w:rsidR="00F0466A" w:rsidRPr="004C78D8" w14:paraId="3543B71F" w14:textId="77777777" w:rsidTr="002828C1">
        <w:tc>
          <w:tcPr>
            <w:tcW w:w="1163" w:type="pct"/>
            <w:tcBorders>
              <w:top w:val="nil"/>
              <w:bottom w:val="nil"/>
            </w:tcBorders>
          </w:tcPr>
          <w:p w14:paraId="15E2045E" w14:textId="77777777" w:rsidR="00F0466A" w:rsidRPr="004C78D8" w:rsidRDefault="00F0466A" w:rsidP="00FB7C1F">
            <w:pPr>
              <w:jc w:val="left"/>
              <w:rPr>
                <w:sz w:val="18"/>
                <w:szCs w:val="18"/>
              </w:rPr>
            </w:pPr>
            <w:r w:rsidRPr="004C78D8">
              <w:rPr>
                <w:sz w:val="18"/>
                <w:szCs w:val="18"/>
              </w:rPr>
              <w:t>Pega (2016)</w:t>
            </w:r>
          </w:p>
        </w:tc>
        <w:tc>
          <w:tcPr>
            <w:tcW w:w="715" w:type="pct"/>
            <w:tcBorders>
              <w:top w:val="nil"/>
              <w:bottom w:val="nil"/>
            </w:tcBorders>
          </w:tcPr>
          <w:p w14:paraId="1ACE4CC3" w14:textId="77777777" w:rsidR="00F0466A" w:rsidRPr="004C78D8" w:rsidRDefault="00F0466A" w:rsidP="00FB7C1F">
            <w:pPr>
              <w:jc w:val="center"/>
              <w:rPr>
                <w:sz w:val="18"/>
                <w:szCs w:val="18"/>
              </w:rPr>
            </w:pPr>
            <w:r w:rsidRPr="004C78D8">
              <w:rPr>
                <w:sz w:val="18"/>
                <w:szCs w:val="18"/>
              </w:rPr>
              <w:t>Tunnel state?</w:t>
            </w:r>
          </w:p>
        </w:tc>
        <w:tc>
          <w:tcPr>
            <w:tcW w:w="709" w:type="pct"/>
            <w:tcBorders>
              <w:top w:val="nil"/>
              <w:bottom w:val="nil"/>
            </w:tcBorders>
          </w:tcPr>
          <w:p w14:paraId="77639AAC" w14:textId="77777777" w:rsidR="00F0466A" w:rsidRPr="004C78D8" w:rsidRDefault="00F0466A" w:rsidP="00FB7C1F">
            <w:pPr>
              <w:jc w:val="center"/>
              <w:rPr>
                <w:sz w:val="18"/>
                <w:szCs w:val="18"/>
              </w:rPr>
            </w:pPr>
            <w:r w:rsidRPr="004C78D8">
              <w:rPr>
                <w:sz w:val="18"/>
                <w:szCs w:val="18"/>
              </w:rPr>
              <w:t>MA fall</w:t>
            </w:r>
          </w:p>
        </w:tc>
        <w:tc>
          <w:tcPr>
            <w:tcW w:w="649" w:type="pct"/>
            <w:tcBorders>
              <w:top w:val="nil"/>
              <w:bottom w:val="nil"/>
            </w:tcBorders>
          </w:tcPr>
          <w:p w14:paraId="43319D6A" w14:textId="77777777" w:rsidR="00F0466A" w:rsidRPr="004C78D8" w:rsidRDefault="00F0466A" w:rsidP="00FB7C1F">
            <w:pPr>
              <w:jc w:val="center"/>
              <w:rPr>
                <w:sz w:val="18"/>
                <w:szCs w:val="18"/>
              </w:rPr>
            </w:pPr>
          </w:p>
        </w:tc>
        <w:tc>
          <w:tcPr>
            <w:tcW w:w="925" w:type="pct"/>
            <w:tcBorders>
              <w:top w:val="nil"/>
              <w:bottom w:val="nil"/>
            </w:tcBorders>
          </w:tcPr>
          <w:p w14:paraId="6170B8C2" w14:textId="77777777" w:rsidR="00F0466A" w:rsidRPr="004C78D8" w:rsidRDefault="00F0466A" w:rsidP="00FB7C1F">
            <w:pPr>
              <w:jc w:val="center"/>
              <w:rPr>
                <w:sz w:val="18"/>
                <w:szCs w:val="18"/>
              </w:rPr>
            </w:pPr>
            <w:r w:rsidRPr="004C78D8">
              <w:rPr>
                <w:sz w:val="18"/>
                <w:szCs w:val="18"/>
              </w:rPr>
              <w:t>Age</w:t>
            </w:r>
            <w:r w:rsidRPr="004C78D8">
              <w:rPr>
                <w:sz w:val="18"/>
                <w:szCs w:val="18"/>
                <w:vertAlign w:val="superscript"/>
              </w:rPr>
              <w:t>5</w:t>
            </w:r>
            <w:r w:rsidRPr="004C78D8">
              <w:rPr>
                <w:sz w:val="18"/>
                <w:szCs w:val="18"/>
              </w:rPr>
              <w:t xml:space="preserve"> </w:t>
            </w:r>
          </w:p>
        </w:tc>
        <w:tc>
          <w:tcPr>
            <w:tcW w:w="840" w:type="pct"/>
            <w:tcBorders>
              <w:top w:val="nil"/>
              <w:bottom w:val="nil"/>
            </w:tcBorders>
          </w:tcPr>
          <w:p w14:paraId="3C6CCEBB" w14:textId="77777777" w:rsidR="00F0466A" w:rsidRPr="004C78D8" w:rsidRDefault="00F0466A" w:rsidP="00FB7C1F">
            <w:pPr>
              <w:jc w:val="center"/>
              <w:rPr>
                <w:sz w:val="18"/>
                <w:szCs w:val="18"/>
              </w:rPr>
            </w:pPr>
            <w:r w:rsidRPr="004C78D8">
              <w:rPr>
                <w:sz w:val="18"/>
                <w:szCs w:val="18"/>
              </w:rPr>
              <w:t>Age</w:t>
            </w:r>
            <w:r w:rsidRPr="004C78D8">
              <w:rPr>
                <w:sz w:val="18"/>
                <w:szCs w:val="18"/>
                <w:vertAlign w:val="superscript"/>
              </w:rPr>
              <w:t>5</w:t>
            </w:r>
          </w:p>
        </w:tc>
      </w:tr>
      <w:tr w:rsidR="00F0466A" w:rsidRPr="004C78D8" w14:paraId="72376762" w14:textId="77777777" w:rsidTr="002828C1">
        <w:tc>
          <w:tcPr>
            <w:tcW w:w="1163" w:type="pct"/>
            <w:tcBorders>
              <w:top w:val="nil"/>
              <w:bottom w:val="nil"/>
            </w:tcBorders>
          </w:tcPr>
          <w:p w14:paraId="01D4FC47" w14:textId="77777777" w:rsidR="00F0466A" w:rsidRPr="004C78D8" w:rsidRDefault="00F0466A" w:rsidP="00FB7C1F">
            <w:pPr>
              <w:jc w:val="left"/>
              <w:rPr>
                <w:sz w:val="18"/>
                <w:szCs w:val="18"/>
              </w:rPr>
            </w:pPr>
            <w:r w:rsidRPr="004C78D8">
              <w:rPr>
                <w:sz w:val="18"/>
                <w:szCs w:val="18"/>
              </w:rPr>
              <w:t>RCN (2005)</w:t>
            </w:r>
          </w:p>
        </w:tc>
        <w:tc>
          <w:tcPr>
            <w:tcW w:w="715" w:type="pct"/>
            <w:tcBorders>
              <w:top w:val="nil"/>
              <w:bottom w:val="nil"/>
            </w:tcBorders>
          </w:tcPr>
          <w:p w14:paraId="62DEE55D" w14:textId="77777777" w:rsidR="00F0466A" w:rsidRPr="004C78D8" w:rsidRDefault="00F0466A" w:rsidP="00FB7C1F">
            <w:pPr>
              <w:jc w:val="center"/>
              <w:rPr>
                <w:sz w:val="18"/>
                <w:szCs w:val="18"/>
              </w:rPr>
            </w:pPr>
            <w:r w:rsidRPr="004C78D8">
              <w:rPr>
                <w:sz w:val="18"/>
                <w:szCs w:val="18"/>
              </w:rPr>
              <w:t>Tunnel state?</w:t>
            </w:r>
          </w:p>
        </w:tc>
        <w:tc>
          <w:tcPr>
            <w:tcW w:w="709" w:type="pct"/>
            <w:tcBorders>
              <w:top w:val="nil"/>
              <w:bottom w:val="nil"/>
            </w:tcBorders>
          </w:tcPr>
          <w:p w14:paraId="1C121C1F" w14:textId="77777777" w:rsidR="00F0466A" w:rsidRPr="004C78D8" w:rsidRDefault="00F0466A" w:rsidP="00FB7C1F">
            <w:pPr>
              <w:jc w:val="center"/>
              <w:rPr>
                <w:sz w:val="18"/>
                <w:szCs w:val="18"/>
              </w:rPr>
            </w:pPr>
          </w:p>
        </w:tc>
        <w:tc>
          <w:tcPr>
            <w:tcW w:w="649" w:type="pct"/>
            <w:tcBorders>
              <w:top w:val="nil"/>
              <w:bottom w:val="nil"/>
            </w:tcBorders>
          </w:tcPr>
          <w:p w14:paraId="7DCD9AFD" w14:textId="77777777" w:rsidR="00F0466A" w:rsidRPr="004C78D8" w:rsidRDefault="00F0466A" w:rsidP="00FB7C1F">
            <w:pPr>
              <w:jc w:val="center"/>
              <w:rPr>
                <w:sz w:val="18"/>
                <w:szCs w:val="18"/>
              </w:rPr>
            </w:pPr>
          </w:p>
        </w:tc>
        <w:tc>
          <w:tcPr>
            <w:tcW w:w="925" w:type="pct"/>
            <w:tcBorders>
              <w:top w:val="nil"/>
              <w:bottom w:val="nil"/>
            </w:tcBorders>
          </w:tcPr>
          <w:p w14:paraId="53BFD1EC" w14:textId="77777777" w:rsidR="00F0466A" w:rsidRPr="004C78D8" w:rsidRDefault="00F0466A" w:rsidP="00FB7C1F">
            <w:pPr>
              <w:jc w:val="center"/>
              <w:rPr>
                <w:sz w:val="18"/>
                <w:szCs w:val="18"/>
              </w:rPr>
            </w:pPr>
            <w:r w:rsidRPr="004C78D8">
              <w:rPr>
                <w:sz w:val="18"/>
                <w:szCs w:val="18"/>
              </w:rPr>
              <w:t>Age</w:t>
            </w:r>
          </w:p>
        </w:tc>
        <w:tc>
          <w:tcPr>
            <w:tcW w:w="840" w:type="pct"/>
            <w:tcBorders>
              <w:top w:val="nil"/>
              <w:bottom w:val="nil"/>
            </w:tcBorders>
          </w:tcPr>
          <w:p w14:paraId="00E527E0" w14:textId="77777777" w:rsidR="00F0466A" w:rsidRPr="004C78D8" w:rsidRDefault="00F0466A" w:rsidP="00FB7C1F">
            <w:pPr>
              <w:jc w:val="center"/>
              <w:rPr>
                <w:sz w:val="18"/>
                <w:szCs w:val="18"/>
              </w:rPr>
            </w:pPr>
          </w:p>
        </w:tc>
      </w:tr>
      <w:tr w:rsidR="00F0466A" w:rsidRPr="004C78D8" w14:paraId="65986EE1" w14:textId="77777777" w:rsidTr="002828C1">
        <w:tc>
          <w:tcPr>
            <w:tcW w:w="1163" w:type="pct"/>
            <w:tcBorders>
              <w:top w:val="nil"/>
              <w:bottom w:val="single" w:sz="4" w:space="0" w:color="auto"/>
            </w:tcBorders>
          </w:tcPr>
          <w:p w14:paraId="5285FE7B" w14:textId="77777777" w:rsidR="00F0466A" w:rsidRPr="004C78D8" w:rsidRDefault="00F0466A" w:rsidP="00FB7C1F">
            <w:pPr>
              <w:jc w:val="left"/>
              <w:rPr>
                <w:sz w:val="18"/>
                <w:szCs w:val="18"/>
              </w:rPr>
            </w:pPr>
            <w:r w:rsidRPr="004C78D8">
              <w:rPr>
                <w:sz w:val="18"/>
                <w:szCs w:val="18"/>
              </w:rPr>
              <w:t>Wilson (2017)</w:t>
            </w:r>
          </w:p>
        </w:tc>
        <w:tc>
          <w:tcPr>
            <w:tcW w:w="715" w:type="pct"/>
            <w:tcBorders>
              <w:top w:val="nil"/>
              <w:bottom w:val="single" w:sz="4" w:space="0" w:color="auto"/>
            </w:tcBorders>
          </w:tcPr>
          <w:p w14:paraId="79809F01" w14:textId="77777777" w:rsidR="00F0466A" w:rsidRPr="004C78D8" w:rsidRDefault="00F0466A" w:rsidP="00FB7C1F">
            <w:pPr>
              <w:jc w:val="center"/>
              <w:rPr>
                <w:sz w:val="18"/>
                <w:szCs w:val="18"/>
              </w:rPr>
            </w:pPr>
            <w:r w:rsidRPr="004C78D8">
              <w:rPr>
                <w:sz w:val="18"/>
                <w:szCs w:val="18"/>
              </w:rPr>
              <w:t>Tunnel state?</w:t>
            </w:r>
          </w:p>
        </w:tc>
        <w:tc>
          <w:tcPr>
            <w:tcW w:w="709" w:type="pct"/>
            <w:tcBorders>
              <w:top w:val="nil"/>
              <w:bottom w:val="single" w:sz="4" w:space="0" w:color="auto"/>
            </w:tcBorders>
          </w:tcPr>
          <w:p w14:paraId="5660DFE6" w14:textId="77777777" w:rsidR="00F0466A" w:rsidRPr="004C78D8" w:rsidRDefault="00F0466A" w:rsidP="00FB7C1F">
            <w:pPr>
              <w:jc w:val="center"/>
              <w:rPr>
                <w:sz w:val="18"/>
                <w:szCs w:val="18"/>
              </w:rPr>
            </w:pPr>
            <w:r w:rsidRPr="004C78D8">
              <w:rPr>
                <w:sz w:val="18"/>
                <w:szCs w:val="18"/>
              </w:rPr>
              <w:t>MA fall</w:t>
            </w:r>
          </w:p>
        </w:tc>
        <w:tc>
          <w:tcPr>
            <w:tcW w:w="649" w:type="pct"/>
            <w:tcBorders>
              <w:top w:val="nil"/>
              <w:bottom w:val="single" w:sz="4" w:space="0" w:color="auto"/>
            </w:tcBorders>
          </w:tcPr>
          <w:p w14:paraId="5D7A622E" w14:textId="77777777" w:rsidR="00F0466A" w:rsidRPr="004C78D8" w:rsidRDefault="00F0466A" w:rsidP="00FB7C1F">
            <w:pPr>
              <w:jc w:val="center"/>
              <w:rPr>
                <w:sz w:val="18"/>
                <w:szCs w:val="18"/>
              </w:rPr>
            </w:pPr>
          </w:p>
        </w:tc>
        <w:tc>
          <w:tcPr>
            <w:tcW w:w="925" w:type="pct"/>
            <w:tcBorders>
              <w:top w:val="nil"/>
              <w:bottom w:val="single" w:sz="4" w:space="0" w:color="auto"/>
            </w:tcBorders>
          </w:tcPr>
          <w:p w14:paraId="3B156091" w14:textId="77777777" w:rsidR="00F0466A" w:rsidRPr="004C78D8" w:rsidRDefault="00F0466A" w:rsidP="00FB7C1F">
            <w:pPr>
              <w:jc w:val="center"/>
              <w:rPr>
                <w:sz w:val="18"/>
                <w:szCs w:val="18"/>
              </w:rPr>
            </w:pPr>
            <w:r w:rsidRPr="004C78D8">
              <w:rPr>
                <w:sz w:val="18"/>
                <w:szCs w:val="18"/>
              </w:rPr>
              <w:t>Age</w:t>
            </w:r>
            <w:r w:rsidRPr="004C78D8">
              <w:rPr>
                <w:sz w:val="18"/>
                <w:szCs w:val="18"/>
                <w:vertAlign w:val="superscript"/>
              </w:rPr>
              <w:t>5</w:t>
            </w:r>
            <w:r w:rsidRPr="004C78D8">
              <w:rPr>
                <w:sz w:val="18"/>
                <w:szCs w:val="18"/>
              </w:rPr>
              <w:t xml:space="preserve"> </w:t>
            </w:r>
          </w:p>
        </w:tc>
        <w:tc>
          <w:tcPr>
            <w:tcW w:w="840" w:type="pct"/>
            <w:tcBorders>
              <w:top w:val="nil"/>
              <w:bottom w:val="single" w:sz="4" w:space="0" w:color="auto"/>
            </w:tcBorders>
          </w:tcPr>
          <w:p w14:paraId="3E267D0F" w14:textId="77777777" w:rsidR="00F0466A" w:rsidRPr="004C78D8" w:rsidRDefault="00F0466A" w:rsidP="00FB7C1F">
            <w:pPr>
              <w:jc w:val="center"/>
              <w:rPr>
                <w:sz w:val="18"/>
                <w:szCs w:val="18"/>
              </w:rPr>
            </w:pPr>
            <w:r w:rsidRPr="004C78D8">
              <w:rPr>
                <w:sz w:val="18"/>
                <w:szCs w:val="18"/>
              </w:rPr>
              <w:t>Age</w:t>
            </w:r>
            <w:r w:rsidRPr="004C78D8">
              <w:rPr>
                <w:sz w:val="18"/>
                <w:szCs w:val="18"/>
                <w:vertAlign w:val="superscript"/>
              </w:rPr>
              <w:t>5</w:t>
            </w:r>
          </w:p>
        </w:tc>
      </w:tr>
      <w:tr w:rsidR="00F0466A" w:rsidRPr="004C78D8" w14:paraId="48BC594B" w14:textId="77777777" w:rsidTr="002828C1">
        <w:tc>
          <w:tcPr>
            <w:tcW w:w="5000" w:type="pct"/>
            <w:gridSpan w:val="6"/>
            <w:tcBorders>
              <w:top w:val="single" w:sz="4" w:space="0" w:color="auto"/>
              <w:bottom w:val="single" w:sz="4" w:space="0" w:color="auto"/>
            </w:tcBorders>
          </w:tcPr>
          <w:p w14:paraId="23E2A40D" w14:textId="77777777" w:rsidR="00F0466A" w:rsidRPr="004C78D8" w:rsidRDefault="00F0466A" w:rsidP="00FB7C1F">
            <w:pPr>
              <w:jc w:val="left"/>
              <w:rPr>
                <w:b/>
                <w:bCs/>
                <w:sz w:val="18"/>
                <w:szCs w:val="18"/>
              </w:rPr>
            </w:pPr>
            <w:r w:rsidRPr="004C78D8">
              <w:rPr>
                <w:b/>
                <w:bCs/>
                <w:sz w:val="18"/>
                <w:szCs w:val="18"/>
              </w:rPr>
              <w:t>Individual-level Markov models</w:t>
            </w:r>
          </w:p>
        </w:tc>
      </w:tr>
      <w:tr w:rsidR="00F0466A" w:rsidRPr="004C78D8" w14:paraId="5A4003AD" w14:textId="77777777" w:rsidTr="002828C1">
        <w:tc>
          <w:tcPr>
            <w:tcW w:w="1163" w:type="pct"/>
            <w:tcBorders>
              <w:top w:val="single" w:sz="4" w:space="0" w:color="auto"/>
              <w:bottom w:val="nil"/>
            </w:tcBorders>
          </w:tcPr>
          <w:p w14:paraId="7CBA7287" w14:textId="77777777" w:rsidR="00F0466A" w:rsidRPr="004C78D8" w:rsidRDefault="00F0466A" w:rsidP="00FB7C1F">
            <w:pPr>
              <w:jc w:val="left"/>
              <w:rPr>
                <w:sz w:val="18"/>
                <w:szCs w:val="18"/>
              </w:rPr>
            </w:pPr>
            <w:r w:rsidRPr="004C78D8">
              <w:rPr>
                <w:sz w:val="18"/>
                <w:szCs w:val="18"/>
              </w:rPr>
              <w:t>Hiligsmann (2014)</w:t>
            </w:r>
          </w:p>
        </w:tc>
        <w:tc>
          <w:tcPr>
            <w:tcW w:w="715" w:type="pct"/>
            <w:tcBorders>
              <w:top w:val="single" w:sz="4" w:space="0" w:color="auto"/>
              <w:bottom w:val="nil"/>
            </w:tcBorders>
          </w:tcPr>
          <w:p w14:paraId="17C88E8B" w14:textId="77777777" w:rsidR="00F0466A" w:rsidRPr="004C78D8" w:rsidRDefault="00F0466A" w:rsidP="00FB7C1F">
            <w:pPr>
              <w:jc w:val="center"/>
            </w:pPr>
            <w:r w:rsidRPr="004C78D8">
              <w:rPr>
                <w:rFonts w:cs="Times New Roman"/>
              </w:rPr>
              <w:t>˟</w:t>
            </w:r>
          </w:p>
        </w:tc>
        <w:tc>
          <w:tcPr>
            <w:tcW w:w="709" w:type="pct"/>
            <w:tcBorders>
              <w:top w:val="single" w:sz="4" w:space="0" w:color="auto"/>
              <w:bottom w:val="nil"/>
            </w:tcBorders>
          </w:tcPr>
          <w:p w14:paraId="04113AC0" w14:textId="77777777" w:rsidR="00F0466A" w:rsidRPr="004C78D8" w:rsidRDefault="00F0466A" w:rsidP="00FB7C1F">
            <w:pPr>
              <w:jc w:val="center"/>
              <w:rPr>
                <w:sz w:val="18"/>
                <w:szCs w:val="18"/>
              </w:rPr>
            </w:pPr>
          </w:p>
        </w:tc>
        <w:tc>
          <w:tcPr>
            <w:tcW w:w="649" w:type="pct"/>
            <w:tcBorders>
              <w:top w:val="single" w:sz="4" w:space="0" w:color="auto"/>
              <w:bottom w:val="nil"/>
            </w:tcBorders>
          </w:tcPr>
          <w:p w14:paraId="24077978" w14:textId="77777777" w:rsidR="00F0466A" w:rsidRPr="004C78D8" w:rsidRDefault="00F0466A" w:rsidP="00FB7C1F">
            <w:pPr>
              <w:jc w:val="center"/>
              <w:rPr>
                <w:sz w:val="18"/>
                <w:szCs w:val="18"/>
              </w:rPr>
            </w:pPr>
          </w:p>
        </w:tc>
        <w:tc>
          <w:tcPr>
            <w:tcW w:w="925" w:type="pct"/>
            <w:tcBorders>
              <w:top w:val="single" w:sz="4" w:space="0" w:color="auto"/>
              <w:bottom w:val="nil"/>
            </w:tcBorders>
          </w:tcPr>
          <w:p w14:paraId="4DCBC064" w14:textId="77777777" w:rsidR="00F0466A" w:rsidRPr="004C78D8" w:rsidRDefault="00F0466A" w:rsidP="00FB7C1F">
            <w:pPr>
              <w:jc w:val="center"/>
              <w:rPr>
                <w:sz w:val="18"/>
                <w:szCs w:val="18"/>
              </w:rPr>
            </w:pPr>
            <w:r w:rsidRPr="004C78D8">
              <w:rPr>
                <w:sz w:val="18"/>
                <w:szCs w:val="18"/>
              </w:rPr>
              <w:t>Post-hip and vertebral fractures</w:t>
            </w:r>
          </w:p>
        </w:tc>
        <w:tc>
          <w:tcPr>
            <w:tcW w:w="840" w:type="pct"/>
            <w:tcBorders>
              <w:top w:val="single" w:sz="4" w:space="0" w:color="auto"/>
              <w:bottom w:val="nil"/>
            </w:tcBorders>
          </w:tcPr>
          <w:p w14:paraId="1CA0A754" w14:textId="77777777" w:rsidR="00F0466A" w:rsidRPr="004C78D8" w:rsidRDefault="00F0466A" w:rsidP="00FB7C1F">
            <w:pPr>
              <w:jc w:val="center"/>
              <w:rPr>
                <w:sz w:val="18"/>
                <w:szCs w:val="18"/>
              </w:rPr>
            </w:pPr>
            <w:r w:rsidRPr="004C78D8">
              <w:rPr>
                <w:sz w:val="18"/>
                <w:szCs w:val="18"/>
              </w:rPr>
              <w:t>Post-hip fracture</w:t>
            </w:r>
            <w:r w:rsidRPr="004C78D8">
              <w:rPr>
                <w:sz w:val="18"/>
                <w:szCs w:val="18"/>
                <w:vertAlign w:val="superscript"/>
              </w:rPr>
              <w:t>7</w:t>
            </w:r>
          </w:p>
        </w:tc>
      </w:tr>
      <w:tr w:rsidR="00F0466A" w:rsidRPr="004C78D8" w14:paraId="11107710" w14:textId="77777777" w:rsidTr="002828C1">
        <w:tc>
          <w:tcPr>
            <w:tcW w:w="1163" w:type="pct"/>
            <w:tcBorders>
              <w:top w:val="nil"/>
              <w:bottom w:val="nil"/>
            </w:tcBorders>
          </w:tcPr>
          <w:p w14:paraId="64D9EC98" w14:textId="77777777" w:rsidR="00F0466A" w:rsidRPr="004C78D8" w:rsidRDefault="00F0466A" w:rsidP="00FB7C1F">
            <w:pPr>
              <w:jc w:val="left"/>
              <w:rPr>
                <w:sz w:val="18"/>
                <w:szCs w:val="18"/>
              </w:rPr>
            </w:pPr>
            <w:r w:rsidRPr="004C78D8">
              <w:rPr>
                <w:sz w:val="18"/>
                <w:szCs w:val="18"/>
              </w:rPr>
              <w:t>Mori (2017)</w:t>
            </w:r>
          </w:p>
        </w:tc>
        <w:tc>
          <w:tcPr>
            <w:tcW w:w="715" w:type="pct"/>
            <w:tcBorders>
              <w:top w:val="nil"/>
              <w:bottom w:val="nil"/>
            </w:tcBorders>
          </w:tcPr>
          <w:p w14:paraId="175680E0" w14:textId="77777777" w:rsidR="00F0466A" w:rsidRPr="004C78D8" w:rsidRDefault="00F0466A" w:rsidP="00FB7C1F">
            <w:pPr>
              <w:jc w:val="center"/>
            </w:pPr>
            <w:r w:rsidRPr="004C78D8">
              <w:rPr>
                <w:rFonts w:cs="Times New Roman"/>
              </w:rPr>
              <w:t>˟</w:t>
            </w:r>
          </w:p>
        </w:tc>
        <w:tc>
          <w:tcPr>
            <w:tcW w:w="709" w:type="pct"/>
            <w:tcBorders>
              <w:top w:val="nil"/>
              <w:bottom w:val="nil"/>
            </w:tcBorders>
          </w:tcPr>
          <w:p w14:paraId="6C9ADC4D" w14:textId="77777777" w:rsidR="00F0466A" w:rsidRPr="004C78D8" w:rsidRDefault="00F0466A" w:rsidP="00FB7C1F">
            <w:pPr>
              <w:jc w:val="center"/>
              <w:rPr>
                <w:sz w:val="18"/>
                <w:szCs w:val="18"/>
              </w:rPr>
            </w:pPr>
            <w:r w:rsidRPr="004C78D8">
              <w:rPr>
                <w:sz w:val="18"/>
                <w:szCs w:val="18"/>
              </w:rPr>
              <w:t>Fracture</w:t>
            </w:r>
          </w:p>
        </w:tc>
        <w:tc>
          <w:tcPr>
            <w:tcW w:w="649" w:type="pct"/>
            <w:tcBorders>
              <w:top w:val="nil"/>
              <w:bottom w:val="nil"/>
            </w:tcBorders>
          </w:tcPr>
          <w:p w14:paraId="0C026864" w14:textId="77777777" w:rsidR="00F0466A" w:rsidRPr="004C78D8" w:rsidRDefault="00F0466A" w:rsidP="00FB7C1F">
            <w:pPr>
              <w:jc w:val="center"/>
              <w:rPr>
                <w:sz w:val="18"/>
                <w:szCs w:val="18"/>
              </w:rPr>
            </w:pPr>
            <w:r w:rsidRPr="004C78D8">
              <w:rPr>
                <w:sz w:val="18"/>
                <w:szCs w:val="18"/>
              </w:rPr>
              <w:t>Osteoporosis</w:t>
            </w:r>
          </w:p>
        </w:tc>
        <w:tc>
          <w:tcPr>
            <w:tcW w:w="925" w:type="pct"/>
            <w:tcBorders>
              <w:top w:val="nil"/>
              <w:bottom w:val="nil"/>
            </w:tcBorders>
          </w:tcPr>
          <w:p w14:paraId="536B85E4" w14:textId="77777777" w:rsidR="00F0466A" w:rsidRPr="004C78D8" w:rsidRDefault="00F0466A" w:rsidP="00FB7C1F">
            <w:pPr>
              <w:jc w:val="center"/>
              <w:rPr>
                <w:sz w:val="18"/>
                <w:szCs w:val="18"/>
              </w:rPr>
            </w:pPr>
            <w:r w:rsidRPr="004C78D8">
              <w:rPr>
                <w:sz w:val="18"/>
                <w:szCs w:val="18"/>
              </w:rPr>
              <w:t>Age; Post-hip and vertebral fractures</w:t>
            </w:r>
          </w:p>
        </w:tc>
        <w:tc>
          <w:tcPr>
            <w:tcW w:w="840" w:type="pct"/>
            <w:tcBorders>
              <w:top w:val="nil"/>
              <w:bottom w:val="nil"/>
            </w:tcBorders>
          </w:tcPr>
          <w:p w14:paraId="5EFC5331" w14:textId="77777777" w:rsidR="00F0466A" w:rsidRPr="004C78D8" w:rsidRDefault="00F0466A" w:rsidP="00FB7C1F">
            <w:pPr>
              <w:jc w:val="center"/>
              <w:rPr>
                <w:sz w:val="18"/>
                <w:szCs w:val="18"/>
              </w:rPr>
            </w:pPr>
            <w:r w:rsidRPr="004C78D8">
              <w:rPr>
                <w:sz w:val="18"/>
                <w:szCs w:val="18"/>
              </w:rPr>
              <w:t>Post-hip fracture</w:t>
            </w:r>
            <w:r w:rsidRPr="004C78D8">
              <w:rPr>
                <w:sz w:val="18"/>
                <w:szCs w:val="18"/>
                <w:vertAlign w:val="superscript"/>
              </w:rPr>
              <w:t>7</w:t>
            </w:r>
          </w:p>
        </w:tc>
      </w:tr>
      <w:tr w:rsidR="00F0466A" w:rsidRPr="004C78D8" w14:paraId="5AC79766" w14:textId="77777777" w:rsidTr="002828C1">
        <w:tc>
          <w:tcPr>
            <w:tcW w:w="1163" w:type="pct"/>
            <w:tcBorders>
              <w:top w:val="nil"/>
              <w:bottom w:val="nil"/>
            </w:tcBorders>
          </w:tcPr>
          <w:p w14:paraId="3FB468BE" w14:textId="77777777" w:rsidR="00F0466A" w:rsidRPr="004C78D8" w:rsidRDefault="00F0466A" w:rsidP="00FB7C1F">
            <w:pPr>
              <w:jc w:val="left"/>
              <w:rPr>
                <w:sz w:val="18"/>
                <w:szCs w:val="18"/>
              </w:rPr>
            </w:pPr>
            <w:r w:rsidRPr="004C78D8">
              <w:rPr>
                <w:sz w:val="18"/>
                <w:szCs w:val="18"/>
              </w:rPr>
              <w:t>Nshimyumukiza (2013)</w:t>
            </w:r>
          </w:p>
        </w:tc>
        <w:tc>
          <w:tcPr>
            <w:tcW w:w="715" w:type="pct"/>
            <w:tcBorders>
              <w:top w:val="nil"/>
              <w:bottom w:val="nil"/>
            </w:tcBorders>
          </w:tcPr>
          <w:p w14:paraId="07232941" w14:textId="77777777" w:rsidR="00F0466A" w:rsidRPr="004C78D8" w:rsidRDefault="00F0466A" w:rsidP="00FB7C1F">
            <w:pPr>
              <w:jc w:val="center"/>
            </w:pPr>
            <w:r w:rsidRPr="004C78D8">
              <w:rPr>
                <w:rFonts w:cs="Times New Roman"/>
              </w:rPr>
              <w:t>˟</w:t>
            </w:r>
          </w:p>
        </w:tc>
        <w:tc>
          <w:tcPr>
            <w:tcW w:w="709" w:type="pct"/>
            <w:tcBorders>
              <w:top w:val="nil"/>
              <w:bottom w:val="nil"/>
            </w:tcBorders>
          </w:tcPr>
          <w:p w14:paraId="6AF24920" w14:textId="77777777" w:rsidR="00F0466A" w:rsidRPr="004C78D8" w:rsidRDefault="00F0466A" w:rsidP="00FB7C1F">
            <w:pPr>
              <w:jc w:val="center"/>
              <w:rPr>
                <w:sz w:val="18"/>
                <w:szCs w:val="18"/>
              </w:rPr>
            </w:pPr>
            <w:r w:rsidRPr="004C78D8">
              <w:rPr>
                <w:sz w:val="18"/>
                <w:szCs w:val="18"/>
              </w:rPr>
              <w:t>Fracture</w:t>
            </w:r>
          </w:p>
        </w:tc>
        <w:tc>
          <w:tcPr>
            <w:tcW w:w="649" w:type="pct"/>
            <w:tcBorders>
              <w:top w:val="nil"/>
              <w:bottom w:val="nil"/>
            </w:tcBorders>
          </w:tcPr>
          <w:p w14:paraId="6BEC3866" w14:textId="77777777" w:rsidR="00F0466A" w:rsidRPr="004C78D8" w:rsidRDefault="00F0466A" w:rsidP="00FB7C1F">
            <w:pPr>
              <w:jc w:val="center"/>
              <w:rPr>
                <w:sz w:val="18"/>
                <w:szCs w:val="18"/>
              </w:rPr>
            </w:pPr>
            <w:r w:rsidRPr="004C78D8">
              <w:rPr>
                <w:sz w:val="18"/>
                <w:szCs w:val="18"/>
              </w:rPr>
              <w:t>BMD</w:t>
            </w:r>
          </w:p>
        </w:tc>
        <w:tc>
          <w:tcPr>
            <w:tcW w:w="925" w:type="pct"/>
            <w:tcBorders>
              <w:top w:val="nil"/>
              <w:bottom w:val="nil"/>
            </w:tcBorders>
          </w:tcPr>
          <w:p w14:paraId="603C90EC" w14:textId="77777777" w:rsidR="00F0466A" w:rsidRPr="004C78D8" w:rsidRDefault="00F0466A" w:rsidP="00FB7C1F">
            <w:pPr>
              <w:jc w:val="center"/>
              <w:rPr>
                <w:sz w:val="18"/>
                <w:szCs w:val="18"/>
              </w:rPr>
            </w:pPr>
            <w:r w:rsidRPr="004C78D8">
              <w:rPr>
                <w:sz w:val="18"/>
                <w:szCs w:val="18"/>
              </w:rPr>
              <w:t>Post-hip and vertebral fractures</w:t>
            </w:r>
          </w:p>
        </w:tc>
        <w:tc>
          <w:tcPr>
            <w:tcW w:w="840" w:type="pct"/>
            <w:tcBorders>
              <w:top w:val="nil"/>
              <w:bottom w:val="nil"/>
            </w:tcBorders>
          </w:tcPr>
          <w:p w14:paraId="0E908EEB" w14:textId="77777777" w:rsidR="00F0466A" w:rsidRPr="004C78D8" w:rsidRDefault="00F0466A" w:rsidP="00FB7C1F">
            <w:pPr>
              <w:jc w:val="center"/>
              <w:rPr>
                <w:sz w:val="18"/>
                <w:szCs w:val="18"/>
              </w:rPr>
            </w:pPr>
          </w:p>
        </w:tc>
      </w:tr>
      <w:tr w:rsidR="00F0466A" w:rsidRPr="004C78D8" w14:paraId="4F4B5843" w14:textId="77777777" w:rsidTr="002828C1">
        <w:tc>
          <w:tcPr>
            <w:tcW w:w="1163" w:type="pct"/>
            <w:tcBorders>
              <w:top w:val="nil"/>
            </w:tcBorders>
          </w:tcPr>
          <w:p w14:paraId="36080F94" w14:textId="77777777" w:rsidR="00F0466A" w:rsidRPr="004C78D8" w:rsidRDefault="00F0466A" w:rsidP="00FB7C1F">
            <w:pPr>
              <w:jc w:val="left"/>
              <w:rPr>
                <w:sz w:val="18"/>
                <w:szCs w:val="18"/>
              </w:rPr>
            </w:pPr>
            <w:r w:rsidRPr="004C78D8">
              <w:rPr>
                <w:sz w:val="18"/>
                <w:szCs w:val="18"/>
              </w:rPr>
              <w:t>Zarca (2014)</w:t>
            </w:r>
          </w:p>
        </w:tc>
        <w:tc>
          <w:tcPr>
            <w:tcW w:w="715" w:type="pct"/>
            <w:tcBorders>
              <w:top w:val="nil"/>
            </w:tcBorders>
          </w:tcPr>
          <w:p w14:paraId="6E4A6D57" w14:textId="77777777" w:rsidR="00F0466A" w:rsidRPr="004C78D8" w:rsidRDefault="00F0466A" w:rsidP="00FB7C1F">
            <w:pPr>
              <w:jc w:val="center"/>
            </w:pPr>
            <w:r w:rsidRPr="004C78D8">
              <w:rPr>
                <w:rFonts w:cs="Times New Roman"/>
              </w:rPr>
              <w:t>˟</w:t>
            </w:r>
          </w:p>
        </w:tc>
        <w:tc>
          <w:tcPr>
            <w:tcW w:w="709" w:type="pct"/>
            <w:tcBorders>
              <w:top w:val="nil"/>
            </w:tcBorders>
          </w:tcPr>
          <w:p w14:paraId="385194DF" w14:textId="77777777" w:rsidR="00F0466A" w:rsidRPr="004C78D8" w:rsidRDefault="00F0466A" w:rsidP="00FB7C1F">
            <w:pPr>
              <w:jc w:val="center"/>
              <w:rPr>
                <w:sz w:val="18"/>
                <w:szCs w:val="18"/>
              </w:rPr>
            </w:pPr>
            <w:r w:rsidRPr="004C78D8">
              <w:rPr>
                <w:sz w:val="18"/>
                <w:szCs w:val="18"/>
              </w:rPr>
              <w:t>Hip fracture</w:t>
            </w:r>
          </w:p>
        </w:tc>
        <w:tc>
          <w:tcPr>
            <w:tcW w:w="649" w:type="pct"/>
            <w:tcBorders>
              <w:top w:val="nil"/>
            </w:tcBorders>
          </w:tcPr>
          <w:p w14:paraId="2CC90901" w14:textId="77777777" w:rsidR="00F0466A" w:rsidRPr="004C78D8" w:rsidRDefault="00F0466A" w:rsidP="00FB7C1F">
            <w:pPr>
              <w:jc w:val="center"/>
              <w:rPr>
                <w:sz w:val="18"/>
                <w:szCs w:val="18"/>
              </w:rPr>
            </w:pPr>
            <w:r w:rsidRPr="004C78D8">
              <w:rPr>
                <w:sz w:val="18"/>
                <w:szCs w:val="18"/>
              </w:rPr>
              <w:t xml:space="preserve">Vitamin D </w:t>
            </w:r>
          </w:p>
        </w:tc>
        <w:tc>
          <w:tcPr>
            <w:tcW w:w="925" w:type="pct"/>
            <w:tcBorders>
              <w:top w:val="nil"/>
            </w:tcBorders>
          </w:tcPr>
          <w:p w14:paraId="376B249C" w14:textId="77777777" w:rsidR="00F0466A" w:rsidRPr="004C78D8" w:rsidRDefault="00F0466A" w:rsidP="00FB7C1F">
            <w:pPr>
              <w:jc w:val="center"/>
              <w:rPr>
                <w:sz w:val="18"/>
                <w:szCs w:val="18"/>
              </w:rPr>
            </w:pPr>
            <w:r w:rsidRPr="004C78D8">
              <w:rPr>
                <w:sz w:val="18"/>
                <w:szCs w:val="18"/>
              </w:rPr>
              <w:t>Age; Post-hip fracture</w:t>
            </w:r>
          </w:p>
        </w:tc>
        <w:tc>
          <w:tcPr>
            <w:tcW w:w="840" w:type="pct"/>
            <w:tcBorders>
              <w:top w:val="nil"/>
            </w:tcBorders>
          </w:tcPr>
          <w:p w14:paraId="246845D2" w14:textId="77777777" w:rsidR="00F0466A" w:rsidRPr="004C78D8" w:rsidRDefault="00F0466A" w:rsidP="00FB7C1F">
            <w:pPr>
              <w:jc w:val="center"/>
              <w:rPr>
                <w:sz w:val="18"/>
                <w:szCs w:val="18"/>
              </w:rPr>
            </w:pPr>
          </w:p>
        </w:tc>
      </w:tr>
      <w:tr w:rsidR="00F0466A" w:rsidRPr="004C78D8" w14:paraId="50C1D322" w14:textId="77777777" w:rsidTr="002828C1">
        <w:tc>
          <w:tcPr>
            <w:tcW w:w="5000" w:type="pct"/>
            <w:gridSpan w:val="6"/>
          </w:tcPr>
          <w:p w14:paraId="1885ED6A" w14:textId="77777777" w:rsidR="00F0466A" w:rsidRPr="004C78D8" w:rsidRDefault="00F0466A" w:rsidP="00FB7C1F">
            <w:pPr>
              <w:rPr>
                <w:sz w:val="18"/>
                <w:szCs w:val="18"/>
              </w:rPr>
            </w:pPr>
            <w:r w:rsidRPr="004C78D8">
              <w:rPr>
                <w:b/>
                <w:bCs/>
                <w:sz w:val="18"/>
                <w:szCs w:val="18"/>
              </w:rPr>
              <w:t xml:space="preserve">Abbreviation: </w:t>
            </w:r>
            <w:r w:rsidRPr="004C78D8">
              <w:rPr>
                <w:sz w:val="18"/>
                <w:szCs w:val="18"/>
              </w:rPr>
              <w:t>BMD: bone mass density; CEA: cost-effectiveness analysis; FoF: fear of falling; FS: functional status; LTC: long-term care; MA fall: fall requiring medical attention; OMAS: Ontario Medical Advisory Secretariat; RCN: Royal College of Nursing.</w:t>
            </w:r>
          </w:p>
          <w:p w14:paraId="64F1C4A3" w14:textId="218B5095" w:rsidR="00F0466A" w:rsidRPr="004C78D8" w:rsidRDefault="00F0466A" w:rsidP="00FB7C1F">
            <w:pPr>
              <w:rPr>
                <w:sz w:val="18"/>
                <w:szCs w:val="18"/>
              </w:rPr>
            </w:pPr>
            <w:r w:rsidRPr="004C78D8">
              <w:rPr>
                <w:sz w:val="18"/>
                <w:szCs w:val="18"/>
                <w:vertAlign w:val="superscript"/>
              </w:rPr>
              <w:t>1</w:t>
            </w:r>
            <w:r w:rsidRPr="004C78D8">
              <w:rPr>
                <w:sz w:val="18"/>
                <w:szCs w:val="18"/>
              </w:rPr>
              <w:t xml:space="preserve"> See Table </w:t>
            </w:r>
            <w:r w:rsidR="00EE19A2" w:rsidRPr="004C78D8">
              <w:rPr>
                <w:sz w:val="18"/>
                <w:szCs w:val="18"/>
              </w:rPr>
              <w:t>4</w:t>
            </w:r>
            <w:r w:rsidR="006C5D2F" w:rsidRPr="004C78D8">
              <w:rPr>
                <w:sz w:val="18"/>
                <w:szCs w:val="18"/>
              </w:rPr>
              <w:t>.2</w:t>
            </w:r>
            <w:r w:rsidRPr="004C78D8">
              <w:rPr>
                <w:sz w:val="18"/>
                <w:szCs w:val="18"/>
              </w:rPr>
              <w:t xml:space="preserve"> for study references.</w:t>
            </w:r>
          </w:p>
          <w:p w14:paraId="2A1185D8" w14:textId="77777777" w:rsidR="00F0466A" w:rsidRPr="004C78D8" w:rsidRDefault="00F0466A" w:rsidP="00FB7C1F">
            <w:pPr>
              <w:rPr>
                <w:sz w:val="18"/>
                <w:szCs w:val="18"/>
              </w:rPr>
            </w:pPr>
            <w:r w:rsidRPr="004C78D8">
              <w:rPr>
                <w:sz w:val="18"/>
                <w:szCs w:val="18"/>
                <w:vertAlign w:val="superscript"/>
              </w:rPr>
              <w:t>2</w:t>
            </w:r>
            <w:r w:rsidRPr="004C78D8">
              <w:rPr>
                <w:sz w:val="18"/>
                <w:szCs w:val="18"/>
              </w:rPr>
              <w:t xml:space="preserve"> Not directed related to but indirectly influenced by falls/fractures: e.g., fatal fall influences lifetime comorbidity care costs.</w:t>
            </w:r>
          </w:p>
          <w:p w14:paraId="7D488722" w14:textId="77777777" w:rsidR="00F0466A" w:rsidRPr="004C78D8" w:rsidRDefault="00F0466A" w:rsidP="00FB7C1F">
            <w:pPr>
              <w:rPr>
                <w:sz w:val="18"/>
                <w:szCs w:val="18"/>
              </w:rPr>
            </w:pPr>
            <w:r w:rsidRPr="004C78D8">
              <w:rPr>
                <w:sz w:val="18"/>
                <w:szCs w:val="18"/>
                <w:vertAlign w:val="superscript"/>
              </w:rPr>
              <w:t>3</w:t>
            </w:r>
            <w:r w:rsidRPr="004C78D8">
              <w:rPr>
                <w:sz w:val="18"/>
                <w:szCs w:val="18"/>
              </w:rPr>
              <w:t xml:space="preserve"> Alhambra-Borras (2019) was excluded due to unclear description of the dynamic model states following intervention.</w:t>
            </w:r>
          </w:p>
          <w:p w14:paraId="6275111F" w14:textId="61424A1F" w:rsidR="00F0466A" w:rsidRPr="004C78D8" w:rsidRDefault="00F0466A" w:rsidP="00FB7C1F">
            <w:pPr>
              <w:rPr>
                <w:sz w:val="18"/>
                <w:szCs w:val="18"/>
              </w:rPr>
            </w:pPr>
            <w:r w:rsidRPr="004C78D8">
              <w:rPr>
                <w:sz w:val="18"/>
                <w:szCs w:val="18"/>
                <w:vertAlign w:val="superscript"/>
              </w:rPr>
              <w:t>4</w:t>
            </w:r>
            <w:r w:rsidRPr="004C78D8">
              <w:rPr>
                <w:sz w:val="18"/>
                <w:szCs w:val="18"/>
              </w:rPr>
              <w:t xml:space="preserve"> Age-based risk progression would require tunnel states</w:t>
            </w:r>
            <w:r w:rsidR="00D50E0E" w:rsidRPr="004C78D8">
              <w:rPr>
                <w:sz w:val="18"/>
                <w:szCs w:val="18"/>
              </w:rPr>
              <w:t>,</w:t>
            </w:r>
            <w:r w:rsidRPr="004C78D8">
              <w:rPr>
                <w:sz w:val="18"/>
                <w:szCs w:val="18"/>
              </w:rPr>
              <w:t xml:space="preserve"> but this was not mentioned or graphed, hence the question mark.</w:t>
            </w:r>
          </w:p>
          <w:p w14:paraId="401EB026" w14:textId="77777777" w:rsidR="00F0466A" w:rsidRPr="004C78D8" w:rsidRDefault="00F0466A" w:rsidP="00FB7C1F">
            <w:pPr>
              <w:rPr>
                <w:sz w:val="18"/>
                <w:szCs w:val="18"/>
              </w:rPr>
            </w:pPr>
            <w:r w:rsidRPr="004C78D8">
              <w:rPr>
                <w:sz w:val="18"/>
                <w:szCs w:val="18"/>
                <w:vertAlign w:val="superscript"/>
              </w:rPr>
              <w:t>5</w:t>
            </w:r>
            <w:r w:rsidRPr="004C78D8">
              <w:rPr>
                <w:sz w:val="18"/>
                <w:szCs w:val="18"/>
              </w:rPr>
              <w:t xml:space="preserve"> Stratified by further time-invariant factors including sex and ethnicity.</w:t>
            </w:r>
          </w:p>
          <w:p w14:paraId="74586C21" w14:textId="77777777" w:rsidR="00F0466A" w:rsidRPr="004C78D8" w:rsidRDefault="00F0466A" w:rsidP="00FB7C1F">
            <w:pPr>
              <w:rPr>
                <w:sz w:val="18"/>
                <w:szCs w:val="18"/>
              </w:rPr>
            </w:pPr>
            <w:r w:rsidRPr="004C78D8">
              <w:rPr>
                <w:sz w:val="18"/>
                <w:szCs w:val="18"/>
                <w:vertAlign w:val="superscript"/>
              </w:rPr>
              <w:t>6</w:t>
            </w:r>
            <w:r w:rsidRPr="004C78D8">
              <w:rPr>
                <w:sz w:val="18"/>
                <w:szCs w:val="18"/>
              </w:rPr>
              <w:t xml:space="preserve"> Unclear whether events such as fracture and LTC admission incurred a one-off or permanent health utility loss.</w:t>
            </w:r>
          </w:p>
          <w:p w14:paraId="7F393561" w14:textId="77777777" w:rsidR="00F0466A" w:rsidRPr="004C78D8" w:rsidRDefault="00F0466A" w:rsidP="00FB7C1F">
            <w:pPr>
              <w:rPr>
                <w:sz w:val="18"/>
                <w:szCs w:val="18"/>
              </w:rPr>
            </w:pPr>
            <w:r w:rsidRPr="004C78D8">
              <w:rPr>
                <w:sz w:val="18"/>
                <w:szCs w:val="18"/>
                <w:vertAlign w:val="superscript"/>
              </w:rPr>
              <w:t>7</w:t>
            </w:r>
            <w:r w:rsidRPr="004C78D8">
              <w:rPr>
                <w:sz w:val="18"/>
                <w:szCs w:val="18"/>
              </w:rPr>
              <w:t xml:space="preserve"> Incorporated ongoing care costs for serious fractures, which are not technically comorbidity care costs since they are directly associated with fall/fracture in model; but they can be interpreted as such given their permanent nature.</w:t>
            </w:r>
          </w:p>
        </w:tc>
      </w:tr>
    </w:tbl>
    <w:p w14:paraId="2FF5461E" w14:textId="6F8FC144" w:rsidR="00F0466A" w:rsidRPr="004C78D8" w:rsidRDefault="00F0466A" w:rsidP="00FB7C1F"/>
    <w:p w14:paraId="367208DE" w14:textId="1A283C35" w:rsidR="006C5D2F" w:rsidRPr="004C78D8" w:rsidRDefault="006C5D2F" w:rsidP="00FB7C1F">
      <w:pPr>
        <w:rPr>
          <w:lang w:val="en-US"/>
        </w:rPr>
      </w:pPr>
      <w:r w:rsidRPr="004C78D8">
        <w:rPr>
          <w:lang w:val="en-US"/>
        </w:rPr>
        <w:t xml:space="preserve">The time-variant risk factors were grouped into three categories: ‘age’, ‘falls incidence’, and ‘other’ (e.g., fear of falling). For the four individual-level Markov models, fracture risks were updated for individuals by age progression in each cycle. For the 13 cohort-level models, accounting for the age-based risk progression would have required tunnel states for each model state, but this was not mentioned or graphed. </w:t>
      </w:r>
      <w:r w:rsidRPr="004C78D8">
        <w:t xml:space="preserve">Tunnel states exist within each pre-specified Markov model state and have differing transition probabilities to other states to reflect the changes in risk that would occur over the time spent in the given model state </w:t>
      </w:r>
      <w:r w:rsidRPr="004C78D8">
        <w:fldChar w:fldCharType="begin"/>
      </w:r>
      <w:r w:rsidR="00C630FC" w:rsidRPr="004C78D8">
        <w:instrText xml:space="preserve"> ADDIN EN.CITE &lt;EndNote&gt;&lt;Cite&gt;&lt;Author&gt;Carta&lt;/Author&gt;&lt;Year&gt;2020&lt;/Year&gt;&lt;RecNum&gt;699&lt;/RecNum&gt;&lt;DisplayText&gt;[369]&lt;/DisplayText&gt;&lt;record&gt;&lt;rec-number&gt;699&lt;/rec-number&gt;&lt;foreign-keys&gt;&lt;key app="EN" db-id="tdtrdw9aepptzbefsat599syza29sxsd2wsp" timestamp="1635766247"&gt;699&lt;/key&gt;&lt;/foreign-keys&gt;&lt;ref-type name="Journal Article"&gt;17&lt;/ref-type&gt;&lt;contributors&gt;&lt;authors&gt;&lt;author&gt;Carta, Andrea&lt;/author&gt;&lt;author&gt;Conversano, Claudio&lt;/author&gt;&lt;/authors&gt;&lt;/contributors&gt;&lt;titles&gt;&lt;title&gt;On the Use of Markov Models in Pharmacoeconomics: Pros and Cons and Implications for Policy Makers&lt;/title&gt;&lt;secondary-title&gt;Frontiers in Public Health&lt;/secondary-title&gt;&lt;/titles&gt;&lt;periodical&gt;&lt;full-title&gt;Frontiers in public health&lt;/full-title&gt;&lt;/periodical&gt;&lt;volume&gt;8&lt;/volume&gt;&lt;dates&gt;&lt;year&gt;2020&lt;/year&gt;&lt;/dates&gt;&lt;urls&gt;&lt;/urls&gt;&lt;/record&gt;&lt;/Cite&gt;&lt;/EndNote&gt;</w:instrText>
      </w:r>
      <w:r w:rsidRPr="004C78D8">
        <w:fldChar w:fldCharType="separate"/>
      </w:r>
      <w:r w:rsidR="00C630FC" w:rsidRPr="004C78D8">
        <w:rPr>
          <w:noProof/>
        </w:rPr>
        <w:t>[369]</w:t>
      </w:r>
      <w:r w:rsidRPr="004C78D8">
        <w:fldChar w:fldCharType="end"/>
      </w:r>
      <w:r w:rsidRPr="004C78D8">
        <w:t xml:space="preserve">; the proportion of the Markov cohort who do not transition to another model state would instead transition to the tunnel states. </w:t>
      </w:r>
      <w:r w:rsidRPr="004C78D8">
        <w:rPr>
          <w:lang w:val="en-US"/>
        </w:rPr>
        <w:t xml:space="preserve">Lack of tunnel states would bias the results against those who are younger at baseline: the falls risk kept low despite ageing would reduce the absolute number of falls prevented by the intervention and hence its cost-effectiveness. </w:t>
      </w:r>
    </w:p>
    <w:p w14:paraId="78F63BC5" w14:textId="4FFFCFF2" w:rsidR="00F0466A" w:rsidRPr="004C78D8" w:rsidRDefault="006C5D2F" w:rsidP="00FB7C1F">
      <w:r w:rsidRPr="004C78D8">
        <w:rPr>
          <w:lang w:val="en-US"/>
        </w:rPr>
        <w:t xml:space="preserve">Fifteen incorporated fall/fracture incidence within modelled time as a risk factor, establishing a feedback loop. </w:t>
      </w:r>
      <w:r w:rsidRPr="004C78D8">
        <w:t>Only five models incorporated progression of other risk factors. Eldridge (2005) modelled individuals transitioning in and out of the state of fear of falling which increased the risks of hip fracture, LTC admission</w:t>
      </w:r>
      <w:r w:rsidR="00D50E0E" w:rsidRPr="004C78D8">
        <w:t>,</w:t>
      </w:r>
      <w:r w:rsidRPr="004C78D8">
        <w:t xml:space="preserve"> and mortality. Honkanen (2006) modelled transitions to functional dependence which increased the risks of hip fracture, LTC admission</w:t>
      </w:r>
      <w:r w:rsidR="00D50E0E" w:rsidRPr="004C78D8">
        <w:t>,</w:t>
      </w:r>
      <w:r w:rsidRPr="004C78D8">
        <w:t xml:space="preserve"> and mortality. Therefore, Eldridge (2005) and Honkanen (2006) captured the natural trajectory of geriatric health (using binary indicators) that interacted with fracture incidence and risk.</w:t>
      </w:r>
    </w:p>
    <w:p w14:paraId="3BD5CECC" w14:textId="24B16FB1" w:rsidR="006C5D2F" w:rsidRPr="004C78D8" w:rsidRDefault="006C5D2F" w:rsidP="00FB7C1F">
      <w:r w:rsidRPr="004C78D8">
        <w:t xml:space="preserve">Only two models incorporated dynamic changes to intervention need: Honkanen (2006) allowed the type of hip protector to change according to functional status; Nshimyumukiza (2013) shifted individuals to a reactive fracture prevention pathway when a fracture occurred. It was unclear in </w:t>
      </w:r>
      <w:r w:rsidRPr="004C78D8">
        <w:lastRenderedPageBreak/>
        <w:t>Nshimyumukiza (2013) whether fracture risk screening was repeated each cycle to change the proactive intervention components. Eldridge (2005) did not model the progressions of factors included in FRAT (e.g., mobility, chronic diseases, medication use) that determined the proactive components nor incorporate repeated risk screening after the baseline year. Deverall (2018) was unique in allowing the cost of group exercise to vary dynamically from NZ$480 per person in the 1</w:t>
      </w:r>
      <w:r w:rsidRPr="004C78D8">
        <w:rPr>
          <w:vertAlign w:val="superscript"/>
        </w:rPr>
        <w:t>st</w:t>
      </w:r>
      <w:r w:rsidRPr="004C78D8">
        <w:t xml:space="preserve"> year to NZ$62 in subsequent years for those who persist.</w:t>
      </w:r>
    </w:p>
    <w:p w14:paraId="4616A0A2" w14:textId="789F29E2" w:rsidR="006C5D2F" w:rsidRPr="004C78D8" w:rsidRDefault="00DD6ECE" w:rsidP="00FB7C1F">
      <w:r w:rsidRPr="004C78D8">
        <w:t xml:space="preserve">All models in Table </w:t>
      </w:r>
      <w:r w:rsidR="00EE19A2" w:rsidRPr="004C78D8">
        <w:t>4</w:t>
      </w:r>
      <w:r w:rsidRPr="004C78D8">
        <w:t>.13 except OMAS (2008) performed CUA. Of these, Honkanen (2006) was most thorough in characterising the trajectory of health utility values which progressed by age, functional status, residence</w:t>
      </w:r>
      <w:r w:rsidR="00D50E0E" w:rsidRPr="004C78D8">
        <w:t>,</w:t>
      </w:r>
      <w:r w:rsidRPr="004C78D8">
        <w:t xml:space="preserve"> and hip fracture incidence. The four individual-level models did not incorporate such geriatric health/frailty progression but allowed severe fractures to have permanent impacts on utilities. Nine allowed utility progression by age alone, which precluded capturing the heterogeneous health progression within the same age group. Honkanen (2006) was again most thorough in characterising the trajectory of comorbidity care costs.</w:t>
      </w:r>
    </w:p>
    <w:p w14:paraId="638FBACC" w14:textId="6DBE8A43" w:rsidR="00DD6ECE" w:rsidRPr="004C78D8" w:rsidRDefault="00DD6ECE" w:rsidP="00FB7C1F">
      <w:r w:rsidRPr="004C78D8">
        <w:t>Table D</w:t>
      </w:r>
      <w:r w:rsidR="00B6659F" w:rsidRPr="004C78D8">
        <w:t>6</w:t>
      </w:r>
      <w:r w:rsidRPr="004C78D8">
        <w:t xml:space="preserve"> in Appendix D describes the entry and exit patterns for the above non-binary models. Nshimyumukiza (2013) was unique in incorporating incoming cohorts each year for the first 10 years. Other models mentioned the non-incorporation of incoming cohorts as a limitation that underestimated the total intervention costs and benefits </w:t>
      </w:r>
      <w:r w:rsidRPr="004C78D8">
        <w:fldChar w:fldCharType="begin">
          <w:fldData xml:space="preserve">PEVuZE5vdGU+PENpdGU+PEF1dGhvcj5EYXk8L0F1dGhvcj48WWVhcj4yMDA5PC9ZZWFyPjxSZWNO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</w:fldData>
        </w:fldChar>
      </w:r>
      <w:r w:rsidR="00C630FC" w:rsidRPr="004C78D8">
        <w:instrText xml:space="preserve"> ADDIN EN.CITE </w:instrText>
      </w:r>
      <w:r w:rsidR="00C630FC" w:rsidRPr="004C78D8">
        <w:fldChar w:fldCharType="begin">
          <w:fldData xml:space="preserve">PEVuZE5vdGU+PENpdGU+PEF1dGhvcj5EYXk8L0F1dGhvcj48WWVhcj4yMDA5PC9ZZWFyPjxSZWNO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[167, 241, 353]</w:t>
      </w:r>
      <w:r w:rsidRPr="004C78D8">
        <w:fldChar w:fldCharType="end"/>
      </w:r>
      <w:r w:rsidRPr="004C78D8">
        <w:t xml:space="preserve">. Pega (2016) and Wilson (2017) incorporated annual probabilities of households moving in/out of modified housing which altered the need for HAM. Concerning model exit via mortality, four used fall-related and other-cause mortality rates </w:t>
      </w:r>
      <w:r w:rsidRPr="004C78D8">
        <w:fldChar w:fldCharType="begin">
          <w:fldData xml:space="preserve">PEVuZE5vdGU+PENpdGU+PEF1dGhvcj5Cb3lkPC9BdXRob3I+PFllYXI+MjAyMDwvWWVhcj48UmVj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</w:fldData>
        </w:fldChar>
      </w:r>
      <w:r w:rsidR="00C630FC" w:rsidRPr="004C78D8">
        <w:instrText xml:space="preserve"> ADDIN EN.CITE </w:instrText>
      </w:r>
      <w:r w:rsidR="00C630FC" w:rsidRPr="004C78D8">
        <w:fldChar w:fldCharType="begin">
          <w:fldData xml:space="preserve">PEVuZE5vdGU+PENpdGU+PEF1dGhvcj5Cb3lkPC9BdXRob3I+PFllYXI+MjAyMDwvWWVhcj48UmVj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[206, 241, 337, 361]</w:t>
      </w:r>
      <w:r w:rsidRPr="004C78D8">
        <w:fldChar w:fldCharType="end"/>
      </w:r>
      <w:r w:rsidRPr="004C78D8">
        <w:t xml:space="preserve">, while the rest used fall-related and all-cause rates, which double-counts the former. Seven faced a similar issue in double-counting fall-related LTC admission </w:t>
      </w:r>
      <w:r w:rsidRPr="004C78D8">
        <w:fldChar w:fldCharType="begin">
          <w:fldData xml:space="preserve">PEVuZE5vdGU+PENpdGU+PEF1dGhvcj5DaHVyY2g8L0F1dGhvcj48WWVhcj4yMDExPC9ZZWFyPjxS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</w:fldData>
        </w:fldChar>
      </w:r>
      <w:r w:rsidR="00C630FC" w:rsidRPr="004C78D8">
        <w:instrText xml:space="preserve"> ADDIN EN.CITE </w:instrText>
      </w:r>
      <w:r w:rsidR="00C630FC" w:rsidRPr="004C78D8">
        <w:fldChar w:fldCharType="begin">
          <w:fldData xml:space="preserve">PEVuZE5vdGU+PENpdGU+PEF1dGhvcj5DaHVyY2g8L0F1dGhvcj48WWVhcj4yMDExPC9ZZWFyPjxS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[274, 318, 346, 351, 360, 362, 366]</w:t>
      </w:r>
      <w:r w:rsidRPr="004C78D8">
        <w:fldChar w:fldCharType="end"/>
      </w:r>
      <w:r w:rsidRPr="004C78D8">
        <w:t>.</w:t>
      </w:r>
    </w:p>
    <w:p w14:paraId="32743868" w14:textId="16164F35" w:rsidR="00DD6ECE" w:rsidRPr="004C78D8" w:rsidRDefault="00DD6ECE" w:rsidP="00FB7C1F">
      <w:r w:rsidRPr="004C78D8">
        <w:t xml:space="preserve">Overall, the assessment of heterogeneity was limited, confined primarily to comparisons delineated by demographic factors and binary disease or physical capacity status (e.g., mobile vs. non-mobile); the latter neglects the nature of geriatric health best characterised as a position on a continuous spectrum </w:t>
      </w:r>
      <w:r w:rsidRPr="004C78D8">
        <w:fldChar w:fldCharType="begin"/>
      </w:r>
      <w:r w:rsidRPr="004C78D8">
        <w:instrText xml:space="preserve"> ADDIN EN.CITE &lt;EndNote&gt;&lt;Cite&gt;&lt;Author&gt;World Health Organization&lt;/Author&gt;&lt;Year&gt;2015&lt;/Year&gt;&lt;RecNum&gt;1&lt;/RecNum&gt;&lt;DisplayText&gt;[2]&lt;/DisplayText&gt;&lt;record&gt;&lt;rec-number&gt;1&lt;/rec-number&gt;&lt;foreign-keys&gt;&lt;key app="EN" db-id="tdtrdw9aepptzbefsat599syza29sxsd2wsp" timestamp="1596571129"&gt;1&lt;/key&gt;&lt;/foreign-keys&gt;&lt;ref-type name="Book"&gt;6&lt;/ref-type&gt;&lt;contributors&gt;&lt;authors&gt;&lt;author&gt;World Health Organization,&lt;/author&gt;&lt;/authors&gt;&lt;/contributors&gt;&lt;titles&gt;&lt;title&gt;World Report on Ageing and Health&lt;/title&gt;&lt;/titles&gt;&lt;dates&gt;&lt;year&gt;2015&lt;/year&gt;&lt;/dates&gt;&lt;publisher&gt;World Health Organization&lt;/publisher&gt;&lt;isbn&gt;9241565047&lt;/isbn&gt;&lt;urls&gt;&lt;/urls&gt;&lt;/record&gt;&lt;/Cite&gt;&lt;/EndNote&gt;</w:instrText>
      </w:r>
      <w:r w:rsidRPr="004C78D8">
        <w:fldChar w:fldCharType="separate"/>
      </w:r>
      <w:r w:rsidRPr="004C78D8">
        <w:rPr>
          <w:noProof/>
        </w:rPr>
        <w:t>[2]</w:t>
      </w:r>
      <w:r w:rsidRPr="004C78D8">
        <w:fldChar w:fldCharType="end"/>
      </w:r>
      <w:r w:rsidRPr="004C78D8">
        <w:t>. Likewise, the dynamic progressions in falls risk profile, intervention need, health utilities and care costs were poorly captured.</w:t>
      </w:r>
    </w:p>
    <w:p w14:paraId="38ABB774" w14:textId="0D16C76E" w:rsidR="00C211AB" w:rsidRPr="004C78D8" w:rsidRDefault="00EE19A2" w:rsidP="00FB7C1F">
      <w:pPr>
        <w:pStyle w:val="Heading4"/>
      </w:pPr>
      <w:r w:rsidRPr="004C78D8">
        <w:t>4</w:t>
      </w:r>
      <w:r w:rsidR="00C211AB" w:rsidRPr="004C78D8">
        <w:t>.5.3.3 Considering theories of human behaviour and implementation</w:t>
      </w:r>
    </w:p>
    <w:p w14:paraId="6FBE4C59" w14:textId="3DED720C" w:rsidR="00071AE6" w:rsidRPr="004C78D8" w:rsidRDefault="00CD54B2" w:rsidP="00FB7C1F">
      <w:r w:rsidRPr="004C78D8">
        <w:t xml:space="preserve">No model directly parameterised psychological and social causal mechanisms based on individual and social behavioural theories. Nevertheless, </w:t>
      </w:r>
      <w:r w:rsidRPr="004C78D8">
        <w:rPr>
          <w:lang w:val="en-US"/>
        </w:rPr>
        <w:t xml:space="preserve">31 (67.4%) models reported at least one implementation level, as shown in Table </w:t>
      </w:r>
      <w:r w:rsidR="00EE19A2" w:rsidRPr="004C78D8">
        <w:rPr>
          <w:lang w:val="en-US"/>
        </w:rPr>
        <w:t>4</w:t>
      </w:r>
      <w:r w:rsidRPr="004C78D8">
        <w:rPr>
          <w:lang w:val="en-US"/>
        </w:rPr>
        <w:t>.14. See also Table 3.5 above for references concerning the terms used to describe the implementation processes.</w:t>
      </w:r>
      <w:r w:rsidR="00071AE6" w:rsidRPr="004C78D8">
        <w:t xml:space="preserve"> </w:t>
      </w:r>
    </w:p>
    <w:p w14:paraId="2C3282BB" w14:textId="74EE84A2" w:rsidR="00C211AB" w:rsidRPr="004C78D8" w:rsidRDefault="00071AE6" w:rsidP="00FB7C1F">
      <w:r w:rsidRPr="004C78D8">
        <w:t>A notable feature was the frequent reliance on modeller assumptions to parameterise the implementation levels,</w:t>
      </w:r>
      <w:r w:rsidRPr="004C78D8">
        <w:rPr>
          <w:lang w:val="en-US"/>
        </w:rPr>
        <w:t xml:space="preserve"> which was widely acknowledged as a limitation by authors </w:t>
      </w:r>
      <w:r w:rsidRPr="004C78D8">
        <w:rPr>
          <w:lang w:val="en-US"/>
        </w:rPr>
        <w:fldChar w:fldCharType="begin">
          <w:fldData xml:space="preserve">PEVuZE5vdGU+PENpdGU+PEF1dGhvcj5DYXJhbmRlLUt1bGlzPC9BdXRob3I+PFllYXI+MjAxNTwv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</w:fldData>
        </w:fldChar>
      </w:r>
      <w:r w:rsidR="00C630FC" w:rsidRPr="004C78D8">
        <w:rPr>
          <w:lang w:val="en-US"/>
        </w:rPr>
        <w:instrText xml:space="preserve"> ADDIN EN.CITE </w:instrText>
      </w:r>
      <w:r w:rsidR="00C630FC" w:rsidRPr="004C78D8">
        <w:rPr>
          <w:lang w:val="en-US"/>
        </w:rPr>
        <w:fldChar w:fldCharType="begin">
          <w:fldData xml:space="preserve">PEVuZE5vdGU+PENpdGU+PEF1dGhvcj5DYXJhbmRlLUt1bGlzPC9BdXRob3I+PFllYXI+MjAxNTwv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</w:fldData>
        </w:fldChar>
      </w:r>
      <w:r w:rsidR="00C630FC" w:rsidRPr="004C78D8">
        <w:rPr>
          <w:lang w:val="en-US"/>
        </w:rPr>
        <w:instrText xml:space="preserve"> ADDIN EN.CITE.DATA </w:instrText>
      </w:r>
      <w:r w:rsidR="00C630FC" w:rsidRPr="004C78D8">
        <w:rPr>
          <w:lang w:val="en-US"/>
        </w:rPr>
      </w:r>
      <w:r w:rsidR="00C630FC" w:rsidRPr="004C78D8">
        <w:rPr>
          <w:lang w:val="en-US"/>
        </w:rPr>
        <w:fldChar w:fldCharType="end"/>
      </w:r>
      <w:r w:rsidRPr="004C78D8">
        <w:rPr>
          <w:lang w:val="en-US"/>
        </w:rPr>
      </w:r>
      <w:r w:rsidRPr="004C78D8">
        <w:rPr>
          <w:lang w:val="en-US"/>
        </w:rPr>
        <w:fldChar w:fldCharType="separate"/>
      </w:r>
      <w:r w:rsidR="00C630FC" w:rsidRPr="004C78D8">
        <w:rPr>
          <w:noProof/>
          <w:lang w:val="en-US"/>
        </w:rPr>
        <w:t>[167, 336, 342, 347, 358, 359]</w:t>
      </w:r>
      <w:r w:rsidRPr="004C78D8">
        <w:rPr>
          <w:lang w:val="en-US"/>
        </w:rPr>
        <w:fldChar w:fldCharType="end"/>
      </w:r>
      <w:r w:rsidRPr="004C78D8">
        <w:rPr>
          <w:lang w:val="en-US"/>
        </w:rPr>
        <w:t xml:space="preserve">. Of the 18 models that reported access levels, five relied on assumptions </w:t>
      </w:r>
      <w:r w:rsidRPr="004C78D8">
        <w:rPr>
          <w:lang w:val="en-US"/>
        </w:rPr>
        <w:fldChar w:fldCharType="begin">
          <w:fldData xml:space="preserve">PEVuZE5vdGU+PENpdGU+PEF1dGhvcj5GYXJhZzwvQXV0aG9yPjxZZWFyPjIwMTU8L1llYXI+PFJl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</w:fldData>
        </w:fldChar>
      </w:r>
      <w:r w:rsidR="00C630FC" w:rsidRPr="004C78D8">
        <w:rPr>
          <w:lang w:val="en-US"/>
        </w:rPr>
        <w:instrText xml:space="preserve"> ADDIN EN.CITE </w:instrText>
      </w:r>
      <w:r w:rsidR="00C630FC" w:rsidRPr="004C78D8">
        <w:rPr>
          <w:lang w:val="en-US"/>
        </w:rPr>
        <w:fldChar w:fldCharType="begin">
          <w:fldData xml:space="preserve">PEVuZE5vdGU+PENpdGU+PEF1dGhvcj5GYXJhZzwvQXV0aG9yPjxZZWFyPjIwMTU8L1llYXI+PFJl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</w:fldData>
        </w:fldChar>
      </w:r>
      <w:r w:rsidR="00C630FC" w:rsidRPr="004C78D8">
        <w:rPr>
          <w:lang w:val="en-US"/>
        </w:rPr>
        <w:instrText xml:space="preserve"> ADDIN EN.CITE.DATA </w:instrText>
      </w:r>
      <w:r w:rsidR="00C630FC" w:rsidRPr="004C78D8">
        <w:rPr>
          <w:lang w:val="en-US"/>
        </w:rPr>
      </w:r>
      <w:r w:rsidR="00C630FC" w:rsidRPr="004C78D8">
        <w:rPr>
          <w:lang w:val="en-US"/>
        </w:rPr>
        <w:fldChar w:fldCharType="end"/>
      </w:r>
      <w:r w:rsidRPr="004C78D8">
        <w:rPr>
          <w:lang w:val="en-US"/>
        </w:rPr>
      </w:r>
      <w:r w:rsidRPr="004C78D8">
        <w:rPr>
          <w:lang w:val="en-US"/>
        </w:rPr>
        <w:fldChar w:fldCharType="separate"/>
      </w:r>
      <w:r w:rsidR="00C630FC" w:rsidRPr="004C78D8">
        <w:rPr>
          <w:noProof/>
          <w:lang w:val="en-US"/>
        </w:rPr>
        <w:t>[200, 216, 362-364]</w:t>
      </w:r>
      <w:r w:rsidRPr="004C78D8">
        <w:rPr>
          <w:lang w:val="en-US"/>
        </w:rPr>
        <w:fldChar w:fldCharType="end"/>
      </w:r>
      <w:r w:rsidRPr="004C78D8">
        <w:rPr>
          <w:lang w:val="en-US"/>
        </w:rPr>
        <w:t xml:space="preserve">. Only Turner (2020) distinguished between adoption and uptake: in the main intervention scenario, professionals’ adoption of sedative de-prescribing is imperfect, and only in an alternative scenario does it become 100%; meanwhile, older persons’ uptake remains at 53% in both scenarios. Nine models reported compliance levels, four relying on assumptions </w:t>
      </w:r>
      <w:r w:rsidRPr="004C78D8">
        <w:rPr>
          <w:lang w:val="en-US"/>
        </w:rPr>
        <w:fldChar w:fldCharType="begin">
          <w:fldData xml:space="preserve">PEVuZE5vdGU+PENpdGU+PEF1dGhvcj5Ib3dsYW5kPC9BdXRob3I+PFllYXI+MjAxNTwvWWVhcj48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</w:fldData>
        </w:fldChar>
      </w:r>
      <w:r w:rsidR="00C630FC" w:rsidRPr="004C78D8">
        <w:rPr>
          <w:lang w:val="en-US"/>
        </w:rPr>
        <w:instrText xml:space="preserve"> ADDIN EN.CITE </w:instrText>
      </w:r>
      <w:r w:rsidR="00C630FC" w:rsidRPr="004C78D8">
        <w:rPr>
          <w:lang w:val="en-US"/>
        </w:rPr>
        <w:fldChar w:fldCharType="begin">
          <w:fldData xml:space="preserve">PEVuZE5vdGU+PENpdGU+PEF1dGhvcj5Ib3dsYW5kPC9BdXRob3I+PFllYXI+MjAxNTwvWWVhcj48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</w:fldData>
        </w:fldChar>
      </w:r>
      <w:r w:rsidR="00C630FC" w:rsidRPr="004C78D8">
        <w:rPr>
          <w:lang w:val="en-US"/>
        </w:rPr>
        <w:instrText xml:space="preserve"> ADDIN EN.CITE.DATA </w:instrText>
      </w:r>
      <w:r w:rsidR="00C630FC" w:rsidRPr="004C78D8">
        <w:rPr>
          <w:lang w:val="en-US"/>
        </w:rPr>
      </w:r>
      <w:r w:rsidR="00C630FC" w:rsidRPr="004C78D8">
        <w:rPr>
          <w:lang w:val="en-US"/>
        </w:rPr>
        <w:fldChar w:fldCharType="end"/>
      </w:r>
      <w:r w:rsidRPr="004C78D8">
        <w:rPr>
          <w:lang w:val="en-US"/>
        </w:rPr>
      </w:r>
      <w:r w:rsidRPr="004C78D8">
        <w:rPr>
          <w:lang w:val="en-US"/>
        </w:rPr>
        <w:fldChar w:fldCharType="separate"/>
      </w:r>
      <w:r w:rsidR="00C630FC" w:rsidRPr="004C78D8">
        <w:rPr>
          <w:noProof/>
          <w:lang w:val="en-US"/>
        </w:rPr>
        <w:t>[200, 342, 346, 368]</w:t>
      </w:r>
      <w:r w:rsidRPr="004C78D8">
        <w:rPr>
          <w:lang w:val="en-US"/>
        </w:rPr>
        <w:fldChar w:fldCharType="end"/>
      </w:r>
      <w:r w:rsidRPr="004C78D8">
        <w:rPr>
          <w:lang w:val="en-US"/>
        </w:rPr>
        <w:t>.</w:t>
      </w:r>
      <w:r w:rsidRPr="004C78D8">
        <w:t xml:space="preserve"> Honkanen (2006) uniquely applied per-protocol rather than ITT efficacy from RCT; the adherence rate then determined the intervention effectiveness. In other models that used ITT evidence </w:t>
      </w:r>
      <w:r w:rsidRPr="004C78D8">
        <w:rPr>
          <w:i/>
          <w:iCs/>
        </w:rPr>
        <w:t xml:space="preserve">and </w:t>
      </w:r>
      <w:r w:rsidRPr="004C78D8">
        <w:t xml:space="preserve">applied compliance rates, there was a risk of confounding. For example, OMAS (2008) specified the adherence rates for their interventions and seemingly applied the ITT efficacies to both adherers and non-adherers, which would underestimate the efficacy for adherers and overestimate for non-adherers. Of the 19 models that reported sustainability durations, 13 used assumptions </w:t>
      </w:r>
      <w:r w:rsidRPr="004C78D8">
        <w:fldChar w:fldCharType="begin">
          <w:fldData xml:space="preserve">PEVuZE5vdGU+PENpdGU+PEF1dGhvcj5DaHVyY2g8L0F1dGhvcj48WWVhcj4yMDExPC9ZZWFyPjxS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</w:fldData>
        </w:fldChar>
      </w:r>
      <w:r w:rsidR="00C630FC" w:rsidRPr="004C78D8">
        <w:instrText xml:space="preserve"> ADDIN EN.CITE </w:instrText>
      </w:r>
      <w:r w:rsidR="00C630FC" w:rsidRPr="004C78D8">
        <w:fldChar w:fldCharType="begin">
          <w:fldData xml:space="preserve">PEVuZE5vdGU+PENpdGU+PEF1dGhvcj5DaHVyY2g8L0F1dGhvcj48WWVhcj4yMDExPC9ZZWFyPjxS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[128, 206, 216, 241, 336, 342-344, 351, 360, 363, 366, 368]</w:t>
      </w:r>
      <w:r w:rsidRPr="004C78D8">
        <w:fldChar w:fldCharType="end"/>
      </w:r>
      <w:r w:rsidRPr="004C78D8">
        <w:t>. Under long model horizons, rudimentary assumptions on intervention sustainability would produce misleading results. For example, Church (2012) did not allow for sustained access to ongoing interventions such as exercise, while one-off procedures such as expedited cataract surgery were assumed to generate permanent efficacy, thus significantly advantaging the latter.</w:t>
      </w:r>
    </w:p>
    <w:p w14:paraId="6D5AA933" w14:textId="77777777" w:rsidR="00CD54B2" w:rsidRPr="004C78D8" w:rsidRDefault="00CD54B2" w:rsidP="00FB7C1F">
      <w:pPr>
        <w:sectPr w:rsidR="00CD54B2" w:rsidRPr="004C78D8">
          <w:pgSz w:w="11906" w:h="16838"/>
          <w:pgMar w:top="1440" w:right="1440" w:bottom="1440" w:left="1440" w:header="708" w:footer="708" w:gutter="0"/>
          <w:cols w:space="708"/>
          <w:docGrid w:linePitch="360"/>
        </w:sectPr>
      </w:pPr>
    </w:p>
    <w:tbl>
      <w:tblPr>
        <w:tblStyle w:val="TableGrid"/>
        <w:tblW w:w="5000" w:type="pct"/>
        <w:tblLook w:val="04A0" w:firstRow="1" w:lastRow="0" w:firstColumn="1" w:lastColumn="0" w:noHBand="0" w:noVBand="1"/>
      </w:tblPr>
      <w:tblGrid>
        <w:gridCol w:w="1414"/>
        <w:gridCol w:w="1995"/>
        <w:gridCol w:w="2544"/>
        <w:gridCol w:w="2081"/>
        <w:gridCol w:w="2346"/>
        <w:gridCol w:w="1668"/>
        <w:gridCol w:w="1900"/>
      </w:tblGrid>
      <w:tr w:rsidR="00CD54B2" w:rsidRPr="004C78D8" w14:paraId="52AAC429" w14:textId="77777777" w:rsidTr="002828C1">
        <w:tc>
          <w:tcPr>
            <w:tcW w:w="5000" w:type="pct"/>
            <w:gridSpan w:val="7"/>
          </w:tcPr>
          <w:p w14:paraId="0054DCE4" w14:textId="593CFAD8" w:rsidR="00CD54B2" w:rsidRPr="004C78D8" w:rsidRDefault="00CD54B2" w:rsidP="00FB7C1F">
            <w:pPr>
              <w:rPr>
                <w:sz w:val="18"/>
                <w:szCs w:val="18"/>
              </w:rPr>
            </w:pPr>
            <w:r w:rsidRPr="004C78D8">
              <w:rPr>
                <w:b/>
                <w:bCs/>
              </w:rPr>
              <w:lastRenderedPageBreak/>
              <w:t xml:space="preserve">Table </w:t>
            </w:r>
            <w:r w:rsidR="00EE19A2" w:rsidRPr="004C78D8">
              <w:rPr>
                <w:b/>
                <w:bCs/>
              </w:rPr>
              <w:t>4</w:t>
            </w:r>
            <w:r w:rsidRPr="004C78D8">
              <w:rPr>
                <w:b/>
                <w:bCs/>
              </w:rPr>
              <w:t>.14</w:t>
            </w:r>
            <w:r w:rsidRPr="004C78D8">
              <w:t xml:space="preserve"> Summary of base case implementation levels, evidence source and outcomes in associated sensitivity analyses.</w:t>
            </w:r>
          </w:p>
        </w:tc>
      </w:tr>
      <w:tr w:rsidR="00CD54B2" w:rsidRPr="004C78D8" w14:paraId="57D28994" w14:textId="77777777" w:rsidTr="002828C1">
        <w:tc>
          <w:tcPr>
            <w:tcW w:w="507" w:type="pct"/>
            <w:tcBorders>
              <w:right w:val="nil"/>
            </w:tcBorders>
          </w:tcPr>
          <w:p w14:paraId="7C342E9C" w14:textId="77777777" w:rsidR="00CD54B2" w:rsidRPr="004C78D8" w:rsidRDefault="00CD54B2" w:rsidP="00FB7C1F">
            <w:pPr>
              <w:jc w:val="left"/>
              <w:rPr>
                <w:b/>
                <w:bCs/>
                <w:sz w:val="18"/>
                <w:szCs w:val="18"/>
              </w:rPr>
            </w:pPr>
          </w:p>
        </w:tc>
        <w:tc>
          <w:tcPr>
            <w:tcW w:w="715" w:type="pct"/>
            <w:tcBorders>
              <w:left w:val="nil"/>
            </w:tcBorders>
          </w:tcPr>
          <w:p w14:paraId="78ED1D77" w14:textId="77777777" w:rsidR="00CD54B2" w:rsidRPr="004C78D8" w:rsidRDefault="00CD54B2" w:rsidP="00FB7C1F">
            <w:pPr>
              <w:jc w:val="left"/>
              <w:rPr>
                <w:sz w:val="18"/>
                <w:szCs w:val="18"/>
              </w:rPr>
            </w:pPr>
          </w:p>
        </w:tc>
        <w:tc>
          <w:tcPr>
            <w:tcW w:w="3096" w:type="pct"/>
            <w:gridSpan w:val="4"/>
          </w:tcPr>
          <w:p w14:paraId="3B9055BE" w14:textId="77777777" w:rsidR="00CD54B2" w:rsidRPr="004C78D8" w:rsidRDefault="00CD54B2" w:rsidP="00FB7C1F">
            <w:pPr>
              <w:jc w:val="center"/>
              <w:rPr>
                <w:sz w:val="18"/>
                <w:szCs w:val="18"/>
              </w:rPr>
            </w:pPr>
            <w:r w:rsidRPr="004C78D8">
              <w:rPr>
                <w:b/>
                <w:bCs/>
                <w:sz w:val="18"/>
                <w:szCs w:val="18"/>
              </w:rPr>
              <w:t>Base case implementation levels</w:t>
            </w:r>
            <w:r w:rsidRPr="004C78D8">
              <w:rPr>
                <w:b/>
                <w:bCs/>
                <w:sz w:val="18"/>
                <w:szCs w:val="18"/>
                <w:vertAlign w:val="superscript"/>
              </w:rPr>
              <w:t>2</w:t>
            </w:r>
          </w:p>
        </w:tc>
        <w:tc>
          <w:tcPr>
            <w:tcW w:w="682" w:type="pct"/>
            <w:vMerge w:val="restart"/>
            <w:tcBorders>
              <w:left w:val="nil"/>
            </w:tcBorders>
          </w:tcPr>
          <w:p w14:paraId="2B362913" w14:textId="77777777" w:rsidR="00CD54B2" w:rsidRPr="004C78D8" w:rsidRDefault="00CD54B2" w:rsidP="00FB7C1F">
            <w:pPr>
              <w:jc w:val="left"/>
              <w:rPr>
                <w:b/>
                <w:bCs/>
                <w:sz w:val="18"/>
                <w:szCs w:val="18"/>
              </w:rPr>
            </w:pPr>
            <w:r w:rsidRPr="004C78D8">
              <w:rPr>
                <w:b/>
                <w:bCs/>
                <w:sz w:val="18"/>
                <w:szCs w:val="18"/>
              </w:rPr>
              <w:t>Sensitivity analysis outcome</w:t>
            </w:r>
          </w:p>
        </w:tc>
      </w:tr>
      <w:tr w:rsidR="00CD54B2" w:rsidRPr="004C78D8" w14:paraId="1FFCDB21" w14:textId="77777777" w:rsidTr="002828C1">
        <w:tc>
          <w:tcPr>
            <w:tcW w:w="507" w:type="pct"/>
            <w:vAlign w:val="bottom"/>
          </w:tcPr>
          <w:p w14:paraId="42F4DE23" w14:textId="77777777" w:rsidR="00CD54B2" w:rsidRPr="004C78D8" w:rsidRDefault="00CD54B2" w:rsidP="00FB7C1F">
            <w:pPr>
              <w:jc w:val="left"/>
              <w:rPr>
                <w:sz w:val="18"/>
                <w:szCs w:val="18"/>
              </w:rPr>
            </w:pPr>
            <w:r w:rsidRPr="004C78D8">
              <w:rPr>
                <w:b/>
                <w:bCs/>
                <w:sz w:val="18"/>
                <w:szCs w:val="18"/>
              </w:rPr>
              <w:t>Study label</w:t>
            </w:r>
            <w:r w:rsidRPr="004C78D8">
              <w:rPr>
                <w:b/>
                <w:bCs/>
                <w:sz w:val="18"/>
                <w:szCs w:val="18"/>
                <w:vertAlign w:val="superscript"/>
              </w:rPr>
              <w:t>1</w:t>
            </w:r>
          </w:p>
        </w:tc>
        <w:tc>
          <w:tcPr>
            <w:tcW w:w="715" w:type="pct"/>
            <w:vAlign w:val="bottom"/>
          </w:tcPr>
          <w:p w14:paraId="46FAC9B8" w14:textId="77777777" w:rsidR="00CD54B2" w:rsidRPr="004C78D8" w:rsidRDefault="00CD54B2" w:rsidP="00FB7C1F">
            <w:pPr>
              <w:jc w:val="left"/>
              <w:rPr>
                <w:b/>
                <w:bCs/>
                <w:sz w:val="18"/>
                <w:szCs w:val="18"/>
              </w:rPr>
            </w:pPr>
            <w:r w:rsidRPr="004C78D8">
              <w:rPr>
                <w:b/>
                <w:bCs/>
                <w:sz w:val="18"/>
                <w:szCs w:val="18"/>
              </w:rPr>
              <w:t>Intervention</w:t>
            </w:r>
          </w:p>
        </w:tc>
        <w:tc>
          <w:tcPr>
            <w:tcW w:w="912" w:type="pct"/>
            <w:tcBorders>
              <w:bottom w:val="single" w:sz="4" w:space="0" w:color="auto"/>
            </w:tcBorders>
            <w:vAlign w:val="bottom"/>
          </w:tcPr>
          <w:p w14:paraId="1E196BFE" w14:textId="77777777" w:rsidR="00CD54B2" w:rsidRPr="004C78D8" w:rsidRDefault="00CD54B2" w:rsidP="00FB7C1F">
            <w:pPr>
              <w:jc w:val="left"/>
              <w:rPr>
                <w:b/>
                <w:bCs/>
                <w:sz w:val="18"/>
                <w:szCs w:val="18"/>
              </w:rPr>
            </w:pPr>
            <w:r w:rsidRPr="004C78D8">
              <w:rPr>
                <w:b/>
                <w:bCs/>
                <w:sz w:val="18"/>
                <w:szCs w:val="18"/>
              </w:rPr>
              <w:t>Initial access</w:t>
            </w:r>
          </w:p>
        </w:tc>
        <w:tc>
          <w:tcPr>
            <w:tcW w:w="746" w:type="pct"/>
            <w:tcBorders>
              <w:bottom w:val="single" w:sz="4" w:space="0" w:color="auto"/>
            </w:tcBorders>
            <w:vAlign w:val="bottom"/>
          </w:tcPr>
          <w:p w14:paraId="5050A213" w14:textId="77777777" w:rsidR="00CD54B2" w:rsidRPr="004C78D8" w:rsidRDefault="00CD54B2" w:rsidP="00FB7C1F">
            <w:pPr>
              <w:jc w:val="left"/>
              <w:rPr>
                <w:b/>
                <w:bCs/>
                <w:sz w:val="18"/>
                <w:szCs w:val="18"/>
              </w:rPr>
            </w:pPr>
            <w:r w:rsidRPr="004C78D8">
              <w:rPr>
                <w:b/>
                <w:bCs/>
                <w:sz w:val="18"/>
                <w:szCs w:val="18"/>
              </w:rPr>
              <w:t>Compliance</w:t>
            </w:r>
          </w:p>
        </w:tc>
        <w:tc>
          <w:tcPr>
            <w:tcW w:w="841" w:type="pct"/>
            <w:tcBorders>
              <w:bottom w:val="single" w:sz="4" w:space="0" w:color="auto"/>
            </w:tcBorders>
            <w:vAlign w:val="bottom"/>
          </w:tcPr>
          <w:p w14:paraId="40669296" w14:textId="77777777" w:rsidR="00CD54B2" w:rsidRPr="004C78D8" w:rsidRDefault="00CD54B2" w:rsidP="00FB7C1F">
            <w:pPr>
              <w:jc w:val="left"/>
              <w:rPr>
                <w:b/>
                <w:bCs/>
                <w:sz w:val="18"/>
                <w:szCs w:val="18"/>
              </w:rPr>
            </w:pPr>
            <w:r w:rsidRPr="004C78D8">
              <w:rPr>
                <w:b/>
                <w:bCs/>
                <w:sz w:val="18"/>
                <w:szCs w:val="18"/>
              </w:rPr>
              <w:t>Sustainability (model time horizon)</w:t>
            </w:r>
          </w:p>
        </w:tc>
        <w:tc>
          <w:tcPr>
            <w:tcW w:w="598" w:type="pct"/>
            <w:tcBorders>
              <w:bottom w:val="single" w:sz="4" w:space="0" w:color="auto"/>
            </w:tcBorders>
            <w:vAlign w:val="bottom"/>
          </w:tcPr>
          <w:p w14:paraId="3A125C9C" w14:textId="77777777" w:rsidR="00CD54B2" w:rsidRPr="004C78D8" w:rsidRDefault="00CD54B2" w:rsidP="00FB7C1F">
            <w:pPr>
              <w:jc w:val="left"/>
              <w:rPr>
                <w:b/>
                <w:bCs/>
                <w:sz w:val="18"/>
                <w:szCs w:val="18"/>
              </w:rPr>
            </w:pPr>
            <w:r w:rsidRPr="004C78D8">
              <w:rPr>
                <w:b/>
                <w:bCs/>
                <w:sz w:val="18"/>
                <w:szCs w:val="18"/>
              </w:rPr>
              <w:t>Evidence source</w:t>
            </w:r>
          </w:p>
        </w:tc>
        <w:tc>
          <w:tcPr>
            <w:tcW w:w="682" w:type="pct"/>
            <w:vMerge/>
            <w:tcBorders>
              <w:bottom w:val="single" w:sz="4" w:space="0" w:color="auto"/>
            </w:tcBorders>
            <w:vAlign w:val="bottom"/>
          </w:tcPr>
          <w:p w14:paraId="6D779786" w14:textId="77777777" w:rsidR="00CD54B2" w:rsidRPr="004C78D8" w:rsidRDefault="00CD54B2" w:rsidP="00FB7C1F">
            <w:pPr>
              <w:jc w:val="left"/>
              <w:rPr>
                <w:sz w:val="18"/>
                <w:szCs w:val="18"/>
              </w:rPr>
            </w:pPr>
          </w:p>
        </w:tc>
      </w:tr>
      <w:tr w:rsidR="00CD54B2" w:rsidRPr="004C78D8" w14:paraId="6C758222" w14:textId="77777777" w:rsidTr="002828C1">
        <w:tc>
          <w:tcPr>
            <w:tcW w:w="507" w:type="pct"/>
          </w:tcPr>
          <w:p w14:paraId="426F46BF" w14:textId="77777777" w:rsidR="00CD54B2" w:rsidRPr="004C78D8" w:rsidRDefault="00CD54B2" w:rsidP="00FB7C1F">
            <w:pPr>
              <w:jc w:val="left"/>
              <w:rPr>
                <w:sz w:val="16"/>
                <w:szCs w:val="16"/>
              </w:rPr>
            </w:pPr>
            <w:r w:rsidRPr="004C78D8">
              <w:rPr>
                <w:sz w:val="16"/>
                <w:szCs w:val="16"/>
              </w:rPr>
              <w:t>Albert (2016)</w:t>
            </w:r>
          </w:p>
        </w:tc>
        <w:tc>
          <w:tcPr>
            <w:tcW w:w="715" w:type="pct"/>
          </w:tcPr>
          <w:p w14:paraId="41F9EB59" w14:textId="77777777" w:rsidR="00CD54B2" w:rsidRPr="004C78D8" w:rsidRDefault="00CD54B2" w:rsidP="00FB7C1F">
            <w:pPr>
              <w:jc w:val="left"/>
              <w:rPr>
                <w:sz w:val="16"/>
                <w:szCs w:val="16"/>
              </w:rPr>
            </w:pPr>
            <w:r w:rsidRPr="004C78D8">
              <w:rPr>
                <w:sz w:val="16"/>
                <w:szCs w:val="16"/>
              </w:rPr>
              <w:t>MF int.</w:t>
            </w:r>
          </w:p>
        </w:tc>
        <w:tc>
          <w:tcPr>
            <w:tcW w:w="912" w:type="pct"/>
            <w:tcBorders>
              <w:top w:val="nil"/>
              <w:bottom w:val="nil"/>
            </w:tcBorders>
          </w:tcPr>
          <w:p w14:paraId="2BC686A1" w14:textId="77777777" w:rsidR="00CD54B2" w:rsidRPr="004C78D8" w:rsidRDefault="00CD54B2" w:rsidP="00FB7C1F">
            <w:pPr>
              <w:jc w:val="left"/>
              <w:rPr>
                <w:sz w:val="16"/>
                <w:szCs w:val="16"/>
              </w:rPr>
            </w:pPr>
          </w:p>
        </w:tc>
        <w:tc>
          <w:tcPr>
            <w:tcW w:w="746" w:type="pct"/>
            <w:tcBorders>
              <w:top w:val="nil"/>
              <w:bottom w:val="nil"/>
            </w:tcBorders>
          </w:tcPr>
          <w:p w14:paraId="7A27AB65" w14:textId="77777777" w:rsidR="00CD54B2" w:rsidRPr="004C78D8" w:rsidRDefault="00CD54B2" w:rsidP="00FB7C1F">
            <w:pPr>
              <w:jc w:val="left"/>
              <w:rPr>
                <w:sz w:val="16"/>
                <w:szCs w:val="16"/>
              </w:rPr>
            </w:pPr>
            <w:r w:rsidRPr="004C78D8">
              <w:rPr>
                <w:sz w:val="16"/>
                <w:szCs w:val="16"/>
              </w:rPr>
              <w:t>Adherence: 78.6%</w:t>
            </w:r>
          </w:p>
          <w:p w14:paraId="5EE74AE2" w14:textId="77777777" w:rsidR="00CD54B2" w:rsidRPr="004C78D8" w:rsidRDefault="00CD54B2" w:rsidP="00FB7C1F">
            <w:pPr>
              <w:jc w:val="left"/>
              <w:rPr>
                <w:sz w:val="16"/>
                <w:szCs w:val="16"/>
              </w:rPr>
            </w:pPr>
            <w:r w:rsidRPr="004C78D8">
              <w:rPr>
                <w:sz w:val="16"/>
                <w:szCs w:val="16"/>
              </w:rPr>
              <w:t>Fidelity: 84.1%</w:t>
            </w:r>
          </w:p>
        </w:tc>
        <w:tc>
          <w:tcPr>
            <w:tcW w:w="841" w:type="pct"/>
            <w:tcBorders>
              <w:top w:val="nil"/>
              <w:bottom w:val="nil"/>
            </w:tcBorders>
          </w:tcPr>
          <w:p w14:paraId="6A30B06B" w14:textId="77777777" w:rsidR="00CD54B2" w:rsidRPr="004C78D8" w:rsidRDefault="00CD54B2" w:rsidP="00FB7C1F">
            <w:pPr>
              <w:jc w:val="left"/>
              <w:rPr>
                <w:sz w:val="16"/>
                <w:szCs w:val="16"/>
              </w:rPr>
            </w:pPr>
          </w:p>
        </w:tc>
        <w:tc>
          <w:tcPr>
            <w:tcW w:w="598" w:type="pct"/>
            <w:tcBorders>
              <w:top w:val="nil"/>
              <w:bottom w:val="nil"/>
            </w:tcBorders>
          </w:tcPr>
          <w:p w14:paraId="68ECDD6C" w14:textId="77777777" w:rsidR="00CD54B2" w:rsidRPr="004C78D8" w:rsidRDefault="00CD54B2" w:rsidP="00FB7C1F">
            <w:pPr>
              <w:jc w:val="left"/>
              <w:rPr>
                <w:sz w:val="16"/>
                <w:szCs w:val="16"/>
              </w:rPr>
            </w:pPr>
            <w:r w:rsidRPr="004C78D8">
              <w:rPr>
                <w:sz w:val="16"/>
                <w:szCs w:val="16"/>
              </w:rPr>
              <w:t>Internal non-randomised</w:t>
            </w:r>
          </w:p>
        </w:tc>
        <w:tc>
          <w:tcPr>
            <w:tcW w:w="682" w:type="pct"/>
            <w:tcBorders>
              <w:top w:val="nil"/>
              <w:bottom w:val="nil"/>
            </w:tcBorders>
          </w:tcPr>
          <w:p w14:paraId="61F76F4B" w14:textId="77777777" w:rsidR="00CD54B2" w:rsidRPr="004C78D8" w:rsidRDefault="00CD54B2" w:rsidP="00FB7C1F">
            <w:pPr>
              <w:jc w:val="left"/>
              <w:rPr>
                <w:i/>
                <w:iCs/>
                <w:sz w:val="16"/>
                <w:szCs w:val="16"/>
              </w:rPr>
            </w:pPr>
            <w:r w:rsidRPr="004C78D8">
              <w:rPr>
                <w:i/>
                <w:iCs/>
                <w:sz w:val="16"/>
                <w:szCs w:val="16"/>
              </w:rPr>
              <w:t>No analysis</w:t>
            </w:r>
          </w:p>
        </w:tc>
      </w:tr>
      <w:tr w:rsidR="00CD54B2" w:rsidRPr="004C78D8" w14:paraId="1102346D" w14:textId="77777777" w:rsidTr="002828C1">
        <w:tc>
          <w:tcPr>
            <w:tcW w:w="507" w:type="pct"/>
          </w:tcPr>
          <w:p w14:paraId="730E5626" w14:textId="77777777" w:rsidR="00CD54B2" w:rsidRPr="004C78D8" w:rsidRDefault="00CD54B2" w:rsidP="00FB7C1F">
            <w:pPr>
              <w:jc w:val="left"/>
              <w:rPr>
                <w:sz w:val="16"/>
                <w:szCs w:val="16"/>
              </w:rPr>
            </w:pPr>
            <w:r w:rsidRPr="004C78D8">
              <w:rPr>
                <w:sz w:val="16"/>
                <w:szCs w:val="16"/>
              </w:rPr>
              <w:t>Alhambra-Borras (2019)</w:t>
            </w:r>
          </w:p>
        </w:tc>
        <w:tc>
          <w:tcPr>
            <w:tcW w:w="715" w:type="pct"/>
          </w:tcPr>
          <w:p w14:paraId="080BDD21" w14:textId="77777777" w:rsidR="00CD54B2" w:rsidRPr="004C78D8" w:rsidRDefault="00CD54B2" w:rsidP="00FB7C1F">
            <w:pPr>
              <w:jc w:val="left"/>
              <w:rPr>
                <w:sz w:val="16"/>
                <w:szCs w:val="16"/>
              </w:rPr>
            </w:pPr>
            <w:r w:rsidRPr="004C78D8">
              <w:rPr>
                <w:sz w:val="16"/>
                <w:szCs w:val="16"/>
              </w:rPr>
              <w:t>Exercise</w:t>
            </w:r>
          </w:p>
        </w:tc>
        <w:tc>
          <w:tcPr>
            <w:tcW w:w="912" w:type="pct"/>
            <w:tcBorders>
              <w:top w:val="nil"/>
              <w:bottom w:val="nil"/>
            </w:tcBorders>
          </w:tcPr>
          <w:p w14:paraId="4A2EEF10" w14:textId="77777777" w:rsidR="00CD54B2" w:rsidRPr="004C78D8" w:rsidRDefault="00CD54B2" w:rsidP="00FB7C1F">
            <w:pPr>
              <w:jc w:val="left"/>
              <w:rPr>
                <w:sz w:val="16"/>
                <w:szCs w:val="16"/>
              </w:rPr>
            </w:pPr>
            <w:r w:rsidRPr="004C78D8">
              <w:rPr>
                <w:sz w:val="16"/>
                <w:szCs w:val="16"/>
              </w:rPr>
              <w:t>Uptake: 39.6%</w:t>
            </w:r>
          </w:p>
        </w:tc>
        <w:tc>
          <w:tcPr>
            <w:tcW w:w="746" w:type="pct"/>
            <w:tcBorders>
              <w:top w:val="nil"/>
              <w:bottom w:val="nil"/>
            </w:tcBorders>
          </w:tcPr>
          <w:p w14:paraId="05961BDF" w14:textId="77777777" w:rsidR="00CD54B2" w:rsidRPr="004C78D8" w:rsidRDefault="00CD54B2" w:rsidP="00FB7C1F">
            <w:pPr>
              <w:jc w:val="left"/>
              <w:rPr>
                <w:sz w:val="16"/>
                <w:szCs w:val="16"/>
              </w:rPr>
            </w:pPr>
          </w:p>
        </w:tc>
        <w:tc>
          <w:tcPr>
            <w:tcW w:w="841" w:type="pct"/>
            <w:tcBorders>
              <w:top w:val="nil"/>
              <w:bottom w:val="nil"/>
            </w:tcBorders>
          </w:tcPr>
          <w:p w14:paraId="6AB7F26E" w14:textId="77777777" w:rsidR="00CD54B2" w:rsidRPr="004C78D8" w:rsidRDefault="00CD54B2" w:rsidP="00FB7C1F">
            <w:pPr>
              <w:jc w:val="left"/>
              <w:rPr>
                <w:sz w:val="16"/>
                <w:szCs w:val="16"/>
              </w:rPr>
            </w:pPr>
          </w:p>
        </w:tc>
        <w:tc>
          <w:tcPr>
            <w:tcW w:w="598" w:type="pct"/>
            <w:tcBorders>
              <w:top w:val="nil"/>
              <w:bottom w:val="nil"/>
            </w:tcBorders>
          </w:tcPr>
          <w:p w14:paraId="2DDC5D8C" w14:textId="77777777" w:rsidR="00CD54B2" w:rsidRPr="004C78D8" w:rsidRDefault="00CD54B2" w:rsidP="00FB7C1F">
            <w:pPr>
              <w:jc w:val="left"/>
              <w:rPr>
                <w:sz w:val="16"/>
                <w:szCs w:val="16"/>
              </w:rPr>
            </w:pPr>
            <w:r w:rsidRPr="004C78D8">
              <w:rPr>
                <w:sz w:val="16"/>
                <w:szCs w:val="16"/>
              </w:rPr>
              <w:t>Internal quasi-experimental</w:t>
            </w:r>
          </w:p>
        </w:tc>
        <w:tc>
          <w:tcPr>
            <w:tcW w:w="682" w:type="pct"/>
            <w:tcBorders>
              <w:top w:val="nil"/>
              <w:bottom w:val="nil"/>
            </w:tcBorders>
          </w:tcPr>
          <w:p w14:paraId="79FD99CD" w14:textId="77777777" w:rsidR="00CD54B2" w:rsidRPr="004C78D8" w:rsidRDefault="00CD54B2" w:rsidP="00FB7C1F">
            <w:pPr>
              <w:jc w:val="left"/>
              <w:rPr>
                <w:i/>
                <w:iCs/>
                <w:sz w:val="16"/>
                <w:szCs w:val="16"/>
              </w:rPr>
            </w:pPr>
            <w:r w:rsidRPr="004C78D8">
              <w:rPr>
                <w:i/>
                <w:iCs/>
                <w:sz w:val="16"/>
                <w:szCs w:val="16"/>
              </w:rPr>
              <w:t>No analysis</w:t>
            </w:r>
          </w:p>
        </w:tc>
      </w:tr>
      <w:tr w:rsidR="00CD54B2" w:rsidRPr="004C78D8" w14:paraId="0BB93A92" w14:textId="77777777" w:rsidTr="002828C1">
        <w:tc>
          <w:tcPr>
            <w:tcW w:w="507" w:type="pct"/>
          </w:tcPr>
          <w:p w14:paraId="1CA20341" w14:textId="77777777" w:rsidR="00CD54B2" w:rsidRPr="004C78D8" w:rsidRDefault="00CD54B2" w:rsidP="00FB7C1F">
            <w:pPr>
              <w:jc w:val="left"/>
              <w:rPr>
                <w:sz w:val="16"/>
                <w:szCs w:val="16"/>
              </w:rPr>
            </w:pPr>
            <w:r w:rsidRPr="004C78D8">
              <w:rPr>
                <w:sz w:val="16"/>
                <w:szCs w:val="16"/>
              </w:rPr>
              <w:t>Beard (2006)</w:t>
            </w:r>
          </w:p>
        </w:tc>
        <w:tc>
          <w:tcPr>
            <w:tcW w:w="715" w:type="pct"/>
          </w:tcPr>
          <w:p w14:paraId="0E639D4C" w14:textId="77777777" w:rsidR="00CD54B2" w:rsidRPr="004C78D8" w:rsidRDefault="00CD54B2" w:rsidP="00FB7C1F">
            <w:pPr>
              <w:jc w:val="left"/>
              <w:rPr>
                <w:sz w:val="16"/>
                <w:szCs w:val="16"/>
              </w:rPr>
            </w:pPr>
            <w:r w:rsidRPr="004C78D8">
              <w:rPr>
                <w:sz w:val="16"/>
                <w:szCs w:val="16"/>
              </w:rPr>
              <w:t>MC (intersectoral) int.</w:t>
            </w:r>
          </w:p>
        </w:tc>
        <w:tc>
          <w:tcPr>
            <w:tcW w:w="912" w:type="pct"/>
            <w:tcBorders>
              <w:top w:val="nil"/>
              <w:bottom w:val="nil"/>
            </w:tcBorders>
          </w:tcPr>
          <w:p w14:paraId="1E96276E" w14:textId="77777777" w:rsidR="00CD54B2" w:rsidRPr="004C78D8" w:rsidRDefault="00CD54B2" w:rsidP="00FB7C1F">
            <w:pPr>
              <w:jc w:val="left"/>
              <w:rPr>
                <w:sz w:val="16"/>
                <w:szCs w:val="16"/>
              </w:rPr>
            </w:pPr>
          </w:p>
        </w:tc>
        <w:tc>
          <w:tcPr>
            <w:tcW w:w="746" w:type="pct"/>
            <w:tcBorders>
              <w:top w:val="nil"/>
              <w:bottom w:val="nil"/>
            </w:tcBorders>
          </w:tcPr>
          <w:p w14:paraId="017370FF" w14:textId="77777777" w:rsidR="00CD54B2" w:rsidRPr="004C78D8" w:rsidRDefault="00CD54B2" w:rsidP="00FB7C1F">
            <w:pPr>
              <w:jc w:val="left"/>
              <w:rPr>
                <w:sz w:val="16"/>
                <w:szCs w:val="16"/>
              </w:rPr>
            </w:pPr>
          </w:p>
        </w:tc>
        <w:tc>
          <w:tcPr>
            <w:tcW w:w="841" w:type="pct"/>
            <w:tcBorders>
              <w:top w:val="nil"/>
              <w:bottom w:val="nil"/>
            </w:tcBorders>
          </w:tcPr>
          <w:p w14:paraId="44C2856F" w14:textId="77777777" w:rsidR="00CD54B2" w:rsidRPr="004C78D8" w:rsidRDefault="00CD54B2" w:rsidP="00FB7C1F">
            <w:pPr>
              <w:jc w:val="left"/>
              <w:rPr>
                <w:sz w:val="16"/>
                <w:szCs w:val="16"/>
              </w:rPr>
            </w:pPr>
            <w:r w:rsidRPr="004C78D8">
              <w:rPr>
                <w:sz w:val="16"/>
                <w:szCs w:val="16"/>
              </w:rPr>
              <w:t>Maint.: 5 years (of 5)</w:t>
            </w:r>
          </w:p>
        </w:tc>
        <w:tc>
          <w:tcPr>
            <w:tcW w:w="598" w:type="pct"/>
            <w:tcBorders>
              <w:top w:val="nil"/>
              <w:bottom w:val="nil"/>
            </w:tcBorders>
          </w:tcPr>
          <w:p w14:paraId="7585BFE6" w14:textId="77777777" w:rsidR="00CD54B2" w:rsidRPr="004C78D8" w:rsidRDefault="00CD54B2" w:rsidP="00FB7C1F">
            <w:pPr>
              <w:jc w:val="left"/>
              <w:rPr>
                <w:sz w:val="16"/>
                <w:szCs w:val="16"/>
              </w:rPr>
            </w:pPr>
            <w:r w:rsidRPr="004C78D8">
              <w:rPr>
                <w:sz w:val="16"/>
                <w:szCs w:val="16"/>
              </w:rPr>
              <w:t>Internal quasi-experimental</w:t>
            </w:r>
          </w:p>
        </w:tc>
        <w:tc>
          <w:tcPr>
            <w:tcW w:w="682" w:type="pct"/>
            <w:tcBorders>
              <w:top w:val="nil"/>
              <w:bottom w:val="nil"/>
            </w:tcBorders>
          </w:tcPr>
          <w:p w14:paraId="271FD849" w14:textId="77777777" w:rsidR="00CD54B2" w:rsidRPr="004C78D8" w:rsidRDefault="00CD54B2" w:rsidP="00FB7C1F">
            <w:pPr>
              <w:jc w:val="left"/>
              <w:rPr>
                <w:i/>
                <w:iCs/>
                <w:sz w:val="16"/>
                <w:szCs w:val="16"/>
              </w:rPr>
            </w:pPr>
            <w:r w:rsidRPr="004C78D8">
              <w:rPr>
                <w:i/>
                <w:iCs/>
                <w:sz w:val="16"/>
                <w:szCs w:val="16"/>
              </w:rPr>
              <w:t>No analysis</w:t>
            </w:r>
          </w:p>
        </w:tc>
      </w:tr>
      <w:tr w:rsidR="00CD54B2" w:rsidRPr="004C78D8" w14:paraId="71161582" w14:textId="77777777" w:rsidTr="002828C1">
        <w:tc>
          <w:tcPr>
            <w:tcW w:w="507" w:type="pct"/>
          </w:tcPr>
          <w:p w14:paraId="5C08A28B" w14:textId="77777777" w:rsidR="00CD54B2" w:rsidRPr="004C78D8" w:rsidRDefault="00CD54B2" w:rsidP="00FB7C1F">
            <w:pPr>
              <w:jc w:val="left"/>
              <w:rPr>
                <w:sz w:val="16"/>
                <w:szCs w:val="16"/>
              </w:rPr>
            </w:pPr>
            <w:r w:rsidRPr="004C78D8">
              <w:rPr>
                <w:sz w:val="16"/>
                <w:szCs w:val="16"/>
              </w:rPr>
              <w:t xml:space="preserve">Church (2011) </w:t>
            </w:r>
          </w:p>
        </w:tc>
        <w:tc>
          <w:tcPr>
            <w:tcW w:w="715" w:type="pct"/>
          </w:tcPr>
          <w:p w14:paraId="52508E7A" w14:textId="77777777" w:rsidR="00CD54B2" w:rsidRPr="004C78D8" w:rsidRDefault="00CD54B2" w:rsidP="00FB7C1F">
            <w:pPr>
              <w:jc w:val="left"/>
              <w:rPr>
                <w:sz w:val="16"/>
                <w:szCs w:val="16"/>
              </w:rPr>
            </w:pPr>
            <w:r w:rsidRPr="004C78D8">
              <w:rPr>
                <w:sz w:val="16"/>
                <w:szCs w:val="16"/>
              </w:rPr>
              <w:t>Multiple types</w:t>
            </w:r>
          </w:p>
        </w:tc>
        <w:tc>
          <w:tcPr>
            <w:tcW w:w="912" w:type="pct"/>
            <w:tcBorders>
              <w:top w:val="nil"/>
              <w:bottom w:val="nil"/>
            </w:tcBorders>
          </w:tcPr>
          <w:p w14:paraId="7776D24E" w14:textId="77777777" w:rsidR="00CD54B2" w:rsidRPr="004C78D8" w:rsidRDefault="00CD54B2" w:rsidP="00FB7C1F">
            <w:pPr>
              <w:jc w:val="left"/>
              <w:rPr>
                <w:sz w:val="16"/>
                <w:szCs w:val="16"/>
              </w:rPr>
            </w:pPr>
          </w:p>
        </w:tc>
        <w:tc>
          <w:tcPr>
            <w:tcW w:w="746" w:type="pct"/>
            <w:tcBorders>
              <w:top w:val="nil"/>
              <w:bottom w:val="nil"/>
            </w:tcBorders>
          </w:tcPr>
          <w:p w14:paraId="246F016F" w14:textId="77777777" w:rsidR="00CD54B2" w:rsidRPr="004C78D8" w:rsidRDefault="00CD54B2" w:rsidP="00FB7C1F">
            <w:pPr>
              <w:jc w:val="left"/>
              <w:rPr>
                <w:sz w:val="16"/>
                <w:szCs w:val="16"/>
              </w:rPr>
            </w:pPr>
          </w:p>
        </w:tc>
        <w:tc>
          <w:tcPr>
            <w:tcW w:w="841" w:type="pct"/>
            <w:tcBorders>
              <w:top w:val="nil"/>
              <w:bottom w:val="nil"/>
            </w:tcBorders>
          </w:tcPr>
          <w:p w14:paraId="5196C5FB" w14:textId="77777777" w:rsidR="00CD54B2" w:rsidRPr="004C78D8" w:rsidRDefault="00CD54B2" w:rsidP="00FB7C1F">
            <w:pPr>
              <w:jc w:val="left"/>
              <w:rPr>
                <w:sz w:val="16"/>
                <w:szCs w:val="16"/>
              </w:rPr>
            </w:pPr>
            <w:r w:rsidRPr="004C78D8">
              <w:rPr>
                <w:sz w:val="16"/>
                <w:szCs w:val="16"/>
              </w:rPr>
              <w:t xml:space="preserve">Maint.: 1 year (of 10) </w:t>
            </w:r>
          </w:p>
        </w:tc>
        <w:tc>
          <w:tcPr>
            <w:tcW w:w="598" w:type="pct"/>
            <w:tcBorders>
              <w:top w:val="nil"/>
              <w:bottom w:val="nil"/>
            </w:tcBorders>
          </w:tcPr>
          <w:p w14:paraId="2036130A" w14:textId="77777777" w:rsidR="00CD54B2" w:rsidRPr="004C78D8" w:rsidRDefault="00CD54B2" w:rsidP="00FB7C1F">
            <w:pPr>
              <w:jc w:val="left"/>
              <w:rPr>
                <w:sz w:val="16"/>
                <w:szCs w:val="16"/>
              </w:rPr>
            </w:pPr>
            <w:r w:rsidRPr="004C78D8">
              <w:rPr>
                <w:sz w:val="16"/>
                <w:szCs w:val="16"/>
              </w:rPr>
              <w:t>Assumption</w:t>
            </w:r>
          </w:p>
        </w:tc>
        <w:tc>
          <w:tcPr>
            <w:tcW w:w="682" w:type="pct"/>
            <w:tcBorders>
              <w:top w:val="nil"/>
              <w:bottom w:val="nil"/>
            </w:tcBorders>
          </w:tcPr>
          <w:p w14:paraId="55852CD7" w14:textId="77777777" w:rsidR="00CD54B2" w:rsidRPr="004C78D8" w:rsidRDefault="00CD54B2" w:rsidP="00FB7C1F">
            <w:pPr>
              <w:jc w:val="left"/>
              <w:rPr>
                <w:i/>
                <w:iCs/>
                <w:sz w:val="16"/>
                <w:szCs w:val="16"/>
              </w:rPr>
            </w:pPr>
            <w:r w:rsidRPr="004C78D8">
              <w:rPr>
                <w:i/>
                <w:iCs/>
                <w:sz w:val="16"/>
                <w:szCs w:val="16"/>
              </w:rPr>
              <w:t>No analysis</w:t>
            </w:r>
          </w:p>
        </w:tc>
      </w:tr>
      <w:tr w:rsidR="00CD54B2" w:rsidRPr="004C78D8" w14:paraId="2FF16643" w14:textId="77777777" w:rsidTr="002828C1">
        <w:tc>
          <w:tcPr>
            <w:tcW w:w="507" w:type="pct"/>
          </w:tcPr>
          <w:p w14:paraId="77442185" w14:textId="77777777" w:rsidR="00CD54B2" w:rsidRPr="004C78D8" w:rsidRDefault="00CD54B2" w:rsidP="00FB7C1F">
            <w:pPr>
              <w:jc w:val="left"/>
              <w:rPr>
                <w:sz w:val="16"/>
                <w:szCs w:val="16"/>
              </w:rPr>
            </w:pPr>
            <w:r w:rsidRPr="004C78D8">
              <w:rPr>
                <w:sz w:val="16"/>
                <w:szCs w:val="16"/>
              </w:rPr>
              <w:t>Church (2012)</w:t>
            </w:r>
          </w:p>
        </w:tc>
        <w:tc>
          <w:tcPr>
            <w:tcW w:w="715" w:type="pct"/>
          </w:tcPr>
          <w:p w14:paraId="0BC6F0EB" w14:textId="77777777" w:rsidR="00CD54B2" w:rsidRPr="004C78D8" w:rsidRDefault="00CD54B2" w:rsidP="00FB7C1F">
            <w:pPr>
              <w:jc w:val="left"/>
              <w:rPr>
                <w:sz w:val="16"/>
                <w:szCs w:val="16"/>
              </w:rPr>
            </w:pPr>
            <w:r w:rsidRPr="004C78D8">
              <w:rPr>
                <w:sz w:val="16"/>
                <w:szCs w:val="16"/>
              </w:rPr>
              <w:t>Multiple types</w:t>
            </w:r>
          </w:p>
        </w:tc>
        <w:tc>
          <w:tcPr>
            <w:tcW w:w="912" w:type="pct"/>
            <w:tcBorders>
              <w:top w:val="nil"/>
              <w:bottom w:val="nil"/>
            </w:tcBorders>
          </w:tcPr>
          <w:p w14:paraId="6A1515C0" w14:textId="77777777" w:rsidR="00CD54B2" w:rsidRPr="004C78D8" w:rsidRDefault="00CD54B2" w:rsidP="00FB7C1F">
            <w:pPr>
              <w:jc w:val="left"/>
              <w:rPr>
                <w:sz w:val="16"/>
                <w:szCs w:val="16"/>
              </w:rPr>
            </w:pPr>
          </w:p>
        </w:tc>
        <w:tc>
          <w:tcPr>
            <w:tcW w:w="746" w:type="pct"/>
            <w:tcBorders>
              <w:top w:val="nil"/>
              <w:bottom w:val="nil"/>
            </w:tcBorders>
          </w:tcPr>
          <w:p w14:paraId="45F0514C" w14:textId="77777777" w:rsidR="00CD54B2" w:rsidRPr="004C78D8" w:rsidRDefault="00CD54B2" w:rsidP="00FB7C1F">
            <w:pPr>
              <w:jc w:val="left"/>
              <w:rPr>
                <w:sz w:val="16"/>
                <w:szCs w:val="16"/>
              </w:rPr>
            </w:pPr>
          </w:p>
        </w:tc>
        <w:tc>
          <w:tcPr>
            <w:tcW w:w="841" w:type="pct"/>
            <w:tcBorders>
              <w:top w:val="nil"/>
              <w:bottom w:val="nil"/>
            </w:tcBorders>
          </w:tcPr>
          <w:p w14:paraId="2F6BB5B0" w14:textId="77777777" w:rsidR="00CD54B2" w:rsidRPr="004C78D8" w:rsidRDefault="00CD54B2" w:rsidP="00FB7C1F">
            <w:pPr>
              <w:jc w:val="left"/>
              <w:rPr>
                <w:sz w:val="16"/>
                <w:szCs w:val="16"/>
              </w:rPr>
            </w:pPr>
            <w:r w:rsidRPr="004C78D8">
              <w:rPr>
                <w:sz w:val="16"/>
                <w:szCs w:val="16"/>
              </w:rPr>
              <w:t>Maint.: 1 year (of lifetime)</w:t>
            </w:r>
          </w:p>
        </w:tc>
        <w:tc>
          <w:tcPr>
            <w:tcW w:w="598" w:type="pct"/>
            <w:tcBorders>
              <w:top w:val="nil"/>
              <w:bottom w:val="nil"/>
            </w:tcBorders>
          </w:tcPr>
          <w:p w14:paraId="5225FC0D" w14:textId="77777777" w:rsidR="00CD54B2" w:rsidRPr="004C78D8" w:rsidRDefault="00CD54B2" w:rsidP="00FB7C1F">
            <w:pPr>
              <w:jc w:val="left"/>
              <w:rPr>
                <w:sz w:val="16"/>
                <w:szCs w:val="16"/>
              </w:rPr>
            </w:pPr>
            <w:r w:rsidRPr="004C78D8">
              <w:rPr>
                <w:sz w:val="16"/>
                <w:szCs w:val="16"/>
              </w:rPr>
              <w:t>Assumption</w:t>
            </w:r>
          </w:p>
        </w:tc>
        <w:tc>
          <w:tcPr>
            <w:tcW w:w="682" w:type="pct"/>
            <w:tcBorders>
              <w:top w:val="nil"/>
              <w:bottom w:val="nil"/>
            </w:tcBorders>
          </w:tcPr>
          <w:p w14:paraId="164353C5" w14:textId="77777777" w:rsidR="00CD54B2" w:rsidRPr="004C78D8" w:rsidRDefault="00CD54B2" w:rsidP="00FB7C1F">
            <w:pPr>
              <w:jc w:val="left"/>
              <w:rPr>
                <w:i/>
                <w:iCs/>
                <w:sz w:val="16"/>
                <w:szCs w:val="16"/>
              </w:rPr>
            </w:pPr>
            <w:r w:rsidRPr="004C78D8">
              <w:rPr>
                <w:i/>
                <w:iCs/>
                <w:sz w:val="16"/>
                <w:szCs w:val="16"/>
              </w:rPr>
              <w:t>No analysis</w:t>
            </w:r>
          </w:p>
        </w:tc>
      </w:tr>
      <w:tr w:rsidR="00CD54B2" w:rsidRPr="004C78D8" w14:paraId="5CD2F490" w14:textId="77777777" w:rsidTr="002828C1">
        <w:tc>
          <w:tcPr>
            <w:tcW w:w="507" w:type="pct"/>
          </w:tcPr>
          <w:p w14:paraId="5AECECEF" w14:textId="77777777" w:rsidR="00CD54B2" w:rsidRPr="004C78D8" w:rsidRDefault="00CD54B2" w:rsidP="00FB7C1F">
            <w:pPr>
              <w:jc w:val="left"/>
              <w:rPr>
                <w:sz w:val="16"/>
                <w:szCs w:val="16"/>
              </w:rPr>
            </w:pPr>
            <w:r w:rsidRPr="004C78D8">
              <w:rPr>
                <w:sz w:val="16"/>
                <w:szCs w:val="16"/>
              </w:rPr>
              <w:t>Comans (2009)</w:t>
            </w:r>
          </w:p>
        </w:tc>
        <w:tc>
          <w:tcPr>
            <w:tcW w:w="715" w:type="pct"/>
          </w:tcPr>
          <w:p w14:paraId="4E4A696F" w14:textId="77777777" w:rsidR="00CD54B2" w:rsidRPr="004C78D8" w:rsidRDefault="00CD54B2" w:rsidP="00FB7C1F">
            <w:pPr>
              <w:jc w:val="left"/>
              <w:rPr>
                <w:sz w:val="16"/>
                <w:szCs w:val="16"/>
              </w:rPr>
            </w:pPr>
            <w:r w:rsidRPr="004C78D8">
              <w:rPr>
                <w:sz w:val="16"/>
                <w:szCs w:val="16"/>
              </w:rPr>
              <w:t>MF int. (2 forms)</w:t>
            </w:r>
          </w:p>
        </w:tc>
        <w:tc>
          <w:tcPr>
            <w:tcW w:w="912" w:type="pct"/>
            <w:tcBorders>
              <w:top w:val="nil"/>
              <w:bottom w:val="nil"/>
            </w:tcBorders>
          </w:tcPr>
          <w:p w14:paraId="17BBB4A6" w14:textId="77777777" w:rsidR="00CD54B2" w:rsidRPr="004C78D8" w:rsidRDefault="00CD54B2" w:rsidP="00FB7C1F">
            <w:pPr>
              <w:jc w:val="left"/>
              <w:rPr>
                <w:sz w:val="16"/>
                <w:szCs w:val="16"/>
              </w:rPr>
            </w:pPr>
            <w:r w:rsidRPr="004C78D8">
              <w:rPr>
                <w:sz w:val="16"/>
                <w:szCs w:val="16"/>
              </w:rPr>
              <w:t>Uptake: as scenario</w:t>
            </w:r>
          </w:p>
        </w:tc>
        <w:tc>
          <w:tcPr>
            <w:tcW w:w="746" w:type="pct"/>
            <w:tcBorders>
              <w:top w:val="nil"/>
              <w:bottom w:val="nil"/>
            </w:tcBorders>
          </w:tcPr>
          <w:p w14:paraId="170DF84F" w14:textId="77777777" w:rsidR="00CD54B2" w:rsidRPr="004C78D8" w:rsidRDefault="00CD54B2" w:rsidP="00FB7C1F">
            <w:pPr>
              <w:jc w:val="left"/>
              <w:rPr>
                <w:sz w:val="16"/>
                <w:szCs w:val="16"/>
              </w:rPr>
            </w:pPr>
          </w:p>
        </w:tc>
        <w:tc>
          <w:tcPr>
            <w:tcW w:w="841" w:type="pct"/>
            <w:tcBorders>
              <w:top w:val="nil"/>
              <w:bottom w:val="nil"/>
            </w:tcBorders>
          </w:tcPr>
          <w:p w14:paraId="0DFBA46D" w14:textId="77777777" w:rsidR="00CD54B2" w:rsidRPr="004C78D8" w:rsidRDefault="00CD54B2" w:rsidP="00FB7C1F">
            <w:pPr>
              <w:jc w:val="left"/>
              <w:rPr>
                <w:sz w:val="16"/>
                <w:szCs w:val="16"/>
              </w:rPr>
            </w:pPr>
          </w:p>
        </w:tc>
        <w:tc>
          <w:tcPr>
            <w:tcW w:w="598" w:type="pct"/>
            <w:tcBorders>
              <w:top w:val="nil"/>
              <w:bottom w:val="nil"/>
            </w:tcBorders>
          </w:tcPr>
          <w:p w14:paraId="09DFA625" w14:textId="77777777" w:rsidR="00CD54B2" w:rsidRPr="004C78D8" w:rsidRDefault="00CD54B2" w:rsidP="00FB7C1F">
            <w:pPr>
              <w:jc w:val="left"/>
              <w:rPr>
                <w:sz w:val="16"/>
                <w:szCs w:val="16"/>
              </w:rPr>
            </w:pPr>
            <w:r w:rsidRPr="004C78D8">
              <w:rPr>
                <w:sz w:val="16"/>
                <w:szCs w:val="16"/>
              </w:rPr>
              <w:t>Assumption</w:t>
            </w:r>
          </w:p>
        </w:tc>
        <w:tc>
          <w:tcPr>
            <w:tcW w:w="682" w:type="pct"/>
            <w:tcBorders>
              <w:top w:val="nil"/>
              <w:bottom w:val="nil"/>
            </w:tcBorders>
          </w:tcPr>
          <w:p w14:paraId="63F583ED" w14:textId="77777777" w:rsidR="00CD54B2" w:rsidRPr="004C78D8" w:rsidRDefault="00CD54B2" w:rsidP="00FB7C1F">
            <w:pPr>
              <w:jc w:val="left"/>
              <w:rPr>
                <w:sz w:val="16"/>
                <w:szCs w:val="16"/>
              </w:rPr>
            </w:pPr>
            <w:r w:rsidRPr="004C78D8">
              <w:rPr>
                <w:sz w:val="16"/>
                <w:szCs w:val="16"/>
              </w:rPr>
              <w:t>ROI break-even</w:t>
            </w:r>
          </w:p>
        </w:tc>
      </w:tr>
      <w:tr w:rsidR="00CD54B2" w:rsidRPr="004C78D8" w14:paraId="6828DFBE" w14:textId="77777777" w:rsidTr="002828C1">
        <w:tc>
          <w:tcPr>
            <w:tcW w:w="507" w:type="pct"/>
          </w:tcPr>
          <w:p w14:paraId="23FD0D82" w14:textId="77777777" w:rsidR="00CD54B2" w:rsidRPr="004C78D8" w:rsidRDefault="00CD54B2" w:rsidP="00FB7C1F">
            <w:pPr>
              <w:jc w:val="left"/>
              <w:rPr>
                <w:sz w:val="16"/>
                <w:szCs w:val="16"/>
              </w:rPr>
            </w:pPr>
            <w:r w:rsidRPr="004C78D8">
              <w:rPr>
                <w:sz w:val="16"/>
                <w:szCs w:val="16"/>
              </w:rPr>
              <w:t>Day (2009); (2010)</w:t>
            </w:r>
          </w:p>
        </w:tc>
        <w:tc>
          <w:tcPr>
            <w:tcW w:w="715" w:type="pct"/>
          </w:tcPr>
          <w:p w14:paraId="3DFBFBDC" w14:textId="77777777" w:rsidR="00CD54B2" w:rsidRPr="004C78D8" w:rsidRDefault="00CD54B2" w:rsidP="00FB7C1F">
            <w:pPr>
              <w:jc w:val="left"/>
              <w:rPr>
                <w:sz w:val="16"/>
                <w:szCs w:val="16"/>
              </w:rPr>
            </w:pPr>
            <w:r w:rsidRPr="004C78D8">
              <w:rPr>
                <w:sz w:val="16"/>
                <w:szCs w:val="16"/>
              </w:rPr>
              <w:t>Multiple types</w:t>
            </w:r>
            <w:r w:rsidRPr="004C78D8">
              <w:rPr>
                <w:sz w:val="16"/>
                <w:szCs w:val="16"/>
                <w:vertAlign w:val="superscript"/>
              </w:rPr>
              <w:t>3</w:t>
            </w:r>
          </w:p>
        </w:tc>
        <w:tc>
          <w:tcPr>
            <w:tcW w:w="912" w:type="pct"/>
            <w:tcBorders>
              <w:top w:val="nil"/>
              <w:bottom w:val="nil"/>
            </w:tcBorders>
          </w:tcPr>
          <w:p w14:paraId="06F9F347" w14:textId="77777777" w:rsidR="00CD54B2" w:rsidRPr="004C78D8" w:rsidRDefault="00CD54B2" w:rsidP="00FB7C1F">
            <w:pPr>
              <w:jc w:val="left"/>
              <w:rPr>
                <w:sz w:val="16"/>
                <w:szCs w:val="16"/>
              </w:rPr>
            </w:pPr>
            <w:r w:rsidRPr="004C78D8">
              <w:rPr>
                <w:sz w:val="16"/>
                <w:szCs w:val="16"/>
              </w:rPr>
              <w:t>Uptake: 1.9% Tai Chi; 39.4% Home exercise; 55.4% HAM; 55.4% MF int.; 18.9% Psychotropic med. withdrawal; 80.0% Cardiac pacing</w:t>
            </w:r>
          </w:p>
        </w:tc>
        <w:tc>
          <w:tcPr>
            <w:tcW w:w="746" w:type="pct"/>
            <w:tcBorders>
              <w:top w:val="nil"/>
              <w:bottom w:val="nil"/>
            </w:tcBorders>
          </w:tcPr>
          <w:p w14:paraId="3DF6A1CA" w14:textId="77777777" w:rsidR="00CD54B2" w:rsidRPr="004C78D8" w:rsidRDefault="00CD54B2" w:rsidP="00FB7C1F">
            <w:pPr>
              <w:jc w:val="left"/>
              <w:rPr>
                <w:sz w:val="16"/>
                <w:szCs w:val="16"/>
              </w:rPr>
            </w:pPr>
          </w:p>
        </w:tc>
        <w:tc>
          <w:tcPr>
            <w:tcW w:w="841" w:type="pct"/>
            <w:tcBorders>
              <w:top w:val="nil"/>
              <w:bottom w:val="nil"/>
            </w:tcBorders>
          </w:tcPr>
          <w:p w14:paraId="39A9A8A9" w14:textId="77777777" w:rsidR="00CD54B2" w:rsidRPr="004C78D8" w:rsidRDefault="00CD54B2" w:rsidP="00FB7C1F">
            <w:pPr>
              <w:jc w:val="left"/>
              <w:rPr>
                <w:sz w:val="16"/>
                <w:szCs w:val="16"/>
              </w:rPr>
            </w:pPr>
            <w:r w:rsidRPr="004C78D8">
              <w:rPr>
                <w:sz w:val="16"/>
                <w:szCs w:val="16"/>
              </w:rPr>
              <w:t>Persistence: 61% Home exercise</w:t>
            </w:r>
          </w:p>
          <w:p w14:paraId="3CB832E9" w14:textId="77777777" w:rsidR="00CD54B2" w:rsidRPr="004C78D8" w:rsidRDefault="00CD54B2" w:rsidP="00FB7C1F">
            <w:pPr>
              <w:jc w:val="left"/>
              <w:rPr>
                <w:sz w:val="16"/>
                <w:szCs w:val="16"/>
              </w:rPr>
            </w:pPr>
            <w:r w:rsidRPr="004C78D8">
              <w:rPr>
                <w:sz w:val="16"/>
                <w:szCs w:val="16"/>
              </w:rPr>
              <w:t>Maint.: 1 year (of 2) Home exercise; 1 year (of 5) Cardiac pacing</w:t>
            </w:r>
          </w:p>
          <w:p w14:paraId="0185F47B" w14:textId="77777777" w:rsidR="00CD54B2" w:rsidRPr="004C78D8" w:rsidRDefault="00CD54B2" w:rsidP="00FB7C1F">
            <w:pPr>
              <w:jc w:val="left"/>
              <w:rPr>
                <w:sz w:val="16"/>
                <w:szCs w:val="16"/>
              </w:rPr>
            </w:pPr>
          </w:p>
        </w:tc>
        <w:tc>
          <w:tcPr>
            <w:tcW w:w="598" w:type="pct"/>
            <w:tcBorders>
              <w:top w:val="nil"/>
              <w:bottom w:val="nil"/>
            </w:tcBorders>
          </w:tcPr>
          <w:p w14:paraId="0B00D260" w14:textId="77777777" w:rsidR="00CD54B2" w:rsidRPr="004C78D8" w:rsidRDefault="00CD54B2" w:rsidP="00FB7C1F">
            <w:pPr>
              <w:jc w:val="left"/>
              <w:rPr>
                <w:sz w:val="16"/>
                <w:szCs w:val="16"/>
              </w:rPr>
            </w:pPr>
            <w:r w:rsidRPr="004C78D8">
              <w:rPr>
                <w:sz w:val="16"/>
                <w:szCs w:val="16"/>
              </w:rPr>
              <w:t>External RCT</w:t>
            </w:r>
          </w:p>
        </w:tc>
        <w:tc>
          <w:tcPr>
            <w:tcW w:w="682" w:type="pct"/>
            <w:tcBorders>
              <w:top w:val="nil"/>
              <w:bottom w:val="nil"/>
            </w:tcBorders>
          </w:tcPr>
          <w:p w14:paraId="39936F7D" w14:textId="77777777" w:rsidR="00CD54B2" w:rsidRPr="004C78D8" w:rsidRDefault="00CD54B2" w:rsidP="00FB7C1F">
            <w:pPr>
              <w:jc w:val="left"/>
              <w:rPr>
                <w:sz w:val="16"/>
                <w:szCs w:val="16"/>
              </w:rPr>
            </w:pPr>
            <w:r w:rsidRPr="004C78D8">
              <w:rPr>
                <w:sz w:val="16"/>
                <w:szCs w:val="16"/>
              </w:rPr>
              <w:t>Falls and hospitalised falls averted; ICER (CEA)</w:t>
            </w:r>
          </w:p>
        </w:tc>
      </w:tr>
      <w:tr w:rsidR="00CD54B2" w:rsidRPr="004C78D8" w14:paraId="27A4A041" w14:textId="77777777" w:rsidTr="002828C1">
        <w:tc>
          <w:tcPr>
            <w:tcW w:w="507" w:type="pct"/>
            <w:vMerge w:val="restart"/>
          </w:tcPr>
          <w:p w14:paraId="031C6F91" w14:textId="77777777" w:rsidR="00CD54B2" w:rsidRPr="004C78D8" w:rsidRDefault="00CD54B2" w:rsidP="00FB7C1F">
            <w:pPr>
              <w:jc w:val="left"/>
              <w:rPr>
                <w:sz w:val="16"/>
                <w:szCs w:val="16"/>
              </w:rPr>
            </w:pPr>
            <w:r w:rsidRPr="004C78D8">
              <w:rPr>
                <w:sz w:val="16"/>
                <w:szCs w:val="16"/>
              </w:rPr>
              <w:t>Deverall (2018)</w:t>
            </w:r>
          </w:p>
        </w:tc>
        <w:tc>
          <w:tcPr>
            <w:tcW w:w="715" w:type="pct"/>
            <w:vMerge w:val="restart"/>
          </w:tcPr>
          <w:p w14:paraId="74F0C498" w14:textId="77777777" w:rsidR="00CD54B2" w:rsidRPr="004C78D8" w:rsidRDefault="00CD54B2" w:rsidP="00FB7C1F">
            <w:pPr>
              <w:jc w:val="left"/>
              <w:rPr>
                <w:sz w:val="16"/>
                <w:szCs w:val="16"/>
              </w:rPr>
            </w:pPr>
            <w:r w:rsidRPr="004C78D8">
              <w:rPr>
                <w:sz w:val="16"/>
                <w:szCs w:val="16"/>
              </w:rPr>
              <w:t>Group (commercial) exercise</w:t>
            </w:r>
          </w:p>
        </w:tc>
        <w:tc>
          <w:tcPr>
            <w:tcW w:w="912" w:type="pct"/>
            <w:tcBorders>
              <w:top w:val="nil"/>
              <w:bottom w:val="nil"/>
            </w:tcBorders>
          </w:tcPr>
          <w:p w14:paraId="53B300E4" w14:textId="77777777" w:rsidR="00CD54B2" w:rsidRPr="004C78D8" w:rsidRDefault="00CD54B2" w:rsidP="00FB7C1F">
            <w:pPr>
              <w:jc w:val="left"/>
              <w:rPr>
                <w:sz w:val="16"/>
                <w:szCs w:val="16"/>
              </w:rPr>
            </w:pPr>
            <w:r w:rsidRPr="004C78D8">
              <w:rPr>
                <w:sz w:val="16"/>
                <w:szCs w:val="16"/>
              </w:rPr>
              <w:t>Uptake: 52%</w:t>
            </w:r>
          </w:p>
          <w:p w14:paraId="15361D8C" w14:textId="77777777" w:rsidR="00CD54B2" w:rsidRPr="004C78D8" w:rsidRDefault="00CD54B2" w:rsidP="00FB7C1F">
            <w:pPr>
              <w:jc w:val="left"/>
              <w:rPr>
                <w:sz w:val="16"/>
                <w:szCs w:val="16"/>
              </w:rPr>
            </w:pPr>
          </w:p>
        </w:tc>
        <w:tc>
          <w:tcPr>
            <w:tcW w:w="746" w:type="pct"/>
            <w:tcBorders>
              <w:top w:val="nil"/>
              <w:bottom w:val="nil"/>
            </w:tcBorders>
          </w:tcPr>
          <w:p w14:paraId="58183ADB" w14:textId="77777777" w:rsidR="00CD54B2" w:rsidRPr="004C78D8" w:rsidRDefault="00CD54B2" w:rsidP="00FB7C1F">
            <w:pPr>
              <w:jc w:val="left"/>
              <w:rPr>
                <w:sz w:val="16"/>
                <w:szCs w:val="16"/>
              </w:rPr>
            </w:pPr>
          </w:p>
        </w:tc>
        <w:tc>
          <w:tcPr>
            <w:tcW w:w="841" w:type="pct"/>
            <w:tcBorders>
              <w:top w:val="nil"/>
              <w:bottom w:val="nil"/>
            </w:tcBorders>
          </w:tcPr>
          <w:p w14:paraId="3496C9D6" w14:textId="77777777" w:rsidR="00CD54B2" w:rsidRPr="004C78D8" w:rsidRDefault="00CD54B2" w:rsidP="00FB7C1F">
            <w:pPr>
              <w:jc w:val="left"/>
              <w:rPr>
                <w:sz w:val="16"/>
                <w:szCs w:val="16"/>
              </w:rPr>
            </w:pPr>
          </w:p>
        </w:tc>
        <w:tc>
          <w:tcPr>
            <w:tcW w:w="598" w:type="pct"/>
            <w:tcBorders>
              <w:top w:val="nil"/>
              <w:bottom w:val="nil"/>
            </w:tcBorders>
          </w:tcPr>
          <w:p w14:paraId="17C9EE43" w14:textId="77777777" w:rsidR="00CD54B2" w:rsidRPr="004C78D8" w:rsidRDefault="00CD54B2" w:rsidP="00FB7C1F">
            <w:pPr>
              <w:jc w:val="left"/>
              <w:rPr>
                <w:sz w:val="16"/>
                <w:szCs w:val="16"/>
              </w:rPr>
            </w:pPr>
            <w:r w:rsidRPr="004C78D8">
              <w:rPr>
                <w:sz w:val="16"/>
                <w:szCs w:val="16"/>
              </w:rPr>
              <w:t>External RCT</w:t>
            </w:r>
          </w:p>
        </w:tc>
        <w:tc>
          <w:tcPr>
            <w:tcW w:w="682" w:type="pct"/>
            <w:tcBorders>
              <w:top w:val="nil"/>
              <w:bottom w:val="nil"/>
            </w:tcBorders>
          </w:tcPr>
          <w:p w14:paraId="38C639D0" w14:textId="77777777" w:rsidR="00CD54B2" w:rsidRPr="004C78D8" w:rsidRDefault="00CD54B2" w:rsidP="00FB7C1F">
            <w:pPr>
              <w:jc w:val="left"/>
              <w:rPr>
                <w:sz w:val="16"/>
                <w:szCs w:val="16"/>
              </w:rPr>
            </w:pPr>
            <w:r w:rsidRPr="004C78D8">
              <w:rPr>
                <w:sz w:val="16"/>
                <w:szCs w:val="16"/>
              </w:rPr>
              <w:t>Inc. cost; Inc. QALY; ICER (CUA)</w:t>
            </w:r>
          </w:p>
        </w:tc>
      </w:tr>
      <w:tr w:rsidR="00CD54B2" w:rsidRPr="004C78D8" w14:paraId="6A149FC2" w14:textId="77777777" w:rsidTr="002828C1">
        <w:tc>
          <w:tcPr>
            <w:tcW w:w="507" w:type="pct"/>
            <w:vMerge/>
          </w:tcPr>
          <w:p w14:paraId="71A4A039" w14:textId="77777777" w:rsidR="00CD54B2" w:rsidRPr="004C78D8" w:rsidRDefault="00CD54B2" w:rsidP="00FB7C1F">
            <w:pPr>
              <w:jc w:val="left"/>
              <w:rPr>
                <w:sz w:val="16"/>
                <w:szCs w:val="16"/>
              </w:rPr>
            </w:pPr>
          </w:p>
        </w:tc>
        <w:tc>
          <w:tcPr>
            <w:tcW w:w="715" w:type="pct"/>
            <w:vMerge/>
          </w:tcPr>
          <w:p w14:paraId="53A396E7" w14:textId="77777777" w:rsidR="00CD54B2" w:rsidRPr="004C78D8" w:rsidRDefault="00CD54B2" w:rsidP="00FB7C1F">
            <w:pPr>
              <w:jc w:val="left"/>
              <w:rPr>
                <w:sz w:val="16"/>
                <w:szCs w:val="16"/>
              </w:rPr>
            </w:pPr>
          </w:p>
        </w:tc>
        <w:tc>
          <w:tcPr>
            <w:tcW w:w="912" w:type="pct"/>
            <w:tcBorders>
              <w:top w:val="nil"/>
              <w:bottom w:val="nil"/>
            </w:tcBorders>
          </w:tcPr>
          <w:p w14:paraId="45E100D9" w14:textId="77777777" w:rsidR="00CD54B2" w:rsidRPr="004C78D8" w:rsidRDefault="00CD54B2" w:rsidP="00FB7C1F">
            <w:pPr>
              <w:jc w:val="left"/>
              <w:rPr>
                <w:sz w:val="16"/>
                <w:szCs w:val="16"/>
              </w:rPr>
            </w:pPr>
          </w:p>
        </w:tc>
        <w:tc>
          <w:tcPr>
            <w:tcW w:w="746" w:type="pct"/>
            <w:tcBorders>
              <w:top w:val="nil"/>
              <w:bottom w:val="nil"/>
            </w:tcBorders>
          </w:tcPr>
          <w:p w14:paraId="63EA5202" w14:textId="77777777" w:rsidR="00CD54B2" w:rsidRPr="004C78D8" w:rsidRDefault="00CD54B2" w:rsidP="00FB7C1F">
            <w:pPr>
              <w:jc w:val="left"/>
              <w:rPr>
                <w:sz w:val="16"/>
                <w:szCs w:val="16"/>
              </w:rPr>
            </w:pPr>
          </w:p>
        </w:tc>
        <w:tc>
          <w:tcPr>
            <w:tcW w:w="841" w:type="pct"/>
            <w:tcBorders>
              <w:top w:val="nil"/>
              <w:bottom w:val="nil"/>
            </w:tcBorders>
          </w:tcPr>
          <w:p w14:paraId="2F58F403" w14:textId="77777777" w:rsidR="00CD54B2" w:rsidRPr="004C78D8" w:rsidRDefault="00CD54B2" w:rsidP="00FB7C1F">
            <w:pPr>
              <w:jc w:val="left"/>
              <w:rPr>
                <w:sz w:val="16"/>
                <w:szCs w:val="16"/>
              </w:rPr>
            </w:pPr>
            <w:r w:rsidRPr="004C78D8">
              <w:rPr>
                <w:sz w:val="16"/>
                <w:szCs w:val="16"/>
              </w:rPr>
              <w:t>Persistence: 80.5% uptake in year 2; 10% in year 10</w:t>
            </w:r>
          </w:p>
        </w:tc>
        <w:tc>
          <w:tcPr>
            <w:tcW w:w="598" w:type="pct"/>
            <w:tcBorders>
              <w:top w:val="nil"/>
              <w:bottom w:val="nil"/>
            </w:tcBorders>
          </w:tcPr>
          <w:p w14:paraId="0295F667" w14:textId="77777777" w:rsidR="00CD54B2" w:rsidRPr="004C78D8" w:rsidRDefault="00CD54B2" w:rsidP="00FB7C1F">
            <w:pPr>
              <w:jc w:val="left"/>
              <w:rPr>
                <w:sz w:val="16"/>
                <w:szCs w:val="16"/>
              </w:rPr>
            </w:pPr>
            <w:r w:rsidRPr="004C78D8">
              <w:rPr>
                <w:sz w:val="16"/>
                <w:szCs w:val="16"/>
              </w:rPr>
              <w:t>External RCTs &amp; Assumption</w:t>
            </w:r>
          </w:p>
        </w:tc>
        <w:tc>
          <w:tcPr>
            <w:tcW w:w="682" w:type="pct"/>
            <w:tcBorders>
              <w:top w:val="nil"/>
              <w:bottom w:val="nil"/>
            </w:tcBorders>
          </w:tcPr>
          <w:p w14:paraId="4E1A82B1" w14:textId="77777777" w:rsidR="00CD54B2" w:rsidRPr="004C78D8" w:rsidRDefault="00CD54B2" w:rsidP="00FB7C1F">
            <w:pPr>
              <w:jc w:val="left"/>
              <w:rPr>
                <w:i/>
                <w:iCs/>
                <w:sz w:val="16"/>
                <w:szCs w:val="16"/>
              </w:rPr>
            </w:pPr>
            <w:r w:rsidRPr="004C78D8">
              <w:rPr>
                <w:i/>
                <w:iCs/>
                <w:sz w:val="16"/>
                <w:szCs w:val="16"/>
              </w:rPr>
              <w:t>Same as Uptake</w:t>
            </w:r>
          </w:p>
        </w:tc>
      </w:tr>
      <w:tr w:rsidR="00CD54B2" w:rsidRPr="004C78D8" w14:paraId="23E21793" w14:textId="77777777" w:rsidTr="002828C1">
        <w:tc>
          <w:tcPr>
            <w:tcW w:w="507" w:type="pct"/>
            <w:vMerge/>
          </w:tcPr>
          <w:p w14:paraId="3441D60E" w14:textId="77777777" w:rsidR="00CD54B2" w:rsidRPr="004C78D8" w:rsidRDefault="00CD54B2" w:rsidP="00FB7C1F">
            <w:pPr>
              <w:jc w:val="left"/>
              <w:rPr>
                <w:sz w:val="16"/>
                <w:szCs w:val="16"/>
              </w:rPr>
            </w:pPr>
          </w:p>
        </w:tc>
        <w:tc>
          <w:tcPr>
            <w:tcW w:w="715" w:type="pct"/>
            <w:vMerge/>
          </w:tcPr>
          <w:p w14:paraId="5CBDA53C" w14:textId="77777777" w:rsidR="00CD54B2" w:rsidRPr="004C78D8" w:rsidRDefault="00CD54B2" w:rsidP="00FB7C1F">
            <w:pPr>
              <w:jc w:val="left"/>
              <w:rPr>
                <w:sz w:val="16"/>
                <w:szCs w:val="16"/>
              </w:rPr>
            </w:pPr>
          </w:p>
        </w:tc>
        <w:tc>
          <w:tcPr>
            <w:tcW w:w="912" w:type="pct"/>
            <w:tcBorders>
              <w:top w:val="nil"/>
              <w:bottom w:val="nil"/>
            </w:tcBorders>
          </w:tcPr>
          <w:p w14:paraId="7278D9F1" w14:textId="77777777" w:rsidR="00CD54B2" w:rsidRPr="004C78D8" w:rsidRDefault="00CD54B2" w:rsidP="00FB7C1F">
            <w:pPr>
              <w:jc w:val="left"/>
              <w:rPr>
                <w:sz w:val="16"/>
                <w:szCs w:val="16"/>
              </w:rPr>
            </w:pPr>
          </w:p>
        </w:tc>
        <w:tc>
          <w:tcPr>
            <w:tcW w:w="746" w:type="pct"/>
            <w:tcBorders>
              <w:top w:val="nil"/>
              <w:bottom w:val="nil"/>
            </w:tcBorders>
          </w:tcPr>
          <w:p w14:paraId="214DE904" w14:textId="77777777" w:rsidR="00CD54B2" w:rsidRPr="004C78D8" w:rsidRDefault="00CD54B2" w:rsidP="00FB7C1F">
            <w:pPr>
              <w:jc w:val="left"/>
              <w:rPr>
                <w:sz w:val="16"/>
                <w:szCs w:val="16"/>
              </w:rPr>
            </w:pPr>
          </w:p>
        </w:tc>
        <w:tc>
          <w:tcPr>
            <w:tcW w:w="841" w:type="pct"/>
            <w:tcBorders>
              <w:top w:val="nil"/>
              <w:bottom w:val="nil"/>
            </w:tcBorders>
          </w:tcPr>
          <w:p w14:paraId="44F0F8AC" w14:textId="77777777" w:rsidR="00CD54B2" w:rsidRPr="004C78D8" w:rsidRDefault="00CD54B2" w:rsidP="00FB7C1F">
            <w:pPr>
              <w:jc w:val="left"/>
              <w:rPr>
                <w:sz w:val="16"/>
                <w:szCs w:val="16"/>
              </w:rPr>
            </w:pPr>
            <w:r w:rsidRPr="004C78D8">
              <w:rPr>
                <w:sz w:val="16"/>
                <w:szCs w:val="16"/>
              </w:rPr>
              <w:t>Maint.: permanent</w:t>
            </w:r>
          </w:p>
        </w:tc>
        <w:tc>
          <w:tcPr>
            <w:tcW w:w="598" w:type="pct"/>
            <w:tcBorders>
              <w:top w:val="nil"/>
              <w:bottom w:val="nil"/>
            </w:tcBorders>
          </w:tcPr>
          <w:p w14:paraId="6B80BD7E" w14:textId="77777777" w:rsidR="00CD54B2" w:rsidRPr="004C78D8" w:rsidRDefault="00CD54B2" w:rsidP="00FB7C1F">
            <w:pPr>
              <w:jc w:val="left"/>
              <w:rPr>
                <w:sz w:val="16"/>
                <w:szCs w:val="16"/>
              </w:rPr>
            </w:pPr>
            <w:r w:rsidRPr="004C78D8">
              <w:rPr>
                <w:sz w:val="16"/>
                <w:szCs w:val="16"/>
              </w:rPr>
              <w:t>External RCT</w:t>
            </w:r>
          </w:p>
        </w:tc>
        <w:tc>
          <w:tcPr>
            <w:tcW w:w="682" w:type="pct"/>
            <w:tcBorders>
              <w:top w:val="nil"/>
              <w:bottom w:val="nil"/>
            </w:tcBorders>
          </w:tcPr>
          <w:p w14:paraId="44F270E7" w14:textId="77777777" w:rsidR="00CD54B2" w:rsidRPr="004C78D8" w:rsidRDefault="00CD54B2" w:rsidP="00FB7C1F">
            <w:pPr>
              <w:jc w:val="left"/>
              <w:rPr>
                <w:sz w:val="16"/>
                <w:szCs w:val="16"/>
              </w:rPr>
            </w:pPr>
            <w:r w:rsidRPr="004C78D8">
              <w:rPr>
                <w:i/>
                <w:iCs/>
                <w:sz w:val="16"/>
                <w:szCs w:val="16"/>
              </w:rPr>
              <w:t>No analysis</w:t>
            </w:r>
          </w:p>
        </w:tc>
      </w:tr>
      <w:tr w:rsidR="00CD54B2" w:rsidRPr="004C78D8" w14:paraId="12E1911B" w14:textId="77777777" w:rsidTr="002828C1">
        <w:tc>
          <w:tcPr>
            <w:tcW w:w="507" w:type="pct"/>
            <w:vMerge/>
          </w:tcPr>
          <w:p w14:paraId="33AF2B15" w14:textId="77777777" w:rsidR="00CD54B2" w:rsidRPr="004C78D8" w:rsidRDefault="00CD54B2" w:rsidP="00FB7C1F">
            <w:pPr>
              <w:jc w:val="left"/>
              <w:rPr>
                <w:sz w:val="16"/>
                <w:szCs w:val="16"/>
              </w:rPr>
            </w:pPr>
          </w:p>
        </w:tc>
        <w:tc>
          <w:tcPr>
            <w:tcW w:w="715" w:type="pct"/>
            <w:vMerge w:val="restart"/>
          </w:tcPr>
          <w:p w14:paraId="6214A5CF" w14:textId="77777777" w:rsidR="00CD54B2" w:rsidRPr="004C78D8" w:rsidRDefault="00CD54B2" w:rsidP="00FB7C1F">
            <w:pPr>
              <w:jc w:val="left"/>
              <w:rPr>
                <w:sz w:val="16"/>
                <w:szCs w:val="16"/>
              </w:rPr>
            </w:pPr>
            <w:r w:rsidRPr="004C78D8">
              <w:rPr>
                <w:sz w:val="16"/>
                <w:szCs w:val="16"/>
              </w:rPr>
              <w:t>Home exercise</w:t>
            </w:r>
          </w:p>
        </w:tc>
        <w:tc>
          <w:tcPr>
            <w:tcW w:w="912" w:type="pct"/>
            <w:tcBorders>
              <w:top w:val="nil"/>
              <w:bottom w:val="nil"/>
            </w:tcBorders>
          </w:tcPr>
          <w:p w14:paraId="4D29E697" w14:textId="77777777" w:rsidR="00CD54B2" w:rsidRPr="004C78D8" w:rsidRDefault="00CD54B2" w:rsidP="00FB7C1F">
            <w:pPr>
              <w:jc w:val="left"/>
              <w:rPr>
                <w:sz w:val="16"/>
                <w:szCs w:val="16"/>
              </w:rPr>
            </w:pPr>
            <w:r w:rsidRPr="004C78D8">
              <w:rPr>
                <w:sz w:val="16"/>
                <w:szCs w:val="16"/>
              </w:rPr>
              <w:t>Uptake: 52%</w:t>
            </w:r>
          </w:p>
        </w:tc>
        <w:tc>
          <w:tcPr>
            <w:tcW w:w="746" w:type="pct"/>
            <w:tcBorders>
              <w:top w:val="nil"/>
              <w:bottom w:val="nil"/>
            </w:tcBorders>
          </w:tcPr>
          <w:p w14:paraId="5B801A60" w14:textId="77777777" w:rsidR="00CD54B2" w:rsidRPr="004C78D8" w:rsidRDefault="00CD54B2" w:rsidP="00FB7C1F">
            <w:pPr>
              <w:jc w:val="left"/>
              <w:rPr>
                <w:sz w:val="16"/>
                <w:szCs w:val="16"/>
              </w:rPr>
            </w:pPr>
          </w:p>
        </w:tc>
        <w:tc>
          <w:tcPr>
            <w:tcW w:w="841" w:type="pct"/>
            <w:tcBorders>
              <w:top w:val="nil"/>
              <w:bottom w:val="nil"/>
            </w:tcBorders>
          </w:tcPr>
          <w:p w14:paraId="5C80C7D0" w14:textId="77777777" w:rsidR="00CD54B2" w:rsidRPr="004C78D8" w:rsidRDefault="00CD54B2" w:rsidP="00FB7C1F">
            <w:pPr>
              <w:jc w:val="left"/>
              <w:rPr>
                <w:sz w:val="16"/>
                <w:szCs w:val="16"/>
              </w:rPr>
            </w:pPr>
          </w:p>
        </w:tc>
        <w:tc>
          <w:tcPr>
            <w:tcW w:w="598" w:type="pct"/>
            <w:tcBorders>
              <w:top w:val="nil"/>
              <w:bottom w:val="nil"/>
            </w:tcBorders>
          </w:tcPr>
          <w:p w14:paraId="537E68D4" w14:textId="77777777" w:rsidR="00CD54B2" w:rsidRPr="004C78D8" w:rsidRDefault="00CD54B2" w:rsidP="00FB7C1F">
            <w:pPr>
              <w:jc w:val="left"/>
              <w:rPr>
                <w:sz w:val="16"/>
                <w:szCs w:val="16"/>
              </w:rPr>
            </w:pPr>
            <w:r w:rsidRPr="004C78D8">
              <w:rPr>
                <w:sz w:val="16"/>
                <w:szCs w:val="16"/>
              </w:rPr>
              <w:t>External RCT</w:t>
            </w:r>
          </w:p>
        </w:tc>
        <w:tc>
          <w:tcPr>
            <w:tcW w:w="682" w:type="pct"/>
            <w:tcBorders>
              <w:top w:val="nil"/>
              <w:bottom w:val="nil"/>
            </w:tcBorders>
          </w:tcPr>
          <w:p w14:paraId="338866EE" w14:textId="77777777" w:rsidR="00CD54B2" w:rsidRPr="004C78D8" w:rsidRDefault="00CD54B2" w:rsidP="00FB7C1F">
            <w:pPr>
              <w:jc w:val="left"/>
              <w:rPr>
                <w:sz w:val="16"/>
                <w:szCs w:val="16"/>
              </w:rPr>
            </w:pPr>
            <w:r w:rsidRPr="004C78D8">
              <w:rPr>
                <w:sz w:val="16"/>
                <w:szCs w:val="16"/>
              </w:rPr>
              <w:t>Inc. cost; Inc. QALY; ICER (CUA)</w:t>
            </w:r>
          </w:p>
        </w:tc>
      </w:tr>
      <w:tr w:rsidR="00CD54B2" w:rsidRPr="004C78D8" w14:paraId="1DA2CC91" w14:textId="77777777" w:rsidTr="002828C1">
        <w:tc>
          <w:tcPr>
            <w:tcW w:w="507" w:type="pct"/>
            <w:vMerge/>
          </w:tcPr>
          <w:p w14:paraId="728867B6" w14:textId="77777777" w:rsidR="00CD54B2" w:rsidRPr="004C78D8" w:rsidRDefault="00CD54B2" w:rsidP="00FB7C1F">
            <w:pPr>
              <w:jc w:val="left"/>
              <w:rPr>
                <w:sz w:val="16"/>
                <w:szCs w:val="16"/>
              </w:rPr>
            </w:pPr>
          </w:p>
        </w:tc>
        <w:tc>
          <w:tcPr>
            <w:tcW w:w="715" w:type="pct"/>
            <w:vMerge/>
          </w:tcPr>
          <w:p w14:paraId="75FFA614" w14:textId="77777777" w:rsidR="00CD54B2" w:rsidRPr="004C78D8" w:rsidRDefault="00CD54B2" w:rsidP="00FB7C1F">
            <w:pPr>
              <w:jc w:val="left"/>
              <w:rPr>
                <w:sz w:val="16"/>
                <w:szCs w:val="16"/>
              </w:rPr>
            </w:pPr>
          </w:p>
        </w:tc>
        <w:tc>
          <w:tcPr>
            <w:tcW w:w="912" w:type="pct"/>
            <w:tcBorders>
              <w:top w:val="nil"/>
              <w:bottom w:val="nil"/>
            </w:tcBorders>
          </w:tcPr>
          <w:p w14:paraId="6B933BEF" w14:textId="77777777" w:rsidR="00CD54B2" w:rsidRPr="004C78D8" w:rsidRDefault="00CD54B2" w:rsidP="00FB7C1F">
            <w:pPr>
              <w:jc w:val="left"/>
              <w:rPr>
                <w:sz w:val="16"/>
                <w:szCs w:val="16"/>
              </w:rPr>
            </w:pPr>
          </w:p>
        </w:tc>
        <w:tc>
          <w:tcPr>
            <w:tcW w:w="746" w:type="pct"/>
            <w:tcBorders>
              <w:top w:val="nil"/>
              <w:bottom w:val="nil"/>
            </w:tcBorders>
          </w:tcPr>
          <w:p w14:paraId="0A6F249B" w14:textId="77777777" w:rsidR="00CD54B2" w:rsidRPr="004C78D8" w:rsidRDefault="00CD54B2" w:rsidP="00FB7C1F">
            <w:pPr>
              <w:jc w:val="left"/>
              <w:rPr>
                <w:sz w:val="16"/>
                <w:szCs w:val="16"/>
              </w:rPr>
            </w:pPr>
          </w:p>
        </w:tc>
        <w:tc>
          <w:tcPr>
            <w:tcW w:w="841" w:type="pct"/>
            <w:tcBorders>
              <w:top w:val="nil"/>
              <w:bottom w:val="nil"/>
            </w:tcBorders>
          </w:tcPr>
          <w:p w14:paraId="64DC0D9F" w14:textId="77777777" w:rsidR="00CD54B2" w:rsidRPr="004C78D8" w:rsidRDefault="00CD54B2" w:rsidP="00FB7C1F">
            <w:pPr>
              <w:jc w:val="left"/>
              <w:rPr>
                <w:sz w:val="16"/>
                <w:szCs w:val="16"/>
              </w:rPr>
            </w:pPr>
            <w:r w:rsidRPr="004C78D8">
              <w:rPr>
                <w:sz w:val="16"/>
                <w:szCs w:val="16"/>
              </w:rPr>
              <w:t>Persistence: 76.3% uptake in year 2; 10% in year 5</w:t>
            </w:r>
          </w:p>
        </w:tc>
        <w:tc>
          <w:tcPr>
            <w:tcW w:w="598" w:type="pct"/>
            <w:tcBorders>
              <w:top w:val="nil"/>
              <w:bottom w:val="nil"/>
            </w:tcBorders>
          </w:tcPr>
          <w:p w14:paraId="69037941" w14:textId="77777777" w:rsidR="00CD54B2" w:rsidRPr="004C78D8" w:rsidRDefault="00CD54B2" w:rsidP="00FB7C1F">
            <w:pPr>
              <w:jc w:val="left"/>
              <w:rPr>
                <w:sz w:val="16"/>
                <w:szCs w:val="16"/>
              </w:rPr>
            </w:pPr>
            <w:r w:rsidRPr="004C78D8">
              <w:rPr>
                <w:sz w:val="16"/>
                <w:szCs w:val="16"/>
              </w:rPr>
              <w:t>External RCTs &amp; Assumption</w:t>
            </w:r>
          </w:p>
        </w:tc>
        <w:tc>
          <w:tcPr>
            <w:tcW w:w="682" w:type="pct"/>
            <w:tcBorders>
              <w:top w:val="nil"/>
              <w:bottom w:val="nil"/>
            </w:tcBorders>
          </w:tcPr>
          <w:p w14:paraId="454FB36A" w14:textId="77777777" w:rsidR="00CD54B2" w:rsidRPr="004C78D8" w:rsidRDefault="00CD54B2" w:rsidP="00FB7C1F">
            <w:pPr>
              <w:jc w:val="left"/>
              <w:rPr>
                <w:i/>
                <w:iCs/>
                <w:sz w:val="16"/>
                <w:szCs w:val="16"/>
              </w:rPr>
            </w:pPr>
            <w:r w:rsidRPr="004C78D8">
              <w:rPr>
                <w:i/>
                <w:iCs/>
                <w:sz w:val="16"/>
                <w:szCs w:val="16"/>
              </w:rPr>
              <w:t>Same as Uptake</w:t>
            </w:r>
          </w:p>
        </w:tc>
      </w:tr>
      <w:tr w:rsidR="00CD54B2" w:rsidRPr="004C78D8" w14:paraId="3A176A4B" w14:textId="77777777" w:rsidTr="002828C1">
        <w:tc>
          <w:tcPr>
            <w:tcW w:w="507" w:type="pct"/>
            <w:vMerge/>
          </w:tcPr>
          <w:p w14:paraId="098E8F1A" w14:textId="77777777" w:rsidR="00CD54B2" w:rsidRPr="004C78D8" w:rsidRDefault="00CD54B2" w:rsidP="00FB7C1F">
            <w:pPr>
              <w:jc w:val="left"/>
              <w:rPr>
                <w:sz w:val="16"/>
                <w:szCs w:val="16"/>
              </w:rPr>
            </w:pPr>
          </w:p>
        </w:tc>
        <w:tc>
          <w:tcPr>
            <w:tcW w:w="715" w:type="pct"/>
            <w:vMerge/>
          </w:tcPr>
          <w:p w14:paraId="3D14834E" w14:textId="77777777" w:rsidR="00CD54B2" w:rsidRPr="004C78D8" w:rsidRDefault="00CD54B2" w:rsidP="00FB7C1F">
            <w:pPr>
              <w:jc w:val="left"/>
              <w:rPr>
                <w:sz w:val="16"/>
                <w:szCs w:val="16"/>
              </w:rPr>
            </w:pPr>
          </w:p>
        </w:tc>
        <w:tc>
          <w:tcPr>
            <w:tcW w:w="912" w:type="pct"/>
            <w:tcBorders>
              <w:top w:val="nil"/>
              <w:bottom w:val="nil"/>
            </w:tcBorders>
          </w:tcPr>
          <w:p w14:paraId="56FE1D47" w14:textId="77777777" w:rsidR="00CD54B2" w:rsidRPr="004C78D8" w:rsidRDefault="00CD54B2" w:rsidP="00FB7C1F">
            <w:pPr>
              <w:jc w:val="left"/>
              <w:rPr>
                <w:sz w:val="16"/>
                <w:szCs w:val="16"/>
              </w:rPr>
            </w:pPr>
          </w:p>
        </w:tc>
        <w:tc>
          <w:tcPr>
            <w:tcW w:w="746" w:type="pct"/>
            <w:tcBorders>
              <w:top w:val="nil"/>
              <w:bottom w:val="nil"/>
            </w:tcBorders>
          </w:tcPr>
          <w:p w14:paraId="6DB613BE" w14:textId="77777777" w:rsidR="00CD54B2" w:rsidRPr="004C78D8" w:rsidRDefault="00CD54B2" w:rsidP="00FB7C1F">
            <w:pPr>
              <w:jc w:val="left"/>
              <w:rPr>
                <w:sz w:val="16"/>
                <w:szCs w:val="16"/>
              </w:rPr>
            </w:pPr>
          </w:p>
        </w:tc>
        <w:tc>
          <w:tcPr>
            <w:tcW w:w="841" w:type="pct"/>
            <w:tcBorders>
              <w:top w:val="nil"/>
              <w:bottom w:val="nil"/>
            </w:tcBorders>
          </w:tcPr>
          <w:p w14:paraId="7D204FE3" w14:textId="77777777" w:rsidR="00CD54B2" w:rsidRPr="004C78D8" w:rsidRDefault="00CD54B2" w:rsidP="00FB7C1F">
            <w:pPr>
              <w:jc w:val="left"/>
              <w:rPr>
                <w:sz w:val="16"/>
                <w:szCs w:val="16"/>
              </w:rPr>
            </w:pPr>
            <w:r w:rsidRPr="004C78D8">
              <w:rPr>
                <w:sz w:val="16"/>
                <w:szCs w:val="16"/>
              </w:rPr>
              <w:t>Maint.: permanent</w:t>
            </w:r>
          </w:p>
        </w:tc>
        <w:tc>
          <w:tcPr>
            <w:tcW w:w="598" w:type="pct"/>
            <w:tcBorders>
              <w:top w:val="nil"/>
              <w:bottom w:val="nil"/>
            </w:tcBorders>
          </w:tcPr>
          <w:p w14:paraId="5BA5BF02" w14:textId="77777777" w:rsidR="00CD54B2" w:rsidRPr="004C78D8" w:rsidRDefault="00CD54B2" w:rsidP="00FB7C1F">
            <w:pPr>
              <w:jc w:val="left"/>
              <w:rPr>
                <w:sz w:val="16"/>
                <w:szCs w:val="16"/>
              </w:rPr>
            </w:pPr>
            <w:r w:rsidRPr="004C78D8">
              <w:rPr>
                <w:sz w:val="16"/>
                <w:szCs w:val="16"/>
              </w:rPr>
              <w:t>External RCT</w:t>
            </w:r>
          </w:p>
        </w:tc>
        <w:tc>
          <w:tcPr>
            <w:tcW w:w="682" w:type="pct"/>
            <w:tcBorders>
              <w:top w:val="nil"/>
              <w:bottom w:val="nil"/>
            </w:tcBorders>
          </w:tcPr>
          <w:p w14:paraId="009DA033" w14:textId="77777777" w:rsidR="00CD54B2" w:rsidRPr="004C78D8" w:rsidRDefault="00CD54B2" w:rsidP="00FB7C1F">
            <w:pPr>
              <w:jc w:val="left"/>
              <w:rPr>
                <w:sz w:val="16"/>
                <w:szCs w:val="16"/>
              </w:rPr>
            </w:pPr>
            <w:r w:rsidRPr="004C78D8">
              <w:rPr>
                <w:i/>
                <w:iCs/>
                <w:sz w:val="16"/>
                <w:szCs w:val="16"/>
              </w:rPr>
              <w:t>No analysis</w:t>
            </w:r>
          </w:p>
        </w:tc>
      </w:tr>
      <w:tr w:rsidR="00CD54B2" w:rsidRPr="004C78D8" w14:paraId="4DA7566C" w14:textId="77777777" w:rsidTr="002828C1">
        <w:tc>
          <w:tcPr>
            <w:tcW w:w="507" w:type="pct"/>
          </w:tcPr>
          <w:p w14:paraId="2F5587B4" w14:textId="77777777" w:rsidR="00CD54B2" w:rsidRPr="004C78D8" w:rsidRDefault="00CD54B2" w:rsidP="00FB7C1F">
            <w:pPr>
              <w:jc w:val="left"/>
              <w:rPr>
                <w:sz w:val="16"/>
                <w:szCs w:val="16"/>
              </w:rPr>
            </w:pPr>
            <w:r w:rsidRPr="004C78D8">
              <w:rPr>
                <w:sz w:val="16"/>
                <w:szCs w:val="16"/>
              </w:rPr>
              <w:t>Eldridge (2005)</w:t>
            </w:r>
          </w:p>
        </w:tc>
        <w:tc>
          <w:tcPr>
            <w:tcW w:w="715" w:type="pct"/>
          </w:tcPr>
          <w:p w14:paraId="7F43DC21" w14:textId="77777777" w:rsidR="00CD54B2" w:rsidRPr="004C78D8" w:rsidRDefault="00CD54B2" w:rsidP="00FB7C1F">
            <w:pPr>
              <w:jc w:val="left"/>
              <w:rPr>
                <w:sz w:val="16"/>
                <w:szCs w:val="16"/>
              </w:rPr>
            </w:pPr>
            <w:r w:rsidRPr="004C78D8">
              <w:rPr>
                <w:sz w:val="16"/>
                <w:szCs w:val="16"/>
              </w:rPr>
              <w:t>FRS + MF int. or Exercise (prescribed or self-referred)</w:t>
            </w:r>
          </w:p>
        </w:tc>
        <w:tc>
          <w:tcPr>
            <w:tcW w:w="912" w:type="pct"/>
            <w:tcBorders>
              <w:top w:val="nil"/>
              <w:bottom w:val="nil"/>
            </w:tcBorders>
          </w:tcPr>
          <w:p w14:paraId="6960D2B9" w14:textId="77777777" w:rsidR="00CD54B2" w:rsidRPr="004C78D8" w:rsidRDefault="00CD54B2" w:rsidP="00FB7C1F">
            <w:pPr>
              <w:jc w:val="left"/>
              <w:rPr>
                <w:sz w:val="16"/>
                <w:szCs w:val="16"/>
              </w:rPr>
            </w:pPr>
            <w:r w:rsidRPr="004C78D8">
              <w:rPr>
                <w:sz w:val="16"/>
                <w:szCs w:val="16"/>
              </w:rPr>
              <w:t xml:space="preserve">Uptake: 6.5% FRS; 50%/10% self-referred Exercise for high-/low-risk persons </w:t>
            </w:r>
          </w:p>
        </w:tc>
        <w:tc>
          <w:tcPr>
            <w:tcW w:w="746" w:type="pct"/>
            <w:tcBorders>
              <w:top w:val="nil"/>
              <w:bottom w:val="nil"/>
            </w:tcBorders>
          </w:tcPr>
          <w:p w14:paraId="42810369" w14:textId="77777777" w:rsidR="00CD54B2" w:rsidRPr="004C78D8" w:rsidRDefault="00CD54B2" w:rsidP="00FB7C1F">
            <w:pPr>
              <w:jc w:val="left"/>
              <w:rPr>
                <w:sz w:val="16"/>
                <w:szCs w:val="16"/>
              </w:rPr>
            </w:pPr>
          </w:p>
        </w:tc>
        <w:tc>
          <w:tcPr>
            <w:tcW w:w="841" w:type="pct"/>
            <w:tcBorders>
              <w:top w:val="nil"/>
              <w:bottom w:val="nil"/>
            </w:tcBorders>
          </w:tcPr>
          <w:p w14:paraId="6A6CA4D0" w14:textId="77777777" w:rsidR="00CD54B2" w:rsidRPr="004C78D8" w:rsidRDefault="00CD54B2" w:rsidP="00FB7C1F">
            <w:pPr>
              <w:jc w:val="left"/>
              <w:rPr>
                <w:sz w:val="16"/>
                <w:szCs w:val="16"/>
              </w:rPr>
            </w:pPr>
          </w:p>
        </w:tc>
        <w:tc>
          <w:tcPr>
            <w:tcW w:w="598" w:type="pct"/>
            <w:tcBorders>
              <w:top w:val="nil"/>
              <w:bottom w:val="nil"/>
            </w:tcBorders>
          </w:tcPr>
          <w:p w14:paraId="64FBBF50" w14:textId="77777777" w:rsidR="00CD54B2" w:rsidRPr="004C78D8" w:rsidRDefault="00CD54B2" w:rsidP="00FB7C1F">
            <w:pPr>
              <w:jc w:val="left"/>
              <w:rPr>
                <w:sz w:val="16"/>
                <w:szCs w:val="16"/>
              </w:rPr>
            </w:pPr>
            <w:r w:rsidRPr="004C78D8">
              <w:rPr>
                <w:sz w:val="16"/>
                <w:szCs w:val="16"/>
              </w:rPr>
              <w:t>Internal survey</w:t>
            </w:r>
          </w:p>
        </w:tc>
        <w:tc>
          <w:tcPr>
            <w:tcW w:w="682" w:type="pct"/>
            <w:tcBorders>
              <w:top w:val="nil"/>
              <w:bottom w:val="nil"/>
            </w:tcBorders>
          </w:tcPr>
          <w:p w14:paraId="28E754A7" w14:textId="77777777" w:rsidR="00CD54B2" w:rsidRPr="004C78D8" w:rsidRDefault="00CD54B2" w:rsidP="00FB7C1F">
            <w:pPr>
              <w:jc w:val="left"/>
              <w:rPr>
                <w:sz w:val="16"/>
                <w:szCs w:val="16"/>
              </w:rPr>
            </w:pPr>
            <w:r w:rsidRPr="004C78D8">
              <w:rPr>
                <w:sz w:val="16"/>
                <w:szCs w:val="16"/>
              </w:rPr>
              <w:t>Proportion of total falls averted</w:t>
            </w:r>
          </w:p>
        </w:tc>
      </w:tr>
      <w:tr w:rsidR="00CD54B2" w:rsidRPr="004C78D8" w14:paraId="4F8A607D" w14:textId="77777777" w:rsidTr="002828C1">
        <w:tc>
          <w:tcPr>
            <w:tcW w:w="507" w:type="pct"/>
          </w:tcPr>
          <w:p w14:paraId="27AB3937" w14:textId="77777777" w:rsidR="00CD54B2" w:rsidRPr="004C78D8" w:rsidRDefault="00CD54B2" w:rsidP="00FB7C1F">
            <w:pPr>
              <w:jc w:val="left"/>
              <w:rPr>
                <w:sz w:val="16"/>
                <w:szCs w:val="16"/>
              </w:rPr>
            </w:pPr>
            <w:r w:rsidRPr="004C78D8">
              <w:rPr>
                <w:sz w:val="16"/>
                <w:szCs w:val="16"/>
              </w:rPr>
              <w:t>Farag (2015)</w:t>
            </w:r>
          </w:p>
        </w:tc>
        <w:tc>
          <w:tcPr>
            <w:tcW w:w="715" w:type="pct"/>
          </w:tcPr>
          <w:p w14:paraId="6EBEAD7F" w14:textId="77777777" w:rsidR="00CD54B2" w:rsidRPr="004C78D8" w:rsidRDefault="00CD54B2" w:rsidP="00FB7C1F">
            <w:pPr>
              <w:jc w:val="left"/>
              <w:rPr>
                <w:sz w:val="16"/>
                <w:szCs w:val="16"/>
              </w:rPr>
            </w:pPr>
            <w:r w:rsidRPr="004C78D8">
              <w:rPr>
                <w:sz w:val="16"/>
                <w:szCs w:val="16"/>
              </w:rPr>
              <w:t>Non-specific intervention</w:t>
            </w:r>
          </w:p>
        </w:tc>
        <w:tc>
          <w:tcPr>
            <w:tcW w:w="912" w:type="pct"/>
            <w:tcBorders>
              <w:top w:val="nil"/>
              <w:bottom w:val="nil"/>
            </w:tcBorders>
          </w:tcPr>
          <w:p w14:paraId="2412DC05" w14:textId="77777777" w:rsidR="00CD54B2" w:rsidRPr="004C78D8" w:rsidRDefault="00CD54B2" w:rsidP="00FB7C1F">
            <w:pPr>
              <w:jc w:val="left"/>
              <w:rPr>
                <w:sz w:val="16"/>
                <w:szCs w:val="16"/>
              </w:rPr>
            </w:pPr>
            <w:r w:rsidRPr="004C78D8">
              <w:rPr>
                <w:sz w:val="16"/>
                <w:szCs w:val="16"/>
              </w:rPr>
              <w:t>Uptake: 50%</w:t>
            </w:r>
          </w:p>
        </w:tc>
        <w:tc>
          <w:tcPr>
            <w:tcW w:w="746" w:type="pct"/>
            <w:tcBorders>
              <w:top w:val="nil"/>
              <w:bottom w:val="nil"/>
            </w:tcBorders>
          </w:tcPr>
          <w:p w14:paraId="028F8177" w14:textId="77777777" w:rsidR="00CD54B2" w:rsidRPr="004C78D8" w:rsidRDefault="00CD54B2" w:rsidP="00FB7C1F">
            <w:pPr>
              <w:jc w:val="left"/>
              <w:rPr>
                <w:sz w:val="16"/>
                <w:szCs w:val="16"/>
              </w:rPr>
            </w:pPr>
          </w:p>
        </w:tc>
        <w:tc>
          <w:tcPr>
            <w:tcW w:w="841" w:type="pct"/>
            <w:tcBorders>
              <w:top w:val="nil"/>
              <w:bottom w:val="nil"/>
            </w:tcBorders>
          </w:tcPr>
          <w:p w14:paraId="566656F2" w14:textId="77777777" w:rsidR="00CD54B2" w:rsidRPr="004C78D8" w:rsidRDefault="00CD54B2" w:rsidP="00FB7C1F">
            <w:pPr>
              <w:jc w:val="left"/>
              <w:rPr>
                <w:sz w:val="16"/>
                <w:szCs w:val="16"/>
              </w:rPr>
            </w:pPr>
          </w:p>
        </w:tc>
        <w:tc>
          <w:tcPr>
            <w:tcW w:w="598" w:type="pct"/>
            <w:tcBorders>
              <w:top w:val="nil"/>
              <w:bottom w:val="nil"/>
            </w:tcBorders>
          </w:tcPr>
          <w:p w14:paraId="2F225BE8" w14:textId="77777777" w:rsidR="00CD54B2" w:rsidRPr="004C78D8" w:rsidRDefault="00CD54B2" w:rsidP="00FB7C1F">
            <w:pPr>
              <w:jc w:val="left"/>
              <w:rPr>
                <w:sz w:val="16"/>
                <w:szCs w:val="16"/>
              </w:rPr>
            </w:pPr>
            <w:r w:rsidRPr="004C78D8">
              <w:rPr>
                <w:sz w:val="16"/>
                <w:szCs w:val="16"/>
              </w:rPr>
              <w:t>Assumption</w:t>
            </w:r>
          </w:p>
        </w:tc>
        <w:tc>
          <w:tcPr>
            <w:tcW w:w="682" w:type="pct"/>
            <w:tcBorders>
              <w:top w:val="nil"/>
              <w:bottom w:val="nil"/>
            </w:tcBorders>
          </w:tcPr>
          <w:p w14:paraId="542CA387" w14:textId="77777777" w:rsidR="00CD54B2" w:rsidRPr="004C78D8" w:rsidRDefault="00CD54B2" w:rsidP="00FB7C1F">
            <w:pPr>
              <w:jc w:val="left"/>
              <w:rPr>
                <w:sz w:val="16"/>
                <w:szCs w:val="16"/>
              </w:rPr>
            </w:pPr>
            <w:r w:rsidRPr="004C78D8">
              <w:rPr>
                <w:sz w:val="16"/>
                <w:szCs w:val="16"/>
              </w:rPr>
              <w:t>ICER (CUA)</w:t>
            </w:r>
          </w:p>
        </w:tc>
      </w:tr>
      <w:tr w:rsidR="00CD54B2" w:rsidRPr="004C78D8" w14:paraId="7DAE71D9" w14:textId="77777777" w:rsidTr="002828C1">
        <w:tc>
          <w:tcPr>
            <w:tcW w:w="507" w:type="pct"/>
            <w:vMerge w:val="restart"/>
          </w:tcPr>
          <w:p w14:paraId="0AA46B36" w14:textId="77777777" w:rsidR="00CD54B2" w:rsidRPr="004C78D8" w:rsidRDefault="00CD54B2" w:rsidP="00FB7C1F">
            <w:pPr>
              <w:jc w:val="left"/>
              <w:rPr>
                <w:sz w:val="16"/>
                <w:szCs w:val="16"/>
              </w:rPr>
            </w:pPr>
            <w:r w:rsidRPr="004C78D8">
              <w:rPr>
                <w:sz w:val="16"/>
                <w:szCs w:val="16"/>
              </w:rPr>
              <w:t>Franklin (2019)</w:t>
            </w:r>
          </w:p>
        </w:tc>
        <w:tc>
          <w:tcPr>
            <w:tcW w:w="715" w:type="pct"/>
            <w:vMerge w:val="restart"/>
          </w:tcPr>
          <w:p w14:paraId="60B1BB40" w14:textId="77777777" w:rsidR="00CD54B2" w:rsidRPr="004C78D8" w:rsidRDefault="00CD54B2" w:rsidP="00FB7C1F">
            <w:pPr>
              <w:jc w:val="left"/>
              <w:rPr>
                <w:sz w:val="16"/>
                <w:szCs w:val="16"/>
              </w:rPr>
            </w:pPr>
            <w:r w:rsidRPr="004C78D8">
              <w:rPr>
                <w:sz w:val="16"/>
                <w:szCs w:val="16"/>
              </w:rPr>
              <w:t>FRS + Exercise (3 forms) or HAM</w:t>
            </w:r>
          </w:p>
        </w:tc>
        <w:tc>
          <w:tcPr>
            <w:tcW w:w="912" w:type="pct"/>
            <w:tcBorders>
              <w:top w:val="nil"/>
              <w:bottom w:val="nil"/>
            </w:tcBorders>
          </w:tcPr>
          <w:p w14:paraId="1D696EC7" w14:textId="77777777" w:rsidR="00CD54B2" w:rsidRPr="004C78D8" w:rsidRDefault="00CD54B2" w:rsidP="00FB7C1F">
            <w:pPr>
              <w:jc w:val="left"/>
              <w:rPr>
                <w:sz w:val="16"/>
                <w:szCs w:val="16"/>
              </w:rPr>
            </w:pPr>
            <w:r w:rsidRPr="004C78D8">
              <w:rPr>
                <w:sz w:val="16"/>
                <w:szCs w:val="16"/>
              </w:rPr>
              <w:t>Uptake: 100% for those referred from FRS</w:t>
            </w:r>
          </w:p>
        </w:tc>
        <w:tc>
          <w:tcPr>
            <w:tcW w:w="746" w:type="pct"/>
            <w:tcBorders>
              <w:top w:val="nil"/>
              <w:bottom w:val="nil"/>
            </w:tcBorders>
          </w:tcPr>
          <w:p w14:paraId="70CB8AAD" w14:textId="77777777" w:rsidR="00CD54B2" w:rsidRPr="004C78D8" w:rsidRDefault="00CD54B2" w:rsidP="00FB7C1F">
            <w:pPr>
              <w:jc w:val="left"/>
              <w:rPr>
                <w:sz w:val="16"/>
                <w:szCs w:val="16"/>
              </w:rPr>
            </w:pPr>
          </w:p>
        </w:tc>
        <w:tc>
          <w:tcPr>
            <w:tcW w:w="841" w:type="pct"/>
            <w:tcBorders>
              <w:top w:val="nil"/>
              <w:bottom w:val="nil"/>
            </w:tcBorders>
          </w:tcPr>
          <w:p w14:paraId="4B940C81" w14:textId="77777777" w:rsidR="00CD54B2" w:rsidRPr="004C78D8" w:rsidRDefault="00CD54B2" w:rsidP="00FB7C1F">
            <w:pPr>
              <w:jc w:val="left"/>
              <w:rPr>
                <w:sz w:val="16"/>
                <w:szCs w:val="16"/>
              </w:rPr>
            </w:pPr>
          </w:p>
        </w:tc>
        <w:tc>
          <w:tcPr>
            <w:tcW w:w="598" w:type="pct"/>
            <w:tcBorders>
              <w:top w:val="nil"/>
              <w:bottom w:val="nil"/>
            </w:tcBorders>
          </w:tcPr>
          <w:p w14:paraId="09B07BDF" w14:textId="77777777" w:rsidR="00CD54B2" w:rsidRPr="004C78D8" w:rsidRDefault="00CD54B2" w:rsidP="00FB7C1F">
            <w:pPr>
              <w:jc w:val="left"/>
              <w:rPr>
                <w:sz w:val="16"/>
                <w:szCs w:val="16"/>
              </w:rPr>
            </w:pPr>
            <w:r w:rsidRPr="004C78D8">
              <w:rPr>
                <w:sz w:val="16"/>
                <w:szCs w:val="16"/>
              </w:rPr>
              <w:t>Assumption</w:t>
            </w:r>
          </w:p>
        </w:tc>
        <w:tc>
          <w:tcPr>
            <w:tcW w:w="682" w:type="pct"/>
            <w:tcBorders>
              <w:top w:val="nil"/>
              <w:bottom w:val="nil"/>
            </w:tcBorders>
          </w:tcPr>
          <w:p w14:paraId="528CC6AB" w14:textId="77777777" w:rsidR="00CD54B2" w:rsidRPr="004C78D8" w:rsidRDefault="00CD54B2" w:rsidP="00FB7C1F">
            <w:pPr>
              <w:jc w:val="left"/>
              <w:rPr>
                <w:sz w:val="16"/>
                <w:szCs w:val="16"/>
              </w:rPr>
            </w:pPr>
            <w:r w:rsidRPr="004C78D8">
              <w:rPr>
                <w:sz w:val="16"/>
                <w:szCs w:val="16"/>
              </w:rPr>
              <w:t>ICER (CUA)</w:t>
            </w:r>
          </w:p>
        </w:tc>
      </w:tr>
      <w:tr w:rsidR="00CD54B2" w:rsidRPr="004C78D8" w14:paraId="143C4330" w14:textId="77777777" w:rsidTr="002828C1">
        <w:tc>
          <w:tcPr>
            <w:tcW w:w="507" w:type="pct"/>
            <w:vMerge/>
          </w:tcPr>
          <w:p w14:paraId="285288F8" w14:textId="77777777" w:rsidR="00CD54B2" w:rsidRPr="004C78D8" w:rsidRDefault="00CD54B2" w:rsidP="00FB7C1F">
            <w:pPr>
              <w:jc w:val="left"/>
              <w:rPr>
                <w:sz w:val="16"/>
                <w:szCs w:val="16"/>
              </w:rPr>
            </w:pPr>
          </w:p>
        </w:tc>
        <w:tc>
          <w:tcPr>
            <w:tcW w:w="715" w:type="pct"/>
            <w:vMerge/>
          </w:tcPr>
          <w:p w14:paraId="015D64BE" w14:textId="77777777" w:rsidR="00CD54B2" w:rsidRPr="004C78D8" w:rsidRDefault="00CD54B2" w:rsidP="00FB7C1F">
            <w:pPr>
              <w:jc w:val="left"/>
              <w:rPr>
                <w:sz w:val="16"/>
                <w:szCs w:val="16"/>
              </w:rPr>
            </w:pPr>
          </w:p>
        </w:tc>
        <w:tc>
          <w:tcPr>
            <w:tcW w:w="912" w:type="pct"/>
            <w:tcBorders>
              <w:top w:val="nil"/>
              <w:bottom w:val="nil"/>
            </w:tcBorders>
          </w:tcPr>
          <w:p w14:paraId="76EE8DE9" w14:textId="77777777" w:rsidR="00CD54B2" w:rsidRPr="004C78D8" w:rsidRDefault="00CD54B2" w:rsidP="00FB7C1F">
            <w:pPr>
              <w:jc w:val="left"/>
              <w:rPr>
                <w:sz w:val="16"/>
                <w:szCs w:val="16"/>
              </w:rPr>
            </w:pPr>
          </w:p>
        </w:tc>
        <w:tc>
          <w:tcPr>
            <w:tcW w:w="746" w:type="pct"/>
            <w:tcBorders>
              <w:top w:val="nil"/>
              <w:bottom w:val="nil"/>
            </w:tcBorders>
          </w:tcPr>
          <w:p w14:paraId="38C70906" w14:textId="77777777" w:rsidR="00CD54B2" w:rsidRPr="004C78D8" w:rsidRDefault="00CD54B2" w:rsidP="00FB7C1F">
            <w:pPr>
              <w:jc w:val="left"/>
              <w:rPr>
                <w:sz w:val="16"/>
                <w:szCs w:val="16"/>
              </w:rPr>
            </w:pPr>
          </w:p>
        </w:tc>
        <w:tc>
          <w:tcPr>
            <w:tcW w:w="841" w:type="pct"/>
            <w:tcBorders>
              <w:top w:val="nil"/>
              <w:bottom w:val="nil"/>
            </w:tcBorders>
          </w:tcPr>
          <w:p w14:paraId="46B2076B" w14:textId="77777777" w:rsidR="00CD54B2" w:rsidRPr="004C78D8" w:rsidRDefault="00CD54B2" w:rsidP="00FB7C1F">
            <w:pPr>
              <w:jc w:val="left"/>
              <w:rPr>
                <w:sz w:val="16"/>
                <w:szCs w:val="16"/>
              </w:rPr>
            </w:pPr>
            <w:r w:rsidRPr="004C78D8">
              <w:rPr>
                <w:sz w:val="16"/>
                <w:szCs w:val="16"/>
              </w:rPr>
              <w:t>Maint.: 1 year (of 2)</w:t>
            </w:r>
          </w:p>
        </w:tc>
        <w:tc>
          <w:tcPr>
            <w:tcW w:w="598" w:type="pct"/>
            <w:tcBorders>
              <w:top w:val="nil"/>
              <w:bottom w:val="nil"/>
            </w:tcBorders>
          </w:tcPr>
          <w:p w14:paraId="36D35E5A" w14:textId="77777777" w:rsidR="00CD54B2" w:rsidRPr="004C78D8" w:rsidRDefault="00CD54B2" w:rsidP="00FB7C1F">
            <w:pPr>
              <w:jc w:val="left"/>
              <w:rPr>
                <w:sz w:val="16"/>
                <w:szCs w:val="16"/>
              </w:rPr>
            </w:pPr>
            <w:r w:rsidRPr="004C78D8">
              <w:rPr>
                <w:sz w:val="16"/>
                <w:szCs w:val="16"/>
              </w:rPr>
              <w:t>Assumption</w:t>
            </w:r>
          </w:p>
        </w:tc>
        <w:tc>
          <w:tcPr>
            <w:tcW w:w="682" w:type="pct"/>
            <w:tcBorders>
              <w:top w:val="nil"/>
              <w:bottom w:val="nil"/>
            </w:tcBorders>
          </w:tcPr>
          <w:p w14:paraId="65D76B4D" w14:textId="77777777" w:rsidR="00CD54B2" w:rsidRPr="004C78D8" w:rsidRDefault="00CD54B2" w:rsidP="00FB7C1F">
            <w:pPr>
              <w:jc w:val="left"/>
              <w:rPr>
                <w:sz w:val="16"/>
                <w:szCs w:val="16"/>
              </w:rPr>
            </w:pPr>
            <w:r w:rsidRPr="004C78D8">
              <w:rPr>
                <w:i/>
                <w:iCs/>
                <w:sz w:val="16"/>
                <w:szCs w:val="16"/>
              </w:rPr>
              <w:t>No analysis</w:t>
            </w:r>
          </w:p>
        </w:tc>
      </w:tr>
      <w:tr w:rsidR="00CD54B2" w:rsidRPr="004C78D8" w14:paraId="6476860A" w14:textId="77777777" w:rsidTr="002828C1">
        <w:tc>
          <w:tcPr>
            <w:tcW w:w="507" w:type="pct"/>
          </w:tcPr>
          <w:p w14:paraId="66EA5696" w14:textId="77777777" w:rsidR="00CD54B2" w:rsidRPr="004C78D8" w:rsidRDefault="00CD54B2" w:rsidP="00FB7C1F">
            <w:pPr>
              <w:jc w:val="left"/>
              <w:rPr>
                <w:sz w:val="16"/>
                <w:szCs w:val="16"/>
              </w:rPr>
            </w:pPr>
            <w:r w:rsidRPr="004C78D8">
              <w:rPr>
                <w:sz w:val="16"/>
                <w:szCs w:val="16"/>
              </w:rPr>
              <w:t>Hiligsmann (2014)</w:t>
            </w:r>
          </w:p>
        </w:tc>
        <w:tc>
          <w:tcPr>
            <w:tcW w:w="715" w:type="pct"/>
          </w:tcPr>
          <w:p w14:paraId="4708A3A4" w14:textId="77777777" w:rsidR="00CD54B2" w:rsidRPr="004C78D8" w:rsidRDefault="00CD54B2" w:rsidP="00FB7C1F">
            <w:pPr>
              <w:jc w:val="left"/>
              <w:rPr>
                <w:sz w:val="16"/>
                <w:szCs w:val="16"/>
              </w:rPr>
            </w:pPr>
            <w:r w:rsidRPr="004C78D8">
              <w:rPr>
                <w:sz w:val="16"/>
                <w:szCs w:val="16"/>
              </w:rPr>
              <w:t>Vit D &amp; calcium supplement</w:t>
            </w:r>
          </w:p>
        </w:tc>
        <w:tc>
          <w:tcPr>
            <w:tcW w:w="912" w:type="pct"/>
            <w:tcBorders>
              <w:top w:val="nil"/>
              <w:bottom w:val="nil"/>
            </w:tcBorders>
          </w:tcPr>
          <w:p w14:paraId="317A9AAD" w14:textId="77777777" w:rsidR="00CD54B2" w:rsidRPr="004C78D8" w:rsidRDefault="00CD54B2" w:rsidP="00FB7C1F">
            <w:pPr>
              <w:jc w:val="left"/>
              <w:rPr>
                <w:sz w:val="16"/>
                <w:szCs w:val="16"/>
              </w:rPr>
            </w:pPr>
          </w:p>
        </w:tc>
        <w:tc>
          <w:tcPr>
            <w:tcW w:w="746" w:type="pct"/>
            <w:tcBorders>
              <w:top w:val="nil"/>
              <w:bottom w:val="nil"/>
            </w:tcBorders>
          </w:tcPr>
          <w:p w14:paraId="478CBF5B" w14:textId="77777777" w:rsidR="00CD54B2" w:rsidRPr="004C78D8" w:rsidRDefault="00CD54B2" w:rsidP="00FB7C1F">
            <w:pPr>
              <w:jc w:val="left"/>
              <w:rPr>
                <w:sz w:val="16"/>
                <w:szCs w:val="16"/>
              </w:rPr>
            </w:pPr>
          </w:p>
        </w:tc>
        <w:tc>
          <w:tcPr>
            <w:tcW w:w="841" w:type="pct"/>
            <w:tcBorders>
              <w:top w:val="nil"/>
              <w:bottom w:val="nil"/>
            </w:tcBorders>
          </w:tcPr>
          <w:p w14:paraId="7D95DE19" w14:textId="77777777" w:rsidR="00CD54B2" w:rsidRPr="004C78D8" w:rsidRDefault="00CD54B2" w:rsidP="00FB7C1F">
            <w:pPr>
              <w:jc w:val="left"/>
              <w:rPr>
                <w:sz w:val="16"/>
                <w:szCs w:val="16"/>
              </w:rPr>
            </w:pPr>
            <w:r w:rsidRPr="004C78D8">
              <w:rPr>
                <w:sz w:val="16"/>
                <w:szCs w:val="16"/>
              </w:rPr>
              <w:t>Maint.: 3 years (of lifetime)</w:t>
            </w:r>
          </w:p>
        </w:tc>
        <w:tc>
          <w:tcPr>
            <w:tcW w:w="598" w:type="pct"/>
            <w:tcBorders>
              <w:top w:val="nil"/>
              <w:bottom w:val="nil"/>
            </w:tcBorders>
          </w:tcPr>
          <w:p w14:paraId="79764F54" w14:textId="77777777" w:rsidR="00CD54B2" w:rsidRPr="004C78D8" w:rsidRDefault="00CD54B2" w:rsidP="00FB7C1F">
            <w:pPr>
              <w:jc w:val="left"/>
              <w:rPr>
                <w:sz w:val="16"/>
                <w:szCs w:val="16"/>
              </w:rPr>
            </w:pPr>
            <w:r w:rsidRPr="004C78D8">
              <w:rPr>
                <w:sz w:val="16"/>
                <w:szCs w:val="16"/>
              </w:rPr>
              <w:t>Assumption</w:t>
            </w:r>
          </w:p>
        </w:tc>
        <w:tc>
          <w:tcPr>
            <w:tcW w:w="682" w:type="pct"/>
            <w:tcBorders>
              <w:top w:val="nil"/>
              <w:bottom w:val="nil"/>
            </w:tcBorders>
          </w:tcPr>
          <w:p w14:paraId="4ACE393C" w14:textId="77777777" w:rsidR="00CD54B2" w:rsidRPr="004C78D8" w:rsidRDefault="00CD54B2" w:rsidP="00FB7C1F">
            <w:pPr>
              <w:jc w:val="left"/>
              <w:rPr>
                <w:sz w:val="16"/>
                <w:szCs w:val="16"/>
              </w:rPr>
            </w:pPr>
            <w:r w:rsidRPr="004C78D8">
              <w:rPr>
                <w:sz w:val="16"/>
                <w:szCs w:val="16"/>
              </w:rPr>
              <w:t>ICER (CUA)</w:t>
            </w:r>
          </w:p>
        </w:tc>
      </w:tr>
      <w:tr w:rsidR="00CD54B2" w:rsidRPr="004C78D8" w14:paraId="64FEC0BA" w14:textId="77777777" w:rsidTr="002828C1">
        <w:tc>
          <w:tcPr>
            <w:tcW w:w="507" w:type="pct"/>
          </w:tcPr>
          <w:p w14:paraId="32012645" w14:textId="77777777" w:rsidR="00CD54B2" w:rsidRPr="004C78D8" w:rsidRDefault="00CD54B2" w:rsidP="00FB7C1F">
            <w:pPr>
              <w:jc w:val="left"/>
              <w:rPr>
                <w:sz w:val="16"/>
                <w:szCs w:val="16"/>
              </w:rPr>
            </w:pPr>
            <w:r w:rsidRPr="004C78D8">
              <w:rPr>
                <w:sz w:val="16"/>
                <w:szCs w:val="16"/>
              </w:rPr>
              <w:t>Hirst (2016)</w:t>
            </w:r>
          </w:p>
        </w:tc>
        <w:tc>
          <w:tcPr>
            <w:tcW w:w="715" w:type="pct"/>
          </w:tcPr>
          <w:p w14:paraId="7125E979" w14:textId="77777777" w:rsidR="00CD54B2" w:rsidRPr="004C78D8" w:rsidRDefault="00CD54B2" w:rsidP="00FB7C1F">
            <w:pPr>
              <w:jc w:val="left"/>
              <w:rPr>
                <w:sz w:val="16"/>
                <w:szCs w:val="16"/>
              </w:rPr>
            </w:pPr>
            <w:r w:rsidRPr="004C78D8">
              <w:rPr>
                <w:sz w:val="16"/>
                <w:szCs w:val="16"/>
              </w:rPr>
              <w:t>Med. modification</w:t>
            </w:r>
          </w:p>
        </w:tc>
        <w:tc>
          <w:tcPr>
            <w:tcW w:w="912" w:type="pct"/>
            <w:tcBorders>
              <w:top w:val="nil"/>
              <w:bottom w:val="nil"/>
            </w:tcBorders>
          </w:tcPr>
          <w:p w14:paraId="567AC0F0" w14:textId="77777777" w:rsidR="00CD54B2" w:rsidRPr="004C78D8" w:rsidRDefault="00CD54B2" w:rsidP="00FB7C1F">
            <w:pPr>
              <w:jc w:val="left"/>
              <w:rPr>
                <w:sz w:val="16"/>
                <w:szCs w:val="16"/>
              </w:rPr>
            </w:pPr>
          </w:p>
        </w:tc>
        <w:tc>
          <w:tcPr>
            <w:tcW w:w="746" w:type="pct"/>
            <w:tcBorders>
              <w:top w:val="nil"/>
              <w:bottom w:val="nil"/>
            </w:tcBorders>
          </w:tcPr>
          <w:p w14:paraId="3E48AC4D" w14:textId="77777777" w:rsidR="00CD54B2" w:rsidRPr="004C78D8" w:rsidRDefault="00CD54B2" w:rsidP="00FB7C1F">
            <w:pPr>
              <w:jc w:val="left"/>
              <w:rPr>
                <w:sz w:val="16"/>
                <w:szCs w:val="16"/>
              </w:rPr>
            </w:pPr>
            <w:r w:rsidRPr="004C78D8">
              <w:rPr>
                <w:sz w:val="16"/>
                <w:szCs w:val="16"/>
              </w:rPr>
              <w:t>Adherence: 29.4% of eligible days</w:t>
            </w:r>
          </w:p>
        </w:tc>
        <w:tc>
          <w:tcPr>
            <w:tcW w:w="841" w:type="pct"/>
            <w:tcBorders>
              <w:top w:val="nil"/>
              <w:bottom w:val="nil"/>
            </w:tcBorders>
          </w:tcPr>
          <w:p w14:paraId="0506DC25" w14:textId="77777777" w:rsidR="00CD54B2" w:rsidRPr="004C78D8" w:rsidRDefault="00CD54B2" w:rsidP="00FB7C1F">
            <w:pPr>
              <w:jc w:val="left"/>
              <w:rPr>
                <w:sz w:val="16"/>
                <w:szCs w:val="16"/>
              </w:rPr>
            </w:pPr>
          </w:p>
        </w:tc>
        <w:tc>
          <w:tcPr>
            <w:tcW w:w="598" w:type="pct"/>
            <w:tcBorders>
              <w:top w:val="nil"/>
              <w:bottom w:val="nil"/>
            </w:tcBorders>
          </w:tcPr>
          <w:p w14:paraId="73382692" w14:textId="77777777" w:rsidR="00CD54B2" w:rsidRPr="004C78D8" w:rsidRDefault="00CD54B2" w:rsidP="00FB7C1F">
            <w:pPr>
              <w:jc w:val="left"/>
              <w:rPr>
                <w:sz w:val="16"/>
                <w:szCs w:val="16"/>
              </w:rPr>
            </w:pPr>
            <w:r w:rsidRPr="004C78D8">
              <w:rPr>
                <w:sz w:val="16"/>
                <w:szCs w:val="16"/>
              </w:rPr>
              <w:t xml:space="preserve">External survey </w:t>
            </w:r>
          </w:p>
        </w:tc>
        <w:tc>
          <w:tcPr>
            <w:tcW w:w="682" w:type="pct"/>
            <w:tcBorders>
              <w:top w:val="nil"/>
              <w:bottom w:val="nil"/>
            </w:tcBorders>
          </w:tcPr>
          <w:p w14:paraId="4C2C928B" w14:textId="77777777" w:rsidR="00CD54B2" w:rsidRPr="004C78D8" w:rsidRDefault="00CD54B2" w:rsidP="00FB7C1F">
            <w:pPr>
              <w:jc w:val="left"/>
              <w:rPr>
                <w:sz w:val="16"/>
                <w:szCs w:val="16"/>
              </w:rPr>
            </w:pPr>
            <w:r w:rsidRPr="004C78D8">
              <w:rPr>
                <w:sz w:val="16"/>
                <w:szCs w:val="16"/>
              </w:rPr>
              <w:t>Inc. cost; Inc. QALY; ICER (CUA)</w:t>
            </w:r>
          </w:p>
        </w:tc>
      </w:tr>
      <w:tr w:rsidR="00CD54B2" w:rsidRPr="004C78D8" w14:paraId="064FCBDF" w14:textId="77777777" w:rsidTr="002828C1">
        <w:tc>
          <w:tcPr>
            <w:tcW w:w="507" w:type="pct"/>
            <w:vMerge w:val="restart"/>
          </w:tcPr>
          <w:p w14:paraId="1C347E6F" w14:textId="77777777" w:rsidR="00CD54B2" w:rsidRPr="004C78D8" w:rsidRDefault="00CD54B2" w:rsidP="00FB7C1F">
            <w:pPr>
              <w:jc w:val="left"/>
              <w:rPr>
                <w:sz w:val="16"/>
                <w:szCs w:val="16"/>
              </w:rPr>
            </w:pPr>
            <w:r w:rsidRPr="004C78D8">
              <w:rPr>
                <w:sz w:val="16"/>
                <w:szCs w:val="16"/>
              </w:rPr>
              <w:t>Honkanen (2006)</w:t>
            </w:r>
          </w:p>
        </w:tc>
        <w:tc>
          <w:tcPr>
            <w:tcW w:w="715" w:type="pct"/>
            <w:vMerge w:val="restart"/>
          </w:tcPr>
          <w:p w14:paraId="24E31A27" w14:textId="77777777" w:rsidR="00CD54B2" w:rsidRPr="004C78D8" w:rsidRDefault="00CD54B2" w:rsidP="00FB7C1F">
            <w:pPr>
              <w:jc w:val="left"/>
              <w:rPr>
                <w:sz w:val="16"/>
                <w:szCs w:val="16"/>
              </w:rPr>
            </w:pPr>
            <w:r w:rsidRPr="004C78D8">
              <w:rPr>
                <w:sz w:val="16"/>
                <w:szCs w:val="16"/>
              </w:rPr>
              <w:t>Hip protector</w:t>
            </w:r>
          </w:p>
        </w:tc>
        <w:tc>
          <w:tcPr>
            <w:tcW w:w="912" w:type="pct"/>
            <w:tcBorders>
              <w:top w:val="nil"/>
              <w:bottom w:val="nil"/>
            </w:tcBorders>
          </w:tcPr>
          <w:p w14:paraId="376F1BFE" w14:textId="77777777" w:rsidR="00CD54B2" w:rsidRPr="004C78D8" w:rsidRDefault="00CD54B2" w:rsidP="00FB7C1F">
            <w:pPr>
              <w:jc w:val="left"/>
              <w:rPr>
                <w:sz w:val="16"/>
                <w:szCs w:val="16"/>
              </w:rPr>
            </w:pPr>
          </w:p>
        </w:tc>
        <w:tc>
          <w:tcPr>
            <w:tcW w:w="746" w:type="pct"/>
            <w:tcBorders>
              <w:top w:val="nil"/>
              <w:bottom w:val="nil"/>
            </w:tcBorders>
          </w:tcPr>
          <w:p w14:paraId="3C91A03D" w14:textId="77777777" w:rsidR="00CD54B2" w:rsidRPr="004C78D8" w:rsidRDefault="00CD54B2" w:rsidP="00FB7C1F">
            <w:pPr>
              <w:jc w:val="left"/>
              <w:rPr>
                <w:sz w:val="16"/>
                <w:szCs w:val="16"/>
              </w:rPr>
            </w:pPr>
            <w:r w:rsidRPr="004C78D8">
              <w:rPr>
                <w:sz w:val="16"/>
                <w:szCs w:val="16"/>
              </w:rPr>
              <w:t>Adherence: 36% of daily hours</w:t>
            </w:r>
          </w:p>
        </w:tc>
        <w:tc>
          <w:tcPr>
            <w:tcW w:w="841" w:type="pct"/>
            <w:tcBorders>
              <w:top w:val="nil"/>
              <w:bottom w:val="nil"/>
            </w:tcBorders>
          </w:tcPr>
          <w:p w14:paraId="39BD0A25" w14:textId="77777777" w:rsidR="00CD54B2" w:rsidRPr="004C78D8" w:rsidRDefault="00CD54B2" w:rsidP="00FB7C1F">
            <w:pPr>
              <w:jc w:val="left"/>
              <w:rPr>
                <w:sz w:val="16"/>
                <w:szCs w:val="16"/>
              </w:rPr>
            </w:pPr>
          </w:p>
        </w:tc>
        <w:tc>
          <w:tcPr>
            <w:tcW w:w="598" w:type="pct"/>
            <w:tcBorders>
              <w:top w:val="nil"/>
              <w:bottom w:val="nil"/>
            </w:tcBorders>
          </w:tcPr>
          <w:p w14:paraId="243AF9F2" w14:textId="77777777" w:rsidR="00CD54B2" w:rsidRPr="004C78D8" w:rsidRDefault="00CD54B2" w:rsidP="00FB7C1F">
            <w:pPr>
              <w:jc w:val="left"/>
              <w:rPr>
                <w:sz w:val="16"/>
                <w:szCs w:val="16"/>
              </w:rPr>
            </w:pPr>
            <w:r w:rsidRPr="004C78D8">
              <w:rPr>
                <w:sz w:val="16"/>
                <w:szCs w:val="16"/>
              </w:rPr>
              <w:t>External survey</w:t>
            </w:r>
          </w:p>
        </w:tc>
        <w:tc>
          <w:tcPr>
            <w:tcW w:w="682" w:type="pct"/>
            <w:tcBorders>
              <w:top w:val="nil"/>
              <w:bottom w:val="nil"/>
            </w:tcBorders>
          </w:tcPr>
          <w:p w14:paraId="05937DDA" w14:textId="77777777" w:rsidR="00CD54B2" w:rsidRPr="004C78D8" w:rsidRDefault="00CD54B2" w:rsidP="00FB7C1F">
            <w:pPr>
              <w:jc w:val="left"/>
              <w:rPr>
                <w:sz w:val="16"/>
                <w:szCs w:val="16"/>
              </w:rPr>
            </w:pPr>
            <w:r w:rsidRPr="004C78D8">
              <w:rPr>
                <w:sz w:val="16"/>
                <w:szCs w:val="16"/>
              </w:rPr>
              <w:t>ICER (CUA)</w:t>
            </w:r>
          </w:p>
        </w:tc>
      </w:tr>
      <w:tr w:rsidR="00CD54B2" w:rsidRPr="004C78D8" w14:paraId="49CEBC46" w14:textId="77777777" w:rsidTr="002828C1">
        <w:tc>
          <w:tcPr>
            <w:tcW w:w="507" w:type="pct"/>
            <w:vMerge/>
          </w:tcPr>
          <w:p w14:paraId="3E4CDBEA" w14:textId="77777777" w:rsidR="00CD54B2" w:rsidRPr="004C78D8" w:rsidRDefault="00CD54B2" w:rsidP="00FB7C1F">
            <w:pPr>
              <w:jc w:val="left"/>
              <w:rPr>
                <w:sz w:val="16"/>
                <w:szCs w:val="16"/>
              </w:rPr>
            </w:pPr>
          </w:p>
        </w:tc>
        <w:tc>
          <w:tcPr>
            <w:tcW w:w="715" w:type="pct"/>
            <w:vMerge/>
          </w:tcPr>
          <w:p w14:paraId="259D78CD" w14:textId="77777777" w:rsidR="00CD54B2" w:rsidRPr="004C78D8" w:rsidRDefault="00CD54B2" w:rsidP="00FB7C1F">
            <w:pPr>
              <w:jc w:val="left"/>
              <w:rPr>
                <w:sz w:val="16"/>
                <w:szCs w:val="16"/>
              </w:rPr>
            </w:pPr>
          </w:p>
        </w:tc>
        <w:tc>
          <w:tcPr>
            <w:tcW w:w="912" w:type="pct"/>
            <w:tcBorders>
              <w:top w:val="nil"/>
              <w:bottom w:val="nil"/>
            </w:tcBorders>
          </w:tcPr>
          <w:p w14:paraId="25300D51" w14:textId="77777777" w:rsidR="00CD54B2" w:rsidRPr="004C78D8" w:rsidRDefault="00CD54B2" w:rsidP="00FB7C1F">
            <w:pPr>
              <w:jc w:val="left"/>
              <w:rPr>
                <w:sz w:val="16"/>
                <w:szCs w:val="16"/>
              </w:rPr>
            </w:pPr>
          </w:p>
        </w:tc>
        <w:tc>
          <w:tcPr>
            <w:tcW w:w="746" w:type="pct"/>
            <w:tcBorders>
              <w:top w:val="nil"/>
              <w:bottom w:val="nil"/>
            </w:tcBorders>
          </w:tcPr>
          <w:p w14:paraId="3F7BA2C9" w14:textId="77777777" w:rsidR="00CD54B2" w:rsidRPr="004C78D8" w:rsidRDefault="00CD54B2" w:rsidP="00FB7C1F">
            <w:pPr>
              <w:jc w:val="left"/>
              <w:rPr>
                <w:sz w:val="16"/>
                <w:szCs w:val="16"/>
              </w:rPr>
            </w:pPr>
          </w:p>
        </w:tc>
        <w:tc>
          <w:tcPr>
            <w:tcW w:w="841" w:type="pct"/>
            <w:tcBorders>
              <w:top w:val="nil"/>
              <w:bottom w:val="nil"/>
            </w:tcBorders>
          </w:tcPr>
          <w:p w14:paraId="0520C201" w14:textId="77777777" w:rsidR="00CD54B2" w:rsidRPr="004C78D8" w:rsidRDefault="00CD54B2" w:rsidP="00FB7C1F">
            <w:pPr>
              <w:jc w:val="left"/>
              <w:rPr>
                <w:sz w:val="16"/>
                <w:szCs w:val="16"/>
              </w:rPr>
            </w:pPr>
            <w:r w:rsidRPr="004C78D8">
              <w:rPr>
                <w:sz w:val="16"/>
                <w:szCs w:val="16"/>
              </w:rPr>
              <w:t>Persistence: 50% discontinue after 1</w:t>
            </w:r>
            <w:r w:rsidRPr="004C78D8">
              <w:rPr>
                <w:sz w:val="16"/>
                <w:szCs w:val="16"/>
                <w:vertAlign w:val="superscript"/>
              </w:rPr>
              <w:t>st</w:t>
            </w:r>
            <w:r w:rsidRPr="004C78D8">
              <w:rPr>
                <w:sz w:val="16"/>
                <w:szCs w:val="16"/>
              </w:rPr>
              <w:t xml:space="preserve"> year; discontinuation rate declines exponentially</w:t>
            </w:r>
          </w:p>
        </w:tc>
        <w:tc>
          <w:tcPr>
            <w:tcW w:w="598" w:type="pct"/>
            <w:tcBorders>
              <w:top w:val="nil"/>
              <w:bottom w:val="nil"/>
            </w:tcBorders>
          </w:tcPr>
          <w:p w14:paraId="54BF50B1" w14:textId="77777777" w:rsidR="00CD54B2" w:rsidRPr="004C78D8" w:rsidRDefault="00CD54B2" w:rsidP="00FB7C1F">
            <w:pPr>
              <w:jc w:val="left"/>
              <w:rPr>
                <w:sz w:val="16"/>
                <w:szCs w:val="16"/>
              </w:rPr>
            </w:pPr>
            <w:r w:rsidRPr="004C78D8">
              <w:rPr>
                <w:sz w:val="16"/>
                <w:szCs w:val="16"/>
              </w:rPr>
              <w:t>External survey</w:t>
            </w:r>
          </w:p>
        </w:tc>
        <w:tc>
          <w:tcPr>
            <w:tcW w:w="682" w:type="pct"/>
            <w:tcBorders>
              <w:top w:val="nil"/>
              <w:bottom w:val="nil"/>
            </w:tcBorders>
          </w:tcPr>
          <w:p w14:paraId="4A877635" w14:textId="77777777" w:rsidR="00CD54B2" w:rsidRPr="004C78D8" w:rsidRDefault="00CD54B2" w:rsidP="00FB7C1F">
            <w:pPr>
              <w:jc w:val="left"/>
              <w:rPr>
                <w:sz w:val="16"/>
                <w:szCs w:val="16"/>
              </w:rPr>
            </w:pPr>
            <w:r w:rsidRPr="004C78D8">
              <w:rPr>
                <w:sz w:val="16"/>
                <w:szCs w:val="16"/>
              </w:rPr>
              <w:t>ICER (CUA)</w:t>
            </w:r>
          </w:p>
        </w:tc>
      </w:tr>
      <w:tr w:rsidR="00CD54B2" w:rsidRPr="004C78D8" w14:paraId="45ED28C3" w14:textId="77777777" w:rsidTr="002828C1">
        <w:tc>
          <w:tcPr>
            <w:tcW w:w="507" w:type="pct"/>
            <w:vMerge w:val="restart"/>
          </w:tcPr>
          <w:p w14:paraId="1B19AE49" w14:textId="77777777" w:rsidR="00CD54B2" w:rsidRPr="004C78D8" w:rsidRDefault="00CD54B2" w:rsidP="00FB7C1F">
            <w:pPr>
              <w:jc w:val="left"/>
              <w:rPr>
                <w:sz w:val="16"/>
                <w:szCs w:val="16"/>
              </w:rPr>
            </w:pPr>
            <w:r w:rsidRPr="004C78D8">
              <w:rPr>
                <w:sz w:val="16"/>
                <w:szCs w:val="16"/>
              </w:rPr>
              <w:t>Howland (2015)</w:t>
            </w:r>
          </w:p>
        </w:tc>
        <w:tc>
          <w:tcPr>
            <w:tcW w:w="715" w:type="pct"/>
            <w:vMerge w:val="restart"/>
          </w:tcPr>
          <w:p w14:paraId="433FECBA" w14:textId="77777777" w:rsidR="00CD54B2" w:rsidRPr="004C78D8" w:rsidRDefault="00CD54B2" w:rsidP="00FB7C1F">
            <w:pPr>
              <w:jc w:val="left"/>
              <w:rPr>
                <w:sz w:val="16"/>
                <w:szCs w:val="16"/>
              </w:rPr>
            </w:pPr>
            <w:r w:rsidRPr="004C78D8">
              <w:rPr>
                <w:sz w:val="16"/>
                <w:szCs w:val="16"/>
              </w:rPr>
              <w:t>MC int. (lay-led)</w:t>
            </w:r>
          </w:p>
        </w:tc>
        <w:tc>
          <w:tcPr>
            <w:tcW w:w="912" w:type="pct"/>
            <w:tcBorders>
              <w:top w:val="nil"/>
              <w:bottom w:val="nil"/>
            </w:tcBorders>
          </w:tcPr>
          <w:p w14:paraId="06697CFB" w14:textId="77777777" w:rsidR="00CD54B2" w:rsidRPr="004C78D8" w:rsidRDefault="00CD54B2" w:rsidP="00FB7C1F">
            <w:pPr>
              <w:jc w:val="left"/>
              <w:rPr>
                <w:sz w:val="16"/>
                <w:szCs w:val="16"/>
              </w:rPr>
            </w:pPr>
            <w:r w:rsidRPr="004C78D8">
              <w:rPr>
                <w:sz w:val="16"/>
                <w:szCs w:val="16"/>
              </w:rPr>
              <w:t>Uptake: 50%</w:t>
            </w:r>
          </w:p>
        </w:tc>
        <w:tc>
          <w:tcPr>
            <w:tcW w:w="746" w:type="pct"/>
            <w:tcBorders>
              <w:top w:val="nil"/>
              <w:bottom w:val="nil"/>
            </w:tcBorders>
          </w:tcPr>
          <w:p w14:paraId="17EC61C2" w14:textId="77777777" w:rsidR="00CD54B2" w:rsidRPr="004C78D8" w:rsidRDefault="00CD54B2" w:rsidP="00FB7C1F">
            <w:pPr>
              <w:jc w:val="left"/>
              <w:rPr>
                <w:sz w:val="16"/>
                <w:szCs w:val="16"/>
              </w:rPr>
            </w:pPr>
          </w:p>
        </w:tc>
        <w:tc>
          <w:tcPr>
            <w:tcW w:w="841" w:type="pct"/>
            <w:tcBorders>
              <w:top w:val="nil"/>
              <w:bottom w:val="nil"/>
            </w:tcBorders>
          </w:tcPr>
          <w:p w14:paraId="626F0845" w14:textId="77777777" w:rsidR="00CD54B2" w:rsidRPr="004C78D8" w:rsidRDefault="00CD54B2" w:rsidP="00FB7C1F">
            <w:pPr>
              <w:jc w:val="left"/>
              <w:rPr>
                <w:sz w:val="16"/>
                <w:szCs w:val="16"/>
              </w:rPr>
            </w:pPr>
          </w:p>
        </w:tc>
        <w:tc>
          <w:tcPr>
            <w:tcW w:w="598" w:type="pct"/>
            <w:tcBorders>
              <w:top w:val="nil"/>
              <w:bottom w:val="nil"/>
            </w:tcBorders>
          </w:tcPr>
          <w:p w14:paraId="589D3321" w14:textId="77777777" w:rsidR="00CD54B2" w:rsidRPr="004C78D8" w:rsidRDefault="00CD54B2" w:rsidP="00FB7C1F">
            <w:pPr>
              <w:jc w:val="left"/>
              <w:rPr>
                <w:sz w:val="16"/>
                <w:szCs w:val="16"/>
              </w:rPr>
            </w:pPr>
            <w:r w:rsidRPr="004C78D8">
              <w:rPr>
                <w:sz w:val="16"/>
                <w:szCs w:val="16"/>
              </w:rPr>
              <w:t>Assumption</w:t>
            </w:r>
          </w:p>
        </w:tc>
        <w:tc>
          <w:tcPr>
            <w:tcW w:w="682" w:type="pct"/>
            <w:tcBorders>
              <w:top w:val="nil"/>
              <w:bottom w:val="nil"/>
            </w:tcBorders>
          </w:tcPr>
          <w:p w14:paraId="21BF60B1" w14:textId="77777777" w:rsidR="00CD54B2" w:rsidRPr="004C78D8" w:rsidRDefault="00CD54B2" w:rsidP="00FB7C1F">
            <w:pPr>
              <w:jc w:val="left"/>
              <w:rPr>
                <w:sz w:val="16"/>
                <w:szCs w:val="16"/>
              </w:rPr>
            </w:pPr>
            <w:r w:rsidRPr="004C78D8">
              <w:rPr>
                <w:sz w:val="16"/>
                <w:szCs w:val="16"/>
              </w:rPr>
              <w:t>Aggregate efficiency (ROI: net cost saving)</w:t>
            </w:r>
          </w:p>
        </w:tc>
      </w:tr>
      <w:tr w:rsidR="00CD54B2" w:rsidRPr="004C78D8" w14:paraId="0DAA6A25" w14:textId="77777777" w:rsidTr="002828C1">
        <w:tc>
          <w:tcPr>
            <w:tcW w:w="507" w:type="pct"/>
            <w:vMerge/>
          </w:tcPr>
          <w:p w14:paraId="36419F1A" w14:textId="77777777" w:rsidR="00CD54B2" w:rsidRPr="004C78D8" w:rsidRDefault="00CD54B2" w:rsidP="00FB7C1F">
            <w:pPr>
              <w:jc w:val="left"/>
              <w:rPr>
                <w:sz w:val="16"/>
                <w:szCs w:val="16"/>
              </w:rPr>
            </w:pPr>
          </w:p>
        </w:tc>
        <w:tc>
          <w:tcPr>
            <w:tcW w:w="715" w:type="pct"/>
            <w:vMerge/>
          </w:tcPr>
          <w:p w14:paraId="0E816F42" w14:textId="77777777" w:rsidR="00CD54B2" w:rsidRPr="004C78D8" w:rsidRDefault="00CD54B2" w:rsidP="00FB7C1F">
            <w:pPr>
              <w:jc w:val="left"/>
              <w:rPr>
                <w:sz w:val="16"/>
                <w:szCs w:val="16"/>
              </w:rPr>
            </w:pPr>
          </w:p>
        </w:tc>
        <w:tc>
          <w:tcPr>
            <w:tcW w:w="912" w:type="pct"/>
            <w:tcBorders>
              <w:top w:val="nil"/>
              <w:bottom w:val="nil"/>
            </w:tcBorders>
          </w:tcPr>
          <w:p w14:paraId="1695DD0B" w14:textId="77777777" w:rsidR="00CD54B2" w:rsidRPr="004C78D8" w:rsidRDefault="00CD54B2" w:rsidP="00FB7C1F">
            <w:pPr>
              <w:jc w:val="left"/>
              <w:rPr>
                <w:sz w:val="16"/>
                <w:szCs w:val="16"/>
              </w:rPr>
            </w:pPr>
          </w:p>
        </w:tc>
        <w:tc>
          <w:tcPr>
            <w:tcW w:w="746" w:type="pct"/>
            <w:tcBorders>
              <w:top w:val="nil"/>
              <w:bottom w:val="nil"/>
            </w:tcBorders>
          </w:tcPr>
          <w:p w14:paraId="0E4DACF7" w14:textId="77777777" w:rsidR="00CD54B2" w:rsidRPr="004C78D8" w:rsidRDefault="00CD54B2" w:rsidP="00FB7C1F">
            <w:pPr>
              <w:jc w:val="left"/>
              <w:rPr>
                <w:sz w:val="16"/>
                <w:szCs w:val="16"/>
              </w:rPr>
            </w:pPr>
            <w:r w:rsidRPr="004C78D8">
              <w:rPr>
                <w:sz w:val="16"/>
                <w:szCs w:val="16"/>
              </w:rPr>
              <w:t>Fidelity: 100% refer</w:t>
            </w:r>
          </w:p>
        </w:tc>
        <w:tc>
          <w:tcPr>
            <w:tcW w:w="841" w:type="pct"/>
            <w:tcBorders>
              <w:top w:val="nil"/>
              <w:bottom w:val="nil"/>
            </w:tcBorders>
          </w:tcPr>
          <w:p w14:paraId="54F13B86" w14:textId="77777777" w:rsidR="00CD54B2" w:rsidRPr="004C78D8" w:rsidRDefault="00CD54B2" w:rsidP="00FB7C1F">
            <w:pPr>
              <w:jc w:val="left"/>
              <w:rPr>
                <w:sz w:val="16"/>
                <w:szCs w:val="16"/>
              </w:rPr>
            </w:pPr>
          </w:p>
        </w:tc>
        <w:tc>
          <w:tcPr>
            <w:tcW w:w="598" w:type="pct"/>
            <w:tcBorders>
              <w:top w:val="nil"/>
              <w:bottom w:val="nil"/>
            </w:tcBorders>
          </w:tcPr>
          <w:p w14:paraId="45855B92" w14:textId="77777777" w:rsidR="00CD54B2" w:rsidRPr="004C78D8" w:rsidRDefault="00CD54B2" w:rsidP="00FB7C1F">
            <w:pPr>
              <w:jc w:val="left"/>
              <w:rPr>
                <w:sz w:val="16"/>
                <w:szCs w:val="16"/>
              </w:rPr>
            </w:pPr>
            <w:r w:rsidRPr="004C78D8">
              <w:rPr>
                <w:sz w:val="16"/>
                <w:szCs w:val="16"/>
              </w:rPr>
              <w:t>Assumption</w:t>
            </w:r>
          </w:p>
        </w:tc>
        <w:tc>
          <w:tcPr>
            <w:tcW w:w="682" w:type="pct"/>
            <w:tcBorders>
              <w:top w:val="nil"/>
              <w:bottom w:val="nil"/>
            </w:tcBorders>
          </w:tcPr>
          <w:p w14:paraId="2816CC5A" w14:textId="77777777" w:rsidR="00CD54B2" w:rsidRPr="004C78D8" w:rsidRDefault="00CD54B2" w:rsidP="00FB7C1F">
            <w:pPr>
              <w:jc w:val="left"/>
              <w:rPr>
                <w:i/>
                <w:iCs/>
                <w:sz w:val="16"/>
                <w:szCs w:val="16"/>
              </w:rPr>
            </w:pPr>
            <w:r w:rsidRPr="004C78D8">
              <w:rPr>
                <w:i/>
                <w:iCs/>
                <w:sz w:val="16"/>
                <w:szCs w:val="16"/>
              </w:rPr>
              <w:t>No analysis</w:t>
            </w:r>
          </w:p>
        </w:tc>
      </w:tr>
      <w:tr w:rsidR="00CD54B2" w:rsidRPr="004C78D8" w14:paraId="16DCDB3B" w14:textId="77777777" w:rsidTr="002828C1">
        <w:tc>
          <w:tcPr>
            <w:tcW w:w="507" w:type="pct"/>
          </w:tcPr>
          <w:p w14:paraId="5DB6D1ED" w14:textId="77777777" w:rsidR="00CD54B2" w:rsidRPr="004C78D8" w:rsidRDefault="00CD54B2" w:rsidP="00FB7C1F">
            <w:pPr>
              <w:jc w:val="left"/>
              <w:rPr>
                <w:sz w:val="16"/>
                <w:szCs w:val="16"/>
              </w:rPr>
            </w:pPr>
            <w:r w:rsidRPr="004C78D8">
              <w:rPr>
                <w:sz w:val="16"/>
                <w:szCs w:val="16"/>
              </w:rPr>
              <w:t>Ippoliti (2018)</w:t>
            </w:r>
          </w:p>
        </w:tc>
        <w:tc>
          <w:tcPr>
            <w:tcW w:w="715" w:type="pct"/>
          </w:tcPr>
          <w:p w14:paraId="49A04BB0" w14:textId="77777777" w:rsidR="00CD54B2" w:rsidRPr="004C78D8" w:rsidRDefault="00CD54B2" w:rsidP="00FB7C1F">
            <w:pPr>
              <w:jc w:val="left"/>
              <w:rPr>
                <w:sz w:val="16"/>
                <w:szCs w:val="16"/>
              </w:rPr>
            </w:pPr>
            <w:r w:rsidRPr="004C78D8">
              <w:rPr>
                <w:sz w:val="16"/>
                <w:szCs w:val="16"/>
              </w:rPr>
              <w:t>MF int.</w:t>
            </w:r>
          </w:p>
        </w:tc>
        <w:tc>
          <w:tcPr>
            <w:tcW w:w="912" w:type="pct"/>
            <w:tcBorders>
              <w:top w:val="nil"/>
              <w:bottom w:val="nil"/>
            </w:tcBorders>
          </w:tcPr>
          <w:p w14:paraId="25846991" w14:textId="77777777" w:rsidR="00CD54B2" w:rsidRPr="004C78D8" w:rsidRDefault="00CD54B2" w:rsidP="00FB7C1F">
            <w:pPr>
              <w:jc w:val="left"/>
              <w:rPr>
                <w:sz w:val="16"/>
                <w:szCs w:val="16"/>
              </w:rPr>
            </w:pPr>
            <w:r w:rsidRPr="004C78D8">
              <w:rPr>
                <w:sz w:val="16"/>
                <w:szCs w:val="16"/>
              </w:rPr>
              <w:t>Uptake: 80%</w:t>
            </w:r>
          </w:p>
        </w:tc>
        <w:tc>
          <w:tcPr>
            <w:tcW w:w="746" w:type="pct"/>
            <w:tcBorders>
              <w:top w:val="nil"/>
              <w:bottom w:val="nil"/>
            </w:tcBorders>
          </w:tcPr>
          <w:p w14:paraId="63D2B637" w14:textId="77777777" w:rsidR="00CD54B2" w:rsidRPr="004C78D8" w:rsidRDefault="00CD54B2" w:rsidP="00FB7C1F">
            <w:pPr>
              <w:jc w:val="left"/>
              <w:rPr>
                <w:sz w:val="16"/>
                <w:szCs w:val="16"/>
              </w:rPr>
            </w:pPr>
          </w:p>
        </w:tc>
        <w:tc>
          <w:tcPr>
            <w:tcW w:w="841" w:type="pct"/>
            <w:tcBorders>
              <w:top w:val="nil"/>
              <w:bottom w:val="nil"/>
            </w:tcBorders>
          </w:tcPr>
          <w:p w14:paraId="25A55451" w14:textId="77777777" w:rsidR="00CD54B2" w:rsidRPr="004C78D8" w:rsidRDefault="00CD54B2" w:rsidP="00FB7C1F">
            <w:pPr>
              <w:jc w:val="left"/>
              <w:rPr>
                <w:sz w:val="16"/>
                <w:szCs w:val="16"/>
              </w:rPr>
            </w:pPr>
          </w:p>
        </w:tc>
        <w:tc>
          <w:tcPr>
            <w:tcW w:w="598" w:type="pct"/>
            <w:tcBorders>
              <w:top w:val="nil"/>
              <w:bottom w:val="nil"/>
            </w:tcBorders>
          </w:tcPr>
          <w:p w14:paraId="52A07653" w14:textId="77777777" w:rsidR="00CD54B2" w:rsidRPr="004C78D8" w:rsidRDefault="00CD54B2" w:rsidP="00FB7C1F">
            <w:pPr>
              <w:jc w:val="left"/>
              <w:rPr>
                <w:sz w:val="16"/>
                <w:szCs w:val="16"/>
              </w:rPr>
            </w:pPr>
            <w:r w:rsidRPr="004C78D8">
              <w:rPr>
                <w:sz w:val="16"/>
                <w:szCs w:val="16"/>
              </w:rPr>
              <w:t>Assumption</w:t>
            </w:r>
          </w:p>
        </w:tc>
        <w:tc>
          <w:tcPr>
            <w:tcW w:w="682" w:type="pct"/>
            <w:tcBorders>
              <w:top w:val="nil"/>
              <w:bottom w:val="nil"/>
            </w:tcBorders>
          </w:tcPr>
          <w:p w14:paraId="70E83241" w14:textId="77777777" w:rsidR="00CD54B2" w:rsidRPr="004C78D8" w:rsidRDefault="00CD54B2" w:rsidP="00FB7C1F">
            <w:pPr>
              <w:jc w:val="left"/>
              <w:rPr>
                <w:sz w:val="16"/>
                <w:szCs w:val="16"/>
              </w:rPr>
            </w:pPr>
            <w:r w:rsidRPr="004C78D8">
              <w:rPr>
                <w:i/>
                <w:iCs/>
                <w:sz w:val="16"/>
                <w:szCs w:val="16"/>
              </w:rPr>
              <w:t>No analysis</w:t>
            </w:r>
          </w:p>
        </w:tc>
      </w:tr>
      <w:tr w:rsidR="00CD54B2" w:rsidRPr="004C78D8" w14:paraId="6752C5C0" w14:textId="77777777" w:rsidTr="002828C1">
        <w:tc>
          <w:tcPr>
            <w:tcW w:w="507" w:type="pct"/>
          </w:tcPr>
          <w:p w14:paraId="31D32467" w14:textId="77777777" w:rsidR="00CD54B2" w:rsidRPr="004C78D8" w:rsidRDefault="00CD54B2" w:rsidP="00FB7C1F">
            <w:pPr>
              <w:jc w:val="left"/>
              <w:rPr>
                <w:sz w:val="16"/>
                <w:szCs w:val="16"/>
              </w:rPr>
            </w:pPr>
            <w:r w:rsidRPr="004C78D8">
              <w:rPr>
                <w:sz w:val="16"/>
                <w:szCs w:val="16"/>
              </w:rPr>
              <w:t>Johansson (2008)</w:t>
            </w:r>
          </w:p>
        </w:tc>
        <w:tc>
          <w:tcPr>
            <w:tcW w:w="715" w:type="pct"/>
          </w:tcPr>
          <w:p w14:paraId="0C283F37" w14:textId="77777777" w:rsidR="00CD54B2" w:rsidRPr="004C78D8" w:rsidRDefault="00CD54B2" w:rsidP="00FB7C1F">
            <w:pPr>
              <w:jc w:val="left"/>
              <w:rPr>
                <w:sz w:val="16"/>
                <w:szCs w:val="16"/>
              </w:rPr>
            </w:pPr>
            <w:r w:rsidRPr="004C78D8">
              <w:rPr>
                <w:sz w:val="16"/>
                <w:szCs w:val="16"/>
              </w:rPr>
              <w:t>MF int.</w:t>
            </w:r>
          </w:p>
        </w:tc>
        <w:tc>
          <w:tcPr>
            <w:tcW w:w="912" w:type="pct"/>
            <w:tcBorders>
              <w:top w:val="nil"/>
              <w:bottom w:val="nil"/>
            </w:tcBorders>
          </w:tcPr>
          <w:p w14:paraId="7F0DD281" w14:textId="77777777" w:rsidR="00CD54B2" w:rsidRPr="004C78D8" w:rsidRDefault="00CD54B2" w:rsidP="00FB7C1F">
            <w:pPr>
              <w:jc w:val="left"/>
              <w:rPr>
                <w:sz w:val="16"/>
                <w:szCs w:val="16"/>
              </w:rPr>
            </w:pPr>
          </w:p>
        </w:tc>
        <w:tc>
          <w:tcPr>
            <w:tcW w:w="746" w:type="pct"/>
            <w:tcBorders>
              <w:top w:val="nil"/>
              <w:bottom w:val="nil"/>
            </w:tcBorders>
          </w:tcPr>
          <w:p w14:paraId="5051A18A" w14:textId="77777777" w:rsidR="00CD54B2" w:rsidRPr="004C78D8" w:rsidRDefault="00CD54B2" w:rsidP="00FB7C1F">
            <w:pPr>
              <w:jc w:val="left"/>
              <w:rPr>
                <w:sz w:val="16"/>
                <w:szCs w:val="16"/>
              </w:rPr>
            </w:pPr>
          </w:p>
        </w:tc>
        <w:tc>
          <w:tcPr>
            <w:tcW w:w="841" w:type="pct"/>
            <w:tcBorders>
              <w:top w:val="nil"/>
              <w:bottom w:val="nil"/>
            </w:tcBorders>
          </w:tcPr>
          <w:p w14:paraId="66AEFC94" w14:textId="77777777" w:rsidR="00CD54B2" w:rsidRPr="004C78D8" w:rsidRDefault="00CD54B2" w:rsidP="00FB7C1F">
            <w:pPr>
              <w:jc w:val="left"/>
              <w:rPr>
                <w:sz w:val="16"/>
                <w:szCs w:val="16"/>
              </w:rPr>
            </w:pPr>
            <w:r w:rsidRPr="004C78D8">
              <w:rPr>
                <w:sz w:val="16"/>
                <w:szCs w:val="16"/>
              </w:rPr>
              <w:t>Maint.: 5 years (of lifetime)</w:t>
            </w:r>
          </w:p>
        </w:tc>
        <w:tc>
          <w:tcPr>
            <w:tcW w:w="598" w:type="pct"/>
            <w:tcBorders>
              <w:top w:val="nil"/>
              <w:bottom w:val="nil"/>
            </w:tcBorders>
          </w:tcPr>
          <w:p w14:paraId="621CA49D" w14:textId="77777777" w:rsidR="00CD54B2" w:rsidRPr="004C78D8" w:rsidRDefault="00CD54B2" w:rsidP="00FB7C1F">
            <w:pPr>
              <w:jc w:val="left"/>
              <w:rPr>
                <w:sz w:val="16"/>
                <w:szCs w:val="16"/>
              </w:rPr>
            </w:pPr>
            <w:r w:rsidRPr="004C78D8">
              <w:rPr>
                <w:sz w:val="16"/>
                <w:szCs w:val="16"/>
              </w:rPr>
              <w:t>Internal quasi-experiment</w:t>
            </w:r>
          </w:p>
        </w:tc>
        <w:tc>
          <w:tcPr>
            <w:tcW w:w="682" w:type="pct"/>
            <w:tcBorders>
              <w:top w:val="nil"/>
              <w:bottom w:val="nil"/>
            </w:tcBorders>
          </w:tcPr>
          <w:p w14:paraId="7FE3F59F" w14:textId="77777777" w:rsidR="00CD54B2" w:rsidRPr="004C78D8" w:rsidRDefault="00CD54B2" w:rsidP="00FB7C1F">
            <w:pPr>
              <w:jc w:val="left"/>
              <w:rPr>
                <w:sz w:val="16"/>
                <w:szCs w:val="16"/>
              </w:rPr>
            </w:pPr>
            <w:r w:rsidRPr="004C78D8">
              <w:rPr>
                <w:i/>
                <w:iCs/>
                <w:sz w:val="16"/>
                <w:szCs w:val="16"/>
              </w:rPr>
              <w:t>No analysis</w:t>
            </w:r>
          </w:p>
        </w:tc>
      </w:tr>
      <w:tr w:rsidR="00CD54B2" w:rsidRPr="004C78D8" w14:paraId="7ED468B0" w14:textId="77777777" w:rsidTr="002828C1">
        <w:tc>
          <w:tcPr>
            <w:tcW w:w="507" w:type="pct"/>
          </w:tcPr>
          <w:p w14:paraId="6D7953A7" w14:textId="77777777" w:rsidR="00CD54B2" w:rsidRPr="004C78D8" w:rsidRDefault="00CD54B2" w:rsidP="00FB7C1F">
            <w:pPr>
              <w:jc w:val="left"/>
              <w:rPr>
                <w:sz w:val="16"/>
                <w:szCs w:val="16"/>
              </w:rPr>
            </w:pPr>
            <w:r w:rsidRPr="004C78D8">
              <w:rPr>
                <w:sz w:val="16"/>
                <w:szCs w:val="16"/>
              </w:rPr>
              <w:t>Lee (2013)</w:t>
            </w:r>
          </w:p>
        </w:tc>
        <w:tc>
          <w:tcPr>
            <w:tcW w:w="715" w:type="pct"/>
          </w:tcPr>
          <w:p w14:paraId="628B2600" w14:textId="77777777" w:rsidR="00CD54B2" w:rsidRPr="004C78D8" w:rsidRDefault="00CD54B2" w:rsidP="00FB7C1F">
            <w:pPr>
              <w:jc w:val="left"/>
              <w:rPr>
                <w:sz w:val="16"/>
                <w:szCs w:val="16"/>
              </w:rPr>
            </w:pPr>
            <w:r w:rsidRPr="004C78D8">
              <w:rPr>
                <w:sz w:val="16"/>
                <w:szCs w:val="16"/>
              </w:rPr>
              <w:t>Vit D screening &amp; supplement</w:t>
            </w:r>
          </w:p>
        </w:tc>
        <w:tc>
          <w:tcPr>
            <w:tcW w:w="912" w:type="pct"/>
            <w:tcBorders>
              <w:top w:val="nil"/>
              <w:bottom w:val="nil"/>
            </w:tcBorders>
          </w:tcPr>
          <w:p w14:paraId="0F3DC36A" w14:textId="77777777" w:rsidR="00CD54B2" w:rsidRPr="004C78D8" w:rsidRDefault="00CD54B2" w:rsidP="00FB7C1F">
            <w:pPr>
              <w:jc w:val="left"/>
              <w:rPr>
                <w:sz w:val="16"/>
                <w:szCs w:val="16"/>
              </w:rPr>
            </w:pPr>
          </w:p>
        </w:tc>
        <w:tc>
          <w:tcPr>
            <w:tcW w:w="746" w:type="pct"/>
            <w:tcBorders>
              <w:top w:val="nil"/>
              <w:bottom w:val="nil"/>
            </w:tcBorders>
          </w:tcPr>
          <w:p w14:paraId="4F7E852F" w14:textId="77777777" w:rsidR="00CD54B2" w:rsidRPr="004C78D8" w:rsidRDefault="00CD54B2" w:rsidP="00FB7C1F">
            <w:pPr>
              <w:jc w:val="left"/>
              <w:rPr>
                <w:sz w:val="16"/>
                <w:szCs w:val="16"/>
              </w:rPr>
            </w:pPr>
            <w:r w:rsidRPr="004C78D8">
              <w:rPr>
                <w:sz w:val="16"/>
                <w:szCs w:val="16"/>
              </w:rPr>
              <w:t>Adherence: 80%</w:t>
            </w:r>
          </w:p>
        </w:tc>
        <w:tc>
          <w:tcPr>
            <w:tcW w:w="841" w:type="pct"/>
            <w:tcBorders>
              <w:top w:val="nil"/>
              <w:bottom w:val="nil"/>
            </w:tcBorders>
          </w:tcPr>
          <w:p w14:paraId="43C84772" w14:textId="77777777" w:rsidR="00CD54B2" w:rsidRPr="004C78D8" w:rsidRDefault="00CD54B2" w:rsidP="00FB7C1F">
            <w:pPr>
              <w:jc w:val="left"/>
              <w:rPr>
                <w:sz w:val="16"/>
                <w:szCs w:val="16"/>
              </w:rPr>
            </w:pPr>
          </w:p>
        </w:tc>
        <w:tc>
          <w:tcPr>
            <w:tcW w:w="598" w:type="pct"/>
            <w:tcBorders>
              <w:top w:val="nil"/>
              <w:bottom w:val="nil"/>
            </w:tcBorders>
          </w:tcPr>
          <w:p w14:paraId="7569C56A" w14:textId="77777777" w:rsidR="00CD54B2" w:rsidRPr="004C78D8" w:rsidRDefault="00CD54B2" w:rsidP="00FB7C1F">
            <w:pPr>
              <w:jc w:val="left"/>
              <w:rPr>
                <w:sz w:val="16"/>
                <w:szCs w:val="16"/>
              </w:rPr>
            </w:pPr>
            <w:r w:rsidRPr="004C78D8">
              <w:rPr>
                <w:sz w:val="16"/>
                <w:szCs w:val="16"/>
              </w:rPr>
              <w:t>External RCT</w:t>
            </w:r>
          </w:p>
        </w:tc>
        <w:tc>
          <w:tcPr>
            <w:tcW w:w="682" w:type="pct"/>
            <w:tcBorders>
              <w:top w:val="nil"/>
              <w:bottom w:val="nil"/>
            </w:tcBorders>
          </w:tcPr>
          <w:p w14:paraId="75C76E03" w14:textId="77777777" w:rsidR="00CD54B2" w:rsidRPr="004C78D8" w:rsidRDefault="00CD54B2" w:rsidP="00FB7C1F">
            <w:pPr>
              <w:jc w:val="left"/>
              <w:rPr>
                <w:sz w:val="16"/>
                <w:szCs w:val="16"/>
              </w:rPr>
            </w:pPr>
            <w:r w:rsidRPr="004C78D8">
              <w:rPr>
                <w:i/>
                <w:iCs/>
                <w:sz w:val="16"/>
                <w:szCs w:val="16"/>
              </w:rPr>
              <w:t>No analysis</w:t>
            </w:r>
          </w:p>
        </w:tc>
      </w:tr>
      <w:tr w:rsidR="00CD54B2" w:rsidRPr="004C78D8" w14:paraId="1DC8834A" w14:textId="77777777" w:rsidTr="002828C1">
        <w:tc>
          <w:tcPr>
            <w:tcW w:w="507" w:type="pct"/>
          </w:tcPr>
          <w:p w14:paraId="35C13507" w14:textId="77777777" w:rsidR="00CD54B2" w:rsidRPr="004C78D8" w:rsidRDefault="00CD54B2" w:rsidP="00FB7C1F">
            <w:pPr>
              <w:jc w:val="left"/>
              <w:rPr>
                <w:sz w:val="16"/>
                <w:szCs w:val="16"/>
              </w:rPr>
            </w:pPr>
            <w:r w:rsidRPr="004C78D8">
              <w:rPr>
                <w:sz w:val="16"/>
                <w:szCs w:val="16"/>
              </w:rPr>
              <w:t>Miller (2011)</w:t>
            </w:r>
          </w:p>
        </w:tc>
        <w:tc>
          <w:tcPr>
            <w:tcW w:w="715" w:type="pct"/>
          </w:tcPr>
          <w:p w14:paraId="501C2895" w14:textId="77777777" w:rsidR="00CD54B2" w:rsidRPr="004C78D8" w:rsidRDefault="00CD54B2" w:rsidP="00FB7C1F">
            <w:pPr>
              <w:jc w:val="left"/>
              <w:rPr>
                <w:sz w:val="16"/>
                <w:szCs w:val="16"/>
              </w:rPr>
            </w:pPr>
            <w:r w:rsidRPr="004C78D8">
              <w:rPr>
                <w:sz w:val="16"/>
                <w:szCs w:val="16"/>
              </w:rPr>
              <w:t>MC int. (lay-led)</w:t>
            </w:r>
          </w:p>
        </w:tc>
        <w:tc>
          <w:tcPr>
            <w:tcW w:w="912" w:type="pct"/>
            <w:tcBorders>
              <w:top w:val="nil"/>
              <w:bottom w:val="nil"/>
            </w:tcBorders>
          </w:tcPr>
          <w:p w14:paraId="634DAA34" w14:textId="77777777" w:rsidR="00CD54B2" w:rsidRPr="004C78D8" w:rsidRDefault="00CD54B2" w:rsidP="00FB7C1F">
            <w:pPr>
              <w:jc w:val="left"/>
              <w:rPr>
                <w:sz w:val="16"/>
                <w:szCs w:val="16"/>
              </w:rPr>
            </w:pPr>
          </w:p>
        </w:tc>
        <w:tc>
          <w:tcPr>
            <w:tcW w:w="746" w:type="pct"/>
            <w:tcBorders>
              <w:top w:val="nil"/>
              <w:bottom w:val="nil"/>
            </w:tcBorders>
          </w:tcPr>
          <w:p w14:paraId="35877112" w14:textId="77777777" w:rsidR="00CD54B2" w:rsidRPr="004C78D8" w:rsidRDefault="00CD54B2" w:rsidP="00FB7C1F">
            <w:pPr>
              <w:jc w:val="left"/>
              <w:rPr>
                <w:sz w:val="16"/>
                <w:szCs w:val="16"/>
              </w:rPr>
            </w:pPr>
            <w:r w:rsidRPr="004C78D8">
              <w:rPr>
                <w:sz w:val="16"/>
                <w:szCs w:val="16"/>
              </w:rPr>
              <w:t>Adherence: 71.4%</w:t>
            </w:r>
          </w:p>
        </w:tc>
        <w:tc>
          <w:tcPr>
            <w:tcW w:w="841" w:type="pct"/>
            <w:tcBorders>
              <w:top w:val="nil"/>
              <w:bottom w:val="nil"/>
            </w:tcBorders>
          </w:tcPr>
          <w:p w14:paraId="280993C3" w14:textId="77777777" w:rsidR="00CD54B2" w:rsidRPr="004C78D8" w:rsidRDefault="00CD54B2" w:rsidP="00FB7C1F">
            <w:pPr>
              <w:jc w:val="left"/>
              <w:rPr>
                <w:sz w:val="16"/>
                <w:szCs w:val="16"/>
              </w:rPr>
            </w:pPr>
            <w:r w:rsidRPr="004C78D8">
              <w:rPr>
                <w:sz w:val="16"/>
                <w:szCs w:val="16"/>
              </w:rPr>
              <w:t>Maint.: 1 year (of 2)</w:t>
            </w:r>
          </w:p>
        </w:tc>
        <w:tc>
          <w:tcPr>
            <w:tcW w:w="598" w:type="pct"/>
            <w:tcBorders>
              <w:top w:val="nil"/>
              <w:bottom w:val="nil"/>
            </w:tcBorders>
          </w:tcPr>
          <w:p w14:paraId="1276599D" w14:textId="77777777" w:rsidR="00CD54B2" w:rsidRPr="004C78D8" w:rsidRDefault="00CD54B2" w:rsidP="00FB7C1F">
            <w:pPr>
              <w:jc w:val="left"/>
              <w:rPr>
                <w:sz w:val="16"/>
                <w:szCs w:val="16"/>
              </w:rPr>
            </w:pPr>
            <w:r w:rsidRPr="004C78D8">
              <w:rPr>
                <w:sz w:val="16"/>
                <w:szCs w:val="16"/>
              </w:rPr>
              <w:t>Assumption</w:t>
            </w:r>
          </w:p>
        </w:tc>
        <w:tc>
          <w:tcPr>
            <w:tcW w:w="682" w:type="pct"/>
            <w:tcBorders>
              <w:top w:val="nil"/>
              <w:bottom w:val="nil"/>
            </w:tcBorders>
          </w:tcPr>
          <w:p w14:paraId="6158913C" w14:textId="77777777" w:rsidR="00CD54B2" w:rsidRPr="004C78D8" w:rsidRDefault="00CD54B2" w:rsidP="00FB7C1F">
            <w:pPr>
              <w:jc w:val="left"/>
              <w:rPr>
                <w:sz w:val="16"/>
                <w:szCs w:val="16"/>
              </w:rPr>
            </w:pPr>
            <w:r w:rsidRPr="004C78D8">
              <w:rPr>
                <w:i/>
                <w:iCs/>
                <w:sz w:val="16"/>
                <w:szCs w:val="16"/>
              </w:rPr>
              <w:t>No analysis</w:t>
            </w:r>
          </w:p>
        </w:tc>
      </w:tr>
      <w:tr w:rsidR="00CD54B2" w:rsidRPr="004C78D8" w14:paraId="7C328E92" w14:textId="77777777" w:rsidTr="002828C1">
        <w:tc>
          <w:tcPr>
            <w:tcW w:w="507" w:type="pct"/>
            <w:vMerge w:val="restart"/>
          </w:tcPr>
          <w:p w14:paraId="30617537" w14:textId="77777777" w:rsidR="00CD54B2" w:rsidRPr="004C78D8" w:rsidRDefault="00CD54B2" w:rsidP="00FB7C1F">
            <w:pPr>
              <w:jc w:val="left"/>
              <w:rPr>
                <w:sz w:val="16"/>
                <w:szCs w:val="16"/>
              </w:rPr>
            </w:pPr>
            <w:r w:rsidRPr="004C78D8">
              <w:rPr>
                <w:sz w:val="16"/>
                <w:szCs w:val="16"/>
              </w:rPr>
              <w:t>Mori (2017)</w:t>
            </w:r>
          </w:p>
        </w:tc>
        <w:tc>
          <w:tcPr>
            <w:tcW w:w="715" w:type="pct"/>
            <w:vMerge w:val="restart"/>
          </w:tcPr>
          <w:p w14:paraId="25DA95D3" w14:textId="77777777" w:rsidR="00CD54B2" w:rsidRPr="004C78D8" w:rsidRDefault="00CD54B2" w:rsidP="00FB7C1F">
            <w:pPr>
              <w:jc w:val="left"/>
              <w:rPr>
                <w:sz w:val="16"/>
                <w:szCs w:val="16"/>
              </w:rPr>
            </w:pPr>
            <w:r w:rsidRPr="004C78D8">
              <w:rPr>
                <w:sz w:val="16"/>
                <w:szCs w:val="16"/>
              </w:rPr>
              <w:t>Home exercise</w:t>
            </w:r>
          </w:p>
        </w:tc>
        <w:tc>
          <w:tcPr>
            <w:tcW w:w="912" w:type="pct"/>
            <w:tcBorders>
              <w:top w:val="nil"/>
              <w:bottom w:val="nil"/>
            </w:tcBorders>
          </w:tcPr>
          <w:p w14:paraId="4DB28722" w14:textId="77777777" w:rsidR="00CD54B2" w:rsidRPr="004C78D8" w:rsidRDefault="00CD54B2" w:rsidP="00FB7C1F">
            <w:pPr>
              <w:jc w:val="left"/>
              <w:rPr>
                <w:sz w:val="16"/>
                <w:szCs w:val="16"/>
              </w:rPr>
            </w:pPr>
            <w:r w:rsidRPr="004C78D8">
              <w:rPr>
                <w:sz w:val="16"/>
                <w:szCs w:val="16"/>
              </w:rPr>
              <w:t>Uptake: 42%</w:t>
            </w:r>
          </w:p>
        </w:tc>
        <w:tc>
          <w:tcPr>
            <w:tcW w:w="746" w:type="pct"/>
            <w:tcBorders>
              <w:top w:val="nil"/>
              <w:bottom w:val="nil"/>
            </w:tcBorders>
          </w:tcPr>
          <w:p w14:paraId="54F70821" w14:textId="77777777" w:rsidR="00CD54B2" w:rsidRPr="004C78D8" w:rsidRDefault="00CD54B2" w:rsidP="00FB7C1F">
            <w:pPr>
              <w:jc w:val="left"/>
              <w:rPr>
                <w:sz w:val="16"/>
                <w:szCs w:val="16"/>
              </w:rPr>
            </w:pPr>
          </w:p>
        </w:tc>
        <w:tc>
          <w:tcPr>
            <w:tcW w:w="841" w:type="pct"/>
            <w:tcBorders>
              <w:top w:val="nil"/>
              <w:bottom w:val="nil"/>
            </w:tcBorders>
          </w:tcPr>
          <w:p w14:paraId="23FFBF98" w14:textId="77777777" w:rsidR="00CD54B2" w:rsidRPr="004C78D8" w:rsidRDefault="00CD54B2" w:rsidP="00FB7C1F">
            <w:pPr>
              <w:jc w:val="left"/>
              <w:rPr>
                <w:sz w:val="16"/>
                <w:szCs w:val="16"/>
              </w:rPr>
            </w:pPr>
          </w:p>
        </w:tc>
        <w:tc>
          <w:tcPr>
            <w:tcW w:w="598" w:type="pct"/>
            <w:tcBorders>
              <w:top w:val="nil"/>
              <w:bottom w:val="nil"/>
            </w:tcBorders>
          </w:tcPr>
          <w:p w14:paraId="2565E963" w14:textId="77777777" w:rsidR="00CD54B2" w:rsidRPr="004C78D8" w:rsidRDefault="00CD54B2" w:rsidP="00FB7C1F">
            <w:pPr>
              <w:jc w:val="left"/>
              <w:rPr>
                <w:sz w:val="16"/>
                <w:szCs w:val="16"/>
              </w:rPr>
            </w:pPr>
            <w:r w:rsidRPr="004C78D8">
              <w:rPr>
                <w:sz w:val="16"/>
                <w:szCs w:val="16"/>
              </w:rPr>
              <w:t>External RCTs</w:t>
            </w:r>
          </w:p>
        </w:tc>
        <w:tc>
          <w:tcPr>
            <w:tcW w:w="682" w:type="pct"/>
            <w:tcBorders>
              <w:top w:val="nil"/>
              <w:bottom w:val="nil"/>
            </w:tcBorders>
          </w:tcPr>
          <w:p w14:paraId="51B73329" w14:textId="77777777" w:rsidR="00CD54B2" w:rsidRPr="004C78D8" w:rsidRDefault="00CD54B2" w:rsidP="00FB7C1F">
            <w:pPr>
              <w:jc w:val="left"/>
              <w:rPr>
                <w:sz w:val="16"/>
                <w:szCs w:val="16"/>
              </w:rPr>
            </w:pPr>
            <w:r w:rsidRPr="004C78D8">
              <w:rPr>
                <w:i/>
                <w:iCs/>
                <w:sz w:val="16"/>
                <w:szCs w:val="16"/>
              </w:rPr>
              <w:t>No analysis</w:t>
            </w:r>
          </w:p>
        </w:tc>
      </w:tr>
      <w:tr w:rsidR="00CD54B2" w:rsidRPr="004C78D8" w14:paraId="3519FA69" w14:textId="77777777" w:rsidTr="002828C1">
        <w:tc>
          <w:tcPr>
            <w:tcW w:w="507" w:type="pct"/>
            <w:vMerge/>
          </w:tcPr>
          <w:p w14:paraId="3A947FB5" w14:textId="77777777" w:rsidR="00CD54B2" w:rsidRPr="004C78D8" w:rsidRDefault="00CD54B2" w:rsidP="00FB7C1F">
            <w:pPr>
              <w:jc w:val="left"/>
              <w:rPr>
                <w:sz w:val="16"/>
                <w:szCs w:val="16"/>
              </w:rPr>
            </w:pPr>
          </w:p>
        </w:tc>
        <w:tc>
          <w:tcPr>
            <w:tcW w:w="715" w:type="pct"/>
            <w:vMerge/>
          </w:tcPr>
          <w:p w14:paraId="6DF42894" w14:textId="77777777" w:rsidR="00CD54B2" w:rsidRPr="004C78D8" w:rsidRDefault="00CD54B2" w:rsidP="00FB7C1F">
            <w:pPr>
              <w:jc w:val="left"/>
              <w:rPr>
                <w:sz w:val="16"/>
                <w:szCs w:val="16"/>
              </w:rPr>
            </w:pPr>
          </w:p>
        </w:tc>
        <w:tc>
          <w:tcPr>
            <w:tcW w:w="912" w:type="pct"/>
            <w:tcBorders>
              <w:top w:val="nil"/>
              <w:bottom w:val="nil"/>
            </w:tcBorders>
          </w:tcPr>
          <w:p w14:paraId="4AC5B033" w14:textId="77777777" w:rsidR="00CD54B2" w:rsidRPr="004C78D8" w:rsidRDefault="00CD54B2" w:rsidP="00FB7C1F">
            <w:pPr>
              <w:jc w:val="left"/>
              <w:rPr>
                <w:sz w:val="16"/>
                <w:szCs w:val="16"/>
              </w:rPr>
            </w:pPr>
          </w:p>
        </w:tc>
        <w:tc>
          <w:tcPr>
            <w:tcW w:w="746" w:type="pct"/>
            <w:tcBorders>
              <w:top w:val="nil"/>
              <w:bottom w:val="nil"/>
            </w:tcBorders>
          </w:tcPr>
          <w:p w14:paraId="1D0566E0" w14:textId="77777777" w:rsidR="00CD54B2" w:rsidRPr="004C78D8" w:rsidRDefault="00CD54B2" w:rsidP="00FB7C1F">
            <w:pPr>
              <w:jc w:val="left"/>
              <w:rPr>
                <w:sz w:val="16"/>
                <w:szCs w:val="16"/>
              </w:rPr>
            </w:pPr>
          </w:p>
        </w:tc>
        <w:tc>
          <w:tcPr>
            <w:tcW w:w="841" w:type="pct"/>
            <w:tcBorders>
              <w:top w:val="nil"/>
              <w:bottom w:val="nil"/>
            </w:tcBorders>
          </w:tcPr>
          <w:p w14:paraId="73486AC0" w14:textId="77777777" w:rsidR="00CD54B2" w:rsidRPr="004C78D8" w:rsidRDefault="00CD54B2" w:rsidP="00FB7C1F">
            <w:pPr>
              <w:jc w:val="left"/>
              <w:rPr>
                <w:sz w:val="16"/>
                <w:szCs w:val="16"/>
              </w:rPr>
            </w:pPr>
            <w:r w:rsidRPr="004C78D8">
              <w:rPr>
                <w:sz w:val="16"/>
                <w:szCs w:val="16"/>
              </w:rPr>
              <w:t>Maint.: 1 year (of lifetime)</w:t>
            </w:r>
          </w:p>
        </w:tc>
        <w:tc>
          <w:tcPr>
            <w:tcW w:w="598" w:type="pct"/>
            <w:tcBorders>
              <w:top w:val="nil"/>
              <w:bottom w:val="nil"/>
            </w:tcBorders>
          </w:tcPr>
          <w:p w14:paraId="3C343D9D" w14:textId="77777777" w:rsidR="00CD54B2" w:rsidRPr="004C78D8" w:rsidRDefault="00CD54B2" w:rsidP="00FB7C1F">
            <w:pPr>
              <w:jc w:val="left"/>
              <w:rPr>
                <w:sz w:val="16"/>
                <w:szCs w:val="16"/>
              </w:rPr>
            </w:pPr>
            <w:r w:rsidRPr="004C78D8">
              <w:rPr>
                <w:sz w:val="16"/>
                <w:szCs w:val="16"/>
              </w:rPr>
              <w:t>Assumption</w:t>
            </w:r>
          </w:p>
        </w:tc>
        <w:tc>
          <w:tcPr>
            <w:tcW w:w="682" w:type="pct"/>
            <w:tcBorders>
              <w:top w:val="nil"/>
              <w:bottom w:val="nil"/>
            </w:tcBorders>
          </w:tcPr>
          <w:p w14:paraId="3B2C7F3C" w14:textId="77777777" w:rsidR="00CD54B2" w:rsidRPr="004C78D8" w:rsidRDefault="00CD54B2" w:rsidP="00FB7C1F">
            <w:pPr>
              <w:jc w:val="left"/>
              <w:rPr>
                <w:sz w:val="16"/>
                <w:szCs w:val="16"/>
              </w:rPr>
            </w:pPr>
            <w:r w:rsidRPr="004C78D8">
              <w:rPr>
                <w:sz w:val="16"/>
                <w:szCs w:val="16"/>
              </w:rPr>
              <w:t>Inc. cost; Inc. QALY; ICER (CUA)</w:t>
            </w:r>
          </w:p>
        </w:tc>
      </w:tr>
      <w:tr w:rsidR="00CD54B2" w:rsidRPr="004C78D8" w14:paraId="5574FB48" w14:textId="77777777" w:rsidTr="002828C1">
        <w:tc>
          <w:tcPr>
            <w:tcW w:w="507" w:type="pct"/>
          </w:tcPr>
          <w:p w14:paraId="40A87146" w14:textId="77777777" w:rsidR="00CD54B2" w:rsidRPr="004C78D8" w:rsidRDefault="00CD54B2" w:rsidP="00FB7C1F">
            <w:pPr>
              <w:jc w:val="left"/>
              <w:rPr>
                <w:sz w:val="16"/>
                <w:szCs w:val="16"/>
              </w:rPr>
            </w:pPr>
            <w:r w:rsidRPr="004C78D8">
              <w:rPr>
                <w:sz w:val="16"/>
                <w:szCs w:val="16"/>
              </w:rPr>
              <w:t>Moriarty (2019)</w:t>
            </w:r>
          </w:p>
        </w:tc>
        <w:tc>
          <w:tcPr>
            <w:tcW w:w="715" w:type="pct"/>
          </w:tcPr>
          <w:p w14:paraId="190E702F" w14:textId="77777777" w:rsidR="00CD54B2" w:rsidRPr="004C78D8" w:rsidRDefault="00CD54B2" w:rsidP="00FB7C1F">
            <w:pPr>
              <w:jc w:val="left"/>
              <w:rPr>
                <w:sz w:val="16"/>
                <w:szCs w:val="16"/>
              </w:rPr>
            </w:pPr>
            <w:r w:rsidRPr="004C78D8">
              <w:rPr>
                <w:sz w:val="16"/>
                <w:szCs w:val="16"/>
              </w:rPr>
              <w:t>Med. modification (Benzodiazepine, PPI)</w:t>
            </w:r>
          </w:p>
        </w:tc>
        <w:tc>
          <w:tcPr>
            <w:tcW w:w="912" w:type="pct"/>
            <w:tcBorders>
              <w:top w:val="nil"/>
              <w:bottom w:val="nil"/>
            </w:tcBorders>
          </w:tcPr>
          <w:p w14:paraId="59F2882D" w14:textId="77777777" w:rsidR="00CD54B2" w:rsidRPr="004C78D8" w:rsidRDefault="00CD54B2" w:rsidP="00FB7C1F">
            <w:pPr>
              <w:jc w:val="left"/>
              <w:rPr>
                <w:sz w:val="16"/>
                <w:szCs w:val="16"/>
              </w:rPr>
            </w:pPr>
          </w:p>
        </w:tc>
        <w:tc>
          <w:tcPr>
            <w:tcW w:w="746" w:type="pct"/>
            <w:tcBorders>
              <w:top w:val="nil"/>
              <w:bottom w:val="nil"/>
            </w:tcBorders>
          </w:tcPr>
          <w:p w14:paraId="485EFCAA" w14:textId="77777777" w:rsidR="00CD54B2" w:rsidRPr="004C78D8" w:rsidRDefault="00CD54B2" w:rsidP="00FB7C1F">
            <w:pPr>
              <w:jc w:val="left"/>
              <w:rPr>
                <w:sz w:val="16"/>
                <w:szCs w:val="16"/>
              </w:rPr>
            </w:pPr>
            <w:r w:rsidRPr="004C78D8">
              <w:rPr>
                <w:sz w:val="16"/>
                <w:szCs w:val="16"/>
              </w:rPr>
              <w:t>Adherence: 100%</w:t>
            </w:r>
          </w:p>
        </w:tc>
        <w:tc>
          <w:tcPr>
            <w:tcW w:w="841" w:type="pct"/>
            <w:tcBorders>
              <w:top w:val="nil"/>
              <w:bottom w:val="nil"/>
            </w:tcBorders>
          </w:tcPr>
          <w:p w14:paraId="7F0FE92F" w14:textId="77777777" w:rsidR="00CD54B2" w:rsidRPr="004C78D8" w:rsidRDefault="00CD54B2" w:rsidP="00FB7C1F">
            <w:pPr>
              <w:jc w:val="left"/>
              <w:rPr>
                <w:sz w:val="16"/>
                <w:szCs w:val="16"/>
              </w:rPr>
            </w:pPr>
          </w:p>
        </w:tc>
        <w:tc>
          <w:tcPr>
            <w:tcW w:w="598" w:type="pct"/>
            <w:tcBorders>
              <w:top w:val="nil"/>
              <w:bottom w:val="nil"/>
            </w:tcBorders>
          </w:tcPr>
          <w:p w14:paraId="2071B1B4" w14:textId="77777777" w:rsidR="00CD54B2" w:rsidRPr="004C78D8" w:rsidRDefault="00CD54B2" w:rsidP="00FB7C1F">
            <w:pPr>
              <w:jc w:val="left"/>
              <w:rPr>
                <w:sz w:val="16"/>
                <w:szCs w:val="16"/>
              </w:rPr>
            </w:pPr>
            <w:r w:rsidRPr="004C78D8">
              <w:rPr>
                <w:sz w:val="16"/>
                <w:szCs w:val="16"/>
              </w:rPr>
              <w:t>Assumption</w:t>
            </w:r>
          </w:p>
        </w:tc>
        <w:tc>
          <w:tcPr>
            <w:tcW w:w="682" w:type="pct"/>
            <w:tcBorders>
              <w:top w:val="nil"/>
              <w:bottom w:val="nil"/>
            </w:tcBorders>
          </w:tcPr>
          <w:p w14:paraId="44BB0328" w14:textId="77777777" w:rsidR="00CD54B2" w:rsidRPr="004C78D8" w:rsidRDefault="00CD54B2" w:rsidP="00FB7C1F">
            <w:pPr>
              <w:jc w:val="left"/>
              <w:rPr>
                <w:sz w:val="16"/>
                <w:szCs w:val="16"/>
              </w:rPr>
            </w:pPr>
            <w:r w:rsidRPr="004C78D8">
              <w:rPr>
                <w:sz w:val="16"/>
                <w:szCs w:val="16"/>
              </w:rPr>
              <w:t>Inc. cost; Inc. QALY</w:t>
            </w:r>
          </w:p>
        </w:tc>
      </w:tr>
      <w:tr w:rsidR="00CD54B2" w:rsidRPr="004C78D8" w14:paraId="31473107" w14:textId="77777777" w:rsidTr="002828C1">
        <w:tc>
          <w:tcPr>
            <w:tcW w:w="507" w:type="pct"/>
            <w:vMerge w:val="restart"/>
          </w:tcPr>
          <w:p w14:paraId="03D8ECA0" w14:textId="77777777" w:rsidR="00CD54B2" w:rsidRPr="004C78D8" w:rsidRDefault="00CD54B2" w:rsidP="00FB7C1F">
            <w:pPr>
              <w:jc w:val="left"/>
              <w:rPr>
                <w:sz w:val="16"/>
                <w:szCs w:val="16"/>
              </w:rPr>
            </w:pPr>
            <w:r w:rsidRPr="004C78D8">
              <w:rPr>
                <w:sz w:val="16"/>
                <w:szCs w:val="16"/>
              </w:rPr>
              <w:t>Nshimyumukiza (2013)</w:t>
            </w:r>
          </w:p>
        </w:tc>
        <w:tc>
          <w:tcPr>
            <w:tcW w:w="715" w:type="pct"/>
            <w:vMerge w:val="restart"/>
          </w:tcPr>
          <w:p w14:paraId="33FA6615" w14:textId="77777777" w:rsidR="00CD54B2" w:rsidRPr="004C78D8" w:rsidRDefault="00CD54B2" w:rsidP="00FB7C1F">
            <w:pPr>
              <w:jc w:val="left"/>
              <w:rPr>
                <w:sz w:val="16"/>
                <w:szCs w:val="16"/>
              </w:rPr>
            </w:pPr>
            <w:r w:rsidRPr="004C78D8">
              <w:rPr>
                <w:sz w:val="16"/>
                <w:szCs w:val="16"/>
              </w:rPr>
              <w:t>Fracture risk screening + Physical activity, Vit D &amp; calcium, and/or Osteoporosis screen &amp; treatment</w:t>
            </w:r>
          </w:p>
        </w:tc>
        <w:tc>
          <w:tcPr>
            <w:tcW w:w="912" w:type="pct"/>
            <w:tcBorders>
              <w:top w:val="nil"/>
              <w:bottom w:val="nil"/>
            </w:tcBorders>
          </w:tcPr>
          <w:p w14:paraId="282AF0B2" w14:textId="77777777" w:rsidR="00CD54B2" w:rsidRPr="004C78D8" w:rsidRDefault="00CD54B2" w:rsidP="00FB7C1F">
            <w:pPr>
              <w:jc w:val="left"/>
              <w:rPr>
                <w:sz w:val="16"/>
                <w:szCs w:val="16"/>
              </w:rPr>
            </w:pPr>
            <w:r w:rsidRPr="004C78D8">
              <w:rPr>
                <w:sz w:val="16"/>
                <w:szCs w:val="16"/>
              </w:rPr>
              <w:t>Uptake: 53%</w:t>
            </w:r>
          </w:p>
        </w:tc>
        <w:tc>
          <w:tcPr>
            <w:tcW w:w="746" w:type="pct"/>
            <w:tcBorders>
              <w:top w:val="nil"/>
              <w:bottom w:val="nil"/>
            </w:tcBorders>
          </w:tcPr>
          <w:p w14:paraId="1260B7EE" w14:textId="77777777" w:rsidR="00CD54B2" w:rsidRPr="004C78D8" w:rsidRDefault="00CD54B2" w:rsidP="00FB7C1F">
            <w:pPr>
              <w:jc w:val="left"/>
              <w:rPr>
                <w:sz w:val="16"/>
                <w:szCs w:val="16"/>
              </w:rPr>
            </w:pPr>
          </w:p>
        </w:tc>
        <w:tc>
          <w:tcPr>
            <w:tcW w:w="841" w:type="pct"/>
            <w:tcBorders>
              <w:top w:val="nil"/>
              <w:bottom w:val="nil"/>
            </w:tcBorders>
          </w:tcPr>
          <w:p w14:paraId="237CE214" w14:textId="77777777" w:rsidR="00CD54B2" w:rsidRPr="004C78D8" w:rsidRDefault="00CD54B2" w:rsidP="00FB7C1F">
            <w:pPr>
              <w:jc w:val="left"/>
              <w:rPr>
                <w:sz w:val="16"/>
                <w:szCs w:val="16"/>
              </w:rPr>
            </w:pPr>
          </w:p>
        </w:tc>
        <w:tc>
          <w:tcPr>
            <w:tcW w:w="598" w:type="pct"/>
            <w:tcBorders>
              <w:top w:val="nil"/>
              <w:bottom w:val="nil"/>
            </w:tcBorders>
          </w:tcPr>
          <w:p w14:paraId="08F9F116" w14:textId="77777777" w:rsidR="00CD54B2" w:rsidRPr="004C78D8" w:rsidRDefault="00CD54B2" w:rsidP="00FB7C1F">
            <w:pPr>
              <w:jc w:val="left"/>
              <w:rPr>
                <w:sz w:val="16"/>
                <w:szCs w:val="16"/>
              </w:rPr>
            </w:pPr>
            <w:r w:rsidRPr="004C78D8">
              <w:rPr>
                <w:sz w:val="16"/>
                <w:szCs w:val="16"/>
              </w:rPr>
              <w:t>External survey</w:t>
            </w:r>
          </w:p>
        </w:tc>
        <w:tc>
          <w:tcPr>
            <w:tcW w:w="682" w:type="pct"/>
            <w:tcBorders>
              <w:top w:val="nil"/>
              <w:bottom w:val="nil"/>
            </w:tcBorders>
          </w:tcPr>
          <w:p w14:paraId="77A287F8" w14:textId="77777777" w:rsidR="00CD54B2" w:rsidRPr="004C78D8" w:rsidRDefault="00CD54B2" w:rsidP="00FB7C1F">
            <w:pPr>
              <w:jc w:val="left"/>
              <w:rPr>
                <w:sz w:val="16"/>
                <w:szCs w:val="16"/>
              </w:rPr>
            </w:pPr>
            <w:r w:rsidRPr="004C78D8">
              <w:rPr>
                <w:sz w:val="16"/>
                <w:szCs w:val="16"/>
              </w:rPr>
              <w:t>ICER (CEA, CUA)</w:t>
            </w:r>
          </w:p>
        </w:tc>
      </w:tr>
      <w:tr w:rsidR="00CD54B2" w:rsidRPr="004C78D8" w14:paraId="53EE027B" w14:textId="77777777" w:rsidTr="002828C1">
        <w:tc>
          <w:tcPr>
            <w:tcW w:w="507" w:type="pct"/>
            <w:vMerge/>
          </w:tcPr>
          <w:p w14:paraId="13309DCE" w14:textId="77777777" w:rsidR="00CD54B2" w:rsidRPr="004C78D8" w:rsidRDefault="00CD54B2" w:rsidP="00FB7C1F">
            <w:pPr>
              <w:jc w:val="left"/>
              <w:rPr>
                <w:sz w:val="16"/>
                <w:szCs w:val="16"/>
              </w:rPr>
            </w:pPr>
          </w:p>
        </w:tc>
        <w:tc>
          <w:tcPr>
            <w:tcW w:w="715" w:type="pct"/>
            <w:vMerge/>
          </w:tcPr>
          <w:p w14:paraId="4B22AD85" w14:textId="77777777" w:rsidR="00CD54B2" w:rsidRPr="004C78D8" w:rsidRDefault="00CD54B2" w:rsidP="00FB7C1F">
            <w:pPr>
              <w:jc w:val="left"/>
              <w:rPr>
                <w:sz w:val="16"/>
                <w:szCs w:val="16"/>
              </w:rPr>
            </w:pPr>
          </w:p>
        </w:tc>
        <w:tc>
          <w:tcPr>
            <w:tcW w:w="912" w:type="pct"/>
            <w:tcBorders>
              <w:top w:val="nil"/>
              <w:bottom w:val="nil"/>
            </w:tcBorders>
          </w:tcPr>
          <w:p w14:paraId="0C679E50" w14:textId="77777777" w:rsidR="00CD54B2" w:rsidRPr="004C78D8" w:rsidRDefault="00CD54B2" w:rsidP="00FB7C1F">
            <w:pPr>
              <w:jc w:val="left"/>
              <w:rPr>
                <w:sz w:val="16"/>
                <w:szCs w:val="16"/>
              </w:rPr>
            </w:pPr>
          </w:p>
        </w:tc>
        <w:tc>
          <w:tcPr>
            <w:tcW w:w="746" w:type="pct"/>
            <w:tcBorders>
              <w:top w:val="nil"/>
              <w:bottom w:val="nil"/>
            </w:tcBorders>
          </w:tcPr>
          <w:p w14:paraId="7E31121D" w14:textId="77777777" w:rsidR="00CD54B2" w:rsidRPr="004C78D8" w:rsidRDefault="00CD54B2" w:rsidP="00FB7C1F">
            <w:pPr>
              <w:jc w:val="left"/>
              <w:rPr>
                <w:sz w:val="16"/>
                <w:szCs w:val="16"/>
              </w:rPr>
            </w:pPr>
          </w:p>
        </w:tc>
        <w:tc>
          <w:tcPr>
            <w:tcW w:w="841" w:type="pct"/>
            <w:tcBorders>
              <w:top w:val="nil"/>
              <w:bottom w:val="nil"/>
            </w:tcBorders>
          </w:tcPr>
          <w:p w14:paraId="3B90E56F" w14:textId="77777777" w:rsidR="00CD54B2" w:rsidRPr="004C78D8" w:rsidRDefault="00CD54B2" w:rsidP="00FB7C1F">
            <w:pPr>
              <w:jc w:val="left"/>
              <w:rPr>
                <w:sz w:val="16"/>
                <w:szCs w:val="16"/>
              </w:rPr>
            </w:pPr>
            <w:r w:rsidRPr="004C78D8">
              <w:rPr>
                <w:sz w:val="16"/>
                <w:szCs w:val="16"/>
              </w:rPr>
              <w:t>Maint.: permanent</w:t>
            </w:r>
          </w:p>
        </w:tc>
        <w:tc>
          <w:tcPr>
            <w:tcW w:w="598" w:type="pct"/>
            <w:tcBorders>
              <w:top w:val="nil"/>
              <w:bottom w:val="nil"/>
            </w:tcBorders>
          </w:tcPr>
          <w:p w14:paraId="40BEB9C0" w14:textId="77777777" w:rsidR="00CD54B2" w:rsidRPr="004C78D8" w:rsidRDefault="00CD54B2" w:rsidP="00FB7C1F">
            <w:pPr>
              <w:jc w:val="left"/>
              <w:rPr>
                <w:sz w:val="16"/>
                <w:szCs w:val="16"/>
              </w:rPr>
            </w:pPr>
            <w:r w:rsidRPr="004C78D8">
              <w:rPr>
                <w:sz w:val="16"/>
                <w:szCs w:val="16"/>
              </w:rPr>
              <w:t>Assumption</w:t>
            </w:r>
          </w:p>
        </w:tc>
        <w:tc>
          <w:tcPr>
            <w:tcW w:w="682" w:type="pct"/>
            <w:tcBorders>
              <w:top w:val="nil"/>
              <w:bottom w:val="nil"/>
            </w:tcBorders>
          </w:tcPr>
          <w:p w14:paraId="6FE8E033" w14:textId="77777777" w:rsidR="00CD54B2" w:rsidRPr="004C78D8" w:rsidRDefault="00CD54B2" w:rsidP="00FB7C1F">
            <w:pPr>
              <w:jc w:val="left"/>
              <w:rPr>
                <w:sz w:val="16"/>
                <w:szCs w:val="16"/>
              </w:rPr>
            </w:pPr>
            <w:r w:rsidRPr="004C78D8">
              <w:rPr>
                <w:i/>
                <w:iCs/>
                <w:sz w:val="16"/>
                <w:szCs w:val="16"/>
              </w:rPr>
              <w:t>No analysis</w:t>
            </w:r>
          </w:p>
        </w:tc>
      </w:tr>
      <w:tr w:rsidR="00CD54B2" w:rsidRPr="004C78D8" w14:paraId="44E94505" w14:textId="77777777" w:rsidTr="002828C1">
        <w:tc>
          <w:tcPr>
            <w:tcW w:w="507" w:type="pct"/>
            <w:vMerge w:val="restart"/>
          </w:tcPr>
          <w:p w14:paraId="6CE20F8F" w14:textId="77777777" w:rsidR="00CD54B2" w:rsidRPr="004C78D8" w:rsidRDefault="00CD54B2" w:rsidP="00FB7C1F">
            <w:pPr>
              <w:jc w:val="left"/>
              <w:rPr>
                <w:sz w:val="16"/>
                <w:szCs w:val="16"/>
              </w:rPr>
            </w:pPr>
            <w:r w:rsidRPr="004C78D8">
              <w:rPr>
                <w:sz w:val="16"/>
                <w:szCs w:val="16"/>
              </w:rPr>
              <w:t>OMAS (2008)</w:t>
            </w:r>
          </w:p>
        </w:tc>
        <w:tc>
          <w:tcPr>
            <w:tcW w:w="715" w:type="pct"/>
            <w:vMerge w:val="restart"/>
          </w:tcPr>
          <w:p w14:paraId="377BC9DA" w14:textId="77777777" w:rsidR="00CD54B2" w:rsidRPr="004C78D8" w:rsidRDefault="00CD54B2" w:rsidP="00FB7C1F">
            <w:pPr>
              <w:jc w:val="left"/>
              <w:rPr>
                <w:sz w:val="16"/>
                <w:szCs w:val="16"/>
              </w:rPr>
            </w:pPr>
            <w:r w:rsidRPr="004C78D8">
              <w:rPr>
                <w:sz w:val="16"/>
                <w:szCs w:val="16"/>
              </w:rPr>
              <w:t>Multiple types</w:t>
            </w:r>
          </w:p>
        </w:tc>
        <w:tc>
          <w:tcPr>
            <w:tcW w:w="912" w:type="pct"/>
            <w:tcBorders>
              <w:top w:val="nil"/>
              <w:bottom w:val="nil"/>
            </w:tcBorders>
          </w:tcPr>
          <w:p w14:paraId="22FB6F10" w14:textId="77777777" w:rsidR="00CD54B2" w:rsidRPr="004C78D8" w:rsidRDefault="00CD54B2" w:rsidP="00FB7C1F">
            <w:pPr>
              <w:jc w:val="left"/>
              <w:rPr>
                <w:sz w:val="16"/>
                <w:szCs w:val="16"/>
              </w:rPr>
            </w:pPr>
            <w:r w:rsidRPr="004C78D8">
              <w:rPr>
                <w:sz w:val="16"/>
                <w:szCs w:val="16"/>
              </w:rPr>
              <w:t>Uptake: 57.0% Exercise; 27.0% Psychotropic med.; Not specified for HAM, Vit D, Gait stabiliser</w:t>
            </w:r>
          </w:p>
        </w:tc>
        <w:tc>
          <w:tcPr>
            <w:tcW w:w="746" w:type="pct"/>
            <w:tcBorders>
              <w:top w:val="nil"/>
              <w:bottom w:val="nil"/>
            </w:tcBorders>
          </w:tcPr>
          <w:p w14:paraId="22E07B80" w14:textId="77777777" w:rsidR="00CD54B2" w:rsidRPr="004C78D8" w:rsidRDefault="00CD54B2" w:rsidP="00FB7C1F">
            <w:pPr>
              <w:jc w:val="left"/>
              <w:rPr>
                <w:sz w:val="16"/>
                <w:szCs w:val="16"/>
              </w:rPr>
            </w:pPr>
            <w:r w:rsidRPr="004C78D8">
              <w:rPr>
                <w:sz w:val="16"/>
                <w:szCs w:val="16"/>
              </w:rPr>
              <w:t>Adherence: 79.0% Exercise; 75.7% HAM; 81.8% Vit D; 53.0% Psychotropic med.; 80.0% Gait stabiliser</w:t>
            </w:r>
          </w:p>
        </w:tc>
        <w:tc>
          <w:tcPr>
            <w:tcW w:w="841" w:type="pct"/>
            <w:tcBorders>
              <w:top w:val="nil"/>
              <w:bottom w:val="nil"/>
            </w:tcBorders>
          </w:tcPr>
          <w:p w14:paraId="18EEAA4E" w14:textId="77777777" w:rsidR="00CD54B2" w:rsidRPr="004C78D8" w:rsidRDefault="00CD54B2" w:rsidP="00FB7C1F">
            <w:pPr>
              <w:jc w:val="left"/>
              <w:rPr>
                <w:sz w:val="16"/>
                <w:szCs w:val="16"/>
              </w:rPr>
            </w:pPr>
          </w:p>
        </w:tc>
        <w:tc>
          <w:tcPr>
            <w:tcW w:w="598" w:type="pct"/>
            <w:tcBorders>
              <w:top w:val="nil"/>
              <w:bottom w:val="nil"/>
            </w:tcBorders>
          </w:tcPr>
          <w:p w14:paraId="17082CC8" w14:textId="77777777" w:rsidR="00CD54B2" w:rsidRPr="004C78D8" w:rsidRDefault="00CD54B2" w:rsidP="00FB7C1F">
            <w:pPr>
              <w:jc w:val="left"/>
              <w:rPr>
                <w:sz w:val="16"/>
                <w:szCs w:val="16"/>
              </w:rPr>
            </w:pPr>
            <w:r w:rsidRPr="004C78D8">
              <w:rPr>
                <w:sz w:val="16"/>
                <w:szCs w:val="16"/>
              </w:rPr>
              <w:t>External RCTs and survey</w:t>
            </w:r>
          </w:p>
        </w:tc>
        <w:tc>
          <w:tcPr>
            <w:tcW w:w="682" w:type="pct"/>
            <w:tcBorders>
              <w:top w:val="nil"/>
              <w:bottom w:val="nil"/>
            </w:tcBorders>
          </w:tcPr>
          <w:p w14:paraId="2FAAC235" w14:textId="77777777" w:rsidR="00CD54B2" w:rsidRPr="004C78D8" w:rsidRDefault="00CD54B2" w:rsidP="00FB7C1F">
            <w:pPr>
              <w:jc w:val="left"/>
              <w:rPr>
                <w:sz w:val="16"/>
                <w:szCs w:val="16"/>
              </w:rPr>
            </w:pPr>
            <w:r w:rsidRPr="004C78D8">
              <w:rPr>
                <w:i/>
                <w:iCs/>
                <w:sz w:val="16"/>
                <w:szCs w:val="16"/>
              </w:rPr>
              <w:t>No analysis</w:t>
            </w:r>
          </w:p>
        </w:tc>
      </w:tr>
      <w:tr w:rsidR="00CD54B2" w:rsidRPr="004C78D8" w14:paraId="729F3333" w14:textId="77777777" w:rsidTr="002828C1">
        <w:tc>
          <w:tcPr>
            <w:tcW w:w="507" w:type="pct"/>
            <w:vMerge/>
          </w:tcPr>
          <w:p w14:paraId="44099B85" w14:textId="77777777" w:rsidR="00CD54B2" w:rsidRPr="004C78D8" w:rsidRDefault="00CD54B2" w:rsidP="00FB7C1F">
            <w:pPr>
              <w:jc w:val="left"/>
              <w:rPr>
                <w:sz w:val="16"/>
                <w:szCs w:val="16"/>
              </w:rPr>
            </w:pPr>
          </w:p>
        </w:tc>
        <w:tc>
          <w:tcPr>
            <w:tcW w:w="715" w:type="pct"/>
            <w:vMerge/>
          </w:tcPr>
          <w:p w14:paraId="3FA01AD4" w14:textId="77777777" w:rsidR="00CD54B2" w:rsidRPr="004C78D8" w:rsidRDefault="00CD54B2" w:rsidP="00FB7C1F">
            <w:pPr>
              <w:jc w:val="left"/>
              <w:rPr>
                <w:sz w:val="16"/>
                <w:szCs w:val="16"/>
              </w:rPr>
            </w:pPr>
          </w:p>
        </w:tc>
        <w:tc>
          <w:tcPr>
            <w:tcW w:w="912" w:type="pct"/>
            <w:tcBorders>
              <w:top w:val="nil"/>
              <w:bottom w:val="nil"/>
            </w:tcBorders>
          </w:tcPr>
          <w:p w14:paraId="7C3204DD" w14:textId="77777777" w:rsidR="00CD54B2" w:rsidRPr="004C78D8" w:rsidRDefault="00CD54B2" w:rsidP="00FB7C1F">
            <w:pPr>
              <w:jc w:val="left"/>
              <w:rPr>
                <w:sz w:val="16"/>
                <w:szCs w:val="16"/>
              </w:rPr>
            </w:pPr>
          </w:p>
        </w:tc>
        <w:tc>
          <w:tcPr>
            <w:tcW w:w="746" w:type="pct"/>
            <w:tcBorders>
              <w:top w:val="nil"/>
              <w:bottom w:val="nil"/>
            </w:tcBorders>
          </w:tcPr>
          <w:p w14:paraId="25F187ED" w14:textId="77777777" w:rsidR="00CD54B2" w:rsidRPr="004C78D8" w:rsidRDefault="00CD54B2" w:rsidP="00FB7C1F">
            <w:pPr>
              <w:jc w:val="left"/>
              <w:rPr>
                <w:sz w:val="16"/>
                <w:szCs w:val="16"/>
              </w:rPr>
            </w:pPr>
          </w:p>
        </w:tc>
        <w:tc>
          <w:tcPr>
            <w:tcW w:w="841" w:type="pct"/>
            <w:tcBorders>
              <w:top w:val="nil"/>
              <w:bottom w:val="nil"/>
            </w:tcBorders>
          </w:tcPr>
          <w:p w14:paraId="3DF84978" w14:textId="77777777" w:rsidR="00CD54B2" w:rsidRPr="004C78D8" w:rsidRDefault="00CD54B2" w:rsidP="00FB7C1F">
            <w:pPr>
              <w:jc w:val="left"/>
              <w:rPr>
                <w:sz w:val="16"/>
                <w:szCs w:val="16"/>
              </w:rPr>
            </w:pPr>
            <w:r w:rsidRPr="004C78D8">
              <w:rPr>
                <w:sz w:val="16"/>
                <w:szCs w:val="16"/>
              </w:rPr>
              <w:t>Persistence: same as adherence</w:t>
            </w:r>
          </w:p>
        </w:tc>
        <w:tc>
          <w:tcPr>
            <w:tcW w:w="598" w:type="pct"/>
            <w:tcBorders>
              <w:top w:val="nil"/>
              <w:bottom w:val="nil"/>
            </w:tcBorders>
          </w:tcPr>
          <w:p w14:paraId="7927472C" w14:textId="77777777" w:rsidR="00CD54B2" w:rsidRPr="004C78D8" w:rsidRDefault="00CD54B2" w:rsidP="00FB7C1F">
            <w:pPr>
              <w:jc w:val="left"/>
              <w:rPr>
                <w:sz w:val="16"/>
                <w:szCs w:val="16"/>
              </w:rPr>
            </w:pPr>
            <w:r w:rsidRPr="004C78D8">
              <w:rPr>
                <w:sz w:val="16"/>
                <w:szCs w:val="16"/>
              </w:rPr>
              <w:t>Assumption</w:t>
            </w:r>
          </w:p>
        </w:tc>
        <w:tc>
          <w:tcPr>
            <w:tcW w:w="682" w:type="pct"/>
            <w:tcBorders>
              <w:top w:val="nil"/>
              <w:bottom w:val="nil"/>
            </w:tcBorders>
          </w:tcPr>
          <w:p w14:paraId="72E2673B" w14:textId="77777777" w:rsidR="00CD54B2" w:rsidRPr="004C78D8" w:rsidRDefault="00CD54B2" w:rsidP="00FB7C1F">
            <w:pPr>
              <w:jc w:val="left"/>
              <w:rPr>
                <w:i/>
                <w:iCs/>
                <w:sz w:val="16"/>
                <w:szCs w:val="16"/>
              </w:rPr>
            </w:pPr>
            <w:r w:rsidRPr="004C78D8">
              <w:rPr>
                <w:i/>
                <w:iCs/>
                <w:sz w:val="16"/>
                <w:szCs w:val="16"/>
              </w:rPr>
              <w:t>No analysis</w:t>
            </w:r>
          </w:p>
        </w:tc>
      </w:tr>
      <w:tr w:rsidR="00CD54B2" w:rsidRPr="004C78D8" w14:paraId="777BB7A8" w14:textId="77777777" w:rsidTr="002828C1">
        <w:tc>
          <w:tcPr>
            <w:tcW w:w="507" w:type="pct"/>
            <w:vMerge w:val="restart"/>
          </w:tcPr>
          <w:p w14:paraId="607C139A" w14:textId="77777777" w:rsidR="00CD54B2" w:rsidRPr="004C78D8" w:rsidRDefault="00CD54B2" w:rsidP="00FB7C1F">
            <w:pPr>
              <w:jc w:val="left"/>
              <w:rPr>
                <w:sz w:val="16"/>
                <w:szCs w:val="16"/>
              </w:rPr>
            </w:pPr>
            <w:r w:rsidRPr="004C78D8">
              <w:rPr>
                <w:sz w:val="16"/>
                <w:szCs w:val="16"/>
              </w:rPr>
              <w:t>Pega (2016); Wilson (2017)</w:t>
            </w:r>
          </w:p>
        </w:tc>
        <w:tc>
          <w:tcPr>
            <w:tcW w:w="715" w:type="pct"/>
            <w:vMerge w:val="restart"/>
          </w:tcPr>
          <w:p w14:paraId="1308E054" w14:textId="77777777" w:rsidR="00CD54B2" w:rsidRPr="004C78D8" w:rsidRDefault="00CD54B2" w:rsidP="00FB7C1F">
            <w:pPr>
              <w:jc w:val="left"/>
              <w:rPr>
                <w:sz w:val="16"/>
                <w:szCs w:val="16"/>
              </w:rPr>
            </w:pPr>
            <w:r w:rsidRPr="004C78D8">
              <w:rPr>
                <w:sz w:val="16"/>
                <w:szCs w:val="16"/>
              </w:rPr>
              <w:t>HAM</w:t>
            </w:r>
          </w:p>
        </w:tc>
        <w:tc>
          <w:tcPr>
            <w:tcW w:w="912" w:type="pct"/>
            <w:tcBorders>
              <w:top w:val="nil"/>
              <w:bottom w:val="nil"/>
            </w:tcBorders>
          </w:tcPr>
          <w:p w14:paraId="5692A0C6" w14:textId="77777777" w:rsidR="00CD54B2" w:rsidRPr="004C78D8" w:rsidRDefault="00CD54B2" w:rsidP="00FB7C1F">
            <w:pPr>
              <w:jc w:val="left"/>
              <w:rPr>
                <w:sz w:val="16"/>
                <w:szCs w:val="16"/>
              </w:rPr>
            </w:pPr>
            <w:r w:rsidRPr="004C78D8">
              <w:rPr>
                <w:sz w:val="16"/>
                <w:szCs w:val="16"/>
              </w:rPr>
              <w:t>Uptake: 89.0%</w:t>
            </w:r>
          </w:p>
        </w:tc>
        <w:tc>
          <w:tcPr>
            <w:tcW w:w="746" w:type="pct"/>
            <w:tcBorders>
              <w:top w:val="nil"/>
              <w:bottom w:val="nil"/>
            </w:tcBorders>
          </w:tcPr>
          <w:p w14:paraId="522EB6DA" w14:textId="77777777" w:rsidR="00CD54B2" w:rsidRPr="004C78D8" w:rsidRDefault="00CD54B2" w:rsidP="00FB7C1F">
            <w:pPr>
              <w:jc w:val="left"/>
              <w:rPr>
                <w:sz w:val="16"/>
                <w:szCs w:val="16"/>
              </w:rPr>
            </w:pPr>
          </w:p>
        </w:tc>
        <w:tc>
          <w:tcPr>
            <w:tcW w:w="841" w:type="pct"/>
            <w:tcBorders>
              <w:top w:val="nil"/>
              <w:bottom w:val="nil"/>
            </w:tcBorders>
          </w:tcPr>
          <w:p w14:paraId="6529AAC0" w14:textId="77777777" w:rsidR="00CD54B2" w:rsidRPr="004C78D8" w:rsidRDefault="00CD54B2" w:rsidP="00FB7C1F">
            <w:pPr>
              <w:jc w:val="left"/>
              <w:rPr>
                <w:sz w:val="16"/>
                <w:szCs w:val="16"/>
              </w:rPr>
            </w:pPr>
          </w:p>
        </w:tc>
        <w:tc>
          <w:tcPr>
            <w:tcW w:w="598" w:type="pct"/>
            <w:tcBorders>
              <w:top w:val="nil"/>
              <w:bottom w:val="nil"/>
            </w:tcBorders>
          </w:tcPr>
          <w:p w14:paraId="0A8874A0" w14:textId="77777777" w:rsidR="00CD54B2" w:rsidRPr="004C78D8" w:rsidRDefault="00CD54B2" w:rsidP="00FB7C1F">
            <w:pPr>
              <w:jc w:val="left"/>
              <w:rPr>
                <w:sz w:val="16"/>
                <w:szCs w:val="16"/>
              </w:rPr>
            </w:pPr>
            <w:r w:rsidRPr="004C78D8">
              <w:rPr>
                <w:sz w:val="16"/>
                <w:szCs w:val="16"/>
              </w:rPr>
              <w:t>External RCT</w:t>
            </w:r>
          </w:p>
        </w:tc>
        <w:tc>
          <w:tcPr>
            <w:tcW w:w="682" w:type="pct"/>
            <w:tcBorders>
              <w:top w:val="nil"/>
              <w:bottom w:val="nil"/>
            </w:tcBorders>
          </w:tcPr>
          <w:p w14:paraId="2FEECEAE" w14:textId="77777777" w:rsidR="00CD54B2" w:rsidRPr="004C78D8" w:rsidRDefault="00CD54B2" w:rsidP="00FB7C1F">
            <w:pPr>
              <w:jc w:val="left"/>
              <w:rPr>
                <w:sz w:val="16"/>
                <w:szCs w:val="16"/>
              </w:rPr>
            </w:pPr>
            <w:r w:rsidRPr="004C78D8">
              <w:rPr>
                <w:sz w:val="16"/>
                <w:szCs w:val="16"/>
              </w:rPr>
              <w:t>Inc. cost; Inc. QALY; ICER (CUA)</w:t>
            </w:r>
          </w:p>
        </w:tc>
      </w:tr>
      <w:tr w:rsidR="00CD54B2" w:rsidRPr="004C78D8" w14:paraId="60F976A3" w14:textId="77777777" w:rsidTr="002828C1">
        <w:tc>
          <w:tcPr>
            <w:tcW w:w="507" w:type="pct"/>
            <w:vMerge/>
          </w:tcPr>
          <w:p w14:paraId="6041AF0D" w14:textId="77777777" w:rsidR="00CD54B2" w:rsidRPr="004C78D8" w:rsidRDefault="00CD54B2" w:rsidP="00FB7C1F">
            <w:pPr>
              <w:jc w:val="left"/>
              <w:rPr>
                <w:sz w:val="16"/>
                <w:szCs w:val="16"/>
              </w:rPr>
            </w:pPr>
          </w:p>
        </w:tc>
        <w:tc>
          <w:tcPr>
            <w:tcW w:w="715" w:type="pct"/>
            <w:vMerge/>
          </w:tcPr>
          <w:p w14:paraId="52E56BD9" w14:textId="77777777" w:rsidR="00CD54B2" w:rsidRPr="004C78D8" w:rsidRDefault="00CD54B2" w:rsidP="00FB7C1F">
            <w:pPr>
              <w:jc w:val="left"/>
              <w:rPr>
                <w:sz w:val="16"/>
                <w:szCs w:val="16"/>
              </w:rPr>
            </w:pPr>
          </w:p>
        </w:tc>
        <w:tc>
          <w:tcPr>
            <w:tcW w:w="912" w:type="pct"/>
            <w:tcBorders>
              <w:top w:val="nil"/>
              <w:bottom w:val="nil"/>
            </w:tcBorders>
          </w:tcPr>
          <w:p w14:paraId="466753C6" w14:textId="77777777" w:rsidR="00CD54B2" w:rsidRPr="004C78D8" w:rsidRDefault="00CD54B2" w:rsidP="00FB7C1F">
            <w:pPr>
              <w:jc w:val="left"/>
              <w:rPr>
                <w:sz w:val="16"/>
                <w:szCs w:val="16"/>
              </w:rPr>
            </w:pPr>
          </w:p>
        </w:tc>
        <w:tc>
          <w:tcPr>
            <w:tcW w:w="746" w:type="pct"/>
            <w:tcBorders>
              <w:top w:val="nil"/>
              <w:bottom w:val="nil"/>
            </w:tcBorders>
          </w:tcPr>
          <w:p w14:paraId="0505BB02" w14:textId="77777777" w:rsidR="00CD54B2" w:rsidRPr="004C78D8" w:rsidRDefault="00CD54B2" w:rsidP="00FB7C1F">
            <w:pPr>
              <w:jc w:val="left"/>
              <w:rPr>
                <w:sz w:val="16"/>
                <w:szCs w:val="16"/>
              </w:rPr>
            </w:pPr>
          </w:p>
        </w:tc>
        <w:tc>
          <w:tcPr>
            <w:tcW w:w="841" w:type="pct"/>
            <w:tcBorders>
              <w:top w:val="nil"/>
              <w:bottom w:val="nil"/>
            </w:tcBorders>
          </w:tcPr>
          <w:p w14:paraId="47E3FAAB" w14:textId="77777777" w:rsidR="00CD54B2" w:rsidRPr="004C78D8" w:rsidRDefault="00CD54B2" w:rsidP="00FB7C1F">
            <w:pPr>
              <w:jc w:val="left"/>
              <w:rPr>
                <w:sz w:val="16"/>
                <w:szCs w:val="16"/>
              </w:rPr>
            </w:pPr>
            <w:r w:rsidRPr="004C78D8">
              <w:rPr>
                <w:sz w:val="16"/>
                <w:szCs w:val="16"/>
              </w:rPr>
              <w:t>Maint.: one-off, no renewal</w:t>
            </w:r>
          </w:p>
        </w:tc>
        <w:tc>
          <w:tcPr>
            <w:tcW w:w="598" w:type="pct"/>
            <w:tcBorders>
              <w:top w:val="nil"/>
              <w:bottom w:val="nil"/>
            </w:tcBorders>
          </w:tcPr>
          <w:p w14:paraId="10143BC7" w14:textId="77777777" w:rsidR="00CD54B2" w:rsidRPr="004C78D8" w:rsidRDefault="00CD54B2" w:rsidP="00FB7C1F">
            <w:pPr>
              <w:jc w:val="left"/>
              <w:rPr>
                <w:sz w:val="16"/>
                <w:szCs w:val="16"/>
              </w:rPr>
            </w:pPr>
            <w:r w:rsidRPr="004C78D8">
              <w:rPr>
                <w:sz w:val="16"/>
                <w:szCs w:val="16"/>
              </w:rPr>
              <w:t>Assumption</w:t>
            </w:r>
          </w:p>
        </w:tc>
        <w:tc>
          <w:tcPr>
            <w:tcW w:w="682" w:type="pct"/>
            <w:tcBorders>
              <w:top w:val="nil"/>
              <w:bottom w:val="nil"/>
            </w:tcBorders>
          </w:tcPr>
          <w:p w14:paraId="734609F8" w14:textId="77777777" w:rsidR="00CD54B2" w:rsidRPr="004C78D8" w:rsidRDefault="00CD54B2" w:rsidP="00FB7C1F">
            <w:pPr>
              <w:jc w:val="left"/>
              <w:rPr>
                <w:sz w:val="16"/>
                <w:szCs w:val="16"/>
              </w:rPr>
            </w:pPr>
            <w:r w:rsidRPr="004C78D8">
              <w:rPr>
                <w:i/>
                <w:iCs/>
                <w:sz w:val="16"/>
                <w:szCs w:val="16"/>
              </w:rPr>
              <w:t>No analysis</w:t>
            </w:r>
          </w:p>
        </w:tc>
      </w:tr>
      <w:tr w:rsidR="00CD54B2" w:rsidRPr="004C78D8" w14:paraId="64DD93D5" w14:textId="77777777" w:rsidTr="002828C1">
        <w:tc>
          <w:tcPr>
            <w:tcW w:w="507" w:type="pct"/>
          </w:tcPr>
          <w:p w14:paraId="5D493BAE" w14:textId="77777777" w:rsidR="00CD54B2" w:rsidRPr="004C78D8" w:rsidRDefault="00CD54B2" w:rsidP="00FB7C1F">
            <w:pPr>
              <w:jc w:val="left"/>
              <w:rPr>
                <w:sz w:val="16"/>
                <w:szCs w:val="16"/>
              </w:rPr>
            </w:pPr>
            <w:r w:rsidRPr="004C78D8">
              <w:rPr>
                <w:sz w:val="16"/>
                <w:szCs w:val="16"/>
              </w:rPr>
              <w:t>Poole (2015)</w:t>
            </w:r>
          </w:p>
        </w:tc>
        <w:tc>
          <w:tcPr>
            <w:tcW w:w="715" w:type="pct"/>
          </w:tcPr>
          <w:p w14:paraId="5D8374B3" w14:textId="77777777" w:rsidR="00CD54B2" w:rsidRPr="004C78D8" w:rsidRDefault="00CD54B2" w:rsidP="00FB7C1F">
            <w:pPr>
              <w:jc w:val="left"/>
              <w:rPr>
                <w:sz w:val="16"/>
                <w:szCs w:val="16"/>
              </w:rPr>
            </w:pPr>
            <w:r w:rsidRPr="004C78D8">
              <w:rPr>
                <w:sz w:val="16"/>
                <w:szCs w:val="16"/>
              </w:rPr>
              <w:t>Vit D supplement</w:t>
            </w:r>
          </w:p>
        </w:tc>
        <w:tc>
          <w:tcPr>
            <w:tcW w:w="912" w:type="pct"/>
            <w:tcBorders>
              <w:top w:val="nil"/>
              <w:bottom w:val="nil"/>
            </w:tcBorders>
          </w:tcPr>
          <w:p w14:paraId="1720E5D9" w14:textId="77777777" w:rsidR="00CD54B2" w:rsidRPr="004C78D8" w:rsidRDefault="00CD54B2" w:rsidP="00FB7C1F">
            <w:pPr>
              <w:jc w:val="left"/>
              <w:rPr>
                <w:sz w:val="16"/>
                <w:szCs w:val="16"/>
              </w:rPr>
            </w:pPr>
          </w:p>
        </w:tc>
        <w:tc>
          <w:tcPr>
            <w:tcW w:w="746" w:type="pct"/>
            <w:tcBorders>
              <w:top w:val="nil"/>
              <w:bottom w:val="nil"/>
            </w:tcBorders>
          </w:tcPr>
          <w:p w14:paraId="641E821B" w14:textId="77777777" w:rsidR="00CD54B2" w:rsidRPr="004C78D8" w:rsidRDefault="00CD54B2" w:rsidP="00FB7C1F">
            <w:pPr>
              <w:jc w:val="left"/>
              <w:rPr>
                <w:sz w:val="16"/>
                <w:szCs w:val="16"/>
              </w:rPr>
            </w:pPr>
          </w:p>
        </w:tc>
        <w:tc>
          <w:tcPr>
            <w:tcW w:w="841" w:type="pct"/>
            <w:tcBorders>
              <w:top w:val="nil"/>
              <w:bottom w:val="nil"/>
            </w:tcBorders>
          </w:tcPr>
          <w:p w14:paraId="01724291" w14:textId="77777777" w:rsidR="00CD54B2" w:rsidRPr="004C78D8" w:rsidRDefault="00CD54B2" w:rsidP="00FB7C1F">
            <w:pPr>
              <w:jc w:val="left"/>
              <w:rPr>
                <w:sz w:val="16"/>
                <w:szCs w:val="16"/>
              </w:rPr>
            </w:pPr>
            <w:r w:rsidRPr="004C78D8">
              <w:rPr>
                <w:sz w:val="16"/>
                <w:szCs w:val="16"/>
              </w:rPr>
              <w:t>Maint.: 5 years (of 5)</w:t>
            </w:r>
          </w:p>
        </w:tc>
        <w:tc>
          <w:tcPr>
            <w:tcW w:w="598" w:type="pct"/>
            <w:tcBorders>
              <w:top w:val="nil"/>
              <w:bottom w:val="nil"/>
            </w:tcBorders>
          </w:tcPr>
          <w:p w14:paraId="177078B7" w14:textId="77777777" w:rsidR="00CD54B2" w:rsidRPr="004C78D8" w:rsidRDefault="00CD54B2" w:rsidP="00FB7C1F">
            <w:pPr>
              <w:jc w:val="left"/>
              <w:rPr>
                <w:sz w:val="16"/>
                <w:szCs w:val="16"/>
              </w:rPr>
            </w:pPr>
            <w:r w:rsidRPr="004C78D8">
              <w:rPr>
                <w:sz w:val="16"/>
                <w:szCs w:val="16"/>
              </w:rPr>
              <w:t>External RCTs</w:t>
            </w:r>
          </w:p>
        </w:tc>
        <w:tc>
          <w:tcPr>
            <w:tcW w:w="682" w:type="pct"/>
            <w:tcBorders>
              <w:top w:val="nil"/>
              <w:bottom w:val="nil"/>
            </w:tcBorders>
          </w:tcPr>
          <w:p w14:paraId="50D3B542" w14:textId="77777777" w:rsidR="00CD54B2" w:rsidRPr="004C78D8" w:rsidRDefault="00CD54B2" w:rsidP="00FB7C1F">
            <w:pPr>
              <w:jc w:val="left"/>
              <w:rPr>
                <w:sz w:val="16"/>
                <w:szCs w:val="16"/>
              </w:rPr>
            </w:pPr>
            <w:r w:rsidRPr="004C78D8">
              <w:rPr>
                <w:i/>
                <w:iCs/>
                <w:sz w:val="16"/>
                <w:szCs w:val="16"/>
              </w:rPr>
              <w:t>No analysis</w:t>
            </w:r>
          </w:p>
        </w:tc>
      </w:tr>
      <w:tr w:rsidR="00CD54B2" w:rsidRPr="004C78D8" w14:paraId="7245B190" w14:textId="77777777" w:rsidTr="002828C1">
        <w:tc>
          <w:tcPr>
            <w:tcW w:w="507" w:type="pct"/>
          </w:tcPr>
          <w:p w14:paraId="237D3549" w14:textId="77777777" w:rsidR="00CD54B2" w:rsidRPr="004C78D8" w:rsidRDefault="00CD54B2" w:rsidP="00FB7C1F">
            <w:pPr>
              <w:jc w:val="left"/>
              <w:rPr>
                <w:sz w:val="16"/>
                <w:szCs w:val="16"/>
              </w:rPr>
            </w:pPr>
            <w:r w:rsidRPr="004C78D8">
              <w:rPr>
                <w:sz w:val="16"/>
                <w:szCs w:val="16"/>
              </w:rPr>
              <w:t>PHE (2018)</w:t>
            </w:r>
          </w:p>
        </w:tc>
        <w:tc>
          <w:tcPr>
            <w:tcW w:w="715" w:type="pct"/>
          </w:tcPr>
          <w:p w14:paraId="1572025F" w14:textId="77777777" w:rsidR="00CD54B2" w:rsidRPr="004C78D8" w:rsidRDefault="00CD54B2" w:rsidP="00FB7C1F">
            <w:pPr>
              <w:jc w:val="left"/>
              <w:rPr>
                <w:sz w:val="16"/>
                <w:szCs w:val="16"/>
              </w:rPr>
            </w:pPr>
            <w:r w:rsidRPr="004C78D8">
              <w:rPr>
                <w:sz w:val="16"/>
                <w:szCs w:val="16"/>
              </w:rPr>
              <w:t>Exercise (3 forms); HAM</w:t>
            </w:r>
          </w:p>
        </w:tc>
        <w:tc>
          <w:tcPr>
            <w:tcW w:w="912" w:type="pct"/>
            <w:tcBorders>
              <w:top w:val="nil"/>
              <w:bottom w:val="nil"/>
            </w:tcBorders>
          </w:tcPr>
          <w:p w14:paraId="51D1A99D" w14:textId="77777777" w:rsidR="00CD54B2" w:rsidRPr="004C78D8" w:rsidRDefault="00CD54B2" w:rsidP="00FB7C1F">
            <w:pPr>
              <w:jc w:val="left"/>
              <w:rPr>
                <w:sz w:val="16"/>
                <w:szCs w:val="16"/>
              </w:rPr>
            </w:pPr>
            <w:r w:rsidRPr="004C78D8">
              <w:rPr>
                <w:sz w:val="16"/>
                <w:szCs w:val="16"/>
              </w:rPr>
              <w:t>Uptake: 20%</w:t>
            </w:r>
          </w:p>
        </w:tc>
        <w:tc>
          <w:tcPr>
            <w:tcW w:w="746" w:type="pct"/>
            <w:tcBorders>
              <w:top w:val="nil"/>
              <w:bottom w:val="nil"/>
            </w:tcBorders>
          </w:tcPr>
          <w:p w14:paraId="7364C13A" w14:textId="77777777" w:rsidR="00CD54B2" w:rsidRPr="004C78D8" w:rsidRDefault="00CD54B2" w:rsidP="00FB7C1F">
            <w:pPr>
              <w:jc w:val="left"/>
              <w:rPr>
                <w:sz w:val="16"/>
                <w:szCs w:val="16"/>
              </w:rPr>
            </w:pPr>
          </w:p>
        </w:tc>
        <w:tc>
          <w:tcPr>
            <w:tcW w:w="841" w:type="pct"/>
            <w:tcBorders>
              <w:top w:val="nil"/>
              <w:bottom w:val="nil"/>
            </w:tcBorders>
          </w:tcPr>
          <w:p w14:paraId="7B55BC10" w14:textId="77777777" w:rsidR="00CD54B2" w:rsidRPr="004C78D8" w:rsidRDefault="00CD54B2" w:rsidP="00FB7C1F">
            <w:pPr>
              <w:jc w:val="left"/>
              <w:rPr>
                <w:sz w:val="16"/>
                <w:szCs w:val="16"/>
              </w:rPr>
            </w:pPr>
            <w:r w:rsidRPr="004C78D8">
              <w:rPr>
                <w:sz w:val="16"/>
                <w:szCs w:val="16"/>
              </w:rPr>
              <w:t>Maint.: 1 year (of 2)</w:t>
            </w:r>
          </w:p>
        </w:tc>
        <w:tc>
          <w:tcPr>
            <w:tcW w:w="598" w:type="pct"/>
            <w:tcBorders>
              <w:top w:val="nil"/>
              <w:bottom w:val="nil"/>
            </w:tcBorders>
          </w:tcPr>
          <w:p w14:paraId="231CA488" w14:textId="77777777" w:rsidR="00CD54B2" w:rsidRPr="004C78D8" w:rsidRDefault="00CD54B2" w:rsidP="00FB7C1F">
            <w:pPr>
              <w:jc w:val="left"/>
              <w:rPr>
                <w:sz w:val="16"/>
                <w:szCs w:val="16"/>
              </w:rPr>
            </w:pPr>
            <w:r w:rsidRPr="004C78D8">
              <w:rPr>
                <w:sz w:val="16"/>
                <w:szCs w:val="16"/>
              </w:rPr>
              <w:t>Assumption</w:t>
            </w:r>
          </w:p>
        </w:tc>
        <w:tc>
          <w:tcPr>
            <w:tcW w:w="682" w:type="pct"/>
            <w:tcBorders>
              <w:top w:val="nil"/>
              <w:bottom w:val="nil"/>
            </w:tcBorders>
          </w:tcPr>
          <w:p w14:paraId="1CE0AC7B" w14:textId="77777777" w:rsidR="00CD54B2" w:rsidRPr="004C78D8" w:rsidRDefault="00CD54B2" w:rsidP="00FB7C1F">
            <w:pPr>
              <w:jc w:val="left"/>
              <w:rPr>
                <w:sz w:val="16"/>
                <w:szCs w:val="16"/>
              </w:rPr>
            </w:pPr>
            <w:r w:rsidRPr="004C78D8">
              <w:rPr>
                <w:i/>
                <w:iCs/>
                <w:sz w:val="16"/>
                <w:szCs w:val="16"/>
              </w:rPr>
              <w:t>No analysis</w:t>
            </w:r>
          </w:p>
        </w:tc>
      </w:tr>
      <w:tr w:rsidR="00CD54B2" w:rsidRPr="004C78D8" w14:paraId="65FE54E8" w14:textId="77777777" w:rsidTr="002828C1">
        <w:tc>
          <w:tcPr>
            <w:tcW w:w="507" w:type="pct"/>
            <w:vMerge w:val="restart"/>
          </w:tcPr>
          <w:p w14:paraId="76B9DB11" w14:textId="77777777" w:rsidR="00CD54B2" w:rsidRPr="004C78D8" w:rsidRDefault="00CD54B2" w:rsidP="00FB7C1F">
            <w:pPr>
              <w:jc w:val="left"/>
              <w:rPr>
                <w:sz w:val="16"/>
                <w:szCs w:val="16"/>
              </w:rPr>
            </w:pPr>
            <w:r w:rsidRPr="004C78D8">
              <w:rPr>
                <w:sz w:val="16"/>
                <w:szCs w:val="16"/>
              </w:rPr>
              <w:t>Turner (2020)</w:t>
            </w:r>
          </w:p>
        </w:tc>
        <w:tc>
          <w:tcPr>
            <w:tcW w:w="715" w:type="pct"/>
            <w:vMerge w:val="restart"/>
          </w:tcPr>
          <w:p w14:paraId="531621D2" w14:textId="77777777" w:rsidR="00CD54B2" w:rsidRPr="004C78D8" w:rsidRDefault="00CD54B2" w:rsidP="00FB7C1F">
            <w:pPr>
              <w:jc w:val="left"/>
              <w:rPr>
                <w:sz w:val="16"/>
                <w:szCs w:val="16"/>
              </w:rPr>
            </w:pPr>
            <w:r w:rsidRPr="004C78D8">
              <w:rPr>
                <w:sz w:val="16"/>
                <w:szCs w:val="16"/>
              </w:rPr>
              <w:t>Med. modification</w:t>
            </w:r>
          </w:p>
        </w:tc>
        <w:tc>
          <w:tcPr>
            <w:tcW w:w="912" w:type="pct"/>
            <w:tcBorders>
              <w:top w:val="nil"/>
              <w:bottom w:val="nil"/>
            </w:tcBorders>
          </w:tcPr>
          <w:p w14:paraId="131C5EDE" w14:textId="77777777" w:rsidR="00CD54B2" w:rsidRPr="004C78D8" w:rsidRDefault="00CD54B2" w:rsidP="00FB7C1F">
            <w:pPr>
              <w:jc w:val="left"/>
              <w:rPr>
                <w:sz w:val="16"/>
                <w:szCs w:val="16"/>
              </w:rPr>
            </w:pPr>
            <w:r w:rsidRPr="004C78D8">
              <w:rPr>
                <w:sz w:val="16"/>
                <w:szCs w:val="16"/>
              </w:rPr>
              <w:t>Adoption: 66% of GPs received pharmacist advice; 79% met older persons for deprescribing</w:t>
            </w:r>
          </w:p>
        </w:tc>
        <w:tc>
          <w:tcPr>
            <w:tcW w:w="746" w:type="pct"/>
            <w:tcBorders>
              <w:top w:val="nil"/>
              <w:bottom w:val="nil"/>
            </w:tcBorders>
          </w:tcPr>
          <w:p w14:paraId="42701B80" w14:textId="77777777" w:rsidR="00CD54B2" w:rsidRPr="004C78D8" w:rsidRDefault="00CD54B2" w:rsidP="00FB7C1F">
            <w:pPr>
              <w:jc w:val="left"/>
              <w:rPr>
                <w:sz w:val="16"/>
                <w:szCs w:val="16"/>
              </w:rPr>
            </w:pPr>
          </w:p>
        </w:tc>
        <w:tc>
          <w:tcPr>
            <w:tcW w:w="841" w:type="pct"/>
            <w:tcBorders>
              <w:top w:val="nil"/>
              <w:bottom w:val="nil"/>
            </w:tcBorders>
          </w:tcPr>
          <w:p w14:paraId="61DBE7D2" w14:textId="77777777" w:rsidR="00CD54B2" w:rsidRPr="004C78D8" w:rsidRDefault="00CD54B2" w:rsidP="00FB7C1F">
            <w:pPr>
              <w:jc w:val="left"/>
              <w:rPr>
                <w:sz w:val="16"/>
                <w:szCs w:val="16"/>
              </w:rPr>
            </w:pPr>
          </w:p>
        </w:tc>
        <w:tc>
          <w:tcPr>
            <w:tcW w:w="598" w:type="pct"/>
            <w:tcBorders>
              <w:top w:val="nil"/>
              <w:bottom w:val="nil"/>
            </w:tcBorders>
          </w:tcPr>
          <w:p w14:paraId="4C5959D3" w14:textId="77777777" w:rsidR="00CD54B2" w:rsidRPr="004C78D8" w:rsidRDefault="00CD54B2" w:rsidP="00FB7C1F">
            <w:pPr>
              <w:jc w:val="left"/>
              <w:rPr>
                <w:sz w:val="16"/>
                <w:szCs w:val="16"/>
              </w:rPr>
            </w:pPr>
            <w:r w:rsidRPr="004C78D8">
              <w:rPr>
                <w:sz w:val="16"/>
                <w:szCs w:val="16"/>
              </w:rPr>
              <w:t>Unclear</w:t>
            </w:r>
            <w:r w:rsidRPr="004C78D8">
              <w:rPr>
                <w:sz w:val="16"/>
                <w:szCs w:val="16"/>
                <w:vertAlign w:val="superscript"/>
              </w:rPr>
              <w:t>4</w:t>
            </w:r>
          </w:p>
        </w:tc>
        <w:tc>
          <w:tcPr>
            <w:tcW w:w="682" w:type="pct"/>
            <w:tcBorders>
              <w:top w:val="nil"/>
              <w:bottom w:val="nil"/>
            </w:tcBorders>
          </w:tcPr>
          <w:p w14:paraId="1AD7DB22" w14:textId="77777777" w:rsidR="00CD54B2" w:rsidRPr="004C78D8" w:rsidRDefault="00CD54B2" w:rsidP="00FB7C1F">
            <w:pPr>
              <w:jc w:val="left"/>
              <w:rPr>
                <w:sz w:val="16"/>
                <w:szCs w:val="16"/>
              </w:rPr>
            </w:pPr>
            <w:r w:rsidRPr="004C78D8">
              <w:rPr>
                <w:sz w:val="16"/>
                <w:szCs w:val="16"/>
              </w:rPr>
              <w:t>Inc. cost; Inc. QALY; ICER (CUA)</w:t>
            </w:r>
          </w:p>
        </w:tc>
      </w:tr>
      <w:tr w:rsidR="00CD54B2" w:rsidRPr="004C78D8" w14:paraId="6AADD9CC" w14:textId="77777777" w:rsidTr="002828C1">
        <w:tc>
          <w:tcPr>
            <w:tcW w:w="507" w:type="pct"/>
            <w:vMerge/>
          </w:tcPr>
          <w:p w14:paraId="690C32E7" w14:textId="77777777" w:rsidR="00CD54B2" w:rsidRPr="004C78D8" w:rsidRDefault="00CD54B2" w:rsidP="00FB7C1F">
            <w:pPr>
              <w:jc w:val="left"/>
              <w:rPr>
                <w:sz w:val="16"/>
                <w:szCs w:val="16"/>
              </w:rPr>
            </w:pPr>
          </w:p>
        </w:tc>
        <w:tc>
          <w:tcPr>
            <w:tcW w:w="715" w:type="pct"/>
            <w:vMerge/>
          </w:tcPr>
          <w:p w14:paraId="1409B3F8" w14:textId="77777777" w:rsidR="00CD54B2" w:rsidRPr="004C78D8" w:rsidRDefault="00CD54B2" w:rsidP="00FB7C1F">
            <w:pPr>
              <w:jc w:val="left"/>
              <w:rPr>
                <w:sz w:val="16"/>
                <w:szCs w:val="16"/>
              </w:rPr>
            </w:pPr>
          </w:p>
        </w:tc>
        <w:tc>
          <w:tcPr>
            <w:tcW w:w="912" w:type="pct"/>
            <w:tcBorders>
              <w:top w:val="nil"/>
              <w:bottom w:val="nil"/>
            </w:tcBorders>
          </w:tcPr>
          <w:p w14:paraId="5349E1B9" w14:textId="77777777" w:rsidR="00CD54B2" w:rsidRPr="004C78D8" w:rsidRDefault="00CD54B2" w:rsidP="00FB7C1F">
            <w:pPr>
              <w:jc w:val="left"/>
              <w:rPr>
                <w:sz w:val="16"/>
                <w:szCs w:val="16"/>
              </w:rPr>
            </w:pPr>
            <w:r w:rsidRPr="004C78D8">
              <w:rPr>
                <w:sz w:val="16"/>
                <w:szCs w:val="16"/>
              </w:rPr>
              <w:t>Uptake: 53%</w:t>
            </w:r>
          </w:p>
        </w:tc>
        <w:tc>
          <w:tcPr>
            <w:tcW w:w="746" w:type="pct"/>
            <w:tcBorders>
              <w:top w:val="nil"/>
              <w:bottom w:val="nil"/>
            </w:tcBorders>
          </w:tcPr>
          <w:p w14:paraId="54654BA0" w14:textId="77777777" w:rsidR="00CD54B2" w:rsidRPr="004C78D8" w:rsidRDefault="00CD54B2" w:rsidP="00FB7C1F">
            <w:pPr>
              <w:jc w:val="left"/>
              <w:rPr>
                <w:sz w:val="16"/>
                <w:szCs w:val="16"/>
              </w:rPr>
            </w:pPr>
          </w:p>
        </w:tc>
        <w:tc>
          <w:tcPr>
            <w:tcW w:w="841" w:type="pct"/>
            <w:tcBorders>
              <w:top w:val="nil"/>
              <w:bottom w:val="nil"/>
            </w:tcBorders>
          </w:tcPr>
          <w:p w14:paraId="4D1315A9" w14:textId="77777777" w:rsidR="00CD54B2" w:rsidRPr="004C78D8" w:rsidRDefault="00CD54B2" w:rsidP="00FB7C1F">
            <w:pPr>
              <w:jc w:val="left"/>
              <w:rPr>
                <w:sz w:val="16"/>
                <w:szCs w:val="16"/>
              </w:rPr>
            </w:pPr>
          </w:p>
        </w:tc>
        <w:tc>
          <w:tcPr>
            <w:tcW w:w="598" w:type="pct"/>
            <w:tcBorders>
              <w:top w:val="nil"/>
              <w:bottom w:val="nil"/>
            </w:tcBorders>
          </w:tcPr>
          <w:p w14:paraId="7032DABE" w14:textId="77777777" w:rsidR="00CD54B2" w:rsidRPr="004C78D8" w:rsidRDefault="00CD54B2" w:rsidP="00FB7C1F">
            <w:pPr>
              <w:jc w:val="left"/>
              <w:rPr>
                <w:sz w:val="16"/>
                <w:szCs w:val="16"/>
              </w:rPr>
            </w:pPr>
            <w:r w:rsidRPr="004C78D8">
              <w:rPr>
                <w:sz w:val="16"/>
                <w:szCs w:val="16"/>
              </w:rPr>
              <w:t>External RCT</w:t>
            </w:r>
          </w:p>
        </w:tc>
        <w:tc>
          <w:tcPr>
            <w:tcW w:w="682" w:type="pct"/>
            <w:tcBorders>
              <w:top w:val="nil"/>
              <w:bottom w:val="nil"/>
            </w:tcBorders>
          </w:tcPr>
          <w:p w14:paraId="69FEAFDE" w14:textId="77777777" w:rsidR="00CD54B2" w:rsidRPr="004C78D8" w:rsidRDefault="00CD54B2" w:rsidP="00FB7C1F">
            <w:pPr>
              <w:jc w:val="left"/>
              <w:rPr>
                <w:i/>
                <w:iCs/>
                <w:sz w:val="16"/>
                <w:szCs w:val="16"/>
              </w:rPr>
            </w:pPr>
            <w:r w:rsidRPr="004C78D8">
              <w:rPr>
                <w:i/>
                <w:iCs/>
                <w:sz w:val="16"/>
                <w:szCs w:val="16"/>
              </w:rPr>
              <w:t>No analysis</w:t>
            </w:r>
          </w:p>
        </w:tc>
      </w:tr>
      <w:tr w:rsidR="00CD54B2" w:rsidRPr="004C78D8" w14:paraId="2AFA7A02" w14:textId="77777777" w:rsidTr="002828C1">
        <w:tc>
          <w:tcPr>
            <w:tcW w:w="507" w:type="pct"/>
          </w:tcPr>
          <w:p w14:paraId="2A895482" w14:textId="77777777" w:rsidR="00CD54B2" w:rsidRPr="004C78D8" w:rsidRDefault="00CD54B2" w:rsidP="00FB7C1F">
            <w:pPr>
              <w:jc w:val="left"/>
              <w:rPr>
                <w:sz w:val="16"/>
                <w:szCs w:val="16"/>
              </w:rPr>
            </w:pPr>
            <w:r w:rsidRPr="004C78D8">
              <w:rPr>
                <w:sz w:val="16"/>
                <w:szCs w:val="16"/>
              </w:rPr>
              <w:t>Wu (2010)</w:t>
            </w:r>
          </w:p>
        </w:tc>
        <w:tc>
          <w:tcPr>
            <w:tcW w:w="715" w:type="pct"/>
          </w:tcPr>
          <w:p w14:paraId="717BBA31" w14:textId="77777777" w:rsidR="00CD54B2" w:rsidRPr="004C78D8" w:rsidRDefault="00CD54B2" w:rsidP="00FB7C1F">
            <w:pPr>
              <w:jc w:val="left"/>
              <w:rPr>
                <w:sz w:val="16"/>
                <w:szCs w:val="16"/>
              </w:rPr>
            </w:pPr>
            <w:r w:rsidRPr="004C78D8">
              <w:rPr>
                <w:sz w:val="16"/>
                <w:szCs w:val="16"/>
              </w:rPr>
              <w:t>MF int.</w:t>
            </w:r>
          </w:p>
        </w:tc>
        <w:tc>
          <w:tcPr>
            <w:tcW w:w="912" w:type="pct"/>
            <w:tcBorders>
              <w:top w:val="nil"/>
              <w:bottom w:val="nil"/>
            </w:tcBorders>
          </w:tcPr>
          <w:p w14:paraId="32A2E822" w14:textId="77777777" w:rsidR="00CD54B2" w:rsidRPr="004C78D8" w:rsidRDefault="00CD54B2" w:rsidP="00FB7C1F">
            <w:pPr>
              <w:jc w:val="left"/>
              <w:rPr>
                <w:sz w:val="16"/>
                <w:szCs w:val="16"/>
              </w:rPr>
            </w:pPr>
            <w:r w:rsidRPr="004C78D8">
              <w:rPr>
                <w:sz w:val="16"/>
                <w:szCs w:val="16"/>
              </w:rPr>
              <w:t>Uptake: 50%</w:t>
            </w:r>
          </w:p>
        </w:tc>
        <w:tc>
          <w:tcPr>
            <w:tcW w:w="746" w:type="pct"/>
            <w:tcBorders>
              <w:top w:val="nil"/>
              <w:bottom w:val="nil"/>
            </w:tcBorders>
          </w:tcPr>
          <w:p w14:paraId="2EB01D6B" w14:textId="77777777" w:rsidR="00CD54B2" w:rsidRPr="004C78D8" w:rsidRDefault="00CD54B2" w:rsidP="00FB7C1F">
            <w:pPr>
              <w:jc w:val="left"/>
              <w:rPr>
                <w:sz w:val="16"/>
                <w:szCs w:val="16"/>
              </w:rPr>
            </w:pPr>
          </w:p>
        </w:tc>
        <w:tc>
          <w:tcPr>
            <w:tcW w:w="841" w:type="pct"/>
            <w:tcBorders>
              <w:top w:val="nil"/>
              <w:bottom w:val="nil"/>
            </w:tcBorders>
          </w:tcPr>
          <w:p w14:paraId="35656D22" w14:textId="77777777" w:rsidR="00CD54B2" w:rsidRPr="004C78D8" w:rsidRDefault="00CD54B2" w:rsidP="00FB7C1F">
            <w:pPr>
              <w:jc w:val="left"/>
              <w:rPr>
                <w:sz w:val="16"/>
                <w:szCs w:val="16"/>
              </w:rPr>
            </w:pPr>
          </w:p>
        </w:tc>
        <w:tc>
          <w:tcPr>
            <w:tcW w:w="598" w:type="pct"/>
            <w:tcBorders>
              <w:top w:val="nil"/>
              <w:bottom w:val="nil"/>
            </w:tcBorders>
          </w:tcPr>
          <w:p w14:paraId="0F189456" w14:textId="77777777" w:rsidR="00CD54B2" w:rsidRPr="004C78D8" w:rsidRDefault="00CD54B2" w:rsidP="00FB7C1F">
            <w:pPr>
              <w:jc w:val="left"/>
              <w:rPr>
                <w:sz w:val="16"/>
                <w:szCs w:val="16"/>
              </w:rPr>
            </w:pPr>
            <w:r w:rsidRPr="004C78D8">
              <w:rPr>
                <w:sz w:val="16"/>
                <w:szCs w:val="16"/>
              </w:rPr>
              <w:t>External RCT and surveys</w:t>
            </w:r>
          </w:p>
        </w:tc>
        <w:tc>
          <w:tcPr>
            <w:tcW w:w="682" w:type="pct"/>
            <w:tcBorders>
              <w:top w:val="nil"/>
              <w:bottom w:val="nil"/>
            </w:tcBorders>
          </w:tcPr>
          <w:p w14:paraId="3CFF58B2" w14:textId="77777777" w:rsidR="00CD54B2" w:rsidRPr="004C78D8" w:rsidRDefault="00CD54B2" w:rsidP="00FB7C1F">
            <w:pPr>
              <w:jc w:val="left"/>
              <w:rPr>
                <w:sz w:val="16"/>
                <w:szCs w:val="16"/>
              </w:rPr>
            </w:pPr>
            <w:r w:rsidRPr="004C78D8">
              <w:rPr>
                <w:sz w:val="16"/>
                <w:szCs w:val="16"/>
              </w:rPr>
              <w:t>Aggregate efficiency (ROI: net cost saving); ICER (CEA)</w:t>
            </w:r>
          </w:p>
        </w:tc>
      </w:tr>
      <w:tr w:rsidR="00CD54B2" w:rsidRPr="004C78D8" w14:paraId="34644FAF" w14:textId="77777777" w:rsidTr="002828C1">
        <w:tc>
          <w:tcPr>
            <w:tcW w:w="507" w:type="pct"/>
            <w:vMerge w:val="restart"/>
          </w:tcPr>
          <w:p w14:paraId="6627744B" w14:textId="77777777" w:rsidR="00CD54B2" w:rsidRPr="004C78D8" w:rsidRDefault="00CD54B2" w:rsidP="00FB7C1F">
            <w:pPr>
              <w:jc w:val="left"/>
              <w:rPr>
                <w:sz w:val="16"/>
                <w:szCs w:val="16"/>
              </w:rPr>
            </w:pPr>
            <w:r w:rsidRPr="004C78D8">
              <w:rPr>
                <w:sz w:val="16"/>
                <w:szCs w:val="16"/>
              </w:rPr>
              <w:t>Zarca (2014)</w:t>
            </w:r>
          </w:p>
        </w:tc>
        <w:tc>
          <w:tcPr>
            <w:tcW w:w="715" w:type="pct"/>
            <w:vMerge w:val="restart"/>
          </w:tcPr>
          <w:p w14:paraId="12A54BB9" w14:textId="77777777" w:rsidR="00CD54B2" w:rsidRPr="004C78D8" w:rsidRDefault="00CD54B2" w:rsidP="00FB7C1F">
            <w:pPr>
              <w:jc w:val="left"/>
              <w:rPr>
                <w:sz w:val="16"/>
                <w:szCs w:val="16"/>
              </w:rPr>
            </w:pPr>
            <w:r w:rsidRPr="004C78D8">
              <w:rPr>
                <w:sz w:val="16"/>
                <w:szCs w:val="16"/>
              </w:rPr>
              <w:t>Vit D screening &amp; supplement</w:t>
            </w:r>
          </w:p>
        </w:tc>
        <w:tc>
          <w:tcPr>
            <w:tcW w:w="912" w:type="pct"/>
            <w:tcBorders>
              <w:top w:val="nil"/>
              <w:bottom w:val="nil"/>
            </w:tcBorders>
          </w:tcPr>
          <w:p w14:paraId="6A56AFF4" w14:textId="77777777" w:rsidR="00CD54B2" w:rsidRPr="004C78D8" w:rsidRDefault="00CD54B2" w:rsidP="00FB7C1F">
            <w:pPr>
              <w:jc w:val="left"/>
              <w:rPr>
                <w:sz w:val="16"/>
                <w:szCs w:val="16"/>
              </w:rPr>
            </w:pPr>
          </w:p>
        </w:tc>
        <w:tc>
          <w:tcPr>
            <w:tcW w:w="746" w:type="pct"/>
            <w:tcBorders>
              <w:top w:val="nil"/>
              <w:bottom w:val="nil"/>
            </w:tcBorders>
          </w:tcPr>
          <w:p w14:paraId="1AA902E1" w14:textId="77777777" w:rsidR="00CD54B2" w:rsidRPr="004C78D8" w:rsidRDefault="00CD54B2" w:rsidP="00FB7C1F">
            <w:pPr>
              <w:jc w:val="left"/>
              <w:rPr>
                <w:sz w:val="16"/>
                <w:szCs w:val="16"/>
              </w:rPr>
            </w:pPr>
            <w:r w:rsidRPr="004C78D8">
              <w:rPr>
                <w:sz w:val="16"/>
                <w:szCs w:val="16"/>
              </w:rPr>
              <w:t>Adherence: 50%; 100% after fracture</w:t>
            </w:r>
          </w:p>
        </w:tc>
        <w:tc>
          <w:tcPr>
            <w:tcW w:w="841" w:type="pct"/>
            <w:tcBorders>
              <w:top w:val="nil"/>
              <w:bottom w:val="nil"/>
            </w:tcBorders>
          </w:tcPr>
          <w:p w14:paraId="60E0200B" w14:textId="77777777" w:rsidR="00CD54B2" w:rsidRPr="004C78D8" w:rsidRDefault="00CD54B2" w:rsidP="00FB7C1F">
            <w:pPr>
              <w:jc w:val="left"/>
              <w:rPr>
                <w:sz w:val="16"/>
                <w:szCs w:val="16"/>
              </w:rPr>
            </w:pPr>
          </w:p>
        </w:tc>
        <w:tc>
          <w:tcPr>
            <w:tcW w:w="598" w:type="pct"/>
            <w:tcBorders>
              <w:top w:val="nil"/>
              <w:bottom w:val="nil"/>
            </w:tcBorders>
          </w:tcPr>
          <w:p w14:paraId="113A2994" w14:textId="77777777" w:rsidR="00CD54B2" w:rsidRPr="004C78D8" w:rsidRDefault="00CD54B2" w:rsidP="00FB7C1F">
            <w:pPr>
              <w:jc w:val="left"/>
              <w:rPr>
                <w:sz w:val="16"/>
                <w:szCs w:val="16"/>
              </w:rPr>
            </w:pPr>
            <w:r w:rsidRPr="004C78D8">
              <w:rPr>
                <w:sz w:val="16"/>
                <w:szCs w:val="16"/>
              </w:rPr>
              <w:t>External survey and assumption</w:t>
            </w:r>
          </w:p>
        </w:tc>
        <w:tc>
          <w:tcPr>
            <w:tcW w:w="682" w:type="pct"/>
            <w:tcBorders>
              <w:top w:val="nil"/>
              <w:bottom w:val="nil"/>
            </w:tcBorders>
          </w:tcPr>
          <w:p w14:paraId="7F59D599" w14:textId="77777777" w:rsidR="00CD54B2" w:rsidRPr="004C78D8" w:rsidRDefault="00CD54B2" w:rsidP="00FB7C1F">
            <w:pPr>
              <w:jc w:val="left"/>
              <w:rPr>
                <w:sz w:val="16"/>
                <w:szCs w:val="16"/>
              </w:rPr>
            </w:pPr>
            <w:r w:rsidRPr="004C78D8">
              <w:rPr>
                <w:sz w:val="16"/>
                <w:szCs w:val="16"/>
              </w:rPr>
              <w:t>ICER (CUA)</w:t>
            </w:r>
          </w:p>
        </w:tc>
      </w:tr>
      <w:tr w:rsidR="00CD54B2" w:rsidRPr="004C78D8" w14:paraId="2DE55B68" w14:textId="77777777" w:rsidTr="002828C1">
        <w:tc>
          <w:tcPr>
            <w:tcW w:w="507" w:type="pct"/>
            <w:vMerge/>
          </w:tcPr>
          <w:p w14:paraId="0751C538" w14:textId="77777777" w:rsidR="00CD54B2" w:rsidRPr="004C78D8" w:rsidRDefault="00CD54B2" w:rsidP="00FB7C1F">
            <w:pPr>
              <w:jc w:val="left"/>
              <w:rPr>
                <w:sz w:val="18"/>
                <w:szCs w:val="18"/>
              </w:rPr>
            </w:pPr>
          </w:p>
        </w:tc>
        <w:tc>
          <w:tcPr>
            <w:tcW w:w="715" w:type="pct"/>
            <w:vMerge/>
          </w:tcPr>
          <w:p w14:paraId="6707A43F" w14:textId="77777777" w:rsidR="00CD54B2" w:rsidRPr="004C78D8" w:rsidRDefault="00CD54B2" w:rsidP="00FB7C1F">
            <w:pPr>
              <w:jc w:val="left"/>
              <w:rPr>
                <w:sz w:val="18"/>
                <w:szCs w:val="18"/>
              </w:rPr>
            </w:pPr>
          </w:p>
        </w:tc>
        <w:tc>
          <w:tcPr>
            <w:tcW w:w="912" w:type="pct"/>
            <w:tcBorders>
              <w:top w:val="nil"/>
            </w:tcBorders>
          </w:tcPr>
          <w:p w14:paraId="2B34F9DA" w14:textId="77777777" w:rsidR="00CD54B2" w:rsidRPr="004C78D8" w:rsidRDefault="00CD54B2" w:rsidP="00FB7C1F">
            <w:pPr>
              <w:jc w:val="left"/>
              <w:rPr>
                <w:sz w:val="16"/>
                <w:szCs w:val="16"/>
              </w:rPr>
            </w:pPr>
          </w:p>
        </w:tc>
        <w:tc>
          <w:tcPr>
            <w:tcW w:w="746" w:type="pct"/>
            <w:tcBorders>
              <w:top w:val="nil"/>
            </w:tcBorders>
          </w:tcPr>
          <w:p w14:paraId="2A61E86E" w14:textId="77777777" w:rsidR="00CD54B2" w:rsidRPr="004C78D8" w:rsidRDefault="00CD54B2" w:rsidP="00FB7C1F">
            <w:pPr>
              <w:jc w:val="left"/>
              <w:rPr>
                <w:sz w:val="16"/>
                <w:szCs w:val="16"/>
              </w:rPr>
            </w:pPr>
          </w:p>
        </w:tc>
        <w:tc>
          <w:tcPr>
            <w:tcW w:w="841" w:type="pct"/>
            <w:tcBorders>
              <w:top w:val="nil"/>
            </w:tcBorders>
          </w:tcPr>
          <w:p w14:paraId="091E7B56" w14:textId="77777777" w:rsidR="00CD54B2" w:rsidRPr="004C78D8" w:rsidRDefault="00CD54B2" w:rsidP="00FB7C1F">
            <w:pPr>
              <w:jc w:val="left"/>
              <w:rPr>
                <w:sz w:val="16"/>
                <w:szCs w:val="16"/>
              </w:rPr>
            </w:pPr>
            <w:r w:rsidRPr="004C78D8">
              <w:rPr>
                <w:sz w:val="16"/>
                <w:szCs w:val="16"/>
              </w:rPr>
              <w:t>Maint.: permanent</w:t>
            </w:r>
          </w:p>
        </w:tc>
        <w:tc>
          <w:tcPr>
            <w:tcW w:w="598" w:type="pct"/>
            <w:tcBorders>
              <w:top w:val="nil"/>
            </w:tcBorders>
          </w:tcPr>
          <w:p w14:paraId="716E4EA2" w14:textId="77777777" w:rsidR="00CD54B2" w:rsidRPr="004C78D8" w:rsidRDefault="00CD54B2" w:rsidP="00FB7C1F">
            <w:pPr>
              <w:jc w:val="left"/>
              <w:rPr>
                <w:sz w:val="16"/>
                <w:szCs w:val="16"/>
              </w:rPr>
            </w:pPr>
            <w:r w:rsidRPr="004C78D8">
              <w:rPr>
                <w:sz w:val="16"/>
                <w:szCs w:val="16"/>
              </w:rPr>
              <w:t>Assumption</w:t>
            </w:r>
          </w:p>
        </w:tc>
        <w:tc>
          <w:tcPr>
            <w:tcW w:w="682" w:type="pct"/>
            <w:tcBorders>
              <w:top w:val="nil"/>
            </w:tcBorders>
          </w:tcPr>
          <w:p w14:paraId="2FCB8621" w14:textId="77777777" w:rsidR="00CD54B2" w:rsidRPr="004C78D8" w:rsidRDefault="00CD54B2" w:rsidP="00FB7C1F">
            <w:pPr>
              <w:jc w:val="left"/>
              <w:rPr>
                <w:i/>
                <w:iCs/>
                <w:sz w:val="16"/>
                <w:szCs w:val="16"/>
              </w:rPr>
            </w:pPr>
            <w:r w:rsidRPr="004C78D8">
              <w:rPr>
                <w:i/>
                <w:iCs/>
                <w:sz w:val="16"/>
                <w:szCs w:val="16"/>
              </w:rPr>
              <w:t>No analysis</w:t>
            </w:r>
          </w:p>
        </w:tc>
      </w:tr>
      <w:tr w:rsidR="00CD54B2" w:rsidRPr="004C78D8" w14:paraId="7F00432B" w14:textId="77777777" w:rsidTr="002828C1">
        <w:tc>
          <w:tcPr>
            <w:tcW w:w="5000" w:type="pct"/>
            <w:gridSpan w:val="7"/>
          </w:tcPr>
          <w:p w14:paraId="52F08031" w14:textId="77777777" w:rsidR="00CD54B2" w:rsidRPr="004C78D8" w:rsidRDefault="00CD54B2" w:rsidP="00FB7C1F">
            <w:pPr>
              <w:rPr>
                <w:sz w:val="16"/>
                <w:szCs w:val="16"/>
              </w:rPr>
            </w:pPr>
            <w:r w:rsidRPr="004C78D8">
              <w:rPr>
                <w:b/>
                <w:bCs/>
                <w:sz w:val="16"/>
                <w:szCs w:val="16"/>
              </w:rPr>
              <w:t xml:space="preserve">Abbreviation: </w:t>
            </w:r>
            <w:r w:rsidRPr="004C78D8">
              <w:rPr>
                <w:sz w:val="16"/>
                <w:szCs w:val="16"/>
              </w:rPr>
              <w:t>CBT: cognitive behavioural therapy; CEA: cost-effectiveness analysis; CSP: Chartered Society of Physiotherapy; CUA: cost-utility analysis; FRID: fall risk increasing drug; FRS: falls risk screening; HAM: home assessment and modification; ICER: incremental cost-effectiveness ratio; Inc.: incremental; Int.: intervention; Maint.: maintenance; MC: multiple-component; MF: multifactorial; OMAS: Ontario Medical Advisory Secretariat; PHE: Public Health England; PPI: proton pump inhibitor; QALY: quality-adjusted life year; RCT: randomised controlled trial; ROI: return on investment.</w:t>
            </w:r>
          </w:p>
          <w:p w14:paraId="6F72C8B7" w14:textId="13700B0F" w:rsidR="00CD54B2" w:rsidRPr="004C78D8" w:rsidRDefault="00CD54B2" w:rsidP="00FB7C1F">
            <w:pPr>
              <w:rPr>
                <w:sz w:val="16"/>
                <w:szCs w:val="16"/>
              </w:rPr>
            </w:pPr>
            <w:r w:rsidRPr="004C78D8">
              <w:rPr>
                <w:sz w:val="16"/>
                <w:szCs w:val="16"/>
                <w:vertAlign w:val="superscript"/>
              </w:rPr>
              <w:t>1</w:t>
            </w:r>
            <w:r w:rsidRPr="004C78D8">
              <w:rPr>
                <w:sz w:val="16"/>
                <w:szCs w:val="16"/>
              </w:rPr>
              <w:t xml:space="preserve"> See Table </w:t>
            </w:r>
            <w:r w:rsidR="00EE19A2" w:rsidRPr="004C78D8">
              <w:rPr>
                <w:sz w:val="16"/>
                <w:szCs w:val="16"/>
              </w:rPr>
              <w:t>4</w:t>
            </w:r>
            <w:r w:rsidRPr="004C78D8">
              <w:rPr>
                <w:sz w:val="16"/>
                <w:szCs w:val="16"/>
              </w:rPr>
              <w:t>.2 for study references.</w:t>
            </w:r>
          </w:p>
          <w:p w14:paraId="218B0A6B" w14:textId="1475A26D" w:rsidR="00CD54B2" w:rsidRPr="004C78D8" w:rsidRDefault="00CD54B2" w:rsidP="00FB7C1F">
            <w:pPr>
              <w:rPr>
                <w:sz w:val="16"/>
                <w:szCs w:val="16"/>
              </w:rPr>
            </w:pPr>
            <w:r w:rsidRPr="004C78D8">
              <w:rPr>
                <w:sz w:val="16"/>
                <w:szCs w:val="16"/>
                <w:vertAlign w:val="superscript"/>
              </w:rPr>
              <w:t>2</w:t>
            </w:r>
            <w:r w:rsidRPr="004C78D8">
              <w:rPr>
                <w:sz w:val="16"/>
                <w:szCs w:val="16"/>
              </w:rPr>
              <w:t xml:space="preserve"> Supply and demand dimensions to implementation levels are distinguished: uptake (demand) and adoption (supply) for initial access; adherence and fidelity for compliance; and persistence and maintenance for sustainability. See Table 3.5 in Chapter 3 for the references concerning the terms used.</w:t>
            </w:r>
          </w:p>
          <w:p w14:paraId="6E1B811C" w14:textId="77777777" w:rsidR="00CD54B2" w:rsidRPr="004C78D8" w:rsidRDefault="00CD54B2" w:rsidP="00FB7C1F">
            <w:pPr>
              <w:jc w:val="left"/>
              <w:rPr>
                <w:sz w:val="16"/>
                <w:szCs w:val="16"/>
              </w:rPr>
            </w:pPr>
            <w:r w:rsidRPr="004C78D8">
              <w:rPr>
                <w:sz w:val="16"/>
                <w:szCs w:val="16"/>
                <w:vertAlign w:val="superscript"/>
              </w:rPr>
              <w:t>3</w:t>
            </w:r>
            <w:r w:rsidRPr="004C78D8">
              <w:rPr>
                <w:sz w:val="16"/>
                <w:szCs w:val="16"/>
              </w:rPr>
              <w:t xml:space="preserve"> The configuration is the same for Tai Chi in Day (2010)</w:t>
            </w:r>
          </w:p>
          <w:p w14:paraId="303511FF" w14:textId="77777777" w:rsidR="00CD54B2" w:rsidRPr="004C78D8" w:rsidRDefault="00CD54B2" w:rsidP="00FB7C1F">
            <w:pPr>
              <w:jc w:val="left"/>
              <w:rPr>
                <w:sz w:val="18"/>
                <w:szCs w:val="18"/>
              </w:rPr>
            </w:pPr>
            <w:r w:rsidRPr="004C78D8">
              <w:rPr>
                <w:sz w:val="16"/>
                <w:szCs w:val="16"/>
                <w:vertAlign w:val="superscript"/>
              </w:rPr>
              <w:t>4</w:t>
            </w:r>
            <w:r w:rsidRPr="004C78D8">
              <w:rPr>
                <w:sz w:val="16"/>
                <w:szCs w:val="16"/>
              </w:rPr>
              <w:t xml:space="preserve"> Cites the model Moriarty (2019) which does not report the parameter estimates directly.</w:t>
            </w:r>
          </w:p>
        </w:tc>
      </w:tr>
    </w:tbl>
    <w:p w14:paraId="5F84AFB0" w14:textId="77777777" w:rsidR="00CD54B2" w:rsidRPr="004C78D8" w:rsidRDefault="00CD54B2" w:rsidP="00FB7C1F">
      <w:pPr>
        <w:sectPr w:rsidR="00CD54B2" w:rsidRPr="004C78D8" w:rsidSect="00CD54B2">
          <w:pgSz w:w="16838" w:h="11906" w:orient="landscape"/>
          <w:pgMar w:top="1440" w:right="1440" w:bottom="1440" w:left="1440" w:header="708" w:footer="708" w:gutter="0"/>
          <w:cols w:space="708"/>
          <w:docGrid w:linePitch="360"/>
        </w:sectPr>
      </w:pPr>
    </w:p>
    <w:p w14:paraId="2B77907A" w14:textId="5B1A1ACE" w:rsidR="00F0043D" w:rsidRPr="004C78D8" w:rsidRDefault="00694466" w:rsidP="00FB7C1F">
      <w:r w:rsidRPr="004C78D8">
        <w:rPr>
          <w:lang w:val="en-US"/>
        </w:rPr>
        <w:lastRenderedPageBreak/>
        <w:t xml:space="preserve">Table </w:t>
      </w:r>
      <w:r w:rsidR="00EE19A2" w:rsidRPr="004C78D8">
        <w:rPr>
          <w:lang w:val="en-US"/>
        </w:rPr>
        <w:t>4</w:t>
      </w:r>
      <w:r w:rsidRPr="004C78D8">
        <w:rPr>
          <w:lang w:val="en-US"/>
        </w:rPr>
        <w:t>.14 also lists the outcomes used for one-way sensitivity or scenario analys</w:t>
      </w:r>
      <w:r w:rsidR="000D6435" w:rsidRPr="004C78D8">
        <w:rPr>
          <w:lang w:val="en-US"/>
        </w:rPr>
        <w:t>i</w:t>
      </w:r>
      <w:r w:rsidRPr="004C78D8">
        <w:rPr>
          <w:lang w:val="en-US"/>
        </w:rPr>
        <w:t xml:space="preserve">s that involved changes in implementation levels. Twelve of 31 (38.7%) models did not assess varying implementation levels, and several acknowledged this as a limitation </w:t>
      </w:r>
      <w:r w:rsidRPr="004C78D8">
        <w:rPr>
          <w:lang w:val="en-US"/>
        </w:rPr>
        <w:fldChar w:fldCharType="begin">
          <w:fldData xml:space="preserve">PEVuZE5vdGU+PENpdGU+PEF1dGhvcj5GcmFua2xpbjwvQXV0aG9yPjxZZWFyPjIwMTk8L1llYXI+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</w:fldData>
        </w:fldChar>
      </w:r>
      <w:r w:rsidR="00C630FC" w:rsidRPr="004C78D8">
        <w:rPr>
          <w:lang w:val="en-US"/>
        </w:rPr>
        <w:instrText xml:space="preserve"> ADDIN EN.CITE </w:instrText>
      </w:r>
      <w:r w:rsidR="00C630FC" w:rsidRPr="004C78D8">
        <w:rPr>
          <w:lang w:val="en-US"/>
        </w:rPr>
        <w:fldChar w:fldCharType="begin">
          <w:fldData xml:space="preserve">PEVuZE5vdGU+PENpdGU+PEF1dGhvcj5GcmFua2xpbjwvQXV0aG9yPjxZZWFyPjIwMTk8L1llYXI+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</w:fldData>
        </w:fldChar>
      </w:r>
      <w:r w:rsidR="00C630FC" w:rsidRPr="004C78D8">
        <w:rPr>
          <w:lang w:val="en-US"/>
        </w:rPr>
        <w:instrText xml:space="preserve"> ADDIN EN.CITE.DATA </w:instrText>
      </w:r>
      <w:r w:rsidR="00C630FC" w:rsidRPr="004C78D8">
        <w:rPr>
          <w:lang w:val="en-US"/>
        </w:rPr>
      </w:r>
      <w:r w:rsidR="00C630FC" w:rsidRPr="004C78D8">
        <w:rPr>
          <w:lang w:val="en-US"/>
        </w:rPr>
        <w:fldChar w:fldCharType="end"/>
      </w:r>
      <w:r w:rsidRPr="004C78D8">
        <w:rPr>
          <w:lang w:val="en-US"/>
        </w:rPr>
      </w:r>
      <w:r w:rsidRPr="004C78D8">
        <w:rPr>
          <w:lang w:val="en-US"/>
        </w:rPr>
        <w:fldChar w:fldCharType="separate"/>
      </w:r>
      <w:r w:rsidR="00C630FC" w:rsidRPr="004C78D8">
        <w:rPr>
          <w:noProof/>
          <w:lang w:val="en-US"/>
        </w:rPr>
        <w:t>[343, 363, 364]</w:t>
      </w:r>
      <w:r w:rsidRPr="004C78D8">
        <w:rPr>
          <w:lang w:val="en-US"/>
        </w:rPr>
        <w:fldChar w:fldCharType="end"/>
      </w:r>
      <w:r w:rsidRPr="004C78D8">
        <w:rPr>
          <w:lang w:val="en-US"/>
        </w:rPr>
        <w:t xml:space="preserve">. </w:t>
      </w:r>
      <w:r w:rsidRPr="004C78D8">
        <w:t xml:space="preserve">Cost-per-unit ratios were the most common outcomes used (by 15 models). A key disadvantage of ratios is that their association with implementation levels depends strongly on the cost summary method, specifically whether fixed/sunk intervention costs are incorporated. If fixed costs are translated to per-participant rates, higher implementation level would </w:t>
      </w:r>
      <w:r w:rsidRPr="004C78D8">
        <w:rPr>
          <w:lang w:val="en-US"/>
        </w:rPr>
        <w:t xml:space="preserve">raise the net intervention cost and health benefit at the constant rates such that the cost-per-unit ratio remains constant. Accordingly, models without fixed costs found that varying implementation had minimal impacts on cost-per-unit ratio </w:t>
      </w:r>
      <w:r w:rsidRPr="004C78D8">
        <w:rPr>
          <w:lang w:val="en-US"/>
        </w:rPr>
        <w:fldChar w:fldCharType="begin">
          <w:fldData xml:space="preserve">PEVuZE5vdGU+PENpdGU+PEF1dGhvcj5EYXk8L0F1dGhvcj48WWVhcj4yMDA5PC9ZZWFyPjxSZWNO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</w:fldData>
        </w:fldChar>
      </w:r>
      <w:r w:rsidR="00C630FC" w:rsidRPr="004C78D8">
        <w:rPr>
          <w:lang w:val="en-US"/>
        </w:rPr>
        <w:instrText xml:space="preserve"> ADDIN EN.CITE </w:instrText>
      </w:r>
      <w:r w:rsidR="00C630FC" w:rsidRPr="004C78D8">
        <w:rPr>
          <w:lang w:val="en-US"/>
        </w:rPr>
        <w:fldChar w:fldCharType="begin">
          <w:fldData xml:space="preserve">PEVuZE5vdGU+PENpdGU+PEF1dGhvcj5EYXk8L0F1dGhvcj48WWVhcj4yMDA5PC9ZZWFyPjxSZWNO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</w:fldData>
        </w:fldChar>
      </w:r>
      <w:r w:rsidR="00C630FC" w:rsidRPr="004C78D8">
        <w:rPr>
          <w:lang w:val="en-US"/>
        </w:rPr>
        <w:instrText xml:space="preserve"> ADDIN EN.CITE.DATA </w:instrText>
      </w:r>
      <w:r w:rsidR="00C630FC" w:rsidRPr="004C78D8">
        <w:rPr>
          <w:lang w:val="en-US"/>
        </w:rPr>
      </w:r>
      <w:r w:rsidR="00C630FC" w:rsidRPr="004C78D8">
        <w:rPr>
          <w:lang w:val="en-US"/>
        </w:rPr>
        <w:fldChar w:fldCharType="end"/>
      </w:r>
      <w:r w:rsidRPr="004C78D8">
        <w:rPr>
          <w:lang w:val="en-US"/>
        </w:rPr>
      </w:r>
      <w:r w:rsidRPr="004C78D8">
        <w:rPr>
          <w:lang w:val="en-US"/>
        </w:rPr>
        <w:fldChar w:fldCharType="separate"/>
      </w:r>
      <w:r w:rsidR="00C630FC" w:rsidRPr="004C78D8">
        <w:rPr>
          <w:noProof/>
          <w:lang w:val="en-US"/>
        </w:rPr>
        <w:t>[167, 206, 241, 318, 340, 344, 353, 361, 362]</w:t>
      </w:r>
      <w:r w:rsidRPr="004C78D8">
        <w:rPr>
          <w:lang w:val="en-US"/>
        </w:rPr>
        <w:fldChar w:fldCharType="end"/>
      </w:r>
      <w:r w:rsidRPr="004C78D8">
        <w:rPr>
          <w:lang w:val="en-US"/>
        </w:rPr>
        <w:t xml:space="preserve">. </w:t>
      </w:r>
      <w:r w:rsidR="006D63A6" w:rsidRPr="004C78D8">
        <w:t>R</w:t>
      </w:r>
      <w:r w:rsidRPr="004C78D8">
        <w:t xml:space="preserve">atios </w:t>
      </w:r>
      <w:r w:rsidR="006D63A6" w:rsidRPr="004C78D8">
        <w:t>should thus</w:t>
      </w:r>
      <w:r w:rsidRPr="004C78D8">
        <w:t xml:space="preserve"> be interpreted alongside aggregate outcomes to enable holistic evaluations. For example, Zarca (2014) found that adherence rate of 30% was sufficient to generate a favourable ICER and ruled out further information campaigns to improve adherence; but this neglects the aggregate benefits foregone by low adherence.</w:t>
      </w:r>
    </w:p>
    <w:p w14:paraId="716EF337" w14:textId="66E66DBD" w:rsidR="00267F77" w:rsidRPr="004C78D8" w:rsidRDefault="00267F77" w:rsidP="00FB7C1F">
      <w:r w:rsidRPr="004C78D8">
        <w:t xml:space="preserve">Twelve models evaluated the effect of varying implementation on aggregate outcomes: total number of falls prevented </w:t>
      </w:r>
      <w:r w:rsidRPr="004C78D8">
        <w:fldChar w:fldCharType="begin">
          <w:fldData xml:space="preserve">PEVuZE5vdGU+PENpdGU+PEF1dGhvcj5EYXk8L0F1dGhvcj48WWVhcj4yMDA5PC9ZZWFyPjxSZWNO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</w:fldData>
        </w:fldChar>
      </w:r>
      <w:r w:rsidR="00C630FC" w:rsidRPr="004C78D8">
        <w:instrText xml:space="preserve"> ADDIN EN.CITE </w:instrText>
      </w:r>
      <w:r w:rsidR="00C630FC" w:rsidRPr="004C78D8">
        <w:fldChar w:fldCharType="begin">
          <w:fldData xml:space="preserve">PEVuZE5vdGU+PENpdGU+PEF1dGhvcj5EYXk8L0F1dGhvcj48WWVhcj4yMDA5PC9ZZWFyPjxSZWNO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[167, 274, 353]</w:t>
      </w:r>
      <w:r w:rsidRPr="004C78D8">
        <w:fldChar w:fldCharType="end"/>
      </w:r>
      <w:r w:rsidRPr="004C78D8">
        <w:t xml:space="preserve">; incremental costs and QALYs in CUA </w:t>
      </w:r>
      <w:r w:rsidRPr="004C78D8">
        <w:fldChar w:fldCharType="begin">
          <w:fldData xml:space="preserve">PEVuZE5vdGU+PENpdGU+PEF1dGhvcj5EZXZlcmFsbDwvQXV0aG9yPjxZZWFyPjIwMTg8L1llYXI+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</w:fldData>
        </w:fldChar>
      </w:r>
      <w:r w:rsidR="00C630FC" w:rsidRPr="004C78D8">
        <w:instrText xml:space="preserve"> ADDIN EN.CITE </w:instrText>
      </w:r>
      <w:r w:rsidR="00C630FC" w:rsidRPr="004C78D8">
        <w:fldChar w:fldCharType="begin">
          <w:fldData xml:space="preserve">PEVuZE5vdGU+PENpdGU+PEF1dGhvcj5EZXZlcmFsbDwvQXV0aG9yPjxZZWFyPjIwMTg8L1llYXI+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[206, 241, 344-346, 348, 361]</w:t>
      </w:r>
      <w:r w:rsidRPr="004C78D8">
        <w:fldChar w:fldCharType="end"/>
      </w:r>
      <w:r w:rsidRPr="004C78D8">
        <w:t xml:space="preserve">; and aggregate net economic saving in ROI </w:t>
      </w:r>
      <w:r w:rsidRPr="004C78D8">
        <w:fldChar w:fldCharType="begin">
          <w:fldData xml:space="preserve">PEVuZE5vdGU+PENpdGU+PEF1dGhvcj5Ib3dsYW5kPC9BdXRob3I+PFllYXI+MjAxNTwvWWVhcj48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</w:fldData>
        </w:fldChar>
      </w:r>
      <w:r w:rsidR="00C630FC" w:rsidRPr="004C78D8">
        <w:instrText xml:space="preserve"> ADDIN EN.CITE </w:instrText>
      </w:r>
      <w:r w:rsidR="00C630FC" w:rsidRPr="004C78D8">
        <w:fldChar w:fldCharType="begin">
          <w:fldData xml:space="preserve">PEVuZE5vdGU+PENpdGU+PEF1dGhvcj5Ib3dsYW5kPC9BdXRob3I+PFllYXI+MjAxNTwvWWVhcj48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[200, 340]</w:t>
      </w:r>
      <w:r w:rsidRPr="004C78D8">
        <w:fldChar w:fldCharType="end"/>
      </w:r>
      <w:r w:rsidRPr="004C78D8">
        <w:t xml:space="preserve">. Of the latter, Howland (2015) estimated that increasing the uptake of multiple-component interventions from a base case rate of 50% to 75% would generate savings of $2.79 million for a population of 44,000. This represents the maximum amount the decision-maker could spend on auxiliary implementation strategies to achieve the bespoke uptake increase. Yet, models seldom discussed </w:t>
      </w:r>
      <w:r w:rsidRPr="004C78D8">
        <w:rPr>
          <w:i/>
          <w:iCs/>
        </w:rPr>
        <w:t>how</w:t>
      </w:r>
      <w:r w:rsidRPr="004C78D8">
        <w:t xml:space="preserve"> the variations in implementation levels were generated, often assessing the variations under deterministic sensitivity analysis (i.e., to assess parameter uncertainty) rather than under scenario analysis as distinct intervention strategies (e.g., </w:t>
      </w:r>
      <w:r w:rsidRPr="004C78D8">
        <w:fldChar w:fldCharType="begin">
          <w:fldData xml:space="preserve">PEVuZE5vdGU+PENpdGU+PEF1dGhvcj5EZXZlcmFsbDwvQXV0aG9yPjxZZWFyPjIwMTg8L1llYXI+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</w:fldData>
        </w:fldChar>
      </w:r>
      <w:r w:rsidR="00C630FC" w:rsidRPr="004C78D8">
        <w:instrText xml:space="preserve"> ADDIN EN.CITE </w:instrText>
      </w:r>
      <w:r w:rsidR="00C630FC" w:rsidRPr="004C78D8">
        <w:fldChar w:fldCharType="begin">
          <w:fldData xml:space="preserve">PEVuZE5vdGU+PENpdGU+PEF1dGhvcj5EZXZlcmFsbDwvQXV0aG9yPjxZZWFyPjIwMTg8L1llYXI+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[206, 241, 361]</w:t>
      </w:r>
      <w:r w:rsidRPr="004C78D8">
        <w:fldChar w:fldCharType="end"/>
      </w:r>
      <w:r w:rsidRPr="004C78D8">
        <w:t>).</w:t>
      </w:r>
    </w:p>
    <w:p w14:paraId="524B958E" w14:textId="4CEF135F" w:rsidR="00267F77" w:rsidRPr="004C78D8" w:rsidRDefault="00267F77" w:rsidP="00FB7C1F">
      <w:pPr>
        <w:rPr>
          <w:lang w:val="en-US"/>
        </w:rPr>
      </w:pPr>
      <w:r w:rsidRPr="004C78D8">
        <w:t xml:space="preserve">An issue related to implementation is the presence of capacity or budget constraint which defines the feasible levels of implementation </w:t>
      </w:r>
      <w:r w:rsidRPr="004C78D8">
        <w:fldChar w:fldCharType="begin"/>
      </w:r>
      <w:r w:rsidR="00C630FC" w:rsidRPr="004C78D8">
        <w:instrText xml:space="preserve"> ADDIN EN.CITE &lt;EndNote&gt;&lt;Cite&gt;&lt;Author&gt;Earnshaw&lt;/Author&gt;&lt;Year&gt;2002&lt;/Year&gt;&lt;RecNum&gt;486&lt;/RecNum&gt;&lt;DisplayText&gt;[240]&lt;/DisplayText&gt;&lt;record&gt;&lt;rec-number&gt;486&lt;/rec-number&gt;&lt;foreign-keys&gt;&lt;key app="EN" db-id="tdtrdw9aepptzbefsat599syza29sxsd2wsp" timestamp="1616693156"&gt;486&lt;/key&gt;&lt;/foreign-keys&gt;&lt;ref-type name="Journal Article"&gt;17&lt;/ref-type&gt;&lt;contributors&gt;&lt;authors&gt;&lt;author&gt;Earnshaw, Stephanie R&lt;/author&gt;&lt;author&gt;Richter, Anke&lt;/author&gt;&lt;author&gt;Sorensen, Stephen W&lt;/author&gt;&lt;author&gt;Hoerger, Thomas J&lt;/author&gt;&lt;author&gt;Hicks, Katherine A&lt;/author&gt;&lt;author&gt;Engelgau, Michael&lt;/author&gt;&lt;author&gt;Thompson, Ted&lt;/author&gt;&lt;author&gt;Venkat Narayan, KM&lt;/author&gt;&lt;author&gt;Williamson, David F&lt;/author&gt;&lt;author&gt;Gregg, Edward&lt;/author&gt;&lt;/authors&gt;&lt;/contributors&gt;&lt;titles&gt;&lt;title&gt;Optimal allocation of resources across four interventions for type 2 diabetes&lt;/title&gt;&lt;secondary-title&gt;Medical Decision Making&lt;/secondary-title&gt;&lt;/titles&gt;&lt;periodical&gt;&lt;full-title&gt;Medical Decision Making&lt;/full-title&gt;&lt;/periodical&gt;&lt;pages&gt;80-91&lt;/pages&gt;&lt;volume&gt;22&lt;/volume&gt;&lt;number&gt;1_suppl&lt;/number&gt;&lt;dates&gt;&lt;year&gt;2002&lt;/year&gt;&lt;/dates&gt;&lt;isbn&gt;0272-989X&lt;/isbn&gt;&lt;urls&gt;&lt;/urls&gt;&lt;/record&gt;&lt;/Cite&gt;&lt;/EndNote&gt;</w:instrText>
      </w:r>
      <w:r w:rsidRPr="004C78D8">
        <w:fldChar w:fldCharType="separate"/>
      </w:r>
      <w:r w:rsidR="00C630FC" w:rsidRPr="004C78D8">
        <w:rPr>
          <w:noProof/>
        </w:rPr>
        <w:t>[240]</w:t>
      </w:r>
      <w:r w:rsidRPr="004C78D8">
        <w:fldChar w:fldCharType="end"/>
      </w:r>
      <w:r w:rsidRPr="004C78D8">
        <w:t xml:space="preserve">; no model incorporated such constraints. PHE (2018), for example, </w:t>
      </w:r>
      <w:r w:rsidRPr="004C78D8">
        <w:rPr>
          <w:lang w:val="en-US"/>
        </w:rPr>
        <w:t xml:space="preserve">assumed that in a typical English local health authority area, around 5,000 older persons would receive group exercise at any time. With </w:t>
      </w:r>
      <w:r w:rsidR="009132A2" w:rsidRPr="004C78D8">
        <w:rPr>
          <w:lang w:val="en-US"/>
        </w:rPr>
        <w:t>2</w:t>
      </w:r>
      <w:r w:rsidRPr="004C78D8">
        <w:rPr>
          <w:lang w:val="en-US"/>
        </w:rPr>
        <w:t xml:space="preserve">0 participants per group, this would require </w:t>
      </w:r>
      <w:r w:rsidR="009132A2" w:rsidRPr="004C78D8">
        <w:rPr>
          <w:lang w:val="en-US"/>
        </w:rPr>
        <w:t>250</w:t>
      </w:r>
      <w:r w:rsidRPr="004C78D8">
        <w:rPr>
          <w:lang w:val="en-US"/>
        </w:rPr>
        <w:t xml:space="preserve"> venues per week, which is likely beyond the venue capacity of most local health authorities. For decision-makers overseeing a specific geographical region, the sizes of the newly incoming cohorts (e.g., newly turned age 60 or 65) would affect the capacity use over time; yet, as </w:t>
      </w:r>
      <w:r w:rsidR="009132A2" w:rsidRPr="004C78D8">
        <w:rPr>
          <w:lang w:val="en-US"/>
        </w:rPr>
        <w:t>not</w:t>
      </w:r>
      <w:r w:rsidRPr="004C78D8">
        <w:rPr>
          <w:lang w:val="en-US"/>
        </w:rPr>
        <w:t>ed, only Nshimyumukiza (2013) incorporated incoming cohorts and only for the first 10 years.</w:t>
      </w:r>
    </w:p>
    <w:p w14:paraId="0DEEF374" w14:textId="76177BD4" w:rsidR="00267F77" w:rsidRPr="004C78D8" w:rsidRDefault="00267F77" w:rsidP="00FB7C1F">
      <w:pPr>
        <w:rPr>
          <w:lang w:val="en-US"/>
        </w:rPr>
      </w:pPr>
      <w:r w:rsidRPr="004C78D8">
        <w:t xml:space="preserve">Overall, the most pressing methodological issue regarding behaviour and implementation concerns parameterising the long-term intervention sustainability using appropriate evidence rather than </w:t>
      </w:r>
      <w:r w:rsidR="009132A2" w:rsidRPr="004C78D8">
        <w:t xml:space="preserve">using </w:t>
      </w:r>
      <w:r w:rsidRPr="004C78D8">
        <w:t xml:space="preserve">modeller assumptions. Moreover, there is greater scope for conducting VoIM analyses and incorporating capacity constraints to improve model credibility </w:t>
      </w:r>
      <w:r w:rsidRPr="004C78D8">
        <w:fldChar w:fldCharType="begin"/>
      </w:r>
      <w:r w:rsidR="00C630FC" w:rsidRPr="004C78D8">
        <w:instrText xml:space="preserve"> ADDIN EN.CITE &lt;EndNote&gt;&lt;Cite&gt;&lt;Author&gt;Fenwick&lt;/Author&gt;&lt;Year&gt;2008&lt;/Year&gt;&lt;RecNum&gt;8&lt;/RecNum&gt;&lt;DisplayText&gt;[199, 240]&lt;/DisplayText&gt;&lt;record&gt;&lt;rec-number&gt;8&lt;/rec-number&gt;&lt;foreign-keys&gt;&lt;key app="EN" db-id="tdtrdw9aepptzbefsat599syza29sxsd2wsp" timestamp="1596618759"&gt;8&lt;/key&gt;&lt;/foreign-keys&gt;&lt;ref-type name="Journal Article"&gt;17&lt;/ref-type&gt;&lt;contributors&gt;&lt;authors&gt;&lt;author&gt;Fenwick, Elisabeth&lt;/author&gt;&lt;author&gt;Claxton, Karl&lt;/author&gt;&lt;author&gt;Sculpher, Mark&lt;/author&gt;&lt;/authors&gt;&lt;/contributors&gt;&lt;titles&gt;&lt;title&gt;The value of implementation and the value of information: combined and uneven development&lt;/title&gt;&lt;secondary-title&gt;Medical Decision Making&lt;/secondary-title&gt;&lt;/titles&gt;&lt;periodical&gt;&lt;full-title&gt;Medical Decision Making&lt;/full-title&gt;&lt;/periodical&gt;&lt;pages&gt;21-32&lt;/pages&gt;&lt;volume&gt;28&lt;/volume&gt;&lt;number&gt;1&lt;/number&gt;&lt;dates&gt;&lt;year&gt;2008&lt;/year&gt;&lt;/dates&gt;&lt;isbn&gt;0272-989X&lt;/isbn&gt;&lt;urls&gt;&lt;/urls&gt;&lt;/record&gt;&lt;/Cite&gt;&lt;Cite&gt;&lt;Author&gt;Earnshaw&lt;/Author&gt;&lt;Year&gt;2002&lt;/Year&gt;&lt;RecNum&gt;486&lt;/RecNum&gt;&lt;record&gt;&lt;rec-number&gt;486&lt;/rec-number&gt;&lt;foreign-keys&gt;&lt;key app="EN" db-id="tdtrdw9aepptzbefsat599syza29sxsd2wsp" timestamp="1616693156"&gt;486&lt;/key&gt;&lt;/foreign-keys&gt;&lt;ref-type name="Journal Article"&gt;17&lt;/ref-type&gt;&lt;contributors&gt;&lt;authors&gt;&lt;author&gt;Earnshaw, Stephanie R&lt;/author&gt;&lt;author&gt;Richter, Anke&lt;/author&gt;&lt;author&gt;Sorensen, Stephen W&lt;/author&gt;&lt;author&gt;Hoerger, Thomas J&lt;/author&gt;&lt;author&gt;Hicks, Katherine A&lt;/author&gt;&lt;author&gt;Engelgau, Michael&lt;/author&gt;&lt;author&gt;Thompson, Ted&lt;/author&gt;&lt;author&gt;Venkat Narayan, KM&lt;/author&gt;&lt;author&gt;Williamson, David F&lt;/author&gt;&lt;author&gt;Gregg, Edward&lt;/author&gt;&lt;/authors&gt;&lt;/contributors&gt;&lt;titles&gt;&lt;title&gt;Optimal allocation of resources across four interventions for type 2 diabetes&lt;/title&gt;&lt;secondary-title&gt;Medical Decision Making&lt;/secondary-title&gt;&lt;/titles&gt;&lt;periodical&gt;&lt;full-title&gt;Medical Decision Making&lt;/full-title&gt;&lt;/periodical&gt;&lt;pages&gt;80-91&lt;/pages&gt;&lt;volume&gt;22&lt;/volume&gt;&lt;number&gt;1_suppl&lt;/number&gt;&lt;dates&gt;&lt;year&gt;2002&lt;/year&gt;&lt;/dates&gt;&lt;isbn&gt;0272-989X&lt;/isbn&gt;&lt;urls&gt;&lt;/urls&gt;&lt;/record&gt;&lt;/Cite&gt;&lt;/EndNote&gt;</w:instrText>
      </w:r>
      <w:r w:rsidRPr="004C78D8">
        <w:fldChar w:fldCharType="separate"/>
      </w:r>
      <w:r w:rsidR="00C630FC" w:rsidRPr="004C78D8">
        <w:rPr>
          <w:noProof/>
        </w:rPr>
        <w:t>[199, 240]</w:t>
      </w:r>
      <w:r w:rsidRPr="004C78D8">
        <w:fldChar w:fldCharType="end"/>
      </w:r>
      <w:r w:rsidRPr="004C78D8">
        <w:t>.</w:t>
      </w:r>
    </w:p>
    <w:p w14:paraId="53D26852" w14:textId="1383492C" w:rsidR="00C211AB" w:rsidRPr="004C78D8" w:rsidRDefault="00EE19A2" w:rsidP="00FB7C1F">
      <w:pPr>
        <w:pStyle w:val="Heading4"/>
      </w:pPr>
      <w:r w:rsidRPr="004C78D8">
        <w:t>4</w:t>
      </w:r>
      <w:r w:rsidR="00C211AB" w:rsidRPr="004C78D8">
        <w:t>.5.3.4 Considering issues of equity</w:t>
      </w:r>
    </w:p>
    <w:p w14:paraId="79BF3935" w14:textId="2E9AEBE3" w:rsidR="00C211AB" w:rsidRPr="004C78D8" w:rsidRDefault="001A6BCF" w:rsidP="00FB7C1F">
      <w:r w:rsidRPr="004C78D8">
        <w:t xml:space="preserve">Only seven (15.2%) models, shown in Table </w:t>
      </w:r>
      <w:r w:rsidR="00EE19A2" w:rsidRPr="004C78D8">
        <w:t>4</w:t>
      </w:r>
      <w:r w:rsidR="000B3C85" w:rsidRPr="004C78D8">
        <w:t>.15</w:t>
      </w:r>
      <w:r w:rsidRPr="004C78D8">
        <w:t>, incorporated vulnerable subgroups based on social deprivation or health severity. Two potential causes of reduced capacity to benefit for these subgroups (relative to non-vulnerable peers) could be discerned from the models: (i) the double jeopardy (DJ) problem; and (ii) life expectancy differential (LED) problem.</w:t>
      </w:r>
    </w:p>
    <w:tbl>
      <w:tblPr>
        <w:tblStyle w:val="TableGrid"/>
        <w:tblW w:w="5000" w:type="pct"/>
        <w:tblLook w:val="04A0" w:firstRow="1" w:lastRow="0" w:firstColumn="1" w:lastColumn="0" w:noHBand="0" w:noVBand="1"/>
      </w:tblPr>
      <w:tblGrid>
        <w:gridCol w:w="1558"/>
        <w:gridCol w:w="1994"/>
        <w:gridCol w:w="1984"/>
        <w:gridCol w:w="3480"/>
      </w:tblGrid>
      <w:tr w:rsidR="001A6BCF" w:rsidRPr="004C78D8" w14:paraId="285EF346" w14:textId="77777777" w:rsidTr="002828C1">
        <w:tc>
          <w:tcPr>
            <w:tcW w:w="5000" w:type="pct"/>
            <w:gridSpan w:val="4"/>
          </w:tcPr>
          <w:p w14:paraId="5AE1ED71" w14:textId="08582136" w:rsidR="001A6BCF" w:rsidRPr="004C78D8" w:rsidRDefault="001A6BCF" w:rsidP="00FB7C1F">
            <w:r w:rsidRPr="004C78D8">
              <w:rPr>
                <w:b/>
                <w:bCs/>
              </w:rPr>
              <w:t xml:space="preserve">Table </w:t>
            </w:r>
            <w:r w:rsidR="00EE19A2" w:rsidRPr="004C78D8">
              <w:rPr>
                <w:b/>
                <w:bCs/>
              </w:rPr>
              <w:t>4</w:t>
            </w:r>
            <w:r w:rsidRPr="004C78D8">
              <w:rPr>
                <w:b/>
                <w:bCs/>
              </w:rPr>
              <w:t>.15</w:t>
            </w:r>
            <w:r w:rsidRPr="004C78D8">
              <w:t xml:space="preserve"> Social and severity subgroups in models and cause(s) of reduced capacity to benefit.</w:t>
            </w:r>
          </w:p>
        </w:tc>
      </w:tr>
      <w:tr w:rsidR="001A6BCF" w:rsidRPr="004C78D8" w14:paraId="74BB3E61" w14:textId="77777777" w:rsidTr="002828C1">
        <w:tc>
          <w:tcPr>
            <w:tcW w:w="864" w:type="pct"/>
            <w:vAlign w:val="bottom"/>
          </w:tcPr>
          <w:p w14:paraId="5DA79B7F" w14:textId="77777777" w:rsidR="001A6BCF" w:rsidRPr="004C78D8" w:rsidRDefault="001A6BCF" w:rsidP="00FB7C1F">
            <w:pPr>
              <w:jc w:val="left"/>
              <w:rPr>
                <w:sz w:val="18"/>
                <w:szCs w:val="18"/>
              </w:rPr>
            </w:pPr>
            <w:r w:rsidRPr="004C78D8">
              <w:rPr>
                <w:b/>
                <w:bCs/>
                <w:sz w:val="18"/>
                <w:szCs w:val="18"/>
              </w:rPr>
              <w:t>Study label</w:t>
            </w:r>
            <w:r w:rsidRPr="004C78D8">
              <w:rPr>
                <w:b/>
                <w:bCs/>
                <w:sz w:val="18"/>
                <w:szCs w:val="18"/>
                <w:vertAlign w:val="superscript"/>
              </w:rPr>
              <w:t>1</w:t>
            </w:r>
          </w:p>
        </w:tc>
        <w:tc>
          <w:tcPr>
            <w:tcW w:w="1106" w:type="pct"/>
            <w:vAlign w:val="bottom"/>
          </w:tcPr>
          <w:p w14:paraId="02053387" w14:textId="37FEBB81" w:rsidR="001A6BCF" w:rsidRPr="004C78D8" w:rsidRDefault="001A6BCF" w:rsidP="00FB7C1F">
            <w:pPr>
              <w:jc w:val="left"/>
              <w:rPr>
                <w:sz w:val="18"/>
                <w:szCs w:val="18"/>
              </w:rPr>
            </w:pPr>
            <w:r w:rsidRPr="004C78D8">
              <w:rPr>
                <w:b/>
                <w:bCs/>
                <w:sz w:val="18"/>
                <w:szCs w:val="18"/>
              </w:rPr>
              <w:t>Subgroup delineat</w:t>
            </w:r>
            <w:r w:rsidR="005056A1" w:rsidRPr="004C78D8">
              <w:rPr>
                <w:b/>
                <w:bCs/>
                <w:sz w:val="18"/>
                <w:szCs w:val="18"/>
              </w:rPr>
              <w:t>ing characteristic</w:t>
            </w:r>
            <w:r w:rsidRPr="004C78D8">
              <w:rPr>
                <w:b/>
                <w:bCs/>
                <w:sz w:val="18"/>
                <w:szCs w:val="18"/>
                <w:vertAlign w:val="superscript"/>
              </w:rPr>
              <w:t>2</w:t>
            </w:r>
          </w:p>
        </w:tc>
        <w:tc>
          <w:tcPr>
            <w:tcW w:w="1100" w:type="pct"/>
            <w:vAlign w:val="bottom"/>
          </w:tcPr>
          <w:p w14:paraId="1C967419" w14:textId="77777777" w:rsidR="001A6BCF" w:rsidRPr="004C78D8" w:rsidRDefault="001A6BCF" w:rsidP="00FB7C1F">
            <w:pPr>
              <w:jc w:val="left"/>
              <w:rPr>
                <w:sz w:val="18"/>
                <w:szCs w:val="18"/>
              </w:rPr>
            </w:pPr>
            <w:r w:rsidRPr="004C78D8">
              <w:rPr>
                <w:b/>
                <w:bCs/>
                <w:sz w:val="18"/>
                <w:szCs w:val="18"/>
              </w:rPr>
              <w:t>Cause of reduced capacity to benefit</w:t>
            </w:r>
          </w:p>
        </w:tc>
        <w:tc>
          <w:tcPr>
            <w:tcW w:w="1929" w:type="pct"/>
            <w:vAlign w:val="bottom"/>
          </w:tcPr>
          <w:p w14:paraId="52F0A372" w14:textId="77777777" w:rsidR="001A6BCF" w:rsidRPr="004C78D8" w:rsidRDefault="001A6BCF" w:rsidP="00FB7C1F">
            <w:pPr>
              <w:jc w:val="left"/>
              <w:rPr>
                <w:b/>
                <w:bCs/>
                <w:sz w:val="18"/>
                <w:szCs w:val="18"/>
              </w:rPr>
            </w:pPr>
            <w:r w:rsidRPr="004C78D8">
              <w:rPr>
                <w:b/>
                <w:bCs/>
                <w:sz w:val="18"/>
                <w:szCs w:val="18"/>
              </w:rPr>
              <w:t>Note</w:t>
            </w:r>
          </w:p>
        </w:tc>
      </w:tr>
      <w:tr w:rsidR="001A6BCF" w:rsidRPr="004C78D8" w14:paraId="7084430D" w14:textId="77777777" w:rsidTr="002828C1">
        <w:tc>
          <w:tcPr>
            <w:tcW w:w="864" w:type="pct"/>
          </w:tcPr>
          <w:p w14:paraId="4E54F3A4" w14:textId="77777777" w:rsidR="001A6BCF" w:rsidRPr="004C78D8" w:rsidRDefault="001A6BCF" w:rsidP="00FB7C1F">
            <w:pPr>
              <w:jc w:val="left"/>
              <w:rPr>
                <w:sz w:val="18"/>
                <w:szCs w:val="18"/>
              </w:rPr>
            </w:pPr>
            <w:r w:rsidRPr="004C78D8">
              <w:rPr>
                <w:sz w:val="18"/>
                <w:szCs w:val="18"/>
              </w:rPr>
              <w:t>Four BODE3 models</w:t>
            </w:r>
            <w:r w:rsidRPr="004C78D8">
              <w:rPr>
                <w:sz w:val="18"/>
                <w:szCs w:val="18"/>
                <w:vertAlign w:val="superscript"/>
              </w:rPr>
              <w:t>3</w:t>
            </w:r>
          </w:p>
        </w:tc>
        <w:tc>
          <w:tcPr>
            <w:tcW w:w="1106" w:type="pct"/>
          </w:tcPr>
          <w:p w14:paraId="2C13C3B4" w14:textId="77777777" w:rsidR="001A6BCF" w:rsidRPr="004C78D8" w:rsidRDefault="001A6BCF" w:rsidP="00FB7C1F">
            <w:pPr>
              <w:jc w:val="left"/>
              <w:rPr>
                <w:sz w:val="18"/>
                <w:szCs w:val="18"/>
              </w:rPr>
            </w:pPr>
            <w:r w:rsidRPr="004C78D8">
              <w:rPr>
                <w:sz w:val="18"/>
                <w:szCs w:val="18"/>
              </w:rPr>
              <w:t>Social: ethnicity (Maori vs. non-Maori)</w:t>
            </w:r>
          </w:p>
        </w:tc>
        <w:tc>
          <w:tcPr>
            <w:tcW w:w="1100" w:type="pct"/>
          </w:tcPr>
          <w:p w14:paraId="0D47A42A" w14:textId="77777777" w:rsidR="001A6BCF" w:rsidRPr="004C78D8" w:rsidRDefault="001A6BCF" w:rsidP="00FB7C1F">
            <w:pPr>
              <w:jc w:val="left"/>
              <w:rPr>
                <w:sz w:val="18"/>
                <w:szCs w:val="18"/>
              </w:rPr>
            </w:pPr>
            <w:r w:rsidRPr="004C78D8">
              <w:rPr>
                <w:sz w:val="18"/>
                <w:szCs w:val="18"/>
              </w:rPr>
              <w:t>Life expectancy differential</w:t>
            </w:r>
          </w:p>
        </w:tc>
        <w:tc>
          <w:tcPr>
            <w:tcW w:w="1929" w:type="pct"/>
          </w:tcPr>
          <w:p w14:paraId="10719596" w14:textId="77777777" w:rsidR="001A6BCF" w:rsidRPr="004C78D8" w:rsidRDefault="001A6BCF" w:rsidP="00FB7C1F">
            <w:pPr>
              <w:jc w:val="left"/>
              <w:rPr>
                <w:sz w:val="18"/>
                <w:szCs w:val="18"/>
              </w:rPr>
            </w:pPr>
            <w:r w:rsidRPr="004C78D8">
              <w:rPr>
                <w:sz w:val="18"/>
                <w:szCs w:val="18"/>
              </w:rPr>
              <w:t>Also explores outcome differences across sex subgroups. Difficult to explore the double jeopardy problem due to homogenous intervention efficacy, cost and implementation level across subgroups.</w:t>
            </w:r>
          </w:p>
        </w:tc>
      </w:tr>
      <w:tr w:rsidR="001A6BCF" w:rsidRPr="004C78D8" w14:paraId="622FF2AD" w14:textId="77777777" w:rsidTr="002828C1">
        <w:tc>
          <w:tcPr>
            <w:tcW w:w="864" w:type="pct"/>
          </w:tcPr>
          <w:p w14:paraId="1D0D4655" w14:textId="77777777" w:rsidR="001A6BCF" w:rsidRPr="004C78D8" w:rsidRDefault="001A6BCF" w:rsidP="00FB7C1F">
            <w:pPr>
              <w:jc w:val="left"/>
              <w:rPr>
                <w:sz w:val="18"/>
                <w:szCs w:val="18"/>
              </w:rPr>
            </w:pPr>
            <w:r w:rsidRPr="004C78D8">
              <w:rPr>
                <w:sz w:val="18"/>
                <w:szCs w:val="18"/>
              </w:rPr>
              <w:t>Eldridge (2005)</w:t>
            </w:r>
          </w:p>
        </w:tc>
        <w:tc>
          <w:tcPr>
            <w:tcW w:w="1106" w:type="pct"/>
          </w:tcPr>
          <w:p w14:paraId="214FE10E" w14:textId="77777777" w:rsidR="001A6BCF" w:rsidRPr="004C78D8" w:rsidRDefault="001A6BCF" w:rsidP="00FB7C1F">
            <w:pPr>
              <w:jc w:val="left"/>
              <w:rPr>
                <w:sz w:val="18"/>
                <w:szCs w:val="18"/>
              </w:rPr>
            </w:pPr>
            <w:r w:rsidRPr="004C78D8">
              <w:rPr>
                <w:sz w:val="18"/>
                <w:szCs w:val="18"/>
              </w:rPr>
              <w:t>Severity: fear of falling</w:t>
            </w:r>
          </w:p>
        </w:tc>
        <w:tc>
          <w:tcPr>
            <w:tcW w:w="1100" w:type="pct"/>
          </w:tcPr>
          <w:p w14:paraId="10799614" w14:textId="77777777" w:rsidR="001A6BCF" w:rsidRPr="004C78D8" w:rsidRDefault="001A6BCF" w:rsidP="00FB7C1F">
            <w:pPr>
              <w:jc w:val="left"/>
              <w:rPr>
                <w:sz w:val="18"/>
                <w:szCs w:val="18"/>
              </w:rPr>
            </w:pPr>
            <w:r w:rsidRPr="004C78D8">
              <w:rPr>
                <w:sz w:val="18"/>
                <w:szCs w:val="18"/>
              </w:rPr>
              <w:t>Life expectancy differential</w:t>
            </w:r>
          </w:p>
        </w:tc>
        <w:tc>
          <w:tcPr>
            <w:tcW w:w="1929" w:type="pct"/>
          </w:tcPr>
          <w:p w14:paraId="237F3564" w14:textId="77777777" w:rsidR="001A6BCF" w:rsidRPr="004C78D8" w:rsidRDefault="001A6BCF" w:rsidP="00FB7C1F">
            <w:pPr>
              <w:jc w:val="left"/>
              <w:rPr>
                <w:sz w:val="18"/>
                <w:szCs w:val="18"/>
              </w:rPr>
            </w:pPr>
            <w:r w:rsidRPr="004C78D8">
              <w:rPr>
                <w:sz w:val="18"/>
                <w:szCs w:val="18"/>
              </w:rPr>
              <w:t>Fear of falling experienced by fallers and non-fallers and hence can be interpreted as frailty. Does not report subgroup results.</w:t>
            </w:r>
          </w:p>
        </w:tc>
      </w:tr>
      <w:tr w:rsidR="001A6BCF" w:rsidRPr="004C78D8" w14:paraId="0495B461" w14:textId="77777777" w:rsidTr="002828C1">
        <w:tc>
          <w:tcPr>
            <w:tcW w:w="864" w:type="pct"/>
          </w:tcPr>
          <w:p w14:paraId="647DBD46" w14:textId="77777777" w:rsidR="001A6BCF" w:rsidRPr="004C78D8" w:rsidRDefault="001A6BCF" w:rsidP="00FB7C1F">
            <w:pPr>
              <w:jc w:val="left"/>
              <w:rPr>
                <w:sz w:val="18"/>
                <w:szCs w:val="18"/>
              </w:rPr>
            </w:pPr>
            <w:r w:rsidRPr="004C78D8">
              <w:rPr>
                <w:sz w:val="18"/>
                <w:szCs w:val="18"/>
              </w:rPr>
              <w:lastRenderedPageBreak/>
              <w:t>Honkanen (2006)</w:t>
            </w:r>
          </w:p>
        </w:tc>
        <w:tc>
          <w:tcPr>
            <w:tcW w:w="1106" w:type="pct"/>
          </w:tcPr>
          <w:p w14:paraId="46D30BE2" w14:textId="77777777" w:rsidR="001A6BCF" w:rsidRPr="004C78D8" w:rsidRDefault="001A6BCF" w:rsidP="00FB7C1F">
            <w:pPr>
              <w:jc w:val="left"/>
              <w:rPr>
                <w:sz w:val="18"/>
                <w:szCs w:val="18"/>
              </w:rPr>
            </w:pPr>
            <w:r w:rsidRPr="004C78D8">
              <w:rPr>
                <w:sz w:val="18"/>
                <w:szCs w:val="18"/>
              </w:rPr>
              <w:t>Severity: functional dependence</w:t>
            </w:r>
          </w:p>
        </w:tc>
        <w:tc>
          <w:tcPr>
            <w:tcW w:w="1100" w:type="pct"/>
          </w:tcPr>
          <w:p w14:paraId="297BB4B2" w14:textId="77777777" w:rsidR="001A6BCF" w:rsidRPr="004C78D8" w:rsidRDefault="001A6BCF" w:rsidP="00FB7C1F">
            <w:pPr>
              <w:jc w:val="left"/>
              <w:rPr>
                <w:sz w:val="18"/>
                <w:szCs w:val="18"/>
              </w:rPr>
            </w:pPr>
            <w:r w:rsidRPr="004C78D8">
              <w:rPr>
                <w:sz w:val="18"/>
                <w:szCs w:val="18"/>
              </w:rPr>
              <w:t>Double jeopardy; Life expectancy differential</w:t>
            </w:r>
          </w:p>
        </w:tc>
        <w:tc>
          <w:tcPr>
            <w:tcW w:w="1929" w:type="pct"/>
          </w:tcPr>
          <w:p w14:paraId="09CFD11B" w14:textId="77777777" w:rsidR="001A6BCF" w:rsidRPr="004C78D8" w:rsidRDefault="001A6BCF" w:rsidP="00FB7C1F">
            <w:pPr>
              <w:jc w:val="left"/>
              <w:rPr>
                <w:sz w:val="18"/>
                <w:szCs w:val="18"/>
              </w:rPr>
            </w:pPr>
          </w:p>
        </w:tc>
      </w:tr>
      <w:tr w:rsidR="001A6BCF" w:rsidRPr="004C78D8" w14:paraId="227D943F" w14:textId="77777777" w:rsidTr="002828C1">
        <w:tc>
          <w:tcPr>
            <w:tcW w:w="864" w:type="pct"/>
          </w:tcPr>
          <w:p w14:paraId="7E35B039" w14:textId="77777777" w:rsidR="001A6BCF" w:rsidRPr="004C78D8" w:rsidRDefault="001A6BCF" w:rsidP="00FB7C1F">
            <w:pPr>
              <w:jc w:val="left"/>
              <w:rPr>
                <w:sz w:val="18"/>
                <w:szCs w:val="18"/>
              </w:rPr>
            </w:pPr>
            <w:r w:rsidRPr="004C78D8">
              <w:rPr>
                <w:sz w:val="18"/>
                <w:szCs w:val="18"/>
              </w:rPr>
              <w:t>Smith (2016)</w:t>
            </w:r>
          </w:p>
        </w:tc>
        <w:tc>
          <w:tcPr>
            <w:tcW w:w="1106" w:type="pct"/>
          </w:tcPr>
          <w:p w14:paraId="6CB66361" w14:textId="77777777" w:rsidR="001A6BCF" w:rsidRPr="004C78D8" w:rsidRDefault="001A6BCF" w:rsidP="00FB7C1F">
            <w:pPr>
              <w:jc w:val="left"/>
              <w:rPr>
                <w:sz w:val="18"/>
                <w:szCs w:val="18"/>
              </w:rPr>
            </w:pPr>
            <w:r w:rsidRPr="004C78D8">
              <w:rPr>
                <w:sz w:val="18"/>
                <w:szCs w:val="18"/>
              </w:rPr>
              <w:t>Severity: multivariate falls risk/frailty</w:t>
            </w:r>
            <w:r w:rsidRPr="004C78D8">
              <w:rPr>
                <w:sz w:val="18"/>
                <w:szCs w:val="18"/>
                <w:vertAlign w:val="superscript"/>
              </w:rPr>
              <w:t>4</w:t>
            </w:r>
            <w:r w:rsidRPr="004C78D8">
              <w:rPr>
                <w:sz w:val="18"/>
                <w:szCs w:val="18"/>
              </w:rPr>
              <w:t xml:space="preserve"> profile</w:t>
            </w:r>
          </w:p>
        </w:tc>
        <w:tc>
          <w:tcPr>
            <w:tcW w:w="1100" w:type="pct"/>
          </w:tcPr>
          <w:p w14:paraId="2C0F7700" w14:textId="77777777" w:rsidR="001A6BCF" w:rsidRPr="004C78D8" w:rsidRDefault="001A6BCF" w:rsidP="00FB7C1F">
            <w:pPr>
              <w:jc w:val="left"/>
              <w:rPr>
                <w:sz w:val="18"/>
                <w:szCs w:val="18"/>
              </w:rPr>
            </w:pPr>
            <w:r w:rsidRPr="004C78D8">
              <w:rPr>
                <w:sz w:val="18"/>
                <w:szCs w:val="18"/>
              </w:rPr>
              <w:t>No reduced capacity</w:t>
            </w:r>
          </w:p>
        </w:tc>
        <w:tc>
          <w:tcPr>
            <w:tcW w:w="1929" w:type="pct"/>
          </w:tcPr>
          <w:p w14:paraId="68551117" w14:textId="77777777" w:rsidR="001A6BCF" w:rsidRPr="004C78D8" w:rsidRDefault="001A6BCF" w:rsidP="00FB7C1F">
            <w:pPr>
              <w:jc w:val="left"/>
              <w:rPr>
                <w:sz w:val="18"/>
                <w:szCs w:val="18"/>
              </w:rPr>
            </w:pPr>
            <w:r w:rsidRPr="004C78D8">
              <w:rPr>
                <w:sz w:val="18"/>
                <w:szCs w:val="18"/>
              </w:rPr>
              <w:t>Multivariate falls risk/frailty profile contained age, sex, all-cause secondary care use, fall and fracture history, chronic diseases and polypharmacy; all persons had same intervention efficacy, cost and implementation level.</w:t>
            </w:r>
          </w:p>
        </w:tc>
      </w:tr>
      <w:tr w:rsidR="001A6BCF" w:rsidRPr="004C78D8" w14:paraId="4A12BFA6" w14:textId="77777777" w:rsidTr="002828C1">
        <w:tc>
          <w:tcPr>
            <w:tcW w:w="5000" w:type="pct"/>
            <w:gridSpan w:val="4"/>
          </w:tcPr>
          <w:p w14:paraId="46ACF626" w14:textId="77777777" w:rsidR="001A6BCF" w:rsidRPr="004C78D8" w:rsidRDefault="001A6BCF" w:rsidP="00FB7C1F">
            <w:pPr>
              <w:rPr>
                <w:sz w:val="18"/>
                <w:szCs w:val="18"/>
              </w:rPr>
            </w:pPr>
            <w:r w:rsidRPr="004C78D8">
              <w:rPr>
                <w:b/>
                <w:bCs/>
                <w:sz w:val="18"/>
                <w:szCs w:val="18"/>
              </w:rPr>
              <w:t>Abbreviation:</w:t>
            </w:r>
            <w:r w:rsidRPr="004C78D8">
              <w:rPr>
                <w:sz w:val="18"/>
                <w:szCs w:val="18"/>
              </w:rPr>
              <w:t xml:space="preserve"> BODE3: Burden of Disease Epidemiology, Equity &amp; Cost-Effectiveness; HAM: home assessment and modification</w:t>
            </w:r>
          </w:p>
          <w:p w14:paraId="746BF1A8" w14:textId="426C281E" w:rsidR="001A6BCF" w:rsidRPr="004C78D8" w:rsidRDefault="001A6BCF" w:rsidP="00FB7C1F">
            <w:pPr>
              <w:rPr>
                <w:sz w:val="18"/>
                <w:szCs w:val="18"/>
              </w:rPr>
            </w:pPr>
            <w:r w:rsidRPr="004C78D8">
              <w:rPr>
                <w:sz w:val="18"/>
                <w:szCs w:val="18"/>
                <w:vertAlign w:val="superscript"/>
              </w:rPr>
              <w:t>1</w:t>
            </w:r>
            <w:r w:rsidRPr="004C78D8">
              <w:rPr>
                <w:sz w:val="18"/>
                <w:szCs w:val="18"/>
              </w:rPr>
              <w:t xml:space="preserve"> See Table </w:t>
            </w:r>
            <w:r w:rsidR="00EE19A2" w:rsidRPr="004C78D8">
              <w:rPr>
                <w:sz w:val="18"/>
                <w:szCs w:val="18"/>
              </w:rPr>
              <w:t>4</w:t>
            </w:r>
            <w:r w:rsidRPr="004C78D8">
              <w:rPr>
                <w:sz w:val="18"/>
                <w:szCs w:val="18"/>
              </w:rPr>
              <w:t>.2 for study references.</w:t>
            </w:r>
          </w:p>
          <w:p w14:paraId="6C22C2C6" w14:textId="4A4BE216" w:rsidR="001A6BCF" w:rsidRPr="004C78D8" w:rsidRDefault="001A6BCF" w:rsidP="00FB7C1F">
            <w:pPr>
              <w:rPr>
                <w:sz w:val="18"/>
                <w:szCs w:val="18"/>
              </w:rPr>
            </w:pPr>
            <w:r w:rsidRPr="004C78D8">
              <w:rPr>
                <w:sz w:val="18"/>
                <w:szCs w:val="18"/>
                <w:vertAlign w:val="superscript"/>
              </w:rPr>
              <w:t>2</w:t>
            </w:r>
            <w:r w:rsidRPr="004C78D8">
              <w:rPr>
                <w:sz w:val="18"/>
                <w:szCs w:val="18"/>
              </w:rPr>
              <w:t xml:space="preserve"> In identifying health severity subgroups, age, sex and individual fall/fracture risk factors (e.g., falls history, mobility impairment, bone mass density, vitamin D level, psychotropic medication use) were not interpreted as delineat</w:t>
            </w:r>
            <w:r w:rsidR="005056A1" w:rsidRPr="004C78D8">
              <w:rPr>
                <w:sz w:val="18"/>
                <w:szCs w:val="18"/>
              </w:rPr>
              <w:t>ing characteristics</w:t>
            </w:r>
            <w:r w:rsidRPr="004C78D8">
              <w:rPr>
                <w:sz w:val="18"/>
                <w:szCs w:val="18"/>
              </w:rPr>
              <w:t>. Studies that targeted specific patient groups within general older populations were excluded.</w:t>
            </w:r>
          </w:p>
          <w:p w14:paraId="0C9712CE" w14:textId="77777777" w:rsidR="001A6BCF" w:rsidRPr="004C78D8" w:rsidRDefault="001A6BCF" w:rsidP="00FB7C1F">
            <w:pPr>
              <w:rPr>
                <w:sz w:val="18"/>
                <w:szCs w:val="18"/>
              </w:rPr>
            </w:pPr>
            <w:r w:rsidRPr="004C78D8">
              <w:rPr>
                <w:sz w:val="18"/>
                <w:szCs w:val="18"/>
                <w:vertAlign w:val="superscript"/>
              </w:rPr>
              <w:t>3</w:t>
            </w:r>
            <w:r w:rsidRPr="004C78D8">
              <w:rPr>
                <w:sz w:val="18"/>
                <w:szCs w:val="18"/>
              </w:rPr>
              <w:t xml:space="preserve"> Boyd (2020), Deverall (2018), Pega (2016) and Wilson (2017) which were developed by the Burden of Disease Epidemiology, Equity and Cost-Effectiveness (BODE3) research group in New Zealand.</w:t>
            </w:r>
          </w:p>
          <w:p w14:paraId="1AB91978" w14:textId="77777777" w:rsidR="001A6BCF" w:rsidRPr="004C78D8" w:rsidRDefault="001A6BCF" w:rsidP="00FB7C1F">
            <w:pPr>
              <w:rPr>
                <w:sz w:val="18"/>
                <w:szCs w:val="18"/>
              </w:rPr>
            </w:pPr>
            <w:r w:rsidRPr="004C78D8">
              <w:rPr>
                <w:sz w:val="18"/>
                <w:szCs w:val="18"/>
                <w:vertAlign w:val="superscript"/>
              </w:rPr>
              <w:t>4</w:t>
            </w:r>
            <w:r w:rsidRPr="004C78D8">
              <w:rPr>
                <w:sz w:val="18"/>
                <w:szCs w:val="18"/>
              </w:rPr>
              <w:t xml:space="preserve"> The falls risk prediction tool included several indicators of generalised frailty (e.g., recurrent secondary care utilisations).</w:t>
            </w:r>
          </w:p>
        </w:tc>
      </w:tr>
    </w:tbl>
    <w:p w14:paraId="080FA2B7" w14:textId="77777777" w:rsidR="001A6BCF" w:rsidRPr="004C78D8" w:rsidRDefault="001A6BCF" w:rsidP="00FB7C1F"/>
    <w:p w14:paraId="2BF5A238" w14:textId="5C2D4201" w:rsidR="001A6BCF" w:rsidRPr="004C78D8" w:rsidRDefault="00B81C9B" w:rsidP="00FB7C1F">
      <w:r w:rsidRPr="004C78D8">
        <w:t xml:space="preserve">Only the four models from the BODE3 research group incorporated social subgroups delineated by ethnicity (Maori vs. non-Maori) </w:t>
      </w:r>
      <w:r w:rsidRPr="004C78D8">
        <w:fldChar w:fldCharType="begin">
          <w:fldData xml:space="preserve">PEVuZE5vdGU+PENpdGU+PEF1dGhvcj5Cb3lkPC9BdXRob3I+PFllYXI+MjAyMDwvWWVhcj48UmVj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</w:fldData>
        </w:fldChar>
      </w:r>
      <w:r w:rsidR="00C630FC" w:rsidRPr="004C78D8">
        <w:instrText xml:space="preserve"> ADDIN EN.CITE </w:instrText>
      </w:r>
      <w:r w:rsidR="00C630FC" w:rsidRPr="004C78D8">
        <w:fldChar w:fldCharType="begin">
          <w:fldData xml:space="preserve">PEVuZE5vdGU+PENpdGU+PEF1dGhvcj5Cb3lkPC9BdXRob3I+PFllYXI+MjAyMDwvWWVhcj48UmVj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[206, 241, 337, 361]</w:t>
      </w:r>
      <w:r w:rsidRPr="004C78D8">
        <w:fldChar w:fldCharType="end"/>
      </w:r>
      <w:r w:rsidRPr="004C78D8">
        <w:t xml:space="preserve">. All four reported lower QALY gains and higher ICERs for the Maori group. Except Boyd (2020), they also investigated the cause of reduced capacity to benefit: under a hypothetical scenario of equal life expectancy, the Maori group experienced </w:t>
      </w:r>
      <w:r w:rsidRPr="004C78D8">
        <w:rPr>
          <w:i/>
          <w:iCs/>
        </w:rPr>
        <w:t>higher</w:t>
      </w:r>
      <w:r w:rsidRPr="004C78D8">
        <w:t xml:space="preserve"> per-capita QALY gain than the non-Maori group. Hence, the LED problem was identified as the main cause of reduced capacity. But homogenous parameters across ethnic subgroups for intervention cost, efficacy and implementation precluded analysis of the DJ problem. The latter was only narratively discussed, with reference to non-ethnic social </w:t>
      </w:r>
      <w:r w:rsidR="005056A1" w:rsidRPr="004C78D8">
        <w:t>characteristics</w:t>
      </w:r>
      <w:r w:rsidRPr="004C78D8">
        <w:t>. For example, Wilson (2017) mentioned that HAM uptake is likely lower for low-income populations who are likelier to rent; Pega (2016) mentioned that public campaign to promote do-it-yourself HAM would disproportionately benefit homeowners.</w:t>
      </w:r>
    </w:p>
    <w:p w14:paraId="0F57266B" w14:textId="42824E26" w:rsidR="00B81C9B" w:rsidRPr="004C78D8" w:rsidRDefault="00B81C9B" w:rsidP="00FB7C1F">
      <w:r w:rsidRPr="004C78D8">
        <w:t>Three models incorporated severity subgroups delineated by variables other than age, sex and individual falls risk factors (e.g., falls history). Eldridge (2005) incorporated a severity subgroup of individuals with fear of falling as indicator of generalised frailty. Fear did not influence the intervention type, efficacy, cost or uptake; hence, the DJ problem was precluded. Instead, the higher mortality risk faced by those with fear</w:t>
      </w:r>
      <w:r w:rsidRPr="004C78D8">
        <w:rPr>
          <w:rStyle w:val="CommentReference"/>
        </w:rPr>
        <w:t xml:space="preserve"> </w:t>
      </w:r>
      <w:r w:rsidRPr="004C78D8">
        <w:t xml:space="preserve">means that the LED problem was present. Another key feature is the model’s incorporation of health utility </w:t>
      </w:r>
      <w:r w:rsidRPr="004C78D8">
        <w:rPr>
          <w:i/>
          <w:iCs/>
        </w:rPr>
        <w:t>levels</w:t>
      </w:r>
      <w:r w:rsidRPr="004C78D8">
        <w:t xml:space="preserve"> for health states: those with and without fear had utilities of 0.67 and 1, respectively, prior to fracture, and the same utility 0.31 after fracture; the respective utility decrements are hence 0.36 and 0.69. This improves the cost-effectiveness of fracture prevention for those </w:t>
      </w:r>
      <w:r w:rsidRPr="004C78D8">
        <w:rPr>
          <w:i/>
          <w:iCs/>
        </w:rPr>
        <w:t>without</w:t>
      </w:r>
      <w:r w:rsidRPr="004C78D8">
        <w:t xml:space="preserve"> fear. Nevertheless, the model did not report any subgroup results.</w:t>
      </w:r>
    </w:p>
    <w:p w14:paraId="1BFCD475" w14:textId="20B3BB16" w:rsidR="00B81C9B" w:rsidRPr="004C78D8" w:rsidRDefault="00B81C9B" w:rsidP="00FB7C1F">
      <w:pPr>
        <w:rPr>
          <w:lang w:val="en-US"/>
        </w:rPr>
      </w:pPr>
      <w:r w:rsidRPr="004C78D8">
        <w:t xml:space="preserve">Honkanen (2006) incorporated a severity subgroup of functionally dependent individuals who generated less favourable cost-effectiveness result than the whole population. Specifically, </w:t>
      </w:r>
      <w:r w:rsidRPr="004C78D8">
        <w:rPr>
          <w:lang w:val="en-US"/>
        </w:rPr>
        <w:t xml:space="preserve">hip protector use no longer dominated no intervention for functionally dependent women aged 80 and 85 unlike the whole population. This could partly be attributed to the DJ problem because the dependent subgroup incurred a higher intervention cost to achieve the same efficacy as the independent. Interestingly, fracture cost was </w:t>
      </w:r>
      <w:r w:rsidRPr="004C78D8">
        <w:rPr>
          <w:i/>
          <w:iCs/>
          <w:lang w:val="en-US"/>
        </w:rPr>
        <w:t>lower</w:t>
      </w:r>
      <w:r w:rsidRPr="004C78D8">
        <w:rPr>
          <w:lang w:val="en-US"/>
        </w:rPr>
        <w:t xml:space="preserve"> for the dependent, meaning that fracture prevention is </w:t>
      </w:r>
      <w:r w:rsidRPr="004C78D8">
        <w:rPr>
          <w:i/>
          <w:iCs/>
          <w:lang w:val="en-US"/>
        </w:rPr>
        <w:t>less</w:t>
      </w:r>
      <w:r w:rsidRPr="004C78D8">
        <w:rPr>
          <w:lang w:val="en-US"/>
        </w:rPr>
        <w:t xml:space="preserve"> cost-effective for them. The LED likely also contributed via the higher mortality risk faced by the dependent.</w:t>
      </w:r>
    </w:p>
    <w:p w14:paraId="2A1CF6F0" w14:textId="317A5997" w:rsidR="00B81C9B" w:rsidRPr="004C78D8" w:rsidRDefault="00B81C9B" w:rsidP="00FB7C1F">
      <w:r w:rsidRPr="004C78D8">
        <w:t>Smith (2016) operationalised a multivariate falls risk prediction tool that included several indicators of frailty. The one-year horizon precluded any LED problem. The model applied homogenous intervention efficacy, cost and implementation level for all frailty/risk level, removing any DJ problem. This generated potentially misleading outcomes: for example, the model estimated that only the 1.8% highest risk individuals should be referred to the intervention to achieve positive financial returns; but these individuals likely have significantly reduced capacity to benefit due to their comorbidities. The model hence likely overestimated the cost-effectiveness of targeting the most vulnerable.</w:t>
      </w:r>
    </w:p>
    <w:p w14:paraId="3DCBCB46" w14:textId="54C6AF28" w:rsidR="00B81C9B" w:rsidRPr="004C78D8" w:rsidRDefault="00B81C9B" w:rsidP="00FB7C1F">
      <w:r w:rsidRPr="004C78D8">
        <w:lastRenderedPageBreak/>
        <w:t xml:space="preserve">No model conducted analyses that quantified the equity-efficiency trade-off. </w:t>
      </w:r>
      <w:r w:rsidR="0059489C" w:rsidRPr="004C78D8">
        <w:t>T</w:t>
      </w:r>
      <w:r w:rsidRPr="004C78D8">
        <w:t>he BODE3 models only explored the hypothetical scenario of equal life expectancy across subgroups and did not evaluate intervention strategies prioritising intervention access/outcomes for the Maori subgroup. They nevertheless discussed several such equity-oriented intervention strategies: Pega (2016) and Wilson (2017) suggested HAM targeting low-income renters</w:t>
      </w:r>
      <w:r w:rsidRPr="004C78D8">
        <w:rPr>
          <w:lang w:val="en-US"/>
        </w:rPr>
        <w:t xml:space="preserve">; Boyd (2020) discussed how public sector provision of cataract surgery should counteract worsening health inequity under private sector provision. They did not discuss any methodological aspects of equity analysis such as estimating the relative importance of equity and efficiency gains. </w:t>
      </w:r>
      <w:r w:rsidRPr="004C78D8">
        <w:t>For severity-based equity issues, only Honkanen (2006) reported the subgroup results but did not evaluate any strategy prioritising the severity subgroup. Overall, equity consideration</w:t>
      </w:r>
      <w:r w:rsidR="0059489C" w:rsidRPr="004C78D8">
        <w:t xml:space="preserve"> and analysis </w:t>
      </w:r>
      <w:r w:rsidR="004C2361" w:rsidRPr="004C78D8">
        <w:t>we</w:t>
      </w:r>
      <w:r w:rsidRPr="004C78D8">
        <w:t xml:space="preserve">re </w:t>
      </w:r>
      <w:r w:rsidR="004C2361" w:rsidRPr="004C78D8">
        <w:t xml:space="preserve">highly </w:t>
      </w:r>
      <w:r w:rsidRPr="004C78D8">
        <w:t>limited within existing models.</w:t>
      </w:r>
    </w:p>
    <w:p w14:paraId="642ECE93" w14:textId="77777777" w:rsidR="00B81C9B" w:rsidRPr="004C78D8" w:rsidRDefault="00B81C9B" w:rsidP="00FB7C1F"/>
    <w:p w14:paraId="4CBE91C2" w14:textId="4F49FC4D" w:rsidR="00C211AB" w:rsidRPr="004C78D8" w:rsidRDefault="00EE19A2" w:rsidP="00FB7C1F">
      <w:pPr>
        <w:pStyle w:val="Heading3"/>
      </w:pPr>
      <w:bookmarkStart w:id="123" w:name="_Toc111630760"/>
      <w:r w:rsidRPr="004C78D8">
        <w:t>4</w:t>
      </w:r>
      <w:r w:rsidR="00627A35" w:rsidRPr="004C78D8">
        <w:t>.5.4 Evaluation methods</w:t>
      </w:r>
      <w:bookmarkEnd w:id="123"/>
    </w:p>
    <w:p w14:paraId="58ED49B0" w14:textId="26D00A6E" w:rsidR="00627A35" w:rsidRPr="004C78D8" w:rsidRDefault="00B81C9B" w:rsidP="00FB7C1F">
      <w:r w:rsidRPr="004C78D8">
        <w:t xml:space="preserve">The model evaluation methods are synthesised under the following fields: (1) model validation methods and results (Section </w:t>
      </w:r>
      <w:r w:rsidR="00EE19A2" w:rsidRPr="004C78D8">
        <w:t>4</w:t>
      </w:r>
      <w:r w:rsidRPr="004C78D8">
        <w:t xml:space="preserve">.5.4.1); (2) methods for assessing parameter uncertainty (Section </w:t>
      </w:r>
      <w:r w:rsidR="00EE19A2" w:rsidRPr="004C78D8">
        <w:t>4</w:t>
      </w:r>
      <w:r w:rsidRPr="004C78D8">
        <w:t xml:space="preserve">.5.4.2); and (3) alternative scenarios evaluated (Section </w:t>
      </w:r>
      <w:r w:rsidR="00EE19A2" w:rsidRPr="004C78D8">
        <w:t>4</w:t>
      </w:r>
      <w:r w:rsidRPr="004C78D8">
        <w:t xml:space="preserve">.5.4.3). </w:t>
      </w:r>
      <w:r w:rsidR="00627A35" w:rsidRPr="004C78D8">
        <w:t xml:space="preserve">Methods for assessing heterogeneity and for considering equity issues have been already discussed in Sections </w:t>
      </w:r>
      <w:r w:rsidR="00EE19A2" w:rsidRPr="004C78D8">
        <w:t>4</w:t>
      </w:r>
      <w:r w:rsidR="00627A35" w:rsidRPr="004C78D8">
        <w:t xml:space="preserve">.5.3.2 and </w:t>
      </w:r>
      <w:r w:rsidR="00EE19A2" w:rsidRPr="004C78D8">
        <w:t>4</w:t>
      </w:r>
      <w:r w:rsidR="00627A35" w:rsidRPr="004C78D8">
        <w:t xml:space="preserve">.5.3.4, respectively. </w:t>
      </w:r>
    </w:p>
    <w:p w14:paraId="50188D39" w14:textId="162CDA6E" w:rsidR="00627A35" w:rsidRPr="004C78D8" w:rsidRDefault="00D979F7" w:rsidP="00FB7C1F">
      <w:pPr>
        <w:pStyle w:val="Heading4"/>
      </w:pPr>
      <w:r w:rsidRPr="004C78D8">
        <w:t>4</w:t>
      </w:r>
      <w:r w:rsidR="00B81C9B" w:rsidRPr="004C78D8">
        <w:t>.5.4.1 Model validity</w:t>
      </w:r>
    </w:p>
    <w:p w14:paraId="4DCBD4B9" w14:textId="6DB6C95D" w:rsidR="00B81C9B" w:rsidRPr="004C78D8" w:rsidRDefault="00F57174" w:rsidP="00FB7C1F">
      <w:r w:rsidRPr="004C78D8">
        <w:t xml:space="preserve">Four validity types influence the credibility of model results: structural/face; internal; external; and cross </w:t>
      </w:r>
      <w:r w:rsidRPr="004C78D8">
        <w:fldChar w:fldCharType="begin"/>
      </w:r>
      <w:r w:rsidR="00BB47BA" w:rsidRPr="004C78D8">
        <w:instrText xml:space="preserve"> ADDIN EN.CITE &lt;EndNote&gt;&lt;Cite&gt;&lt;Author&gt;Eddy&lt;/Author&gt;&lt;Year&gt;2012&lt;/Year&gt;&lt;RecNum&gt;360&lt;/RecNum&gt;&lt;DisplayText&gt;[173]&lt;/DisplayText&gt;&lt;record&gt;&lt;rec-number&gt;360&lt;/rec-number&gt;&lt;foreign-keys&gt;&lt;key app="EN" db-id="tdtrdw9aepptzbefsat599syza29sxsd2wsp" timestamp="1612218136"&gt;360&lt;/key&gt;&lt;/foreign-keys&gt;&lt;ref-type name="Journal Article"&gt;17&lt;/ref-type&gt;&lt;contributors&gt;&lt;authors&gt;&lt;author&gt;Eddy, David M&lt;/author&gt;&lt;author&gt;Hollingworth, William&lt;/author&gt;&lt;author&gt;Caro, J Jaime&lt;/author&gt;&lt;author&gt;Tsevat, Joel&lt;/author&gt;&lt;author&gt;McDonald, Kathryn M&lt;/author&gt;&lt;author&gt;Wong, John B&lt;/author&gt;&lt;/authors&gt;&lt;/contributors&gt;&lt;titles&gt;&lt;title&gt;Model transparency and validation: a report of the ISPOR-SMDM Modeling Good Research Practices Task Force–7&lt;/title&gt;&lt;secondary-title&gt;Medical Decision Making&lt;/secondary-title&gt;&lt;/titles&gt;&lt;periodical&gt;&lt;full-title&gt;Medical Decision Making&lt;/full-title&gt;&lt;/periodical&gt;&lt;pages&gt;733-743&lt;/pages&gt;&lt;volume&gt;32&lt;/volume&gt;&lt;number&gt;5&lt;/number&gt;&lt;dates&gt;&lt;year&gt;2012&lt;/year&gt;&lt;/dates&gt;&lt;isbn&gt;0272-989X&lt;/isbn&gt;&lt;urls&gt;&lt;/urls&gt;&lt;/record&gt;&lt;/Cite&gt;&lt;/EndNote&gt;</w:instrText>
      </w:r>
      <w:r w:rsidRPr="004C78D8">
        <w:fldChar w:fldCharType="separate"/>
      </w:r>
      <w:r w:rsidR="00BB47BA" w:rsidRPr="004C78D8">
        <w:rPr>
          <w:noProof/>
        </w:rPr>
        <w:t>[173]</w:t>
      </w:r>
      <w:r w:rsidRPr="004C78D8">
        <w:fldChar w:fldCharType="end"/>
      </w:r>
      <w:r w:rsidRPr="004C78D8">
        <w:t xml:space="preserve">. Seven models involved experts and stakeholders in model development to achieve structural validity prospectively </w:t>
      </w:r>
      <w:r w:rsidRPr="004C78D8">
        <w:fldChar w:fldCharType="begin">
          <w:fldData xml:space="preserve">PEVuZE5vdGU+PENpdGU+PEF1dGhvcj5Ib3dsYW5kPC9BdXRob3I+PFllYXI+MjAxNTwvWWVhcj48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=
</w:fldData>
        </w:fldChar>
      </w:r>
      <w:r w:rsidR="00C630FC" w:rsidRPr="004C78D8">
        <w:instrText xml:space="preserve"> ADDIN EN.CITE </w:instrText>
      </w:r>
      <w:r w:rsidR="00C630FC" w:rsidRPr="004C78D8">
        <w:fldChar w:fldCharType="begin">
          <w:fldData xml:space="preserve">PEVuZE5vdGU+PENpdGU+PEF1dGhvcj5Ib3dsYW5kPC9BdXRob3I+PFllYXI+MjAxNTwvWWVhcj48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=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[167, 200, 216, 336, 346, 348, 368]</w:t>
      </w:r>
      <w:r w:rsidRPr="004C78D8">
        <w:fldChar w:fldCharType="end"/>
      </w:r>
      <w:r w:rsidRPr="004C78D8">
        <w:t>. For example, PHE (2018) engaged two groups of stakeholders: a Steering Group of national falls prevention experts informing the model structure, and a User Group of local commissioners advising on model usability. Hirst (2016) explicitly stated the purpose of alternative scenario analyses as retrospectively validating the model structure.</w:t>
      </w:r>
    </w:p>
    <w:p w14:paraId="102DA681" w14:textId="793650B0" w:rsidR="00F57174" w:rsidRPr="004C78D8" w:rsidRDefault="008718E3" w:rsidP="00FB7C1F">
      <w:r w:rsidRPr="004C78D8">
        <w:t xml:space="preserve">Six studies </w:t>
      </w:r>
      <w:r w:rsidR="00D979F7" w:rsidRPr="004C78D8">
        <w:t xml:space="preserve">reported efforts to assess </w:t>
      </w:r>
      <w:r w:rsidRPr="004C78D8">
        <w:t xml:space="preserve">external validity </w:t>
      </w:r>
      <w:r w:rsidRPr="004C78D8">
        <w:fldChar w:fldCharType="begin">
          <w:fldData xml:space="preserve">PEVuZE5vdGU+PENpdGU+PEF1dGhvcj5Kb2hhbnNzb248L0F1dGhvcj48WWVhcj4yMDA4PC9ZZWFy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</w:fldData>
        </w:fldChar>
      </w:r>
      <w:r w:rsidR="00C630FC" w:rsidRPr="004C78D8">
        <w:instrText xml:space="preserve"> ADDIN EN.CITE </w:instrText>
      </w:r>
      <w:r w:rsidR="00C630FC" w:rsidRPr="004C78D8">
        <w:fldChar w:fldCharType="begin">
          <w:fldData xml:space="preserve">PEVuZE5vdGU+PENpdGU+PEF1dGhvcj5Kb2hhbnNzb248L0F1dGhvcj48WWVhcj4yMDA4PC9ZZWFy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[128, 336, 343, 344, 367, 368]</w:t>
      </w:r>
      <w:r w:rsidRPr="004C78D8">
        <w:fldChar w:fldCharType="end"/>
      </w:r>
      <w:r w:rsidRPr="004C78D8">
        <w:t>. For example, Nshimyumukiza (2013) compared the predicted fracture incidence and age-</w:t>
      </w:r>
      <w:r w:rsidR="00F7712A" w:rsidRPr="004C78D8">
        <w:t>based</w:t>
      </w:r>
      <w:r w:rsidRPr="004C78D8">
        <w:t xml:space="preserve"> mortality rates to </w:t>
      </w:r>
      <w:r w:rsidR="00F7712A" w:rsidRPr="004C78D8">
        <w:t>published data</w:t>
      </w:r>
      <w:r w:rsidRPr="004C78D8">
        <w:t xml:space="preserve"> and found less than 5% divergence. Only four studies reported conducting verification steps or sensitivity analyses to ensure internal validity </w:t>
      </w:r>
      <w:r w:rsidRPr="004C78D8">
        <w:fldChar w:fldCharType="begin">
          <w:fldData xml:space="preserve">PEVuZE5vdGU+PENpdGU+PEF1dGhvcj5Kb2hhbnNzb248L0F1dGhvcj48WWVhcj4yMDA4PC9ZZWFy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==
</w:fldData>
        </w:fldChar>
      </w:r>
      <w:r w:rsidR="00C630FC" w:rsidRPr="004C78D8">
        <w:instrText xml:space="preserve"> ADDIN EN.CITE </w:instrText>
      </w:r>
      <w:r w:rsidR="00C630FC" w:rsidRPr="004C78D8">
        <w:fldChar w:fldCharType="begin">
          <w:fldData xml:space="preserve">PEVuZE5vdGU+PENpdGU+PEF1dGhvcj5Kb2hhbnNzb248L0F1dGhvcj48WWVhcj4yMDA4PC9ZZWFy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==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[128, 343, 346, 368]</w:t>
      </w:r>
      <w:r w:rsidRPr="004C78D8">
        <w:fldChar w:fldCharType="end"/>
      </w:r>
      <w:r w:rsidRPr="004C78D8">
        <w:t xml:space="preserve">. Cross validity assessment by comparing the model results with those of previous models was the most common form of validation; yet 13 (28.3%) did not report having conducted it </w:t>
      </w:r>
      <w:r w:rsidRPr="004C78D8">
        <w:fldChar w:fldCharType="begin">
          <w:fldData xml:space="preserve">PEVuZE5vdGU+PENpdGU+PEF1dGhvcj5DYXJhbmRlLUt1bGlzPC9BdXRob3I+PFllYXI+MjAxNTwv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</w:fldData>
        </w:fldChar>
      </w:r>
      <w:r w:rsidR="00C630FC" w:rsidRPr="004C78D8">
        <w:instrText xml:space="preserve"> ADDIN EN.CITE </w:instrText>
      </w:r>
      <w:r w:rsidR="00C630FC" w:rsidRPr="004C78D8">
        <w:fldChar w:fldCharType="begin">
          <w:fldData xml:space="preserve">PEVuZE5vdGU+PENpdGU+PEF1dGhvcj5DYXJhbmRlLUt1bGlzPC9BdXRob3I+PFllYXI+MjAxNTwv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[167, 216, 274, 342, 345, 353, 358-360, 363, 364, 366, 367]</w:t>
      </w:r>
      <w:r w:rsidRPr="004C78D8">
        <w:fldChar w:fldCharType="end"/>
      </w:r>
      <w:r w:rsidRPr="004C78D8">
        <w:t xml:space="preserve">. Only Zarca (2014) conducted all four validations; four conducted three </w:t>
      </w:r>
      <w:r w:rsidRPr="004C78D8">
        <w:fldChar w:fldCharType="begin">
          <w:fldData xml:space="preserve">PEVuZE5vdGU+PENpdGU+PEF1dGhvcj5Kb2hhbnNzb248L0F1dGhvcj48WWVhcj4yMDA4PC9ZZWFy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</w:fldData>
        </w:fldChar>
      </w:r>
      <w:r w:rsidR="00C630FC" w:rsidRPr="004C78D8">
        <w:instrText xml:space="preserve"> ADDIN EN.CITE </w:instrText>
      </w:r>
      <w:r w:rsidR="00C630FC" w:rsidRPr="004C78D8">
        <w:fldChar w:fldCharType="begin">
          <w:fldData xml:space="preserve">PEVuZE5vdGU+PENpdGU+PEF1dGhvcj5Kb2hhbnNzb248L0F1dGhvcj48WWVhcj4yMDA4PC9ZZWFy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[128, 336, 343, 346]</w:t>
      </w:r>
      <w:r w:rsidRPr="004C78D8">
        <w:fldChar w:fldCharType="end"/>
      </w:r>
      <w:r w:rsidRPr="004C78D8">
        <w:t xml:space="preserve">. Overall, </w:t>
      </w:r>
      <w:r w:rsidR="00D979F7" w:rsidRPr="004C78D8">
        <w:t xml:space="preserve">conducting and reporting </w:t>
      </w:r>
      <w:r w:rsidRPr="004C78D8">
        <w:t>model validation is not yet a common practice in this field.</w:t>
      </w:r>
    </w:p>
    <w:p w14:paraId="696A3D05" w14:textId="33C26B1F" w:rsidR="008718E3" w:rsidRPr="004C78D8" w:rsidRDefault="00EE19A2" w:rsidP="00FB7C1F">
      <w:pPr>
        <w:pStyle w:val="Heading4"/>
      </w:pPr>
      <w:r w:rsidRPr="004C78D8">
        <w:t>4</w:t>
      </w:r>
      <w:r w:rsidR="008718E3" w:rsidRPr="004C78D8">
        <w:t>.5.4.2 Assessing parameter uncertainty</w:t>
      </w:r>
    </w:p>
    <w:p w14:paraId="61551BC8" w14:textId="0AF982D4" w:rsidR="008718E3" w:rsidRPr="004C78D8" w:rsidRDefault="008718E3" w:rsidP="00FB7C1F">
      <w:r w:rsidRPr="004C78D8">
        <w:t xml:space="preserve">Table </w:t>
      </w:r>
      <w:r w:rsidR="000C7B8C" w:rsidRPr="004C78D8">
        <w:t>D7</w:t>
      </w:r>
      <w:r w:rsidRPr="004C78D8">
        <w:t xml:space="preserve"> in </w:t>
      </w:r>
      <w:r w:rsidR="000C7B8C" w:rsidRPr="004C78D8">
        <w:t>Appendix D</w:t>
      </w:r>
      <w:r w:rsidRPr="004C78D8">
        <w:t xml:space="preserve"> summarises the parameters </w:t>
      </w:r>
      <w:r w:rsidR="00955719" w:rsidRPr="004C78D8">
        <w:t xml:space="preserve">that were </w:t>
      </w:r>
      <w:r w:rsidRPr="004C78D8">
        <w:t xml:space="preserve">unilaterally varied in </w:t>
      </w:r>
      <w:r w:rsidR="00955719" w:rsidRPr="004C78D8">
        <w:t>DSA</w:t>
      </w:r>
      <w:r w:rsidRPr="004C78D8">
        <w:t xml:space="preserve"> to assess their impact on outcomes. It also summarises the methods used to conduct </w:t>
      </w:r>
      <w:r w:rsidR="00955719" w:rsidRPr="004C78D8">
        <w:t>PSA</w:t>
      </w:r>
      <w:r w:rsidRPr="004C78D8">
        <w:t xml:space="preserve"> assessing the impact of joint parameter uncertainty. The DSA parameters are divided into falls epidemiology and falls prevention intervention parameters. A distinction was made between parameter variations to assess parameter uncertainty and those depicting alternative scenarios based on studies’ descriptions of </w:t>
      </w:r>
      <w:r w:rsidR="00664AC6" w:rsidRPr="004C78D8">
        <w:t>the said</w:t>
      </w:r>
      <w:r w:rsidRPr="004C78D8">
        <w:t xml:space="preserve"> variations.</w:t>
      </w:r>
    </w:p>
    <w:p w14:paraId="7F1B0285" w14:textId="2DC4D119" w:rsidR="000C7B8C" w:rsidRPr="004C78D8" w:rsidRDefault="000C7B8C" w:rsidP="00FB7C1F">
      <w:pPr>
        <w:rPr>
          <w:lang w:val="en-US"/>
        </w:rPr>
      </w:pPr>
      <w:r w:rsidRPr="004C78D8">
        <w:rPr>
          <w:lang w:val="en-US"/>
        </w:rPr>
        <w:t>Twelve (26.1%) models conducted no assessment of parameter uncertainty. Of 21 models that conducted DSA, there was a wide between-study variation in the number of parameters assessed, ranging from two to 12. Twenty-eight (60.9%) conducted PSA. The cost-effectiveness acceptability curve (CEAC) which plots the probability of each intervention being the most cost-effective option at each cost-effectiveness threshold was the most frequently used presentation method (n=18). Only Agartioglu (2020) plotted the cost-effectiveness acceptability frontier (CEAF) which marks the threshold at which an intervention produces the highest expected value relative to alternatives across simulated runs. Only Albert (2016) conducted value of information analysis, estimating that the cost-effectiveness of multifactorial intervention would improve under simulation runs that excluded uncertainty over health utility decrement parameters.</w:t>
      </w:r>
    </w:p>
    <w:p w14:paraId="72967270" w14:textId="44944F6A" w:rsidR="000C7B8C" w:rsidRPr="004C78D8" w:rsidRDefault="00EE19A2" w:rsidP="00FB7C1F">
      <w:pPr>
        <w:pStyle w:val="Heading4"/>
      </w:pPr>
      <w:r w:rsidRPr="004C78D8">
        <w:lastRenderedPageBreak/>
        <w:t>4</w:t>
      </w:r>
      <w:r w:rsidR="000C7B8C" w:rsidRPr="004C78D8">
        <w:t>.5.4.3 Scenario analyses</w:t>
      </w:r>
    </w:p>
    <w:p w14:paraId="57BFCBC5" w14:textId="5316A675" w:rsidR="000C7B8C" w:rsidRPr="004C78D8" w:rsidRDefault="000C7B8C" w:rsidP="00FB7C1F">
      <w:r w:rsidRPr="004C78D8">
        <w:t xml:space="preserve">Table D8 in Appendix D summarises the scenarios that were evaluated, categorised into areas of </w:t>
      </w:r>
      <w:r w:rsidRPr="004C78D8">
        <w:rPr>
          <w:lang w:val="en-US"/>
        </w:rPr>
        <w:t xml:space="preserve">falls epidemiology, falls prevention intervention and evaluation framework. </w:t>
      </w:r>
      <w:r w:rsidRPr="004C78D8">
        <w:t xml:space="preserve">Most (n=38; 82.6%) models evaluated at least one alternative scenario. Of these, there was a wide variation in the number of scenarios, ranging from one to 10. With some exceptions </w:t>
      </w:r>
      <w:r w:rsidRPr="004C78D8">
        <w:fldChar w:fldCharType="begin">
          <w:fldData xml:space="preserve">PEVuZE5vdGU+PENpdGU+PEF1dGhvcj5Kb2hhbnNzb248L0F1dGhvcj48WWVhcj4yMDA4PC9ZZWFy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</w:fldData>
        </w:fldChar>
      </w:r>
      <w:r w:rsidR="00C630FC" w:rsidRPr="004C78D8">
        <w:instrText xml:space="preserve"> ADDIN EN.CITE </w:instrText>
      </w:r>
      <w:r w:rsidR="00C630FC" w:rsidRPr="004C78D8">
        <w:fldChar w:fldCharType="begin">
          <w:fldData xml:space="preserve">PEVuZE5vdGU+PENpdGU+PEF1dGhvcj5Kb2hhbnNzb248L0F1dGhvcj48WWVhcj4yMDA4PC9ZZWFy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[128, 336, 340]</w:t>
      </w:r>
      <w:r w:rsidRPr="004C78D8">
        <w:fldChar w:fldCharType="end"/>
      </w:r>
      <w:r w:rsidRPr="004C78D8">
        <w:t>, there was a lack of clarity on how the scenarios were chosen among the range of possible options.</w:t>
      </w:r>
    </w:p>
    <w:p w14:paraId="3D342483" w14:textId="77777777" w:rsidR="000C7B8C" w:rsidRPr="004C78D8" w:rsidRDefault="000C7B8C" w:rsidP="00FB7C1F"/>
    <w:p w14:paraId="5818AA70" w14:textId="08B77678" w:rsidR="008718E3" w:rsidRPr="004C78D8" w:rsidRDefault="00EE19A2" w:rsidP="00FB7C1F">
      <w:pPr>
        <w:pStyle w:val="Heading3"/>
      </w:pPr>
      <w:bookmarkStart w:id="124" w:name="_Toc111630761"/>
      <w:r w:rsidRPr="004C78D8">
        <w:t>4</w:t>
      </w:r>
      <w:r w:rsidR="000C7B8C" w:rsidRPr="004C78D8">
        <w:t>.5.5 Evaluation outcomes leading to commissioning recommendations</w:t>
      </w:r>
      <w:bookmarkEnd w:id="124"/>
    </w:p>
    <w:p w14:paraId="5331235E" w14:textId="6F377B5B" w:rsidR="00D05F0B" w:rsidRPr="004C78D8" w:rsidRDefault="00D05F0B" w:rsidP="00FB7C1F">
      <w:r w:rsidRPr="004C78D8">
        <w:t xml:space="preserve">This section formulates commissioning recommendations based on the evaluation outcomes extracted from 12 general population, lifetime models summarised in Table 4.16. </w:t>
      </w:r>
      <w:r w:rsidRPr="004C78D8">
        <w:t xml:space="preserve">See Table D9 in Appendix D for outcome summaries of non-general population and/or non-lifetime models. </w:t>
      </w:r>
      <w:r w:rsidRPr="004C78D8">
        <w:t xml:space="preserve">As noted, the recommendations in this section are based on the review results alone. Chapter 6 will make separate recommendations based on the results of the developed model </w:t>
      </w:r>
      <w:r w:rsidR="004110D8" w:rsidRPr="004C78D8">
        <w:t>and a wider set of decision criteria (e.g., equity). The two sets of recommendations will then be</w:t>
      </w:r>
      <w:r w:rsidRPr="004C78D8">
        <w:t xml:space="preserve"> compared </w:t>
      </w:r>
      <w:r w:rsidR="004110D8" w:rsidRPr="004C78D8">
        <w:t xml:space="preserve">for </w:t>
      </w:r>
      <w:r w:rsidRPr="004C78D8">
        <w:t>cross-validation.</w:t>
      </w:r>
    </w:p>
    <w:p w14:paraId="7DC05F8C" w14:textId="78C24F79" w:rsidR="000C7B8C" w:rsidRPr="004C78D8" w:rsidRDefault="00972805" w:rsidP="00FB7C1F">
      <w:r w:rsidRPr="004C78D8">
        <w:t xml:space="preserve">All models except OMAS (2008) conducted CUA; hence their ICERs (converted to 2021 £) are compared to the NICE cost-effectiveness threshold of £30,000 per QALY. </w:t>
      </w:r>
      <w:r w:rsidR="00660207" w:rsidRPr="004C78D8">
        <w:t xml:space="preserve">All models targeted those aged 65+ except RCN (2005) which targeted 60+. </w:t>
      </w:r>
      <w:r w:rsidRPr="004C78D8">
        <w:t xml:space="preserve">Models incorporated diverse fall-related health and economic consequences (Tables </w:t>
      </w:r>
      <w:r w:rsidR="00090483" w:rsidRPr="004C78D8">
        <w:t>4</w:t>
      </w:r>
      <w:r w:rsidRPr="004C78D8">
        <w:t xml:space="preserve">.6 and </w:t>
      </w:r>
      <w:r w:rsidR="00090483" w:rsidRPr="004C78D8">
        <w:t>4</w:t>
      </w:r>
      <w:r w:rsidRPr="004C78D8">
        <w:t xml:space="preserve">.7) which hamper between-study comparison. All models except Nshimyumukiza (2013) and Zarca (2014) were Markov cohort models but mentioned no tunnel states for age-related progression in falls risk. Only three </w:t>
      </w:r>
      <w:r w:rsidR="00D979F7" w:rsidRPr="004C78D8">
        <w:t xml:space="preserve">studies reported validation efforts </w:t>
      </w:r>
      <w:r w:rsidRPr="004C78D8">
        <w:t>(other than cross-validation): Johansson (2008) internally and externally; Nshimyumukiza (2013) structurally and externally; and Zarca (2014) structurally, externally</w:t>
      </w:r>
      <w:r w:rsidR="00D41211" w:rsidRPr="004C78D8">
        <w:t>,</w:t>
      </w:r>
      <w:r w:rsidRPr="004C78D8">
        <w:t xml:space="preserve"> and internally. The last column of Table </w:t>
      </w:r>
      <w:r w:rsidR="00090483" w:rsidRPr="004C78D8">
        <w:t>4</w:t>
      </w:r>
      <w:r w:rsidR="006F0785" w:rsidRPr="004C78D8">
        <w:t>.16</w:t>
      </w:r>
      <w:r w:rsidRPr="004C78D8">
        <w:t xml:space="preserve"> notes the main methodological caveats for each model that are relevant for commissioning.</w:t>
      </w:r>
      <w:r w:rsidR="00660207" w:rsidRPr="004C78D8">
        <w:t xml:space="preserve"> The methodological quality checklist scores in Table </w:t>
      </w:r>
      <w:r w:rsidR="00090483" w:rsidRPr="004C78D8">
        <w:t>4</w:t>
      </w:r>
      <w:r w:rsidR="00660207" w:rsidRPr="004C78D8">
        <w:t>.2 should also be noted.</w:t>
      </w:r>
    </w:p>
    <w:p w14:paraId="64B2108B" w14:textId="77777777" w:rsidR="006F0785" w:rsidRPr="004C78D8" w:rsidRDefault="006F0785" w:rsidP="00FB7C1F">
      <w:pPr>
        <w:sectPr w:rsidR="006F0785" w:rsidRPr="004C78D8">
          <w:pgSz w:w="11906" w:h="16838"/>
          <w:pgMar w:top="1440" w:right="1440" w:bottom="1440" w:left="1440" w:header="708" w:footer="708" w:gutter="0"/>
          <w:cols w:space="708"/>
          <w:docGrid w:linePitch="360"/>
        </w:sectPr>
      </w:pPr>
    </w:p>
    <w:tbl>
      <w:tblPr>
        <w:tblStyle w:val="TableGrid"/>
        <w:tblW w:w="5000" w:type="pct"/>
        <w:tblLook w:val="04A0" w:firstRow="1" w:lastRow="0" w:firstColumn="1" w:lastColumn="0" w:noHBand="0" w:noVBand="1"/>
      </w:tblPr>
      <w:tblGrid>
        <w:gridCol w:w="1063"/>
        <w:gridCol w:w="2154"/>
        <w:gridCol w:w="2410"/>
        <w:gridCol w:w="4999"/>
        <w:gridCol w:w="3322"/>
      </w:tblGrid>
      <w:tr w:rsidR="006F0785" w:rsidRPr="004C78D8" w14:paraId="3AA9BED5" w14:textId="77777777" w:rsidTr="002828C1">
        <w:tc>
          <w:tcPr>
            <w:tcW w:w="5000" w:type="pct"/>
            <w:gridSpan w:val="5"/>
          </w:tcPr>
          <w:p w14:paraId="75DD022F" w14:textId="516FBB29" w:rsidR="006F0785" w:rsidRPr="004C78D8" w:rsidRDefault="006F0785" w:rsidP="00FB7C1F">
            <w:pPr>
              <w:jc w:val="left"/>
            </w:pPr>
            <w:r w:rsidRPr="004C78D8">
              <w:rPr>
                <w:b/>
                <w:bCs/>
              </w:rPr>
              <w:lastRenderedPageBreak/>
              <w:t xml:space="preserve">Table </w:t>
            </w:r>
            <w:r w:rsidR="00090483" w:rsidRPr="004C78D8">
              <w:rPr>
                <w:b/>
                <w:bCs/>
              </w:rPr>
              <w:t>4</w:t>
            </w:r>
            <w:r w:rsidRPr="004C78D8">
              <w:rPr>
                <w:b/>
                <w:bCs/>
              </w:rPr>
              <w:t>.16</w:t>
            </w:r>
            <w:r w:rsidRPr="004C78D8">
              <w:t xml:space="preserve"> Features and evaluation outcomes of general population, lifetime horizon decision models.</w:t>
            </w:r>
          </w:p>
        </w:tc>
      </w:tr>
      <w:tr w:rsidR="006F0785" w:rsidRPr="004C78D8" w14:paraId="5801B1CD" w14:textId="77777777" w:rsidTr="002828C1">
        <w:tc>
          <w:tcPr>
            <w:tcW w:w="381" w:type="pct"/>
          </w:tcPr>
          <w:p w14:paraId="1D0AD1AA" w14:textId="2EEB3DC9" w:rsidR="006F0785" w:rsidRPr="004C78D8" w:rsidRDefault="006F0785" w:rsidP="00FB7C1F">
            <w:pPr>
              <w:jc w:val="left"/>
              <w:rPr>
                <w:b/>
                <w:bCs/>
                <w:sz w:val="20"/>
                <w:szCs w:val="20"/>
              </w:rPr>
            </w:pPr>
            <w:r w:rsidRPr="004C78D8">
              <w:rPr>
                <w:b/>
                <w:bCs/>
                <w:sz w:val="20"/>
                <w:szCs w:val="20"/>
              </w:rPr>
              <w:t>Study label</w:t>
            </w:r>
            <w:r w:rsidR="007E377E" w:rsidRPr="004C78D8">
              <w:rPr>
                <w:b/>
                <w:bCs/>
                <w:sz w:val="20"/>
                <w:szCs w:val="20"/>
                <w:vertAlign w:val="superscript"/>
              </w:rPr>
              <w:t>1</w:t>
            </w:r>
          </w:p>
        </w:tc>
        <w:tc>
          <w:tcPr>
            <w:tcW w:w="772" w:type="pct"/>
          </w:tcPr>
          <w:p w14:paraId="431A29E5" w14:textId="77777777" w:rsidR="006F0785" w:rsidRPr="004C78D8" w:rsidRDefault="006F0785" w:rsidP="00FB7C1F">
            <w:pPr>
              <w:jc w:val="left"/>
              <w:rPr>
                <w:b/>
                <w:bCs/>
                <w:sz w:val="20"/>
                <w:szCs w:val="20"/>
              </w:rPr>
            </w:pPr>
            <w:r w:rsidRPr="004C78D8">
              <w:rPr>
                <w:b/>
                <w:bCs/>
                <w:sz w:val="20"/>
                <w:szCs w:val="20"/>
              </w:rPr>
              <w:t>Target population; Analysis; Perspective</w:t>
            </w:r>
          </w:p>
        </w:tc>
        <w:tc>
          <w:tcPr>
            <w:tcW w:w="864" w:type="pct"/>
          </w:tcPr>
          <w:p w14:paraId="5DC60670" w14:textId="77777777" w:rsidR="006F0785" w:rsidRPr="004C78D8" w:rsidRDefault="006F0785" w:rsidP="00FB7C1F">
            <w:pPr>
              <w:jc w:val="left"/>
              <w:rPr>
                <w:b/>
                <w:bCs/>
                <w:sz w:val="20"/>
                <w:szCs w:val="20"/>
              </w:rPr>
            </w:pPr>
            <w:r w:rsidRPr="004C78D8">
              <w:rPr>
                <w:b/>
                <w:bCs/>
                <w:sz w:val="20"/>
                <w:szCs w:val="20"/>
              </w:rPr>
              <w:t>Intervention [Comparator]</w:t>
            </w:r>
          </w:p>
        </w:tc>
        <w:tc>
          <w:tcPr>
            <w:tcW w:w="1792" w:type="pct"/>
          </w:tcPr>
          <w:p w14:paraId="10F1E523" w14:textId="60CE8129" w:rsidR="006F0785" w:rsidRPr="004C78D8" w:rsidRDefault="006F0785" w:rsidP="00FB7C1F">
            <w:pPr>
              <w:jc w:val="left"/>
              <w:rPr>
                <w:b/>
                <w:bCs/>
                <w:sz w:val="20"/>
                <w:szCs w:val="20"/>
              </w:rPr>
            </w:pPr>
            <w:r w:rsidRPr="004C78D8">
              <w:rPr>
                <w:b/>
                <w:bCs/>
                <w:sz w:val="20"/>
                <w:szCs w:val="20"/>
              </w:rPr>
              <w:t>Evaluation outcomes</w:t>
            </w:r>
            <w:r w:rsidR="007E377E" w:rsidRPr="004C78D8">
              <w:rPr>
                <w:b/>
                <w:bCs/>
                <w:sz w:val="20"/>
                <w:szCs w:val="20"/>
                <w:vertAlign w:val="superscript"/>
              </w:rPr>
              <w:t>2</w:t>
            </w:r>
          </w:p>
        </w:tc>
        <w:tc>
          <w:tcPr>
            <w:tcW w:w="1190" w:type="pct"/>
          </w:tcPr>
          <w:p w14:paraId="2AF01927" w14:textId="77777777" w:rsidR="006F0785" w:rsidRPr="004C78D8" w:rsidRDefault="006F0785" w:rsidP="00FB7C1F">
            <w:pPr>
              <w:jc w:val="left"/>
              <w:rPr>
                <w:b/>
                <w:bCs/>
                <w:sz w:val="20"/>
                <w:szCs w:val="20"/>
              </w:rPr>
            </w:pPr>
            <w:r w:rsidRPr="004C78D8">
              <w:rPr>
                <w:b/>
                <w:bCs/>
                <w:sz w:val="20"/>
                <w:szCs w:val="20"/>
              </w:rPr>
              <w:t>Methodological caveats</w:t>
            </w:r>
          </w:p>
        </w:tc>
      </w:tr>
      <w:tr w:rsidR="006F0785" w:rsidRPr="004C78D8" w14:paraId="550CF663" w14:textId="77777777" w:rsidTr="002828C1">
        <w:tc>
          <w:tcPr>
            <w:tcW w:w="381" w:type="pct"/>
          </w:tcPr>
          <w:p w14:paraId="540EEDFF" w14:textId="77777777" w:rsidR="006F0785" w:rsidRPr="004C78D8" w:rsidRDefault="006F0785" w:rsidP="00FB7C1F">
            <w:pPr>
              <w:jc w:val="left"/>
              <w:rPr>
                <w:sz w:val="18"/>
                <w:szCs w:val="18"/>
              </w:rPr>
            </w:pPr>
            <w:r w:rsidRPr="004C78D8">
              <w:rPr>
                <w:sz w:val="18"/>
                <w:szCs w:val="18"/>
              </w:rPr>
              <w:t xml:space="preserve">Church (2012) </w:t>
            </w:r>
          </w:p>
        </w:tc>
        <w:tc>
          <w:tcPr>
            <w:tcW w:w="772" w:type="pct"/>
          </w:tcPr>
          <w:p w14:paraId="5BCD3863" w14:textId="77777777" w:rsidR="006F0785" w:rsidRPr="004C78D8" w:rsidRDefault="006F0785" w:rsidP="00FB7C1F">
            <w:pPr>
              <w:jc w:val="left"/>
              <w:rPr>
                <w:sz w:val="18"/>
                <w:szCs w:val="18"/>
              </w:rPr>
            </w:pPr>
            <w:r w:rsidRPr="004C78D8">
              <w:rPr>
                <w:sz w:val="18"/>
                <w:szCs w:val="18"/>
              </w:rPr>
              <w:t>CD adults aged 65+; CUA/CEA; Public sector</w:t>
            </w:r>
          </w:p>
        </w:tc>
        <w:tc>
          <w:tcPr>
            <w:tcW w:w="864" w:type="pct"/>
          </w:tcPr>
          <w:p w14:paraId="6AF90541" w14:textId="77777777" w:rsidR="006F0785" w:rsidRPr="004C78D8" w:rsidRDefault="006F0785" w:rsidP="00FB7C1F">
            <w:pPr>
              <w:jc w:val="left"/>
              <w:rPr>
                <w:sz w:val="18"/>
                <w:szCs w:val="18"/>
              </w:rPr>
            </w:pPr>
            <w:r w:rsidRPr="004C78D8">
              <w:rPr>
                <w:sz w:val="18"/>
                <w:szCs w:val="18"/>
              </w:rPr>
              <w:t>(a) General population – Group exercise; Home exercise; Tai Chi; Multi-component int.; Multifactorial int.; Multifactorial risk assessment; (b) High-risk population – Group exercise; HAM; Multifactorial int. [NR; Cross comparisons]</w:t>
            </w:r>
          </w:p>
        </w:tc>
        <w:tc>
          <w:tcPr>
            <w:tcW w:w="1792" w:type="pct"/>
          </w:tcPr>
          <w:p w14:paraId="6E4B7FE7" w14:textId="77777777" w:rsidR="006F0785" w:rsidRPr="004C78D8" w:rsidRDefault="006F0785" w:rsidP="00FB7C1F">
            <w:pPr>
              <w:jc w:val="left"/>
              <w:rPr>
                <w:sz w:val="18"/>
                <w:szCs w:val="18"/>
              </w:rPr>
            </w:pPr>
            <w:r w:rsidRPr="004C78D8">
              <w:rPr>
                <w:b/>
                <w:bCs/>
                <w:i/>
                <w:iCs/>
                <w:sz w:val="18"/>
                <w:szCs w:val="18"/>
              </w:rPr>
              <w:t>Ratio</w:t>
            </w:r>
            <w:r w:rsidRPr="004C78D8">
              <w:rPr>
                <w:b/>
                <w:bCs/>
                <w:sz w:val="18"/>
                <w:szCs w:val="18"/>
              </w:rPr>
              <w:t>:</w:t>
            </w:r>
            <w:r w:rsidRPr="004C78D8">
              <w:rPr>
                <w:sz w:val="18"/>
                <w:szCs w:val="18"/>
              </w:rPr>
              <w:t xml:space="preserve"> (a) General – Tai Chi ICER £27,734 per QALY vs. NR; other interventions dominated; (b) High-risk – Group exercise ICER £31,957 per QALY vs. NR; HAM ICER £36,298 per QALY vs. NR; Multifactorial int. dominated.</w:t>
            </w:r>
          </w:p>
          <w:p w14:paraId="6176B355" w14:textId="7BE0ED69" w:rsidR="006F0785" w:rsidRPr="004C78D8" w:rsidRDefault="006F0785" w:rsidP="00FB7C1F">
            <w:pPr>
              <w:jc w:val="left"/>
              <w:rPr>
                <w:sz w:val="18"/>
                <w:szCs w:val="18"/>
              </w:rPr>
            </w:pPr>
            <w:r w:rsidRPr="004C78D8">
              <w:rPr>
                <w:b/>
                <w:bCs/>
                <w:i/>
                <w:iCs/>
                <w:sz w:val="18"/>
                <w:szCs w:val="18"/>
              </w:rPr>
              <w:t>Aggregate</w:t>
            </w:r>
            <w:r w:rsidRPr="004C78D8">
              <w:rPr>
                <w:b/>
                <w:bCs/>
                <w:sz w:val="18"/>
                <w:szCs w:val="18"/>
              </w:rPr>
              <w:t>:</w:t>
            </w:r>
            <w:r w:rsidRPr="004C78D8">
              <w:rPr>
                <w:sz w:val="18"/>
                <w:szCs w:val="18"/>
              </w:rPr>
              <w:t xml:space="preserve"> Reports incremental cost, no. of falls avoided and QALY gain per intervention, but all interventions have same reach</w:t>
            </w:r>
            <w:r w:rsidR="007E377E" w:rsidRPr="004C78D8">
              <w:rPr>
                <w:sz w:val="18"/>
                <w:szCs w:val="18"/>
                <w:vertAlign w:val="superscript"/>
              </w:rPr>
              <w:t>3</w:t>
            </w:r>
            <w:r w:rsidRPr="004C78D8">
              <w:rPr>
                <w:sz w:val="18"/>
                <w:szCs w:val="18"/>
              </w:rPr>
              <w:t xml:space="preserve"> (including those targeting high-risk and specific subgroups), and hence cannot compare aggregate impacts. </w:t>
            </w:r>
          </w:p>
          <w:p w14:paraId="21CAABCE" w14:textId="77777777" w:rsidR="006F0785" w:rsidRPr="004C78D8" w:rsidRDefault="006F0785" w:rsidP="00FB7C1F">
            <w:pPr>
              <w:jc w:val="left"/>
              <w:rPr>
                <w:sz w:val="18"/>
                <w:szCs w:val="18"/>
              </w:rPr>
            </w:pPr>
            <w:r w:rsidRPr="004C78D8">
              <w:rPr>
                <w:b/>
                <w:bCs/>
                <w:i/>
                <w:iCs/>
                <w:sz w:val="18"/>
                <w:szCs w:val="18"/>
              </w:rPr>
              <w:t>Parameter uncertainty</w:t>
            </w:r>
            <w:r w:rsidRPr="004C78D8">
              <w:rPr>
                <w:b/>
                <w:bCs/>
                <w:sz w:val="18"/>
                <w:szCs w:val="18"/>
              </w:rPr>
              <w:t>:</w:t>
            </w:r>
            <w:r w:rsidRPr="004C78D8">
              <w:rPr>
                <w:sz w:val="18"/>
                <w:szCs w:val="18"/>
              </w:rPr>
              <w:t xml:space="preserve"> DSA – int. cost and efficacy had largest impact on group exercise ICER. PSA – CEAC. </w:t>
            </w:r>
          </w:p>
          <w:p w14:paraId="772DD533" w14:textId="77777777" w:rsidR="006F0785" w:rsidRPr="004C78D8" w:rsidRDefault="006F0785" w:rsidP="00FB7C1F">
            <w:pPr>
              <w:jc w:val="left"/>
              <w:rPr>
                <w:sz w:val="18"/>
                <w:szCs w:val="18"/>
              </w:rPr>
            </w:pPr>
            <w:r w:rsidRPr="004C78D8">
              <w:rPr>
                <w:b/>
                <w:bCs/>
                <w:i/>
                <w:iCs/>
                <w:sz w:val="18"/>
                <w:szCs w:val="18"/>
              </w:rPr>
              <w:t>Scenarios</w:t>
            </w:r>
            <w:r w:rsidRPr="004C78D8">
              <w:rPr>
                <w:b/>
                <w:bCs/>
                <w:sz w:val="18"/>
                <w:szCs w:val="18"/>
              </w:rPr>
              <w:t>:</w:t>
            </w:r>
            <w:r w:rsidRPr="004C78D8">
              <w:rPr>
                <w:sz w:val="18"/>
                <w:szCs w:val="18"/>
              </w:rPr>
              <w:t xml:space="preserve"> No fear of falling had the largest impact on group exercise ICER among parameter changes.</w:t>
            </w:r>
          </w:p>
        </w:tc>
        <w:tc>
          <w:tcPr>
            <w:tcW w:w="1190" w:type="pct"/>
          </w:tcPr>
          <w:p w14:paraId="3458FDCA" w14:textId="79202163" w:rsidR="006F0785" w:rsidRPr="004C78D8" w:rsidRDefault="006F0785" w:rsidP="00FB7C1F">
            <w:pPr>
              <w:jc w:val="left"/>
              <w:rPr>
                <w:sz w:val="18"/>
                <w:szCs w:val="18"/>
              </w:rPr>
            </w:pPr>
            <w:r w:rsidRPr="004C78D8">
              <w:rPr>
                <w:sz w:val="18"/>
                <w:szCs w:val="18"/>
              </w:rPr>
              <w:t>Recurrent falls not characterised; Unclear falls risk progression;</w:t>
            </w:r>
            <w:r w:rsidR="007E377E" w:rsidRPr="004C78D8">
              <w:rPr>
                <w:sz w:val="18"/>
                <w:szCs w:val="18"/>
                <w:vertAlign w:val="superscript"/>
              </w:rPr>
              <w:t>4</w:t>
            </w:r>
            <w:r w:rsidRPr="004C78D8">
              <w:rPr>
                <w:sz w:val="18"/>
                <w:szCs w:val="18"/>
              </w:rPr>
              <w:t xml:space="preserve"> Unclear intervention reach;</w:t>
            </w:r>
            <w:r w:rsidR="007E377E" w:rsidRPr="004C78D8">
              <w:rPr>
                <w:sz w:val="18"/>
                <w:szCs w:val="18"/>
                <w:vertAlign w:val="superscript"/>
              </w:rPr>
              <w:t>5</w:t>
            </w:r>
            <w:r w:rsidRPr="004C78D8">
              <w:rPr>
                <w:sz w:val="18"/>
                <w:szCs w:val="18"/>
              </w:rPr>
              <w:t xml:space="preserve"> Unclear how high-risk subgroup identified; Mismatch between falls incidence and efficacy metrics</w:t>
            </w:r>
          </w:p>
        </w:tc>
      </w:tr>
      <w:tr w:rsidR="006F0785" w:rsidRPr="004C78D8" w14:paraId="15B31A6D" w14:textId="77777777" w:rsidTr="002828C1">
        <w:tc>
          <w:tcPr>
            <w:tcW w:w="381" w:type="pct"/>
          </w:tcPr>
          <w:p w14:paraId="6D552328" w14:textId="77777777" w:rsidR="006F0785" w:rsidRPr="004C78D8" w:rsidRDefault="006F0785" w:rsidP="00FB7C1F">
            <w:pPr>
              <w:jc w:val="left"/>
              <w:rPr>
                <w:sz w:val="18"/>
                <w:szCs w:val="18"/>
              </w:rPr>
            </w:pPr>
            <w:r w:rsidRPr="004C78D8">
              <w:rPr>
                <w:sz w:val="18"/>
                <w:szCs w:val="18"/>
              </w:rPr>
              <w:t xml:space="preserve">Deverall (2018) </w:t>
            </w:r>
          </w:p>
        </w:tc>
        <w:tc>
          <w:tcPr>
            <w:tcW w:w="772" w:type="pct"/>
          </w:tcPr>
          <w:p w14:paraId="7632A4A6" w14:textId="77777777" w:rsidR="006F0785" w:rsidRPr="004C78D8" w:rsidRDefault="006F0785" w:rsidP="00FB7C1F">
            <w:pPr>
              <w:jc w:val="left"/>
              <w:rPr>
                <w:sz w:val="18"/>
                <w:szCs w:val="18"/>
              </w:rPr>
            </w:pPr>
            <w:r w:rsidRPr="004C78D8">
              <w:rPr>
                <w:sz w:val="18"/>
                <w:szCs w:val="18"/>
              </w:rPr>
              <w:t>CD adults aged 65+; CUA; Public sector, Societal</w:t>
            </w:r>
          </w:p>
        </w:tc>
        <w:tc>
          <w:tcPr>
            <w:tcW w:w="864" w:type="pct"/>
          </w:tcPr>
          <w:p w14:paraId="0FE35C89" w14:textId="77777777" w:rsidR="006F0785" w:rsidRPr="004C78D8" w:rsidRDefault="006F0785" w:rsidP="00FB7C1F">
            <w:pPr>
              <w:jc w:val="left"/>
              <w:rPr>
                <w:sz w:val="18"/>
                <w:szCs w:val="18"/>
              </w:rPr>
            </w:pPr>
            <w:r w:rsidRPr="004C78D8">
              <w:rPr>
                <w:sz w:val="18"/>
                <w:szCs w:val="18"/>
              </w:rPr>
              <w:t>Exercise – (i) Peer-led group exercise; (ii) Home exercise; (iii) Commercial exercise [NR]</w:t>
            </w:r>
          </w:p>
        </w:tc>
        <w:tc>
          <w:tcPr>
            <w:tcW w:w="1792" w:type="pct"/>
          </w:tcPr>
          <w:p w14:paraId="20619A5C" w14:textId="77777777" w:rsidR="006F0785" w:rsidRPr="004C78D8" w:rsidRDefault="006F0785" w:rsidP="00FB7C1F">
            <w:pPr>
              <w:jc w:val="left"/>
              <w:rPr>
                <w:sz w:val="18"/>
                <w:szCs w:val="18"/>
              </w:rPr>
            </w:pPr>
            <w:r w:rsidRPr="004C78D8">
              <w:rPr>
                <w:b/>
                <w:bCs/>
                <w:i/>
                <w:iCs/>
                <w:sz w:val="18"/>
                <w:szCs w:val="18"/>
              </w:rPr>
              <w:t>Ratio</w:t>
            </w:r>
            <w:r w:rsidRPr="004C78D8">
              <w:rPr>
                <w:b/>
                <w:bCs/>
                <w:sz w:val="18"/>
                <w:szCs w:val="18"/>
              </w:rPr>
              <w:t xml:space="preserve">: </w:t>
            </w:r>
            <w:r w:rsidRPr="004C78D8">
              <w:rPr>
                <w:sz w:val="18"/>
                <w:szCs w:val="18"/>
              </w:rPr>
              <w:t>(i) Peer-led group exercise ICER £4,527 per QALY vs. NR; (ii) Home exercise ICER £3,928 per QALY vs. NR; (iii) Commercial exercise ICER £33,461 per QALY vs. NR.</w:t>
            </w:r>
          </w:p>
          <w:p w14:paraId="5B6B83CD" w14:textId="77777777" w:rsidR="006F0785" w:rsidRPr="004C78D8" w:rsidRDefault="006F0785" w:rsidP="00FB7C1F">
            <w:pPr>
              <w:jc w:val="left"/>
              <w:rPr>
                <w:sz w:val="18"/>
                <w:szCs w:val="18"/>
              </w:rPr>
            </w:pPr>
            <w:r w:rsidRPr="004C78D8">
              <w:rPr>
                <w:b/>
                <w:bCs/>
                <w:i/>
                <w:iCs/>
                <w:sz w:val="18"/>
                <w:szCs w:val="18"/>
              </w:rPr>
              <w:t>Aggregate</w:t>
            </w:r>
            <w:r w:rsidRPr="004C78D8">
              <w:rPr>
                <w:b/>
                <w:bCs/>
                <w:sz w:val="18"/>
                <w:szCs w:val="18"/>
              </w:rPr>
              <w:t xml:space="preserve">: </w:t>
            </w:r>
            <w:r w:rsidRPr="004C78D8">
              <w:rPr>
                <w:sz w:val="18"/>
                <w:szCs w:val="18"/>
              </w:rPr>
              <w:t xml:space="preserve">For base case, home exercise generated 47,100 additional QALYs at incremental cost of £161m relative to NR; this compares to 42,000 and 42,300 QALYs for group exercise and commercial exercise at £305m and £1,110m incremental cost relative to NR, respectively. Hence, home exercise dominated group and commercial exercises.  </w:t>
            </w:r>
          </w:p>
          <w:p w14:paraId="46AC3B25" w14:textId="77777777" w:rsidR="006F0785" w:rsidRPr="004C78D8" w:rsidRDefault="006F0785" w:rsidP="00FB7C1F">
            <w:pPr>
              <w:jc w:val="left"/>
              <w:rPr>
                <w:sz w:val="18"/>
                <w:szCs w:val="18"/>
              </w:rPr>
            </w:pPr>
            <w:r w:rsidRPr="004C78D8">
              <w:rPr>
                <w:b/>
                <w:bCs/>
                <w:i/>
                <w:iCs/>
                <w:sz w:val="18"/>
                <w:szCs w:val="18"/>
              </w:rPr>
              <w:t>Parameter uncertainty</w:t>
            </w:r>
            <w:r w:rsidRPr="004C78D8">
              <w:rPr>
                <w:sz w:val="18"/>
                <w:szCs w:val="18"/>
              </w:rPr>
              <w:t xml:space="preserve">: DSA – efficacy and utility decrement had largest impact on ICER. PSA – 95% UI; CEAC. </w:t>
            </w:r>
          </w:p>
          <w:p w14:paraId="5865D4F4" w14:textId="067CB687" w:rsidR="006F0785" w:rsidRPr="004C78D8" w:rsidRDefault="006F0785" w:rsidP="00FB7C1F">
            <w:pPr>
              <w:jc w:val="left"/>
              <w:rPr>
                <w:sz w:val="18"/>
                <w:szCs w:val="18"/>
              </w:rPr>
            </w:pPr>
            <w:r w:rsidRPr="004C78D8">
              <w:rPr>
                <w:b/>
                <w:bCs/>
                <w:i/>
                <w:iCs/>
                <w:sz w:val="18"/>
                <w:szCs w:val="18"/>
              </w:rPr>
              <w:t>Scenarios</w:t>
            </w:r>
            <w:r w:rsidRPr="004C78D8">
              <w:rPr>
                <w:sz w:val="18"/>
                <w:szCs w:val="18"/>
              </w:rPr>
              <w:t>: Subgroup analyses showed higher ICERs for Maori and men; equity analyses showed higher ICERs can be mainly attributed to their shorter life expectancies.</w:t>
            </w:r>
            <w:r w:rsidR="007E377E" w:rsidRPr="004C78D8">
              <w:rPr>
                <w:sz w:val="18"/>
                <w:szCs w:val="18"/>
                <w:vertAlign w:val="superscript"/>
              </w:rPr>
              <w:t>5</w:t>
            </w:r>
          </w:p>
        </w:tc>
        <w:tc>
          <w:tcPr>
            <w:tcW w:w="1190" w:type="pct"/>
          </w:tcPr>
          <w:p w14:paraId="55A77EAA" w14:textId="50E183AC" w:rsidR="006F0785" w:rsidRPr="004C78D8" w:rsidRDefault="006F0785" w:rsidP="00FB7C1F">
            <w:pPr>
              <w:jc w:val="left"/>
              <w:rPr>
                <w:sz w:val="18"/>
                <w:szCs w:val="18"/>
              </w:rPr>
            </w:pPr>
            <w:r w:rsidRPr="004C78D8">
              <w:rPr>
                <w:sz w:val="18"/>
                <w:szCs w:val="18"/>
              </w:rPr>
              <w:t>Routine data lacks individual identifiers;</w:t>
            </w:r>
            <w:r w:rsidR="007E377E" w:rsidRPr="004C78D8">
              <w:rPr>
                <w:sz w:val="18"/>
                <w:szCs w:val="18"/>
                <w:vertAlign w:val="superscript"/>
              </w:rPr>
              <w:t>6</w:t>
            </w:r>
            <w:r w:rsidRPr="004C78D8">
              <w:rPr>
                <w:sz w:val="18"/>
                <w:szCs w:val="18"/>
              </w:rPr>
              <w:t xml:space="preserve"> Recurrent falls not characterised; Unclear falls risk progression;</w:t>
            </w:r>
            <w:r w:rsidR="007E377E" w:rsidRPr="004C78D8">
              <w:rPr>
                <w:sz w:val="18"/>
                <w:szCs w:val="18"/>
                <w:vertAlign w:val="superscript"/>
              </w:rPr>
              <w:t>4</w:t>
            </w:r>
            <w:r w:rsidRPr="004C78D8">
              <w:rPr>
                <w:sz w:val="18"/>
                <w:szCs w:val="18"/>
              </w:rPr>
              <w:t xml:space="preserve"> No background transition in health utilities;</w:t>
            </w:r>
            <w:r w:rsidR="007E377E" w:rsidRPr="004C78D8">
              <w:rPr>
                <w:sz w:val="18"/>
                <w:szCs w:val="18"/>
                <w:vertAlign w:val="superscript"/>
              </w:rPr>
              <w:t>7</w:t>
            </w:r>
            <w:r w:rsidRPr="004C78D8">
              <w:rPr>
                <w:sz w:val="18"/>
                <w:szCs w:val="18"/>
              </w:rPr>
              <w:t xml:space="preserve"> Includes comorbidity care costs; Mismatch between falls incidence and efficacy metrics; No tiered threshold for evaluating societal outcomes;</w:t>
            </w:r>
            <w:r w:rsidR="007E377E" w:rsidRPr="004C78D8">
              <w:rPr>
                <w:sz w:val="18"/>
                <w:szCs w:val="18"/>
                <w:vertAlign w:val="superscript"/>
              </w:rPr>
              <w:t>8</w:t>
            </w:r>
            <w:r w:rsidRPr="004C78D8">
              <w:rPr>
                <w:sz w:val="18"/>
                <w:szCs w:val="18"/>
              </w:rPr>
              <w:t xml:space="preserve"> No scenario estimating equity-efficiency trade-off.</w:t>
            </w:r>
            <w:r w:rsidR="007E377E" w:rsidRPr="004C78D8">
              <w:rPr>
                <w:sz w:val="18"/>
                <w:szCs w:val="18"/>
                <w:vertAlign w:val="superscript"/>
              </w:rPr>
              <w:t>5</w:t>
            </w:r>
          </w:p>
        </w:tc>
      </w:tr>
      <w:tr w:rsidR="006F0785" w:rsidRPr="004C78D8" w14:paraId="4DEFB898" w14:textId="77777777" w:rsidTr="002828C1">
        <w:tc>
          <w:tcPr>
            <w:tcW w:w="381" w:type="pct"/>
          </w:tcPr>
          <w:p w14:paraId="130972D6" w14:textId="77777777" w:rsidR="006F0785" w:rsidRPr="004C78D8" w:rsidRDefault="006F0785" w:rsidP="00FB7C1F">
            <w:pPr>
              <w:jc w:val="left"/>
              <w:rPr>
                <w:sz w:val="18"/>
                <w:szCs w:val="18"/>
              </w:rPr>
            </w:pPr>
            <w:r w:rsidRPr="004C78D8">
              <w:rPr>
                <w:sz w:val="18"/>
                <w:szCs w:val="18"/>
              </w:rPr>
              <w:t xml:space="preserve">Eldridge (2005) </w:t>
            </w:r>
          </w:p>
        </w:tc>
        <w:tc>
          <w:tcPr>
            <w:tcW w:w="772" w:type="pct"/>
          </w:tcPr>
          <w:p w14:paraId="6C8727CC" w14:textId="77777777" w:rsidR="006F0785" w:rsidRPr="004C78D8" w:rsidRDefault="006F0785" w:rsidP="00FB7C1F">
            <w:pPr>
              <w:jc w:val="left"/>
              <w:rPr>
                <w:sz w:val="18"/>
                <w:szCs w:val="18"/>
              </w:rPr>
            </w:pPr>
            <w:r w:rsidRPr="004C78D8">
              <w:rPr>
                <w:sz w:val="18"/>
                <w:szCs w:val="18"/>
              </w:rPr>
              <w:t>Adults aged 65+ in community or nursing home; CUA; Public sector</w:t>
            </w:r>
          </w:p>
        </w:tc>
        <w:tc>
          <w:tcPr>
            <w:tcW w:w="864" w:type="pct"/>
          </w:tcPr>
          <w:p w14:paraId="180EB5D2" w14:textId="77777777" w:rsidR="006F0785" w:rsidRPr="004C78D8" w:rsidRDefault="006F0785" w:rsidP="00FB7C1F">
            <w:pPr>
              <w:jc w:val="left"/>
              <w:rPr>
                <w:sz w:val="18"/>
                <w:szCs w:val="18"/>
              </w:rPr>
            </w:pPr>
            <w:r w:rsidRPr="004C78D8">
              <w:rPr>
                <w:sz w:val="18"/>
                <w:szCs w:val="18"/>
              </w:rPr>
              <w:t>Falls risk screening + multifactorial int. or exercise [UC]</w:t>
            </w:r>
          </w:p>
        </w:tc>
        <w:tc>
          <w:tcPr>
            <w:tcW w:w="1792" w:type="pct"/>
          </w:tcPr>
          <w:p w14:paraId="076204BF" w14:textId="77777777" w:rsidR="006F0785" w:rsidRPr="004C78D8" w:rsidRDefault="006F0785" w:rsidP="00FB7C1F">
            <w:pPr>
              <w:jc w:val="left"/>
              <w:rPr>
                <w:sz w:val="18"/>
                <w:szCs w:val="18"/>
              </w:rPr>
            </w:pPr>
            <w:r w:rsidRPr="004C78D8">
              <w:rPr>
                <w:b/>
                <w:bCs/>
                <w:i/>
                <w:iCs/>
                <w:sz w:val="18"/>
                <w:szCs w:val="18"/>
              </w:rPr>
              <w:t>Ratio</w:t>
            </w:r>
            <w:r w:rsidRPr="004C78D8">
              <w:rPr>
                <w:sz w:val="18"/>
                <w:szCs w:val="18"/>
              </w:rPr>
              <w:t>: Not reported.</w:t>
            </w:r>
          </w:p>
          <w:p w14:paraId="565CC37D" w14:textId="77777777" w:rsidR="006F0785" w:rsidRPr="004C78D8" w:rsidRDefault="006F0785" w:rsidP="00FB7C1F">
            <w:pPr>
              <w:jc w:val="left"/>
              <w:rPr>
                <w:sz w:val="18"/>
                <w:szCs w:val="18"/>
              </w:rPr>
            </w:pPr>
            <w:r w:rsidRPr="004C78D8">
              <w:rPr>
                <w:b/>
                <w:bCs/>
                <w:i/>
                <w:iCs/>
                <w:sz w:val="18"/>
                <w:szCs w:val="18"/>
              </w:rPr>
              <w:t>Aggregate</w:t>
            </w:r>
            <w:r w:rsidRPr="004C78D8">
              <w:rPr>
                <w:sz w:val="18"/>
                <w:szCs w:val="18"/>
              </w:rPr>
              <w:t>: Intervention reduced the number of fallers by 2.8% over one year under base case (6.5% uptake of screening).</w:t>
            </w:r>
          </w:p>
          <w:p w14:paraId="3FC483C7" w14:textId="77777777" w:rsidR="006F0785" w:rsidRPr="004C78D8" w:rsidRDefault="006F0785" w:rsidP="00FB7C1F">
            <w:pPr>
              <w:jc w:val="left"/>
              <w:rPr>
                <w:sz w:val="18"/>
                <w:szCs w:val="18"/>
              </w:rPr>
            </w:pPr>
            <w:r w:rsidRPr="004C78D8">
              <w:rPr>
                <w:b/>
                <w:bCs/>
                <w:i/>
                <w:iCs/>
                <w:sz w:val="18"/>
                <w:szCs w:val="18"/>
              </w:rPr>
              <w:t>Parameter uncertainty</w:t>
            </w:r>
            <w:r w:rsidRPr="004C78D8">
              <w:rPr>
                <w:sz w:val="18"/>
                <w:szCs w:val="18"/>
              </w:rPr>
              <w:t xml:space="preserve">: PSA – 40% probability intervention is cost-effective at £30,000 per QALY threshold. </w:t>
            </w:r>
          </w:p>
          <w:p w14:paraId="71003C50" w14:textId="77777777" w:rsidR="006F0785" w:rsidRPr="004C78D8" w:rsidRDefault="006F0785" w:rsidP="00FB7C1F">
            <w:pPr>
              <w:jc w:val="left"/>
              <w:rPr>
                <w:sz w:val="18"/>
                <w:szCs w:val="18"/>
              </w:rPr>
            </w:pPr>
            <w:r w:rsidRPr="004C78D8">
              <w:rPr>
                <w:b/>
                <w:bCs/>
                <w:i/>
                <w:iCs/>
                <w:sz w:val="18"/>
                <w:szCs w:val="18"/>
              </w:rPr>
              <w:t>Scenarios</w:t>
            </w:r>
            <w:r w:rsidRPr="004C78D8">
              <w:rPr>
                <w:sz w:val="18"/>
                <w:szCs w:val="18"/>
              </w:rPr>
              <w:t>: 100% screening uptake would reduce number of fallers by 11.3% over one year; 100% screening uptake and 100% self-referred exercise uptake would reduce number of fallers by 15.0%; impact of uptake increase on ICER not reported.</w:t>
            </w:r>
          </w:p>
        </w:tc>
        <w:tc>
          <w:tcPr>
            <w:tcW w:w="1190" w:type="pct"/>
          </w:tcPr>
          <w:p w14:paraId="3116ACCB" w14:textId="26511F1E" w:rsidR="006F0785" w:rsidRPr="004C78D8" w:rsidRDefault="006F0785" w:rsidP="00FB7C1F">
            <w:pPr>
              <w:jc w:val="left"/>
              <w:rPr>
                <w:sz w:val="18"/>
                <w:szCs w:val="18"/>
              </w:rPr>
            </w:pPr>
            <w:r w:rsidRPr="004C78D8">
              <w:rPr>
                <w:sz w:val="18"/>
                <w:szCs w:val="18"/>
              </w:rPr>
              <w:t>Recurrent falls not characterised; Unclear falls risk progression;</w:t>
            </w:r>
            <w:r w:rsidR="007E377E" w:rsidRPr="004C78D8">
              <w:rPr>
                <w:sz w:val="18"/>
                <w:szCs w:val="18"/>
                <w:vertAlign w:val="superscript"/>
              </w:rPr>
              <w:t>4</w:t>
            </w:r>
            <w:r w:rsidRPr="004C78D8">
              <w:rPr>
                <w:sz w:val="18"/>
                <w:szCs w:val="18"/>
              </w:rPr>
              <w:t xml:space="preserve"> No background transition in health utilities;</w:t>
            </w:r>
            <w:r w:rsidR="007E377E" w:rsidRPr="004C78D8">
              <w:rPr>
                <w:sz w:val="18"/>
                <w:szCs w:val="18"/>
                <w:vertAlign w:val="superscript"/>
              </w:rPr>
              <w:t>7</w:t>
            </w:r>
            <w:r w:rsidRPr="004C78D8">
              <w:rPr>
                <w:sz w:val="18"/>
                <w:szCs w:val="18"/>
              </w:rPr>
              <w:t xml:space="preserve"> Incorporated fixed intervention costs</w:t>
            </w:r>
          </w:p>
        </w:tc>
      </w:tr>
      <w:tr w:rsidR="006F0785" w:rsidRPr="004C78D8" w14:paraId="1CAC9BB2" w14:textId="77777777" w:rsidTr="002828C1">
        <w:tc>
          <w:tcPr>
            <w:tcW w:w="381" w:type="pct"/>
          </w:tcPr>
          <w:p w14:paraId="008978B0" w14:textId="77777777" w:rsidR="006F0785" w:rsidRPr="004C78D8" w:rsidRDefault="006F0785" w:rsidP="00FB7C1F">
            <w:pPr>
              <w:jc w:val="left"/>
              <w:rPr>
                <w:sz w:val="18"/>
                <w:szCs w:val="18"/>
              </w:rPr>
            </w:pPr>
            <w:r w:rsidRPr="004C78D8">
              <w:rPr>
                <w:sz w:val="18"/>
                <w:szCs w:val="18"/>
              </w:rPr>
              <w:t xml:space="preserve">Farag (2015) </w:t>
            </w:r>
          </w:p>
        </w:tc>
        <w:tc>
          <w:tcPr>
            <w:tcW w:w="772" w:type="pct"/>
          </w:tcPr>
          <w:p w14:paraId="34E7A6C5" w14:textId="77777777" w:rsidR="006F0785" w:rsidRPr="004C78D8" w:rsidRDefault="006F0785" w:rsidP="00FB7C1F">
            <w:pPr>
              <w:jc w:val="left"/>
              <w:rPr>
                <w:sz w:val="18"/>
                <w:szCs w:val="18"/>
              </w:rPr>
            </w:pPr>
            <w:r w:rsidRPr="004C78D8">
              <w:rPr>
                <w:sz w:val="18"/>
                <w:szCs w:val="18"/>
              </w:rPr>
              <w:t>CD adults aged 65+ without prior fall; CUA; Public sector</w:t>
            </w:r>
          </w:p>
        </w:tc>
        <w:tc>
          <w:tcPr>
            <w:tcW w:w="864" w:type="pct"/>
          </w:tcPr>
          <w:p w14:paraId="35F59B33" w14:textId="77777777" w:rsidR="006F0785" w:rsidRPr="004C78D8" w:rsidRDefault="006F0785" w:rsidP="00FB7C1F">
            <w:pPr>
              <w:jc w:val="left"/>
              <w:rPr>
                <w:sz w:val="18"/>
                <w:szCs w:val="18"/>
              </w:rPr>
            </w:pPr>
            <w:r w:rsidRPr="004C78D8">
              <w:rPr>
                <w:sz w:val="18"/>
                <w:szCs w:val="18"/>
              </w:rPr>
              <w:t>Non-specific falls prevention int. with relative risk of 0.75 and per-participant cost of £420 [NR]</w:t>
            </w:r>
          </w:p>
        </w:tc>
        <w:tc>
          <w:tcPr>
            <w:tcW w:w="1792" w:type="pct"/>
          </w:tcPr>
          <w:p w14:paraId="2A4FCB62" w14:textId="77777777" w:rsidR="006F0785" w:rsidRPr="004C78D8" w:rsidRDefault="006F0785" w:rsidP="00FB7C1F">
            <w:pPr>
              <w:jc w:val="left"/>
              <w:rPr>
                <w:sz w:val="18"/>
                <w:szCs w:val="18"/>
              </w:rPr>
            </w:pPr>
            <w:r w:rsidRPr="004C78D8">
              <w:rPr>
                <w:b/>
                <w:bCs/>
                <w:i/>
                <w:iCs/>
                <w:sz w:val="18"/>
                <w:szCs w:val="18"/>
              </w:rPr>
              <w:t>Ratio</w:t>
            </w:r>
            <w:r w:rsidRPr="004C78D8">
              <w:rPr>
                <w:b/>
                <w:bCs/>
                <w:sz w:val="18"/>
                <w:szCs w:val="18"/>
              </w:rPr>
              <w:t>:</w:t>
            </w:r>
            <w:r w:rsidRPr="004C78D8">
              <w:rPr>
                <w:sz w:val="18"/>
                <w:szCs w:val="18"/>
              </w:rPr>
              <w:t xml:space="preserve"> ICER of £17,320 per QALY vs. NR</w:t>
            </w:r>
          </w:p>
          <w:p w14:paraId="523A3449" w14:textId="77777777" w:rsidR="006F0785" w:rsidRPr="004C78D8" w:rsidRDefault="006F0785" w:rsidP="00FB7C1F">
            <w:pPr>
              <w:jc w:val="left"/>
              <w:rPr>
                <w:sz w:val="18"/>
                <w:szCs w:val="18"/>
              </w:rPr>
            </w:pPr>
            <w:r w:rsidRPr="004C78D8">
              <w:rPr>
                <w:b/>
                <w:bCs/>
                <w:i/>
                <w:iCs/>
                <w:sz w:val="18"/>
                <w:szCs w:val="18"/>
              </w:rPr>
              <w:t>Aggregate</w:t>
            </w:r>
            <w:r w:rsidRPr="004C78D8">
              <w:rPr>
                <w:b/>
                <w:bCs/>
                <w:sz w:val="18"/>
                <w:szCs w:val="18"/>
              </w:rPr>
              <w:t>:</w:t>
            </w:r>
            <w:r w:rsidRPr="004C78D8">
              <w:rPr>
                <w:sz w:val="18"/>
                <w:szCs w:val="18"/>
              </w:rPr>
              <w:t xml:space="preserve"> Incremental cost and QALY gain outcomes per person can be scaled up but unclear to what extent. </w:t>
            </w:r>
          </w:p>
          <w:p w14:paraId="1DF4AB84" w14:textId="77777777" w:rsidR="006F0785" w:rsidRPr="004C78D8" w:rsidRDefault="006F0785" w:rsidP="00FB7C1F">
            <w:pPr>
              <w:jc w:val="left"/>
              <w:rPr>
                <w:sz w:val="18"/>
                <w:szCs w:val="18"/>
              </w:rPr>
            </w:pPr>
            <w:r w:rsidRPr="004C78D8">
              <w:rPr>
                <w:b/>
                <w:bCs/>
                <w:i/>
                <w:iCs/>
                <w:sz w:val="18"/>
                <w:szCs w:val="18"/>
              </w:rPr>
              <w:lastRenderedPageBreak/>
              <w:t>Parameter uncertainty</w:t>
            </w:r>
            <w:r w:rsidRPr="004C78D8">
              <w:rPr>
                <w:b/>
                <w:bCs/>
                <w:sz w:val="18"/>
                <w:szCs w:val="18"/>
              </w:rPr>
              <w:t>:</w:t>
            </w:r>
            <w:r w:rsidRPr="004C78D8">
              <w:rPr>
                <w:sz w:val="18"/>
                <w:szCs w:val="18"/>
              </w:rPr>
              <w:t xml:space="preserve"> DSA – falls risk and LTC cost had largest impact on ICER. PSA – CEAC; 57% probability of being cost-effective at AUS$50,000 (£29,935) threshold.</w:t>
            </w:r>
          </w:p>
          <w:p w14:paraId="4E649602" w14:textId="77777777" w:rsidR="006F0785" w:rsidRPr="004C78D8" w:rsidRDefault="006F0785" w:rsidP="00FB7C1F">
            <w:pPr>
              <w:jc w:val="left"/>
              <w:rPr>
                <w:sz w:val="18"/>
                <w:szCs w:val="18"/>
              </w:rPr>
            </w:pPr>
            <w:r w:rsidRPr="004C78D8">
              <w:rPr>
                <w:b/>
                <w:bCs/>
                <w:i/>
                <w:iCs/>
                <w:sz w:val="18"/>
                <w:szCs w:val="18"/>
              </w:rPr>
              <w:t>Scenarios</w:t>
            </w:r>
            <w:r w:rsidRPr="004C78D8">
              <w:rPr>
                <w:b/>
                <w:bCs/>
                <w:sz w:val="18"/>
                <w:szCs w:val="18"/>
              </w:rPr>
              <w:t>:</w:t>
            </w:r>
            <w:r w:rsidRPr="004C78D8">
              <w:rPr>
                <w:sz w:val="18"/>
                <w:szCs w:val="18"/>
              </w:rPr>
              <w:t xml:space="preserve"> e.g., variation in uptake rate had little impact on ICER</w:t>
            </w:r>
          </w:p>
        </w:tc>
        <w:tc>
          <w:tcPr>
            <w:tcW w:w="1190" w:type="pct"/>
          </w:tcPr>
          <w:p w14:paraId="03DBA744" w14:textId="1C06AB43" w:rsidR="006F0785" w:rsidRPr="004C78D8" w:rsidRDefault="006F0785" w:rsidP="00FB7C1F">
            <w:pPr>
              <w:jc w:val="left"/>
              <w:rPr>
                <w:sz w:val="18"/>
                <w:szCs w:val="18"/>
              </w:rPr>
            </w:pPr>
            <w:r w:rsidRPr="004C78D8">
              <w:rPr>
                <w:sz w:val="18"/>
                <w:szCs w:val="18"/>
              </w:rPr>
              <w:lastRenderedPageBreak/>
              <w:t>Recurrent falls not characterised; Unclear falls risk progression;</w:t>
            </w:r>
            <w:r w:rsidR="007E377E" w:rsidRPr="004C78D8">
              <w:rPr>
                <w:sz w:val="18"/>
                <w:szCs w:val="18"/>
                <w:vertAlign w:val="superscript"/>
              </w:rPr>
              <w:t>4</w:t>
            </w:r>
            <w:r w:rsidRPr="004C78D8">
              <w:rPr>
                <w:sz w:val="18"/>
                <w:szCs w:val="18"/>
              </w:rPr>
              <w:t xml:space="preserve"> No discounting</w:t>
            </w:r>
          </w:p>
        </w:tc>
      </w:tr>
      <w:tr w:rsidR="006F0785" w:rsidRPr="004C78D8" w14:paraId="4F400888" w14:textId="77777777" w:rsidTr="002828C1">
        <w:tc>
          <w:tcPr>
            <w:tcW w:w="381" w:type="pct"/>
          </w:tcPr>
          <w:p w14:paraId="24DDB3CA" w14:textId="77777777" w:rsidR="006F0785" w:rsidRPr="004C78D8" w:rsidRDefault="006F0785" w:rsidP="00FB7C1F">
            <w:pPr>
              <w:jc w:val="left"/>
              <w:rPr>
                <w:sz w:val="18"/>
                <w:szCs w:val="18"/>
              </w:rPr>
            </w:pPr>
            <w:r w:rsidRPr="004C78D8">
              <w:rPr>
                <w:sz w:val="18"/>
                <w:szCs w:val="18"/>
              </w:rPr>
              <w:t xml:space="preserve">Honkanen (2006) </w:t>
            </w:r>
          </w:p>
        </w:tc>
        <w:tc>
          <w:tcPr>
            <w:tcW w:w="772" w:type="pct"/>
          </w:tcPr>
          <w:p w14:paraId="684701BB" w14:textId="77777777" w:rsidR="006F0785" w:rsidRPr="004C78D8" w:rsidRDefault="006F0785" w:rsidP="00FB7C1F">
            <w:pPr>
              <w:jc w:val="left"/>
              <w:rPr>
                <w:sz w:val="18"/>
                <w:szCs w:val="18"/>
              </w:rPr>
            </w:pPr>
            <w:r w:rsidRPr="004C78D8">
              <w:rPr>
                <w:sz w:val="18"/>
                <w:szCs w:val="18"/>
              </w:rPr>
              <w:t>Adults aged 65+ living in community at baseline; CUA/ROI; Public sector</w:t>
            </w:r>
          </w:p>
        </w:tc>
        <w:tc>
          <w:tcPr>
            <w:tcW w:w="864" w:type="pct"/>
          </w:tcPr>
          <w:p w14:paraId="071A495D" w14:textId="77777777" w:rsidR="006F0785" w:rsidRPr="004C78D8" w:rsidRDefault="006F0785" w:rsidP="00FB7C1F">
            <w:pPr>
              <w:jc w:val="left"/>
              <w:rPr>
                <w:sz w:val="18"/>
                <w:szCs w:val="18"/>
              </w:rPr>
            </w:pPr>
            <w:r w:rsidRPr="004C78D8">
              <w:rPr>
                <w:sz w:val="18"/>
                <w:szCs w:val="18"/>
              </w:rPr>
              <w:t>Hip protector [NR]</w:t>
            </w:r>
          </w:p>
        </w:tc>
        <w:tc>
          <w:tcPr>
            <w:tcW w:w="1792" w:type="pct"/>
          </w:tcPr>
          <w:p w14:paraId="167D33E1" w14:textId="77777777" w:rsidR="006F0785" w:rsidRPr="004C78D8" w:rsidRDefault="006F0785" w:rsidP="00FB7C1F">
            <w:pPr>
              <w:jc w:val="left"/>
              <w:rPr>
                <w:sz w:val="18"/>
                <w:szCs w:val="18"/>
              </w:rPr>
            </w:pPr>
            <w:r w:rsidRPr="004C78D8">
              <w:rPr>
                <w:b/>
                <w:bCs/>
                <w:i/>
                <w:iCs/>
                <w:sz w:val="18"/>
                <w:szCs w:val="18"/>
              </w:rPr>
              <w:t>Ratio</w:t>
            </w:r>
            <w:r w:rsidRPr="004C78D8">
              <w:rPr>
                <w:sz w:val="18"/>
                <w:szCs w:val="18"/>
              </w:rPr>
              <w:t>: Women, baseline age 65 – intervention dominated by NR; Women, age 70 – intervention dominated by NR; Women, age 75 – ICER of £19,336 per QALY; Women, age 80 – intervention dominates NR; Women, age 85 – intervention dominates NR; Men, age 65 – intervention dominated by NR; Men, age 70 – intervention dominated by NR; Men, age 75 – intervention dominated by NR; Men, age 80 – ICER of £132,180 per QALY; Men, age 85 – intervention dominates NR.</w:t>
            </w:r>
          </w:p>
          <w:p w14:paraId="5C3BEFF7" w14:textId="77777777" w:rsidR="006F0785" w:rsidRPr="004C78D8" w:rsidRDefault="006F0785" w:rsidP="00FB7C1F">
            <w:pPr>
              <w:jc w:val="left"/>
              <w:rPr>
                <w:sz w:val="18"/>
                <w:szCs w:val="18"/>
              </w:rPr>
            </w:pPr>
            <w:r w:rsidRPr="004C78D8">
              <w:rPr>
                <w:b/>
                <w:bCs/>
                <w:i/>
                <w:iCs/>
                <w:sz w:val="18"/>
                <w:szCs w:val="18"/>
              </w:rPr>
              <w:t>Aggregate</w:t>
            </w:r>
            <w:r w:rsidRPr="004C78D8">
              <w:rPr>
                <w:sz w:val="18"/>
                <w:szCs w:val="18"/>
              </w:rPr>
              <w:t>: Prevented fractures, incremental cost and QALY gain outcomes per person can be scaled up but unclear to what extent.</w:t>
            </w:r>
          </w:p>
          <w:p w14:paraId="0271BD89" w14:textId="77777777" w:rsidR="006F0785" w:rsidRPr="004C78D8" w:rsidRDefault="006F0785" w:rsidP="00FB7C1F">
            <w:pPr>
              <w:jc w:val="left"/>
              <w:rPr>
                <w:sz w:val="18"/>
                <w:szCs w:val="18"/>
              </w:rPr>
            </w:pPr>
            <w:r w:rsidRPr="004C78D8">
              <w:rPr>
                <w:b/>
                <w:bCs/>
                <w:i/>
                <w:iCs/>
                <w:sz w:val="18"/>
                <w:szCs w:val="18"/>
              </w:rPr>
              <w:t>Parameter uncertainty</w:t>
            </w:r>
            <w:r w:rsidRPr="004C78D8">
              <w:rPr>
                <w:sz w:val="18"/>
                <w:szCs w:val="18"/>
              </w:rPr>
              <w:t>: DSA – base case results robust. PSA – 68% probability of being cost-effective at $50,000 (£50,839) threshold for women age 75; 61% for men age 85.</w:t>
            </w:r>
          </w:p>
          <w:p w14:paraId="6080EC56" w14:textId="703EB70A" w:rsidR="006F0785" w:rsidRPr="004C78D8" w:rsidRDefault="006F0785" w:rsidP="00FB7C1F">
            <w:pPr>
              <w:jc w:val="left"/>
              <w:rPr>
                <w:b/>
                <w:bCs/>
                <w:i/>
                <w:iCs/>
                <w:sz w:val="18"/>
                <w:szCs w:val="18"/>
              </w:rPr>
            </w:pPr>
            <w:r w:rsidRPr="004C78D8">
              <w:rPr>
                <w:b/>
                <w:bCs/>
                <w:i/>
                <w:iCs/>
                <w:sz w:val="18"/>
                <w:szCs w:val="18"/>
              </w:rPr>
              <w:t>Scenarios</w:t>
            </w:r>
            <w:r w:rsidRPr="004C78D8">
              <w:rPr>
                <w:sz w:val="18"/>
                <w:szCs w:val="18"/>
              </w:rPr>
              <w:t xml:space="preserve">: Intervention is less cost-effective for functionally dependent subgroup – e.g., intervention </w:t>
            </w:r>
            <w:r w:rsidR="00090483" w:rsidRPr="004C78D8">
              <w:rPr>
                <w:sz w:val="18"/>
                <w:szCs w:val="18"/>
              </w:rPr>
              <w:t xml:space="preserve">cost-effective for women aged 80 and 85 at £50,839 threshold (point estimates not reported) but intervention </w:t>
            </w:r>
            <w:r w:rsidRPr="004C78D8">
              <w:rPr>
                <w:sz w:val="18"/>
                <w:szCs w:val="18"/>
              </w:rPr>
              <w:t>no longer domina</w:t>
            </w:r>
            <w:r w:rsidR="00090483" w:rsidRPr="004C78D8">
              <w:rPr>
                <w:sz w:val="18"/>
                <w:szCs w:val="18"/>
              </w:rPr>
              <w:t>tes NR</w:t>
            </w:r>
            <w:r w:rsidRPr="004C78D8">
              <w:rPr>
                <w:sz w:val="18"/>
                <w:szCs w:val="18"/>
              </w:rPr>
              <w:t xml:space="preserve"> </w:t>
            </w:r>
          </w:p>
        </w:tc>
        <w:tc>
          <w:tcPr>
            <w:tcW w:w="1190" w:type="pct"/>
          </w:tcPr>
          <w:p w14:paraId="4CF78898" w14:textId="542BF8C7" w:rsidR="006F0785" w:rsidRPr="004C78D8" w:rsidRDefault="006F0785" w:rsidP="00FB7C1F">
            <w:pPr>
              <w:jc w:val="left"/>
              <w:rPr>
                <w:sz w:val="18"/>
                <w:szCs w:val="18"/>
              </w:rPr>
            </w:pPr>
            <w:r w:rsidRPr="004C78D8">
              <w:rPr>
                <w:sz w:val="18"/>
                <w:szCs w:val="18"/>
              </w:rPr>
              <w:t>Unclear falls risk progression;</w:t>
            </w:r>
            <w:r w:rsidR="007E377E" w:rsidRPr="004C78D8">
              <w:rPr>
                <w:sz w:val="18"/>
                <w:szCs w:val="18"/>
                <w:vertAlign w:val="superscript"/>
              </w:rPr>
              <w:t>4</w:t>
            </w:r>
            <w:r w:rsidRPr="004C78D8">
              <w:rPr>
                <w:sz w:val="18"/>
                <w:szCs w:val="18"/>
              </w:rPr>
              <w:t xml:space="preserve"> Includes comorbidity care costs.</w:t>
            </w:r>
          </w:p>
        </w:tc>
      </w:tr>
      <w:tr w:rsidR="006F0785" w:rsidRPr="004C78D8" w14:paraId="34A48730" w14:textId="77777777" w:rsidTr="002828C1">
        <w:tc>
          <w:tcPr>
            <w:tcW w:w="381" w:type="pct"/>
          </w:tcPr>
          <w:p w14:paraId="66943706" w14:textId="77777777" w:rsidR="006F0785" w:rsidRPr="004C78D8" w:rsidRDefault="006F0785" w:rsidP="00FB7C1F">
            <w:pPr>
              <w:jc w:val="left"/>
              <w:rPr>
                <w:sz w:val="18"/>
                <w:szCs w:val="18"/>
              </w:rPr>
            </w:pPr>
            <w:r w:rsidRPr="004C78D8">
              <w:rPr>
                <w:sz w:val="18"/>
                <w:szCs w:val="18"/>
              </w:rPr>
              <w:t xml:space="preserve">Johansson (2008) </w:t>
            </w:r>
          </w:p>
        </w:tc>
        <w:tc>
          <w:tcPr>
            <w:tcW w:w="772" w:type="pct"/>
          </w:tcPr>
          <w:p w14:paraId="5F0FD76A" w14:textId="77777777" w:rsidR="006F0785" w:rsidRPr="004C78D8" w:rsidRDefault="006F0785" w:rsidP="00FB7C1F">
            <w:pPr>
              <w:jc w:val="left"/>
              <w:rPr>
                <w:sz w:val="18"/>
                <w:szCs w:val="18"/>
              </w:rPr>
            </w:pPr>
            <w:r w:rsidRPr="004C78D8">
              <w:rPr>
                <w:sz w:val="18"/>
                <w:szCs w:val="18"/>
              </w:rPr>
              <w:t>CD adults aged 65+ (n=5,500); CUA; Societal</w:t>
            </w:r>
          </w:p>
        </w:tc>
        <w:tc>
          <w:tcPr>
            <w:tcW w:w="864" w:type="pct"/>
          </w:tcPr>
          <w:p w14:paraId="7DC7EF78" w14:textId="67419549" w:rsidR="006F0785" w:rsidRPr="004C78D8" w:rsidRDefault="006F0785" w:rsidP="00FB7C1F">
            <w:pPr>
              <w:jc w:val="left"/>
              <w:rPr>
                <w:sz w:val="18"/>
                <w:szCs w:val="18"/>
              </w:rPr>
            </w:pPr>
            <w:r w:rsidRPr="004C78D8">
              <w:rPr>
                <w:sz w:val="18"/>
                <w:szCs w:val="18"/>
              </w:rPr>
              <w:t>Multifactorial and environmental int.</w:t>
            </w:r>
            <w:r w:rsidR="007E377E" w:rsidRPr="004C78D8">
              <w:rPr>
                <w:sz w:val="18"/>
                <w:szCs w:val="18"/>
                <w:vertAlign w:val="superscript"/>
              </w:rPr>
              <w:t>9</w:t>
            </w:r>
            <w:r w:rsidRPr="004C78D8">
              <w:rPr>
                <w:sz w:val="18"/>
                <w:szCs w:val="18"/>
              </w:rPr>
              <w:t xml:space="preserve"> [UC]</w:t>
            </w:r>
          </w:p>
          <w:p w14:paraId="7A3AD95C" w14:textId="77777777" w:rsidR="006F0785" w:rsidRPr="004C78D8" w:rsidRDefault="006F0785" w:rsidP="00FB7C1F">
            <w:pPr>
              <w:jc w:val="left"/>
              <w:rPr>
                <w:sz w:val="18"/>
                <w:szCs w:val="18"/>
              </w:rPr>
            </w:pPr>
          </w:p>
        </w:tc>
        <w:tc>
          <w:tcPr>
            <w:tcW w:w="1792" w:type="pct"/>
          </w:tcPr>
          <w:p w14:paraId="3EB1878C" w14:textId="77777777" w:rsidR="006F0785" w:rsidRPr="004C78D8" w:rsidRDefault="006F0785" w:rsidP="00FB7C1F">
            <w:pPr>
              <w:jc w:val="left"/>
              <w:rPr>
                <w:sz w:val="18"/>
                <w:szCs w:val="18"/>
              </w:rPr>
            </w:pPr>
            <w:r w:rsidRPr="004C78D8">
              <w:rPr>
                <w:b/>
                <w:bCs/>
                <w:i/>
                <w:iCs/>
                <w:sz w:val="18"/>
                <w:szCs w:val="18"/>
              </w:rPr>
              <w:t>Ratio</w:t>
            </w:r>
            <w:r w:rsidRPr="004C78D8">
              <w:rPr>
                <w:b/>
                <w:bCs/>
                <w:sz w:val="18"/>
                <w:szCs w:val="18"/>
              </w:rPr>
              <w:t>:</w:t>
            </w:r>
            <w:r w:rsidRPr="004C78D8">
              <w:rPr>
                <w:sz w:val="18"/>
                <w:szCs w:val="18"/>
              </w:rPr>
              <w:t xml:space="preserve"> Intervention dominates comparator</w:t>
            </w:r>
          </w:p>
          <w:p w14:paraId="3BA9D9B4" w14:textId="77777777" w:rsidR="006F0785" w:rsidRPr="004C78D8" w:rsidRDefault="006F0785" w:rsidP="00FB7C1F">
            <w:pPr>
              <w:jc w:val="left"/>
              <w:rPr>
                <w:sz w:val="18"/>
                <w:szCs w:val="18"/>
              </w:rPr>
            </w:pPr>
            <w:r w:rsidRPr="004C78D8">
              <w:rPr>
                <w:b/>
                <w:bCs/>
                <w:i/>
                <w:iCs/>
                <w:sz w:val="18"/>
                <w:szCs w:val="18"/>
              </w:rPr>
              <w:t>Aggregate</w:t>
            </w:r>
            <w:r w:rsidRPr="004C78D8">
              <w:rPr>
                <w:b/>
                <w:bCs/>
                <w:sz w:val="18"/>
                <w:szCs w:val="18"/>
              </w:rPr>
              <w:t>:</w:t>
            </w:r>
            <w:r w:rsidRPr="004C78D8">
              <w:rPr>
                <w:sz w:val="18"/>
                <w:szCs w:val="18"/>
              </w:rPr>
              <w:t xml:space="preserve"> Total int. cost of £640,918; total costs savings of £647,970; total QALY gain of 35.16</w:t>
            </w:r>
          </w:p>
          <w:p w14:paraId="7E11B20B" w14:textId="77777777" w:rsidR="006F0785" w:rsidRPr="004C78D8" w:rsidRDefault="006F0785" w:rsidP="00FB7C1F">
            <w:pPr>
              <w:jc w:val="left"/>
              <w:rPr>
                <w:sz w:val="18"/>
                <w:szCs w:val="18"/>
              </w:rPr>
            </w:pPr>
            <w:r w:rsidRPr="004C78D8">
              <w:rPr>
                <w:b/>
                <w:bCs/>
                <w:i/>
                <w:iCs/>
                <w:sz w:val="18"/>
                <w:szCs w:val="18"/>
              </w:rPr>
              <w:t>Parameter uncertainty</w:t>
            </w:r>
            <w:r w:rsidRPr="004C78D8">
              <w:rPr>
                <w:b/>
                <w:bCs/>
                <w:sz w:val="18"/>
                <w:szCs w:val="18"/>
              </w:rPr>
              <w:t xml:space="preserve">: </w:t>
            </w:r>
            <w:r w:rsidRPr="004C78D8">
              <w:rPr>
                <w:sz w:val="18"/>
                <w:szCs w:val="18"/>
              </w:rPr>
              <w:t>No DSA. PSA – scatter plot</w:t>
            </w:r>
          </w:p>
          <w:p w14:paraId="07E8402B" w14:textId="2D6A1DB1" w:rsidR="006F0785" w:rsidRPr="004C78D8" w:rsidRDefault="006F0785" w:rsidP="00FB7C1F">
            <w:pPr>
              <w:jc w:val="left"/>
              <w:rPr>
                <w:sz w:val="18"/>
                <w:szCs w:val="18"/>
              </w:rPr>
            </w:pPr>
            <w:r w:rsidRPr="004C78D8">
              <w:rPr>
                <w:b/>
                <w:bCs/>
                <w:i/>
                <w:iCs/>
                <w:sz w:val="18"/>
                <w:szCs w:val="18"/>
              </w:rPr>
              <w:t>Scenarios</w:t>
            </w:r>
            <w:r w:rsidRPr="004C78D8">
              <w:rPr>
                <w:b/>
                <w:bCs/>
                <w:sz w:val="18"/>
                <w:szCs w:val="18"/>
              </w:rPr>
              <w:t>:</w:t>
            </w:r>
            <w:r w:rsidRPr="004C78D8">
              <w:rPr>
                <w:sz w:val="18"/>
                <w:szCs w:val="18"/>
              </w:rPr>
              <w:t xml:space="preserve"> Scenarios that made intervention no longer dominant – doubled fracture risk; lower fracture cost; inclusion of net consumption care cost;</w:t>
            </w:r>
            <w:r w:rsidR="007E377E" w:rsidRPr="004C78D8">
              <w:rPr>
                <w:sz w:val="18"/>
                <w:szCs w:val="18"/>
                <w:vertAlign w:val="superscript"/>
              </w:rPr>
              <w:t>10</w:t>
            </w:r>
            <w:r w:rsidRPr="004C78D8">
              <w:rPr>
                <w:sz w:val="18"/>
                <w:szCs w:val="18"/>
              </w:rPr>
              <w:t xml:space="preserve"> higher discount rate; no health/cost consequences of fracture beyond 1</w:t>
            </w:r>
            <w:r w:rsidRPr="004C78D8">
              <w:rPr>
                <w:sz w:val="18"/>
                <w:szCs w:val="18"/>
                <w:vertAlign w:val="superscript"/>
              </w:rPr>
              <w:t>st</w:t>
            </w:r>
            <w:r w:rsidRPr="004C78D8">
              <w:rPr>
                <w:sz w:val="18"/>
                <w:szCs w:val="18"/>
              </w:rPr>
              <w:t xml:space="preserve"> year; 25% rise in int. cost </w:t>
            </w:r>
          </w:p>
        </w:tc>
        <w:tc>
          <w:tcPr>
            <w:tcW w:w="1190" w:type="pct"/>
          </w:tcPr>
          <w:p w14:paraId="73F261F2" w14:textId="52DA40C3" w:rsidR="006F0785" w:rsidRPr="004C78D8" w:rsidRDefault="006F0785" w:rsidP="00FB7C1F">
            <w:pPr>
              <w:jc w:val="left"/>
              <w:rPr>
                <w:sz w:val="18"/>
                <w:szCs w:val="18"/>
              </w:rPr>
            </w:pPr>
            <w:r w:rsidRPr="004C78D8">
              <w:rPr>
                <w:sz w:val="18"/>
                <w:szCs w:val="18"/>
              </w:rPr>
              <w:t>Unclear falls risk progression;</w:t>
            </w:r>
            <w:r w:rsidR="007E377E" w:rsidRPr="004C78D8">
              <w:rPr>
                <w:sz w:val="18"/>
                <w:szCs w:val="18"/>
                <w:vertAlign w:val="superscript"/>
              </w:rPr>
              <w:t>4</w:t>
            </w:r>
            <w:r w:rsidRPr="004C78D8">
              <w:rPr>
                <w:sz w:val="18"/>
                <w:szCs w:val="18"/>
              </w:rPr>
              <w:t xml:space="preserve"> Includes comorbidity care costs (net consumption); Quasi-experimental study for effectiveness evidence; No tiered threshold for evaluating societal outcomes;</w:t>
            </w:r>
            <w:r w:rsidR="007E377E" w:rsidRPr="004C78D8">
              <w:rPr>
                <w:sz w:val="18"/>
                <w:szCs w:val="18"/>
                <w:vertAlign w:val="superscript"/>
              </w:rPr>
              <w:t>8</w:t>
            </w:r>
            <w:r w:rsidRPr="004C78D8">
              <w:rPr>
                <w:sz w:val="18"/>
                <w:szCs w:val="18"/>
              </w:rPr>
              <w:t xml:space="preserve"> Internal and external validities assessed</w:t>
            </w:r>
          </w:p>
        </w:tc>
      </w:tr>
      <w:tr w:rsidR="006F0785" w:rsidRPr="004C78D8" w14:paraId="40D725BD" w14:textId="77777777" w:rsidTr="002828C1">
        <w:tc>
          <w:tcPr>
            <w:tcW w:w="381" w:type="pct"/>
          </w:tcPr>
          <w:p w14:paraId="26E30319" w14:textId="77777777" w:rsidR="006F0785" w:rsidRPr="004C78D8" w:rsidRDefault="006F0785" w:rsidP="00FB7C1F">
            <w:pPr>
              <w:jc w:val="left"/>
              <w:rPr>
                <w:sz w:val="18"/>
                <w:szCs w:val="18"/>
              </w:rPr>
            </w:pPr>
            <w:r w:rsidRPr="004C78D8">
              <w:rPr>
                <w:sz w:val="18"/>
                <w:szCs w:val="18"/>
              </w:rPr>
              <w:t xml:space="preserve">Nshimyu-mukiza (2013) </w:t>
            </w:r>
          </w:p>
        </w:tc>
        <w:tc>
          <w:tcPr>
            <w:tcW w:w="772" w:type="pct"/>
          </w:tcPr>
          <w:p w14:paraId="6DFA9492" w14:textId="77777777" w:rsidR="006F0785" w:rsidRPr="004C78D8" w:rsidRDefault="006F0785" w:rsidP="00FB7C1F">
            <w:pPr>
              <w:jc w:val="left"/>
              <w:rPr>
                <w:sz w:val="18"/>
                <w:szCs w:val="18"/>
              </w:rPr>
            </w:pPr>
            <w:r w:rsidRPr="004C78D8">
              <w:rPr>
                <w:sz w:val="18"/>
                <w:szCs w:val="18"/>
              </w:rPr>
              <w:t>Women aged 65+ (subgroup within women aged 40+); CUA/CEA; Public sector</w:t>
            </w:r>
          </w:p>
        </w:tc>
        <w:tc>
          <w:tcPr>
            <w:tcW w:w="864" w:type="pct"/>
          </w:tcPr>
          <w:p w14:paraId="4122919C" w14:textId="77777777" w:rsidR="006F0785" w:rsidRPr="004C78D8" w:rsidRDefault="006F0785" w:rsidP="00FB7C1F">
            <w:pPr>
              <w:jc w:val="left"/>
              <w:rPr>
                <w:sz w:val="18"/>
                <w:szCs w:val="18"/>
              </w:rPr>
            </w:pPr>
            <w:r w:rsidRPr="004C78D8">
              <w:rPr>
                <w:sz w:val="18"/>
                <w:szCs w:val="18"/>
              </w:rPr>
              <w:t>Fracture risk screening + Physical activity (PA), Vitamin D &amp; calcium and/or Osteoporosis screening &amp; treatment [NR; Cross comparisons]</w:t>
            </w:r>
          </w:p>
        </w:tc>
        <w:tc>
          <w:tcPr>
            <w:tcW w:w="1792" w:type="pct"/>
          </w:tcPr>
          <w:p w14:paraId="6638EF27" w14:textId="77777777" w:rsidR="006F0785" w:rsidRPr="004C78D8" w:rsidRDefault="006F0785" w:rsidP="00FB7C1F">
            <w:pPr>
              <w:jc w:val="left"/>
              <w:rPr>
                <w:sz w:val="18"/>
                <w:szCs w:val="18"/>
              </w:rPr>
            </w:pPr>
            <w:r w:rsidRPr="004C78D8">
              <w:rPr>
                <w:b/>
                <w:bCs/>
                <w:i/>
                <w:iCs/>
                <w:sz w:val="18"/>
                <w:szCs w:val="18"/>
              </w:rPr>
              <w:t>Ratio</w:t>
            </w:r>
            <w:r w:rsidRPr="004C78D8">
              <w:rPr>
                <w:sz w:val="18"/>
                <w:szCs w:val="18"/>
              </w:rPr>
              <w:t>: No screening + PA dominates NR; BMD/CAROC screening + PA + Vit D &amp; calcium produces ICER of £41,012 relative to No screening + PA and dominates all other strategies.</w:t>
            </w:r>
          </w:p>
          <w:p w14:paraId="313B9112" w14:textId="77777777" w:rsidR="006F0785" w:rsidRPr="004C78D8" w:rsidRDefault="006F0785" w:rsidP="00FB7C1F">
            <w:pPr>
              <w:jc w:val="left"/>
              <w:rPr>
                <w:sz w:val="18"/>
                <w:szCs w:val="18"/>
              </w:rPr>
            </w:pPr>
            <w:r w:rsidRPr="004C78D8">
              <w:rPr>
                <w:b/>
                <w:bCs/>
                <w:i/>
                <w:iCs/>
                <w:sz w:val="18"/>
                <w:szCs w:val="18"/>
              </w:rPr>
              <w:t>Aggregate</w:t>
            </w:r>
            <w:r w:rsidRPr="004C78D8">
              <w:rPr>
                <w:sz w:val="18"/>
                <w:szCs w:val="18"/>
              </w:rPr>
              <w:t>: Incremental cost and QALY gain per person can be scaled up (total population reported).</w:t>
            </w:r>
          </w:p>
          <w:p w14:paraId="55393A93" w14:textId="77777777" w:rsidR="006F0785" w:rsidRPr="004C78D8" w:rsidRDefault="006F0785" w:rsidP="00FB7C1F">
            <w:pPr>
              <w:jc w:val="left"/>
              <w:rPr>
                <w:sz w:val="18"/>
                <w:szCs w:val="18"/>
              </w:rPr>
            </w:pPr>
            <w:r w:rsidRPr="004C78D8">
              <w:rPr>
                <w:b/>
                <w:bCs/>
                <w:i/>
                <w:iCs/>
                <w:sz w:val="18"/>
                <w:szCs w:val="18"/>
              </w:rPr>
              <w:t>Parameter uncertainty</w:t>
            </w:r>
            <w:r w:rsidRPr="004C78D8">
              <w:rPr>
                <w:sz w:val="18"/>
                <w:szCs w:val="18"/>
              </w:rPr>
              <w:t>: No DSA. PSA – CEAC; 75% probability that BMD/CAROC +PA +Vit D &amp; calcium is cost-effective to No screening + PA under threshold of CAD$50,000 (£37,081).</w:t>
            </w:r>
          </w:p>
          <w:p w14:paraId="0F890DD8" w14:textId="77777777" w:rsidR="006F0785" w:rsidRPr="004C78D8" w:rsidRDefault="006F0785" w:rsidP="00FB7C1F">
            <w:pPr>
              <w:jc w:val="left"/>
              <w:rPr>
                <w:sz w:val="18"/>
                <w:szCs w:val="18"/>
              </w:rPr>
            </w:pPr>
            <w:r w:rsidRPr="004C78D8">
              <w:rPr>
                <w:b/>
                <w:bCs/>
                <w:i/>
                <w:iCs/>
                <w:sz w:val="18"/>
                <w:szCs w:val="18"/>
              </w:rPr>
              <w:t>Scenarios</w:t>
            </w:r>
            <w:r w:rsidRPr="004C78D8">
              <w:rPr>
                <w:sz w:val="18"/>
                <w:szCs w:val="18"/>
              </w:rPr>
              <w:t>: Rankings of strategies under CUA and CEA robust under variations in single or multiple parameters.</w:t>
            </w:r>
          </w:p>
        </w:tc>
        <w:tc>
          <w:tcPr>
            <w:tcW w:w="1190" w:type="pct"/>
          </w:tcPr>
          <w:p w14:paraId="17E4D54A" w14:textId="262DB518" w:rsidR="006F0785" w:rsidRPr="004C78D8" w:rsidRDefault="006F0785" w:rsidP="00FB7C1F">
            <w:pPr>
              <w:jc w:val="left"/>
              <w:rPr>
                <w:sz w:val="18"/>
                <w:szCs w:val="18"/>
              </w:rPr>
            </w:pPr>
            <w:r w:rsidRPr="004C78D8">
              <w:rPr>
                <w:sz w:val="18"/>
                <w:szCs w:val="18"/>
              </w:rPr>
              <w:t>Incorporates incoming cohorts; No background transition in health utilities;</w:t>
            </w:r>
            <w:r w:rsidR="007E377E" w:rsidRPr="004C78D8">
              <w:rPr>
                <w:sz w:val="18"/>
                <w:szCs w:val="18"/>
                <w:vertAlign w:val="superscript"/>
              </w:rPr>
              <w:t>7</w:t>
            </w:r>
            <w:r w:rsidRPr="004C78D8">
              <w:rPr>
                <w:sz w:val="18"/>
                <w:szCs w:val="18"/>
              </w:rPr>
              <w:t xml:space="preserve"> Structural and external validities assessed</w:t>
            </w:r>
          </w:p>
        </w:tc>
      </w:tr>
      <w:tr w:rsidR="006F0785" w:rsidRPr="004C78D8" w14:paraId="3DE27BDA" w14:textId="77777777" w:rsidTr="002828C1">
        <w:tc>
          <w:tcPr>
            <w:tcW w:w="381" w:type="pct"/>
          </w:tcPr>
          <w:p w14:paraId="18CFA3CC" w14:textId="77777777" w:rsidR="006F0785" w:rsidRPr="004C78D8" w:rsidRDefault="006F0785" w:rsidP="00FB7C1F">
            <w:pPr>
              <w:jc w:val="left"/>
              <w:rPr>
                <w:sz w:val="18"/>
                <w:szCs w:val="18"/>
              </w:rPr>
            </w:pPr>
            <w:r w:rsidRPr="004C78D8">
              <w:rPr>
                <w:sz w:val="18"/>
                <w:szCs w:val="18"/>
              </w:rPr>
              <w:t xml:space="preserve">OMAS (2008) </w:t>
            </w:r>
          </w:p>
        </w:tc>
        <w:tc>
          <w:tcPr>
            <w:tcW w:w="772" w:type="pct"/>
          </w:tcPr>
          <w:p w14:paraId="70CB7E4E" w14:textId="77777777" w:rsidR="006F0785" w:rsidRPr="004C78D8" w:rsidRDefault="006F0785" w:rsidP="00FB7C1F">
            <w:pPr>
              <w:jc w:val="left"/>
              <w:rPr>
                <w:sz w:val="18"/>
                <w:szCs w:val="18"/>
              </w:rPr>
            </w:pPr>
            <w:r w:rsidRPr="004C78D8">
              <w:rPr>
                <w:sz w:val="18"/>
                <w:szCs w:val="18"/>
              </w:rPr>
              <w:t>CD adults aged 65+; CEA/ROI; Public sector</w:t>
            </w:r>
          </w:p>
        </w:tc>
        <w:tc>
          <w:tcPr>
            <w:tcW w:w="864" w:type="pct"/>
          </w:tcPr>
          <w:p w14:paraId="49B97530" w14:textId="74D66F0A" w:rsidR="006F0785" w:rsidRPr="004C78D8" w:rsidRDefault="006F0785" w:rsidP="00FB7C1F">
            <w:pPr>
              <w:jc w:val="left"/>
              <w:rPr>
                <w:sz w:val="18"/>
                <w:szCs w:val="18"/>
              </w:rPr>
            </w:pPr>
            <w:r w:rsidRPr="004C78D8">
              <w:rPr>
                <w:sz w:val="18"/>
                <w:szCs w:val="18"/>
              </w:rPr>
              <w:t>(i) Exercise; (ii) HAM; (iii) Vit D &amp; calcium; (iv) Gait stabiliser; (v) Psychotropics withdrawal.</w:t>
            </w:r>
            <w:r w:rsidR="007E377E" w:rsidRPr="004C78D8">
              <w:rPr>
                <w:sz w:val="18"/>
                <w:szCs w:val="18"/>
                <w:vertAlign w:val="superscript"/>
              </w:rPr>
              <w:t>11</w:t>
            </w:r>
            <w:r w:rsidRPr="004C78D8">
              <w:rPr>
                <w:sz w:val="18"/>
                <w:szCs w:val="18"/>
              </w:rPr>
              <w:t xml:space="preserve"> [NR]</w:t>
            </w:r>
          </w:p>
        </w:tc>
        <w:tc>
          <w:tcPr>
            <w:tcW w:w="1792" w:type="pct"/>
          </w:tcPr>
          <w:p w14:paraId="6AD1A035" w14:textId="77777777" w:rsidR="006F0785" w:rsidRPr="004C78D8" w:rsidRDefault="006F0785" w:rsidP="00FB7C1F">
            <w:pPr>
              <w:jc w:val="left"/>
              <w:rPr>
                <w:sz w:val="18"/>
                <w:szCs w:val="18"/>
              </w:rPr>
            </w:pPr>
            <w:r w:rsidRPr="004C78D8">
              <w:rPr>
                <w:b/>
                <w:bCs/>
                <w:i/>
                <w:iCs/>
                <w:sz w:val="18"/>
                <w:szCs w:val="18"/>
              </w:rPr>
              <w:t>Ratio</w:t>
            </w:r>
            <w:r w:rsidRPr="004C78D8">
              <w:rPr>
                <w:b/>
                <w:bCs/>
                <w:sz w:val="18"/>
                <w:szCs w:val="18"/>
              </w:rPr>
              <w:t>:</w:t>
            </w:r>
            <w:r w:rsidRPr="004C78D8">
              <w:rPr>
                <w:sz w:val="18"/>
                <w:szCs w:val="18"/>
              </w:rPr>
              <w:t xml:space="preserve"> All interventions dominate NR for men and women</w:t>
            </w:r>
          </w:p>
          <w:p w14:paraId="06FBEF11" w14:textId="77777777" w:rsidR="006F0785" w:rsidRPr="004C78D8" w:rsidRDefault="006F0785" w:rsidP="00FB7C1F">
            <w:pPr>
              <w:jc w:val="left"/>
              <w:rPr>
                <w:sz w:val="18"/>
                <w:szCs w:val="18"/>
              </w:rPr>
            </w:pPr>
            <w:r w:rsidRPr="004C78D8">
              <w:rPr>
                <w:b/>
                <w:bCs/>
                <w:i/>
                <w:iCs/>
                <w:sz w:val="18"/>
                <w:szCs w:val="18"/>
              </w:rPr>
              <w:t>Aggregate</w:t>
            </w:r>
            <w:r w:rsidRPr="004C78D8">
              <w:rPr>
                <w:b/>
                <w:bCs/>
                <w:sz w:val="18"/>
                <w:szCs w:val="18"/>
              </w:rPr>
              <w:t xml:space="preserve">: </w:t>
            </w:r>
            <w:r w:rsidRPr="004C78D8">
              <w:rPr>
                <w:sz w:val="18"/>
                <w:szCs w:val="18"/>
              </w:rPr>
              <w:t xml:space="preserve">Reports net cost saving per person which can be scaled up to total for each intervention subgroup at regional level </w:t>
            </w:r>
          </w:p>
          <w:p w14:paraId="0A0F228A" w14:textId="77777777" w:rsidR="006F0785" w:rsidRPr="004C78D8" w:rsidRDefault="006F0785" w:rsidP="00FB7C1F">
            <w:pPr>
              <w:jc w:val="left"/>
              <w:rPr>
                <w:sz w:val="18"/>
                <w:szCs w:val="18"/>
              </w:rPr>
            </w:pPr>
            <w:r w:rsidRPr="004C78D8">
              <w:rPr>
                <w:b/>
                <w:bCs/>
                <w:i/>
                <w:iCs/>
                <w:sz w:val="18"/>
                <w:szCs w:val="18"/>
              </w:rPr>
              <w:t>Parameter uncertainty</w:t>
            </w:r>
            <w:r w:rsidRPr="004C78D8">
              <w:rPr>
                <w:b/>
                <w:bCs/>
                <w:sz w:val="18"/>
                <w:szCs w:val="18"/>
              </w:rPr>
              <w:t>:</w:t>
            </w:r>
            <w:r w:rsidRPr="004C78D8">
              <w:rPr>
                <w:sz w:val="18"/>
                <w:szCs w:val="18"/>
              </w:rPr>
              <w:t xml:space="preserve"> No analysis</w:t>
            </w:r>
          </w:p>
          <w:p w14:paraId="01ACC6ED" w14:textId="77777777" w:rsidR="006F0785" w:rsidRPr="004C78D8" w:rsidRDefault="006F0785" w:rsidP="00FB7C1F">
            <w:pPr>
              <w:jc w:val="left"/>
              <w:rPr>
                <w:b/>
                <w:bCs/>
                <w:i/>
                <w:iCs/>
                <w:sz w:val="18"/>
                <w:szCs w:val="18"/>
              </w:rPr>
            </w:pPr>
            <w:r w:rsidRPr="004C78D8">
              <w:rPr>
                <w:b/>
                <w:bCs/>
                <w:i/>
                <w:iCs/>
                <w:sz w:val="18"/>
                <w:szCs w:val="18"/>
              </w:rPr>
              <w:lastRenderedPageBreak/>
              <w:t>Scenarios</w:t>
            </w:r>
            <w:r w:rsidRPr="004C78D8">
              <w:rPr>
                <w:b/>
                <w:bCs/>
                <w:sz w:val="18"/>
                <w:szCs w:val="18"/>
              </w:rPr>
              <w:t>:</w:t>
            </w:r>
            <w:r w:rsidRPr="004C78D8">
              <w:rPr>
                <w:sz w:val="18"/>
                <w:szCs w:val="18"/>
              </w:rPr>
              <w:t xml:space="preserve"> No analysis</w:t>
            </w:r>
          </w:p>
        </w:tc>
        <w:tc>
          <w:tcPr>
            <w:tcW w:w="1190" w:type="pct"/>
          </w:tcPr>
          <w:p w14:paraId="5C582DD0" w14:textId="6E670CF6" w:rsidR="006F0785" w:rsidRPr="004C78D8" w:rsidRDefault="006F0785" w:rsidP="00FB7C1F">
            <w:pPr>
              <w:jc w:val="left"/>
              <w:rPr>
                <w:sz w:val="18"/>
                <w:szCs w:val="18"/>
              </w:rPr>
            </w:pPr>
            <w:r w:rsidRPr="004C78D8">
              <w:rPr>
                <w:sz w:val="18"/>
                <w:szCs w:val="18"/>
              </w:rPr>
              <w:lastRenderedPageBreak/>
              <w:t>Recurrent falls not characterised; Unclear falls risk progression;</w:t>
            </w:r>
            <w:r w:rsidR="007E377E" w:rsidRPr="004C78D8">
              <w:rPr>
                <w:sz w:val="18"/>
                <w:szCs w:val="18"/>
                <w:vertAlign w:val="superscript"/>
              </w:rPr>
              <w:t>4</w:t>
            </w:r>
            <w:r w:rsidRPr="004C78D8">
              <w:rPr>
                <w:sz w:val="18"/>
                <w:szCs w:val="18"/>
              </w:rPr>
              <w:t xml:space="preserve"> Mismatch between intervention need and falls risk;</w:t>
            </w:r>
            <w:r w:rsidR="007E377E" w:rsidRPr="004C78D8">
              <w:rPr>
                <w:sz w:val="18"/>
                <w:szCs w:val="18"/>
                <w:vertAlign w:val="superscript"/>
              </w:rPr>
              <w:t>11</w:t>
            </w:r>
            <w:r w:rsidRPr="004C78D8">
              <w:rPr>
                <w:sz w:val="18"/>
                <w:szCs w:val="18"/>
              </w:rPr>
              <w:t xml:space="preserve"> Parameter uncertainty not assessed</w:t>
            </w:r>
          </w:p>
        </w:tc>
      </w:tr>
      <w:tr w:rsidR="006F0785" w:rsidRPr="004C78D8" w14:paraId="5C350FBD" w14:textId="77777777" w:rsidTr="002828C1">
        <w:tc>
          <w:tcPr>
            <w:tcW w:w="381" w:type="pct"/>
          </w:tcPr>
          <w:p w14:paraId="34B62B45" w14:textId="77777777" w:rsidR="006F0785" w:rsidRPr="004C78D8" w:rsidRDefault="006F0785" w:rsidP="00FB7C1F">
            <w:pPr>
              <w:jc w:val="left"/>
              <w:rPr>
                <w:sz w:val="18"/>
                <w:szCs w:val="18"/>
              </w:rPr>
            </w:pPr>
            <w:r w:rsidRPr="004C78D8">
              <w:rPr>
                <w:sz w:val="18"/>
                <w:szCs w:val="18"/>
              </w:rPr>
              <w:t xml:space="preserve">Pega (2016) </w:t>
            </w:r>
          </w:p>
        </w:tc>
        <w:tc>
          <w:tcPr>
            <w:tcW w:w="772" w:type="pct"/>
          </w:tcPr>
          <w:p w14:paraId="4BA6BE12" w14:textId="77777777" w:rsidR="006F0785" w:rsidRPr="004C78D8" w:rsidRDefault="006F0785" w:rsidP="00FB7C1F">
            <w:pPr>
              <w:jc w:val="left"/>
              <w:rPr>
                <w:sz w:val="18"/>
                <w:szCs w:val="18"/>
              </w:rPr>
            </w:pPr>
            <w:r w:rsidRPr="004C78D8">
              <w:rPr>
                <w:sz w:val="18"/>
                <w:szCs w:val="18"/>
              </w:rPr>
              <w:t>CD adults aged 65+; CUA; Public sector</w:t>
            </w:r>
          </w:p>
        </w:tc>
        <w:tc>
          <w:tcPr>
            <w:tcW w:w="864" w:type="pct"/>
          </w:tcPr>
          <w:p w14:paraId="56D6A7BB" w14:textId="77777777" w:rsidR="006F0785" w:rsidRPr="004C78D8" w:rsidRDefault="006F0785" w:rsidP="00FB7C1F">
            <w:pPr>
              <w:jc w:val="left"/>
              <w:rPr>
                <w:sz w:val="18"/>
                <w:szCs w:val="18"/>
              </w:rPr>
            </w:pPr>
            <w:r w:rsidRPr="004C78D8">
              <w:rPr>
                <w:sz w:val="18"/>
                <w:szCs w:val="18"/>
              </w:rPr>
              <w:t>HAM [NR]</w:t>
            </w:r>
          </w:p>
        </w:tc>
        <w:tc>
          <w:tcPr>
            <w:tcW w:w="1792" w:type="pct"/>
          </w:tcPr>
          <w:p w14:paraId="03EDA00E" w14:textId="77777777" w:rsidR="006F0785" w:rsidRPr="004C78D8" w:rsidRDefault="006F0785" w:rsidP="00FB7C1F">
            <w:pPr>
              <w:jc w:val="left"/>
              <w:rPr>
                <w:sz w:val="18"/>
                <w:szCs w:val="18"/>
              </w:rPr>
            </w:pPr>
            <w:r w:rsidRPr="004C78D8">
              <w:rPr>
                <w:b/>
                <w:bCs/>
                <w:i/>
                <w:iCs/>
                <w:sz w:val="18"/>
                <w:szCs w:val="18"/>
              </w:rPr>
              <w:t>Ratio</w:t>
            </w:r>
            <w:r w:rsidRPr="004C78D8">
              <w:rPr>
                <w:b/>
                <w:bCs/>
                <w:sz w:val="18"/>
                <w:szCs w:val="18"/>
              </w:rPr>
              <w:t>:</w:t>
            </w:r>
            <w:r w:rsidRPr="004C78D8">
              <w:rPr>
                <w:sz w:val="18"/>
                <w:szCs w:val="18"/>
              </w:rPr>
              <w:t xml:space="preserve"> HAM produces ICER of £5,123 per QALY vs. NR.</w:t>
            </w:r>
          </w:p>
          <w:p w14:paraId="4E21FADF" w14:textId="77777777" w:rsidR="006F0785" w:rsidRPr="004C78D8" w:rsidRDefault="006F0785" w:rsidP="00FB7C1F">
            <w:pPr>
              <w:jc w:val="left"/>
              <w:rPr>
                <w:sz w:val="18"/>
                <w:szCs w:val="18"/>
              </w:rPr>
            </w:pPr>
            <w:r w:rsidRPr="004C78D8">
              <w:rPr>
                <w:b/>
                <w:bCs/>
                <w:i/>
                <w:iCs/>
                <w:sz w:val="18"/>
                <w:szCs w:val="18"/>
              </w:rPr>
              <w:t>Aggregate</w:t>
            </w:r>
            <w:r w:rsidRPr="004C78D8">
              <w:rPr>
                <w:b/>
                <w:bCs/>
                <w:sz w:val="18"/>
                <w:szCs w:val="18"/>
              </w:rPr>
              <w:t xml:space="preserve">: </w:t>
            </w:r>
            <w:r w:rsidRPr="004C78D8">
              <w:rPr>
                <w:sz w:val="18"/>
                <w:szCs w:val="18"/>
              </w:rPr>
              <w:t>For base case, total int. cost was £82.5m, total net cost vs. NR £62.6m and total QALY gain 34,000.</w:t>
            </w:r>
          </w:p>
          <w:p w14:paraId="08A22949" w14:textId="77777777" w:rsidR="006F0785" w:rsidRPr="004C78D8" w:rsidRDefault="006F0785" w:rsidP="00FB7C1F">
            <w:pPr>
              <w:jc w:val="left"/>
              <w:rPr>
                <w:sz w:val="18"/>
                <w:szCs w:val="18"/>
              </w:rPr>
            </w:pPr>
            <w:r w:rsidRPr="004C78D8">
              <w:rPr>
                <w:b/>
                <w:bCs/>
                <w:i/>
                <w:iCs/>
                <w:sz w:val="18"/>
                <w:szCs w:val="18"/>
              </w:rPr>
              <w:t>Parameter uncertainty</w:t>
            </w:r>
            <w:r w:rsidRPr="004C78D8">
              <w:rPr>
                <w:b/>
                <w:bCs/>
                <w:sz w:val="18"/>
                <w:szCs w:val="18"/>
              </w:rPr>
              <w:t xml:space="preserve">: </w:t>
            </w:r>
            <w:r w:rsidRPr="004C78D8">
              <w:rPr>
                <w:sz w:val="18"/>
                <w:szCs w:val="18"/>
              </w:rPr>
              <w:t>DSA – impact on ICER not assessed, fatal falls risk and falls risk most impactful for incremental cost and QALY, respectively. PSA – 95% UI for base case ICER between below zero to £11,385 per QALY.</w:t>
            </w:r>
          </w:p>
          <w:p w14:paraId="50169B0D" w14:textId="77BE325F" w:rsidR="006F0785" w:rsidRPr="004C78D8" w:rsidRDefault="006F0785" w:rsidP="00FB7C1F">
            <w:pPr>
              <w:jc w:val="left"/>
              <w:rPr>
                <w:sz w:val="18"/>
                <w:szCs w:val="18"/>
              </w:rPr>
            </w:pPr>
            <w:r w:rsidRPr="004C78D8">
              <w:rPr>
                <w:b/>
                <w:bCs/>
                <w:i/>
                <w:iCs/>
                <w:sz w:val="18"/>
                <w:szCs w:val="18"/>
              </w:rPr>
              <w:t>Scenarios</w:t>
            </w:r>
            <w:r w:rsidRPr="004C78D8">
              <w:rPr>
                <w:b/>
                <w:bCs/>
                <w:sz w:val="18"/>
                <w:szCs w:val="18"/>
              </w:rPr>
              <w:t>:</w:t>
            </w:r>
            <w:r w:rsidRPr="004C78D8">
              <w:rPr>
                <w:sz w:val="18"/>
                <w:szCs w:val="18"/>
              </w:rPr>
              <w:t xml:space="preserve"> For secondary prevention scenario,</w:t>
            </w:r>
            <w:r w:rsidR="007E377E" w:rsidRPr="004C78D8">
              <w:rPr>
                <w:sz w:val="18"/>
                <w:szCs w:val="18"/>
                <w:vertAlign w:val="superscript"/>
              </w:rPr>
              <w:t>12</w:t>
            </w:r>
            <w:r w:rsidRPr="004C78D8">
              <w:rPr>
                <w:sz w:val="18"/>
                <w:szCs w:val="18"/>
              </w:rPr>
              <w:t xml:space="preserve"> ICER was £1,139 per QALY, total int. cost £10.2m, total net cost vs. NR, £3.5m, and total QALY gain 20,100. Subgroup analyses showed higher ICERs for Maori and men; equity analyses showed higher ICERs can be mainly attributed to their shorter life expectancies.</w:t>
            </w:r>
            <w:r w:rsidR="007E377E" w:rsidRPr="004C78D8">
              <w:rPr>
                <w:sz w:val="18"/>
                <w:szCs w:val="18"/>
                <w:vertAlign w:val="superscript"/>
              </w:rPr>
              <w:t>5</w:t>
            </w:r>
            <w:r w:rsidRPr="004C78D8">
              <w:rPr>
                <w:sz w:val="18"/>
                <w:szCs w:val="18"/>
              </w:rPr>
              <w:t xml:space="preserve"> </w:t>
            </w:r>
          </w:p>
        </w:tc>
        <w:tc>
          <w:tcPr>
            <w:tcW w:w="1190" w:type="pct"/>
          </w:tcPr>
          <w:p w14:paraId="0E473125" w14:textId="2E362CA7" w:rsidR="006F0785" w:rsidRPr="004C78D8" w:rsidRDefault="006F0785" w:rsidP="00FB7C1F">
            <w:pPr>
              <w:jc w:val="left"/>
              <w:rPr>
                <w:sz w:val="18"/>
                <w:szCs w:val="18"/>
              </w:rPr>
            </w:pPr>
            <w:r w:rsidRPr="004C78D8">
              <w:rPr>
                <w:sz w:val="18"/>
                <w:szCs w:val="18"/>
              </w:rPr>
              <w:t>Routine data lacks individual identifier;</w:t>
            </w:r>
            <w:r w:rsidR="007E377E" w:rsidRPr="004C78D8">
              <w:rPr>
                <w:sz w:val="18"/>
                <w:szCs w:val="18"/>
                <w:vertAlign w:val="superscript"/>
              </w:rPr>
              <w:t>6</w:t>
            </w:r>
            <w:r w:rsidRPr="004C78D8">
              <w:rPr>
                <w:sz w:val="18"/>
                <w:szCs w:val="18"/>
              </w:rPr>
              <w:t xml:space="preserve"> Recurrent falls not characterised; Unclear falls risk progression;</w:t>
            </w:r>
            <w:r w:rsidR="007E377E" w:rsidRPr="004C78D8">
              <w:rPr>
                <w:sz w:val="18"/>
                <w:szCs w:val="18"/>
                <w:vertAlign w:val="superscript"/>
              </w:rPr>
              <w:t>4</w:t>
            </w:r>
            <w:r w:rsidRPr="004C78D8">
              <w:rPr>
                <w:sz w:val="18"/>
                <w:szCs w:val="18"/>
              </w:rPr>
              <w:t xml:space="preserve"> No background transition in health utilities;</w:t>
            </w:r>
            <w:r w:rsidR="007E377E" w:rsidRPr="004C78D8">
              <w:rPr>
                <w:sz w:val="18"/>
                <w:szCs w:val="18"/>
                <w:vertAlign w:val="superscript"/>
              </w:rPr>
              <w:t>7</w:t>
            </w:r>
            <w:r w:rsidRPr="004C78D8">
              <w:rPr>
                <w:sz w:val="18"/>
                <w:szCs w:val="18"/>
              </w:rPr>
              <w:t xml:space="preserve"> Includes comorbidity care costs; Mismatch between falls incidence and efficacy metrics; Unrealistic efficacy duration; Joint parameter uncertainty not assessed; No scenario estimating equity-efficiency trade-off.</w:t>
            </w:r>
            <w:r w:rsidR="007E377E" w:rsidRPr="004C78D8">
              <w:rPr>
                <w:sz w:val="18"/>
                <w:szCs w:val="18"/>
                <w:vertAlign w:val="superscript"/>
              </w:rPr>
              <w:t>5</w:t>
            </w:r>
          </w:p>
        </w:tc>
      </w:tr>
      <w:tr w:rsidR="006F0785" w:rsidRPr="004C78D8" w14:paraId="1E3B6AAC" w14:textId="77777777" w:rsidTr="002828C1">
        <w:tc>
          <w:tcPr>
            <w:tcW w:w="381" w:type="pct"/>
          </w:tcPr>
          <w:p w14:paraId="7AA9A172" w14:textId="77777777" w:rsidR="006F0785" w:rsidRPr="004C78D8" w:rsidRDefault="006F0785" w:rsidP="00FB7C1F">
            <w:pPr>
              <w:jc w:val="left"/>
              <w:rPr>
                <w:sz w:val="18"/>
                <w:szCs w:val="18"/>
              </w:rPr>
            </w:pPr>
            <w:r w:rsidRPr="004C78D8">
              <w:rPr>
                <w:sz w:val="18"/>
                <w:szCs w:val="18"/>
              </w:rPr>
              <w:t xml:space="preserve">RCN (2005) </w:t>
            </w:r>
          </w:p>
        </w:tc>
        <w:tc>
          <w:tcPr>
            <w:tcW w:w="772" w:type="pct"/>
          </w:tcPr>
          <w:p w14:paraId="58A37FCF" w14:textId="77777777" w:rsidR="006F0785" w:rsidRPr="004C78D8" w:rsidRDefault="006F0785" w:rsidP="00FB7C1F">
            <w:pPr>
              <w:jc w:val="left"/>
              <w:rPr>
                <w:sz w:val="18"/>
                <w:szCs w:val="18"/>
              </w:rPr>
            </w:pPr>
            <w:r w:rsidRPr="004C78D8">
              <w:rPr>
                <w:sz w:val="18"/>
                <w:szCs w:val="18"/>
              </w:rPr>
              <w:t>CD adults aged 60+; CUA; Public sector</w:t>
            </w:r>
          </w:p>
        </w:tc>
        <w:tc>
          <w:tcPr>
            <w:tcW w:w="864" w:type="pct"/>
          </w:tcPr>
          <w:p w14:paraId="136B0989" w14:textId="77777777" w:rsidR="006F0785" w:rsidRPr="004C78D8" w:rsidRDefault="006F0785" w:rsidP="00FB7C1F">
            <w:pPr>
              <w:jc w:val="left"/>
              <w:rPr>
                <w:sz w:val="18"/>
                <w:szCs w:val="18"/>
              </w:rPr>
            </w:pPr>
            <w:r w:rsidRPr="004C78D8">
              <w:rPr>
                <w:sz w:val="18"/>
                <w:szCs w:val="18"/>
              </w:rPr>
              <w:t>Exercise; Multifactorial intervention [NR]</w:t>
            </w:r>
          </w:p>
        </w:tc>
        <w:tc>
          <w:tcPr>
            <w:tcW w:w="1792" w:type="pct"/>
          </w:tcPr>
          <w:p w14:paraId="0C597E60" w14:textId="77777777" w:rsidR="006F0785" w:rsidRPr="004C78D8" w:rsidRDefault="006F0785" w:rsidP="00FB7C1F">
            <w:pPr>
              <w:jc w:val="left"/>
              <w:rPr>
                <w:sz w:val="18"/>
                <w:szCs w:val="18"/>
              </w:rPr>
            </w:pPr>
            <w:r w:rsidRPr="004C78D8">
              <w:rPr>
                <w:b/>
                <w:bCs/>
                <w:i/>
                <w:iCs/>
                <w:sz w:val="18"/>
                <w:szCs w:val="18"/>
              </w:rPr>
              <w:t>Ratio</w:t>
            </w:r>
            <w:r w:rsidRPr="004C78D8">
              <w:rPr>
                <w:sz w:val="18"/>
                <w:szCs w:val="18"/>
              </w:rPr>
              <w:t>: Multifactorial intervention for high-risk group dominates NR; Exercise for high-risk group produces ICER of £13,912 per QALY relative to NR.</w:t>
            </w:r>
          </w:p>
          <w:p w14:paraId="6051E5CA" w14:textId="77777777" w:rsidR="006F0785" w:rsidRPr="004C78D8" w:rsidRDefault="006F0785" w:rsidP="00FB7C1F">
            <w:pPr>
              <w:jc w:val="left"/>
              <w:rPr>
                <w:sz w:val="18"/>
                <w:szCs w:val="18"/>
              </w:rPr>
            </w:pPr>
            <w:r w:rsidRPr="004C78D8">
              <w:rPr>
                <w:b/>
                <w:bCs/>
                <w:i/>
                <w:iCs/>
                <w:sz w:val="18"/>
                <w:szCs w:val="18"/>
              </w:rPr>
              <w:t>Aggregate</w:t>
            </w:r>
            <w:r w:rsidRPr="004C78D8">
              <w:rPr>
                <w:sz w:val="18"/>
                <w:szCs w:val="18"/>
              </w:rPr>
              <w:t>: Not reported.</w:t>
            </w:r>
          </w:p>
          <w:p w14:paraId="40E96A13" w14:textId="77777777" w:rsidR="006F0785" w:rsidRPr="004C78D8" w:rsidRDefault="006F0785" w:rsidP="00FB7C1F">
            <w:pPr>
              <w:jc w:val="left"/>
              <w:rPr>
                <w:sz w:val="18"/>
                <w:szCs w:val="18"/>
              </w:rPr>
            </w:pPr>
            <w:r w:rsidRPr="004C78D8">
              <w:rPr>
                <w:b/>
                <w:bCs/>
                <w:i/>
                <w:iCs/>
                <w:sz w:val="18"/>
                <w:szCs w:val="18"/>
              </w:rPr>
              <w:t>Parameter uncertainty</w:t>
            </w:r>
            <w:r w:rsidRPr="004C78D8">
              <w:rPr>
                <w:sz w:val="18"/>
                <w:szCs w:val="18"/>
              </w:rPr>
              <w:t>: No DSA. PSA – scatter plot</w:t>
            </w:r>
          </w:p>
          <w:p w14:paraId="55971FC3" w14:textId="77777777" w:rsidR="006F0785" w:rsidRPr="004C78D8" w:rsidRDefault="006F0785" w:rsidP="00FB7C1F">
            <w:pPr>
              <w:jc w:val="left"/>
              <w:rPr>
                <w:sz w:val="18"/>
                <w:szCs w:val="18"/>
              </w:rPr>
            </w:pPr>
            <w:r w:rsidRPr="004C78D8">
              <w:rPr>
                <w:b/>
                <w:bCs/>
                <w:i/>
                <w:iCs/>
                <w:sz w:val="18"/>
                <w:szCs w:val="18"/>
              </w:rPr>
              <w:t>Scenarios</w:t>
            </w:r>
            <w:r w:rsidRPr="004C78D8">
              <w:rPr>
                <w:sz w:val="18"/>
                <w:szCs w:val="18"/>
              </w:rPr>
              <w:t>: No analysis</w:t>
            </w:r>
          </w:p>
        </w:tc>
        <w:tc>
          <w:tcPr>
            <w:tcW w:w="1190" w:type="pct"/>
          </w:tcPr>
          <w:p w14:paraId="21AA52E9" w14:textId="7E628137" w:rsidR="006F0785" w:rsidRPr="004C78D8" w:rsidRDefault="006F0785" w:rsidP="00FB7C1F">
            <w:pPr>
              <w:jc w:val="left"/>
              <w:rPr>
                <w:sz w:val="18"/>
                <w:szCs w:val="18"/>
              </w:rPr>
            </w:pPr>
            <w:r w:rsidRPr="004C78D8">
              <w:rPr>
                <w:sz w:val="18"/>
                <w:szCs w:val="18"/>
              </w:rPr>
              <w:t>Recurrent falls not characterised; Unclear falls risk progression;</w:t>
            </w:r>
            <w:r w:rsidR="007E377E" w:rsidRPr="004C78D8">
              <w:rPr>
                <w:sz w:val="18"/>
                <w:szCs w:val="18"/>
                <w:vertAlign w:val="superscript"/>
              </w:rPr>
              <w:t>4</w:t>
            </w:r>
            <w:r w:rsidRPr="004C78D8">
              <w:rPr>
                <w:sz w:val="18"/>
                <w:szCs w:val="18"/>
              </w:rPr>
              <w:t xml:space="preserve"> Unclear intervention reach.</w:t>
            </w:r>
            <w:r w:rsidR="007E377E" w:rsidRPr="004C78D8">
              <w:rPr>
                <w:sz w:val="18"/>
                <w:szCs w:val="18"/>
                <w:vertAlign w:val="superscript"/>
              </w:rPr>
              <w:t>3</w:t>
            </w:r>
          </w:p>
        </w:tc>
      </w:tr>
      <w:tr w:rsidR="006F0785" w:rsidRPr="004C78D8" w14:paraId="71B8BBF9" w14:textId="77777777" w:rsidTr="002828C1">
        <w:tc>
          <w:tcPr>
            <w:tcW w:w="381" w:type="pct"/>
          </w:tcPr>
          <w:p w14:paraId="6877FA89" w14:textId="77777777" w:rsidR="006F0785" w:rsidRPr="004C78D8" w:rsidRDefault="006F0785" w:rsidP="00FB7C1F">
            <w:pPr>
              <w:jc w:val="left"/>
              <w:rPr>
                <w:sz w:val="18"/>
                <w:szCs w:val="18"/>
              </w:rPr>
            </w:pPr>
            <w:r w:rsidRPr="004C78D8">
              <w:rPr>
                <w:sz w:val="18"/>
                <w:szCs w:val="18"/>
              </w:rPr>
              <w:t xml:space="preserve">Wilson (2017) </w:t>
            </w:r>
          </w:p>
        </w:tc>
        <w:tc>
          <w:tcPr>
            <w:tcW w:w="772" w:type="pct"/>
          </w:tcPr>
          <w:p w14:paraId="5DD3407F" w14:textId="77777777" w:rsidR="006F0785" w:rsidRPr="004C78D8" w:rsidRDefault="006F0785" w:rsidP="00FB7C1F">
            <w:pPr>
              <w:jc w:val="left"/>
              <w:rPr>
                <w:sz w:val="18"/>
                <w:szCs w:val="18"/>
              </w:rPr>
            </w:pPr>
            <w:r w:rsidRPr="004C78D8">
              <w:rPr>
                <w:sz w:val="18"/>
                <w:szCs w:val="18"/>
              </w:rPr>
              <w:t>CD adults aged 65+; CUA; Public sector</w:t>
            </w:r>
          </w:p>
        </w:tc>
        <w:tc>
          <w:tcPr>
            <w:tcW w:w="864" w:type="pct"/>
          </w:tcPr>
          <w:p w14:paraId="0C5E231A" w14:textId="77777777" w:rsidR="006F0785" w:rsidRPr="004C78D8" w:rsidRDefault="006F0785" w:rsidP="00FB7C1F">
            <w:pPr>
              <w:jc w:val="left"/>
              <w:rPr>
                <w:sz w:val="18"/>
                <w:szCs w:val="18"/>
              </w:rPr>
            </w:pPr>
            <w:r w:rsidRPr="004C78D8">
              <w:rPr>
                <w:sz w:val="18"/>
                <w:szCs w:val="18"/>
              </w:rPr>
              <w:t>HAM [NR]</w:t>
            </w:r>
          </w:p>
        </w:tc>
        <w:tc>
          <w:tcPr>
            <w:tcW w:w="1792" w:type="pct"/>
          </w:tcPr>
          <w:p w14:paraId="1275638E" w14:textId="77777777" w:rsidR="006F0785" w:rsidRPr="004C78D8" w:rsidRDefault="006F0785" w:rsidP="00FB7C1F">
            <w:pPr>
              <w:jc w:val="left"/>
              <w:rPr>
                <w:sz w:val="18"/>
                <w:szCs w:val="18"/>
              </w:rPr>
            </w:pPr>
            <w:r w:rsidRPr="004C78D8">
              <w:rPr>
                <w:b/>
                <w:bCs/>
                <w:i/>
                <w:iCs/>
                <w:sz w:val="18"/>
                <w:szCs w:val="18"/>
              </w:rPr>
              <w:t>Ratio</w:t>
            </w:r>
            <w:r w:rsidRPr="004C78D8">
              <w:rPr>
                <w:sz w:val="18"/>
                <w:szCs w:val="18"/>
              </w:rPr>
              <w:t>: HAM produces ICER of £3,120 per QALY vs. NR.</w:t>
            </w:r>
          </w:p>
          <w:p w14:paraId="3C790086" w14:textId="77777777" w:rsidR="006F0785" w:rsidRPr="004C78D8" w:rsidRDefault="006F0785" w:rsidP="00FB7C1F">
            <w:pPr>
              <w:jc w:val="left"/>
              <w:rPr>
                <w:sz w:val="18"/>
                <w:szCs w:val="18"/>
              </w:rPr>
            </w:pPr>
            <w:r w:rsidRPr="004C78D8">
              <w:rPr>
                <w:b/>
                <w:bCs/>
                <w:i/>
                <w:iCs/>
                <w:sz w:val="18"/>
                <w:szCs w:val="18"/>
              </w:rPr>
              <w:t>Aggregate</w:t>
            </w:r>
            <w:r w:rsidRPr="004C78D8">
              <w:rPr>
                <w:sz w:val="18"/>
                <w:szCs w:val="18"/>
              </w:rPr>
              <w:t>: For base case, total int. cost was £5.5m, total net cost vs. NR £4.8m and total QALY gain 2,800.</w:t>
            </w:r>
          </w:p>
          <w:p w14:paraId="0915E887" w14:textId="77777777" w:rsidR="006F0785" w:rsidRPr="004C78D8" w:rsidRDefault="006F0785" w:rsidP="00FB7C1F">
            <w:pPr>
              <w:jc w:val="left"/>
              <w:rPr>
                <w:sz w:val="18"/>
                <w:szCs w:val="18"/>
              </w:rPr>
            </w:pPr>
            <w:r w:rsidRPr="004C78D8">
              <w:rPr>
                <w:b/>
                <w:bCs/>
                <w:i/>
                <w:iCs/>
                <w:sz w:val="18"/>
                <w:szCs w:val="18"/>
              </w:rPr>
              <w:t>Parameter uncertainty</w:t>
            </w:r>
            <w:r w:rsidRPr="004C78D8">
              <w:rPr>
                <w:sz w:val="18"/>
                <w:szCs w:val="18"/>
              </w:rPr>
              <w:t>: DSA – efficacy had largest impact on base case ICER. PSA – 95% UI for base case ICER between below zero to £8,710 per QALY.</w:t>
            </w:r>
          </w:p>
          <w:p w14:paraId="28864056" w14:textId="387093CF" w:rsidR="006F0785" w:rsidRPr="004C78D8" w:rsidRDefault="006F0785" w:rsidP="00FB7C1F">
            <w:pPr>
              <w:jc w:val="left"/>
              <w:rPr>
                <w:sz w:val="18"/>
                <w:szCs w:val="18"/>
              </w:rPr>
            </w:pPr>
            <w:r w:rsidRPr="004C78D8">
              <w:rPr>
                <w:b/>
                <w:bCs/>
                <w:i/>
                <w:iCs/>
                <w:sz w:val="18"/>
                <w:szCs w:val="18"/>
              </w:rPr>
              <w:t>Scenarios</w:t>
            </w:r>
            <w:r w:rsidRPr="004C78D8">
              <w:rPr>
                <w:sz w:val="18"/>
                <w:szCs w:val="18"/>
              </w:rPr>
              <w:t>: For secondary prevention scenario,</w:t>
            </w:r>
            <w:r w:rsidR="007E377E" w:rsidRPr="004C78D8">
              <w:rPr>
                <w:sz w:val="18"/>
                <w:szCs w:val="18"/>
                <w:vertAlign w:val="superscript"/>
              </w:rPr>
              <w:t>12</w:t>
            </w:r>
            <w:r w:rsidRPr="004C78D8">
              <w:rPr>
                <w:sz w:val="18"/>
                <w:szCs w:val="18"/>
              </w:rPr>
              <w:t xml:space="preserve"> ICER was £399 per QALY, total int. cost £492,000, total net cost vs. NR, £52,000, and total QALY gain 1,420. For primary prevention scenario,</w:t>
            </w:r>
            <w:r w:rsidR="007E377E" w:rsidRPr="004C78D8">
              <w:rPr>
                <w:sz w:val="18"/>
                <w:szCs w:val="18"/>
                <w:vertAlign w:val="superscript"/>
              </w:rPr>
              <w:t>13</w:t>
            </w:r>
            <w:r w:rsidRPr="004C78D8">
              <w:rPr>
                <w:sz w:val="18"/>
                <w:szCs w:val="18"/>
              </w:rPr>
              <w:t xml:space="preserve"> ICER was £5,465 per QALY, total int. cost £5.0m, total net cost £4.7m and total QALY gain 1,520. Subgroup analyses showed higher ICER for Maori; equity analyses showed higher ICER can be mainly attributed to Maori’s shorter life expectancy.</w:t>
            </w:r>
            <w:r w:rsidR="007E377E" w:rsidRPr="004C78D8">
              <w:rPr>
                <w:sz w:val="18"/>
                <w:szCs w:val="18"/>
                <w:vertAlign w:val="superscript"/>
              </w:rPr>
              <w:t>5</w:t>
            </w:r>
          </w:p>
        </w:tc>
        <w:tc>
          <w:tcPr>
            <w:tcW w:w="1190" w:type="pct"/>
          </w:tcPr>
          <w:p w14:paraId="415EED0C" w14:textId="223949A5" w:rsidR="006F0785" w:rsidRPr="004C78D8" w:rsidRDefault="006F0785" w:rsidP="00FB7C1F">
            <w:pPr>
              <w:jc w:val="left"/>
              <w:rPr>
                <w:sz w:val="18"/>
                <w:szCs w:val="18"/>
              </w:rPr>
            </w:pPr>
            <w:r w:rsidRPr="004C78D8">
              <w:rPr>
                <w:sz w:val="18"/>
                <w:szCs w:val="18"/>
              </w:rPr>
              <w:t>Routine data lacks individual identifiers;</w:t>
            </w:r>
            <w:r w:rsidR="007E377E" w:rsidRPr="004C78D8">
              <w:rPr>
                <w:sz w:val="18"/>
                <w:szCs w:val="18"/>
                <w:vertAlign w:val="superscript"/>
              </w:rPr>
              <w:t>6</w:t>
            </w:r>
            <w:r w:rsidRPr="004C78D8">
              <w:rPr>
                <w:sz w:val="18"/>
                <w:szCs w:val="18"/>
              </w:rPr>
              <w:t xml:space="preserve"> Recurrent falls not characterised; Unclear falls risk progression;</w:t>
            </w:r>
            <w:r w:rsidR="007E377E" w:rsidRPr="004C78D8">
              <w:rPr>
                <w:sz w:val="18"/>
                <w:szCs w:val="18"/>
                <w:vertAlign w:val="superscript"/>
              </w:rPr>
              <w:t>4</w:t>
            </w:r>
            <w:r w:rsidRPr="004C78D8">
              <w:rPr>
                <w:sz w:val="18"/>
                <w:szCs w:val="18"/>
              </w:rPr>
              <w:t xml:space="preserve"> No background transition in health utilities;</w:t>
            </w:r>
            <w:r w:rsidR="007E377E" w:rsidRPr="004C78D8">
              <w:rPr>
                <w:sz w:val="18"/>
                <w:szCs w:val="18"/>
                <w:vertAlign w:val="superscript"/>
              </w:rPr>
              <w:t>7</w:t>
            </w:r>
            <w:r w:rsidRPr="004C78D8">
              <w:rPr>
                <w:sz w:val="18"/>
                <w:szCs w:val="18"/>
              </w:rPr>
              <w:t xml:space="preserve"> Includes comorbidity care costs; Unclear intervention reach;</w:t>
            </w:r>
            <w:r w:rsidR="007E377E" w:rsidRPr="004C78D8">
              <w:rPr>
                <w:sz w:val="18"/>
                <w:szCs w:val="18"/>
                <w:vertAlign w:val="superscript"/>
              </w:rPr>
              <w:t>3</w:t>
            </w:r>
            <w:r w:rsidRPr="004C78D8">
              <w:rPr>
                <w:sz w:val="18"/>
                <w:szCs w:val="18"/>
              </w:rPr>
              <w:t xml:space="preserve"> Mismatch between falls incidence and efficacy metrics; Unrealistic efficacy duration; Joint parameter uncertainty not assessed; No scenario estimating equity-efficiency trade-off.</w:t>
            </w:r>
            <w:r w:rsidR="007E377E" w:rsidRPr="004C78D8">
              <w:rPr>
                <w:sz w:val="18"/>
                <w:szCs w:val="18"/>
                <w:vertAlign w:val="superscript"/>
              </w:rPr>
              <w:t>5</w:t>
            </w:r>
          </w:p>
        </w:tc>
      </w:tr>
      <w:tr w:rsidR="006F0785" w:rsidRPr="004C78D8" w14:paraId="246F4D10" w14:textId="77777777" w:rsidTr="002828C1">
        <w:tc>
          <w:tcPr>
            <w:tcW w:w="381" w:type="pct"/>
          </w:tcPr>
          <w:p w14:paraId="57103EC2" w14:textId="77777777" w:rsidR="006F0785" w:rsidRPr="004C78D8" w:rsidRDefault="006F0785" w:rsidP="00FB7C1F">
            <w:pPr>
              <w:jc w:val="left"/>
              <w:rPr>
                <w:sz w:val="18"/>
                <w:szCs w:val="18"/>
              </w:rPr>
            </w:pPr>
            <w:r w:rsidRPr="004C78D8">
              <w:rPr>
                <w:sz w:val="18"/>
                <w:szCs w:val="18"/>
              </w:rPr>
              <w:t xml:space="preserve">Zarca (2014) </w:t>
            </w:r>
          </w:p>
        </w:tc>
        <w:tc>
          <w:tcPr>
            <w:tcW w:w="772" w:type="pct"/>
          </w:tcPr>
          <w:p w14:paraId="254489B2" w14:textId="77777777" w:rsidR="006F0785" w:rsidRPr="004C78D8" w:rsidRDefault="006F0785" w:rsidP="00FB7C1F">
            <w:pPr>
              <w:jc w:val="left"/>
              <w:rPr>
                <w:sz w:val="18"/>
                <w:szCs w:val="18"/>
              </w:rPr>
            </w:pPr>
            <w:r w:rsidRPr="004C78D8">
              <w:rPr>
                <w:sz w:val="18"/>
                <w:szCs w:val="18"/>
              </w:rPr>
              <w:t>Adults aged 65+ without previous hip fracture; CUA/CEA; Public sector</w:t>
            </w:r>
          </w:p>
        </w:tc>
        <w:tc>
          <w:tcPr>
            <w:tcW w:w="864" w:type="pct"/>
          </w:tcPr>
          <w:p w14:paraId="516336BF" w14:textId="77777777" w:rsidR="006F0785" w:rsidRPr="004C78D8" w:rsidRDefault="006F0785" w:rsidP="00FB7C1F">
            <w:pPr>
              <w:jc w:val="left"/>
              <w:rPr>
                <w:sz w:val="18"/>
                <w:szCs w:val="18"/>
              </w:rPr>
            </w:pPr>
            <w:r w:rsidRPr="004C78D8">
              <w:rPr>
                <w:sz w:val="18"/>
                <w:szCs w:val="18"/>
              </w:rPr>
              <w:t>Vitamin D – (i) Universal supplementation; (ii) Supplement then screen for calibration; (iii) Screen then supplement [NR; Cross comparisons]</w:t>
            </w:r>
          </w:p>
        </w:tc>
        <w:tc>
          <w:tcPr>
            <w:tcW w:w="1792" w:type="pct"/>
          </w:tcPr>
          <w:p w14:paraId="6638295B" w14:textId="77777777" w:rsidR="006F0785" w:rsidRPr="004C78D8" w:rsidRDefault="006F0785" w:rsidP="00FB7C1F">
            <w:pPr>
              <w:jc w:val="left"/>
              <w:rPr>
                <w:sz w:val="18"/>
                <w:szCs w:val="18"/>
              </w:rPr>
            </w:pPr>
            <w:r w:rsidRPr="004C78D8">
              <w:rPr>
                <w:b/>
                <w:bCs/>
                <w:i/>
                <w:iCs/>
                <w:sz w:val="18"/>
                <w:szCs w:val="18"/>
              </w:rPr>
              <w:t>Ratio</w:t>
            </w:r>
            <w:r w:rsidRPr="004C78D8">
              <w:rPr>
                <w:sz w:val="18"/>
                <w:szCs w:val="18"/>
              </w:rPr>
              <w:t>: Universal supplementation was dominated by other strategies; Supplement then screen strategy produces ICER of £5,555 per QALY vs. NR; Screen then supplement strategy produces ICER of £5,232 per QALY vs. Supplement then screen and £5,445 per QALY vs. NR.</w:t>
            </w:r>
          </w:p>
          <w:p w14:paraId="13977E73" w14:textId="291E6963" w:rsidR="006F0785" w:rsidRPr="004C78D8" w:rsidRDefault="006F0785" w:rsidP="00FB7C1F">
            <w:pPr>
              <w:jc w:val="left"/>
              <w:rPr>
                <w:sz w:val="18"/>
                <w:szCs w:val="18"/>
              </w:rPr>
            </w:pPr>
            <w:r w:rsidRPr="004C78D8">
              <w:rPr>
                <w:b/>
                <w:bCs/>
                <w:i/>
                <w:iCs/>
                <w:sz w:val="18"/>
                <w:szCs w:val="18"/>
              </w:rPr>
              <w:t>Aggregate</w:t>
            </w:r>
            <w:r w:rsidRPr="004C78D8">
              <w:rPr>
                <w:sz w:val="18"/>
                <w:szCs w:val="18"/>
              </w:rPr>
              <w:t>: Difficult to compare strategies without data on intervention reach.</w:t>
            </w:r>
            <w:r w:rsidR="007E377E" w:rsidRPr="004C78D8">
              <w:rPr>
                <w:sz w:val="18"/>
                <w:szCs w:val="18"/>
                <w:vertAlign w:val="superscript"/>
              </w:rPr>
              <w:t>3</w:t>
            </w:r>
            <w:r w:rsidRPr="004C78D8">
              <w:rPr>
                <w:sz w:val="18"/>
                <w:szCs w:val="18"/>
              </w:rPr>
              <w:t xml:space="preserve"> Possible that Screen then supplement strategy has smallest reach. Estimating total cost of Screen then supplement to be £80m for 800,000 persons.</w:t>
            </w:r>
          </w:p>
          <w:p w14:paraId="35DAB4F4" w14:textId="77777777" w:rsidR="006F0785" w:rsidRPr="004C78D8" w:rsidRDefault="006F0785" w:rsidP="00FB7C1F">
            <w:pPr>
              <w:jc w:val="left"/>
              <w:rPr>
                <w:sz w:val="18"/>
                <w:szCs w:val="18"/>
              </w:rPr>
            </w:pPr>
            <w:r w:rsidRPr="004C78D8">
              <w:rPr>
                <w:b/>
                <w:bCs/>
                <w:i/>
                <w:iCs/>
                <w:sz w:val="18"/>
                <w:szCs w:val="18"/>
              </w:rPr>
              <w:lastRenderedPageBreak/>
              <w:t>Parameter uncertainty</w:t>
            </w:r>
            <w:r w:rsidRPr="004C78D8">
              <w:rPr>
                <w:sz w:val="18"/>
                <w:szCs w:val="18"/>
              </w:rPr>
              <w:t>: DSA – int. cost had largest impact on ICER of Screen then supplement vs. NR. PSA – 100% probability of Screen then supplement being most cost-effective strategy at threshold of €20,000 (£21,286).</w:t>
            </w:r>
          </w:p>
          <w:p w14:paraId="225CD0CE" w14:textId="77777777" w:rsidR="006F0785" w:rsidRPr="004C78D8" w:rsidRDefault="006F0785" w:rsidP="00FB7C1F">
            <w:pPr>
              <w:jc w:val="left"/>
              <w:rPr>
                <w:sz w:val="18"/>
                <w:szCs w:val="18"/>
              </w:rPr>
            </w:pPr>
            <w:r w:rsidRPr="004C78D8">
              <w:rPr>
                <w:b/>
                <w:bCs/>
                <w:i/>
                <w:iCs/>
                <w:sz w:val="18"/>
                <w:szCs w:val="18"/>
              </w:rPr>
              <w:t>Scenarios</w:t>
            </w:r>
            <w:r w:rsidRPr="004C78D8">
              <w:rPr>
                <w:sz w:val="18"/>
                <w:szCs w:val="18"/>
              </w:rPr>
              <w:t>: Results robust to discount rates rising from 3% to 6%.</w:t>
            </w:r>
          </w:p>
        </w:tc>
        <w:tc>
          <w:tcPr>
            <w:tcW w:w="1190" w:type="pct"/>
          </w:tcPr>
          <w:p w14:paraId="5DC33258" w14:textId="20525A46" w:rsidR="006F0785" w:rsidRPr="004C78D8" w:rsidRDefault="006F0785" w:rsidP="00FB7C1F">
            <w:pPr>
              <w:jc w:val="left"/>
              <w:rPr>
                <w:sz w:val="18"/>
                <w:szCs w:val="18"/>
              </w:rPr>
            </w:pPr>
            <w:r w:rsidRPr="004C78D8">
              <w:rPr>
                <w:sz w:val="18"/>
                <w:szCs w:val="18"/>
              </w:rPr>
              <w:lastRenderedPageBreak/>
              <w:t>Hospitalisation cost only; Unclear intervention reach;</w:t>
            </w:r>
            <w:r w:rsidR="007E377E" w:rsidRPr="004C78D8">
              <w:rPr>
                <w:sz w:val="18"/>
                <w:szCs w:val="18"/>
                <w:vertAlign w:val="superscript"/>
              </w:rPr>
              <w:t>3</w:t>
            </w:r>
            <w:r w:rsidRPr="004C78D8">
              <w:rPr>
                <w:sz w:val="18"/>
                <w:szCs w:val="18"/>
              </w:rPr>
              <w:t xml:space="preserve"> Structural, external and internal validities assessed</w:t>
            </w:r>
          </w:p>
        </w:tc>
      </w:tr>
      <w:tr w:rsidR="006F0785" w:rsidRPr="004C78D8" w14:paraId="76C31185" w14:textId="77777777" w:rsidTr="002828C1">
        <w:tc>
          <w:tcPr>
            <w:tcW w:w="5000" w:type="pct"/>
            <w:gridSpan w:val="5"/>
          </w:tcPr>
          <w:p w14:paraId="5CEC1249" w14:textId="306207E3" w:rsidR="006F0785" w:rsidRPr="004C78D8" w:rsidRDefault="006F0785" w:rsidP="00FB7C1F">
            <w:pPr>
              <w:rPr>
                <w:sz w:val="18"/>
                <w:szCs w:val="18"/>
              </w:rPr>
            </w:pPr>
            <w:r w:rsidRPr="004C78D8">
              <w:rPr>
                <w:b/>
                <w:bCs/>
                <w:sz w:val="18"/>
                <w:szCs w:val="18"/>
              </w:rPr>
              <w:t>A</w:t>
            </w:r>
            <w:r w:rsidR="007E377E" w:rsidRPr="004C78D8">
              <w:rPr>
                <w:b/>
                <w:bCs/>
                <w:sz w:val="18"/>
                <w:szCs w:val="18"/>
              </w:rPr>
              <w:t>bbreviation</w:t>
            </w:r>
            <w:r w:rsidRPr="004C78D8">
              <w:rPr>
                <w:b/>
                <w:bCs/>
                <w:sz w:val="18"/>
                <w:szCs w:val="18"/>
              </w:rPr>
              <w:t>:</w:t>
            </w:r>
            <w:r w:rsidRPr="004C78D8">
              <w:rPr>
                <w:sz w:val="18"/>
                <w:szCs w:val="18"/>
              </w:rPr>
              <w:t xml:space="preserve"> CEA: cost-effectiveness analysis; CEAC: cost-effectiveness acceptability curve; CD: community-dwelling; CUA: cost-utility analysis; DSA: deterministic sensitivity analysis; ED: emergency department; HAM: home assessment and modification; ICER: incremental cost-effectiveness ratio; int.: intervention; LTC: long-term care admission; MA fall: fall requiring medical attention; NR: non-receipt of modelled intervention(s); OMAS: Ontario Medical Advisory Secretariat; pharma.: pharmaceuticals; PSA: probabilistic sensitivity analysis; QALY: quality-adjusted life year; rehab.: rehabilitation; RCN: Royal College of Nursing; ROI: return on investment; UC: usual care; UI: uncertainty interval</w:t>
            </w:r>
          </w:p>
          <w:p w14:paraId="6786728D" w14:textId="3100E721" w:rsidR="006F0785" w:rsidRPr="004C78D8" w:rsidRDefault="007E377E" w:rsidP="00FB7C1F">
            <w:pPr>
              <w:rPr>
                <w:sz w:val="18"/>
                <w:szCs w:val="18"/>
              </w:rPr>
            </w:pPr>
            <w:r w:rsidRPr="004C78D8">
              <w:rPr>
                <w:sz w:val="18"/>
                <w:szCs w:val="18"/>
                <w:vertAlign w:val="superscript"/>
              </w:rPr>
              <w:t>1</w:t>
            </w:r>
            <w:r w:rsidR="006F0785" w:rsidRPr="004C78D8">
              <w:rPr>
                <w:sz w:val="18"/>
                <w:szCs w:val="18"/>
              </w:rPr>
              <w:t xml:space="preserve"> See Table </w:t>
            </w:r>
            <w:r w:rsidR="00090483" w:rsidRPr="004C78D8">
              <w:rPr>
                <w:sz w:val="18"/>
                <w:szCs w:val="18"/>
              </w:rPr>
              <w:t>4</w:t>
            </w:r>
            <w:r w:rsidRPr="004C78D8">
              <w:rPr>
                <w:sz w:val="18"/>
                <w:szCs w:val="18"/>
              </w:rPr>
              <w:t>.</w:t>
            </w:r>
            <w:r w:rsidR="006F0785" w:rsidRPr="004C78D8">
              <w:rPr>
                <w:sz w:val="18"/>
                <w:szCs w:val="18"/>
              </w:rPr>
              <w:t>2 for study references.</w:t>
            </w:r>
          </w:p>
          <w:p w14:paraId="2BE58AFA" w14:textId="0546D5FA" w:rsidR="006F0785" w:rsidRPr="004C78D8" w:rsidRDefault="007E377E" w:rsidP="00FB7C1F">
            <w:pPr>
              <w:rPr>
                <w:sz w:val="18"/>
                <w:szCs w:val="18"/>
              </w:rPr>
            </w:pPr>
            <w:r w:rsidRPr="004C78D8">
              <w:rPr>
                <w:sz w:val="18"/>
                <w:szCs w:val="18"/>
                <w:vertAlign w:val="superscript"/>
              </w:rPr>
              <w:t>2</w:t>
            </w:r>
            <w:r w:rsidR="006F0785" w:rsidRPr="004C78D8">
              <w:rPr>
                <w:sz w:val="18"/>
                <w:szCs w:val="18"/>
              </w:rPr>
              <w:t xml:space="preserve"> All monetary units are converted to £ in year 2021 using the average consumer price index (CPI) between the original year of reported currency to 2019 (most recent year for CPI data) </w:t>
            </w:r>
            <w:r w:rsidR="006F0785" w:rsidRPr="004C78D8">
              <w:rPr>
                <w:sz w:val="18"/>
                <w:szCs w:val="18"/>
              </w:rPr>
              <w:fldChar w:fldCharType="begin"/>
            </w:r>
            <w:r w:rsidR="00C630FC" w:rsidRPr="004C78D8">
              <w:rPr>
                <w:sz w:val="18"/>
                <w:szCs w:val="18"/>
              </w:rPr>
              <w:instrText xml:space="preserve"> ADDIN EN.CITE &lt;EndNote&gt;&lt;Cite&gt;&lt;Author&gt;World Bank&lt;/Author&gt;&lt;Year&gt;2021&lt;/Year&gt;&lt;RecNum&gt;403&lt;/RecNum&gt;&lt;DisplayText&gt;[333]&lt;/DisplayText&gt;&lt;record&gt;&lt;rec-number&gt;403&lt;/rec-number&gt;&lt;foreign-keys&gt;&lt;key app="EN" db-id="tdtrdw9aepptzbefsat599syza29sxsd2wsp" timestamp="1613067042"&gt;403&lt;/key&gt;&lt;/foreign-keys&gt;&lt;ref-type name="Web Page"&gt;12&lt;/ref-type&gt;&lt;contributors&gt;&lt;authors&gt;&lt;author&gt;World Bank,&lt;/author&gt;&lt;/authors&gt;&lt;/contributors&gt;&lt;titles&gt;&lt;title&gt;Inflation, consumer prices (annual %)&lt;/title&gt;&lt;/titles&gt;&lt;dates&gt;&lt;year&gt;2021&lt;/year&gt;&lt;/dates&gt;&lt;urls&gt;&lt;related-urls&gt;&lt;url&gt;https://data.worldbank.org/indicator/FP.CPI.TOTL.ZG&lt;/url&gt;&lt;/related-urls&gt;&lt;/urls&gt;&lt;/record&gt;&lt;/Cite&gt;&lt;/EndNote&gt;</w:instrText>
            </w:r>
            <w:r w:rsidR="006F0785" w:rsidRPr="004C78D8">
              <w:rPr>
                <w:sz w:val="18"/>
                <w:szCs w:val="18"/>
              </w:rPr>
              <w:fldChar w:fldCharType="separate"/>
            </w:r>
            <w:r w:rsidR="00C630FC" w:rsidRPr="004C78D8">
              <w:rPr>
                <w:noProof/>
                <w:sz w:val="18"/>
                <w:szCs w:val="18"/>
              </w:rPr>
              <w:t>[333]</w:t>
            </w:r>
            <w:r w:rsidR="006F0785" w:rsidRPr="004C78D8">
              <w:rPr>
                <w:sz w:val="18"/>
                <w:szCs w:val="18"/>
              </w:rPr>
              <w:fldChar w:fldCharType="end"/>
            </w:r>
            <w:r w:rsidR="006F0785" w:rsidRPr="004C78D8">
              <w:rPr>
                <w:sz w:val="18"/>
                <w:szCs w:val="18"/>
              </w:rPr>
              <w:t xml:space="preserve"> in the country of study and purchasing power parity (PPP) rate between the original currency and £ in year 2020 (most recent PPP data) </w:t>
            </w:r>
            <w:r w:rsidR="006F0785" w:rsidRPr="004C78D8">
              <w:rPr>
                <w:sz w:val="18"/>
                <w:szCs w:val="18"/>
              </w:rPr>
              <w:fldChar w:fldCharType="begin"/>
            </w:r>
            <w:r w:rsidR="00C630FC" w:rsidRPr="004C78D8">
              <w:rPr>
                <w:sz w:val="18"/>
                <w:szCs w:val="18"/>
              </w:rPr>
              <w:instrText xml:space="preserve"> ADDIN EN.CITE &lt;EndNote&gt;&lt;Cite&gt;&lt;Author&gt;OECD Data&lt;/Author&gt;&lt;Year&gt;2021&lt;/Year&gt;&lt;RecNum&gt;404&lt;/RecNum&gt;&lt;DisplayText&gt;[334]&lt;/DisplayText&gt;&lt;record&gt;&lt;rec-number&gt;404&lt;/rec-number&gt;&lt;foreign-keys&gt;&lt;key app="EN" db-id="tdtrdw9aepptzbefsat599syza29sxsd2wsp" timestamp="1613077493"&gt;404&lt;/key&gt;&lt;/foreign-keys&gt;&lt;ref-type name="Web Page"&gt;12&lt;/ref-type&gt;&lt;contributors&gt;&lt;authors&gt;&lt;author&gt;OECD Data,&lt;/author&gt;&lt;/authors&gt;&lt;/contributors&gt;&lt;titles&gt;&lt;title&gt;Purchasing power parities (PPP)&lt;/title&gt;&lt;/titles&gt;&lt;dates&gt;&lt;year&gt;2021&lt;/year&gt;&lt;/dates&gt;&lt;urls&gt;&lt;related-urls&gt;&lt;url&gt;https://data.oecd.org/conversion/purchasing-power-parities-ppp.htm#indicator-chart&lt;/url&gt;&lt;/related-urls&gt;&lt;/urls&gt;&lt;/record&gt;&lt;/Cite&gt;&lt;/EndNote&gt;</w:instrText>
            </w:r>
            <w:r w:rsidR="006F0785" w:rsidRPr="004C78D8">
              <w:rPr>
                <w:sz w:val="18"/>
                <w:szCs w:val="18"/>
              </w:rPr>
              <w:fldChar w:fldCharType="separate"/>
            </w:r>
            <w:r w:rsidR="00C630FC" w:rsidRPr="004C78D8">
              <w:rPr>
                <w:noProof/>
                <w:sz w:val="18"/>
                <w:szCs w:val="18"/>
              </w:rPr>
              <w:t>[334]</w:t>
            </w:r>
            <w:r w:rsidR="006F0785" w:rsidRPr="004C78D8">
              <w:rPr>
                <w:sz w:val="18"/>
                <w:szCs w:val="18"/>
              </w:rPr>
              <w:fldChar w:fldCharType="end"/>
            </w:r>
            <w:r w:rsidR="006F0785" w:rsidRPr="004C78D8">
              <w:rPr>
                <w:sz w:val="18"/>
                <w:szCs w:val="18"/>
              </w:rPr>
              <w:t>.</w:t>
            </w:r>
          </w:p>
          <w:p w14:paraId="2011670C" w14:textId="3D6E30F5" w:rsidR="006F0785" w:rsidRPr="004C78D8" w:rsidRDefault="007E377E" w:rsidP="00FB7C1F">
            <w:pPr>
              <w:rPr>
                <w:sz w:val="18"/>
                <w:szCs w:val="18"/>
              </w:rPr>
            </w:pPr>
            <w:r w:rsidRPr="004C78D8">
              <w:rPr>
                <w:sz w:val="18"/>
                <w:szCs w:val="18"/>
                <w:vertAlign w:val="superscript"/>
              </w:rPr>
              <w:t>3</w:t>
            </w:r>
            <w:r w:rsidR="006F0785" w:rsidRPr="004C78D8">
              <w:rPr>
                <w:sz w:val="18"/>
                <w:szCs w:val="18"/>
              </w:rPr>
              <w:t xml:space="preserve"> Intervention reach refers to the number/proportion of persons receiving the intervention. It is a function of intervention’s </w:t>
            </w:r>
            <w:r w:rsidR="006F0785" w:rsidRPr="004C78D8">
              <w:rPr>
                <w:i/>
                <w:iCs/>
                <w:sz w:val="18"/>
                <w:szCs w:val="18"/>
              </w:rPr>
              <w:t xml:space="preserve">normative </w:t>
            </w:r>
            <w:r w:rsidR="006F0785" w:rsidRPr="004C78D8">
              <w:rPr>
                <w:sz w:val="18"/>
                <w:szCs w:val="18"/>
              </w:rPr>
              <w:t xml:space="preserve">reach defined by its eligibility criteria and targeting strategy and its </w:t>
            </w:r>
            <w:r w:rsidR="006F0785" w:rsidRPr="004C78D8">
              <w:rPr>
                <w:i/>
                <w:iCs/>
                <w:sz w:val="18"/>
                <w:szCs w:val="18"/>
              </w:rPr>
              <w:t>implementation</w:t>
            </w:r>
            <w:r w:rsidR="006F0785" w:rsidRPr="004C78D8">
              <w:rPr>
                <w:sz w:val="18"/>
                <w:szCs w:val="18"/>
              </w:rPr>
              <w:t xml:space="preserve"> reach determined by the level of implementation (e.g., uptake and adherence) within the eligible population.</w:t>
            </w:r>
          </w:p>
          <w:p w14:paraId="56AB031C" w14:textId="3C7F5045" w:rsidR="006F0785" w:rsidRPr="004C78D8" w:rsidRDefault="007E377E" w:rsidP="00FB7C1F">
            <w:pPr>
              <w:rPr>
                <w:sz w:val="18"/>
                <w:szCs w:val="18"/>
              </w:rPr>
            </w:pPr>
            <w:r w:rsidRPr="004C78D8">
              <w:rPr>
                <w:sz w:val="18"/>
                <w:szCs w:val="18"/>
                <w:vertAlign w:val="superscript"/>
              </w:rPr>
              <w:t>4</w:t>
            </w:r>
            <w:r w:rsidR="006F0785" w:rsidRPr="004C78D8">
              <w:rPr>
                <w:sz w:val="18"/>
                <w:szCs w:val="18"/>
              </w:rPr>
              <w:t xml:space="preserve"> The study does not mention how falls risk progressed with age in the absence of falls incidence (which has a separate model state). Markov model should incorporate tunnel states to allow for secular risk progression, but this is not stated or graphically illustrated.</w:t>
            </w:r>
          </w:p>
          <w:p w14:paraId="79A33B82" w14:textId="124EAF9F" w:rsidR="006F0785" w:rsidRPr="004C78D8" w:rsidRDefault="007E377E" w:rsidP="00FB7C1F">
            <w:pPr>
              <w:rPr>
                <w:sz w:val="18"/>
                <w:szCs w:val="18"/>
              </w:rPr>
            </w:pPr>
            <w:r w:rsidRPr="004C78D8">
              <w:rPr>
                <w:sz w:val="18"/>
                <w:szCs w:val="18"/>
                <w:vertAlign w:val="superscript"/>
              </w:rPr>
              <w:t>5</w:t>
            </w:r>
            <w:r w:rsidR="006F0785" w:rsidRPr="004C78D8">
              <w:rPr>
                <w:sz w:val="18"/>
                <w:szCs w:val="18"/>
              </w:rPr>
              <w:t xml:space="preserve"> The study evaluated counterfactual scenarios where Maori/men had equal life expectancy as non-Maori/women and found that subgroup ICERs became similar (Maori/non-Maori only in Wilson (2017)). This does not estimate the equity-efficiency trade-off (efficiency cost) from Maori/men being prioritised for intervention under the actual circumstance of lower life expectancy.     </w:t>
            </w:r>
          </w:p>
          <w:p w14:paraId="062EF17A" w14:textId="0621BC66" w:rsidR="006F0785" w:rsidRPr="004C78D8" w:rsidRDefault="008441E1" w:rsidP="00FB7C1F">
            <w:pPr>
              <w:rPr>
                <w:sz w:val="18"/>
                <w:szCs w:val="18"/>
              </w:rPr>
            </w:pPr>
            <w:r w:rsidRPr="004C78D8">
              <w:rPr>
                <w:sz w:val="18"/>
                <w:szCs w:val="18"/>
                <w:vertAlign w:val="superscript"/>
              </w:rPr>
              <w:t>6</w:t>
            </w:r>
            <w:r w:rsidR="006F0785" w:rsidRPr="004C78D8">
              <w:rPr>
                <w:sz w:val="18"/>
                <w:szCs w:val="18"/>
              </w:rPr>
              <w:t xml:space="preserve"> Without individual identifiers, multiple falls experienced by the same person are counted as multiple fallers.</w:t>
            </w:r>
          </w:p>
          <w:p w14:paraId="51F2838D" w14:textId="16BA6991" w:rsidR="006F0785" w:rsidRPr="004C78D8" w:rsidRDefault="008441E1" w:rsidP="00FB7C1F">
            <w:pPr>
              <w:rPr>
                <w:sz w:val="18"/>
                <w:szCs w:val="18"/>
              </w:rPr>
            </w:pPr>
            <w:r w:rsidRPr="004C78D8">
              <w:rPr>
                <w:sz w:val="18"/>
                <w:szCs w:val="18"/>
                <w:vertAlign w:val="superscript"/>
              </w:rPr>
              <w:t>7</w:t>
            </w:r>
            <w:r w:rsidR="006F0785" w:rsidRPr="004C78D8">
              <w:rPr>
                <w:sz w:val="18"/>
                <w:szCs w:val="18"/>
              </w:rPr>
              <w:t xml:space="preserve"> Background health utility level should vary in line with changes to underlying health status which are influenced by age and changes in comorbidities and frailty affected by falls.</w:t>
            </w:r>
          </w:p>
          <w:p w14:paraId="5FAD94D5" w14:textId="61E6CF8B" w:rsidR="006F0785" w:rsidRPr="004C78D8" w:rsidRDefault="008441E1" w:rsidP="00FB7C1F">
            <w:pPr>
              <w:rPr>
                <w:sz w:val="18"/>
                <w:szCs w:val="18"/>
              </w:rPr>
            </w:pPr>
            <w:r w:rsidRPr="004C78D8">
              <w:rPr>
                <w:sz w:val="18"/>
                <w:szCs w:val="18"/>
                <w:vertAlign w:val="superscript"/>
              </w:rPr>
              <w:t>8</w:t>
            </w:r>
            <w:r w:rsidR="006F0785" w:rsidRPr="004C78D8">
              <w:rPr>
                <w:sz w:val="18"/>
                <w:szCs w:val="18"/>
              </w:rPr>
              <w:t xml:space="preserve"> Societal costs incur different opportunity cost to public sector costs. The cost-effectiveness threshold should be tiered or weighted to capture the differing opportunity costs across sectors.</w:t>
            </w:r>
          </w:p>
          <w:p w14:paraId="21339CB4" w14:textId="3176B564" w:rsidR="006F0785" w:rsidRPr="004C78D8" w:rsidRDefault="008441E1" w:rsidP="00FB7C1F">
            <w:pPr>
              <w:rPr>
                <w:sz w:val="18"/>
                <w:szCs w:val="18"/>
              </w:rPr>
            </w:pPr>
            <w:r w:rsidRPr="004C78D8">
              <w:rPr>
                <w:sz w:val="18"/>
                <w:szCs w:val="18"/>
                <w:vertAlign w:val="superscript"/>
              </w:rPr>
              <w:t>9</w:t>
            </w:r>
            <w:r w:rsidR="006F0785" w:rsidRPr="004C78D8">
              <w:rPr>
                <w:sz w:val="18"/>
                <w:szCs w:val="18"/>
              </w:rPr>
              <w:t xml:space="preserve"> Multifactorial intervention included tailored education, group balance exercises, Tai Chi, other physical activities and HAM. Environmental intervention included neighbourhood hazard removal and housing reconstruction.</w:t>
            </w:r>
          </w:p>
          <w:p w14:paraId="540F5964" w14:textId="29006C62" w:rsidR="006F0785" w:rsidRPr="004C78D8" w:rsidRDefault="008441E1" w:rsidP="00FB7C1F">
            <w:pPr>
              <w:rPr>
                <w:sz w:val="18"/>
                <w:szCs w:val="18"/>
              </w:rPr>
            </w:pPr>
            <w:r w:rsidRPr="004C78D8">
              <w:rPr>
                <w:sz w:val="18"/>
                <w:szCs w:val="18"/>
                <w:vertAlign w:val="superscript"/>
              </w:rPr>
              <w:t>10</w:t>
            </w:r>
            <w:r w:rsidR="006F0785" w:rsidRPr="004C78D8">
              <w:rPr>
                <w:sz w:val="18"/>
                <w:szCs w:val="18"/>
              </w:rPr>
              <w:t xml:space="preserve"> The study incorporated cost of added life-years which was estimated as the consumption minus production level (i.e., net consumption) that varied by age group. The outcome changed from dominance to ICER of £16,980 per QALY.</w:t>
            </w:r>
          </w:p>
          <w:p w14:paraId="6BE52D6A" w14:textId="2E15A4BA" w:rsidR="006F0785" w:rsidRPr="004C78D8" w:rsidRDefault="008441E1" w:rsidP="00FB7C1F">
            <w:pPr>
              <w:rPr>
                <w:sz w:val="18"/>
                <w:szCs w:val="18"/>
              </w:rPr>
            </w:pPr>
            <w:r w:rsidRPr="004C78D8">
              <w:rPr>
                <w:sz w:val="18"/>
                <w:szCs w:val="18"/>
                <w:vertAlign w:val="superscript"/>
              </w:rPr>
              <w:t>11</w:t>
            </w:r>
            <w:r w:rsidR="006F0785" w:rsidRPr="004C78D8">
              <w:rPr>
                <w:sz w:val="18"/>
                <w:szCs w:val="18"/>
              </w:rPr>
              <w:t xml:space="preserve"> The study estimated the proportion of target population who would be eligible for each of the interventions according to the prevalence of falls risk factors that defined eligibility: exercise for mobile </w:t>
            </w:r>
            <w:r w:rsidR="00FC3C3B" w:rsidRPr="004C78D8">
              <w:rPr>
                <w:sz w:val="18"/>
                <w:szCs w:val="18"/>
              </w:rPr>
              <w:t>older</w:t>
            </w:r>
            <w:r w:rsidR="006F0785" w:rsidRPr="004C78D8">
              <w:rPr>
                <w:sz w:val="18"/>
                <w:szCs w:val="18"/>
              </w:rPr>
              <w:t xml:space="preserve"> without disability (65.8%); HAM for frail </w:t>
            </w:r>
            <w:r w:rsidR="00FC3C3B" w:rsidRPr="004C78D8">
              <w:rPr>
                <w:sz w:val="18"/>
                <w:szCs w:val="18"/>
              </w:rPr>
              <w:t>older</w:t>
            </w:r>
            <w:r w:rsidR="006F0785" w:rsidRPr="004C78D8">
              <w:rPr>
                <w:sz w:val="18"/>
                <w:szCs w:val="18"/>
              </w:rPr>
              <w:t xml:space="preserve"> with disability (16.9%); vitamin D for women with fracture risk factors (52.9% of female); psychotropics withdrawal for psychotropic users (11.8%); and gait stabilizers for mobile seniors without disability (65.8%). However, the falls risk in the model was determined only by age, sex and MA falls history. Hence, different intervention subgroups had similar falls risk despite contrasting risk factor profiles.</w:t>
            </w:r>
          </w:p>
          <w:p w14:paraId="520C1E6A" w14:textId="1663BB87" w:rsidR="006F0785" w:rsidRPr="004C78D8" w:rsidRDefault="008441E1" w:rsidP="00FB7C1F">
            <w:pPr>
              <w:rPr>
                <w:sz w:val="18"/>
                <w:szCs w:val="18"/>
              </w:rPr>
            </w:pPr>
            <w:r w:rsidRPr="004C78D8">
              <w:rPr>
                <w:sz w:val="18"/>
                <w:szCs w:val="18"/>
                <w:vertAlign w:val="superscript"/>
              </w:rPr>
              <w:t>12</w:t>
            </w:r>
            <w:r w:rsidR="006F0785" w:rsidRPr="004C78D8">
              <w:rPr>
                <w:sz w:val="18"/>
                <w:szCs w:val="18"/>
                <w:vertAlign w:val="superscript"/>
              </w:rPr>
              <w:t xml:space="preserve"> </w:t>
            </w:r>
            <w:r w:rsidR="006F0785" w:rsidRPr="004C78D8">
              <w:rPr>
                <w:sz w:val="18"/>
                <w:szCs w:val="18"/>
              </w:rPr>
              <w:t xml:space="preserve">HAM targeting subgroup with history of MA fall. </w:t>
            </w:r>
          </w:p>
          <w:p w14:paraId="35F7995B" w14:textId="15249774" w:rsidR="006F0785" w:rsidRPr="004C78D8" w:rsidRDefault="008441E1" w:rsidP="00FB7C1F">
            <w:pPr>
              <w:rPr>
                <w:sz w:val="18"/>
                <w:szCs w:val="18"/>
              </w:rPr>
            </w:pPr>
            <w:r w:rsidRPr="004C78D8">
              <w:rPr>
                <w:sz w:val="18"/>
                <w:szCs w:val="18"/>
                <w:vertAlign w:val="superscript"/>
              </w:rPr>
              <w:t>13</w:t>
            </w:r>
            <w:r w:rsidR="006F0785" w:rsidRPr="004C78D8">
              <w:rPr>
                <w:sz w:val="18"/>
                <w:szCs w:val="18"/>
              </w:rPr>
              <w:t xml:space="preserve"> HAM targeting subgroup without history of MA fall. </w:t>
            </w:r>
          </w:p>
        </w:tc>
      </w:tr>
    </w:tbl>
    <w:p w14:paraId="6F0455AA" w14:textId="77777777" w:rsidR="006F0785" w:rsidRPr="004C78D8" w:rsidRDefault="006F0785" w:rsidP="00FB7C1F">
      <w:pPr>
        <w:sectPr w:rsidR="006F0785" w:rsidRPr="004C78D8" w:rsidSect="006F0785">
          <w:pgSz w:w="16838" w:h="11906" w:orient="landscape"/>
          <w:pgMar w:top="1440" w:right="1440" w:bottom="1440" w:left="1440" w:header="708" w:footer="708" w:gutter="0"/>
          <w:cols w:space="708"/>
          <w:docGrid w:linePitch="360"/>
        </w:sectPr>
      </w:pPr>
    </w:p>
    <w:p w14:paraId="1D9E9BA6" w14:textId="187AA700" w:rsidR="006F0785" w:rsidRPr="004C78D8" w:rsidRDefault="001F595E" w:rsidP="00FB7C1F">
      <w:r w:rsidRPr="004C78D8">
        <w:lastRenderedPageBreak/>
        <w:t>All models that conducted CUA except Eldridge (2005) produced ICER for at least one intervention relative to no intervention or usual care that can be deemed cost-effective under the NICE threshold. In the order of increasing ICER values, these interventions were:</w:t>
      </w:r>
    </w:p>
    <w:p w14:paraId="34656C7D" w14:textId="7541CEE8" w:rsidR="001F595E" w:rsidRPr="004C78D8" w:rsidRDefault="001F595E" w:rsidP="00FB7C1F">
      <w:pPr>
        <w:pStyle w:val="ListParagraph"/>
        <w:numPr>
          <w:ilvl w:val="0"/>
          <w:numId w:val="11"/>
        </w:numPr>
      </w:pPr>
      <w:r w:rsidRPr="004C78D8">
        <w:t>Johansson (2008): Combined multifactorial and environmental intervention</w:t>
      </w:r>
      <w:r w:rsidR="005112B5" w:rsidRPr="004C78D8">
        <w:t xml:space="preserve"> for age 65+</w:t>
      </w:r>
    </w:p>
    <w:p w14:paraId="562A0299" w14:textId="5820DF77" w:rsidR="001F595E" w:rsidRPr="004C78D8" w:rsidRDefault="001F595E" w:rsidP="00FB7C1F">
      <w:pPr>
        <w:pStyle w:val="ListParagraph"/>
        <w:numPr>
          <w:ilvl w:val="0"/>
          <w:numId w:val="11"/>
        </w:numPr>
      </w:pPr>
      <w:r w:rsidRPr="004C78D8">
        <w:t>RCN (2005): Multifactorial intervention for high-risk group</w:t>
      </w:r>
      <w:r w:rsidR="005112B5" w:rsidRPr="004C78D8">
        <w:t xml:space="preserve"> aged 60+</w:t>
      </w:r>
    </w:p>
    <w:p w14:paraId="45D3BC52" w14:textId="375E5B2E" w:rsidR="001F595E" w:rsidRPr="004C78D8" w:rsidRDefault="001F595E" w:rsidP="00FB7C1F">
      <w:pPr>
        <w:pStyle w:val="ListParagraph"/>
        <w:numPr>
          <w:ilvl w:val="0"/>
          <w:numId w:val="11"/>
        </w:numPr>
      </w:pPr>
      <w:r w:rsidRPr="004C78D8">
        <w:t>Nshimyumukiza (2013): General physical activity promotion among women (without population-level fracture risk screening)</w:t>
      </w:r>
      <w:r w:rsidR="005112B5" w:rsidRPr="004C78D8">
        <w:t xml:space="preserve"> aged 65+</w:t>
      </w:r>
    </w:p>
    <w:p w14:paraId="6BEBEF31" w14:textId="76FEA45D" w:rsidR="001F595E" w:rsidRPr="004C78D8" w:rsidRDefault="001F595E" w:rsidP="00FB7C1F">
      <w:pPr>
        <w:pStyle w:val="ListParagraph"/>
        <w:numPr>
          <w:ilvl w:val="0"/>
          <w:numId w:val="11"/>
        </w:numPr>
      </w:pPr>
      <w:r w:rsidRPr="004C78D8">
        <w:t>Honkanen (2006): Hip protector use for women aged 80 or 85 at baseline and men aged 85</w:t>
      </w:r>
    </w:p>
    <w:p w14:paraId="21F47B26" w14:textId="23975057" w:rsidR="001F595E" w:rsidRPr="004C78D8" w:rsidRDefault="001F595E" w:rsidP="00FB7C1F">
      <w:pPr>
        <w:pStyle w:val="ListParagraph"/>
        <w:numPr>
          <w:ilvl w:val="0"/>
          <w:numId w:val="11"/>
        </w:numPr>
      </w:pPr>
      <w:r w:rsidRPr="004C78D8">
        <w:t>Wilson (2017): HAM for state-level population with or without MA falls history</w:t>
      </w:r>
      <w:r w:rsidR="005112B5" w:rsidRPr="004C78D8">
        <w:t xml:space="preserve"> aged 65+</w:t>
      </w:r>
    </w:p>
    <w:p w14:paraId="63AEBC0B" w14:textId="7F27505D" w:rsidR="001F595E" w:rsidRPr="004C78D8" w:rsidRDefault="001F595E" w:rsidP="00FB7C1F">
      <w:pPr>
        <w:pStyle w:val="ListParagraph"/>
        <w:numPr>
          <w:ilvl w:val="0"/>
          <w:numId w:val="11"/>
        </w:numPr>
      </w:pPr>
      <w:r w:rsidRPr="004C78D8">
        <w:t>Deverall (2018): Home exercise and peer-led group exercise</w:t>
      </w:r>
      <w:r w:rsidR="005112B5" w:rsidRPr="004C78D8">
        <w:t xml:space="preserve"> for age 65+</w:t>
      </w:r>
    </w:p>
    <w:p w14:paraId="5737762F" w14:textId="616F6E98" w:rsidR="001F595E" w:rsidRPr="004C78D8" w:rsidRDefault="001F595E" w:rsidP="00FB7C1F">
      <w:pPr>
        <w:pStyle w:val="ListParagraph"/>
        <w:numPr>
          <w:ilvl w:val="0"/>
          <w:numId w:val="11"/>
        </w:numPr>
      </w:pPr>
      <w:r w:rsidRPr="004C78D8">
        <w:t>Pega (2016): HAM for national population with or without MA falls history</w:t>
      </w:r>
      <w:r w:rsidR="005112B5" w:rsidRPr="004C78D8">
        <w:t xml:space="preserve"> aged 65+</w:t>
      </w:r>
    </w:p>
    <w:p w14:paraId="760CBC2D" w14:textId="22461BDC" w:rsidR="001F595E" w:rsidRPr="004C78D8" w:rsidRDefault="001F595E" w:rsidP="00FB7C1F">
      <w:pPr>
        <w:pStyle w:val="ListParagraph"/>
        <w:numPr>
          <w:ilvl w:val="0"/>
          <w:numId w:val="11"/>
        </w:numPr>
      </w:pPr>
      <w:r w:rsidRPr="004C78D8">
        <w:t>Zarca (2014): Vitamin D screening followed by supplementation</w:t>
      </w:r>
      <w:r w:rsidR="005112B5" w:rsidRPr="004C78D8">
        <w:t xml:space="preserve"> for age 65+</w:t>
      </w:r>
    </w:p>
    <w:p w14:paraId="4DC38812" w14:textId="0A0BA87D" w:rsidR="001F595E" w:rsidRPr="004C78D8" w:rsidRDefault="001F595E" w:rsidP="00FB7C1F">
      <w:pPr>
        <w:pStyle w:val="ListParagraph"/>
        <w:numPr>
          <w:ilvl w:val="0"/>
          <w:numId w:val="11"/>
        </w:numPr>
      </w:pPr>
      <w:r w:rsidRPr="004C78D8">
        <w:t>RCN (2005): Exercise for high-risk group</w:t>
      </w:r>
      <w:r w:rsidR="005112B5" w:rsidRPr="004C78D8">
        <w:t xml:space="preserve"> aged 60+</w:t>
      </w:r>
    </w:p>
    <w:p w14:paraId="500E265A" w14:textId="1BF2803D" w:rsidR="001F595E" w:rsidRPr="004C78D8" w:rsidRDefault="001F595E" w:rsidP="00FB7C1F">
      <w:pPr>
        <w:pStyle w:val="ListParagraph"/>
        <w:numPr>
          <w:ilvl w:val="0"/>
          <w:numId w:val="11"/>
        </w:numPr>
      </w:pPr>
      <w:r w:rsidRPr="004C78D8">
        <w:t>Farag (2015): Non-specific intervention of £420 per-participant cost and 25% reduction in risk</w:t>
      </w:r>
      <w:r w:rsidR="005112B5" w:rsidRPr="004C78D8">
        <w:t xml:space="preserve"> for age 65+</w:t>
      </w:r>
    </w:p>
    <w:p w14:paraId="12B65DAE" w14:textId="326F82E0" w:rsidR="001F595E" w:rsidRPr="004C78D8" w:rsidRDefault="001F595E" w:rsidP="00FB7C1F">
      <w:pPr>
        <w:pStyle w:val="ListParagraph"/>
        <w:numPr>
          <w:ilvl w:val="0"/>
          <w:numId w:val="11"/>
        </w:numPr>
      </w:pPr>
      <w:r w:rsidRPr="004C78D8">
        <w:t>Church (2012): Tai Chi</w:t>
      </w:r>
      <w:r w:rsidR="005112B5" w:rsidRPr="004C78D8">
        <w:t xml:space="preserve"> for age 65+</w:t>
      </w:r>
    </w:p>
    <w:p w14:paraId="67DFFA1C" w14:textId="3AC4EE5F" w:rsidR="001F595E" w:rsidRPr="004C78D8" w:rsidRDefault="001F595E" w:rsidP="00FB7C1F">
      <w:pPr>
        <w:rPr>
          <w:rFonts w:cs="Times New Roman"/>
        </w:rPr>
      </w:pPr>
      <w:r w:rsidRPr="004C78D8">
        <w:rPr>
          <w:rFonts w:cs="Times New Roman"/>
        </w:rPr>
        <w:t>Given these interventions, a key decisional factor is their aggregate impacts determined by their reaches. The combined intervention in Johansson (2008) arguably has the greatest reach since it sets no risk-based eligibility criteria for multifactorial intervention, and its environmental components reduce risk factors independently of older people’s demand. Therefore, the decision-maker should consult stakeholders to determine the local scalability of the combined intervention.</w:t>
      </w:r>
    </w:p>
    <w:p w14:paraId="2FF995CB" w14:textId="2553661D" w:rsidR="001F595E" w:rsidRPr="004C78D8" w:rsidRDefault="001F595E" w:rsidP="00FB7C1F">
      <w:pPr>
        <w:rPr>
          <w:rFonts w:cs="Times New Roman"/>
        </w:rPr>
      </w:pPr>
      <w:r w:rsidRPr="004C78D8">
        <w:rPr>
          <w:rFonts w:cs="Times New Roman"/>
        </w:rPr>
        <w:t xml:space="preserve">Consideration of aggregate impacts likewise shows that HAM in Pega (2016) and Wilson (2017) should not be targeted at those with MA falls history unless there are significant budget or capacity constraints: the universal approach remains highly cost-effective and produces greater aggregate impact than the targeted approach. In Honkanen (2006), the sharp disparity in </w:t>
      </w:r>
      <w:r w:rsidR="00B93B4C" w:rsidRPr="004C78D8">
        <w:rPr>
          <w:rFonts w:cs="Times New Roman"/>
        </w:rPr>
        <w:t>ICERs</w:t>
      </w:r>
      <w:r w:rsidRPr="004C78D8">
        <w:rPr>
          <w:rFonts w:cs="Times New Roman"/>
        </w:rPr>
        <w:t xml:space="preserve"> across baseline age subgroups justifies the age-based targeting of hip protector use, but the lack of age-related risk progression in the Markov cohort model may have disadvantaged the younger groups. In Zarca (2014), the different reaches of alternative strategies were not clearly specified, with outcomes (incremental costs and QALYs) being reported at per-participant rates only. Universal vitamin D supplementation generated less favourable per-participant outcomes than targeted supplementation but may have produced greater aggregate benefits, especially when the model allows individuals with sufficient baseline vitamin D level (75 nmol/L) to derive fracture risk reductions from further supplementation (up to 105 nmol/L). The study’s conclusion that targeted strategies are preferable to universal supplementation would be misleading if only per-participant outcomes were compared.</w:t>
      </w:r>
    </w:p>
    <w:p w14:paraId="4BAA25E0" w14:textId="195DFD87" w:rsidR="001F595E" w:rsidRPr="004C78D8" w:rsidRDefault="00CD4FAD" w:rsidP="00FB7C1F">
      <w:pPr>
        <w:rPr>
          <w:rFonts w:cs="Times New Roman"/>
        </w:rPr>
      </w:pPr>
      <w:r w:rsidRPr="004C78D8">
        <w:rPr>
          <w:rFonts w:cs="Times New Roman"/>
        </w:rPr>
        <w:t>Eldridge (2005) demonstrated how considerations of cost-per-unit ratio and aggregate impact are in reality closely linked. The cost-effectiveness of the multi-pathway intervention was poor with 40% probability of it being cost-effective vs. usual care under the threshold of £30,000 per QALY (ICER point estimate was not reported). The study attributed this to low intervention uptake (6.5% among eligible population) which interacted with the substantial fixed intervention costs to worsen the cost-effectiveness. Hence, the uptake rate was the key policy variable: the model estimated that 100% screening uptake would reduce the number of fallers by 11.3% over one year compared to 2.8% under the base case. The potential impact on the ICER was not reported but can be anticipated to be highly positive. The study recommended a health promotion campaign to increase the uptake; the decision-maker should likewise consider investments in auxiliary implementation strategies.</w:t>
      </w:r>
    </w:p>
    <w:p w14:paraId="45D3D246" w14:textId="6A457DE9" w:rsidR="00CD4FAD" w:rsidRPr="004C78D8" w:rsidRDefault="00CD4FAD" w:rsidP="00FB7C1F">
      <w:pPr>
        <w:rPr>
          <w:rFonts w:cs="Times New Roman"/>
        </w:rPr>
      </w:pPr>
      <w:r w:rsidRPr="004C78D8">
        <w:rPr>
          <w:rFonts w:cs="Times New Roman"/>
        </w:rPr>
        <w:t xml:space="preserve">Regarding intervention impact on social inequities of health, Deverall (2018), Pega (2016), and Wilson (2017) presented subgroup results across ethnicity (Maori vs. non-Maori) and found higher ICERs and lower health gains for Maori. The HAM and exercise interventions hence </w:t>
      </w:r>
      <w:r w:rsidRPr="004C78D8">
        <w:rPr>
          <w:rFonts w:cs="Times New Roman"/>
          <w:i/>
          <w:iCs/>
        </w:rPr>
        <w:t xml:space="preserve">worsened </w:t>
      </w:r>
      <w:r w:rsidRPr="004C78D8">
        <w:rPr>
          <w:rFonts w:cs="Times New Roman"/>
        </w:rPr>
        <w:t xml:space="preserve">the health inequity </w:t>
      </w:r>
      <w:r w:rsidRPr="004C78D8">
        <w:rPr>
          <w:rFonts w:cs="Times New Roman"/>
        </w:rPr>
        <w:lastRenderedPageBreak/>
        <w:t>between ethnic groups relative to usual care, and this finding may generalise to other settings with similar social disparities in health opportunities. The decision-maker could choose to permit this increase in health inequity or design alternative strateg</w:t>
      </w:r>
      <w:r w:rsidR="00677414" w:rsidRPr="004C78D8">
        <w:rPr>
          <w:rFonts w:cs="Times New Roman"/>
        </w:rPr>
        <w:t>ies</w:t>
      </w:r>
      <w:r w:rsidRPr="004C78D8">
        <w:rPr>
          <w:rFonts w:cs="Times New Roman"/>
        </w:rPr>
        <w:t xml:space="preserve"> that generate equal or greater health gain</w:t>
      </w:r>
      <w:r w:rsidR="00677414" w:rsidRPr="004C78D8">
        <w:rPr>
          <w:rFonts w:cs="Times New Roman"/>
        </w:rPr>
        <w:t>s</w:t>
      </w:r>
      <w:r w:rsidRPr="004C78D8">
        <w:rPr>
          <w:rFonts w:cs="Times New Roman"/>
        </w:rPr>
        <w:t xml:space="preserve"> for the socially deprived group. </w:t>
      </w:r>
      <w:r w:rsidR="00677414" w:rsidRPr="004C78D8">
        <w:rPr>
          <w:rFonts w:cs="Times New Roman"/>
        </w:rPr>
        <w:t>As noted,</w:t>
      </w:r>
      <w:r w:rsidRPr="004C78D8">
        <w:rPr>
          <w:rFonts w:cs="Times New Roman"/>
        </w:rPr>
        <w:t xml:space="preserve"> </w:t>
      </w:r>
      <w:r w:rsidR="00677414" w:rsidRPr="004C78D8">
        <w:rPr>
          <w:rFonts w:cs="Times New Roman"/>
        </w:rPr>
        <w:t>s</w:t>
      </w:r>
      <w:r w:rsidRPr="004C78D8">
        <w:rPr>
          <w:rFonts w:cs="Times New Roman"/>
        </w:rPr>
        <w:t>uch s</w:t>
      </w:r>
      <w:r w:rsidR="00677414" w:rsidRPr="004C78D8">
        <w:rPr>
          <w:rFonts w:cs="Times New Roman"/>
        </w:rPr>
        <w:t>trategie</w:t>
      </w:r>
      <w:r w:rsidRPr="004C78D8">
        <w:rPr>
          <w:rFonts w:cs="Times New Roman"/>
        </w:rPr>
        <w:t>s were not explored by the models</w:t>
      </w:r>
      <w:r w:rsidR="00677414" w:rsidRPr="004C78D8">
        <w:rPr>
          <w:rFonts w:cs="Times New Roman"/>
        </w:rPr>
        <w:t>, although they identified LED problem as</w:t>
      </w:r>
      <w:r w:rsidRPr="004C78D8">
        <w:rPr>
          <w:rFonts w:cs="Times New Roman"/>
        </w:rPr>
        <w:t xml:space="preserve"> the main cause of the inequitable impact. This presents a rationale for commissioning </w:t>
      </w:r>
      <w:r w:rsidR="00677414" w:rsidRPr="004C78D8">
        <w:rPr>
          <w:rFonts w:cs="Times New Roman"/>
        </w:rPr>
        <w:t xml:space="preserve">supplementary </w:t>
      </w:r>
      <w:r w:rsidRPr="004C78D8">
        <w:rPr>
          <w:rFonts w:cs="Times New Roman"/>
        </w:rPr>
        <w:t xml:space="preserve">interventions at earlier life stages to reduce the </w:t>
      </w:r>
      <w:r w:rsidR="00677414" w:rsidRPr="004C78D8">
        <w:rPr>
          <w:rFonts w:cs="Times New Roman"/>
        </w:rPr>
        <w:t>LED problem</w:t>
      </w:r>
      <w:r w:rsidRPr="004C78D8">
        <w:rPr>
          <w:rFonts w:cs="Times New Roman"/>
        </w:rPr>
        <w:t>.</w:t>
      </w:r>
    </w:p>
    <w:p w14:paraId="2C4E07FE" w14:textId="48956A2C" w:rsidR="00CD4FAD" w:rsidRPr="004C78D8" w:rsidRDefault="00CD4FAD" w:rsidP="00FB7C1F">
      <w:pPr>
        <w:rPr>
          <w:rFonts w:cs="Times New Roman"/>
        </w:rPr>
      </w:pPr>
    </w:p>
    <w:p w14:paraId="2716FE17" w14:textId="0AAFB76E" w:rsidR="00CD4FAD" w:rsidRPr="004C78D8" w:rsidRDefault="005332CF" w:rsidP="00FB7C1F">
      <w:pPr>
        <w:pStyle w:val="Heading2"/>
        <w:jc w:val="left"/>
      </w:pPr>
      <w:bookmarkStart w:id="125" w:name="_Toc93566880"/>
      <w:bookmarkStart w:id="126" w:name="_Toc111630762"/>
      <w:r w:rsidRPr="004C78D8">
        <w:t>4</w:t>
      </w:r>
      <w:r w:rsidR="00CD4FAD" w:rsidRPr="004C78D8">
        <w:t>.6 Systematic review results part 3: methodological and commissioning recommendations</w:t>
      </w:r>
      <w:bookmarkEnd w:id="125"/>
      <w:bookmarkEnd w:id="126"/>
    </w:p>
    <w:p w14:paraId="65524BBC" w14:textId="38C8E621" w:rsidR="00CD4FAD" w:rsidRPr="004C78D8" w:rsidRDefault="00CD4FAD" w:rsidP="00FB7C1F">
      <w:r w:rsidRPr="004C78D8">
        <w:t xml:space="preserve">Methodological and commissioning recommendations are presented in Sections </w:t>
      </w:r>
      <w:r w:rsidR="005332CF" w:rsidRPr="004C78D8">
        <w:t>4</w:t>
      </w:r>
      <w:r w:rsidRPr="004C78D8">
        <w:t xml:space="preserve">.6.1 and </w:t>
      </w:r>
      <w:r w:rsidR="005332CF" w:rsidRPr="004C78D8">
        <w:t>4</w:t>
      </w:r>
      <w:r w:rsidRPr="004C78D8">
        <w:t>.6.2, respectively.</w:t>
      </w:r>
    </w:p>
    <w:p w14:paraId="55FC5F1C" w14:textId="0E314992" w:rsidR="00CD4FAD" w:rsidRPr="004C78D8" w:rsidRDefault="005332CF" w:rsidP="00FB7C1F">
      <w:pPr>
        <w:pStyle w:val="Heading3"/>
      </w:pPr>
      <w:bookmarkStart w:id="127" w:name="_Toc111630763"/>
      <w:r w:rsidRPr="004C78D8">
        <w:t>4</w:t>
      </w:r>
      <w:r w:rsidR="00CD4FAD" w:rsidRPr="004C78D8">
        <w:t>.6.1 Methodological recommendations</w:t>
      </w:r>
      <w:bookmarkEnd w:id="127"/>
    </w:p>
    <w:p w14:paraId="0BD6D8AF" w14:textId="08321C0B" w:rsidR="00CD4FAD" w:rsidRPr="004C78D8" w:rsidRDefault="00CD4FAD" w:rsidP="00FB7C1F">
      <w:r w:rsidRPr="004C78D8">
        <w:t xml:space="preserve">Thirty recommendations in total </w:t>
      </w:r>
      <w:r w:rsidR="008C453D" w:rsidRPr="004C78D8">
        <w:t>we</w:t>
      </w:r>
      <w:r w:rsidRPr="004C78D8">
        <w:t xml:space="preserve">re grouped under the </w:t>
      </w:r>
      <w:r w:rsidR="008C453D" w:rsidRPr="004C78D8">
        <w:t>following modelling</w:t>
      </w:r>
      <w:r w:rsidRPr="004C78D8">
        <w:t xml:space="preserve"> categories: falls epidemiology (Section </w:t>
      </w:r>
      <w:r w:rsidR="005332CF" w:rsidRPr="004C78D8">
        <w:t>4</w:t>
      </w:r>
      <w:r w:rsidRPr="004C78D8">
        <w:t xml:space="preserve">.6.1.1); </w:t>
      </w:r>
      <w:r w:rsidR="00B66CF6" w:rsidRPr="004C78D8">
        <w:t xml:space="preserve">falls prevention interventions (Section </w:t>
      </w:r>
      <w:r w:rsidR="005332CF" w:rsidRPr="004C78D8">
        <w:t>4</w:t>
      </w:r>
      <w:r w:rsidR="00B66CF6" w:rsidRPr="004C78D8">
        <w:t xml:space="preserve">.6.1.2); key challenges for public health economic modelling (Section </w:t>
      </w:r>
      <w:r w:rsidR="005332CF" w:rsidRPr="004C78D8">
        <w:t>4</w:t>
      </w:r>
      <w:r w:rsidR="00B66CF6" w:rsidRPr="004C78D8">
        <w:t xml:space="preserve">.6.1.3); </w:t>
      </w:r>
      <w:r w:rsidR="00067526" w:rsidRPr="004C78D8">
        <w:t xml:space="preserve">and </w:t>
      </w:r>
      <w:r w:rsidR="00B66CF6" w:rsidRPr="004C78D8">
        <w:t xml:space="preserve">evaluation methods (Section </w:t>
      </w:r>
      <w:r w:rsidR="005332CF" w:rsidRPr="004C78D8">
        <w:t>4</w:t>
      </w:r>
      <w:r w:rsidR="00B66CF6" w:rsidRPr="004C78D8">
        <w:t>.6.1.4).</w:t>
      </w:r>
    </w:p>
    <w:p w14:paraId="3B97801A" w14:textId="056A839A" w:rsidR="00B66CF6" w:rsidRPr="004C78D8" w:rsidRDefault="005332CF" w:rsidP="00FB7C1F">
      <w:pPr>
        <w:pStyle w:val="Heading4"/>
      </w:pPr>
      <w:r w:rsidRPr="004C78D8">
        <w:t>4</w:t>
      </w:r>
      <w:r w:rsidR="00B66CF6" w:rsidRPr="004C78D8">
        <w:t>.6.1.1 Falls epidemiolog</w:t>
      </w:r>
      <w:r w:rsidR="00B43DDE" w:rsidRPr="004C78D8">
        <w:t>y</w:t>
      </w:r>
    </w:p>
    <w:p w14:paraId="1D05D1DA" w14:textId="5A6B7DCD" w:rsidR="00B66CF6" w:rsidRPr="004C78D8" w:rsidRDefault="00B43DDE" w:rsidP="00FB7C1F">
      <w:pPr>
        <w:pStyle w:val="ListParagraph"/>
        <w:numPr>
          <w:ilvl w:val="0"/>
          <w:numId w:val="37"/>
        </w:numPr>
      </w:pPr>
      <w:r w:rsidRPr="004C78D8">
        <w:t>Clearly state the type and source of data used to characterise the baseline falls risk and discuss the strengths and limitations of choice.</w:t>
      </w:r>
    </w:p>
    <w:p w14:paraId="68C5FB3C" w14:textId="7972B8A6" w:rsidR="00B43DDE" w:rsidRPr="004C78D8" w:rsidRDefault="00B43DDE" w:rsidP="00FB7C1F">
      <w:pPr>
        <w:pStyle w:val="ListParagraph"/>
        <w:numPr>
          <w:ilvl w:val="0"/>
          <w:numId w:val="37"/>
        </w:numPr>
      </w:pPr>
      <w:r w:rsidRPr="004C78D8">
        <w:t>Use appropriate methods to characterise recurrent falls, particularly for individual-transitioning models with annual cycles.</w:t>
      </w:r>
    </w:p>
    <w:p w14:paraId="4122C0D3" w14:textId="6C9F1C7F" w:rsidR="00B43DDE" w:rsidRPr="004C78D8" w:rsidRDefault="00B43DDE" w:rsidP="00FB7C1F">
      <w:pPr>
        <w:pStyle w:val="ListParagraph"/>
        <w:numPr>
          <w:ilvl w:val="0"/>
          <w:numId w:val="37"/>
        </w:numPr>
      </w:pPr>
      <w:r w:rsidRPr="004C78D8">
        <w:t xml:space="preserve">Maximise the range of falls risk factors modelled including those highlighted by NICE CG161 (falls history, fear of falling, home hazards, gait deficit, balance deficit, mobility impairment, visual impairment, cognitive impairment, urinary incontinence) </w:t>
      </w:r>
      <w:r w:rsidRPr="004C78D8">
        <w:fldChar w:fldCharType="begin"/>
      </w:r>
      <w:r w:rsidR="00F255A9"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Pr="004C78D8">
        <w:fldChar w:fldCharType="separate"/>
      </w:r>
      <w:r w:rsidR="00F255A9" w:rsidRPr="004C78D8">
        <w:rPr>
          <w:noProof/>
        </w:rPr>
        <w:t>[13]</w:t>
      </w:r>
      <w:r w:rsidRPr="004C78D8">
        <w:fldChar w:fldCharType="end"/>
      </w:r>
      <w:r w:rsidRPr="004C78D8">
        <w:t xml:space="preserve"> and multivariate frailty </w:t>
      </w:r>
      <w:r w:rsidRPr="004C78D8">
        <w:fldChar w:fldCharType="begin">
          <w:fldData xml:space="preserve">PEVuZE5vdGU+PENpdGU+PEF1dGhvcj5MaTwvQXV0aG9yPjxZZWFyPjIwMTQ8L1llYXI+PFJlY051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</w:fldData>
        </w:fldChar>
      </w:r>
      <w:r w:rsidR="00C630FC" w:rsidRPr="004C78D8">
        <w:instrText xml:space="preserve"> ADDIN EN.CITE </w:instrText>
      </w:r>
      <w:r w:rsidR="00C630FC" w:rsidRPr="004C78D8">
        <w:fldChar w:fldCharType="begin">
          <w:fldData xml:space="preserve">PEVuZE5vdGU+PENpdGU+PEF1dGhvcj5MaTwvQXV0aG9yPjxZZWFyPjIwMTQ8L1llYXI+PFJlY051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[370]</w:t>
      </w:r>
      <w:r w:rsidRPr="004C78D8">
        <w:fldChar w:fldCharType="end"/>
      </w:r>
      <w:r w:rsidRPr="004C78D8">
        <w:t>. Use individual-level data where available.</w:t>
      </w:r>
    </w:p>
    <w:p w14:paraId="0C3A0062" w14:textId="35DA22C2" w:rsidR="00B43DDE" w:rsidRPr="004C78D8" w:rsidRDefault="00B43DDE" w:rsidP="00FB7C1F">
      <w:pPr>
        <w:pStyle w:val="ListParagraph"/>
        <w:numPr>
          <w:ilvl w:val="0"/>
          <w:numId w:val="37"/>
        </w:numPr>
      </w:pPr>
      <w:r w:rsidRPr="004C78D8">
        <w:t>Maximise the range of fall</w:t>
      </w:r>
      <w:r w:rsidR="003F5ADC" w:rsidRPr="004C78D8">
        <w:t>-related</w:t>
      </w:r>
      <w:r w:rsidRPr="004C78D8">
        <w:t xml:space="preserve"> health consequences modelled including the long-term impact on risks of mortality and health/functional decline.</w:t>
      </w:r>
    </w:p>
    <w:p w14:paraId="0EA1FB0B" w14:textId="3729E4FC" w:rsidR="00B43DDE" w:rsidRPr="004C78D8" w:rsidRDefault="00B43DDE" w:rsidP="00FB7C1F">
      <w:pPr>
        <w:pStyle w:val="ListParagraph"/>
        <w:numPr>
          <w:ilvl w:val="0"/>
          <w:numId w:val="37"/>
        </w:numPr>
      </w:pPr>
      <w:r w:rsidRPr="004C78D8">
        <w:t>For CUA, distinguish between acute and long-term impacts of fall-related events on health utility and discern whether assigning utility decrement (absolute or proportional) or level is more appropriate for each impact.</w:t>
      </w:r>
    </w:p>
    <w:p w14:paraId="2C573CBB" w14:textId="0FA984D9" w:rsidR="008A764C" w:rsidRPr="004C78D8" w:rsidRDefault="00B43DDE" w:rsidP="00FB7C1F">
      <w:pPr>
        <w:pStyle w:val="ListParagraph"/>
        <w:numPr>
          <w:ilvl w:val="0"/>
          <w:numId w:val="37"/>
        </w:numPr>
      </w:pPr>
      <w:r w:rsidRPr="004C78D8">
        <w:t xml:space="preserve">Maximise the range of fall-related economic consequences modelled including comorbidity care costs associated with the long-term mortality and morbidity impacts of falls. Where data permit, incorporate all-cause care costs which capture the full care consequences of falls, while also reporting fall-related care costs </w:t>
      </w:r>
      <w:r w:rsidRPr="004C78D8">
        <w:fldChar w:fldCharType="begin"/>
      </w:r>
      <w:r w:rsidR="00513646" w:rsidRPr="004C78D8">
        <w:instrText xml:space="preserve"> ADDIN EN.CITE &lt;EndNote&gt;&lt;Cite&gt;&lt;Author&gt;Davis&lt;/Author&gt;&lt;Year&gt;2011&lt;/Year&gt;&lt;RecNum&gt;286&lt;/RecNum&gt;&lt;DisplayText&gt;[105]&lt;/DisplayText&gt;&lt;record&gt;&lt;rec-number&gt;286&lt;/rec-number&gt;&lt;foreign-keys&gt;&lt;key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Pr="004C78D8">
        <w:fldChar w:fldCharType="separate"/>
      </w:r>
      <w:r w:rsidR="00513646" w:rsidRPr="004C78D8">
        <w:rPr>
          <w:noProof/>
        </w:rPr>
        <w:t>[105]</w:t>
      </w:r>
      <w:r w:rsidRPr="004C78D8">
        <w:fldChar w:fldCharType="end"/>
      </w:r>
      <w:r w:rsidRPr="004C78D8">
        <w:t>.</w:t>
      </w:r>
    </w:p>
    <w:p w14:paraId="61704BA9" w14:textId="624767DC" w:rsidR="00B43DDE" w:rsidRPr="004C78D8" w:rsidRDefault="005332CF" w:rsidP="00FB7C1F">
      <w:pPr>
        <w:pStyle w:val="Heading4"/>
      </w:pPr>
      <w:r w:rsidRPr="004C78D8">
        <w:t>4</w:t>
      </w:r>
      <w:r w:rsidR="00B43DDE" w:rsidRPr="004C78D8">
        <w:t>.6.1.2 Falls prevention interventions</w:t>
      </w:r>
    </w:p>
    <w:p w14:paraId="11BD3740" w14:textId="550FF42C" w:rsidR="00B43DDE" w:rsidRPr="004C78D8" w:rsidRDefault="008A764C" w:rsidP="00FB7C1F">
      <w:pPr>
        <w:pStyle w:val="ListParagraph"/>
        <w:numPr>
          <w:ilvl w:val="0"/>
          <w:numId w:val="38"/>
        </w:numPr>
      </w:pPr>
      <w:r w:rsidRPr="004C78D8">
        <w:t xml:space="preserve">Clearly describe the comparator(s); refrain from using the terms ‘usual care’ and ‘no intervention’ interchangeably and describe the usual care received </w:t>
      </w:r>
      <w:r w:rsidRPr="004C78D8">
        <w:fldChar w:fldCharType="begin"/>
      </w:r>
      <w:r w:rsidR="00513646" w:rsidRPr="004C78D8">
        <w:instrText xml:space="preserve"> ADDIN EN.CITE &lt;EndNote&gt;&lt;Cite&gt;&lt;Author&gt;Davis&lt;/Author&gt;&lt;Year&gt;2011&lt;/Year&gt;&lt;RecNum&gt;286&lt;/RecNum&gt;&lt;DisplayText&gt;[105]&lt;/DisplayText&gt;&lt;record&gt;&lt;rec-number&gt;286&lt;/rec-number&gt;&lt;foreign-keys&gt;&lt;key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Pr="004C78D8">
        <w:fldChar w:fldCharType="separate"/>
      </w:r>
      <w:r w:rsidR="00513646" w:rsidRPr="004C78D8">
        <w:rPr>
          <w:noProof/>
        </w:rPr>
        <w:t>[105]</w:t>
      </w:r>
      <w:r w:rsidRPr="004C78D8">
        <w:fldChar w:fldCharType="end"/>
      </w:r>
      <w:r w:rsidRPr="004C78D8">
        <w:t>.</w:t>
      </w:r>
    </w:p>
    <w:p w14:paraId="59560CB8" w14:textId="5C2850DA" w:rsidR="008A764C" w:rsidRPr="004C78D8" w:rsidRDefault="008A764C" w:rsidP="00FB7C1F">
      <w:pPr>
        <w:pStyle w:val="ListParagraph"/>
        <w:numPr>
          <w:ilvl w:val="0"/>
          <w:numId w:val="38"/>
        </w:numPr>
      </w:pPr>
      <w:r w:rsidRPr="004C78D8">
        <w:t>Clearly state the access pathway(s) – reactive, proactive</w:t>
      </w:r>
      <w:r w:rsidR="00FA213D" w:rsidRPr="004C78D8">
        <w:t>,</w:t>
      </w:r>
      <w:r w:rsidRPr="004C78D8">
        <w:t xml:space="preserve"> or self-referred – for intervention(s) and describe the mechanisms facilitating access (e.g., marketing for self-referred pathway).</w:t>
      </w:r>
    </w:p>
    <w:p w14:paraId="5885F49D" w14:textId="1CA6A589" w:rsidR="008A764C" w:rsidRPr="004C78D8" w:rsidRDefault="008A764C" w:rsidP="00FB7C1F">
      <w:pPr>
        <w:pStyle w:val="ListParagraph"/>
        <w:numPr>
          <w:ilvl w:val="0"/>
          <w:numId w:val="38"/>
        </w:numPr>
      </w:pPr>
      <w:r w:rsidRPr="004C78D8">
        <w:t>Use appropriate methods for modelling the falls risk screening process to identify subgroups within target populations or specific patient groups serving as target populations. Resource-use associated with screening should be appropriately characterised and costed.</w:t>
      </w:r>
    </w:p>
    <w:p w14:paraId="40293E3A" w14:textId="1C6EE796" w:rsidR="008A764C" w:rsidRPr="004C78D8" w:rsidRDefault="008A764C" w:rsidP="00FB7C1F">
      <w:pPr>
        <w:pStyle w:val="ListParagraph"/>
        <w:numPr>
          <w:ilvl w:val="0"/>
          <w:numId w:val="38"/>
        </w:numPr>
      </w:pPr>
      <w:r w:rsidRPr="004C78D8">
        <w:t xml:space="preserve">Maximise the granularity of intervention resources incorporated and costed, including auxiliary implementation resources (see expert guideline for resource types </w:t>
      </w:r>
      <w:r w:rsidRPr="004C78D8">
        <w:fldChar w:fldCharType="begin"/>
      </w:r>
      <w:r w:rsidR="00513646" w:rsidRPr="004C78D8">
        <w:instrText xml:space="preserve"> ADDIN EN.CITE &lt;EndNote&gt;&lt;Cite&gt;&lt;Author&gt;Davis&lt;/Author&gt;&lt;Year&gt;2011&lt;/Year&gt;&lt;RecNum&gt;286&lt;/RecNum&gt;&lt;DisplayText&gt;[105]&lt;/DisplayText&gt;&lt;record&gt;&lt;rec-number&gt;286&lt;/rec-number&gt;&lt;foreign-keys&gt;&lt;key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Pr="004C78D8">
        <w:fldChar w:fldCharType="separate"/>
      </w:r>
      <w:r w:rsidR="00513646" w:rsidRPr="004C78D8">
        <w:rPr>
          <w:noProof/>
        </w:rPr>
        <w:t>[105]</w:t>
      </w:r>
      <w:r w:rsidRPr="004C78D8">
        <w:fldChar w:fldCharType="end"/>
      </w:r>
      <w:r w:rsidRPr="004C78D8">
        <w:t>). Refrain from translating fixed costs into per-participant rates to capture interaction with implementation level.</w:t>
      </w:r>
    </w:p>
    <w:p w14:paraId="092F9591" w14:textId="5A89816C" w:rsidR="008A764C" w:rsidRPr="004C78D8" w:rsidRDefault="008A764C" w:rsidP="00FB7C1F">
      <w:pPr>
        <w:pStyle w:val="ListParagraph"/>
        <w:numPr>
          <w:ilvl w:val="0"/>
          <w:numId w:val="38"/>
        </w:numPr>
      </w:pPr>
      <w:r w:rsidRPr="004C78D8">
        <w:t xml:space="preserve">Ensure that the efficacy metric (i.e., RR or RaR) and fall type match the falls incidence metric (falls risk or rate) and type. Refrain from making assumptions on long-term efficacy duration without adequate evidence </w:t>
      </w:r>
      <w:r w:rsidRPr="004C78D8">
        <w:fldChar w:fldCharType="begin"/>
      </w:r>
      <w:r w:rsidR="00513646" w:rsidRPr="004C78D8">
        <w:instrText xml:space="preserve"> ADDIN EN.CITE &lt;EndNote&gt;&lt;Cite&gt;&lt;Author&gt;Davis&lt;/Author&gt;&lt;Year&gt;2011&lt;/Year&gt;&lt;RecNum&gt;286&lt;/RecNum&gt;&lt;DisplayText&gt;[105]&lt;/DisplayText&gt;&lt;record&gt;&lt;rec-number&gt;286&lt;/rec-number&gt;&lt;foreign-keys&gt;&lt;key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Pr="004C78D8">
        <w:fldChar w:fldCharType="separate"/>
      </w:r>
      <w:r w:rsidR="00513646" w:rsidRPr="004C78D8">
        <w:rPr>
          <w:noProof/>
        </w:rPr>
        <w:t>[105]</w:t>
      </w:r>
      <w:r w:rsidRPr="004C78D8">
        <w:fldChar w:fldCharType="end"/>
      </w:r>
      <w:r w:rsidRPr="004C78D8">
        <w:t>.</w:t>
      </w:r>
    </w:p>
    <w:p w14:paraId="3C7BAC8C" w14:textId="247FE4A8" w:rsidR="008A764C" w:rsidRPr="004C78D8" w:rsidRDefault="008A764C" w:rsidP="00FB7C1F">
      <w:pPr>
        <w:pStyle w:val="ListParagraph"/>
        <w:numPr>
          <w:ilvl w:val="0"/>
          <w:numId w:val="38"/>
        </w:numPr>
      </w:pPr>
      <w:r w:rsidRPr="004C78D8">
        <w:lastRenderedPageBreak/>
        <w:t>Where evidence is available, maximise the range of health effects of interventions modelled beyond falls prevention. These effects include intervention benefits on mortality and comorbidity reduction and intervention side-effects.</w:t>
      </w:r>
    </w:p>
    <w:p w14:paraId="5973CFEE" w14:textId="6868569C" w:rsidR="008A764C" w:rsidRPr="004C78D8" w:rsidRDefault="005332CF" w:rsidP="00FB7C1F">
      <w:pPr>
        <w:pStyle w:val="Heading4"/>
      </w:pPr>
      <w:r w:rsidRPr="004C78D8">
        <w:t>4</w:t>
      </w:r>
      <w:r w:rsidR="008A764C" w:rsidRPr="004C78D8">
        <w:t>.6.1.3 Key challenges for public health economic modelling</w:t>
      </w:r>
    </w:p>
    <w:p w14:paraId="2F869148" w14:textId="0B726F3B" w:rsidR="008A764C" w:rsidRPr="004C78D8" w:rsidRDefault="003015E3" w:rsidP="00FB7C1F">
      <w:r w:rsidRPr="004C78D8">
        <w:t>Sixteen</w:t>
      </w:r>
      <w:r w:rsidR="008A764C" w:rsidRPr="004C78D8">
        <w:t xml:space="preserve"> recommendations </w:t>
      </w:r>
      <w:r w:rsidRPr="004C78D8">
        <w:t xml:space="preserve">for this section </w:t>
      </w:r>
      <w:r w:rsidR="008A764C" w:rsidRPr="004C78D8">
        <w:t>are sub-categorised by the four key challenges.</w:t>
      </w:r>
    </w:p>
    <w:p w14:paraId="549B4097" w14:textId="74A6232D" w:rsidR="008A764C" w:rsidRPr="004C78D8" w:rsidRDefault="008A764C" w:rsidP="00FB7C1F">
      <w:pPr>
        <w:pStyle w:val="Heading5"/>
      </w:pPr>
      <w:r w:rsidRPr="004C78D8">
        <w:t>Capturing non-health outcomes and societal intervention costs</w:t>
      </w:r>
    </w:p>
    <w:p w14:paraId="24A07B79" w14:textId="732CD810" w:rsidR="008A764C" w:rsidRPr="004C78D8" w:rsidRDefault="003015E3" w:rsidP="00FB7C1F">
      <w:pPr>
        <w:pStyle w:val="ListParagraph"/>
        <w:numPr>
          <w:ilvl w:val="0"/>
          <w:numId w:val="39"/>
        </w:numPr>
      </w:pPr>
      <w:r w:rsidRPr="004C78D8">
        <w:t>Consult stakeholders on the range of appropriate outcomes and costs; this will in turn decide the appropriate perspective to take (e.g., public sector, societal). For the societal perspective, see Table 3.4 for the range of potential outcomes and costs.</w:t>
      </w:r>
    </w:p>
    <w:p w14:paraId="1A69E403" w14:textId="6186202B" w:rsidR="003015E3" w:rsidRPr="004C78D8" w:rsidRDefault="003015E3" w:rsidP="00FB7C1F">
      <w:pPr>
        <w:pStyle w:val="ListParagraph"/>
        <w:numPr>
          <w:ilvl w:val="0"/>
          <w:numId w:val="39"/>
        </w:numPr>
      </w:pPr>
      <w:r w:rsidRPr="004C78D8">
        <w:t>If the societal perspective is taken, incorporate balanced sets of outcomes and intervention costs (e.g., productivity gain from intervention matched by time opportunity cost of participation) to avoid over- or under-estimating the cost-effectiveness of the intervention. In the absence of balanced outcome and cost data, a narrower public sector perspective should be used.</w:t>
      </w:r>
    </w:p>
    <w:p w14:paraId="718CF593" w14:textId="26310E17" w:rsidR="003015E3" w:rsidRPr="004C78D8" w:rsidRDefault="003015E3" w:rsidP="00FB7C1F">
      <w:pPr>
        <w:pStyle w:val="ListParagraph"/>
        <w:numPr>
          <w:ilvl w:val="0"/>
          <w:numId w:val="39"/>
        </w:numPr>
      </w:pPr>
      <w:r w:rsidRPr="004C78D8">
        <w:t xml:space="preserve">If the societal perspective is taken, account for sector-specific productive efficiencies and consider the relevance of established/possible cost-effectiveness thresholds </w:t>
      </w:r>
      <w:r w:rsidRPr="004C78D8">
        <w:fldChar w:fldCharType="begin"/>
      </w:r>
      <w:r w:rsidR="00513646" w:rsidRPr="004C78D8">
        <w:instrText xml:space="preserve"> ADDIN EN.CITE &lt;EndNote&gt;&lt;Cite&gt;&lt;Author&gt;Tong&lt;/Author&gt;&lt;Year&gt;2017&lt;/Year&gt;&lt;RecNum&gt;432&lt;/RecNum&gt;&lt;DisplayText&gt;[161]&lt;/DisplayText&gt;&lt;record&gt;&lt;rec-number&gt;432&lt;/rec-number&gt;&lt;foreign-keys&gt;&lt;key app="EN" db-id="tdtrdw9aepptzbefsat599syza29sxsd2wsp" timestamp="1616415999"&gt;432&lt;/key&gt;&lt;/foreign-keys&gt;&lt;ref-type name="Thesis"&gt;32&lt;/ref-type&gt;&lt;contributors&gt;&lt;authors&gt;&lt;author&gt;Tong, Thaison&lt;/author&gt;&lt;/authors&gt;&lt;/contributors&gt;&lt;titles&gt;&lt;title&gt;Broadening the perspective of economic evaluation in health care - A case study in dementia care in the UK&lt;/title&gt;&lt;/titles&gt;&lt;dates&gt;&lt;year&gt;2017&lt;/year&gt;&lt;/dates&gt;&lt;publisher&gt;University of Sheffield&lt;/publisher&gt;&lt;urls&gt;&lt;/urls&gt;&lt;/record&gt;&lt;/Cite&gt;&lt;/EndNote&gt;</w:instrText>
      </w:r>
      <w:r w:rsidRPr="004C78D8">
        <w:fldChar w:fldCharType="separate"/>
      </w:r>
      <w:r w:rsidR="00513646" w:rsidRPr="004C78D8">
        <w:rPr>
          <w:noProof/>
        </w:rPr>
        <w:t>[161]</w:t>
      </w:r>
      <w:r w:rsidRPr="004C78D8">
        <w:fldChar w:fldCharType="end"/>
      </w:r>
      <w:r w:rsidRPr="004C78D8">
        <w:t>.</w:t>
      </w:r>
    </w:p>
    <w:p w14:paraId="7A834F0A" w14:textId="4EEB863A" w:rsidR="003015E3" w:rsidRPr="004C78D8" w:rsidRDefault="003015E3" w:rsidP="00FB7C1F">
      <w:pPr>
        <w:pStyle w:val="Heading5"/>
      </w:pPr>
      <w:r w:rsidRPr="004C78D8">
        <w:t>Considering heterogeneity and dynamic complexity</w:t>
      </w:r>
    </w:p>
    <w:p w14:paraId="4A463FA0" w14:textId="05CF89E6" w:rsidR="008A764C" w:rsidRPr="004C78D8" w:rsidRDefault="003015E3" w:rsidP="00FB7C1F">
      <w:pPr>
        <w:pStyle w:val="ListParagraph"/>
        <w:numPr>
          <w:ilvl w:val="0"/>
          <w:numId w:val="40"/>
        </w:numPr>
      </w:pPr>
      <w:r w:rsidRPr="004C78D8">
        <w:t xml:space="preserve">Incorporate variables depicting geriatric health variation within the same age and sex groups such as the multivariate frailty index </w:t>
      </w:r>
      <w:r w:rsidRPr="004C78D8">
        <w:fldChar w:fldCharType="begin">
          <w:fldData xml:space="preserve">PEVuZE5vdGU+PENpdGU+PEF1dGhvcj5MaTwvQXV0aG9yPjxZZWFyPjIwMTQ8L1llYXI+PFJlY051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</w:fldData>
        </w:fldChar>
      </w:r>
      <w:r w:rsidR="00C630FC" w:rsidRPr="004C78D8">
        <w:instrText xml:space="preserve"> ADDIN EN.CITE </w:instrText>
      </w:r>
      <w:r w:rsidR="00C630FC" w:rsidRPr="004C78D8">
        <w:fldChar w:fldCharType="begin">
          <w:fldData xml:space="preserve">PEVuZE5vdGU+PENpdGU+PEF1dGhvcj5MaTwvQXV0aG9yPjxZZWFyPjIwMTQ8L1llYXI+PFJlY051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[370]</w:t>
      </w:r>
      <w:r w:rsidRPr="004C78D8">
        <w:fldChar w:fldCharType="end"/>
      </w:r>
      <w:r w:rsidRPr="004C78D8">
        <w:t xml:space="preserve">. These can serve as subgroup </w:t>
      </w:r>
      <w:r w:rsidR="005056A1" w:rsidRPr="004C78D8">
        <w:t xml:space="preserve">delineating characteristics </w:t>
      </w:r>
      <w:r w:rsidRPr="004C78D8">
        <w:t>and markers of dynamic geriatric health trajectory.</w:t>
      </w:r>
    </w:p>
    <w:p w14:paraId="59C7FC34" w14:textId="419A5F6F" w:rsidR="003015E3" w:rsidRPr="004C78D8" w:rsidRDefault="003015E3" w:rsidP="00FB7C1F">
      <w:pPr>
        <w:pStyle w:val="ListParagraph"/>
        <w:numPr>
          <w:ilvl w:val="0"/>
          <w:numId w:val="40"/>
        </w:numPr>
      </w:pPr>
      <w:r w:rsidRPr="004C78D8">
        <w:t xml:space="preserve">Intervention rankings can differ according to whether cost-per-unit ratio or aggregate outcome is used as the decision metric </w:t>
      </w:r>
      <w:r w:rsidRPr="004C78D8">
        <w:fldChar w:fldCharType="begin"/>
      </w:r>
      <w:r w:rsidR="00513646" w:rsidRPr="004C78D8">
        <w:instrText xml:space="preserve"> ADDIN EN.CITE &lt;EndNote&gt;&lt;Cite&gt;&lt;Author&gt;Day&lt;/Author&gt;&lt;Year&gt;2009&lt;/Year&gt;&lt;RecNum&gt;346&lt;/RecNum&gt;&lt;DisplayText&gt;[167]&lt;/DisplayText&gt;&lt;record&gt;&lt;rec-number&gt;346&lt;/rec-number&gt;&lt;foreign-keys&gt;&lt;key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4C78D8">
        <w:fldChar w:fldCharType="separate"/>
      </w:r>
      <w:r w:rsidR="00513646" w:rsidRPr="004C78D8">
        <w:rPr>
          <w:noProof/>
        </w:rPr>
        <w:t>[167]</w:t>
      </w:r>
      <w:r w:rsidRPr="004C78D8">
        <w:fldChar w:fldCharType="end"/>
      </w:r>
      <w:r w:rsidRPr="004C78D8">
        <w:t>. Hence, aggregate outcomes should be evaluated alongside ratios if there is significant difference in pre-specified subgroup size.</w:t>
      </w:r>
    </w:p>
    <w:p w14:paraId="09116DB5" w14:textId="5A3FCBD7" w:rsidR="003015E3" w:rsidRPr="004C78D8" w:rsidRDefault="003015E3" w:rsidP="00FB7C1F">
      <w:pPr>
        <w:pStyle w:val="ListParagraph"/>
        <w:numPr>
          <w:ilvl w:val="0"/>
          <w:numId w:val="40"/>
        </w:numPr>
      </w:pPr>
      <w:r w:rsidRPr="004C78D8">
        <w:t>Where data permit, characterise the heterogeneity in intervention efficacy, cost</w:t>
      </w:r>
      <w:r w:rsidR="005F2569" w:rsidRPr="004C78D8">
        <w:t>,</w:t>
      </w:r>
      <w:r w:rsidRPr="004C78D8">
        <w:t xml:space="preserve"> and implementation level.</w:t>
      </w:r>
    </w:p>
    <w:p w14:paraId="449E8AB0" w14:textId="3837C409" w:rsidR="003015E3" w:rsidRPr="004C78D8" w:rsidRDefault="003015E3" w:rsidP="00FB7C1F">
      <w:pPr>
        <w:pStyle w:val="ListParagraph"/>
        <w:numPr>
          <w:ilvl w:val="0"/>
          <w:numId w:val="40"/>
        </w:numPr>
      </w:pPr>
      <w:r w:rsidRPr="004C78D8">
        <w:t>Individual-level simulation is likely necessary to capture the dynamic complexities in falls risk and other geriatric health aspects (e.g., background health utilities, comorbidity care costs, mortality, LTC admission). The interactions between falls risk, intervention need, long-term impacts of falls and falls prevention, and background health should be characterised.</w:t>
      </w:r>
    </w:p>
    <w:p w14:paraId="4E685B32" w14:textId="55F9EF8B" w:rsidR="003015E3" w:rsidRPr="004C78D8" w:rsidRDefault="003015E3" w:rsidP="00FB7C1F">
      <w:pPr>
        <w:pStyle w:val="ListParagraph"/>
        <w:numPr>
          <w:ilvl w:val="0"/>
          <w:numId w:val="40"/>
        </w:numPr>
      </w:pPr>
      <w:r w:rsidRPr="004C78D8">
        <w:t xml:space="preserve">Model periodic falls risk screening to allow dynamic variation in the proactive intervention pathway </w:t>
      </w:r>
      <w:r w:rsidRPr="004C78D8">
        <w:fldChar w:fldCharType="begin"/>
      </w:r>
      <w:r w:rsidR="00F255A9"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Pr="004C78D8">
        <w:fldChar w:fldCharType="separate"/>
      </w:r>
      <w:r w:rsidR="00F255A9" w:rsidRPr="004C78D8">
        <w:rPr>
          <w:noProof/>
        </w:rPr>
        <w:t>[13]</w:t>
      </w:r>
      <w:r w:rsidRPr="004C78D8">
        <w:fldChar w:fldCharType="end"/>
      </w:r>
      <w:r w:rsidRPr="004C78D8">
        <w:t>. The reactive pathway should be accessible after serious falls incidence, irrespective of whether a proactive pathway was used or not.</w:t>
      </w:r>
    </w:p>
    <w:p w14:paraId="2EA6A60D" w14:textId="3F99FEA5" w:rsidR="003015E3" w:rsidRPr="004C78D8" w:rsidRDefault="003015E3" w:rsidP="00FB7C1F">
      <w:pPr>
        <w:pStyle w:val="ListParagraph"/>
        <w:numPr>
          <w:ilvl w:val="0"/>
          <w:numId w:val="40"/>
        </w:numPr>
      </w:pPr>
      <w:r w:rsidRPr="004C78D8">
        <w:t>Incorporate incoming cohorts of newly eligible persons to correctly characterise the dynamic target population and capacity implications for the decision-making jurisdiction.</w:t>
      </w:r>
    </w:p>
    <w:p w14:paraId="11CACE65" w14:textId="1D22C250" w:rsidR="003015E3" w:rsidRPr="004C78D8" w:rsidRDefault="003015E3" w:rsidP="00FB7C1F">
      <w:pPr>
        <w:pStyle w:val="Heading5"/>
      </w:pPr>
      <w:r w:rsidRPr="004C78D8">
        <w:t>Considering theories of human behaviour and implementation</w:t>
      </w:r>
    </w:p>
    <w:p w14:paraId="783C2A19" w14:textId="60FE704B" w:rsidR="003015E3" w:rsidRPr="004C78D8" w:rsidRDefault="003015E3" w:rsidP="00FB7C1F">
      <w:pPr>
        <w:pStyle w:val="ListParagraph"/>
        <w:numPr>
          <w:ilvl w:val="0"/>
          <w:numId w:val="41"/>
        </w:numPr>
      </w:pPr>
      <w:r w:rsidRPr="004C78D8">
        <w:t>Incorporate individual- and social-level variables that influence health behaviour and intervention supply/demand where possible. Access to the self-referred intervention pathway should be determined by dynamic variations in demand.</w:t>
      </w:r>
    </w:p>
    <w:p w14:paraId="1C26E7FB" w14:textId="29EB0364" w:rsidR="003015E3" w:rsidRPr="004C78D8" w:rsidRDefault="00511A4D" w:rsidP="00FB7C1F">
      <w:pPr>
        <w:pStyle w:val="ListParagraph"/>
        <w:numPr>
          <w:ilvl w:val="0"/>
          <w:numId w:val="41"/>
        </w:numPr>
      </w:pPr>
      <w:r w:rsidRPr="004C78D8">
        <w:t>Clearly distinguish between supply- and demand-side implementation factors and levels. If implementation level data are sourced externally, consult stakeholders on whether they are generalisable given local facilitators and barriers. Long-term sustainability should be based on evidence or stakeholder views, not assumption.</w:t>
      </w:r>
    </w:p>
    <w:p w14:paraId="37EDCBE6" w14:textId="5EA050C8" w:rsidR="00511A4D" w:rsidRPr="004C78D8" w:rsidRDefault="00511A4D" w:rsidP="00FB7C1F">
      <w:pPr>
        <w:pStyle w:val="ListParagraph"/>
        <w:numPr>
          <w:ilvl w:val="0"/>
          <w:numId w:val="41"/>
        </w:numPr>
      </w:pPr>
      <w:r w:rsidRPr="004C78D8">
        <w:t>Conduct value of implementation analyses as alternative scenarios reflecting stakeholder views on important implementation strategies; total/aggregate INMB should be the outcome to estimate the monetary value of improved implementation.</w:t>
      </w:r>
    </w:p>
    <w:p w14:paraId="12266173" w14:textId="37FF2C1C" w:rsidR="00511A4D" w:rsidRPr="004C78D8" w:rsidRDefault="00511A4D" w:rsidP="00FB7C1F">
      <w:pPr>
        <w:pStyle w:val="ListParagraph"/>
        <w:numPr>
          <w:ilvl w:val="0"/>
          <w:numId w:val="41"/>
        </w:numPr>
      </w:pPr>
      <w:r w:rsidRPr="004C78D8">
        <w:t xml:space="preserve">Consider capacity and budget implications of </w:t>
      </w:r>
      <w:r w:rsidR="00E35482" w:rsidRPr="004C78D8">
        <w:t xml:space="preserve">intervention and </w:t>
      </w:r>
      <w:r w:rsidRPr="004C78D8">
        <w:t xml:space="preserve">implementation strategies. Models that explicitly incorporate capacity constraints may be used, such as discrete event simulation </w:t>
      </w:r>
      <w:r w:rsidRPr="004C78D8">
        <w:fldChar w:fldCharType="begin"/>
      </w:r>
      <w:r w:rsidR="00513646" w:rsidRPr="004C78D8">
        <w:instrText xml:space="preserve"> ADDIN EN.CITE &lt;EndNote&gt;&lt;Cite&gt;&lt;Author&gt;Brennan&lt;/Author&gt;&lt;Year&gt;2006&lt;/Year&gt;&lt;RecNum&gt;534&lt;/RecNum&gt;&lt;DisplayText&gt;[168]&lt;/DisplayText&gt;&lt;record&gt;&lt;rec-number&gt;534&lt;/rec-number&gt;&lt;foreign-keys&gt;&lt;key app="EN" db-id="tdtrdw9aepptzbefsat599syza29sxsd2wsp" timestamp="1618322463"&gt;534&lt;/key&gt;&lt;/foreign-keys&gt;&lt;ref-type name="Journal Article"&gt;17&lt;/ref-type&gt;&lt;contributors&gt;&lt;authors&gt;&lt;author&gt;Brennan, A.&lt;/author&gt;&lt;author&gt;Chick, S. E.&lt;/author&gt;&lt;author&gt;Davies, R.&lt;/author&gt;&lt;/authors&gt;&lt;/contributors&gt;&lt;auth-address&gt;School of Health and Related Research (ScHARR), University of Sheffield, Sheffield, UK. a.brennan@sheffield.ac.uk&lt;/auth-address&gt;&lt;titles&gt;&lt;title&gt;A taxonomy of model structures for economic evaluation of health technologies&lt;/title&gt;&lt;secondary-title&gt;Health Econ&lt;/secondary-title&gt;&lt;alt-title&gt;Health economics&lt;/alt-title&gt;&lt;/titles&gt;&lt;alt-periodical&gt;&lt;full-title&gt;Health economics&lt;/full-title&gt;&lt;/alt-periodical&gt;&lt;pages&gt;1295-310&lt;/pages&gt;&lt;volume&gt;15&lt;/volume&gt;&lt;number&gt;12&lt;/number&gt;&lt;edition&gt;2006/08/31&lt;/edition&gt;&lt;keywords&gt;&lt;keyword&gt;Cost-Benefit Analysis&lt;/keyword&gt;&lt;keyword&gt;Decision Trees&lt;/keyword&gt;&lt;keyword&gt;Markov Chains&lt;/keyword&gt;&lt;keyword&gt;*Models, Theoretical&lt;/keyword&gt;&lt;keyword&gt;Technology Assessment, Biomedical/*economics&lt;/keyword&gt;&lt;keyword&gt;United Kingdom&lt;/keyword&gt;&lt;/keywords&gt;&lt;dates&gt;&lt;year&gt;2006&lt;/year&gt;&lt;pub-dates&gt;&lt;date&gt;Dec&lt;/date&gt;&lt;/pub-dates&gt;&lt;/dates&gt;&lt;isbn&gt;1057-9230 (Print)&amp;#xD;1057-9230&lt;/isbn&gt;&lt;accession-num&gt;16941543&lt;/accession-num&gt;&lt;urls&gt;&lt;/urls&gt;&lt;electronic-resource-num&gt;10.1002/hec.1148&lt;/electronic-resource-num&gt;&lt;remote-database-provider&gt;NLM&lt;/remote-database-provider&gt;&lt;language&gt;eng&lt;/language&gt;&lt;/record&gt;&lt;/Cite&gt;&lt;/EndNote&gt;</w:instrText>
      </w:r>
      <w:r w:rsidRPr="004C78D8">
        <w:fldChar w:fldCharType="separate"/>
      </w:r>
      <w:r w:rsidR="00513646" w:rsidRPr="004C78D8">
        <w:rPr>
          <w:noProof/>
        </w:rPr>
        <w:t>[168]</w:t>
      </w:r>
      <w:r w:rsidRPr="004C78D8">
        <w:fldChar w:fldCharType="end"/>
      </w:r>
      <w:r w:rsidRPr="004C78D8">
        <w:t>.</w:t>
      </w:r>
    </w:p>
    <w:p w14:paraId="54024E26" w14:textId="0CBF96B0" w:rsidR="00511A4D" w:rsidRPr="004C78D8" w:rsidRDefault="00511A4D" w:rsidP="00FB7C1F">
      <w:pPr>
        <w:pStyle w:val="Heading5"/>
      </w:pPr>
      <w:r w:rsidRPr="004C78D8">
        <w:lastRenderedPageBreak/>
        <w:t>Considering issues of equity</w:t>
      </w:r>
    </w:p>
    <w:p w14:paraId="11E9202C" w14:textId="05E9ED43" w:rsidR="003015E3" w:rsidRPr="004C78D8" w:rsidRDefault="00511A4D" w:rsidP="00FB7C1F">
      <w:pPr>
        <w:pStyle w:val="ListParagraph"/>
        <w:numPr>
          <w:ilvl w:val="0"/>
          <w:numId w:val="42"/>
        </w:numPr>
      </w:pPr>
      <w:r w:rsidRPr="004C78D8">
        <w:rPr>
          <w:lang w:val="en-US"/>
        </w:rPr>
        <w:t xml:space="preserve">Consult stakeholders to incorporate relevant social and health severity </w:t>
      </w:r>
      <w:r w:rsidR="005056A1" w:rsidRPr="004C78D8">
        <w:rPr>
          <w:lang w:val="en-US"/>
        </w:rPr>
        <w:t>delineating characteristics</w:t>
      </w:r>
      <w:r w:rsidRPr="004C78D8">
        <w:rPr>
          <w:lang w:val="en-US"/>
        </w:rPr>
        <w:t>.</w:t>
      </w:r>
    </w:p>
    <w:p w14:paraId="0DC7286C" w14:textId="62BFDC69" w:rsidR="00511A4D" w:rsidRPr="004C78D8" w:rsidRDefault="00511A4D" w:rsidP="00FB7C1F">
      <w:pPr>
        <w:pStyle w:val="ListParagraph"/>
        <w:numPr>
          <w:ilvl w:val="0"/>
          <w:numId w:val="42"/>
        </w:numPr>
      </w:pPr>
      <w:r w:rsidRPr="004C78D8">
        <w:t>Identify causal mechanisms behind vulnerable subgroups’ reduced capacity to benefit and incorporate appropriate model parameters.</w:t>
      </w:r>
    </w:p>
    <w:p w14:paraId="7577A5B9" w14:textId="32C70FDA" w:rsidR="00511A4D" w:rsidRPr="004C78D8" w:rsidRDefault="00511A4D" w:rsidP="00FB7C1F">
      <w:pPr>
        <w:pStyle w:val="ListParagraph"/>
        <w:numPr>
          <w:ilvl w:val="0"/>
          <w:numId w:val="42"/>
        </w:numPr>
      </w:pPr>
      <w:r w:rsidRPr="004C78D8">
        <w:t xml:space="preserve">Formulate intervention strategies that prioritise vulnerable subgroups and/or address causal mechanisms (e.g., upstream intervention to correct the LED problem) and conduct equity analysis of equity-efficiency trade-off according to stakeholders’ value judgement </w:t>
      </w:r>
      <w:r w:rsidRPr="004C78D8">
        <w:fldChar w:fldCharType="begin"/>
      </w:r>
      <w:r w:rsidR="00513646" w:rsidRPr="004C78D8">
        <w:instrText xml:space="preserve"> ADDIN EN.CITE &lt;EndNote&gt;&lt;Cite&gt;&lt;Author&gt;Asaria&lt;/Author&gt;&lt;Year&gt;2016&lt;/Year&gt;&lt;RecNum&gt;361&lt;/RecNum&gt;&lt;DisplayText&gt;[109]&lt;/DisplayText&gt;&lt;record&gt;&lt;rec-number&gt;361&lt;/rec-number&gt;&lt;foreign-keys&gt;&lt;key app="EN" db-id="tdtrdw9aepptzbefsat599syza29sxsd2wsp" timestamp="1612265402"&gt;361&lt;/key&gt;&lt;/foreign-keys&gt;&lt;ref-type name="Journal Article"&gt;17&lt;/ref-type&gt;&lt;contributors&gt;&lt;authors&gt;&lt;author&gt;Asaria, Miqdad&lt;/author&gt;&lt;author&gt;Griffin, Susan&lt;/author&gt;&lt;author&gt;Cookson, Richard&lt;/author&gt;&lt;/authors&gt;&lt;/contributors&gt;&lt;titles&gt;&lt;title&gt;Distributional Cost-Effectiveness Analysis: A Tutorial&lt;/title&gt;&lt;secondary-title&gt;Medical decision making&lt;/secondary-title&gt;&lt;/titles&gt;&lt;periodical&gt;&lt;full-title&gt;Medical Decision Making&lt;/full-title&gt;&lt;/periodical&gt;&lt;pages&gt;8-19&lt;/pages&gt;&lt;volume&gt;36&lt;/volume&gt;&lt;number&gt;1&lt;/number&gt;&lt;keywords&gt;&lt;keyword&gt;cost-effectiveness analysis&lt;/keyword&gt;&lt;keyword&gt;economic evaluation&lt;/keyword&gt;&lt;keyword&gt;efficiency&lt;/keyword&gt;&lt;keyword&gt;equality&lt;/keyword&gt;&lt;keyword&gt;equity&lt;/keyword&gt;&lt;keyword&gt;fairness&lt;/keyword&gt;&lt;keyword&gt;health distribution&lt;/keyword&gt;&lt;keyword&gt;health inequality&lt;/keyword&gt;&lt;keyword&gt;inequality measures&lt;/keyword&gt;&lt;keyword&gt;opportunity cost&lt;/keyword&gt;&lt;keyword&gt;social value judgments&lt;/keyword&gt;&lt;keyword&gt;social welfare functions&lt;/keyword&gt;&lt;keyword&gt;tradeoff&lt;/keyword&gt;&lt;/keywords&gt;&lt;dates&gt;&lt;year&gt;2016&lt;/year&gt;&lt;pub-dates&gt;&lt;date&gt;1/1&lt;/date&gt;&lt;/pub-dates&gt;&lt;/dates&gt;&lt;isbn&gt;0272-989X&lt;/isbn&gt;&lt;work-type&gt;Article&lt;/work-type&gt;&lt;urls&gt;&lt;related-urls&gt;&lt;url&gt;http://www.scopus.com/inward/record.url?scp=84950117843&amp;amp;partnerID=8YFLogxK&lt;/url&gt;&lt;/related-urls&gt;&lt;/urls&gt;&lt;electronic-resource-num&gt;10.1177/0272989X15583266&lt;/electronic-resource-num&gt;&lt;/record&gt;&lt;/Cite&gt;&lt;/EndNote&gt;</w:instrText>
      </w:r>
      <w:r w:rsidRPr="004C78D8">
        <w:fldChar w:fldCharType="separate"/>
      </w:r>
      <w:r w:rsidR="00513646" w:rsidRPr="004C78D8">
        <w:rPr>
          <w:noProof/>
        </w:rPr>
        <w:t>[109]</w:t>
      </w:r>
      <w:r w:rsidRPr="004C78D8">
        <w:fldChar w:fldCharType="end"/>
      </w:r>
      <w:r w:rsidRPr="004C78D8">
        <w:t>.</w:t>
      </w:r>
    </w:p>
    <w:p w14:paraId="02984E28" w14:textId="7A3FD95C" w:rsidR="00511A4D" w:rsidRPr="004C78D8" w:rsidRDefault="005332CF" w:rsidP="00FB7C1F">
      <w:pPr>
        <w:pStyle w:val="Heading4"/>
      </w:pPr>
      <w:r w:rsidRPr="004C78D8">
        <w:t>4</w:t>
      </w:r>
      <w:r w:rsidR="00511A4D" w:rsidRPr="004C78D8">
        <w:t>.6.1.4 Evaluation methods</w:t>
      </w:r>
    </w:p>
    <w:p w14:paraId="5CEFAB42" w14:textId="03AE0415" w:rsidR="00511A4D" w:rsidRPr="004C78D8" w:rsidRDefault="00511A4D" w:rsidP="00FB7C1F">
      <w:pPr>
        <w:pStyle w:val="ListParagraph"/>
        <w:numPr>
          <w:ilvl w:val="0"/>
          <w:numId w:val="43"/>
        </w:numPr>
      </w:pPr>
      <w:r w:rsidRPr="004C78D8">
        <w:t>Assess and report the model’s structural, internal</w:t>
      </w:r>
      <w:r w:rsidR="007737E4" w:rsidRPr="004C78D8">
        <w:t>,</w:t>
      </w:r>
      <w:r w:rsidRPr="004C78D8">
        <w:t xml:space="preserve"> and external validities. Reduce the structural uncertainty prospectively by involving stakeholder and expert group in model development and retrospectively by evaluating scenarios associated with key structural assumptions.</w:t>
      </w:r>
    </w:p>
    <w:p w14:paraId="16BC7783" w14:textId="1C08728B" w:rsidR="00511A4D" w:rsidRPr="004C78D8" w:rsidRDefault="00511A4D" w:rsidP="00FB7C1F">
      <w:pPr>
        <w:pStyle w:val="ListParagraph"/>
        <w:numPr>
          <w:ilvl w:val="0"/>
          <w:numId w:val="43"/>
        </w:numPr>
      </w:pPr>
      <w:r w:rsidRPr="004C78D8">
        <w:t>Clearly state whether parameter variation represents DSA or scenario analysis. PSA should be conducted to assess the joint parameter uncertainty.</w:t>
      </w:r>
    </w:p>
    <w:p w14:paraId="50595610" w14:textId="77777777" w:rsidR="00511A4D" w:rsidRPr="004C78D8" w:rsidRDefault="00511A4D" w:rsidP="00FB7C1F"/>
    <w:p w14:paraId="45AC795A" w14:textId="7E829D32" w:rsidR="0063379A" w:rsidRPr="004C78D8" w:rsidRDefault="005332CF" w:rsidP="00FB7C1F">
      <w:pPr>
        <w:pStyle w:val="Heading3"/>
      </w:pPr>
      <w:bookmarkStart w:id="128" w:name="_Toc111630764"/>
      <w:r w:rsidRPr="004C78D8">
        <w:t>4</w:t>
      </w:r>
      <w:r w:rsidR="0063379A" w:rsidRPr="004C78D8">
        <w:t>.6.2 Commissioning recommendations</w:t>
      </w:r>
      <w:r w:rsidRPr="004C78D8">
        <w:t xml:space="preserve"> based on the review results</w:t>
      </w:r>
      <w:bookmarkEnd w:id="128"/>
    </w:p>
    <w:p w14:paraId="21066770" w14:textId="28D0AF48" w:rsidR="00B81C9B" w:rsidRPr="004C78D8" w:rsidRDefault="00E26DEE" w:rsidP="00FB7C1F">
      <w:pPr>
        <w:rPr>
          <w:rFonts w:cs="Times New Roman"/>
        </w:rPr>
      </w:pPr>
      <w:r w:rsidRPr="004C78D8">
        <w:rPr>
          <w:rFonts w:cs="Times New Roman"/>
        </w:rPr>
        <w:t xml:space="preserve">The commissioning recommendations for the general </w:t>
      </w:r>
      <w:r w:rsidR="00DF1967" w:rsidRPr="004C78D8">
        <w:rPr>
          <w:rFonts w:cs="Times New Roman"/>
        </w:rPr>
        <w:t xml:space="preserve">older </w:t>
      </w:r>
      <w:r w:rsidRPr="004C78D8">
        <w:rPr>
          <w:rFonts w:cs="Times New Roman"/>
        </w:rPr>
        <w:t>population over the lifetime horizon are:</w:t>
      </w:r>
    </w:p>
    <w:p w14:paraId="2AF15BD3" w14:textId="07C78DA9" w:rsidR="00E26DEE" w:rsidRPr="004C78D8" w:rsidRDefault="00E26DEE" w:rsidP="00FB7C1F">
      <w:pPr>
        <w:pStyle w:val="ListParagraph"/>
        <w:numPr>
          <w:ilvl w:val="0"/>
          <w:numId w:val="44"/>
        </w:numPr>
      </w:pPr>
      <w:r w:rsidRPr="004C78D8">
        <w:rPr>
          <w:rFonts w:cs="Times New Roman"/>
        </w:rPr>
        <w:t>Decision-makers should compare the feasible reaches of the following seven potentially cost-effective interventions in local settings within their budget and capacity constraints: (i) combined multifactorial and environmental intervention</w:t>
      </w:r>
      <w:r w:rsidR="00DF1967" w:rsidRPr="004C78D8">
        <w:rPr>
          <w:rFonts w:cs="Times New Roman"/>
        </w:rPr>
        <w:t xml:space="preserve"> for age 65+</w:t>
      </w:r>
      <w:r w:rsidRPr="004C78D8">
        <w:rPr>
          <w:rFonts w:cs="Times New Roman"/>
        </w:rPr>
        <w:t>; (ii) general physical activity promotion for women</w:t>
      </w:r>
      <w:r w:rsidR="00DF1967" w:rsidRPr="004C78D8">
        <w:rPr>
          <w:rFonts w:cs="Times New Roman"/>
        </w:rPr>
        <w:t xml:space="preserve"> aged 65+</w:t>
      </w:r>
      <w:r w:rsidRPr="004C78D8">
        <w:rPr>
          <w:rFonts w:cs="Times New Roman"/>
        </w:rPr>
        <w:t>; (iii) hip protectors for women aged 80+ and men aged 85+; (iv) home or peer-led group exercise</w:t>
      </w:r>
      <w:r w:rsidR="00DF1967" w:rsidRPr="004C78D8">
        <w:rPr>
          <w:rFonts w:cs="Times New Roman"/>
        </w:rPr>
        <w:t xml:space="preserve"> for age 65+</w:t>
      </w:r>
      <w:r w:rsidRPr="004C78D8">
        <w:rPr>
          <w:rFonts w:cs="Times New Roman"/>
        </w:rPr>
        <w:t>; (v) HAM for persons with or without MA falls history</w:t>
      </w:r>
      <w:r w:rsidR="00DF1967" w:rsidRPr="004C78D8">
        <w:rPr>
          <w:rFonts w:cs="Times New Roman"/>
        </w:rPr>
        <w:t xml:space="preserve"> aged 65+</w:t>
      </w:r>
      <w:r w:rsidRPr="004C78D8">
        <w:rPr>
          <w:rFonts w:cs="Times New Roman"/>
        </w:rPr>
        <w:t>; (vi) targeted vitamin D supplementation</w:t>
      </w:r>
      <w:r w:rsidR="00DF1967" w:rsidRPr="004C78D8">
        <w:rPr>
          <w:rFonts w:cs="Times New Roman"/>
        </w:rPr>
        <w:t xml:space="preserve"> for age 65+</w:t>
      </w:r>
      <w:r w:rsidRPr="004C78D8">
        <w:rPr>
          <w:rFonts w:cs="Times New Roman"/>
        </w:rPr>
        <w:t xml:space="preserve">; </w:t>
      </w:r>
      <w:r w:rsidR="00DF1967" w:rsidRPr="004C78D8">
        <w:rPr>
          <w:rFonts w:cs="Times New Roman"/>
        </w:rPr>
        <w:t xml:space="preserve">and </w:t>
      </w:r>
      <w:r w:rsidRPr="004C78D8">
        <w:rPr>
          <w:rFonts w:cs="Times New Roman"/>
        </w:rPr>
        <w:t>(vii) Tai Chi</w:t>
      </w:r>
      <w:r w:rsidR="00DF1967" w:rsidRPr="004C78D8">
        <w:rPr>
          <w:rFonts w:cs="Times New Roman"/>
        </w:rPr>
        <w:t xml:space="preserve"> for age 65+</w:t>
      </w:r>
      <w:r w:rsidRPr="004C78D8">
        <w:rPr>
          <w:rFonts w:cs="Times New Roman"/>
        </w:rPr>
        <w:t>.</w:t>
      </w:r>
    </w:p>
    <w:p w14:paraId="65809D80" w14:textId="77777777" w:rsidR="002C61BA" w:rsidRPr="004C78D8" w:rsidRDefault="002C61BA" w:rsidP="00FB7C1F">
      <w:pPr>
        <w:pStyle w:val="ListParagraph"/>
        <w:numPr>
          <w:ilvl w:val="0"/>
          <w:numId w:val="44"/>
        </w:numPr>
      </w:pPr>
      <w:r w:rsidRPr="004C78D8">
        <w:rPr>
          <w:rFonts w:cs="Times New Roman"/>
        </w:rPr>
        <w:t>Results for interventions (i), (ii) and (vi) are the most credible since they are produced by validated models; (ii) and (vi) are also from individual-level simulations that incorporated age-related progression in fracture risk.</w:t>
      </w:r>
    </w:p>
    <w:p w14:paraId="64167C52" w14:textId="151D17C7" w:rsidR="00E26DEE" w:rsidRPr="004C78D8" w:rsidRDefault="00E26DEE" w:rsidP="00FB7C1F">
      <w:pPr>
        <w:pStyle w:val="ListParagraph"/>
        <w:numPr>
          <w:ilvl w:val="0"/>
          <w:numId w:val="44"/>
        </w:numPr>
      </w:pPr>
      <w:r w:rsidRPr="004C78D8">
        <w:rPr>
          <w:rFonts w:cs="Times New Roman"/>
        </w:rPr>
        <w:t>Auxiliary implementation strategies should be planned to achieve adequate cost-effectiveness (e.g., if fixed assets are under-employed) and aggregate impact.</w:t>
      </w:r>
    </w:p>
    <w:p w14:paraId="1825E6B1" w14:textId="12271DC8" w:rsidR="00E26DEE" w:rsidRPr="004C78D8" w:rsidRDefault="00E26DEE" w:rsidP="00FB7C1F">
      <w:pPr>
        <w:pStyle w:val="ListParagraph"/>
        <w:numPr>
          <w:ilvl w:val="0"/>
          <w:numId w:val="44"/>
        </w:numPr>
      </w:pPr>
      <w:r w:rsidRPr="004C78D8">
        <w:rPr>
          <w:rFonts w:cs="Times New Roman"/>
        </w:rPr>
        <w:t>There is some evidence that exercise and HAM exacerbate existing health inequity across social subgroups. The decision-maker should consider supplementary strategies that prioritise intervention access for the local socially marginalised groups and/or increase their upstream health opportunities. The potential equity-efficiency trade-off should be quantified.</w:t>
      </w:r>
    </w:p>
    <w:p w14:paraId="46062237" w14:textId="7E993D3A" w:rsidR="00B63E93" w:rsidRPr="004C78D8" w:rsidRDefault="005332CF" w:rsidP="00FB7C1F">
      <w:r w:rsidRPr="004C78D8">
        <w:t>For comparison, see Section 6.5 for the commissioning recommendations based on the developed model’s results.</w:t>
      </w:r>
    </w:p>
    <w:p w14:paraId="57CEE86F" w14:textId="77777777" w:rsidR="005332CF" w:rsidRPr="004C78D8" w:rsidRDefault="005332CF" w:rsidP="00FB7C1F"/>
    <w:p w14:paraId="1FEFA96A" w14:textId="4D35599E" w:rsidR="00E05B22" w:rsidRPr="004C78D8" w:rsidRDefault="005332CF" w:rsidP="00FB7C1F">
      <w:pPr>
        <w:pStyle w:val="Heading2"/>
      </w:pPr>
      <w:bookmarkStart w:id="129" w:name="_Toc93566881"/>
      <w:bookmarkStart w:id="130" w:name="_Toc111630765"/>
      <w:r w:rsidRPr="004C78D8">
        <w:t>4</w:t>
      </w:r>
      <w:r w:rsidR="00E05B22" w:rsidRPr="004C78D8">
        <w:t>.</w:t>
      </w:r>
      <w:r w:rsidR="000C7B8C" w:rsidRPr="004C78D8">
        <w:t>7</w:t>
      </w:r>
      <w:r w:rsidR="00E05B22" w:rsidRPr="004C78D8">
        <w:t xml:space="preserve"> Discussion</w:t>
      </w:r>
      <w:bookmarkEnd w:id="129"/>
      <w:bookmarkEnd w:id="130"/>
    </w:p>
    <w:p w14:paraId="4459C4B1" w14:textId="46358926" w:rsidR="00E05B22" w:rsidRPr="004C78D8" w:rsidRDefault="00FF626B" w:rsidP="00FB7C1F">
      <w:r w:rsidRPr="004C78D8">
        <w:t xml:space="preserve">This systematic review identified 46 decision models of community-based falls prevention interventions, applied a checklist specifically designed for falls prevention economic evaluations, and synthesised the modelling methods for key features of falls epidemiology, falls prevention intervention, public health modelling and evaluation. It also formulated (i) 30 methodological recommendations for future model development and (ii) four commissioning recommendations </w:t>
      </w:r>
      <w:r w:rsidR="005332CF" w:rsidRPr="004C78D8">
        <w:t xml:space="preserve">based on the extracted evaluation outcomes </w:t>
      </w:r>
      <w:r w:rsidRPr="004C78D8">
        <w:t>around seven interventions found to be cost-effective in general population, lifetime models.</w:t>
      </w:r>
    </w:p>
    <w:p w14:paraId="0E970945" w14:textId="37045A34" w:rsidR="00AF7737" w:rsidRPr="004C78D8" w:rsidRDefault="005332CF" w:rsidP="00FB7C1F">
      <w:pPr>
        <w:pStyle w:val="Heading3"/>
      </w:pPr>
      <w:bookmarkStart w:id="131" w:name="_Toc111630766"/>
      <w:r w:rsidRPr="004C78D8">
        <w:lastRenderedPageBreak/>
        <w:t>4</w:t>
      </w:r>
      <w:r w:rsidR="00AF7737" w:rsidRPr="004C78D8">
        <w:t xml:space="preserve">.7.1 Commissioning recommendations and </w:t>
      </w:r>
      <w:r w:rsidR="007608A8" w:rsidRPr="004C78D8">
        <w:t>existing</w:t>
      </w:r>
      <w:r w:rsidR="00AF7737" w:rsidRPr="004C78D8">
        <w:t xml:space="preserve"> guideline</w:t>
      </w:r>
      <w:r w:rsidR="007608A8" w:rsidRPr="004C78D8">
        <w:t>s</w:t>
      </w:r>
      <w:bookmarkEnd w:id="131"/>
    </w:p>
    <w:p w14:paraId="2D8AC719" w14:textId="6CD4637D" w:rsidR="00AF7737" w:rsidRPr="004C78D8" w:rsidRDefault="007608A8" w:rsidP="00FB7C1F">
      <w:r w:rsidRPr="004C78D8">
        <w:t xml:space="preserve">For decision-makers in England and Wales, the commissioning recommendations </w:t>
      </w:r>
      <w:r w:rsidR="005332CF" w:rsidRPr="004C78D8">
        <w:t xml:space="preserve">based on the review results </w:t>
      </w:r>
      <w:r w:rsidRPr="004C78D8">
        <w:t xml:space="preserve">can be compared to those made by </w:t>
      </w:r>
      <w:r w:rsidR="009A05DB" w:rsidRPr="004C78D8">
        <w:t>NICE</w:t>
      </w:r>
      <w:r w:rsidRPr="004C78D8">
        <w:t xml:space="preserve"> CG161 </w:t>
      </w:r>
      <w:r w:rsidRPr="004C78D8">
        <w:fldChar w:fldCharType="begin"/>
      </w:r>
      <w:r w:rsidR="00F255A9"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Pr="004C78D8">
        <w:fldChar w:fldCharType="separate"/>
      </w:r>
      <w:r w:rsidR="00F255A9" w:rsidRPr="004C78D8">
        <w:rPr>
          <w:noProof/>
        </w:rPr>
        <w:t>[13]</w:t>
      </w:r>
      <w:r w:rsidRPr="004C78D8">
        <w:fldChar w:fldCharType="end"/>
      </w:r>
      <w:r w:rsidRPr="004C78D8">
        <w:t xml:space="preserve">. The guideline prioritises the proactive pathway involving falls risk screening followed by multifactorial intervention. This is supported by RCN (2005) findings (which informed CG161) that multifactorial intervention for high-risk individuals dominates no intervention. By contrast, Eldridge (2005) found proactive multifactorial intervention to generate an unfavourable cost-effectiveness profile, likely due to the low pathway uptake that increased the per-participant cost. Hence, the simplistic costing assumptions in RCN (2005) may have overestimated the cost-effectiveness of proactive multifactorial intervention. Meanwhile, the consultation of local services in Eldridge (2005) to understand uptake and costs makes their result more credible. Yet multifactorial intervention for all risk groups combined with environmental modification (costed using primary data) yielded positive results in Johansson (2008). A similar intersectoral intervention was found to be cost-effective over a five-year horizon in Beard (2006). Both models do not explore to what extent the positive results can be attributed to the multifactorial rather than the environmental component. This warrants further modelling work </w:t>
      </w:r>
      <w:r w:rsidR="0058705D" w:rsidRPr="004C78D8">
        <w:t xml:space="preserve">in the coming chapters </w:t>
      </w:r>
      <w:r w:rsidRPr="004C78D8">
        <w:t xml:space="preserve">that incorporates both components and yet isolates their respective impacts. </w:t>
      </w:r>
      <w:r w:rsidR="0058705D" w:rsidRPr="004C78D8">
        <w:t>Based on the review results alone</w:t>
      </w:r>
      <w:r w:rsidRPr="004C78D8">
        <w:t xml:space="preserve">, the decision-maker should commission the CG161-recommended multifactorial intervention but supplement this with environmental modifications. Specifically, local stakeholders should be consulted to verify whether the intersectoral initiatives in Johansson (2008) and Beard (2006) can be replicated in their local context. In addition, auxiliary implementation strategies should be planned with stakeholders to avoid the unfavourable outcomes seen in Eldridge (2005); this would involve understanding the facilitators and barriers to implementation from older persons’ and professionals’ perspectives </w:t>
      </w:r>
      <w:r w:rsidRPr="004C78D8">
        <w:fldChar w:fldCharType="begin">
          <w:fldData xml:space="preserve">PEVuZE5vdGU+PENpdGU+PEF1dGhvcj5NY0ludHlyZTwvQXV0aG9yPjxZZWFyPjIwMTk8L1llYXI+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</w:fldData>
        </w:fldChar>
      </w:r>
      <w:r w:rsidR="00C630FC" w:rsidRPr="004C78D8">
        <w:instrText xml:space="preserve"> ADDIN EN.CITE </w:instrText>
      </w:r>
      <w:r w:rsidR="00C630FC" w:rsidRPr="004C78D8">
        <w:fldChar w:fldCharType="begin">
          <w:fldData xml:space="preserve">PEVuZE5vdGU+PENpdGU+PEF1dGhvcj5NY0ludHlyZTwvQXV0aG9yPjxZZWFyPjIwMTk8L1llYXI+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[139, 141, 208]</w:t>
      </w:r>
      <w:r w:rsidRPr="004C78D8">
        <w:fldChar w:fldCharType="end"/>
      </w:r>
      <w:r w:rsidRPr="004C78D8">
        <w:t>.</w:t>
      </w:r>
    </w:p>
    <w:p w14:paraId="10F30EB8" w14:textId="31A1A3C8" w:rsidR="007608A8" w:rsidRPr="004C78D8" w:rsidRDefault="007608A8" w:rsidP="00FB7C1F">
      <w:r w:rsidRPr="004C78D8">
        <w:t xml:space="preserve">Interestingly, there were several positive cost-effectiveness outcomes for interventions that had </w:t>
      </w:r>
      <w:r w:rsidRPr="004C78D8">
        <w:rPr>
          <w:i/>
          <w:iCs/>
        </w:rPr>
        <w:t>not</w:t>
      </w:r>
      <w:r w:rsidRPr="004C78D8">
        <w:t xml:space="preserve"> been recommended by CG161. First, CG161 does not recommend unsupervised brisk walking for women and untargeted group exercise; although the 2019 </w:t>
      </w:r>
      <w:r w:rsidR="00A76CB7" w:rsidRPr="004C78D8">
        <w:t>NICE SR guideline</w:t>
      </w:r>
      <w:r w:rsidRPr="004C78D8">
        <w:t xml:space="preserve"> </w:t>
      </w:r>
      <w:r w:rsidRPr="004C78D8">
        <w:fldChar w:fldCharType="begin"/>
      </w:r>
      <w:r w:rsidR="00513646" w:rsidRPr="004C78D8">
        <w:instrText xml:space="preserve"> ADDIN EN.CITE &lt;EndNote&gt;&lt;Cite&gt;&lt;Author&gt;National Institute for Health and Care Excellence&lt;/Author&gt;&lt;Year&gt;2019&lt;/Year&gt;&lt;RecNum&gt;499&lt;/RecNum&gt;&lt;DisplayText&gt;[130]&lt;/DisplayText&gt;&lt;record&gt;&lt;rec-number&gt;499&lt;/rec-number&gt;&lt;foreign-keys&gt;&lt;key app="EN" db-id="tdtrdw9aepptzbefsat599syza29sxsd2wsp" timestamp="1617284473"&gt;499&lt;/key&gt;&lt;/foreign-keys&gt;&lt;ref-type name="Journal Article"&gt;17&lt;/ref-type&gt;&lt;contributors&gt;&lt;authors&gt;&lt;author&gt;National Institute for Health and Care Excellence,&lt;/author&gt;&lt;/authors&gt;&lt;/contributors&gt;&lt;titles&gt;&lt;title&gt;2019 surveillance of falls in older people: assessing risk and prevention (NICE guideline CG161)&lt;/title&gt;&lt;secondary-title&gt;National Institute for Health and Care Excellence&lt;/secondary-title&gt;&lt;/titles&gt;&lt;periodical&gt;&lt;full-title&gt;National Institute for Health and Care Excellence&lt;/full-title&gt;&lt;/periodical&gt;&lt;volume&gt;Published: 23 May 2019&lt;/volume&gt;&lt;dates&gt;&lt;year&gt;2019&lt;/year&gt;&lt;/dates&gt;&lt;urls&gt;&lt;/urls&gt;&lt;/record&gt;&lt;/Cite&gt;&lt;/EndNote&gt;</w:instrText>
      </w:r>
      <w:r w:rsidRPr="004C78D8">
        <w:fldChar w:fldCharType="separate"/>
      </w:r>
      <w:r w:rsidR="00513646" w:rsidRPr="004C78D8">
        <w:rPr>
          <w:noProof/>
        </w:rPr>
        <w:t>[130]</w:t>
      </w:r>
      <w:r w:rsidRPr="004C78D8">
        <w:fldChar w:fldCharType="end"/>
      </w:r>
      <w:r w:rsidRPr="004C78D8">
        <w:t xml:space="preserve"> recommends physical activity promotion in line with the 2019 UK CMOs’ physical activities guideline </w:t>
      </w:r>
      <w:r w:rsidRPr="004C78D8">
        <w:fldChar w:fldCharType="begin"/>
      </w:r>
      <w:r w:rsidR="00513646" w:rsidRPr="004C78D8">
        <w:instrText xml:space="preserve"> ADDIN EN.CITE &lt;EndNote&gt;&lt;Cite&gt;&lt;Author&gt;Foster&lt;/Author&gt;&lt;Year&gt;2019&lt;/Year&gt;&lt;RecNum&gt;274&lt;/RecNum&gt;&lt;DisplayText&gt;[113]&lt;/DisplayText&gt;&lt;record&gt;&lt;rec-number&gt;274&lt;/rec-number&gt;&lt;foreign-keys&gt;&lt;key app="EN" db-id="tdtrdw9aepptzbefsat599syza29sxsd2wsp" timestamp="1611696027"&gt;274&lt;/key&gt;&lt;/foreign-keys&gt;&lt;ref-type name="Journal Article"&gt;17&lt;/ref-type&gt;&lt;contributors&gt;&lt;authors&gt;&lt;author&gt;Foster, C&lt;/author&gt;&lt;author&gt;Reilly, J&lt;/author&gt;&lt;author&gt;Jago, R&lt;/author&gt;&lt;author&gt;Murphy, M&lt;/author&gt;&lt;author&gt;Skelton, D&lt;/author&gt;&lt;author&gt;Cooper, A&lt;/author&gt;&lt;author&gt;Pulsford, A&lt;/author&gt;&lt;author&gt;Pulsford, R&lt;/author&gt;&lt;author&gt;Smith, B&lt;/author&gt;&lt;author&gt;Mutrie, N&lt;/author&gt;&lt;/authors&gt;&lt;/contributors&gt;&lt;titles&gt;&lt;title&gt;UK Chief Medical Officers&amp;apos; Physical Activity Guidelines&lt;/title&gt;&lt;secondary-title&gt;Department of Health and Social Care&lt;/secondary-title&gt;&lt;/titles&gt;&lt;periodical&gt;&lt;full-title&gt;Department of Health and Social Care&lt;/full-title&gt;&lt;/periodical&gt;&lt;dates&gt;&lt;year&gt;2019&lt;/year&gt;&lt;/dates&gt;&lt;urls&gt;&lt;/urls&gt;&lt;/record&gt;&lt;/Cite&gt;&lt;/EndNote&gt;</w:instrText>
      </w:r>
      <w:r w:rsidRPr="004C78D8">
        <w:fldChar w:fldCharType="separate"/>
      </w:r>
      <w:r w:rsidR="00513646" w:rsidRPr="004C78D8">
        <w:rPr>
          <w:noProof/>
        </w:rPr>
        <w:t>[113]</w:t>
      </w:r>
      <w:r w:rsidRPr="004C78D8">
        <w:fldChar w:fldCharType="end"/>
      </w:r>
      <w:r w:rsidRPr="004C78D8">
        <w:t>. By contrast, Nshimyumukiza (2013) found general physical activity (including daily walking) for inactive older women to dominate no intervention. Second, CG161 does not recommend vitamin D supplementation even for those with vitamin D insufficiency or deficiency due to insufficient clinical evidence</w:t>
      </w:r>
      <w:r w:rsidR="00A76CB7" w:rsidRPr="004C78D8">
        <w:t>. B</w:t>
      </w:r>
      <w:r w:rsidRPr="004C78D8">
        <w:t xml:space="preserve">y contrast, Zarca (2014) found targeted vitamin D supplementation to be highly cost-effective relative to no intervention. Likewise, hip protectors and CBT were not recommended by CG161 but found to be cost-effective in Honkanen (2006) and Tannenbaum (2015), respectively. These divergences reflect the difference in the underlying approach to statistics and probability. For example, CG161 is primarily informed by RCT evidence that takes the frequentist approach of drawing random samples to test the likelihoods of alternative hypotheses representing the true (fixed) state of the world; while decision models take the Bayesian approach of estimating the expected state of the world based on prior beliefs and diverse types of data (p. 323) </w:t>
      </w:r>
      <w:r w:rsidRPr="004C78D8">
        <w:fldChar w:fldCharType="begin"/>
      </w:r>
      <w:r w:rsidR="00513646" w:rsidRPr="004C78D8">
        <w:instrText xml:space="preserve"> ADDIN EN.CITE &lt;EndNote&gt;&lt;Cite&gt;&lt;Author&gt;Drummond&lt;/Author&gt;&lt;Year&gt;2015&lt;/Year&gt;&lt;RecNum&gt;2&lt;/RecNum&gt;&lt;DisplayText&gt;[145]&lt;/DisplayText&gt;&lt;record&gt;&lt;rec-number&gt;2&lt;/rec-number&gt;&lt;foreign-keys&gt;&lt;key app="EN" db-id="tdtrdw9aepptzbefsat599syza29sxsd2wsp" timestamp="1596571149"&gt;2&lt;/key&gt;&lt;/foreign-keys&gt;&lt;ref-type name="Book"&gt;6&lt;/ref-type&gt;&lt;contributors&gt;&lt;authors&gt;&lt;author&gt;Drummond, Michael F&lt;/author&gt;&lt;author&gt;Sculpher, Mark J&lt;/author&gt;&lt;author&gt;Claxton, Karl&lt;/author&gt;&lt;author&gt;Stoddart, Greg L&lt;/author&gt;&lt;author&gt;Torrance, George W&lt;/author&gt;&lt;/authors&gt;&lt;/contributors&gt;&lt;titles&gt;&lt;title&gt;Methods for the economic evaluation of health care programmes&lt;/title&gt;&lt;/titles&gt;&lt;dates&gt;&lt;year&gt;2015&lt;/year&gt;&lt;/dates&gt;&lt;publisher&gt;Oxford university press&lt;/publisher&gt;&lt;isbn&gt;0191643580&lt;/isbn&gt;&lt;urls&gt;&lt;/urls&gt;&lt;/record&gt;&lt;/Cite&gt;&lt;/EndNote&gt;</w:instrText>
      </w:r>
      <w:r w:rsidRPr="004C78D8">
        <w:fldChar w:fldCharType="separate"/>
      </w:r>
      <w:r w:rsidR="00513646" w:rsidRPr="004C78D8">
        <w:rPr>
          <w:noProof/>
        </w:rPr>
        <w:t>[145]</w:t>
      </w:r>
      <w:r w:rsidRPr="004C78D8">
        <w:fldChar w:fldCharType="end"/>
      </w:r>
      <w:r w:rsidRPr="004C78D8">
        <w:t>. The latter arguably better reflects the type of uncertainty faced by decision-makers and should be prioritised in commissioning considerations over clinical evidence alone, provided that the models are methodologically robust, validated</w:t>
      </w:r>
      <w:r w:rsidR="00A76CB7" w:rsidRPr="004C78D8">
        <w:t>,</w:t>
      </w:r>
      <w:r w:rsidRPr="004C78D8">
        <w:t xml:space="preserve"> and assessed for the impact of parameter uncertainty on expected outcomes </w:t>
      </w:r>
      <w:r w:rsidRPr="004C78D8">
        <w:fldChar w:fldCharType="begin"/>
      </w:r>
      <w:r w:rsidR="00C630FC" w:rsidRPr="004C78D8">
        <w:instrText xml:space="preserve"> ADDIN EN.CITE &lt;EndNote&gt;&lt;Cite&gt;&lt;Author&gt;Briggs&lt;/Author&gt;&lt;Year&gt;2012&lt;/Year&gt;&lt;RecNum&gt;539&lt;/RecNum&gt;&lt;DisplayText&gt;[371]&lt;/DisplayText&gt;&lt;record&gt;&lt;rec-number&gt;539&lt;/rec-number&gt;&lt;foreign-keys&gt;&lt;key app="EN" db-id="tdtrdw9aepptzbefsat599syza29sxsd2wsp" timestamp="1618583276"&gt;539&lt;/key&gt;&lt;/foreign-keys&gt;&lt;ref-type name="Journal Article"&gt;17&lt;/ref-type&gt;&lt;contributors&gt;&lt;authors&gt;&lt;author&gt;Briggs, Andrew H&lt;/author&gt;&lt;author&gt;Weinstein, Milton C&lt;/author&gt;&lt;author&gt;Fenwick, Elisabeth AL&lt;/author&gt;&lt;author&gt;Karnon, Jonathan&lt;/author&gt;&lt;author&gt;Sculpher, Mark J&lt;/author&gt;&lt;author&gt;Paltiel, A David&lt;/author&gt;&lt;/authors&gt;&lt;/contributors&gt;&lt;titles&gt;&lt;title&gt;Model parameter estimation and uncertainty analysis: a report of the ISPOR-SMDM Modeling Good Research Practices Task Force Working Group–6&lt;/title&gt;&lt;secondary-title&gt;Medical decision making&lt;/secondary-title&gt;&lt;/titles&gt;&lt;periodical&gt;&lt;full-title&gt;Medical Decision Making&lt;/full-title&gt;&lt;/periodical&gt;&lt;pages&gt;722-732&lt;/pages&gt;&lt;volume&gt;32&lt;/volume&gt;&lt;number&gt;5&lt;/number&gt;&lt;dates&gt;&lt;year&gt;2012&lt;/year&gt;&lt;/dates&gt;&lt;isbn&gt;0272-989X&lt;/isbn&gt;&lt;urls&gt;&lt;/urls&gt;&lt;/record&gt;&lt;/Cite&gt;&lt;/EndNote&gt;</w:instrText>
      </w:r>
      <w:r w:rsidRPr="004C78D8">
        <w:fldChar w:fldCharType="separate"/>
      </w:r>
      <w:r w:rsidR="00C630FC" w:rsidRPr="004C78D8">
        <w:rPr>
          <w:noProof/>
        </w:rPr>
        <w:t>[371]</w:t>
      </w:r>
      <w:r w:rsidRPr="004C78D8">
        <w:fldChar w:fldCharType="end"/>
      </w:r>
      <w:r w:rsidRPr="004C78D8">
        <w:t>.</w:t>
      </w:r>
    </w:p>
    <w:p w14:paraId="5FCC3CC7" w14:textId="2AF99791" w:rsidR="007608A8" w:rsidRPr="004C78D8" w:rsidRDefault="0058705D" w:rsidP="00FB7C1F">
      <w:pPr>
        <w:pStyle w:val="Heading3"/>
      </w:pPr>
      <w:bookmarkStart w:id="132" w:name="_Toc111630767"/>
      <w:r w:rsidRPr="004C78D8">
        <w:t>4</w:t>
      </w:r>
      <w:r w:rsidR="004C1819" w:rsidRPr="004C78D8">
        <w:t>.7.2 Conducting methodological appraisal of previous models</w:t>
      </w:r>
      <w:bookmarkEnd w:id="132"/>
    </w:p>
    <w:p w14:paraId="3466C247" w14:textId="7F18E56E" w:rsidR="004C1819" w:rsidRPr="004C78D8" w:rsidRDefault="004C1819" w:rsidP="00FB7C1F">
      <w:r w:rsidRPr="004C78D8">
        <w:t>The above imbues additional importance to thorough methodological appraisal of models</w:t>
      </w:r>
      <w:r w:rsidR="002B4CC7" w:rsidRPr="004C78D8">
        <w:t>. This was</w:t>
      </w:r>
      <w:r w:rsidRPr="004C78D8">
        <w:t xml:space="preserve"> conducted in th</w:t>
      </w:r>
      <w:r w:rsidR="002B4CC7" w:rsidRPr="004C78D8">
        <w:t>e current</w:t>
      </w:r>
      <w:r w:rsidRPr="004C78D8">
        <w:t xml:space="preserve"> review using two approaches: checklist application and narrative synthesis. The falls-specific rather than generic checklist helped identify features unique to falls and falls prevention </w:t>
      </w:r>
      <w:r w:rsidRPr="004C78D8">
        <w:fldChar w:fldCharType="begin"/>
      </w:r>
      <w:r w:rsidR="00513646" w:rsidRPr="004C78D8">
        <w:instrText xml:space="preserve"> ADDIN EN.CITE &lt;EndNote&gt;&lt;Cite&gt;&lt;Author&gt;Davis&lt;/Author&gt;&lt;Year&gt;2011&lt;/Year&gt;&lt;RecNum&gt;286&lt;/RecNum&gt;&lt;DisplayText&gt;[105]&lt;/DisplayText&gt;&lt;record&gt;&lt;rec-number&gt;286&lt;/rec-number&gt;&lt;foreign-keys&gt;&lt;key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Pr="004C78D8">
        <w:fldChar w:fldCharType="separate"/>
      </w:r>
      <w:r w:rsidR="00513646" w:rsidRPr="004C78D8">
        <w:rPr>
          <w:noProof/>
        </w:rPr>
        <w:t>[105]</w:t>
      </w:r>
      <w:r w:rsidRPr="004C78D8">
        <w:fldChar w:fldCharType="end"/>
      </w:r>
      <w:r w:rsidRPr="004C78D8">
        <w:t xml:space="preserve">, including whether the study gave the definition of a fall – only 19 (41.3%) fully did – and whether the intervention(s) was classified as single, multiple-component or multifactorial – only 15 (32.6%) did. However, the checklist – designed for both models and non-modelling evaluations – did not consider important modelling features such as baseline risk characterisation and model </w:t>
      </w:r>
      <w:r w:rsidRPr="004C78D8">
        <w:lastRenderedPageBreak/>
        <w:t xml:space="preserve">validation which are included in the HTA model quality checklist </w:t>
      </w:r>
      <w:r w:rsidRPr="004C78D8">
        <w:fldChar w:fldCharType="begin"/>
      </w:r>
      <w:r w:rsidR="00C630FC" w:rsidRPr="004C78D8">
        <w:instrText xml:space="preserve"> ADDIN EN.CITE &lt;EndNote&gt;&lt;Cite&gt;&lt;Author&gt;Philips&lt;/Author&gt;&lt;Year&gt;2004&lt;/Year&gt;&lt;RecNum&gt;312&lt;/RecNum&gt;&lt;DisplayText&gt;[372]&lt;/DisplayText&gt;&lt;record&gt;&lt;rec-number&gt;312&lt;/rec-number&gt;&lt;foreign-keys&gt;&lt;key app="EN" db-id="tdtrdw9aepptzbefsat599syza29sxsd2wsp" timestamp="1612022526"&gt;312&lt;/key&gt;&lt;/foreign-keys&gt;&lt;ref-type name="Journal Article"&gt;17&lt;/ref-type&gt;&lt;contributors&gt;&lt;authors&gt;&lt;author&gt;Philips, Z&lt;/author&gt;&lt;author&gt;Ginnelly, L&lt;/author&gt;&lt;author&gt;Sculpher, M&lt;/author&gt;&lt;author&gt;Claxton, K&lt;/author&gt;&lt;author&gt;Golder, S&lt;/author&gt;&lt;author&gt;Riemsma, R&lt;/author&gt;&lt;author&gt;Woolacott, N&lt;/author&gt;&lt;author&gt;Glanville, J&lt;/author&gt;&lt;/authors&gt;&lt;/contributors&gt;&lt;titles&gt;&lt;title&gt;Review of guidelines for good practice in decision-analytic modelling in health technology assessment&lt;/title&gt;&lt;/titles&gt;&lt;dates&gt;&lt;year&gt;2004&lt;/year&gt;&lt;/dates&gt;&lt;urls&gt;&lt;/urls&gt;&lt;/record&gt;&lt;/Cite&gt;&lt;/EndNote&gt;</w:instrText>
      </w:r>
      <w:r w:rsidRPr="004C78D8">
        <w:fldChar w:fldCharType="separate"/>
      </w:r>
      <w:r w:rsidR="00C630FC" w:rsidRPr="004C78D8">
        <w:rPr>
          <w:noProof/>
        </w:rPr>
        <w:t>[372]</w:t>
      </w:r>
      <w:r w:rsidRPr="004C78D8">
        <w:fldChar w:fldCharType="end"/>
      </w:r>
      <w:r w:rsidRPr="004C78D8">
        <w:t>. Moreover, modelling features typically involve methodological nuances that cannot be summarised in ordinal scores. It is also unclear whether the unweighted sum of item scores accurately captures the methodological quality of models given the study-specific combination of methodological caveats</w:t>
      </w:r>
      <w:r w:rsidR="002B4CC7" w:rsidRPr="004C78D8">
        <w:t>.</w:t>
      </w:r>
      <w:r w:rsidRPr="004C78D8">
        <w:t xml:space="preserve"> </w:t>
      </w:r>
      <w:r w:rsidR="002B4CC7" w:rsidRPr="004C78D8">
        <w:t>This illustrates the importance of supplementing the checklist application with narrative synthesis: the latter was more comprehensive in this systematic review than in previous reviews in this area (</w:t>
      </w:r>
      <w:r w:rsidR="0058705D" w:rsidRPr="004C78D8">
        <w:t>Appendix C</w:t>
      </w:r>
      <w:r w:rsidR="002B4CC7" w:rsidRPr="004C78D8">
        <w:t>). T</w:t>
      </w:r>
      <w:r w:rsidRPr="004C78D8">
        <w:t xml:space="preserve">hat said, of the 12 general population, lifetime models used to inform commissioning, the three that had been most thoroughly validated also had the highest checklist scores </w:t>
      </w:r>
      <w:r w:rsidRPr="004C78D8">
        <w:fldChar w:fldCharType="begin">
          <w:fldData xml:space="preserve">PEVuZE5vdGU+PENpdGU+PEF1dGhvcj5Kb2hhbnNzb248L0F1dGhvcj48WWVhcj4yMDA4PC9ZZWFy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</w:fldData>
        </w:fldChar>
      </w:r>
      <w:r w:rsidR="00C630FC" w:rsidRPr="004C78D8">
        <w:instrText xml:space="preserve"> ADDIN EN.CITE </w:instrText>
      </w:r>
      <w:r w:rsidR="00C630FC" w:rsidRPr="004C78D8">
        <w:fldChar w:fldCharType="begin">
          <w:fldData xml:space="preserve">PEVuZE5vdGU+PENpdGU+PEF1dGhvcj5Kb2hhbnNzb248L0F1dGhvcj48WWVhcj4yMDA4PC9ZZWFy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[128, 336, 368]</w:t>
      </w:r>
      <w:r w:rsidRPr="004C78D8">
        <w:fldChar w:fldCharType="end"/>
      </w:r>
      <w:r w:rsidR="002B4CC7" w:rsidRPr="004C78D8">
        <w:t>, demonstrating some form of construct validity for the checklist scores.</w:t>
      </w:r>
    </w:p>
    <w:p w14:paraId="0E432A73" w14:textId="7926976E" w:rsidR="004C1819" w:rsidRPr="004C78D8" w:rsidRDefault="007B31DB" w:rsidP="00FB7C1F">
      <w:pPr>
        <w:pStyle w:val="Heading3"/>
      </w:pPr>
      <w:bookmarkStart w:id="133" w:name="_Toc111630768"/>
      <w:r w:rsidRPr="004C78D8">
        <w:t>4</w:t>
      </w:r>
      <w:r w:rsidR="004C1819" w:rsidRPr="004C78D8">
        <w:t xml:space="preserve">.7.3 Key methodological limitations </w:t>
      </w:r>
      <w:r w:rsidR="000E758C" w:rsidRPr="004C78D8">
        <w:t>of previous models</w:t>
      </w:r>
      <w:bookmarkEnd w:id="133"/>
    </w:p>
    <w:p w14:paraId="0D2B0423" w14:textId="668CC125" w:rsidR="004C1819" w:rsidRPr="004C78D8" w:rsidRDefault="004C1819" w:rsidP="00FB7C1F">
      <w:r w:rsidRPr="004C78D8">
        <w:t xml:space="preserve">The checklist application </w:t>
      </w:r>
      <w:r w:rsidR="00B43E46" w:rsidRPr="004C78D8">
        <w:t>also</w:t>
      </w:r>
      <w:r w:rsidRPr="004C78D8">
        <w:t xml:space="preserve"> identified the most prevalent reporting and methodological limitations across models. The most prevalent issue was the non-incorporation of all-cause care costs as the main analysis cost outcome, with fall-related costs being reported in sensitivity analysis </w:t>
      </w:r>
      <w:r w:rsidRPr="004C78D8">
        <w:fldChar w:fldCharType="begin"/>
      </w:r>
      <w:r w:rsidR="00513646" w:rsidRPr="004C78D8">
        <w:instrText xml:space="preserve"> ADDIN EN.CITE &lt;EndNote&gt;&lt;Cite&gt;&lt;Author&gt;Davis&lt;/Author&gt;&lt;Year&gt;2011&lt;/Year&gt;&lt;RecNum&gt;286&lt;/RecNum&gt;&lt;DisplayText&gt;[105]&lt;/DisplayText&gt;&lt;record&gt;&lt;rec-number&gt;286&lt;/rec-number&gt;&lt;foreign-keys&gt;&lt;key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Pr="004C78D8">
        <w:fldChar w:fldCharType="separate"/>
      </w:r>
      <w:r w:rsidR="00513646" w:rsidRPr="004C78D8">
        <w:rPr>
          <w:noProof/>
        </w:rPr>
        <w:t>[105]</w:t>
      </w:r>
      <w:r w:rsidRPr="004C78D8">
        <w:fldChar w:fldCharType="end"/>
      </w:r>
      <w:r w:rsidRPr="004C78D8">
        <w:t xml:space="preserve">. Older persons typically occupy a position on a continuous spectrum of frailty rather than one of binary healthy vs. diseased states </w:t>
      </w:r>
      <w:r w:rsidRPr="004C78D8">
        <w:fldChar w:fldCharType="begin">
          <w:fldData xml:space="preserve">PEVuZE5vdGU+PENpdGU+PEF1dGhvcj5DbGVnZzwvQXV0aG9yPjxZZWFyPjIwMTY8L1llYXI+PFJl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</w:fldData>
        </w:fldChar>
      </w:r>
      <w:r w:rsidR="00720CEE">
        <w:instrText xml:space="preserve"> ADDIN EN.CITE </w:instrText>
      </w:r>
      <w:r w:rsidR="00720CEE">
        <w:fldChar w:fldCharType="begin">
          <w:fldData xml:space="preserve">PEVuZE5vdGU+PENpdGU+PEF1dGhvcj5DbGVnZzwvQXV0aG9yPjxZZWFyPjIwMTY8L1llYXI+PFJl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</w:fldData>
        </w:fldChar>
      </w:r>
      <w:r w:rsidR="00720CEE">
        <w:instrText xml:space="preserve"> ADDIN EN.CITE.DATA </w:instrText>
      </w:r>
      <w:r w:rsidR="00720CEE">
        <w:fldChar w:fldCharType="end"/>
      </w:r>
      <w:r w:rsidRPr="004C78D8">
        <w:fldChar w:fldCharType="separate"/>
      </w:r>
      <w:r w:rsidR="00720CEE">
        <w:rPr>
          <w:noProof/>
        </w:rPr>
        <w:t>[14, 45, 47]</w:t>
      </w:r>
      <w:r w:rsidRPr="004C78D8">
        <w:fldChar w:fldCharType="end"/>
      </w:r>
      <w:r w:rsidRPr="004C78D8">
        <w:t xml:space="preserve">. A disease or fall incidence would shift the position on the spectrum and thereby incur myriad care costs only indirectly associated with the initial event </w:t>
      </w:r>
      <w:r w:rsidRPr="004C78D8">
        <w:fldChar w:fldCharType="begin">
          <w:fldData xml:space="preserve">PEVuZE5vdGU+PENpdGU+PEF1dGhvcj5TZWthcmFuPC9BdXRob3I+PFllYXI+MjAxMzwvWWVhcj48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</w:fldData>
        </w:fldChar>
      </w:r>
      <w:r w:rsidR="00513646" w:rsidRPr="004C78D8">
        <w:instrText xml:space="preserve"> ADDIN EN.CITE </w:instrText>
      </w:r>
      <w:r w:rsidR="00513646" w:rsidRPr="004C78D8">
        <w:fldChar w:fldCharType="begin">
          <w:fldData xml:space="preserve">PEVuZE5vdGU+PENpdGU+PEF1dGhvcj5TZWthcmFuPC9BdXRob3I+PFllYXI+MjAxMzwvWWVhcj48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</w:fldData>
        </w:fldChar>
      </w:r>
      <w:r w:rsidR="00513646" w:rsidRPr="004C78D8">
        <w:instrText xml:space="preserve"> ADDIN EN.CITE.DATA </w:instrText>
      </w:r>
      <w:r w:rsidR="00513646" w:rsidRPr="004C78D8">
        <w:fldChar w:fldCharType="end"/>
      </w:r>
      <w:r w:rsidRPr="004C78D8">
        <w:fldChar w:fldCharType="separate"/>
      </w:r>
      <w:r w:rsidR="00513646" w:rsidRPr="004C78D8">
        <w:rPr>
          <w:noProof/>
        </w:rPr>
        <w:t>[33, 64]</w:t>
      </w:r>
      <w:r w:rsidRPr="004C78D8">
        <w:fldChar w:fldCharType="end"/>
      </w:r>
      <w:r w:rsidRPr="004C78D8">
        <w:t>; incorporating all-cause care costs helps capture these impacts as well as the wider benefits of interventions beyond falls prevention</w:t>
      </w:r>
      <w:r w:rsidR="00FA547F" w:rsidRPr="004C78D8">
        <w:t xml:space="preserve"> (Figure 1.1)</w:t>
      </w:r>
      <w:r w:rsidRPr="004C78D8">
        <w:t xml:space="preserve">. Yet only four models incorporated all-cause costs </w:t>
      </w:r>
      <w:r w:rsidRPr="004C78D8">
        <w:fldChar w:fldCharType="begin">
          <w:fldData xml:space="preserve">PEVuZE5vdGU+PENpdGU+PEF1dGhvcj5BbGhhbWJyYS1Cb3Jyw6FzPC9BdXRob3I+PFllYXI+MjAx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</w:fldData>
        </w:fldChar>
      </w:r>
      <w:r w:rsidR="00C630FC" w:rsidRPr="004C78D8">
        <w:instrText xml:space="preserve"> ADDIN EN.CITE </w:instrText>
      </w:r>
      <w:r w:rsidR="00C630FC" w:rsidRPr="004C78D8">
        <w:fldChar w:fldCharType="begin">
          <w:fldData xml:space="preserve">PEVuZE5vdGU+PENpdGU+PEF1dGhvcj5BbGhhbWJyYS1Cb3Jyw6FzPC9BdXRob3I+PFllYXI+MjAx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[341, 349, 350, 354]</w:t>
      </w:r>
      <w:r w:rsidRPr="004C78D8">
        <w:fldChar w:fldCharType="end"/>
      </w:r>
      <w:r w:rsidRPr="004C78D8">
        <w:t xml:space="preserve">; one of them even perceived all-cause costing as a limitation, compelled by lack of condition </w:t>
      </w:r>
      <w:r w:rsidR="005056A1" w:rsidRPr="004C78D8">
        <w:t xml:space="preserve">indicators </w:t>
      </w:r>
      <w:r w:rsidRPr="004C78D8">
        <w:t xml:space="preserve">in the routine data used </w:t>
      </w:r>
      <w:r w:rsidRPr="004C78D8">
        <w:fldChar w:fldCharType="begin">
          <w:fldData xml:space="preserve">PEVuZE5vdGU+PENpdGU+PEF1dGhvcj5BbGJlcnQ8L0F1dGhvcj48WWVhcj4yMDE2PC9ZZWFyPjxS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==
</w:fldData>
        </w:fldChar>
      </w:r>
      <w:r w:rsidR="00C630FC" w:rsidRPr="004C78D8">
        <w:instrText xml:space="preserve"> ADDIN EN.CITE </w:instrText>
      </w:r>
      <w:r w:rsidR="00C630FC" w:rsidRPr="004C78D8">
        <w:fldChar w:fldCharType="begin">
          <w:fldData xml:space="preserve">PEVuZE5vdGU+PENpdGU+PEF1dGhvcj5BbGJlcnQ8L0F1dGhvcj48WWVhcj4yMDE2PC9ZZWFyPjxS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==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[354]</w:t>
      </w:r>
      <w:r w:rsidRPr="004C78D8">
        <w:fldChar w:fldCharType="end"/>
      </w:r>
      <w:r w:rsidRPr="004C78D8">
        <w:t xml:space="preserve">. The four also did not separately report fall-related costs, introducing difficulties in determining whether the cost reduction can be attributed to falls prevention </w:t>
      </w:r>
      <w:r w:rsidRPr="004C78D8">
        <w:rPr>
          <w:i/>
          <w:iCs/>
        </w:rPr>
        <w:t>per se</w:t>
      </w:r>
      <w:r w:rsidRPr="004C78D8">
        <w:t xml:space="preserve"> rather than to wider intervention benefits. A major barrier is the lack of data on all-cause care consequences of falls, with costing studies focusing on fall-specific costs </w:t>
      </w:r>
      <w:r w:rsidRPr="004C78D8">
        <w:fldChar w:fldCharType="begin">
          <w:fldData xml:space="preserve">PEVuZE5vdGU+PENpdGU+PEF1dGhvcj5EYXZpczwvQXV0aG9yPjxZZWFyPjIwMTA8L1llYXI+PFJl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</w:fldData>
        </w:fldChar>
      </w:r>
      <w:r w:rsidR="00C630FC" w:rsidRPr="004C78D8">
        <w:instrText xml:space="preserve"> ADDIN EN.CITE </w:instrText>
      </w:r>
      <w:r w:rsidR="00C630FC" w:rsidRPr="004C78D8">
        <w:fldChar w:fldCharType="begin">
          <w:fldData xml:space="preserve">PEVuZE5vdGU+PENpdGU+PEF1dGhvcj5EYXZpczwvQXV0aG9yPjxZZWFyPjIwMTA8L1llYXI+PFJl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[61, 218]</w:t>
      </w:r>
      <w:r w:rsidRPr="004C78D8">
        <w:fldChar w:fldCharType="end"/>
      </w:r>
      <w:r w:rsidRPr="004C78D8">
        <w:t>. Indeed, all four models that incorporated all-cause costs relied on primary data.</w:t>
      </w:r>
    </w:p>
    <w:p w14:paraId="13B81370" w14:textId="1C571837" w:rsidR="00FA547F" w:rsidRPr="004C78D8" w:rsidRDefault="00FA547F" w:rsidP="00FB7C1F">
      <w:r w:rsidRPr="004C78D8">
        <w:t xml:space="preserve">An alternative, more feasible approach is to incorporate comorbidity care costs (e.g., costs of added life-years and costs of dying) associated with background health status and life expectancy. The proximity of these costs to intervention effect makes their inclusion particularly important for geriatric populations </w:t>
      </w:r>
      <w:r w:rsidRPr="004C78D8">
        <w:fldChar w:fldCharType="begin"/>
      </w:r>
      <w:r w:rsidR="00C630FC" w:rsidRPr="004C78D8">
        <w:instrText xml:space="preserve"> ADDIN EN.CITE &lt;EndNote&gt;&lt;Cite&gt;&lt;Author&gt;Huter&lt;/Author&gt;&lt;Year&gt;2018&lt;/Year&gt;&lt;RecNum&gt;298&lt;/RecNum&gt;&lt;DisplayText&gt;[331]&lt;/DisplayText&gt;&lt;record&gt;&lt;rec-number&gt;298&lt;/rec-number&gt;&lt;foreign-keys&gt;&lt;key app="EN" db-id="tdtrdw9aepptzbefsat599syza29sxsd2wsp" timestamp="1611871055"&gt;298&lt;/key&gt;&lt;/foreign-keys&gt;&lt;ref-type name="Journal Article"&gt;17&lt;/ref-type&gt;&lt;contributors&gt;&lt;authors&gt;&lt;author&gt;Huter, Kai&lt;/author&gt;&lt;author&gt;Dubas-Jakóbczyk, Katarzyna&lt;/author&gt;&lt;author&gt;Kocot, Ewa&lt;/author&gt;&lt;author&gt;Kissimova-Skarbek, Katarzyna&lt;/author&gt;&lt;author&gt;Rothgang, Heinz&lt;/author&gt;&lt;/authors&gt;&lt;/contributors&gt;&lt;titles&gt;&lt;title&gt;Economic evaluation of health promotion interventions for older people: do applied economic studies meet the methodological challenges?&lt;/title&gt;&lt;secondary-title&gt;Cost Effectiveness and Resource Allocation&lt;/secondary-title&gt;&lt;/titles&gt;&lt;periodical&gt;&lt;full-title&gt;Cost Effectiveness and Resource Allocation&lt;/full-title&gt;&lt;/periodical&gt;&lt;pages&gt;14&lt;/pages&gt;&lt;volume&gt;16&lt;/volume&gt;&lt;number&gt;1&lt;/number&gt;&lt;dates&gt;&lt;year&gt;2018&lt;/year&gt;&lt;/dates&gt;&lt;isbn&gt;1478-7547&lt;/isbn&gt;&lt;urls&gt;&lt;/urls&gt;&lt;/record&gt;&lt;/Cite&gt;&lt;/EndNote&gt;</w:instrText>
      </w:r>
      <w:r w:rsidRPr="004C78D8">
        <w:fldChar w:fldCharType="separate"/>
      </w:r>
      <w:r w:rsidR="00C630FC" w:rsidRPr="004C78D8">
        <w:rPr>
          <w:noProof/>
        </w:rPr>
        <w:t>[331]</w:t>
      </w:r>
      <w:r w:rsidRPr="004C78D8">
        <w:fldChar w:fldCharType="end"/>
      </w:r>
      <w:r w:rsidRPr="004C78D8">
        <w:t xml:space="preserve">. The inclusion of health utilities to depict the transition in background health status also demands the inclusion of matching costs </w:t>
      </w:r>
      <w:r w:rsidRPr="004C78D8">
        <w:fldChar w:fldCharType="begin"/>
      </w:r>
      <w:r w:rsidR="00513646" w:rsidRPr="004C78D8">
        <w:instrText xml:space="preserve"> ADDIN EN.CITE &lt;EndNote&gt;&lt;Cite&gt;&lt;Author&gt;Drummond&lt;/Author&gt;&lt;Year&gt;2015&lt;/Year&gt;&lt;RecNum&gt;2&lt;/RecNum&gt;&lt;DisplayText&gt;[145]&lt;/DisplayText&gt;&lt;record&gt;&lt;rec-number&gt;2&lt;/rec-number&gt;&lt;foreign-keys&gt;&lt;key app="EN" db-id="tdtrdw9aepptzbefsat599syza29sxsd2wsp" timestamp="1596571149"&gt;2&lt;/key&gt;&lt;/foreign-keys&gt;&lt;ref-type name="Book"&gt;6&lt;/ref-type&gt;&lt;contributors&gt;&lt;authors&gt;&lt;author&gt;Drummond, Michael F&lt;/author&gt;&lt;author&gt;Sculpher, Mark J&lt;/author&gt;&lt;author&gt;Claxton, Karl&lt;/author&gt;&lt;author&gt;Stoddart, Greg L&lt;/author&gt;&lt;author&gt;Torrance, George W&lt;/author&gt;&lt;/authors&gt;&lt;/contributors&gt;&lt;titles&gt;&lt;title&gt;Methods for the economic evaluation of health care programmes&lt;/title&gt;&lt;/titles&gt;&lt;dates&gt;&lt;year&gt;2015&lt;/year&gt;&lt;/dates&gt;&lt;publisher&gt;Oxford university press&lt;/publisher&gt;&lt;isbn&gt;0191643580&lt;/isbn&gt;&lt;urls&gt;&lt;/urls&gt;&lt;/record&gt;&lt;/Cite&gt;&lt;/EndNote&gt;</w:instrText>
      </w:r>
      <w:r w:rsidRPr="004C78D8">
        <w:fldChar w:fldCharType="separate"/>
      </w:r>
      <w:r w:rsidR="00513646" w:rsidRPr="004C78D8">
        <w:rPr>
          <w:noProof/>
        </w:rPr>
        <w:t>[145]</w:t>
      </w:r>
      <w:r w:rsidRPr="004C78D8">
        <w:fldChar w:fldCharType="end"/>
      </w:r>
      <w:r w:rsidRPr="004C78D8">
        <w:t xml:space="preserve">. The higher cost of dying for younger age at death </w:t>
      </w:r>
      <w:r w:rsidRPr="004C78D8">
        <w:fldChar w:fldCharType="begin"/>
      </w:r>
      <w:r w:rsidR="00C630FC" w:rsidRPr="004C78D8">
        <w:instrText xml:space="preserve"> ADDIN EN.CITE &lt;EndNote&gt;&lt;Cite&gt;&lt;Author&gt;Polder&lt;/Author&gt;&lt;Year&gt;2006&lt;/Year&gt;&lt;RecNum&gt;658&lt;/RecNum&gt;&lt;DisplayText&gt;[373, 374]&lt;/DisplayText&gt;&lt;record&gt;&lt;rec-number&gt;658&lt;/rec-number&gt;&lt;foreign-keys&gt;&lt;key app="EN" db-id="tdtrdw9aepptzbefsat599syza29sxsd2wsp" timestamp="1625999382"&gt;658&lt;/key&gt;&lt;/foreign-keys&gt;&lt;ref-type name="Journal Article"&gt;17&lt;/ref-type&gt;&lt;contributors&gt;&lt;authors&gt;&lt;author&gt;Polder, Johan J&lt;/author&gt;&lt;author&gt;Barendregt, Jan J&lt;/author&gt;&lt;author&gt;van Oers, Hans&lt;/author&gt;&lt;/authors&gt;&lt;/contributors&gt;&lt;titles&gt;&lt;title&gt;Health care costs in the last year of life—the Dutch experience&lt;/title&gt;&lt;secondary-title&gt;Social science &amp;amp; medicine&lt;/secondary-title&gt;&lt;/titles&gt;&lt;periodical&gt;&lt;full-title&gt;Social science &amp;amp; medicine&lt;/full-title&gt;&lt;/periodical&gt;&lt;pages&gt;1720-1731&lt;/pages&gt;&lt;volume&gt;63&lt;/volume&gt;&lt;number&gt;7&lt;/number&gt;&lt;dates&gt;&lt;year&gt;2006&lt;/year&gt;&lt;/dates&gt;&lt;isbn&gt;0277-9536&lt;/isbn&gt;&lt;urls&gt;&lt;/urls&gt;&lt;/record&gt;&lt;/Cite&gt;&lt;Cite&gt;&lt;Author&gt;Wong&lt;/Author&gt;&lt;Year&gt;2011&lt;/Year&gt;&lt;RecNum&gt;659&lt;/RecNum&gt;&lt;record&gt;&lt;rec-number&gt;659&lt;/rec-number&gt;&lt;foreign-keys&gt;&lt;key app="EN" db-id="tdtrdw9aepptzbefsat599syza29sxsd2wsp" timestamp="1625999390"&gt;659&lt;/key&gt;&lt;/foreign-keys&gt;&lt;ref-type name="Journal Article"&gt;17&lt;/ref-type&gt;&lt;contributors&gt;&lt;authors&gt;&lt;author&gt;Wong, Albert&lt;/author&gt;&lt;author&gt;van Baal, Pieter HM&lt;/author&gt;&lt;author&gt;Boshuizen, Hendriek C&lt;/author&gt;&lt;author&gt;Polder, Johan J&lt;/author&gt;&lt;/authors&gt;&lt;/contributors&gt;&lt;titles&gt;&lt;title&gt;Exploring the influence of proximity to death on disease‐specific hospital expenditures: a carpaccio of red herrings&lt;/title&gt;&lt;secondary-title&gt;Health economics&lt;/secondary-title&gt;&lt;/titles&gt;&lt;periodical&gt;&lt;full-title&gt;Health economics&lt;/full-title&gt;&lt;/periodical&gt;&lt;pages&gt;379-400&lt;/pages&gt;&lt;volume&gt;20&lt;/volume&gt;&lt;number&gt;4&lt;/number&gt;&lt;dates&gt;&lt;year&gt;2011&lt;/year&gt;&lt;/dates&gt;&lt;isbn&gt;1057-9230&lt;/isbn&gt;&lt;urls&gt;&lt;/urls&gt;&lt;/record&gt;&lt;/Cite&gt;&lt;/EndNote&gt;</w:instrText>
      </w:r>
      <w:r w:rsidRPr="004C78D8">
        <w:fldChar w:fldCharType="separate"/>
      </w:r>
      <w:r w:rsidR="00C630FC" w:rsidRPr="004C78D8">
        <w:rPr>
          <w:noProof/>
        </w:rPr>
        <w:t>[373, 374]</w:t>
      </w:r>
      <w:r w:rsidRPr="004C78D8">
        <w:fldChar w:fldCharType="end"/>
      </w:r>
      <w:r w:rsidRPr="004C78D8">
        <w:t xml:space="preserve"> – as incorporated in the four BODE3 models – would improve the cost-effectiveness of interventions preventing premature mortality (e.g., of those below the average life expectancy). Yet comorbidity care costs were included in only six models (Table </w:t>
      </w:r>
      <w:r w:rsidR="007B31DB" w:rsidRPr="004C78D8">
        <w:t>4</w:t>
      </w:r>
      <w:r w:rsidRPr="004C78D8">
        <w:t xml:space="preserve">.7); data availability may again be the barrier. The six models also included </w:t>
      </w:r>
      <w:r w:rsidRPr="004C78D8">
        <w:rPr>
          <w:i/>
          <w:iCs/>
        </w:rPr>
        <w:t>all-cause</w:t>
      </w:r>
      <w:r w:rsidRPr="004C78D8">
        <w:t xml:space="preserve"> background costs and did not subtract fall-related costs, meaning that the latter are double-counted. Moreover, all except Honkanen (2006) stratified the background costs by age and sex alone (Table </w:t>
      </w:r>
      <w:r w:rsidR="007B31DB" w:rsidRPr="004C78D8">
        <w:t>4</w:t>
      </w:r>
      <w:r w:rsidRPr="004C78D8">
        <w:t xml:space="preserve">.13), meaning that the costs are influenced only by falls affecting mortality and not by those affecting morbidity. In all, further research is warranted to incorporate comorbidity costs in falls prevention modelling. </w:t>
      </w:r>
      <w:r w:rsidR="00CE3272" w:rsidRPr="004C78D8">
        <w:t>As discussed, a</w:t>
      </w:r>
      <w:r w:rsidRPr="004C78D8">
        <w:t xml:space="preserve"> potential approach is to estimate the association between falls and multivariate frailty index, which in turn would determine all-cause care costs and subsequent falls risk </w:t>
      </w:r>
      <w:r w:rsidRPr="004C78D8">
        <w:fldChar w:fldCharType="begin">
          <w:fldData xml:space="preserve">PEVuZE5vdGU+PENpdGU+PEF1dGhvcj5IYW48L0F1dGhvcj48WWVhcj4yMDE5PC9ZZWFyPjxSZWNO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</w:fldData>
        </w:fldChar>
      </w:r>
      <w:r w:rsidR="00C630FC" w:rsidRPr="004C78D8">
        <w:instrText xml:space="preserve"> ADDIN EN.CITE </w:instrText>
      </w:r>
      <w:r w:rsidR="00C630FC" w:rsidRPr="004C78D8">
        <w:fldChar w:fldCharType="begin">
          <w:fldData xml:space="preserve">PEVuZE5vdGU+PENpdGU+PEF1dGhvcj5IYW48L0F1dGhvcj48WWVhcj4yMDE5PC9ZZWFyPjxSZWNO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[47, 279, 370]</w:t>
      </w:r>
      <w:r w:rsidRPr="004C78D8">
        <w:fldChar w:fldCharType="end"/>
      </w:r>
      <w:r w:rsidRPr="004C78D8">
        <w:t>.</w:t>
      </w:r>
    </w:p>
    <w:p w14:paraId="1D6B66D8" w14:textId="5448B85E" w:rsidR="00FA547F" w:rsidRPr="004C78D8" w:rsidRDefault="00CE3272" w:rsidP="00FB7C1F">
      <w:r w:rsidRPr="004C78D8">
        <w:t xml:space="preserve">The next two prevalent issues were reporting aggregate outcomes and detailing the comparator scenario. The importance of comparing aggregate outcomes was discussed under Section </w:t>
      </w:r>
      <w:r w:rsidR="006744A3" w:rsidRPr="004C78D8">
        <w:t>4</w:t>
      </w:r>
      <w:r w:rsidRPr="004C78D8">
        <w:t xml:space="preserve">.5.5. In brief, models should assist decision-makers in estimating the aggregate, population-level impact of interventions as recommended by NICE </w:t>
      </w:r>
      <w:r w:rsidR="00692C35" w:rsidRPr="004C78D8">
        <w:t>PMG9</w:t>
      </w:r>
      <w:r w:rsidRPr="004C78D8">
        <w:t xml:space="preserve"> (</w:t>
      </w:r>
      <w:r w:rsidR="001D4B01" w:rsidRPr="004C78D8">
        <w:t>recommendation</w:t>
      </w:r>
      <w:r w:rsidRPr="004C78D8">
        <w:t xml:space="preserve"> 5.12.3) </w:t>
      </w:r>
      <w:r w:rsidRPr="004C78D8">
        <w:fldChar w:fldCharType="begin"/>
      </w:r>
      <w:r w:rsidR="00513646" w:rsidRPr="004C78D8">
        <w:instrText xml:space="preserve"> ADDIN EN.CITE &lt;EndNote&gt;&lt;Cite&gt;&lt;Author&gt;National Institute for Health and Care Excellence&lt;/Author&gt;&lt;Year&gt;2013&lt;/Year&gt;&lt;RecNum&gt;411&lt;/RecNum&gt;&lt;DisplayText&gt;[154]&lt;/DisplayText&gt;&lt;record&gt;&lt;rec-number&gt;411&lt;/rec-number&gt;&lt;foreign-keys&gt;&lt;key app="EN" db-id="tdtrdw9aepptzbefsat599syza29sxsd2wsp" timestamp="1615809068"&gt;411&lt;/key&gt;&lt;/foreign-keys&gt;&lt;ref-type name="Journal Article"&gt;17&lt;/ref-type&gt;&lt;contributors&gt;&lt;authors&gt;&lt;author&gt;National Institute for Health and Care Excellence,&lt;/author&gt;&lt;/authors&gt;&lt;/contributors&gt;&lt;titles&gt;&lt;title&gt;Guide to the methods of technology appraisal 2013&lt;/title&gt;&lt;/titles&gt;&lt;dates&gt;&lt;year&gt;2013&lt;/year&gt;&lt;/dates&gt;&lt;urls&gt;&lt;related-urls&gt;&lt;url&gt;nice.org.uk/process/pmg9&lt;/url&gt;&lt;/related-urls&gt;&lt;/urls&gt;&lt;/record&gt;&lt;/Cite&gt;&lt;/EndNote&gt;</w:instrText>
      </w:r>
      <w:r w:rsidRPr="004C78D8">
        <w:fldChar w:fldCharType="separate"/>
      </w:r>
      <w:r w:rsidR="00513646" w:rsidRPr="004C78D8">
        <w:rPr>
          <w:noProof/>
        </w:rPr>
        <w:t>[154]</w:t>
      </w:r>
      <w:r w:rsidRPr="004C78D8">
        <w:fldChar w:fldCharType="end"/>
      </w:r>
      <w:r w:rsidRPr="004C78D8">
        <w:t xml:space="preserve">. Regarding the comparator scenario, this should closely resemble current practice in the local setting </w:t>
      </w:r>
      <w:r w:rsidRPr="004C78D8">
        <w:fldChar w:fldCharType="begin">
          <w:fldData xml:space="preserve">PEVuZE5vdGU+PENpdGU+PEF1dGhvcj5EYXZpczwvQXV0aG9yPjxZZWFyPjIwMTE8L1llYXI+PFJl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</w:fldData>
        </w:fldChar>
      </w:r>
      <w:r w:rsidR="00C630FC" w:rsidRPr="004C78D8">
        <w:instrText xml:space="preserve"> ADDIN EN.CITE </w:instrText>
      </w:r>
      <w:r w:rsidR="00C630FC" w:rsidRPr="004C78D8">
        <w:fldChar w:fldCharType="begin">
          <w:fldData xml:space="preserve">PEVuZE5vdGU+PENpdGU+PEF1dGhvcj5EYXZpczwvQXV0aG9yPjxZZWFyPjIwMTE8L1llYXI+PFJl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[105, 375]</w:t>
      </w:r>
      <w:r w:rsidRPr="004C78D8">
        <w:fldChar w:fldCharType="end"/>
      </w:r>
      <w:r w:rsidRPr="004C78D8">
        <w:t xml:space="preserve">. It should be noted that the current practice in most settings is likely not the total absence of falls prevention, but rather the under-implementation of existing clinical guidelines </w:t>
      </w:r>
      <w:r w:rsidRPr="004C78D8">
        <w:fldChar w:fldCharType="begin"/>
      </w:r>
      <w:r w:rsidR="00513646" w:rsidRPr="004C78D8">
        <w:instrText xml:space="preserve"> ADDIN EN.CITE &lt;EndNote&gt;&lt;Cite&gt;&lt;Author&gt;McIntyre&lt;/Author&gt;&lt;Year&gt;2019&lt;/Year&gt;&lt;RecNum&gt;93&lt;/RecNum&gt;&lt;DisplayText&gt;[139]&lt;/DisplayText&gt;&lt;record&gt;&lt;rec-number&gt;93&lt;/rec-number&gt;&lt;foreign-keys&gt;&lt;key app="EN" db-id="tdtrdw9aepptzbefsat599syza29sxsd2wsp" timestamp="1598190140"&gt;93&lt;/key&gt;&lt;/foreign-keys&gt;&lt;ref-type name="Journal Article"&gt;17&lt;/ref-type&gt;&lt;contributors&gt;&lt;authors&gt;&lt;author&gt;McIntyre, Anne&lt;/author&gt;&lt;author&gt;Mackenzie, Lynette&lt;/author&gt;&lt;author&gt;Harvey, Michele&lt;/author&gt;&lt;/authors&gt;&lt;/contributors&gt;&lt;titles&gt;&lt;title&gt;Engagement of general practitioners in falls prevention and referral to occupational therapists&lt;/title&gt;&lt;secondary-title&gt;British journal of occupational therapy&lt;/secondary-title&gt;&lt;/titles&gt;&lt;periodical&gt;&lt;full-title&gt;British journal of occupational therapy&lt;/full-title&gt;&lt;/periodical&gt;&lt;pages&gt;71-79&lt;/pages&gt;&lt;volume&gt;82&lt;/volume&gt;&lt;number&gt;2&lt;/number&gt;&lt;dates&gt;&lt;year&gt;2019&lt;/year&gt;&lt;/dates&gt;&lt;isbn&gt;0308-0226&lt;/isbn&gt;&lt;urls&gt;&lt;/urls&gt;&lt;/record&gt;&lt;/Cite&gt;&lt;/EndNote&gt;</w:instrText>
      </w:r>
      <w:r w:rsidRPr="004C78D8">
        <w:fldChar w:fldCharType="separate"/>
      </w:r>
      <w:r w:rsidR="00513646" w:rsidRPr="004C78D8">
        <w:rPr>
          <w:noProof/>
        </w:rPr>
        <w:t>[139]</w:t>
      </w:r>
      <w:r w:rsidRPr="004C78D8">
        <w:fldChar w:fldCharType="end"/>
      </w:r>
      <w:r w:rsidRPr="004C78D8">
        <w:t xml:space="preserve">. Likewise, the most relevant intervention scenario is likely not the provision of new interventions, but rather the upscaling of existing capacity and improving fidelity to recommended practice. With assistance from local stakeholders, future models should pay greater attention to the features of current practice in the decision-making setting and be </w:t>
      </w:r>
      <w:r w:rsidRPr="004C78D8">
        <w:lastRenderedPageBreak/>
        <w:t>more specific in the causal mechanisms being altered under intervention scenarios. As done in Eldridge (2005) and in Section 3.</w:t>
      </w:r>
      <w:r w:rsidR="001D4B01" w:rsidRPr="004C78D8">
        <w:t>7.1</w:t>
      </w:r>
      <w:r w:rsidRPr="004C78D8">
        <w:t xml:space="preserve"> for Sheffield, consultation of local </w:t>
      </w:r>
      <w:r w:rsidR="005D2332" w:rsidRPr="004C78D8">
        <w:t>stakeholders</w:t>
      </w:r>
      <w:r w:rsidRPr="004C78D8">
        <w:t xml:space="preserve"> can assess current referral pathways and demand levels, and detail component-specific strategies.</w:t>
      </w:r>
    </w:p>
    <w:p w14:paraId="12BE2124" w14:textId="04D5C572" w:rsidR="00755F19" w:rsidRPr="004C78D8" w:rsidRDefault="00755F19" w:rsidP="00FB7C1F">
      <w:r w:rsidRPr="004C78D8">
        <w:t xml:space="preserve">Generally, the key challenges for public health economic modelling were handled poorly by existing models; this review offers 16 methodological recommendations for addressing them. </w:t>
      </w:r>
      <w:r w:rsidR="009D6156" w:rsidRPr="004C78D8">
        <w:t xml:space="preserve">The four </w:t>
      </w:r>
      <w:r w:rsidRPr="004C78D8">
        <w:t xml:space="preserve">key </w:t>
      </w:r>
      <w:r w:rsidR="009D6156" w:rsidRPr="004C78D8">
        <w:t xml:space="preserve">challenges were appraised separately in Section </w:t>
      </w:r>
      <w:r w:rsidR="00457CE1" w:rsidRPr="004C78D8">
        <w:t>4</w:t>
      </w:r>
      <w:r w:rsidR="009D6156" w:rsidRPr="004C78D8">
        <w:t xml:space="preserve">.5.3; but the significant interactions between them </w:t>
      </w:r>
      <w:r w:rsidR="00040424" w:rsidRPr="004C78D8">
        <w:t>(as explored conceptually in Section 3.</w:t>
      </w:r>
      <w:r w:rsidR="001D4B01" w:rsidRPr="004C78D8">
        <w:t>8.2</w:t>
      </w:r>
      <w:r w:rsidR="00040424" w:rsidRPr="004C78D8">
        <w:t>)</w:t>
      </w:r>
      <w:r w:rsidRPr="004C78D8">
        <w:t xml:space="preserve"> should be noted by future appraisals</w:t>
      </w:r>
      <w:r w:rsidR="009D6156" w:rsidRPr="004C78D8">
        <w:t xml:space="preserve">. </w:t>
      </w:r>
    </w:p>
    <w:p w14:paraId="350D604A" w14:textId="18044AFB" w:rsidR="009D6156" w:rsidRPr="004C78D8" w:rsidRDefault="00457CE1" w:rsidP="00FB7C1F">
      <w:pPr>
        <w:pStyle w:val="Heading3"/>
      </w:pPr>
      <w:bookmarkStart w:id="134" w:name="_Toc111630769"/>
      <w:r w:rsidRPr="004C78D8">
        <w:t>4</w:t>
      </w:r>
      <w:r w:rsidR="009D6156" w:rsidRPr="004C78D8">
        <w:t>.7.</w:t>
      </w:r>
      <w:r w:rsidR="00755F19" w:rsidRPr="004C78D8">
        <w:t>4</w:t>
      </w:r>
      <w:r w:rsidR="009D6156" w:rsidRPr="004C78D8">
        <w:t xml:space="preserve"> Strengths and limitations of systematic review</w:t>
      </w:r>
      <w:bookmarkEnd w:id="134"/>
    </w:p>
    <w:p w14:paraId="68AD3350" w14:textId="1656C25C" w:rsidR="009D6156" w:rsidRPr="004C78D8" w:rsidRDefault="000E7E60" w:rsidP="00FB7C1F">
      <w:r w:rsidRPr="004C78D8">
        <w:t xml:space="preserve">This systematic review is a comprehensive review of community-based falls prevention models. It includes 26 models unidentified by previous systematic reviews in this area. It also provides a more detailed methodological appraisal than previous systematic reviews using both checklist application and narrative synthesis. The appraisal results arranged by topic areas should facilitate the conceptualisation and cross-validation of future models. </w:t>
      </w:r>
      <w:r w:rsidR="00B738C9" w:rsidRPr="004C78D8">
        <w:t xml:space="preserve">With regards to key </w:t>
      </w:r>
      <w:r w:rsidR="00BB0571" w:rsidRPr="004C78D8">
        <w:t xml:space="preserve">public health modelling </w:t>
      </w:r>
      <w:r w:rsidR="00B738C9" w:rsidRPr="004C78D8">
        <w:t xml:space="preserve">challenges, the range of topics was informed by a previous systematic methodological review </w:t>
      </w:r>
      <w:r w:rsidR="00B738C9" w:rsidRPr="004C78D8">
        <w:fldChar w:fldCharType="begin"/>
      </w:r>
      <w:r w:rsidR="00720CEE">
        <w:instrText xml:space="preserve"> ADDIN EN.CITE &lt;EndNote&gt;&lt;Cite&gt;&lt;Author&gt;Squires&lt;/Author&gt;&lt;Year&gt;2016&lt;/Year&gt;&lt;RecNum&gt;308&lt;/RecNum&gt;&lt;DisplayText&gt;[18]&lt;/DisplayText&gt;&lt;record&gt;&lt;rec-number&gt;308&lt;/rec-number&gt;&lt;foreign-keys&gt;&lt;key app="EN" db-id="tdtrdw9aepptzbefsat599syza29sxsd2wsp" timestamp="1612015645"&gt;308&lt;/key&gt;&lt;/foreign-keys&gt;&lt;ref-type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systematic literature review of the key challenges for developing the structure of public health economic models&lt;/title&gt;&lt;secondary-title&gt;International journal of public health&lt;/secondary-title&gt;&lt;/titles&gt;&lt;periodical&gt;&lt;full-title&gt;International journal of public health&lt;/full-title&gt;&lt;/periodical&gt;&lt;pages&gt;289-298&lt;/pages&gt;&lt;volume&gt;61&lt;/volume&gt;&lt;number&gt;3&lt;/number&gt;&lt;dates&gt;&lt;year&gt;2016&lt;/year&gt;&lt;/dates&gt;&lt;isbn&gt;1661-8556&lt;/isbn&gt;&lt;urls&gt;&lt;/urls&gt;&lt;/record&gt;&lt;/Cite&gt;&lt;/EndNote&gt;</w:instrText>
      </w:r>
      <w:r w:rsidR="00B738C9" w:rsidRPr="004C78D8">
        <w:fldChar w:fldCharType="separate"/>
      </w:r>
      <w:r w:rsidR="00720CEE">
        <w:rPr>
          <w:noProof/>
        </w:rPr>
        <w:t>[18]</w:t>
      </w:r>
      <w:r w:rsidR="00B738C9" w:rsidRPr="004C78D8">
        <w:fldChar w:fldCharType="end"/>
      </w:r>
      <w:r w:rsidR="00B738C9" w:rsidRPr="004C78D8">
        <w:t xml:space="preserve">. In comparison, </w:t>
      </w:r>
      <w:r w:rsidR="00692C35" w:rsidRPr="004C78D8">
        <w:t>the Huter review</w:t>
      </w:r>
      <w:r w:rsidR="00B738C9" w:rsidRPr="004C78D8">
        <w:t xml:space="preserve"> covered only the challenge of capturing non-health outcomes </w:t>
      </w:r>
      <w:r w:rsidR="00B738C9" w:rsidRPr="004C78D8">
        <w:fldChar w:fldCharType="begin"/>
      </w:r>
      <w:r w:rsidR="00C630FC" w:rsidRPr="004C78D8">
        <w:instrText xml:space="preserve"> ADDIN EN.CITE &lt;EndNote&gt;&lt;Cite&gt;&lt;Author&gt;Huter&lt;/Author&gt;&lt;Year&gt;2018&lt;/Year&gt;&lt;RecNum&gt;298&lt;/RecNum&gt;&lt;DisplayText&gt;[331]&lt;/DisplayText&gt;&lt;record&gt;&lt;rec-number&gt;298&lt;/rec-number&gt;&lt;foreign-keys&gt;&lt;key app="EN" db-id="tdtrdw9aepptzbefsat599syza29sxsd2wsp" timestamp="1611871055"&gt;298&lt;/key&gt;&lt;/foreign-keys&gt;&lt;ref-type name="Journal Article"&gt;17&lt;/ref-type&gt;&lt;contributors&gt;&lt;authors&gt;&lt;author&gt;Huter, Kai&lt;/author&gt;&lt;author&gt;Dubas-Jakóbczyk, Katarzyna&lt;/author&gt;&lt;author&gt;Kocot, Ewa&lt;/author&gt;&lt;author&gt;Kissimova-Skarbek, Katarzyna&lt;/author&gt;&lt;author&gt;Rothgang, Heinz&lt;/author&gt;&lt;/authors&gt;&lt;/contributors&gt;&lt;titles&gt;&lt;title&gt;Economic evaluation of health promotion interventions for older people: do applied economic studies meet the methodological challenges?&lt;/title&gt;&lt;secondary-title&gt;Cost Effectiveness and Resource Allocation&lt;/secondary-title&gt;&lt;/titles&gt;&lt;periodical&gt;&lt;full-title&gt;Cost Effectiveness and Resource Allocation&lt;/full-title&gt;&lt;/periodical&gt;&lt;pages&gt;14&lt;/pages&gt;&lt;volume&gt;16&lt;/volume&gt;&lt;number&gt;1&lt;/number&gt;&lt;dates&gt;&lt;year&gt;2018&lt;/year&gt;&lt;/dates&gt;&lt;isbn&gt;1478-7547&lt;/isbn&gt;&lt;urls&gt;&lt;/urls&gt;&lt;/record&gt;&lt;/Cite&gt;&lt;/EndNote&gt;</w:instrText>
      </w:r>
      <w:r w:rsidR="00B738C9" w:rsidRPr="004C78D8">
        <w:fldChar w:fldCharType="separate"/>
      </w:r>
      <w:r w:rsidR="00C630FC" w:rsidRPr="004C78D8">
        <w:rPr>
          <w:noProof/>
        </w:rPr>
        <w:t>[331]</w:t>
      </w:r>
      <w:r w:rsidR="00B738C9" w:rsidRPr="004C78D8">
        <w:fldChar w:fldCharType="end"/>
      </w:r>
      <w:r w:rsidR="00B738C9" w:rsidRPr="004C78D8">
        <w:t xml:space="preserve">, while </w:t>
      </w:r>
      <w:r w:rsidR="00692C35" w:rsidRPr="004C78D8">
        <w:t>the PHE review</w:t>
      </w:r>
      <w:r w:rsidR="00B738C9" w:rsidRPr="004C78D8">
        <w:t xml:space="preserve"> covered only equity issues </w:t>
      </w:r>
      <w:r w:rsidR="00B738C9" w:rsidRPr="004C78D8">
        <w:fldChar w:fldCharType="begin"/>
      </w:r>
      <w:r w:rsidR="00513646" w:rsidRPr="004C78D8">
        <w:instrText xml:space="preserve"> ADDIN EN.CITE &lt;EndNote&gt;&lt;Cite&gt;&lt;Author&gt;Public Health England&lt;/Author&gt;&lt;Year&gt;2018&lt;/Year&gt;&lt;RecNum&gt;295&lt;/RecNum&gt;&lt;DisplayText&gt;[147]&lt;/DisplayText&gt;&lt;record&gt;&lt;rec-number&gt;295&lt;/rec-number&gt;&lt;foreign-keys&gt;&lt;key app="EN" db-id="tdtrdw9aepptzbefsat599syza29sxsd2wsp" timestamp="1611870971"&gt;295&lt;/key&gt;&lt;/foreign-keys&gt;&lt;ref-type name="Journal Article"&gt;17&lt;/ref-type&gt;&lt;contributors&gt;&lt;authors&gt;&lt;author&gt;Public Health England,&lt;/author&gt;&lt;/authors&gt;&lt;/contributors&gt;&lt;titles&gt;&lt;title&gt;A structured literature review to identify cost-effective interventions to prevent falls in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00B738C9" w:rsidRPr="004C78D8">
        <w:fldChar w:fldCharType="separate"/>
      </w:r>
      <w:r w:rsidR="00513646" w:rsidRPr="004C78D8">
        <w:rPr>
          <w:noProof/>
        </w:rPr>
        <w:t>[147]</w:t>
      </w:r>
      <w:r w:rsidR="00B738C9" w:rsidRPr="004C78D8">
        <w:fldChar w:fldCharType="end"/>
      </w:r>
      <w:r w:rsidR="00B738C9" w:rsidRPr="004C78D8">
        <w:t xml:space="preserve">. </w:t>
      </w:r>
      <w:r w:rsidRPr="004C78D8">
        <w:t>Another strength is the consideration of a broad range of outcomes for commissioning recommendations: previous reviews focused primarily on cost-per-unit ratios.</w:t>
      </w:r>
      <w:r w:rsidR="00BC02F5" w:rsidRPr="004C78D8">
        <w:t xml:space="preserve"> Applying the 16-item AMSTAR 2 checklist </w:t>
      </w:r>
      <w:r w:rsidR="00BC02F5" w:rsidRPr="004C78D8">
        <w:fldChar w:fldCharType="begin"/>
      </w:r>
      <w:r w:rsidR="00C630FC" w:rsidRPr="004C78D8">
        <w:instrText xml:space="preserve"> ADDIN EN.CITE &lt;EndNote&gt;&lt;Cite&gt;&lt;Author&gt;Shea&lt;/Author&gt;&lt;Year&gt;2017&lt;/Year&gt;&lt;RecNum&gt;502&lt;/RecNum&gt;&lt;DisplayText&gt;[376]&lt;/DisplayText&gt;&lt;record&gt;&lt;rec-number&gt;502&lt;/rec-number&gt;&lt;foreign-keys&gt;&lt;key app="EN" db-id="tdtrdw9aepptzbefsat599syza29sxsd2wsp" timestamp="1617739137"&gt;502&lt;/key&gt;&lt;/foreign-keys&gt;&lt;ref-type name="Journal Article"&gt;17&lt;/ref-type&gt;&lt;contributors&gt;&lt;authors&gt;&lt;author&gt;Shea, Beverley J&lt;/author&gt;&lt;author&gt;Reeves, Barnaby C&lt;/author&gt;&lt;author&gt;Wells, George&lt;/author&gt;&lt;author&gt;Thuku, Micere&lt;/author&gt;&lt;author&gt;Hamel, Candyce&lt;/author&gt;&lt;author&gt;Moran, Julian&lt;/author&gt;&lt;author&gt;Moher, David&lt;/author&gt;&lt;author&gt;Tugwell, Peter&lt;/author&gt;&lt;author&gt;Welch, Vivian&lt;/author&gt;&lt;author&gt;Kristjansson, Elizabeth&lt;/author&gt;&lt;/authors&gt;&lt;/contributors&gt;&lt;titles&gt;&lt;title&gt;AMSTAR 2: a critical appraisal tool for systematic reviews that include randomised or non-randomised studies of healthcare interventions, or both&lt;/title&gt;&lt;secondary-title&gt;bmj&lt;/secondary-title&gt;&lt;/titles&gt;&lt;periodical&gt;&lt;full-title&gt;Bmj&lt;/full-title&gt;&lt;/periodical&gt;&lt;volume&gt;358&lt;/volume&gt;&lt;dates&gt;&lt;year&gt;2017&lt;/year&gt;&lt;/dates&gt;&lt;isbn&gt;0959-8138&lt;/isbn&gt;&lt;urls&gt;&lt;/urls&gt;&lt;/record&gt;&lt;/Cite&gt;&lt;/EndNote&gt;</w:instrText>
      </w:r>
      <w:r w:rsidR="00BC02F5" w:rsidRPr="004C78D8">
        <w:fldChar w:fldCharType="separate"/>
      </w:r>
      <w:r w:rsidR="00C630FC" w:rsidRPr="004C78D8">
        <w:rPr>
          <w:noProof/>
        </w:rPr>
        <w:t>[376]</w:t>
      </w:r>
      <w:r w:rsidR="00BC02F5" w:rsidRPr="004C78D8">
        <w:fldChar w:fldCharType="end"/>
      </w:r>
      <w:r w:rsidR="00BC02F5" w:rsidRPr="004C78D8">
        <w:t xml:space="preserve">, this systematic review scored 12 </w:t>
      </w:r>
      <w:r w:rsidR="000B7AE1" w:rsidRPr="004C78D8">
        <w:t>‘Yes’ (out of 13 since three items concern meta-analysis methods not applied by previous and current reviews) which is higher than the top score of 10 ‘Yes’ among previous reviews in Table C</w:t>
      </w:r>
      <w:r w:rsidR="00457CE1" w:rsidRPr="004C78D8">
        <w:t>S</w:t>
      </w:r>
      <w:r w:rsidR="000B7AE1" w:rsidRPr="004C78D8">
        <w:t>6, Appendix C.</w:t>
      </w:r>
      <w:r w:rsidR="00BC02F5" w:rsidRPr="004C78D8">
        <w:t xml:space="preserve"> </w:t>
      </w:r>
      <w:r w:rsidR="000B7AE1" w:rsidRPr="004C78D8">
        <w:t>The sole deficit was the non-reporting of funding sources for the included models (item 10).</w:t>
      </w:r>
    </w:p>
    <w:p w14:paraId="01B3E445" w14:textId="7DC1EF95" w:rsidR="00B738C9" w:rsidRPr="004C78D8" w:rsidRDefault="00B738C9" w:rsidP="00FB7C1F">
      <w:r w:rsidRPr="004C78D8">
        <w:t xml:space="preserve">This review nevertheless has several limitations. First, appraisal of previous models was limited to what the studies reported. This presented difficulties in certain areas (e.g., whether Markov model incorporated tunnel states); contacting the study authors for enquiry would have reduced ambiguity. </w:t>
      </w:r>
      <w:r w:rsidR="008A4356" w:rsidRPr="004C78D8">
        <w:t xml:space="preserve">Second, in several ROI analyses (e.g., </w:t>
      </w:r>
      <w:r w:rsidR="008A4356" w:rsidRPr="004C78D8">
        <w:fldChar w:fldCharType="begin">
          <w:fldData xml:space="preserve">PEVuZE5vdGU+PENpdGU+PEF1dGhvcj5DaGFydGVyZWQgU29jaWV0eSBvZiBQaHlzaW90aGVyYXB5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</w:fldData>
        </w:fldChar>
      </w:r>
      <w:r w:rsidR="00C630FC" w:rsidRPr="004C78D8">
        <w:instrText xml:space="preserve"> ADDIN EN.CITE </w:instrText>
      </w:r>
      <w:r w:rsidR="00C630FC" w:rsidRPr="004C78D8">
        <w:fldChar w:fldCharType="begin">
          <w:fldData xml:space="preserve">PEVuZE5vdGU+PENpdGU+PEF1dGhvcj5DaGFydGVyZWQgU29jaWV0eSBvZiBQaHlzaW90aGVyYXB5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</w:fldData>
        </w:fldChar>
      </w:r>
      <w:r w:rsidR="00C630FC" w:rsidRPr="004C78D8">
        <w:instrText xml:space="preserve"> ADDIN EN.CITE.DATA </w:instrText>
      </w:r>
      <w:r w:rsidR="00C630FC" w:rsidRPr="004C78D8">
        <w:fldChar w:fldCharType="end"/>
      </w:r>
      <w:r w:rsidR="008A4356" w:rsidRPr="004C78D8">
        <w:fldChar w:fldCharType="separate"/>
      </w:r>
      <w:r w:rsidR="00C630FC" w:rsidRPr="004C78D8">
        <w:rPr>
          <w:noProof/>
        </w:rPr>
        <w:t>[207, 359, 364]</w:t>
      </w:r>
      <w:r w:rsidR="008A4356" w:rsidRPr="004C78D8">
        <w:fldChar w:fldCharType="end"/>
      </w:r>
      <w:r w:rsidR="008A4356" w:rsidRPr="004C78D8">
        <w:t xml:space="preserve">), it was unclear whether the analyses constituted full comparative economic evaluations or partial non-comparative service evaluations </w:t>
      </w:r>
      <w:r w:rsidR="008A4356" w:rsidRPr="004C78D8">
        <w:fldChar w:fldCharType="begin"/>
      </w:r>
      <w:r w:rsidR="00513646" w:rsidRPr="004C78D8">
        <w:instrText xml:space="preserve"> ADDIN EN.CITE &lt;EndNote&gt;&lt;Cite&gt;&lt;Author&gt;Franklin&lt;/Author&gt;&lt;Year&gt;2020&lt;/Year&gt;&lt;RecNum&gt;781&lt;/RecNum&gt;&lt;DisplayText&gt;[162]&lt;/DisplayText&gt;&lt;record&gt;&lt;rec-number&gt;781&lt;/rec-number&gt;&lt;foreign-keys&gt;&lt;key app="EN" db-id="tdtrdw9aepptzbefsat599syza29sxsd2wsp" timestamp="1642446692"&gt;781&lt;/key&gt;&lt;/foreign-keys&gt;&lt;ref-type name="Journal Article"&gt;17&lt;/ref-type&gt;&lt;contributors&gt;&lt;authors&gt;&lt;author&gt;Franklin, Matthew&lt;/author&gt;&lt;author&gt;Lomas, James&lt;/author&gt;&lt;author&gt;Richardson, Gerry&lt;/author&gt;&lt;/authors&gt;&lt;/contributors&gt;&lt;titles&gt;&lt;title&gt;Conducting value for money analyses for non-randomised interventional studies including service evaluations: an educational review with recommendations&lt;/title&gt;&lt;secondary-title&gt;PharmacoEconomics&lt;/secondary-title&gt;&lt;/titles&gt;&lt;periodical&gt;&lt;full-title&gt;PharmacoEconomics&lt;/full-title&gt;&lt;/periodical&gt;&lt;pages&gt;665-681&lt;/pages&gt;&lt;volume&gt;38&lt;/volume&gt;&lt;number&gt;7&lt;/number&gt;&lt;dates&gt;&lt;year&gt;2020&lt;/year&gt;&lt;/dates&gt;&lt;isbn&gt;1179-2027&lt;/isbn&gt;&lt;urls&gt;&lt;/urls&gt;&lt;/record&gt;&lt;/Cite&gt;&lt;/EndNote&gt;</w:instrText>
      </w:r>
      <w:r w:rsidR="008A4356" w:rsidRPr="004C78D8">
        <w:fldChar w:fldCharType="separate"/>
      </w:r>
      <w:r w:rsidR="00513646" w:rsidRPr="004C78D8">
        <w:rPr>
          <w:noProof/>
        </w:rPr>
        <w:t>[162]</w:t>
      </w:r>
      <w:r w:rsidR="008A4356" w:rsidRPr="004C78D8">
        <w:fldChar w:fldCharType="end"/>
      </w:r>
      <w:r w:rsidR="008A4356" w:rsidRPr="004C78D8">
        <w:t>. Third</w:t>
      </w:r>
      <w:r w:rsidRPr="004C78D8">
        <w:t xml:space="preserve">, unlike previous reviews, this review excluded non-modelling evaluations which still offer useful information for commissioning </w:t>
      </w:r>
      <w:r w:rsidRPr="004C78D8">
        <w:fldChar w:fldCharType="begin"/>
      </w:r>
      <w:r w:rsidR="00C630FC" w:rsidRPr="004C78D8">
        <w:instrText xml:space="preserve"> ADDIN EN.CITE &lt;EndNote&gt;&lt;Cite&gt;&lt;Author&gt;Winser&lt;/Author&gt;&lt;Year&gt;2020&lt;/Year&gt;&lt;RecNum&gt;100&lt;/RecNum&gt;&lt;DisplayText&gt;[332]&lt;/DisplayText&gt;&lt;record&gt;&lt;rec-number&gt;100&lt;/rec-number&gt;&lt;foreign-keys&gt;&lt;key app="EN" db-id="tdtrdw9aepptzbefsat599syza29sxsd2wsp" timestamp="1598192620"&gt;100&lt;/key&gt;&lt;/foreign-keys&gt;&lt;ref-type name="Journal Article"&gt;17&lt;/ref-type&gt;&lt;contributors&gt;&lt;authors&gt;&lt;author&gt;Winser, Stanley John&lt;/author&gt;&lt;author&gt;Chan, Hei Tung Fion&lt;/author&gt;&lt;author&gt;Ho, Lam&lt;/author&gt;&lt;author&gt;Chung, Lau Sze&lt;/author&gt;&lt;author&gt;Ching, Lau Tsz&lt;/author&gt;&lt;author&gt;Felix, Tom Kin Lok&lt;/author&gt;&lt;author&gt;Kannan, Priya&lt;/author&gt;&lt;/authors&gt;&lt;/contributors&gt;&lt;titles&gt;&lt;title&gt;Dosage for cost-effective exercise-based falls prevention programs for older people: a systematic review of economic evaluations&lt;/title&gt;&lt;secondary-title&gt;Annals of physical and rehabilitation medicine&lt;/secondary-title&gt;&lt;/titles&gt;&lt;periodical&gt;&lt;full-title&gt;Annals of physical and rehabilitation medicine&lt;/full-title&gt;&lt;/periodical&gt;&lt;pages&gt;69-80&lt;/pages&gt;&lt;volume&gt;63&lt;/volume&gt;&lt;number&gt;1&lt;/number&gt;&lt;dates&gt;&lt;year&gt;2020&lt;/year&gt;&lt;/dates&gt;&lt;isbn&gt;1877-0657&lt;/isbn&gt;&lt;urls&gt;&lt;/urls&gt;&lt;/record&gt;&lt;/Cite&gt;&lt;/EndNote&gt;</w:instrText>
      </w:r>
      <w:r w:rsidRPr="004C78D8">
        <w:fldChar w:fldCharType="separate"/>
      </w:r>
      <w:r w:rsidR="00C630FC" w:rsidRPr="004C78D8">
        <w:rPr>
          <w:noProof/>
        </w:rPr>
        <w:t>[332]</w:t>
      </w:r>
      <w:r w:rsidRPr="004C78D8">
        <w:fldChar w:fldCharType="end"/>
      </w:r>
      <w:r w:rsidRPr="004C78D8">
        <w:t xml:space="preserve">; however, their incommensurable methodological features relative to models would have over-extended the </w:t>
      </w:r>
      <w:r w:rsidR="000B1C5E" w:rsidRPr="004C78D8">
        <w:t xml:space="preserve">appraisal </w:t>
      </w:r>
      <w:r w:rsidRPr="004C78D8">
        <w:t xml:space="preserve">boundary. </w:t>
      </w:r>
      <w:r w:rsidR="008A4356" w:rsidRPr="004C78D8">
        <w:t>Fourth</w:t>
      </w:r>
      <w:r w:rsidRPr="004C78D8">
        <w:t xml:space="preserve">, the review did not test for possible publication bias; there is hence a risk that favourable cost-effectiveness results are over-represented. Finally, the commissioning recommendations were based solely on general population, lifetime models, even though non-general population and/or non-lifetime models still offer useful information to decision-makers. </w:t>
      </w:r>
    </w:p>
    <w:p w14:paraId="344DF758" w14:textId="14111919" w:rsidR="002538CF" w:rsidRPr="004C78D8" w:rsidRDefault="00457CE1" w:rsidP="00FB7C1F">
      <w:pPr>
        <w:pStyle w:val="Heading2"/>
      </w:pPr>
      <w:bookmarkStart w:id="135" w:name="_Toc93566882"/>
      <w:bookmarkStart w:id="136" w:name="_Toc111630770"/>
      <w:r w:rsidRPr="004C78D8">
        <w:t>4</w:t>
      </w:r>
      <w:r w:rsidR="002538CF" w:rsidRPr="004C78D8">
        <w:t>.</w:t>
      </w:r>
      <w:r w:rsidR="000C7B8C" w:rsidRPr="004C78D8">
        <w:t>8</w:t>
      </w:r>
      <w:r w:rsidR="002538CF" w:rsidRPr="004C78D8">
        <w:t xml:space="preserve"> Chapter summary</w:t>
      </w:r>
      <w:bookmarkEnd w:id="135"/>
      <w:bookmarkEnd w:id="136"/>
    </w:p>
    <w:p w14:paraId="6DBD241D" w14:textId="41EF78B0" w:rsidR="0055670B" w:rsidRPr="004C78D8" w:rsidRDefault="00367DF0" w:rsidP="00FB7C1F">
      <w:r w:rsidRPr="004C78D8">
        <w:t xml:space="preserve">There is evidence from previous models that combined multifactorial and environmental intervention, </w:t>
      </w:r>
      <w:r w:rsidRPr="004C78D8">
        <w:rPr>
          <w:rFonts w:cs="Times New Roman"/>
        </w:rPr>
        <w:t xml:space="preserve">general physical activity promotion for women, and targeted vitamin D supplementation are cost-effective relative to no intervention. This offers a point of comparison for commissioning recommendations formulated from </w:t>
      </w:r>
      <w:r w:rsidRPr="004C78D8">
        <w:rPr>
          <w:rFonts w:cs="Times New Roman"/>
          <w:i/>
          <w:iCs/>
        </w:rPr>
        <w:t>de novo</w:t>
      </w:r>
      <w:r w:rsidRPr="004C78D8">
        <w:rPr>
          <w:rFonts w:cs="Times New Roman"/>
        </w:rPr>
        <w:t xml:space="preserve"> model analysis in Chapter </w:t>
      </w:r>
      <w:r w:rsidR="00457CE1" w:rsidRPr="004C78D8">
        <w:rPr>
          <w:rFonts w:cs="Times New Roman"/>
        </w:rPr>
        <w:t>6</w:t>
      </w:r>
      <w:r w:rsidRPr="004C78D8">
        <w:rPr>
          <w:rFonts w:cs="Times New Roman"/>
        </w:rPr>
        <w:t xml:space="preserve">. Narrative synthesis and appraisal found significant heterogeneity in modelling methods across falls epidemiology, falls prevention intervention and evaluation methods. Existing models </w:t>
      </w:r>
      <w:r w:rsidRPr="004C78D8">
        <w:t>contain major methodological limitations spanning the key challenges for public health economic modelling</w:t>
      </w:r>
      <w:r w:rsidRPr="004C78D8">
        <w:rPr>
          <w:rFonts w:cs="Times New Roman"/>
        </w:rPr>
        <w:t xml:space="preserve">. This systematic review provides </w:t>
      </w:r>
      <w:r w:rsidR="000B1C5E" w:rsidRPr="004C78D8">
        <w:rPr>
          <w:rFonts w:cs="Times New Roman"/>
        </w:rPr>
        <w:t xml:space="preserve">a </w:t>
      </w:r>
      <w:r w:rsidRPr="004C78D8">
        <w:rPr>
          <w:rFonts w:cs="Times New Roman"/>
        </w:rPr>
        <w:t xml:space="preserve">comprehensive catalogue of modelling methods for community-based falls prevention which will inform the model development in </w:t>
      </w:r>
      <w:r w:rsidR="00457CE1" w:rsidRPr="004C78D8">
        <w:rPr>
          <w:rFonts w:cs="Times New Roman"/>
        </w:rPr>
        <w:t>the next chapter</w:t>
      </w:r>
      <w:r w:rsidRPr="004C78D8">
        <w:rPr>
          <w:rFonts w:cs="Times New Roman"/>
        </w:rPr>
        <w:t>.</w:t>
      </w:r>
      <w:r w:rsidR="00CD08C6" w:rsidRPr="004C78D8">
        <w:br w:type="page"/>
      </w:r>
    </w:p>
    <w:p w14:paraId="4651C935" w14:textId="1AF5D3F4" w:rsidR="002A3214" w:rsidRPr="004C78D8" w:rsidRDefault="002A3214" w:rsidP="00FB7C1F">
      <w:pPr>
        <w:pStyle w:val="Heading1"/>
      </w:pPr>
      <w:bookmarkStart w:id="137" w:name="_Toc93566883"/>
      <w:bookmarkStart w:id="138" w:name="_Toc111630771"/>
      <w:r w:rsidRPr="004C78D8">
        <w:lastRenderedPageBreak/>
        <w:t xml:space="preserve">Chapter </w:t>
      </w:r>
      <w:r w:rsidR="0041068E" w:rsidRPr="004C78D8">
        <w:t>5</w:t>
      </w:r>
      <w:r w:rsidRPr="004C78D8">
        <w:t>. Falls Prevention Economic Model Development</w:t>
      </w:r>
      <w:bookmarkEnd w:id="137"/>
      <w:bookmarkEnd w:id="138"/>
    </w:p>
    <w:p w14:paraId="0BAC60EB" w14:textId="21BB12BC" w:rsidR="002A3214" w:rsidRPr="004C78D8" w:rsidRDefault="002A3214" w:rsidP="00FB7C1F"/>
    <w:p w14:paraId="20CA795C" w14:textId="116AF2BD" w:rsidR="002A3214" w:rsidRPr="004C78D8" w:rsidRDefault="00260E67" w:rsidP="00FB7C1F">
      <w:pPr>
        <w:pStyle w:val="Heading2"/>
      </w:pPr>
      <w:bookmarkStart w:id="139" w:name="_Toc93566884"/>
      <w:bookmarkStart w:id="140" w:name="_Toc111630772"/>
      <w:r w:rsidRPr="004C78D8">
        <w:t>5</w:t>
      </w:r>
      <w:r w:rsidR="002A3214" w:rsidRPr="004C78D8">
        <w:t>.1 Chapter outline</w:t>
      </w:r>
      <w:bookmarkEnd w:id="139"/>
      <w:bookmarkEnd w:id="140"/>
    </w:p>
    <w:p w14:paraId="7845EA0C" w14:textId="3B88331D" w:rsidR="00BF483D" w:rsidRPr="004C78D8" w:rsidRDefault="002A3214" w:rsidP="00FB7C1F">
      <w:r w:rsidRPr="004C78D8">
        <w:t xml:space="preserve">This chapter aims to develop </w:t>
      </w:r>
      <w:r w:rsidR="00BB0571" w:rsidRPr="004C78D8">
        <w:t>the final implemented</w:t>
      </w:r>
      <w:r w:rsidRPr="004C78D8">
        <w:t xml:space="preserve"> falls prevention economic model. The development process builds on the understanding of the problem </w:t>
      </w:r>
      <w:r w:rsidR="00FF6271" w:rsidRPr="004C78D8">
        <w:t>conceptualised</w:t>
      </w:r>
      <w:r w:rsidRPr="004C78D8">
        <w:t xml:space="preserve"> in Chapter 3</w:t>
      </w:r>
      <w:r w:rsidR="0041169B" w:rsidRPr="004C78D8">
        <w:t>.</w:t>
      </w:r>
      <w:r w:rsidRPr="004C78D8">
        <w:t xml:space="preserve"> </w:t>
      </w:r>
      <w:r w:rsidR="0041169B" w:rsidRPr="004C78D8">
        <w:t>T</w:t>
      </w:r>
      <w:r w:rsidRPr="004C78D8">
        <w:t xml:space="preserve">he review and methodological </w:t>
      </w:r>
      <w:r w:rsidR="00FF6271" w:rsidRPr="004C78D8">
        <w:t>appraisal</w:t>
      </w:r>
      <w:r w:rsidRPr="004C78D8">
        <w:t xml:space="preserve"> of previous falls prevention economic models in Chapter </w:t>
      </w:r>
      <w:r w:rsidR="00260E67" w:rsidRPr="004C78D8">
        <w:t>4</w:t>
      </w:r>
      <w:r w:rsidR="0041169B" w:rsidRPr="004C78D8">
        <w:t xml:space="preserve"> constituted the first part of Phase (D) for developing and justifying the model structure according to public health modelling framework </w:t>
      </w:r>
      <w:r w:rsidR="0041169B" w:rsidRPr="004C78D8">
        <w:fldChar w:fldCharType="begin"/>
      </w:r>
      <w:r w:rsidR="0041169B" w:rsidRPr="004C78D8">
        <w:instrText xml:space="preserve"> ADDIN EN.CITE &lt;EndNote&gt;&lt;Cite&gt;&lt;Author&gt;Squires&lt;/Author&gt;&lt;Year&gt;2016&lt;/Year&gt;&lt;RecNum&gt;158&lt;/RecNum&gt;&lt;DisplayText&gt;[1]&lt;/DisplayText&gt;&lt;record&gt;&lt;rec-number&gt;158&lt;/rec-number&gt;&lt;foreign-keys&gt;&lt;key app="EN" db-id="tdtrdw9aepptzbefsat599syza29sxsd2wsp" timestamp="1609254669"&gt;158&lt;/key&gt;&lt;/foreign-keys&gt;&lt;ref-type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framework for developing the structure of public health economic models&lt;/title&gt;&lt;secondary-title&gt;Value in Health&lt;/secondary-title&gt;&lt;/titles&gt;&lt;periodical&gt;&lt;full-title&gt;Value in Health&lt;/full-title&gt;&lt;/periodical&gt;&lt;pages&gt;588-601&lt;/pages&gt;&lt;volume&gt;19&lt;/volume&gt;&lt;number&gt;5&lt;/number&gt;&lt;dates&gt;&lt;year&gt;2016&lt;/year&gt;&lt;/dates&gt;&lt;isbn&gt;1098-3015&lt;/isbn&gt;&lt;urls&gt;&lt;/urls&gt;&lt;research-notes&gt;1&lt;/research-notes&gt;&lt;/record&gt;&lt;/Cite&gt;&lt;/EndNote&gt;</w:instrText>
      </w:r>
      <w:r w:rsidR="0041169B" w:rsidRPr="004C78D8">
        <w:fldChar w:fldCharType="separate"/>
      </w:r>
      <w:r w:rsidR="0041169B" w:rsidRPr="004C78D8">
        <w:rPr>
          <w:noProof/>
        </w:rPr>
        <w:t>[1]</w:t>
      </w:r>
      <w:r w:rsidR="0041169B" w:rsidRPr="004C78D8">
        <w:fldChar w:fldCharType="end"/>
      </w:r>
      <w:r w:rsidR="0041169B" w:rsidRPr="004C78D8">
        <w:t>. This chapter completes the rest of Phase (D)</w:t>
      </w:r>
      <w:r w:rsidR="003D6B33" w:rsidRPr="004C78D8">
        <w:t xml:space="preserve"> and </w:t>
      </w:r>
      <w:r w:rsidR="0041169B" w:rsidRPr="004C78D8">
        <w:t>follow</w:t>
      </w:r>
      <w:r w:rsidR="003D6B33" w:rsidRPr="004C78D8">
        <w:t>s</w:t>
      </w:r>
      <w:r w:rsidR="0041169B" w:rsidRPr="004C78D8">
        <w:t xml:space="preserve"> the recommended steps </w:t>
      </w:r>
      <w:r w:rsidR="003D6B33" w:rsidRPr="004C78D8">
        <w:t>such as determining the level of model detail given the available evidence</w:t>
      </w:r>
      <w:r w:rsidR="00386E6A" w:rsidRPr="004C78D8">
        <w:t xml:space="preserve">/time </w:t>
      </w:r>
      <w:r w:rsidR="003D6B33" w:rsidRPr="004C78D8">
        <w:t xml:space="preserve">and developing a transparent qualitative description of the model </w:t>
      </w:r>
      <w:r w:rsidR="003D6B33" w:rsidRPr="004C78D8">
        <w:fldChar w:fldCharType="begin"/>
      </w:r>
      <w:r w:rsidR="00BB47BA" w:rsidRPr="004C78D8">
        <w:instrText xml:space="preserve"> ADDIN EN.CITE &lt;EndNote&gt;&lt;Cite&gt;&lt;Author&gt;Squires&lt;/Author&gt;&lt;Year&gt;2016&lt;/Year&gt;&lt;RecNum&gt;158&lt;/RecNum&gt;&lt;DisplayText&gt;[1, 173]&lt;/DisplayText&gt;&lt;record&gt;&lt;rec-number&gt;158&lt;/rec-number&gt;&lt;foreign-keys&gt;&lt;key app="EN" db-id="tdtrdw9aepptzbefsat599syza29sxsd2wsp" timestamp="1609254669"&gt;158&lt;/key&gt;&lt;/foreign-keys&gt;&lt;ref-type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framework for developing the structure of public health economic models&lt;/title&gt;&lt;secondary-title&gt;Value in Health&lt;/secondary-title&gt;&lt;/titles&gt;&lt;periodical&gt;&lt;full-title&gt;Value in Health&lt;/full-title&gt;&lt;/periodical&gt;&lt;pages&gt;588-601&lt;/pages&gt;&lt;volume&gt;19&lt;/volume&gt;&lt;number&gt;5&lt;/number&gt;&lt;dates&gt;&lt;year&gt;2016&lt;/year&gt;&lt;/dates&gt;&lt;isbn&gt;1098-3015&lt;/isbn&gt;&lt;urls&gt;&lt;/urls&gt;&lt;research-notes&gt;1&lt;/research-notes&gt;&lt;/record&gt;&lt;/Cite&gt;&lt;Cite&gt;&lt;Author&gt;Eddy&lt;/Author&gt;&lt;Year&gt;2012&lt;/Year&gt;&lt;RecNum&gt;360&lt;/RecNum&gt;&lt;record&gt;&lt;rec-number&gt;360&lt;/rec-number&gt;&lt;foreign-keys&gt;&lt;key app="EN" db-id="tdtrdw9aepptzbefsat599syza29sxsd2wsp" timestamp="1612218136"&gt;360&lt;/key&gt;&lt;/foreign-keys&gt;&lt;ref-type name="Journal Article"&gt;17&lt;/ref-type&gt;&lt;contributors&gt;&lt;authors&gt;&lt;author&gt;Eddy, David M&lt;/author&gt;&lt;author&gt;Hollingworth, William&lt;/author&gt;&lt;author&gt;Caro, J Jaime&lt;/author&gt;&lt;author&gt;Tsevat, Joel&lt;/author&gt;&lt;author&gt;McDonald, Kathryn M&lt;/author&gt;&lt;author&gt;Wong, John B&lt;/author&gt;&lt;/authors&gt;&lt;/contributors&gt;&lt;titles&gt;&lt;title&gt;Model transparency and validation: a report of the ISPOR-SMDM Modeling Good Research Practices Task Force–7&lt;/title&gt;&lt;secondary-title&gt;Medical Decision Making&lt;/secondary-title&gt;&lt;/titles&gt;&lt;periodical&gt;&lt;full-title&gt;Medical Decision Making&lt;/full-title&gt;&lt;/periodical&gt;&lt;pages&gt;733-743&lt;/pages&gt;&lt;volume&gt;32&lt;/volume&gt;&lt;number&gt;5&lt;/number&gt;&lt;dates&gt;&lt;year&gt;2012&lt;/year&gt;&lt;/dates&gt;&lt;isbn&gt;0272-989X&lt;/isbn&gt;&lt;urls&gt;&lt;/urls&gt;&lt;/record&gt;&lt;/Cite&gt;&lt;/EndNote&gt;</w:instrText>
      </w:r>
      <w:r w:rsidR="003D6B33" w:rsidRPr="004C78D8">
        <w:fldChar w:fldCharType="separate"/>
      </w:r>
      <w:r w:rsidR="00BB47BA" w:rsidRPr="004C78D8">
        <w:rPr>
          <w:noProof/>
        </w:rPr>
        <w:t>[1, 173]</w:t>
      </w:r>
      <w:r w:rsidR="003D6B33" w:rsidRPr="004C78D8">
        <w:fldChar w:fldCharType="end"/>
      </w:r>
      <w:r w:rsidR="003D6B33" w:rsidRPr="004C78D8">
        <w:t xml:space="preserve">. </w:t>
      </w:r>
      <w:r w:rsidRPr="004C78D8">
        <w:t xml:space="preserve">Section </w:t>
      </w:r>
      <w:r w:rsidR="00260E67" w:rsidRPr="004C78D8">
        <w:t>5</w:t>
      </w:r>
      <w:r w:rsidRPr="004C78D8">
        <w:t>.</w:t>
      </w:r>
      <w:r w:rsidR="003D6B33" w:rsidRPr="004C78D8">
        <w:t>2</w:t>
      </w:r>
      <w:r w:rsidRPr="004C78D8">
        <w:t xml:space="preserve"> describes the </w:t>
      </w:r>
      <w:r w:rsidR="00AE7ACE" w:rsidRPr="004C78D8">
        <w:t>model parameterisation</w:t>
      </w:r>
      <w:r w:rsidR="003D6B33" w:rsidRPr="004C78D8">
        <w:t xml:space="preserve">. </w:t>
      </w:r>
      <w:r w:rsidRPr="004C78D8">
        <w:t xml:space="preserve">Section </w:t>
      </w:r>
      <w:r w:rsidR="00260E67" w:rsidRPr="004C78D8">
        <w:t>5</w:t>
      </w:r>
      <w:r w:rsidRPr="004C78D8">
        <w:t>.</w:t>
      </w:r>
      <w:r w:rsidR="003D6B33" w:rsidRPr="004C78D8">
        <w:t>3</w:t>
      </w:r>
      <w:r w:rsidRPr="004C78D8">
        <w:t xml:space="preserve"> </w:t>
      </w:r>
      <w:r w:rsidR="003D6B33" w:rsidRPr="004C78D8">
        <w:t>conducts</w:t>
      </w:r>
      <w:r w:rsidR="001447BE" w:rsidRPr="004C78D8">
        <w:t xml:space="preserve"> model validation</w:t>
      </w:r>
      <w:r w:rsidR="00142895" w:rsidRPr="004C78D8">
        <w:t xml:space="preserve">. Section </w:t>
      </w:r>
      <w:r w:rsidR="00260E67" w:rsidRPr="004C78D8">
        <w:t>5</w:t>
      </w:r>
      <w:r w:rsidR="00142895" w:rsidRPr="004C78D8">
        <w:t>.</w:t>
      </w:r>
      <w:r w:rsidR="003D6B33" w:rsidRPr="004C78D8">
        <w:t>4</w:t>
      </w:r>
      <w:r w:rsidR="001447BE" w:rsidRPr="004C78D8">
        <w:t xml:space="preserve"> </w:t>
      </w:r>
      <w:r w:rsidR="00142895" w:rsidRPr="004C78D8">
        <w:t xml:space="preserve">outlines the </w:t>
      </w:r>
      <w:r w:rsidR="001447BE" w:rsidRPr="004C78D8">
        <w:t>model evaluation methods</w:t>
      </w:r>
      <w:r w:rsidR="00142895" w:rsidRPr="004C78D8">
        <w:t xml:space="preserve">, and Section </w:t>
      </w:r>
      <w:r w:rsidR="00260E67" w:rsidRPr="004C78D8">
        <w:t>5</w:t>
      </w:r>
      <w:r w:rsidR="00142895" w:rsidRPr="004C78D8">
        <w:t>.</w:t>
      </w:r>
      <w:r w:rsidR="003D6B33" w:rsidRPr="004C78D8">
        <w:t>5</w:t>
      </w:r>
      <w:r w:rsidR="00142895" w:rsidRPr="004C78D8">
        <w:t xml:space="preserve"> </w:t>
      </w:r>
      <w:r w:rsidR="003D6B33" w:rsidRPr="004C78D8">
        <w:t>concludes</w:t>
      </w:r>
      <w:r w:rsidR="00142895" w:rsidRPr="004C78D8">
        <w:t>.</w:t>
      </w:r>
      <w:r w:rsidR="00386E6A" w:rsidRPr="004C78D8">
        <w:t xml:space="preserve"> Detailed appraisals of the model’s strengths and limitations are conducted in </w:t>
      </w:r>
      <w:r w:rsidR="009D2E44" w:rsidRPr="004C78D8">
        <w:t xml:space="preserve">Chapter </w:t>
      </w:r>
      <w:r w:rsidR="00260E67" w:rsidRPr="004C78D8">
        <w:t xml:space="preserve">6 </w:t>
      </w:r>
      <w:r w:rsidR="00386E6A" w:rsidRPr="004C78D8">
        <w:t xml:space="preserve">after the results are presented. </w:t>
      </w:r>
    </w:p>
    <w:p w14:paraId="476F0F46" w14:textId="77777777" w:rsidR="00CD7234" w:rsidRPr="004C78D8" w:rsidRDefault="00CD7234" w:rsidP="00FB7C1F"/>
    <w:p w14:paraId="5CA1159E" w14:textId="731DA61D" w:rsidR="001C0FD6" w:rsidRPr="004C78D8" w:rsidRDefault="00260E67" w:rsidP="00FB7C1F">
      <w:pPr>
        <w:pStyle w:val="Heading2"/>
      </w:pPr>
      <w:bookmarkStart w:id="141" w:name="_Toc93566885"/>
      <w:bookmarkStart w:id="142" w:name="_Toc111630773"/>
      <w:r w:rsidRPr="004C78D8">
        <w:t>5</w:t>
      </w:r>
      <w:r w:rsidR="001C0FD6" w:rsidRPr="004C78D8">
        <w:t>.</w:t>
      </w:r>
      <w:r w:rsidR="00386E6A" w:rsidRPr="004C78D8">
        <w:t>2</w:t>
      </w:r>
      <w:r w:rsidR="001C0FD6" w:rsidRPr="004C78D8">
        <w:t xml:space="preserve"> Model </w:t>
      </w:r>
      <w:r w:rsidR="00DD09D8" w:rsidRPr="004C78D8">
        <w:t>development</w:t>
      </w:r>
      <w:bookmarkEnd w:id="141"/>
      <w:bookmarkEnd w:id="142"/>
    </w:p>
    <w:p w14:paraId="692E7D3E" w14:textId="3F4F5CA5" w:rsidR="00E717B1" w:rsidRPr="004C78D8" w:rsidRDefault="00E717B1" w:rsidP="00FB7C1F">
      <w:r w:rsidRPr="004C78D8">
        <w:t xml:space="preserve">The model was </w:t>
      </w:r>
      <w:r w:rsidR="00DD09D8" w:rsidRPr="004C78D8">
        <w:t>developed</w:t>
      </w:r>
      <w:r w:rsidRPr="004C78D8">
        <w:t xml:space="preserve"> in several stages corresponding to sequential simulation</w:t>
      </w:r>
      <w:r w:rsidR="000F6651" w:rsidRPr="004C78D8">
        <w:t xml:space="preserve"> steps</w:t>
      </w:r>
      <w:r w:rsidRPr="004C78D8">
        <w:t>:</w:t>
      </w:r>
    </w:p>
    <w:p w14:paraId="37879B26" w14:textId="2DB43A3E" w:rsidR="00E717B1" w:rsidRPr="004C78D8" w:rsidRDefault="00CE7A2B" w:rsidP="00FB7C1F">
      <w:pPr>
        <w:pStyle w:val="ListParagraph"/>
        <w:numPr>
          <w:ilvl w:val="0"/>
          <w:numId w:val="2"/>
        </w:numPr>
      </w:pPr>
      <w:r w:rsidRPr="004C78D8">
        <w:t>Evaluation</w:t>
      </w:r>
      <w:r w:rsidR="00E717B1" w:rsidRPr="004C78D8">
        <w:t xml:space="preserve"> </w:t>
      </w:r>
      <w:r w:rsidR="003D6B33" w:rsidRPr="004C78D8">
        <w:t xml:space="preserve">framework </w:t>
      </w:r>
      <w:r w:rsidR="00E717B1" w:rsidRPr="004C78D8">
        <w:t xml:space="preserve">and model overview (Section </w:t>
      </w:r>
      <w:r w:rsidR="00952EA8" w:rsidRPr="004C78D8">
        <w:t>5</w:t>
      </w:r>
      <w:r w:rsidR="00E717B1" w:rsidRPr="004C78D8">
        <w:t>.</w:t>
      </w:r>
      <w:r w:rsidR="00386E6A" w:rsidRPr="004C78D8">
        <w:t>2</w:t>
      </w:r>
      <w:r w:rsidR="00E717B1" w:rsidRPr="004C78D8">
        <w:t>.1)</w:t>
      </w:r>
    </w:p>
    <w:p w14:paraId="6857E2A9" w14:textId="762B347D" w:rsidR="00E717B1" w:rsidRPr="004C78D8" w:rsidRDefault="008D13FA" w:rsidP="00FB7C1F">
      <w:pPr>
        <w:pStyle w:val="ListParagraph"/>
        <w:numPr>
          <w:ilvl w:val="0"/>
          <w:numId w:val="2"/>
        </w:numPr>
      </w:pPr>
      <w:r w:rsidRPr="004C78D8">
        <w:t>Baseline characteristics</w:t>
      </w:r>
      <w:r w:rsidR="00E717B1" w:rsidRPr="004C78D8">
        <w:t xml:space="preserve"> (Section </w:t>
      </w:r>
      <w:r w:rsidR="00952EA8" w:rsidRPr="004C78D8">
        <w:t>5</w:t>
      </w:r>
      <w:r w:rsidR="00E717B1" w:rsidRPr="004C78D8">
        <w:t>.</w:t>
      </w:r>
      <w:r w:rsidR="00386E6A" w:rsidRPr="004C78D8">
        <w:t>2</w:t>
      </w:r>
      <w:r w:rsidR="00E717B1" w:rsidRPr="004C78D8">
        <w:t>.2)</w:t>
      </w:r>
    </w:p>
    <w:p w14:paraId="68339AAC" w14:textId="728999B1" w:rsidR="00194764" w:rsidRPr="004C78D8" w:rsidRDefault="00194764" w:rsidP="00FB7C1F">
      <w:pPr>
        <w:pStyle w:val="ListParagraph"/>
        <w:numPr>
          <w:ilvl w:val="0"/>
          <w:numId w:val="2"/>
        </w:numPr>
      </w:pPr>
      <w:r w:rsidRPr="004C78D8">
        <w:t xml:space="preserve">Outcomes estimated at baseline (Section </w:t>
      </w:r>
      <w:r w:rsidR="00952EA8" w:rsidRPr="004C78D8">
        <w:t>5</w:t>
      </w:r>
      <w:r w:rsidRPr="004C78D8">
        <w:t>.</w:t>
      </w:r>
      <w:r w:rsidR="00386E6A" w:rsidRPr="004C78D8">
        <w:t>2</w:t>
      </w:r>
      <w:r w:rsidRPr="004C78D8">
        <w:t>.3)</w:t>
      </w:r>
    </w:p>
    <w:p w14:paraId="10C44BBB" w14:textId="23DA05ED" w:rsidR="00E717B1" w:rsidRPr="004C78D8" w:rsidRDefault="00E717B1" w:rsidP="00FB7C1F">
      <w:pPr>
        <w:pStyle w:val="ListParagraph"/>
        <w:numPr>
          <w:ilvl w:val="0"/>
          <w:numId w:val="2"/>
        </w:numPr>
      </w:pPr>
      <w:r w:rsidRPr="004C78D8">
        <w:t xml:space="preserve">Falls prevention </w:t>
      </w:r>
      <w:r w:rsidR="00104F72" w:rsidRPr="004C78D8">
        <w:t>strategy</w:t>
      </w:r>
      <w:r w:rsidRPr="004C78D8">
        <w:t xml:space="preserve"> (Section </w:t>
      </w:r>
      <w:r w:rsidR="00952EA8" w:rsidRPr="004C78D8">
        <w:t>5</w:t>
      </w:r>
      <w:r w:rsidRPr="004C78D8">
        <w:t>.</w:t>
      </w:r>
      <w:r w:rsidR="00386E6A" w:rsidRPr="004C78D8">
        <w:t>2</w:t>
      </w:r>
      <w:r w:rsidRPr="004C78D8">
        <w:t>.</w:t>
      </w:r>
      <w:r w:rsidR="00194764" w:rsidRPr="004C78D8">
        <w:t>4</w:t>
      </w:r>
      <w:r w:rsidRPr="004C78D8">
        <w:t>)</w:t>
      </w:r>
    </w:p>
    <w:p w14:paraId="5599EE85" w14:textId="7E221ADA" w:rsidR="00E717B1" w:rsidRPr="004C78D8" w:rsidRDefault="00E717B1" w:rsidP="00FB7C1F">
      <w:pPr>
        <w:pStyle w:val="ListParagraph"/>
        <w:numPr>
          <w:ilvl w:val="0"/>
          <w:numId w:val="2"/>
        </w:numPr>
      </w:pPr>
      <w:r w:rsidRPr="004C78D8">
        <w:t xml:space="preserve">Mortality </w:t>
      </w:r>
      <w:r w:rsidR="00162507" w:rsidRPr="004C78D8">
        <w:t xml:space="preserve">risks </w:t>
      </w:r>
      <w:r w:rsidRPr="004C78D8">
        <w:t xml:space="preserve">and falls epidemiology (Section </w:t>
      </w:r>
      <w:r w:rsidR="00952EA8" w:rsidRPr="004C78D8">
        <w:t>5</w:t>
      </w:r>
      <w:r w:rsidRPr="004C78D8">
        <w:t>.</w:t>
      </w:r>
      <w:r w:rsidR="00386E6A" w:rsidRPr="004C78D8">
        <w:t>2</w:t>
      </w:r>
      <w:r w:rsidRPr="004C78D8">
        <w:t>.</w:t>
      </w:r>
      <w:r w:rsidR="00194764" w:rsidRPr="004C78D8">
        <w:t>5</w:t>
      </w:r>
      <w:r w:rsidRPr="004C78D8">
        <w:t>)</w:t>
      </w:r>
    </w:p>
    <w:p w14:paraId="0D6036E4" w14:textId="7D6D2184" w:rsidR="00E717B1" w:rsidRPr="004C78D8" w:rsidRDefault="00E717B1" w:rsidP="00FB7C1F">
      <w:pPr>
        <w:pStyle w:val="ListParagraph"/>
        <w:numPr>
          <w:ilvl w:val="0"/>
          <w:numId w:val="2"/>
        </w:numPr>
      </w:pPr>
      <w:r w:rsidRPr="004C78D8">
        <w:t xml:space="preserve">Dynamic transitions (Section </w:t>
      </w:r>
      <w:r w:rsidR="00952EA8" w:rsidRPr="004C78D8">
        <w:t>5</w:t>
      </w:r>
      <w:r w:rsidRPr="004C78D8">
        <w:t>.</w:t>
      </w:r>
      <w:r w:rsidR="00386E6A" w:rsidRPr="004C78D8">
        <w:t>2</w:t>
      </w:r>
      <w:r w:rsidRPr="004C78D8">
        <w:t>.</w:t>
      </w:r>
      <w:r w:rsidR="00194764" w:rsidRPr="004C78D8">
        <w:t>6</w:t>
      </w:r>
      <w:r w:rsidRPr="004C78D8">
        <w:t>)</w:t>
      </w:r>
    </w:p>
    <w:p w14:paraId="222A545F" w14:textId="5EABBCC3" w:rsidR="00373C68" w:rsidRPr="004C78D8" w:rsidRDefault="00F63A88" w:rsidP="00FB7C1F">
      <w:pPr>
        <w:pStyle w:val="Heading3"/>
      </w:pPr>
      <w:bookmarkStart w:id="143" w:name="_Toc111630774"/>
      <w:r w:rsidRPr="004C78D8">
        <w:t>5</w:t>
      </w:r>
      <w:r w:rsidR="00373C68" w:rsidRPr="004C78D8">
        <w:t>.</w:t>
      </w:r>
      <w:r w:rsidR="00386E6A" w:rsidRPr="004C78D8">
        <w:t>2</w:t>
      </w:r>
      <w:r w:rsidR="00373C68" w:rsidRPr="004C78D8">
        <w:t xml:space="preserve">.1 </w:t>
      </w:r>
      <w:r w:rsidR="00334BE0" w:rsidRPr="004C78D8">
        <w:t>Evaluation</w:t>
      </w:r>
      <w:r w:rsidR="00373C68" w:rsidRPr="004C78D8">
        <w:t xml:space="preserve"> and model overview</w:t>
      </w:r>
      <w:bookmarkEnd w:id="143"/>
    </w:p>
    <w:p w14:paraId="136A76B0" w14:textId="3BBB2B29" w:rsidR="00386E6A" w:rsidRPr="004C78D8" w:rsidRDefault="00386E6A" w:rsidP="00FB7C1F">
      <w:r w:rsidRPr="004C78D8">
        <w:t>Thi</w:t>
      </w:r>
      <w:r w:rsidR="000E3727" w:rsidRPr="004C78D8">
        <w:t xml:space="preserve">s section lays out the evaluation setting and target population (Section </w:t>
      </w:r>
      <w:r w:rsidR="00F63A88" w:rsidRPr="004C78D8">
        <w:t>5</w:t>
      </w:r>
      <w:r w:rsidR="000E3727" w:rsidRPr="004C78D8">
        <w:t xml:space="preserve">.2.1.1) and the evaluation framework (Section </w:t>
      </w:r>
      <w:r w:rsidR="00F63A88" w:rsidRPr="004C78D8">
        <w:t>5</w:t>
      </w:r>
      <w:r w:rsidR="000E3727" w:rsidRPr="004C78D8">
        <w:t xml:space="preserve">.2.1.2). </w:t>
      </w:r>
      <w:r w:rsidR="00EF1877" w:rsidRPr="004C78D8">
        <w:t xml:space="preserve">It then presents the model overview (Section </w:t>
      </w:r>
      <w:r w:rsidR="00F63A88" w:rsidRPr="004C78D8">
        <w:t>5</w:t>
      </w:r>
      <w:r w:rsidR="00EF1877" w:rsidRPr="004C78D8">
        <w:t>.2.1.3), followed by introduction</w:t>
      </w:r>
      <w:r w:rsidR="00A252D6" w:rsidRPr="004C78D8">
        <w:t>s</w:t>
      </w:r>
      <w:r w:rsidR="00EF1877" w:rsidRPr="004C78D8">
        <w:t xml:space="preserve"> to key data sources used for parameterisation (Section </w:t>
      </w:r>
      <w:r w:rsidR="00F63A88" w:rsidRPr="004C78D8">
        <w:t>5</w:t>
      </w:r>
      <w:r w:rsidR="00EF1877" w:rsidRPr="004C78D8">
        <w:t>.2.1.4).</w:t>
      </w:r>
    </w:p>
    <w:p w14:paraId="3232C0A7" w14:textId="16739485" w:rsidR="00373C68" w:rsidRPr="004C78D8" w:rsidRDefault="00E435AC" w:rsidP="00FB7C1F">
      <w:pPr>
        <w:pStyle w:val="Heading4"/>
      </w:pPr>
      <w:r w:rsidRPr="004C78D8">
        <w:t>5</w:t>
      </w:r>
      <w:r w:rsidR="00373C68" w:rsidRPr="004C78D8">
        <w:t>.</w:t>
      </w:r>
      <w:r w:rsidR="00EF1877" w:rsidRPr="004C78D8">
        <w:t>2</w:t>
      </w:r>
      <w:r w:rsidR="00373C68" w:rsidRPr="004C78D8">
        <w:t>.1.1 Setting and target population</w:t>
      </w:r>
    </w:p>
    <w:p w14:paraId="41906DE1" w14:textId="6B1576E0" w:rsidR="00743266" w:rsidRPr="004C78D8" w:rsidRDefault="00373C68" w:rsidP="00FB7C1F">
      <w:r w:rsidRPr="004C78D8">
        <w:t xml:space="preserve">The model is set in the Sheffield health economy overseen by the Sheffield NHS CCG and </w:t>
      </w:r>
      <w:r w:rsidR="00081885" w:rsidRPr="004C78D8">
        <w:t>SCC</w:t>
      </w:r>
      <w:r w:rsidRPr="004C78D8">
        <w:t>. The target population is community-dwelling adults aged 60</w:t>
      </w:r>
      <w:r w:rsidR="00743266" w:rsidRPr="004C78D8">
        <w:t>+</w:t>
      </w:r>
      <w:r w:rsidRPr="004C78D8">
        <w:t xml:space="preserve">. The minimum age </w:t>
      </w:r>
      <w:r w:rsidR="00743266" w:rsidRPr="004C78D8">
        <w:t xml:space="preserve">was set at 60 </w:t>
      </w:r>
      <w:r w:rsidR="000F1590" w:rsidRPr="004C78D8">
        <w:t>rather than 65 to promote primary prevention, a key stakeholder aim (Section 3.4.2); 60 i</w:t>
      </w:r>
      <w:r w:rsidR="00743266" w:rsidRPr="004C78D8">
        <w:t xml:space="preserve">s </w:t>
      </w:r>
      <w:r w:rsidR="000F1590" w:rsidRPr="004C78D8">
        <w:t xml:space="preserve">also </w:t>
      </w:r>
      <w:r w:rsidR="00743266" w:rsidRPr="004C78D8">
        <w:t xml:space="preserve">the youngest age at which falls </w:t>
      </w:r>
      <w:r w:rsidR="000F1590" w:rsidRPr="004C78D8">
        <w:t>are</w:t>
      </w:r>
      <w:r w:rsidR="00743266" w:rsidRPr="004C78D8">
        <w:t xml:space="preserve"> recorded in the main data source for parameterisation, the English Longitudinal Study of Ageing (ELSA) (see</w:t>
      </w:r>
      <w:r w:rsidR="00151E8D" w:rsidRPr="004C78D8">
        <w:t xml:space="preserve"> rationale for using ELSA in</w:t>
      </w:r>
      <w:r w:rsidR="00743266" w:rsidRPr="004C78D8">
        <w:t xml:space="preserve"> Section </w:t>
      </w:r>
      <w:r w:rsidR="00E435AC" w:rsidRPr="004C78D8">
        <w:t>5</w:t>
      </w:r>
      <w:r w:rsidR="00743266" w:rsidRPr="004C78D8">
        <w:t>.</w:t>
      </w:r>
      <w:r w:rsidR="000F1590" w:rsidRPr="004C78D8">
        <w:t>2</w:t>
      </w:r>
      <w:r w:rsidR="00743266" w:rsidRPr="004C78D8">
        <w:t>.1.</w:t>
      </w:r>
      <w:r w:rsidR="000F1590" w:rsidRPr="004C78D8">
        <w:t>4</w:t>
      </w:r>
      <w:r w:rsidR="00743266" w:rsidRPr="004C78D8">
        <w:t xml:space="preserve">). The target population hence covers a broader age range than </w:t>
      </w:r>
      <w:r w:rsidR="000A1F28" w:rsidRPr="004C78D8">
        <w:t xml:space="preserve">NICE CG161 that targets adults aged 65+ </w:t>
      </w:r>
      <w:r w:rsidR="000A1F28" w:rsidRPr="004C78D8">
        <w:fldChar w:fldCharType="begin"/>
      </w:r>
      <w:r w:rsidR="00F255A9"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000A1F28" w:rsidRPr="004C78D8">
        <w:fldChar w:fldCharType="separate"/>
      </w:r>
      <w:r w:rsidR="00F255A9" w:rsidRPr="004C78D8">
        <w:rPr>
          <w:noProof/>
        </w:rPr>
        <w:t>[13]</w:t>
      </w:r>
      <w:r w:rsidR="000A1F28" w:rsidRPr="004C78D8">
        <w:fldChar w:fldCharType="end"/>
      </w:r>
      <w:r w:rsidR="000A1F28" w:rsidRPr="004C78D8">
        <w:t xml:space="preserve">. </w:t>
      </w:r>
      <w:r w:rsidR="00743266" w:rsidRPr="004C78D8">
        <w:t xml:space="preserve">Sheffield commissioners oversee a geographical jurisdiction rather than a specific cohort; </w:t>
      </w:r>
      <w:r w:rsidR="000A1F28" w:rsidRPr="004C78D8">
        <w:t xml:space="preserve">hence, </w:t>
      </w:r>
      <w:r w:rsidR="00743266" w:rsidRPr="004C78D8">
        <w:t xml:space="preserve">the target population includes cohorts who newly enter the target age range during </w:t>
      </w:r>
      <w:r w:rsidR="000A1F28" w:rsidRPr="004C78D8">
        <w:t>model simulation</w:t>
      </w:r>
      <w:r w:rsidR="00743266" w:rsidRPr="004C78D8">
        <w:t>.</w:t>
      </w:r>
    </w:p>
    <w:p w14:paraId="50F3D397" w14:textId="317E50EF" w:rsidR="00373C68" w:rsidRPr="004C78D8" w:rsidRDefault="00E435AC" w:rsidP="00FB7C1F">
      <w:pPr>
        <w:pStyle w:val="Heading4"/>
      </w:pPr>
      <w:r w:rsidRPr="004C78D8">
        <w:t>5</w:t>
      </w:r>
      <w:r w:rsidR="00531833" w:rsidRPr="004C78D8">
        <w:t>.</w:t>
      </w:r>
      <w:r w:rsidR="00EF1877" w:rsidRPr="004C78D8">
        <w:t>2</w:t>
      </w:r>
      <w:r w:rsidR="00531833" w:rsidRPr="004C78D8">
        <w:t>.1.2 Evaluation framework</w:t>
      </w:r>
    </w:p>
    <w:p w14:paraId="72B8D526" w14:textId="77777777" w:rsidR="00531833" w:rsidRPr="004C78D8" w:rsidRDefault="00531833" w:rsidP="00FB7C1F">
      <w:pPr>
        <w:pStyle w:val="Heading5"/>
      </w:pPr>
      <w:r w:rsidRPr="004C78D8">
        <w:t xml:space="preserve">Type of analysis </w:t>
      </w:r>
    </w:p>
    <w:p w14:paraId="35FF5ECD" w14:textId="709B3872" w:rsidR="00A425C6" w:rsidRPr="004C78D8" w:rsidRDefault="008B24CB" w:rsidP="00FB7C1F">
      <w:r w:rsidRPr="004C78D8">
        <w:t>T</w:t>
      </w:r>
      <w:r w:rsidR="00531833" w:rsidRPr="004C78D8">
        <w:t xml:space="preserve">he </w:t>
      </w:r>
      <w:r w:rsidR="00CE7A2B" w:rsidRPr="004C78D8">
        <w:t>primary</w:t>
      </w:r>
      <w:r w:rsidR="00531833" w:rsidRPr="004C78D8">
        <w:t xml:space="preserve"> type of analysis is </w:t>
      </w:r>
      <w:r w:rsidR="000A1F28" w:rsidRPr="004C78D8">
        <w:t>CUA</w:t>
      </w:r>
      <w:r w:rsidR="002A5632" w:rsidRPr="004C78D8">
        <w:t xml:space="preserve"> with QALY as the health outcome and EQ-5D as the generic health utility </w:t>
      </w:r>
      <w:r w:rsidR="000A1F28" w:rsidRPr="004C78D8">
        <w:t>measure</w:t>
      </w:r>
      <w:r w:rsidRPr="004C78D8">
        <w:t xml:space="preserve"> (Section 3.4.2)</w:t>
      </w:r>
      <w:r w:rsidR="002A5632" w:rsidRPr="004C78D8">
        <w:t xml:space="preserve">. Wider outcomes such as </w:t>
      </w:r>
      <w:r w:rsidR="000A1F28" w:rsidRPr="004C78D8">
        <w:t>individual-level outcomes</w:t>
      </w:r>
      <w:r w:rsidR="002A5632" w:rsidRPr="004C78D8">
        <w:t xml:space="preserve"> are reported alongside CUA outcomes. The secondary type is </w:t>
      </w:r>
      <w:r w:rsidR="000A1F28" w:rsidRPr="004C78D8">
        <w:t>ROI</w:t>
      </w:r>
      <w:r w:rsidR="00FE679C" w:rsidRPr="004C78D8">
        <w:t>,</w:t>
      </w:r>
      <w:r w:rsidR="002A5632" w:rsidRPr="004C78D8">
        <w:t xml:space="preserve"> the default type </w:t>
      </w:r>
      <w:r w:rsidR="00FE679C" w:rsidRPr="004C78D8">
        <w:t>for</w:t>
      </w:r>
      <w:r w:rsidR="002A5632" w:rsidRPr="004C78D8">
        <w:t xml:space="preserve"> Sheffield commissioners.</w:t>
      </w:r>
    </w:p>
    <w:p w14:paraId="29BB3006" w14:textId="77777777" w:rsidR="00531833" w:rsidRPr="004C78D8" w:rsidRDefault="00531833" w:rsidP="00FB7C1F">
      <w:pPr>
        <w:pStyle w:val="Heading5"/>
      </w:pPr>
      <w:r w:rsidRPr="004C78D8">
        <w:t xml:space="preserve">Perspective </w:t>
      </w:r>
    </w:p>
    <w:p w14:paraId="0D2E320C" w14:textId="55D59AE5" w:rsidR="00531833" w:rsidRPr="004C78D8" w:rsidRDefault="00531833" w:rsidP="00FB7C1F">
      <w:r w:rsidRPr="004C78D8">
        <w:t xml:space="preserve">The primary perspective is </w:t>
      </w:r>
      <w:r w:rsidR="002A5632" w:rsidRPr="004C78D8">
        <w:t xml:space="preserve">societal, accounting for societal intervention costs and societal consequences of falls in addition to the public sector costs accruing to </w:t>
      </w:r>
      <w:r w:rsidRPr="004C78D8">
        <w:t xml:space="preserve">Sheffield CCG and </w:t>
      </w:r>
      <w:r w:rsidR="00061060" w:rsidRPr="004C78D8">
        <w:t>SCC</w:t>
      </w:r>
      <w:r w:rsidR="002A5632" w:rsidRPr="004C78D8">
        <w:t>.</w:t>
      </w:r>
      <w:r w:rsidRPr="004C78D8">
        <w:t xml:space="preserve"> Under the societal perspective, it is assumed that productive efficiencies inside and outside the public sector are different. Specifically, the evaluation follows the method of Tong who used </w:t>
      </w:r>
      <w:r w:rsidR="0011633A" w:rsidRPr="004C78D8">
        <w:t xml:space="preserve">a </w:t>
      </w:r>
      <w:r w:rsidRPr="004C78D8">
        <w:t xml:space="preserve">cost-effectiveness threshold of </w:t>
      </w:r>
      <w:r w:rsidRPr="004C78D8">
        <w:lastRenderedPageBreak/>
        <w:t xml:space="preserve">£30,000 per QALY </w:t>
      </w:r>
      <w:r w:rsidR="00334BE0" w:rsidRPr="004C78D8">
        <w:t xml:space="preserve">gained </w:t>
      </w:r>
      <w:r w:rsidRPr="004C78D8">
        <w:t xml:space="preserve">for </w:t>
      </w:r>
      <w:r w:rsidR="00334BE0" w:rsidRPr="004C78D8">
        <w:t xml:space="preserve">the </w:t>
      </w:r>
      <w:r w:rsidRPr="004C78D8">
        <w:t xml:space="preserve">public </w:t>
      </w:r>
      <w:r w:rsidR="005D43F8" w:rsidRPr="004C78D8">
        <w:t xml:space="preserve">sector </w:t>
      </w:r>
      <w:r w:rsidRPr="004C78D8">
        <w:t xml:space="preserve">health and social care </w:t>
      </w:r>
      <w:r w:rsidR="00334BE0" w:rsidRPr="004C78D8">
        <w:t xml:space="preserve">perspective, consistent with NICE </w:t>
      </w:r>
      <w:r w:rsidR="0046375A" w:rsidRPr="004C78D8">
        <w:t>PMG9</w:t>
      </w:r>
      <w:r w:rsidR="005D43F8" w:rsidRPr="004C78D8">
        <w:t xml:space="preserve"> </w:t>
      </w:r>
      <w:r w:rsidR="005D43F8" w:rsidRPr="004C78D8">
        <w:fldChar w:fldCharType="begin"/>
      </w:r>
      <w:r w:rsidR="00513646" w:rsidRPr="004C78D8">
        <w:instrText xml:space="preserve"> ADDIN EN.CITE &lt;EndNote&gt;&lt;Cite&gt;&lt;Author&gt;National Institute for Health and Care Excellence&lt;/Author&gt;&lt;Year&gt;2013&lt;/Year&gt;&lt;RecNum&gt;411&lt;/RecNum&gt;&lt;DisplayText&gt;[154]&lt;/DisplayText&gt;&lt;record&gt;&lt;rec-number&gt;411&lt;/rec-number&gt;&lt;foreign-keys&gt;&lt;key app="EN" db-id="tdtrdw9aepptzbefsat599syza29sxsd2wsp" timestamp="1615809068"&gt;411&lt;/key&gt;&lt;/foreign-keys&gt;&lt;ref-type name="Journal Article"&gt;17&lt;/ref-type&gt;&lt;contributors&gt;&lt;authors&gt;&lt;author&gt;National Institute for Health and Care Excellence,&lt;/author&gt;&lt;/authors&gt;&lt;/contributors&gt;&lt;titles&gt;&lt;title&gt;Guide to the methods of technology appraisal 2013&lt;/title&gt;&lt;/titles&gt;&lt;dates&gt;&lt;year&gt;2013&lt;/year&gt;&lt;/dates&gt;&lt;urls&gt;&lt;related-urls&gt;&lt;url&gt;nice.org.uk/process/pmg9&lt;/url&gt;&lt;/related-urls&gt;&lt;/urls&gt;&lt;/record&gt;&lt;/Cite&gt;&lt;/EndNote&gt;</w:instrText>
      </w:r>
      <w:r w:rsidR="005D43F8" w:rsidRPr="004C78D8">
        <w:fldChar w:fldCharType="separate"/>
      </w:r>
      <w:r w:rsidR="00513646" w:rsidRPr="004C78D8">
        <w:rPr>
          <w:noProof/>
        </w:rPr>
        <w:t>[154]</w:t>
      </w:r>
      <w:r w:rsidR="005D43F8" w:rsidRPr="004C78D8">
        <w:fldChar w:fldCharType="end"/>
      </w:r>
      <w:r w:rsidR="00334BE0" w:rsidRPr="004C78D8">
        <w:t>,</w:t>
      </w:r>
      <w:r w:rsidRPr="004C78D8">
        <w:t xml:space="preserve"> and </w:t>
      </w:r>
      <w:r w:rsidR="0046375A" w:rsidRPr="004C78D8">
        <w:t>a</w:t>
      </w:r>
      <w:r w:rsidRPr="004C78D8">
        <w:t xml:space="preserve"> threshold of £60,000 per QALY </w:t>
      </w:r>
      <w:r w:rsidR="00334BE0" w:rsidRPr="004C78D8">
        <w:t xml:space="preserve">gained </w:t>
      </w:r>
      <w:r w:rsidRPr="004C78D8">
        <w:t>for costs falling outside the public sector as recommended by the Department of Health</w:t>
      </w:r>
      <w:r w:rsidR="00334BE0" w:rsidRPr="004C78D8">
        <w:t xml:space="preserve"> </w:t>
      </w:r>
      <w:r w:rsidR="00334BE0" w:rsidRPr="004C78D8">
        <w:fldChar w:fldCharType="begin"/>
      </w:r>
      <w:r w:rsidR="00513646" w:rsidRPr="004C78D8">
        <w:instrText xml:space="preserve"> ADDIN EN.CITE &lt;EndNote&gt;&lt;Cite&gt;&lt;Author&gt;Tong&lt;/Author&gt;&lt;Year&gt;2017&lt;/Year&gt;&lt;RecNum&gt;432&lt;/RecNum&gt;&lt;DisplayText&gt;[161]&lt;/DisplayText&gt;&lt;record&gt;&lt;rec-number&gt;432&lt;/rec-number&gt;&lt;foreign-keys&gt;&lt;key app="EN" db-id="tdtrdw9aepptzbefsat599syza29sxsd2wsp" timestamp="1616415999"&gt;432&lt;/key&gt;&lt;/foreign-keys&gt;&lt;ref-type name="Thesis"&gt;32&lt;/ref-type&gt;&lt;contributors&gt;&lt;authors&gt;&lt;author&gt;Tong, Thaison&lt;/author&gt;&lt;/authors&gt;&lt;/contributors&gt;&lt;titles&gt;&lt;title&gt;Broadening the perspective of economic evaluation in health care - A case study in dementia care in the UK&lt;/title&gt;&lt;/titles&gt;&lt;dates&gt;&lt;year&gt;2017&lt;/year&gt;&lt;/dates&gt;&lt;publisher&gt;University of Sheffield&lt;/publisher&gt;&lt;urls&gt;&lt;/urls&gt;&lt;/record&gt;&lt;/Cite&gt;&lt;/EndNote&gt;</w:instrText>
      </w:r>
      <w:r w:rsidR="00334BE0" w:rsidRPr="004C78D8">
        <w:fldChar w:fldCharType="separate"/>
      </w:r>
      <w:r w:rsidR="00513646" w:rsidRPr="004C78D8">
        <w:rPr>
          <w:noProof/>
        </w:rPr>
        <w:t>[161]</w:t>
      </w:r>
      <w:r w:rsidR="00334BE0" w:rsidRPr="004C78D8">
        <w:fldChar w:fldCharType="end"/>
      </w:r>
      <w:r w:rsidRPr="004C78D8">
        <w:t xml:space="preserve">. </w:t>
      </w:r>
      <w:r w:rsidR="00334BE0" w:rsidRPr="004C78D8">
        <w:t xml:space="preserve">The societal costs were converted to their equivalent </w:t>
      </w:r>
      <w:r w:rsidR="00970283" w:rsidRPr="004C78D8">
        <w:t>QALY amount</w:t>
      </w:r>
      <w:r w:rsidR="0046375A" w:rsidRPr="004C78D8">
        <w:t xml:space="preserve"> and</w:t>
      </w:r>
      <w:r w:rsidR="00334BE0" w:rsidRPr="004C78D8">
        <w:t xml:space="preserve"> added to </w:t>
      </w:r>
      <w:r w:rsidR="00970283" w:rsidRPr="004C78D8">
        <w:t xml:space="preserve">QALY estimates to obtain the total societal QALY gains. </w:t>
      </w:r>
      <w:r w:rsidR="0046375A" w:rsidRPr="004C78D8">
        <w:t>A</w:t>
      </w:r>
      <w:r w:rsidR="00970283" w:rsidRPr="004C78D8">
        <w:t xml:space="preserve"> ratio of incremental public sector costs per societal QALY gained was </w:t>
      </w:r>
      <w:r w:rsidR="0046375A" w:rsidRPr="004C78D8">
        <w:t xml:space="preserve">then </w:t>
      </w:r>
      <w:r w:rsidR="005D43F8" w:rsidRPr="004C78D8">
        <w:t>calcul</w:t>
      </w:r>
      <w:r w:rsidR="00970283" w:rsidRPr="004C78D8">
        <w:t xml:space="preserve">ated. </w:t>
      </w:r>
      <w:r w:rsidR="00A425C6" w:rsidRPr="004C78D8">
        <w:t>All costs were reported in pounds sterling (£) at year 2021 pr</w:t>
      </w:r>
      <w:r w:rsidR="00334BE0" w:rsidRPr="004C78D8">
        <w:t>ices.</w:t>
      </w:r>
      <w:r w:rsidR="007A1965" w:rsidRPr="004C78D8">
        <w:t xml:space="preserve"> The secondary perspective for ROI analysis is public sector.</w:t>
      </w:r>
    </w:p>
    <w:p w14:paraId="40429DFF" w14:textId="77777777" w:rsidR="00531833" w:rsidRPr="004C78D8" w:rsidRDefault="00531833" w:rsidP="00FB7C1F">
      <w:pPr>
        <w:pStyle w:val="Heading5"/>
      </w:pPr>
      <w:r w:rsidRPr="004C78D8">
        <w:t>Time horizon</w:t>
      </w:r>
    </w:p>
    <w:p w14:paraId="40483DE5" w14:textId="79288B81" w:rsidR="009F0CCD" w:rsidRPr="004C78D8" w:rsidRDefault="002D6C22" w:rsidP="00FB7C1F">
      <w:r w:rsidRPr="004C78D8">
        <w:t xml:space="preserve">For </w:t>
      </w:r>
      <w:r w:rsidR="00077C9F" w:rsidRPr="004C78D8">
        <w:t>primary analysis</w:t>
      </w:r>
      <w:r w:rsidRPr="004C78D8">
        <w:t>, a 40-year horizon</w:t>
      </w:r>
      <w:r w:rsidR="00D373E5" w:rsidRPr="004C78D8">
        <w:t xml:space="preserve"> spanning year 2021 to </w:t>
      </w:r>
      <w:r w:rsidR="00AB0C37" w:rsidRPr="004C78D8">
        <w:t xml:space="preserve">2060 </w:t>
      </w:r>
      <w:r w:rsidRPr="004C78D8">
        <w:t xml:space="preserve">was adopted </w:t>
      </w:r>
      <w:r w:rsidR="00061060" w:rsidRPr="004C78D8">
        <w:t xml:space="preserve">to capture the long-term consequences </w:t>
      </w:r>
      <w:r w:rsidR="0063405A" w:rsidRPr="004C78D8">
        <w:t>as recommended by NICE PMG9</w:t>
      </w:r>
      <w:r w:rsidRPr="004C78D8">
        <w:t xml:space="preserve"> </w:t>
      </w:r>
      <w:r w:rsidRPr="004C78D8">
        <w:fldChar w:fldCharType="begin"/>
      </w:r>
      <w:r w:rsidR="00513646" w:rsidRPr="004C78D8">
        <w:instrText xml:space="preserve"> ADDIN EN.CITE &lt;EndNote&gt;&lt;Cite&gt;&lt;Author&gt;National Institute for Health and Care Excellence&lt;/Author&gt;&lt;Year&gt;2013&lt;/Year&gt;&lt;RecNum&gt;411&lt;/RecNum&gt;&lt;DisplayText&gt;[154]&lt;/DisplayText&gt;&lt;record&gt;&lt;rec-number&gt;411&lt;/rec-number&gt;&lt;foreign-keys&gt;&lt;key app="EN" db-id="tdtrdw9aepptzbefsat599syza29sxsd2wsp" timestamp="1615809068"&gt;411&lt;/key&gt;&lt;/foreign-keys&gt;&lt;ref-type name="Journal Article"&gt;17&lt;/ref-type&gt;&lt;contributors&gt;&lt;authors&gt;&lt;author&gt;National Institute for Health and Care Excellence,&lt;/author&gt;&lt;/authors&gt;&lt;/contributors&gt;&lt;titles&gt;&lt;title&gt;Guide to the methods of technology appraisal 2013&lt;/title&gt;&lt;/titles&gt;&lt;dates&gt;&lt;year&gt;2013&lt;/year&gt;&lt;/dates&gt;&lt;urls&gt;&lt;related-urls&gt;&lt;url&gt;nice.org.uk/process/pmg9&lt;/url&gt;&lt;/related-urls&gt;&lt;/urls&gt;&lt;/record&gt;&lt;/Cite&gt;&lt;/EndNote&gt;</w:instrText>
      </w:r>
      <w:r w:rsidRPr="004C78D8">
        <w:fldChar w:fldCharType="separate"/>
      </w:r>
      <w:r w:rsidR="00513646" w:rsidRPr="004C78D8">
        <w:rPr>
          <w:noProof/>
        </w:rPr>
        <w:t>[154]</w:t>
      </w:r>
      <w:r w:rsidRPr="004C78D8">
        <w:fldChar w:fldCharType="end"/>
      </w:r>
      <w:r w:rsidRPr="004C78D8">
        <w:t xml:space="preserve">. The 40-year horizon </w:t>
      </w:r>
      <w:r w:rsidR="00D373E5" w:rsidRPr="004C78D8">
        <w:t>was</w:t>
      </w:r>
      <w:r w:rsidRPr="004C78D8">
        <w:t xml:space="preserve"> a lifetime horizon </w:t>
      </w:r>
      <w:r w:rsidR="00061060" w:rsidRPr="004C78D8">
        <w:t>for</w:t>
      </w:r>
      <w:r w:rsidRPr="004C78D8">
        <w:t xml:space="preserve"> the baseline cohort </w:t>
      </w:r>
      <w:r w:rsidR="00061060" w:rsidRPr="004C78D8">
        <w:t xml:space="preserve">(who </w:t>
      </w:r>
      <w:r w:rsidRPr="004C78D8">
        <w:t>would be deceased, admitted to LTC</w:t>
      </w:r>
      <w:r w:rsidR="0063405A" w:rsidRPr="004C78D8">
        <w:t>,</w:t>
      </w:r>
      <w:r w:rsidRPr="004C78D8">
        <w:t xml:space="preserve"> or aged over 100 at model conclusion</w:t>
      </w:r>
      <w:r w:rsidR="00061060" w:rsidRPr="004C78D8">
        <w:t>) but not for new entry cohorts</w:t>
      </w:r>
      <w:r w:rsidRPr="004C78D8">
        <w:t xml:space="preserve">. </w:t>
      </w:r>
      <w:r w:rsidR="002E44D4" w:rsidRPr="004C78D8">
        <w:t>A</w:t>
      </w:r>
      <w:r w:rsidR="00531833" w:rsidRPr="004C78D8">
        <w:t xml:space="preserve">ll costs </w:t>
      </w:r>
      <w:r w:rsidRPr="004C78D8">
        <w:t>(public sector and societal) and health outcomes we</w:t>
      </w:r>
      <w:r w:rsidR="00531833" w:rsidRPr="004C78D8">
        <w:t xml:space="preserve">re discounted at 3.5% annually </w:t>
      </w:r>
      <w:r w:rsidR="002E44D4" w:rsidRPr="004C78D8">
        <w:t>as recommended</w:t>
      </w:r>
      <w:r w:rsidR="00531833" w:rsidRPr="004C78D8">
        <w:t xml:space="preserve"> </w:t>
      </w:r>
      <w:r w:rsidR="002E44D4" w:rsidRPr="004C78D8">
        <w:t>by</w:t>
      </w:r>
      <w:r w:rsidR="00531833" w:rsidRPr="004C78D8">
        <w:t xml:space="preserve"> NICE</w:t>
      </w:r>
      <w:r w:rsidR="002E44D4" w:rsidRPr="004C78D8">
        <w:t xml:space="preserve"> </w:t>
      </w:r>
      <w:r w:rsidR="002E44D4" w:rsidRPr="004C78D8">
        <w:fldChar w:fldCharType="begin"/>
      </w:r>
      <w:r w:rsidR="00513646" w:rsidRPr="004C78D8">
        <w:instrText xml:space="preserve"> ADDIN EN.CITE &lt;EndNote&gt;&lt;Cite&gt;&lt;Author&gt;National Institute for Health and Care Excellence&lt;/Author&gt;&lt;Year&gt;2011&lt;/Year&gt;&lt;RecNum&gt;363&lt;/RecNum&gt;&lt;DisplayText&gt;[144, 154]&lt;/DisplayText&gt;&lt;record&gt;&lt;rec-number&gt;363&lt;/rec-number&gt;&lt;foreign-keys&gt;&lt;key app="EN" db-id="tdtrdw9aepptzbefsat599syza29sxsd2wsp" timestamp="1612267754"&gt;363&lt;/key&gt;&lt;/foreign-keys&gt;&lt;ref-type name="Journal Article"&gt;17&lt;/ref-type&gt;&lt;contributors&gt;&lt;authors&gt;&lt;author&gt;National Institute for Health and Care Excellence,&lt;/author&gt;&lt;/authors&gt;&lt;/contributors&gt;&lt;titles&gt;&lt;title&gt;Supporting investment in public health: Review of methods for assessing cost effectiveness, cost impact and return on investment&lt;/title&gt;&lt;secondary-title&gt;London: NICE&lt;/secondary-title&gt;&lt;/titles&gt;&lt;periodical&gt;&lt;full-title&gt;London: NICE&lt;/full-title&gt;&lt;/periodical&gt;&lt;dates&gt;&lt;year&gt;2011&lt;/year&gt;&lt;/dates&gt;&lt;urls&gt;&lt;/urls&gt;&lt;/record&gt;&lt;/Cite&gt;&lt;Cite&gt;&lt;Author&gt;National Institute for Health and Care Excellence&lt;/Author&gt;&lt;Year&gt;2013&lt;/Year&gt;&lt;RecNum&gt;411&lt;/RecNum&gt;&lt;record&gt;&lt;rec-number&gt;411&lt;/rec-number&gt;&lt;foreign-keys&gt;&lt;key app="EN" db-id="tdtrdw9aepptzbefsat599syza29sxsd2wsp" timestamp="1615809068"&gt;411&lt;/key&gt;&lt;/foreign-keys&gt;&lt;ref-type name="Journal Article"&gt;17&lt;/ref-type&gt;&lt;contributors&gt;&lt;authors&gt;&lt;author&gt;National Institute for Health and Care Excellence,&lt;/author&gt;&lt;/authors&gt;&lt;/contributors&gt;&lt;titles&gt;&lt;title&gt;Guide to the methods of technology appraisal 2013&lt;/title&gt;&lt;/titles&gt;&lt;dates&gt;&lt;year&gt;2013&lt;/year&gt;&lt;/dates&gt;&lt;urls&gt;&lt;related-urls&gt;&lt;url&gt;nice.org.uk/process/pmg9&lt;/url&gt;&lt;/related-urls&gt;&lt;/urls&gt;&lt;/record&gt;&lt;/Cite&gt;&lt;/EndNote&gt;</w:instrText>
      </w:r>
      <w:r w:rsidR="002E44D4" w:rsidRPr="004C78D8">
        <w:fldChar w:fldCharType="separate"/>
      </w:r>
      <w:r w:rsidR="00513646" w:rsidRPr="004C78D8">
        <w:rPr>
          <w:noProof/>
        </w:rPr>
        <w:t>[144, 154]</w:t>
      </w:r>
      <w:r w:rsidR="002E44D4" w:rsidRPr="004C78D8">
        <w:fldChar w:fldCharType="end"/>
      </w:r>
      <w:r w:rsidR="00531833" w:rsidRPr="004C78D8">
        <w:t xml:space="preserve">. </w:t>
      </w:r>
      <w:r w:rsidR="00077C9F" w:rsidRPr="004C78D8">
        <w:t xml:space="preserve">For ROI analysis, the time horizon </w:t>
      </w:r>
      <w:r w:rsidR="005743BB" w:rsidRPr="004C78D8">
        <w:t>was</w:t>
      </w:r>
      <w:r w:rsidR="00077C9F" w:rsidRPr="004C78D8">
        <w:t xml:space="preserve"> set at five years as preferred by Sheffield commissioners (Section 3.4.2). This is also the maximum time horizon suggested by NICE </w:t>
      </w:r>
      <w:r w:rsidR="0063405A" w:rsidRPr="004C78D8">
        <w:t>for</w:t>
      </w:r>
      <w:r w:rsidR="00077C9F" w:rsidRPr="004C78D8">
        <w:t xml:space="preserve"> public health </w:t>
      </w:r>
      <w:r w:rsidR="005743BB" w:rsidRPr="004C78D8">
        <w:t xml:space="preserve">investments </w:t>
      </w:r>
      <w:r w:rsidR="00077C9F" w:rsidRPr="004C78D8">
        <w:t xml:space="preserve">at the local authority level </w:t>
      </w:r>
      <w:r w:rsidR="00077C9F" w:rsidRPr="004C78D8">
        <w:fldChar w:fldCharType="begin"/>
      </w:r>
      <w:r w:rsidR="00513646" w:rsidRPr="004C78D8">
        <w:instrText xml:space="preserve"> ADDIN EN.CITE &lt;EndNote&gt;&lt;Cite&gt;&lt;Author&gt;National Institute for Health and Care Excellence&lt;/Author&gt;&lt;Year&gt;2011&lt;/Year&gt;&lt;RecNum&gt;363&lt;/RecNum&gt;&lt;DisplayText&gt;[144]&lt;/DisplayText&gt;&lt;record&gt;&lt;rec-number&gt;363&lt;/rec-number&gt;&lt;foreign-keys&gt;&lt;key app="EN" db-id="tdtrdw9aepptzbefsat599syza29sxsd2wsp" timestamp="1612267754"&gt;363&lt;/key&gt;&lt;/foreign-keys&gt;&lt;ref-type name="Journal Article"&gt;17&lt;/ref-type&gt;&lt;contributors&gt;&lt;authors&gt;&lt;author&gt;National Institute for Health and Care Excellence,&lt;/author&gt;&lt;/authors&gt;&lt;/contributors&gt;&lt;titles&gt;&lt;title&gt;Supporting investment in public health: Review of methods for assessing cost effectiveness, cost impact and return on investment&lt;/title&gt;&lt;secondary-title&gt;London: NICE&lt;/secondary-title&gt;&lt;/titles&gt;&lt;periodical&gt;&lt;full-title&gt;London: NICE&lt;/full-title&gt;&lt;/periodical&gt;&lt;dates&gt;&lt;year&gt;2011&lt;/year&gt;&lt;/dates&gt;&lt;urls&gt;&lt;/urls&gt;&lt;/record&gt;&lt;/Cite&gt;&lt;/EndNote&gt;</w:instrText>
      </w:r>
      <w:r w:rsidR="00077C9F" w:rsidRPr="004C78D8">
        <w:fldChar w:fldCharType="separate"/>
      </w:r>
      <w:r w:rsidR="00513646" w:rsidRPr="004C78D8">
        <w:rPr>
          <w:noProof/>
        </w:rPr>
        <w:t>[144]</w:t>
      </w:r>
      <w:r w:rsidR="00077C9F" w:rsidRPr="004C78D8">
        <w:fldChar w:fldCharType="end"/>
      </w:r>
      <w:r w:rsidR="00077C9F" w:rsidRPr="004C78D8">
        <w:t>.</w:t>
      </w:r>
    </w:p>
    <w:p w14:paraId="39305E74" w14:textId="237CDE8F" w:rsidR="00BF483D" w:rsidRPr="004C78D8" w:rsidRDefault="003945F6" w:rsidP="00FB7C1F">
      <w:pPr>
        <w:pStyle w:val="Heading4"/>
      </w:pPr>
      <w:bookmarkStart w:id="144" w:name="_Hlk69421351"/>
      <w:bookmarkStart w:id="145" w:name="_Hlk69421333"/>
      <w:r w:rsidRPr="004C78D8">
        <w:t>5</w:t>
      </w:r>
      <w:r w:rsidR="00BF483D" w:rsidRPr="004C78D8">
        <w:t>.</w:t>
      </w:r>
      <w:r w:rsidR="00EF1877" w:rsidRPr="004C78D8">
        <w:t>2</w:t>
      </w:r>
      <w:r w:rsidR="00BF483D" w:rsidRPr="004C78D8">
        <w:t>.1.3 Model overview</w:t>
      </w:r>
    </w:p>
    <w:p w14:paraId="7BF385E6" w14:textId="7AE92E38" w:rsidR="00C375E8" w:rsidRPr="004C78D8" w:rsidRDefault="00C375E8" w:rsidP="00FB7C1F">
      <w:pPr>
        <w:pStyle w:val="Heading5"/>
      </w:pPr>
      <w:r w:rsidRPr="004C78D8">
        <w:t>Model type</w:t>
      </w:r>
    </w:p>
    <w:p w14:paraId="5E9F0723" w14:textId="76C43303" w:rsidR="00C375E8" w:rsidRPr="004C78D8" w:rsidRDefault="0011395E" w:rsidP="00FB7C1F">
      <w:r w:rsidRPr="004C78D8">
        <w:t xml:space="preserve">The model type is </w:t>
      </w:r>
      <w:r w:rsidR="00FC5A75" w:rsidRPr="004C78D8">
        <w:t xml:space="preserve">discrete individual simulation according to a published model structure taxonomy (cell D3 in Table 1) </w:t>
      </w:r>
      <w:r w:rsidR="00FC5A75" w:rsidRPr="004C78D8">
        <w:fldChar w:fldCharType="begin"/>
      </w:r>
      <w:r w:rsidR="00513646" w:rsidRPr="004C78D8">
        <w:instrText xml:space="preserve"> ADDIN EN.CITE &lt;EndNote&gt;&lt;Cite&gt;&lt;Author&gt;Brennan&lt;/Author&gt;&lt;Year&gt;2006&lt;/Year&gt;&lt;RecNum&gt;534&lt;/RecNum&gt;&lt;DisplayText&gt;[168]&lt;/DisplayText&gt;&lt;record&gt;&lt;rec-number&gt;534&lt;/rec-number&gt;&lt;foreign-keys&gt;&lt;key app="EN" db-id="tdtrdw9aepptzbefsat599syza29sxsd2wsp" timestamp="1618322463"&gt;534&lt;/key&gt;&lt;/foreign-keys&gt;&lt;ref-type name="Journal Article"&gt;17&lt;/ref-type&gt;&lt;contributors&gt;&lt;authors&gt;&lt;author&gt;Brennan, A.&lt;/author&gt;&lt;author&gt;Chick, S. E.&lt;/author&gt;&lt;author&gt;Davies, R.&lt;/author&gt;&lt;/authors&gt;&lt;/contributors&gt;&lt;auth-address&gt;School of Health and Related Research (ScHARR), University of Sheffield, Sheffield, UK. a.brennan@sheffield.ac.uk&lt;/auth-address&gt;&lt;titles&gt;&lt;title&gt;A taxonomy of model structures for economic evaluation of health technologies&lt;/title&gt;&lt;secondary-title&gt;Health Econ&lt;/secondary-title&gt;&lt;alt-title&gt;Health economics&lt;/alt-title&gt;&lt;/titles&gt;&lt;alt-periodical&gt;&lt;full-title&gt;Health economics&lt;/full-title&gt;&lt;/alt-periodical&gt;&lt;pages&gt;1295-310&lt;/pages&gt;&lt;volume&gt;15&lt;/volume&gt;&lt;number&gt;12&lt;/number&gt;&lt;edition&gt;2006/08/31&lt;/edition&gt;&lt;keywords&gt;&lt;keyword&gt;Cost-Benefit Analysis&lt;/keyword&gt;&lt;keyword&gt;Decision Trees&lt;/keyword&gt;&lt;keyword&gt;Markov Chains&lt;/keyword&gt;&lt;keyword&gt;*Models, Theoretical&lt;/keyword&gt;&lt;keyword&gt;Technology Assessment, Biomedical/*economics&lt;/keyword&gt;&lt;keyword&gt;United Kingdom&lt;/keyword&gt;&lt;/keywords&gt;&lt;dates&gt;&lt;year&gt;2006&lt;/year&gt;&lt;pub-dates&gt;&lt;date&gt;Dec&lt;/date&gt;&lt;/pub-dates&gt;&lt;/dates&gt;&lt;isbn&gt;1057-9230 (Print)&amp;#xD;1057-9230&lt;/isbn&gt;&lt;accession-num&gt;16941543&lt;/accession-num&gt;&lt;urls&gt;&lt;/urls&gt;&lt;electronic-resource-num&gt;10.1002/hec.1148&lt;/electronic-resource-num&gt;&lt;remote-database-provider&gt;NLM&lt;/remote-database-provider&gt;&lt;language&gt;eng&lt;/language&gt;&lt;/record&gt;&lt;/Cite&gt;&lt;/EndNote&gt;</w:instrText>
      </w:r>
      <w:r w:rsidR="00FC5A75" w:rsidRPr="004C78D8">
        <w:fldChar w:fldCharType="separate"/>
      </w:r>
      <w:r w:rsidR="00513646" w:rsidRPr="004C78D8">
        <w:rPr>
          <w:noProof/>
        </w:rPr>
        <w:t>[168]</w:t>
      </w:r>
      <w:r w:rsidR="00FC5A75" w:rsidRPr="004C78D8">
        <w:fldChar w:fldCharType="end"/>
      </w:r>
      <w:r w:rsidR="00FC5A75" w:rsidRPr="004C78D8">
        <w:t xml:space="preserve"> </w:t>
      </w:r>
      <w:r w:rsidRPr="004C78D8">
        <w:t xml:space="preserve">with annual cycles. </w:t>
      </w:r>
      <w:r w:rsidR="00650E21" w:rsidRPr="004C78D8">
        <w:t>This captures</w:t>
      </w:r>
      <w:r w:rsidR="00A1748D" w:rsidRPr="004C78D8">
        <w:t xml:space="preserve"> individual-level variations</w:t>
      </w:r>
      <w:r w:rsidR="00C375E8" w:rsidRPr="004C78D8">
        <w:t xml:space="preserve"> in baseline characteristics</w:t>
      </w:r>
      <w:r w:rsidR="00A1748D" w:rsidRPr="004C78D8">
        <w:t>, dynamic trajectories</w:t>
      </w:r>
      <w:r w:rsidR="000C2D0F" w:rsidRPr="004C78D8">
        <w:t>,</w:t>
      </w:r>
      <w:r w:rsidR="00A1748D" w:rsidRPr="004C78D8">
        <w:t xml:space="preserve"> and evaluation outcomes</w:t>
      </w:r>
      <w:r w:rsidR="00650E21" w:rsidRPr="004C78D8">
        <w:t>; e</w:t>
      </w:r>
      <w:r w:rsidR="00C61B13" w:rsidRPr="004C78D8">
        <w:t xml:space="preserve">ach </w:t>
      </w:r>
      <w:r w:rsidR="00650E21" w:rsidRPr="004C78D8">
        <w:t xml:space="preserve">model </w:t>
      </w:r>
      <w:r w:rsidR="00C61B13" w:rsidRPr="004C78D8">
        <w:t xml:space="preserve">cycle captures events regarding falls, falls prevention, and associated </w:t>
      </w:r>
      <w:r w:rsidR="00D211AA" w:rsidRPr="004C78D8">
        <w:t>processes</w:t>
      </w:r>
      <w:r w:rsidR="00C61B13" w:rsidRPr="004C78D8">
        <w:t xml:space="preserve"> (e.g., frailty progression) occur</w:t>
      </w:r>
      <w:r w:rsidR="00650E21" w:rsidRPr="004C78D8">
        <w:t>ring</w:t>
      </w:r>
      <w:r w:rsidR="00C61B13" w:rsidRPr="004C78D8">
        <w:t xml:space="preserve"> within a year. </w:t>
      </w:r>
      <w:r w:rsidR="00650E21" w:rsidRPr="004C78D8">
        <w:t xml:space="preserve">The model can set maximum numbers of individuals receiving </w:t>
      </w:r>
      <w:r w:rsidR="00D211AA" w:rsidRPr="004C78D8">
        <w:t xml:space="preserve">each </w:t>
      </w:r>
      <w:r w:rsidR="00650E21" w:rsidRPr="004C78D8">
        <w:t>intervention per year</w:t>
      </w:r>
      <w:r w:rsidR="00D211AA" w:rsidRPr="004C78D8">
        <w:t>, and this feature is used to characterise annual capacity constraints under alternative intervention scenarios.</w:t>
      </w:r>
      <w:r w:rsidR="00054521" w:rsidRPr="004C78D8">
        <w:t xml:space="preserve"> This creates interaction</w:t>
      </w:r>
      <w:r w:rsidR="00FC5A75" w:rsidRPr="004C78D8">
        <w:t>s</w:t>
      </w:r>
      <w:r w:rsidR="00054521" w:rsidRPr="004C78D8">
        <w:t xml:space="preserve"> between </w:t>
      </w:r>
      <w:r w:rsidR="000C2D0F" w:rsidRPr="004C78D8">
        <w:t>simulat</w:t>
      </w:r>
      <w:r w:rsidR="00054521" w:rsidRPr="004C78D8">
        <w:t xml:space="preserve">ed individuals. </w:t>
      </w:r>
    </w:p>
    <w:p w14:paraId="3F73CA75" w14:textId="63954054" w:rsidR="001C16A1" w:rsidRPr="004C78D8" w:rsidRDefault="002E50B3" w:rsidP="00FB7C1F">
      <w:pPr>
        <w:pStyle w:val="Heading5"/>
      </w:pPr>
      <w:r w:rsidRPr="004C78D8">
        <w:t>Model representation</w:t>
      </w:r>
      <w:r w:rsidR="00F03F03" w:rsidRPr="004C78D8">
        <w:t xml:space="preserve"> and schematic</w:t>
      </w:r>
    </w:p>
    <w:p w14:paraId="6FD1C7F4" w14:textId="5FE5E66F" w:rsidR="00F1212E" w:rsidRPr="004C78D8" w:rsidRDefault="00F1212E" w:rsidP="00FB7C1F">
      <w:r w:rsidRPr="004C78D8">
        <w:t xml:space="preserve">Figure </w:t>
      </w:r>
      <w:r w:rsidR="003945F6" w:rsidRPr="004C78D8">
        <w:t>5</w:t>
      </w:r>
      <w:r w:rsidRPr="004C78D8">
        <w:t xml:space="preserve">.1 </w:t>
      </w:r>
      <w:r w:rsidR="00C61B13" w:rsidRPr="004C78D8">
        <w:t>graphically represents</w:t>
      </w:r>
      <w:r w:rsidRPr="004C78D8">
        <w:t xml:space="preserve"> the model including </w:t>
      </w:r>
      <w:r w:rsidR="00C61B13" w:rsidRPr="004C78D8">
        <w:t>its</w:t>
      </w:r>
      <w:r w:rsidRPr="004C78D8">
        <w:t xml:space="preserve"> covariates, falls prevention pathway, fall types, exit points</w:t>
      </w:r>
      <w:r w:rsidR="00385F9C" w:rsidRPr="004C78D8">
        <w:t>,</w:t>
      </w:r>
      <w:r w:rsidRPr="004C78D8">
        <w:t xml:space="preserve"> and final outcomes.</w:t>
      </w:r>
      <w:r w:rsidR="0068547B" w:rsidRPr="004C78D8">
        <w:t xml:space="preserve"> The initial cohort of Sheffield population aged 60</w:t>
      </w:r>
      <w:r w:rsidR="00FB3677" w:rsidRPr="004C78D8">
        <w:t>+</w:t>
      </w:r>
      <w:r w:rsidR="0068547B" w:rsidRPr="004C78D8">
        <w:t xml:space="preserve"> (n=125,244) enter the model at simulation start. In subsequent years, new cohorts who turn 60 also enter. Entering individuals are assigned age, sex, SES, falls history in past year</w:t>
      </w:r>
      <w:r w:rsidR="00385F9C" w:rsidRPr="004C78D8">
        <w:t>,</w:t>
      </w:r>
      <w:r w:rsidR="0068547B" w:rsidRPr="004C78D8">
        <w:t xml:space="preserve"> and frailty index score</w:t>
      </w:r>
      <w:r w:rsidR="00B929B8" w:rsidRPr="004C78D8">
        <w:t xml:space="preserve"> (range 0-100)</w:t>
      </w:r>
      <w:r w:rsidR="0068547B" w:rsidRPr="004C78D8">
        <w:t>. With these characteristics as independent variables, multivariate logistic regressions are used to estimate individuals’ baseline risk</w:t>
      </w:r>
      <w:r w:rsidR="00D90367" w:rsidRPr="004C78D8">
        <w:t>s</w:t>
      </w:r>
      <w:r w:rsidR="00385F9C" w:rsidRPr="004C78D8">
        <w:t>/</w:t>
      </w:r>
      <w:r w:rsidR="00D90367" w:rsidRPr="004C78D8">
        <w:t>probabilities</w:t>
      </w:r>
      <w:r w:rsidR="0068547B" w:rsidRPr="004C78D8">
        <w:t xml:space="preserve"> of further covariates: </w:t>
      </w:r>
      <w:r w:rsidR="00D90367" w:rsidRPr="004C78D8">
        <w:t xml:space="preserve">engaging in </w:t>
      </w:r>
      <w:r w:rsidR="0068547B" w:rsidRPr="004C78D8">
        <w:t>high physical activity; cognitive impairment; fear of falling; and abnormal gait/balance. Using the</w:t>
      </w:r>
      <w:r w:rsidR="00D90367" w:rsidRPr="004C78D8">
        <w:t>se</w:t>
      </w:r>
      <w:r w:rsidR="0068547B" w:rsidRPr="004C78D8">
        <w:t xml:space="preserve"> covariates, the following baseline outcomes are estimated using logistic or linear regression: EQ-5D; </w:t>
      </w:r>
      <w:r w:rsidR="001D77DE" w:rsidRPr="004C78D8">
        <w:t xml:space="preserve">control, autonomy, self-realisation and pleasure, 19 items (CASP-19), a measure of social wellbeing; </w:t>
      </w:r>
      <w:r w:rsidR="0068547B" w:rsidRPr="004C78D8">
        <w:t xml:space="preserve">comorbidity (i.e., not directly related to falls) primary and secondary healthcare cost; comorbidity community care cost; comorbidity short-term social care cost; productivity </w:t>
      </w:r>
      <w:r w:rsidR="00240EBD" w:rsidRPr="004C78D8">
        <w:t xml:space="preserve">(paid employment and unpaid work) value; OOP care expenditure; and informal care cost. </w:t>
      </w:r>
    </w:p>
    <w:p w14:paraId="345C42A9" w14:textId="77777777" w:rsidR="00B66A3A" w:rsidRPr="004C78D8" w:rsidRDefault="00B66A3A" w:rsidP="00FB7C1F">
      <w:pPr>
        <w:sectPr w:rsidR="00B66A3A" w:rsidRPr="004C78D8">
          <w:pgSz w:w="11906" w:h="16838"/>
          <w:pgMar w:top="1440" w:right="1440" w:bottom="1440" w:left="1440" w:header="708" w:footer="708" w:gutter="0"/>
          <w:cols w:space="708"/>
          <w:docGrid w:linePitch="360"/>
        </w:sectPr>
      </w:pPr>
    </w:p>
    <w:p w14:paraId="5937F09C" w14:textId="11C62358" w:rsidR="00B66A3A" w:rsidRPr="004C78D8" w:rsidRDefault="00DC2B9F" w:rsidP="00FB7C1F">
      <w:pPr>
        <w:rPr>
          <w:sz w:val="18"/>
          <w:szCs w:val="18"/>
        </w:rPr>
      </w:pPr>
      <w:r w:rsidRPr="004C78D8">
        <w:rPr>
          <w:noProof/>
          <w:lang w:eastAsia="en-GB"/>
        </w:rPr>
        <w:lastRenderedPageBreak/>
        <w:drawing>
          <wp:inline distT="0" distB="0" distL="0" distR="0" wp14:anchorId="4825B258" wp14:editId="39D56449">
            <wp:extent cx="8863330" cy="4619625"/>
            <wp:effectExtent l="0" t="0" r="0" b="9525"/>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63330" cy="4619625"/>
                    </a:xfrm>
                    <a:prstGeom prst="rect">
                      <a:avLst/>
                    </a:prstGeom>
                    <a:noFill/>
                    <a:ln>
                      <a:noFill/>
                    </a:ln>
                  </pic:spPr>
                </pic:pic>
              </a:graphicData>
            </a:graphic>
          </wp:inline>
        </w:drawing>
      </w:r>
      <w:r w:rsidR="00B66A3A" w:rsidRPr="004C78D8">
        <w:rPr>
          <w:b/>
          <w:bCs/>
          <w:sz w:val="20"/>
          <w:szCs w:val="20"/>
        </w:rPr>
        <w:t xml:space="preserve">Figure </w:t>
      </w:r>
      <w:r w:rsidR="00F62971" w:rsidRPr="004C78D8">
        <w:rPr>
          <w:b/>
          <w:bCs/>
          <w:sz w:val="20"/>
          <w:szCs w:val="20"/>
        </w:rPr>
        <w:t>5</w:t>
      </w:r>
      <w:r w:rsidR="00B66A3A" w:rsidRPr="004C78D8">
        <w:rPr>
          <w:b/>
          <w:bCs/>
          <w:sz w:val="20"/>
          <w:szCs w:val="20"/>
        </w:rPr>
        <w:t>.1</w:t>
      </w:r>
      <w:r w:rsidR="00B66A3A" w:rsidRPr="004C78D8">
        <w:rPr>
          <w:sz w:val="20"/>
          <w:szCs w:val="20"/>
        </w:rPr>
        <w:t xml:space="preserve"> Model representation diagram. </w:t>
      </w:r>
      <w:r w:rsidR="00B66A3A" w:rsidRPr="004C78D8">
        <w:rPr>
          <w:b/>
          <w:bCs/>
          <w:sz w:val="18"/>
          <w:szCs w:val="18"/>
        </w:rPr>
        <w:t>Abbreviation:</w:t>
      </w:r>
      <w:r w:rsidR="00B66A3A" w:rsidRPr="004C78D8">
        <w:rPr>
          <w:sz w:val="18"/>
          <w:szCs w:val="18"/>
        </w:rPr>
        <w:t xml:space="preserve"> </w:t>
      </w:r>
      <w:r w:rsidRPr="004C78D8">
        <w:rPr>
          <w:sz w:val="18"/>
          <w:szCs w:val="18"/>
        </w:rPr>
        <w:t xml:space="preserve">CASP-19: control, autonomy, self-realisation and pleasure, 19 items; </w:t>
      </w:r>
      <w:r w:rsidR="00B66A3A" w:rsidRPr="004C78D8">
        <w:rPr>
          <w:sz w:val="18"/>
          <w:szCs w:val="18"/>
        </w:rPr>
        <w:t xml:space="preserve">Comorb.: comorbidity; Int.: intervention; LTC: long-term care; MA fall: fall requiring medication attention; OOP: out-of-pocket; PS: public sector; SES: socioeconomic status. </w:t>
      </w:r>
      <w:r w:rsidR="00B66A3A" w:rsidRPr="004C78D8">
        <w:rPr>
          <w:sz w:val="18"/>
          <w:szCs w:val="18"/>
          <w:vertAlign w:val="superscript"/>
        </w:rPr>
        <w:t>1</w:t>
      </w:r>
      <w:r w:rsidR="00B66A3A" w:rsidRPr="004C78D8">
        <w:rPr>
          <w:sz w:val="18"/>
          <w:szCs w:val="18"/>
        </w:rPr>
        <w:t xml:space="preserve"> Includes paid employment and unpaid work. </w:t>
      </w:r>
      <w:r w:rsidR="00B66A3A" w:rsidRPr="004C78D8">
        <w:rPr>
          <w:sz w:val="18"/>
          <w:szCs w:val="18"/>
          <w:vertAlign w:val="superscript"/>
        </w:rPr>
        <w:t>2</w:t>
      </w:r>
      <w:r w:rsidR="00B66A3A" w:rsidRPr="004C78D8">
        <w:rPr>
          <w:sz w:val="18"/>
          <w:szCs w:val="18"/>
        </w:rPr>
        <w:t xml:space="preserve"> Intervention access rates are functions of eligibility (determined by covariates such as falls history) and implementation factors (demand and supply capacity); these can be altered by intervention scenarios. </w:t>
      </w:r>
      <w:r w:rsidR="00B66A3A" w:rsidRPr="004C78D8">
        <w:rPr>
          <w:sz w:val="18"/>
          <w:szCs w:val="18"/>
          <w:vertAlign w:val="superscript"/>
        </w:rPr>
        <w:t>3</w:t>
      </w:r>
      <w:r w:rsidR="00B66A3A" w:rsidRPr="004C78D8">
        <w:rPr>
          <w:sz w:val="18"/>
          <w:szCs w:val="18"/>
        </w:rPr>
        <w:t xml:space="preserve"> Societal intervention costs include private co-payment (e.g., for transport), time opportunity costs for participants and accompanying caregivers. </w:t>
      </w:r>
      <w:r w:rsidR="00B66A3A" w:rsidRPr="004C78D8">
        <w:rPr>
          <w:sz w:val="18"/>
          <w:szCs w:val="18"/>
          <w:vertAlign w:val="superscript"/>
        </w:rPr>
        <w:t>4</w:t>
      </w:r>
      <w:r w:rsidR="00B66A3A" w:rsidRPr="004C78D8">
        <w:rPr>
          <w:sz w:val="18"/>
          <w:szCs w:val="18"/>
        </w:rPr>
        <w:t xml:space="preserve"> For those experiencing recurrent falls with 1+ MA fall(s), the probability for experiencing a second MA fall is applied; MA falls are subdivided into hospitalised and non-hospitalised MA falls. </w:t>
      </w:r>
      <w:r w:rsidR="00B66A3A" w:rsidRPr="004C78D8">
        <w:rPr>
          <w:sz w:val="18"/>
          <w:szCs w:val="18"/>
          <w:vertAlign w:val="superscript"/>
        </w:rPr>
        <w:t>5</w:t>
      </w:r>
      <w:r w:rsidR="00B66A3A" w:rsidRPr="004C78D8">
        <w:rPr>
          <w:sz w:val="18"/>
          <w:szCs w:val="18"/>
        </w:rPr>
        <w:t xml:space="preserve"> The share of LTC cost incurred by public sector depends on individual’s SES quartile. </w:t>
      </w:r>
      <w:r w:rsidR="00B66A3A" w:rsidRPr="004C78D8">
        <w:rPr>
          <w:sz w:val="18"/>
          <w:szCs w:val="18"/>
          <w:vertAlign w:val="superscript"/>
        </w:rPr>
        <w:t>6</w:t>
      </w:r>
      <w:r w:rsidR="00B66A3A" w:rsidRPr="004C78D8">
        <w:rPr>
          <w:sz w:val="18"/>
          <w:szCs w:val="18"/>
        </w:rPr>
        <w:t xml:space="preserve"> Probability of GP contact and demand for self-referred intervention are updated longitudinally. </w:t>
      </w:r>
    </w:p>
    <w:p w14:paraId="187E8979" w14:textId="77777777" w:rsidR="00B66A3A" w:rsidRPr="004C78D8" w:rsidRDefault="00B66A3A" w:rsidP="00FB7C1F">
      <w:pPr>
        <w:sectPr w:rsidR="00B66A3A" w:rsidRPr="004C78D8" w:rsidSect="00B66A3A">
          <w:pgSz w:w="16838" w:h="11906" w:orient="landscape"/>
          <w:pgMar w:top="1440" w:right="1440" w:bottom="1440" w:left="1440" w:header="708" w:footer="708" w:gutter="0"/>
          <w:cols w:space="708"/>
          <w:docGrid w:linePitch="360"/>
        </w:sectPr>
      </w:pPr>
    </w:p>
    <w:p w14:paraId="648E3D28" w14:textId="2394851E" w:rsidR="008D13FA" w:rsidRPr="004C78D8" w:rsidRDefault="00240EBD" w:rsidP="00FB7C1F">
      <w:r w:rsidRPr="004C78D8">
        <w:lastRenderedPageBreak/>
        <w:t xml:space="preserve">Individuals then enter the falls prevention pathway. </w:t>
      </w:r>
      <w:r w:rsidR="00736735" w:rsidRPr="004C78D8">
        <w:t>T</w:t>
      </w:r>
      <w:r w:rsidRPr="004C78D8">
        <w:t xml:space="preserve">here are </w:t>
      </w:r>
      <w:r w:rsidR="00736735" w:rsidRPr="004C78D8">
        <w:t xml:space="preserve">three </w:t>
      </w:r>
      <w:r w:rsidRPr="004C78D8">
        <w:t xml:space="preserve">pathways: reactive; proactive; and self-referred. </w:t>
      </w:r>
      <w:r w:rsidR="003A10DE" w:rsidRPr="004C78D8">
        <w:t xml:space="preserve">Individuals’ access to one of the pathways (or </w:t>
      </w:r>
      <w:r w:rsidR="003171D3" w:rsidRPr="004C78D8">
        <w:t>none</w:t>
      </w:r>
      <w:r w:rsidR="003A10DE" w:rsidRPr="004C78D8">
        <w:t xml:space="preserve">) </w:t>
      </w:r>
      <w:r w:rsidR="00C63AE6" w:rsidRPr="004C78D8">
        <w:t xml:space="preserve">depends on eligibility and implementation factors (supply and demand). Both eligibility and implementation vary </w:t>
      </w:r>
      <w:r w:rsidR="00736735" w:rsidRPr="004C78D8">
        <w:t>across usual care (UC) and recommended care (RC) scenarios</w:t>
      </w:r>
      <w:r w:rsidR="00C63AE6" w:rsidRPr="004C78D8">
        <w:t xml:space="preserve"> under base case </w:t>
      </w:r>
      <w:r w:rsidR="00E35893" w:rsidRPr="004C78D8">
        <w:t>comparison</w:t>
      </w:r>
      <w:r w:rsidR="00C63AE6" w:rsidRPr="004C78D8">
        <w:t xml:space="preserve">. </w:t>
      </w:r>
      <w:r w:rsidR="003171D3" w:rsidRPr="004C78D8">
        <w:t xml:space="preserve">Table </w:t>
      </w:r>
      <w:r w:rsidR="00F62971" w:rsidRPr="004C78D8">
        <w:t>5</w:t>
      </w:r>
      <w:r w:rsidR="003171D3" w:rsidRPr="004C78D8">
        <w:t xml:space="preserve">.1 provides a summary of the intervention </w:t>
      </w:r>
      <w:r w:rsidR="00574A42" w:rsidRPr="004C78D8">
        <w:t>eligibility</w:t>
      </w:r>
      <w:r w:rsidR="003171D3" w:rsidRPr="004C78D8">
        <w:t xml:space="preserve"> </w:t>
      </w:r>
      <w:r w:rsidR="00736735" w:rsidRPr="004C78D8">
        <w:t>conditions</w:t>
      </w:r>
      <w:r w:rsidR="003171D3" w:rsidRPr="004C78D8">
        <w:t xml:space="preserve"> under </w:t>
      </w:r>
      <w:r w:rsidR="00736735" w:rsidRPr="004C78D8">
        <w:t>UC and RC</w:t>
      </w:r>
      <w:r w:rsidR="003171D3" w:rsidRPr="004C78D8">
        <w:t xml:space="preserve">. More details on </w:t>
      </w:r>
      <w:r w:rsidR="00736735" w:rsidRPr="004C78D8">
        <w:t xml:space="preserve">the </w:t>
      </w:r>
      <w:r w:rsidR="003171D3" w:rsidRPr="004C78D8">
        <w:t xml:space="preserve">intervention </w:t>
      </w:r>
      <w:r w:rsidR="00736735" w:rsidRPr="004C78D8">
        <w:t>access conditions</w:t>
      </w:r>
      <w:r w:rsidR="003171D3" w:rsidRPr="004C78D8">
        <w:t xml:space="preserve"> are given in Section </w:t>
      </w:r>
      <w:r w:rsidR="00F62971" w:rsidRPr="004C78D8">
        <w:t>5</w:t>
      </w:r>
      <w:r w:rsidR="003171D3" w:rsidRPr="004C78D8">
        <w:t>.</w:t>
      </w:r>
      <w:r w:rsidR="00A96975" w:rsidRPr="004C78D8">
        <w:t>2</w:t>
      </w:r>
      <w:r w:rsidR="003171D3" w:rsidRPr="004C78D8">
        <w:t>.</w:t>
      </w:r>
      <w:r w:rsidR="005125D8" w:rsidRPr="004C78D8">
        <w:t>4</w:t>
      </w:r>
      <w:r w:rsidR="003171D3" w:rsidRPr="004C78D8">
        <w:t>.</w:t>
      </w:r>
      <w:r w:rsidR="001A6A79" w:rsidRPr="004C78D8">
        <w:t xml:space="preserve"> Intervention access </w:t>
      </w:r>
      <w:r w:rsidR="00736735" w:rsidRPr="004C78D8">
        <w:t>gains</w:t>
      </w:r>
      <w:r w:rsidR="001A6A79" w:rsidRPr="004C78D8">
        <w:t xml:space="preserve"> efficacy and incur</w:t>
      </w:r>
      <w:r w:rsidR="00736735" w:rsidRPr="004C78D8">
        <w:t>s</w:t>
      </w:r>
      <w:r w:rsidR="001A6A79" w:rsidRPr="004C78D8">
        <w:t xml:space="preserve"> intervention costs (public sector and societal). </w:t>
      </w:r>
    </w:p>
    <w:tbl>
      <w:tblPr>
        <w:tblStyle w:val="TableGrid"/>
        <w:tblW w:w="5000" w:type="pct"/>
        <w:tblLook w:val="04A0" w:firstRow="1" w:lastRow="0" w:firstColumn="1" w:lastColumn="0" w:noHBand="0" w:noVBand="1"/>
      </w:tblPr>
      <w:tblGrid>
        <w:gridCol w:w="1428"/>
        <w:gridCol w:w="3794"/>
        <w:gridCol w:w="3794"/>
      </w:tblGrid>
      <w:tr w:rsidR="008D13FA" w:rsidRPr="004C78D8" w14:paraId="377262E8" w14:textId="77777777" w:rsidTr="002828C1">
        <w:tc>
          <w:tcPr>
            <w:tcW w:w="5000" w:type="pct"/>
            <w:gridSpan w:val="3"/>
          </w:tcPr>
          <w:p w14:paraId="3FCD062B" w14:textId="13C382A1" w:rsidR="008D13FA" w:rsidRPr="004C78D8" w:rsidRDefault="008D13FA" w:rsidP="00FB7C1F">
            <w:r w:rsidRPr="004C78D8">
              <w:rPr>
                <w:b/>
                <w:bCs/>
              </w:rPr>
              <w:t xml:space="preserve">Table </w:t>
            </w:r>
            <w:r w:rsidR="00F62971" w:rsidRPr="004C78D8">
              <w:rPr>
                <w:b/>
                <w:bCs/>
              </w:rPr>
              <w:t>5</w:t>
            </w:r>
            <w:r w:rsidRPr="004C78D8">
              <w:rPr>
                <w:b/>
                <w:bCs/>
              </w:rPr>
              <w:t>.1</w:t>
            </w:r>
            <w:r w:rsidRPr="004C78D8">
              <w:t xml:space="preserve"> </w:t>
            </w:r>
            <w:r w:rsidR="00966BBE" w:rsidRPr="004C78D8">
              <w:t>I</w:t>
            </w:r>
            <w:r w:rsidR="003171D3" w:rsidRPr="004C78D8">
              <w:t xml:space="preserve">ntervention </w:t>
            </w:r>
            <w:r w:rsidR="00574A42" w:rsidRPr="004C78D8">
              <w:t>eligibility</w:t>
            </w:r>
            <w:r w:rsidR="003171D3" w:rsidRPr="004C78D8">
              <w:t xml:space="preserve"> </w:t>
            </w:r>
            <w:r w:rsidR="005743BB" w:rsidRPr="004C78D8">
              <w:t xml:space="preserve">conditions </w:t>
            </w:r>
            <w:r w:rsidR="003171D3" w:rsidRPr="004C78D8">
              <w:t xml:space="preserve">by pathway and scenario </w:t>
            </w:r>
            <w:r w:rsidRPr="004C78D8">
              <w:t>under base case analysis</w:t>
            </w:r>
            <w:r w:rsidR="005743BB" w:rsidRPr="004C78D8">
              <w:t>.</w:t>
            </w:r>
          </w:p>
        </w:tc>
      </w:tr>
      <w:tr w:rsidR="008D13FA" w:rsidRPr="004C78D8" w14:paraId="224AB7F8" w14:textId="77777777" w:rsidTr="002828C1">
        <w:tc>
          <w:tcPr>
            <w:tcW w:w="792" w:type="pct"/>
            <w:vAlign w:val="bottom"/>
          </w:tcPr>
          <w:p w14:paraId="3A493C77" w14:textId="77777777" w:rsidR="008D13FA" w:rsidRPr="004C78D8" w:rsidRDefault="008D13FA" w:rsidP="00FB7C1F">
            <w:pPr>
              <w:jc w:val="left"/>
              <w:rPr>
                <w:b/>
                <w:bCs/>
                <w:sz w:val="20"/>
                <w:szCs w:val="20"/>
              </w:rPr>
            </w:pPr>
            <w:r w:rsidRPr="004C78D8">
              <w:rPr>
                <w:b/>
                <w:bCs/>
                <w:sz w:val="20"/>
                <w:szCs w:val="20"/>
              </w:rPr>
              <w:t>Pathway</w:t>
            </w:r>
          </w:p>
        </w:tc>
        <w:tc>
          <w:tcPr>
            <w:tcW w:w="2104" w:type="pct"/>
            <w:vAlign w:val="bottom"/>
          </w:tcPr>
          <w:p w14:paraId="26A1876F" w14:textId="406ECFE4" w:rsidR="008D13FA" w:rsidRPr="004C78D8" w:rsidRDefault="008D13FA" w:rsidP="00FB7C1F">
            <w:pPr>
              <w:jc w:val="left"/>
              <w:rPr>
                <w:b/>
                <w:bCs/>
                <w:sz w:val="20"/>
                <w:szCs w:val="20"/>
              </w:rPr>
            </w:pPr>
            <w:r w:rsidRPr="004C78D8">
              <w:rPr>
                <w:b/>
                <w:bCs/>
                <w:sz w:val="20"/>
                <w:szCs w:val="20"/>
              </w:rPr>
              <w:t>Usual care</w:t>
            </w:r>
            <w:r w:rsidR="00736735" w:rsidRPr="004C78D8">
              <w:rPr>
                <w:b/>
                <w:bCs/>
                <w:sz w:val="20"/>
                <w:szCs w:val="20"/>
              </w:rPr>
              <w:t xml:space="preserve"> (UC)</w:t>
            </w:r>
          </w:p>
        </w:tc>
        <w:tc>
          <w:tcPr>
            <w:tcW w:w="2104" w:type="pct"/>
            <w:vAlign w:val="bottom"/>
          </w:tcPr>
          <w:p w14:paraId="1DD57DE0" w14:textId="0DDF828A" w:rsidR="008D13FA" w:rsidRPr="004C78D8" w:rsidRDefault="008D13FA" w:rsidP="00FB7C1F">
            <w:pPr>
              <w:jc w:val="left"/>
              <w:rPr>
                <w:b/>
                <w:bCs/>
                <w:sz w:val="20"/>
                <w:szCs w:val="20"/>
              </w:rPr>
            </w:pPr>
            <w:r w:rsidRPr="004C78D8">
              <w:rPr>
                <w:b/>
                <w:bCs/>
                <w:sz w:val="20"/>
                <w:szCs w:val="20"/>
              </w:rPr>
              <w:t>Recommended</w:t>
            </w:r>
            <w:r w:rsidR="005743BB" w:rsidRPr="004C78D8">
              <w:rPr>
                <w:b/>
                <w:bCs/>
                <w:sz w:val="20"/>
                <w:szCs w:val="20"/>
              </w:rPr>
              <w:t xml:space="preserve"> care</w:t>
            </w:r>
            <w:r w:rsidR="00736735" w:rsidRPr="004C78D8">
              <w:rPr>
                <w:b/>
                <w:bCs/>
                <w:sz w:val="20"/>
                <w:szCs w:val="20"/>
              </w:rPr>
              <w:t xml:space="preserve"> (RC)</w:t>
            </w:r>
          </w:p>
        </w:tc>
      </w:tr>
      <w:tr w:rsidR="008D13FA" w:rsidRPr="004C78D8" w14:paraId="4250867D" w14:textId="77777777" w:rsidTr="002828C1">
        <w:tc>
          <w:tcPr>
            <w:tcW w:w="792" w:type="pct"/>
          </w:tcPr>
          <w:p w14:paraId="27806469" w14:textId="77777777" w:rsidR="008D13FA" w:rsidRPr="004C78D8" w:rsidRDefault="008D13FA" w:rsidP="00FB7C1F">
            <w:pPr>
              <w:jc w:val="left"/>
              <w:rPr>
                <w:b/>
                <w:bCs/>
                <w:sz w:val="20"/>
                <w:szCs w:val="20"/>
              </w:rPr>
            </w:pPr>
            <w:r w:rsidRPr="004C78D8">
              <w:rPr>
                <w:b/>
                <w:bCs/>
                <w:sz w:val="20"/>
                <w:szCs w:val="20"/>
              </w:rPr>
              <w:t>Reactive</w:t>
            </w:r>
          </w:p>
        </w:tc>
        <w:tc>
          <w:tcPr>
            <w:tcW w:w="2104" w:type="pct"/>
          </w:tcPr>
          <w:p w14:paraId="0398D648" w14:textId="5BD9381B" w:rsidR="008D13FA" w:rsidRPr="004C78D8" w:rsidRDefault="008D13FA" w:rsidP="00FB7C1F">
            <w:pPr>
              <w:jc w:val="left"/>
              <w:rPr>
                <w:sz w:val="18"/>
                <w:szCs w:val="18"/>
              </w:rPr>
            </w:pPr>
            <w:r w:rsidRPr="004C78D8">
              <w:rPr>
                <w:sz w:val="18"/>
                <w:szCs w:val="18"/>
              </w:rPr>
              <w:t xml:space="preserve">HAM for hospitalised fallers </w:t>
            </w:r>
            <w:r w:rsidR="00E451E5" w:rsidRPr="004C78D8">
              <w:rPr>
                <w:sz w:val="18"/>
                <w:szCs w:val="18"/>
              </w:rPr>
              <w:t xml:space="preserve">only </w:t>
            </w:r>
            <w:r w:rsidRPr="004C78D8">
              <w:rPr>
                <w:sz w:val="18"/>
                <w:szCs w:val="18"/>
              </w:rPr>
              <w:t>(around 28% of MA fallers)</w:t>
            </w:r>
            <w:r w:rsidR="00574A42" w:rsidRPr="004C78D8">
              <w:rPr>
                <w:sz w:val="18"/>
                <w:szCs w:val="18"/>
              </w:rPr>
              <w:t>.</w:t>
            </w:r>
          </w:p>
        </w:tc>
        <w:tc>
          <w:tcPr>
            <w:tcW w:w="2104" w:type="pct"/>
          </w:tcPr>
          <w:p w14:paraId="19613C3C" w14:textId="3AE60488" w:rsidR="008D13FA" w:rsidRPr="004C78D8" w:rsidRDefault="008D13FA" w:rsidP="00FB7C1F">
            <w:pPr>
              <w:jc w:val="left"/>
              <w:rPr>
                <w:sz w:val="18"/>
                <w:szCs w:val="18"/>
              </w:rPr>
            </w:pPr>
            <w:r w:rsidRPr="004C78D8">
              <w:rPr>
                <w:sz w:val="18"/>
                <w:szCs w:val="18"/>
              </w:rPr>
              <w:t>Multifactorial intervention for all MA fallers</w:t>
            </w:r>
            <w:r w:rsidR="00574A42" w:rsidRPr="004C78D8">
              <w:rPr>
                <w:sz w:val="18"/>
                <w:szCs w:val="18"/>
              </w:rPr>
              <w:t>.</w:t>
            </w:r>
          </w:p>
        </w:tc>
      </w:tr>
      <w:tr w:rsidR="008D13FA" w:rsidRPr="004C78D8" w14:paraId="3179393C" w14:textId="77777777" w:rsidTr="002828C1">
        <w:tc>
          <w:tcPr>
            <w:tcW w:w="792" w:type="pct"/>
          </w:tcPr>
          <w:p w14:paraId="26444832" w14:textId="77777777" w:rsidR="008D13FA" w:rsidRPr="004C78D8" w:rsidRDefault="008D13FA" w:rsidP="00FB7C1F">
            <w:pPr>
              <w:jc w:val="left"/>
              <w:rPr>
                <w:b/>
                <w:bCs/>
                <w:sz w:val="20"/>
                <w:szCs w:val="20"/>
              </w:rPr>
            </w:pPr>
            <w:r w:rsidRPr="004C78D8">
              <w:rPr>
                <w:b/>
                <w:bCs/>
                <w:sz w:val="20"/>
                <w:szCs w:val="20"/>
              </w:rPr>
              <w:t>Proactive</w:t>
            </w:r>
          </w:p>
        </w:tc>
        <w:tc>
          <w:tcPr>
            <w:tcW w:w="2104" w:type="pct"/>
          </w:tcPr>
          <w:p w14:paraId="24927763" w14:textId="25418654" w:rsidR="008D13FA" w:rsidRPr="004C78D8" w:rsidRDefault="008D13FA" w:rsidP="00FB7C1F">
            <w:pPr>
              <w:jc w:val="left"/>
              <w:rPr>
                <w:sz w:val="18"/>
                <w:szCs w:val="18"/>
              </w:rPr>
            </w:pPr>
            <w:r w:rsidRPr="004C78D8">
              <w:rPr>
                <w:sz w:val="18"/>
                <w:szCs w:val="18"/>
              </w:rPr>
              <w:t xml:space="preserve">Multifactorial intervention for </w:t>
            </w:r>
            <w:r w:rsidR="006353BA" w:rsidRPr="004C78D8">
              <w:rPr>
                <w:sz w:val="18"/>
                <w:szCs w:val="18"/>
              </w:rPr>
              <w:t>high falls risk individuals screened at routine GP contact,</w:t>
            </w:r>
            <w:r w:rsidRPr="004C78D8">
              <w:rPr>
                <w:sz w:val="18"/>
                <w:szCs w:val="18"/>
                <w:vertAlign w:val="superscript"/>
              </w:rPr>
              <w:t>1</w:t>
            </w:r>
            <w:r w:rsidRPr="004C78D8">
              <w:rPr>
                <w:sz w:val="18"/>
                <w:szCs w:val="18"/>
              </w:rPr>
              <w:t xml:space="preserve"> who are</w:t>
            </w:r>
            <w:r w:rsidR="00574A42" w:rsidRPr="004C78D8">
              <w:rPr>
                <w:sz w:val="18"/>
                <w:szCs w:val="18"/>
              </w:rPr>
              <w:t>: (i)</w:t>
            </w:r>
            <w:r w:rsidRPr="004C78D8">
              <w:rPr>
                <w:sz w:val="18"/>
                <w:szCs w:val="18"/>
              </w:rPr>
              <w:t xml:space="preserve"> </w:t>
            </w:r>
            <w:r w:rsidR="006353BA" w:rsidRPr="004C78D8">
              <w:rPr>
                <w:sz w:val="18"/>
                <w:szCs w:val="18"/>
              </w:rPr>
              <w:t xml:space="preserve">cognitively intact; (ii) </w:t>
            </w:r>
            <w:r w:rsidRPr="004C78D8">
              <w:rPr>
                <w:sz w:val="18"/>
                <w:szCs w:val="18"/>
              </w:rPr>
              <w:t>not receiving the reactive intervention that year</w:t>
            </w:r>
            <w:r w:rsidR="00574A42" w:rsidRPr="004C78D8">
              <w:rPr>
                <w:sz w:val="18"/>
                <w:szCs w:val="18"/>
              </w:rPr>
              <w:t>; (i</w:t>
            </w:r>
            <w:r w:rsidR="006353BA" w:rsidRPr="004C78D8">
              <w:rPr>
                <w:sz w:val="18"/>
                <w:szCs w:val="18"/>
              </w:rPr>
              <w:t>i</w:t>
            </w:r>
            <w:r w:rsidR="00574A42" w:rsidRPr="004C78D8">
              <w:rPr>
                <w:sz w:val="18"/>
                <w:szCs w:val="18"/>
              </w:rPr>
              <w:t xml:space="preserve">i) </w:t>
            </w:r>
            <w:r w:rsidRPr="004C78D8">
              <w:rPr>
                <w:sz w:val="18"/>
                <w:szCs w:val="18"/>
              </w:rPr>
              <w:t>have not previously received the proactive intervention</w:t>
            </w:r>
            <w:r w:rsidR="00574A42" w:rsidRPr="004C78D8">
              <w:rPr>
                <w:sz w:val="18"/>
                <w:szCs w:val="18"/>
              </w:rPr>
              <w:t>.</w:t>
            </w:r>
          </w:p>
        </w:tc>
        <w:tc>
          <w:tcPr>
            <w:tcW w:w="2104" w:type="pct"/>
          </w:tcPr>
          <w:p w14:paraId="21FAE6E9" w14:textId="722D9766" w:rsidR="008D13FA" w:rsidRPr="004C78D8" w:rsidRDefault="008D13FA" w:rsidP="00FB7C1F">
            <w:pPr>
              <w:jc w:val="left"/>
              <w:rPr>
                <w:sz w:val="18"/>
                <w:szCs w:val="18"/>
              </w:rPr>
            </w:pPr>
            <w:r w:rsidRPr="004C78D8">
              <w:rPr>
                <w:sz w:val="18"/>
                <w:szCs w:val="18"/>
              </w:rPr>
              <w:t xml:space="preserve">Multifactorial intervention for </w:t>
            </w:r>
            <w:r w:rsidR="006353BA" w:rsidRPr="004C78D8">
              <w:rPr>
                <w:sz w:val="18"/>
                <w:szCs w:val="18"/>
              </w:rPr>
              <w:t>high falls risk individuals screened at routine GP contact: (i)</w:t>
            </w:r>
            <w:r w:rsidR="00574A42" w:rsidRPr="004C78D8">
              <w:rPr>
                <w:sz w:val="18"/>
                <w:szCs w:val="18"/>
              </w:rPr>
              <w:t xml:space="preserve"> regardless of cognitive status</w:t>
            </w:r>
            <w:r w:rsidR="006353BA" w:rsidRPr="004C78D8">
              <w:rPr>
                <w:sz w:val="18"/>
                <w:szCs w:val="18"/>
              </w:rPr>
              <w:t>;</w:t>
            </w:r>
            <w:r w:rsidR="00574A42" w:rsidRPr="004C78D8">
              <w:rPr>
                <w:sz w:val="18"/>
                <w:szCs w:val="18"/>
              </w:rPr>
              <w:t xml:space="preserve"> (i</w:t>
            </w:r>
            <w:r w:rsidR="006353BA" w:rsidRPr="004C78D8">
              <w:rPr>
                <w:sz w:val="18"/>
                <w:szCs w:val="18"/>
              </w:rPr>
              <w:t>i</w:t>
            </w:r>
            <w:r w:rsidR="00574A42" w:rsidRPr="004C78D8">
              <w:rPr>
                <w:sz w:val="18"/>
                <w:szCs w:val="18"/>
              </w:rPr>
              <w:t>)</w:t>
            </w:r>
            <w:r w:rsidRPr="004C78D8">
              <w:rPr>
                <w:sz w:val="18"/>
                <w:szCs w:val="18"/>
              </w:rPr>
              <w:t xml:space="preserve"> not receiving the reactive intervention that year</w:t>
            </w:r>
            <w:r w:rsidR="006353BA" w:rsidRPr="004C78D8">
              <w:rPr>
                <w:sz w:val="18"/>
                <w:szCs w:val="18"/>
              </w:rPr>
              <w:t xml:space="preserve">; </w:t>
            </w:r>
            <w:r w:rsidRPr="004C78D8">
              <w:rPr>
                <w:sz w:val="18"/>
                <w:szCs w:val="18"/>
              </w:rPr>
              <w:t xml:space="preserve">and </w:t>
            </w:r>
            <w:r w:rsidR="006353BA" w:rsidRPr="004C78D8">
              <w:rPr>
                <w:sz w:val="18"/>
                <w:szCs w:val="18"/>
              </w:rPr>
              <w:t xml:space="preserve">(iii) regardless of </w:t>
            </w:r>
            <w:r w:rsidRPr="004C78D8">
              <w:rPr>
                <w:sz w:val="18"/>
                <w:szCs w:val="18"/>
              </w:rPr>
              <w:t>proactive intervention history</w:t>
            </w:r>
            <w:r w:rsidR="006353BA" w:rsidRPr="004C78D8">
              <w:rPr>
                <w:sz w:val="18"/>
                <w:szCs w:val="18"/>
              </w:rPr>
              <w:t>.</w:t>
            </w:r>
          </w:p>
        </w:tc>
      </w:tr>
      <w:tr w:rsidR="008D13FA" w:rsidRPr="004C78D8" w14:paraId="48550695" w14:textId="77777777" w:rsidTr="002828C1">
        <w:tc>
          <w:tcPr>
            <w:tcW w:w="792" w:type="pct"/>
          </w:tcPr>
          <w:p w14:paraId="12957C4E" w14:textId="77777777" w:rsidR="008D13FA" w:rsidRPr="004C78D8" w:rsidRDefault="008D13FA" w:rsidP="00FB7C1F">
            <w:pPr>
              <w:jc w:val="left"/>
              <w:rPr>
                <w:b/>
                <w:bCs/>
                <w:sz w:val="20"/>
                <w:szCs w:val="20"/>
              </w:rPr>
            </w:pPr>
            <w:r w:rsidRPr="004C78D8">
              <w:rPr>
                <w:b/>
                <w:bCs/>
                <w:sz w:val="20"/>
                <w:szCs w:val="20"/>
              </w:rPr>
              <w:t>Self-referred</w:t>
            </w:r>
          </w:p>
        </w:tc>
        <w:tc>
          <w:tcPr>
            <w:tcW w:w="2104" w:type="pct"/>
          </w:tcPr>
          <w:p w14:paraId="0BCE7715" w14:textId="0AEECC98" w:rsidR="008D13FA" w:rsidRPr="004C78D8" w:rsidRDefault="008D13FA" w:rsidP="00FB7C1F">
            <w:pPr>
              <w:jc w:val="left"/>
              <w:rPr>
                <w:sz w:val="18"/>
                <w:szCs w:val="18"/>
              </w:rPr>
            </w:pPr>
            <w:r w:rsidRPr="004C78D8">
              <w:rPr>
                <w:sz w:val="18"/>
                <w:szCs w:val="18"/>
              </w:rPr>
              <w:t xml:space="preserve">Self-financed exercise intervention for </w:t>
            </w:r>
            <w:r w:rsidR="003171D3" w:rsidRPr="004C78D8">
              <w:rPr>
                <w:sz w:val="18"/>
                <w:szCs w:val="18"/>
              </w:rPr>
              <w:t>0.1%</w:t>
            </w:r>
            <w:r w:rsidRPr="004C78D8">
              <w:rPr>
                <w:sz w:val="18"/>
                <w:szCs w:val="18"/>
              </w:rPr>
              <w:t xml:space="preserve"> of persons in the most privileged </w:t>
            </w:r>
            <w:r w:rsidR="005B5B5B" w:rsidRPr="004C78D8">
              <w:rPr>
                <w:sz w:val="18"/>
                <w:szCs w:val="18"/>
              </w:rPr>
              <w:t xml:space="preserve">SES </w:t>
            </w:r>
            <w:r w:rsidRPr="004C78D8">
              <w:rPr>
                <w:sz w:val="18"/>
                <w:szCs w:val="18"/>
              </w:rPr>
              <w:t>quartile who are not receiving the reactive</w:t>
            </w:r>
            <w:r w:rsidR="00966BBE" w:rsidRPr="004C78D8">
              <w:rPr>
                <w:sz w:val="18"/>
                <w:szCs w:val="18"/>
              </w:rPr>
              <w:t>/</w:t>
            </w:r>
            <w:r w:rsidRPr="004C78D8">
              <w:rPr>
                <w:sz w:val="18"/>
                <w:szCs w:val="18"/>
              </w:rPr>
              <w:t>proactive intervention that year</w:t>
            </w:r>
            <w:r w:rsidR="006353BA" w:rsidRPr="004C78D8">
              <w:rPr>
                <w:sz w:val="18"/>
                <w:szCs w:val="18"/>
              </w:rPr>
              <w:t>.</w:t>
            </w:r>
          </w:p>
        </w:tc>
        <w:tc>
          <w:tcPr>
            <w:tcW w:w="2104" w:type="pct"/>
          </w:tcPr>
          <w:p w14:paraId="0ABB23B1" w14:textId="00AC9B86" w:rsidR="008D13FA" w:rsidRPr="004C78D8" w:rsidRDefault="008D13FA" w:rsidP="00FB7C1F">
            <w:pPr>
              <w:jc w:val="left"/>
              <w:rPr>
                <w:sz w:val="18"/>
                <w:szCs w:val="18"/>
              </w:rPr>
            </w:pPr>
            <w:r w:rsidRPr="004C78D8">
              <w:rPr>
                <w:sz w:val="18"/>
                <w:szCs w:val="18"/>
              </w:rPr>
              <w:t>Publicly funded exercise intervention for persons who are not receiving the reactive</w:t>
            </w:r>
            <w:r w:rsidR="00966BBE" w:rsidRPr="004C78D8">
              <w:rPr>
                <w:sz w:val="18"/>
                <w:szCs w:val="18"/>
              </w:rPr>
              <w:t>/</w:t>
            </w:r>
            <w:r w:rsidRPr="004C78D8">
              <w:rPr>
                <w:sz w:val="18"/>
                <w:szCs w:val="18"/>
              </w:rPr>
              <w:t>proactive intervention that year</w:t>
            </w:r>
            <w:r w:rsidR="007E2692" w:rsidRPr="004C78D8">
              <w:rPr>
                <w:sz w:val="18"/>
                <w:szCs w:val="18"/>
              </w:rPr>
              <w:t>.</w:t>
            </w:r>
          </w:p>
        </w:tc>
      </w:tr>
      <w:tr w:rsidR="008D13FA" w:rsidRPr="004C78D8" w14:paraId="23B5927F" w14:textId="77777777" w:rsidTr="002828C1">
        <w:tc>
          <w:tcPr>
            <w:tcW w:w="5000" w:type="pct"/>
            <w:gridSpan w:val="3"/>
          </w:tcPr>
          <w:p w14:paraId="713007A4" w14:textId="61DC084F" w:rsidR="00826E28" w:rsidRPr="004C78D8" w:rsidRDefault="00D10D5E" w:rsidP="00FB7C1F">
            <w:pPr>
              <w:rPr>
                <w:sz w:val="18"/>
                <w:szCs w:val="18"/>
              </w:rPr>
            </w:pPr>
            <w:r w:rsidRPr="004C78D8">
              <w:rPr>
                <w:b/>
                <w:bCs/>
                <w:sz w:val="18"/>
                <w:szCs w:val="18"/>
              </w:rPr>
              <w:t>Abbreviation</w:t>
            </w:r>
            <w:r w:rsidR="00826E28" w:rsidRPr="004C78D8">
              <w:rPr>
                <w:b/>
                <w:bCs/>
                <w:sz w:val="18"/>
                <w:szCs w:val="18"/>
              </w:rPr>
              <w:t xml:space="preserve">: </w:t>
            </w:r>
            <w:r w:rsidR="00826E28" w:rsidRPr="004C78D8">
              <w:rPr>
                <w:sz w:val="18"/>
                <w:szCs w:val="18"/>
              </w:rPr>
              <w:t>ELSA: English Longitudinal Study of Ageing; HAM: home assessment and modification; MA faller: faller requiring medical attention</w:t>
            </w:r>
          </w:p>
          <w:p w14:paraId="37CBE24E" w14:textId="4E770CD7" w:rsidR="008D13FA" w:rsidRPr="004C78D8" w:rsidRDefault="008D13FA" w:rsidP="00FB7C1F">
            <w:pPr>
              <w:rPr>
                <w:sz w:val="18"/>
                <w:szCs w:val="18"/>
              </w:rPr>
            </w:pPr>
            <w:r w:rsidRPr="004C78D8">
              <w:rPr>
                <w:sz w:val="18"/>
                <w:szCs w:val="18"/>
                <w:vertAlign w:val="superscript"/>
              </w:rPr>
              <w:t>1</w:t>
            </w:r>
            <w:r w:rsidRPr="004C78D8">
              <w:rPr>
                <w:sz w:val="18"/>
                <w:szCs w:val="18"/>
              </w:rPr>
              <w:t xml:space="preserve"> According to ELSA</w:t>
            </w:r>
            <w:r w:rsidR="007E2692" w:rsidRPr="004C78D8">
              <w:rPr>
                <w:sz w:val="18"/>
                <w:szCs w:val="18"/>
              </w:rPr>
              <w:t>:</w:t>
            </w:r>
            <w:r w:rsidRPr="004C78D8">
              <w:rPr>
                <w:sz w:val="18"/>
                <w:szCs w:val="18"/>
              </w:rPr>
              <w:t xml:space="preserve"> around 81% of </w:t>
            </w:r>
            <w:r w:rsidR="00826E28" w:rsidRPr="004C78D8">
              <w:rPr>
                <w:sz w:val="18"/>
                <w:szCs w:val="18"/>
              </w:rPr>
              <w:t>older</w:t>
            </w:r>
            <w:r w:rsidRPr="004C78D8">
              <w:rPr>
                <w:sz w:val="18"/>
                <w:szCs w:val="18"/>
              </w:rPr>
              <w:t xml:space="preserve"> persons aged 60+ access routine GP contact each year</w:t>
            </w:r>
            <w:r w:rsidR="007E2692" w:rsidRPr="004C78D8">
              <w:rPr>
                <w:sz w:val="18"/>
                <w:szCs w:val="18"/>
              </w:rPr>
              <w:t>;</w:t>
            </w:r>
            <w:r w:rsidRPr="004C78D8">
              <w:rPr>
                <w:sz w:val="18"/>
                <w:szCs w:val="18"/>
              </w:rPr>
              <w:t xml:space="preserve"> </w:t>
            </w:r>
            <w:r w:rsidR="007E2692" w:rsidRPr="004C78D8">
              <w:rPr>
                <w:sz w:val="18"/>
                <w:szCs w:val="18"/>
              </w:rPr>
              <w:t>u</w:t>
            </w:r>
            <w:r w:rsidRPr="004C78D8">
              <w:rPr>
                <w:sz w:val="18"/>
                <w:szCs w:val="18"/>
              </w:rPr>
              <w:t>nder usual care, only around 31% of persons receive falls risk screening at GP contact</w:t>
            </w:r>
            <w:r w:rsidR="007E2692" w:rsidRPr="004C78D8">
              <w:rPr>
                <w:sz w:val="18"/>
                <w:szCs w:val="18"/>
              </w:rPr>
              <w:t>;</w:t>
            </w:r>
            <w:r w:rsidRPr="004C78D8">
              <w:rPr>
                <w:sz w:val="18"/>
                <w:szCs w:val="18"/>
              </w:rPr>
              <w:t xml:space="preserve"> </w:t>
            </w:r>
            <w:r w:rsidR="00846AEB" w:rsidRPr="004C78D8">
              <w:rPr>
                <w:sz w:val="18"/>
                <w:szCs w:val="18"/>
              </w:rPr>
              <w:t xml:space="preserve">around 34% of screened individuals receive the intervention. See </w:t>
            </w:r>
            <w:r w:rsidR="006353BA" w:rsidRPr="004C78D8">
              <w:rPr>
                <w:sz w:val="18"/>
                <w:szCs w:val="18"/>
              </w:rPr>
              <w:t xml:space="preserve">Table </w:t>
            </w:r>
            <w:r w:rsidR="00F62971" w:rsidRPr="004C78D8">
              <w:rPr>
                <w:sz w:val="18"/>
                <w:szCs w:val="18"/>
              </w:rPr>
              <w:t>5</w:t>
            </w:r>
            <w:r w:rsidR="006353BA" w:rsidRPr="004C78D8">
              <w:rPr>
                <w:sz w:val="18"/>
                <w:szCs w:val="18"/>
              </w:rPr>
              <w:t>.27</w:t>
            </w:r>
            <w:r w:rsidR="00846AEB" w:rsidRPr="004C78D8">
              <w:rPr>
                <w:sz w:val="18"/>
                <w:szCs w:val="18"/>
              </w:rPr>
              <w:t xml:space="preserve"> for greater detail on access conditions.</w:t>
            </w:r>
          </w:p>
        </w:tc>
      </w:tr>
    </w:tbl>
    <w:p w14:paraId="5C19CB04" w14:textId="61423CC1" w:rsidR="008D13FA" w:rsidRPr="004C78D8" w:rsidRDefault="008D13FA" w:rsidP="00FB7C1F"/>
    <w:p w14:paraId="7C09B276" w14:textId="48B4B57E" w:rsidR="00D156CD" w:rsidRPr="004C78D8" w:rsidRDefault="001A6A79" w:rsidP="00FB7C1F">
      <w:r w:rsidRPr="004C78D8">
        <w:t>After the intervention pathway, individuals face the risk of experiencing mortality of two types: fatal fall; and other-cause mortality. The mortality risks are stratified by age, sex</w:t>
      </w:r>
      <w:r w:rsidR="00966BBE" w:rsidRPr="004C78D8">
        <w:t>,</w:t>
      </w:r>
      <w:r w:rsidRPr="004C78D8">
        <w:t xml:space="preserve"> and frailty category (fit, mild, moderate</w:t>
      </w:r>
      <w:r w:rsidR="00966BBE" w:rsidRPr="004C78D8">
        <w:t>,</w:t>
      </w:r>
      <w:r w:rsidRPr="004C78D8">
        <w:t xml:space="preserve"> and severe). Those who experience mortality exit the model and incur the cost of dying. At model exit, individuals’ discounted lifetime </w:t>
      </w:r>
      <w:r w:rsidR="00736735" w:rsidRPr="004C78D8">
        <w:t>outcomes</w:t>
      </w:r>
      <w:r w:rsidRPr="004C78D8">
        <w:t xml:space="preserve"> are calculated. Those who do not experience mortality face risk</w:t>
      </w:r>
      <w:r w:rsidR="00F0336E" w:rsidRPr="004C78D8">
        <w:t>s</w:t>
      </w:r>
      <w:r w:rsidRPr="004C78D8">
        <w:t xml:space="preserve"> of non-fatal falls. Multivariate logistic regressions are used to estimate the risks of: (1) any fall; (2) recurrent falls given any fall; (3a) MA fall given single fall; and (3b) MA fall(s) given recurrent falls. These divide individuals into five fall</w:t>
      </w:r>
      <w:r w:rsidR="00D156CD" w:rsidRPr="004C78D8">
        <w:t>er types</w:t>
      </w:r>
      <w:r w:rsidRPr="004C78D8">
        <w:t xml:space="preserve">: (i) no fall; (ii) single non-MA fall; (iii) single MA fall; (iv) recurrent non-MA falls; and (v) recurrent falls with </w:t>
      </w:r>
      <w:r w:rsidR="00966BBE" w:rsidRPr="004C78D8">
        <w:t>1+</w:t>
      </w:r>
      <w:r w:rsidRPr="004C78D8">
        <w:t xml:space="preserve"> MA fall(s). </w:t>
      </w:r>
      <w:r w:rsidR="00D156CD" w:rsidRPr="004C78D8">
        <w:t>Individuals</w:t>
      </w:r>
      <w:r w:rsidRPr="004C78D8">
        <w:t xml:space="preserve"> </w:t>
      </w:r>
      <w:r w:rsidR="00966BBE" w:rsidRPr="004C78D8">
        <w:t>in</w:t>
      </w:r>
      <w:r w:rsidRPr="004C78D8">
        <w:t xml:space="preserve"> (v) face </w:t>
      </w:r>
      <w:r w:rsidR="00F0336E" w:rsidRPr="004C78D8">
        <w:t>the</w:t>
      </w:r>
      <w:r w:rsidRPr="004C78D8">
        <w:t xml:space="preserve"> </w:t>
      </w:r>
      <w:r w:rsidR="00D156CD" w:rsidRPr="004C78D8">
        <w:t>risk of experiencing two MA falls. Individuals</w:t>
      </w:r>
      <w:r w:rsidRPr="004C78D8">
        <w:t xml:space="preserve"> </w:t>
      </w:r>
      <w:r w:rsidR="00966BBE" w:rsidRPr="004C78D8">
        <w:t>in</w:t>
      </w:r>
      <w:r w:rsidR="00D156CD" w:rsidRPr="004C78D8">
        <w:t xml:space="preserve"> (iii) and (v) </w:t>
      </w:r>
      <w:r w:rsidRPr="004C78D8">
        <w:t>who experience MA fall(s) face a further risk of experiencing a hospitalised</w:t>
      </w:r>
      <w:r w:rsidR="00F0336E" w:rsidRPr="004C78D8">
        <w:t xml:space="preserve">, as opposed to non-hospitalised, </w:t>
      </w:r>
      <w:r w:rsidRPr="004C78D8">
        <w:t>MA fall</w:t>
      </w:r>
      <w:r w:rsidR="00D156CD" w:rsidRPr="004C78D8">
        <w:t>(s)</w:t>
      </w:r>
      <w:r w:rsidRPr="004C78D8">
        <w:t xml:space="preserve">. </w:t>
      </w:r>
      <w:r w:rsidR="00D156CD" w:rsidRPr="004C78D8">
        <w:t>Hence, type (v) individuals can experience two hospitalised falls, two non-hospitalised MA falls</w:t>
      </w:r>
      <w:r w:rsidR="00966BBE" w:rsidRPr="004C78D8">
        <w:t>,</w:t>
      </w:r>
      <w:r w:rsidR="00D156CD" w:rsidRPr="004C78D8">
        <w:t xml:space="preserve"> or one of each. </w:t>
      </w:r>
      <w:r w:rsidR="00F0336E" w:rsidRPr="004C78D8">
        <w:t>H</w:t>
      </w:r>
      <w:r w:rsidR="00D156CD" w:rsidRPr="004C78D8">
        <w:t xml:space="preserve">ealthcare costs and acute QALY loss </w:t>
      </w:r>
      <w:r w:rsidR="00F0336E" w:rsidRPr="004C78D8">
        <w:t xml:space="preserve">directly associated with the fall </w:t>
      </w:r>
      <w:r w:rsidR="00D156CD" w:rsidRPr="004C78D8">
        <w:t xml:space="preserve">are assigned by faller type. </w:t>
      </w:r>
    </w:p>
    <w:p w14:paraId="1655C84C" w14:textId="693B778B" w:rsidR="001A6A79" w:rsidRPr="004C78D8" w:rsidRDefault="00B02B76" w:rsidP="00FB7C1F">
      <w:r w:rsidRPr="004C78D8">
        <w:t>T</w:t>
      </w:r>
      <w:r w:rsidR="00D156CD" w:rsidRPr="004C78D8">
        <w:t xml:space="preserve">he </w:t>
      </w:r>
      <w:r w:rsidRPr="004C78D8">
        <w:t xml:space="preserve">post-fall </w:t>
      </w:r>
      <w:r w:rsidR="00D156CD" w:rsidRPr="004C78D8">
        <w:t xml:space="preserve">rate of frailty progression is </w:t>
      </w:r>
      <w:r w:rsidRPr="004C78D8">
        <w:t xml:space="preserve">then </w:t>
      </w:r>
      <w:r w:rsidR="00D156CD" w:rsidRPr="004C78D8">
        <w:t xml:space="preserve">estimated by linear regression. </w:t>
      </w:r>
      <w:r w:rsidR="00CB152C" w:rsidRPr="004C78D8">
        <w:t>The</w:t>
      </w:r>
      <w:r w:rsidR="006E6B78" w:rsidRPr="004C78D8">
        <w:t xml:space="preserve"> association between fall incidence and frailty progression </w:t>
      </w:r>
      <w:r w:rsidR="00CB152C" w:rsidRPr="004C78D8">
        <w:t xml:space="preserve">propagates </w:t>
      </w:r>
      <w:r w:rsidR="006E6B78" w:rsidRPr="004C78D8">
        <w:t>the secondary effect</w:t>
      </w:r>
      <w:r w:rsidR="00CB152C" w:rsidRPr="004C78D8">
        <w:t>s</w:t>
      </w:r>
      <w:r w:rsidR="006E6B78" w:rsidRPr="004C78D8">
        <w:t xml:space="preserve"> of falls. The frailty progression rate </w:t>
      </w:r>
      <w:r w:rsidR="00A96975" w:rsidRPr="004C78D8">
        <w:t xml:space="preserve">and the not-yet-updated covariates </w:t>
      </w:r>
      <w:r w:rsidR="006E6B78" w:rsidRPr="004C78D8">
        <w:t xml:space="preserve">are used as independent variables to predict permanent LTC admission. Those admitted to LTC exit the model after incurring the cost of admission and being assigned the average remaining QALY in LTC. The LTC admission </w:t>
      </w:r>
      <w:r w:rsidR="00772959" w:rsidRPr="004C78D8">
        <w:t xml:space="preserve">cost </w:t>
      </w:r>
      <w:r w:rsidR="006E6B78" w:rsidRPr="004C78D8">
        <w:t xml:space="preserve">is shared between public </w:t>
      </w:r>
      <w:r w:rsidR="00D3150F" w:rsidRPr="004C78D8">
        <w:t>and private funding</w:t>
      </w:r>
      <w:r w:rsidR="006E6B78" w:rsidRPr="004C78D8">
        <w:t xml:space="preserve"> depending on </w:t>
      </w:r>
      <w:r w:rsidR="00772959" w:rsidRPr="004C78D8">
        <w:t xml:space="preserve">individuals’ </w:t>
      </w:r>
      <w:r w:rsidR="006E6B78" w:rsidRPr="004C78D8">
        <w:t xml:space="preserve">SES. </w:t>
      </w:r>
      <w:r w:rsidRPr="004C78D8">
        <w:t>T</w:t>
      </w:r>
      <w:r w:rsidR="006E6B78" w:rsidRPr="004C78D8">
        <w:t xml:space="preserve">he model </w:t>
      </w:r>
      <w:r w:rsidRPr="004C78D8">
        <w:t xml:space="preserve">then </w:t>
      </w:r>
      <w:r w:rsidR="006E6B78" w:rsidRPr="004C78D8">
        <w:t>concludes if the cycle is the final one. If so, all individuals exit</w:t>
      </w:r>
      <w:r w:rsidRPr="004C78D8">
        <w:t>,</w:t>
      </w:r>
      <w:r w:rsidR="006E6B78" w:rsidRPr="004C78D8">
        <w:t xml:space="preserve"> and their </w:t>
      </w:r>
      <w:r w:rsidR="00A96975" w:rsidRPr="004C78D8">
        <w:t xml:space="preserve">final </w:t>
      </w:r>
      <w:r w:rsidRPr="004C78D8">
        <w:t>outcomes</w:t>
      </w:r>
      <w:r w:rsidR="006E6B78" w:rsidRPr="004C78D8">
        <w:t xml:space="preserve"> </w:t>
      </w:r>
      <w:r w:rsidR="00634CCD" w:rsidRPr="004C78D8">
        <w:t xml:space="preserve">are </w:t>
      </w:r>
      <w:r w:rsidRPr="004C78D8">
        <w:t>comput</w:t>
      </w:r>
      <w:r w:rsidR="00BD3AC7" w:rsidRPr="004C78D8">
        <w:t>ed</w:t>
      </w:r>
      <w:r w:rsidR="006E6B78" w:rsidRPr="004C78D8">
        <w:t>. Otherwise, their covariates and outcomes are updated for the next cycle.</w:t>
      </w:r>
      <w:r w:rsidR="00D156CD" w:rsidRPr="004C78D8">
        <w:t xml:space="preserve"> </w:t>
      </w:r>
      <w:r w:rsidR="006E6B78" w:rsidRPr="004C78D8">
        <w:t xml:space="preserve">This process repeats until the final cycle. </w:t>
      </w:r>
    </w:p>
    <w:p w14:paraId="582ABEF2" w14:textId="48347058" w:rsidR="001C16A1" w:rsidRPr="004C78D8" w:rsidRDefault="00F03F03" w:rsidP="00FB7C1F">
      <w:r w:rsidRPr="004C78D8">
        <w:t xml:space="preserve">Figure </w:t>
      </w:r>
      <w:r w:rsidR="002B4C00" w:rsidRPr="004C78D8">
        <w:t>5</w:t>
      </w:r>
      <w:r w:rsidRPr="004C78D8">
        <w:t xml:space="preserve">.2 shows the simulation model schematic. The simulation software </w:t>
      </w:r>
      <w:r w:rsidR="00B02B76" w:rsidRPr="004C78D8">
        <w:t xml:space="preserve">was </w:t>
      </w:r>
      <w:r w:rsidRPr="004C78D8">
        <w:t>Simul8 Professional</w:t>
      </w:r>
      <w:r w:rsidRPr="004C78D8">
        <w:rPr>
          <w:vertAlign w:val="superscript"/>
        </w:rPr>
        <w:t>®</w:t>
      </w:r>
      <w:r w:rsidRPr="004C78D8">
        <w:t xml:space="preserve"> </w:t>
      </w:r>
      <w:r w:rsidR="008F408C" w:rsidRPr="004C78D8">
        <w:fldChar w:fldCharType="begin"/>
      </w:r>
      <w:r w:rsidR="00C630FC" w:rsidRPr="004C78D8">
        <w:instrText xml:space="preserve"> ADDIN EN.CITE &lt;EndNote&gt;&lt;Cite&gt;&lt;Author&gt;SIMUL8&lt;/Author&gt;&lt;Year&gt;2014&lt;/Year&gt;&lt;RecNum&gt;111&lt;/RecNum&gt;&lt;DisplayText&gt;[377]&lt;/DisplayText&gt;&lt;record&gt;&lt;rec-number&gt;111&lt;/rec-number&gt;&lt;foreign-keys&gt;&lt;key app="EN" db-id="tdtrdw9aepptzbefsat599syza29sxsd2wsp" timestamp="1598449506"&gt;111&lt;/key&gt;&lt;/foreign-keys&gt;&lt;ref-type name="Journal Article"&gt;17&lt;/ref-type&gt;&lt;contributors&gt;&lt;authors&gt;&lt;author&gt;SIMUL8&lt;/author&gt;&lt;/authors&gt;&lt;/contributors&gt;&lt;titles&gt;&lt;title&gt;SIMUL8 2014 Student&lt;/title&gt;&lt;secondary-title&gt;US: SIMUL8 Corporation&lt;/secondary-title&gt;&lt;/titles&gt;&lt;periodical&gt;&lt;full-title&gt;US: SIMUL8 Corporation&lt;/full-title&gt;&lt;/periodical&gt;&lt;dates&gt;&lt;year&gt;2014&lt;/year&gt;&lt;/dates&gt;&lt;urls&gt;&lt;/urls&gt;&lt;/record&gt;&lt;/Cite&gt;&lt;/EndNote&gt;</w:instrText>
      </w:r>
      <w:r w:rsidR="008F408C" w:rsidRPr="004C78D8">
        <w:fldChar w:fldCharType="separate"/>
      </w:r>
      <w:r w:rsidR="00C630FC" w:rsidRPr="004C78D8">
        <w:rPr>
          <w:noProof/>
        </w:rPr>
        <w:t>[377]</w:t>
      </w:r>
      <w:r w:rsidR="008F408C" w:rsidRPr="004C78D8">
        <w:fldChar w:fldCharType="end"/>
      </w:r>
      <w:r w:rsidRPr="004C78D8">
        <w:t xml:space="preserve">. </w:t>
      </w:r>
      <w:r w:rsidR="00E623FA" w:rsidRPr="004C78D8">
        <w:t xml:space="preserve">Appendix E contains the Simul8 </w:t>
      </w:r>
      <w:r w:rsidR="00D65D59" w:rsidRPr="004C78D8">
        <w:t xml:space="preserve">labels, </w:t>
      </w:r>
      <w:r w:rsidR="00136AE9" w:rsidRPr="004C78D8">
        <w:t>distributions</w:t>
      </w:r>
      <w:r w:rsidR="00D65D59" w:rsidRPr="004C78D8">
        <w:t>, spreadsheets, numbers,</w:t>
      </w:r>
      <w:r w:rsidR="00E623FA" w:rsidRPr="004C78D8">
        <w:t xml:space="preserve"> and </w:t>
      </w:r>
      <w:r w:rsidR="00D65D59" w:rsidRPr="004C78D8">
        <w:t>visual logic</w:t>
      </w:r>
      <w:r w:rsidR="00E623FA" w:rsidRPr="004C78D8">
        <w:t xml:space="preserve"> </w:t>
      </w:r>
      <w:r w:rsidR="00D65D59" w:rsidRPr="004C78D8">
        <w:t>used for constructing the UC and RC scenarios</w:t>
      </w:r>
      <w:r w:rsidR="00E623FA" w:rsidRPr="004C78D8">
        <w:t xml:space="preserve">. </w:t>
      </w:r>
      <w:r w:rsidRPr="004C78D8">
        <w:t xml:space="preserve">STATA version 16 </w:t>
      </w:r>
      <w:r w:rsidR="00E623FA" w:rsidRPr="004C78D8">
        <w:fldChar w:fldCharType="begin"/>
      </w:r>
      <w:r w:rsidR="00C630FC" w:rsidRPr="004C78D8">
        <w:instrText xml:space="preserve"> ADDIN EN.CITE &lt;EndNote&gt;&lt;Cite&gt;&lt;Author&gt;StataCorp&lt;/Author&gt;&lt;Year&gt;2019&lt;/Year&gt;&lt;RecNum&gt;112&lt;/RecNum&gt;&lt;DisplayText&gt;[378]&lt;/DisplayText&gt;&lt;record&gt;&lt;rec-number&gt;112&lt;/rec-number&gt;&lt;foreign-keys&gt;&lt;key app="EN" db-id="tdtrdw9aepptzbefsat599syza29sxsd2wsp" timestamp="1598517044"&gt;112&lt;/key&gt;&lt;/foreign-keys&gt;&lt;ref-type name="Journal Article"&gt;17&lt;/ref-type&gt;&lt;contributors&gt;&lt;authors&gt;&lt;author&gt;StataCorp&lt;/author&gt;&lt;/authors&gt;&lt;/contributors&gt;&lt;titles&gt;&lt;title&gt;Stata Statistical Software: Release 16&lt;/title&gt;&lt;secondary-title&gt;College Station, TX: StataCorp LLC.&lt;/secondary-title&gt;&lt;/titles&gt;&lt;periodical&gt;&lt;full-title&gt;College Station, TX: StataCorp LLC.&lt;/full-title&gt;&lt;/periodical&gt;&lt;dates&gt;&lt;year&gt;2019&lt;/year&gt;&lt;/dates&gt;&lt;urls&gt;&lt;/urls&gt;&lt;/record&gt;&lt;/Cite&gt;&lt;/EndNote&gt;</w:instrText>
      </w:r>
      <w:r w:rsidR="00E623FA" w:rsidRPr="004C78D8">
        <w:fldChar w:fldCharType="separate"/>
      </w:r>
      <w:r w:rsidR="00C630FC" w:rsidRPr="004C78D8">
        <w:rPr>
          <w:noProof/>
        </w:rPr>
        <w:t>[378]</w:t>
      </w:r>
      <w:r w:rsidR="00E623FA" w:rsidRPr="004C78D8">
        <w:fldChar w:fldCharType="end"/>
      </w:r>
      <w:r w:rsidRPr="004C78D8">
        <w:t xml:space="preserve"> was used to estimate </w:t>
      </w:r>
      <w:r w:rsidR="005568D7" w:rsidRPr="004C78D8">
        <w:t xml:space="preserve">the multivariate </w:t>
      </w:r>
      <w:r w:rsidR="008F408C" w:rsidRPr="004C78D8">
        <w:t>logistic and linear regression</w:t>
      </w:r>
      <w:r w:rsidR="00EB06EE" w:rsidRPr="004C78D8">
        <w:t>s</w:t>
      </w:r>
      <w:r w:rsidR="008F408C" w:rsidRPr="004C78D8">
        <w:t xml:space="preserve"> </w:t>
      </w:r>
      <w:r w:rsidR="00B02B76" w:rsidRPr="004C78D8">
        <w:t>applied to</w:t>
      </w:r>
      <w:r w:rsidR="008F408C" w:rsidRPr="004C78D8">
        <w:t xml:space="preserve"> the </w:t>
      </w:r>
      <w:r w:rsidR="00EB06EE" w:rsidRPr="004C78D8">
        <w:t xml:space="preserve">ELSA </w:t>
      </w:r>
      <w:r w:rsidR="008F408C" w:rsidRPr="004C78D8">
        <w:t>data.</w:t>
      </w:r>
      <w:bookmarkEnd w:id="144"/>
      <w:r w:rsidR="008E748D" w:rsidRPr="004C78D8">
        <w:t xml:space="preserve"> All regressions </w:t>
      </w:r>
      <w:r w:rsidR="00B214F0" w:rsidRPr="004C78D8">
        <w:t>were conducted to identify associative patterns for prediction rather than causal inference.</w:t>
      </w:r>
    </w:p>
    <w:p w14:paraId="1342A3BE" w14:textId="77777777" w:rsidR="009248D9" w:rsidRPr="004C78D8" w:rsidRDefault="009248D9" w:rsidP="00FB7C1F">
      <w:pPr>
        <w:sectPr w:rsidR="009248D9" w:rsidRPr="004C78D8">
          <w:pgSz w:w="11906" w:h="16838"/>
          <w:pgMar w:top="1440" w:right="1440" w:bottom="1440" w:left="1440" w:header="708" w:footer="708" w:gutter="0"/>
          <w:cols w:space="708"/>
          <w:docGrid w:linePitch="360"/>
        </w:sectPr>
      </w:pPr>
    </w:p>
    <w:p w14:paraId="56E9C927" w14:textId="3079EA47" w:rsidR="00637E05" w:rsidRPr="004C78D8" w:rsidRDefault="00637E05" w:rsidP="00FB7C1F"/>
    <w:p w14:paraId="787E781E" w14:textId="032E4039" w:rsidR="00535916" w:rsidRPr="004C78D8" w:rsidRDefault="000A7427" w:rsidP="00FB7C1F">
      <w:bookmarkStart w:id="146" w:name="_Hlk69421484"/>
      <w:r w:rsidRPr="004C78D8">
        <w:rPr>
          <w:noProof/>
          <w:lang w:eastAsia="en-GB"/>
        </w:rPr>
        <w:drawing>
          <wp:inline distT="0" distB="0" distL="0" distR="0" wp14:anchorId="20628681" wp14:editId="2748E546">
            <wp:extent cx="8863330" cy="3798570"/>
            <wp:effectExtent l="0" t="0" r="0" b="0"/>
            <wp:docPr id="5" name="Picture 5" descr="A picture containing text, sky, map,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ky, map, ligh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8863330" cy="3798570"/>
                    </a:xfrm>
                    <a:prstGeom prst="rect">
                      <a:avLst/>
                    </a:prstGeom>
                  </pic:spPr>
                </pic:pic>
              </a:graphicData>
            </a:graphic>
          </wp:inline>
        </w:drawing>
      </w:r>
    </w:p>
    <w:p w14:paraId="0136ED52" w14:textId="1EC6AA73" w:rsidR="00535916" w:rsidRPr="004C78D8" w:rsidRDefault="00535916" w:rsidP="00FB7C1F">
      <w:pPr>
        <w:rPr>
          <w:sz w:val="20"/>
          <w:szCs w:val="20"/>
        </w:rPr>
      </w:pPr>
      <w:r w:rsidRPr="004C78D8">
        <w:rPr>
          <w:b/>
          <w:bCs/>
        </w:rPr>
        <w:t xml:space="preserve">Figure </w:t>
      </w:r>
      <w:r w:rsidR="002B4C00" w:rsidRPr="004C78D8">
        <w:rPr>
          <w:b/>
          <w:bCs/>
        </w:rPr>
        <w:t>5</w:t>
      </w:r>
      <w:r w:rsidRPr="004C78D8">
        <w:rPr>
          <w:b/>
          <w:bCs/>
        </w:rPr>
        <w:t>.</w:t>
      </w:r>
      <w:r w:rsidR="008F408C" w:rsidRPr="004C78D8">
        <w:rPr>
          <w:b/>
          <w:bCs/>
        </w:rPr>
        <w:t>2</w:t>
      </w:r>
      <w:r w:rsidRPr="004C78D8">
        <w:t xml:space="preserve"> Simul</w:t>
      </w:r>
      <w:r w:rsidR="008E2307" w:rsidRPr="004C78D8">
        <w:t>8</w:t>
      </w:r>
      <w:r w:rsidRPr="004C78D8">
        <w:t xml:space="preserve"> model schematic. </w:t>
      </w:r>
      <w:r w:rsidR="00D10D5E" w:rsidRPr="004C78D8">
        <w:rPr>
          <w:b/>
          <w:bCs/>
          <w:sz w:val="20"/>
          <w:szCs w:val="20"/>
        </w:rPr>
        <w:t>Abbreviation</w:t>
      </w:r>
      <w:r w:rsidR="00826E28" w:rsidRPr="004C78D8">
        <w:rPr>
          <w:b/>
          <w:bCs/>
          <w:sz w:val="20"/>
          <w:szCs w:val="20"/>
        </w:rPr>
        <w:t>:</w:t>
      </w:r>
      <w:r w:rsidR="00826E28" w:rsidRPr="004C78D8">
        <w:rPr>
          <w:sz w:val="20"/>
          <w:szCs w:val="20"/>
        </w:rPr>
        <w:t xml:space="preserve"> </w:t>
      </w:r>
      <w:r w:rsidRPr="004C78D8">
        <w:rPr>
          <w:sz w:val="20"/>
          <w:szCs w:val="20"/>
        </w:rPr>
        <w:t>Int: intervention; LTC: long-term care; MF Int: multifactorial intervention</w:t>
      </w:r>
    </w:p>
    <w:bookmarkEnd w:id="145"/>
    <w:bookmarkEnd w:id="146"/>
    <w:p w14:paraId="083F8965" w14:textId="539A9B8A" w:rsidR="00441E8E" w:rsidRPr="004C78D8" w:rsidRDefault="00441E8E" w:rsidP="00FB7C1F">
      <w:pPr>
        <w:sectPr w:rsidR="00441E8E" w:rsidRPr="004C78D8" w:rsidSect="009248D9">
          <w:headerReference w:type="default" r:id="rId19"/>
          <w:pgSz w:w="16838" w:h="11906" w:orient="landscape"/>
          <w:pgMar w:top="1440" w:right="1440" w:bottom="1440" w:left="1440" w:header="708" w:footer="708" w:gutter="0"/>
          <w:cols w:space="708"/>
          <w:docGrid w:linePitch="360"/>
        </w:sectPr>
      </w:pPr>
    </w:p>
    <w:p w14:paraId="7C14E62E" w14:textId="31429855" w:rsidR="000E3727" w:rsidRPr="004C78D8" w:rsidRDefault="002B4C00" w:rsidP="00FB7C1F">
      <w:pPr>
        <w:pStyle w:val="Heading4"/>
      </w:pPr>
      <w:r w:rsidRPr="004C78D8">
        <w:lastRenderedPageBreak/>
        <w:t>5</w:t>
      </w:r>
      <w:r w:rsidR="000E3727" w:rsidRPr="004C78D8">
        <w:t>.</w:t>
      </w:r>
      <w:r w:rsidR="00EF1877" w:rsidRPr="004C78D8">
        <w:t xml:space="preserve">2.1.4 </w:t>
      </w:r>
      <w:r w:rsidR="000E3727" w:rsidRPr="004C78D8">
        <w:t>Key data sources</w:t>
      </w:r>
    </w:p>
    <w:p w14:paraId="30FC9D53" w14:textId="2FA00DD8" w:rsidR="0099055A" w:rsidRPr="004C78D8" w:rsidRDefault="0099055A" w:rsidP="00FB7C1F">
      <w:r w:rsidRPr="004C78D8">
        <w:t xml:space="preserve">Two </w:t>
      </w:r>
      <w:r w:rsidR="005458E3" w:rsidRPr="004C78D8">
        <w:t xml:space="preserve">key </w:t>
      </w:r>
      <w:r w:rsidRPr="004C78D8">
        <w:t>data sources warrant further introductions: English Longitudinal Study of Ageing (ELSA); and community-based falls prevention RCTs that provide the efficacy and resource use data.</w:t>
      </w:r>
    </w:p>
    <w:p w14:paraId="60D79016" w14:textId="24235F8A" w:rsidR="0094021C" w:rsidRPr="004C78D8" w:rsidRDefault="0094021C" w:rsidP="00FB7C1F">
      <w:pPr>
        <w:pStyle w:val="Heading5"/>
      </w:pPr>
      <w:r w:rsidRPr="004C78D8">
        <w:t>English Longitudinal Study of Ageing</w:t>
      </w:r>
    </w:p>
    <w:p w14:paraId="2A197F03" w14:textId="62DAC427" w:rsidR="0092417F" w:rsidRPr="004C78D8" w:rsidRDefault="005458E3" w:rsidP="00FB7C1F">
      <w:r w:rsidRPr="004C78D8">
        <w:t>ELSA</w:t>
      </w:r>
      <w:r w:rsidR="0094021C" w:rsidRPr="004C78D8">
        <w:t xml:space="preserve"> </w:t>
      </w:r>
      <w:r w:rsidR="002B4C00" w:rsidRPr="004C78D8">
        <w:t xml:space="preserve">was chosen as a key data source because: </w:t>
      </w:r>
      <w:r w:rsidR="0092417F" w:rsidRPr="004C78D8">
        <w:t>(</w:t>
      </w:r>
      <w:r w:rsidR="00437F1F" w:rsidRPr="004C78D8">
        <w:t>a</w:t>
      </w:r>
      <w:r w:rsidR="0092417F" w:rsidRPr="004C78D8">
        <w:t xml:space="preserve">) </w:t>
      </w:r>
      <w:r w:rsidR="00437F1F" w:rsidRPr="004C78D8">
        <w:t>I</w:t>
      </w:r>
      <w:r w:rsidR="0092417F" w:rsidRPr="004C78D8">
        <w:t xml:space="preserve">t </w:t>
      </w:r>
      <w:r w:rsidR="0094021C" w:rsidRPr="004C78D8">
        <w:t>follows a nationally representative cohort of adults aged 50</w:t>
      </w:r>
      <w:r w:rsidR="00FC3C3B" w:rsidRPr="004C78D8">
        <w:t>+</w:t>
      </w:r>
      <w:r w:rsidR="0094021C" w:rsidRPr="004C78D8">
        <w:t xml:space="preserve"> in England and </w:t>
      </w:r>
      <w:r w:rsidR="0092417F" w:rsidRPr="004C78D8">
        <w:t>was deemed representative of the Sheffield target population by the commissioners (Document 2 in Appendix B)</w:t>
      </w:r>
      <w:r w:rsidR="00437F1F" w:rsidRPr="004C78D8">
        <w:t>.</w:t>
      </w:r>
      <w:r w:rsidR="0092417F" w:rsidRPr="004C78D8">
        <w:t xml:space="preserve"> (</w:t>
      </w:r>
      <w:r w:rsidR="00437F1F" w:rsidRPr="004C78D8">
        <w:t>b</w:t>
      </w:r>
      <w:r w:rsidR="0092417F" w:rsidRPr="004C78D8">
        <w:t xml:space="preserve">) </w:t>
      </w:r>
      <w:r w:rsidR="00437F1F" w:rsidRPr="004C78D8">
        <w:t>I</w:t>
      </w:r>
      <w:r w:rsidR="0092417F" w:rsidRPr="004C78D8">
        <w:t xml:space="preserve">t </w:t>
      </w:r>
      <w:r w:rsidR="0094021C" w:rsidRPr="004C78D8">
        <w:t xml:space="preserve">collects a wide range of health, demographic, socioeconomic, lifestyle and environmental variables relevant to </w:t>
      </w:r>
      <w:r w:rsidR="00FC3C3B" w:rsidRPr="004C78D8">
        <w:t>older</w:t>
      </w:r>
      <w:r w:rsidR="0094021C" w:rsidRPr="004C78D8">
        <w:t xml:space="preserve"> populations </w:t>
      </w:r>
      <w:r w:rsidR="0092417F" w:rsidRPr="004C78D8">
        <w:t xml:space="preserve">(e.g., informal care receipt) </w:t>
      </w:r>
      <w:r w:rsidR="0094021C" w:rsidRPr="004C78D8">
        <w:t xml:space="preserve">and tracks their longitudinal trajectories via individual identifiers </w:t>
      </w:r>
      <w:r w:rsidR="0094021C" w:rsidRPr="004C78D8">
        <w:fldChar w:fldCharType="begin">
          <w:fldData xml:space="preserve">PEVuZE5vdGU+PENpdGU+PEF1dGhvcj5TdGVwdG9lPC9BdXRob3I+PFllYXI+MjAxMzwvWWVhcj48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==
</w:fldData>
        </w:fldChar>
      </w:r>
      <w:r w:rsidR="00C630FC" w:rsidRPr="004C78D8">
        <w:instrText xml:space="preserve"> ADDIN EN.CITE </w:instrText>
      </w:r>
      <w:r w:rsidR="00C630FC" w:rsidRPr="004C78D8">
        <w:fldChar w:fldCharType="begin">
          <w:fldData xml:space="preserve">PEVuZE5vdGU+PENpdGU+PEF1dGhvcj5TdGVwdG9lPC9BdXRob3I+PFllYXI+MjAxMzwvWWVhcj48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==
</w:fldData>
        </w:fldChar>
      </w:r>
      <w:r w:rsidR="00C630FC" w:rsidRPr="004C78D8">
        <w:instrText xml:space="preserve"> ADDIN EN.CITE.DATA </w:instrText>
      </w:r>
      <w:r w:rsidR="00C630FC" w:rsidRPr="004C78D8">
        <w:fldChar w:fldCharType="end"/>
      </w:r>
      <w:r w:rsidR="0094021C" w:rsidRPr="004C78D8">
        <w:fldChar w:fldCharType="separate"/>
      </w:r>
      <w:r w:rsidR="00C630FC" w:rsidRPr="004C78D8">
        <w:rPr>
          <w:noProof/>
        </w:rPr>
        <w:t>[379, 380]</w:t>
      </w:r>
      <w:r w:rsidR="0094021C" w:rsidRPr="004C78D8">
        <w:fldChar w:fldCharType="end"/>
      </w:r>
      <w:r w:rsidR="00437F1F" w:rsidRPr="004C78D8">
        <w:t>.</w:t>
      </w:r>
      <w:r w:rsidR="0092417F" w:rsidRPr="004C78D8">
        <w:t xml:space="preserve"> (</w:t>
      </w:r>
      <w:r w:rsidR="00437F1F" w:rsidRPr="004C78D8">
        <w:t>c</w:t>
      </w:r>
      <w:r w:rsidR="0092417F" w:rsidRPr="004C78D8">
        <w:t xml:space="preserve">) </w:t>
      </w:r>
      <w:r w:rsidR="00437F1F" w:rsidRPr="004C78D8">
        <w:t>I</w:t>
      </w:r>
      <w:r w:rsidR="0092417F" w:rsidRPr="004C78D8">
        <w:t xml:space="preserve">t contains falls incidence and falls </w:t>
      </w:r>
      <w:r w:rsidR="00437F1F" w:rsidRPr="004C78D8">
        <w:t xml:space="preserve">prevention </w:t>
      </w:r>
      <w:r w:rsidR="0092417F" w:rsidRPr="004C78D8">
        <w:t>service use data with which falls risk equations and service use patterns can be estimated using individual-level characteristics.</w:t>
      </w:r>
    </w:p>
    <w:p w14:paraId="1BD3A387" w14:textId="5EDD0C8B" w:rsidR="0094021C" w:rsidRPr="004C78D8" w:rsidRDefault="0094021C" w:rsidP="00FB7C1F">
      <w:r w:rsidRPr="004C78D8">
        <w:t>To date</w:t>
      </w:r>
      <w:r w:rsidR="001C2E9A" w:rsidRPr="004C78D8">
        <w:t xml:space="preserve"> (</w:t>
      </w:r>
      <w:r w:rsidR="002448F9" w:rsidRPr="004C78D8">
        <w:t>January</w:t>
      </w:r>
      <w:r w:rsidR="001C2E9A" w:rsidRPr="004C78D8">
        <w:t xml:space="preserve"> 202</w:t>
      </w:r>
      <w:r w:rsidR="002448F9" w:rsidRPr="004C78D8">
        <w:t>2</w:t>
      </w:r>
      <w:r w:rsidR="001C2E9A" w:rsidRPr="004C78D8">
        <w:t>)</w:t>
      </w:r>
      <w:r w:rsidRPr="004C78D8">
        <w:t xml:space="preserve">, nine </w:t>
      </w:r>
      <w:r w:rsidR="00B902A8" w:rsidRPr="004C78D8">
        <w:t>two-year interim</w:t>
      </w:r>
      <w:r w:rsidRPr="004C78D8">
        <w:t xml:space="preserve"> ELSA surveys have been conducted starting from Wave 1 in 2002 to Wave 9 in 2018. The anthropometric (e.g., weight, blood pressure) and physical capacity (e.g., walking speed) variables were collected by nurse visits on every even-number waves </w:t>
      </w:r>
      <w:r w:rsidRPr="004C78D8">
        <w:fldChar w:fldCharType="begin"/>
      </w:r>
      <w:r w:rsidR="00C630FC" w:rsidRPr="004C78D8">
        <w:instrText xml:space="preserve"> ADDIN EN.CITE &lt;EndNote&gt;&lt;Cite&gt;&lt;Author&gt;English Longitudinal Study of Ageing&lt;/Author&gt;&lt;Year&gt;2019&lt;/Year&gt;&lt;RecNum&gt;32&lt;/RecNum&gt;&lt;DisplayText&gt;[381]&lt;/DisplayText&gt;&lt;record&gt;&lt;rec-number&gt;32&lt;/rec-number&gt;&lt;foreign-keys&gt;&lt;key app="EN" db-id="tdtrdw9aepptzbefsat599syza29sxsd2wsp" timestamp="1596797615"&gt;32&lt;/key&gt;&lt;/foreign-keys&gt;&lt;ref-type name="Web Page"&gt;12&lt;/ref-type&gt;&lt;contributors&gt;&lt;authors&gt;&lt;author&gt;English Longitudinal Study of Ageing,&lt;/author&gt;&lt;/authors&gt;&lt;secondary-authors&gt;&lt;author&gt;https://www.elsa-project.ac.uk/the-data-we-collect&lt;/author&gt;&lt;/secondary-authors&gt;&lt;/contributors&gt;&lt;titles&gt;&lt;title&gt;ELSA Dataset Waves 0 to 9&lt;/title&gt;&lt;/titles&gt;&lt;dates&gt;&lt;year&gt;2019&lt;/year&gt;&lt;/dates&gt;&lt;urls&gt;&lt;/urls&gt;&lt;/record&gt;&lt;/Cite&gt;&lt;/EndNote&gt;</w:instrText>
      </w:r>
      <w:r w:rsidRPr="004C78D8">
        <w:fldChar w:fldCharType="separate"/>
      </w:r>
      <w:r w:rsidR="00C630FC" w:rsidRPr="004C78D8">
        <w:rPr>
          <w:noProof/>
        </w:rPr>
        <w:t>[381]</w:t>
      </w:r>
      <w:r w:rsidRPr="004C78D8">
        <w:fldChar w:fldCharType="end"/>
      </w:r>
      <w:r w:rsidRPr="004C78D8">
        <w:t xml:space="preserve">. Though the Wave 1 cohort was recruited solely from community-dwelling persons, those admitted to residential or nursing homes were still interviewed at subsequent waves </w:t>
      </w:r>
      <w:r w:rsidRPr="004C78D8">
        <w:fldChar w:fldCharType="begin"/>
      </w:r>
      <w:r w:rsidR="00C630FC" w:rsidRPr="004C78D8">
        <w:instrText xml:space="preserve"> ADDIN EN.CITE &lt;EndNote&gt;&lt;Cite&gt;&lt;Author&gt;NatCen Social Research&lt;/Author&gt;&lt;Year&gt;2012&lt;/Year&gt;&lt;RecNum&gt;36&lt;/RecNum&gt;&lt;DisplayText&gt;[382]&lt;/DisplayText&gt;&lt;record&gt;&lt;rec-number&gt;36&lt;/rec-number&gt;&lt;foreign-keys&gt;&lt;key app="EN" db-id="tdtrdw9aepptzbefsat599syza29sxsd2wsp" timestamp="1596826737"&gt;36&lt;/key&gt;&lt;/foreign-keys&gt;&lt;ref-type name="Journal Article"&gt;17&lt;/ref-type&gt;&lt;contributors&gt;&lt;authors&gt;&lt;author&gt;NatCen Social Research,&lt;/author&gt;&lt;/authors&gt;&lt;/contributors&gt;&lt;titles&gt;&lt;title&gt;English Longitudinal Study of Ageing (ELSA) Wave One to Wave Five: User Guide to the datasets&lt;/title&gt;&lt;/titles&gt;&lt;dates&gt;&lt;year&gt;2012&lt;/year&gt;&lt;/dates&gt;&lt;urls&gt;&lt;/urls&gt;&lt;/record&gt;&lt;/Cite&gt;&lt;/EndNote&gt;</w:instrText>
      </w:r>
      <w:r w:rsidRPr="004C78D8">
        <w:fldChar w:fldCharType="separate"/>
      </w:r>
      <w:r w:rsidR="00C630FC" w:rsidRPr="004C78D8">
        <w:rPr>
          <w:noProof/>
        </w:rPr>
        <w:t>[382]</w:t>
      </w:r>
      <w:r w:rsidRPr="004C78D8">
        <w:fldChar w:fldCharType="end"/>
      </w:r>
      <w:r w:rsidRPr="004C78D8">
        <w:t>. Among the nine waves, the Wave 4 data and the next follow-up Wave 5 were used for parameterisation because:</w:t>
      </w:r>
    </w:p>
    <w:p w14:paraId="2135334F" w14:textId="7A6E9B6F" w:rsidR="0094021C" w:rsidRPr="004C78D8" w:rsidRDefault="0094021C" w:rsidP="00FB7C1F">
      <w:pPr>
        <w:pStyle w:val="ListParagraph"/>
        <w:numPr>
          <w:ilvl w:val="0"/>
          <w:numId w:val="3"/>
        </w:numPr>
      </w:pPr>
      <w:r w:rsidRPr="004C78D8">
        <w:t>Wave 4 contain</w:t>
      </w:r>
      <w:r w:rsidR="00BB3719" w:rsidRPr="004C78D8">
        <w:t>s</w:t>
      </w:r>
      <w:r w:rsidRPr="004C78D8">
        <w:t xml:space="preserve"> the most comprehensive data regarding falls and falls prevention: (</w:t>
      </w:r>
      <w:r w:rsidR="00BB3719" w:rsidRPr="004C78D8">
        <w:t>i</w:t>
      </w:r>
      <w:r w:rsidRPr="004C78D8">
        <w:t xml:space="preserve">) It is the only wave </w:t>
      </w:r>
      <w:r w:rsidR="00BB3719" w:rsidRPr="004C78D8">
        <w:t>with</w:t>
      </w:r>
      <w:r w:rsidRPr="004C78D8">
        <w:t xml:space="preserve"> information on falls history in the previous </w:t>
      </w:r>
      <w:r w:rsidRPr="004C78D8">
        <w:rPr>
          <w:i/>
          <w:iCs/>
        </w:rPr>
        <w:t xml:space="preserve">one year </w:t>
      </w:r>
      <w:r w:rsidRPr="004C78D8">
        <w:t xml:space="preserve">rather than two years of survey interim. This variable is important because the falls prevention pathway emphasises falls history in the previous 12 months </w:t>
      </w:r>
      <w:r w:rsidRPr="004C78D8">
        <w:fldChar w:fldCharType="begin"/>
      </w:r>
      <w:r w:rsidR="00F255A9"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Pr="004C78D8">
        <w:fldChar w:fldCharType="separate"/>
      </w:r>
      <w:r w:rsidR="00F255A9" w:rsidRPr="004C78D8">
        <w:rPr>
          <w:noProof/>
        </w:rPr>
        <w:t>[13]</w:t>
      </w:r>
      <w:r w:rsidRPr="004C78D8">
        <w:fldChar w:fldCharType="end"/>
      </w:r>
      <w:r w:rsidRPr="004C78D8">
        <w:t>. (</w:t>
      </w:r>
      <w:r w:rsidR="00BB3719" w:rsidRPr="004C78D8">
        <w:t>ii</w:t>
      </w:r>
      <w:r w:rsidRPr="004C78D8">
        <w:t>) It is the only wave with information on fear of falling perceived while walking</w:t>
      </w:r>
      <w:r w:rsidR="006B3EBC" w:rsidRPr="004C78D8">
        <w:t>,</w:t>
      </w:r>
      <w:r w:rsidRPr="004C78D8">
        <w:t xml:space="preserve"> </w:t>
      </w:r>
      <w:r w:rsidR="00BB3719" w:rsidRPr="004C78D8">
        <w:t>a key causal variable</w:t>
      </w:r>
      <w:r w:rsidRPr="004C78D8">
        <w:t xml:space="preserve"> (Section 3.</w:t>
      </w:r>
      <w:r w:rsidR="00BB3719" w:rsidRPr="004C78D8">
        <w:t>6.2</w:t>
      </w:r>
      <w:r w:rsidRPr="004C78D8">
        <w:t>). (</w:t>
      </w:r>
      <w:r w:rsidR="00BB3719" w:rsidRPr="004C78D8">
        <w:t>iii</w:t>
      </w:r>
      <w:r w:rsidRPr="004C78D8">
        <w:t xml:space="preserve">) Only Waves 2, 4 and 8 contain self-reported data on previous contact with falls prevention services: whether doctor/nurse tried to understand cause of fall; whether doctor/nurse tested balance and strength; and whether doctor/nurse recommended further risk assessments. These variables are important for estimating a plausible level of falls prevention </w:t>
      </w:r>
      <w:r w:rsidR="002448F9" w:rsidRPr="004C78D8">
        <w:t>access</w:t>
      </w:r>
      <w:r w:rsidRPr="004C78D8">
        <w:t xml:space="preserve"> under </w:t>
      </w:r>
      <w:r w:rsidR="006B3EBC" w:rsidRPr="004C78D8">
        <w:t>UC</w:t>
      </w:r>
      <w:r w:rsidRPr="004C78D8">
        <w:t xml:space="preserve">. </w:t>
      </w:r>
    </w:p>
    <w:p w14:paraId="10FE1932" w14:textId="442AC189" w:rsidR="0094021C" w:rsidRPr="004C78D8" w:rsidRDefault="0094021C" w:rsidP="00FB7C1F">
      <w:pPr>
        <w:pStyle w:val="ListParagraph"/>
        <w:numPr>
          <w:ilvl w:val="0"/>
          <w:numId w:val="3"/>
        </w:numPr>
      </w:pPr>
      <w:r w:rsidRPr="004C78D8">
        <w:t xml:space="preserve">The nurse-measured anthropometric and physical capacity variables are available only in even-numbered waves. </w:t>
      </w:r>
      <w:r w:rsidR="00BB3719" w:rsidRPr="004C78D8">
        <w:t>In the absence of Wave 10 data, this</w:t>
      </w:r>
      <w:r w:rsidRPr="004C78D8">
        <w:t xml:space="preserve"> ruled out the use of Wave 8 as the baseline. Wave 4 was then preferred over Wave 6 for the first reason.</w:t>
      </w:r>
    </w:p>
    <w:p w14:paraId="7F194F2E" w14:textId="72534354" w:rsidR="0094021C" w:rsidRPr="004C78D8" w:rsidRDefault="0094021C" w:rsidP="00FB7C1F">
      <w:r w:rsidRPr="004C78D8">
        <w:t xml:space="preserve">Supplementary information on </w:t>
      </w:r>
      <w:r w:rsidR="006B3EBC" w:rsidRPr="004C78D8">
        <w:t>using</w:t>
      </w:r>
      <w:r w:rsidRPr="004C78D8">
        <w:t xml:space="preserve"> ELSA for parameteri</w:t>
      </w:r>
      <w:r w:rsidR="00BB3719" w:rsidRPr="004C78D8">
        <w:t>s</w:t>
      </w:r>
      <w:r w:rsidRPr="004C78D8">
        <w:t xml:space="preserve">ation is </w:t>
      </w:r>
      <w:r w:rsidR="006B3EBC" w:rsidRPr="004C78D8">
        <w:t>includ</w:t>
      </w:r>
      <w:r w:rsidRPr="004C78D8">
        <w:t xml:space="preserve">ed in Appendix </w:t>
      </w:r>
      <w:r w:rsidR="005568D7" w:rsidRPr="004C78D8">
        <w:t>E</w:t>
      </w:r>
      <w:r w:rsidRPr="004C78D8">
        <w:t xml:space="preserve">, </w:t>
      </w:r>
      <w:r w:rsidR="002448F9" w:rsidRPr="004C78D8">
        <w:t>particularly</w:t>
      </w:r>
      <w:r w:rsidRPr="004C78D8">
        <w:t xml:space="preserve"> Table </w:t>
      </w:r>
      <w:r w:rsidR="005568D7" w:rsidRPr="004C78D8">
        <w:t>E</w:t>
      </w:r>
      <w:r w:rsidRPr="004C78D8">
        <w:t xml:space="preserve">1 which lists the original labels </w:t>
      </w:r>
      <w:r w:rsidR="006B3EBC" w:rsidRPr="004C78D8">
        <w:t>and</w:t>
      </w:r>
      <w:r w:rsidRPr="004C78D8">
        <w:t xml:space="preserve"> methods for handling missing observations. </w:t>
      </w:r>
    </w:p>
    <w:p w14:paraId="25E70A85" w14:textId="73E73D5A" w:rsidR="00A70BF9" w:rsidRPr="004C78D8" w:rsidRDefault="00A70BF9" w:rsidP="00FB7C1F">
      <w:pPr>
        <w:pStyle w:val="Heading5"/>
      </w:pPr>
      <w:r w:rsidRPr="004C78D8">
        <w:t xml:space="preserve">Falls prevention </w:t>
      </w:r>
      <w:r w:rsidR="006B69F3" w:rsidRPr="004C78D8">
        <w:t>randomised controlled trials</w:t>
      </w:r>
    </w:p>
    <w:p w14:paraId="4D0A33A3" w14:textId="2B067DAF" w:rsidR="00A70BF9" w:rsidRPr="004C78D8" w:rsidRDefault="00A70BF9" w:rsidP="00FB7C1F">
      <w:r w:rsidRPr="004C78D8">
        <w:t>RCTs provide information on intervention recipient characteristics (from inclusion</w:t>
      </w:r>
      <w:r w:rsidR="00F22B43" w:rsidRPr="004C78D8">
        <w:t>/</w:t>
      </w:r>
      <w:r w:rsidRPr="004C78D8">
        <w:t xml:space="preserve">exclusion criteria and sample characteristics), implementation </w:t>
      </w:r>
      <w:r w:rsidR="002A69F7" w:rsidRPr="004C78D8">
        <w:t>level</w:t>
      </w:r>
      <w:r w:rsidR="00F22B43" w:rsidRPr="004C78D8">
        <w:t>,</w:t>
      </w:r>
      <w:r w:rsidRPr="004C78D8">
        <w:t xml:space="preserve"> </w:t>
      </w:r>
      <w:r w:rsidR="00F22B43" w:rsidRPr="004C78D8">
        <w:t xml:space="preserve">resource use, </w:t>
      </w:r>
      <w:r w:rsidRPr="004C78D8">
        <w:t xml:space="preserve">and efficacy. </w:t>
      </w:r>
      <w:r w:rsidR="00F22B43" w:rsidRPr="004C78D8">
        <w:t>F</w:t>
      </w:r>
      <w:r w:rsidRPr="004C78D8">
        <w:t>alls prevention interventions are characterised by substantial heterogeneity in component, mode of delivery, personnel, intensity</w:t>
      </w:r>
      <w:r w:rsidR="00F22B43" w:rsidRPr="004C78D8">
        <w:t>,</w:t>
      </w:r>
      <w:r w:rsidRPr="004C78D8">
        <w:t xml:space="preserve"> and duration</w:t>
      </w:r>
      <w:r w:rsidR="00257372" w:rsidRPr="004C78D8">
        <w:t>; such heterogeneity is present across</w:t>
      </w:r>
      <w:r w:rsidRPr="004C78D8">
        <w:t xml:space="preserve"> geographical</w:t>
      </w:r>
      <w:r w:rsidR="00257372" w:rsidRPr="004C78D8">
        <w:t>ly defined</w:t>
      </w:r>
      <w:r w:rsidRPr="004C78D8">
        <w:t xml:space="preserve"> </w:t>
      </w:r>
      <w:r w:rsidR="00257372" w:rsidRPr="004C78D8">
        <w:t>care</w:t>
      </w:r>
      <w:r w:rsidRPr="004C78D8">
        <w:t xml:space="preserve"> setting</w:t>
      </w:r>
      <w:r w:rsidR="00257372" w:rsidRPr="004C78D8">
        <w:t xml:space="preserve">s </w:t>
      </w:r>
      <w:r w:rsidR="00257372" w:rsidRPr="004C78D8">
        <w:fldChar w:fldCharType="begin">
          <w:fldData xml:space="preserve">PEVuZE5vdGU+PENpdGU+PEF1dGhvcj5JcHBvbGl0aTwvQXV0aG9yPjxZZWFyPjIwMTg8L1llYXI+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</w:fldData>
        </w:fldChar>
      </w:r>
      <w:r w:rsidR="00C630FC" w:rsidRPr="004C78D8">
        <w:instrText xml:space="preserve"> ADDIN EN.CITE </w:instrText>
      </w:r>
      <w:r w:rsidR="00C630FC" w:rsidRPr="004C78D8">
        <w:fldChar w:fldCharType="begin">
          <w:fldData xml:space="preserve">PEVuZE5vdGU+PENpdGU+PEF1dGhvcj5JcHBvbGl0aTwvQXV0aG9yPjxZZWFyPjIwMTg8L1llYXI+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</w:fldData>
        </w:fldChar>
      </w:r>
      <w:r w:rsidR="00C630FC" w:rsidRPr="004C78D8">
        <w:instrText xml:space="preserve"> ADDIN EN.CITE.DATA </w:instrText>
      </w:r>
      <w:r w:rsidR="00C630FC" w:rsidRPr="004C78D8">
        <w:fldChar w:fldCharType="end"/>
      </w:r>
      <w:r w:rsidR="00257372" w:rsidRPr="004C78D8">
        <w:fldChar w:fldCharType="separate"/>
      </w:r>
      <w:r w:rsidR="00C630FC" w:rsidRPr="004C78D8">
        <w:rPr>
          <w:noProof/>
        </w:rPr>
        <w:t>[364]</w:t>
      </w:r>
      <w:r w:rsidR="00257372" w:rsidRPr="004C78D8">
        <w:fldChar w:fldCharType="end"/>
      </w:r>
      <w:r w:rsidRPr="004C78D8">
        <w:t xml:space="preserve">. This limits the utility of secondary syntheses </w:t>
      </w:r>
      <w:r w:rsidR="00F22B43" w:rsidRPr="004C78D8">
        <w:t>of</w:t>
      </w:r>
      <w:r w:rsidRPr="004C78D8">
        <w:t xml:space="preserve"> </w:t>
      </w:r>
      <w:r w:rsidR="00F22B43" w:rsidRPr="004C78D8">
        <w:t>RCT</w:t>
      </w:r>
      <w:r w:rsidRPr="004C78D8">
        <w:t xml:space="preserve"> evidence from different jurisdictions. Therefore, </w:t>
      </w:r>
      <w:r w:rsidR="00257372" w:rsidRPr="004C78D8">
        <w:t xml:space="preserve">this model </w:t>
      </w:r>
      <w:r w:rsidR="00F22B43" w:rsidRPr="004C78D8">
        <w:t xml:space="preserve">relies on </w:t>
      </w:r>
      <w:r w:rsidR="001E0F58" w:rsidRPr="004C78D8">
        <w:t xml:space="preserve">non-synthesised </w:t>
      </w:r>
      <w:r w:rsidRPr="004C78D8">
        <w:t xml:space="preserve">UK </w:t>
      </w:r>
      <w:r w:rsidR="00F22B43" w:rsidRPr="004C78D8">
        <w:t>RCTs</w:t>
      </w:r>
      <w:r w:rsidRPr="004C78D8">
        <w:t xml:space="preserve"> to improve </w:t>
      </w:r>
      <w:r w:rsidR="00257372" w:rsidRPr="004C78D8">
        <w:t>the</w:t>
      </w:r>
      <w:r w:rsidR="00F22B43" w:rsidRPr="004C78D8">
        <w:t xml:space="preserve"> evidence</w:t>
      </w:r>
      <w:r w:rsidRPr="004C78D8">
        <w:t xml:space="preserve"> generalisability to Sheffield. </w:t>
      </w:r>
    </w:p>
    <w:p w14:paraId="1B6BD300" w14:textId="61370B3C" w:rsidR="00A70BF9" w:rsidRPr="004C78D8" w:rsidRDefault="00A70BF9" w:rsidP="00FB7C1F">
      <w:r w:rsidRPr="004C78D8">
        <w:t>A pragmatic approach was pursued in identifying the relevant RCTs</w:t>
      </w:r>
      <w:r w:rsidR="00DD43AD" w:rsidRPr="004C78D8">
        <w:t xml:space="preserve">, as shown in Table </w:t>
      </w:r>
      <w:r w:rsidR="00B214F0" w:rsidRPr="004C78D8">
        <w:t>5</w:t>
      </w:r>
      <w:r w:rsidR="00DD43AD" w:rsidRPr="004C78D8">
        <w:t>.2.</w:t>
      </w:r>
      <w:r w:rsidRPr="004C78D8">
        <w:t xml:space="preserve"> </w:t>
      </w:r>
      <w:r w:rsidR="009A2871" w:rsidRPr="004C78D8">
        <w:t>This</w:t>
      </w:r>
      <w:r w:rsidRPr="004C78D8">
        <w:t xml:space="preserve"> included a </w:t>
      </w:r>
      <w:r w:rsidRPr="004C78D8">
        <w:rPr>
          <w:i/>
          <w:iCs/>
        </w:rPr>
        <w:t>de novo</w:t>
      </w:r>
      <w:r w:rsidRPr="004C78D8">
        <w:t xml:space="preserve"> systematic review conducted in July 2019</w:t>
      </w:r>
      <w:r w:rsidR="00DD43AD" w:rsidRPr="004C78D8">
        <w:t xml:space="preserve">: </w:t>
      </w:r>
      <w:r w:rsidRPr="004C78D8">
        <w:t xml:space="preserve">see Tables </w:t>
      </w:r>
      <w:r w:rsidR="00BA569C" w:rsidRPr="004C78D8">
        <w:t>E</w:t>
      </w:r>
      <w:r w:rsidRPr="004C78D8">
        <w:t xml:space="preserve">2 and </w:t>
      </w:r>
      <w:r w:rsidR="00BA569C" w:rsidRPr="004C78D8">
        <w:t>E</w:t>
      </w:r>
      <w:r w:rsidRPr="004C78D8">
        <w:t xml:space="preserve">3 in Appendix </w:t>
      </w:r>
      <w:r w:rsidR="00BA569C" w:rsidRPr="004C78D8">
        <w:t>E</w:t>
      </w:r>
      <w:r w:rsidRPr="004C78D8">
        <w:t xml:space="preserve"> for search strategy and inclusion/exclusion criteria. The Cochrane review by Gillespie and colleagues remains the most comprehensive review of community-based falls prevention </w:t>
      </w:r>
      <w:r w:rsidR="00DD43AD" w:rsidRPr="004C78D8">
        <w:t xml:space="preserve">RCTs </w:t>
      </w:r>
      <w:r w:rsidRPr="004C78D8">
        <w:t xml:space="preserve">to date, covering all intervention types published before March 2012 </w:t>
      </w:r>
      <w:r w:rsidRPr="004C78D8">
        <w:fldChar w:fldCharType="begin"/>
      </w:r>
      <w:r w:rsidR="00513646" w:rsidRPr="004C78D8">
        <w:instrText xml:space="preserve"> ADDIN EN.CITE &lt;EndNote&gt;&lt;Cite&gt;&lt;Author&gt;Gillespie&lt;/Author&gt;&lt;Year&gt;2012&lt;/Year&gt;&lt;RecNum&gt;52&lt;/RecNum&gt;&lt;DisplayText&gt;[124]&lt;/DisplayText&gt;&lt;record&gt;&lt;rec-number&gt;52&lt;/rec-number&gt;&lt;foreign-keys&gt;&lt;key app="EN" db-id="tdtrdw9aepptzbefsat599syza29sxsd2wsp" timestamp="1597844815"&gt;52&lt;/key&gt;&lt;/foreign-keys&gt;&lt;ref-type name="Journal Article"&gt;17&lt;/ref-type&gt;&lt;contributors&gt;&lt;authors&gt;&lt;author&gt;Gillespie, Lesley D&lt;/author&gt;&lt;author&gt;Robertson, M Clare&lt;/author&gt;&lt;author&gt;Gillespie, William J&lt;/author&gt;&lt;author&gt;Sherrington, Catherine&lt;/author&gt;&lt;author&gt;Gates, Simon&lt;/author&gt;&lt;author&gt;Clemson, Lindy M&lt;/author&gt;&lt;author&gt;Lamb, Sarah E&lt;/author&gt;&lt;/authors&gt;&lt;/contributors&gt;&lt;titles&gt;&lt;title&gt;Interventions for preventing falls in older people living in the community&lt;/title&gt;&lt;secondary-title&gt;Cochrane database of systematic reviews&lt;/secondary-title&gt;&lt;/titles&gt;&lt;periodical&gt;&lt;full-title&gt;Cochrane database of systematic reviews&lt;/full-title&gt;&lt;/periodical&gt;&lt;number&gt;9&lt;/number&gt;&lt;dates&gt;&lt;year&gt;2012&lt;/year&gt;&lt;/dates&gt;&lt;isbn&gt;1465-1858&lt;/isbn&gt;&lt;urls&gt;&lt;/urls&gt;&lt;/record&gt;&lt;/Cite&gt;&lt;/EndNote&gt;</w:instrText>
      </w:r>
      <w:r w:rsidRPr="004C78D8">
        <w:fldChar w:fldCharType="separate"/>
      </w:r>
      <w:r w:rsidR="00513646" w:rsidRPr="004C78D8">
        <w:rPr>
          <w:noProof/>
        </w:rPr>
        <w:t>[124]</w:t>
      </w:r>
      <w:r w:rsidRPr="004C78D8">
        <w:fldChar w:fldCharType="end"/>
      </w:r>
      <w:r w:rsidRPr="004C78D8">
        <w:t xml:space="preserve">. This was updated twice: for multifactorial and multiple-component interventions published </w:t>
      </w:r>
      <w:r w:rsidR="00DD43AD" w:rsidRPr="004C78D8">
        <w:t>before</w:t>
      </w:r>
      <w:r w:rsidRPr="004C78D8">
        <w:t xml:space="preserve"> June 2017 </w:t>
      </w:r>
      <w:r w:rsidRPr="004C78D8">
        <w:fldChar w:fldCharType="begin"/>
      </w:r>
      <w:r w:rsidR="00513646" w:rsidRPr="004C78D8">
        <w:instrText xml:space="preserve"> ADDIN EN.CITE &lt;EndNote&gt;&lt;Cite&gt;&lt;Author&gt;Hopewell&lt;/Author&gt;&lt;Year&gt;2018&lt;/Year&gt;&lt;RecNum&gt;261&lt;/RecNum&gt;&lt;DisplayText&gt;[126]&lt;/DisplayText&gt;&lt;record&gt;&lt;rec-number&gt;261&lt;/rec-number&gt;&lt;foreign-keys&gt;&lt;key app="EN" db-id="tdtrdw9aepptzbefsat599syza29sxsd2wsp" timestamp="1611689483"&gt;261&lt;/key&gt;&lt;/foreign-keys&gt;&lt;ref-type name="Journal Article"&gt;17&lt;/ref-type&gt;&lt;contributors&gt;&lt;authors&gt;&lt;author&gt;Hopewell, Sally&lt;/author&gt;&lt;author&gt;Adedire, Olubusola&lt;/author&gt;&lt;author&gt;Copsey, Bethan J&lt;/author&gt;&lt;author&gt;Boniface, Graham J&lt;/author&gt;&lt;author&gt;Sherrington, Catherine&lt;/author&gt;&lt;author&gt;Clemson, Lindy&lt;/author&gt;&lt;author&gt;Close, Jacqueline CT&lt;/author&gt;&lt;author&gt;Lamb, Sarah E&lt;/author&gt;&lt;/authors&gt;&lt;/contributors&gt;&lt;titles&gt;&lt;title&gt;Multifactorial and multiple component interventions for preventing falls in older people living in the community&lt;/title&gt;&lt;secondary-title&gt;Cochrane database of systematic reviews&lt;/secondary-title&gt;&lt;/titles&gt;&lt;periodical&gt;&lt;full-title&gt;Cochrane database of systematic reviews&lt;/full-title&gt;&lt;/periodical&gt;&lt;number&gt;7&lt;/number&gt;&lt;dates&gt;&lt;year&gt;2018&lt;/year&gt;&lt;/dates&gt;&lt;isbn&gt;1465-1858&lt;/isbn&gt;&lt;urls&gt;&lt;/urls&gt;&lt;/record&gt;&lt;/Cite&gt;&lt;/EndNote&gt;</w:instrText>
      </w:r>
      <w:r w:rsidRPr="004C78D8">
        <w:fldChar w:fldCharType="separate"/>
      </w:r>
      <w:r w:rsidR="00513646" w:rsidRPr="004C78D8">
        <w:rPr>
          <w:noProof/>
        </w:rPr>
        <w:t>[126]</w:t>
      </w:r>
      <w:r w:rsidRPr="004C78D8">
        <w:fldChar w:fldCharType="end"/>
      </w:r>
      <w:r w:rsidRPr="004C78D8">
        <w:t xml:space="preserve">; and for exercise interventions published </w:t>
      </w:r>
      <w:r w:rsidR="00DD43AD" w:rsidRPr="004C78D8">
        <w:t>before</w:t>
      </w:r>
      <w:r w:rsidRPr="004C78D8">
        <w:t xml:space="preserve"> May 2018 </w:t>
      </w:r>
      <w:r w:rsidRPr="004C78D8">
        <w:fldChar w:fldCharType="begin"/>
      </w:r>
      <w:r w:rsidR="00513646" w:rsidRPr="004C78D8">
        <w:instrText xml:space="preserve"> ADDIN EN.CITE &lt;EndNote&gt;&lt;Cite&gt;&lt;Author&gt;Sherrington&lt;/Author&gt;&lt;Year&gt;2019&lt;/Year&gt;&lt;RecNum&gt;310&lt;/RecNum&gt;&lt;DisplayText&gt;[125]&lt;/DisplayText&gt;&lt;record&gt;&lt;rec-number&gt;310&lt;/rec-number&gt;&lt;foreign-keys&gt;&lt;key app="EN" db-id="tdtrdw9aepptzbefsat599syza29sxsd2wsp" timestamp="1612016357"&gt;310&lt;/key&gt;&lt;/foreign-keys&gt;&lt;ref-type name="Journal Article"&gt;17&lt;/ref-type&gt;&lt;contributors&gt;&lt;authors&gt;&lt;author&gt;Sherrington, Catherine&lt;/author&gt;&lt;author&gt;Fairhall, Nicola J&lt;/author&gt;&lt;author&gt;Wallbank, Geraldine K&lt;/author&gt;&lt;author&gt;Tiedemann, Anne&lt;/author&gt;&lt;author&gt;Michaleff, Zoe A&lt;/author&gt;&lt;author&gt;Howard, Kirsten&lt;/author&gt;&lt;author&gt;Clemson, Lindy&lt;/author&gt;&lt;author&gt;Hopewell, Sally&lt;/author&gt;&lt;author&gt;Lamb, Sarah E&lt;/author&gt;&lt;/authors&gt;&lt;/contributors&gt;&lt;titles&gt;&lt;title&gt;Exercise for preventing falls in older people living in the community&lt;/title&gt;&lt;secondary-title&gt;Cochrane database of systematic reviews&lt;/secondary-title&gt;&lt;/titles&gt;&lt;periodical&gt;&lt;full-title&gt;Cochrane database of systematic reviews&lt;/full-title&gt;&lt;/periodical&gt;&lt;number&gt;1&lt;/number&gt;&lt;dates&gt;&lt;year&gt;2019&lt;/year&gt;&lt;/dates&gt;&lt;isbn&gt;1465-1858&lt;/isbn&gt;&lt;urls&gt;&lt;/urls&gt;&lt;/record&gt;&lt;/Cite&gt;&lt;/EndNote&gt;</w:instrText>
      </w:r>
      <w:r w:rsidRPr="004C78D8">
        <w:fldChar w:fldCharType="separate"/>
      </w:r>
      <w:r w:rsidR="00513646" w:rsidRPr="004C78D8">
        <w:rPr>
          <w:noProof/>
        </w:rPr>
        <w:t>[125]</w:t>
      </w:r>
      <w:r w:rsidRPr="004C78D8">
        <w:fldChar w:fldCharType="end"/>
      </w:r>
      <w:r w:rsidRPr="004C78D8">
        <w:t xml:space="preserve">. These were supplemented by forward citation searching of the three Cochrane reviews for the period between 2019 and June 2020. </w:t>
      </w:r>
    </w:p>
    <w:tbl>
      <w:tblPr>
        <w:tblStyle w:val="TableGrid"/>
        <w:tblW w:w="5000" w:type="pct"/>
        <w:tblLook w:val="04A0" w:firstRow="1" w:lastRow="0" w:firstColumn="1" w:lastColumn="0" w:noHBand="0" w:noVBand="1"/>
      </w:tblPr>
      <w:tblGrid>
        <w:gridCol w:w="2409"/>
        <w:gridCol w:w="3258"/>
        <w:gridCol w:w="3349"/>
      </w:tblGrid>
      <w:tr w:rsidR="00A70BF9" w:rsidRPr="004C78D8" w14:paraId="6532F8A6" w14:textId="77777777" w:rsidTr="00E35893">
        <w:tc>
          <w:tcPr>
            <w:tcW w:w="5000" w:type="pct"/>
            <w:gridSpan w:val="3"/>
          </w:tcPr>
          <w:p w14:paraId="128A783A" w14:textId="17B6D55D" w:rsidR="00A70BF9" w:rsidRPr="004C78D8" w:rsidRDefault="00A70BF9" w:rsidP="00FB7C1F">
            <w:pPr>
              <w:jc w:val="left"/>
            </w:pPr>
            <w:r w:rsidRPr="004C78D8">
              <w:rPr>
                <w:b/>
                <w:bCs/>
              </w:rPr>
              <w:t xml:space="preserve">Table </w:t>
            </w:r>
            <w:r w:rsidR="00B214F0" w:rsidRPr="004C78D8">
              <w:rPr>
                <w:b/>
                <w:bCs/>
              </w:rPr>
              <w:t>5</w:t>
            </w:r>
            <w:r w:rsidRPr="004C78D8">
              <w:rPr>
                <w:b/>
                <w:bCs/>
              </w:rPr>
              <w:t>.</w:t>
            </w:r>
            <w:r w:rsidR="00BA569C" w:rsidRPr="004C78D8">
              <w:rPr>
                <w:b/>
                <w:bCs/>
              </w:rPr>
              <w:t>2</w:t>
            </w:r>
            <w:r w:rsidRPr="004C78D8">
              <w:t xml:space="preserve"> Sources of community-based falls prevention randomised controlled trials.</w:t>
            </w:r>
          </w:p>
        </w:tc>
      </w:tr>
      <w:tr w:rsidR="00A70BF9" w:rsidRPr="004C78D8" w14:paraId="6167F1AD" w14:textId="77777777" w:rsidTr="00E35893">
        <w:tc>
          <w:tcPr>
            <w:tcW w:w="1336" w:type="pct"/>
          </w:tcPr>
          <w:p w14:paraId="6F79DF41" w14:textId="77777777" w:rsidR="00A70BF9" w:rsidRPr="004C78D8" w:rsidRDefault="00A70BF9" w:rsidP="00FB7C1F">
            <w:pPr>
              <w:jc w:val="left"/>
              <w:rPr>
                <w:b/>
                <w:bCs/>
                <w:sz w:val="20"/>
                <w:szCs w:val="20"/>
              </w:rPr>
            </w:pPr>
            <w:r w:rsidRPr="004C78D8">
              <w:rPr>
                <w:b/>
                <w:bCs/>
                <w:sz w:val="20"/>
                <w:szCs w:val="20"/>
              </w:rPr>
              <w:lastRenderedPageBreak/>
              <w:t>Review</w:t>
            </w:r>
          </w:p>
        </w:tc>
        <w:tc>
          <w:tcPr>
            <w:tcW w:w="1807" w:type="pct"/>
          </w:tcPr>
          <w:p w14:paraId="3176B07C" w14:textId="77777777" w:rsidR="00A70BF9" w:rsidRPr="004C78D8" w:rsidRDefault="00A70BF9" w:rsidP="00FB7C1F">
            <w:pPr>
              <w:jc w:val="left"/>
              <w:rPr>
                <w:b/>
                <w:bCs/>
                <w:sz w:val="20"/>
                <w:szCs w:val="20"/>
              </w:rPr>
            </w:pPr>
            <w:r w:rsidRPr="004C78D8">
              <w:rPr>
                <w:b/>
                <w:bCs/>
                <w:sz w:val="20"/>
                <w:szCs w:val="20"/>
              </w:rPr>
              <w:t>Search methods</w:t>
            </w:r>
            <w:r w:rsidRPr="004C78D8">
              <w:rPr>
                <w:b/>
                <w:bCs/>
                <w:sz w:val="20"/>
                <w:szCs w:val="20"/>
                <w:vertAlign w:val="superscript"/>
              </w:rPr>
              <w:t>1</w:t>
            </w:r>
          </w:p>
        </w:tc>
        <w:tc>
          <w:tcPr>
            <w:tcW w:w="1856" w:type="pct"/>
          </w:tcPr>
          <w:p w14:paraId="315D3FDE" w14:textId="77777777" w:rsidR="00A70BF9" w:rsidRPr="004C78D8" w:rsidRDefault="00A70BF9" w:rsidP="00FB7C1F">
            <w:pPr>
              <w:jc w:val="left"/>
              <w:rPr>
                <w:b/>
                <w:bCs/>
                <w:sz w:val="20"/>
                <w:szCs w:val="20"/>
              </w:rPr>
            </w:pPr>
            <w:r w:rsidRPr="004C78D8">
              <w:rPr>
                <w:b/>
                <w:bCs/>
                <w:sz w:val="20"/>
                <w:szCs w:val="20"/>
              </w:rPr>
              <w:t>Search results</w:t>
            </w:r>
          </w:p>
        </w:tc>
      </w:tr>
      <w:tr w:rsidR="00A70BF9" w:rsidRPr="004C78D8" w14:paraId="269FFD45" w14:textId="77777777" w:rsidTr="00E35893">
        <w:tc>
          <w:tcPr>
            <w:tcW w:w="1336" w:type="pct"/>
          </w:tcPr>
          <w:p w14:paraId="6BAF655E" w14:textId="50F2B01E" w:rsidR="00A70BF9" w:rsidRPr="004C78D8" w:rsidRDefault="00A70BF9" w:rsidP="00FB7C1F">
            <w:pPr>
              <w:jc w:val="left"/>
              <w:rPr>
                <w:sz w:val="18"/>
                <w:szCs w:val="18"/>
              </w:rPr>
            </w:pPr>
            <w:r w:rsidRPr="004C78D8">
              <w:rPr>
                <w:sz w:val="18"/>
                <w:szCs w:val="18"/>
              </w:rPr>
              <w:t xml:space="preserve">Gillespie (2012): Cochrane systematic review of all community-based falls prevention </w:t>
            </w:r>
            <w:r w:rsidRPr="004C78D8">
              <w:rPr>
                <w:sz w:val="18"/>
                <w:szCs w:val="18"/>
              </w:rPr>
              <w:fldChar w:fldCharType="begin"/>
            </w:r>
            <w:r w:rsidR="00513646" w:rsidRPr="004C78D8">
              <w:rPr>
                <w:sz w:val="18"/>
                <w:szCs w:val="18"/>
              </w:rPr>
              <w:instrText xml:space="preserve"> ADDIN EN.CITE &lt;EndNote&gt;&lt;Cite&gt;&lt;Author&gt;Gillespie&lt;/Author&gt;&lt;Year&gt;2012&lt;/Year&gt;&lt;RecNum&gt;52&lt;/RecNum&gt;&lt;DisplayText&gt;[124]&lt;/DisplayText&gt;&lt;record&gt;&lt;rec-number&gt;52&lt;/rec-number&gt;&lt;foreign-keys&gt;&lt;key app="EN" db-id="tdtrdw9aepptzbefsat599syza29sxsd2wsp" timestamp="1597844815"&gt;52&lt;/key&gt;&lt;/foreign-keys&gt;&lt;ref-type name="Journal Article"&gt;17&lt;/ref-type&gt;&lt;contributors&gt;&lt;authors&gt;&lt;author&gt;Gillespie, Lesley D&lt;/author&gt;&lt;author&gt;Robertson, M Clare&lt;/author&gt;&lt;author&gt;Gillespie, William J&lt;/author&gt;&lt;author&gt;Sherrington, Catherine&lt;/author&gt;&lt;author&gt;Gates, Simon&lt;/author&gt;&lt;author&gt;Clemson, Lindy M&lt;/author&gt;&lt;author&gt;Lamb, Sarah E&lt;/author&gt;&lt;/authors&gt;&lt;/contributors&gt;&lt;titles&gt;&lt;title&gt;Interventions for preventing falls in older people living in the community&lt;/title&gt;&lt;secondary-title&gt;Cochrane database of systematic reviews&lt;/secondary-title&gt;&lt;/titles&gt;&lt;periodical&gt;&lt;full-title&gt;Cochrane database of systematic reviews&lt;/full-title&gt;&lt;/periodical&gt;&lt;number&gt;9&lt;/number&gt;&lt;dates&gt;&lt;year&gt;2012&lt;/year&gt;&lt;/dates&gt;&lt;isbn&gt;1465-1858&lt;/isbn&gt;&lt;urls&gt;&lt;/urls&gt;&lt;/record&gt;&lt;/Cite&gt;&lt;/EndNote&gt;</w:instrText>
            </w:r>
            <w:r w:rsidRPr="004C78D8">
              <w:rPr>
                <w:sz w:val="18"/>
                <w:szCs w:val="18"/>
              </w:rPr>
              <w:fldChar w:fldCharType="separate"/>
            </w:r>
            <w:r w:rsidR="00513646" w:rsidRPr="004C78D8">
              <w:rPr>
                <w:noProof/>
                <w:sz w:val="18"/>
                <w:szCs w:val="18"/>
              </w:rPr>
              <w:t>[124]</w:t>
            </w:r>
            <w:r w:rsidRPr="004C78D8">
              <w:rPr>
                <w:sz w:val="18"/>
                <w:szCs w:val="18"/>
              </w:rPr>
              <w:fldChar w:fldCharType="end"/>
            </w:r>
          </w:p>
        </w:tc>
        <w:tc>
          <w:tcPr>
            <w:tcW w:w="1807" w:type="pct"/>
          </w:tcPr>
          <w:p w14:paraId="42D0BA17" w14:textId="77777777" w:rsidR="00A70BF9" w:rsidRPr="004C78D8" w:rsidRDefault="00A70BF9" w:rsidP="00FB7C1F">
            <w:pPr>
              <w:jc w:val="left"/>
              <w:rPr>
                <w:sz w:val="18"/>
                <w:szCs w:val="18"/>
              </w:rPr>
            </w:pPr>
            <w:r w:rsidRPr="004C78D8">
              <w:rPr>
                <w:i/>
                <w:iCs/>
                <w:sz w:val="18"/>
                <w:szCs w:val="18"/>
              </w:rPr>
              <w:t>Intervention type</w:t>
            </w:r>
            <w:r w:rsidRPr="004C78D8">
              <w:rPr>
                <w:sz w:val="18"/>
                <w:szCs w:val="18"/>
              </w:rPr>
              <w:t>: all types</w:t>
            </w:r>
          </w:p>
          <w:p w14:paraId="5C7FD068" w14:textId="77777777" w:rsidR="00A70BF9" w:rsidRPr="004C78D8" w:rsidRDefault="00A70BF9" w:rsidP="00FB7C1F">
            <w:pPr>
              <w:jc w:val="left"/>
              <w:rPr>
                <w:sz w:val="18"/>
                <w:szCs w:val="18"/>
              </w:rPr>
            </w:pPr>
            <w:r w:rsidRPr="004C78D8">
              <w:rPr>
                <w:i/>
                <w:iCs/>
                <w:sz w:val="18"/>
                <w:szCs w:val="18"/>
              </w:rPr>
              <w:t>Exclusion</w:t>
            </w:r>
            <w:r w:rsidRPr="004C78D8">
              <w:rPr>
                <w:sz w:val="18"/>
                <w:szCs w:val="18"/>
              </w:rPr>
              <w:t>: stroke and Parkinson’s disease rehabilitation</w:t>
            </w:r>
          </w:p>
          <w:p w14:paraId="2E6B0DA2" w14:textId="77777777" w:rsidR="00A70BF9" w:rsidRPr="004C78D8" w:rsidRDefault="00A70BF9" w:rsidP="00FB7C1F">
            <w:pPr>
              <w:jc w:val="left"/>
              <w:rPr>
                <w:i/>
                <w:iCs/>
                <w:sz w:val="18"/>
                <w:szCs w:val="18"/>
              </w:rPr>
            </w:pPr>
            <w:r w:rsidRPr="004C78D8">
              <w:rPr>
                <w:i/>
                <w:iCs/>
                <w:sz w:val="18"/>
                <w:szCs w:val="18"/>
              </w:rPr>
              <w:t>Period</w:t>
            </w:r>
            <w:r w:rsidRPr="004C78D8">
              <w:rPr>
                <w:sz w:val="18"/>
                <w:szCs w:val="18"/>
              </w:rPr>
              <w:t>: database inception to Feb-Mar 2012</w:t>
            </w:r>
          </w:p>
        </w:tc>
        <w:tc>
          <w:tcPr>
            <w:tcW w:w="1856" w:type="pct"/>
          </w:tcPr>
          <w:p w14:paraId="5BF6D040" w14:textId="77777777" w:rsidR="00A70BF9" w:rsidRPr="004C78D8" w:rsidRDefault="00A70BF9" w:rsidP="00FB7C1F">
            <w:pPr>
              <w:jc w:val="left"/>
              <w:rPr>
                <w:sz w:val="18"/>
                <w:szCs w:val="18"/>
              </w:rPr>
            </w:pPr>
            <w:r w:rsidRPr="004C78D8">
              <w:rPr>
                <w:sz w:val="18"/>
                <w:szCs w:val="18"/>
              </w:rPr>
              <w:t># of trials: 159; of which 63 were not included in Hopewell (2018) and Sherrington (2019)</w:t>
            </w:r>
          </w:p>
        </w:tc>
      </w:tr>
      <w:tr w:rsidR="00A70BF9" w:rsidRPr="004C78D8" w14:paraId="52268B9D" w14:textId="77777777" w:rsidTr="00E35893">
        <w:tc>
          <w:tcPr>
            <w:tcW w:w="1336" w:type="pct"/>
          </w:tcPr>
          <w:p w14:paraId="62C4079F" w14:textId="77777777" w:rsidR="00A70BF9" w:rsidRPr="004C78D8" w:rsidRDefault="00A70BF9" w:rsidP="00FB7C1F">
            <w:pPr>
              <w:jc w:val="left"/>
              <w:rPr>
                <w:sz w:val="18"/>
                <w:szCs w:val="18"/>
              </w:rPr>
            </w:pPr>
            <w:r w:rsidRPr="004C78D8">
              <w:rPr>
                <w:i/>
                <w:iCs/>
                <w:sz w:val="18"/>
                <w:szCs w:val="18"/>
              </w:rPr>
              <w:t>De novo</w:t>
            </w:r>
            <w:r w:rsidRPr="004C78D8">
              <w:rPr>
                <w:sz w:val="18"/>
                <w:szCs w:val="18"/>
              </w:rPr>
              <w:t xml:space="preserve"> systematic review conducted in July 2019 for period 2012-2018</w:t>
            </w:r>
            <w:r w:rsidRPr="004C78D8">
              <w:rPr>
                <w:sz w:val="18"/>
                <w:szCs w:val="18"/>
                <w:vertAlign w:val="superscript"/>
              </w:rPr>
              <w:t>2</w:t>
            </w:r>
          </w:p>
        </w:tc>
        <w:tc>
          <w:tcPr>
            <w:tcW w:w="1807" w:type="pct"/>
          </w:tcPr>
          <w:p w14:paraId="15654A83" w14:textId="77777777" w:rsidR="00A70BF9" w:rsidRPr="004C78D8" w:rsidRDefault="00A70BF9" w:rsidP="00FB7C1F">
            <w:pPr>
              <w:jc w:val="left"/>
              <w:rPr>
                <w:sz w:val="18"/>
                <w:szCs w:val="18"/>
              </w:rPr>
            </w:pPr>
            <w:r w:rsidRPr="004C78D8">
              <w:rPr>
                <w:i/>
                <w:iCs/>
                <w:sz w:val="18"/>
                <w:szCs w:val="18"/>
              </w:rPr>
              <w:t>Intervention type</w:t>
            </w:r>
            <w:r w:rsidRPr="004C78D8">
              <w:rPr>
                <w:sz w:val="18"/>
                <w:szCs w:val="18"/>
              </w:rPr>
              <w:t>: all types</w:t>
            </w:r>
          </w:p>
          <w:p w14:paraId="69E83EB5" w14:textId="77777777" w:rsidR="00A70BF9" w:rsidRPr="004C78D8" w:rsidRDefault="00A70BF9" w:rsidP="00FB7C1F">
            <w:pPr>
              <w:jc w:val="left"/>
              <w:rPr>
                <w:sz w:val="18"/>
                <w:szCs w:val="18"/>
              </w:rPr>
            </w:pPr>
            <w:r w:rsidRPr="004C78D8">
              <w:rPr>
                <w:i/>
                <w:iCs/>
                <w:sz w:val="18"/>
                <w:szCs w:val="18"/>
              </w:rPr>
              <w:t>Exclusion</w:t>
            </w:r>
            <w:r w:rsidRPr="004C78D8">
              <w:rPr>
                <w:sz w:val="18"/>
                <w:szCs w:val="18"/>
              </w:rPr>
              <w:t>: stroke and Parkinson’s disease rehabilitation</w:t>
            </w:r>
          </w:p>
          <w:p w14:paraId="0DBA8BA9" w14:textId="77777777" w:rsidR="00A70BF9" w:rsidRPr="004C78D8" w:rsidRDefault="00A70BF9" w:rsidP="00FB7C1F">
            <w:pPr>
              <w:jc w:val="left"/>
              <w:rPr>
                <w:i/>
                <w:iCs/>
                <w:sz w:val="18"/>
                <w:szCs w:val="18"/>
              </w:rPr>
            </w:pPr>
            <w:r w:rsidRPr="004C78D8">
              <w:rPr>
                <w:i/>
                <w:iCs/>
                <w:sz w:val="18"/>
                <w:szCs w:val="18"/>
              </w:rPr>
              <w:t>Period</w:t>
            </w:r>
            <w:r w:rsidRPr="004C78D8">
              <w:rPr>
                <w:sz w:val="18"/>
                <w:szCs w:val="18"/>
              </w:rPr>
              <w:t>: 1</w:t>
            </w:r>
            <w:r w:rsidRPr="004C78D8">
              <w:rPr>
                <w:sz w:val="18"/>
                <w:szCs w:val="18"/>
                <w:vertAlign w:val="superscript"/>
              </w:rPr>
              <w:t>st</w:t>
            </w:r>
            <w:r w:rsidRPr="004C78D8">
              <w:rPr>
                <w:sz w:val="18"/>
                <w:szCs w:val="18"/>
              </w:rPr>
              <w:t xml:space="preserve"> Jan 2012 to 31</w:t>
            </w:r>
            <w:r w:rsidRPr="004C78D8">
              <w:rPr>
                <w:sz w:val="18"/>
                <w:szCs w:val="18"/>
                <w:vertAlign w:val="superscript"/>
              </w:rPr>
              <w:t>st</w:t>
            </w:r>
            <w:r w:rsidRPr="004C78D8">
              <w:rPr>
                <w:sz w:val="18"/>
                <w:szCs w:val="18"/>
              </w:rPr>
              <w:t xml:space="preserve"> Dec 2018</w:t>
            </w:r>
          </w:p>
        </w:tc>
        <w:tc>
          <w:tcPr>
            <w:tcW w:w="1856" w:type="pct"/>
          </w:tcPr>
          <w:p w14:paraId="488C8712" w14:textId="77777777" w:rsidR="00A70BF9" w:rsidRPr="004C78D8" w:rsidRDefault="00A70BF9" w:rsidP="00FB7C1F">
            <w:pPr>
              <w:jc w:val="left"/>
              <w:rPr>
                <w:sz w:val="18"/>
                <w:szCs w:val="18"/>
              </w:rPr>
            </w:pPr>
            <w:r w:rsidRPr="004C78D8">
              <w:rPr>
                <w:sz w:val="18"/>
                <w:szCs w:val="18"/>
              </w:rPr>
              <w:t># of trials: 61 not included in Gillespie (2012), Hopewell (2018) and Sherrington (2019)</w:t>
            </w:r>
          </w:p>
        </w:tc>
      </w:tr>
      <w:tr w:rsidR="00A70BF9" w:rsidRPr="004C78D8" w14:paraId="0241C879" w14:textId="77777777" w:rsidTr="00E35893">
        <w:tc>
          <w:tcPr>
            <w:tcW w:w="1336" w:type="pct"/>
          </w:tcPr>
          <w:p w14:paraId="2BC6EA37" w14:textId="339E774D" w:rsidR="00A70BF9" w:rsidRPr="004C78D8" w:rsidRDefault="00A70BF9" w:rsidP="00FB7C1F">
            <w:pPr>
              <w:jc w:val="left"/>
              <w:rPr>
                <w:sz w:val="18"/>
                <w:szCs w:val="18"/>
              </w:rPr>
            </w:pPr>
            <w:r w:rsidRPr="004C78D8">
              <w:rPr>
                <w:sz w:val="18"/>
                <w:szCs w:val="18"/>
              </w:rPr>
              <w:t xml:space="preserve">Hopewell (2018): Cochrane systematic review of multifactorial and multiple-component community-based falls prevention </w:t>
            </w:r>
            <w:r w:rsidRPr="004C78D8">
              <w:rPr>
                <w:sz w:val="18"/>
                <w:szCs w:val="18"/>
              </w:rPr>
              <w:fldChar w:fldCharType="begin"/>
            </w:r>
            <w:r w:rsidR="00513646" w:rsidRPr="004C78D8">
              <w:rPr>
                <w:sz w:val="18"/>
                <w:szCs w:val="18"/>
              </w:rPr>
              <w:instrText xml:space="preserve"> ADDIN EN.CITE &lt;EndNote&gt;&lt;Cite&gt;&lt;Author&gt;Hopewell&lt;/Author&gt;&lt;Year&gt;2018&lt;/Year&gt;&lt;RecNum&gt;261&lt;/RecNum&gt;&lt;DisplayText&gt;[126]&lt;/DisplayText&gt;&lt;record&gt;&lt;rec-number&gt;261&lt;/rec-number&gt;&lt;foreign-keys&gt;&lt;key app="EN" db-id="tdtrdw9aepptzbefsat599syza29sxsd2wsp" timestamp="1611689483"&gt;261&lt;/key&gt;&lt;/foreign-keys&gt;&lt;ref-type name="Journal Article"&gt;17&lt;/ref-type&gt;&lt;contributors&gt;&lt;authors&gt;&lt;author&gt;Hopewell, Sally&lt;/author&gt;&lt;author&gt;Adedire, Olubusola&lt;/author&gt;&lt;author&gt;Copsey, Bethan J&lt;/author&gt;&lt;author&gt;Boniface, Graham J&lt;/author&gt;&lt;author&gt;Sherrington, Catherine&lt;/author&gt;&lt;author&gt;Clemson, Lindy&lt;/author&gt;&lt;author&gt;Close, Jacqueline CT&lt;/author&gt;&lt;author&gt;Lamb, Sarah E&lt;/author&gt;&lt;/authors&gt;&lt;/contributors&gt;&lt;titles&gt;&lt;title&gt;Multifactorial and multiple component interventions for preventing falls in older people living in the community&lt;/title&gt;&lt;secondary-title&gt;Cochrane database of systematic reviews&lt;/secondary-title&gt;&lt;/titles&gt;&lt;periodical&gt;&lt;full-title&gt;Cochrane database of systematic reviews&lt;/full-title&gt;&lt;/periodical&gt;&lt;number&gt;7&lt;/number&gt;&lt;dates&gt;&lt;year&gt;2018&lt;/year&gt;&lt;/dates&gt;&lt;isbn&gt;1465-1858&lt;/isbn&gt;&lt;urls&gt;&lt;/urls&gt;&lt;/record&gt;&lt;/Cite&gt;&lt;/EndNote&gt;</w:instrText>
            </w:r>
            <w:r w:rsidRPr="004C78D8">
              <w:rPr>
                <w:sz w:val="18"/>
                <w:szCs w:val="18"/>
              </w:rPr>
              <w:fldChar w:fldCharType="separate"/>
            </w:r>
            <w:r w:rsidR="00513646" w:rsidRPr="004C78D8">
              <w:rPr>
                <w:noProof/>
                <w:sz w:val="18"/>
                <w:szCs w:val="18"/>
              </w:rPr>
              <w:t>[126]</w:t>
            </w:r>
            <w:r w:rsidRPr="004C78D8">
              <w:rPr>
                <w:sz w:val="18"/>
                <w:szCs w:val="18"/>
              </w:rPr>
              <w:fldChar w:fldCharType="end"/>
            </w:r>
          </w:p>
        </w:tc>
        <w:tc>
          <w:tcPr>
            <w:tcW w:w="1807" w:type="pct"/>
          </w:tcPr>
          <w:p w14:paraId="09141434" w14:textId="77777777" w:rsidR="00A70BF9" w:rsidRPr="004C78D8" w:rsidRDefault="00A70BF9" w:rsidP="00FB7C1F">
            <w:pPr>
              <w:jc w:val="left"/>
              <w:rPr>
                <w:sz w:val="18"/>
                <w:szCs w:val="18"/>
              </w:rPr>
            </w:pPr>
            <w:r w:rsidRPr="004C78D8">
              <w:rPr>
                <w:i/>
                <w:iCs/>
                <w:sz w:val="18"/>
                <w:szCs w:val="18"/>
              </w:rPr>
              <w:t>Intervention type</w:t>
            </w:r>
            <w:r w:rsidRPr="004C78D8">
              <w:rPr>
                <w:sz w:val="18"/>
                <w:szCs w:val="18"/>
              </w:rPr>
              <w:t>: multifactorial and multiple-component interventions</w:t>
            </w:r>
          </w:p>
          <w:p w14:paraId="6257C8A9" w14:textId="77777777" w:rsidR="00A70BF9" w:rsidRPr="004C78D8" w:rsidRDefault="00A70BF9" w:rsidP="00FB7C1F">
            <w:pPr>
              <w:jc w:val="left"/>
              <w:rPr>
                <w:sz w:val="18"/>
                <w:szCs w:val="18"/>
              </w:rPr>
            </w:pPr>
            <w:r w:rsidRPr="004C78D8">
              <w:rPr>
                <w:i/>
                <w:iCs/>
                <w:sz w:val="18"/>
                <w:szCs w:val="18"/>
              </w:rPr>
              <w:t>Exclusion</w:t>
            </w:r>
            <w:r w:rsidRPr="004C78D8">
              <w:rPr>
                <w:sz w:val="18"/>
                <w:szCs w:val="18"/>
              </w:rPr>
              <w:t>: stroke and Parkinson’s disease rehabilitation</w:t>
            </w:r>
          </w:p>
          <w:p w14:paraId="5CB9D6F5" w14:textId="77777777" w:rsidR="00A70BF9" w:rsidRPr="004C78D8" w:rsidRDefault="00A70BF9" w:rsidP="00FB7C1F">
            <w:pPr>
              <w:jc w:val="left"/>
              <w:rPr>
                <w:sz w:val="18"/>
                <w:szCs w:val="18"/>
              </w:rPr>
            </w:pPr>
            <w:r w:rsidRPr="004C78D8">
              <w:rPr>
                <w:i/>
                <w:iCs/>
                <w:sz w:val="18"/>
                <w:szCs w:val="18"/>
              </w:rPr>
              <w:t>Period</w:t>
            </w:r>
            <w:r w:rsidRPr="004C78D8">
              <w:rPr>
                <w:sz w:val="18"/>
                <w:szCs w:val="18"/>
              </w:rPr>
              <w:t>: Jan 2012 to June 2017 for studies not included in (Gillespie et al., 2012)</w:t>
            </w:r>
          </w:p>
        </w:tc>
        <w:tc>
          <w:tcPr>
            <w:tcW w:w="1856" w:type="pct"/>
          </w:tcPr>
          <w:p w14:paraId="60784D7E" w14:textId="77777777" w:rsidR="00A70BF9" w:rsidRPr="004C78D8" w:rsidRDefault="00A70BF9" w:rsidP="00FB7C1F">
            <w:pPr>
              <w:jc w:val="left"/>
              <w:rPr>
                <w:sz w:val="18"/>
                <w:szCs w:val="18"/>
              </w:rPr>
            </w:pPr>
            <w:r w:rsidRPr="004C78D8">
              <w:rPr>
                <w:sz w:val="18"/>
                <w:szCs w:val="18"/>
              </w:rPr>
              <w:t># of trials: 62; of which 17 were not included in Gillespie (2012)</w:t>
            </w:r>
          </w:p>
        </w:tc>
      </w:tr>
      <w:tr w:rsidR="00A70BF9" w:rsidRPr="004C78D8" w14:paraId="158D52C3" w14:textId="77777777" w:rsidTr="00E35893">
        <w:tc>
          <w:tcPr>
            <w:tcW w:w="1336" w:type="pct"/>
          </w:tcPr>
          <w:p w14:paraId="30B47A70" w14:textId="3D269027" w:rsidR="00A70BF9" w:rsidRPr="004C78D8" w:rsidRDefault="00A70BF9" w:rsidP="00FB7C1F">
            <w:pPr>
              <w:jc w:val="left"/>
              <w:rPr>
                <w:sz w:val="18"/>
                <w:szCs w:val="18"/>
              </w:rPr>
            </w:pPr>
            <w:r w:rsidRPr="004C78D8">
              <w:rPr>
                <w:sz w:val="18"/>
                <w:szCs w:val="18"/>
              </w:rPr>
              <w:t xml:space="preserve">Sherrington (2019) – Cochrane systematic review of community-based falls prevention exercise </w:t>
            </w:r>
            <w:r w:rsidRPr="004C78D8">
              <w:rPr>
                <w:sz w:val="18"/>
                <w:szCs w:val="18"/>
              </w:rPr>
              <w:fldChar w:fldCharType="begin"/>
            </w:r>
            <w:r w:rsidR="00513646" w:rsidRPr="004C78D8">
              <w:rPr>
                <w:sz w:val="18"/>
                <w:szCs w:val="18"/>
              </w:rPr>
              <w:instrText xml:space="preserve"> ADDIN EN.CITE &lt;EndNote&gt;&lt;Cite&gt;&lt;Author&gt;Sherrington&lt;/Author&gt;&lt;Year&gt;2019&lt;/Year&gt;&lt;RecNum&gt;310&lt;/RecNum&gt;&lt;DisplayText&gt;[125]&lt;/DisplayText&gt;&lt;record&gt;&lt;rec-number&gt;310&lt;/rec-number&gt;&lt;foreign-keys&gt;&lt;key app="EN" db-id="tdtrdw9aepptzbefsat599syza29sxsd2wsp" timestamp="1612016357"&gt;310&lt;/key&gt;&lt;/foreign-keys&gt;&lt;ref-type name="Journal Article"&gt;17&lt;/ref-type&gt;&lt;contributors&gt;&lt;authors&gt;&lt;author&gt;Sherrington, Catherine&lt;/author&gt;&lt;author&gt;Fairhall, Nicola J&lt;/author&gt;&lt;author&gt;Wallbank, Geraldine K&lt;/author&gt;&lt;author&gt;Tiedemann, Anne&lt;/author&gt;&lt;author&gt;Michaleff, Zoe A&lt;/author&gt;&lt;author&gt;Howard, Kirsten&lt;/author&gt;&lt;author&gt;Clemson, Lindy&lt;/author&gt;&lt;author&gt;Hopewell, Sally&lt;/author&gt;&lt;author&gt;Lamb, Sarah E&lt;/author&gt;&lt;/authors&gt;&lt;/contributors&gt;&lt;titles&gt;&lt;title&gt;Exercise for preventing falls in older people living in the community&lt;/title&gt;&lt;secondary-title&gt;Cochrane database of systematic reviews&lt;/secondary-title&gt;&lt;/titles&gt;&lt;periodical&gt;&lt;full-title&gt;Cochrane database of systematic reviews&lt;/full-title&gt;&lt;/periodical&gt;&lt;number&gt;1&lt;/number&gt;&lt;dates&gt;&lt;year&gt;2019&lt;/year&gt;&lt;/dates&gt;&lt;isbn&gt;1465-1858&lt;/isbn&gt;&lt;urls&gt;&lt;/urls&gt;&lt;/record&gt;&lt;/Cite&gt;&lt;/EndNote&gt;</w:instrText>
            </w:r>
            <w:r w:rsidRPr="004C78D8">
              <w:rPr>
                <w:sz w:val="18"/>
                <w:szCs w:val="18"/>
              </w:rPr>
              <w:fldChar w:fldCharType="separate"/>
            </w:r>
            <w:r w:rsidR="00513646" w:rsidRPr="004C78D8">
              <w:rPr>
                <w:noProof/>
                <w:sz w:val="18"/>
                <w:szCs w:val="18"/>
              </w:rPr>
              <w:t>[125]</w:t>
            </w:r>
            <w:r w:rsidRPr="004C78D8">
              <w:rPr>
                <w:sz w:val="18"/>
                <w:szCs w:val="18"/>
              </w:rPr>
              <w:fldChar w:fldCharType="end"/>
            </w:r>
          </w:p>
        </w:tc>
        <w:tc>
          <w:tcPr>
            <w:tcW w:w="1807" w:type="pct"/>
          </w:tcPr>
          <w:p w14:paraId="16C9E22D" w14:textId="77777777" w:rsidR="00A70BF9" w:rsidRPr="004C78D8" w:rsidRDefault="00A70BF9" w:rsidP="00FB7C1F">
            <w:pPr>
              <w:jc w:val="left"/>
              <w:rPr>
                <w:sz w:val="18"/>
                <w:szCs w:val="18"/>
              </w:rPr>
            </w:pPr>
            <w:r w:rsidRPr="004C78D8">
              <w:rPr>
                <w:i/>
                <w:iCs/>
                <w:sz w:val="18"/>
                <w:szCs w:val="18"/>
              </w:rPr>
              <w:t>Intervention type</w:t>
            </w:r>
            <w:r w:rsidRPr="004C78D8">
              <w:rPr>
                <w:sz w:val="18"/>
                <w:szCs w:val="18"/>
              </w:rPr>
              <w:t>: exercise</w:t>
            </w:r>
          </w:p>
          <w:p w14:paraId="59F68767" w14:textId="77777777" w:rsidR="00A70BF9" w:rsidRPr="004C78D8" w:rsidRDefault="00A70BF9" w:rsidP="00FB7C1F">
            <w:pPr>
              <w:jc w:val="left"/>
              <w:rPr>
                <w:sz w:val="18"/>
                <w:szCs w:val="18"/>
              </w:rPr>
            </w:pPr>
            <w:r w:rsidRPr="004C78D8">
              <w:rPr>
                <w:i/>
                <w:iCs/>
                <w:sz w:val="18"/>
                <w:szCs w:val="18"/>
              </w:rPr>
              <w:t>Exclusion</w:t>
            </w:r>
            <w:r w:rsidRPr="004C78D8">
              <w:rPr>
                <w:sz w:val="18"/>
                <w:szCs w:val="18"/>
              </w:rPr>
              <w:t>: exercises for patients with stroke, Parkinson’s disease, multiple sclerosis, dementia, hip fracture and severe visual impairment</w:t>
            </w:r>
          </w:p>
          <w:p w14:paraId="61B556F4" w14:textId="77777777" w:rsidR="00A70BF9" w:rsidRPr="004C78D8" w:rsidRDefault="00A70BF9" w:rsidP="00FB7C1F">
            <w:pPr>
              <w:jc w:val="left"/>
              <w:rPr>
                <w:sz w:val="18"/>
                <w:szCs w:val="18"/>
              </w:rPr>
            </w:pPr>
            <w:r w:rsidRPr="004C78D8">
              <w:rPr>
                <w:i/>
                <w:iCs/>
                <w:sz w:val="18"/>
                <w:szCs w:val="18"/>
              </w:rPr>
              <w:t>Period</w:t>
            </w:r>
            <w:r w:rsidRPr="004C78D8">
              <w:rPr>
                <w:sz w:val="18"/>
                <w:szCs w:val="18"/>
              </w:rPr>
              <w:t>: Jan 2012 to May 2018 for studies not included in (Gillespie et al., 2012)</w:t>
            </w:r>
          </w:p>
        </w:tc>
        <w:tc>
          <w:tcPr>
            <w:tcW w:w="1856" w:type="pct"/>
          </w:tcPr>
          <w:p w14:paraId="04D5B4FF" w14:textId="77777777" w:rsidR="00A70BF9" w:rsidRPr="004C78D8" w:rsidRDefault="00A70BF9" w:rsidP="00FB7C1F">
            <w:pPr>
              <w:jc w:val="left"/>
              <w:rPr>
                <w:sz w:val="18"/>
                <w:szCs w:val="18"/>
              </w:rPr>
            </w:pPr>
            <w:r w:rsidRPr="004C78D8">
              <w:rPr>
                <w:sz w:val="18"/>
                <w:szCs w:val="18"/>
              </w:rPr>
              <w:t># of trials: 106; of which 54 were not included in Gillespie (2012)</w:t>
            </w:r>
          </w:p>
        </w:tc>
      </w:tr>
      <w:tr w:rsidR="00A70BF9" w:rsidRPr="004C78D8" w14:paraId="162EC2A8" w14:textId="77777777" w:rsidTr="00E35893">
        <w:tc>
          <w:tcPr>
            <w:tcW w:w="1336" w:type="pct"/>
          </w:tcPr>
          <w:p w14:paraId="69ACB830" w14:textId="77777777" w:rsidR="00A70BF9" w:rsidRPr="004C78D8" w:rsidRDefault="00A70BF9" w:rsidP="00FB7C1F">
            <w:pPr>
              <w:jc w:val="left"/>
              <w:rPr>
                <w:sz w:val="18"/>
                <w:szCs w:val="18"/>
              </w:rPr>
            </w:pPr>
            <w:r w:rsidRPr="004C78D8">
              <w:rPr>
                <w:sz w:val="18"/>
                <w:szCs w:val="18"/>
              </w:rPr>
              <w:t>Citation search of Cochrane systematic reviews</w:t>
            </w:r>
          </w:p>
        </w:tc>
        <w:tc>
          <w:tcPr>
            <w:tcW w:w="1807" w:type="pct"/>
          </w:tcPr>
          <w:p w14:paraId="2222EFDE" w14:textId="77777777" w:rsidR="00A70BF9" w:rsidRPr="004C78D8" w:rsidRDefault="00A70BF9" w:rsidP="00FB7C1F">
            <w:pPr>
              <w:jc w:val="left"/>
              <w:rPr>
                <w:sz w:val="18"/>
                <w:szCs w:val="18"/>
              </w:rPr>
            </w:pPr>
            <w:r w:rsidRPr="004C78D8">
              <w:rPr>
                <w:i/>
                <w:iCs/>
                <w:sz w:val="18"/>
                <w:szCs w:val="18"/>
              </w:rPr>
              <w:t>Intervention type</w:t>
            </w:r>
            <w:r w:rsidRPr="004C78D8">
              <w:rPr>
                <w:sz w:val="18"/>
                <w:szCs w:val="18"/>
              </w:rPr>
              <w:t>: all types</w:t>
            </w:r>
          </w:p>
          <w:p w14:paraId="3158D6BD" w14:textId="77777777" w:rsidR="00A70BF9" w:rsidRPr="004C78D8" w:rsidRDefault="00A70BF9" w:rsidP="00FB7C1F">
            <w:pPr>
              <w:jc w:val="left"/>
              <w:rPr>
                <w:sz w:val="18"/>
                <w:szCs w:val="18"/>
              </w:rPr>
            </w:pPr>
            <w:r w:rsidRPr="004C78D8">
              <w:rPr>
                <w:i/>
                <w:iCs/>
                <w:sz w:val="18"/>
                <w:szCs w:val="18"/>
              </w:rPr>
              <w:t>Exclusion</w:t>
            </w:r>
            <w:r w:rsidRPr="004C78D8">
              <w:rPr>
                <w:sz w:val="18"/>
                <w:szCs w:val="18"/>
              </w:rPr>
              <w:t>: stroke and Parkinson’s disease rehabilitation</w:t>
            </w:r>
          </w:p>
          <w:p w14:paraId="3832E841" w14:textId="77777777" w:rsidR="00A70BF9" w:rsidRPr="004C78D8" w:rsidRDefault="00A70BF9" w:rsidP="00FB7C1F">
            <w:pPr>
              <w:jc w:val="left"/>
              <w:rPr>
                <w:sz w:val="18"/>
                <w:szCs w:val="18"/>
              </w:rPr>
            </w:pPr>
            <w:r w:rsidRPr="004C78D8">
              <w:rPr>
                <w:i/>
                <w:iCs/>
                <w:sz w:val="18"/>
                <w:szCs w:val="18"/>
              </w:rPr>
              <w:t xml:space="preserve">Period: </w:t>
            </w:r>
            <w:r w:rsidRPr="004C78D8">
              <w:rPr>
                <w:sz w:val="18"/>
                <w:szCs w:val="18"/>
              </w:rPr>
              <w:t>1</w:t>
            </w:r>
            <w:r w:rsidRPr="004C78D8">
              <w:rPr>
                <w:sz w:val="18"/>
                <w:szCs w:val="18"/>
                <w:vertAlign w:val="superscript"/>
              </w:rPr>
              <w:t>st</w:t>
            </w:r>
            <w:r w:rsidRPr="004C78D8">
              <w:rPr>
                <w:sz w:val="18"/>
                <w:szCs w:val="18"/>
              </w:rPr>
              <w:t xml:space="preserve"> Jan 2019 to 30</w:t>
            </w:r>
            <w:r w:rsidRPr="004C78D8">
              <w:rPr>
                <w:sz w:val="18"/>
                <w:szCs w:val="18"/>
                <w:vertAlign w:val="superscript"/>
              </w:rPr>
              <w:t>th</w:t>
            </w:r>
            <w:r w:rsidRPr="004C78D8">
              <w:rPr>
                <w:sz w:val="18"/>
                <w:szCs w:val="18"/>
              </w:rPr>
              <w:t xml:space="preserve"> Jun 2020</w:t>
            </w:r>
          </w:p>
        </w:tc>
        <w:tc>
          <w:tcPr>
            <w:tcW w:w="1856" w:type="pct"/>
          </w:tcPr>
          <w:p w14:paraId="1404C60E" w14:textId="77777777" w:rsidR="00A70BF9" w:rsidRPr="004C78D8" w:rsidRDefault="00A70BF9" w:rsidP="00FB7C1F">
            <w:pPr>
              <w:jc w:val="left"/>
              <w:rPr>
                <w:sz w:val="18"/>
                <w:szCs w:val="18"/>
              </w:rPr>
            </w:pPr>
            <w:r w:rsidRPr="004C78D8">
              <w:rPr>
                <w:sz w:val="18"/>
                <w:szCs w:val="18"/>
              </w:rPr>
              <w:t xml:space="preserve"># of trials: 21 not included in Gillespie (2012), Hopewell (2018), Sherrington (2019) and </w:t>
            </w:r>
            <w:r w:rsidRPr="004C78D8">
              <w:rPr>
                <w:i/>
                <w:iCs/>
                <w:sz w:val="18"/>
                <w:szCs w:val="18"/>
              </w:rPr>
              <w:t>de novo</w:t>
            </w:r>
            <w:r w:rsidRPr="004C78D8">
              <w:rPr>
                <w:sz w:val="18"/>
                <w:szCs w:val="18"/>
              </w:rPr>
              <w:t xml:space="preserve"> systematic review</w:t>
            </w:r>
          </w:p>
        </w:tc>
      </w:tr>
      <w:tr w:rsidR="00A70BF9" w:rsidRPr="004C78D8" w14:paraId="6F656A1C" w14:textId="77777777" w:rsidTr="00E35893">
        <w:tc>
          <w:tcPr>
            <w:tcW w:w="1336" w:type="pct"/>
          </w:tcPr>
          <w:p w14:paraId="1AEE6A05" w14:textId="77777777" w:rsidR="00A70BF9" w:rsidRPr="004C78D8" w:rsidRDefault="00A70BF9" w:rsidP="00FB7C1F">
            <w:pPr>
              <w:jc w:val="left"/>
              <w:rPr>
                <w:b/>
                <w:bCs/>
                <w:sz w:val="20"/>
                <w:szCs w:val="20"/>
              </w:rPr>
            </w:pPr>
            <w:r w:rsidRPr="004C78D8">
              <w:rPr>
                <w:b/>
                <w:bCs/>
                <w:sz w:val="20"/>
                <w:szCs w:val="20"/>
              </w:rPr>
              <w:t>Total</w:t>
            </w:r>
          </w:p>
        </w:tc>
        <w:tc>
          <w:tcPr>
            <w:tcW w:w="1807" w:type="pct"/>
          </w:tcPr>
          <w:p w14:paraId="47660421" w14:textId="77777777" w:rsidR="00A70BF9" w:rsidRPr="004C78D8" w:rsidRDefault="00A70BF9" w:rsidP="00FB7C1F">
            <w:pPr>
              <w:jc w:val="left"/>
              <w:rPr>
                <w:b/>
                <w:bCs/>
                <w:i/>
                <w:iCs/>
                <w:sz w:val="20"/>
                <w:szCs w:val="20"/>
              </w:rPr>
            </w:pPr>
          </w:p>
        </w:tc>
        <w:tc>
          <w:tcPr>
            <w:tcW w:w="1856" w:type="pct"/>
          </w:tcPr>
          <w:p w14:paraId="2FB93650" w14:textId="77777777" w:rsidR="00A70BF9" w:rsidRPr="004C78D8" w:rsidRDefault="00A70BF9" w:rsidP="00FB7C1F">
            <w:pPr>
              <w:jc w:val="left"/>
              <w:rPr>
                <w:b/>
                <w:bCs/>
                <w:sz w:val="20"/>
                <w:szCs w:val="20"/>
              </w:rPr>
            </w:pPr>
            <w:r w:rsidRPr="004C78D8">
              <w:rPr>
                <w:b/>
                <w:bCs/>
                <w:sz w:val="20"/>
                <w:szCs w:val="20"/>
              </w:rPr>
              <w:t># of trials: 312</w:t>
            </w:r>
          </w:p>
        </w:tc>
      </w:tr>
      <w:tr w:rsidR="00A70BF9" w:rsidRPr="004C78D8" w14:paraId="19FA9EA8" w14:textId="77777777" w:rsidTr="00E35893">
        <w:tc>
          <w:tcPr>
            <w:tcW w:w="5000" w:type="pct"/>
            <w:gridSpan w:val="3"/>
          </w:tcPr>
          <w:p w14:paraId="20A4A637" w14:textId="77777777" w:rsidR="00A70BF9" w:rsidRPr="004C78D8" w:rsidRDefault="00A70BF9" w:rsidP="00FB7C1F">
            <w:pPr>
              <w:rPr>
                <w:sz w:val="18"/>
                <w:szCs w:val="18"/>
              </w:rPr>
            </w:pPr>
            <w:r w:rsidRPr="004C78D8">
              <w:rPr>
                <w:sz w:val="18"/>
                <w:szCs w:val="18"/>
                <w:vertAlign w:val="superscript"/>
              </w:rPr>
              <w:t>1</w:t>
            </w:r>
            <w:r w:rsidRPr="004C78D8">
              <w:rPr>
                <w:sz w:val="18"/>
                <w:szCs w:val="18"/>
              </w:rPr>
              <w:t xml:space="preserve"> All systematic reviews except citation search covered the same databases: Cochrane Library; Medline; Embase; CINAHL.</w:t>
            </w:r>
          </w:p>
          <w:p w14:paraId="67895123" w14:textId="35F67844" w:rsidR="00A70BF9" w:rsidRPr="004C78D8" w:rsidRDefault="00A70BF9" w:rsidP="00FB7C1F">
            <w:pPr>
              <w:rPr>
                <w:sz w:val="20"/>
                <w:szCs w:val="20"/>
              </w:rPr>
            </w:pPr>
            <w:r w:rsidRPr="004C78D8">
              <w:rPr>
                <w:sz w:val="18"/>
                <w:szCs w:val="18"/>
                <w:vertAlign w:val="superscript"/>
              </w:rPr>
              <w:t>2</w:t>
            </w:r>
            <w:r w:rsidRPr="004C78D8">
              <w:rPr>
                <w:sz w:val="18"/>
                <w:szCs w:val="18"/>
              </w:rPr>
              <w:t xml:space="preserve"> The search strategy and inclusion and exclusion criteria are reported in Tables </w:t>
            </w:r>
            <w:r w:rsidR="00FE3315" w:rsidRPr="004C78D8">
              <w:rPr>
                <w:sz w:val="18"/>
                <w:szCs w:val="18"/>
              </w:rPr>
              <w:t>E</w:t>
            </w:r>
            <w:r w:rsidRPr="004C78D8">
              <w:rPr>
                <w:sz w:val="18"/>
                <w:szCs w:val="18"/>
              </w:rPr>
              <w:t xml:space="preserve">2 and </w:t>
            </w:r>
            <w:r w:rsidR="00FE3315" w:rsidRPr="004C78D8">
              <w:rPr>
                <w:sz w:val="18"/>
                <w:szCs w:val="18"/>
              </w:rPr>
              <w:t>E</w:t>
            </w:r>
            <w:r w:rsidRPr="004C78D8">
              <w:rPr>
                <w:sz w:val="18"/>
                <w:szCs w:val="18"/>
              </w:rPr>
              <w:t xml:space="preserve">3 in Appendix </w:t>
            </w:r>
            <w:r w:rsidR="00FE3315" w:rsidRPr="004C78D8">
              <w:rPr>
                <w:sz w:val="18"/>
                <w:szCs w:val="18"/>
              </w:rPr>
              <w:t>E</w:t>
            </w:r>
            <w:r w:rsidRPr="004C78D8">
              <w:rPr>
                <w:sz w:val="18"/>
                <w:szCs w:val="18"/>
              </w:rPr>
              <w:t>, respectively.</w:t>
            </w:r>
          </w:p>
        </w:tc>
      </w:tr>
    </w:tbl>
    <w:p w14:paraId="3EA55EEF" w14:textId="77777777" w:rsidR="00A70BF9" w:rsidRPr="004C78D8" w:rsidRDefault="00A70BF9" w:rsidP="00FB7C1F"/>
    <w:p w14:paraId="6937D0BC" w14:textId="78B67155" w:rsidR="00A70BF9" w:rsidRPr="004C78D8" w:rsidRDefault="00DD43AD" w:rsidP="00FB7C1F">
      <w:r w:rsidRPr="004C78D8">
        <w:t>This process identified</w:t>
      </w:r>
      <w:r w:rsidR="00A70BF9" w:rsidRPr="004C78D8">
        <w:t xml:space="preserve"> 312 RCTs; of these, 45 were set in the UK. Table </w:t>
      </w:r>
      <w:r w:rsidR="00F53444" w:rsidRPr="004C78D8">
        <w:t>5</w:t>
      </w:r>
      <w:r w:rsidR="00A70BF9" w:rsidRPr="004C78D8">
        <w:t>.</w:t>
      </w:r>
      <w:r w:rsidR="00FE3315" w:rsidRPr="004C78D8">
        <w:t>3</w:t>
      </w:r>
      <w:r w:rsidR="00A70BF9" w:rsidRPr="004C78D8">
        <w:t xml:space="preserve"> describes 11 UK-based RCTs that were aligned with current or recommended practice </w:t>
      </w:r>
      <w:r w:rsidR="00FE3315" w:rsidRPr="004C78D8">
        <w:t>conceptualised in Section 3.7</w:t>
      </w:r>
      <w:r w:rsidR="0094516A" w:rsidRPr="004C78D8">
        <w:t>.</w:t>
      </w:r>
      <w:r w:rsidR="00A70BF9" w:rsidRPr="004C78D8">
        <w:t xml:space="preserve"> </w:t>
      </w:r>
      <w:r w:rsidR="0094516A" w:rsidRPr="004C78D8">
        <w:t>F</w:t>
      </w:r>
      <w:r w:rsidR="00A70BF9" w:rsidRPr="004C78D8">
        <w:t>ive evaluated multifactorial interventions, while six evaluated exercise interventions</w:t>
      </w:r>
      <w:r w:rsidR="0094516A" w:rsidRPr="004C78D8">
        <w:t xml:space="preserve">; they are organised in Table </w:t>
      </w:r>
      <w:r w:rsidR="00F53444" w:rsidRPr="004C78D8">
        <w:t>5</w:t>
      </w:r>
      <w:r w:rsidR="0094516A" w:rsidRPr="004C78D8">
        <w:t>.3 by target population characteristics (pathway, cognitive status</w:t>
      </w:r>
      <w:r w:rsidR="00786CDD" w:rsidRPr="004C78D8">
        <w:t>,</w:t>
      </w:r>
      <w:r w:rsidR="0094516A" w:rsidRPr="004C78D8">
        <w:t xml:space="preserve"> and falls risk). Where multiple RCTs targeted similar populations – e.g., Close (2009) and Davison (2005) target</w:t>
      </w:r>
      <w:r w:rsidR="00786CDD" w:rsidRPr="004C78D8">
        <w:t>ed</w:t>
      </w:r>
      <w:r w:rsidR="0094516A" w:rsidRPr="004C78D8">
        <w:t xml:space="preserve"> cognitively intact reactive patients – one of them was chosen for parameterisation rather than pooling</w:t>
      </w:r>
      <w:r w:rsidR="00786CDD" w:rsidRPr="004C78D8">
        <w:t xml:space="preserve"> both</w:t>
      </w:r>
      <w:r w:rsidR="0094516A" w:rsidRPr="004C78D8">
        <w:t xml:space="preserve">. </w:t>
      </w:r>
      <w:r w:rsidR="000713C8" w:rsidRPr="004C78D8">
        <w:t xml:space="preserve">Hence, for example, Close (2009) was chosen over Davison (2005) because the latter incorporated history of falls as an eligibility criterion for the reactive pathway, a criterion not mentioned in NICE CG161 </w:t>
      </w:r>
      <w:r w:rsidR="000713C8" w:rsidRPr="004C78D8">
        <w:fldChar w:fldCharType="begin"/>
      </w:r>
      <w:r w:rsidR="000713C8"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000713C8" w:rsidRPr="004C78D8">
        <w:fldChar w:fldCharType="separate"/>
      </w:r>
      <w:r w:rsidR="000713C8" w:rsidRPr="004C78D8">
        <w:rPr>
          <w:noProof/>
        </w:rPr>
        <w:t>[13]</w:t>
      </w:r>
      <w:r w:rsidR="000713C8" w:rsidRPr="004C78D8">
        <w:fldChar w:fldCharType="end"/>
      </w:r>
      <w:r w:rsidR="000713C8" w:rsidRPr="004C78D8">
        <w:t xml:space="preserve">. See Section </w:t>
      </w:r>
      <w:r w:rsidR="00F53444" w:rsidRPr="004C78D8">
        <w:t>5</w:t>
      </w:r>
      <w:r w:rsidR="000713C8" w:rsidRPr="004C78D8">
        <w:t>.2.</w:t>
      </w:r>
      <w:r w:rsidR="00AF4128" w:rsidRPr="004C78D8">
        <w:t>4.</w:t>
      </w:r>
      <w:r w:rsidR="000713C8" w:rsidRPr="004C78D8">
        <w:t xml:space="preserve">4 for </w:t>
      </w:r>
      <w:r w:rsidR="00AF4128" w:rsidRPr="004C78D8">
        <w:t>details</w:t>
      </w:r>
      <w:r w:rsidR="00F96510" w:rsidRPr="004C78D8">
        <w:t xml:space="preserve"> on the</w:t>
      </w:r>
      <w:r w:rsidR="000713C8" w:rsidRPr="004C78D8">
        <w:t xml:space="preserve"> RCTs </w:t>
      </w:r>
      <w:r w:rsidR="00A00FE3" w:rsidRPr="004C78D8">
        <w:t>finally</w:t>
      </w:r>
      <w:r w:rsidR="000713C8" w:rsidRPr="004C78D8">
        <w:t xml:space="preserve"> used for parameterisation. </w:t>
      </w:r>
      <w:r w:rsidR="00FE3315" w:rsidRPr="004C78D8">
        <w:t xml:space="preserve">Table E4 in Appendix E describes UK-based RCTs that were </w:t>
      </w:r>
      <w:r w:rsidR="00FE3315" w:rsidRPr="004C78D8">
        <w:rPr>
          <w:i/>
          <w:iCs/>
        </w:rPr>
        <w:t>not</w:t>
      </w:r>
      <w:r w:rsidR="00FE3315" w:rsidRPr="004C78D8">
        <w:t xml:space="preserve"> aligned with current or recommended practice.</w:t>
      </w:r>
    </w:p>
    <w:tbl>
      <w:tblPr>
        <w:tblStyle w:val="TableGrid"/>
        <w:tblW w:w="5000" w:type="pct"/>
        <w:tblLook w:val="04A0" w:firstRow="1" w:lastRow="0" w:firstColumn="1" w:lastColumn="0" w:noHBand="0" w:noVBand="1"/>
      </w:tblPr>
      <w:tblGrid>
        <w:gridCol w:w="1428"/>
        <w:gridCol w:w="1426"/>
        <w:gridCol w:w="1425"/>
        <w:gridCol w:w="4219"/>
        <w:gridCol w:w="518"/>
      </w:tblGrid>
      <w:tr w:rsidR="00A70BF9" w:rsidRPr="004C78D8" w14:paraId="16D14E3E" w14:textId="77777777" w:rsidTr="00E35893">
        <w:tc>
          <w:tcPr>
            <w:tcW w:w="5000" w:type="pct"/>
            <w:gridSpan w:val="5"/>
          </w:tcPr>
          <w:p w14:paraId="1D4FBB4E" w14:textId="0A26D194" w:rsidR="00A70BF9" w:rsidRPr="004C78D8" w:rsidRDefault="00A70BF9" w:rsidP="00FB7C1F">
            <w:bookmarkStart w:id="147" w:name="_Hlk87625095"/>
            <w:r w:rsidRPr="004C78D8">
              <w:rPr>
                <w:b/>
                <w:bCs/>
              </w:rPr>
              <w:t xml:space="preserve">Table </w:t>
            </w:r>
            <w:r w:rsidR="00F53444" w:rsidRPr="004C78D8">
              <w:rPr>
                <w:b/>
                <w:bCs/>
              </w:rPr>
              <w:t>5</w:t>
            </w:r>
            <w:r w:rsidRPr="004C78D8">
              <w:rPr>
                <w:b/>
                <w:bCs/>
              </w:rPr>
              <w:t>.</w:t>
            </w:r>
            <w:r w:rsidR="00FE3315" w:rsidRPr="004C78D8">
              <w:rPr>
                <w:b/>
                <w:bCs/>
              </w:rPr>
              <w:t>3</w:t>
            </w:r>
            <w:r w:rsidRPr="004C78D8">
              <w:t xml:space="preserve"> UK community-based randomised controlled trials of falls prevention interventions aligned with current or recommended practice in Sheffield.</w:t>
            </w:r>
          </w:p>
        </w:tc>
      </w:tr>
      <w:tr w:rsidR="00A70BF9" w:rsidRPr="004C78D8" w14:paraId="6BAB5522" w14:textId="77777777" w:rsidTr="00E35893">
        <w:tc>
          <w:tcPr>
            <w:tcW w:w="792" w:type="pct"/>
          </w:tcPr>
          <w:p w14:paraId="76B36F1F" w14:textId="14587903" w:rsidR="00A70BF9" w:rsidRPr="004C78D8" w:rsidRDefault="0094516A" w:rsidP="00FB7C1F">
            <w:pPr>
              <w:jc w:val="left"/>
              <w:rPr>
                <w:b/>
                <w:bCs/>
                <w:sz w:val="20"/>
                <w:szCs w:val="20"/>
              </w:rPr>
            </w:pPr>
            <w:r w:rsidRPr="004C78D8">
              <w:rPr>
                <w:b/>
                <w:bCs/>
                <w:sz w:val="20"/>
                <w:szCs w:val="20"/>
              </w:rPr>
              <w:t>Intervention type</w:t>
            </w:r>
          </w:p>
        </w:tc>
        <w:tc>
          <w:tcPr>
            <w:tcW w:w="791" w:type="pct"/>
            <w:tcBorders>
              <w:bottom w:val="single" w:sz="4" w:space="0" w:color="auto"/>
            </w:tcBorders>
          </w:tcPr>
          <w:p w14:paraId="5CBAE6DB" w14:textId="30A1C8D1" w:rsidR="00A70BF9" w:rsidRPr="004C78D8" w:rsidRDefault="0094516A" w:rsidP="00FB7C1F">
            <w:pPr>
              <w:jc w:val="left"/>
              <w:rPr>
                <w:b/>
                <w:bCs/>
                <w:sz w:val="20"/>
                <w:szCs w:val="20"/>
              </w:rPr>
            </w:pPr>
            <w:r w:rsidRPr="004C78D8">
              <w:rPr>
                <w:b/>
                <w:bCs/>
                <w:sz w:val="20"/>
                <w:szCs w:val="20"/>
              </w:rPr>
              <w:t>Target population</w:t>
            </w:r>
          </w:p>
        </w:tc>
        <w:tc>
          <w:tcPr>
            <w:tcW w:w="790" w:type="pct"/>
            <w:tcBorders>
              <w:bottom w:val="single" w:sz="4" w:space="0" w:color="auto"/>
            </w:tcBorders>
          </w:tcPr>
          <w:p w14:paraId="09373D4C" w14:textId="77777777" w:rsidR="00A70BF9" w:rsidRPr="004C78D8" w:rsidRDefault="00A70BF9" w:rsidP="00FB7C1F">
            <w:pPr>
              <w:jc w:val="left"/>
              <w:rPr>
                <w:b/>
                <w:bCs/>
                <w:sz w:val="20"/>
                <w:szCs w:val="20"/>
              </w:rPr>
            </w:pPr>
            <w:r w:rsidRPr="004C78D8">
              <w:rPr>
                <w:b/>
                <w:bCs/>
                <w:sz w:val="20"/>
                <w:szCs w:val="20"/>
              </w:rPr>
              <w:t>Reference</w:t>
            </w:r>
          </w:p>
        </w:tc>
        <w:tc>
          <w:tcPr>
            <w:tcW w:w="2340" w:type="pct"/>
            <w:tcBorders>
              <w:bottom w:val="single" w:sz="4" w:space="0" w:color="auto"/>
            </w:tcBorders>
          </w:tcPr>
          <w:p w14:paraId="27374901" w14:textId="77777777" w:rsidR="00A70BF9" w:rsidRPr="004C78D8" w:rsidRDefault="00A70BF9" w:rsidP="00FB7C1F">
            <w:pPr>
              <w:jc w:val="left"/>
              <w:rPr>
                <w:b/>
                <w:bCs/>
                <w:sz w:val="20"/>
                <w:szCs w:val="20"/>
              </w:rPr>
            </w:pPr>
            <w:r w:rsidRPr="004C78D8">
              <w:rPr>
                <w:b/>
                <w:bCs/>
                <w:sz w:val="20"/>
                <w:szCs w:val="20"/>
              </w:rPr>
              <w:t>Description</w:t>
            </w:r>
          </w:p>
        </w:tc>
        <w:tc>
          <w:tcPr>
            <w:tcW w:w="287" w:type="pct"/>
            <w:tcBorders>
              <w:bottom w:val="single" w:sz="4" w:space="0" w:color="auto"/>
            </w:tcBorders>
          </w:tcPr>
          <w:p w14:paraId="0EF86E47" w14:textId="77777777" w:rsidR="00A70BF9" w:rsidRPr="004C78D8" w:rsidRDefault="00A70BF9" w:rsidP="00FB7C1F">
            <w:pPr>
              <w:jc w:val="left"/>
              <w:rPr>
                <w:b/>
                <w:bCs/>
                <w:sz w:val="20"/>
                <w:szCs w:val="20"/>
              </w:rPr>
            </w:pPr>
            <w:r w:rsidRPr="004C78D8">
              <w:rPr>
                <w:b/>
                <w:bCs/>
                <w:sz w:val="20"/>
                <w:szCs w:val="20"/>
              </w:rPr>
              <w:t>N</w:t>
            </w:r>
          </w:p>
        </w:tc>
      </w:tr>
      <w:tr w:rsidR="00A70BF9" w:rsidRPr="004C78D8" w14:paraId="01524B93" w14:textId="77777777" w:rsidTr="00E35893">
        <w:tc>
          <w:tcPr>
            <w:tcW w:w="792" w:type="pct"/>
            <w:vMerge w:val="restart"/>
          </w:tcPr>
          <w:p w14:paraId="26EDF429" w14:textId="77777777" w:rsidR="00A70BF9" w:rsidRPr="004C78D8" w:rsidRDefault="00A70BF9" w:rsidP="00FB7C1F">
            <w:pPr>
              <w:jc w:val="left"/>
              <w:rPr>
                <w:sz w:val="20"/>
                <w:szCs w:val="20"/>
              </w:rPr>
            </w:pPr>
            <w:r w:rsidRPr="004C78D8">
              <w:rPr>
                <w:sz w:val="20"/>
                <w:szCs w:val="20"/>
              </w:rPr>
              <w:t>Multifactorial intervention (n=5)</w:t>
            </w:r>
          </w:p>
        </w:tc>
        <w:tc>
          <w:tcPr>
            <w:tcW w:w="791" w:type="pct"/>
            <w:tcBorders>
              <w:bottom w:val="nil"/>
            </w:tcBorders>
          </w:tcPr>
          <w:p w14:paraId="11BC97A6" w14:textId="77777777" w:rsidR="00A70BF9" w:rsidRPr="004C78D8" w:rsidRDefault="00A70BF9" w:rsidP="00FB7C1F">
            <w:pPr>
              <w:jc w:val="left"/>
              <w:rPr>
                <w:sz w:val="18"/>
                <w:szCs w:val="18"/>
              </w:rPr>
            </w:pPr>
            <w:r w:rsidRPr="004C78D8">
              <w:rPr>
                <w:sz w:val="18"/>
                <w:szCs w:val="18"/>
              </w:rPr>
              <w:t>Reactive</w:t>
            </w:r>
          </w:p>
        </w:tc>
        <w:tc>
          <w:tcPr>
            <w:tcW w:w="790" w:type="pct"/>
            <w:tcBorders>
              <w:bottom w:val="nil"/>
            </w:tcBorders>
          </w:tcPr>
          <w:p w14:paraId="0B126B1D" w14:textId="66CA12CE" w:rsidR="00A70BF9" w:rsidRPr="004C78D8" w:rsidRDefault="00A70BF9" w:rsidP="00FB7C1F">
            <w:pPr>
              <w:jc w:val="left"/>
              <w:rPr>
                <w:sz w:val="18"/>
                <w:szCs w:val="18"/>
              </w:rPr>
            </w:pPr>
            <w:r w:rsidRPr="004C78D8">
              <w:rPr>
                <w:sz w:val="18"/>
                <w:szCs w:val="18"/>
              </w:rPr>
              <w:t xml:space="preserve">Close (2009) </w:t>
            </w:r>
            <w:r w:rsidRPr="004C78D8">
              <w:rPr>
                <w:sz w:val="18"/>
                <w:szCs w:val="18"/>
              </w:rPr>
              <w:fldChar w:fldCharType="begin"/>
            </w:r>
            <w:r w:rsidR="00513646" w:rsidRPr="004C78D8">
              <w:rPr>
                <w:sz w:val="18"/>
                <w:szCs w:val="18"/>
              </w:rPr>
              <w:instrText xml:space="preserve"> ADDIN EN.CITE &lt;EndNote&gt;&lt;Cite&gt;&lt;Author&gt;Close&lt;/Author&gt;&lt;Year&gt;1999&lt;/Year&gt;&lt;RecNum&gt;513&lt;/RecNum&gt;&lt;DisplayText&gt;[62]&lt;/DisplayText&gt;&lt;record&gt;&lt;rec-number&gt;513&lt;/rec-number&gt;&lt;foreign-keys&gt;&lt;key app="EN" db-id="tdtrdw9aepptzbefsat599syza29sxsd2wsp" timestamp="1617903389"&gt;513&lt;/key&gt;&lt;/foreign-keys&gt;&lt;ref-type name="Journal Article"&gt;17&lt;/ref-type&gt;&lt;contributors&gt;&lt;authors&gt;&lt;author&gt;Close, J.&lt;/author&gt;&lt;author&gt;Ellis, M.&lt;/author&gt;&lt;author&gt;Hooper, R.&lt;/author&gt;&lt;author&gt;Glucksman, E.&lt;/author&gt;&lt;author&gt;Jackson, S.&lt;/author&gt;&lt;author&gt;Swift, C.&lt;/author&gt;&lt;/authors&gt;&lt;/contributors&gt;&lt;auth-address&gt;Department of Health Care of the Elderly, Guy&amp;apos;s King&amp;apos;s, and St Thomas&amp;apos; School of Medicine, King&amp;apos;s College Hospital, London, UK. jacqueline.close@kcl.ac.uk&lt;/auth-address&gt;&lt;titles&gt;&lt;title&gt;Prevention of falls in the elderly trial (PROFET): a randomised controlled trial&lt;/title&gt;&lt;secondary-title&gt;Lancet&lt;/secondary-title&gt;&lt;/titles&gt;&lt;periodical&gt;&lt;full-title&gt;Lancet&lt;/full-title&gt;&lt;/periodical&gt;&lt;pages&gt;93-7&lt;/pages&gt;&lt;volume&gt;353&lt;/volume&gt;&lt;number&gt;9147&lt;/number&gt;&lt;keywords&gt;&lt;keyword&gt;Accidental Falls/*prevention &amp;amp; control&lt;/keyword&gt;&lt;keyword&gt;Activities of Daily Living/classification&lt;/keyword&gt;&lt;keyword&gt;Aged&lt;/keyword&gt;&lt;keyword&gt;Aged, 80 and over&lt;/keyword&gt;&lt;keyword&gt;Female&lt;/keyword&gt;&lt;keyword&gt;*Frail Elderly&lt;/keyword&gt;&lt;keyword&gt;Geriatric Assessment&lt;/keyword&gt;&lt;keyword&gt;Humans&lt;/keyword&gt;&lt;keyword&gt;Male&lt;/keyword&gt;&lt;keyword&gt;Occupational Therapy&lt;/keyword&gt;&lt;keyword&gt;*Patient Care Team&lt;/keyword&gt;&lt;keyword&gt;Recurrence&lt;/keyword&gt;&lt;keyword&gt;Referral and Consultation&lt;/keyword&gt;&lt;keyword&gt;Treatment Outcome&lt;/keyword&gt;&lt;/keywords&gt;&lt;dates&gt;&lt;year&gt;1999&lt;/year&gt;&lt;pub-dates&gt;&lt;date&gt;Jan 9&lt;/date&gt;&lt;/pub-dates&gt;&lt;/dates&gt;&lt;isbn&gt;0140-6736 (Print)&amp;#xD;0140-6736 (Linking)&lt;/isbn&gt;&lt;accession-num&gt;10023893&lt;/accession-num&gt;&lt;urls&gt;&lt;related-urls&gt;&lt;url&gt;https://www.ncbi.nlm.nih.gov/pubmed/10023893&lt;/url&gt;&lt;/related-urls&gt;&lt;/urls&gt;&lt;electronic-resource-num&gt;10.1016/S0140-6736(98)06119-4&lt;/electronic-resource-num&gt;&lt;/record&gt;&lt;/Cite&gt;&lt;/EndNote&gt;</w:instrText>
            </w:r>
            <w:r w:rsidRPr="004C78D8">
              <w:rPr>
                <w:sz w:val="18"/>
                <w:szCs w:val="18"/>
              </w:rPr>
              <w:fldChar w:fldCharType="separate"/>
            </w:r>
            <w:r w:rsidR="00513646" w:rsidRPr="004C78D8">
              <w:rPr>
                <w:noProof/>
                <w:sz w:val="18"/>
                <w:szCs w:val="18"/>
              </w:rPr>
              <w:t>[62]</w:t>
            </w:r>
            <w:r w:rsidRPr="004C78D8">
              <w:rPr>
                <w:sz w:val="18"/>
                <w:szCs w:val="18"/>
              </w:rPr>
              <w:fldChar w:fldCharType="end"/>
            </w:r>
          </w:p>
        </w:tc>
        <w:tc>
          <w:tcPr>
            <w:tcW w:w="2340" w:type="pct"/>
            <w:tcBorders>
              <w:bottom w:val="nil"/>
            </w:tcBorders>
          </w:tcPr>
          <w:p w14:paraId="5CA3E6AA" w14:textId="77777777" w:rsidR="00A70BF9" w:rsidRPr="004C78D8" w:rsidRDefault="00A70BF9" w:rsidP="00FB7C1F">
            <w:pPr>
              <w:jc w:val="left"/>
              <w:rPr>
                <w:sz w:val="18"/>
                <w:szCs w:val="18"/>
              </w:rPr>
            </w:pPr>
            <w:r w:rsidRPr="004C78D8">
              <w:rPr>
                <w:sz w:val="18"/>
                <w:szCs w:val="18"/>
              </w:rPr>
              <w:t>For cognitively intact persons aged 65+ admitted to A&amp;E for fall; medical and OT assessment and treatment at geriatric day hospitals</w:t>
            </w:r>
          </w:p>
        </w:tc>
        <w:tc>
          <w:tcPr>
            <w:tcW w:w="287" w:type="pct"/>
            <w:tcBorders>
              <w:bottom w:val="nil"/>
            </w:tcBorders>
          </w:tcPr>
          <w:p w14:paraId="16D4EB44" w14:textId="77777777" w:rsidR="00A70BF9" w:rsidRPr="004C78D8" w:rsidRDefault="00A70BF9" w:rsidP="00FB7C1F">
            <w:pPr>
              <w:jc w:val="left"/>
              <w:rPr>
                <w:sz w:val="20"/>
                <w:szCs w:val="20"/>
              </w:rPr>
            </w:pPr>
            <w:r w:rsidRPr="004C78D8">
              <w:rPr>
                <w:sz w:val="20"/>
                <w:szCs w:val="20"/>
              </w:rPr>
              <w:t>2</w:t>
            </w:r>
          </w:p>
        </w:tc>
      </w:tr>
      <w:tr w:rsidR="00A70BF9" w:rsidRPr="004C78D8" w14:paraId="0406F811" w14:textId="77777777" w:rsidTr="00E35893">
        <w:tc>
          <w:tcPr>
            <w:tcW w:w="792" w:type="pct"/>
            <w:vMerge/>
          </w:tcPr>
          <w:p w14:paraId="4D29FEE6" w14:textId="77777777" w:rsidR="00A70BF9" w:rsidRPr="004C78D8" w:rsidRDefault="00A70BF9" w:rsidP="00FB7C1F">
            <w:pPr>
              <w:jc w:val="left"/>
              <w:rPr>
                <w:sz w:val="20"/>
                <w:szCs w:val="20"/>
              </w:rPr>
            </w:pPr>
          </w:p>
        </w:tc>
        <w:tc>
          <w:tcPr>
            <w:tcW w:w="791" w:type="pct"/>
            <w:tcBorders>
              <w:top w:val="nil"/>
              <w:bottom w:val="nil"/>
            </w:tcBorders>
          </w:tcPr>
          <w:p w14:paraId="5F2495BF" w14:textId="77777777" w:rsidR="00A70BF9" w:rsidRPr="004C78D8" w:rsidRDefault="00A70BF9" w:rsidP="00FB7C1F">
            <w:pPr>
              <w:jc w:val="left"/>
              <w:rPr>
                <w:sz w:val="18"/>
                <w:szCs w:val="18"/>
              </w:rPr>
            </w:pPr>
          </w:p>
        </w:tc>
        <w:tc>
          <w:tcPr>
            <w:tcW w:w="790" w:type="pct"/>
            <w:tcBorders>
              <w:top w:val="nil"/>
              <w:bottom w:val="nil"/>
            </w:tcBorders>
          </w:tcPr>
          <w:p w14:paraId="19919DAD" w14:textId="37AFBB2B" w:rsidR="00A70BF9" w:rsidRPr="004C78D8" w:rsidRDefault="00A70BF9" w:rsidP="00FB7C1F">
            <w:pPr>
              <w:jc w:val="left"/>
              <w:rPr>
                <w:sz w:val="18"/>
                <w:szCs w:val="18"/>
              </w:rPr>
            </w:pPr>
            <w:r w:rsidRPr="004C78D8">
              <w:rPr>
                <w:sz w:val="18"/>
                <w:szCs w:val="18"/>
              </w:rPr>
              <w:t xml:space="preserve">Davison (2005) </w:t>
            </w:r>
            <w:r w:rsidRPr="004C78D8">
              <w:rPr>
                <w:sz w:val="18"/>
                <w:szCs w:val="18"/>
              </w:rPr>
              <w:fldChar w:fldCharType="begin"/>
            </w:r>
            <w:r w:rsidR="00C630FC" w:rsidRPr="004C78D8">
              <w:rPr>
                <w:sz w:val="18"/>
                <w:szCs w:val="18"/>
              </w:rPr>
              <w:instrText xml:space="preserve"> ADDIN EN.CITE &lt;EndNote&gt;&lt;Cite&gt;&lt;Author&gt;Davison&lt;/Author&gt;&lt;Year&gt;2005&lt;/Year&gt;&lt;RecNum&gt;541&lt;/RecNum&gt;&lt;DisplayText&gt;[383]&lt;/DisplayText&gt;&lt;record&gt;&lt;rec-number&gt;541&lt;/rec-number&gt;&lt;foreign-keys&gt;&lt;key app="EN" db-id="tdtrdw9aepptzbefsat599syza29sxsd2wsp" timestamp="1618610885"&gt;541&lt;/key&gt;&lt;/foreign-keys&gt;&lt;ref-type name="Journal Article"&gt;17&lt;/ref-type&gt;&lt;contributors&gt;&lt;authors&gt;&lt;author&gt;Davison, John&lt;/author&gt;&lt;author&gt;Bond, John&lt;/author&gt;&lt;author&gt;Dawson, Pamela&lt;/author&gt;&lt;author&gt;Steen, I Nicholas&lt;/author&gt;&lt;author&gt;Kenny, Rose Anne&lt;/author&gt;&lt;/authors&gt;&lt;/contributors&gt;&lt;titles&gt;&lt;title&gt;Patients with recurrent falls attending Accident &amp;amp; Emergency benefit from multifactorial intervention—a randomised controlled trial&lt;/title&gt;&lt;secondary-title&gt;Age and ageing&lt;/secondary-title&gt;&lt;/titles&gt;&lt;periodical&gt;&lt;full-title&gt;Age and ageing&lt;/full-title&gt;&lt;/periodical&gt;&lt;pages&gt;162-168&lt;/pages&gt;&lt;volume&gt;34&lt;/volume&gt;&lt;number&gt;2&lt;/number&gt;&lt;dates&gt;&lt;year&gt;2005&lt;/year&gt;&lt;/dates&gt;&lt;isbn&gt;1468-2834&lt;/isbn&gt;&lt;urls&gt;&lt;/urls&gt;&lt;/record&gt;&lt;/Cite&gt;&lt;/EndNote&gt;</w:instrText>
            </w:r>
            <w:r w:rsidRPr="004C78D8">
              <w:rPr>
                <w:sz w:val="18"/>
                <w:szCs w:val="18"/>
              </w:rPr>
              <w:fldChar w:fldCharType="separate"/>
            </w:r>
            <w:r w:rsidR="00C630FC" w:rsidRPr="004C78D8">
              <w:rPr>
                <w:noProof/>
                <w:sz w:val="18"/>
                <w:szCs w:val="18"/>
              </w:rPr>
              <w:t>[383]</w:t>
            </w:r>
            <w:r w:rsidRPr="004C78D8">
              <w:rPr>
                <w:sz w:val="18"/>
                <w:szCs w:val="18"/>
              </w:rPr>
              <w:fldChar w:fldCharType="end"/>
            </w:r>
          </w:p>
        </w:tc>
        <w:tc>
          <w:tcPr>
            <w:tcW w:w="2340" w:type="pct"/>
            <w:tcBorders>
              <w:top w:val="nil"/>
              <w:bottom w:val="nil"/>
            </w:tcBorders>
          </w:tcPr>
          <w:p w14:paraId="025AAECC" w14:textId="77777777" w:rsidR="00A70BF9" w:rsidRPr="004C78D8" w:rsidRDefault="00A70BF9" w:rsidP="00FB7C1F">
            <w:pPr>
              <w:jc w:val="left"/>
              <w:rPr>
                <w:sz w:val="18"/>
                <w:szCs w:val="18"/>
              </w:rPr>
            </w:pPr>
            <w:r w:rsidRPr="004C78D8">
              <w:rPr>
                <w:sz w:val="18"/>
                <w:szCs w:val="18"/>
              </w:rPr>
              <w:t xml:space="preserve">For cognitively intact persons aged 65+ admitted to A&amp;E for fall </w:t>
            </w:r>
            <w:r w:rsidRPr="004C78D8">
              <w:rPr>
                <w:i/>
                <w:iCs/>
                <w:sz w:val="18"/>
                <w:szCs w:val="18"/>
              </w:rPr>
              <w:t xml:space="preserve">and </w:t>
            </w:r>
            <w:r w:rsidRPr="004C78D8">
              <w:rPr>
                <w:sz w:val="18"/>
                <w:szCs w:val="18"/>
              </w:rPr>
              <w:t>has history of falls; medical, PT and OT assessment and treatment at general hospitals</w:t>
            </w:r>
          </w:p>
        </w:tc>
        <w:tc>
          <w:tcPr>
            <w:tcW w:w="287" w:type="pct"/>
            <w:tcBorders>
              <w:top w:val="nil"/>
              <w:bottom w:val="nil"/>
            </w:tcBorders>
          </w:tcPr>
          <w:p w14:paraId="6BF07D62" w14:textId="77777777" w:rsidR="00A70BF9" w:rsidRPr="004C78D8" w:rsidRDefault="00A70BF9" w:rsidP="00FB7C1F">
            <w:pPr>
              <w:jc w:val="left"/>
              <w:rPr>
                <w:sz w:val="20"/>
                <w:szCs w:val="20"/>
              </w:rPr>
            </w:pPr>
          </w:p>
        </w:tc>
      </w:tr>
      <w:tr w:rsidR="00A70BF9" w:rsidRPr="004C78D8" w14:paraId="604E500C" w14:textId="77777777" w:rsidTr="00E35893">
        <w:tc>
          <w:tcPr>
            <w:tcW w:w="792" w:type="pct"/>
            <w:vMerge/>
          </w:tcPr>
          <w:p w14:paraId="1A67581B" w14:textId="77777777" w:rsidR="00A70BF9" w:rsidRPr="004C78D8" w:rsidRDefault="00A70BF9" w:rsidP="00FB7C1F">
            <w:pPr>
              <w:jc w:val="left"/>
              <w:rPr>
                <w:sz w:val="20"/>
                <w:szCs w:val="20"/>
              </w:rPr>
            </w:pPr>
          </w:p>
        </w:tc>
        <w:tc>
          <w:tcPr>
            <w:tcW w:w="791" w:type="pct"/>
            <w:tcBorders>
              <w:top w:val="nil"/>
              <w:bottom w:val="nil"/>
            </w:tcBorders>
          </w:tcPr>
          <w:p w14:paraId="09ABB291" w14:textId="77777777" w:rsidR="00A70BF9" w:rsidRPr="004C78D8" w:rsidRDefault="00A70BF9" w:rsidP="00FB7C1F">
            <w:pPr>
              <w:jc w:val="left"/>
              <w:rPr>
                <w:sz w:val="18"/>
                <w:szCs w:val="18"/>
              </w:rPr>
            </w:pPr>
            <w:r w:rsidRPr="004C78D8">
              <w:rPr>
                <w:sz w:val="18"/>
                <w:szCs w:val="18"/>
              </w:rPr>
              <w:t>Reactive &amp; CI-friendly</w:t>
            </w:r>
          </w:p>
        </w:tc>
        <w:tc>
          <w:tcPr>
            <w:tcW w:w="790" w:type="pct"/>
            <w:tcBorders>
              <w:top w:val="nil"/>
              <w:bottom w:val="nil"/>
            </w:tcBorders>
          </w:tcPr>
          <w:p w14:paraId="1AEE2557" w14:textId="72EC758C" w:rsidR="00A70BF9" w:rsidRPr="004C78D8" w:rsidRDefault="00A70BF9" w:rsidP="00FB7C1F">
            <w:pPr>
              <w:jc w:val="left"/>
              <w:rPr>
                <w:sz w:val="18"/>
                <w:szCs w:val="18"/>
              </w:rPr>
            </w:pPr>
            <w:r w:rsidRPr="004C78D8">
              <w:rPr>
                <w:sz w:val="18"/>
                <w:szCs w:val="18"/>
              </w:rPr>
              <w:t xml:space="preserve">Shaw (2003) </w:t>
            </w:r>
            <w:r w:rsidRPr="004C78D8">
              <w:rPr>
                <w:sz w:val="18"/>
                <w:szCs w:val="18"/>
              </w:rPr>
              <w:fldChar w:fldCharType="begin"/>
            </w:r>
            <w:r w:rsidR="00C630FC" w:rsidRPr="004C78D8">
              <w:rPr>
                <w:sz w:val="18"/>
                <w:szCs w:val="18"/>
              </w:rPr>
              <w:instrText xml:space="preserve"> ADDIN EN.CITE &lt;EndNote&gt;&lt;Cite&gt;&lt;Author&gt;Shaw&lt;/Author&gt;&lt;Year&gt;2003&lt;/Year&gt;&lt;RecNum&gt;514&lt;/RecNum&gt;&lt;DisplayText&gt;[384]&lt;/DisplayText&gt;&lt;record&gt;&lt;rec-number&gt;514&lt;/rec-number&gt;&lt;foreign-keys&gt;&lt;key app="EN" db-id="tdtrdw9aepptzbefsat599syza29sxsd2wsp" timestamp="1617903616"&gt;514&lt;/key&gt;&lt;/foreign-keys&gt;&lt;ref-type name="Journal Article"&gt;17&lt;/ref-type&gt;&lt;contributors&gt;&lt;authors&gt;&lt;author&gt;Shaw, Fiona E&lt;/author&gt;&lt;author&gt;Bond, John&lt;/author&gt;&lt;author&gt;Richardson, David A&lt;/author&gt;&lt;author&gt;Dawson, Pamela&lt;/author&gt;&lt;author&gt;Steen, I Nicholas&lt;/author&gt;&lt;author&gt;McKeith, Ian G&lt;/author&gt;&lt;author&gt;Kenny, Rose Anne&lt;/author&gt;&lt;/authors&gt;&lt;/contributors&gt;&lt;titles&gt;&lt;title&gt;Multifactorial intervention after a fall in older people with cognitive impairment and dementia presenting to the accident and emergency department: randomised controlled trial&lt;/title&gt;&lt;secondary-title&gt;BMJ: British medical journal&lt;/secondary-title&gt;&lt;/titles&gt;&lt;periodical&gt;&lt;full-title&gt;BMJ: British medical journal&lt;/full-title&gt;&lt;/periodical&gt;&lt;pages&gt;73&lt;/pages&gt;&lt;volume&gt;326&lt;/volume&gt;&lt;number&gt;7380&lt;/number&gt;&lt;dates&gt;&lt;year&gt;2003&lt;/year&gt;&lt;/dates&gt;&lt;urls&gt;&lt;/urls&gt;&lt;/record&gt;&lt;/Cite&gt;&lt;/EndNote&gt;</w:instrText>
            </w:r>
            <w:r w:rsidRPr="004C78D8">
              <w:rPr>
                <w:sz w:val="18"/>
                <w:szCs w:val="18"/>
              </w:rPr>
              <w:fldChar w:fldCharType="separate"/>
            </w:r>
            <w:r w:rsidR="00C630FC" w:rsidRPr="004C78D8">
              <w:rPr>
                <w:noProof/>
                <w:sz w:val="18"/>
                <w:szCs w:val="18"/>
              </w:rPr>
              <w:t>[384]</w:t>
            </w:r>
            <w:r w:rsidRPr="004C78D8">
              <w:rPr>
                <w:sz w:val="18"/>
                <w:szCs w:val="18"/>
              </w:rPr>
              <w:fldChar w:fldCharType="end"/>
            </w:r>
          </w:p>
        </w:tc>
        <w:tc>
          <w:tcPr>
            <w:tcW w:w="2340" w:type="pct"/>
            <w:tcBorders>
              <w:top w:val="nil"/>
              <w:bottom w:val="nil"/>
            </w:tcBorders>
          </w:tcPr>
          <w:p w14:paraId="3D1B4B14" w14:textId="77777777" w:rsidR="00A70BF9" w:rsidRPr="004C78D8" w:rsidRDefault="00A70BF9" w:rsidP="00FB7C1F">
            <w:pPr>
              <w:jc w:val="left"/>
              <w:rPr>
                <w:sz w:val="18"/>
                <w:szCs w:val="18"/>
              </w:rPr>
            </w:pPr>
            <w:r w:rsidRPr="004C78D8">
              <w:rPr>
                <w:sz w:val="18"/>
                <w:szCs w:val="18"/>
              </w:rPr>
              <w:t>For cognitively impaired persons aged 65+ admitted to A&amp;E for fall; medical, PT and OT assessment and intervention</w:t>
            </w:r>
          </w:p>
        </w:tc>
        <w:tc>
          <w:tcPr>
            <w:tcW w:w="287" w:type="pct"/>
            <w:tcBorders>
              <w:top w:val="nil"/>
              <w:bottom w:val="nil"/>
            </w:tcBorders>
          </w:tcPr>
          <w:p w14:paraId="5B1C1B40" w14:textId="77777777" w:rsidR="00A70BF9" w:rsidRPr="004C78D8" w:rsidRDefault="00A70BF9" w:rsidP="00FB7C1F">
            <w:pPr>
              <w:jc w:val="left"/>
              <w:rPr>
                <w:sz w:val="20"/>
                <w:szCs w:val="20"/>
              </w:rPr>
            </w:pPr>
            <w:r w:rsidRPr="004C78D8">
              <w:rPr>
                <w:sz w:val="20"/>
                <w:szCs w:val="20"/>
              </w:rPr>
              <w:t>1</w:t>
            </w:r>
          </w:p>
        </w:tc>
      </w:tr>
      <w:tr w:rsidR="00A70BF9" w:rsidRPr="004C78D8" w14:paraId="2FC0DB78" w14:textId="77777777" w:rsidTr="00E35893">
        <w:tc>
          <w:tcPr>
            <w:tcW w:w="792" w:type="pct"/>
            <w:vMerge/>
          </w:tcPr>
          <w:p w14:paraId="3761C87B" w14:textId="77777777" w:rsidR="00A70BF9" w:rsidRPr="004C78D8" w:rsidRDefault="00A70BF9" w:rsidP="00FB7C1F">
            <w:pPr>
              <w:jc w:val="left"/>
              <w:rPr>
                <w:sz w:val="20"/>
                <w:szCs w:val="20"/>
              </w:rPr>
            </w:pPr>
          </w:p>
        </w:tc>
        <w:tc>
          <w:tcPr>
            <w:tcW w:w="791" w:type="pct"/>
            <w:tcBorders>
              <w:top w:val="nil"/>
              <w:bottom w:val="nil"/>
            </w:tcBorders>
          </w:tcPr>
          <w:p w14:paraId="3D54F4A5" w14:textId="77777777" w:rsidR="00A70BF9" w:rsidRPr="004C78D8" w:rsidRDefault="00A70BF9" w:rsidP="00FB7C1F">
            <w:pPr>
              <w:jc w:val="left"/>
              <w:rPr>
                <w:sz w:val="18"/>
                <w:szCs w:val="18"/>
              </w:rPr>
            </w:pPr>
            <w:r w:rsidRPr="004C78D8">
              <w:rPr>
                <w:sz w:val="18"/>
                <w:szCs w:val="18"/>
              </w:rPr>
              <w:t>Proactive</w:t>
            </w:r>
          </w:p>
        </w:tc>
        <w:tc>
          <w:tcPr>
            <w:tcW w:w="790" w:type="pct"/>
            <w:tcBorders>
              <w:top w:val="nil"/>
              <w:bottom w:val="nil"/>
            </w:tcBorders>
          </w:tcPr>
          <w:p w14:paraId="7F3A2F3C" w14:textId="19230121" w:rsidR="00A70BF9" w:rsidRPr="004C78D8" w:rsidRDefault="00A70BF9" w:rsidP="00FB7C1F">
            <w:pPr>
              <w:jc w:val="left"/>
              <w:rPr>
                <w:sz w:val="18"/>
                <w:szCs w:val="18"/>
              </w:rPr>
            </w:pPr>
            <w:r w:rsidRPr="004C78D8">
              <w:rPr>
                <w:sz w:val="18"/>
                <w:szCs w:val="18"/>
              </w:rPr>
              <w:t xml:space="preserve">Conroy (2010) </w:t>
            </w:r>
            <w:r w:rsidRPr="004C78D8">
              <w:rPr>
                <w:sz w:val="18"/>
                <w:szCs w:val="18"/>
              </w:rPr>
              <w:fldChar w:fldCharType="begin"/>
            </w:r>
            <w:r w:rsidR="00513646" w:rsidRPr="004C78D8">
              <w:rPr>
                <w:sz w:val="18"/>
                <w:szCs w:val="18"/>
              </w:rPr>
              <w:instrText xml:space="preserve"> ADDIN EN.CITE &lt;EndNote&gt;&lt;Cite&gt;&lt;Author&gt;Conroy&lt;/Author&gt;&lt;Year&gt;2010&lt;/Year&gt;&lt;RecNum&gt;162&lt;/RecNum&gt;&lt;DisplayText&gt;[25]&lt;/DisplayText&gt;&lt;record&gt;&lt;rec-number&gt;162&lt;/rec-number&gt;&lt;foreign-keys&gt;&lt;key app="EN" db-id="tdtrdw9aepptzbefsat599syza29sxsd2wsp" timestamp="1609258180"&gt;162&lt;/key&gt;&lt;/foreign-keys&gt;&lt;ref-type name="Journal Article"&gt;17&lt;/ref-type&gt;&lt;contributors&gt;&lt;authors&gt;&lt;author&gt;Conroy, Simon&lt;/author&gt;&lt;author&gt;Kendrick, Denise&lt;/author&gt;&lt;author&gt;Harwood, Rowan&lt;/author&gt;&lt;author&gt;Gladman, John&lt;/author&gt;&lt;author&gt;Coupland, Carol&lt;/author&gt;&lt;author&gt;Sach, Tracey&lt;/author&gt;&lt;author&gt;Drummond, Avril&lt;/author&gt;&lt;author&gt;Youde, Jane&lt;/author&gt;&lt;author&gt;Edmans, Judi&lt;/author&gt;&lt;author&gt;Masud, Tahir&lt;/author&gt;&lt;/authors&gt;&lt;/contributors&gt;&lt;titles&gt;&lt;title&gt;A multicentre randomised controlled trial of day hospital-based falls prevention programme for a screened population of community-dwelling older people at high risk of falls&lt;/title&gt;&lt;secondary-title&gt;Age and Ageing&lt;/secondary-title&gt;&lt;/titles&gt;&lt;periodical&gt;&lt;full-title&gt;Age and ageing&lt;/full-title&gt;&lt;/periodical&gt;&lt;pages&gt;704-710&lt;/pages&gt;&lt;volume&gt;39&lt;/volume&gt;&lt;number&gt;6&lt;/number&gt;&lt;dates&gt;&lt;year&gt;2010&lt;/year&gt;&lt;/dates&gt;&lt;isbn&gt;1468-2834&lt;/isbn&gt;&lt;urls&gt;&lt;/urls&gt;&lt;/record&gt;&lt;/Cite&gt;&lt;/EndNote&gt;</w:instrText>
            </w:r>
            <w:r w:rsidRPr="004C78D8">
              <w:rPr>
                <w:sz w:val="18"/>
                <w:szCs w:val="18"/>
              </w:rPr>
              <w:fldChar w:fldCharType="separate"/>
            </w:r>
            <w:r w:rsidR="00513646" w:rsidRPr="004C78D8">
              <w:rPr>
                <w:noProof/>
                <w:sz w:val="18"/>
                <w:szCs w:val="18"/>
              </w:rPr>
              <w:t>[25]</w:t>
            </w:r>
            <w:r w:rsidRPr="004C78D8">
              <w:rPr>
                <w:sz w:val="18"/>
                <w:szCs w:val="18"/>
              </w:rPr>
              <w:fldChar w:fldCharType="end"/>
            </w:r>
          </w:p>
        </w:tc>
        <w:tc>
          <w:tcPr>
            <w:tcW w:w="2340" w:type="pct"/>
            <w:tcBorders>
              <w:top w:val="nil"/>
              <w:bottom w:val="nil"/>
            </w:tcBorders>
          </w:tcPr>
          <w:p w14:paraId="76331411" w14:textId="77777777" w:rsidR="00A70BF9" w:rsidRPr="004C78D8" w:rsidRDefault="00A70BF9" w:rsidP="00FB7C1F">
            <w:pPr>
              <w:jc w:val="left"/>
              <w:rPr>
                <w:sz w:val="18"/>
                <w:szCs w:val="18"/>
              </w:rPr>
            </w:pPr>
            <w:r w:rsidRPr="004C78D8">
              <w:rPr>
                <w:sz w:val="18"/>
                <w:szCs w:val="18"/>
              </w:rPr>
              <w:t>For cognitively intact persons aged 70+ screened to be high falls risk by fall history or FRAT; medical, PT and OT assessment and intervention at geriatric day hospitals</w:t>
            </w:r>
          </w:p>
        </w:tc>
        <w:tc>
          <w:tcPr>
            <w:tcW w:w="287" w:type="pct"/>
            <w:tcBorders>
              <w:top w:val="nil"/>
              <w:bottom w:val="nil"/>
            </w:tcBorders>
          </w:tcPr>
          <w:p w14:paraId="2095D95F" w14:textId="77777777" w:rsidR="00A70BF9" w:rsidRPr="004C78D8" w:rsidRDefault="00A70BF9" w:rsidP="00FB7C1F">
            <w:pPr>
              <w:jc w:val="left"/>
              <w:rPr>
                <w:sz w:val="20"/>
                <w:szCs w:val="20"/>
              </w:rPr>
            </w:pPr>
            <w:r w:rsidRPr="004C78D8">
              <w:rPr>
                <w:sz w:val="20"/>
                <w:szCs w:val="20"/>
              </w:rPr>
              <w:t>2</w:t>
            </w:r>
          </w:p>
        </w:tc>
      </w:tr>
      <w:tr w:rsidR="00A70BF9" w:rsidRPr="004C78D8" w14:paraId="2578E32A" w14:textId="77777777" w:rsidTr="00E35893">
        <w:tc>
          <w:tcPr>
            <w:tcW w:w="792" w:type="pct"/>
            <w:vMerge/>
          </w:tcPr>
          <w:p w14:paraId="14B048CA" w14:textId="77777777" w:rsidR="00A70BF9" w:rsidRPr="004C78D8" w:rsidRDefault="00A70BF9" w:rsidP="00FB7C1F">
            <w:pPr>
              <w:jc w:val="left"/>
              <w:rPr>
                <w:sz w:val="20"/>
                <w:szCs w:val="20"/>
              </w:rPr>
            </w:pPr>
          </w:p>
        </w:tc>
        <w:tc>
          <w:tcPr>
            <w:tcW w:w="791" w:type="pct"/>
            <w:tcBorders>
              <w:top w:val="nil"/>
              <w:bottom w:val="nil"/>
            </w:tcBorders>
          </w:tcPr>
          <w:p w14:paraId="49E517B8" w14:textId="77777777" w:rsidR="00A70BF9" w:rsidRPr="004C78D8" w:rsidRDefault="00A70BF9" w:rsidP="00FB7C1F">
            <w:pPr>
              <w:jc w:val="left"/>
              <w:rPr>
                <w:sz w:val="18"/>
                <w:szCs w:val="18"/>
              </w:rPr>
            </w:pPr>
          </w:p>
        </w:tc>
        <w:tc>
          <w:tcPr>
            <w:tcW w:w="790" w:type="pct"/>
            <w:tcBorders>
              <w:top w:val="nil"/>
              <w:bottom w:val="nil"/>
            </w:tcBorders>
          </w:tcPr>
          <w:p w14:paraId="74CBB95E" w14:textId="29398D1D" w:rsidR="00A70BF9" w:rsidRPr="004C78D8" w:rsidRDefault="00A70BF9" w:rsidP="00FB7C1F">
            <w:pPr>
              <w:jc w:val="left"/>
              <w:rPr>
                <w:sz w:val="18"/>
                <w:szCs w:val="18"/>
              </w:rPr>
            </w:pPr>
            <w:r w:rsidRPr="004C78D8">
              <w:rPr>
                <w:sz w:val="18"/>
                <w:szCs w:val="18"/>
              </w:rPr>
              <w:t xml:space="preserve">Spice (2009) </w:t>
            </w:r>
            <w:r w:rsidRPr="004C78D8">
              <w:rPr>
                <w:sz w:val="18"/>
                <w:szCs w:val="18"/>
              </w:rPr>
              <w:fldChar w:fldCharType="begin"/>
            </w:r>
            <w:r w:rsidR="00C630FC" w:rsidRPr="004C78D8">
              <w:rPr>
                <w:sz w:val="18"/>
                <w:szCs w:val="18"/>
              </w:rPr>
              <w:instrText xml:space="preserve"> ADDIN EN.CITE &lt;EndNote&gt;&lt;Cite&gt;&lt;Author&gt;Spice&lt;/Author&gt;&lt;Year&gt;2009&lt;/Year&gt;&lt;RecNum&gt;515&lt;/RecNum&gt;&lt;DisplayText&gt;[385]&lt;/DisplayText&gt;&lt;record&gt;&lt;rec-number&gt;515&lt;/rec-number&gt;&lt;foreign-keys&gt;&lt;key app="EN" db-id="tdtrdw9aepptzbefsat599syza29sxsd2wsp" timestamp="1617909863"&gt;515&lt;/key&gt;&lt;/foreign-keys&gt;&lt;ref-type name="Journal Article"&gt;17&lt;/ref-type&gt;&lt;contributors&gt;&lt;authors&gt;&lt;author&gt;Spice, Claire L&lt;/author&gt;&lt;author&gt;Morotti, Wendy&lt;/author&gt;&lt;author&gt;George, Steve&lt;/author&gt;&lt;author&gt;Dent, Thomas HS&lt;/author&gt;&lt;author&gt;Rose, Jim&lt;/author&gt;&lt;author&gt;Harris, Scott&lt;/author&gt;&lt;author&gt;Gordon, Christopher J&lt;/author&gt;&lt;/authors&gt;&lt;/contributors&gt;&lt;titles&gt;&lt;title&gt;The Winchester falls project: a randomised controlled trial of secondary prevention of falls in older people&lt;/title&gt;&lt;secondary-title&gt;Age and ageing&lt;/secondary-title&gt;&lt;/titles&gt;&lt;periodical&gt;&lt;full-title&gt;Age and ageing&lt;/full-title&gt;&lt;/periodical&gt;&lt;pages&gt;33-40&lt;/pages&gt;&lt;volume&gt;38&lt;/volume&gt;&lt;number&gt;1&lt;/number&gt;&lt;dates&gt;&lt;year&gt;2009&lt;/year&gt;&lt;/dates&gt;&lt;isbn&gt;1468-2834&lt;/isbn&gt;&lt;urls&gt;&lt;/urls&gt;&lt;/record&gt;&lt;/Cite&gt;&lt;/EndNote&gt;</w:instrText>
            </w:r>
            <w:r w:rsidRPr="004C78D8">
              <w:rPr>
                <w:sz w:val="18"/>
                <w:szCs w:val="18"/>
              </w:rPr>
              <w:fldChar w:fldCharType="separate"/>
            </w:r>
            <w:r w:rsidR="00C630FC" w:rsidRPr="004C78D8">
              <w:rPr>
                <w:noProof/>
                <w:sz w:val="18"/>
                <w:szCs w:val="18"/>
              </w:rPr>
              <w:t>[385]</w:t>
            </w:r>
            <w:r w:rsidRPr="004C78D8">
              <w:rPr>
                <w:sz w:val="18"/>
                <w:szCs w:val="18"/>
              </w:rPr>
              <w:fldChar w:fldCharType="end"/>
            </w:r>
          </w:p>
        </w:tc>
        <w:tc>
          <w:tcPr>
            <w:tcW w:w="2340" w:type="pct"/>
            <w:tcBorders>
              <w:top w:val="nil"/>
              <w:bottom w:val="nil"/>
            </w:tcBorders>
          </w:tcPr>
          <w:p w14:paraId="46934EF2" w14:textId="77777777" w:rsidR="00A70BF9" w:rsidRPr="004C78D8" w:rsidRDefault="00A70BF9" w:rsidP="00FB7C1F">
            <w:pPr>
              <w:jc w:val="left"/>
              <w:rPr>
                <w:sz w:val="18"/>
                <w:szCs w:val="18"/>
              </w:rPr>
            </w:pPr>
            <w:r w:rsidRPr="004C78D8">
              <w:rPr>
                <w:sz w:val="18"/>
                <w:szCs w:val="18"/>
              </w:rPr>
              <w:t xml:space="preserve">For cognitively intact persons aged 65+ with recurrent falls history </w:t>
            </w:r>
            <w:r w:rsidRPr="004C78D8">
              <w:rPr>
                <w:i/>
                <w:iCs/>
                <w:sz w:val="18"/>
                <w:szCs w:val="18"/>
              </w:rPr>
              <w:t xml:space="preserve">and </w:t>
            </w:r>
            <w:r w:rsidRPr="004C78D8">
              <w:rPr>
                <w:sz w:val="18"/>
                <w:szCs w:val="18"/>
              </w:rPr>
              <w:t xml:space="preserve">no A&amp;E admission for most recent </w:t>
            </w:r>
            <w:r w:rsidRPr="004C78D8">
              <w:rPr>
                <w:sz w:val="18"/>
                <w:szCs w:val="18"/>
              </w:rPr>
              <w:lastRenderedPageBreak/>
              <w:t>fall; medical, PT and OT assessment and intervention at multidisciplinary secondary care clinic</w:t>
            </w:r>
            <w:r w:rsidRPr="004C78D8">
              <w:rPr>
                <w:sz w:val="18"/>
                <w:szCs w:val="18"/>
                <w:vertAlign w:val="superscript"/>
              </w:rPr>
              <w:t>1</w:t>
            </w:r>
          </w:p>
        </w:tc>
        <w:tc>
          <w:tcPr>
            <w:tcW w:w="287" w:type="pct"/>
            <w:tcBorders>
              <w:top w:val="nil"/>
              <w:bottom w:val="nil"/>
            </w:tcBorders>
          </w:tcPr>
          <w:p w14:paraId="1C48873D" w14:textId="77777777" w:rsidR="00A70BF9" w:rsidRPr="004C78D8" w:rsidRDefault="00A70BF9" w:rsidP="00FB7C1F">
            <w:pPr>
              <w:jc w:val="left"/>
              <w:rPr>
                <w:sz w:val="20"/>
                <w:szCs w:val="20"/>
              </w:rPr>
            </w:pPr>
          </w:p>
        </w:tc>
      </w:tr>
      <w:tr w:rsidR="00A70BF9" w:rsidRPr="004C78D8" w14:paraId="0D05DB53" w14:textId="77777777" w:rsidTr="00E35893">
        <w:tc>
          <w:tcPr>
            <w:tcW w:w="792" w:type="pct"/>
            <w:vMerge w:val="restart"/>
          </w:tcPr>
          <w:p w14:paraId="29AF77FC" w14:textId="77777777" w:rsidR="00A70BF9" w:rsidRPr="004C78D8" w:rsidRDefault="00A70BF9" w:rsidP="00FB7C1F">
            <w:pPr>
              <w:jc w:val="left"/>
              <w:rPr>
                <w:sz w:val="20"/>
                <w:szCs w:val="20"/>
              </w:rPr>
            </w:pPr>
            <w:r w:rsidRPr="004C78D8">
              <w:rPr>
                <w:sz w:val="20"/>
                <w:szCs w:val="20"/>
              </w:rPr>
              <w:t>Exercise (n=6)</w:t>
            </w:r>
          </w:p>
        </w:tc>
        <w:tc>
          <w:tcPr>
            <w:tcW w:w="791" w:type="pct"/>
            <w:tcBorders>
              <w:bottom w:val="nil"/>
            </w:tcBorders>
          </w:tcPr>
          <w:p w14:paraId="4B9ABB17" w14:textId="77777777" w:rsidR="00A70BF9" w:rsidRPr="004C78D8" w:rsidRDefault="00A70BF9" w:rsidP="00FB7C1F">
            <w:pPr>
              <w:jc w:val="left"/>
              <w:rPr>
                <w:sz w:val="18"/>
                <w:szCs w:val="18"/>
              </w:rPr>
            </w:pPr>
            <w:r w:rsidRPr="004C78D8">
              <w:rPr>
                <w:sz w:val="18"/>
                <w:szCs w:val="18"/>
              </w:rPr>
              <w:t>General-risk group</w:t>
            </w:r>
          </w:p>
        </w:tc>
        <w:tc>
          <w:tcPr>
            <w:tcW w:w="790" w:type="pct"/>
            <w:tcBorders>
              <w:bottom w:val="nil"/>
            </w:tcBorders>
          </w:tcPr>
          <w:p w14:paraId="0A083235" w14:textId="4EF74398" w:rsidR="00A70BF9" w:rsidRPr="004C78D8" w:rsidRDefault="00A70BF9" w:rsidP="00FB7C1F">
            <w:pPr>
              <w:jc w:val="left"/>
              <w:rPr>
                <w:sz w:val="18"/>
                <w:szCs w:val="18"/>
              </w:rPr>
            </w:pPr>
            <w:r w:rsidRPr="004C78D8">
              <w:rPr>
                <w:sz w:val="18"/>
                <w:szCs w:val="18"/>
              </w:rPr>
              <w:t xml:space="preserve">Iliffe (2014) </w:t>
            </w:r>
            <w:r w:rsidRPr="004C78D8">
              <w:rPr>
                <w:sz w:val="18"/>
                <w:szCs w:val="18"/>
              </w:rPr>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rPr>
                <w:sz w:val="18"/>
                <w:szCs w:val="18"/>
              </w:rPr>
              <w:instrText xml:space="preserve"> ADDIN EN.CITE </w:instrText>
            </w:r>
            <w:r w:rsidR="00513646" w:rsidRPr="004C78D8">
              <w:rPr>
                <w:sz w:val="18"/>
                <w:szCs w:val="18"/>
              </w:rPr>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rPr>
                <w:sz w:val="18"/>
                <w:szCs w:val="18"/>
              </w:rPr>
              <w:instrText xml:space="preserve"> ADDIN EN.CITE.DATA </w:instrText>
            </w:r>
            <w:r w:rsidR="00513646" w:rsidRPr="004C78D8">
              <w:rPr>
                <w:sz w:val="18"/>
                <w:szCs w:val="18"/>
              </w:rPr>
            </w:r>
            <w:r w:rsidR="00513646" w:rsidRPr="004C78D8">
              <w:rPr>
                <w:sz w:val="18"/>
                <w:szCs w:val="18"/>
              </w:rPr>
              <w:fldChar w:fldCharType="end"/>
            </w:r>
            <w:r w:rsidRPr="004C78D8">
              <w:rPr>
                <w:sz w:val="18"/>
                <w:szCs w:val="18"/>
              </w:rPr>
            </w:r>
            <w:r w:rsidRPr="004C78D8">
              <w:rPr>
                <w:sz w:val="18"/>
                <w:szCs w:val="18"/>
              </w:rPr>
              <w:fldChar w:fldCharType="separate"/>
            </w:r>
            <w:r w:rsidR="00513646" w:rsidRPr="004C78D8">
              <w:rPr>
                <w:noProof/>
                <w:sz w:val="18"/>
                <w:szCs w:val="18"/>
              </w:rPr>
              <w:t>[135]</w:t>
            </w:r>
            <w:r w:rsidRPr="004C78D8">
              <w:rPr>
                <w:sz w:val="18"/>
                <w:szCs w:val="18"/>
              </w:rPr>
              <w:fldChar w:fldCharType="end"/>
            </w:r>
          </w:p>
        </w:tc>
        <w:tc>
          <w:tcPr>
            <w:tcW w:w="2340" w:type="pct"/>
            <w:tcBorders>
              <w:bottom w:val="nil"/>
            </w:tcBorders>
          </w:tcPr>
          <w:p w14:paraId="777ACE5A" w14:textId="77777777" w:rsidR="00A70BF9" w:rsidRPr="004C78D8" w:rsidRDefault="00A70BF9" w:rsidP="00FB7C1F">
            <w:pPr>
              <w:jc w:val="left"/>
              <w:rPr>
                <w:sz w:val="18"/>
                <w:szCs w:val="18"/>
              </w:rPr>
            </w:pPr>
            <w:r w:rsidRPr="004C78D8">
              <w:rPr>
                <w:sz w:val="18"/>
                <w:szCs w:val="18"/>
              </w:rPr>
              <w:t>For cognitively intact and independently mobile persons aged 65+ with less than 3 falls in past year; 24-week FaME group exercise + Otago home exercise</w:t>
            </w:r>
            <w:r w:rsidRPr="004C78D8">
              <w:rPr>
                <w:sz w:val="18"/>
                <w:szCs w:val="18"/>
                <w:vertAlign w:val="superscript"/>
              </w:rPr>
              <w:t>2</w:t>
            </w:r>
          </w:p>
        </w:tc>
        <w:tc>
          <w:tcPr>
            <w:tcW w:w="287" w:type="pct"/>
            <w:tcBorders>
              <w:bottom w:val="nil"/>
            </w:tcBorders>
          </w:tcPr>
          <w:p w14:paraId="3D4B4E41" w14:textId="77777777" w:rsidR="00A70BF9" w:rsidRPr="004C78D8" w:rsidRDefault="00A70BF9" w:rsidP="00FB7C1F">
            <w:pPr>
              <w:jc w:val="left"/>
              <w:rPr>
                <w:sz w:val="20"/>
                <w:szCs w:val="20"/>
              </w:rPr>
            </w:pPr>
            <w:r w:rsidRPr="004C78D8">
              <w:rPr>
                <w:sz w:val="20"/>
                <w:szCs w:val="20"/>
              </w:rPr>
              <w:t>1</w:t>
            </w:r>
          </w:p>
        </w:tc>
      </w:tr>
      <w:tr w:rsidR="00A70BF9" w:rsidRPr="004C78D8" w14:paraId="35FBD332" w14:textId="77777777" w:rsidTr="00E35893">
        <w:tc>
          <w:tcPr>
            <w:tcW w:w="792" w:type="pct"/>
            <w:vMerge/>
          </w:tcPr>
          <w:p w14:paraId="34BBAC1C" w14:textId="77777777" w:rsidR="00A70BF9" w:rsidRPr="004C78D8" w:rsidRDefault="00A70BF9" w:rsidP="00FB7C1F">
            <w:pPr>
              <w:jc w:val="left"/>
              <w:rPr>
                <w:sz w:val="20"/>
                <w:szCs w:val="20"/>
              </w:rPr>
            </w:pPr>
          </w:p>
        </w:tc>
        <w:tc>
          <w:tcPr>
            <w:tcW w:w="791" w:type="pct"/>
            <w:tcBorders>
              <w:top w:val="nil"/>
              <w:bottom w:val="nil"/>
            </w:tcBorders>
          </w:tcPr>
          <w:p w14:paraId="1EC6876A" w14:textId="77777777" w:rsidR="00A70BF9" w:rsidRPr="004C78D8" w:rsidRDefault="00A70BF9" w:rsidP="00FB7C1F">
            <w:pPr>
              <w:jc w:val="left"/>
              <w:rPr>
                <w:sz w:val="18"/>
                <w:szCs w:val="18"/>
              </w:rPr>
            </w:pPr>
            <w:r w:rsidRPr="004C78D8">
              <w:rPr>
                <w:sz w:val="18"/>
                <w:szCs w:val="18"/>
              </w:rPr>
              <w:t>High-risk group</w:t>
            </w:r>
          </w:p>
        </w:tc>
        <w:tc>
          <w:tcPr>
            <w:tcW w:w="790" w:type="pct"/>
            <w:tcBorders>
              <w:top w:val="nil"/>
              <w:bottom w:val="nil"/>
            </w:tcBorders>
          </w:tcPr>
          <w:p w14:paraId="4145ADCC" w14:textId="7ABF093C" w:rsidR="00A70BF9" w:rsidRPr="004C78D8" w:rsidRDefault="00A70BF9" w:rsidP="00FB7C1F">
            <w:pPr>
              <w:jc w:val="left"/>
              <w:rPr>
                <w:sz w:val="18"/>
                <w:szCs w:val="18"/>
              </w:rPr>
            </w:pPr>
            <w:r w:rsidRPr="004C78D8">
              <w:rPr>
                <w:sz w:val="18"/>
                <w:szCs w:val="18"/>
              </w:rPr>
              <w:t xml:space="preserve">Skelton (2005) </w:t>
            </w:r>
            <w:r w:rsidRPr="004C78D8">
              <w:rPr>
                <w:sz w:val="18"/>
                <w:szCs w:val="18"/>
              </w:rPr>
              <w:fldChar w:fldCharType="begin"/>
            </w:r>
            <w:r w:rsidR="00513646" w:rsidRPr="004C78D8">
              <w:rPr>
                <w:sz w:val="18"/>
                <w:szCs w:val="18"/>
              </w:rPr>
              <w:instrText xml:space="preserve"> ADDIN EN.CITE &lt;EndNote&gt;&lt;Cite&gt;&lt;Author&gt;Skelton&lt;/Author&gt;&lt;Year&gt;2005&lt;/Year&gt;&lt;RecNum&gt;481&lt;/RecNum&gt;&lt;DisplayText&gt;[136]&lt;/DisplayText&gt;&lt;record&gt;&lt;rec-number&gt;481&lt;/rec-number&gt;&lt;foreign-keys&gt;&lt;key app="EN" db-id="tdtrdw9aepptzbefsat599syza29sxsd2wsp" timestamp="1616578116"&gt;481&lt;/key&gt;&lt;/foreign-keys&gt;&lt;ref-type name="Journal Article"&gt;17&lt;/ref-type&gt;&lt;contributors&gt;&lt;authors&gt;&lt;author&gt;Skelton, Dawn&lt;/author&gt;&lt;author&gt;Dinan, Susie&lt;/author&gt;&lt;author&gt;Campbell, Malcolm&lt;/author&gt;&lt;author&gt;Rutherford, Olga&lt;/author&gt;&lt;/authors&gt;&lt;/contributors&gt;&lt;titles&gt;&lt;title&gt;Tailored group exercise (Falls Management Exercise—FaME) reduces falls in community-dwelling older frequent fallers (an RCT)&lt;/title&gt;&lt;secondary-title&gt;Age and ageing&lt;/secondary-title&gt;&lt;/titles&gt;&lt;periodical&gt;&lt;full-title&gt;Age and ageing&lt;/full-title&gt;&lt;/periodical&gt;&lt;pages&gt;636-639&lt;/pages&gt;&lt;volume&gt;34&lt;/volume&gt;&lt;number&gt;6&lt;/number&gt;&lt;dates&gt;&lt;year&gt;2005&lt;/year&gt;&lt;/dates&gt;&lt;isbn&gt;1468-2834&lt;/isbn&gt;&lt;urls&gt;&lt;/urls&gt;&lt;/record&gt;&lt;/Cite&gt;&lt;/EndNote&gt;</w:instrText>
            </w:r>
            <w:r w:rsidRPr="004C78D8">
              <w:rPr>
                <w:sz w:val="18"/>
                <w:szCs w:val="18"/>
              </w:rPr>
              <w:fldChar w:fldCharType="separate"/>
            </w:r>
            <w:r w:rsidR="00513646" w:rsidRPr="004C78D8">
              <w:rPr>
                <w:noProof/>
                <w:sz w:val="18"/>
                <w:szCs w:val="18"/>
              </w:rPr>
              <w:t>[136]</w:t>
            </w:r>
            <w:r w:rsidRPr="004C78D8">
              <w:rPr>
                <w:sz w:val="18"/>
                <w:szCs w:val="18"/>
              </w:rPr>
              <w:fldChar w:fldCharType="end"/>
            </w:r>
          </w:p>
        </w:tc>
        <w:tc>
          <w:tcPr>
            <w:tcW w:w="2340" w:type="pct"/>
            <w:tcBorders>
              <w:top w:val="nil"/>
              <w:bottom w:val="nil"/>
            </w:tcBorders>
          </w:tcPr>
          <w:p w14:paraId="29293F1B" w14:textId="77777777" w:rsidR="00A70BF9" w:rsidRPr="004C78D8" w:rsidRDefault="00A70BF9" w:rsidP="00FB7C1F">
            <w:pPr>
              <w:jc w:val="left"/>
              <w:rPr>
                <w:sz w:val="18"/>
                <w:szCs w:val="18"/>
              </w:rPr>
            </w:pPr>
            <w:r w:rsidRPr="004C78D8">
              <w:rPr>
                <w:sz w:val="18"/>
                <w:szCs w:val="18"/>
              </w:rPr>
              <w:t>For cognitively intact women aged 65+ with 3+ falls in past year; 36-week FaME group exercise + Otago home exercise</w:t>
            </w:r>
          </w:p>
        </w:tc>
        <w:tc>
          <w:tcPr>
            <w:tcW w:w="287" w:type="pct"/>
            <w:tcBorders>
              <w:top w:val="nil"/>
              <w:bottom w:val="nil"/>
            </w:tcBorders>
          </w:tcPr>
          <w:p w14:paraId="2E66BA0A" w14:textId="77777777" w:rsidR="00A70BF9" w:rsidRPr="004C78D8" w:rsidRDefault="00A70BF9" w:rsidP="00FB7C1F">
            <w:pPr>
              <w:jc w:val="left"/>
              <w:rPr>
                <w:sz w:val="20"/>
                <w:szCs w:val="20"/>
              </w:rPr>
            </w:pPr>
            <w:r w:rsidRPr="004C78D8">
              <w:rPr>
                <w:sz w:val="20"/>
                <w:szCs w:val="20"/>
              </w:rPr>
              <w:t>3</w:t>
            </w:r>
          </w:p>
        </w:tc>
      </w:tr>
      <w:tr w:rsidR="00A70BF9" w:rsidRPr="004C78D8" w14:paraId="1C592505" w14:textId="77777777" w:rsidTr="00E35893">
        <w:tc>
          <w:tcPr>
            <w:tcW w:w="792" w:type="pct"/>
            <w:vMerge/>
          </w:tcPr>
          <w:p w14:paraId="18E1FC88" w14:textId="77777777" w:rsidR="00A70BF9" w:rsidRPr="004C78D8" w:rsidRDefault="00A70BF9" w:rsidP="00FB7C1F">
            <w:pPr>
              <w:jc w:val="left"/>
              <w:rPr>
                <w:sz w:val="20"/>
                <w:szCs w:val="20"/>
              </w:rPr>
            </w:pPr>
          </w:p>
        </w:tc>
        <w:tc>
          <w:tcPr>
            <w:tcW w:w="791" w:type="pct"/>
            <w:tcBorders>
              <w:top w:val="nil"/>
              <w:bottom w:val="nil"/>
            </w:tcBorders>
          </w:tcPr>
          <w:p w14:paraId="30A1BF4E" w14:textId="77777777" w:rsidR="00A70BF9" w:rsidRPr="004C78D8" w:rsidRDefault="00A70BF9" w:rsidP="00FB7C1F">
            <w:pPr>
              <w:jc w:val="left"/>
              <w:rPr>
                <w:sz w:val="18"/>
                <w:szCs w:val="18"/>
              </w:rPr>
            </w:pPr>
          </w:p>
        </w:tc>
        <w:tc>
          <w:tcPr>
            <w:tcW w:w="790" w:type="pct"/>
            <w:tcBorders>
              <w:top w:val="nil"/>
              <w:bottom w:val="nil"/>
            </w:tcBorders>
          </w:tcPr>
          <w:p w14:paraId="4834DB44" w14:textId="67093896" w:rsidR="00A70BF9" w:rsidRPr="004C78D8" w:rsidRDefault="00A70BF9" w:rsidP="00FB7C1F">
            <w:pPr>
              <w:jc w:val="left"/>
              <w:rPr>
                <w:sz w:val="18"/>
                <w:szCs w:val="18"/>
              </w:rPr>
            </w:pPr>
            <w:r w:rsidRPr="004C78D8">
              <w:rPr>
                <w:sz w:val="18"/>
                <w:szCs w:val="18"/>
              </w:rPr>
              <w:t xml:space="preserve">Stanmore (2019) </w:t>
            </w:r>
            <w:r w:rsidRPr="004C78D8">
              <w:rPr>
                <w:sz w:val="18"/>
                <w:szCs w:val="18"/>
              </w:rPr>
              <w:fldChar w:fldCharType="begin"/>
            </w:r>
            <w:r w:rsidR="00C630FC" w:rsidRPr="004C78D8">
              <w:rPr>
                <w:sz w:val="18"/>
                <w:szCs w:val="18"/>
              </w:rPr>
              <w:instrText xml:space="preserve"> ADDIN EN.CITE &lt;EndNote&gt;&lt;Cite&gt;&lt;Author&gt;Stanmore&lt;/Author&gt;&lt;Year&gt;2019&lt;/Year&gt;&lt;RecNum&gt;284&lt;/RecNum&gt;&lt;DisplayText&gt;[205]&lt;/DisplayText&gt;&lt;record&gt;&lt;rec-number&gt;284&lt;/rec-number&gt;&lt;foreign-keys&gt;&lt;key app="EN" db-id="tdtrdw9aepptzbefsat599syza29sxsd2wsp" timestamp="1611700035"&gt;284&lt;/key&gt;&lt;/foreign-keys&gt;&lt;ref-type name="Journal Article"&gt;17&lt;/ref-type&gt;&lt;contributors&gt;&lt;authors&gt;&lt;author&gt;Stanmore, Emma K&lt;/author&gt;&lt;author&gt;Mavroeidi, Alexandra&lt;/author&gt;&lt;author&gt;de Jong, Lex D&lt;/author&gt;&lt;author&gt;Skelton, Dawn A&lt;/author&gt;&lt;author&gt;Sutton, Chris J&lt;/author&gt;&lt;author&gt;Benedetto, Valerio&lt;/author&gt;&lt;author&gt;Munford, Luke A&lt;/author&gt;&lt;author&gt;Meekes, Wytske&lt;/author&gt;&lt;author&gt;Bell, Vicky&lt;/author&gt;&lt;author&gt;Todd, Chris&lt;/author&gt;&lt;/authors&gt;&lt;/contributors&gt;&lt;titles&gt;&lt;title&gt;The effectiveness and cost-effectiveness of strength and balance Exergames to reduce falls risk for people aged 55 years and older in UK assisted living facilities: a multi-centre, cluster randomised controlled trial&lt;/title&gt;&lt;secondary-title&gt;BMC medicine&lt;/secondary-title&gt;&lt;/titles&gt;&lt;periodical&gt;&lt;full-title&gt;BMC medicine&lt;/full-title&gt;&lt;/periodical&gt;&lt;pages&gt;1-14&lt;/pages&gt;&lt;volume&gt;17&lt;/volume&gt;&lt;number&gt;1&lt;/number&gt;&lt;dates&gt;&lt;year&gt;2019&lt;/year&gt;&lt;/dates&gt;&lt;isbn&gt;1741-7015&lt;/isbn&gt;&lt;urls&gt;&lt;/urls&gt;&lt;/record&gt;&lt;/Cite&gt;&lt;/EndNote&gt;</w:instrText>
            </w:r>
            <w:r w:rsidRPr="004C78D8">
              <w:rPr>
                <w:sz w:val="18"/>
                <w:szCs w:val="18"/>
              </w:rPr>
              <w:fldChar w:fldCharType="separate"/>
            </w:r>
            <w:r w:rsidR="00C630FC" w:rsidRPr="004C78D8">
              <w:rPr>
                <w:noProof/>
                <w:sz w:val="18"/>
                <w:szCs w:val="18"/>
              </w:rPr>
              <w:t>[205]</w:t>
            </w:r>
            <w:r w:rsidRPr="004C78D8">
              <w:rPr>
                <w:sz w:val="18"/>
                <w:szCs w:val="18"/>
              </w:rPr>
              <w:fldChar w:fldCharType="end"/>
            </w:r>
          </w:p>
        </w:tc>
        <w:tc>
          <w:tcPr>
            <w:tcW w:w="2340" w:type="pct"/>
            <w:tcBorders>
              <w:top w:val="nil"/>
              <w:bottom w:val="nil"/>
            </w:tcBorders>
          </w:tcPr>
          <w:p w14:paraId="2ECCA7EE" w14:textId="77777777" w:rsidR="00A70BF9" w:rsidRPr="004C78D8" w:rsidRDefault="00A70BF9" w:rsidP="00FB7C1F">
            <w:pPr>
              <w:jc w:val="left"/>
              <w:rPr>
                <w:sz w:val="18"/>
                <w:szCs w:val="18"/>
              </w:rPr>
            </w:pPr>
            <w:r w:rsidRPr="004C78D8">
              <w:rPr>
                <w:sz w:val="18"/>
                <w:szCs w:val="18"/>
              </w:rPr>
              <w:t>For persons aged 55+ living in sheltered housing facilities; 12-week FaME/Otago-based Exergames at home</w:t>
            </w:r>
          </w:p>
        </w:tc>
        <w:tc>
          <w:tcPr>
            <w:tcW w:w="287" w:type="pct"/>
            <w:tcBorders>
              <w:top w:val="nil"/>
              <w:bottom w:val="nil"/>
            </w:tcBorders>
          </w:tcPr>
          <w:p w14:paraId="7C532256" w14:textId="77777777" w:rsidR="00A70BF9" w:rsidRPr="004C78D8" w:rsidRDefault="00A70BF9" w:rsidP="00FB7C1F">
            <w:pPr>
              <w:jc w:val="left"/>
              <w:rPr>
                <w:sz w:val="20"/>
                <w:szCs w:val="20"/>
              </w:rPr>
            </w:pPr>
          </w:p>
        </w:tc>
      </w:tr>
      <w:tr w:rsidR="00A70BF9" w:rsidRPr="004C78D8" w14:paraId="42AA38EF" w14:textId="77777777" w:rsidTr="00E35893">
        <w:tc>
          <w:tcPr>
            <w:tcW w:w="792" w:type="pct"/>
            <w:vMerge/>
          </w:tcPr>
          <w:p w14:paraId="22EDFA53" w14:textId="77777777" w:rsidR="00A70BF9" w:rsidRPr="004C78D8" w:rsidRDefault="00A70BF9" w:rsidP="00FB7C1F">
            <w:pPr>
              <w:jc w:val="left"/>
              <w:rPr>
                <w:sz w:val="20"/>
                <w:szCs w:val="20"/>
              </w:rPr>
            </w:pPr>
          </w:p>
        </w:tc>
        <w:tc>
          <w:tcPr>
            <w:tcW w:w="791" w:type="pct"/>
            <w:tcBorders>
              <w:top w:val="nil"/>
              <w:bottom w:val="nil"/>
            </w:tcBorders>
          </w:tcPr>
          <w:p w14:paraId="1EA8FCE6" w14:textId="77777777" w:rsidR="00A70BF9" w:rsidRPr="004C78D8" w:rsidRDefault="00A70BF9" w:rsidP="00FB7C1F">
            <w:pPr>
              <w:jc w:val="left"/>
              <w:rPr>
                <w:sz w:val="18"/>
                <w:szCs w:val="18"/>
              </w:rPr>
            </w:pPr>
          </w:p>
        </w:tc>
        <w:tc>
          <w:tcPr>
            <w:tcW w:w="790" w:type="pct"/>
            <w:tcBorders>
              <w:top w:val="nil"/>
              <w:bottom w:val="nil"/>
            </w:tcBorders>
          </w:tcPr>
          <w:p w14:paraId="53FAC69D" w14:textId="31EE288A" w:rsidR="00A70BF9" w:rsidRPr="004C78D8" w:rsidRDefault="00A70BF9" w:rsidP="00FB7C1F">
            <w:pPr>
              <w:jc w:val="left"/>
              <w:rPr>
                <w:sz w:val="18"/>
                <w:szCs w:val="18"/>
              </w:rPr>
            </w:pPr>
            <w:r w:rsidRPr="004C78D8">
              <w:rPr>
                <w:sz w:val="18"/>
                <w:szCs w:val="18"/>
              </w:rPr>
              <w:t xml:space="preserve">Clegg (2014) </w:t>
            </w:r>
            <w:r w:rsidRPr="004C78D8">
              <w:rPr>
                <w:sz w:val="18"/>
                <w:szCs w:val="18"/>
              </w:rPr>
              <w:fldChar w:fldCharType="begin"/>
            </w:r>
            <w:r w:rsidR="00C630FC" w:rsidRPr="004C78D8">
              <w:rPr>
                <w:sz w:val="18"/>
                <w:szCs w:val="18"/>
              </w:rPr>
              <w:instrText xml:space="preserve"> ADDIN EN.CITE &lt;EndNote&gt;&lt;Cite&gt;&lt;Author&gt;Clegg&lt;/Author&gt;&lt;Year&gt;2014&lt;/Year&gt;&lt;RecNum&gt;702&lt;/RecNum&gt;&lt;DisplayText&gt;[386]&lt;/DisplayText&gt;&lt;record&gt;&lt;rec-number&gt;702&lt;/rec-number&gt;&lt;foreign-keys&gt;&lt;key app="EN" db-id="tdtrdw9aepptzbefsat599syza29sxsd2wsp" timestamp="1636734373"&gt;702&lt;/key&gt;&lt;/foreign-keys&gt;&lt;ref-type name="Journal Article"&gt;17&lt;/ref-type&gt;&lt;contributors&gt;&lt;authors&gt;&lt;author&gt;Clegg, Andrew&lt;/author&gt;&lt;author&gt;Barber, Sally&lt;/author&gt;&lt;author&gt;Young, John&lt;/author&gt;&lt;author&gt;Iliffe, Steve&lt;/author&gt;&lt;author&gt;Forster, Anne&lt;/author&gt;&lt;/authors&gt;&lt;/contributors&gt;&lt;titles&gt;&lt;title&gt;The Home-based Older People&amp;apos;s Exercise (HOPE) trial: a pilot randomised controlled trial of a home-based exercise intervention for older people with frailty&lt;/title&gt;&lt;secondary-title&gt;Age and Ageing&lt;/secondary-title&gt;&lt;/titles&gt;&lt;periodical&gt;&lt;full-title&gt;Age and ageing&lt;/full-title&gt;&lt;/periodical&gt;&lt;pages&gt;687-695&lt;/pages&gt;&lt;volume&gt;43&lt;/volume&gt;&lt;number&gt;5&lt;/number&gt;&lt;dates&gt;&lt;year&gt;2014&lt;/year&gt;&lt;/dates&gt;&lt;isbn&gt;0002-0729&lt;/isbn&gt;&lt;urls&gt;&lt;/urls&gt;&lt;/record&gt;&lt;/Cite&gt;&lt;/EndNote&gt;</w:instrText>
            </w:r>
            <w:r w:rsidRPr="004C78D8">
              <w:rPr>
                <w:sz w:val="18"/>
                <w:szCs w:val="18"/>
              </w:rPr>
              <w:fldChar w:fldCharType="separate"/>
            </w:r>
            <w:r w:rsidR="00C630FC" w:rsidRPr="004C78D8">
              <w:rPr>
                <w:noProof/>
                <w:sz w:val="18"/>
                <w:szCs w:val="18"/>
              </w:rPr>
              <w:t>[386]</w:t>
            </w:r>
            <w:r w:rsidRPr="004C78D8">
              <w:rPr>
                <w:sz w:val="18"/>
                <w:szCs w:val="18"/>
              </w:rPr>
              <w:fldChar w:fldCharType="end"/>
            </w:r>
          </w:p>
        </w:tc>
        <w:tc>
          <w:tcPr>
            <w:tcW w:w="2340" w:type="pct"/>
            <w:tcBorders>
              <w:top w:val="nil"/>
              <w:bottom w:val="nil"/>
            </w:tcBorders>
          </w:tcPr>
          <w:p w14:paraId="56A264AD" w14:textId="77777777" w:rsidR="00A70BF9" w:rsidRPr="004C78D8" w:rsidRDefault="00A70BF9" w:rsidP="00FB7C1F">
            <w:pPr>
              <w:jc w:val="left"/>
              <w:rPr>
                <w:sz w:val="18"/>
                <w:szCs w:val="18"/>
              </w:rPr>
            </w:pPr>
            <w:r w:rsidRPr="004C78D8">
              <w:rPr>
                <w:sz w:val="18"/>
                <w:szCs w:val="18"/>
              </w:rPr>
              <w:t>Feasibility trial (n=84); for frail persons (mean age 79) without severe dementia receiving case manager care, housebound or attending older outpatient clinics; 12-week progressive exercise for basic mobility skills</w:t>
            </w:r>
          </w:p>
        </w:tc>
        <w:tc>
          <w:tcPr>
            <w:tcW w:w="287" w:type="pct"/>
            <w:tcBorders>
              <w:top w:val="nil"/>
              <w:bottom w:val="nil"/>
            </w:tcBorders>
          </w:tcPr>
          <w:p w14:paraId="2EFD336A" w14:textId="77777777" w:rsidR="00A70BF9" w:rsidRPr="004C78D8" w:rsidRDefault="00A70BF9" w:rsidP="00FB7C1F">
            <w:pPr>
              <w:jc w:val="left"/>
              <w:rPr>
                <w:sz w:val="20"/>
                <w:szCs w:val="20"/>
              </w:rPr>
            </w:pPr>
          </w:p>
        </w:tc>
      </w:tr>
      <w:tr w:rsidR="00A70BF9" w:rsidRPr="004C78D8" w14:paraId="086B005D" w14:textId="77777777" w:rsidTr="00E35893">
        <w:tc>
          <w:tcPr>
            <w:tcW w:w="792" w:type="pct"/>
            <w:vMerge/>
          </w:tcPr>
          <w:p w14:paraId="1756F0FC" w14:textId="77777777" w:rsidR="00A70BF9" w:rsidRPr="004C78D8" w:rsidRDefault="00A70BF9" w:rsidP="00FB7C1F">
            <w:pPr>
              <w:jc w:val="left"/>
              <w:rPr>
                <w:sz w:val="20"/>
                <w:szCs w:val="20"/>
              </w:rPr>
            </w:pPr>
          </w:p>
        </w:tc>
        <w:tc>
          <w:tcPr>
            <w:tcW w:w="791" w:type="pct"/>
            <w:tcBorders>
              <w:top w:val="nil"/>
              <w:bottom w:val="nil"/>
            </w:tcBorders>
          </w:tcPr>
          <w:p w14:paraId="7D67A3F2" w14:textId="77777777" w:rsidR="00A70BF9" w:rsidRPr="004C78D8" w:rsidRDefault="00A70BF9" w:rsidP="00FB7C1F">
            <w:pPr>
              <w:jc w:val="left"/>
              <w:rPr>
                <w:sz w:val="18"/>
                <w:szCs w:val="18"/>
              </w:rPr>
            </w:pPr>
            <w:r w:rsidRPr="004C78D8">
              <w:rPr>
                <w:sz w:val="18"/>
                <w:szCs w:val="18"/>
              </w:rPr>
              <w:t>CI-friendly</w:t>
            </w:r>
          </w:p>
        </w:tc>
        <w:tc>
          <w:tcPr>
            <w:tcW w:w="790" w:type="pct"/>
            <w:tcBorders>
              <w:top w:val="nil"/>
              <w:bottom w:val="nil"/>
            </w:tcBorders>
          </w:tcPr>
          <w:p w14:paraId="0C098828" w14:textId="734BA56F" w:rsidR="00A70BF9" w:rsidRPr="004C78D8" w:rsidRDefault="00A70BF9" w:rsidP="00FB7C1F">
            <w:pPr>
              <w:jc w:val="left"/>
              <w:rPr>
                <w:sz w:val="18"/>
                <w:szCs w:val="18"/>
              </w:rPr>
            </w:pPr>
            <w:r w:rsidRPr="004C78D8">
              <w:rPr>
                <w:sz w:val="18"/>
                <w:szCs w:val="18"/>
              </w:rPr>
              <w:t xml:space="preserve">Lamb (2018) </w:t>
            </w:r>
            <w:r w:rsidRPr="004C78D8">
              <w:rPr>
                <w:sz w:val="18"/>
                <w:szCs w:val="18"/>
              </w:rPr>
              <w:fldChar w:fldCharType="begin">
                <w:fldData xml:space="preserve">PEVuZE5vdGU+PENpdGU+PEF1dGhvcj5MYW1iPC9BdXRob3I+PFllYXI+MjAxODwvWWVhcj48UmVj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</w:fldData>
              </w:fldChar>
            </w:r>
            <w:r w:rsidR="00C630FC" w:rsidRPr="004C78D8">
              <w:rPr>
                <w:sz w:val="18"/>
                <w:szCs w:val="18"/>
              </w:rPr>
              <w:instrText xml:space="preserve"> ADDIN EN.CITE </w:instrText>
            </w:r>
            <w:r w:rsidR="00C630FC" w:rsidRPr="004C78D8">
              <w:rPr>
                <w:sz w:val="18"/>
                <w:szCs w:val="18"/>
              </w:rPr>
              <w:fldChar w:fldCharType="begin">
                <w:fldData xml:space="preserve">PEVuZE5vdGU+PENpdGU+PEF1dGhvcj5MYW1iPC9BdXRob3I+PFllYXI+MjAxODwvWWVhcj48UmVj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</w:fldData>
              </w:fldChar>
            </w:r>
            <w:r w:rsidR="00C630FC" w:rsidRPr="004C78D8">
              <w:rPr>
                <w:sz w:val="18"/>
                <w:szCs w:val="18"/>
              </w:rPr>
              <w:instrText xml:space="preserve"> ADDIN EN.CITE.DATA </w:instrText>
            </w:r>
            <w:r w:rsidR="00C630FC" w:rsidRPr="004C78D8">
              <w:rPr>
                <w:sz w:val="18"/>
                <w:szCs w:val="18"/>
              </w:rPr>
            </w:r>
            <w:r w:rsidR="00C630FC" w:rsidRPr="004C78D8">
              <w:rPr>
                <w:sz w:val="18"/>
                <w:szCs w:val="18"/>
              </w:rPr>
              <w:fldChar w:fldCharType="end"/>
            </w:r>
            <w:r w:rsidRPr="004C78D8">
              <w:rPr>
                <w:sz w:val="18"/>
                <w:szCs w:val="18"/>
              </w:rPr>
            </w:r>
            <w:r w:rsidRPr="004C78D8">
              <w:rPr>
                <w:sz w:val="18"/>
                <w:szCs w:val="18"/>
              </w:rPr>
              <w:fldChar w:fldCharType="separate"/>
            </w:r>
            <w:r w:rsidR="00C630FC" w:rsidRPr="004C78D8">
              <w:rPr>
                <w:noProof/>
                <w:sz w:val="18"/>
                <w:szCs w:val="18"/>
              </w:rPr>
              <w:t>[193]</w:t>
            </w:r>
            <w:r w:rsidRPr="004C78D8">
              <w:rPr>
                <w:sz w:val="18"/>
                <w:szCs w:val="18"/>
              </w:rPr>
              <w:fldChar w:fldCharType="end"/>
            </w:r>
          </w:p>
        </w:tc>
        <w:tc>
          <w:tcPr>
            <w:tcW w:w="2340" w:type="pct"/>
            <w:tcBorders>
              <w:top w:val="nil"/>
              <w:bottom w:val="nil"/>
            </w:tcBorders>
          </w:tcPr>
          <w:p w14:paraId="64B92924" w14:textId="77777777" w:rsidR="00A70BF9" w:rsidRPr="004C78D8" w:rsidRDefault="00A70BF9" w:rsidP="00FB7C1F">
            <w:pPr>
              <w:jc w:val="left"/>
              <w:rPr>
                <w:sz w:val="18"/>
                <w:szCs w:val="18"/>
              </w:rPr>
            </w:pPr>
            <w:r w:rsidRPr="004C78D8">
              <w:rPr>
                <w:sz w:val="18"/>
                <w:szCs w:val="18"/>
              </w:rPr>
              <w:t>For independently mobile persons (mean age 78) with mild or moderate dementia; 16-week aerobic and strength group exercise + continued physical activity support</w:t>
            </w:r>
          </w:p>
        </w:tc>
        <w:tc>
          <w:tcPr>
            <w:tcW w:w="287" w:type="pct"/>
            <w:tcBorders>
              <w:top w:val="nil"/>
              <w:bottom w:val="nil"/>
            </w:tcBorders>
          </w:tcPr>
          <w:p w14:paraId="2E6C3647" w14:textId="77777777" w:rsidR="00A70BF9" w:rsidRPr="004C78D8" w:rsidRDefault="00A70BF9" w:rsidP="00FB7C1F">
            <w:pPr>
              <w:jc w:val="left"/>
              <w:rPr>
                <w:sz w:val="20"/>
                <w:szCs w:val="20"/>
              </w:rPr>
            </w:pPr>
            <w:r w:rsidRPr="004C78D8">
              <w:rPr>
                <w:sz w:val="20"/>
                <w:szCs w:val="20"/>
              </w:rPr>
              <w:t>2</w:t>
            </w:r>
          </w:p>
        </w:tc>
      </w:tr>
      <w:tr w:rsidR="00A70BF9" w:rsidRPr="004C78D8" w14:paraId="781CEF0E" w14:textId="77777777" w:rsidTr="00E35893">
        <w:tc>
          <w:tcPr>
            <w:tcW w:w="792" w:type="pct"/>
            <w:vMerge/>
            <w:tcBorders>
              <w:bottom w:val="single" w:sz="4" w:space="0" w:color="auto"/>
            </w:tcBorders>
          </w:tcPr>
          <w:p w14:paraId="0BF9969A" w14:textId="77777777" w:rsidR="00A70BF9" w:rsidRPr="004C78D8" w:rsidRDefault="00A70BF9" w:rsidP="00FB7C1F">
            <w:pPr>
              <w:jc w:val="left"/>
              <w:rPr>
                <w:sz w:val="20"/>
                <w:szCs w:val="20"/>
              </w:rPr>
            </w:pPr>
          </w:p>
        </w:tc>
        <w:tc>
          <w:tcPr>
            <w:tcW w:w="791" w:type="pct"/>
            <w:tcBorders>
              <w:top w:val="nil"/>
              <w:bottom w:val="single" w:sz="4" w:space="0" w:color="auto"/>
            </w:tcBorders>
          </w:tcPr>
          <w:p w14:paraId="011348DF" w14:textId="77777777" w:rsidR="00A70BF9" w:rsidRPr="004C78D8" w:rsidRDefault="00A70BF9" w:rsidP="00FB7C1F">
            <w:pPr>
              <w:jc w:val="left"/>
              <w:rPr>
                <w:sz w:val="18"/>
                <w:szCs w:val="18"/>
              </w:rPr>
            </w:pPr>
          </w:p>
        </w:tc>
        <w:tc>
          <w:tcPr>
            <w:tcW w:w="790" w:type="pct"/>
            <w:tcBorders>
              <w:top w:val="nil"/>
              <w:bottom w:val="single" w:sz="4" w:space="0" w:color="auto"/>
            </w:tcBorders>
          </w:tcPr>
          <w:p w14:paraId="5BDF4BF5" w14:textId="2FC08E2B" w:rsidR="00A70BF9" w:rsidRPr="004C78D8" w:rsidRDefault="00A70BF9" w:rsidP="00FB7C1F">
            <w:pPr>
              <w:jc w:val="left"/>
              <w:rPr>
                <w:sz w:val="18"/>
                <w:szCs w:val="18"/>
              </w:rPr>
            </w:pPr>
            <w:r w:rsidRPr="004C78D8">
              <w:rPr>
                <w:sz w:val="18"/>
                <w:szCs w:val="18"/>
              </w:rPr>
              <w:t xml:space="preserve">Nyman (2020) </w:t>
            </w:r>
            <w:r w:rsidRPr="004C78D8">
              <w:rPr>
                <w:sz w:val="18"/>
                <w:szCs w:val="18"/>
              </w:rPr>
              <w:fldChar w:fldCharType="begin"/>
            </w:r>
            <w:r w:rsidR="00C630FC" w:rsidRPr="004C78D8">
              <w:rPr>
                <w:sz w:val="18"/>
                <w:szCs w:val="18"/>
              </w:rPr>
              <w:instrText xml:space="preserve"> ADDIN EN.CITE &lt;EndNote&gt;&lt;Cite&gt;&lt;Author&gt;Nyman&lt;/Author&gt;&lt;Year&gt;2019&lt;/Year&gt;&lt;RecNum&gt;281&lt;/RecNum&gt;&lt;DisplayText&gt;[235]&lt;/DisplayText&gt;&lt;record&gt;&lt;rec-number&gt;281&lt;/rec-number&gt;&lt;foreign-keys&gt;&lt;key app="EN" db-id="tdtrdw9aepptzbefsat599syza29sxsd2wsp" timestamp="1611699160"&gt;281&lt;/key&gt;&lt;/foreign-keys&gt;&lt;ref-type name="Journal Article"&gt;17&lt;/ref-type&gt;&lt;contributors&gt;&lt;authors&gt;&lt;author&gt;Nyman, Samuel R&lt;/author&gt;&lt;author&gt;Ingram, Wendy&lt;/author&gt;&lt;author&gt;Sanders, Jeanette&lt;/author&gt;&lt;author&gt;Thomas, Peter W&lt;/author&gt;&lt;author&gt;Thomas, Sarah&lt;/author&gt;&lt;author&gt;Vassallo, Michael&lt;/author&gt;&lt;author&gt;Raftery, James&lt;/author&gt;&lt;author&gt;Bibi, Iram&lt;/author&gt;&lt;author&gt;Barrado-Martín, Yolanda&lt;/author&gt;&lt;/authors&gt;&lt;/contributors&gt;&lt;titles&gt;&lt;title&gt;Randomised controlled trial of the effect of Tai Chi on postural balance of people with dementia&lt;/title&gt;&lt;secondary-title&gt;Clinical interventions in aging&lt;/secondary-title&gt;&lt;/titles&gt;&lt;periodical&gt;&lt;full-title&gt;Clin Interv Aging&lt;/full-title&gt;&lt;abbr-1&gt;Clinical interventions in aging&lt;/abbr-1&gt;&lt;/periodical&gt;&lt;pages&gt;2017&lt;/pages&gt;&lt;volume&gt;14&lt;/volume&gt;&lt;dates&gt;&lt;year&gt;2019&lt;/year&gt;&lt;/dates&gt;&lt;urls&gt;&lt;/urls&gt;&lt;/record&gt;&lt;/Cite&gt;&lt;/EndNote&gt;</w:instrText>
            </w:r>
            <w:r w:rsidRPr="004C78D8">
              <w:rPr>
                <w:sz w:val="18"/>
                <w:szCs w:val="18"/>
              </w:rPr>
              <w:fldChar w:fldCharType="separate"/>
            </w:r>
            <w:r w:rsidR="00C630FC" w:rsidRPr="004C78D8">
              <w:rPr>
                <w:noProof/>
                <w:sz w:val="18"/>
                <w:szCs w:val="18"/>
              </w:rPr>
              <w:t>[235]</w:t>
            </w:r>
            <w:r w:rsidRPr="004C78D8">
              <w:rPr>
                <w:sz w:val="18"/>
                <w:szCs w:val="18"/>
              </w:rPr>
              <w:fldChar w:fldCharType="end"/>
            </w:r>
          </w:p>
        </w:tc>
        <w:tc>
          <w:tcPr>
            <w:tcW w:w="2340" w:type="pct"/>
            <w:tcBorders>
              <w:top w:val="nil"/>
              <w:bottom w:val="single" w:sz="4" w:space="0" w:color="auto"/>
            </w:tcBorders>
          </w:tcPr>
          <w:p w14:paraId="2071D1A5" w14:textId="77777777" w:rsidR="00A70BF9" w:rsidRPr="004C78D8" w:rsidRDefault="00A70BF9" w:rsidP="00FB7C1F">
            <w:pPr>
              <w:jc w:val="left"/>
              <w:rPr>
                <w:sz w:val="18"/>
                <w:szCs w:val="18"/>
              </w:rPr>
            </w:pPr>
            <w:r w:rsidRPr="004C78D8">
              <w:rPr>
                <w:sz w:val="18"/>
                <w:szCs w:val="18"/>
              </w:rPr>
              <w:t xml:space="preserve">For persons (mean age 78) with mild or moderate dementia able to participate in physical exercise and their informal caregivers; 20-week group- and home-based Tai Chi + behavioural change support </w:t>
            </w:r>
          </w:p>
        </w:tc>
        <w:tc>
          <w:tcPr>
            <w:tcW w:w="287" w:type="pct"/>
            <w:tcBorders>
              <w:top w:val="nil"/>
              <w:bottom w:val="single" w:sz="4" w:space="0" w:color="auto"/>
            </w:tcBorders>
          </w:tcPr>
          <w:p w14:paraId="49846B80" w14:textId="77777777" w:rsidR="00A70BF9" w:rsidRPr="004C78D8" w:rsidRDefault="00A70BF9" w:rsidP="00FB7C1F">
            <w:pPr>
              <w:jc w:val="left"/>
              <w:rPr>
                <w:sz w:val="20"/>
                <w:szCs w:val="20"/>
              </w:rPr>
            </w:pPr>
          </w:p>
        </w:tc>
      </w:tr>
      <w:tr w:rsidR="00A70BF9" w:rsidRPr="004C78D8" w14:paraId="285E3EA0" w14:textId="77777777" w:rsidTr="00E35893">
        <w:tc>
          <w:tcPr>
            <w:tcW w:w="5000" w:type="pct"/>
            <w:gridSpan w:val="5"/>
          </w:tcPr>
          <w:p w14:paraId="090BD8F6" w14:textId="77777777" w:rsidR="00A70BF9" w:rsidRPr="004C78D8" w:rsidRDefault="00A70BF9" w:rsidP="00FB7C1F">
            <w:pPr>
              <w:rPr>
                <w:sz w:val="18"/>
                <w:szCs w:val="18"/>
              </w:rPr>
            </w:pPr>
            <w:r w:rsidRPr="004C78D8">
              <w:rPr>
                <w:b/>
                <w:bCs/>
                <w:sz w:val="18"/>
                <w:szCs w:val="18"/>
              </w:rPr>
              <w:t xml:space="preserve">Abbreviation: </w:t>
            </w:r>
            <w:r w:rsidRPr="004C78D8">
              <w:rPr>
                <w:sz w:val="18"/>
                <w:szCs w:val="18"/>
              </w:rPr>
              <w:t>CI-friendly: cognitively impaired-friendly; FaME: Falls Management Exercise; FRAT: Falls Risk Assessment Tool; HAM: home assessment and modification; MA fall: fall requiring medical attention; OT: occupational therapy/therapist; PT: physiotherapy/physiotherapist</w:t>
            </w:r>
          </w:p>
          <w:p w14:paraId="268F05FF" w14:textId="77777777" w:rsidR="00A70BF9" w:rsidRPr="004C78D8" w:rsidRDefault="00A70BF9" w:rsidP="00FB7C1F">
            <w:pPr>
              <w:rPr>
                <w:sz w:val="18"/>
                <w:szCs w:val="18"/>
              </w:rPr>
            </w:pPr>
            <w:r w:rsidRPr="004C78D8">
              <w:rPr>
                <w:sz w:val="18"/>
                <w:szCs w:val="18"/>
                <w:vertAlign w:val="superscript"/>
              </w:rPr>
              <w:t>1</w:t>
            </w:r>
            <w:r w:rsidRPr="004C78D8">
              <w:rPr>
                <w:sz w:val="18"/>
                <w:szCs w:val="18"/>
              </w:rPr>
              <w:t xml:space="preserve"> The study contained an additional intervention arm for nurse-led multifactorial risk assessment (without active treatments) in primary care setting. This intervention did not produce a statistically significant reduction in the numbers of falls and fallers relative to usual care.</w:t>
            </w:r>
          </w:p>
          <w:p w14:paraId="57E5DD0E" w14:textId="77777777" w:rsidR="00A70BF9" w:rsidRPr="004C78D8" w:rsidRDefault="00A70BF9" w:rsidP="00FB7C1F">
            <w:pPr>
              <w:rPr>
                <w:b/>
                <w:bCs/>
                <w:sz w:val="18"/>
                <w:szCs w:val="18"/>
              </w:rPr>
            </w:pPr>
            <w:r w:rsidRPr="004C78D8">
              <w:rPr>
                <w:sz w:val="18"/>
                <w:szCs w:val="18"/>
                <w:vertAlign w:val="superscript"/>
              </w:rPr>
              <w:t>2</w:t>
            </w:r>
            <w:r w:rsidRPr="004C78D8">
              <w:rPr>
                <w:sz w:val="18"/>
                <w:szCs w:val="18"/>
              </w:rPr>
              <w:t xml:space="preserve"> The study contained an additional intervention arm for home-based Otago exercise supervised by peer mentors. This intervention did not produce a statistically significant reduction in the numbers of falls relative to usual care</w:t>
            </w:r>
            <w:r w:rsidRPr="004C78D8">
              <w:rPr>
                <w:b/>
                <w:bCs/>
                <w:sz w:val="18"/>
                <w:szCs w:val="18"/>
              </w:rPr>
              <w:t>.</w:t>
            </w:r>
          </w:p>
        </w:tc>
      </w:tr>
      <w:bookmarkEnd w:id="147"/>
    </w:tbl>
    <w:p w14:paraId="4295401D" w14:textId="77777777" w:rsidR="00A70BF9" w:rsidRPr="004C78D8" w:rsidRDefault="00A70BF9" w:rsidP="00FB7C1F"/>
    <w:p w14:paraId="3930A8EA" w14:textId="38D55579" w:rsidR="00373C68" w:rsidRPr="004C78D8" w:rsidRDefault="00F53444" w:rsidP="00FB7C1F">
      <w:pPr>
        <w:pStyle w:val="Heading3"/>
      </w:pPr>
      <w:bookmarkStart w:id="148" w:name="_Toc111630775"/>
      <w:r w:rsidRPr="004C78D8">
        <w:t>5</w:t>
      </w:r>
      <w:r w:rsidR="00373C68" w:rsidRPr="004C78D8">
        <w:t>.</w:t>
      </w:r>
      <w:r w:rsidR="00127AB4" w:rsidRPr="004C78D8">
        <w:t>2</w:t>
      </w:r>
      <w:r w:rsidR="00373C68" w:rsidRPr="004C78D8">
        <w:t>.2 Baseline characteristics</w:t>
      </w:r>
      <w:bookmarkEnd w:id="148"/>
    </w:p>
    <w:p w14:paraId="0D1C999F" w14:textId="048CFB4A" w:rsidR="00EB06EE" w:rsidRPr="004C78D8" w:rsidRDefault="00286AF5" w:rsidP="00FB7C1F">
      <w:r w:rsidRPr="004C78D8">
        <w:t xml:space="preserve">Simulated individuals are assigned the following baseline characteristics upon model entry: demographics and residence (Section </w:t>
      </w:r>
      <w:r w:rsidR="00F53444" w:rsidRPr="004C78D8">
        <w:t>5</w:t>
      </w:r>
      <w:r w:rsidRPr="004C78D8">
        <w:t>.</w:t>
      </w:r>
      <w:r w:rsidR="00127AB4" w:rsidRPr="004C78D8">
        <w:t>2</w:t>
      </w:r>
      <w:r w:rsidRPr="004C78D8">
        <w:t xml:space="preserve">.2.1); SES (Section </w:t>
      </w:r>
      <w:r w:rsidR="00F53444" w:rsidRPr="004C78D8">
        <w:t>5</w:t>
      </w:r>
      <w:r w:rsidRPr="004C78D8">
        <w:t>.</w:t>
      </w:r>
      <w:r w:rsidR="00127AB4" w:rsidRPr="004C78D8">
        <w:t>2</w:t>
      </w:r>
      <w:r w:rsidRPr="004C78D8">
        <w:t xml:space="preserve">.2.2); falls history (Section </w:t>
      </w:r>
      <w:r w:rsidR="00F53444" w:rsidRPr="004C78D8">
        <w:t>5</w:t>
      </w:r>
      <w:r w:rsidRPr="004C78D8">
        <w:t>.</w:t>
      </w:r>
      <w:r w:rsidR="00127AB4" w:rsidRPr="004C78D8">
        <w:t>2</w:t>
      </w:r>
      <w:r w:rsidRPr="004C78D8">
        <w:t xml:space="preserve">.2.3); frailty (Section </w:t>
      </w:r>
      <w:r w:rsidR="00F53444" w:rsidRPr="004C78D8">
        <w:t>5</w:t>
      </w:r>
      <w:r w:rsidRPr="004C78D8">
        <w:t>.</w:t>
      </w:r>
      <w:r w:rsidR="00127AB4" w:rsidRPr="004C78D8">
        <w:t>2</w:t>
      </w:r>
      <w:r w:rsidRPr="004C78D8">
        <w:t xml:space="preserve">.2.4); and additional key covariates (Section </w:t>
      </w:r>
      <w:r w:rsidR="00F53444" w:rsidRPr="004C78D8">
        <w:t>5</w:t>
      </w:r>
      <w:r w:rsidRPr="004C78D8">
        <w:t>.</w:t>
      </w:r>
      <w:r w:rsidR="00127AB4" w:rsidRPr="004C78D8">
        <w:t>2</w:t>
      </w:r>
      <w:r w:rsidRPr="004C78D8">
        <w:t>.2.5).</w:t>
      </w:r>
    </w:p>
    <w:p w14:paraId="37679FCB" w14:textId="2F90FD2E" w:rsidR="00242462" w:rsidRPr="004C78D8" w:rsidRDefault="00F53444" w:rsidP="00FB7C1F">
      <w:pPr>
        <w:pStyle w:val="Heading4"/>
      </w:pPr>
      <w:r w:rsidRPr="004C78D8">
        <w:t>5</w:t>
      </w:r>
      <w:r w:rsidR="00242462" w:rsidRPr="004C78D8">
        <w:t>.</w:t>
      </w:r>
      <w:r w:rsidR="00127AB4" w:rsidRPr="004C78D8">
        <w:t>2</w:t>
      </w:r>
      <w:r w:rsidR="00242462" w:rsidRPr="004C78D8">
        <w:t>.2.1 Demographic</w:t>
      </w:r>
      <w:r w:rsidR="007635A6" w:rsidRPr="004C78D8">
        <w:t>s</w:t>
      </w:r>
      <w:r w:rsidR="00242462" w:rsidRPr="004C78D8">
        <w:t xml:space="preserve"> and residence</w:t>
      </w:r>
    </w:p>
    <w:p w14:paraId="1F3B4A97" w14:textId="45B40B23" w:rsidR="004067A6" w:rsidRPr="004C78D8" w:rsidRDefault="00DD69E7" w:rsidP="00FB7C1F">
      <w:r w:rsidRPr="004C78D8">
        <w:t xml:space="preserve">The size of the target population in Sheffield during the </w:t>
      </w:r>
      <w:r w:rsidR="007B5F46" w:rsidRPr="004C78D8">
        <w:t xml:space="preserve">40-year </w:t>
      </w:r>
      <w:r w:rsidRPr="004C78D8">
        <w:t>period 2021</w:t>
      </w:r>
      <w:r w:rsidR="007B5F46" w:rsidRPr="004C78D8">
        <w:t>-</w:t>
      </w:r>
      <w:r w:rsidRPr="004C78D8">
        <w:t>2060 by age</w:t>
      </w:r>
      <w:r w:rsidR="000038FF" w:rsidRPr="004C78D8">
        <w:t xml:space="preserve"> (60</w:t>
      </w:r>
      <w:r w:rsidR="00EB06EE" w:rsidRPr="004C78D8">
        <w:t>+</w:t>
      </w:r>
      <w:r w:rsidR="000038FF" w:rsidRPr="004C78D8">
        <w:t>)</w:t>
      </w:r>
      <w:r w:rsidRPr="004C78D8">
        <w:t>, sex</w:t>
      </w:r>
      <w:r w:rsidR="007B5F46" w:rsidRPr="004C78D8">
        <w:t>,</w:t>
      </w:r>
      <w:r w:rsidRPr="004C78D8">
        <w:t xml:space="preserve"> and residence – community-dwelling vs. institutionali</w:t>
      </w:r>
      <w:r w:rsidR="009D5FA1" w:rsidRPr="004C78D8">
        <w:t>s</w:t>
      </w:r>
      <w:r w:rsidRPr="004C78D8">
        <w:t>ed –</w:t>
      </w:r>
      <w:r w:rsidR="008E6711" w:rsidRPr="004C78D8">
        <w:t xml:space="preserve"> </w:t>
      </w:r>
      <w:r w:rsidRPr="004C78D8">
        <w:t xml:space="preserve">was estimated from </w:t>
      </w:r>
      <w:r w:rsidR="004067A6" w:rsidRPr="004C78D8">
        <w:t>five</w:t>
      </w:r>
      <w:r w:rsidRPr="004C78D8">
        <w:t xml:space="preserve"> datasets: (1) </w:t>
      </w:r>
      <w:r w:rsidR="005568D7" w:rsidRPr="004C78D8">
        <w:t>ONS</w:t>
      </w:r>
      <w:r w:rsidRPr="004C78D8">
        <w:t xml:space="preserve"> </w:t>
      </w:r>
      <w:r w:rsidR="00242462" w:rsidRPr="004C78D8">
        <w:t xml:space="preserve">dataset </w:t>
      </w:r>
      <w:r w:rsidRPr="004C78D8">
        <w:t xml:space="preserve">on population size by age and sex disaggregated to local authority level </w:t>
      </w:r>
      <w:r w:rsidR="009D5FA1" w:rsidRPr="004C78D8">
        <w:t xml:space="preserve">in mid-2019 </w:t>
      </w:r>
      <w:r w:rsidR="009D5FA1" w:rsidRPr="004C78D8">
        <w:fldChar w:fldCharType="begin"/>
      </w:r>
      <w:r w:rsidR="00C630FC" w:rsidRPr="004C78D8">
        <w:instrText xml:space="preserve"> ADDIN EN.CITE &lt;EndNote&gt;&lt;Cite&gt;&lt;Author&gt;Office for National Statistics&lt;/Author&gt;&lt;Year&gt;2020&lt;/Year&gt;&lt;RecNum&gt;137&lt;/RecNum&gt;&lt;DisplayText&gt;[387]&lt;/DisplayText&gt;&lt;record&gt;&lt;rec-number&gt;137&lt;/rec-number&gt;&lt;foreign-keys&gt;&lt;key app="EN" db-id="tdtrdw9aepptzbefsat599syza29sxsd2wsp" timestamp="1599839778"&gt;137&lt;/key&gt;&lt;/foreign-keys&gt;&lt;ref-type name="Journal Article"&gt;17&lt;/ref-type&gt;&lt;contributors&gt;&lt;authors&gt;&lt;author&gt;Office for National Statistics,&lt;/author&gt;&lt;/authors&gt;&lt;/contributors&gt;&lt;titles&gt;&lt;title&gt;Estimates of the population for the UK, England and Wales, Scotland and Northern Ireland (Release date: 24 June 2020)&lt;/title&gt;&lt;/titles&gt;&lt;dates&gt;&lt;year&gt;2020&lt;/year&gt;&lt;/dates&gt;&lt;urls&gt;&lt;/urls&gt;&lt;/record&gt;&lt;/Cite&gt;&lt;/EndNote&gt;</w:instrText>
      </w:r>
      <w:r w:rsidR="009D5FA1" w:rsidRPr="004C78D8">
        <w:fldChar w:fldCharType="separate"/>
      </w:r>
      <w:r w:rsidR="00C630FC" w:rsidRPr="004C78D8">
        <w:rPr>
          <w:noProof/>
        </w:rPr>
        <w:t>[387]</w:t>
      </w:r>
      <w:r w:rsidR="009D5FA1" w:rsidRPr="004C78D8">
        <w:fldChar w:fldCharType="end"/>
      </w:r>
      <w:r w:rsidRPr="004C78D8">
        <w:t xml:space="preserve">; </w:t>
      </w:r>
      <w:r w:rsidR="004067A6" w:rsidRPr="004C78D8">
        <w:t xml:space="preserve">(2) ONS lifetables for annual mortality risk by age and sex </w:t>
      </w:r>
      <w:r w:rsidR="00967F04" w:rsidRPr="004C78D8">
        <w:t>based on data in 2016-2018 period</w:t>
      </w:r>
      <w:r w:rsidR="001313D7" w:rsidRPr="004C78D8">
        <w:t xml:space="preserve"> </w:t>
      </w:r>
      <w:r w:rsidR="001313D7" w:rsidRPr="004C78D8">
        <w:fldChar w:fldCharType="begin"/>
      </w:r>
      <w:r w:rsidR="00C630FC" w:rsidRPr="004C78D8">
        <w:instrText xml:space="preserve"> ADDIN EN.CITE &lt;EndNote&gt;&lt;Cite&gt;&lt;Author&gt;Office for National Statistics&lt;/Author&gt;&lt;Year&gt;2019&lt;/Year&gt;&lt;RecNum&gt;154&lt;/RecNum&gt;&lt;DisplayText&gt;[388]&lt;/DisplayText&gt;&lt;record&gt;&lt;rec-number&gt;154&lt;/rec-number&gt;&lt;foreign-keys&gt;&lt;key app="EN" db-id="tdtrdw9aepptzbefsat599syza29sxsd2wsp" timestamp="1605522927"&gt;154&lt;/key&gt;&lt;/foreign-keys&gt;&lt;ref-type name="Journal Article"&gt;17&lt;/ref-type&gt;&lt;contributors&gt;&lt;authors&gt;&lt;author&gt;Office for National Statistics,&lt;/author&gt;&lt;/authors&gt;&lt;/contributors&gt;&lt;titles&gt;&lt;title&gt;National Life Tables, United Kingdom, 1980-1982 to 2016-2018&lt;/title&gt;&lt;/titles&gt;&lt;dates&gt;&lt;year&gt;2019&lt;/year&gt;&lt;/dates&gt;&lt;urls&gt;&lt;/urls&gt;&lt;/record&gt;&lt;/Cite&gt;&lt;/EndNote&gt;</w:instrText>
      </w:r>
      <w:r w:rsidR="001313D7" w:rsidRPr="004C78D8">
        <w:fldChar w:fldCharType="separate"/>
      </w:r>
      <w:r w:rsidR="00C630FC" w:rsidRPr="004C78D8">
        <w:rPr>
          <w:noProof/>
        </w:rPr>
        <w:t>[388]</w:t>
      </w:r>
      <w:r w:rsidR="001313D7" w:rsidRPr="004C78D8">
        <w:fldChar w:fldCharType="end"/>
      </w:r>
      <w:r w:rsidR="004067A6" w:rsidRPr="004C78D8">
        <w:t xml:space="preserve">; </w:t>
      </w:r>
      <w:r w:rsidRPr="004C78D8">
        <w:t>(</w:t>
      </w:r>
      <w:r w:rsidR="00967F04" w:rsidRPr="004C78D8">
        <w:t>3</w:t>
      </w:r>
      <w:r w:rsidRPr="004C78D8">
        <w:t xml:space="preserve">) ONS projections on population size by </w:t>
      </w:r>
      <w:r w:rsidR="009F62AB" w:rsidRPr="004C78D8">
        <w:t>five</w:t>
      </w:r>
      <w:r w:rsidRPr="004C78D8">
        <w:t>-year age group and sex at local authority level for period 2018-2043</w:t>
      </w:r>
      <w:r w:rsidR="00242462" w:rsidRPr="004C78D8">
        <w:t xml:space="preserve"> </w:t>
      </w:r>
      <w:r w:rsidRPr="004C78D8">
        <w:t>based on demographic, mortality and migration patterns during the 2014-2018 period</w:t>
      </w:r>
      <w:r w:rsidR="001313D7" w:rsidRPr="004C78D8">
        <w:t xml:space="preserve"> </w:t>
      </w:r>
      <w:r w:rsidR="001313D7" w:rsidRPr="004C78D8">
        <w:fldChar w:fldCharType="begin"/>
      </w:r>
      <w:r w:rsidR="00C630FC" w:rsidRPr="004C78D8">
        <w:instrText xml:space="preserve"> ADDIN EN.CITE &lt;EndNote&gt;&lt;Cite&gt;&lt;Author&gt;Office for National Statistics&lt;/Author&gt;&lt;Year&gt;2020&lt;/Year&gt;&lt;RecNum&gt;136&lt;/RecNum&gt;&lt;DisplayText&gt;[389]&lt;/DisplayText&gt;&lt;record&gt;&lt;rec-number&gt;136&lt;/rec-number&gt;&lt;foreign-keys&gt;&lt;key app="EN" db-id="tdtrdw9aepptzbefsat599syza29sxsd2wsp" timestamp="1599839691"&gt;136&lt;/key&gt;&lt;/foreign-keys&gt;&lt;ref-type name="Journal Article"&gt;17&lt;/ref-type&gt;&lt;contributors&gt;&lt;authors&gt;&lt;author&gt;Office for National Statistics,&lt;/author&gt;&lt;/authors&gt;&lt;/contributors&gt;&lt;titles&gt;&lt;title&gt;2018-based subnational principal population projections for local authorities and higher administrative areas in England&lt;/title&gt;&lt;/titles&gt;&lt;dates&gt;&lt;year&gt;2020&lt;/year&gt;&lt;/dates&gt;&lt;urls&gt;&lt;/urls&gt;&lt;/record&gt;&lt;/Cite&gt;&lt;/EndNote&gt;</w:instrText>
      </w:r>
      <w:r w:rsidR="001313D7" w:rsidRPr="004C78D8">
        <w:fldChar w:fldCharType="separate"/>
      </w:r>
      <w:r w:rsidR="00C630FC" w:rsidRPr="004C78D8">
        <w:rPr>
          <w:noProof/>
        </w:rPr>
        <w:t>[389]</w:t>
      </w:r>
      <w:r w:rsidR="001313D7" w:rsidRPr="004C78D8">
        <w:fldChar w:fldCharType="end"/>
      </w:r>
      <w:r w:rsidRPr="004C78D8">
        <w:t>; (</w:t>
      </w:r>
      <w:r w:rsidR="00967F04" w:rsidRPr="004C78D8">
        <w:t>4</w:t>
      </w:r>
      <w:r w:rsidRPr="004C78D8">
        <w:t xml:space="preserve">) </w:t>
      </w:r>
      <w:r w:rsidR="000038FF" w:rsidRPr="004C78D8">
        <w:t xml:space="preserve">NHS Digital </w:t>
      </w:r>
      <w:r w:rsidR="007C7EBE" w:rsidRPr="004C78D8">
        <w:t>estimate of the average institutionali</w:t>
      </w:r>
      <w:r w:rsidR="001313D7" w:rsidRPr="004C78D8">
        <w:t>s</w:t>
      </w:r>
      <w:r w:rsidR="007C7EBE" w:rsidRPr="004C78D8">
        <w:t xml:space="preserve">ation rate for </w:t>
      </w:r>
      <w:r w:rsidR="004F7DEC" w:rsidRPr="004C78D8">
        <w:t xml:space="preserve">the </w:t>
      </w:r>
      <w:r w:rsidR="007C7EBE" w:rsidRPr="004C78D8">
        <w:t>Sheffield population aged 65</w:t>
      </w:r>
      <w:r w:rsidR="009F62AB" w:rsidRPr="004C78D8">
        <w:t>+</w:t>
      </w:r>
      <w:r w:rsidR="007C7EBE" w:rsidRPr="004C78D8">
        <w:t xml:space="preserve"> at the end of the financial year 2018-19</w:t>
      </w:r>
      <w:r w:rsidR="001313D7" w:rsidRPr="004C78D8">
        <w:t xml:space="preserve"> </w:t>
      </w:r>
      <w:r w:rsidR="001313D7" w:rsidRPr="004C78D8">
        <w:fldChar w:fldCharType="begin"/>
      </w:r>
      <w:r w:rsidR="00C630FC" w:rsidRPr="004C78D8">
        <w:instrText xml:space="preserve"> ADDIN EN.CITE &lt;EndNote&gt;&lt;Cite&gt;&lt;Author&gt;NHS Digital&lt;/Author&gt;&lt;Year&gt;2019&lt;/Year&gt;&lt;RecNum&gt;138&lt;/RecNum&gt;&lt;DisplayText&gt;[390]&lt;/DisplayText&gt;&lt;record&gt;&lt;rec-number&gt;138&lt;/rec-number&gt;&lt;foreign-keys&gt;&lt;key app="EN" db-id="tdtrdw9aepptzbefsat599syza29sxsd2wsp" timestamp="1599839856"&gt;138&lt;/key&gt;&lt;/foreign-keys&gt;&lt;ref-type name="Journal Article"&gt;17&lt;/ref-type&gt;&lt;contributors&gt;&lt;authors&gt;&lt;author&gt;NHS Digital,&lt;/author&gt;&lt;/authors&gt;&lt;/contributors&gt;&lt;titles&gt;&lt;title&gt;Adult Social Care Activity and Finance Report, England - 2018-19&lt;/title&gt;&lt;/titles&gt;&lt;dates&gt;&lt;year&gt;2019&lt;/year&gt;&lt;/dates&gt;&lt;urls&gt;&lt;/urls&gt;&lt;/record&gt;&lt;/Cite&gt;&lt;/EndNote&gt;</w:instrText>
      </w:r>
      <w:r w:rsidR="001313D7" w:rsidRPr="004C78D8">
        <w:fldChar w:fldCharType="separate"/>
      </w:r>
      <w:r w:rsidR="00C630FC" w:rsidRPr="004C78D8">
        <w:rPr>
          <w:noProof/>
        </w:rPr>
        <w:t>[390]</w:t>
      </w:r>
      <w:r w:rsidR="001313D7" w:rsidRPr="004C78D8">
        <w:fldChar w:fldCharType="end"/>
      </w:r>
      <w:r w:rsidR="007C7EBE" w:rsidRPr="004C78D8">
        <w:t>; and (</w:t>
      </w:r>
      <w:r w:rsidR="00967F04" w:rsidRPr="004C78D8">
        <w:t>5</w:t>
      </w:r>
      <w:r w:rsidR="007C7EBE" w:rsidRPr="004C78D8">
        <w:t xml:space="preserve">) ELSA Wave 4 for the </w:t>
      </w:r>
      <w:r w:rsidR="004067A6" w:rsidRPr="004C78D8">
        <w:t xml:space="preserve">relative </w:t>
      </w:r>
      <w:r w:rsidR="007C7EBE" w:rsidRPr="004C78D8">
        <w:t>odds of being institutionali</w:t>
      </w:r>
      <w:r w:rsidR="001313D7" w:rsidRPr="004C78D8">
        <w:t>s</w:t>
      </w:r>
      <w:r w:rsidR="007C7EBE" w:rsidRPr="004C78D8">
        <w:t xml:space="preserve">ed by </w:t>
      </w:r>
      <w:r w:rsidR="009F62AB" w:rsidRPr="004C78D8">
        <w:t>five</w:t>
      </w:r>
      <w:r w:rsidR="007C7EBE" w:rsidRPr="004C78D8">
        <w:t>-year age group and sex for the English population aged 60</w:t>
      </w:r>
      <w:r w:rsidR="009F62AB" w:rsidRPr="004C78D8">
        <w:t>+</w:t>
      </w:r>
      <w:r w:rsidR="007C7EBE" w:rsidRPr="004C78D8">
        <w:t>.</w:t>
      </w:r>
      <w:r w:rsidRPr="004C78D8">
        <w:t xml:space="preserve"> </w:t>
      </w:r>
    </w:p>
    <w:p w14:paraId="3ED738C9" w14:textId="0E2F80C7" w:rsidR="004C0348" w:rsidRPr="004C78D8" w:rsidRDefault="00F650C0" w:rsidP="00FB7C1F">
      <w:r w:rsidRPr="004C78D8">
        <w:t xml:space="preserve">Annual mortality risks </w:t>
      </w:r>
      <w:r w:rsidR="00662AE6" w:rsidRPr="004C78D8">
        <w:t xml:space="preserve">stratified by age and sex </w:t>
      </w:r>
      <w:r w:rsidRPr="004C78D8">
        <w:t xml:space="preserve">were applied </w:t>
      </w:r>
      <w:r w:rsidR="002F228E" w:rsidRPr="004C78D8">
        <w:t xml:space="preserve">twice </w:t>
      </w:r>
      <w:r w:rsidRPr="004C78D8">
        <w:t>to the 2019 Sheffield population aged 60</w:t>
      </w:r>
      <w:r w:rsidR="00CA7B60" w:rsidRPr="004C78D8">
        <w:t>+</w:t>
      </w:r>
      <w:r w:rsidRPr="004C78D8">
        <w:t xml:space="preserve"> to estimate the population size by age (now 62</w:t>
      </w:r>
      <w:r w:rsidR="00CA7B60" w:rsidRPr="004C78D8">
        <w:t>+</w:t>
      </w:r>
      <w:r w:rsidRPr="004C78D8">
        <w:t>) and sex in 2021. The projected sizes of the population aged 60 and 61 were added</w:t>
      </w:r>
      <w:r w:rsidR="002F228E" w:rsidRPr="004C78D8">
        <w:t xml:space="preserve"> </w:t>
      </w:r>
      <w:r w:rsidRPr="004C78D8">
        <w:t>to form a Sheffield cohort aged 60</w:t>
      </w:r>
      <w:r w:rsidR="00CA7B60" w:rsidRPr="004C78D8">
        <w:t>+</w:t>
      </w:r>
      <w:r w:rsidRPr="004C78D8">
        <w:t xml:space="preserve"> in 2021. </w:t>
      </w:r>
      <w:r w:rsidR="002F228E" w:rsidRPr="004C78D8">
        <w:t xml:space="preserve">Because the projected sizes were reported in </w:t>
      </w:r>
      <w:r w:rsidR="00CA7B60" w:rsidRPr="004C78D8">
        <w:t>five</w:t>
      </w:r>
      <w:r w:rsidR="002F228E" w:rsidRPr="004C78D8">
        <w:t>-year age groups, the share of those aged 60 in that age group was estimated from the ONS 2019 population data</w:t>
      </w:r>
      <w:r w:rsidR="004E1828" w:rsidRPr="004C78D8">
        <w:t xml:space="preserve"> </w:t>
      </w:r>
      <w:r w:rsidR="004E1828" w:rsidRPr="004C78D8">
        <w:fldChar w:fldCharType="begin"/>
      </w:r>
      <w:r w:rsidR="00C630FC" w:rsidRPr="004C78D8">
        <w:instrText xml:space="preserve"> ADDIN EN.CITE &lt;EndNote&gt;&lt;Cite&gt;&lt;Author&gt;Office for National Statistics&lt;/Author&gt;&lt;Year&gt;2020&lt;/Year&gt;&lt;RecNum&gt;137&lt;/RecNum&gt;&lt;DisplayText&gt;[387]&lt;/DisplayText&gt;&lt;record&gt;&lt;rec-number&gt;137&lt;/rec-number&gt;&lt;foreign-keys&gt;&lt;key app="EN" db-id="tdtrdw9aepptzbefsat599syza29sxsd2wsp" timestamp="1599839778"&gt;137&lt;/key&gt;&lt;/foreign-keys&gt;&lt;ref-type name="Journal Article"&gt;17&lt;/ref-type&gt;&lt;contributors&gt;&lt;authors&gt;&lt;author&gt;Office for National Statistics,&lt;/author&gt;&lt;/authors&gt;&lt;/contributors&gt;&lt;titles&gt;&lt;title&gt;Estimates of the population for the UK, England and Wales, Scotland and Northern Ireland (Release date: 24 June 2020)&lt;/title&gt;&lt;/titles&gt;&lt;dates&gt;&lt;year&gt;2020&lt;/year&gt;&lt;/dates&gt;&lt;urls&gt;&lt;/urls&gt;&lt;/record&gt;&lt;/Cite&gt;&lt;/EndNote&gt;</w:instrText>
      </w:r>
      <w:r w:rsidR="004E1828" w:rsidRPr="004C78D8">
        <w:fldChar w:fldCharType="separate"/>
      </w:r>
      <w:r w:rsidR="00C630FC" w:rsidRPr="004C78D8">
        <w:rPr>
          <w:noProof/>
        </w:rPr>
        <w:t>[387]</w:t>
      </w:r>
      <w:r w:rsidR="004E1828" w:rsidRPr="004C78D8">
        <w:fldChar w:fldCharType="end"/>
      </w:r>
      <w:r w:rsidR="002F228E" w:rsidRPr="004C78D8">
        <w:t xml:space="preserve">. </w:t>
      </w:r>
      <w:r w:rsidRPr="004C78D8">
        <w:t>According to the NHS Digital report, at the end of the financial year 2018-19 there were 1,580 Sheffield residents aged 65</w:t>
      </w:r>
      <w:r w:rsidR="00CA7B60" w:rsidRPr="004C78D8">
        <w:t>+</w:t>
      </w:r>
      <w:r w:rsidRPr="004C78D8">
        <w:t xml:space="preserve"> living in nursing homes or residential care facilities </w:t>
      </w:r>
      <w:r w:rsidR="008534DC" w:rsidRPr="004C78D8">
        <w:t>supported by the local authority</w:t>
      </w:r>
      <w:r w:rsidR="004E1828" w:rsidRPr="004C78D8">
        <w:t xml:space="preserve"> </w:t>
      </w:r>
      <w:r w:rsidR="004E1828" w:rsidRPr="004C78D8">
        <w:fldChar w:fldCharType="begin"/>
      </w:r>
      <w:r w:rsidR="00C630FC" w:rsidRPr="004C78D8">
        <w:instrText xml:space="preserve"> ADDIN EN.CITE &lt;EndNote&gt;&lt;Cite&gt;&lt;Author&gt;NHS Digital&lt;/Author&gt;&lt;Year&gt;2019&lt;/Year&gt;&lt;RecNum&gt;138&lt;/RecNum&gt;&lt;DisplayText&gt;[390]&lt;/DisplayText&gt;&lt;record&gt;&lt;rec-number&gt;138&lt;/rec-number&gt;&lt;foreign-keys&gt;&lt;key app="EN" db-id="tdtrdw9aepptzbefsat599syza29sxsd2wsp" timestamp="1599839856"&gt;138&lt;/key&gt;&lt;/foreign-keys&gt;&lt;ref-type name="Journal Article"&gt;17&lt;/ref-type&gt;&lt;contributors&gt;&lt;authors&gt;&lt;author&gt;NHS Digital,&lt;/author&gt;&lt;/authors&gt;&lt;/contributors&gt;&lt;titles&gt;&lt;title&gt;Adult Social Care Activity and Finance Report, England - 2018-19&lt;/title&gt;&lt;/titles&gt;&lt;dates&gt;&lt;year&gt;2019&lt;/year&gt;&lt;/dates&gt;&lt;urls&gt;&lt;/urls&gt;&lt;/record&gt;&lt;/Cite&gt;&lt;/EndNote&gt;</w:instrText>
      </w:r>
      <w:r w:rsidR="004E1828" w:rsidRPr="004C78D8">
        <w:fldChar w:fldCharType="separate"/>
      </w:r>
      <w:r w:rsidR="00C630FC" w:rsidRPr="004C78D8">
        <w:rPr>
          <w:noProof/>
        </w:rPr>
        <w:t>[390]</w:t>
      </w:r>
      <w:r w:rsidR="004E1828" w:rsidRPr="004C78D8">
        <w:fldChar w:fldCharType="end"/>
      </w:r>
      <w:r w:rsidRPr="004C78D8">
        <w:t xml:space="preserve">. </w:t>
      </w:r>
      <w:r w:rsidR="008534DC" w:rsidRPr="004C78D8">
        <w:t>This constituted 1.67% of the total Sheffield population aged 65</w:t>
      </w:r>
      <w:r w:rsidR="00CA7B60" w:rsidRPr="004C78D8">
        <w:t>+</w:t>
      </w:r>
      <w:r w:rsidR="008534DC" w:rsidRPr="004C78D8">
        <w:t>. However, t</w:t>
      </w:r>
      <w:r w:rsidRPr="004C78D8">
        <w:t>his</w:t>
      </w:r>
      <w:r w:rsidR="008534DC" w:rsidRPr="004C78D8">
        <w:t xml:space="preserve"> number does not include individuals living in </w:t>
      </w:r>
      <w:r w:rsidR="00CA7B60" w:rsidRPr="004C78D8">
        <w:t>private</w:t>
      </w:r>
      <w:r w:rsidR="008534DC" w:rsidRPr="004C78D8">
        <w:t xml:space="preserve"> </w:t>
      </w:r>
      <w:r w:rsidR="004E1828" w:rsidRPr="004C78D8">
        <w:t>LTC</w:t>
      </w:r>
      <w:r w:rsidR="008534DC" w:rsidRPr="004C78D8">
        <w:t xml:space="preserve"> facilities. According to </w:t>
      </w:r>
      <w:r w:rsidR="00CA7B60" w:rsidRPr="004C78D8">
        <w:t>the PHE</w:t>
      </w:r>
      <w:r w:rsidR="008534DC" w:rsidRPr="004C78D8">
        <w:t xml:space="preserve"> model, 43.6% of new LTC admissions caused by hospitali</w:t>
      </w:r>
      <w:r w:rsidR="00CA7B60" w:rsidRPr="004C78D8">
        <w:t>s</w:t>
      </w:r>
      <w:r w:rsidR="008534DC" w:rsidRPr="004C78D8">
        <w:t xml:space="preserve">ed </w:t>
      </w:r>
      <w:r w:rsidR="008534DC" w:rsidRPr="004C78D8">
        <w:lastRenderedPageBreak/>
        <w:t>fall</w:t>
      </w:r>
      <w:r w:rsidR="00CA7B60" w:rsidRPr="004C78D8">
        <w:t>s</w:t>
      </w:r>
      <w:r w:rsidR="008534DC" w:rsidRPr="004C78D8">
        <w:t xml:space="preserve"> were privately funded</w:t>
      </w:r>
      <w:r w:rsidR="004E1828" w:rsidRPr="004C78D8">
        <w:t xml:space="preserve"> </w:t>
      </w:r>
      <w:r w:rsidR="004E1828" w:rsidRPr="004C78D8">
        <w:fldChar w:fldCharType="begin"/>
      </w:r>
      <w:r w:rsidR="00C630FC" w:rsidRPr="004C78D8">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004E1828" w:rsidRPr="004C78D8">
        <w:fldChar w:fldCharType="separate"/>
      </w:r>
      <w:r w:rsidR="00C630FC" w:rsidRPr="004C78D8">
        <w:rPr>
          <w:noProof/>
        </w:rPr>
        <w:t>[216]</w:t>
      </w:r>
      <w:r w:rsidR="004E1828" w:rsidRPr="004C78D8">
        <w:fldChar w:fldCharType="end"/>
      </w:r>
      <w:r w:rsidR="008534DC" w:rsidRPr="004C78D8">
        <w:t xml:space="preserve">. If this percentage </w:t>
      </w:r>
      <w:r w:rsidR="00CA7B60" w:rsidRPr="004C78D8">
        <w:t>is</w:t>
      </w:r>
      <w:r w:rsidR="008534DC" w:rsidRPr="004C78D8">
        <w:t xml:space="preserve"> assumed to apply to LTC admissions for any cause, then the percentage of the Sheffield population aged 65</w:t>
      </w:r>
      <w:r w:rsidR="00CA7B60" w:rsidRPr="004C78D8">
        <w:t>+</w:t>
      </w:r>
      <w:r w:rsidR="008534DC" w:rsidRPr="004C78D8">
        <w:t xml:space="preserve"> living in LTC </w:t>
      </w:r>
      <w:r w:rsidR="00CA7B60" w:rsidRPr="004C78D8">
        <w:t>would be</w:t>
      </w:r>
      <w:r w:rsidR="008534DC" w:rsidRPr="004C78D8">
        <w:t xml:space="preserve"> 2.96%. </w:t>
      </w:r>
    </w:p>
    <w:p w14:paraId="6F4E6F13" w14:textId="066C5A89" w:rsidR="006D7C89" w:rsidRPr="004C78D8" w:rsidRDefault="004C0348" w:rsidP="00FB7C1F">
      <w:r w:rsidRPr="004C78D8">
        <w:t>In comparison, the ELSA data appear to underestimate the prevalence of institutionali</w:t>
      </w:r>
      <w:r w:rsidR="004E1828" w:rsidRPr="004C78D8">
        <w:t>s</w:t>
      </w:r>
      <w:r w:rsidRPr="004C78D8">
        <w:t xml:space="preserve">ation in the </w:t>
      </w:r>
      <w:r w:rsidR="00FC3C3B" w:rsidRPr="004C78D8">
        <w:t>older</w:t>
      </w:r>
      <w:r w:rsidRPr="004C78D8">
        <w:t xml:space="preserve"> population. According to a variable that recorded where the survey interview took place, only 0.9% of Wave 4 interviews were recorded to have taken place in an institution. Nevertheless, the ELSA information on the degree of variation in institutionali</w:t>
      </w:r>
      <w:r w:rsidR="004E1828" w:rsidRPr="004C78D8">
        <w:t>s</w:t>
      </w:r>
      <w:r w:rsidRPr="004C78D8">
        <w:t xml:space="preserve">ation rate by age group and sex was assumed to </w:t>
      </w:r>
      <w:r w:rsidR="00CA7B60" w:rsidRPr="004C78D8">
        <w:t>apply</w:t>
      </w:r>
      <w:r w:rsidRPr="004C78D8">
        <w:t xml:space="preserve"> to the model populatio</w:t>
      </w:r>
      <w:r w:rsidR="0044591C" w:rsidRPr="004C78D8">
        <w:t>n. Hence</w:t>
      </w:r>
      <w:r w:rsidR="00F650C0" w:rsidRPr="004C78D8">
        <w:t>, the odd</w:t>
      </w:r>
      <w:r w:rsidR="004E1828" w:rsidRPr="004C78D8">
        <w:t>s</w:t>
      </w:r>
      <w:r w:rsidR="00F650C0" w:rsidRPr="004C78D8">
        <w:t xml:space="preserve"> ratios of being institutionali</w:t>
      </w:r>
      <w:r w:rsidR="004E1828" w:rsidRPr="004C78D8">
        <w:t>s</w:t>
      </w:r>
      <w:r w:rsidR="00F650C0" w:rsidRPr="004C78D8">
        <w:t>ed for each age and sex subgroup relative to male</w:t>
      </w:r>
      <w:r w:rsidR="004E1828" w:rsidRPr="004C78D8">
        <w:t>s</w:t>
      </w:r>
      <w:r w:rsidR="00F650C0" w:rsidRPr="004C78D8">
        <w:t xml:space="preserve"> aged 65-69 were estimated from ELSA Wave 4</w:t>
      </w:r>
      <w:r w:rsidR="0076298F" w:rsidRPr="004C78D8">
        <w:t xml:space="preserve"> (Table </w:t>
      </w:r>
      <w:r w:rsidR="004E1828" w:rsidRPr="004C78D8">
        <w:t>E</w:t>
      </w:r>
      <w:r w:rsidR="004350F8" w:rsidRPr="004C78D8">
        <w:t>5</w:t>
      </w:r>
      <w:r w:rsidR="0076298F" w:rsidRPr="004C78D8">
        <w:t xml:space="preserve"> in Appendix </w:t>
      </w:r>
      <w:r w:rsidR="004E1828" w:rsidRPr="004C78D8">
        <w:t>E</w:t>
      </w:r>
      <w:r w:rsidR="0076298F" w:rsidRPr="004C78D8">
        <w:t>)</w:t>
      </w:r>
      <w:r w:rsidR="00F650C0" w:rsidRPr="004C78D8">
        <w:t xml:space="preserve">. The subgroup-specific rates that produced a weighted average rate of </w:t>
      </w:r>
      <w:r w:rsidR="008534DC" w:rsidRPr="004C78D8">
        <w:t>2</w:t>
      </w:r>
      <w:r w:rsidR="00F650C0" w:rsidRPr="004C78D8">
        <w:t>.</w:t>
      </w:r>
      <w:r w:rsidR="008534DC" w:rsidRPr="004C78D8">
        <w:t>96</w:t>
      </w:r>
      <w:r w:rsidR="00F650C0" w:rsidRPr="004C78D8">
        <w:t xml:space="preserve">% were </w:t>
      </w:r>
      <w:r w:rsidR="0044591C" w:rsidRPr="004C78D8">
        <w:t xml:space="preserve">then </w:t>
      </w:r>
      <w:r w:rsidR="00F650C0" w:rsidRPr="004C78D8">
        <w:t xml:space="preserve">estimated. The </w:t>
      </w:r>
      <w:r w:rsidR="00EC7AA8" w:rsidRPr="004C78D8">
        <w:t xml:space="preserve">multipliers of </w:t>
      </w:r>
      <w:r w:rsidR="00A255EB" w:rsidRPr="004C78D8">
        <w:t>one</w:t>
      </w:r>
      <w:r w:rsidR="00EC7AA8" w:rsidRPr="004C78D8">
        <w:t xml:space="preserve"> minus </w:t>
      </w:r>
      <w:r w:rsidR="0076298F" w:rsidRPr="004C78D8">
        <w:t xml:space="preserve">subgroup-specific </w:t>
      </w:r>
      <w:r w:rsidR="00EC7AA8" w:rsidRPr="004C78D8">
        <w:t>institutionali</w:t>
      </w:r>
      <w:r w:rsidR="000A337D" w:rsidRPr="004C78D8">
        <w:t>s</w:t>
      </w:r>
      <w:r w:rsidR="00EC7AA8" w:rsidRPr="004C78D8">
        <w:t xml:space="preserve">ation </w:t>
      </w:r>
      <w:r w:rsidR="00F650C0" w:rsidRPr="004C78D8">
        <w:t>rate</w:t>
      </w:r>
      <w:r w:rsidR="0076298F" w:rsidRPr="004C78D8">
        <w:t>s</w:t>
      </w:r>
      <w:r w:rsidR="00F650C0" w:rsidRPr="004C78D8">
        <w:t xml:space="preserve"> were then applied to </w:t>
      </w:r>
      <w:r w:rsidR="00EC7AA8" w:rsidRPr="004C78D8">
        <w:t>the all-residence population</w:t>
      </w:r>
      <w:r w:rsidR="00F650C0" w:rsidRPr="004C78D8">
        <w:t xml:space="preserve"> to estimate the numbers of community-dwelling persons in each age and sex subgroup.</w:t>
      </w:r>
      <w:r w:rsidR="006D7C89" w:rsidRPr="004C78D8">
        <w:t xml:space="preserve"> </w:t>
      </w:r>
      <w:r w:rsidR="002C2316" w:rsidRPr="004C78D8">
        <w:t xml:space="preserve">The first three columns of Table </w:t>
      </w:r>
      <w:r w:rsidR="00F53444" w:rsidRPr="004C78D8">
        <w:t>5</w:t>
      </w:r>
      <w:r w:rsidR="002C2316" w:rsidRPr="004C78D8">
        <w:t>.</w:t>
      </w:r>
      <w:r w:rsidR="00243664" w:rsidRPr="004C78D8">
        <w:t>4</w:t>
      </w:r>
      <w:r w:rsidR="002C2316" w:rsidRPr="004C78D8">
        <w:t xml:space="preserve"> show the number of community-dwelling persons in Sheffield by age and sex for the initial cohort aged 60</w:t>
      </w:r>
      <w:r w:rsidR="00A463F5" w:rsidRPr="004C78D8">
        <w:t>+</w:t>
      </w:r>
      <w:r w:rsidR="002C2316" w:rsidRPr="004C78D8">
        <w:t xml:space="preserve"> in 2021</w:t>
      </w:r>
      <w:r w:rsidR="00A463F5" w:rsidRPr="004C78D8">
        <w:t xml:space="preserve"> (n=125,244)</w:t>
      </w:r>
      <w:r w:rsidR="00181E81" w:rsidRPr="004C78D8">
        <w:t xml:space="preserve">. According to the </w:t>
      </w:r>
      <w:r w:rsidR="002F228E" w:rsidRPr="004C78D8">
        <w:t xml:space="preserve">overall </w:t>
      </w:r>
      <w:r w:rsidR="00181E81" w:rsidRPr="004C78D8">
        <w:t>sex ratio for the initial cohort</w:t>
      </w:r>
      <w:r w:rsidR="002F228E" w:rsidRPr="004C78D8">
        <w:t xml:space="preserve"> across all ages</w:t>
      </w:r>
      <w:r w:rsidR="00181E81" w:rsidRPr="004C78D8">
        <w:t xml:space="preserve">, 46.5% of the individuals were assigned to be male. </w:t>
      </w:r>
      <w:r w:rsidR="00810B20" w:rsidRPr="004C78D8">
        <w:t xml:space="preserve">The age distribution for each sex was then assigned by the percentage of people of the same sex in each age (i.e., the </w:t>
      </w:r>
      <w:r w:rsidR="00DA0AA9" w:rsidRPr="004C78D8">
        <w:t xml:space="preserve">parenthesised </w:t>
      </w:r>
      <w:r w:rsidR="00810B20" w:rsidRPr="004C78D8">
        <w:t xml:space="preserve">values in columns </w:t>
      </w:r>
      <w:r w:rsidR="002F228E" w:rsidRPr="004C78D8">
        <w:t xml:space="preserve">two and three </w:t>
      </w:r>
      <w:r w:rsidR="00810B20" w:rsidRPr="004C78D8">
        <w:t xml:space="preserve">of Table </w:t>
      </w:r>
      <w:r w:rsidR="00F53444" w:rsidRPr="004C78D8">
        <w:t>5</w:t>
      </w:r>
      <w:r w:rsidR="00810B20" w:rsidRPr="004C78D8">
        <w:t>.</w:t>
      </w:r>
      <w:r w:rsidR="00243664" w:rsidRPr="004C78D8">
        <w:t>4</w:t>
      </w:r>
      <w:r w:rsidR="00810B20" w:rsidRPr="004C78D8">
        <w:t xml:space="preserve">). </w:t>
      </w:r>
    </w:p>
    <w:tbl>
      <w:tblPr>
        <w:tblStyle w:val="TableGrid"/>
        <w:tblW w:w="5000" w:type="pct"/>
        <w:tblLook w:val="04A0" w:firstRow="1" w:lastRow="0" w:firstColumn="1" w:lastColumn="0" w:noHBand="0" w:noVBand="1"/>
      </w:tblPr>
      <w:tblGrid>
        <w:gridCol w:w="1801"/>
        <w:gridCol w:w="1803"/>
        <w:gridCol w:w="1805"/>
        <w:gridCol w:w="1533"/>
        <w:gridCol w:w="2074"/>
      </w:tblGrid>
      <w:tr w:rsidR="006D7C89" w:rsidRPr="004C78D8" w14:paraId="1A27F684" w14:textId="77777777" w:rsidTr="00E35893">
        <w:tc>
          <w:tcPr>
            <w:tcW w:w="5000" w:type="pct"/>
            <w:gridSpan w:val="5"/>
          </w:tcPr>
          <w:p w14:paraId="61E1452F" w14:textId="05D9F4BE" w:rsidR="006D7C89" w:rsidRPr="004C78D8" w:rsidRDefault="006D7C89" w:rsidP="00FB7C1F">
            <w:pPr>
              <w:jc w:val="left"/>
            </w:pPr>
            <w:r w:rsidRPr="004C78D8">
              <w:rPr>
                <w:b/>
                <w:bCs/>
              </w:rPr>
              <w:t xml:space="preserve">Table </w:t>
            </w:r>
            <w:r w:rsidR="00F53444" w:rsidRPr="004C78D8">
              <w:rPr>
                <w:b/>
                <w:bCs/>
              </w:rPr>
              <w:t>5</w:t>
            </w:r>
            <w:r w:rsidRPr="004C78D8">
              <w:rPr>
                <w:b/>
                <w:bCs/>
              </w:rPr>
              <w:t>.</w:t>
            </w:r>
            <w:r w:rsidR="00243664" w:rsidRPr="004C78D8">
              <w:rPr>
                <w:b/>
                <w:bCs/>
              </w:rPr>
              <w:t>4</w:t>
            </w:r>
            <w:r w:rsidRPr="004C78D8">
              <w:t xml:space="preserve"> Community-dwelling Sheffield population for period 2021-2060: (a) initial cohort aged 60 and over in 2021; (b) new entry cohorts aged 60 between 2022 and 2060</w:t>
            </w:r>
            <w:r w:rsidR="00DA0AA9" w:rsidRPr="004C78D8">
              <w:t>.</w:t>
            </w:r>
          </w:p>
        </w:tc>
      </w:tr>
      <w:tr w:rsidR="006D7C89" w:rsidRPr="004C78D8" w14:paraId="44C02D55" w14:textId="77777777" w:rsidTr="00E35893">
        <w:tc>
          <w:tcPr>
            <w:tcW w:w="2999" w:type="pct"/>
            <w:gridSpan w:val="3"/>
          </w:tcPr>
          <w:p w14:paraId="53545ACB" w14:textId="59F3E52F" w:rsidR="006D7C89" w:rsidRPr="004C78D8" w:rsidRDefault="006D7C89" w:rsidP="00FB7C1F">
            <w:pPr>
              <w:jc w:val="center"/>
              <w:rPr>
                <w:b/>
                <w:bCs/>
                <w:sz w:val="18"/>
                <w:szCs w:val="18"/>
              </w:rPr>
            </w:pPr>
            <w:r w:rsidRPr="004C78D8">
              <w:rPr>
                <w:b/>
                <w:bCs/>
                <w:sz w:val="18"/>
                <w:szCs w:val="18"/>
              </w:rPr>
              <w:t>(a) Initial cohort size by age and sex (% of sex total)</w:t>
            </w:r>
          </w:p>
        </w:tc>
        <w:tc>
          <w:tcPr>
            <w:tcW w:w="2001" w:type="pct"/>
            <w:gridSpan w:val="2"/>
          </w:tcPr>
          <w:p w14:paraId="3F308DE4" w14:textId="707A185D" w:rsidR="006D7C89" w:rsidRPr="004C78D8" w:rsidRDefault="006D7C89" w:rsidP="00FB7C1F">
            <w:pPr>
              <w:jc w:val="center"/>
              <w:rPr>
                <w:b/>
                <w:bCs/>
                <w:sz w:val="18"/>
                <w:szCs w:val="18"/>
              </w:rPr>
            </w:pPr>
            <w:r w:rsidRPr="004C78D8">
              <w:rPr>
                <w:b/>
                <w:bCs/>
                <w:sz w:val="18"/>
                <w:szCs w:val="18"/>
              </w:rPr>
              <w:t>(b) New entry cohort size by year</w:t>
            </w:r>
          </w:p>
        </w:tc>
      </w:tr>
      <w:tr w:rsidR="006D7C89" w:rsidRPr="004C78D8" w14:paraId="12DF5C47" w14:textId="77777777" w:rsidTr="00E35893">
        <w:tc>
          <w:tcPr>
            <w:tcW w:w="999" w:type="pct"/>
            <w:tcBorders>
              <w:bottom w:val="single" w:sz="4" w:space="0" w:color="auto"/>
            </w:tcBorders>
          </w:tcPr>
          <w:p w14:paraId="1B97F6FD" w14:textId="4D645271" w:rsidR="006D7C89" w:rsidRPr="004C78D8" w:rsidRDefault="00EF35B8" w:rsidP="00FB7C1F">
            <w:pPr>
              <w:jc w:val="center"/>
              <w:rPr>
                <w:b/>
                <w:bCs/>
                <w:sz w:val="18"/>
                <w:szCs w:val="18"/>
              </w:rPr>
            </w:pPr>
            <w:r w:rsidRPr="004C78D8">
              <w:rPr>
                <w:b/>
                <w:bCs/>
                <w:sz w:val="18"/>
                <w:szCs w:val="18"/>
              </w:rPr>
              <w:t>Age</w:t>
            </w:r>
          </w:p>
        </w:tc>
        <w:tc>
          <w:tcPr>
            <w:tcW w:w="1000" w:type="pct"/>
            <w:tcBorders>
              <w:bottom w:val="single" w:sz="4" w:space="0" w:color="auto"/>
              <w:right w:val="nil"/>
            </w:tcBorders>
          </w:tcPr>
          <w:p w14:paraId="2FEB0AF9" w14:textId="4623E29B" w:rsidR="006D7C89" w:rsidRPr="004C78D8" w:rsidRDefault="00EF35B8" w:rsidP="00FB7C1F">
            <w:pPr>
              <w:jc w:val="center"/>
              <w:rPr>
                <w:b/>
                <w:bCs/>
                <w:sz w:val="18"/>
                <w:szCs w:val="18"/>
              </w:rPr>
            </w:pPr>
            <w:r w:rsidRPr="004C78D8">
              <w:rPr>
                <w:b/>
                <w:bCs/>
                <w:sz w:val="18"/>
                <w:szCs w:val="18"/>
              </w:rPr>
              <w:t>Male</w:t>
            </w:r>
          </w:p>
        </w:tc>
        <w:tc>
          <w:tcPr>
            <w:tcW w:w="1001" w:type="pct"/>
            <w:tcBorders>
              <w:left w:val="nil"/>
              <w:bottom w:val="single" w:sz="4" w:space="0" w:color="auto"/>
            </w:tcBorders>
          </w:tcPr>
          <w:p w14:paraId="6710BBBC" w14:textId="5AE24968" w:rsidR="006D7C89" w:rsidRPr="004C78D8" w:rsidRDefault="00EF35B8" w:rsidP="00FB7C1F">
            <w:pPr>
              <w:jc w:val="center"/>
              <w:rPr>
                <w:b/>
                <w:bCs/>
                <w:sz w:val="18"/>
                <w:szCs w:val="18"/>
              </w:rPr>
            </w:pPr>
            <w:r w:rsidRPr="004C78D8">
              <w:rPr>
                <w:b/>
                <w:bCs/>
                <w:sz w:val="18"/>
                <w:szCs w:val="18"/>
              </w:rPr>
              <w:t>Female</w:t>
            </w:r>
          </w:p>
        </w:tc>
        <w:tc>
          <w:tcPr>
            <w:tcW w:w="850" w:type="pct"/>
            <w:tcBorders>
              <w:bottom w:val="single" w:sz="4" w:space="0" w:color="auto"/>
            </w:tcBorders>
          </w:tcPr>
          <w:p w14:paraId="07FF0DDE" w14:textId="4D594CF9" w:rsidR="006D7C89" w:rsidRPr="004C78D8" w:rsidRDefault="00EF35B8" w:rsidP="00FB7C1F">
            <w:pPr>
              <w:jc w:val="center"/>
              <w:rPr>
                <w:b/>
                <w:bCs/>
                <w:sz w:val="18"/>
                <w:szCs w:val="18"/>
              </w:rPr>
            </w:pPr>
            <w:r w:rsidRPr="004C78D8">
              <w:rPr>
                <w:b/>
                <w:bCs/>
                <w:sz w:val="18"/>
                <w:szCs w:val="18"/>
              </w:rPr>
              <w:t>Year</w:t>
            </w:r>
          </w:p>
        </w:tc>
        <w:tc>
          <w:tcPr>
            <w:tcW w:w="1151" w:type="pct"/>
            <w:tcBorders>
              <w:bottom w:val="single" w:sz="4" w:space="0" w:color="auto"/>
            </w:tcBorders>
          </w:tcPr>
          <w:p w14:paraId="5EC3A6B5" w14:textId="7BC90EF5" w:rsidR="006D7C89" w:rsidRPr="004C78D8" w:rsidRDefault="00EF35B8" w:rsidP="00FB7C1F">
            <w:pPr>
              <w:jc w:val="center"/>
              <w:rPr>
                <w:b/>
                <w:bCs/>
                <w:sz w:val="18"/>
                <w:szCs w:val="18"/>
              </w:rPr>
            </w:pPr>
            <w:r w:rsidRPr="004C78D8">
              <w:rPr>
                <w:b/>
                <w:bCs/>
                <w:sz w:val="18"/>
                <w:szCs w:val="18"/>
              </w:rPr>
              <w:t>Number</w:t>
            </w:r>
          </w:p>
        </w:tc>
      </w:tr>
      <w:tr w:rsidR="00610467" w:rsidRPr="004C78D8" w14:paraId="7223B0B8" w14:textId="77777777" w:rsidTr="00E35893">
        <w:tc>
          <w:tcPr>
            <w:tcW w:w="999" w:type="pct"/>
            <w:tcBorders>
              <w:top w:val="single" w:sz="4" w:space="0" w:color="auto"/>
              <w:bottom w:val="nil"/>
            </w:tcBorders>
          </w:tcPr>
          <w:p w14:paraId="1DE3C033" w14:textId="61157CBA" w:rsidR="00610467" w:rsidRPr="004C78D8" w:rsidRDefault="00610467" w:rsidP="00FB7C1F">
            <w:pPr>
              <w:jc w:val="center"/>
              <w:rPr>
                <w:sz w:val="18"/>
                <w:szCs w:val="18"/>
              </w:rPr>
            </w:pPr>
            <w:r w:rsidRPr="004C78D8">
              <w:rPr>
                <w:sz w:val="18"/>
                <w:szCs w:val="18"/>
              </w:rPr>
              <w:t>60</w:t>
            </w:r>
          </w:p>
        </w:tc>
        <w:tc>
          <w:tcPr>
            <w:tcW w:w="1000" w:type="pct"/>
            <w:tcBorders>
              <w:top w:val="single" w:sz="4" w:space="0" w:color="auto"/>
              <w:left w:val="nil"/>
              <w:bottom w:val="nil"/>
              <w:right w:val="nil"/>
            </w:tcBorders>
            <w:shd w:val="clear" w:color="auto" w:fill="auto"/>
            <w:vAlign w:val="bottom"/>
          </w:tcPr>
          <w:p w14:paraId="4551250A" w14:textId="7854020C" w:rsidR="00610467" w:rsidRPr="004C78D8" w:rsidRDefault="00610467" w:rsidP="00FB7C1F">
            <w:pPr>
              <w:jc w:val="center"/>
              <w:rPr>
                <w:rFonts w:cs="Times New Roman"/>
                <w:sz w:val="18"/>
                <w:szCs w:val="18"/>
              </w:rPr>
            </w:pPr>
            <w:r w:rsidRPr="004C78D8">
              <w:rPr>
                <w:rFonts w:cs="Times New Roman"/>
                <w:color w:val="000000"/>
                <w:sz w:val="18"/>
                <w:szCs w:val="18"/>
              </w:rPr>
              <w:t>3122 (5.35)</w:t>
            </w:r>
          </w:p>
        </w:tc>
        <w:tc>
          <w:tcPr>
            <w:tcW w:w="1001" w:type="pct"/>
            <w:tcBorders>
              <w:top w:val="nil"/>
              <w:left w:val="nil"/>
              <w:bottom w:val="nil"/>
              <w:right w:val="nil"/>
            </w:tcBorders>
            <w:shd w:val="clear" w:color="auto" w:fill="auto"/>
            <w:vAlign w:val="bottom"/>
          </w:tcPr>
          <w:p w14:paraId="5506D988" w14:textId="4E2DF996" w:rsidR="00610467" w:rsidRPr="004C78D8" w:rsidRDefault="00610467" w:rsidP="00FB7C1F">
            <w:pPr>
              <w:jc w:val="center"/>
              <w:rPr>
                <w:rFonts w:cs="Times New Roman"/>
                <w:sz w:val="18"/>
                <w:szCs w:val="18"/>
              </w:rPr>
            </w:pPr>
            <w:r w:rsidRPr="004C78D8">
              <w:rPr>
                <w:rFonts w:cs="Times New Roman"/>
                <w:color w:val="000000"/>
                <w:sz w:val="18"/>
                <w:szCs w:val="18"/>
              </w:rPr>
              <w:t>3234</w:t>
            </w:r>
            <w:r w:rsidR="00276804" w:rsidRPr="004C78D8">
              <w:rPr>
                <w:rFonts w:cs="Times New Roman"/>
                <w:color w:val="000000"/>
                <w:sz w:val="18"/>
                <w:szCs w:val="18"/>
              </w:rPr>
              <w:t xml:space="preserve"> (4.84)</w:t>
            </w:r>
          </w:p>
        </w:tc>
        <w:tc>
          <w:tcPr>
            <w:tcW w:w="850" w:type="pct"/>
            <w:tcBorders>
              <w:bottom w:val="nil"/>
            </w:tcBorders>
          </w:tcPr>
          <w:p w14:paraId="02D41BA3" w14:textId="36FB49A5" w:rsidR="00610467" w:rsidRPr="004C78D8" w:rsidRDefault="00610467" w:rsidP="00FB7C1F">
            <w:pPr>
              <w:jc w:val="center"/>
              <w:rPr>
                <w:sz w:val="18"/>
                <w:szCs w:val="18"/>
              </w:rPr>
            </w:pPr>
            <w:r w:rsidRPr="004C78D8">
              <w:rPr>
                <w:sz w:val="18"/>
                <w:szCs w:val="18"/>
              </w:rPr>
              <w:t>2022</w:t>
            </w:r>
          </w:p>
        </w:tc>
        <w:tc>
          <w:tcPr>
            <w:tcW w:w="1151" w:type="pct"/>
            <w:tcBorders>
              <w:top w:val="single" w:sz="4" w:space="0" w:color="auto"/>
              <w:left w:val="nil"/>
              <w:bottom w:val="nil"/>
              <w:right w:val="single" w:sz="4" w:space="0" w:color="auto"/>
            </w:tcBorders>
            <w:shd w:val="clear" w:color="auto" w:fill="auto"/>
            <w:vAlign w:val="bottom"/>
          </w:tcPr>
          <w:p w14:paraId="1E34FEE7" w14:textId="4E674B2D" w:rsidR="00610467" w:rsidRPr="004C78D8" w:rsidRDefault="00610467" w:rsidP="00FB7C1F">
            <w:pPr>
              <w:jc w:val="center"/>
              <w:rPr>
                <w:rFonts w:cs="Times New Roman"/>
                <w:sz w:val="18"/>
                <w:szCs w:val="18"/>
              </w:rPr>
            </w:pPr>
            <w:r w:rsidRPr="004C78D8">
              <w:rPr>
                <w:rFonts w:cs="Times New Roman"/>
                <w:color w:val="000000"/>
                <w:sz w:val="18"/>
                <w:szCs w:val="18"/>
              </w:rPr>
              <w:t>6527</w:t>
            </w:r>
          </w:p>
        </w:tc>
      </w:tr>
      <w:tr w:rsidR="00610467" w:rsidRPr="004C78D8" w14:paraId="3A7388D5" w14:textId="77777777" w:rsidTr="00E35893">
        <w:tc>
          <w:tcPr>
            <w:tcW w:w="999" w:type="pct"/>
            <w:tcBorders>
              <w:top w:val="nil"/>
              <w:bottom w:val="nil"/>
            </w:tcBorders>
          </w:tcPr>
          <w:p w14:paraId="5E3F7AA7" w14:textId="2203F993" w:rsidR="00610467" w:rsidRPr="004C78D8" w:rsidRDefault="00610467" w:rsidP="00FB7C1F">
            <w:pPr>
              <w:jc w:val="center"/>
              <w:rPr>
                <w:sz w:val="18"/>
                <w:szCs w:val="18"/>
              </w:rPr>
            </w:pPr>
            <w:r w:rsidRPr="004C78D8">
              <w:rPr>
                <w:sz w:val="18"/>
                <w:szCs w:val="18"/>
              </w:rPr>
              <w:t>61</w:t>
            </w:r>
          </w:p>
        </w:tc>
        <w:tc>
          <w:tcPr>
            <w:tcW w:w="1000" w:type="pct"/>
            <w:tcBorders>
              <w:top w:val="nil"/>
              <w:left w:val="nil"/>
              <w:bottom w:val="nil"/>
              <w:right w:val="nil"/>
            </w:tcBorders>
            <w:shd w:val="clear" w:color="auto" w:fill="auto"/>
            <w:vAlign w:val="bottom"/>
          </w:tcPr>
          <w:p w14:paraId="44514397" w14:textId="72FC5A03" w:rsidR="00610467" w:rsidRPr="004C78D8" w:rsidRDefault="00610467" w:rsidP="00FB7C1F">
            <w:pPr>
              <w:jc w:val="center"/>
              <w:rPr>
                <w:rFonts w:cs="Times New Roman"/>
                <w:sz w:val="18"/>
                <w:szCs w:val="18"/>
              </w:rPr>
            </w:pPr>
            <w:r w:rsidRPr="004C78D8">
              <w:rPr>
                <w:rFonts w:cs="Times New Roman"/>
                <w:color w:val="000000"/>
                <w:sz w:val="18"/>
                <w:szCs w:val="18"/>
              </w:rPr>
              <w:t>3005 (5.15)</w:t>
            </w:r>
          </w:p>
        </w:tc>
        <w:tc>
          <w:tcPr>
            <w:tcW w:w="1001" w:type="pct"/>
            <w:tcBorders>
              <w:top w:val="nil"/>
              <w:left w:val="nil"/>
              <w:bottom w:val="nil"/>
              <w:right w:val="nil"/>
            </w:tcBorders>
            <w:shd w:val="clear" w:color="auto" w:fill="auto"/>
            <w:vAlign w:val="bottom"/>
          </w:tcPr>
          <w:p w14:paraId="7C9AD969" w14:textId="6D439BB9" w:rsidR="00610467" w:rsidRPr="004C78D8" w:rsidRDefault="00610467" w:rsidP="00FB7C1F">
            <w:pPr>
              <w:jc w:val="center"/>
              <w:rPr>
                <w:rFonts w:cs="Times New Roman"/>
                <w:sz w:val="18"/>
                <w:szCs w:val="18"/>
              </w:rPr>
            </w:pPr>
            <w:r w:rsidRPr="004C78D8">
              <w:rPr>
                <w:rFonts w:cs="Times New Roman"/>
                <w:color w:val="000000"/>
                <w:sz w:val="18"/>
                <w:szCs w:val="18"/>
              </w:rPr>
              <w:t>3120</w:t>
            </w:r>
            <w:r w:rsidR="00276804" w:rsidRPr="004C78D8">
              <w:rPr>
                <w:rFonts w:cs="Times New Roman"/>
                <w:color w:val="000000"/>
                <w:sz w:val="18"/>
                <w:szCs w:val="18"/>
              </w:rPr>
              <w:t xml:space="preserve"> (4.66)</w:t>
            </w:r>
          </w:p>
        </w:tc>
        <w:tc>
          <w:tcPr>
            <w:tcW w:w="850" w:type="pct"/>
            <w:tcBorders>
              <w:top w:val="nil"/>
              <w:bottom w:val="nil"/>
            </w:tcBorders>
          </w:tcPr>
          <w:p w14:paraId="5B937E04" w14:textId="582575CF" w:rsidR="00610467" w:rsidRPr="004C78D8" w:rsidRDefault="00610467" w:rsidP="00FB7C1F">
            <w:pPr>
              <w:jc w:val="center"/>
              <w:rPr>
                <w:sz w:val="18"/>
                <w:szCs w:val="18"/>
              </w:rPr>
            </w:pPr>
            <w:r w:rsidRPr="004C78D8">
              <w:rPr>
                <w:sz w:val="18"/>
                <w:szCs w:val="18"/>
              </w:rPr>
              <w:t>2023</w:t>
            </w:r>
          </w:p>
        </w:tc>
        <w:tc>
          <w:tcPr>
            <w:tcW w:w="1151" w:type="pct"/>
            <w:tcBorders>
              <w:top w:val="nil"/>
              <w:left w:val="nil"/>
              <w:bottom w:val="nil"/>
              <w:right w:val="single" w:sz="4" w:space="0" w:color="auto"/>
            </w:tcBorders>
            <w:shd w:val="clear" w:color="auto" w:fill="auto"/>
            <w:vAlign w:val="bottom"/>
          </w:tcPr>
          <w:p w14:paraId="44563672" w14:textId="6BBBD396" w:rsidR="00610467" w:rsidRPr="004C78D8" w:rsidRDefault="00610467" w:rsidP="00FB7C1F">
            <w:pPr>
              <w:jc w:val="center"/>
              <w:rPr>
                <w:rFonts w:cs="Times New Roman"/>
                <w:sz w:val="18"/>
                <w:szCs w:val="18"/>
              </w:rPr>
            </w:pPr>
            <w:r w:rsidRPr="004C78D8">
              <w:rPr>
                <w:rFonts w:cs="Times New Roman"/>
                <w:color w:val="000000"/>
                <w:sz w:val="18"/>
                <w:szCs w:val="18"/>
              </w:rPr>
              <w:t>6671</w:t>
            </w:r>
          </w:p>
        </w:tc>
      </w:tr>
      <w:tr w:rsidR="00610467" w:rsidRPr="004C78D8" w14:paraId="1B7BBAA1" w14:textId="77777777" w:rsidTr="00E35893">
        <w:tc>
          <w:tcPr>
            <w:tcW w:w="999" w:type="pct"/>
            <w:tcBorders>
              <w:top w:val="nil"/>
              <w:bottom w:val="nil"/>
            </w:tcBorders>
          </w:tcPr>
          <w:p w14:paraId="7D552FE9" w14:textId="09A6590D" w:rsidR="00610467" w:rsidRPr="004C78D8" w:rsidRDefault="00610467" w:rsidP="00FB7C1F">
            <w:pPr>
              <w:jc w:val="center"/>
              <w:rPr>
                <w:sz w:val="18"/>
                <w:szCs w:val="18"/>
              </w:rPr>
            </w:pPr>
            <w:r w:rsidRPr="004C78D8">
              <w:rPr>
                <w:sz w:val="18"/>
                <w:szCs w:val="18"/>
              </w:rPr>
              <w:t>62</w:t>
            </w:r>
          </w:p>
        </w:tc>
        <w:tc>
          <w:tcPr>
            <w:tcW w:w="1000" w:type="pct"/>
            <w:tcBorders>
              <w:top w:val="nil"/>
              <w:left w:val="nil"/>
              <w:bottom w:val="nil"/>
              <w:right w:val="nil"/>
            </w:tcBorders>
            <w:shd w:val="clear" w:color="auto" w:fill="auto"/>
            <w:vAlign w:val="bottom"/>
          </w:tcPr>
          <w:p w14:paraId="481C0A5C" w14:textId="4B8A523D" w:rsidR="00610467" w:rsidRPr="004C78D8" w:rsidRDefault="00610467" w:rsidP="00FB7C1F">
            <w:pPr>
              <w:jc w:val="center"/>
              <w:rPr>
                <w:rFonts w:cs="Times New Roman"/>
                <w:sz w:val="18"/>
                <w:szCs w:val="18"/>
              </w:rPr>
            </w:pPr>
            <w:r w:rsidRPr="004C78D8">
              <w:rPr>
                <w:rFonts w:cs="Times New Roman"/>
                <w:color w:val="000000"/>
                <w:sz w:val="18"/>
                <w:szCs w:val="18"/>
              </w:rPr>
              <w:t>2889 (4.95)</w:t>
            </w:r>
          </w:p>
        </w:tc>
        <w:tc>
          <w:tcPr>
            <w:tcW w:w="1001" w:type="pct"/>
            <w:tcBorders>
              <w:top w:val="nil"/>
              <w:left w:val="nil"/>
              <w:bottom w:val="nil"/>
              <w:right w:val="nil"/>
            </w:tcBorders>
            <w:shd w:val="clear" w:color="auto" w:fill="auto"/>
            <w:vAlign w:val="bottom"/>
          </w:tcPr>
          <w:p w14:paraId="76C64A0E" w14:textId="2B0D4403" w:rsidR="00610467" w:rsidRPr="004C78D8" w:rsidRDefault="00610467" w:rsidP="00FB7C1F">
            <w:pPr>
              <w:jc w:val="center"/>
              <w:rPr>
                <w:rFonts w:cs="Times New Roman"/>
                <w:sz w:val="18"/>
                <w:szCs w:val="18"/>
              </w:rPr>
            </w:pPr>
            <w:r w:rsidRPr="004C78D8">
              <w:rPr>
                <w:rFonts w:cs="Times New Roman"/>
                <w:color w:val="000000"/>
                <w:sz w:val="18"/>
                <w:szCs w:val="18"/>
              </w:rPr>
              <w:t>3022</w:t>
            </w:r>
            <w:r w:rsidR="00276804" w:rsidRPr="004C78D8">
              <w:rPr>
                <w:rFonts w:cs="Times New Roman"/>
                <w:color w:val="000000"/>
                <w:sz w:val="18"/>
                <w:szCs w:val="18"/>
              </w:rPr>
              <w:t xml:space="preserve"> (4.52)</w:t>
            </w:r>
          </w:p>
        </w:tc>
        <w:tc>
          <w:tcPr>
            <w:tcW w:w="850" w:type="pct"/>
            <w:tcBorders>
              <w:top w:val="nil"/>
              <w:bottom w:val="nil"/>
            </w:tcBorders>
          </w:tcPr>
          <w:p w14:paraId="3013E4BC" w14:textId="4065D58A" w:rsidR="00610467" w:rsidRPr="004C78D8" w:rsidRDefault="00610467" w:rsidP="00FB7C1F">
            <w:pPr>
              <w:jc w:val="center"/>
              <w:rPr>
                <w:sz w:val="18"/>
                <w:szCs w:val="18"/>
              </w:rPr>
            </w:pPr>
            <w:r w:rsidRPr="004C78D8">
              <w:rPr>
                <w:sz w:val="18"/>
                <w:szCs w:val="18"/>
              </w:rPr>
              <w:t>2024</w:t>
            </w:r>
          </w:p>
        </w:tc>
        <w:tc>
          <w:tcPr>
            <w:tcW w:w="1151" w:type="pct"/>
            <w:tcBorders>
              <w:top w:val="nil"/>
              <w:left w:val="nil"/>
              <w:bottom w:val="nil"/>
              <w:right w:val="single" w:sz="4" w:space="0" w:color="auto"/>
            </w:tcBorders>
            <w:shd w:val="clear" w:color="auto" w:fill="auto"/>
            <w:vAlign w:val="bottom"/>
          </w:tcPr>
          <w:p w14:paraId="063ADEA3" w14:textId="1FB12452" w:rsidR="00610467" w:rsidRPr="004C78D8" w:rsidRDefault="00610467" w:rsidP="00FB7C1F">
            <w:pPr>
              <w:jc w:val="center"/>
              <w:rPr>
                <w:rFonts w:cs="Times New Roman"/>
                <w:sz w:val="18"/>
                <w:szCs w:val="18"/>
              </w:rPr>
            </w:pPr>
            <w:r w:rsidRPr="004C78D8">
              <w:rPr>
                <w:rFonts w:cs="Times New Roman"/>
                <w:color w:val="000000"/>
                <w:sz w:val="18"/>
                <w:szCs w:val="18"/>
              </w:rPr>
              <w:t>6794</w:t>
            </w:r>
          </w:p>
        </w:tc>
      </w:tr>
      <w:tr w:rsidR="00610467" w:rsidRPr="004C78D8" w14:paraId="44DFB426" w14:textId="77777777" w:rsidTr="00E35893">
        <w:tc>
          <w:tcPr>
            <w:tcW w:w="999" w:type="pct"/>
            <w:tcBorders>
              <w:top w:val="nil"/>
              <w:bottom w:val="nil"/>
            </w:tcBorders>
          </w:tcPr>
          <w:p w14:paraId="778B7DAD" w14:textId="677B1844" w:rsidR="00610467" w:rsidRPr="004C78D8" w:rsidRDefault="00610467" w:rsidP="00FB7C1F">
            <w:pPr>
              <w:jc w:val="center"/>
              <w:rPr>
                <w:sz w:val="18"/>
                <w:szCs w:val="18"/>
              </w:rPr>
            </w:pPr>
            <w:r w:rsidRPr="004C78D8">
              <w:rPr>
                <w:sz w:val="18"/>
                <w:szCs w:val="18"/>
              </w:rPr>
              <w:t>63</w:t>
            </w:r>
          </w:p>
        </w:tc>
        <w:tc>
          <w:tcPr>
            <w:tcW w:w="1000" w:type="pct"/>
            <w:tcBorders>
              <w:top w:val="nil"/>
              <w:left w:val="nil"/>
              <w:bottom w:val="nil"/>
              <w:right w:val="nil"/>
            </w:tcBorders>
            <w:shd w:val="clear" w:color="auto" w:fill="auto"/>
            <w:vAlign w:val="bottom"/>
          </w:tcPr>
          <w:p w14:paraId="3D6145B7" w14:textId="3DDBEAA9" w:rsidR="00610467" w:rsidRPr="004C78D8" w:rsidRDefault="00610467" w:rsidP="00FB7C1F">
            <w:pPr>
              <w:jc w:val="center"/>
              <w:rPr>
                <w:rFonts w:cs="Times New Roman"/>
                <w:sz w:val="18"/>
                <w:szCs w:val="18"/>
              </w:rPr>
            </w:pPr>
            <w:r w:rsidRPr="004C78D8">
              <w:rPr>
                <w:rFonts w:cs="Times New Roman"/>
                <w:color w:val="000000"/>
                <w:sz w:val="18"/>
                <w:szCs w:val="18"/>
              </w:rPr>
              <w:t>2933 (5.03)</w:t>
            </w:r>
          </w:p>
        </w:tc>
        <w:tc>
          <w:tcPr>
            <w:tcW w:w="1001" w:type="pct"/>
            <w:tcBorders>
              <w:top w:val="nil"/>
              <w:left w:val="nil"/>
              <w:bottom w:val="nil"/>
              <w:right w:val="nil"/>
            </w:tcBorders>
            <w:shd w:val="clear" w:color="auto" w:fill="auto"/>
            <w:vAlign w:val="bottom"/>
          </w:tcPr>
          <w:p w14:paraId="57BC5EA9" w14:textId="231B7950" w:rsidR="00610467" w:rsidRPr="004C78D8" w:rsidRDefault="00610467" w:rsidP="00FB7C1F">
            <w:pPr>
              <w:jc w:val="center"/>
              <w:rPr>
                <w:rFonts w:cs="Times New Roman"/>
                <w:sz w:val="18"/>
                <w:szCs w:val="18"/>
              </w:rPr>
            </w:pPr>
            <w:r w:rsidRPr="004C78D8">
              <w:rPr>
                <w:rFonts w:cs="Times New Roman"/>
                <w:color w:val="000000"/>
                <w:sz w:val="18"/>
                <w:szCs w:val="18"/>
              </w:rPr>
              <w:t>2887</w:t>
            </w:r>
            <w:r w:rsidR="00276804" w:rsidRPr="004C78D8">
              <w:rPr>
                <w:rFonts w:cs="Times New Roman"/>
                <w:color w:val="000000"/>
                <w:sz w:val="18"/>
                <w:szCs w:val="18"/>
              </w:rPr>
              <w:t xml:space="preserve"> (4.32)</w:t>
            </w:r>
          </w:p>
        </w:tc>
        <w:tc>
          <w:tcPr>
            <w:tcW w:w="850" w:type="pct"/>
            <w:tcBorders>
              <w:top w:val="nil"/>
              <w:bottom w:val="nil"/>
            </w:tcBorders>
          </w:tcPr>
          <w:p w14:paraId="708869C9" w14:textId="407B08FA" w:rsidR="00610467" w:rsidRPr="004C78D8" w:rsidRDefault="00610467" w:rsidP="00FB7C1F">
            <w:pPr>
              <w:jc w:val="center"/>
              <w:rPr>
                <w:sz w:val="18"/>
                <w:szCs w:val="18"/>
              </w:rPr>
            </w:pPr>
            <w:r w:rsidRPr="004C78D8">
              <w:rPr>
                <w:sz w:val="18"/>
                <w:szCs w:val="18"/>
              </w:rPr>
              <w:t>2025</w:t>
            </w:r>
          </w:p>
        </w:tc>
        <w:tc>
          <w:tcPr>
            <w:tcW w:w="1151" w:type="pct"/>
            <w:tcBorders>
              <w:top w:val="nil"/>
              <w:left w:val="nil"/>
              <w:bottom w:val="nil"/>
              <w:right w:val="single" w:sz="4" w:space="0" w:color="auto"/>
            </w:tcBorders>
            <w:shd w:val="clear" w:color="auto" w:fill="auto"/>
            <w:vAlign w:val="bottom"/>
          </w:tcPr>
          <w:p w14:paraId="3C4F2F8B" w14:textId="69CB16F5" w:rsidR="00610467" w:rsidRPr="004C78D8" w:rsidRDefault="00610467" w:rsidP="00FB7C1F">
            <w:pPr>
              <w:jc w:val="center"/>
              <w:rPr>
                <w:rFonts w:cs="Times New Roman"/>
                <w:sz w:val="18"/>
                <w:szCs w:val="18"/>
              </w:rPr>
            </w:pPr>
            <w:r w:rsidRPr="004C78D8">
              <w:rPr>
                <w:rFonts w:cs="Times New Roman"/>
                <w:color w:val="000000"/>
                <w:sz w:val="18"/>
                <w:szCs w:val="18"/>
              </w:rPr>
              <w:t>6902</w:t>
            </w:r>
          </w:p>
        </w:tc>
      </w:tr>
      <w:tr w:rsidR="00610467" w:rsidRPr="004C78D8" w14:paraId="6C939EC1" w14:textId="77777777" w:rsidTr="00E35893">
        <w:tc>
          <w:tcPr>
            <w:tcW w:w="999" w:type="pct"/>
            <w:tcBorders>
              <w:top w:val="nil"/>
              <w:bottom w:val="nil"/>
            </w:tcBorders>
          </w:tcPr>
          <w:p w14:paraId="0E2CAE77" w14:textId="67C44FDF" w:rsidR="00610467" w:rsidRPr="004C78D8" w:rsidRDefault="00610467" w:rsidP="00FB7C1F">
            <w:pPr>
              <w:jc w:val="center"/>
              <w:rPr>
                <w:sz w:val="18"/>
                <w:szCs w:val="18"/>
              </w:rPr>
            </w:pPr>
            <w:r w:rsidRPr="004C78D8">
              <w:rPr>
                <w:sz w:val="18"/>
                <w:szCs w:val="18"/>
              </w:rPr>
              <w:t>64</w:t>
            </w:r>
          </w:p>
        </w:tc>
        <w:tc>
          <w:tcPr>
            <w:tcW w:w="1000" w:type="pct"/>
            <w:tcBorders>
              <w:top w:val="nil"/>
              <w:left w:val="nil"/>
              <w:bottom w:val="nil"/>
              <w:right w:val="nil"/>
            </w:tcBorders>
            <w:shd w:val="clear" w:color="auto" w:fill="auto"/>
            <w:vAlign w:val="bottom"/>
          </w:tcPr>
          <w:p w14:paraId="632DB0FE" w14:textId="52C16340" w:rsidR="00610467" w:rsidRPr="004C78D8" w:rsidRDefault="00610467" w:rsidP="00FB7C1F">
            <w:pPr>
              <w:jc w:val="center"/>
              <w:rPr>
                <w:rFonts w:cs="Times New Roman"/>
                <w:sz w:val="18"/>
                <w:szCs w:val="18"/>
              </w:rPr>
            </w:pPr>
            <w:r w:rsidRPr="004C78D8">
              <w:rPr>
                <w:rFonts w:cs="Times New Roman"/>
                <w:color w:val="000000"/>
                <w:sz w:val="18"/>
                <w:szCs w:val="18"/>
              </w:rPr>
              <w:t>2763 (4.73)</w:t>
            </w:r>
          </w:p>
        </w:tc>
        <w:tc>
          <w:tcPr>
            <w:tcW w:w="1001" w:type="pct"/>
            <w:tcBorders>
              <w:top w:val="nil"/>
              <w:left w:val="nil"/>
              <w:bottom w:val="nil"/>
              <w:right w:val="nil"/>
            </w:tcBorders>
            <w:shd w:val="clear" w:color="auto" w:fill="auto"/>
            <w:vAlign w:val="bottom"/>
          </w:tcPr>
          <w:p w14:paraId="6AEBEF17" w14:textId="0A24CFBB" w:rsidR="00610467" w:rsidRPr="004C78D8" w:rsidRDefault="00610467" w:rsidP="00FB7C1F">
            <w:pPr>
              <w:jc w:val="center"/>
              <w:rPr>
                <w:rFonts w:cs="Times New Roman"/>
                <w:sz w:val="18"/>
                <w:szCs w:val="18"/>
              </w:rPr>
            </w:pPr>
            <w:r w:rsidRPr="004C78D8">
              <w:rPr>
                <w:rFonts w:cs="Times New Roman"/>
                <w:color w:val="000000"/>
                <w:sz w:val="18"/>
                <w:szCs w:val="18"/>
              </w:rPr>
              <w:t>2732</w:t>
            </w:r>
            <w:r w:rsidR="00276804" w:rsidRPr="004C78D8">
              <w:rPr>
                <w:rFonts w:cs="Times New Roman"/>
                <w:color w:val="000000"/>
                <w:sz w:val="18"/>
                <w:szCs w:val="18"/>
              </w:rPr>
              <w:t xml:space="preserve"> (4.08)</w:t>
            </w:r>
          </w:p>
        </w:tc>
        <w:tc>
          <w:tcPr>
            <w:tcW w:w="850" w:type="pct"/>
            <w:tcBorders>
              <w:top w:val="nil"/>
              <w:bottom w:val="nil"/>
            </w:tcBorders>
          </w:tcPr>
          <w:p w14:paraId="784037FE" w14:textId="0848E3C5" w:rsidR="00610467" w:rsidRPr="004C78D8" w:rsidRDefault="00610467" w:rsidP="00FB7C1F">
            <w:pPr>
              <w:jc w:val="center"/>
              <w:rPr>
                <w:sz w:val="18"/>
                <w:szCs w:val="18"/>
              </w:rPr>
            </w:pPr>
            <w:r w:rsidRPr="004C78D8">
              <w:rPr>
                <w:sz w:val="18"/>
                <w:szCs w:val="18"/>
              </w:rPr>
              <w:t>2026</w:t>
            </w:r>
          </w:p>
        </w:tc>
        <w:tc>
          <w:tcPr>
            <w:tcW w:w="1151" w:type="pct"/>
            <w:tcBorders>
              <w:top w:val="nil"/>
              <w:left w:val="nil"/>
              <w:bottom w:val="nil"/>
              <w:right w:val="single" w:sz="4" w:space="0" w:color="auto"/>
            </w:tcBorders>
            <w:shd w:val="clear" w:color="auto" w:fill="auto"/>
            <w:vAlign w:val="bottom"/>
          </w:tcPr>
          <w:p w14:paraId="52B1082E" w14:textId="2F3CA58C" w:rsidR="00610467" w:rsidRPr="004C78D8" w:rsidRDefault="00610467" w:rsidP="00FB7C1F">
            <w:pPr>
              <w:jc w:val="center"/>
              <w:rPr>
                <w:rFonts w:cs="Times New Roman"/>
                <w:sz w:val="18"/>
                <w:szCs w:val="18"/>
              </w:rPr>
            </w:pPr>
            <w:r w:rsidRPr="004C78D8">
              <w:rPr>
                <w:rFonts w:cs="Times New Roman"/>
                <w:color w:val="000000"/>
                <w:sz w:val="18"/>
                <w:szCs w:val="18"/>
              </w:rPr>
              <w:t>7011</w:t>
            </w:r>
          </w:p>
        </w:tc>
      </w:tr>
      <w:tr w:rsidR="00610467" w:rsidRPr="004C78D8" w14:paraId="0DE1027C" w14:textId="77777777" w:rsidTr="00E35893">
        <w:tc>
          <w:tcPr>
            <w:tcW w:w="999" w:type="pct"/>
            <w:tcBorders>
              <w:top w:val="nil"/>
              <w:bottom w:val="nil"/>
            </w:tcBorders>
          </w:tcPr>
          <w:p w14:paraId="30F1CAE5" w14:textId="342419DD" w:rsidR="00610467" w:rsidRPr="004C78D8" w:rsidRDefault="00610467" w:rsidP="00FB7C1F">
            <w:pPr>
              <w:jc w:val="center"/>
              <w:rPr>
                <w:sz w:val="18"/>
                <w:szCs w:val="18"/>
              </w:rPr>
            </w:pPr>
            <w:r w:rsidRPr="004C78D8">
              <w:rPr>
                <w:sz w:val="18"/>
                <w:szCs w:val="18"/>
              </w:rPr>
              <w:t>65</w:t>
            </w:r>
          </w:p>
        </w:tc>
        <w:tc>
          <w:tcPr>
            <w:tcW w:w="1000" w:type="pct"/>
            <w:tcBorders>
              <w:top w:val="nil"/>
              <w:left w:val="nil"/>
              <w:bottom w:val="nil"/>
              <w:right w:val="nil"/>
            </w:tcBorders>
            <w:shd w:val="clear" w:color="auto" w:fill="auto"/>
            <w:vAlign w:val="bottom"/>
          </w:tcPr>
          <w:p w14:paraId="47017727" w14:textId="7795BFC2" w:rsidR="00610467" w:rsidRPr="004C78D8" w:rsidRDefault="00610467" w:rsidP="00FB7C1F">
            <w:pPr>
              <w:jc w:val="center"/>
              <w:rPr>
                <w:rFonts w:cs="Times New Roman"/>
                <w:sz w:val="18"/>
                <w:szCs w:val="18"/>
              </w:rPr>
            </w:pPr>
            <w:r w:rsidRPr="004C78D8">
              <w:rPr>
                <w:rFonts w:cs="Times New Roman"/>
                <w:color w:val="000000"/>
                <w:sz w:val="18"/>
                <w:szCs w:val="18"/>
              </w:rPr>
              <w:t>2532 (4.34)</w:t>
            </w:r>
          </w:p>
        </w:tc>
        <w:tc>
          <w:tcPr>
            <w:tcW w:w="1001" w:type="pct"/>
            <w:tcBorders>
              <w:top w:val="nil"/>
              <w:left w:val="nil"/>
              <w:bottom w:val="nil"/>
              <w:right w:val="nil"/>
            </w:tcBorders>
            <w:shd w:val="clear" w:color="auto" w:fill="auto"/>
            <w:vAlign w:val="bottom"/>
          </w:tcPr>
          <w:p w14:paraId="1E44E358" w14:textId="00478E85" w:rsidR="00610467" w:rsidRPr="004C78D8" w:rsidRDefault="00610467" w:rsidP="00FB7C1F">
            <w:pPr>
              <w:jc w:val="center"/>
              <w:rPr>
                <w:rFonts w:cs="Times New Roman"/>
                <w:sz w:val="18"/>
                <w:szCs w:val="18"/>
              </w:rPr>
            </w:pPr>
            <w:r w:rsidRPr="004C78D8">
              <w:rPr>
                <w:rFonts w:cs="Times New Roman"/>
                <w:color w:val="000000"/>
                <w:sz w:val="18"/>
                <w:szCs w:val="18"/>
              </w:rPr>
              <w:t>2648</w:t>
            </w:r>
            <w:r w:rsidR="00276804" w:rsidRPr="004C78D8">
              <w:rPr>
                <w:rFonts w:cs="Times New Roman"/>
                <w:color w:val="000000"/>
                <w:sz w:val="18"/>
                <w:szCs w:val="18"/>
              </w:rPr>
              <w:t xml:space="preserve"> (3.96)</w:t>
            </w:r>
          </w:p>
        </w:tc>
        <w:tc>
          <w:tcPr>
            <w:tcW w:w="850" w:type="pct"/>
            <w:tcBorders>
              <w:top w:val="nil"/>
              <w:bottom w:val="nil"/>
            </w:tcBorders>
          </w:tcPr>
          <w:p w14:paraId="53D26815" w14:textId="2F12F03E" w:rsidR="00610467" w:rsidRPr="004C78D8" w:rsidRDefault="00610467" w:rsidP="00FB7C1F">
            <w:pPr>
              <w:jc w:val="center"/>
              <w:rPr>
                <w:sz w:val="18"/>
                <w:szCs w:val="18"/>
              </w:rPr>
            </w:pPr>
            <w:r w:rsidRPr="004C78D8">
              <w:rPr>
                <w:sz w:val="18"/>
                <w:szCs w:val="18"/>
              </w:rPr>
              <w:t>2027</w:t>
            </w:r>
          </w:p>
        </w:tc>
        <w:tc>
          <w:tcPr>
            <w:tcW w:w="1151" w:type="pct"/>
            <w:tcBorders>
              <w:top w:val="nil"/>
              <w:left w:val="nil"/>
              <w:bottom w:val="nil"/>
              <w:right w:val="single" w:sz="4" w:space="0" w:color="auto"/>
            </w:tcBorders>
            <w:shd w:val="clear" w:color="auto" w:fill="auto"/>
            <w:vAlign w:val="bottom"/>
          </w:tcPr>
          <w:p w14:paraId="49EFC18C" w14:textId="44A7BEF4" w:rsidR="00610467" w:rsidRPr="004C78D8" w:rsidRDefault="00610467" w:rsidP="00FB7C1F">
            <w:pPr>
              <w:jc w:val="center"/>
              <w:rPr>
                <w:rFonts w:cs="Times New Roman"/>
                <w:sz w:val="18"/>
                <w:szCs w:val="18"/>
              </w:rPr>
            </w:pPr>
            <w:r w:rsidRPr="004C78D8">
              <w:rPr>
                <w:rFonts w:cs="Times New Roman"/>
                <w:color w:val="000000"/>
                <w:sz w:val="18"/>
                <w:szCs w:val="18"/>
              </w:rPr>
              <w:t>7084</w:t>
            </w:r>
          </w:p>
        </w:tc>
      </w:tr>
      <w:tr w:rsidR="00610467" w:rsidRPr="004C78D8" w14:paraId="4CCBB987" w14:textId="77777777" w:rsidTr="00E35893">
        <w:tc>
          <w:tcPr>
            <w:tcW w:w="999" w:type="pct"/>
            <w:tcBorders>
              <w:top w:val="nil"/>
              <w:bottom w:val="nil"/>
            </w:tcBorders>
          </w:tcPr>
          <w:p w14:paraId="33533553" w14:textId="0BC8D1A5" w:rsidR="00610467" w:rsidRPr="004C78D8" w:rsidRDefault="00610467" w:rsidP="00FB7C1F">
            <w:pPr>
              <w:jc w:val="center"/>
              <w:rPr>
                <w:sz w:val="18"/>
                <w:szCs w:val="18"/>
              </w:rPr>
            </w:pPr>
            <w:r w:rsidRPr="004C78D8">
              <w:rPr>
                <w:sz w:val="18"/>
                <w:szCs w:val="18"/>
              </w:rPr>
              <w:t>66</w:t>
            </w:r>
          </w:p>
        </w:tc>
        <w:tc>
          <w:tcPr>
            <w:tcW w:w="1000" w:type="pct"/>
            <w:tcBorders>
              <w:top w:val="nil"/>
              <w:left w:val="nil"/>
              <w:bottom w:val="nil"/>
              <w:right w:val="nil"/>
            </w:tcBorders>
            <w:shd w:val="clear" w:color="auto" w:fill="auto"/>
            <w:vAlign w:val="bottom"/>
          </w:tcPr>
          <w:p w14:paraId="1A318CF1" w14:textId="107F4B07" w:rsidR="00610467" w:rsidRPr="004C78D8" w:rsidRDefault="00610467" w:rsidP="00FB7C1F">
            <w:pPr>
              <w:jc w:val="center"/>
              <w:rPr>
                <w:rFonts w:cs="Times New Roman"/>
                <w:sz w:val="18"/>
                <w:szCs w:val="18"/>
              </w:rPr>
            </w:pPr>
            <w:r w:rsidRPr="004C78D8">
              <w:rPr>
                <w:rFonts w:cs="Times New Roman"/>
                <w:color w:val="000000"/>
                <w:sz w:val="18"/>
                <w:szCs w:val="18"/>
              </w:rPr>
              <w:t>2445 (4.19)</w:t>
            </w:r>
          </w:p>
        </w:tc>
        <w:tc>
          <w:tcPr>
            <w:tcW w:w="1001" w:type="pct"/>
            <w:tcBorders>
              <w:top w:val="nil"/>
              <w:left w:val="nil"/>
              <w:bottom w:val="nil"/>
              <w:right w:val="nil"/>
            </w:tcBorders>
            <w:shd w:val="clear" w:color="auto" w:fill="auto"/>
            <w:vAlign w:val="bottom"/>
          </w:tcPr>
          <w:p w14:paraId="79F8C094" w14:textId="23260F5F" w:rsidR="00610467" w:rsidRPr="004C78D8" w:rsidRDefault="00610467" w:rsidP="00FB7C1F">
            <w:pPr>
              <w:jc w:val="center"/>
              <w:rPr>
                <w:rFonts w:cs="Times New Roman"/>
                <w:sz w:val="18"/>
                <w:szCs w:val="18"/>
              </w:rPr>
            </w:pPr>
            <w:r w:rsidRPr="004C78D8">
              <w:rPr>
                <w:rFonts w:cs="Times New Roman"/>
                <w:color w:val="000000"/>
                <w:sz w:val="18"/>
                <w:szCs w:val="18"/>
              </w:rPr>
              <w:t>2593</w:t>
            </w:r>
            <w:r w:rsidR="00276804" w:rsidRPr="004C78D8">
              <w:rPr>
                <w:rFonts w:cs="Times New Roman"/>
                <w:color w:val="000000"/>
                <w:sz w:val="18"/>
                <w:szCs w:val="18"/>
              </w:rPr>
              <w:t xml:space="preserve"> (3.88)</w:t>
            </w:r>
          </w:p>
        </w:tc>
        <w:tc>
          <w:tcPr>
            <w:tcW w:w="850" w:type="pct"/>
            <w:tcBorders>
              <w:top w:val="nil"/>
              <w:bottom w:val="nil"/>
            </w:tcBorders>
          </w:tcPr>
          <w:p w14:paraId="5700F576" w14:textId="1DC5FB93" w:rsidR="00610467" w:rsidRPr="004C78D8" w:rsidRDefault="00610467" w:rsidP="00FB7C1F">
            <w:pPr>
              <w:jc w:val="center"/>
              <w:rPr>
                <w:sz w:val="18"/>
                <w:szCs w:val="18"/>
              </w:rPr>
            </w:pPr>
            <w:r w:rsidRPr="004C78D8">
              <w:rPr>
                <w:sz w:val="18"/>
                <w:szCs w:val="18"/>
              </w:rPr>
              <w:t>2028</w:t>
            </w:r>
          </w:p>
        </w:tc>
        <w:tc>
          <w:tcPr>
            <w:tcW w:w="1151" w:type="pct"/>
            <w:tcBorders>
              <w:top w:val="nil"/>
              <w:left w:val="nil"/>
              <w:bottom w:val="nil"/>
              <w:right w:val="single" w:sz="4" w:space="0" w:color="auto"/>
            </w:tcBorders>
            <w:shd w:val="clear" w:color="auto" w:fill="auto"/>
            <w:vAlign w:val="bottom"/>
          </w:tcPr>
          <w:p w14:paraId="5AD587E8" w14:textId="72558156" w:rsidR="00610467" w:rsidRPr="004C78D8" w:rsidRDefault="00610467" w:rsidP="00FB7C1F">
            <w:pPr>
              <w:jc w:val="center"/>
              <w:rPr>
                <w:rFonts w:cs="Times New Roman"/>
                <w:sz w:val="18"/>
                <w:szCs w:val="18"/>
              </w:rPr>
            </w:pPr>
            <w:r w:rsidRPr="004C78D8">
              <w:rPr>
                <w:rFonts w:cs="Times New Roman"/>
                <w:color w:val="000000"/>
                <w:sz w:val="18"/>
                <w:szCs w:val="18"/>
              </w:rPr>
              <w:t>7163</w:t>
            </w:r>
          </w:p>
        </w:tc>
      </w:tr>
      <w:tr w:rsidR="00610467" w:rsidRPr="004C78D8" w14:paraId="4719FB53" w14:textId="77777777" w:rsidTr="00E35893">
        <w:tc>
          <w:tcPr>
            <w:tcW w:w="999" w:type="pct"/>
            <w:tcBorders>
              <w:top w:val="nil"/>
              <w:bottom w:val="nil"/>
            </w:tcBorders>
          </w:tcPr>
          <w:p w14:paraId="00FB1E1A" w14:textId="788EC486" w:rsidR="00610467" w:rsidRPr="004C78D8" w:rsidRDefault="00610467" w:rsidP="00FB7C1F">
            <w:pPr>
              <w:jc w:val="center"/>
              <w:rPr>
                <w:sz w:val="18"/>
                <w:szCs w:val="18"/>
              </w:rPr>
            </w:pPr>
            <w:r w:rsidRPr="004C78D8">
              <w:rPr>
                <w:sz w:val="18"/>
                <w:szCs w:val="18"/>
              </w:rPr>
              <w:t>67</w:t>
            </w:r>
          </w:p>
        </w:tc>
        <w:tc>
          <w:tcPr>
            <w:tcW w:w="1000" w:type="pct"/>
            <w:tcBorders>
              <w:top w:val="nil"/>
              <w:left w:val="nil"/>
              <w:bottom w:val="nil"/>
              <w:right w:val="nil"/>
            </w:tcBorders>
            <w:shd w:val="clear" w:color="auto" w:fill="auto"/>
            <w:vAlign w:val="bottom"/>
          </w:tcPr>
          <w:p w14:paraId="3CBE8C1C" w14:textId="130CD566" w:rsidR="00610467" w:rsidRPr="004C78D8" w:rsidRDefault="00610467" w:rsidP="00FB7C1F">
            <w:pPr>
              <w:jc w:val="center"/>
              <w:rPr>
                <w:rFonts w:cs="Times New Roman"/>
                <w:sz w:val="18"/>
                <w:szCs w:val="18"/>
              </w:rPr>
            </w:pPr>
            <w:r w:rsidRPr="004C78D8">
              <w:rPr>
                <w:rFonts w:cs="Times New Roman"/>
                <w:color w:val="000000"/>
                <w:sz w:val="18"/>
                <w:szCs w:val="18"/>
              </w:rPr>
              <w:t>2399 (4.11)</w:t>
            </w:r>
          </w:p>
        </w:tc>
        <w:tc>
          <w:tcPr>
            <w:tcW w:w="1001" w:type="pct"/>
            <w:tcBorders>
              <w:top w:val="nil"/>
              <w:left w:val="nil"/>
              <w:bottom w:val="nil"/>
              <w:right w:val="nil"/>
            </w:tcBorders>
            <w:shd w:val="clear" w:color="auto" w:fill="auto"/>
            <w:vAlign w:val="bottom"/>
          </w:tcPr>
          <w:p w14:paraId="7511DEA5" w14:textId="56F36D2B" w:rsidR="00610467" w:rsidRPr="004C78D8" w:rsidRDefault="00610467" w:rsidP="00FB7C1F">
            <w:pPr>
              <w:jc w:val="center"/>
              <w:rPr>
                <w:rFonts w:cs="Times New Roman"/>
                <w:sz w:val="18"/>
                <w:szCs w:val="18"/>
              </w:rPr>
            </w:pPr>
            <w:r w:rsidRPr="004C78D8">
              <w:rPr>
                <w:rFonts w:cs="Times New Roman"/>
                <w:color w:val="000000"/>
                <w:sz w:val="18"/>
                <w:szCs w:val="18"/>
              </w:rPr>
              <w:t>2590</w:t>
            </w:r>
            <w:r w:rsidR="00276804" w:rsidRPr="004C78D8">
              <w:rPr>
                <w:rFonts w:cs="Times New Roman"/>
                <w:color w:val="000000"/>
                <w:sz w:val="18"/>
                <w:szCs w:val="18"/>
              </w:rPr>
              <w:t xml:space="preserve"> (3.87)</w:t>
            </w:r>
          </w:p>
        </w:tc>
        <w:tc>
          <w:tcPr>
            <w:tcW w:w="850" w:type="pct"/>
            <w:tcBorders>
              <w:top w:val="nil"/>
              <w:bottom w:val="nil"/>
            </w:tcBorders>
          </w:tcPr>
          <w:p w14:paraId="49974864" w14:textId="1335C67E" w:rsidR="00610467" w:rsidRPr="004C78D8" w:rsidRDefault="00610467" w:rsidP="00FB7C1F">
            <w:pPr>
              <w:jc w:val="center"/>
              <w:rPr>
                <w:sz w:val="18"/>
                <w:szCs w:val="18"/>
              </w:rPr>
            </w:pPr>
            <w:r w:rsidRPr="004C78D8">
              <w:rPr>
                <w:sz w:val="18"/>
                <w:szCs w:val="18"/>
              </w:rPr>
              <w:t>2029</w:t>
            </w:r>
          </w:p>
        </w:tc>
        <w:tc>
          <w:tcPr>
            <w:tcW w:w="1151" w:type="pct"/>
            <w:tcBorders>
              <w:top w:val="nil"/>
              <w:left w:val="nil"/>
              <w:bottom w:val="nil"/>
              <w:right w:val="single" w:sz="4" w:space="0" w:color="auto"/>
            </w:tcBorders>
            <w:shd w:val="clear" w:color="auto" w:fill="auto"/>
            <w:vAlign w:val="bottom"/>
          </w:tcPr>
          <w:p w14:paraId="4BC10642" w14:textId="554FB342" w:rsidR="00610467" w:rsidRPr="004C78D8" w:rsidRDefault="00610467" w:rsidP="00FB7C1F">
            <w:pPr>
              <w:jc w:val="center"/>
              <w:rPr>
                <w:rFonts w:cs="Times New Roman"/>
                <w:sz w:val="18"/>
                <w:szCs w:val="18"/>
              </w:rPr>
            </w:pPr>
            <w:r w:rsidRPr="004C78D8">
              <w:rPr>
                <w:rFonts w:cs="Times New Roman"/>
                <w:color w:val="000000"/>
                <w:sz w:val="18"/>
                <w:szCs w:val="18"/>
              </w:rPr>
              <w:t>7247</w:t>
            </w:r>
          </w:p>
        </w:tc>
      </w:tr>
      <w:tr w:rsidR="00610467" w:rsidRPr="004C78D8" w14:paraId="44540EF8" w14:textId="77777777" w:rsidTr="00E35893">
        <w:tc>
          <w:tcPr>
            <w:tcW w:w="999" w:type="pct"/>
            <w:tcBorders>
              <w:top w:val="nil"/>
              <w:bottom w:val="nil"/>
            </w:tcBorders>
          </w:tcPr>
          <w:p w14:paraId="3097A9AC" w14:textId="305655C9" w:rsidR="00610467" w:rsidRPr="004C78D8" w:rsidRDefault="00610467" w:rsidP="00FB7C1F">
            <w:pPr>
              <w:jc w:val="center"/>
              <w:rPr>
                <w:sz w:val="18"/>
                <w:szCs w:val="18"/>
              </w:rPr>
            </w:pPr>
            <w:r w:rsidRPr="004C78D8">
              <w:rPr>
                <w:sz w:val="18"/>
                <w:szCs w:val="18"/>
              </w:rPr>
              <w:t>68</w:t>
            </w:r>
          </w:p>
        </w:tc>
        <w:tc>
          <w:tcPr>
            <w:tcW w:w="1000" w:type="pct"/>
            <w:tcBorders>
              <w:top w:val="nil"/>
              <w:left w:val="nil"/>
              <w:bottom w:val="nil"/>
              <w:right w:val="nil"/>
            </w:tcBorders>
            <w:shd w:val="clear" w:color="auto" w:fill="auto"/>
            <w:vAlign w:val="bottom"/>
          </w:tcPr>
          <w:p w14:paraId="4554E794" w14:textId="3CC89B44" w:rsidR="00610467" w:rsidRPr="004C78D8" w:rsidRDefault="00610467" w:rsidP="00FB7C1F">
            <w:pPr>
              <w:jc w:val="center"/>
              <w:rPr>
                <w:rFonts w:cs="Times New Roman"/>
                <w:sz w:val="18"/>
                <w:szCs w:val="18"/>
              </w:rPr>
            </w:pPr>
            <w:r w:rsidRPr="004C78D8">
              <w:rPr>
                <w:rFonts w:cs="Times New Roman"/>
                <w:color w:val="000000"/>
                <w:sz w:val="18"/>
                <w:szCs w:val="18"/>
              </w:rPr>
              <w:t>2390</w:t>
            </w:r>
            <w:r w:rsidR="00F45E67" w:rsidRPr="004C78D8">
              <w:rPr>
                <w:rFonts w:cs="Times New Roman"/>
                <w:color w:val="000000"/>
                <w:sz w:val="18"/>
                <w:szCs w:val="18"/>
              </w:rPr>
              <w:t xml:space="preserve"> (4.10)</w:t>
            </w:r>
          </w:p>
        </w:tc>
        <w:tc>
          <w:tcPr>
            <w:tcW w:w="1001" w:type="pct"/>
            <w:tcBorders>
              <w:top w:val="nil"/>
              <w:left w:val="nil"/>
              <w:bottom w:val="nil"/>
              <w:right w:val="nil"/>
            </w:tcBorders>
            <w:shd w:val="clear" w:color="auto" w:fill="auto"/>
            <w:vAlign w:val="bottom"/>
          </w:tcPr>
          <w:p w14:paraId="6544E62A" w14:textId="4A99D971" w:rsidR="00610467" w:rsidRPr="004C78D8" w:rsidRDefault="00610467" w:rsidP="00FB7C1F">
            <w:pPr>
              <w:jc w:val="center"/>
              <w:rPr>
                <w:rFonts w:cs="Times New Roman"/>
                <w:sz w:val="18"/>
                <w:szCs w:val="18"/>
              </w:rPr>
            </w:pPr>
            <w:r w:rsidRPr="004C78D8">
              <w:rPr>
                <w:rFonts w:cs="Times New Roman"/>
                <w:color w:val="000000"/>
                <w:sz w:val="18"/>
                <w:szCs w:val="18"/>
              </w:rPr>
              <w:t>2522</w:t>
            </w:r>
            <w:r w:rsidR="00276804" w:rsidRPr="004C78D8">
              <w:rPr>
                <w:rFonts w:cs="Times New Roman"/>
                <w:color w:val="000000"/>
                <w:sz w:val="18"/>
                <w:szCs w:val="18"/>
              </w:rPr>
              <w:t xml:space="preserve"> (3.77)</w:t>
            </w:r>
          </w:p>
        </w:tc>
        <w:tc>
          <w:tcPr>
            <w:tcW w:w="850" w:type="pct"/>
            <w:tcBorders>
              <w:top w:val="nil"/>
              <w:bottom w:val="nil"/>
            </w:tcBorders>
          </w:tcPr>
          <w:p w14:paraId="1F3ECB73" w14:textId="0206FA08" w:rsidR="00610467" w:rsidRPr="004C78D8" w:rsidRDefault="00610467" w:rsidP="00FB7C1F">
            <w:pPr>
              <w:jc w:val="center"/>
              <w:rPr>
                <w:sz w:val="18"/>
                <w:szCs w:val="18"/>
              </w:rPr>
            </w:pPr>
            <w:r w:rsidRPr="004C78D8">
              <w:rPr>
                <w:sz w:val="18"/>
                <w:szCs w:val="18"/>
              </w:rPr>
              <w:t>2030</w:t>
            </w:r>
          </w:p>
        </w:tc>
        <w:tc>
          <w:tcPr>
            <w:tcW w:w="1151" w:type="pct"/>
            <w:tcBorders>
              <w:top w:val="nil"/>
              <w:left w:val="nil"/>
              <w:bottom w:val="nil"/>
              <w:right w:val="single" w:sz="4" w:space="0" w:color="auto"/>
            </w:tcBorders>
            <w:shd w:val="clear" w:color="auto" w:fill="auto"/>
            <w:vAlign w:val="bottom"/>
          </w:tcPr>
          <w:p w14:paraId="470FCDB9" w14:textId="6D9CBDEB" w:rsidR="00610467" w:rsidRPr="004C78D8" w:rsidRDefault="00610467" w:rsidP="00FB7C1F">
            <w:pPr>
              <w:jc w:val="center"/>
              <w:rPr>
                <w:rFonts w:cs="Times New Roman"/>
                <w:sz w:val="18"/>
                <w:szCs w:val="18"/>
              </w:rPr>
            </w:pPr>
            <w:r w:rsidRPr="004C78D8">
              <w:rPr>
                <w:rFonts w:cs="Times New Roman"/>
                <w:color w:val="000000"/>
                <w:sz w:val="18"/>
                <w:szCs w:val="18"/>
              </w:rPr>
              <w:t>7278</w:t>
            </w:r>
          </w:p>
        </w:tc>
      </w:tr>
      <w:tr w:rsidR="00610467" w:rsidRPr="004C78D8" w14:paraId="29DDD876" w14:textId="77777777" w:rsidTr="00E35893">
        <w:tc>
          <w:tcPr>
            <w:tcW w:w="999" w:type="pct"/>
            <w:tcBorders>
              <w:top w:val="nil"/>
              <w:bottom w:val="nil"/>
            </w:tcBorders>
          </w:tcPr>
          <w:p w14:paraId="34373B71" w14:textId="7546488D" w:rsidR="00610467" w:rsidRPr="004C78D8" w:rsidRDefault="00610467" w:rsidP="00FB7C1F">
            <w:pPr>
              <w:jc w:val="center"/>
              <w:rPr>
                <w:sz w:val="18"/>
                <w:szCs w:val="18"/>
              </w:rPr>
            </w:pPr>
            <w:r w:rsidRPr="004C78D8">
              <w:rPr>
                <w:sz w:val="18"/>
                <w:szCs w:val="18"/>
              </w:rPr>
              <w:t>69</w:t>
            </w:r>
          </w:p>
        </w:tc>
        <w:tc>
          <w:tcPr>
            <w:tcW w:w="1000" w:type="pct"/>
            <w:tcBorders>
              <w:top w:val="nil"/>
              <w:left w:val="nil"/>
              <w:bottom w:val="nil"/>
              <w:right w:val="nil"/>
            </w:tcBorders>
            <w:shd w:val="clear" w:color="auto" w:fill="auto"/>
            <w:vAlign w:val="bottom"/>
          </w:tcPr>
          <w:p w14:paraId="45F03664" w14:textId="0B0C3A39" w:rsidR="00610467" w:rsidRPr="004C78D8" w:rsidRDefault="00610467" w:rsidP="00FB7C1F">
            <w:pPr>
              <w:jc w:val="center"/>
              <w:rPr>
                <w:rFonts w:cs="Times New Roman"/>
                <w:sz w:val="18"/>
                <w:szCs w:val="18"/>
              </w:rPr>
            </w:pPr>
            <w:r w:rsidRPr="004C78D8">
              <w:rPr>
                <w:rFonts w:cs="Times New Roman"/>
                <w:color w:val="000000"/>
                <w:sz w:val="18"/>
                <w:szCs w:val="18"/>
              </w:rPr>
              <w:t>2189</w:t>
            </w:r>
            <w:r w:rsidR="00F45E67" w:rsidRPr="004C78D8">
              <w:rPr>
                <w:rFonts w:cs="Times New Roman"/>
                <w:color w:val="000000"/>
                <w:sz w:val="18"/>
                <w:szCs w:val="18"/>
              </w:rPr>
              <w:t xml:space="preserve"> (3.75)</w:t>
            </w:r>
          </w:p>
        </w:tc>
        <w:tc>
          <w:tcPr>
            <w:tcW w:w="1001" w:type="pct"/>
            <w:tcBorders>
              <w:top w:val="nil"/>
              <w:left w:val="nil"/>
              <w:bottom w:val="nil"/>
              <w:right w:val="nil"/>
            </w:tcBorders>
            <w:shd w:val="clear" w:color="auto" w:fill="auto"/>
            <w:vAlign w:val="bottom"/>
          </w:tcPr>
          <w:p w14:paraId="2B637A17" w14:textId="0B154DCE" w:rsidR="00610467" w:rsidRPr="004C78D8" w:rsidRDefault="00610467" w:rsidP="00FB7C1F">
            <w:pPr>
              <w:jc w:val="center"/>
              <w:rPr>
                <w:rFonts w:cs="Times New Roman"/>
                <w:sz w:val="18"/>
                <w:szCs w:val="18"/>
              </w:rPr>
            </w:pPr>
            <w:r w:rsidRPr="004C78D8">
              <w:rPr>
                <w:rFonts w:cs="Times New Roman"/>
                <w:color w:val="000000"/>
                <w:sz w:val="18"/>
                <w:szCs w:val="18"/>
              </w:rPr>
              <w:t>2465</w:t>
            </w:r>
            <w:r w:rsidR="00276804" w:rsidRPr="004C78D8">
              <w:rPr>
                <w:rFonts w:cs="Times New Roman"/>
                <w:color w:val="000000"/>
                <w:sz w:val="18"/>
                <w:szCs w:val="18"/>
              </w:rPr>
              <w:t xml:space="preserve"> (3.69)</w:t>
            </w:r>
          </w:p>
        </w:tc>
        <w:tc>
          <w:tcPr>
            <w:tcW w:w="850" w:type="pct"/>
            <w:tcBorders>
              <w:top w:val="nil"/>
              <w:bottom w:val="nil"/>
            </w:tcBorders>
          </w:tcPr>
          <w:p w14:paraId="224F7D14" w14:textId="5C5D15A5" w:rsidR="00610467" w:rsidRPr="004C78D8" w:rsidRDefault="00610467" w:rsidP="00FB7C1F">
            <w:pPr>
              <w:jc w:val="center"/>
              <w:rPr>
                <w:sz w:val="18"/>
                <w:szCs w:val="18"/>
              </w:rPr>
            </w:pPr>
            <w:r w:rsidRPr="004C78D8">
              <w:rPr>
                <w:sz w:val="18"/>
                <w:szCs w:val="18"/>
              </w:rPr>
              <w:t>2031</w:t>
            </w:r>
          </w:p>
        </w:tc>
        <w:tc>
          <w:tcPr>
            <w:tcW w:w="1151" w:type="pct"/>
            <w:tcBorders>
              <w:top w:val="nil"/>
              <w:left w:val="nil"/>
              <w:bottom w:val="nil"/>
              <w:right w:val="single" w:sz="4" w:space="0" w:color="auto"/>
            </w:tcBorders>
            <w:shd w:val="clear" w:color="auto" w:fill="auto"/>
            <w:vAlign w:val="bottom"/>
          </w:tcPr>
          <w:p w14:paraId="5E7E2EFF" w14:textId="312EE37F" w:rsidR="00610467" w:rsidRPr="004C78D8" w:rsidRDefault="00610467" w:rsidP="00FB7C1F">
            <w:pPr>
              <w:jc w:val="center"/>
              <w:rPr>
                <w:rFonts w:cs="Times New Roman"/>
                <w:sz w:val="18"/>
                <w:szCs w:val="18"/>
              </w:rPr>
            </w:pPr>
            <w:r w:rsidRPr="004C78D8">
              <w:rPr>
                <w:rFonts w:cs="Times New Roman"/>
                <w:color w:val="000000"/>
                <w:sz w:val="18"/>
                <w:szCs w:val="18"/>
              </w:rPr>
              <w:t>7272</w:t>
            </w:r>
          </w:p>
        </w:tc>
      </w:tr>
      <w:tr w:rsidR="00610467" w:rsidRPr="004C78D8" w14:paraId="526DECF2" w14:textId="77777777" w:rsidTr="00E35893">
        <w:tc>
          <w:tcPr>
            <w:tcW w:w="999" w:type="pct"/>
            <w:tcBorders>
              <w:top w:val="nil"/>
              <w:bottom w:val="nil"/>
            </w:tcBorders>
          </w:tcPr>
          <w:p w14:paraId="2C94AF3B" w14:textId="32811D3B" w:rsidR="00610467" w:rsidRPr="004C78D8" w:rsidRDefault="00610467" w:rsidP="00FB7C1F">
            <w:pPr>
              <w:jc w:val="center"/>
              <w:rPr>
                <w:sz w:val="18"/>
                <w:szCs w:val="18"/>
              </w:rPr>
            </w:pPr>
            <w:r w:rsidRPr="004C78D8">
              <w:rPr>
                <w:sz w:val="18"/>
                <w:szCs w:val="18"/>
              </w:rPr>
              <w:t>70</w:t>
            </w:r>
          </w:p>
        </w:tc>
        <w:tc>
          <w:tcPr>
            <w:tcW w:w="1000" w:type="pct"/>
            <w:tcBorders>
              <w:top w:val="nil"/>
              <w:left w:val="nil"/>
              <w:bottom w:val="nil"/>
              <w:right w:val="nil"/>
            </w:tcBorders>
            <w:shd w:val="clear" w:color="auto" w:fill="auto"/>
            <w:vAlign w:val="bottom"/>
          </w:tcPr>
          <w:p w14:paraId="5F1338F5" w14:textId="41229A79" w:rsidR="00610467" w:rsidRPr="004C78D8" w:rsidRDefault="00610467" w:rsidP="00FB7C1F">
            <w:pPr>
              <w:jc w:val="center"/>
              <w:rPr>
                <w:rFonts w:cs="Times New Roman"/>
                <w:sz w:val="18"/>
                <w:szCs w:val="18"/>
              </w:rPr>
            </w:pPr>
            <w:r w:rsidRPr="004C78D8">
              <w:rPr>
                <w:rFonts w:cs="Times New Roman"/>
                <w:color w:val="000000"/>
                <w:sz w:val="18"/>
                <w:szCs w:val="18"/>
              </w:rPr>
              <w:t>2188</w:t>
            </w:r>
            <w:r w:rsidR="00F45E67" w:rsidRPr="004C78D8">
              <w:rPr>
                <w:rFonts w:cs="Times New Roman"/>
                <w:color w:val="000000"/>
                <w:sz w:val="18"/>
                <w:szCs w:val="18"/>
              </w:rPr>
              <w:t xml:space="preserve"> (3.75)</w:t>
            </w:r>
          </w:p>
        </w:tc>
        <w:tc>
          <w:tcPr>
            <w:tcW w:w="1001" w:type="pct"/>
            <w:tcBorders>
              <w:top w:val="nil"/>
              <w:left w:val="nil"/>
              <w:bottom w:val="nil"/>
              <w:right w:val="nil"/>
            </w:tcBorders>
            <w:shd w:val="clear" w:color="auto" w:fill="auto"/>
            <w:vAlign w:val="bottom"/>
          </w:tcPr>
          <w:p w14:paraId="7F7CF6A0" w14:textId="357FF65D" w:rsidR="00610467" w:rsidRPr="004C78D8" w:rsidRDefault="00610467" w:rsidP="00FB7C1F">
            <w:pPr>
              <w:jc w:val="center"/>
              <w:rPr>
                <w:rFonts w:cs="Times New Roman"/>
                <w:sz w:val="18"/>
                <w:szCs w:val="18"/>
              </w:rPr>
            </w:pPr>
            <w:r w:rsidRPr="004C78D8">
              <w:rPr>
                <w:rFonts w:cs="Times New Roman"/>
                <w:color w:val="000000"/>
                <w:sz w:val="18"/>
                <w:szCs w:val="18"/>
              </w:rPr>
              <w:t>2421</w:t>
            </w:r>
            <w:r w:rsidR="00276804" w:rsidRPr="004C78D8">
              <w:rPr>
                <w:rFonts w:cs="Times New Roman"/>
                <w:color w:val="000000"/>
                <w:sz w:val="18"/>
                <w:szCs w:val="18"/>
              </w:rPr>
              <w:t xml:space="preserve"> (3.62)</w:t>
            </w:r>
          </w:p>
        </w:tc>
        <w:tc>
          <w:tcPr>
            <w:tcW w:w="850" w:type="pct"/>
            <w:tcBorders>
              <w:top w:val="nil"/>
              <w:bottom w:val="nil"/>
            </w:tcBorders>
          </w:tcPr>
          <w:p w14:paraId="780E6057" w14:textId="6D2BAC18" w:rsidR="00610467" w:rsidRPr="004C78D8" w:rsidRDefault="00610467" w:rsidP="00FB7C1F">
            <w:pPr>
              <w:jc w:val="center"/>
              <w:rPr>
                <w:sz w:val="18"/>
                <w:szCs w:val="18"/>
              </w:rPr>
            </w:pPr>
            <w:r w:rsidRPr="004C78D8">
              <w:rPr>
                <w:sz w:val="18"/>
                <w:szCs w:val="18"/>
              </w:rPr>
              <w:t>2032</w:t>
            </w:r>
          </w:p>
        </w:tc>
        <w:tc>
          <w:tcPr>
            <w:tcW w:w="1151" w:type="pct"/>
            <w:tcBorders>
              <w:top w:val="nil"/>
              <w:left w:val="nil"/>
              <w:bottom w:val="nil"/>
              <w:right w:val="single" w:sz="4" w:space="0" w:color="auto"/>
            </w:tcBorders>
            <w:shd w:val="clear" w:color="auto" w:fill="auto"/>
            <w:vAlign w:val="bottom"/>
          </w:tcPr>
          <w:p w14:paraId="5A92F280" w14:textId="6EDA542E" w:rsidR="00610467" w:rsidRPr="004C78D8" w:rsidRDefault="00610467" w:rsidP="00FB7C1F">
            <w:pPr>
              <w:jc w:val="center"/>
              <w:rPr>
                <w:rFonts w:cs="Times New Roman"/>
                <w:sz w:val="18"/>
                <w:szCs w:val="18"/>
              </w:rPr>
            </w:pPr>
            <w:r w:rsidRPr="004C78D8">
              <w:rPr>
                <w:rFonts w:cs="Times New Roman"/>
                <w:color w:val="000000"/>
                <w:sz w:val="18"/>
                <w:szCs w:val="18"/>
              </w:rPr>
              <w:t>7185</w:t>
            </w:r>
          </w:p>
        </w:tc>
      </w:tr>
      <w:tr w:rsidR="00610467" w:rsidRPr="004C78D8" w14:paraId="3F68BFD3" w14:textId="77777777" w:rsidTr="00E35893">
        <w:tc>
          <w:tcPr>
            <w:tcW w:w="999" w:type="pct"/>
            <w:tcBorders>
              <w:top w:val="nil"/>
              <w:bottom w:val="nil"/>
            </w:tcBorders>
          </w:tcPr>
          <w:p w14:paraId="2AD3579F" w14:textId="45BCCFF9" w:rsidR="00610467" w:rsidRPr="004C78D8" w:rsidRDefault="00610467" w:rsidP="00FB7C1F">
            <w:pPr>
              <w:jc w:val="center"/>
              <w:rPr>
                <w:sz w:val="18"/>
                <w:szCs w:val="18"/>
              </w:rPr>
            </w:pPr>
            <w:r w:rsidRPr="004C78D8">
              <w:rPr>
                <w:sz w:val="18"/>
                <w:szCs w:val="18"/>
              </w:rPr>
              <w:t>71</w:t>
            </w:r>
          </w:p>
        </w:tc>
        <w:tc>
          <w:tcPr>
            <w:tcW w:w="1000" w:type="pct"/>
            <w:tcBorders>
              <w:top w:val="nil"/>
              <w:left w:val="nil"/>
              <w:bottom w:val="nil"/>
              <w:right w:val="nil"/>
            </w:tcBorders>
            <w:shd w:val="clear" w:color="auto" w:fill="auto"/>
            <w:vAlign w:val="bottom"/>
          </w:tcPr>
          <w:p w14:paraId="08D54515" w14:textId="77D217FE" w:rsidR="00610467" w:rsidRPr="004C78D8" w:rsidRDefault="00610467" w:rsidP="00FB7C1F">
            <w:pPr>
              <w:jc w:val="center"/>
              <w:rPr>
                <w:rFonts w:cs="Times New Roman"/>
                <w:sz w:val="18"/>
                <w:szCs w:val="18"/>
              </w:rPr>
            </w:pPr>
            <w:r w:rsidRPr="004C78D8">
              <w:rPr>
                <w:rFonts w:cs="Times New Roman"/>
                <w:color w:val="000000"/>
                <w:sz w:val="18"/>
                <w:szCs w:val="18"/>
              </w:rPr>
              <w:t>2202</w:t>
            </w:r>
            <w:r w:rsidR="00F45E67" w:rsidRPr="004C78D8">
              <w:rPr>
                <w:rFonts w:cs="Times New Roman"/>
                <w:color w:val="000000"/>
                <w:sz w:val="18"/>
                <w:szCs w:val="18"/>
              </w:rPr>
              <w:t xml:space="preserve"> (3.77)</w:t>
            </w:r>
          </w:p>
        </w:tc>
        <w:tc>
          <w:tcPr>
            <w:tcW w:w="1001" w:type="pct"/>
            <w:tcBorders>
              <w:top w:val="nil"/>
              <w:left w:val="nil"/>
              <w:bottom w:val="nil"/>
              <w:right w:val="nil"/>
            </w:tcBorders>
            <w:shd w:val="clear" w:color="auto" w:fill="auto"/>
            <w:vAlign w:val="bottom"/>
          </w:tcPr>
          <w:p w14:paraId="78C7F3B1" w14:textId="5ABA8303" w:rsidR="00610467" w:rsidRPr="004C78D8" w:rsidRDefault="00610467" w:rsidP="00FB7C1F">
            <w:pPr>
              <w:jc w:val="center"/>
              <w:rPr>
                <w:rFonts w:cs="Times New Roman"/>
                <w:sz w:val="18"/>
                <w:szCs w:val="18"/>
              </w:rPr>
            </w:pPr>
            <w:r w:rsidRPr="004C78D8">
              <w:rPr>
                <w:rFonts w:cs="Times New Roman"/>
                <w:color w:val="000000"/>
                <w:sz w:val="18"/>
                <w:szCs w:val="18"/>
              </w:rPr>
              <w:t>2408</w:t>
            </w:r>
            <w:r w:rsidR="00276804" w:rsidRPr="004C78D8">
              <w:rPr>
                <w:rFonts w:cs="Times New Roman"/>
                <w:color w:val="000000"/>
                <w:sz w:val="18"/>
                <w:szCs w:val="18"/>
              </w:rPr>
              <w:t xml:space="preserve"> (3.60)</w:t>
            </w:r>
          </w:p>
        </w:tc>
        <w:tc>
          <w:tcPr>
            <w:tcW w:w="850" w:type="pct"/>
            <w:tcBorders>
              <w:top w:val="nil"/>
              <w:bottom w:val="nil"/>
            </w:tcBorders>
          </w:tcPr>
          <w:p w14:paraId="29DCCEEE" w14:textId="4EA82A0B" w:rsidR="00610467" w:rsidRPr="004C78D8" w:rsidRDefault="00610467" w:rsidP="00FB7C1F">
            <w:pPr>
              <w:jc w:val="center"/>
              <w:rPr>
                <w:sz w:val="18"/>
                <w:szCs w:val="18"/>
              </w:rPr>
            </w:pPr>
            <w:r w:rsidRPr="004C78D8">
              <w:rPr>
                <w:sz w:val="18"/>
                <w:szCs w:val="18"/>
              </w:rPr>
              <w:t>2033</w:t>
            </w:r>
          </w:p>
        </w:tc>
        <w:tc>
          <w:tcPr>
            <w:tcW w:w="1151" w:type="pct"/>
            <w:tcBorders>
              <w:top w:val="nil"/>
              <w:left w:val="nil"/>
              <w:bottom w:val="nil"/>
              <w:right w:val="single" w:sz="4" w:space="0" w:color="auto"/>
            </w:tcBorders>
            <w:shd w:val="clear" w:color="auto" w:fill="auto"/>
            <w:vAlign w:val="bottom"/>
          </w:tcPr>
          <w:p w14:paraId="16FB3D3B" w14:textId="48DC48C5" w:rsidR="00610467" w:rsidRPr="004C78D8" w:rsidRDefault="00610467" w:rsidP="00FB7C1F">
            <w:pPr>
              <w:jc w:val="center"/>
              <w:rPr>
                <w:rFonts w:cs="Times New Roman"/>
                <w:sz w:val="18"/>
                <w:szCs w:val="18"/>
              </w:rPr>
            </w:pPr>
            <w:r w:rsidRPr="004C78D8">
              <w:rPr>
                <w:rFonts w:cs="Times New Roman"/>
                <w:color w:val="000000"/>
                <w:sz w:val="18"/>
                <w:szCs w:val="18"/>
              </w:rPr>
              <w:t>6988</w:t>
            </w:r>
          </w:p>
        </w:tc>
      </w:tr>
      <w:tr w:rsidR="00610467" w:rsidRPr="004C78D8" w14:paraId="47C3D31F" w14:textId="77777777" w:rsidTr="00E35893">
        <w:tc>
          <w:tcPr>
            <w:tcW w:w="999" w:type="pct"/>
            <w:tcBorders>
              <w:top w:val="nil"/>
              <w:bottom w:val="nil"/>
            </w:tcBorders>
          </w:tcPr>
          <w:p w14:paraId="052A42A3" w14:textId="079607A7" w:rsidR="00610467" w:rsidRPr="004C78D8" w:rsidRDefault="00610467" w:rsidP="00FB7C1F">
            <w:pPr>
              <w:jc w:val="center"/>
              <w:rPr>
                <w:sz w:val="18"/>
                <w:szCs w:val="18"/>
              </w:rPr>
            </w:pPr>
            <w:r w:rsidRPr="004C78D8">
              <w:rPr>
                <w:sz w:val="18"/>
                <w:szCs w:val="18"/>
              </w:rPr>
              <w:t>72</w:t>
            </w:r>
          </w:p>
        </w:tc>
        <w:tc>
          <w:tcPr>
            <w:tcW w:w="1000" w:type="pct"/>
            <w:tcBorders>
              <w:top w:val="nil"/>
              <w:left w:val="nil"/>
              <w:bottom w:val="nil"/>
              <w:right w:val="nil"/>
            </w:tcBorders>
            <w:shd w:val="clear" w:color="auto" w:fill="auto"/>
            <w:vAlign w:val="bottom"/>
          </w:tcPr>
          <w:p w14:paraId="414B1D2A" w14:textId="703AC843" w:rsidR="00610467" w:rsidRPr="004C78D8" w:rsidRDefault="00610467" w:rsidP="00FB7C1F">
            <w:pPr>
              <w:jc w:val="center"/>
              <w:rPr>
                <w:rFonts w:cs="Times New Roman"/>
                <w:sz w:val="18"/>
                <w:szCs w:val="18"/>
              </w:rPr>
            </w:pPr>
            <w:r w:rsidRPr="004C78D8">
              <w:rPr>
                <w:rFonts w:cs="Times New Roman"/>
                <w:color w:val="000000"/>
                <w:sz w:val="18"/>
                <w:szCs w:val="18"/>
              </w:rPr>
              <w:t>2297</w:t>
            </w:r>
            <w:r w:rsidR="00F45E67" w:rsidRPr="004C78D8">
              <w:rPr>
                <w:rFonts w:cs="Times New Roman"/>
                <w:color w:val="000000"/>
                <w:sz w:val="18"/>
                <w:szCs w:val="18"/>
              </w:rPr>
              <w:t xml:space="preserve"> (3.94)</w:t>
            </w:r>
          </w:p>
        </w:tc>
        <w:tc>
          <w:tcPr>
            <w:tcW w:w="1001" w:type="pct"/>
            <w:tcBorders>
              <w:top w:val="nil"/>
              <w:left w:val="nil"/>
              <w:bottom w:val="nil"/>
              <w:right w:val="nil"/>
            </w:tcBorders>
            <w:shd w:val="clear" w:color="auto" w:fill="auto"/>
            <w:vAlign w:val="bottom"/>
          </w:tcPr>
          <w:p w14:paraId="79AAA5B4" w14:textId="4829B660" w:rsidR="00610467" w:rsidRPr="004C78D8" w:rsidRDefault="00610467" w:rsidP="00FB7C1F">
            <w:pPr>
              <w:jc w:val="center"/>
              <w:rPr>
                <w:rFonts w:cs="Times New Roman"/>
                <w:sz w:val="18"/>
                <w:szCs w:val="18"/>
              </w:rPr>
            </w:pPr>
            <w:r w:rsidRPr="004C78D8">
              <w:rPr>
                <w:rFonts w:cs="Times New Roman"/>
                <w:color w:val="000000"/>
                <w:sz w:val="18"/>
                <w:szCs w:val="18"/>
              </w:rPr>
              <w:t>2456</w:t>
            </w:r>
            <w:r w:rsidR="00276804" w:rsidRPr="004C78D8">
              <w:rPr>
                <w:rFonts w:cs="Times New Roman"/>
                <w:color w:val="000000"/>
                <w:sz w:val="18"/>
                <w:szCs w:val="18"/>
              </w:rPr>
              <w:t xml:space="preserve"> (3.67)</w:t>
            </w:r>
          </w:p>
        </w:tc>
        <w:tc>
          <w:tcPr>
            <w:tcW w:w="850" w:type="pct"/>
            <w:tcBorders>
              <w:top w:val="nil"/>
              <w:bottom w:val="nil"/>
            </w:tcBorders>
          </w:tcPr>
          <w:p w14:paraId="22A3D53E" w14:textId="623C46A9" w:rsidR="00610467" w:rsidRPr="004C78D8" w:rsidRDefault="00610467" w:rsidP="00FB7C1F">
            <w:pPr>
              <w:jc w:val="center"/>
              <w:rPr>
                <w:sz w:val="18"/>
                <w:szCs w:val="18"/>
              </w:rPr>
            </w:pPr>
            <w:r w:rsidRPr="004C78D8">
              <w:rPr>
                <w:sz w:val="18"/>
                <w:szCs w:val="18"/>
              </w:rPr>
              <w:t>2034</w:t>
            </w:r>
          </w:p>
        </w:tc>
        <w:tc>
          <w:tcPr>
            <w:tcW w:w="1151" w:type="pct"/>
            <w:tcBorders>
              <w:top w:val="nil"/>
              <w:left w:val="nil"/>
              <w:bottom w:val="nil"/>
              <w:right w:val="single" w:sz="4" w:space="0" w:color="auto"/>
            </w:tcBorders>
            <w:shd w:val="clear" w:color="auto" w:fill="auto"/>
            <w:vAlign w:val="bottom"/>
          </w:tcPr>
          <w:p w14:paraId="02385FE7" w14:textId="45E0824F" w:rsidR="00610467" w:rsidRPr="004C78D8" w:rsidRDefault="00610467" w:rsidP="00FB7C1F">
            <w:pPr>
              <w:jc w:val="center"/>
              <w:rPr>
                <w:rFonts w:cs="Times New Roman"/>
                <w:sz w:val="18"/>
                <w:szCs w:val="18"/>
              </w:rPr>
            </w:pPr>
            <w:r w:rsidRPr="004C78D8">
              <w:rPr>
                <w:rFonts w:cs="Times New Roman"/>
                <w:color w:val="000000"/>
                <w:sz w:val="18"/>
                <w:szCs w:val="18"/>
              </w:rPr>
              <w:t>6743</w:t>
            </w:r>
          </w:p>
        </w:tc>
      </w:tr>
      <w:tr w:rsidR="00610467" w:rsidRPr="004C78D8" w14:paraId="6C5F4481" w14:textId="77777777" w:rsidTr="00E35893">
        <w:tc>
          <w:tcPr>
            <w:tcW w:w="999" w:type="pct"/>
            <w:tcBorders>
              <w:top w:val="nil"/>
              <w:bottom w:val="nil"/>
            </w:tcBorders>
          </w:tcPr>
          <w:p w14:paraId="657F59C3" w14:textId="03732171" w:rsidR="00610467" w:rsidRPr="004C78D8" w:rsidRDefault="00610467" w:rsidP="00FB7C1F">
            <w:pPr>
              <w:jc w:val="center"/>
              <w:rPr>
                <w:sz w:val="18"/>
                <w:szCs w:val="18"/>
              </w:rPr>
            </w:pPr>
            <w:r w:rsidRPr="004C78D8">
              <w:rPr>
                <w:sz w:val="18"/>
                <w:szCs w:val="18"/>
              </w:rPr>
              <w:t>73</w:t>
            </w:r>
          </w:p>
        </w:tc>
        <w:tc>
          <w:tcPr>
            <w:tcW w:w="1000" w:type="pct"/>
            <w:tcBorders>
              <w:top w:val="nil"/>
              <w:left w:val="nil"/>
              <w:bottom w:val="nil"/>
              <w:right w:val="nil"/>
            </w:tcBorders>
            <w:shd w:val="clear" w:color="auto" w:fill="auto"/>
            <w:vAlign w:val="bottom"/>
          </w:tcPr>
          <w:p w14:paraId="61A38546" w14:textId="2C9939D6" w:rsidR="00610467" w:rsidRPr="004C78D8" w:rsidRDefault="00610467" w:rsidP="00FB7C1F">
            <w:pPr>
              <w:jc w:val="center"/>
              <w:rPr>
                <w:rFonts w:cs="Times New Roman"/>
                <w:sz w:val="18"/>
                <w:szCs w:val="18"/>
              </w:rPr>
            </w:pPr>
            <w:r w:rsidRPr="004C78D8">
              <w:rPr>
                <w:rFonts w:cs="Times New Roman"/>
                <w:color w:val="000000"/>
                <w:sz w:val="18"/>
                <w:szCs w:val="18"/>
              </w:rPr>
              <w:t>2460</w:t>
            </w:r>
            <w:r w:rsidR="00F45E67" w:rsidRPr="004C78D8">
              <w:rPr>
                <w:rFonts w:cs="Times New Roman"/>
                <w:color w:val="000000"/>
                <w:sz w:val="18"/>
                <w:szCs w:val="18"/>
              </w:rPr>
              <w:t xml:space="preserve"> (4.22)</w:t>
            </w:r>
          </w:p>
        </w:tc>
        <w:tc>
          <w:tcPr>
            <w:tcW w:w="1001" w:type="pct"/>
            <w:tcBorders>
              <w:top w:val="nil"/>
              <w:left w:val="nil"/>
              <w:bottom w:val="nil"/>
              <w:right w:val="nil"/>
            </w:tcBorders>
            <w:shd w:val="clear" w:color="auto" w:fill="auto"/>
            <w:vAlign w:val="bottom"/>
          </w:tcPr>
          <w:p w14:paraId="593CBCCC" w14:textId="10BCD10D" w:rsidR="00610467" w:rsidRPr="004C78D8" w:rsidRDefault="00610467" w:rsidP="00FB7C1F">
            <w:pPr>
              <w:jc w:val="center"/>
              <w:rPr>
                <w:rFonts w:cs="Times New Roman"/>
                <w:sz w:val="18"/>
                <w:szCs w:val="18"/>
              </w:rPr>
            </w:pPr>
            <w:r w:rsidRPr="004C78D8">
              <w:rPr>
                <w:rFonts w:cs="Times New Roman"/>
                <w:color w:val="000000"/>
                <w:sz w:val="18"/>
                <w:szCs w:val="18"/>
              </w:rPr>
              <w:t>2655</w:t>
            </w:r>
            <w:r w:rsidR="00276804" w:rsidRPr="004C78D8">
              <w:rPr>
                <w:rFonts w:cs="Times New Roman"/>
                <w:color w:val="000000"/>
                <w:sz w:val="18"/>
                <w:szCs w:val="18"/>
              </w:rPr>
              <w:t xml:space="preserve"> (3.97)</w:t>
            </w:r>
          </w:p>
        </w:tc>
        <w:tc>
          <w:tcPr>
            <w:tcW w:w="850" w:type="pct"/>
            <w:tcBorders>
              <w:top w:val="nil"/>
              <w:bottom w:val="nil"/>
            </w:tcBorders>
          </w:tcPr>
          <w:p w14:paraId="0A23CD4E" w14:textId="52D6491E" w:rsidR="00610467" w:rsidRPr="004C78D8" w:rsidRDefault="00610467" w:rsidP="00FB7C1F">
            <w:pPr>
              <w:jc w:val="center"/>
              <w:rPr>
                <w:sz w:val="18"/>
                <w:szCs w:val="18"/>
              </w:rPr>
            </w:pPr>
            <w:r w:rsidRPr="004C78D8">
              <w:rPr>
                <w:sz w:val="18"/>
                <w:szCs w:val="18"/>
              </w:rPr>
              <w:t>2035</w:t>
            </w:r>
          </w:p>
        </w:tc>
        <w:tc>
          <w:tcPr>
            <w:tcW w:w="1151" w:type="pct"/>
            <w:tcBorders>
              <w:top w:val="nil"/>
              <w:left w:val="nil"/>
              <w:bottom w:val="nil"/>
              <w:right w:val="single" w:sz="4" w:space="0" w:color="auto"/>
            </w:tcBorders>
            <w:shd w:val="clear" w:color="auto" w:fill="auto"/>
            <w:vAlign w:val="bottom"/>
          </w:tcPr>
          <w:p w14:paraId="1A87F218" w14:textId="50F3FB3F" w:rsidR="00610467" w:rsidRPr="004C78D8" w:rsidRDefault="00610467" w:rsidP="00FB7C1F">
            <w:pPr>
              <w:jc w:val="center"/>
              <w:rPr>
                <w:rFonts w:cs="Times New Roman"/>
                <w:sz w:val="18"/>
                <w:szCs w:val="18"/>
              </w:rPr>
            </w:pPr>
            <w:r w:rsidRPr="004C78D8">
              <w:rPr>
                <w:rFonts w:cs="Times New Roman"/>
                <w:color w:val="000000"/>
                <w:sz w:val="18"/>
                <w:szCs w:val="18"/>
              </w:rPr>
              <w:t>6503</w:t>
            </w:r>
          </w:p>
        </w:tc>
      </w:tr>
      <w:tr w:rsidR="00610467" w:rsidRPr="004C78D8" w14:paraId="4ED53664" w14:textId="77777777" w:rsidTr="00E35893">
        <w:tc>
          <w:tcPr>
            <w:tcW w:w="999" w:type="pct"/>
            <w:tcBorders>
              <w:top w:val="nil"/>
              <w:bottom w:val="nil"/>
            </w:tcBorders>
          </w:tcPr>
          <w:p w14:paraId="783E27FF" w14:textId="31593132" w:rsidR="00610467" w:rsidRPr="004C78D8" w:rsidRDefault="00610467" w:rsidP="00FB7C1F">
            <w:pPr>
              <w:jc w:val="center"/>
              <w:rPr>
                <w:sz w:val="18"/>
                <w:szCs w:val="18"/>
              </w:rPr>
            </w:pPr>
            <w:r w:rsidRPr="004C78D8">
              <w:rPr>
                <w:sz w:val="18"/>
                <w:szCs w:val="18"/>
              </w:rPr>
              <w:t>74</w:t>
            </w:r>
          </w:p>
        </w:tc>
        <w:tc>
          <w:tcPr>
            <w:tcW w:w="1000" w:type="pct"/>
            <w:tcBorders>
              <w:top w:val="nil"/>
              <w:left w:val="nil"/>
              <w:bottom w:val="nil"/>
              <w:right w:val="nil"/>
            </w:tcBorders>
            <w:shd w:val="clear" w:color="auto" w:fill="auto"/>
            <w:vAlign w:val="bottom"/>
          </w:tcPr>
          <w:p w14:paraId="039154BB" w14:textId="59B52F02" w:rsidR="00610467" w:rsidRPr="004C78D8" w:rsidRDefault="00610467" w:rsidP="00FB7C1F">
            <w:pPr>
              <w:jc w:val="center"/>
              <w:rPr>
                <w:rFonts w:cs="Times New Roman"/>
                <w:sz w:val="18"/>
                <w:szCs w:val="18"/>
              </w:rPr>
            </w:pPr>
            <w:r w:rsidRPr="004C78D8">
              <w:rPr>
                <w:rFonts w:cs="Times New Roman"/>
                <w:color w:val="000000"/>
                <w:sz w:val="18"/>
                <w:szCs w:val="18"/>
              </w:rPr>
              <w:t>2511</w:t>
            </w:r>
            <w:r w:rsidR="00F45E67" w:rsidRPr="004C78D8">
              <w:rPr>
                <w:rFonts w:cs="Times New Roman"/>
                <w:color w:val="000000"/>
                <w:sz w:val="18"/>
                <w:szCs w:val="18"/>
              </w:rPr>
              <w:t xml:space="preserve"> (4.30)</w:t>
            </w:r>
          </w:p>
        </w:tc>
        <w:tc>
          <w:tcPr>
            <w:tcW w:w="1001" w:type="pct"/>
            <w:tcBorders>
              <w:top w:val="nil"/>
              <w:left w:val="nil"/>
              <w:bottom w:val="nil"/>
              <w:right w:val="nil"/>
            </w:tcBorders>
            <w:shd w:val="clear" w:color="auto" w:fill="auto"/>
            <w:vAlign w:val="bottom"/>
          </w:tcPr>
          <w:p w14:paraId="796C3D68" w14:textId="3B710554" w:rsidR="00610467" w:rsidRPr="004C78D8" w:rsidRDefault="00610467" w:rsidP="00FB7C1F">
            <w:pPr>
              <w:jc w:val="center"/>
              <w:rPr>
                <w:rFonts w:cs="Times New Roman"/>
                <w:sz w:val="18"/>
                <w:szCs w:val="18"/>
              </w:rPr>
            </w:pPr>
            <w:r w:rsidRPr="004C78D8">
              <w:rPr>
                <w:rFonts w:cs="Times New Roman"/>
                <w:color w:val="000000"/>
                <w:sz w:val="18"/>
                <w:szCs w:val="18"/>
              </w:rPr>
              <w:t>2804</w:t>
            </w:r>
            <w:r w:rsidR="00276804" w:rsidRPr="004C78D8">
              <w:rPr>
                <w:rFonts w:cs="Times New Roman"/>
                <w:color w:val="000000"/>
                <w:sz w:val="18"/>
                <w:szCs w:val="18"/>
              </w:rPr>
              <w:t xml:space="preserve"> (4.19)</w:t>
            </w:r>
          </w:p>
        </w:tc>
        <w:tc>
          <w:tcPr>
            <w:tcW w:w="850" w:type="pct"/>
            <w:tcBorders>
              <w:top w:val="nil"/>
              <w:bottom w:val="nil"/>
            </w:tcBorders>
          </w:tcPr>
          <w:p w14:paraId="487CB6D1" w14:textId="3537EBB4" w:rsidR="00610467" w:rsidRPr="004C78D8" w:rsidRDefault="00610467" w:rsidP="00FB7C1F">
            <w:pPr>
              <w:jc w:val="center"/>
              <w:rPr>
                <w:sz w:val="18"/>
                <w:szCs w:val="18"/>
              </w:rPr>
            </w:pPr>
            <w:r w:rsidRPr="004C78D8">
              <w:rPr>
                <w:sz w:val="18"/>
                <w:szCs w:val="18"/>
              </w:rPr>
              <w:t>2036</w:t>
            </w:r>
          </w:p>
        </w:tc>
        <w:tc>
          <w:tcPr>
            <w:tcW w:w="1151" w:type="pct"/>
            <w:tcBorders>
              <w:top w:val="nil"/>
              <w:left w:val="nil"/>
              <w:bottom w:val="nil"/>
              <w:right w:val="single" w:sz="4" w:space="0" w:color="auto"/>
            </w:tcBorders>
            <w:shd w:val="clear" w:color="auto" w:fill="auto"/>
            <w:vAlign w:val="bottom"/>
          </w:tcPr>
          <w:p w14:paraId="737E4976" w14:textId="3AFA84F7" w:rsidR="00610467" w:rsidRPr="004C78D8" w:rsidRDefault="00610467" w:rsidP="00FB7C1F">
            <w:pPr>
              <w:jc w:val="center"/>
              <w:rPr>
                <w:rFonts w:cs="Times New Roman"/>
                <w:sz w:val="18"/>
                <w:szCs w:val="18"/>
              </w:rPr>
            </w:pPr>
            <w:r w:rsidRPr="004C78D8">
              <w:rPr>
                <w:rFonts w:cs="Times New Roman"/>
                <w:color w:val="000000"/>
                <w:sz w:val="18"/>
                <w:szCs w:val="18"/>
              </w:rPr>
              <w:t>6229</w:t>
            </w:r>
          </w:p>
        </w:tc>
      </w:tr>
      <w:tr w:rsidR="00610467" w:rsidRPr="004C78D8" w14:paraId="54F32B00" w14:textId="77777777" w:rsidTr="00E35893">
        <w:tc>
          <w:tcPr>
            <w:tcW w:w="999" w:type="pct"/>
            <w:tcBorders>
              <w:top w:val="nil"/>
              <w:bottom w:val="nil"/>
            </w:tcBorders>
          </w:tcPr>
          <w:p w14:paraId="769D889A" w14:textId="1BA480D5" w:rsidR="00610467" w:rsidRPr="004C78D8" w:rsidRDefault="00610467" w:rsidP="00FB7C1F">
            <w:pPr>
              <w:jc w:val="center"/>
              <w:rPr>
                <w:sz w:val="18"/>
                <w:szCs w:val="18"/>
              </w:rPr>
            </w:pPr>
            <w:r w:rsidRPr="004C78D8">
              <w:rPr>
                <w:sz w:val="18"/>
                <w:szCs w:val="18"/>
              </w:rPr>
              <w:t>75</w:t>
            </w:r>
          </w:p>
        </w:tc>
        <w:tc>
          <w:tcPr>
            <w:tcW w:w="1000" w:type="pct"/>
            <w:tcBorders>
              <w:top w:val="nil"/>
              <w:left w:val="nil"/>
              <w:bottom w:val="nil"/>
              <w:right w:val="nil"/>
            </w:tcBorders>
            <w:shd w:val="clear" w:color="auto" w:fill="auto"/>
            <w:vAlign w:val="bottom"/>
          </w:tcPr>
          <w:p w14:paraId="148E71CF" w14:textId="7DC1E292" w:rsidR="00610467" w:rsidRPr="004C78D8" w:rsidRDefault="00610467" w:rsidP="00FB7C1F">
            <w:pPr>
              <w:jc w:val="center"/>
              <w:rPr>
                <w:rFonts w:cs="Times New Roman"/>
                <w:sz w:val="18"/>
                <w:szCs w:val="18"/>
              </w:rPr>
            </w:pPr>
            <w:r w:rsidRPr="004C78D8">
              <w:rPr>
                <w:rFonts w:cs="Times New Roman"/>
                <w:color w:val="000000"/>
                <w:sz w:val="18"/>
                <w:szCs w:val="18"/>
              </w:rPr>
              <w:t>1900</w:t>
            </w:r>
            <w:r w:rsidR="00F45E67" w:rsidRPr="004C78D8">
              <w:rPr>
                <w:rFonts w:cs="Times New Roman"/>
                <w:color w:val="000000"/>
                <w:sz w:val="18"/>
                <w:szCs w:val="18"/>
              </w:rPr>
              <w:t xml:space="preserve"> (3.26)</w:t>
            </w:r>
          </w:p>
        </w:tc>
        <w:tc>
          <w:tcPr>
            <w:tcW w:w="1001" w:type="pct"/>
            <w:tcBorders>
              <w:top w:val="nil"/>
              <w:left w:val="nil"/>
              <w:bottom w:val="nil"/>
              <w:right w:val="nil"/>
            </w:tcBorders>
            <w:shd w:val="clear" w:color="auto" w:fill="auto"/>
            <w:vAlign w:val="bottom"/>
          </w:tcPr>
          <w:p w14:paraId="37B0E166" w14:textId="3F96E4AF" w:rsidR="00610467" w:rsidRPr="004C78D8" w:rsidRDefault="00610467" w:rsidP="00FB7C1F">
            <w:pPr>
              <w:jc w:val="center"/>
              <w:rPr>
                <w:rFonts w:cs="Times New Roman"/>
                <w:sz w:val="18"/>
                <w:szCs w:val="18"/>
              </w:rPr>
            </w:pPr>
            <w:r w:rsidRPr="004C78D8">
              <w:rPr>
                <w:rFonts w:cs="Times New Roman"/>
                <w:color w:val="000000"/>
                <w:sz w:val="18"/>
                <w:szCs w:val="18"/>
              </w:rPr>
              <w:t>2311</w:t>
            </w:r>
            <w:r w:rsidR="00276804" w:rsidRPr="004C78D8">
              <w:rPr>
                <w:rFonts w:cs="Times New Roman"/>
                <w:color w:val="000000"/>
                <w:sz w:val="18"/>
                <w:szCs w:val="18"/>
              </w:rPr>
              <w:t xml:space="preserve"> (3.46)</w:t>
            </w:r>
          </w:p>
        </w:tc>
        <w:tc>
          <w:tcPr>
            <w:tcW w:w="850" w:type="pct"/>
            <w:tcBorders>
              <w:top w:val="nil"/>
              <w:bottom w:val="nil"/>
            </w:tcBorders>
          </w:tcPr>
          <w:p w14:paraId="17C3DFAC" w14:textId="00E5E55B" w:rsidR="00610467" w:rsidRPr="004C78D8" w:rsidRDefault="00610467" w:rsidP="00FB7C1F">
            <w:pPr>
              <w:jc w:val="center"/>
              <w:rPr>
                <w:sz w:val="18"/>
                <w:szCs w:val="18"/>
              </w:rPr>
            </w:pPr>
            <w:r w:rsidRPr="004C78D8">
              <w:rPr>
                <w:sz w:val="18"/>
                <w:szCs w:val="18"/>
              </w:rPr>
              <w:t>2037</w:t>
            </w:r>
          </w:p>
        </w:tc>
        <w:tc>
          <w:tcPr>
            <w:tcW w:w="1151" w:type="pct"/>
            <w:tcBorders>
              <w:top w:val="nil"/>
              <w:left w:val="nil"/>
              <w:bottom w:val="nil"/>
              <w:right w:val="single" w:sz="4" w:space="0" w:color="auto"/>
            </w:tcBorders>
            <w:shd w:val="clear" w:color="auto" w:fill="auto"/>
            <w:vAlign w:val="bottom"/>
          </w:tcPr>
          <w:p w14:paraId="50688640" w14:textId="37CBD2D8" w:rsidR="00610467" w:rsidRPr="004C78D8" w:rsidRDefault="00610467" w:rsidP="00FB7C1F">
            <w:pPr>
              <w:jc w:val="center"/>
              <w:rPr>
                <w:rFonts w:cs="Times New Roman"/>
                <w:sz w:val="18"/>
                <w:szCs w:val="18"/>
              </w:rPr>
            </w:pPr>
            <w:r w:rsidRPr="004C78D8">
              <w:rPr>
                <w:rFonts w:cs="Times New Roman"/>
                <w:color w:val="000000"/>
                <w:sz w:val="18"/>
                <w:szCs w:val="18"/>
              </w:rPr>
              <w:t>6021</w:t>
            </w:r>
          </w:p>
        </w:tc>
      </w:tr>
      <w:tr w:rsidR="00610467" w:rsidRPr="004C78D8" w14:paraId="15A4B727" w14:textId="77777777" w:rsidTr="00E35893">
        <w:tc>
          <w:tcPr>
            <w:tcW w:w="999" w:type="pct"/>
            <w:tcBorders>
              <w:top w:val="nil"/>
              <w:bottom w:val="nil"/>
            </w:tcBorders>
          </w:tcPr>
          <w:p w14:paraId="6DAA1A0D" w14:textId="44D51750" w:rsidR="00610467" w:rsidRPr="004C78D8" w:rsidRDefault="00610467" w:rsidP="00FB7C1F">
            <w:pPr>
              <w:jc w:val="center"/>
              <w:rPr>
                <w:sz w:val="18"/>
                <w:szCs w:val="18"/>
              </w:rPr>
            </w:pPr>
            <w:r w:rsidRPr="004C78D8">
              <w:rPr>
                <w:sz w:val="18"/>
                <w:szCs w:val="18"/>
              </w:rPr>
              <w:t>76</w:t>
            </w:r>
          </w:p>
        </w:tc>
        <w:tc>
          <w:tcPr>
            <w:tcW w:w="1000" w:type="pct"/>
            <w:tcBorders>
              <w:top w:val="nil"/>
              <w:left w:val="nil"/>
              <w:bottom w:val="nil"/>
              <w:right w:val="nil"/>
            </w:tcBorders>
            <w:shd w:val="clear" w:color="auto" w:fill="auto"/>
            <w:vAlign w:val="bottom"/>
          </w:tcPr>
          <w:p w14:paraId="31B6459B" w14:textId="5E87C738" w:rsidR="00610467" w:rsidRPr="004C78D8" w:rsidRDefault="00610467" w:rsidP="00FB7C1F">
            <w:pPr>
              <w:jc w:val="center"/>
              <w:rPr>
                <w:rFonts w:cs="Times New Roman"/>
                <w:sz w:val="18"/>
                <w:szCs w:val="18"/>
              </w:rPr>
            </w:pPr>
            <w:r w:rsidRPr="004C78D8">
              <w:rPr>
                <w:rFonts w:cs="Times New Roman"/>
                <w:color w:val="000000"/>
                <w:sz w:val="18"/>
                <w:szCs w:val="18"/>
              </w:rPr>
              <w:t>1889</w:t>
            </w:r>
            <w:r w:rsidR="00F45E67" w:rsidRPr="004C78D8">
              <w:rPr>
                <w:rFonts w:cs="Times New Roman"/>
                <w:color w:val="000000"/>
                <w:sz w:val="18"/>
                <w:szCs w:val="18"/>
              </w:rPr>
              <w:t xml:space="preserve"> (3.24)</w:t>
            </w:r>
          </w:p>
        </w:tc>
        <w:tc>
          <w:tcPr>
            <w:tcW w:w="1001" w:type="pct"/>
            <w:tcBorders>
              <w:top w:val="nil"/>
              <w:left w:val="nil"/>
              <w:bottom w:val="nil"/>
              <w:right w:val="nil"/>
            </w:tcBorders>
            <w:shd w:val="clear" w:color="auto" w:fill="auto"/>
            <w:vAlign w:val="bottom"/>
          </w:tcPr>
          <w:p w14:paraId="38991FE7" w14:textId="66F0907D" w:rsidR="00610467" w:rsidRPr="004C78D8" w:rsidRDefault="00610467" w:rsidP="00FB7C1F">
            <w:pPr>
              <w:jc w:val="center"/>
              <w:rPr>
                <w:rFonts w:cs="Times New Roman"/>
                <w:sz w:val="18"/>
                <w:szCs w:val="18"/>
              </w:rPr>
            </w:pPr>
            <w:r w:rsidRPr="004C78D8">
              <w:rPr>
                <w:rFonts w:cs="Times New Roman"/>
                <w:color w:val="000000"/>
                <w:sz w:val="18"/>
                <w:szCs w:val="18"/>
              </w:rPr>
              <w:t>2279</w:t>
            </w:r>
            <w:r w:rsidR="00276804" w:rsidRPr="004C78D8">
              <w:rPr>
                <w:rFonts w:cs="Times New Roman"/>
                <w:color w:val="000000"/>
                <w:sz w:val="18"/>
                <w:szCs w:val="18"/>
              </w:rPr>
              <w:t xml:space="preserve"> (3.41)</w:t>
            </w:r>
          </w:p>
        </w:tc>
        <w:tc>
          <w:tcPr>
            <w:tcW w:w="850" w:type="pct"/>
            <w:tcBorders>
              <w:top w:val="nil"/>
              <w:bottom w:val="nil"/>
            </w:tcBorders>
          </w:tcPr>
          <w:p w14:paraId="6569BD87" w14:textId="25E5373C" w:rsidR="00610467" w:rsidRPr="004C78D8" w:rsidRDefault="00610467" w:rsidP="00FB7C1F">
            <w:pPr>
              <w:jc w:val="center"/>
              <w:rPr>
                <w:sz w:val="18"/>
                <w:szCs w:val="18"/>
              </w:rPr>
            </w:pPr>
            <w:r w:rsidRPr="004C78D8">
              <w:rPr>
                <w:sz w:val="18"/>
                <w:szCs w:val="18"/>
              </w:rPr>
              <w:t>2038</w:t>
            </w:r>
          </w:p>
        </w:tc>
        <w:tc>
          <w:tcPr>
            <w:tcW w:w="1151" w:type="pct"/>
            <w:tcBorders>
              <w:top w:val="nil"/>
              <w:left w:val="nil"/>
              <w:bottom w:val="nil"/>
              <w:right w:val="single" w:sz="4" w:space="0" w:color="auto"/>
            </w:tcBorders>
            <w:shd w:val="clear" w:color="auto" w:fill="auto"/>
            <w:vAlign w:val="bottom"/>
          </w:tcPr>
          <w:p w14:paraId="2498D15E" w14:textId="21647D84" w:rsidR="00610467" w:rsidRPr="004C78D8" w:rsidRDefault="00610467" w:rsidP="00FB7C1F">
            <w:pPr>
              <w:jc w:val="center"/>
              <w:rPr>
                <w:rFonts w:cs="Times New Roman"/>
                <w:sz w:val="18"/>
                <w:szCs w:val="18"/>
              </w:rPr>
            </w:pPr>
            <w:r w:rsidRPr="004C78D8">
              <w:rPr>
                <w:rFonts w:cs="Times New Roman"/>
                <w:color w:val="000000"/>
                <w:sz w:val="18"/>
                <w:szCs w:val="18"/>
              </w:rPr>
              <w:t>5920</w:t>
            </w:r>
          </w:p>
        </w:tc>
      </w:tr>
      <w:tr w:rsidR="00610467" w:rsidRPr="004C78D8" w14:paraId="3048E5A1" w14:textId="77777777" w:rsidTr="00E35893">
        <w:tc>
          <w:tcPr>
            <w:tcW w:w="999" w:type="pct"/>
            <w:tcBorders>
              <w:top w:val="nil"/>
              <w:bottom w:val="nil"/>
            </w:tcBorders>
          </w:tcPr>
          <w:p w14:paraId="5BFC1EF3" w14:textId="2685DC26" w:rsidR="00610467" w:rsidRPr="004C78D8" w:rsidRDefault="00610467" w:rsidP="00FB7C1F">
            <w:pPr>
              <w:jc w:val="center"/>
              <w:rPr>
                <w:sz w:val="18"/>
                <w:szCs w:val="18"/>
              </w:rPr>
            </w:pPr>
            <w:r w:rsidRPr="004C78D8">
              <w:rPr>
                <w:sz w:val="18"/>
                <w:szCs w:val="18"/>
              </w:rPr>
              <w:t>77</w:t>
            </w:r>
          </w:p>
        </w:tc>
        <w:tc>
          <w:tcPr>
            <w:tcW w:w="1000" w:type="pct"/>
            <w:tcBorders>
              <w:top w:val="nil"/>
              <w:left w:val="nil"/>
              <w:bottom w:val="nil"/>
              <w:right w:val="nil"/>
            </w:tcBorders>
            <w:shd w:val="clear" w:color="auto" w:fill="auto"/>
            <w:vAlign w:val="bottom"/>
          </w:tcPr>
          <w:p w14:paraId="723C42FD" w14:textId="3F29A019" w:rsidR="00610467" w:rsidRPr="004C78D8" w:rsidRDefault="00610467" w:rsidP="00FB7C1F">
            <w:pPr>
              <w:jc w:val="center"/>
              <w:rPr>
                <w:rFonts w:cs="Times New Roman"/>
                <w:sz w:val="18"/>
                <w:szCs w:val="18"/>
              </w:rPr>
            </w:pPr>
            <w:r w:rsidRPr="004C78D8">
              <w:rPr>
                <w:rFonts w:cs="Times New Roman"/>
                <w:color w:val="000000"/>
                <w:sz w:val="18"/>
                <w:szCs w:val="18"/>
              </w:rPr>
              <w:t>1956</w:t>
            </w:r>
            <w:r w:rsidR="00F45E67" w:rsidRPr="004C78D8">
              <w:rPr>
                <w:rFonts w:cs="Times New Roman"/>
                <w:color w:val="000000"/>
                <w:sz w:val="18"/>
                <w:szCs w:val="18"/>
              </w:rPr>
              <w:t xml:space="preserve"> (3.35)</w:t>
            </w:r>
          </w:p>
        </w:tc>
        <w:tc>
          <w:tcPr>
            <w:tcW w:w="1001" w:type="pct"/>
            <w:tcBorders>
              <w:top w:val="nil"/>
              <w:left w:val="nil"/>
              <w:bottom w:val="nil"/>
              <w:right w:val="nil"/>
            </w:tcBorders>
            <w:shd w:val="clear" w:color="auto" w:fill="auto"/>
            <w:vAlign w:val="bottom"/>
          </w:tcPr>
          <w:p w14:paraId="0CE2E7A3" w14:textId="31E21E44" w:rsidR="00610467" w:rsidRPr="004C78D8" w:rsidRDefault="00610467" w:rsidP="00FB7C1F">
            <w:pPr>
              <w:jc w:val="center"/>
              <w:rPr>
                <w:rFonts w:cs="Times New Roman"/>
                <w:sz w:val="18"/>
                <w:szCs w:val="18"/>
              </w:rPr>
            </w:pPr>
            <w:r w:rsidRPr="004C78D8">
              <w:rPr>
                <w:rFonts w:cs="Times New Roman"/>
                <w:color w:val="000000"/>
                <w:sz w:val="18"/>
                <w:szCs w:val="18"/>
              </w:rPr>
              <w:t>2226</w:t>
            </w:r>
            <w:r w:rsidR="00276804" w:rsidRPr="004C78D8">
              <w:rPr>
                <w:rFonts w:cs="Times New Roman"/>
                <w:color w:val="000000"/>
                <w:sz w:val="18"/>
                <w:szCs w:val="18"/>
              </w:rPr>
              <w:t xml:space="preserve"> (3.33)</w:t>
            </w:r>
          </w:p>
        </w:tc>
        <w:tc>
          <w:tcPr>
            <w:tcW w:w="850" w:type="pct"/>
            <w:tcBorders>
              <w:top w:val="nil"/>
              <w:bottom w:val="nil"/>
            </w:tcBorders>
          </w:tcPr>
          <w:p w14:paraId="77DD1847" w14:textId="7320F83A" w:rsidR="00610467" w:rsidRPr="004C78D8" w:rsidRDefault="00610467" w:rsidP="00FB7C1F">
            <w:pPr>
              <w:jc w:val="center"/>
              <w:rPr>
                <w:sz w:val="18"/>
                <w:szCs w:val="18"/>
              </w:rPr>
            </w:pPr>
            <w:r w:rsidRPr="004C78D8">
              <w:rPr>
                <w:sz w:val="18"/>
                <w:szCs w:val="18"/>
              </w:rPr>
              <w:t>2039</w:t>
            </w:r>
          </w:p>
        </w:tc>
        <w:tc>
          <w:tcPr>
            <w:tcW w:w="1151" w:type="pct"/>
            <w:tcBorders>
              <w:top w:val="nil"/>
              <w:left w:val="nil"/>
              <w:bottom w:val="nil"/>
              <w:right w:val="single" w:sz="4" w:space="0" w:color="auto"/>
            </w:tcBorders>
            <w:shd w:val="clear" w:color="auto" w:fill="auto"/>
            <w:vAlign w:val="bottom"/>
          </w:tcPr>
          <w:p w14:paraId="77F9413E" w14:textId="272FEAA6" w:rsidR="00610467" w:rsidRPr="004C78D8" w:rsidRDefault="00610467" w:rsidP="00FB7C1F">
            <w:pPr>
              <w:jc w:val="center"/>
              <w:rPr>
                <w:rFonts w:cs="Times New Roman"/>
                <w:sz w:val="18"/>
                <w:szCs w:val="18"/>
              </w:rPr>
            </w:pPr>
            <w:r w:rsidRPr="004C78D8">
              <w:rPr>
                <w:rFonts w:cs="Times New Roman"/>
                <w:color w:val="000000"/>
                <w:sz w:val="18"/>
                <w:szCs w:val="18"/>
              </w:rPr>
              <w:t>5970</w:t>
            </w:r>
          </w:p>
        </w:tc>
      </w:tr>
      <w:tr w:rsidR="00610467" w:rsidRPr="004C78D8" w14:paraId="082701DD" w14:textId="77777777" w:rsidTr="00E35893">
        <w:tc>
          <w:tcPr>
            <w:tcW w:w="999" w:type="pct"/>
            <w:tcBorders>
              <w:top w:val="nil"/>
              <w:bottom w:val="nil"/>
            </w:tcBorders>
          </w:tcPr>
          <w:p w14:paraId="1394A87A" w14:textId="3D4FB741" w:rsidR="00610467" w:rsidRPr="004C78D8" w:rsidRDefault="00610467" w:rsidP="00FB7C1F">
            <w:pPr>
              <w:jc w:val="center"/>
              <w:rPr>
                <w:sz w:val="18"/>
                <w:szCs w:val="18"/>
              </w:rPr>
            </w:pPr>
            <w:r w:rsidRPr="004C78D8">
              <w:rPr>
                <w:sz w:val="18"/>
                <w:szCs w:val="18"/>
              </w:rPr>
              <w:t>78</w:t>
            </w:r>
          </w:p>
        </w:tc>
        <w:tc>
          <w:tcPr>
            <w:tcW w:w="1000" w:type="pct"/>
            <w:tcBorders>
              <w:top w:val="nil"/>
              <w:left w:val="nil"/>
              <w:bottom w:val="nil"/>
              <w:right w:val="nil"/>
            </w:tcBorders>
            <w:shd w:val="clear" w:color="auto" w:fill="auto"/>
            <w:vAlign w:val="bottom"/>
          </w:tcPr>
          <w:p w14:paraId="490FFA94" w14:textId="387BB413" w:rsidR="00610467" w:rsidRPr="004C78D8" w:rsidRDefault="00610467" w:rsidP="00FB7C1F">
            <w:pPr>
              <w:jc w:val="center"/>
              <w:rPr>
                <w:rFonts w:cs="Times New Roman"/>
                <w:sz w:val="18"/>
                <w:szCs w:val="18"/>
              </w:rPr>
            </w:pPr>
            <w:r w:rsidRPr="004C78D8">
              <w:rPr>
                <w:rFonts w:cs="Times New Roman"/>
                <w:color w:val="000000"/>
                <w:sz w:val="18"/>
                <w:szCs w:val="18"/>
              </w:rPr>
              <w:t>1654</w:t>
            </w:r>
            <w:r w:rsidR="00F45E67" w:rsidRPr="004C78D8">
              <w:rPr>
                <w:rFonts w:cs="Times New Roman"/>
                <w:color w:val="000000"/>
                <w:sz w:val="18"/>
                <w:szCs w:val="18"/>
              </w:rPr>
              <w:t xml:space="preserve"> (2.83)</w:t>
            </w:r>
          </w:p>
        </w:tc>
        <w:tc>
          <w:tcPr>
            <w:tcW w:w="1001" w:type="pct"/>
            <w:tcBorders>
              <w:top w:val="nil"/>
              <w:left w:val="nil"/>
              <w:bottom w:val="nil"/>
              <w:right w:val="nil"/>
            </w:tcBorders>
            <w:shd w:val="clear" w:color="auto" w:fill="auto"/>
            <w:vAlign w:val="bottom"/>
          </w:tcPr>
          <w:p w14:paraId="050CEAB1" w14:textId="21D9BA11" w:rsidR="00610467" w:rsidRPr="004C78D8" w:rsidRDefault="00610467" w:rsidP="00FB7C1F">
            <w:pPr>
              <w:jc w:val="center"/>
              <w:rPr>
                <w:rFonts w:cs="Times New Roman"/>
                <w:sz w:val="18"/>
                <w:szCs w:val="18"/>
              </w:rPr>
            </w:pPr>
            <w:r w:rsidRPr="004C78D8">
              <w:rPr>
                <w:rFonts w:cs="Times New Roman"/>
                <w:color w:val="000000"/>
                <w:sz w:val="18"/>
                <w:szCs w:val="18"/>
              </w:rPr>
              <w:t>1946</w:t>
            </w:r>
            <w:r w:rsidR="00276804" w:rsidRPr="004C78D8">
              <w:rPr>
                <w:rFonts w:cs="Times New Roman"/>
                <w:color w:val="000000"/>
                <w:sz w:val="18"/>
                <w:szCs w:val="18"/>
              </w:rPr>
              <w:t xml:space="preserve"> (2.91)</w:t>
            </w:r>
          </w:p>
        </w:tc>
        <w:tc>
          <w:tcPr>
            <w:tcW w:w="850" w:type="pct"/>
            <w:tcBorders>
              <w:top w:val="nil"/>
              <w:bottom w:val="nil"/>
            </w:tcBorders>
          </w:tcPr>
          <w:p w14:paraId="5B94437E" w14:textId="59021665" w:rsidR="00610467" w:rsidRPr="004C78D8" w:rsidRDefault="00610467" w:rsidP="00FB7C1F">
            <w:pPr>
              <w:jc w:val="center"/>
              <w:rPr>
                <w:sz w:val="18"/>
                <w:szCs w:val="18"/>
              </w:rPr>
            </w:pPr>
            <w:r w:rsidRPr="004C78D8">
              <w:rPr>
                <w:sz w:val="18"/>
                <w:szCs w:val="18"/>
              </w:rPr>
              <w:t>2040</w:t>
            </w:r>
          </w:p>
        </w:tc>
        <w:tc>
          <w:tcPr>
            <w:tcW w:w="1151" w:type="pct"/>
            <w:tcBorders>
              <w:top w:val="nil"/>
              <w:left w:val="nil"/>
              <w:bottom w:val="nil"/>
              <w:right w:val="single" w:sz="4" w:space="0" w:color="auto"/>
            </w:tcBorders>
            <w:shd w:val="clear" w:color="auto" w:fill="auto"/>
            <w:vAlign w:val="bottom"/>
          </w:tcPr>
          <w:p w14:paraId="61EE25A4" w14:textId="7449B6E5" w:rsidR="00610467" w:rsidRPr="004C78D8" w:rsidRDefault="00610467" w:rsidP="00FB7C1F">
            <w:pPr>
              <w:jc w:val="center"/>
              <w:rPr>
                <w:rFonts w:cs="Times New Roman"/>
                <w:sz w:val="18"/>
                <w:szCs w:val="18"/>
              </w:rPr>
            </w:pPr>
            <w:r w:rsidRPr="004C78D8">
              <w:rPr>
                <w:rFonts w:cs="Times New Roman"/>
                <w:color w:val="000000"/>
                <w:sz w:val="18"/>
                <w:szCs w:val="18"/>
              </w:rPr>
              <w:t>6094</w:t>
            </w:r>
          </w:p>
        </w:tc>
      </w:tr>
      <w:tr w:rsidR="00610467" w:rsidRPr="004C78D8" w14:paraId="4A4166BD" w14:textId="77777777" w:rsidTr="00E35893">
        <w:tc>
          <w:tcPr>
            <w:tcW w:w="999" w:type="pct"/>
            <w:tcBorders>
              <w:top w:val="nil"/>
              <w:bottom w:val="nil"/>
            </w:tcBorders>
          </w:tcPr>
          <w:p w14:paraId="74B37ACB" w14:textId="3945BD1E" w:rsidR="00610467" w:rsidRPr="004C78D8" w:rsidRDefault="00610467" w:rsidP="00FB7C1F">
            <w:pPr>
              <w:jc w:val="center"/>
              <w:rPr>
                <w:sz w:val="18"/>
                <w:szCs w:val="18"/>
              </w:rPr>
            </w:pPr>
            <w:r w:rsidRPr="004C78D8">
              <w:rPr>
                <w:sz w:val="18"/>
                <w:szCs w:val="18"/>
              </w:rPr>
              <w:t>79</w:t>
            </w:r>
          </w:p>
        </w:tc>
        <w:tc>
          <w:tcPr>
            <w:tcW w:w="1000" w:type="pct"/>
            <w:tcBorders>
              <w:top w:val="nil"/>
              <w:left w:val="nil"/>
              <w:bottom w:val="nil"/>
              <w:right w:val="nil"/>
            </w:tcBorders>
            <w:shd w:val="clear" w:color="auto" w:fill="auto"/>
            <w:vAlign w:val="bottom"/>
          </w:tcPr>
          <w:p w14:paraId="247AA274" w14:textId="5ED9A42A" w:rsidR="00610467" w:rsidRPr="004C78D8" w:rsidRDefault="00610467" w:rsidP="00FB7C1F">
            <w:pPr>
              <w:jc w:val="center"/>
              <w:rPr>
                <w:rFonts w:cs="Times New Roman"/>
                <w:sz w:val="18"/>
                <w:szCs w:val="18"/>
              </w:rPr>
            </w:pPr>
            <w:r w:rsidRPr="004C78D8">
              <w:rPr>
                <w:rFonts w:cs="Times New Roman"/>
                <w:color w:val="000000"/>
                <w:sz w:val="18"/>
                <w:szCs w:val="18"/>
              </w:rPr>
              <w:t>1441</w:t>
            </w:r>
            <w:r w:rsidR="00F45E67" w:rsidRPr="004C78D8">
              <w:rPr>
                <w:rFonts w:cs="Times New Roman"/>
                <w:color w:val="000000"/>
                <w:sz w:val="18"/>
                <w:szCs w:val="18"/>
              </w:rPr>
              <w:t xml:space="preserve"> (2.47)</w:t>
            </w:r>
          </w:p>
        </w:tc>
        <w:tc>
          <w:tcPr>
            <w:tcW w:w="1001" w:type="pct"/>
            <w:tcBorders>
              <w:top w:val="nil"/>
              <w:left w:val="nil"/>
              <w:bottom w:val="nil"/>
              <w:right w:val="nil"/>
            </w:tcBorders>
            <w:shd w:val="clear" w:color="auto" w:fill="auto"/>
            <w:vAlign w:val="bottom"/>
          </w:tcPr>
          <w:p w14:paraId="0FB6F46A" w14:textId="6B0B24FC" w:rsidR="00610467" w:rsidRPr="004C78D8" w:rsidRDefault="00610467" w:rsidP="00FB7C1F">
            <w:pPr>
              <w:jc w:val="center"/>
              <w:rPr>
                <w:rFonts w:cs="Times New Roman"/>
                <w:sz w:val="18"/>
                <w:szCs w:val="18"/>
              </w:rPr>
            </w:pPr>
            <w:r w:rsidRPr="004C78D8">
              <w:rPr>
                <w:rFonts w:cs="Times New Roman"/>
                <w:color w:val="000000"/>
                <w:sz w:val="18"/>
                <w:szCs w:val="18"/>
              </w:rPr>
              <w:t>1782</w:t>
            </w:r>
            <w:r w:rsidR="00276804" w:rsidRPr="004C78D8">
              <w:rPr>
                <w:rFonts w:cs="Times New Roman"/>
                <w:color w:val="000000"/>
                <w:sz w:val="18"/>
                <w:szCs w:val="18"/>
              </w:rPr>
              <w:t xml:space="preserve"> (2.66)</w:t>
            </w:r>
          </w:p>
        </w:tc>
        <w:tc>
          <w:tcPr>
            <w:tcW w:w="850" w:type="pct"/>
            <w:tcBorders>
              <w:top w:val="nil"/>
              <w:bottom w:val="nil"/>
            </w:tcBorders>
          </w:tcPr>
          <w:p w14:paraId="78CB49CA" w14:textId="2D85EA2C" w:rsidR="00610467" w:rsidRPr="004C78D8" w:rsidRDefault="00610467" w:rsidP="00FB7C1F">
            <w:pPr>
              <w:jc w:val="center"/>
              <w:rPr>
                <w:sz w:val="18"/>
                <w:szCs w:val="18"/>
              </w:rPr>
            </w:pPr>
            <w:r w:rsidRPr="004C78D8">
              <w:rPr>
                <w:sz w:val="18"/>
                <w:szCs w:val="18"/>
              </w:rPr>
              <w:t>2041</w:t>
            </w:r>
          </w:p>
        </w:tc>
        <w:tc>
          <w:tcPr>
            <w:tcW w:w="1151" w:type="pct"/>
            <w:tcBorders>
              <w:top w:val="nil"/>
              <w:left w:val="nil"/>
              <w:bottom w:val="nil"/>
              <w:right w:val="single" w:sz="4" w:space="0" w:color="auto"/>
            </w:tcBorders>
            <w:shd w:val="clear" w:color="auto" w:fill="auto"/>
            <w:vAlign w:val="bottom"/>
          </w:tcPr>
          <w:p w14:paraId="29DACEEF" w14:textId="4AFA722A" w:rsidR="00610467" w:rsidRPr="004C78D8" w:rsidRDefault="00610467" w:rsidP="00FB7C1F">
            <w:pPr>
              <w:jc w:val="center"/>
              <w:rPr>
                <w:rFonts w:cs="Times New Roman"/>
                <w:sz w:val="18"/>
                <w:szCs w:val="18"/>
              </w:rPr>
            </w:pPr>
            <w:r w:rsidRPr="004C78D8">
              <w:rPr>
                <w:rFonts w:cs="Times New Roman"/>
                <w:color w:val="000000"/>
                <w:sz w:val="18"/>
                <w:szCs w:val="18"/>
              </w:rPr>
              <w:t>6220</w:t>
            </w:r>
          </w:p>
        </w:tc>
      </w:tr>
      <w:tr w:rsidR="00610467" w:rsidRPr="004C78D8" w14:paraId="5761A698" w14:textId="77777777" w:rsidTr="00E35893">
        <w:tc>
          <w:tcPr>
            <w:tcW w:w="999" w:type="pct"/>
            <w:tcBorders>
              <w:top w:val="nil"/>
              <w:bottom w:val="nil"/>
            </w:tcBorders>
          </w:tcPr>
          <w:p w14:paraId="66758900" w14:textId="7BC1F677" w:rsidR="00610467" w:rsidRPr="004C78D8" w:rsidRDefault="00610467" w:rsidP="00FB7C1F">
            <w:pPr>
              <w:jc w:val="center"/>
              <w:rPr>
                <w:sz w:val="18"/>
                <w:szCs w:val="18"/>
              </w:rPr>
            </w:pPr>
            <w:r w:rsidRPr="004C78D8">
              <w:rPr>
                <w:sz w:val="18"/>
                <w:szCs w:val="18"/>
              </w:rPr>
              <w:t>80</w:t>
            </w:r>
          </w:p>
        </w:tc>
        <w:tc>
          <w:tcPr>
            <w:tcW w:w="1000" w:type="pct"/>
            <w:tcBorders>
              <w:top w:val="nil"/>
              <w:left w:val="nil"/>
              <w:bottom w:val="nil"/>
              <w:right w:val="nil"/>
            </w:tcBorders>
            <w:shd w:val="clear" w:color="auto" w:fill="auto"/>
            <w:vAlign w:val="bottom"/>
          </w:tcPr>
          <w:p w14:paraId="4615ACED" w14:textId="4CD2C57B" w:rsidR="00610467" w:rsidRPr="004C78D8" w:rsidRDefault="00610467" w:rsidP="00FB7C1F">
            <w:pPr>
              <w:jc w:val="center"/>
              <w:rPr>
                <w:rFonts w:cs="Times New Roman"/>
                <w:sz w:val="18"/>
                <w:szCs w:val="18"/>
              </w:rPr>
            </w:pPr>
            <w:r w:rsidRPr="004C78D8">
              <w:rPr>
                <w:rFonts w:cs="Times New Roman"/>
                <w:color w:val="000000"/>
                <w:sz w:val="18"/>
                <w:szCs w:val="18"/>
              </w:rPr>
              <w:t>1270</w:t>
            </w:r>
            <w:r w:rsidR="00F45E67" w:rsidRPr="004C78D8">
              <w:rPr>
                <w:rFonts w:cs="Times New Roman"/>
                <w:color w:val="000000"/>
                <w:sz w:val="18"/>
                <w:szCs w:val="18"/>
              </w:rPr>
              <w:t xml:space="preserve"> (2.18)</w:t>
            </w:r>
          </w:p>
        </w:tc>
        <w:tc>
          <w:tcPr>
            <w:tcW w:w="1001" w:type="pct"/>
            <w:tcBorders>
              <w:top w:val="nil"/>
              <w:left w:val="nil"/>
              <w:bottom w:val="nil"/>
              <w:right w:val="nil"/>
            </w:tcBorders>
            <w:shd w:val="clear" w:color="auto" w:fill="auto"/>
            <w:vAlign w:val="bottom"/>
          </w:tcPr>
          <w:p w14:paraId="4897D777" w14:textId="14CFDE73" w:rsidR="00610467" w:rsidRPr="004C78D8" w:rsidRDefault="00610467" w:rsidP="00FB7C1F">
            <w:pPr>
              <w:jc w:val="center"/>
              <w:rPr>
                <w:rFonts w:cs="Times New Roman"/>
                <w:sz w:val="18"/>
                <w:szCs w:val="18"/>
              </w:rPr>
            </w:pPr>
            <w:r w:rsidRPr="004C78D8">
              <w:rPr>
                <w:rFonts w:cs="Times New Roman"/>
                <w:color w:val="000000"/>
                <w:sz w:val="18"/>
                <w:szCs w:val="18"/>
              </w:rPr>
              <w:t>1588</w:t>
            </w:r>
            <w:r w:rsidR="00276804" w:rsidRPr="004C78D8">
              <w:rPr>
                <w:rFonts w:cs="Times New Roman"/>
                <w:color w:val="000000"/>
                <w:sz w:val="18"/>
                <w:szCs w:val="18"/>
              </w:rPr>
              <w:t xml:space="preserve"> (2.37)</w:t>
            </w:r>
          </w:p>
        </w:tc>
        <w:tc>
          <w:tcPr>
            <w:tcW w:w="850" w:type="pct"/>
            <w:tcBorders>
              <w:top w:val="nil"/>
              <w:bottom w:val="nil"/>
            </w:tcBorders>
          </w:tcPr>
          <w:p w14:paraId="0431C222" w14:textId="2EC4419A" w:rsidR="00610467" w:rsidRPr="004C78D8" w:rsidRDefault="00610467" w:rsidP="00FB7C1F">
            <w:pPr>
              <w:jc w:val="center"/>
              <w:rPr>
                <w:sz w:val="18"/>
                <w:szCs w:val="18"/>
              </w:rPr>
            </w:pPr>
            <w:r w:rsidRPr="004C78D8">
              <w:rPr>
                <w:sz w:val="18"/>
                <w:szCs w:val="18"/>
              </w:rPr>
              <w:t>2042</w:t>
            </w:r>
          </w:p>
        </w:tc>
        <w:tc>
          <w:tcPr>
            <w:tcW w:w="1151" w:type="pct"/>
            <w:tcBorders>
              <w:top w:val="nil"/>
              <w:left w:val="nil"/>
              <w:bottom w:val="nil"/>
              <w:right w:val="single" w:sz="4" w:space="0" w:color="auto"/>
            </w:tcBorders>
            <w:shd w:val="clear" w:color="auto" w:fill="auto"/>
            <w:vAlign w:val="bottom"/>
          </w:tcPr>
          <w:p w14:paraId="03F133EC" w14:textId="04FAA295" w:rsidR="00610467" w:rsidRPr="004C78D8" w:rsidRDefault="00610467" w:rsidP="00FB7C1F">
            <w:pPr>
              <w:jc w:val="center"/>
              <w:rPr>
                <w:rFonts w:cs="Times New Roman"/>
                <w:sz w:val="18"/>
                <w:szCs w:val="18"/>
              </w:rPr>
            </w:pPr>
            <w:r w:rsidRPr="004C78D8">
              <w:rPr>
                <w:rFonts w:cs="Times New Roman"/>
                <w:color w:val="000000"/>
                <w:sz w:val="18"/>
                <w:szCs w:val="18"/>
              </w:rPr>
              <w:t>6329</w:t>
            </w:r>
          </w:p>
        </w:tc>
      </w:tr>
      <w:tr w:rsidR="00610467" w:rsidRPr="004C78D8" w14:paraId="451D31D0" w14:textId="77777777" w:rsidTr="00E35893">
        <w:tc>
          <w:tcPr>
            <w:tcW w:w="999" w:type="pct"/>
            <w:tcBorders>
              <w:top w:val="nil"/>
              <w:bottom w:val="nil"/>
            </w:tcBorders>
          </w:tcPr>
          <w:p w14:paraId="6BA4E32C" w14:textId="70A33D65" w:rsidR="00610467" w:rsidRPr="004C78D8" w:rsidRDefault="00610467" w:rsidP="00FB7C1F">
            <w:pPr>
              <w:jc w:val="center"/>
              <w:rPr>
                <w:sz w:val="18"/>
                <w:szCs w:val="18"/>
              </w:rPr>
            </w:pPr>
            <w:r w:rsidRPr="004C78D8">
              <w:rPr>
                <w:sz w:val="18"/>
                <w:szCs w:val="18"/>
              </w:rPr>
              <w:t>81</w:t>
            </w:r>
          </w:p>
        </w:tc>
        <w:tc>
          <w:tcPr>
            <w:tcW w:w="1000" w:type="pct"/>
            <w:tcBorders>
              <w:top w:val="nil"/>
              <w:left w:val="nil"/>
              <w:bottom w:val="nil"/>
              <w:right w:val="nil"/>
            </w:tcBorders>
            <w:shd w:val="clear" w:color="auto" w:fill="auto"/>
            <w:vAlign w:val="bottom"/>
          </w:tcPr>
          <w:p w14:paraId="2FAC0513" w14:textId="2ECE42DB" w:rsidR="00610467" w:rsidRPr="004C78D8" w:rsidRDefault="00610467" w:rsidP="00FB7C1F">
            <w:pPr>
              <w:jc w:val="center"/>
              <w:rPr>
                <w:rFonts w:cs="Times New Roman"/>
                <w:sz w:val="18"/>
                <w:szCs w:val="18"/>
              </w:rPr>
            </w:pPr>
            <w:r w:rsidRPr="004C78D8">
              <w:rPr>
                <w:rFonts w:cs="Times New Roman"/>
                <w:color w:val="000000"/>
                <w:sz w:val="18"/>
                <w:szCs w:val="18"/>
              </w:rPr>
              <w:t>1374</w:t>
            </w:r>
            <w:r w:rsidR="00F45E67" w:rsidRPr="004C78D8">
              <w:rPr>
                <w:rFonts w:cs="Times New Roman"/>
                <w:color w:val="000000"/>
                <w:sz w:val="18"/>
                <w:szCs w:val="18"/>
              </w:rPr>
              <w:t xml:space="preserve"> (2.35)</w:t>
            </w:r>
          </w:p>
        </w:tc>
        <w:tc>
          <w:tcPr>
            <w:tcW w:w="1001" w:type="pct"/>
            <w:tcBorders>
              <w:top w:val="nil"/>
              <w:left w:val="nil"/>
              <w:bottom w:val="nil"/>
              <w:right w:val="nil"/>
            </w:tcBorders>
            <w:shd w:val="clear" w:color="auto" w:fill="auto"/>
            <w:vAlign w:val="bottom"/>
          </w:tcPr>
          <w:p w14:paraId="754B6791" w14:textId="70C664DE" w:rsidR="00610467" w:rsidRPr="004C78D8" w:rsidRDefault="00610467" w:rsidP="00FB7C1F">
            <w:pPr>
              <w:jc w:val="center"/>
              <w:rPr>
                <w:rFonts w:cs="Times New Roman"/>
                <w:sz w:val="18"/>
                <w:szCs w:val="18"/>
              </w:rPr>
            </w:pPr>
            <w:r w:rsidRPr="004C78D8">
              <w:rPr>
                <w:rFonts w:cs="Times New Roman"/>
                <w:color w:val="000000"/>
                <w:sz w:val="18"/>
                <w:szCs w:val="18"/>
              </w:rPr>
              <w:t>1600</w:t>
            </w:r>
            <w:r w:rsidR="00276804" w:rsidRPr="004C78D8">
              <w:rPr>
                <w:rFonts w:cs="Times New Roman"/>
                <w:color w:val="000000"/>
                <w:sz w:val="18"/>
                <w:szCs w:val="18"/>
              </w:rPr>
              <w:t xml:space="preserve"> (2.39)</w:t>
            </w:r>
          </w:p>
        </w:tc>
        <w:tc>
          <w:tcPr>
            <w:tcW w:w="850" w:type="pct"/>
            <w:tcBorders>
              <w:top w:val="nil"/>
              <w:bottom w:val="nil"/>
            </w:tcBorders>
          </w:tcPr>
          <w:p w14:paraId="68D11252" w14:textId="6568063E" w:rsidR="00610467" w:rsidRPr="004C78D8" w:rsidRDefault="00610467" w:rsidP="00FB7C1F">
            <w:pPr>
              <w:jc w:val="center"/>
              <w:rPr>
                <w:sz w:val="18"/>
                <w:szCs w:val="18"/>
              </w:rPr>
            </w:pPr>
            <w:r w:rsidRPr="004C78D8">
              <w:rPr>
                <w:sz w:val="18"/>
                <w:szCs w:val="18"/>
              </w:rPr>
              <w:t>2043</w:t>
            </w:r>
          </w:p>
        </w:tc>
        <w:tc>
          <w:tcPr>
            <w:tcW w:w="1151" w:type="pct"/>
            <w:tcBorders>
              <w:top w:val="nil"/>
              <w:left w:val="nil"/>
              <w:bottom w:val="nil"/>
              <w:right w:val="single" w:sz="4" w:space="0" w:color="auto"/>
            </w:tcBorders>
            <w:shd w:val="clear" w:color="auto" w:fill="auto"/>
            <w:vAlign w:val="bottom"/>
          </w:tcPr>
          <w:p w14:paraId="37B8BC51" w14:textId="1E3BE222" w:rsidR="00610467" w:rsidRPr="004C78D8" w:rsidRDefault="00610467" w:rsidP="00FB7C1F">
            <w:pPr>
              <w:jc w:val="center"/>
              <w:rPr>
                <w:rFonts w:cs="Times New Roman"/>
                <w:sz w:val="18"/>
                <w:szCs w:val="18"/>
              </w:rPr>
            </w:pPr>
            <w:r w:rsidRPr="004C78D8">
              <w:rPr>
                <w:rFonts w:cs="Times New Roman"/>
                <w:color w:val="000000"/>
                <w:sz w:val="18"/>
                <w:szCs w:val="18"/>
              </w:rPr>
              <w:t>6421</w:t>
            </w:r>
          </w:p>
        </w:tc>
      </w:tr>
      <w:tr w:rsidR="00610467" w:rsidRPr="004C78D8" w14:paraId="563FDA13" w14:textId="77777777" w:rsidTr="00E35893">
        <w:tc>
          <w:tcPr>
            <w:tcW w:w="999" w:type="pct"/>
            <w:tcBorders>
              <w:top w:val="nil"/>
              <w:bottom w:val="nil"/>
            </w:tcBorders>
          </w:tcPr>
          <w:p w14:paraId="7B2B7F8A" w14:textId="193FBB03" w:rsidR="00610467" w:rsidRPr="004C78D8" w:rsidRDefault="00610467" w:rsidP="00FB7C1F">
            <w:pPr>
              <w:jc w:val="center"/>
              <w:rPr>
                <w:sz w:val="18"/>
                <w:szCs w:val="18"/>
              </w:rPr>
            </w:pPr>
            <w:r w:rsidRPr="004C78D8">
              <w:rPr>
                <w:sz w:val="18"/>
                <w:szCs w:val="18"/>
              </w:rPr>
              <w:t>82</w:t>
            </w:r>
          </w:p>
        </w:tc>
        <w:tc>
          <w:tcPr>
            <w:tcW w:w="1000" w:type="pct"/>
            <w:tcBorders>
              <w:top w:val="nil"/>
              <w:left w:val="nil"/>
              <w:bottom w:val="nil"/>
              <w:right w:val="nil"/>
            </w:tcBorders>
            <w:shd w:val="clear" w:color="auto" w:fill="auto"/>
            <w:vAlign w:val="bottom"/>
          </w:tcPr>
          <w:p w14:paraId="4EC8BF0D" w14:textId="5F23D054" w:rsidR="00610467" w:rsidRPr="004C78D8" w:rsidRDefault="00610467" w:rsidP="00FB7C1F">
            <w:pPr>
              <w:jc w:val="center"/>
              <w:rPr>
                <w:rFonts w:cs="Times New Roman"/>
                <w:sz w:val="18"/>
                <w:szCs w:val="18"/>
              </w:rPr>
            </w:pPr>
            <w:r w:rsidRPr="004C78D8">
              <w:rPr>
                <w:rFonts w:cs="Times New Roman"/>
                <w:color w:val="000000"/>
                <w:sz w:val="18"/>
                <w:szCs w:val="18"/>
              </w:rPr>
              <w:t>1233</w:t>
            </w:r>
            <w:r w:rsidR="00F45E67" w:rsidRPr="004C78D8">
              <w:rPr>
                <w:rFonts w:cs="Times New Roman"/>
                <w:color w:val="000000"/>
                <w:sz w:val="18"/>
                <w:szCs w:val="18"/>
              </w:rPr>
              <w:t xml:space="preserve"> (2.11)</w:t>
            </w:r>
          </w:p>
        </w:tc>
        <w:tc>
          <w:tcPr>
            <w:tcW w:w="1001" w:type="pct"/>
            <w:tcBorders>
              <w:top w:val="nil"/>
              <w:left w:val="nil"/>
              <w:bottom w:val="nil"/>
              <w:right w:val="nil"/>
            </w:tcBorders>
            <w:shd w:val="clear" w:color="auto" w:fill="auto"/>
            <w:vAlign w:val="bottom"/>
          </w:tcPr>
          <w:p w14:paraId="0656418C" w14:textId="4A62FFB4" w:rsidR="00610467" w:rsidRPr="004C78D8" w:rsidRDefault="00610467" w:rsidP="00FB7C1F">
            <w:pPr>
              <w:jc w:val="center"/>
              <w:rPr>
                <w:rFonts w:cs="Times New Roman"/>
                <w:sz w:val="18"/>
                <w:szCs w:val="18"/>
              </w:rPr>
            </w:pPr>
            <w:r w:rsidRPr="004C78D8">
              <w:rPr>
                <w:rFonts w:cs="Times New Roman"/>
                <w:color w:val="000000"/>
                <w:sz w:val="18"/>
                <w:szCs w:val="18"/>
              </w:rPr>
              <w:t>1606</w:t>
            </w:r>
            <w:r w:rsidR="00276804" w:rsidRPr="004C78D8">
              <w:rPr>
                <w:rFonts w:cs="Times New Roman"/>
                <w:color w:val="000000"/>
                <w:sz w:val="18"/>
                <w:szCs w:val="18"/>
              </w:rPr>
              <w:t xml:space="preserve"> (2.40)</w:t>
            </w:r>
          </w:p>
        </w:tc>
        <w:tc>
          <w:tcPr>
            <w:tcW w:w="850" w:type="pct"/>
            <w:tcBorders>
              <w:top w:val="nil"/>
              <w:bottom w:val="nil"/>
            </w:tcBorders>
          </w:tcPr>
          <w:p w14:paraId="361D59F2" w14:textId="09CAD148" w:rsidR="00610467" w:rsidRPr="004C78D8" w:rsidRDefault="00610467" w:rsidP="00FB7C1F">
            <w:pPr>
              <w:jc w:val="center"/>
              <w:rPr>
                <w:sz w:val="18"/>
                <w:szCs w:val="18"/>
              </w:rPr>
            </w:pPr>
            <w:r w:rsidRPr="004C78D8">
              <w:rPr>
                <w:sz w:val="18"/>
                <w:szCs w:val="18"/>
              </w:rPr>
              <w:t>2044</w:t>
            </w:r>
          </w:p>
        </w:tc>
        <w:tc>
          <w:tcPr>
            <w:tcW w:w="1151" w:type="pct"/>
            <w:tcBorders>
              <w:top w:val="nil"/>
              <w:left w:val="nil"/>
              <w:bottom w:val="nil"/>
              <w:right w:val="single" w:sz="4" w:space="0" w:color="auto"/>
            </w:tcBorders>
            <w:shd w:val="clear" w:color="auto" w:fill="auto"/>
            <w:vAlign w:val="bottom"/>
          </w:tcPr>
          <w:p w14:paraId="1F107AB3" w14:textId="7A5EE812" w:rsidR="00610467" w:rsidRPr="004C78D8" w:rsidRDefault="00610467" w:rsidP="00FB7C1F">
            <w:pPr>
              <w:jc w:val="center"/>
              <w:rPr>
                <w:rFonts w:cs="Times New Roman"/>
                <w:sz w:val="18"/>
                <w:szCs w:val="18"/>
              </w:rPr>
            </w:pPr>
            <w:r w:rsidRPr="004C78D8">
              <w:rPr>
                <w:rFonts w:cs="Times New Roman"/>
                <w:color w:val="000000"/>
                <w:sz w:val="18"/>
                <w:szCs w:val="18"/>
              </w:rPr>
              <w:t>6448</w:t>
            </w:r>
          </w:p>
        </w:tc>
      </w:tr>
      <w:tr w:rsidR="00610467" w:rsidRPr="004C78D8" w14:paraId="51621B44" w14:textId="77777777" w:rsidTr="00E35893">
        <w:tc>
          <w:tcPr>
            <w:tcW w:w="999" w:type="pct"/>
            <w:tcBorders>
              <w:top w:val="nil"/>
              <w:bottom w:val="nil"/>
            </w:tcBorders>
          </w:tcPr>
          <w:p w14:paraId="57B0C016" w14:textId="495839D2" w:rsidR="00610467" w:rsidRPr="004C78D8" w:rsidRDefault="00610467" w:rsidP="00FB7C1F">
            <w:pPr>
              <w:jc w:val="center"/>
              <w:rPr>
                <w:sz w:val="18"/>
                <w:szCs w:val="18"/>
              </w:rPr>
            </w:pPr>
            <w:r w:rsidRPr="004C78D8">
              <w:rPr>
                <w:sz w:val="18"/>
                <w:szCs w:val="18"/>
              </w:rPr>
              <w:t>83</w:t>
            </w:r>
          </w:p>
        </w:tc>
        <w:tc>
          <w:tcPr>
            <w:tcW w:w="1000" w:type="pct"/>
            <w:tcBorders>
              <w:top w:val="nil"/>
              <w:left w:val="nil"/>
              <w:bottom w:val="nil"/>
              <w:right w:val="nil"/>
            </w:tcBorders>
            <w:shd w:val="clear" w:color="auto" w:fill="auto"/>
            <w:vAlign w:val="bottom"/>
          </w:tcPr>
          <w:p w14:paraId="32C5EE86" w14:textId="34CBB885" w:rsidR="00610467" w:rsidRPr="004C78D8" w:rsidRDefault="00610467" w:rsidP="00FB7C1F">
            <w:pPr>
              <w:jc w:val="center"/>
              <w:rPr>
                <w:rFonts w:cs="Times New Roman"/>
                <w:sz w:val="18"/>
                <w:szCs w:val="18"/>
              </w:rPr>
            </w:pPr>
            <w:r w:rsidRPr="004C78D8">
              <w:rPr>
                <w:rFonts w:cs="Times New Roman"/>
                <w:color w:val="000000"/>
                <w:sz w:val="18"/>
                <w:szCs w:val="18"/>
              </w:rPr>
              <w:t>1144</w:t>
            </w:r>
            <w:r w:rsidR="00F45E67" w:rsidRPr="004C78D8">
              <w:rPr>
                <w:rFonts w:cs="Times New Roman"/>
                <w:color w:val="000000"/>
                <w:sz w:val="18"/>
                <w:szCs w:val="18"/>
              </w:rPr>
              <w:t xml:space="preserve"> (1.96)</w:t>
            </w:r>
          </w:p>
        </w:tc>
        <w:tc>
          <w:tcPr>
            <w:tcW w:w="1001" w:type="pct"/>
            <w:tcBorders>
              <w:top w:val="nil"/>
              <w:left w:val="nil"/>
              <w:bottom w:val="nil"/>
              <w:right w:val="nil"/>
            </w:tcBorders>
            <w:shd w:val="clear" w:color="auto" w:fill="auto"/>
            <w:vAlign w:val="bottom"/>
          </w:tcPr>
          <w:p w14:paraId="6E5C5F0C" w14:textId="0810472B" w:rsidR="00610467" w:rsidRPr="004C78D8" w:rsidRDefault="00610467" w:rsidP="00FB7C1F">
            <w:pPr>
              <w:jc w:val="center"/>
              <w:rPr>
                <w:rFonts w:cs="Times New Roman"/>
                <w:sz w:val="18"/>
                <w:szCs w:val="18"/>
              </w:rPr>
            </w:pPr>
            <w:r w:rsidRPr="004C78D8">
              <w:rPr>
                <w:rFonts w:cs="Times New Roman"/>
                <w:color w:val="000000"/>
                <w:sz w:val="18"/>
                <w:szCs w:val="18"/>
              </w:rPr>
              <w:t>1562</w:t>
            </w:r>
            <w:r w:rsidR="00276804" w:rsidRPr="004C78D8">
              <w:rPr>
                <w:rFonts w:cs="Times New Roman"/>
                <w:color w:val="000000"/>
                <w:sz w:val="18"/>
                <w:szCs w:val="18"/>
              </w:rPr>
              <w:t xml:space="preserve"> (2.34)</w:t>
            </w:r>
          </w:p>
        </w:tc>
        <w:tc>
          <w:tcPr>
            <w:tcW w:w="850" w:type="pct"/>
            <w:tcBorders>
              <w:top w:val="nil"/>
              <w:bottom w:val="nil"/>
            </w:tcBorders>
          </w:tcPr>
          <w:p w14:paraId="68B73D6D" w14:textId="142F7032" w:rsidR="00610467" w:rsidRPr="004C78D8" w:rsidRDefault="00610467" w:rsidP="00FB7C1F">
            <w:pPr>
              <w:jc w:val="center"/>
              <w:rPr>
                <w:sz w:val="18"/>
                <w:szCs w:val="18"/>
              </w:rPr>
            </w:pPr>
            <w:r w:rsidRPr="004C78D8">
              <w:rPr>
                <w:sz w:val="18"/>
                <w:szCs w:val="18"/>
              </w:rPr>
              <w:t>2045</w:t>
            </w:r>
          </w:p>
        </w:tc>
        <w:tc>
          <w:tcPr>
            <w:tcW w:w="1151" w:type="pct"/>
            <w:tcBorders>
              <w:top w:val="nil"/>
              <w:left w:val="nil"/>
              <w:bottom w:val="nil"/>
              <w:right w:val="single" w:sz="4" w:space="0" w:color="auto"/>
            </w:tcBorders>
            <w:shd w:val="clear" w:color="auto" w:fill="auto"/>
            <w:vAlign w:val="bottom"/>
          </w:tcPr>
          <w:p w14:paraId="58BC785B" w14:textId="25FA03CF" w:rsidR="00610467" w:rsidRPr="004C78D8" w:rsidRDefault="00610467" w:rsidP="00FB7C1F">
            <w:pPr>
              <w:jc w:val="center"/>
              <w:rPr>
                <w:rFonts w:cs="Times New Roman"/>
                <w:sz w:val="18"/>
                <w:szCs w:val="18"/>
              </w:rPr>
            </w:pPr>
            <w:r w:rsidRPr="004C78D8">
              <w:rPr>
                <w:rFonts w:cs="Times New Roman"/>
                <w:color w:val="000000"/>
                <w:sz w:val="18"/>
                <w:szCs w:val="18"/>
              </w:rPr>
              <w:t>6475</w:t>
            </w:r>
          </w:p>
        </w:tc>
      </w:tr>
      <w:tr w:rsidR="00610467" w:rsidRPr="004C78D8" w14:paraId="6C1D06AB" w14:textId="77777777" w:rsidTr="00E35893">
        <w:tc>
          <w:tcPr>
            <w:tcW w:w="999" w:type="pct"/>
            <w:tcBorders>
              <w:top w:val="nil"/>
              <w:bottom w:val="nil"/>
            </w:tcBorders>
          </w:tcPr>
          <w:p w14:paraId="50C3BFD6" w14:textId="4C5B3E0D" w:rsidR="00610467" w:rsidRPr="004C78D8" w:rsidRDefault="00610467" w:rsidP="00FB7C1F">
            <w:pPr>
              <w:jc w:val="center"/>
              <w:rPr>
                <w:sz w:val="18"/>
                <w:szCs w:val="18"/>
              </w:rPr>
            </w:pPr>
            <w:r w:rsidRPr="004C78D8">
              <w:rPr>
                <w:sz w:val="18"/>
                <w:szCs w:val="18"/>
              </w:rPr>
              <w:t>84</w:t>
            </w:r>
          </w:p>
        </w:tc>
        <w:tc>
          <w:tcPr>
            <w:tcW w:w="1000" w:type="pct"/>
            <w:tcBorders>
              <w:top w:val="nil"/>
              <w:left w:val="nil"/>
              <w:bottom w:val="nil"/>
              <w:right w:val="nil"/>
            </w:tcBorders>
            <w:shd w:val="clear" w:color="auto" w:fill="auto"/>
            <w:vAlign w:val="bottom"/>
          </w:tcPr>
          <w:p w14:paraId="00A348BE" w14:textId="2ECA833A" w:rsidR="00610467" w:rsidRPr="004C78D8" w:rsidRDefault="00610467" w:rsidP="00FB7C1F">
            <w:pPr>
              <w:jc w:val="center"/>
              <w:rPr>
                <w:rFonts w:cs="Times New Roman"/>
                <w:sz w:val="18"/>
                <w:szCs w:val="18"/>
              </w:rPr>
            </w:pPr>
            <w:r w:rsidRPr="004C78D8">
              <w:rPr>
                <w:rFonts w:cs="Times New Roman"/>
                <w:color w:val="000000"/>
                <w:sz w:val="18"/>
                <w:szCs w:val="18"/>
              </w:rPr>
              <w:t>1059</w:t>
            </w:r>
            <w:r w:rsidR="00F45E67" w:rsidRPr="004C78D8">
              <w:rPr>
                <w:rFonts w:cs="Times New Roman"/>
                <w:color w:val="000000"/>
                <w:sz w:val="18"/>
                <w:szCs w:val="18"/>
              </w:rPr>
              <w:t xml:space="preserve"> (1.81)</w:t>
            </w:r>
          </w:p>
        </w:tc>
        <w:tc>
          <w:tcPr>
            <w:tcW w:w="1001" w:type="pct"/>
            <w:tcBorders>
              <w:top w:val="nil"/>
              <w:left w:val="nil"/>
              <w:bottom w:val="nil"/>
              <w:right w:val="nil"/>
            </w:tcBorders>
            <w:shd w:val="clear" w:color="auto" w:fill="auto"/>
            <w:vAlign w:val="bottom"/>
          </w:tcPr>
          <w:p w14:paraId="132A45E4" w14:textId="0DDBB039" w:rsidR="00610467" w:rsidRPr="004C78D8" w:rsidRDefault="00610467" w:rsidP="00FB7C1F">
            <w:pPr>
              <w:jc w:val="center"/>
              <w:rPr>
                <w:rFonts w:cs="Times New Roman"/>
                <w:sz w:val="18"/>
                <w:szCs w:val="18"/>
              </w:rPr>
            </w:pPr>
            <w:r w:rsidRPr="004C78D8">
              <w:rPr>
                <w:rFonts w:cs="Times New Roman"/>
                <w:color w:val="000000"/>
                <w:sz w:val="18"/>
                <w:szCs w:val="18"/>
              </w:rPr>
              <w:t>1337</w:t>
            </w:r>
            <w:r w:rsidR="00276804" w:rsidRPr="004C78D8">
              <w:rPr>
                <w:rFonts w:cs="Times New Roman"/>
                <w:color w:val="000000"/>
                <w:sz w:val="18"/>
                <w:szCs w:val="18"/>
              </w:rPr>
              <w:t xml:space="preserve"> (2.00)</w:t>
            </w:r>
          </w:p>
        </w:tc>
        <w:tc>
          <w:tcPr>
            <w:tcW w:w="850" w:type="pct"/>
            <w:tcBorders>
              <w:top w:val="nil"/>
              <w:bottom w:val="nil"/>
            </w:tcBorders>
          </w:tcPr>
          <w:p w14:paraId="57C7FD64" w14:textId="7A087DA5" w:rsidR="00610467" w:rsidRPr="004C78D8" w:rsidRDefault="00610467" w:rsidP="00FB7C1F">
            <w:pPr>
              <w:jc w:val="center"/>
              <w:rPr>
                <w:sz w:val="18"/>
                <w:szCs w:val="18"/>
              </w:rPr>
            </w:pPr>
            <w:r w:rsidRPr="004C78D8">
              <w:rPr>
                <w:sz w:val="18"/>
                <w:szCs w:val="18"/>
              </w:rPr>
              <w:t>2046</w:t>
            </w:r>
          </w:p>
        </w:tc>
        <w:tc>
          <w:tcPr>
            <w:tcW w:w="1151" w:type="pct"/>
            <w:tcBorders>
              <w:top w:val="nil"/>
              <w:left w:val="nil"/>
              <w:bottom w:val="nil"/>
              <w:right w:val="single" w:sz="4" w:space="0" w:color="auto"/>
            </w:tcBorders>
            <w:shd w:val="clear" w:color="auto" w:fill="auto"/>
            <w:vAlign w:val="bottom"/>
          </w:tcPr>
          <w:p w14:paraId="2E50C833" w14:textId="0370ED0D" w:rsidR="00610467" w:rsidRPr="004C78D8" w:rsidRDefault="00610467" w:rsidP="00FB7C1F">
            <w:pPr>
              <w:jc w:val="center"/>
              <w:rPr>
                <w:rFonts w:cs="Times New Roman"/>
                <w:sz w:val="18"/>
                <w:szCs w:val="18"/>
              </w:rPr>
            </w:pPr>
            <w:r w:rsidRPr="004C78D8">
              <w:rPr>
                <w:rFonts w:cs="Times New Roman"/>
                <w:color w:val="000000"/>
                <w:sz w:val="18"/>
                <w:szCs w:val="18"/>
              </w:rPr>
              <w:t>6502</w:t>
            </w:r>
          </w:p>
        </w:tc>
      </w:tr>
      <w:tr w:rsidR="00610467" w:rsidRPr="004C78D8" w14:paraId="6060820D" w14:textId="77777777" w:rsidTr="00E35893">
        <w:tc>
          <w:tcPr>
            <w:tcW w:w="999" w:type="pct"/>
            <w:tcBorders>
              <w:top w:val="nil"/>
              <w:bottom w:val="nil"/>
            </w:tcBorders>
          </w:tcPr>
          <w:p w14:paraId="4492513E" w14:textId="32E3DF1E" w:rsidR="00610467" w:rsidRPr="004C78D8" w:rsidRDefault="00610467" w:rsidP="00FB7C1F">
            <w:pPr>
              <w:jc w:val="center"/>
              <w:rPr>
                <w:sz w:val="18"/>
                <w:szCs w:val="18"/>
              </w:rPr>
            </w:pPr>
            <w:r w:rsidRPr="004C78D8">
              <w:rPr>
                <w:sz w:val="18"/>
                <w:szCs w:val="18"/>
              </w:rPr>
              <w:t>85</w:t>
            </w:r>
          </w:p>
        </w:tc>
        <w:tc>
          <w:tcPr>
            <w:tcW w:w="1000" w:type="pct"/>
            <w:tcBorders>
              <w:top w:val="nil"/>
              <w:left w:val="nil"/>
              <w:bottom w:val="nil"/>
              <w:right w:val="nil"/>
            </w:tcBorders>
            <w:shd w:val="clear" w:color="auto" w:fill="auto"/>
            <w:vAlign w:val="bottom"/>
          </w:tcPr>
          <w:p w14:paraId="3C437DF5" w14:textId="53063E95" w:rsidR="00610467" w:rsidRPr="004C78D8" w:rsidRDefault="00610467" w:rsidP="00FB7C1F">
            <w:pPr>
              <w:jc w:val="center"/>
              <w:rPr>
                <w:rFonts w:cs="Times New Roman"/>
                <w:sz w:val="18"/>
                <w:szCs w:val="18"/>
              </w:rPr>
            </w:pPr>
            <w:r w:rsidRPr="004C78D8">
              <w:rPr>
                <w:rFonts w:cs="Times New Roman"/>
                <w:color w:val="000000"/>
                <w:sz w:val="18"/>
                <w:szCs w:val="18"/>
              </w:rPr>
              <w:t>907</w:t>
            </w:r>
            <w:r w:rsidR="00F45E67" w:rsidRPr="004C78D8">
              <w:rPr>
                <w:rFonts w:cs="Times New Roman"/>
                <w:color w:val="000000"/>
                <w:sz w:val="18"/>
                <w:szCs w:val="18"/>
              </w:rPr>
              <w:t xml:space="preserve"> (1.55)</w:t>
            </w:r>
          </w:p>
        </w:tc>
        <w:tc>
          <w:tcPr>
            <w:tcW w:w="1001" w:type="pct"/>
            <w:tcBorders>
              <w:top w:val="nil"/>
              <w:left w:val="nil"/>
              <w:bottom w:val="nil"/>
              <w:right w:val="nil"/>
            </w:tcBorders>
            <w:shd w:val="clear" w:color="auto" w:fill="auto"/>
            <w:vAlign w:val="bottom"/>
          </w:tcPr>
          <w:p w14:paraId="0443EFF5" w14:textId="7AD20D4A" w:rsidR="00610467" w:rsidRPr="004C78D8" w:rsidRDefault="00610467" w:rsidP="00FB7C1F">
            <w:pPr>
              <w:jc w:val="center"/>
              <w:rPr>
                <w:rFonts w:cs="Times New Roman"/>
                <w:sz w:val="18"/>
                <w:szCs w:val="18"/>
              </w:rPr>
            </w:pPr>
            <w:r w:rsidRPr="004C78D8">
              <w:rPr>
                <w:rFonts w:cs="Times New Roman"/>
                <w:color w:val="000000"/>
                <w:sz w:val="18"/>
                <w:szCs w:val="18"/>
              </w:rPr>
              <w:t>1238</w:t>
            </w:r>
            <w:r w:rsidR="00276804" w:rsidRPr="004C78D8">
              <w:rPr>
                <w:rFonts w:cs="Times New Roman"/>
                <w:color w:val="000000"/>
                <w:sz w:val="18"/>
                <w:szCs w:val="18"/>
              </w:rPr>
              <w:t xml:space="preserve"> (1.85)</w:t>
            </w:r>
          </w:p>
        </w:tc>
        <w:tc>
          <w:tcPr>
            <w:tcW w:w="850" w:type="pct"/>
            <w:tcBorders>
              <w:top w:val="nil"/>
              <w:bottom w:val="nil"/>
            </w:tcBorders>
          </w:tcPr>
          <w:p w14:paraId="3D593636" w14:textId="7498CBBC" w:rsidR="00610467" w:rsidRPr="004C78D8" w:rsidRDefault="00610467" w:rsidP="00FB7C1F">
            <w:pPr>
              <w:jc w:val="center"/>
              <w:rPr>
                <w:sz w:val="18"/>
                <w:szCs w:val="18"/>
              </w:rPr>
            </w:pPr>
            <w:r w:rsidRPr="004C78D8">
              <w:rPr>
                <w:sz w:val="18"/>
                <w:szCs w:val="18"/>
              </w:rPr>
              <w:t>2047</w:t>
            </w:r>
          </w:p>
        </w:tc>
        <w:tc>
          <w:tcPr>
            <w:tcW w:w="1151" w:type="pct"/>
            <w:tcBorders>
              <w:top w:val="nil"/>
              <w:left w:val="nil"/>
              <w:bottom w:val="nil"/>
              <w:right w:val="single" w:sz="4" w:space="0" w:color="auto"/>
            </w:tcBorders>
            <w:shd w:val="clear" w:color="auto" w:fill="auto"/>
            <w:vAlign w:val="bottom"/>
          </w:tcPr>
          <w:p w14:paraId="228195E7" w14:textId="1E42BED3" w:rsidR="00610467" w:rsidRPr="004C78D8" w:rsidRDefault="00610467" w:rsidP="00FB7C1F">
            <w:pPr>
              <w:jc w:val="center"/>
              <w:rPr>
                <w:rFonts w:cs="Times New Roman"/>
                <w:sz w:val="18"/>
                <w:szCs w:val="18"/>
              </w:rPr>
            </w:pPr>
            <w:r w:rsidRPr="004C78D8">
              <w:rPr>
                <w:rFonts w:cs="Times New Roman"/>
                <w:color w:val="000000"/>
                <w:sz w:val="18"/>
                <w:szCs w:val="18"/>
              </w:rPr>
              <w:t>6530</w:t>
            </w:r>
          </w:p>
        </w:tc>
      </w:tr>
      <w:tr w:rsidR="00610467" w:rsidRPr="004C78D8" w14:paraId="21003CD6" w14:textId="77777777" w:rsidTr="00E35893">
        <w:tc>
          <w:tcPr>
            <w:tcW w:w="999" w:type="pct"/>
            <w:tcBorders>
              <w:top w:val="nil"/>
              <w:bottom w:val="nil"/>
            </w:tcBorders>
          </w:tcPr>
          <w:p w14:paraId="5F32C4DF" w14:textId="1286B0B1" w:rsidR="00610467" w:rsidRPr="004C78D8" w:rsidRDefault="00610467" w:rsidP="00FB7C1F">
            <w:pPr>
              <w:jc w:val="center"/>
              <w:rPr>
                <w:sz w:val="18"/>
                <w:szCs w:val="18"/>
              </w:rPr>
            </w:pPr>
            <w:r w:rsidRPr="004C78D8">
              <w:rPr>
                <w:sz w:val="18"/>
                <w:szCs w:val="18"/>
              </w:rPr>
              <w:t>86</w:t>
            </w:r>
          </w:p>
        </w:tc>
        <w:tc>
          <w:tcPr>
            <w:tcW w:w="1000" w:type="pct"/>
            <w:tcBorders>
              <w:top w:val="nil"/>
              <w:left w:val="nil"/>
              <w:bottom w:val="nil"/>
              <w:right w:val="nil"/>
            </w:tcBorders>
            <w:shd w:val="clear" w:color="auto" w:fill="auto"/>
            <w:vAlign w:val="bottom"/>
          </w:tcPr>
          <w:p w14:paraId="39B7763B" w14:textId="3F3AEEC6" w:rsidR="00610467" w:rsidRPr="004C78D8" w:rsidRDefault="00610467" w:rsidP="00FB7C1F">
            <w:pPr>
              <w:jc w:val="center"/>
              <w:rPr>
                <w:rFonts w:cs="Times New Roman"/>
                <w:sz w:val="18"/>
                <w:szCs w:val="18"/>
              </w:rPr>
            </w:pPr>
            <w:r w:rsidRPr="004C78D8">
              <w:rPr>
                <w:rFonts w:cs="Times New Roman"/>
                <w:color w:val="000000"/>
                <w:sz w:val="18"/>
                <w:szCs w:val="18"/>
              </w:rPr>
              <w:t>807</w:t>
            </w:r>
            <w:r w:rsidR="00F45E67" w:rsidRPr="004C78D8">
              <w:rPr>
                <w:rFonts w:cs="Times New Roman"/>
                <w:color w:val="000000"/>
                <w:sz w:val="18"/>
                <w:szCs w:val="18"/>
              </w:rPr>
              <w:t xml:space="preserve"> (1.38)</w:t>
            </w:r>
          </w:p>
        </w:tc>
        <w:tc>
          <w:tcPr>
            <w:tcW w:w="1001" w:type="pct"/>
            <w:tcBorders>
              <w:top w:val="nil"/>
              <w:left w:val="nil"/>
              <w:bottom w:val="nil"/>
              <w:right w:val="nil"/>
            </w:tcBorders>
            <w:shd w:val="clear" w:color="auto" w:fill="auto"/>
            <w:vAlign w:val="bottom"/>
          </w:tcPr>
          <w:p w14:paraId="4E3F7965" w14:textId="688D63F9" w:rsidR="00610467" w:rsidRPr="004C78D8" w:rsidRDefault="00610467" w:rsidP="00FB7C1F">
            <w:pPr>
              <w:jc w:val="center"/>
              <w:rPr>
                <w:rFonts w:cs="Times New Roman"/>
                <w:sz w:val="18"/>
                <w:szCs w:val="18"/>
              </w:rPr>
            </w:pPr>
            <w:r w:rsidRPr="004C78D8">
              <w:rPr>
                <w:rFonts w:cs="Times New Roman"/>
                <w:color w:val="000000"/>
                <w:sz w:val="18"/>
                <w:szCs w:val="18"/>
              </w:rPr>
              <w:t>1157</w:t>
            </w:r>
            <w:r w:rsidR="00276804" w:rsidRPr="004C78D8">
              <w:rPr>
                <w:rFonts w:cs="Times New Roman"/>
                <w:color w:val="000000"/>
                <w:sz w:val="18"/>
                <w:szCs w:val="18"/>
              </w:rPr>
              <w:t xml:space="preserve"> (1.73)</w:t>
            </w:r>
          </w:p>
        </w:tc>
        <w:tc>
          <w:tcPr>
            <w:tcW w:w="850" w:type="pct"/>
            <w:tcBorders>
              <w:top w:val="nil"/>
              <w:bottom w:val="nil"/>
            </w:tcBorders>
          </w:tcPr>
          <w:p w14:paraId="7420E7DD" w14:textId="05EC695D" w:rsidR="00610467" w:rsidRPr="004C78D8" w:rsidRDefault="00610467" w:rsidP="00FB7C1F">
            <w:pPr>
              <w:jc w:val="center"/>
              <w:rPr>
                <w:sz w:val="18"/>
                <w:szCs w:val="18"/>
              </w:rPr>
            </w:pPr>
            <w:r w:rsidRPr="004C78D8">
              <w:rPr>
                <w:sz w:val="18"/>
                <w:szCs w:val="18"/>
              </w:rPr>
              <w:t>2048</w:t>
            </w:r>
          </w:p>
        </w:tc>
        <w:tc>
          <w:tcPr>
            <w:tcW w:w="1151" w:type="pct"/>
            <w:tcBorders>
              <w:top w:val="nil"/>
              <w:left w:val="nil"/>
              <w:bottom w:val="nil"/>
              <w:right w:val="single" w:sz="4" w:space="0" w:color="auto"/>
            </w:tcBorders>
            <w:shd w:val="clear" w:color="auto" w:fill="auto"/>
            <w:vAlign w:val="bottom"/>
          </w:tcPr>
          <w:p w14:paraId="2D6BF0C3" w14:textId="019F79DA" w:rsidR="00610467" w:rsidRPr="004C78D8" w:rsidRDefault="00610467" w:rsidP="00FB7C1F">
            <w:pPr>
              <w:jc w:val="center"/>
              <w:rPr>
                <w:rFonts w:cs="Times New Roman"/>
                <w:sz w:val="18"/>
                <w:szCs w:val="18"/>
              </w:rPr>
            </w:pPr>
            <w:r w:rsidRPr="004C78D8">
              <w:rPr>
                <w:rFonts w:cs="Times New Roman"/>
                <w:color w:val="000000"/>
                <w:sz w:val="18"/>
                <w:szCs w:val="18"/>
              </w:rPr>
              <w:t>6557</w:t>
            </w:r>
          </w:p>
        </w:tc>
      </w:tr>
      <w:tr w:rsidR="00610467" w:rsidRPr="004C78D8" w14:paraId="430D7AC5" w14:textId="77777777" w:rsidTr="00E35893">
        <w:tc>
          <w:tcPr>
            <w:tcW w:w="999" w:type="pct"/>
            <w:tcBorders>
              <w:top w:val="nil"/>
              <w:bottom w:val="nil"/>
            </w:tcBorders>
          </w:tcPr>
          <w:p w14:paraId="43A732F9" w14:textId="18B87023" w:rsidR="00610467" w:rsidRPr="004C78D8" w:rsidRDefault="00610467" w:rsidP="00FB7C1F">
            <w:pPr>
              <w:jc w:val="center"/>
              <w:rPr>
                <w:sz w:val="18"/>
                <w:szCs w:val="18"/>
              </w:rPr>
            </w:pPr>
            <w:r w:rsidRPr="004C78D8">
              <w:rPr>
                <w:sz w:val="18"/>
                <w:szCs w:val="18"/>
              </w:rPr>
              <w:t>87</w:t>
            </w:r>
          </w:p>
        </w:tc>
        <w:tc>
          <w:tcPr>
            <w:tcW w:w="1000" w:type="pct"/>
            <w:tcBorders>
              <w:top w:val="nil"/>
              <w:left w:val="nil"/>
              <w:bottom w:val="nil"/>
              <w:right w:val="nil"/>
            </w:tcBorders>
            <w:shd w:val="clear" w:color="auto" w:fill="auto"/>
            <w:vAlign w:val="bottom"/>
          </w:tcPr>
          <w:p w14:paraId="005B4816" w14:textId="465A5638" w:rsidR="00610467" w:rsidRPr="004C78D8" w:rsidRDefault="00610467" w:rsidP="00FB7C1F">
            <w:pPr>
              <w:jc w:val="center"/>
              <w:rPr>
                <w:rFonts w:cs="Times New Roman"/>
                <w:sz w:val="18"/>
                <w:szCs w:val="18"/>
              </w:rPr>
            </w:pPr>
            <w:r w:rsidRPr="004C78D8">
              <w:rPr>
                <w:rFonts w:cs="Times New Roman"/>
                <w:color w:val="000000"/>
                <w:sz w:val="18"/>
                <w:szCs w:val="18"/>
              </w:rPr>
              <w:t>692</w:t>
            </w:r>
            <w:r w:rsidR="00F45E67" w:rsidRPr="004C78D8">
              <w:rPr>
                <w:rFonts w:cs="Times New Roman"/>
                <w:color w:val="000000"/>
                <w:sz w:val="18"/>
                <w:szCs w:val="18"/>
              </w:rPr>
              <w:t xml:space="preserve"> (1.19)</w:t>
            </w:r>
          </w:p>
        </w:tc>
        <w:tc>
          <w:tcPr>
            <w:tcW w:w="1001" w:type="pct"/>
            <w:tcBorders>
              <w:top w:val="nil"/>
              <w:left w:val="nil"/>
              <w:bottom w:val="nil"/>
              <w:right w:val="nil"/>
            </w:tcBorders>
            <w:shd w:val="clear" w:color="auto" w:fill="auto"/>
            <w:vAlign w:val="bottom"/>
          </w:tcPr>
          <w:p w14:paraId="48E92E5C" w14:textId="33E705FD" w:rsidR="00610467" w:rsidRPr="004C78D8" w:rsidRDefault="00610467" w:rsidP="00FB7C1F">
            <w:pPr>
              <w:jc w:val="center"/>
              <w:rPr>
                <w:rFonts w:cs="Times New Roman"/>
                <w:sz w:val="18"/>
                <w:szCs w:val="18"/>
              </w:rPr>
            </w:pPr>
            <w:r w:rsidRPr="004C78D8">
              <w:rPr>
                <w:rFonts w:cs="Times New Roman"/>
                <w:color w:val="000000"/>
                <w:sz w:val="18"/>
                <w:szCs w:val="18"/>
              </w:rPr>
              <w:t>1009</w:t>
            </w:r>
            <w:r w:rsidR="00276804" w:rsidRPr="004C78D8">
              <w:rPr>
                <w:rFonts w:cs="Times New Roman"/>
                <w:color w:val="000000"/>
                <w:sz w:val="18"/>
                <w:szCs w:val="18"/>
              </w:rPr>
              <w:t xml:space="preserve"> (1.51)</w:t>
            </w:r>
          </w:p>
        </w:tc>
        <w:tc>
          <w:tcPr>
            <w:tcW w:w="850" w:type="pct"/>
            <w:tcBorders>
              <w:top w:val="nil"/>
              <w:bottom w:val="nil"/>
            </w:tcBorders>
          </w:tcPr>
          <w:p w14:paraId="34A46C5F" w14:textId="03B52E72" w:rsidR="00610467" w:rsidRPr="004C78D8" w:rsidRDefault="00610467" w:rsidP="00FB7C1F">
            <w:pPr>
              <w:jc w:val="center"/>
              <w:rPr>
                <w:sz w:val="18"/>
                <w:szCs w:val="18"/>
              </w:rPr>
            </w:pPr>
            <w:r w:rsidRPr="004C78D8">
              <w:rPr>
                <w:sz w:val="18"/>
                <w:szCs w:val="18"/>
              </w:rPr>
              <w:t>2049</w:t>
            </w:r>
          </w:p>
        </w:tc>
        <w:tc>
          <w:tcPr>
            <w:tcW w:w="1151" w:type="pct"/>
            <w:tcBorders>
              <w:top w:val="nil"/>
              <w:left w:val="nil"/>
              <w:bottom w:val="nil"/>
              <w:right w:val="single" w:sz="4" w:space="0" w:color="auto"/>
            </w:tcBorders>
            <w:shd w:val="clear" w:color="auto" w:fill="auto"/>
            <w:vAlign w:val="bottom"/>
          </w:tcPr>
          <w:p w14:paraId="22DE3E6C" w14:textId="5E124176" w:rsidR="00610467" w:rsidRPr="004C78D8" w:rsidRDefault="00610467" w:rsidP="00FB7C1F">
            <w:pPr>
              <w:jc w:val="center"/>
              <w:rPr>
                <w:rFonts w:cs="Times New Roman"/>
                <w:sz w:val="18"/>
                <w:szCs w:val="18"/>
              </w:rPr>
            </w:pPr>
            <w:r w:rsidRPr="004C78D8">
              <w:rPr>
                <w:rFonts w:cs="Times New Roman"/>
                <w:color w:val="000000"/>
                <w:sz w:val="18"/>
                <w:szCs w:val="18"/>
              </w:rPr>
              <w:t>6585</w:t>
            </w:r>
          </w:p>
        </w:tc>
      </w:tr>
      <w:tr w:rsidR="00610467" w:rsidRPr="004C78D8" w14:paraId="41FB9766" w14:textId="77777777" w:rsidTr="00E35893">
        <w:tc>
          <w:tcPr>
            <w:tcW w:w="999" w:type="pct"/>
            <w:tcBorders>
              <w:top w:val="nil"/>
              <w:bottom w:val="nil"/>
            </w:tcBorders>
          </w:tcPr>
          <w:p w14:paraId="70E5A7A6" w14:textId="401BAB6B" w:rsidR="00610467" w:rsidRPr="004C78D8" w:rsidRDefault="00610467" w:rsidP="00FB7C1F">
            <w:pPr>
              <w:jc w:val="center"/>
              <w:rPr>
                <w:sz w:val="18"/>
                <w:szCs w:val="18"/>
              </w:rPr>
            </w:pPr>
            <w:r w:rsidRPr="004C78D8">
              <w:rPr>
                <w:sz w:val="18"/>
                <w:szCs w:val="18"/>
              </w:rPr>
              <w:t>88</w:t>
            </w:r>
          </w:p>
        </w:tc>
        <w:tc>
          <w:tcPr>
            <w:tcW w:w="1000" w:type="pct"/>
            <w:tcBorders>
              <w:top w:val="nil"/>
              <w:left w:val="nil"/>
              <w:bottom w:val="nil"/>
              <w:right w:val="nil"/>
            </w:tcBorders>
            <w:shd w:val="clear" w:color="auto" w:fill="auto"/>
            <w:vAlign w:val="bottom"/>
          </w:tcPr>
          <w:p w14:paraId="355D7E8C" w14:textId="40C35AB0" w:rsidR="00610467" w:rsidRPr="004C78D8" w:rsidRDefault="00610467" w:rsidP="00FB7C1F">
            <w:pPr>
              <w:jc w:val="center"/>
              <w:rPr>
                <w:rFonts w:cs="Times New Roman"/>
                <w:sz w:val="18"/>
                <w:szCs w:val="18"/>
              </w:rPr>
            </w:pPr>
            <w:r w:rsidRPr="004C78D8">
              <w:rPr>
                <w:rFonts w:cs="Times New Roman"/>
                <w:color w:val="000000"/>
                <w:sz w:val="18"/>
                <w:szCs w:val="18"/>
              </w:rPr>
              <w:t>505</w:t>
            </w:r>
            <w:r w:rsidR="00F45E67" w:rsidRPr="004C78D8">
              <w:rPr>
                <w:rFonts w:cs="Times New Roman"/>
                <w:color w:val="000000"/>
                <w:sz w:val="18"/>
                <w:szCs w:val="18"/>
              </w:rPr>
              <w:t xml:space="preserve"> (0.86)</w:t>
            </w:r>
          </w:p>
        </w:tc>
        <w:tc>
          <w:tcPr>
            <w:tcW w:w="1001" w:type="pct"/>
            <w:tcBorders>
              <w:top w:val="nil"/>
              <w:left w:val="nil"/>
              <w:bottom w:val="nil"/>
              <w:right w:val="nil"/>
            </w:tcBorders>
            <w:shd w:val="clear" w:color="auto" w:fill="auto"/>
            <w:vAlign w:val="bottom"/>
          </w:tcPr>
          <w:p w14:paraId="5ECC826C" w14:textId="4E3D60BE" w:rsidR="00610467" w:rsidRPr="004C78D8" w:rsidRDefault="00610467" w:rsidP="00FB7C1F">
            <w:pPr>
              <w:jc w:val="center"/>
              <w:rPr>
                <w:rFonts w:cs="Times New Roman"/>
                <w:sz w:val="18"/>
                <w:szCs w:val="18"/>
              </w:rPr>
            </w:pPr>
            <w:r w:rsidRPr="004C78D8">
              <w:rPr>
                <w:rFonts w:cs="Times New Roman"/>
                <w:color w:val="000000"/>
                <w:sz w:val="18"/>
                <w:szCs w:val="18"/>
              </w:rPr>
              <w:t>896</w:t>
            </w:r>
            <w:r w:rsidR="00276804" w:rsidRPr="004C78D8">
              <w:rPr>
                <w:rFonts w:cs="Times New Roman"/>
                <w:color w:val="000000"/>
                <w:sz w:val="18"/>
                <w:szCs w:val="18"/>
              </w:rPr>
              <w:t xml:space="preserve"> (1.34)</w:t>
            </w:r>
          </w:p>
        </w:tc>
        <w:tc>
          <w:tcPr>
            <w:tcW w:w="850" w:type="pct"/>
            <w:tcBorders>
              <w:top w:val="nil"/>
              <w:bottom w:val="nil"/>
            </w:tcBorders>
          </w:tcPr>
          <w:p w14:paraId="66B44099" w14:textId="2249F741" w:rsidR="00610467" w:rsidRPr="004C78D8" w:rsidRDefault="00610467" w:rsidP="00FB7C1F">
            <w:pPr>
              <w:jc w:val="center"/>
              <w:rPr>
                <w:sz w:val="18"/>
                <w:szCs w:val="18"/>
              </w:rPr>
            </w:pPr>
            <w:r w:rsidRPr="004C78D8">
              <w:rPr>
                <w:sz w:val="18"/>
                <w:szCs w:val="18"/>
              </w:rPr>
              <w:t>2050</w:t>
            </w:r>
          </w:p>
        </w:tc>
        <w:tc>
          <w:tcPr>
            <w:tcW w:w="1151" w:type="pct"/>
            <w:tcBorders>
              <w:top w:val="nil"/>
              <w:left w:val="nil"/>
              <w:bottom w:val="nil"/>
              <w:right w:val="single" w:sz="4" w:space="0" w:color="auto"/>
            </w:tcBorders>
            <w:shd w:val="clear" w:color="auto" w:fill="auto"/>
            <w:vAlign w:val="bottom"/>
          </w:tcPr>
          <w:p w14:paraId="2C1F25D8" w14:textId="7D663E95" w:rsidR="00610467" w:rsidRPr="004C78D8" w:rsidRDefault="00610467" w:rsidP="00FB7C1F">
            <w:pPr>
              <w:jc w:val="center"/>
              <w:rPr>
                <w:rFonts w:cs="Times New Roman"/>
                <w:sz w:val="18"/>
                <w:szCs w:val="18"/>
              </w:rPr>
            </w:pPr>
            <w:r w:rsidRPr="004C78D8">
              <w:rPr>
                <w:rFonts w:cs="Times New Roman"/>
                <w:color w:val="000000"/>
                <w:sz w:val="18"/>
                <w:szCs w:val="18"/>
              </w:rPr>
              <w:t>6612</w:t>
            </w:r>
          </w:p>
        </w:tc>
      </w:tr>
      <w:tr w:rsidR="00610467" w:rsidRPr="004C78D8" w14:paraId="2CA3598A" w14:textId="77777777" w:rsidTr="00E35893">
        <w:tc>
          <w:tcPr>
            <w:tcW w:w="999" w:type="pct"/>
            <w:tcBorders>
              <w:top w:val="nil"/>
              <w:bottom w:val="nil"/>
            </w:tcBorders>
          </w:tcPr>
          <w:p w14:paraId="1F3AFC74" w14:textId="1635F446" w:rsidR="00610467" w:rsidRPr="004C78D8" w:rsidRDefault="00610467" w:rsidP="00FB7C1F">
            <w:pPr>
              <w:jc w:val="center"/>
              <w:rPr>
                <w:sz w:val="18"/>
                <w:szCs w:val="18"/>
              </w:rPr>
            </w:pPr>
            <w:r w:rsidRPr="004C78D8">
              <w:rPr>
                <w:sz w:val="18"/>
                <w:szCs w:val="18"/>
              </w:rPr>
              <w:t>89</w:t>
            </w:r>
          </w:p>
        </w:tc>
        <w:tc>
          <w:tcPr>
            <w:tcW w:w="1000" w:type="pct"/>
            <w:tcBorders>
              <w:top w:val="nil"/>
              <w:left w:val="nil"/>
              <w:bottom w:val="nil"/>
              <w:right w:val="nil"/>
            </w:tcBorders>
            <w:shd w:val="clear" w:color="auto" w:fill="auto"/>
            <w:vAlign w:val="bottom"/>
          </w:tcPr>
          <w:p w14:paraId="34F3B001" w14:textId="68749AA2" w:rsidR="00610467" w:rsidRPr="004C78D8" w:rsidRDefault="00610467" w:rsidP="00FB7C1F">
            <w:pPr>
              <w:jc w:val="center"/>
              <w:rPr>
                <w:rFonts w:cs="Times New Roman"/>
                <w:sz w:val="18"/>
                <w:szCs w:val="18"/>
              </w:rPr>
            </w:pPr>
            <w:r w:rsidRPr="004C78D8">
              <w:rPr>
                <w:rFonts w:cs="Times New Roman"/>
                <w:color w:val="000000"/>
                <w:sz w:val="18"/>
                <w:szCs w:val="18"/>
              </w:rPr>
              <w:t>453</w:t>
            </w:r>
            <w:r w:rsidR="00F45E67" w:rsidRPr="004C78D8">
              <w:rPr>
                <w:rFonts w:cs="Times New Roman"/>
                <w:color w:val="000000"/>
                <w:sz w:val="18"/>
                <w:szCs w:val="18"/>
              </w:rPr>
              <w:t xml:space="preserve"> (0.78)</w:t>
            </w:r>
          </w:p>
        </w:tc>
        <w:tc>
          <w:tcPr>
            <w:tcW w:w="1001" w:type="pct"/>
            <w:tcBorders>
              <w:top w:val="nil"/>
              <w:left w:val="nil"/>
              <w:bottom w:val="nil"/>
              <w:right w:val="nil"/>
            </w:tcBorders>
            <w:shd w:val="clear" w:color="auto" w:fill="auto"/>
            <w:vAlign w:val="bottom"/>
          </w:tcPr>
          <w:p w14:paraId="03B3E33E" w14:textId="6D6A189E" w:rsidR="00610467" w:rsidRPr="004C78D8" w:rsidRDefault="00610467" w:rsidP="00FB7C1F">
            <w:pPr>
              <w:jc w:val="center"/>
              <w:rPr>
                <w:rFonts w:cs="Times New Roman"/>
                <w:sz w:val="18"/>
                <w:szCs w:val="18"/>
              </w:rPr>
            </w:pPr>
            <w:r w:rsidRPr="004C78D8">
              <w:rPr>
                <w:rFonts w:cs="Times New Roman"/>
                <w:color w:val="000000"/>
                <w:sz w:val="18"/>
                <w:szCs w:val="18"/>
              </w:rPr>
              <w:t>781</w:t>
            </w:r>
            <w:r w:rsidR="00276804" w:rsidRPr="004C78D8">
              <w:rPr>
                <w:rFonts w:cs="Times New Roman"/>
                <w:color w:val="000000"/>
                <w:sz w:val="18"/>
                <w:szCs w:val="18"/>
              </w:rPr>
              <w:t xml:space="preserve"> (1.17)</w:t>
            </w:r>
          </w:p>
        </w:tc>
        <w:tc>
          <w:tcPr>
            <w:tcW w:w="850" w:type="pct"/>
            <w:tcBorders>
              <w:top w:val="nil"/>
              <w:bottom w:val="nil"/>
            </w:tcBorders>
          </w:tcPr>
          <w:p w14:paraId="272182F0" w14:textId="35954604" w:rsidR="00610467" w:rsidRPr="004C78D8" w:rsidRDefault="00610467" w:rsidP="00FB7C1F">
            <w:pPr>
              <w:jc w:val="center"/>
              <w:rPr>
                <w:sz w:val="18"/>
                <w:szCs w:val="18"/>
              </w:rPr>
            </w:pPr>
            <w:r w:rsidRPr="004C78D8">
              <w:rPr>
                <w:sz w:val="18"/>
                <w:szCs w:val="18"/>
              </w:rPr>
              <w:t>2051</w:t>
            </w:r>
          </w:p>
        </w:tc>
        <w:tc>
          <w:tcPr>
            <w:tcW w:w="1151" w:type="pct"/>
            <w:tcBorders>
              <w:top w:val="nil"/>
              <w:left w:val="nil"/>
              <w:bottom w:val="nil"/>
              <w:right w:val="single" w:sz="4" w:space="0" w:color="auto"/>
            </w:tcBorders>
            <w:shd w:val="clear" w:color="auto" w:fill="auto"/>
            <w:vAlign w:val="bottom"/>
          </w:tcPr>
          <w:p w14:paraId="4BA8FA9E" w14:textId="567BC2F4" w:rsidR="00610467" w:rsidRPr="004C78D8" w:rsidRDefault="00610467" w:rsidP="00FB7C1F">
            <w:pPr>
              <w:jc w:val="center"/>
              <w:rPr>
                <w:rFonts w:cs="Times New Roman"/>
                <w:sz w:val="18"/>
                <w:szCs w:val="18"/>
              </w:rPr>
            </w:pPr>
            <w:r w:rsidRPr="004C78D8">
              <w:rPr>
                <w:rFonts w:cs="Times New Roman"/>
                <w:color w:val="000000"/>
                <w:sz w:val="18"/>
                <w:szCs w:val="18"/>
              </w:rPr>
              <w:t>6640</w:t>
            </w:r>
          </w:p>
        </w:tc>
      </w:tr>
      <w:tr w:rsidR="00610467" w:rsidRPr="004C78D8" w14:paraId="31A38CCE" w14:textId="77777777" w:rsidTr="00E35893">
        <w:tc>
          <w:tcPr>
            <w:tcW w:w="999" w:type="pct"/>
            <w:tcBorders>
              <w:top w:val="nil"/>
              <w:bottom w:val="single" w:sz="4" w:space="0" w:color="auto"/>
            </w:tcBorders>
          </w:tcPr>
          <w:p w14:paraId="254C4FD3" w14:textId="62E83F82" w:rsidR="00610467" w:rsidRPr="004C78D8" w:rsidRDefault="00610467" w:rsidP="00FB7C1F">
            <w:pPr>
              <w:jc w:val="center"/>
              <w:rPr>
                <w:sz w:val="18"/>
                <w:szCs w:val="18"/>
              </w:rPr>
            </w:pPr>
            <w:r w:rsidRPr="004C78D8">
              <w:rPr>
                <w:sz w:val="18"/>
                <w:szCs w:val="18"/>
              </w:rPr>
              <w:t>90+</w:t>
            </w:r>
            <w:r w:rsidRPr="004C78D8">
              <w:rPr>
                <w:sz w:val="18"/>
                <w:szCs w:val="18"/>
                <w:vertAlign w:val="superscript"/>
              </w:rPr>
              <w:t>1</w:t>
            </w:r>
          </w:p>
        </w:tc>
        <w:tc>
          <w:tcPr>
            <w:tcW w:w="1000" w:type="pct"/>
            <w:tcBorders>
              <w:top w:val="nil"/>
              <w:left w:val="nil"/>
              <w:bottom w:val="single" w:sz="4" w:space="0" w:color="auto"/>
              <w:right w:val="nil"/>
            </w:tcBorders>
            <w:shd w:val="clear" w:color="auto" w:fill="auto"/>
            <w:vAlign w:val="bottom"/>
          </w:tcPr>
          <w:p w14:paraId="7B9F062C" w14:textId="5BF0B9D3" w:rsidR="00610467" w:rsidRPr="004C78D8" w:rsidRDefault="00610467" w:rsidP="00FB7C1F">
            <w:pPr>
              <w:jc w:val="center"/>
              <w:rPr>
                <w:rFonts w:cs="Times New Roman"/>
                <w:sz w:val="18"/>
                <w:szCs w:val="18"/>
              </w:rPr>
            </w:pPr>
            <w:r w:rsidRPr="004C78D8">
              <w:rPr>
                <w:rFonts w:cs="Times New Roman"/>
                <w:color w:val="000000"/>
                <w:sz w:val="18"/>
                <w:szCs w:val="18"/>
              </w:rPr>
              <w:t>1751</w:t>
            </w:r>
            <w:r w:rsidR="00F45E67" w:rsidRPr="004C78D8">
              <w:rPr>
                <w:rFonts w:cs="Times New Roman"/>
                <w:color w:val="000000"/>
                <w:sz w:val="18"/>
                <w:szCs w:val="18"/>
              </w:rPr>
              <w:t xml:space="preserve"> (3.00)</w:t>
            </w:r>
          </w:p>
        </w:tc>
        <w:tc>
          <w:tcPr>
            <w:tcW w:w="1001" w:type="pct"/>
            <w:tcBorders>
              <w:top w:val="nil"/>
              <w:left w:val="nil"/>
              <w:bottom w:val="nil"/>
              <w:right w:val="nil"/>
            </w:tcBorders>
            <w:shd w:val="clear" w:color="auto" w:fill="auto"/>
            <w:vAlign w:val="bottom"/>
          </w:tcPr>
          <w:p w14:paraId="1EBCD2DA" w14:textId="1D3FD962" w:rsidR="00610467" w:rsidRPr="004C78D8" w:rsidRDefault="00610467" w:rsidP="00FB7C1F">
            <w:pPr>
              <w:jc w:val="center"/>
              <w:rPr>
                <w:rFonts w:cs="Times New Roman"/>
                <w:sz w:val="18"/>
                <w:szCs w:val="18"/>
              </w:rPr>
            </w:pPr>
            <w:r w:rsidRPr="004C78D8">
              <w:rPr>
                <w:rFonts w:cs="Times New Roman"/>
                <w:color w:val="000000"/>
                <w:sz w:val="18"/>
                <w:szCs w:val="18"/>
              </w:rPr>
              <w:t>3008</w:t>
            </w:r>
            <w:r w:rsidR="00276804" w:rsidRPr="004C78D8">
              <w:rPr>
                <w:rFonts w:cs="Times New Roman"/>
                <w:color w:val="000000"/>
                <w:sz w:val="18"/>
                <w:szCs w:val="18"/>
              </w:rPr>
              <w:t xml:space="preserve"> (4.50)</w:t>
            </w:r>
          </w:p>
        </w:tc>
        <w:tc>
          <w:tcPr>
            <w:tcW w:w="850" w:type="pct"/>
            <w:tcBorders>
              <w:top w:val="nil"/>
              <w:bottom w:val="nil"/>
            </w:tcBorders>
          </w:tcPr>
          <w:p w14:paraId="4CF1BB41" w14:textId="0864CBEA" w:rsidR="00610467" w:rsidRPr="004C78D8" w:rsidRDefault="00610467" w:rsidP="00FB7C1F">
            <w:pPr>
              <w:jc w:val="center"/>
              <w:rPr>
                <w:sz w:val="18"/>
                <w:szCs w:val="18"/>
              </w:rPr>
            </w:pPr>
            <w:r w:rsidRPr="004C78D8">
              <w:rPr>
                <w:sz w:val="18"/>
                <w:szCs w:val="18"/>
              </w:rPr>
              <w:t>2052</w:t>
            </w:r>
          </w:p>
        </w:tc>
        <w:tc>
          <w:tcPr>
            <w:tcW w:w="1151" w:type="pct"/>
            <w:tcBorders>
              <w:top w:val="nil"/>
              <w:left w:val="nil"/>
              <w:bottom w:val="nil"/>
              <w:right w:val="single" w:sz="4" w:space="0" w:color="auto"/>
            </w:tcBorders>
            <w:shd w:val="clear" w:color="auto" w:fill="auto"/>
            <w:vAlign w:val="bottom"/>
          </w:tcPr>
          <w:p w14:paraId="70A98015" w14:textId="64F2E8F9" w:rsidR="00610467" w:rsidRPr="004C78D8" w:rsidRDefault="00610467" w:rsidP="00FB7C1F">
            <w:pPr>
              <w:jc w:val="center"/>
              <w:rPr>
                <w:rFonts w:cs="Times New Roman"/>
                <w:sz w:val="18"/>
                <w:szCs w:val="18"/>
              </w:rPr>
            </w:pPr>
            <w:r w:rsidRPr="004C78D8">
              <w:rPr>
                <w:rFonts w:cs="Times New Roman"/>
                <w:color w:val="000000"/>
                <w:sz w:val="18"/>
                <w:szCs w:val="18"/>
              </w:rPr>
              <w:t>6668</w:t>
            </w:r>
          </w:p>
        </w:tc>
      </w:tr>
      <w:tr w:rsidR="00610467" w:rsidRPr="004C78D8" w14:paraId="7FDCCE63" w14:textId="77777777" w:rsidTr="00E35893">
        <w:tc>
          <w:tcPr>
            <w:tcW w:w="999" w:type="pct"/>
            <w:tcBorders>
              <w:top w:val="single" w:sz="4" w:space="0" w:color="auto"/>
              <w:bottom w:val="single" w:sz="4" w:space="0" w:color="auto"/>
              <w:right w:val="single" w:sz="4" w:space="0" w:color="auto"/>
            </w:tcBorders>
          </w:tcPr>
          <w:p w14:paraId="128D992F" w14:textId="197F9A86" w:rsidR="00610467" w:rsidRPr="004C78D8" w:rsidRDefault="00610467" w:rsidP="00FB7C1F">
            <w:pPr>
              <w:jc w:val="center"/>
              <w:rPr>
                <w:b/>
                <w:bCs/>
                <w:sz w:val="18"/>
                <w:szCs w:val="18"/>
              </w:rPr>
            </w:pPr>
            <w:r w:rsidRPr="004C78D8">
              <w:rPr>
                <w:b/>
                <w:bCs/>
                <w:sz w:val="18"/>
                <w:szCs w:val="18"/>
              </w:rPr>
              <w:t>Total by sex</w:t>
            </w:r>
          </w:p>
        </w:tc>
        <w:tc>
          <w:tcPr>
            <w:tcW w:w="1000" w:type="pct"/>
            <w:tcBorders>
              <w:top w:val="single" w:sz="4" w:space="0" w:color="auto"/>
              <w:left w:val="single" w:sz="4" w:space="0" w:color="auto"/>
              <w:bottom w:val="single" w:sz="4" w:space="0" w:color="auto"/>
              <w:right w:val="single" w:sz="4" w:space="0" w:color="auto"/>
            </w:tcBorders>
          </w:tcPr>
          <w:p w14:paraId="5D3A5A5E" w14:textId="4FC23695" w:rsidR="00610467" w:rsidRPr="004C78D8" w:rsidRDefault="00610467" w:rsidP="00FB7C1F">
            <w:pPr>
              <w:jc w:val="center"/>
              <w:rPr>
                <w:sz w:val="18"/>
                <w:szCs w:val="18"/>
              </w:rPr>
            </w:pPr>
            <w:r w:rsidRPr="004C78D8">
              <w:rPr>
                <w:sz w:val="18"/>
                <w:szCs w:val="18"/>
              </w:rPr>
              <w:t>58,359 (100)</w:t>
            </w:r>
          </w:p>
        </w:tc>
        <w:tc>
          <w:tcPr>
            <w:tcW w:w="1001" w:type="pct"/>
            <w:tcBorders>
              <w:top w:val="single" w:sz="4" w:space="0" w:color="auto"/>
              <w:left w:val="single" w:sz="4" w:space="0" w:color="auto"/>
              <w:bottom w:val="single" w:sz="4" w:space="0" w:color="auto"/>
            </w:tcBorders>
          </w:tcPr>
          <w:p w14:paraId="22A9AE21" w14:textId="2BE40956" w:rsidR="00610467" w:rsidRPr="004C78D8" w:rsidRDefault="00610467" w:rsidP="00FB7C1F">
            <w:pPr>
              <w:jc w:val="center"/>
              <w:rPr>
                <w:sz w:val="18"/>
                <w:szCs w:val="18"/>
              </w:rPr>
            </w:pPr>
            <w:r w:rsidRPr="004C78D8">
              <w:rPr>
                <w:sz w:val="18"/>
                <w:szCs w:val="18"/>
              </w:rPr>
              <w:t>66,885 (100)</w:t>
            </w:r>
          </w:p>
        </w:tc>
        <w:tc>
          <w:tcPr>
            <w:tcW w:w="850" w:type="pct"/>
            <w:tcBorders>
              <w:top w:val="nil"/>
              <w:bottom w:val="nil"/>
            </w:tcBorders>
          </w:tcPr>
          <w:p w14:paraId="6289E3A1" w14:textId="09BAA277" w:rsidR="00610467" w:rsidRPr="004C78D8" w:rsidRDefault="00610467" w:rsidP="00FB7C1F">
            <w:pPr>
              <w:jc w:val="center"/>
              <w:rPr>
                <w:sz w:val="18"/>
                <w:szCs w:val="18"/>
              </w:rPr>
            </w:pPr>
            <w:r w:rsidRPr="004C78D8">
              <w:rPr>
                <w:sz w:val="18"/>
                <w:szCs w:val="18"/>
              </w:rPr>
              <w:t>2053</w:t>
            </w:r>
          </w:p>
        </w:tc>
        <w:tc>
          <w:tcPr>
            <w:tcW w:w="1151" w:type="pct"/>
            <w:tcBorders>
              <w:top w:val="nil"/>
              <w:left w:val="nil"/>
              <w:bottom w:val="nil"/>
              <w:right w:val="single" w:sz="4" w:space="0" w:color="auto"/>
            </w:tcBorders>
            <w:shd w:val="clear" w:color="auto" w:fill="auto"/>
            <w:vAlign w:val="bottom"/>
          </w:tcPr>
          <w:p w14:paraId="5EEE87CE" w14:textId="55E08C98" w:rsidR="00610467" w:rsidRPr="004C78D8" w:rsidRDefault="00610467" w:rsidP="00FB7C1F">
            <w:pPr>
              <w:jc w:val="center"/>
              <w:rPr>
                <w:rFonts w:cs="Times New Roman"/>
                <w:sz w:val="18"/>
                <w:szCs w:val="18"/>
              </w:rPr>
            </w:pPr>
            <w:r w:rsidRPr="004C78D8">
              <w:rPr>
                <w:rFonts w:cs="Times New Roman"/>
                <w:color w:val="000000"/>
                <w:sz w:val="18"/>
                <w:szCs w:val="18"/>
              </w:rPr>
              <w:t>6696</w:t>
            </w:r>
          </w:p>
        </w:tc>
      </w:tr>
      <w:tr w:rsidR="00610467" w:rsidRPr="004C78D8" w14:paraId="2164A104" w14:textId="77777777" w:rsidTr="00E35893">
        <w:tc>
          <w:tcPr>
            <w:tcW w:w="999" w:type="pct"/>
            <w:tcBorders>
              <w:top w:val="single" w:sz="4" w:space="0" w:color="auto"/>
              <w:bottom w:val="single" w:sz="4" w:space="0" w:color="auto"/>
              <w:right w:val="single" w:sz="4" w:space="0" w:color="auto"/>
            </w:tcBorders>
          </w:tcPr>
          <w:p w14:paraId="5377E1BF" w14:textId="5F71F106" w:rsidR="00610467" w:rsidRPr="004C78D8" w:rsidRDefault="00610467" w:rsidP="00FB7C1F">
            <w:pPr>
              <w:jc w:val="center"/>
              <w:rPr>
                <w:b/>
                <w:bCs/>
                <w:sz w:val="18"/>
                <w:szCs w:val="18"/>
              </w:rPr>
            </w:pPr>
            <w:r w:rsidRPr="004C78D8">
              <w:rPr>
                <w:b/>
                <w:bCs/>
                <w:sz w:val="18"/>
                <w:szCs w:val="18"/>
              </w:rPr>
              <w:t>Total</w:t>
            </w:r>
          </w:p>
        </w:tc>
        <w:tc>
          <w:tcPr>
            <w:tcW w:w="2000" w:type="pct"/>
            <w:gridSpan w:val="2"/>
            <w:tcBorders>
              <w:top w:val="single" w:sz="4" w:space="0" w:color="auto"/>
              <w:left w:val="single" w:sz="4" w:space="0" w:color="auto"/>
              <w:bottom w:val="single" w:sz="4" w:space="0" w:color="auto"/>
            </w:tcBorders>
          </w:tcPr>
          <w:p w14:paraId="0AA6BD41" w14:textId="1B614ACD" w:rsidR="00610467" w:rsidRPr="004C78D8" w:rsidRDefault="00610467" w:rsidP="00FB7C1F">
            <w:pPr>
              <w:jc w:val="center"/>
              <w:rPr>
                <w:sz w:val="18"/>
                <w:szCs w:val="18"/>
              </w:rPr>
            </w:pPr>
            <w:r w:rsidRPr="004C78D8">
              <w:rPr>
                <w:sz w:val="18"/>
                <w:szCs w:val="18"/>
              </w:rPr>
              <w:t>125,244 (46.5% male)</w:t>
            </w:r>
          </w:p>
        </w:tc>
        <w:tc>
          <w:tcPr>
            <w:tcW w:w="850" w:type="pct"/>
            <w:tcBorders>
              <w:top w:val="nil"/>
              <w:bottom w:val="nil"/>
            </w:tcBorders>
          </w:tcPr>
          <w:p w14:paraId="39B71D76" w14:textId="6923BDA6" w:rsidR="00610467" w:rsidRPr="004C78D8" w:rsidRDefault="00610467" w:rsidP="00FB7C1F">
            <w:pPr>
              <w:jc w:val="center"/>
              <w:rPr>
                <w:sz w:val="18"/>
                <w:szCs w:val="18"/>
              </w:rPr>
            </w:pPr>
            <w:r w:rsidRPr="004C78D8">
              <w:rPr>
                <w:sz w:val="18"/>
                <w:szCs w:val="18"/>
              </w:rPr>
              <w:t>2054</w:t>
            </w:r>
          </w:p>
        </w:tc>
        <w:tc>
          <w:tcPr>
            <w:tcW w:w="1151" w:type="pct"/>
            <w:tcBorders>
              <w:top w:val="nil"/>
              <w:left w:val="nil"/>
              <w:bottom w:val="nil"/>
              <w:right w:val="single" w:sz="4" w:space="0" w:color="auto"/>
            </w:tcBorders>
            <w:shd w:val="clear" w:color="auto" w:fill="auto"/>
            <w:vAlign w:val="bottom"/>
          </w:tcPr>
          <w:p w14:paraId="40F21035" w14:textId="227E91E4" w:rsidR="00610467" w:rsidRPr="004C78D8" w:rsidRDefault="00610467" w:rsidP="00FB7C1F">
            <w:pPr>
              <w:jc w:val="center"/>
              <w:rPr>
                <w:rFonts w:cs="Times New Roman"/>
                <w:sz w:val="18"/>
                <w:szCs w:val="18"/>
              </w:rPr>
            </w:pPr>
            <w:r w:rsidRPr="004C78D8">
              <w:rPr>
                <w:rFonts w:cs="Times New Roman"/>
                <w:color w:val="000000"/>
                <w:sz w:val="18"/>
                <w:szCs w:val="18"/>
              </w:rPr>
              <w:t>6724</w:t>
            </w:r>
          </w:p>
        </w:tc>
      </w:tr>
      <w:tr w:rsidR="00610467" w:rsidRPr="004C78D8" w14:paraId="046A8C23" w14:textId="77777777" w:rsidTr="00E35893">
        <w:tc>
          <w:tcPr>
            <w:tcW w:w="999" w:type="pct"/>
            <w:tcBorders>
              <w:top w:val="single" w:sz="4" w:space="0" w:color="auto"/>
              <w:bottom w:val="nil"/>
              <w:right w:val="nil"/>
            </w:tcBorders>
          </w:tcPr>
          <w:p w14:paraId="5B88F9CA" w14:textId="77777777" w:rsidR="00610467" w:rsidRPr="004C78D8" w:rsidRDefault="00610467" w:rsidP="00FB7C1F">
            <w:pPr>
              <w:jc w:val="left"/>
              <w:rPr>
                <w:sz w:val="18"/>
                <w:szCs w:val="18"/>
              </w:rPr>
            </w:pPr>
          </w:p>
        </w:tc>
        <w:tc>
          <w:tcPr>
            <w:tcW w:w="1000" w:type="pct"/>
            <w:tcBorders>
              <w:top w:val="single" w:sz="4" w:space="0" w:color="auto"/>
              <w:left w:val="nil"/>
              <w:bottom w:val="nil"/>
              <w:right w:val="nil"/>
            </w:tcBorders>
          </w:tcPr>
          <w:p w14:paraId="30E3AB4E" w14:textId="77777777" w:rsidR="00610467" w:rsidRPr="004C78D8" w:rsidRDefault="00610467" w:rsidP="00FB7C1F">
            <w:pPr>
              <w:jc w:val="left"/>
              <w:rPr>
                <w:sz w:val="18"/>
                <w:szCs w:val="18"/>
              </w:rPr>
            </w:pPr>
          </w:p>
        </w:tc>
        <w:tc>
          <w:tcPr>
            <w:tcW w:w="1001" w:type="pct"/>
            <w:tcBorders>
              <w:top w:val="single" w:sz="4" w:space="0" w:color="auto"/>
              <w:left w:val="nil"/>
              <w:bottom w:val="nil"/>
            </w:tcBorders>
          </w:tcPr>
          <w:p w14:paraId="292F8F8D" w14:textId="77777777" w:rsidR="00610467" w:rsidRPr="004C78D8" w:rsidRDefault="00610467" w:rsidP="00FB7C1F">
            <w:pPr>
              <w:jc w:val="left"/>
              <w:rPr>
                <w:sz w:val="18"/>
                <w:szCs w:val="18"/>
              </w:rPr>
            </w:pPr>
          </w:p>
        </w:tc>
        <w:tc>
          <w:tcPr>
            <w:tcW w:w="850" w:type="pct"/>
            <w:tcBorders>
              <w:top w:val="nil"/>
              <w:bottom w:val="nil"/>
            </w:tcBorders>
          </w:tcPr>
          <w:p w14:paraId="20A2E140" w14:textId="7079EBB5" w:rsidR="00610467" w:rsidRPr="004C78D8" w:rsidRDefault="00610467" w:rsidP="00FB7C1F">
            <w:pPr>
              <w:jc w:val="center"/>
              <w:rPr>
                <w:sz w:val="18"/>
                <w:szCs w:val="18"/>
              </w:rPr>
            </w:pPr>
            <w:r w:rsidRPr="004C78D8">
              <w:rPr>
                <w:sz w:val="18"/>
                <w:szCs w:val="18"/>
              </w:rPr>
              <w:t>2055</w:t>
            </w:r>
          </w:p>
        </w:tc>
        <w:tc>
          <w:tcPr>
            <w:tcW w:w="1151" w:type="pct"/>
            <w:tcBorders>
              <w:top w:val="nil"/>
              <w:left w:val="nil"/>
              <w:bottom w:val="nil"/>
              <w:right w:val="single" w:sz="4" w:space="0" w:color="auto"/>
            </w:tcBorders>
            <w:shd w:val="clear" w:color="auto" w:fill="auto"/>
            <w:vAlign w:val="bottom"/>
          </w:tcPr>
          <w:p w14:paraId="23A8239A" w14:textId="6CAF962B" w:rsidR="00610467" w:rsidRPr="004C78D8" w:rsidRDefault="00610467" w:rsidP="00FB7C1F">
            <w:pPr>
              <w:jc w:val="center"/>
              <w:rPr>
                <w:rFonts w:cs="Times New Roman"/>
                <w:sz w:val="18"/>
                <w:szCs w:val="18"/>
              </w:rPr>
            </w:pPr>
            <w:r w:rsidRPr="004C78D8">
              <w:rPr>
                <w:rFonts w:cs="Times New Roman"/>
                <w:color w:val="000000"/>
                <w:sz w:val="18"/>
                <w:szCs w:val="18"/>
              </w:rPr>
              <w:t>6752</w:t>
            </w:r>
          </w:p>
        </w:tc>
      </w:tr>
      <w:tr w:rsidR="00610467" w:rsidRPr="004C78D8" w14:paraId="7C4140AB" w14:textId="77777777" w:rsidTr="00E35893">
        <w:tc>
          <w:tcPr>
            <w:tcW w:w="999" w:type="pct"/>
            <w:tcBorders>
              <w:top w:val="nil"/>
              <w:bottom w:val="nil"/>
              <w:right w:val="nil"/>
            </w:tcBorders>
          </w:tcPr>
          <w:p w14:paraId="5AE27D22" w14:textId="77777777" w:rsidR="00610467" w:rsidRPr="004C78D8" w:rsidRDefault="00610467" w:rsidP="00FB7C1F">
            <w:pPr>
              <w:jc w:val="left"/>
              <w:rPr>
                <w:sz w:val="18"/>
                <w:szCs w:val="18"/>
              </w:rPr>
            </w:pPr>
          </w:p>
        </w:tc>
        <w:tc>
          <w:tcPr>
            <w:tcW w:w="1000" w:type="pct"/>
            <w:tcBorders>
              <w:top w:val="nil"/>
              <w:left w:val="nil"/>
              <w:bottom w:val="nil"/>
              <w:right w:val="nil"/>
            </w:tcBorders>
          </w:tcPr>
          <w:p w14:paraId="3DE75D10" w14:textId="77777777" w:rsidR="00610467" w:rsidRPr="004C78D8" w:rsidRDefault="00610467" w:rsidP="00FB7C1F">
            <w:pPr>
              <w:jc w:val="left"/>
              <w:rPr>
                <w:sz w:val="18"/>
                <w:szCs w:val="18"/>
              </w:rPr>
            </w:pPr>
          </w:p>
        </w:tc>
        <w:tc>
          <w:tcPr>
            <w:tcW w:w="1001" w:type="pct"/>
            <w:tcBorders>
              <w:top w:val="nil"/>
              <w:left w:val="nil"/>
              <w:bottom w:val="nil"/>
            </w:tcBorders>
          </w:tcPr>
          <w:p w14:paraId="6FEA153D" w14:textId="77777777" w:rsidR="00610467" w:rsidRPr="004C78D8" w:rsidRDefault="00610467" w:rsidP="00FB7C1F">
            <w:pPr>
              <w:jc w:val="left"/>
              <w:rPr>
                <w:sz w:val="18"/>
                <w:szCs w:val="18"/>
              </w:rPr>
            </w:pPr>
          </w:p>
        </w:tc>
        <w:tc>
          <w:tcPr>
            <w:tcW w:w="850" w:type="pct"/>
            <w:tcBorders>
              <w:top w:val="nil"/>
              <w:bottom w:val="nil"/>
            </w:tcBorders>
          </w:tcPr>
          <w:p w14:paraId="023DAA9E" w14:textId="60C7DFFD" w:rsidR="00610467" w:rsidRPr="004C78D8" w:rsidRDefault="00610467" w:rsidP="00FB7C1F">
            <w:pPr>
              <w:jc w:val="center"/>
              <w:rPr>
                <w:sz w:val="18"/>
                <w:szCs w:val="18"/>
              </w:rPr>
            </w:pPr>
            <w:r w:rsidRPr="004C78D8">
              <w:rPr>
                <w:sz w:val="18"/>
                <w:szCs w:val="18"/>
              </w:rPr>
              <w:t>2056</w:t>
            </w:r>
          </w:p>
        </w:tc>
        <w:tc>
          <w:tcPr>
            <w:tcW w:w="1151" w:type="pct"/>
            <w:tcBorders>
              <w:top w:val="nil"/>
              <w:left w:val="nil"/>
              <w:bottom w:val="nil"/>
              <w:right w:val="single" w:sz="4" w:space="0" w:color="auto"/>
            </w:tcBorders>
            <w:shd w:val="clear" w:color="auto" w:fill="auto"/>
            <w:vAlign w:val="bottom"/>
          </w:tcPr>
          <w:p w14:paraId="12C720C7" w14:textId="2720CE42" w:rsidR="00610467" w:rsidRPr="004C78D8" w:rsidRDefault="00610467" w:rsidP="00FB7C1F">
            <w:pPr>
              <w:jc w:val="center"/>
              <w:rPr>
                <w:rFonts w:cs="Times New Roman"/>
                <w:sz w:val="18"/>
                <w:szCs w:val="18"/>
              </w:rPr>
            </w:pPr>
            <w:r w:rsidRPr="004C78D8">
              <w:rPr>
                <w:rFonts w:cs="Times New Roman"/>
                <w:color w:val="000000"/>
                <w:sz w:val="18"/>
                <w:szCs w:val="18"/>
              </w:rPr>
              <w:t>6780</w:t>
            </w:r>
          </w:p>
        </w:tc>
      </w:tr>
      <w:tr w:rsidR="00610467" w:rsidRPr="004C78D8" w14:paraId="2B87B70F" w14:textId="77777777" w:rsidTr="00E35893">
        <w:tc>
          <w:tcPr>
            <w:tcW w:w="999" w:type="pct"/>
            <w:tcBorders>
              <w:top w:val="nil"/>
              <w:bottom w:val="nil"/>
              <w:right w:val="nil"/>
            </w:tcBorders>
          </w:tcPr>
          <w:p w14:paraId="4840CC6A" w14:textId="77777777" w:rsidR="00610467" w:rsidRPr="004C78D8" w:rsidRDefault="00610467" w:rsidP="00FB7C1F">
            <w:pPr>
              <w:jc w:val="left"/>
              <w:rPr>
                <w:sz w:val="18"/>
                <w:szCs w:val="18"/>
              </w:rPr>
            </w:pPr>
          </w:p>
        </w:tc>
        <w:tc>
          <w:tcPr>
            <w:tcW w:w="1000" w:type="pct"/>
            <w:tcBorders>
              <w:top w:val="nil"/>
              <w:left w:val="nil"/>
              <w:bottom w:val="nil"/>
              <w:right w:val="nil"/>
            </w:tcBorders>
          </w:tcPr>
          <w:p w14:paraId="78EED7BF" w14:textId="77777777" w:rsidR="00610467" w:rsidRPr="004C78D8" w:rsidRDefault="00610467" w:rsidP="00FB7C1F">
            <w:pPr>
              <w:jc w:val="left"/>
              <w:rPr>
                <w:sz w:val="18"/>
                <w:szCs w:val="18"/>
              </w:rPr>
            </w:pPr>
          </w:p>
        </w:tc>
        <w:tc>
          <w:tcPr>
            <w:tcW w:w="1001" w:type="pct"/>
            <w:tcBorders>
              <w:top w:val="nil"/>
              <w:left w:val="nil"/>
              <w:bottom w:val="nil"/>
            </w:tcBorders>
          </w:tcPr>
          <w:p w14:paraId="7DD7A109" w14:textId="77777777" w:rsidR="00610467" w:rsidRPr="004C78D8" w:rsidRDefault="00610467" w:rsidP="00FB7C1F">
            <w:pPr>
              <w:jc w:val="left"/>
              <w:rPr>
                <w:sz w:val="18"/>
                <w:szCs w:val="18"/>
              </w:rPr>
            </w:pPr>
          </w:p>
        </w:tc>
        <w:tc>
          <w:tcPr>
            <w:tcW w:w="850" w:type="pct"/>
            <w:tcBorders>
              <w:top w:val="nil"/>
              <w:bottom w:val="nil"/>
            </w:tcBorders>
          </w:tcPr>
          <w:p w14:paraId="5449D0C7" w14:textId="4DC54287" w:rsidR="00610467" w:rsidRPr="004C78D8" w:rsidRDefault="00610467" w:rsidP="00FB7C1F">
            <w:pPr>
              <w:jc w:val="center"/>
              <w:rPr>
                <w:sz w:val="18"/>
                <w:szCs w:val="18"/>
              </w:rPr>
            </w:pPr>
            <w:r w:rsidRPr="004C78D8">
              <w:rPr>
                <w:sz w:val="18"/>
                <w:szCs w:val="18"/>
              </w:rPr>
              <w:t>2057</w:t>
            </w:r>
          </w:p>
        </w:tc>
        <w:tc>
          <w:tcPr>
            <w:tcW w:w="1151" w:type="pct"/>
            <w:tcBorders>
              <w:top w:val="nil"/>
              <w:left w:val="nil"/>
              <w:bottom w:val="nil"/>
              <w:right w:val="single" w:sz="4" w:space="0" w:color="auto"/>
            </w:tcBorders>
            <w:shd w:val="clear" w:color="auto" w:fill="auto"/>
            <w:vAlign w:val="bottom"/>
          </w:tcPr>
          <w:p w14:paraId="2EDB3B89" w14:textId="30957D57" w:rsidR="00610467" w:rsidRPr="004C78D8" w:rsidRDefault="00610467" w:rsidP="00FB7C1F">
            <w:pPr>
              <w:jc w:val="center"/>
              <w:rPr>
                <w:rFonts w:cs="Times New Roman"/>
                <w:sz w:val="18"/>
                <w:szCs w:val="18"/>
              </w:rPr>
            </w:pPr>
            <w:r w:rsidRPr="004C78D8">
              <w:rPr>
                <w:rFonts w:cs="Times New Roman"/>
                <w:color w:val="000000"/>
                <w:sz w:val="18"/>
                <w:szCs w:val="18"/>
              </w:rPr>
              <w:t>6809</w:t>
            </w:r>
          </w:p>
        </w:tc>
      </w:tr>
      <w:tr w:rsidR="00610467" w:rsidRPr="004C78D8" w14:paraId="2B497FB1" w14:textId="77777777" w:rsidTr="00E35893">
        <w:tc>
          <w:tcPr>
            <w:tcW w:w="999" w:type="pct"/>
            <w:tcBorders>
              <w:top w:val="nil"/>
              <w:bottom w:val="nil"/>
              <w:right w:val="nil"/>
            </w:tcBorders>
          </w:tcPr>
          <w:p w14:paraId="03FD32E4" w14:textId="77777777" w:rsidR="00610467" w:rsidRPr="004C78D8" w:rsidRDefault="00610467" w:rsidP="00FB7C1F">
            <w:pPr>
              <w:jc w:val="left"/>
              <w:rPr>
                <w:sz w:val="18"/>
                <w:szCs w:val="18"/>
              </w:rPr>
            </w:pPr>
          </w:p>
        </w:tc>
        <w:tc>
          <w:tcPr>
            <w:tcW w:w="1000" w:type="pct"/>
            <w:tcBorders>
              <w:top w:val="nil"/>
              <w:left w:val="nil"/>
              <w:bottom w:val="nil"/>
              <w:right w:val="nil"/>
            </w:tcBorders>
          </w:tcPr>
          <w:p w14:paraId="2395F74C" w14:textId="77777777" w:rsidR="00610467" w:rsidRPr="004C78D8" w:rsidRDefault="00610467" w:rsidP="00FB7C1F">
            <w:pPr>
              <w:jc w:val="left"/>
              <w:rPr>
                <w:sz w:val="18"/>
                <w:szCs w:val="18"/>
              </w:rPr>
            </w:pPr>
          </w:p>
        </w:tc>
        <w:tc>
          <w:tcPr>
            <w:tcW w:w="1001" w:type="pct"/>
            <w:tcBorders>
              <w:top w:val="nil"/>
              <w:left w:val="nil"/>
              <w:bottom w:val="nil"/>
            </w:tcBorders>
          </w:tcPr>
          <w:p w14:paraId="4B3CE75D" w14:textId="77777777" w:rsidR="00610467" w:rsidRPr="004C78D8" w:rsidRDefault="00610467" w:rsidP="00FB7C1F">
            <w:pPr>
              <w:jc w:val="left"/>
              <w:rPr>
                <w:sz w:val="18"/>
                <w:szCs w:val="18"/>
              </w:rPr>
            </w:pPr>
          </w:p>
        </w:tc>
        <w:tc>
          <w:tcPr>
            <w:tcW w:w="850" w:type="pct"/>
            <w:tcBorders>
              <w:top w:val="nil"/>
              <w:bottom w:val="nil"/>
            </w:tcBorders>
          </w:tcPr>
          <w:p w14:paraId="7A84C2EF" w14:textId="56D2F9A5" w:rsidR="00610467" w:rsidRPr="004C78D8" w:rsidRDefault="00610467" w:rsidP="00FB7C1F">
            <w:pPr>
              <w:jc w:val="center"/>
              <w:rPr>
                <w:sz w:val="18"/>
                <w:szCs w:val="18"/>
              </w:rPr>
            </w:pPr>
            <w:r w:rsidRPr="004C78D8">
              <w:rPr>
                <w:sz w:val="18"/>
                <w:szCs w:val="18"/>
              </w:rPr>
              <w:t>2058</w:t>
            </w:r>
          </w:p>
        </w:tc>
        <w:tc>
          <w:tcPr>
            <w:tcW w:w="1151" w:type="pct"/>
            <w:tcBorders>
              <w:top w:val="nil"/>
              <w:left w:val="nil"/>
              <w:bottom w:val="nil"/>
              <w:right w:val="single" w:sz="4" w:space="0" w:color="auto"/>
            </w:tcBorders>
            <w:shd w:val="clear" w:color="auto" w:fill="auto"/>
            <w:vAlign w:val="bottom"/>
          </w:tcPr>
          <w:p w14:paraId="52373718" w14:textId="71F63165" w:rsidR="00610467" w:rsidRPr="004C78D8" w:rsidRDefault="00610467" w:rsidP="00FB7C1F">
            <w:pPr>
              <w:jc w:val="center"/>
              <w:rPr>
                <w:rFonts w:cs="Times New Roman"/>
                <w:sz w:val="18"/>
                <w:szCs w:val="18"/>
              </w:rPr>
            </w:pPr>
            <w:r w:rsidRPr="004C78D8">
              <w:rPr>
                <w:rFonts w:cs="Times New Roman"/>
                <w:color w:val="000000"/>
                <w:sz w:val="18"/>
                <w:szCs w:val="18"/>
              </w:rPr>
              <w:t>6837</w:t>
            </w:r>
          </w:p>
        </w:tc>
      </w:tr>
      <w:tr w:rsidR="00610467" w:rsidRPr="004C78D8" w14:paraId="0E41B4CD" w14:textId="77777777" w:rsidTr="00E35893">
        <w:tc>
          <w:tcPr>
            <w:tcW w:w="999" w:type="pct"/>
            <w:tcBorders>
              <w:top w:val="nil"/>
              <w:bottom w:val="nil"/>
              <w:right w:val="nil"/>
            </w:tcBorders>
          </w:tcPr>
          <w:p w14:paraId="47EB9097" w14:textId="77777777" w:rsidR="00610467" w:rsidRPr="004C78D8" w:rsidRDefault="00610467" w:rsidP="00FB7C1F">
            <w:pPr>
              <w:jc w:val="left"/>
              <w:rPr>
                <w:sz w:val="18"/>
                <w:szCs w:val="18"/>
              </w:rPr>
            </w:pPr>
          </w:p>
        </w:tc>
        <w:tc>
          <w:tcPr>
            <w:tcW w:w="1000" w:type="pct"/>
            <w:tcBorders>
              <w:top w:val="nil"/>
              <w:left w:val="nil"/>
              <w:bottom w:val="nil"/>
              <w:right w:val="nil"/>
            </w:tcBorders>
          </w:tcPr>
          <w:p w14:paraId="3316C287" w14:textId="77777777" w:rsidR="00610467" w:rsidRPr="004C78D8" w:rsidRDefault="00610467" w:rsidP="00FB7C1F">
            <w:pPr>
              <w:jc w:val="left"/>
              <w:rPr>
                <w:sz w:val="18"/>
                <w:szCs w:val="18"/>
              </w:rPr>
            </w:pPr>
          </w:p>
        </w:tc>
        <w:tc>
          <w:tcPr>
            <w:tcW w:w="1001" w:type="pct"/>
            <w:tcBorders>
              <w:top w:val="nil"/>
              <w:left w:val="nil"/>
              <w:bottom w:val="nil"/>
            </w:tcBorders>
          </w:tcPr>
          <w:p w14:paraId="0B318E70" w14:textId="77777777" w:rsidR="00610467" w:rsidRPr="004C78D8" w:rsidRDefault="00610467" w:rsidP="00FB7C1F">
            <w:pPr>
              <w:jc w:val="left"/>
              <w:rPr>
                <w:sz w:val="18"/>
                <w:szCs w:val="18"/>
              </w:rPr>
            </w:pPr>
          </w:p>
        </w:tc>
        <w:tc>
          <w:tcPr>
            <w:tcW w:w="850" w:type="pct"/>
            <w:tcBorders>
              <w:top w:val="nil"/>
              <w:bottom w:val="nil"/>
            </w:tcBorders>
          </w:tcPr>
          <w:p w14:paraId="0732068E" w14:textId="3E5C603B" w:rsidR="00610467" w:rsidRPr="004C78D8" w:rsidRDefault="00610467" w:rsidP="00FB7C1F">
            <w:pPr>
              <w:jc w:val="center"/>
              <w:rPr>
                <w:sz w:val="18"/>
                <w:szCs w:val="18"/>
              </w:rPr>
            </w:pPr>
            <w:r w:rsidRPr="004C78D8">
              <w:rPr>
                <w:sz w:val="18"/>
                <w:szCs w:val="18"/>
              </w:rPr>
              <w:t>2059</w:t>
            </w:r>
          </w:p>
        </w:tc>
        <w:tc>
          <w:tcPr>
            <w:tcW w:w="1151" w:type="pct"/>
            <w:tcBorders>
              <w:top w:val="nil"/>
              <w:left w:val="nil"/>
              <w:bottom w:val="nil"/>
              <w:right w:val="single" w:sz="4" w:space="0" w:color="auto"/>
            </w:tcBorders>
            <w:shd w:val="clear" w:color="auto" w:fill="auto"/>
            <w:vAlign w:val="bottom"/>
          </w:tcPr>
          <w:p w14:paraId="25321AFA" w14:textId="0CD1D1C7" w:rsidR="00610467" w:rsidRPr="004C78D8" w:rsidRDefault="00610467" w:rsidP="00FB7C1F">
            <w:pPr>
              <w:jc w:val="center"/>
              <w:rPr>
                <w:rFonts w:cs="Times New Roman"/>
                <w:sz w:val="18"/>
                <w:szCs w:val="18"/>
              </w:rPr>
            </w:pPr>
            <w:r w:rsidRPr="004C78D8">
              <w:rPr>
                <w:rFonts w:cs="Times New Roman"/>
                <w:color w:val="000000"/>
                <w:sz w:val="18"/>
                <w:szCs w:val="18"/>
              </w:rPr>
              <w:t>6866</w:t>
            </w:r>
          </w:p>
        </w:tc>
      </w:tr>
      <w:tr w:rsidR="00610467" w:rsidRPr="004C78D8" w14:paraId="76329D10" w14:textId="77777777" w:rsidTr="00E35893">
        <w:tc>
          <w:tcPr>
            <w:tcW w:w="999" w:type="pct"/>
            <w:tcBorders>
              <w:top w:val="nil"/>
              <w:bottom w:val="nil"/>
              <w:right w:val="nil"/>
            </w:tcBorders>
          </w:tcPr>
          <w:p w14:paraId="487FC803" w14:textId="77777777" w:rsidR="00610467" w:rsidRPr="004C78D8" w:rsidRDefault="00610467" w:rsidP="00FB7C1F">
            <w:pPr>
              <w:jc w:val="left"/>
              <w:rPr>
                <w:sz w:val="18"/>
                <w:szCs w:val="18"/>
              </w:rPr>
            </w:pPr>
          </w:p>
        </w:tc>
        <w:tc>
          <w:tcPr>
            <w:tcW w:w="1000" w:type="pct"/>
            <w:tcBorders>
              <w:top w:val="nil"/>
              <w:left w:val="nil"/>
              <w:bottom w:val="nil"/>
              <w:right w:val="nil"/>
            </w:tcBorders>
          </w:tcPr>
          <w:p w14:paraId="6928EF75" w14:textId="77777777" w:rsidR="00610467" w:rsidRPr="004C78D8" w:rsidRDefault="00610467" w:rsidP="00FB7C1F">
            <w:pPr>
              <w:jc w:val="left"/>
              <w:rPr>
                <w:sz w:val="18"/>
                <w:szCs w:val="18"/>
              </w:rPr>
            </w:pPr>
          </w:p>
        </w:tc>
        <w:tc>
          <w:tcPr>
            <w:tcW w:w="1001" w:type="pct"/>
            <w:tcBorders>
              <w:top w:val="nil"/>
              <w:left w:val="nil"/>
              <w:bottom w:val="nil"/>
            </w:tcBorders>
          </w:tcPr>
          <w:p w14:paraId="62774992" w14:textId="77777777" w:rsidR="00610467" w:rsidRPr="004C78D8" w:rsidRDefault="00610467" w:rsidP="00FB7C1F">
            <w:pPr>
              <w:jc w:val="left"/>
              <w:rPr>
                <w:sz w:val="18"/>
                <w:szCs w:val="18"/>
              </w:rPr>
            </w:pPr>
          </w:p>
        </w:tc>
        <w:tc>
          <w:tcPr>
            <w:tcW w:w="850" w:type="pct"/>
            <w:tcBorders>
              <w:top w:val="nil"/>
              <w:bottom w:val="single" w:sz="4" w:space="0" w:color="auto"/>
            </w:tcBorders>
          </w:tcPr>
          <w:p w14:paraId="154E5FBA" w14:textId="23ED17E8" w:rsidR="00610467" w:rsidRPr="004C78D8" w:rsidRDefault="00610467" w:rsidP="00FB7C1F">
            <w:pPr>
              <w:jc w:val="center"/>
              <w:rPr>
                <w:sz w:val="18"/>
                <w:szCs w:val="18"/>
              </w:rPr>
            </w:pPr>
            <w:r w:rsidRPr="004C78D8">
              <w:rPr>
                <w:sz w:val="18"/>
                <w:szCs w:val="18"/>
              </w:rPr>
              <w:t>2060</w:t>
            </w:r>
          </w:p>
        </w:tc>
        <w:tc>
          <w:tcPr>
            <w:tcW w:w="1151" w:type="pct"/>
            <w:tcBorders>
              <w:top w:val="nil"/>
              <w:left w:val="nil"/>
              <w:bottom w:val="single" w:sz="4" w:space="0" w:color="auto"/>
              <w:right w:val="single" w:sz="4" w:space="0" w:color="auto"/>
            </w:tcBorders>
            <w:shd w:val="clear" w:color="auto" w:fill="auto"/>
            <w:vAlign w:val="bottom"/>
          </w:tcPr>
          <w:p w14:paraId="7ABB1572" w14:textId="686969ED" w:rsidR="00610467" w:rsidRPr="004C78D8" w:rsidRDefault="00610467" w:rsidP="00FB7C1F">
            <w:pPr>
              <w:jc w:val="center"/>
              <w:rPr>
                <w:rFonts w:cs="Times New Roman"/>
                <w:sz w:val="18"/>
                <w:szCs w:val="18"/>
              </w:rPr>
            </w:pPr>
            <w:r w:rsidRPr="004C78D8">
              <w:rPr>
                <w:rFonts w:cs="Times New Roman"/>
                <w:color w:val="000000"/>
                <w:sz w:val="18"/>
                <w:szCs w:val="18"/>
              </w:rPr>
              <w:t>6895</w:t>
            </w:r>
          </w:p>
        </w:tc>
      </w:tr>
      <w:tr w:rsidR="00F45E67" w:rsidRPr="004C78D8" w14:paraId="71D51885" w14:textId="77777777" w:rsidTr="00E35893">
        <w:tc>
          <w:tcPr>
            <w:tcW w:w="999" w:type="pct"/>
            <w:tcBorders>
              <w:top w:val="nil"/>
              <w:bottom w:val="single" w:sz="4" w:space="0" w:color="auto"/>
              <w:right w:val="nil"/>
            </w:tcBorders>
          </w:tcPr>
          <w:p w14:paraId="16F7EE98" w14:textId="77777777" w:rsidR="00F45E67" w:rsidRPr="004C78D8" w:rsidRDefault="00F45E67" w:rsidP="00FB7C1F">
            <w:pPr>
              <w:jc w:val="left"/>
              <w:rPr>
                <w:sz w:val="18"/>
                <w:szCs w:val="18"/>
              </w:rPr>
            </w:pPr>
          </w:p>
        </w:tc>
        <w:tc>
          <w:tcPr>
            <w:tcW w:w="1000" w:type="pct"/>
            <w:tcBorders>
              <w:top w:val="nil"/>
              <w:left w:val="nil"/>
              <w:bottom w:val="single" w:sz="4" w:space="0" w:color="auto"/>
              <w:right w:val="nil"/>
            </w:tcBorders>
          </w:tcPr>
          <w:p w14:paraId="4088ED8C" w14:textId="77777777" w:rsidR="00F45E67" w:rsidRPr="004C78D8" w:rsidRDefault="00F45E67" w:rsidP="00FB7C1F">
            <w:pPr>
              <w:jc w:val="left"/>
              <w:rPr>
                <w:sz w:val="18"/>
                <w:szCs w:val="18"/>
              </w:rPr>
            </w:pPr>
          </w:p>
        </w:tc>
        <w:tc>
          <w:tcPr>
            <w:tcW w:w="1001" w:type="pct"/>
            <w:tcBorders>
              <w:top w:val="nil"/>
              <w:left w:val="nil"/>
              <w:bottom w:val="single" w:sz="4" w:space="0" w:color="auto"/>
            </w:tcBorders>
          </w:tcPr>
          <w:p w14:paraId="600DF3C4" w14:textId="77777777" w:rsidR="00F45E67" w:rsidRPr="004C78D8" w:rsidRDefault="00F45E67" w:rsidP="00FB7C1F">
            <w:pPr>
              <w:jc w:val="left"/>
              <w:rPr>
                <w:sz w:val="18"/>
                <w:szCs w:val="18"/>
              </w:rPr>
            </w:pPr>
          </w:p>
        </w:tc>
        <w:tc>
          <w:tcPr>
            <w:tcW w:w="850" w:type="pct"/>
            <w:tcBorders>
              <w:top w:val="nil"/>
              <w:bottom w:val="single" w:sz="4" w:space="0" w:color="auto"/>
            </w:tcBorders>
          </w:tcPr>
          <w:p w14:paraId="124D933A" w14:textId="1D01BF71" w:rsidR="00F45E67" w:rsidRPr="004C78D8" w:rsidRDefault="00F45E67" w:rsidP="00FB7C1F">
            <w:pPr>
              <w:jc w:val="center"/>
              <w:rPr>
                <w:b/>
                <w:bCs/>
                <w:sz w:val="18"/>
                <w:szCs w:val="18"/>
              </w:rPr>
            </w:pPr>
            <w:r w:rsidRPr="004C78D8">
              <w:rPr>
                <w:b/>
                <w:bCs/>
                <w:sz w:val="18"/>
                <w:szCs w:val="18"/>
              </w:rPr>
              <w:t>Total</w:t>
            </w:r>
          </w:p>
        </w:tc>
        <w:tc>
          <w:tcPr>
            <w:tcW w:w="1151" w:type="pct"/>
            <w:tcBorders>
              <w:top w:val="nil"/>
              <w:left w:val="nil"/>
              <w:bottom w:val="single" w:sz="4" w:space="0" w:color="auto"/>
              <w:right w:val="single" w:sz="4" w:space="0" w:color="auto"/>
            </w:tcBorders>
            <w:shd w:val="clear" w:color="auto" w:fill="auto"/>
            <w:vAlign w:val="bottom"/>
          </w:tcPr>
          <w:p w14:paraId="4515D68F" w14:textId="2E95E403" w:rsidR="00F45E67" w:rsidRPr="004C78D8" w:rsidRDefault="00F45E67" w:rsidP="00FB7C1F">
            <w:pPr>
              <w:jc w:val="center"/>
              <w:rPr>
                <w:rFonts w:cs="Times New Roman"/>
                <w:color w:val="000000"/>
                <w:sz w:val="18"/>
                <w:szCs w:val="18"/>
              </w:rPr>
            </w:pPr>
            <w:r w:rsidRPr="004C78D8">
              <w:rPr>
                <w:rFonts w:cs="Times New Roman"/>
                <w:color w:val="000000"/>
                <w:sz w:val="18"/>
                <w:szCs w:val="18"/>
              </w:rPr>
              <w:t>259,950 (48.6% male)</w:t>
            </w:r>
          </w:p>
        </w:tc>
      </w:tr>
      <w:tr w:rsidR="00610467" w:rsidRPr="004C78D8" w14:paraId="2E8CD6C4" w14:textId="77777777" w:rsidTr="00E35893">
        <w:tc>
          <w:tcPr>
            <w:tcW w:w="5000" w:type="pct"/>
            <w:gridSpan w:val="5"/>
            <w:tcBorders>
              <w:top w:val="single" w:sz="4" w:space="0" w:color="auto"/>
              <w:right w:val="single" w:sz="4" w:space="0" w:color="auto"/>
            </w:tcBorders>
          </w:tcPr>
          <w:p w14:paraId="14CD99AA" w14:textId="3CA7B41F" w:rsidR="00610467" w:rsidRPr="004C78D8" w:rsidRDefault="00610467" w:rsidP="00FB7C1F">
            <w:pPr>
              <w:jc w:val="left"/>
              <w:rPr>
                <w:rFonts w:cs="Times New Roman"/>
                <w:color w:val="000000"/>
                <w:sz w:val="20"/>
                <w:szCs w:val="20"/>
              </w:rPr>
            </w:pPr>
            <w:r w:rsidRPr="004C78D8">
              <w:rPr>
                <w:rFonts w:cs="Times New Roman"/>
                <w:color w:val="000000"/>
                <w:sz w:val="18"/>
                <w:szCs w:val="18"/>
                <w:vertAlign w:val="superscript"/>
              </w:rPr>
              <w:t>1</w:t>
            </w:r>
            <w:r w:rsidRPr="004C78D8">
              <w:rPr>
                <w:rFonts w:cs="Times New Roman"/>
                <w:color w:val="000000"/>
                <w:sz w:val="18"/>
                <w:szCs w:val="18"/>
              </w:rPr>
              <w:t xml:space="preserve"> No disaggregated data </w:t>
            </w:r>
            <w:r w:rsidR="00BD5940" w:rsidRPr="004C78D8">
              <w:rPr>
                <w:rFonts w:cs="Times New Roman"/>
                <w:color w:val="000000"/>
                <w:sz w:val="18"/>
                <w:szCs w:val="18"/>
              </w:rPr>
              <w:t xml:space="preserve">by integer age were available </w:t>
            </w:r>
            <w:r w:rsidRPr="004C78D8">
              <w:rPr>
                <w:rFonts w:cs="Times New Roman"/>
                <w:color w:val="000000"/>
                <w:sz w:val="18"/>
                <w:szCs w:val="18"/>
              </w:rPr>
              <w:t>for those aged 90 and over from the O</w:t>
            </w:r>
            <w:r w:rsidR="00707DCA" w:rsidRPr="004C78D8">
              <w:rPr>
                <w:rFonts w:cs="Times New Roman"/>
                <w:color w:val="000000"/>
                <w:sz w:val="18"/>
                <w:szCs w:val="18"/>
              </w:rPr>
              <w:t>ffice for National Statistics</w:t>
            </w:r>
            <w:r w:rsidRPr="004C78D8">
              <w:rPr>
                <w:rFonts w:cs="Times New Roman"/>
                <w:color w:val="000000"/>
                <w:sz w:val="18"/>
                <w:szCs w:val="18"/>
              </w:rPr>
              <w:t xml:space="preserve"> data </w:t>
            </w:r>
            <w:r w:rsidR="00707DCA" w:rsidRPr="004C78D8">
              <w:rPr>
                <w:rFonts w:cs="Times New Roman"/>
                <w:color w:val="000000"/>
                <w:sz w:val="18"/>
                <w:szCs w:val="18"/>
              </w:rPr>
              <w:fldChar w:fldCharType="begin"/>
            </w:r>
            <w:r w:rsidR="00C630FC" w:rsidRPr="004C78D8">
              <w:rPr>
                <w:rFonts w:cs="Times New Roman"/>
                <w:color w:val="000000"/>
                <w:sz w:val="18"/>
                <w:szCs w:val="18"/>
              </w:rPr>
              <w:instrText xml:space="preserve"> ADDIN EN.CITE &lt;EndNote&gt;&lt;Cite&gt;&lt;Author&gt;Office for National Statistics&lt;/Author&gt;&lt;Year&gt;2020&lt;/Year&gt;&lt;RecNum&gt;137&lt;/RecNum&gt;&lt;DisplayText&gt;[387]&lt;/DisplayText&gt;&lt;record&gt;&lt;rec-number&gt;137&lt;/rec-number&gt;&lt;foreign-keys&gt;&lt;key app="EN" db-id="tdtrdw9aepptzbefsat599syza29sxsd2wsp" timestamp="1599839778"&gt;137&lt;/key&gt;&lt;/foreign-keys&gt;&lt;ref-type name="Journal Article"&gt;17&lt;/ref-type&gt;&lt;contributors&gt;&lt;authors&gt;&lt;author&gt;Office for National Statistics,&lt;/author&gt;&lt;/authors&gt;&lt;/contributors&gt;&lt;titles&gt;&lt;title&gt;Estimates of the population for the UK, England and Wales, Scotland and Northern Ireland (Release date: 24 June 2020)&lt;/title&gt;&lt;/titles&gt;&lt;dates&gt;&lt;year&gt;2020&lt;/year&gt;&lt;/dates&gt;&lt;urls&gt;&lt;/urls&gt;&lt;/record&gt;&lt;/Cite&gt;&lt;/EndNote&gt;</w:instrText>
            </w:r>
            <w:r w:rsidR="00707DCA" w:rsidRPr="004C78D8">
              <w:rPr>
                <w:rFonts w:cs="Times New Roman"/>
                <w:color w:val="000000"/>
                <w:sz w:val="18"/>
                <w:szCs w:val="18"/>
              </w:rPr>
              <w:fldChar w:fldCharType="separate"/>
            </w:r>
            <w:r w:rsidR="00C630FC" w:rsidRPr="004C78D8">
              <w:rPr>
                <w:rFonts w:cs="Times New Roman"/>
                <w:noProof/>
                <w:color w:val="000000"/>
                <w:sz w:val="18"/>
                <w:szCs w:val="18"/>
              </w:rPr>
              <w:t>[387]</w:t>
            </w:r>
            <w:r w:rsidR="00707DCA" w:rsidRPr="004C78D8">
              <w:rPr>
                <w:rFonts w:cs="Times New Roman"/>
                <w:color w:val="000000"/>
                <w:sz w:val="18"/>
                <w:szCs w:val="18"/>
              </w:rPr>
              <w:fldChar w:fldCharType="end"/>
            </w:r>
            <w:r w:rsidRPr="004C78D8">
              <w:rPr>
                <w:rFonts w:cs="Times New Roman"/>
                <w:color w:val="000000"/>
                <w:sz w:val="18"/>
                <w:szCs w:val="18"/>
              </w:rPr>
              <w:t xml:space="preserve"> or the English Longitudinal Study in Ageing</w:t>
            </w:r>
            <w:r w:rsidR="00D12B99" w:rsidRPr="004C78D8">
              <w:rPr>
                <w:rFonts w:cs="Times New Roman"/>
                <w:color w:val="000000"/>
                <w:sz w:val="18"/>
                <w:szCs w:val="18"/>
              </w:rPr>
              <w:t>.</w:t>
            </w:r>
          </w:p>
        </w:tc>
      </w:tr>
    </w:tbl>
    <w:p w14:paraId="21F21FEB" w14:textId="77777777" w:rsidR="006D7C89" w:rsidRPr="004C78D8" w:rsidRDefault="006D7C89" w:rsidP="00FB7C1F"/>
    <w:p w14:paraId="35E8AC7A" w14:textId="158ECEA1" w:rsidR="00242462" w:rsidRPr="004C78D8" w:rsidRDefault="005C25B2" w:rsidP="00FB7C1F">
      <w:r w:rsidRPr="004C78D8">
        <w:t>The sizes of incoming cohorts aged 60 were estimated using the ONS projections for each year between 2022 and 20</w:t>
      </w:r>
      <w:r w:rsidR="00F1697D" w:rsidRPr="004C78D8">
        <w:t>43</w:t>
      </w:r>
      <w:r w:rsidR="00707DCA" w:rsidRPr="004C78D8">
        <w:t xml:space="preserve"> </w:t>
      </w:r>
      <w:r w:rsidR="00707DCA" w:rsidRPr="004C78D8">
        <w:fldChar w:fldCharType="begin"/>
      </w:r>
      <w:r w:rsidR="00C630FC" w:rsidRPr="004C78D8">
        <w:instrText xml:space="preserve"> ADDIN EN.CITE &lt;EndNote&gt;&lt;Cite&gt;&lt;Author&gt;Office for National Statistics&lt;/Author&gt;&lt;Year&gt;2020&lt;/Year&gt;&lt;RecNum&gt;136&lt;/RecNum&gt;&lt;DisplayText&gt;[389]&lt;/DisplayText&gt;&lt;record&gt;&lt;rec-number&gt;136&lt;/rec-number&gt;&lt;foreign-keys&gt;&lt;key app="EN" db-id="tdtrdw9aepptzbefsat599syza29sxsd2wsp" timestamp="1599839691"&gt;136&lt;/key&gt;&lt;/foreign-keys&gt;&lt;ref-type name="Journal Article"&gt;17&lt;/ref-type&gt;&lt;contributors&gt;&lt;authors&gt;&lt;author&gt;Office for National Statistics,&lt;/author&gt;&lt;/authors&gt;&lt;/contributors&gt;&lt;titles&gt;&lt;title&gt;2018-based subnational principal population projections for local authorities and higher administrative areas in England&lt;/title&gt;&lt;/titles&gt;&lt;dates&gt;&lt;year&gt;2020&lt;/year&gt;&lt;/dates&gt;&lt;urls&gt;&lt;/urls&gt;&lt;/record&gt;&lt;/Cite&gt;&lt;/EndNote&gt;</w:instrText>
      </w:r>
      <w:r w:rsidR="00707DCA" w:rsidRPr="004C78D8">
        <w:fldChar w:fldCharType="separate"/>
      </w:r>
      <w:r w:rsidR="00C630FC" w:rsidRPr="004C78D8">
        <w:rPr>
          <w:noProof/>
        </w:rPr>
        <w:t>[389]</w:t>
      </w:r>
      <w:r w:rsidR="00707DCA" w:rsidRPr="004C78D8">
        <w:fldChar w:fldCharType="end"/>
      </w:r>
      <w:r w:rsidR="00A255EB" w:rsidRPr="004C78D8">
        <w:t>,</w:t>
      </w:r>
      <w:r w:rsidRPr="004C78D8">
        <w:t xml:space="preserve"> shown in </w:t>
      </w:r>
      <w:r w:rsidR="00707DCA" w:rsidRPr="004C78D8">
        <w:t xml:space="preserve">the </w:t>
      </w:r>
      <w:r w:rsidRPr="004C78D8">
        <w:t xml:space="preserve">last two columns of Table </w:t>
      </w:r>
      <w:r w:rsidR="00F53444" w:rsidRPr="004C78D8">
        <w:t>5</w:t>
      </w:r>
      <w:r w:rsidRPr="004C78D8">
        <w:t>.</w:t>
      </w:r>
      <w:r w:rsidR="002C6CD8" w:rsidRPr="004C78D8">
        <w:t>4</w:t>
      </w:r>
      <w:r w:rsidRPr="004C78D8">
        <w:t xml:space="preserve">. For </w:t>
      </w:r>
      <w:r w:rsidR="00F1697D" w:rsidRPr="004C78D8">
        <w:t>the period</w:t>
      </w:r>
      <w:r w:rsidRPr="004C78D8">
        <w:t xml:space="preserve"> after 2043, the average sex-specific annual growth rates over the period 2018-2043 (0.36% for male and 0.48% for female) were assumed to hold</w:t>
      </w:r>
      <w:r w:rsidR="00F1697D" w:rsidRPr="004C78D8">
        <w:t xml:space="preserve"> until 2060</w:t>
      </w:r>
      <w:r w:rsidRPr="004C78D8">
        <w:t xml:space="preserve">. </w:t>
      </w:r>
      <w:r w:rsidR="00946AE3" w:rsidRPr="004C78D8">
        <w:t xml:space="preserve">Each new cohort entered the model at the start of </w:t>
      </w:r>
      <w:r w:rsidR="00E779D1" w:rsidRPr="004C78D8">
        <w:t>each</w:t>
      </w:r>
      <w:r w:rsidR="00946AE3" w:rsidRPr="004C78D8">
        <w:t xml:space="preserve"> cycle</w:t>
      </w:r>
      <w:r w:rsidR="00E779D1" w:rsidRPr="004C78D8">
        <w:t xml:space="preserve">, and </w:t>
      </w:r>
      <w:r w:rsidRPr="004C78D8">
        <w:t xml:space="preserve">48.6% of </w:t>
      </w:r>
      <w:r w:rsidR="00E779D1" w:rsidRPr="004C78D8">
        <w:t>them</w:t>
      </w:r>
      <w:r w:rsidRPr="004C78D8">
        <w:t xml:space="preserve"> were </w:t>
      </w:r>
      <w:r w:rsidR="00946AE3" w:rsidRPr="004C78D8">
        <w:t>assigned</w:t>
      </w:r>
      <w:r w:rsidRPr="004C78D8">
        <w:t xml:space="preserve"> male according to the average sex ratio </w:t>
      </w:r>
      <w:r w:rsidR="00E779D1" w:rsidRPr="004C78D8">
        <w:t xml:space="preserve">reported by ONS </w:t>
      </w:r>
      <w:r w:rsidR="00707DCA" w:rsidRPr="004C78D8">
        <w:fldChar w:fldCharType="begin"/>
      </w:r>
      <w:r w:rsidR="00C630FC" w:rsidRPr="004C78D8">
        <w:instrText xml:space="preserve"> ADDIN EN.CITE &lt;EndNote&gt;&lt;Cite&gt;&lt;Author&gt;Office for National Statistics&lt;/Author&gt;&lt;Year&gt;2020&lt;/Year&gt;&lt;RecNum&gt;136&lt;/RecNum&gt;&lt;DisplayText&gt;[389]&lt;/DisplayText&gt;&lt;record&gt;&lt;rec-number&gt;136&lt;/rec-number&gt;&lt;foreign-keys&gt;&lt;key app="EN" db-id="tdtrdw9aepptzbefsat599syza29sxsd2wsp" timestamp="1599839691"&gt;136&lt;/key&gt;&lt;/foreign-keys&gt;&lt;ref-type name="Journal Article"&gt;17&lt;/ref-type&gt;&lt;contributors&gt;&lt;authors&gt;&lt;author&gt;Office for National Statistics,&lt;/author&gt;&lt;/authors&gt;&lt;/contributors&gt;&lt;titles&gt;&lt;title&gt;2018-based subnational principal population projections for local authorities and higher administrative areas in England&lt;/title&gt;&lt;/titles&gt;&lt;dates&gt;&lt;year&gt;2020&lt;/year&gt;&lt;/dates&gt;&lt;urls&gt;&lt;/urls&gt;&lt;/record&gt;&lt;/Cite&gt;&lt;/EndNote&gt;</w:instrText>
      </w:r>
      <w:r w:rsidR="00707DCA" w:rsidRPr="004C78D8">
        <w:fldChar w:fldCharType="separate"/>
      </w:r>
      <w:r w:rsidR="00C630FC" w:rsidRPr="004C78D8">
        <w:rPr>
          <w:noProof/>
        </w:rPr>
        <w:t>[389]</w:t>
      </w:r>
      <w:r w:rsidR="00707DCA" w:rsidRPr="004C78D8">
        <w:fldChar w:fldCharType="end"/>
      </w:r>
      <w:r w:rsidRPr="004C78D8">
        <w:t xml:space="preserve">. </w:t>
      </w:r>
    </w:p>
    <w:p w14:paraId="0E17A47C" w14:textId="2299B368" w:rsidR="005C50CC" w:rsidRPr="004C78D8" w:rsidRDefault="00F53444" w:rsidP="00FB7C1F">
      <w:pPr>
        <w:pStyle w:val="Heading4"/>
      </w:pPr>
      <w:r w:rsidRPr="004C78D8">
        <w:t>5</w:t>
      </w:r>
      <w:r w:rsidR="005C50CC" w:rsidRPr="004C78D8">
        <w:t>.</w:t>
      </w:r>
      <w:r w:rsidR="00127AB4" w:rsidRPr="004C78D8">
        <w:t>2</w:t>
      </w:r>
      <w:r w:rsidR="005C50CC" w:rsidRPr="004C78D8">
        <w:t xml:space="preserve">.2.2 </w:t>
      </w:r>
      <w:r w:rsidR="007635A6" w:rsidRPr="004C78D8">
        <w:t>Socioeconomic status</w:t>
      </w:r>
    </w:p>
    <w:p w14:paraId="3C0DD315" w14:textId="5A1AFF0C" w:rsidR="005C50CC" w:rsidRPr="004C78D8" w:rsidRDefault="00A255EB" w:rsidP="00FB7C1F">
      <w:r w:rsidRPr="004C78D8">
        <w:t>T</w:t>
      </w:r>
      <w:r w:rsidR="005C50CC" w:rsidRPr="004C78D8">
        <w:t xml:space="preserve">he </w:t>
      </w:r>
      <w:r w:rsidR="00E16B75" w:rsidRPr="004C78D8">
        <w:t xml:space="preserve">SES </w:t>
      </w:r>
      <w:r w:rsidR="005056A1" w:rsidRPr="004C78D8">
        <w:t xml:space="preserve">characteristic </w:t>
      </w:r>
      <w:r w:rsidR="005C50CC" w:rsidRPr="004C78D8">
        <w:t>of interest to the Sheffield decision-makers w</w:t>
      </w:r>
      <w:r w:rsidR="002C6CD8" w:rsidRPr="004C78D8">
        <w:t>as</w:t>
      </w:r>
      <w:r w:rsidR="005C50CC" w:rsidRPr="004C78D8">
        <w:t xml:space="preserve"> th</w:t>
      </w:r>
      <w:r w:rsidR="002C6CD8" w:rsidRPr="004C78D8">
        <w:t>e</w:t>
      </w:r>
      <w:r w:rsidR="005C50CC" w:rsidRPr="004C78D8">
        <w:t xml:space="preserve"> </w:t>
      </w:r>
      <w:r w:rsidR="00E16B75" w:rsidRPr="004C78D8">
        <w:t>LSOA-</w:t>
      </w:r>
      <w:r w:rsidR="005C50CC" w:rsidRPr="004C78D8">
        <w:t xml:space="preserve">level </w:t>
      </w:r>
      <w:r w:rsidR="00E16B75" w:rsidRPr="004C78D8">
        <w:t xml:space="preserve">deprivation </w:t>
      </w:r>
      <w:r w:rsidR="002C6CD8" w:rsidRPr="004C78D8">
        <w:t xml:space="preserve">variable </w:t>
      </w:r>
      <w:r w:rsidR="005C50CC" w:rsidRPr="004C78D8">
        <w:t xml:space="preserve">visible in the CCG routine data (Section </w:t>
      </w:r>
      <w:r w:rsidR="00DF79C1" w:rsidRPr="004C78D8">
        <w:t>3</w:t>
      </w:r>
      <w:r w:rsidR="005C50CC" w:rsidRPr="004C78D8">
        <w:t>.</w:t>
      </w:r>
      <w:r w:rsidR="00E16B75" w:rsidRPr="004C78D8">
        <w:t>5.4</w:t>
      </w:r>
      <w:r w:rsidR="005C50CC" w:rsidRPr="004C78D8">
        <w:t xml:space="preserve">). With </w:t>
      </w:r>
      <w:r w:rsidR="001B6E96" w:rsidRPr="004C78D8">
        <w:t>the routine data inaccessible</w:t>
      </w:r>
      <w:r w:rsidR="005C50CC" w:rsidRPr="004C78D8">
        <w:t xml:space="preserve">, </w:t>
      </w:r>
      <w:r w:rsidR="00E70901" w:rsidRPr="004C78D8">
        <w:t>an alternative</w:t>
      </w:r>
      <w:r w:rsidR="005C50CC" w:rsidRPr="004C78D8">
        <w:t xml:space="preserve"> </w:t>
      </w:r>
      <w:r w:rsidR="00E70901" w:rsidRPr="004C78D8">
        <w:t>SES</w:t>
      </w:r>
      <w:r w:rsidR="005C50CC" w:rsidRPr="004C78D8">
        <w:t xml:space="preserve"> </w:t>
      </w:r>
      <w:r w:rsidR="005056A1" w:rsidRPr="004C78D8">
        <w:t xml:space="preserve">characteristic </w:t>
      </w:r>
      <w:r w:rsidR="00E70901" w:rsidRPr="004C78D8">
        <w:t>was</w:t>
      </w:r>
      <w:r w:rsidR="005C50CC" w:rsidRPr="004C78D8">
        <w:t xml:space="preserve"> sought from ELSA. </w:t>
      </w:r>
      <w:r w:rsidR="00FB4A26" w:rsidRPr="004C78D8">
        <w:t>Section 3.6.1</w:t>
      </w:r>
      <w:r w:rsidR="00830348" w:rsidRPr="004C78D8">
        <w:t xml:space="preserve"> </w:t>
      </w:r>
      <w:r w:rsidR="00FB4A26" w:rsidRPr="004C78D8">
        <w:t xml:space="preserve">had </w:t>
      </w:r>
      <w:r w:rsidR="00830348" w:rsidRPr="004C78D8">
        <w:t xml:space="preserve">noted several </w:t>
      </w:r>
      <w:r w:rsidRPr="004C78D8">
        <w:t>SES</w:t>
      </w:r>
      <w:r w:rsidR="00830348" w:rsidRPr="004C78D8">
        <w:t xml:space="preserve"> factors</w:t>
      </w:r>
      <w:r w:rsidR="00FB4A26" w:rsidRPr="004C78D8">
        <w:t xml:space="preserve"> serving as key causal variables</w:t>
      </w:r>
      <w:r w:rsidR="00830348" w:rsidRPr="004C78D8">
        <w:t xml:space="preserve">: education; </w:t>
      </w:r>
      <w:r w:rsidR="00C17101" w:rsidRPr="004C78D8">
        <w:t xml:space="preserve">household </w:t>
      </w:r>
      <w:r w:rsidR="004526DF" w:rsidRPr="004C78D8">
        <w:t xml:space="preserve">wealth; and </w:t>
      </w:r>
      <w:r w:rsidR="00C17101" w:rsidRPr="004C78D8">
        <w:t>subjective report o</w:t>
      </w:r>
      <w:r w:rsidR="00FB4A26" w:rsidRPr="004C78D8">
        <w:t>f</w:t>
      </w:r>
      <w:r w:rsidR="00C17101" w:rsidRPr="004C78D8">
        <w:t xml:space="preserve"> financial difficulty.</w:t>
      </w:r>
      <w:r w:rsidRPr="004C78D8">
        <w:t xml:space="preserve"> For</w:t>
      </w:r>
      <w:r w:rsidR="00C17101" w:rsidRPr="004C78D8">
        <w:t xml:space="preserve"> education,</w:t>
      </w:r>
      <w:r w:rsidR="005C50CC" w:rsidRPr="004C78D8">
        <w:t xml:space="preserve"> ELSA Wave 4 contained </w:t>
      </w:r>
      <w:r w:rsidR="00B94736" w:rsidRPr="004C78D8">
        <w:t>information</w:t>
      </w:r>
      <w:r w:rsidR="005C50CC" w:rsidRPr="004C78D8">
        <w:t xml:space="preserve"> on the highest qualification obtained by the respondent. Three categories were formed: (1) university degree; (2) higher education below degree or high school qualification; and (3) below high school qualification, no qualification or foreign qualification. </w:t>
      </w:r>
      <w:r w:rsidR="00C17101" w:rsidRPr="004C78D8">
        <w:t xml:space="preserve">For household wealth, the composite measure used </w:t>
      </w:r>
      <w:r w:rsidR="005063FF" w:rsidRPr="004C78D8">
        <w:t xml:space="preserve">in a previous falls epidemiological study using ELSA was constructed </w:t>
      </w:r>
      <w:r w:rsidR="005063FF" w:rsidRPr="004C78D8">
        <w:fldChar w:fldCharType="begin"/>
      </w:r>
      <w:r w:rsidR="00C630FC" w:rsidRPr="004C78D8">
        <w:instrText xml:space="preserve"> ADDIN EN.CITE &lt;EndNote&gt;&lt;Cite&gt;&lt;Author&gt;Gale&lt;/Author&gt;&lt;Year&gt;2018&lt;/Year&gt;&lt;RecNum&gt;37&lt;/RecNum&gt;&lt;DisplayText&gt;[255]&lt;/DisplayText&gt;&lt;record&gt;&lt;rec-number&gt;37&lt;/rec-number&gt;&lt;foreign-keys&gt;&lt;key app="EN" db-id="tdtrdw9aepptzbefsat599syza29sxsd2wsp" timestamp="1596826777"&gt;37&lt;/key&gt;&lt;/foreign-keys&gt;&lt;ref-type name="Journal Article"&gt;17&lt;/ref-type&gt;&lt;contributors&gt;&lt;authors&gt;&lt;author&gt;Gale, Catharine R.&lt;/author&gt;&lt;author&gt;Westbury, Leo D.&lt;/author&gt;&lt;author&gt;Cooper, Cyrus&lt;/author&gt;&lt;author&gt;Dennison, Elaine M.&lt;/author&gt;&lt;/authors&gt;&lt;/contributors&gt;&lt;titles&gt;&lt;title&gt;Risk factors for incident falls in older men and women: the English longitudinal study of ageing&lt;/title&gt;&lt;secondary-title&gt;BMC Geriatrics&lt;/secondary-title&gt;&lt;/titles&gt;&lt;periodical&gt;&lt;full-title&gt;BMC Geriatrics&lt;/full-title&gt;&lt;/periodical&gt;&lt;pages&gt;117&lt;/pages&gt;&lt;volume&gt;18&lt;/volume&gt;&lt;number&gt;1&lt;/number&gt;&lt;dates&gt;&lt;year&gt;2018&lt;/year&gt;&lt;pub-dates&gt;&lt;date&gt;May 16&lt;/date&gt;&lt;/pub-dates&gt;&lt;/dates&gt;&lt;isbn&gt;1471-2318&lt;/isbn&gt;&lt;label&gt;Gale2018&lt;/label&gt;&lt;work-type&gt;journal article&lt;/work-type&gt;&lt;urls&gt;&lt;related-urls&gt;&lt;url&gt;https://doi.org/10.1186/s12877-018-0806-3&lt;/url&gt;&lt;/related-urls&gt;&lt;/urls&gt;&lt;electronic-resource-num&gt;10.1186/s12877-018-0806-3&lt;/electronic-resource-num&gt;&lt;/record&gt;&lt;/Cite&gt;&lt;/EndNote&gt;</w:instrText>
      </w:r>
      <w:r w:rsidR="005063FF" w:rsidRPr="004C78D8">
        <w:fldChar w:fldCharType="separate"/>
      </w:r>
      <w:r w:rsidR="00C630FC" w:rsidRPr="004C78D8">
        <w:rPr>
          <w:noProof/>
        </w:rPr>
        <w:t>[255]</w:t>
      </w:r>
      <w:r w:rsidR="005063FF" w:rsidRPr="004C78D8">
        <w:fldChar w:fldCharType="end"/>
      </w:r>
      <w:r w:rsidR="00A618A7" w:rsidRPr="004C78D8">
        <w:t>.</w:t>
      </w:r>
      <w:r w:rsidR="005063FF" w:rsidRPr="004C78D8">
        <w:t xml:space="preserve"> </w:t>
      </w:r>
      <w:r w:rsidR="00A618A7" w:rsidRPr="004C78D8">
        <w:t>T</w:t>
      </w:r>
      <w:r w:rsidR="005063FF" w:rsidRPr="004C78D8">
        <w:t>his incorporated</w:t>
      </w:r>
      <w:r w:rsidR="00C17101" w:rsidRPr="004C78D8">
        <w:t xml:space="preserve"> total value of savings, property</w:t>
      </w:r>
      <w:r w:rsidR="00CE6153" w:rsidRPr="004C78D8">
        <w:t>,</w:t>
      </w:r>
      <w:r w:rsidR="00C17101" w:rsidRPr="004C78D8">
        <w:t xml:space="preserve"> and business</w:t>
      </w:r>
      <w:r w:rsidR="00CE6153" w:rsidRPr="004C78D8">
        <w:t>.</w:t>
      </w:r>
      <w:r w:rsidR="005063FF" w:rsidRPr="004C78D8">
        <w:t xml:space="preserve"> </w:t>
      </w:r>
      <w:r w:rsidR="00CE6153" w:rsidRPr="004C78D8">
        <w:t>I</w:t>
      </w:r>
      <w:r w:rsidR="00C17101" w:rsidRPr="004C78D8">
        <w:t xml:space="preserve">ndividuals </w:t>
      </w:r>
      <w:r w:rsidR="00A618A7" w:rsidRPr="004C78D8">
        <w:t xml:space="preserve">were then </w:t>
      </w:r>
      <w:r w:rsidR="00C17101" w:rsidRPr="004C78D8">
        <w:t xml:space="preserve">divided into </w:t>
      </w:r>
      <w:r w:rsidR="00A618A7" w:rsidRPr="004C78D8">
        <w:t xml:space="preserve">wealth </w:t>
      </w:r>
      <w:r w:rsidR="00C17101" w:rsidRPr="004C78D8">
        <w:t xml:space="preserve">quartiles. For self-reported financial difficulty, </w:t>
      </w:r>
      <w:r w:rsidR="00CE6153" w:rsidRPr="004C78D8">
        <w:t>an</w:t>
      </w:r>
      <w:r w:rsidR="00C17101" w:rsidRPr="004C78D8">
        <w:t xml:space="preserve"> ELSA </w:t>
      </w:r>
      <w:r w:rsidR="00A618A7" w:rsidRPr="004C78D8">
        <w:t>variable measured</w:t>
      </w:r>
      <w:r w:rsidR="00C17101" w:rsidRPr="004C78D8">
        <w:t xml:space="preserve"> the frequency of financial need </w:t>
      </w:r>
      <w:r w:rsidR="00CE6153" w:rsidRPr="004C78D8">
        <w:t>as</w:t>
      </w:r>
      <w:r w:rsidR="00C17101" w:rsidRPr="004C78D8">
        <w:t xml:space="preserve"> Never, Rarely, Sometimes, Often</w:t>
      </w:r>
      <w:r w:rsidR="00CE6153" w:rsidRPr="004C78D8">
        <w:t>,</w:t>
      </w:r>
      <w:r w:rsidR="00C17101" w:rsidRPr="004C78D8">
        <w:t xml:space="preserve"> and Most of the time. </w:t>
      </w:r>
    </w:p>
    <w:p w14:paraId="48930AA4" w14:textId="0BED0AC7" w:rsidR="008B6B0B" w:rsidRPr="004C78D8" w:rsidRDefault="005C50CC" w:rsidP="00FB7C1F">
      <w:r w:rsidRPr="004C78D8">
        <w:t xml:space="preserve">From the three SES </w:t>
      </w:r>
      <w:r w:rsidR="00C17101" w:rsidRPr="004C78D8">
        <w:t>variables</w:t>
      </w:r>
      <w:r w:rsidRPr="004C78D8">
        <w:t xml:space="preserve"> – education (3 categories), wealth (4) and self-reported financial difficulty (5) – a composite score was computed by </w:t>
      </w:r>
      <w:r w:rsidR="008711D6" w:rsidRPr="004C78D8">
        <w:t>summing</w:t>
      </w:r>
      <w:r w:rsidRPr="004C78D8">
        <w:t xml:space="preserve"> the indicator</w:t>
      </w:r>
      <w:r w:rsidR="008711D6" w:rsidRPr="004C78D8">
        <w:t xml:space="preserve"> level</w:t>
      </w:r>
      <w:r w:rsidRPr="004C78D8">
        <w:t xml:space="preserve">s. The score </w:t>
      </w:r>
      <w:r w:rsidR="00CE6153" w:rsidRPr="004C78D8">
        <w:t>ranged</w:t>
      </w:r>
      <w:r w:rsidRPr="004C78D8">
        <w:t xml:space="preserve"> between 3 and 12</w:t>
      </w:r>
      <w:r w:rsidR="00A618A7" w:rsidRPr="004C78D8">
        <w:t>; h</w:t>
      </w:r>
      <w:r w:rsidRPr="004C78D8">
        <w:t xml:space="preserve">igher score </w:t>
      </w:r>
      <w:r w:rsidR="008711D6" w:rsidRPr="004C78D8">
        <w:t>indicated</w:t>
      </w:r>
      <w:r w:rsidRPr="004C78D8">
        <w:t xml:space="preserve"> greater deprivation. Individuals were then divided into quartiles for this composite measure.</w:t>
      </w:r>
      <w:r w:rsidR="008B6B0B" w:rsidRPr="004C78D8">
        <w:t xml:space="preserve"> Using ELSA, </w:t>
      </w:r>
      <w:r w:rsidR="00CE6153" w:rsidRPr="004C78D8">
        <w:t>proportions</w:t>
      </w:r>
      <w:r w:rsidR="008B6B0B" w:rsidRPr="004C78D8">
        <w:t xml:space="preserve"> of social quartiles for each sex and </w:t>
      </w:r>
      <w:r w:rsidR="00A618A7" w:rsidRPr="004C78D8">
        <w:t>five</w:t>
      </w:r>
      <w:r w:rsidR="008B6B0B" w:rsidRPr="004C78D8">
        <w:t>-year age subgroups</w:t>
      </w:r>
      <w:r w:rsidR="00CE6153" w:rsidRPr="004C78D8">
        <w:t xml:space="preserve"> were estimated</w:t>
      </w:r>
      <w:r w:rsidR="008B6B0B" w:rsidRPr="004C78D8">
        <w:t xml:space="preserve">, as shown in Table </w:t>
      </w:r>
      <w:r w:rsidR="00F53444" w:rsidRPr="004C78D8">
        <w:t>5</w:t>
      </w:r>
      <w:r w:rsidR="00C17101" w:rsidRPr="004C78D8">
        <w:t>.</w:t>
      </w:r>
      <w:r w:rsidR="0006364E" w:rsidRPr="004C78D8">
        <w:t>5</w:t>
      </w:r>
      <w:r w:rsidR="008B6B0B" w:rsidRPr="004C78D8">
        <w:t>.</w:t>
      </w:r>
      <w:r w:rsidR="00946AE3" w:rsidRPr="004C78D8">
        <w:t xml:space="preserve"> The </w:t>
      </w:r>
      <w:r w:rsidR="00CE6153" w:rsidRPr="004C78D8">
        <w:t>proportions</w:t>
      </w:r>
      <w:r w:rsidR="00946AE3" w:rsidRPr="004C78D8">
        <w:t xml:space="preserve"> were applied to </w:t>
      </w:r>
      <w:r w:rsidR="00460D20" w:rsidRPr="004C78D8">
        <w:t xml:space="preserve">individuals </w:t>
      </w:r>
      <w:r w:rsidR="007B23E5" w:rsidRPr="004C78D8">
        <w:t xml:space="preserve">by age group and sex </w:t>
      </w:r>
      <w:r w:rsidR="00460D20" w:rsidRPr="004C78D8">
        <w:t xml:space="preserve">at model entry. </w:t>
      </w:r>
      <w:r w:rsidR="00D325EA" w:rsidRPr="004C78D8">
        <w:t xml:space="preserve">For new cohorts aged 60, the </w:t>
      </w:r>
      <w:r w:rsidR="002F30E2" w:rsidRPr="004C78D8">
        <w:t>proportions</w:t>
      </w:r>
      <w:r w:rsidR="00D325EA" w:rsidRPr="004C78D8">
        <w:t xml:space="preserve"> for age 60-64 were applied. </w:t>
      </w:r>
      <w:r w:rsidR="00C17101" w:rsidRPr="004C78D8">
        <w:t>O</w:t>
      </w:r>
      <w:r w:rsidR="008A1F9B" w:rsidRPr="004C78D8">
        <w:t xml:space="preserve">nce assigned, </w:t>
      </w:r>
      <w:r w:rsidR="00DF437D" w:rsidRPr="004C78D8">
        <w:t xml:space="preserve">individuals’ </w:t>
      </w:r>
      <w:r w:rsidR="00A618A7" w:rsidRPr="004C78D8">
        <w:t xml:space="preserve">SES </w:t>
      </w:r>
      <w:r w:rsidR="008A1F9B" w:rsidRPr="004C78D8">
        <w:t xml:space="preserve">quartiles </w:t>
      </w:r>
      <w:r w:rsidR="00C17101" w:rsidRPr="004C78D8">
        <w:t>were assumed</w:t>
      </w:r>
      <w:r w:rsidR="008A1F9B" w:rsidRPr="004C78D8">
        <w:t xml:space="preserve"> </w:t>
      </w:r>
      <w:r w:rsidR="002F30E2" w:rsidRPr="004C78D8">
        <w:t>invariant</w:t>
      </w:r>
      <w:r w:rsidR="008A1F9B" w:rsidRPr="004C78D8">
        <w:t xml:space="preserve"> over time</w:t>
      </w:r>
      <w:r w:rsidR="00ED294D" w:rsidRPr="004C78D8">
        <w:t xml:space="preserve">. </w:t>
      </w:r>
      <w:r w:rsidR="00553736" w:rsidRPr="004C78D8">
        <w:t xml:space="preserve">The discrete numbers of the categorical </w:t>
      </w:r>
      <w:r w:rsidR="002F30E2" w:rsidRPr="004C78D8">
        <w:t xml:space="preserve">SES </w:t>
      </w:r>
      <w:r w:rsidR="00553736" w:rsidRPr="004C78D8">
        <w:t xml:space="preserve">variable produced uneven quartile sizes. </w:t>
      </w:r>
      <w:r w:rsidR="00ED294D" w:rsidRPr="004C78D8">
        <w:t>T</w:t>
      </w:r>
      <w:r w:rsidR="00C17101" w:rsidRPr="004C78D8">
        <w:t xml:space="preserve">he varying prevalence </w:t>
      </w:r>
      <w:r w:rsidR="00ED294D" w:rsidRPr="004C78D8">
        <w:t xml:space="preserve">across age </w:t>
      </w:r>
      <w:r w:rsidR="00C17101" w:rsidRPr="004C78D8">
        <w:t xml:space="preserve">in Table </w:t>
      </w:r>
      <w:r w:rsidR="00F53444" w:rsidRPr="004C78D8">
        <w:t>5</w:t>
      </w:r>
      <w:r w:rsidR="00C17101" w:rsidRPr="004C78D8">
        <w:t>.</w:t>
      </w:r>
      <w:r w:rsidR="0006364E" w:rsidRPr="004C78D8">
        <w:t>5</w:t>
      </w:r>
      <w:r w:rsidR="00C17101" w:rsidRPr="004C78D8">
        <w:t xml:space="preserve"> reflect</w:t>
      </w:r>
      <w:r w:rsidR="00A97DAE" w:rsidRPr="004C78D8">
        <w:t>ed</w:t>
      </w:r>
      <w:r w:rsidR="00C17101" w:rsidRPr="004C78D8">
        <w:t xml:space="preserve"> the </w:t>
      </w:r>
      <w:r w:rsidR="00A964D5" w:rsidRPr="004C78D8">
        <w:t>heterogeneous</w:t>
      </w:r>
      <w:r w:rsidR="00C17101" w:rsidRPr="004C78D8">
        <w:t xml:space="preserve"> mortality risks </w:t>
      </w:r>
      <w:r w:rsidR="00A97DAE" w:rsidRPr="004C78D8">
        <w:t>across</w:t>
      </w:r>
      <w:r w:rsidR="00C17101" w:rsidRPr="004C78D8">
        <w:t xml:space="preserve"> quartiles</w:t>
      </w:r>
      <w:r w:rsidR="00ED294D" w:rsidRPr="004C78D8">
        <w:t xml:space="preserve">: </w:t>
      </w:r>
      <w:r w:rsidR="00553736" w:rsidRPr="004C78D8">
        <w:t xml:space="preserve">the third and fourth quartiles </w:t>
      </w:r>
      <w:r w:rsidR="00A97DAE" w:rsidRPr="004C78D8">
        <w:t xml:space="preserve">increasingly </w:t>
      </w:r>
      <w:r w:rsidR="00553736" w:rsidRPr="004C78D8">
        <w:t>occup</w:t>
      </w:r>
      <w:r w:rsidR="00A97DAE" w:rsidRPr="004C78D8">
        <w:t>ied</w:t>
      </w:r>
      <w:r w:rsidR="00553736" w:rsidRPr="004C78D8">
        <w:t xml:space="preserve"> smaller proportion</w:t>
      </w:r>
      <w:r w:rsidR="00A97DAE" w:rsidRPr="004C78D8">
        <w:t>s</w:t>
      </w:r>
      <w:r w:rsidR="00553736" w:rsidRPr="004C78D8">
        <w:t xml:space="preserve"> </w:t>
      </w:r>
      <w:r w:rsidR="00A97DAE" w:rsidRPr="004C78D8">
        <w:t xml:space="preserve">of older subgroups </w:t>
      </w:r>
      <w:r w:rsidR="00553736" w:rsidRPr="004C78D8">
        <w:t>due to their shorter life expectancy</w:t>
      </w:r>
      <w:r w:rsidR="008A1F9B" w:rsidRPr="004C78D8">
        <w:t xml:space="preserve">. </w:t>
      </w:r>
    </w:p>
    <w:tbl>
      <w:tblPr>
        <w:tblStyle w:val="TableGrid"/>
        <w:tblW w:w="5000" w:type="pct"/>
        <w:tblLook w:val="04A0" w:firstRow="1" w:lastRow="0" w:firstColumn="1" w:lastColumn="0" w:noHBand="0" w:noVBand="1"/>
      </w:tblPr>
      <w:tblGrid>
        <w:gridCol w:w="2117"/>
        <w:gridCol w:w="1727"/>
        <w:gridCol w:w="1724"/>
        <w:gridCol w:w="1722"/>
        <w:gridCol w:w="1726"/>
      </w:tblGrid>
      <w:tr w:rsidR="008B6B0B" w:rsidRPr="004C78D8" w14:paraId="7099375F" w14:textId="77777777" w:rsidTr="00E35893">
        <w:tc>
          <w:tcPr>
            <w:tcW w:w="5000" w:type="pct"/>
            <w:gridSpan w:val="5"/>
          </w:tcPr>
          <w:p w14:paraId="34CE7CDF" w14:textId="1FC33509" w:rsidR="008B6B0B" w:rsidRPr="004C78D8" w:rsidRDefault="008B6B0B" w:rsidP="00FB7C1F">
            <w:pPr>
              <w:jc w:val="left"/>
            </w:pPr>
            <w:r w:rsidRPr="004C78D8">
              <w:rPr>
                <w:b/>
                <w:bCs/>
              </w:rPr>
              <w:t xml:space="preserve">Table </w:t>
            </w:r>
            <w:r w:rsidR="00F53444" w:rsidRPr="004C78D8">
              <w:rPr>
                <w:b/>
                <w:bCs/>
              </w:rPr>
              <w:t>5</w:t>
            </w:r>
            <w:r w:rsidR="00C17101" w:rsidRPr="004C78D8">
              <w:rPr>
                <w:b/>
                <w:bCs/>
              </w:rPr>
              <w:t>.</w:t>
            </w:r>
            <w:r w:rsidR="0006364E" w:rsidRPr="004C78D8">
              <w:rPr>
                <w:b/>
                <w:bCs/>
              </w:rPr>
              <w:t>5</w:t>
            </w:r>
            <w:r w:rsidR="00C17101" w:rsidRPr="004C78D8">
              <w:rPr>
                <w:b/>
                <w:bCs/>
              </w:rPr>
              <w:t xml:space="preserve"> </w:t>
            </w:r>
            <w:r w:rsidR="00CE6153" w:rsidRPr="004C78D8">
              <w:t>Proportions</w:t>
            </w:r>
            <w:r w:rsidR="00946AE3" w:rsidRPr="004C78D8">
              <w:t xml:space="preserve"> </w:t>
            </w:r>
            <w:r w:rsidRPr="004C78D8">
              <w:t xml:space="preserve">of </w:t>
            </w:r>
            <w:r w:rsidR="00A618A7" w:rsidRPr="004C78D8">
              <w:t>SES</w:t>
            </w:r>
            <w:r w:rsidRPr="004C78D8">
              <w:t xml:space="preserve"> quartiles by </w:t>
            </w:r>
            <w:r w:rsidR="00A618A7" w:rsidRPr="004C78D8">
              <w:t>five</w:t>
            </w:r>
            <w:r w:rsidRPr="004C78D8">
              <w:t xml:space="preserve">-year age group and sex </w:t>
            </w:r>
            <w:r w:rsidR="00A618A7" w:rsidRPr="004C78D8">
              <w:t>in</w:t>
            </w:r>
            <w:r w:rsidRPr="004C78D8">
              <w:t xml:space="preserve"> ELSA</w:t>
            </w:r>
            <w:r w:rsidR="00A618A7" w:rsidRPr="004C78D8">
              <w:t>.</w:t>
            </w:r>
          </w:p>
        </w:tc>
      </w:tr>
      <w:tr w:rsidR="008B6B0B" w:rsidRPr="004C78D8" w14:paraId="0B7187C3" w14:textId="77777777" w:rsidTr="00E35893">
        <w:tc>
          <w:tcPr>
            <w:tcW w:w="1174" w:type="pct"/>
            <w:tcBorders>
              <w:bottom w:val="single" w:sz="4" w:space="0" w:color="auto"/>
            </w:tcBorders>
            <w:vAlign w:val="bottom"/>
          </w:tcPr>
          <w:p w14:paraId="40EE38D7" w14:textId="0E4B0F14" w:rsidR="008B6B0B" w:rsidRPr="004C78D8" w:rsidRDefault="00946AE3" w:rsidP="00FB7C1F">
            <w:pPr>
              <w:jc w:val="left"/>
              <w:rPr>
                <w:sz w:val="20"/>
                <w:szCs w:val="20"/>
              </w:rPr>
            </w:pPr>
            <w:r w:rsidRPr="004C78D8">
              <w:rPr>
                <w:sz w:val="20"/>
                <w:szCs w:val="20"/>
              </w:rPr>
              <w:t>% of age and sex subgroup</w:t>
            </w:r>
          </w:p>
        </w:tc>
        <w:tc>
          <w:tcPr>
            <w:tcW w:w="958" w:type="pct"/>
            <w:tcBorders>
              <w:bottom w:val="single" w:sz="4" w:space="0" w:color="auto"/>
            </w:tcBorders>
          </w:tcPr>
          <w:p w14:paraId="0E07575E" w14:textId="7195BCDE" w:rsidR="008B6B0B" w:rsidRPr="004C78D8" w:rsidRDefault="008B6B0B" w:rsidP="00FB7C1F">
            <w:pPr>
              <w:jc w:val="center"/>
              <w:rPr>
                <w:b/>
                <w:bCs/>
                <w:sz w:val="20"/>
                <w:szCs w:val="20"/>
              </w:rPr>
            </w:pPr>
            <w:r w:rsidRPr="004C78D8">
              <w:rPr>
                <w:b/>
                <w:bCs/>
                <w:sz w:val="20"/>
                <w:szCs w:val="20"/>
              </w:rPr>
              <w:t>Most privileged quartile</w:t>
            </w:r>
          </w:p>
        </w:tc>
        <w:tc>
          <w:tcPr>
            <w:tcW w:w="956" w:type="pct"/>
            <w:tcBorders>
              <w:bottom w:val="single" w:sz="4" w:space="0" w:color="auto"/>
            </w:tcBorders>
          </w:tcPr>
          <w:p w14:paraId="4AAF5AA9" w14:textId="4EBF5504" w:rsidR="008B6B0B" w:rsidRPr="004C78D8" w:rsidRDefault="008B6B0B" w:rsidP="00FB7C1F">
            <w:pPr>
              <w:jc w:val="center"/>
              <w:rPr>
                <w:b/>
                <w:bCs/>
                <w:sz w:val="20"/>
                <w:szCs w:val="20"/>
              </w:rPr>
            </w:pPr>
            <w:r w:rsidRPr="004C78D8">
              <w:rPr>
                <w:b/>
                <w:bCs/>
                <w:sz w:val="20"/>
                <w:szCs w:val="20"/>
              </w:rPr>
              <w:t>2</w:t>
            </w:r>
            <w:r w:rsidRPr="004C78D8">
              <w:rPr>
                <w:b/>
                <w:bCs/>
                <w:sz w:val="20"/>
                <w:szCs w:val="20"/>
                <w:vertAlign w:val="superscript"/>
              </w:rPr>
              <w:t>nd</w:t>
            </w:r>
            <w:r w:rsidRPr="004C78D8">
              <w:rPr>
                <w:b/>
                <w:bCs/>
                <w:sz w:val="20"/>
                <w:szCs w:val="20"/>
              </w:rPr>
              <w:t xml:space="preserve"> quartile</w:t>
            </w:r>
          </w:p>
        </w:tc>
        <w:tc>
          <w:tcPr>
            <w:tcW w:w="955" w:type="pct"/>
            <w:tcBorders>
              <w:bottom w:val="single" w:sz="4" w:space="0" w:color="auto"/>
            </w:tcBorders>
          </w:tcPr>
          <w:p w14:paraId="4435D0FF" w14:textId="55546920" w:rsidR="008B6B0B" w:rsidRPr="004C78D8" w:rsidRDefault="008B6B0B" w:rsidP="00FB7C1F">
            <w:pPr>
              <w:jc w:val="center"/>
              <w:rPr>
                <w:b/>
                <w:bCs/>
                <w:sz w:val="20"/>
                <w:szCs w:val="20"/>
              </w:rPr>
            </w:pPr>
            <w:r w:rsidRPr="004C78D8">
              <w:rPr>
                <w:b/>
                <w:bCs/>
                <w:sz w:val="20"/>
                <w:szCs w:val="20"/>
              </w:rPr>
              <w:t>3</w:t>
            </w:r>
            <w:r w:rsidRPr="004C78D8">
              <w:rPr>
                <w:b/>
                <w:bCs/>
                <w:sz w:val="20"/>
                <w:szCs w:val="20"/>
                <w:vertAlign w:val="superscript"/>
              </w:rPr>
              <w:t>rd</w:t>
            </w:r>
            <w:r w:rsidRPr="004C78D8">
              <w:rPr>
                <w:b/>
                <w:bCs/>
                <w:sz w:val="20"/>
                <w:szCs w:val="20"/>
              </w:rPr>
              <w:t xml:space="preserve"> quartile</w:t>
            </w:r>
          </w:p>
        </w:tc>
        <w:tc>
          <w:tcPr>
            <w:tcW w:w="957" w:type="pct"/>
            <w:tcBorders>
              <w:bottom w:val="single" w:sz="4" w:space="0" w:color="auto"/>
            </w:tcBorders>
          </w:tcPr>
          <w:p w14:paraId="5F9FAB0A" w14:textId="56BCE892" w:rsidR="008B6B0B" w:rsidRPr="004C78D8" w:rsidRDefault="008B6B0B" w:rsidP="00FB7C1F">
            <w:pPr>
              <w:jc w:val="center"/>
              <w:rPr>
                <w:b/>
                <w:bCs/>
                <w:sz w:val="20"/>
                <w:szCs w:val="20"/>
              </w:rPr>
            </w:pPr>
            <w:r w:rsidRPr="004C78D8">
              <w:rPr>
                <w:b/>
                <w:bCs/>
                <w:sz w:val="20"/>
                <w:szCs w:val="20"/>
              </w:rPr>
              <w:t>Most deprived quartile</w:t>
            </w:r>
          </w:p>
        </w:tc>
      </w:tr>
      <w:tr w:rsidR="008B6B0B" w:rsidRPr="004C78D8" w14:paraId="13303B93" w14:textId="77777777" w:rsidTr="00E35893">
        <w:tc>
          <w:tcPr>
            <w:tcW w:w="1174" w:type="pct"/>
            <w:tcBorders>
              <w:bottom w:val="nil"/>
            </w:tcBorders>
          </w:tcPr>
          <w:p w14:paraId="1D71F140" w14:textId="0ADBF34A" w:rsidR="008B6B0B" w:rsidRPr="004C78D8" w:rsidRDefault="008B6B0B" w:rsidP="00FB7C1F">
            <w:pPr>
              <w:jc w:val="left"/>
              <w:rPr>
                <w:b/>
                <w:bCs/>
                <w:i/>
                <w:iCs/>
                <w:sz w:val="20"/>
                <w:szCs w:val="20"/>
              </w:rPr>
            </w:pPr>
            <w:r w:rsidRPr="004C78D8">
              <w:rPr>
                <w:b/>
                <w:bCs/>
                <w:i/>
                <w:iCs/>
                <w:sz w:val="20"/>
                <w:szCs w:val="20"/>
              </w:rPr>
              <w:t>Male</w:t>
            </w:r>
          </w:p>
        </w:tc>
        <w:tc>
          <w:tcPr>
            <w:tcW w:w="958" w:type="pct"/>
            <w:tcBorders>
              <w:bottom w:val="nil"/>
            </w:tcBorders>
          </w:tcPr>
          <w:p w14:paraId="3740DA93" w14:textId="77777777" w:rsidR="008B6B0B" w:rsidRPr="004C78D8" w:rsidRDefault="008B6B0B" w:rsidP="00FB7C1F">
            <w:pPr>
              <w:jc w:val="left"/>
              <w:rPr>
                <w:sz w:val="20"/>
                <w:szCs w:val="20"/>
              </w:rPr>
            </w:pPr>
          </w:p>
        </w:tc>
        <w:tc>
          <w:tcPr>
            <w:tcW w:w="956" w:type="pct"/>
            <w:tcBorders>
              <w:bottom w:val="nil"/>
            </w:tcBorders>
          </w:tcPr>
          <w:p w14:paraId="4E0E0754" w14:textId="77777777" w:rsidR="008B6B0B" w:rsidRPr="004C78D8" w:rsidRDefault="008B6B0B" w:rsidP="00FB7C1F">
            <w:pPr>
              <w:jc w:val="left"/>
              <w:rPr>
                <w:sz w:val="20"/>
                <w:szCs w:val="20"/>
              </w:rPr>
            </w:pPr>
          </w:p>
        </w:tc>
        <w:tc>
          <w:tcPr>
            <w:tcW w:w="955" w:type="pct"/>
            <w:tcBorders>
              <w:bottom w:val="nil"/>
            </w:tcBorders>
          </w:tcPr>
          <w:p w14:paraId="0B3BF7C3" w14:textId="77777777" w:rsidR="008B6B0B" w:rsidRPr="004C78D8" w:rsidRDefault="008B6B0B" w:rsidP="00FB7C1F">
            <w:pPr>
              <w:jc w:val="left"/>
              <w:rPr>
                <w:sz w:val="20"/>
                <w:szCs w:val="20"/>
              </w:rPr>
            </w:pPr>
          </w:p>
        </w:tc>
        <w:tc>
          <w:tcPr>
            <w:tcW w:w="957" w:type="pct"/>
            <w:tcBorders>
              <w:bottom w:val="nil"/>
            </w:tcBorders>
          </w:tcPr>
          <w:p w14:paraId="169CA9F1" w14:textId="77777777" w:rsidR="008B6B0B" w:rsidRPr="004C78D8" w:rsidRDefault="008B6B0B" w:rsidP="00FB7C1F">
            <w:pPr>
              <w:jc w:val="left"/>
              <w:rPr>
                <w:sz w:val="20"/>
                <w:szCs w:val="20"/>
              </w:rPr>
            </w:pPr>
          </w:p>
        </w:tc>
      </w:tr>
      <w:tr w:rsidR="008B6B0B" w:rsidRPr="004C78D8" w14:paraId="71108A5B" w14:textId="77777777" w:rsidTr="00E35893">
        <w:tc>
          <w:tcPr>
            <w:tcW w:w="1174" w:type="pct"/>
            <w:tcBorders>
              <w:top w:val="nil"/>
              <w:bottom w:val="nil"/>
            </w:tcBorders>
          </w:tcPr>
          <w:p w14:paraId="3C6A32A5" w14:textId="39EC13E0" w:rsidR="008B6B0B" w:rsidRPr="004C78D8" w:rsidRDefault="008B6B0B" w:rsidP="00FB7C1F">
            <w:pPr>
              <w:jc w:val="left"/>
              <w:rPr>
                <w:sz w:val="18"/>
                <w:szCs w:val="18"/>
              </w:rPr>
            </w:pPr>
            <w:r w:rsidRPr="004C78D8">
              <w:rPr>
                <w:sz w:val="18"/>
                <w:szCs w:val="18"/>
              </w:rPr>
              <w:t>Age 60-64</w:t>
            </w:r>
          </w:p>
        </w:tc>
        <w:tc>
          <w:tcPr>
            <w:tcW w:w="958" w:type="pct"/>
            <w:tcBorders>
              <w:top w:val="nil"/>
              <w:bottom w:val="nil"/>
            </w:tcBorders>
          </w:tcPr>
          <w:p w14:paraId="5125BF47" w14:textId="0A7296C1" w:rsidR="008B6B0B" w:rsidRPr="004C78D8" w:rsidRDefault="00946AE3" w:rsidP="00FB7C1F">
            <w:pPr>
              <w:jc w:val="center"/>
              <w:rPr>
                <w:sz w:val="18"/>
                <w:szCs w:val="18"/>
              </w:rPr>
            </w:pPr>
            <w:r w:rsidRPr="004C78D8">
              <w:rPr>
                <w:sz w:val="18"/>
                <w:szCs w:val="18"/>
              </w:rPr>
              <w:t>42.2</w:t>
            </w:r>
          </w:p>
        </w:tc>
        <w:tc>
          <w:tcPr>
            <w:tcW w:w="956" w:type="pct"/>
            <w:tcBorders>
              <w:top w:val="nil"/>
              <w:bottom w:val="nil"/>
            </w:tcBorders>
          </w:tcPr>
          <w:p w14:paraId="3027F0BE" w14:textId="1F6858A5" w:rsidR="008B6B0B" w:rsidRPr="004C78D8" w:rsidRDefault="00946AE3" w:rsidP="00FB7C1F">
            <w:pPr>
              <w:jc w:val="center"/>
              <w:rPr>
                <w:sz w:val="18"/>
                <w:szCs w:val="18"/>
              </w:rPr>
            </w:pPr>
            <w:r w:rsidRPr="004C78D8">
              <w:rPr>
                <w:sz w:val="18"/>
                <w:szCs w:val="18"/>
              </w:rPr>
              <w:t>18.4</w:t>
            </w:r>
          </w:p>
        </w:tc>
        <w:tc>
          <w:tcPr>
            <w:tcW w:w="955" w:type="pct"/>
            <w:tcBorders>
              <w:top w:val="nil"/>
              <w:bottom w:val="nil"/>
            </w:tcBorders>
          </w:tcPr>
          <w:p w14:paraId="074B7CB9" w14:textId="0864231E" w:rsidR="008B6B0B" w:rsidRPr="004C78D8" w:rsidRDefault="00946AE3" w:rsidP="00FB7C1F">
            <w:pPr>
              <w:jc w:val="center"/>
              <w:rPr>
                <w:sz w:val="18"/>
                <w:szCs w:val="18"/>
              </w:rPr>
            </w:pPr>
            <w:r w:rsidRPr="004C78D8">
              <w:rPr>
                <w:sz w:val="18"/>
                <w:szCs w:val="18"/>
              </w:rPr>
              <w:t>27.7</w:t>
            </w:r>
          </w:p>
        </w:tc>
        <w:tc>
          <w:tcPr>
            <w:tcW w:w="957" w:type="pct"/>
            <w:tcBorders>
              <w:top w:val="nil"/>
              <w:bottom w:val="nil"/>
            </w:tcBorders>
          </w:tcPr>
          <w:p w14:paraId="75FC748F" w14:textId="0CA4AE1C" w:rsidR="008B6B0B" w:rsidRPr="004C78D8" w:rsidRDefault="00946AE3" w:rsidP="00FB7C1F">
            <w:pPr>
              <w:jc w:val="center"/>
              <w:rPr>
                <w:sz w:val="18"/>
                <w:szCs w:val="18"/>
              </w:rPr>
            </w:pPr>
            <w:r w:rsidRPr="004C78D8">
              <w:rPr>
                <w:sz w:val="18"/>
                <w:szCs w:val="18"/>
              </w:rPr>
              <w:t>11.7</w:t>
            </w:r>
          </w:p>
        </w:tc>
      </w:tr>
      <w:tr w:rsidR="003F78A9" w:rsidRPr="004C78D8" w14:paraId="665CF3CD" w14:textId="77777777" w:rsidTr="00E35893">
        <w:tc>
          <w:tcPr>
            <w:tcW w:w="1174" w:type="pct"/>
            <w:tcBorders>
              <w:top w:val="nil"/>
              <w:bottom w:val="nil"/>
            </w:tcBorders>
          </w:tcPr>
          <w:p w14:paraId="149E85A0" w14:textId="30C351EA" w:rsidR="003F78A9" w:rsidRPr="004C78D8" w:rsidRDefault="003F78A9" w:rsidP="00FB7C1F">
            <w:pPr>
              <w:jc w:val="left"/>
              <w:rPr>
                <w:sz w:val="18"/>
                <w:szCs w:val="18"/>
              </w:rPr>
            </w:pPr>
            <w:r w:rsidRPr="004C78D8">
              <w:rPr>
                <w:sz w:val="18"/>
                <w:szCs w:val="18"/>
              </w:rPr>
              <w:t>Age 65-69</w:t>
            </w:r>
          </w:p>
        </w:tc>
        <w:tc>
          <w:tcPr>
            <w:tcW w:w="958" w:type="pct"/>
            <w:tcBorders>
              <w:top w:val="nil"/>
              <w:bottom w:val="nil"/>
            </w:tcBorders>
          </w:tcPr>
          <w:p w14:paraId="2079001A" w14:textId="5768E1A7" w:rsidR="003F78A9" w:rsidRPr="004C78D8" w:rsidRDefault="003F78A9" w:rsidP="00FB7C1F">
            <w:pPr>
              <w:jc w:val="center"/>
              <w:rPr>
                <w:sz w:val="18"/>
                <w:szCs w:val="18"/>
              </w:rPr>
            </w:pPr>
            <w:r w:rsidRPr="004C78D8">
              <w:rPr>
                <w:sz w:val="18"/>
                <w:szCs w:val="18"/>
              </w:rPr>
              <w:t>44.6</w:t>
            </w:r>
          </w:p>
        </w:tc>
        <w:tc>
          <w:tcPr>
            <w:tcW w:w="956" w:type="pct"/>
            <w:tcBorders>
              <w:top w:val="nil"/>
              <w:bottom w:val="nil"/>
            </w:tcBorders>
          </w:tcPr>
          <w:p w14:paraId="5D05A907" w14:textId="5E84B9D2" w:rsidR="003F78A9" w:rsidRPr="004C78D8" w:rsidRDefault="003F78A9" w:rsidP="00FB7C1F">
            <w:pPr>
              <w:jc w:val="center"/>
              <w:rPr>
                <w:sz w:val="18"/>
                <w:szCs w:val="18"/>
              </w:rPr>
            </w:pPr>
            <w:r w:rsidRPr="004C78D8">
              <w:rPr>
                <w:sz w:val="18"/>
                <w:szCs w:val="18"/>
              </w:rPr>
              <w:t>19.1</w:t>
            </w:r>
          </w:p>
        </w:tc>
        <w:tc>
          <w:tcPr>
            <w:tcW w:w="955" w:type="pct"/>
            <w:tcBorders>
              <w:top w:val="nil"/>
              <w:bottom w:val="nil"/>
            </w:tcBorders>
          </w:tcPr>
          <w:p w14:paraId="3D326B9A" w14:textId="6361EDC9" w:rsidR="003F78A9" w:rsidRPr="004C78D8" w:rsidRDefault="003F78A9" w:rsidP="00FB7C1F">
            <w:pPr>
              <w:jc w:val="center"/>
              <w:rPr>
                <w:sz w:val="18"/>
                <w:szCs w:val="18"/>
              </w:rPr>
            </w:pPr>
            <w:r w:rsidRPr="004C78D8">
              <w:rPr>
                <w:sz w:val="18"/>
                <w:szCs w:val="18"/>
              </w:rPr>
              <w:t>26.3</w:t>
            </w:r>
          </w:p>
        </w:tc>
        <w:tc>
          <w:tcPr>
            <w:tcW w:w="957" w:type="pct"/>
            <w:tcBorders>
              <w:top w:val="nil"/>
              <w:bottom w:val="nil"/>
            </w:tcBorders>
          </w:tcPr>
          <w:p w14:paraId="5256C8AA" w14:textId="3974266E" w:rsidR="003F78A9" w:rsidRPr="004C78D8" w:rsidRDefault="003F78A9" w:rsidP="00FB7C1F">
            <w:pPr>
              <w:jc w:val="center"/>
              <w:rPr>
                <w:sz w:val="18"/>
                <w:szCs w:val="18"/>
              </w:rPr>
            </w:pPr>
            <w:r w:rsidRPr="004C78D8">
              <w:rPr>
                <w:sz w:val="18"/>
                <w:szCs w:val="18"/>
              </w:rPr>
              <w:t>10.0</w:t>
            </w:r>
          </w:p>
        </w:tc>
      </w:tr>
      <w:tr w:rsidR="003F78A9" w:rsidRPr="004C78D8" w14:paraId="011F38C1" w14:textId="77777777" w:rsidTr="00E35893">
        <w:tc>
          <w:tcPr>
            <w:tcW w:w="1174" w:type="pct"/>
            <w:tcBorders>
              <w:top w:val="nil"/>
              <w:bottom w:val="nil"/>
            </w:tcBorders>
          </w:tcPr>
          <w:p w14:paraId="5962DA20" w14:textId="502A5A2B" w:rsidR="003F78A9" w:rsidRPr="004C78D8" w:rsidRDefault="003F78A9" w:rsidP="00FB7C1F">
            <w:pPr>
              <w:jc w:val="left"/>
              <w:rPr>
                <w:sz w:val="18"/>
                <w:szCs w:val="18"/>
              </w:rPr>
            </w:pPr>
            <w:r w:rsidRPr="004C78D8">
              <w:rPr>
                <w:sz w:val="18"/>
                <w:szCs w:val="18"/>
              </w:rPr>
              <w:t>Age 70-74</w:t>
            </w:r>
          </w:p>
        </w:tc>
        <w:tc>
          <w:tcPr>
            <w:tcW w:w="958" w:type="pct"/>
            <w:tcBorders>
              <w:top w:val="nil"/>
              <w:bottom w:val="nil"/>
            </w:tcBorders>
          </w:tcPr>
          <w:p w14:paraId="4056DEF5" w14:textId="1D88F1AA" w:rsidR="003F78A9" w:rsidRPr="004C78D8" w:rsidRDefault="003F78A9" w:rsidP="00FB7C1F">
            <w:pPr>
              <w:jc w:val="center"/>
              <w:rPr>
                <w:sz w:val="18"/>
                <w:szCs w:val="18"/>
              </w:rPr>
            </w:pPr>
            <w:r w:rsidRPr="004C78D8">
              <w:rPr>
                <w:sz w:val="18"/>
                <w:szCs w:val="18"/>
              </w:rPr>
              <w:t>39.9</w:t>
            </w:r>
          </w:p>
        </w:tc>
        <w:tc>
          <w:tcPr>
            <w:tcW w:w="956" w:type="pct"/>
            <w:tcBorders>
              <w:top w:val="nil"/>
              <w:bottom w:val="nil"/>
            </w:tcBorders>
          </w:tcPr>
          <w:p w14:paraId="5FB434F8" w14:textId="3FD5A8E4" w:rsidR="003F78A9" w:rsidRPr="004C78D8" w:rsidRDefault="003F78A9" w:rsidP="00FB7C1F">
            <w:pPr>
              <w:jc w:val="center"/>
              <w:rPr>
                <w:sz w:val="18"/>
                <w:szCs w:val="18"/>
              </w:rPr>
            </w:pPr>
            <w:r w:rsidRPr="004C78D8">
              <w:rPr>
                <w:sz w:val="18"/>
                <w:szCs w:val="18"/>
              </w:rPr>
              <w:t>20.5</w:t>
            </w:r>
          </w:p>
        </w:tc>
        <w:tc>
          <w:tcPr>
            <w:tcW w:w="955" w:type="pct"/>
            <w:tcBorders>
              <w:top w:val="nil"/>
              <w:bottom w:val="nil"/>
            </w:tcBorders>
          </w:tcPr>
          <w:p w14:paraId="1F60F160" w14:textId="0004C8C5" w:rsidR="003F78A9" w:rsidRPr="004C78D8" w:rsidRDefault="003F78A9" w:rsidP="00FB7C1F">
            <w:pPr>
              <w:jc w:val="center"/>
              <w:rPr>
                <w:sz w:val="18"/>
                <w:szCs w:val="18"/>
              </w:rPr>
            </w:pPr>
            <w:r w:rsidRPr="004C78D8">
              <w:rPr>
                <w:sz w:val="18"/>
                <w:szCs w:val="18"/>
              </w:rPr>
              <w:t>28.0</w:t>
            </w:r>
          </w:p>
        </w:tc>
        <w:tc>
          <w:tcPr>
            <w:tcW w:w="957" w:type="pct"/>
            <w:tcBorders>
              <w:top w:val="nil"/>
              <w:bottom w:val="nil"/>
            </w:tcBorders>
          </w:tcPr>
          <w:p w14:paraId="6518BD33" w14:textId="291FB72E" w:rsidR="003F78A9" w:rsidRPr="004C78D8" w:rsidRDefault="003F78A9" w:rsidP="00FB7C1F">
            <w:pPr>
              <w:jc w:val="center"/>
              <w:rPr>
                <w:sz w:val="18"/>
                <w:szCs w:val="18"/>
              </w:rPr>
            </w:pPr>
            <w:r w:rsidRPr="004C78D8">
              <w:rPr>
                <w:sz w:val="18"/>
                <w:szCs w:val="18"/>
              </w:rPr>
              <w:t>11.6</w:t>
            </w:r>
          </w:p>
        </w:tc>
      </w:tr>
      <w:tr w:rsidR="003F78A9" w:rsidRPr="004C78D8" w14:paraId="4AE1777B" w14:textId="77777777" w:rsidTr="00E35893">
        <w:tc>
          <w:tcPr>
            <w:tcW w:w="1174" w:type="pct"/>
            <w:tcBorders>
              <w:top w:val="nil"/>
              <w:bottom w:val="nil"/>
            </w:tcBorders>
          </w:tcPr>
          <w:p w14:paraId="019D4672" w14:textId="03D20D80" w:rsidR="003F78A9" w:rsidRPr="004C78D8" w:rsidRDefault="003F78A9" w:rsidP="00FB7C1F">
            <w:pPr>
              <w:jc w:val="left"/>
              <w:rPr>
                <w:sz w:val="18"/>
                <w:szCs w:val="18"/>
              </w:rPr>
            </w:pPr>
            <w:r w:rsidRPr="004C78D8">
              <w:rPr>
                <w:sz w:val="18"/>
                <w:szCs w:val="18"/>
              </w:rPr>
              <w:t>Age 75-79</w:t>
            </w:r>
          </w:p>
        </w:tc>
        <w:tc>
          <w:tcPr>
            <w:tcW w:w="958" w:type="pct"/>
            <w:tcBorders>
              <w:top w:val="nil"/>
              <w:bottom w:val="nil"/>
            </w:tcBorders>
          </w:tcPr>
          <w:p w14:paraId="09A43253" w14:textId="43A3067D" w:rsidR="003F78A9" w:rsidRPr="004C78D8" w:rsidRDefault="003F78A9" w:rsidP="00FB7C1F">
            <w:pPr>
              <w:jc w:val="center"/>
              <w:rPr>
                <w:sz w:val="18"/>
                <w:szCs w:val="18"/>
              </w:rPr>
            </w:pPr>
            <w:r w:rsidRPr="004C78D8">
              <w:rPr>
                <w:sz w:val="18"/>
                <w:szCs w:val="18"/>
              </w:rPr>
              <w:t>39.9</w:t>
            </w:r>
          </w:p>
        </w:tc>
        <w:tc>
          <w:tcPr>
            <w:tcW w:w="956" w:type="pct"/>
            <w:tcBorders>
              <w:top w:val="nil"/>
              <w:bottom w:val="nil"/>
            </w:tcBorders>
          </w:tcPr>
          <w:p w14:paraId="7B2B4263" w14:textId="7A2B0A30" w:rsidR="003F78A9" w:rsidRPr="004C78D8" w:rsidRDefault="003F78A9" w:rsidP="00FB7C1F">
            <w:pPr>
              <w:jc w:val="center"/>
              <w:rPr>
                <w:sz w:val="18"/>
                <w:szCs w:val="18"/>
              </w:rPr>
            </w:pPr>
            <w:r w:rsidRPr="004C78D8">
              <w:rPr>
                <w:sz w:val="18"/>
                <w:szCs w:val="18"/>
              </w:rPr>
              <w:t>20.2</w:t>
            </w:r>
          </w:p>
        </w:tc>
        <w:tc>
          <w:tcPr>
            <w:tcW w:w="955" w:type="pct"/>
            <w:tcBorders>
              <w:top w:val="nil"/>
              <w:bottom w:val="nil"/>
            </w:tcBorders>
          </w:tcPr>
          <w:p w14:paraId="459ECA0F" w14:textId="21493A50" w:rsidR="003F78A9" w:rsidRPr="004C78D8" w:rsidRDefault="003F78A9" w:rsidP="00FB7C1F">
            <w:pPr>
              <w:jc w:val="center"/>
              <w:rPr>
                <w:sz w:val="18"/>
                <w:szCs w:val="18"/>
              </w:rPr>
            </w:pPr>
            <w:r w:rsidRPr="004C78D8">
              <w:rPr>
                <w:sz w:val="18"/>
                <w:szCs w:val="18"/>
              </w:rPr>
              <w:t>29.4</w:t>
            </w:r>
          </w:p>
        </w:tc>
        <w:tc>
          <w:tcPr>
            <w:tcW w:w="957" w:type="pct"/>
            <w:tcBorders>
              <w:top w:val="nil"/>
              <w:bottom w:val="nil"/>
            </w:tcBorders>
          </w:tcPr>
          <w:p w14:paraId="77BA8DDE" w14:textId="24755117" w:rsidR="003F78A9" w:rsidRPr="004C78D8" w:rsidRDefault="003F78A9" w:rsidP="00FB7C1F">
            <w:pPr>
              <w:jc w:val="center"/>
              <w:rPr>
                <w:sz w:val="18"/>
                <w:szCs w:val="18"/>
              </w:rPr>
            </w:pPr>
            <w:r w:rsidRPr="004C78D8">
              <w:rPr>
                <w:sz w:val="18"/>
                <w:szCs w:val="18"/>
              </w:rPr>
              <w:t>10.5</w:t>
            </w:r>
          </w:p>
        </w:tc>
      </w:tr>
      <w:tr w:rsidR="003F78A9" w:rsidRPr="004C78D8" w14:paraId="3E8A9DDE" w14:textId="77777777" w:rsidTr="00E35893">
        <w:tc>
          <w:tcPr>
            <w:tcW w:w="1174" w:type="pct"/>
            <w:tcBorders>
              <w:top w:val="nil"/>
              <w:bottom w:val="nil"/>
            </w:tcBorders>
          </w:tcPr>
          <w:p w14:paraId="7F442B37" w14:textId="2C5C8DDD" w:rsidR="003F78A9" w:rsidRPr="004C78D8" w:rsidRDefault="003F78A9" w:rsidP="00FB7C1F">
            <w:pPr>
              <w:jc w:val="left"/>
              <w:rPr>
                <w:sz w:val="18"/>
                <w:szCs w:val="18"/>
              </w:rPr>
            </w:pPr>
            <w:r w:rsidRPr="004C78D8">
              <w:rPr>
                <w:sz w:val="18"/>
                <w:szCs w:val="18"/>
              </w:rPr>
              <w:t>Age 80-84</w:t>
            </w:r>
          </w:p>
        </w:tc>
        <w:tc>
          <w:tcPr>
            <w:tcW w:w="958" w:type="pct"/>
            <w:tcBorders>
              <w:top w:val="nil"/>
              <w:bottom w:val="nil"/>
            </w:tcBorders>
          </w:tcPr>
          <w:p w14:paraId="753ADC22" w14:textId="2BC1E09A" w:rsidR="003F78A9" w:rsidRPr="004C78D8" w:rsidRDefault="003F78A9" w:rsidP="00FB7C1F">
            <w:pPr>
              <w:jc w:val="center"/>
              <w:rPr>
                <w:sz w:val="18"/>
                <w:szCs w:val="18"/>
              </w:rPr>
            </w:pPr>
            <w:r w:rsidRPr="004C78D8">
              <w:rPr>
                <w:sz w:val="18"/>
                <w:szCs w:val="18"/>
              </w:rPr>
              <w:t>42.5</w:t>
            </w:r>
          </w:p>
        </w:tc>
        <w:tc>
          <w:tcPr>
            <w:tcW w:w="956" w:type="pct"/>
            <w:tcBorders>
              <w:top w:val="nil"/>
              <w:bottom w:val="nil"/>
            </w:tcBorders>
          </w:tcPr>
          <w:p w14:paraId="6E1BE7A1" w14:textId="33B3EA8E" w:rsidR="003F78A9" w:rsidRPr="004C78D8" w:rsidRDefault="003F78A9" w:rsidP="00FB7C1F">
            <w:pPr>
              <w:jc w:val="center"/>
              <w:rPr>
                <w:sz w:val="18"/>
                <w:szCs w:val="18"/>
              </w:rPr>
            </w:pPr>
            <w:r w:rsidRPr="004C78D8">
              <w:rPr>
                <w:sz w:val="18"/>
                <w:szCs w:val="18"/>
              </w:rPr>
              <w:t>21.7</w:t>
            </w:r>
          </w:p>
        </w:tc>
        <w:tc>
          <w:tcPr>
            <w:tcW w:w="955" w:type="pct"/>
            <w:tcBorders>
              <w:top w:val="nil"/>
              <w:bottom w:val="nil"/>
            </w:tcBorders>
          </w:tcPr>
          <w:p w14:paraId="3F91FF41" w14:textId="6FB1AB31" w:rsidR="003F78A9" w:rsidRPr="004C78D8" w:rsidRDefault="003F78A9" w:rsidP="00FB7C1F">
            <w:pPr>
              <w:jc w:val="center"/>
              <w:rPr>
                <w:sz w:val="18"/>
                <w:szCs w:val="18"/>
              </w:rPr>
            </w:pPr>
            <w:r w:rsidRPr="004C78D8">
              <w:rPr>
                <w:sz w:val="18"/>
                <w:szCs w:val="18"/>
              </w:rPr>
              <w:t>26.3</w:t>
            </w:r>
          </w:p>
        </w:tc>
        <w:tc>
          <w:tcPr>
            <w:tcW w:w="957" w:type="pct"/>
            <w:tcBorders>
              <w:top w:val="nil"/>
              <w:bottom w:val="nil"/>
            </w:tcBorders>
          </w:tcPr>
          <w:p w14:paraId="5EFA2C84" w14:textId="25B5ADDF" w:rsidR="003F78A9" w:rsidRPr="004C78D8" w:rsidRDefault="003F78A9" w:rsidP="00FB7C1F">
            <w:pPr>
              <w:jc w:val="center"/>
              <w:rPr>
                <w:sz w:val="18"/>
                <w:szCs w:val="18"/>
              </w:rPr>
            </w:pPr>
            <w:r w:rsidRPr="004C78D8">
              <w:rPr>
                <w:sz w:val="18"/>
                <w:szCs w:val="18"/>
              </w:rPr>
              <w:t>9.5</w:t>
            </w:r>
          </w:p>
        </w:tc>
      </w:tr>
      <w:tr w:rsidR="003F78A9" w:rsidRPr="004C78D8" w14:paraId="1F609429" w14:textId="77777777" w:rsidTr="00E35893">
        <w:tc>
          <w:tcPr>
            <w:tcW w:w="1174" w:type="pct"/>
            <w:tcBorders>
              <w:top w:val="nil"/>
              <w:bottom w:val="nil"/>
            </w:tcBorders>
          </w:tcPr>
          <w:p w14:paraId="211D213A" w14:textId="75BB311F" w:rsidR="003F78A9" w:rsidRPr="004C78D8" w:rsidRDefault="003F78A9" w:rsidP="00FB7C1F">
            <w:pPr>
              <w:jc w:val="left"/>
              <w:rPr>
                <w:sz w:val="18"/>
                <w:szCs w:val="18"/>
              </w:rPr>
            </w:pPr>
            <w:r w:rsidRPr="004C78D8">
              <w:rPr>
                <w:sz w:val="18"/>
                <w:szCs w:val="18"/>
              </w:rPr>
              <w:t>Age 85-89</w:t>
            </w:r>
          </w:p>
        </w:tc>
        <w:tc>
          <w:tcPr>
            <w:tcW w:w="958" w:type="pct"/>
            <w:tcBorders>
              <w:top w:val="nil"/>
              <w:bottom w:val="nil"/>
            </w:tcBorders>
          </w:tcPr>
          <w:p w14:paraId="759070FA" w14:textId="1586FB84" w:rsidR="003F78A9" w:rsidRPr="004C78D8" w:rsidRDefault="003F78A9" w:rsidP="00FB7C1F">
            <w:pPr>
              <w:jc w:val="center"/>
              <w:rPr>
                <w:sz w:val="18"/>
                <w:szCs w:val="18"/>
              </w:rPr>
            </w:pPr>
            <w:r w:rsidRPr="004C78D8">
              <w:rPr>
                <w:sz w:val="18"/>
                <w:szCs w:val="18"/>
              </w:rPr>
              <w:t>40.4</w:t>
            </w:r>
          </w:p>
        </w:tc>
        <w:tc>
          <w:tcPr>
            <w:tcW w:w="956" w:type="pct"/>
            <w:tcBorders>
              <w:top w:val="nil"/>
              <w:bottom w:val="nil"/>
            </w:tcBorders>
          </w:tcPr>
          <w:p w14:paraId="414B2EE4" w14:textId="1243E297" w:rsidR="003F78A9" w:rsidRPr="004C78D8" w:rsidRDefault="003F78A9" w:rsidP="00FB7C1F">
            <w:pPr>
              <w:jc w:val="center"/>
              <w:rPr>
                <w:sz w:val="18"/>
                <w:szCs w:val="18"/>
              </w:rPr>
            </w:pPr>
            <w:r w:rsidRPr="004C78D8">
              <w:rPr>
                <w:sz w:val="18"/>
                <w:szCs w:val="18"/>
              </w:rPr>
              <w:t>28.9</w:t>
            </w:r>
          </w:p>
        </w:tc>
        <w:tc>
          <w:tcPr>
            <w:tcW w:w="955" w:type="pct"/>
            <w:tcBorders>
              <w:top w:val="nil"/>
              <w:bottom w:val="nil"/>
            </w:tcBorders>
          </w:tcPr>
          <w:p w14:paraId="7C52B545" w14:textId="3A388F5A" w:rsidR="003F78A9" w:rsidRPr="004C78D8" w:rsidRDefault="003F78A9" w:rsidP="00FB7C1F">
            <w:pPr>
              <w:jc w:val="center"/>
              <w:rPr>
                <w:sz w:val="18"/>
                <w:szCs w:val="18"/>
              </w:rPr>
            </w:pPr>
            <w:r w:rsidRPr="004C78D8">
              <w:rPr>
                <w:sz w:val="18"/>
                <w:szCs w:val="18"/>
              </w:rPr>
              <w:t>26.9</w:t>
            </w:r>
          </w:p>
        </w:tc>
        <w:tc>
          <w:tcPr>
            <w:tcW w:w="957" w:type="pct"/>
            <w:tcBorders>
              <w:top w:val="nil"/>
              <w:bottom w:val="nil"/>
            </w:tcBorders>
          </w:tcPr>
          <w:p w14:paraId="0C010D1C" w14:textId="19B17A0B" w:rsidR="003F78A9" w:rsidRPr="004C78D8" w:rsidRDefault="003F78A9" w:rsidP="00FB7C1F">
            <w:pPr>
              <w:jc w:val="center"/>
              <w:rPr>
                <w:sz w:val="18"/>
                <w:szCs w:val="18"/>
              </w:rPr>
            </w:pPr>
            <w:r w:rsidRPr="004C78D8">
              <w:rPr>
                <w:sz w:val="18"/>
                <w:szCs w:val="18"/>
              </w:rPr>
              <w:t>3.8</w:t>
            </w:r>
          </w:p>
        </w:tc>
      </w:tr>
      <w:tr w:rsidR="003F78A9" w:rsidRPr="004C78D8" w14:paraId="548E3AED" w14:textId="77777777" w:rsidTr="00E35893">
        <w:tc>
          <w:tcPr>
            <w:tcW w:w="1174" w:type="pct"/>
            <w:tcBorders>
              <w:top w:val="nil"/>
              <w:bottom w:val="single" w:sz="4" w:space="0" w:color="auto"/>
            </w:tcBorders>
          </w:tcPr>
          <w:p w14:paraId="220E50D6" w14:textId="29586A4C" w:rsidR="003F78A9" w:rsidRPr="004C78D8" w:rsidRDefault="003F78A9" w:rsidP="00FB7C1F">
            <w:pPr>
              <w:jc w:val="left"/>
              <w:rPr>
                <w:sz w:val="18"/>
                <w:szCs w:val="18"/>
              </w:rPr>
            </w:pPr>
            <w:r w:rsidRPr="004C78D8">
              <w:rPr>
                <w:sz w:val="18"/>
                <w:szCs w:val="18"/>
              </w:rPr>
              <w:t>Age 90+</w:t>
            </w:r>
          </w:p>
        </w:tc>
        <w:tc>
          <w:tcPr>
            <w:tcW w:w="958" w:type="pct"/>
            <w:tcBorders>
              <w:top w:val="nil"/>
              <w:bottom w:val="single" w:sz="4" w:space="0" w:color="auto"/>
            </w:tcBorders>
          </w:tcPr>
          <w:p w14:paraId="1A3FD9CB" w14:textId="240602DA" w:rsidR="003F78A9" w:rsidRPr="004C78D8" w:rsidRDefault="003F78A9" w:rsidP="00FB7C1F">
            <w:pPr>
              <w:jc w:val="center"/>
              <w:rPr>
                <w:sz w:val="18"/>
                <w:szCs w:val="18"/>
              </w:rPr>
            </w:pPr>
            <w:r w:rsidRPr="004C78D8">
              <w:rPr>
                <w:sz w:val="18"/>
                <w:szCs w:val="18"/>
              </w:rPr>
              <w:t>54.9</w:t>
            </w:r>
          </w:p>
        </w:tc>
        <w:tc>
          <w:tcPr>
            <w:tcW w:w="956" w:type="pct"/>
            <w:tcBorders>
              <w:top w:val="nil"/>
              <w:bottom w:val="single" w:sz="4" w:space="0" w:color="auto"/>
            </w:tcBorders>
          </w:tcPr>
          <w:p w14:paraId="1E92EF21" w14:textId="44DF85D2" w:rsidR="003F78A9" w:rsidRPr="004C78D8" w:rsidRDefault="003F78A9" w:rsidP="00FB7C1F">
            <w:pPr>
              <w:jc w:val="center"/>
              <w:rPr>
                <w:sz w:val="18"/>
                <w:szCs w:val="18"/>
              </w:rPr>
            </w:pPr>
            <w:r w:rsidRPr="004C78D8">
              <w:rPr>
                <w:sz w:val="18"/>
                <w:szCs w:val="18"/>
              </w:rPr>
              <w:t>20.9</w:t>
            </w:r>
          </w:p>
        </w:tc>
        <w:tc>
          <w:tcPr>
            <w:tcW w:w="955" w:type="pct"/>
            <w:tcBorders>
              <w:top w:val="nil"/>
              <w:bottom w:val="single" w:sz="4" w:space="0" w:color="auto"/>
            </w:tcBorders>
          </w:tcPr>
          <w:p w14:paraId="05EC892D" w14:textId="3C0E882B" w:rsidR="003F78A9" w:rsidRPr="004C78D8" w:rsidRDefault="003F78A9" w:rsidP="00FB7C1F">
            <w:pPr>
              <w:jc w:val="center"/>
              <w:rPr>
                <w:sz w:val="18"/>
                <w:szCs w:val="18"/>
              </w:rPr>
            </w:pPr>
            <w:r w:rsidRPr="004C78D8">
              <w:rPr>
                <w:sz w:val="18"/>
                <w:szCs w:val="18"/>
              </w:rPr>
              <w:t>16.5</w:t>
            </w:r>
          </w:p>
        </w:tc>
        <w:tc>
          <w:tcPr>
            <w:tcW w:w="957" w:type="pct"/>
            <w:tcBorders>
              <w:top w:val="nil"/>
              <w:bottom w:val="single" w:sz="4" w:space="0" w:color="auto"/>
            </w:tcBorders>
          </w:tcPr>
          <w:p w14:paraId="5E574210" w14:textId="10055850" w:rsidR="003F78A9" w:rsidRPr="004C78D8" w:rsidRDefault="003F78A9" w:rsidP="00FB7C1F">
            <w:pPr>
              <w:jc w:val="center"/>
              <w:rPr>
                <w:sz w:val="18"/>
                <w:szCs w:val="18"/>
              </w:rPr>
            </w:pPr>
            <w:r w:rsidRPr="004C78D8">
              <w:rPr>
                <w:sz w:val="18"/>
                <w:szCs w:val="18"/>
              </w:rPr>
              <w:t>7.7</w:t>
            </w:r>
          </w:p>
        </w:tc>
      </w:tr>
      <w:tr w:rsidR="003F78A9" w:rsidRPr="004C78D8" w14:paraId="5126D5C2" w14:textId="77777777" w:rsidTr="00E35893">
        <w:tc>
          <w:tcPr>
            <w:tcW w:w="1174" w:type="pct"/>
            <w:tcBorders>
              <w:top w:val="single" w:sz="4" w:space="0" w:color="auto"/>
              <w:bottom w:val="single" w:sz="4" w:space="0" w:color="auto"/>
            </w:tcBorders>
          </w:tcPr>
          <w:p w14:paraId="374ABC97" w14:textId="38EF6B0A" w:rsidR="003F78A9" w:rsidRPr="004C78D8" w:rsidRDefault="003F78A9" w:rsidP="00FB7C1F">
            <w:pPr>
              <w:jc w:val="left"/>
              <w:rPr>
                <w:sz w:val="18"/>
                <w:szCs w:val="18"/>
              </w:rPr>
            </w:pPr>
            <w:r w:rsidRPr="004C78D8">
              <w:rPr>
                <w:sz w:val="18"/>
                <w:szCs w:val="18"/>
              </w:rPr>
              <w:t>All age groups</w:t>
            </w:r>
          </w:p>
        </w:tc>
        <w:tc>
          <w:tcPr>
            <w:tcW w:w="958" w:type="pct"/>
            <w:tcBorders>
              <w:top w:val="single" w:sz="4" w:space="0" w:color="auto"/>
              <w:bottom w:val="single" w:sz="4" w:space="0" w:color="auto"/>
            </w:tcBorders>
          </w:tcPr>
          <w:p w14:paraId="4931B28A" w14:textId="66DB0FDD" w:rsidR="003F78A9" w:rsidRPr="004C78D8" w:rsidRDefault="003F78A9" w:rsidP="00FB7C1F">
            <w:pPr>
              <w:jc w:val="center"/>
              <w:rPr>
                <w:sz w:val="18"/>
                <w:szCs w:val="18"/>
              </w:rPr>
            </w:pPr>
            <w:r w:rsidRPr="004C78D8">
              <w:rPr>
                <w:sz w:val="18"/>
                <w:szCs w:val="18"/>
              </w:rPr>
              <w:t>42.0</w:t>
            </w:r>
          </w:p>
        </w:tc>
        <w:tc>
          <w:tcPr>
            <w:tcW w:w="956" w:type="pct"/>
            <w:tcBorders>
              <w:top w:val="single" w:sz="4" w:space="0" w:color="auto"/>
              <w:bottom w:val="single" w:sz="4" w:space="0" w:color="auto"/>
            </w:tcBorders>
          </w:tcPr>
          <w:p w14:paraId="129B2F21" w14:textId="055D882F" w:rsidR="003F78A9" w:rsidRPr="004C78D8" w:rsidRDefault="003F78A9" w:rsidP="00FB7C1F">
            <w:pPr>
              <w:jc w:val="center"/>
              <w:rPr>
                <w:sz w:val="18"/>
                <w:szCs w:val="18"/>
              </w:rPr>
            </w:pPr>
            <w:r w:rsidRPr="004C78D8">
              <w:rPr>
                <w:sz w:val="18"/>
                <w:szCs w:val="18"/>
              </w:rPr>
              <w:t>20.1</w:t>
            </w:r>
          </w:p>
        </w:tc>
        <w:tc>
          <w:tcPr>
            <w:tcW w:w="955" w:type="pct"/>
            <w:tcBorders>
              <w:top w:val="single" w:sz="4" w:space="0" w:color="auto"/>
              <w:bottom w:val="single" w:sz="4" w:space="0" w:color="auto"/>
            </w:tcBorders>
          </w:tcPr>
          <w:p w14:paraId="666BB40B" w14:textId="0421D478" w:rsidR="003F78A9" w:rsidRPr="004C78D8" w:rsidRDefault="003F78A9" w:rsidP="00FB7C1F">
            <w:pPr>
              <w:jc w:val="center"/>
              <w:rPr>
                <w:sz w:val="18"/>
                <w:szCs w:val="18"/>
              </w:rPr>
            </w:pPr>
            <w:r w:rsidRPr="004C78D8">
              <w:rPr>
                <w:sz w:val="18"/>
                <w:szCs w:val="18"/>
              </w:rPr>
              <w:t>27.4</w:t>
            </w:r>
          </w:p>
        </w:tc>
        <w:tc>
          <w:tcPr>
            <w:tcW w:w="957" w:type="pct"/>
            <w:tcBorders>
              <w:top w:val="single" w:sz="4" w:space="0" w:color="auto"/>
              <w:bottom w:val="single" w:sz="4" w:space="0" w:color="auto"/>
            </w:tcBorders>
          </w:tcPr>
          <w:p w14:paraId="4CE6E688" w14:textId="6ABD8C1C" w:rsidR="003F78A9" w:rsidRPr="004C78D8" w:rsidRDefault="003F78A9" w:rsidP="00FB7C1F">
            <w:pPr>
              <w:jc w:val="center"/>
              <w:rPr>
                <w:sz w:val="18"/>
                <w:szCs w:val="18"/>
              </w:rPr>
            </w:pPr>
            <w:r w:rsidRPr="004C78D8">
              <w:rPr>
                <w:sz w:val="18"/>
                <w:szCs w:val="18"/>
              </w:rPr>
              <w:t>10.5</w:t>
            </w:r>
          </w:p>
        </w:tc>
      </w:tr>
      <w:tr w:rsidR="003F78A9" w:rsidRPr="004C78D8" w14:paraId="0AF4E5E2" w14:textId="77777777" w:rsidTr="00E35893">
        <w:tc>
          <w:tcPr>
            <w:tcW w:w="1174" w:type="pct"/>
            <w:tcBorders>
              <w:bottom w:val="nil"/>
            </w:tcBorders>
          </w:tcPr>
          <w:p w14:paraId="2A1D7574" w14:textId="0019E9AF" w:rsidR="003F78A9" w:rsidRPr="004C78D8" w:rsidRDefault="003F78A9" w:rsidP="00FB7C1F">
            <w:pPr>
              <w:jc w:val="left"/>
              <w:rPr>
                <w:sz w:val="20"/>
                <w:szCs w:val="20"/>
              </w:rPr>
            </w:pPr>
            <w:r w:rsidRPr="004C78D8">
              <w:rPr>
                <w:b/>
                <w:bCs/>
                <w:i/>
                <w:iCs/>
                <w:sz w:val="20"/>
                <w:szCs w:val="20"/>
              </w:rPr>
              <w:t>Female</w:t>
            </w:r>
          </w:p>
        </w:tc>
        <w:tc>
          <w:tcPr>
            <w:tcW w:w="958" w:type="pct"/>
            <w:tcBorders>
              <w:bottom w:val="nil"/>
            </w:tcBorders>
          </w:tcPr>
          <w:p w14:paraId="472FBCD4" w14:textId="77777777" w:rsidR="003F78A9" w:rsidRPr="004C78D8" w:rsidRDefault="003F78A9" w:rsidP="00FB7C1F">
            <w:pPr>
              <w:jc w:val="center"/>
              <w:rPr>
                <w:sz w:val="20"/>
                <w:szCs w:val="20"/>
              </w:rPr>
            </w:pPr>
          </w:p>
        </w:tc>
        <w:tc>
          <w:tcPr>
            <w:tcW w:w="956" w:type="pct"/>
            <w:tcBorders>
              <w:bottom w:val="nil"/>
            </w:tcBorders>
          </w:tcPr>
          <w:p w14:paraId="0D6BFB1E" w14:textId="77777777" w:rsidR="003F78A9" w:rsidRPr="004C78D8" w:rsidRDefault="003F78A9" w:rsidP="00FB7C1F">
            <w:pPr>
              <w:jc w:val="center"/>
              <w:rPr>
                <w:sz w:val="20"/>
                <w:szCs w:val="20"/>
              </w:rPr>
            </w:pPr>
          </w:p>
        </w:tc>
        <w:tc>
          <w:tcPr>
            <w:tcW w:w="955" w:type="pct"/>
            <w:tcBorders>
              <w:bottom w:val="nil"/>
            </w:tcBorders>
          </w:tcPr>
          <w:p w14:paraId="028D692C" w14:textId="77777777" w:rsidR="003F78A9" w:rsidRPr="004C78D8" w:rsidRDefault="003F78A9" w:rsidP="00FB7C1F">
            <w:pPr>
              <w:jc w:val="center"/>
              <w:rPr>
                <w:sz w:val="20"/>
                <w:szCs w:val="20"/>
              </w:rPr>
            </w:pPr>
          </w:p>
        </w:tc>
        <w:tc>
          <w:tcPr>
            <w:tcW w:w="957" w:type="pct"/>
            <w:tcBorders>
              <w:bottom w:val="nil"/>
            </w:tcBorders>
          </w:tcPr>
          <w:p w14:paraId="0608641A" w14:textId="77777777" w:rsidR="003F78A9" w:rsidRPr="004C78D8" w:rsidRDefault="003F78A9" w:rsidP="00FB7C1F">
            <w:pPr>
              <w:jc w:val="center"/>
              <w:rPr>
                <w:sz w:val="20"/>
                <w:szCs w:val="20"/>
              </w:rPr>
            </w:pPr>
          </w:p>
        </w:tc>
      </w:tr>
      <w:tr w:rsidR="003F78A9" w:rsidRPr="004C78D8" w14:paraId="244166F2" w14:textId="77777777" w:rsidTr="00E35893">
        <w:tc>
          <w:tcPr>
            <w:tcW w:w="1174" w:type="pct"/>
            <w:tcBorders>
              <w:top w:val="nil"/>
              <w:bottom w:val="nil"/>
            </w:tcBorders>
          </w:tcPr>
          <w:p w14:paraId="7E58E800" w14:textId="1CF973B8" w:rsidR="003F78A9" w:rsidRPr="004C78D8" w:rsidRDefault="003F78A9" w:rsidP="00FB7C1F">
            <w:pPr>
              <w:jc w:val="left"/>
              <w:rPr>
                <w:sz w:val="18"/>
                <w:szCs w:val="18"/>
              </w:rPr>
            </w:pPr>
            <w:r w:rsidRPr="004C78D8">
              <w:rPr>
                <w:sz w:val="18"/>
                <w:szCs w:val="18"/>
              </w:rPr>
              <w:t>Age 60-64</w:t>
            </w:r>
          </w:p>
        </w:tc>
        <w:tc>
          <w:tcPr>
            <w:tcW w:w="958" w:type="pct"/>
            <w:tcBorders>
              <w:top w:val="nil"/>
              <w:bottom w:val="nil"/>
            </w:tcBorders>
          </w:tcPr>
          <w:p w14:paraId="33C93326" w14:textId="2A7127C1" w:rsidR="003F78A9" w:rsidRPr="004C78D8" w:rsidRDefault="003F78A9" w:rsidP="00FB7C1F">
            <w:pPr>
              <w:jc w:val="center"/>
              <w:rPr>
                <w:sz w:val="18"/>
                <w:szCs w:val="18"/>
              </w:rPr>
            </w:pPr>
            <w:r w:rsidRPr="004C78D8">
              <w:rPr>
                <w:sz w:val="18"/>
                <w:szCs w:val="18"/>
              </w:rPr>
              <w:t>37.5</w:t>
            </w:r>
          </w:p>
        </w:tc>
        <w:tc>
          <w:tcPr>
            <w:tcW w:w="956" w:type="pct"/>
            <w:tcBorders>
              <w:top w:val="nil"/>
              <w:bottom w:val="nil"/>
            </w:tcBorders>
          </w:tcPr>
          <w:p w14:paraId="48BC090D" w14:textId="6C0BCDDB" w:rsidR="003F78A9" w:rsidRPr="004C78D8" w:rsidRDefault="003F78A9" w:rsidP="00FB7C1F">
            <w:pPr>
              <w:jc w:val="center"/>
              <w:rPr>
                <w:sz w:val="18"/>
                <w:szCs w:val="18"/>
              </w:rPr>
            </w:pPr>
            <w:r w:rsidRPr="004C78D8">
              <w:rPr>
                <w:sz w:val="18"/>
                <w:szCs w:val="18"/>
              </w:rPr>
              <w:t>17.6</w:t>
            </w:r>
          </w:p>
        </w:tc>
        <w:tc>
          <w:tcPr>
            <w:tcW w:w="955" w:type="pct"/>
            <w:tcBorders>
              <w:top w:val="nil"/>
              <w:bottom w:val="nil"/>
            </w:tcBorders>
          </w:tcPr>
          <w:p w14:paraId="70B4262A" w14:textId="6312AA92" w:rsidR="003F78A9" w:rsidRPr="004C78D8" w:rsidRDefault="00146797" w:rsidP="00FB7C1F">
            <w:pPr>
              <w:jc w:val="center"/>
              <w:rPr>
                <w:sz w:val="18"/>
                <w:szCs w:val="18"/>
              </w:rPr>
            </w:pPr>
            <w:r w:rsidRPr="004C78D8">
              <w:rPr>
                <w:sz w:val="18"/>
                <w:szCs w:val="18"/>
              </w:rPr>
              <w:t>30.9</w:t>
            </w:r>
          </w:p>
        </w:tc>
        <w:tc>
          <w:tcPr>
            <w:tcW w:w="957" w:type="pct"/>
            <w:tcBorders>
              <w:top w:val="nil"/>
              <w:bottom w:val="nil"/>
            </w:tcBorders>
          </w:tcPr>
          <w:p w14:paraId="4A290F6B" w14:textId="2FC0F273" w:rsidR="003F78A9" w:rsidRPr="004C78D8" w:rsidRDefault="00146797" w:rsidP="00FB7C1F">
            <w:pPr>
              <w:jc w:val="center"/>
              <w:rPr>
                <w:sz w:val="18"/>
                <w:szCs w:val="18"/>
              </w:rPr>
            </w:pPr>
            <w:r w:rsidRPr="004C78D8">
              <w:rPr>
                <w:sz w:val="18"/>
                <w:szCs w:val="18"/>
              </w:rPr>
              <w:t>14.0</w:t>
            </w:r>
          </w:p>
        </w:tc>
      </w:tr>
      <w:tr w:rsidR="001905D4" w:rsidRPr="004C78D8" w14:paraId="16798785" w14:textId="77777777" w:rsidTr="00E35893">
        <w:tc>
          <w:tcPr>
            <w:tcW w:w="1174" w:type="pct"/>
            <w:tcBorders>
              <w:top w:val="nil"/>
              <w:bottom w:val="nil"/>
            </w:tcBorders>
          </w:tcPr>
          <w:p w14:paraId="73573ABE" w14:textId="28D91B2F" w:rsidR="001905D4" w:rsidRPr="004C78D8" w:rsidRDefault="001905D4" w:rsidP="00FB7C1F">
            <w:pPr>
              <w:jc w:val="left"/>
              <w:rPr>
                <w:sz w:val="18"/>
                <w:szCs w:val="18"/>
              </w:rPr>
            </w:pPr>
            <w:r w:rsidRPr="004C78D8">
              <w:rPr>
                <w:sz w:val="18"/>
                <w:szCs w:val="18"/>
              </w:rPr>
              <w:t>Age 65-69</w:t>
            </w:r>
          </w:p>
        </w:tc>
        <w:tc>
          <w:tcPr>
            <w:tcW w:w="958" w:type="pct"/>
            <w:tcBorders>
              <w:top w:val="nil"/>
              <w:bottom w:val="nil"/>
            </w:tcBorders>
          </w:tcPr>
          <w:p w14:paraId="74759304" w14:textId="3BFDE72E" w:rsidR="001905D4" w:rsidRPr="004C78D8" w:rsidRDefault="00146797" w:rsidP="00FB7C1F">
            <w:pPr>
              <w:jc w:val="center"/>
              <w:rPr>
                <w:sz w:val="18"/>
                <w:szCs w:val="18"/>
              </w:rPr>
            </w:pPr>
            <w:r w:rsidRPr="004C78D8">
              <w:rPr>
                <w:sz w:val="18"/>
                <w:szCs w:val="18"/>
              </w:rPr>
              <w:t>38.1</w:t>
            </w:r>
          </w:p>
        </w:tc>
        <w:tc>
          <w:tcPr>
            <w:tcW w:w="956" w:type="pct"/>
            <w:tcBorders>
              <w:top w:val="nil"/>
              <w:bottom w:val="nil"/>
            </w:tcBorders>
          </w:tcPr>
          <w:p w14:paraId="5D95F45E" w14:textId="165D6F20" w:rsidR="001905D4" w:rsidRPr="004C78D8" w:rsidRDefault="00146797" w:rsidP="00FB7C1F">
            <w:pPr>
              <w:jc w:val="center"/>
              <w:rPr>
                <w:sz w:val="18"/>
                <w:szCs w:val="18"/>
              </w:rPr>
            </w:pPr>
            <w:r w:rsidRPr="004C78D8">
              <w:rPr>
                <w:sz w:val="18"/>
                <w:szCs w:val="18"/>
              </w:rPr>
              <w:t>17.5</w:t>
            </w:r>
          </w:p>
        </w:tc>
        <w:tc>
          <w:tcPr>
            <w:tcW w:w="955" w:type="pct"/>
            <w:tcBorders>
              <w:top w:val="nil"/>
              <w:bottom w:val="nil"/>
            </w:tcBorders>
          </w:tcPr>
          <w:p w14:paraId="5CCC93FC" w14:textId="4822FE58" w:rsidR="001905D4" w:rsidRPr="004C78D8" w:rsidRDefault="00146797" w:rsidP="00FB7C1F">
            <w:pPr>
              <w:jc w:val="center"/>
              <w:rPr>
                <w:sz w:val="18"/>
                <w:szCs w:val="18"/>
              </w:rPr>
            </w:pPr>
            <w:r w:rsidRPr="004C78D8">
              <w:rPr>
                <w:sz w:val="18"/>
                <w:szCs w:val="18"/>
              </w:rPr>
              <w:t>31.6</w:t>
            </w:r>
          </w:p>
        </w:tc>
        <w:tc>
          <w:tcPr>
            <w:tcW w:w="957" w:type="pct"/>
            <w:tcBorders>
              <w:top w:val="nil"/>
              <w:bottom w:val="nil"/>
            </w:tcBorders>
          </w:tcPr>
          <w:p w14:paraId="2F562295" w14:textId="0A95F2DA" w:rsidR="001905D4" w:rsidRPr="004C78D8" w:rsidRDefault="00146797" w:rsidP="00FB7C1F">
            <w:pPr>
              <w:jc w:val="center"/>
              <w:rPr>
                <w:sz w:val="18"/>
                <w:szCs w:val="18"/>
              </w:rPr>
            </w:pPr>
            <w:r w:rsidRPr="004C78D8">
              <w:rPr>
                <w:sz w:val="18"/>
                <w:szCs w:val="18"/>
              </w:rPr>
              <w:t>12.8</w:t>
            </w:r>
          </w:p>
        </w:tc>
      </w:tr>
      <w:tr w:rsidR="001905D4" w:rsidRPr="004C78D8" w14:paraId="377D2DCA" w14:textId="77777777" w:rsidTr="00E35893">
        <w:tc>
          <w:tcPr>
            <w:tcW w:w="1174" w:type="pct"/>
            <w:tcBorders>
              <w:top w:val="nil"/>
              <w:bottom w:val="nil"/>
            </w:tcBorders>
          </w:tcPr>
          <w:p w14:paraId="3086AAEB" w14:textId="2BF49C8A" w:rsidR="001905D4" w:rsidRPr="004C78D8" w:rsidRDefault="001905D4" w:rsidP="00FB7C1F">
            <w:pPr>
              <w:jc w:val="left"/>
              <w:rPr>
                <w:sz w:val="18"/>
                <w:szCs w:val="18"/>
              </w:rPr>
            </w:pPr>
            <w:r w:rsidRPr="004C78D8">
              <w:rPr>
                <w:sz w:val="18"/>
                <w:szCs w:val="18"/>
              </w:rPr>
              <w:t>Age 70-74</w:t>
            </w:r>
          </w:p>
        </w:tc>
        <w:tc>
          <w:tcPr>
            <w:tcW w:w="958" w:type="pct"/>
            <w:tcBorders>
              <w:top w:val="nil"/>
              <w:bottom w:val="nil"/>
            </w:tcBorders>
          </w:tcPr>
          <w:p w14:paraId="3957BBAF" w14:textId="69A74064" w:rsidR="001905D4" w:rsidRPr="004C78D8" w:rsidRDefault="00146797" w:rsidP="00FB7C1F">
            <w:pPr>
              <w:jc w:val="center"/>
              <w:rPr>
                <w:sz w:val="18"/>
                <w:szCs w:val="18"/>
              </w:rPr>
            </w:pPr>
            <w:r w:rsidRPr="004C78D8">
              <w:rPr>
                <w:sz w:val="18"/>
                <w:szCs w:val="18"/>
              </w:rPr>
              <w:t>32.2</w:t>
            </w:r>
          </w:p>
        </w:tc>
        <w:tc>
          <w:tcPr>
            <w:tcW w:w="956" w:type="pct"/>
            <w:tcBorders>
              <w:top w:val="nil"/>
              <w:bottom w:val="nil"/>
            </w:tcBorders>
          </w:tcPr>
          <w:p w14:paraId="75C7F8E5" w14:textId="0A3BD6C7" w:rsidR="001905D4" w:rsidRPr="004C78D8" w:rsidRDefault="00146797" w:rsidP="00FB7C1F">
            <w:pPr>
              <w:jc w:val="center"/>
              <w:rPr>
                <w:sz w:val="18"/>
                <w:szCs w:val="18"/>
              </w:rPr>
            </w:pPr>
            <w:r w:rsidRPr="004C78D8">
              <w:rPr>
                <w:sz w:val="18"/>
                <w:szCs w:val="18"/>
              </w:rPr>
              <w:t>19.1</w:t>
            </w:r>
          </w:p>
        </w:tc>
        <w:tc>
          <w:tcPr>
            <w:tcW w:w="955" w:type="pct"/>
            <w:tcBorders>
              <w:top w:val="nil"/>
              <w:bottom w:val="nil"/>
            </w:tcBorders>
          </w:tcPr>
          <w:p w14:paraId="13A45E9B" w14:textId="45EE3739" w:rsidR="001905D4" w:rsidRPr="004C78D8" w:rsidRDefault="00146797" w:rsidP="00FB7C1F">
            <w:pPr>
              <w:jc w:val="center"/>
              <w:rPr>
                <w:sz w:val="18"/>
                <w:szCs w:val="18"/>
              </w:rPr>
            </w:pPr>
            <w:r w:rsidRPr="004C78D8">
              <w:rPr>
                <w:sz w:val="18"/>
                <w:szCs w:val="18"/>
              </w:rPr>
              <w:t>33.4</w:t>
            </w:r>
          </w:p>
        </w:tc>
        <w:tc>
          <w:tcPr>
            <w:tcW w:w="957" w:type="pct"/>
            <w:tcBorders>
              <w:top w:val="nil"/>
              <w:bottom w:val="nil"/>
            </w:tcBorders>
          </w:tcPr>
          <w:p w14:paraId="23CE2C10" w14:textId="4DF8817C" w:rsidR="001905D4" w:rsidRPr="004C78D8" w:rsidRDefault="00146797" w:rsidP="00FB7C1F">
            <w:pPr>
              <w:jc w:val="center"/>
              <w:rPr>
                <w:sz w:val="18"/>
                <w:szCs w:val="18"/>
              </w:rPr>
            </w:pPr>
            <w:r w:rsidRPr="004C78D8">
              <w:rPr>
                <w:sz w:val="18"/>
                <w:szCs w:val="18"/>
              </w:rPr>
              <w:t>15.3</w:t>
            </w:r>
          </w:p>
        </w:tc>
      </w:tr>
      <w:tr w:rsidR="001905D4" w:rsidRPr="004C78D8" w14:paraId="40239688" w14:textId="77777777" w:rsidTr="00E35893">
        <w:tc>
          <w:tcPr>
            <w:tcW w:w="1174" w:type="pct"/>
            <w:tcBorders>
              <w:top w:val="nil"/>
              <w:bottom w:val="nil"/>
            </w:tcBorders>
          </w:tcPr>
          <w:p w14:paraId="65901905" w14:textId="62261207" w:rsidR="001905D4" w:rsidRPr="004C78D8" w:rsidRDefault="001905D4" w:rsidP="00FB7C1F">
            <w:pPr>
              <w:jc w:val="left"/>
              <w:rPr>
                <w:sz w:val="18"/>
                <w:szCs w:val="18"/>
              </w:rPr>
            </w:pPr>
            <w:r w:rsidRPr="004C78D8">
              <w:rPr>
                <w:sz w:val="18"/>
                <w:szCs w:val="18"/>
              </w:rPr>
              <w:t>Age 75-79</w:t>
            </w:r>
          </w:p>
        </w:tc>
        <w:tc>
          <w:tcPr>
            <w:tcW w:w="958" w:type="pct"/>
            <w:tcBorders>
              <w:top w:val="nil"/>
              <w:bottom w:val="nil"/>
            </w:tcBorders>
          </w:tcPr>
          <w:p w14:paraId="641CB446" w14:textId="6AF59C17" w:rsidR="001905D4" w:rsidRPr="004C78D8" w:rsidRDefault="00146797" w:rsidP="00FB7C1F">
            <w:pPr>
              <w:jc w:val="center"/>
              <w:rPr>
                <w:sz w:val="18"/>
                <w:szCs w:val="18"/>
              </w:rPr>
            </w:pPr>
            <w:r w:rsidRPr="004C78D8">
              <w:rPr>
                <w:sz w:val="18"/>
                <w:szCs w:val="18"/>
              </w:rPr>
              <w:t>29.8</w:t>
            </w:r>
          </w:p>
        </w:tc>
        <w:tc>
          <w:tcPr>
            <w:tcW w:w="956" w:type="pct"/>
            <w:tcBorders>
              <w:top w:val="nil"/>
              <w:bottom w:val="nil"/>
            </w:tcBorders>
          </w:tcPr>
          <w:p w14:paraId="3C3CCB01" w14:textId="2A4A7857" w:rsidR="001905D4" w:rsidRPr="004C78D8" w:rsidRDefault="00146797" w:rsidP="00FB7C1F">
            <w:pPr>
              <w:jc w:val="center"/>
              <w:rPr>
                <w:sz w:val="18"/>
                <w:szCs w:val="18"/>
              </w:rPr>
            </w:pPr>
            <w:r w:rsidRPr="004C78D8">
              <w:rPr>
                <w:sz w:val="18"/>
                <w:szCs w:val="18"/>
              </w:rPr>
              <w:t>22.2</w:t>
            </w:r>
          </w:p>
        </w:tc>
        <w:tc>
          <w:tcPr>
            <w:tcW w:w="955" w:type="pct"/>
            <w:tcBorders>
              <w:top w:val="nil"/>
              <w:bottom w:val="nil"/>
            </w:tcBorders>
          </w:tcPr>
          <w:p w14:paraId="0344BC95" w14:textId="1F1DC9E1" w:rsidR="001905D4" w:rsidRPr="004C78D8" w:rsidRDefault="00146797" w:rsidP="00FB7C1F">
            <w:pPr>
              <w:jc w:val="center"/>
              <w:rPr>
                <w:sz w:val="18"/>
                <w:szCs w:val="18"/>
              </w:rPr>
            </w:pPr>
            <w:r w:rsidRPr="004C78D8">
              <w:rPr>
                <w:sz w:val="18"/>
                <w:szCs w:val="18"/>
              </w:rPr>
              <w:t>33.5</w:t>
            </w:r>
          </w:p>
        </w:tc>
        <w:tc>
          <w:tcPr>
            <w:tcW w:w="957" w:type="pct"/>
            <w:tcBorders>
              <w:top w:val="nil"/>
              <w:bottom w:val="nil"/>
            </w:tcBorders>
          </w:tcPr>
          <w:p w14:paraId="7F036416" w14:textId="76116376" w:rsidR="001905D4" w:rsidRPr="004C78D8" w:rsidRDefault="00146797" w:rsidP="00FB7C1F">
            <w:pPr>
              <w:jc w:val="center"/>
              <w:rPr>
                <w:sz w:val="18"/>
                <w:szCs w:val="18"/>
              </w:rPr>
            </w:pPr>
            <w:r w:rsidRPr="004C78D8">
              <w:rPr>
                <w:sz w:val="18"/>
                <w:szCs w:val="18"/>
              </w:rPr>
              <w:t>14.5</w:t>
            </w:r>
          </w:p>
        </w:tc>
      </w:tr>
      <w:tr w:rsidR="001905D4" w:rsidRPr="004C78D8" w14:paraId="1FA9AAEE" w14:textId="77777777" w:rsidTr="00E35893">
        <w:tc>
          <w:tcPr>
            <w:tcW w:w="1174" w:type="pct"/>
            <w:tcBorders>
              <w:top w:val="nil"/>
              <w:bottom w:val="nil"/>
            </w:tcBorders>
          </w:tcPr>
          <w:p w14:paraId="774A6246" w14:textId="698E83B6" w:rsidR="001905D4" w:rsidRPr="004C78D8" w:rsidRDefault="001905D4" w:rsidP="00FB7C1F">
            <w:pPr>
              <w:jc w:val="left"/>
              <w:rPr>
                <w:sz w:val="18"/>
                <w:szCs w:val="18"/>
              </w:rPr>
            </w:pPr>
            <w:r w:rsidRPr="004C78D8">
              <w:rPr>
                <w:sz w:val="18"/>
                <w:szCs w:val="18"/>
              </w:rPr>
              <w:t>Age 80-84</w:t>
            </w:r>
          </w:p>
        </w:tc>
        <w:tc>
          <w:tcPr>
            <w:tcW w:w="958" w:type="pct"/>
            <w:tcBorders>
              <w:top w:val="nil"/>
              <w:bottom w:val="nil"/>
            </w:tcBorders>
          </w:tcPr>
          <w:p w14:paraId="7BA91C46" w14:textId="42512604" w:rsidR="001905D4" w:rsidRPr="004C78D8" w:rsidRDefault="00146797" w:rsidP="00FB7C1F">
            <w:pPr>
              <w:jc w:val="center"/>
              <w:rPr>
                <w:sz w:val="18"/>
                <w:szCs w:val="18"/>
              </w:rPr>
            </w:pPr>
            <w:r w:rsidRPr="004C78D8">
              <w:rPr>
                <w:sz w:val="18"/>
                <w:szCs w:val="18"/>
              </w:rPr>
              <w:t>31.6</w:t>
            </w:r>
          </w:p>
        </w:tc>
        <w:tc>
          <w:tcPr>
            <w:tcW w:w="956" w:type="pct"/>
            <w:tcBorders>
              <w:top w:val="nil"/>
              <w:bottom w:val="nil"/>
            </w:tcBorders>
          </w:tcPr>
          <w:p w14:paraId="21AEAB95" w14:textId="0530726B" w:rsidR="001905D4" w:rsidRPr="004C78D8" w:rsidRDefault="00146797" w:rsidP="00FB7C1F">
            <w:pPr>
              <w:jc w:val="center"/>
              <w:rPr>
                <w:sz w:val="18"/>
                <w:szCs w:val="18"/>
              </w:rPr>
            </w:pPr>
            <w:r w:rsidRPr="004C78D8">
              <w:rPr>
                <w:sz w:val="18"/>
                <w:szCs w:val="18"/>
              </w:rPr>
              <w:t>22.5</w:t>
            </w:r>
          </w:p>
        </w:tc>
        <w:tc>
          <w:tcPr>
            <w:tcW w:w="955" w:type="pct"/>
            <w:tcBorders>
              <w:top w:val="nil"/>
              <w:bottom w:val="nil"/>
            </w:tcBorders>
          </w:tcPr>
          <w:p w14:paraId="44F93A3C" w14:textId="29D3B0E8" w:rsidR="001905D4" w:rsidRPr="004C78D8" w:rsidRDefault="00146797" w:rsidP="00FB7C1F">
            <w:pPr>
              <w:jc w:val="center"/>
              <w:rPr>
                <w:sz w:val="18"/>
                <w:szCs w:val="18"/>
              </w:rPr>
            </w:pPr>
            <w:r w:rsidRPr="004C78D8">
              <w:rPr>
                <w:sz w:val="18"/>
                <w:szCs w:val="18"/>
              </w:rPr>
              <w:t>36.1</w:t>
            </w:r>
          </w:p>
        </w:tc>
        <w:tc>
          <w:tcPr>
            <w:tcW w:w="957" w:type="pct"/>
            <w:tcBorders>
              <w:top w:val="nil"/>
              <w:bottom w:val="nil"/>
            </w:tcBorders>
          </w:tcPr>
          <w:p w14:paraId="283BF819" w14:textId="7A2CD696" w:rsidR="001905D4" w:rsidRPr="004C78D8" w:rsidRDefault="00146797" w:rsidP="00FB7C1F">
            <w:pPr>
              <w:jc w:val="center"/>
              <w:rPr>
                <w:sz w:val="18"/>
                <w:szCs w:val="18"/>
              </w:rPr>
            </w:pPr>
            <w:r w:rsidRPr="004C78D8">
              <w:rPr>
                <w:sz w:val="18"/>
                <w:szCs w:val="18"/>
              </w:rPr>
              <w:t>9.8</w:t>
            </w:r>
          </w:p>
        </w:tc>
      </w:tr>
      <w:tr w:rsidR="001905D4" w:rsidRPr="004C78D8" w14:paraId="7E0D0843" w14:textId="77777777" w:rsidTr="00E35893">
        <w:tc>
          <w:tcPr>
            <w:tcW w:w="1174" w:type="pct"/>
            <w:tcBorders>
              <w:top w:val="nil"/>
              <w:bottom w:val="nil"/>
            </w:tcBorders>
          </w:tcPr>
          <w:p w14:paraId="2298C15E" w14:textId="1B5FCFE9" w:rsidR="001905D4" w:rsidRPr="004C78D8" w:rsidRDefault="001905D4" w:rsidP="00FB7C1F">
            <w:pPr>
              <w:jc w:val="left"/>
              <w:rPr>
                <w:sz w:val="18"/>
                <w:szCs w:val="18"/>
              </w:rPr>
            </w:pPr>
            <w:r w:rsidRPr="004C78D8">
              <w:rPr>
                <w:sz w:val="18"/>
                <w:szCs w:val="18"/>
              </w:rPr>
              <w:t>Age 85-89</w:t>
            </w:r>
          </w:p>
        </w:tc>
        <w:tc>
          <w:tcPr>
            <w:tcW w:w="958" w:type="pct"/>
            <w:tcBorders>
              <w:top w:val="nil"/>
              <w:bottom w:val="nil"/>
            </w:tcBorders>
          </w:tcPr>
          <w:p w14:paraId="593EF3CF" w14:textId="5326AD81" w:rsidR="001905D4" w:rsidRPr="004C78D8" w:rsidRDefault="00146797" w:rsidP="00FB7C1F">
            <w:pPr>
              <w:jc w:val="center"/>
              <w:rPr>
                <w:sz w:val="18"/>
                <w:szCs w:val="18"/>
              </w:rPr>
            </w:pPr>
            <w:r w:rsidRPr="004C78D8">
              <w:rPr>
                <w:sz w:val="18"/>
                <w:szCs w:val="18"/>
              </w:rPr>
              <w:t>34.5</w:t>
            </w:r>
          </w:p>
        </w:tc>
        <w:tc>
          <w:tcPr>
            <w:tcW w:w="956" w:type="pct"/>
            <w:tcBorders>
              <w:top w:val="nil"/>
              <w:bottom w:val="nil"/>
            </w:tcBorders>
          </w:tcPr>
          <w:p w14:paraId="5F1C4309" w14:textId="0AAE1257" w:rsidR="001905D4" w:rsidRPr="004C78D8" w:rsidRDefault="00146797" w:rsidP="00FB7C1F">
            <w:pPr>
              <w:jc w:val="center"/>
              <w:rPr>
                <w:sz w:val="18"/>
                <w:szCs w:val="18"/>
              </w:rPr>
            </w:pPr>
            <w:r w:rsidRPr="004C78D8">
              <w:rPr>
                <w:sz w:val="18"/>
                <w:szCs w:val="18"/>
              </w:rPr>
              <w:t>22.5</w:t>
            </w:r>
          </w:p>
        </w:tc>
        <w:tc>
          <w:tcPr>
            <w:tcW w:w="955" w:type="pct"/>
            <w:tcBorders>
              <w:top w:val="nil"/>
              <w:bottom w:val="nil"/>
            </w:tcBorders>
          </w:tcPr>
          <w:p w14:paraId="5A448D41" w14:textId="372E6505" w:rsidR="001905D4" w:rsidRPr="004C78D8" w:rsidRDefault="00146797" w:rsidP="00FB7C1F">
            <w:pPr>
              <w:jc w:val="center"/>
              <w:rPr>
                <w:sz w:val="18"/>
                <w:szCs w:val="18"/>
              </w:rPr>
            </w:pPr>
            <w:r w:rsidRPr="004C78D8">
              <w:rPr>
                <w:sz w:val="18"/>
                <w:szCs w:val="18"/>
              </w:rPr>
              <w:t>35.2</w:t>
            </w:r>
          </w:p>
        </w:tc>
        <w:tc>
          <w:tcPr>
            <w:tcW w:w="957" w:type="pct"/>
            <w:tcBorders>
              <w:top w:val="nil"/>
              <w:bottom w:val="nil"/>
            </w:tcBorders>
          </w:tcPr>
          <w:p w14:paraId="12EBE06A" w14:textId="72B52027" w:rsidR="001905D4" w:rsidRPr="004C78D8" w:rsidRDefault="00146797" w:rsidP="00FB7C1F">
            <w:pPr>
              <w:jc w:val="center"/>
              <w:rPr>
                <w:sz w:val="18"/>
                <w:szCs w:val="18"/>
              </w:rPr>
            </w:pPr>
            <w:r w:rsidRPr="004C78D8">
              <w:rPr>
                <w:sz w:val="18"/>
                <w:szCs w:val="18"/>
              </w:rPr>
              <w:t>7.8</w:t>
            </w:r>
          </w:p>
        </w:tc>
      </w:tr>
      <w:tr w:rsidR="001905D4" w:rsidRPr="004C78D8" w14:paraId="58757610" w14:textId="77777777" w:rsidTr="00E35893">
        <w:tc>
          <w:tcPr>
            <w:tcW w:w="1174" w:type="pct"/>
            <w:tcBorders>
              <w:top w:val="nil"/>
              <w:bottom w:val="single" w:sz="4" w:space="0" w:color="auto"/>
            </w:tcBorders>
          </w:tcPr>
          <w:p w14:paraId="5502F6AA" w14:textId="45B7DB9C" w:rsidR="001905D4" w:rsidRPr="004C78D8" w:rsidRDefault="001905D4" w:rsidP="00FB7C1F">
            <w:pPr>
              <w:jc w:val="left"/>
              <w:rPr>
                <w:sz w:val="18"/>
                <w:szCs w:val="18"/>
              </w:rPr>
            </w:pPr>
            <w:r w:rsidRPr="004C78D8">
              <w:rPr>
                <w:sz w:val="18"/>
                <w:szCs w:val="18"/>
              </w:rPr>
              <w:t>Age 90+</w:t>
            </w:r>
          </w:p>
        </w:tc>
        <w:tc>
          <w:tcPr>
            <w:tcW w:w="958" w:type="pct"/>
            <w:tcBorders>
              <w:top w:val="nil"/>
              <w:bottom w:val="single" w:sz="4" w:space="0" w:color="auto"/>
            </w:tcBorders>
          </w:tcPr>
          <w:p w14:paraId="6DBDA934" w14:textId="7332D65B" w:rsidR="001905D4" w:rsidRPr="004C78D8" w:rsidRDefault="00146797" w:rsidP="00FB7C1F">
            <w:pPr>
              <w:jc w:val="center"/>
              <w:rPr>
                <w:sz w:val="18"/>
                <w:szCs w:val="18"/>
              </w:rPr>
            </w:pPr>
            <w:r w:rsidRPr="004C78D8">
              <w:rPr>
                <w:sz w:val="18"/>
                <w:szCs w:val="18"/>
              </w:rPr>
              <w:t>40.1</w:t>
            </w:r>
          </w:p>
        </w:tc>
        <w:tc>
          <w:tcPr>
            <w:tcW w:w="956" w:type="pct"/>
            <w:tcBorders>
              <w:top w:val="nil"/>
              <w:bottom w:val="single" w:sz="4" w:space="0" w:color="auto"/>
            </w:tcBorders>
          </w:tcPr>
          <w:p w14:paraId="20111ABE" w14:textId="1D85C845" w:rsidR="001905D4" w:rsidRPr="004C78D8" w:rsidRDefault="00146797" w:rsidP="00FB7C1F">
            <w:pPr>
              <w:jc w:val="center"/>
              <w:rPr>
                <w:sz w:val="18"/>
                <w:szCs w:val="18"/>
              </w:rPr>
            </w:pPr>
            <w:r w:rsidRPr="004C78D8">
              <w:rPr>
                <w:sz w:val="18"/>
                <w:szCs w:val="18"/>
              </w:rPr>
              <w:t>26.2</w:t>
            </w:r>
          </w:p>
        </w:tc>
        <w:tc>
          <w:tcPr>
            <w:tcW w:w="955" w:type="pct"/>
            <w:tcBorders>
              <w:top w:val="nil"/>
              <w:bottom w:val="single" w:sz="4" w:space="0" w:color="auto"/>
            </w:tcBorders>
          </w:tcPr>
          <w:p w14:paraId="4B3B9F66" w14:textId="624445D3" w:rsidR="001905D4" w:rsidRPr="004C78D8" w:rsidRDefault="00146797" w:rsidP="00FB7C1F">
            <w:pPr>
              <w:jc w:val="center"/>
              <w:rPr>
                <w:sz w:val="18"/>
                <w:szCs w:val="18"/>
              </w:rPr>
            </w:pPr>
            <w:r w:rsidRPr="004C78D8">
              <w:rPr>
                <w:sz w:val="18"/>
                <w:szCs w:val="18"/>
              </w:rPr>
              <w:t>27.9</w:t>
            </w:r>
          </w:p>
        </w:tc>
        <w:tc>
          <w:tcPr>
            <w:tcW w:w="957" w:type="pct"/>
            <w:tcBorders>
              <w:top w:val="nil"/>
              <w:bottom w:val="single" w:sz="4" w:space="0" w:color="auto"/>
            </w:tcBorders>
          </w:tcPr>
          <w:p w14:paraId="495EE49F" w14:textId="28423671" w:rsidR="001905D4" w:rsidRPr="004C78D8" w:rsidRDefault="00146797" w:rsidP="00FB7C1F">
            <w:pPr>
              <w:jc w:val="center"/>
              <w:rPr>
                <w:sz w:val="18"/>
                <w:szCs w:val="18"/>
              </w:rPr>
            </w:pPr>
            <w:r w:rsidRPr="004C78D8">
              <w:rPr>
                <w:sz w:val="18"/>
                <w:szCs w:val="18"/>
              </w:rPr>
              <w:t>5.8</w:t>
            </w:r>
          </w:p>
        </w:tc>
      </w:tr>
      <w:tr w:rsidR="001905D4" w:rsidRPr="004C78D8" w14:paraId="4B23185E" w14:textId="77777777" w:rsidTr="00E35893">
        <w:tc>
          <w:tcPr>
            <w:tcW w:w="1174" w:type="pct"/>
            <w:tcBorders>
              <w:top w:val="single" w:sz="4" w:space="0" w:color="auto"/>
            </w:tcBorders>
          </w:tcPr>
          <w:p w14:paraId="2D3F1689" w14:textId="2D55DD99" w:rsidR="001905D4" w:rsidRPr="004C78D8" w:rsidRDefault="001905D4" w:rsidP="00FB7C1F">
            <w:pPr>
              <w:jc w:val="left"/>
              <w:rPr>
                <w:sz w:val="18"/>
                <w:szCs w:val="18"/>
              </w:rPr>
            </w:pPr>
            <w:r w:rsidRPr="004C78D8">
              <w:rPr>
                <w:sz w:val="18"/>
                <w:szCs w:val="18"/>
              </w:rPr>
              <w:t>All age groups</w:t>
            </w:r>
          </w:p>
        </w:tc>
        <w:tc>
          <w:tcPr>
            <w:tcW w:w="958" w:type="pct"/>
            <w:tcBorders>
              <w:top w:val="single" w:sz="4" w:space="0" w:color="auto"/>
            </w:tcBorders>
          </w:tcPr>
          <w:p w14:paraId="68504DA0" w14:textId="3D61DD99" w:rsidR="001905D4" w:rsidRPr="004C78D8" w:rsidRDefault="001905D4" w:rsidP="00FB7C1F">
            <w:pPr>
              <w:jc w:val="center"/>
              <w:rPr>
                <w:sz w:val="18"/>
                <w:szCs w:val="18"/>
              </w:rPr>
            </w:pPr>
            <w:r w:rsidRPr="004C78D8">
              <w:rPr>
                <w:sz w:val="18"/>
                <w:szCs w:val="18"/>
              </w:rPr>
              <w:t>34.7</w:t>
            </w:r>
          </w:p>
        </w:tc>
        <w:tc>
          <w:tcPr>
            <w:tcW w:w="956" w:type="pct"/>
            <w:tcBorders>
              <w:top w:val="single" w:sz="4" w:space="0" w:color="auto"/>
            </w:tcBorders>
          </w:tcPr>
          <w:p w14:paraId="6BBED461" w14:textId="5753F5C8" w:rsidR="001905D4" w:rsidRPr="004C78D8" w:rsidRDefault="001905D4" w:rsidP="00FB7C1F">
            <w:pPr>
              <w:jc w:val="center"/>
              <w:rPr>
                <w:sz w:val="18"/>
                <w:szCs w:val="18"/>
              </w:rPr>
            </w:pPr>
            <w:r w:rsidRPr="004C78D8">
              <w:rPr>
                <w:sz w:val="18"/>
                <w:szCs w:val="18"/>
              </w:rPr>
              <w:t>19.5</w:t>
            </w:r>
          </w:p>
        </w:tc>
        <w:tc>
          <w:tcPr>
            <w:tcW w:w="955" w:type="pct"/>
            <w:tcBorders>
              <w:top w:val="single" w:sz="4" w:space="0" w:color="auto"/>
            </w:tcBorders>
          </w:tcPr>
          <w:p w14:paraId="12E6849A" w14:textId="0FCCC5BF" w:rsidR="001905D4" w:rsidRPr="004C78D8" w:rsidRDefault="001905D4" w:rsidP="00FB7C1F">
            <w:pPr>
              <w:jc w:val="center"/>
              <w:rPr>
                <w:sz w:val="18"/>
                <w:szCs w:val="18"/>
              </w:rPr>
            </w:pPr>
            <w:r w:rsidRPr="004C78D8">
              <w:rPr>
                <w:sz w:val="18"/>
                <w:szCs w:val="18"/>
              </w:rPr>
              <w:t>32.6</w:t>
            </w:r>
          </w:p>
        </w:tc>
        <w:tc>
          <w:tcPr>
            <w:tcW w:w="957" w:type="pct"/>
            <w:tcBorders>
              <w:top w:val="single" w:sz="4" w:space="0" w:color="auto"/>
            </w:tcBorders>
          </w:tcPr>
          <w:p w14:paraId="3079C90F" w14:textId="29C5B3CA" w:rsidR="001905D4" w:rsidRPr="004C78D8" w:rsidRDefault="001905D4" w:rsidP="00FB7C1F">
            <w:pPr>
              <w:jc w:val="center"/>
              <w:rPr>
                <w:sz w:val="18"/>
                <w:szCs w:val="18"/>
              </w:rPr>
            </w:pPr>
            <w:r w:rsidRPr="004C78D8">
              <w:rPr>
                <w:sz w:val="18"/>
                <w:szCs w:val="18"/>
              </w:rPr>
              <w:t>13.2</w:t>
            </w:r>
          </w:p>
        </w:tc>
      </w:tr>
      <w:tr w:rsidR="001905D4" w:rsidRPr="004C78D8" w14:paraId="43E7D158" w14:textId="77777777" w:rsidTr="00E35893">
        <w:tc>
          <w:tcPr>
            <w:tcW w:w="5000" w:type="pct"/>
            <w:gridSpan w:val="5"/>
          </w:tcPr>
          <w:p w14:paraId="3FDAB1E7" w14:textId="22644CC8" w:rsidR="001905D4" w:rsidRPr="004C78D8" w:rsidRDefault="00D10D5E" w:rsidP="00FB7C1F">
            <w:pPr>
              <w:rPr>
                <w:sz w:val="20"/>
                <w:szCs w:val="20"/>
              </w:rPr>
            </w:pPr>
            <w:r w:rsidRPr="004C78D8">
              <w:rPr>
                <w:b/>
                <w:bCs/>
                <w:sz w:val="18"/>
                <w:szCs w:val="18"/>
              </w:rPr>
              <w:t>Abbreviation</w:t>
            </w:r>
            <w:r w:rsidR="00D12B99" w:rsidRPr="004C78D8">
              <w:rPr>
                <w:b/>
                <w:bCs/>
                <w:sz w:val="18"/>
                <w:szCs w:val="18"/>
              </w:rPr>
              <w:t xml:space="preserve">: </w:t>
            </w:r>
            <w:r w:rsidR="001905D4" w:rsidRPr="004C78D8">
              <w:rPr>
                <w:sz w:val="18"/>
                <w:szCs w:val="18"/>
              </w:rPr>
              <w:t>ELSA: English Longitudinal Study of Ageing</w:t>
            </w:r>
            <w:r w:rsidR="00A618A7" w:rsidRPr="004C78D8">
              <w:rPr>
                <w:sz w:val="18"/>
                <w:szCs w:val="18"/>
              </w:rPr>
              <w:t>; SES: socioeconomic status</w:t>
            </w:r>
          </w:p>
        </w:tc>
      </w:tr>
    </w:tbl>
    <w:p w14:paraId="1D9E8393" w14:textId="77777777" w:rsidR="008B6B0B" w:rsidRPr="004C78D8" w:rsidRDefault="008B6B0B" w:rsidP="00FB7C1F"/>
    <w:p w14:paraId="45473CBB" w14:textId="1ED64B5A" w:rsidR="00373C68" w:rsidRPr="004C78D8" w:rsidRDefault="00F53444" w:rsidP="00FB7C1F">
      <w:pPr>
        <w:pStyle w:val="Heading4"/>
      </w:pPr>
      <w:r w:rsidRPr="004C78D8">
        <w:t>5</w:t>
      </w:r>
      <w:r w:rsidR="00186FB2" w:rsidRPr="004C78D8">
        <w:t>.</w:t>
      </w:r>
      <w:r w:rsidR="00127AB4" w:rsidRPr="004C78D8">
        <w:t>2</w:t>
      </w:r>
      <w:r w:rsidR="00186FB2" w:rsidRPr="004C78D8">
        <w:t xml:space="preserve">.2.3 Baseline falls history </w:t>
      </w:r>
    </w:p>
    <w:p w14:paraId="7FF9D684" w14:textId="1E156E33" w:rsidR="00B9514C" w:rsidRPr="004C78D8" w:rsidRDefault="00A34905" w:rsidP="00FB7C1F">
      <w:r w:rsidRPr="004C78D8">
        <w:t xml:space="preserve">After age, sex and </w:t>
      </w:r>
      <w:r w:rsidR="00C61F57" w:rsidRPr="004C78D8">
        <w:t xml:space="preserve">SES </w:t>
      </w:r>
      <w:r w:rsidRPr="004C78D8">
        <w:t xml:space="preserve">quartile, individuals were assigned their </w:t>
      </w:r>
      <w:r w:rsidR="00C61F57" w:rsidRPr="004C78D8">
        <w:t xml:space="preserve">baseline </w:t>
      </w:r>
      <w:r w:rsidRPr="004C78D8">
        <w:t xml:space="preserve">falls history. </w:t>
      </w:r>
      <w:r w:rsidR="00E37EBB" w:rsidRPr="004C78D8">
        <w:t xml:space="preserve">In </w:t>
      </w:r>
      <w:r w:rsidRPr="004C78D8">
        <w:t>ELSA</w:t>
      </w:r>
      <w:r w:rsidR="00E37EBB" w:rsidRPr="004C78D8">
        <w:t xml:space="preserve"> Wave 4, participants were asked</w:t>
      </w:r>
      <w:r w:rsidR="00266813" w:rsidRPr="004C78D8">
        <w:t>: (i)</w:t>
      </w:r>
      <w:r w:rsidR="00E37EBB" w:rsidRPr="004C78D8">
        <w:t xml:space="preserve"> whether they had fallen down last year</w:t>
      </w:r>
      <w:r w:rsidR="00266813" w:rsidRPr="004C78D8">
        <w:t xml:space="preserve">; (ii) number of times they had fallen down last year; and (iii) whether they were injured seriously enough from the fall to need medical treatment. From these three variables five falls history types were formed: (1) no falls history; (2) history of single fall not requiring medical attention (non-MA fall); (3) recurrent non-MA falls history; (4) single MA fall history; and (5) history of recurrent falls with at least one MA fall. Note that it was not possible to discern from ELSA whether a person experienced one or multiple MA fall(s). </w:t>
      </w:r>
      <w:r w:rsidR="00C73E67" w:rsidRPr="004C78D8">
        <w:t xml:space="preserve">Table </w:t>
      </w:r>
      <w:r w:rsidR="00F53444" w:rsidRPr="004C78D8">
        <w:t>5</w:t>
      </w:r>
      <w:r w:rsidR="00C73E67" w:rsidRPr="004C78D8">
        <w:t>.</w:t>
      </w:r>
      <w:r w:rsidR="00C55EF8" w:rsidRPr="004C78D8">
        <w:t>6</w:t>
      </w:r>
      <w:r w:rsidR="00266813" w:rsidRPr="004C78D8">
        <w:t xml:space="preserve"> shows the </w:t>
      </w:r>
      <w:r w:rsidR="000A26A4" w:rsidRPr="004C78D8">
        <w:t>proportions of</w:t>
      </w:r>
      <w:r w:rsidR="00266813" w:rsidRPr="004C78D8">
        <w:t xml:space="preserve"> falls history type </w:t>
      </w:r>
      <w:r w:rsidR="000A26A4" w:rsidRPr="004C78D8">
        <w:t>for</w:t>
      </w:r>
      <w:r w:rsidR="00266813" w:rsidRPr="004C78D8">
        <w:t xml:space="preserve"> </w:t>
      </w:r>
      <w:r w:rsidR="00CE46E3" w:rsidRPr="004C78D8">
        <w:t>men</w:t>
      </w:r>
      <w:r w:rsidR="00266813" w:rsidRPr="004C78D8">
        <w:t xml:space="preserve"> in the most privileged </w:t>
      </w:r>
      <w:r w:rsidR="00CE46E3" w:rsidRPr="004C78D8">
        <w:t>SES</w:t>
      </w:r>
      <w:r w:rsidR="00266813" w:rsidRPr="004C78D8">
        <w:t xml:space="preserve"> quartile by age group and </w:t>
      </w:r>
      <w:r w:rsidR="000A26A4" w:rsidRPr="004C78D8">
        <w:t>for</w:t>
      </w:r>
      <w:r w:rsidR="00266813" w:rsidRPr="004C78D8">
        <w:t xml:space="preserve"> </w:t>
      </w:r>
      <w:r w:rsidR="00CE46E3" w:rsidRPr="004C78D8">
        <w:t>women</w:t>
      </w:r>
      <w:r w:rsidR="00266813" w:rsidRPr="004C78D8">
        <w:t xml:space="preserve"> in the most deprived </w:t>
      </w:r>
      <w:r w:rsidR="00CE46E3" w:rsidRPr="004C78D8">
        <w:t>SES</w:t>
      </w:r>
      <w:r w:rsidR="00266813" w:rsidRPr="004C78D8">
        <w:t xml:space="preserve"> quartile. </w:t>
      </w:r>
      <w:r w:rsidR="009343B9" w:rsidRPr="004C78D8">
        <w:t>T</w:t>
      </w:r>
      <w:r w:rsidR="00036EC3" w:rsidRPr="004C78D8">
        <w:t xml:space="preserve">he full set of </w:t>
      </w:r>
      <w:r w:rsidR="000A26A4" w:rsidRPr="004C78D8">
        <w:t>proportions</w:t>
      </w:r>
      <w:r w:rsidR="00D200FF" w:rsidRPr="004C78D8">
        <w:t xml:space="preserve"> </w:t>
      </w:r>
      <w:r w:rsidR="000525DA" w:rsidRPr="004C78D8">
        <w:t xml:space="preserve">is </w:t>
      </w:r>
      <w:r w:rsidR="00036EC3" w:rsidRPr="004C78D8">
        <w:t>shown</w:t>
      </w:r>
      <w:r w:rsidR="00D200FF" w:rsidRPr="004C78D8">
        <w:t xml:space="preserve"> in Table </w:t>
      </w:r>
      <w:r w:rsidR="002D3415" w:rsidRPr="004C78D8">
        <w:t>E</w:t>
      </w:r>
      <w:r w:rsidR="00C55EF8" w:rsidRPr="004C78D8">
        <w:t>6</w:t>
      </w:r>
      <w:r w:rsidR="00D200FF" w:rsidRPr="004C78D8">
        <w:t>.</w:t>
      </w:r>
    </w:p>
    <w:tbl>
      <w:tblPr>
        <w:tblStyle w:val="TableGrid"/>
        <w:tblW w:w="5000" w:type="pct"/>
        <w:tblLook w:val="04A0" w:firstRow="1" w:lastRow="0" w:firstColumn="1" w:lastColumn="0" w:noHBand="0" w:noVBand="1"/>
      </w:tblPr>
      <w:tblGrid>
        <w:gridCol w:w="1130"/>
        <w:gridCol w:w="1576"/>
        <w:gridCol w:w="1574"/>
        <w:gridCol w:w="1581"/>
        <w:gridCol w:w="1574"/>
        <w:gridCol w:w="1581"/>
      </w:tblGrid>
      <w:tr w:rsidR="00C73E67" w:rsidRPr="004C78D8" w14:paraId="171182ED" w14:textId="77777777" w:rsidTr="00E35893">
        <w:tc>
          <w:tcPr>
            <w:tcW w:w="5000" w:type="pct"/>
            <w:gridSpan w:val="6"/>
          </w:tcPr>
          <w:p w14:paraId="3CD01DBC" w14:textId="37315E57" w:rsidR="00C73E67" w:rsidRPr="004C78D8" w:rsidRDefault="00C73E67" w:rsidP="00FB7C1F">
            <w:r w:rsidRPr="004C78D8">
              <w:rPr>
                <w:b/>
                <w:bCs/>
              </w:rPr>
              <w:t xml:space="preserve">Table </w:t>
            </w:r>
            <w:r w:rsidR="00F53444" w:rsidRPr="004C78D8">
              <w:rPr>
                <w:b/>
                <w:bCs/>
              </w:rPr>
              <w:t>5</w:t>
            </w:r>
            <w:r w:rsidRPr="004C78D8">
              <w:rPr>
                <w:b/>
                <w:bCs/>
              </w:rPr>
              <w:t>.</w:t>
            </w:r>
            <w:r w:rsidR="00C55EF8" w:rsidRPr="004C78D8">
              <w:rPr>
                <w:b/>
                <w:bCs/>
              </w:rPr>
              <w:t>6</w:t>
            </w:r>
            <w:r w:rsidRPr="004C78D8">
              <w:t xml:space="preserve"> </w:t>
            </w:r>
            <w:r w:rsidR="004C4583" w:rsidRPr="004C78D8">
              <w:t>Proportions</w:t>
            </w:r>
            <w:r w:rsidRPr="004C78D8">
              <w:t xml:space="preserve"> of baseline falls history types by age group</w:t>
            </w:r>
            <w:r w:rsidR="00266813" w:rsidRPr="004C78D8">
              <w:t>,</w:t>
            </w:r>
            <w:r w:rsidRPr="004C78D8">
              <w:t xml:space="preserve"> sex </w:t>
            </w:r>
            <w:r w:rsidR="00266813" w:rsidRPr="004C78D8">
              <w:t xml:space="preserve">and </w:t>
            </w:r>
            <w:r w:rsidR="00735F00" w:rsidRPr="004C78D8">
              <w:t>SES</w:t>
            </w:r>
            <w:r w:rsidR="00266813" w:rsidRPr="004C78D8">
              <w:t xml:space="preserve"> quartile </w:t>
            </w:r>
            <w:r w:rsidR="00735F00" w:rsidRPr="004C78D8">
              <w:t>in</w:t>
            </w:r>
            <w:r w:rsidRPr="004C78D8">
              <w:t xml:space="preserve"> ELSA</w:t>
            </w:r>
            <w:r w:rsidR="00735F00" w:rsidRPr="004C78D8">
              <w:t>:</w:t>
            </w:r>
            <w:r w:rsidR="009343B9" w:rsidRPr="004C78D8">
              <w:t xml:space="preserve"> sample display for male in most privileged </w:t>
            </w:r>
            <w:r w:rsidR="00735F00" w:rsidRPr="004C78D8">
              <w:t>SES</w:t>
            </w:r>
            <w:r w:rsidR="009343B9" w:rsidRPr="004C78D8">
              <w:t xml:space="preserve"> quartile and female in most deprived </w:t>
            </w:r>
            <w:r w:rsidR="00735F00" w:rsidRPr="004C78D8">
              <w:t>SES</w:t>
            </w:r>
            <w:r w:rsidR="009343B9" w:rsidRPr="004C78D8">
              <w:t xml:space="preserve"> quartile</w:t>
            </w:r>
            <w:r w:rsidR="00735F00" w:rsidRPr="004C78D8">
              <w:t>.</w:t>
            </w:r>
          </w:p>
        </w:tc>
      </w:tr>
      <w:tr w:rsidR="00C73E67" w:rsidRPr="004C78D8" w14:paraId="0B119DD1" w14:textId="77777777" w:rsidTr="00E35893">
        <w:tc>
          <w:tcPr>
            <w:tcW w:w="626" w:type="pct"/>
          </w:tcPr>
          <w:p w14:paraId="15D87878" w14:textId="77777777" w:rsidR="00C73E67" w:rsidRPr="004C78D8" w:rsidRDefault="00C73E67" w:rsidP="00FB7C1F">
            <w:pPr>
              <w:jc w:val="left"/>
              <w:rPr>
                <w:sz w:val="18"/>
                <w:szCs w:val="18"/>
              </w:rPr>
            </w:pPr>
          </w:p>
        </w:tc>
        <w:tc>
          <w:tcPr>
            <w:tcW w:w="874" w:type="pct"/>
          </w:tcPr>
          <w:p w14:paraId="2C925A2D" w14:textId="735E4213" w:rsidR="00C73E67" w:rsidRPr="004C78D8" w:rsidRDefault="00C73E67" w:rsidP="00FB7C1F">
            <w:pPr>
              <w:jc w:val="left"/>
              <w:rPr>
                <w:sz w:val="18"/>
                <w:szCs w:val="18"/>
              </w:rPr>
            </w:pPr>
            <w:r w:rsidRPr="004C78D8">
              <w:rPr>
                <w:sz w:val="18"/>
                <w:szCs w:val="18"/>
              </w:rPr>
              <w:t>No falls history</w:t>
            </w:r>
          </w:p>
        </w:tc>
        <w:tc>
          <w:tcPr>
            <w:tcW w:w="873" w:type="pct"/>
          </w:tcPr>
          <w:p w14:paraId="059A4E3D" w14:textId="57EA33B8" w:rsidR="00C73E67" w:rsidRPr="004C78D8" w:rsidRDefault="00C73E67" w:rsidP="00FB7C1F">
            <w:pPr>
              <w:jc w:val="left"/>
              <w:rPr>
                <w:sz w:val="18"/>
                <w:szCs w:val="18"/>
              </w:rPr>
            </w:pPr>
            <w:r w:rsidRPr="004C78D8">
              <w:rPr>
                <w:sz w:val="18"/>
                <w:szCs w:val="18"/>
              </w:rPr>
              <w:t>Single non-MA fall history</w:t>
            </w:r>
          </w:p>
        </w:tc>
        <w:tc>
          <w:tcPr>
            <w:tcW w:w="877" w:type="pct"/>
          </w:tcPr>
          <w:p w14:paraId="0BB81E21" w14:textId="615F8086" w:rsidR="00C73E67" w:rsidRPr="00972766" w:rsidRDefault="00C73E67" w:rsidP="00FB7C1F">
            <w:pPr>
              <w:jc w:val="left"/>
              <w:rPr>
                <w:sz w:val="18"/>
                <w:szCs w:val="18"/>
                <w:lang w:val="fr-FR"/>
              </w:rPr>
            </w:pPr>
            <w:r w:rsidRPr="00972766">
              <w:rPr>
                <w:sz w:val="18"/>
                <w:szCs w:val="18"/>
                <w:lang w:val="fr-FR"/>
              </w:rPr>
              <w:t>Recurrent non-MA falls history</w:t>
            </w:r>
          </w:p>
        </w:tc>
        <w:tc>
          <w:tcPr>
            <w:tcW w:w="873" w:type="pct"/>
          </w:tcPr>
          <w:p w14:paraId="316892A9" w14:textId="620B3798" w:rsidR="00C73E67" w:rsidRPr="004C78D8" w:rsidRDefault="00C73E67" w:rsidP="00FB7C1F">
            <w:pPr>
              <w:jc w:val="left"/>
              <w:rPr>
                <w:sz w:val="18"/>
                <w:szCs w:val="18"/>
              </w:rPr>
            </w:pPr>
            <w:r w:rsidRPr="004C78D8">
              <w:rPr>
                <w:sz w:val="18"/>
                <w:szCs w:val="18"/>
              </w:rPr>
              <w:t>Single MA fall history</w:t>
            </w:r>
          </w:p>
        </w:tc>
        <w:tc>
          <w:tcPr>
            <w:tcW w:w="877" w:type="pct"/>
          </w:tcPr>
          <w:p w14:paraId="13CF197D" w14:textId="4728CEB0" w:rsidR="00C73E67" w:rsidRPr="004C78D8" w:rsidRDefault="00C73E67" w:rsidP="00FB7C1F">
            <w:pPr>
              <w:jc w:val="left"/>
              <w:rPr>
                <w:sz w:val="18"/>
                <w:szCs w:val="18"/>
              </w:rPr>
            </w:pPr>
            <w:r w:rsidRPr="004C78D8">
              <w:rPr>
                <w:sz w:val="18"/>
                <w:szCs w:val="18"/>
              </w:rPr>
              <w:t>Recurrent falls with 1+ MA fall</w:t>
            </w:r>
          </w:p>
        </w:tc>
      </w:tr>
      <w:tr w:rsidR="00C73E67" w:rsidRPr="004C78D8" w14:paraId="69C2C36B" w14:textId="77777777" w:rsidTr="00E35893">
        <w:tc>
          <w:tcPr>
            <w:tcW w:w="5000" w:type="pct"/>
            <w:gridSpan w:val="6"/>
            <w:tcBorders>
              <w:bottom w:val="single" w:sz="4" w:space="0" w:color="auto"/>
            </w:tcBorders>
          </w:tcPr>
          <w:p w14:paraId="3EAC0EDB" w14:textId="4B7B8789" w:rsidR="00C73E67" w:rsidRPr="004C78D8" w:rsidRDefault="00C73E67" w:rsidP="00FB7C1F">
            <w:pPr>
              <w:jc w:val="left"/>
              <w:rPr>
                <w:b/>
                <w:bCs/>
                <w:i/>
                <w:iCs/>
                <w:sz w:val="18"/>
                <w:szCs w:val="18"/>
              </w:rPr>
            </w:pPr>
            <w:r w:rsidRPr="004C78D8">
              <w:rPr>
                <w:b/>
                <w:bCs/>
                <w:i/>
                <w:iCs/>
                <w:sz w:val="18"/>
                <w:szCs w:val="18"/>
              </w:rPr>
              <w:t xml:space="preserve">Male – Most privileged </w:t>
            </w:r>
            <w:r w:rsidR="00735F00" w:rsidRPr="004C78D8">
              <w:rPr>
                <w:b/>
                <w:bCs/>
                <w:i/>
                <w:iCs/>
                <w:sz w:val="18"/>
                <w:szCs w:val="18"/>
              </w:rPr>
              <w:t>SES</w:t>
            </w:r>
            <w:r w:rsidRPr="004C78D8">
              <w:rPr>
                <w:b/>
                <w:bCs/>
                <w:i/>
                <w:iCs/>
                <w:sz w:val="18"/>
                <w:szCs w:val="18"/>
              </w:rPr>
              <w:t xml:space="preserve"> quartile</w:t>
            </w:r>
          </w:p>
        </w:tc>
      </w:tr>
      <w:tr w:rsidR="00530479" w:rsidRPr="004C78D8" w14:paraId="1442A192" w14:textId="77777777" w:rsidTr="00E35893">
        <w:tc>
          <w:tcPr>
            <w:tcW w:w="626" w:type="pct"/>
            <w:tcBorders>
              <w:bottom w:val="nil"/>
            </w:tcBorders>
          </w:tcPr>
          <w:p w14:paraId="6FCFD43B" w14:textId="5007ABFC" w:rsidR="00530479" w:rsidRPr="004C78D8" w:rsidRDefault="00530479" w:rsidP="00FB7C1F">
            <w:pPr>
              <w:jc w:val="left"/>
              <w:rPr>
                <w:sz w:val="18"/>
                <w:szCs w:val="18"/>
              </w:rPr>
            </w:pPr>
            <w:r w:rsidRPr="004C78D8">
              <w:rPr>
                <w:sz w:val="18"/>
                <w:szCs w:val="18"/>
              </w:rPr>
              <w:t>Age 60-64</w:t>
            </w:r>
          </w:p>
        </w:tc>
        <w:tc>
          <w:tcPr>
            <w:tcW w:w="874" w:type="pct"/>
            <w:tcBorders>
              <w:bottom w:val="nil"/>
            </w:tcBorders>
          </w:tcPr>
          <w:p w14:paraId="130DDF03" w14:textId="12689033" w:rsidR="00530479" w:rsidRPr="004C78D8" w:rsidRDefault="00530479" w:rsidP="00FB7C1F">
            <w:pPr>
              <w:jc w:val="center"/>
              <w:rPr>
                <w:sz w:val="18"/>
                <w:szCs w:val="18"/>
              </w:rPr>
            </w:pPr>
            <w:r w:rsidRPr="004C78D8">
              <w:rPr>
                <w:sz w:val="18"/>
                <w:szCs w:val="18"/>
              </w:rPr>
              <w:t>83.5</w:t>
            </w:r>
          </w:p>
        </w:tc>
        <w:tc>
          <w:tcPr>
            <w:tcW w:w="873" w:type="pct"/>
            <w:tcBorders>
              <w:bottom w:val="nil"/>
            </w:tcBorders>
          </w:tcPr>
          <w:p w14:paraId="16312812" w14:textId="5070A3A8" w:rsidR="00530479" w:rsidRPr="004C78D8" w:rsidRDefault="00530479" w:rsidP="00FB7C1F">
            <w:pPr>
              <w:jc w:val="center"/>
              <w:rPr>
                <w:sz w:val="18"/>
                <w:szCs w:val="18"/>
              </w:rPr>
            </w:pPr>
            <w:r w:rsidRPr="004C78D8">
              <w:rPr>
                <w:sz w:val="18"/>
                <w:szCs w:val="18"/>
              </w:rPr>
              <w:t>9.1</w:t>
            </w:r>
          </w:p>
        </w:tc>
        <w:tc>
          <w:tcPr>
            <w:tcW w:w="877" w:type="pct"/>
            <w:tcBorders>
              <w:bottom w:val="nil"/>
            </w:tcBorders>
          </w:tcPr>
          <w:p w14:paraId="76DAF3EE" w14:textId="0C43478A" w:rsidR="00530479" w:rsidRPr="004C78D8" w:rsidRDefault="00530479" w:rsidP="00FB7C1F">
            <w:pPr>
              <w:jc w:val="center"/>
              <w:rPr>
                <w:sz w:val="18"/>
                <w:szCs w:val="18"/>
              </w:rPr>
            </w:pPr>
            <w:r w:rsidRPr="004C78D8">
              <w:rPr>
                <w:sz w:val="18"/>
                <w:szCs w:val="18"/>
              </w:rPr>
              <w:t>5.5</w:t>
            </w:r>
          </w:p>
        </w:tc>
        <w:tc>
          <w:tcPr>
            <w:tcW w:w="873" w:type="pct"/>
            <w:tcBorders>
              <w:bottom w:val="nil"/>
            </w:tcBorders>
          </w:tcPr>
          <w:p w14:paraId="48CCF6E8" w14:textId="0C1C3501" w:rsidR="00530479" w:rsidRPr="004C78D8" w:rsidRDefault="00530479" w:rsidP="00FB7C1F">
            <w:pPr>
              <w:jc w:val="center"/>
              <w:rPr>
                <w:sz w:val="18"/>
                <w:szCs w:val="18"/>
              </w:rPr>
            </w:pPr>
            <w:r w:rsidRPr="004C78D8">
              <w:rPr>
                <w:sz w:val="18"/>
                <w:szCs w:val="18"/>
              </w:rPr>
              <w:t>1.2</w:t>
            </w:r>
          </w:p>
        </w:tc>
        <w:tc>
          <w:tcPr>
            <w:tcW w:w="877" w:type="pct"/>
            <w:tcBorders>
              <w:bottom w:val="nil"/>
            </w:tcBorders>
          </w:tcPr>
          <w:p w14:paraId="7A290F73" w14:textId="312A1FDC" w:rsidR="00530479" w:rsidRPr="004C78D8" w:rsidRDefault="00530479" w:rsidP="00FB7C1F">
            <w:pPr>
              <w:jc w:val="center"/>
              <w:rPr>
                <w:sz w:val="18"/>
                <w:szCs w:val="18"/>
              </w:rPr>
            </w:pPr>
            <w:r w:rsidRPr="004C78D8">
              <w:rPr>
                <w:sz w:val="18"/>
                <w:szCs w:val="18"/>
              </w:rPr>
              <w:t>0.7</w:t>
            </w:r>
          </w:p>
        </w:tc>
      </w:tr>
      <w:tr w:rsidR="00530479" w:rsidRPr="004C78D8" w14:paraId="5F08A64D" w14:textId="77777777" w:rsidTr="00E35893">
        <w:tc>
          <w:tcPr>
            <w:tcW w:w="626" w:type="pct"/>
            <w:tcBorders>
              <w:top w:val="nil"/>
              <w:bottom w:val="nil"/>
            </w:tcBorders>
          </w:tcPr>
          <w:p w14:paraId="69FF94D3" w14:textId="5C4B65D2" w:rsidR="00530479" w:rsidRPr="004C78D8" w:rsidRDefault="00530479" w:rsidP="00FB7C1F">
            <w:pPr>
              <w:jc w:val="left"/>
              <w:rPr>
                <w:sz w:val="18"/>
                <w:szCs w:val="18"/>
              </w:rPr>
            </w:pPr>
            <w:r w:rsidRPr="004C78D8">
              <w:rPr>
                <w:sz w:val="18"/>
                <w:szCs w:val="18"/>
              </w:rPr>
              <w:t>Age 65-69</w:t>
            </w:r>
          </w:p>
        </w:tc>
        <w:tc>
          <w:tcPr>
            <w:tcW w:w="874" w:type="pct"/>
            <w:tcBorders>
              <w:top w:val="nil"/>
              <w:bottom w:val="nil"/>
            </w:tcBorders>
          </w:tcPr>
          <w:p w14:paraId="0CFD40D7" w14:textId="3815131D" w:rsidR="00530479" w:rsidRPr="004C78D8" w:rsidRDefault="00530479" w:rsidP="00FB7C1F">
            <w:pPr>
              <w:jc w:val="center"/>
              <w:rPr>
                <w:sz w:val="18"/>
                <w:szCs w:val="18"/>
              </w:rPr>
            </w:pPr>
            <w:r w:rsidRPr="004C78D8">
              <w:rPr>
                <w:sz w:val="18"/>
                <w:szCs w:val="18"/>
              </w:rPr>
              <w:t>83.2</w:t>
            </w:r>
          </w:p>
        </w:tc>
        <w:tc>
          <w:tcPr>
            <w:tcW w:w="873" w:type="pct"/>
            <w:tcBorders>
              <w:top w:val="nil"/>
              <w:bottom w:val="nil"/>
            </w:tcBorders>
          </w:tcPr>
          <w:p w14:paraId="6AAD37F1" w14:textId="1B8B115C" w:rsidR="00530479" w:rsidRPr="004C78D8" w:rsidRDefault="00530479" w:rsidP="00FB7C1F">
            <w:pPr>
              <w:jc w:val="center"/>
              <w:rPr>
                <w:sz w:val="18"/>
                <w:szCs w:val="18"/>
              </w:rPr>
            </w:pPr>
            <w:r w:rsidRPr="004C78D8">
              <w:rPr>
                <w:sz w:val="18"/>
                <w:szCs w:val="18"/>
              </w:rPr>
              <w:t>6.7</w:t>
            </w:r>
          </w:p>
        </w:tc>
        <w:tc>
          <w:tcPr>
            <w:tcW w:w="877" w:type="pct"/>
            <w:tcBorders>
              <w:top w:val="nil"/>
              <w:bottom w:val="nil"/>
            </w:tcBorders>
          </w:tcPr>
          <w:p w14:paraId="12480F77" w14:textId="4125B763" w:rsidR="00530479" w:rsidRPr="004C78D8" w:rsidRDefault="00530479" w:rsidP="00FB7C1F">
            <w:pPr>
              <w:jc w:val="center"/>
              <w:rPr>
                <w:sz w:val="18"/>
                <w:szCs w:val="18"/>
              </w:rPr>
            </w:pPr>
            <w:r w:rsidRPr="004C78D8">
              <w:rPr>
                <w:sz w:val="18"/>
                <w:szCs w:val="18"/>
              </w:rPr>
              <w:t>6.4</w:t>
            </w:r>
          </w:p>
        </w:tc>
        <w:tc>
          <w:tcPr>
            <w:tcW w:w="873" w:type="pct"/>
            <w:tcBorders>
              <w:top w:val="nil"/>
              <w:bottom w:val="nil"/>
            </w:tcBorders>
          </w:tcPr>
          <w:p w14:paraId="718605D2" w14:textId="5EF916F2" w:rsidR="00530479" w:rsidRPr="004C78D8" w:rsidRDefault="00530479" w:rsidP="00FB7C1F">
            <w:pPr>
              <w:jc w:val="center"/>
              <w:rPr>
                <w:sz w:val="18"/>
                <w:szCs w:val="18"/>
              </w:rPr>
            </w:pPr>
            <w:r w:rsidRPr="004C78D8">
              <w:rPr>
                <w:sz w:val="18"/>
                <w:szCs w:val="18"/>
              </w:rPr>
              <w:t>2.2</w:t>
            </w:r>
          </w:p>
        </w:tc>
        <w:tc>
          <w:tcPr>
            <w:tcW w:w="877" w:type="pct"/>
            <w:tcBorders>
              <w:top w:val="nil"/>
              <w:bottom w:val="nil"/>
            </w:tcBorders>
          </w:tcPr>
          <w:p w14:paraId="3D9A2EF8" w14:textId="14F234C8" w:rsidR="00530479" w:rsidRPr="004C78D8" w:rsidRDefault="00530479" w:rsidP="00FB7C1F">
            <w:pPr>
              <w:jc w:val="center"/>
              <w:rPr>
                <w:sz w:val="18"/>
                <w:szCs w:val="18"/>
              </w:rPr>
            </w:pPr>
            <w:r w:rsidRPr="004C78D8">
              <w:rPr>
                <w:sz w:val="18"/>
                <w:szCs w:val="18"/>
              </w:rPr>
              <w:t>1.5</w:t>
            </w:r>
          </w:p>
        </w:tc>
      </w:tr>
      <w:tr w:rsidR="00530479" w:rsidRPr="004C78D8" w14:paraId="0E573CC5" w14:textId="77777777" w:rsidTr="00E35893">
        <w:tc>
          <w:tcPr>
            <w:tcW w:w="626" w:type="pct"/>
            <w:tcBorders>
              <w:top w:val="nil"/>
              <w:bottom w:val="nil"/>
            </w:tcBorders>
          </w:tcPr>
          <w:p w14:paraId="4A15D590" w14:textId="538E1B41" w:rsidR="00530479" w:rsidRPr="004C78D8" w:rsidRDefault="00530479" w:rsidP="00FB7C1F">
            <w:pPr>
              <w:jc w:val="left"/>
              <w:rPr>
                <w:sz w:val="18"/>
                <w:szCs w:val="18"/>
              </w:rPr>
            </w:pPr>
            <w:r w:rsidRPr="004C78D8">
              <w:rPr>
                <w:sz w:val="18"/>
                <w:szCs w:val="18"/>
              </w:rPr>
              <w:t>Age 70-74</w:t>
            </w:r>
          </w:p>
        </w:tc>
        <w:tc>
          <w:tcPr>
            <w:tcW w:w="874" w:type="pct"/>
            <w:tcBorders>
              <w:top w:val="nil"/>
              <w:bottom w:val="nil"/>
            </w:tcBorders>
          </w:tcPr>
          <w:p w14:paraId="42AEDB71" w14:textId="2ADFA198" w:rsidR="00530479" w:rsidRPr="004C78D8" w:rsidRDefault="00530479" w:rsidP="00FB7C1F">
            <w:pPr>
              <w:jc w:val="center"/>
              <w:rPr>
                <w:sz w:val="18"/>
                <w:szCs w:val="18"/>
              </w:rPr>
            </w:pPr>
            <w:r w:rsidRPr="004C78D8">
              <w:rPr>
                <w:sz w:val="18"/>
                <w:szCs w:val="18"/>
              </w:rPr>
              <w:t>77.7</w:t>
            </w:r>
          </w:p>
        </w:tc>
        <w:tc>
          <w:tcPr>
            <w:tcW w:w="873" w:type="pct"/>
            <w:tcBorders>
              <w:top w:val="nil"/>
              <w:bottom w:val="nil"/>
            </w:tcBorders>
          </w:tcPr>
          <w:p w14:paraId="492547A1" w14:textId="6046FBE4" w:rsidR="00530479" w:rsidRPr="004C78D8" w:rsidRDefault="00530479" w:rsidP="00FB7C1F">
            <w:pPr>
              <w:jc w:val="center"/>
              <w:rPr>
                <w:sz w:val="18"/>
                <w:szCs w:val="18"/>
              </w:rPr>
            </w:pPr>
            <w:r w:rsidRPr="004C78D8">
              <w:rPr>
                <w:sz w:val="18"/>
                <w:szCs w:val="18"/>
              </w:rPr>
              <w:t>10.9</w:t>
            </w:r>
          </w:p>
        </w:tc>
        <w:tc>
          <w:tcPr>
            <w:tcW w:w="877" w:type="pct"/>
            <w:tcBorders>
              <w:top w:val="nil"/>
              <w:bottom w:val="nil"/>
            </w:tcBorders>
          </w:tcPr>
          <w:p w14:paraId="3639D391" w14:textId="1E3A3219" w:rsidR="00530479" w:rsidRPr="004C78D8" w:rsidRDefault="00530479" w:rsidP="00FB7C1F">
            <w:pPr>
              <w:jc w:val="center"/>
              <w:rPr>
                <w:sz w:val="18"/>
                <w:szCs w:val="18"/>
              </w:rPr>
            </w:pPr>
            <w:r w:rsidRPr="004C78D8">
              <w:rPr>
                <w:sz w:val="18"/>
                <w:szCs w:val="18"/>
              </w:rPr>
              <w:t>5.5</w:t>
            </w:r>
          </w:p>
        </w:tc>
        <w:tc>
          <w:tcPr>
            <w:tcW w:w="873" w:type="pct"/>
            <w:tcBorders>
              <w:top w:val="nil"/>
              <w:bottom w:val="nil"/>
            </w:tcBorders>
          </w:tcPr>
          <w:p w14:paraId="6376209D" w14:textId="39A09B82" w:rsidR="00530479" w:rsidRPr="004C78D8" w:rsidRDefault="00530479" w:rsidP="00FB7C1F">
            <w:pPr>
              <w:jc w:val="center"/>
              <w:rPr>
                <w:sz w:val="18"/>
                <w:szCs w:val="18"/>
              </w:rPr>
            </w:pPr>
            <w:r w:rsidRPr="004C78D8">
              <w:rPr>
                <w:sz w:val="18"/>
                <w:szCs w:val="18"/>
              </w:rPr>
              <w:t>3.4</w:t>
            </w:r>
          </w:p>
        </w:tc>
        <w:tc>
          <w:tcPr>
            <w:tcW w:w="877" w:type="pct"/>
            <w:tcBorders>
              <w:top w:val="nil"/>
              <w:bottom w:val="nil"/>
            </w:tcBorders>
          </w:tcPr>
          <w:p w14:paraId="45CE170E" w14:textId="617AAD6E" w:rsidR="00530479" w:rsidRPr="004C78D8" w:rsidRDefault="00530479" w:rsidP="00FB7C1F">
            <w:pPr>
              <w:jc w:val="center"/>
              <w:rPr>
                <w:sz w:val="18"/>
                <w:szCs w:val="18"/>
              </w:rPr>
            </w:pPr>
            <w:r w:rsidRPr="004C78D8">
              <w:rPr>
                <w:sz w:val="18"/>
                <w:szCs w:val="18"/>
              </w:rPr>
              <w:t>2.5</w:t>
            </w:r>
          </w:p>
        </w:tc>
      </w:tr>
      <w:tr w:rsidR="00530479" w:rsidRPr="004C78D8" w14:paraId="3DE7D92E" w14:textId="77777777" w:rsidTr="00E35893">
        <w:tc>
          <w:tcPr>
            <w:tcW w:w="626" w:type="pct"/>
            <w:tcBorders>
              <w:top w:val="nil"/>
              <w:bottom w:val="nil"/>
            </w:tcBorders>
          </w:tcPr>
          <w:p w14:paraId="3EA2E554" w14:textId="0DB87105" w:rsidR="00530479" w:rsidRPr="004C78D8" w:rsidRDefault="00530479" w:rsidP="00FB7C1F">
            <w:pPr>
              <w:jc w:val="left"/>
              <w:rPr>
                <w:sz w:val="18"/>
                <w:szCs w:val="18"/>
              </w:rPr>
            </w:pPr>
            <w:r w:rsidRPr="004C78D8">
              <w:rPr>
                <w:sz w:val="18"/>
                <w:szCs w:val="18"/>
              </w:rPr>
              <w:t>Age 75-79</w:t>
            </w:r>
          </w:p>
        </w:tc>
        <w:tc>
          <w:tcPr>
            <w:tcW w:w="874" w:type="pct"/>
            <w:tcBorders>
              <w:top w:val="nil"/>
              <w:bottom w:val="nil"/>
            </w:tcBorders>
          </w:tcPr>
          <w:p w14:paraId="0A4498AB" w14:textId="3A5C41AF" w:rsidR="00530479" w:rsidRPr="004C78D8" w:rsidRDefault="00530479" w:rsidP="00FB7C1F">
            <w:pPr>
              <w:jc w:val="center"/>
              <w:rPr>
                <w:sz w:val="18"/>
                <w:szCs w:val="18"/>
              </w:rPr>
            </w:pPr>
            <w:r w:rsidRPr="004C78D8">
              <w:rPr>
                <w:sz w:val="18"/>
                <w:szCs w:val="18"/>
              </w:rPr>
              <w:t>73.3</w:t>
            </w:r>
          </w:p>
        </w:tc>
        <w:tc>
          <w:tcPr>
            <w:tcW w:w="873" w:type="pct"/>
            <w:tcBorders>
              <w:top w:val="nil"/>
              <w:bottom w:val="nil"/>
            </w:tcBorders>
          </w:tcPr>
          <w:p w14:paraId="04A180BC" w14:textId="00509F8F" w:rsidR="00530479" w:rsidRPr="004C78D8" w:rsidRDefault="00530479" w:rsidP="00FB7C1F">
            <w:pPr>
              <w:jc w:val="center"/>
              <w:rPr>
                <w:sz w:val="18"/>
                <w:szCs w:val="18"/>
              </w:rPr>
            </w:pPr>
            <w:r w:rsidRPr="004C78D8">
              <w:rPr>
                <w:sz w:val="18"/>
                <w:szCs w:val="18"/>
              </w:rPr>
              <w:t>10.6</w:t>
            </w:r>
          </w:p>
        </w:tc>
        <w:tc>
          <w:tcPr>
            <w:tcW w:w="877" w:type="pct"/>
            <w:tcBorders>
              <w:top w:val="nil"/>
              <w:bottom w:val="nil"/>
            </w:tcBorders>
          </w:tcPr>
          <w:p w14:paraId="42D47102" w14:textId="3005E147" w:rsidR="00530479" w:rsidRPr="004C78D8" w:rsidRDefault="00530479" w:rsidP="00FB7C1F">
            <w:pPr>
              <w:jc w:val="center"/>
              <w:rPr>
                <w:sz w:val="18"/>
                <w:szCs w:val="18"/>
              </w:rPr>
            </w:pPr>
            <w:r w:rsidRPr="004C78D8">
              <w:rPr>
                <w:sz w:val="18"/>
                <w:szCs w:val="18"/>
              </w:rPr>
              <w:t>9.3</w:t>
            </w:r>
          </w:p>
        </w:tc>
        <w:tc>
          <w:tcPr>
            <w:tcW w:w="873" w:type="pct"/>
            <w:tcBorders>
              <w:top w:val="nil"/>
              <w:bottom w:val="nil"/>
            </w:tcBorders>
          </w:tcPr>
          <w:p w14:paraId="6B0022DB" w14:textId="6CA040B3" w:rsidR="00530479" w:rsidRPr="004C78D8" w:rsidRDefault="00530479" w:rsidP="00FB7C1F">
            <w:pPr>
              <w:jc w:val="center"/>
              <w:rPr>
                <w:sz w:val="18"/>
                <w:szCs w:val="18"/>
              </w:rPr>
            </w:pPr>
            <w:r w:rsidRPr="004C78D8">
              <w:rPr>
                <w:sz w:val="18"/>
                <w:szCs w:val="18"/>
              </w:rPr>
              <w:t>4.6</w:t>
            </w:r>
          </w:p>
        </w:tc>
        <w:tc>
          <w:tcPr>
            <w:tcW w:w="877" w:type="pct"/>
            <w:tcBorders>
              <w:top w:val="nil"/>
              <w:bottom w:val="nil"/>
            </w:tcBorders>
          </w:tcPr>
          <w:p w14:paraId="7F46102F" w14:textId="5ADF0E6F" w:rsidR="00530479" w:rsidRPr="004C78D8" w:rsidRDefault="00530479" w:rsidP="00FB7C1F">
            <w:pPr>
              <w:jc w:val="center"/>
              <w:rPr>
                <w:sz w:val="18"/>
                <w:szCs w:val="18"/>
              </w:rPr>
            </w:pPr>
            <w:r w:rsidRPr="004C78D8">
              <w:rPr>
                <w:sz w:val="18"/>
                <w:szCs w:val="18"/>
              </w:rPr>
              <w:t>2.2</w:t>
            </w:r>
          </w:p>
        </w:tc>
      </w:tr>
      <w:tr w:rsidR="00530479" w:rsidRPr="004C78D8" w14:paraId="3B301238" w14:textId="77777777" w:rsidTr="00E35893">
        <w:tc>
          <w:tcPr>
            <w:tcW w:w="626" w:type="pct"/>
            <w:tcBorders>
              <w:top w:val="nil"/>
              <w:bottom w:val="nil"/>
            </w:tcBorders>
          </w:tcPr>
          <w:p w14:paraId="3D43E5CB" w14:textId="77D48F93" w:rsidR="00530479" w:rsidRPr="004C78D8" w:rsidRDefault="00530479" w:rsidP="00FB7C1F">
            <w:pPr>
              <w:jc w:val="left"/>
              <w:rPr>
                <w:sz w:val="18"/>
                <w:szCs w:val="18"/>
              </w:rPr>
            </w:pPr>
            <w:r w:rsidRPr="004C78D8">
              <w:rPr>
                <w:sz w:val="18"/>
                <w:szCs w:val="18"/>
              </w:rPr>
              <w:t>Age 80-84</w:t>
            </w:r>
          </w:p>
        </w:tc>
        <w:tc>
          <w:tcPr>
            <w:tcW w:w="874" w:type="pct"/>
            <w:tcBorders>
              <w:top w:val="nil"/>
              <w:bottom w:val="nil"/>
            </w:tcBorders>
          </w:tcPr>
          <w:p w14:paraId="70D37FB9" w14:textId="3A399875" w:rsidR="00530479" w:rsidRPr="004C78D8" w:rsidRDefault="00530479" w:rsidP="00FB7C1F">
            <w:pPr>
              <w:jc w:val="center"/>
              <w:rPr>
                <w:sz w:val="18"/>
                <w:szCs w:val="18"/>
              </w:rPr>
            </w:pPr>
            <w:r w:rsidRPr="004C78D8">
              <w:rPr>
                <w:sz w:val="18"/>
                <w:szCs w:val="18"/>
              </w:rPr>
              <w:t>68.4</w:t>
            </w:r>
          </w:p>
        </w:tc>
        <w:tc>
          <w:tcPr>
            <w:tcW w:w="873" w:type="pct"/>
            <w:tcBorders>
              <w:top w:val="nil"/>
              <w:bottom w:val="nil"/>
            </w:tcBorders>
          </w:tcPr>
          <w:p w14:paraId="7CD7DA62" w14:textId="4E9A9C11" w:rsidR="00530479" w:rsidRPr="004C78D8" w:rsidRDefault="00530479" w:rsidP="00FB7C1F">
            <w:pPr>
              <w:jc w:val="center"/>
              <w:rPr>
                <w:sz w:val="18"/>
                <w:szCs w:val="18"/>
              </w:rPr>
            </w:pPr>
            <w:r w:rsidRPr="004C78D8">
              <w:rPr>
                <w:sz w:val="18"/>
                <w:szCs w:val="18"/>
              </w:rPr>
              <w:t>13.8</w:t>
            </w:r>
          </w:p>
        </w:tc>
        <w:tc>
          <w:tcPr>
            <w:tcW w:w="877" w:type="pct"/>
            <w:tcBorders>
              <w:top w:val="nil"/>
              <w:bottom w:val="nil"/>
            </w:tcBorders>
          </w:tcPr>
          <w:p w14:paraId="7FE1DD4E" w14:textId="1C6210AB" w:rsidR="00530479" w:rsidRPr="004C78D8" w:rsidRDefault="00530479" w:rsidP="00FB7C1F">
            <w:pPr>
              <w:jc w:val="center"/>
              <w:rPr>
                <w:sz w:val="18"/>
                <w:szCs w:val="18"/>
              </w:rPr>
            </w:pPr>
            <w:r w:rsidRPr="004C78D8">
              <w:rPr>
                <w:sz w:val="18"/>
                <w:szCs w:val="18"/>
              </w:rPr>
              <w:t>11.3</w:t>
            </w:r>
          </w:p>
        </w:tc>
        <w:tc>
          <w:tcPr>
            <w:tcW w:w="873" w:type="pct"/>
            <w:tcBorders>
              <w:top w:val="nil"/>
              <w:bottom w:val="nil"/>
            </w:tcBorders>
          </w:tcPr>
          <w:p w14:paraId="16F3F558" w14:textId="79263773" w:rsidR="00530479" w:rsidRPr="004C78D8" w:rsidRDefault="00530479" w:rsidP="00FB7C1F">
            <w:pPr>
              <w:jc w:val="center"/>
              <w:rPr>
                <w:sz w:val="18"/>
                <w:szCs w:val="18"/>
              </w:rPr>
            </w:pPr>
            <w:r w:rsidRPr="004C78D8">
              <w:rPr>
                <w:sz w:val="18"/>
                <w:szCs w:val="18"/>
              </w:rPr>
              <w:t>3.9</w:t>
            </w:r>
          </w:p>
        </w:tc>
        <w:tc>
          <w:tcPr>
            <w:tcW w:w="877" w:type="pct"/>
            <w:tcBorders>
              <w:top w:val="nil"/>
              <w:bottom w:val="nil"/>
            </w:tcBorders>
          </w:tcPr>
          <w:p w14:paraId="2817FC20" w14:textId="4A2A33FB" w:rsidR="00530479" w:rsidRPr="004C78D8" w:rsidRDefault="00530479" w:rsidP="00FB7C1F">
            <w:pPr>
              <w:jc w:val="center"/>
              <w:rPr>
                <w:sz w:val="18"/>
                <w:szCs w:val="18"/>
              </w:rPr>
            </w:pPr>
            <w:r w:rsidRPr="004C78D8">
              <w:rPr>
                <w:sz w:val="18"/>
                <w:szCs w:val="18"/>
              </w:rPr>
              <w:t>2.6</w:t>
            </w:r>
          </w:p>
        </w:tc>
      </w:tr>
      <w:tr w:rsidR="00530479" w:rsidRPr="004C78D8" w14:paraId="34E61FCE" w14:textId="77777777" w:rsidTr="00E35893">
        <w:tc>
          <w:tcPr>
            <w:tcW w:w="626" w:type="pct"/>
            <w:tcBorders>
              <w:top w:val="nil"/>
              <w:bottom w:val="nil"/>
            </w:tcBorders>
          </w:tcPr>
          <w:p w14:paraId="1D6B9883" w14:textId="3094F489" w:rsidR="00530479" w:rsidRPr="004C78D8" w:rsidRDefault="00530479" w:rsidP="00FB7C1F">
            <w:pPr>
              <w:jc w:val="left"/>
              <w:rPr>
                <w:sz w:val="18"/>
                <w:szCs w:val="18"/>
              </w:rPr>
            </w:pPr>
            <w:r w:rsidRPr="004C78D8">
              <w:rPr>
                <w:sz w:val="18"/>
                <w:szCs w:val="18"/>
              </w:rPr>
              <w:t>Age 85-89</w:t>
            </w:r>
          </w:p>
        </w:tc>
        <w:tc>
          <w:tcPr>
            <w:tcW w:w="874" w:type="pct"/>
            <w:tcBorders>
              <w:top w:val="nil"/>
              <w:bottom w:val="nil"/>
            </w:tcBorders>
          </w:tcPr>
          <w:p w14:paraId="43C6ADCF" w14:textId="5019121A" w:rsidR="00530479" w:rsidRPr="004C78D8" w:rsidRDefault="00530479" w:rsidP="00FB7C1F">
            <w:pPr>
              <w:jc w:val="center"/>
              <w:rPr>
                <w:sz w:val="18"/>
                <w:szCs w:val="18"/>
              </w:rPr>
            </w:pPr>
            <w:r w:rsidRPr="004C78D8">
              <w:rPr>
                <w:sz w:val="18"/>
                <w:szCs w:val="18"/>
              </w:rPr>
              <w:t>61.9</w:t>
            </w:r>
          </w:p>
        </w:tc>
        <w:tc>
          <w:tcPr>
            <w:tcW w:w="873" w:type="pct"/>
            <w:tcBorders>
              <w:top w:val="nil"/>
              <w:bottom w:val="nil"/>
            </w:tcBorders>
          </w:tcPr>
          <w:p w14:paraId="3806BE55" w14:textId="6CD85B31" w:rsidR="00530479" w:rsidRPr="004C78D8" w:rsidRDefault="00530479" w:rsidP="00FB7C1F">
            <w:pPr>
              <w:jc w:val="center"/>
              <w:rPr>
                <w:sz w:val="18"/>
                <w:szCs w:val="18"/>
              </w:rPr>
            </w:pPr>
            <w:r w:rsidRPr="004C78D8">
              <w:rPr>
                <w:sz w:val="18"/>
                <w:szCs w:val="18"/>
              </w:rPr>
              <w:t>11.4</w:t>
            </w:r>
          </w:p>
        </w:tc>
        <w:tc>
          <w:tcPr>
            <w:tcW w:w="877" w:type="pct"/>
            <w:tcBorders>
              <w:top w:val="nil"/>
              <w:bottom w:val="nil"/>
            </w:tcBorders>
          </w:tcPr>
          <w:p w14:paraId="75C09E70" w14:textId="432F4848" w:rsidR="00530479" w:rsidRPr="004C78D8" w:rsidRDefault="00530479" w:rsidP="00FB7C1F">
            <w:pPr>
              <w:jc w:val="center"/>
              <w:rPr>
                <w:sz w:val="18"/>
                <w:szCs w:val="18"/>
              </w:rPr>
            </w:pPr>
            <w:r w:rsidRPr="004C78D8">
              <w:rPr>
                <w:sz w:val="18"/>
                <w:szCs w:val="18"/>
              </w:rPr>
              <w:t>14.3</w:t>
            </w:r>
          </w:p>
        </w:tc>
        <w:tc>
          <w:tcPr>
            <w:tcW w:w="873" w:type="pct"/>
            <w:tcBorders>
              <w:top w:val="nil"/>
              <w:bottom w:val="nil"/>
            </w:tcBorders>
          </w:tcPr>
          <w:p w14:paraId="798B2D8A" w14:textId="07F4D823" w:rsidR="00530479" w:rsidRPr="004C78D8" w:rsidRDefault="00530479" w:rsidP="00FB7C1F">
            <w:pPr>
              <w:jc w:val="center"/>
              <w:rPr>
                <w:sz w:val="18"/>
                <w:szCs w:val="18"/>
              </w:rPr>
            </w:pPr>
            <w:r w:rsidRPr="004C78D8">
              <w:rPr>
                <w:sz w:val="18"/>
                <w:szCs w:val="18"/>
              </w:rPr>
              <w:t>3.8</w:t>
            </w:r>
          </w:p>
        </w:tc>
        <w:tc>
          <w:tcPr>
            <w:tcW w:w="877" w:type="pct"/>
            <w:tcBorders>
              <w:top w:val="nil"/>
              <w:bottom w:val="nil"/>
            </w:tcBorders>
          </w:tcPr>
          <w:p w14:paraId="6B5EF4E7" w14:textId="5714725B" w:rsidR="00530479" w:rsidRPr="004C78D8" w:rsidRDefault="00530479" w:rsidP="00FB7C1F">
            <w:pPr>
              <w:jc w:val="center"/>
              <w:rPr>
                <w:sz w:val="18"/>
                <w:szCs w:val="18"/>
              </w:rPr>
            </w:pPr>
            <w:r w:rsidRPr="004C78D8">
              <w:rPr>
                <w:sz w:val="18"/>
                <w:szCs w:val="18"/>
              </w:rPr>
              <w:t>8.6</w:t>
            </w:r>
          </w:p>
        </w:tc>
      </w:tr>
      <w:tr w:rsidR="00530479" w:rsidRPr="004C78D8" w14:paraId="47BC3967" w14:textId="77777777" w:rsidTr="00E35893">
        <w:tc>
          <w:tcPr>
            <w:tcW w:w="626" w:type="pct"/>
            <w:tcBorders>
              <w:top w:val="nil"/>
            </w:tcBorders>
          </w:tcPr>
          <w:p w14:paraId="76C48C52" w14:textId="5D76089B" w:rsidR="00530479" w:rsidRPr="004C78D8" w:rsidRDefault="00530479" w:rsidP="00FB7C1F">
            <w:pPr>
              <w:jc w:val="left"/>
              <w:rPr>
                <w:sz w:val="18"/>
                <w:szCs w:val="18"/>
              </w:rPr>
            </w:pPr>
            <w:r w:rsidRPr="004C78D8">
              <w:rPr>
                <w:sz w:val="18"/>
                <w:szCs w:val="18"/>
              </w:rPr>
              <w:t>Age 90+</w:t>
            </w:r>
          </w:p>
        </w:tc>
        <w:tc>
          <w:tcPr>
            <w:tcW w:w="874" w:type="pct"/>
            <w:tcBorders>
              <w:top w:val="nil"/>
            </w:tcBorders>
          </w:tcPr>
          <w:p w14:paraId="6D480F6F" w14:textId="4673FD60" w:rsidR="00530479" w:rsidRPr="004C78D8" w:rsidRDefault="00530479" w:rsidP="00FB7C1F">
            <w:pPr>
              <w:jc w:val="center"/>
              <w:rPr>
                <w:sz w:val="18"/>
                <w:szCs w:val="18"/>
              </w:rPr>
            </w:pPr>
            <w:r w:rsidRPr="004C78D8">
              <w:rPr>
                <w:sz w:val="18"/>
                <w:szCs w:val="18"/>
              </w:rPr>
              <w:t>61.5</w:t>
            </w:r>
          </w:p>
        </w:tc>
        <w:tc>
          <w:tcPr>
            <w:tcW w:w="873" w:type="pct"/>
            <w:tcBorders>
              <w:top w:val="nil"/>
            </w:tcBorders>
          </w:tcPr>
          <w:p w14:paraId="00851A07" w14:textId="6ACC306D" w:rsidR="00530479" w:rsidRPr="004C78D8" w:rsidRDefault="00530479" w:rsidP="00FB7C1F">
            <w:pPr>
              <w:jc w:val="center"/>
              <w:rPr>
                <w:sz w:val="18"/>
                <w:szCs w:val="18"/>
              </w:rPr>
            </w:pPr>
            <w:r w:rsidRPr="004C78D8">
              <w:rPr>
                <w:sz w:val="18"/>
                <w:szCs w:val="18"/>
              </w:rPr>
              <w:t>12.0</w:t>
            </w:r>
          </w:p>
        </w:tc>
        <w:tc>
          <w:tcPr>
            <w:tcW w:w="877" w:type="pct"/>
            <w:tcBorders>
              <w:top w:val="nil"/>
            </w:tcBorders>
          </w:tcPr>
          <w:p w14:paraId="0D442609" w14:textId="366ABCA9" w:rsidR="00530479" w:rsidRPr="004C78D8" w:rsidRDefault="00530479" w:rsidP="00FB7C1F">
            <w:pPr>
              <w:jc w:val="center"/>
              <w:rPr>
                <w:sz w:val="18"/>
                <w:szCs w:val="18"/>
              </w:rPr>
            </w:pPr>
            <w:r w:rsidRPr="004C78D8">
              <w:rPr>
                <w:sz w:val="18"/>
                <w:szCs w:val="18"/>
              </w:rPr>
              <w:t>22.0</w:t>
            </w:r>
          </w:p>
        </w:tc>
        <w:tc>
          <w:tcPr>
            <w:tcW w:w="873" w:type="pct"/>
            <w:tcBorders>
              <w:top w:val="nil"/>
            </w:tcBorders>
          </w:tcPr>
          <w:p w14:paraId="0A73D02F" w14:textId="37D46AFF" w:rsidR="00530479" w:rsidRPr="004C78D8" w:rsidRDefault="00530479" w:rsidP="00FB7C1F">
            <w:pPr>
              <w:jc w:val="center"/>
              <w:rPr>
                <w:sz w:val="18"/>
                <w:szCs w:val="18"/>
              </w:rPr>
            </w:pPr>
            <w:r w:rsidRPr="004C78D8">
              <w:rPr>
                <w:sz w:val="18"/>
                <w:szCs w:val="18"/>
              </w:rPr>
              <w:t>0.5</w:t>
            </w:r>
          </w:p>
        </w:tc>
        <w:tc>
          <w:tcPr>
            <w:tcW w:w="877" w:type="pct"/>
            <w:tcBorders>
              <w:top w:val="nil"/>
            </w:tcBorders>
          </w:tcPr>
          <w:p w14:paraId="180660CC" w14:textId="6B199D0A" w:rsidR="00530479" w:rsidRPr="004C78D8" w:rsidRDefault="00530479" w:rsidP="00FB7C1F">
            <w:pPr>
              <w:jc w:val="center"/>
              <w:rPr>
                <w:sz w:val="18"/>
                <w:szCs w:val="18"/>
              </w:rPr>
            </w:pPr>
            <w:r w:rsidRPr="004C78D8">
              <w:rPr>
                <w:sz w:val="18"/>
                <w:szCs w:val="18"/>
              </w:rPr>
              <w:t>4.0</w:t>
            </w:r>
          </w:p>
        </w:tc>
      </w:tr>
      <w:tr w:rsidR="00530479" w:rsidRPr="004C78D8" w14:paraId="4F648C0E" w14:textId="77777777" w:rsidTr="00E35893">
        <w:tc>
          <w:tcPr>
            <w:tcW w:w="5000" w:type="pct"/>
            <w:gridSpan w:val="6"/>
            <w:tcBorders>
              <w:bottom w:val="single" w:sz="4" w:space="0" w:color="auto"/>
            </w:tcBorders>
          </w:tcPr>
          <w:p w14:paraId="3166CA1D" w14:textId="77E6232E" w:rsidR="00530479" w:rsidRPr="004C78D8" w:rsidRDefault="00530479" w:rsidP="00FB7C1F">
            <w:pPr>
              <w:jc w:val="left"/>
              <w:rPr>
                <w:sz w:val="18"/>
                <w:szCs w:val="18"/>
              </w:rPr>
            </w:pPr>
            <w:r w:rsidRPr="004C78D8">
              <w:rPr>
                <w:b/>
                <w:bCs/>
                <w:i/>
                <w:iCs/>
                <w:sz w:val="18"/>
                <w:szCs w:val="18"/>
              </w:rPr>
              <w:t xml:space="preserve">Female – Most deprived </w:t>
            </w:r>
            <w:r w:rsidR="00735F00" w:rsidRPr="004C78D8">
              <w:rPr>
                <w:b/>
                <w:bCs/>
                <w:i/>
                <w:iCs/>
                <w:sz w:val="18"/>
                <w:szCs w:val="18"/>
              </w:rPr>
              <w:t>SES</w:t>
            </w:r>
            <w:r w:rsidRPr="004C78D8">
              <w:rPr>
                <w:b/>
                <w:bCs/>
                <w:i/>
                <w:iCs/>
                <w:sz w:val="18"/>
                <w:szCs w:val="18"/>
              </w:rPr>
              <w:t xml:space="preserve"> quartile</w:t>
            </w:r>
          </w:p>
        </w:tc>
      </w:tr>
      <w:tr w:rsidR="00530479" w:rsidRPr="004C78D8" w14:paraId="777F8FA0" w14:textId="77777777" w:rsidTr="00E35893">
        <w:tc>
          <w:tcPr>
            <w:tcW w:w="626" w:type="pct"/>
            <w:tcBorders>
              <w:bottom w:val="nil"/>
            </w:tcBorders>
          </w:tcPr>
          <w:p w14:paraId="1E0BE5C7" w14:textId="505B71C5" w:rsidR="00530479" w:rsidRPr="004C78D8" w:rsidRDefault="00530479" w:rsidP="00FB7C1F">
            <w:pPr>
              <w:jc w:val="left"/>
              <w:rPr>
                <w:sz w:val="18"/>
                <w:szCs w:val="18"/>
              </w:rPr>
            </w:pPr>
            <w:r w:rsidRPr="004C78D8">
              <w:rPr>
                <w:sz w:val="18"/>
                <w:szCs w:val="18"/>
              </w:rPr>
              <w:t>Age 60-64</w:t>
            </w:r>
          </w:p>
        </w:tc>
        <w:tc>
          <w:tcPr>
            <w:tcW w:w="874" w:type="pct"/>
            <w:tcBorders>
              <w:bottom w:val="nil"/>
            </w:tcBorders>
          </w:tcPr>
          <w:p w14:paraId="497AB4F8" w14:textId="646B2DEF" w:rsidR="00530479" w:rsidRPr="004C78D8" w:rsidRDefault="00530479" w:rsidP="00FB7C1F">
            <w:pPr>
              <w:jc w:val="center"/>
              <w:rPr>
                <w:sz w:val="18"/>
                <w:szCs w:val="18"/>
              </w:rPr>
            </w:pPr>
            <w:r w:rsidRPr="004C78D8">
              <w:rPr>
                <w:sz w:val="18"/>
                <w:szCs w:val="18"/>
              </w:rPr>
              <w:t>72.0</w:t>
            </w:r>
          </w:p>
        </w:tc>
        <w:tc>
          <w:tcPr>
            <w:tcW w:w="873" w:type="pct"/>
            <w:tcBorders>
              <w:bottom w:val="nil"/>
            </w:tcBorders>
          </w:tcPr>
          <w:p w14:paraId="037D7859" w14:textId="7ECE26E0" w:rsidR="00530479" w:rsidRPr="004C78D8" w:rsidRDefault="00530479" w:rsidP="00FB7C1F">
            <w:pPr>
              <w:jc w:val="center"/>
              <w:rPr>
                <w:sz w:val="18"/>
                <w:szCs w:val="18"/>
              </w:rPr>
            </w:pPr>
            <w:r w:rsidRPr="004C78D8">
              <w:rPr>
                <w:sz w:val="18"/>
                <w:szCs w:val="18"/>
              </w:rPr>
              <w:t>11.4</w:t>
            </w:r>
          </w:p>
        </w:tc>
        <w:tc>
          <w:tcPr>
            <w:tcW w:w="877" w:type="pct"/>
            <w:tcBorders>
              <w:bottom w:val="nil"/>
            </w:tcBorders>
          </w:tcPr>
          <w:p w14:paraId="7F7E912C" w14:textId="45B665A5" w:rsidR="00530479" w:rsidRPr="004C78D8" w:rsidRDefault="00530479" w:rsidP="00FB7C1F">
            <w:pPr>
              <w:jc w:val="center"/>
              <w:rPr>
                <w:sz w:val="18"/>
                <w:szCs w:val="18"/>
              </w:rPr>
            </w:pPr>
            <w:r w:rsidRPr="004C78D8">
              <w:rPr>
                <w:sz w:val="18"/>
                <w:szCs w:val="18"/>
              </w:rPr>
              <w:t>8.7</w:t>
            </w:r>
          </w:p>
        </w:tc>
        <w:tc>
          <w:tcPr>
            <w:tcW w:w="873" w:type="pct"/>
            <w:tcBorders>
              <w:bottom w:val="nil"/>
            </w:tcBorders>
          </w:tcPr>
          <w:p w14:paraId="35943095" w14:textId="016657F7" w:rsidR="00530479" w:rsidRPr="004C78D8" w:rsidRDefault="00530479" w:rsidP="00FB7C1F">
            <w:pPr>
              <w:jc w:val="center"/>
              <w:rPr>
                <w:sz w:val="18"/>
                <w:szCs w:val="18"/>
              </w:rPr>
            </w:pPr>
            <w:r w:rsidRPr="004C78D8">
              <w:rPr>
                <w:sz w:val="18"/>
                <w:szCs w:val="18"/>
              </w:rPr>
              <w:t>3.9</w:t>
            </w:r>
          </w:p>
        </w:tc>
        <w:tc>
          <w:tcPr>
            <w:tcW w:w="877" w:type="pct"/>
            <w:tcBorders>
              <w:bottom w:val="nil"/>
            </w:tcBorders>
          </w:tcPr>
          <w:p w14:paraId="111897AD" w14:textId="4E495D38" w:rsidR="00530479" w:rsidRPr="004C78D8" w:rsidRDefault="00530479" w:rsidP="00FB7C1F">
            <w:pPr>
              <w:jc w:val="center"/>
              <w:rPr>
                <w:sz w:val="18"/>
                <w:szCs w:val="18"/>
              </w:rPr>
            </w:pPr>
            <w:r w:rsidRPr="004C78D8">
              <w:rPr>
                <w:sz w:val="18"/>
                <w:szCs w:val="18"/>
              </w:rPr>
              <w:t>4.0</w:t>
            </w:r>
          </w:p>
        </w:tc>
      </w:tr>
      <w:tr w:rsidR="00530479" w:rsidRPr="004C78D8" w14:paraId="47862182" w14:textId="77777777" w:rsidTr="00E35893">
        <w:tc>
          <w:tcPr>
            <w:tcW w:w="626" w:type="pct"/>
            <w:tcBorders>
              <w:top w:val="nil"/>
              <w:bottom w:val="nil"/>
            </w:tcBorders>
          </w:tcPr>
          <w:p w14:paraId="379310A7" w14:textId="5F287C37" w:rsidR="00530479" w:rsidRPr="004C78D8" w:rsidRDefault="00530479" w:rsidP="00FB7C1F">
            <w:pPr>
              <w:jc w:val="left"/>
              <w:rPr>
                <w:sz w:val="18"/>
                <w:szCs w:val="18"/>
              </w:rPr>
            </w:pPr>
            <w:r w:rsidRPr="004C78D8">
              <w:rPr>
                <w:sz w:val="18"/>
                <w:szCs w:val="18"/>
              </w:rPr>
              <w:t>Age 65-69</w:t>
            </w:r>
          </w:p>
        </w:tc>
        <w:tc>
          <w:tcPr>
            <w:tcW w:w="874" w:type="pct"/>
            <w:tcBorders>
              <w:top w:val="nil"/>
              <w:bottom w:val="nil"/>
            </w:tcBorders>
          </w:tcPr>
          <w:p w14:paraId="1FF2A1F9" w14:textId="6F8A19EA" w:rsidR="00530479" w:rsidRPr="004C78D8" w:rsidRDefault="00530479" w:rsidP="00FB7C1F">
            <w:pPr>
              <w:jc w:val="center"/>
              <w:rPr>
                <w:sz w:val="18"/>
                <w:szCs w:val="18"/>
              </w:rPr>
            </w:pPr>
            <w:r w:rsidRPr="004C78D8">
              <w:rPr>
                <w:sz w:val="18"/>
                <w:szCs w:val="18"/>
              </w:rPr>
              <w:t>65.5</w:t>
            </w:r>
          </w:p>
        </w:tc>
        <w:tc>
          <w:tcPr>
            <w:tcW w:w="873" w:type="pct"/>
            <w:tcBorders>
              <w:top w:val="nil"/>
              <w:bottom w:val="nil"/>
            </w:tcBorders>
          </w:tcPr>
          <w:p w14:paraId="3A3C95FD" w14:textId="201112E2" w:rsidR="00530479" w:rsidRPr="004C78D8" w:rsidRDefault="00530479" w:rsidP="00FB7C1F">
            <w:pPr>
              <w:jc w:val="center"/>
              <w:rPr>
                <w:sz w:val="18"/>
                <w:szCs w:val="18"/>
              </w:rPr>
            </w:pPr>
            <w:r w:rsidRPr="004C78D8">
              <w:rPr>
                <w:sz w:val="18"/>
                <w:szCs w:val="18"/>
              </w:rPr>
              <w:t>12.8</w:t>
            </w:r>
          </w:p>
        </w:tc>
        <w:tc>
          <w:tcPr>
            <w:tcW w:w="877" w:type="pct"/>
            <w:tcBorders>
              <w:top w:val="nil"/>
              <w:bottom w:val="nil"/>
            </w:tcBorders>
          </w:tcPr>
          <w:p w14:paraId="4152DE28" w14:textId="4A0E18BB" w:rsidR="00530479" w:rsidRPr="004C78D8" w:rsidRDefault="00530479" w:rsidP="00FB7C1F">
            <w:pPr>
              <w:jc w:val="center"/>
              <w:rPr>
                <w:sz w:val="18"/>
                <w:szCs w:val="18"/>
              </w:rPr>
            </w:pPr>
            <w:r w:rsidRPr="004C78D8">
              <w:rPr>
                <w:sz w:val="18"/>
                <w:szCs w:val="18"/>
              </w:rPr>
              <w:t>9.9</w:t>
            </w:r>
          </w:p>
        </w:tc>
        <w:tc>
          <w:tcPr>
            <w:tcW w:w="873" w:type="pct"/>
            <w:tcBorders>
              <w:top w:val="nil"/>
              <w:bottom w:val="nil"/>
            </w:tcBorders>
          </w:tcPr>
          <w:p w14:paraId="232176CE" w14:textId="19D7935B" w:rsidR="00530479" w:rsidRPr="004C78D8" w:rsidRDefault="00530479" w:rsidP="00FB7C1F">
            <w:pPr>
              <w:jc w:val="center"/>
              <w:rPr>
                <w:sz w:val="18"/>
                <w:szCs w:val="18"/>
              </w:rPr>
            </w:pPr>
            <w:r w:rsidRPr="004C78D8">
              <w:rPr>
                <w:sz w:val="18"/>
                <w:szCs w:val="18"/>
              </w:rPr>
              <w:t>5.4</w:t>
            </w:r>
          </w:p>
        </w:tc>
        <w:tc>
          <w:tcPr>
            <w:tcW w:w="877" w:type="pct"/>
            <w:tcBorders>
              <w:top w:val="nil"/>
              <w:bottom w:val="nil"/>
            </w:tcBorders>
          </w:tcPr>
          <w:p w14:paraId="55D7813F" w14:textId="7E3CC03A" w:rsidR="00530479" w:rsidRPr="004C78D8" w:rsidRDefault="00530479" w:rsidP="00FB7C1F">
            <w:pPr>
              <w:jc w:val="center"/>
              <w:rPr>
                <w:sz w:val="18"/>
                <w:szCs w:val="18"/>
              </w:rPr>
            </w:pPr>
            <w:r w:rsidRPr="004C78D8">
              <w:rPr>
                <w:sz w:val="18"/>
                <w:szCs w:val="18"/>
              </w:rPr>
              <w:t>6.4</w:t>
            </w:r>
          </w:p>
        </w:tc>
      </w:tr>
      <w:tr w:rsidR="00530479" w:rsidRPr="004C78D8" w14:paraId="051709D8" w14:textId="77777777" w:rsidTr="00E35893">
        <w:tc>
          <w:tcPr>
            <w:tcW w:w="626" w:type="pct"/>
            <w:tcBorders>
              <w:top w:val="nil"/>
              <w:bottom w:val="nil"/>
            </w:tcBorders>
          </w:tcPr>
          <w:p w14:paraId="58ED4790" w14:textId="2F32282B" w:rsidR="00530479" w:rsidRPr="004C78D8" w:rsidRDefault="00530479" w:rsidP="00FB7C1F">
            <w:pPr>
              <w:jc w:val="left"/>
              <w:rPr>
                <w:sz w:val="18"/>
                <w:szCs w:val="18"/>
              </w:rPr>
            </w:pPr>
            <w:r w:rsidRPr="004C78D8">
              <w:rPr>
                <w:sz w:val="18"/>
                <w:szCs w:val="18"/>
              </w:rPr>
              <w:t>Age 70-74</w:t>
            </w:r>
          </w:p>
        </w:tc>
        <w:tc>
          <w:tcPr>
            <w:tcW w:w="874" w:type="pct"/>
            <w:tcBorders>
              <w:top w:val="nil"/>
              <w:bottom w:val="nil"/>
            </w:tcBorders>
          </w:tcPr>
          <w:p w14:paraId="21DF5567" w14:textId="7BA77DC8" w:rsidR="00530479" w:rsidRPr="004C78D8" w:rsidRDefault="00530479" w:rsidP="00FB7C1F">
            <w:pPr>
              <w:jc w:val="center"/>
              <w:rPr>
                <w:sz w:val="18"/>
                <w:szCs w:val="18"/>
              </w:rPr>
            </w:pPr>
            <w:r w:rsidRPr="004C78D8">
              <w:rPr>
                <w:sz w:val="18"/>
                <w:szCs w:val="18"/>
              </w:rPr>
              <w:t>71.3</w:t>
            </w:r>
          </w:p>
        </w:tc>
        <w:tc>
          <w:tcPr>
            <w:tcW w:w="873" w:type="pct"/>
            <w:tcBorders>
              <w:top w:val="nil"/>
              <w:bottom w:val="nil"/>
            </w:tcBorders>
          </w:tcPr>
          <w:p w14:paraId="0FDC0E16" w14:textId="639166A7" w:rsidR="00530479" w:rsidRPr="004C78D8" w:rsidRDefault="00530479" w:rsidP="00FB7C1F">
            <w:pPr>
              <w:jc w:val="center"/>
              <w:rPr>
                <w:sz w:val="18"/>
                <w:szCs w:val="18"/>
              </w:rPr>
            </w:pPr>
            <w:r w:rsidRPr="004C78D8">
              <w:rPr>
                <w:sz w:val="18"/>
                <w:szCs w:val="18"/>
              </w:rPr>
              <w:t>11.7</w:t>
            </w:r>
          </w:p>
        </w:tc>
        <w:tc>
          <w:tcPr>
            <w:tcW w:w="877" w:type="pct"/>
            <w:tcBorders>
              <w:top w:val="nil"/>
              <w:bottom w:val="nil"/>
            </w:tcBorders>
          </w:tcPr>
          <w:p w14:paraId="08152847" w14:textId="5C1BFE64" w:rsidR="00530479" w:rsidRPr="004C78D8" w:rsidRDefault="00530479" w:rsidP="00FB7C1F">
            <w:pPr>
              <w:jc w:val="center"/>
              <w:rPr>
                <w:sz w:val="18"/>
                <w:szCs w:val="18"/>
              </w:rPr>
            </w:pPr>
            <w:r w:rsidRPr="004C78D8">
              <w:rPr>
                <w:sz w:val="18"/>
                <w:szCs w:val="18"/>
              </w:rPr>
              <w:t>7.8</w:t>
            </w:r>
          </w:p>
        </w:tc>
        <w:tc>
          <w:tcPr>
            <w:tcW w:w="873" w:type="pct"/>
            <w:tcBorders>
              <w:top w:val="nil"/>
              <w:bottom w:val="nil"/>
            </w:tcBorders>
          </w:tcPr>
          <w:p w14:paraId="2EB6EDCE" w14:textId="38FB277B" w:rsidR="00530479" w:rsidRPr="004C78D8" w:rsidRDefault="00530479" w:rsidP="00FB7C1F">
            <w:pPr>
              <w:jc w:val="center"/>
              <w:rPr>
                <w:sz w:val="18"/>
                <w:szCs w:val="18"/>
              </w:rPr>
            </w:pPr>
            <w:r w:rsidRPr="004C78D8">
              <w:rPr>
                <w:sz w:val="18"/>
                <w:szCs w:val="18"/>
              </w:rPr>
              <w:t>5.7</w:t>
            </w:r>
          </w:p>
        </w:tc>
        <w:tc>
          <w:tcPr>
            <w:tcW w:w="877" w:type="pct"/>
            <w:tcBorders>
              <w:top w:val="nil"/>
              <w:bottom w:val="nil"/>
            </w:tcBorders>
          </w:tcPr>
          <w:p w14:paraId="3ACDD2A6" w14:textId="16267BC5" w:rsidR="00530479" w:rsidRPr="004C78D8" w:rsidRDefault="00530479" w:rsidP="00FB7C1F">
            <w:pPr>
              <w:jc w:val="center"/>
              <w:rPr>
                <w:sz w:val="18"/>
                <w:szCs w:val="18"/>
              </w:rPr>
            </w:pPr>
            <w:r w:rsidRPr="004C78D8">
              <w:rPr>
                <w:sz w:val="18"/>
                <w:szCs w:val="18"/>
              </w:rPr>
              <w:t>3.5</w:t>
            </w:r>
          </w:p>
        </w:tc>
      </w:tr>
      <w:tr w:rsidR="00530479" w:rsidRPr="004C78D8" w14:paraId="38E34E43" w14:textId="77777777" w:rsidTr="00E35893">
        <w:tc>
          <w:tcPr>
            <w:tcW w:w="626" w:type="pct"/>
            <w:tcBorders>
              <w:top w:val="nil"/>
              <w:bottom w:val="nil"/>
            </w:tcBorders>
          </w:tcPr>
          <w:p w14:paraId="27424599" w14:textId="323BB976" w:rsidR="00530479" w:rsidRPr="004C78D8" w:rsidRDefault="00530479" w:rsidP="00FB7C1F">
            <w:pPr>
              <w:jc w:val="left"/>
              <w:rPr>
                <w:sz w:val="18"/>
                <w:szCs w:val="18"/>
              </w:rPr>
            </w:pPr>
            <w:r w:rsidRPr="004C78D8">
              <w:rPr>
                <w:sz w:val="18"/>
                <w:szCs w:val="18"/>
              </w:rPr>
              <w:t>Age 75-79</w:t>
            </w:r>
          </w:p>
        </w:tc>
        <w:tc>
          <w:tcPr>
            <w:tcW w:w="874" w:type="pct"/>
            <w:tcBorders>
              <w:top w:val="nil"/>
              <w:bottom w:val="nil"/>
            </w:tcBorders>
          </w:tcPr>
          <w:p w14:paraId="3474D054" w14:textId="5D66DF20" w:rsidR="00530479" w:rsidRPr="004C78D8" w:rsidRDefault="00530479" w:rsidP="00FB7C1F">
            <w:pPr>
              <w:jc w:val="center"/>
              <w:rPr>
                <w:sz w:val="18"/>
                <w:szCs w:val="18"/>
              </w:rPr>
            </w:pPr>
            <w:r w:rsidRPr="004C78D8">
              <w:rPr>
                <w:sz w:val="18"/>
                <w:szCs w:val="18"/>
              </w:rPr>
              <w:t>66.0</w:t>
            </w:r>
          </w:p>
        </w:tc>
        <w:tc>
          <w:tcPr>
            <w:tcW w:w="873" w:type="pct"/>
            <w:tcBorders>
              <w:top w:val="nil"/>
              <w:bottom w:val="nil"/>
            </w:tcBorders>
          </w:tcPr>
          <w:p w14:paraId="006906E1" w14:textId="4E8AAF0F" w:rsidR="00530479" w:rsidRPr="004C78D8" w:rsidRDefault="00530479" w:rsidP="00FB7C1F">
            <w:pPr>
              <w:jc w:val="center"/>
              <w:rPr>
                <w:sz w:val="18"/>
                <w:szCs w:val="18"/>
              </w:rPr>
            </w:pPr>
            <w:r w:rsidRPr="004C78D8">
              <w:rPr>
                <w:sz w:val="18"/>
                <w:szCs w:val="18"/>
              </w:rPr>
              <w:t>11.8</w:t>
            </w:r>
          </w:p>
        </w:tc>
        <w:tc>
          <w:tcPr>
            <w:tcW w:w="877" w:type="pct"/>
            <w:tcBorders>
              <w:top w:val="nil"/>
              <w:bottom w:val="nil"/>
            </w:tcBorders>
          </w:tcPr>
          <w:p w14:paraId="5839897A" w14:textId="396AA386" w:rsidR="00530479" w:rsidRPr="004C78D8" w:rsidRDefault="00530479" w:rsidP="00FB7C1F">
            <w:pPr>
              <w:jc w:val="center"/>
              <w:rPr>
                <w:sz w:val="18"/>
                <w:szCs w:val="18"/>
              </w:rPr>
            </w:pPr>
            <w:r w:rsidRPr="004C78D8">
              <w:rPr>
                <w:sz w:val="18"/>
                <w:szCs w:val="18"/>
              </w:rPr>
              <w:t>11.7</w:t>
            </w:r>
          </w:p>
        </w:tc>
        <w:tc>
          <w:tcPr>
            <w:tcW w:w="873" w:type="pct"/>
            <w:tcBorders>
              <w:top w:val="nil"/>
              <w:bottom w:val="nil"/>
            </w:tcBorders>
          </w:tcPr>
          <w:p w14:paraId="325BFFD0" w14:textId="4B1013AF" w:rsidR="00530479" w:rsidRPr="004C78D8" w:rsidRDefault="00530479" w:rsidP="00FB7C1F">
            <w:pPr>
              <w:jc w:val="center"/>
              <w:rPr>
                <w:sz w:val="18"/>
                <w:szCs w:val="18"/>
              </w:rPr>
            </w:pPr>
            <w:r w:rsidRPr="004C78D8">
              <w:rPr>
                <w:sz w:val="18"/>
                <w:szCs w:val="18"/>
              </w:rPr>
              <w:t>4.6</w:t>
            </w:r>
          </w:p>
        </w:tc>
        <w:tc>
          <w:tcPr>
            <w:tcW w:w="877" w:type="pct"/>
            <w:tcBorders>
              <w:top w:val="nil"/>
              <w:bottom w:val="nil"/>
            </w:tcBorders>
          </w:tcPr>
          <w:p w14:paraId="0E71A568" w14:textId="42D00FC5" w:rsidR="00530479" w:rsidRPr="004C78D8" w:rsidRDefault="00530479" w:rsidP="00FB7C1F">
            <w:pPr>
              <w:jc w:val="center"/>
              <w:rPr>
                <w:sz w:val="18"/>
                <w:szCs w:val="18"/>
              </w:rPr>
            </w:pPr>
            <w:r w:rsidRPr="004C78D8">
              <w:rPr>
                <w:sz w:val="18"/>
                <w:szCs w:val="18"/>
              </w:rPr>
              <w:t>5.9</w:t>
            </w:r>
          </w:p>
        </w:tc>
      </w:tr>
      <w:tr w:rsidR="00530479" w:rsidRPr="004C78D8" w14:paraId="3C9FC9E3" w14:textId="77777777" w:rsidTr="00E35893">
        <w:tc>
          <w:tcPr>
            <w:tcW w:w="626" w:type="pct"/>
            <w:tcBorders>
              <w:top w:val="nil"/>
              <w:bottom w:val="nil"/>
            </w:tcBorders>
          </w:tcPr>
          <w:p w14:paraId="44025D06" w14:textId="3846B46A" w:rsidR="00530479" w:rsidRPr="004C78D8" w:rsidRDefault="00530479" w:rsidP="00FB7C1F">
            <w:pPr>
              <w:jc w:val="left"/>
              <w:rPr>
                <w:sz w:val="18"/>
                <w:szCs w:val="18"/>
              </w:rPr>
            </w:pPr>
            <w:r w:rsidRPr="004C78D8">
              <w:rPr>
                <w:sz w:val="18"/>
                <w:szCs w:val="18"/>
              </w:rPr>
              <w:t>Age 80-84</w:t>
            </w:r>
          </w:p>
        </w:tc>
        <w:tc>
          <w:tcPr>
            <w:tcW w:w="874" w:type="pct"/>
            <w:tcBorders>
              <w:top w:val="nil"/>
              <w:bottom w:val="nil"/>
            </w:tcBorders>
          </w:tcPr>
          <w:p w14:paraId="29B78772" w14:textId="42F9C152" w:rsidR="00530479" w:rsidRPr="004C78D8" w:rsidRDefault="00530479" w:rsidP="00FB7C1F">
            <w:pPr>
              <w:jc w:val="center"/>
              <w:rPr>
                <w:sz w:val="18"/>
                <w:szCs w:val="18"/>
              </w:rPr>
            </w:pPr>
            <w:r w:rsidRPr="004C78D8">
              <w:rPr>
                <w:sz w:val="18"/>
                <w:szCs w:val="18"/>
              </w:rPr>
              <w:t>51.4</w:t>
            </w:r>
          </w:p>
        </w:tc>
        <w:tc>
          <w:tcPr>
            <w:tcW w:w="873" w:type="pct"/>
            <w:tcBorders>
              <w:top w:val="nil"/>
              <w:bottom w:val="nil"/>
            </w:tcBorders>
          </w:tcPr>
          <w:p w14:paraId="00D3F935" w14:textId="027A4EF2" w:rsidR="00530479" w:rsidRPr="004C78D8" w:rsidRDefault="00530479" w:rsidP="00FB7C1F">
            <w:pPr>
              <w:jc w:val="center"/>
              <w:rPr>
                <w:sz w:val="18"/>
                <w:szCs w:val="18"/>
              </w:rPr>
            </w:pPr>
            <w:r w:rsidRPr="004C78D8">
              <w:rPr>
                <w:sz w:val="18"/>
                <w:szCs w:val="18"/>
              </w:rPr>
              <w:t>11.8</w:t>
            </w:r>
          </w:p>
        </w:tc>
        <w:tc>
          <w:tcPr>
            <w:tcW w:w="877" w:type="pct"/>
            <w:tcBorders>
              <w:top w:val="nil"/>
              <w:bottom w:val="nil"/>
            </w:tcBorders>
          </w:tcPr>
          <w:p w14:paraId="5F0C2318" w14:textId="29333976" w:rsidR="00530479" w:rsidRPr="004C78D8" w:rsidRDefault="00530479" w:rsidP="00FB7C1F">
            <w:pPr>
              <w:jc w:val="center"/>
              <w:rPr>
                <w:sz w:val="18"/>
                <w:szCs w:val="18"/>
              </w:rPr>
            </w:pPr>
            <w:r w:rsidRPr="004C78D8">
              <w:rPr>
                <w:sz w:val="18"/>
                <w:szCs w:val="18"/>
              </w:rPr>
              <w:t>11.8</w:t>
            </w:r>
          </w:p>
        </w:tc>
        <w:tc>
          <w:tcPr>
            <w:tcW w:w="873" w:type="pct"/>
            <w:tcBorders>
              <w:top w:val="nil"/>
              <w:bottom w:val="nil"/>
            </w:tcBorders>
          </w:tcPr>
          <w:p w14:paraId="6FAB3C70" w14:textId="2D302968" w:rsidR="00530479" w:rsidRPr="004C78D8" w:rsidRDefault="00530479" w:rsidP="00FB7C1F">
            <w:pPr>
              <w:jc w:val="center"/>
              <w:rPr>
                <w:sz w:val="18"/>
                <w:szCs w:val="18"/>
              </w:rPr>
            </w:pPr>
            <w:r w:rsidRPr="004C78D8">
              <w:rPr>
                <w:sz w:val="18"/>
                <w:szCs w:val="18"/>
              </w:rPr>
              <w:t>14.7</w:t>
            </w:r>
          </w:p>
        </w:tc>
        <w:tc>
          <w:tcPr>
            <w:tcW w:w="877" w:type="pct"/>
            <w:tcBorders>
              <w:top w:val="nil"/>
              <w:bottom w:val="nil"/>
            </w:tcBorders>
          </w:tcPr>
          <w:p w14:paraId="173A8F7F" w14:textId="2BB1347A" w:rsidR="00530479" w:rsidRPr="004C78D8" w:rsidRDefault="00530479" w:rsidP="00FB7C1F">
            <w:pPr>
              <w:jc w:val="center"/>
              <w:rPr>
                <w:sz w:val="18"/>
                <w:szCs w:val="18"/>
              </w:rPr>
            </w:pPr>
            <w:r w:rsidRPr="004C78D8">
              <w:rPr>
                <w:sz w:val="18"/>
                <w:szCs w:val="18"/>
              </w:rPr>
              <w:t>10.3</w:t>
            </w:r>
          </w:p>
        </w:tc>
      </w:tr>
      <w:tr w:rsidR="00530479" w:rsidRPr="004C78D8" w14:paraId="1BF36C4C" w14:textId="77777777" w:rsidTr="00E35893">
        <w:tc>
          <w:tcPr>
            <w:tcW w:w="626" w:type="pct"/>
            <w:tcBorders>
              <w:top w:val="nil"/>
              <w:bottom w:val="nil"/>
            </w:tcBorders>
          </w:tcPr>
          <w:p w14:paraId="47B5D34B" w14:textId="0B842A77" w:rsidR="00530479" w:rsidRPr="004C78D8" w:rsidRDefault="00530479" w:rsidP="00FB7C1F">
            <w:pPr>
              <w:jc w:val="left"/>
              <w:rPr>
                <w:sz w:val="18"/>
                <w:szCs w:val="18"/>
              </w:rPr>
            </w:pPr>
            <w:r w:rsidRPr="004C78D8">
              <w:rPr>
                <w:sz w:val="18"/>
                <w:szCs w:val="18"/>
              </w:rPr>
              <w:t>Age 85-89</w:t>
            </w:r>
          </w:p>
        </w:tc>
        <w:tc>
          <w:tcPr>
            <w:tcW w:w="874" w:type="pct"/>
            <w:tcBorders>
              <w:top w:val="nil"/>
              <w:bottom w:val="nil"/>
            </w:tcBorders>
          </w:tcPr>
          <w:p w14:paraId="2577CB93" w14:textId="483700EA" w:rsidR="00530479" w:rsidRPr="004C78D8" w:rsidRDefault="00530479" w:rsidP="00FB7C1F">
            <w:pPr>
              <w:jc w:val="center"/>
              <w:rPr>
                <w:sz w:val="18"/>
                <w:szCs w:val="18"/>
              </w:rPr>
            </w:pPr>
            <w:r w:rsidRPr="004C78D8">
              <w:rPr>
                <w:sz w:val="18"/>
                <w:szCs w:val="18"/>
              </w:rPr>
              <w:t>52.9</w:t>
            </w:r>
          </w:p>
        </w:tc>
        <w:tc>
          <w:tcPr>
            <w:tcW w:w="873" w:type="pct"/>
            <w:tcBorders>
              <w:top w:val="nil"/>
              <w:bottom w:val="nil"/>
            </w:tcBorders>
          </w:tcPr>
          <w:p w14:paraId="7FC98C62" w14:textId="012AEDA0" w:rsidR="00530479" w:rsidRPr="004C78D8" w:rsidRDefault="00530479" w:rsidP="00FB7C1F">
            <w:pPr>
              <w:jc w:val="center"/>
              <w:rPr>
                <w:sz w:val="18"/>
                <w:szCs w:val="18"/>
              </w:rPr>
            </w:pPr>
            <w:r w:rsidRPr="004C78D8">
              <w:rPr>
                <w:sz w:val="18"/>
                <w:szCs w:val="18"/>
              </w:rPr>
              <w:t>11.8</w:t>
            </w:r>
          </w:p>
        </w:tc>
        <w:tc>
          <w:tcPr>
            <w:tcW w:w="877" w:type="pct"/>
            <w:tcBorders>
              <w:top w:val="nil"/>
              <w:bottom w:val="nil"/>
            </w:tcBorders>
          </w:tcPr>
          <w:p w14:paraId="721B7E77" w14:textId="66EAB3B7" w:rsidR="00530479" w:rsidRPr="004C78D8" w:rsidRDefault="00530479" w:rsidP="00FB7C1F">
            <w:pPr>
              <w:jc w:val="center"/>
              <w:rPr>
                <w:sz w:val="18"/>
                <w:szCs w:val="18"/>
              </w:rPr>
            </w:pPr>
            <w:r w:rsidRPr="004C78D8">
              <w:rPr>
                <w:sz w:val="18"/>
                <w:szCs w:val="18"/>
              </w:rPr>
              <w:t>17.6</w:t>
            </w:r>
          </w:p>
        </w:tc>
        <w:tc>
          <w:tcPr>
            <w:tcW w:w="873" w:type="pct"/>
            <w:tcBorders>
              <w:top w:val="nil"/>
              <w:bottom w:val="nil"/>
            </w:tcBorders>
          </w:tcPr>
          <w:p w14:paraId="23CF869B" w14:textId="54FD7435" w:rsidR="00530479" w:rsidRPr="004C78D8" w:rsidRDefault="00530479" w:rsidP="00FB7C1F">
            <w:pPr>
              <w:jc w:val="center"/>
              <w:rPr>
                <w:sz w:val="18"/>
                <w:szCs w:val="18"/>
              </w:rPr>
            </w:pPr>
            <w:r w:rsidRPr="004C78D8">
              <w:rPr>
                <w:sz w:val="18"/>
                <w:szCs w:val="18"/>
              </w:rPr>
              <w:t>5.9</w:t>
            </w:r>
          </w:p>
        </w:tc>
        <w:tc>
          <w:tcPr>
            <w:tcW w:w="877" w:type="pct"/>
            <w:tcBorders>
              <w:top w:val="nil"/>
              <w:bottom w:val="nil"/>
            </w:tcBorders>
          </w:tcPr>
          <w:p w14:paraId="6B6BA705" w14:textId="1A5FFCCF" w:rsidR="00530479" w:rsidRPr="004C78D8" w:rsidRDefault="00530479" w:rsidP="00FB7C1F">
            <w:pPr>
              <w:jc w:val="center"/>
              <w:rPr>
                <w:sz w:val="18"/>
                <w:szCs w:val="18"/>
              </w:rPr>
            </w:pPr>
            <w:r w:rsidRPr="004C78D8">
              <w:rPr>
                <w:sz w:val="18"/>
                <w:szCs w:val="18"/>
              </w:rPr>
              <w:t>11.8</w:t>
            </w:r>
          </w:p>
        </w:tc>
      </w:tr>
      <w:tr w:rsidR="00530479" w:rsidRPr="004C78D8" w14:paraId="78CD9767" w14:textId="77777777" w:rsidTr="00E35893">
        <w:tc>
          <w:tcPr>
            <w:tcW w:w="626" w:type="pct"/>
            <w:tcBorders>
              <w:top w:val="nil"/>
            </w:tcBorders>
          </w:tcPr>
          <w:p w14:paraId="0E78FB83" w14:textId="685DD68B" w:rsidR="00530479" w:rsidRPr="004C78D8" w:rsidRDefault="00530479" w:rsidP="00FB7C1F">
            <w:pPr>
              <w:jc w:val="left"/>
              <w:rPr>
                <w:sz w:val="18"/>
                <w:szCs w:val="18"/>
              </w:rPr>
            </w:pPr>
            <w:r w:rsidRPr="004C78D8">
              <w:rPr>
                <w:sz w:val="18"/>
                <w:szCs w:val="18"/>
              </w:rPr>
              <w:t>Age 90+</w:t>
            </w:r>
          </w:p>
        </w:tc>
        <w:tc>
          <w:tcPr>
            <w:tcW w:w="874" w:type="pct"/>
            <w:tcBorders>
              <w:top w:val="nil"/>
            </w:tcBorders>
          </w:tcPr>
          <w:p w14:paraId="52558D35" w14:textId="6F7245B9" w:rsidR="00530479" w:rsidRPr="004C78D8" w:rsidRDefault="00530479" w:rsidP="00FB7C1F">
            <w:pPr>
              <w:jc w:val="center"/>
              <w:rPr>
                <w:sz w:val="18"/>
                <w:szCs w:val="18"/>
              </w:rPr>
            </w:pPr>
            <w:r w:rsidRPr="004C78D8">
              <w:rPr>
                <w:sz w:val="18"/>
                <w:szCs w:val="18"/>
              </w:rPr>
              <w:t>69.5</w:t>
            </w:r>
          </w:p>
        </w:tc>
        <w:tc>
          <w:tcPr>
            <w:tcW w:w="873" w:type="pct"/>
            <w:tcBorders>
              <w:top w:val="nil"/>
            </w:tcBorders>
          </w:tcPr>
          <w:p w14:paraId="37170212" w14:textId="0DE9B0B6" w:rsidR="00530479" w:rsidRPr="004C78D8" w:rsidRDefault="00530479" w:rsidP="00FB7C1F">
            <w:pPr>
              <w:jc w:val="center"/>
              <w:rPr>
                <w:sz w:val="18"/>
                <w:szCs w:val="18"/>
              </w:rPr>
            </w:pPr>
            <w:r w:rsidRPr="004C78D8">
              <w:rPr>
                <w:sz w:val="18"/>
                <w:szCs w:val="18"/>
              </w:rPr>
              <w:t>10.0</w:t>
            </w:r>
          </w:p>
        </w:tc>
        <w:tc>
          <w:tcPr>
            <w:tcW w:w="877" w:type="pct"/>
            <w:tcBorders>
              <w:top w:val="nil"/>
            </w:tcBorders>
          </w:tcPr>
          <w:p w14:paraId="08B741E3" w14:textId="592CFC2D" w:rsidR="00530479" w:rsidRPr="004C78D8" w:rsidRDefault="00530479" w:rsidP="00FB7C1F">
            <w:pPr>
              <w:jc w:val="center"/>
              <w:rPr>
                <w:sz w:val="18"/>
                <w:szCs w:val="18"/>
              </w:rPr>
            </w:pPr>
            <w:r w:rsidRPr="004C78D8">
              <w:rPr>
                <w:sz w:val="18"/>
                <w:szCs w:val="18"/>
              </w:rPr>
              <w:t>10.0</w:t>
            </w:r>
          </w:p>
        </w:tc>
        <w:tc>
          <w:tcPr>
            <w:tcW w:w="873" w:type="pct"/>
            <w:tcBorders>
              <w:top w:val="nil"/>
            </w:tcBorders>
          </w:tcPr>
          <w:p w14:paraId="796750AB" w14:textId="2DD31DD2" w:rsidR="00530479" w:rsidRPr="004C78D8" w:rsidRDefault="00530479" w:rsidP="00FB7C1F">
            <w:pPr>
              <w:jc w:val="center"/>
              <w:rPr>
                <w:sz w:val="18"/>
                <w:szCs w:val="18"/>
              </w:rPr>
            </w:pPr>
            <w:r w:rsidRPr="004C78D8">
              <w:rPr>
                <w:sz w:val="18"/>
                <w:szCs w:val="18"/>
              </w:rPr>
              <w:t>0.5</w:t>
            </w:r>
          </w:p>
        </w:tc>
        <w:tc>
          <w:tcPr>
            <w:tcW w:w="877" w:type="pct"/>
            <w:tcBorders>
              <w:top w:val="nil"/>
            </w:tcBorders>
          </w:tcPr>
          <w:p w14:paraId="0B8E9A99" w14:textId="172BC21B" w:rsidR="00530479" w:rsidRPr="004C78D8" w:rsidRDefault="00530479" w:rsidP="00FB7C1F">
            <w:pPr>
              <w:jc w:val="center"/>
              <w:rPr>
                <w:sz w:val="18"/>
                <w:szCs w:val="18"/>
              </w:rPr>
            </w:pPr>
            <w:r w:rsidRPr="004C78D8">
              <w:rPr>
                <w:sz w:val="18"/>
                <w:szCs w:val="18"/>
              </w:rPr>
              <w:t>10.0</w:t>
            </w:r>
          </w:p>
        </w:tc>
      </w:tr>
      <w:tr w:rsidR="00530479" w:rsidRPr="004C78D8" w14:paraId="50AC6DA4" w14:textId="77777777" w:rsidTr="00E35893">
        <w:tc>
          <w:tcPr>
            <w:tcW w:w="5000" w:type="pct"/>
            <w:gridSpan w:val="6"/>
          </w:tcPr>
          <w:p w14:paraId="6B41A6E4" w14:textId="5A0581E8" w:rsidR="00530479" w:rsidRPr="004C78D8" w:rsidRDefault="00D10D5E" w:rsidP="00FB7C1F">
            <w:pPr>
              <w:rPr>
                <w:sz w:val="20"/>
                <w:szCs w:val="20"/>
              </w:rPr>
            </w:pPr>
            <w:r w:rsidRPr="004C78D8">
              <w:rPr>
                <w:b/>
                <w:bCs/>
                <w:sz w:val="18"/>
                <w:szCs w:val="18"/>
              </w:rPr>
              <w:t>Abbreviation</w:t>
            </w:r>
            <w:r w:rsidR="00D12B99" w:rsidRPr="004C78D8">
              <w:rPr>
                <w:b/>
                <w:bCs/>
                <w:sz w:val="18"/>
                <w:szCs w:val="18"/>
              </w:rPr>
              <w:t xml:space="preserve">: </w:t>
            </w:r>
            <w:r w:rsidR="00530479" w:rsidRPr="004C78D8">
              <w:rPr>
                <w:sz w:val="18"/>
                <w:szCs w:val="18"/>
              </w:rPr>
              <w:t>ELSA: English Longitudinal Study of Ageing; MA fall: fall requiring medical attention</w:t>
            </w:r>
            <w:r w:rsidR="00735F00" w:rsidRPr="004C78D8">
              <w:rPr>
                <w:sz w:val="18"/>
                <w:szCs w:val="18"/>
              </w:rPr>
              <w:t>; SES: socioeconomic status</w:t>
            </w:r>
          </w:p>
        </w:tc>
      </w:tr>
    </w:tbl>
    <w:p w14:paraId="3FF84DF3" w14:textId="77777777" w:rsidR="00C73E67" w:rsidRPr="004C78D8" w:rsidRDefault="00C73E67" w:rsidP="00FB7C1F"/>
    <w:p w14:paraId="1639AB4A" w14:textId="7BFCF1D7" w:rsidR="00186FB2" w:rsidRPr="004C78D8" w:rsidRDefault="0058063E" w:rsidP="00FB7C1F">
      <w:pPr>
        <w:pStyle w:val="Heading4"/>
      </w:pPr>
      <w:r w:rsidRPr="004C78D8">
        <w:t>5</w:t>
      </w:r>
      <w:r w:rsidR="000525DA" w:rsidRPr="004C78D8">
        <w:t>.</w:t>
      </w:r>
      <w:r w:rsidR="00127AB4" w:rsidRPr="004C78D8">
        <w:t>2</w:t>
      </w:r>
      <w:r w:rsidR="000525DA" w:rsidRPr="004C78D8">
        <w:t>.2.4 Baseline frailty</w:t>
      </w:r>
    </w:p>
    <w:p w14:paraId="454893D7" w14:textId="3DAE7585" w:rsidR="00353E13" w:rsidRPr="004C78D8" w:rsidRDefault="008C720A" w:rsidP="00FB7C1F">
      <w:r w:rsidRPr="004C78D8">
        <w:t>M</w:t>
      </w:r>
      <w:r w:rsidR="00702996" w:rsidRPr="004C78D8">
        <w:t xml:space="preserve">ultivariate frailty index </w:t>
      </w:r>
      <w:r w:rsidRPr="004C78D8">
        <w:t xml:space="preserve">was conceptualised as a key causal variable (Section 3.6.3). </w:t>
      </w:r>
      <w:r w:rsidR="00702996" w:rsidRPr="004C78D8">
        <w:t xml:space="preserve">The original </w:t>
      </w:r>
      <w:r w:rsidR="00353E13" w:rsidRPr="004C78D8">
        <w:t xml:space="preserve">modelling </w:t>
      </w:r>
      <w:r w:rsidR="00702996" w:rsidRPr="004C78D8">
        <w:t xml:space="preserve">plan had been to construct </w:t>
      </w:r>
      <w:r w:rsidR="00B83D36" w:rsidRPr="004C78D8">
        <w:t xml:space="preserve">an </w:t>
      </w:r>
      <w:r w:rsidR="00702996" w:rsidRPr="004C78D8">
        <w:t xml:space="preserve">index </w:t>
      </w:r>
      <w:r w:rsidR="00353E13" w:rsidRPr="004C78D8">
        <w:t>from the CCG</w:t>
      </w:r>
      <w:r w:rsidR="00702996" w:rsidRPr="004C78D8">
        <w:t xml:space="preserve"> routine data</w:t>
      </w:r>
      <w:r w:rsidR="00B83D36" w:rsidRPr="004C78D8">
        <w:t>; w</w:t>
      </w:r>
      <w:r w:rsidR="00353E13" w:rsidRPr="004C78D8">
        <w:t xml:space="preserve">ith the routine data being inaccessible, the frailty index </w:t>
      </w:r>
      <w:r w:rsidR="00B83D36" w:rsidRPr="004C78D8">
        <w:t>wa</w:t>
      </w:r>
      <w:r w:rsidR="00353E13" w:rsidRPr="004C78D8">
        <w:t xml:space="preserve">s constructed from </w:t>
      </w:r>
      <w:r w:rsidR="00E5221B" w:rsidRPr="004C78D8">
        <w:t>ELSA</w:t>
      </w:r>
      <w:r w:rsidR="00C34EF6" w:rsidRPr="004C78D8">
        <w:t>, with care</w:t>
      </w:r>
      <w:r w:rsidR="00F3098F" w:rsidRPr="004C78D8">
        <w:t xml:space="preserve"> taken to ensure that </w:t>
      </w:r>
      <w:r w:rsidR="00C34EF6" w:rsidRPr="004C78D8">
        <w:t>it</w:t>
      </w:r>
      <w:r w:rsidR="00F3098F" w:rsidRPr="004C78D8">
        <w:t xml:space="preserve"> is broadly consistent in characteristics with indices previously used in frailty and falls prevention research.</w:t>
      </w:r>
    </w:p>
    <w:p w14:paraId="53A62E6E" w14:textId="14E3D5E7" w:rsidR="002A5987" w:rsidRPr="004C78D8" w:rsidRDefault="00E5221B" w:rsidP="00FB7C1F">
      <w:r w:rsidRPr="004C78D8">
        <w:t xml:space="preserve">Table </w:t>
      </w:r>
      <w:r w:rsidR="0058063E" w:rsidRPr="004C78D8">
        <w:t>5</w:t>
      </w:r>
      <w:r w:rsidR="00F3098F" w:rsidRPr="004C78D8">
        <w:t>.</w:t>
      </w:r>
      <w:r w:rsidR="00C55EF8" w:rsidRPr="004C78D8">
        <w:t>7</w:t>
      </w:r>
      <w:r w:rsidRPr="004C78D8">
        <w:t xml:space="preserve"> displays the characteristics and component items of four frailty indices </w:t>
      </w:r>
      <w:r w:rsidR="00D80B03" w:rsidRPr="004C78D8">
        <w:t xml:space="preserve">used </w:t>
      </w:r>
      <w:r w:rsidRPr="004C78D8">
        <w:t>in literature</w:t>
      </w:r>
      <w:r w:rsidR="007C208F" w:rsidRPr="004C78D8">
        <w:t xml:space="preserve">: </w:t>
      </w:r>
      <w:r w:rsidR="00C34EF6" w:rsidRPr="004C78D8">
        <w:t>electronic frailty index (</w:t>
      </w:r>
      <w:r w:rsidR="007C208F" w:rsidRPr="004C78D8">
        <w:t>eFI</w:t>
      </w:r>
      <w:r w:rsidR="00C34EF6" w:rsidRPr="004C78D8">
        <w:t>)</w:t>
      </w:r>
      <w:r w:rsidRPr="004C78D8">
        <w:t xml:space="preserve"> </w:t>
      </w:r>
      <w:r w:rsidR="008916EA" w:rsidRPr="004C78D8">
        <w:fldChar w:fldCharType="begin">
          <w:fldData xml:space="preserve">PEVuZE5vdGU+PENpdGU+PEF1dGhvcj5DbGVnZzwvQXV0aG9yPjxZZWFyPjIwMTY8L1llYXI+PFJl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</w:fldData>
        </w:fldChar>
      </w:r>
      <w:r w:rsidR="00513646" w:rsidRPr="004C78D8">
        <w:instrText xml:space="preserve"> ADDIN EN.CITE </w:instrText>
      </w:r>
      <w:r w:rsidR="00513646" w:rsidRPr="004C78D8">
        <w:fldChar w:fldCharType="begin">
          <w:fldData xml:space="preserve">PEVuZE5vdGU+PENpdGU+PEF1dGhvcj5DbGVnZzwvQXV0aG9yPjxZZWFyPjIwMTY8L1llYXI+PFJl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</w:fldData>
        </w:fldChar>
      </w:r>
      <w:r w:rsidR="00513646" w:rsidRPr="004C78D8">
        <w:instrText xml:space="preserve"> ADDIN EN.CITE.DATA </w:instrText>
      </w:r>
      <w:r w:rsidR="00513646" w:rsidRPr="004C78D8">
        <w:fldChar w:fldCharType="end"/>
      </w:r>
      <w:r w:rsidR="008916EA" w:rsidRPr="004C78D8">
        <w:fldChar w:fldCharType="separate"/>
      </w:r>
      <w:r w:rsidR="00513646" w:rsidRPr="004C78D8">
        <w:rPr>
          <w:noProof/>
        </w:rPr>
        <w:t>[47]</w:t>
      </w:r>
      <w:r w:rsidR="008916EA" w:rsidRPr="004C78D8">
        <w:fldChar w:fldCharType="end"/>
      </w:r>
      <w:r w:rsidR="007C208F" w:rsidRPr="004C78D8">
        <w:t xml:space="preserve">; Beijing Longitudinal Study of Aging frailty index (BLSA FI) </w:t>
      </w:r>
      <w:r w:rsidR="007C208F" w:rsidRPr="004C78D8">
        <w:fldChar w:fldCharType="begin"/>
      </w:r>
      <w:r w:rsidR="00C630FC" w:rsidRPr="004C78D8">
        <w:instrText xml:space="preserve"> ADDIN EN.CITE &lt;EndNote&gt;&lt;Cite&gt;&lt;Author&gt;Shi&lt;/Author&gt;&lt;Year&gt;2011&lt;/Year&gt;&lt;RecNum&gt;123&lt;/RecNum&gt;&lt;DisplayText&gt;[52, 391]&lt;/DisplayText&gt;&lt;record&gt;&lt;rec-number&gt;123&lt;/rec-number&gt;&lt;foreign-keys&gt;&lt;key app="EN" db-id="tdtrdw9aepptzbefsat599syza29sxsd2wsp" timestamp="1599075771"&gt;123&lt;/key&gt;&lt;/foreign-keys&gt;&lt;ref-type name="Journal Article"&gt;17&lt;/ref-type&gt;&lt;contributors&gt;&lt;authors&gt;&lt;author&gt;Shi, Jing&lt;/author&gt;&lt;author&gt;Song, Xiaowei&lt;/author&gt;&lt;author&gt;Yu, Pulin&lt;/author&gt;&lt;author&gt;Tang, Zhe&lt;/author&gt;&lt;author&gt;Mitnitski, Arnold&lt;/author&gt;&lt;author&gt;Fang, Xianghua&lt;/author&gt;&lt;author&gt;Rockwood, Kenneth&lt;/author&gt;&lt;/authors&gt;&lt;/contributors&gt;&lt;titles&gt;&lt;title&gt;Analysis of frailty and survival from late middle age in the Beijing Longitudinal Study of Aging&lt;/title&gt;&lt;secondary-title&gt;BMC geriatrics&lt;/secondary-title&gt;&lt;/titles&gt;&lt;periodical&gt;&lt;full-title&gt;BMC Geriatrics&lt;/full-title&gt;&lt;/periodical&gt;&lt;pages&gt;17&lt;/pages&gt;&lt;volume&gt;11&lt;/volume&gt;&lt;number&gt;1&lt;/number&gt;&lt;dates&gt;&lt;year&gt;2011&lt;/year&gt;&lt;/dates&gt;&lt;isbn&gt;1471-2318&lt;/isbn&gt;&lt;urls&gt;&lt;/urls&gt;&lt;/record&gt;&lt;/Cite&gt;&lt;Cite&gt;&lt;Author&gt;Fang&lt;/Author&gt;&lt;Year&gt;2012&lt;/Year&gt;&lt;RecNum&gt;124&lt;/RecNum&gt;&lt;record&gt;&lt;rec-number&gt;124&lt;/rec-number&gt;&lt;foreign-keys&gt;&lt;key app="EN" db-id="tdtrdw9aepptzbefsat599syza29sxsd2wsp" timestamp="1599075792"&gt;124&lt;/key&gt;&lt;/foreign-keys&gt;&lt;ref-type name="Journal Article"&gt;17&lt;/ref-type&gt;&lt;contributors&gt;&lt;authors&gt;&lt;author&gt;Fang, X&lt;/author&gt;&lt;author&gt;Shi, J&lt;/author&gt;&lt;author&gt;Song, X&lt;/author&gt;&lt;author&gt;Mitnitski, A&lt;/author&gt;&lt;author&gt;Tang, Z&lt;/author&gt;&lt;author&gt;Wang, C&lt;/author&gt;&lt;author&gt;Yu, Pulin&lt;/author&gt;&lt;author&gt;Rockwood, Kenneth&lt;/author&gt;&lt;/authors&gt;&lt;/contributors&gt;&lt;titles&gt;&lt;title&gt;Frailty in relation to the risk of falls, fractures, and mortality in older Chinese adults: Results from the Beijing longitudinal study of aging&lt;/title&gt;&lt;secondary-title&gt;The journal of nutrition, health &amp;amp; aging&lt;/secondary-title&gt;&lt;/titles&gt;&lt;periodical&gt;&lt;full-title&gt;The journal of nutrition, health &amp;amp; aging&lt;/full-title&gt;&lt;/periodical&gt;&lt;pages&gt;903-907&lt;/pages&gt;&lt;volume&gt;16&lt;/volume&gt;&lt;number&gt;10&lt;/number&gt;&lt;dates&gt;&lt;year&gt;2012&lt;/year&gt;&lt;/dates&gt;&lt;isbn&gt;1279-7707&lt;/isbn&gt;&lt;urls&gt;&lt;/urls&gt;&lt;/record&gt;&lt;/Cite&gt;&lt;/EndNote&gt;</w:instrText>
      </w:r>
      <w:r w:rsidR="007C208F" w:rsidRPr="004C78D8">
        <w:fldChar w:fldCharType="separate"/>
      </w:r>
      <w:r w:rsidR="00C630FC" w:rsidRPr="004C78D8">
        <w:rPr>
          <w:noProof/>
        </w:rPr>
        <w:t>[52, 391]</w:t>
      </w:r>
      <w:r w:rsidR="007C208F" w:rsidRPr="004C78D8">
        <w:fldChar w:fldCharType="end"/>
      </w:r>
      <w:r w:rsidR="007C208F" w:rsidRPr="004C78D8">
        <w:t>; Global Longitudinal Study of Osteoporosis in Women frailty index (GLOW FI)</w:t>
      </w:r>
      <w:r w:rsidR="007C208F" w:rsidRPr="004C78D8">
        <w:rPr>
          <w:sz w:val="24"/>
          <w:szCs w:val="24"/>
        </w:rPr>
        <w:t xml:space="preserve"> </w:t>
      </w:r>
      <w:r w:rsidR="007C208F" w:rsidRPr="004C78D8">
        <w:fldChar w:fldCharType="begin">
          <w:fldData xml:space="preserve">PEVuZE5vdGU+PENpdGU+PEF1dGhvcj5MaTwvQXV0aG9yPjxZZWFyPjIwMTQ8L1llYXI+PFJlY051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bGU+PGFiYnItMT5QbG9TIG9uZTwvYWJici0xPjwvYWx0LXBlcmlvZGljYWw+PHBhZ2VzPmUwMTIw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</w:fldData>
        </w:fldChar>
      </w:r>
      <w:r w:rsidR="00C630FC" w:rsidRPr="004C78D8">
        <w:instrText xml:space="preserve"> ADDIN EN.CITE </w:instrText>
      </w:r>
      <w:r w:rsidR="00C630FC" w:rsidRPr="004C78D8">
        <w:fldChar w:fldCharType="begin">
          <w:fldData xml:space="preserve">PEVuZE5vdGU+PENpdGU+PEF1dGhvcj5MaTwvQXV0aG9yPjxZZWFyPjIwMTQ8L1llYXI+PFJlY051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bGU+PGFiYnItMT5QbG9TIG9uZTwvYWJici0xPjwvYWx0LXBlcmlvZGljYWw+PHBhZ2VzPmUwMTIw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</w:fldData>
        </w:fldChar>
      </w:r>
      <w:r w:rsidR="00C630FC" w:rsidRPr="004C78D8">
        <w:instrText xml:space="preserve"> ADDIN EN.CITE.DATA </w:instrText>
      </w:r>
      <w:r w:rsidR="00C630FC" w:rsidRPr="004C78D8">
        <w:fldChar w:fldCharType="end"/>
      </w:r>
      <w:r w:rsidR="007C208F" w:rsidRPr="004C78D8">
        <w:fldChar w:fldCharType="separate"/>
      </w:r>
      <w:r w:rsidR="00C630FC" w:rsidRPr="004C78D8">
        <w:rPr>
          <w:noProof/>
        </w:rPr>
        <w:t>[53, 370]</w:t>
      </w:r>
      <w:r w:rsidR="007C208F" w:rsidRPr="004C78D8">
        <w:fldChar w:fldCharType="end"/>
      </w:r>
      <w:r w:rsidR="007C208F" w:rsidRPr="004C78D8">
        <w:t xml:space="preserve">; </w:t>
      </w:r>
      <w:r w:rsidR="00D80B03" w:rsidRPr="004C78D8">
        <w:t xml:space="preserve">and ProAct65+ trial frailty index </w:t>
      </w:r>
      <w:r w:rsidR="00D80B03" w:rsidRPr="004C78D8">
        <w:fldChar w:fldCharType="begin"/>
      </w:r>
      <w:r w:rsidR="00C630FC" w:rsidRPr="004C78D8">
        <w:instrText xml:space="preserve"> ADDIN EN.CITE &lt;EndNote&gt;&lt;Cite&gt;&lt;Author&gt;Kojima&lt;/Author&gt;&lt;Year&gt;2015&lt;/Year&gt;&lt;RecNum&gt;127&lt;/RecNum&gt;&lt;DisplayText&gt;[277]&lt;/DisplayText&gt;&lt;record&gt;&lt;rec-number&gt;127&lt;/rec-number&gt;&lt;foreign-keys&gt;&lt;key app="EN" db-id="tdtrdw9aepptzbefsat599syza29sxsd2wsp" timestamp="1599138859"&gt;127&lt;/key&gt;&lt;/foreign-keys&gt;&lt;ref-type name="Journal Article"&gt;17&lt;/ref-type&gt;&lt;contributors&gt;&lt;authors&gt;&lt;author&gt;Kojima, Gotaro&lt;/author&gt;&lt;author&gt;Kendrick, Denise&lt;/author&gt;&lt;author&gt;Skelton, Dawn A&lt;/author&gt;&lt;author&gt;Morris, Richard W&lt;/author&gt;&lt;author&gt;Gawler, Sheena&lt;/author&gt;&lt;author&gt;Iliffe, Steve&lt;/author&gt;&lt;/authors&gt;&lt;/contributors&gt;&lt;titles&gt;&lt;title&gt;Frailty predicts short-term incidence of future falls among British community-dwelling older people: a prospective cohort study nested within a randomised controlled trial&lt;/title&gt;&lt;secondary-title&gt;BMC geriatrics&lt;/secondary-title&gt;&lt;/titles&gt;&lt;periodical&gt;&lt;full-title&gt;BMC Geriatrics&lt;/full-title&gt;&lt;/periodical&gt;&lt;pages&gt;155&lt;/pages&gt;&lt;volume&gt;15&lt;/volume&gt;&lt;number&gt;1&lt;/number&gt;&lt;dates&gt;&lt;year&gt;2015&lt;/year&gt;&lt;/dates&gt;&lt;isbn&gt;1471-2318&lt;/isbn&gt;&lt;urls&gt;&lt;/urls&gt;&lt;/record&gt;&lt;/Cite&gt;&lt;/EndNote&gt;</w:instrText>
      </w:r>
      <w:r w:rsidR="00D80B03" w:rsidRPr="004C78D8">
        <w:fldChar w:fldCharType="separate"/>
      </w:r>
      <w:r w:rsidR="00C630FC" w:rsidRPr="004C78D8">
        <w:rPr>
          <w:noProof/>
        </w:rPr>
        <w:t>[277]</w:t>
      </w:r>
      <w:r w:rsidR="00D80B03" w:rsidRPr="004C78D8">
        <w:fldChar w:fldCharType="end"/>
      </w:r>
      <w:r w:rsidR="00D80B03" w:rsidRPr="004C78D8">
        <w:t xml:space="preserve">. Their component items </w:t>
      </w:r>
      <w:r w:rsidR="002A5987" w:rsidRPr="004C78D8">
        <w:t>comprised</w:t>
      </w:r>
      <w:r w:rsidR="00D80B03" w:rsidRPr="004C78D8">
        <w:t xml:space="preserve"> eight categories: chronic diseases; sensory/physical impairments and geriatric syndromes; cognitive impairment; subjective symptoms and health; lifestyle risk factors; activity limitation; healthcare contact; and social. The new frailty index was constructed to cover all categories</w:t>
      </w:r>
      <w:r w:rsidR="001B3157" w:rsidRPr="004C78D8">
        <w:t xml:space="preserve">. </w:t>
      </w:r>
      <w:r w:rsidR="006D4BD2" w:rsidRPr="004C78D8">
        <w:t xml:space="preserve">It </w:t>
      </w:r>
      <w:r w:rsidR="001B3157" w:rsidRPr="004C78D8">
        <w:t xml:space="preserve">also </w:t>
      </w:r>
      <w:r w:rsidR="006D4BD2" w:rsidRPr="004C78D8">
        <w:t xml:space="preserve">met the established criteria for frailty index construction (e.g., at least 30 deficit items) </w:t>
      </w:r>
      <w:r w:rsidR="006D4BD2" w:rsidRPr="004C78D8">
        <w:fldChar w:fldCharType="begin"/>
      </w:r>
      <w:r w:rsidR="00513646" w:rsidRPr="004C78D8">
        <w:instrText xml:space="preserve"> ADDIN EN.CITE &lt;EndNote&gt;&lt;Cite&gt;&lt;Author&gt;Searle&lt;/Author&gt;&lt;Year&gt;2008&lt;/Year&gt;&lt;RecNum&gt;167&lt;/RecNum&gt;&lt;DisplayText&gt;[49]&lt;/DisplayText&gt;&lt;record&gt;&lt;rec-number&gt;167&lt;/rec-number&gt;&lt;foreign-keys&gt;&lt;key app="EN" db-id="tdtrdw9aepptzbefsat599syza29sxsd2wsp" timestamp="1609275351"&gt;167&lt;/key&gt;&lt;/foreign-keys&gt;&lt;ref-type name="Journal Article"&gt;17&lt;/ref-type&gt;&lt;contributors&gt;&lt;authors&gt;&lt;author&gt;Searle, Samuel D&lt;/author&gt;&lt;author&gt;Mitnitski, Arnold&lt;/author&gt;&lt;author&gt;Gahbauer, Evelyne A&lt;/author&gt;&lt;author&gt;Gill, Thomas M&lt;/author&gt;&lt;author&gt;Rockwood, Kenneth&lt;/author&gt;&lt;/authors&gt;&lt;/contributors&gt;&lt;titles&gt;&lt;title&gt;A standard procedure for creating a frailty index&lt;/title&gt;&lt;secondary-title&gt;BMC geriatrics&lt;/secondary-title&gt;&lt;/titles&gt;&lt;periodical&gt;&lt;full-title&gt;BMC Geriatrics&lt;/full-title&gt;&lt;/periodical&gt;&lt;pages&gt;24&lt;/pages&gt;&lt;volume&gt;8&lt;/volume&gt;&lt;number&gt;1&lt;/number&gt;&lt;dates&gt;&lt;year&gt;2008&lt;/year&gt;&lt;/dates&gt;&lt;isbn&gt;1471-2318&lt;/isbn&gt;&lt;urls&gt;&lt;/urls&gt;&lt;/record&gt;&lt;/Cite&gt;&lt;/EndNote&gt;</w:instrText>
      </w:r>
      <w:r w:rsidR="006D4BD2" w:rsidRPr="004C78D8">
        <w:fldChar w:fldCharType="separate"/>
      </w:r>
      <w:r w:rsidR="00513646" w:rsidRPr="004C78D8">
        <w:rPr>
          <w:noProof/>
        </w:rPr>
        <w:t>[49]</w:t>
      </w:r>
      <w:r w:rsidR="006D4BD2" w:rsidRPr="004C78D8">
        <w:fldChar w:fldCharType="end"/>
      </w:r>
      <w:r w:rsidR="000063BD" w:rsidRPr="004C78D8">
        <w:t xml:space="preserve">. It also followed the stakeholder suggestion </w:t>
      </w:r>
      <w:r w:rsidR="001B3157" w:rsidRPr="004C78D8">
        <w:t xml:space="preserve">(by personal communication) </w:t>
      </w:r>
      <w:r w:rsidRPr="004C78D8">
        <w:t xml:space="preserve">that the index contain falls risk factors highlighted by </w:t>
      </w:r>
      <w:r w:rsidR="001B3157" w:rsidRPr="004C78D8">
        <w:t>NICE CG161 including</w:t>
      </w:r>
      <w:r w:rsidRPr="004C78D8">
        <w:t>: gait deficit; balance deficit; mobility impairment; visual impairment; cognitive impairment; urinary incontinence</w:t>
      </w:r>
      <w:r w:rsidR="000063BD" w:rsidRPr="004C78D8">
        <w:t xml:space="preserve">; and environmental hazards </w:t>
      </w:r>
      <w:r w:rsidR="000063BD" w:rsidRPr="004C78D8">
        <w:fldChar w:fldCharType="begin"/>
      </w:r>
      <w:r w:rsidR="00F255A9"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000063BD" w:rsidRPr="004C78D8">
        <w:fldChar w:fldCharType="separate"/>
      </w:r>
      <w:r w:rsidR="00F255A9" w:rsidRPr="004C78D8">
        <w:rPr>
          <w:noProof/>
        </w:rPr>
        <w:t>[13]</w:t>
      </w:r>
      <w:r w:rsidR="000063BD" w:rsidRPr="004C78D8">
        <w:fldChar w:fldCharType="end"/>
      </w:r>
      <w:r w:rsidRPr="004C78D8">
        <w:t xml:space="preserve">. </w:t>
      </w:r>
      <w:r w:rsidR="000063BD" w:rsidRPr="004C78D8">
        <w:t xml:space="preserve">All factors were included except environmental hazards. The </w:t>
      </w:r>
      <w:r w:rsidR="001B3157" w:rsidRPr="004C78D8">
        <w:t>final</w:t>
      </w:r>
      <w:r w:rsidR="000063BD" w:rsidRPr="004C78D8">
        <w:t xml:space="preserve"> index contained 52 items as shown in the last column of Table </w:t>
      </w:r>
      <w:r w:rsidR="0058063E" w:rsidRPr="004C78D8">
        <w:t>5</w:t>
      </w:r>
      <w:r w:rsidR="000063BD" w:rsidRPr="004C78D8">
        <w:t>.</w:t>
      </w:r>
      <w:r w:rsidR="00AE314F" w:rsidRPr="004C78D8">
        <w:t>7</w:t>
      </w:r>
      <w:r w:rsidR="000063BD" w:rsidRPr="004C78D8">
        <w:t>.</w:t>
      </w:r>
      <w:r w:rsidR="002A5987" w:rsidRPr="004C78D8">
        <w:t xml:space="preserve"> </w:t>
      </w:r>
      <w:r w:rsidRPr="004C78D8">
        <w:t xml:space="preserve">The number of deficits per individual was divided by the total possible number (52) to </w:t>
      </w:r>
      <w:r w:rsidR="002A5987" w:rsidRPr="004C78D8">
        <w:t>derive the</w:t>
      </w:r>
      <w:r w:rsidRPr="004C78D8">
        <w:t xml:space="preserve"> index score</w:t>
      </w:r>
      <w:r w:rsidR="002A5987" w:rsidRPr="004C78D8">
        <w:t>.</w:t>
      </w:r>
      <w:r w:rsidRPr="004C78D8">
        <w:t xml:space="preserve"> </w:t>
      </w:r>
    </w:p>
    <w:p w14:paraId="7071D3A4" w14:textId="19C828C7" w:rsidR="008916EA" w:rsidRPr="004C78D8" w:rsidRDefault="002A5987" w:rsidP="00FB7C1F">
      <w:r w:rsidRPr="004C78D8">
        <w:t>The score</w:t>
      </w:r>
      <w:r w:rsidR="00E5221B" w:rsidRPr="004C78D8">
        <w:t xml:space="preserve"> </w:t>
      </w:r>
      <w:r w:rsidR="00A8722B" w:rsidRPr="004C78D8">
        <w:t>range</w:t>
      </w:r>
      <w:r w:rsidRPr="004C78D8">
        <w:t>d</w:t>
      </w:r>
      <w:r w:rsidR="00A8722B" w:rsidRPr="004C78D8">
        <w:t xml:space="preserve"> between 0 and 0.615 and </w:t>
      </w:r>
      <w:r w:rsidRPr="004C78D8">
        <w:t xml:space="preserve">had </w:t>
      </w:r>
      <w:r w:rsidR="00E5221B" w:rsidRPr="004C78D8">
        <w:t xml:space="preserve">mean </w:t>
      </w:r>
      <w:r w:rsidRPr="004C78D8">
        <w:t xml:space="preserve">of </w:t>
      </w:r>
      <w:r w:rsidR="00E5221B" w:rsidRPr="004C78D8">
        <w:t xml:space="preserve">0.11 (SD 0.09) for men and 0.13 (SD 0.10) for women. These were slightly lower than the sex-specific mean values for eFI </w:t>
      </w:r>
      <w:r w:rsidR="006A1BD9" w:rsidRPr="004C78D8">
        <w:t>of</w:t>
      </w:r>
      <w:r w:rsidR="00E5221B" w:rsidRPr="004C78D8">
        <w:t xml:space="preserve"> 0.13 (SD 0.09) for men and 0.15 (SD 0.10) for women. </w:t>
      </w:r>
      <w:r w:rsidR="00D96B0A" w:rsidRPr="004C78D8">
        <w:t>This is to be expected since the ELSA population is younger (aged 60</w:t>
      </w:r>
      <w:r w:rsidR="006A1BD9" w:rsidRPr="004C78D8">
        <w:t>+</w:t>
      </w:r>
      <w:r w:rsidR="00D96B0A" w:rsidRPr="004C78D8">
        <w:t>) than the eFI population (65</w:t>
      </w:r>
      <w:r w:rsidR="006A1BD9" w:rsidRPr="004C78D8">
        <w:t>+</w:t>
      </w:r>
      <w:r w:rsidR="00D96B0A" w:rsidRPr="004C78D8">
        <w:t xml:space="preserve">). </w:t>
      </w:r>
    </w:p>
    <w:p w14:paraId="12EB66E8" w14:textId="2A2C9943" w:rsidR="00785D76" w:rsidRPr="004C78D8" w:rsidRDefault="00E5221B" w:rsidP="00FB7C1F">
      <w:r w:rsidRPr="004C78D8">
        <w:t xml:space="preserve">Previous studies took different approaches for establishing severity categories based on index scores. </w:t>
      </w:r>
      <w:r w:rsidR="00AE6410" w:rsidRPr="004C78D8">
        <w:t xml:space="preserve">For example, </w:t>
      </w:r>
      <w:r w:rsidR="000B6457" w:rsidRPr="004C78D8">
        <w:t xml:space="preserve">eFI scores were divided into </w:t>
      </w:r>
      <w:r w:rsidR="006A1BD9" w:rsidRPr="004C78D8">
        <w:t>m</w:t>
      </w:r>
      <w:r w:rsidRPr="004C78D8">
        <w:t xml:space="preserve">ild frailty (eFI &gt;0.12-0.24), </w:t>
      </w:r>
      <w:r w:rsidR="006A1BD9" w:rsidRPr="004C78D8">
        <w:t>m</w:t>
      </w:r>
      <w:r w:rsidRPr="004C78D8">
        <w:t xml:space="preserve">oderate frailty (eFI &gt;0.24-0.36) and </w:t>
      </w:r>
      <w:r w:rsidR="006A1BD9" w:rsidRPr="004C78D8">
        <w:t>s</w:t>
      </w:r>
      <w:r w:rsidRPr="004C78D8">
        <w:t xml:space="preserve">evere frailty (eFI &gt;0.36) relative to </w:t>
      </w:r>
      <w:r w:rsidR="006A1BD9" w:rsidRPr="004C78D8">
        <w:t>fit</w:t>
      </w:r>
      <w:r w:rsidRPr="004C78D8">
        <w:t xml:space="preserve"> reference category (eFI 0-0.12) at the 50</w:t>
      </w:r>
      <w:r w:rsidRPr="004C78D8">
        <w:rPr>
          <w:vertAlign w:val="superscript"/>
        </w:rPr>
        <w:t>th</w:t>
      </w:r>
      <w:r w:rsidRPr="004C78D8">
        <w:t>, 85</w:t>
      </w:r>
      <w:r w:rsidRPr="004C78D8">
        <w:rPr>
          <w:vertAlign w:val="superscript"/>
        </w:rPr>
        <w:t>th</w:t>
      </w:r>
      <w:r w:rsidRPr="004C78D8">
        <w:t xml:space="preserve"> and 97</w:t>
      </w:r>
      <w:r w:rsidRPr="004C78D8">
        <w:rPr>
          <w:vertAlign w:val="superscript"/>
        </w:rPr>
        <w:t>th</w:t>
      </w:r>
      <w:r w:rsidRPr="004C78D8">
        <w:t xml:space="preserve"> percentile eFI values, respectively. This study took </w:t>
      </w:r>
      <w:r w:rsidR="002A5987" w:rsidRPr="004C78D8">
        <w:t>this</w:t>
      </w:r>
      <w:r w:rsidR="0051172E" w:rsidRPr="004C78D8">
        <w:t xml:space="preserve"> </w:t>
      </w:r>
      <w:r w:rsidRPr="004C78D8">
        <w:t>approach and established the cut-off levels for Fit</w:t>
      </w:r>
      <w:r w:rsidR="00AE6410" w:rsidRPr="004C78D8">
        <w:t>,</w:t>
      </w:r>
      <w:r w:rsidR="0051172E" w:rsidRPr="004C78D8">
        <w:t xml:space="preserve"> </w:t>
      </w:r>
      <w:r w:rsidRPr="004C78D8">
        <w:t>Mild, Moderate and Severe frailt</w:t>
      </w:r>
      <w:r w:rsidR="0051172E" w:rsidRPr="004C78D8">
        <w:t>ies</w:t>
      </w:r>
      <w:r w:rsidRPr="004C78D8">
        <w:t xml:space="preserve"> at the 50</w:t>
      </w:r>
      <w:r w:rsidRPr="004C78D8">
        <w:rPr>
          <w:vertAlign w:val="superscript"/>
        </w:rPr>
        <w:t>th</w:t>
      </w:r>
      <w:r w:rsidRPr="004C78D8">
        <w:t>, 85</w:t>
      </w:r>
      <w:r w:rsidRPr="004C78D8">
        <w:rPr>
          <w:vertAlign w:val="superscript"/>
        </w:rPr>
        <w:t>th</w:t>
      </w:r>
      <w:r w:rsidRPr="004C78D8">
        <w:t xml:space="preserve"> and 97</w:t>
      </w:r>
      <w:r w:rsidRPr="004C78D8">
        <w:rPr>
          <w:vertAlign w:val="superscript"/>
        </w:rPr>
        <w:t>th</w:t>
      </w:r>
      <w:r w:rsidRPr="004C78D8">
        <w:t xml:space="preserve"> percentile values. The resulting index score ranges for each category </w:t>
      </w:r>
      <w:r w:rsidR="000404BF" w:rsidRPr="004C78D8">
        <w:t xml:space="preserve">were </w:t>
      </w:r>
      <w:r w:rsidRPr="004C78D8">
        <w:t>0-0.10 for Fit, &gt;0.10-0.23 for Mild, &gt;0.23-0.37 for Moderate and &gt;0.37 for Severe.</w:t>
      </w:r>
    </w:p>
    <w:p w14:paraId="2C80F872" w14:textId="16B66B73" w:rsidR="00733415" w:rsidRPr="004C78D8" w:rsidRDefault="00785D76" w:rsidP="00FB7C1F">
      <w:r w:rsidRPr="004C78D8">
        <w:t>For parameteri</w:t>
      </w:r>
      <w:r w:rsidR="006A1BD9" w:rsidRPr="004C78D8">
        <w:t>s</w:t>
      </w:r>
      <w:r w:rsidRPr="004C78D8">
        <w:t>ation, the frailty scores were multiplied by 100 to range 0</w:t>
      </w:r>
      <w:r w:rsidR="00AE6410" w:rsidRPr="004C78D8">
        <w:t>-</w:t>
      </w:r>
      <w:r w:rsidRPr="004C78D8">
        <w:t xml:space="preserve">100. </w:t>
      </w:r>
      <w:r w:rsidR="00440530" w:rsidRPr="004C78D8">
        <w:t>A</w:t>
      </w:r>
      <w:r w:rsidRPr="004C78D8">
        <w:t xml:space="preserve"> visual plot </w:t>
      </w:r>
      <w:r w:rsidR="00440530" w:rsidRPr="004C78D8">
        <w:t xml:space="preserve">showed </w:t>
      </w:r>
      <w:r w:rsidRPr="004C78D8">
        <w:t xml:space="preserve">that the scores followed a lognormal distribution. The mean and </w:t>
      </w:r>
      <w:r w:rsidR="00AE6410" w:rsidRPr="004C78D8">
        <w:t>SD</w:t>
      </w:r>
      <w:r w:rsidRPr="004C78D8">
        <w:t xml:space="preserve"> for </w:t>
      </w:r>
      <w:r w:rsidR="008916EA" w:rsidRPr="004C78D8">
        <w:t xml:space="preserve">the </w:t>
      </w:r>
      <w:r w:rsidRPr="004C78D8">
        <w:t>lognormal distribution were obtained for each of the 280 subgroups delineated by age group (7 categories), sex (2), social deprivation quartile (4), and falls history (5)</w:t>
      </w:r>
      <w:r w:rsidR="00AE6410" w:rsidRPr="004C78D8">
        <w:t>,</w:t>
      </w:r>
      <w:r w:rsidR="00CA1BEE" w:rsidRPr="004C78D8">
        <w:t xml:space="preserve"> and similarly for the 40 subgroups within each new cohort aged 60</w:t>
      </w:r>
      <w:r w:rsidRPr="004C78D8">
        <w:t xml:space="preserve">. The </w:t>
      </w:r>
      <w:r w:rsidR="00AE6410" w:rsidRPr="004C78D8">
        <w:t xml:space="preserve">frailty </w:t>
      </w:r>
      <w:r w:rsidRPr="004C78D8">
        <w:t xml:space="preserve">parameters </w:t>
      </w:r>
      <w:r w:rsidR="00CA1BEE" w:rsidRPr="004C78D8">
        <w:t xml:space="preserve">for the initial </w:t>
      </w:r>
      <w:r w:rsidR="0051172E" w:rsidRPr="004C78D8">
        <w:t xml:space="preserve">cohort’s </w:t>
      </w:r>
      <w:r w:rsidR="00CA1BEE" w:rsidRPr="004C78D8">
        <w:t xml:space="preserve">280 subgroups </w:t>
      </w:r>
      <w:r w:rsidRPr="004C78D8">
        <w:t xml:space="preserve">are shown in Table </w:t>
      </w:r>
      <w:r w:rsidR="00A55D93" w:rsidRPr="004C78D8">
        <w:t>E</w:t>
      </w:r>
      <w:r w:rsidR="00AE314F" w:rsidRPr="004C78D8">
        <w:t>7</w:t>
      </w:r>
      <w:r w:rsidRPr="004C78D8">
        <w:t xml:space="preserve">. </w:t>
      </w:r>
      <w:r w:rsidR="00440530" w:rsidRPr="004C78D8">
        <w:t>I</w:t>
      </w:r>
      <w:r w:rsidRPr="004C78D8">
        <w:t xml:space="preserve">ndividuals were assigned baseline frailty scores </w:t>
      </w:r>
      <w:r w:rsidR="00E001A5" w:rsidRPr="004C78D8">
        <w:t xml:space="preserve">and associated frailty categories </w:t>
      </w:r>
      <w:r w:rsidRPr="004C78D8">
        <w:t xml:space="preserve">at model entry. </w:t>
      </w:r>
      <w:r w:rsidR="00E5221B" w:rsidRPr="004C78D8">
        <w:t xml:space="preserve"> </w:t>
      </w:r>
    </w:p>
    <w:p w14:paraId="20E5DB43" w14:textId="2F1DFD08" w:rsidR="00785D76" w:rsidRPr="004C78D8" w:rsidRDefault="00785D76" w:rsidP="00FB7C1F">
      <w:pPr>
        <w:sectPr w:rsidR="00785D76" w:rsidRPr="004C78D8">
          <w:pgSz w:w="11906" w:h="16838"/>
          <w:pgMar w:top="1440" w:right="1440" w:bottom="1440" w:left="1440" w:header="708" w:footer="708" w:gutter="0"/>
          <w:cols w:space="708"/>
          <w:docGrid w:linePitch="360"/>
        </w:sectPr>
      </w:pPr>
    </w:p>
    <w:tbl>
      <w:tblPr>
        <w:tblStyle w:val="TableGrid"/>
        <w:tblW w:w="5000" w:type="pct"/>
        <w:tblLook w:val="04A0" w:firstRow="1" w:lastRow="0" w:firstColumn="1" w:lastColumn="0" w:noHBand="0" w:noVBand="1"/>
      </w:tblPr>
      <w:tblGrid>
        <w:gridCol w:w="1708"/>
        <w:gridCol w:w="2449"/>
        <w:gridCol w:w="2449"/>
        <w:gridCol w:w="2449"/>
        <w:gridCol w:w="2449"/>
        <w:gridCol w:w="2444"/>
      </w:tblGrid>
      <w:tr w:rsidR="00733415" w:rsidRPr="004C78D8" w14:paraId="24C0770A" w14:textId="77777777" w:rsidTr="00E35893">
        <w:tc>
          <w:tcPr>
            <w:tcW w:w="5000" w:type="pct"/>
            <w:gridSpan w:val="6"/>
          </w:tcPr>
          <w:p w14:paraId="69595FE3" w14:textId="0391AAD4" w:rsidR="00733415" w:rsidRPr="004C78D8" w:rsidRDefault="00733415" w:rsidP="00FB7C1F">
            <w:r w:rsidRPr="004C78D8">
              <w:rPr>
                <w:b/>
                <w:bCs/>
              </w:rPr>
              <w:t xml:space="preserve">Table </w:t>
            </w:r>
            <w:r w:rsidR="0058063E" w:rsidRPr="004C78D8">
              <w:rPr>
                <w:b/>
                <w:bCs/>
              </w:rPr>
              <w:t>5</w:t>
            </w:r>
            <w:r w:rsidR="0064234D" w:rsidRPr="004C78D8">
              <w:rPr>
                <w:b/>
                <w:bCs/>
              </w:rPr>
              <w:t>.</w:t>
            </w:r>
            <w:r w:rsidR="00AE314F" w:rsidRPr="004C78D8">
              <w:rPr>
                <w:b/>
                <w:bCs/>
              </w:rPr>
              <w:t>7</w:t>
            </w:r>
            <w:r w:rsidRPr="004C78D8">
              <w:t xml:space="preserve"> Characteristics of multivariate frailty indices used in </w:t>
            </w:r>
            <w:r w:rsidR="001B3157" w:rsidRPr="004C78D8">
              <w:t xml:space="preserve">previous frailty and falls prevention </w:t>
            </w:r>
            <w:r w:rsidRPr="004C78D8">
              <w:t>studies and in this study</w:t>
            </w:r>
            <w:r w:rsidR="001B3157" w:rsidRPr="004C78D8">
              <w:t>.</w:t>
            </w:r>
          </w:p>
        </w:tc>
      </w:tr>
      <w:tr w:rsidR="00733415" w:rsidRPr="004C78D8" w14:paraId="02638DED" w14:textId="77777777" w:rsidTr="00E35893">
        <w:tc>
          <w:tcPr>
            <w:tcW w:w="612" w:type="pct"/>
            <w:tcBorders>
              <w:bottom w:val="single" w:sz="4" w:space="0" w:color="auto"/>
            </w:tcBorders>
          </w:tcPr>
          <w:p w14:paraId="06A37083" w14:textId="77777777" w:rsidR="00733415" w:rsidRPr="004C78D8" w:rsidRDefault="00733415" w:rsidP="00FB7C1F">
            <w:pPr>
              <w:jc w:val="left"/>
              <w:rPr>
                <w:sz w:val="18"/>
                <w:szCs w:val="18"/>
              </w:rPr>
            </w:pPr>
          </w:p>
        </w:tc>
        <w:tc>
          <w:tcPr>
            <w:tcW w:w="878" w:type="pct"/>
            <w:tcBorders>
              <w:bottom w:val="single" w:sz="4" w:space="0" w:color="auto"/>
            </w:tcBorders>
          </w:tcPr>
          <w:p w14:paraId="471FF5B5" w14:textId="2A211F16" w:rsidR="00733415" w:rsidRPr="004C78D8" w:rsidRDefault="0064234D" w:rsidP="00FB7C1F">
            <w:pPr>
              <w:jc w:val="left"/>
              <w:rPr>
                <w:sz w:val="18"/>
                <w:szCs w:val="18"/>
              </w:rPr>
            </w:pPr>
            <w:r w:rsidRPr="004C78D8">
              <w:rPr>
                <w:b/>
                <w:bCs/>
                <w:sz w:val="18"/>
                <w:szCs w:val="18"/>
              </w:rPr>
              <w:t xml:space="preserve">eFI </w:t>
            </w:r>
            <w:r w:rsidRPr="004C78D8">
              <w:rPr>
                <w:b/>
                <w:bCs/>
                <w:sz w:val="18"/>
                <w:szCs w:val="18"/>
              </w:rPr>
              <w:fldChar w:fldCharType="begin">
                <w:fldData xml:space="preserve">PEVuZE5vdGU+PENpdGU+PEF1dGhvcj5DbGVnZzwvQXV0aG9yPjxZZWFyPjIwMTY8L1llYXI+PFJl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</w:fldData>
              </w:fldChar>
            </w:r>
            <w:r w:rsidR="00513646" w:rsidRPr="004C78D8">
              <w:rPr>
                <w:b/>
                <w:bCs/>
                <w:sz w:val="18"/>
                <w:szCs w:val="18"/>
              </w:rPr>
              <w:instrText xml:space="preserve"> ADDIN EN.CITE </w:instrText>
            </w:r>
            <w:r w:rsidR="00513646" w:rsidRPr="004C78D8">
              <w:rPr>
                <w:b/>
                <w:bCs/>
                <w:sz w:val="18"/>
                <w:szCs w:val="18"/>
              </w:rPr>
              <w:fldChar w:fldCharType="begin">
                <w:fldData xml:space="preserve">PEVuZE5vdGU+PENpdGU+PEF1dGhvcj5DbGVnZzwvQXV0aG9yPjxZZWFyPjIwMTY8L1llYXI+PFJl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</w:fldData>
              </w:fldChar>
            </w:r>
            <w:r w:rsidR="00513646" w:rsidRPr="004C78D8">
              <w:rPr>
                <w:b/>
                <w:bCs/>
                <w:sz w:val="18"/>
                <w:szCs w:val="18"/>
              </w:rPr>
              <w:instrText xml:space="preserve"> ADDIN EN.CITE.DATA </w:instrText>
            </w:r>
            <w:r w:rsidR="00513646" w:rsidRPr="004C78D8">
              <w:rPr>
                <w:b/>
                <w:bCs/>
                <w:sz w:val="18"/>
                <w:szCs w:val="18"/>
              </w:rPr>
            </w:r>
            <w:r w:rsidR="00513646" w:rsidRPr="004C78D8">
              <w:rPr>
                <w:b/>
                <w:bCs/>
                <w:sz w:val="18"/>
                <w:szCs w:val="18"/>
              </w:rPr>
              <w:fldChar w:fldCharType="end"/>
            </w:r>
            <w:r w:rsidRPr="004C78D8">
              <w:rPr>
                <w:b/>
                <w:bCs/>
                <w:sz w:val="18"/>
                <w:szCs w:val="18"/>
              </w:rPr>
            </w:r>
            <w:r w:rsidRPr="004C78D8">
              <w:rPr>
                <w:b/>
                <w:bCs/>
                <w:sz w:val="18"/>
                <w:szCs w:val="18"/>
              </w:rPr>
              <w:fldChar w:fldCharType="separate"/>
            </w:r>
            <w:r w:rsidR="00513646" w:rsidRPr="004C78D8">
              <w:rPr>
                <w:b/>
                <w:bCs/>
                <w:noProof/>
                <w:sz w:val="18"/>
                <w:szCs w:val="18"/>
              </w:rPr>
              <w:t>[47]</w:t>
            </w:r>
            <w:r w:rsidRPr="004C78D8">
              <w:rPr>
                <w:b/>
                <w:bCs/>
                <w:sz w:val="18"/>
                <w:szCs w:val="18"/>
              </w:rPr>
              <w:fldChar w:fldCharType="end"/>
            </w:r>
          </w:p>
        </w:tc>
        <w:tc>
          <w:tcPr>
            <w:tcW w:w="878" w:type="pct"/>
            <w:tcBorders>
              <w:bottom w:val="single" w:sz="4" w:space="0" w:color="auto"/>
            </w:tcBorders>
          </w:tcPr>
          <w:p w14:paraId="3021E95C" w14:textId="4FFD8FCC" w:rsidR="00733415" w:rsidRPr="004C78D8" w:rsidRDefault="007C208F" w:rsidP="00FB7C1F">
            <w:pPr>
              <w:jc w:val="left"/>
              <w:rPr>
                <w:sz w:val="18"/>
                <w:szCs w:val="18"/>
              </w:rPr>
            </w:pPr>
            <w:r w:rsidRPr="004C78D8">
              <w:rPr>
                <w:b/>
                <w:bCs/>
                <w:sz w:val="18"/>
                <w:szCs w:val="18"/>
              </w:rPr>
              <w:t xml:space="preserve">BLSA FI </w:t>
            </w:r>
            <w:r w:rsidRPr="004C78D8">
              <w:rPr>
                <w:b/>
                <w:bCs/>
                <w:sz w:val="18"/>
                <w:szCs w:val="18"/>
              </w:rPr>
              <w:fldChar w:fldCharType="begin"/>
            </w:r>
            <w:r w:rsidR="00C630FC" w:rsidRPr="004C78D8">
              <w:rPr>
                <w:b/>
                <w:bCs/>
                <w:sz w:val="18"/>
                <w:szCs w:val="18"/>
              </w:rPr>
              <w:instrText xml:space="preserve"> ADDIN EN.CITE &lt;EndNote&gt;&lt;Cite&gt;&lt;Author&gt;Shi&lt;/Author&gt;&lt;Year&gt;2011&lt;/Year&gt;&lt;RecNum&gt;123&lt;/RecNum&gt;&lt;DisplayText&gt;[52, 391]&lt;/DisplayText&gt;&lt;record&gt;&lt;rec-number&gt;123&lt;/rec-number&gt;&lt;foreign-keys&gt;&lt;key app="EN" db-id="tdtrdw9aepptzbefsat599syza29sxsd2wsp" timestamp="1599075771"&gt;123&lt;/key&gt;&lt;/foreign-keys&gt;&lt;ref-type name="Journal Article"&gt;17&lt;/ref-type&gt;&lt;contributors&gt;&lt;authors&gt;&lt;author&gt;Shi, Jing&lt;/author&gt;&lt;author&gt;Song, Xiaowei&lt;/author&gt;&lt;author&gt;Yu, Pulin&lt;/author&gt;&lt;author&gt;Tang, Zhe&lt;/author&gt;&lt;author&gt;Mitnitski, Arnold&lt;/author&gt;&lt;author&gt;Fang, Xianghua&lt;/author&gt;&lt;author&gt;Rockwood, Kenneth&lt;/author&gt;&lt;/authors&gt;&lt;/contributors&gt;&lt;titles&gt;&lt;title&gt;Analysis of frailty and survival from late middle age in the Beijing Longitudinal Study of Aging&lt;/title&gt;&lt;secondary-title&gt;BMC geriatrics&lt;/secondary-title&gt;&lt;/titles&gt;&lt;periodical&gt;&lt;full-title&gt;BMC Geriatrics&lt;/full-title&gt;&lt;/periodical&gt;&lt;pages&gt;17&lt;/pages&gt;&lt;volume&gt;11&lt;/volume&gt;&lt;number&gt;1&lt;/number&gt;&lt;dates&gt;&lt;year&gt;2011&lt;/year&gt;&lt;/dates&gt;&lt;isbn&gt;1471-2318&lt;/isbn&gt;&lt;urls&gt;&lt;/urls&gt;&lt;/record&gt;&lt;/Cite&gt;&lt;Cite&gt;&lt;Author&gt;Fang&lt;/Author&gt;&lt;Year&gt;2012&lt;/Year&gt;&lt;RecNum&gt;124&lt;/RecNum&gt;&lt;record&gt;&lt;rec-number&gt;124&lt;/rec-number&gt;&lt;foreign-keys&gt;&lt;key app="EN" db-id="tdtrdw9aepptzbefsat599syza29sxsd2wsp" timestamp="1599075792"&gt;124&lt;/key&gt;&lt;/foreign-keys&gt;&lt;ref-type name="Journal Article"&gt;17&lt;/ref-type&gt;&lt;contributors&gt;&lt;authors&gt;&lt;author&gt;Fang, X&lt;/author&gt;&lt;author&gt;Shi, J&lt;/author&gt;&lt;author&gt;Song, X&lt;/author&gt;&lt;author&gt;Mitnitski, A&lt;/author&gt;&lt;author&gt;Tang, Z&lt;/author&gt;&lt;author&gt;Wang, C&lt;/author&gt;&lt;author&gt;Yu, Pulin&lt;/author&gt;&lt;author&gt;Rockwood, Kenneth&lt;/author&gt;&lt;/authors&gt;&lt;/contributors&gt;&lt;titles&gt;&lt;title&gt;Frailty in relation to the risk of falls, fractures, and mortality in older Chinese adults: Results from the Beijing longitudinal study of aging&lt;/title&gt;&lt;secondary-title&gt;The journal of nutrition, health &amp;amp; aging&lt;/secondary-title&gt;&lt;/titles&gt;&lt;periodical&gt;&lt;full-title&gt;The journal of nutrition, health &amp;amp; aging&lt;/full-title&gt;&lt;/periodical&gt;&lt;pages&gt;903-907&lt;/pages&gt;&lt;volume&gt;16&lt;/volume&gt;&lt;number&gt;10&lt;/number&gt;&lt;dates&gt;&lt;year&gt;2012&lt;/year&gt;&lt;/dates&gt;&lt;isbn&gt;1279-7707&lt;/isbn&gt;&lt;urls&gt;&lt;/urls&gt;&lt;/record&gt;&lt;/Cite&gt;&lt;/EndNote&gt;</w:instrText>
            </w:r>
            <w:r w:rsidRPr="004C78D8">
              <w:rPr>
                <w:b/>
                <w:bCs/>
                <w:sz w:val="18"/>
                <w:szCs w:val="18"/>
              </w:rPr>
              <w:fldChar w:fldCharType="separate"/>
            </w:r>
            <w:r w:rsidR="00C630FC" w:rsidRPr="004C78D8">
              <w:rPr>
                <w:b/>
                <w:bCs/>
                <w:noProof/>
                <w:sz w:val="18"/>
                <w:szCs w:val="18"/>
              </w:rPr>
              <w:t>[52, 391]</w:t>
            </w:r>
            <w:r w:rsidRPr="004C78D8">
              <w:rPr>
                <w:b/>
                <w:bCs/>
                <w:sz w:val="18"/>
                <w:szCs w:val="18"/>
              </w:rPr>
              <w:fldChar w:fldCharType="end"/>
            </w:r>
          </w:p>
        </w:tc>
        <w:tc>
          <w:tcPr>
            <w:tcW w:w="878" w:type="pct"/>
            <w:tcBorders>
              <w:bottom w:val="single" w:sz="4" w:space="0" w:color="auto"/>
            </w:tcBorders>
          </w:tcPr>
          <w:p w14:paraId="200248A3" w14:textId="5111B164" w:rsidR="00733415" w:rsidRPr="004C78D8" w:rsidRDefault="007C208F" w:rsidP="00FB7C1F">
            <w:pPr>
              <w:jc w:val="left"/>
              <w:rPr>
                <w:sz w:val="18"/>
                <w:szCs w:val="18"/>
              </w:rPr>
            </w:pPr>
            <w:r w:rsidRPr="004C78D8">
              <w:rPr>
                <w:b/>
                <w:bCs/>
                <w:sz w:val="18"/>
                <w:szCs w:val="18"/>
              </w:rPr>
              <w:t xml:space="preserve">GLOW FI </w:t>
            </w:r>
            <w:r w:rsidRPr="004C78D8">
              <w:rPr>
                <w:b/>
                <w:bCs/>
                <w:sz w:val="18"/>
                <w:szCs w:val="18"/>
              </w:rPr>
              <w:fldChar w:fldCharType="begin">
                <w:fldData xml:space="preserve">PEVuZE5vdGU+PENpdGU+PEF1dGhvcj5MaTwvQXV0aG9yPjxZZWFyPjIwMTQ8L1llYXI+PFJlY051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bGU+PGFiYnItMT5QbG9TIG9uZTwvYWJici0xPjwvYWx0LXBlcmlvZGljYWw+PHBhZ2VzPmUwMTIw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</w:fldData>
              </w:fldChar>
            </w:r>
            <w:r w:rsidR="00C630FC" w:rsidRPr="004C78D8">
              <w:rPr>
                <w:b/>
                <w:bCs/>
                <w:sz w:val="18"/>
                <w:szCs w:val="18"/>
              </w:rPr>
              <w:instrText xml:space="preserve"> ADDIN EN.CITE </w:instrText>
            </w:r>
            <w:r w:rsidR="00C630FC" w:rsidRPr="004C78D8">
              <w:rPr>
                <w:b/>
                <w:bCs/>
                <w:sz w:val="18"/>
                <w:szCs w:val="18"/>
              </w:rPr>
              <w:fldChar w:fldCharType="begin">
                <w:fldData xml:space="preserve">PEVuZE5vdGU+PENpdGU+PEF1dGhvcj5MaTwvQXV0aG9yPjxZZWFyPjIwMTQ8L1llYXI+PFJlY051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</w:fldData>
              </w:fldChar>
            </w:r>
            <w:r w:rsidR="00C630FC" w:rsidRPr="004C78D8">
              <w:rPr>
                <w:b/>
                <w:bCs/>
                <w:sz w:val="18"/>
                <w:szCs w:val="18"/>
              </w:rPr>
              <w:instrText xml:space="preserve"> ADDIN EN.CITE.DATA </w:instrText>
            </w:r>
            <w:r w:rsidR="00C630FC" w:rsidRPr="004C78D8">
              <w:rPr>
                <w:b/>
                <w:bCs/>
                <w:sz w:val="18"/>
                <w:szCs w:val="18"/>
              </w:rPr>
            </w:r>
            <w:r w:rsidR="00C630FC" w:rsidRPr="004C78D8">
              <w:rPr>
                <w:b/>
                <w:bCs/>
                <w:sz w:val="18"/>
                <w:szCs w:val="18"/>
              </w:rPr>
              <w:fldChar w:fldCharType="end"/>
            </w:r>
            <w:r w:rsidRPr="004C78D8">
              <w:rPr>
                <w:b/>
                <w:bCs/>
                <w:sz w:val="18"/>
                <w:szCs w:val="18"/>
              </w:rPr>
            </w:r>
            <w:r w:rsidRPr="004C78D8">
              <w:rPr>
                <w:b/>
                <w:bCs/>
                <w:sz w:val="18"/>
                <w:szCs w:val="18"/>
              </w:rPr>
              <w:fldChar w:fldCharType="separate"/>
            </w:r>
            <w:r w:rsidR="00C630FC" w:rsidRPr="004C78D8">
              <w:rPr>
                <w:b/>
                <w:bCs/>
                <w:noProof/>
                <w:sz w:val="18"/>
                <w:szCs w:val="18"/>
              </w:rPr>
              <w:t>[53, 370]</w:t>
            </w:r>
            <w:r w:rsidRPr="004C78D8">
              <w:rPr>
                <w:b/>
                <w:bCs/>
                <w:sz w:val="18"/>
                <w:szCs w:val="18"/>
              </w:rPr>
              <w:fldChar w:fldCharType="end"/>
            </w:r>
          </w:p>
        </w:tc>
        <w:tc>
          <w:tcPr>
            <w:tcW w:w="878" w:type="pct"/>
            <w:tcBorders>
              <w:bottom w:val="single" w:sz="4" w:space="0" w:color="auto"/>
            </w:tcBorders>
          </w:tcPr>
          <w:p w14:paraId="12A9635E" w14:textId="28FF5804" w:rsidR="00733415" w:rsidRPr="004C78D8" w:rsidRDefault="007C208F" w:rsidP="00FB7C1F">
            <w:pPr>
              <w:jc w:val="left"/>
              <w:rPr>
                <w:sz w:val="18"/>
                <w:szCs w:val="18"/>
              </w:rPr>
            </w:pPr>
            <w:r w:rsidRPr="004C78D8">
              <w:rPr>
                <w:b/>
                <w:bCs/>
                <w:sz w:val="18"/>
                <w:szCs w:val="18"/>
              </w:rPr>
              <w:t>ProAct65+ FI</w:t>
            </w:r>
            <w:r w:rsidR="00D12B99" w:rsidRPr="004C78D8">
              <w:rPr>
                <w:b/>
                <w:bCs/>
                <w:sz w:val="18"/>
                <w:szCs w:val="18"/>
                <w:vertAlign w:val="superscript"/>
              </w:rPr>
              <w:t>1</w:t>
            </w:r>
            <w:r w:rsidRPr="004C78D8">
              <w:rPr>
                <w:b/>
                <w:bCs/>
                <w:sz w:val="18"/>
                <w:szCs w:val="18"/>
              </w:rPr>
              <w:t xml:space="preserve"> </w:t>
            </w:r>
            <w:r w:rsidRPr="004C78D8">
              <w:rPr>
                <w:b/>
                <w:bCs/>
                <w:sz w:val="18"/>
                <w:szCs w:val="18"/>
              </w:rPr>
              <w:fldChar w:fldCharType="begin"/>
            </w:r>
            <w:r w:rsidR="00C630FC" w:rsidRPr="004C78D8">
              <w:rPr>
                <w:b/>
                <w:bCs/>
                <w:sz w:val="18"/>
                <w:szCs w:val="18"/>
              </w:rPr>
              <w:instrText xml:space="preserve"> ADDIN EN.CITE &lt;EndNote&gt;&lt;Cite&gt;&lt;Author&gt;Kojima&lt;/Author&gt;&lt;Year&gt;2015&lt;/Year&gt;&lt;RecNum&gt;127&lt;/RecNum&gt;&lt;DisplayText&gt;[277]&lt;/DisplayText&gt;&lt;record&gt;&lt;rec-number&gt;127&lt;/rec-number&gt;&lt;foreign-keys&gt;&lt;key app="EN" db-id="tdtrdw9aepptzbefsat599syza29sxsd2wsp" timestamp="1599138859"&gt;127&lt;/key&gt;&lt;/foreign-keys&gt;&lt;ref-type name="Journal Article"&gt;17&lt;/ref-type&gt;&lt;contributors&gt;&lt;authors&gt;&lt;author&gt;Kojima, Gotaro&lt;/author&gt;&lt;author&gt;Kendrick, Denise&lt;/author&gt;&lt;author&gt;Skelton, Dawn A&lt;/author&gt;&lt;author&gt;Morris, Richard W&lt;/author&gt;&lt;author&gt;Gawler, Sheena&lt;/author&gt;&lt;author&gt;Iliffe, Steve&lt;/author&gt;&lt;/authors&gt;&lt;/contributors&gt;&lt;titles&gt;&lt;title&gt;Frailty predicts short-term incidence of future falls among British community-dwelling older people: a prospective cohort study nested within a randomised controlled trial&lt;/title&gt;&lt;secondary-title&gt;BMC geriatrics&lt;/secondary-title&gt;&lt;/titles&gt;&lt;periodical&gt;&lt;full-title&gt;BMC Geriatrics&lt;/full-title&gt;&lt;/periodical&gt;&lt;pages&gt;155&lt;/pages&gt;&lt;volume&gt;15&lt;/volume&gt;&lt;number&gt;1&lt;/number&gt;&lt;dates&gt;&lt;year&gt;2015&lt;/year&gt;&lt;/dates&gt;&lt;isbn&gt;1471-2318&lt;/isbn&gt;&lt;urls&gt;&lt;/urls&gt;&lt;/record&gt;&lt;/Cite&gt;&lt;/EndNote&gt;</w:instrText>
            </w:r>
            <w:r w:rsidRPr="004C78D8">
              <w:rPr>
                <w:b/>
                <w:bCs/>
                <w:sz w:val="18"/>
                <w:szCs w:val="18"/>
              </w:rPr>
              <w:fldChar w:fldCharType="separate"/>
            </w:r>
            <w:r w:rsidR="00C630FC" w:rsidRPr="004C78D8">
              <w:rPr>
                <w:b/>
                <w:bCs/>
                <w:noProof/>
                <w:sz w:val="18"/>
                <w:szCs w:val="18"/>
              </w:rPr>
              <w:t>[277]</w:t>
            </w:r>
            <w:r w:rsidRPr="004C78D8">
              <w:rPr>
                <w:b/>
                <w:bCs/>
                <w:sz w:val="18"/>
                <w:szCs w:val="18"/>
              </w:rPr>
              <w:fldChar w:fldCharType="end"/>
            </w:r>
          </w:p>
        </w:tc>
        <w:tc>
          <w:tcPr>
            <w:tcW w:w="878" w:type="pct"/>
            <w:tcBorders>
              <w:bottom w:val="single" w:sz="4" w:space="0" w:color="auto"/>
            </w:tcBorders>
          </w:tcPr>
          <w:p w14:paraId="0755D1F0" w14:textId="77777777" w:rsidR="00733415" w:rsidRPr="004C78D8" w:rsidRDefault="00733415" w:rsidP="00FB7C1F">
            <w:pPr>
              <w:jc w:val="left"/>
              <w:rPr>
                <w:b/>
                <w:bCs/>
                <w:sz w:val="18"/>
                <w:szCs w:val="18"/>
              </w:rPr>
            </w:pPr>
            <w:r w:rsidRPr="004C78D8">
              <w:rPr>
                <w:b/>
                <w:bCs/>
                <w:sz w:val="18"/>
                <w:szCs w:val="18"/>
              </w:rPr>
              <w:t>This study</w:t>
            </w:r>
          </w:p>
        </w:tc>
      </w:tr>
      <w:tr w:rsidR="00733415" w:rsidRPr="004C78D8" w14:paraId="2BD58AC8" w14:textId="77777777" w:rsidTr="00E35893">
        <w:tc>
          <w:tcPr>
            <w:tcW w:w="612" w:type="pct"/>
            <w:tcBorders>
              <w:bottom w:val="nil"/>
            </w:tcBorders>
          </w:tcPr>
          <w:p w14:paraId="4048773E" w14:textId="77777777" w:rsidR="00733415" w:rsidRPr="004C78D8" w:rsidRDefault="00733415" w:rsidP="00FB7C1F">
            <w:pPr>
              <w:jc w:val="left"/>
              <w:rPr>
                <w:sz w:val="18"/>
                <w:szCs w:val="18"/>
              </w:rPr>
            </w:pPr>
            <w:r w:rsidRPr="004C78D8">
              <w:rPr>
                <w:sz w:val="18"/>
                <w:szCs w:val="18"/>
              </w:rPr>
              <w:t>Country</w:t>
            </w:r>
          </w:p>
        </w:tc>
        <w:tc>
          <w:tcPr>
            <w:tcW w:w="878" w:type="pct"/>
            <w:tcBorders>
              <w:bottom w:val="nil"/>
            </w:tcBorders>
          </w:tcPr>
          <w:p w14:paraId="37135D91" w14:textId="77777777" w:rsidR="00733415" w:rsidRPr="004C78D8" w:rsidRDefault="00733415" w:rsidP="00FB7C1F">
            <w:pPr>
              <w:jc w:val="left"/>
              <w:rPr>
                <w:sz w:val="18"/>
                <w:szCs w:val="18"/>
              </w:rPr>
            </w:pPr>
            <w:r w:rsidRPr="004C78D8">
              <w:rPr>
                <w:sz w:val="18"/>
                <w:szCs w:val="18"/>
              </w:rPr>
              <w:t>UK</w:t>
            </w:r>
          </w:p>
        </w:tc>
        <w:tc>
          <w:tcPr>
            <w:tcW w:w="878" w:type="pct"/>
            <w:tcBorders>
              <w:bottom w:val="nil"/>
            </w:tcBorders>
          </w:tcPr>
          <w:p w14:paraId="7CF95E8F" w14:textId="77777777" w:rsidR="00733415" w:rsidRPr="004C78D8" w:rsidRDefault="00733415" w:rsidP="00FB7C1F">
            <w:pPr>
              <w:jc w:val="left"/>
              <w:rPr>
                <w:sz w:val="18"/>
                <w:szCs w:val="18"/>
              </w:rPr>
            </w:pPr>
            <w:r w:rsidRPr="004C78D8">
              <w:rPr>
                <w:sz w:val="18"/>
                <w:szCs w:val="18"/>
              </w:rPr>
              <w:t>China</w:t>
            </w:r>
          </w:p>
        </w:tc>
        <w:tc>
          <w:tcPr>
            <w:tcW w:w="878" w:type="pct"/>
            <w:tcBorders>
              <w:bottom w:val="nil"/>
            </w:tcBorders>
          </w:tcPr>
          <w:p w14:paraId="05ADA0D1" w14:textId="77777777" w:rsidR="00733415" w:rsidRPr="004C78D8" w:rsidRDefault="00733415" w:rsidP="00FB7C1F">
            <w:pPr>
              <w:jc w:val="left"/>
              <w:rPr>
                <w:sz w:val="18"/>
                <w:szCs w:val="18"/>
              </w:rPr>
            </w:pPr>
            <w:r w:rsidRPr="004C78D8">
              <w:rPr>
                <w:sz w:val="18"/>
                <w:szCs w:val="18"/>
              </w:rPr>
              <w:t>Canada</w:t>
            </w:r>
          </w:p>
        </w:tc>
        <w:tc>
          <w:tcPr>
            <w:tcW w:w="878" w:type="pct"/>
            <w:tcBorders>
              <w:bottom w:val="nil"/>
            </w:tcBorders>
          </w:tcPr>
          <w:p w14:paraId="70FF37FB" w14:textId="77777777" w:rsidR="00733415" w:rsidRPr="004C78D8" w:rsidRDefault="00733415" w:rsidP="00FB7C1F">
            <w:pPr>
              <w:jc w:val="left"/>
              <w:rPr>
                <w:sz w:val="18"/>
                <w:szCs w:val="18"/>
              </w:rPr>
            </w:pPr>
            <w:r w:rsidRPr="004C78D8">
              <w:rPr>
                <w:sz w:val="18"/>
                <w:szCs w:val="18"/>
              </w:rPr>
              <w:t>England</w:t>
            </w:r>
          </w:p>
        </w:tc>
        <w:tc>
          <w:tcPr>
            <w:tcW w:w="878" w:type="pct"/>
            <w:tcBorders>
              <w:bottom w:val="nil"/>
            </w:tcBorders>
          </w:tcPr>
          <w:p w14:paraId="0A139205" w14:textId="77777777" w:rsidR="00733415" w:rsidRPr="004C78D8" w:rsidRDefault="00733415" w:rsidP="00FB7C1F">
            <w:pPr>
              <w:jc w:val="left"/>
              <w:rPr>
                <w:sz w:val="18"/>
                <w:szCs w:val="18"/>
              </w:rPr>
            </w:pPr>
            <w:r w:rsidRPr="004C78D8">
              <w:rPr>
                <w:sz w:val="18"/>
                <w:szCs w:val="18"/>
              </w:rPr>
              <w:t>England</w:t>
            </w:r>
          </w:p>
        </w:tc>
      </w:tr>
      <w:tr w:rsidR="00733415" w:rsidRPr="004C78D8" w14:paraId="43A32FB8" w14:textId="77777777" w:rsidTr="00E35893">
        <w:tc>
          <w:tcPr>
            <w:tcW w:w="612" w:type="pct"/>
            <w:tcBorders>
              <w:top w:val="nil"/>
              <w:bottom w:val="nil"/>
            </w:tcBorders>
          </w:tcPr>
          <w:p w14:paraId="3A39E0A4" w14:textId="77777777" w:rsidR="00733415" w:rsidRPr="004C78D8" w:rsidRDefault="00733415" w:rsidP="00FB7C1F">
            <w:pPr>
              <w:jc w:val="left"/>
              <w:rPr>
                <w:sz w:val="18"/>
                <w:szCs w:val="18"/>
              </w:rPr>
            </w:pPr>
            <w:r w:rsidRPr="004C78D8">
              <w:rPr>
                <w:sz w:val="18"/>
                <w:szCs w:val="18"/>
              </w:rPr>
              <w:t>Data source</w:t>
            </w:r>
          </w:p>
        </w:tc>
        <w:tc>
          <w:tcPr>
            <w:tcW w:w="878" w:type="pct"/>
            <w:tcBorders>
              <w:top w:val="nil"/>
              <w:bottom w:val="nil"/>
            </w:tcBorders>
          </w:tcPr>
          <w:p w14:paraId="596BC014" w14:textId="77777777" w:rsidR="00733415" w:rsidRPr="004C78D8" w:rsidRDefault="00733415" w:rsidP="00FB7C1F">
            <w:pPr>
              <w:jc w:val="left"/>
              <w:rPr>
                <w:sz w:val="18"/>
                <w:szCs w:val="18"/>
              </w:rPr>
            </w:pPr>
            <w:r w:rsidRPr="004C78D8">
              <w:rPr>
                <w:sz w:val="18"/>
                <w:szCs w:val="18"/>
              </w:rPr>
              <w:t>Electronic health records</w:t>
            </w:r>
          </w:p>
        </w:tc>
        <w:tc>
          <w:tcPr>
            <w:tcW w:w="878" w:type="pct"/>
            <w:tcBorders>
              <w:top w:val="nil"/>
              <w:bottom w:val="nil"/>
            </w:tcBorders>
          </w:tcPr>
          <w:p w14:paraId="15B4AA91" w14:textId="77777777" w:rsidR="00733415" w:rsidRPr="004C78D8" w:rsidRDefault="00733415" w:rsidP="00FB7C1F">
            <w:pPr>
              <w:jc w:val="left"/>
              <w:rPr>
                <w:sz w:val="18"/>
                <w:szCs w:val="18"/>
              </w:rPr>
            </w:pPr>
            <w:r w:rsidRPr="004C78D8">
              <w:rPr>
                <w:sz w:val="18"/>
                <w:szCs w:val="18"/>
              </w:rPr>
              <w:t>Cohort survey</w:t>
            </w:r>
          </w:p>
        </w:tc>
        <w:tc>
          <w:tcPr>
            <w:tcW w:w="878" w:type="pct"/>
            <w:tcBorders>
              <w:top w:val="nil"/>
              <w:bottom w:val="nil"/>
            </w:tcBorders>
          </w:tcPr>
          <w:p w14:paraId="4F003459" w14:textId="77777777" w:rsidR="00733415" w:rsidRPr="004C78D8" w:rsidRDefault="00733415" w:rsidP="00FB7C1F">
            <w:pPr>
              <w:jc w:val="left"/>
              <w:rPr>
                <w:sz w:val="18"/>
                <w:szCs w:val="18"/>
              </w:rPr>
            </w:pPr>
            <w:r w:rsidRPr="004C78D8">
              <w:rPr>
                <w:sz w:val="18"/>
                <w:szCs w:val="18"/>
              </w:rPr>
              <w:t>Cohort survey</w:t>
            </w:r>
          </w:p>
        </w:tc>
        <w:tc>
          <w:tcPr>
            <w:tcW w:w="878" w:type="pct"/>
            <w:tcBorders>
              <w:top w:val="nil"/>
              <w:bottom w:val="nil"/>
            </w:tcBorders>
          </w:tcPr>
          <w:p w14:paraId="55E51299" w14:textId="77777777" w:rsidR="00733415" w:rsidRPr="004C78D8" w:rsidRDefault="00733415" w:rsidP="00FB7C1F">
            <w:pPr>
              <w:jc w:val="left"/>
              <w:rPr>
                <w:sz w:val="18"/>
                <w:szCs w:val="18"/>
              </w:rPr>
            </w:pPr>
            <w:r w:rsidRPr="004C78D8">
              <w:rPr>
                <w:sz w:val="18"/>
                <w:szCs w:val="18"/>
              </w:rPr>
              <w:t>Cohort survey</w:t>
            </w:r>
          </w:p>
        </w:tc>
        <w:tc>
          <w:tcPr>
            <w:tcW w:w="878" w:type="pct"/>
            <w:tcBorders>
              <w:top w:val="nil"/>
              <w:bottom w:val="nil"/>
            </w:tcBorders>
          </w:tcPr>
          <w:p w14:paraId="5007505F" w14:textId="77777777" w:rsidR="00733415" w:rsidRPr="004C78D8" w:rsidRDefault="00733415" w:rsidP="00FB7C1F">
            <w:pPr>
              <w:jc w:val="left"/>
              <w:rPr>
                <w:sz w:val="18"/>
                <w:szCs w:val="18"/>
              </w:rPr>
            </w:pPr>
            <w:r w:rsidRPr="004C78D8">
              <w:rPr>
                <w:sz w:val="18"/>
                <w:szCs w:val="18"/>
              </w:rPr>
              <w:t>Cohort survey</w:t>
            </w:r>
          </w:p>
        </w:tc>
      </w:tr>
      <w:tr w:rsidR="00733415" w:rsidRPr="004C78D8" w14:paraId="7CCF882C" w14:textId="77777777" w:rsidTr="00E35893">
        <w:tc>
          <w:tcPr>
            <w:tcW w:w="612" w:type="pct"/>
            <w:tcBorders>
              <w:top w:val="nil"/>
              <w:bottom w:val="nil"/>
            </w:tcBorders>
          </w:tcPr>
          <w:p w14:paraId="666A6C33" w14:textId="77777777" w:rsidR="00733415" w:rsidRPr="004C78D8" w:rsidRDefault="00733415" w:rsidP="00FB7C1F">
            <w:pPr>
              <w:jc w:val="left"/>
              <w:rPr>
                <w:sz w:val="18"/>
                <w:szCs w:val="18"/>
              </w:rPr>
            </w:pPr>
            <w:r w:rsidRPr="004C78D8">
              <w:rPr>
                <w:sz w:val="18"/>
                <w:szCs w:val="18"/>
              </w:rPr>
              <w:t>Total # of items</w:t>
            </w:r>
          </w:p>
        </w:tc>
        <w:tc>
          <w:tcPr>
            <w:tcW w:w="878" w:type="pct"/>
            <w:tcBorders>
              <w:top w:val="nil"/>
              <w:bottom w:val="nil"/>
            </w:tcBorders>
          </w:tcPr>
          <w:p w14:paraId="1BC5CFE0" w14:textId="77777777" w:rsidR="00733415" w:rsidRPr="004C78D8" w:rsidRDefault="00733415" w:rsidP="00FB7C1F">
            <w:pPr>
              <w:jc w:val="left"/>
              <w:rPr>
                <w:sz w:val="18"/>
                <w:szCs w:val="18"/>
              </w:rPr>
            </w:pPr>
            <w:r w:rsidRPr="004C78D8">
              <w:rPr>
                <w:sz w:val="18"/>
                <w:szCs w:val="18"/>
              </w:rPr>
              <w:t>36</w:t>
            </w:r>
          </w:p>
        </w:tc>
        <w:tc>
          <w:tcPr>
            <w:tcW w:w="878" w:type="pct"/>
            <w:tcBorders>
              <w:top w:val="nil"/>
              <w:bottom w:val="nil"/>
            </w:tcBorders>
          </w:tcPr>
          <w:p w14:paraId="0EC474B5" w14:textId="6B789E7A" w:rsidR="00733415" w:rsidRPr="004C78D8" w:rsidRDefault="00733415" w:rsidP="00FB7C1F">
            <w:pPr>
              <w:jc w:val="left"/>
              <w:rPr>
                <w:sz w:val="18"/>
                <w:szCs w:val="18"/>
              </w:rPr>
            </w:pPr>
            <w:r w:rsidRPr="004C78D8">
              <w:rPr>
                <w:sz w:val="18"/>
                <w:szCs w:val="18"/>
              </w:rPr>
              <w:t>33</w:t>
            </w:r>
            <w:r w:rsidR="00D12B99" w:rsidRPr="004C78D8">
              <w:rPr>
                <w:sz w:val="18"/>
                <w:szCs w:val="18"/>
                <w:vertAlign w:val="superscript"/>
              </w:rPr>
              <w:t>2</w:t>
            </w:r>
          </w:p>
        </w:tc>
        <w:tc>
          <w:tcPr>
            <w:tcW w:w="878" w:type="pct"/>
            <w:tcBorders>
              <w:top w:val="nil"/>
              <w:bottom w:val="nil"/>
            </w:tcBorders>
          </w:tcPr>
          <w:p w14:paraId="21BDFD4D" w14:textId="77777777" w:rsidR="00733415" w:rsidRPr="004C78D8" w:rsidRDefault="00733415" w:rsidP="00FB7C1F">
            <w:pPr>
              <w:jc w:val="left"/>
              <w:rPr>
                <w:sz w:val="18"/>
                <w:szCs w:val="18"/>
              </w:rPr>
            </w:pPr>
            <w:r w:rsidRPr="004C78D8">
              <w:rPr>
                <w:sz w:val="18"/>
                <w:szCs w:val="18"/>
              </w:rPr>
              <w:t>34</w:t>
            </w:r>
          </w:p>
        </w:tc>
        <w:tc>
          <w:tcPr>
            <w:tcW w:w="878" w:type="pct"/>
            <w:tcBorders>
              <w:top w:val="nil"/>
              <w:bottom w:val="nil"/>
            </w:tcBorders>
          </w:tcPr>
          <w:p w14:paraId="10AB39A2" w14:textId="77777777" w:rsidR="00733415" w:rsidRPr="004C78D8" w:rsidRDefault="00733415" w:rsidP="00FB7C1F">
            <w:pPr>
              <w:jc w:val="left"/>
              <w:rPr>
                <w:sz w:val="18"/>
                <w:szCs w:val="18"/>
              </w:rPr>
            </w:pPr>
            <w:r w:rsidRPr="004C78D8">
              <w:rPr>
                <w:sz w:val="18"/>
                <w:szCs w:val="18"/>
              </w:rPr>
              <w:t>40</w:t>
            </w:r>
          </w:p>
        </w:tc>
        <w:tc>
          <w:tcPr>
            <w:tcW w:w="878" w:type="pct"/>
            <w:tcBorders>
              <w:top w:val="nil"/>
              <w:bottom w:val="nil"/>
            </w:tcBorders>
          </w:tcPr>
          <w:p w14:paraId="13CEBA58" w14:textId="77777777" w:rsidR="00733415" w:rsidRPr="004C78D8" w:rsidRDefault="00733415" w:rsidP="00FB7C1F">
            <w:pPr>
              <w:jc w:val="left"/>
              <w:rPr>
                <w:sz w:val="18"/>
                <w:szCs w:val="18"/>
              </w:rPr>
            </w:pPr>
            <w:r w:rsidRPr="004C78D8">
              <w:rPr>
                <w:sz w:val="18"/>
                <w:szCs w:val="18"/>
              </w:rPr>
              <w:t>52</w:t>
            </w:r>
          </w:p>
        </w:tc>
      </w:tr>
      <w:tr w:rsidR="00733415" w:rsidRPr="004C78D8" w14:paraId="58976BE9" w14:textId="77777777" w:rsidTr="00E35893">
        <w:tc>
          <w:tcPr>
            <w:tcW w:w="612" w:type="pct"/>
            <w:tcBorders>
              <w:top w:val="nil"/>
              <w:bottom w:val="nil"/>
            </w:tcBorders>
          </w:tcPr>
          <w:p w14:paraId="40A807C1" w14:textId="77777777" w:rsidR="00733415" w:rsidRPr="004C78D8" w:rsidRDefault="00733415" w:rsidP="00FB7C1F">
            <w:pPr>
              <w:jc w:val="left"/>
              <w:rPr>
                <w:sz w:val="18"/>
                <w:szCs w:val="18"/>
              </w:rPr>
            </w:pPr>
            <w:r w:rsidRPr="004C78D8">
              <w:rPr>
                <w:sz w:val="18"/>
                <w:szCs w:val="18"/>
              </w:rPr>
              <w:t>Mean (SD)</w:t>
            </w:r>
          </w:p>
        </w:tc>
        <w:tc>
          <w:tcPr>
            <w:tcW w:w="878" w:type="pct"/>
            <w:tcBorders>
              <w:top w:val="nil"/>
              <w:bottom w:val="nil"/>
            </w:tcBorders>
          </w:tcPr>
          <w:p w14:paraId="093E560D" w14:textId="77777777" w:rsidR="00733415" w:rsidRPr="004C78D8" w:rsidRDefault="00733415" w:rsidP="00FB7C1F">
            <w:pPr>
              <w:jc w:val="left"/>
              <w:rPr>
                <w:sz w:val="18"/>
                <w:szCs w:val="18"/>
              </w:rPr>
            </w:pPr>
            <w:r w:rsidRPr="004C78D8">
              <w:rPr>
                <w:sz w:val="18"/>
                <w:szCs w:val="18"/>
              </w:rPr>
              <w:t>Men: 0.13 (0.09)</w:t>
            </w:r>
          </w:p>
          <w:p w14:paraId="3777E985" w14:textId="77777777" w:rsidR="00733415" w:rsidRPr="004C78D8" w:rsidRDefault="00733415" w:rsidP="00FB7C1F">
            <w:pPr>
              <w:jc w:val="left"/>
              <w:rPr>
                <w:sz w:val="18"/>
                <w:szCs w:val="18"/>
              </w:rPr>
            </w:pPr>
            <w:r w:rsidRPr="004C78D8">
              <w:rPr>
                <w:sz w:val="18"/>
                <w:szCs w:val="18"/>
              </w:rPr>
              <w:t>Women: 0.15 (0.10)</w:t>
            </w:r>
          </w:p>
        </w:tc>
        <w:tc>
          <w:tcPr>
            <w:tcW w:w="878" w:type="pct"/>
            <w:tcBorders>
              <w:top w:val="nil"/>
              <w:bottom w:val="nil"/>
            </w:tcBorders>
          </w:tcPr>
          <w:p w14:paraId="0E466105" w14:textId="77777777" w:rsidR="00733415" w:rsidRPr="004C78D8" w:rsidRDefault="00733415" w:rsidP="00FB7C1F">
            <w:pPr>
              <w:jc w:val="left"/>
              <w:rPr>
                <w:sz w:val="18"/>
                <w:szCs w:val="18"/>
              </w:rPr>
            </w:pPr>
            <w:r w:rsidRPr="004C78D8">
              <w:rPr>
                <w:sz w:val="18"/>
                <w:szCs w:val="18"/>
              </w:rPr>
              <w:t>Men: 0.11 (0.10)</w:t>
            </w:r>
          </w:p>
          <w:p w14:paraId="3D04BE28" w14:textId="77777777" w:rsidR="00733415" w:rsidRPr="004C78D8" w:rsidRDefault="00733415" w:rsidP="00FB7C1F">
            <w:pPr>
              <w:jc w:val="left"/>
              <w:rPr>
                <w:sz w:val="18"/>
                <w:szCs w:val="18"/>
              </w:rPr>
            </w:pPr>
            <w:r w:rsidRPr="004C78D8">
              <w:rPr>
                <w:sz w:val="18"/>
                <w:szCs w:val="18"/>
              </w:rPr>
              <w:t>Women: 0.14 (0.12)</w:t>
            </w:r>
          </w:p>
        </w:tc>
        <w:tc>
          <w:tcPr>
            <w:tcW w:w="878" w:type="pct"/>
            <w:tcBorders>
              <w:top w:val="nil"/>
              <w:bottom w:val="nil"/>
            </w:tcBorders>
          </w:tcPr>
          <w:p w14:paraId="79FFC6FD" w14:textId="77777777" w:rsidR="00733415" w:rsidRPr="004C78D8" w:rsidRDefault="00733415" w:rsidP="00FB7C1F">
            <w:pPr>
              <w:jc w:val="left"/>
              <w:rPr>
                <w:sz w:val="18"/>
                <w:szCs w:val="18"/>
              </w:rPr>
            </w:pPr>
            <w:r w:rsidRPr="004C78D8">
              <w:rPr>
                <w:sz w:val="18"/>
                <w:szCs w:val="18"/>
              </w:rPr>
              <w:t>Women only: 0.24 (0.13)</w:t>
            </w:r>
          </w:p>
        </w:tc>
        <w:tc>
          <w:tcPr>
            <w:tcW w:w="878" w:type="pct"/>
            <w:tcBorders>
              <w:top w:val="nil"/>
              <w:bottom w:val="nil"/>
            </w:tcBorders>
          </w:tcPr>
          <w:p w14:paraId="6481DC88" w14:textId="77777777" w:rsidR="00733415" w:rsidRPr="004C78D8" w:rsidRDefault="00733415" w:rsidP="00FB7C1F">
            <w:pPr>
              <w:jc w:val="left"/>
              <w:rPr>
                <w:sz w:val="18"/>
                <w:szCs w:val="18"/>
              </w:rPr>
            </w:pPr>
            <w:r w:rsidRPr="004C78D8">
              <w:rPr>
                <w:sz w:val="18"/>
                <w:szCs w:val="18"/>
              </w:rPr>
              <w:t>Both sex: 0.16 (0.11)</w:t>
            </w:r>
          </w:p>
        </w:tc>
        <w:tc>
          <w:tcPr>
            <w:tcW w:w="878" w:type="pct"/>
            <w:tcBorders>
              <w:top w:val="nil"/>
              <w:bottom w:val="nil"/>
            </w:tcBorders>
            <w:shd w:val="clear" w:color="auto" w:fill="auto"/>
          </w:tcPr>
          <w:p w14:paraId="64F63ABA" w14:textId="77777777" w:rsidR="00733415" w:rsidRPr="004C78D8" w:rsidRDefault="00733415" w:rsidP="00FB7C1F">
            <w:pPr>
              <w:jc w:val="left"/>
              <w:rPr>
                <w:sz w:val="18"/>
                <w:szCs w:val="18"/>
              </w:rPr>
            </w:pPr>
            <w:r w:rsidRPr="004C78D8">
              <w:rPr>
                <w:sz w:val="18"/>
                <w:szCs w:val="18"/>
              </w:rPr>
              <w:t>Men: 0.11 (0.09)</w:t>
            </w:r>
          </w:p>
          <w:p w14:paraId="5537CBEF" w14:textId="77777777" w:rsidR="00733415" w:rsidRPr="004C78D8" w:rsidRDefault="00733415" w:rsidP="00FB7C1F">
            <w:pPr>
              <w:jc w:val="left"/>
              <w:rPr>
                <w:sz w:val="18"/>
                <w:szCs w:val="18"/>
              </w:rPr>
            </w:pPr>
            <w:r w:rsidRPr="004C78D8">
              <w:rPr>
                <w:sz w:val="18"/>
                <w:szCs w:val="18"/>
              </w:rPr>
              <w:t>Women: 0.13 (0.10)</w:t>
            </w:r>
          </w:p>
        </w:tc>
      </w:tr>
      <w:tr w:rsidR="00733415" w:rsidRPr="004C78D8" w14:paraId="32ED3EE1" w14:textId="77777777" w:rsidTr="00E35893">
        <w:tc>
          <w:tcPr>
            <w:tcW w:w="612" w:type="pct"/>
            <w:tcBorders>
              <w:top w:val="nil"/>
            </w:tcBorders>
          </w:tcPr>
          <w:p w14:paraId="4413AC8D" w14:textId="77777777" w:rsidR="00733415" w:rsidRPr="004C78D8" w:rsidRDefault="00733415" w:rsidP="00FB7C1F">
            <w:pPr>
              <w:jc w:val="left"/>
              <w:rPr>
                <w:sz w:val="18"/>
                <w:szCs w:val="18"/>
              </w:rPr>
            </w:pPr>
            <w:r w:rsidRPr="004C78D8">
              <w:rPr>
                <w:sz w:val="18"/>
                <w:szCs w:val="18"/>
              </w:rPr>
              <w:t>Severity categories</w:t>
            </w:r>
          </w:p>
        </w:tc>
        <w:tc>
          <w:tcPr>
            <w:tcW w:w="878" w:type="pct"/>
            <w:tcBorders>
              <w:top w:val="nil"/>
            </w:tcBorders>
          </w:tcPr>
          <w:p w14:paraId="41CF6E12" w14:textId="77777777" w:rsidR="00733415" w:rsidRPr="004C78D8" w:rsidRDefault="00733415" w:rsidP="00FB7C1F">
            <w:pPr>
              <w:jc w:val="left"/>
              <w:rPr>
                <w:sz w:val="18"/>
                <w:szCs w:val="18"/>
              </w:rPr>
            </w:pPr>
            <w:r w:rsidRPr="004C78D8">
              <w:rPr>
                <w:sz w:val="18"/>
                <w:szCs w:val="18"/>
              </w:rPr>
              <w:t>[Fit] 0-0.12 (50%)</w:t>
            </w:r>
          </w:p>
          <w:p w14:paraId="4DBE8201" w14:textId="77777777" w:rsidR="00733415" w:rsidRPr="004C78D8" w:rsidRDefault="00733415" w:rsidP="00FB7C1F">
            <w:pPr>
              <w:jc w:val="left"/>
              <w:rPr>
                <w:sz w:val="18"/>
                <w:szCs w:val="18"/>
              </w:rPr>
            </w:pPr>
            <w:r w:rsidRPr="004C78D8">
              <w:rPr>
                <w:sz w:val="18"/>
                <w:szCs w:val="18"/>
              </w:rPr>
              <w:t>[Mild] &gt;0.12-0.24 (35%)</w:t>
            </w:r>
          </w:p>
          <w:p w14:paraId="208E358F" w14:textId="77777777" w:rsidR="00733415" w:rsidRPr="004C78D8" w:rsidRDefault="00733415" w:rsidP="00FB7C1F">
            <w:pPr>
              <w:jc w:val="left"/>
              <w:rPr>
                <w:sz w:val="18"/>
                <w:szCs w:val="18"/>
              </w:rPr>
            </w:pPr>
            <w:r w:rsidRPr="004C78D8">
              <w:rPr>
                <w:sz w:val="18"/>
                <w:szCs w:val="18"/>
              </w:rPr>
              <w:t>[Moderate] &gt;0.24-0.36 (12%)</w:t>
            </w:r>
          </w:p>
          <w:p w14:paraId="0AA97696" w14:textId="77777777" w:rsidR="00733415" w:rsidRPr="004C78D8" w:rsidRDefault="00733415" w:rsidP="00FB7C1F">
            <w:pPr>
              <w:jc w:val="left"/>
              <w:rPr>
                <w:sz w:val="18"/>
                <w:szCs w:val="18"/>
              </w:rPr>
            </w:pPr>
            <w:r w:rsidRPr="004C78D8">
              <w:rPr>
                <w:sz w:val="18"/>
                <w:szCs w:val="18"/>
              </w:rPr>
              <w:t>[Severe] &gt;0.36 (3%)</w:t>
            </w:r>
          </w:p>
        </w:tc>
        <w:tc>
          <w:tcPr>
            <w:tcW w:w="878" w:type="pct"/>
            <w:tcBorders>
              <w:top w:val="nil"/>
            </w:tcBorders>
          </w:tcPr>
          <w:p w14:paraId="2236FE7C" w14:textId="77777777" w:rsidR="00733415" w:rsidRPr="004C78D8" w:rsidRDefault="00733415" w:rsidP="00FB7C1F">
            <w:pPr>
              <w:jc w:val="left"/>
              <w:rPr>
                <w:sz w:val="18"/>
                <w:szCs w:val="18"/>
              </w:rPr>
            </w:pPr>
            <w:r w:rsidRPr="004C78D8">
              <w:rPr>
                <w:sz w:val="18"/>
                <w:szCs w:val="18"/>
              </w:rPr>
              <w:t>[1] 0-0.03</w:t>
            </w:r>
          </w:p>
          <w:p w14:paraId="32CD920C" w14:textId="77777777" w:rsidR="00733415" w:rsidRPr="004C78D8" w:rsidRDefault="00733415" w:rsidP="00FB7C1F">
            <w:pPr>
              <w:jc w:val="left"/>
              <w:rPr>
                <w:sz w:val="18"/>
                <w:szCs w:val="18"/>
              </w:rPr>
            </w:pPr>
            <w:r w:rsidRPr="004C78D8">
              <w:rPr>
                <w:sz w:val="18"/>
                <w:szCs w:val="18"/>
              </w:rPr>
              <w:t>[2] &gt;0.03-0.10</w:t>
            </w:r>
          </w:p>
          <w:p w14:paraId="13689647" w14:textId="77777777" w:rsidR="00733415" w:rsidRPr="004C78D8" w:rsidRDefault="00733415" w:rsidP="00FB7C1F">
            <w:pPr>
              <w:jc w:val="left"/>
              <w:rPr>
                <w:sz w:val="18"/>
                <w:szCs w:val="18"/>
              </w:rPr>
            </w:pPr>
            <w:r w:rsidRPr="004C78D8">
              <w:rPr>
                <w:sz w:val="18"/>
                <w:szCs w:val="18"/>
              </w:rPr>
              <w:t>[3] &gt;0.10-0.20</w:t>
            </w:r>
          </w:p>
          <w:p w14:paraId="2E59D2F3" w14:textId="77777777" w:rsidR="00733415" w:rsidRPr="004C78D8" w:rsidRDefault="00733415" w:rsidP="00FB7C1F">
            <w:pPr>
              <w:jc w:val="left"/>
              <w:rPr>
                <w:sz w:val="18"/>
                <w:szCs w:val="18"/>
              </w:rPr>
            </w:pPr>
            <w:r w:rsidRPr="004C78D8">
              <w:rPr>
                <w:sz w:val="18"/>
                <w:szCs w:val="18"/>
              </w:rPr>
              <w:t>[4] &gt;0.20-0.50</w:t>
            </w:r>
          </w:p>
          <w:p w14:paraId="46FE6DBF" w14:textId="77777777" w:rsidR="00733415" w:rsidRPr="004C78D8" w:rsidRDefault="00733415" w:rsidP="00FB7C1F">
            <w:pPr>
              <w:jc w:val="left"/>
              <w:rPr>
                <w:sz w:val="18"/>
                <w:szCs w:val="18"/>
              </w:rPr>
            </w:pPr>
            <w:r w:rsidRPr="004C78D8">
              <w:rPr>
                <w:sz w:val="18"/>
                <w:szCs w:val="18"/>
              </w:rPr>
              <w:t>[5] &gt;0.50</w:t>
            </w:r>
          </w:p>
        </w:tc>
        <w:tc>
          <w:tcPr>
            <w:tcW w:w="878" w:type="pct"/>
            <w:tcBorders>
              <w:top w:val="nil"/>
            </w:tcBorders>
          </w:tcPr>
          <w:p w14:paraId="29C51E71" w14:textId="77777777" w:rsidR="00733415" w:rsidRPr="004C78D8" w:rsidRDefault="00733415" w:rsidP="00FB7C1F">
            <w:pPr>
              <w:jc w:val="left"/>
              <w:rPr>
                <w:sz w:val="18"/>
                <w:szCs w:val="18"/>
              </w:rPr>
            </w:pPr>
            <w:r w:rsidRPr="004C78D8">
              <w:rPr>
                <w:sz w:val="18"/>
                <w:szCs w:val="18"/>
              </w:rPr>
              <w:t>[Robust] 0-0.20 (43.9%)</w:t>
            </w:r>
          </w:p>
          <w:p w14:paraId="0A2D97AA" w14:textId="77777777" w:rsidR="00733415" w:rsidRPr="004C78D8" w:rsidRDefault="00733415" w:rsidP="00FB7C1F">
            <w:pPr>
              <w:jc w:val="left"/>
              <w:rPr>
                <w:sz w:val="18"/>
                <w:szCs w:val="18"/>
              </w:rPr>
            </w:pPr>
            <w:r w:rsidRPr="004C78D8">
              <w:rPr>
                <w:sz w:val="18"/>
                <w:szCs w:val="18"/>
              </w:rPr>
              <w:t>[Prefrail] &gt;0.20-0.35 (34.1%)</w:t>
            </w:r>
          </w:p>
          <w:p w14:paraId="12201A98" w14:textId="77777777" w:rsidR="00733415" w:rsidRPr="004C78D8" w:rsidRDefault="00733415" w:rsidP="00FB7C1F">
            <w:pPr>
              <w:jc w:val="left"/>
              <w:rPr>
                <w:sz w:val="18"/>
                <w:szCs w:val="18"/>
              </w:rPr>
            </w:pPr>
            <w:r w:rsidRPr="004C78D8">
              <w:rPr>
                <w:sz w:val="18"/>
                <w:szCs w:val="18"/>
              </w:rPr>
              <w:t>[Frail] &gt;0.35 (22.1%)</w:t>
            </w:r>
          </w:p>
        </w:tc>
        <w:tc>
          <w:tcPr>
            <w:tcW w:w="878" w:type="pct"/>
            <w:tcBorders>
              <w:top w:val="nil"/>
            </w:tcBorders>
          </w:tcPr>
          <w:p w14:paraId="74A8F7C8" w14:textId="77777777" w:rsidR="00733415" w:rsidRPr="004C78D8" w:rsidRDefault="00733415" w:rsidP="00FB7C1F">
            <w:pPr>
              <w:jc w:val="left"/>
              <w:rPr>
                <w:sz w:val="18"/>
                <w:szCs w:val="18"/>
              </w:rPr>
            </w:pPr>
            <w:r w:rsidRPr="004C78D8">
              <w:rPr>
                <w:sz w:val="18"/>
                <w:szCs w:val="18"/>
              </w:rPr>
              <w:t>[Non-frail] 0-&lt;0.25 (81.5%)</w:t>
            </w:r>
          </w:p>
          <w:p w14:paraId="1136A733" w14:textId="77777777" w:rsidR="00733415" w:rsidRPr="004C78D8" w:rsidRDefault="00733415" w:rsidP="00FB7C1F">
            <w:pPr>
              <w:jc w:val="left"/>
              <w:rPr>
                <w:sz w:val="18"/>
                <w:szCs w:val="18"/>
              </w:rPr>
            </w:pPr>
            <w:r w:rsidRPr="004C78D8">
              <w:rPr>
                <w:sz w:val="18"/>
                <w:szCs w:val="18"/>
              </w:rPr>
              <w:t>[Frail] &gt;=0.25 (18.5%)</w:t>
            </w:r>
          </w:p>
        </w:tc>
        <w:tc>
          <w:tcPr>
            <w:tcW w:w="878" w:type="pct"/>
            <w:tcBorders>
              <w:top w:val="nil"/>
            </w:tcBorders>
          </w:tcPr>
          <w:p w14:paraId="78B90699" w14:textId="77777777" w:rsidR="00733415" w:rsidRPr="004C78D8" w:rsidRDefault="00733415" w:rsidP="00FB7C1F">
            <w:pPr>
              <w:jc w:val="left"/>
              <w:rPr>
                <w:sz w:val="18"/>
                <w:szCs w:val="18"/>
              </w:rPr>
            </w:pPr>
            <w:r w:rsidRPr="004C78D8">
              <w:rPr>
                <w:sz w:val="18"/>
                <w:szCs w:val="18"/>
              </w:rPr>
              <w:t>[Fit] 0-0.10 (50%)</w:t>
            </w:r>
          </w:p>
          <w:p w14:paraId="6D3F08D3" w14:textId="77777777" w:rsidR="00733415" w:rsidRPr="004C78D8" w:rsidRDefault="00733415" w:rsidP="00FB7C1F">
            <w:pPr>
              <w:jc w:val="left"/>
              <w:rPr>
                <w:sz w:val="18"/>
                <w:szCs w:val="18"/>
              </w:rPr>
            </w:pPr>
            <w:r w:rsidRPr="004C78D8">
              <w:rPr>
                <w:sz w:val="18"/>
                <w:szCs w:val="18"/>
              </w:rPr>
              <w:t>[Mild] &gt;0.10-0.23 (35%)</w:t>
            </w:r>
          </w:p>
          <w:p w14:paraId="26428090" w14:textId="77777777" w:rsidR="00733415" w:rsidRPr="004C78D8" w:rsidRDefault="00733415" w:rsidP="00FB7C1F">
            <w:pPr>
              <w:jc w:val="left"/>
              <w:rPr>
                <w:sz w:val="18"/>
                <w:szCs w:val="18"/>
              </w:rPr>
            </w:pPr>
            <w:r w:rsidRPr="004C78D8">
              <w:rPr>
                <w:sz w:val="18"/>
                <w:szCs w:val="18"/>
              </w:rPr>
              <w:t>[Moderate] &gt;0.23-0.37 (12%)</w:t>
            </w:r>
          </w:p>
          <w:p w14:paraId="604ADC2B" w14:textId="77777777" w:rsidR="00733415" w:rsidRPr="004C78D8" w:rsidRDefault="00733415" w:rsidP="00FB7C1F">
            <w:pPr>
              <w:jc w:val="left"/>
              <w:rPr>
                <w:sz w:val="18"/>
                <w:szCs w:val="18"/>
              </w:rPr>
            </w:pPr>
            <w:r w:rsidRPr="004C78D8">
              <w:rPr>
                <w:sz w:val="18"/>
                <w:szCs w:val="18"/>
              </w:rPr>
              <w:t>[Severe] &gt;0.37 (3%)</w:t>
            </w:r>
          </w:p>
        </w:tc>
      </w:tr>
      <w:tr w:rsidR="00733415" w:rsidRPr="004C78D8" w14:paraId="484C29B3" w14:textId="77777777" w:rsidTr="00E35893">
        <w:tc>
          <w:tcPr>
            <w:tcW w:w="5000" w:type="pct"/>
            <w:gridSpan w:val="6"/>
          </w:tcPr>
          <w:p w14:paraId="52920EBC" w14:textId="77777777" w:rsidR="00733415" w:rsidRPr="004C78D8" w:rsidRDefault="00733415" w:rsidP="00FB7C1F">
            <w:pPr>
              <w:jc w:val="left"/>
              <w:rPr>
                <w:b/>
                <w:bCs/>
                <w:i/>
                <w:iCs/>
                <w:sz w:val="18"/>
                <w:szCs w:val="18"/>
              </w:rPr>
            </w:pPr>
            <w:r w:rsidRPr="004C78D8">
              <w:rPr>
                <w:b/>
                <w:bCs/>
                <w:i/>
                <w:iCs/>
                <w:sz w:val="18"/>
                <w:szCs w:val="18"/>
              </w:rPr>
              <w:t>Component items</w:t>
            </w:r>
          </w:p>
        </w:tc>
      </w:tr>
      <w:tr w:rsidR="00733415" w:rsidRPr="004C78D8" w14:paraId="06BEDC91" w14:textId="77777777" w:rsidTr="00E35893">
        <w:tc>
          <w:tcPr>
            <w:tcW w:w="612" w:type="pct"/>
          </w:tcPr>
          <w:p w14:paraId="2CE884FB" w14:textId="77777777" w:rsidR="00733415" w:rsidRPr="004C78D8" w:rsidRDefault="00733415" w:rsidP="00FB7C1F">
            <w:pPr>
              <w:jc w:val="left"/>
              <w:rPr>
                <w:sz w:val="18"/>
                <w:szCs w:val="18"/>
              </w:rPr>
            </w:pPr>
            <w:r w:rsidRPr="004C78D8">
              <w:rPr>
                <w:sz w:val="18"/>
                <w:szCs w:val="18"/>
              </w:rPr>
              <w:t>Chronic diseases</w:t>
            </w:r>
          </w:p>
        </w:tc>
        <w:tc>
          <w:tcPr>
            <w:tcW w:w="878" w:type="pct"/>
          </w:tcPr>
          <w:p w14:paraId="6F425990" w14:textId="77777777" w:rsidR="00733415" w:rsidRPr="004C78D8" w:rsidRDefault="00733415" w:rsidP="00FB7C1F">
            <w:pPr>
              <w:jc w:val="left"/>
              <w:rPr>
                <w:sz w:val="18"/>
                <w:szCs w:val="18"/>
              </w:rPr>
            </w:pPr>
            <w:r w:rsidRPr="004C78D8">
              <w:rPr>
                <w:sz w:val="18"/>
                <w:szCs w:val="18"/>
              </w:rPr>
              <w:t>(17) Anemia; Arthritis; AF; CBVD; CKD; Diabetes; Heart failure; Heart valve disease; Hypertension; Hypotension; IHD; Osteoporosis; PD; PVD; RD; Thyroid disease; Urinary system disease</w:t>
            </w:r>
          </w:p>
        </w:tc>
        <w:tc>
          <w:tcPr>
            <w:tcW w:w="878" w:type="pct"/>
          </w:tcPr>
          <w:p w14:paraId="5F72D4FC" w14:textId="77777777" w:rsidR="00733415" w:rsidRPr="004C78D8" w:rsidRDefault="00733415" w:rsidP="00FB7C1F">
            <w:pPr>
              <w:jc w:val="left"/>
              <w:rPr>
                <w:sz w:val="18"/>
                <w:szCs w:val="18"/>
              </w:rPr>
            </w:pPr>
            <w:r w:rsidRPr="004C78D8">
              <w:rPr>
                <w:sz w:val="18"/>
                <w:szCs w:val="18"/>
              </w:rPr>
              <w:t>(8) Arthritis; Cataract; CHD; Glaucoma; Hypertension; Stroke; Thyroid disease; TIA</w:t>
            </w:r>
          </w:p>
        </w:tc>
        <w:tc>
          <w:tcPr>
            <w:tcW w:w="878" w:type="pct"/>
          </w:tcPr>
          <w:p w14:paraId="5361A222" w14:textId="77777777" w:rsidR="00733415" w:rsidRPr="004C78D8" w:rsidRDefault="00733415" w:rsidP="00FB7C1F">
            <w:pPr>
              <w:jc w:val="left"/>
              <w:rPr>
                <w:sz w:val="18"/>
                <w:szCs w:val="18"/>
              </w:rPr>
            </w:pPr>
            <w:r w:rsidRPr="004C78D8">
              <w:rPr>
                <w:sz w:val="18"/>
                <w:szCs w:val="18"/>
              </w:rPr>
              <w:t>(13) Cancer; Celiac disease; Chronic bronchitis; Crohn’s disease; Diabetes; Heart disease; High cholesterol; Hypertension; Multiple sclerosis; Osteoarthritis; PD; RA; Stroke</w:t>
            </w:r>
          </w:p>
        </w:tc>
        <w:tc>
          <w:tcPr>
            <w:tcW w:w="878" w:type="pct"/>
          </w:tcPr>
          <w:p w14:paraId="6395E357" w14:textId="77777777" w:rsidR="00733415" w:rsidRPr="004C78D8" w:rsidRDefault="00733415" w:rsidP="00FB7C1F">
            <w:pPr>
              <w:jc w:val="left"/>
              <w:rPr>
                <w:sz w:val="18"/>
                <w:szCs w:val="18"/>
              </w:rPr>
            </w:pPr>
            <w:r w:rsidRPr="004C78D8">
              <w:rPr>
                <w:sz w:val="18"/>
                <w:szCs w:val="18"/>
              </w:rPr>
              <w:t>(15) Blood disease; Cancer; Digestive disease; Ear disease; Endocrine disease; Eye disease; Genitourinary disease; Heart disease; Infectious disease; Mental disease; MSKD; Nervous disease; RD; Skin disease; Other disease</w:t>
            </w:r>
          </w:p>
        </w:tc>
        <w:tc>
          <w:tcPr>
            <w:tcW w:w="878" w:type="pct"/>
          </w:tcPr>
          <w:p w14:paraId="083F7D84" w14:textId="77777777" w:rsidR="00733415" w:rsidRPr="004C78D8" w:rsidRDefault="00733415" w:rsidP="00FB7C1F">
            <w:pPr>
              <w:jc w:val="left"/>
              <w:rPr>
                <w:sz w:val="18"/>
                <w:szCs w:val="18"/>
              </w:rPr>
            </w:pPr>
            <w:r w:rsidRPr="004C78D8">
              <w:rPr>
                <w:sz w:val="18"/>
                <w:szCs w:val="18"/>
              </w:rPr>
              <w:t>(20) Angina; Arrhythmia; Arthritis; Asthma; Cancer; Cataract; Depression; Diabetes; DED; DKD; Glaucoma; Heart attack; Heart disease – other; Heart murmur; Hypertension; High cholesterol; Lung disease; MD; Osteoporosis; Stroke</w:t>
            </w:r>
          </w:p>
        </w:tc>
      </w:tr>
      <w:tr w:rsidR="00733415" w:rsidRPr="004C78D8" w14:paraId="5BA8EF81" w14:textId="77777777" w:rsidTr="00E35893">
        <w:tc>
          <w:tcPr>
            <w:tcW w:w="612" w:type="pct"/>
          </w:tcPr>
          <w:p w14:paraId="63204F36" w14:textId="77777777" w:rsidR="00733415" w:rsidRPr="004C78D8" w:rsidRDefault="00733415" w:rsidP="00FB7C1F">
            <w:pPr>
              <w:jc w:val="left"/>
              <w:rPr>
                <w:sz w:val="18"/>
                <w:szCs w:val="18"/>
              </w:rPr>
            </w:pPr>
            <w:r w:rsidRPr="004C78D8">
              <w:rPr>
                <w:sz w:val="18"/>
                <w:szCs w:val="18"/>
              </w:rPr>
              <w:t>Sensory/physical impairments and geriatric syndromes</w:t>
            </w:r>
          </w:p>
        </w:tc>
        <w:tc>
          <w:tcPr>
            <w:tcW w:w="878" w:type="pct"/>
          </w:tcPr>
          <w:p w14:paraId="698BAEB8" w14:textId="77777777" w:rsidR="00733415" w:rsidRPr="004C78D8" w:rsidRDefault="00733415" w:rsidP="00FB7C1F">
            <w:pPr>
              <w:jc w:val="left"/>
              <w:rPr>
                <w:sz w:val="18"/>
                <w:szCs w:val="18"/>
              </w:rPr>
            </w:pPr>
            <w:r w:rsidRPr="004C78D8">
              <w:rPr>
                <w:sz w:val="18"/>
                <w:szCs w:val="18"/>
              </w:rPr>
              <w:t>(12) Hearing impairment; Visual impairment; Dizziness; Dyspnea; Falls; Foot problems; Fragility fractures; Peptic ulcer; Skin ulcer; Sleep disturbance; UI; Weight loss and anorexia</w:t>
            </w:r>
          </w:p>
        </w:tc>
        <w:tc>
          <w:tcPr>
            <w:tcW w:w="878" w:type="pct"/>
          </w:tcPr>
          <w:p w14:paraId="2EBABC76" w14:textId="77777777" w:rsidR="00733415" w:rsidRPr="004C78D8" w:rsidRDefault="00733415" w:rsidP="00FB7C1F">
            <w:pPr>
              <w:jc w:val="left"/>
              <w:rPr>
                <w:sz w:val="18"/>
                <w:szCs w:val="18"/>
              </w:rPr>
            </w:pPr>
            <w:r w:rsidRPr="004C78D8">
              <w:rPr>
                <w:sz w:val="18"/>
                <w:szCs w:val="18"/>
              </w:rPr>
              <w:t>(5) Hearing problem; Use a hearing aid; Use a walking aid; Tremor; UI</w:t>
            </w:r>
          </w:p>
        </w:tc>
        <w:tc>
          <w:tcPr>
            <w:tcW w:w="878" w:type="pct"/>
          </w:tcPr>
          <w:p w14:paraId="4CDCB8C2" w14:textId="77777777" w:rsidR="00733415" w:rsidRPr="004C78D8" w:rsidRDefault="00733415" w:rsidP="00FB7C1F">
            <w:pPr>
              <w:jc w:val="left"/>
              <w:rPr>
                <w:sz w:val="18"/>
                <w:szCs w:val="18"/>
              </w:rPr>
            </w:pPr>
            <w:r w:rsidRPr="004C78D8">
              <w:rPr>
                <w:sz w:val="18"/>
                <w:szCs w:val="18"/>
              </w:rPr>
              <w:t>(1) Unintentional weight loss</w:t>
            </w:r>
          </w:p>
        </w:tc>
        <w:tc>
          <w:tcPr>
            <w:tcW w:w="878" w:type="pct"/>
          </w:tcPr>
          <w:p w14:paraId="4AA8C5AA" w14:textId="77777777" w:rsidR="00733415" w:rsidRPr="004C78D8" w:rsidRDefault="00733415" w:rsidP="00FB7C1F">
            <w:pPr>
              <w:jc w:val="left"/>
              <w:rPr>
                <w:sz w:val="18"/>
                <w:szCs w:val="18"/>
              </w:rPr>
            </w:pPr>
            <w:r w:rsidRPr="004C78D8">
              <w:rPr>
                <w:sz w:val="18"/>
                <w:szCs w:val="18"/>
              </w:rPr>
              <w:t>(2) Use a walking aid; Balance problems</w:t>
            </w:r>
          </w:p>
        </w:tc>
        <w:tc>
          <w:tcPr>
            <w:tcW w:w="878" w:type="pct"/>
          </w:tcPr>
          <w:p w14:paraId="47B3E6C5" w14:textId="6CE91968" w:rsidR="00733415" w:rsidRPr="004C78D8" w:rsidRDefault="00733415" w:rsidP="00FB7C1F">
            <w:pPr>
              <w:jc w:val="left"/>
              <w:rPr>
                <w:sz w:val="18"/>
                <w:szCs w:val="18"/>
              </w:rPr>
            </w:pPr>
            <w:r w:rsidRPr="004C78D8">
              <w:rPr>
                <w:sz w:val="18"/>
                <w:szCs w:val="18"/>
              </w:rPr>
              <w:t>(8) Seeing difficulties; Hearing difficulties; Slow walking speed</w:t>
            </w:r>
            <w:r w:rsidR="00D12B99" w:rsidRPr="004C78D8">
              <w:rPr>
                <w:sz w:val="18"/>
                <w:szCs w:val="18"/>
              </w:rPr>
              <w:t>;</w:t>
            </w:r>
            <w:r w:rsidR="00D12B99" w:rsidRPr="004C78D8">
              <w:rPr>
                <w:sz w:val="18"/>
                <w:szCs w:val="18"/>
                <w:vertAlign w:val="superscript"/>
              </w:rPr>
              <w:t>3</w:t>
            </w:r>
            <w:r w:rsidR="000063BD" w:rsidRPr="004C78D8">
              <w:rPr>
                <w:sz w:val="18"/>
                <w:szCs w:val="18"/>
                <w:vertAlign w:val="superscript"/>
              </w:rPr>
              <w:t>,</w:t>
            </w:r>
            <w:r w:rsidR="00D12B99" w:rsidRPr="004C78D8">
              <w:rPr>
                <w:sz w:val="18"/>
                <w:szCs w:val="18"/>
                <w:vertAlign w:val="superscript"/>
              </w:rPr>
              <w:t>4</w:t>
            </w:r>
            <w:r w:rsidRPr="004C78D8">
              <w:rPr>
                <w:sz w:val="18"/>
                <w:szCs w:val="18"/>
              </w:rPr>
              <w:t xml:space="preserve"> Balance problems</w:t>
            </w:r>
            <w:r w:rsidR="00D12B99" w:rsidRPr="004C78D8">
              <w:rPr>
                <w:sz w:val="18"/>
                <w:szCs w:val="18"/>
              </w:rPr>
              <w:t>;</w:t>
            </w:r>
            <w:r w:rsidR="00D12B99" w:rsidRPr="004C78D8">
              <w:rPr>
                <w:sz w:val="18"/>
                <w:szCs w:val="18"/>
                <w:vertAlign w:val="superscript"/>
              </w:rPr>
              <w:t>4</w:t>
            </w:r>
            <w:r w:rsidRPr="004C78D8">
              <w:rPr>
                <w:sz w:val="18"/>
                <w:szCs w:val="18"/>
              </w:rPr>
              <w:t xml:space="preserve"> Weak grip strength</w:t>
            </w:r>
            <w:r w:rsidR="00D12B99" w:rsidRPr="004C78D8">
              <w:rPr>
                <w:sz w:val="18"/>
                <w:szCs w:val="18"/>
              </w:rPr>
              <w:t>;</w:t>
            </w:r>
            <w:r w:rsidR="00D12B99" w:rsidRPr="004C78D8">
              <w:rPr>
                <w:sz w:val="18"/>
                <w:szCs w:val="18"/>
                <w:vertAlign w:val="superscript"/>
              </w:rPr>
              <w:t>3,4</w:t>
            </w:r>
            <w:r w:rsidRPr="004C78D8">
              <w:rPr>
                <w:sz w:val="18"/>
                <w:szCs w:val="18"/>
              </w:rPr>
              <w:t xml:space="preserve"> Weak leg strength</w:t>
            </w:r>
            <w:r w:rsidR="00D12B99" w:rsidRPr="004C78D8">
              <w:rPr>
                <w:sz w:val="18"/>
                <w:szCs w:val="18"/>
              </w:rPr>
              <w:t>;</w:t>
            </w:r>
            <w:r w:rsidR="00D12B99" w:rsidRPr="004C78D8">
              <w:rPr>
                <w:sz w:val="18"/>
                <w:szCs w:val="18"/>
                <w:vertAlign w:val="superscript"/>
              </w:rPr>
              <w:t>4</w:t>
            </w:r>
            <w:r w:rsidRPr="004C78D8">
              <w:rPr>
                <w:sz w:val="18"/>
                <w:szCs w:val="18"/>
              </w:rPr>
              <w:t xml:space="preserve"> UI; Significant weight loss</w:t>
            </w:r>
            <w:r w:rsidR="00D12B99" w:rsidRPr="004C78D8">
              <w:rPr>
                <w:sz w:val="18"/>
                <w:szCs w:val="18"/>
                <w:vertAlign w:val="superscript"/>
              </w:rPr>
              <w:t>3,4</w:t>
            </w:r>
          </w:p>
        </w:tc>
      </w:tr>
      <w:tr w:rsidR="00733415" w:rsidRPr="004C78D8" w14:paraId="1BD8F874" w14:textId="77777777" w:rsidTr="00E35893">
        <w:tc>
          <w:tcPr>
            <w:tcW w:w="612" w:type="pct"/>
          </w:tcPr>
          <w:p w14:paraId="7AF8FCD4" w14:textId="77777777" w:rsidR="00733415" w:rsidRPr="004C78D8" w:rsidRDefault="00733415" w:rsidP="00FB7C1F">
            <w:pPr>
              <w:jc w:val="left"/>
              <w:rPr>
                <w:sz w:val="18"/>
                <w:szCs w:val="18"/>
              </w:rPr>
            </w:pPr>
            <w:r w:rsidRPr="004C78D8">
              <w:rPr>
                <w:sz w:val="18"/>
                <w:szCs w:val="18"/>
              </w:rPr>
              <w:t>Cognitive impairment</w:t>
            </w:r>
          </w:p>
        </w:tc>
        <w:tc>
          <w:tcPr>
            <w:tcW w:w="878" w:type="pct"/>
          </w:tcPr>
          <w:p w14:paraId="3D085078" w14:textId="77777777" w:rsidR="00733415" w:rsidRPr="004C78D8" w:rsidRDefault="00733415" w:rsidP="00FB7C1F">
            <w:pPr>
              <w:jc w:val="left"/>
              <w:rPr>
                <w:sz w:val="18"/>
                <w:szCs w:val="18"/>
              </w:rPr>
            </w:pPr>
            <w:r w:rsidRPr="004C78D8">
              <w:rPr>
                <w:sz w:val="18"/>
                <w:szCs w:val="18"/>
              </w:rPr>
              <w:t>(1) Memory and cognitive problems</w:t>
            </w:r>
          </w:p>
        </w:tc>
        <w:tc>
          <w:tcPr>
            <w:tcW w:w="878" w:type="pct"/>
          </w:tcPr>
          <w:p w14:paraId="0303E463" w14:textId="77777777" w:rsidR="00733415" w:rsidRPr="004C78D8" w:rsidRDefault="00733415" w:rsidP="00FB7C1F">
            <w:pPr>
              <w:jc w:val="left"/>
              <w:rPr>
                <w:sz w:val="18"/>
                <w:szCs w:val="18"/>
              </w:rPr>
            </w:pPr>
            <w:r w:rsidRPr="004C78D8">
              <w:rPr>
                <w:sz w:val="18"/>
                <w:szCs w:val="18"/>
              </w:rPr>
              <w:t>(1) MMSE&lt;15</w:t>
            </w:r>
          </w:p>
        </w:tc>
        <w:tc>
          <w:tcPr>
            <w:tcW w:w="878" w:type="pct"/>
          </w:tcPr>
          <w:p w14:paraId="475D66CE" w14:textId="77777777" w:rsidR="00733415" w:rsidRPr="004C78D8" w:rsidRDefault="00733415" w:rsidP="00FB7C1F">
            <w:pPr>
              <w:jc w:val="left"/>
              <w:rPr>
                <w:sz w:val="18"/>
                <w:szCs w:val="18"/>
              </w:rPr>
            </w:pPr>
          </w:p>
        </w:tc>
        <w:tc>
          <w:tcPr>
            <w:tcW w:w="878" w:type="pct"/>
          </w:tcPr>
          <w:p w14:paraId="653DD98F" w14:textId="77777777" w:rsidR="00733415" w:rsidRPr="004C78D8" w:rsidRDefault="00733415" w:rsidP="00FB7C1F">
            <w:pPr>
              <w:jc w:val="left"/>
              <w:rPr>
                <w:sz w:val="18"/>
                <w:szCs w:val="18"/>
              </w:rPr>
            </w:pPr>
          </w:p>
        </w:tc>
        <w:tc>
          <w:tcPr>
            <w:tcW w:w="878" w:type="pct"/>
          </w:tcPr>
          <w:p w14:paraId="10D022F0" w14:textId="3CCF0A46" w:rsidR="00733415" w:rsidRPr="004C78D8" w:rsidRDefault="00733415" w:rsidP="00FB7C1F">
            <w:pPr>
              <w:jc w:val="left"/>
              <w:rPr>
                <w:sz w:val="18"/>
                <w:szCs w:val="18"/>
              </w:rPr>
            </w:pPr>
            <w:r w:rsidRPr="004C78D8">
              <w:rPr>
                <w:sz w:val="18"/>
                <w:szCs w:val="18"/>
              </w:rPr>
              <w:t xml:space="preserve">(1) </w:t>
            </w:r>
            <w:r w:rsidR="007D522F" w:rsidRPr="004C78D8">
              <w:rPr>
                <w:sz w:val="18"/>
                <w:szCs w:val="18"/>
              </w:rPr>
              <w:t>Composite measure of cognitive problems across 4 tests of memory, mental speed and numeracy</w:t>
            </w:r>
          </w:p>
        </w:tc>
      </w:tr>
      <w:tr w:rsidR="00733415" w:rsidRPr="004C78D8" w14:paraId="2AE5960F" w14:textId="77777777" w:rsidTr="00E35893">
        <w:tc>
          <w:tcPr>
            <w:tcW w:w="612" w:type="pct"/>
          </w:tcPr>
          <w:p w14:paraId="6DC03482" w14:textId="77777777" w:rsidR="00733415" w:rsidRPr="004C78D8" w:rsidRDefault="00733415" w:rsidP="00FB7C1F">
            <w:pPr>
              <w:jc w:val="left"/>
              <w:rPr>
                <w:sz w:val="18"/>
                <w:szCs w:val="18"/>
              </w:rPr>
            </w:pPr>
            <w:r w:rsidRPr="004C78D8">
              <w:rPr>
                <w:sz w:val="18"/>
                <w:szCs w:val="18"/>
              </w:rPr>
              <w:t>Subjective symptoms and health status</w:t>
            </w:r>
          </w:p>
        </w:tc>
        <w:tc>
          <w:tcPr>
            <w:tcW w:w="878" w:type="pct"/>
          </w:tcPr>
          <w:p w14:paraId="01AB4C2D" w14:textId="77777777" w:rsidR="00733415" w:rsidRPr="004C78D8" w:rsidRDefault="00733415" w:rsidP="00FB7C1F">
            <w:pPr>
              <w:jc w:val="left"/>
              <w:rPr>
                <w:sz w:val="18"/>
                <w:szCs w:val="18"/>
              </w:rPr>
            </w:pPr>
          </w:p>
        </w:tc>
        <w:tc>
          <w:tcPr>
            <w:tcW w:w="878" w:type="pct"/>
          </w:tcPr>
          <w:p w14:paraId="23961205" w14:textId="77777777" w:rsidR="00733415" w:rsidRPr="004C78D8" w:rsidRDefault="00733415" w:rsidP="00FB7C1F">
            <w:pPr>
              <w:jc w:val="left"/>
              <w:rPr>
                <w:sz w:val="18"/>
                <w:szCs w:val="18"/>
              </w:rPr>
            </w:pPr>
            <w:r w:rsidRPr="004C78D8">
              <w:rPr>
                <w:sz w:val="18"/>
                <w:szCs w:val="18"/>
              </w:rPr>
              <w:t>(5) Lack of energy; Felt less useful; Don’t feel a lot of fun in life; Don’t feel very happy; Feel nothing to do</w:t>
            </w:r>
          </w:p>
        </w:tc>
        <w:tc>
          <w:tcPr>
            <w:tcW w:w="878" w:type="pct"/>
          </w:tcPr>
          <w:p w14:paraId="4F3E2215" w14:textId="77777777" w:rsidR="00733415" w:rsidRPr="004C78D8" w:rsidRDefault="00733415" w:rsidP="00FB7C1F">
            <w:pPr>
              <w:jc w:val="left"/>
              <w:rPr>
                <w:sz w:val="18"/>
                <w:szCs w:val="18"/>
              </w:rPr>
            </w:pPr>
            <w:r w:rsidRPr="004C78D8">
              <w:rPr>
                <w:sz w:val="18"/>
                <w:szCs w:val="18"/>
              </w:rPr>
              <w:t>(6) Feels full of life; Has a lot of energy; Feels worn out; Feels tired; Self-rated health; Self-rated pain</w:t>
            </w:r>
          </w:p>
        </w:tc>
        <w:tc>
          <w:tcPr>
            <w:tcW w:w="878" w:type="pct"/>
          </w:tcPr>
          <w:p w14:paraId="1DAE6F6D" w14:textId="77777777" w:rsidR="00733415" w:rsidRPr="004C78D8" w:rsidRDefault="00733415" w:rsidP="00FB7C1F">
            <w:pPr>
              <w:jc w:val="left"/>
              <w:rPr>
                <w:sz w:val="18"/>
                <w:szCs w:val="18"/>
              </w:rPr>
            </w:pPr>
            <w:r w:rsidRPr="004C78D8">
              <w:rPr>
                <w:sz w:val="18"/>
                <w:szCs w:val="18"/>
              </w:rPr>
              <w:t>(6) Feeling calm; Have a lot of energy; Feeling low; Social activity interfered by physical and emotional health; Self-rated health; Normal work interfered by pain</w:t>
            </w:r>
          </w:p>
        </w:tc>
        <w:tc>
          <w:tcPr>
            <w:tcW w:w="878" w:type="pct"/>
          </w:tcPr>
          <w:p w14:paraId="47F55C5F" w14:textId="7E612B76" w:rsidR="00733415" w:rsidRPr="004C78D8" w:rsidRDefault="00733415" w:rsidP="00FB7C1F">
            <w:pPr>
              <w:jc w:val="left"/>
              <w:rPr>
                <w:sz w:val="18"/>
                <w:szCs w:val="18"/>
              </w:rPr>
            </w:pPr>
            <w:r w:rsidRPr="004C78D8">
              <w:rPr>
                <w:sz w:val="18"/>
                <w:szCs w:val="18"/>
              </w:rPr>
              <w:t>(4) Self-reported exhaustion</w:t>
            </w:r>
            <w:r w:rsidR="00D12B99" w:rsidRPr="004C78D8">
              <w:rPr>
                <w:sz w:val="18"/>
                <w:szCs w:val="18"/>
              </w:rPr>
              <w:t>;</w:t>
            </w:r>
            <w:r w:rsidR="00D12B99" w:rsidRPr="004C78D8">
              <w:rPr>
                <w:sz w:val="18"/>
                <w:szCs w:val="18"/>
                <w:vertAlign w:val="superscript"/>
              </w:rPr>
              <w:t>3</w:t>
            </w:r>
            <w:r w:rsidRPr="004C78D8">
              <w:rPr>
                <w:sz w:val="18"/>
                <w:szCs w:val="18"/>
              </w:rPr>
              <w:t xml:space="preserve"> Self-rated health; Self-rated pain; Self-reported long-standing illness</w:t>
            </w:r>
          </w:p>
        </w:tc>
      </w:tr>
      <w:tr w:rsidR="00733415" w:rsidRPr="004C78D8" w14:paraId="66184B90" w14:textId="77777777" w:rsidTr="00E35893">
        <w:tc>
          <w:tcPr>
            <w:tcW w:w="612" w:type="pct"/>
          </w:tcPr>
          <w:p w14:paraId="44BA865B" w14:textId="77777777" w:rsidR="00733415" w:rsidRPr="004C78D8" w:rsidRDefault="00733415" w:rsidP="00FB7C1F">
            <w:pPr>
              <w:jc w:val="left"/>
              <w:rPr>
                <w:sz w:val="18"/>
                <w:szCs w:val="18"/>
              </w:rPr>
            </w:pPr>
            <w:r w:rsidRPr="004C78D8">
              <w:rPr>
                <w:sz w:val="18"/>
                <w:szCs w:val="18"/>
              </w:rPr>
              <w:t>Lifestyle risk factors</w:t>
            </w:r>
          </w:p>
        </w:tc>
        <w:tc>
          <w:tcPr>
            <w:tcW w:w="878" w:type="pct"/>
          </w:tcPr>
          <w:p w14:paraId="42C120C8" w14:textId="77777777" w:rsidR="00733415" w:rsidRPr="004C78D8" w:rsidRDefault="00733415" w:rsidP="00FB7C1F">
            <w:pPr>
              <w:jc w:val="left"/>
              <w:rPr>
                <w:sz w:val="18"/>
                <w:szCs w:val="18"/>
              </w:rPr>
            </w:pPr>
          </w:p>
        </w:tc>
        <w:tc>
          <w:tcPr>
            <w:tcW w:w="878" w:type="pct"/>
          </w:tcPr>
          <w:p w14:paraId="06137CB0" w14:textId="77777777" w:rsidR="00733415" w:rsidRPr="004C78D8" w:rsidRDefault="00733415" w:rsidP="00FB7C1F">
            <w:pPr>
              <w:jc w:val="left"/>
              <w:rPr>
                <w:sz w:val="18"/>
                <w:szCs w:val="18"/>
              </w:rPr>
            </w:pPr>
          </w:p>
        </w:tc>
        <w:tc>
          <w:tcPr>
            <w:tcW w:w="878" w:type="pct"/>
          </w:tcPr>
          <w:p w14:paraId="34A33239" w14:textId="77777777" w:rsidR="00733415" w:rsidRPr="004C78D8" w:rsidRDefault="00733415" w:rsidP="00FB7C1F">
            <w:pPr>
              <w:jc w:val="left"/>
              <w:rPr>
                <w:sz w:val="18"/>
                <w:szCs w:val="18"/>
              </w:rPr>
            </w:pPr>
          </w:p>
        </w:tc>
        <w:tc>
          <w:tcPr>
            <w:tcW w:w="878" w:type="pct"/>
          </w:tcPr>
          <w:p w14:paraId="73CA76B7" w14:textId="77777777" w:rsidR="00733415" w:rsidRPr="004C78D8" w:rsidRDefault="00733415" w:rsidP="00FB7C1F">
            <w:pPr>
              <w:jc w:val="left"/>
              <w:rPr>
                <w:sz w:val="18"/>
                <w:szCs w:val="18"/>
              </w:rPr>
            </w:pPr>
            <w:r w:rsidRPr="004C78D8">
              <w:rPr>
                <w:sz w:val="18"/>
                <w:szCs w:val="18"/>
              </w:rPr>
              <w:t>(2) Obesity (BMI&gt;=30); Low physical activity</w:t>
            </w:r>
          </w:p>
        </w:tc>
        <w:tc>
          <w:tcPr>
            <w:tcW w:w="878" w:type="pct"/>
          </w:tcPr>
          <w:p w14:paraId="39394BA8" w14:textId="4FEB24A2" w:rsidR="00733415" w:rsidRPr="004C78D8" w:rsidRDefault="00733415" w:rsidP="00FB7C1F">
            <w:pPr>
              <w:jc w:val="left"/>
              <w:rPr>
                <w:sz w:val="18"/>
                <w:szCs w:val="18"/>
              </w:rPr>
            </w:pPr>
            <w:r w:rsidRPr="004C78D8">
              <w:rPr>
                <w:sz w:val="18"/>
                <w:szCs w:val="18"/>
              </w:rPr>
              <w:t>(2) Low physical activity;</w:t>
            </w:r>
            <w:r w:rsidR="00D12B99" w:rsidRPr="004C78D8">
              <w:rPr>
                <w:sz w:val="18"/>
                <w:szCs w:val="18"/>
                <w:vertAlign w:val="superscript"/>
              </w:rPr>
              <w:t>3</w:t>
            </w:r>
            <w:r w:rsidRPr="004C78D8">
              <w:rPr>
                <w:sz w:val="18"/>
                <w:szCs w:val="18"/>
              </w:rPr>
              <w:t xml:space="preserve"> Obesity</w:t>
            </w:r>
          </w:p>
        </w:tc>
      </w:tr>
      <w:tr w:rsidR="00733415" w:rsidRPr="004C78D8" w14:paraId="26A50FDB" w14:textId="77777777" w:rsidTr="00E35893">
        <w:tc>
          <w:tcPr>
            <w:tcW w:w="612" w:type="pct"/>
          </w:tcPr>
          <w:p w14:paraId="4D17C3DB" w14:textId="77777777" w:rsidR="00733415" w:rsidRPr="004C78D8" w:rsidRDefault="00733415" w:rsidP="00FB7C1F">
            <w:pPr>
              <w:jc w:val="left"/>
              <w:rPr>
                <w:sz w:val="18"/>
                <w:szCs w:val="18"/>
              </w:rPr>
            </w:pPr>
            <w:r w:rsidRPr="004C78D8">
              <w:rPr>
                <w:sz w:val="18"/>
                <w:szCs w:val="18"/>
              </w:rPr>
              <w:t>Activity limitation</w:t>
            </w:r>
          </w:p>
        </w:tc>
        <w:tc>
          <w:tcPr>
            <w:tcW w:w="878" w:type="pct"/>
          </w:tcPr>
          <w:p w14:paraId="23C17BA8" w14:textId="77777777" w:rsidR="00733415" w:rsidRPr="004C78D8" w:rsidRDefault="00733415" w:rsidP="00FB7C1F">
            <w:pPr>
              <w:jc w:val="left"/>
              <w:rPr>
                <w:sz w:val="18"/>
                <w:szCs w:val="18"/>
              </w:rPr>
            </w:pPr>
            <w:r w:rsidRPr="004C78D8">
              <w:rPr>
                <w:sz w:val="18"/>
                <w:szCs w:val="18"/>
              </w:rPr>
              <w:t>(3) Any activity limitation; Housebound; Mobility and transfer problems</w:t>
            </w:r>
          </w:p>
        </w:tc>
        <w:tc>
          <w:tcPr>
            <w:tcW w:w="878" w:type="pct"/>
          </w:tcPr>
          <w:p w14:paraId="50B1A05D" w14:textId="77777777" w:rsidR="00733415" w:rsidRPr="004C78D8" w:rsidRDefault="00733415" w:rsidP="00FB7C1F">
            <w:pPr>
              <w:jc w:val="left"/>
              <w:rPr>
                <w:sz w:val="18"/>
                <w:szCs w:val="18"/>
              </w:rPr>
            </w:pPr>
            <w:r w:rsidRPr="004C78D8">
              <w:rPr>
                <w:sz w:val="18"/>
                <w:szCs w:val="18"/>
              </w:rPr>
              <w:t>(14) ADL &amp; IADL limitations</w:t>
            </w:r>
          </w:p>
        </w:tc>
        <w:tc>
          <w:tcPr>
            <w:tcW w:w="878" w:type="pct"/>
          </w:tcPr>
          <w:p w14:paraId="496202CD" w14:textId="77777777" w:rsidR="00733415" w:rsidRPr="004C78D8" w:rsidRDefault="00733415" w:rsidP="00FB7C1F">
            <w:pPr>
              <w:jc w:val="left"/>
              <w:rPr>
                <w:sz w:val="18"/>
                <w:szCs w:val="18"/>
              </w:rPr>
            </w:pPr>
            <w:r w:rsidRPr="004C78D8">
              <w:rPr>
                <w:sz w:val="18"/>
                <w:szCs w:val="18"/>
              </w:rPr>
              <w:t>(12) ADL limitations</w:t>
            </w:r>
          </w:p>
        </w:tc>
        <w:tc>
          <w:tcPr>
            <w:tcW w:w="878" w:type="pct"/>
          </w:tcPr>
          <w:p w14:paraId="50124558" w14:textId="77777777" w:rsidR="00733415" w:rsidRPr="004C78D8" w:rsidRDefault="00733415" w:rsidP="00FB7C1F">
            <w:pPr>
              <w:jc w:val="left"/>
              <w:rPr>
                <w:sz w:val="18"/>
                <w:szCs w:val="18"/>
              </w:rPr>
            </w:pPr>
            <w:r w:rsidRPr="004C78D8">
              <w:rPr>
                <w:sz w:val="18"/>
                <w:szCs w:val="18"/>
              </w:rPr>
              <w:t>(14) ADL &amp; IADL limitations</w:t>
            </w:r>
          </w:p>
        </w:tc>
        <w:tc>
          <w:tcPr>
            <w:tcW w:w="878" w:type="pct"/>
          </w:tcPr>
          <w:p w14:paraId="67FB16C2" w14:textId="77777777" w:rsidR="00733415" w:rsidRPr="004C78D8" w:rsidRDefault="00733415" w:rsidP="00FB7C1F">
            <w:pPr>
              <w:jc w:val="left"/>
              <w:rPr>
                <w:sz w:val="18"/>
                <w:szCs w:val="18"/>
              </w:rPr>
            </w:pPr>
            <w:r w:rsidRPr="004C78D8">
              <w:rPr>
                <w:sz w:val="18"/>
                <w:szCs w:val="18"/>
              </w:rPr>
              <w:t>(15) ADL &amp; IADL limitations</w:t>
            </w:r>
          </w:p>
        </w:tc>
      </w:tr>
      <w:tr w:rsidR="00733415" w:rsidRPr="004C78D8" w14:paraId="70F3CF86" w14:textId="77777777" w:rsidTr="00E35893">
        <w:tc>
          <w:tcPr>
            <w:tcW w:w="612" w:type="pct"/>
          </w:tcPr>
          <w:p w14:paraId="255E164F" w14:textId="77777777" w:rsidR="00733415" w:rsidRPr="004C78D8" w:rsidRDefault="00733415" w:rsidP="00FB7C1F">
            <w:pPr>
              <w:jc w:val="left"/>
              <w:rPr>
                <w:sz w:val="18"/>
                <w:szCs w:val="18"/>
              </w:rPr>
            </w:pPr>
            <w:r w:rsidRPr="004C78D8">
              <w:rPr>
                <w:sz w:val="18"/>
                <w:szCs w:val="18"/>
              </w:rPr>
              <w:t>Healthcare contact</w:t>
            </w:r>
          </w:p>
        </w:tc>
        <w:tc>
          <w:tcPr>
            <w:tcW w:w="878" w:type="pct"/>
          </w:tcPr>
          <w:p w14:paraId="258A8EB2" w14:textId="77777777" w:rsidR="00733415" w:rsidRPr="004C78D8" w:rsidRDefault="00733415" w:rsidP="00FB7C1F">
            <w:pPr>
              <w:jc w:val="left"/>
              <w:rPr>
                <w:sz w:val="18"/>
                <w:szCs w:val="18"/>
              </w:rPr>
            </w:pPr>
            <w:r w:rsidRPr="004C78D8">
              <w:rPr>
                <w:sz w:val="18"/>
                <w:szCs w:val="18"/>
              </w:rPr>
              <w:t>(2) Polypharmacy (5+ medications); Requirement for care</w:t>
            </w:r>
          </w:p>
        </w:tc>
        <w:tc>
          <w:tcPr>
            <w:tcW w:w="878" w:type="pct"/>
          </w:tcPr>
          <w:p w14:paraId="4F910CC4" w14:textId="77777777" w:rsidR="00733415" w:rsidRPr="004C78D8" w:rsidRDefault="00733415" w:rsidP="00FB7C1F">
            <w:pPr>
              <w:jc w:val="left"/>
              <w:rPr>
                <w:sz w:val="18"/>
                <w:szCs w:val="18"/>
              </w:rPr>
            </w:pPr>
          </w:p>
        </w:tc>
        <w:tc>
          <w:tcPr>
            <w:tcW w:w="878" w:type="pct"/>
          </w:tcPr>
          <w:p w14:paraId="0AA3ADB2" w14:textId="77777777" w:rsidR="00733415" w:rsidRPr="004C78D8" w:rsidRDefault="00733415" w:rsidP="00FB7C1F">
            <w:pPr>
              <w:jc w:val="left"/>
              <w:rPr>
                <w:sz w:val="18"/>
                <w:szCs w:val="18"/>
              </w:rPr>
            </w:pPr>
            <w:r w:rsidRPr="004C78D8">
              <w:rPr>
                <w:sz w:val="18"/>
                <w:szCs w:val="18"/>
              </w:rPr>
              <w:t>(2) Polypharmacy (5+ medications); Frequency of healthcare visit in past year</w:t>
            </w:r>
          </w:p>
        </w:tc>
        <w:tc>
          <w:tcPr>
            <w:tcW w:w="878" w:type="pct"/>
          </w:tcPr>
          <w:p w14:paraId="444B4E1F" w14:textId="77777777" w:rsidR="00733415" w:rsidRPr="004C78D8" w:rsidRDefault="00733415" w:rsidP="00FB7C1F">
            <w:pPr>
              <w:jc w:val="left"/>
              <w:rPr>
                <w:sz w:val="18"/>
                <w:szCs w:val="18"/>
              </w:rPr>
            </w:pPr>
            <w:r w:rsidRPr="004C78D8">
              <w:rPr>
                <w:sz w:val="18"/>
                <w:szCs w:val="18"/>
              </w:rPr>
              <w:t>(1) Polypharmacy (6+ medications)</w:t>
            </w:r>
          </w:p>
        </w:tc>
        <w:tc>
          <w:tcPr>
            <w:tcW w:w="878" w:type="pct"/>
          </w:tcPr>
          <w:p w14:paraId="1800C78B" w14:textId="77777777" w:rsidR="00733415" w:rsidRPr="004C78D8" w:rsidRDefault="00733415" w:rsidP="00FB7C1F">
            <w:pPr>
              <w:jc w:val="left"/>
              <w:rPr>
                <w:sz w:val="18"/>
                <w:szCs w:val="18"/>
              </w:rPr>
            </w:pPr>
            <w:r w:rsidRPr="004C78D8">
              <w:rPr>
                <w:sz w:val="18"/>
                <w:szCs w:val="18"/>
              </w:rPr>
              <w:t>(1) Polypharmacy (5+ medications)</w:t>
            </w:r>
          </w:p>
        </w:tc>
      </w:tr>
      <w:tr w:rsidR="00733415" w:rsidRPr="004C78D8" w14:paraId="319C2A89" w14:textId="77777777" w:rsidTr="00E35893">
        <w:tc>
          <w:tcPr>
            <w:tcW w:w="612" w:type="pct"/>
          </w:tcPr>
          <w:p w14:paraId="546D3214" w14:textId="77777777" w:rsidR="00733415" w:rsidRPr="004C78D8" w:rsidRDefault="00733415" w:rsidP="00FB7C1F">
            <w:pPr>
              <w:jc w:val="left"/>
              <w:rPr>
                <w:sz w:val="18"/>
                <w:szCs w:val="18"/>
              </w:rPr>
            </w:pPr>
            <w:r w:rsidRPr="004C78D8">
              <w:rPr>
                <w:sz w:val="18"/>
                <w:szCs w:val="18"/>
              </w:rPr>
              <w:t>Social</w:t>
            </w:r>
          </w:p>
        </w:tc>
        <w:tc>
          <w:tcPr>
            <w:tcW w:w="878" w:type="pct"/>
          </w:tcPr>
          <w:p w14:paraId="7C270067" w14:textId="77777777" w:rsidR="00733415" w:rsidRPr="004C78D8" w:rsidRDefault="00733415" w:rsidP="00FB7C1F">
            <w:pPr>
              <w:jc w:val="left"/>
              <w:rPr>
                <w:sz w:val="18"/>
                <w:szCs w:val="18"/>
              </w:rPr>
            </w:pPr>
            <w:r w:rsidRPr="004C78D8">
              <w:rPr>
                <w:sz w:val="18"/>
                <w:szCs w:val="18"/>
              </w:rPr>
              <w:t>(1) Social vulnerability</w:t>
            </w:r>
          </w:p>
        </w:tc>
        <w:tc>
          <w:tcPr>
            <w:tcW w:w="878" w:type="pct"/>
          </w:tcPr>
          <w:p w14:paraId="7F477922" w14:textId="77777777" w:rsidR="00733415" w:rsidRPr="004C78D8" w:rsidRDefault="00733415" w:rsidP="00FB7C1F">
            <w:pPr>
              <w:jc w:val="left"/>
              <w:rPr>
                <w:sz w:val="18"/>
                <w:szCs w:val="18"/>
              </w:rPr>
            </w:pPr>
          </w:p>
        </w:tc>
        <w:tc>
          <w:tcPr>
            <w:tcW w:w="878" w:type="pct"/>
          </w:tcPr>
          <w:p w14:paraId="73FF0828" w14:textId="77777777" w:rsidR="00733415" w:rsidRPr="004C78D8" w:rsidRDefault="00733415" w:rsidP="00FB7C1F">
            <w:pPr>
              <w:jc w:val="left"/>
              <w:rPr>
                <w:sz w:val="18"/>
                <w:szCs w:val="18"/>
              </w:rPr>
            </w:pPr>
          </w:p>
        </w:tc>
        <w:tc>
          <w:tcPr>
            <w:tcW w:w="878" w:type="pct"/>
          </w:tcPr>
          <w:p w14:paraId="19E8DBA6" w14:textId="77777777" w:rsidR="00733415" w:rsidRPr="004C78D8" w:rsidRDefault="00733415" w:rsidP="00FB7C1F">
            <w:pPr>
              <w:jc w:val="left"/>
              <w:rPr>
                <w:sz w:val="18"/>
                <w:szCs w:val="18"/>
              </w:rPr>
            </w:pPr>
          </w:p>
        </w:tc>
        <w:tc>
          <w:tcPr>
            <w:tcW w:w="878" w:type="pct"/>
          </w:tcPr>
          <w:p w14:paraId="153F1F30" w14:textId="77777777" w:rsidR="00733415" w:rsidRPr="004C78D8" w:rsidRDefault="00733415" w:rsidP="00FB7C1F">
            <w:pPr>
              <w:jc w:val="left"/>
              <w:rPr>
                <w:sz w:val="18"/>
                <w:szCs w:val="18"/>
              </w:rPr>
            </w:pPr>
            <w:r w:rsidRPr="004C78D8">
              <w:rPr>
                <w:sz w:val="18"/>
                <w:szCs w:val="18"/>
              </w:rPr>
              <w:t>(1) Living alone</w:t>
            </w:r>
          </w:p>
        </w:tc>
      </w:tr>
      <w:tr w:rsidR="00733415" w:rsidRPr="004C78D8" w14:paraId="3F1D7CA7" w14:textId="77777777" w:rsidTr="00E35893">
        <w:tc>
          <w:tcPr>
            <w:tcW w:w="5000" w:type="pct"/>
            <w:gridSpan w:val="6"/>
          </w:tcPr>
          <w:p w14:paraId="1C4BBF2C" w14:textId="382977B6" w:rsidR="00D12B99" w:rsidRPr="004C78D8" w:rsidRDefault="00D10D5E" w:rsidP="00FB7C1F">
            <w:pPr>
              <w:rPr>
                <w:sz w:val="18"/>
                <w:szCs w:val="18"/>
              </w:rPr>
            </w:pPr>
            <w:r w:rsidRPr="004C78D8">
              <w:rPr>
                <w:b/>
                <w:bCs/>
                <w:sz w:val="18"/>
                <w:szCs w:val="18"/>
              </w:rPr>
              <w:t>Abbreviation</w:t>
            </w:r>
            <w:r w:rsidR="00D12B99" w:rsidRPr="004C78D8">
              <w:rPr>
                <w:b/>
                <w:bCs/>
                <w:sz w:val="18"/>
                <w:szCs w:val="18"/>
              </w:rPr>
              <w:t>:</w:t>
            </w:r>
            <w:r w:rsidR="00D12B99" w:rsidRPr="004C78D8">
              <w:rPr>
                <w:sz w:val="18"/>
                <w:szCs w:val="18"/>
              </w:rPr>
              <w:t xml:space="preserve"> ADL: activities of daily living; AF: atrial fibrillation; BLSA: Beijing Longitudinal Study of Aging; CBVD: cerebrovascular disease; CHD: coronary heart disease; CKD: chronic kidney disease; DED: diabetic eye disease; DKD: diabetic kidney disease; eFI: electronic frailty index; FI: frailty index; GLOW: Global Longitudinal Study of Osteoporosis in Women; IADL: instrumental activities of daily living; IHD: ischemic heart disease; MD: macular degeneration; MMSE: mini-mental status examination; MSKD: musculoskeletal disease; PD: Parkinson’s disease; PVD: peripheral vascular disease; RA: rheumatoid arthritis; RD: respiratory disease; SD: standard deviation; TIA: transient ischemic attack; UI: urinary incontinence</w:t>
            </w:r>
          </w:p>
          <w:p w14:paraId="35E5B8F1" w14:textId="15DD0DEF" w:rsidR="00D12B99" w:rsidRPr="004C78D8" w:rsidRDefault="00D12B99" w:rsidP="00FB7C1F">
            <w:pPr>
              <w:rPr>
                <w:sz w:val="18"/>
                <w:szCs w:val="18"/>
              </w:rPr>
            </w:pPr>
            <w:r w:rsidRPr="004C78D8">
              <w:rPr>
                <w:sz w:val="18"/>
                <w:szCs w:val="18"/>
                <w:vertAlign w:val="superscript"/>
              </w:rPr>
              <w:t>1</w:t>
            </w:r>
            <w:r w:rsidRPr="004C78D8">
              <w:rPr>
                <w:sz w:val="18"/>
                <w:szCs w:val="18"/>
              </w:rPr>
              <w:t xml:space="preserve"> The frailty index was constructed using data from the randomized controlled trial ProAct65+ which compared group- and home-based falls prevention exercise to usual care in London, Nottingham and Derby </w:t>
            </w:r>
            <w:r w:rsidRPr="004C78D8">
              <w:rPr>
                <w:sz w:val="18"/>
                <w:szCs w:val="18"/>
              </w:rPr>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rPr>
                <w:sz w:val="18"/>
                <w:szCs w:val="18"/>
              </w:rPr>
              <w:instrText xml:space="preserve"> ADDIN EN.CITE </w:instrText>
            </w:r>
            <w:r w:rsidR="00513646" w:rsidRPr="004C78D8">
              <w:rPr>
                <w:sz w:val="18"/>
                <w:szCs w:val="18"/>
              </w:rPr>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rPr>
                <w:sz w:val="18"/>
                <w:szCs w:val="18"/>
              </w:rPr>
              <w:instrText xml:space="preserve"> ADDIN EN.CITE.DATA </w:instrText>
            </w:r>
            <w:r w:rsidR="00513646" w:rsidRPr="004C78D8">
              <w:rPr>
                <w:sz w:val="18"/>
                <w:szCs w:val="18"/>
              </w:rPr>
            </w:r>
            <w:r w:rsidR="00513646" w:rsidRPr="004C78D8">
              <w:rPr>
                <w:sz w:val="18"/>
                <w:szCs w:val="18"/>
              </w:rPr>
              <w:fldChar w:fldCharType="end"/>
            </w:r>
            <w:r w:rsidRPr="004C78D8">
              <w:rPr>
                <w:sz w:val="18"/>
                <w:szCs w:val="18"/>
              </w:rPr>
            </w:r>
            <w:r w:rsidRPr="004C78D8">
              <w:rPr>
                <w:sz w:val="18"/>
                <w:szCs w:val="18"/>
              </w:rPr>
              <w:fldChar w:fldCharType="separate"/>
            </w:r>
            <w:r w:rsidR="00513646" w:rsidRPr="004C78D8">
              <w:rPr>
                <w:noProof/>
                <w:sz w:val="18"/>
                <w:szCs w:val="18"/>
              </w:rPr>
              <w:t>[135]</w:t>
            </w:r>
            <w:r w:rsidRPr="004C78D8">
              <w:rPr>
                <w:sz w:val="18"/>
                <w:szCs w:val="18"/>
              </w:rPr>
              <w:fldChar w:fldCharType="end"/>
            </w:r>
            <w:r w:rsidRPr="004C78D8">
              <w:rPr>
                <w:sz w:val="18"/>
                <w:szCs w:val="18"/>
              </w:rPr>
              <w:t xml:space="preserve">.  </w:t>
            </w:r>
          </w:p>
          <w:p w14:paraId="4F18A927" w14:textId="62ACEBAC" w:rsidR="00733415" w:rsidRPr="004C78D8" w:rsidRDefault="00D12B99" w:rsidP="00FB7C1F">
            <w:pPr>
              <w:rPr>
                <w:sz w:val="18"/>
                <w:szCs w:val="18"/>
              </w:rPr>
            </w:pPr>
            <w:r w:rsidRPr="004C78D8">
              <w:rPr>
                <w:sz w:val="18"/>
                <w:szCs w:val="18"/>
                <w:vertAlign w:val="superscript"/>
              </w:rPr>
              <w:t>2</w:t>
            </w:r>
            <w:r w:rsidR="00733415" w:rsidRPr="004C78D8">
              <w:rPr>
                <w:sz w:val="18"/>
                <w:szCs w:val="18"/>
              </w:rPr>
              <w:t xml:space="preserve"> </w:t>
            </w:r>
            <w:r w:rsidR="007C208F" w:rsidRPr="004C78D8">
              <w:rPr>
                <w:sz w:val="18"/>
                <w:szCs w:val="18"/>
              </w:rPr>
              <w:t>The o</w:t>
            </w:r>
            <w:r w:rsidR="00733415" w:rsidRPr="004C78D8">
              <w:rPr>
                <w:sz w:val="18"/>
                <w:szCs w:val="18"/>
              </w:rPr>
              <w:t>riginal index contained 35 items including falls and fracture</w:t>
            </w:r>
            <w:r w:rsidR="007C208F" w:rsidRPr="004C78D8">
              <w:rPr>
                <w:sz w:val="18"/>
                <w:szCs w:val="18"/>
              </w:rPr>
              <w:t xml:space="preserve"> </w:t>
            </w:r>
            <w:r w:rsidR="007C208F" w:rsidRPr="004C78D8">
              <w:rPr>
                <w:sz w:val="18"/>
                <w:szCs w:val="18"/>
              </w:rPr>
              <w:fldChar w:fldCharType="begin"/>
            </w:r>
            <w:r w:rsidR="00C630FC" w:rsidRPr="004C78D8">
              <w:rPr>
                <w:sz w:val="18"/>
                <w:szCs w:val="18"/>
              </w:rPr>
              <w:instrText xml:space="preserve"> ADDIN EN.CITE &lt;EndNote&gt;&lt;Cite&gt;&lt;Author&gt;Shi&lt;/Author&gt;&lt;Year&gt;2011&lt;/Year&gt;&lt;RecNum&gt;123&lt;/RecNum&gt;&lt;DisplayText&gt;[391]&lt;/DisplayText&gt;&lt;record&gt;&lt;rec-number&gt;123&lt;/rec-number&gt;&lt;foreign-keys&gt;&lt;key app="EN" db-id="tdtrdw9aepptzbefsat599syza29sxsd2wsp" timestamp="1599075771"&gt;123&lt;/key&gt;&lt;/foreign-keys&gt;&lt;ref-type name="Journal Article"&gt;17&lt;/ref-type&gt;&lt;contributors&gt;&lt;authors&gt;&lt;author&gt;Shi, Jing&lt;/author&gt;&lt;author&gt;Song, Xiaowei&lt;/author&gt;&lt;author&gt;Yu, Pulin&lt;/author&gt;&lt;author&gt;Tang, Zhe&lt;/author&gt;&lt;author&gt;Mitnitski, Arnold&lt;/author&gt;&lt;author&gt;Fang, Xianghua&lt;/author&gt;&lt;author&gt;Rockwood, Kenneth&lt;/author&gt;&lt;/authors&gt;&lt;/contributors&gt;&lt;titles&gt;&lt;title&gt;Analysis of frailty and survival from late middle age in the Beijing Longitudinal Study of Aging&lt;/title&gt;&lt;secondary-title&gt;BMC geriatrics&lt;/secondary-title&gt;&lt;/titles&gt;&lt;periodical&gt;&lt;full-title&gt;BMC Geriatrics&lt;/full-title&gt;&lt;/periodical&gt;&lt;pages&gt;17&lt;/pages&gt;&lt;volume&gt;11&lt;/volume&gt;&lt;number&gt;1&lt;/number&gt;&lt;dates&gt;&lt;year&gt;2011&lt;/year&gt;&lt;/dates&gt;&lt;isbn&gt;1471-2318&lt;/isbn&gt;&lt;urls&gt;&lt;/urls&gt;&lt;/record&gt;&lt;/Cite&gt;&lt;/EndNote&gt;</w:instrText>
            </w:r>
            <w:r w:rsidR="007C208F" w:rsidRPr="004C78D8">
              <w:rPr>
                <w:sz w:val="18"/>
                <w:szCs w:val="18"/>
              </w:rPr>
              <w:fldChar w:fldCharType="separate"/>
            </w:r>
            <w:r w:rsidR="00C630FC" w:rsidRPr="004C78D8">
              <w:rPr>
                <w:noProof/>
                <w:sz w:val="18"/>
                <w:szCs w:val="18"/>
              </w:rPr>
              <w:t>[391]</w:t>
            </w:r>
            <w:r w:rsidR="007C208F" w:rsidRPr="004C78D8">
              <w:rPr>
                <w:sz w:val="18"/>
                <w:szCs w:val="18"/>
              </w:rPr>
              <w:fldChar w:fldCharType="end"/>
            </w:r>
            <w:r w:rsidR="007C208F" w:rsidRPr="004C78D8">
              <w:rPr>
                <w:sz w:val="18"/>
                <w:szCs w:val="18"/>
              </w:rPr>
              <w:t>; the latter</w:t>
            </w:r>
            <w:r w:rsidR="00733415" w:rsidRPr="004C78D8">
              <w:rPr>
                <w:sz w:val="18"/>
                <w:szCs w:val="18"/>
              </w:rPr>
              <w:t xml:space="preserve"> were taken out </w:t>
            </w:r>
            <w:r w:rsidR="007C208F" w:rsidRPr="004C78D8">
              <w:rPr>
                <w:sz w:val="18"/>
                <w:szCs w:val="18"/>
              </w:rPr>
              <w:t xml:space="preserve">from index and used as outcomes in subsequent study </w:t>
            </w:r>
            <w:r w:rsidR="007C208F" w:rsidRPr="004C78D8">
              <w:rPr>
                <w:sz w:val="18"/>
                <w:szCs w:val="18"/>
              </w:rPr>
              <w:fldChar w:fldCharType="begin"/>
            </w:r>
            <w:r w:rsidR="00513646" w:rsidRPr="004C78D8">
              <w:rPr>
                <w:sz w:val="18"/>
                <w:szCs w:val="18"/>
              </w:rPr>
              <w:instrText xml:space="preserve"> ADDIN EN.CITE &lt;EndNote&gt;&lt;Cite&gt;&lt;Author&gt;Fang&lt;/Author&gt;&lt;Year&gt;2012&lt;/Year&gt;&lt;RecNum&gt;124&lt;/RecNum&gt;&lt;DisplayText&gt;[52]&lt;/DisplayText&gt;&lt;record&gt;&lt;rec-number&gt;124&lt;/rec-number&gt;&lt;foreign-keys&gt;&lt;key app="EN" db-id="tdtrdw9aepptzbefsat599syza29sxsd2wsp" timestamp="1599075792"&gt;124&lt;/key&gt;&lt;/foreign-keys&gt;&lt;ref-type name="Journal Article"&gt;17&lt;/ref-type&gt;&lt;contributors&gt;&lt;authors&gt;&lt;author&gt;Fang, X&lt;/author&gt;&lt;author&gt;Shi, J&lt;/author&gt;&lt;author&gt;Song, X&lt;/author&gt;&lt;author&gt;Mitnitski, A&lt;/author&gt;&lt;author&gt;Tang, Z&lt;/author&gt;&lt;author&gt;Wang, C&lt;/author&gt;&lt;author&gt;Yu, Pulin&lt;/author&gt;&lt;author&gt;Rockwood, Kenneth&lt;/author&gt;&lt;/authors&gt;&lt;/contributors&gt;&lt;titles&gt;&lt;title&gt;Frailty in relation to the risk of falls, fractures, and mortality in older Chinese adults: Results from the Beijing longitudinal study of aging&lt;/title&gt;&lt;secondary-title&gt;The journal of nutrition, health &amp;amp; aging&lt;/secondary-title&gt;&lt;/titles&gt;&lt;periodical&gt;&lt;full-title&gt;The journal of nutrition, health &amp;amp; aging&lt;/full-title&gt;&lt;/periodical&gt;&lt;pages&gt;903-907&lt;/pages&gt;&lt;volume&gt;16&lt;/volume&gt;&lt;number&gt;10&lt;/number&gt;&lt;dates&gt;&lt;year&gt;2012&lt;/year&gt;&lt;/dates&gt;&lt;isbn&gt;1279-7707&lt;/isbn&gt;&lt;urls&gt;&lt;/urls&gt;&lt;/record&gt;&lt;/Cite&gt;&lt;/EndNote&gt;</w:instrText>
            </w:r>
            <w:r w:rsidR="007C208F" w:rsidRPr="004C78D8">
              <w:rPr>
                <w:sz w:val="18"/>
                <w:szCs w:val="18"/>
              </w:rPr>
              <w:fldChar w:fldCharType="separate"/>
            </w:r>
            <w:r w:rsidR="00513646" w:rsidRPr="004C78D8">
              <w:rPr>
                <w:noProof/>
                <w:sz w:val="18"/>
                <w:szCs w:val="18"/>
              </w:rPr>
              <w:t>[52]</w:t>
            </w:r>
            <w:r w:rsidR="007C208F" w:rsidRPr="004C78D8">
              <w:rPr>
                <w:sz w:val="18"/>
                <w:szCs w:val="18"/>
              </w:rPr>
              <w:fldChar w:fldCharType="end"/>
            </w:r>
            <w:r w:rsidR="00733415" w:rsidRPr="004C78D8">
              <w:rPr>
                <w:sz w:val="18"/>
                <w:szCs w:val="18"/>
              </w:rPr>
              <w:t>.</w:t>
            </w:r>
          </w:p>
          <w:p w14:paraId="46393301" w14:textId="54A8F06F" w:rsidR="000063BD" w:rsidRPr="004C78D8" w:rsidRDefault="00D12B99" w:rsidP="00FB7C1F">
            <w:pPr>
              <w:rPr>
                <w:sz w:val="18"/>
                <w:szCs w:val="18"/>
              </w:rPr>
            </w:pPr>
            <w:r w:rsidRPr="004C78D8">
              <w:rPr>
                <w:sz w:val="18"/>
                <w:szCs w:val="18"/>
                <w:vertAlign w:val="superscript"/>
              </w:rPr>
              <w:t>3</w:t>
            </w:r>
            <w:r w:rsidR="00733415" w:rsidRPr="004C78D8">
              <w:rPr>
                <w:sz w:val="18"/>
                <w:szCs w:val="18"/>
              </w:rPr>
              <w:t xml:space="preserve"> Components of the frailty phenotypes proposed by Fried and colleagues</w:t>
            </w:r>
            <w:r w:rsidR="007C208F" w:rsidRPr="004C78D8">
              <w:rPr>
                <w:sz w:val="18"/>
                <w:szCs w:val="18"/>
              </w:rPr>
              <w:t xml:space="preserve"> </w:t>
            </w:r>
            <w:r w:rsidR="007C208F" w:rsidRPr="004C78D8">
              <w:rPr>
                <w:sz w:val="18"/>
                <w:szCs w:val="18"/>
              </w:rPr>
              <w:fldChar w:fldCharType="begin"/>
            </w:r>
            <w:r w:rsidR="00C630FC" w:rsidRPr="004C78D8">
              <w:rPr>
                <w:sz w:val="18"/>
                <w:szCs w:val="18"/>
              </w:rPr>
              <w:instrText xml:space="preserve"> ADDIN EN.CITE &lt;EndNote&gt;&lt;Cite&gt;&lt;Author&gt;Fried&lt;/Author&gt;&lt;Year&gt;2001&lt;/Year&gt;&lt;RecNum&gt;493&lt;/RecNum&gt;&lt;DisplayText&gt;[275]&lt;/DisplayText&gt;&lt;record&gt;&lt;rec-number&gt;493&lt;/rec-number&gt;&lt;foreign-keys&gt;&lt;key app="EN" db-id="tdtrdw9aepptzbefsat599syza29sxsd2wsp" timestamp="1617193159"&gt;493&lt;/key&gt;&lt;/foreign-keys&gt;&lt;ref-type name="Journal Article"&gt;17&lt;/ref-type&gt;&lt;contributors&gt;&lt;authors&gt;&lt;author&gt;Fried, L. P.&lt;/author&gt;&lt;author&gt;Tangen, C. M.&lt;/author&gt;&lt;author&gt;Walston, J.&lt;/author&gt;&lt;author&gt;Newman, A. B.&lt;/author&gt;&lt;author&gt;Hirsch, C.&lt;/author&gt;&lt;author&gt;Gottdiener, J.&lt;/author&gt;&lt;author&gt;Seeman, T.&lt;/author&gt;&lt;author&gt;Tracy, R.&lt;/author&gt;&lt;author&gt;Kop, W. J.&lt;/author&gt;&lt;author&gt;Burke, G.&lt;/author&gt;&lt;author&gt;McBurnie, M. A.&lt;/author&gt;&lt;author&gt;Cardiovascular Health Study Collaborative Research, Group&lt;/author&gt;&lt;/authors&gt;&lt;/contributors&gt;&lt;auth-address&gt;Center on Aging and Health, The John Hopkins Medical Institutions, Baltimore, Maryland 21205, USA. lfried@welch.jhu.edu&lt;/auth-address&gt;&lt;titles&gt;&lt;title&gt;Frailty in older adults: evidence for a phenotype&lt;/title&gt;&lt;secondary-title&gt;J Gerontol A Biol Sci Med Sci&lt;/secondary-title&gt;&lt;/titles&gt;&lt;periodical&gt;&lt;full-title&gt;J Gerontol A Biol Sci Med Sci&lt;/full-title&gt;&lt;/periodical&gt;&lt;pages&gt;M146-56&lt;/pages&gt;&lt;volume&gt;56&lt;/volume&gt;&lt;number&gt;3&lt;/number&gt;&lt;keywords&gt;&lt;keyword&gt;Aged&lt;/keyword&gt;&lt;keyword&gt;Aged, 80 and over&lt;/keyword&gt;&lt;keyword&gt;Cohort Studies&lt;/keyword&gt;&lt;keyword&gt;Disabled Persons&lt;/keyword&gt;&lt;keyword&gt;Fatigue/epidemiology&lt;/keyword&gt;&lt;keyword&gt;Female&lt;/keyword&gt;&lt;keyword&gt;*Frail Elderly&lt;/keyword&gt;&lt;keyword&gt;Humans&lt;/keyword&gt;&lt;keyword&gt;Incidence&lt;/keyword&gt;&lt;keyword&gt;Male&lt;/keyword&gt;&lt;keyword&gt;Muscle Weakness/epidemiology&lt;/keyword&gt;&lt;keyword&gt;Phenotype&lt;/keyword&gt;&lt;keyword&gt;Prevalence&lt;/keyword&gt;&lt;keyword&gt;Sex Distribution&lt;/keyword&gt;&lt;keyword&gt;United States&lt;/keyword&gt;&lt;keyword&gt;Weight Loss&lt;/keyword&gt;&lt;/keywords&gt;&lt;dates&gt;&lt;year&gt;2001&lt;/year&gt;&lt;pub-dates&gt;&lt;date&gt;Mar&lt;/date&gt;&lt;/pub-dates&gt;&lt;/dates&gt;&lt;isbn&gt;1079-5006 (Print)&amp;#xD;1079-5006 (Linking)&lt;/isbn&gt;&lt;accession-num&gt;11253156&lt;/accession-num&gt;&lt;urls&gt;&lt;related-urls&gt;&lt;url&gt;https://www.ncbi.nlm.nih.gov/pubmed/11253156&lt;/url&gt;&lt;/related-urls&gt;&lt;/urls&gt;&lt;/record&gt;&lt;/Cite&gt;&lt;/EndNote&gt;</w:instrText>
            </w:r>
            <w:r w:rsidR="007C208F" w:rsidRPr="004C78D8">
              <w:rPr>
                <w:sz w:val="18"/>
                <w:szCs w:val="18"/>
              </w:rPr>
              <w:fldChar w:fldCharType="separate"/>
            </w:r>
            <w:r w:rsidR="00C630FC" w:rsidRPr="004C78D8">
              <w:rPr>
                <w:noProof/>
                <w:sz w:val="18"/>
                <w:szCs w:val="18"/>
              </w:rPr>
              <w:t>[275]</w:t>
            </w:r>
            <w:r w:rsidR="007C208F" w:rsidRPr="004C78D8">
              <w:rPr>
                <w:sz w:val="18"/>
                <w:szCs w:val="18"/>
              </w:rPr>
              <w:fldChar w:fldCharType="end"/>
            </w:r>
            <w:r w:rsidR="00733415" w:rsidRPr="004C78D8">
              <w:rPr>
                <w:sz w:val="18"/>
                <w:szCs w:val="18"/>
              </w:rPr>
              <w:t>.</w:t>
            </w:r>
          </w:p>
          <w:p w14:paraId="1EB5CA45" w14:textId="7B54A57D" w:rsidR="00733415" w:rsidRPr="004C78D8" w:rsidRDefault="00D12B99" w:rsidP="00FB7C1F">
            <w:pPr>
              <w:rPr>
                <w:sz w:val="18"/>
                <w:szCs w:val="18"/>
              </w:rPr>
            </w:pPr>
            <w:r w:rsidRPr="004C78D8">
              <w:rPr>
                <w:sz w:val="18"/>
                <w:szCs w:val="18"/>
                <w:vertAlign w:val="superscript"/>
              </w:rPr>
              <w:t>4</w:t>
            </w:r>
            <w:r w:rsidR="000063BD" w:rsidRPr="004C78D8">
              <w:rPr>
                <w:sz w:val="18"/>
                <w:szCs w:val="18"/>
              </w:rPr>
              <w:t xml:space="preserve"> These variables had more than 5% missing values which were imputed by single imputation.</w:t>
            </w:r>
            <w:r w:rsidR="00733415" w:rsidRPr="004C78D8">
              <w:rPr>
                <w:sz w:val="18"/>
                <w:szCs w:val="18"/>
              </w:rPr>
              <w:t xml:space="preserve"> </w:t>
            </w:r>
          </w:p>
        </w:tc>
      </w:tr>
    </w:tbl>
    <w:p w14:paraId="41F1D993" w14:textId="77777777" w:rsidR="00733415" w:rsidRPr="004C78D8" w:rsidRDefault="00733415" w:rsidP="00FB7C1F">
      <w:pPr>
        <w:sectPr w:rsidR="00733415" w:rsidRPr="004C78D8" w:rsidSect="00733415">
          <w:pgSz w:w="16838" w:h="11906" w:orient="landscape"/>
          <w:pgMar w:top="1440" w:right="1440" w:bottom="1440" w:left="1440" w:header="708" w:footer="708" w:gutter="0"/>
          <w:cols w:space="708"/>
          <w:docGrid w:linePitch="360"/>
        </w:sectPr>
      </w:pPr>
    </w:p>
    <w:p w14:paraId="2085531D" w14:textId="06534B6E" w:rsidR="003903BC" w:rsidRPr="004C78D8" w:rsidRDefault="0058063E" w:rsidP="00FB7C1F">
      <w:pPr>
        <w:pStyle w:val="Heading4"/>
      </w:pPr>
      <w:r w:rsidRPr="004C78D8">
        <w:t>5</w:t>
      </w:r>
      <w:r w:rsidR="003903BC" w:rsidRPr="004C78D8">
        <w:t>.</w:t>
      </w:r>
      <w:r w:rsidR="00127AB4" w:rsidRPr="004C78D8">
        <w:t>2</w:t>
      </w:r>
      <w:r w:rsidR="003903BC" w:rsidRPr="004C78D8">
        <w:t xml:space="preserve">.2.5 </w:t>
      </w:r>
      <w:r w:rsidR="009D5FA1" w:rsidRPr="004C78D8">
        <w:t>Covariates estimated</w:t>
      </w:r>
      <w:r w:rsidR="00A254CD" w:rsidRPr="004C78D8">
        <w:t xml:space="preserve"> at baseline</w:t>
      </w:r>
    </w:p>
    <w:p w14:paraId="11AFC6F3" w14:textId="27F0A971" w:rsidR="00671480" w:rsidRPr="004C78D8" w:rsidRDefault="00FF3CB9" w:rsidP="00FB7C1F">
      <w:r w:rsidRPr="004C78D8">
        <w:t>Where data was available from ELSA, key causal variables</w:t>
      </w:r>
      <w:r w:rsidR="00F37FF5" w:rsidRPr="004C78D8">
        <w:t xml:space="preserve"> identified </w:t>
      </w:r>
      <w:r w:rsidR="0051172E" w:rsidRPr="004C78D8">
        <w:t>by the conceptual model</w:t>
      </w:r>
      <w:r w:rsidR="00F37FF5" w:rsidRPr="004C78D8">
        <w:t xml:space="preserve"> </w:t>
      </w:r>
      <w:r w:rsidRPr="004C78D8">
        <w:t xml:space="preserve">(Section 3.6) </w:t>
      </w:r>
      <w:r w:rsidR="00F37FF5" w:rsidRPr="004C78D8">
        <w:t xml:space="preserve">were </w:t>
      </w:r>
      <w:r w:rsidR="00225738" w:rsidRPr="004C78D8">
        <w:t xml:space="preserve">estimated </w:t>
      </w:r>
      <w:r w:rsidRPr="004C78D8">
        <w:t xml:space="preserve">and assigned to individuals </w:t>
      </w:r>
      <w:r w:rsidR="0051172E" w:rsidRPr="004C78D8">
        <w:t xml:space="preserve">at </w:t>
      </w:r>
      <w:r w:rsidRPr="004C78D8">
        <w:t>model entry</w:t>
      </w:r>
      <w:r w:rsidR="00F37FF5" w:rsidRPr="004C78D8">
        <w:t xml:space="preserve">. </w:t>
      </w:r>
      <w:r w:rsidRPr="004C78D8">
        <w:t>The following variables were estimated</w:t>
      </w:r>
      <w:r w:rsidR="00510E51" w:rsidRPr="004C78D8">
        <w:t xml:space="preserve">: (a) high physical activity; (b) </w:t>
      </w:r>
      <w:r w:rsidR="00C220AE" w:rsidRPr="004C78D8">
        <w:t xml:space="preserve">cognitive impairment; (c) </w:t>
      </w:r>
      <w:r w:rsidR="00510E51" w:rsidRPr="004C78D8">
        <w:t xml:space="preserve">fear of falling; </w:t>
      </w:r>
      <w:r w:rsidR="00C220AE" w:rsidRPr="004C78D8">
        <w:t xml:space="preserve">and </w:t>
      </w:r>
      <w:r w:rsidR="00510E51" w:rsidRPr="004C78D8">
        <w:t>(</w:t>
      </w:r>
      <w:r w:rsidR="00C220AE" w:rsidRPr="004C78D8">
        <w:t>d</w:t>
      </w:r>
      <w:r w:rsidR="00510E51" w:rsidRPr="004C78D8">
        <w:t>) abnormal gait</w:t>
      </w:r>
      <w:r w:rsidR="00440530" w:rsidRPr="004C78D8">
        <w:t>/</w:t>
      </w:r>
      <w:r w:rsidR="00D70617" w:rsidRPr="004C78D8">
        <w:t>balan</w:t>
      </w:r>
      <w:r w:rsidR="00510E51" w:rsidRPr="004C78D8">
        <w:t xml:space="preserve">ce. </w:t>
      </w:r>
      <w:r w:rsidR="00671480" w:rsidRPr="004C78D8">
        <w:t xml:space="preserve">Cross-sectional analyses were conducted using combined information from both Wave 4 and 5 cohorts (n=13,422) rather than Wave 4 alone (n=7,255) to improve the statistical power. Estimations were conducted sequentially </w:t>
      </w:r>
      <w:r w:rsidR="00ED4C4E" w:rsidRPr="004C78D8">
        <w:t>in</w:t>
      </w:r>
      <w:r w:rsidR="00671480" w:rsidRPr="004C78D8">
        <w:t xml:space="preserve"> the order of </w:t>
      </w:r>
      <w:r w:rsidR="00EB2166" w:rsidRPr="004C78D8">
        <w:t xml:space="preserve">the </w:t>
      </w:r>
      <w:r w:rsidR="00671480" w:rsidRPr="004C78D8">
        <w:t>variables given above</w:t>
      </w:r>
      <w:r w:rsidR="00ED4C4E" w:rsidRPr="004C78D8">
        <w:t>,</w:t>
      </w:r>
      <w:r w:rsidR="00671480" w:rsidRPr="004C78D8">
        <w:t xml:space="preserve"> with the preceding variable(s) serving as a</w:t>
      </w:r>
      <w:r w:rsidR="00ED4C4E" w:rsidRPr="004C78D8">
        <w:t>n</w:t>
      </w:r>
      <w:r w:rsidR="00671480" w:rsidRPr="004C78D8">
        <w:t xml:space="preserve"> explanatory variable (depending on model fit) for the next variable estimation. </w:t>
      </w:r>
      <w:r w:rsidR="0058063E" w:rsidRPr="004C78D8">
        <w:t>It should be noted that the estimations were conducted for associative patterns rather than causal inference.</w:t>
      </w:r>
    </w:p>
    <w:p w14:paraId="05EDAB08" w14:textId="14FB53A6" w:rsidR="002064F3" w:rsidRPr="004C78D8" w:rsidRDefault="00671480" w:rsidP="00FB7C1F">
      <w:r w:rsidRPr="004C78D8">
        <w:t xml:space="preserve">For each dependent variable, the statistical model that produced the lowest Akaike and/or Bayesian information criterion (AIC and BIC) values was chosen as the best-fit model. </w:t>
      </w:r>
      <w:r w:rsidR="008840CF" w:rsidRPr="004C78D8">
        <w:t xml:space="preserve">Table E8 in Appendix E shows all model-fit comparisons for cross-sectional analyses. </w:t>
      </w:r>
      <w:r w:rsidRPr="004C78D8">
        <w:t>The coefficient point estimates from the best-fit models were inputted to the simulation model to generate probability for the individual having the characteristic in question. Since a</w:t>
      </w:r>
      <w:r w:rsidR="00510E51" w:rsidRPr="004C78D8">
        <w:t xml:space="preserve">ll four variables were binary indicators, </w:t>
      </w:r>
      <w:r w:rsidR="008D7EBC" w:rsidRPr="004C78D8">
        <w:t>e</w:t>
      </w:r>
      <w:r w:rsidR="002064F3" w:rsidRPr="004C78D8">
        <w:t xml:space="preserve">quation (1) was used to estimate the </w:t>
      </w:r>
      <w:r w:rsidRPr="004C78D8">
        <w:t xml:space="preserve">individual-specific </w:t>
      </w:r>
      <w:r w:rsidR="002064F3" w:rsidRPr="004C78D8">
        <w:t>probability:</w:t>
      </w:r>
    </w:p>
    <w:p w14:paraId="09C70576" w14:textId="7C7D2C83" w:rsidR="002064F3" w:rsidRPr="004C78D8" w:rsidRDefault="00000000" w:rsidP="00FB7C1F">
      <w:pPr>
        <w:jc w:val="center"/>
      </w:pPr>
      <m:oMathPara>
        <m:oMath>
          <m:acc>
            <m:accPr>
              <m:ctrlPr>
                <w:rPr>
                  <w:rFonts w:ascii="Cambria Math" w:hAnsi="Cambria Math"/>
                  <w:i/>
                </w:rPr>
              </m:ctrlPr>
            </m:accPr>
            <m:e>
              <m:r>
                <w:rPr>
                  <w:rFonts w:ascii="Cambria Math" w:hAnsi="Cambria Math"/>
                </w:rPr>
                <m:t>P</m:t>
              </m:r>
              <m:d>
                <m:dPr>
                  <m:ctrlPr>
                    <w:rPr>
                      <w:rFonts w:ascii="Cambria Math" w:hAnsi="Cambria Math"/>
                      <w:i/>
                    </w:rPr>
                  </m:ctrlPr>
                </m:dPr>
                <m:e>
                  <m:r>
                    <w:rPr>
                      <w:rFonts w:ascii="Cambria Math" w:hAnsi="Cambria Math"/>
                    </w:rPr>
                    <m:t>Event</m:t>
                  </m:r>
                </m:e>
                <m:e>
                  <m:r>
                    <w:rPr>
                      <w:rFonts w:ascii="Cambria Math" w:hAnsi="Cambria Math"/>
                    </w:rPr>
                    <m:t>X</m:t>
                  </m:r>
                </m:e>
              </m:d>
            </m:e>
          </m:acc>
          <m:r>
            <w:rPr>
              <w:rFonts w:ascii="Cambria Math" w:hAnsi="Cambria Math"/>
            </w:rPr>
            <m:t>=</m:t>
          </m:r>
          <m:f>
            <m:fPr>
              <m:ctrlPr>
                <w:rPr>
                  <w:rFonts w:ascii="Cambria Math" w:hAnsi="Cambria Math"/>
                  <w:i/>
                </w:rPr>
              </m:ctrlPr>
            </m:fPr>
            <m:num>
              <m:r>
                <w:rPr>
                  <w:rFonts w:ascii="Cambria Math" w:hAnsi="Cambria Math"/>
                </w:rPr>
                <m:t>EXP(</m:t>
              </m:r>
              <m:acc>
                <m:accPr>
                  <m:ctrlPr>
                    <w:rPr>
                      <w:rFonts w:ascii="Cambria Math" w:hAnsi="Cambria Math"/>
                      <w:i/>
                    </w:rPr>
                  </m:ctrlPr>
                </m:accPr>
                <m:e>
                  <m:sSub>
                    <m:sSubPr>
                      <m:ctrlPr>
                        <w:rPr>
                          <w:rFonts w:ascii="Cambria Math" w:hAnsi="Cambria Math"/>
                          <w:i/>
                        </w:rPr>
                      </m:ctrlPr>
                    </m:sSubPr>
                    <m:e>
                      <m:r>
                        <w:rPr>
                          <w:rFonts w:ascii="Cambria Math" w:hAnsi="Cambria Math"/>
                        </w:rPr>
                        <m:t>β</m:t>
                      </m:r>
                    </m:e>
                    <m:sub>
                      <m:r>
                        <w:rPr>
                          <w:rFonts w:ascii="Cambria Math" w:hAnsi="Cambria Math"/>
                        </w:rPr>
                        <m:t>0</m:t>
                      </m:r>
                    </m:sub>
                  </m:sSub>
                </m:e>
              </m:acc>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β</m:t>
                      </m:r>
                    </m:e>
                    <m:sub>
                      <m:r>
                        <w:rPr>
                          <w:rFonts w:ascii="Cambria Math" w:hAnsi="Cambria Math"/>
                        </w:rPr>
                        <m:t>1</m:t>
                      </m:r>
                    </m:sub>
                  </m:sSub>
                </m:e>
              </m:acc>
              <m:sSub>
                <m:sSubPr>
                  <m:ctrlPr>
                    <w:rPr>
                      <w:rFonts w:ascii="Cambria Math" w:hAnsi="Cambria Math"/>
                      <w:i/>
                    </w:rPr>
                  </m:ctrlPr>
                </m:sSubPr>
                <m:e>
                  <m:r>
                    <w:rPr>
                      <w:rFonts w:ascii="Cambria Math" w:hAnsi="Cambria Math"/>
                    </w:rPr>
                    <m:t>X</m:t>
                  </m:r>
                </m:e>
                <m:sub>
                  <m:r>
                    <w:rPr>
                      <w:rFonts w:ascii="Cambria Math" w:hAnsi="Cambria Math"/>
                    </w:rPr>
                    <m:t>i1</m:t>
                  </m:r>
                </m:sub>
              </m:sSub>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β</m:t>
                      </m:r>
                    </m:e>
                    <m:sub>
                      <m:r>
                        <w:rPr>
                          <w:rFonts w:ascii="Cambria Math" w:hAnsi="Cambria Math"/>
                        </w:rPr>
                        <m:t>k</m:t>
                      </m:r>
                    </m:sub>
                  </m:sSub>
                </m:e>
              </m:acc>
              <m:sSub>
                <m:sSubPr>
                  <m:ctrlPr>
                    <w:rPr>
                      <w:rFonts w:ascii="Cambria Math" w:hAnsi="Cambria Math"/>
                      <w:i/>
                    </w:rPr>
                  </m:ctrlPr>
                </m:sSubPr>
                <m:e>
                  <m:r>
                    <w:rPr>
                      <w:rFonts w:ascii="Cambria Math" w:hAnsi="Cambria Math"/>
                    </w:rPr>
                    <m:t>X</m:t>
                  </m:r>
                </m:e>
                <m:sub>
                  <m:r>
                    <w:rPr>
                      <w:rFonts w:ascii="Cambria Math" w:hAnsi="Cambria Math"/>
                    </w:rPr>
                    <m:t>ik</m:t>
                  </m:r>
                </m:sub>
              </m:sSub>
              <m:r>
                <w:rPr>
                  <w:rFonts w:ascii="Cambria Math" w:hAnsi="Cambria Math"/>
                </w:rPr>
                <m:t>)</m:t>
              </m:r>
            </m:num>
            <m:den>
              <m:r>
                <w:rPr>
                  <w:rFonts w:ascii="Cambria Math" w:hAnsi="Cambria Math"/>
                </w:rPr>
                <m:t>1+EXP(</m:t>
              </m:r>
              <m:acc>
                <m:accPr>
                  <m:ctrlPr>
                    <w:rPr>
                      <w:rFonts w:ascii="Cambria Math" w:hAnsi="Cambria Math"/>
                      <w:i/>
                    </w:rPr>
                  </m:ctrlPr>
                </m:accPr>
                <m:e>
                  <m:sSub>
                    <m:sSubPr>
                      <m:ctrlPr>
                        <w:rPr>
                          <w:rFonts w:ascii="Cambria Math" w:hAnsi="Cambria Math"/>
                          <w:i/>
                        </w:rPr>
                      </m:ctrlPr>
                    </m:sSubPr>
                    <m:e>
                      <m:r>
                        <w:rPr>
                          <w:rFonts w:ascii="Cambria Math" w:hAnsi="Cambria Math"/>
                        </w:rPr>
                        <m:t>β</m:t>
                      </m:r>
                    </m:e>
                    <m:sub>
                      <m:r>
                        <w:rPr>
                          <w:rFonts w:ascii="Cambria Math" w:hAnsi="Cambria Math"/>
                        </w:rPr>
                        <m:t>0</m:t>
                      </m:r>
                    </m:sub>
                  </m:sSub>
                </m:e>
              </m:acc>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β</m:t>
                      </m:r>
                    </m:e>
                    <m:sub>
                      <m:r>
                        <w:rPr>
                          <w:rFonts w:ascii="Cambria Math" w:hAnsi="Cambria Math"/>
                        </w:rPr>
                        <m:t>1</m:t>
                      </m:r>
                    </m:sub>
                  </m:sSub>
                </m:e>
              </m:acc>
              <m:sSub>
                <m:sSubPr>
                  <m:ctrlPr>
                    <w:rPr>
                      <w:rFonts w:ascii="Cambria Math" w:hAnsi="Cambria Math"/>
                      <w:i/>
                    </w:rPr>
                  </m:ctrlPr>
                </m:sSubPr>
                <m:e>
                  <m:r>
                    <w:rPr>
                      <w:rFonts w:ascii="Cambria Math" w:hAnsi="Cambria Math"/>
                    </w:rPr>
                    <m:t>X</m:t>
                  </m:r>
                </m:e>
                <m:sub>
                  <m:r>
                    <w:rPr>
                      <w:rFonts w:ascii="Cambria Math" w:hAnsi="Cambria Math"/>
                    </w:rPr>
                    <m:t>i1</m:t>
                  </m:r>
                </m:sub>
              </m:sSub>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β</m:t>
                      </m:r>
                    </m:e>
                    <m:sub>
                      <m:r>
                        <w:rPr>
                          <w:rFonts w:ascii="Cambria Math" w:hAnsi="Cambria Math"/>
                        </w:rPr>
                        <m:t>k</m:t>
                      </m:r>
                    </m:sub>
                  </m:sSub>
                </m:e>
              </m:acc>
              <m:sSub>
                <m:sSubPr>
                  <m:ctrlPr>
                    <w:rPr>
                      <w:rFonts w:ascii="Cambria Math" w:hAnsi="Cambria Math"/>
                      <w:i/>
                    </w:rPr>
                  </m:ctrlPr>
                </m:sSubPr>
                <m:e>
                  <m:r>
                    <w:rPr>
                      <w:rFonts w:ascii="Cambria Math" w:hAnsi="Cambria Math"/>
                    </w:rPr>
                    <m:t>X</m:t>
                  </m:r>
                </m:e>
                <m:sub>
                  <m:r>
                    <w:rPr>
                      <w:rFonts w:ascii="Cambria Math" w:hAnsi="Cambria Math"/>
                    </w:rPr>
                    <m:t>ik</m:t>
                  </m:r>
                </m:sub>
              </m:sSub>
              <m:r>
                <w:rPr>
                  <w:rFonts w:ascii="Cambria Math" w:hAnsi="Cambria Math"/>
                </w:rPr>
                <m:t>)</m:t>
              </m:r>
            </m:den>
          </m:f>
          <m:r>
            <w:rPr>
              <w:rFonts w:ascii="Cambria Math" w:hAnsi="Cambria Math"/>
            </w:rPr>
            <m:t xml:space="preserve">           (1)</m:t>
          </m:r>
        </m:oMath>
      </m:oMathPara>
    </w:p>
    <w:p w14:paraId="72E33A8C" w14:textId="44816838" w:rsidR="00510E51" w:rsidRPr="004C78D8" w:rsidRDefault="002064F3" w:rsidP="00FB7C1F">
      <m:oMath>
        <m:r>
          <w:rPr>
            <w:rFonts w:ascii="Cambria Math" w:hAnsi="Cambria Math"/>
          </w:rPr>
          <m:t>X</m:t>
        </m:r>
      </m:oMath>
      <w:r w:rsidRPr="004C78D8">
        <w:t xml:space="preserve"> describes the set of </w:t>
      </w:r>
      <w:r w:rsidRPr="004C78D8">
        <w:rPr>
          <w:i/>
          <w:iCs/>
        </w:rPr>
        <w:t xml:space="preserve">k </w:t>
      </w:r>
      <w:r w:rsidRPr="004C78D8">
        <w:t xml:space="preserve">explanatory variables for the event in question and </w:t>
      </w:r>
      <m:oMath>
        <m:sSub>
          <m:sSubPr>
            <m:ctrlPr>
              <w:rPr>
                <w:rFonts w:ascii="Cambria Math" w:hAnsi="Cambria Math"/>
                <w:i/>
              </w:rPr>
            </m:ctrlPr>
          </m:sSubPr>
          <m:e>
            <m:r>
              <w:rPr>
                <w:rFonts w:ascii="Cambria Math" w:hAnsi="Cambria Math"/>
              </w:rPr>
              <m:t>x</m:t>
            </m:r>
          </m:e>
          <m:sub>
            <m:r>
              <w:rPr>
                <w:rFonts w:ascii="Cambria Math" w:hAnsi="Cambria Math"/>
              </w:rPr>
              <m:t>ij</m:t>
            </m:r>
          </m:sub>
        </m:sSub>
      </m:oMath>
      <w:r w:rsidRPr="004C78D8">
        <w:t xml:space="preserve"> </w:t>
      </w:r>
      <w:r w:rsidR="00BF6DDC" w:rsidRPr="004C78D8">
        <w:t xml:space="preserve">describes </w:t>
      </w:r>
      <w:r w:rsidRPr="004C78D8">
        <w:t xml:space="preserve">the value the explanatory variable </w:t>
      </w:r>
      <w:r w:rsidRPr="004C78D8">
        <w:rPr>
          <w:i/>
          <w:iCs/>
        </w:rPr>
        <w:t xml:space="preserve">j </w:t>
      </w:r>
      <w:r w:rsidRPr="004C78D8">
        <w:t xml:space="preserve">within the set takes for individual </w:t>
      </w:r>
      <w:r w:rsidRPr="004C78D8">
        <w:rPr>
          <w:i/>
          <w:iCs/>
        </w:rPr>
        <w:t>i</w:t>
      </w:r>
      <w:r w:rsidRPr="004C78D8">
        <w:t xml:space="preserve">. </w:t>
      </w:r>
      <m:oMath>
        <m:acc>
          <m:accPr>
            <m:ctrlPr>
              <w:rPr>
                <w:rFonts w:ascii="Cambria Math" w:hAnsi="Cambria Math"/>
                <w:i/>
              </w:rPr>
            </m:ctrlPr>
          </m:accPr>
          <m:e>
            <m:sSub>
              <m:sSubPr>
                <m:ctrlPr>
                  <w:rPr>
                    <w:rFonts w:ascii="Cambria Math" w:hAnsi="Cambria Math"/>
                    <w:i/>
                  </w:rPr>
                </m:ctrlPr>
              </m:sSubPr>
              <m:e>
                <m:r>
                  <w:rPr>
                    <w:rFonts w:ascii="Cambria Math" w:hAnsi="Cambria Math"/>
                  </w:rPr>
                  <m:t>β</m:t>
                </m:r>
              </m:e>
              <m:sub>
                <m:r>
                  <w:rPr>
                    <w:rFonts w:ascii="Cambria Math" w:hAnsi="Cambria Math"/>
                  </w:rPr>
                  <m:t>1</m:t>
                </m:r>
              </m:sub>
            </m:sSub>
          </m:e>
        </m:acc>
      </m:oMath>
      <w:r w:rsidRPr="004C78D8">
        <w:t xml:space="preserve"> to </w:t>
      </w:r>
      <m:oMath>
        <m:acc>
          <m:accPr>
            <m:ctrlPr>
              <w:rPr>
                <w:rFonts w:ascii="Cambria Math" w:hAnsi="Cambria Math"/>
                <w:i/>
              </w:rPr>
            </m:ctrlPr>
          </m:accPr>
          <m:e>
            <m:sSub>
              <m:sSubPr>
                <m:ctrlPr>
                  <w:rPr>
                    <w:rFonts w:ascii="Cambria Math" w:hAnsi="Cambria Math"/>
                    <w:i/>
                  </w:rPr>
                </m:ctrlPr>
              </m:sSubPr>
              <m:e>
                <m:r>
                  <w:rPr>
                    <w:rFonts w:ascii="Cambria Math" w:hAnsi="Cambria Math"/>
                  </w:rPr>
                  <m:t>β</m:t>
                </m:r>
              </m:e>
              <m:sub>
                <m:r>
                  <w:rPr>
                    <w:rFonts w:ascii="Cambria Math" w:hAnsi="Cambria Math"/>
                  </w:rPr>
                  <m:t>k</m:t>
                </m:r>
              </m:sub>
            </m:sSub>
          </m:e>
        </m:acc>
      </m:oMath>
      <w:r w:rsidRPr="004C78D8">
        <w:t xml:space="preserve"> are the estimated logistic regression coefficients for the explanatory variables, and </w:t>
      </w:r>
      <m:oMath>
        <m:acc>
          <m:accPr>
            <m:ctrlPr>
              <w:rPr>
                <w:rFonts w:ascii="Cambria Math" w:hAnsi="Cambria Math"/>
                <w:i/>
              </w:rPr>
            </m:ctrlPr>
          </m:accPr>
          <m:e>
            <m:sSub>
              <m:sSubPr>
                <m:ctrlPr>
                  <w:rPr>
                    <w:rFonts w:ascii="Cambria Math" w:hAnsi="Cambria Math"/>
                    <w:i/>
                  </w:rPr>
                </m:ctrlPr>
              </m:sSubPr>
              <m:e>
                <m:r>
                  <w:rPr>
                    <w:rFonts w:ascii="Cambria Math" w:hAnsi="Cambria Math"/>
                  </w:rPr>
                  <m:t>β</m:t>
                </m:r>
              </m:e>
              <m:sub>
                <m:r>
                  <w:rPr>
                    <w:rFonts w:ascii="Cambria Math" w:hAnsi="Cambria Math"/>
                  </w:rPr>
                  <m:t>0</m:t>
                </m:r>
              </m:sub>
            </m:sSub>
          </m:e>
        </m:acc>
      </m:oMath>
      <w:r w:rsidRPr="004C78D8">
        <w:t xml:space="preserve"> is the estimated constant term. </w:t>
      </w:r>
      <w:r w:rsidR="00671480" w:rsidRPr="004C78D8">
        <w:t xml:space="preserve">Having generated the probability, a random number was generated for each individual to determine whether he/she has the characteristic in question. The variance-covariance matrix generated by the best-fit model estimation was stored and later used </w:t>
      </w:r>
      <w:r w:rsidR="00BF6DDC" w:rsidRPr="004C78D8">
        <w:t xml:space="preserve">in probabilistic sensitivity analysis (Section </w:t>
      </w:r>
      <w:r w:rsidR="0058063E" w:rsidRPr="004C78D8">
        <w:t>5</w:t>
      </w:r>
      <w:r w:rsidR="00BF6DDC" w:rsidRPr="004C78D8">
        <w:t>.</w:t>
      </w:r>
      <w:r w:rsidR="00E51090" w:rsidRPr="004C78D8">
        <w:t>4</w:t>
      </w:r>
      <w:r w:rsidR="00776136" w:rsidRPr="004C78D8">
        <w:t>.</w:t>
      </w:r>
      <w:r w:rsidR="00E51090" w:rsidRPr="004C78D8">
        <w:t>1.</w:t>
      </w:r>
      <w:r w:rsidR="00776136" w:rsidRPr="004C78D8">
        <w:t>3</w:t>
      </w:r>
      <w:r w:rsidR="00BF6DDC" w:rsidRPr="004C78D8">
        <w:t>)</w:t>
      </w:r>
      <w:r w:rsidR="00671480" w:rsidRPr="004C78D8">
        <w:t xml:space="preserve">. </w:t>
      </w:r>
    </w:p>
    <w:p w14:paraId="35D239C1" w14:textId="77777777" w:rsidR="003903BC" w:rsidRPr="004C78D8" w:rsidRDefault="003903BC" w:rsidP="00FB7C1F">
      <w:pPr>
        <w:pStyle w:val="Heading5"/>
      </w:pPr>
      <w:r w:rsidRPr="004C78D8">
        <w:t>High physical activity</w:t>
      </w:r>
    </w:p>
    <w:p w14:paraId="2A860B64" w14:textId="2996C00C" w:rsidR="003903BC" w:rsidRPr="004C78D8" w:rsidRDefault="005D6194" w:rsidP="00FB7C1F">
      <w:r w:rsidRPr="004C78D8">
        <w:t xml:space="preserve">The conceptual model identified physical activity </w:t>
      </w:r>
      <w:r w:rsidR="007419E3" w:rsidRPr="004C78D8">
        <w:t>level</w:t>
      </w:r>
      <w:r w:rsidRPr="004C78D8">
        <w:t xml:space="preserve"> as a key </w:t>
      </w:r>
      <w:r w:rsidR="007419E3" w:rsidRPr="004C78D8">
        <w:t xml:space="preserve">causal </w:t>
      </w:r>
      <w:r w:rsidRPr="004C78D8">
        <w:t xml:space="preserve">variable </w:t>
      </w:r>
      <w:r w:rsidR="007419E3" w:rsidRPr="004C78D8">
        <w:t xml:space="preserve">(Section 3.6.3) </w:t>
      </w:r>
      <w:r w:rsidR="003903BC" w:rsidRPr="004C78D8">
        <w:t xml:space="preserve">Therefore, </w:t>
      </w:r>
      <w:r w:rsidR="00EB6BFC" w:rsidRPr="004C78D8">
        <w:t>the model incorporate</w:t>
      </w:r>
      <w:r w:rsidR="0077073E" w:rsidRPr="004C78D8">
        <w:t>s</w:t>
      </w:r>
      <w:r w:rsidR="00EB6BFC" w:rsidRPr="004C78D8">
        <w:t xml:space="preserve"> </w:t>
      </w:r>
      <w:r w:rsidR="003903BC" w:rsidRPr="004C78D8">
        <w:t>a binary indicator for high physical activity.</w:t>
      </w:r>
      <w:r w:rsidR="007419E3" w:rsidRPr="004C78D8">
        <w:t xml:space="preserve"> </w:t>
      </w:r>
      <w:r w:rsidR="003903BC" w:rsidRPr="004C78D8">
        <w:t xml:space="preserve">The </w:t>
      </w:r>
      <w:r w:rsidR="007419E3" w:rsidRPr="004C78D8">
        <w:t>UK CMO</w:t>
      </w:r>
      <w:r w:rsidR="003903BC" w:rsidRPr="004C78D8">
        <w:t xml:space="preserve"> guideline recommended 150 minutes per week of </w:t>
      </w:r>
      <w:r w:rsidR="007419E3" w:rsidRPr="004C78D8">
        <w:t xml:space="preserve">at least </w:t>
      </w:r>
      <w:r w:rsidR="003903BC" w:rsidRPr="004C78D8">
        <w:t>moderate intensity exercise of any form for adults aged 65</w:t>
      </w:r>
      <w:r w:rsidR="007419E3" w:rsidRPr="004C78D8">
        <w:t>+</w:t>
      </w:r>
      <w:r w:rsidR="004929B9" w:rsidRPr="004C78D8">
        <w:t xml:space="preserve"> </w:t>
      </w:r>
      <w:r w:rsidR="004929B9" w:rsidRPr="004C78D8">
        <w:fldChar w:fldCharType="begin"/>
      </w:r>
      <w:r w:rsidR="00513646" w:rsidRPr="004C78D8">
        <w:instrText xml:space="preserve"> ADDIN EN.CITE &lt;EndNote&gt;&lt;Cite&gt;&lt;Author&gt;Foster&lt;/Author&gt;&lt;Year&gt;2019&lt;/Year&gt;&lt;RecNum&gt;274&lt;/RecNum&gt;&lt;DisplayText&gt;[113]&lt;/DisplayText&gt;&lt;record&gt;&lt;rec-number&gt;274&lt;/rec-number&gt;&lt;foreign-keys&gt;&lt;key app="EN" db-id="tdtrdw9aepptzbefsat599syza29sxsd2wsp" timestamp="1611696027"&gt;274&lt;/key&gt;&lt;/foreign-keys&gt;&lt;ref-type name="Journal Article"&gt;17&lt;/ref-type&gt;&lt;contributors&gt;&lt;authors&gt;&lt;author&gt;Foster, C&lt;/author&gt;&lt;author&gt;Reilly, J&lt;/author&gt;&lt;author&gt;Jago, R&lt;/author&gt;&lt;author&gt;Murphy, M&lt;/author&gt;&lt;author&gt;Skelton, D&lt;/author&gt;&lt;author&gt;Cooper, A&lt;/author&gt;&lt;author&gt;Pulsford, A&lt;/author&gt;&lt;author&gt;Pulsford, R&lt;/author&gt;&lt;author&gt;Smith, B&lt;/author&gt;&lt;author&gt;Mutrie, N&lt;/author&gt;&lt;/authors&gt;&lt;/contributors&gt;&lt;titles&gt;&lt;title&gt;UK Chief Medical Officers&amp;apos; Physical Activity Guidelines&lt;/title&gt;&lt;secondary-title&gt;Department of Health and Social Care&lt;/secondary-title&gt;&lt;/titles&gt;&lt;periodical&gt;&lt;full-title&gt;Department of Health and Social Care&lt;/full-title&gt;&lt;/periodical&gt;&lt;dates&gt;&lt;year&gt;2019&lt;/year&gt;&lt;/dates&gt;&lt;urls&gt;&lt;/urls&gt;&lt;/record&gt;&lt;/Cite&gt;&lt;/EndNote&gt;</w:instrText>
      </w:r>
      <w:r w:rsidR="004929B9" w:rsidRPr="004C78D8">
        <w:fldChar w:fldCharType="separate"/>
      </w:r>
      <w:r w:rsidR="00513646" w:rsidRPr="004C78D8">
        <w:rPr>
          <w:noProof/>
        </w:rPr>
        <w:t>[113]</w:t>
      </w:r>
      <w:r w:rsidR="004929B9" w:rsidRPr="004C78D8">
        <w:fldChar w:fldCharType="end"/>
      </w:r>
      <w:r w:rsidR="003903BC" w:rsidRPr="004C78D8">
        <w:t xml:space="preserve">. According to </w:t>
      </w:r>
      <w:r w:rsidR="007419E3" w:rsidRPr="004C78D8">
        <w:t>a UK survey in</w:t>
      </w:r>
      <w:r w:rsidR="003903BC" w:rsidRPr="004C78D8">
        <w:t xml:space="preserve"> 2008, 20% of men and 17% of women aged 65-74 </w:t>
      </w:r>
      <w:r w:rsidR="007419E3" w:rsidRPr="004C78D8">
        <w:t>met this guideline level</w:t>
      </w:r>
      <w:r w:rsidR="003903BC" w:rsidRPr="004C78D8">
        <w:t xml:space="preserve"> </w:t>
      </w:r>
      <w:r w:rsidR="004929B9" w:rsidRPr="004C78D8">
        <w:fldChar w:fldCharType="begin"/>
      </w:r>
      <w:r w:rsidR="00C630FC" w:rsidRPr="004C78D8">
        <w:instrText xml:space="preserve"> ADDIN EN.CITE &lt;EndNote&gt;&lt;Cite&gt;&lt;Author&gt;French&lt;/Author&gt;&lt;Year&gt;2014&lt;/Year&gt;&lt;RecNum&gt;142&lt;/RecNum&gt;&lt;DisplayText&gt;[198]&lt;/DisplayText&gt;&lt;record&gt;&lt;rec-number&gt;142&lt;/rec-number&gt;&lt;foreign-keys&gt;&lt;key app="EN" db-id="tdtrdw9aepptzbefsat599syza29sxsd2wsp" timestamp="1600790020"&gt;142&lt;/key&gt;&lt;/foreign-keys&gt;&lt;ref-type name="Journal Article"&gt;17&lt;/ref-type&gt;&lt;contributors&gt;&lt;authors&gt;&lt;author&gt;French, David P&lt;/author&gt;&lt;author&gt;Olander, Ellinor K&lt;/author&gt;&lt;author&gt;Chisholm, Anna&lt;/author&gt;&lt;author&gt;Mc Sharry, Jennifer&lt;/author&gt;&lt;/authors&gt;&lt;/contributors&gt;&lt;titles&gt;&lt;title&gt;Which behaviour change techniques are most effective at increasing older adults’ self-efficacy and physical activity behaviour? A systematic review&lt;/title&gt;&lt;secondary-title&gt;Annals of Behavioral Medicine&lt;/secondary-title&gt;&lt;/titles&gt;&lt;periodical&gt;&lt;full-title&gt;Annals of Behavioral Medicine&lt;/full-title&gt;&lt;/periodical&gt;&lt;pages&gt;225-234&lt;/pages&gt;&lt;volume&gt;48&lt;/volume&gt;&lt;number&gt;2&lt;/number&gt;&lt;dates&gt;&lt;year&gt;2014&lt;/year&gt;&lt;/dates&gt;&lt;isbn&gt;0883-6612&lt;/isbn&gt;&lt;urls&gt;&lt;/urls&gt;&lt;/record&gt;&lt;/Cite&gt;&lt;/EndNote&gt;</w:instrText>
      </w:r>
      <w:r w:rsidR="004929B9" w:rsidRPr="004C78D8">
        <w:fldChar w:fldCharType="separate"/>
      </w:r>
      <w:r w:rsidR="00C630FC" w:rsidRPr="004C78D8">
        <w:rPr>
          <w:noProof/>
        </w:rPr>
        <w:t>[198]</w:t>
      </w:r>
      <w:r w:rsidR="004929B9" w:rsidRPr="004C78D8">
        <w:fldChar w:fldCharType="end"/>
      </w:r>
      <w:r w:rsidR="003903BC" w:rsidRPr="004C78D8">
        <w:t>. ELSA Wave</w:t>
      </w:r>
      <w:r w:rsidR="003476CB" w:rsidRPr="004C78D8">
        <w:t>s</w:t>
      </w:r>
      <w:r w:rsidR="003903BC" w:rsidRPr="004C78D8">
        <w:t xml:space="preserve"> 4</w:t>
      </w:r>
      <w:r w:rsidR="00F25B67" w:rsidRPr="004C78D8">
        <w:t>-</w:t>
      </w:r>
      <w:r w:rsidR="003476CB" w:rsidRPr="004C78D8">
        <w:t xml:space="preserve">5 </w:t>
      </w:r>
      <w:r w:rsidR="003903BC" w:rsidRPr="004C78D8">
        <w:t>contained a variable summari</w:t>
      </w:r>
      <w:r w:rsidR="004929B9" w:rsidRPr="004C78D8">
        <w:t>s</w:t>
      </w:r>
      <w:r w:rsidR="003903BC" w:rsidRPr="004C78D8">
        <w:t>ing the physical activity levels of individuals</w:t>
      </w:r>
      <w:r w:rsidR="007419E3" w:rsidRPr="004C78D8">
        <w:t xml:space="preserve"> (</w:t>
      </w:r>
      <w:r w:rsidR="003903BC" w:rsidRPr="004C78D8">
        <w:t>Not known; Sedentary; Low; Moderate; High</w:t>
      </w:r>
      <w:r w:rsidR="007419E3" w:rsidRPr="004C78D8">
        <w:t>), but t</w:t>
      </w:r>
      <w:r w:rsidR="003903BC" w:rsidRPr="004C78D8">
        <w:t xml:space="preserve">he intensity or duration was not </w:t>
      </w:r>
      <w:r w:rsidR="004929B9" w:rsidRPr="004C78D8">
        <w:t>stated</w:t>
      </w:r>
      <w:r w:rsidR="003903BC" w:rsidRPr="004C78D8">
        <w:t xml:space="preserve">. </w:t>
      </w:r>
      <w:r w:rsidR="008A6568" w:rsidRPr="004C78D8">
        <w:t>Nevertheless</w:t>
      </w:r>
      <w:r w:rsidR="003903BC" w:rsidRPr="004C78D8">
        <w:t xml:space="preserve">, 21.5% of men and 15.9% of women aged 65-74 in ELSA reported ‘High’ level of physical activity. Given the </w:t>
      </w:r>
      <w:r w:rsidR="004929B9" w:rsidRPr="004C78D8">
        <w:t>comparable</w:t>
      </w:r>
      <w:r w:rsidR="003903BC" w:rsidRPr="004C78D8">
        <w:t xml:space="preserve"> prevalence rates to the survey, </w:t>
      </w:r>
      <w:r w:rsidR="00EB6BFC" w:rsidRPr="004C78D8">
        <w:t>the ELSA information of</w:t>
      </w:r>
      <w:r w:rsidR="008A6568" w:rsidRPr="004C78D8">
        <w:t xml:space="preserve"> ‘High’ physical activity </w:t>
      </w:r>
      <w:r w:rsidR="00EB6BFC" w:rsidRPr="004C78D8">
        <w:t>was</w:t>
      </w:r>
      <w:r w:rsidR="003903BC" w:rsidRPr="004C78D8">
        <w:t xml:space="preserve"> assumed to </w:t>
      </w:r>
      <w:r w:rsidR="00EB6BFC" w:rsidRPr="004C78D8">
        <w:t>indicate meeting</w:t>
      </w:r>
      <w:r w:rsidR="003903BC" w:rsidRPr="004C78D8">
        <w:t xml:space="preserve"> </w:t>
      </w:r>
      <w:r w:rsidR="004929B9" w:rsidRPr="004C78D8">
        <w:t xml:space="preserve">of </w:t>
      </w:r>
      <w:r w:rsidR="003903BC" w:rsidRPr="004C78D8">
        <w:t>CMO</w:t>
      </w:r>
      <w:r w:rsidR="007419E3" w:rsidRPr="004C78D8">
        <w:t xml:space="preserve"> guideline</w:t>
      </w:r>
      <w:r w:rsidR="003903BC" w:rsidRPr="004C78D8">
        <w:t>. The overall prevalence rate of high physical activity in the ELSA cohort aged 60</w:t>
      </w:r>
      <w:r w:rsidR="00440471" w:rsidRPr="004C78D8">
        <w:t>+</w:t>
      </w:r>
      <w:r w:rsidR="003903BC" w:rsidRPr="004C78D8">
        <w:t xml:space="preserve"> was 17.3%. </w:t>
      </w:r>
    </w:p>
    <w:p w14:paraId="736FC4E8" w14:textId="40F9824F" w:rsidR="003903BC" w:rsidRPr="004C78D8" w:rsidRDefault="00EB6BFC" w:rsidP="00FB7C1F">
      <w:r w:rsidRPr="004C78D8">
        <w:t xml:space="preserve">A binary variable for high vs. </w:t>
      </w:r>
      <w:r w:rsidR="00443082" w:rsidRPr="004C78D8">
        <w:t>non-</w:t>
      </w:r>
      <w:r w:rsidRPr="004C78D8">
        <w:t xml:space="preserve">high physical activity was created and used as the dependent variable </w:t>
      </w:r>
      <w:r w:rsidR="004929B9" w:rsidRPr="004C78D8">
        <w:t xml:space="preserve">in </w:t>
      </w:r>
      <w:r w:rsidR="00443082" w:rsidRPr="004C78D8">
        <w:t xml:space="preserve">a </w:t>
      </w:r>
      <w:r w:rsidR="004929B9" w:rsidRPr="004C78D8">
        <w:t xml:space="preserve">multivariate logistic regression </w:t>
      </w:r>
      <w:r w:rsidR="00443082" w:rsidRPr="004C78D8">
        <w:t xml:space="preserve">to estimate </w:t>
      </w:r>
      <w:r w:rsidRPr="004C78D8">
        <w:t>t</w:t>
      </w:r>
      <w:r w:rsidR="003903BC" w:rsidRPr="004C78D8">
        <w:t xml:space="preserve">he probability of </w:t>
      </w:r>
      <w:r w:rsidRPr="004C78D8">
        <w:t>an</w:t>
      </w:r>
      <w:r w:rsidR="003903BC" w:rsidRPr="004C78D8">
        <w:t xml:space="preserve"> individual </w:t>
      </w:r>
      <w:r w:rsidR="004929B9" w:rsidRPr="004C78D8">
        <w:t>engaging in</w:t>
      </w:r>
      <w:r w:rsidR="003903BC" w:rsidRPr="004C78D8">
        <w:t xml:space="preserve"> high physical activity </w:t>
      </w:r>
      <w:r w:rsidRPr="004C78D8">
        <w:t>given his/her characteristics</w:t>
      </w:r>
      <w:r w:rsidR="003903BC" w:rsidRPr="004C78D8">
        <w:t xml:space="preserve">. </w:t>
      </w:r>
      <w:r w:rsidR="007D26B4" w:rsidRPr="004C78D8">
        <w:t xml:space="preserve">Table </w:t>
      </w:r>
      <w:r w:rsidR="008840CF" w:rsidRPr="004C78D8">
        <w:t>5</w:t>
      </w:r>
      <w:r w:rsidR="007D26B4" w:rsidRPr="004C78D8">
        <w:t>.</w:t>
      </w:r>
      <w:r w:rsidR="0094422E" w:rsidRPr="004C78D8">
        <w:t>8</w:t>
      </w:r>
      <w:r w:rsidR="007D26B4" w:rsidRPr="004C78D8">
        <w:t xml:space="preserve"> shows the regression coefficients for the best-fit model</w:t>
      </w:r>
      <w:r w:rsidR="003903BC" w:rsidRPr="004C78D8">
        <w:t>.</w:t>
      </w:r>
      <w:r w:rsidR="007D26B4" w:rsidRPr="004C78D8">
        <w:t xml:space="preserve"> </w:t>
      </w:r>
    </w:p>
    <w:tbl>
      <w:tblPr>
        <w:tblStyle w:val="TableGrid"/>
        <w:tblW w:w="0" w:type="auto"/>
        <w:tblInd w:w="-5" w:type="dxa"/>
        <w:tblLook w:val="04A0" w:firstRow="1" w:lastRow="0" w:firstColumn="1" w:lastColumn="0" w:noHBand="0" w:noVBand="1"/>
      </w:tblPr>
      <w:tblGrid>
        <w:gridCol w:w="2263"/>
        <w:gridCol w:w="1701"/>
        <w:gridCol w:w="1701"/>
      </w:tblGrid>
      <w:tr w:rsidR="003903BC" w:rsidRPr="004C78D8" w14:paraId="7168E86F" w14:textId="77777777" w:rsidTr="00E35893">
        <w:tc>
          <w:tcPr>
            <w:tcW w:w="5665" w:type="dxa"/>
            <w:gridSpan w:val="3"/>
          </w:tcPr>
          <w:p w14:paraId="21E1E05C" w14:textId="3F08DCD4" w:rsidR="003903BC" w:rsidRPr="004C78D8" w:rsidRDefault="003903BC" w:rsidP="00FB7C1F">
            <w:r w:rsidRPr="004C78D8">
              <w:rPr>
                <w:b/>
                <w:bCs/>
              </w:rPr>
              <w:t xml:space="preserve">Table </w:t>
            </w:r>
            <w:r w:rsidR="008840CF" w:rsidRPr="004C78D8">
              <w:rPr>
                <w:b/>
                <w:bCs/>
              </w:rPr>
              <w:t>5</w:t>
            </w:r>
            <w:r w:rsidR="004929B9" w:rsidRPr="004C78D8">
              <w:rPr>
                <w:b/>
                <w:bCs/>
              </w:rPr>
              <w:t>.</w:t>
            </w:r>
            <w:r w:rsidR="0094422E" w:rsidRPr="004C78D8">
              <w:rPr>
                <w:b/>
                <w:bCs/>
              </w:rPr>
              <w:t>8</w:t>
            </w:r>
            <w:r w:rsidRPr="004C78D8">
              <w:t xml:space="preserve"> Logistic regression coefficients for high physical activity </w:t>
            </w:r>
            <w:r w:rsidR="007A6A58" w:rsidRPr="004C78D8">
              <w:t>from</w:t>
            </w:r>
            <w:r w:rsidRPr="004C78D8">
              <w:t xml:space="preserve"> ELSA</w:t>
            </w:r>
            <w:r w:rsidR="0093037A" w:rsidRPr="004C78D8">
              <w:t xml:space="preserve"> Waves 4 and 5</w:t>
            </w:r>
            <w:r w:rsidR="007A6A58" w:rsidRPr="004C78D8">
              <w:t>.</w:t>
            </w:r>
          </w:p>
        </w:tc>
      </w:tr>
      <w:tr w:rsidR="003903BC" w:rsidRPr="004C78D8" w14:paraId="70357E9F" w14:textId="77777777" w:rsidTr="00E35893">
        <w:tc>
          <w:tcPr>
            <w:tcW w:w="5665" w:type="dxa"/>
            <w:gridSpan w:val="3"/>
          </w:tcPr>
          <w:p w14:paraId="60A9E14F" w14:textId="77777777" w:rsidR="003903BC" w:rsidRPr="004C78D8" w:rsidRDefault="003903BC" w:rsidP="00FB7C1F">
            <w:pPr>
              <w:jc w:val="left"/>
              <w:rPr>
                <w:b/>
                <w:bCs/>
                <w:i/>
                <w:iCs/>
                <w:sz w:val="20"/>
                <w:szCs w:val="20"/>
              </w:rPr>
            </w:pPr>
            <w:r w:rsidRPr="004C78D8">
              <w:rPr>
                <w:b/>
                <w:bCs/>
                <w:i/>
                <w:iCs/>
                <w:sz w:val="20"/>
                <w:szCs w:val="20"/>
              </w:rPr>
              <w:t>Dependent variable: High physical activity (N=13,422)</w:t>
            </w:r>
          </w:p>
        </w:tc>
      </w:tr>
      <w:tr w:rsidR="003903BC" w:rsidRPr="004C78D8" w14:paraId="6511E646" w14:textId="77777777" w:rsidTr="00E35893">
        <w:tc>
          <w:tcPr>
            <w:tcW w:w="2263" w:type="dxa"/>
            <w:tcBorders>
              <w:bottom w:val="single" w:sz="4" w:space="0" w:color="auto"/>
            </w:tcBorders>
          </w:tcPr>
          <w:p w14:paraId="4F477B51" w14:textId="77777777" w:rsidR="003903BC" w:rsidRPr="004C78D8" w:rsidRDefault="003903BC" w:rsidP="00FB7C1F">
            <w:pPr>
              <w:rPr>
                <w:b/>
                <w:bCs/>
                <w:sz w:val="20"/>
                <w:szCs w:val="20"/>
              </w:rPr>
            </w:pPr>
            <w:r w:rsidRPr="004C78D8">
              <w:rPr>
                <w:b/>
                <w:bCs/>
                <w:sz w:val="20"/>
                <w:szCs w:val="20"/>
              </w:rPr>
              <w:t>Explanatory variables</w:t>
            </w:r>
          </w:p>
        </w:tc>
        <w:tc>
          <w:tcPr>
            <w:tcW w:w="1701" w:type="dxa"/>
            <w:tcBorders>
              <w:bottom w:val="single" w:sz="4" w:space="0" w:color="auto"/>
            </w:tcBorders>
          </w:tcPr>
          <w:p w14:paraId="0452BF73" w14:textId="77777777" w:rsidR="003903BC" w:rsidRPr="004C78D8" w:rsidRDefault="003903BC" w:rsidP="00FB7C1F">
            <w:pPr>
              <w:jc w:val="center"/>
              <w:rPr>
                <w:b/>
                <w:bCs/>
                <w:sz w:val="20"/>
                <w:szCs w:val="20"/>
              </w:rPr>
            </w:pPr>
            <w:r w:rsidRPr="004C78D8">
              <w:rPr>
                <w:b/>
                <w:bCs/>
                <w:sz w:val="20"/>
                <w:szCs w:val="20"/>
              </w:rPr>
              <w:t>Coefficient (SE)</w:t>
            </w:r>
          </w:p>
        </w:tc>
        <w:tc>
          <w:tcPr>
            <w:tcW w:w="1701" w:type="dxa"/>
            <w:tcBorders>
              <w:bottom w:val="single" w:sz="4" w:space="0" w:color="auto"/>
            </w:tcBorders>
          </w:tcPr>
          <w:p w14:paraId="75875D44" w14:textId="77777777" w:rsidR="003903BC" w:rsidRPr="004C78D8" w:rsidRDefault="003903BC" w:rsidP="00FB7C1F">
            <w:pPr>
              <w:jc w:val="center"/>
              <w:rPr>
                <w:b/>
                <w:bCs/>
                <w:sz w:val="20"/>
                <w:szCs w:val="20"/>
              </w:rPr>
            </w:pPr>
            <w:r w:rsidRPr="004C78D8">
              <w:rPr>
                <w:b/>
                <w:bCs/>
                <w:sz w:val="20"/>
                <w:szCs w:val="20"/>
              </w:rPr>
              <w:t>P-value</w:t>
            </w:r>
          </w:p>
        </w:tc>
      </w:tr>
      <w:tr w:rsidR="003903BC" w:rsidRPr="004C78D8" w14:paraId="0B3D92A2" w14:textId="77777777" w:rsidTr="00E35893">
        <w:tc>
          <w:tcPr>
            <w:tcW w:w="2263" w:type="dxa"/>
            <w:tcBorders>
              <w:bottom w:val="nil"/>
            </w:tcBorders>
          </w:tcPr>
          <w:p w14:paraId="7ABBECE8" w14:textId="77777777" w:rsidR="003903BC" w:rsidRPr="004C78D8" w:rsidRDefault="003903BC" w:rsidP="00FB7C1F">
            <w:pPr>
              <w:rPr>
                <w:sz w:val="18"/>
                <w:szCs w:val="18"/>
              </w:rPr>
            </w:pPr>
            <w:r w:rsidRPr="004C78D8">
              <w:rPr>
                <w:sz w:val="18"/>
                <w:szCs w:val="18"/>
              </w:rPr>
              <w:t>Constant</w:t>
            </w:r>
          </w:p>
        </w:tc>
        <w:tc>
          <w:tcPr>
            <w:tcW w:w="1701" w:type="dxa"/>
            <w:tcBorders>
              <w:bottom w:val="nil"/>
            </w:tcBorders>
          </w:tcPr>
          <w:p w14:paraId="167C8C8D" w14:textId="77777777" w:rsidR="003903BC" w:rsidRPr="004C78D8" w:rsidRDefault="003903BC" w:rsidP="00FB7C1F">
            <w:pPr>
              <w:jc w:val="center"/>
              <w:rPr>
                <w:sz w:val="18"/>
                <w:szCs w:val="18"/>
              </w:rPr>
            </w:pPr>
            <w:r w:rsidRPr="004C78D8">
              <w:rPr>
                <w:sz w:val="18"/>
                <w:szCs w:val="18"/>
              </w:rPr>
              <w:t>-4.187 (2.475)</w:t>
            </w:r>
          </w:p>
        </w:tc>
        <w:tc>
          <w:tcPr>
            <w:tcW w:w="1701" w:type="dxa"/>
            <w:tcBorders>
              <w:bottom w:val="nil"/>
            </w:tcBorders>
          </w:tcPr>
          <w:p w14:paraId="4328B1E6" w14:textId="77777777" w:rsidR="003903BC" w:rsidRPr="004C78D8" w:rsidRDefault="003903BC" w:rsidP="00FB7C1F">
            <w:pPr>
              <w:jc w:val="center"/>
              <w:rPr>
                <w:sz w:val="18"/>
                <w:szCs w:val="18"/>
              </w:rPr>
            </w:pPr>
            <w:r w:rsidRPr="004C78D8">
              <w:rPr>
                <w:sz w:val="18"/>
                <w:szCs w:val="18"/>
              </w:rPr>
              <w:t>0.091</w:t>
            </w:r>
          </w:p>
        </w:tc>
      </w:tr>
      <w:tr w:rsidR="003903BC" w:rsidRPr="004C78D8" w14:paraId="7ED92D38" w14:textId="77777777" w:rsidTr="00E35893">
        <w:tc>
          <w:tcPr>
            <w:tcW w:w="2263" w:type="dxa"/>
            <w:tcBorders>
              <w:top w:val="nil"/>
              <w:bottom w:val="nil"/>
            </w:tcBorders>
          </w:tcPr>
          <w:p w14:paraId="542F0EAB" w14:textId="77777777" w:rsidR="003903BC" w:rsidRPr="004C78D8" w:rsidRDefault="003903BC" w:rsidP="00FB7C1F">
            <w:pPr>
              <w:rPr>
                <w:sz w:val="18"/>
                <w:szCs w:val="18"/>
              </w:rPr>
            </w:pPr>
            <w:r w:rsidRPr="004C78D8">
              <w:rPr>
                <w:sz w:val="18"/>
                <w:szCs w:val="18"/>
              </w:rPr>
              <w:t>Age</w:t>
            </w:r>
          </w:p>
        </w:tc>
        <w:tc>
          <w:tcPr>
            <w:tcW w:w="1701" w:type="dxa"/>
            <w:tcBorders>
              <w:top w:val="nil"/>
              <w:bottom w:val="nil"/>
            </w:tcBorders>
          </w:tcPr>
          <w:p w14:paraId="2C528A58" w14:textId="77777777" w:rsidR="003903BC" w:rsidRPr="004C78D8" w:rsidRDefault="003903BC" w:rsidP="00FB7C1F">
            <w:pPr>
              <w:jc w:val="center"/>
              <w:rPr>
                <w:sz w:val="18"/>
                <w:szCs w:val="18"/>
              </w:rPr>
            </w:pPr>
            <w:r w:rsidRPr="004C78D8">
              <w:rPr>
                <w:sz w:val="18"/>
                <w:szCs w:val="18"/>
              </w:rPr>
              <w:t>0.151 (0.070)</w:t>
            </w:r>
          </w:p>
        </w:tc>
        <w:tc>
          <w:tcPr>
            <w:tcW w:w="1701" w:type="dxa"/>
            <w:tcBorders>
              <w:top w:val="nil"/>
              <w:bottom w:val="nil"/>
            </w:tcBorders>
          </w:tcPr>
          <w:p w14:paraId="75920BBC" w14:textId="77777777" w:rsidR="003903BC" w:rsidRPr="004C78D8" w:rsidRDefault="003903BC" w:rsidP="00FB7C1F">
            <w:pPr>
              <w:jc w:val="center"/>
              <w:rPr>
                <w:sz w:val="18"/>
                <w:szCs w:val="18"/>
              </w:rPr>
            </w:pPr>
            <w:r w:rsidRPr="004C78D8">
              <w:rPr>
                <w:sz w:val="18"/>
                <w:szCs w:val="18"/>
              </w:rPr>
              <w:t>0.031</w:t>
            </w:r>
          </w:p>
        </w:tc>
      </w:tr>
      <w:tr w:rsidR="003903BC" w:rsidRPr="004C78D8" w14:paraId="4D7695DA" w14:textId="77777777" w:rsidTr="00E35893">
        <w:tc>
          <w:tcPr>
            <w:tcW w:w="2263" w:type="dxa"/>
            <w:tcBorders>
              <w:top w:val="nil"/>
              <w:bottom w:val="nil"/>
            </w:tcBorders>
          </w:tcPr>
          <w:p w14:paraId="6CA8BC58" w14:textId="77777777" w:rsidR="003903BC" w:rsidRPr="004C78D8" w:rsidRDefault="003903BC" w:rsidP="00FB7C1F">
            <w:pPr>
              <w:rPr>
                <w:sz w:val="18"/>
                <w:szCs w:val="18"/>
              </w:rPr>
            </w:pPr>
            <w:r w:rsidRPr="004C78D8">
              <w:rPr>
                <w:sz w:val="18"/>
                <w:szCs w:val="18"/>
              </w:rPr>
              <w:t>Age^2</w:t>
            </w:r>
          </w:p>
        </w:tc>
        <w:tc>
          <w:tcPr>
            <w:tcW w:w="1701" w:type="dxa"/>
            <w:tcBorders>
              <w:top w:val="nil"/>
              <w:bottom w:val="nil"/>
            </w:tcBorders>
          </w:tcPr>
          <w:p w14:paraId="204E77AD" w14:textId="77777777" w:rsidR="003903BC" w:rsidRPr="004C78D8" w:rsidRDefault="003903BC" w:rsidP="00FB7C1F">
            <w:pPr>
              <w:jc w:val="center"/>
              <w:rPr>
                <w:sz w:val="18"/>
                <w:szCs w:val="18"/>
              </w:rPr>
            </w:pPr>
            <w:r w:rsidRPr="004C78D8">
              <w:rPr>
                <w:sz w:val="18"/>
                <w:szCs w:val="18"/>
              </w:rPr>
              <w:t>-0.001 (0.0004)</w:t>
            </w:r>
          </w:p>
        </w:tc>
        <w:tc>
          <w:tcPr>
            <w:tcW w:w="1701" w:type="dxa"/>
            <w:tcBorders>
              <w:top w:val="nil"/>
              <w:bottom w:val="nil"/>
            </w:tcBorders>
          </w:tcPr>
          <w:p w14:paraId="7D51FD7D" w14:textId="77777777" w:rsidR="003903BC" w:rsidRPr="004C78D8" w:rsidRDefault="003903BC" w:rsidP="00FB7C1F">
            <w:pPr>
              <w:jc w:val="center"/>
              <w:rPr>
                <w:sz w:val="18"/>
                <w:szCs w:val="18"/>
              </w:rPr>
            </w:pPr>
            <w:r w:rsidRPr="004C78D8">
              <w:rPr>
                <w:sz w:val="18"/>
                <w:szCs w:val="18"/>
              </w:rPr>
              <w:t>0.008</w:t>
            </w:r>
          </w:p>
        </w:tc>
      </w:tr>
      <w:tr w:rsidR="003903BC" w:rsidRPr="004C78D8" w14:paraId="215EC297" w14:textId="77777777" w:rsidTr="00E35893">
        <w:tc>
          <w:tcPr>
            <w:tcW w:w="2263" w:type="dxa"/>
            <w:tcBorders>
              <w:top w:val="nil"/>
              <w:bottom w:val="nil"/>
            </w:tcBorders>
          </w:tcPr>
          <w:p w14:paraId="595FA655" w14:textId="77777777" w:rsidR="003903BC" w:rsidRPr="004C78D8" w:rsidRDefault="003903BC" w:rsidP="00FB7C1F">
            <w:pPr>
              <w:rPr>
                <w:sz w:val="18"/>
                <w:szCs w:val="18"/>
              </w:rPr>
            </w:pPr>
            <w:r w:rsidRPr="004C78D8">
              <w:rPr>
                <w:sz w:val="18"/>
                <w:szCs w:val="18"/>
              </w:rPr>
              <w:t>Female</w:t>
            </w:r>
          </w:p>
        </w:tc>
        <w:tc>
          <w:tcPr>
            <w:tcW w:w="1701" w:type="dxa"/>
            <w:tcBorders>
              <w:top w:val="nil"/>
              <w:bottom w:val="nil"/>
            </w:tcBorders>
          </w:tcPr>
          <w:p w14:paraId="457CF86D" w14:textId="77777777" w:rsidR="003903BC" w:rsidRPr="004C78D8" w:rsidRDefault="003903BC" w:rsidP="00FB7C1F">
            <w:pPr>
              <w:jc w:val="center"/>
              <w:rPr>
                <w:sz w:val="18"/>
                <w:szCs w:val="18"/>
              </w:rPr>
            </w:pPr>
            <w:r w:rsidRPr="004C78D8">
              <w:rPr>
                <w:sz w:val="18"/>
                <w:szCs w:val="18"/>
              </w:rPr>
              <w:t>-0.255 (0.049)</w:t>
            </w:r>
          </w:p>
        </w:tc>
        <w:tc>
          <w:tcPr>
            <w:tcW w:w="1701" w:type="dxa"/>
            <w:tcBorders>
              <w:top w:val="nil"/>
              <w:bottom w:val="nil"/>
            </w:tcBorders>
          </w:tcPr>
          <w:p w14:paraId="66533680" w14:textId="77777777" w:rsidR="003903BC" w:rsidRPr="004C78D8" w:rsidRDefault="003903BC" w:rsidP="00FB7C1F">
            <w:pPr>
              <w:jc w:val="center"/>
              <w:rPr>
                <w:sz w:val="18"/>
                <w:szCs w:val="18"/>
              </w:rPr>
            </w:pPr>
            <w:r w:rsidRPr="004C78D8">
              <w:rPr>
                <w:sz w:val="18"/>
                <w:szCs w:val="18"/>
              </w:rPr>
              <w:t>&lt;0.001</w:t>
            </w:r>
          </w:p>
        </w:tc>
      </w:tr>
      <w:tr w:rsidR="003903BC" w:rsidRPr="004C78D8" w14:paraId="54C446D6" w14:textId="77777777" w:rsidTr="00E35893">
        <w:tc>
          <w:tcPr>
            <w:tcW w:w="2263" w:type="dxa"/>
            <w:tcBorders>
              <w:top w:val="nil"/>
              <w:bottom w:val="nil"/>
            </w:tcBorders>
          </w:tcPr>
          <w:p w14:paraId="4B5BD885" w14:textId="1571E50E" w:rsidR="003903BC" w:rsidRPr="004C78D8" w:rsidRDefault="00443082" w:rsidP="00FB7C1F">
            <w:pPr>
              <w:jc w:val="left"/>
              <w:rPr>
                <w:sz w:val="18"/>
                <w:szCs w:val="18"/>
              </w:rPr>
            </w:pPr>
            <w:r w:rsidRPr="004C78D8">
              <w:rPr>
                <w:sz w:val="18"/>
                <w:szCs w:val="18"/>
              </w:rPr>
              <w:t>SES</w:t>
            </w:r>
            <w:r w:rsidR="003903BC" w:rsidRPr="004C78D8">
              <w:rPr>
                <w:sz w:val="18"/>
                <w:szCs w:val="18"/>
              </w:rPr>
              <w:t xml:space="preserve"> (ref: Most privileged quartile)</w:t>
            </w:r>
          </w:p>
        </w:tc>
        <w:tc>
          <w:tcPr>
            <w:tcW w:w="1701" w:type="dxa"/>
            <w:tcBorders>
              <w:top w:val="nil"/>
              <w:bottom w:val="nil"/>
            </w:tcBorders>
          </w:tcPr>
          <w:p w14:paraId="1D8E52F7" w14:textId="77777777" w:rsidR="003903BC" w:rsidRPr="004C78D8" w:rsidRDefault="003903BC" w:rsidP="00FB7C1F">
            <w:pPr>
              <w:jc w:val="center"/>
              <w:rPr>
                <w:sz w:val="18"/>
                <w:szCs w:val="18"/>
              </w:rPr>
            </w:pPr>
          </w:p>
        </w:tc>
        <w:tc>
          <w:tcPr>
            <w:tcW w:w="1701" w:type="dxa"/>
            <w:tcBorders>
              <w:top w:val="nil"/>
              <w:bottom w:val="nil"/>
            </w:tcBorders>
          </w:tcPr>
          <w:p w14:paraId="78118FBD" w14:textId="77777777" w:rsidR="003903BC" w:rsidRPr="004C78D8" w:rsidRDefault="003903BC" w:rsidP="00FB7C1F">
            <w:pPr>
              <w:jc w:val="center"/>
              <w:rPr>
                <w:sz w:val="18"/>
                <w:szCs w:val="18"/>
              </w:rPr>
            </w:pPr>
          </w:p>
        </w:tc>
      </w:tr>
      <w:tr w:rsidR="003903BC" w:rsidRPr="004C78D8" w14:paraId="04F832ED" w14:textId="77777777" w:rsidTr="00E35893">
        <w:tc>
          <w:tcPr>
            <w:tcW w:w="2263" w:type="dxa"/>
            <w:tcBorders>
              <w:top w:val="nil"/>
              <w:bottom w:val="nil"/>
            </w:tcBorders>
          </w:tcPr>
          <w:p w14:paraId="08DE5F48" w14:textId="77777777" w:rsidR="003903BC" w:rsidRPr="004C78D8" w:rsidRDefault="003903BC" w:rsidP="00FB7C1F">
            <w:pPr>
              <w:jc w:val="right"/>
              <w:rPr>
                <w:i/>
                <w:iCs/>
                <w:sz w:val="18"/>
                <w:szCs w:val="18"/>
              </w:rPr>
            </w:pPr>
            <w:r w:rsidRPr="004C78D8">
              <w:rPr>
                <w:i/>
                <w:iCs/>
                <w:sz w:val="18"/>
                <w:szCs w:val="18"/>
              </w:rPr>
              <w:t>2</w:t>
            </w:r>
            <w:r w:rsidRPr="004C78D8">
              <w:rPr>
                <w:i/>
                <w:iCs/>
                <w:sz w:val="18"/>
                <w:szCs w:val="18"/>
                <w:vertAlign w:val="superscript"/>
              </w:rPr>
              <w:t>nd</w:t>
            </w:r>
            <w:r w:rsidRPr="004C78D8">
              <w:rPr>
                <w:i/>
                <w:iCs/>
                <w:sz w:val="18"/>
                <w:szCs w:val="18"/>
              </w:rPr>
              <w:t xml:space="preserve"> quartile</w:t>
            </w:r>
          </w:p>
        </w:tc>
        <w:tc>
          <w:tcPr>
            <w:tcW w:w="1701" w:type="dxa"/>
            <w:tcBorders>
              <w:top w:val="nil"/>
              <w:bottom w:val="nil"/>
            </w:tcBorders>
          </w:tcPr>
          <w:p w14:paraId="55F9F0F9" w14:textId="77777777" w:rsidR="003903BC" w:rsidRPr="004C78D8" w:rsidRDefault="003903BC" w:rsidP="00FB7C1F">
            <w:pPr>
              <w:jc w:val="center"/>
              <w:rPr>
                <w:sz w:val="18"/>
                <w:szCs w:val="18"/>
              </w:rPr>
            </w:pPr>
            <w:r w:rsidRPr="004C78D8">
              <w:rPr>
                <w:sz w:val="18"/>
                <w:szCs w:val="18"/>
              </w:rPr>
              <w:t>-0.115 (0.065)</w:t>
            </w:r>
          </w:p>
        </w:tc>
        <w:tc>
          <w:tcPr>
            <w:tcW w:w="1701" w:type="dxa"/>
            <w:tcBorders>
              <w:top w:val="nil"/>
              <w:bottom w:val="nil"/>
            </w:tcBorders>
          </w:tcPr>
          <w:p w14:paraId="709E538D" w14:textId="77777777" w:rsidR="003903BC" w:rsidRPr="004C78D8" w:rsidRDefault="003903BC" w:rsidP="00FB7C1F">
            <w:pPr>
              <w:jc w:val="center"/>
              <w:rPr>
                <w:sz w:val="18"/>
                <w:szCs w:val="18"/>
              </w:rPr>
            </w:pPr>
            <w:r w:rsidRPr="004C78D8">
              <w:rPr>
                <w:sz w:val="18"/>
                <w:szCs w:val="18"/>
              </w:rPr>
              <w:t>0.077</w:t>
            </w:r>
          </w:p>
        </w:tc>
      </w:tr>
      <w:tr w:rsidR="003903BC" w:rsidRPr="004C78D8" w14:paraId="21F9D7C9" w14:textId="77777777" w:rsidTr="00E35893">
        <w:tc>
          <w:tcPr>
            <w:tcW w:w="2263" w:type="dxa"/>
            <w:tcBorders>
              <w:top w:val="nil"/>
              <w:bottom w:val="nil"/>
            </w:tcBorders>
          </w:tcPr>
          <w:p w14:paraId="40C65463" w14:textId="77777777" w:rsidR="003903BC" w:rsidRPr="004C78D8" w:rsidRDefault="003903BC" w:rsidP="00FB7C1F">
            <w:pPr>
              <w:jc w:val="right"/>
              <w:rPr>
                <w:i/>
                <w:iCs/>
                <w:sz w:val="18"/>
                <w:szCs w:val="18"/>
              </w:rPr>
            </w:pPr>
            <w:r w:rsidRPr="004C78D8">
              <w:rPr>
                <w:i/>
                <w:iCs/>
                <w:sz w:val="18"/>
                <w:szCs w:val="18"/>
              </w:rPr>
              <w:t>3</w:t>
            </w:r>
            <w:r w:rsidRPr="004C78D8">
              <w:rPr>
                <w:i/>
                <w:iCs/>
                <w:sz w:val="18"/>
                <w:szCs w:val="18"/>
                <w:vertAlign w:val="superscript"/>
              </w:rPr>
              <w:t>rd</w:t>
            </w:r>
            <w:r w:rsidRPr="004C78D8">
              <w:rPr>
                <w:i/>
                <w:iCs/>
                <w:sz w:val="18"/>
                <w:szCs w:val="18"/>
              </w:rPr>
              <w:t xml:space="preserve"> quartile</w:t>
            </w:r>
          </w:p>
        </w:tc>
        <w:tc>
          <w:tcPr>
            <w:tcW w:w="1701" w:type="dxa"/>
            <w:tcBorders>
              <w:top w:val="nil"/>
              <w:bottom w:val="nil"/>
            </w:tcBorders>
          </w:tcPr>
          <w:p w14:paraId="13A02CD7" w14:textId="77777777" w:rsidR="003903BC" w:rsidRPr="004C78D8" w:rsidRDefault="003903BC" w:rsidP="00FB7C1F">
            <w:pPr>
              <w:jc w:val="center"/>
              <w:rPr>
                <w:sz w:val="18"/>
                <w:szCs w:val="18"/>
              </w:rPr>
            </w:pPr>
            <w:r w:rsidRPr="004C78D8">
              <w:rPr>
                <w:sz w:val="18"/>
                <w:szCs w:val="18"/>
              </w:rPr>
              <w:t>-0.202 (0.059)</w:t>
            </w:r>
          </w:p>
        </w:tc>
        <w:tc>
          <w:tcPr>
            <w:tcW w:w="1701" w:type="dxa"/>
            <w:tcBorders>
              <w:top w:val="nil"/>
              <w:bottom w:val="nil"/>
            </w:tcBorders>
          </w:tcPr>
          <w:p w14:paraId="02E4E38A" w14:textId="77777777" w:rsidR="003903BC" w:rsidRPr="004C78D8" w:rsidRDefault="003903BC" w:rsidP="00FB7C1F">
            <w:pPr>
              <w:jc w:val="center"/>
              <w:rPr>
                <w:sz w:val="18"/>
                <w:szCs w:val="18"/>
              </w:rPr>
            </w:pPr>
            <w:r w:rsidRPr="004C78D8">
              <w:rPr>
                <w:sz w:val="18"/>
                <w:szCs w:val="18"/>
              </w:rPr>
              <w:t>0.001</w:t>
            </w:r>
          </w:p>
        </w:tc>
      </w:tr>
      <w:tr w:rsidR="003903BC" w:rsidRPr="004C78D8" w14:paraId="5A7CA56E" w14:textId="77777777" w:rsidTr="00E35893">
        <w:tc>
          <w:tcPr>
            <w:tcW w:w="2263" w:type="dxa"/>
            <w:tcBorders>
              <w:top w:val="nil"/>
              <w:bottom w:val="nil"/>
            </w:tcBorders>
          </w:tcPr>
          <w:p w14:paraId="08D80BC6" w14:textId="77777777" w:rsidR="003903BC" w:rsidRPr="004C78D8" w:rsidRDefault="003903BC" w:rsidP="00FB7C1F">
            <w:pPr>
              <w:jc w:val="right"/>
              <w:rPr>
                <w:i/>
                <w:iCs/>
                <w:sz w:val="18"/>
                <w:szCs w:val="18"/>
              </w:rPr>
            </w:pPr>
            <w:r w:rsidRPr="004C78D8">
              <w:rPr>
                <w:i/>
                <w:iCs/>
                <w:sz w:val="18"/>
                <w:szCs w:val="18"/>
              </w:rPr>
              <w:t>Most deprived quartile</w:t>
            </w:r>
          </w:p>
        </w:tc>
        <w:tc>
          <w:tcPr>
            <w:tcW w:w="1701" w:type="dxa"/>
            <w:tcBorders>
              <w:top w:val="nil"/>
              <w:bottom w:val="nil"/>
            </w:tcBorders>
          </w:tcPr>
          <w:p w14:paraId="63485590" w14:textId="77777777" w:rsidR="003903BC" w:rsidRPr="004C78D8" w:rsidRDefault="003903BC" w:rsidP="00FB7C1F">
            <w:pPr>
              <w:jc w:val="center"/>
              <w:rPr>
                <w:sz w:val="18"/>
                <w:szCs w:val="18"/>
              </w:rPr>
            </w:pPr>
            <w:r w:rsidRPr="004C78D8">
              <w:rPr>
                <w:sz w:val="18"/>
                <w:szCs w:val="18"/>
              </w:rPr>
              <w:t>-0.366 (0.091)</w:t>
            </w:r>
          </w:p>
        </w:tc>
        <w:tc>
          <w:tcPr>
            <w:tcW w:w="1701" w:type="dxa"/>
            <w:tcBorders>
              <w:top w:val="nil"/>
              <w:bottom w:val="nil"/>
            </w:tcBorders>
          </w:tcPr>
          <w:p w14:paraId="69075CB6" w14:textId="77777777" w:rsidR="003903BC" w:rsidRPr="004C78D8" w:rsidRDefault="003903BC" w:rsidP="00FB7C1F">
            <w:pPr>
              <w:jc w:val="center"/>
              <w:rPr>
                <w:sz w:val="18"/>
                <w:szCs w:val="18"/>
              </w:rPr>
            </w:pPr>
            <w:r w:rsidRPr="004C78D8">
              <w:rPr>
                <w:sz w:val="18"/>
                <w:szCs w:val="18"/>
              </w:rPr>
              <w:t>&lt;0.001</w:t>
            </w:r>
          </w:p>
        </w:tc>
      </w:tr>
      <w:tr w:rsidR="003903BC" w:rsidRPr="004C78D8" w14:paraId="5B130E1F" w14:textId="77777777" w:rsidTr="00E35893">
        <w:tc>
          <w:tcPr>
            <w:tcW w:w="2263" w:type="dxa"/>
            <w:tcBorders>
              <w:top w:val="nil"/>
            </w:tcBorders>
          </w:tcPr>
          <w:p w14:paraId="7AE35BB4" w14:textId="77777777" w:rsidR="003903BC" w:rsidRPr="004C78D8" w:rsidRDefault="003903BC" w:rsidP="00FB7C1F">
            <w:pPr>
              <w:rPr>
                <w:sz w:val="18"/>
                <w:szCs w:val="18"/>
              </w:rPr>
            </w:pPr>
            <w:r w:rsidRPr="004C78D8">
              <w:rPr>
                <w:sz w:val="18"/>
                <w:szCs w:val="18"/>
              </w:rPr>
              <w:t>Frailty (0-100)</w:t>
            </w:r>
          </w:p>
        </w:tc>
        <w:tc>
          <w:tcPr>
            <w:tcW w:w="1701" w:type="dxa"/>
            <w:tcBorders>
              <w:top w:val="nil"/>
            </w:tcBorders>
          </w:tcPr>
          <w:p w14:paraId="7F41F40F" w14:textId="77777777" w:rsidR="003903BC" w:rsidRPr="004C78D8" w:rsidRDefault="003903BC" w:rsidP="00FB7C1F">
            <w:pPr>
              <w:jc w:val="center"/>
              <w:rPr>
                <w:sz w:val="18"/>
                <w:szCs w:val="18"/>
              </w:rPr>
            </w:pPr>
            <w:r w:rsidRPr="004C78D8">
              <w:rPr>
                <w:sz w:val="18"/>
                <w:szCs w:val="18"/>
              </w:rPr>
              <w:t>-0.100 (0.004)</w:t>
            </w:r>
          </w:p>
        </w:tc>
        <w:tc>
          <w:tcPr>
            <w:tcW w:w="1701" w:type="dxa"/>
            <w:tcBorders>
              <w:top w:val="nil"/>
            </w:tcBorders>
          </w:tcPr>
          <w:p w14:paraId="203CE467" w14:textId="77777777" w:rsidR="003903BC" w:rsidRPr="004C78D8" w:rsidRDefault="003903BC" w:rsidP="00FB7C1F">
            <w:pPr>
              <w:jc w:val="center"/>
              <w:rPr>
                <w:sz w:val="18"/>
                <w:szCs w:val="18"/>
              </w:rPr>
            </w:pPr>
            <w:r w:rsidRPr="004C78D8">
              <w:rPr>
                <w:sz w:val="18"/>
                <w:szCs w:val="18"/>
              </w:rPr>
              <w:t>&lt;0.001</w:t>
            </w:r>
          </w:p>
        </w:tc>
      </w:tr>
      <w:tr w:rsidR="003903BC" w:rsidRPr="004C78D8" w14:paraId="0F1EB1C9" w14:textId="77777777" w:rsidTr="00E35893">
        <w:tc>
          <w:tcPr>
            <w:tcW w:w="5665" w:type="dxa"/>
            <w:gridSpan w:val="3"/>
          </w:tcPr>
          <w:p w14:paraId="051198C7" w14:textId="56D0C89E" w:rsidR="003903BC" w:rsidRPr="004C78D8" w:rsidRDefault="00D10D5E" w:rsidP="00FB7C1F">
            <w:pPr>
              <w:rPr>
                <w:sz w:val="20"/>
                <w:szCs w:val="20"/>
              </w:rPr>
            </w:pPr>
            <w:r w:rsidRPr="004C78D8">
              <w:rPr>
                <w:b/>
                <w:bCs/>
                <w:sz w:val="18"/>
                <w:szCs w:val="18"/>
              </w:rPr>
              <w:t>Abbreviation</w:t>
            </w:r>
            <w:r w:rsidR="00776136" w:rsidRPr="004C78D8">
              <w:rPr>
                <w:b/>
                <w:bCs/>
                <w:sz w:val="18"/>
                <w:szCs w:val="18"/>
              </w:rPr>
              <w:t>:</w:t>
            </w:r>
            <w:r w:rsidR="00776136" w:rsidRPr="004C78D8">
              <w:rPr>
                <w:sz w:val="18"/>
                <w:szCs w:val="18"/>
              </w:rPr>
              <w:t xml:space="preserve"> </w:t>
            </w:r>
            <w:r w:rsidR="003903BC" w:rsidRPr="004C78D8">
              <w:rPr>
                <w:sz w:val="18"/>
                <w:szCs w:val="18"/>
              </w:rPr>
              <w:t>ELSA: English Longitudinal Study of Ageing; Ref: reference; SE: standard error</w:t>
            </w:r>
            <w:r w:rsidR="00443082" w:rsidRPr="004C78D8">
              <w:rPr>
                <w:sz w:val="18"/>
                <w:szCs w:val="18"/>
              </w:rPr>
              <w:t>; SES: socioeconomic status</w:t>
            </w:r>
          </w:p>
        </w:tc>
      </w:tr>
    </w:tbl>
    <w:p w14:paraId="279714EF" w14:textId="77777777" w:rsidR="003903BC" w:rsidRPr="004C78D8" w:rsidRDefault="003903BC" w:rsidP="00FB7C1F"/>
    <w:p w14:paraId="6A0ACF0B" w14:textId="5470313F" w:rsidR="003903BC" w:rsidRPr="004C78D8" w:rsidRDefault="003903BC" w:rsidP="00FB7C1F">
      <w:r w:rsidRPr="004C78D8">
        <w:t>The best-fit model excluded the categorical variable for falls history as an explanatory variable. The inclusion of quadratic age term showed a non-linear association with age</w:t>
      </w:r>
      <w:r w:rsidR="003A26FC" w:rsidRPr="004C78D8">
        <w:t xml:space="preserve">. </w:t>
      </w:r>
      <w:r w:rsidRPr="004C78D8">
        <w:t xml:space="preserve">Women were less likely to engage in high physical activity, and there was a statistically significant social gradient in high physical activity </w:t>
      </w:r>
      <w:r w:rsidR="009A5410" w:rsidRPr="004C78D8">
        <w:t>probability</w:t>
      </w:r>
      <w:r w:rsidRPr="004C78D8">
        <w:t xml:space="preserve">. </w:t>
      </w:r>
      <w:r w:rsidR="00BA3A7D" w:rsidRPr="004C78D8">
        <w:t>Frailer</w:t>
      </w:r>
      <w:r w:rsidR="00472A81" w:rsidRPr="004C78D8">
        <w:t xml:space="preserve"> individuals </w:t>
      </w:r>
      <w:r w:rsidR="00BA3A7D" w:rsidRPr="004C78D8">
        <w:t xml:space="preserve">were less likely to engage </w:t>
      </w:r>
      <w:r w:rsidR="00472A81" w:rsidRPr="004C78D8">
        <w:t>in high physical activity</w:t>
      </w:r>
      <w:r w:rsidRPr="004C78D8">
        <w:t xml:space="preserve">. </w:t>
      </w:r>
    </w:p>
    <w:p w14:paraId="7B4D6F48" w14:textId="77777777" w:rsidR="00A416B6" w:rsidRPr="004C78D8" w:rsidRDefault="00A416B6" w:rsidP="00FB7C1F">
      <w:pPr>
        <w:pStyle w:val="Heading5"/>
      </w:pPr>
      <w:r w:rsidRPr="004C78D8">
        <w:t>Cognitive impairment</w:t>
      </w:r>
    </w:p>
    <w:p w14:paraId="1B8089EA" w14:textId="353A5E04" w:rsidR="00547C4C" w:rsidRPr="004C78D8" w:rsidRDefault="007F7D67" w:rsidP="00FB7C1F">
      <w:r w:rsidRPr="004C78D8">
        <w:t xml:space="preserve">The conceptual model identified cognitive impairment as a key </w:t>
      </w:r>
      <w:r w:rsidR="009A5410" w:rsidRPr="004C78D8">
        <w:t>causal variable (Section 3.6.3)</w:t>
      </w:r>
      <w:r w:rsidRPr="004C78D8">
        <w:t xml:space="preserve">. </w:t>
      </w:r>
      <w:r w:rsidR="00EC2C08" w:rsidRPr="004C78D8">
        <w:t>T</w:t>
      </w:r>
      <w:r w:rsidR="00DE2E34" w:rsidRPr="004C78D8">
        <w:t xml:space="preserve">he model </w:t>
      </w:r>
      <w:r w:rsidR="00EC2C08" w:rsidRPr="004C78D8">
        <w:t xml:space="preserve">hence </w:t>
      </w:r>
      <w:r w:rsidR="00DE2E34" w:rsidRPr="004C78D8">
        <w:t>incorporated a binary indicator for cognitive impairment</w:t>
      </w:r>
      <w:r w:rsidR="009A5410" w:rsidRPr="004C78D8">
        <w:t xml:space="preserve">. </w:t>
      </w:r>
      <w:r w:rsidR="002A2C59" w:rsidRPr="004C78D8">
        <w:t xml:space="preserve">ELSA appeared to under-report the prevalence of severe cognitive impairment: the combined prevalence of </w:t>
      </w:r>
      <w:r w:rsidR="008303CB" w:rsidRPr="004C78D8">
        <w:t xml:space="preserve">self-reported </w:t>
      </w:r>
      <w:r w:rsidR="002A2C59" w:rsidRPr="004C78D8">
        <w:t xml:space="preserve">dementia and Alzheimer’s disease </w:t>
      </w:r>
      <w:r w:rsidR="008303CB" w:rsidRPr="004C78D8">
        <w:t xml:space="preserve">diagnosis </w:t>
      </w:r>
      <w:r w:rsidR="002A2C59" w:rsidRPr="004C78D8">
        <w:t>was less than 1% of the population aged 65</w:t>
      </w:r>
      <w:r w:rsidR="009A5410" w:rsidRPr="004C78D8">
        <w:t>+</w:t>
      </w:r>
      <w:r w:rsidR="002A2C59" w:rsidRPr="004C78D8">
        <w:t xml:space="preserve"> compared to estimates of around 5% in other epidemiological studies </w:t>
      </w:r>
      <w:r w:rsidRPr="004C78D8">
        <w:fldChar w:fldCharType="begin"/>
      </w:r>
      <w:r w:rsidR="00C630FC" w:rsidRPr="004C78D8">
        <w:instrText xml:space="preserve"> ADDIN EN.CITE &lt;EndNote&gt;&lt;Cite&gt;&lt;Author&gt;Bunn&lt;/Author&gt;&lt;Year&gt;2015&lt;/Year&gt;&lt;RecNum&gt;149&lt;/RecNum&gt;&lt;DisplayText&gt;[392]&lt;/DisplayText&gt;&lt;record&gt;&lt;rec-number&gt;149&lt;/rec-number&gt;&lt;foreign-keys&gt;&lt;key app="EN" db-id="tdtrdw9aepptzbefsat599syza29sxsd2wsp" timestamp="1604349531"&gt;149&lt;/key&gt;&lt;/foreign-keys&gt;&lt;ref-type name="Journal Article"&gt;17&lt;/ref-type&gt;&lt;contributors&gt;&lt;authors&gt;&lt;author&gt;Bunn, Frances&lt;/author&gt;&lt;author&gt;Goodman, Claire&lt;/author&gt;&lt;author&gt;Burn, Anne-Marie&lt;/author&gt;&lt;/authors&gt;&lt;/contributors&gt;&lt;titles&gt;&lt;title&gt;Multimorbidity and frailty in people with dementia&lt;/title&gt;&lt;secondary-title&gt;Nursing Standard&lt;/secondary-title&gt;&lt;/titles&gt;&lt;periodical&gt;&lt;full-title&gt;Nursing Standard&lt;/full-title&gt;&lt;/periodical&gt;&lt;dates&gt;&lt;year&gt;2015&lt;/year&gt;&lt;/dates&gt;&lt;urls&gt;&lt;/urls&gt;&lt;/record&gt;&lt;/Cite&gt;&lt;/EndNote&gt;</w:instrText>
      </w:r>
      <w:r w:rsidRPr="004C78D8">
        <w:fldChar w:fldCharType="separate"/>
      </w:r>
      <w:r w:rsidR="00C630FC" w:rsidRPr="004C78D8">
        <w:rPr>
          <w:noProof/>
        </w:rPr>
        <w:t>[392]</w:t>
      </w:r>
      <w:r w:rsidRPr="004C78D8">
        <w:fldChar w:fldCharType="end"/>
      </w:r>
      <w:r w:rsidR="002A2C59" w:rsidRPr="004C78D8">
        <w:t>. ELSA also contained no validated measure of cognitive impairment such as the mini-mental state examination. However, ELSA reported other measures of cognitive function based on tests of memory, mental speed</w:t>
      </w:r>
      <w:r w:rsidR="00AC4210" w:rsidRPr="004C78D8">
        <w:t>,</w:t>
      </w:r>
      <w:r w:rsidR="002A2C59" w:rsidRPr="004C78D8">
        <w:t xml:space="preserve"> and numeracy </w:t>
      </w:r>
      <w:r w:rsidRPr="004C78D8">
        <w:fldChar w:fldCharType="begin"/>
      </w:r>
      <w:r w:rsidR="00C630FC" w:rsidRPr="004C78D8">
        <w:instrText xml:space="preserve"> ADDIN EN.CITE &lt;EndNote&gt;&lt;Cite&gt;&lt;Author&gt;NatCen Social Research&lt;/Author&gt;&lt;Year&gt;2012&lt;/Year&gt;&lt;RecNum&gt;36&lt;/RecNum&gt;&lt;DisplayText&gt;[382]&lt;/DisplayText&gt;&lt;record&gt;&lt;rec-number&gt;36&lt;/rec-number&gt;&lt;foreign-keys&gt;&lt;key app="EN" db-id="tdtrdw9aepptzbefsat599syza29sxsd2wsp" timestamp="1596826737"&gt;36&lt;/key&gt;&lt;/foreign-keys&gt;&lt;ref-type name="Journal Article"&gt;17&lt;/ref-type&gt;&lt;contributors&gt;&lt;authors&gt;&lt;author&gt;NatCen Social Research,&lt;/author&gt;&lt;/authors&gt;&lt;/contributors&gt;&lt;titles&gt;&lt;title&gt;English Longitudinal Study of Ageing (ELSA) Wave One to Wave Five: User Guide to the datasets&lt;/title&gt;&lt;/titles&gt;&lt;dates&gt;&lt;year&gt;2012&lt;/year&gt;&lt;/dates&gt;&lt;urls&gt;&lt;/urls&gt;&lt;/record&gt;&lt;/Cite&gt;&lt;/EndNote&gt;</w:instrText>
      </w:r>
      <w:r w:rsidRPr="004C78D8">
        <w:fldChar w:fldCharType="separate"/>
      </w:r>
      <w:r w:rsidR="00C630FC" w:rsidRPr="004C78D8">
        <w:rPr>
          <w:noProof/>
        </w:rPr>
        <w:t>[382]</w:t>
      </w:r>
      <w:r w:rsidRPr="004C78D8">
        <w:fldChar w:fldCharType="end"/>
      </w:r>
      <w:r w:rsidR="002A2C59" w:rsidRPr="004C78D8">
        <w:t xml:space="preserve">. </w:t>
      </w:r>
    </w:p>
    <w:p w14:paraId="32866F34" w14:textId="5C65B9F8" w:rsidR="00C4213B" w:rsidRPr="004C78D8" w:rsidRDefault="00C4213B" w:rsidP="00FB7C1F">
      <w:r w:rsidRPr="004C78D8">
        <w:t xml:space="preserve">From these </w:t>
      </w:r>
      <w:r w:rsidR="00547C4C" w:rsidRPr="004C78D8">
        <w:t>measures</w:t>
      </w:r>
      <w:r w:rsidRPr="004C78D8">
        <w:t>, a composite measure of cognitive impairment was constructed. Individuals in the bottom quartile for scores from all of the following cognition tests – date recall, word recall (with and without delay)</w:t>
      </w:r>
      <w:r w:rsidR="00AC4210" w:rsidRPr="004C78D8">
        <w:t>,</w:t>
      </w:r>
      <w:r w:rsidRPr="004C78D8">
        <w:t xml:space="preserve"> and animal name recall (numeracy score was only available in Wave 4 and hence not used) – were </w:t>
      </w:r>
      <w:r w:rsidR="008303CB" w:rsidRPr="004C78D8">
        <w:t xml:space="preserve">classified as cognitively impaired. </w:t>
      </w:r>
      <w:r w:rsidR="007F7D67" w:rsidRPr="004C78D8">
        <w:t>One UK</w:t>
      </w:r>
      <w:r w:rsidR="008303CB" w:rsidRPr="004C78D8">
        <w:t xml:space="preserve"> survey reported a</w:t>
      </w:r>
      <w:r w:rsidR="007F7D67" w:rsidRPr="004C78D8">
        <w:t xml:space="preserve"> </w:t>
      </w:r>
      <w:r w:rsidR="008303CB" w:rsidRPr="004C78D8">
        <w:t xml:space="preserve">prevalence </w:t>
      </w:r>
      <w:r w:rsidR="007F7D67" w:rsidRPr="004C78D8">
        <w:t xml:space="preserve">rate of mild cognitive impairment and dementia </w:t>
      </w:r>
      <w:r w:rsidR="008303CB" w:rsidRPr="004C78D8">
        <w:t>of 21.8%</w:t>
      </w:r>
      <w:r w:rsidR="003A188E" w:rsidRPr="004C78D8">
        <w:t xml:space="preserve"> </w:t>
      </w:r>
      <w:r w:rsidR="007F7D67" w:rsidRPr="004C78D8">
        <w:t>for men aged 65-84</w:t>
      </w:r>
      <w:r w:rsidR="003A188E" w:rsidRPr="004C78D8">
        <w:t xml:space="preserve"> </w:t>
      </w:r>
      <w:r w:rsidR="007F7D67" w:rsidRPr="004C78D8">
        <w:fldChar w:fldCharType="begin"/>
      </w:r>
      <w:r w:rsidR="00C630FC" w:rsidRPr="004C78D8">
        <w:instrText xml:space="preserve"> ADDIN EN.CITE &lt;EndNote&gt;&lt;Cite&gt;&lt;Author&gt;Fish&lt;/Author&gt;&lt;Year&gt;2008&lt;/Year&gt;&lt;RecNum&gt;150&lt;/RecNum&gt;&lt;DisplayText&gt;[319]&lt;/DisplayText&gt;&lt;record&gt;&lt;rec-number&gt;150&lt;/rec-number&gt;&lt;foreign-keys&gt;&lt;key app="EN" db-id="tdtrdw9aepptzbefsat599syza29sxsd2wsp" timestamp="1604359150"&gt;150&lt;/key&gt;&lt;/foreign-keys&gt;&lt;ref-type name="Journal Article"&gt;17&lt;/ref-type&gt;&lt;contributors&gt;&lt;authors&gt;&lt;author&gt;Fish, M&lt;/author&gt;&lt;author&gt;Bayer, AJ&lt;/author&gt;&lt;author&gt;Gallacher, JEJ&lt;/author&gt;&lt;author&gt;Bell, T&lt;/author&gt;&lt;author&gt;Pickering, J&lt;/author&gt;&lt;author&gt;Pedro, S&lt;/author&gt;&lt;author&gt;Dunstan, FD&lt;/author&gt;&lt;author&gt;Ben-Shlomo, Y&lt;/author&gt;&lt;author&gt;Ebrahim, S&lt;/author&gt;&lt;/authors&gt;&lt;/contributors&gt;&lt;titles&gt;&lt;title&gt;Prevalence and pattern of cognitive impairment in a community cohort of men in South Wales: methodology and findings from the Caerphilly Prospective Study&lt;/title&gt;&lt;secondary-title&gt;Neuroepidemiology&lt;/secondary-title&gt;&lt;/titles&gt;&lt;periodical&gt;&lt;full-title&gt;Neuroepidemiology&lt;/full-title&gt;&lt;/periodical&gt;&lt;pages&gt;25-33&lt;/pages&gt;&lt;volume&gt;30&lt;/volume&gt;&lt;number&gt;1&lt;/number&gt;&lt;dates&gt;&lt;year&gt;2008&lt;/year&gt;&lt;/dates&gt;&lt;isbn&gt;0251-5350&lt;/isbn&gt;&lt;urls&gt;&lt;/urls&gt;&lt;/record&gt;&lt;/Cite&gt;&lt;/EndNote&gt;</w:instrText>
      </w:r>
      <w:r w:rsidR="007F7D67" w:rsidRPr="004C78D8">
        <w:fldChar w:fldCharType="separate"/>
      </w:r>
      <w:r w:rsidR="00C630FC" w:rsidRPr="004C78D8">
        <w:rPr>
          <w:noProof/>
        </w:rPr>
        <w:t>[319]</w:t>
      </w:r>
      <w:r w:rsidR="007F7D67" w:rsidRPr="004C78D8">
        <w:fldChar w:fldCharType="end"/>
      </w:r>
      <w:r w:rsidR="003A188E" w:rsidRPr="004C78D8">
        <w:t xml:space="preserve">. </w:t>
      </w:r>
      <w:r w:rsidR="00E2252C" w:rsidRPr="004C78D8">
        <w:t>In comparison, the composite measure estimated the prevalence of 23.0% for men aged 65-84 in ELSA Waves 4</w:t>
      </w:r>
      <w:r w:rsidR="00F25B67" w:rsidRPr="004C78D8">
        <w:t>-</w:t>
      </w:r>
      <w:r w:rsidR="00E2252C" w:rsidRPr="004C78D8">
        <w:t>5</w:t>
      </w:r>
      <w:r w:rsidR="0051452F" w:rsidRPr="004C78D8">
        <w:t xml:space="preserve">. Given the </w:t>
      </w:r>
      <w:r w:rsidR="007F7D67" w:rsidRPr="004C78D8">
        <w:t>comparable</w:t>
      </w:r>
      <w:r w:rsidR="0051452F" w:rsidRPr="004C78D8">
        <w:t xml:space="preserve"> prevalence, the ELSA variable was </w:t>
      </w:r>
      <w:r w:rsidR="007F7D67" w:rsidRPr="004C78D8">
        <w:t>used as an indicator</w:t>
      </w:r>
      <w:r w:rsidR="0051452F" w:rsidRPr="004C78D8">
        <w:t xml:space="preserve"> of cognitive impairment. Table </w:t>
      </w:r>
      <w:r w:rsidR="00D34803" w:rsidRPr="004C78D8">
        <w:t>5</w:t>
      </w:r>
      <w:r w:rsidR="007F7D67" w:rsidRPr="004C78D8">
        <w:t>.</w:t>
      </w:r>
      <w:r w:rsidR="0094422E" w:rsidRPr="004C78D8">
        <w:t>9</w:t>
      </w:r>
      <w:r w:rsidR="0051452F" w:rsidRPr="004C78D8">
        <w:t xml:space="preserve"> shows the regression coefficients for the best-fit model</w:t>
      </w:r>
      <w:r w:rsidR="00221E6E" w:rsidRPr="004C78D8">
        <w:t>.</w:t>
      </w:r>
    </w:p>
    <w:tbl>
      <w:tblPr>
        <w:tblStyle w:val="TableGrid"/>
        <w:tblW w:w="0" w:type="auto"/>
        <w:tblInd w:w="-5" w:type="dxa"/>
        <w:tblLook w:val="04A0" w:firstRow="1" w:lastRow="0" w:firstColumn="1" w:lastColumn="0" w:noHBand="0" w:noVBand="1"/>
      </w:tblPr>
      <w:tblGrid>
        <w:gridCol w:w="2263"/>
        <w:gridCol w:w="1701"/>
        <w:gridCol w:w="1701"/>
      </w:tblGrid>
      <w:tr w:rsidR="00C208B3" w:rsidRPr="004C78D8" w14:paraId="345E3939" w14:textId="77777777" w:rsidTr="00E35893">
        <w:tc>
          <w:tcPr>
            <w:tcW w:w="5665" w:type="dxa"/>
            <w:gridSpan w:val="3"/>
          </w:tcPr>
          <w:p w14:paraId="35CDD481" w14:textId="459C594D" w:rsidR="00C208B3" w:rsidRPr="004C78D8" w:rsidRDefault="00C208B3" w:rsidP="00FB7C1F">
            <w:r w:rsidRPr="004C78D8">
              <w:rPr>
                <w:b/>
                <w:bCs/>
              </w:rPr>
              <w:t xml:space="preserve">Table </w:t>
            </w:r>
            <w:r w:rsidR="00D34803" w:rsidRPr="004C78D8">
              <w:rPr>
                <w:b/>
                <w:bCs/>
              </w:rPr>
              <w:t>5</w:t>
            </w:r>
            <w:r w:rsidR="007F7D67" w:rsidRPr="004C78D8">
              <w:rPr>
                <w:b/>
                <w:bCs/>
              </w:rPr>
              <w:t>.</w:t>
            </w:r>
            <w:r w:rsidR="0094422E" w:rsidRPr="004C78D8">
              <w:rPr>
                <w:b/>
                <w:bCs/>
              </w:rPr>
              <w:t>9</w:t>
            </w:r>
            <w:r w:rsidRPr="004C78D8">
              <w:t xml:space="preserve"> Logistic regression coefficients for cognitive impairment </w:t>
            </w:r>
            <w:r w:rsidR="00547C4C" w:rsidRPr="004C78D8">
              <w:t>from</w:t>
            </w:r>
            <w:r w:rsidRPr="004C78D8">
              <w:t xml:space="preserve"> ELSA Waves 4 and 5</w:t>
            </w:r>
            <w:r w:rsidR="00547C4C" w:rsidRPr="004C78D8">
              <w:t>.</w:t>
            </w:r>
          </w:p>
        </w:tc>
      </w:tr>
      <w:tr w:rsidR="00C208B3" w:rsidRPr="004C78D8" w14:paraId="51733CB0" w14:textId="77777777" w:rsidTr="00E35893">
        <w:tc>
          <w:tcPr>
            <w:tcW w:w="5665" w:type="dxa"/>
            <w:gridSpan w:val="3"/>
          </w:tcPr>
          <w:p w14:paraId="1DC609D0" w14:textId="5343A2BE" w:rsidR="00C208B3" w:rsidRPr="004C78D8" w:rsidRDefault="00C208B3" w:rsidP="00FB7C1F">
            <w:pPr>
              <w:jc w:val="left"/>
              <w:rPr>
                <w:b/>
                <w:bCs/>
                <w:i/>
                <w:iCs/>
                <w:sz w:val="20"/>
                <w:szCs w:val="20"/>
              </w:rPr>
            </w:pPr>
            <w:r w:rsidRPr="004C78D8">
              <w:rPr>
                <w:b/>
                <w:bCs/>
                <w:i/>
                <w:iCs/>
                <w:sz w:val="20"/>
                <w:szCs w:val="20"/>
              </w:rPr>
              <w:t>Dependent variable: Cognitive impairment (N=13,422)</w:t>
            </w:r>
          </w:p>
        </w:tc>
      </w:tr>
      <w:tr w:rsidR="00C208B3" w:rsidRPr="004C78D8" w14:paraId="6DC98942" w14:textId="77777777" w:rsidTr="00E35893">
        <w:tc>
          <w:tcPr>
            <w:tcW w:w="2263" w:type="dxa"/>
            <w:tcBorders>
              <w:bottom w:val="single" w:sz="4" w:space="0" w:color="auto"/>
            </w:tcBorders>
          </w:tcPr>
          <w:p w14:paraId="4CEC1AC2" w14:textId="77777777" w:rsidR="00C208B3" w:rsidRPr="004C78D8" w:rsidRDefault="00C208B3" w:rsidP="00FB7C1F">
            <w:pPr>
              <w:rPr>
                <w:b/>
                <w:bCs/>
                <w:sz w:val="20"/>
                <w:szCs w:val="20"/>
              </w:rPr>
            </w:pPr>
            <w:r w:rsidRPr="004C78D8">
              <w:rPr>
                <w:b/>
                <w:bCs/>
                <w:sz w:val="20"/>
                <w:szCs w:val="20"/>
              </w:rPr>
              <w:t>Explanatory variables</w:t>
            </w:r>
          </w:p>
        </w:tc>
        <w:tc>
          <w:tcPr>
            <w:tcW w:w="1701" w:type="dxa"/>
            <w:tcBorders>
              <w:bottom w:val="single" w:sz="4" w:space="0" w:color="auto"/>
            </w:tcBorders>
          </w:tcPr>
          <w:p w14:paraId="18CB50C2" w14:textId="77777777" w:rsidR="00C208B3" w:rsidRPr="004C78D8" w:rsidRDefault="00C208B3" w:rsidP="00FB7C1F">
            <w:pPr>
              <w:jc w:val="center"/>
              <w:rPr>
                <w:b/>
                <w:bCs/>
                <w:sz w:val="20"/>
                <w:szCs w:val="20"/>
              </w:rPr>
            </w:pPr>
            <w:r w:rsidRPr="004C78D8">
              <w:rPr>
                <w:b/>
                <w:bCs/>
                <w:sz w:val="20"/>
                <w:szCs w:val="20"/>
              </w:rPr>
              <w:t>Coefficient (SE)</w:t>
            </w:r>
          </w:p>
        </w:tc>
        <w:tc>
          <w:tcPr>
            <w:tcW w:w="1701" w:type="dxa"/>
            <w:tcBorders>
              <w:bottom w:val="single" w:sz="4" w:space="0" w:color="auto"/>
            </w:tcBorders>
          </w:tcPr>
          <w:p w14:paraId="4AE5D281" w14:textId="77777777" w:rsidR="00C208B3" w:rsidRPr="004C78D8" w:rsidRDefault="00C208B3" w:rsidP="00FB7C1F">
            <w:pPr>
              <w:jc w:val="center"/>
              <w:rPr>
                <w:b/>
                <w:bCs/>
                <w:sz w:val="20"/>
                <w:szCs w:val="20"/>
              </w:rPr>
            </w:pPr>
            <w:r w:rsidRPr="004C78D8">
              <w:rPr>
                <w:b/>
                <w:bCs/>
                <w:sz w:val="20"/>
                <w:szCs w:val="20"/>
              </w:rPr>
              <w:t>P-value</w:t>
            </w:r>
          </w:p>
        </w:tc>
      </w:tr>
      <w:tr w:rsidR="00C208B3" w:rsidRPr="004C78D8" w14:paraId="49009C17" w14:textId="77777777" w:rsidTr="00E35893">
        <w:tc>
          <w:tcPr>
            <w:tcW w:w="2263" w:type="dxa"/>
            <w:tcBorders>
              <w:bottom w:val="nil"/>
            </w:tcBorders>
          </w:tcPr>
          <w:p w14:paraId="67A3A67B" w14:textId="77777777" w:rsidR="00C208B3" w:rsidRPr="004C78D8" w:rsidRDefault="00C208B3" w:rsidP="00FB7C1F">
            <w:pPr>
              <w:rPr>
                <w:sz w:val="18"/>
                <w:szCs w:val="18"/>
              </w:rPr>
            </w:pPr>
            <w:r w:rsidRPr="004C78D8">
              <w:rPr>
                <w:sz w:val="18"/>
                <w:szCs w:val="18"/>
              </w:rPr>
              <w:t>Constant</w:t>
            </w:r>
          </w:p>
        </w:tc>
        <w:tc>
          <w:tcPr>
            <w:tcW w:w="1701" w:type="dxa"/>
            <w:tcBorders>
              <w:bottom w:val="nil"/>
            </w:tcBorders>
          </w:tcPr>
          <w:p w14:paraId="0C36A01E" w14:textId="79B54760" w:rsidR="00C208B3" w:rsidRPr="004C78D8" w:rsidRDefault="003A26FC" w:rsidP="00FB7C1F">
            <w:pPr>
              <w:jc w:val="center"/>
              <w:rPr>
                <w:sz w:val="18"/>
                <w:szCs w:val="18"/>
              </w:rPr>
            </w:pPr>
            <w:r w:rsidRPr="004C78D8">
              <w:rPr>
                <w:sz w:val="18"/>
                <w:szCs w:val="18"/>
              </w:rPr>
              <w:t>0.639</w:t>
            </w:r>
            <w:r w:rsidR="00C208B3" w:rsidRPr="004C78D8">
              <w:rPr>
                <w:sz w:val="18"/>
                <w:szCs w:val="18"/>
              </w:rPr>
              <w:t xml:space="preserve"> (2.475)</w:t>
            </w:r>
          </w:p>
        </w:tc>
        <w:tc>
          <w:tcPr>
            <w:tcW w:w="1701" w:type="dxa"/>
            <w:tcBorders>
              <w:bottom w:val="nil"/>
            </w:tcBorders>
          </w:tcPr>
          <w:p w14:paraId="26A953CD" w14:textId="067B7237" w:rsidR="00C208B3" w:rsidRPr="004C78D8" w:rsidRDefault="00C208B3" w:rsidP="00FB7C1F">
            <w:pPr>
              <w:jc w:val="center"/>
              <w:rPr>
                <w:sz w:val="18"/>
                <w:szCs w:val="18"/>
              </w:rPr>
            </w:pPr>
            <w:r w:rsidRPr="004C78D8">
              <w:rPr>
                <w:sz w:val="18"/>
                <w:szCs w:val="18"/>
              </w:rPr>
              <w:t>0.</w:t>
            </w:r>
            <w:r w:rsidR="003A26FC" w:rsidRPr="004C78D8">
              <w:rPr>
                <w:sz w:val="18"/>
                <w:szCs w:val="18"/>
              </w:rPr>
              <w:t>723</w:t>
            </w:r>
          </w:p>
        </w:tc>
      </w:tr>
      <w:tr w:rsidR="00C208B3" w:rsidRPr="004C78D8" w14:paraId="3D72AF1A" w14:textId="77777777" w:rsidTr="00E35893">
        <w:tc>
          <w:tcPr>
            <w:tcW w:w="2263" w:type="dxa"/>
            <w:tcBorders>
              <w:top w:val="nil"/>
              <w:bottom w:val="nil"/>
            </w:tcBorders>
          </w:tcPr>
          <w:p w14:paraId="3770F62C" w14:textId="77777777" w:rsidR="00C208B3" w:rsidRPr="004C78D8" w:rsidRDefault="00C208B3" w:rsidP="00FB7C1F">
            <w:pPr>
              <w:rPr>
                <w:sz w:val="18"/>
                <w:szCs w:val="18"/>
              </w:rPr>
            </w:pPr>
            <w:r w:rsidRPr="004C78D8">
              <w:rPr>
                <w:sz w:val="18"/>
                <w:szCs w:val="18"/>
              </w:rPr>
              <w:t>Age</w:t>
            </w:r>
          </w:p>
        </w:tc>
        <w:tc>
          <w:tcPr>
            <w:tcW w:w="1701" w:type="dxa"/>
            <w:tcBorders>
              <w:top w:val="nil"/>
              <w:bottom w:val="nil"/>
            </w:tcBorders>
          </w:tcPr>
          <w:p w14:paraId="03A0CB55" w14:textId="002BB988" w:rsidR="00C208B3" w:rsidRPr="004C78D8" w:rsidRDefault="003A26FC" w:rsidP="00FB7C1F">
            <w:pPr>
              <w:jc w:val="center"/>
              <w:rPr>
                <w:sz w:val="18"/>
                <w:szCs w:val="18"/>
              </w:rPr>
            </w:pPr>
            <w:r w:rsidRPr="004C78D8">
              <w:rPr>
                <w:sz w:val="18"/>
                <w:szCs w:val="18"/>
              </w:rPr>
              <w:t>-</w:t>
            </w:r>
            <w:r w:rsidR="00C208B3" w:rsidRPr="004C78D8">
              <w:rPr>
                <w:sz w:val="18"/>
                <w:szCs w:val="18"/>
              </w:rPr>
              <w:t>0.</w:t>
            </w:r>
            <w:r w:rsidR="00CE6A51" w:rsidRPr="004C78D8">
              <w:rPr>
                <w:sz w:val="18"/>
                <w:szCs w:val="18"/>
              </w:rPr>
              <w:t>099</w:t>
            </w:r>
            <w:r w:rsidR="00C208B3" w:rsidRPr="004C78D8">
              <w:rPr>
                <w:sz w:val="18"/>
                <w:szCs w:val="18"/>
              </w:rPr>
              <w:t xml:space="preserve"> (0.0</w:t>
            </w:r>
            <w:r w:rsidR="00CE6A51" w:rsidRPr="004C78D8">
              <w:rPr>
                <w:sz w:val="18"/>
                <w:szCs w:val="18"/>
              </w:rPr>
              <w:t>49</w:t>
            </w:r>
            <w:r w:rsidR="00C208B3" w:rsidRPr="004C78D8">
              <w:rPr>
                <w:sz w:val="18"/>
                <w:szCs w:val="18"/>
              </w:rPr>
              <w:t>)</w:t>
            </w:r>
          </w:p>
        </w:tc>
        <w:tc>
          <w:tcPr>
            <w:tcW w:w="1701" w:type="dxa"/>
            <w:tcBorders>
              <w:top w:val="nil"/>
              <w:bottom w:val="nil"/>
            </w:tcBorders>
          </w:tcPr>
          <w:p w14:paraId="4AA52B15" w14:textId="2AEA808C" w:rsidR="00C208B3" w:rsidRPr="004C78D8" w:rsidRDefault="00C208B3" w:rsidP="00FB7C1F">
            <w:pPr>
              <w:jc w:val="center"/>
              <w:rPr>
                <w:sz w:val="18"/>
                <w:szCs w:val="18"/>
              </w:rPr>
            </w:pPr>
            <w:r w:rsidRPr="004C78D8">
              <w:rPr>
                <w:sz w:val="18"/>
                <w:szCs w:val="18"/>
              </w:rPr>
              <w:t>0.0</w:t>
            </w:r>
            <w:r w:rsidR="003A26FC" w:rsidRPr="004C78D8">
              <w:rPr>
                <w:sz w:val="18"/>
                <w:szCs w:val="18"/>
              </w:rPr>
              <w:t>42</w:t>
            </w:r>
          </w:p>
        </w:tc>
      </w:tr>
      <w:tr w:rsidR="00C208B3" w:rsidRPr="004C78D8" w14:paraId="73279A74" w14:textId="77777777" w:rsidTr="00E35893">
        <w:tc>
          <w:tcPr>
            <w:tcW w:w="2263" w:type="dxa"/>
            <w:tcBorders>
              <w:top w:val="nil"/>
              <w:bottom w:val="nil"/>
            </w:tcBorders>
          </w:tcPr>
          <w:p w14:paraId="73B4568D" w14:textId="77777777" w:rsidR="00C208B3" w:rsidRPr="004C78D8" w:rsidRDefault="00C208B3" w:rsidP="00FB7C1F">
            <w:pPr>
              <w:rPr>
                <w:sz w:val="18"/>
                <w:szCs w:val="18"/>
              </w:rPr>
            </w:pPr>
            <w:r w:rsidRPr="004C78D8">
              <w:rPr>
                <w:sz w:val="18"/>
                <w:szCs w:val="18"/>
              </w:rPr>
              <w:t>Age^2</w:t>
            </w:r>
          </w:p>
        </w:tc>
        <w:tc>
          <w:tcPr>
            <w:tcW w:w="1701" w:type="dxa"/>
            <w:tcBorders>
              <w:top w:val="nil"/>
              <w:bottom w:val="nil"/>
            </w:tcBorders>
          </w:tcPr>
          <w:p w14:paraId="686964D1" w14:textId="01CF152C" w:rsidR="00C208B3" w:rsidRPr="004C78D8" w:rsidRDefault="00C208B3" w:rsidP="00FB7C1F">
            <w:pPr>
              <w:jc w:val="center"/>
              <w:rPr>
                <w:sz w:val="18"/>
                <w:szCs w:val="18"/>
              </w:rPr>
            </w:pPr>
            <w:r w:rsidRPr="004C78D8">
              <w:rPr>
                <w:sz w:val="18"/>
                <w:szCs w:val="18"/>
              </w:rPr>
              <w:t>0.001 (0.000</w:t>
            </w:r>
            <w:r w:rsidR="003A26FC" w:rsidRPr="004C78D8">
              <w:rPr>
                <w:sz w:val="18"/>
                <w:szCs w:val="18"/>
              </w:rPr>
              <w:t>3</w:t>
            </w:r>
            <w:r w:rsidRPr="004C78D8">
              <w:rPr>
                <w:sz w:val="18"/>
                <w:szCs w:val="18"/>
              </w:rPr>
              <w:t>)</w:t>
            </w:r>
          </w:p>
        </w:tc>
        <w:tc>
          <w:tcPr>
            <w:tcW w:w="1701" w:type="dxa"/>
            <w:tcBorders>
              <w:top w:val="nil"/>
              <w:bottom w:val="nil"/>
            </w:tcBorders>
          </w:tcPr>
          <w:p w14:paraId="2E4DA109" w14:textId="15B63427" w:rsidR="00C208B3" w:rsidRPr="004C78D8" w:rsidRDefault="00C208B3" w:rsidP="00FB7C1F">
            <w:pPr>
              <w:jc w:val="center"/>
              <w:rPr>
                <w:sz w:val="18"/>
                <w:szCs w:val="18"/>
              </w:rPr>
            </w:pPr>
            <w:r w:rsidRPr="004C78D8">
              <w:rPr>
                <w:sz w:val="18"/>
                <w:szCs w:val="18"/>
              </w:rPr>
              <w:t>0.00</w:t>
            </w:r>
            <w:r w:rsidR="003A26FC" w:rsidRPr="004C78D8">
              <w:rPr>
                <w:sz w:val="18"/>
                <w:szCs w:val="18"/>
              </w:rPr>
              <w:t>3</w:t>
            </w:r>
          </w:p>
        </w:tc>
      </w:tr>
      <w:tr w:rsidR="00C208B3" w:rsidRPr="004C78D8" w14:paraId="3FC9A1CF" w14:textId="77777777" w:rsidTr="00E35893">
        <w:tc>
          <w:tcPr>
            <w:tcW w:w="2263" w:type="dxa"/>
            <w:tcBorders>
              <w:top w:val="nil"/>
              <w:bottom w:val="nil"/>
            </w:tcBorders>
          </w:tcPr>
          <w:p w14:paraId="515D3938" w14:textId="77777777" w:rsidR="00C208B3" w:rsidRPr="004C78D8" w:rsidRDefault="00C208B3" w:rsidP="00FB7C1F">
            <w:pPr>
              <w:rPr>
                <w:sz w:val="18"/>
                <w:szCs w:val="18"/>
              </w:rPr>
            </w:pPr>
            <w:r w:rsidRPr="004C78D8">
              <w:rPr>
                <w:sz w:val="18"/>
                <w:szCs w:val="18"/>
              </w:rPr>
              <w:t>Female</w:t>
            </w:r>
          </w:p>
        </w:tc>
        <w:tc>
          <w:tcPr>
            <w:tcW w:w="1701" w:type="dxa"/>
            <w:tcBorders>
              <w:top w:val="nil"/>
              <w:bottom w:val="nil"/>
            </w:tcBorders>
          </w:tcPr>
          <w:p w14:paraId="0068F489" w14:textId="2E692773" w:rsidR="00C208B3" w:rsidRPr="004C78D8" w:rsidRDefault="00C208B3" w:rsidP="00FB7C1F">
            <w:pPr>
              <w:jc w:val="center"/>
              <w:rPr>
                <w:sz w:val="18"/>
                <w:szCs w:val="18"/>
              </w:rPr>
            </w:pPr>
            <w:r w:rsidRPr="004C78D8">
              <w:rPr>
                <w:sz w:val="18"/>
                <w:szCs w:val="18"/>
              </w:rPr>
              <w:t>-0.</w:t>
            </w:r>
            <w:r w:rsidR="003A26FC" w:rsidRPr="004C78D8">
              <w:rPr>
                <w:sz w:val="18"/>
                <w:szCs w:val="18"/>
              </w:rPr>
              <w:t>340</w:t>
            </w:r>
            <w:r w:rsidRPr="004C78D8">
              <w:rPr>
                <w:sz w:val="18"/>
                <w:szCs w:val="18"/>
              </w:rPr>
              <w:t xml:space="preserve"> (0.04</w:t>
            </w:r>
            <w:r w:rsidR="003A26FC" w:rsidRPr="004C78D8">
              <w:rPr>
                <w:sz w:val="18"/>
                <w:szCs w:val="18"/>
              </w:rPr>
              <w:t>5</w:t>
            </w:r>
            <w:r w:rsidRPr="004C78D8">
              <w:rPr>
                <w:sz w:val="18"/>
                <w:szCs w:val="18"/>
              </w:rPr>
              <w:t>)</w:t>
            </w:r>
          </w:p>
        </w:tc>
        <w:tc>
          <w:tcPr>
            <w:tcW w:w="1701" w:type="dxa"/>
            <w:tcBorders>
              <w:top w:val="nil"/>
              <w:bottom w:val="nil"/>
            </w:tcBorders>
          </w:tcPr>
          <w:p w14:paraId="5579E16B" w14:textId="77777777" w:rsidR="00C208B3" w:rsidRPr="004C78D8" w:rsidRDefault="00C208B3" w:rsidP="00FB7C1F">
            <w:pPr>
              <w:jc w:val="center"/>
              <w:rPr>
                <w:sz w:val="18"/>
                <w:szCs w:val="18"/>
              </w:rPr>
            </w:pPr>
            <w:r w:rsidRPr="004C78D8">
              <w:rPr>
                <w:sz w:val="18"/>
                <w:szCs w:val="18"/>
              </w:rPr>
              <w:t>&lt;0.001</w:t>
            </w:r>
          </w:p>
        </w:tc>
      </w:tr>
      <w:tr w:rsidR="00C208B3" w:rsidRPr="004C78D8" w14:paraId="67C5A18B" w14:textId="77777777" w:rsidTr="00E35893">
        <w:tc>
          <w:tcPr>
            <w:tcW w:w="2263" w:type="dxa"/>
            <w:tcBorders>
              <w:top w:val="nil"/>
              <w:bottom w:val="nil"/>
            </w:tcBorders>
          </w:tcPr>
          <w:p w14:paraId="3551658E" w14:textId="22D664BC" w:rsidR="00C208B3" w:rsidRPr="004C78D8" w:rsidRDefault="002C5F62" w:rsidP="00FB7C1F">
            <w:pPr>
              <w:jc w:val="left"/>
              <w:rPr>
                <w:sz w:val="18"/>
                <w:szCs w:val="18"/>
              </w:rPr>
            </w:pPr>
            <w:r w:rsidRPr="004C78D8">
              <w:rPr>
                <w:sz w:val="18"/>
                <w:szCs w:val="18"/>
              </w:rPr>
              <w:t>SES</w:t>
            </w:r>
            <w:r w:rsidR="00C208B3" w:rsidRPr="004C78D8">
              <w:rPr>
                <w:sz w:val="18"/>
                <w:szCs w:val="18"/>
              </w:rPr>
              <w:t xml:space="preserve"> (ref: Most privileged quartile)</w:t>
            </w:r>
          </w:p>
        </w:tc>
        <w:tc>
          <w:tcPr>
            <w:tcW w:w="1701" w:type="dxa"/>
            <w:tcBorders>
              <w:top w:val="nil"/>
              <w:bottom w:val="nil"/>
            </w:tcBorders>
          </w:tcPr>
          <w:p w14:paraId="0EB1CCE2" w14:textId="77777777" w:rsidR="00C208B3" w:rsidRPr="004C78D8" w:rsidRDefault="00C208B3" w:rsidP="00FB7C1F">
            <w:pPr>
              <w:jc w:val="center"/>
              <w:rPr>
                <w:sz w:val="18"/>
                <w:szCs w:val="18"/>
              </w:rPr>
            </w:pPr>
          </w:p>
        </w:tc>
        <w:tc>
          <w:tcPr>
            <w:tcW w:w="1701" w:type="dxa"/>
            <w:tcBorders>
              <w:top w:val="nil"/>
              <w:bottom w:val="nil"/>
            </w:tcBorders>
          </w:tcPr>
          <w:p w14:paraId="560DBAD7" w14:textId="77777777" w:rsidR="00C208B3" w:rsidRPr="004C78D8" w:rsidRDefault="00C208B3" w:rsidP="00FB7C1F">
            <w:pPr>
              <w:jc w:val="center"/>
              <w:rPr>
                <w:sz w:val="18"/>
                <w:szCs w:val="18"/>
              </w:rPr>
            </w:pPr>
          </w:p>
        </w:tc>
      </w:tr>
      <w:tr w:rsidR="00C208B3" w:rsidRPr="004C78D8" w14:paraId="30CA9976" w14:textId="77777777" w:rsidTr="00E35893">
        <w:tc>
          <w:tcPr>
            <w:tcW w:w="2263" w:type="dxa"/>
            <w:tcBorders>
              <w:top w:val="nil"/>
              <w:bottom w:val="nil"/>
            </w:tcBorders>
          </w:tcPr>
          <w:p w14:paraId="23D350BA" w14:textId="77777777" w:rsidR="00C208B3" w:rsidRPr="004C78D8" w:rsidRDefault="00C208B3" w:rsidP="00FB7C1F">
            <w:pPr>
              <w:jc w:val="right"/>
              <w:rPr>
                <w:i/>
                <w:iCs/>
                <w:sz w:val="18"/>
                <w:szCs w:val="18"/>
              </w:rPr>
            </w:pPr>
            <w:r w:rsidRPr="004C78D8">
              <w:rPr>
                <w:i/>
                <w:iCs/>
                <w:sz w:val="18"/>
                <w:szCs w:val="18"/>
              </w:rPr>
              <w:t>2</w:t>
            </w:r>
            <w:r w:rsidRPr="004C78D8">
              <w:rPr>
                <w:i/>
                <w:iCs/>
                <w:sz w:val="18"/>
                <w:szCs w:val="18"/>
                <w:vertAlign w:val="superscript"/>
              </w:rPr>
              <w:t>nd</w:t>
            </w:r>
            <w:r w:rsidRPr="004C78D8">
              <w:rPr>
                <w:i/>
                <w:iCs/>
                <w:sz w:val="18"/>
                <w:szCs w:val="18"/>
              </w:rPr>
              <w:t xml:space="preserve"> quartile</w:t>
            </w:r>
          </w:p>
        </w:tc>
        <w:tc>
          <w:tcPr>
            <w:tcW w:w="1701" w:type="dxa"/>
            <w:tcBorders>
              <w:top w:val="nil"/>
              <w:bottom w:val="nil"/>
            </w:tcBorders>
          </w:tcPr>
          <w:p w14:paraId="7CCCB361" w14:textId="203CAA76" w:rsidR="00C208B3" w:rsidRPr="004C78D8" w:rsidRDefault="00C208B3" w:rsidP="00FB7C1F">
            <w:pPr>
              <w:jc w:val="center"/>
              <w:rPr>
                <w:sz w:val="18"/>
                <w:szCs w:val="18"/>
              </w:rPr>
            </w:pPr>
            <w:r w:rsidRPr="004C78D8">
              <w:rPr>
                <w:sz w:val="18"/>
                <w:szCs w:val="18"/>
              </w:rPr>
              <w:t>0.1</w:t>
            </w:r>
            <w:r w:rsidR="003A26FC" w:rsidRPr="004C78D8">
              <w:rPr>
                <w:sz w:val="18"/>
                <w:szCs w:val="18"/>
              </w:rPr>
              <w:t>90</w:t>
            </w:r>
            <w:r w:rsidRPr="004C78D8">
              <w:rPr>
                <w:sz w:val="18"/>
                <w:szCs w:val="18"/>
              </w:rPr>
              <w:t xml:space="preserve"> (0.0</w:t>
            </w:r>
            <w:r w:rsidR="003A26FC" w:rsidRPr="004C78D8">
              <w:rPr>
                <w:sz w:val="18"/>
                <w:szCs w:val="18"/>
              </w:rPr>
              <w:t>62</w:t>
            </w:r>
            <w:r w:rsidRPr="004C78D8">
              <w:rPr>
                <w:sz w:val="18"/>
                <w:szCs w:val="18"/>
              </w:rPr>
              <w:t>)</w:t>
            </w:r>
          </w:p>
        </w:tc>
        <w:tc>
          <w:tcPr>
            <w:tcW w:w="1701" w:type="dxa"/>
            <w:tcBorders>
              <w:top w:val="nil"/>
              <w:bottom w:val="nil"/>
            </w:tcBorders>
          </w:tcPr>
          <w:p w14:paraId="540A78D6" w14:textId="62745F31" w:rsidR="00C208B3" w:rsidRPr="004C78D8" w:rsidRDefault="00C208B3" w:rsidP="00FB7C1F">
            <w:pPr>
              <w:jc w:val="center"/>
              <w:rPr>
                <w:sz w:val="18"/>
                <w:szCs w:val="18"/>
              </w:rPr>
            </w:pPr>
            <w:r w:rsidRPr="004C78D8">
              <w:rPr>
                <w:sz w:val="18"/>
                <w:szCs w:val="18"/>
              </w:rPr>
              <w:t>0.0</w:t>
            </w:r>
            <w:r w:rsidR="003A26FC" w:rsidRPr="004C78D8">
              <w:rPr>
                <w:sz w:val="18"/>
                <w:szCs w:val="18"/>
              </w:rPr>
              <w:t>02</w:t>
            </w:r>
          </w:p>
        </w:tc>
      </w:tr>
      <w:tr w:rsidR="00C208B3" w:rsidRPr="004C78D8" w14:paraId="35305617" w14:textId="77777777" w:rsidTr="00E35893">
        <w:tc>
          <w:tcPr>
            <w:tcW w:w="2263" w:type="dxa"/>
            <w:tcBorders>
              <w:top w:val="nil"/>
              <w:bottom w:val="nil"/>
            </w:tcBorders>
          </w:tcPr>
          <w:p w14:paraId="676E1709" w14:textId="77777777" w:rsidR="00C208B3" w:rsidRPr="004C78D8" w:rsidRDefault="00C208B3" w:rsidP="00FB7C1F">
            <w:pPr>
              <w:jc w:val="right"/>
              <w:rPr>
                <w:i/>
                <w:iCs/>
                <w:sz w:val="18"/>
                <w:szCs w:val="18"/>
              </w:rPr>
            </w:pPr>
            <w:r w:rsidRPr="004C78D8">
              <w:rPr>
                <w:i/>
                <w:iCs/>
                <w:sz w:val="18"/>
                <w:szCs w:val="18"/>
              </w:rPr>
              <w:t>3</w:t>
            </w:r>
            <w:r w:rsidRPr="004C78D8">
              <w:rPr>
                <w:i/>
                <w:iCs/>
                <w:sz w:val="18"/>
                <w:szCs w:val="18"/>
                <w:vertAlign w:val="superscript"/>
              </w:rPr>
              <w:t>rd</w:t>
            </w:r>
            <w:r w:rsidRPr="004C78D8">
              <w:rPr>
                <w:i/>
                <w:iCs/>
                <w:sz w:val="18"/>
                <w:szCs w:val="18"/>
              </w:rPr>
              <w:t xml:space="preserve"> quartile</w:t>
            </w:r>
          </w:p>
        </w:tc>
        <w:tc>
          <w:tcPr>
            <w:tcW w:w="1701" w:type="dxa"/>
            <w:tcBorders>
              <w:top w:val="nil"/>
              <w:bottom w:val="nil"/>
            </w:tcBorders>
          </w:tcPr>
          <w:p w14:paraId="0576A5F1" w14:textId="26A07DDF" w:rsidR="00C208B3" w:rsidRPr="004C78D8" w:rsidRDefault="00C208B3" w:rsidP="00FB7C1F">
            <w:pPr>
              <w:jc w:val="center"/>
              <w:rPr>
                <w:sz w:val="18"/>
                <w:szCs w:val="18"/>
              </w:rPr>
            </w:pPr>
            <w:r w:rsidRPr="004C78D8">
              <w:rPr>
                <w:sz w:val="18"/>
                <w:szCs w:val="18"/>
              </w:rPr>
              <w:t>0.</w:t>
            </w:r>
            <w:r w:rsidR="003A26FC" w:rsidRPr="004C78D8">
              <w:rPr>
                <w:sz w:val="18"/>
                <w:szCs w:val="18"/>
              </w:rPr>
              <w:t>168</w:t>
            </w:r>
            <w:r w:rsidRPr="004C78D8">
              <w:rPr>
                <w:sz w:val="18"/>
                <w:szCs w:val="18"/>
              </w:rPr>
              <w:t xml:space="preserve"> (0.05</w:t>
            </w:r>
            <w:r w:rsidR="003A26FC" w:rsidRPr="004C78D8">
              <w:rPr>
                <w:sz w:val="18"/>
                <w:szCs w:val="18"/>
              </w:rPr>
              <w:t>5</w:t>
            </w:r>
            <w:r w:rsidRPr="004C78D8">
              <w:rPr>
                <w:sz w:val="18"/>
                <w:szCs w:val="18"/>
              </w:rPr>
              <w:t>)</w:t>
            </w:r>
          </w:p>
        </w:tc>
        <w:tc>
          <w:tcPr>
            <w:tcW w:w="1701" w:type="dxa"/>
            <w:tcBorders>
              <w:top w:val="nil"/>
              <w:bottom w:val="nil"/>
            </w:tcBorders>
          </w:tcPr>
          <w:p w14:paraId="33C8B0B8" w14:textId="09CFA2EB" w:rsidR="00C208B3" w:rsidRPr="004C78D8" w:rsidRDefault="00C208B3" w:rsidP="00FB7C1F">
            <w:pPr>
              <w:jc w:val="center"/>
              <w:rPr>
                <w:sz w:val="18"/>
                <w:szCs w:val="18"/>
              </w:rPr>
            </w:pPr>
            <w:r w:rsidRPr="004C78D8">
              <w:rPr>
                <w:sz w:val="18"/>
                <w:szCs w:val="18"/>
              </w:rPr>
              <w:t>0.00</w:t>
            </w:r>
            <w:r w:rsidR="003A26FC" w:rsidRPr="004C78D8">
              <w:rPr>
                <w:sz w:val="18"/>
                <w:szCs w:val="18"/>
              </w:rPr>
              <w:t>2</w:t>
            </w:r>
          </w:p>
        </w:tc>
      </w:tr>
      <w:tr w:rsidR="00C208B3" w:rsidRPr="004C78D8" w14:paraId="10305A1A" w14:textId="77777777" w:rsidTr="00E35893">
        <w:tc>
          <w:tcPr>
            <w:tcW w:w="2263" w:type="dxa"/>
            <w:tcBorders>
              <w:top w:val="nil"/>
              <w:bottom w:val="nil"/>
            </w:tcBorders>
          </w:tcPr>
          <w:p w14:paraId="1A6382A1" w14:textId="77777777" w:rsidR="00C208B3" w:rsidRPr="004C78D8" w:rsidRDefault="00C208B3" w:rsidP="00FB7C1F">
            <w:pPr>
              <w:jc w:val="right"/>
              <w:rPr>
                <w:i/>
                <w:iCs/>
                <w:sz w:val="18"/>
                <w:szCs w:val="18"/>
              </w:rPr>
            </w:pPr>
            <w:r w:rsidRPr="004C78D8">
              <w:rPr>
                <w:i/>
                <w:iCs/>
                <w:sz w:val="18"/>
                <w:szCs w:val="18"/>
              </w:rPr>
              <w:t>Most deprived quartile</w:t>
            </w:r>
          </w:p>
        </w:tc>
        <w:tc>
          <w:tcPr>
            <w:tcW w:w="1701" w:type="dxa"/>
            <w:tcBorders>
              <w:top w:val="nil"/>
              <w:bottom w:val="nil"/>
            </w:tcBorders>
          </w:tcPr>
          <w:p w14:paraId="76971EE5" w14:textId="73750F1E" w:rsidR="00C208B3" w:rsidRPr="004C78D8" w:rsidRDefault="00C208B3" w:rsidP="00FB7C1F">
            <w:pPr>
              <w:jc w:val="center"/>
              <w:rPr>
                <w:sz w:val="18"/>
                <w:szCs w:val="18"/>
              </w:rPr>
            </w:pPr>
            <w:r w:rsidRPr="004C78D8">
              <w:rPr>
                <w:sz w:val="18"/>
                <w:szCs w:val="18"/>
              </w:rPr>
              <w:t>0.</w:t>
            </w:r>
            <w:r w:rsidR="003A26FC" w:rsidRPr="004C78D8">
              <w:rPr>
                <w:sz w:val="18"/>
                <w:szCs w:val="18"/>
              </w:rPr>
              <w:t>181</w:t>
            </w:r>
            <w:r w:rsidRPr="004C78D8">
              <w:rPr>
                <w:sz w:val="18"/>
                <w:szCs w:val="18"/>
              </w:rPr>
              <w:t xml:space="preserve"> (0.0</w:t>
            </w:r>
            <w:r w:rsidR="003A26FC" w:rsidRPr="004C78D8">
              <w:rPr>
                <w:sz w:val="18"/>
                <w:szCs w:val="18"/>
              </w:rPr>
              <w:t>74</w:t>
            </w:r>
            <w:r w:rsidRPr="004C78D8">
              <w:rPr>
                <w:sz w:val="18"/>
                <w:szCs w:val="18"/>
              </w:rPr>
              <w:t>)</w:t>
            </w:r>
          </w:p>
        </w:tc>
        <w:tc>
          <w:tcPr>
            <w:tcW w:w="1701" w:type="dxa"/>
            <w:tcBorders>
              <w:top w:val="nil"/>
              <w:bottom w:val="nil"/>
            </w:tcBorders>
          </w:tcPr>
          <w:p w14:paraId="1E89312D" w14:textId="061D4F33" w:rsidR="00C208B3" w:rsidRPr="004C78D8" w:rsidRDefault="00C208B3" w:rsidP="00FB7C1F">
            <w:pPr>
              <w:jc w:val="center"/>
              <w:rPr>
                <w:sz w:val="18"/>
                <w:szCs w:val="18"/>
              </w:rPr>
            </w:pPr>
            <w:r w:rsidRPr="004C78D8">
              <w:rPr>
                <w:sz w:val="18"/>
                <w:szCs w:val="18"/>
              </w:rPr>
              <w:t>0.0</w:t>
            </w:r>
            <w:r w:rsidR="003A26FC" w:rsidRPr="004C78D8">
              <w:rPr>
                <w:sz w:val="18"/>
                <w:szCs w:val="18"/>
              </w:rPr>
              <w:t>15</w:t>
            </w:r>
          </w:p>
        </w:tc>
      </w:tr>
      <w:tr w:rsidR="003A26FC" w:rsidRPr="004C78D8" w14:paraId="7603A7EE" w14:textId="77777777" w:rsidTr="00E35893">
        <w:tc>
          <w:tcPr>
            <w:tcW w:w="2263" w:type="dxa"/>
            <w:tcBorders>
              <w:top w:val="nil"/>
              <w:bottom w:val="nil"/>
            </w:tcBorders>
          </w:tcPr>
          <w:p w14:paraId="5EFC1489" w14:textId="6C3D7944" w:rsidR="003A26FC" w:rsidRPr="004C78D8" w:rsidRDefault="003A26FC" w:rsidP="00FB7C1F">
            <w:pPr>
              <w:rPr>
                <w:sz w:val="18"/>
                <w:szCs w:val="18"/>
              </w:rPr>
            </w:pPr>
            <w:r w:rsidRPr="004C78D8">
              <w:rPr>
                <w:sz w:val="18"/>
                <w:szCs w:val="18"/>
              </w:rPr>
              <w:t>Frailty (0-100)</w:t>
            </w:r>
          </w:p>
        </w:tc>
        <w:tc>
          <w:tcPr>
            <w:tcW w:w="1701" w:type="dxa"/>
            <w:tcBorders>
              <w:top w:val="nil"/>
              <w:bottom w:val="nil"/>
            </w:tcBorders>
          </w:tcPr>
          <w:p w14:paraId="07ACA1CA" w14:textId="460C18AD" w:rsidR="003A26FC" w:rsidRPr="004C78D8" w:rsidRDefault="003A26FC" w:rsidP="00FB7C1F">
            <w:pPr>
              <w:jc w:val="center"/>
              <w:rPr>
                <w:sz w:val="18"/>
                <w:szCs w:val="18"/>
              </w:rPr>
            </w:pPr>
            <w:r w:rsidRPr="004C78D8">
              <w:rPr>
                <w:sz w:val="18"/>
                <w:szCs w:val="18"/>
              </w:rPr>
              <w:t>0.025 (0.002)</w:t>
            </w:r>
          </w:p>
        </w:tc>
        <w:tc>
          <w:tcPr>
            <w:tcW w:w="1701" w:type="dxa"/>
            <w:tcBorders>
              <w:top w:val="nil"/>
              <w:bottom w:val="nil"/>
            </w:tcBorders>
          </w:tcPr>
          <w:p w14:paraId="04C789F1" w14:textId="08A88ECB" w:rsidR="003A26FC" w:rsidRPr="004C78D8" w:rsidRDefault="003A26FC" w:rsidP="00FB7C1F">
            <w:pPr>
              <w:jc w:val="center"/>
              <w:rPr>
                <w:sz w:val="18"/>
                <w:szCs w:val="18"/>
              </w:rPr>
            </w:pPr>
            <w:r w:rsidRPr="004C78D8">
              <w:rPr>
                <w:sz w:val="18"/>
                <w:szCs w:val="18"/>
              </w:rPr>
              <w:t>&lt;0.001</w:t>
            </w:r>
          </w:p>
        </w:tc>
      </w:tr>
      <w:tr w:rsidR="003A26FC" w:rsidRPr="004C78D8" w14:paraId="3990B846" w14:textId="77777777" w:rsidTr="00E35893">
        <w:tc>
          <w:tcPr>
            <w:tcW w:w="2263" w:type="dxa"/>
            <w:tcBorders>
              <w:top w:val="nil"/>
            </w:tcBorders>
          </w:tcPr>
          <w:p w14:paraId="29FD4740" w14:textId="778D06F3" w:rsidR="003A26FC" w:rsidRPr="004C78D8" w:rsidRDefault="003A26FC" w:rsidP="00FB7C1F">
            <w:pPr>
              <w:rPr>
                <w:sz w:val="18"/>
                <w:szCs w:val="18"/>
              </w:rPr>
            </w:pPr>
            <w:r w:rsidRPr="004C78D8">
              <w:rPr>
                <w:sz w:val="18"/>
                <w:szCs w:val="18"/>
              </w:rPr>
              <w:t>High physical activity</w:t>
            </w:r>
          </w:p>
        </w:tc>
        <w:tc>
          <w:tcPr>
            <w:tcW w:w="1701" w:type="dxa"/>
            <w:tcBorders>
              <w:top w:val="nil"/>
            </w:tcBorders>
          </w:tcPr>
          <w:p w14:paraId="74A337BE" w14:textId="0DA562D2" w:rsidR="003A26FC" w:rsidRPr="004C78D8" w:rsidRDefault="003A26FC" w:rsidP="00FB7C1F">
            <w:pPr>
              <w:jc w:val="center"/>
              <w:rPr>
                <w:sz w:val="18"/>
                <w:szCs w:val="18"/>
              </w:rPr>
            </w:pPr>
            <w:r w:rsidRPr="004C78D8">
              <w:rPr>
                <w:sz w:val="18"/>
                <w:szCs w:val="18"/>
              </w:rPr>
              <w:t>-0.280 (0.070)</w:t>
            </w:r>
          </w:p>
        </w:tc>
        <w:tc>
          <w:tcPr>
            <w:tcW w:w="1701" w:type="dxa"/>
            <w:tcBorders>
              <w:top w:val="nil"/>
            </w:tcBorders>
          </w:tcPr>
          <w:p w14:paraId="349E5787" w14:textId="11647A41" w:rsidR="003A26FC" w:rsidRPr="004C78D8" w:rsidRDefault="003A26FC" w:rsidP="00FB7C1F">
            <w:pPr>
              <w:jc w:val="center"/>
              <w:rPr>
                <w:sz w:val="18"/>
                <w:szCs w:val="18"/>
              </w:rPr>
            </w:pPr>
            <w:r w:rsidRPr="004C78D8">
              <w:rPr>
                <w:sz w:val="18"/>
                <w:szCs w:val="18"/>
              </w:rPr>
              <w:t>&lt;0.001</w:t>
            </w:r>
          </w:p>
        </w:tc>
      </w:tr>
      <w:tr w:rsidR="003A26FC" w:rsidRPr="004C78D8" w14:paraId="3CB4D313" w14:textId="77777777" w:rsidTr="00E35893">
        <w:tc>
          <w:tcPr>
            <w:tcW w:w="5665" w:type="dxa"/>
            <w:gridSpan w:val="3"/>
          </w:tcPr>
          <w:p w14:paraId="7FFA3449" w14:textId="6A0D423D" w:rsidR="003A26FC" w:rsidRPr="004C78D8" w:rsidRDefault="00D10D5E" w:rsidP="00FB7C1F">
            <w:pPr>
              <w:rPr>
                <w:sz w:val="20"/>
                <w:szCs w:val="20"/>
              </w:rPr>
            </w:pPr>
            <w:r w:rsidRPr="004C78D8">
              <w:rPr>
                <w:b/>
                <w:bCs/>
                <w:sz w:val="18"/>
                <w:szCs w:val="18"/>
              </w:rPr>
              <w:t>Abbreviation</w:t>
            </w:r>
            <w:r w:rsidR="001438B3" w:rsidRPr="004C78D8">
              <w:rPr>
                <w:b/>
                <w:bCs/>
                <w:sz w:val="18"/>
                <w:szCs w:val="18"/>
              </w:rPr>
              <w:t>:</w:t>
            </w:r>
            <w:r w:rsidR="001438B3" w:rsidRPr="004C78D8">
              <w:rPr>
                <w:sz w:val="18"/>
                <w:szCs w:val="18"/>
              </w:rPr>
              <w:t xml:space="preserve"> </w:t>
            </w:r>
            <w:r w:rsidR="003A26FC" w:rsidRPr="004C78D8">
              <w:rPr>
                <w:sz w:val="18"/>
                <w:szCs w:val="18"/>
              </w:rPr>
              <w:t>ELSA: English Longitudinal Study of Ageing; Ref: reference; SE: standard error</w:t>
            </w:r>
            <w:r w:rsidR="002C5F62" w:rsidRPr="004C78D8">
              <w:rPr>
                <w:sz w:val="18"/>
                <w:szCs w:val="18"/>
              </w:rPr>
              <w:t>; SES: socioeconomic status</w:t>
            </w:r>
          </w:p>
        </w:tc>
      </w:tr>
    </w:tbl>
    <w:p w14:paraId="64B328AC" w14:textId="3CBDFD1E" w:rsidR="00A416B6" w:rsidRPr="004C78D8" w:rsidRDefault="00A416B6" w:rsidP="00FB7C1F"/>
    <w:p w14:paraId="649D22D0" w14:textId="39ECBD8B" w:rsidR="00A416B6" w:rsidRPr="004C78D8" w:rsidRDefault="00A371AD" w:rsidP="00FB7C1F">
      <w:r w:rsidRPr="004C78D8">
        <w:t xml:space="preserve">There was </w:t>
      </w:r>
      <w:r w:rsidR="00DF0CA3" w:rsidRPr="004C78D8">
        <w:t>a statistically significant</w:t>
      </w:r>
      <w:r w:rsidRPr="004C78D8">
        <w:t xml:space="preserve"> non-linear relationship between cognitive impairment and age. </w:t>
      </w:r>
      <w:r w:rsidR="00DF0CA3" w:rsidRPr="004C78D8">
        <w:t>Women were less likely to be cognitively impaired</w:t>
      </w:r>
      <w:r w:rsidRPr="004C78D8">
        <w:t xml:space="preserve">. There was evidence of a social gradient in </w:t>
      </w:r>
      <w:r w:rsidR="0099435A" w:rsidRPr="004C78D8">
        <w:t xml:space="preserve">impairment </w:t>
      </w:r>
      <w:r w:rsidRPr="004C78D8">
        <w:t xml:space="preserve">with all </w:t>
      </w:r>
      <w:r w:rsidR="00AD11CF" w:rsidRPr="004C78D8">
        <w:t>SES</w:t>
      </w:r>
      <w:r w:rsidRPr="004C78D8">
        <w:t xml:space="preserve"> quartiles below the most privileged showing higher rates. </w:t>
      </w:r>
      <w:r w:rsidR="0099435A" w:rsidRPr="004C78D8">
        <w:t>Frailty was</w:t>
      </w:r>
      <w:r w:rsidRPr="004C78D8">
        <w:t xml:space="preserve"> associated with higher prevalence, engaging in high physical activity with lower prevalence. </w:t>
      </w:r>
    </w:p>
    <w:p w14:paraId="4560E47E" w14:textId="77777777" w:rsidR="003903BC" w:rsidRPr="004C78D8" w:rsidRDefault="003903BC" w:rsidP="00FB7C1F">
      <w:pPr>
        <w:pStyle w:val="Heading5"/>
      </w:pPr>
      <w:r w:rsidRPr="004C78D8">
        <w:t>Fear of falling</w:t>
      </w:r>
    </w:p>
    <w:p w14:paraId="466487C5" w14:textId="1C8FB28E" w:rsidR="003903BC" w:rsidRPr="004C78D8" w:rsidRDefault="00221E6E" w:rsidP="00FB7C1F">
      <w:r w:rsidRPr="004C78D8">
        <w:t>The conceptual model identified f</w:t>
      </w:r>
      <w:r w:rsidR="003903BC" w:rsidRPr="004C78D8">
        <w:t xml:space="preserve">ear of falling as </w:t>
      </w:r>
      <w:r w:rsidR="00EF5D8B" w:rsidRPr="004C78D8">
        <w:t>a key causal variable (Section 3.6.2)</w:t>
      </w:r>
      <w:r w:rsidR="003903BC" w:rsidRPr="004C78D8">
        <w:t>. ELSA Wave 4 contained a binary variable for whether the respondent experienced fear of falling while walking</w:t>
      </w:r>
      <w:r w:rsidR="00C178CA" w:rsidRPr="004C78D8">
        <w:t>, with the</w:t>
      </w:r>
      <w:r w:rsidR="003903BC" w:rsidRPr="004C78D8">
        <w:t xml:space="preserve"> overall prevalence </w:t>
      </w:r>
      <w:r w:rsidR="00C178CA" w:rsidRPr="004C78D8">
        <w:t xml:space="preserve">of 6.8% </w:t>
      </w:r>
      <w:r w:rsidR="003903BC" w:rsidRPr="004C78D8">
        <w:t>for the ELSA cohort aged 60</w:t>
      </w:r>
      <w:r w:rsidR="003A10C9" w:rsidRPr="004C78D8">
        <w:t>+</w:t>
      </w:r>
      <w:r w:rsidR="003903BC" w:rsidRPr="004C78D8">
        <w:t xml:space="preserve">. </w:t>
      </w:r>
      <w:r w:rsidR="00C178CA" w:rsidRPr="004C78D8">
        <w:t xml:space="preserve">The variable was imputed for the Wave 5 cohort from the Wave 4 data. Table </w:t>
      </w:r>
      <w:r w:rsidR="00D34803" w:rsidRPr="004C78D8">
        <w:t>5</w:t>
      </w:r>
      <w:r w:rsidRPr="004C78D8">
        <w:t>.</w:t>
      </w:r>
      <w:r w:rsidR="00A13202" w:rsidRPr="004C78D8">
        <w:t>10</w:t>
      </w:r>
      <w:r w:rsidR="00C178CA" w:rsidRPr="004C78D8">
        <w:t xml:space="preserve"> shows the regression coefficients for the best-fit model</w:t>
      </w:r>
      <w:r w:rsidR="00CF0CDA" w:rsidRPr="004C78D8">
        <w:t>.</w:t>
      </w:r>
    </w:p>
    <w:tbl>
      <w:tblPr>
        <w:tblStyle w:val="TableGrid"/>
        <w:tblW w:w="0" w:type="auto"/>
        <w:tblInd w:w="-5" w:type="dxa"/>
        <w:tblLook w:val="04A0" w:firstRow="1" w:lastRow="0" w:firstColumn="1" w:lastColumn="0" w:noHBand="0" w:noVBand="1"/>
      </w:tblPr>
      <w:tblGrid>
        <w:gridCol w:w="2263"/>
        <w:gridCol w:w="1701"/>
        <w:gridCol w:w="1701"/>
      </w:tblGrid>
      <w:tr w:rsidR="003903BC" w:rsidRPr="004C78D8" w14:paraId="7AEBB5AA" w14:textId="77777777" w:rsidTr="00E35893">
        <w:tc>
          <w:tcPr>
            <w:tcW w:w="5665" w:type="dxa"/>
            <w:gridSpan w:val="3"/>
          </w:tcPr>
          <w:p w14:paraId="19B975DF" w14:textId="4FC1BD7D" w:rsidR="003903BC" w:rsidRPr="004C78D8" w:rsidRDefault="003903BC" w:rsidP="00FB7C1F">
            <w:r w:rsidRPr="004C78D8">
              <w:rPr>
                <w:b/>
                <w:bCs/>
              </w:rPr>
              <w:t xml:space="preserve">Table </w:t>
            </w:r>
            <w:r w:rsidR="00D34803" w:rsidRPr="004C78D8">
              <w:rPr>
                <w:b/>
                <w:bCs/>
              </w:rPr>
              <w:t>5</w:t>
            </w:r>
            <w:r w:rsidR="00CF0CDA" w:rsidRPr="004C78D8">
              <w:rPr>
                <w:b/>
                <w:bCs/>
              </w:rPr>
              <w:t>.</w:t>
            </w:r>
            <w:r w:rsidR="00A13202" w:rsidRPr="004C78D8">
              <w:rPr>
                <w:b/>
                <w:bCs/>
              </w:rPr>
              <w:t>10</w:t>
            </w:r>
            <w:r w:rsidRPr="004C78D8">
              <w:t xml:space="preserve"> Logistic regression coefficients for fear of falling </w:t>
            </w:r>
            <w:r w:rsidR="00F906C6" w:rsidRPr="004C78D8">
              <w:t>from</w:t>
            </w:r>
            <w:r w:rsidRPr="004C78D8">
              <w:t xml:space="preserve"> ELSA</w:t>
            </w:r>
            <w:r w:rsidR="001B708F" w:rsidRPr="004C78D8">
              <w:t xml:space="preserve"> Wave</w:t>
            </w:r>
            <w:r w:rsidR="005D744E" w:rsidRPr="004C78D8">
              <w:t>s</w:t>
            </w:r>
            <w:r w:rsidR="001B708F" w:rsidRPr="004C78D8">
              <w:t xml:space="preserve"> 4</w:t>
            </w:r>
            <w:r w:rsidR="005D744E" w:rsidRPr="004C78D8">
              <w:t xml:space="preserve"> and 5</w:t>
            </w:r>
            <w:r w:rsidR="00FB0D66" w:rsidRPr="004C78D8">
              <w:t>.</w:t>
            </w:r>
          </w:p>
        </w:tc>
      </w:tr>
      <w:tr w:rsidR="003903BC" w:rsidRPr="004C78D8" w14:paraId="3E417ECE" w14:textId="77777777" w:rsidTr="00E35893">
        <w:tc>
          <w:tcPr>
            <w:tcW w:w="5665" w:type="dxa"/>
            <w:gridSpan w:val="3"/>
          </w:tcPr>
          <w:p w14:paraId="3FA529CD" w14:textId="59B1B036" w:rsidR="003903BC" w:rsidRPr="004C78D8" w:rsidRDefault="003903BC" w:rsidP="00FB7C1F">
            <w:pPr>
              <w:jc w:val="left"/>
              <w:rPr>
                <w:b/>
                <w:bCs/>
                <w:i/>
                <w:iCs/>
                <w:sz w:val="20"/>
                <w:szCs w:val="20"/>
              </w:rPr>
            </w:pPr>
            <w:r w:rsidRPr="004C78D8">
              <w:rPr>
                <w:b/>
                <w:bCs/>
                <w:i/>
                <w:iCs/>
                <w:sz w:val="20"/>
                <w:szCs w:val="20"/>
              </w:rPr>
              <w:t>Dependent variable: Fear of falling (N=</w:t>
            </w:r>
            <w:r w:rsidR="005D744E" w:rsidRPr="004C78D8">
              <w:rPr>
                <w:b/>
                <w:bCs/>
                <w:i/>
                <w:iCs/>
                <w:sz w:val="20"/>
                <w:szCs w:val="20"/>
              </w:rPr>
              <w:t>13</w:t>
            </w:r>
            <w:r w:rsidRPr="004C78D8">
              <w:rPr>
                <w:b/>
                <w:bCs/>
                <w:i/>
                <w:iCs/>
                <w:sz w:val="20"/>
                <w:szCs w:val="20"/>
              </w:rPr>
              <w:t>,</w:t>
            </w:r>
            <w:r w:rsidR="005D744E" w:rsidRPr="004C78D8">
              <w:rPr>
                <w:b/>
                <w:bCs/>
                <w:i/>
                <w:iCs/>
                <w:sz w:val="20"/>
                <w:szCs w:val="20"/>
              </w:rPr>
              <w:t>422</w:t>
            </w:r>
            <w:r w:rsidRPr="004C78D8">
              <w:rPr>
                <w:b/>
                <w:bCs/>
                <w:i/>
                <w:iCs/>
                <w:sz w:val="20"/>
                <w:szCs w:val="20"/>
              </w:rPr>
              <w:t>)</w:t>
            </w:r>
          </w:p>
        </w:tc>
      </w:tr>
      <w:tr w:rsidR="003903BC" w:rsidRPr="004C78D8" w14:paraId="739EE7C7" w14:textId="77777777" w:rsidTr="00E35893">
        <w:tc>
          <w:tcPr>
            <w:tcW w:w="2263" w:type="dxa"/>
            <w:tcBorders>
              <w:bottom w:val="single" w:sz="4" w:space="0" w:color="auto"/>
            </w:tcBorders>
          </w:tcPr>
          <w:p w14:paraId="71AA7CCD" w14:textId="77777777" w:rsidR="003903BC" w:rsidRPr="004C78D8" w:rsidRDefault="003903BC" w:rsidP="00FB7C1F">
            <w:pPr>
              <w:rPr>
                <w:b/>
                <w:bCs/>
                <w:sz w:val="20"/>
                <w:szCs w:val="20"/>
              </w:rPr>
            </w:pPr>
            <w:r w:rsidRPr="004C78D8">
              <w:rPr>
                <w:b/>
                <w:bCs/>
                <w:sz w:val="20"/>
                <w:szCs w:val="20"/>
              </w:rPr>
              <w:t>Explanatory variables</w:t>
            </w:r>
          </w:p>
        </w:tc>
        <w:tc>
          <w:tcPr>
            <w:tcW w:w="1701" w:type="dxa"/>
            <w:tcBorders>
              <w:bottom w:val="single" w:sz="4" w:space="0" w:color="auto"/>
            </w:tcBorders>
          </w:tcPr>
          <w:p w14:paraId="3482A7C1" w14:textId="77777777" w:rsidR="003903BC" w:rsidRPr="004C78D8" w:rsidRDefault="003903BC" w:rsidP="00FB7C1F">
            <w:pPr>
              <w:jc w:val="center"/>
              <w:rPr>
                <w:b/>
                <w:bCs/>
                <w:sz w:val="20"/>
                <w:szCs w:val="20"/>
              </w:rPr>
            </w:pPr>
            <w:r w:rsidRPr="004C78D8">
              <w:rPr>
                <w:b/>
                <w:bCs/>
                <w:sz w:val="20"/>
                <w:szCs w:val="20"/>
              </w:rPr>
              <w:t>Coefficient (SE)</w:t>
            </w:r>
          </w:p>
        </w:tc>
        <w:tc>
          <w:tcPr>
            <w:tcW w:w="1701" w:type="dxa"/>
            <w:tcBorders>
              <w:bottom w:val="single" w:sz="4" w:space="0" w:color="auto"/>
            </w:tcBorders>
          </w:tcPr>
          <w:p w14:paraId="136A6484" w14:textId="77777777" w:rsidR="003903BC" w:rsidRPr="004C78D8" w:rsidRDefault="003903BC" w:rsidP="00FB7C1F">
            <w:pPr>
              <w:jc w:val="center"/>
              <w:rPr>
                <w:b/>
                <w:bCs/>
                <w:sz w:val="20"/>
                <w:szCs w:val="20"/>
              </w:rPr>
            </w:pPr>
            <w:r w:rsidRPr="004C78D8">
              <w:rPr>
                <w:b/>
                <w:bCs/>
                <w:sz w:val="20"/>
                <w:szCs w:val="20"/>
              </w:rPr>
              <w:t>P-value</w:t>
            </w:r>
          </w:p>
        </w:tc>
      </w:tr>
      <w:tr w:rsidR="003903BC" w:rsidRPr="004C78D8" w14:paraId="37A8BE51" w14:textId="77777777" w:rsidTr="00E35893">
        <w:tc>
          <w:tcPr>
            <w:tcW w:w="2263" w:type="dxa"/>
            <w:tcBorders>
              <w:bottom w:val="nil"/>
            </w:tcBorders>
          </w:tcPr>
          <w:p w14:paraId="322EB69A" w14:textId="77777777" w:rsidR="003903BC" w:rsidRPr="004C78D8" w:rsidRDefault="003903BC" w:rsidP="00FB7C1F">
            <w:pPr>
              <w:rPr>
                <w:sz w:val="18"/>
                <w:szCs w:val="18"/>
              </w:rPr>
            </w:pPr>
            <w:r w:rsidRPr="004C78D8">
              <w:rPr>
                <w:sz w:val="18"/>
                <w:szCs w:val="18"/>
              </w:rPr>
              <w:t>Constant</w:t>
            </w:r>
          </w:p>
        </w:tc>
        <w:tc>
          <w:tcPr>
            <w:tcW w:w="1701" w:type="dxa"/>
            <w:tcBorders>
              <w:bottom w:val="nil"/>
            </w:tcBorders>
          </w:tcPr>
          <w:p w14:paraId="45200EC8" w14:textId="2BE94955" w:rsidR="003903BC" w:rsidRPr="004C78D8" w:rsidRDefault="003903BC" w:rsidP="00FB7C1F">
            <w:pPr>
              <w:jc w:val="center"/>
              <w:rPr>
                <w:sz w:val="18"/>
                <w:szCs w:val="18"/>
              </w:rPr>
            </w:pPr>
            <w:r w:rsidRPr="004C78D8">
              <w:rPr>
                <w:sz w:val="18"/>
                <w:szCs w:val="18"/>
              </w:rPr>
              <w:t>-8.0</w:t>
            </w:r>
            <w:r w:rsidR="005D744E" w:rsidRPr="004C78D8">
              <w:rPr>
                <w:sz w:val="18"/>
                <w:szCs w:val="18"/>
              </w:rPr>
              <w:t>95</w:t>
            </w:r>
            <w:r w:rsidRPr="004C78D8">
              <w:rPr>
                <w:sz w:val="18"/>
                <w:szCs w:val="18"/>
              </w:rPr>
              <w:t xml:space="preserve"> (0.</w:t>
            </w:r>
            <w:r w:rsidR="005D744E" w:rsidRPr="004C78D8">
              <w:rPr>
                <w:sz w:val="18"/>
                <w:szCs w:val="18"/>
              </w:rPr>
              <w:t>379</w:t>
            </w:r>
            <w:r w:rsidRPr="004C78D8">
              <w:rPr>
                <w:sz w:val="18"/>
                <w:szCs w:val="18"/>
              </w:rPr>
              <w:t>)</w:t>
            </w:r>
          </w:p>
        </w:tc>
        <w:tc>
          <w:tcPr>
            <w:tcW w:w="1701" w:type="dxa"/>
            <w:tcBorders>
              <w:bottom w:val="nil"/>
            </w:tcBorders>
          </w:tcPr>
          <w:p w14:paraId="79E3EA84" w14:textId="77777777" w:rsidR="003903BC" w:rsidRPr="004C78D8" w:rsidRDefault="003903BC" w:rsidP="00FB7C1F">
            <w:pPr>
              <w:jc w:val="center"/>
              <w:rPr>
                <w:sz w:val="18"/>
                <w:szCs w:val="18"/>
              </w:rPr>
            </w:pPr>
            <w:r w:rsidRPr="004C78D8">
              <w:rPr>
                <w:sz w:val="18"/>
                <w:szCs w:val="18"/>
              </w:rPr>
              <w:t>&lt;0.001</w:t>
            </w:r>
          </w:p>
        </w:tc>
      </w:tr>
      <w:tr w:rsidR="003903BC" w:rsidRPr="004C78D8" w14:paraId="7F7ED541" w14:textId="77777777" w:rsidTr="00E35893">
        <w:tc>
          <w:tcPr>
            <w:tcW w:w="2263" w:type="dxa"/>
            <w:tcBorders>
              <w:top w:val="nil"/>
              <w:bottom w:val="nil"/>
            </w:tcBorders>
          </w:tcPr>
          <w:p w14:paraId="5F9A06B6" w14:textId="77777777" w:rsidR="003903BC" w:rsidRPr="004C78D8" w:rsidRDefault="003903BC" w:rsidP="00FB7C1F">
            <w:pPr>
              <w:rPr>
                <w:sz w:val="18"/>
                <w:szCs w:val="18"/>
              </w:rPr>
            </w:pPr>
            <w:r w:rsidRPr="004C78D8">
              <w:rPr>
                <w:sz w:val="18"/>
                <w:szCs w:val="18"/>
              </w:rPr>
              <w:t>Age</w:t>
            </w:r>
          </w:p>
        </w:tc>
        <w:tc>
          <w:tcPr>
            <w:tcW w:w="1701" w:type="dxa"/>
            <w:tcBorders>
              <w:top w:val="nil"/>
              <w:bottom w:val="nil"/>
            </w:tcBorders>
          </w:tcPr>
          <w:p w14:paraId="3300536D" w14:textId="66915B7D" w:rsidR="003903BC" w:rsidRPr="004C78D8" w:rsidRDefault="003903BC" w:rsidP="00FB7C1F">
            <w:pPr>
              <w:jc w:val="center"/>
              <w:rPr>
                <w:sz w:val="18"/>
                <w:szCs w:val="18"/>
              </w:rPr>
            </w:pPr>
            <w:r w:rsidRPr="004C78D8">
              <w:rPr>
                <w:sz w:val="18"/>
                <w:szCs w:val="18"/>
              </w:rPr>
              <w:t>0.018 (0.00</w:t>
            </w:r>
            <w:r w:rsidR="005D744E" w:rsidRPr="004C78D8">
              <w:rPr>
                <w:sz w:val="18"/>
                <w:szCs w:val="18"/>
              </w:rPr>
              <w:t>5</w:t>
            </w:r>
            <w:r w:rsidRPr="004C78D8">
              <w:rPr>
                <w:sz w:val="18"/>
                <w:szCs w:val="18"/>
              </w:rPr>
              <w:t>)</w:t>
            </w:r>
          </w:p>
        </w:tc>
        <w:tc>
          <w:tcPr>
            <w:tcW w:w="1701" w:type="dxa"/>
            <w:tcBorders>
              <w:top w:val="nil"/>
              <w:bottom w:val="nil"/>
            </w:tcBorders>
          </w:tcPr>
          <w:p w14:paraId="2E8D583D" w14:textId="07F19825" w:rsidR="003903BC" w:rsidRPr="004C78D8" w:rsidRDefault="005D744E" w:rsidP="00FB7C1F">
            <w:pPr>
              <w:jc w:val="center"/>
              <w:rPr>
                <w:sz w:val="18"/>
                <w:szCs w:val="18"/>
              </w:rPr>
            </w:pPr>
            <w:r w:rsidRPr="004C78D8">
              <w:rPr>
                <w:sz w:val="18"/>
                <w:szCs w:val="18"/>
              </w:rPr>
              <w:t>&lt;0.001</w:t>
            </w:r>
          </w:p>
        </w:tc>
      </w:tr>
      <w:tr w:rsidR="003903BC" w:rsidRPr="004C78D8" w14:paraId="29ABEA57" w14:textId="77777777" w:rsidTr="00E35893">
        <w:tc>
          <w:tcPr>
            <w:tcW w:w="2263" w:type="dxa"/>
            <w:tcBorders>
              <w:top w:val="nil"/>
              <w:bottom w:val="nil"/>
            </w:tcBorders>
          </w:tcPr>
          <w:p w14:paraId="3FC80830" w14:textId="77777777" w:rsidR="003903BC" w:rsidRPr="004C78D8" w:rsidRDefault="003903BC" w:rsidP="00FB7C1F">
            <w:pPr>
              <w:rPr>
                <w:sz w:val="18"/>
                <w:szCs w:val="18"/>
              </w:rPr>
            </w:pPr>
            <w:r w:rsidRPr="004C78D8">
              <w:rPr>
                <w:sz w:val="18"/>
                <w:szCs w:val="18"/>
              </w:rPr>
              <w:t>Female</w:t>
            </w:r>
          </w:p>
        </w:tc>
        <w:tc>
          <w:tcPr>
            <w:tcW w:w="1701" w:type="dxa"/>
            <w:tcBorders>
              <w:top w:val="nil"/>
              <w:bottom w:val="nil"/>
            </w:tcBorders>
          </w:tcPr>
          <w:p w14:paraId="77EEF0BA" w14:textId="1D87C316" w:rsidR="003903BC" w:rsidRPr="004C78D8" w:rsidRDefault="003903BC" w:rsidP="00FB7C1F">
            <w:pPr>
              <w:jc w:val="center"/>
              <w:rPr>
                <w:sz w:val="18"/>
                <w:szCs w:val="18"/>
              </w:rPr>
            </w:pPr>
            <w:r w:rsidRPr="004C78D8">
              <w:rPr>
                <w:sz w:val="18"/>
                <w:szCs w:val="18"/>
              </w:rPr>
              <w:t>0.2</w:t>
            </w:r>
            <w:r w:rsidR="005D744E" w:rsidRPr="004C78D8">
              <w:rPr>
                <w:sz w:val="18"/>
                <w:szCs w:val="18"/>
              </w:rPr>
              <w:t>46</w:t>
            </w:r>
            <w:r w:rsidRPr="004C78D8">
              <w:rPr>
                <w:sz w:val="18"/>
                <w:szCs w:val="18"/>
              </w:rPr>
              <w:t xml:space="preserve"> (0.</w:t>
            </w:r>
            <w:r w:rsidR="005D744E" w:rsidRPr="004C78D8">
              <w:rPr>
                <w:sz w:val="18"/>
                <w:szCs w:val="18"/>
              </w:rPr>
              <w:t>080</w:t>
            </w:r>
            <w:r w:rsidRPr="004C78D8">
              <w:rPr>
                <w:sz w:val="18"/>
                <w:szCs w:val="18"/>
              </w:rPr>
              <w:t>)</w:t>
            </w:r>
          </w:p>
        </w:tc>
        <w:tc>
          <w:tcPr>
            <w:tcW w:w="1701" w:type="dxa"/>
            <w:tcBorders>
              <w:top w:val="nil"/>
              <w:bottom w:val="nil"/>
            </w:tcBorders>
          </w:tcPr>
          <w:p w14:paraId="249600DD" w14:textId="387C9C68" w:rsidR="003903BC" w:rsidRPr="004C78D8" w:rsidRDefault="003903BC" w:rsidP="00FB7C1F">
            <w:pPr>
              <w:jc w:val="center"/>
              <w:rPr>
                <w:sz w:val="18"/>
                <w:szCs w:val="18"/>
              </w:rPr>
            </w:pPr>
            <w:r w:rsidRPr="004C78D8">
              <w:rPr>
                <w:sz w:val="18"/>
                <w:szCs w:val="18"/>
              </w:rPr>
              <w:t>0.0</w:t>
            </w:r>
            <w:r w:rsidR="005D744E" w:rsidRPr="004C78D8">
              <w:rPr>
                <w:sz w:val="18"/>
                <w:szCs w:val="18"/>
              </w:rPr>
              <w:t>02</w:t>
            </w:r>
          </w:p>
        </w:tc>
      </w:tr>
      <w:tr w:rsidR="003903BC" w:rsidRPr="004C78D8" w14:paraId="26F3F4EE" w14:textId="77777777" w:rsidTr="00E35893">
        <w:tc>
          <w:tcPr>
            <w:tcW w:w="2263" w:type="dxa"/>
            <w:tcBorders>
              <w:top w:val="nil"/>
              <w:bottom w:val="nil"/>
            </w:tcBorders>
          </w:tcPr>
          <w:p w14:paraId="4349CD18" w14:textId="77777777" w:rsidR="003903BC" w:rsidRPr="004C78D8" w:rsidRDefault="003903BC" w:rsidP="00FB7C1F">
            <w:pPr>
              <w:jc w:val="left"/>
              <w:rPr>
                <w:sz w:val="18"/>
                <w:szCs w:val="18"/>
              </w:rPr>
            </w:pPr>
            <w:r w:rsidRPr="004C78D8">
              <w:rPr>
                <w:sz w:val="18"/>
                <w:szCs w:val="18"/>
              </w:rPr>
              <w:t>Falls history (ref: No falls history)</w:t>
            </w:r>
          </w:p>
        </w:tc>
        <w:tc>
          <w:tcPr>
            <w:tcW w:w="1701" w:type="dxa"/>
            <w:tcBorders>
              <w:top w:val="nil"/>
              <w:bottom w:val="nil"/>
            </w:tcBorders>
          </w:tcPr>
          <w:p w14:paraId="014DE21F" w14:textId="77777777" w:rsidR="003903BC" w:rsidRPr="004C78D8" w:rsidRDefault="003903BC" w:rsidP="00FB7C1F">
            <w:pPr>
              <w:jc w:val="center"/>
              <w:rPr>
                <w:sz w:val="18"/>
                <w:szCs w:val="18"/>
              </w:rPr>
            </w:pPr>
          </w:p>
        </w:tc>
        <w:tc>
          <w:tcPr>
            <w:tcW w:w="1701" w:type="dxa"/>
            <w:tcBorders>
              <w:top w:val="nil"/>
              <w:bottom w:val="nil"/>
            </w:tcBorders>
          </w:tcPr>
          <w:p w14:paraId="23E86EEB" w14:textId="77777777" w:rsidR="003903BC" w:rsidRPr="004C78D8" w:rsidRDefault="003903BC" w:rsidP="00FB7C1F">
            <w:pPr>
              <w:jc w:val="center"/>
              <w:rPr>
                <w:sz w:val="18"/>
                <w:szCs w:val="18"/>
              </w:rPr>
            </w:pPr>
          </w:p>
        </w:tc>
      </w:tr>
      <w:tr w:rsidR="003903BC" w:rsidRPr="004C78D8" w14:paraId="172E0CAF" w14:textId="77777777" w:rsidTr="00E35893">
        <w:tc>
          <w:tcPr>
            <w:tcW w:w="2263" w:type="dxa"/>
            <w:tcBorders>
              <w:top w:val="nil"/>
              <w:bottom w:val="nil"/>
            </w:tcBorders>
          </w:tcPr>
          <w:p w14:paraId="78081F58" w14:textId="77777777" w:rsidR="003903BC" w:rsidRPr="004C78D8" w:rsidRDefault="003903BC" w:rsidP="00FB7C1F">
            <w:pPr>
              <w:jc w:val="right"/>
              <w:rPr>
                <w:i/>
                <w:iCs/>
                <w:sz w:val="18"/>
                <w:szCs w:val="18"/>
              </w:rPr>
            </w:pPr>
            <w:r w:rsidRPr="004C78D8">
              <w:rPr>
                <w:i/>
                <w:iCs/>
                <w:sz w:val="18"/>
                <w:szCs w:val="18"/>
              </w:rPr>
              <w:t>Single non-MA fall</w:t>
            </w:r>
          </w:p>
        </w:tc>
        <w:tc>
          <w:tcPr>
            <w:tcW w:w="1701" w:type="dxa"/>
            <w:tcBorders>
              <w:top w:val="nil"/>
              <w:bottom w:val="nil"/>
            </w:tcBorders>
          </w:tcPr>
          <w:p w14:paraId="6AA76319" w14:textId="1511DFAD" w:rsidR="003903BC" w:rsidRPr="004C78D8" w:rsidRDefault="003903BC" w:rsidP="00FB7C1F">
            <w:pPr>
              <w:jc w:val="center"/>
              <w:rPr>
                <w:sz w:val="18"/>
                <w:szCs w:val="18"/>
              </w:rPr>
            </w:pPr>
            <w:r w:rsidRPr="004C78D8">
              <w:rPr>
                <w:sz w:val="18"/>
                <w:szCs w:val="18"/>
              </w:rPr>
              <w:t>0.8</w:t>
            </w:r>
            <w:r w:rsidR="005D744E" w:rsidRPr="004C78D8">
              <w:rPr>
                <w:sz w:val="18"/>
                <w:szCs w:val="18"/>
              </w:rPr>
              <w:t>79</w:t>
            </w:r>
            <w:r w:rsidRPr="004C78D8">
              <w:rPr>
                <w:sz w:val="18"/>
                <w:szCs w:val="18"/>
              </w:rPr>
              <w:t xml:space="preserve"> (0.1</w:t>
            </w:r>
            <w:r w:rsidR="005D744E" w:rsidRPr="004C78D8">
              <w:rPr>
                <w:sz w:val="18"/>
                <w:szCs w:val="18"/>
              </w:rPr>
              <w:t>13</w:t>
            </w:r>
            <w:r w:rsidRPr="004C78D8">
              <w:rPr>
                <w:sz w:val="18"/>
                <w:szCs w:val="18"/>
              </w:rPr>
              <w:t>)</w:t>
            </w:r>
          </w:p>
        </w:tc>
        <w:tc>
          <w:tcPr>
            <w:tcW w:w="1701" w:type="dxa"/>
            <w:tcBorders>
              <w:top w:val="nil"/>
              <w:bottom w:val="nil"/>
            </w:tcBorders>
          </w:tcPr>
          <w:p w14:paraId="32919C83" w14:textId="77777777" w:rsidR="003903BC" w:rsidRPr="004C78D8" w:rsidRDefault="003903BC" w:rsidP="00FB7C1F">
            <w:pPr>
              <w:jc w:val="center"/>
              <w:rPr>
                <w:sz w:val="18"/>
                <w:szCs w:val="18"/>
              </w:rPr>
            </w:pPr>
            <w:r w:rsidRPr="004C78D8">
              <w:rPr>
                <w:sz w:val="18"/>
                <w:szCs w:val="18"/>
              </w:rPr>
              <w:t>&lt;0.001</w:t>
            </w:r>
          </w:p>
        </w:tc>
      </w:tr>
      <w:tr w:rsidR="003903BC" w:rsidRPr="004C78D8" w14:paraId="55536AC5" w14:textId="77777777" w:rsidTr="00E35893">
        <w:tc>
          <w:tcPr>
            <w:tcW w:w="2263" w:type="dxa"/>
            <w:tcBorders>
              <w:top w:val="nil"/>
              <w:bottom w:val="nil"/>
            </w:tcBorders>
          </w:tcPr>
          <w:p w14:paraId="5CA946CD" w14:textId="77777777" w:rsidR="003903BC" w:rsidRPr="004C78D8" w:rsidRDefault="003903BC" w:rsidP="00FB7C1F">
            <w:pPr>
              <w:jc w:val="right"/>
              <w:rPr>
                <w:i/>
                <w:iCs/>
                <w:sz w:val="18"/>
                <w:szCs w:val="18"/>
              </w:rPr>
            </w:pPr>
            <w:r w:rsidRPr="004C78D8">
              <w:rPr>
                <w:i/>
                <w:iCs/>
                <w:sz w:val="18"/>
                <w:szCs w:val="18"/>
              </w:rPr>
              <w:t>Recurrent non-MA falls</w:t>
            </w:r>
          </w:p>
        </w:tc>
        <w:tc>
          <w:tcPr>
            <w:tcW w:w="1701" w:type="dxa"/>
            <w:tcBorders>
              <w:top w:val="nil"/>
              <w:bottom w:val="nil"/>
            </w:tcBorders>
          </w:tcPr>
          <w:p w14:paraId="650E0D46" w14:textId="52F817BC" w:rsidR="003903BC" w:rsidRPr="004C78D8" w:rsidRDefault="003903BC" w:rsidP="00FB7C1F">
            <w:pPr>
              <w:jc w:val="center"/>
              <w:rPr>
                <w:sz w:val="18"/>
                <w:szCs w:val="18"/>
              </w:rPr>
            </w:pPr>
            <w:r w:rsidRPr="004C78D8">
              <w:rPr>
                <w:sz w:val="18"/>
                <w:szCs w:val="18"/>
              </w:rPr>
              <w:t>1.</w:t>
            </w:r>
            <w:r w:rsidR="005D744E" w:rsidRPr="004C78D8">
              <w:rPr>
                <w:sz w:val="18"/>
                <w:szCs w:val="18"/>
              </w:rPr>
              <w:t>315</w:t>
            </w:r>
            <w:r w:rsidRPr="004C78D8">
              <w:rPr>
                <w:sz w:val="18"/>
                <w:szCs w:val="18"/>
              </w:rPr>
              <w:t xml:space="preserve"> (0.1</w:t>
            </w:r>
            <w:r w:rsidR="005D744E" w:rsidRPr="004C78D8">
              <w:rPr>
                <w:sz w:val="18"/>
                <w:szCs w:val="18"/>
              </w:rPr>
              <w:t>00</w:t>
            </w:r>
            <w:r w:rsidRPr="004C78D8">
              <w:rPr>
                <w:sz w:val="18"/>
                <w:szCs w:val="18"/>
              </w:rPr>
              <w:t>)</w:t>
            </w:r>
          </w:p>
        </w:tc>
        <w:tc>
          <w:tcPr>
            <w:tcW w:w="1701" w:type="dxa"/>
            <w:tcBorders>
              <w:top w:val="nil"/>
              <w:bottom w:val="nil"/>
            </w:tcBorders>
          </w:tcPr>
          <w:p w14:paraId="6720185C" w14:textId="77777777" w:rsidR="003903BC" w:rsidRPr="004C78D8" w:rsidRDefault="003903BC" w:rsidP="00FB7C1F">
            <w:pPr>
              <w:jc w:val="center"/>
              <w:rPr>
                <w:sz w:val="18"/>
                <w:szCs w:val="18"/>
              </w:rPr>
            </w:pPr>
            <w:r w:rsidRPr="004C78D8">
              <w:rPr>
                <w:sz w:val="18"/>
                <w:szCs w:val="18"/>
              </w:rPr>
              <w:t>&lt;0.001</w:t>
            </w:r>
          </w:p>
        </w:tc>
      </w:tr>
      <w:tr w:rsidR="003903BC" w:rsidRPr="004C78D8" w14:paraId="0107EADC" w14:textId="77777777" w:rsidTr="00E35893">
        <w:tc>
          <w:tcPr>
            <w:tcW w:w="2263" w:type="dxa"/>
            <w:tcBorders>
              <w:top w:val="nil"/>
              <w:bottom w:val="nil"/>
            </w:tcBorders>
          </w:tcPr>
          <w:p w14:paraId="7C33F03D" w14:textId="77777777" w:rsidR="003903BC" w:rsidRPr="004C78D8" w:rsidRDefault="003903BC" w:rsidP="00FB7C1F">
            <w:pPr>
              <w:jc w:val="right"/>
              <w:rPr>
                <w:i/>
                <w:iCs/>
                <w:sz w:val="18"/>
                <w:szCs w:val="18"/>
              </w:rPr>
            </w:pPr>
            <w:r w:rsidRPr="004C78D8">
              <w:rPr>
                <w:i/>
                <w:iCs/>
                <w:sz w:val="18"/>
                <w:szCs w:val="18"/>
              </w:rPr>
              <w:t>Single MA fall</w:t>
            </w:r>
          </w:p>
        </w:tc>
        <w:tc>
          <w:tcPr>
            <w:tcW w:w="1701" w:type="dxa"/>
            <w:tcBorders>
              <w:top w:val="nil"/>
              <w:bottom w:val="nil"/>
            </w:tcBorders>
          </w:tcPr>
          <w:p w14:paraId="6F944AD8" w14:textId="5F06FC33" w:rsidR="003903BC" w:rsidRPr="004C78D8" w:rsidRDefault="003903BC" w:rsidP="00FB7C1F">
            <w:pPr>
              <w:jc w:val="center"/>
              <w:rPr>
                <w:sz w:val="18"/>
                <w:szCs w:val="18"/>
              </w:rPr>
            </w:pPr>
            <w:r w:rsidRPr="004C78D8">
              <w:rPr>
                <w:sz w:val="18"/>
                <w:szCs w:val="18"/>
              </w:rPr>
              <w:t>1.</w:t>
            </w:r>
            <w:r w:rsidR="005D744E" w:rsidRPr="004C78D8">
              <w:rPr>
                <w:sz w:val="18"/>
                <w:szCs w:val="18"/>
              </w:rPr>
              <w:t>335</w:t>
            </w:r>
            <w:r w:rsidRPr="004C78D8">
              <w:rPr>
                <w:sz w:val="18"/>
                <w:szCs w:val="18"/>
              </w:rPr>
              <w:t xml:space="preserve"> (0.</w:t>
            </w:r>
            <w:r w:rsidR="005D744E" w:rsidRPr="004C78D8">
              <w:rPr>
                <w:sz w:val="18"/>
                <w:szCs w:val="18"/>
              </w:rPr>
              <w:t>139</w:t>
            </w:r>
            <w:r w:rsidRPr="004C78D8">
              <w:rPr>
                <w:sz w:val="18"/>
                <w:szCs w:val="18"/>
              </w:rPr>
              <w:t>)</w:t>
            </w:r>
          </w:p>
        </w:tc>
        <w:tc>
          <w:tcPr>
            <w:tcW w:w="1701" w:type="dxa"/>
            <w:tcBorders>
              <w:top w:val="nil"/>
              <w:bottom w:val="nil"/>
            </w:tcBorders>
          </w:tcPr>
          <w:p w14:paraId="270835E2" w14:textId="77777777" w:rsidR="003903BC" w:rsidRPr="004C78D8" w:rsidRDefault="003903BC" w:rsidP="00FB7C1F">
            <w:pPr>
              <w:jc w:val="center"/>
              <w:rPr>
                <w:sz w:val="18"/>
                <w:szCs w:val="18"/>
              </w:rPr>
            </w:pPr>
            <w:r w:rsidRPr="004C78D8">
              <w:rPr>
                <w:sz w:val="18"/>
                <w:szCs w:val="18"/>
              </w:rPr>
              <w:t>&lt;0.001</w:t>
            </w:r>
          </w:p>
        </w:tc>
      </w:tr>
      <w:tr w:rsidR="003903BC" w:rsidRPr="004C78D8" w14:paraId="7F3A9543" w14:textId="77777777" w:rsidTr="00E35893">
        <w:tc>
          <w:tcPr>
            <w:tcW w:w="2263" w:type="dxa"/>
            <w:tcBorders>
              <w:top w:val="nil"/>
              <w:bottom w:val="nil"/>
            </w:tcBorders>
          </w:tcPr>
          <w:p w14:paraId="27C99F8A" w14:textId="77777777" w:rsidR="003903BC" w:rsidRPr="004C78D8" w:rsidRDefault="003903BC" w:rsidP="00FB7C1F">
            <w:pPr>
              <w:jc w:val="right"/>
              <w:rPr>
                <w:i/>
                <w:iCs/>
                <w:sz w:val="18"/>
                <w:szCs w:val="18"/>
              </w:rPr>
            </w:pPr>
            <w:r w:rsidRPr="004C78D8">
              <w:rPr>
                <w:i/>
                <w:iCs/>
                <w:sz w:val="18"/>
                <w:szCs w:val="18"/>
              </w:rPr>
              <w:t>Recurrent falls with MA</w:t>
            </w:r>
          </w:p>
        </w:tc>
        <w:tc>
          <w:tcPr>
            <w:tcW w:w="1701" w:type="dxa"/>
            <w:tcBorders>
              <w:top w:val="nil"/>
              <w:bottom w:val="nil"/>
            </w:tcBorders>
          </w:tcPr>
          <w:p w14:paraId="7CFA2BA6" w14:textId="35312A15" w:rsidR="003903BC" w:rsidRPr="004C78D8" w:rsidRDefault="003903BC" w:rsidP="00FB7C1F">
            <w:pPr>
              <w:jc w:val="center"/>
              <w:rPr>
                <w:sz w:val="18"/>
                <w:szCs w:val="18"/>
              </w:rPr>
            </w:pPr>
            <w:r w:rsidRPr="004C78D8">
              <w:rPr>
                <w:sz w:val="18"/>
                <w:szCs w:val="18"/>
              </w:rPr>
              <w:t>1.</w:t>
            </w:r>
            <w:r w:rsidR="005D744E" w:rsidRPr="004C78D8">
              <w:rPr>
                <w:sz w:val="18"/>
                <w:szCs w:val="18"/>
              </w:rPr>
              <w:t>330</w:t>
            </w:r>
            <w:r w:rsidRPr="004C78D8">
              <w:rPr>
                <w:sz w:val="18"/>
                <w:szCs w:val="18"/>
              </w:rPr>
              <w:t xml:space="preserve"> (0.1</w:t>
            </w:r>
            <w:r w:rsidR="005D744E" w:rsidRPr="004C78D8">
              <w:rPr>
                <w:sz w:val="18"/>
                <w:szCs w:val="18"/>
              </w:rPr>
              <w:t>3</w:t>
            </w:r>
            <w:r w:rsidRPr="004C78D8">
              <w:rPr>
                <w:sz w:val="18"/>
                <w:szCs w:val="18"/>
              </w:rPr>
              <w:t>8)</w:t>
            </w:r>
          </w:p>
        </w:tc>
        <w:tc>
          <w:tcPr>
            <w:tcW w:w="1701" w:type="dxa"/>
            <w:tcBorders>
              <w:top w:val="nil"/>
              <w:bottom w:val="nil"/>
            </w:tcBorders>
          </w:tcPr>
          <w:p w14:paraId="246985B1" w14:textId="77777777" w:rsidR="003903BC" w:rsidRPr="004C78D8" w:rsidRDefault="003903BC" w:rsidP="00FB7C1F">
            <w:pPr>
              <w:jc w:val="center"/>
              <w:rPr>
                <w:sz w:val="18"/>
                <w:szCs w:val="18"/>
              </w:rPr>
            </w:pPr>
            <w:r w:rsidRPr="004C78D8">
              <w:rPr>
                <w:sz w:val="18"/>
                <w:szCs w:val="18"/>
              </w:rPr>
              <w:t>&lt;0.001</w:t>
            </w:r>
          </w:p>
        </w:tc>
      </w:tr>
      <w:tr w:rsidR="003903BC" w:rsidRPr="004C78D8" w14:paraId="6DD8479A" w14:textId="77777777" w:rsidTr="00E35893">
        <w:tc>
          <w:tcPr>
            <w:tcW w:w="2263" w:type="dxa"/>
            <w:tcBorders>
              <w:top w:val="nil"/>
              <w:bottom w:val="nil"/>
            </w:tcBorders>
          </w:tcPr>
          <w:p w14:paraId="057D33DD" w14:textId="77777777" w:rsidR="003903BC" w:rsidRPr="004C78D8" w:rsidRDefault="003903BC" w:rsidP="00FB7C1F">
            <w:pPr>
              <w:rPr>
                <w:sz w:val="18"/>
                <w:szCs w:val="18"/>
              </w:rPr>
            </w:pPr>
            <w:r w:rsidRPr="004C78D8">
              <w:rPr>
                <w:sz w:val="18"/>
                <w:szCs w:val="18"/>
              </w:rPr>
              <w:t>Frailty (0-100)</w:t>
            </w:r>
          </w:p>
        </w:tc>
        <w:tc>
          <w:tcPr>
            <w:tcW w:w="1701" w:type="dxa"/>
            <w:tcBorders>
              <w:top w:val="nil"/>
              <w:bottom w:val="nil"/>
            </w:tcBorders>
          </w:tcPr>
          <w:p w14:paraId="2F3B56F7" w14:textId="193C731D" w:rsidR="003903BC" w:rsidRPr="004C78D8" w:rsidRDefault="003903BC" w:rsidP="00FB7C1F">
            <w:pPr>
              <w:jc w:val="center"/>
              <w:rPr>
                <w:sz w:val="18"/>
                <w:szCs w:val="18"/>
              </w:rPr>
            </w:pPr>
            <w:r w:rsidRPr="004C78D8">
              <w:rPr>
                <w:sz w:val="18"/>
                <w:szCs w:val="18"/>
              </w:rPr>
              <w:t>0.2</w:t>
            </w:r>
            <w:r w:rsidR="005D744E" w:rsidRPr="004C78D8">
              <w:rPr>
                <w:sz w:val="18"/>
                <w:szCs w:val="18"/>
              </w:rPr>
              <w:t>35</w:t>
            </w:r>
            <w:r w:rsidRPr="004C78D8">
              <w:rPr>
                <w:sz w:val="18"/>
                <w:szCs w:val="18"/>
              </w:rPr>
              <w:t xml:space="preserve"> (0.01</w:t>
            </w:r>
            <w:r w:rsidR="005D744E" w:rsidRPr="004C78D8">
              <w:rPr>
                <w:sz w:val="18"/>
                <w:szCs w:val="18"/>
              </w:rPr>
              <w:t>3</w:t>
            </w:r>
            <w:r w:rsidRPr="004C78D8">
              <w:rPr>
                <w:sz w:val="18"/>
                <w:szCs w:val="18"/>
              </w:rPr>
              <w:t>)</w:t>
            </w:r>
          </w:p>
        </w:tc>
        <w:tc>
          <w:tcPr>
            <w:tcW w:w="1701" w:type="dxa"/>
            <w:tcBorders>
              <w:top w:val="nil"/>
              <w:bottom w:val="nil"/>
            </w:tcBorders>
          </w:tcPr>
          <w:p w14:paraId="1284059E" w14:textId="77777777" w:rsidR="003903BC" w:rsidRPr="004C78D8" w:rsidRDefault="003903BC" w:rsidP="00FB7C1F">
            <w:pPr>
              <w:jc w:val="center"/>
              <w:rPr>
                <w:sz w:val="18"/>
                <w:szCs w:val="18"/>
              </w:rPr>
            </w:pPr>
            <w:r w:rsidRPr="004C78D8">
              <w:rPr>
                <w:sz w:val="18"/>
                <w:szCs w:val="18"/>
              </w:rPr>
              <w:t>&lt;0.001</w:t>
            </w:r>
          </w:p>
        </w:tc>
      </w:tr>
      <w:tr w:rsidR="003903BC" w:rsidRPr="004C78D8" w14:paraId="781A1F94" w14:textId="77777777" w:rsidTr="00E35893">
        <w:tc>
          <w:tcPr>
            <w:tcW w:w="2263" w:type="dxa"/>
            <w:tcBorders>
              <w:top w:val="nil"/>
              <w:bottom w:val="nil"/>
            </w:tcBorders>
          </w:tcPr>
          <w:p w14:paraId="1D3FCA8B" w14:textId="77777777" w:rsidR="003903BC" w:rsidRPr="004C78D8" w:rsidRDefault="003903BC" w:rsidP="00FB7C1F">
            <w:pPr>
              <w:rPr>
                <w:sz w:val="18"/>
                <w:szCs w:val="18"/>
              </w:rPr>
            </w:pPr>
            <w:r w:rsidRPr="004C78D8">
              <w:rPr>
                <w:sz w:val="18"/>
                <w:szCs w:val="18"/>
              </w:rPr>
              <w:t>Frailty^2</w:t>
            </w:r>
          </w:p>
        </w:tc>
        <w:tc>
          <w:tcPr>
            <w:tcW w:w="1701" w:type="dxa"/>
            <w:tcBorders>
              <w:top w:val="nil"/>
              <w:bottom w:val="nil"/>
            </w:tcBorders>
          </w:tcPr>
          <w:p w14:paraId="334A0A0B" w14:textId="36FF24C7" w:rsidR="003903BC" w:rsidRPr="004C78D8" w:rsidRDefault="003903BC" w:rsidP="00FB7C1F">
            <w:pPr>
              <w:jc w:val="center"/>
              <w:rPr>
                <w:sz w:val="18"/>
                <w:szCs w:val="18"/>
              </w:rPr>
            </w:pPr>
            <w:r w:rsidRPr="004C78D8">
              <w:rPr>
                <w:sz w:val="18"/>
                <w:szCs w:val="18"/>
              </w:rPr>
              <w:t>-0.003 (0.000</w:t>
            </w:r>
            <w:r w:rsidR="005D744E" w:rsidRPr="004C78D8">
              <w:rPr>
                <w:sz w:val="18"/>
                <w:szCs w:val="18"/>
              </w:rPr>
              <w:t>2</w:t>
            </w:r>
            <w:r w:rsidRPr="004C78D8">
              <w:rPr>
                <w:sz w:val="18"/>
                <w:szCs w:val="18"/>
              </w:rPr>
              <w:t>)</w:t>
            </w:r>
          </w:p>
        </w:tc>
        <w:tc>
          <w:tcPr>
            <w:tcW w:w="1701" w:type="dxa"/>
            <w:tcBorders>
              <w:top w:val="nil"/>
              <w:bottom w:val="nil"/>
            </w:tcBorders>
          </w:tcPr>
          <w:p w14:paraId="3A700FC7" w14:textId="77777777" w:rsidR="003903BC" w:rsidRPr="004C78D8" w:rsidRDefault="003903BC" w:rsidP="00FB7C1F">
            <w:pPr>
              <w:jc w:val="center"/>
              <w:rPr>
                <w:sz w:val="18"/>
                <w:szCs w:val="18"/>
              </w:rPr>
            </w:pPr>
            <w:r w:rsidRPr="004C78D8">
              <w:rPr>
                <w:sz w:val="18"/>
                <w:szCs w:val="18"/>
              </w:rPr>
              <w:t>&lt;0.001</w:t>
            </w:r>
          </w:p>
        </w:tc>
      </w:tr>
      <w:tr w:rsidR="003903BC" w:rsidRPr="004C78D8" w14:paraId="46D51370" w14:textId="77777777" w:rsidTr="00E35893">
        <w:tc>
          <w:tcPr>
            <w:tcW w:w="5665" w:type="dxa"/>
            <w:gridSpan w:val="3"/>
          </w:tcPr>
          <w:p w14:paraId="39E950FF" w14:textId="7923BEE0" w:rsidR="003903BC" w:rsidRPr="004C78D8" w:rsidRDefault="00D10D5E" w:rsidP="00FB7C1F">
            <w:pPr>
              <w:rPr>
                <w:sz w:val="20"/>
                <w:szCs w:val="20"/>
              </w:rPr>
            </w:pPr>
            <w:r w:rsidRPr="004C78D8">
              <w:rPr>
                <w:b/>
                <w:bCs/>
                <w:sz w:val="18"/>
                <w:szCs w:val="18"/>
              </w:rPr>
              <w:t>Abbreviation</w:t>
            </w:r>
            <w:r w:rsidR="001438B3" w:rsidRPr="004C78D8">
              <w:rPr>
                <w:b/>
                <w:bCs/>
                <w:sz w:val="18"/>
                <w:szCs w:val="18"/>
              </w:rPr>
              <w:t>:</w:t>
            </w:r>
            <w:r w:rsidR="001438B3" w:rsidRPr="004C78D8">
              <w:rPr>
                <w:sz w:val="18"/>
                <w:szCs w:val="18"/>
              </w:rPr>
              <w:t xml:space="preserve"> </w:t>
            </w:r>
            <w:r w:rsidR="003903BC" w:rsidRPr="004C78D8">
              <w:rPr>
                <w:sz w:val="18"/>
                <w:szCs w:val="18"/>
              </w:rPr>
              <w:t xml:space="preserve">ELSA: English Longitudinal Study of Ageing; </w:t>
            </w:r>
            <w:r w:rsidR="00587F05" w:rsidRPr="004C78D8">
              <w:rPr>
                <w:sz w:val="18"/>
                <w:szCs w:val="18"/>
              </w:rPr>
              <w:t xml:space="preserve">MA fall: fall requiring medical attention; </w:t>
            </w:r>
            <w:r w:rsidR="003903BC" w:rsidRPr="004C78D8">
              <w:rPr>
                <w:sz w:val="18"/>
                <w:szCs w:val="18"/>
              </w:rPr>
              <w:t>Ref: reference; SE: standard error</w:t>
            </w:r>
          </w:p>
        </w:tc>
      </w:tr>
    </w:tbl>
    <w:p w14:paraId="7757907E" w14:textId="77777777" w:rsidR="003903BC" w:rsidRPr="004C78D8" w:rsidRDefault="003903BC" w:rsidP="00FB7C1F"/>
    <w:p w14:paraId="754F25AF" w14:textId="52D5183F" w:rsidR="003903BC" w:rsidRPr="004C78D8" w:rsidRDefault="00AE14FD" w:rsidP="00FB7C1F">
      <w:r w:rsidRPr="004C78D8">
        <w:t xml:space="preserve">There was a statistically significant linear relationship between age and fear of falling. Women were likelier to experience fear. </w:t>
      </w:r>
      <w:r w:rsidR="001947F9" w:rsidRPr="004C78D8">
        <w:t>T</w:t>
      </w:r>
      <w:r w:rsidR="003903BC" w:rsidRPr="004C78D8">
        <w:t xml:space="preserve">here was no </w:t>
      </w:r>
      <w:r w:rsidR="001947F9" w:rsidRPr="004C78D8">
        <w:t xml:space="preserve">significant </w:t>
      </w:r>
      <w:r w:rsidR="003903BC" w:rsidRPr="004C78D8">
        <w:t>evidence of social gradient in fear prevalence. Falls history of any type was associated with increased prevalence</w:t>
      </w:r>
      <w:r w:rsidR="00147D6B" w:rsidRPr="004C78D8">
        <w:t>, consistent with fear of falling being a consequence of fall</w:t>
      </w:r>
      <w:r w:rsidR="001947F9" w:rsidRPr="004C78D8">
        <w:t>s</w:t>
      </w:r>
      <w:r w:rsidR="003903BC" w:rsidRPr="004C78D8">
        <w:t xml:space="preserve">. </w:t>
      </w:r>
      <w:r w:rsidR="00CF0CDA" w:rsidRPr="004C78D8">
        <w:t>There was a non-linear relationship between frailty and fear of falling</w:t>
      </w:r>
      <w:r w:rsidR="003903BC" w:rsidRPr="004C78D8">
        <w:t xml:space="preserve">. </w:t>
      </w:r>
    </w:p>
    <w:p w14:paraId="6F55660A" w14:textId="065F5DFD" w:rsidR="003903BC" w:rsidRPr="004C78D8" w:rsidRDefault="003903BC" w:rsidP="00FB7C1F">
      <w:pPr>
        <w:pStyle w:val="Heading5"/>
      </w:pPr>
      <w:r w:rsidRPr="004C78D8">
        <w:t>Abnormal gait and balance</w:t>
      </w:r>
    </w:p>
    <w:p w14:paraId="21E35353" w14:textId="3743D079" w:rsidR="003903BC" w:rsidRPr="004C78D8" w:rsidRDefault="00392219" w:rsidP="00FB7C1F">
      <w:r w:rsidRPr="004C78D8">
        <w:t>The conceptual model identified gait and balance status as a key causal variable (Section 3.6.3)</w:t>
      </w:r>
      <w:r w:rsidR="003903BC" w:rsidRPr="004C78D8">
        <w:t xml:space="preserve">. </w:t>
      </w:r>
      <w:r w:rsidR="008328F3" w:rsidRPr="004C78D8">
        <w:t>ELSA</w:t>
      </w:r>
      <w:r w:rsidR="003903BC" w:rsidRPr="004C78D8">
        <w:t xml:space="preserve"> </w:t>
      </w:r>
      <w:r w:rsidR="007D2141" w:rsidRPr="004C78D8">
        <w:t>contained no validated measure for gait and balance impairment, such as TUG or Tinetti balance scale. Instead</w:t>
      </w:r>
      <w:r w:rsidR="003903BC" w:rsidRPr="004C78D8">
        <w:t xml:space="preserve">, </w:t>
      </w:r>
      <w:r w:rsidR="007D2141" w:rsidRPr="004C78D8">
        <w:t>measure</w:t>
      </w:r>
      <w:r w:rsidR="003903BC" w:rsidRPr="004C78D8">
        <w:t xml:space="preserve"> of walking speed (time in seconds to walk </w:t>
      </w:r>
      <w:r w:rsidR="00D64DF2" w:rsidRPr="004C78D8">
        <w:t>eight</w:t>
      </w:r>
      <w:r w:rsidR="003903BC" w:rsidRPr="004C78D8">
        <w:t xml:space="preserve"> feet) and self-reported level of balance difficulty were used </w:t>
      </w:r>
      <w:r w:rsidR="007D2141" w:rsidRPr="004C78D8">
        <w:t>as indicators</w:t>
      </w:r>
      <w:r w:rsidR="003903BC" w:rsidRPr="004C78D8">
        <w:t xml:space="preserve">. Following </w:t>
      </w:r>
      <w:r w:rsidR="00341CB4" w:rsidRPr="004C78D8">
        <w:t>a previous</w:t>
      </w:r>
      <w:r w:rsidR="003903BC" w:rsidRPr="004C78D8">
        <w:t xml:space="preserve"> practice</w:t>
      </w:r>
      <w:r w:rsidR="00753BAA" w:rsidRPr="004C78D8">
        <w:t xml:space="preserve"> </w:t>
      </w:r>
      <w:r w:rsidR="00753BAA" w:rsidRPr="004C78D8">
        <w:fldChar w:fldCharType="begin"/>
      </w:r>
      <w:r w:rsidR="00C630FC" w:rsidRPr="004C78D8">
        <w:instrText xml:space="preserve"> ADDIN EN.CITE &lt;EndNote&gt;&lt;Cite&gt;&lt;Author&gt;Gale&lt;/Author&gt;&lt;Year&gt;2018&lt;/Year&gt;&lt;RecNum&gt;37&lt;/RecNum&gt;&lt;DisplayText&gt;[255]&lt;/DisplayText&gt;&lt;record&gt;&lt;rec-number&gt;37&lt;/rec-number&gt;&lt;foreign-keys&gt;&lt;key app="EN" db-id="tdtrdw9aepptzbefsat599syza29sxsd2wsp" timestamp="1596826777"&gt;37&lt;/key&gt;&lt;/foreign-keys&gt;&lt;ref-type name="Journal Article"&gt;17&lt;/ref-type&gt;&lt;contributors&gt;&lt;authors&gt;&lt;author&gt;Gale, Catharine R.&lt;/author&gt;&lt;author&gt;Westbury, Leo D.&lt;/author&gt;&lt;author&gt;Cooper, Cyrus&lt;/author&gt;&lt;author&gt;Dennison, Elaine M.&lt;/author&gt;&lt;/authors&gt;&lt;/contributors&gt;&lt;titles&gt;&lt;title&gt;Risk factors for incident falls in older men and women: the English longitudinal study of ageing&lt;/title&gt;&lt;secondary-title&gt;BMC Geriatrics&lt;/secondary-title&gt;&lt;/titles&gt;&lt;periodical&gt;&lt;full-title&gt;BMC Geriatrics&lt;/full-title&gt;&lt;/periodical&gt;&lt;pages&gt;117&lt;/pages&gt;&lt;volume&gt;18&lt;/volume&gt;&lt;number&gt;1&lt;/number&gt;&lt;dates&gt;&lt;year&gt;2018&lt;/year&gt;&lt;pub-dates&gt;&lt;date&gt;May 16&lt;/date&gt;&lt;/pub-dates&gt;&lt;/dates&gt;&lt;isbn&gt;1471-2318&lt;/isbn&gt;&lt;label&gt;Gale2018&lt;/label&gt;&lt;work-type&gt;journal article&lt;/work-type&gt;&lt;urls&gt;&lt;related-urls&gt;&lt;url&gt;https://doi.org/10.1186/s12877-018-0806-3&lt;/url&gt;&lt;/related-urls&gt;&lt;/urls&gt;&lt;electronic-resource-num&gt;10.1186/s12877-018-0806-3&lt;/electronic-resource-num&gt;&lt;/record&gt;&lt;/Cite&gt;&lt;/EndNote&gt;</w:instrText>
      </w:r>
      <w:r w:rsidR="00753BAA" w:rsidRPr="004C78D8">
        <w:fldChar w:fldCharType="separate"/>
      </w:r>
      <w:r w:rsidR="00C630FC" w:rsidRPr="004C78D8">
        <w:rPr>
          <w:noProof/>
        </w:rPr>
        <w:t>[255]</w:t>
      </w:r>
      <w:r w:rsidR="00753BAA" w:rsidRPr="004C78D8">
        <w:fldChar w:fldCharType="end"/>
      </w:r>
      <w:r w:rsidR="003903BC" w:rsidRPr="004C78D8">
        <w:t xml:space="preserve">, those with walking speed in the bottom sex-specific quintile and those who could not perform the walking speed test due to health reasons were deemed to have abnormal gait. The prevalence of abnormal gait for the ELSA cohort was 26.4%. For the measure of balance, those who self-reported having balance difficulties ‘Very often’, ‘Always’ or ‘Can’t walk’ were deemed to have abnormal balance. The overall prevalence of abnormal balance was 7.3%. </w:t>
      </w:r>
      <w:r w:rsidR="00753BAA" w:rsidRPr="004C78D8">
        <w:t>A composite measure was constructed that gave a value of 1 if individual had abnormal gait</w:t>
      </w:r>
      <w:r w:rsidR="00341CB4" w:rsidRPr="004C78D8">
        <w:t>/</w:t>
      </w:r>
      <w:r w:rsidR="00753BAA" w:rsidRPr="004C78D8">
        <w:t xml:space="preserve">balance and 0 </w:t>
      </w:r>
      <w:r w:rsidR="00341CB4" w:rsidRPr="004C78D8">
        <w:t>otherwise</w:t>
      </w:r>
      <w:r w:rsidR="00A13202" w:rsidRPr="004C78D8">
        <w:t>; t</w:t>
      </w:r>
      <w:r w:rsidR="00753BAA" w:rsidRPr="004C78D8">
        <w:t>he</w:t>
      </w:r>
      <w:r w:rsidR="003903BC" w:rsidRPr="004C78D8">
        <w:t xml:space="preserve"> overall prevalence was 28.0%. Table </w:t>
      </w:r>
      <w:r w:rsidR="00D34803" w:rsidRPr="004C78D8">
        <w:t>5</w:t>
      </w:r>
      <w:r w:rsidR="00753BAA" w:rsidRPr="004C78D8">
        <w:t>.</w:t>
      </w:r>
      <w:r w:rsidR="00A13202" w:rsidRPr="004C78D8">
        <w:t>11</w:t>
      </w:r>
      <w:r w:rsidR="003903BC" w:rsidRPr="004C78D8">
        <w:t xml:space="preserve"> shows the regression coefficients from the best-fit model. </w:t>
      </w:r>
    </w:p>
    <w:tbl>
      <w:tblPr>
        <w:tblStyle w:val="TableGrid"/>
        <w:tblW w:w="0" w:type="auto"/>
        <w:tblInd w:w="-5" w:type="dxa"/>
        <w:tblLook w:val="04A0" w:firstRow="1" w:lastRow="0" w:firstColumn="1" w:lastColumn="0" w:noHBand="0" w:noVBand="1"/>
      </w:tblPr>
      <w:tblGrid>
        <w:gridCol w:w="2263"/>
        <w:gridCol w:w="1701"/>
        <w:gridCol w:w="1701"/>
      </w:tblGrid>
      <w:tr w:rsidR="003903BC" w:rsidRPr="004C78D8" w14:paraId="0F5AC4B3" w14:textId="77777777" w:rsidTr="00E35893">
        <w:tc>
          <w:tcPr>
            <w:tcW w:w="5665" w:type="dxa"/>
            <w:gridSpan w:val="3"/>
          </w:tcPr>
          <w:p w14:paraId="29006621" w14:textId="3FA18667" w:rsidR="003903BC" w:rsidRPr="004C78D8" w:rsidRDefault="003903BC" w:rsidP="00FB7C1F">
            <w:r w:rsidRPr="004C78D8">
              <w:rPr>
                <w:b/>
                <w:bCs/>
              </w:rPr>
              <w:t xml:space="preserve">Table </w:t>
            </w:r>
            <w:r w:rsidR="00D34803" w:rsidRPr="004C78D8">
              <w:rPr>
                <w:b/>
                <w:bCs/>
              </w:rPr>
              <w:t>5</w:t>
            </w:r>
            <w:r w:rsidR="00753BAA" w:rsidRPr="004C78D8">
              <w:rPr>
                <w:b/>
                <w:bCs/>
              </w:rPr>
              <w:t>.</w:t>
            </w:r>
            <w:r w:rsidR="00A13202" w:rsidRPr="004C78D8">
              <w:rPr>
                <w:b/>
                <w:bCs/>
              </w:rPr>
              <w:t>11</w:t>
            </w:r>
            <w:r w:rsidRPr="004C78D8">
              <w:t xml:space="preserve"> Logistic regression coefficients for abnormal gait and/or balance </w:t>
            </w:r>
            <w:r w:rsidR="00E85D31" w:rsidRPr="004C78D8">
              <w:t>from</w:t>
            </w:r>
            <w:r w:rsidRPr="004C78D8">
              <w:t xml:space="preserve"> ELSA</w:t>
            </w:r>
            <w:r w:rsidR="001B708F" w:rsidRPr="004C78D8">
              <w:t xml:space="preserve"> Wave</w:t>
            </w:r>
            <w:r w:rsidR="00C814BC" w:rsidRPr="004C78D8">
              <w:t>s</w:t>
            </w:r>
            <w:r w:rsidR="001B708F" w:rsidRPr="004C78D8">
              <w:t xml:space="preserve"> 4</w:t>
            </w:r>
            <w:r w:rsidR="00C814BC" w:rsidRPr="004C78D8">
              <w:t xml:space="preserve"> and 5</w:t>
            </w:r>
            <w:r w:rsidR="00E85D31" w:rsidRPr="004C78D8">
              <w:t>.</w:t>
            </w:r>
          </w:p>
        </w:tc>
      </w:tr>
      <w:tr w:rsidR="003903BC" w:rsidRPr="004C78D8" w14:paraId="26967329" w14:textId="77777777" w:rsidTr="00E35893">
        <w:tc>
          <w:tcPr>
            <w:tcW w:w="5665" w:type="dxa"/>
            <w:gridSpan w:val="3"/>
          </w:tcPr>
          <w:p w14:paraId="2838D029" w14:textId="3AD8E325" w:rsidR="003903BC" w:rsidRPr="004C78D8" w:rsidRDefault="003903BC" w:rsidP="00FB7C1F">
            <w:pPr>
              <w:jc w:val="left"/>
              <w:rPr>
                <w:b/>
                <w:bCs/>
                <w:i/>
                <w:iCs/>
                <w:sz w:val="20"/>
                <w:szCs w:val="20"/>
              </w:rPr>
            </w:pPr>
            <w:r w:rsidRPr="004C78D8">
              <w:rPr>
                <w:b/>
                <w:bCs/>
                <w:i/>
                <w:iCs/>
                <w:sz w:val="20"/>
                <w:szCs w:val="20"/>
              </w:rPr>
              <w:t>Dependent variable: Abnormal gait and/or balance (N=</w:t>
            </w:r>
            <w:r w:rsidR="00C814BC" w:rsidRPr="004C78D8">
              <w:rPr>
                <w:b/>
                <w:bCs/>
                <w:i/>
                <w:iCs/>
                <w:sz w:val="20"/>
                <w:szCs w:val="20"/>
              </w:rPr>
              <w:t>13</w:t>
            </w:r>
            <w:r w:rsidRPr="004C78D8">
              <w:rPr>
                <w:b/>
                <w:bCs/>
                <w:i/>
                <w:iCs/>
                <w:sz w:val="20"/>
                <w:szCs w:val="20"/>
              </w:rPr>
              <w:t>,</w:t>
            </w:r>
            <w:r w:rsidR="00C814BC" w:rsidRPr="004C78D8">
              <w:rPr>
                <w:b/>
                <w:bCs/>
                <w:i/>
                <w:iCs/>
                <w:sz w:val="20"/>
                <w:szCs w:val="20"/>
              </w:rPr>
              <w:t>422</w:t>
            </w:r>
            <w:r w:rsidRPr="004C78D8">
              <w:rPr>
                <w:b/>
                <w:bCs/>
                <w:i/>
                <w:iCs/>
                <w:sz w:val="20"/>
                <w:szCs w:val="20"/>
              </w:rPr>
              <w:t>)</w:t>
            </w:r>
          </w:p>
        </w:tc>
      </w:tr>
      <w:tr w:rsidR="003903BC" w:rsidRPr="004C78D8" w14:paraId="02F9C257" w14:textId="77777777" w:rsidTr="00E35893">
        <w:tc>
          <w:tcPr>
            <w:tcW w:w="2263" w:type="dxa"/>
            <w:tcBorders>
              <w:bottom w:val="single" w:sz="4" w:space="0" w:color="auto"/>
            </w:tcBorders>
          </w:tcPr>
          <w:p w14:paraId="74CCC38F" w14:textId="77777777" w:rsidR="003903BC" w:rsidRPr="004C78D8" w:rsidRDefault="003903BC" w:rsidP="00FB7C1F">
            <w:pPr>
              <w:rPr>
                <w:b/>
                <w:bCs/>
                <w:sz w:val="20"/>
                <w:szCs w:val="20"/>
              </w:rPr>
            </w:pPr>
            <w:r w:rsidRPr="004C78D8">
              <w:rPr>
                <w:b/>
                <w:bCs/>
                <w:sz w:val="20"/>
                <w:szCs w:val="20"/>
              </w:rPr>
              <w:t>Explanatory variables</w:t>
            </w:r>
          </w:p>
        </w:tc>
        <w:tc>
          <w:tcPr>
            <w:tcW w:w="1701" w:type="dxa"/>
            <w:tcBorders>
              <w:bottom w:val="single" w:sz="4" w:space="0" w:color="auto"/>
            </w:tcBorders>
          </w:tcPr>
          <w:p w14:paraId="6E7732B7" w14:textId="77777777" w:rsidR="003903BC" w:rsidRPr="004C78D8" w:rsidRDefault="003903BC" w:rsidP="00FB7C1F">
            <w:pPr>
              <w:jc w:val="center"/>
              <w:rPr>
                <w:b/>
                <w:bCs/>
                <w:sz w:val="20"/>
                <w:szCs w:val="20"/>
              </w:rPr>
            </w:pPr>
            <w:r w:rsidRPr="004C78D8">
              <w:rPr>
                <w:b/>
                <w:bCs/>
                <w:sz w:val="20"/>
                <w:szCs w:val="20"/>
              </w:rPr>
              <w:t>Coefficient (SE)</w:t>
            </w:r>
          </w:p>
        </w:tc>
        <w:tc>
          <w:tcPr>
            <w:tcW w:w="1701" w:type="dxa"/>
            <w:tcBorders>
              <w:bottom w:val="single" w:sz="4" w:space="0" w:color="auto"/>
            </w:tcBorders>
          </w:tcPr>
          <w:p w14:paraId="6DE19ABA" w14:textId="77777777" w:rsidR="003903BC" w:rsidRPr="004C78D8" w:rsidRDefault="003903BC" w:rsidP="00FB7C1F">
            <w:pPr>
              <w:jc w:val="center"/>
              <w:rPr>
                <w:b/>
                <w:bCs/>
                <w:sz w:val="20"/>
                <w:szCs w:val="20"/>
              </w:rPr>
            </w:pPr>
            <w:r w:rsidRPr="004C78D8">
              <w:rPr>
                <w:b/>
                <w:bCs/>
                <w:sz w:val="20"/>
                <w:szCs w:val="20"/>
              </w:rPr>
              <w:t>P-value</w:t>
            </w:r>
          </w:p>
        </w:tc>
      </w:tr>
      <w:tr w:rsidR="003903BC" w:rsidRPr="004C78D8" w14:paraId="6EC0B5D5" w14:textId="77777777" w:rsidTr="00E35893">
        <w:tc>
          <w:tcPr>
            <w:tcW w:w="2263" w:type="dxa"/>
            <w:tcBorders>
              <w:bottom w:val="nil"/>
            </w:tcBorders>
          </w:tcPr>
          <w:p w14:paraId="42A14551" w14:textId="77777777" w:rsidR="003903BC" w:rsidRPr="004C78D8" w:rsidRDefault="003903BC" w:rsidP="00FB7C1F">
            <w:pPr>
              <w:rPr>
                <w:sz w:val="18"/>
                <w:szCs w:val="18"/>
              </w:rPr>
            </w:pPr>
            <w:r w:rsidRPr="004C78D8">
              <w:rPr>
                <w:sz w:val="18"/>
                <w:szCs w:val="18"/>
              </w:rPr>
              <w:t>Constant</w:t>
            </w:r>
          </w:p>
        </w:tc>
        <w:tc>
          <w:tcPr>
            <w:tcW w:w="1701" w:type="dxa"/>
            <w:tcBorders>
              <w:bottom w:val="nil"/>
            </w:tcBorders>
          </w:tcPr>
          <w:p w14:paraId="3FED19BB" w14:textId="55562A77" w:rsidR="003903BC" w:rsidRPr="004C78D8" w:rsidRDefault="00B50067" w:rsidP="00FB7C1F">
            <w:pPr>
              <w:jc w:val="center"/>
              <w:rPr>
                <w:sz w:val="18"/>
                <w:szCs w:val="18"/>
              </w:rPr>
            </w:pPr>
            <w:r w:rsidRPr="004C78D8">
              <w:rPr>
                <w:sz w:val="18"/>
                <w:szCs w:val="18"/>
              </w:rPr>
              <w:t>7</w:t>
            </w:r>
            <w:r w:rsidR="003903BC" w:rsidRPr="004C78D8">
              <w:rPr>
                <w:sz w:val="18"/>
                <w:szCs w:val="18"/>
              </w:rPr>
              <w:t>.</w:t>
            </w:r>
            <w:r w:rsidRPr="004C78D8">
              <w:rPr>
                <w:sz w:val="18"/>
                <w:szCs w:val="18"/>
              </w:rPr>
              <w:t>135</w:t>
            </w:r>
            <w:r w:rsidR="003903BC" w:rsidRPr="004C78D8">
              <w:rPr>
                <w:sz w:val="18"/>
                <w:szCs w:val="18"/>
              </w:rPr>
              <w:t xml:space="preserve"> (2.</w:t>
            </w:r>
            <w:r w:rsidRPr="004C78D8">
              <w:rPr>
                <w:sz w:val="18"/>
                <w:szCs w:val="18"/>
              </w:rPr>
              <w:t>217</w:t>
            </w:r>
            <w:r w:rsidR="003903BC" w:rsidRPr="004C78D8">
              <w:rPr>
                <w:sz w:val="18"/>
                <w:szCs w:val="18"/>
              </w:rPr>
              <w:t>)</w:t>
            </w:r>
          </w:p>
        </w:tc>
        <w:tc>
          <w:tcPr>
            <w:tcW w:w="1701" w:type="dxa"/>
            <w:tcBorders>
              <w:bottom w:val="nil"/>
            </w:tcBorders>
          </w:tcPr>
          <w:p w14:paraId="0600FB98" w14:textId="7BA56628" w:rsidR="003903BC" w:rsidRPr="004C78D8" w:rsidRDefault="003903BC" w:rsidP="00FB7C1F">
            <w:pPr>
              <w:jc w:val="center"/>
              <w:rPr>
                <w:sz w:val="18"/>
                <w:szCs w:val="18"/>
              </w:rPr>
            </w:pPr>
            <w:r w:rsidRPr="004C78D8">
              <w:rPr>
                <w:sz w:val="18"/>
                <w:szCs w:val="18"/>
              </w:rPr>
              <w:t>0.0</w:t>
            </w:r>
            <w:r w:rsidR="00B50067" w:rsidRPr="004C78D8">
              <w:rPr>
                <w:sz w:val="18"/>
                <w:szCs w:val="18"/>
              </w:rPr>
              <w:t>01</w:t>
            </w:r>
          </w:p>
        </w:tc>
      </w:tr>
      <w:tr w:rsidR="003903BC" w:rsidRPr="004C78D8" w14:paraId="00F0A0AC" w14:textId="77777777" w:rsidTr="00E35893">
        <w:tc>
          <w:tcPr>
            <w:tcW w:w="2263" w:type="dxa"/>
            <w:tcBorders>
              <w:top w:val="nil"/>
              <w:bottom w:val="nil"/>
            </w:tcBorders>
          </w:tcPr>
          <w:p w14:paraId="720C8E62" w14:textId="77777777" w:rsidR="003903BC" w:rsidRPr="004C78D8" w:rsidRDefault="003903BC" w:rsidP="00FB7C1F">
            <w:pPr>
              <w:rPr>
                <w:sz w:val="18"/>
                <w:szCs w:val="18"/>
              </w:rPr>
            </w:pPr>
            <w:r w:rsidRPr="004C78D8">
              <w:rPr>
                <w:sz w:val="18"/>
                <w:szCs w:val="18"/>
              </w:rPr>
              <w:t>Age</w:t>
            </w:r>
          </w:p>
        </w:tc>
        <w:tc>
          <w:tcPr>
            <w:tcW w:w="1701" w:type="dxa"/>
            <w:tcBorders>
              <w:top w:val="nil"/>
              <w:bottom w:val="nil"/>
            </w:tcBorders>
          </w:tcPr>
          <w:p w14:paraId="66BF35EB" w14:textId="0DA0E19F" w:rsidR="003903BC" w:rsidRPr="004C78D8" w:rsidRDefault="003903BC" w:rsidP="00FB7C1F">
            <w:pPr>
              <w:jc w:val="center"/>
              <w:rPr>
                <w:sz w:val="18"/>
                <w:szCs w:val="18"/>
              </w:rPr>
            </w:pPr>
            <w:r w:rsidRPr="004C78D8">
              <w:rPr>
                <w:sz w:val="18"/>
                <w:szCs w:val="18"/>
              </w:rPr>
              <w:t>-0.</w:t>
            </w:r>
            <w:r w:rsidR="00B50067" w:rsidRPr="004C78D8">
              <w:rPr>
                <w:sz w:val="18"/>
                <w:szCs w:val="18"/>
              </w:rPr>
              <w:t>335</w:t>
            </w:r>
            <w:r w:rsidRPr="004C78D8">
              <w:rPr>
                <w:sz w:val="18"/>
                <w:szCs w:val="18"/>
              </w:rPr>
              <w:t xml:space="preserve"> (0.0</w:t>
            </w:r>
            <w:r w:rsidR="00B50067" w:rsidRPr="004C78D8">
              <w:rPr>
                <w:sz w:val="18"/>
                <w:szCs w:val="18"/>
              </w:rPr>
              <w:t>60</w:t>
            </w:r>
            <w:r w:rsidRPr="004C78D8">
              <w:rPr>
                <w:sz w:val="18"/>
                <w:szCs w:val="18"/>
              </w:rPr>
              <w:t>)</w:t>
            </w:r>
          </w:p>
        </w:tc>
        <w:tc>
          <w:tcPr>
            <w:tcW w:w="1701" w:type="dxa"/>
            <w:tcBorders>
              <w:top w:val="nil"/>
              <w:bottom w:val="nil"/>
            </w:tcBorders>
          </w:tcPr>
          <w:p w14:paraId="50845D00" w14:textId="77777777" w:rsidR="003903BC" w:rsidRPr="004C78D8" w:rsidRDefault="003903BC" w:rsidP="00FB7C1F">
            <w:pPr>
              <w:jc w:val="center"/>
              <w:rPr>
                <w:sz w:val="18"/>
                <w:szCs w:val="18"/>
              </w:rPr>
            </w:pPr>
            <w:r w:rsidRPr="004C78D8">
              <w:rPr>
                <w:sz w:val="18"/>
                <w:szCs w:val="18"/>
              </w:rPr>
              <w:t>&lt;0.001</w:t>
            </w:r>
          </w:p>
        </w:tc>
      </w:tr>
      <w:tr w:rsidR="003903BC" w:rsidRPr="004C78D8" w14:paraId="662E97C8" w14:textId="77777777" w:rsidTr="00E35893">
        <w:tc>
          <w:tcPr>
            <w:tcW w:w="2263" w:type="dxa"/>
            <w:tcBorders>
              <w:top w:val="nil"/>
              <w:bottom w:val="nil"/>
            </w:tcBorders>
          </w:tcPr>
          <w:p w14:paraId="2A508788" w14:textId="77777777" w:rsidR="003903BC" w:rsidRPr="004C78D8" w:rsidRDefault="003903BC" w:rsidP="00FB7C1F">
            <w:pPr>
              <w:rPr>
                <w:sz w:val="18"/>
                <w:szCs w:val="18"/>
              </w:rPr>
            </w:pPr>
            <w:r w:rsidRPr="004C78D8">
              <w:rPr>
                <w:sz w:val="18"/>
                <w:szCs w:val="18"/>
              </w:rPr>
              <w:t>Age^2</w:t>
            </w:r>
          </w:p>
        </w:tc>
        <w:tc>
          <w:tcPr>
            <w:tcW w:w="1701" w:type="dxa"/>
            <w:tcBorders>
              <w:top w:val="nil"/>
              <w:bottom w:val="nil"/>
            </w:tcBorders>
          </w:tcPr>
          <w:p w14:paraId="6E6C23DA" w14:textId="45E33C81" w:rsidR="003903BC" w:rsidRPr="004C78D8" w:rsidRDefault="003903BC" w:rsidP="00FB7C1F">
            <w:pPr>
              <w:jc w:val="center"/>
              <w:rPr>
                <w:sz w:val="18"/>
                <w:szCs w:val="18"/>
              </w:rPr>
            </w:pPr>
            <w:r w:rsidRPr="004C78D8">
              <w:rPr>
                <w:sz w:val="18"/>
                <w:szCs w:val="18"/>
              </w:rPr>
              <w:t>0.00</w:t>
            </w:r>
            <w:r w:rsidR="00B50067" w:rsidRPr="004C78D8">
              <w:rPr>
                <w:sz w:val="18"/>
                <w:szCs w:val="18"/>
              </w:rPr>
              <w:t>3</w:t>
            </w:r>
            <w:r w:rsidRPr="004C78D8">
              <w:rPr>
                <w:sz w:val="18"/>
                <w:szCs w:val="18"/>
              </w:rPr>
              <w:t xml:space="preserve"> (0.000</w:t>
            </w:r>
            <w:r w:rsidR="00B50067" w:rsidRPr="004C78D8">
              <w:rPr>
                <w:sz w:val="18"/>
                <w:szCs w:val="18"/>
              </w:rPr>
              <w:t>4</w:t>
            </w:r>
            <w:r w:rsidRPr="004C78D8">
              <w:rPr>
                <w:sz w:val="18"/>
                <w:szCs w:val="18"/>
              </w:rPr>
              <w:t>)</w:t>
            </w:r>
          </w:p>
        </w:tc>
        <w:tc>
          <w:tcPr>
            <w:tcW w:w="1701" w:type="dxa"/>
            <w:tcBorders>
              <w:top w:val="nil"/>
              <w:bottom w:val="nil"/>
            </w:tcBorders>
          </w:tcPr>
          <w:p w14:paraId="45A8576C" w14:textId="77777777" w:rsidR="003903BC" w:rsidRPr="004C78D8" w:rsidRDefault="003903BC" w:rsidP="00FB7C1F">
            <w:pPr>
              <w:jc w:val="center"/>
              <w:rPr>
                <w:sz w:val="18"/>
                <w:szCs w:val="18"/>
              </w:rPr>
            </w:pPr>
            <w:r w:rsidRPr="004C78D8">
              <w:rPr>
                <w:sz w:val="18"/>
                <w:szCs w:val="18"/>
              </w:rPr>
              <w:t>&lt;0.001</w:t>
            </w:r>
          </w:p>
        </w:tc>
      </w:tr>
      <w:tr w:rsidR="003903BC" w:rsidRPr="004C78D8" w14:paraId="6541EEB1" w14:textId="77777777" w:rsidTr="00E35893">
        <w:tc>
          <w:tcPr>
            <w:tcW w:w="2263" w:type="dxa"/>
            <w:tcBorders>
              <w:top w:val="nil"/>
              <w:bottom w:val="nil"/>
            </w:tcBorders>
          </w:tcPr>
          <w:p w14:paraId="2481D3C9" w14:textId="77777777" w:rsidR="003903BC" w:rsidRPr="004C78D8" w:rsidRDefault="003903BC" w:rsidP="00FB7C1F">
            <w:pPr>
              <w:rPr>
                <w:sz w:val="18"/>
                <w:szCs w:val="18"/>
              </w:rPr>
            </w:pPr>
            <w:r w:rsidRPr="004C78D8">
              <w:rPr>
                <w:sz w:val="18"/>
                <w:szCs w:val="18"/>
              </w:rPr>
              <w:t>Female</w:t>
            </w:r>
          </w:p>
        </w:tc>
        <w:tc>
          <w:tcPr>
            <w:tcW w:w="1701" w:type="dxa"/>
            <w:tcBorders>
              <w:top w:val="nil"/>
              <w:bottom w:val="nil"/>
            </w:tcBorders>
          </w:tcPr>
          <w:p w14:paraId="23A690BA" w14:textId="03A31B3D" w:rsidR="003903BC" w:rsidRPr="004C78D8" w:rsidRDefault="003903BC" w:rsidP="00FB7C1F">
            <w:pPr>
              <w:jc w:val="center"/>
              <w:rPr>
                <w:sz w:val="18"/>
                <w:szCs w:val="18"/>
              </w:rPr>
            </w:pPr>
            <w:r w:rsidRPr="004C78D8">
              <w:rPr>
                <w:sz w:val="18"/>
                <w:szCs w:val="18"/>
              </w:rPr>
              <w:t>-0.3</w:t>
            </w:r>
            <w:r w:rsidR="00B50067" w:rsidRPr="004C78D8">
              <w:rPr>
                <w:sz w:val="18"/>
                <w:szCs w:val="18"/>
              </w:rPr>
              <w:t>49</w:t>
            </w:r>
            <w:r w:rsidRPr="004C78D8">
              <w:rPr>
                <w:sz w:val="18"/>
                <w:szCs w:val="18"/>
              </w:rPr>
              <w:t xml:space="preserve"> (0.0</w:t>
            </w:r>
            <w:r w:rsidR="00B50067" w:rsidRPr="004C78D8">
              <w:rPr>
                <w:sz w:val="18"/>
                <w:szCs w:val="18"/>
              </w:rPr>
              <w:t>53</w:t>
            </w:r>
            <w:r w:rsidRPr="004C78D8">
              <w:rPr>
                <w:sz w:val="18"/>
                <w:szCs w:val="18"/>
              </w:rPr>
              <w:t>)</w:t>
            </w:r>
          </w:p>
        </w:tc>
        <w:tc>
          <w:tcPr>
            <w:tcW w:w="1701" w:type="dxa"/>
            <w:tcBorders>
              <w:top w:val="nil"/>
              <w:bottom w:val="nil"/>
            </w:tcBorders>
          </w:tcPr>
          <w:p w14:paraId="480AE6B8" w14:textId="77777777" w:rsidR="003903BC" w:rsidRPr="004C78D8" w:rsidRDefault="003903BC" w:rsidP="00FB7C1F">
            <w:pPr>
              <w:jc w:val="center"/>
              <w:rPr>
                <w:sz w:val="18"/>
                <w:szCs w:val="18"/>
              </w:rPr>
            </w:pPr>
            <w:r w:rsidRPr="004C78D8">
              <w:rPr>
                <w:sz w:val="18"/>
                <w:szCs w:val="18"/>
              </w:rPr>
              <w:t>&lt;0.001</w:t>
            </w:r>
          </w:p>
        </w:tc>
      </w:tr>
      <w:tr w:rsidR="003903BC" w:rsidRPr="004C78D8" w14:paraId="47E7C588" w14:textId="77777777" w:rsidTr="00E35893">
        <w:tc>
          <w:tcPr>
            <w:tcW w:w="2263" w:type="dxa"/>
            <w:tcBorders>
              <w:top w:val="nil"/>
              <w:bottom w:val="nil"/>
            </w:tcBorders>
          </w:tcPr>
          <w:p w14:paraId="2D6EF1F1" w14:textId="203D5876" w:rsidR="003903BC" w:rsidRPr="004C78D8" w:rsidRDefault="00F97215" w:rsidP="00FB7C1F">
            <w:pPr>
              <w:rPr>
                <w:sz w:val="18"/>
                <w:szCs w:val="18"/>
              </w:rPr>
            </w:pPr>
            <w:r w:rsidRPr="004C78D8">
              <w:rPr>
                <w:sz w:val="18"/>
                <w:szCs w:val="18"/>
              </w:rPr>
              <w:t>SES</w:t>
            </w:r>
            <w:r w:rsidR="003903BC" w:rsidRPr="004C78D8">
              <w:rPr>
                <w:sz w:val="18"/>
                <w:szCs w:val="18"/>
              </w:rPr>
              <w:t xml:space="preserve"> (ref: Most privileged quartile)</w:t>
            </w:r>
          </w:p>
        </w:tc>
        <w:tc>
          <w:tcPr>
            <w:tcW w:w="1701" w:type="dxa"/>
            <w:tcBorders>
              <w:top w:val="nil"/>
              <w:bottom w:val="nil"/>
            </w:tcBorders>
          </w:tcPr>
          <w:p w14:paraId="144464C6" w14:textId="77777777" w:rsidR="003903BC" w:rsidRPr="004C78D8" w:rsidRDefault="003903BC" w:rsidP="00FB7C1F">
            <w:pPr>
              <w:jc w:val="center"/>
              <w:rPr>
                <w:sz w:val="18"/>
                <w:szCs w:val="18"/>
              </w:rPr>
            </w:pPr>
          </w:p>
        </w:tc>
        <w:tc>
          <w:tcPr>
            <w:tcW w:w="1701" w:type="dxa"/>
            <w:tcBorders>
              <w:top w:val="nil"/>
              <w:bottom w:val="nil"/>
            </w:tcBorders>
          </w:tcPr>
          <w:p w14:paraId="1EDAB894" w14:textId="77777777" w:rsidR="003903BC" w:rsidRPr="004C78D8" w:rsidRDefault="003903BC" w:rsidP="00FB7C1F">
            <w:pPr>
              <w:jc w:val="center"/>
              <w:rPr>
                <w:sz w:val="18"/>
                <w:szCs w:val="18"/>
              </w:rPr>
            </w:pPr>
          </w:p>
        </w:tc>
      </w:tr>
      <w:tr w:rsidR="003903BC" w:rsidRPr="004C78D8" w14:paraId="65D474D4" w14:textId="77777777" w:rsidTr="00E35893">
        <w:tc>
          <w:tcPr>
            <w:tcW w:w="2263" w:type="dxa"/>
            <w:tcBorders>
              <w:top w:val="nil"/>
              <w:bottom w:val="nil"/>
            </w:tcBorders>
          </w:tcPr>
          <w:p w14:paraId="2191BBFD" w14:textId="77777777" w:rsidR="003903BC" w:rsidRPr="004C78D8" w:rsidRDefault="003903BC" w:rsidP="00FB7C1F">
            <w:pPr>
              <w:jc w:val="right"/>
              <w:rPr>
                <w:sz w:val="18"/>
                <w:szCs w:val="18"/>
              </w:rPr>
            </w:pPr>
            <w:r w:rsidRPr="004C78D8">
              <w:rPr>
                <w:i/>
                <w:iCs/>
                <w:sz w:val="18"/>
                <w:szCs w:val="18"/>
              </w:rPr>
              <w:t>2</w:t>
            </w:r>
            <w:r w:rsidRPr="004C78D8">
              <w:rPr>
                <w:i/>
                <w:iCs/>
                <w:sz w:val="18"/>
                <w:szCs w:val="18"/>
                <w:vertAlign w:val="superscript"/>
              </w:rPr>
              <w:t>nd</w:t>
            </w:r>
            <w:r w:rsidRPr="004C78D8">
              <w:rPr>
                <w:i/>
                <w:iCs/>
                <w:sz w:val="18"/>
                <w:szCs w:val="18"/>
              </w:rPr>
              <w:t xml:space="preserve"> quartile</w:t>
            </w:r>
          </w:p>
        </w:tc>
        <w:tc>
          <w:tcPr>
            <w:tcW w:w="1701" w:type="dxa"/>
            <w:tcBorders>
              <w:top w:val="nil"/>
              <w:bottom w:val="nil"/>
            </w:tcBorders>
          </w:tcPr>
          <w:p w14:paraId="6EE59A9F" w14:textId="63485C20" w:rsidR="003903BC" w:rsidRPr="004C78D8" w:rsidRDefault="003903BC" w:rsidP="00FB7C1F">
            <w:pPr>
              <w:jc w:val="center"/>
              <w:rPr>
                <w:sz w:val="18"/>
                <w:szCs w:val="18"/>
              </w:rPr>
            </w:pPr>
            <w:r w:rsidRPr="004C78D8">
              <w:rPr>
                <w:sz w:val="18"/>
                <w:szCs w:val="18"/>
              </w:rPr>
              <w:t>0.3</w:t>
            </w:r>
            <w:r w:rsidR="00B50067" w:rsidRPr="004C78D8">
              <w:rPr>
                <w:sz w:val="18"/>
                <w:szCs w:val="18"/>
              </w:rPr>
              <w:t>38</w:t>
            </w:r>
            <w:r w:rsidRPr="004C78D8">
              <w:rPr>
                <w:sz w:val="18"/>
                <w:szCs w:val="18"/>
              </w:rPr>
              <w:t xml:space="preserve"> (0.</w:t>
            </w:r>
            <w:r w:rsidR="00B50067" w:rsidRPr="004C78D8">
              <w:rPr>
                <w:sz w:val="18"/>
                <w:szCs w:val="18"/>
              </w:rPr>
              <w:t>074</w:t>
            </w:r>
            <w:r w:rsidRPr="004C78D8">
              <w:rPr>
                <w:sz w:val="18"/>
                <w:szCs w:val="18"/>
              </w:rPr>
              <w:t>)</w:t>
            </w:r>
          </w:p>
        </w:tc>
        <w:tc>
          <w:tcPr>
            <w:tcW w:w="1701" w:type="dxa"/>
            <w:tcBorders>
              <w:top w:val="nil"/>
              <w:bottom w:val="nil"/>
            </w:tcBorders>
          </w:tcPr>
          <w:p w14:paraId="7969AB10" w14:textId="2E2A6E7F" w:rsidR="003903BC" w:rsidRPr="004C78D8" w:rsidRDefault="00B50067" w:rsidP="00FB7C1F">
            <w:pPr>
              <w:jc w:val="center"/>
              <w:rPr>
                <w:sz w:val="18"/>
                <w:szCs w:val="18"/>
              </w:rPr>
            </w:pPr>
            <w:r w:rsidRPr="004C78D8">
              <w:rPr>
                <w:sz w:val="18"/>
                <w:szCs w:val="18"/>
              </w:rPr>
              <w:t>&lt;0.001</w:t>
            </w:r>
          </w:p>
        </w:tc>
      </w:tr>
      <w:tr w:rsidR="003903BC" w:rsidRPr="004C78D8" w14:paraId="32701B8A" w14:textId="77777777" w:rsidTr="00E35893">
        <w:tc>
          <w:tcPr>
            <w:tcW w:w="2263" w:type="dxa"/>
            <w:tcBorders>
              <w:top w:val="nil"/>
              <w:bottom w:val="nil"/>
            </w:tcBorders>
          </w:tcPr>
          <w:p w14:paraId="2292D823" w14:textId="77777777" w:rsidR="003903BC" w:rsidRPr="004C78D8" w:rsidRDefault="003903BC" w:rsidP="00FB7C1F">
            <w:pPr>
              <w:jc w:val="right"/>
              <w:rPr>
                <w:sz w:val="18"/>
                <w:szCs w:val="18"/>
              </w:rPr>
            </w:pPr>
            <w:r w:rsidRPr="004C78D8">
              <w:rPr>
                <w:i/>
                <w:iCs/>
                <w:sz w:val="18"/>
                <w:szCs w:val="18"/>
              </w:rPr>
              <w:t>3</w:t>
            </w:r>
            <w:r w:rsidRPr="004C78D8">
              <w:rPr>
                <w:i/>
                <w:iCs/>
                <w:sz w:val="18"/>
                <w:szCs w:val="18"/>
                <w:vertAlign w:val="superscript"/>
              </w:rPr>
              <w:t>rd</w:t>
            </w:r>
            <w:r w:rsidRPr="004C78D8">
              <w:rPr>
                <w:i/>
                <w:iCs/>
                <w:sz w:val="18"/>
                <w:szCs w:val="18"/>
              </w:rPr>
              <w:t xml:space="preserve"> quartile</w:t>
            </w:r>
          </w:p>
        </w:tc>
        <w:tc>
          <w:tcPr>
            <w:tcW w:w="1701" w:type="dxa"/>
            <w:tcBorders>
              <w:top w:val="nil"/>
              <w:bottom w:val="nil"/>
            </w:tcBorders>
          </w:tcPr>
          <w:p w14:paraId="767A7880" w14:textId="4069A1B6" w:rsidR="003903BC" w:rsidRPr="004C78D8" w:rsidRDefault="003903BC" w:rsidP="00FB7C1F">
            <w:pPr>
              <w:jc w:val="center"/>
              <w:rPr>
                <w:sz w:val="18"/>
                <w:szCs w:val="18"/>
              </w:rPr>
            </w:pPr>
            <w:r w:rsidRPr="004C78D8">
              <w:rPr>
                <w:sz w:val="18"/>
                <w:szCs w:val="18"/>
              </w:rPr>
              <w:t>0.</w:t>
            </w:r>
            <w:r w:rsidR="00B50067" w:rsidRPr="004C78D8">
              <w:rPr>
                <w:sz w:val="18"/>
                <w:szCs w:val="18"/>
              </w:rPr>
              <w:t>386</w:t>
            </w:r>
            <w:r w:rsidRPr="004C78D8">
              <w:rPr>
                <w:sz w:val="18"/>
                <w:szCs w:val="18"/>
              </w:rPr>
              <w:t xml:space="preserve"> (0.0</w:t>
            </w:r>
            <w:r w:rsidR="00B50067" w:rsidRPr="004C78D8">
              <w:rPr>
                <w:sz w:val="18"/>
                <w:szCs w:val="18"/>
              </w:rPr>
              <w:t>65</w:t>
            </w:r>
            <w:r w:rsidRPr="004C78D8">
              <w:rPr>
                <w:sz w:val="18"/>
                <w:szCs w:val="18"/>
              </w:rPr>
              <w:t>)</w:t>
            </w:r>
          </w:p>
        </w:tc>
        <w:tc>
          <w:tcPr>
            <w:tcW w:w="1701" w:type="dxa"/>
            <w:tcBorders>
              <w:top w:val="nil"/>
              <w:bottom w:val="nil"/>
            </w:tcBorders>
          </w:tcPr>
          <w:p w14:paraId="536DB2C5" w14:textId="547CF175" w:rsidR="003903BC" w:rsidRPr="004C78D8" w:rsidRDefault="00B50067" w:rsidP="00FB7C1F">
            <w:pPr>
              <w:jc w:val="center"/>
              <w:rPr>
                <w:sz w:val="18"/>
                <w:szCs w:val="18"/>
              </w:rPr>
            </w:pPr>
            <w:r w:rsidRPr="004C78D8">
              <w:rPr>
                <w:sz w:val="18"/>
                <w:szCs w:val="18"/>
              </w:rPr>
              <w:t>&lt;0.001</w:t>
            </w:r>
          </w:p>
        </w:tc>
      </w:tr>
      <w:tr w:rsidR="003903BC" w:rsidRPr="004C78D8" w14:paraId="46A06C0D" w14:textId="77777777" w:rsidTr="00E35893">
        <w:tc>
          <w:tcPr>
            <w:tcW w:w="2263" w:type="dxa"/>
            <w:tcBorders>
              <w:top w:val="nil"/>
              <w:bottom w:val="nil"/>
            </w:tcBorders>
          </w:tcPr>
          <w:p w14:paraId="11DD4D29" w14:textId="77777777" w:rsidR="003903BC" w:rsidRPr="004C78D8" w:rsidRDefault="003903BC" w:rsidP="00FB7C1F">
            <w:pPr>
              <w:jc w:val="right"/>
              <w:rPr>
                <w:sz w:val="18"/>
                <w:szCs w:val="18"/>
              </w:rPr>
            </w:pPr>
            <w:r w:rsidRPr="004C78D8">
              <w:rPr>
                <w:i/>
                <w:iCs/>
                <w:sz w:val="18"/>
                <w:szCs w:val="18"/>
              </w:rPr>
              <w:t>Most deprived quartile</w:t>
            </w:r>
          </w:p>
        </w:tc>
        <w:tc>
          <w:tcPr>
            <w:tcW w:w="1701" w:type="dxa"/>
            <w:tcBorders>
              <w:top w:val="nil"/>
              <w:bottom w:val="nil"/>
            </w:tcBorders>
          </w:tcPr>
          <w:p w14:paraId="71E5D111" w14:textId="2EB437E5" w:rsidR="003903BC" w:rsidRPr="004C78D8" w:rsidRDefault="003903BC" w:rsidP="00FB7C1F">
            <w:pPr>
              <w:jc w:val="center"/>
              <w:rPr>
                <w:sz w:val="18"/>
                <w:szCs w:val="18"/>
              </w:rPr>
            </w:pPr>
            <w:r w:rsidRPr="004C78D8">
              <w:rPr>
                <w:sz w:val="18"/>
                <w:szCs w:val="18"/>
              </w:rPr>
              <w:t>0.</w:t>
            </w:r>
            <w:r w:rsidR="00B50067" w:rsidRPr="004C78D8">
              <w:rPr>
                <w:sz w:val="18"/>
                <w:szCs w:val="18"/>
              </w:rPr>
              <w:t>520</w:t>
            </w:r>
            <w:r w:rsidRPr="004C78D8">
              <w:rPr>
                <w:sz w:val="18"/>
                <w:szCs w:val="18"/>
              </w:rPr>
              <w:t xml:space="preserve"> (0.</w:t>
            </w:r>
            <w:r w:rsidR="00B50067" w:rsidRPr="004C78D8">
              <w:rPr>
                <w:sz w:val="18"/>
                <w:szCs w:val="18"/>
              </w:rPr>
              <w:t>083</w:t>
            </w:r>
            <w:r w:rsidRPr="004C78D8">
              <w:rPr>
                <w:sz w:val="18"/>
                <w:szCs w:val="18"/>
              </w:rPr>
              <w:t>)</w:t>
            </w:r>
          </w:p>
        </w:tc>
        <w:tc>
          <w:tcPr>
            <w:tcW w:w="1701" w:type="dxa"/>
            <w:tcBorders>
              <w:top w:val="nil"/>
              <w:bottom w:val="nil"/>
            </w:tcBorders>
          </w:tcPr>
          <w:p w14:paraId="18927BB4" w14:textId="5E19ED95" w:rsidR="003903BC" w:rsidRPr="004C78D8" w:rsidRDefault="00B50067" w:rsidP="00FB7C1F">
            <w:pPr>
              <w:jc w:val="center"/>
              <w:rPr>
                <w:sz w:val="18"/>
                <w:szCs w:val="18"/>
              </w:rPr>
            </w:pPr>
            <w:r w:rsidRPr="004C78D8">
              <w:rPr>
                <w:sz w:val="18"/>
                <w:szCs w:val="18"/>
              </w:rPr>
              <w:t>&lt;0.001</w:t>
            </w:r>
          </w:p>
        </w:tc>
      </w:tr>
      <w:tr w:rsidR="00B50067" w:rsidRPr="004C78D8" w14:paraId="4394DB6C" w14:textId="77777777" w:rsidTr="00E35893">
        <w:tc>
          <w:tcPr>
            <w:tcW w:w="2263" w:type="dxa"/>
            <w:tcBorders>
              <w:top w:val="nil"/>
              <w:bottom w:val="nil"/>
            </w:tcBorders>
          </w:tcPr>
          <w:p w14:paraId="18B4DAEC" w14:textId="2F2FB60E" w:rsidR="00B50067" w:rsidRPr="004C78D8" w:rsidRDefault="00B50067" w:rsidP="00FB7C1F">
            <w:pPr>
              <w:rPr>
                <w:sz w:val="18"/>
                <w:szCs w:val="18"/>
              </w:rPr>
            </w:pPr>
            <w:r w:rsidRPr="004C78D8">
              <w:rPr>
                <w:sz w:val="18"/>
                <w:szCs w:val="18"/>
              </w:rPr>
              <w:t>Falls history (ref: No falls history)</w:t>
            </w:r>
          </w:p>
        </w:tc>
        <w:tc>
          <w:tcPr>
            <w:tcW w:w="1701" w:type="dxa"/>
            <w:tcBorders>
              <w:top w:val="nil"/>
              <w:bottom w:val="nil"/>
            </w:tcBorders>
          </w:tcPr>
          <w:p w14:paraId="6D3F3CFD" w14:textId="77777777" w:rsidR="00B50067" w:rsidRPr="004C78D8" w:rsidRDefault="00B50067" w:rsidP="00FB7C1F">
            <w:pPr>
              <w:jc w:val="center"/>
              <w:rPr>
                <w:sz w:val="18"/>
                <w:szCs w:val="18"/>
              </w:rPr>
            </w:pPr>
          </w:p>
        </w:tc>
        <w:tc>
          <w:tcPr>
            <w:tcW w:w="1701" w:type="dxa"/>
            <w:tcBorders>
              <w:top w:val="nil"/>
              <w:bottom w:val="nil"/>
            </w:tcBorders>
          </w:tcPr>
          <w:p w14:paraId="2E13AB06" w14:textId="77777777" w:rsidR="00B50067" w:rsidRPr="004C78D8" w:rsidRDefault="00B50067" w:rsidP="00FB7C1F">
            <w:pPr>
              <w:jc w:val="center"/>
              <w:rPr>
                <w:sz w:val="18"/>
                <w:szCs w:val="18"/>
              </w:rPr>
            </w:pPr>
          </w:p>
        </w:tc>
      </w:tr>
      <w:tr w:rsidR="00B50067" w:rsidRPr="004C78D8" w14:paraId="12889783" w14:textId="77777777" w:rsidTr="00E35893">
        <w:tc>
          <w:tcPr>
            <w:tcW w:w="2263" w:type="dxa"/>
            <w:tcBorders>
              <w:top w:val="nil"/>
              <w:bottom w:val="nil"/>
            </w:tcBorders>
          </w:tcPr>
          <w:p w14:paraId="4F910311" w14:textId="5467F846" w:rsidR="00B50067" w:rsidRPr="004C78D8" w:rsidRDefault="00B50067" w:rsidP="00FB7C1F">
            <w:pPr>
              <w:jc w:val="right"/>
              <w:rPr>
                <w:sz w:val="18"/>
                <w:szCs w:val="18"/>
              </w:rPr>
            </w:pPr>
            <w:r w:rsidRPr="004C78D8">
              <w:rPr>
                <w:i/>
                <w:iCs/>
                <w:sz w:val="18"/>
                <w:szCs w:val="18"/>
              </w:rPr>
              <w:t>Single non-MA fall</w:t>
            </w:r>
          </w:p>
        </w:tc>
        <w:tc>
          <w:tcPr>
            <w:tcW w:w="1701" w:type="dxa"/>
            <w:tcBorders>
              <w:top w:val="nil"/>
              <w:bottom w:val="nil"/>
            </w:tcBorders>
          </w:tcPr>
          <w:p w14:paraId="092F8D21" w14:textId="50EEBA75" w:rsidR="00B50067" w:rsidRPr="004C78D8" w:rsidRDefault="00B50067" w:rsidP="00FB7C1F">
            <w:pPr>
              <w:jc w:val="center"/>
              <w:rPr>
                <w:sz w:val="18"/>
                <w:szCs w:val="18"/>
              </w:rPr>
            </w:pPr>
            <w:r w:rsidRPr="004C78D8">
              <w:rPr>
                <w:sz w:val="18"/>
                <w:szCs w:val="18"/>
              </w:rPr>
              <w:t>0.112 (0.083)</w:t>
            </w:r>
          </w:p>
        </w:tc>
        <w:tc>
          <w:tcPr>
            <w:tcW w:w="1701" w:type="dxa"/>
            <w:tcBorders>
              <w:top w:val="nil"/>
              <w:bottom w:val="nil"/>
            </w:tcBorders>
          </w:tcPr>
          <w:p w14:paraId="0045D853" w14:textId="590DA060" w:rsidR="00B50067" w:rsidRPr="004C78D8" w:rsidRDefault="00B50067" w:rsidP="00FB7C1F">
            <w:pPr>
              <w:jc w:val="center"/>
              <w:rPr>
                <w:sz w:val="18"/>
                <w:szCs w:val="18"/>
              </w:rPr>
            </w:pPr>
            <w:r w:rsidRPr="004C78D8">
              <w:rPr>
                <w:sz w:val="18"/>
                <w:szCs w:val="18"/>
              </w:rPr>
              <w:t>0.176</w:t>
            </w:r>
          </w:p>
        </w:tc>
      </w:tr>
      <w:tr w:rsidR="00B50067" w:rsidRPr="004C78D8" w14:paraId="3C8E4CFF" w14:textId="77777777" w:rsidTr="00E35893">
        <w:tc>
          <w:tcPr>
            <w:tcW w:w="2263" w:type="dxa"/>
            <w:tcBorders>
              <w:top w:val="nil"/>
              <w:bottom w:val="nil"/>
            </w:tcBorders>
          </w:tcPr>
          <w:p w14:paraId="41C96759" w14:textId="33AC7052" w:rsidR="00B50067" w:rsidRPr="004C78D8" w:rsidRDefault="00B50067" w:rsidP="00FB7C1F">
            <w:pPr>
              <w:jc w:val="right"/>
              <w:rPr>
                <w:sz w:val="18"/>
                <w:szCs w:val="18"/>
              </w:rPr>
            </w:pPr>
            <w:r w:rsidRPr="004C78D8">
              <w:rPr>
                <w:i/>
                <w:iCs/>
                <w:sz w:val="18"/>
                <w:szCs w:val="18"/>
              </w:rPr>
              <w:t>Recurrent non-MA falls</w:t>
            </w:r>
          </w:p>
        </w:tc>
        <w:tc>
          <w:tcPr>
            <w:tcW w:w="1701" w:type="dxa"/>
            <w:tcBorders>
              <w:top w:val="nil"/>
              <w:bottom w:val="nil"/>
            </w:tcBorders>
          </w:tcPr>
          <w:p w14:paraId="668E928D" w14:textId="4937BC80" w:rsidR="00B50067" w:rsidRPr="004C78D8" w:rsidRDefault="00B50067" w:rsidP="00FB7C1F">
            <w:pPr>
              <w:jc w:val="center"/>
              <w:rPr>
                <w:sz w:val="18"/>
                <w:szCs w:val="18"/>
              </w:rPr>
            </w:pPr>
            <w:r w:rsidRPr="004C78D8">
              <w:rPr>
                <w:sz w:val="18"/>
                <w:szCs w:val="18"/>
              </w:rPr>
              <w:t>0.365 (0.090)</w:t>
            </w:r>
          </w:p>
        </w:tc>
        <w:tc>
          <w:tcPr>
            <w:tcW w:w="1701" w:type="dxa"/>
            <w:tcBorders>
              <w:top w:val="nil"/>
              <w:bottom w:val="nil"/>
            </w:tcBorders>
          </w:tcPr>
          <w:p w14:paraId="06992788" w14:textId="6E24FA47" w:rsidR="00B50067" w:rsidRPr="004C78D8" w:rsidRDefault="00B50067" w:rsidP="00FB7C1F">
            <w:pPr>
              <w:jc w:val="center"/>
              <w:rPr>
                <w:sz w:val="18"/>
                <w:szCs w:val="18"/>
              </w:rPr>
            </w:pPr>
            <w:r w:rsidRPr="004C78D8">
              <w:rPr>
                <w:sz w:val="18"/>
                <w:szCs w:val="18"/>
              </w:rPr>
              <w:t>&lt;0.001</w:t>
            </w:r>
          </w:p>
        </w:tc>
      </w:tr>
      <w:tr w:rsidR="00B50067" w:rsidRPr="004C78D8" w14:paraId="2A0C3E5C" w14:textId="77777777" w:rsidTr="00E35893">
        <w:tc>
          <w:tcPr>
            <w:tcW w:w="2263" w:type="dxa"/>
            <w:tcBorders>
              <w:top w:val="nil"/>
              <w:bottom w:val="nil"/>
            </w:tcBorders>
          </w:tcPr>
          <w:p w14:paraId="715D9DC7" w14:textId="795DB9ED" w:rsidR="00B50067" w:rsidRPr="004C78D8" w:rsidRDefault="00B50067" w:rsidP="00FB7C1F">
            <w:pPr>
              <w:jc w:val="right"/>
              <w:rPr>
                <w:sz w:val="18"/>
                <w:szCs w:val="18"/>
              </w:rPr>
            </w:pPr>
            <w:r w:rsidRPr="004C78D8">
              <w:rPr>
                <w:i/>
                <w:iCs/>
                <w:sz w:val="18"/>
                <w:szCs w:val="18"/>
              </w:rPr>
              <w:t>Single MA fall</w:t>
            </w:r>
          </w:p>
        </w:tc>
        <w:tc>
          <w:tcPr>
            <w:tcW w:w="1701" w:type="dxa"/>
            <w:tcBorders>
              <w:top w:val="nil"/>
              <w:bottom w:val="nil"/>
            </w:tcBorders>
          </w:tcPr>
          <w:p w14:paraId="2F7ACDDC" w14:textId="301FCDEC" w:rsidR="00B50067" w:rsidRPr="004C78D8" w:rsidRDefault="00B50067" w:rsidP="00FB7C1F">
            <w:pPr>
              <w:jc w:val="center"/>
              <w:rPr>
                <w:sz w:val="18"/>
                <w:szCs w:val="18"/>
              </w:rPr>
            </w:pPr>
            <w:r w:rsidRPr="004C78D8">
              <w:rPr>
                <w:sz w:val="18"/>
                <w:szCs w:val="18"/>
              </w:rPr>
              <w:t>0.257 (0.121)</w:t>
            </w:r>
          </w:p>
        </w:tc>
        <w:tc>
          <w:tcPr>
            <w:tcW w:w="1701" w:type="dxa"/>
            <w:tcBorders>
              <w:top w:val="nil"/>
              <w:bottom w:val="nil"/>
            </w:tcBorders>
          </w:tcPr>
          <w:p w14:paraId="1538406C" w14:textId="6708159A" w:rsidR="00B50067" w:rsidRPr="004C78D8" w:rsidRDefault="00B50067" w:rsidP="00FB7C1F">
            <w:pPr>
              <w:jc w:val="center"/>
              <w:rPr>
                <w:sz w:val="18"/>
                <w:szCs w:val="18"/>
              </w:rPr>
            </w:pPr>
            <w:r w:rsidRPr="004C78D8">
              <w:rPr>
                <w:sz w:val="18"/>
                <w:szCs w:val="18"/>
              </w:rPr>
              <w:t>0.033</w:t>
            </w:r>
          </w:p>
        </w:tc>
      </w:tr>
      <w:tr w:rsidR="00B50067" w:rsidRPr="004C78D8" w14:paraId="3E3D70F6" w14:textId="77777777" w:rsidTr="00E35893">
        <w:tc>
          <w:tcPr>
            <w:tcW w:w="2263" w:type="dxa"/>
            <w:tcBorders>
              <w:top w:val="nil"/>
              <w:bottom w:val="nil"/>
            </w:tcBorders>
          </w:tcPr>
          <w:p w14:paraId="25CA4E72" w14:textId="1BB2A585" w:rsidR="00B50067" w:rsidRPr="004C78D8" w:rsidRDefault="00B50067" w:rsidP="00FB7C1F">
            <w:pPr>
              <w:jc w:val="right"/>
              <w:rPr>
                <w:sz w:val="18"/>
                <w:szCs w:val="18"/>
              </w:rPr>
            </w:pPr>
            <w:r w:rsidRPr="004C78D8">
              <w:rPr>
                <w:i/>
                <w:iCs/>
                <w:sz w:val="18"/>
                <w:szCs w:val="18"/>
              </w:rPr>
              <w:t>Recurrent falls with MA</w:t>
            </w:r>
          </w:p>
        </w:tc>
        <w:tc>
          <w:tcPr>
            <w:tcW w:w="1701" w:type="dxa"/>
            <w:tcBorders>
              <w:top w:val="nil"/>
              <w:bottom w:val="nil"/>
            </w:tcBorders>
          </w:tcPr>
          <w:p w14:paraId="5D302FF9" w14:textId="30FA0C92" w:rsidR="00B50067" w:rsidRPr="004C78D8" w:rsidRDefault="00B50067" w:rsidP="00FB7C1F">
            <w:pPr>
              <w:jc w:val="center"/>
              <w:rPr>
                <w:sz w:val="18"/>
                <w:szCs w:val="18"/>
              </w:rPr>
            </w:pPr>
            <w:r w:rsidRPr="004C78D8">
              <w:rPr>
                <w:sz w:val="18"/>
                <w:szCs w:val="18"/>
              </w:rPr>
              <w:t>0.322 (0.148)</w:t>
            </w:r>
          </w:p>
        </w:tc>
        <w:tc>
          <w:tcPr>
            <w:tcW w:w="1701" w:type="dxa"/>
            <w:tcBorders>
              <w:top w:val="nil"/>
              <w:bottom w:val="nil"/>
            </w:tcBorders>
          </w:tcPr>
          <w:p w14:paraId="1CAD4504" w14:textId="4DE89E66" w:rsidR="00B50067" w:rsidRPr="004C78D8" w:rsidRDefault="00B50067" w:rsidP="00FB7C1F">
            <w:pPr>
              <w:jc w:val="center"/>
              <w:rPr>
                <w:sz w:val="18"/>
                <w:szCs w:val="18"/>
              </w:rPr>
            </w:pPr>
            <w:r w:rsidRPr="004C78D8">
              <w:rPr>
                <w:sz w:val="18"/>
                <w:szCs w:val="18"/>
              </w:rPr>
              <w:t>0.030</w:t>
            </w:r>
          </w:p>
        </w:tc>
      </w:tr>
      <w:tr w:rsidR="00B50067" w:rsidRPr="004C78D8" w14:paraId="20AB58A5" w14:textId="77777777" w:rsidTr="00E35893">
        <w:tc>
          <w:tcPr>
            <w:tcW w:w="2263" w:type="dxa"/>
            <w:tcBorders>
              <w:top w:val="nil"/>
              <w:bottom w:val="nil"/>
            </w:tcBorders>
          </w:tcPr>
          <w:p w14:paraId="135E0964" w14:textId="77777777" w:rsidR="00B50067" w:rsidRPr="004C78D8" w:rsidRDefault="00B50067" w:rsidP="00FB7C1F">
            <w:pPr>
              <w:rPr>
                <w:sz w:val="18"/>
                <w:szCs w:val="18"/>
              </w:rPr>
            </w:pPr>
            <w:r w:rsidRPr="004C78D8">
              <w:rPr>
                <w:sz w:val="18"/>
                <w:szCs w:val="18"/>
              </w:rPr>
              <w:t>Frailty (0-100)</w:t>
            </w:r>
          </w:p>
        </w:tc>
        <w:tc>
          <w:tcPr>
            <w:tcW w:w="1701" w:type="dxa"/>
            <w:tcBorders>
              <w:top w:val="nil"/>
              <w:bottom w:val="nil"/>
            </w:tcBorders>
          </w:tcPr>
          <w:p w14:paraId="199AEC90" w14:textId="07DF0E38" w:rsidR="00B50067" w:rsidRPr="004C78D8" w:rsidRDefault="00B50067" w:rsidP="00FB7C1F">
            <w:pPr>
              <w:jc w:val="center"/>
              <w:rPr>
                <w:sz w:val="18"/>
                <w:szCs w:val="18"/>
              </w:rPr>
            </w:pPr>
            <w:r w:rsidRPr="004C78D8">
              <w:rPr>
                <w:sz w:val="18"/>
                <w:szCs w:val="18"/>
              </w:rPr>
              <w:t>0.170 (0.004)</w:t>
            </w:r>
          </w:p>
        </w:tc>
        <w:tc>
          <w:tcPr>
            <w:tcW w:w="1701" w:type="dxa"/>
            <w:tcBorders>
              <w:top w:val="nil"/>
              <w:bottom w:val="nil"/>
            </w:tcBorders>
          </w:tcPr>
          <w:p w14:paraId="677222BB" w14:textId="77777777" w:rsidR="00B50067" w:rsidRPr="004C78D8" w:rsidRDefault="00B50067" w:rsidP="00FB7C1F">
            <w:pPr>
              <w:jc w:val="center"/>
              <w:rPr>
                <w:sz w:val="18"/>
                <w:szCs w:val="18"/>
              </w:rPr>
            </w:pPr>
            <w:r w:rsidRPr="004C78D8">
              <w:rPr>
                <w:sz w:val="18"/>
                <w:szCs w:val="18"/>
              </w:rPr>
              <w:t>&lt;0.001</w:t>
            </w:r>
          </w:p>
        </w:tc>
      </w:tr>
      <w:tr w:rsidR="00B50067" w:rsidRPr="004C78D8" w14:paraId="06F7BF60" w14:textId="77777777" w:rsidTr="00E35893">
        <w:tc>
          <w:tcPr>
            <w:tcW w:w="2263" w:type="dxa"/>
            <w:tcBorders>
              <w:top w:val="nil"/>
              <w:bottom w:val="nil"/>
            </w:tcBorders>
          </w:tcPr>
          <w:p w14:paraId="68747D51" w14:textId="4234650E" w:rsidR="00B50067" w:rsidRPr="004C78D8" w:rsidRDefault="00B50067" w:rsidP="00FB7C1F">
            <w:pPr>
              <w:rPr>
                <w:sz w:val="18"/>
                <w:szCs w:val="18"/>
              </w:rPr>
            </w:pPr>
            <w:r w:rsidRPr="004C78D8">
              <w:rPr>
                <w:sz w:val="18"/>
                <w:szCs w:val="18"/>
              </w:rPr>
              <w:t>High physical activity</w:t>
            </w:r>
          </w:p>
        </w:tc>
        <w:tc>
          <w:tcPr>
            <w:tcW w:w="1701" w:type="dxa"/>
            <w:tcBorders>
              <w:top w:val="nil"/>
              <w:bottom w:val="nil"/>
            </w:tcBorders>
          </w:tcPr>
          <w:p w14:paraId="57F88249" w14:textId="593BA83D" w:rsidR="00B50067" w:rsidRPr="004C78D8" w:rsidRDefault="00B50067" w:rsidP="00FB7C1F">
            <w:pPr>
              <w:jc w:val="center"/>
              <w:rPr>
                <w:sz w:val="18"/>
                <w:szCs w:val="18"/>
              </w:rPr>
            </w:pPr>
            <w:r w:rsidRPr="004C78D8">
              <w:rPr>
                <w:sz w:val="18"/>
                <w:szCs w:val="18"/>
              </w:rPr>
              <w:t>-0.299 (0.088)</w:t>
            </w:r>
          </w:p>
        </w:tc>
        <w:tc>
          <w:tcPr>
            <w:tcW w:w="1701" w:type="dxa"/>
            <w:tcBorders>
              <w:top w:val="nil"/>
              <w:bottom w:val="nil"/>
            </w:tcBorders>
          </w:tcPr>
          <w:p w14:paraId="73AB2001" w14:textId="28A87F28" w:rsidR="00B50067" w:rsidRPr="004C78D8" w:rsidRDefault="00B50067" w:rsidP="00FB7C1F">
            <w:pPr>
              <w:jc w:val="center"/>
              <w:rPr>
                <w:sz w:val="18"/>
                <w:szCs w:val="18"/>
              </w:rPr>
            </w:pPr>
            <w:r w:rsidRPr="004C78D8">
              <w:rPr>
                <w:sz w:val="18"/>
                <w:szCs w:val="18"/>
              </w:rPr>
              <w:t>0.001</w:t>
            </w:r>
          </w:p>
        </w:tc>
      </w:tr>
      <w:tr w:rsidR="00B50067" w:rsidRPr="004C78D8" w14:paraId="5532902D" w14:textId="77777777" w:rsidTr="00E35893">
        <w:tc>
          <w:tcPr>
            <w:tcW w:w="2263" w:type="dxa"/>
            <w:tcBorders>
              <w:top w:val="nil"/>
              <w:bottom w:val="nil"/>
            </w:tcBorders>
          </w:tcPr>
          <w:p w14:paraId="5B59C859" w14:textId="71B275E3" w:rsidR="00B50067" w:rsidRPr="004C78D8" w:rsidRDefault="00B50067" w:rsidP="00FB7C1F">
            <w:pPr>
              <w:rPr>
                <w:sz w:val="18"/>
                <w:szCs w:val="18"/>
              </w:rPr>
            </w:pPr>
            <w:r w:rsidRPr="004C78D8">
              <w:rPr>
                <w:sz w:val="18"/>
                <w:szCs w:val="18"/>
              </w:rPr>
              <w:t>Cognitive impairment</w:t>
            </w:r>
          </w:p>
        </w:tc>
        <w:tc>
          <w:tcPr>
            <w:tcW w:w="1701" w:type="dxa"/>
            <w:tcBorders>
              <w:top w:val="nil"/>
              <w:bottom w:val="nil"/>
            </w:tcBorders>
          </w:tcPr>
          <w:p w14:paraId="1E67E55C" w14:textId="052E8E09" w:rsidR="00B50067" w:rsidRPr="004C78D8" w:rsidRDefault="00B50067" w:rsidP="00FB7C1F">
            <w:pPr>
              <w:jc w:val="center"/>
              <w:rPr>
                <w:sz w:val="18"/>
                <w:szCs w:val="18"/>
              </w:rPr>
            </w:pPr>
            <w:r w:rsidRPr="004C78D8">
              <w:rPr>
                <w:sz w:val="18"/>
                <w:szCs w:val="18"/>
              </w:rPr>
              <w:t>0.265 (0.063)</w:t>
            </w:r>
          </w:p>
        </w:tc>
        <w:tc>
          <w:tcPr>
            <w:tcW w:w="1701" w:type="dxa"/>
            <w:tcBorders>
              <w:top w:val="nil"/>
              <w:bottom w:val="nil"/>
            </w:tcBorders>
          </w:tcPr>
          <w:p w14:paraId="12D6CAE6" w14:textId="6215E3BA" w:rsidR="00B50067" w:rsidRPr="004C78D8" w:rsidRDefault="00B50067" w:rsidP="00FB7C1F">
            <w:pPr>
              <w:jc w:val="center"/>
              <w:rPr>
                <w:sz w:val="18"/>
                <w:szCs w:val="18"/>
              </w:rPr>
            </w:pPr>
            <w:r w:rsidRPr="004C78D8">
              <w:rPr>
                <w:sz w:val="18"/>
                <w:szCs w:val="18"/>
              </w:rPr>
              <w:t>&lt;0.001</w:t>
            </w:r>
          </w:p>
        </w:tc>
      </w:tr>
      <w:tr w:rsidR="00B50067" w:rsidRPr="004C78D8" w14:paraId="3B1D4EDB" w14:textId="77777777" w:rsidTr="00E35893">
        <w:tc>
          <w:tcPr>
            <w:tcW w:w="2263" w:type="dxa"/>
            <w:tcBorders>
              <w:top w:val="nil"/>
            </w:tcBorders>
          </w:tcPr>
          <w:p w14:paraId="697586D6" w14:textId="77777777" w:rsidR="00B50067" w:rsidRPr="004C78D8" w:rsidRDefault="00B50067" w:rsidP="00FB7C1F">
            <w:pPr>
              <w:rPr>
                <w:sz w:val="18"/>
                <w:szCs w:val="18"/>
              </w:rPr>
            </w:pPr>
            <w:r w:rsidRPr="004C78D8">
              <w:rPr>
                <w:sz w:val="18"/>
                <w:szCs w:val="18"/>
              </w:rPr>
              <w:t>Fear of falling</w:t>
            </w:r>
          </w:p>
        </w:tc>
        <w:tc>
          <w:tcPr>
            <w:tcW w:w="1701" w:type="dxa"/>
            <w:tcBorders>
              <w:top w:val="nil"/>
            </w:tcBorders>
          </w:tcPr>
          <w:p w14:paraId="5CC2AC16" w14:textId="7578EBDD" w:rsidR="00B50067" w:rsidRPr="004C78D8" w:rsidRDefault="00B50067" w:rsidP="00FB7C1F">
            <w:pPr>
              <w:jc w:val="center"/>
              <w:rPr>
                <w:sz w:val="18"/>
                <w:szCs w:val="18"/>
              </w:rPr>
            </w:pPr>
            <w:r w:rsidRPr="004C78D8">
              <w:rPr>
                <w:sz w:val="18"/>
                <w:szCs w:val="18"/>
              </w:rPr>
              <w:t>0.381 (0.103)</w:t>
            </w:r>
          </w:p>
        </w:tc>
        <w:tc>
          <w:tcPr>
            <w:tcW w:w="1701" w:type="dxa"/>
            <w:tcBorders>
              <w:top w:val="nil"/>
            </w:tcBorders>
          </w:tcPr>
          <w:p w14:paraId="3350BADC" w14:textId="77777777" w:rsidR="00B50067" w:rsidRPr="004C78D8" w:rsidRDefault="00B50067" w:rsidP="00FB7C1F">
            <w:pPr>
              <w:jc w:val="center"/>
              <w:rPr>
                <w:sz w:val="18"/>
                <w:szCs w:val="18"/>
              </w:rPr>
            </w:pPr>
            <w:r w:rsidRPr="004C78D8">
              <w:rPr>
                <w:sz w:val="18"/>
                <w:szCs w:val="18"/>
              </w:rPr>
              <w:t>&lt;0.001</w:t>
            </w:r>
          </w:p>
        </w:tc>
      </w:tr>
      <w:tr w:rsidR="00B50067" w:rsidRPr="004C78D8" w14:paraId="014E707D" w14:textId="77777777" w:rsidTr="00E35893">
        <w:tc>
          <w:tcPr>
            <w:tcW w:w="5665" w:type="dxa"/>
            <w:gridSpan w:val="3"/>
          </w:tcPr>
          <w:p w14:paraId="6E670597" w14:textId="11F28541" w:rsidR="00B50067" w:rsidRPr="004C78D8" w:rsidRDefault="00D10D5E" w:rsidP="00FB7C1F">
            <w:pPr>
              <w:rPr>
                <w:sz w:val="20"/>
                <w:szCs w:val="20"/>
              </w:rPr>
            </w:pPr>
            <w:r w:rsidRPr="004C78D8">
              <w:rPr>
                <w:b/>
                <w:bCs/>
                <w:sz w:val="18"/>
                <w:szCs w:val="18"/>
              </w:rPr>
              <w:t>Abbreviation</w:t>
            </w:r>
            <w:r w:rsidR="001438B3" w:rsidRPr="004C78D8">
              <w:rPr>
                <w:b/>
                <w:bCs/>
                <w:sz w:val="18"/>
                <w:szCs w:val="18"/>
              </w:rPr>
              <w:t>:</w:t>
            </w:r>
            <w:r w:rsidR="001438B3" w:rsidRPr="004C78D8">
              <w:rPr>
                <w:sz w:val="18"/>
                <w:szCs w:val="18"/>
              </w:rPr>
              <w:t xml:space="preserve"> </w:t>
            </w:r>
            <w:r w:rsidR="00B50067" w:rsidRPr="004C78D8">
              <w:rPr>
                <w:sz w:val="18"/>
                <w:szCs w:val="18"/>
              </w:rPr>
              <w:t xml:space="preserve">ELSA: English Longitudinal Study of Ageing; </w:t>
            </w:r>
            <w:r w:rsidR="00753BAA" w:rsidRPr="004C78D8">
              <w:rPr>
                <w:sz w:val="18"/>
                <w:szCs w:val="18"/>
              </w:rPr>
              <w:t xml:space="preserve">MA fall: fall requiring medical attention; </w:t>
            </w:r>
            <w:r w:rsidR="00B50067" w:rsidRPr="004C78D8">
              <w:rPr>
                <w:sz w:val="18"/>
                <w:szCs w:val="18"/>
              </w:rPr>
              <w:t>Ref: reference; SE: standard error</w:t>
            </w:r>
            <w:r w:rsidR="00F97215" w:rsidRPr="004C78D8">
              <w:rPr>
                <w:sz w:val="18"/>
                <w:szCs w:val="18"/>
              </w:rPr>
              <w:t>; SES: socioeconomic status</w:t>
            </w:r>
          </w:p>
        </w:tc>
      </w:tr>
    </w:tbl>
    <w:p w14:paraId="393E1DFD" w14:textId="77777777" w:rsidR="003903BC" w:rsidRPr="004C78D8" w:rsidRDefault="003903BC" w:rsidP="00FB7C1F"/>
    <w:p w14:paraId="230C918A" w14:textId="26CB7D57" w:rsidR="003E1F0A" w:rsidRPr="004C78D8" w:rsidRDefault="00147D6B" w:rsidP="00FB7C1F">
      <w:r w:rsidRPr="004C78D8">
        <w:t xml:space="preserve">Both age and sex were significantly associated with abnormal gait/balance. </w:t>
      </w:r>
      <w:r w:rsidR="003903BC" w:rsidRPr="004C78D8">
        <w:t xml:space="preserve">There was </w:t>
      </w:r>
      <w:r w:rsidRPr="004C78D8">
        <w:t xml:space="preserve">also </w:t>
      </w:r>
      <w:r w:rsidR="003903BC" w:rsidRPr="004C78D8">
        <w:t xml:space="preserve">a significant </w:t>
      </w:r>
      <w:r w:rsidR="005735B2" w:rsidRPr="004C78D8">
        <w:t>SES</w:t>
      </w:r>
      <w:r w:rsidR="003903BC" w:rsidRPr="004C78D8">
        <w:t xml:space="preserve"> gradient to the </w:t>
      </w:r>
      <w:r w:rsidRPr="004C78D8">
        <w:t>prevalence</w:t>
      </w:r>
      <w:r w:rsidR="003903BC" w:rsidRPr="004C78D8">
        <w:t xml:space="preserve">. </w:t>
      </w:r>
      <w:r w:rsidRPr="004C78D8">
        <w:t xml:space="preserve">Falls history of any type except single non-MA fall increased the likelihood of having abnormal gait/balance, showing evidence of a feedback loop. </w:t>
      </w:r>
      <w:r w:rsidR="004674C2" w:rsidRPr="004C78D8">
        <w:t>Higher frailty and cognitive impairment were both associated with higher prevalence</w:t>
      </w:r>
      <w:r w:rsidR="009E30AD" w:rsidRPr="004C78D8">
        <w:t xml:space="preserve"> of abnormal gait/balance</w:t>
      </w:r>
      <w:r w:rsidR="004674C2" w:rsidRPr="004C78D8">
        <w:t>, while engaging in high physical activity was associated with lower prevalence. Finally, fear of falling was associated with abnormal gait/balance.</w:t>
      </w:r>
    </w:p>
    <w:p w14:paraId="5D2EF32E" w14:textId="2E0805C1" w:rsidR="00A54D02" w:rsidRPr="004C78D8" w:rsidRDefault="00403728" w:rsidP="00FB7C1F">
      <w:r w:rsidRPr="004C78D8">
        <w:t>According to a previous model that incorporated gait/balance screening, TUG had sensitivity and specificity of 31.0% and 74.0%, respectively, for cohort aged 65-89</w:t>
      </w:r>
      <w:r w:rsidR="00081371" w:rsidRPr="004C78D8">
        <w:t xml:space="preserve"> </w:t>
      </w:r>
      <w:r w:rsidR="00081371" w:rsidRPr="004C78D8">
        <w:fldChar w:fldCharType="begin"/>
      </w:r>
      <w:r w:rsidR="00C630FC" w:rsidRPr="004C78D8">
        <w:instrText xml:space="preserve"> ADDIN EN.CITE &lt;EndNote&gt;&lt;Cite&gt;&lt;Author&gt;Franklin&lt;/Author&gt;&lt;Year&gt;2019&lt;/Year&gt;&lt;RecNum&gt;395&lt;/RecNum&gt;&lt;DisplayText&gt;[363]&lt;/DisplayText&gt;&lt;record&gt;&lt;rec-number&gt;395&lt;/rec-number&gt;&lt;foreign-keys&gt;&lt;key app="EN" db-id="tdtrdw9aepptzbefsat599syza29sxsd2wsp" timestamp="1612694614"&gt;395&lt;/key&gt;&lt;/foreign-keys&gt;&lt;ref-type name="Journal Article"&gt;17&lt;/ref-type&gt;&lt;contributors&gt;&lt;authors&gt;&lt;author&gt;Franklin, Matthew&lt;/author&gt;&lt;author&gt;Hunter, Rachael Maree&lt;/author&gt;&lt;/authors&gt;&lt;/contributors&gt;&lt;titles&gt;&lt;title&gt;A modelling-based economic evaluation of primary-care-based fall-risk screening followed by fall-prevention intervention: a cohort-based Markov model stratified by older age groups&lt;/title&gt;&lt;secondary-title&gt;Age and ageing&lt;/secondary-title&gt;&lt;/titles&gt;&lt;periodical&gt;&lt;full-title&gt;Age and ageing&lt;/full-title&gt;&lt;/periodical&gt;&lt;dates&gt;&lt;year&gt;2019&lt;/year&gt;&lt;/dates&gt;&lt;urls&gt;&lt;/urls&gt;&lt;/record&gt;&lt;/Cite&gt;&lt;/EndNote&gt;</w:instrText>
      </w:r>
      <w:r w:rsidR="00081371" w:rsidRPr="004C78D8">
        <w:fldChar w:fldCharType="separate"/>
      </w:r>
      <w:r w:rsidR="00C630FC" w:rsidRPr="004C78D8">
        <w:rPr>
          <w:noProof/>
        </w:rPr>
        <w:t>[363]</w:t>
      </w:r>
      <w:r w:rsidR="00081371" w:rsidRPr="004C78D8">
        <w:fldChar w:fldCharType="end"/>
      </w:r>
      <w:r w:rsidRPr="004C78D8">
        <w:t xml:space="preserve">. In comparison, the model predicted that </w:t>
      </w:r>
      <w:r w:rsidR="005B0BD6" w:rsidRPr="004C78D8">
        <w:t>39</w:t>
      </w:r>
      <w:r w:rsidRPr="004C78D8">
        <w:t>.</w:t>
      </w:r>
      <w:r w:rsidR="005B0BD6" w:rsidRPr="004C78D8">
        <w:t>6</w:t>
      </w:r>
      <w:r w:rsidRPr="004C78D8">
        <w:t xml:space="preserve">% of those </w:t>
      </w:r>
      <w:r w:rsidR="001D3471" w:rsidRPr="004C78D8">
        <w:t xml:space="preserve">aged 65-89 </w:t>
      </w:r>
      <w:r w:rsidRPr="004C78D8">
        <w:t xml:space="preserve">who </w:t>
      </w:r>
      <w:r w:rsidR="005B0BD6" w:rsidRPr="004C78D8">
        <w:t xml:space="preserve">received falls risk screening and </w:t>
      </w:r>
      <w:r w:rsidRPr="004C78D8">
        <w:t>experienced any fall in the first cycle had abnormal gait/balance, while 7</w:t>
      </w:r>
      <w:r w:rsidR="005B0BD6" w:rsidRPr="004C78D8">
        <w:t>2</w:t>
      </w:r>
      <w:r w:rsidRPr="004C78D8">
        <w:t>.</w:t>
      </w:r>
      <w:r w:rsidR="005B0BD6" w:rsidRPr="004C78D8">
        <w:t>0</w:t>
      </w:r>
      <w:r w:rsidRPr="004C78D8">
        <w:t xml:space="preserve">% of those who did not experience any fall did not, giving sensitivity of </w:t>
      </w:r>
      <w:r w:rsidR="005B0BD6" w:rsidRPr="004C78D8">
        <w:t>39</w:t>
      </w:r>
      <w:r w:rsidRPr="004C78D8">
        <w:t>.</w:t>
      </w:r>
      <w:r w:rsidR="005B0BD6" w:rsidRPr="004C78D8">
        <w:t>6</w:t>
      </w:r>
      <w:r w:rsidRPr="004C78D8">
        <w:t>% and specificity of 7</w:t>
      </w:r>
      <w:r w:rsidR="005B0BD6" w:rsidRPr="004C78D8">
        <w:t>2</w:t>
      </w:r>
      <w:r w:rsidRPr="004C78D8">
        <w:t>.</w:t>
      </w:r>
      <w:r w:rsidR="005B0BD6" w:rsidRPr="004C78D8">
        <w:t>0</w:t>
      </w:r>
      <w:r w:rsidRPr="004C78D8">
        <w:t>%. Hence, the ELSA variable approximates the performance of TUG</w:t>
      </w:r>
      <w:r w:rsidR="008A4ABC" w:rsidRPr="004C78D8">
        <w:t xml:space="preserve">, a screening tool recommended by NICE </w:t>
      </w:r>
      <w:r w:rsidR="00937F2B" w:rsidRPr="004C78D8">
        <w:t>CG161</w:t>
      </w:r>
      <w:r w:rsidR="008A4ABC" w:rsidRPr="004C78D8">
        <w:t xml:space="preserve"> (p. 53) </w:t>
      </w:r>
      <w:r w:rsidR="008A4ABC" w:rsidRPr="004C78D8">
        <w:fldChar w:fldCharType="begin"/>
      </w:r>
      <w:r w:rsidR="00F255A9"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008A4ABC" w:rsidRPr="004C78D8">
        <w:fldChar w:fldCharType="separate"/>
      </w:r>
      <w:r w:rsidR="00F255A9" w:rsidRPr="004C78D8">
        <w:rPr>
          <w:noProof/>
        </w:rPr>
        <w:t>[13]</w:t>
      </w:r>
      <w:r w:rsidR="008A4ABC" w:rsidRPr="004C78D8">
        <w:fldChar w:fldCharType="end"/>
      </w:r>
      <w:r w:rsidRPr="004C78D8">
        <w:t xml:space="preserve">. </w:t>
      </w:r>
    </w:p>
    <w:p w14:paraId="2E772B87" w14:textId="1171FE21" w:rsidR="00221252" w:rsidRPr="004C78D8" w:rsidRDefault="00403728" w:rsidP="00FB7C1F">
      <w:r w:rsidRPr="004C78D8">
        <w:t xml:space="preserve"> </w:t>
      </w:r>
    </w:p>
    <w:p w14:paraId="10068233" w14:textId="32ADEC18" w:rsidR="000525DA" w:rsidRPr="004C78D8" w:rsidRDefault="00D34803" w:rsidP="00FB7C1F">
      <w:pPr>
        <w:pStyle w:val="Heading3"/>
      </w:pPr>
      <w:bookmarkStart w:id="149" w:name="_Toc111630776"/>
      <w:r w:rsidRPr="004C78D8">
        <w:t>5</w:t>
      </w:r>
      <w:r w:rsidR="000525DA" w:rsidRPr="004C78D8">
        <w:t>.</w:t>
      </w:r>
      <w:r w:rsidR="00127AB4" w:rsidRPr="004C78D8">
        <w:t>2</w:t>
      </w:r>
      <w:r w:rsidR="000525DA" w:rsidRPr="004C78D8">
        <w:t xml:space="preserve">.3 </w:t>
      </w:r>
      <w:r w:rsidR="00D101CF" w:rsidRPr="004C78D8">
        <w:t>Outcomes estimated at baseline</w:t>
      </w:r>
      <w:bookmarkEnd w:id="149"/>
    </w:p>
    <w:p w14:paraId="73762A54" w14:textId="4F2BA881" w:rsidR="007A7FD6" w:rsidRPr="004C78D8" w:rsidRDefault="00CB4507" w:rsidP="00FB7C1F">
      <w:r w:rsidRPr="004C78D8">
        <w:t xml:space="preserve">Given the </w:t>
      </w:r>
      <w:r w:rsidR="003E1F0A" w:rsidRPr="004C78D8">
        <w:t>baseline characteristics</w:t>
      </w:r>
      <w:r w:rsidR="00934956" w:rsidRPr="004C78D8">
        <w:t>, the following outcomes were estimated</w:t>
      </w:r>
      <w:r w:rsidR="00C326FB" w:rsidRPr="004C78D8">
        <w:t xml:space="preserve"> from ELSA</w:t>
      </w:r>
      <w:r w:rsidR="00934956" w:rsidRPr="004C78D8">
        <w:t xml:space="preserve">: </w:t>
      </w:r>
      <w:r w:rsidR="00FF32A7" w:rsidRPr="004C78D8">
        <w:t>EQ-5D</w:t>
      </w:r>
      <w:r w:rsidR="00CB2241" w:rsidRPr="004C78D8">
        <w:t xml:space="preserve"> health utilities (Section </w:t>
      </w:r>
      <w:r w:rsidR="00D34803" w:rsidRPr="004C78D8">
        <w:t>5</w:t>
      </w:r>
      <w:r w:rsidR="00CB2241" w:rsidRPr="004C78D8">
        <w:t>.</w:t>
      </w:r>
      <w:r w:rsidR="00127AB4" w:rsidRPr="004C78D8">
        <w:t>2</w:t>
      </w:r>
      <w:r w:rsidR="00CB2241" w:rsidRPr="004C78D8">
        <w:t>.3.1)</w:t>
      </w:r>
      <w:r w:rsidR="00FF32A7" w:rsidRPr="004C78D8">
        <w:t xml:space="preserve">; </w:t>
      </w:r>
      <w:r w:rsidR="003F363B" w:rsidRPr="004C78D8">
        <w:t xml:space="preserve">productivity level </w:t>
      </w:r>
      <w:r w:rsidR="003E1F0A" w:rsidRPr="004C78D8">
        <w:t xml:space="preserve">– </w:t>
      </w:r>
      <w:r w:rsidR="003F363B" w:rsidRPr="004C78D8">
        <w:t>paid employment</w:t>
      </w:r>
      <w:r w:rsidR="00FD465B" w:rsidRPr="004C78D8">
        <w:t xml:space="preserve"> and unpaid</w:t>
      </w:r>
      <w:r w:rsidR="003F363B" w:rsidRPr="004C78D8">
        <w:t xml:space="preserve"> </w:t>
      </w:r>
      <w:r w:rsidR="00EE5AFB" w:rsidRPr="004C78D8">
        <w:t>work</w:t>
      </w:r>
      <w:r w:rsidR="00CB2241" w:rsidRPr="004C78D8">
        <w:t xml:space="preserve"> (Section </w:t>
      </w:r>
      <w:r w:rsidR="00D34803" w:rsidRPr="004C78D8">
        <w:t>5</w:t>
      </w:r>
      <w:r w:rsidR="00CB2241" w:rsidRPr="004C78D8">
        <w:t>.</w:t>
      </w:r>
      <w:r w:rsidR="00127AB4" w:rsidRPr="004C78D8">
        <w:t>2</w:t>
      </w:r>
      <w:r w:rsidR="00CB2241" w:rsidRPr="004C78D8">
        <w:t>.3.2)</w:t>
      </w:r>
      <w:r w:rsidR="003F363B" w:rsidRPr="004C78D8">
        <w:t xml:space="preserve">; </w:t>
      </w:r>
      <w:r w:rsidR="00CB2241" w:rsidRPr="004C78D8">
        <w:t xml:space="preserve">CASP-19 social wellbeing (Section </w:t>
      </w:r>
      <w:r w:rsidR="00D34803" w:rsidRPr="004C78D8">
        <w:t>5</w:t>
      </w:r>
      <w:r w:rsidR="00CB2241" w:rsidRPr="004C78D8">
        <w:t>.</w:t>
      </w:r>
      <w:r w:rsidR="00127AB4" w:rsidRPr="004C78D8">
        <w:t>2</w:t>
      </w:r>
      <w:r w:rsidR="00CB2241" w:rsidRPr="004C78D8">
        <w:t>.3.3)</w:t>
      </w:r>
      <w:r w:rsidR="002368FE" w:rsidRPr="004C78D8">
        <w:t xml:space="preserve">; </w:t>
      </w:r>
      <w:r w:rsidR="003F363B" w:rsidRPr="004C78D8">
        <w:t xml:space="preserve">and </w:t>
      </w:r>
      <w:r w:rsidR="00EE5AFB" w:rsidRPr="004C78D8">
        <w:t>comorbidity</w:t>
      </w:r>
      <w:r w:rsidR="003F363B" w:rsidRPr="004C78D8">
        <w:t xml:space="preserve"> care costs </w:t>
      </w:r>
      <w:r w:rsidR="003E1F0A" w:rsidRPr="004C78D8">
        <w:t xml:space="preserve">by sector – </w:t>
      </w:r>
      <w:r w:rsidR="00FF32A7" w:rsidRPr="004C78D8">
        <w:t>healthcare</w:t>
      </w:r>
      <w:r w:rsidR="003F363B" w:rsidRPr="004C78D8">
        <w:t xml:space="preserve">, social care, </w:t>
      </w:r>
      <w:r w:rsidR="00FF32A7" w:rsidRPr="004C78D8">
        <w:t xml:space="preserve">out-of-pocket </w:t>
      </w:r>
      <w:r w:rsidR="000E4630" w:rsidRPr="004C78D8">
        <w:t>care</w:t>
      </w:r>
      <w:r w:rsidR="009476FE" w:rsidRPr="004C78D8">
        <w:t>,</w:t>
      </w:r>
      <w:r w:rsidR="000E4630" w:rsidRPr="004C78D8">
        <w:t xml:space="preserve"> </w:t>
      </w:r>
      <w:r w:rsidR="003F363B" w:rsidRPr="004C78D8">
        <w:t>and</w:t>
      </w:r>
      <w:r w:rsidR="00FF32A7" w:rsidRPr="004C78D8">
        <w:t xml:space="preserve"> informal care</w:t>
      </w:r>
      <w:r w:rsidR="00CB2241" w:rsidRPr="004C78D8">
        <w:t xml:space="preserve"> (Section </w:t>
      </w:r>
      <w:r w:rsidR="00D34803" w:rsidRPr="004C78D8">
        <w:t>5</w:t>
      </w:r>
      <w:r w:rsidR="00CB2241" w:rsidRPr="004C78D8">
        <w:t>.</w:t>
      </w:r>
      <w:r w:rsidR="00127AB4" w:rsidRPr="004C78D8">
        <w:t>2</w:t>
      </w:r>
      <w:r w:rsidR="00CB2241" w:rsidRPr="004C78D8">
        <w:t>.3.4)</w:t>
      </w:r>
      <w:r w:rsidR="00934956" w:rsidRPr="004C78D8">
        <w:t>.</w:t>
      </w:r>
      <w:r w:rsidRPr="004C78D8">
        <w:t xml:space="preserve"> </w:t>
      </w:r>
    </w:p>
    <w:p w14:paraId="6437F4D5" w14:textId="58EC3DBF" w:rsidR="00FF32A7" w:rsidRPr="004C78D8" w:rsidRDefault="00D34803" w:rsidP="00FB7C1F">
      <w:pPr>
        <w:pStyle w:val="Heading4"/>
      </w:pPr>
      <w:r w:rsidRPr="004C78D8">
        <w:t>5</w:t>
      </w:r>
      <w:r w:rsidR="00FF32A7" w:rsidRPr="004C78D8">
        <w:t>.</w:t>
      </w:r>
      <w:r w:rsidR="00127AB4" w:rsidRPr="004C78D8">
        <w:t>2</w:t>
      </w:r>
      <w:r w:rsidR="00FF32A7" w:rsidRPr="004C78D8">
        <w:t>.3.</w:t>
      </w:r>
      <w:r w:rsidR="00A3505E" w:rsidRPr="004C78D8">
        <w:t>1</w:t>
      </w:r>
      <w:r w:rsidR="00FF32A7" w:rsidRPr="004C78D8">
        <w:t xml:space="preserve"> </w:t>
      </w:r>
      <w:r w:rsidR="002977C7" w:rsidRPr="004C78D8">
        <w:t>H</w:t>
      </w:r>
      <w:r w:rsidR="002064F3" w:rsidRPr="004C78D8">
        <w:t>ealth</w:t>
      </w:r>
      <w:r w:rsidR="005D13ED" w:rsidRPr="004C78D8">
        <w:t xml:space="preserve"> utilities</w:t>
      </w:r>
    </w:p>
    <w:p w14:paraId="78FE3665" w14:textId="36DEECC9" w:rsidR="009262DA" w:rsidRPr="004C78D8" w:rsidRDefault="009901C7" w:rsidP="00FB7C1F">
      <w:r w:rsidRPr="004C78D8">
        <w:t xml:space="preserve">The </w:t>
      </w:r>
      <w:r w:rsidR="00AF3F39" w:rsidRPr="004C78D8">
        <w:t xml:space="preserve">generic health utility </w:t>
      </w:r>
      <w:r w:rsidR="0048059B" w:rsidRPr="004C78D8">
        <w:t>measure</w:t>
      </w:r>
      <w:r w:rsidRPr="004C78D8">
        <w:t xml:space="preserve"> </w:t>
      </w:r>
      <w:r w:rsidR="00AF3F39" w:rsidRPr="004C78D8">
        <w:t xml:space="preserve">for CUA </w:t>
      </w:r>
      <w:r w:rsidRPr="004C78D8">
        <w:t>should capture the primary and secondary health effects of falls</w:t>
      </w:r>
      <w:r w:rsidR="0048059B" w:rsidRPr="004C78D8">
        <w:t xml:space="preserve"> (Figure 1.1)</w:t>
      </w:r>
      <w:r w:rsidR="007B2AB3" w:rsidRPr="004C78D8">
        <w:t xml:space="preserve"> </w:t>
      </w:r>
      <w:r w:rsidR="00AF3F39" w:rsidRPr="004C78D8">
        <w:t>and</w:t>
      </w:r>
      <w:r w:rsidR="007B2AB3" w:rsidRPr="004C78D8">
        <w:t xml:space="preserve"> </w:t>
      </w:r>
      <w:r w:rsidR="00A060D1" w:rsidRPr="004C78D8">
        <w:t xml:space="preserve">background </w:t>
      </w:r>
      <w:r w:rsidRPr="004C78D8">
        <w:t xml:space="preserve">transition in </w:t>
      </w:r>
      <w:r w:rsidR="00A060D1" w:rsidRPr="004C78D8">
        <w:t>health status</w:t>
      </w:r>
      <w:r w:rsidRPr="004C78D8">
        <w:t xml:space="preserve">. </w:t>
      </w:r>
      <w:r w:rsidR="007B2AB3" w:rsidRPr="004C78D8">
        <w:t>T</w:t>
      </w:r>
      <w:r w:rsidR="004A11B1" w:rsidRPr="004C78D8">
        <w:t xml:space="preserve">he ideal method is to use individual-level </w:t>
      </w:r>
      <w:r w:rsidR="007B2AB3" w:rsidRPr="004C78D8">
        <w:t xml:space="preserve">utility </w:t>
      </w:r>
      <w:r w:rsidR="004A11B1" w:rsidRPr="004C78D8">
        <w:t xml:space="preserve">data. </w:t>
      </w:r>
      <w:r w:rsidR="005B555F" w:rsidRPr="004C78D8">
        <w:t xml:space="preserve">ELSA does not collect </w:t>
      </w:r>
      <w:r w:rsidR="007B2AB3" w:rsidRPr="004C78D8">
        <w:t>such</w:t>
      </w:r>
      <w:r w:rsidR="005B555F" w:rsidRPr="004C78D8">
        <w:t xml:space="preserve"> data</w:t>
      </w:r>
      <w:r w:rsidR="007B2AB3" w:rsidRPr="004C78D8">
        <w:t>;</w:t>
      </w:r>
      <w:r w:rsidR="005B555F" w:rsidRPr="004C78D8">
        <w:t xml:space="preserve"> although its parent survey, the </w:t>
      </w:r>
      <w:r w:rsidR="005B2D2B" w:rsidRPr="004C78D8">
        <w:t xml:space="preserve">annual cross-sectional </w:t>
      </w:r>
      <w:r w:rsidR="005B555F" w:rsidRPr="004C78D8">
        <w:t xml:space="preserve">Health Survey </w:t>
      </w:r>
      <w:r w:rsidR="005B2D2B" w:rsidRPr="004C78D8">
        <w:t xml:space="preserve">for </w:t>
      </w:r>
      <w:r w:rsidR="005B555F" w:rsidRPr="004C78D8">
        <w:t>England (HSE)</w:t>
      </w:r>
      <w:r w:rsidR="005B2D2B" w:rsidRPr="004C78D8">
        <w:t xml:space="preserve"> </w:t>
      </w:r>
      <w:r w:rsidR="005B555F" w:rsidRPr="004C78D8">
        <w:t>from which ELSA participants are drawn</w:t>
      </w:r>
      <w:r w:rsidR="005B2D2B" w:rsidRPr="004C78D8">
        <w:t xml:space="preserve">, </w:t>
      </w:r>
      <w:r w:rsidR="007B2AB3" w:rsidRPr="004C78D8">
        <w:t>collects</w:t>
      </w:r>
      <w:r w:rsidR="005B2D2B" w:rsidRPr="004C78D8">
        <w:t xml:space="preserve"> EQ-5D-3L data </w:t>
      </w:r>
      <w:r w:rsidR="00461EFD" w:rsidRPr="004C78D8">
        <w:fldChar w:fldCharType="begin"/>
      </w:r>
      <w:r w:rsidR="00C630FC" w:rsidRPr="004C78D8">
        <w:instrText xml:space="preserve"> ADDIN EN.CITE &lt;EndNote&gt;&lt;Cite&gt;&lt;Author&gt;Janssen&lt;/Author&gt;&lt;Year&gt;2014&lt;/Year&gt;&lt;RecNum&gt;118&lt;/RecNum&gt;&lt;DisplayText&gt;[393, 394]&lt;/DisplayText&gt;&lt;record&gt;&lt;rec-number&gt;118&lt;/rec-number&gt;&lt;foreign-keys&gt;&lt;key app="EN" db-id="tdtrdw9aepptzbefsat599syza29sxsd2wsp" timestamp="1598552518"&gt;118&lt;/key&gt;&lt;/foreign-keys&gt;&lt;ref-type name="Book Section"&gt;5&lt;/ref-type&gt;&lt;contributors&gt;&lt;authors&gt;&lt;author&gt;Janssen, Bas&lt;/author&gt;&lt;author&gt;Szende, Agota&lt;/author&gt;&lt;/authors&gt;&lt;/contributors&gt;&lt;titles&gt;&lt;title&gt;Population norms for the EQ-5D&lt;/title&gt;&lt;secondary-title&gt;Self-reported population health: an international perspective based on EQ-5D&lt;/secondary-title&gt;&lt;/titles&gt;&lt;pages&gt;19-30&lt;/pages&gt;&lt;dates&gt;&lt;year&gt;2014&lt;/year&gt;&lt;/dates&gt;&lt;publisher&gt;Springer&lt;/publisher&gt;&lt;urls&gt;&lt;/urls&gt;&lt;/record&gt;&lt;/Cite&gt;&lt;Cite&gt;&lt;Author&gt;Ara&lt;/Author&gt;&lt;Year&gt;2011&lt;/Year&gt;&lt;RecNum&gt;120&lt;/RecNum&gt;&lt;record&gt;&lt;rec-number&gt;120&lt;/rec-number&gt;&lt;foreign-keys&gt;&lt;key app="EN" db-id="tdtrdw9aepptzbefsat599syza29sxsd2wsp" timestamp="1598613435"&gt;120&lt;/key&gt;&lt;/foreign-keys&gt;&lt;ref-type name="Journal Article"&gt;17&lt;/ref-type&gt;&lt;contributors&gt;&lt;authors&gt;&lt;author&gt;Ara, Roberta&lt;/author&gt;&lt;author&gt;Brazier, John E&lt;/author&gt;&lt;/authors&gt;&lt;/contributors&gt;&lt;titles&gt;&lt;title&gt;Using health state utility values from the general population to approximate baselines in decision analytic models when condition-specific data are not available&lt;/title&gt;&lt;secondary-title&gt;Value in Health&lt;/secondary-title&gt;&lt;/titles&gt;&lt;periodical&gt;&lt;full-title&gt;Value in Health&lt;/full-title&gt;&lt;/periodical&gt;&lt;pages&gt;539-545&lt;/pages&gt;&lt;volume&gt;14&lt;/volume&gt;&lt;number&gt;4&lt;/number&gt;&lt;dates&gt;&lt;year&gt;2011&lt;/year&gt;&lt;/dates&gt;&lt;isbn&gt;1098-3015&lt;/isbn&gt;&lt;urls&gt;&lt;/urls&gt;&lt;/record&gt;&lt;/Cite&gt;&lt;/EndNote&gt;</w:instrText>
      </w:r>
      <w:r w:rsidR="00461EFD" w:rsidRPr="004C78D8">
        <w:fldChar w:fldCharType="separate"/>
      </w:r>
      <w:r w:rsidR="00C630FC" w:rsidRPr="004C78D8">
        <w:rPr>
          <w:noProof/>
        </w:rPr>
        <w:t>[393, 394]</w:t>
      </w:r>
      <w:r w:rsidR="00461EFD" w:rsidRPr="004C78D8">
        <w:fldChar w:fldCharType="end"/>
      </w:r>
      <w:r w:rsidR="005B2D2B" w:rsidRPr="004C78D8">
        <w:t xml:space="preserve">. </w:t>
      </w:r>
      <w:r w:rsidR="00340DD5" w:rsidRPr="004C78D8">
        <w:t xml:space="preserve">Therefore, this study estimated </w:t>
      </w:r>
      <w:r w:rsidR="007A50AC" w:rsidRPr="004C78D8">
        <w:t>EQ-5D</w:t>
      </w:r>
      <w:r w:rsidR="00B36210" w:rsidRPr="004C78D8">
        <w:t>-3L</w:t>
      </w:r>
      <w:r w:rsidR="007A50AC" w:rsidRPr="004C78D8">
        <w:t xml:space="preserve"> values </w:t>
      </w:r>
      <w:r w:rsidR="00340DD5" w:rsidRPr="004C78D8">
        <w:t xml:space="preserve">from ELSA data </w:t>
      </w:r>
      <w:r w:rsidR="00FB1EC3" w:rsidRPr="004C78D8">
        <w:t xml:space="preserve">by using </w:t>
      </w:r>
      <w:r w:rsidR="009262DA" w:rsidRPr="004C78D8">
        <w:t xml:space="preserve">published information on EQ-5D-3L </w:t>
      </w:r>
      <w:r w:rsidR="00F22E6A" w:rsidRPr="004C78D8">
        <w:t xml:space="preserve">item responses and average index </w:t>
      </w:r>
      <w:r w:rsidR="009262DA" w:rsidRPr="004C78D8">
        <w:t xml:space="preserve">values </w:t>
      </w:r>
      <w:r w:rsidR="00F22E6A" w:rsidRPr="004C78D8">
        <w:t xml:space="preserve">for </w:t>
      </w:r>
      <w:r w:rsidR="00D8439D" w:rsidRPr="004C78D8">
        <w:t>older</w:t>
      </w:r>
      <w:r w:rsidR="00F22E6A" w:rsidRPr="004C78D8">
        <w:t xml:space="preserve"> sub</w:t>
      </w:r>
      <w:r w:rsidR="00B06394" w:rsidRPr="004C78D8">
        <w:t>groups</w:t>
      </w:r>
      <w:r w:rsidR="00F22E6A" w:rsidRPr="004C78D8">
        <w:t xml:space="preserve"> in</w:t>
      </w:r>
      <w:r w:rsidR="009262DA" w:rsidRPr="004C78D8">
        <w:t xml:space="preserve"> HSE.</w:t>
      </w:r>
      <w:r w:rsidR="00340DD5" w:rsidRPr="004C78D8">
        <w:t xml:space="preserve"> </w:t>
      </w:r>
    </w:p>
    <w:p w14:paraId="266FA09B" w14:textId="7A099CE7" w:rsidR="00B36210" w:rsidRPr="004C78D8" w:rsidRDefault="00CA5F55" w:rsidP="00FB7C1F">
      <w:r w:rsidRPr="004C78D8">
        <w:t xml:space="preserve">Table </w:t>
      </w:r>
      <w:r w:rsidR="00D34803" w:rsidRPr="004C78D8">
        <w:t>5</w:t>
      </w:r>
      <w:r w:rsidR="00461EFD" w:rsidRPr="004C78D8">
        <w:t>.1</w:t>
      </w:r>
      <w:r w:rsidR="003276DE" w:rsidRPr="004C78D8">
        <w:t>2</w:t>
      </w:r>
      <w:r w:rsidRPr="004C78D8">
        <w:t xml:space="preserve"> lists: (i) the </w:t>
      </w:r>
      <w:r w:rsidR="00F22E6A" w:rsidRPr="004C78D8">
        <w:t xml:space="preserve">five dimensions and </w:t>
      </w:r>
      <w:r w:rsidRPr="004C78D8">
        <w:t xml:space="preserve">three levels of EQ-5D-3L; (ii) the prevalence rates </w:t>
      </w:r>
      <w:r w:rsidR="00F22E6A" w:rsidRPr="004C78D8">
        <w:t xml:space="preserve">of item responses </w:t>
      </w:r>
      <w:r w:rsidRPr="004C78D8">
        <w:t>for each level for the subgroup aged 75</w:t>
      </w:r>
      <w:r w:rsidR="000E544E" w:rsidRPr="004C78D8">
        <w:t>+</w:t>
      </w:r>
      <w:r w:rsidRPr="004C78D8">
        <w:t xml:space="preserve"> in HSE 2008 </w:t>
      </w:r>
      <w:r w:rsidR="002B40DC" w:rsidRPr="004C78D8">
        <w:fldChar w:fldCharType="begin"/>
      </w:r>
      <w:r w:rsidR="00C630FC" w:rsidRPr="004C78D8">
        <w:instrText xml:space="preserve"> ADDIN EN.CITE &lt;EndNote&gt;&lt;Cite&gt;&lt;Author&gt;Janssen&lt;/Author&gt;&lt;Year&gt;2014&lt;/Year&gt;&lt;RecNum&gt;118&lt;/RecNum&gt;&lt;DisplayText&gt;[393]&lt;/DisplayText&gt;&lt;record&gt;&lt;rec-number&gt;118&lt;/rec-number&gt;&lt;foreign-keys&gt;&lt;key app="EN" db-id="tdtrdw9aepptzbefsat599syza29sxsd2wsp" timestamp="1598552518"&gt;118&lt;/key&gt;&lt;/foreign-keys&gt;&lt;ref-type name="Book Section"&gt;5&lt;/ref-type&gt;&lt;contributors&gt;&lt;authors&gt;&lt;author&gt;Janssen, Bas&lt;/author&gt;&lt;author&gt;Szende, Agota&lt;/author&gt;&lt;/authors&gt;&lt;/contributors&gt;&lt;titles&gt;&lt;title&gt;Population norms for the EQ-5D&lt;/title&gt;&lt;secondary-title&gt;Self-reported population health: an international perspective based on EQ-5D&lt;/secondary-title&gt;&lt;/titles&gt;&lt;pages&gt;19-30&lt;/pages&gt;&lt;dates&gt;&lt;year&gt;2014&lt;/year&gt;&lt;/dates&gt;&lt;publisher&gt;Springer&lt;/publisher&gt;&lt;urls&gt;&lt;/urls&gt;&lt;/record&gt;&lt;/Cite&gt;&lt;/EndNote&gt;</w:instrText>
      </w:r>
      <w:r w:rsidR="002B40DC" w:rsidRPr="004C78D8">
        <w:fldChar w:fldCharType="separate"/>
      </w:r>
      <w:r w:rsidR="00C630FC" w:rsidRPr="004C78D8">
        <w:rPr>
          <w:noProof/>
        </w:rPr>
        <w:t>[393]</w:t>
      </w:r>
      <w:r w:rsidR="002B40DC" w:rsidRPr="004C78D8">
        <w:fldChar w:fldCharType="end"/>
      </w:r>
      <w:r w:rsidRPr="004C78D8">
        <w:t>; (iii) the ELSA variables used as proxy indicators of problems in the five dimensions</w:t>
      </w:r>
      <w:r w:rsidR="00F22E6A" w:rsidRPr="004C78D8">
        <w:t xml:space="preserve"> and three levels</w:t>
      </w:r>
      <w:r w:rsidRPr="004C78D8">
        <w:t xml:space="preserve">; and (iv) the prevalence rates </w:t>
      </w:r>
      <w:r w:rsidR="00F22E6A" w:rsidRPr="004C78D8">
        <w:t xml:space="preserve">of item responses </w:t>
      </w:r>
      <w:r w:rsidRPr="004C78D8">
        <w:t xml:space="preserve">for the proxy variables in ELSA. </w:t>
      </w:r>
      <w:r w:rsidR="00D51298" w:rsidRPr="004C78D8">
        <w:t xml:space="preserve">ELSA was searched for variables that not only captured similar concept as the EQ-5D-3L responses but also had similar prevalence rates </w:t>
      </w:r>
      <w:r w:rsidR="00F22E6A" w:rsidRPr="004C78D8">
        <w:t>to</w:t>
      </w:r>
      <w:r w:rsidR="00D51298" w:rsidRPr="004C78D8">
        <w:t xml:space="preserve"> </w:t>
      </w:r>
      <w:r w:rsidR="00F22E6A" w:rsidRPr="004C78D8">
        <w:t>the sub-cohort aged 75</w:t>
      </w:r>
      <w:r w:rsidR="00CE40CD" w:rsidRPr="004C78D8">
        <w:t>+</w:t>
      </w:r>
      <w:r w:rsidR="00F22E6A" w:rsidRPr="004C78D8">
        <w:t xml:space="preserve"> in HSE 2008</w:t>
      </w:r>
      <w:r w:rsidR="00D51298" w:rsidRPr="004C78D8">
        <w:t xml:space="preserve">. </w:t>
      </w:r>
      <w:r w:rsidR="00EB0C58" w:rsidRPr="004C78D8">
        <w:t>The final set of proxy variables produced similar prevalence rates for mobility, usual activities</w:t>
      </w:r>
      <w:r w:rsidR="006B0836" w:rsidRPr="004C78D8">
        <w:t>,</w:t>
      </w:r>
      <w:r w:rsidR="00EB0C58" w:rsidRPr="004C78D8">
        <w:t xml:space="preserve"> and anxiety and depression, but overestimated the rate of ‘</w:t>
      </w:r>
      <w:r w:rsidR="00F22E6A" w:rsidRPr="004C78D8">
        <w:t>S</w:t>
      </w:r>
      <w:r w:rsidR="00EB0C58" w:rsidRPr="004C78D8">
        <w:t>ome problems’ for self-care and underestimated the rate of ‘</w:t>
      </w:r>
      <w:r w:rsidR="00F22E6A" w:rsidRPr="004C78D8">
        <w:t>S</w:t>
      </w:r>
      <w:r w:rsidR="00EB0C58" w:rsidRPr="004C78D8">
        <w:t>ome’ pain.</w:t>
      </w:r>
      <w:r w:rsidR="003276DE" w:rsidRPr="004C78D8">
        <w:t xml:space="preserve"> Previous studies have used this </w:t>
      </w:r>
      <w:r w:rsidR="003B24BC" w:rsidRPr="004C78D8">
        <w:t>approach</w:t>
      </w:r>
      <w:r w:rsidR="003276DE" w:rsidRPr="004C78D8">
        <w:t xml:space="preserve"> of </w:t>
      </w:r>
      <w:r w:rsidR="00C47394" w:rsidRPr="004C78D8">
        <w:t>identifying</w:t>
      </w:r>
      <w:r w:rsidR="003276DE" w:rsidRPr="004C78D8">
        <w:t xml:space="preserve"> proxy variables and items to estimate health utility values </w:t>
      </w:r>
      <w:r w:rsidR="00C47394" w:rsidRPr="004C78D8">
        <w:fldChar w:fldCharType="begin"/>
      </w:r>
      <w:r w:rsidR="00C630FC" w:rsidRPr="004C78D8">
        <w:instrText xml:space="preserve"> ADDIN EN.CITE &lt;EndNote&gt;&lt;Cite&gt;&lt;Author&gt;Beusterien&lt;/Author&gt;&lt;Year&gt;2012&lt;/Year&gt;&lt;RecNum&gt;772&lt;/RecNum&gt;&lt;DisplayText&gt;[395, 396]&lt;/DisplayText&gt;&lt;record&gt;&lt;rec-number&gt;772&lt;/rec-number&gt;&lt;foreign-keys&gt;&lt;key app="EN" db-id="tdtrdw9aepptzbefsat599syza29sxsd2wsp" timestamp="1640166612"&gt;772&lt;/key&gt;&lt;/foreign-keys&gt;&lt;ref-type name="Journal Article"&gt;17&lt;/ref-type&gt;&lt;contributors&gt;&lt;authors&gt;&lt;author&gt;Beusterien, Kathleen M&lt;/author&gt;&lt;author&gt;Yeung, Jean-Ezra&lt;/author&gt;&lt;author&gt;Pang, Francis&lt;/author&gt;&lt;author&gt;Brazier, John&lt;/author&gt;&lt;/authors&gt;&lt;/contributors&gt;&lt;titles&gt;&lt;title&gt;Development of the multi-attribute adolescent health utility measure (AHUM)&lt;/title&gt;&lt;secondary-title&gt;Health and Quality of life outcomes&lt;/secondary-title&gt;&lt;/titles&gt;&lt;periodical&gt;&lt;full-title&gt;Health and Quality of Life Outcomes&lt;/full-title&gt;&lt;/periodical&gt;&lt;pages&gt;1-9&lt;/pages&gt;&lt;volume&gt;10&lt;/volume&gt;&lt;number&gt;1&lt;/number&gt;&lt;dates&gt;&lt;year&gt;2012&lt;/year&gt;&lt;/dates&gt;&lt;isbn&gt;1477-7525&lt;/isbn&gt;&lt;urls&gt;&lt;/urls&gt;&lt;/record&gt;&lt;/Cite&gt;&lt;Cite&gt;&lt;Author&gt;Xiong&lt;/Author&gt;&lt;Year&gt;2021&lt;/Year&gt;&lt;RecNum&gt;698&lt;/RecNum&gt;&lt;record&gt;&lt;rec-number&gt;698&lt;/rec-number&gt;&lt;foreign-keys&gt;&lt;key app="EN" db-id="tdtrdw9aepptzbefsat599syza29sxsd2wsp" timestamp="1635515450"&gt;698&lt;/key&gt;&lt;/foreign-keys&gt;&lt;ref-type name="Journal Article"&gt;17&lt;/ref-type&gt;&lt;contributors&gt;&lt;authors&gt;&lt;author&gt;Xiong, X&lt;/author&gt;&lt;author&gt;Dalziel, K&lt;/author&gt;&lt;author&gt;Huang, L&lt;/author&gt;&lt;author&gt;Mulhern, B&lt;/author&gt;&lt;author&gt;Carvalho, N&lt;/author&gt;&lt;/authors&gt;&lt;/contributors&gt;&lt;titles&gt;&lt;title&gt;PIH33 How Do Different Health Conditions IMPACT Dimensions of Pediatric Preference-Based Health-Related Quality of Life Measures?&lt;/title&gt;&lt;secondary-title&gt;Value in Health&lt;/secondary-title&gt;&lt;/titles&gt;&lt;periodical&gt;&lt;full-title&gt;Value in Health&lt;/full-title&gt;&lt;/periodical&gt;&lt;pages&gt;S104&lt;/pages&gt;&lt;volume&gt;24&lt;/volume&gt;&lt;dates&gt;&lt;year&gt;2021&lt;/year&gt;&lt;/dates&gt;&lt;isbn&gt;1098-3015&lt;/isbn&gt;&lt;urls&gt;&lt;/urls&gt;&lt;/record&gt;&lt;/Cite&gt;&lt;/EndNote&gt;</w:instrText>
      </w:r>
      <w:r w:rsidR="00C47394" w:rsidRPr="004C78D8">
        <w:fldChar w:fldCharType="separate"/>
      </w:r>
      <w:r w:rsidR="00C630FC" w:rsidRPr="004C78D8">
        <w:rPr>
          <w:noProof/>
        </w:rPr>
        <w:t>[395, 396]</w:t>
      </w:r>
      <w:r w:rsidR="00C47394" w:rsidRPr="004C78D8">
        <w:fldChar w:fldCharType="end"/>
      </w:r>
      <w:r w:rsidR="00C47394" w:rsidRPr="004C78D8">
        <w:t>.</w:t>
      </w:r>
    </w:p>
    <w:tbl>
      <w:tblPr>
        <w:tblStyle w:val="TableGrid"/>
        <w:tblW w:w="5000" w:type="pct"/>
        <w:tblLook w:val="04A0" w:firstRow="1" w:lastRow="0" w:firstColumn="1" w:lastColumn="0" w:noHBand="0" w:noVBand="1"/>
      </w:tblPr>
      <w:tblGrid>
        <w:gridCol w:w="1419"/>
        <w:gridCol w:w="1702"/>
        <w:gridCol w:w="1563"/>
        <w:gridCol w:w="2680"/>
        <w:gridCol w:w="1652"/>
      </w:tblGrid>
      <w:tr w:rsidR="00CA1156" w:rsidRPr="004C78D8" w14:paraId="19A857C1" w14:textId="77777777" w:rsidTr="00E35893">
        <w:tc>
          <w:tcPr>
            <w:tcW w:w="5000" w:type="pct"/>
            <w:gridSpan w:val="5"/>
          </w:tcPr>
          <w:p w14:paraId="184E949F" w14:textId="5DD545EC" w:rsidR="00CA1156" w:rsidRPr="004C78D8" w:rsidRDefault="00CA1156" w:rsidP="00FB7C1F">
            <w:r w:rsidRPr="004C78D8">
              <w:rPr>
                <w:b/>
                <w:bCs/>
              </w:rPr>
              <w:t xml:space="preserve">Table </w:t>
            </w:r>
            <w:r w:rsidR="00D34803" w:rsidRPr="004C78D8">
              <w:rPr>
                <w:b/>
                <w:bCs/>
              </w:rPr>
              <w:t>5</w:t>
            </w:r>
            <w:r w:rsidR="00706057" w:rsidRPr="004C78D8">
              <w:rPr>
                <w:b/>
                <w:bCs/>
              </w:rPr>
              <w:t>.1</w:t>
            </w:r>
            <w:r w:rsidR="003276DE" w:rsidRPr="004C78D8">
              <w:rPr>
                <w:b/>
                <w:bCs/>
              </w:rPr>
              <w:t>2</w:t>
            </w:r>
            <w:r w:rsidRPr="004C78D8">
              <w:t xml:space="preserve"> </w:t>
            </w:r>
            <w:r w:rsidR="004F495F" w:rsidRPr="004C78D8">
              <w:t>Proxy</w:t>
            </w:r>
            <w:r w:rsidRPr="004C78D8">
              <w:t xml:space="preserve"> variable selection </w:t>
            </w:r>
            <w:r w:rsidR="004F495F" w:rsidRPr="004C78D8">
              <w:t>in ELSA to estimate EQ-5D-3L values</w:t>
            </w:r>
            <w:r w:rsidR="006F1E4B" w:rsidRPr="004C78D8">
              <w:t>.</w:t>
            </w:r>
          </w:p>
        </w:tc>
      </w:tr>
      <w:tr w:rsidR="00CA1156" w:rsidRPr="004C78D8" w14:paraId="55E4B4E3" w14:textId="77777777" w:rsidTr="00E35893">
        <w:tc>
          <w:tcPr>
            <w:tcW w:w="787" w:type="pct"/>
            <w:tcBorders>
              <w:right w:val="nil"/>
            </w:tcBorders>
          </w:tcPr>
          <w:p w14:paraId="6A3B3F3B" w14:textId="588833EC" w:rsidR="00CA1156" w:rsidRPr="004C78D8" w:rsidRDefault="00A66441" w:rsidP="00FB7C1F">
            <w:pPr>
              <w:jc w:val="left"/>
              <w:rPr>
                <w:b/>
                <w:bCs/>
                <w:sz w:val="20"/>
                <w:szCs w:val="20"/>
              </w:rPr>
            </w:pPr>
            <w:r w:rsidRPr="004C78D8">
              <w:rPr>
                <w:b/>
                <w:bCs/>
                <w:sz w:val="20"/>
                <w:szCs w:val="20"/>
              </w:rPr>
              <w:t>EQ-5D dimension</w:t>
            </w:r>
          </w:p>
        </w:tc>
        <w:tc>
          <w:tcPr>
            <w:tcW w:w="944" w:type="pct"/>
            <w:tcBorders>
              <w:left w:val="nil"/>
              <w:bottom w:val="single" w:sz="4" w:space="0" w:color="auto"/>
            </w:tcBorders>
          </w:tcPr>
          <w:p w14:paraId="7DF5BC81" w14:textId="30C9CC7C" w:rsidR="00CA1156" w:rsidRPr="004C78D8" w:rsidRDefault="00A66441" w:rsidP="00FB7C1F">
            <w:pPr>
              <w:jc w:val="left"/>
              <w:rPr>
                <w:b/>
                <w:bCs/>
                <w:sz w:val="20"/>
                <w:szCs w:val="20"/>
              </w:rPr>
            </w:pPr>
            <w:r w:rsidRPr="004C78D8">
              <w:rPr>
                <w:b/>
                <w:bCs/>
                <w:sz w:val="20"/>
                <w:szCs w:val="20"/>
              </w:rPr>
              <w:t>Dimension levels</w:t>
            </w:r>
          </w:p>
        </w:tc>
        <w:tc>
          <w:tcPr>
            <w:tcW w:w="867" w:type="pct"/>
            <w:tcBorders>
              <w:bottom w:val="single" w:sz="4" w:space="0" w:color="auto"/>
            </w:tcBorders>
          </w:tcPr>
          <w:p w14:paraId="574DADA7" w14:textId="5185AAFF" w:rsidR="00CA1156" w:rsidRPr="004C78D8" w:rsidRDefault="00A66441" w:rsidP="00FB7C1F">
            <w:pPr>
              <w:jc w:val="left"/>
              <w:rPr>
                <w:b/>
                <w:bCs/>
                <w:sz w:val="20"/>
                <w:szCs w:val="20"/>
              </w:rPr>
            </w:pPr>
            <w:r w:rsidRPr="004C78D8">
              <w:rPr>
                <w:b/>
                <w:bCs/>
                <w:sz w:val="20"/>
                <w:szCs w:val="20"/>
              </w:rPr>
              <w:t xml:space="preserve">Prevalence </w:t>
            </w:r>
            <w:r w:rsidR="006D73C7" w:rsidRPr="004C78D8">
              <w:rPr>
                <w:b/>
                <w:bCs/>
                <w:sz w:val="20"/>
                <w:szCs w:val="20"/>
              </w:rPr>
              <w:t xml:space="preserve">in </w:t>
            </w:r>
            <w:r w:rsidR="00733775" w:rsidRPr="004C78D8">
              <w:rPr>
                <w:b/>
                <w:bCs/>
                <w:sz w:val="20"/>
                <w:szCs w:val="20"/>
              </w:rPr>
              <w:t>HSE 2008</w:t>
            </w:r>
            <w:r w:rsidR="006D73C7" w:rsidRPr="004C78D8">
              <w:rPr>
                <w:b/>
                <w:bCs/>
                <w:sz w:val="20"/>
                <w:szCs w:val="20"/>
              </w:rPr>
              <w:t xml:space="preserve"> aged 75+</w:t>
            </w:r>
            <w:r w:rsidRPr="004C78D8">
              <w:rPr>
                <w:b/>
                <w:bCs/>
                <w:sz w:val="20"/>
                <w:szCs w:val="20"/>
                <w:vertAlign w:val="superscript"/>
              </w:rPr>
              <w:t>1</w:t>
            </w:r>
            <w:r w:rsidR="006D73C7" w:rsidRPr="004C78D8">
              <w:rPr>
                <w:b/>
                <w:bCs/>
                <w:sz w:val="20"/>
                <w:szCs w:val="20"/>
              </w:rPr>
              <w:t xml:space="preserve"> (%)</w:t>
            </w:r>
          </w:p>
        </w:tc>
        <w:tc>
          <w:tcPr>
            <w:tcW w:w="1486" w:type="pct"/>
            <w:tcBorders>
              <w:bottom w:val="single" w:sz="4" w:space="0" w:color="auto"/>
            </w:tcBorders>
          </w:tcPr>
          <w:p w14:paraId="5A0BC532" w14:textId="373BCF42" w:rsidR="00CA1156" w:rsidRPr="004C78D8" w:rsidRDefault="00A66441" w:rsidP="00FB7C1F">
            <w:pPr>
              <w:jc w:val="left"/>
              <w:rPr>
                <w:b/>
                <w:bCs/>
                <w:sz w:val="20"/>
                <w:szCs w:val="20"/>
              </w:rPr>
            </w:pPr>
            <w:r w:rsidRPr="004C78D8">
              <w:rPr>
                <w:b/>
                <w:bCs/>
                <w:sz w:val="20"/>
                <w:szCs w:val="20"/>
              </w:rPr>
              <w:t>ELSA proxy variable</w:t>
            </w:r>
          </w:p>
        </w:tc>
        <w:tc>
          <w:tcPr>
            <w:tcW w:w="916" w:type="pct"/>
            <w:tcBorders>
              <w:bottom w:val="single" w:sz="4" w:space="0" w:color="auto"/>
            </w:tcBorders>
          </w:tcPr>
          <w:p w14:paraId="1098EDBA" w14:textId="2034D56E" w:rsidR="00CA1156" w:rsidRPr="004C78D8" w:rsidRDefault="00A66441" w:rsidP="00FB7C1F">
            <w:pPr>
              <w:jc w:val="left"/>
              <w:rPr>
                <w:b/>
                <w:bCs/>
                <w:sz w:val="20"/>
                <w:szCs w:val="20"/>
              </w:rPr>
            </w:pPr>
            <w:r w:rsidRPr="004C78D8">
              <w:rPr>
                <w:b/>
                <w:bCs/>
                <w:sz w:val="20"/>
                <w:szCs w:val="20"/>
              </w:rPr>
              <w:t>Prevalence in ELSA</w:t>
            </w:r>
            <w:r w:rsidR="006D73C7" w:rsidRPr="004C78D8">
              <w:rPr>
                <w:b/>
                <w:bCs/>
                <w:sz w:val="20"/>
                <w:szCs w:val="20"/>
              </w:rPr>
              <w:t xml:space="preserve"> Wave 4 aged 75+ (%)</w:t>
            </w:r>
          </w:p>
        </w:tc>
      </w:tr>
      <w:tr w:rsidR="00A66441" w:rsidRPr="004C78D8" w14:paraId="08BE27A6" w14:textId="77777777" w:rsidTr="00E35893">
        <w:tc>
          <w:tcPr>
            <w:tcW w:w="787" w:type="pct"/>
            <w:vMerge w:val="restart"/>
            <w:tcBorders>
              <w:right w:val="nil"/>
            </w:tcBorders>
          </w:tcPr>
          <w:p w14:paraId="41FC4AC5" w14:textId="1D8F3264" w:rsidR="00A66441" w:rsidRPr="004C78D8" w:rsidRDefault="00A66441" w:rsidP="00FB7C1F">
            <w:pPr>
              <w:jc w:val="left"/>
              <w:rPr>
                <w:sz w:val="20"/>
                <w:szCs w:val="20"/>
              </w:rPr>
            </w:pPr>
            <w:r w:rsidRPr="004C78D8">
              <w:rPr>
                <w:sz w:val="20"/>
                <w:szCs w:val="20"/>
              </w:rPr>
              <w:t>Mobility</w:t>
            </w:r>
          </w:p>
        </w:tc>
        <w:tc>
          <w:tcPr>
            <w:tcW w:w="944" w:type="pct"/>
            <w:tcBorders>
              <w:left w:val="nil"/>
              <w:bottom w:val="nil"/>
            </w:tcBorders>
          </w:tcPr>
          <w:p w14:paraId="06CD4D66" w14:textId="2C06356D" w:rsidR="00A66441" w:rsidRPr="004C78D8" w:rsidRDefault="00A66441" w:rsidP="00FB7C1F">
            <w:pPr>
              <w:jc w:val="left"/>
              <w:rPr>
                <w:sz w:val="20"/>
                <w:szCs w:val="20"/>
              </w:rPr>
            </w:pPr>
            <w:r w:rsidRPr="004C78D8">
              <w:rPr>
                <w:sz w:val="20"/>
                <w:szCs w:val="20"/>
              </w:rPr>
              <w:t>No problem</w:t>
            </w:r>
          </w:p>
        </w:tc>
        <w:tc>
          <w:tcPr>
            <w:tcW w:w="867" w:type="pct"/>
            <w:tcBorders>
              <w:bottom w:val="nil"/>
            </w:tcBorders>
          </w:tcPr>
          <w:p w14:paraId="0D1EEFC4" w14:textId="732FA012" w:rsidR="00A66441" w:rsidRPr="004C78D8" w:rsidRDefault="00EB2652" w:rsidP="00FB7C1F">
            <w:pPr>
              <w:jc w:val="center"/>
              <w:rPr>
                <w:sz w:val="20"/>
                <w:szCs w:val="20"/>
              </w:rPr>
            </w:pPr>
            <w:r w:rsidRPr="004C78D8">
              <w:rPr>
                <w:sz w:val="20"/>
                <w:szCs w:val="20"/>
              </w:rPr>
              <w:t>4</w:t>
            </w:r>
            <w:r w:rsidR="006D73C7" w:rsidRPr="004C78D8">
              <w:rPr>
                <w:sz w:val="20"/>
                <w:szCs w:val="20"/>
              </w:rPr>
              <w:t>7</w:t>
            </w:r>
            <w:r w:rsidRPr="004C78D8">
              <w:rPr>
                <w:sz w:val="20"/>
                <w:szCs w:val="20"/>
              </w:rPr>
              <w:t>.4</w:t>
            </w:r>
          </w:p>
        </w:tc>
        <w:tc>
          <w:tcPr>
            <w:tcW w:w="1486" w:type="pct"/>
            <w:tcBorders>
              <w:bottom w:val="nil"/>
            </w:tcBorders>
          </w:tcPr>
          <w:p w14:paraId="76E0DE08" w14:textId="7B25C484" w:rsidR="00A66441" w:rsidRPr="004C78D8" w:rsidRDefault="00AD369B" w:rsidP="00FB7C1F">
            <w:pPr>
              <w:jc w:val="left"/>
              <w:rPr>
                <w:sz w:val="20"/>
                <w:szCs w:val="20"/>
              </w:rPr>
            </w:pPr>
            <w:r w:rsidRPr="004C78D8">
              <w:rPr>
                <w:sz w:val="20"/>
                <w:szCs w:val="20"/>
              </w:rPr>
              <w:t>Not (1) or (2)</w:t>
            </w:r>
          </w:p>
        </w:tc>
        <w:tc>
          <w:tcPr>
            <w:tcW w:w="916" w:type="pct"/>
            <w:tcBorders>
              <w:bottom w:val="nil"/>
            </w:tcBorders>
          </w:tcPr>
          <w:p w14:paraId="2BB2E313" w14:textId="7D95F713" w:rsidR="00A66441" w:rsidRPr="004C78D8" w:rsidRDefault="006D73C7" w:rsidP="00FB7C1F">
            <w:pPr>
              <w:jc w:val="center"/>
              <w:rPr>
                <w:sz w:val="20"/>
                <w:szCs w:val="20"/>
              </w:rPr>
            </w:pPr>
            <w:r w:rsidRPr="004C78D8">
              <w:rPr>
                <w:sz w:val="20"/>
                <w:szCs w:val="20"/>
              </w:rPr>
              <w:t>45.5</w:t>
            </w:r>
          </w:p>
        </w:tc>
      </w:tr>
      <w:tr w:rsidR="00A66441" w:rsidRPr="004C78D8" w14:paraId="683173FB" w14:textId="77777777" w:rsidTr="00E35893">
        <w:tc>
          <w:tcPr>
            <w:tcW w:w="787" w:type="pct"/>
            <w:vMerge/>
            <w:tcBorders>
              <w:right w:val="nil"/>
            </w:tcBorders>
          </w:tcPr>
          <w:p w14:paraId="0203B352" w14:textId="77777777" w:rsidR="00A66441" w:rsidRPr="004C78D8" w:rsidRDefault="00A66441" w:rsidP="00FB7C1F">
            <w:pPr>
              <w:jc w:val="left"/>
              <w:rPr>
                <w:sz w:val="20"/>
                <w:szCs w:val="20"/>
              </w:rPr>
            </w:pPr>
          </w:p>
        </w:tc>
        <w:tc>
          <w:tcPr>
            <w:tcW w:w="944" w:type="pct"/>
            <w:tcBorders>
              <w:top w:val="nil"/>
              <w:left w:val="nil"/>
              <w:bottom w:val="nil"/>
            </w:tcBorders>
          </w:tcPr>
          <w:p w14:paraId="6303041D" w14:textId="4DDBED48" w:rsidR="00A66441" w:rsidRPr="004C78D8" w:rsidRDefault="00A66441" w:rsidP="00FB7C1F">
            <w:pPr>
              <w:jc w:val="left"/>
              <w:rPr>
                <w:sz w:val="20"/>
                <w:szCs w:val="20"/>
              </w:rPr>
            </w:pPr>
            <w:r w:rsidRPr="004C78D8">
              <w:rPr>
                <w:sz w:val="20"/>
                <w:szCs w:val="20"/>
              </w:rPr>
              <w:t>Some problems</w:t>
            </w:r>
          </w:p>
        </w:tc>
        <w:tc>
          <w:tcPr>
            <w:tcW w:w="867" w:type="pct"/>
            <w:tcBorders>
              <w:top w:val="nil"/>
              <w:bottom w:val="nil"/>
            </w:tcBorders>
          </w:tcPr>
          <w:p w14:paraId="05C1B6A4" w14:textId="176BBD68" w:rsidR="00A66441" w:rsidRPr="004C78D8" w:rsidRDefault="006D73C7" w:rsidP="00FB7C1F">
            <w:pPr>
              <w:jc w:val="center"/>
              <w:rPr>
                <w:sz w:val="20"/>
                <w:szCs w:val="20"/>
              </w:rPr>
            </w:pPr>
            <w:r w:rsidRPr="004C78D8">
              <w:rPr>
                <w:sz w:val="20"/>
                <w:szCs w:val="20"/>
              </w:rPr>
              <w:t>52.3</w:t>
            </w:r>
          </w:p>
        </w:tc>
        <w:tc>
          <w:tcPr>
            <w:tcW w:w="1486" w:type="pct"/>
            <w:tcBorders>
              <w:top w:val="nil"/>
              <w:bottom w:val="nil"/>
            </w:tcBorders>
          </w:tcPr>
          <w:p w14:paraId="73885D7C" w14:textId="79909003" w:rsidR="00A66441" w:rsidRPr="004C78D8" w:rsidRDefault="00AD369B" w:rsidP="00FB7C1F">
            <w:pPr>
              <w:jc w:val="left"/>
              <w:rPr>
                <w:sz w:val="20"/>
                <w:szCs w:val="20"/>
              </w:rPr>
            </w:pPr>
            <w:r w:rsidRPr="004C78D8">
              <w:rPr>
                <w:sz w:val="20"/>
                <w:szCs w:val="20"/>
              </w:rPr>
              <w:t>(1) Some difficulty walking ¼ mile unaided</w:t>
            </w:r>
          </w:p>
        </w:tc>
        <w:tc>
          <w:tcPr>
            <w:tcW w:w="916" w:type="pct"/>
            <w:tcBorders>
              <w:top w:val="nil"/>
              <w:bottom w:val="nil"/>
            </w:tcBorders>
          </w:tcPr>
          <w:p w14:paraId="517748D2" w14:textId="31914AD0" w:rsidR="00A66441" w:rsidRPr="004C78D8" w:rsidRDefault="006D73C7" w:rsidP="00FB7C1F">
            <w:pPr>
              <w:jc w:val="center"/>
              <w:rPr>
                <w:sz w:val="20"/>
                <w:szCs w:val="20"/>
              </w:rPr>
            </w:pPr>
            <w:r w:rsidRPr="004C78D8">
              <w:rPr>
                <w:sz w:val="20"/>
                <w:szCs w:val="20"/>
              </w:rPr>
              <w:t>54.4</w:t>
            </w:r>
          </w:p>
        </w:tc>
      </w:tr>
      <w:tr w:rsidR="00A66441" w:rsidRPr="004C78D8" w14:paraId="5E6238CD" w14:textId="77777777" w:rsidTr="00E35893">
        <w:tc>
          <w:tcPr>
            <w:tcW w:w="787" w:type="pct"/>
            <w:vMerge/>
            <w:tcBorders>
              <w:right w:val="nil"/>
            </w:tcBorders>
          </w:tcPr>
          <w:p w14:paraId="4C3B6044" w14:textId="77777777" w:rsidR="00A66441" w:rsidRPr="004C78D8" w:rsidRDefault="00A66441" w:rsidP="00FB7C1F">
            <w:pPr>
              <w:jc w:val="left"/>
              <w:rPr>
                <w:sz w:val="20"/>
                <w:szCs w:val="20"/>
              </w:rPr>
            </w:pPr>
          </w:p>
        </w:tc>
        <w:tc>
          <w:tcPr>
            <w:tcW w:w="944" w:type="pct"/>
            <w:tcBorders>
              <w:top w:val="nil"/>
              <w:left w:val="nil"/>
              <w:bottom w:val="single" w:sz="4" w:space="0" w:color="auto"/>
            </w:tcBorders>
          </w:tcPr>
          <w:p w14:paraId="1CE8E2C1" w14:textId="46E8E37C" w:rsidR="00A66441" w:rsidRPr="004C78D8" w:rsidRDefault="00A66441" w:rsidP="00FB7C1F">
            <w:pPr>
              <w:jc w:val="left"/>
              <w:rPr>
                <w:sz w:val="20"/>
                <w:szCs w:val="20"/>
              </w:rPr>
            </w:pPr>
            <w:r w:rsidRPr="004C78D8">
              <w:rPr>
                <w:sz w:val="20"/>
                <w:szCs w:val="20"/>
              </w:rPr>
              <w:t>Confined to bed</w:t>
            </w:r>
          </w:p>
        </w:tc>
        <w:tc>
          <w:tcPr>
            <w:tcW w:w="867" w:type="pct"/>
            <w:tcBorders>
              <w:top w:val="nil"/>
              <w:bottom w:val="single" w:sz="4" w:space="0" w:color="auto"/>
            </w:tcBorders>
          </w:tcPr>
          <w:p w14:paraId="2D4FB59F" w14:textId="4CB83A49" w:rsidR="00A66441" w:rsidRPr="004C78D8" w:rsidRDefault="006D73C7" w:rsidP="00FB7C1F">
            <w:pPr>
              <w:jc w:val="center"/>
              <w:rPr>
                <w:sz w:val="20"/>
                <w:szCs w:val="20"/>
              </w:rPr>
            </w:pPr>
            <w:r w:rsidRPr="004C78D8">
              <w:rPr>
                <w:sz w:val="20"/>
                <w:szCs w:val="20"/>
              </w:rPr>
              <w:t>0.3</w:t>
            </w:r>
          </w:p>
        </w:tc>
        <w:tc>
          <w:tcPr>
            <w:tcW w:w="1486" w:type="pct"/>
            <w:tcBorders>
              <w:top w:val="nil"/>
              <w:bottom w:val="single" w:sz="4" w:space="0" w:color="auto"/>
            </w:tcBorders>
          </w:tcPr>
          <w:p w14:paraId="65F74E61" w14:textId="21DCA1E5" w:rsidR="00A66441" w:rsidRPr="004C78D8" w:rsidRDefault="00AD369B" w:rsidP="00FB7C1F">
            <w:pPr>
              <w:jc w:val="left"/>
              <w:rPr>
                <w:sz w:val="20"/>
                <w:szCs w:val="20"/>
              </w:rPr>
            </w:pPr>
            <w:r w:rsidRPr="004C78D8">
              <w:rPr>
                <w:sz w:val="20"/>
                <w:szCs w:val="20"/>
              </w:rPr>
              <w:t xml:space="preserve">(2) </w:t>
            </w:r>
            <w:r w:rsidR="0076420D" w:rsidRPr="004C78D8">
              <w:rPr>
                <w:sz w:val="20"/>
                <w:szCs w:val="20"/>
              </w:rPr>
              <w:t>Confined to bed</w:t>
            </w:r>
          </w:p>
        </w:tc>
        <w:tc>
          <w:tcPr>
            <w:tcW w:w="916" w:type="pct"/>
            <w:tcBorders>
              <w:top w:val="nil"/>
              <w:bottom w:val="single" w:sz="4" w:space="0" w:color="auto"/>
            </w:tcBorders>
          </w:tcPr>
          <w:p w14:paraId="5B86D33A" w14:textId="677763BC" w:rsidR="00A66441" w:rsidRPr="004C78D8" w:rsidRDefault="006D73C7" w:rsidP="00FB7C1F">
            <w:pPr>
              <w:jc w:val="center"/>
              <w:rPr>
                <w:sz w:val="20"/>
                <w:szCs w:val="20"/>
              </w:rPr>
            </w:pPr>
            <w:r w:rsidRPr="004C78D8">
              <w:rPr>
                <w:sz w:val="20"/>
                <w:szCs w:val="20"/>
              </w:rPr>
              <w:t>0.1</w:t>
            </w:r>
          </w:p>
        </w:tc>
      </w:tr>
      <w:tr w:rsidR="00A66441" w:rsidRPr="004C78D8" w14:paraId="04C5966B" w14:textId="77777777" w:rsidTr="00E35893">
        <w:tc>
          <w:tcPr>
            <w:tcW w:w="787" w:type="pct"/>
            <w:vMerge w:val="restart"/>
            <w:tcBorders>
              <w:right w:val="nil"/>
            </w:tcBorders>
          </w:tcPr>
          <w:p w14:paraId="7929FD6A" w14:textId="62631D29" w:rsidR="00A66441" w:rsidRPr="004C78D8" w:rsidRDefault="00A66441" w:rsidP="00FB7C1F">
            <w:pPr>
              <w:jc w:val="left"/>
              <w:rPr>
                <w:sz w:val="20"/>
                <w:szCs w:val="20"/>
              </w:rPr>
            </w:pPr>
            <w:r w:rsidRPr="004C78D8">
              <w:rPr>
                <w:sz w:val="20"/>
                <w:szCs w:val="20"/>
              </w:rPr>
              <w:t>Self-care</w:t>
            </w:r>
          </w:p>
        </w:tc>
        <w:tc>
          <w:tcPr>
            <w:tcW w:w="944" w:type="pct"/>
            <w:tcBorders>
              <w:left w:val="nil"/>
              <w:bottom w:val="nil"/>
            </w:tcBorders>
          </w:tcPr>
          <w:p w14:paraId="5AEBCFC1" w14:textId="68B680D8" w:rsidR="00A66441" w:rsidRPr="004C78D8" w:rsidRDefault="00A66441" w:rsidP="00FB7C1F">
            <w:pPr>
              <w:jc w:val="left"/>
              <w:rPr>
                <w:sz w:val="20"/>
                <w:szCs w:val="20"/>
              </w:rPr>
            </w:pPr>
            <w:r w:rsidRPr="004C78D8">
              <w:rPr>
                <w:sz w:val="20"/>
                <w:szCs w:val="20"/>
              </w:rPr>
              <w:t>No problem</w:t>
            </w:r>
          </w:p>
        </w:tc>
        <w:tc>
          <w:tcPr>
            <w:tcW w:w="867" w:type="pct"/>
            <w:tcBorders>
              <w:bottom w:val="nil"/>
            </w:tcBorders>
          </w:tcPr>
          <w:p w14:paraId="238E0FE2" w14:textId="398D4433" w:rsidR="00A66441" w:rsidRPr="004C78D8" w:rsidRDefault="006D73C7" w:rsidP="00FB7C1F">
            <w:pPr>
              <w:jc w:val="center"/>
              <w:rPr>
                <w:sz w:val="20"/>
                <w:szCs w:val="20"/>
              </w:rPr>
            </w:pPr>
            <w:r w:rsidRPr="004C78D8">
              <w:rPr>
                <w:sz w:val="20"/>
                <w:szCs w:val="20"/>
              </w:rPr>
              <w:t>85.1</w:t>
            </w:r>
          </w:p>
        </w:tc>
        <w:tc>
          <w:tcPr>
            <w:tcW w:w="1486" w:type="pct"/>
            <w:tcBorders>
              <w:bottom w:val="nil"/>
            </w:tcBorders>
          </w:tcPr>
          <w:p w14:paraId="1C0412BE" w14:textId="5B6EF337" w:rsidR="00A66441" w:rsidRPr="004C78D8" w:rsidRDefault="00444756" w:rsidP="00FB7C1F">
            <w:pPr>
              <w:jc w:val="left"/>
              <w:rPr>
                <w:sz w:val="20"/>
                <w:szCs w:val="20"/>
              </w:rPr>
            </w:pPr>
            <w:r w:rsidRPr="004C78D8">
              <w:rPr>
                <w:sz w:val="20"/>
                <w:szCs w:val="20"/>
              </w:rPr>
              <w:t>No ADL limitation</w:t>
            </w:r>
          </w:p>
        </w:tc>
        <w:tc>
          <w:tcPr>
            <w:tcW w:w="916" w:type="pct"/>
            <w:tcBorders>
              <w:bottom w:val="nil"/>
            </w:tcBorders>
          </w:tcPr>
          <w:p w14:paraId="634FBAFE" w14:textId="4C0729C3" w:rsidR="00A66441" w:rsidRPr="004C78D8" w:rsidRDefault="006D73C7" w:rsidP="00FB7C1F">
            <w:pPr>
              <w:jc w:val="center"/>
              <w:rPr>
                <w:sz w:val="20"/>
                <w:szCs w:val="20"/>
              </w:rPr>
            </w:pPr>
            <w:r w:rsidRPr="004C78D8">
              <w:rPr>
                <w:sz w:val="20"/>
                <w:szCs w:val="20"/>
              </w:rPr>
              <w:t>60.8</w:t>
            </w:r>
          </w:p>
        </w:tc>
      </w:tr>
      <w:tr w:rsidR="00A66441" w:rsidRPr="004C78D8" w14:paraId="70782D4A" w14:textId="77777777" w:rsidTr="00E35893">
        <w:tc>
          <w:tcPr>
            <w:tcW w:w="787" w:type="pct"/>
            <w:vMerge/>
            <w:tcBorders>
              <w:right w:val="nil"/>
            </w:tcBorders>
          </w:tcPr>
          <w:p w14:paraId="2B2828D1" w14:textId="77777777" w:rsidR="00A66441" w:rsidRPr="004C78D8" w:rsidRDefault="00A66441" w:rsidP="00FB7C1F">
            <w:pPr>
              <w:jc w:val="left"/>
              <w:rPr>
                <w:sz w:val="20"/>
                <w:szCs w:val="20"/>
              </w:rPr>
            </w:pPr>
          </w:p>
        </w:tc>
        <w:tc>
          <w:tcPr>
            <w:tcW w:w="944" w:type="pct"/>
            <w:tcBorders>
              <w:top w:val="nil"/>
              <w:left w:val="nil"/>
              <w:bottom w:val="nil"/>
            </w:tcBorders>
          </w:tcPr>
          <w:p w14:paraId="3EB29844" w14:textId="075C4A33" w:rsidR="00A66441" w:rsidRPr="004C78D8" w:rsidRDefault="00A66441" w:rsidP="00FB7C1F">
            <w:pPr>
              <w:jc w:val="left"/>
              <w:rPr>
                <w:sz w:val="20"/>
                <w:szCs w:val="20"/>
              </w:rPr>
            </w:pPr>
            <w:r w:rsidRPr="004C78D8">
              <w:rPr>
                <w:sz w:val="20"/>
                <w:szCs w:val="20"/>
              </w:rPr>
              <w:t>Some problems</w:t>
            </w:r>
          </w:p>
        </w:tc>
        <w:tc>
          <w:tcPr>
            <w:tcW w:w="867" w:type="pct"/>
            <w:tcBorders>
              <w:top w:val="nil"/>
              <w:bottom w:val="nil"/>
            </w:tcBorders>
          </w:tcPr>
          <w:p w14:paraId="64884756" w14:textId="197DFC45" w:rsidR="00A66441" w:rsidRPr="004C78D8" w:rsidRDefault="006D73C7" w:rsidP="00FB7C1F">
            <w:pPr>
              <w:jc w:val="center"/>
              <w:rPr>
                <w:sz w:val="20"/>
                <w:szCs w:val="20"/>
              </w:rPr>
            </w:pPr>
            <w:r w:rsidRPr="004C78D8">
              <w:rPr>
                <w:sz w:val="20"/>
                <w:szCs w:val="20"/>
              </w:rPr>
              <w:t>13.6</w:t>
            </w:r>
          </w:p>
        </w:tc>
        <w:tc>
          <w:tcPr>
            <w:tcW w:w="1486" w:type="pct"/>
            <w:tcBorders>
              <w:top w:val="nil"/>
              <w:bottom w:val="nil"/>
            </w:tcBorders>
          </w:tcPr>
          <w:p w14:paraId="5B2597E4" w14:textId="123CBDC3" w:rsidR="00A66441" w:rsidRPr="004C78D8" w:rsidRDefault="00173C91" w:rsidP="00FB7C1F">
            <w:pPr>
              <w:jc w:val="left"/>
              <w:rPr>
                <w:sz w:val="20"/>
                <w:szCs w:val="20"/>
              </w:rPr>
            </w:pPr>
            <w:r w:rsidRPr="004C78D8">
              <w:rPr>
                <w:sz w:val="20"/>
                <w:szCs w:val="20"/>
              </w:rPr>
              <w:t>1</w:t>
            </w:r>
            <w:r w:rsidR="00F5321E" w:rsidRPr="004C78D8">
              <w:rPr>
                <w:sz w:val="20"/>
                <w:szCs w:val="20"/>
              </w:rPr>
              <w:t>-5</w:t>
            </w:r>
            <w:r w:rsidRPr="004C78D8">
              <w:rPr>
                <w:sz w:val="20"/>
                <w:szCs w:val="20"/>
              </w:rPr>
              <w:t xml:space="preserve"> ADL limitation</w:t>
            </w:r>
            <w:r w:rsidR="00F5321E" w:rsidRPr="004C78D8">
              <w:rPr>
                <w:sz w:val="20"/>
                <w:szCs w:val="20"/>
              </w:rPr>
              <w:t>s</w:t>
            </w:r>
          </w:p>
        </w:tc>
        <w:tc>
          <w:tcPr>
            <w:tcW w:w="916" w:type="pct"/>
            <w:tcBorders>
              <w:top w:val="nil"/>
              <w:bottom w:val="nil"/>
            </w:tcBorders>
          </w:tcPr>
          <w:p w14:paraId="4C40E403" w14:textId="3F7EF783" w:rsidR="00A66441" w:rsidRPr="004C78D8" w:rsidRDefault="006D73C7" w:rsidP="00FB7C1F">
            <w:pPr>
              <w:jc w:val="center"/>
              <w:rPr>
                <w:sz w:val="20"/>
                <w:szCs w:val="20"/>
              </w:rPr>
            </w:pPr>
            <w:r w:rsidRPr="004C78D8">
              <w:rPr>
                <w:sz w:val="20"/>
                <w:szCs w:val="20"/>
              </w:rPr>
              <w:t>37.8</w:t>
            </w:r>
          </w:p>
        </w:tc>
      </w:tr>
      <w:tr w:rsidR="00A66441" w:rsidRPr="004C78D8" w14:paraId="0E0FFEB9" w14:textId="77777777" w:rsidTr="00E35893">
        <w:tc>
          <w:tcPr>
            <w:tcW w:w="787" w:type="pct"/>
            <w:vMerge/>
            <w:tcBorders>
              <w:right w:val="nil"/>
            </w:tcBorders>
          </w:tcPr>
          <w:p w14:paraId="213FFCD9" w14:textId="77777777" w:rsidR="00A66441" w:rsidRPr="004C78D8" w:rsidRDefault="00A66441" w:rsidP="00FB7C1F">
            <w:pPr>
              <w:jc w:val="left"/>
              <w:rPr>
                <w:sz w:val="20"/>
                <w:szCs w:val="20"/>
              </w:rPr>
            </w:pPr>
          </w:p>
        </w:tc>
        <w:tc>
          <w:tcPr>
            <w:tcW w:w="944" w:type="pct"/>
            <w:tcBorders>
              <w:top w:val="nil"/>
              <w:left w:val="nil"/>
              <w:bottom w:val="single" w:sz="4" w:space="0" w:color="auto"/>
            </w:tcBorders>
          </w:tcPr>
          <w:p w14:paraId="2ED3C402" w14:textId="2F9E66E9" w:rsidR="00A66441" w:rsidRPr="004C78D8" w:rsidRDefault="00A66441" w:rsidP="00FB7C1F">
            <w:pPr>
              <w:jc w:val="left"/>
              <w:rPr>
                <w:sz w:val="20"/>
                <w:szCs w:val="20"/>
              </w:rPr>
            </w:pPr>
            <w:r w:rsidRPr="004C78D8">
              <w:rPr>
                <w:sz w:val="20"/>
                <w:szCs w:val="20"/>
              </w:rPr>
              <w:t>Unable to</w:t>
            </w:r>
          </w:p>
        </w:tc>
        <w:tc>
          <w:tcPr>
            <w:tcW w:w="867" w:type="pct"/>
            <w:tcBorders>
              <w:top w:val="nil"/>
              <w:bottom w:val="single" w:sz="4" w:space="0" w:color="auto"/>
            </w:tcBorders>
          </w:tcPr>
          <w:p w14:paraId="0D135CE4" w14:textId="6498123A" w:rsidR="00A66441" w:rsidRPr="004C78D8" w:rsidRDefault="006D73C7" w:rsidP="00FB7C1F">
            <w:pPr>
              <w:jc w:val="center"/>
              <w:rPr>
                <w:sz w:val="20"/>
                <w:szCs w:val="20"/>
              </w:rPr>
            </w:pPr>
            <w:r w:rsidRPr="004C78D8">
              <w:rPr>
                <w:sz w:val="20"/>
                <w:szCs w:val="20"/>
              </w:rPr>
              <w:t>1.4</w:t>
            </w:r>
          </w:p>
        </w:tc>
        <w:tc>
          <w:tcPr>
            <w:tcW w:w="1486" w:type="pct"/>
            <w:tcBorders>
              <w:top w:val="nil"/>
              <w:bottom w:val="single" w:sz="4" w:space="0" w:color="auto"/>
            </w:tcBorders>
          </w:tcPr>
          <w:p w14:paraId="3ADF5A57" w14:textId="0B2F8D86" w:rsidR="00A66441" w:rsidRPr="004C78D8" w:rsidRDefault="00173C91" w:rsidP="00FB7C1F">
            <w:pPr>
              <w:jc w:val="left"/>
              <w:rPr>
                <w:sz w:val="20"/>
                <w:szCs w:val="20"/>
              </w:rPr>
            </w:pPr>
            <w:r w:rsidRPr="004C78D8">
              <w:rPr>
                <w:sz w:val="20"/>
                <w:szCs w:val="20"/>
              </w:rPr>
              <w:t>6+ ADL limitations</w:t>
            </w:r>
          </w:p>
        </w:tc>
        <w:tc>
          <w:tcPr>
            <w:tcW w:w="916" w:type="pct"/>
            <w:tcBorders>
              <w:top w:val="nil"/>
              <w:bottom w:val="single" w:sz="4" w:space="0" w:color="auto"/>
            </w:tcBorders>
          </w:tcPr>
          <w:p w14:paraId="25998855" w14:textId="42BE74D0" w:rsidR="00A66441" w:rsidRPr="004C78D8" w:rsidRDefault="006D73C7" w:rsidP="00FB7C1F">
            <w:pPr>
              <w:jc w:val="center"/>
              <w:rPr>
                <w:sz w:val="20"/>
                <w:szCs w:val="20"/>
              </w:rPr>
            </w:pPr>
            <w:r w:rsidRPr="004C78D8">
              <w:rPr>
                <w:sz w:val="20"/>
                <w:szCs w:val="20"/>
              </w:rPr>
              <w:t>1.4</w:t>
            </w:r>
          </w:p>
        </w:tc>
      </w:tr>
      <w:tr w:rsidR="00A66441" w:rsidRPr="004C78D8" w14:paraId="3E763925" w14:textId="77777777" w:rsidTr="00E35893">
        <w:tc>
          <w:tcPr>
            <w:tcW w:w="787" w:type="pct"/>
            <w:vMerge w:val="restart"/>
            <w:tcBorders>
              <w:right w:val="nil"/>
            </w:tcBorders>
          </w:tcPr>
          <w:p w14:paraId="7FF0685C" w14:textId="14669E86" w:rsidR="00A66441" w:rsidRPr="004C78D8" w:rsidRDefault="00A66441" w:rsidP="00FB7C1F">
            <w:pPr>
              <w:jc w:val="left"/>
              <w:rPr>
                <w:sz w:val="20"/>
                <w:szCs w:val="20"/>
              </w:rPr>
            </w:pPr>
            <w:r w:rsidRPr="004C78D8">
              <w:rPr>
                <w:sz w:val="20"/>
                <w:szCs w:val="20"/>
              </w:rPr>
              <w:t>Usual activities</w:t>
            </w:r>
          </w:p>
        </w:tc>
        <w:tc>
          <w:tcPr>
            <w:tcW w:w="944" w:type="pct"/>
            <w:tcBorders>
              <w:left w:val="nil"/>
              <w:bottom w:val="nil"/>
            </w:tcBorders>
          </w:tcPr>
          <w:p w14:paraId="44E09A51" w14:textId="2CBAA3E8" w:rsidR="00A66441" w:rsidRPr="004C78D8" w:rsidRDefault="00A66441" w:rsidP="00FB7C1F">
            <w:pPr>
              <w:jc w:val="left"/>
              <w:rPr>
                <w:sz w:val="20"/>
                <w:szCs w:val="20"/>
              </w:rPr>
            </w:pPr>
            <w:r w:rsidRPr="004C78D8">
              <w:rPr>
                <w:sz w:val="20"/>
                <w:szCs w:val="20"/>
              </w:rPr>
              <w:t>No problem</w:t>
            </w:r>
          </w:p>
        </w:tc>
        <w:tc>
          <w:tcPr>
            <w:tcW w:w="867" w:type="pct"/>
            <w:tcBorders>
              <w:bottom w:val="nil"/>
            </w:tcBorders>
          </w:tcPr>
          <w:p w14:paraId="778CE9DE" w14:textId="049B21A1" w:rsidR="00A66441" w:rsidRPr="004C78D8" w:rsidRDefault="006D73C7" w:rsidP="00FB7C1F">
            <w:pPr>
              <w:jc w:val="center"/>
              <w:rPr>
                <w:sz w:val="20"/>
                <w:szCs w:val="20"/>
              </w:rPr>
            </w:pPr>
            <w:r w:rsidRPr="004C78D8">
              <w:rPr>
                <w:sz w:val="20"/>
                <w:szCs w:val="20"/>
              </w:rPr>
              <w:t>58.8</w:t>
            </w:r>
          </w:p>
        </w:tc>
        <w:tc>
          <w:tcPr>
            <w:tcW w:w="1486" w:type="pct"/>
            <w:tcBorders>
              <w:bottom w:val="nil"/>
            </w:tcBorders>
          </w:tcPr>
          <w:p w14:paraId="73F4DEAF" w14:textId="36E95686" w:rsidR="00A66441" w:rsidRPr="004C78D8" w:rsidRDefault="00444756" w:rsidP="00FB7C1F">
            <w:pPr>
              <w:jc w:val="left"/>
              <w:rPr>
                <w:sz w:val="20"/>
                <w:szCs w:val="20"/>
              </w:rPr>
            </w:pPr>
            <w:r w:rsidRPr="004C78D8">
              <w:rPr>
                <w:sz w:val="20"/>
                <w:szCs w:val="20"/>
              </w:rPr>
              <w:t>No IADL limitation</w:t>
            </w:r>
          </w:p>
        </w:tc>
        <w:tc>
          <w:tcPr>
            <w:tcW w:w="916" w:type="pct"/>
            <w:tcBorders>
              <w:bottom w:val="nil"/>
            </w:tcBorders>
          </w:tcPr>
          <w:p w14:paraId="140FD54A" w14:textId="528F5D57" w:rsidR="00A66441" w:rsidRPr="004C78D8" w:rsidRDefault="006D73C7" w:rsidP="00FB7C1F">
            <w:pPr>
              <w:jc w:val="center"/>
              <w:rPr>
                <w:sz w:val="20"/>
                <w:szCs w:val="20"/>
              </w:rPr>
            </w:pPr>
            <w:r w:rsidRPr="004C78D8">
              <w:rPr>
                <w:sz w:val="20"/>
                <w:szCs w:val="20"/>
              </w:rPr>
              <w:t>58.0</w:t>
            </w:r>
          </w:p>
        </w:tc>
      </w:tr>
      <w:tr w:rsidR="00173C91" w:rsidRPr="004C78D8" w14:paraId="76499E19" w14:textId="77777777" w:rsidTr="00E35893">
        <w:tc>
          <w:tcPr>
            <w:tcW w:w="787" w:type="pct"/>
            <w:vMerge/>
            <w:tcBorders>
              <w:right w:val="nil"/>
            </w:tcBorders>
          </w:tcPr>
          <w:p w14:paraId="164E20A7" w14:textId="77777777" w:rsidR="00173C91" w:rsidRPr="004C78D8" w:rsidRDefault="00173C91" w:rsidP="00FB7C1F">
            <w:pPr>
              <w:jc w:val="left"/>
              <w:rPr>
                <w:sz w:val="20"/>
                <w:szCs w:val="20"/>
              </w:rPr>
            </w:pPr>
          </w:p>
        </w:tc>
        <w:tc>
          <w:tcPr>
            <w:tcW w:w="944" w:type="pct"/>
            <w:tcBorders>
              <w:top w:val="nil"/>
              <w:left w:val="nil"/>
              <w:bottom w:val="nil"/>
            </w:tcBorders>
          </w:tcPr>
          <w:p w14:paraId="4E4769CE" w14:textId="4A000606" w:rsidR="00173C91" w:rsidRPr="004C78D8" w:rsidRDefault="00173C91" w:rsidP="00FB7C1F">
            <w:pPr>
              <w:jc w:val="left"/>
              <w:rPr>
                <w:sz w:val="20"/>
                <w:szCs w:val="20"/>
              </w:rPr>
            </w:pPr>
            <w:r w:rsidRPr="004C78D8">
              <w:rPr>
                <w:sz w:val="20"/>
                <w:szCs w:val="20"/>
              </w:rPr>
              <w:t>Some problems</w:t>
            </w:r>
          </w:p>
        </w:tc>
        <w:tc>
          <w:tcPr>
            <w:tcW w:w="867" w:type="pct"/>
            <w:tcBorders>
              <w:top w:val="nil"/>
              <w:bottom w:val="nil"/>
            </w:tcBorders>
          </w:tcPr>
          <w:p w14:paraId="24B2D416" w14:textId="40D958A5" w:rsidR="00173C91" w:rsidRPr="004C78D8" w:rsidRDefault="00173C91" w:rsidP="00FB7C1F">
            <w:pPr>
              <w:jc w:val="center"/>
              <w:rPr>
                <w:sz w:val="20"/>
                <w:szCs w:val="20"/>
              </w:rPr>
            </w:pPr>
            <w:r w:rsidRPr="004C78D8">
              <w:rPr>
                <w:sz w:val="20"/>
                <w:szCs w:val="20"/>
              </w:rPr>
              <w:t>35.4</w:t>
            </w:r>
          </w:p>
        </w:tc>
        <w:tc>
          <w:tcPr>
            <w:tcW w:w="1486" w:type="pct"/>
            <w:tcBorders>
              <w:top w:val="nil"/>
              <w:bottom w:val="nil"/>
            </w:tcBorders>
          </w:tcPr>
          <w:p w14:paraId="7B7F1812" w14:textId="7EDA5439" w:rsidR="00173C91" w:rsidRPr="004C78D8" w:rsidRDefault="00173C91" w:rsidP="00FB7C1F">
            <w:pPr>
              <w:jc w:val="left"/>
              <w:rPr>
                <w:sz w:val="20"/>
                <w:szCs w:val="20"/>
              </w:rPr>
            </w:pPr>
            <w:r w:rsidRPr="004C78D8">
              <w:rPr>
                <w:sz w:val="20"/>
                <w:szCs w:val="20"/>
              </w:rPr>
              <w:t>1</w:t>
            </w:r>
            <w:r w:rsidR="00F5321E" w:rsidRPr="004C78D8">
              <w:rPr>
                <w:sz w:val="20"/>
                <w:szCs w:val="20"/>
              </w:rPr>
              <w:t>-5</w:t>
            </w:r>
            <w:r w:rsidRPr="004C78D8">
              <w:rPr>
                <w:sz w:val="20"/>
                <w:szCs w:val="20"/>
              </w:rPr>
              <w:t xml:space="preserve"> IADL limitation</w:t>
            </w:r>
            <w:r w:rsidR="00F5321E" w:rsidRPr="004C78D8">
              <w:rPr>
                <w:sz w:val="20"/>
                <w:szCs w:val="20"/>
              </w:rPr>
              <w:t>s</w:t>
            </w:r>
          </w:p>
        </w:tc>
        <w:tc>
          <w:tcPr>
            <w:tcW w:w="916" w:type="pct"/>
            <w:tcBorders>
              <w:top w:val="nil"/>
              <w:bottom w:val="nil"/>
            </w:tcBorders>
          </w:tcPr>
          <w:p w14:paraId="55CB60B3" w14:textId="3CC6CBDB" w:rsidR="00173C91" w:rsidRPr="004C78D8" w:rsidRDefault="00173C91" w:rsidP="00FB7C1F">
            <w:pPr>
              <w:jc w:val="center"/>
              <w:rPr>
                <w:sz w:val="20"/>
                <w:szCs w:val="20"/>
              </w:rPr>
            </w:pPr>
            <w:r w:rsidRPr="004C78D8">
              <w:rPr>
                <w:sz w:val="20"/>
                <w:szCs w:val="20"/>
              </w:rPr>
              <w:t>38.1</w:t>
            </w:r>
          </w:p>
        </w:tc>
      </w:tr>
      <w:tr w:rsidR="00173C91" w:rsidRPr="004C78D8" w14:paraId="17E8ED5C" w14:textId="77777777" w:rsidTr="00E35893">
        <w:tc>
          <w:tcPr>
            <w:tcW w:w="787" w:type="pct"/>
            <w:vMerge/>
            <w:tcBorders>
              <w:right w:val="nil"/>
            </w:tcBorders>
          </w:tcPr>
          <w:p w14:paraId="3FC5130B" w14:textId="77777777" w:rsidR="00173C91" w:rsidRPr="004C78D8" w:rsidRDefault="00173C91" w:rsidP="00FB7C1F">
            <w:pPr>
              <w:jc w:val="left"/>
              <w:rPr>
                <w:sz w:val="20"/>
                <w:szCs w:val="20"/>
              </w:rPr>
            </w:pPr>
          </w:p>
        </w:tc>
        <w:tc>
          <w:tcPr>
            <w:tcW w:w="944" w:type="pct"/>
            <w:tcBorders>
              <w:top w:val="nil"/>
              <w:left w:val="nil"/>
              <w:bottom w:val="single" w:sz="4" w:space="0" w:color="auto"/>
            </w:tcBorders>
          </w:tcPr>
          <w:p w14:paraId="067852AA" w14:textId="1B763F71" w:rsidR="00173C91" w:rsidRPr="004C78D8" w:rsidRDefault="00173C91" w:rsidP="00FB7C1F">
            <w:pPr>
              <w:jc w:val="left"/>
              <w:rPr>
                <w:sz w:val="20"/>
                <w:szCs w:val="20"/>
              </w:rPr>
            </w:pPr>
            <w:r w:rsidRPr="004C78D8">
              <w:rPr>
                <w:sz w:val="20"/>
                <w:szCs w:val="20"/>
              </w:rPr>
              <w:t>Unable to</w:t>
            </w:r>
          </w:p>
        </w:tc>
        <w:tc>
          <w:tcPr>
            <w:tcW w:w="867" w:type="pct"/>
            <w:tcBorders>
              <w:top w:val="nil"/>
              <w:bottom w:val="single" w:sz="4" w:space="0" w:color="auto"/>
            </w:tcBorders>
          </w:tcPr>
          <w:p w14:paraId="5107FC41" w14:textId="685C2CDF" w:rsidR="00173C91" w:rsidRPr="004C78D8" w:rsidRDefault="00173C91" w:rsidP="00FB7C1F">
            <w:pPr>
              <w:jc w:val="center"/>
              <w:rPr>
                <w:sz w:val="20"/>
                <w:szCs w:val="20"/>
              </w:rPr>
            </w:pPr>
            <w:r w:rsidRPr="004C78D8">
              <w:rPr>
                <w:sz w:val="20"/>
                <w:szCs w:val="20"/>
              </w:rPr>
              <w:t>5.8</w:t>
            </w:r>
          </w:p>
        </w:tc>
        <w:tc>
          <w:tcPr>
            <w:tcW w:w="1486" w:type="pct"/>
            <w:tcBorders>
              <w:top w:val="nil"/>
              <w:bottom w:val="single" w:sz="4" w:space="0" w:color="auto"/>
            </w:tcBorders>
          </w:tcPr>
          <w:p w14:paraId="3A6521CE" w14:textId="25843B7C" w:rsidR="00173C91" w:rsidRPr="004C78D8" w:rsidRDefault="00173C91" w:rsidP="00FB7C1F">
            <w:pPr>
              <w:jc w:val="left"/>
              <w:rPr>
                <w:sz w:val="20"/>
                <w:szCs w:val="20"/>
              </w:rPr>
            </w:pPr>
            <w:r w:rsidRPr="004C78D8">
              <w:rPr>
                <w:sz w:val="20"/>
                <w:szCs w:val="20"/>
              </w:rPr>
              <w:t>6+ IADL limitations</w:t>
            </w:r>
          </w:p>
        </w:tc>
        <w:tc>
          <w:tcPr>
            <w:tcW w:w="916" w:type="pct"/>
            <w:tcBorders>
              <w:top w:val="nil"/>
              <w:bottom w:val="single" w:sz="4" w:space="0" w:color="auto"/>
            </w:tcBorders>
          </w:tcPr>
          <w:p w14:paraId="54CEADA8" w14:textId="2EA600ED" w:rsidR="00173C91" w:rsidRPr="004C78D8" w:rsidRDefault="00173C91" w:rsidP="00FB7C1F">
            <w:pPr>
              <w:jc w:val="center"/>
              <w:rPr>
                <w:sz w:val="20"/>
                <w:szCs w:val="20"/>
              </w:rPr>
            </w:pPr>
            <w:r w:rsidRPr="004C78D8">
              <w:rPr>
                <w:sz w:val="20"/>
                <w:szCs w:val="20"/>
              </w:rPr>
              <w:t>3.9</w:t>
            </w:r>
          </w:p>
        </w:tc>
      </w:tr>
      <w:tr w:rsidR="00173C91" w:rsidRPr="004C78D8" w14:paraId="7DA0B86E" w14:textId="77777777" w:rsidTr="00E35893">
        <w:tc>
          <w:tcPr>
            <w:tcW w:w="787" w:type="pct"/>
            <w:vMerge w:val="restart"/>
            <w:tcBorders>
              <w:right w:val="nil"/>
            </w:tcBorders>
          </w:tcPr>
          <w:p w14:paraId="44E830D3" w14:textId="20329357" w:rsidR="00173C91" w:rsidRPr="004C78D8" w:rsidRDefault="00173C91" w:rsidP="00FB7C1F">
            <w:pPr>
              <w:jc w:val="left"/>
              <w:rPr>
                <w:sz w:val="20"/>
                <w:szCs w:val="20"/>
              </w:rPr>
            </w:pPr>
            <w:r w:rsidRPr="004C78D8">
              <w:rPr>
                <w:sz w:val="20"/>
                <w:szCs w:val="20"/>
              </w:rPr>
              <w:t>Pain; discomfort</w:t>
            </w:r>
          </w:p>
        </w:tc>
        <w:tc>
          <w:tcPr>
            <w:tcW w:w="944" w:type="pct"/>
            <w:tcBorders>
              <w:left w:val="nil"/>
              <w:bottom w:val="nil"/>
            </w:tcBorders>
          </w:tcPr>
          <w:p w14:paraId="1AA5F1DC" w14:textId="11860F83" w:rsidR="00173C91" w:rsidRPr="004C78D8" w:rsidRDefault="00173C91" w:rsidP="00FB7C1F">
            <w:pPr>
              <w:jc w:val="left"/>
              <w:rPr>
                <w:sz w:val="20"/>
                <w:szCs w:val="20"/>
              </w:rPr>
            </w:pPr>
            <w:r w:rsidRPr="004C78D8">
              <w:rPr>
                <w:sz w:val="20"/>
                <w:szCs w:val="20"/>
              </w:rPr>
              <w:t>No</w:t>
            </w:r>
          </w:p>
        </w:tc>
        <w:tc>
          <w:tcPr>
            <w:tcW w:w="867" w:type="pct"/>
            <w:tcBorders>
              <w:bottom w:val="nil"/>
            </w:tcBorders>
          </w:tcPr>
          <w:p w14:paraId="6B3C4B47" w14:textId="1AB5F461" w:rsidR="00173C91" w:rsidRPr="004C78D8" w:rsidRDefault="00173C91" w:rsidP="00FB7C1F">
            <w:pPr>
              <w:jc w:val="center"/>
              <w:rPr>
                <w:sz w:val="20"/>
                <w:szCs w:val="20"/>
              </w:rPr>
            </w:pPr>
            <w:r w:rsidRPr="004C78D8">
              <w:rPr>
                <w:sz w:val="20"/>
                <w:szCs w:val="20"/>
              </w:rPr>
              <w:t>38.1</w:t>
            </w:r>
          </w:p>
        </w:tc>
        <w:tc>
          <w:tcPr>
            <w:tcW w:w="1486" w:type="pct"/>
            <w:tcBorders>
              <w:bottom w:val="nil"/>
            </w:tcBorders>
          </w:tcPr>
          <w:p w14:paraId="0320D224" w14:textId="271D06BE" w:rsidR="00173C91" w:rsidRPr="004C78D8" w:rsidRDefault="005E6E3F" w:rsidP="00FB7C1F">
            <w:pPr>
              <w:jc w:val="left"/>
              <w:rPr>
                <w:sz w:val="20"/>
                <w:szCs w:val="20"/>
              </w:rPr>
            </w:pPr>
            <w:r w:rsidRPr="004C78D8">
              <w:rPr>
                <w:sz w:val="20"/>
                <w:szCs w:val="20"/>
              </w:rPr>
              <w:t>No pain most of the time</w:t>
            </w:r>
          </w:p>
        </w:tc>
        <w:tc>
          <w:tcPr>
            <w:tcW w:w="916" w:type="pct"/>
            <w:tcBorders>
              <w:bottom w:val="nil"/>
            </w:tcBorders>
          </w:tcPr>
          <w:p w14:paraId="1D2A5F8F" w14:textId="65A7B5A7" w:rsidR="00173C91" w:rsidRPr="004C78D8" w:rsidRDefault="00173C91" w:rsidP="00FB7C1F">
            <w:pPr>
              <w:jc w:val="center"/>
              <w:rPr>
                <w:sz w:val="20"/>
                <w:szCs w:val="20"/>
              </w:rPr>
            </w:pPr>
            <w:r w:rsidRPr="004C78D8">
              <w:rPr>
                <w:sz w:val="20"/>
                <w:szCs w:val="20"/>
              </w:rPr>
              <w:t>59.6</w:t>
            </w:r>
          </w:p>
        </w:tc>
      </w:tr>
      <w:tr w:rsidR="00173C91" w:rsidRPr="004C78D8" w14:paraId="2FACCB1C" w14:textId="77777777" w:rsidTr="00E35893">
        <w:tc>
          <w:tcPr>
            <w:tcW w:w="787" w:type="pct"/>
            <w:vMerge/>
            <w:tcBorders>
              <w:right w:val="nil"/>
            </w:tcBorders>
          </w:tcPr>
          <w:p w14:paraId="70034C68" w14:textId="77777777" w:rsidR="00173C91" w:rsidRPr="004C78D8" w:rsidRDefault="00173C91" w:rsidP="00FB7C1F">
            <w:pPr>
              <w:jc w:val="left"/>
              <w:rPr>
                <w:sz w:val="20"/>
                <w:szCs w:val="20"/>
              </w:rPr>
            </w:pPr>
          </w:p>
        </w:tc>
        <w:tc>
          <w:tcPr>
            <w:tcW w:w="944" w:type="pct"/>
            <w:tcBorders>
              <w:top w:val="nil"/>
              <w:left w:val="nil"/>
              <w:bottom w:val="nil"/>
            </w:tcBorders>
          </w:tcPr>
          <w:p w14:paraId="4997173C" w14:textId="520246A9" w:rsidR="00173C91" w:rsidRPr="004C78D8" w:rsidRDefault="00173C91" w:rsidP="00FB7C1F">
            <w:pPr>
              <w:jc w:val="left"/>
              <w:rPr>
                <w:sz w:val="20"/>
                <w:szCs w:val="20"/>
              </w:rPr>
            </w:pPr>
            <w:r w:rsidRPr="004C78D8">
              <w:rPr>
                <w:sz w:val="20"/>
                <w:szCs w:val="20"/>
              </w:rPr>
              <w:t>Some</w:t>
            </w:r>
          </w:p>
        </w:tc>
        <w:tc>
          <w:tcPr>
            <w:tcW w:w="867" w:type="pct"/>
            <w:tcBorders>
              <w:top w:val="nil"/>
              <w:bottom w:val="nil"/>
            </w:tcBorders>
          </w:tcPr>
          <w:p w14:paraId="4463308A" w14:textId="56EEB85F" w:rsidR="00173C91" w:rsidRPr="004C78D8" w:rsidRDefault="00173C91" w:rsidP="00FB7C1F">
            <w:pPr>
              <w:jc w:val="center"/>
              <w:rPr>
                <w:sz w:val="20"/>
                <w:szCs w:val="20"/>
              </w:rPr>
            </w:pPr>
            <w:r w:rsidRPr="004C78D8">
              <w:rPr>
                <w:sz w:val="20"/>
                <w:szCs w:val="20"/>
              </w:rPr>
              <w:t>52.7</w:t>
            </w:r>
          </w:p>
        </w:tc>
        <w:tc>
          <w:tcPr>
            <w:tcW w:w="1486" w:type="pct"/>
            <w:tcBorders>
              <w:top w:val="nil"/>
              <w:bottom w:val="nil"/>
            </w:tcBorders>
          </w:tcPr>
          <w:p w14:paraId="2C49EC82" w14:textId="0FAE28A2" w:rsidR="00173C91" w:rsidRPr="004C78D8" w:rsidRDefault="005E6E3F" w:rsidP="00FB7C1F">
            <w:pPr>
              <w:jc w:val="left"/>
              <w:rPr>
                <w:sz w:val="20"/>
                <w:szCs w:val="20"/>
              </w:rPr>
            </w:pPr>
            <w:r w:rsidRPr="004C78D8">
              <w:rPr>
                <w:sz w:val="20"/>
                <w:szCs w:val="20"/>
              </w:rPr>
              <w:t>Mild/moderate pain most of the time</w:t>
            </w:r>
          </w:p>
        </w:tc>
        <w:tc>
          <w:tcPr>
            <w:tcW w:w="916" w:type="pct"/>
            <w:tcBorders>
              <w:top w:val="nil"/>
              <w:bottom w:val="nil"/>
            </w:tcBorders>
          </w:tcPr>
          <w:p w14:paraId="2B0310EB" w14:textId="7276DDA5" w:rsidR="00173C91" w:rsidRPr="004C78D8" w:rsidRDefault="00173C91" w:rsidP="00FB7C1F">
            <w:pPr>
              <w:jc w:val="center"/>
              <w:rPr>
                <w:sz w:val="20"/>
                <w:szCs w:val="20"/>
              </w:rPr>
            </w:pPr>
            <w:r w:rsidRPr="004C78D8">
              <w:rPr>
                <w:sz w:val="20"/>
                <w:szCs w:val="20"/>
              </w:rPr>
              <w:t>31.8</w:t>
            </w:r>
          </w:p>
        </w:tc>
      </w:tr>
      <w:tr w:rsidR="00173C91" w:rsidRPr="004C78D8" w14:paraId="05A0DDC5" w14:textId="77777777" w:rsidTr="00E35893">
        <w:tc>
          <w:tcPr>
            <w:tcW w:w="787" w:type="pct"/>
            <w:vMerge/>
            <w:tcBorders>
              <w:right w:val="nil"/>
            </w:tcBorders>
          </w:tcPr>
          <w:p w14:paraId="7ED578F3" w14:textId="77777777" w:rsidR="00173C91" w:rsidRPr="004C78D8" w:rsidRDefault="00173C91" w:rsidP="00FB7C1F">
            <w:pPr>
              <w:jc w:val="left"/>
              <w:rPr>
                <w:sz w:val="20"/>
                <w:szCs w:val="20"/>
              </w:rPr>
            </w:pPr>
          </w:p>
        </w:tc>
        <w:tc>
          <w:tcPr>
            <w:tcW w:w="944" w:type="pct"/>
            <w:tcBorders>
              <w:top w:val="nil"/>
              <w:left w:val="nil"/>
              <w:bottom w:val="single" w:sz="4" w:space="0" w:color="auto"/>
            </w:tcBorders>
          </w:tcPr>
          <w:p w14:paraId="5E8E0C85" w14:textId="675FC2ED" w:rsidR="00173C91" w:rsidRPr="004C78D8" w:rsidRDefault="00173C91" w:rsidP="00FB7C1F">
            <w:pPr>
              <w:jc w:val="left"/>
              <w:rPr>
                <w:sz w:val="20"/>
                <w:szCs w:val="20"/>
              </w:rPr>
            </w:pPr>
            <w:r w:rsidRPr="004C78D8">
              <w:rPr>
                <w:sz w:val="20"/>
                <w:szCs w:val="20"/>
              </w:rPr>
              <w:t>Extreme</w:t>
            </w:r>
          </w:p>
        </w:tc>
        <w:tc>
          <w:tcPr>
            <w:tcW w:w="867" w:type="pct"/>
            <w:tcBorders>
              <w:top w:val="nil"/>
              <w:bottom w:val="single" w:sz="4" w:space="0" w:color="auto"/>
            </w:tcBorders>
          </w:tcPr>
          <w:p w14:paraId="0A83291B" w14:textId="7E7848BA" w:rsidR="00173C91" w:rsidRPr="004C78D8" w:rsidRDefault="00173C91" w:rsidP="00FB7C1F">
            <w:pPr>
              <w:jc w:val="center"/>
              <w:rPr>
                <w:sz w:val="20"/>
                <w:szCs w:val="20"/>
              </w:rPr>
            </w:pPr>
            <w:r w:rsidRPr="004C78D8">
              <w:rPr>
                <w:sz w:val="20"/>
                <w:szCs w:val="20"/>
              </w:rPr>
              <w:t>9.2</w:t>
            </w:r>
          </w:p>
        </w:tc>
        <w:tc>
          <w:tcPr>
            <w:tcW w:w="1486" w:type="pct"/>
            <w:tcBorders>
              <w:top w:val="nil"/>
              <w:bottom w:val="single" w:sz="4" w:space="0" w:color="auto"/>
            </w:tcBorders>
          </w:tcPr>
          <w:p w14:paraId="64CC9BAA" w14:textId="08DF5607" w:rsidR="00173C91" w:rsidRPr="004C78D8" w:rsidRDefault="005E6E3F" w:rsidP="00FB7C1F">
            <w:pPr>
              <w:jc w:val="left"/>
              <w:rPr>
                <w:sz w:val="20"/>
                <w:szCs w:val="20"/>
              </w:rPr>
            </w:pPr>
            <w:r w:rsidRPr="004C78D8">
              <w:rPr>
                <w:sz w:val="20"/>
                <w:szCs w:val="20"/>
              </w:rPr>
              <w:t>Severe pain most of the time</w:t>
            </w:r>
          </w:p>
        </w:tc>
        <w:tc>
          <w:tcPr>
            <w:tcW w:w="916" w:type="pct"/>
            <w:tcBorders>
              <w:top w:val="nil"/>
              <w:bottom w:val="single" w:sz="4" w:space="0" w:color="auto"/>
            </w:tcBorders>
          </w:tcPr>
          <w:p w14:paraId="187CC511" w14:textId="5BF5AA39" w:rsidR="00173C91" w:rsidRPr="004C78D8" w:rsidRDefault="00173C91" w:rsidP="00FB7C1F">
            <w:pPr>
              <w:jc w:val="center"/>
              <w:rPr>
                <w:sz w:val="20"/>
                <w:szCs w:val="20"/>
              </w:rPr>
            </w:pPr>
            <w:r w:rsidRPr="004C78D8">
              <w:rPr>
                <w:sz w:val="20"/>
                <w:szCs w:val="20"/>
              </w:rPr>
              <w:t>8.6</w:t>
            </w:r>
          </w:p>
        </w:tc>
      </w:tr>
      <w:tr w:rsidR="00173C91" w:rsidRPr="004C78D8" w14:paraId="7CA1CCC7" w14:textId="77777777" w:rsidTr="00E35893">
        <w:tc>
          <w:tcPr>
            <w:tcW w:w="787" w:type="pct"/>
            <w:vMerge w:val="restart"/>
            <w:tcBorders>
              <w:right w:val="nil"/>
            </w:tcBorders>
          </w:tcPr>
          <w:p w14:paraId="00017397" w14:textId="3606AF99" w:rsidR="00173C91" w:rsidRPr="004C78D8" w:rsidRDefault="00173C91" w:rsidP="00FB7C1F">
            <w:pPr>
              <w:jc w:val="left"/>
              <w:rPr>
                <w:sz w:val="20"/>
                <w:szCs w:val="20"/>
              </w:rPr>
            </w:pPr>
            <w:r w:rsidRPr="004C78D8">
              <w:rPr>
                <w:sz w:val="20"/>
                <w:szCs w:val="20"/>
              </w:rPr>
              <w:t>Anxiety; depression</w:t>
            </w:r>
          </w:p>
        </w:tc>
        <w:tc>
          <w:tcPr>
            <w:tcW w:w="944" w:type="pct"/>
            <w:tcBorders>
              <w:left w:val="nil"/>
              <w:bottom w:val="nil"/>
            </w:tcBorders>
          </w:tcPr>
          <w:p w14:paraId="52BC09A6" w14:textId="13716BC0" w:rsidR="00173C91" w:rsidRPr="004C78D8" w:rsidRDefault="00173C91" w:rsidP="00FB7C1F">
            <w:pPr>
              <w:jc w:val="left"/>
              <w:rPr>
                <w:sz w:val="20"/>
                <w:szCs w:val="20"/>
              </w:rPr>
            </w:pPr>
            <w:r w:rsidRPr="004C78D8">
              <w:rPr>
                <w:sz w:val="20"/>
                <w:szCs w:val="20"/>
              </w:rPr>
              <w:t>No</w:t>
            </w:r>
          </w:p>
        </w:tc>
        <w:tc>
          <w:tcPr>
            <w:tcW w:w="867" w:type="pct"/>
            <w:tcBorders>
              <w:bottom w:val="nil"/>
            </w:tcBorders>
          </w:tcPr>
          <w:p w14:paraId="12CAFC13" w14:textId="26B1899A" w:rsidR="00173C91" w:rsidRPr="004C78D8" w:rsidRDefault="00173C91" w:rsidP="00FB7C1F">
            <w:pPr>
              <w:jc w:val="center"/>
              <w:rPr>
                <w:sz w:val="20"/>
                <w:szCs w:val="20"/>
              </w:rPr>
            </w:pPr>
            <w:r w:rsidRPr="004C78D8">
              <w:rPr>
                <w:sz w:val="20"/>
                <w:szCs w:val="20"/>
              </w:rPr>
              <w:t>76.7</w:t>
            </w:r>
          </w:p>
        </w:tc>
        <w:tc>
          <w:tcPr>
            <w:tcW w:w="1486" w:type="pct"/>
            <w:tcBorders>
              <w:bottom w:val="nil"/>
            </w:tcBorders>
          </w:tcPr>
          <w:p w14:paraId="10353348" w14:textId="5968BF66" w:rsidR="00173C91" w:rsidRPr="004C78D8" w:rsidRDefault="005E6E3F" w:rsidP="00FB7C1F">
            <w:pPr>
              <w:jc w:val="left"/>
              <w:rPr>
                <w:sz w:val="20"/>
                <w:szCs w:val="20"/>
              </w:rPr>
            </w:pPr>
            <w:r w:rsidRPr="004C78D8">
              <w:rPr>
                <w:sz w:val="20"/>
                <w:szCs w:val="20"/>
              </w:rPr>
              <w:t>Not (1) or (2)</w:t>
            </w:r>
          </w:p>
        </w:tc>
        <w:tc>
          <w:tcPr>
            <w:tcW w:w="916" w:type="pct"/>
            <w:tcBorders>
              <w:bottom w:val="nil"/>
            </w:tcBorders>
          </w:tcPr>
          <w:p w14:paraId="63FD047B" w14:textId="043F819C" w:rsidR="00173C91" w:rsidRPr="004C78D8" w:rsidRDefault="00173C91" w:rsidP="00FB7C1F">
            <w:pPr>
              <w:jc w:val="center"/>
              <w:rPr>
                <w:sz w:val="20"/>
                <w:szCs w:val="20"/>
              </w:rPr>
            </w:pPr>
            <w:r w:rsidRPr="004C78D8">
              <w:rPr>
                <w:sz w:val="20"/>
                <w:szCs w:val="20"/>
              </w:rPr>
              <w:t>82.4</w:t>
            </w:r>
          </w:p>
        </w:tc>
      </w:tr>
      <w:tr w:rsidR="00173C91" w:rsidRPr="004C78D8" w14:paraId="3CE89F0B" w14:textId="77777777" w:rsidTr="00E35893">
        <w:tc>
          <w:tcPr>
            <w:tcW w:w="787" w:type="pct"/>
            <w:vMerge/>
            <w:tcBorders>
              <w:right w:val="nil"/>
            </w:tcBorders>
          </w:tcPr>
          <w:p w14:paraId="55A10A37" w14:textId="77777777" w:rsidR="00173C91" w:rsidRPr="004C78D8" w:rsidRDefault="00173C91" w:rsidP="00FB7C1F">
            <w:pPr>
              <w:jc w:val="left"/>
              <w:rPr>
                <w:sz w:val="20"/>
                <w:szCs w:val="20"/>
              </w:rPr>
            </w:pPr>
          </w:p>
        </w:tc>
        <w:tc>
          <w:tcPr>
            <w:tcW w:w="944" w:type="pct"/>
            <w:tcBorders>
              <w:top w:val="nil"/>
              <w:left w:val="nil"/>
              <w:bottom w:val="nil"/>
            </w:tcBorders>
          </w:tcPr>
          <w:p w14:paraId="1E11D59F" w14:textId="5129993B" w:rsidR="00173C91" w:rsidRPr="004C78D8" w:rsidRDefault="00173C91" w:rsidP="00FB7C1F">
            <w:pPr>
              <w:jc w:val="left"/>
              <w:rPr>
                <w:sz w:val="20"/>
                <w:szCs w:val="20"/>
              </w:rPr>
            </w:pPr>
            <w:r w:rsidRPr="004C78D8">
              <w:rPr>
                <w:sz w:val="20"/>
                <w:szCs w:val="20"/>
              </w:rPr>
              <w:t>Some</w:t>
            </w:r>
          </w:p>
        </w:tc>
        <w:tc>
          <w:tcPr>
            <w:tcW w:w="867" w:type="pct"/>
            <w:tcBorders>
              <w:top w:val="nil"/>
              <w:bottom w:val="nil"/>
            </w:tcBorders>
          </w:tcPr>
          <w:p w14:paraId="2D3CEEFC" w14:textId="6F8F48F4" w:rsidR="00173C91" w:rsidRPr="004C78D8" w:rsidRDefault="00173C91" w:rsidP="00FB7C1F">
            <w:pPr>
              <w:jc w:val="center"/>
              <w:rPr>
                <w:sz w:val="20"/>
                <w:szCs w:val="20"/>
              </w:rPr>
            </w:pPr>
            <w:r w:rsidRPr="004C78D8">
              <w:rPr>
                <w:sz w:val="20"/>
                <w:szCs w:val="20"/>
              </w:rPr>
              <w:t>21.8</w:t>
            </w:r>
          </w:p>
        </w:tc>
        <w:tc>
          <w:tcPr>
            <w:tcW w:w="1486" w:type="pct"/>
            <w:tcBorders>
              <w:top w:val="nil"/>
              <w:bottom w:val="nil"/>
            </w:tcBorders>
          </w:tcPr>
          <w:p w14:paraId="15A8F232" w14:textId="17F9A803" w:rsidR="00173C91" w:rsidRPr="004C78D8" w:rsidRDefault="005E6E3F" w:rsidP="00FB7C1F">
            <w:pPr>
              <w:jc w:val="left"/>
              <w:rPr>
                <w:sz w:val="20"/>
                <w:szCs w:val="20"/>
              </w:rPr>
            </w:pPr>
            <w:r w:rsidRPr="004C78D8">
              <w:rPr>
                <w:sz w:val="20"/>
                <w:szCs w:val="20"/>
              </w:rPr>
              <w:t>(1) Feels what happens in life is often beyond control</w:t>
            </w:r>
          </w:p>
        </w:tc>
        <w:tc>
          <w:tcPr>
            <w:tcW w:w="916" w:type="pct"/>
            <w:tcBorders>
              <w:top w:val="nil"/>
              <w:bottom w:val="nil"/>
            </w:tcBorders>
          </w:tcPr>
          <w:p w14:paraId="0D6027EE" w14:textId="35401AE4" w:rsidR="00173C91" w:rsidRPr="004C78D8" w:rsidRDefault="00173C91" w:rsidP="00FB7C1F">
            <w:pPr>
              <w:jc w:val="center"/>
              <w:rPr>
                <w:sz w:val="20"/>
                <w:szCs w:val="20"/>
              </w:rPr>
            </w:pPr>
            <w:r w:rsidRPr="004C78D8">
              <w:rPr>
                <w:sz w:val="20"/>
                <w:szCs w:val="20"/>
              </w:rPr>
              <w:t>15.6</w:t>
            </w:r>
          </w:p>
        </w:tc>
      </w:tr>
      <w:tr w:rsidR="00173C91" w:rsidRPr="004C78D8" w14:paraId="64565AED" w14:textId="77777777" w:rsidTr="00E35893">
        <w:tc>
          <w:tcPr>
            <w:tcW w:w="787" w:type="pct"/>
            <w:vMerge/>
            <w:tcBorders>
              <w:right w:val="nil"/>
            </w:tcBorders>
          </w:tcPr>
          <w:p w14:paraId="4764D53F" w14:textId="77777777" w:rsidR="00173C91" w:rsidRPr="004C78D8" w:rsidRDefault="00173C91" w:rsidP="00FB7C1F">
            <w:pPr>
              <w:jc w:val="left"/>
              <w:rPr>
                <w:sz w:val="20"/>
                <w:szCs w:val="20"/>
              </w:rPr>
            </w:pPr>
          </w:p>
        </w:tc>
        <w:tc>
          <w:tcPr>
            <w:tcW w:w="944" w:type="pct"/>
            <w:tcBorders>
              <w:top w:val="nil"/>
              <w:left w:val="nil"/>
            </w:tcBorders>
          </w:tcPr>
          <w:p w14:paraId="0255BD6A" w14:textId="2E0F3868" w:rsidR="00173C91" w:rsidRPr="004C78D8" w:rsidRDefault="00173C91" w:rsidP="00FB7C1F">
            <w:pPr>
              <w:jc w:val="left"/>
              <w:rPr>
                <w:sz w:val="20"/>
                <w:szCs w:val="20"/>
              </w:rPr>
            </w:pPr>
            <w:r w:rsidRPr="004C78D8">
              <w:rPr>
                <w:sz w:val="20"/>
                <w:szCs w:val="20"/>
              </w:rPr>
              <w:t>Extreme</w:t>
            </w:r>
          </w:p>
        </w:tc>
        <w:tc>
          <w:tcPr>
            <w:tcW w:w="867" w:type="pct"/>
            <w:tcBorders>
              <w:top w:val="nil"/>
            </w:tcBorders>
          </w:tcPr>
          <w:p w14:paraId="2E5031B9" w14:textId="08EEE762" w:rsidR="00173C91" w:rsidRPr="004C78D8" w:rsidRDefault="00173C91" w:rsidP="00FB7C1F">
            <w:pPr>
              <w:jc w:val="center"/>
              <w:rPr>
                <w:sz w:val="20"/>
                <w:szCs w:val="20"/>
              </w:rPr>
            </w:pPr>
            <w:r w:rsidRPr="004C78D8">
              <w:rPr>
                <w:sz w:val="20"/>
                <w:szCs w:val="20"/>
              </w:rPr>
              <w:t>1.5</w:t>
            </w:r>
          </w:p>
        </w:tc>
        <w:tc>
          <w:tcPr>
            <w:tcW w:w="1486" w:type="pct"/>
            <w:tcBorders>
              <w:top w:val="nil"/>
            </w:tcBorders>
          </w:tcPr>
          <w:p w14:paraId="5590521C" w14:textId="084B126E" w:rsidR="00173C91" w:rsidRPr="004C78D8" w:rsidRDefault="005E6E3F" w:rsidP="00FB7C1F">
            <w:pPr>
              <w:jc w:val="left"/>
              <w:rPr>
                <w:sz w:val="20"/>
                <w:szCs w:val="20"/>
              </w:rPr>
            </w:pPr>
            <w:r w:rsidRPr="004C78D8">
              <w:rPr>
                <w:sz w:val="20"/>
                <w:szCs w:val="20"/>
              </w:rPr>
              <w:t>(2) Diagnosis of psychiatric problem of anxiety</w:t>
            </w:r>
          </w:p>
        </w:tc>
        <w:tc>
          <w:tcPr>
            <w:tcW w:w="916" w:type="pct"/>
            <w:tcBorders>
              <w:top w:val="nil"/>
            </w:tcBorders>
          </w:tcPr>
          <w:p w14:paraId="1CAAED17" w14:textId="68B1086A" w:rsidR="00173C91" w:rsidRPr="004C78D8" w:rsidRDefault="00173C91" w:rsidP="00FB7C1F">
            <w:pPr>
              <w:jc w:val="center"/>
              <w:rPr>
                <w:sz w:val="20"/>
                <w:szCs w:val="20"/>
              </w:rPr>
            </w:pPr>
            <w:r w:rsidRPr="004C78D8">
              <w:rPr>
                <w:sz w:val="20"/>
                <w:szCs w:val="20"/>
              </w:rPr>
              <w:t>2.0</w:t>
            </w:r>
          </w:p>
        </w:tc>
      </w:tr>
      <w:tr w:rsidR="00173C91" w:rsidRPr="004C78D8" w14:paraId="60F65057" w14:textId="77777777" w:rsidTr="00E35893">
        <w:tc>
          <w:tcPr>
            <w:tcW w:w="5000" w:type="pct"/>
            <w:gridSpan w:val="5"/>
          </w:tcPr>
          <w:p w14:paraId="695A0BDA" w14:textId="301394BA" w:rsidR="001438B3" w:rsidRPr="004C78D8" w:rsidRDefault="00D10D5E" w:rsidP="00FB7C1F">
            <w:pPr>
              <w:jc w:val="left"/>
              <w:rPr>
                <w:sz w:val="18"/>
                <w:szCs w:val="18"/>
                <w:vertAlign w:val="superscript"/>
              </w:rPr>
            </w:pPr>
            <w:r w:rsidRPr="004C78D8">
              <w:rPr>
                <w:b/>
                <w:bCs/>
                <w:sz w:val="18"/>
                <w:szCs w:val="18"/>
              </w:rPr>
              <w:t>Abbreviation</w:t>
            </w:r>
            <w:r w:rsidR="001438B3" w:rsidRPr="004C78D8">
              <w:rPr>
                <w:b/>
                <w:bCs/>
                <w:sz w:val="18"/>
                <w:szCs w:val="18"/>
              </w:rPr>
              <w:t>:</w:t>
            </w:r>
            <w:r w:rsidR="001438B3" w:rsidRPr="004C78D8">
              <w:rPr>
                <w:sz w:val="18"/>
                <w:szCs w:val="18"/>
              </w:rPr>
              <w:t xml:space="preserve"> ADL: activities of daily living; ELSA: English Longitudinal Study of Ageing; HSE: Health Survey for England; IADL: instrumental activities of daily living</w:t>
            </w:r>
            <w:r w:rsidR="001438B3" w:rsidRPr="004C78D8">
              <w:rPr>
                <w:sz w:val="18"/>
                <w:szCs w:val="18"/>
                <w:vertAlign w:val="superscript"/>
              </w:rPr>
              <w:t xml:space="preserve"> </w:t>
            </w:r>
          </w:p>
          <w:p w14:paraId="31BAA91B" w14:textId="140524F3" w:rsidR="00173C91" w:rsidRPr="004C78D8" w:rsidRDefault="00173C91" w:rsidP="00FB7C1F">
            <w:pPr>
              <w:jc w:val="left"/>
              <w:rPr>
                <w:sz w:val="18"/>
                <w:szCs w:val="18"/>
              </w:rPr>
            </w:pPr>
            <w:r w:rsidRPr="004C78D8">
              <w:rPr>
                <w:sz w:val="18"/>
                <w:szCs w:val="18"/>
                <w:vertAlign w:val="superscript"/>
              </w:rPr>
              <w:t>1</w:t>
            </w:r>
            <w:r w:rsidRPr="004C78D8">
              <w:rPr>
                <w:sz w:val="18"/>
                <w:szCs w:val="18"/>
              </w:rPr>
              <w:t xml:space="preserve"> Data reported in </w:t>
            </w:r>
            <w:r w:rsidR="00706057" w:rsidRPr="004C78D8">
              <w:rPr>
                <w:sz w:val="18"/>
                <w:szCs w:val="18"/>
              </w:rPr>
              <w:t xml:space="preserve">Janssen and Szende (2014) </w:t>
            </w:r>
            <w:r w:rsidR="00706057" w:rsidRPr="004C78D8">
              <w:rPr>
                <w:sz w:val="18"/>
                <w:szCs w:val="18"/>
              </w:rPr>
              <w:fldChar w:fldCharType="begin"/>
            </w:r>
            <w:r w:rsidR="00C630FC" w:rsidRPr="004C78D8">
              <w:rPr>
                <w:sz w:val="18"/>
                <w:szCs w:val="18"/>
              </w:rPr>
              <w:instrText xml:space="preserve"> ADDIN EN.CITE &lt;EndNote&gt;&lt;Cite&gt;&lt;Author&gt;Janssen&lt;/Author&gt;&lt;Year&gt;2014&lt;/Year&gt;&lt;RecNum&gt;118&lt;/RecNum&gt;&lt;DisplayText&gt;[393]&lt;/DisplayText&gt;&lt;record&gt;&lt;rec-number&gt;118&lt;/rec-number&gt;&lt;foreign-keys&gt;&lt;key app="EN" db-id="tdtrdw9aepptzbefsat599syza29sxsd2wsp" timestamp="1598552518"&gt;118&lt;/key&gt;&lt;/foreign-keys&gt;&lt;ref-type name="Book Section"&gt;5&lt;/ref-type&gt;&lt;contributors&gt;&lt;authors&gt;&lt;author&gt;Janssen, Bas&lt;/author&gt;&lt;author&gt;Szende, Agota&lt;/author&gt;&lt;/authors&gt;&lt;/contributors&gt;&lt;titles&gt;&lt;title&gt;Population norms for the EQ-5D&lt;/title&gt;&lt;secondary-title&gt;Self-reported population health: an international perspective based on EQ-5D&lt;/secondary-title&gt;&lt;/titles&gt;&lt;pages&gt;19-30&lt;/pages&gt;&lt;dates&gt;&lt;year&gt;2014&lt;/year&gt;&lt;/dates&gt;&lt;publisher&gt;Springer&lt;/publisher&gt;&lt;urls&gt;&lt;/urls&gt;&lt;/record&gt;&lt;/Cite&gt;&lt;/EndNote&gt;</w:instrText>
            </w:r>
            <w:r w:rsidR="00706057" w:rsidRPr="004C78D8">
              <w:rPr>
                <w:sz w:val="18"/>
                <w:szCs w:val="18"/>
              </w:rPr>
              <w:fldChar w:fldCharType="separate"/>
            </w:r>
            <w:r w:rsidR="00C630FC" w:rsidRPr="004C78D8">
              <w:rPr>
                <w:noProof/>
                <w:sz w:val="18"/>
                <w:szCs w:val="18"/>
              </w:rPr>
              <w:t>[393]</w:t>
            </w:r>
            <w:r w:rsidR="00706057" w:rsidRPr="004C78D8">
              <w:rPr>
                <w:sz w:val="18"/>
                <w:szCs w:val="18"/>
              </w:rPr>
              <w:fldChar w:fldCharType="end"/>
            </w:r>
            <w:r w:rsidR="001438B3" w:rsidRPr="004C78D8">
              <w:rPr>
                <w:sz w:val="18"/>
                <w:szCs w:val="18"/>
              </w:rPr>
              <w:t>.</w:t>
            </w:r>
          </w:p>
        </w:tc>
      </w:tr>
    </w:tbl>
    <w:p w14:paraId="45163394" w14:textId="054B64FF" w:rsidR="00B36210" w:rsidRPr="004C78D8" w:rsidRDefault="00B36210" w:rsidP="00FB7C1F"/>
    <w:p w14:paraId="386E50EC" w14:textId="59E86040" w:rsidR="00B36210" w:rsidRPr="004C78D8" w:rsidRDefault="003B24BC" w:rsidP="00FB7C1F">
      <w:r w:rsidRPr="004C78D8">
        <w:t>Having chosen</w:t>
      </w:r>
      <w:r w:rsidR="000B3519" w:rsidRPr="004C78D8">
        <w:t xml:space="preserve"> the proxy variables, the time trade-off valuation set elicited from a representative UK adult population </w:t>
      </w:r>
      <w:r w:rsidR="00F52356" w:rsidRPr="004C78D8">
        <w:fldChar w:fldCharType="begin"/>
      </w:r>
      <w:r w:rsidR="00C630FC" w:rsidRPr="004C78D8">
        <w:instrText xml:space="preserve"> ADDIN EN.CITE &lt;EndNote&gt;&lt;Cite&gt;&lt;Author&gt;Kind&lt;/Author&gt;&lt;Year&gt;1999&lt;/Year&gt;&lt;RecNum&gt;116&lt;/RecNum&gt;&lt;DisplayText&gt;[397]&lt;/DisplayText&gt;&lt;record&gt;&lt;rec-number&gt;116&lt;/rec-number&gt;&lt;foreign-keys&gt;&lt;key app="EN" db-id="tdtrdw9aepptzbefsat599syza29sxsd2wsp" timestamp="1598551946"&gt;116&lt;/key&gt;&lt;/foreign-keys&gt;&lt;ref-type name="Report"&gt;27&lt;/ref-type&gt;&lt;contributors&gt;&lt;authors&gt;&lt;author&gt;Kind, Paul&lt;/author&gt;&lt;author&gt;Hardman, Geoffrey&lt;/author&gt;&lt;author&gt;Macran, Susan&lt;/author&gt;&lt;/authors&gt;&lt;/contributors&gt;&lt;titles&gt;&lt;title&gt;UK population norms for EQ-5D&lt;/title&gt;&lt;/titles&gt;&lt;dates&gt;&lt;year&gt;1999&lt;/year&gt;&lt;/dates&gt;&lt;urls&gt;&lt;/urls&gt;&lt;/record&gt;&lt;/Cite&gt;&lt;/EndNote&gt;</w:instrText>
      </w:r>
      <w:r w:rsidR="00F52356" w:rsidRPr="004C78D8">
        <w:fldChar w:fldCharType="separate"/>
      </w:r>
      <w:r w:rsidR="00C630FC" w:rsidRPr="004C78D8">
        <w:rPr>
          <w:noProof/>
        </w:rPr>
        <w:t>[397]</w:t>
      </w:r>
      <w:r w:rsidR="00F52356" w:rsidRPr="004C78D8">
        <w:fldChar w:fldCharType="end"/>
      </w:r>
      <w:r w:rsidR="000B3519" w:rsidRPr="004C78D8">
        <w:t xml:space="preserve"> was applied to derive the preference-based EQ-5D index scores. </w:t>
      </w:r>
      <w:r w:rsidR="00F22E6A" w:rsidRPr="004C78D8">
        <w:t xml:space="preserve">This was the same valuation set as that applied in the HSE </w:t>
      </w:r>
      <w:r w:rsidR="00F52356" w:rsidRPr="004C78D8">
        <w:t xml:space="preserve">studies </w:t>
      </w:r>
      <w:r w:rsidR="00F52356" w:rsidRPr="004C78D8">
        <w:fldChar w:fldCharType="begin"/>
      </w:r>
      <w:r w:rsidR="00C630FC" w:rsidRPr="004C78D8">
        <w:instrText xml:space="preserve"> ADDIN EN.CITE &lt;EndNote&gt;&lt;Cite&gt;&lt;Author&gt;Janssen&lt;/Author&gt;&lt;Year&gt;2014&lt;/Year&gt;&lt;RecNum&gt;118&lt;/RecNum&gt;&lt;DisplayText&gt;[393, 394]&lt;/DisplayText&gt;&lt;record&gt;&lt;rec-number&gt;118&lt;/rec-number&gt;&lt;foreign-keys&gt;&lt;key app="EN" db-id="tdtrdw9aepptzbefsat599syza29sxsd2wsp" timestamp="1598552518"&gt;118&lt;/key&gt;&lt;/foreign-keys&gt;&lt;ref-type name="Book Section"&gt;5&lt;/ref-type&gt;&lt;contributors&gt;&lt;authors&gt;&lt;author&gt;Janssen, Bas&lt;/author&gt;&lt;author&gt;Szende, Agota&lt;/author&gt;&lt;/authors&gt;&lt;/contributors&gt;&lt;titles&gt;&lt;title&gt;Population norms for the EQ-5D&lt;/title&gt;&lt;secondary-title&gt;Self-reported population health: an international perspective based on EQ-5D&lt;/secondary-title&gt;&lt;/titles&gt;&lt;pages&gt;19-30&lt;/pages&gt;&lt;dates&gt;&lt;year&gt;2014&lt;/year&gt;&lt;/dates&gt;&lt;publisher&gt;Springer&lt;/publisher&gt;&lt;urls&gt;&lt;/urls&gt;&lt;/record&gt;&lt;/Cite&gt;&lt;Cite&gt;&lt;Author&gt;Ara&lt;/Author&gt;&lt;Year&gt;2011&lt;/Year&gt;&lt;RecNum&gt;120&lt;/RecNum&gt;&lt;record&gt;&lt;rec-number&gt;120&lt;/rec-number&gt;&lt;foreign-keys&gt;&lt;key app="EN" db-id="tdtrdw9aepptzbefsat599syza29sxsd2wsp" timestamp="1598613435"&gt;120&lt;/key&gt;&lt;/foreign-keys&gt;&lt;ref-type name="Journal Article"&gt;17&lt;/ref-type&gt;&lt;contributors&gt;&lt;authors&gt;&lt;author&gt;Ara, Roberta&lt;/author&gt;&lt;author&gt;Brazier, John E&lt;/author&gt;&lt;/authors&gt;&lt;/contributors&gt;&lt;titles&gt;&lt;title&gt;Using health state utility values from the general population to approximate baselines in decision analytic models when condition-specific data are not available&lt;/title&gt;&lt;secondary-title&gt;Value in Health&lt;/secondary-title&gt;&lt;/titles&gt;&lt;periodical&gt;&lt;full-title&gt;Value in Health&lt;/full-title&gt;&lt;/periodical&gt;&lt;pages&gt;539-545&lt;/pages&gt;&lt;volume&gt;14&lt;/volume&gt;&lt;number&gt;4&lt;/number&gt;&lt;dates&gt;&lt;year&gt;2011&lt;/year&gt;&lt;/dates&gt;&lt;isbn&gt;1098-3015&lt;/isbn&gt;&lt;urls&gt;&lt;/urls&gt;&lt;/record&gt;&lt;/Cite&gt;&lt;/EndNote&gt;</w:instrText>
      </w:r>
      <w:r w:rsidR="00F52356" w:rsidRPr="004C78D8">
        <w:fldChar w:fldCharType="separate"/>
      </w:r>
      <w:r w:rsidR="00C630FC" w:rsidRPr="004C78D8">
        <w:rPr>
          <w:noProof/>
        </w:rPr>
        <w:t>[393, 394]</w:t>
      </w:r>
      <w:r w:rsidR="00F52356" w:rsidRPr="004C78D8">
        <w:fldChar w:fldCharType="end"/>
      </w:r>
      <w:r w:rsidR="00F22E6A" w:rsidRPr="004C78D8">
        <w:t xml:space="preserve">. </w:t>
      </w:r>
      <w:r w:rsidR="00EB0C58" w:rsidRPr="004C78D8">
        <w:t xml:space="preserve">Table </w:t>
      </w:r>
      <w:r w:rsidR="00D34803" w:rsidRPr="004C78D8">
        <w:t>5</w:t>
      </w:r>
      <w:r w:rsidR="00F52356" w:rsidRPr="004C78D8">
        <w:t>.1</w:t>
      </w:r>
      <w:r w:rsidR="003276DE" w:rsidRPr="004C78D8">
        <w:t>3</w:t>
      </w:r>
      <w:r w:rsidR="00EB0C58" w:rsidRPr="004C78D8">
        <w:t xml:space="preserve"> </w:t>
      </w:r>
      <w:r w:rsidR="000B3519" w:rsidRPr="004C78D8">
        <w:t>shows the means and 95% confidence intervals for the index scores reported in HSE 2008 for age groups 65-74 and 75</w:t>
      </w:r>
      <w:r w:rsidR="00592286" w:rsidRPr="004C78D8">
        <w:t>+</w:t>
      </w:r>
      <w:r w:rsidR="00F52356" w:rsidRPr="004C78D8">
        <w:t xml:space="preserve"> </w:t>
      </w:r>
      <w:r w:rsidR="00F52356" w:rsidRPr="004C78D8">
        <w:fldChar w:fldCharType="begin"/>
      </w:r>
      <w:r w:rsidR="00C630FC" w:rsidRPr="004C78D8">
        <w:instrText xml:space="preserve"> ADDIN EN.CITE &lt;EndNote&gt;&lt;Cite&gt;&lt;Author&gt;Janssen&lt;/Author&gt;&lt;Year&gt;2014&lt;/Year&gt;&lt;RecNum&gt;118&lt;/RecNum&gt;&lt;DisplayText&gt;[393]&lt;/DisplayText&gt;&lt;record&gt;&lt;rec-number&gt;118&lt;/rec-number&gt;&lt;foreign-keys&gt;&lt;key app="EN" db-id="tdtrdw9aepptzbefsat599syza29sxsd2wsp" timestamp="1598552518"&gt;118&lt;/key&gt;&lt;/foreign-keys&gt;&lt;ref-type name="Book Section"&gt;5&lt;/ref-type&gt;&lt;contributors&gt;&lt;authors&gt;&lt;author&gt;Janssen, Bas&lt;/author&gt;&lt;author&gt;Szende, Agota&lt;/author&gt;&lt;/authors&gt;&lt;/contributors&gt;&lt;titles&gt;&lt;title&gt;Population norms for the EQ-5D&lt;/title&gt;&lt;secondary-title&gt;Self-reported population health: an international perspective based on EQ-5D&lt;/secondary-title&gt;&lt;/titles&gt;&lt;pages&gt;19-30&lt;/pages&gt;&lt;dates&gt;&lt;year&gt;2014&lt;/year&gt;&lt;/dates&gt;&lt;publisher&gt;Springer&lt;/publisher&gt;&lt;urls&gt;&lt;/urls&gt;&lt;/record&gt;&lt;/Cite&gt;&lt;/EndNote&gt;</w:instrText>
      </w:r>
      <w:r w:rsidR="00F52356" w:rsidRPr="004C78D8">
        <w:fldChar w:fldCharType="separate"/>
      </w:r>
      <w:r w:rsidR="00C630FC" w:rsidRPr="004C78D8">
        <w:rPr>
          <w:noProof/>
        </w:rPr>
        <w:t>[393]</w:t>
      </w:r>
      <w:r w:rsidR="00F52356" w:rsidRPr="004C78D8">
        <w:fldChar w:fldCharType="end"/>
      </w:r>
      <w:r w:rsidR="000B3519" w:rsidRPr="004C78D8">
        <w:t xml:space="preserve">. </w:t>
      </w:r>
      <w:r w:rsidR="00205562" w:rsidRPr="004C78D8">
        <w:t xml:space="preserve">There </w:t>
      </w:r>
      <w:r w:rsidR="00881E0C" w:rsidRPr="004C78D8">
        <w:t>were</w:t>
      </w:r>
      <w:r w:rsidR="00205562" w:rsidRPr="004C78D8">
        <w:t xml:space="preserve"> close overlaps between the HSE 2008 means and those estimated from ELSA </w:t>
      </w:r>
      <w:r w:rsidR="00D80A9C" w:rsidRPr="004C78D8">
        <w:t xml:space="preserve">Wave 4 (also conducted in year 2008) </w:t>
      </w:r>
      <w:r w:rsidR="00205562" w:rsidRPr="004C78D8">
        <w:t xml:space="preserve">for both age groups. </w:t>
      </w:r>
      <w:r w:rsidR="008831C2" w:rsidRPr="004C78D8">
        <w:t xml:space="preserve">The ELSA estimates were further compared to those reported by Ara and Brazier who pooled four HSE cross-sections </w:t>
      </w:r>
      <w:r w:rsidR="00AF4DEE" w:rsidRPr="004C78D8">
        <w:t xml:space="preserve">between 2003 and 2006 </w:t>
      </w:r>
      <w:r w:rsidR="00F52356" w:rsidRPr="004C78D8">
        <w:fldChar w:fldCharType="begin"/>
      </w:r>
      <w:r w:rsidR="00C630FC" w:rsidRPr="004C78D8">
        <w:instrText xml:space="preserve"> ADDIN EN.CITE &lt;EndNote&gt;&lt;Cite&gt;&lt;Author&gt;Ara&lt;/Author&gt;&lt;Year&gt;2011&lt;/Year&gt;&lt;RecNum&gt;120&lt;/RecNum&gt;&lt;DisplayText&gt;[394]&lt;/DisplayText&gt;&lt;record&gt;&lt;rec-number&gt;120&lt;/rec-number&gt;&lt;foreign-keys&gt;&lt;key app="EN" db-id="tdtrdw9aepptzbefsat599syza29sxsd2wsp" timestamp="1598613435"&gt;120&lt;/key&gt;&lt;/foreign-keys&gt;&lt;ref-type name="Journal Article"&gt;17&lt;/ref-type&gt;&lt;contributors&gt;&lt;authors&gt;&lt;author&gt;Ara, Roberta&lt;/author&gt;&lt;author&gt;Brazier, John E&lt;/author&gt;&lt;/authors&gt;&lt;/contributors&gt;&lt;titles&gt;&lt;title&gt;Using health state utility values from the general population to approximate baselines in decision analytic models when condition-specific data are not available&lt;/title&gt;&lt;secondary-title&gt;Value in Health&lt;/secondary-title&gt;&lt;/titles&gt;&lt;periodical&gt;&lt;full-title&gt;Value in Health&lt;/full-title&gt;&lt;/periodical&gt;&lt;pages&gt;539-545&lt;/pages&gt;&lt;volume&gt;14&lt;/volume&gt;&lt;number&gt;4&lt;/number&gt;&lt;dates&gt;&lt;year&gt;2011&lt;/year&gt;&lt;/dates&gt;&lt;isbn&gt;1098-3015&lt;/isbn&gt;&lt;urls&gt;&lt;/urls&gt;&lt;/record&gt;&lt;/Cite&gt;&lt;/EndNote&gt;</w:instrText>
      </w:r>
      <w:r w:rsidR="00F52356" w:rsidRPr="004C78D8">
        <w:fldChar w:fldCharType="separate"/>
      </w:r>
      <w:r w:rsidR="00C630FC" w:rsidRPr="004C78D8">
        <w:rPr>
          <w:noProof/>
        </w:rPr>
        <w:t>[394]</w:t>
      </w:r>
      <w:r w:rsidR="00F52356" w:rsidRPr="004C78D8">
        <w:fldChar w:fldCharType="end"/>
      </w:r>
      <w:r w:rsidR="00AF4DEE" w:rsidRPr="004C78D8">
        <w:t xml:space="preserve">. </w:t>
      </w:r>
      <w:r w:rsidR="00881E0C" w:rsidRPr="004C78D8">
        <w:t xml:space="preserve">There were reasonable overlaps between the two sets of estimates, with the ELSA means falling within the 95% confidence intervals of HSE 2003-2006 for each </w:t>
      </w:r>
      <w:r w:rsidR="00592286" w:rsidRPr="004C78D8">
        <w:t>five</w:t>
      </w:r>
      <w:r w:rsidR="00881E0C" w:rsidRPr="004C78D8">
        <w:t xml:space="preserve">-year age group. </w:t>
      </w:r>
    </w:p>
    <w:tbl>
      <w:tblPr>
        <w:tblStyle w:val="TableGrid"/>
        <w:tblW w:w="5000" w:type="pct"/>
        <w:tblLook w:val="04A0" w:firstRow="1" w:lastRow="0" w:firstColumn="1" w:lastColumn="0" w:noHBand="0" w:noVBand="1"/>
      </w:tblPr>
      <w:tblGrid>
        <w:gridCol w:w="1077"/>
        <w:gridCol w:w="911"/>
        <w:gridCol w:w="1170"/>
        <w:gridCol w:w="1172"/>
        <w:gridCol w:w="1172"/>
        <w:gridCol w:w="1170"/>
        <w:gridCol w:w="1172"/>
        <w:gridCol w:w="1172"/>
      </w:tblGrid>
      <w:tr w:rsidR="005C0BAF" w:rsidRPr="004C78D8" w14:paraId="3E5CF5E5" w14:textId="77777777" w:rsidTr="00E35893">
        <w:tc>
          <w:tcPr>
            <w:tcW w:w="5000" w:type="pct"/>
            <w:gridSpan w:val="8"/>
          </w:tcPr>
          <w:p w14:paraId="05EBB3CA" w14:textId="42C15835" w:rsidR="005C0BAF" w:rsidRPr="004C78D8" w:rsidRDefault="005C0BAF" w:rsidP="00FB7C1F">
            <w:r w:rsidRPr="004C78D8">
              <w:rPr>
                <w:b/>
                <w:bCs/>
              </w:rPr>
              <w:t xml:space="preserve">Table </w:t>
            </w:r>
            <w:r w:rsidR="00D34803" w:rsidRPr="004C78D8">
              <w:rPr>
                <w:b/>
                <w:bCs/>
              </w:rPr>
              <w:t>5</w:t>
            </w:r>
            <w:r w:rsidR="00F52356" w:rsidRPr="004C78D8">
              <w:rPr>
                <w:b/>
                <w:bCs/>
              </w:rPr>
              <w:t>.1</w:t>
            </w:r>
            <w:r w:rsidR="0028032C" w:rsidRPr="004C78D8">
              <w:rPr>
                <w:b/>
                <w:bCs/>
              </w:rPr>
              <w:t>3</w:t>
            </w:r>
            <w:r w:rsidRPr="004C78D8">
              <w:t xml:space="preserve"> Comparison between general population EQ-5D values estimated from ELSA </w:t>
            </w:r>
            <w:r w:rsidR="00002987" w:rsidRPr="004C78D8">
              <w:t xml:space="preserve">Wave 4 </w:t>
            </w:r>
            <w:r w:rsidRPr="004C78D8">
              <w:t xml:space="preserve">and those reported in Health Survey </w:t>
            </w:r>
            <w:r w:rsidR="005B2D2B" w:rsidRPr="004C78D8">
              <w:t xml:space="preserve">for </w:t>
            </w:r>
            <w:r w:rsidRPr="004C78D8">
              <w:t>England</w:t>
            </w:r>
            <w:r w:rsidR="00F52356" w:rsidRPr="004C78D8">
              <w:t xml:space="preserve">. </w:t>
            </w:r>
          </w:p>
        </w:tc>
      </w:tr>
      <w:tr w:rsidR="005C0BAF" w:rsidRPr="004C78D8" w14:paraId="0DA1EAAD" w14:textId="77777777" w:rsidTr="00E35893">
        <w:tc>
          <w:tcPr>
            <w:tcW w:w="597" w:type="pct"/>
            <w:tcBorders>
              <w:right w:val="nil"/>
            </w:tcBorders>
          </w:tcPr>
          <w:p w14:paraId="7A43D00E" w14:textId="4F4496B6" w:rsidR="005C0BAF" w:rsidRPr="004C78D8" w:rsidRDefault="005C0BAF" w:rsidP="00FB7C1F">
            <w:pPr>
              <w:rPr>
                <w:b/>
                <w:bCs/>
                <w:sz w:val="20"/>
                <w:szCs w:val="20"/>
              </w:rPr>
            </w:pPr>
          </w:p>
        </w:tc>
        <w:tc>
          <w:tcPr>
            <w:tcW w:w="505" w:type="pct"/>
            <w:tcBorders>
              <w:left w:val="nil"/>
              <w:bottom w:val="single" w:sz="4" w:space="0" w:color="auto"/>
              <w:right w:val="nil"/>
            </w:tcBorders>
          </w:tcPr>
          <w:p w14:paraId="0F521DCC" w14:textId="228C451B" w:rsidR="005C0BAF" w:rsidRPr="004C78D8" w:rsidRDefault="005C0BAF" w:rsidP="00FB7C1F">
            <w:pPr>
              <w:rPr>
                <w:sz w:val="20"/>
                <w:szCs w:val="20"/>
              </w:rPr>
            </w:pPr>
          </w:p>
        </w:tc>
        <w:tc>
          <w:tcPr>
            <w:tcW w:w="649" w:type="pct"/>
            <w:tcBorders>
              <w:left w:val="nil"/>
              <w:bottom w:val="single" w:sz="4" w:space="0" w:color="auto"/>
              <w:right w:val="nil"/>
            </w:tcBorders>
          </w:tcPr>
          <w:p w14:paraId="5C4DD926" w14:textId="4B5B3AF7" w:rsidR="005C0BAF" w:rsidRPr="004C78D8" w:rsidRDefault="005C0BAF" w:rsidP="00FB7C1F">
            <w:pPr>
              <w:rPr>
                <w:sz w:val="20"/>
                <w:szCs w:val="20"/>
              </w:rPr>
            </w:pPr>
            <w:r w:rsidRPr="004C78D8">
              <w:rPr>
                <w:sz w:val="20"/>
                <w:szCs w:val="20"/>
              </w:rPr>
              <w:t>Age 6</w:t>
            </w:r>
            <w:r w:rsidR="00C13A42" w:rsidRPr="004C78D8">
              <w:rPr>
                <w:sz w:val="20"/>
                <w:szCs w:val="20"/>
              </w:rPr>
              <w:t>5</w:t>
            </w:r>
            <w:r w:rsidRPr="004C78D8">
              <w:rPr>
                <w:sz w:val="20"/>
                <w:szCs w:val="20"/>
              </w:rPr>
              <w:t>-</w:t>
            </w:r>
            <w:r w:rsidR="00C13A42" w:rsidRPr="004C78D8">
              <w:rPr>
                <w:sz w:val="20"/>
                <w:szCs w:val="20"/>
              </w:rPr>
              <w:t>7</w:t>
            </w:r>
            <w:r w:rsidRPr="004C78D8">
              <w:rPr>
                <w:sz w:val="20"/>
                <w:szCs w:val="20"/>
              </w:rPr>
              <w:t>4</w:t>
            </w:r>
          </w:p>
        </w:tc>
        <w:tc>
          <w:tcPr>
            <w:tcW w:w="650" w:type="pct"/>
            <w:tcBorders>
              <w:left w:val="nil"/>
              <w:bottom w:val="single" w:sz="4" w:space="0" w:color="auto"/>
              <w:right w:val="nil"/>
            </w:tcBorders>
          </w:tcPr>
          <w:p w14:paraId="31906FEE" w14:textId="017DF764" w:rsidR="005C0BAF" w:rsidRPr="004C78D8" w:rsidRDefault="00C13A42" w:rsidP="00FB7C1F">
            <w:pPr>
              <w:rPr>
                <w:sz w:val="20"/>
                <w:szCs w:val="20"/>
              </w:rPr>
            </w:pPr>
            <w:r w:rsidRPr="004C78D8">
              <w:rPr>
                <w:sz w:val="20"/>
                <w:szCs w:val="20"/>
              </w:rPr>
              <w:t>Age 75+</w:t>
            </w:r>
          </w:p>
        </w:tc>
        <w:tc>
          <w:tcPr>
            <w:tcW w:w="650" w:type="pct"/>
            <w:tcBorders>
              <w:left w:val="nil"/>
              <w:bottom w:val="single" w:sz="4" w:space="0" w:color="auto"/>
              <w:right w:val="nil"/>
            </w:tcBorders>
          </w:tcPr>
          <w:p w14:paraId="0D22D13C" w14:textId="5E4355F7" w:rsidR="005C0BAF" w:rsidRPr="004C78D8" w:rsidRDefault="005C0BAF" w:rsidP="00FB7C1F">
            <w:pPr>
              <w:rPr>
                <w:sz w:val="20"/>
                <w:szCs w:val="20"/>
              </w:rPr>
            </w:pPr>
          </w:p>
        </w:tc>
        <w:tc>
          <w:tcPr>
            <w:tcW w:w="649" w:type="pct"/>
            <w:tcBorders>
              <w:left w:val="nil"/>
              <w:bottom w:val="single" w:sz="4" w:space="0" w:color="auto"/>
              <w:right w:val="nil"/>
            </w:tcBorders>
          </w:tcPr>
          <w:p w14:paraId="0BC1A120" w14:textId="0837C313" w:rsidR="005C0BAF" w:rsidRPr="004C78D8" w:rsidRDefault="005C0BAF" w:rsidP="00FB7C1F">
            <w:pPr>
              <w:rPr>
                <w:sz w:val="20"/>
                <w:szCs w:val="20"/>
              </w:rPr>
            </w:pPr>
          </w:p>
        </w:tc>
        <w:tc>
          <w:tcPr>
            <w:tcW w:w="650" w:type="pct"/>
            <w:tcBorders>
              <w:left w:val="nil"/>
              <w:bottom w:val="single" w:sz="4" w:space="0" w:color="auto"/>
              <w:right w:val="nil"/>
            </w:tcBorders>
          </w:tcPr>
          <w:p w14:paraId="1E4EF031" w14:textId="05CC431F" w:rsidR="005C0BAF" w:rsidRPr="004C78D8" w:rsidRDefault="005C0BAF" w:rsidP="00FB7C1F">
            <w:pPr>
              <w:rPr>
                <w:sz w:val="20"/>
                <w:szCs w:val="20"/>
              </w:rPr>
            </w:pPr>
          </w:p>
        </w:tc>
        <w:tc>
          <w:tcPr>
            <w:tcW w:w="650" w:type="pct"/>
            <w:tcBorders>
              <w:left w:val="nil"/>
              <w:bottom w:val="single" w:sz="4" w:space="0" w:color="auto"/>
            </w:tcBorders>
          </w:tcPr>
          <w:p w14:paraId="556137AE" w14:textId="588873B8" w:rsidR="005C0BAF" w:rsidRPr="004C78D8" w:rsidRDefault="005C0BAF" w:rsidP="00FB7C1F">
            <w:pPr>
              <w:rPr>
                <w:sz w:val="20"/>
                <w:szCs w:val="20"/>
              </w:rPr>
            </w:pPr>
          </w:p>
        </w:tc>
      </w:tr>
      <w:tr w:rsidR="00811325" w:rsidRPr="004C78D8" w14:paraId="30E11786" w14:textId="77777777" w:rsidTr="00E35893">
        <w:tc>
          <w:tcPr>
            <w:tcW w:w="597" w:type="pct"/>
            <w:vMerge w:val="restart"/>
          </w:tcPr>
          <w:p w14:paraId="6E7CBD97" w14:textId="3BFA3A83" w:rsidR="00811325" w:rsidRPr="004C78D8" w:rsidRDefault="000F5942" w:rsidP="00FB7C1F">
            <w:pPr>
              <w:jc w:val="left"/>
              <w:rPr>
                <w:sz w:val="18"/>
                <w:szCs w:val="18"/>
              </w:rPr>
            </w:pPr>
            <w:r w:rsidRPr="004C78D8">
              <w:rPr>
                <w:sz w:val="18"/>
                <w:szCs w:val="18"/>
              </w:rPr>
              <w:t>HSE 2008</w:t>
            </w:r>
            <w:r w:rsidR="009F07E7" w:rsidRPr="004C78D8">
              <w:rPr>
                <w:sz w:val="18"/>
                <w:szCs w:val="18"/>
                <w:vertAlign w:val="superscript"/>
              </w:rPr>
              <w:t>1</w:t>
            </w:r>
          </w:p>
        </w:tc>
        <w:tc>
          <w:tcPr>
            <w:tcW w:w="505" w:type="pct"/>
            <w:tcBorders>
              <w:bottom w:val="nil"/>
              <w:right w:val="nil"/>
            </w:tcBorders>
          </w:tcPr>
          <w:p w14:paraId="17B4A7DF" w14:textId="15293EA9" w:rsidR="00811325" w:rsidRPr="004C78D8" w:rsidRDefault="00811325" w:rsidP="00FB7C1F">
            <w:pPr>
              <w:jc w:val="left"/>
              <w:rPr>
                <w:sz w:val="18"/>
                <w:szCs w:val="18"/>
              </w:rPr>
            </w:pPr>
            <w:r w:rsidRPr="004C78D8">
              <w:rPr>
                <w:sz w:val="18"/>
                <w:szCs w:val="18"/>
              </w:rPr>
              <w:t>Mean</w:t>
            </w:r>
          </w:p>
        </w:tc>
        <w:tc>
          <w:tcPr>
            <w:tcW w:w="649" w:type="pct"/>
            <w:tcBorders>
              <w:left w:val="nil"/>
              <w:bottom w:val="nil"/>
              <w:right w:val="nil"/>
            </w:tcBorders>
          </w:tcPr>
          <w:p w14:paraId="0898D242" w14:textId="2C27698E" w:rsidR="00811325" w:rsidRPr="004C78D8" w:rsidRDefault="00C13A42" w:rsidP="00FB7C1F">
            <w:pPr>
              <w:rPr>
                <w:sz w:val="18"/>
                <w:szCs w:val="18"/>
              </w:rPr>
            </w:pPr>
            <w:r w:rsidRPr="004C78D8">
              <w:rPr>
                <w:sz w:val="18"/>
                <w:szCs w:val="18"/>
              </w:rPr>
              <w:t>0.784</w:t>
            </w:r>
          </w:p>
        </w:tc>
        <w:tc>
          <w:tcPr>
            <w:tcW w:w="650" w:type="pct"/>
            <w:tcBorders>
              <w:left w:val="nil"/>
              <w:bottom w:val="nil"/>
              <w:right w:val="nil"/>
            </w:tcBorders>
          </w:tcPr>
          <w:p w14:paraId="69C6E2F3" w14:textId="5B934E69" w:rsidR="00811325" w:rsidRPr="004C78D8" w:rsidRDefault="00C13A42" w:rsidP="00FB7C1F">
            <w:pPr>
              <w:rPr>
                <w:sz w:val="18"/>
                <w:szCs w:val="18"/>
              </w:rPr>
            </w:pPr>
            <w:r w:rsidRPr="004C78D8">
              <w:rPr>
                <w:sz w:val="18"/>
                <w:szCs w:val="18"/>
              </w:rPr>
              <w:t>0.717</w:t>
            </w:r>
          </w:p>
        </w:tc>
        <w:tc>
          <w:tcPr>
            <w:tcW w:w="650" w:type="pct"/>
            <w:tcBorders>
              <w:left w:val="nil"/>
              <w:bottom w:val="nil"/>
              <w:right w:val="nil"/>
            </w:tcBorders>
          </w:tcPr>
          <w:p w14:paraId="0DFD6E3B" w14:textId="77777777" w:rsidR="00811325" w:rsidRPr="004C78D8" w:rsidRDefault="00811325" w:rsidP="00FB7C1F">
            <w:pPr>
              <w:rPr>
                <w:sz w:val="18"/>
                <w:szCs w:val="18"/>
              </w:rPr>
            </w:pPr>
          </w:p>
        </w:tc>
        <w:tc>
          <w:tcPr>
            <w:tcW w:w="649" w:type="pct"/>
            <w:tcBorders>
              <w:left w:val="nil"/>
              <w:bottom w:val="nil"/>
              <w:right w:val="nil"/>
            </w:tcBorders>
          </w:tcPr>
          <w:p w14:paraId="4E7A7AC4" w14:textId="77777777" w:rsidR="00811325" w:rsidRPr="004C78D8" w:rsidRDefault="00811325" w:rsidP="00FB7C1F">
            <w:pPr>
              <w:rPr>
                <w:sz w:val="18"/>
                <w:szCs w:val="18"/>
              </w:rPr>
            </w:pPr>
          </w:p>
        </w:tc>
        <w:tc>
          <w:tcPr>
            <w:tcW w:w="650" w:type="pct"/>
            <w:tcBorders>
              <w:left w:val="nil"/>
              <w:bottom w:val="nil"/>
              <w:right w:val="nil"/>
            </w:tcBorders>
          </w:tcPr>
          <w:p w14:paraId="4BC486EC" w14:textId="77777777" w:rsidR="00811325" w:rsidRPr="004C78D8" w:rsidRDefault="00811325" w:rsidP="00FB7C1F">
            <w:pPr>
              <w:rPr>
                <w:sz w:val="18"/>
                <w:szCs w:val="18"/>
              </w:rPr>
            </w:pPr>
          </w:p>
        </w:tc>
        <w:tc>
          <w:tcPr>
            <w:tcW w:w="650" w:type="pct"/>
            <w:tcBorders>
              <w:left w:val="nil"/>
              <w:bottom w:val="nil"/>
            </w:tcBorders>
          </w:tcPr>
          <w:p w14:paraId="4D78DDC8" w14:textId="77777777" w:rsidR="00811325" w:rsidRPr="004C78D8" w:rsidRDefault="00811325" w:rsidP="00FB7C1F">
            <w:pPr>
              <w:rPr>
                <w:sz w:val="18"/>
                <w:szCs w:val="18"/>
              </w:rPr>
            </w:pPr>
          </w:p>
        </w:tc>
      </w:tr>
      <w:tr w:rsidR="00811325" w:rsidRPr="004C78D8" w14:paraId="7FBBA402" w14:textId="77777777" w:rsidTr="00E35893">
        <w:tc>
          <w:tcPr>
            <w:tcW w:w="597" w:type="pct"/>
            <w:vMerge/>
          </w:tcPr>
          <w:p w14:paraId="1A829D3B" w14:textId="77777777" w:rsidR="00811325" w:rsidRPr="004C78D8" w:rsidRDefault="00811325" w:rsidP="00FB7C1F">
            <w:pPr>
              <w:rPr>
                <w:sz w:val="18"/>
                <w:szCs w:val="18"/>
              </w:rPr>
            </w:pPr>
          </w:p>
        </w:tc>
        <w:tc>
          <w:tcPr>
            <w:tcW w:w="505" w:type="pct"/>
            <w:tcBorders>
              <w:top w:val="nil"/>
              <w:bottom w:val="single" w:sz="4" w:space="0" w:color="auto"/>
              <w:right w:val="nil"/>
            </w:tcBorders>
          </w:tcPr>
          <w:p w14:paraId="46504FAA" w14:textId="03C03FAC" w:rsidR="00811325" w:rsidRPr="004C78D8" w:rsidRDefault="00C30141" w:rsidP="00FB7C1F">
            <w:pPr>
              <w:rPr>
                <w:sz w:val="18"/>
                <w:szCs w:val="18"/>
              </w:rPr>
            </w:pPr>
            <w:r w:rsidRPr="004C78D8">
              <w:rPr>
                <w:sz w:val="18"/>
                <w:szCs w:val="18"/>
              </w:rPr>
              <w:t>95% CInt</w:t>
            </w:r>
          </w:p>
        </w:tc>
        <w:tc>
          <w:tcPr>
            <w:tcW w:w="649" w:type="pct"/>
            <w:tcBorders>
              <w:top w:val="nil"/>
              <w:left w:val="nil"/>
              <w:bottom w:val="single" w:sz="4" w:space="0" w:color="auto"/>
              <w:right w:val="nil"/>
            </w:tcBorders>
          </w:tcPr>
          <w:p w14:paraId="120CFA63" w14:textId="67BAEA42" w:rsidR="00811325" w:rsidRPr="004C78D8" w:rsidRDefault="00C13A42" w:rsidP="00FB7C1F">
            <w:pPr>
              <w:rPr>
                <w:sz w:val="18"/>
                <w:szCs w:val="18"/>
              </w:rPr>
            </w:pPr>
            <w:r w:rsidRPr="004C78D8">
              <w:rPr>
                <w:sz w:val="18"/>
                <w:szCs w:val="18"/>
              </w:rPr>
              <w:t>0.772-0.796</w:t>
            </w:r>
          </w:p>
        </w:tc>
        <w:tc>
          <w:tcPr>
            <w:tcW w:w="650" w:type="pct"/>
            <w:tcBorders>
              <w:top w:val="nil"/>
              <w:left w:val="nil"/>
              <w:bottom w:val="single" w:sz="4" w:space="0" w:color="auto"/>
              <w:right w:val="nil"/>
            </w:tcBorders>
          </w:tcPr>
          <w:p w14:paraId="16EE6256" w14:textId="18F3831A" w:rsidR="00811325" w:rsidRPr="004C78D8" w:rsidRDefault="00C13A42" w:rsidP="00FB7C1F">
            <w:pPr>
              <w:rPr>
                <w:sz w:val="18"/>
                <w:szCs w:val="18"/>
              </w:rPr>
            </w:pPr>
            <w:r w:rsidRPr="004C78D8">
              <w:rPr>
                <w:sz w:val="18"/>
                <w:szCs w:val="18"/>
              </w:rPr>
              <w:t>0.703-0.731</w:t>
            </w:r>
          </w:p>
        </w:tc>
        <w:tc>
          <w:tcPr>
            <w:tcW w:w="650" w:type="pct"/>
            <w:tcBorders>
              <w:top w:val="nil"/>
              <w:left w:val="nil"/>
              <w:bottom w:val="single" w:sz="4" w:space="0" w:color="auto"/>
              <w:right w:val="nil"/>
            </w:tcBorders>
          </w:tcPr>
          <w:p w14:paraId="523F43D3" w14:textId="77777777" w:rsidR="00811325" w:rsidRPr="004C78D8" w:rsidRDefault="00811325" w:rsidP="00FB7C1F">
            <w:pPr>
              <w:rPr>
                <w:sz w:val="18"/>
                <w:szCs w:val="18"/>
              </w:rPr>
            </w:pPr>
          </w:p>
        </w:tc>
        <w:tc>
          <w:tcPr>
            <w:tcW w:w="649" w:type="pct"/>
            <w:tcBorders>
              <w:top w:val="nil"/>
              <w:left w:val="nil"/>
              <w:bottom w:val="single" w:sz="4" w:space="0" w:color="auto"/>
              <w:right w:val="nil"/>
            </w:tcBorders>
          </w:tcPr>
          <w:p w14:paraId="6019D389" w14:textId="77777777" w:rsidR="00811325" w:rsidRPr="004C78D8" w:rsidRDefault="00811325" w:rsidP="00FB7C1F">
            <w:pPr>
              <w:rPr>
                <w:sz w:val="18"/>
                <w:szCs w:val="18"/>
              </w:rPr>
            </w:pPr>
          </w:p>
        </w:tc>
        <w:tc>
          <w:tcPr>
            <w:tcW w:w="650" w:type="pct"/>
            <w:tcBorders>
              <w:top w:val="nil"/>
              <w:left w:val="nil"/>
              <w:bottom w:val="single" w:sz="4" w:space="0" w:color="auto"/>
              <w:right w:val="nil"/>
            </w:tcBorders>
          </w:tcPr>
          <w:p w14:paraId="59D51F76" w14:textId="77777777" w:rsidR="00811325" w:rsidRPr="004C78D8" w:rsidRDefault="00811325" w:rsidP="00FB7C1F">
            <w:pPr>
              <w:rPr>
                <w:sz w:val="18"/>
                <w:szCs w:val="18"/>
              </w:rPr>
            </w:pPr>
          </w:p>
        </w:tc>
        <w:tc>
          <w:tcPr>
            <w:tcW w:w="650" w:type="pct"/>
            <w:tcBorders>
              <w:top w:val="nil"/>
              <w:left w:val="nil"/>
              <w:bottom w:val="single" w:sz="4" w:space="0" w:color="auto"/>
            </w:tcBorders>
          </w:tcPr>
          <w:p w14:paraId="6024D2E6" w14:textId="77777777" w:rsidR="00811325" w:rsidRPr="004C78D8" w:rsidRDefault="00811325" w:rsidP="00FB7C1F">
            <w:pPr>
              <w:rPr>
                <w:sz w:val="18"/>
                <w:szCs w:val="18"/>
              </w:rPr>
            </w:pPr>
          </w:p>
        </w:tc>
      </w:tr>
      <w:tr w:rsidR="00811325" w:rsidRPr="004C78D8" w14:paraId="1A6CDAC5" w14:textId="77777777" w:rsidTr="00E35893">
        <w:tc>
          <w:tcPr>
            <w:tcW w:w="597" w:type="pct"/>
            <w:vMerge w:val="restart"/>
          </w:tcPr>
          <w:p w14:paraId="098A1A11" w14:textId="410C8720" w:rsidR="00811325" w:rsidRPr="004C78D8" w:rsidRDefault="00811325" w:rsidP="00FB7C1F">
            <w:pPr>
              <w:jc w:val="left"/>
              <w:rPr>
                <w:sz w:val="18"/>
                <w:szCs w:val="18"/>
              </w:rPr>
            </w:pPr>
            <w:r w:rsidRPr="004C78D8">
              <w:rPr>
                <w:sz w:val="18"/>
                <w:szCs w:val="18"/>
              </w:rPr>
              <w:t>ELSA estimate</w:t>
            </w:r>
          </w:p>
        </w:tc>
        <w:tc>
          <w:tcPr>
            <w:tcW w:w="505" w:type="pct"/>
            <w:tcBorders>
              <w:bottom w:val="nil"/>
              <w:right w:val="nil"/>
            </w:tcBorders>
          </w:tcPr>
          <w:p w14:paraId="715A336D" w14:textId="19919319" w:rsidR="00811325" w:rsidRPr="004C78D8" w:rsidRDefault="00811325" w:rsidP="00FB7C1F">
            <w:pPr>
              <w:rPr>
                <w:sz w:val="18"/>
                <w:szCs w:val="18"/>
              </w:rPr>
            </w:pPr>
            <w:r w:rsidRPr="004C78D8">
              <w:rPr>
                <w:sz w:val="18"/>
                <w:szCs w:val="18"/>
              </w:rPr>
              <w:t>Mean</w:t>
            </w:r>
          </w:p>
        </w:tc>
        <w:tc>
          <w:tcPr>
            <w:tcW w:w="649" w:type="pct"/>
            <w:tcBorders>
              <w:left w:val="nil"/>
              <w:bottom w:val="nil"/>
              <w:right w:val="nil"/>
            </w:tcBorders>
          </w:tcPr>
          <w:p w14:paraId="2C73C520" w14:textId="679941C4" w:rsidR="00811325" w:rsidRPr="004C78D8" w:rsidRDefault="00C13A42" w:rsidP="00FB7C1F">
            <w:pPr>
              <w:rPr>
                <w:sz w:val="18"/>
                <w:szCs w:val="18"/>
              </w:rPr>
            </w:pPr>
            <w:r w:rsidRPr="004C78D8">
              <w:rPr>
                <w:sz w:val="18"/>
                <w:szCs w:val="18"/>
              </w:rPr>
              <w:t>0.783</w:t>
            </w:r>
          </w:p>
        </w:tc>
        <w:tc>
          <w:tcPr>
            <w:tcW w:w="650" w:type="pct"/>
            <w:tcBorders>
              <w:left w:val="nil"/>
              <w:bottom w:val="nil"/>
              <w:right w:val="nil"/>
            </w:tcBorders>
          </w:tcPr>
          <w:p w14:paraId="705E1F15" w14:textId="0769686B" w:rsidR="00811325" w:rsidRPr="004C78D8" w:rsidRDefault="00C13A42" w:rsidP="00FB7C1F">
            <w:pPr>
              <w:rPr>
                <w:sz w:val="18"/>
                <w:szCs w:val="18"/>
              </w:rPr>
            </w:pPr>
            <w:r w:rsidRPr="004C78D8">
              <w:rPr>
                <w:sz w:val="18"/>
                <w:szCs w:val="18"/>
              </w:rPr>
              <w:t>0.718</w:t>
            </w:r>
          </w:p>
        </w:tc>
        <w:tc>
          <w:tcPr>
            <w:tcW w:w="650" w:type="pct"/>
            <w:tcBorders>
              <w:left w:val="nil"/>
              <w:bottom w:val="nil"/>
              <w:right w:val="nil"/>
            </w:tcBorders>
          </w:tcPr>
          <w:p w14:paraId="65DB6D40" w14:textId="77777777" w:rsidR="00811325" w:rsidRPr="004C78D8" w:rsidRDefault="00811325" w:rsidP="00FB7C1F">
            <w:pPr>
              <w:rPr>
                <w:sz w:val="18"/>
                <w:szCs w:val="18"/>
              </w:rPr>
            </w:pPr>
          </w:p>
        </w:tc>
        <w:tc>
          <w:tcPr>
            <w:tcW w:w="649" w:type="pct"/>
            <w:tcBorders>
              <w:left w:val="nil"/>
              <w:bottom w:val="nil"/>
              <w:right w:val="nil"/>
            </w:tcBorders>
          </w:tcPr>
          <w:p w14:paraId="2DFB1D92" w14:textId="77777777" w:rsidR="00811325" w:rsidRPr="004C78D8" w:rsidRDefault="00811325" w:rsidP="00FB7C1F">
            <w:pPr>
              <w:rPr>
                <w:sz w:val="18"/>
                <w:szCs w:val="18"/>
              </w:rPr>
            </w:pPr>
          </w:p>
        </w:tc>
        <w:tc>
          <w:tcPr>
            <w:tcW w:w="650" w:type="pct"/>
            <w:tcBorders>
              <w:left w:val="nil"/>
              <w:bottom w:val="nil"/>
              <w:right w:val="nil"/>
            </w:tcBorders>
          </w:tcPr>
          <w:p w14:paraId="15AA4468" w14:textId="77777777" w:rsidR="00811325" w:rsidRPr="004C78D8" w:rsidRDefault="00811325" w:rsidP="00FB7C1F">
            <w:pPr>
              <w:rPr>
                <w:sz w:val="18"/>
                <w:szCs w:val="18"/>
              </w:rPr>
            </w:pPr>
          </w:p>
        </w:tc>
        <w:tc>
          <w:tcPr>
            <w:tcW w:w="650" w:type="pct"/>
            <w:tcBorders>
              <w:left w:val="nil"/>
              <w:bottom w:val="nil"/>
            </w:tcBorders>
          </w:tcPr>
          <w:p w14:paraId="400EFF81" w14:textId="77777777" w:rsidR="00811325" w:rsidRPr="004C78D8" w:rsidRDefault="00811325" w:rsidP="00FB7C1F">
            <w:pPr>
              <w:rPr>
                <w:sz w:val="18"/>
                <w:szCs w:val="18"/>
              </w:rPr>
            </w:pPr>
          </w:p>
        </w:tc>
      </w:tr>
      <w:tr w:rsidR="00811325" w:rsidRPr="004C78D8" w14:paraId="06E5264C" w14:textId="77777777" w:rsidTr="00E35893">
        <w:tc>
          <w:tcPr>
            <w:tcW w:w="597" w:type="pct"/>
            <w:vMerge/>
            <w:tcBorders>
              <w:bottom w:val="single" w:sz="4" w:space="0" w:color="auto"/>
            </w:tcBorders>
          </w:tcPr>
          <w:p w14:paraId="0A0F17D6" w14:textId="447443A6" w:rsidR="00811325" w:rsidRPr="004C78D8" w:rsidRDefault="00811325" w:rsidP="00FB7C1F">
            <w:pPr>
              <w:rPr>
                <w:sz w:val="18"/>
                <w:szCs w:val="18"/>
              </w:rPr>
            </w:pPr>
          </w:p>
        </w:tc>
        <w:tc>
          <w:tcPr>
            <w:tcW w:w="505" w:type="pct"/>
            <w:tcBorders>
              <w:top w:val="nil"/>
              <w:bottom w:val="single" w:sz="4" w:space="0" w:color="auto"/>
              <w:right w:val="nil"/>
            </w:tcBorders>
          </w:tcPr>
          <w:p w14:paraId="14E7242B" w14:textId="0D00F8CA" w:rsidR="00811325" w:rsidRPr="004C78D8" w:rsidRDefault="00C30141" w:rsidP="00FB7C1F">
            <w:pPr>
              <w:rPr>
                <w:sz w:val="18"/>
                <w:szCs w:val="18"/>
              </w:rPr>
            </w:pPr>
            <w:r w:rsidRPr="004C78D8">
              <w:rPr>
                <w:sz w:val="18"/>
                <w:szCs w:val="18"/>
              </w:rPr>
              <w:t>95% CInt</w:t>
            </w:r>
          </w:p>
        </w:tc>
        <w:tc>
          <w:tcPr>
            <w:tcW w:w="649" w:type="pct"/>
            <w:tcBorders>
              <w:top w:val="nil"/>
              <w:left w:val="nil"/>
              <w:bottom w:val="single" w:sz="4" w:space="0" w:color="auto"/>
              <w:right w:val="nil"/>
            </w:tcBorders>
          </w:tcPr>
          <w:p w14:paraId="02633F18" w14:textId="7D7B23AF" w:rsidR="00811325" w:rsidRPr="004C78D8" w:rsidRDefault="00C13A42" w:rsidP="00FB7C1F">
            <w:pPr>
              <w:rPr>
                <w:sz w:val="18"/>
                <w:szCs w:val="18"/>
              </w:rPr>
            </w:pPr>
            <w:r w:rsidRPr="004C78D8">
              <w:rPr>
                <w:sz w:val="18"/>
                <w:szCs w:val="18"/>
              </w:rPr>
              <w:t>0.776-0.790</w:t>
            </w:r>
          </w:p>
        </w:tc>
        <w:tc>
          <w:tcPr>
            <w:tcW w:w="650" w:type="pct"/>
            <w:tcBorders>
              <w:top w:val="nil"/>
              <w:left w:val="nil"/>
              <w:bottom w:val="single" w:sz="4" w:space="0" w:color="auto"/>
              <w:right w:val="nil"/>
            </w:tcBorders>
          </w:tcPr>
          <w:p w14:paraId="34783B69" w14:textId="375C0008" w:rsidR="00811325" w:rsidRPr="004C78D8" w:rsidRDefault="00C13A42" w:rsidP="00FB7C1F">
            <w:pPr>
              <w:rPr>
                <w:sz w:val="18"/>
                <w:szCs w:val="18"/>
              </w:rPr>
            </w:pPr>
            <w:r w:rsidRPr="004C78D8">
              <w:rPr>
                <w:sz w:val="18"/>
                <w:szCs w:val="18"/>
              </w:rPr>
              <w:t>0.710-0.726</w:t>
            </w:r>
          </w:p>
        </w:tc>
        <w:tc>
          <w:tcPr>
            <w:tcW w:w="650" w:type="pct"/>
            <w:tcBorders>
              <w:top w:val="nil"/>
              <w:left w:val="nil"/>
              <w:bottom w:val="single" w:sz="4" w:space="0" w:color="auto"/>
              <w:right w:val="nil"/>
            </w:tcBorders>
          </w:tcPr>
          <w:p w14:paraId="038BEDC3" w14:textId="77777777" w:rsidR="00811325" w:rsidRPr="004C78D8" w:rsidRDefault="00811325" w:rsidP="00FB7C1F">
            <w:pPr>
              <w:rPr>
                <w:sz w:val="18"/>
                <w:szCs w:val="18"/>
              </w:rPr>
            </w:pPr>
          </w:p>
        </w:tc>
        <w:tc>
          <w:tcPr>
            <w:tcW w:w="649" w:type="pct"/>
            <w:tcBorders>
              <w:top w:val="nil"/>
              <w:left w:val="nil"/>
              <w:bottom w:val="single" w:sz="4" w:space="0" w:color="auto"/>
              <w:right w:val="nil"/>
            </w:tcBorders>
          </w:tcPr>
          <w:p w14:paraId="2A2D0850" w14:textId="77777777" w:rsidR="00811325" w:rsidRPr="004C78D8" w:rsidRDefault="00811325" w:rsidP="00FB7C1F">
            <w:pPr>
              <w:rPr>
                <w:sz w:val="18"/>
                <w:szCs w:val="18"/>
              </w:rPr>
            </w:pPr>
          </w:p>
        </w:tc>
        <w:tc>
          <w:tcPr>
            <w:tcW w:w="650" w:type="pct"/>
            <w:tcBorders>
              <w:top w:val="nil"/>
              <w:left w:val="nil"/>
              <w:bottom w:val="single" w:sz="4" w:space="0" w:color="auto"/>
              <w:right w:val="nil"/>
            </w:tcBorders>
          </w:tcPr>
          <w:p w14:paraId="1CA4C0ED" w14:textId="77777777" w:rsidR="00811325" w:rsidRPr="004C78D8" w:rsidRDefault="00811325" w:rsidP="00FB7C1F">
            <w:pPr>
              <w:rPr>
                <w:sz w:val="18"/>
                <w:szCs w:val="18"/>
              </w:rPr>
            </w:pPr>
          </w:p>
        </w:tc>
        <w:tc>
          <w:tcPr>
            <w:tcW w:w="650" w:type="pct"/>
            <w:tcBorders>
              <w:top w:val="nil"/>
              <w:left w:val="nil"/>
              <w:bottom w:val="single" w:sz="4" w:space="0" w:color="auto"/>
            </w:tcBorders>
          </w:tcPr>
          <w:p w14:paraId="778A1218" w14:textId="77777777" w:rsidR="00811325" w:rsidRPr="004C78D8" w:rsidRDefault="00811325" w:rsidP="00FB7C1F">
            <w:pPr>
              <w:rPr>
                <w:sz w:val="18"/>
                <w:szCs w:val="18"/>
              </w:rPr>
            </w:pPr>
          </w:p>
        </w:tc>
      </w:tr>
      <w:tr w:rsidR="00C13A42" w:rsidRPr="004C78D8" w14:paraId="17586507" w14:textId="77777777" w:rsidTr="00E35893">
        <w:tc>
          <w:tcPr>
            <w:tcW w:w="597" w:type="pct"/>
            <w:tcBorders>
              <w:right w:val="nil"/>
            </w:tcBorders>
          </w:tcPr>
          <w:p w14:paraId="718C041E" w14:textId="2C84CB64" w:rsidR="00C13A42" w:rsidRPr="004C78D8" w:rsidRDefault="00C13A42" w:rsidP="00FB7C1F">
            <w:pPr>
              <w:rPr>
                <w:sz w:val="18"/>
                <w:szCs w:val="18"/>
              </w:rPr>
            </w:pPr>
          </w:p>
        </w:tc>
        <w:tc>
          <w:tcPr>
            <w:tcW w:w="505" w:type="pct"/>
            <w:tcBorders>
              <w:left w:val="nil"/>
              <w:bottom w:val="single" w:sz="4" w:space="0" w:color="auto"/>
              <w:right w:val="nil"/>
            </w:tcBorders>
          </w:tcPr>
          <w:p w14:paraId="2386F37A" w14:textId="3ADC325C" w:rsidR="00C13A42" w:rsidRPr="004C78D8" w:rsidRDefault="00C13A42" w:rsidP="00FB7C1F">
            <w:pPr>
              <w:rPr>
                <w:sz w:val="18"/>
                <w:szCs w:val="18"/>
              </w:rPr>
            </w:pPr>
          </w:p>
        </w:tc>
        <w:tc>
          <w:tcPr>
            <w:tcW w:w="649" w:type="pct"/>
            <w:tcBorders>
              <w:left w:val="nil"/>
              <w:bottom w:val="single" w:sz="4" w:space="0" w:color="auto"/>
              <w:right w:val="nil"/>
            </w:tcBorders>
          </w:tcPr>
          <w:p w14:paraId="0B375D79" w14:textId="322CE249" w:rsidR="00C13A42" w:rsidRPr="004C78D8" w:rsidRDefault="00C13A42" w:rsidP="00FB7C1F">
            <w:pPr>
              <w:rPr>
                <w:sz w:val="18"/>
                <w:szCs w:val="18"/>
              </w:rPr>
            </w:pPr>
            <w:r w:rsidRPr="004C78D8">
              <w:rPr>
                <w:sz w:val="20"/>
                <w:szCs w:val="20"/>
              </w:rPr>
              <w:t>Age 60-64</w:t>
            </w:r>
          </w:p>
        </w:tc>
        <w:tc>
          <w:tcPr>
            <w:tcW w:w="650" w:type="pct"/>
            <w:tcBorders>
              <w:left w:val="nil"/>
              <w:bottom w:val="single" w:sz="4" w:space="0" w:color="auto"/>
              <w:right w:val="nil"/>
            </w:tcBorders>
          </w:tcPr>
          <w:p w14:paraId="6609AFBD" w14:textId="7EF1D48C" w:rsidR="00C13A42" w:rsidRPr="004C78D8" w:rsidRDefault="00C13A42" w:rsidP="00FB7C1F">
            <w:pPr>
              <w:rPr>
                <w:sz w:val="18"/>
                <w:szCs w:val="18"/>
              </w:rPr>
            </w:pPr>
            <w:r w:rsidRPr="004C78D8">
              <w:rPr>
                <w:sz w:val="20"/>
                <w:szCs w:val="20"/>
              </w:rPr>
              <w:t>Age 65-69</w:t>
            </w:r>
          </w:p>
        </w:tc>
        <w:tc>
          <w:tcPr>
            <w:tcW w:w="650" w:type="pct"/>
            <w:tcBorders>
              <w:left w:val="nil"/>
              <w:bottom w:val="single" w:sz="4" w:space="0" w:color="auto"/>
              <w:right w:val="nil"/>
            </w:tcBorders>
          </w:tcPr>
          <w:p w14:paraId="1CA7DC20" w14:textId="1E73EA62" w:rsidR="00C13A42" w:rsidRPr="004C78D8" w:rsidRDefault="00C13A42" w:rsidP="00FB7C1F">
            <w:pPr>
              <w:rPr>
                <w:sz w:val="18"/>
                <w:szCs w:val="18"/>
              </w:rPr>
            </w:pPr>
            <w:r w:rsidRPr="004C78D8">
              <w:rPr>
                <w:sz w:val="20"/>
                <w:szCs w:val="20"/>
              </w:rPr>
              <w:t>Age 70-74</w:t>
            </w:r>
          </w:p>
        </w:tc>
        <w:tc>
          <w:tcPr>
            <w:tcW w:w="649" w:type="pct"/>
            <w:tcBorders>
              <w:left w:val="nil"/>
              <w:bottom w:val="single" w:sz="4" w:space="0" w:color="auto"/>
              <w:right w:val="nil"/>
            </w:tcBorders>
          </w:tcPr>
          <w:p w14:paraId="6EB471C4" w14:textId="5FF37E40" w:rsidR="00C13A42" w:rsidRPr="004C78D8" w:rsidRDefault="00C13A42" w:rsidP="00FB7C1F">
            <w:pPr>
              <w:rPr>
                <w:sz w:val="18"/>
                <w:szCs w:val="18"/>
              </w:rPr>
            </w:pPr>
            <w:r w:rsidRPr="004C78D8">
              <w:rPr>
                <w:sz w:val="20"/>
                <w:szCs w:val="20"/>
              </w:rPr>
              <w:t>Age 75-79</w:t>
            </w:r>
          </w:p>
        </w:tc>
        <w:tc>
          <w:tcPr>
            <w:tcW w:w="650" w:type="pct"/>
            <w:tcBorders>
              <w:left w:val="nil"/>
              <w:bottom w:val="single" w:sz="4" w:space="0" w:color="auto"/>
              <w:right w:val="nil"/>
            </w:tcBorders>
          </w:tcPr>
          <w:p w14:paraId="1B7D6A9C" w14:textId="1B3F567D" w:rsidR="00C13A42" w:rsidRPr="004C78D8" w:rsidRDefault="00C13A42" w:rsidP="00FB7C1F">
            <w:pPr>
              <w:rPr>
                <w:sz w:val="18"/>
                <w:szCs w:val="18"/>
              </w:rPr>
            </w:pPr>
            <w:r w:rsidRPr="004C78D8">
              <w:rPr>
                <w:sz w:val="20"/>
                <w:szCs w:val="20"/>
              </w:rPr>
              <w:t>Age 80-84</w:t>
            </w:r>
          </w:p>
        </w:tc>
        <w:tc>
          <w:tcPr>
            <w:tcW w:w="650" w:type="pct"/>
            <w:tcBorders>
              <w:left w:val="nil"/>
              <w:bottom w:val="single" w:sz="4" w:space="0" w:color="auto"/>
            </w:tcBorders>
          </w:tcPr>
          <w:p w14:paraId="356FA6A2" w14:textId="67E5A8D6" w:rsidR="00C13A42" w:rsidRPr="004C78D8" w:rsidRDefault="00C13A42" w:rsidP="00FB7C1F">
            <w:pPr>
              <w:rPr>
                <w:sz w:val="18"/>
                <w:szCs w:val="18"/>
              </w:rPr>
            </w:pPr>
            <w:r w:rsidRPr="004C78D8">
              <w:rPr>
                <w:sz w:val="20"/>
                <w:szCs w:val="20"/>
              </w:rPr>
              <w:t>Age 85+</w:t>
            </w:r>
          </w:p>
        </w:tc>
      </w:tr>
      <w:tr w:rsidR="00175D88" w:rsidRPr="004C78D8" w14:paraId="4182C0BC" w14:textId="77777777" w:rsidTr="00E35893">
        <w:tc>
          <w:tcPr>
            <w:tcW w:w="597" w:type="pct"/>
            <w:vMerge w:val="restart"/>
          </w:tcPr>
          <w:p w14:paraId="7C04B2C0" w14:textId="760F2D43" w:rsidR="00175D88" w:rsidRPr="004C78D8" w:rsidRDefault="000F5942" w:rsidP="00FB7C1F">
            <w:pPr>
              <w:jc w:val="left"/>
              <w:rPr>
                <w:sz w:val="18"/>
                <w:szCs w:val="18"/>
              </w:rPr>
            </w:pPr>
            <w:r w:rsidRPr="004C78D8">
              <w:rPr>
                <w:sz w:val="18"/>
                <w:szCs w:val="18"/>
              </w:rPr>
              <w:t>HSE 2003-2006</w:t>
            </w:r>
            <w:r w:rsidR="009F07E7" w:rsidRPr="004C78D8">
              <w:rPr>
                <w:sz w:val="18"/>
                <w:szCs w:val="18"/>
                <w:vertAlign w:val="superscript"/>
              </w:rPr>
              <w:t>2</w:t>
            </w:r>
          </w:p>
        </w:tc>
        <w:tc>
          <w:tcPr>
            <w:tcW w:w="505" w:type="pct"/>
            <w:tcBorders>
              <w:bottom w:val="nil"/>
              <w:right w:val="nil"/>
            </w:tcBorders>
          </w:tcPr>
          <w:p w14:paraId="5B4A7AAA" w14:textId="678EA823" w:rsidR="00175D88" w:rsidRPr="004C78D8" w:rsidRDefault="00175D88" w:rsidP="00FB7C1F">
            <w:pPr>
              <w:rPr>
                <w:sz w:val="18"/>
                <w:szCs w:val="18"/>
              </w:rPr>
            </w:pPr>
            <w:r w:rsidRPr="004C78D8">
              <w:rPr>
                <w:sz w:val="18"/>
                <w:szCs w:val="18"/>
              </w:rPr>
              <w:t>Mean</w:t>
            </w:r>
          </w:p>
        </w:tc>
        <w:tc>
          <w:tcPr>
            <w:tcW w:w="649" w:type="pct"/>
            <w:tcBorders>
              <w:left w:val="nil"/>
              <w:bottom w:val="nil"/>
              <w:right w:val="nil"/>
            </w:tcBorders>
          </w:tcPr>
          <w:p w14:paraId="5350C2F8" w14:textId="66D536CF" w:rsidR="00175D88" w:rsidRPr="004C78D8" w:rsidRDefault="00175D88" w:rsidP="00FB7C1F">
            <w:pPr>
              <w:rPr>
                <w:sz w:val="18"/>
                <w:szCs w:val="18"/>
              </w:rPr>
            </w:pPr>
            <w:r w:rsidRPr="004C78D8">
              <w:rPr>
                <w:sz w:val="18"/>
                <w:szCs w:val="18"/>
              </w:rPr>
              <w:t>0.807</w:t>
            </w:r>
          </w:p>
        </w:tc>
        <w:tc>
          <w:tcPr>
            <w:tcW w:w="650" w:type="pct"/>
            <w:tcBorders>
              <w:left w:val="nil"/>
              <w:bottom w:val="nil"/>
              <w:right w:val="nil"/>
            </w:tcBorders>
          </w:tcPr>
          <w:p w14:paraId="5C547D8F" w14:textId="1CA47E51" w:rsidR="00175D88" w:rsidRPr="004C78D8" w:rsidRDefault="00175D88" w:rsidP="00FB7C1F">
            <w:pPr>
              <w:rPr>
                <w:sz w:val="18"/>
                <w:szCs w:val="18"/>
              </w:rPr>
            </w:pPr>
            <w:r w:rsidRPr="004C78D8">
              <w:rPr>
                <w:sz w:val="18"/>
                <w:szCs w:val="18"/>
              </w:rPr>
              <w:t>0.804</w:t>
            </w:r>
          </w:p>
        </w:tc>
        <w:tc>
          <w:tcPr>
            <w:tcW w:w="650" w:type="pct"/>
            <w:tcBorders>
              <w:left w:val="nil"/>
              <w:bottom w:val="nil"/>
              <w:right w:val="nil"/>
            </w:tcBorders>
          </w:tcPr>
          <w:p w14:paraId="3061AC25" w14:textId="041643A7" w:rsidR="00175D88" w:rsidRPr="004C78D8" w:rsidRDefault="004D1D17" w:rsidP="00FB7C1F">
            <w:pPr>
              <w:rPr>
                <w:sz w:val="18"/>
                <w:szCs w:val="18"/>
              </w:rPr>
            </w:pPr>
            <w:r w:rsidRPr="004C78D8">
              <w:rPr>
                <w:sz w:val="18"/>
                <w:szCs w:val="18"/>
              </w:rPr>
              <w:t>0.779</w:t>
            </w:r>
          </w:p>
        </w:tc>
        <w:tc>
          <w:tcPr>
            <w:tcW w:w="649" w:type="pct"/>
            <w:tcBorders>
              <w:left w:val="nil"/>
              <w:bottom w:val="nil"/>
              <w:right w:val="nil"/>
            </w:tcBorders>
          </w:tcPr>
          <w:p w14:paraId="2E15CF13" w14:textId="33EC3864" w:rsidR="00175D88" w:rsidRPr="004C78D8" w:rsidRDefault="004D1D17" w:rsidP="00FB7C1F">
            <w:pPr>
              <w:rPr>
                <w:sz w:val="18"/>
                <w:szCs w:val="18"/>
              </w:rPr>
            </w:pPr>
            <w:r w:rsidRPr="004C78D8">
              <w:rPr>
                <w:sz w:val="18"/>
                <w:szCs w:val="18"/>
              </w:rPr>
              <w:t>0.753</w:t>
            </w:r>
          </w:p>
        </w:tc>
        <w:tc>
          <w:tcPr>
            <w:tcW w:w="650" w:type="pct"/>
            <w:tcBorders>
              <w:left w:val="nil"/>
              <w:bottom w:val="nil"/>
              <w:right w:val="nil"/>
            </w:tcBorders>
          </w:tcPr>
          <w:p w14:paraId="15B5D842" w14:textId="4C52ADC6" w:rsidR="00175D88" w:rsidRPr="004C78D8" w:rsidRDefault="004D1D17" w:rsidP="00FB7C1F">
            <w:pPr>
              <w:rPr>
                <w:sz w:val="18"/>
                <w:szCs w:val="18"/>
              </w:rPr>
            </w:pPr>
            <w:r w:rsidRPr="004C78D8">
              <w:rPr>
                <w:sz w:val="18"/>
                <w:szCs w:val="18"/>
              </w:rPr>
              <w:t>0.699</w:t>
            </w:r>
          </w:p>
        </w:tc>
        <w:tc>
          <w:tcPr>
            <w:tcW w:w="650" w:type="pct"/>
            <w:tcBorders>
              <w:left w:val="nil"/>
              <w:bottom w:val="nil"/>
            </w:tcBorders>
          </w:tcPr>
          <w:p w14:paraId="7C3612F8" w14:textId="391E2F25" w:rsidR="00175D88" w:rsidRPr="004C78D8" w:rsidRDefault="004D1D17" w:rsidP="00FB7C1F">
            <w:pPr>
              <w:rPr>
                <w:sz w:val="18"/>
                <w:szCs w:val="18"/>
              </w:rPr>
            </w:pPr>
            <w:r w:rsidRPr="004C78D8">
              <w:rPr>
                <w:sz w:val="18"/>
                <w:szCs w:val="18"/>
              </w:rPr>
              <w:t>0.650</w:t>
            </w:r>
          </w:p>
        </w:tc>
      </w:tr>
      <w:tr w:rsidR="00175D88" w:rsidRPr="004C78D8" w14:paraId="1B609727" w14:textId="77777777" w:rsidTr="00E35893">
        <w:tc>
          <w:tcPr>
            <w:tcW w:w="597" w:type="pct"/>
            <w:vMerge/>
          </w:tcPr>
          <w:p w14:paraId="1066A93E" w14:textId="77777777" w:rsidR="00175D88" w:rsidRPr="004C78D8" w:rsidRDefault="00175D88" w:rsidP="00FB7C1F">
            <w:pPr>
              <w:rPr>
                <w:sz w:val="18"/>
                <w:szCs w:val="18"/>
              </w:rPr>
            </w:pPr>
          </w:p>
        </w:tc>
        <w:tc>
          <w:tcPr>
            <w:tcW w:w="505" w:type="pct"/>
            <w:tcBorders>
              <w:top w:val="nil"/>
              <w:bottom w:val="single" w:sz="4" w:space="0" w:color="auto"/>
              <w:right w:val="nil"/>
            </w:tcBorders>
          </w:tcPr>
          <w:p w14:paraId="4D776B51" w14:textId="4DB43945" w:rsidR="00175D88" w:rsidRPr="004C78D8" w:rsidRDefault="00C30141" w:rsidP="00FB7C1F">
            <w:pPr>
              <w:rPr>
                <w:sz w:val="18"/>
                <w:szCs w:val="18"/>
              </w:rPr>
            </w:pPr>
            <w:r w:rsidRPr="004C78D8">
              <w:rPr>
                <w:sz w:val="18"/>
                <w:szCs w:val="18"/>
              </w:rPr>
              <w:t>95% CInt</w:t>
            </w:r>
          </w:p>
        </w:tc>
        <w:tc>
          <w:tcPr>
            <w:tcW w:w="649" w:type="pct"/>
            <w:tcBorders>
              <w:top w:val="nil"/>
              <w:left w:val="nil"/>
              <w:bottom w:val="single" w:sz="4" w:space="0" w:color="auto"/>
              <w:right w:val="nil"/>
            </w:tcBorders>
          </w:tcPr>
          <w:p w14:paraId="795CDA50" w14:textId="126E23DF" w:rsidR="00175D88" w:rsidRPr="004C78D8" w:rsidRDefault="00175D88" w:rsidP="00FB7C1F">
            <w:pPr>
              <w:rPr>
                <w:sz w:val="18"/>
                <w:szCs w:val="18"/>
              </w:rPr>
            </w:pPr>
            <w:r w:rsidRPr="004C78D8">
              <w:rPr>
                <w:sz w:val="18"/>
                <w:szCs w:val="18"/>
              </w:rPr>
              <w:t>0.793-0.821</w:t>
            </w:r>
          </w:p>
        </w:tc>
        <w:tc>
          <w:tcPr>
            <w:tcW w:w="650" w:type="pct"/>
            <w:tcBorders>
              <w:top w:val="nil"/>
              <w:left w:val="nil"/>
              <w:bottom w:val="single" w:sz="4" w:space="0" w:color="auto"/>
              <w:right w:val="nil"/>
            </w:tcBorders>
          </w:tcPr>
          <w:p w14:paraId="7A3031BC" w14:textId="2662D065" w:rsidR="00175D88" w:rsidRPr="004C78D8" w:rsidRDefault="00175D88" w:rsidP="00FB7C1F">
            <w:pPr>
              <w:rPr>
                <w:sz w:val="18"/>
                <w:szCs w:val="18"/>
              </w:rPr>
            </w:pPr>
            <w:r w:rsidRPr="004C78D8">
              <w:rPr>
                <w:sz w:val="18"/>
                <w:szCs w:val="18"/>
              </w:rPr>
              <w:t>0.790-0.817</w:t>
            </w:r>
          </w:p>
        </w:tc>
        <w:tc>
          <w:tcPr>
            <w:tcW w:w="650" w:type="pct"/>
            <w:tcBorders>
              <w:top w:val="nil"/>
              <w:left w:val="nil"/>
              <w:bottom w:val="single" w:sz="4" w:space="0" w:color="auto"/>
              <w:right w:val="nil"/>
            </w:tcBorders>
          </w:tcPr>
          <w:p w14:paraId="25F0F11C" w14:textId="23C0F335" w:rsidR="00175D88" w:rsidRPr="004C78D8" w:rsidRDefault="004D1D17" w:rsidP="00FB7C1F">
            <w:pPr>
              <w:rPr>
                <w:sz w:val="18"/>
                <w:szCs w:val="18"/>
              </w:rPr>
            </w:pPr>
            <w:r w:rsidRPr="004C78D8">
              <w:rPr>
                <w:sz w:val="18"/>
                <w:szCs w:val="18"/>
              </w:rPr>
              <w:t>0.766-0.791</w:t>
            </w:r>
          </w:p>
        </w:tc>
        <w:tc>
          <w:tcPr>
            <w:tcW w:w="649" w:type="pct"/>
            <w:tcBorders>
              <w:top w:val="nil"/>
              <w:left w:val="nil"/>
              <w:bottom w:val="single" w:sz="4" w:space="0" w:color="auto"/>
              <w:right w:val="nil"/>
            </w:tcBorders>
          </w:tcPr>
          <w:p w14:paraId="275E83BC" w14:textId="5AF672BF" w:rsidR="00175D88" w:rsidRPr="004C78D8" w:rsidRDefault="004D1D17" w:rsidP="00FB7C1F">
            <w:pPr>
              <w:rPr>
                <w:sz w:val="18"/>
                <w:szCs w:val="18"/>
              </w:rPr>
            </w:pPr>
            <w:r w:rsidRPr="004C78D8">
              <w:rPr>
                <w:sz w:val="18"/>
                <w:szCs w:val="18"/>
              </w:rPr>
              <w:t>0.739-0.767</w:t>
            </w:r>
          </w:p>
        </w:tc>
        <w:tc>
          <w:tcPr>
            <w:tcW w:w="650" w:type="pct"/>
            <w:tcBorders>
              <w:top w:val="nil"/>
              <w:left w:val="nil"/>
              <w:bottom w:val="single" w:sz="4" w:space="0" w:color="auto"/>
              <w:right w:val="nil"/>
            </w:tcBorders>
          </w:tcPr>
          <w:p w14:paraId="6FF07E7D" w14:textId="56F94F87" w:rsidR="00175D88" w:rsidRPr="004C78D8" w:rsidRDefault="004D1D17" w:rsidP="00FB7C1F">
            <w:pPr>
              <w:rPr>
                <w:sz w:val="18"/>
                <w:szCs w:val="18"/>
              </w:rPr>
            </w:pPr>
            <w:r w:rsidRPr="004C78D8">
              <w:rPr>
                <w:sz w:val="18"/>
                <w:szCs w:val="18"/>
              </w:rPr>
              <w:t>0.677-0.719</w:t>
            </w:r>
          </w:p>
        </w:tc>
        <w:tc>
          <w:tcPr>
            <w:tcW w:w="650" w:type="pct"/>
            <w:tcBorders>
              <w:top w:val="nil"/>
              <w:left w:val="nil"/>
              <w:bottom w:val="single" w:sz="4" w:space="0" w:color="auto"/>
            </w:tcBorders>
          </w:tcPr>
          <w:p w14:paraId="78316E47" w14:textId="5AA01AD1" w:rsidR="00175D88" w:rsidRPr="004C78D8" w:rsidRDefault="004D1D17" w:rsidP="00FB7C1F">
            <w:pPr>
              <w:rPr>
                <w:sz w:val="18"/>
                <w:szCs w:val="18"/>
              </w:rPr>
            </w:pPr>
            <w:r w:rsidRPr="004C78D8">
              <w:rPr>
                <w:sz w:val="18"/>
                <w:szCs w:val="18"/>
              </w:rPr>
              <w:t>0.624-0.675</w:t>
            </w:r>
          </w:p>
        </w:tc>
      </w:tr>
      <w:tr w:rsidR="00175D88" w:rsidRPr="004C78D8" w14:paraId="7FC3BCEA" w14:textId="77777777" w:rsidTr="00E35893">
        <w:tc>
          <w:tcPr>
            <w:tcW w:w="597" w:type="pct"/>
            <w:vMerge w:val="restart"/>
          </w:tcPr>
          <w:p w14:paraId="11AA79EC" w14:textId="1030D95B" w:rsidR="00175D88" w:rsidRPr="004C78D8" w:rsidRDefault="00175D88" w:rsidP="00FB7C1F">
            <w:pPr>
              <w:rPr>
                <w:sz w:val="18"/>
                <w:szCs w:val="18"/>
              </w:rPr>
            </w:pPr>
            <w:r w:rsidRPr="004C78D8">
              <w:rPr>
                <w:sz w:val="18"/>
                <w:szCs w:val="18"/>
              </w:rPr>
              <w:t>ELSA estimate</w:t>
            </w:r>
          </w:p>
        </w:tc>
        <w:tc>
          <w:tcPr>
            <w:tcW w:w="505" w:type="pct"/>
            <w:tcBorders>
              <w:bottom w:val="nil"/>
              <w:right w:val="nil"/>
            </w:tcBorders>
          </w:tcPr>
          <w:p w14:paraId="541417AB" w14:textId="37E176E1" w:rsidR="00175D88" w:rsidRPr="004C78D8" w:rsidRDefault="00175D88" w:rsidP="00FB7C1F">
            <w:pPr>
              <w:rPr>
                <w:sz w:val="18"/>
                <w:szCs w:val="18"/>
              </w:rPr>
            </w:pPr>
            <w:r w:rsidRPr="004C78D8">
              <w:rPr>
                <w:sz w:val="18"/>
                <w:szCs w:val="18"/>
              </w:rPr>
              <w:t>Mean</w:t>
            </w:r>
          </w:p>
        </w:tc>
        <w:tc>
          <w:tcPr>
            <w:tcW w:w="649" w:type="pct"/>
            <w:tcBorders>
              <w:left w:val="nil"/>
              <w:bottom w:val="nil"/>
              <w:right w:val="nil"/>
            </w:tcBorders>
          </w:tcPr>
          <w:p w14:paraId="21DCD929" w14:textId="5F9A5474" w:rsidR="00175D88" w:rsidRPr="004C78D8" w:rsidRDefault="00175D88" w:rsidP="00FB7C1F">
            <w:pPr>
              <w:rPr>
                <w:sz w:val="18"/>
                <w:szCs w:val="18"/>
              </w:rPr>
            </w:pPr>
            <w:r w:rsidRPr="004C78D8">
              <w:rPr>
                <w:sz w:val="18"/>
                <w:szCs w:val="18"/>
              </w:rPr>
              <w:t>0.797</w:t>
            </w:r>
          </w:p>
        </w:tc>
        <w:tc>
          <w:tcPr>
            <w:tcW w:w="650" w:type="pct"/>
            <w:tcBorders>
              <w:left w:val="nil"/>
              <w:bottom w:val="nil"/>
              <w:right w:val="nil"/>
            </w:tcBorders>
          </w:tcPr>
          <w:p w14:paraId="3083ABCC" w14:textId="3EA6C141" w:rsidR="00175D88" w:rsidRPr="004C78D8" w:rsidRDefault="00175D88" w:rsidP="00FB7C1F">
            <w:pPr>
              <w:rPr>
                <w:sz w:val="18"/>
                <w:szCs w:val="18"/>
              </w:rPr>
            </w:pPr>
            <w:r w:rsidRPr="004C78D8">
              <w:rPr>
                <w:sz w:val="18"/>
                <w:szCs w:val="18"/>
              </w:rPr>
              <w:t>0.790</w:t>
            </w:r>
          </w:p>
        </w:tc>
        <w:tc>
          <w:tcPr>
            <w:tcW w:w="650" w:type="pct"/>
            <w:tcBorders>
              <w:left w:val="nil"/>
              <w:bottom w:val="nil"/>
              <w:right w:val="nil"/>
            </w:tcBorders>
          </w:tcPr>
          <w:p w14:paraId="466289E6" w14:textId="3BA3E16A" w:rsidR="00175D88" w:rsidRPr="004C78D8" w:rsidRDefault="004D1D17" w:rsidP="00FB7C1F">
            <w:pPr>
              <w:rPr>
                <w:sz w:val="18"/>
                <w:szCs w:val="18"/>
              </w:rPr>
            </w:pPr>
            <w:r w:rsidRPr="004C78D8">
              <w:rPr>
                <w:sz w:val="18"/>
                <w:szCs w:val="18"/>
              </w:rPr>
              <w:t>0.777</w:t>
            </w:r>
          </w:p>
        </w:tc>
        <w:tc>
          <w:tcPr>
            <w:tcW w:w="649" w:type="pct"/>
            <w:tcBorders>
              <w:left w:val="nil"/>
              <w:bottom w:val="nil"/>
              <w:right w:val="nil"/>
            </w:tcBorders>
          </w:tcPr>
          <w:p w14:paraId="4D511FC2" w14:textId="478DE0DA" w:rsidR="00175D88" w:rsidRPr="004C78D8" w:rsidRDefault="004D1D17" w:rsidP="00FB7C1F">
            <w:pPr>
              <w:rPr>
                <w:sz w:val="18"/>
                <w:szCs w:val="18"/>
              </w:rPr>
            </w:pPr>
            <w:r w:rsidRPr="004C78D8">
              <w:rPr>
                <w:sz w:val="18"/>
                <w:szCs w:val="18"/>
              </w:rPr>
              <w:t>0.744</w:t>
            </w:r>
          </w:p>
        </w:tc>
        <w:tc>
          <w:tcPr>
            <w:tcW w:w="650" w:type="pct"/>
            <w:tcBorders>
              <w:left w:val="nil"/>
              <w:bottom w:val="nil"/>
              <w:right w:val="nil"/>
            </w:tcBorders>
          </w:tcPr>
          <w:p w14:paraId="3C3C4233" w14:textId="424B3F4C" w:rsidR="00175D88" w:rsidRPr="004C78D8" w:rsidRDefault="004D1D17" w:rsidP="00FB7C1F">
            <w:pPr>
              <w:rPr>
                <w:sz w:val="18"/>
                <w:szCs w:val="18"/>
              </w:rPr>
            </w:pPr>
            <w:r w:rsidRPr="004C78D8">
              <w:rPr>
                <w:sz w:val="18"/>
                <w:szCs w:val="18"/>
              </w:rPr>
              <w:t>0.705</w:t>
            </w:r>
          </w:p>
        </w:tc>
        <w:tc>
          <w:tcPr>
            <w:tcW w:w="650" w:type="pct"/>
            <w:tcBorders>
              <w:left w:val="nil"/>
              <w:bottom w:val="nil"/>
            </w:tcBorders>
          </w:tcPr>
          <w:p w14:paraId="6EC46781" w14:textId="0D41BC18" w:rsidR="00175D88" w:rsidRPr="004C78D8" w:rsidRDefault="004D1D17" w:rsidP="00FB7C1F">
            <w:pPr>
              <w:rPr>
                <w:sz w:val="18"/>
                <w:szCs w:val="18"/>
              </w:rPr>
            </w:pPr>
            <w:r w:rsidRPr="004C78D8">
              <w:rPr>
                <w:sz w:val="18"/>
                <w:szCs w:val="18"/>
              </w:rPr>
              <w:t>0.670</w:t>
            </w:r>
          </w:p>
        </w:tc>
      </w:tr>
      <w:tr w:rsidR="00175D88" w:rsidRPr="004C78D8" w14:paraId="3E9686A7" w14:textId="77777777" w:rsidTr="00E35893">
        <w:tc>
          <w:tcPr>
            <w:tcW w:w="597" w:type="pct"/>
            <w:vMerge/>
          </w:tcPr>
          <w:p w14:paraId="50DBA59F" w14:textId="77777777" w:rsidR="00175D88" w:rsidRPr="004C78D8" w:rsidRDefault="00175D88" w:rsidP="00FB7C1F">
            <w:pPr>
              <w:rPr>
                <w:sz w:val="18"/>
                <w:szCs w:val="18"/>
              </w:rPr>
            </w:pPr>
          </w:p>
        </w:tc>
        <w:tc>
          <w:tcPr>
            <w:tcW w:w="505" w:type="pct"/>
            <w:tcBorders>
              <w:top w:val="nil"/>
              <w:right w:val="nil"/>
            </w:tcBorders>
          </w:tcPr>
          <w:p w14:paraId="156D9D08" w14:textId="7C0F7E6A" w:rsidR="00175D88" w:rsidRPr="004C78D8" w:rsidRDefault="00C30141" w:rsidP="00FB7C1F">
            <w:pPr>
              <w:rPr>
                <w:sz w:val="18"/>
                <w:szCs w:val="18"/>
              </w:rPr>
            </w:pPr>
            <w:r w:rsidRPr="004C78D8">
              <w:rPr>
                <w:sz w:val="18"/>
                <w:szCs w:val="18"/>
              </w:rPr>
              <w:t>95% CInt</w:t>
            </w:r>
          </w:p>
        </w:tc>
        <w:tc>
          <w:tcPr>
            <w:tcW w:w="649" w:type="pct"/>
            <w:tcBorders>
              <w:top w:val="nil"/>
              <w:left w:val="nil"/>
              <w:right w:val="nil"/>
            </w:tcBorders>
          </w:tcPr>
          <w:p w14:paraId="292DEE56" w14:textId="186FA018" w:rsidR="00175D88" w:rsidRPr="004C78D8" w:rsidRDefault="00175D88" w:rsidP="00FB7C1F">
            <w:pPr>
              <w:rPr>
                <w:sz w:val="18"/>
                <w:szCs w:val="18"/>
              </w:rPr>
            </w:pPr>
            <w:r w:rsidRPr="004C78D8">
              <w:rPr>
                <w:sz w:val="18"/>
                <w:szCs w:val="18"/>
              </w:rPr>
              <w:t>0.787-0.806</w:t>
            </w:r>
          </w:p>
        </w:tc>
        <w:tc>
          <w:tcPr>
            <w:tcW w:w="650" w:type="pct"/>
            <w:tcBorders>
              <w:top w:val="nil"/>
              <w:left w:val="nil"/>
              <w:right w:val="nil"/>
            </w:tcBorders>
          </w:tcPr>
          <w:p w14:paraId="621D1615" w14:textId="0D5D66F4" w:rsidR="00175D88" w:rsidRPr="004C78D8" w:rsidRDefault="00175D88" w:rsidP="00FB7C1F">
            <w:pPr>
              <w:rPr>
                <w:sz w:val="18"/>
                <w:szCs w:val="18"/>
              </w:rPr>
            </w:pPr>
            <w:r w:rsidRPr="004C78D8">
              <w:rPr>
                <w:sz w:val="18"/>
                <w:szCs w:val="18"/>
              </w:rPr>
              <w:t>0.780-0.800</w:t>
            </w:r>
          </w:p>
        </w:tc>
        <w:tc>
          <w:tcPr>
            <w:tcW w:w="650" w:type="pct"/>
            <w:tcBorders>
              <w:top w:val="nil"/>
              <w:left w:val="nil"/>
              <w:right w:val="nil"/>
            </w:tcBorders>
          </w:tcPr>
          <w:p w14:paraId="10E5105A" w14:textId="66AE9C39" w:rsidR="00175D88" w:rsidRPr="004C78D8" w:rsidRDefault="004D1D17" w:rsidP="00FB7C1F">
            <w:pPr>
              <w:rPr>
                <w:sz w:val="18"/>
                <w:szCs w:val="18"/>
              </w:rPr>
            </w:pPr>
            <w:r w:rsidRPr="004C78D8">
              <w:rPr>
                <w:sz w:val="18"/>
                <w:szCs w:val="18"/>
              </w:rPr>
              <w:t>0.767-0.787</w:t>
            </w:r>
          </w:p>
        </w:tc>
        <w:tc>
          <w:tcPr>
            <w:tcW w:w="649" w:type="pct"/>
            <w:tcBorders>
              <w:top w:val="nil"/>
              <w:left w:val="nil"/>
              <w:right w:val="nil"/>
            </w:tcBorders>
          </w:tcPr>
          <w:p w14:paraId="3EB115AD" w14:textId="20107007" w:rsidR="00175D88" w:rsidRPr="004C78D8" w:rsidRDefault="004D1D17" w:rsidP="00FB7C1F">
            <w:pPr>
              <w:rPr>
                <w:sz w:val="18"/>
                <w:szCs w:val="18"/>
              </w:rPr>
            </w:pPr>
            <w:r w:rsidRPr="004C78D8">
              <w:rPr>
                <w:sz w:val="18"/>
                <w:szCs w:val="18"/>
              </w:rPr>
              <w:t>0.732-0.756</w:t>
            </w:r>
          </w:p>
        </w:tc>
        <w:tc>
          <w:tcPr>
            <w:tcW w:w="650" w:type="pct"/>
            <w:tcBorders>
              <w:top w:val="nil"/>
              <w:left w:val="nil"/>
              <w:right w:val="nil"/>
            </w:tcBorders>
          </w:tcPr>
          <w:p w14:paraId="2A99648B" w14:textId="69FD32DC" w:rsidR="00175D88" w:rsidRPr="004C78D8" w:rsidRDefault="004D1D17" w:rsidP="00FB7C1F">
            <w:pPr>
              <w:rPr>
                <w:sz w:val="18"/>
                <w:szCs w:val="18"/>
              </w:rPr>
            </w:pPr>
            <w:r w:rsidRPr="004C78D8">
              <w:rPr>
                <w:sz w:val="18"/>
                <w:szCs w:val="18"/>
              </w:rPr>
              <w:t>0.690-0.721</w:t>
            </w:r>
          </w:p>
        </w:tc>
        <w:tc>
          <w:tcPr>
            <w:tcW w:w="650" w:type="pct"/>
            <w:tcBorders>
              <w:top w:val="nil"/>
              <w:left w:val="nil"/>
            </w:tcBorders>
          </w:tcPr>
          <w:p w14:paraId="59B2E20A" w14:textId="3348C02F" w:rsidR="00175D88" w:rsidRPr="004C78D8" w:rsidRDefault="004D1D17" w:rsidP="00FB7C1F">
            <w:pPr>
              <w:rPr>
                <w:sz w:val="18"/>
                <w:szCs w:val="18"/>
              </w:rPr>
            </w:pPr>
            <w:r w:rsidRPr="004C78D8">
              <w:rPr>
                <w:sz w:val="18"/>
                <w:szCs w:val="18"/>
              </w:rPr>
              <w:t>0.646-0.695</w:t>
            </w:r>
          </w:p>
        </w:tc>
      </w:tr>
      <w:tr w:rsidR="00C13A42" w:rsidRPr="004C78D8" w14:paraId="21DFD11A" w14:textId="77777777" w:rsidTr="00E35893">
        <w:tc>
          <w:tcPr>
            <w:tcW w:w="5000" w:type="pct"/>
            <w:gridSpan w:val="8"/>
          </w:tcPr>
          <w:p w14:paraId="799F9AD5" w14:textId="2458126F" w:rsidR="003B2AD7" w:rsidRPr="004C78D8" w:rsidRDefault="00D10D5E" w:rsidP="00FB7C1F">
            <w:pPr>
              <w:rPr>
                <w:sz w:val="18"/>
                <w:szCs w:val="18"/>
                <w:vertAlign w:val="superscript"/>
              </w:rPr>
            </w:pPr>
            <w:r w:rsidRPr="004C78D8">
              <w:rPr>
                <w:b/>
                <w:bCs/>
                <w:sz w:val="18"/>
                <w:szCs w:val="18"/>
              </w:rPr>
              <w:t>Abbreviation</w:t>
            </w:r>
            <w:r w:rsidR="003B2AD7" w:rsidRPr="004C78D8">
              <w:rPr>
                <w:b/>
                <w:bCs/>
                <w:sz w:val="18"/>
                <w:szCs w:val="18"/>
              </w:rPr>
              <w:t>:</w:t>
            </w:r>
            <w:r w:rsidR="003B2AD7" w:rsidRPr="004C78D8">
              <w:rPr>
                <w:sz w:val="18"/>
                <w:szCs w:val="18"/>
              </w:rPr>
              <w:t xml:space="preserve"> CI</w:t>
            </w:r>
            <w:r w:rsidR="0028032C" w:rsidRPr="004C78D8">
              <w:rPr>
                <w:sz w:val="18"/>
                <w:szCs w:val="18"/>
              </w:rPr>
              <w:t>nt</w:t>
            </w:r>
            <w:r w:rsidR="003B2AD7" w:rsidRPr="004C78D8">
              <w:rPr>
                <w:sz w:val="18"/>
                <w:szCs w:val="18"/>
              </w:rPr>
              <w:t>: confidence interval; ELSA: English Longitudinal Study of Ageing; HSE: Health Survey for England</w:t>
            </w:r>
            <w:r w:rsidR="003B2AD7" w:rsidRPr="004C78D8">
              <w:rPr>
                <w:sz w:val="18"/>
                <w:szCs w:val="18"/>
                <w:vertAlign w:val="superscript"/>
              </w:rPr>
              <w:t xml:space="preserve"> </w:t>
            </w:r>
          </w:p>
          <w:p w14:paraId="4E613AA3" w14:textId="0A34645E" w:rsidR="009F07E7" w:rsidRPr="004C78D8" w:rsidRDefault="009F07E7" w:rsidP="00FB7C1F">
            <w:pPr>
              <w:rPr>
                <w:sz w:val="18"/>
                <w:szCs w:val="18"/>
              </w:rPr>
            </w:pPr>
            <w:r w:rsidRPr="004C78D8">
              <w:rPr>
                <w:sz w:val="18"/>
                <w:szCs w:val="18"/>
                <w:vertAlign w:val="superscript"/>
              </w:rPr>
              <w:t>1</w:t>
            </w:r>
            <w:r w:rsidRPr="004C78D8">
              <w:rPr>
                <w:sz w:val="18"/>
                <w:szCs w:val="18"/>
              </w:rPr>
              <w:t xml:space="preserve"> Data </w:t>
            </w:r>
            <w:r w:rsidR="000F5942" w:rsidRPr="004C78D8">
              <w:rPr>
                <w:sz w:val="18"/>
                <w:szCs w:val="18"/>
              </w:rPr>
              <w:t>reported in Janssens and Szende</w:t>
            </w:r>
            <w:r w:rsidR="00F52356" w:rsidRPr="004C78D8">
              <w:rPr>
                <w:sz w:val="18"/>
                <w:szCs w:val="18"/>
              </w:rPr>
              <w:t xml:space="preserve"> (</w:t>
            </w:r>
            <w:r w:rsidR="000F5942" w:rsidRPr="004C78D8">
              <w:rPr>
                <w:sz w:val="18"/>
                <w:szCs w:val="18"/>
              </w:rPr>
              <w:t>2014)</w:t>
            </w:r>
            <w:r w:rsidR="00F52356" w:rsidRPr="004C78D8">
              <w:rPr>
                <w:sz w:val="18"/>
                <w:szCs w:val="18"/>
              </w:rPr>
              <w:t xml:space="preserve"> </w:t>
            </w:r>
            <w:r w:rsidR="00F52356" w:rsidRPr="004C78D8">
              <w:rPr>
                <w:sz w:val="18"/>
                <w:szCs w:val="18"/>
              </w:rPr>
              <w:fldChar w:fldCharType="begin"/>
            </w:r>
            <w:r w:rsidR="00C630FC" w:rsidRPr="004C78D8">
              <w:rPr>
                <w:sz w:val="18"/>
                <w:szCs w:val="18"/>
              </w:rPr>
              <w:instrText xml:space="preserve"> ADDIN EN.CITE &lt;EndNote&gt;&lt;Cite&gt;&lt;Author&gt;Janssen&lt;/Author&gt;&lt;Year&gt;2014&lt;/Year&gt;&lt;RecNum&gt;118&lt;/RecNum&gt;&lt;DisplayText&gt;[393]&lt;/DisplayText&gt;&lt;record&gt;&lt;rec-number&gt;118&lt;/rec-number&gt;&lt;foreign-keys&gt;&lt;key app="EN" db-id="tdtrdw9aepptzbefsat599syza29sxsd2wsp" timestamp="1598552518"&gt;118&lt;/key&gt;&lt;/foreign-keys&gt;&lt;ref-type name="Book Section"&gt;5&lt;/ref-type&gt;&lt;contributors&gt;&lt;authors&gt;&lt;author&gt;Janssen, Bas&lt;/author&gt;&lt;author&gt;Szende, Agota&lt;/author&gt;&lt;/authors&gt;&lt;/contributors&gt;&lt;titles&gt;&lt;title&gt;Population norms for the EQ-5D&lt;/title&gt;&lt;secondary-title&gt;Self-reported population health: an international perspective based on EQ-5D&lt;/secondary-title&gt;&lt;/titles&gt;&lt;pages&gt;19-30&lt;/pages&gt;&lt;dates&gt;&lt;year&gt;2014&lt;/year&gt;&lt;/dates&gt;&lt;publisher&gt;Springer&lt;/publisher&gt;&lt;urls&gt;&lt;/urls&gt;&lt;/record&gt;&lt;/Cite&gt;&lt;/EndNote&gt;</w:instrText>
            </w:r>
            <w:r w:rsidR="00F52356" w:rsidRPr="004C78D8">
              <w:rPr>
                <w:sz w:val="18"/>
                <w:szCs w:val="18"/>
              </w:rPr>
              <w:fldChar w:fldCharType="separate"/>
            </w:r>
            <w:r w:rsidR="00C630FC" w:rsidRPr="004C78D8">
              <w:rPr>
                <w:noProof/>
                <w:sz w:val="18"/>
                <w:szCs w:val="18"/>
              </w:rPr>
              <w:t>[393]</w:t>
            </w:r>
            <w:r w:rsidR="00F52356" w:rsidRPr="004C78D8">
              <w:rPr>
                <w:sz w:val="18"/>
                <w:szCs w:val="18"/>
              </w:rPr>
              <w:fldChar w:fldCharType="end"/>
            </w:r>
            <w:r w:rsidRPr="004C78D8">
              <w:rPr>
                <w:sz w:val="18"/>
                <w:szCs w:val="18"/>
              </w:rPr>
              <w:t xml:space="preserve">; </w:t>
            </w:r>
            <w:r w:rsidR="008831C2" w:rsidRPr="004C78D8">
              <w:rPr>
                <w:sz w:val="18"/>
                <w:szCs w:val="18"/>
              </w:rPr>
              <w:t xml:space="preserve">n=14,763; </w:t>
            </w:r>
            <w:r w:rsidRPr="004C78D8">
              <w:rPr>
                <w:sz w:val="18"/>
                <w:szCs w:val="18"/>
              </w:rPr>
              <w:t>UK time trade-off value set</w:t>
            </w:r>
            <w:r w:rsidR="00F52356" w:rsidRPr="004C78D8">
              <w:rPr>
                <w:sz w:val="18"/>
                <w:szCs w:val="18"/>
              </w:rPr>
              <w:t xml:space="preserve"> </w:t>
            </w:r>
            <w:r w:rsidR="00F52356" w:rsidRPr="004C78D8">
              <w:rPr>
                <w:sz w:val="18"/>
                <w:szCs w:val="18"/>
              </w:rPr>
              <w:fldChar w:fldCharType="begin"/>
            </w:r>
            <w:r w:rsidR="00C630FC" w:rsidRPr="004C78D8">
              <w:rPr>
                <w:sz w:val="18"/>
                <w:szCs w:val="18"/>
              </w:rPr>
              <w:instrText xml:space="preserve"> ADDIN EN.CITE &lt;EndNote&gt;&lt;Cite&gt;&lt;Author&gt;Kind&lt;/Author&gt;&lt;Year&gt;1999&lt;/Year&gt;&lt;RecNum&gt;116&lt;/RecNum&gt;&lt;DisplayText&gt;[397]&lt;/DisplayText&gt;&lt;record&gt;&lt;rec-number&gt;116&lt;/rec-number&gt;&lt;foreign-keys&gt;&lt;key app="EN" db-id="tdtrdw9aepptzbefsat599syza29sxsd2wsp" timestamp="1598551946"&gt;116&lt;/key&gt;&lt;/foreign-keys&gt;&lt;ref-type name="Report"&gt;27&lt;/ref-type&gt;&lt;contributors&gt;&lt;authors&gt;&lt;author&gt;Kind, Paul&lt;/author&gt;&lt;author&gt;Hardman, Geoffrey&lt;/author&gt;&lt;author&gt;Macran, Susan&lt;/author&gt;&lt;/authors&gt;&lt;/contributors&gt;&lt;titles&gt;&lt;title&gt;UK population norms for EQ-5D&lt;/title&gt;&lt;/titles&gt;&lt;dates&gt;&lt;year&gt;1999&lt;/year&gt;&lt;/dates&gt;&lt;urls&gt;&lt;/urls&gt;&lt;/record&gt;&lt;/Cite&gt;&lt;/EndNote&gt;</w:instrText>
            </w:r>
            <w:r w:rsidR="00F52356" w:rsidRPr="004C78D8">
              <w:rPr>
                <w:sz w:val="18"/>
                <w:szCs w:val="18"/>
              </w:rPr>
              <w:fldChar w:fldCharType="separate"/>
            </w:r>
            <w:r w:rsidR="00C630FC" w:rsidRPr="004C78D8">
              <w:rPr>
                <w:noProof/>
                <w:sz w:val="18"/>
                <w:szCs w:val="18"/>
              </w:rPr>
              <w:t>[397]</w:t>
            </w:r>
            <w:r w:rsidR="00F52356" w:rsidRPr="004C78D8">
              <w:rPr>
                <w:sz w:val="18"/>
                <w:szCs w:val="18"/>
              </w:rPr>
              <w:fldChar w:fldCharType="end"/>
            </w:r>
            <w:r w:rsidR="00F52356" w:rsidRPr="004C78D8">
              <w:rPr>
                <w:sz w:val="18"/>
                <w:szCs w:val="18"/>
              </w:rPr>
              <w:t>.</w:t>
            </w:r>
          </w:p>
          <w:p w14:paraId="52F87CFD" w14:textId="1DCD1E23" w:rsidR="00C13A42" w:rsidRPr="004C78D8" w:rsidRDefault="009F07E7" w:rsidP="00FB7C1F">
            <w:pPr>
              <w:rPr>
                <w:sz w:val="18"/>
                <w:szCs w:val="18"/>
              </w:rPr>
            </w:pPr>
            <w:r w:rsidRPr="004C78D8">
              <w:rPr>
                <w:sz w:val="18"/>
                <w:szCs w:val="18"/>
                <w:vertAlign w:val="superscript"/>
              </w:rPr>
              <w:t>2</w:t>
            </w:r>
            <w:r w:rsidRPr="004C78D8">
              <w:rPr>
                <w:sz w:val="18"/>
                <w:szCs w:val="18"/>
              </w:rPr>
              <w:t xml:space="preserve"> Data </w:t>
            </w:r>
            <w:r w:rsidR="000F5942" w:rsidRPr="004C78D8">
              <w:rPr>
                <w:sz w:val="18"/>
                <w:szCs w:val="18"/>
              </w:rPr>
              <w:t>reported in Ara and Brazier</w:t>
            </w:r>
            <w:r w:rsidR="00F52356" w:rsidRPr="004C78D8">
              <w:rPr>
                <w:sz w:val="18"/>
                <w:szCs w:val="18"/>
              </w:rPr>
              <w:t xml:space="preserve"> (</w:t>
            </w:r>
            <w:r w:rsidR="000F5942" w:rsidRPr="004C78D8">
              <w:rPr>
                <w:sz w:val="18"/>
                <w:szCs w:val="18"/>
              </w:rPr>
              <w:t>2011)</w:t>
            </w:r>
            <w:r w:rsidR="00F52356" w:rsidRPr="004C78D8">
              <w:rPr>
                <w:sz w:val="18"/>
                <w:szCs w:val="18"/>
              </w:rPr>
              <w:t xml:space="preserve"> </w:t>
            </w:r>
            <w:r w:rsidR="00F52356" w:rsidRPr="004C78D8">
              <w:rPr>
                <w:sz w:val="18"/>
                <w:szCs w:val="18"/>
              </w:rPr>
              <w:fldChar w:fldCharType="begin"/>
            </w:r>
            <w:r w:rsidR="00C630FC" w:rsidRPr="004C78D8">
              <w:rPr>
                <w:sz w:val="18"/>
                <w:szCs w:val="18"/>
              </w:rPr>
              <w:instrText xml:space="preserve"> ADDIN EN.CITE &lt;EndNote&gt;&lt;Cite&gt;&lt;Author&gt;Ara&lt;/Author&gt;&lt;Year&gt;2011&lt;/Year&gt;&lt;RecNum&gt;120&lt;/RecNum&gt;&lt;DisplayText&gt;[394]&lt;/DisplayText&gt;&lt;record&gt;&lt;rec-number&gt;120&lt;/rec-number&gt;&lt;foreign-keys&gt;&lt;key app="EN" db-id="tdtrdw9aepptzbefsat599syza29sxsd2wsp" timestamp="1598613435"&gt;120&lt;/key&gt;&lt;/foreign-keys&gt;&lt;ref-type name="Journal Article"&gt;17&lt;/ref-type&gt;&lt;contributors&gt;&lt;authors&gt;&lt;author&gt;Ara, Roberta&lt;/author&gt;&lt;author&gt;Brazier, John E&lt;/author&gt;&lt;/authors&gt;&lt;/contributors&gt;&lt;titles&gt;&lt;title&gt;Using health state utility values from the general population to approximate baselines in decision analytic models when condition-specific data are not available&lt;/title&gt;&lt;secondary-title&gt;Value in Health&lt;/secondary-title&gt;&lt;/titles&gt;&lt;periodical&gt;&lt;full-title&gt;Value in Health&lt;/full-title&gt;&lt;/periodical&gt;&lt;pages&gt;539-545&lt;/pages&gt;&lt;volume&gt;14&lt;/volume&gt;&lt;number&gt;4&lt;/number&gt;&lt;dates&gt;&lt;year&gt;2011&lt;/year&gt;&lt;/dates&gt;&lt;isbn&gt;1098-3015&lt;/isbn&gt;&lt;urls&gt;&lt;/urls&gt;&lt;/record&gt;&lt;/Cite&gt;&lt;/EndNote&gt;</w:instrText>
            </w:r>
            <w:r w:rsidR="00F52356" w:rsidRPr="004C78D8">
              <w:rPr>
                <w:sz w:val="18"/>
                <w:szCs w:val="18"/>
              </w:rPr>
              <w:fldChar w:fldCharType="separate"/>
            </w:r>
            <w:r w:rsidR="00C630FC" w:rsidRPr="004C78D8">
              <w:rPr>
                <w:noProof/>
                <w:sz w:val="18"/>
                <w:szCs w:val="18"/>
              </w:rPr>
              <w:t>[394]</w:t>
            </w:r>
            <w:r w:rsidR="00F52356" w:rsidRPr="004C78D8">
              <w:rPr>
                <w:sz w:val="18"/>
                <w:szCs w:val="18"/>
              </w:rPr>
              <w:fldChar w:fldCharType="end"/>
            </w:r>
            <w:r w:rsidRPr="004C78D8">
              <w:rPr>
                <w:sz w:val="18"/>
                <w:szCs w:val="18"/>
              </w:rPr>
              <w:t xml:space="preserve">; </w:t>
            </w:r>
            <w:r w:rsidR="008831C2" w:rsidRPr="004C78D8">
              <w:rPr>
                <w:sz w:val="18"/>
                <w:szCs w:val="18"/>
              </w:rPr>
              <w:t xml:space="preserve">n=41,174; </w:t>
            </w:r>
            <w:r w:rsidRPr="004C78D8">
              <w:rPr>
                <w:sz w:val="18"/>
                <w:szCs w:val="18"/>
              </w:rPr>
              <w:t xml:space="preserve">UK time trade-off value set </w:t>
            </w:r>
            <w:r w:rsidR="00F52356" w:rsidRPr="004C78D8">
              <w:rPr>
                <w:sz w:val="18"/>
                <w:szCs w:val="18"/>
              </w:rPr>
              <w:fldChar w:fldCharType="begin"/>
            </w:r>
            <w:r w:rsidR="00C630FC" w:rsidRPr="004C78D8">
              <w:rPr>
                <w:sz w:val="18"/>
                <w:szCs w:val="18"/>
              </w:rPr>
              <w:instrText xml:space="preserve"> ADDIN EN.CITE &lt;EndNote&gt;&lt;Cite&gt;&lt;Author&gt;Kind&lt;/Author&gt;&lt;Year&gt;1999&lt;/Year&gt;&lt;RecNum&gt;116&lt;/RecNum&gt;&lt;DisplayText&gt;[397]&lt;/DisplayText&gt;&lt;record&gt;&lt;rec-number&gt;116&lt;/rec-number&gt;&lt;foreign-keys&gt;&lt;key app="EN" db-id="tdtrdw9aepptzbefsat599syza29sxsd2wsp" timestamp="1598551946"&gt;116&lt;/key&gt;&lt;/foreign-keys&gt;&lt;ref-type name="Report"&gt;27&lt;/ref-type&gt;&lt;contributors&gt;&lt;authors&gt;&lt;author&gt;Kind, Paul&lt;/author&gt;&lt;author&gt;Hardman, Geoffrey&lt;/author&gt;&lt;author&gt;Macran, Susan&lt;/author&gt;&lt;/authors&gt;&lt;/contributors&gt;&lt;titles&gt;&lt;title&gt;UK population norms for EQ-5D&lt;/title&gt;&lt;/titles&gt;&lt;dates&gt;&lt;year&gt;1999&lt;/year&gt;&lt;/dates&gt;&lt;urls&gt;&lt;/urls&gt;&lt;/record&gt;&lt;/Cite&gt;&lt;/EndNote&gt;</w:instrText>
            </w:r>
            <w:r w:rsidR="00F52356" w:rsidRPr="004C78D8">
              <w:rPr>
                <w:sz w:val="18"/>
                <w:szCs w:val="18"/>
              </w:rPr>
              <w:fldChar w:fldCharType="separate"/>
            </w:r>
            <w:r w:rsidR="00C630FC" w:rsidRPr="004C78D8">
              <w:rPr>
                <w:noProof/>
                <w:sz w:val="18"/>
                <w:szCs w:val="18"/>
              </w:rPr>
              <w:t>[397]</w:t>
            </w:r>
            <w:r w:rsidR="00F52356" w:rsidRPr="004C78D8">
              <w:rPr>
                <w:sz w:val="18"/>
                <w:szCs w:val="18"/>
              </w:rPr>
              <w:fldChar w:fldCharType="end"/>
            </w:r>
            <w:r w:rsidR="00F52356" w:rsidRPr="004C78D8">
              <w:rPr>
                <w:sz w:val="18"/>
                <w:szCs w:val="18"/>
              </w:rPr>
              <w:t>.</w:t>
            </w:r>
          </w:p>
        </w:tc>
      </w:tr>
    </w:tbl>
    <w:p w14:paraId="685CA2DC" w14:textId="77777777" w:rsidR="00881E0C" w:rsidRPr="004C78D8" w:rsidRDefault="00881E0C" w:rsidP="00FB7C1F"/>
    <w:p w14:paraId="767663BC" w14:textId="0A8272B0" w:rsidR="006A250D" w:rsidRPr="004C78D8" w:rsidRDefault="00881E0C" w:rsidP="00FB7C1F">
      <w:r w:rsidRPr="004C78D8">
        <w:t xml:space="preserve">Having estimated the individual-level EQ-5D scores, a linear regression estimated the associations between EQ-5D scores and </w:t>
      </w:r>
      <w:r w:rsidR="003B24BC" w:rsidRPr="004C78D8">
        <w:t>individuals’</w:t>
      </w:r>
      <w:r w:rsidR="0078126A" w:rsidRPr="004C78D8">
        <w:t xml:space="preserve"> </w:t>
      </w:r>
      <w:r w:rsidR="00F22E6A" w:rsidRPr="004C78D8">
        <w:t>characteristics</w:t>
      </w:r>
      <w:r w:rsidRPr="004C78D8">
        <w:t xml:space="preserve">. Table </w:t>
      </w:r>
      <w:r w:rsidR="00D34803" w:rsidRPr="004C78D8">
        <w:t>5</w:t>
      </w:r>
      <w:r w:rsidR="00F52356" w:rsidRPr="004C78D8">
        <w:t>.1</w:t>
      </w:r>
      <w:r w:rsidR="0028032C" w:rsidRPr="004C78D8">
        <w:t>4</w:t>
      </w:r>
      <w:r w:rsidRPr="004C78D8">
        <w:t xml:space="preserve"> shows the results of the linear regression.</w:t>
      </w:r>
      <w:r w:rsidR="00E25BF1" w:rsidRPr="004C78D8">
        <w:t xml:space="preserve"> </w:t>
      </w:r>
      <w:r w:rsidR="00665CB1" w:rsidRPr="004C78D8">
        <w:t>To account for ceiling effects, individuals predicted an EQ-5D score greater than 1 (3.</w:t>
      </w:r>
      <w:r w:rsidR="000C683B" w:rsidRPr="004C78D8">
        <w:t>6</w:t>
      </w:r>
      <w:r w:rsidR="00665CB1" w:rsidRPr="004C78D8">
        <w:t xml:space="preserve">% of the cohort) were reassigned the score of 1. </w:t>
      </w:r>
      <w:r w:rsidR="0024772C" w:rsidRPr="004C78D8">
        <w:t xml:space="preserve">Predicted </w:t>
      </w:r>
      <w:r w:rsidR="00E25BF1" w:rsidRPr="004C78D8">
        <w:t>scores were</w:t>
      </w:r>
      <w:r w:rsidR="00665CB1" w:rsidRPr="004C78D8">
        <w:t xml:space="preserve"> </w:t>
      </w:r>
      <w:r w:rsidR="00E25BF1" w:rsidRPr="004C78D8">
        <w:t xml:space="preserve">assigned to </w:t>
      </w:r>
      <w:r w:rsidR="00665CB1" w:rsidRPr="004C78D8">
        <w:t>simulated</w:t>
      </w:r>
      <w:r w:rsidR="00E25BF1" w:rsidRPr="004C78D8">
        <w:t xml:space="preserve"> individuals. </w:t>
      </w:r>
    </w:p>
    <w:tbl>
      <w:tblPr>
        <w:tblStyle w:val="TableGrid"/>
        <w:tblW w:w="0" w:type="auto"/>
        <w:tblInd w:w="-5" w:type="dxa"/>
        <w:tblLook w:val="04A0" w:firstRow="1" w:lastRow="0" w:firstColumn="1" w:lastColumn="0" w:noHBand="0" w:noVBand="1"/>
      </w:tblPr>
      <w:tblGrid>
        <w:gridCol w:w="2263"/>
        <w:gridCol w:w="1843"/>
        <w:gridCol w:w="1559"/>
      </w:tblGrid>
      <w:tr w:rsidR="00A81A4C" w:rsidRPr="004C78D8" w14:paraId="6F8E450A" w14:textId="77777777" w:rsidTr="00E35893">
        <w:tc>
          <w:tcPr>
            <w:tcW w:w="5665" w:type="dxa"/>
            <w:gridSpan w:val="3"/>
          </w:tcPr>
          <w:p w14:paraId="59DC329B" w14:textId="49767612" w:rsidR="00A81A4C" w:rsidRPr="004C78D8" w:rsidRDefault="00A81A4C" w:rsidP="00FB7C1F">
            <w:pPr>
              <w:jc w:val="left"/>
            </w:pPr>
            <w:r w:rsidRPr="004C78D8">
              <w:rPr>
                <w:b/>
                <w:bCs/>
              </w:rPr>
              <w:t xml:space="preserve">Table </w:t>
            </w:r>
            <w:r w:rsidR="00D34803" w:rsidRPr="004C78D8">
              <w:rPr>
                <w:b/>
                <w:bCs/>
              </w:rPr>
              <w:t>5</w:t>
            </w:r>
            <w:r w:rsidR="00F52356" w:rsidRPr="004C78D8">
              <w:rPr>
                <w:b/>
                <w:bCs/>
              </w:rPr>
              <w:t>.1</w:t>
            </w:r>
            <w:r w:rsidR="0028032C" w:rsidRPr="004C78D8">
              <w:rPr>
                <w:b/>
                <w:bCs/>
              </w:rPr>
              <w:t>4</w:t>
            </w:r>
            <w:r w:rsidRPr="004C78D8">
              <w:t xml:space="preserve"> </w:t>
            </w:r>
            <w:r w:rsidR="00E33050" w:rsidRPr="004C78D8">
              <w:t>Linear</w:t>
            </w:r>
            <w:r w:rsidRPr="004C78D8">
              <w:t xml:space="preserve"> regression coefficients for </w:t>
            </w:r>
            <w:r w:rsidR="00E33050" w:rsidRPr="004C78D8">
              <w:t>EQ-5D</w:t>
            </w:r>
            <w:r w:rsidRPr="004C78D8">
              <w:t xml:space="preserve"> </w:t>
            </w:r>
            <w:r w:rsidR="00CE363E" w:rsidRPr="004C78D8">
              <w:t>from</w:t>
            </w:r>
            <w:r w:rsidRPr="004C78D8">
              <w:t xml:space="preserve"> ELSA</w:t>
            </w:r>
            <w:r w:rsidR="001B708F" w:rsidRPr="004C78D8">
              <w:t xml:space="preserve"> Wave</w:t>
            </w:r>
            <w:r w:rsidR="000872AB" w:rsidRPr="004C78D8">
              <w:t>s</w:t>
            </w:r>
            <w:r w:rsidR="001B708F" w:rsidRPr="004C78D8">
              <w:t xml:space="preserve"> 4</w:t>
            </w:r>
            <w:r w:rsidR="000872AB" w:rsidRPr="004C78D8">
              <w:t xml:space="preserve"> and 5</w:t>
            </w:r>
            <w:r w:rsidR="00CE363E" w:rsidRPr="004C78D8">
              <w:t>.</w:t>
            </w:r>
          </w:p>
        </w:tc>
      </w:tr>
      <w:tr w:rsidR="00A81A4C" w:rsidRPr="004C78D8" w14:paraId="2E0D74CD" w14:textId="77777777" w:rsidTr="00E35893">
        <w:tc>
          <w:tcPr>
            <w:tcW w:w="5665" w:type="dxa"/>
            <w:gridSpan w:val="3"/>
          </w:tcPr>
          <w:p w14:paraId="3FFB7D94" w14:textId="6FFC8B3C" w:rsidR="00A81A4C" w:rsidRPr="004C78D8" w:rsidRDefault="00A81A4C" w:rsidP="00FB7C1F">
            <w:pPr>
              <w:jc w:val="left"/>
              <w:rPr>
                <w:b/>
                <w:bCs/>
                <w:i/>
                <w:iCs/>
                <w:sz w:val="20"/>
                <w:szCs w:val="20"/>
              </w:rPr>
            </w:pPr>
            <w:r w:rsidRPr="004C78D8">
              <w:rPr>
                <w:b/>
                <w:bCs/>
                <w:i/>
                <w:iCs/>
                <w:sz w:val="20"/>
                <w:szCs w:val="20"/>
              </w:rPr>
              <w:t xml:space="preserve">Dependent variable: </w:t>
            </w:r>
            <w:r w:rsidR="00917D83" w:rsidRPr="004C78D8">
              <w:rPr>
                <w:b/>
                <w:bCs/>
                <w:i/>
                <w:iCs/>
                <w:sz w:val="20"/>
                <w:szCs w:val="20"/>
              </w:rPr>
              <w:t>EQ-5D</w:t>
            </w:r>
            <w:r w:rsidRPr="004C78D8">
              <w:rPr>
                <w:b/>
                <w:bCs/>
                <w:i/>
                <w:iCs/>
                <w:sz w:val="20"/>
                <w:szCs w:val="20"/>
              </w:rPr>
              <w:t xml:space="preserve"> </w:t>
            </w:r>
            <w:r w:rsidR="00A1629B" w:rsidRPr="004C78D8">
              <w:rPr>
                <w:b/>
                <w:bCs/>
                <w:i/>
                <w:iCs/>
                <w:sz w:val="20"/>
                <w:szCs w:val="20"/>
              </w:rPr>
              <w:t xml:space="preserve">(0-1) </w:t>
            </w:r>
            <w:r w:rsidRPr="004C78D8">
              <w:rPr>
                <w:b/>
                <w:bCs/>
                <w:i/>
                <w:iCs/>
                <w:sz w:val="20"/>
                <w:szCs w:val="20"/>
              </w:rPr>
              <w:t>(N=</w:t>
            </w:r>
            <w:r w:rsidR="000872AB" w:rsidRPr="004C78D8">
              <w:rPr>
                <w:b/>
                <w:bCs/>
                <w:i/>
                <w:iCs/>
                <w:sz w:val="20"/>
                <w:szCs w:val="20"/>
              </w:rPr>
              <w:t>13</w:t>
            </w:r>
            <w:r w:rsidRPr="004C78D8">
              <w:rPr>
                <w:b/>
                <w:bCs/>
                <w:i/>
                <w:iCs/>
                <w:sz w:val="20"/>
                <w:szCs w:val="20"/>
              </w:rPr>
              <w:t>,</w:t>
            </w:r>
            <w:r w:rsidR="000872AB" w:rsidRPr="004C78D8">
              <w:rPr>
                <w:b/>
                <w:bCs/>
                <w:i/>
                <w:iCs/>
                <w:sz w:val="20"/>
                <w:szCs w:val="20"/>
              </w:rPr>
              <w:t>422</w:t>
            </w:r>
            <w:r w:rsidRPr="004C78D8">
              <w:rPr>
                <w:b/>
                <w:bCs/>
                <w:i/>
                <w:iCs/>
                <w:sz w:val="20"/>
                <w:szCs w:val="20"/>
              </w:rPr>
              <w:t>)</w:t>
            </w:r>
          </w:p>
        </w:tc>
      </w:tr>
      <w:tr w:rsidR="00A81A4C" w:rsidRPr="004C78D8" w14:paraId="7DAAB6E7" w14:textId="77777777" w:rsidTr="00E35893">
        <w:tc>
          <w:tcPr>
            <w:tcW w:w="2263" w:type="dxa"/>
            <w:tcBorders>
              <w:bottom w:val="single" w:sz="4" w:space="0" w:color="auto"/>
            </w:tcBorders>
          </w:tcPr>
          <w:p w14:paraId="5546B4BD" w14:textId="77777777" w:rsidR="00A81A4C" w:rsidRPr="004C78D8" w:rsidRDefault="00A81A4C" w:rsidP="00FB7C1F">
            <w:pPr>
              <w:rPr>
                <w:b/>
                <w:bCs/>
                <w:sz w:val="20"/>
                <w:szCs w:val="20"/>
              </w:rPr>
            </w:pPr>
            <w:r w:rsidRPr="004C78D8">
              <w:rPr>
                <w:b/>
                <w:bCs/>
                <w:sz w:val="20"/>
                <w:szCs w:val="20"/>
              </w:rPr>
              <w:t>Explanatory variables</w:t>
            </w:r>
          </w:p>
        </w:tc>
        <w:tc>
          <w:tcPr>
            <w:tcW w:w="1843" w:type="dxa"/>
            <w:tcBorders>
              <w:bottom w:val="single" w:sz="4" w:space="0" w:color="auto"/>
            </w:tcBorders>
          </w:tcPr>
          <w:p w14:paraId="14908F74" w14:textId="77777777" w:rsidR="00A81A4C" w:rsidRPr="004C78D8" w:rsidRDefault="00A81A4C" w:rsidP="00FB7C1F">
            <w:pPr>
              <w:jc w:val="center"/>
              <w:rPr>
                <w:b/>
                <w:bCs/>
                <w:sz w:val="20"/>
                <w:szCs w:val="20"/>
              </w:rPr>
            </w:pPr>
            <w:r w:rsidRPr="004C78D8">
              <w:rPr>
                <w:b/>
                <w:bCs/>
                <w:sz w:val="20"/>
                <w:szCs w:val="20"/>
              </w:rPr>
              <w:t>Coefficient (SE)</w:t>
            </w:r>
          </w:p>
        </w:tc>
        <w:tc>
          <w:tcPr>
            <w:tcW w:w="1559" w:type="dxa"/>
            <w:tcBorders>
              <w:bottom w:val="single" w:sz="4" w:space="0" w:color="auto"/>
            </w:tcBorders>
          </w:tcPr>
          <w:p w14:paraId="08DC11FC" w14:textId="77777777" w:rsidR="00A81A4C" w:rsidRPr="004C78D8" w:rsidRDefault="00A81A4C" w:rsidP="00FB7C1F">
            <w:pPr>
              <w:jc w:val="center"/>
              <w:rPr>
                <w:b/>
                <w:bCs/>
                <w:sz w:val="20"/>
                <w:szCs w:val="20"/>
              </w:rPr>
            </w:pPr>
            <w:r w:rsidRPr="004C78D8">
              <w:rPr>
                <w:b/>
                <w:bCs/>
                <w:sz w:val="20"/>
                <w:szCs w:val="20"/>
              </w:rPr>
              <w:t>P-value</w:t>
            </w:r>
          </w:p>
        </w:tc>
      </w:tr>
      <w:tr w:rsidR="00A81A4C" w:rsidRPr="004C78D8" w14:paraId="5743765D" w14:textId="77777777" w:rsidTr="00E35893">
        <w:tc>
          <w:tcPr>
            <w:tcW w:w="2263" w:type="dxa"/>
            <w:tcBorders>
              <w:bottom w:val="nil"/>
            </w:tcBorders>
          </w:tcPr>
          <w:p w14:paraId="1937AB44" w14:textId="77777777" w:rsidR="00A81A4C" w:rsidRPr="004C78D8" w:rsidRDefault="00A81A4C" w:rsidP="00FB7C1F">
            <w:pPr>
              <w:rPr>
                <w:sz w:val="18"/>
                <w:szCs w:val="18"/>
              </w:rPr>
            </w:pPr>
            <w:r w:rsidRPr="004C78D8">
              <w:rPr>
                <w:sz w:val="18"/>
                <w:szCs w:val="18"/>
              </w:rPr>
              <w:t>Constant</w:t>
            </w:r>
          </w:p>
        </w:tc>
        <w:tc>
          <w:tcPr>
            <w:tcW w:w="1843" w:type="dxa"/>
            <w:tcBorders>
              <w:bottom w:val="nil"/>
            </w:tcBorders>
          </w:tcPr>
          <w:p w14:paraId="07B2002F" w14:textId="628B9A9B" w:rsidR="00A81A4C" w:rsidRPr="004C78D8" w:rsidRDefault="000872AB" w:rsidP="00FB7C1F">
            <w:pPr>
              <w:jc w:val="center"/>
              <w:rPr>
                <w:sz w:val="18"/>
                <w:szCs w:val="18"/>
              </w:rPr>
            </w:pPr>
            <w:r w:rsidRPr="004C78D8">
              <w:rPr>
                <w:sz w:val="18"/>
                <w:szCs w:val="18"/>
              </w:rPr>
              <w:t>0.883</w:t>
            </w:r>
            <w:r w:rsidR="00555EC4" w:rsidRPr="004C78D8">
              <w:rPr>
                <w:sz w:val="18"/>
                <w:szCs w:val="18"/>
              </w:rPr>
              <w:t xml:space="preserve"> (0.</w:t>
            </w:r>
            <w:r w:rsidRPr="004C78D8">
              <w:rPr>
                <w:sz w:val="18"/>
                <w:szCs w:val="18"/>
              </w:rPr>
              <w:t>010</w:t>
            </w:r>
            <w:r w:rsidR="00555EC4" w:rsidRPr="004C78D8">
              <w:rPr>
                <w:sz w:val="18"/>
                <w:szCs w:val="18"/>
              </w:rPr>
              <w:t>)</w:t>
            </w:r>
          </w:p>
        </w:tc>
        <w:tc>
          <w:tcPr>
            <w:tcW w:w="1559" w:type="dxa"/>
            <w:tcBorders>
              <w:bottom w:val="nil"/>
            </w:tcBorders>
          </w:tcPr>
          <w:p w14:paraId="52BDD28E" w14:textId="7695437E" w:rsidR="00A81A4C" w:rsidRPr="004C78D8" w:rsidRDefault="00555EC4" w:rsidP="00FB7C1F">
            <w:pPr>
              <w:jc w:val="center"/>
              <w:rPr>
                <w:sz w:val="18"/>
                <w:szCs w:val="18"/>
              </w:rPr>
            </w:pPr>
            <w:r w:rsidRPr="004C78D8">
              <w:rPr>
                <w:sz w:val="18"/>
                <w:szCs w:val="18"/>
              </w:rPr>
              <w:t>&lt;0.001</w:t>
            </w:r>
          </w:p>
        </w:tc>
      </w:tr>
      <w:tr w:rsidR="00A81A4C" w:rsidRPr="004C78D8" w14:paraId="22F55A76" w14:textId="77777777" w:rsidTr="00E35893">
        <w:tc>
          <w:tcPr>
            <w:tcW w:w="2263" w:type="dxa"/>
            <w:tcBorders>
              <w:top w:val="nil"/>
              <w:bottom w:val="nil"/>
            </w:tcBorders>
          </w:tcPr>
          <w:p w14:paraId="25129D42" w14:textId="77777777" w:rsidR="00A81A4C" w:rsidRPr="004C78D8" w:rsidRDefault="00A81A4C" w:rsidP="00FB7C1F">
            <w:pPr>
              <w:rPr>
                <w:sz w:val="18"/>
                <w:szCs w:val="18"/>
              </w:rPr>
            </w:pPr>
            <w:r w:rsidRPr="004C78D8">
              <w:rPr>
                <w:sz w:val="18"/>
                <w:szCs w:val="18"/>
              </w:rPr>
              <w:t>Age^2</w:t>
            </w:r>
          </w:p>
        </w:tc>
        <w:tc>
          <w:tcPr>
            <w:tcW w:w="1843" w:type="dxa"/>
            <w:tcBorders>
              <w:top w:val="nil"/>
              <w:bottom w:val="nil"/>
            </w:tcBorders>
          </w:tcPr>
          <w:p w14:paraId="5627AC71" w14:textId="2B16B0D4" w:rsidR="00A81A4C" w:rsidRPr="004C78D8" w:rsidRDefault="00555EC4" w:rsidP="00FB7C1F">
            <w:pPr>
              <w:jc w:val="center"/>
              <w:rPr>
                <w:sz w:val="18"/>
                <w:szCs w:val="18"/>
              </w:rPr>
            </w:pPr>
            <w:r w:rsidRPr="004C78D8">
              <w:rPr>
                <w:sz w:val="18"/>
                <w:szCs w:val="18"/>
              </w:rPr>
              <w:t>0.000</w:t>
            </w:r>
            <w:r w:rsidR="000872AB" w:rsidRPr="004C78D8">
              <w:rPr>
                <w:sz w:val="18"/>
                <w:szCs w:val="18"/>
              </w:rPr>
              <w:t>04</w:t>
            </w:r>
            <w:r w:rsidRPr="004C78D8">
              <w:rPr>
                <w:sz w:val="18"/>
                <w:szCs w:val="18"/>
              </w:rPr>
              <w:t xml:space="preserve"> (0.0000</w:t>
            </w:r>
            <w:r w:rsidR="000872AB" w:rsidRPr="004C78D8">
              <w:rPr>
                <w:sz w:val="18"/>
                <w:szCs w:val="18"/>
              </w:rPr>
              <w:t>02</w:t>
            </w:r>
            <w:r w:rsidRPr="004C78D8">
              <w:rPr>
                <w:sz w:val="18"/>
                <w:szCs w:val="18"/>
              </w:rPr>
              <w:t>)</w:t>
            </w:r>
          </w:p>
        </w:tc>
        <w:tc>
          <w:tcPr>
            <w:tcW w:w="1559" w:type="dxa"/>
            <w:tcBorders>
              <w:top w:val="nil"/>
              <w:bottom w:val="nil"/>
            </w:tcBorders>
          </w:tcPr>
          <w:p w14:paraId="4B0F3F1F" w14:textId="763950C1" w:rsidR="00A81A4C" w:rsidRPr="004C78D8" w:rsidRDefault="00555EC4" w:rsidP="00FB7C1F">
            <w:pPr>
              <w:jc w:val="center"/>
              <w:rPr>
                <w:sz w:val="18"/>
                <w:szCs w:val="18"/>
              </w:rPr>
            </w:pPr>
            <w:r w:rsidRPr="004C78D8">
              <w:rPr>
                <w:sz w:val="18"/>
                <w:szCs w:val="18"/>
              </w:rPr>
              <w:t>&lt;0.001</w:t>
            </w:r>
          </w:p>
        </w:tc>
      </w:tr>
      <w:tr w:rsidR="00A81A4C" w:rsidRPr="004C78D8" w14:paraId="014C0C4A" w14:textId="77777777" w:rsidTr="00E35893">
        <w:tc>
          <w:tcPr>
            <w:tcW w:w="2263" w:type="dxa"/>
            <w:tcBorders>
              <w:top w:val="nil"/>
              <w:bottom w:val="nil"/>
            </w:tcBorders>
          </w:tcPr>
          <w:p w14:paraId="399C1E4F" w14:textId="77777777" w:rsidR="00A81A4C" w:rsidRPr="004C78D8" w:rsidRDefault="00A81A4C" w:rsidP="00FB7C1F">
            <w:pPr>
              <w:rPr>
                <w:sz w:val="18"/>
                <w:szCs w:val="18"/>
              </w:rPr>
            </w:pPr>
            <w:r w:rsidRPr="004C78D8">
              <w:rPr>
                <w:sz w:val="18"/>
                <w:szCs w:val="18"/>
              </w:rPr>
              <w:t>Female</w:t>
            </w:r>
          </w:p>
        </w:tc>
        <w:tc>
          <w:tcPr>
            <w:tcW w:w="1843" w:type="dxa"/>
            <w:tcBorders>
              <w:top w:val="nil"/>
              <w:bottom w:val="nil"/>
            </w:tcBorders>
          </w:tcPr>
          <w:p w14:paraId="35439471" w14:textId="5067BD7E" w:rsidR="00A81A4C" w:rsidRPr="004C78D8" w:rsidRDefault="00555EC4" w:rsidP="00FB7C1F">
            <w:pPr>
              <w:jc w:val="center"/>
              <w:rPr>
                <w:sz w:val="18"/>
                <w:szCs w:val="18"/>
              </w:rPr>
            </w:pPr>
            <w:r w:rsidRPr="004C78D8">
              <w:rPr>
                <w:sz w:val="18"/>
                <w:szCs w:val="18"/>
              </w:rPr>
              <w:t>-0.0</w:t>
            </w:r>
            <w:r w:rsidR="000872AB" w:rsidRPr="004C78D8">
              <w:rPr>
                <w:sz w:val="18"/>
                <w:szCs w:val="18"/>
              </w:rPr>
              <w:t>15</w:t>
            </w:r>
            <w:r w:rsidRPr="004C78D8">
              <w:rPr>
                <w:sz w:val="18"/>
                <w:szCs w:val="18"/>
              </w:rPr>
              <w:t xml:space="preserve"> (0.00</w:t>
            </w:r>
            <w:r w:rsidR="000872AB" w:rsidRPr="004C78D8">
              <w:rPr>
                <w:sz w:val="18"/>
                <w:szCs w:val="18"/>
              </w:rPr>
              <w:t>4</w:t>
            </w:r>
            <w:r w:rsidRPr="004C78D8">
              <w:rPr>
                <w:sz w:val="18"/>
                <w:szCs w:val="18"/>
              </w:rPr>
              <w:t>)</w:t>
            </w:r>
          </w:p>
        </w:tc>
        <w:tc>
          <w:tcPr>
            <w:tcW w:w="1559" w:type="dxa"/>
            <w:tcBorders>
              <w:top w:val="nil"/>
              <w:bottom w:val="nil"/>
            </w:tcBorders>
          </w:tcPr>
          <w:p w14:paraId="7CA2816C" w14:textId="45691BBE" w:rsidR="00A81A4C" w:rsidRPr="004C78D8" w:rsidRDefault="000872AB" w:rsidP="00FB7C1F">
            <w:pPr>
              <w:jc w:val="center"/>
              <w:rPr>
                <w:sz w:val="18"/>
                <w:szCs w:val="18"/>
              </w:rPr>
            </w:pPr>
            <w:r w:rsidRPr="004C78D8">
              <w:rPr>
                <w:sz w:val="18"/>
                <w:szCs w:val="18"/>
              </w:rPr>
              <w:t>&lt;0.001</w:t>
            </w:r>
          </w:p>
        </w:tc>
      </w:tr>
      <w:tr w:rsidR="00A81A4C" w:rsidRPr="004C78D8" w14:paraId="062DF3D1" w14:textId="77777777" w:rsidTr="00E35893">
        <w:tc>
          <w:tcPr>
            <w:tcW w:w="2263" w:type="dxa"/>
            <w:tcBorders>
              <w:top w:val="nil"/>
              <w:bottom w:val="nil"/>
            </w:tcBorders>
          </w:tcPr>
          <w:p w14:paraId="5D8036B1" w14:textId="4AD99134" w:rsidR="00A81A4C" w:rsidRPr="004C78D8" w:rsidRDefault="00CE363E" w:rsidP="00FB7C1F">
            <w:pPr>
              <w:rPr>
                <w:sz w:val="18"/>
                <w:szCs w:val="18"/>
              </w:rPr>
            </w:pPr>
            <w:r w:rsidRPr="004C78D8">
              <w:rPr>
                <w:sz w:val="18"/>
                <w:szCs w:val="18"/>
              </w:rPr>
              <w:t>SES</w:t>
            </w:r>
            <w:r w:rsidR="00A81A4C" w:rsidRPr="004C78D8">
              <w:rPr>
                <w:sz w:val="18"/>
                <w:szCs w:val="18"/>
              </w:rPr>
              <w:t xml:space="preserve"> (ref: Most privileged quartile)</w:t>
            </w:r>
          </w:p>
        </w:tc>
        <w:tc>
          <w:tcPr>
            <w:tcW w:w="1843" w:type="dxa"/>
            <w:tcBorders>
              <w:top w:val="nil"/>
              <w:bottom w:val="nil"/>
            </w:tcBorders>
          </w:tcPr>
          <w:p w14:paraId="1ABF0CE8" w14:textId="77777777" w:rsidR="00A81A4C" w:rsidRPr="004C78D8" w:rsidRDefault="00A81A4C" w:rsidP="00FB7C1F">
            <w:pPr>
              <w:jc w:val="center"/>
              <w:rPr>
                <w:sz w:val="18"/>
                <w:szCs w:val="18"/>
              </w:rPr>
            </w:pPr>
          </w:p>
        </w:tc>
        <w:tc>
          <w:tcPr>
            <w:tcW w:w="1559" w:type="dxa"/>
            <w:tcBorders>
              <w:top w:val="nil"/>
              <w:bottom w:val="nil"/>
            </w:tcBorders>
          </w:tcPr>
          <w:p w14:paraId="2E5ECEBD" w14:textId="77777777" w:rsidR="00A81A4C" w:rsidRPr="004C78D8" w:rsidRDefault="00A81A4C" w:rsidP="00FB7C1F">
            <w:pPr>
              <w:jc w:val="center"/>
              <w:rPr>
                <w:sz w:val="18"/>
                <w:szCs w:val="18"/>
              </w:rPr>
            </w:pPr>
          </w:p>
        </w:tc>
      </w:tr>
      <w:tr w:rsidR="00A81A4C" w:rsidRPr="004C78D8" w14:paraId="2BC0F4E0" w14:textId="77777777" w:rsidTr="00E35893">
        <w:tc>
          <w:tcPr>
            <w:tcW w:w="2263" w:type="dxa"/>
            <w:tcBorders>
              <w:top w:val="nil"/>
              <w:bottom w:val="nil"/>
            </w:tcBorders>
          </w:tcPr>
          <w:p w14:paraId="2BEF5385" w14:textId="77777777" w:rsidR="00A81A4C" w:rsidRPr="004C78D8" w:rsidRDefault="00A81A4C" w:rsidP="00FB7C1F">
            <w:pPr>
              <w:jc w:val="right"/>
              <w:rPr>
                <w:sz w:val="18"/>
                <w:szCs w:val="18"/>
              </w:rPr>
            </w:pPr>
            <w:r w:rsidRPr="004C78D8">
              <w:rPr>
                <w:i/>
                <w:iCs/>
                <w:sz w:val="18"/>
                <w:szCs w:val="18"/>
              </w:rPr>
              <w:t>2</w:t>
            </w:r>
            <w:r w:rsidRPr="004C78D8">
              <w:rPr>
                <w:i/>
                <w:iCs/>
                <w:sz w:val="18"/>
                <w:szCs w:val="18"/>
                <w:vertAlign w:val="superscript"/>
              </w:rPr>
              <w:t>nd</w:t>
            </w:r>
            <w:r w:rsidRPr="004C78D8">
              <w:rPr>
                <w:i/>
                <w:iCs/>
                <w:sz w:val="18"/>
                <w:szCs w:val="18"/>
              </w:rPr>
              <w:t xml:space="preserve"> quartile</w:t>
            </w:r>
          </w:p>
        </w:tc>
        <w:tc>
          <w:tcPr>
            <w:tcW w:w="1843" w:type="dxa"/>
            <w:tcBorders>
              <w:top w:val="nil"/>
              <w:bottom w:val="nil"/>
            </w:tcBorders>
          </w:tcPr>
          <w:p w14:paraId="1763F0CF" w14:textId="0F29AB94" w:rsidR="00A81A4C" w:rsidRPr="004C78D8" w:rsidRDefault="00555EC4" w:rsidP="00FB7C1F">
            <w:pPr>
              <w:jc w:val="center"/>
              <w:rPr>
                <w:sz w:val="18"/>
                <w:szCs w:val="18"/>
              </w:rPr>
            </w:pPr>
            <w:r w:rsidRPr="004C78D8">
              <w:rPr>
                <w:sz w:val="18"/>
                <w:szCs w:val="18"/>
              </w:rPr>
              <w:t>-0.00</w:t>
            </w:r>
            <w:r w:rsidR="000872AB" w:rsidRPr="004C78D8">
              <w:rPr>
                <w:sz w:val="18"/>
                <w:szCs w:val="18"/>
              </w:rPr>
              <w:t>9</w:t>
            </w:r>
            <w:r w:rsidRPr="004C78D8">
              <w:rPr>
                <w:sz w:val="18"/>
                <w:szCs w:val="18"/>
              </w:rPr>
              <w:t xml:space="preserve"> (0.00</w:t>
            </w:r>
            <w:r w:rsidR="000872AB" w:rsidRPr="004C78D8">
              <w:rPr>
                <w:sz w:val="18"/>
                <w:szCs w:val="18"/>
              </w:rPr>
              <w:t>5</w:t>
            </w:r>
            <w:r w:rsidRPr="004C78D8">
              <w:rPr>
                <w:sz w:val="18"/>
                <w:szCs w:val="18"/>
              </w:rPr>
              <w:t>)</w:t>
            </w:r>
          </w:p>
        </w:tc>
        <w:tc>
          <w:tcPr>
            <w:tcW w:w="1559" w:type="dxa"/>
            <w:tcBorders>
              <w:top w:val="nil"/>
              <w:bottom w:val="nil"/>
            </w:tcBorders>
          </w:tcPr>
          <w:p w14:paraId="7019E05B" w14:textId="74A984E7" w:rsidR="00A81A4C" w:rsidRPr="004C78D8" w:rsidRDefault="000872AB" w:rsidP="00FB7C1F">
            <w:pPr>
              <w:jc w:val="center"/>
              <w:rPr>
                <w:sz w:val="18"/>
                <w:szCs w:val="18"/>
              </w:rPr>
            </w:pPr>
            <w:r w:rsidRPr="004C78D8">
              <w:rPr>
                <w:sz w:val="18"/>
                <w:szCs w:val="18"/>
              </w:rPr>
              <w:t>0.070</w:t>
            </w:r>
          </w:p>
        </w:tc>
      </w:tr>
      <w:tr w:rsidR="00A81A4C" w:rsidRPr="004C78D8" w14:paraId="5DC2B6C0" w14:textId="77777777" w:rsidTr="00E35893">
        <w:tc>
          <w:tcPr>
            <w:tcW w:w="2263" w:type="dxa"/>
            <w:tcBorders>
              <w:top w:val="nil"/>
              <w:bottom w:val="nil"/>
            </w:tcBorders>
          </w:tcPr>
          <w:p w14:paraId="247F0BEB" w14:textId="77777777" w:rsidR="00A81A4C" w:rsidRPr="004C78D8" w:rsidRDefault="00A81A4C" w:rsidP="00FB7C1F">
            <w:pPr>
              <w:jc w:val="right"/>
              <w:rPr>
                <w:sz w:val="18"/>
                <w:szCs w:val="18"/>
              </w:rPr>
            </w:pPr>
            <w:r w:rsidRPr="004C78D8">
              <w:rPr>
                <w:i/>
                <w:iCs/>
                <w:sz w:val="18"/>
                <w:szCs w:val="18"/>
              </w:rPr>
              <w:t>3</w:t>
            </w:r>
            <w:r w:rsidRPr="004C78D8">
              <w:rPr>
                <w:i/>
                <w:iCs/>
                <w:sz w:val="18"/>
                <w:szCs w:val="18"/>
                <w:vertAlign w:val="superscript"/>
              </w:rPr>
              <w:t>rd</w:t>
            </w:r>
            <w:r w:rsidRPr="004C78D8">
              <w:rPr>
                <w:i/>
                <w:iCs/>
                <w:sz w:val="18"/>
                <w:szCs w:val="18"/>
              </w:rPr>
              <w:t xml:space="preserve"> quartile</w:t>
            </w:r>
          </w:p>
        </w:tc>
        <w:tc>
          <w:tcPr>
            <w:tcW w:w="1843" w:type="dxa"/>
            <w:tcBorders>
              <w:top w:val="nil"/>
              <w:bottom w:val="nil"/>
            </w:tcBorders>
          </w:tcPr>
          <w:p w14:paraId="38F90858" w14:textId="5FC0E1BE" w:rsidR="00A81A4C" w:rsidRPr="004C78D8" w:rsidRDefault="00555EC4" w:rsidP="00FB7C1F">
            <w:pPr>
              <w:jc w:val="center"/>
              <w:rPr>
                <w:sz w:val="18"/>
                <w:szCs w:val="18"/>
              </w:rPr>
            </w:pPr>
            <w:r w:rsidRPr="004C78D8">
              <w:rPr>
                <w:sz w:val="18"/>
                <w:szCs w:val="18"/>
              </w:rPr>
              <w:t>-0.0</w:t>
            </w:r>
            <w:r w:rsidR="000872AB" w:rsidRPr="004C78D8">
              <w:rPr>
                <w:sz w:val="18"/>
                <w:szCs w:val="18"/>
              </w:rPr>
              <w:t>21</w:t>
            </w:r>
            <w:r w:rsidRPr="004C78D8">
              <w:rPr>
                <w:sz w:val="18"/>
                <w:szCs w:val="18"/>
              </w:rPr>
              <w:t xml:space="preserve"> (0.00</w:t>
            </w:r>
            <w:r w:rsidR="000872AB" w:rsidRPr="004C78D8">
              <w:rPr>
                <w:sz w:val="18"/>
                <w:szCs w:val="18"/>
              </w:rPr>
              <w:t>4</w:t>
            </w:r>
            <w:r w:rsidRPr="004C78D8">
              <w:rPr>
                <w:sz w:val="18"/>
                <w:szCs w:val="18"/>
              </w:rPr>
              <w:t>)</w:t>
            </w:r>
          </w:p>
        </w:tc>
        <w:tc>
          <w:tcPr>
            <w:tcW w:w="1559" w:type="dxa"/>
            <w:tcBorders>
              <w:top w:val="nil"/>
              <w:bottom w:val="nil"/>
            </w:tcBorders>
          </w:tcPr>
          <w:p w14:paraId="44C1E6DE" w14:textId="1E3EB00F" w:rsidR="00A81A4C" w:rsidRPr="004C78D8" w:rsidRDefault="000872AB" w:rsidP="00FB7C1F">
            <w:pPr>
              <w:jc w:val="center"/>
              <w:rPr>
                <w:sz w:val="18"/>
                <w:szCs w:val="18"/>
              </w:rPr>
            </w:pPr>
            <w:r w:rsidRPr="004C78D8">
              <w:rPr>
                <w:sz w:val="18"/>
                <w:szCs w:val="18"/>
              </w:rPr>
              <w:t>&lt;0.001</w:t>
            </w:r>
          </w:p>
        </w:tc>
      </w:tr>
      <w:tr w:rsidR="00A81A4C" w:rsidRPr="004C78D8" w14:paraId="11DCAD4E" w14:textId="77777777" w:rsidTr="00E35893">
        <w:tc>
          <w:tcPr>
            <w:tcW w:w="2263" w:type="dxa"/>
            <w:tcBorders>
              <w:top w:val="nil"/>
              <w:bottom w:val="nil"/>
            </w:tcBorders>
          </w:tcPr>
          <w:p w14:paraId="11E9D75E" w14:textId="77777777" w:rsidR="00A81A4C" w:rsidRPr="004C78D8" w:rsidRDefault="00A81A4C" w:rsidP="00FB7C1F">
            <w:pPr>
              <w:jc w:val="right"/>
              <w:rPr>
                <w:sz w:val="18"/>
                <w:szCs w:val="18"/>
              </w:rPr>
            </w:pPr>
            <w:r w:rsidRPr="004C78D8">
              <w:rPr>
                <w:i/>
                <w:iCs/>
                <w:sz w:val="18"/>
                <w:szCs w:val="18"/>
              </w:rPr>
              <w:t>Most deprived quartile</w:t>
            </w:r>
          </w:p>
        </w:tc>
        <w:tc>
          <w:tcPr>
            <w:tcW w:w="1843" w:type="dxa"/>
            <w:tcBorders>
              <w:top w:val="nil"/>
              <w:bottom w:val="nil"/>
            </w:tcBorders>
          </w:tcPr>
          <w:p w14:paraId="52F7EF0A" w14:textId="18E74F34" w:rsidR="00A81A4C" w:rsidRPr="004C78D8" w:rsidRDefault="00555EC4" w:rsidP="00FB7C1F">
            <w:pPr>
              <w:jc w:val="center"/>
              <w:rPr>
                <w:sz w:val="18"/>
                <w:szCs w:val="18"/>
              </w:rPr>
            </w:pPr>
            <w:r w:rsidRPr="004C78D8">
              <w:rPr>
                <w:sz w:val="18"/>
                <w:szCs w:val="18"/>
              </w:rPr>
              <w:t>-0.0</w:t>
            </w:r>
            <w:r w:rsidR="000872AB" w:rsidRPr="004C78D8">
              <w:rPr>
                <w:sz w:val="18"/>
                <w:szCs w:val="18"/>
              </w:rPr>
              <w:t>53</w:t>
            </w:r>
            <w:r w:rsidRPr="004C78D8">
              <w:rPr>
                <w:sz w:val="18"/>
                <w:szCs w:val="18"/>
              </w:rPr>
              <w:t xml:space="preserve"> (0.00</w:t>
            </w:r>
            <w:r w:rsidR="000872AB" w:rsidRPr="004C78D8">
              <w:rPr>
                <w:sz w:val="18"/>
                <w:szCs w:val="18"/>
              </w:rPr>
              <w:t>6</w:t>
            </w:r>
            <w:r w:rsidRPr="004C78D8">
              <w:rPr>
                <w:sz w:val="18"/>
                <w:szCs w:val="18"/>
              </w:rPr>
              <w:t>)</w:t>
            </w:r>
          </w:p>
        </w:tc>
        <w:tc>
          <w:tcPr>
            <w:tcW w:w="1559" w:type="dxa"/>
            <w:tcBorders>
              <w:top w:val="nil"/>
              <w:bottom w:val="nil"/>
            </w:tcBorders>
          </w:tcPr>
          <w:p w14:paraId="0C9A2DD3" w14:textId="3CEA2893" w:rsidR="00A81A4C" w:rsidRPr="004C78D8" w:rsidRDefault="00555EC4" w:rsidP="00FB7C1F">
            <w:pPr>
              <w:jc w:val="center"/>
              <w:rPr>
                <w:sz w:val="18"/>
                <w:szCs w:val="18"/>
              </w:rPr>
            </w:pPr>
            <w:r w:rsidRPr="004C78D8">
              <w:rPr>
                <w:sz w:val="18"/>
                <w:szCs w:val="18"/>
              </w:rPr>
              <w:t>&lt;0.001</w:t>
            </w:r>
          </w:p>
        </w:tc>
      </w:tr>
      <w:tr w:rsidR="00555EC4" w:rsidRPr="004C78D8" w14:paraId="43578196" w14:textId="77777777" w:rsidTr="00E35893">
        <w:tc>
          <w:tcPr>
            <w:tcW w:w="2263" w:type="dxa"/>
            <w:tcBorders>
              <w:top w:val="nil"/>
              <w:bottom w:val="nil"/>
            </w:tcBorders>
          </w:tcPr>
          <w:p w14:paraId="7E9D4EF3" w14:textId="4A1FF8DF" w:rsidR="00555EC4" w:rsidRPr="004C78D8" w:rsidRDefault="00555EC4" w:rsidP="00FB7C1F">
            <w:pPr>
              <w:rPr>
                <w:sz w:val="18"/>
                <w:szCs w:val="18"/>
              </w:rPr>
            </w:pPr>
            <w:r w:rsidRPr="004C78D8">
              <w:rPr>
                <w:sz w:val="18"/>
                <w:szCs w:val="18"/>
              </w:rPr>
              <w:t>Falls history (ref: No falls history)</w:t>
            </w:r>
          </w:p>
        </w:tc>
        <w:tc>
          <w:tcPr>
            <w:tcW w:w="1843" w:type="dxa"/>
            <w:tcBorders>
              <w:top w:val="nil"/>
              <w:bottom w:val="nil"/>
            </w:tcBorders>
          </w:tcPr>
          <w:p w14:paraId="73EACD5D" w14:textId="77777777" w:rsidR="00555EC4" w:rsidRPr="004C78D8" w:rsidRDefault="00555EC4" w:rsidP="00FB7C1F">
            <w:pPr>
              <w:jc w:val="center"/>
              <w:rPr>
                <w:sz w:val="18"/>
                <w:szCs w:val="18"/>
              </w:rPr>
            </w:pPr>
          </w:p>
        </w:tc>
        <w:tc>
          <w:tcPr>
            <w:tcW w:w="1559" w:type="dxa"/>
            <w:tcBorders>
              <w:top w:val="nil"/>
              <w:bottom w:val="nil"/>
            </w:tcBorders>
          </w:tcPr>
          <w:p w14:paraId="11D56A31" w14:textId="77777777" w:rsidR="00555EC4" w:rsidRPr="004C78D8" w:rsidRDefault="00555EC4" w:rsidP="00FB7C1F">
            <w:pPr>
              <w:jc w:val="center"/>
              <w:rPr>
                <w:sz w:val="18"/>
                <w:szCs w:val="18"/>
              </w:rPr>
            </w:pPr>
          </w:p>
        </w:tc>
      </w:tr>
      <w:tr w:rsidR="00555EC4" w:rsidRPr="004C78D8" w14:paraId="36056D8E" w14:textId="77777777" w:rsidTr="00E35893">
        <w:tc>
          <w:tcPr>
            <w:tcW w:w="2263" w:type="dxa"/>
            <w:tcBorders>
              <w:top w:val="nil"/>
              <w:bottom w:val="nil"/>
            </w:tcBorders>
          </w:tcPr>
          <w:p w14:paraId="65D0DE24" w14:textId="479B6A1D" w:rsidR="00555EC4" w:rsidRPr="004C78D8" w:rsidRDefault="00555EC4" w:rsidP="00FB7C1F">
            <w:pPr>
              <w:jc w:val="right"/>
              <w:rPr>
                <w:sz w:val="18"/>
                <w:szCs w:val="18"/>
              </w:rPr>
            </w:pPr>
            <w:r w:rsidRPr="004C78D8">
              <w:rPr>
                <w:i/>
                <w:iCs/>
                <w:sz w:val="18"/>
                <w:szCs w:val="18"/>
              </w:rPr>
              <w:t>Single non-MA fall</w:t>
            </w:r>
          </w:p>
        </w:tc>
        <w:tc>
          <w:tcPr>
            <w:tcW w:w="1843" w:type="dxa"/>
            <w:tcBorders>
              <w:top w:val="nil"/>
              <w:bottom w:val="nil"/>
            </w:tcBorders>
          </w:tcPr>
          <w:p w14:paraId="18E6FA0D" w14:textId="2F397EE4" w:rsidR="00555EC4" w:rsidRPr="004C78D8" w:rsidRDefault="00555EC4" w:rsidP="00FB7C1F">
            <w:pPr>
              <w:jc w:val="center"/>
              <w:rPr>
                <w:sz w:val="18"/>
                <w:szCs w:val="18"/>
              </w:rPr>
            </w:pPr>
            <w:r w:rsidRPr="004C78D8">
              <w:rPr>
                <w:sz w:val="18"/>
                <w:szCs w:val="18"/>
              </w:rPr>
              <w:t>-0.0</w:t>
            </w:r>
            <w:r w:rsidR="000872AB" w:rsidRPr="004C78D8">
              <w:rPr>
                <w:sz w:val="18"/>
                <w:szCs w:val="18"/>
              </w:rPr>
              <w:t>10</w:t>
            </w:r>
            <w:r w:rsidRPr="004C78D8">
              <w:rPr>
                <w:sz w:val="18"/>
                <w:szCs w:val="18"/>
              </w:rPr>
              <w:t xml:space="preserve"> (0.00</w:t>
            </w:r>
            <w:r w:rsidR="000872AB" w:rsidRPr="004C78D8">
              <w:rPr>
                <w:sz w:val="18"/>
                <w:szCs w:val="18"/>
              </w:rPr>
              <w:t>6</w:t>
            </w:r>
            <w:r w:rsidRPr="004C78D8">
              <w:rPr>
                <w:sz w:val="18"/>
                <w:szCs w:val="18"/>
              </w:rPr>
              <w:t>)</w:t>
            </w:r>
          </w:p>
        </w:tc>
        <w:tc>
          <w:tcPr>
            <w:tcW w:w="1559" w:type="dxa"/>
            <w:tcBorders>
              <w:top w:val="nil"/>
              <w:bottom w:val="nil"/>
            </w:tcBorders>
          </w:tcPr>
          <w:p w14:paraId="70137892" w14:textId="783A0294" w:rsidR="00555EC4" w:rsidRPr="004C78D8" w:rsidRDefault="00555EC4" w:rsidP="00FB7C1F">
            <w:pPr>
              <w:jc w:val="center"/>
              <w:rPr>
                <w:sz w:val="18"/>
                <w:szCs w:val="18"/>
              </w:rPr>
            </w:pPr>
            <w:r w:rsidRPr="004C78D8">
              <w:rPr>
                <w:sz w:val="18"/>
                <w:szCs w:val="18"/>
              </w:rPr>
              <w:t>0.</w:t>
            </w:r>
            <w:r w:rsidR="000872AB" w:rsidRPr="004C78D8">
              <w:rPr>
                <w:sz w:val="18"/>
                <w:szCs w:val="18"/>
              </w:rPr>
              <w:t>097</w:t>
            </w:r>
          </w:p>
        </w:tc>
      </w:tr>
      <w:tr w:rsidR="00555EC4" w:rsidRPr="004C78D8" w14:paraId="43F9BC2F" w14:textId="77777777" w:rsidTr="00E35893">
        <w:tc>
          <w:tcPr>
            <w:tcW w:w="2263" w:type="dxa"/>
            <w:tcBorders>
              <w:top w:val="nil"/>
              <w:bottom w:val="nil"/>
            </w:tcBorders>
          </w:tcPr>
          <w:p w14:paraId="7A4906DD" w14:textId="3042B1FA" w:rsidR="00555EC4" w:rsidRPr="004C78D8" w:rsidRDefault="00555EC4" w:rsidP="00FB7C1F">
            <w:pPr>
              <w:jc w:val="right"/>
              <w:rPr>
                <w:sz w:val="18"/>
                <w:szCs w:val="18"/>
              </w:rPr>
            </w:pPr>
            <w:r w:rsidRPr="004C78D8">
              <w:rPr>
                <w:i/>
                <w:iCs/>
                <w:sz w:val="18"/>
                <w:szCs w:val="18"/>
              </w:rPr>
              <w:t>Recurrent non-MA falls</w:t>
            </w:r>
          </w:p>
        </w:tc>
        <w:tc>
          <w:tcPr>
            <w:tcW w:w="1843" w:type="dxa"/>
            <w:tcBorders>
              <w:top w:val="nil"/>
              <w:bottom w:val="nil"/>
            </w:tcBorders>
          </w:tcPr>
          <w:p w14:paraId="5E99504F" w14:textId="2A0004B4" w:rsidR="00555EC4" w:rsidRPr="004C78D8" w:rsidRDefault="00555EC4" w:rsidP="00FB7C1F">
            <w:pPr>
              <w:jc w:val="center"/>
              <w:rPr>
                <w:sz w:val="18"/>
                <w:szCs w:val="18"/>
              </w:rPr>
            </w:pPr>
            <w:r w:rsidRPr="004C78D8">
              <w:rPr>
                <w:sz w:val="18"/>
                <w:szCs w:val="18"/>
              </w:rPr>
              <w:t>-0.0</w:t>
            </w:r>
            <w:r w:rsidR="000872AB" w:rsidRPr="004C78D8">
              <w:rPr>
                <w:sz w:val="18"/>
                <w:szCs w:val="18"/>
              </w:rPr>
              <w:t>60</w:t>
            </w:r>
            <w:r w:rsidRPr="004C78D8">
              <w:rPr>
                <w:sz w:val="18"/>
                <w:szCs w:val="18"/>
              </w:rPr>
              <w:t xml:space="preserve"> (0.00</w:t>
            </w:r>
            <w:r w:rsidR="000872AB" w:rsidRPr="004C78D8">
              <w:rPr>
                <w:sz w:val="18"/>
                <w:szCs w:val="18"/>
              </w:rPr>
              <w:t>6</w:t>
            </w:r>
            <w:r w:rsidRPr="004C78D8">
              <w:rPr>
                <w:sz w:val="18"/>
                <w:szCs w:val="18"/>
              </w:rPr>
              <w:t>)</w:t>
            </w:r>
          </w:p>
        </w:tc>
        <w:tc>
          <w:tcPr>
            <w:tcW w:w="1559" w:type="dxa"/>
            <w:tcBorders>
              <w:top w:val="nil"/>
              <w:bottom w:val="nil"/>
            </w:tcBorders>
          </w:tcPr>
          <w:p w14:paraId="3AAAC2A3" w14:textId="3F9D1CAC" w:rsidR="00555EC4" w:rsidRPr="004C78D8" w:rsidRDefault="00555EC4" w:rsidP="00FB7C1F">
            <w:pPr>
              <w:jc w:val="center"/>
              <w:rPr>
                <w:sz w:val="18"/>
                <w:szCs w:val="18"/>
              </w:rPr>
            </w:pPr>
            <w:r w:rsidRPr="004C78D8">
              <w:rPr>
                <w:sz w:val="18"/>
                <w:szCs w:val="18"/>
              </w:rPr>
              <w:t>&lt;0.001</w:t>
            </w:r>
          </w:p>
        </w:tc>
      </w:tr>
      <w:tr w:rsidR="00555EC4" w:rsidRPr="004C78D8" w14:paraId="516026D8" w14:textId="77777777" w:rsidTr="00E35893">
        <w:trPr>
          <w:trHeight w:val="103"/>
        </w:trPr>
        <w:tc>
          <w:tcPr>
            <w:tcW w:w="2263" w:type="dxa"/>
            <w:tcBorders>
              <w:top w:val="nil"/>
              <w:bottom w:val="nil"/>
            </w:tcBorders>
          </w:tcPr>
          <w:p w14:paraId="6C76F060" w14:textId="09B29CB0" w:rsidR="00555EC4" w:rsidRPr="004C78D8" w:rsidRDefault="00555EC4" w:rsidP="00FB7C1F">
            <w:pPr>
              <w:jc w:val="right"/>
              <w:rPr>
                <w:sz w:val="18"/>
                <w:szCs w:val="18"/>
              </w:rPr>
            </w:pPr>
            <w:r w:rsidRPr="004C78D8">
              <w:rPr>
                <w:i/>
                <w:iCs/>
                <w:sz w:val="18"/>
                <w:szCs w:val="18"/>
              </w:rPr>
              <w:t>Single MA fall</w:t>
            </w:r>
          </w:p>
        </w:tc>
        <w:tc>
          <w:tcPr>
            <w:tcW w:w="1843" w:type="dxa"/>
            <w:tcBorders>
              <w:top w:val="nil"/>
              <w:bottom w:val="nil"/>
            </w:tcBorders>
          </w:tcPr>
          <w:p w14:paraId="29F0830B" w14:textId="54A0C86F" w:rsidR="00555EC4" w:rsidRPr="004C78D8" w:rsidRDefault="00555EC4" w:rsidP="00FB7C1F">
            <w:pPr>
              <w:jc w:val="center"/>
              <w:rPr>
                <w:sz w:val="18"/>
                <w:szCs w:val="18"/>
              </w:rPr>
            </w:pPr>
            <w:r w:rsidRPr="004C78D8">
              <w:rPr>
                <w:sz w:val="18"/>
                <w:szCs w:val="18"/>
              </w:rPr>
              <w:t>-0.01</w:t>
            </w:r>
            <w:r w:rsidR="000872AB" w:rsidRPr="004C78D8">
              <w:rPr>
                <w:sz w:val="18"/>
                <w:szCs w:val="18"/>
              </w:rPr>
              <w:t>5</w:t>
            </w:r>
            <w:r w:rsidRPr="004C78D8">
              <w:rPr>
                <w:sz w:val="18"/>
                <w:szCs w:val="18"/>
              </w:rPr>
              <w:t xml:space="preserve"> (0.0</w:t>
            </w:r>
            <w:r w:rsidR="000872AB" w:rsidRPr="004C78D8">
              <w:rPr>
                <w:sz w:val="18"/>
                <w:szCs w:val="18"/>
              </w:rPr>
              <w:t>09</w:t>
            </w:r>
            <w:r w:rsidRPr="004C78D8">
              <w:rPr>
                <w:sz w:val="18"/>
                <w:szCs w:val="18"/>
              </w:rPr>
              <w:t>)</w:t>
            </w:r>
          </w:p>
        </w:tc>
        <w:tc>
          <w:tcPr>
            <w:tcW w:w="1559" w:type="dxa"/>
            <w:tcBorders>
              <w:top w:val="nil"/>
              <w:bottom w:val="nil"/>
            </w:tcBorders>
          </w:tcPr>
          <w:p w14:paraId="0AE013B1" w14:textId="70FEB6C2" w:rsidR="00555EC4" w:rsidRPr="004C78D8" w:rsidRDefault="00555EC4" w:rsidP="00FB7C1F">
            <w:pPr>
              <w:jc w:val="center"/>
              <w:rPr>
                <w:sz w:val="18"/>
                <w:szCs w:val="18"/>
              </w:rPr>
            </w:pPr>
            <w:r w:rsidRPr="004C78D8">
              <w:rPr>
                <w:sz w:val="18"/>
                <w:szCs w:val="18"/>
              </w:rPr>
              <w:t>0.</w:t>
            </w:r>
            <w:r w:rsidR="000872AB" w:rsidRPr="004C78D8">
              <w:rPr>
                <w:sz w:val="18"/>
                <w:szCs w:val="18"/>
              </w:rPr>
              <w:t>095</w:t>
            </w:r>
          </w:p>
        </w:tc>
      </w:tr>
      <w:tr w:rsidR="00555EC4" w:rsidRPr="004C78D8" w14:paraId="63C3CE8B" w14:textId="77777777" w:rsidTr="00E35893">
        <w:tc>
          <w:tcPr>
            <w:tcW w:w="2263" w:type="dxa"/>
            <w:tcBorders>
              <w:top w:val="nil"/>
              <w:bottom w:val="nil"/>
            </w:tcBorders>
          </w:tcPr>
          <w:p w14:paraId="45679406" w14:textId="2431CFC0" w:rsidR="00555EC4" w:rsidRPr="004C78D8" w:rsidRDefault="00555EC4" w:rsidP="00FB7C1F">
            <w:pPr>
              <w:jc w:val="right"/>
              <w:rPr>
                <w:sz w:val="18"/>
                <w:szCs w:val="18"/>
              </w:rPr>
            </w:pPr>
            <w:r w:rsidRPr="004C78D8">
              <w:rPr>
                <w:i/>
                <w:iCs/>
                <w:sz w:val="18"/>
                <w:szCs w:val="18"/>
              </w:rPr>
              <w:t>Recurrent falls with MA</w:t>
            </w:r>
          </w:p>
        </w:tc>
        <w:tc>
          <w:tcPr>
            <w:tcW w:w="1843" w:type="dxa"/>
            <w:tcBorders>
              <w:top w:val="nil"/>
              <w:bottom w:val="nil"/>
            </w:tcBorders>
          </w:tcPr>
          <w:p w14:paraId="31A67E07" w14:textId="1A22FBB3" w:rsidR="00555EC4" w:rsidRPr="004C78D8" w:rsidRDefault="000C683B" w:rsidP="00FB7C1F">
            <w:pPr>
              <w:jc w:val="center"/>
              <w:rPr>
                <w:sz w:val="18"/>
                <w:szCs w:val="18"/>
              </w:rPr>
            </w:pPr>
            <w:r w:rsidRPr="004C78D8">
              <w:rPr>
                <w:sz w:val="18"/>
                <w:szCs w:val="18"/>
              </w:rPr>
              <w:t>-</w:t>
            </w:r>
            <w:r w:rsidR="00555EC4" w:rsidRPr="004C78D8">
              <w:rPr>
                <w:sz w:val="18"/>
                <w:szCs w:val="18"/>
              </w:rPr>
              <w:t>0.00</w:t>
            </w:r>
            <w:r w:rsidRPr="004C78D8">
              <w:rPr>
                <w:sz w:val="18"/>
                <w:szCs w:val="18"/>
              </w:rPr>
              <w:t>5</w:t>
            </w:r>
            <w:r w:rsidR="00555EC4" w:rsidRPr="004C78D8">
              <w:rPr>
                <w:sz w:val="18"/>
                <w:szCs w:val="18"/>
              </w:rPr>
              <w:t xml:space="preserve"> (0.01</w:t>
            </w:r>
            <w:r w:rsidRPr="004C78D8">
              <w:rPr>
                <w:sz w:val="18"/>
                <w:szCs w:val="18"/>
              </w:rPr>
              <w:t>1</w:t>
            </w:r>
            <w:r w:rsidR="00555EC4" w:rsidRPr="004C78D8">
              <w:rPr>
                <w:sz w:val="18"/>
                <w:szCs w:val="18"/>
              </w:rPr>
              <w:t>)</w:t>
            </w:r>
          </w:p>
        </w:tc>
        <w:tc>
          <w:tcPr>
            <w:tcW w:w="1559" w:type="dxa"/>
            <w:tcBorders>
              <w:top w:val="nil"/>
              <w:bottom w:val="nil"/>
            </w:tcBorders>
          </w:tcPr>
          <w:p w14:paraId="5B3D8FD5" w14:textId="70BB5687" w:rsidR="00555EC4" w:rsidRPr="004C78D8" w:rsidRDefault="00555EC4" w:rsidP="00FB7C1F">
            <w:pPr>
              <w:jc w:val="center"/>
              <w:rPr>
                <w:sz w:val="18"/>
                <w:szCs w:val="18"/>
              </w:rPr>
            </w:pPr>
            <w:r w:rsidRPr="004C78D8">
              <w:rPr>
                <w:sz w:val="18"/>
                <w:szCs w:val="18"/>
              </w:rPr>
              <w:t>0.</w:t>
            </w:r>
            <w:r w:rsidR="000C683B" w:rsidRPr="004C78D8">
              <w:rPr>
                <w:sz w:val="18"/>
                <w:szCs w:val="18"/>
              </w:rPr>
              <w:t>644</w:t>
            </w:r>
          </w:p>
        </w:tc>
      </w:tr>
      <w:tr w:rsidR="00555EC4" w:rsidRPr="004C78D8" w14:paraId="4B2EB157" w14:textId="77777777" w:rsidTr="00E35893">
        <w:tc>
          <w:tcPr>
            <w:tcW w:w="2263" w:type="dxa"/>
            <w:tcBorders>
              <w:top w:val="nil"/>
              <w:bottom w:val="nil"/>
            </w:tcBorders>
          </w:tcPr>
          <w:p w14:paraId="59F13EE9" w14:textId="77777777" w:rsidR="00555EC4" w:rsidRPr="004C78D8" w:rsidRDefault="00555EC4" w:rsidP="00FB7C1F">
            <w:pPr>
              <w:rPr>
                <w:sz w:val="18"/>
                <w:szCs w:val="18"/>
              </w:rPr>
            </w:pPr>
            <w:r w:rsidRPr="004C78D8">
              <w:rPr>
                <w:sz w:val="18"/>
                <w:szCs w:val="18"/>
              </w:rPr>
              <w:t>Frailty (0-100)</w:t>
            </w:r>
          </w:p>
        </w:tc>
        <w:tc>
          <w:tcPr>
            <w:tcW w:w="1843" w:type="dxa"/>
            <w:tcBorders>
              <w:top w:val="nil"/>
              <w:bottom w:val="nil"/>
            </w:tcBorders>
          </w:tcPr>
          <w:p w14:paraId="1707459E" w14:textId="608AB71D" w:rsidR="00555EC4" w:rsidRPr="004C78D8" w:rsidRDefault="00555EC4" w:rsidP="00FB7C1F">
            <w:pPr>
              <w:jc w:val="center"/>
              <w:rPr>
                <w:sz w:val="18"/>
                <w:szCs w:val="18"/>
              </w:rPr>
            </w:pPr>
            <w:r w:rsidRPr="004C78D8">
              <w:rPr>
                <w:sz w:val="18"/>
                <w:szCs w:val="18"/>
              </w:rPr>
              <w:t>-0.02</w:t>
            </w:r>
            <w:r w:rsidR="000C683B" w:rsidRPr="004C78D8">
              <w:rPr>
                <w:sz w:val="18"/>
                <w:szCs w:val="18"/>
              </w:rPr>
              <w:t>1</w:t>
            </w:r>
            <w:r w:rsidRPr="004C78D8">
              <w:rPr>
                <w:sz w:val="18"/>
                <w:szCs w:val="18"/>
              </w:rPr>
              <w:t xml:space="preserve"> (0.001)</w:t>
            </w:r>
          </w:p>
        </w:tc>
        <w:tc>
          <w:tcPr>
            <w:tcW w:w="1559" w:type="dxa"/>
            <w:tcBorders>
              <w:top w:val="nil"/>
              <w:bottom w:val="nil"/>
            </w:tcBorders>
          </w:tcPr>
          <w:p w14:paraId="0D067121" w14:textId="53019D81" w:rsidR="00555EC4" w:rsidRPr="004C78D8" w:rsidRDefault="00555EC4" w:rsidP="00FB7C1F">
            <w:pPr>
              <w:jc w:val="center"/>
              <w:rPr>
                <w:sz w:val="18"/>
                <w:szCs w:val="18"/>
              </w:rPr>
            </w:pPr>
            <w:r w:rsidRPr="004C78D8">
              <w:rPr>
                <w:sz w:val="18"/>
                <w:szCs w:val="18"/>
              </w:rPr>
              <w:t>&lt;0.001</w:t>
            </w:r>
          </w:p>
        </w:tc>
      </w:tr>
      <w:tr w:rsidR="00555EC4" w:rsidRPr="004C78D8" w14:paraId="1A354451" w14:textId="77777777" w:rsidTr="00E35893">
        <w:tc>
          <w:tcPr>
            <w:tcW w:w="2263" w:type="dxa"/>
            <w:tcBorders>
              <w:top w:val="nil"/>
              <w:bottom w:val="nil"/>
            </w:tcBorders>
          </w:tcPr>
          <w:p w14:paraId="595632D7" w14:textId="77777777" w:rsidR="00555EC4" w:rsidRPr="004C78D8" w:rsidRDefault="00555EC4" w:rsidP="00FB7C1F">
            <w:pPr>
              <w:rPr>
                <w:sz w:val="18"/>
                <w:szCs w:val="18"/>
              </w:rPr>
            </w:pPr>
            <w:r w:rsidRPr="004C78D8">
              <w:rPr>
                <w:sz w:val="18"/>
                <w:szCs w:val="18"/>
              </w:rPr>
              <w:t>Frailty^2</w:t>
            </w:r>
          </w:p>
        </w:tc>
        <w:tc>
          <w:tcPr>
            <w:tcW w:w="1843" w:type="dxa"/>
            <w:tcBorders>
              <w:top w:val="nil"/>
              <w:bottom w:val="nil"/>
            </w:tcBorders>
          </w:tcPr>
          <w:p w14:paraId="5AE952F2" w14:textId="410C7C88" w:rsidR="00555EC4" w:rsidRPr="004C78D8" w:rsidRDefault="00555EC4" w:rsidP="00FB7C1F">
            <w:pPr>
              <w:jc w:val="center"/>
              <w:rPr>
                <w:sz w:val="18"/>
                <w:szCs w:val="18"/>
              </w:rPr>
            </w:pPr>
            <w:r w:rsidRPr="004C78D8">
              <w:rPr>
                <w:sz w:val="18"/>
                <w:szCs w:val="18"/>
              </w:rPr>
              <w:t>0.0001 (0.0000</w:t>
            </w:r>
            <w:r w:rsidR="000C683B" w:rsidRPr="004C78D8">
              <w:rPr>
                <w:sz w:val="18"/>
                <w:szCs w:val="18"/>
              </w:rPr>
              <w:t>1</w:t>
            </w:r>
            <w:r w:rsidRPr="004C78D8">
              <w:rPr>
                <w:sz w:val="18"/>
                <w:szCs w:val="18"/>
              </w:rPr>
              <w:t>)</w:t>
            </w:r>
          </w:p>
        </w:tc>
        <w:tc>
          <w:tcPr>
            <w:tcW w:w="1559" w:type="dxa"/>
            <w:tcBorders>
              <w:top w:val="nil"/>
              <w:bottom w:val="nil"/>
            </w:tcBorders>
          </w:tcPr>
          <w:p w14:paraId="441FFCE2" w14:textId="0004304A" w:rsidR="00555EC4" w:rsidRPr="004C78D8" w:rsidRDefault="00555EC4" w:rsidP="00FB7C1F">
            <w:pPr>
              <w:jc w:val="center"/>
              <w:rPr>
                <w:sz w:val="18"/>
                <w:szCs w:val="18"/>
              </w:rPr>
            </w:pPr>
            <w:r w:rsidRPr="004C78D8">
              <w:rPr>
                <w:sz w:val="18"/>
                <w:szCs w:val="18"/>
              </w:rPr>
              <w:t>&lt;0.001</w:t>
            </w:r>
          </w:p>
        </w:tc>
      </w:tr>
      <w:tr w:rsidR="00555EC4" w:rsidRPr="004C78D8" w14:paraId="6CC8286E" w14:textId="77777777" w:rsidTr="00E35893">
        <w:tc>
          <w:tcPr>
            <w:tcW w:w="2263" w:type="dxa"/>
            <w:tcBorders>
              <w:top w:val="nil"/>
              <w:bottom w:val="nil"/>
            </w:tcBorders>
          </w:tcPr>
          <w:p w14:paraId="668D7E2C" w14:textId="4B4A7EA0" w:rsidR="00555EC4" w:rsidRPr="004C78D8" w:rsidRDefault="000C683B" w:rsidP="00FB7C1F">
            <w:pPr>
              <w:rPr>
                <w:sz w:val="18"/>
                <w:szCs w:val="18"/>
              </w:rPr>
            </w:pPr>
            <w:r w:rsidRPr="004C78D8">
              <w:rPr>
                <w:sz w:val="18"/>
                <w:szCs w:val="18"/>
              </w:rPr>
              <w:t>Cognitive impairment</w:t>
            </w:r>
          </w:p>
        </w:tc>
        <w:tc>
          <w:tcPr>
            <w:tcW w:w="1843" w:type="dxa"/>
            <w:tcBorders>
              <w:top w:val="nil"/>
              <w:bottom w:val="nil"/>
            </w:tcBorders>
          </w:tcPr>
          <w:p w14:paraId="5D2E58CA" w14:textId="4A56ADC6" w:rsidR="00555EC4" w:rsidRPr="004C78D8" w:rsidRDefault="00555EC4" w:rsidP="00FB7C1F">
            <w:pPr>
              <w:jc w:val="center"/>
              <w:rPr>
                <w:sz w:val="18"/>
                <w:szCs w:val="18"/>
              </w:rPr>
            </w:pPr>
            <w:r w:rsidRPr="004C78D8">
              <w:rPr>
                <w:sz w:val="18"/>
                <w:szCs w:val="18"/>
              </w:rPr>
              <w:t>-0.0</w:t>
            </w:r>
            <w:r w:rsidR="000C683B" w:rsidRPr="004C78D8">
              <w:rPr>
                <w:sz w:val="18"/>
                <w:szCs w:val="18"/>
              </w:rPr>
              <w:t>12</w:t>
            </w:r>
            <w:r w:rsidRPr="004C78D8">
              <w:rPr>
                <w:sz w:val="18"/>
                <w:szCs w:val="18"/>
              </w:rPr>
              <w:t xml:space="preserve"> (0.0</w:t>
            </w:r>
            <w:r w:rsidR="000C683B" w:rsidRPr="004C78D8">
              <w:rPr>
                <w:sz w:val="18"/>
                <w:szCs w:val="18"/>
              </w:rPr>
              <w:t>04</w:t>
            </w:r>
            <w:r w:rsidRPr="004C78D8">
              <w:rPr>
                <w:sz w:val="18"/>
                <w:szCs w:val="18"/>
              </w:rPr>
              <w:t>)</w:t>
            </w:r>
          </w:p>
        </w:tc>
        <w:tc>
          <w:tcPr>
            <w:tcW w:w="1559" w:type="dxa"/>
            <w:tcBorders>
              <w:top w:val="nil"/>
              <w:bottom w:val="nil"/>
            </w:tcBorders>
          </w:tcPr>
          <w:p w14:paraId="5611326B" w14:textId="38667A23" w:rsidR="00555EC4" w:rsidRPr="004C78D8" w:rsidRDefault="00555EC4" w:rsidP="00FB7C1F">
            <w:pPr>
              <w:jc w:val="center"/>
              <w:rPr>
                <w:sz w:val="18"/>
                <w:szCs w:val="18"/>
              </w:rPr>
            </w:pPr>
            <w:r w:rsidRPr="004C78D8">
              <w:rPr>
                <w:sz w:val="18"/>
                <w:szCs w:val="18"/>
              </w:rPr>
              <w:t>0.00</w:t>
            </w:r>
            <w:r w:rsidR="000C683B" w:rsidRPr="004C78D8">
              <w:rPr>
                <w:sz w:val="18"/>
                <w:szCs w:val="18"/>
              </w:rPr>
              <w:t>8</w:t>
            </w:r>
          </w:p>
        </w:tc>
      </w:tr>
      <w:tr w:rsidR="00555EC4" w:rsidRPr="004C78D8" w14:paraId="23EAF24C" w14:textId="77777777" w:rsidTr="00E35893">
        <w:tc>
          <w:tcPr>
            <w:tcW w:w="2263" w:type="dxa"/>
            <w:tcBorders>
              <w:top w:val="nil"/>
            </w:tcBorders>
          </w:tcPr>
          <w:p w14:paraId="088AA594" w14:textId="3761F06F" w:rsidR="00555EC4" w:rsidRPr="004C78D8" w:rsidRDefault="00555EC4" w:rsidP="00FB7C1F">
            <w:pPr>
              <w:rPr>
                <w:sz w:val="18"/>
                <w:szCs w:val="18"/>
              </w:rPr>
            </w:pPr>
            <w:r w:rsidRPr="004C78D8">
              <w:rPr>
                <w:sz w:val="18"/>
                <w:szCs w:val="18"/>
              </w:rPr>
              <w:t>Abnormal gait/balance</w:t>
            </w:r>
          </w:p>
        </w:tc>
        <w:tc>
          <w:tcPr>
            <w:tcW w:w="1843" w:type="dxa"/>
            <w:tcBorders>
              <w:top w:val="nil"/>
            </w:tcBorders>
          </w:tcPr>
          <w:p w14:paraId="49FEE38D" w14:textId="4AB60BEE" w:rsidR="00555EC4" w:rsidRPr="004C78D8" w:rsidRDefault="00555EC4" w:rsidP="00FB7C1F">
            <w:pPr>
              <w:jc w:val="center"/>
              <w:rPr>
                <w:sz w:val="18"/>
                <w:szCs w:val="18"/>
              </w:rPr>
            </w:pPr>
            <w:r w:rsidRPr="004C78D8">
              <w:rPr>
                <w:sz w:val="18"/>
                <w:szCs w:val="18"/>
              </w:rPr>
              <w:t>-0.0</w:t>
            </w:r>
            <w:r w:rsidR="000C683B" w:rsidRPr="004C78D8">
              <w:rPr>
                <w:sz w:val="18"/>
                <w:szCs w:val="18"/>
              </w:rPr>
              <w:t>40</w:t>
            </w:r>
            <w:r w:rsidRPr="004C78D8">
              <w:rPr>
                <w:sz w:val="18"/>
                <w:szCs w:val="18"/>
              </w:rPr>
              <w:t xml:space="preserve"> (0.00</w:t>
            </w:r>
            <w:r w:rsidR="000C683B" w:rsidRPr="004C78D8">
              <w:rPr>
                <w:sz w:val="18"/>
                <w:szCs w:val="18"/>
              </w:rPr>
              <w:t>5</w:t>
            </w:r>
            <w:r w:rsidRPr="004C78D8">
              <w:rPr>
                <w:sz w:val="18"/>
                <w:szCs w:val="18"/>
              </w:rPr>
              <w:t>)</w:t>
            </w:r>
          </w:p>
        </w:tc>
        <w:tc>
          <w:tcPr>
            <w:tcW w:w="1559" w:type="dxa"/>
            <w:tcBorders>
              <w:top w:val="nil"/>
            </w:tcBorders>
          </w:tcPr>
          <w:p w14:paraId="526C6852" w14:textId="43225F0B" w:rsidR="00555EC4" w:rsidRPr="004C78D8" w:rsidRDefault="00555EC4" w:rsidP="00FB7C1F">
            <w:pPr>
              <w:jc w:val="center"/>
              <w:rPr>
                <w:sz w:val="18"/>
                <w:szCs w:val="18"/>
              </w:rPr>
            </w:pPr>
            <w:r w:rsidRPr="004C78D8">
              <w:rPr>
                <w:sz w:val="18"/>
                <w:szCs w:val="18"/>
              </w:rPr>
              <w:t>&lt;0.001</w:t>
            </w:r>
          </w:p>
        </w:tc>
      </w:tr>
      <w:tr w:rsidR="00555EC4" w:rsidRPr="004C78D8" w14:paraId="41D73B8E" w14:textId="77777777" w:rsidTr="00E35893">
        <w:tc>
          <w:tcPr>
            <w:tcW w:w="5665" w:type="dxa"/>
            <w:gridSpan w:val="3"/>
          </w:tcPr>
          <w:p w14:paraId="075E25A7" w14:textId="794C02B5" w:rsidR="00555EC4" w:rsidRPr="004C78D8" w:rsidRDefault="00D10D5E" w:rsidP="00FB7C1F">
            <w:pPr>
              <w:rPr>
                <w:sz w:val="18"/>
                <w:szCs w:val="18"/>
              </w:rPr>
            </w:pPr>
            <w:r w:rsidRPr="004C78D8">
              <w:rPr>
                <w:b/>
                <w:bCs/>
                <w:sz w:val="18"/>
                <w:szCs w:val="18"/>
              </w:rPr>
              <w:t>Abbreviation</w:t>
            </w:r>
            <w:r w:rsidR="003B2AD7" w:rsidRPr="004C78D8">
              <w:rPr>
                <w:b/>
                <w:bCs/>
                <w:sz w:val="18"/>
                <w:szCs w:val="18"/>
              </w:rPr>
              <w:t>:</w:t>
            </w:r>
            <w:r w:rsidR="003B2AD7" w:rsidRPr="004C78D8">
              <w:rPr>
                <w:sz w:val="18"/>
                <w:szCs w:val="18"/>
              </w:rPr>
              <w:t xml:space="preserve"> </w:t>
            </w:r>
            <w:r w:rsidR="00555EC4" w:rsidRPr="004C78D8">
              <w:rPr>
                <w:sz w:val="18"/>
                <w:szCs w:val="18"/>
              </w:rPr>
              <w:t xml:space="preserve">ELSA: English Longitudinal Study of Ageing; </w:t>
            </w:r>
            <w:r w:rsidR="00BE1B10" w:rsidRPr="004C78D8">
              <w:rPr>
                <w:sz w:val="18"/>
                <w:szCs w:val="18"/>
              </w:rPr>
              <w:t xml:space="preserve">MA fall: fall requiring medical attention; </w:t>
            </w:r>
            <w:r w:rsidR="00555EC4" w:rsidRPr="004C78D8">
              <w:rPr>
                <w:sz w:val="18"/>
                <w:szCs w:val="18"/>
              </w:rPr>
              <w:t>Ref: reference; SE: standard error</w:t>
            </w:r>
            <w:r w:rsidR="00CE363E" w:rsidRPr="004C78D8">
              <w:rPr>
                <w:sz w:val="18"/>
                <w:szCs w:val="18"/>
              </w:rPr>
              <w:t>; SES: socioeconomic status</w:t>
            </w:r>
          </w:p>
        </w:tc>
      </w:tr>
    </w:tbl>
    <w:p w14:paraId="2DAC6C37" w14:textId="182443FC" w:rsidR="00881E0C" w:rsidRPr="004C78D8" w:rsidRDefault="00881E0C" w:rsidP="00FB7C1F"/>
    <w:p w14:paraId="282E2BF8" w14:textId="64C5E48B" w:rsidR="00B300E8" w:rsidRPr="004C78D8" w:rsidRDefault="007B4B9B" w:rsidP="00FB7C1F">
      <w:r w:rsidRPr="004C78D8">
        <w:t xml:space="preserve">Only the squared age term was significantly associated with EQ-5D, and the model fit improved when the ordinary age term was removed. </w:t>
      </w:r>
      <w:r w:rsidR="008820B9" w:rsidRPr="004C78D8">
        <w:t xml:space="preserve">Women had lower EQ-5D than men. Those in the </w:t>
      </w:r>
      <w:r w:rsidR="005D59E6" w:rsidRPr="004C78D8">
        <w:t xml:space="preserve">two </w:t>
      </w:r>
      <w:r w:rsidR="008820B9" w:rsidRPr="004C78D8">
        <w:t xml:space="preserve">most deprived </w:t>
      </w:r>
      <w:r w:rsidR="007E59A9" w:rsidRPr="004C78D8">
        <w:t>SES</w:t>
      </w:r>
      <w:r w:rsidR="008820B9" w:rsidRPr="004C78D8">
        <w:t xml:space="preserve"> quartile</w:t>
      </w:r>
      <w:r w:rsidR="005D59E6" w:rsidRPr="004C78D8">
        <w:t>s</w:t>
      </w:r>
      <w:r w:rsidR="008820B9" w:rsidRPr="004C78D8">
        <w:t xml:space="preserve"> had lower EQ-5D than those in the most privileged quartile. Coefficients for falls history produced counterintuitive results, with recurrent non-MA falls history being the only type to be associated with a statistically significant decrement in EQ-5D. </w:t>
      </w:r>
      <w:r w:rsidR="00284D7C" w:rsidRPr="004C78D8">
        <w:t xml:space="preserve">This can be explained by the closer relationship between MA falls history and frailty, such that estimation without frailty as explanatory variables produced more intuitive results: i.e., statistically significant EQ-5D decrements </w:t>
      </w:r>
      <w:r w:rsidR="008B1FD3" w:rsidRPr="004C78D8">
        <w:t xml:space="preserve">for both types of MA fall history which were </w:t>
      </w:r>
      <w:r w:rsidR="00284D7C" w:rsidRPr="004C78D8">
        <w:t xml:space="preserve">of larger magnitude than that of recurrent non-MA falls. </w:t>
      </w:r>
      <w:r w:rsidR="00B300E8" w:rsidRPr="004C78D8">
        <w:t>Higher frailty, cognitive impairment</w:t>
      </w:r>
      <w:r w:rsidR="003B24BC" w:rsidRPr="004C78D8">
        <w:t>,</w:t>
      </w:r>
      <w:r w:rsidR="00B300E8" w:rsidRPr="004C78D8">
        <w:t xml:space="preserve"> and abnormal gait/balance were all significantly associated with lower EQ-5D.</w:t>
      </w:r>
    </w:p>
    <w:p w14:paraId="4C4568D8" w14:textId="6B95BDD0" w:rsidR="00B13F05" w:rsidRPr="004C78D8" w:rsidRDefault="0083694D" w:rsidP="00FB7C1F">
      <w:r w:rsidRPr="004C78D8">
        <w:t>Note that</w:t>
      </w:r>
      <w:r w:rsidR="00B300E8" w:rsidRPr="004C78D8">
        <w:t xml:space="preserve"> the coefficients on the falls history variable are unlikely to capture the primary</w:t>
      </w:r>
      <w:r w:rsidRPr="004C78D8">
        <w:t>/acute</w:t>
      </w:r>
      <w:r w:rsidR="00B300E8" w:rsidRPr="004C78D8">
        <w:t xml:space="preserve"> effect of falls on </w:t>
      </w:r>
      <w:r w:rsidR="003B2AD7" w:rsidRPr="004C78D8">
        <w:t>EQ-5D</w:t>
      </w:r>
      <w:r w:rsidR="00B300E8" w:rsidRPr="004C78D8">
        <w:t xml:space="preserve">. This is because the EQ-5D data </w:t>
      </w:r>
      <w:r w:rsidRPr="004C78D8">
        <w:t>estimated</w:t>
      </w:r>
      <w:r w:rsidR="00B300E8" w:rsidRPr="004C78D8">
        <w:t xml:space="preserve"> from ELSA </w:t>
      </w:r>
      <w:r w:rsidRPr="004C78D8">
        <w:t xml:space="preserve">could have been recorded as much as 12 months after the fall incidence. </w:t>
      </w:r>
      <w:r w:rsidR="00222CB7" w:rsidRPr="004C78D8">
        <w:t xml:space="preserve">Section </w:t>
      </w:r>
      <w:r w:rsidR="00D34803" w:rsidRPr="004C78D8">
        <w:t>5</w:t>
      </w:r>
      <w:r w:rsidR="003B2AD7" w:rsidRPr="004C78D8">
        <w:t>.</w:t>
      </w:r>
      <w:r w:rsidR="0028032C" w:rsidRPr="004C78D8">
        <w:t>2</w:t>
      </w:r>
      <w:r w:rsidR="003B2AD7" w:rsidRPr="004C78D8">
        <w:t>.5</w:t>
      </w:r>
      <w:r w:rsidR="00222CB7" w:rsidRPr="004C78D8">
        <w:t xml:space="preserve">.3 separately models </w:t>
      </w:r>
      <w:r w:rsidR="00AE3B57" w:rsidRPr="004C78D8">
        <w:t xml:space="preserve">the acute </w:t>
      </w:r>
      <w:r w:rsidR="00222CB7" w:rsidRPr="004C78D8">
        <w:t xml:space="preserve">effect of falls on </w:t>
      </w:r>
      <w:r w:rsidRPr="004C78D8">
        <w:t>QALY</w:t>
      </w:r>
      <w:r w:rsidR="00AE3B57" w:rsidRPr="004C78D8">
        <w:t xml:space="preserve"> </w:t>
      </w:r>
      <w:r w:rsidR="000B13CF" w:rsidRPr="004C78D8">
        <w:t xml:space="preserve">using </w:t>
      </w:r>
      <w:r w:rsidRPr="004C78D8">
        <w:t xml:space="preserve">other </w:t>
      </w:r>
      <w:r w:rsidR="000B13CF" w:rsidRPr="004C78D8">
        <w:t>published data</w:t>
      </w:r>
      <w:r w:rsidR="00AE3B57" w:rsidRPr="004C78D8">
        <w:t>.</w:t>
      </w:r>
      <w:r w:rsidR="00B37270" w:rsidRPr="004C78D8">
        <w:t xml:space="preserve"> </w:t>
      </w:r>
      <w:r w:rsidR="002946DD" w:rsidRPr="004C78D8">
        <w:t xml:space="preserve">Moreover, </w:t>
      </w:r>
      <w:r w:rsidR="00DC377D" w:rsidRPr="004C78D8">
        <w:t xml:space="preserve">Section </w:t>
      </w:r>
      <w:r w:rsidR="00D34803" w:rsidRPr="004C78D8">
        <w:t>5</w:t>
      </w:r>
      <w:r w:rsidR="00DC377D" w:rsidRPr="004C78D8">
        <w:t>.</w:t>
      </w:r>
      <w:r w:rsidR="0028032C" w:rsidRPr="004C78D8">
        <w:t>2</w:t>
      </w:r>
      <w:r w:rsidR="00DC377D" w:rsidRPr="004C78D8">
        <w:t xml:space="preserve">.6.3 estimates the </w:t>
      </w:r>
      <w:r w:rsidR="002946DD" w:rsidRPr="004C78D8">
        <w:t>longitudinal</w:t>
      </w:r>
      <w:r w:rsidR="00DC377D" w:rsidRPr="004C78D8">
        <w:t xml:space="preserve"> progression of EQ-5D </w:t>
      </w:r>
      <w:r w:rsidR="002946DD" w:rsidRPr="004C78D8">
        <w:t>which</w:t>
      </w:r>
      <w:r w:rsidR="00DC377D" w:rsidRPr="004C78D8">
        <w:t xml:space="preserve"> capture th</w:t>
      </w:r>
      <w:r w:rsidR="002946DD" w:rsidRPr="004C78D8">
        <w:t>e</w:t>
      </w:r>
      <w:r w:rsidR="00DC377D" w:rsidRPr="004C78D8">
        <w:t xml:space="preserve"> s</w:t>
      </w:r>
      <w:r w:rsidR="00B37270" w:rsidRPr="004C78D8">
        <w:t>econdary effect</w:t>
      </w:r>
      <w:r w:rsidR="002946DD" w:rsidRPr="004C78D8">
        <w:t xml:space="preserve"> of falls via dynamic propagators such as frailty</w:t>
      </w:r>
      <w:r w:rsidR="00B37270" w:rsidRPr="004C78D8">
        <w:t xml:space="preserve">. </w:t>
      </w:r>
    </w:p>
    <w:p w14:paraId="345E42C5" w14:textId="6A9FCACC" w:rsidR="00CB4507" w:rsidRPr="004C78D8" w:rsidRDefault="00D34803" w:rsidP="00FB7C1F">
      <w:pPr>
        <w:pStyle w:val="Heading4"/>
      </w:pPr>
      <w:r w:rsidRPr="004C78D8">
        <w:t>5</w:t>
      </w:r>
      <w:r w:rsidR="00CB4507" w:rsidRPr="004C78D8">
        <w:t>.</w:t>
      </w:r>
      <w:r w:rsidR="00127AB4" w:rsidRPr="004C78D8">
        <w:t>2</w:t>
      </w:r>
      <w:r w:rsidR="00CB4507" w:rsidRPr="004C78D8">
        <w:t>.3.2 Productivity level</w:t>
      </w:r>
    </w:p>
    <w:p w14:paraId="1768390A" w14:textId="6EB09150" w:rsidR="00170E69" w:rsidRPr="004C78D8" w:rsidRDefault="00F01657" w:rsidP="00FB7C1F">
      <w:r w:rsidRPr="004C78D8">
        <w:t xml:space="preserve">The conceptual model </w:t>
      </w:r>
      <w:r w:rsidR="00E64A3B" w:rsidRPr="004C78D8">
        <w:t xml:space="preserve">identified productivity level – via formal employment and voluntary work – as a key non-health outcome </w:t>
      </w:r>
      <w:r w:rsidRPr="004C78D8">
        <w:t>(Section 3.</w:t>
      </w:r>
      <w:r w:rsidR="00E64A3B" w:rsidRPr="004C78D8">
        <w:t>5.1</w:t>
      </w:r>
      <w:r w:rsidRPr="004C78D8">
        <w:t xml:space="preserve">). </w:t>
      </w:r>
      <w:r w:rsidR="0005472D" w:rsidRPr="004C78D8">
        <w:t>Using ELSA, t</w:t>
      </w:r>
      <w:r w:rsidR="00170E69" w:rsidRPr="004C78D8">
        <w:t xml:space="preserve">his section </w:t>
      </w:r>
      <w:r w:rsidR="0005472D" w:rsidRPr="004C78D8">
        <w:t xml:space="preserve">estimates the probability of individuals engaging in </w:t>
      </w:r>
      <w:r w:rsidR="00FD465B" w:rsidRPr="004C78D8">
        <w:t>paid and unpaid forms</w:t>
      </w:r>
      <w:r w:rsidR="005E763B" w:rsidRPr="004C78D8">
        <w:t xml:space="preserve"> </w:t>
      </w:r>
      <w:r w:rsidRPr="004C78D8">
        <w:t xml:space="preserve">of </w:t>
      </w:r>
      <w:r w:rsidR="00170E69" w:rsidRPr="004C78D8">
        <w:t>productivity.</w:t>
      </w:r>
    </w:p>
    <w:p w14:paraId="33C06AF3" w14:textId="5B2F281D" w:rsidR="00B54EAA" w:rsidRPr="004C78D8" w:rsidRDefault="00B54EAA" w:rsidP="00FB7C1F">
      <w:pPr>
        <w:pStyle w:val="Heading5"/>
      </w:pPr>
      <w:r w:rsidRPr="004C78D8">
        <w:t>Paid employment</w:t>
      </w:r>
    </w:p>
    <w:p w14:paraId="3B22BCB3" w14:textId="3032CDBB" w:rsidR="006A250D" w:rsidRPr="004C78D8" w:rsidRDefault="00A4210D" w:rsidP="00FB7C1F">
      <w:r w:rsidRPr="004C78D8">
        <w:t>ELSA Waves 4</w:t>
      </w:r>
      <w:r w:rsidR="00F25B67" w:rsidRPr="004C78D8">
        <w:t>-</w:t>
      </w:r>
      <w:r w:rsidRPr="004C78D8">
        <w:t xml:space="preserve">5 contained information on whether the respondent was in paid employment in the previous week. </w:t>
      </w:r>
      <w:r w:rsidR="00EE27BD" w:rsidRPr="004C78D8">
        <w:t xml:space="preserve">Overall, 17.4% of the </w:t>
      </w:r>
      <w:r w:rsidR="00D85668" w:rsidRPr="004C78D8">
        <w:t xml:space="preserve">combined </w:t>
      </w:r>
      <w:r w:rsidR="00EE27BD" w:rsidRPr="004C78D8">
        <w:t>cohort aged 60</w:t>
      </w:r>
      <w:r w:rsidR="00164540" w:rsidRPr="004C78D8">
        <w:t>+</w:t>
      </w:r>
      <w:r w:rsidR="00EE27BD" w:rsidRPr="004C78D8">
        <w:t xml:space="preserve"> reported being in paid employment. </w:t>
      </w:r>
      <w:r w:rsidR="00571FA3" w:rsidRPr="004C78D8">
        <w:t xml:space="preserve">Table </w:t>
      </w:r>
      <w:r w:rsidR="00D34803" w:rsidRPr="004C78D8">
        <w:t>5</w:t>
      </w:r>
      <w:r w:rsidR="00E15F0A" w:rsidRPr="004C78D8">
        <w:t>.1</w:t>
      </w:r>
      <w:r w:rsidR="0028032C" w:rsidRPr="004C78D8">
        <w:t>5</w:t>
      </w:r>
      <w:r w:rsidR="00571FA3" w:rsidRPr="004C78D8">
        <w:t xml:space="preserve"> shows the regression coefficients from the best-fit model </w:t>
      </w:r>
      <w:r w:rsidR="0003215D" w:rsidRPr="004C78D8">
        <w:t xml:space="preserve">for </w:t>
      </w:r>
      <w:r w:rsidR="00571FA3" w:rsidRPr="004C78D8">
        <w:t xml:space="preserve">being in paid employment. </w:t>
      </w:r>
    </w:p>
    <w:tbl>
      <w:tblPr>
        <w:tblStyle w:val="TableGrid"/>
        <w:tblW w:w="0" w:type="auto"/>
        <w:tblInd w:w="-5" w:type="dxa"/>
        <w:tblLook w:val="04A0" w:firstRow="1" w:lastRow="0" w:firstColumn="1" w:lastColumn="0" w:noHBand="0" w:noVBand="1"/>
      </w:tblPr>
      <w:tblGrid>
        <w:gridCol w:w="2263"/>
        <w:gridCol w:w="1701"/>
        <w:gridCol w:w="1701"/>
      </w:tblGrid>
      <w:tr w:rsidR="00AD3CE6" w:rsidRPr="004C78D8" w14:paraId="438B4139" w14:textId="77777777" w:rsidTr="00E35893">
        <w:tc>
          <w:tcPr>
            <w:tcW w:w="5665" w:type="dxa"/>
            <w:gridSpan w:val="3"/>
          </w:tcPr>
          <w:p w14:paraId="4D90B562" w14:textId="280B5567" w:rsidR="00AD3CE6" w:rsidRPr="004C78D8" w:rsidRDefault="00AD3CE6" w:rsidP="00FB7C1F">
            <w:pPr>
              <w:jc w:val="left"/>
            </w:pPr>
            <w:r w:rsidRPr="004C78D8">
              <w:rPr>
                <w:b/>
                <w:bCs/>
              </w:rPr>
              <w:t xml:space="preserve">Table </w:t>
            </w:r>
            <w:r w:rsidR="00D34803" w:rsidRPr="004C78D8">
              <w:rPr>
                <w:b/>
                <w:bCs/>
              </w:rPr>
              <w:t>5</w:t>
            </w:r>
            <w:r w:rsidR="00896FF3" w:rsidRPr="004C78D8">
              <w:rPr>
                <w:b/>
                <w:bCs/>
              </w:rPr>
              <w:t>.1</w:t>
            </w:r>
            <w:r w:rsidR="0028032C" w:rsidRPr="004C78D8">
              <w:rPr>
                <w:b/>
                <w:bCs/>
              </w:rPr>
              <w:t>5</w:t>
            </w:r>
            <w:r w:rsidRPr="004C78D8">
              <w:t xml:space="preserve"> </w:t>
            </w:r>
            <w:r w:rsidR="00672A1C" w:rsidRPr="004C78D8">
              <w:t>Logistic</w:t>
            </w:r>
            <w:r w:rsidRPr="004C78D8">
              <w:t xml:space="preserve"> regression coefficients for </w:t>
            </w:r>
            <w:r w:rsidR="00647F50" w:rsidRPr="004C78D8">
              <w:t>paid employment status</w:t>
            </w:r>
            <w:r w:rsidRPr="004C78D8">
              <w:t xml:space="preserve"> </w:t>
            </w:r>
            <w:r w:rsidR="00EC4633" w:rsidRPr="004C78D8">
              <w:t>from</w:t>
            </w:r>
            <w:r w:rsidRPr="004C78D8">
              <w:t xml:space="preserve"> ELSA</w:t>
            </w:r>
            <w:r w:rsidR="00637848" w:rsidRPr="004C78D8">
              <w:t xml:space="preserve"> Waves 4 and 5</w:t>
            </w:r>
            <w:r w:rsidR="00EC4633" w:rsidRPr="004C78D8">
              <w:t>.</w:t>
            </w:r>
          </w:p>
        </w:tc>
      </w:tr>
      <w:tr w:rsidR="00AD3CE6" w:rsidRPr="004C78D8" w14:paraId="77A18C0B" w14:textId="77777777" w:rsidTr="00E35893">
        <w:tc>
          <w:tcPr>
            <w:tcW w:w="5665" w:type="dxa"/>
            <w:gridSpan w:val="3"/>
          </w:tcPr>
          <w:p w14:paraId="505212A1" w14:textId="62ACC945" w:rsidR="00AD3CE6" w:rsidRPr="004C78D8" w:rsidRDefault="00AD3CE6" w:rsidP="00FB7C1F">
            <w:pPr>
              <w:jc w:val="left"/>
              <w:rPr>
                <w:b/>
                <w:bCs/>
                <w:i/>
                <w:iCs/>
                <w:sz w:val="20"/>
                <w:szCs w:val="20"/>
              </w:rPr>
            </w:pPr>
            <w:r w:rsidRPr="004C78D8">
              <w:rPr>
                <w:b/>
                <w:bCs/>
                <w:i/>
                <w:iCs/>
                <w:sz w:val="20"/>
                <w:szCs w:val="20"/>
              </w:rPr>
              <w:t xml:space="preserve">Dependent variable: </w:t>
            </w:r>
            <w:r w:rsidR="0005472D" w:rsidRPr="004C78D8">
              <w:rPr>
                <w:b/>
                <w:bCs/>
                <w:i/>
                <w:iCs/>
                <w:sz w:val="20"/>
                <w:szCs w:val="20"/>
              </w:rPr>
              <w:t>Paid employment status</w:t>
            </w:r>
            <w:r w:rsidRPr="004C78D8">
              <w:rPr>
                <w:b/>
                <w:bCs/>
                <w:i/>
                <w:iCs/>
                <w:sz w:val="20"/>
                <w:szCs w:val="20"/>
              </w:rPr>
              <w:t xml:space="preserve"> (N=</w:t>
            </w:r>
            <w:r w:rsidR="00125DE3" w:rsidRPr="004C78D8">
              <w:rPr>
                <w:b/>
                <w:bCs/>
                <w:i/>
                <w:iCs/>
                <w:sz w:val="20"/>
                <w:szCs w:val="20"/>
              </w:rPr>
              <w:t>13,422</w:t>
            </w:r>
            <w:r w:rsidRPr="004C78D8">
              <w:rPr>
                <w:b/>
                <w:bCs/>
                <w:i/>
                <w:iCs/>
                <w:sz w:val="20"/>
                <w:szCs w:val="20"/>
              </w:rPr>
              <w:t>)</w:t>
            </w:r>
          </w:p>
        </w:tc>
      </w:tr>
      <w:tr w:rsidR="00AD3CE6" w:rsidRPr="004C78D8" w14:paraId="74EC342C" w14:textId="77777777" w:rsidTr="00E35893">
        <w:tc>
          <w:tcPr>
            <w:tcW w:w="2263" w:type="dxa"/>
            <w:tcBorders>
              <w:bottom w:val="single" w:sz="4" w:space="0" w:color="auto"/>
            </w:tcBorders>
          </w:tcPr>
          <w:p w14:paraId="0B866EDF" w14:textId="77777777" w:rsidR="00AD3CE6" w:rsidRPr="004C78D8" w:rsidRDefault="00AD3CE6" w:rsidP="00FB7C1F">
            <w:pPr>
              <w:rPr>
                <w:b/>
                <w:bCs/>
                <w:sz w:val="20"/>
                <w:szCs w:val="20"/>
              </w:rPr>
            </w:pPr>
            <w:r w:rsidRPr="004C78D8">
              <w:rPr>
                <w:b/>
                <w:bCs/>
                <w:sz w:val="20"/>
                <w:szCs w:val="20"/>
              </w:rPr>
              <w:t>Explanatory variables</w:t>
            </w:r>
          </w:p>
        </w:tc>
        <w:tc>
          <w:tcPr>
            <w:tcW w:w="1701" w:type="dxa"/>
            <w:tcBorders>
              <w:bottom w:val="single" w:sz="4" w:space="0" w:color="auto"/>
            </w:tcBorders>
          </w:tcPr>
          <w:p w14:paraId="3F5811A4" w14:textId="77777777" w:rsidR="00AD3CE6" w:rsidRPr="004C78D8" w:rsidRDefault="00AD3CE6" w:rsidP="00FB7C1F">
            <w:pPr>
              <w:jc w:val="center"/>
              <w:rPr>
                <w:b/>
                <w:bCs/>
                <w:sz w:val="20"/>
                <w:szCs w:val="20"/>
              </w:rPr>
            </w:pPr>
            <w:r w:rsidRPr="004C78D8">
              <w:rPr>
                <w:b/>
                <w:bCs/>
                <w:sz w:val="20"/>
                <w:szCs w:val="20"/>
              </w:rPr>
              <w:t>Coefficient (SE)</w:t>
            </w:r>
          </w:p>
        </w:tc>
        <w:tc>
          <w:tcPr>
            <w:tcW w:w="1701" w:type="dxa"/>
            <w:tcBorders>
              <w:bottom w:val="single" w:sz="4" w:space="0" w:color="auto"/>
            </w:tcBorders>
          </w:tcPr>
          <w:p w14:paraId="30A995FF" w14:textId="77777777" w:rsidR="00AD3CE6" w:rsidRPr="004C78D8" w:rsidRDefault="00AD3CE6" w:rsidP="00FB7C1F">
            <w:pPr>
              <w:jc w:val="center"/>
              <w:rPr>
                <w:b/>
                <w:bCs/>
                <w:sz w:val="20"/>
                <w:szCs w:val="20"/>
              </w:rPr>
            </w:pPr>
            <w:r w:rsidRPr="004C78D8">
              <w:rPr>
                <w:b/>
                <w:bCs/>
                <w:sz w:val="20"/>
                <w:szCs w:val="20"/>
              </w:rPr>
              <w:t>P-value</w:t>
            </w:r>
          </w:p>
        </w:tc>
      </w:tr>
      <w:tr w:rsidR="00AD3CE6" w:rsidRPr="004C78D8" w14:paraId="447BE65D" w14:textId="77777777" w:rsidTr="00E35893">
        <w:tc>
          <w:tcPr>
            <w:tcW w:w="2263" w:type="dxa"/>
            <w:tcBorders>
              <w:bottom w:val="nil"/>
            </w:tcBorders>
          </w:tcPr>
          <w:p w14:paraId="249A6257" w14:textId="77777777" w:rsidR="00AD3CE6" w:rsidRPr="004C78D8" w:rsidRDefault="00AD3CE6" w:rsidP="00FB7C1F">
            <w:pPr>
              <w:rPr>
                <w:sz w:val="18"/>
                <w:szCs w:val="18"/>
              </w:rPr>
            </w:pPr>
            <w:r w:rsidRPr="004C78D8">
              <w:rPr>
                <w:sz w:val="18"/>
                <w:szCs w:val="18"/>
              </w:rPr>
              <w:t>Constant</w:t>
            </w:r>
          </w:p>
        </w:tc>
        <w:tc>
          <w:tcPr>
            <w:tcW w:w="1701" w:type="dxa"/>
            <w:tcBorders>
              <w:bottom w:val="nil"/>
            </w:tcBorders>
          </w:tcPr>
          <w:p w14:paraId="51BB5BE0" w14:textId="7BC5D92C" w:rsidR="00AD3CE6" w:rsidRPr="004C78D8" w:rsidRDefault="007B3DE8" w:rsidP="00FB7C1F">
            <w:pPr>
              <w:jc w:val="center"/>
              <w:rPr>
                <w:sz w:val="18"/>
                <w:szCs w:val="18"/>
              </w:rPr>
            </w:pPr>
            <w:r w:rsidRPr="004C78D8">
              <w:rPr>
                <w:sz w:val="18"/>
                <w:szCs w:val="18"/>
              </w:rPr>
              <w:t>41.</w:t>
            </w:r>
            <w:r w:rsidR="001F0DA3" w:rsidRPr="004C78D8">
              <w:rPr>
                <w:sz w:val="18"/>
                <w:szCs w:val="18"/>
              </w:rPr>
              <w:t>116</w:t>
            </w:r>
            <w:r w:rsidRPr="004C78D8">
              <w:rPr>
                <w:sz w:val="18"/>
                <w:szCs w:val="18"/>
              </w:rPr>
              <w:t xml:space="preserve"> (2.97</w:t>
            </w:r>
            <w:r w:rsidR="001F0DA3" w:rsidRPr="004C78D8">
              <w:rPr>
                <w:sz w:val="18"/>
                <w:szCs w:val="18"/>
              </w:rPr>
              <w:t>5</w:t>
            </w:r>
            <w:r w:rsidRPr="004C78D8">
              <w:rPr>
                <w:sz w:val="18"/>
                <w:szCs w:val="18"/>
              </w:rPr>
              <w:t>)</w:t>
            </w:r>
          </w:p>
        </w:tc>
        <w:tc>
          <w:tcPr>
            <w:tcW w:w="1701" w:type="dxa"/>
            <w:tcBorders>
              <w:bottom w:val="nil"/>
            </w:tcBorders>
          </w:tcPr>
          <w:p w14:paraId="1BC08A07" w14:textId="4BE75AFE" w:rsidR="00AD3CE6" w:rsidRPr="004C78D8" w:rsidRDefault="007B3DE8" w:rsidP="00FB7C1F">
            <w:pPr>
              <w:jc w:val="center"/>
              <w:rPr>
                <w:sz w:val="18"/>
                <w:szCs w:val="18"/>
              </w:rPr>
            </w:pPr>
            <w:r w:rsidRPr="004C78D8">
              <w:rPr>
                <w:sz w:val="18"/>
                <w:szCs w:val="18"/>
              </w:rPr>
              <w:t>&lt;0.001</w:t>
            </w:r>
          </w:p>
        </w:tc>
      </w:tr>
      <w:tr w:rsidR="00AD3CE6" w:rsidRPr="004C78D8" w14:paraId="1CF8A32F" w14:textId="77777777" w:rsidTr="00E35893">
        <w:tc>
          <w:tcPr>
            <w:tcW w:w="2263" w:type="dxa"/>
            <w:tcBorders>
              <w:top w:val="nil"/>
              <w:bottom w:val="nil"/>
            </w:tcBorders>
          </w:tcPr>
          <w:p w14:paraId="604163FC" w14:textId="77777777" w:rsidR="00AD3CE6" w:rsidRPr="004C78D8" w:rsidRDefault="00AD3CE6" w:rsidP="00FB7C1F">
            <w:pPr>
              <w:rPr>
                <w:sz w:val="18"/>
                <w:szCs w:val="18"/>
              </w:rPr>
            </w:pPr>
            <w:r w:rsidRPr="004C78D8">
              <w:rPr>
                <w:sz w:val="18"/>
                <w:szCs w:val="18"/>
              </w:rPr>
              <w:t>Age</w:t>
            </w:r>
          </w:p>
        </w:tc>
        <w:tc>
          <w:tcPr>
            <w:tcW w:w="1701" w:type="dxa"/>
            <w:tcBorders>
              <w:top w:val="nil"/>
              <w:bottom w:val="nil"/>
            </w:tcBorders>
          </w:tcPr>
          <w:p w14:paraId="47A5B175" w14:textId="0079BA53" w:rsidR="00AD3CE6" w:rsidRPr="004C78D8" w:rsidRDefault="007B3DE8" w:rsidP="00FB7C1F">
            <w:pPr>
              <w:jc w:val="center"/>
              <w:rPr>
                <w:sz w:val="18"/>
                <w:szCs w:val="18"/>
              </w:rPr>
            </w:pPr>
            <w:r w:rsidRPr="004C78D8">
              <w:rPr>
                <w:sz w:val="18"/>
                <w:szCs w:val="18"/>
              </w:rPr>
              <w:t>-1.01</w:t>
            </w:r>
            <w:r w:rsidR="001F0DA3" w:rsidRPr="004C78D8">
              <w:rPr>
                <w:sz w:val="18"/>
                <w:szCs w:val="18"/>
              </w:rPr>
              <w:t>4</w:t>
            </w:r>
            <w:r w:rsidRPr="004C78D8">
              <w:rPr>
                <w:sz w:val="18"/>
                <w:szCs w:val="18"/>
              </w:rPr>
              <w:t xml:space="preserve"> (0.085)</w:t>
            </w:r>
          </w:p>
        </w:tc>
        <w:tc>
          <w:tcPr>
            <w:tcW w:w="1701" w:type="dxa"/>
            <w:tcBorders>
              <w:top w:val="nil"/>
              <w:bottom w:val="nil"/>
            </w:tcBorders>
          </w:tcPr>
          <w:p w14:paraId="3A95B975" w14:textId="177DB50C" w:rsidR="00AD3CE6" w:rsidRPr="004C78D8" w:rsidRDefault="007B3DE8" w:rsidP="00FB7C1F">
            <w:pPr>
              <w:jc w:val="center"/>
              <w:rPr>
                <w:sz w:val="18"/>
                <w:szCs w:val="18"/>
              </w:rPr>
            </w:pPr>
            <w:r w:rsidRPr="004C78D8">
              <w:rPr>
                <w:sz w:val="18"/>
                <w:szCs w:val="18"/>
              </w:rPr>
              <w:t>&lt;0.001</w:t>
            </w:r>
          </w:p>
        </w:tc>
      </w:tr>
      <w:tr w:rsidR="00AD3CE6" w:rsidRPr="004C78D8" w14:paraId="3A7131D8" w14:textId="77777777" w:rsidTr="00E35893">
        <w:tc>
          <w:tcPr>
            <w:tcW w:w="2263" w:type="dxa"/>
            <w:tcBorders>
              <w:top w:val="nil"/>
              <w:bottom w:val="nil"/>
            </w:tcBorders>
          </w:tcPr>
          <w:p w14:paraId="09990836" w14:textId="77777777" w:rsidR="00AD3CE6" w:rsidRPr="004C78D8" w:rsidRDefault="00AD3CE6" w:rsidP="00FB7C1F">
            <w:pPr>
              <w:rPr>
                <w:sz w:val="18"/>
                <w:szCs w:val="18"/>
              </w:rPr>
            </w:pPr>
            <w:r w:rsidRPr="004C78D8">
              <w:rPr>
                <w:sz w:val="18"/>
                <w:szCs w:val="18"/>
              </w:rPr>
              <w:t>Age^2</w:t>
            </w:r>
          </w:p>
        </w:tc>
        <w:tc>
          <w:tcPr>
            <w:tcW w:w="1701" w:type="dxa"/>
            <w:tcBorders>
              <w:top w:val="nil"/>
              <w:bottom w:val="nil"/>
            </w:tcBorders>
          </w:tcPr>
          <w:p w14:paraId="4EDCB3B1" w14:textId="7F7AC8C9" w:rsidR="00AD3CE6" w:rsidRPr="004C78D8" w:rsidRDefault="007B3DE8" w:rsidP="00FB7C1F">
            <w:pPr>
              <w:jc w:val="center"/>
              <w:rPr>
                <w:sz w:val="18"/>
                <w:szCs w:val="18"/>
              </w:rPr>
            </w:pPr>
            <w:r w:rsidRPr="004C78D8">
              <w:rPr>
                <w:sz w:val="18"/>
                <w:szCs w:val="18"/>
              </w:rPr>
              <w:t>0.006 (0.001)</w:t>
            </w:r>
          </w:p>
        </w:tc>
        <w:tc>
          <w:tcPr>
            <w:tcW w:w="1701" w:type="dxa"/>
            <w:tcBorders>
              <w:top w:val="nil"/>
              <w:bottom w:val="nil"/>
            </w:tcBorders>
          </w:tcPr>
          <w:p w14:paraId="03E6705C" w14:textId="4C9741A9" w:rsidR="00AD3CE6" w:rsidRPr="004C78D8" w:rsidRDefault="007B3DE8" w:rsidP="00FB7C1F">
            <w:pPr>
              <w:jc w:val="center"/>
              <w:rPr>
                <w:sz w:val="18"/>
                <w:szCs w:val="18"/>
              </w:rPr>
            </w:pPr>
            <w:r w:rsidRPr="004C78D8">
              <w:rPr>
                <w:sz w:val="18"/>
                <w:szCs w:val="18"/>
              </w:rPr>
              <w:t>&lt;0.001</w:t>
            </w:r>
          </w:p>
        </w:tc>
      </w:tr>
      <w:tr w:rsidR="00AD3CE6" w:rsidRPr="004C78D8" w14:paraId="350206D3" w14:textId="77777777" w:rsidTr="00E35893">
        <w:tc>
          <w:tcPr>
            <w:tcW w:w="2263" w:type="dxa"/>
            <w:tcBorders>
              <w:top w:val="nil"/>
              <w:bottom w:val="nil"/>
            </w:tcBorders>
          </w:tcPr>
          <w:p w14:paraId="2391FCB1" w14:textId="77777777" w:rsidR="00AD3CE6" w:rsidRPr="004C78D8" w:rsidRDefault="00AD3CE6" w:rsidP="00FB7C1F">
            <w:pPr>
              <w:rPr>
                <w:sz w:val="18"/>
                <w:szCs w:val="18"/>
              </w:rPr>
            </w:pPr>
            <w:r w:rsidRPr="004C78D8">
              <w:rPr>
                <w:sz w:val="18"/>
                <w:szCs w:val="18"/>
              </w:rPr>
              <w:t>Female</w:t>
            </w:r>
          </w:p>
        </w:tc>
        <w:tc>
          <w:tcPr>
            <w:tcW w:w="1701" w:type="dxa"/>
            <w:tcBorders>
              <w:top w:val="nil"/>
              <w:bottom w:val="nil"/>
            </w:tcBorders>
          </w:tcPr>
          <w:p w14:paraId="3297E83F" w14:textId="30E2443C" w:rsidR="00AD3CE6" w:rsidRPr="004C78D8" w:rsidRDefault="007B3DE8" w:rsidP="00FB7C1F">
            <w:pPr>
              <w:jc w:val="center"/>
              <w:rPr>
                <w:sz w:val="18"/>
                <w:szCs w:val="18"/>
              </w:rPr>
            </w:pPr>
            <w:r w:rsidRPr="004C78D8">
              <w:rPr>
                <w:sz w:val="18"/>
                <w:szCs w:val="18"/>
              </w:rPr>
              <w:t>-0.69</w:t>
            </w:r>
            <w:r w:rsidR="001F0DA3" w:rsidRPr="004C78D8">
              <w:rPr>
                <w:sz w:val="18"/>
                <w:szCs w:val="18"/>
              </w:rPr>
              <w:t>8</w:t>
            </w:r>
            <w:r w:rsidRPr="004C78D8">
              <w:rPr>
                <w:sz w:val="18"/>
                <w:szCs w:val="18"/>
              </w:rPr>
              <w:t xml:space="preserve"> (0.053)</w:t>
            </w:r>
          </w:p>
        </w:tc>
        <w:tc>
          <w:tcPr>
            <w:tcW w:w="1701" w:type="dxa"/>
            <w:tcBorders>
              <w:top w:val="nil"/>
              <w:bottom w:val="nil"/>
            </w:tcBorders>
          </w:tcPr>
          <w:p w14:paraId="08B5797B" w14:textId="61BEC1FD" w:rsidR="00AD3CE6" w:rsidRPr="004C78D8" w:rsidRDefault="007B3DE8" w:rsidP="00FB7C1F">
            <w:pPr>
              <w:jc w:val="center"/>
              <w:rPr>
                <w:sz w:val="18"/>
                <w:szCs w:val="18"/>
              </w:rPr>
            </w:pPr>
            <w:r w:rsidRPr="004C78D8">
              <w:rPr>
                <w:sz w:val="18"/>
                <w:szCs w:val="18"/>
              </w:rPr>
              <w:t>&lt;0.001</w:t>
            </w:r>
          </w:p>
        </w:tc>
      </w:tr>
      <w:tr w:rsidR="00AD3CE6" w:rsidRPr="004C78D8" w14:paraId="6B034FBA" w14:textId="77777777" w:rsidTr="00E35893">
        <w:tc>
          <w:tcPr>
            <w:tcW w:w="2263" w:type="dxa"/>
            <w:tcBorders>
              <w:top w:val="nil"/>
              <w:bottom w:val="nil"/>
            </w:tcBorders>
          </w:tcPr>
          <w:p w14:paraId="29CCADC3" w14:textId="0DBACE27" w:rsidR="00AD3CE6" w:rsidRPr="004C78D8" w:rsidRDefault="00EC4633" w:rsidP="00FB7C1F">
            <w:pPr>
              <w:rPr>
                <w:sz w:val="18"/>
                <w:szCs w:val="18"/>
              </w:rPr>
            </w:pPr>
            <w:r w:rsidRPr="004C78D8">
              <w:rPr>
                <w:sz w:val="18"/>
                <w:szCs w:val="18"/>
              </w:rPr>
              <w:t>SES</w:t>
            </w:r>
            <w:r w:rsidR="00AD3CE6" w:rsidRPr="004C78D8">
              <w:rPr>
                <w:sz w:val="18"/>
                <w:szCs w:val="18"/>
              </w:rPr>
              <w:t xml:space="preserve"> (ref: Most privileged quartile)</w:t>
            </w:r>
          </w:p>
        </w:tc>
        <w:tc>
          <w:tcPr>
            <w:tcW w:w="1701" w:type="dxa"/>
            <w:tcBorders>
              <w:top w:val="nil"/>
              <w:bottom w:val="nil"/>
            </w:tcBorders>
          </w:tcPr>
          <w:p w14:paraId="2C32D4E7" w14:textId="77777777" w:rsidR="00AD3CE6" w:rsidRPr="004C78D8" w:rsidRDefault="00AD3CE6" w:rsidP="00FB7C1F">
            <w:pPr>
              <w:jc w:val="center"/>
              <w:rPr>
                <w:sz w:val="18"/>
                <w:szCs w:val="18"/>
              </w:rPr>
            </w:pPr>
          </w:p>
        </w:tc>
        <w:tc>
          <w:tcPr>
            <w:tcW w:w="1701" w:type="dxa"/>
            <w:tcBorders>
              <w:top w:val="nil"/>
              <w:bottom w:val="nil"/>
            </w:tcBorders>
          </w:tcPr>
          <w:p w14:paraId="351E6B33" w14:textId="77777777" w:rsidR="00AD3CE6" w:rsidRPr="004C78D8" w:rsidRDefault="00AD3CE6" w:rsidP="00FB7C1F">
            <w:pPr>
              <w:jc w:val="center"/>
              <w:rPr>
                <w:sz w:val="18"/>
                <w:szCs w:val="18"/>
              </w:rPr>
            </w:pPr>
          </w:p>
        </w:tc>
      </w:tr>
      <w:tr w:rsidR="00AD3CE6" w:rsidRPr="004C78D8" w14:paraId="4D0E1D3A" w14:textId="77777777" w:rsidTr="00E35893">
        <w:tc>
          <w:tcPr>
            <w:tcW w:w="2263" w:type="dxa"/>
            <w:tcBorders>
              <w:top w:val="nil"/>
              <w:bottom w:val="nil"/>
            </w:tcBorders>
          </w:tcPr>
          <w:p w14:paraId="7916885B" w14:textId="77777777" w:rsidR="00AD3CE6" w:rsidRPr="004C78D8" w:rsidRDefault="00AD3CE6" w:rsidP="00FB7C1F">
            <w:pPr>
              <w:jc w:val="right"/>
              <w:rPr>
                <w:sz w:val="18"/>
                <w:szCs w:val="18"/>
              </w:rPr>
            </w:pPr>
            <w:r w:rsidRPr="004C78D8">
              <w:rPr>
                <w:i/>
                <w:iCs/>
                <w:sz w:val="18"/>
                <w:szCs w:val="18"/>
              </w:rPr>
              <w:t>2</w:t>
            </w:r>
            <w:r w:rsidRPr="004C78D8">
              <w:rPr>
                <w:i/>
                <w:iCs/>
                <w:sz w:val="18"/>
                <w:szCs w:val="18"/>
                <w:vertAlign w:val="superscript"/>
              </w:rPr>
              <w:t>nd</w:t>
            </w:r>
            <w:r w:rsidRPr="004C78D8">
              <w:rPr>
                <w:i/>
                <w:iCs/>
                <w:sz w:val="18"/>
                <w:szCs w:val="18"/>
              </w:rPr>
              <w:t xml:space="preserve"> quartile</w:t>
            </w:r>
          </w:p>
        </w:tc>
        <w:tc>
          <w:tcPr>
            <w:tcW w:w="1701" w:type="dxa"/>
            <w:tcBorders>
              <w:top w:val="nil"/>
              <w:bottom w:val="nil"/>
            </w:tcBorders>
          </w:tcPr>
          <w:p w14:paraId="7079F993" w14:textId="56C90131" w:rsidR="00AD3CE6" w:rsidRPr="004C78D8" w:rsidRDefault="007B3DE8" w:rsidP="00FB7C1F">
            <w:pPr>
              <w:jc w:val="center"/>
              <w:rPr>
                <w:sz w:val="18"/>
                <w:szCs w:val="18"/>
              </w:rPr>
            </w:pPr>
            <w:r w:rsidRPr="004C78D8">
              <w:rPr>
                <w:sz w:val="18"/>
                <w:szCs w:val="18"/>
              </w:rPr>
              <w:t>0.00</w:t>
            </w:r>
            <w:r w:rsidR="001F0DA3" w:rsidRPr="004C78D8">
              <w:rPr>
                <w:sz w:val="18"/>
                <w:szCs w:val="18"/>
              </w:rPr>
              <w:t>5</w:t>
            </w:r>
            <w:r w:rsidRPr="004C78D8">
              <w:rPr>
                <w:sz w:val="18"/>
                <w:szCs w:val="18"/>
              </w:rPr>
              <w:t xml:space="preserve"> (0.072)</w:t>
            </w:r>
          </w:p>
        </w:tc>
        <w:tc>
          <w:tcPr>
            <w:tcW w:w="1701" w:type="dxa"/>
            <w:tcBorders>
              <w:top w:val="nil"/>
              <w:bottom w:val="nil"/>
            </w:tcBorders>
          </w:tcPr>
          <w:p w14:paraId="1268799C" w14:textId="14F5A1EE" w:rsidR="00AD3CE6" w:rsidRPr="004C78D8" w:rsidRDefault="007B3DE8" w:rsidP="00FB7C1F">
            <w:pPr>
              <w:jc w:val="center"/>
              <w:rPr>
                <w:sz w:val="18"/>
                <w:szCs w:val="18"/>
              </w:rPr>
            </w:pPr>
            <w:r w:rsidRPr="004C78D8">
              <w:rPr>
                <w:sz w:val="18"/>
                <w:szCs w:val="18"/>
              </w:rPr>
              <w:t>0.9</w:t>
            </w:r>
            <w:r w:rsidR="001F0DA3" w:rsidRPr="004C78D8">
              <w:rPr>
                <w:sz w:val="18"/>
                <w:szCs w:val="18"/>
              </w:rPr>
              <w:t>48</w:t>
            </w:r>
          </w:p>
        </w:tc>
      </w:tr>
      <w:tr w:rsidR="00AD3CE6" w:rsidRPr="004C78D8" w14:paraId="6699879C" w14:textId="77777777" w:rsidTr="00E35893">
        <w:tc>
          <w:tcPr>
            <w:tcW w:w="2263" w:type="dxa"/>
            <w:tcBorders>
              <w:top w:val="nil"/>
              <w:bottom w:val="nil"/>
            </w:tcBorders>
          </w:tcPr>
          <w:p w14:paraId="318425D2" w14:textId="77777777" w:rsidR="00AD3CE6" w:rsidRPr="004C78D8" w:rsidRDefault="00AD3CE6" w:rsidP="00FB7C1F">
            <w:pPr>
              <w:jc w:val="right"/>
              <w:rPr>
                <w:sz w:val="18"/>
                <w:szCs w:val="18"/>
              </w:rPr>
            </w:pPr>
            <w:r w:rsidRPr="004C78D8">
              <w:rPr>
                <w:i/>
                <w:iCs/>
                <w:sz w:val="18"/>
                <w:szCs w:val="18"/>
              </w:rPr>
              <w:t>3</w:t>
            </w:r>
            <w:r w:rsidRPr="004C78D8">
              <w:rPr>
                <w:i/>
                <w:iCs/>
                <w:sz w:val="18"/>
                <w:szCs w:val="18"/>
                <w:vertAlign w:val="superscript"/>
              </w:rPr>
              <w:t>rd</w:t>
            </w:r>
            <w:r w:rsidRPr="004C78D8">
              <w:rPr>
                <w:i/>
                <w:iCs/>
                <w:sz w:val="18"/>
                <w:szCs w:val="18"/>
              </w:rPr>
              <w:t xml:space="preserve"> quartile</w:t>
            </w:r>
          </w:p>
        </w:tc>
        <w:tc>
          <w:tcPr>
            <w:tcW w:w="1701" w:type="dxa"/>
            <w:tcBorders>
              <w:top w:val="nil"/>
              <w:bottom w:val="nil"/>
            </w:tcBorders>
          </w:tcPr>
          <w:p w14:paraId="35ABA469" w14:textId="6A16EA66" w:rsidR="00AD3CE6" w:rsidRPr="004C78D8" w:rsidRDefault="007B3DE8" w:rsidP="00FB7C1F">
            <w:pPr>
              <w:jc w:val="center"/>
              <w:rPr>
                <w:sz w:val="18"/>
                <w:szCs w:val="18"/>
              </w:rPr>
            </w:pPr>
            <w:r w:rsidRPr="004C78D8">
              <w:rPr>
                <w:sz w:val="18"/>
                <w:szCs w:val="18"/>
              </w:rPr>
              <w:t>0.08</w:t>
            </w:r>
            <w:r w:rsidR="001F0DA3" w:rsidRPr="004C78D8">
              <w:rPr>
                <w:sz w:val="18"/>
                <w:szCs w:val="18"/>
              </w:rPr>
              <w:t>9</w:t>
            </w:r>
            <w:r w:rsidRPr="004C78D8">
              <w:rPr>
                <w:sz w:val="18"/>
                <w:szCs w:val="18"/>
              </w:rPr>
              <w:t xml:space="preserve"> (0.063)</w:t>
            </w:r>
          </w:p>
        </w:tc>
        <w:tc>
          <w:tcPr>
            <w:tcW w:w="1701" w:type="dxa"/>
            <w:tcBorders>
              <w:top w:val="nil"/>
              <w:bottom w:val="nil"/>
            </w:tcBorders>
          </w:tcPr>
          <w:p w14:paraId="14CF0FB0" w14:textId="4521C9AD" w:rsidR="00AD3CE6" w:rsidRPr="004C78D8" w:rsidRDefault="007B3DE8" w:rsidP="00FB7C1F">
            <w:pPr>
              <w:jc w:val="center"/>
              <w:rPr>
                <w:sz w:val="18"/>
                <w:szCs w:val="18"/>
              </w:rPr>
            </w:pPr>
            <w:r w:rsidRPr="004C78D8">
              <w:rPr>
                <w:sz w:val="18"/>
                <w:szCs w:val="18"/>
              </w:rPr>
              <w:t>0.1</w:t>
            </w:r>
            <w:r w:rsidR="001F0DA3" w:rsidRPr="004C78D8">
              <w:rPr>
                <w:sz w:val="18"/>
                <w:szCs w:val="18"/>
              </w:rPr>
              <w:t>60</w:t>
            </w:r>
          </w:p>
        </w:tc>
      </w:tr>
      <w:tr w:rsidR="00AD3CE6" w:rsidRPr="004C78D8" w14:paraId="050D2725" w14:textId="77777777" w:rsidTr="00E35893">
        <w:tc>
          <w:tcPr>
            <w:tcW w:w="2263" w:type="dxa"/>
            <w:tcBorders>
              <w:top w:val="nil"/>
              <w:bottom w:val="nil"/>
            </w:tcBorders>
          </w:tcPr>
          <w:p w14:paraId="2AF4601D" w14:textId="77777777" w:rsidR="00AD3CE6" w:rsidRPr="004C78D8" w:rsidRDefault="00AD3CE6" w:rsidP="00FB7C1F">
            <w:pPr>
              <w:jc w:val="right"/>
              <w:rPr>
                <w:sz w:val="18"/>
                <w:szCs w:val="18"/>
              </w:rPr>
            </w:pPr>
            <w:r w:rsidRPr="004C78D8">
              <w:rPr>
                <w:i/>
                <w:iCs/>
                <w:sz w:val="18"/>
                <w:szCs w:val="18"/>
              </w:rPr>
              <w:t>Most deprived quartile</w:t>
            </w:r>
          </w:p>
        </w:tc>
        <w:tc>
          <w:tcPr>
            <w:tcW w:w="1701" w:type="dxa"/>
            <w:tcBorders>
              <w:top w:val="nil"/>
              <w:bottom w:val="nil"/>
            </w:tcBorders>
          </w:tcPr>
          <w:p w14:paraId="7C17F659" w14:textId="3EF8CB19" w:rsidR="00AD3CE6" w:rsidRPr="004C78D8" w:rsidRDefault="007B3DE8" w:rsidP="00FB7C1F">
            <w:pPr>
              <w:jc w:val="center"/>
              <w:rPr>
                <w:sz w:val="18"/>
                <w:szCs w:val="18"/>
              </w:rPr>
            </w:pPr>
            <w:r w:rsidRPr="004C78D8">
              <w:rPr>
                <w:sz w:val="18"/>
                <w:szCs w:val="18"/>
              </w:rPr>
              <w:t>-0.2</w:t>
            </w:r>
            <w:r w:rsidR="001F0DA3" w:rsidRPr="004C78D8">
              <w:rPr>
                <w:sz w:val="18"/>
                <w:szCs w:val="18"/>
              </w:rPr>
              <w:t>58</w:t>
            </w:r>
            <w:r w:rsidRPr="004C78D8">
              <w:rPr>
                <w:sz w:val="18"/>
                <w:szCs w:val="18"/>
              </w:rPr>
              <w:t xml:space="preserve"> (0.095)</w:t>
            </w:r>
          </w:p>
        </w:tc>
        <w:tc>
          <w:tcPr>
            <w:tcW w:w="1701" w:type="dxa"/>
            <w:tcBorders>
              <w:top w:val="nil"/>
              <w:bottom w:val="nil"/>
            </w:tcBorders>
          </w:tcPr>
          <w:p w14:paraId="3E52AEEA" w14:textId="7A2ED3B7" w:rsidR="00AD3CE6" w:rsidRPr="004C78D8" w:rsidRDefault="007B3DE8" w:rsidP="00FB7C1F">
            <w:pPr>
              <w:jc w:val="center"/>
              <w:rPr>
                <w:sz w:val="18"/>
                <w:szCs w:val="18"/>
              </w:rPr>
            </w:pPr>
            <w:r w:rsidRPr="004C78D8">
              <w:rPr>
                <w:sz w:val="18"/>
                <w:szCs w:val="18"/>
              </w:rPr>
              <w:t>0.00</w:t>
            </w:r>
            <w:r w:rsidR="001F0DA3" w:rsidRPr="004C78D8">
              <w:rPr>
                <w:sz w:val="18"/>
                <w:szCs w:val="18"/>
              </w:rPr>
              <w:t>6</w:t>
            </w:r>
          </w:p>
        </w:tc>
      </w:tr>
      <w:tr w:rsidR="00AD3CE6" w:rsidRPr="004C78D8" w14:paraId="7B749F9A" w14:textId="77777777" w:rsidTr="00E35893">
        <w:tc>
          <w:tcPr>
            <w:tcW w:w="2263" w:type="dxa"/>
            <w:tcBorders>
              <w:top w:val="nil"/>
              <w:bottom w:val="nil"/>
            </w:tcBorders>
          </w:tcPr>
          <w:p w14:paraId="50D1E045" w14:textId="77777777" w:rsidR="00AD3CE6" w:rsidRPr="004C78D8" w:rsidRDefault="00AD3CE6" w:rsidP="00FB7C1F">
            <w:pPr>
              <w:rPr>
                <w:sz w:val="18"/>
                <w:szCs w:val="18"/>
              </w:rPr>
            </w:pPr>
            <w:r w:rsidRPr="004C78D8">
              <w:rPr>
                <w:sz w:val="18"/>
                <w:szCs w:val="18"/>
              </w:rPr>
              <w:t>Frailty (0-100)</w:t>
            </w:r>
          </w:p>
        </w:tc>
        <w:tc>
          <w:tcPr>
            <w:tcW w:w="1701" w:type="dxa"/>
            <w:tcBorders>
              <w:top w:val="nil"/>
              <w:bottom w:val="nil"/>
            </w:tcBorders>
          </w:tcPr>
          <w:p w14:paraId="1E95A92F" w14:textId="77DC4B4C" w:rsidR="00AD3CE6" w:rsidRPr="004C78D8" w:rsidRDefault="007B3DE8" w:rsidP="00FB7C1F">
            <w:pPr>
              <w:jc w:val="center"/>
              <w:rPr>
                <w:sz w:val="18"/>
                <w:szCs w:val="18"/>
              </w:rPr>
            </w:pPr>
            <w:r w:rsidRPr="004C78D8">
              <w:rPr>
                <w:sz w:val="18"/>
                <w:szCs w:val="18"/>
              </w:rPr>
              <w:t>-0.034 (0.011)</w:t>
            </w:r>
          </w:p>
        </w:tc>
        <w:tc>
          <w:tcPr>
            <w:tcW w:w="1701" w:type="dxa"/>
            <w:tcBorders>
              <w:top w:val="nil"/>
              <w:bottom w:val="nil"/>
            </w:tcBorders>
          </w:tcPr>
          <w:p w14:paraId="6E883C0D" w14:textId="5C39A08F" w:rsidR="00AD3CE6" w:rsidRPr="004C78D8" w:rsidRDefault="007B3DE8" w:rsidP="00FB7C1F">
            <w:pPr>
              <w:jc w:val="center"/>
              <w:rPr>
                <w:sz w:val="18"/>
                <w:szCs w:val="18"/>
              </w:rPr>
            </w:pPr>
            <w:r w:rsidRPr="004C78D8">
              <w:rPr>
                <w:sz w:val="18"/>
                <w:szCs w:val="18"/>
              </w:rPr>
              <w:t>0.002</w:t>
            </w:r>
          </w:p>
        </w:tc>
      </w:tr>
      <w:tr w:rsidR="00AD3CE6" w:rsidRPr="004C78D8" w14:paraId="0E889B0B" w14:textId="77777777" w:rsidTr="00E35893">
        <w:tc>
          <w:tcPr>
            <w:tcW w:w="2263" w:type="dxa"/>
            <w:tcBorders>
              <w:top w:val="nil"/>
              <w:bottom w:val="nil"/>
            </w:tcBorders>
          </w:tcPr>
          <w:p w14:paraId="441BD1E7" w14:textId="77777777" w:rsidR="00AD3CE6" w:rsidRPr="004C78D8" w:rsidRDefault="00AD3CE6" w:rsidP="00FB7C1F">
            <w:pPr>
              <w:rPr>
                <w:sz w:val="18"/>
                <w:szCs w:val="18"/>
              </w:rPr>
            </w:pPr>
            <w:r w:rsidRPr="004C78D8">
              <w:rPr>
                <w:sz w:val="18"/>
                <w:szCs w:val="18"/>
              </w:rPr>
              <w:t>Frailty^2</w:t>
            </w:r>
          </w:p>
        </w:tc>
        <w:tc>
          <w:tcPr>
            <w:tcW w:w="1701" w:type="dxa"/>
            <w:tcBorders>
              <w:top w:val="nil"/>
              <w:bottom w:val="nil"/>
            </w:tcBorders>
          </w:tcPr>
          <w:p w14:paraId="7A50679A" w14:textId="0745049E" w:rsidR="00AD3CE6" w:rsidRPr="004C78D8" w:rsidRDefault="0029175E" w:rsidP="00FB7C1F">
            <w:pPr>
              <w:jc w:val="center"/>
              <w:rPr>
                <w:sz w:val="18"/>
                <w:szCs w:val="18"/>
              </w:rPr>
            </w:pPr>
            <w:r w:rsidRPr="004C78D8">
              <w:rPr>
                <w:sz w:val="18"/>
                <w:szCs w:val="18"/>
              </w:rPr>
              <w:t>-0.001 (0.0004)</w:t>
            </w:r>
          </w:p>
        </w:tc>
        <w:tc>
          <w:tcPr>
            <w:tcW w:w="1701" w:type="dxa"/>
            <w:tcBorders>
              <w:top w:val="nil"/>
              <w:bottom w:val="nil"/>
            </w:tcBorders>
          </w:tcPr>
          <w:p w14:paraId="79A3733B" w14:textId="7A53BB0A" w:rsidR="00AD3CE6" w:rsidRPr="004C78D8" w:rsidRDefault="007B3DE8" w:rsidP="00FB7C1F">
            <w:pPr>
              <w:jc w:val="center"/>
              <w:rPr>
                <w:sz w:val="18"/>
                <w:szCs w:val="18"/>
              </w:rPr>
            </w:pPr>
            <w:r w:rsidRPr="004C78D8">
              <w:rPr>
                <w:sz w:val="18"/>
                <w:szCs w:val="18"/>
              </w:rPr>
              <w:t>0.003</w:t>
            </w:r>
          </w:p>
        </w:tc>
      </w:tr>
      <w:tr w:rsidR="001F0DA3" w:rsidRPr="004C78D8" w14:paraId="1877A8AE" w14:textId="77777777" w:rsidTr="00E35893">
        <w:tc>
          <w:tcPr>
            <w:tcW w:w="2263" w:type="dxa"/>
            <w:tcBorders>
              <w:top w:val="nil"/>
              <w:bottom w:val="nil"/>
            </w:tcBorders>
          </w:tcPr>
          <w:p w14:paraId="4C3122FC" w14:textId="0784CFF6" w:rsidR="001F0DA3" w:rsidRPr="004C78D8" w:rsidRDefault="001F0DA3" w:rsidP="00FB7C1F">
            <w:pPr>
              <w:rPr>
                <w:sz w:val="18"/>
                <w:szCs w:val="18"/>
              </w:rPr>
            </w:pPr>
            <w:r w:rsidRPr="004C78D8">
              <w:rPr>
                <w:sz w:val="18"/>
                <w:szCs w:val="18"/>
              </w:rPr>
              <w:t>High physical activity</w:t>
            </w:r>
          </w:p>
        </w:tc>
        <w:tc>
          <w:tcPr>
            <w:tcW w:w="1701" w:type="dxa"/>
            <w:tcBorders>
              <w:top w:val="nil"/>
              <w:bottom w:val="nil"/>
            </w:tcBorders>
          </w:tcPr>
          <w:p w14:paraId="14180D45" w14:textId="14699393" w:rsidR="001F0DA3" w:rsidRPr="004C78D8" w:rsidRDefault="001F0DA3" w:rsidP="00FB7C1F">
            <w:pPr>
              <w:jc w:val="center"/>
              <w:rPr>
                <w:sz w:val="18"/>
                <w:szCs w:val="18"/>
              </w:rPr>
            </w:pPr>
            <w:r w:rsidRPr="004C78D8">
              <w:rPr>
                <w:sz w:val="18"/>
                <w:szCs w:val="18"/>
              </w:rPr>
              <w:t>0.170 (0.061)</w:t>
            </w:r>
          </w:p>
        </w:tc>
        <w:tc>
          <w:tcPr>
            <w:tcW w:w="1701" w:type="dxa"/>
            <w:tcBorders>
              <w:top w:val="nil"/>
              <w:bottom w:val="nil"/>
            </w:tcBorders>
          </w:tcPr>
          <w:p w14:paraId="79C1BCDF" w14:textId="46D303E1" w:rsidR="001F0DA3" w:rsidRPr="004C78D8" w:rsidRDefault="001F0DA3" w:rsidP="00FB7C1F">
            <w:pPr>
              <w:jc w:val="center"/>
              <w:rPr>
                <w:sz w:val="18"/>
                <w:szCs w:val="18"/>
              </w:rPr>
            </w:pPr>
            <w:r w:rsidRPr="004C78D8">
              <w:rPr>
                <w:sz w:val="18"/>
                <w:szCs w:val="18"/>
              </w:rPr>
              <w:t>0.006</w:t>
            </w:r>
          </w:p>
        </w:tc>
      </w:tr>
      <w:tr w:rsidR="001F0DA3" w:rsidRPr="004C78D8" w14:paraId="28B55557" w14:textId="77777777" w:rsidTr="00E35893">
        <w:tc>
          <w:tcPr>
            <w:tcW w:w="2263" w:type="dxa"/>
            <w:tcBorders>
              <w:top w:val="nil"/>
              <w:bottom w:val="nil"/>
            </w:tcBorders>
          </w:tcPr>
          <w:p w14:paraId="29B0AB2C" w14:textId="36CB730A" w:rsidR="001F0DA3" w:rsidRPr="004C78D8" w:rsidRDefault="001F0DA3" w:rsidP="00FB7C1F">
            <w:pPr>
              <w:rPr>
                <w:sz w:val="18"/>
                <w:szCs w:val="18"/>
              </w:rPr>
            </w:pPr>
            <w:r w:rsidRPr="004C78D8">
              <w:rPr>
                <w:sz w:val="18"/>
                <w:szCs w:val="18"/>
              </w:rPr>
              <w:t>Cognitive impairment</w:t>
            </w:r>
          </w:p>
        </w:tc>
        <w:tc>
          <w:tcPr>
            <w:tcW w:w="1701" w:type="dxa"/>
            <w:tcBorders>
              <w:top w:val="nil"/>
              <w:bottom w:val="nil"/>
            </w:tcBorders>
          </w:tcPr>
          <w:p w14:paraId="79A376F8" w14:textId="1837CD6C" w:rsidR="001F0DA3" w:rsidRPr="004C78D8" w:rsidRDefault="001F0DA3" w:rsidP="00FB7C1F">
            <w:pPr>
              <w:jc w:val="center"/>
              <w:rPr>
                <w:sz w:val="18"/>
                <w:szCs w:val="18"/>
              </w:rPr>
            </w:pPr>
            <w:r w:rsidRPr="004C78D8">
              <w:rPr>
                <w:sz w:val="18"/>
                <w:szCs w:val="18"/>
              </w:rPr>
              <w:t>-0.136 (0.075)</w:t>
            </w:r>
          </w:p>
        </w:tc>
        <w:tc>
          <w:tcPr>
            <w:tcW w:w="1701" w:type="dxa"/>
            <w:tcBorders>
              <w:top w:val="nil"/>
              <w:bottom w:val="nil"/>
            </w:tcBorders>
          </w:tcPr>
          <w:p w14:paraId="0F180CF2" w14:textId="5C195553" w:rsidR="001F0DA3" w:rsidRPr="004C78D8" w:rsidRDefault="001F0DA3" w:rsidP="00FB7C1F">
            <w:pPr>
              <w:jc w:val="center"/>
              <w:rPr>
                <w:sz w:val="18"/>
                <w:szCs w:val="18"/>
              </w:rPr>
            </w:pPr>
            <w:r w:rsidRPr="004C78D8">
              <w:rPr>
                <w:sz w:val="18"/>
                <w:szCs w:val="18"/>
              </w:rPr>
              <w:t>0.070</w:t>
            </w:r>
          </w:p>
        </w:tc>
      </w:tr>
      <w:tr w:rsidR="001F0DA3" w:rsidRPr="004C78D8" w14:paraId="7C58F106" w14:textId="77777777" w:rsidTr="00E35893">
        <w:tc>
          <w:tcPr>
            <w:tcW w:w="5665" w:type="dxa"/>
            <w:gridSpan w:val="3"/>
          </w:tcPr>
          <w:p w14:paraId="22D26427" w14:textId="67F980F2" w:rsidR="001F0DA3" w:rsidRPr="004C78D8" w:rsidRDefault="00D10D5E" w:rsidP="00FB7C1F">
            <w:pPr>
              <w:rPr>
                <w:sz w:val="20"/>
                <w:szCs w:val="20"/>
              </w:rPr>
            </w:pPr>
            <w:r w:rsidRPr="004C78D8">
              <w:rPr>
                <w:b/>
                <w:bCs/>
                <w:sz w:val="18"/>
                <w:szCs w:val="18"/>
              </w:rPr>
              <w:t>Abbreviation</w:t>
            </w:r>
            <w:r w:rsidR="003B2AD7" w:rsidRPr="004C78D8">
              <w:rPr>
                <w:b/>
                <w:bCs/>
                <w:sz w:val="18"/>
                <w:szCs w:val="18"/>
              </w:rPr>
              <w:t>:</w:t>
            </w:r>
            <w:r w:rsidR="003B2AD7" w:rsidRPr="004C78D8">
              <w:rPr>
                <w:sz w:val="18"/>
                <w:szCs w:val="18"/>
              </w:rPr>
              <w:t xml:space="preserve"> </w:t>
            </w:r>
            <w:r w:rsidR="001F0DA3" w:rsidRPr="004C78D8">
              <w:rPr>
                <w:sz w:val="18"/>
                <w:szCs w:val="18"/>
              </w:rPr>
              <w:t>ELSA: English Longitudinal Study of Ageing; Ref: reference; SE: standard error</w:t>
            </w:r>
            <w:r w:rsidR="00EC4633" w:rsidRPr="004C78D8">
              <w:rPr>
                <w:sz w:val="18"/>
                <w:szCs w:val="18"/>
              </w:rPr>
              <w:t>; SES: socioeconomic status</w:t>
            </w:r>
          </w:p>
        </w:tc>
      </w:tr>
    </w:tbl>
    <w:p w14:paraId="4697EDF5" w14:textId="665BE660" w:rsidR="00AD3CE6" w:rsidRPr="004C78D8" w:rsidRDefault="00AD3CE6" w:rsidP="00FB7C1F"/>
    <w:p w14:paraId="537A79F8" w14:textId="72FD1F84" w:rsidR="00BA643D" w:rsidRPr="004C78D8" w:rsidRDefault="00BA643D" w:rsidP="00FB7C1F">
      <w:r w:rsidRPr="004C78D8">
        <w:t xml:space="preserve">Older individuals and women were less likely to be in paid employment. Relative to those in the most privileged </w:t>
      </w:r>
      <w:r w:rsidR="00164540" w:rsidRPr="004C78D8">
        <w:t>SES</w:t>
      </w:r>
      <w:r w:rsidRPr="004C78D8">
        <w:t xml:space="preserve"> quartile, those in the most deprived quartile were less likely to be in paid employment, while those in </w:t>
      </w:r>
      <w:r w:rsidR="004329A7" w:rsidRPr="004C78D8">
        <w:t xml:space="preserve">the </w:t>
      </w:r>
      <w:r w:rsidRPr="004C78D8">
        <w:t>2</w:t>
      </w:r>
      <w:r w:rsidRPr="004C78D8">
        <w:rPr>
          <w:vertAlign w:val="superscript"/>
        </w:rPr>
        <w:t>nd</w:t>
      </w:r>
      <w:r w:rsidRPr="004C78D8">
        <w:t xml:space="preserve"> and 3</w:t>
      </w:r>
      <w:r w:rsidRPr="004C78D8">
        <w:rPr>
          <w:vertAlign w:val="superscript"/>
        </w:rPr>
        <w:t>rd</w:t>
      </w:r>
      <w:r w:rsidRPr="004C78D8">
        <w:t xml:space="preserve"> quartile</w:t>
      </w:r>
      <w:r w:rsidR="004329A7" w:rsidRPr="004C78D8">
        <w:t>s</w:t>
      </w:r>
      <w:r w:rsidRPr="004C78D8">
        <w:t xml:space="preserve"> did not have significantly different </w:t>
      </w:r>
      <w:r w:rsidR="00164540" w:rsidRPr="004C78D8">
        <w:t>probabilities</w:t>
      </w:r>
      <w:r w:rsidRPr="004C78D8">
        <w:t xml:space="preserve">. Higher frailty was associated with reduced probability, while engaging in high physical activity was associated with </w:t>
      </w:r>
      <w:r w:rsidR="00CA76D9" w:rsidRPr="004C78D8">
        <w:t>higher</w:t>
      </w:r>
      <w:r w:rsidRPr="004C78D8">
        <w:t xml:space="preserve"> probability. Cognitive impairment was associated with lower probability</w:t>
      </w:r>
      <w:r w:rsidR="004329A7" w:rsidRPr="004C78D8">
        <w:t xml:space="preserve">, </w:t>
      </w:r>
      <w:r w:rsidRPr="004C78D8">
        <w:t xml:space="preserve">but this was not statistically significant at </w:t>
      </w:r>
      <w:r w:rsidR="004329A7" w:rsidRPr="004C78D8">
        <w:t xml:space="preserve">the </w:t>
      </w:r>
      <w:r w:rsidRPr="004C78D8">
        <w:t xml:space="preserve">95% confidence level. </w:t>
      </w:r>
    </w:p>
    <w:p w14:paraId="6EA1D700" w14:textId="45FA4878" w:rsidR="00C07947" w:rsidRPr="004C78D8" w:rsidRDefault="00795585" w:rsidP="00FB7C1F">
      <w:r w:rsidRPr="004C78D8">
        <w:t>The h</w:t>
      </w:r>
      <w:r w:rsidR="001C6F16" w:rsidRPr="004C78D8">
        <w:t xml:space="preserve">uman capital approach was used to value the societal contribution of </w:t>
      </w:r>
      <w:r w:rsidR="00FC3C3B" w:rsidRPr="004C78D8">
        <w:t>older</w:t>
      </w:r>
      <w:r w:rsidR="001C6F16" w:rsidRPr="004C78D8">
        <w:t xml:space="preserve"> persons in paid employment. </w:t>
      </w:r>
      <w:r w:rsidR="004278CD" w:rsidRPr="004C78D8">
        <w:t>Employed persons</w:t>
      </w:r>
      <w:r w:rsidR="001C6F16" w:rsidRPr="004C78D8">
        <w:t xml:space="preserve"> </w:t>
      </w:r>
      <w:r w:rsidR="00C07947" w:rsidRPr="004C78D8">
        <w:t>were assumed to generate a</w:t>
      </w:r>
      <w:r w:rsidR="001C6F16" w:rsidRPr="004C78D8">
        <w:t>n annual value</w:t>
      </w:r>
      <w:r w:rsidR="002E4FC4" w:rsidRPr="004C78D8">
        <w:t xml:space="preserve"> </w:t>
      </w:r>
      <w:r w:rsidR="001C6F16" w:rsidRPr="004C78D8">
        <w:t xml:space="preserve">of </w:t>
      </w:r>
      <w:r w:rsidR="00CE54E5" w:rsidRPr="004C78D8">
        <w:t>£</w:t>
      </w:r>
      <w:r w:rsidR="002E4FC4" w:rsidRPr="004C78D8">
        <w:t>24</w:t>
      </w:r>
      <w:r w:rsidR="00CE54E5" w:rsidRPr="004C78D8">
        <w:t>,</w:t>
      </w:r>
      <w:r w:rsidR="002E4FC4" w:rsidRPr="004C78D8">
        <w:t>192</w:t>
      </w:r>
      <w:r w:rsidR="00CE54E5" w:rsidRPr="004C78D8">
        <w:t xml:space="preserve"> which is </w:t>
      </w:r>
      <w:r w:rsidR="00C07947" w:rsidRPr="004C78D8">
        <w:t xml:space="preserve">the </w:t>
      </w:r>
      <w:r w:rsidR="007F6076" w:rsidRPr="004C78D8">
        <w:t xml:space="preserve">UK national </w:t>
      </w:r>
      <w:r w:rsidR="002E4FC4" w:rsidRPr="004C78D8">
        <w:t xml:space="preserve">average weekly pay in May 2020 before tax and other deductions </w:t>
      </w:r>
      <w:r w:rsidR="002E4FC4" w:rsidRPr="004C78D8">
        <w:fldChar w:fldCharType="begin"/>
      </w:r>
      <w:r w:rsidR="00C630FC" w:rsidRPr="004C78D8">
        <w:instrText xml:space="preserve"> ADDIN EN.CITE &lt;EndNote&gt;&lt;Cite&gt;&lt;Author&gt;Office for National Statistics&lt;/Author&gt;&lt;Year&gt;2020&lt;/Year&gt;&lt;RecNum&gt;505&lt;/RecNum&gt;&lt;DisplayText&gt;[398]&lt;/DisplayText&gt;&lt;record&gt;&lt;rec-number&gt;505&lt;/rec-number&gt;&lt;foreign-keys&gt;&lt;key app="EN" db-id="tdtrdw9aepptzbefsat599syza29sxsd2wsp" timestamp="1617824406"&gt;505&lt;/key&gt;&lt;/foreign-keys&gt;&lt;ref-type name="Web Page"&gt;12&lt;/ref-type&gt;&lt;contributors&gt;&lt;authors&gt;&lt;author&gt;Office for National Statistics,&lt;/author&gt;&lt;/authors&gt;&lt;/contributors&gt;&lt;titles&gt;&lt;title&gt;Average weekly earnings in Great Britain: July 2020&lt;/title&gt;&lt;/titles&gt;&lt;dates&gt;&lt;year&gt;2020&lt;/year&gt;&lt;/dates&gt;&lt;urls&gt;&lt;related-urls&gt;&lt;url&gt;https://www.ons.gov.uk/employmentandlabourmarket/peopleinwork/employmentandemployeetypes/bulletins/averageweeklyearningsingreatbritain/july2020&lt;/url&gt;&lt;/related-urls&gt;&lt;/urls&gt;&lt;/record&gt;&lt;/Cite&gt;&lt;/EndNote&gt;</w:instrText>
      </w:r>
      <w:r w:rsidR="002E4FC4" w:rsidRPr="004C78D8">
        <w:fldChar w:fldCharType="separate"/>
      </w:r>
      <w:r w:rsidR="00C630FC" w:rsidRPr="004C78D8">
        <w:rPr>
          <w:noProof/>
        </w:rPr>
        <w:t>[398]</w:t>
      </w:r>
      <w:r w:rsidR="002E4FC4" w:rsidRPr="004C78D8">
        <w:fldChar w:fldCharType="end"/>
      </w:r>
      <w:r w:rsidR="002E4FC4" w:rsidRPr="004C78D8">
        <w:t xml:space="preserve"> multiplied by 48 working weeks</w:t>
      </w:r>
      <w:r w:rsidR="00E25534" w:rsidRPr="004C78D8">
        <w:t>.</w:t>
      </w:r>
      <w:r w:rsidR="002E4FC4" w:rsidRPr="004C78D8">
        <w:t xml:space="preserve"> </w:t>
      </w:r>
      <w:r w:rsidR="00A20E4C" w:rsidRPr="004C78D8">
        <w:t xml:space="preserve">This </w:t>
      </w:r>
      <w:r w:rsidR="002E4FC4" w:rsidRPr="004C78D8">
        <w:t>value</w:t>
      </w:r>
      <w:r w:rsidR="00A20E4C" w:rsidRPr="004C78D8">
        <w:t xml:space="preserve"> was assumed to be constant over the model simulation time. </w:t>
      </w:r>
    </w:p>
    <w:p w14:paraId="77D3C537" w14:textId="59399A28" w:rsidR="00B54EAA" w:rsidRPr="004C78D8" w:rsidRDefault="00CC6B10" w:rsidP="00FB7C1F">
      <w:pPr>
        <w:pStyle w:val="Heading5"/>
      </w:pPr>
      <w:r w:rsidRPr="004C78D8">
        <w:t>Unpaid work – v</w:t>
      </w:r>
      <w:r w:rsidR="00B54EAA" w:rsidRPr="004C78D8">
        <w:t>olunteering</w:t>
      </w:r>
      <w:r w:rsidR="00FD465B" w:rsidRPr="004C78D8">
        <w:t xml:space="preserve"> and </w:t>
      </w:r>
      <w:r w:rsidR="00FB767D" w:rsidRPr="004C78D8">
        <w:t xml:space="preserve">unpaid </w:t>
      </w:r>
      <w:r w:rsidR="00FD465B" w:rsidRPr="004C78D8">
        <w:t>help</w:t>
      </w:r>
    </w:p>
    <w:p w14:paraId="52D86254" w14:textId="3A142682" w:rsidR="00480E88" w:rsidRPr="004C78D8" w:rsidRDefault="00795585" w:rsidP="00FB7C1F">
      <w:r w:rsidRPr="004C78D8">
        <w:t>ELSA Waves 4</w:t>
      </w:r>
      <w:r w:rsidR="00F25B67" w:rsidRPr="004C78D8">
        <w:t>-</w:t>
      </w:r>
      <w:r w:rsidRPr="004C78D8">
        <w:t xml:space="preserve">5 </w:t>
      </w:r>
      <w:r w:rsidR="00A6202C" w:rsidRPr="004C78D8">
        <w:t xml:space="preserve">contained information on the frequency of </w:t>
      </w:r>
      <w:r w:rsidR="00F12F16" w:rsidRPr="004C78D8">
        <w:t xml:space="preserve">‘formal’ </w:t>
      </w:r>
      <w:r w:rsidR="00A6202C" w:rsidRPr="004C78D8">
        <w:t xml:space="preserve">volunteering </w:t>
      </w:r>
      <w:r w:rsidR="00F14B19" w:rsidRPr="004C78D8">
        <w:t xml:space="preserve">activities </w:t>
      </w:r>
      <w:r w:rsidR="00F12F16" w:rsidRPr="004C78D8">
        <w:t xml:space="preserve">(i.e., as part of </w:t>
      </w:r>
      <w:r w:rsidR="00CA76D9" w:rsidRPr="004C78D8">
        <w:t>a</w:t>
      </w:r>
      <w:r w:rsidR="00F12F16" w:rsidRPr="004C78D8">
        <w:t xml:space="preserve"> volunteering organi</w:t>
      </w:r>
      <w:r w:rsidR="00E25534" w:rsidRPr="004C78D8">
        <w:t>s</w:t>
      </w:r>
      <w:r w:rsidR="00F12F16" w:rsidRPr="004C78D8">
        <w:t xml:space="preserve">ation) </w:t>
      </w:r>
      <w:r w:rsidR="00A6202C" w:rsidRPr="004C78D8">
        <w:t>in the past 12 months: at least once a week; less than once a week; and one-off.</w:t>
      </w:r>
      <w:r w:rsidR="00F14B19" w:rsidRPr="004C78D8">
        <w:t xml:space="preserve"> Similar frequency </w:t>
      </w:r>
      <w:r w:rsidR="00364DA6" w:rsidRPr="004C78D8">
        <w:t xml:space="preserve">data </w:t>
      </w:r>
      <w:r w:rsidR="00F14B19" w:rsidRPr="004C78D8">
        <w:t>was reported for provision of unpaid help</w:t>
      </w:r>
      <w:r w:rsidR="00E7080B" w:rsidRPr="004C78D8">
        <w:t xml:space="preserve"> (</w:t>
      </w:r>
      <w:r w:rsidR="008A4738" w:rsidRPr="004C78D8">
        <w:t xml:space="preserve">i.e., </w:t>
      </w:r>
      <w:r w:rsidR="00D37332" w:rsidRPr="004C78D8">
        <w:t xml:space="preserve">volunteering </w:t>
      </w:r>
      <w:r w:rsidR="008A4738" w:rsidRPr="004C78D8">
        <w:t>on a less formal basis</w:t>
      </w:r>
      <w:r w:rsidR="00E7080B" w:rsidRPr="004C78D8">
        <w:t>)</w:t>
      </w:r>
      <w:r w:rsidR="00F14B19" w:rsidRPr="004C78D8">
        <w:t xml:space="preserve">, including </w:t>
      </w:r>
      <w:r w:rsidR="00E25534" w:rsidRPr="004C78D8">
        <w:t>informal caregiving for sick persons</w:t>
      </w:r>
      <w:r w:rsidR="00F14B19" w:rsidRPr="004C78D8">
        <w:t>, childcare</w:t>
      </w:r>
      <w:r w:rsidR="00CA76D9" w:rsidRPr="004C78D8">
        <w:t>,</w:t>
      </w:r>
      <w:r w:rsidR="00F14B19" w:rsidRPr="004C78D8">
        <w:t xml:space="preserve"> and helping </w:t>
      </w:r>
      <w:r w:rsidR="00E7080B" w:rsidRPr="004C78D8">
        <w:t xml:space="preserve">people </w:t>
      </w:r>
      <w:r w:rsidR="00F14B19" w:rsidRPr="004C78D8">
        <w:t>with daily activities such as cooking, cleaning</w:t>
      </w:r>
      <w:r w:rsidR="00CA76D9" w:rsidRPr="004C78D8">
        <w:t>,</w:t>
      </w:r>
      <w:r w:rsidR="00F14B19" w:rsidRPr="004C78D8">
        <w:t xml:space="preserve"> and transporting.</w:t>
      </w:r>
      <w:r w:rsidR="008A4738" w:rsidRPr="004C78D8">
        <w:t xml:space="preserve"> </w:t>
      </w:r>
      <w:r w:rsidR="00F12F16" w:rsidRPr="004C78D8">
        <w:t>Together</w:t>
      </w:r>
      <w:r w:rsidR="00CA76D9" w:rsidRPr="004C78D8">
        <w:t>,</w:t>
      </w:r>
      <w:r w:rsidR="00F12F16" w:rsidRPr="004C78D8">
        <w:t xml:space="preserve"> they constituted unpaid work performed by </w:t>
      </w:r>
      <w:r w:rsidR="00FC3C3B" w:rsidRPr="004C78D8">
        <w:t>older</w:t>
      </w:r>
      <w:r w:rsidR="00F12F16" w:rsidRPr="004C78D8">
        <w:t xml:space="preserve"> persons. </w:t>
      </w:r>
      <w:r w:rsidR="00A6202C" w:rsidRPr="004C78D8">
        <w:t>It was assumed that only those who volunteered</w:t>
      </w:r>
      <w:r w:rsidR="00E25534" w:rsidRPr="004C78D8">
        <w:t xml:space="preserve"> or provided unpaid help</w:t>
      </w:r>
      <w:r w:rsidR="00A6202C" w:rsidRPr="004C78D8">
        <w:t xml:space="preserve"> at least once a week generated </w:t>
      </w:r>
      <w:r w:rsidR="00E25534" w:rsidRPr="004C78D8">
        <w:t>consistent</w:t>
      </w:r>
      <w:r w:rsidR="00A6202C" w:rsidRPr="004C78D8">
        <w:t xml:space="preserve"> volume of societal contribution </w:t>
      </w:r>
      <w:r w:rsidR="00E25534" w:rsidRPr="004C78D8">
        <w:t>over a year</w:t>
      </w:r>
      <w:r w:rsidR="00A6202C" w:rsidRPr="004C78D8">
        <w:t>.</w:t>
      </w:r>
      <w:r w:rsidR="00AC4D15" w:rsidRPr="004C78D8">
        <w:t xml:space="preserve"> </w:t>
      </w:r>
      <w:r w:rsidR="00F12F16" w:rsidRPr="004C78D8">
        <w:t>Therefore, a</w:t>
      </w:r>
      <w:r w:rsidR="00D85668" w:rsidRPr="004C78D8">
        <w:t xml:space="preserve"> new binary variable was created to indicate weekly </w:t>
      </w:r>
      <w:r w:rsidR="00480E88" w:rsidRPr="004C78D8">
        <w:t>unpaid work</w:t>
      </w:r>
      <w:r w:rsidR="00D85668" w:rsidRPr="004C78D8">
        <w:t xml:space="preserve">, </w:t>
      </w:r>
      <w:r w:rsidR="00EF1DB3" w:rsidRPr="004C78D8">
        <w:t>with</w:t>
      </w:r>
      <w:r w:rsidR="00D85668" w:rsidRPr="004C78D8">
        <w:t xml:space="preserve"> </w:t>
      </w:r>
      <w:r w:rsidR="00D37332" w:rsidRPr="004C78D8">
        <w:t>2</w:t>
      </w:r>
      <w:r w:rsidR="00EF1DB3" w:rsidRPr="004C78D8">
        <w:t>8</w:t>
      </w:r>
      <w:r w:rsidR="00B51645" w:rsidRPr="004C78D8">
        <w:t>.</w:t>
      </w:r>
      <w:r w:rsidR="00EF1DB3" w:rsidRPr="004C78D8">
        <w:t>0</w:t>
      </w:r>
      <w:r w:rsidR="00B51645" w:rsidRPr="004C78D8">
        <w:t xml:space="preserve">% of </w:t>
      </w:r>
      <w:r w:rsidR="00D37332" w:rsidRPr="004C78D8">
        <w:t xml:space="preserve">the </w:t>
      </w:r>
      <w:r w:rsidR="00FC3C3B" w:rsidRPr="004C78D8">
        <w:t>older</w:t>
      </w:r>
      <w:r w:rsidR="00EF1DB3" w:rsidRPr="004C78D8">
        <w:t xml:space="preserve"> population</w:t>
      </w:r>
      <w:r w:rsidR="00B51645" w:rsidRPr="004C78D8">
        <w:t xml:space="preserve"> </w:t>
      </w:r>
      <w:r w:rsidR="00D85668" w:rsidRPr="004C78D8">
        <w:t>report</w:t>
      </w:r>
      <w:r w:rsidR="00EF1DB3" w:rsidRPr="004C78D8">
        <w:t>ing</w:t>
      </w:r>
      <w:r w:rsidR="00D85668" w:rsidRPr="004C78D8">
        <w:t xml:space="preserve"> </w:t>
      </w:r>
      <w:r w:rsidR="00EF1DB3" w:rsidRPr="004C78D8">
        <w:t xml:space="preserve">to have done </w:t>
      </w:r>
      <w:r w:rsidR="00D85668" w:rsidRPr="004C78D8">
        <w:t>so in the previous 12 months</w:t>
      </w:r>
      <w:r w:rsidR="00B51645" w:rsidRPr="004C78D8">
        <w:t>.</w:t>
      </w:r>
      <w:r w:rsidR="00A6202C" w:rsidRPr="004C78D8">
        <w:t xml:space="preserve"> </w:t>
      </w:r>
    </w:p>
    <w:p w14:paraId="0C8986A6" w14:textId="25BD4BF7" w:rsidR="0015390B" w:rsidRPr="004C78D8" w:rsidRDefault="00672A1C" w:rsidP="00FB7C1F">
      <w:r w:rsidRPr="004C78D8">
        <w:t xml:space="preserve">Table </w:t>
      </w:r>
      <w:r w:rsidR="00CF672F" w:rsidRPr="004C78D8">
        <w:t>5</w:t>
      </w:r>
      <w:r w:rsidR="00E25534" w:rsidRPr="004C78D8">
        <w:t>.1</w:t>
      </w:r>
      <w:r w:rsidR="00BC5C30" w:rsidRPr="004C78D8">
        <w:t>6</w:t>
      </w:r>
      <w:r w:rsidRPr="004C78D8">
        <w:t xml:space="preserve"> </w:t>
      </w:r>
      <w:r w:rsidR="00B54D2F" w:rsidRPr="004C78D8">
        <w:t xml:space="preserve">shows the logistic regression coefficients from the best-fit model estimating the prevalence of </w:t>
      </w:r>
      <w:r w:rsidR="00480E88" w:rsidRPr="004C78D8">
        <w:t>weekly unpaid work</w:t>
      </w:r>
      <w:r w:rsidR="00B54D2F" w:rsidRPr="004C78D8">
        <w:t>.</w:t>
      </w:r>
      <w:r w:rsidR="00D74181" w:rsidRPr="004C78D8">
        <w:t xml:space="preserve"> Unlike paid employment, </w:t>
      </w:r>
      <w:r w:rsidR="000D1D25" w:rsidRPr="004C78D8">
        <w:t xml:space="preserve">older </w:t>
      </w:r>
      <w:r w:rsidR="00C133AD" w:rsidRPr="004C78D8">
        <w:t>individuals</w:t>
      </w:r>
      <w:r w:rsidR="000D1D25" w:rsidRPr="004C78D8">
        <w:t xml:space="preserve"> and women</w:t>
      </w:r>
      <w:r w:rsidR="00D74181" w:rsidRPr="004C78D8">
        <w:t xml:space="preserve"> </w:t>
      </w:r>
      <w:r w:rsidR="000D1D25" w:rsidRPr="004C78D8">
        <w:t>were likelier to be engaged in</w:t>
      </w:r>
      <w:r w:rsidR="00D74181" w:rsidRPr="004C78D8">
        <w:t xml:space="preserve"> </w:t>
      </w:r>
      <w:r w:rsidR="007735CE" w:rsidRPr="004C78D8">
        <w:t>unpaid work</w:t>
      </w:r>
      <w:r w:rsidR="000D1D25" w:rsidRPr="004C78D8">
        <w:t xml:space="preserve">. Nevertheless, there was a similar </w:t>
      </w:r>
      <w:r w:rsidR="00C133AD" w:rsidRPr="004C78D8">
        <w:t>SES</w:t>
      </w:r>
      <w:r w:rsidR="000D1D25" w:rsidRPr="004C78D8">
        <w:t xml:space="preserve"> gradient, with the 3</w:t>
      </w:r>
      <w:r w:rsidR="000D1D25" w:rsidRPr="004C78D8">
        <w:rPr>
          <w:vertAlign w:val="superscript"/>
        </w:rPr>
        <w:t>rd</w:t>
      </w:r>
      <w:r w:rsidR="000D1D25" w:rsidRPr="004C78D8">
        <w:t xml:space="preserve"> and the most deprived quartiles being significantly less likely to </w:t>
      </w:r>
      <w:r w:rsidR="00C133AD" w:rsidRPr="004C78D8">
        <w:t>engage</w:t>
      </w:r>
      <w:r w:rsidR="000D1D25" w:rsidRPr="004C78D8">
        <w:t xml:space="preserve"> than the most privileged. Increasing </w:t>
      </w:r>
      <w:r w:rsidR="00701921" w:rsidRPr="004C78D8">
        <w:t xml:space="preserve">squared </w:t>
      </w:r>
      <w:r w:rsidR="000D1D25" w:rsidRPr="004C78D8">
        <w:t>frailty was associated with lower rate of work</w:t>
      </w:r>
      <w:r w:rsidR="00243E6D" w:rsidRPr="004C78D8">
        <w:t xml:space="preserve">. Engaging in high physical activity </w:t>
      </w:r>
      <w:r w:rsidR="000D1D25" w:rsidRPr="004C78D8">
        <w:t>wa</w:t>
      </w:r>
      <w:r w:rsidR="00243E6D" w:rsidRPr="004C78D8">
        <w:t xml:space="preserve">s associated with higher </w:t>
      </w:r>
      <w:r w:rsidR="000D1D25" w:rsidRPr="004C78D8">
        <w:t>rate</w:t>
      </w:r>
      <w:r w:rsidR="00243E6D" w:rsidRPr="004C78D8">
        <w:t xml:space="preserve">, while </w:t>
      </w:r>
      <w:r w:rsidR="0027141F" w:rsidRPr="004C78D8">
        <w:t xml:space="preserve">cognitive impairment and </w:t>
      </w:r>
      <w:r w:rsidR="00243E6D" w:rsidRPr="004C78D8">
        <w:t>abnormal gait</w:t>
      </w:r>
      <w:r w:rsidR="0027141F" w:rsidRPr="004C78D8">
        <w:t>/</w:t>
      </w:r>
      <w:r w:rsidR="00243E6D" w:rsidRPr="004C78D8">
        <w:t xml:space="preserve">balance </w:t>
      </w:r>
      <w:r w:rsidR="000D1D25" w:rsidRPr="004C78D8">
        <w:t>w</w:t>
      </w:r>
      <w:r w:rsidR="0027141F" w:rsidRPr="004C78D8">
        <w:t>ere</w:t>
      </w:r>
      <w:r w:rsidR="00243E6D" w:rsidRPr="004C78D8">
        <w:t xml:space="preserve"> associated with lower. </w:t>
      </w:r>
      <w:r w:rsidR="0027141F" w:rsidRPr="004C78D8">
        <w:t xml:space="preserve">Those in paid employment were less likely to </w:t>
      </w:r>
      <w:r w:rsidR="00C133AD" w:rsidRPr="004C78D8">
        <w:t>engage</w:t>
      </w:r>
      <w:r w:rsidR="0027141F" w:rsidRPr="004C78D8">
        <w:t>.</w:t>
      </w:r>
    </w:p>
    <w:tbl>
      <w:tblPr>
        <w:tblStyle w:val="TableGrid"/>
        <w:tblW w:w="0" w:type="auto"/>
        <w:tblInd w:w="-5" w:type="dxa"/>
        <w:tblLook w:val="04A0" w:firstRow="1" w:lastRow="0" w:firstColumn="1" w:lastColumn="0" w:noHBand="0" w:noVBand="1"/>
      </w:tblPr>
      <w:tblGrid>
        <w:gridCol w:w="2263"/>
        <w:gridCol w:w="1701"/>
        <w:gridCol w:w="1701"/>
      </w:tblGrid>
      <w:tr w:rsidR="00672A1C" w:rsidRPr="004C78D8" w14:paraId="63F704B3" w14:textId="77777777" w:rsidTr="00E35893">
        <w:tc>
          <w:tcPr>
            <w:tcW w:w="5665" w:type="dxa"/>
            <w:gridSpan w:val="3"/>
          </w:tcPr>
          <w:p w14:paraId="1DD3DDF7" w14:textId="6A1800C5" w:rsidR="00672A1C" w:rsidRPr="004C78D8" w:rsidRDefault="00672A1C" w:rsidP="00FB7C1F">
            <w:pPr>
              <w:jc w:val="left"/>
            </w:pPr>
            <w:r w:rsidRPr="004C78D8">
              <w:rPr>
                <w:b/>
                <w:bCs/>
              </w:rPr>
              <w:t xml:space="preserve">Table </w:t>
            </w:r>
            <w:r w:rsidR="00CF672F" w:rsidRPr="004C78D8">
              <w:rPr>
                <w:b/>
                <w:bCs/>
              </w:rPr>
              <w:t>5</w:t>
            </w:r>
            <w:r w:rsidR="007F6076" w:rsidRPr="004C78D8">
              <w:rPr>
                <w:b/>
                <w:bCs/>
              </w:rPr>
              <w:t>.1</w:t>
            </w:r>
            <w:r w:rsidR="00BC5C30" w:rsidRPr="004C78D8">
              <w:rPr>
                <w:b/>
                <w:bCs/>
              </w:rPr>
              <w:t>6</w:t>
            </w:r>
            <w:r w:rsidRPr="004C78D8">
              <w:t xml:space="preserve"> Logistic regression coefficients for weekly </w:t>
            </w:r>
            <w:r w:rsidR="00003DAD" w:rsidRPr="004C78D8">
              <w:t>unpaid work</w:t>
            </w:r>
            <w:r w:rsidRPr="004C78D8">
              <w:t xml:space="preserve"> </w:t>
            </w:r>
            <w:r w:rsidR="00C133AD" w:rsidRPr="004C78D8">
              <w:t>from</w:t>
            </w:r>
            <w:r w:rsidRPr="004C78D8">
              <w:t xml:space="preserve"> ELSA</w:t>
            </w:r>
            <w:r w:rsidR="00C22211" w:rsidRPr="004C78D8">
              <w:t xml:space="preserve"> Wave</w:t>
            </w:r>
            <w:r w:rsidR="00EF1DB3" w:rsidRPr="004C78D8">
              <w:t>s</w:t>
            </w:r>
            <w:r w:rsidR="00C22211" w:rsidRPr="004C78D8">
              <w:t xml:space="preserve"> 4</w:t>
            </w:r>
            <w:r w:rsidR="00EF1DB3" w:rsidRPr="004C78D8">
              <w:t xml:space="preserve"> and 5</w:t>
            </w:r>
            <w:r w:rsidR="00C133AD" w:rsidRPr="004C78D8">
              <w:t>.</w:t>
            </w:r>
          </w:p>
        </w:tc>
      </w:tr>
      <w:tr w:rsidR="00672A1C" w:rsidRPr="004C78D8" w14:paraId="36F6A8EE" w14:textId="77777777" w:rsidTr="00E35893">
        <w:tc>
          <w:tcPr>
            <w:tcW w:w="5665" w:type="dxa"/>
            <w:gridSpan w:val="3"/>
          </w:tcPr>
          <w:p w14:paraId="167C3B2B" w14:textId="7957B853" w:rsidR="00672A1C" w:rsidRPr="004C78D8" w:rsidRDefault="00672A1C" w:rsidP="00FB7C1F">
            <w:pPr>
              <w:jc w:val="left"/>
              <w:rPr>
                <w:b/>
                <w:bCs/>
                <w:i/>
                <w:iCs/>
                <w:sz w:val="20"/>
                <w:szCs w:val="20"/>
              </w:rPr>
            </w:pPr>
            <w:r w:rsidRPr="004C78D8">
              <w:rPr>
                <w:b/>
                <w:bCs/>
                <w:i/>
                <w:iCs/>
                <w:sz w:val="20"/>
                <w:szCs w:val="20"/>
              </w:rPr>
              <w:t xml:space="preserve">Dependent variable: </w:t>
            </w:r>
            <w:r w:rsidR="00003DAD" w:rsidRPr="004C78D8">
              <w:rPr>
                <w:b/>
                <w:bCs/>
                <w:i/>
                <w:iCs/>
                <w:sz w:val="20"/>
                <w:szCs w:val="20"/>
              </w:rPr>
              <w:t>Weekly unpaid work</w:t>
            </w:r>
            <w:r w:rsidRPr="004C78D8">
              <w:rPr>
                <w:b/>
                <w:bCs/>
                <w:i/>
                <w:iCs/>
                <w:sz w:val="20"/>
                <w:szCs w:val="20"/>
              </w:rPr>
              <w:t xml:space="preserve"> (N=</w:t>
            </w:r>
            <w:r w:rsidR="00EF1DB3" w:rsidRPr="004C78D8">
              <w:rPr>
                <w:b/>
                <w:bCs/>
                <w:i/>
                <w:iCs/>
                <w:sz w:val="20"/>
                <w:szCs w:val="20"/>
              </w:rPr>
              <w:t>13</w:t>
            </w:r>
            <w:r w:rsidRPr="004C78D8">
              <w:rPr>
                <w:b/>
                <w:bCs/>
                <w:i/>
                <w:iCs/>
                <w:sz w:val="20"/>
                <w:szCs w:val="20"/>
              </w:rPr>
              <w:t>,</w:t>
            </w:r>
            <w:r w:rsidR="00EF1DB3" w:rsidRPr="004C78D8">
              <w:rPr>
                <w:b/>
                <w:bCs/>
                <w:i/>
                <w:iCs/>
                <w:sz w:val="20"/>
                <w:szCs w:val="20"/>
              </w:rPr>
              <w:t>422</w:t>
            </w:r>
            <w:r w:rsidRPr="004C78D8">
              <w:rPr>
                <w:b/>
                <w:bCs/>
                <w:i/>
                <w:iCs/>
                <w:sz w:val="20"/>
                <w:szCs w:val="20"/>
              </w:rPr>
              <w:t>)</w:t>
            </w:r>
          </w:p>
        </w:tc>
      </w:tr>
      <w:tr w:rsidR="00672A1C" w:rsidRPr="004C78D8" w14:paraId="4F8326B0" w14:textId="77777777" w:rsidTr="00E35893">
        <w:tc>
          <w:tcPr>
            <w:tcW w:w="2263" w:type="dxa"/>
            <w:tcBorders>
              <w:bottom w:val="single" w:sz="4" w:space="0" w:color="auto"/>
            </w:tcBorders>
          </w:tcPr>
          <w:p w14:paraId="2FBB70CD" w14:textId="77777777" w:rsidR="00672A1C" w:rsidRPr="004C78D8" w:rsidRDefault="00672A1C" w:rsidP="00FB7C1F">
            <w:pPr>
              <w:rPr>
                <w:b/>
                <w:bCs/>
                <w:sz w:val="20"/>
                <w:szCs w:val="20"/>
              </w:rPr>
            </w:pPr>
            <w:r w:rsidRPr="004C78D8">
              <w:rPr>
                <w:b/>
                <w:bCs/>
                <w:sz w:val="20"/>
                <w:szCs w:val="20"/>
              </w:rPr>
              <w:t>Explanatory variables</w:t>
            </w:r>
          </w:p>
        </w:tc>
        <w:tc>
          <w:tcPr>
            <w:tcW w:w="1701" w:type="dxa"/>
            <w:tcBorders>
              <w:bottom w:val="single" w:sz="4" w:space="0" w:color="auto"/>
            </w:tcBorders>
          </w:tcPr>
          <w:p w14:paraId="44E3471B" w14:textId="77777777" w:rsidR="00672A1C" w:rsidRPr="004C78D8" w:rsidRDefault="00672A1C" w:rsidP="00FB7C1F">
            <w:pPr>
              <w:jc w:val="center"/>
              <w:rPr>
                <w:b/>
                <w:bCs/>
                <w:sz w:val="20"/>
                <w:szCs w:val="20"/>
              </w:rPr>
            </w:pPr>
            <w:r w:rsidRPr="004C78D8">
              <w:rPr>
                <w:b/>
                <w:bCs/>
                <w:sz w:val="20"/>
                <w:szCs w:val="20"/>
              </w:rPr>
              <w:t>Coefficient (SE)</w:t>
            </w:r>
          </w:p>
        </w:tc>
        <w:tc>
          <w:tcPr>
            <w:tcW w:w="1701" w:type="dxa"/>
            <w:tcBorders>
              <w:bottom w:val="single" w:sz="4" w:space="0" w:color="auto"/>
            </w:tcBorders>
          </w:tcPr>
          <w:p w14:paraId="5E2BC075" w14:textId="77777777" w:rsidR="00672A1C" w:rsidRPr="004C78D8" w:rsidRDefault="00672A1C" w:rsidP="00FB7C1F">
            <w:pPr>
              <w:jc w:val="center"/>
              <w:rPr>
                <w:b/>
                <w:bCs/>
                <w:sz w:val="20"/>
                <w:szCs w:val="20"/>
              </w:rPr>
            </w:pPr>
            <w:r w:rsidRPr="004C78D8">
              <w:rPr>
                <w:b/>
                <w:bCs/>
                <w:sz w:val="20"/>
                <w:szCs w:val="20"/>
              </w:rPr>
              <w:t>P-value</w:t>
            </w:r>
          </w:p>
        </w:tc>
      </w:tr>
      <w:tr w:rsidR="00672A1C" w:rsidRPr="004C78D8" w14:paraId="04A86BD1" w14:textId="77777777" w:rsidTr="00E35893">
        <w:tc>
          <w:tcPr>
            <w:tcW w:w="2263" w:type="dxa"/>
            <w:tcBorders>
              <w:bottom w:val="nil"/>
            </w:tcBorders>
          </w:tcPr>
          <w:p w14:paraId="75701423" w14:textId="77777777" w:rsidR="00672A1C" w:rsidRPr="004C78D8" w:rsidRDefault="00672A1C" w:rsidP="00FB7C1F">
            <w:pPr>
              <w:rPr>
                <w:sz w:val="18"/>
                <w:szCs w:val="18"/>
              </w:rPr>
            </w:pPr>
            <w:r w:rsidRPr="004C78D8">
              <w:rPr>
                <w:sz w:val="18"/>
                <w:szCs w:val="18"/>
              </w:rPr>
              <w:t>Constant</w:t>
            </w:r>
          </w:p>
        </w:tc>
        <w:tc>
          <w:tcPr>
            <w:tcW w:w="1701" w:type="dxa"/>
            <w:tcBorders>
              <w:bottom w:val="nil"/>
            </w:tcBorders>
          </w:tcPr>
          <w:p w14:paraId="67C179A0" w14:textId="57348C24" w:rsidR="00672A1C" w:rsidRPr="004C78D8" w:rsidRDefault="007304CE" w:rsidP="00FB7C1F">
            <w:pPr>
              <w:jc w:val="center"/>
              <w:rPr>
                <w:sz w:val="18"/>
                <w:szCs w:val="18"/>
              </w:rPr>
            </w:pPr>
            <w:r w:rsidRPr="004C78D8">
              <w:rPr>
                <w:sz w:val="18"/>
                <w:szCs w:val="18"/>
              </w:rPr>
              <w:t>-1</w:t>
            </w:r>
            <w:r w:rsidR="00530BF1" w:rsidRPr="004C78D8">
              <w:rPr>
                <w:sz w:val="18"/>
                <w:szCs w:val="18"/>
              </w:rPr>
              <w:t>6</w:t>
            </w:r>
            <w:r w:rsidR="00672A1C" w:rsidRPr="004C78D8">
              <w:rPr>
                <w:sz w:val="18"/>
                <w:szCs w:val="18"/>
              </w:rPr>
              <w:t>.</w:t>
            </w:r>
            <w:r w:rsidR="00590AB9" w:rsidRPr="004C78D8">
              <w:rPr>
                <w:sz w:val="18"/>
                <w:szCs w:val="18"/>
              </w:rPr>
              <w:t>403</w:t>
            </w:r>
            <w:r w:rsidR="00672A1C" w:rsidRPr="004C78D8">
              <w:rPr>
                <w:sz w:val="18"/>
                <w:szCs w:val="18"/>
              </w:rPr>
              <w:t xml:space="preserve"> (</w:t>
            </w:r>
            <w:r w:rsidR="00590AB9" w:rsidRPr="004C78D8">
              <w:rPr>
                <w:sz w:val="18"/>
                <w:szCs w:val="18"/>
              </w:rPr>
              <w:t>1</w:t>
            </w:r>
            <w:r w:rsidR="00672A1C" w:rsidRPr="004C78D8">
              <w:rPr>
                <w:sz w:val="18"/>
                <w:szCs w:val="18"/>
              </w:rPr>
              <w:t>.</w:t>
            </w:r>
            <w:r w:rsidR="00590AB9" w:rsidRPr="004C78D8">
              <w:rPr>
                <w:sz w:val="18"/>
                <w:szCs w:val="18"/>
              </w:rPr>
              <w:t>884</w:t>
            </w:r>
            <w:r w:rsidR="00672A1C" w:rsidRPr="004C78D8">
              <w:rPr>
                <w:sz w:val="18"/>
                <w:szCs w:val="18"/>
              </w:rPr>
              <w:t>)</w:t>
            </w:r>
          </w:p>
        </w:tc>
        <w:tc>
          <w:tcPr>
            <w:tcW w:w="1701" w:type="dxa"/>
            <w:tcBorders>
              <w:bottom w:val="nil"/>
            </w:tcBorders>
          </w:tcPr>
          <w:p w14:paraId="0463D329" w14:textId="77777777" w:rsidR="00672A1C" w:rsidRPr="004C78D8" w:rsidRDefault="00672A1C" w:rsidP="00FB7C1F">
            <w:pPr>
              <w:jc w:val="center"/>
              <w:rPr>
                <w:sz w:val="18"/>
                <w:szCs w:val="18"/>
              </w:rPr>
            </w:pPr>
            <w:r w:rsidRPr="004C78D8">
              <w:rPr>
                <w:sz w:val="18"/>
                <w:szCs w:val="18"/>
              </w:rPr>
              <w:t>&lt;0.001</w:t>
            </w:r>
          </w:p>
        </w:tc>
      </w:tr>
      <w:tr w:rsidR="00672A1C" w:rsidRPr="004C78D8" w14:paraId="7A87F0F2" w14:textId="77777777" w:rsidTr="00E35893">
        <w:tc>
          <w:tcPr>
            <w:tcW w:w="2263" w:type="dxa"/>
            <w:tcBorders>
              <w:top w:val="nil"/>
              <w:bottom w:val="nil"/>
            </w:tcBorders>
          </w:tcPr>
          <w:p w14:paraId="4C3CF2F0" w14:textId="77777777" w:rsidR="00672A1C" w:rsidRPr="004C78D8" w:rsidRDefault="00672A1C" w:rsidP="00FB7C1F">
            <w:pPr>
              <w:rPr>
                <w:sz w:val="18"/>
                <w:szCs w:val="18"/>
              </w:rPr>
            </w:pPr>
            <w:r w:rsidRPr="004C78D8">
              <w:rPr>
                <w:sz w:val="18"/>
                <w:szCs w:val="18"/>
              </w:rPr>
              <w:t>Age</w:t>
            </w:r>
          </w:p>
        </w:tc>
        <w:tc>
          <w:tcPr>
            <w:tcW w:w="1701" w:type="dxa"/>
            <w:tcBorders>
              <w:top w:val="nil"/>
              <w:bottom w:val="nil"/>
            </w:tcBorders>
          </w:tcPr>
          <w:p w14:paraId="5940BC00" w14:textId="0136C2DE" w:rsidR="00672A1C" w:rsidRPr="004C78D8" w:rsidRDefault="007304CE" w:rsidP="00FB7C1F">
            <w:pPr>
              <w:jc w:val="center"/>
              <w:rPr>
                <w:sz w:val="18"/>
                <w:szCs w:val="18"/>
              </w:rPr>
            </w:pPr>
            <w:r w:rsidRPr="004C78D8">
              <w:rPr>
                <w:sz w:val="18"/>
                <w:szCs w:val="18"/>
              </w:rPr>
              <w:t>0</w:t>
            </w:r>
            <w:r w:rsidR="00672A1C" w:rsidRPr="004C78D8">
              <w:rPr>
                <w:sz w:val="18"/>
                <w:szCs w:val="18"/>
              </w:rPr>
              <w:t>.</w:t>
            </w:r>
            <w:r w:rsidR="00530BF1" w:rsidRPr="004C78D8">
              <w:rPr>
                <w:sz w:val="18"/>
                <w:szCs w:val="18"/>
              </w:rPr>
              <w:t>4</w:t>
            </w:r>
            <w:r w:rsidR="00590AB9" w:rsidRPr="004C78D8">
              <w:rPr>
                <w:sz w:val="18"/>
                <w:szCs w:val="18"/>
              </w:rPr>
              <w:t>32</w:t>
            </w:r>
            <w:r w:rsidR="00672A1C" w:rsidRPr="004C78D8">
              <w:rPr>
                <w:sz w:val="18"/>
                <w:szCs w:val="18"/>
              </w:rPr>
              <w:t xml:space="preserve"> (0.0</w:t>
            </w:r>
            <w:r w:rsidR="00590AB9" w:rsidRPr="004C78D8">
              <w:rPr>
                <w:sz w:val="18"/>
                <w:szCs w:val="18"/>
              </w:rPr>
              <w:t>52</w:t>
            </w:r>
            <w:r w:rsidR="00672A1C" w:rsidRPr="004C78D8">
              <w:rPr>
                <w:sz w:val="18"/>
                <w:szCs w:val="18"/>
              </w:rPr>
              <w:t>)</w:t>
            </w:r>
          </w:p>
        </w:tc>
        <w:tc>
          <w:tcPr>
            <w:tcW w:w="1701" w:type="dxa"/>
            <w:tcBorders>
              <w:top w:val="nil"/>
              <w:bottom w:val="nil"/>
            </w:tcBorders>
          </w:tcPr>
          <w:p w14:paraId="23792B89" w14:textId="77777777" w:rsidR="00672A1C" w:rsidRPr="004C78D8" w:rsidRDefault="00672A1C" w:rsidP="00FB7C1F">
            <w:pPr>
              <w:jc w:val="center"/>
              <w:rPr>
                <w:sz w:val="18"/>
                <w:szCs w:val="18"/>
              </w:rPr>
            </w:pPr>
            <w:r w:rsidRPr="004C78D8">
              <w:rPr>
                <w:sz w:val="18"/>
                <w:szCs w:val="18"/>
              </w:rPr>
              <w:t>&lt;0.001</w:t>
            </w:r>
          </w:p>
        </w:tc>
      </w:tr>
      <w:tr w:rsidR="00672A1C" w:rsidRPr="004C78D8" w14:paraId="681227D3" w14:textId="77777777" w:rsidTr="00E35893">
        <w:tc>
          <w:tcPr>
            <w:tcW w:w="2263" w:type="dxa"/>
            <w:tcBorders>
              <w:top w:val="nil"/>
              <w:bottom w:val="nil"/>
            </w:tcBorders>
          </w:tcPr>
          <w:p w14:paraId="4C336D5F" w14:textId="77777777" w:rsidR="00672A1C" w:rsidRPr="004C78D8" w:rsidRDefault="00672A1C" w:rsidP="00FB7C1F">
            <w:pPr>
              <w:rPr>
                <w:sz w:val="18"/>
                <w:szCs w:val="18"/>
              </w:rPr>
            </w:pPr>
            <w:r w:rsidRPr="004C78D8">
              <w:rPr>
                <w:sz w:val="18"/>
                <w:szCs w:val="18"/>
              </w:rPr>
              <w:t>Age^2</w:t>
            </w:r>
          </w:p>
        </w:tc>
        <w:tc>
          <w:tcPr>
            <w:tcW w:w="1701" w:type="dxa"/>
            <w:tcBorders>
              <w:top w:val="nil"/>
              <w:bottom w:val="nil"/>
            </w:tcBorders>
          </w:tcPr>
          <w:p w14:paraId="6BF7C048" w14:textId="6B37B988" w:rsidR="00672A1C" w:rsidRPr="004C78D8" w:rsidRDefault="007304CE" w:rsidP="00FB7C1F">
            <w:pPr>
              <w:jc w:val="center"/>
              <w:rPr>
                <w:sz w:val="18"/>
                <w:szCs w:val="18"/>
              </w:rPr>
            </w:pPr>
            <w:r w:rsidRPr="004C78D8">
              <w:rPr>
                <w:sz w:val="18"/>
                <w:szCs w:val="18"/>
              </w:rPr>
              <w:t>-</w:t>
            </w:r>
            <w:r w:rsidR="00672A1C" w:rsidRPr="004C78D8">
              <w:rPr>
                <w:sz w:val="18"/>
                <w:szCs w:val="18"/>
              </w:rPr>
              <w:t>0.00</w:t>
            </w:r>
            <w:r w:rsidR="00530BF1" w:rsidRPr="004C78D8">
              <w:rPr>
                <w:sz w:val="18"/>
                <w:szCs w:val="18"/>
              </w:rPr>
              <w:t>3</w:t>
            </w:r>
            <w:r w:rsidR="00672A1C" w:rsidRPr="004C78D8">
              <w:rPr>
                <w:sz w:val="18"/>
                <w:szCs w:val="18"/>
              </w:rPr>
              <w:t xml:space="preserve"> (0.00</w:t>
            </w:r>
            <w:r w:rsidRPr="004C78D8">
              <w:rPr>
                <w:sz w:val="18"/>
                <w:szCs w:val="18"/>
              </w:rPr>
              <w:t>0</w:t>
            </w:r>
            <w:r w:rsidR="00590AB9" w:rsidRPr="004C78D8">
              <w:rPr>
                <w:sz w:val="18"/>
                <w:szCs w:val="18"/>
              </w:rPr>
              <w:t>4</w:t>
            </w:r>
            <w:r w:rsidR="00672A1C" w:rsidRPr="004C78D8">
              <w:rPr>
                <w:sz w:val="18"/>
                <w:szCs w:val="18"/>
              </w:rPr>
              <w:t>)</w:t>
            </w:r>
          </w:p>
        </w:tc>
        <w:tc>
          <w:tcPr>
            <w:tcW w:w="1701" w:type="dxa"/>
            <w:tcBorders>
              <w:top w:val="nil"/>
              <w:bottom w:val="nil"/>
            </w:tcBorders>
          </w:tcPr>
          <w:p w14:paraId="1A988424" w14:textId="77777777" w:rsidR="00672A1C" w:rsidRPr="004C78D8" w:rsidRDefault="00672A1C" w:rsidP="00FB7C1F">
            <w:pPr>
              <w:jc w:val="center"/>
              <w:rPr>
                <w:sz w:val="18"/>
                <w:szCs w:val="18"/>
              </w:rPr>
            </w:pPr>
            <w:r w:rsidRPr="004C78D8">
              <w:rPr>
                <w:sz w:val="18"/>
                <w:szCs w:val="18"/>
              </w:rPr>
              <w:t>&lt;0.001</w:t>
            </w:r>
          </w:p>
        </w:tc>
      </w:tr>
      <w:tr w:rsidR="00672A1C" w:rsidRPr="004C78D8" w14:paraId="6F8FEAF0" w14:textId="77777777" w:rsidTr="00E35893">
        <w:tc>
          <w:tcPr>
            <w:tcW w:w="2263" w:type="dxa"/>
            <w:tcBorders>
              <w:top w:val="nil"/>
              <w:bottom w:val="nil"/>
            </w:tcBorders>
          </w:tcPr>
          <w:p w14:paraId="1B8EC630" w14:textId="77777777" w:rsidR="00672A1C" w:rsidRPr="004C78D8" w:rsidRDefault="00672A1C" w:rsidP="00FB7C1F">
            <w:pPr>
              <w:rPr>
                <w:sz w:val="18"/>
                <w:szCs w:val="18"/>
              </w:rPr>
            </w:pPr>
            <w:r w:rsidRPr="004C78D8">
              <w:rPr>
                <w:sz w:val="18"/>
                <w:szCs w:val="18"/>
              </w:rPr>
              <w:t>Female</w:t>
            </w:r>
          </w:p>
        </w:tc>
        <w:tc>
          <w:tcPr>
            <w:tcW w:w="1701" w:type="dxa"/>
            <w:tcBorders>
              <w:top w:val="nil"/>
              <w:bottom w:val="nil"/>
            </w:tcBorders>
          </w:tcPr>
          <w:p w14:paraId="4F55CE91" w14:textId="058FA2D7" w:rsidR="00672A1C" w:rsidRPr="004C78D8" w:rsidRDefault="00672A1C" w:rsidP="00FB7C1F">
            <w:pPr>
              <w:jc w:val="center"/>
              <w:rPr>
                <w:sz w:val="18"/>
                <w:szCs w:val="18"/>
              </w:rPr>
            </w:pPr>
            <w:r w:rsidRPr="004C78D8">
              <w:rPr>
                <w:sz w:val="18"/>
                <w:szCs w:val="18"/>
              </w:rPr>
              <w:t>0.</w:t>
            </w:r>
            <w:r w:rsidR="00530BF1" w:rsidRPr="004C78D8">
              <w:rPr>
                <w:sz w:val="18"/>
                <w:szCs w:val="18"/>
              </w:rPr>
              <w:t>38</w:t>
            </w:r>
            <w:r w:rsidR="00590AB9" w:rsidRPr="004C78D8">
              <w:rPr>
                <w:sz w:val="18"/>
                <w:szCs w:val="18"/>
              </w:rPr>
              <w:t>2</w:t>
            </w:r>
            <w:r w:rsidRPr="004C78D8">
              <w:rPr>
                <w:sz w:val="18"/>
                <w:szCs w:val="18"/>
              </w:rPr>
              <w:t xml:space="preserve"> (0.0</w:t>
            </w:r>
            <w:r w:rsidR="00590AB9" w:rsidRPr="004C78D8">
              <w:rPr>
                <w:sz w:val="18"/>
                <w:szCs w:val="18"/>
              </w:rPr>
              <w:t>41</w:t>
            </w:r>
            <w:r w:rsidRPr="004C78D8">
              <w:rPr>
                <w:sz w:val="18"/>
                <w:szCs w:val="18"/>
              </w:rPr>
              <w:t>)</w:t>
            </w:r>
          </w:p>
        </w:tc>
        <w:tc>
          <w:tcPr>
            <w:tcW w:w="1701" w:type="dxa"/>
            <w:tcBorders>
              <w:top w:val="nil"/>
              <w:bottom w:val="nil"/>
            </w:tcBorders>
          </w:tcPr>
          <w:p w14:paraId="29E2742F" w14:textId="77777777" w:rsidR="00672A1C" w:rsidRPr="004C78D8" w:rsidRDefault="00672A1C" w:rsidP="00FB7C1F">
            <w:pPr>
              <w:jc w:val="center"/>
              <w:rPr>
                <w:sz w:val="18"/>
                <w:szCs w:val="18"/>
              </w:rPr>
            </w:pPr>
            <w:r w:rsidRPr="004C78D8">
              <w:rPr>
                <w:sz w:val="18"/>
                <w:szCs w:val="18"/>
              </w:rPr>
              <w:t>&lt;0.001</w:t>
            </w:r>
          </w:p>
        </w:tc>
      </w:tr>
      <w:tr w:rsidR="00672A1C" w:rsidRPr="004C78D8" w14:paraId="2C00EBCB" w14:textId="77777777" w:rsidTr="00E35893">
        <w:tc>
          <w:tcPr>
            <w:tcW w:w="2263" w:type="dxa"/>
            <w:tcBorders>
              <w:top w:val="nil"/>
              <w:bottom w:val="nil"/>
            </w:tcBorders>
          </w:tcPr>
          <w:p w14:paraId="7F34FE68" w14:textId="15C9F945" w:rsidR="00672A1C" w:rsidRPr="004C78D8" w:rsidRDefault="00C133AD" w:rsidP="00FB7C1F">
            <w:pPr>
              <w:rPr>
                <w:sz w:val="18"/>
                <w:szCs w:val="18"/>
              </w:rPr>
            </w:pPr>
            <w:r w:rsidRPr="004C78D8">
              <w:rPr>
                <w:sz w:val="18"/>
                <w:szCs w:val="18"/>
              </w:rPr>
              <w:t>SES</w:t>
            </w:r>
            <w:r w:rsidR="00672A1C" w:rsidRPr="004C78D8">
              <w:rPr>
                <w:sz w:val="18"/>
                <w:szCs w:val="18"/>
              </w:rPr>
              <w:t xml:space="preserve"> (ref: Most privileged quartile)</w:t>
            </w:r>
          </w:p>
        </w:tc>
        <w:tc>
          <w:tcPr>
            <w:tcW w:w="1701" w:type="dxa"/>
            <w:tcBorders>
              <w:top w:val="nil"/>
              <w:bottom w:val="nil"/>
            </w:tcBorders>
          </w:tcPr>
          <w:p w14:paraId="2F10DA7D" w14:textId="77777777" w:rsidR="00672A1C" w:rsidRPr="004C78D8" w:rsidRDefault="00672A1C" w:rsidP="00FB7C1F">
            <w:pPr>
              <w:jc w:val="center"/>
              <w:rPr>
                <w:sz w:val="18"/>
                <w:szCs w:val="18"/>
              </w:rPr>
            </w:pPr>
          </w:p>
        </w:tc>
        <w:tc>
          <w:tcPr>
            <w:tcW w:w="1701" w:type="dxa"/>
            <w:tcBorders>
              <w:top w:val="nil"/>
              <w:bottom w:val="nil"/>
            </w:tcBorders>
          </w:tcPr>
          <w:p w14:paraId="349AA6E2" w14:textId="77777777" w:rsidR="00672A1C" w:rsidRPr="004C78D8" w:rsidRDefault="00672A1C" w:rsidP="00FB7C1F">
            <w:pPr>
              <w:jc w:val="center"/>
              <w:rPr>
                <w:sz w:val="18"/>
                <w:szCs w:val="18"/>
              </w:rPr>
            </w:pPr>
          </w:p>
        </w:tc>
      </w:tr>
      <w:tr w:rsidR="00672A1C" w:rsidRPr="004C78D8" w14:paraId="3BE883BF" w14:textId="77777777" w:rsidTr="00E35893">
        <w:tc>
          <w:tcPr>
            <w:tcW w:w="2263" w:type="dxa"/>
            <w:tcBorders>
              <w:top w:val="nil"/>
              <w:bottom w:val="nil"/>
            </w:tcBorders>
          </w:tcPr>
          <w:p w14:paraId="3A628D5C" w14:textId="77777777" w:rsidR="00672A1C" w:rsidRPr="004C78D8" w:rsidRDefault="00672A1C" w:rsidP="00FB7C1F">
            <w:pPr>
              <w:jc w:val="right"/>
              <w:rPr>
                <w:sz w:val="18"/>
                <w:szCs w:val="18"/>
              </w:rPr>
            </w:pPr>
            <w:r w:rsidRPr="004C78D8">
              <w:rPr>
                <w:i/>
                <w:iCs/>
                <w:sz w:val="18"/>
                <w:szCs w:val="18"/>
              </w:rPr>
              <w:t>2</w:t>
            </w:r>
            <w:r w:rsidRPr="004C78D8">
              <w:rPr>
                <w:i/>
                <w:iCs/>
                <w:sz w:val="18"/>
                <w:szCs w:val="18"/>
                <w:vertAlign w:val="superscript"/>
              </w:rPr>
              <w:t>nd</w:t>
            </w:r>
            <w:r w:rsidRPr="004C78D8">
              <w:rPr>
                <w:i/>
                <w:iCs/>
                <w:sz w:val="18"/>
                <w:szCs w:val="18"/>
              </w:rPr>
              <w:t xml:space="preserve"> quartile</w:t>
            </w:r>
          </w:p>
        </w:tc>
        <w:tc>
          <w:tcPr>
            <w:tcW w:w="1701" w:type="dxa"/>
            <w:tcBorders>
              <w:top w:val="nil"/>
              <w:bottom w:val="nil"/>
            </w:tcBorders>
          </w:tcPr>
          <w:p w14:paraId="71D5C841" w14:textId="70EF19A2" w:rsidR="00672A1C" w:rsidRPr="004C78D8" w:rsidRDefault="007304CE" w:rsidP="00FB7C1F">
            <w:pPr>
              <w:jc w:val="center"/>
              <w:rPr>
                <w:sz w:val="18"/>
                <w:szCs w:val="18"/>
              </w:rPr>
            </w:pPr>
            <w:r w:rsidRPr="004C78D8">
              <w:rPr>
                <w:sz w:val="18"/>
                <w:szCs w:val="18"/>
              </w:rPr>
              <w:t>-</w:t>
            </w:r>
            <w:r w:rsidR="00672A1C" w:rsidRPr="004C78D8">
              <w:rPr>
                <w:sz w:val="18"/>
                <w:szCs w:val="18"/>
              </w:rPr>
              <w:t>0.</w:t>
            </w:r>
            <w:r w:rsidR="001125EC" w:rsidRPr="004C78D8">
              <w:rPr>
                <w:sz w:val="18"/>
                <w:szCs w:val="18"/>
              </w:rPr>
              <w:t>0</w:t>
            </w:r>
            <w:r w:rsidR="00590AB9" w:rsidRPr="004C78D8">
              <w:rPr>
                <w:sz w:val="18"/>
                <w:szCs w:val="18"/>
              </w:rPr>
              <w:t>07</w:t>
            </w:r>
            <w:r w:rsidR="00672A1C" w:rsidRPr="004C78D8">
              <w:rPr>
                <w:sz w:val="18"/>
                <w:szCs w:val="18"/>
              </w:rPr>
              <w:t xml:space="preserve"> (0.0</w:t>
            </w:r>
            <w:r w:rsidR="00590AB9" w:rsidRPr="004C78D8">
              <w:rPr>
                <w:sz w:val="18"/>
                <w:szCs w:val="18"/>
              </w:rPr>
              <w:t>54</w:t>
            </w:r>
            <w:r w:rsidR="00672A1C" w:rsidRPr="004C78D8">
              <w:rPr>
                <w:sz w:val="18"/>
                <w:szCs w:val="18"/>
              </w:rPr>
              <w:t>)</w:t>
            </w:r>
          </w:p>
        </w:tc>
        <w:tc>
          <w:tcPr>
            <w:tcW w:w="1701" w:type="dxa"/>
            <w:tcBorders>
              <w:top w:val="nil"/>
              <w:bottom w:val="nil"/>
            </w:tcBorders>
          </w:tcPr>
          <w:p w14:paraId="31704A8B" w14:textId="341CF683" w:rsidR="00672A1C" w:rsidRPr="004C78D8" w:rsidRDefault="00672A1C" w:rsidP="00FB7C1F">
            <w:pPr>
              <w:jc w:val="center"/>
              <w:rPr>
                <w:sz w:val="18"/>
                <w:szCs w:val="18"/>
              </w:rPr>
            </w:pPr>
            <w:r w:rsidRPr="004C78D8">
              <w:rPr>
                <w:sz w:val="18"/>
                <w:szCs w:val="18"/>
              </w:rPr>
              <w:t>0.</w:t>
            </w:r>
            <w:r w:rsidR="00590AB9" w:rsidRPr="004C78D8">
              <w:rPr>
                <w:sz w:val="18"/>
                <w:szCs w:val="18"/>
              </w:rPr>
              <w:t>894</w:t>
            </w:r>
          </w:p>
        </w:tc>
      </w:tr>
      <w:tr w:rsidR="00672A1C" w:rsidRPr="004C78D8" w14:paraId="077768EC" w14:textId="77777777" w:rsidTr="00E35893">
        <w:tc>
          <w:tcPr>
            <w:tcW w:w="2263" w:type="dxa"/>
            <w:tcBorders>
              <w:top w:val="nil"/>
              <w:bottom w:val="nil"/>
            </w:tcBorders>
          </w:tcPr>
          <w:p w14:paraId="62131AA4" w14:textId="77777777" w:rsidR="00672A1C" w:rsidRPr="004C78D8" w:rsidRDefault="00672A1C" w:rsidP="00FB7C1F">
            <w:pPr>
              <w:jc w:val="right"/>
              <w:rPr>
                <w:sz w:val="18"/>
                <w:szCs w:val="18"/>
              </w:rPr>
            </w:pPr>
            <w:r w:rsidRPr="004C78D8">
              <w:rPr>
                <w:i/>
                <w:iCs/>
                <w:sz w:val="18"/>
                <w:szCs w:val="18"/>
              </w:rPr>
              <w:t>3</w:t>
            </w:r>
            <w:r w:rsidRPr="004C78D8">
              <w:rPr>
                <w:i/>
                <w:iCs/>
                <w:sz w:val="18"/>
                <w:szCs w:val="18"/>
                <w:vertAlign w:val="superscript"/>
              </w:rPr>
              <w:t>rd</w:t>
            </w:r>
            <w:r w:rsidRPr="004C78D8">
              <w:rPr>
                <w:i/>
                <w:iCs/>
                <w:sz w:val="18"/>
                <w:szCs w:val="18"/>
              </w:rPr>
              <w:t xml:space="preserve"> quartile</w:t>
            </w:r>
          </w:p>
        </w:tc>
        <w:tc>
          <w:tcPr>
            <w:tcW w:w="1701" w:type="dxa"/>
            <w:tcBorders>
              <w:top w:val="nil"/>
              <w:bottom w:val="nil"/>
            </w:tcBorders>
          </w:tcPr>
          <w:p w14:paraId="11F1E0C5" w14:textId="25DB6083" w:rsidR="00672A1C" w:rsidRPr="004C78D8" w:rsidRDefault="007304CE" w:rsidP="00FB7C1F">
            <w:pPr>
              <w:jc w:val="center"/>
              <w:rPr>
                <w:sz w:val="18"/>
                <w:szCs w:val="18"/>
              </w:rPr>
            </w:pPr>
            <w:r w:rsidRPr="004C78D8">
              <w:rPr>
                <w:sz w:val="18"/>
                <w:szCs w:val="18"/>
              </w:rPr>
              <w:t>-</w:t>
            </w:r>
            <w:r w:rsidR="00672A1C" w:rsidRPr="004C78D8">
              <w:rPr>
                <w:sz w:val="18"/>
                <w:szCs w:val="18"/>
              </w:rPr>
              <w:t>0.</w:t>
            </w:r>
            <w:r w:rsidR="00590AB9" w:rsidRPr="004C78D8">
              <w:rPr>
                <w:sz w:val="18"/>
                <w:szCs w:val="18"/>
              </w:rPr>
              <w:t>100</w:t>
            </w:r>
            <w:r w:rsidR="00672A1C" w:rsidRPr="004C78D8">
              <w:rPr>
                <w:sz w:val="18"/>
                <w:szCs w:val="18"/>
              </w:rPr>
              <w:t xml:space="preserve"> (0.0</w:t>
            </w:r>
            <w:r w:rsidR="00590AB9" w:rsidRPr="004C78D8">
              <w:rPr>
                <w:sz w:val="18"/>
                <w:szCs w:val="18"/>
              </w:rPr>
              <w:t>48</w:t>
            </w:r>
            <w:r w:rsidR="00672A1C" w:rsidRPr="004C78D8">
              <w:rPr>
                <w:sz w:val="18"/>
                <w:szCs w:val="18"/>
              </w:rPr>
              <w:t>)</w:t>
            </w:r>
          </w:p>
        </w:tc>
        <w:tc>
          <w:tcPr>
            <w:tcW w:w="1701" w:type="dxa"/>
            <w:tcBorders>
              <w:top w:val="nil"/>
              <w:bottom w:val="nil"/>
            </w:tcBorders>
          </w:tcPr>
          <w:p w14:paraId="07489B38" w14:textId="525428C0" w:rsidR="00672A1C" w:rsidRPr="004C78D8" w:rsidRDefault="007304CE" w:rsidP="00FB7C1F">
            <w:pPr>
              <w:jc w:val="center"/>
              <w:rPr>
                <w:sz w:val="18"/>
                <w:szCs w:val="18"/>
              </w:rPr>
            </w:pPr>
            <w:r w:rsidRPr="004C78D8">
              <w:rPr>
                <w:sz w:val="18"/>
                <w:szCs w:val="18"/>
              </w:rPr>
              <w:t>0.0</w:t>
            </w:r>
            <w:r w:rsidR="00590AB9" w:rsidRPr="004C78D8">
              <w:rPr>
                <w:sz w:val="18"/>
                <w:szCs w:val="18"/>
              </w:rPr>
              <w:t>38</w:t>
            </w:r>
          </w:p>
        </w:tc>
      </w:tr>
      <w:tr w:rsidR="00672A1C" w:rsidRPr="004C78D8" w14:paraId="70054C79" w14:textId="77777777" w:rsidTr="00E35893">
        <w:tc>
          <w:tcPr>
            <w:tcW w:w="2263" w:type="dxa"/>
            <w:tcBorders>
              <w:top w:val="nil"/>
              <w:bottom w:val="nil"/>
            </w:tcBorders>
          </w:tcPr>
          <w:p w14:paraId="0B00D458" w14:textId="77777777" w:rsidR="00672A1C" w:rsidRPr="004C78D8" w:rsidRDefault="00672A1C" w:rsidP="00FB7C1F">
            <w:pPr>
              <w:jc w:val="right"/>
              <w:rPr>
                <w:sz w:val="18"/>
                <w:szCs w:val="18"/>
              </w:rPr>
            </w:pPr>
            <w:r w:rsidRPr="004C78D8">
              <w:rPr>
                <w:i/>
                <w:iCs/>
                <w:sz w:val="18"/>
                <w:szCs w:val="18"/>
              </w:rPr>
              <w:t>Most deprived quartile</w:t>
            </w:r>
          </w:p>
        </w:tc>
        <w:tc>
          <w:tcPr>
            <w:tcW w:w="1701" w:type="dxa"/>
            <w:tcBorders>
              <w:top w:val="nil"/>
              <w:bottom w:val="nil"/>
            </w:tcBorders>
          </w:tcPr>
          <w:p w14:paraId="39DEE6B2" w14:textId="76A5D0E0" w:rsidR="00672A1C" w:rsidRPr="004C78D8" w:rsidRDefault="00672A1C" w:rsidP="00FB7C1F">
            <w:pPr>
              <w:jc w:val="center"/>
              <w:rPr>
                <w:sz w:val="18"/>
                <w:szCs w:val="18"/>
              </w:rPr>
            </w:pPr>
            <w:r w:rsidRPr="004C78D8">
              <w:rPr>
                <w:sz w:val="18"/>
                <w:szCs w:val="18"/>
              </w:rPr>
              <w:t>-0.</w:t>
            </w:r>
            <w:r w:rsidR="00590AB9" w:rsidRPr="004C78D8">
              <w:rPr>
                <w:sz w:val="18"/>
                <w:szCs w:val="18"/>
              </w:rPr>
              <w:t>366</w:t>
            </w:r>
            <w:r w:rsidRPr="004C78D8">
              <w:rPr>
                <w:sz w:val="18"/>
                <w:szCs w:val="18"/>
              </w:rPr>
              <w:t xml:space="preserve"> (0.0</w:t>
            </w:r>
            <w:r w:rsidR="00590AB9" w:rsidRPr="004C78D8">
              <w:rPr>
                <w:sz w:val="18"/>
                <w:szCs w:val="18"/>
              </w:rPr>
              <w:t>70</w:t>
            </w:r>
            <w:r w:rsidRPr="004C78D8">
              <w:rPr>
                <w:sz w:val="18"/>
                <w:szCs w:val="18"/>
              </w:rPr>
              <w:t>)</w:t>
            </w:r>
          </w:p>
        </w:tc>
        <w:tc>
          <w:tcPr>
            <w:tcW w:w="1701" w:type="dxa"/>
            <w:tcBorders>
              <w:top w:val="nil"/>
              <w:bottom w:val="nil"/>
            </w:tcBorders>
          </w:tcPr>
          <w:p w14:paraId="37451361" w14:textId="0EBAFFC8" w:rsidR="00672A1C" w:rsidRPr="004C78D8" w:rsidRDefault="007304CE" w:rsidP="00FB7C1F">
            <w:pPr>
              <w:jc w:val="center"/>
              <w:rPr>
                <w:sz w:val="18"/>
                <w:szCs w:val="18"/>
              </w:rPr>
            </w:pPr>
            <w:r w:rsidRPr="004C78D8">
              <w:rPr>
                <w:sz w:val="18"/>
                <w:szCs w:val="18"/>
              </w:rPr>
              <w:t>&lt;0.001</w:t>
            </w:r>
          </w:p>
        </w:tc>
      </w:tr>
      <w:tr w:rsidR="00672A1C" w:rsidRPr="004C78D8" w14:paraId="069C54B7" w14:textId="77777777" w:rsidTr="00E35893">
        <w:tc>
          <w:tcPr>
            <w:tcW w:w="2263" w:type="dxa"/>
            <w:tcBorders>
              <w:top w:val="nil"/>
              <w:bottom w:val="nil"/>
            </w:tcBorders>
          </w:tcPr>
          <w:p w14:paraId="75A136EE" w14:textId="77777777" w:rsidR="00672A1C" w:rsidRPr="004C78D8" w:rsidRDefault="00672A1C" w:rsidP="00FB7C1F">
            <w:pPr>
              <w:rPr>
                <w:sz w:val="18"/>
                <w:szCs w:val="18"/>
              </w:rPr>
            </w:pPr>
            <w:r w:rsidRPr="004C78D8">
              <w:rPr>
                <w:sz w:val="18"/>
                <w:szCs w:val="18"/>
              </w:rPr>
              <w:t>Frailty^2</w:t>
            </w:r>
          </w:p>
        </w:tc>
        <w:tc>
          <w:tcPr>
            <w:tcW w:w="1701" w:type="dxa"/>
            <w:tcBorders>
              <w:top w:val="nil"/>
              <w:bottom w:val="nil"/>
            </w:tcBorders>
          </w:tcPr>
          <w:p w14:paraId="44C537E1" w14:textId="2811B3FB" w:rsidR="00672A1C" w:rsidRPr="004C78D8" w:rsidRDefault="00672A1C" w:rsidP="00FB7C1F">
            <w:pPr>
              <w:jc w:val="center"/>
              <w:rPr>
                <w:sz w:val="18"/>
                <w:szCs w:val="18"/>
              </w:rPr>
            </w:pPr>
            <w:r w:rsidRPr="004C78D8">
              <w:rPr>
                <w:sz w:val="18"/>
                <w:szCs w:val="18"/>
              </w:rPr>
              <w:t>-0.00</w:t>
            </w:r>
            <w:r w:rsidR="00530BF1" w:rsidRPr="004C78D8">
              <w:rPr>
                <w:sz w:val="18"/>
                <w:szCs w:val="18"/>
              </w:rPr>
              <w:t>0</w:t>
            </w:r>
            <w:r w:rsidR="00590AB9" w:rsidRPr="004C78D8">
              <w:rPr>
                <w:sz w:val="18"/>
                <w:szCs w:val="18"/>
              </w:rPr>
              <w:t>6</w:t>
            </w:r>
            <w:r w:rsidRPr="004C78D8">
              <w:rPr>
                <w:sz w:val="18"/>
                <w:szCs w:val="18"/>
              </w:rPr>
              <w:t xml:space="preserve"> (0.000</w:t>
            </w:r>
            <w:r w:rsidR="00530BF1" w:rsidRPr="004C78D8">
              <w:rPr>
                <w:sz w:val="18"/>
                <w:szCs w:val="18"/>
              </w:rPr>
              <w:t>1</w:t>
            </w:r>
            <w:r w:rsidRPr="004C78D8">
              <w:rPr>
                <w:sz w:val="18"/>
                <w:szCs w:val="18"/>
              </w:rPr>
              <w:t>)</w:t>
            </w:r>
          </w:p>
        </w:tc>
        <w:tc>
          <w:tcPr>
            <w:tcW w:w="1701" w:type="dxa"/>
            <w:tcBorders>
              <w:top w:val="nil"/>
              <w:bottom w:val="nil"/>
            </w:tcBorders>
          </w:tcPr>
          <w:p w14:paraId="5CFD9079" w14:textId="5C65C256" w:rsidR="00672A1C" w:rsidRPr="004C78D8" w:rsidRDefault="004D40C1" w:rsidP="00FB7C1F">
            <w:pPr>
              <w:jc w:val="center"/>
              <w:rPr>
                <w:sz w:val="18"/>
                <w:szCs w:val="18"/>
              </w:rPr>
            </w:pPr>
            <w:r w:rsidRPr="004C78D8">
              <w:rPr>
                <w:sz w:val="18"/>
                <w:szCs w:val="18"/>
              </w:rPr>
              <w:t>&lt;</w:t>
            </w:r>
            <w:r w:rsidR="00672A1C" w:rsidRPr="004C78D8">
              <w:rPr>
                <w:sz w:val="18"/>
                <w:szCs w:val="18"/>
              </w:rPr>
              <w:t>0.00</w:t>
            </w:r>
            <w:r w:rsidRPr="004C78D8">
              <w:rPr>
                <w:sz w:val="18"/>
                <w:szCs w:val="18"/>
              </w:rPr>
              <w:t>1</w:t>
            </w:r>
          </w:p>
        </w:tc>
      </w:tr>
      <w:tr w:rsidR="004D40C1" w:rsidRPr="004C78D8" w14:paraId="089EBF13" w14:textId="77777777" w:rsidTr="00E35893">
        <w:tc>
          <w:tcPr>
            <w:tcW w:w="2263" w:type="dxa"/>
            <w:tcBorders>
              <w:top w:val="nil"/>
              <w:bottom w:val="nil"/>
            </w:tcBorders>
          </w:tcPr>
          <w:p w14:paraId="1E1AF6C3" w14:textId="650263B8" w:rsidR="004D40C1" w:rsidRPr="004C78D8" w:rsidRDefault="004D40C1" w:rsidP="00FB7C1F">
            <w:pPr>
              <w:rPr>
                <w:sz w:val="18"/>
                <w:szCs w:val="18"/>
              </w:rPr>
            </w:pPr>
            <w:r w:rsidRPr="004C78D8">
              <w:rPr>
                <w:sz w:val="18"/>
                <w:szCs w:val="18"/>
              </w:rPr>
              <w:t>High physical activity</w:t>
            </w:r>
          </w:p>
        </w:tc>
        <w:tc>
          <w:tcPr>
            <w:tcW w:w="1701" w:type="dxa"/>
            <w:tcBorders>
              <w:top w:val="nil"/>
              <w:bottom w:val="nil"/>
            </w:tcBorders>
          </w:tcPr>
          <w:p w14:paraId="0B79558F" w14:textId="1C95EFA1" w:rsidR="004D40C1" w:rsidRPr="004C78D8" w:rsidRDefault="004D40C1" w:rsidP="00FB7C1F">
            <w:pPr>
              <w:jc w:val="center"/>
              <w:rPr>
                <w:sz w:val="18"/>
                <w:szCs w:val="18"/>
              </w:rPr>
            </w:pPr>
            <w:r w:rsidRPr="004C78D8">
              <w:rPr>
                <w:sz w:val="18"/>
                <w:szCs w:val="18"/>
              </w:rPr>
              <w:t>0.1</w:t>
            </w:r>
            <w:r w:rsidR="00590AB9" w:rsidRPr="004C78D8">
              <w:rPr>
                <w:sz w:val="18"/>
                <w:szCs w:val="18"/>
              </w:rPr>
              <w:t>27</w:t>
            </w:r>
            <w:r w:rsidRPr="004C78D8">
              <w:rPr>
                <w:sz w:val="18"/>
                <w:szCs w:val="18"/>
              </w:rPr>
              <w:t xml:space="preserve"> (0.0</w:t>
            </w:r>
            <w:r w:rsidR="00590AB9" w:rsidRPr="004C78D8">
              <w:rPr>
                <w:sz w:val="18"/>
                <w:szCs w:val="18"/>
              </w:rPr>
              <w:t>52</w:t>
            </w:r>
            <w:r w:rsidRPr="004C78D8">
              <w:rPr>
                <w:sz w:val="18"/>
                <w:szCs w:val="18"/>
              </w:rPr>
              <w:t>)</w:t>
            </w:r>
          </w:p>
        </w:tc>
        <w:tc>
          <w:tcPr>
            <w:tcW w:w="1701" w:type="dxa"/>
            <w:tcBorders>
              <w:top w:val="nil"/>
              <w:bottom w:val="nil"/>
            </w:tcBorders>
          </w:tcPr>
          <w:p w14:paraId="48D403B3" w14:textId="694C4B6B" w:rsidR="004D40C1" w:rsidRPr="004C78D8" w:rsidRDefault="004D40C1" w:rsidP="00FB7C1F">
            <w:pPr>
              <w:jc w:val="center"/>
              <w:rPr>
                <w:sz w:val="18"/>
                <w:szCs w:val="18"/>
              </w:rPr>
            </w:pPr>
            <w:r w:rsidRPr="004C78D8">
              <w:rPr>
                <w:sz w:val="18"/>
                <w:szCs w:val="18"/>
              </w:rPr>
              <w:t>0.0</w:t>
            </w:r>
            <w:r w:rsidR="00590AB9" w:rsidRPr="004C78D8">
              <w:rPr>
                <w:sz w:val="18"/>
                <w:szCs w:val="18"/>
              </w:rPr>
              <w:t>14</w:t>
            </w:r>
          </w:p>
        </w:tc>
      </w:tr>
      <w:tr w:rsidR="000762B1" w:rsidRPr="004C78D8" w14:paraId="6F77BAB0" w14:textId="77777777" w:rsidTr="00E35893">
        <w:tc>
          <w:tcPr>
            <w:tcW w:w="2263" w:type="dxa"/>
            <w:tcBorders>
              <w:top w:val="nil"/>
              <w:bottom w:val="nil"/>
            </w:tcBorders>
          </w:tcPr>
          <w:p w14:paraId="4BEEB1BC" w14:textId="6BEA4FF7" w:rsidR="000762B1" w:rsidRPr="004C78D8" w:rsidRDefault="00530BF1" w:rsidP="00FB7C1F">
            <w:pPr>
              <w:rPr>
                <w:sz w:val="18"/>
                <w:szCs w:val="18"/>
              </w:rPr>
            </w:pPr>
            <w:r w:rsidRPr="004C78D8">
              <w:rPr>
                <w:sz w:val="18"/>
                <w:szCs w:val="18"/>
              </w:rPr>
              <w:t>Cognitive impairment</w:t>
            </w:r>
          </w:p>
        </w:tc>
        <w:tc>
          <w:tcPr>
            <w:tcW w:w="1701" w:type="dxa"/>
            <w:tcBorders>
              <w:top w:val="nil"/>
              <w:bottom w:val="nil"/>
            </w:tcBorders>
          </w:tcPr>
          <w:p w14:paraId="1F254534" w14:textId="5B034A0B" w:rsidR="000762B1" w:rsidRPr="004C78D8" w:rsidRDefault="00530BF1" w:rsidP="00FB7C1F">
            <w:pPr>
              <w:jc w:val="center"/>
              <w:rPr>
                <w:sz w:val="18"/>
                <w:szCs w:val="18"/>
              </w:rPr>
            </w:pPr>
            <w:r w:rsidRPr="004C78D8">
              <w:rPr>
                <w:sz w:val="18"/>
                <w:szCs w:val="18"/>
              </w:rPr>
              <w:t>-0.4</w:t>
            </w:r>
            <w:r w:rsidR="00590AB9" w:rsidRPr="004C78D8">
              <w:rPr>
                <w:sz w:val="18"/>
                <w:szCs w:val="18"/>
              </w:rPr>
              <w:t>79</w:t>
            </w:r>
            <w:r w:rsidRPr="004C78D8">
              <w:rPr>
                <w:sz w:val="18"/>
                <w:szCs w:val="18"/>
              </w:rPr>
              <w:t xml:space="preserve"> (0.0</w:t>
            </w:r>
            <w:r w:rsidR="00590AB9" w:rsidRPr="004C78D8">
              <w:rPr>
                <w:sz w:val="18"/>
                <w:szCs w:val="18"/>
              </w:rPr>
              <w:t>56</w:t>
            </w:r>
            <w:r w:rsidRPr="004C78D8">
              <w:rPr>
                <w:sz w:val="18"/>
                <w:szCs w:val="18"/>
              </w:rPr>
              <w:t>)</w:t>
            </w:r>
          </w:p>
        </w:tc>
        <w:tc>
          <w:tcPr>
            <w:tcW w:w="1701" w:type="dxa"/>
            <w:tcBorders>
              <w:top w:val="nil"/>
              <w:bottom w:val="nil"/>
            </w:tcBorders>
          </w:tcPr>
          <w:p w14:paraId="73DC8F70" w14:textId="2EEBD220" w:rsidR="000762B1" w:rsidRPr="004C78D8" w:rsidRDefault="00530BF1" w:rsidP="00FB7C1F">
            <w:pPr>
              <w:jc w:val="center"/>
              <w:rPr>
                <w:sz w:val="18"/>
                <w:szCs w:val="18"/>
              </w:rPr>
            </w:pPr>
            <w:r w:rsidRPr="004C78D8">
              <w:rPr>
                <w:sz w:val="18"/>
                <w:szCs w:val="18"/>
              </w:rPr>
              <w:t>&lt;0.001</w:t>
            </w:r>
          </w:p>
        </w:tc>
      </w:tr>
      <w:tr w:rsidR="00530BF1" w:rsidRPr="004C78D8" w14:paraId="5EE4B3D1" w14:textId="77777777" w:rsidTr="00E35893">
        <w:tc>
          <w:tcPr>
            <w:tcW w:w="2263" w:type="dxa"/>
            <w:tcBorders>
              <w:top w:val="nil"/>
              <w:bottom w:val="nil"/>
            </w:tcBorders>
          </w:tcPr>
          <w:p w14:paraId="70C4D209" w14:textId="4520630D" w:rsidR="00530BF1" w:rsidRPr="004C78D8" w:rsidRDefault="00530BF1" w:rsidP="00FB7C1F">
            <w:pPr>
              <w:rPr>
                <w:sz w:val="18"/>
                <w:szCs w:val="18"/>
              </w:rPr>
            </w:pPr>
            <w:r w:rsidRPr="004C78D8">
              <w:rPr>
                <w:sz w:val="18"/>
                <w:szCs w:val="18"/>
              </w:rPr>
              <w:t>Abnormal gait/balance</w:t>
            </w:r>
          </w:p>
        </w:tc>
        <w:tc>
          <w:tcPr>
            <w:tcW w:w="1701" w:type="dxa"/>
            <w:tcBorders>
              <w:top w:val="nil"/>
              <w:bottom w:val="nil"/>
            </w:tcBorders>
          </w:tcPr>
          <w:p w14:paraId="49BA8979" w14:textId="0C7A274C" w:rsidR="00530BF1" w:rsidRPr="004C78D8" w:rsidRDefault="00530BF1" w:rsidP="00FB7C1F">
            <w:pPr>
              <w:jc w:val="center"/>
              <w:rPr>
                <w:sz w:val="18"/>
                <w:szCs w:val="18"/>
              </w:rPr>
            </w:pPr>
            <w:r w:rsidRPr="004C78D8">
              <w:rPr>
                <w:sz w:val="18"/>
                <w:szCs w:val="18"/>
              </w:rPr>
              <w:t>-0.</w:t>
            </w:r>
            <w:r w:rsidR="00590AB9" w:rsidRPr="004C78D8">
              <w:rPr>
                <w:sz w:val="18"/>
                <w:szCs w:val="18"/>
              </w:rPr>
              <w:t>314</w:t>
            </w:r>
            <w:r w:rsidRPr="004C78D8">
              <w:rPr>
                <w:sz w:val="18"/>
                <w:szCs w:val="18"/>
              </w:rPr>
              <w:t xml:space="preserve"> (0.0</w:t>
            </w:r>
            <w:r w:rsidR="00590AB9" w:rsidRPr="004C78D8">
              <w:rPr>
                <w:sz w:val="18"/>
                <w:szCs w:val="18"/>
              </w:rPr>
              <w:t>59</w:t>
            </w:r>
            <w:r w:rsidRPr="004C78D8">
              <w:rPr>
                <w:sz w:val="18"/>
                <w:szCs w:val="18"/>
              </w:rPr>
              <w:t>)</w:t>
            </w:r>
          </w:p>
        </w:tc>
        <w:tc>
          <w:tcPr>
            <w:tcW w:w="1701" w:type="dxa"/>
            <w:tcBorders>
              <w:top w:val="nil"/>
              <w:bottom w:val="nil"/>
            </w:tcBorders>
          </w:tcPr>
          <w:p w14:paraId="1438B782" w14:textId="2C18F677" w:rsidR="00530BF1" w:rsidRPr="004C78D8" w:rsidRDefault="00530BF1" w:rsidP="00FB7C1F">
            <w:pPr>
              <w:jc w:val="center"/>
              <w:rPr>
                <w:sz w:val="18"/>
                <w:szCs w:val="18"/>
              </w:rPr>
            </w:pPr>
            <w:r w:rsidRPr="004C78D8">
              <w:rPr>
                <w:sz w:val="18"/>
                <w:szCs w:val="18"/>
              </w:rPr>
              <w:t>&lt;0.001</w:t>
            </w:r>
          </w:p>
        </w:tc>
      </w:tr>
      <w:tr w:rsidR="00530BF1" w:rsidRPr="004C78D8" w14:paraId="7CB16127" w14:textId="77777777" w:rsidTr="00E35893">
        <w:tc>
          <w:tcPr>
            <w:tcW w:w="2263" w:type="dxa"/>
            <w:tcBorders>
              <w:top w:val="nil"/>
              <w:bottom w:val="nil"/>
            </w:tcBorders>
          </w:tcPr>
          <w:p w14:paraId="366AB364" w14:textId="3B858B97" w:rsidR="00530BF1" w:rsidRPr="004C78D8" w:rsidRDefault="00530BF1" w:rsidP="00FB7C1F">
            <w:pPr>
              <w:rPr>
                <w:sz w:val="18"/>
                <w:szCs w:val="18"/>
              </w:rPr>
            </w:pPr>
            <w:r w:rsidRPr="004C78D8">
              <w:rPr>
                <w:sz w:val="18"/>
                <w:szCs w:val="18"/>
              </w:rPr>
              <w:t>Paid employment</w:t>
            </w:r>
          </w:p>
        </w:tc>
        <w:tc>
          <w:tcPr>
            <w:tcW w:w="1701" w:type="dxa"/>
            <w:tcBorders>
              <w:top w:val="nil"/>
              <w:bottom w:val="nil"/>
            </w:tcBorders>
          </w:tcPr>
          <w:p w14:paraId="3670E509" w14:textId="2880AD23" w:rsidR="00530BF1" w:rsidRPr="004C78D8" w:rsidRDefault="00530BF1" w:rsidP="00FB7C1F">
            <w:pPr>
              <w:jc w:val="center"/>
              <w:rPr>
                <w:sz w:val="18"/>
                <w:szCs w:val="18"/>
              </w:rPr>
            </w:pPr>
            <w:r w:rsidRPr="004C78D8">
              <w:rPr>
                <w:sz w:val="18"/>
                <w:szCs w:val="18"/>
              </w:rPr>
              <w:t>-0.</w:t>
            </w:r>
            <w:r w:rsidR="00590AB9" w:rsidRPr="004C78D8">
              <w:rPr>
                <w:sz w:val="18"/>
                <w:szCs w:val="18"/>
              </w:rPr>
              <w:t>280</w:t>
            </w:r>
            <w:r w:rsidRPr="004C78D8">
              <w:rPr>
                <w:sz w:val="18"/>
                <w:szCs w:val="18"/>
              </w:rPr>
              <w:t xml:space="preserve"> (0.0</w:t>
            </w:r>
            <w:r w:rsidR="00590AB9" w:rsidRPr="004C78D8">
              <w:rPr>
                <w:sz w:val="18"/>
                <w:szCs w:val="18"/>
              </w:rPr>
              <w:t>58</w:t>
            </w:r>
            <w:r w:rsidRPr="004C78D8">
              <w:rPr>
                <w:sz w:val="18"/>
                <w:szCs w:val="18"/>
              </w:rPr>
              <w:t>)</w:t>
            </w:r>
          </w:p>
        </w:tc>
        <w:tc>
          <w:tcPr>
            <w:tcW w:w="1701" w:type="dxa"/>
            <w:tcBorders>
              <w:top w:val="nil"/>
              <w:bottom w:val="nil"/>
            </w:tcBorders>
          </w:tcPr>
          <w:p w14:paraId="240F5EB7" w14:textId="58C52174" w:rsidR="00530BF1" w:rsidRPr="004C78D8" w:rsidRDefault="00530BF1" w:rsidP="00FB7C1F">
            <w:pPr>
              <w:jc w:val="center"/>
              <w:rPr>
                <w:sz w:val="18"/>
                <w:szCs w:val="18"/>
              </w:rPr>
            </w:pPr>
            <w:r w:rsidRPr="004C78D8">
              <w:rPr>
                <w:sz w:val="18"/>
                <w:szCs w:val="18"/>
              </w:rPr>
              <w:t>&lt;0.001</w:t>
            </w:r>
          </w:p>
        </w:tc>
      </w:tr>
      <w:tr w:rsidR="00530BF1" w:rsidRPr="004C78D8" w14:paraId="764D819F" w14:textId="77777777" w:rsidTr="00E35893">
        <w:tc>
          <w:tcPr>
            <w:tcW w:w="5665" w:type="dxa"/>
            <w:gridSpan w:val="3"/>
          </w:tcPr>
          <w:p w14:paraId="3BE90ABB" w14:textId="08C2EE8D" w:rsidR="00530BF1" w:rsidRPr="004C78D8" w:rsidRDefault="00D10D5E" w:rsidP="00FB7C1F">
            <w:pPr>
              <w:rPr>
                <w:sz w:val="20"/>
                <w:szCs w:val="20"/>
              </w:rPr>
            </w:pPr>
            <w:r w:rsidRPr="004C78D8">
              <w:rPr>
                <w:b/>
                <w:bCs/>
                <w:sz w:val="18"/>
                <w:szCs w:val="18"/>
              </w:rPr>
              <w:t>Abbreviation</w:t>
            </w:r>
            <w:r w:rsidR="003B2AD7" w:rsidRPr="004C78D8">
              <w:rPr>
                <w:b/>
                <w:bCs/>
                <w:sz w:val="18"/>
                <w:szCs w:val="18"/>
              </w:rPr>
              <w:t>:</w:t>
            </w:r>
            <w:r w:rsidR="003B2AD7" w:rsidRPr="004C78D8">
              <w:rPr>
                <w:sz w:val="18"/>
                <w:szCs w:val="18"/>
              </w:rPr>
              <w:t xml:space="preserve"> </w:t>
            </w:r>
            <w:r w:rsidR="00530BF1" w:rsidRPr="004C78D8">
              <w:rPr>
                <w:sz w:val="18"/>
                <w:szCs w:val="18"/>
              </w:rPr>
              <w:t>ELSA: English Longitudinal Study of Ageing; Ref: reference; SE: standard error</w:t>
            </w:r>
            <w:r w:rsidR="00C133AD" w:rsidRPr="004C78D8">
              <w:rPr>
                <w:sz w:val="18"/>
                <w:szCs w:val="18"/>
              </w:rPr>
              <w:t>; SES: socioeconomic status</w:t>
            </w:r>
          </w:p>
        </w:tc>
      </w:tr>
    </w:tbl>
    <w:p w14:paraId="59F4C26E" w14:textId="3CB898C2" w:rsidR="00672A1C" w:rsidRPr="004C78D8" w:rsidRDefault="00672A1C" w:rsidP="00FB7C1F"/>
    <w:p w14:paraId="20B2685C" w14:textId="4DF07948" w:rsidR="006428FE" w:rsidRPr="004C78D8" w:rsidRDefault="00294EC3" w:rsidP="00FB7C1F">
      <w:r w:rsidRPr="004C78D8">
        <w:t xml:space="preserve">The opportunity cost approach was used to value </w:t>
      </w:r>
      <w:r w:rsidR="00E43DED" w:rsidRPr="004C78D8">
        <w:t xml:space="preserve">each hour of </w:t>
      </w:r>
      <w:r w:rsidR="007E2453" w:rsidRPr="004C78D8">
        <w:t xml:space="preserve">unpaid </w:t>
      </w:r>
      <w:r w:rsidRPr="004C78D8">
        <w:t xml:space="preserve">work. </w:t>
      </w:r>
      <w:r w:rsidR="00E43DED" w:rsidRPr="004C78D8">
        <w:t>This approach values unpaid productivity in terms of the value of the next best use of the time. Where paid work is not the next best use</w:t>
      </w:r>
      <w:r w:rsidR="00C133AD" w:rsidRPr="004C78D8">
        <w:t xml:space="preserve">, </w:t>
      </w:r>
      <w:r w:rsidR="00E43DED" w:rsidRPr="004C78D8">
        <w:t xml:space="preserve">which is likely for the </w:t>
      </w:r>
      <w:r w:rsidR="00FC3C3B" w:rsidRPr="004C78D8">
        <w:t>older</w:t>
      </w:r>
      <w:r w:rsidR="00E43DED" w:rsidRPr="004C78D8">
        <w:t xml:space="preserve"> </w:t>
      </w:r>
      <w:r w:rsidR="00C133AD" w:rsidRPr="004C78D8">
        <w:t>population,</w:t>
      </w:r>
      <w:r w:rsidR="00E43DED" w:rsidRPr="004C78D8">
        <w:t xml:space="preserve"> literature recommends using wage at the previous paid job (possibly adjusted for lower productivity at unpaid work) or minimum wage to value the hourly contribution</w:t>
      </w:r>
      <w:r w:rsidR="00D329EA" w:rsidRPr="004C78D8">
        <w:t xml:space="preserve"> </w:t>
      </w:r>
      <w:r w:rsidR="00D329EA" w:rsidRPr="004C78D8">
        <w:fldChar w:fldCharType="begin"/>
      </w:r>
      <w:r w:rsidR="00C630FC" w:rsidRPr="004C78D8">
        <w:instrText xml:space="preserve"> ADDIN EN.CITE &lt;EndNote&gt;&lt;Cite&gt;&lt;Author&gt;Krol&lt;/Author&gt;&lt;Year&gt;2014&lt;/Year&gt;&lt;RecNum&gt;507&lt;/RecNum&gt;&lt;DisplayText&gt;[234]&lt;/DisplayText&gt;&lt;record&gt;&lt;rec-number&gt;507&lt;/rec-number&gt;&lt;foreign-keys&gt;&lt;key app="EN" db-id="tdtrdw9aepptzbefsat599syza29sxsd2wsp" timestamp="1617828480"&gt;507&lt;/key&gt;&lt;/foreign-keys&gt;&lt;ref-type name="Journal Article"&gt;17&lt;/ref-type&gt;&lt;contributors&gt;&lt;authors&gt;&lt;author&gt;Krol, Marieke&lt;/author&gt;&lt;author&gt;Brouwer, Werner&lt;/author&gt;&lt;/authors&gt;&lt;/contributors&gt;&lt;titles&gt;&lt;title&gt;How to estimate productivity costs in economic evaluations&lt;/title&gt;&lt;secondary-title&gt;Pharmacoeconomics&lt;/secondary-title&gt;&lt;/titles&gt;&lt;periodical&gt;&lt;full-title&gt;PharmacoEconomics&lt;/full-title&gt;&lt;/periodical&gt;&lt;pages&gt;335-344&lt;/pages&gt;&lt;volume&gt;32&lt;/volume&gt;&lt;number&gt;4&lt;/number&gt;&lt;dates&gt;&lt;year&gt;2014&lt;/year&gt;&lt;/dates&gt;&lt;isbn&gt;1170-7690&lt;/isbn&gt;&lt;urls&gt;&lt;/urls&gt;&lt;/record&gt;&lt;/Cite&gt;&lt;/EndNote&gt;</w:instrText>
      </w:r>
      <w:r w:rsidR="00D329EA" w:rsidRPr="004C78D8">
        <w:fldChar w:fldCharType="separate"/>
      </w:r>
      <w:r w:rsidR="00C630FC" w:rsidRPr="004C78D8">
        <w:rPr>
          <w:noProof/>
        </w:rPr>
        <w:t>[234]</w:t>
      </w:r>
      <w:r w:rsidR="00D329EA" w:rsidRPr="004C78D8">
        <w:fldChar w:fldCharType="end"/>
      </w:r>
      <w:r w:rsidR="00E43DED" w:rsidRPr="004C78D8">
        <w:t xml:space="preserve">. Therefore, each hour of unpaid work was valued at the </w:t>
      </w:r>
      <w:r w:rsidR="00E013F7" w:rsidRPr="004C78D8">
        <w:t xml:space="preserve">UK </w:t>
      </w:r>
      <w:r w:rsidR="00E43DED" w:rsidRPr="004C78D8">
        <w:t>national</w:t>
      </w:r>
      <w:r w:rsidR="00207EAA" w:rsidRPr="004C78D8">
        <w:t xml:space="preserve"> living</w:t>
      </w:r>
      <w:r w:rsidR="00E43DED" w:rsidRPr="004C78D8">
        <w:t xml:space="preserve"> wage </w:t>
      </w:r>
      <w:r w:rsidR="00E013F7" w:rsidRPr="004C78D8">
        <w:t>since</w:t>
      </w:r>
      <w:r w:rsidR="00E43DED" w:rsidRPr="004C78D8">
        <w:t xml:space="preserve"> </w:t>
      </w:r>
      <w:r w:rsidR="00E013F7" w:rsidRPr="004C78D8">
        <w:t xml:space="preserve">April </w:t>
      </w:r>
      <w:r w:rsidR="00E43DED" w:rsidRPr="004C78D8">
        <w:t>202</w:t>
      </w:r>
      <w:r w:rsidR="00E013F7" w:rsidRPr="004C78D8">
        <w:t>1</w:t>
      </w:r>
      <w:r w:rsidR="00E43DED" w:rsidRPr="004C78D8">
        <w:t xml:space="preserve"> of £8.</w:t>
      </w:r>
      <w:r w:rsidR="00E013F7" w:rsidRPr="004C78D8">
        <w:t xml:space="preserve">91 </w:t>
      </w:r>
      <w:r w:rsidR="00E013F7" w:rsidRPr="004C78D8">
        <w:fldChar w:fldCharType="begin"/>
      </w:r>
      <w:r w:rsidR="00C630FC" w:rsidRPr="004C78D8">
        <w:instrText xml:space="preserve"> ADDIN EN.CITE &lt;EndNote&gt;&lt;Cite&gt;&lt;Author&gt;Low Pay Commission&lt;/Author&gt;&lt;Year&gt;2021&lt;/Year&gt;&lt;RecNum&gt;506&lt;/RecNum&gt;&lt;DisplayText&gt;[399]&lt;/DisplayText&gt;&lt;record&gt;&lt;rec-number&gt;506&lt;/rec-number&gt;&lt;foreign-keys&gt;&lt;key app="EN" db-id="tdtrdw9aepptzbefsat599syza29sxsd2wsp" timestamp="1617828173"&gt;506&lt;/key&gt;&lt;/foreign-keys&gt;&lt;ref-type name="Web Page"&gt;12&lt;/ref-type&gt;&lt;contributors&gt;&lt;authors&gt;&lt;author&gt;Low Pay Commission,&lt;/author&gt;&lt;/authors&gt;&lt;secondary-authors&gt;&lt;author&gt;GOV.UK&lt;/author&gt;&lt;/secondary-authors&gt;&lt;/contributors&gt;&lt;titles&gt;&lt;title&gt;Press release: National Living Wage extended to younger workers&lt;/title&gt;&lt;/titles&gt;&lt;dates&gt;&lt;year&gt;2021&lt;/year&gt;&lt;/dates&gt;&lt;urls&gt;&lt;related-urls&gt;&lt;url&gt;https://www.gov.uk/government/news/national-living-wage-extended-to-younger-workers&lt;/url&gt;&lt;/related-urls&gt;&lt;/urls&gt;&lt;/record&gt;&lt;/Cite&gt;&lt;/EndNote&gt;</w:instrText>
      </w:r>
      <w:r w:rsidR="00E013F7" w:rsidRPr="004C78D8">
        <w:fldChar w:fldCharType="separate"/>
      </w:r>
      <w:r w:rsidR="00C630FC" w:rsidRPr="004C78D8">
        <w:rPr>
          <w:noProof/>
        </w:rPr>
        <w:t>[399]</w:t>
      </w:r>
      <w:r w:rsidR="00E013F7" w:rsidRPr="004C78D8">
        <w:fldChar w:fldCharType="end"/>
      </w:r>
      <w:r w:rsidR="000C275D" w:rsidRPr="004C78D8">
        <w:t xml:space="preserve">. </w:t>
      </w:r>
      <w:r w:rsidR="00544386" w:rsidRPr="004C78D8">
        <w:t>F</w:t>
      </w:r>
      <w:r w:rsidR="000C275D" w:rsidRPr="004C78D8">
        <w:t>urther assumption</w:t>
      </w:r>
      <w:r w:rsidR="00544386" w:rsidRPr="004C78D8">
        <w:t>s</w:t>
      </w:r>
      <w:r w:rsidR="000C275D" w:rsidRPr="004C78D8">
        <w:t xml:space="preserve"> </w:t>
      </w:r>
      <w:r w:rsidR="00D329EA" w:rsidRPr="004C78D8">
        <w:t>w</w:t>
      </w:r>
      <w:r w:rsidR="00544386" w:rsidRPr="004C78D8">
        <w:t>ere</w:t>
      </w:r>
      <w:r w:rsidR="00D329EA" w:rsidRPr="004C78D8">
        <w:t xml:space="preserve"> needed</w:t>
      </w:r>
      <w:r w:rsidR="000C275D" w:rsidRPr="004C78D8">
        <w:t xml:space="preserve"> on the </w:t>
      </w:r>
      <w:r w:rsidR="004F13B9" w:rsidRPr="004C78D8">
        <w:t xml:space="preserve">average </w:t>
      </w:r>
      <w:r w:rsidR="00544386" w:rsidRPr="004C78D8">
        <w:t xml:space="preserve">annual </w:t>
      </w:r>
      <w:r w:rsidR="000C275D" w:rsidRPr="004C78D8">
        <w:t xml:space="preserve">number of </w:t>
      </w:r>
      <w:r w:rsidR="004F13B9" w:rsidRPr="004C78D8">
        <w:t xml:space="preserve">unpaid work </w:t>
      </w:r>
      <w:r w:rsidR="00D329EA" w:rsidRPr="004C78D8">
        <w:t>hours</w:t>
      </w:r>
      <w:r w:rsidR="004F13B9" w:rsidRPr="004C78D8">
        <w:t xml:space="preserve">. A </w:t>
      </w:r>
      <w:r w:rsidR="00D329EA" w:rsidRPr="004C78D8">
        <w:t xml:space="preserve">UK </w:t>
      </w:r>
      <w:r w:rsidR="004F13B9" w:rsidRPr="004C78D8">
        <w:t xml:space="preserve">survey estimated that </w:t>
      </w:r>
      <w:r w:rsidR="00FC3C3B" w:rsidRPr="004C78D8">
        <w:t>older</w:t>
      </w:r>
      <w:r w:rsidR="004F13B9" w:rsidRPr="004C78D8">
        <w:t xml:space="preserve"> people </w:t>
      </w:r>
      <w:r w:rsidR="006C5A26" w:rsidRPr="004C78D8">
        <w:t>aged 65</w:t>
      </w:r>
      <w:r w:rsidR="00544386" w:rsidRPr="004C78D8">
        <w:t>+</w:t>
      </w:r>
      <w:r w:rsidR="006C5A26" w:rsidRPr="004C78D8">
        <w:t xml:space="preserve"> </w:t>
      </w:r>
      <w:r w:rsidR="004F13B9" w:rsidRPr="004C78D8">
        <w:t xml:space="preserve">provided </w:t>
      </w:r>
      <w:r w:rsidR="006C5A26" w:rsidRPr="004C78D8">
        <w:t xml:space="preserve">on average </w:t>
      </w:r>
      <w:r w:rsidR="004F13B9" w:rsidRPr="004C78D8">
        <w:t xml:space="preserve">159.1 hours of formal and informal volunteering per year </w:t>
      </w:r>
      <w:r w:rsidR="00D329EA" w:rsidRPr="004C78D8">
        <w:fldChar w:fldCharType="begin"/>
      </w:r>
      <w:r w:rsidR="00513646" w:rsidRPr="004C78D8">
        <w:instrText xml:space="preserve"> ADDIN EN.CITE &lt;EndNote&gt;&lt;Cite&gt;&lt;Author&gt;Cook&lt;/Author&gt;&lt;Year&gt;2011&lt;/Year&gt;&lt;RecNum&gt;309&lt;/RecNum&gt;&lt;DisplayText&gt;[91]&lt;/DisplayText&gt;&lt;record&gt;&lt;rec-number&gt;309&lt;/rec-number&gt;&lt;foreign-keys&gt;&lt;key app="EN" db-id="tdtrdw9aepptzbefsat599syza29sxsd2wsp" timestamp="1612016125"&gt;309&lt;/key&gt;&lt;/foreign-keys&gt;&lt;ref-type name="Journal Article"&gt;17&lt;/ref-type&gt;&lt;contributors&gt;&lt;authors&gt;&lt;author&gt;Cook, Julia&lt;/author&gt;&lt;/authors&gt;&lt;/contributors&gt;&lt;titles&gt;&lt;title&gt;The socio‐economic contribution of older people in the UK&lt;/title&gt;&lt;secondary-title&gt;Working with Older People&lt;/secondary-title&gt;&lt;/titles&gt;&lt;periodical&gt;&lt;full-title&gt;Working with Older People&lt;/full-title&gt;&lt;/periodical&gt;&lt;dates&gt;&lt;year&gt;2011&lt;/year&gt;&lt;/dates&gt;&lt;urls&gt;&lt;/urls&gt;&lt;/record&gt;&lt;/Cite&gt;&lt;/EndNote&gt;</w:instrText>
      </w:r>
      <w:r w:rsidR="00D329EA" w:rsidRPr="004C78D8">
        <w:fldChar w:fldCharType="separate"/>
      </w:r>
      <w:r w:rsidR="00513646" w:rsidRPr="004C78D8">
        <w:rPr>
          <w:noProof/>
        </w:rPr>
        <w:t>[91]</w:t>
      </w:r>
      <w:r w:rsidR="00D329EA" w:rsidRPr="004C78D8">
        <w:fldChar w:fldCharType="end"/>
      </w:r>
      <w:r w:rsidR="006C5A26" w:rsidRPr="004C78D8">
        <w:t>. Given the overall prevalence of weekly unpaid work of 27.8% among those aged 65</w:t>
      </w:r>
      <w:r w:rsidR="00544386" w:rsidRPr="004C78D8">
        <w:t>+</w:t>
      </w:r>
      <w:r w:rsidR="006C5A26" w:rsidRPr="004C78D8">
        <w:t xml:space="preserve"> in ELSA Wave 4, if each unpaid worker provided 11 hours per week, then this would amount to an average of 159 hours per person </w:t>
      </w:r>
      <w:r w:rsidR="00544386" w:rsidRPr="004C78D8">
        <w:t>annually</w:t>
      </w:r>
      <w:r w:rsidR="006C5A26" w:rsidRPr="004C78D8">
        <w:t xml:space="preserve"> (11*52*0.278)</w:t>
      </w:r>
      <w:r w:rsidR="00CC6B10" w:rsidRPr="004C78D8">
        <w:t xml:space="preserve">. Therefore, it was assumed that those engaged in weekly unpaid work provided 572 </w:t>
      </w:r>
      <w:r w:rsidR="00D329EA" w:rsidRPr="004C78D8">
        <w:t xml:space="preserve">(11*52) </w:t>
      </w:r>
      <w:r w:rsidR="00CC6B10" w:rsidRPr="004C78D8">
        <w:t xml:space="preserve">hours of work </w:t>
      </w:r>
      <w:r w:rsidR="00E72EA4" w:rsidRPr="004C78D8">
        <w:t>annually</w:t>
      </w:r>
      <w:r w:rsidR="00CC6B10" w:rsidRPr="004C78D8">
        <w:t xml:space="preserve"> </w:t>
      </w:r>
      <w:r w:rsidR="00CB4919" w:rsidRPr="004C78D8">
        <w:t xml:space="preserve">which is </w:t>
      </w:r>
      <w:r w:rsidR="00CC6B10" w:rsidRPr="004C78D8">
        <w:t>worth £</w:t>
      </w:r>
      <w:r w:rsidR="00E013F7" w:rsidRPr="004C78D8">
        <w:t>5</w:t>
      </w:r>
      <w:r w:rsidR="00560861" w:rsidRPr="004C78D8">
        <w:t>,</w:t>
      </w:r>
      <w:r w:rsidR="00E013F7" w:rsidRPr="004C78D8">
        <w:t>097</w:t>
      </w:r>
      <w:r w:rsidR="00CB4919" w:rsidRPr="004C78D8">
        <w:t xml:space="preserve"> at the national living wage</w:t>
      </w:r>
      <w:r w:rsidR="00CC6B10" w:rsidRPr="004C78D8">
        <w:t xml:space="preserve">. </w:t>
      </w:r>
    </w:p>
    <w:p w14:paraId="5D338CEC" w14:textId="35E26EB1" w:rsidR="00E43DED" w:rsidRPr="004C78D8" w:rsidRDefault="004E6B10" w:rsidP="00FB7C1F">
      <w:r w:rsidRPr="004C78D8">
        <w:t>For those providing informal care as unpaid work,</w:t>
      </w:r>
      <w:r w:rsidR="006428FE" w:rsidRPr="004C78D8">
        <w:t xml:space="preserve"> the </w:t>
      </w:r>
      <w:r w:rsidRPr="004C78D8">
        <w:t xml:space="preserve">impact of caregiving on their </w:t>
      </w:r>
      <w:r w:rsidR="006428FE" w:rsidRPr="004C78D8">
        <w:t xml:space="preserve">health </w:t>
      </w:r>
      <w:r w:rsidR="002A6BD1" w:rsidRPr="004C78D8">
        <w:t xml:space="preserve">should be </w:t>
      </w:r>
      <w:r w:rsidRPr="004C78D8">
        <w:t>captured (Section 3.5.1)</w:t>
      </w:r>
      <w:r w:rsidR="006428FE" w:rsidRPr="004C78D8">
        <w:t>.</w:t>
      </w:r>
      <w:r w:rsidR="009D4AC4" w:rsidRPr="004C78D8">
        <w:t xml:space="preserve"> To identify </w:t>
      </w:r>
      <w:r w:rsidRPr="004C78D8">
        <w:t xml:space="preserve">the </w:t>
      </w:r>
      <w:r w:rsidR="009D4AC4" w:rsidRPr="004C78D8">
        <w:t xml:space="preserve">health </w:t>
      </w:r>
      <w:r w:rsidRPr="004C78D8">
        <w:t>impact</w:t>
      </w:r>
      <w:r w:rsidR="009D4AC4" w:rsidRPr="004C78D8">
        <w:t xml:space="preserve">, the best-fit linear model on EQ-5D (Table </w:t>
      </w:r>
      <w:r w:rsidR="00CF672F" w:rsidRPr="004C78D8">
        <w:t>5</w:t>
      </w:r>
      <w:r w:rsidR="009D4AC4" w:rsidRPr="004C78D8">
        <w:t>.</w:t>
      </w:r>
      <w:r w:rsidR="002A6BD1" w:rsidRPr="004C78D8">
        <w:t>1</w:t>
      </w:r>
      <w:r w:rsidR="008F3A00" w:rsidRPr="004C78D8">
        <w:t>4</w:t>
      </w:r>
      <w:r w:rsidR="009D4AC4" w:rsidRPr="004C78D8">
        <w:t xml:space="preserve">) was re-run with weekly informal caregiving – isolated from the weekly unpaid work variable – as a covariate. There was no statistically significant evidence of negative or positive effect of </w:t>
      </w:r>
      <w:r w:rsidR="00304E8E" w:rsidRPr="004C78D8">
        <w:t xml:space="preserve">informal caregiving on EQ-5D. </w:t>
      </w:r>
      <w:r w:rsidR="00EC7A09" w:rsidRPr="004C78D8">
        <w:t>To verify whether this finding applies to younger informal caregivers aged less than 60, separate logistic regression</w:t>
      </w:r>
      <w:r w:rsidR="001E2F17" w:rsidRPr="004C78D8">
        <w:t>s</w:t>
      </w:r>
      <w:r w:rsidR="00EC7A09" w:rsidRPr="004C78D8">
        <w:t xml:space="preserve"> </w:t>
      </w:r>
      <w:r w:rsidR="001E2F17" w:rsidRPr="004C78D8">
        <w:t>were</w:t>
      </w:r>
      <w:r w:rsidR="00EC7A09" w:rsidRPr="004C78D8">
        <w:t xml:space="preserve"> estimated for the younger cohort with self-report</w:t>
      </w:r>
      <w:r w:rsidR="001E2F17" w:rsidRPr="004C78D8">
        <w:t>ed</w:t>
      </w:r>
      <w:r w:rsidR="00EC7A09" w:rsidRPr="004C78D8">
        <w:t xml:space="preserve"> poor health status </w:t>
      </w:r>
      <w:r w:rsidR="001E2F17" w:rsidRPr="004C78D8">
        <w:t xml:space="preserve">and anxiety </w:t>
      </w:r>
      <w:r w:rsidR="00EC7A09" w:rsidRPr="004C78D8">
        <w:t>as dependent variable</w:t>
      </w:r>
      <w:r w:rsidR="001E2F17" w:rsidRPr="004C78D8">
        <w:t>s</w:t>
      </w:r>
      <w:r w:rsidR="00EC7A09" w:rsidRPr="004C78D8">
        <w:t xml:space="preserve"> </w:t>
      </w:r>
      <w:r w:rsidR="001E2F17" w:rsidRPr="004C78D8">
        <w:t xml:space="preserve">(EQ-5D was not estimated for the cohort aged </w:t>
      </w:r>
      <w:r w:rsidR="000C48CC" w:rsidRPr="004C78D8">
        <w:t>&lt;</w:t>
      </w:r>
      <w:r w:rsidR="001E2F17" w:rsidRPr="004C78D8">
        <w:t xml:space="preserve">60) </w:t>
      </w:r>
      <w:r w:rsidR="00EC7A09" w:rsidRPr="004C78D8">
        <w:t>and age, sex</w:t>
      </w:r>
      <w:r w:rsidR="005D3511" w:rsidRPr="004C78D8">
        <w:t>,</w:t>
      </w:r>
      <w:r w:rsidR="00EC7A09" w:rsidRPr="004C78D8">
        <w:t xml:space="preserve"> and informal caregiving as explanatory variables.</w:t>
      </w:r>
      <w:r w:rsidR="001E2F17" w:rsidRPr="004C78D8">
        <w:t xml:space="preserve"> There was similarly no statistically significant evidence of informal caregiving affecting the likelihood of poor health status or anxiety. </w:t>
      </w:r>
      <w:r w:rsidR="002E52B9" w:rsidRPr="004C78D8">
        <w:t>Therefore, health effect on informal caregivers was not incorporate</w:t>
      </w:r>
      <w:r w:rsidR="000C48CC" w:rsidRPr="004C78D8">
        <w:t>d</w:t>
      </w:r>
      <w:r w:rsidR="0047545F" w:rsidRPr="004C78D8">
        <w:t xml:space="preserve"> in the model</w:t>
      </w:r>
      <w:r w:rsidR="002E52B9" w:rsidRPr="004C78D8">
        <w:t>.</w:t>
      </w:r>
      <w:r w:rsidR="00CC6B10" w:rsidRPr="004C78D8">
        <w:t xml:space="preserve"> </w:t>
      </w:r>
    </w:p>
    <w:p w14:paraId="7F7197BD" w14:textId="4ABD5012" w:rsidR="00A01943" w:rsidRPr="004C78D8" w:rsidRDefault="00CF672F" w:rsidP="00FB7C1F">
      <w:pPr>
        <w:pStyle w:val="Heading4"/>
      </w:pPr>
      <w:r w:rsidRPr="004C78D8">
        <w:t>5</w:t>
      </w:r>
      <w:r w:rsidR="00A01943" w:rsidRPr="004C78D8">
        <w:t>.</w:t>
      </w:r>
      <w:r w:rsidR="00127AB4" w:rsidRPr="004C78D8">
        <w:t>2</w:t>
      </w:r>
      <w:r w:rsidR="00A01943" w:rsidRPr="004C78D8">
        <w:t xml:space="preserve">.3.3 </w:t>
      </w:r>
      <w:r w:rsidR="00D90367" w:rsidRPr="004C78D8">
        <w:t>Social wellbeing</w:t>
      </w:r>
    </w:p>
    <w:p w14:paraId="4F81DBC9" w14:textId="4D70E553" w:rsidR="00A01943" w:rsidRPr="004C78D8" w:rsidRDefault="005904ED" w:rsidP="00FB7C1F">
      <w:r w:rsidRPr="004C78D8">
        <w:t xml:space="preserve">Section 3.5.1 discussed the importance of capturing social wellbeing as a non-health outcome. </w:t>
      </w:r>
      <w:r w:rsidR="0002012B" w:rsidRPr="004C78D8">
        <w:t xml:space="preserve">ELSA contained the </w:t>
      </w:r>
      <w:r w:rsidR="00C277B2" w:rsidRPr="004C78D8">
        <w:t>control, autonomy, self-realisation and pleasure, 19 items (</w:t>
      </w:r>
      <w:r w:rsidR="0002012B" w:rsidRPr="004C78D8">
        <w:t>CASP-19</w:t>
      </w:r>
      <w:r w:rsidR="00C277B2" w:rsidRPr="004C78D8">
        <w:t>)</w:t>
      </w:r>
      <w:r w:rsidR="0002012B" w:rsidRPr="004C78D8">
        <w:t xml:space="preserve"> scale </w:t>
      </w:r>
      <w:r w:rsidR="00C277B2" w:rsidRPr="004C78D8">
        <w:t>measuring social wellbeing on a scale</w:t>
      </w:r>
      <w:r w:rsidR="0002012B" w:rsidRPr="004C78D8">
        <w:t xml:space="preserve"> between 0 and 57</w:t>
      </w:r>
      <w:r w:rsidR="00EC32C8" w:rsidRPr="004C78D8">
        <w:t xml:space="preserve"> </w:t>
      </w:r>
      <w:r w:rsidR="00EC32C8" w:rsidRPr="004C78D8">
        <w:fldChar w:fldCharType="begin"/>
      </w:r>
      <w:r w:rsidR="00C630FC" w:rsidRPr="004C78D8">
        <w:instrText xml:space="preserve"> ADDIN EN.CITE &lt;EndNote&gt;&lt;Cite&gt;&lt;Author&gt;Rafnsson&lt;/Author&gt;&lt;Year&gt;2015&lt;/Year&gt;&lt;RecNum&gt;695&lt;/RecNum&gt;&lt;DisplayText&gt;[400]&lt;/DisplayText&gt;&lt;record&gt;&lt;rec-number&gt;695&lt;/rec-number&gt;&lt;foreign-keys&gt;&lt;key app="EN" db-id="tdtrdw9aepptzbefsat599syza29sxsd2wsp" timestamp="1631120078"&gt;695&lt;/key&gt;&lt;/foreign-keys&gt;&lt;ref-type name="Journal Article"&gt;17&lt;/ref-type&gt;&lt;contributors&gt;&lt;authors&gt;&lt;author&gt;Rafnsson, Snorri Bjorn&lt;/author&gt;&lt;author&gt;Shankar, Aparna&lt;/author&gt;&lt;author&gt;Steptoe, Andrew&lt;/author&gt;&lt;/authors&gt;&lt;/contributors&gt;&lt;titles&gt;&lt;title&gt;Longitudinal influences of social network characteristics on subjective well-being of older adults: findings from the ELSA study&lt;/title&gt;&lt;secondary-title&gt;Journal of Aging and Health&lt;/secondary-title&gt;&lt;/titles&gt;&lt;periodical&gt;&lt;full-title&gt;Journal of aging and health&lt;/full-title&gt;&lt;/periodical&gt;&lt;pages&gt;919-934&lt;/pages&gt;&lt;volume&gt;27&lt;/volume&gt;&lt;number&gt;5&lt;/number&gt;&lt;dates&gt;&lt;year&gt;2015&lt;/year&gt;&lt;/dates&gt;&lt;isbn&gt;0898-2643&lt;/isbn&gt;&lt;urls&gt;&lt;/urls&gt;&lt;/record&gt;&lt;/Cite&gt;&lt;/EndNote&gt;</w:instrText>
      </w:r>
      <w:r w:rsidR="00EC32C8" w:rsidRPr="004C78D8">
        <w:fldChar w:fldCharType="separate"/>
      </w:r>
      <w:r w:rsidR="00C630FC" w:rsidRPr="004C78D8">
        <w:rPr>
          <w:noProof/>
        </w:rPr>
        <w:t>[400]</w:t>
      </w:r>
      <w:r w:rsidR="00EC32C8" w:rsidRPr="004C78D8">
        <w:fldChar w:fldCharType="end"/>
      </w:r>
      <w:r w:rsidR="0002012B" w:rsidRPr="004C78D8">
        <w:t xml:space="preserve">. </w:t>
      </w:r>
      <w:r w:rsidR="00EC32C8" w:rsidRPr="004C78D8">
        <w:t>Missing CASP-19 data were imputed</w:t>
      </w:r>
      <w:r w:rsidR="00C277B2" w:rsidRPr="004C78D8">
        <w:t>;</w:t>
      </w:r>
      <w:r w:rsidR="00EC32C8" w:rsidRPr="004C78D8">
        <w:t xml:space="preserve"> the scores were rescaled to range 0-1.</w:t>
      </w:r>
      <w:r w:rsidR="00813C74" w:rsidRPr="004C78D8">
        <w:t xml:space="preserve"> A linear regression estimated the associations between </w:t>
      </w:r>
      <w:r w:rsidR="00FC77D2" w:rsidRPr="004C78D8">
        <w:t>CASP-19</w:t>
      </w:r>
      <w:r w:rsidR="00813C74" w:rsidRPr="004C78D8">
        <w:t xml:space="preserve"> scores and the individual-level characteristics. Table </w:t>
      </w:r>
      <w:r w:rsidR="00CF672F" w:rsidRPr="004C78D8">
        <w:t>5</w:t>
      </w:r>
      <w:r w:rsidR="00813C74" w:rsidRPr="004C78D8">
        <w:t>.1</w:t>
      </w:r>
      <w:r w:rsidR="008F3A00" w:rsidRPr="004C78D8">
        <w:t>7</w:t>
      </w:r>
      <w:r w:rsidR="00813C74" w:rsidRPr="004C78D8">
        <w:t xml:space="preserve"> shows the results of the linear regression. Predicted </w:t>
      </w:r>
      <w:r w:rsidR="00CF672F" w:rsidRPr="004C78D8">
        <w:t xml:space="preserve">rescaled </w:t>
      </w:r>
      <w:r w:rsidR="00FC77D2" w:rsidRPr="004C78D8">
        <w:t>CASP-19</w:t>
      </w:r>
      <w:r w:rsidR="00813C74" w:rsidRPr="004C78D8">
        <w:t xml:space="preserve"> scores were </w:t>
      </w:r>
      <w:r w:rsidR="00C277B2" w:rsidRPr="004C78D8">
        <w:t xml:space="preserve">then </w:t>
      </w:r>
      <w:r w:rsidR="00813C74" w:rsidRPr="004C78D8">
        <w:t>assigned to individuals.</w:t>
      </w:r>
    </w:p>
    <w:tbl>
      <w:tblPr>
        <w:tblStyle w:val="TableGrid"/>
        <w:tblW w:w="0" w:type="auto"/>
        <w:tblInd w:w="-5" w:type="dxa"/>
        <w:tblLook w:val="04A0" w:firstRow="1" w:lastRow="0" w:firstColumn="1" w:lastColumn="0" w:noHBand="0" w:noVBand="1"/>
      </w:tblPr>
      <w:tblGrid>
        <w:gridCol w:w="2263"/>
        <w:gridCol w:w="1843"/>
        <w:gridCol w:w="1559"/>
      </w:tblGrid>
      <w:tr w:rsidR="00FC77D2" w:rsidRPr="004C78D8" w14:paraId="56733529" w14:textId="77777777" w:rsidTr="00E35893">
        <w:tc>
          <w:tcPr>
            <w:tcW w:w="5665" w:type="dxa"/>
            <w:gridSpan w:val="3"/>
          </w:tcPr>
          <w:p w14:paraId="711F3CFA" w14:textId="7F1A8374" w:rsidR="00FC77D2" w:rsidRPr="004C78D8" w:rsidRDefault="00FC77D2" w:rsidP="00FB7C1F">
            <w:pPr>
              <w:jc w:val="left"/>
            </w:pPr>
            <w:r w:rsidRPr="004C78D8">
              <w:rPr>
                <w:b/>
                <w:bCs/>
              </w:rPr>
              <w:t xml:space="preserve">Table </w:t>
            </w:r>
            <w:r w:rsidR="00CF672F" w:rsidRPr="004C78D8">
              <w:rPr>
                <w:b/>
                <w:bCs/>
              </w:rPr>
              <w:t>5</w:t>
            </w:r>
            <w:r w:rsidRPr="004C78D8">
              <w:rPr>
                <w:b/>
                <w:bCs/>
              </w:rPr>
              <w:t>.1</w:t>
            </w:r>
            <w:r w:rsidR="008F3A00" w:rsidRPr="004C78D8">
              <w:rPr>
                <w:b/>
                <w:bCs/>
              </w:rPr>
              <w:t>7</w:t>
            </w:r>
            <w:r w:rsidRPr="004C78D8">
              <w:t xml:space="preserve"> Linear regression coefficients for CASP-19 scores </w:t>
            </w:r>
            <w:r w:rsidR="006B046E" w:rsidRPr="004C78D8">
              <w:t>from</w:t>
            </w:r>
            <w:r w:rsidRPr="004C78D8">
              <w:t xml:space="preserve"> ELSA Waves 4 and 5</w:t>
            </w:r>
            <w:r w:rsidR="006B046E" w:rsidRPr="004C78D8">
              <w:t>.</w:t>
            </w:r>
          </w:p>
        </w:tc>
      </w:tr>
      <w:tr w:rsidR="00FC77D2" w:rsidRPr="004C78D8" w14:paraId="3D6CD48E" w14:textId="77777777" w:rsidTr="00E35893">
        <w:tc>
          <w:tcPr>
            <w:tcW w:w="5665" w:type="dxa"/>
            <w:gridSpan w:val="3"/>
          </w:tcPr>
          <w:p w14:paraId="1CCB46EE" w14:textId="39A82610" w:rsidR="00FC77D2" w:rsidRPr="004C78D8" w:rsidRDefault="00FC77D2" w:rsidP="00FB7C1F">
            <w:pPr>
              <w:jc w:val="left"/>
              <w:rPr>
                <w:b/>
                <w:bCs/>
                <w:i/>
                <w:iCs/>
                <w:sz w:val="20"/>
                <w:szCs w:val="20"/>
              </w:rPr>
            </w:pPr>
            <w:r w:rsidRPr="004C78D8">
              <w:rPr>
                <w:b/>
                <w:bCs/>
                <w:i/>
                <w:iCs/>
                <w:sz w:val="20"/>
                <w:szCs w:val="20"/>
              </w:rPr>
              <w:t>Dependent variable: CASP-19 (0-1) (N=13,422)</w:t>
            </w:r>
          </w:p>
        </w:tc>
      </w:tr>
      <w:tr w:rsidR="00FC77D2" w:rsidRPr="004C78D8" w14:paraId="7C751D11" w14:textId="77777777" w:rsidTr="00E35893">
        <w:tc>
          <w:tcPr>
            <w:tcW w:w="2263" w:type="dxa"/>
            <w:tcBorders>
              <w:bottom w:val="single" w:sz="4" w:space="0" w:color="auto"/>
            </w:tcBorders>
          </w:tcPr>
          <w:p w14:paraId="132318FD" w14:textId="77777777" w:rsidR="00FC77D2" w:rsidRPr="004C78D8" w:rsidRDefault="00FC77D2" w:rsidP="00FB7C1F">
            <w:pPr>
              <w:rPr>
                <w:b/>
                <w:bCs/>
                <w:sz w:val="20"/>
                <w:szCs w:val="20"/>
              </w:rPr>
            </w:pPr>
            <w:r w:rsidRPr="004C78D8">
              <w:rPr>
                <w:b/>
                <w:bCs/>
                <w:sz w:val="20"/>
                <w:szCs w:val="20"/>
              </w:rPr>
              <w:t>Explanatory variables</w:t>
            </w:r>
          </w:p>
        </w:tc>
        <w:tc>
          <w:tcPr>
            <w:tcW w:w="1843" w:type="dxa"/>
            <w:tcBorders>
              <w:bottom w:val="single" w:sz="4" w:space="0" w:color="auto"/>
            </w:tcBorders>
          </w:tcPr>
          <w:p w14:paraId="44826DBD" w14:textId="77777777" w:rsidR="00FC77D2" w:rsidRPr="004C78D8" w:rsidRDefault="00FC77D2" w:rsidP="00FB7C1F">
            <w:pPr>
              <w:jc w:val="center"/>
              <w:rPr>
                <w:b/>
                <w:bCs/>
                <w:sz w:val="20"/>
                <w:szCs w:val="20"/>
              </w:rPr>
            </w:pPr>
            <w:r w:rsidRPr="004C78D8">
              <w:rPr>
                <w:b/>
                <w:bCs/>
                <w:sz w:val="20"/>
                <w:szCs w:val="20"/>
              </w:rPr>
              <w:t>Coefficient (SE)</w:t>
            </w:r>
          </w:p>
        </w:tc>
        <w:tc>
          <w:tcPr>
            <w:tcW w:w="1559" w:type="dxa"/>
            <w:tcBorders>
              <w:bottom w:val="single" w:sz="4" w:space="0" w:color="auto"/>
            </w:tcBorders>
          </w:tcPr>
          <w:p w14:paraId="5AB8BE9B" w14:textId="77777777" w:rsidR="00FC77D2" w:rsidRPr="004C78D8" w:rsidRDefault="00FC77D2" w:rsidP="00FB7C1F">
            <w:pPr>
              <w:jc w:val="center"/>
              <w:rPr>
                <w:b/>
                <w:bCs/>
                <w:sz w:val="20"/>
                <w:szCs w:val="20"/>
              </w:rPr>
            </w:pPr>
            <w:r w:rsidRPr="004C78D8">
              <w:rPr>
                <w:b/>
                <w:bCs/>
                <w:sz w:val="20"/>
                <w:szCs w:val="20"/>
              </w:rPr>
              <w:t>P-value</w:t>
            </w:r>
          </w:p>
        </w:tc>
      </w:tr>
      <w:tr w:rsidR="00FC77D2" w:rsidRPr="004C78D8" w14:paraId="31FB2B01" w14:textId="77777777" w:rsidTr="00E35893">
        <w:tc>
          <w:tcPr>
            <w:tcW w:w="2263" w:type="dxa"/>
            <w:tcBorders>
              <w:bottom w:val="nil"/>
            </w:tcBorders>
          </w:tcPr>
          <w:p w14:paraId="33E9106F" w14:textId="77777777" w:rsidR="00FC77D2" w:rsidRPr="004C78D8" w:rsidRDefault="00FC77D2" w:rsidP="00FB7C1F">
            <w:pPr>
              <w:rPr>
                <w:sz w:val="18"/>
                <w:szCs w:val="18"/>
              </w:rPr>
            </w:pPr>
            <w:r w:rsidRPr="004C78D8">
              <w:rPr>
                <w:sz w:val="18"/>
                <w:szCs w:val="18"/>
              </w:rPr>
              <w:t>Constant</w:t>
            </w:r>
          </w:p>
        </w:tc>
        <w:tc>
          <w:tcPr>
            <w:tcW w:w="1843" w:type="dxa"/>
            <w:tcBorders>
              <w:bottom w:val="nil"/>
            </w:tcBorders>
          </w:tcPr>
          <w:p w14:paraId="0F284486" w14:textId="2A016C0B" w:rsidR="00FC77D2" w:rsidRPr="004C78D8" w:rsidRDefault="00FC77D2" w:rsidP="00FB7C1F">
            <w:pPr>
              <w:jc w:val="center"/>
              <w:rPr>
                <w:sz w:val="18"/>
                <w:szCs w:val="18"/>
              </w:rPr>
            </w:pPr>
            <w:r w:rsidRPr="004C78D8">
              <w:rPr>
                <w:sz w:val="18"/>
                <w:szCs w:val="18"/>
              </w:rPr>
              <w:t>0.</w:t>
            </w:r>
            <w:r w:rsidR="00F96C13" w:rsidRPr="004C78D8">
              <w:rPr>
                <w:sz w:val="18"/>
                <w:szCs w:val="18"/>
              </w:rPr>
              <w:t>477</w:t>
            </w:r>
            <w:r w:rsidRPr="004C78D8">
              <w:rPr>
                <w:sz w:val="18"/>
                <w:szCs w:val="18"/>
              </w:rPr>
              <w:t xml:space="preserve"> (0.0</w:t>
            </w:r>
            <w:r w:rsidR="00F96C13" w:rsidRPr="004C78D8">
              <w:rPr>
                <w:sz w:val="18"/>
                <w:szCs w:val="18"/>
              </w:rPr>
              <w:t>91</w:t>
            </w:r>
            <w:r w:rsidRPr="004C78D8">
              <w:rPr>
                <w:sz w:val="18"/>
                <w:szCs w:val="18"/>
              </w:rPr>
              <w:t>)</w:t>
            </w:r>
          </w:p>
        </w:tc>
        <w:tc>
          <w:tcPr>
            <w:tcW w:w="1559" w:type="dxa"/>
            <w:tcBorders>
              <w:bottom w:val="nil"/>
            </w:tcBorders>
          </w:tcPr>
          <w:p w14:paraId="16D98620" w14:textId="77777777" w:rsidR="00FC77D2" w:rsidRPr="004C78D8" w:rsidRDefault="00FC77D2" w:rsidP="00FB7C1F">
            <w:pPr>
              <w:jc w:val="center"/>
              <w:rPr>
                <w:sz w:val="18"/>
                <w:szCs w:val="18"/>
              </w:rPr>
            </w:pPr>
            <w:r w:rsidRPr="004C78D8">
              <w:rPr>
                <w:sz w:val="18"/>
                <w:szCs w:val="18"/>
              </w:rPr>
              <w:t>&lt;0.001</w:t>
            </w:r>
          </w:p>
        </w:tc>
      </w:tr>
      <w:tr w:rsidR="00F96C13" w:rsidRPr="004C78D8" w14:paraId="69FE78BF" w14:textId="77777777" w:rsidTr="00E35893">
        <w:tc>
          <w:tcPr>
            <w:tcW w:w="2263" w:type="dxa"/>
            <w:tcBorders>
              <w:top w:val="nil"/>
              <w:bottom w:val="nil"/>
            </w:tcBorders>
          </w:tcPr>
          <w:p w14:paraId="1E93146A" w14:textId="4E752D75" w:rsidR="00F96C13" w:rsidRPr="004C78D8" w:rsidRDefault="00F96C13" w:rsidP="00FB7C1F">
            <w:pPr>
              <w:rPr>
                <w:sz w:val="18"/>
                <w:szCs w:val="18"/>
              </w:rPr>
            </w:pPr>
            <w:r w:rsidRPr="004C78D8">
              <w:rPr>
                <w:sz w:val="18"/>
                <w:szCs w:val="18"/>
              </w:rPr>
              <w:t>Age</w:t>
            </w:r>
          </w:p>
        </w:tc>
        <w:tc>
          <w:tcPr>
            <w:tcW w:w="1843" w:type="dxa"/>
            <w:tcBorders>
              <w:top w:val="nil"/>
              <w:bottom w:val="nil"/>
            </w:tcBorders>
          </w:tcPr>
          <w:p w14:paraId="0B82DAA9" w14:textId="706528B0" w:rsidR="00F96C13" w:rsidRPr="004C78D8" w:rsidRDefault="00F96C13" w:rsidP="00FB7C1F">
            <w:pPr>
              <w:jc w:val="center"/>
              <w:rPr>
                <w:sz w:val="18"/>
                <w:szCs w:val="18"/>
              </w:rPr>
            </w:pPr>
            <w:r w:rsidRPr="004C78D8">
              <w:rPr>
                <w:sz w:val="18"/>
                <w:szCs w:val="18"/>
              </w:rPr>
              <w:t>0.009 (0.002)</w:t>
            </w:r>
          </w:p>
        </w:tc>
        <w:tc>
          <w:tcPr>
            <w:tcW w:w="1559" w:type="dxa"/>
            <w:tcBorders>
              <w:top w:val="nil"/>
              <w:bottom w:val="nil"/>
            </w:tcBorders>
          </w:tcPr>
          <w:p w14:paraId="360B490E" w14:textId="12F6E879" w:rsidR="00F96C13" w:rsidRPr="004C78D8" w:rsidRDefault="00F96C13" w:rsidP="00FB7C1F">
            <w:pPr>
              <w:jc w:val="center"/>
              <w:rPr>
                <w:sz w:val="18"/>
                <w:szCs w:val="18"/>
              </w:rPr>
            </w:pPr>
            <w:r w:rsidRPr="004C78D8">
              <w:rPr>
                <w:sz w:val="18"/>
                <w:szCs w:val="18"/>
              </w:rPr>
              <w:t>&lt;0.001</w:t>
            </w:r>
          </w:p>
        </w:tc>
      </w:tr>
      <w:tr w:rsidR="00FC77D2" w:rsidRPr="004C78D8" w14:paraId="64320897" w14:textId="77777777" w:rsidTr="00E35893">
        <w:tc>
          <w:tcPr>
            <w:tcW w:w="2263" w:type="dxa"/>
            <w:tcBorders>
              <w:top w:val="nil"/>
              <w:bottom w:val="nil"/>
            </w:tcBorders>
          </w:tcPr>
          <w:p w14:paraId="0BAD93BE" w14:textId="77777777" w:rsidR="00FC77D2" w:rsidRPr="004C78D8" w:rsidRDefault="00FC77D2" w:rsidP="00FB7C1F">
            <w:pPr>
              <w:rPr>
                <w:sz w:val="18"/>
                <w:szCs w:val="18"/>
              </w:rPr>
            </w:pPr>
            <w:r w:rsidRPr="004C78D8">
              <w:rPr>
                <w:sz w:val="18"/>
                <w:szCs w:val="18"/>
              </w:rPr>
              <w:t>Age^2</w:t>
            </w:r>
          </w:p>
        </w:tc>
        <w:tc>
          <w:tcPr>
            <w:tcW w:w="1843" w:type="dxa"/>
            <w:tcBorders>
              <w:top w:val="nil"/>
              <w:bottom w:val="nil"/>
            </w:tcBorders>
          </w:tcPr>
          <w:p w14:paraId="1D09935A" w14:textId="53904E08" w:rsidR="00FC77D2" w:rsidRPr="004C78D8" w:rsidRDefault="00F96C13" w:rsidP="00FB7C1F">
            <w:pPr>
              <w:jc w:val="center"/>
              <w:rPr>
                <w:sz w:val="18"/>
                <w:szCs w:val="18"/>
              </w:rPr>
            </w:pPr>
            <w:r w:rsidRPr="004C78D8">
              <w:rPr>
                <w:sz w:val="18"/>
                <w:szCs w:val="18"/>
              </w:rPr>
              <w:t>-</w:t>
            </w:r>
            <w:r w:rsidR="00FC77D2" w:rsidRPr="004C78D8">
              <w:rPr>
                <w:sz w:val="18"/>
                <w:szCs w:val="18"/>
              </w:rPr>
              <w:t>0.000</w:t>
            </w:r>
            <w:r w:rsidRPr="004C78D8">
              <w:rPr>
                <w:sz w:val="18"/>
                <w:szCs w:val="18"/>
              </w:rPr>
              <w:t>1</w:t>
            </w:r>
            <w:r w:rsidR="00FC77D2" w:rsidRPr="004C78D8">
              <w:rPr>
                <w:sz w:val="18"/>
                <w:szCs w:val="18"/>
              </w:rPr>
              <w:t xml:space="preserve"> (0.00002)</w:t>
            </w:r>
          </w:p>
        </w:tc>
        <w:tc>
          <w:tcPr>
            <w:tcW w:w="1559" w:type="dxa"/>
            <w:tcBorders>
              <w:top w:val="nil"/>
              <w:bottom w:val="nil"/>
            </w:tcBorders>
          </w:tcPr>
          <w:p w14:paraId="1366A76F" w14:textId="77777777" w:rsidR="00FC77D2" w:rsidRPr="004C78D8" w:rsidRDefault="00FC77D2" w:rsidP="00FB7C1F">
            <w:pPr>
              <w:jc w:val="center"/>
              <w:rPr>
                <w:sz w:val="18"/>
                <w:szCs w:val="18"/>
              </w:rPr>
            </w:pPr>
            <w:r w:rsidRPr="004C78D8">
              <w:rPr>
                <w:sz w:val="18"/>
                <w:szCs w:val="18"/>
              </w:rPr>
              <w:t>&lt;0.001</w:t>
            </w:r>
          </w:p>
        </w:tc>
      </w:tr>
      <w:tr w:rsidR="00FC77D2" w:rsidRPr="004C78D8" w14:paraId="74F3CF4E" w14:textId="77777777" w:rsidTr="00E35893">
        <w:tc>
          <w:tcPr>
            <w:tcW w:w="2263" w:type="dxa"/>
            <w:tcBorders>
              <w:top w:val="nil"/>
              <w:bottom w:val="nil"/>
            </w:tcBorders>
          </w:tcPr>
          <w:p w14:paraId="6E807CB1" w14:textId="77777777" w:rsidR="00FC77D2" w:rsidRPr="004C78D8" w:rsidRDefault="00FC77D2" w:rsidP="00FB7C1F">
            <w:pPr>
              <w:rPr>
                <w:sz w:val="18"/>
                <w:szCs w:val="18"/>
              </w:rPr>
            </w:pPr>
            <w:r w:rsidRPr="004C78D8">
              <w:rPr>
                <w:sz w:val="18"/>
                <w:szCs w:val="18"/>
              </w:rPr>
              <w:t>Female</w:t>
            </w:r>
          </w:p>
        </w:tc>
        <w:tc>
          <w:tcPr>
            <w:tcW w:w="1843" w:type="dxa"/>
            <w:tcBorders>
              <w:top w:val="nil"/>
              <w:bottom w:val="nil"/>
            </w:tcBorders>
          </w:tcPr>
          <w:p w14:paraId="523C8B76" w14:textId="7FA929DF" w:rsidR="00FC77D2" w:rsidRPr="004C78D8" w:rsidRDefault="00FC77D2" w:rsidP="00FB7C1F">
            <w:pPr>
              <w:jc w:val="center"/>
              <w:rPr>
                <w:sz w:val="18"/>
                <w:szCs w:val="18"/>
              </w:rPr>
            </w:pPr>
            <w:r w:rsidRPr="004C78D8">
              <w:rPr>
                <w:sz w:val="18"/>
                <w:szCs w:val="18"/>
              </w:rPr>
              <w:t>0.0</w:t>
            </w:r>
            <w:r w:rsidR="00F96C13" w:rsidRPr="004C78D8">
              <w:rPr>
                <w:sz w:val="18"/>
                <w:szCs w:val="18"/>
              </w:rPr>
              <w:t>20</w:t>
            </w:r>
            <w:r w:rsidRPr="004C78D8">
              <w:rPr>
                <w:sz w:val="18"/>
                <w:szCs w:val="18"/>
              </w:rPr>
              <w:t xml:space="preserve"> (0.00</w:t>
            </w:r>
            <w:r w:rsidR="00F96C13" w:rsidRPr="004C78D8">
              <w:rPr>
                <w:sz w:val="18"/>
                <w:szCs w:val="18"/>
              </w:rPr>
              <w:t>2</w:t>
            </w:r>
            <w:r w:rsidRPr="004C78D8">
              <w:rPr>
                <w:sz w:val="18"/>
                <w:szCs w:val="18"/>
              </w:rPr>
              <w:t>)</w:t>
            </w:r>
          </w:p>
        </w:tc>
        <w:tc>
          <w:tcPr>
            <w:tcW w:w="1559" w:type="dxa"/>
            <w:tcBorders>
              <w:top w:val="nil"/>
              <w:bottom w:val="nil"/>
            </w:tcBorders>
          </w:tcPr>
          <w:p w14:paraId="77BEFCC3" w14:textId="77777777" w:rsidR="00FC77D2" w:rsidRPr="004C78D8" w:rsidRDefault="00FC77D2" w:rsidP="00FB7C1F">
            <w:pPr>
              <w:jc w:val="center"/>
              <w:rPr>
                <w:sz w:val="18"/>
                <w:szCs w:val="18"/>
              </w:rPr>
            </w:pPr>
            <w:r w:rsidRPr="004C78D8">
              <w:rPr>
                <w:sz w:val="18"/>
                <w:szCs w:val="18"/>
              </w:rPr>
              <w:t>&lt;0.001</w:t>
            </w:r>
          </w:p>
        </w:tc>
      </w:tr>
      <w:tr w:rsidR="00FC77D2" w:rsidRPr="004C78D8" w14:paraId="58D9451F" w14:textId="77777777" w:rsidTr="00E35893">
        <w:tc>
          <w:tcPr>
            <w:tcW w:w="2263" w:type="dxa"/>
            <w:tcBorders>
              <w:top w:val="nil"/>
              <w:bottom w:val="nil"/>
            </w:tcBorders>
          </w:tcPr>
          <w:p w14:paraId="4864D6F3" w14:textId="5D0A759E" w:rsidR="00FC77D2" w:rsidRPr="004C78D8" w:rsidRDefault="006B046E" w:rsidP="00FB7C1F">
            <w:pPr>
              <w:rPr>
                <w:sz w:val="18"/>
                <w:szCs w:val="18"/>
              </w:rPr>
            </w:pPr>
            <w:r w:rsidRPr="004C78D8">
              <w:rPr>
                <w:sz w:val="18"/>
                <w:szCs w:val="18"/>
              </w:rPr>
              <w:t>SES</w:t>
            </w:r>
            <w:r w:rsidR="00FC77D2" w:rsidRPr="004C78D8">
              <w:rPr>
                <w:sz w:val="18"/>
                <w:szCs w:val="18"/>
              </w:rPr>
              <w:t xml:space="preserve"> (ref: Most privileged quartile)</w:t>
            </w:r>
          </w:p>
        </w:tc>
        <w:tc>
          <w:tcPr>
            <w:tcW w:w="1843" w:type="dxa"/>
            <w:tcBorders>
              <w:top w:val="nil"/>
              <w:bottom w:val="nil"/>
            </w:tcBorders>
          </w:tcPr>
          <w:p w14:paraId="5F970C9B" w14:textId="77777777" w:rsidR="00FC77D2" w:rsidRPr="004C78D8" w:rsidRDefault="00FC77D2" w:rsidP="00FB7C1F">
            <w:pPr>
              <w:jc w:val="center"/>
              <w:rPr>
                <w:sz w:val="18"/>
                <w:szCs w:val="18"/>
              </w:rPr>
            </w:pPr>
          </w:p>
        </w:tc>
        <w:tc>
          <w:tcPr>
            <w:tcW w:w="1559" w:type="dxa"/>
            <w:tcBorders>
              <w:top w:val="nil"/>
              <w:bottom w:val="nil"/>
            </w:tcBorders>
          </w:tcPr>
          <w:p w14:paraId="40CB7877" w14:textId="77777777" w:rsidR="00FC77D2" w:rsidRPr="004C78D8" w:rsidRDefault="00FC77D2" w:rsidP="00FB7C1F">
            <w:pPr>
              <w:jc w:val="center"/>
              <w:rPr>
                <w:sz w:val="18"/>
                <w:szCs w:val="18"/>
              </w:rPr>
            </w:pPr>
          </w:p>
        </w:tc>
      </w:tr>
      <w:tr w:rsidR="00FC77D2" w:rsidRPr="004C78D8" w14:paraId="0439B2CE" w14:textId="77777777" w:rsidTr="00E35893">
        <w:tc>
          <w:tcPr>
            <w:tcW w:w="2263" w:type="dxa"/>
            <w:tcBorders>
              <w:top w:val="nil"/>
              <w:bottom w:val="nil"/>
            </w:tcBorders>
          </w:tcPr>
          <w:p w14:paraId="223D9293" w14:textId="77777777" w:rsidR="00FC77D2" w:rsidRPr="004C78D8" w:rsidRDefault="00FC77D2" w:rsidP="00FB7C1F">
            <w:pPr>
              <w:jc w:val="right"/>
              <w:rPr>
                <w:sz w:val="18"/>
                <w:szCs w:val="18"/>
              </w:rPr>
            </w:pPr>
            <w:r w:rsidRPr="004C78D8">
              <w:rPr>
                <w:i/>
                <w:iCs/>
                <w:sz w:val="18"/>
                <w:szCs w:val="18"/>
              </w:rPr>
              <w:t>2</w:t>
            </w:r>
            <w:r w:rsidRPr="004C78D8">
              <w:rPr>
                <w:i/>
                <w:iCs/>
                <w:sz w:val="18"/>
                <w:szCs w:val="18"/>
                <w:vertAlign w:val="superscript"/>
              </w:rPr>
              <w:t>nd</w:t>
            </w:r>
            <w:r w:rsidRPr="004C78D8">
              <w:rPr>
                <w:i/>
                <w:iCs/>
                <w:sz w:val="18"/>
                <w:szCs w:val="18"/>
              </w:rPr>
              <w:t xml:space="preserve"> quartile</w:t>
            </w:r>
          </w:p>
        </w:tc>
        <w:tc>
          <w:tcPr>
            <w:tcW w:w="1843" w:type="dxa"/>
            <w:tcBorders>
              <w:top w:val="nil"/>
              <w:bottom w:val="nil"/>
            </w:tcBorders>
          </w:tcPr>
          <w:p w14:paraId="2F2CE2DA" w14:textId="3EB981DB" w:rsidR="00FC77D2" w:rsidRPr="004C78D8" w:rsidRDefault="00FC77D2" w:rsidP="00FB7C1F">
            <w:pPr>
              <w:jc w:val="center"/>
              <w:rPr>
                <w:sz w:val="18"/>
                <w:szCs w:val="18"/>
              </w:rPr>
            </w:pPr>
            <w:r w:rsidRPr="004C78D8">
              <w:rPr>
                <w:sz w:val="18"/>
                <w:szCs w:val="18"/>
              </w:rPr>
              <w:t>-0.0</w:t>
            </w:r>
            <w:r w:rsidR="00F96C13" w:rsidRPr="004C78D8">
              <w:rPr>
                <w:sz w:val="18"/>
                <w:szCs w:val="18"/>
              </w:rPr>
              <w:t>20</w:t>
            </w:r>
            <w:r w:rsidRPr="004C78D8">
              <w:rPr>
                <w:sz w:val="18"/>
                <w:szCs w:val="18"/>
              </w:rPr>
              <w:t xml:space="preserve"> (0.00</w:t>
            </w:r>
            <w:r w:rsidR="00F96C13" w:rsidRPr="004C78D8">
              <w:rPr>
                <w:sz w:val="18"/>
                <w:szCs w:val="18"/>
              </w:rPr>
              <w:t>3</w:t>
            </w:r>
            <w:r w:rsidRPr="004C78D8">
              <w:rPr>
                <w:sz w:val="18"/>
                <w:szCs w:val="18"/>
              </w:rPr>
              <w:t>)</w:t>
            </w:r>
          </w:p>
        </w:tc>
        <w:tc>
          <w:tcPr>
            <w:tcW w:w="1559" w:type="dxa"/>
            <w:tcBorders>
              <w:top w:val="nil"/>
              <w:bottom w:val="nil"/>
            </w:tcBorders>
          </w:tcPr>
          <w:p w14:paraId="680789AD" w14:textId="31C54796" w:rsidR="00FC77D2" w:rsidRPr="004C78D8" w:rsidRDefault="00F96C13" w:rsidP="00FB7C1F">
            <w:pPr>
              <w:jc w:val="center"/>
              <w:rPr>
                <w:sz w:val="18"/>
                <w:szCs w:val="18"/>
              </w:rPr>
            </w:pPr>
            <w:r w:rsidRPr="004C78D8">
              <w:rPr>
                <w:sz w:val="18"/>
                <w:szCs w:val="18"/>
              </w:rPr>
              <w:t>&lt;0.001</w:t>
            </w:r>
          </w:p>
        </w:tc>
      </w:tr>
      <w:tr w:rsidR="00FC77D2" w:rsidRPr="004C78D8" w14:paraId="0C7A5001" w14:textId="77777777" w:rsidTr="00E35893">
        <w:tc>
          <w:tcPr>
            <w:tcW w:w="2263" w:type="dxa"/>
            <w:tcBorders>
              <w:top w:val="nil"/>
              <w:bottom w:val="nil"/>
            </w:tcBorders>
          </w:tcPr>
          <w:p w14:paraId="348D2D1A" w14:textId="77777777" w:rsidR="00FC77D2" w:rsidRPr="004C78D8" w:rsidRDefault="00FC77D2" w:rsidP="00FB7C1F">
            <w:pPr>
              <w:jc w:val="right"/>
              <w:rPr>
                <w:sz w:val="18"/>
                <w:szCs w:val="18"/>
              </w:rPr>
            </w:pPr>
            <w:r w:rsidRPr="004C78D8">
              <w:rPr>
                <w:i/>
                <w:iCs/>
                <w:sz w:val="18"/>
                <w:szCs w:val="18"/>
              </w:rPr>
              <w:t>3</w:t>
            </w:r>
            <w:r w:rsidRPr="004C78D8">
              <w:rPr>
                <w:i/>
                <w:iCs/>
                <w:sz w:val="18"/>
                <w:szCs w:val="18"/>
                <w:vertAlign w:val="superscript"/>
              </w:rPr>
              <w:t>rd</w:t>
            </w:r>
            <w:r w:rsidRPr="004C78D8">
              <w:rPr>
                <w:i/>
                <w:iCs/>
                <w:sz w:val="18"/>
                <w:szCs w:val="18"/>
              </w:rPr>
              <w:t xml:space="preserve"> quartile</w:t>
            </w:r>
          </w:p>
        </w:tc>
        <w:tc>
          <w:tcPr>
            <w:tcW w:w="1843" w:type="dxa"/>
            <w:tcBorders>
              <w:top w:val="nil"/>
              <w:bottom w:val="nil"/>
            </w:tcBorders>
          </w:tcPr>
          <w:p w14:paraId="270814FD" w14:textId="2717258F" w:rsidR="00FC77D2" w:rsidRPr="004C78D8" w:rsidRDefault="00FC77D2" w:rsidP="00FB7C1F">
            <w:pPr>
              <w:jc w:val="center"/>
              <w:rPr>
                <w:sz w:val="18"/>
                <w:szCs w:val="18"/>
              </w:rPr>
            </w:pPr>
            <w:r w:rsidRPr="004C78D8">
              <w:rPr>
                <w:sz w:val="18"/>
                <w:szCs w:val="18"/>
              </w:rPr>
              <w:t>-0.0</w:t>
            </w:r>
            <w:r w:rsidR="00F96C13" w:rsidRPr="004C78D8">
              <w:rPr>
                <w:sz w:val="18"/>
                <w:szCs w:val="18"/>
              </w:rPr>
              <w:t>44</w:t>
            </w:r>
            <w:r w:rsidRPr="004C78D8">
              <w:rPr>
                <w:sz w:val="18"/>
                <w:szCs w:val="18"/>
              </w:rPr>
              <w:t xml:space="preserve"> (0.00</w:t>
            </w:r>
            <w:r w:rsidR="00F96C13" w:rsidRPr="004C78D8">
              <w:rPr>
                <w:sz w:val="18"/>
                <w:szCs w:val="18"/>
              </w:rPr>
              <w:t>3</w:t>
            </w:r>
            <w:r w:rsidRPr="004C78D8">
              <w:rPr>
                <w:sz w:val="18"/>
                <w:szCs w:val="18"/>
              </w:rPr>
              <w:t>)</w:t>
            </w:r>
          </w:p>
        </w:tc>
        <w:tc>
          <w:tcPr>
            <w:tcW w:w="1559" w:type="dxa"/>
            <w:tcBorders>
              <w:top w:val="nil"/>
              <w:bottom w:val="nil"/>
            </w:tcBorders>
          </w:tcPr>
          <w:p w14:paraId="7C19FFE1" w14:textId="77777777" w:rsidR="00FC77D2" w:rsidRPr="004C78D8" w:rsidRDefault="00FC77D2" w:rsidP="00FB7C1F">
            <w:pPr>
              <w:jc w:val="center"/>
              <w:rPr>
                <w:sz w:val="18"/>
                <w:szCs w:val="18"/>
              </w:rPr>
            </w:pPr>
            <w:r w:rsidRPr="004C78D8">
              <w:rPr>
                <w:sz w:val="18"/>
                <w:szCs w:val="18"/>
              </w:rPr>
              <w:t>&lt;0.001</w:t>
            </w:r>
          </w:p>
        </w:tc>
      </w:tr>
      <w:tr w:rsidR="00FC77D2" w:rsidRPr="004C78D8" w14:paraId="350100C8" w14:textId="77777777" w:rsidTr="00E35893">
        <w:tc>
          <w:tcPr>
            <w:tcW w:w="2263" w:type="dxa"/>
            <w:tcBorders>
              <w:top w:val="nil"/>
              <w:bottom w:val="nil"/>
            </w:tcBorders>
          </w:tcPr>
          <w:p w14:paraId="4B5BF42E" w14:textId="77777777" w:rsidR="00FC77D2" w:rsidRPr="004C78D8" w:rsidRDefault="00FC77D2" w:rsidP="00FB7C1F">
            <w:pPr>
              <w:jc w:val="right"/>
              <w:rPr>
                <w:sz w:val="18"/>
                <w:szCs w:val="18"/>
              </w:rPr>
            </w:pPr>
            <w:r w:rsidRPr="004C78D8">
              <w:rPr>
                <w:i/>
                <w:iCs/>
                <w:sz w:val="18"/>
                <w:szCs w:val="18"/>
              </w:rPr>
              <w:t>Most deprived quartile</w:t>
            </w:r>
          </w:p>
        </w:tc>
        <w:tc>
          <w:tcPr>
            <w:tcW w:w="1843" w:type="dxa"/>
            <w:tcBorders>
              <w:top w:val="nil"/>
              <w:bottom w:val="nil"/>
            </w:tcBorders>
          </w:tcPr>
          <w:p w14:paraId="21B35CEF" w14:textId="3DB7C139" w:rsidR="00FC77D2" w:rsidRPr="004C78D8" w:rsidRDefault="00FC77D2" w:rsidP="00FB7C1F">
            <w:pPr>
              <w:jc w:val="center"/>
              <w:rPr>
                <w:sz w:val="18"/>
                <w:szCs w:val="18"/>
              </w:rPr>
            </w:pPr>
            <w:r w:rsidRPr="004C78D8">
              <w:rPr>
                <w:sz w:val="18"/>
                <w:szCs w:val="18"/>
              </w:rPr>
              <w:t>-0.0</w:t>
            </w:r>
            <w:r w:rsidR="00F96C13" w:rsidRPr="004C78D8">
              <w:rPr>
                <w:sz w:val="18"/>
                <w:szCs w:val="18"/>
              </w:rPr>
              <w:t>81</w:t>
            </w:r>
            <w:r w:rsidRPr="004C78D8">
              <w:rPr>
                <w:sz w:val="18"/>
                <w:szCs w:val="18"/>
              </w:rPr>
              <w:t xml:space="preserve"> (0.00</w:t>
            </w:r>
            <w:r w:rsidR="00F96C13" w:rsidRPr="004C78D8">
              <w:rPr>
                <w:sz w:val="18"/>
                <w:szCs w:val="18"/>
              </w:rPr>
              <w:t>4</w:t>
            </w:r>
            <w:r w:rsidRPr="004C78D8">
              <w:rPr>
                <w:sz w:val="18"/>
                <w:szCs w:val="18"/>
              </w:rPr>
              <w:t>)</w:t>
            </w:r>
          </w:p>
        </w:tc>
        <w:tc>
          <w:tcPr>
            <w:tcW w:w="1559" w:type="dxa"/>
            <w:tcBorders>
              <w:top w:val="nil"/>
              <w:bottom w:val="nil"/>
            </w:tcBorders>
          </w:tcPr>
          <w:p w14:paraId="7900F697" w14:textId="77777777" w:rsidR="00FC77D2" w:rsidRPr="004C78D8" w:rsidRDefault="00FC77D2" w:rsidP="00FB7C1F">
            <w:pPr>
              <w:jc w:val="center"/>
              <w:rPr>
                <w:sz w:val="18"/>
                <w:szCs w:val="18"/>
              </w:rPr>
            </w:pPr>
            <w:r w:rsidRPr="004C78D8">
              <w:rPr>
                <w:sz w:val="18"/>
                <w:szCs w:val="18"/>
              </w:rPr>
              <w:t>&lt;0.001</w:t>
            </w:r>
          </w:p>
        </w:tc>
      </w:tr>
      <w:tr w:rsidR="00FC77D2" w:rsidRPr="004C78D8" w14:paraId="3D2FA3D7" w14:textId="77777777" w:rsidTr="00E35893">
        <w:tc>
          <w:tcPr>
            <w:tcW w:w="2263" w:type="dxa"/>
            <w:tcBorders>
              <w:top w:val="nil"/>
              <w:bottom w:val="nil"/>
            </w:tcBorders>
          </w:tcPr>
          <w:p w14:paraId="0287D14D" w14:textId="77777777" w:rsidR="00FC77D2" w:rsidRPr="004C78D8" w:rsidRDefault="00FC77D2" w:rsidP="00FB7C1F">
            <w:pPr>
              <w:rPr>
                <w:sz w:val="18"/>
                <w:szCs w:val="18"/>
              </w:rPr>
            </w:pPr>
            <w:r w:rsidRPr="004C78D8">
              <w:rPr>
                <w:sz w:val="18"/>
                <w:szCs w:val="18"/>
              </w:rPr>
              <w:t>Falls history (ref: No falls history)</w:t>
            </w:r>
          </w:p>
        </w:tc>
        <w:tc>
          <w:tcPr>
            <w:tcW w:w="1843" w:type="dxa"/>
            <w:tcBorders>
              <w:top w:val="nil"/>
              <w:bottom w:val="nil"/>
            </w:tcBorders>
          </w:tcPr>
          <w:p w14:paraId="2F7525E1" w14:textId="77777777" w:rsidR="00FC77D2" w:rsidRPr="004C78D8" w:rsidRDefault="00FC77D2" w:rsidP="00FB7C1F">
            <w:pPr>
              <w:jc w:val="center"/>
              <w:rPr>
                <w:sz w:val="18"/>
                <w:szCs w:val="18"/>
              </w:rPr>
            </w:pPr>
          </w:p>
        </w:tc>
        <w:tc>
          <w:tcPr>
            <w:tcW w:w="1559" w:type="dxa"/>
            <w:tcBorders>
              <w:top w:val="nil"/>
              <w:bottom w:val="nil"/>
            </w:tcBorders>
          </w:tcPr>
          <w:p w14:paraId="3C3AF757" w14:textId="77777777" w:rsidR="00FC77D2" w:rsidRPr="004C78D8" w:rsidRDefault="00FC77D2" w:rsidP="00FB7C1F">
            <w:pPr>
              <w:jc w:val="center"/>
              <w:rPr>
                <w:sz w:val="18"/>
                <w:szCs w:val="18"/>
              </w:rPr>
            </w:pPr>
          </w:p>
        </w:tc>
      </w:tr>
      <w:tr w:rsidR="00FC77D2" w:rsidRPr="004C78D8" w14:paraId="51711A56" w14:textId="77777777" w:rsidTr="00E35893">
        <w:tc>
          <w:tcPr>
            <w:tcW w:w="2263" w:type="dxa"/>
            <w:tcBorders>
              <w:top w:val="nil"/>
              <w:bottom w:val="nil"/>
            </w:tcBorders>
          </w:tcPr>
          <w:p w14:paraId="67AD43C6" w14:textId="77777777" w:rsidR="00FC77D2" w:rsidRPr="004C78D8" w:rsidRDefault="00FC77D2" w:rsidP="00FB7C1F">
            <w:pPr>
              <w:jc w:val="right"/>
              <w:rPr>
                <w:sz w:val="18"/>
                <w:szCs w:val="18"/>
              </w:rPr>
            </w:pPr>
            <w:r w:rsidRPr="004C78D8">
              <w:rPr>
                <w:i/>
                <w:iCs/>
                <w:sz w:val="18"/>
                <w:szCs w:val="18"/>
              </w:rPr>
              <w:t>Single non-MA fall</w:t>
            </w:r>
          </w:p>
        </w:tc>
        <w:tc>
          <w:tcPr>
            <w:tcW w:w="1843" w:type="dxa"/>
            <w:tcBorders>
              <w:top w:val="nil"/>
              <w:bottom w:val="nil"/>
            </w:tcBorders>
          </w:tcPr>
          <w:p w14:paraId="7D0DE682" w14:textId="69F2C320" w:rsidR="00FC77D2" w:rsidRPr="004C78D8" w:rsidRDefault="00FC77D2" w:rsidP="00FB7C1F">
            <w:pPr>
              <w:jc w:val="center"/>
              <w:rPr>
                <w:sz w:val="18"/>
                <w:szCs w:val="18"/>
              </w:rPr>
            </w:pPr>
            <w:r w:rsidRPr="004C78D8">
              <w:rPr>
                <w:sz w:val="18"/>
                <w:szCs w:val="18"/>
              </w:rPr>
              <w:t>-0.0</w:t>
            </w:r>
            <w:r w:rsidR="00F96C13" w:rsidRPr="004C78D8">
              <w:rPr>
                <w:sz w:val="18"/>
                <w:szCs w:val="18"/>
              </w:rPr>
              <w:t>09</w:t>
            </w:r>
            <w:r w:rsidRPr="004C78D8">
              <w:rPr>
                <w:sz w:val="18"/>
                <w:szCs w:val="18"/>
              </w:rPr>
              <w:t xml:space="preserve"> (0.00</w:t>
            </w:r>
            <w:r w:rsidR="00F96C13" w:rsidRPr="004C78D8">
              <w:rPr>
                <w:sz w:val="18"/>
                <w:szCs w:val="18"/>
              </w:rPr>
              <w:t>4</w:t>
            </w:r>
            <w:r w:rsidRPr="004C78D8">
              <w:rPr>
                <w:sz w:val="18"/>
                <w:szCs w:val="18"/>
              </w:rPr>
              <w:t>)</w:t>
            </w:r>
          </w:p>
        </w:tc>
        <w:tc>
          <w:tcPr>
            <w:tcW w:w="1559" w:type="dxa"/>
            <w:tcBorders>
              <w:top w:val="nil"/>
              <w:bottom w:val="nil"/>
            </w:tcBorders>
          </w:tcPr>
          <w:p w14:paraId="1950F26E" w14:textId="144139AE" w:rsidR="00FC77D2" w:rsidRPr="004C78D8" w:rsidRDefault="00FC77D2" w:rsidP="00FB7C1F">
            <w:pPr>
              <w:jc w:val="center"/>
              <w:rPr>
                <w:sz w:val="18"/>
                <w:szCs w:val="18"/>
              </w:rPr>
            </w:pPr>
            <w:r w:rsidRPr="004C78D8">
              <w:rPr>
                <w:sz w:val="18"/>
                <w:szCs w:val="18"/>
              </w:rPr>
              <w:t>0.0</w:t>
            </w:r>
            <w:r w:rsidR="00F96C13" w:rsidRPr="004C78D8">
              <w:rPr>
                <w:sz w:val="18"/>
                <w:szCs w:val="18"/>
              </w:rPr>
              <w:t>11</w:t>
            </w:r>
          </w:p>
        </w:tc>
      </w:tr>
      <w:tr w:rsidR="00FC77D2" w:rsidRPr="004C78D8" w14:paraId="54731B6F" w14:textId="77777777" w:rsidTr="00E35893">
        <w:tc>
          <w:tcPr>
            <w:tcW w:w="2263" w:type="dxa"/>
            <w:tcBorders>
              <w:top w:val="nil"/>
              <w:bottom w:val="nil"/>
            </w:tcBorders>
          </w:tcPr>
          <w:p w14:paraId="7B0C2DCE" w14:textId="77777777" w:rsidR="00FC77D2" w:rsidRPr="004C78D8" w:rsidRDefault="00FC77D2" w:rsidP="00FB7C1F">
            <w:pPr>
              <w:jc w:val="right"/>
              <w:rPr>
                <w:sz w:val="18"/>
                <w:szCs w:val="18"/>
              </w:rPr>
            </w:pPr>
            <w:r w:rsidRPr="004C78D8">
              <w:rPr>
                <w:i/>
                <w:iCs/>
                <w:sz w:val="18"/>
                <w:szCs w:val="18"/>
              </w:rPr>
              <w:t>Recurrent non-MA falls</w:t>
            </w:r>
          </w:p>
        </w:tc>
        <w:tc>
          <w:tcPr>
            <w:tcW w:w="1843" w:type="dxa"/>
            <w:tcBorders>
              <w:top w:val="nil"/>
              <w:bottom w:val="nil"/>
            </w:tcBorders>
          </w:tcPr>
          <w:p w14:paraId="1D462C80" w14:textId="05BF2A55" w:rsidR="00FC77D2" w:rsidRPr="004C78D8" w:rsidRDefault="00FC77D2" w:rsidP="00FB7C1F">
            <w:pPr>
              <w:jc w:val="center"/>
              <w:rPr>
                <w:sz w:val="18"/>
                <w:szCs w:val="18"/>
              </w:rPr>
            </w:pPr>
            <w:r w:rsidRPr="004C78D8">
              <w:rPr>
                <w:sz w:val="18"/>
                <w:szCs w:val="18"/>
              </w:rPr>
              <w:t>-0.0</w:t>
            </w:r>
            <w:r w:rsidR="00F96C13" w:rsidRPr="004C78D8">
              <w:rPr>
                <w:sz w:val="18"/>
                <w:szCs w:val="18"/>
              </w:rPr>
              <w:t>21</w:t>
            </w:r>
            <w:r w:rsidRPr="004C78D8">
              <w:rPr>
                <w:sz w:val="18"/>
                <w:szCs w:val="18"/>
              </w:rPr>
              <w:t xml:space="preserve"> (0.00</w:t>
            </w:r>
            <w:r w:rsidR="00F96C13" w:rsidRPr="004C78D8">
              <w:rPr>
                <w:sz w:val="18"/>
                <w:szCs w:val="18"/>
              </w:rPr>
              <w:t>4</w:t>
            </w:r>
            <w:r w:rsidRPr="004C78D8">
              <w:rPr>
                <w:sz w:val="18"/>
                <w:szCs w:val="18"/>
              </w:rPr>
              <w:t>)</w:t>
            </w:r>
          </w:p>
        </w:tc>
        <w:tc>
          <w:tcPr>
            <w:tcW w:w="1559" w:type="dxa"/>
            <w:tcBorders>
              <w:top w:val="nil"/>
              <w:bottom w:val="nil"/>
            </w:tcBorders>
          </w:tcPr>
          <w:p w14:paraId="2825FD4C" w14:textId="77777777" w:rsidR="00FC77D2" w:rsidRPr="004C78D8" w:rsidRDefault="00FC77D2" w:rsidP="00FB7C1F">
            <w:pPr>
              <w:jc w:val="center"/>
              <w:rPr>
                <w:sz w:val="18"/>
                <w:szCs w:val="18"/>
              </w:rPr>
            </w:pPr>
            <w:r w:rsidRPr="004C78D8">
              <w:rPr>
                <w:sz w:val="18"/>
                <w:szCs w:val="18"/>
              </w:rPr>
              <w:t>&lt;0.001</w:t>
            </w:r>
          </w:p>
        </w:tc>
      </w:tr>
      <w:tr w:rsidR="00FC77D2" w:rsidRPr="004C78D8" w14:paraId="68534C57" w14:textId="77777777" w:rsidTr="00E35893">
        <w:trPr>
          <w:trHeight w:val="103"/>
        </w:trPr>
        <w:tc>
          <w:tcPr>
            <w:tcW w:w="2263" w:type="dxa"/>
            <w:tcBorders>
              <w:top w:val="nil"/>
              <w:bottom w:val="nil"/>
            </w:tcBorders>
          </w:tcPr>
          <w:p w14:paraId="5EF04E75" w14:textId="77777777" w:rsidR="00FC77D2" w:rsidRPr="004C78D8" w:rsidRDefault="00FC77D2" w:rsidP="00FB7C1F">
            <w:pPr>
              <w:jc w:val="right"/>
              <w:rPr>
                <w:sz w:val="18"/>
                <w:szCs w:val="18"/>
              </w:rPr>
            </w:pPr>
            <w:r w:rsidRPr="004C78D8">
              <w:rPr>
                <w:i/>
                <w:iCs/>
                <w:sz w:val="18"/>
                <w:szCs w:val="18"/>
              </w:rPr>
              <w:t>Single MA fall</w:t>
            </w:r>
          </w:p>
        </w:tc>
        <w:tc>
          <w:tcPr>
            <w:tcW w:w="1843" w:type="dxa"/>
            <w:tcBorders>
              <w:top w:val="nil"/>
              <w:bottom w:val="nil"/>
            </w:tcBorders>
          </w:tcPr>
          <w:p w14:paraId="43FED63D" w14:textId="47F9ABA1" w:rsidR="00FC77D2" w:rsidRPr="004C78D8" w:rsidRDefault="00FC77D2" w:rsidP="00FB7C1F">
            <w:pPr>
              <w:jc w:val="center"/>
              <w:rPr>
                <w:sz w:val="18"/>
                <w:szCs w:val="18"/>
              </w:rPr>
            </w:pPr>
            <w:r w:rsidRPr="004C78D8">
              <w:rPr>
                <w:sz w:val="18"/>
                <w:szCs w:val="18"/>
              </w:rPr>
              <w:t>-0.0</w:t>
            </w:r>
            <w:r w:rsidR="00F96C13" w:rsidRPr="004C78D8">
              <w:rPr>
                <w:sz w:val="18"/>
                <w:szCs w:val="18"/>
              </w:rPr>
              <w:t>06</w:t>
            </w:r>
            <w:r w:rsidRPr="004C78D8">
              <w:rPr>
                <w:sz w:val="18"/>
                <w:szCs w:val="18"/>
              </w:rPr>
              <w:t xml:space="preserve"> (0.00</w:t>
            </w:r>
            <w:r w:rsidR="00F96C13" w:rsidRPr="004C78D8">
              <w:rPr>
                <w:sz w:val="18"/>
                <w:szCs w:val="18"/>
              </w:rPr>
              <w:t>5</w:t>
            </w:r>
            <w:r w:rsidRPr="004C78D8">
              <w:rPr>
                <w:sz w:val="18"/>
                <w:szCs w:val="18"/>
              </w:rPr>
              <w:t>)</w:t>
            </w:r>
          </w:p>
        </w:tc>
        <w:tc>
          <w:tcPr>
            <w:tcW w:w="1559" w:type="dxa"/>
            <w:tcBorders>
              <w:top w:val="nil"/>
              <w:bottom w:val="nil"/>
            </w:tcBorders>
          </w:tcPr>
          <w:p w14:paraId="226DC60B" w14:textId="14E7F280" w:rsidR="00FC77D2" w:rsidRPr="004C78D8" w:rsidRDefault="00FC77D2" w:rsidP="00FB7C1F">
            <w:pPr>
              <w:jc w:val="center"/>
              <w:rPr>
                <w:sz w:val="18"/>
                <w:szCs w:val="18"/>
              </w:rPr>
            </w:pPr>
            <w:r w:rsidRPr="004C78D8">
              <w:rPr>
                <w:sz w:val="18"/>
                <w:szCs w:val="18"/>
              </w:rPr>
              <w:t>0.</w:t>
            </w:r>
            <w:r w:rsidR="00F96C13" w:rsidRPr="004C78D8">
              <w:rPr>
                <w:sz w:val="18"/>
                <w:szCs w:val="18"/>
              </w:rPr>
              <w:t>288</w:t>
            </w:r>
          </w:p>
        </w:tc>
      </w:tr>
      <w:tr w:rsidR="00FC77D2" w:rsidRPr="004C78D8" w14:paraId="008A068C" w14:textId="77777777" w:rsidTr="00E35893">
        <w:tc>
          <w:tcPr>
            <w:tcW w:w="2263" w:type="dxa"/>
            <w:tcBorders>
              <w:top w:val="nil"/>
              <w:bottom w:val="nil"/>
            </w:tcBorders>
          </w:tcPr>
          <w:p w14:paraId="5EA49639" w14:textId="77777777" w:rsidR="00FC77D2" w:rsidRPr="004C78D8" w:rsidRDefault="00FC77D2" w:rsidP="00FB7C1F">
            <w:pPr>
              <w:jc w:val="right"/>
              <w:rPr>
                <w:sz w:val="18"/>
                <w:szCs w:val="18"/>
              </w:rPr>
            </w:pPr>
            <w:r w:rsidRPr="004C78D8">
              <w:rPr>
                <w:i/>
                <w:iCs/>
                <w:sz w:val="18"/>
                <w:szCs w:val="18"/>
              </w:rPr>
              <w:t>Recurrent falls with MA</w:t>
            </w:r>
          </w:p>
        </w:tc>
        <w:tc>
          <w:tcPr>
            <w:tcW w:w="1843" w:type="dxa"/>
            <w:tcBorders>
              <w:top w:val="nil"/>
              <w:bottom w:val="nil"/>
            </w:tcBorders>
          </w:tcPr>
          <w:p w14:paraId="6B23E2C5" w14:textId="2EDA0584" w:rsidR="00FC77D2" w:rsidRPr="004C78D8" w:rsidRDefault="00FC77D2" w:rsidP="00FB7C1F">
            <w:pPr>
              <w:jc w:val="center"/>
              <w:rPr>
                <w:sz w:val="18"/>
                <w:szCs w:val="18"/>
              </w:rPr>
            </w:pPr>
            <w:r w:rsidRPr="004C78D8">
              <w:rPr>
                <w:sz w:val="18"/>
                <w:szCs w:val="18"/>
              </w:rPr>
              <w:t>-0.0</w:t>
            </w:r>
            <w:r w:rsidR="00F96C13" w:rsidRPr="004C78D8">
              <w:rPr>
                <w:sz w:val="18"/>
                <w:szCs w:val="18"/>
              </w:rPr>
              <w:t>16</w:t>
            </w:r>
            <w:r w:rsidRPr="004C78D8">
              <w:rPr>
                <w:sz w:val="18"/>
                <w:szCs w:val="18"/>
              </w:rPr>
              <w:t xml:space="preserve"> (0.0</w:t>
            </w:r>
            <w:r w:rsidR="00F96C13" w:rsidRPr="004C78D8">
              <w:rPr>
                <w:sz w:val="18"/>
                <w:szCs w:val="18"/>
              </w:rPr>
              <w:t>07</w:t>
            </w:r>
            <w:r w:rsidRPr="004C78D8">
              <w:rPr>
                <w:sz w:val="18"/>
                <w:szCs w:val="18"/>
              </w:rPr>
              <w:t>)</w:t>
            </w:r>
          </w:p>
        </w:tc>
        <w:tc>
          <w:tcPr>
            <w:tcW w:w="1559" w:type="dxa"/>
            <w:tcBorders>
              <w:top w:val="nil"/>
              <w:bottom w:val="nil"/>
            </w:tcBorders>
          </w:tcPr>
          <w:p w14:paraId="5ABF8624" w14:textId="6B3903FF" w:rsidR="00FC77D2" w:rsidRPr="004C78D8" w:rsidRDefault="00FC77D2" w:rsidP="00FB7C1F">
            <w:pPr>
              <w:jc w:val="center"/>
              <w:rPr>
                <w:sz w:val="18"/>
                <w:szCs w:val="18"/>
              </w:rPr>
            </w:pPr>
            <w:r w:rsidRPr="004C78D8">
              <w:rPr>
                <w:sz w:val="18"/>
                <w:szCs w:val="18"/>
              </w:rPr>
              <w:t>0.</w:t>
            </w:r>
            <w:r w:rsidR="00F96C13" w:rsidRPr="004C78D8">
              <w:rPr>
                <w:sz w:val="18"/>
                <w:szCs w:val="18"/>
              </w:rPr>
              <w:t>017</w:t>
            </w:r>
          </w:p>
        </w:tc>
      </w:tr>
      <w:tr w:rsidR="00FC77D2" w:rsidRPr="004C78D8" w14:paraId="06B8CBF7" w14:textId="77777777" w:rsidTr="00E35893">
        <w:tc>
          <w:tcPr>
            <w:tcW w:w="2263" w:type="dxa"/>
            <w:tcBorders>
              <w:top w:val="nil"/>
              <w:bottom w:val="nil"/>
            </w:tcBorders>
          </w:tcPr>
          <w:p w14:paraId="4A29D8D0" w14:textId="77777777" w:rsidR="00FC77D2" w:rsidRPr="004C78D8" w:rsidRDefault="00FC77D2" w:rsidP="00FB7C1F">
            <w:pPr>
              <w:rPr>
                <w:sz w:val="18"/>
                <w:szCs w:val="18"/>
              </w:rPr>
            </w:pPr>
            <w:r w:rsidRPr="004C78D8">
              <w:rPr>
                <w:sz w:val="18"/>
                <w:szCs w:val="18"/>
              </w:rPr>
              <w:t>Frailty (0-100)</w:t>
            </w:r>
          </w:p>
        </w:tc>
        <w:tc>
          <w:tcPr>
            <w:tcW w:w="1843" w:type="dxa"/>
            <w:tcBorders>
              <w:top w:val="nil"/>
              <w:bottom w:val="nil"/>
            </w:tcBorders>
          </w:tcPr>
          <w:p w14:paraId="426F86FE" w14:textId="4ECB6A0A" w:rsidR="00FC77D2" w:rsidRPr="004C78D8" w:rsidRDefault="00FC77D2" w:rsidP="00FB7C1F">
            <w:pPr>
              <w:jc w:val="center"/>
              <w:rPr>
                <w:sz w:val="18"/>
                <w:szCs w:val="18"/>
              </w:rPr>
            </w:pPr>
            <w:r w:rsidRPr="004C78D8">
              <w:rPr>
                <w:sz w:val="18"/>
                <w:szCs w:val="18"/>
              </w:rPr>
              <w:t>-0.0</w:t>
            </w:r>
            <w:r w:rsidR="00F96C13" w:rsidRPr="004C78D8">
              <w:rPr>
                <w:sz w:val="18"/>
                <w:szCs w:val="18"/>
              </w:rPr>
              <w:t>08</w:t>
            </w:r>
            <w:r w:rsidRPr="004C78D8">
              <w:rPr>
                <w:sz w:val="18"/>
                <w:szCs w:val="18"/>
              </w:rPr>
              <w:t xml:space="preserve"> (0.00</w:t>
            </w:r>
            <w:r w:rsidR="00F96C13" w:rsidRPr="004C78D8">
              <w:rPr>
                <w:sz w:val="18"/>
                <w:szCs w:val="18"/>
              </w:rPr>
              <w:t>03</w:t>
            </w:r>
            <w:r w:rsidRPr="004C78D8">
              <w:rPr>
                <w:sz w:val="18"/>
                <w:szCs w:val="18"/>
              </w:rPr>
              <w:t>)</w:t>
            </w:r>
          </w:p>
        </w:tc>
        <w:tc>
          <w:tcPr>
            <w:tcW w:w="1559" w:type="dxa"/>
            <w:tcBorders>
              <w:top w:val="nil"/>
              <w:bottom w:val="nil"/>
            </w:tcBorders>
          </w:tcPr>
          <w:p w14:paraId="4B9AA500" w14:textId="77777777" w:rsidR="00FC77D2" w:rsidRPr="004C78D8" w:rsidRDefault="00FC77D2" w:rsidP="00FB7C1F">
            <w:pPr>
              <w:jc w:val="center"/>
              <w:rPr>
                <w:sz w:val="18"/>
                <w:szCs w:val="18"/>
              </w:rPr>
            </w:pPr>
            <w:r w:rsidRPr="004C78D8">
              <w:rPr>
                <w:sz w:val="18"/>
                <w:szCs w:val="18"/>
              </w:rPr>
              <w:t>&lt;0.001</w:t>
            </w:r>
          </w:p>
        </w:tc>
      </w:tr>
      <w:tr w:rsidR="00FC77D2" w:rsidRPr="004C78D8" w14:paraId="489B07C3" w14:textId="77777777" w:rsidTr="00E35893">
        <w:tc>
          <w:tcPr>
            <w:tcW w:w="2263" w:type="dxa"/>
            <w:tcBorders>
              <w:top w:val="nil"/>
              <w:bottom w:val="nil"/>
            </w:tcBorders>
          </w:tcPr>
          <w:p w14:paraId="7A7589D6" w14:textId="77777777" w:rsidR="00FC77D2" w:rsidRPr="004C78D8" w:rsidRDefault="00FC77D2" w:rsidP="00FB7C1F">
            <w:pPr>
              <w:rPr>
                <w:sz w:val="18"/>
                <w:szCs w:val="18"/>
              </w:rPr>
            </w:pPr>
            <w:r w:rsidRPr="004C78D8">
              <w:rPr>
                <w:sz w:val="18"/>
                <w:szCs w:val="18"/>
              </w:rPr>
              <w:t>Frailty^2</w:t>
            </w:r>
          </w:p>
        </w:tc>
        <w:tc>
          <w:tcPr>
            <w:tcW w:w="1843" w:type="dxa"/>
            <w:tcBorders>
              <w:top w:val="nil"/>
              <w:bottom w:val="nil"/>
            </w:tcBorders>
          </w:tcPr>
          <w:p w14:paraId="0A35BF0C" w14:textId="0F4B65F9" w:rsidR="00FC77D2" w:rsidRPr="004C78D8" w:rsidRDefault="00FC77D2" w:rsidP="00FB7C1F">
            <w:pPr>
              <w:jc w:val="center"/>
              <w:rPr>
                <w:sz w:val="18"/>
                <w:szCs w:val="18"/>
              </w:rPr>
            </w:pPr>
            <w:r w:rsidRPr="004C78D8">
              <w:rPr>
                <w:sz w:val="18"/>
                <w:szCs w:val="18"/>
              </w:rPr>
              <w:t>0.000</w:t>
            </w:r>
            <w:r w:rsidR="00F96C13" w:rsidRPr="004C78D8">
              <w:rPr>
                <w:sz w:val="18"/>
                <w:szCs w:val="18"/>
              </w:rPr>
              <w:t>02</w:t>
            </w:r>
            <w:r w:rsidRPr="004C78D8">
              <w:rPr>
                <w:sz w:val="18"/>
                <w:szCs w:val="18"/>
              </w:rPr>
              <w:t xml:space="preserve"> (0.00001)</w:t>
            </w:r>
          </w:p>
        </w:tc>
        <w:tc>
          <w:tcPr>
            <w:tcW w:w="1559" w:type="dxa"/>
            <w:tcBorders>
              <w:top w:val="nil"/>
              <w:bottom w:val="nil"/>
            </w:tcBorders>
          </w:tcPr>
          <w:p w14:paraId="4AEEDCD7" w14:textId="5A93CBA2" w:rsidR="00FC77D2" w:rsidRPr="004C78D8" w:rsidRDefault="00FC77D2" w:rsidP="00FB7C1F">
            <w:pPr>
              <w:jc w:val="center"/>
              <w:rPr>
                <w:sz w:val="18"/>
                <w:szCs w:val="18"/>
              </w:rPr>
            </w:pPr>
            <w:r w:rsidRPr="004C78D8">
              <w:rPr>
                <w:sz w:val="18"/>
                <w:szCs w:val="18"/>
              </w:rPr>
              <w:t>0.001</w:t>
            </w:r>
          </w:p>
        </w:tc>
      </w:tr>
      <w:tr w:rsidR="00FC77D2" w:rsidRPr="004C78D8" w14:paraId="0E98349C" w14:textId="77777777" w:rsidTr="00E35893">
        <w:tc>
          <w:tcPr>
            <w:tcW w:w="2263" w:type="dxa"/>
            <w:tcBorders>
              <w:top w:val="nil"/>
              <w:bottom w:val="nil"/>
            </w:tcBorders>
          </w:tcPr>
          <w:p w14:paraId="7E858DA4" w14:textId="19E65449" w:rsidR="00FC77D2" w:rsidRPr="004C78D8" w:rsidRDefault="00F96C13" w:rsidP="00FB7C1F">
            <w:pPr>
              <w:rPr>
                <w:sz w:val="18"/>
                <w:szCs w:val="18"/>
              </w:rPr>
            </w:pPr>
            <w:r w:rsidRPr="004C78D8">
              <w:rPr>
                <w:sz w:val="18"/>
                <w:szCs w:val="18"/>
              </w:rPr>
              <w:t>High physical activity</w:t>
            </w:r>
          </w:p>
        </w:tc>
        <w:tc>
          <w:tcPr>
            <w:tcW w:w="1843" w:type="dxa"/>
            <w:tcBorders>
              <w:top w:val="nil"/>
              <w:bottom w:val="nil"/>
            </w:tcBorders>
          </w:tcPr>
          <w:p w14:paraId="6497C98E" w14:textId="30365E1E" w:rsidR="00FC77D2" w:rsidRPr="004C78D8" w:rsidRDefault="00FC77D2" w:rsidP="00FB7C1F">
            <w:pPr>
              <w:jc w:val="center"/>
              <w:rPr>
                <w:sz w:val="18"/>
                <w:szCs w:val="18"/>
              </w:rPr>
            </w:pPr>
            <w:r w:rsidRPr="004C78D8">
              <w:rPr>
                <w:sz w:val="18"/>
                <w:szCs w:val="18"/>
              </w:rPr>
              <w:t>0.0</w:t>
            </w:r>
            <w:r w:rsidR="00F96C13" w:rsidRPr="004C78D8">
              <w:rPr>
                <w:sz w:val="18"/>
                <w:szCs w:val="18"/>
              </w:rPr>
              <w:t>18</w:t>
            </w:r>
            <w:r w:rsidRPr="004C78D8">
              <w:rPr>
                <w:sz w:val="18"/>
                <w:szCs w:val="18"/>
              </w:rPr>
              <w:t xml:space="preserve"> (0.00</w:t>
            </w:r>
            <w:r w:rsidR="00F96C13" w:rsidRPr="004C78D8">
              <w:rPr>
                <w:sz w:val="18"/>
                <w:szCs w:val="18"/>
              </w:rPr>
              <w:t>2</w:t>
            </w:r>
            <w:r w:rsidRPr="004C78D8">
              <w:rPr>
                <w:sz w:val="18"/>
                <w:szCs w:val="18"/>
              </w:rPr>
              <w:t>)</w:t>
            </w:r>
          </w:p>
        </w:tc>
        <w:tc>
          <w:tcPr>
            <w:tcW w:w="1559" w:type="dxa"/>
            <w:tcBorders>
              <w:top w:val="nil"/>
              <w:bottom w:val="nil"/>
            </w:tcBorders>
          </w:tcPr>
          <w:p w14:paraId="2E1C4BE4" w14:textId="244E2251" w:rsidR="00FC77D2" w:rsidRPr="004C78D8" w:rsidRDefault="00F96C13" w:rsidP="00FB7C1F">
            <w:pPr>
              <w:jc w:val="center"/>
              <w:rPr>
                <w:sz w:val="18"/>
                <w:szCs w:val="18"/>
              </w:rPr>
            </w:pPr>
            <w:r w:rsidRPr="004C78D8">
              <w:rPr>
                <w:sz w:val="18"/>
                <w:szCs w:val="18"/>
              </w:rPr>
              <w:t>&lt;0.001</w:t>
            </w:r>
          </w:p>
        </w:tc>
      </w:tr>
      <w:tr w:rsidR="00F96C13" w:rsidRPr="004C78D8" w14:paraId="166398C1" w14:textId="77777777" w:rsidTr="00E35893">
        <w:tc>
          <w:tcPr>
            <w:tcW w:w="2263" w:type="dxa"/>
            <w:tcBorders>
              <w:top w:val="nil"/>
              <w:bottom w:val="nil"/>
            </w:tcBorders>
          </w:tcPr>
          <w:p w14:paraId="377F4A2D" w14:textId="61F3F761" w:rsidR="00F96C13" w:rsidRPr="004C78D8" w:rsidRDefault="00F96C13" w:rsidP="00FB7C1F">
            <w:pPr>
              <w:rPr>
                <w:sz w:val="18"/>
                <w:szCs w:val="18"/>
              </w:rPr>
            </w:pPr>
            <w:r w:rsidRPr="004C78D8">
              <w:rPr>
                <w:sz w:val="18"/>
                <w:szCs w:val="18"/>
              </w:rPr>
              <w:t>Abnormal gait/balance</w:t>
            </w:r>
          </w:p>
        </w:tc>
        <w:tc>
          <w:tcPr>
            <w:tcW w:w="1843" w:type="dxa"/>
            <w:tcBorders>
              <w:top w:val="nil"/>
              <w:bottom w:val="nil"/>
            </w:tcBorders>
          </w:tcPr>
          <w:p w14:paraId="294D8248" w14:textId="28386198" w:rsidR="00F96C13" w:rsidRPr="004C78D8" w:rsidRDefault="00F96C13" w:rsidP="00FB7C1F">
            <w:pPr>
              <w:jc w:val="center"/>
              <w:rPr>
                <w:sz w:val="18"/>
                <w:szCs w:val="18"/>
              </w:rPr>
            </w:pPr>
            <w:r w:rsidRPr="004C78D8">
              <w:rPr>
                <w:sz w:val="18"/>
                <w:szCs w:val="18"/>
              </w:rPr>
              <w:t>-0.007 (0.003)</w:t>
            </w:r>
          </w:p>
        </w:tc>
        <w:tc>
          <w:tcPr>
            <w:tcW w:w="1559" w:type="dxa"/>
            <w:tcBorders>
              <w:top w:val="nil"/>
              <w:bottom w:val="nil"/>
            </w:tcBorders>
          </w:tcPr>
          <w:p w14:paraId="1D8BC725" w14:textId="07D25EE0" w:rsidR="00F96C13" w:rsidRPr="004C78D8" w:rsidRDefault="00F96C13" w:rsidP="00FB7C1F">
            <w:pPr>
              <w:jc w:val="center"/>
              <w:rPr>
                <w:sz w:val="18"/>
                <w:szCs w:val="18"/>
              </w:rPr>
            </w:pPr>
            <w:r w:rsidRPr="004C78D8">
              <w:rPr>
                <w:sz w:val="18"/>
                <w:szCs w:val="18"/>
              </w:rPr>
              <w:t>0.022</w:t>
            </w:r>
          </w:p>
        </w:tc>
      </w:tr>
      <w:tr w:rsidR="00F96C13" w:rsidRPr="004C78D8" w14:paraId="6C744F98" w14:textId="77777777" w:rsidTr="00E35893">
        <w:tc>
          <w:tcPr>
            <w:tcW w:w="2263" w:type="dxa"/>
            <w:tcBorders>
              <w:top w:val="nil"/>
            </w:tcBorders>
          </w:tcPr>
          <w:p w14:paraId="002702CB" w14:textId="1628956D" w:rsidR="00F96C13" w:rsidRPr="004C78D8" w:rsidRDefault="00F96C13" w:rsidP="00FB7C1F">
            <w:pPr>
              <w:rPr>
                <w:sz w:val="18"/>
                <w:szCs w:val="18"/>
              </w:rPr>
            </w:pPr>
            <w:r w:rsidRPr="004C78D8">
              <w:rPr>
                <w:sz w:val="18"/>
                <w:szCs w:val="18"/>
              </w:rPr>
              <w:t xml:space="preserve">Unpaid </w:t>
            </w:r>
            <w:r w:rsidR="00090C10" w:rsidRPr="004C78D8">
              <w:rPr>
                <w:sz w:val="18"/>
                <w:szCs w:val="18"/>
              </w:rPr>
              <w:t>work</w:t>
            </w:r>
          </w:p>
        </w:tc>
        <w:tc>
          <w:tcPr>
            <w:tcW w:w="1843" w:type="dxa"/>
            <w:tcBorders>
              <w:top w:val="nil"/>
            </w:tcBorders>
          </w:tcPr>
          <w:p w14:paraId="73A2C91C" w14:textId="645D0EE5" w:rsidR="00F96C13" w:rsidRPr="004C78D8" w:rsidRDefault="00F96C13" w:rsidP="00FB7C1F">
            <w:pPr>
              <w:jc w:val="center"/>
              <w:rPr>
                <w:sz w:val="18"/>
                <w:szCs w:val="18"/>
              </w:rPr>
            </w:pPr>
            <w:r w:rsidRPr="004C78D8">
              <w:rPr>
                <w:sz w:val="18"/>
                <w:szCs w:val="18"/>
              </w:rPr>
              <w:t>0.017 (0.002)</w:t>
            </w:r>
          </w:p>
        </w:tc>
        <w:tc>
          <w:tcPr>
            <w:tcW w:w="1559" w:type="dxa"/>
            <w:tcBorders>
              <w:top w:val="nil"/>
            </w:tcBorders>
          </w:tcPr>
          <w:p w14:paraId="470A2D2F" w14:textId="2C8E5B6B" w:rsidR="00F96C13" w:rsidRPr="004C78D8" w:rsidRDefault="00F96C13" w:rsidP="00FB7C1F">
            <w:pPr>
              <w:jc w:val="center"/>
              <w:rPr>
                <w:sz w:val="18"/>
                <w:szCs w:val="18"/>
              </w:rPr>
            </w:pPr>
            <w:r w:rsidRPr="004C78D8">
              <w:rPr>
                <w:sz w:val="18"/>
                <w:szCs w:val="18"/>
              </w:rPr>
              <w:t>&lt;0.001</w:t>
            </w:r>
          </w:p>
        </w:tc>
      </w:tr>
      <w:tr w:rsidR="00F96C13" w:rsidRPr="004C78D8" w14:paraId="3B4E89F3" w14:textId="77777777" w:rsidTr="00E35893">
        <w:tc>
          <w:tcPr>
            <w:tcW w:w="5665" w:type="dxa"/>
            <w:gridSpan w:val="3"/>
          </w:tcPr>
          <w:p w14:paraId="451E6D29" w14:textId="276DB6BC" w:rsidR="00F96C13" w:rsidRPr="004C78D8" w:rsidRDefault="00D10D5E" w:rsidP="00FB7C1F">
            <w:pPr>
              <w:rPr>
                <w:sz w:val="18"/>
                <w:szCs w:val="18"/>
              </w:rPr>
            </w:pPr>
            <w:r w:rsidRPr="004C78D8">
              <w:rPr>
                <w:b/>
                <w:bCs/>
                <w:sz w:val="18"/>
                <w:szCs w:val="18"/>
              </w:rPr>
              <w:t>Abbreviation</w:t>
            </w:r>
            <w:r w:rsidR="00F96C13" w:rsidRPr="004C78D8">
              <w:rPr>
                <w:b/>
                <w:bCs/>
                <w:sz w:val="18"/>
                <w:szCs w:val="18"/>
              </w:rPr>
              <w:t>:</w:t>
            </w:r>
            <w:r w:rsidR="00F96C13" w:rsidRPr="004C78D8">
              <w:rPr>
                <w:sz w:val="18"/>
                <w:szCs w:val="18"/>
              </w:rPr>
              <w:t xml:space="preserve"> CASP-19: </w:t>
            </w:r>
            <w:bookmarkStart w:id="150" w:name="_Hlk88060736"/>
            <w:r w:rsidR="00F96C13" w:rsidRPr="004C78D8">
              <w:rPr>
                <w:sz w:val="18"/>
                <w:szCs w:val="18"/>
              </w:rPr>
              <w:t>control, autonomy, self-realisation and pleasure, 19 items</w:t>
            </w:r>
            <w:bookmarkEnd w:id="150"/>
            <w:r w:rsidR="00F96C13" w:rsidRPr="004C78D8">
              <w:rPr>
                <w:sz w:val="18"/>
                <w:szCs w:val="18"/>
              </w:rPr>
              <w:t>; ELSA: English Longitudinal Study of Ageing; MA fall: fall requiring medical attention; Ref: reference; SE: standard error</w:t>
            </w:r>
            <w:r w:rsidR="006B046E" w:rsidRPr="004C78D8">
              <w:rPr>
                <w:sz w:val="18"/>
                <w:szCs w:val="18"/>
              </w:rPr>
              <w:t>; SES: socioeconomic status</w:t>
            </w:r>
          </w:p>
        </w:tc>
      </w:tr>
    </w:tbl>
    <w:p w14:paraId="23B70421" w14:textId="1A8A3054" w:rsidR="00FC77D2" w:rsidRPr="004C78D8" w:rsidRDefault="00FC77D2" w:rsidP="00FB7C1F"/>
    <w:p w14:paraId="70E2C5A9" w14:textId="15036207" w:rsidR="00CF672F" w:rsidRPr="004C78D8" w:rsidRDefault="00574A87" w:rsidP="00FB7C1F">
      <w:r w:rsidRPr="004C78D8">
        <w:t xml:space="preserve">There was a non-linear relationship between age and CASP-19 and between frailty and CASP-19. There was a </w:t>
      </w:r>
      <w:r w:rsidR="0055519F" w:rsidRPr="004C78D8">
        <w:t>SES</w:t>
      </w:r>
      <w:r w:rsidRPr="004C78D8">
        <w:t xml:space="preserve"> gradient to the score. Those engaging in unpaid work were likelier to report higher scores. </w:t>
      </w:r>
      <w:r w:rsidR="00293901" w:rsidRPr="004C78D8">
        <w:t xml:space="preserve">The dynamic progression of CASP-19 is estimated in Section </w:t>
      </w:r>
      <w:r w:rsidR="00CF672F" w:rsidRPr="004C78D8">
        <w:t>5</w:t>
      </w:r>
      <w:r w:rsidR="00293901" w:rsidRPr="004C78D8">
        <w:t>.</w:t>
      </w:r>
      <w:r w:rsidR="008F3A00" w:rsidRPr="004C78D8">
        <w:t>2</w:t>
      </w:r>
      <w:r w:rsidR="00293901" w:rsidRPr="004C78D8">
        <w:t xml:space="preserve">.6.3, which allows the accumulation of </w:t>
      </w:r>
      <w:r w:rsidR="00436EB4" w:rsidRPr="004C78D8">
        <w:t>CASP</w:t>
      </w:r>
      <w:r w:rsidR="00293901" w:rsidRPr="004C78D8">
        <w:t xml:space="preserve">-adjusted life years </w:t>
      </w:r>
      <w:r w:rsidR="00F7608C" w:rsidRPr="004C78D8">
        <w:t xml:space="preserve">(CALYs) </w:t>
      </w:r>
      <w:r w:rsidR="00293901" w:rsidRPr="004C78D8">
        <w:t xml:space="preserve">using the same method as </w:t>
      </w:r>
      <w:r w:rsidR="00F7608C" w:rsidRPr="004C78D8">
        <w:t xml:space="preserve">estimating </w:t>
      </w:r>
      <w:r w:rsidR="00293901" w:rsidRPr="004C78D8">
        <w:t>QALY</w:t>
      </w:r>
      <w:r w:rsidR="00F7608C" w:rsidRPr="004C78D8">
        <w:t>s</w:t>
      </w:r>
      <w:r w:rsidR="00293901" w:rsidRPr="004C78D8">
        <w:t xml:space="preserve"> with EQ-5D.</w:t>
      </w:r>
      <w:r w:rsidR="00CF672F" w:rsidRPr="004C78D8">
        <w:t xml:space="preserve"> Note that CALY is a metric constructed </w:t>
      </w:r>
      <w:r w:rsidR="00CF672F" w:rsidRPr="00972766">
        <w:rPr>
          <w:i/>
          <w:iCs/>
        </w:rPr>
        <w:t>ad hoc</w:t>
      </w:r>
      <w:r w:rsidR="00CF672F" w:rsidRPr="004C78D8">
        <w:t xml:space="preserve"> and does not incorporate preference-based health utility </w:t>
      </w:r>
      <w:r w:rsidR="00A46151">
        <w:t xml:space="preserve">in the way that </w:t>
      </w:r>
      <w:r w:rsidR="00CF672F" w:rsidRPr="004C78D8">
        <w:t>QALY</w:t>
      </w:r>
      <w:r w:rsidR="00A46151">
        <w:t>s are estimated</w:t>
      </w:r>
      <w:r w:rsidR="00CF672F" w:rsidRPr="004C78D8">
        <w:t>. Results concerning CALY should therefore be interpreted with caution.</w:t>
      </w:r>
    </w:p>
    <w:p w14:paraId="426CCEE6" w14:textId="3DD45958" w:rsidR="00574A87" w:rsidRPr="004C78D8" w:rsidRDefault="00327FFB" w:rsidP="00FB7C1F">
      <w:r w:rsidRPr="004C78D8">
        <w:t xml:space="preserve">Unlike EQ-5D, no acute effects of falls on CASP-19 </w:t>
      </w:r>
      <w:r w:rsidR="001F1FF3" w:rsidRPr="004C78D8">
        <w:t>we</w:t>
      </w:r>
      <w:r w:rsidRPr="004C78D8">
        <w:t xml:space="preserve">re incorporated, and the potential impact of falls prevention intervention (e.g., exercise enhancing self-realisation) on CASP-19 </w:t>
      </w:r>
      <w:r w:rsidR="001F1FF3" w:rsidRPr="004C78D8">
        <w:t>we</w:t>
      </w:r>
      <w:r w:rsidRPr="004C78D8">
        <w:t xml:space="preserve">re similarly excluded. The </w:t>
      </w:r>
      <w:r w:rsidR="00110396" w:rsidRPr="004C78D8">
        <w:t>modelled</w:t>
      </w:r>
      <w:r w:rsidRPr="004C78D8">
        <w:t xml:space="preserve"> intervention impact on CASP-19 and CALY is hence conservative. </w:t>
      </w:r>
    </w:p>
    <w:p w14:paraId="3E5771F6" w14:textId="167464A8" w:rsidR="00FF32A7" w:rsidRPr="004C78D8" w:rsidRDefault="00E2580C" w:rsidP="00FB7C1F">
      <w:pPr>
        <w:pStyle w:val="Heading4"/>
      </w:pPr>
      <w:r w:rsidRPr="004C78D8">
        <w:t>5</w:t>
      </w:r>
      <w:r w:rsidR="00FF32A7" w:rsidRPr="004C78D8">
        <w:t>.</w:t>
      </w:r>
      <w:r w:rsidR="00127AB4" w:rsidRPr="004C78D8">
        <w:t>2</w:t>
      </w:r>
      <w:r w:rsidR="00FF32A7" w:rsidRPr="004C78D8">
        <w:t>.3.</w:t>
      </w:r>
      <w:r w:rsidR="00A01943" w:rsidRPr="004C78D8">
        <w:t>4</w:t>
      </w:r>
      <w:r w:rsidR="00FF32A7" w:rsidRPr="004C78D8">
        <w:t xml:space="preserve"> </w:t>
      </w:r>
      <w:r w:rsidR="007B30FC" w:rsidRPr="004C78D8">
        <w:t>Comorbidity</w:t>
      </w:r>
      <w:r w:rsidR="00934956" w:rsidRPr="004C78D8">
        <w:t xml:space="preserve"> </w:t>
      </w:r>
      <w:r w:rsidR="00FF32A7" w:rsidRPr="004C78D8">
        <w:t>care costs</w:t>
      </w:r>
    </w:p>
    <w:p w14:paraId="343DE6C7" w14:textId="0A4632CA" w:rsidR="00671C6D" w:rsidRPr="004C78D8" w:rsidRDefault="0062522E" w:rsidP="00FB7C1F">
      <w:r w:rsidRPr="004C78D8">
        <w:t xml:space="preserve">The expert guideline on falls prevention economic evaluation recommends incorporation of all-cause care consequences in </w:t>
      </w:r>
      <w:r w:rsidR="009721E7" w:rsidRPr="004C78D8">
        <w:t>base case</w:t>
      </w:r>
      <w:r w:rsidRPr="004C78D8">
        <w:t xml:space="preserve"> analysis, followed by fall-related care consequences </w:t>
      </w:r>
      <w:r w:rsidR="00574E3D" w:rsidRPr="004C78D8">
        <w:t xml:space="preserve">alone </w:t>
      </w:r>
      <w:r w:rsidRPr="004C78D8">
        <w:t xml:space="preserve">in </w:t>
      </w:r>
      <w:r w:rsidR="009721E7" w:rsidRPr="004C78D8">
        <w:t>sensitivity</w:t>
      </w:r>
      <w:r w:rsidRPr="004C78D8">
        <w:t xml:space="preserve"> analysis</w:t>
      </w:r>
      <w:r w:rsidR="009721E7" w:rsidRPr="004C78D8">
        <w:t xml:space="preserve"> </w:t>
      </w:r>
      <w:r w:rsidR="009721E7" w:rsidRPr="004C78D8">
        <w:fldChar w:fldCharType="begin"/>
      </w:r>
      <w:r w:rsidR="00513646" w:rsidRPr="004C78D8">
        <w:instrText xml:space="preserve"> ADDIN EN.CITE &lt;EndNote&gt;&lt;Cite&gt;&lt;Author&gt;Davis&lt;/Author&gt;&lt;Year&gt;2011&lt;/Year&gt;&lt;RecNum&gt;286&lt;/RecNum&gt;&lt;DisplayText&gt;[105]&lt;/DisplayText&gt;&lt;record&gt;&lt;rec-number&gt;286&lt;/rec-number&gt;&lt;foreign-keys&gt;&lt;key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009721E7" w:rsidRPr="004C78D8">
        <w:fldChar w:fldCharType="separate"/>
      </w:r>
      <w:r w:rsidR="00513646" w:rsidRPr="004C78D8">
        <w:rPr>
          <w:noProof/>
        </w:rPr>
        <w:t>[105]</w:t>
      </w:r>
      <w:r w:rsidR="009721E7" w:rsidRPr="004C78D8">
        <w:fldChar w:fldCharType="end"/>
      </w:r>
      <w:r w:rsidRPr="004C78D8">
        <w:t xml:space="preserve">. Using data from literature and ELSA, </w:t>
      </w:r>
      <w:r w:rsidR="001E1221" w:rsidRPr="004C78D8">
        <w:t>all-cause</w:t>
      </w:r>
      <w:r w:rsidRPr="004C78D8">
        <w:t xml:space="preserve"> </w:t>
      </w:r>
      <w:r w:rsidR="001E1221" w:rsidRPr="004C78D8">
        <w:t xml:space="preserve">care </w:t>
      </w:r>
      <w:r w:rsidRPr="004C78D8">
        <w:t xml:space="preserve">costs </w:t>
      </w:r>
      <w:r w:rsidR="00EB7992" w:rsidRPr="004C78D8">
        <w:t>we</w:t>
      </w:r>
      <w:r w:rsidRPr="004C78D8">
        <w:t xml:space="preserve">re estimated by sector: (i) </w:t>
      </w:r>
      <w:r w:rsidR="003004EC" w:rsidRPr="004C78D8">
        <w:t xml:space="preserve">primary and secondary </w:t>
      </w:r>
      <w:r w:rsidRPr="004C78D8">
        <w:t xml:space="preserve">healthcare; </w:t>
      </w:r>
      <w:r w:rsidR="003004EC" w:rsidRPr="004C78D8">
        <w:t xml:space="preserve">(ii) community healthcare; </w:t>
      </w:r>
      <w:r w:rsidRPr="004C78D8">
        <w:t>(ii</w:t>
      </w:r>
      <w:r w:rsidR="003004EC" w:rsidRPr="004C78D8">
        <w:t>i</w:t>
      </w:r>
      <w:r w:rsidRPr="004C78D8">
        <w:t xml:space="preserve">) </w:t>
      </w:r>
      <w:r w:rsidR="00CB1FBA" w:rsidRPr="004C78D8">
        <w:t xml:space="preserve">short-term </w:t>
      </w:r>
      <w:r w:rsidRPr="004C78D8">
        <w:t>social care; (i</w:t>
      </w:r>
      <w:r w:rsidR="003004EC" w:rsidRPr="004C78D8">
        <w:t>v</w:t>
      </w:r>
      <w:r w:rsidRPr="004C78D8">
        <w:t xml:space="preserve">) </w:t>
      </w:r>
      <w:r w:rsidR="00222DE6" w:rsidRPr="004C78D8">
        <w:t>OOP</w:t>
      </w:r>
      <w:r w:rsidRPr="004C78D8">
        <w:t xml:space="preserve"> care </w:t>
      </w:r>
      <w:r w:rsidR="00222DE6" w:rsidRPr="004C78D8">
        <w:t>cost</w:t>
      </w:r>
      <w:r w:rsidRPr="004C78D8">
        <w:t>; and (v) informal care</w:t>
      </w:r>
      <w:r w:rsidR="005E2310" w:rsidRPr="004C78D8">
        <w:t>giv</w:t>
      </w:r>
      <w:r w:rsidR="00222DE6" w:rsidRPr="004C78D8">
        <w:t>ing cost</w:t>
      </w:r>
      <w:r w:rsidRPr="004C78D8">
        <w:t xml:space="preserve">. </w:t>
      </w:r>
      <w:r w:rsidR="00671C6D" w:rsidRPr="004C78D8">
        <w:t xml:space="preserve">The social care costs in (iii) exclude those associated with </w:t>
      </w:r>
      <w:r w:rsidR="00222DE6" w:rsidRPr="004C78D8">
        <w:t>LTC</w:t>
      </w:r>
      <w:r w:rsidR="00671C6D" w:rsidRPr="004C78D8">
        <w:t xml:space="preserve"> which are parameteri</w:t>
      </w:r>
      <w:r w:rsidR="009721E7" w:rsidRPr="004C78D8">
        <w:t>s</w:t>
      </w:r>
      <w:r w:rsidR="00671C6D" w:rsidRPr="004C78D8">
        <w:t xml:space="preserve">ed separately in Section </w:t>
      </w:r>
      <w:r w:rsidR="00E2580C" w:rsidRPr="004C78D8">
        <w:t>5</w:t>
      </w:r>
      <w:r w:rsidR="009721E7" w:rsidRPr="004C78D8">
        <w:t>.</w:t>
      </w:r>
      <w:r w:rsidR="008F3A00" w:rsidRPr="004C78D8">
        <w:t>2</w:t>
      </w:r>
      <w:r w:rsidR="009721E7" w:rsidRPr="004C78D8">
        <w:t>.</w:t>
      </w:r>
      <w:r w:rsidR="003B2AD7" w:rsidRPr="004C78D8">
        <w:t>6.2</w:t>
      </w:r>
      <w:r w:rsidR="00671C6D" w:rsidRPr="004C78D8">
        <w:t xml:space="preserve">. </w:t>
      </w:r>
    </w:p>
    <w:p w14:paraId="003995DE" w14:textId="0A623D76" w:rsidR="006B419D" w:rsidRPr="004C78D8" w:rsidRDefault="00671C6D" w:rsidP="00FB7C1F">
      <w:r w:rsidRPr="004C78D8">
        <w:t xml:space="preserve">Importantly, to avoid double-counting </w:t>
      </w:r>
      <w:r w:rsidR="004164A4" w:rsidRPr="004C78D8">
        <w:t>the</w:t>
      </w:r>
      <w:r w:rsidRPr="004C78D8">
        <w:t xml:space="preserve"> care costs, those </w:t>
      </w:r>
      <w:r w:rsidR="00207EAA" w:rsidRPr="004C78D8">
        <w:t xml:space="preserve">directly related to falls </w:t>
      </w:r>
      <w:r w:rsidRPr="004C78D8">
        <w:t>– parameteri</w:t>
      </w:r>
      <w:r w:rsidR="00356AFA" w:rsidRPr="004C78D8">
        <w:t>s</w:t>
      </w:r>
      <w:r w:rsidRPr="004C78D8">
        <w:t>ed</w:t>
      </w:r>
      <w:r w:rsidR="001E1221" w:rsidRPr="004C78D8">
        <w:t xml:space="preserve"> in Section </w:t>
      </w:r>
      <w:r w:rsidR="00E2580C" w:rsidRPr="004C78D8">
        <w:t>5</w:t>
      </w:r>
      <w:r w:rsidR="00356AFA" w:rsidRPr="004C78D8">
        <w:t>.</w:t>
      </w:r>
      <w:r w:rsidR="008F3A00" w:rsidRPr="004C78D8">
        <w:t>2</w:t>
      </w:r>
      <w:r w:rsidR="00356AFA" w:rsidRPr="004C78D8">
        <w:t>.</w:t>
      </w:r>
      <w:r w:rsidR="003B2AD7" w:rsidRPr="004C78D8">
        <w:t>5.4</w:t>
      </w:r>
      <w:r w:rsidRPr="004C78D8">
        <w:t xml:space="preserve"> – </w:t>
      </w:r>
      <w:r w:rsidR="004164A4" w:rsidRPr="004C78D8">
        <w:t>were</w:t>
      </w:r>
      <w:r w:rsidRPr="004C78D8">
        <w:t xml:space="preserve"> subtracted from all-cause care costs to obtain comorbidity care costs. </w:t>
      </w:r>
      <w:r w:rsidR="00805A47" w:rsidRPr="004C78D8">
        <w:t xml:space="preserve">However, as discussed in Section </w:t>
      </w:r>
      <w:r w:rsidR="00E2580C" w:rsidRPr="004C78D8">
        <w:t>5</w:t>
      </w:r>
      <w:r w:rsidR="006471EA" w:rsidRPr="004C78D8">
        <w:t>.</w:t>
      </w:r>
      <w:r w:rsidR="008F3A00" w:rsidRPr="004C78D8">
        <w:t>2</w:t>
      </w:r>
      <w:r w:rsidR="006471EA" w:rsidRPr="004C78D8">
        <w:t>.</w:t>
      </w:r>
      <w:r w:rsidR="003B2AD7" w:rsidRPr="004C78D8">
        <w:t>5.4</w:t>
      </w:r>
      <w:r w:rsidR="00805A47" w:rsidRPr="004C78D8">
        <w:t xml:space="preserve">, reliable data on direct fall-related care costs could be obtained only for primary and secondary healthcare costs. </w:t>
      </w:r>
      <w:r w:rsidR="009762E0" w:rsidRPr="004C78D8">
        <w:t xml:space="preserve">Therefore, the distinction between all-cause and comorbidity care costs was made </w:t>
      </w:r>
      <w:r w:rsidR="00E94A9D" w:rsidRPr="004C78D8">
        <w:t xml:space="preserve">only </w:t>
      </w:r>
      <w:r w:rsidR="009762E0" w:rsidRPr="004C78D8">
        <w:t>for primary and secondary healthcare costs.</w:t>
      </w:r>
    </w:p>
    <w:p w14:paraId="0D69B660" w14:textId="4A91EA6B" w:rsidR="00FF32A7" w:rsidRPr="004C78D8" w:rsidRDefault="00EA43B5" w:rsidP="00FB7C1F">
      <w:pPr>
        <w:pStyle w:val="Heading5"/>
      </w:pPr>
      <w:r w:rsidRPr="004C78D8">
        <w:t>Primary and secondary h</w:t>
      </w:r>
      <w:r w:rsidR="00FF32A7" w:rsidRPr="004C78D8">
        <w:t>ealthcare costs</w:t>
      </w:r>
    </w:p>
    <w:p w14:paraId="522092EE" w14:textId="75DC9D79" w:rsidR="00243330" w:rsidRPr="004C78D8" w:rsidRDefault="0082365E" w:rsidP="00FB7C1F">
      <w:r w:rsidRPr="004C78D8">
        <w:t>ELSA contain</w:t>
      </w:r>
      <w:r w:rsidR="00211799" w:rsidRPr="004C78D8">
        <w:t>s</w:t>
      </w:r>
      <w:r w:rsidRPr="004C78D8">
        <w:t xml:space="preserve"> no information on individuals’ healthcare utili</w:t>
      </w:r>
      <w:r w:rsidR="005825CB" w:rsidRPr="004C78D8">
        <w:t>s</w:t>
      </w:r>
      <w:r w:rsidRPr="004C78D8">
        <w:t>ation and cost. Hence, all-cause healthcare costs were obtained from literature</w:t>
      </w:r>
      <w:r w:rsidR="005825CB" w:rsidRPr="004C78D8">
        <w:t>:</w:t>
      </w:r>
      <w:r w:rsidRPr="004C78D8">
        <w:t xml:space="preserve"> Han and colleagues used primary care records of 95,863 individuals aged 65-95 in 125 UK general practices to estimate the annual </w:t>
      </w:r>
      <w:r w:rsidR="00A230CC" w:rsidRPr="004C78D8">
        <w:t>primary and secondary healthcare</w:t>
      </w:r>
      <w:r w:rsidRPr="004C78D8">
        <w:t xml:space="preserve"> </w:t>
      </w:r>
      <w:r w:rsidR="00AC3978" w:rsidRPr="004C78D8">
        <w:t xml:space="preserve">cost </w:t>
      </w:r>
      <w:r w:rsidR="005825CB" w:rsidRPr="004C78D8">
        <w:t>(</w:t>
      </w:r>
      <w:r w:rsidRPr="004C78D8">
        <w:t>comprising GP consultations and emergency and elective hospital admissions</w:t>
      </w:r>
      <w:r w:rsidR="005825CB" w:rsidRPr="004C78D8">
        <w:t>)</w:t>
      </w:r>
      <w:r w:rsidRPr="004C78D8">
        <w:t xml:space="preserve"> by eFI category (Fit, Mild, Moderate and Severe) </w:t>
      </w:r>
      <w:r w:rsidR="00A230CC" w:rsidRPr="004C78D8">
        <w:fldChar w:fldCharType="begin"/>
      </w:r>
      <w:r w:rsidR="00C630FC" w:rsidRPr="004C78D8">
        <w:instrText xml:space="preserve"> ADDIN EN.CITE &lt;EndNote&gt;&lt;Cite&gt;&lt;Author&gt;Han&lt;/Author&gt;&lt;Year&gt;2019&lt;/Year&gt;&lt;RecNum&gt;134&lt;/RecNum&gt;&lt;DisplayText&gt;[279]&lt;/DisplayText&gt;&lt;record&gt;&lt;rec-number&gt;134&lt;/rec-number&gt;&lt;foreign-keys&gt;&lt;key app="EN" db-id="tdtrdw9aepptzbefsat599syza29sxsd2wsp" timestamp="1599642373"&gt;134&lt;/key&gt;&lt;/foreign-keys&gt;&lt;ref-type name="Journal Article"&gt;17&lt;/ref-type&gt;&lt;contributors&gt;&lt;authors&gt;&lt;author&gt;Han, Lu&lt;/author&gt;&lt;author&gt;Clegg, Andrew&lt;/author&gt;&lt;author&gt;Doran, Tim&lt;/author&gt;&lt;author&gt;Fraser, Lorna&lt;/author&gt;&lt;/authors&gt;&lt;/contributors&gt;&lt;titles&gt;&lt;title&gt;The impact of frailty on healthcare resource use: a longitudinal analysis using the Clinical Practice Research Datalink in England&lt;/title&gt;&lt;secondary-title&gt;Age and Ageing&lt;/secondary-title&gt;&lt;/titles&gt;&lt;periodical&gt;&lt;full-title&gt;Age and ageing&lt;/full-title&gt;&lt;/periodical&gt;&lt;pages&gt;665-671&lt;/pages&gt;&lt;volume&gt;48&lt;/volume&gt;&lt;number&gt;5&lt;/number&gt;&lt;dates&gt;&lt;year&gt;2019&lt;/year&gt;&lt;/dates&gt;&lt;isbn&gt;0002-0729&lt;/isbn&gt;&lt;urls&gt;&lt;/urls&gt;&lt;/record&gt;&lt;/Cite&gt;&lt;/EndNote&gt;</w:instrText>
      </w:r>
      <w:r w:rsidR="00A230CC" w:rsidRPr="004C78D8">
        <w:fldChar w:fldCharType="separate"/>
      </w:r>
      <w:r w:rsidR="00C630FC" w:rsidRPr="004C78D8">
        <w:rPr>
          <w:noProof/>
        </w:rPr>
        <w:t>[279]</w:t>
      </w:r>
      <w:r w:rsidR="00A230CC" w:rsidRPr="004C78D8">
        <w:fldChar w:fldCharType="end"/>
      </w:r>
      <w:r w:rsidRPr="004C78D8">
        <w:t>. The cost</w:t>
      </w:r>
      <w:r w:rsidR="006E0767" w:rsidRPr="004C78D8">
        <w:t xml:space="preserve">s were estimated using unit costs at 2013/14 prices and </w:t>
      </w:r>
      <w:r w:rsidRPr="004C78D8">
        <w:t>adjusted for age, gender, ethnicity, social deprivation, non-frailty long-term conditions</w:t>
      </w:r>
      <w:r w:rsidR="00AC3978" w:rsidRPr="004C78D8">
        <w:t>,</w:t>
      </w:r>
      <w:r w:rsidRPr="004C78D8">
        <w:t xml:space="preserve"> and registration drop-out</w:t>
      </w:r>
      <w:r w:rsidR="006E0767" w:rsidRPr="004C78D8">
        <w:t xml:space="preserve">. </w:t>
      </w:r>
      <w:r w:rsidR="00243330" w:rsidRPr="004C78D8">
        <w:t>Because th</w:t>
      </w:r>
      <w:r w:rsidR="00AC3978" w:rsidRPr="004C78D8">
        <w:t>e current</w:t>
      </w:r>
      <w:r w:rsidR="005825CB" w:rsidRPr="004C78D8">
        <w:t xml:space="preserve"> model’s</w:t>
      </w:r>
      <w:r w:rsidR="00243330" w:rsidRPr="004C78D8">
        <w:t xml:space="preserve"> frailty index used the same cut-off percentiles as the eFI and </w:t>
      </w:r>
      <w:r w:rsidR="00E00B23" w:rsidRPr="004C78D8">
        <w:t>had similar</w:t>
      </w:r>
      <w:r w:rsidR="00243330" w:rsidRPr="004C78D8">
        <w:t xml:space="preserve"> cut-off values (Table </w:t>
      </w:r>
      <w:r w:rsidR="00E2580C" w:rsidRPr="004C78D8">
        <w:t>5</w:t>
      </w:r>
      <w:r w:rsidR="00A230CC" w:rsidRPr="004C78D8">
        <w:t>.</w:t>
      </w:r>
      <w:r w:rsidR="00A1272F" w:rsidRPr="004C78D8">
        <w:t>7</w:t>
      </w:r>
      <w:r w:rsidR="00243330" w:rsidRPr="004C78D8">
        <w:t xml:space="preserve">), it was assumed that the healthcare costs estimated by Han and colleagues can be applied to modelled individuals by their frailty category. </w:t>
      </w:r>
    </w:p>
    <w:p w14:paraId="63D891CA" w14:textId="20160683" w:rsidR="00FF32A7" w:rsidRPr="004C78D8" w:rsidRDefault="006E0767" w:rsidP="00FB7C1F">
      <w:r w:rsidRPr="004C78D8">
        <w:t>The second column of</w:t>
      </w:r>
      <w:r w:rsidR="0082365E" w:rsidRPr="004C78D8">
        <w:t xml:space="preserve"> Table </w:t>
      </w:r>
      <w:r w:rsidR="00E2580C" w:rsidRPr="004C78D8">
        <w:t>5</w:t>
      </w:r>
      <w:r w:rsidR="00A230CC" w:rsidRPr="004C78D8">
        <w:t>.1</w:t>
      </w:r>
      <w:r w:rsidR="00A1272F" w:rsidRPr="004C78D8">
        <w:t>8</w:t>
      </w:r>
      <w:r w:rsidRPr="004C78D8">
        <w:t xml:space="preserve"> shows the annual </w:t>
      </w:r>
      <w:r w:rsidR="005C6091" w:rsidRPr="004C78D8">
        <w:t xml:space="preserve">all-cause </w:t>
      </w:r>
      <w:r w:rsidRPr="004C78D8">
        <w:t xml:space="preserve">healthcare cost by frailty category at 2013/14 prices as reported by Han and colleagues. </w:t>
      </w:r>
      <w:r w:rsidR="00796AC5" w:rsidRPr="004C78D8">
        <w:t xml:space="preserve">The average </w:t>
      </w:r>
      <w:r w:rsidR="00BC7DB4" w:rsidRPr="004C78D8">
        <w:t>NHS cost</w:t>
      </w:r>
      <w:r w:rsidR="00796AC5" w:rsidRPr="004C78D8">
        <w:t xml:space="preserve"> </w:t>
      </w:r>
      <w:r w:rsidR="00306CE2" w:rsidRPr="004C78D8">
        <w:t>inflation rate</w:t>
      </w:r>
      <w:r w:rsidR="00796AC5" w:rsidRPr="004C78D8">
        <w:t xml:space="preserve"> </w:t>
      </w:r>
      <w:r w:rsidR="00AF6A36" w:rsidRPr="004C78D8">
        <w:t>for</w:t>
      </w:r>
      <w:r w:rsidR="00796AC5" w:rsidRPr="004C78D8">
        <w:t xml:space="preserve"> the period 201</w:t>
      </w:r>
      <w:r w:rsidR="00306CE2" w:rsidRPr="004C78D8">
        <w:t>3</w:t>
      </w:r>
      <w:r w:rsidR="00796AC5" w:rsidRPr="004C78D8">
        <w:t>-2019 (</w:t>
      </w:r>
      <w:r w:rsidR="00306CE2" w:rsidRPr="004C78D8">
        <w:t>1</w:t>
      </w:r>
      <w:r w:rsidR="00796AC5" w:rsidRPr="004C78D8">
        <w:t>.</w:t>
      </w:r>
      <w:r w:rsidR="00306CE2" w:rsidRPr="004C78D8">
        <w:t>98</w:t>
      </w:r>
      <w:r w:rsidR="00796AC5" w:rsidRPr="004C78D8">
        <w:t xml:space="preserve">%) </w:t>
      </w:r>
      <w:r w:rsidR="00306CE2" w:rsidRPr="004C78D8">
        <w:t xml:space="preserve">obtained from the 2019 PSSRU unit costs data </w:t>
      </w:r>
      <w:r w:rsidR="00663045" w:rsidRPr="004C78D8">
        <w:fldChar w:fldCharType="begin"/>
      </w:r>
      <w:r w:rsidR="00C630FC" w:rsidRPr="004C78D8">
        <w:instrText xml:space="preserve"> ADDIN EN.CITE &lt;EndNote&gt;&lt;Cite&gt;&lt;Author&gt;Curtis&lt;/Author&gt;&lt;Year&gt;2019&lt;/Year&gt;&lt;RecNum&gt;135&lt;/RecNum&gt;&lt;DisplayText&gt;[401]&lt;/DisplayText&gt;&lt;record&gt;&lt;rec-number&gt;135&lt;/rec-number&gt;&lt;foreign-keys&gt;&lt;key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00663045" w:rsidRPr="004C78D8">
        <w:fldChar w:fldCharType="separate"/>
      </w:r>
      <w:r w:rsidR="00C630FC" w:rsidRPr="004C78D8">
        <w:rPr>
          <w:noProof/>
        </w:rPr>
        <w:t>[401]</w:t>
      </w:r>
      <w:r w:rsidR="00663045" w:rsidRPr="004C78D8">
        <w:fldChar w:fldCharType="end"/>
      </w:r>
      <w:r w:rsidR="00306CE2" w:rsidRPr="004C78D8">
        <w:t xml:space="preserve"> </w:t>
      </w:r>
      <w:r w:rsidR="00796AC5" w:rsidRPr="004C78D8">
        <w:t>was then applied to the 2013/14 costs to obtain the 2021</w:t>
      </w:r>
      <w:r w:rsidR="00243330" w:rsidRPr="004C78D8">
        <w:t>/22</w:t>
      </w:r>
      <w:r w:rsidR="00796AC5" w:rsidRPr="004C78D8">
        <w:t xml:space="preserve"> costs.</w:t>
      </w:r>
      <w:r w:rsidR="0082365E" w:rsidRPr="004C78D8">
        <w:t xml:space="preserve"> </w:t>
      </w:r>
      <w:r w:rsidR="005C6091" w:rsidRPr="004C78D8">
        <w:t xml:space="preserve">As noted, the all-cause care costs incorporate </w:t>
      </w:r>
      <w:r w:rsidR="00663045" w:rsidRPr="004C78D8">
        <w:t>fall-related costs</w:t>
      </w:r>
      <w:r w:rsidR="005C6091" w:rsidRPr="004C78D8">
        <w:t xml:space="preserve"> which </w:t>
      </w:r>
      <w:r w:rsidR="00AC3978" w:rsidRPr="004C78D8">
        <w:t>are</w:t>
      </w:r>
      <w:r w:rsidR="005C6091" w:rsidRPr="004C78D8">
        <w:t xml:space="preserve"> later estimated in Section </w:t>
      </w:r>
      <w:r w:rsidR="00E2580C" w:rsidRPr="004C78D8">
        <w:t>5</w:t>
      </w:r>
      <w:r w:rsidR="00663045" w:rsidRPr="004C78D8">
        <w:t>.</w:t>
      </w:r>
      <w:r w:rsidR="00A1272F" w:rsidRPr="004C78D8">
        <w:t>2</w:t>
      </w:r>
      <w:r w:rsidR="00663045" w:rsidRPr="004C78D8">
        <w:t>.</w:t>
      </w:r>
      <w:r w:rsidR="003B30C0" w:rsidRPr="004C78D8">
        <w:t>5.4</w:t>
      </w:r>
      <w:r w:rsidR="005C6091" w:rsidRPr="004C78D8">
        <w:t xml:space="preserve">. The healthcare costs of </w:t>
      </w:r>
      <w:r w:rsidR="00AC3978" w:rsidRPr="004C78D8">
        <w:t xml:space="preserve">MA </w:t>
      </w:r>
      <w:r w:rsidR="005C6091" w:rsidRPr="004C78D8">
        <w:t xml:space="preserve">falls </w:t>
      </w:r>
      <w:r w:rsidR="00663045" w:rsidRPr="004C78D8">
        <w:t xml:space="preserve">were </w:t>
      </w:r>
      <w:r w:rsidR="005C6091" w:rsidRPr="004C78D8">
        <w:t xml:space="preserve">weighted by the prevalence of such falls by frailty category in ELSA to obtain the weighted average </w:t>
      </w:r>
      <w:r w:rsidR="00663045" w:rsidRPr="004C78D8">
        <w:t>cost per frailty category</w:t>
      </w:r>
      <w:r w:rsidR="005C6091" w:rsidRPr="004C78D8">
        <w:t xml:space="preserve">. These were subtracted from the all-cause </w:t>
      </w:r>
      <w:r w:rsidR="001D0C01" w:rsidRPr="004C78D8">
        <w:t xml:space="preserve">care costs to obtain the comorbidity care costs. </w:t>
      </w:r>
    </w:p>
    <w:tbl>
      <w:tblPr>
        <w:tblStyle w:val="TableGrid"/>
        <w:tblW w:w="0" w:type="auto"/>
        <w:tblInd w:w="-5" w:type="dxa"/>
        <w:tblLook w:val="04A0" w:firstRow="1" w:lastRow="0" w:firstColumn="1" w:lastColumn="0" w:noHBand="0" w:noVBand="1"/>
      </w:tblPr>
      <w:tblGrid>
        <w:gridCol w:w="1129"/>
        <w:gridCol w:w="1418"/>
        <w:gridCol w:w="1417"/>
        <w:gridCol w:w="2835"/>
      </w:tblGrid>
      <w:tr w:rsidR="00805A47" w:rsidRPr="004C78D8" w14:paraId="7B83C587" w14:textId="2C5D517A" w:rsidTr="00E35893">
        <w:tc>
          <w:tcPr>
            <w:tcW w:w="6799" w:type="dxa"/>
            <w:gridSpan w:val="4"/>
          </w:tcPr>
          <w:p w14:paraId="130B9216" w14:textId="08048564" w:rsidR="00805A47" w:rsidRPr="004C78D8" w:rsidRDefault="00805A47" w:rsidP="00FB7C1F">
            <w:pPr>
              <w:jc w:val="left"/>
              <w:rPr>
                <w:b/>
                <w:bCs/>
              </w:rPr>
            </w:pPr>
            <w:r w:rsidRPr="004C78D8">
              <w:rPr>
                <w:b/>
                <w:bCs/>
              </w:rPr>
              <w:t xml:space="preserve">Table </w:t>
            </w:r>
            <w:r w:rsidR="00E2580C" w:rsidRPr="004C78D8">
              <w:rPr>
                <w:b/>
                <w:bCs/>
              </w:rPr>
              <w:t>5</w:t>
            </w:r>
            <w:r w:rsidR="00663045" w:rsidRPr="004C78D8">
              <w:rPr>
                <w:b/>
                <w:bCs/>
              </w:rPr>
              <w:t>.1</w:t>
            </w:r>
            <w:r w:rsidR="00A1272F" w:rsidRPr="004C78D8">
              <w:rPr>
                <w:b/>
                <w:bCs/>
              </w:rPr>
              <w:t>8</w:t>
            </w:r>
            <w:r w:rsidRPr="004C78D8">
              <w:t xml:space="preserve"> Annual all-cause and comorbidity primary and secondary healthcare costs by frailty category</w:t>
            </w:r>
            <w:r w:rsidR="005C6C2E" w:rsidRPr="004C78D8">
              <w:t>.</w:t>
            </w:r>
          </w:p>
        </w:tc>
      </w:tr>
      <w:tr w:rsidR="00805A47" w:rsidRPr="004C78D8" w14:paraId="7D88E9BE" w14:textId="3DF00486" w:rsidTr="00E35893">
        <w:tc>
          <w:tcPr>
            <w:tcW w:w="1129" w:type="dxa"/>
            <w:vMerge w:val="restart"/>
            <w:vAlign w:val="bottom"/>
          </w:tcPr>
          <w:p w14:paraId="210F0CAF" w14:textId="1087DA1A" w:rsidR="00805A47" w:rsidRPr="004C78D8" w:rsidRDefault="00805A47" w:rsidP="00FB7C1F">
            <w:pPr>
              <w:jc w:val="left"/>
              <w:rPr>
                <w:b/>
                <w:bCs/>
                <w:sz w:val="20"/>
                <w:szCs w:val="20"/>
              </w:rPr>
            </w:pPr>
            <w:r w:rsidRPr="004C78D8">
              <w:rPr>
                <w:b/>
                <w:bCs/>
                <w:sz w:val="20"/>
                <w:szCs w:val="20"/>
              </w:rPr>
              <w:t>Frailty category</w:t>
            </w:r>
          </w:p>
        </w:tc>
        <w:tc>
          <w:tcPr>
            <w:tcW w:w="2835" w:type="dxa"/>
            <w:gridSpan w:val="2"/>
            <w:tcBorders>
              <w:bottom w:val="single" w:sz="4" w:space="0" w:color="auto"/>
            </w:tcBorders>
          </w:tcPr>
          <w:p w14:paraId="46DBE910" w14:textId="0EB596A5" w:rsidR="00805A47" w:rsidRPr="004C78D8" w:rsidRDefault="00805A47" w:rsidP="00FB7C1F">
            <w:pPr>
              <w:jc w:val="center"/>
              <w:rPr>
                <w:b/>
                <w:bCs/>
                <w:sz w:val="20"/>
                <w:szCs w:val="20"/>
              </w:rPr>
            </w:pPr>
            <w:r w:rsidRPr="004C78D8">
              <w:rPr>
                <w:b/>
                <w:bCs/>
                <w:sz w:val="20"/>
                <w:szCs w:val="20"/>
              </w:rPr>
              <w:t>Annual all-cause primary and secondary healthcare cost</w:t>
            </w:r>
          </w:p>
        </w:tc>
        <w:tc>
          <w:tcPr>
            <w:tcW w:w="2835" w:type="dxa"/>
            <w:tcBorders>
              <w:bottom w:val="single" w:sz="4" w:space="0" w:color="auto"/>
            </w:tcBorders>
          </w:tcPr>
          <w:p w14:paraId="3BEA5ACD" w14:textId="3098A143" w:rsidR="00805A47" w:rsidRPr="004C78D8" w:rsidRDefault="00805A47" w:rsidP="00FB7C1F">
            <w:pPr>
              <w:jc w:val="center"/>
              <w:rPr>
                <w:b/>
                <w:bCs/>
                <w:sz w:val="20"/>
                <w:szCs w:val="20"/>
              </w:rPr>
            </w:pPr>
            <w:r w:rsidRPr="004C78D8">
              <w:rPr>
                <w:b/>
                <w:bCs/>
                <w:sz w:val="20"/>
                <w:szCs w:val="20"/>
              </w:rPr>
              <w:t>Annual comorbidity primary and secondary healthcare cost</w:t>
            </w:r>
          </w:p>
        </w:tc>
      </w:tr>
      <w:tr w:rsidR="00805A47" w:rsidRPr="004C78D8" w14:paraId="7CDBC4D4" w14:textId="28AA4750" w:rsidTr="00E35893">
        <w:tc>
          <w:tcPr>
            <w:tcW w:w="1129" w:type="dxa"/>
            <w:vMerge/>
            <w:tcBorders>
              <w:bottom w:val="single" w:sz="4" w:space="0" w:color="auto"/>
            </w:tcBorders>
          </w:tcPr>
          <w:p w14:paraId="27782296" w14:textId="6BF426F8" w:rsidR="00805A47" w:rsidRPr="004C78D8" w:rsidRDefault="00805A47" w:rsidP="00FB7C1F">
            <w:pPr>
              <w:jc w:val="left"/>
              <w:rPr>
                <w:b/>
                <w:bCs/>
                <w:sz w:val="20"/>
                <w:szCs w:val="20"/>
              </w:rPr>
            </w:pPr>
          </w:p>
        </w:tc>
        <w:tc>
          <w:tcPr>
            <w:tcW w:w="1418" w:type="dxa"/>
            <w:tcBorders>
              <w:bottom w:val="single" w:sz="4" w:space="0" w:color="auto"/>
            </w:tcBorders>
          </w:tcPr>
          <w:p w14:paraId="46D38D4A" w14:textId="095BE838" w:rsidR="00805A47" w:rsidRPr="004C78D8" w:rsidRDefault="00805A47" w:rsidP="00FB7C1F">
            <w:pPr>
              <w:jc w:val="center"/>
              <w:rPr>
                <w:b/>
                <w:bCs/>
                <w:sz w:val="20"/>
                <w:szCs w:val="20"/>
              </w:rPr>
            </w:pPr>
            <w:r w:rsidRPr="004C78D8">
              <w:rPr>
                <w:b/>
                <w:bCs/>
                <w:sz w:val="20"/>
                <w:szCs w:val="20"/>
              </w:rPr>
              <w:t>2013/14 £</w:t>
            </w:r>
            <w:r w:rsidRPr="004C78D8">
              <w:rPr>
                <w:b/>
                <w:bCs/>
                <w:sz w:val="20"/>
                <w:szCs w:val="20"/>
                <w:vertAlign w:val="superscript"/>
              </w:rPr>
              <w:t>1</w:t>
            </w:r>
          </w:p>
        </w:tc>
        <w:tc>
          <w:tcPr>
            <w:tcW w:w="1417" w:type="dxa"/>
            <w:tcBorders>
              <w:bottom w:val="single" w:sz="4" w:space="0" w:color="auto"/>
            </w:tcBorders>
          </w:tcPr>
          <w:p w14:paraId="3CE01D95" w14:textId="25E870E8" w:rsidR="00805A47" w:rsidRPr="004C78D8" w:rsidRDefault="00805A47" w:rsidP="00FB7C1F">
            <w:pPr>
              <w:jc w:val="center"/>
              <w:rPr>
                <w:b/>
                <w:bCs/>
                <w:sz w:val="20"/>
                <w:szCs w:val="20"/>
              </w:rPr>
            </w:pPr>
            <w:r w:rsidRPr="004C78D8">
              <w:rPr>
                <w:b/>
                <w:bCs/>
                <w:sz w:val="20"/>
                <w:szCs w:val="20"/>
              </w:rPr>
              <w:t>2021/22 £</w:t>
            </w:r>
            <w:r w:rsidRPr="004C78D8">
              <w:rPr>
                <w:b/>
                <w:bCs/>
                <w:sz w:val="20"/>
                <w:szCs w:val="20"/>
                <w:vertAlign w:val="superscript"/>
              </w:rPr>
              <w:t>2</w:t>
            </w:r>
          </w:p>
        </w:tc>
        <w:tc>
          <w:tcPr>
            <w:tcW w:w="2835" w:type="dxa"/>
            <w:tcBorders>
              <w:bottom w:val="single" w:sz="4" w:space="0" w:color="auto"/>
            </w:tcBorders>
          </w:tcPr>
          <w:p w14:paraId="277E7D90" w14:textId="72C03B6E" w:rsidR="00805A47" w:rsidRPr="004C78D8" w:rsidRDefault="00805A47" w:rsidP="00FB7C1F">
            <w:pPr>
              <w:jc w:val="center"/>
              <w:rPr>
                <w:b/>
                <w:bCs/>
                <w:sz w:val="20"/>
                <w:szCs w:val="20"/>
              </w:rPr>
            </w:pPr>
            <w:r w:rsidRPr="004C78D8">
              <w:rPr>
                <w:b/>
                <w:bCs/>
                <w:sz w:val="20"/>
                <w:szCs w:val="20"/>
              </w:rPr>
              <w:t>2021/22 £</w:t>
            </w:r>
            <w:r w:rsidRPr="004C78D8">
              <w:rPr>
                <w:b/>
                <w:bCs/>
                <w:sz w:val="20"/>
                <w:szCs w:val="20"/>
                <w:vertAlign w:val="superscript"/>
              </w:rPr>
              <w:t>3</w:t>
            </w:r>
          </w:p>
        </w:tc>
      </w:tr>
      <w:tr w:rsidR="00805A47" w:rsidRPr="004C78D8" w14:paraId="2026F182" w14:textId="3AA3CB50" w:rsidTr="00E35893">
        <w:tc>
          <w:tcPr>
            <w:tcW w:w="1129" w:type="dxa"/>
            <w:tcBorders>
              <w:top w:val="single" w:sz="4" w:space="0" w:color="auto"/>
              <w:bottom w:val="nil"/>
            </w:tcBorders>
          </w:tcPr>
          <w:p w14:paraId="49D48452" w14:textId="5218C7FC" w:rsidR="00805A47" w:rsidRPr="004C78D8" w:rsidRDefault="00805A47" w:rsidP="00FB7C1F">
            <w:pPr>
              <w:jc w:val="left"/>
              <w:rPr>
                <w:sz w:val="20"/>
                <w:szCs w:val="20"/>
              </w:rPr>
            </w:pPr>
            <w:r w:rsidRPr="004C78D8">
              <w:rPr>
                <w:sz w:val="20"/>
                <w:szCs w:val="20"/>
              </w:rPr>
              <w:t>Fit</w:t>
            </w:r>
          </w:p>
        </w:tc>
        <w:tc>
          <w:tcPr>
            <w:tcW w:w="1418" w:type="dxa"/>
            <w:tcBorders>
              <w:top w:val="single" w:sz="4" w:space="0" w:color="auto"/>
              <w:left w:val="nil"/>
              <w:bottom w:val="nil"/>
              <w:right w:val="single" w:sz="4" w:space="0" w:color="auto"/>
            </w:tcBorders>
            <w:shd w:val="clear" w:color="auto" w:fill="auto"/>
            <w:vAlign w:val="bottom"/>
          </w:tcPr>
          <w:p w14:paraId="78E5227D" w14:textId="614602E8" w:rsidR="00805A47" w:rsidRPr="004C78D8" w:rsidRDefault="00805A47" w:rsidP="00FB7C1F">
            <w:pPr>
              <w:jc w:val="center"/>
              <w:rPr>
                <w:rFonts w:cs="Times New Roman"/>
                <w:sz w:val="20"/>
                <w:szCs w:val="20"/>
              </w:rPr>
            </w:pPr>
            <w:r w:rsidRPr="004C78D8">
              <w:rPr>
                <w:rFonts w:cs="Times New Roman"/>
                <w:color w:val="000000"/>
                <w:sz w:val="20"/>
                <w:szCs w:val="20"/>
              </w:rPr>
              <w:t>1628.35</w:t>
            </w:r>
          </w:p>
        </w:tc>
        <w:tc>
          <w:tcPr>
            <w:tcW w:w="1417" w:type="dxa"/>
            <w:tcBorders>
              <w:top w:val="single" w:sz="4" w:space="0" w:color="auto"/>
              <w:left w:val="single" w:sz="4" w:space="0" w:color="auto"/>
              <w:bottom w:val="nil"/>
              <w:right w:val="single" w:sz="4" w:space="0" w:color="auto"/>
            </w:tcBorders>
            <w:shd w:val="clear" w:color="auto" w:fill="auto"/>
            <w:vAlign w:val="bottom"/>
          </w:tcPr>
          <w:p w14:paraId="09691A69" w14:textId="34DAB962" w:rsidR="00805A47" w:rsidRPr="004C78D8" w:rsidRDefault="00805A47" w:rsidP="00FB7C1F">
            <w:pPr>
              <w:jc w:val="center"/>
              <w:rPr>
                <w:rFonts w:cs="Times New Roman"/>
                <w:sz w:val="20"/>
                <w:szCs w:val="20"/>
              </w:rPr>
            </w:pPr>
            <w:r w:rsidRPr="004C78D8">
              <w:rPr>
                <w:rFonts w:cs="Times New Roman"/>
                <w:color w:val="000000"/>
                <w:sz w:val="20"/>
                <w:szCs w:val="20"/>
              </w:rPr>
              <w:t>1904.88</w:t>
            </w:r>
          </w:p>
        </w:tc>
        <w:tc>
          <w:tcPr>
            <w:tcW w:w="2835" w:type="dxa"/>
            <w:tcBorders>
              <w:top w:val="single" w:sz="4" w:space="0" w:color="auto"/>
              <w:left w:val="single" w:sz="4" w:space="0" w:color="auto"/>
              <w:bottom w:val="nil"/>
              <w:right w:val="single" w:sz="4" w:space="0" w:color="auto"/>
            </w:tcBorders>
          </w:tcPr>
          <w:p w14:paraId="38BB9946" w14:textId="0FB6A5CB" w:rsidR="00805A47" w:rsidRPr="004C78D8" w:rsidRDefault="00A8495E" w:rsidP="00FB7C1F">
            <w:pPr>
              <w:jc w:val="center"/>
              <w:rPr>
                <w:rFonts w:cs="Times New Roman"/>
                <w:color w:val="000000"/>
                <w:sz w:val="20"/>
                <w:szCs w:val="20"/>
              </w:rPr>
            </w:pPr>
            <w:r w:rsidRPr="004C78D8">
              <w:rPr>
                <w:rFonts w:cs="Times New Roman"/>
                <w:color w:val="000000"/>
                <w:sz w:val="20"/>
                <w:szCs w:val="20"/>
              </w:rPr>
              <w:t>18</w:t>
            </w:r>
            <w:r w:rsidR="000F0310" w:rsidRPr="004C78D8">
              <w:rPr>
                <w:rFonts w:cs="Times New Roman"/>
                <w:color w:val="000000"/>
                <w:sz w:val="20"/>
                <w:szCs w:val="20"/>
              </w:rPr>
              <w:t>6</w:t>
            </w:r>
            <w:r w:rsidR="006B47AC" w:rsidRPr="004C78D8">
              <w:rPr>
                <w:rFonts w:cs="Times New Roman"/>
                <w:color w:val="000000"/>
                <w:sz w:val="20"/>
                <w:szCs w:val="20"/>
              </w:rPr>
              <w:t>6</w:t>
            </w:r>
            <w:r w:rsidRPr="004C78D8">
              <w:rPr>
                <w:rFonts w:cs="Times New Roman"/>
                <w:color w:val="000000"/>
                <w:sz w:val="20"/>
                <w:szCs w:val="20"/>
              </w:rPr>
              <w:t>.</w:t>
            </w:r>
            <w:r w:rsidR="006B47AC" w:rsidRPr="004C78D8">
              <w:rPr>
                <w:rFonts w:cs="Times New Roman"/>
                <w:color w:val="000000"/>
                <w:sz w:val="20"/>
                <w:szCs w:val="20"/>
              </w:rPr>
              <w:t>07</w:t>
            </w:r>
          </w:p>
        </w:tc>
      </w:tr>
      <w:tr w:rsidR="00805A47" w:rsidRPr="004C78D8" w14:paraId="34239A2D" w14:textId="0FF3EAC6" w:rsidTr="00E35893">
        <w:tc>
          <w:tcPr>
            <w:tcW w:w="1129" w:type="dxa"/>
            <w:tcBorders>
              <w:top w:val="nil"/>
              <w:bottom w:val="nil"/>
            </w:tcBorders>
          </w:tcPr>
          <w:p w14:paraId="093DD59D" w14:textId="54B16001" w:rsidR="00805A47" w:rsidRPr="004C78D8" w:rsidRDefault="00805A47" w:rsidP="00FB7C1F">
            <w:pPr>
              <w:jc w:val="left"/>
              <w:rPr>
                <w:sz w:val="20"/>
                <w:szCs w:val="20"/>
              </w:rPr>
            </w:pPr>
            <w:r w:rsidRPr="004C78D8">
              <w:rPr>
                <w:sz w:val="20"/>
                <w:szCs w:val="20"/>
              </w:rPr>
              <w:t>Mild</w:t>
            </w:r>
          </w:p>
        </w:tc>
        <w:tc>
          <w:tcPr>
            <w:tcW w:w="1418" w:type="dxa"/>
            <w:tcBorders>
              <w:top w:val="nil"/>
              <w:left w:val="nil"/>
              <w:bottom w:val="nil"/>
              <w:right w:val="single" w:sz="4" w:space="0" w:color="auto"/>
            </w:tcBorders>
            <w:shd w:val="clear" w:color="auto" w:fill="auto"/>
            <w:vAlign w:val="bottom"/>
          </w:tcPr>
          <w:p w14:paraId="2438AE65" w14:textId="18FC175E" w:rsidR="00805A47" w:rsidRPr="004C78D8" w:rsidRDefault="00805A47" w:rsidP="00FB7C1F">
            <w:pPr>
              <w:jc w:val="center"/>
              <w:rPr>
                <w:rFonts w:cs="Times New Roman"/>
                <w:sz w:val="20"/>
                <w:szCs w:val="20"/>
              </w:rPr>
            </w:pPr>
            <w:r w:rsidRPr="004C78D8">
              <w:rPr>
                <w:rFonts w:cs="Times New Roman"/>
                <w:color w:val="000000"/>
                <w:sz w:val="20"/>
                <w:szCs w:val="20"/>
              </w:rPr>
              <w:t>2189.40</w:t>
            </w:r>
          </w:p>
        </w:tc>
        <w:tc>
          <w:tcPr>
            <w:tcW w:w="1417" w:type="dxa"/>
            <w:tcBorders>
              <w:top w:val="nil"/>
              <w:left w:val="single" w:sz="4" w:space="0" w:color="auto"/>
              <w:bottom w:val="nil"/>
              <w:right w:val="single" w:sz="4" w:space="0" w:color="auto"/>
            </w:tcBorders>
            <w:shd w:val="clear" w:color="auto" w:fill="auto"/>
            <w:vAlign w:val="bottom"/>
          </w:tcPr>
          <w:p w14:paraId="2D8721AC" w14:textId="5AE7B9FC" w:rsidR="00805A47" w:rsidRPr="004C78D8" w:rsidRDefault="00805A47" w:rsidP="00FB7C1F">
            <w:pPr>
              <w:jc w:val="center"/>
              <w:rPr>
                <w:rFonts w:cs="Times New Roman"/>
                <w:sz w:val="20"/>
                <w:szCs w:val="20"/>
              </w:rPr>
            </w:pPr>
            <w:r w:rsidRPr="004C78D8">
              <w:rPr>
                <w:rFonts w:cs="Times New Roman"/>
                <w:color w:val="000000"/>
                <w:sz w:val="20"/>
                <w:szCs w:val="20"/>
              </w:rPr>
              <w:t>2561.21</w:t>
            </w:r>
          </w:p>
        </w:tc>
        <w:tc>
          <w:tcPr>
            <w:tcW w:w="2835" w:type="dxa"/>
            <w:tcBorders>
              <w:top w:val="nil"/>
              <w:left w:val="single" w:sz="4" w:space="0" w:color="auto"/>
              <w:bottom w:val="nil"/>
              <w:right w:val="single" w:sz="4" w:space="0" w:color="auto"/>
            </w:tcBorders>
          </w:tcPr>
          <w:p w14:paraId="1B826754" w14:textId="1833D5D3" w:rsidR="00805A47" w:rsidRPr="004C78D8" w:rsidRDefault="00A8495E" w:rsidP="00FB7C1F">
            <w:pPr>
              <w:jc w:val="center"/>
              <w:rPr>
                <w:rFonts w:cs="Times New Roman"/>
                <w:color w:val="000000"/>
                <w:sz w:val="20"/>
                <w:szCs w:val="20"/>
              </w:rPr>
            </w:pPr>
            <w:r w:rsidRPr="004C78D8">
              <w:rPr>
                <w:rFonts w:cs="Times New Roman"/>
                <w:color w:val="000000"/>
                <w:sz w:val="20"/>
                <w:szCs w:val="20"/>
              </w:rPr>
              <w:t>23</w:t>
            </w:r>
            <w:r w:rsidR="006B47AC" w:rsidRPr="004C78D8">
              <w:rPr>
                <w:rFonts w:cs="Times New Roman"/>
                <w:color w:val="000000"/>
                <w:sz w:val="20"/>
                <w:szCs w:val="20"/>
              </w:rPr>
              <w:t>88</w:t>
            </w:r>
            <w:r w:rsidRPr="004C78D8">
              <w:rPr>
                <w:rFonts w:cs="Times New Roman"/>
                <w:color w:val="000000"/>
                <w:sz w:val="20"/>
                <w:szCs w:val="20"/>
              </w:rPr>
              <w:t>.</w:t>
            </w:r>
            <w:r w:rsidR="006B47AC" w:rsidRPr="004C78D8">
              <w:rPr>
                <w:rFonts w:cs="Times New Roman"/>
                <w:color w:val="000000"/>
                <w:sz w:val="20"/>
                <w:szCs w:val="20"/>
              </w:rPr>
              <w:t>48</w:t>
            </w:r>
          </w:p>
        </w:tc>
      </w:tr>
      <w:tr w:rsidR="00805A47" w:rsidRPr="004C78D8" w14:paraId="58E1FFB0" w14:textId="74C2BA3C" w:rsidTr="00E35893">
        <w:tc>
          <w:tcPr>
            <w:tcW w:w="1129" w:type="dxa"/>
            <w:tcBorders>
              <w:top w:val="nil"/>
              <w:bottom w:val="nil"/>
            </w:tcBorders>
          </w:tcPr>
          <w:p w14:paraId="510E9F87" w14:textId="59591B02" w:rsidR="00805A47" w:rsidRPr="004C78D8" w:rsidRDefault="00805A47" w:rsidP="00FB7C1F">
            <w:pPr>
              <w:jc w:val="left"/>
              <w:rPr>
                <w:sz w:val="20"/>
                <w:szCs w:val="20"/>
              </w:rPr>
            </w:pPr>
            <w:r w:rsidRPr="004C78D8">
              <w:rPr>
                <w:sz w:val="20"/>
                <w:szCs w:val="20"/>
              </w:rPr>
              <w:t>Moderate</w:t>
            </w:r>
          </w:p>
        </w:tc>
        <w:tc>
          <w:tcPr>
            <w:tcW w:w="1418" w:type="dxa"/>
            <w:tcBorders>
              <w:top w:val="nil"/>
              <w:left w:val="nil"/>
              <w:bottom w:val="nil"/>
              <w:right w:val="single" w:sz="4" w:space="0" w:color="auto"/>
            </w:tcBorders>
            <w:shd w:val="clear" w:color="auto" w:fill="auto"/>
            <w:vAlign w:val="bottom"/>
          </w:tcPr>
          <w:p w14:paraId="390AEC30" w14:textId="1C73F5B8" w:rsidR="00805A47" w:rsidRPr="004C78D8" w:rsidRDefault="00805A47" w:rsidP="00FB7C1F">
            <w:pPr>
              <w:jc w:val="center"/>
              <w:rPr>
                <w:rFonts w:cs="Times New Roman"/>
                <w:sz w:val="20"/>
                <w:szCs w:val="20"/>
              </w:rPr>
            </w:pPr>
            <w:r w:rsidRPr="004C78D8">
              <w:rPr>
                <w:rFonts w:cs="Times New Roman"/>
                <w:color w:val="000000"/>
                <w:sz w:val="20"/>
                <w:szCs w:val="20"/>
              </w:rPr>
              <w:t>2836.95</w:t>
            </w:r>
          </w:p>
        </w:tc>
        <w:tc>
          <w:tcPr>
            <w:tcW w:w="1417" w:type="dxa"/>
            <w:tcBorders>
              <w:top w:val="nil"/>
              <w:left w:val="single" w:sz="4" w:space="0" w:color="auto"/>
              <w:bottom w:val="nil"/>
              <w:right w:val="single" w:sz="4" w:space="0" w:color="auto"/>
            </w:tcBorders>
            <w:shd w:val="clear" w:color="auto" w:fill="auto"/>
            <w:vAlign w:val="bottom"/>
          </w:tcPr>
          <w:p w14:paraId="7313C7B9" w14:textId="538D51F8" w:rsidR="00805A47" w:rsidRPr="004C78D8" w:rsidRDefault="00805A47" w:rsidP="00FB7C1F">
            <w:pPr>
              <w:jc w:val="center"/>
              <w:rPr>
                <w:rFonts w:cs="Times New Roman"/>
                <w:sz w:val="20"/>
                <w:szCs w:val="20"/>
              </w:rPr>
            </w:pPr>
            <w:r w:rsidRPr="004C78D8">
              <w:rPr>
                <w:rFonts w:cs="Times New Roman"/>
                <w:color w:val="000000"/>
                <w:sz w:val="20"/>
                <w:szCs w:val="20"/>
              </w:rPr>
              <w:t>3318.73</w:t>
            </w:r>
          </w:p>
        </w:tc>
        <w:tc>
          <w:tcPr>
            <w:tcW w:w="2835" w:type="dxa"/>
            <w:tcBorders>
              <w:top w:val="nil"/>
              <w:left w:val="single" w:sz="4" w:space="0" w:color="auto"/>
              <w:bottom w:val="nil"/>
              <w:right w:val="single" w:sz="4" w:space="0" w:color="auto"/>
            </w:tcBorders>
          </w:tcPr>
          <w:p w14:paraId="6D6F7CE4" w14:textId="12BF9FF5" w:rsidR="00805A47" w:rsidRPr="004C78D8" w:rsidRDefault="00A8495E" w:rsidP="00FB7C1F">
            <w:pPr>
              <w:jc w:val="center"/>
              <w:rPr>
                <w:rFonts w:cs="Times New Roman"/>
                <w:color w:val="000000"/>
                <w:sz w:val="20"/>
                <w:szCs w:val="20"/>
              </w:rPr>
            </w:pPr>
            <w:r w:rsidRPr="004C78D8">
              <w:rPr>
                <w:rFonts w:cs="Times New Roman"/>
                <w:color w:val="000000"/>
                <w:sz w:val="20"/>
                <w:szCs w:val="20"/>
              </w:rPr>
              <w:t>2</w:t>
            </w:r>
            <w:r w:rsidR="00033306" w:rsidRPr="004C78D8">
              <w:rPr>
                <w:rFonts w:cs="Times New Roman"/>
                <w:color w:val="000000"/>
                <w:sz w:val="20"/>
                <w:szCs w:val="20"/>
              </w:rPr>
              <w:t>884</w:t>
            </w:r>
            <w:r w:rsidRPr="004C78D8">
              <w:rPr>
                <w:rFonts w:cs="Times New Roman"/>
                <w:color w:val="000000"/>
                <w:sz w:val="20"/>
                <w:szCs w:val="20"/>
              </w:rPr>
              <w:t>.</w:t>
            </w:r>
            <w:r w:rsidR="00033306" w:rsidRPr="004C78D8">
              <w:rPr>
                <w:rFonts w:cs="Times New Roman"/>
                <w:color w:val="000000"/>
                <w:sz w:val="20"/>
                <w:szCs w:val="20"/>
              </w:rPr>
              <w:t>86</w:t>
            </w:r>
          </w:p>
        </w:tc>
      </w:tr>
      <w:tr w:rsidR="00805A47" w:rsidRPr="004C78D8" w14:paraId="0B30CF1D" w14:textId="691722A6" w:rsidTr="00E35893">
        <w:tc>
          <w:tcPr>
            <w:tcW w:w="1129" w:type="dxa"/>
            <w:tcBorders>
              <w:top w:val="nil"/>
            </w:tcBorders>
          </w:tcPr>
          <w:p w14:paraId="54DE9041" w14:textId="5208260A" w:rsidR="00805A47" w:rsidRPr="004C78D8" w:rsidRDefault="00805A47" w:rsidP="00FB7C1F">
            <w:pPr>
              <w:jc w:val="left"/>
              <w:rPr>
                <w:sz w:val="20"/>
                <w:szCs w:val="20"/>
              </w:rPr>
            </w:pPr>
            <w:r w:rsidRPr="004C78D8">
              <w:rPr>
                <w:sz w:val="20"/>
                <w:szCs w:val="20"/>
              </w:rPr>
              <w:t>Severe</w:t>
            </w:r>
          </w:p>
        </w:tc>
        <w:tc>
          <w:tcPr>
            <w:tcW w:w="1418" w:type="dxa"/>
            <w:tcBorders>
              <w:top w:val="nil"/>
              <w:left w:val="nil"/>
              <w:bottom w:val="nil"/>
              <w:right w:val="single" w:sz="4" w:space="0" w:color="auto"/>
            </w:tcBorders>
            <w:shd w:val="clear" w:color="auto" w:fill="auto"/>
            <w:vAlign w:val="bottom"/>
          </w:tcPr>
          <w:p w14:paraId="7950FAA1" w14:textId="27A648E5" w:rsidR="00805A47" w:rsidRPr="004C78D8" w:rsidRDefault="00805A47" w:rsidP="00FB7C1F">
            <w:pPr>
              <w:jc w:val="center"/>
              <w:rPr>
                <w:rFonts w:cs="Times New Roman"/>
                <w:sz w:val="20"/>
                <w:szCs w:val="20"/>
              </w:rPr>
            </w:pPr>
            <w:r w:rsidRPr="004C78D8">
              <w:rPr>
                <w:rFonts w:cs="Times New Roman"/>
                <w:color w:val="000000"/>
                <w:sz w:val="20"/>
                <w:szCs w:val="20"/>
              </w:rPr>
              <w:t>3736.55</w:t>
            </w:r>
          </w:p>
        </w:tc>
        <w:tc>
          <w:tcPr>
            <w:tcW w:w="1417" w:type="dxa"/>
            <w:tcBorders>
              <w:top w:val="nil"/>
              <w:left w:val="single" w:sz="4" w:space="0" w:color="auto"/>
              <w:bottom w:val="nil"/>
              <w:right w:val="single" w:sz="4" w:space="0" w:color="auto"/>
            </w:tcBorders>
            <w:shd w:val="clear" w:color="auto" w:fill="auto"/>
            <w:vAlign w:val="bottom"/>
          </w:tcPr>
          <w:p w14:paraId="32ABFDB5" w14:textId="0DCEF5BE" w:rsidR="00805A47" w:rsidRPr="004C78D8" w:rsidRDefault="00805A47" w:rsidP="00FB7C1F">
            <w:pPr>
              <w:jc w:val="center"/>
              <w:rPr>
                <w:rFonts w:cs="Times New Roman"/>
                <w:sz w:val="20"/>
                <w:szCs w:val="20"/>
              </w:rPr>
            </w:pPr>
            <w:r w:rsidRPr="004C78D8">
              <w:rPr>
                <w:rFonts w:cs="Times New Roman"/>
                <w:color w:val="000000"/>
                <w:sz w:val="20"/>
                <w:szCs w:val="20"/>
              </w:rPr>
              <w:t>4371.10</w:t>
            </w:r>
          </w:p>
        </w:tc>
        <w:tc>
          <w:tcPr>
            <w:tcW w:w="2835" w:type="dxa"/>
            <w:tcBorders>
              <w:top w:val="nil"/>
              <w:left w:val="single" w:sz="4" w:space="0" w:color="auto"/>
              <w:bottom w:val="nil"/>
              <w:right w:val="single" w:sz="4" w:space="0" w:color="auto"/>
            </w:tcBorders>
          </w:tcPr>
          <w:p w14:paraId="379922D5" w14:textId="4C55A627" w:rsidR="00805A47" w:rsidRPr="004C78D8" w:rsidRDefault="00033306" w:rsidP="00FB7C1F">
            <w:pPr>
              <w:jc w:val="center"/>
              <w:rPr>
                <w:rFonts w:cs="Times New Roman"/>
                <w:color w:val="000000"/>
                <w:sz w:val="20"/>
                <w:szCs w:val="20"/>
              </w:rPr>
            </w:pPr>
            <w:r w:rsidRPr="004C78D8">
              <w:rPr>
                <w:rFonts w:cs="Times New Roman"/>
                <w:color w:val="000000"/>
                <w:sz w:val="20"/>
                <w:szCs w:val="20"/>
              </w:rPr>
              <w:t>3</w:t>
            </w:r>
            <w:r w:rsidR="007D16D2" w:rsidRPr="004C78D8">
              <w:rPr>
                <w:rFonts w:cs="Times New Roman"/>
                <w:color w:val="000000"/>
                <w:sz w:val="20"/>
                <w:szCs w:val="20"/>
              </w:rPr>
              <w:t>82</w:t>
            </w:r>
            <w:r w:rsidRPr="004C78D8">
              <w:rPr>
                <w:rFonts w:cs="Times New Roman"/>
                <w:color w:val="000000"/>
                <w:sz w:val="20"/>
                <w:szCs w:val="20"/>
              </w:rPr>
              <w:t>3</w:t>
            </w:r>
            <w:r w:rsidR="00A8495E" w:rsidRPr="004C78D8">
              <w:rPr>
                <w:rFonts w:cs="Times New Roman"/>
                <w:color w:val="000000"/>
                <w:sz w:val="20"/>
                <w:szCs w:val="20"/>
              </w:rPr>
              <w:t>.</w:t>
            </w:r>
            <w:r w:rsidRPr="004C78D8">
              <w:rPr>
                <w:rFonts w:cs="Times New Roman"/>
                <w:color w:val="000000"/>
                <w:sz w:val="20"/>
                <w:szCs w:val="20"/>
              </w:rPr>
              <w:t>14</w:t>
            </w:r>
          </w:p>
        </w:tc>
      </w:tr>
      <w:tr w:rsidR="00805A47" w:rsidRPr="004C78D8" w14:paraId="120DB8DB" w14:textId="08DA07C5" w:rsidTr="00E35893">
        <w:tc>
          <w:tcPr>
            <w:tcW w:w="6799" w:type="dxa"/>
            <w:gridSpan w:val="4"/>
          </w:tcPr>
          <w:p w14:paraId="26E56056" w14:textId="21983794" w:rsidR="00805A47" w:rsidRPr="00972766" w:rsidRDefault="00805A47" w:rsidP="00FB7C1F">
            <w:pPr>
              <w:jc w:val="left"/>
              <w:rPr>
                <w:sz w:val="18"/>
                <w:szCs w:val="18"/>
                <w:lang w:val="fr-FR"/>
              </w:rPr>
            </w:pPr>
            <w:r w:rsidRPr="00972766">
              <w:rPr>
                <w:sz w:val="18"/>
                <w:szCs w:val="18"/>
                <w:vertAlign w:val="superscript"/>
                <w:lang w:val="fr-FR"/>
              </w:rPr>
              <w:t>1</w:t>
            </w:r>
            <w:r w:rsidRPr="00972766">
              <w:rPr>
                <w:sz w:val="18"/>
                <w:szCs w:val="18"/>
                <w:lang w:val="fr-FR"/>
              </w:rPr>
              <w:t xml:space="preserve"> Data source: Han et al</w:t>
            </w:r>
            <w:r w:rsidR="00A230CC" w:rsidRPr="00972766">
              <w:rPr>
                <w:sz w:val="18"/>
                <w:szCs w:val="18"/>
                <w:lang w:val="fr-FR"/>
              </w:rPr>
              <w:t xml:space="preserve"> (</w:t>
            </w:r>
            <w:r w:rsidRPr="00972766">
              <w:rPr>
                <w:sz w:val="18"/>
                <w:szCs w:val="18"/>
                <w:lang w:val="fr-FR"/>
              </w:rPr>
              <w:t>2019)</w:t>
            </w:r>
            <w:r w:rsidR="00A230CC" w:rsidRPr="00972766">
              <w:rPr>
                <w:sz w:val="18"/>
                <w:szCs w:val="18"/>
                <w:lang w:val="fr-FR"/>
              </w:rPr>
              <w:t xml:space="preserve"> </w:t>
            </w:r>
            <w:r w:rsidR="00A230CC" w:rsidRPr="004C78D8">
              <w:rPr>
                <w:sz w:val="18"/>
                <w:szCs w:val="18"/>
              </w:rPr>
              <w:fldChar w:fldCharType="begin"/>
            </w:r>
            <w:r w:rsidR="00C630FC" w:rsidRPr="00972766">
              <w:rPr>
                <w:sz w:val="18"/>
                <w:szCs w:val="18"/>
                <w:lang w:val="fr-FR"/>
              </w:rPr>
              <w:instrText xml:space="preserve"> ADDIN EN.CITE &lt;EndNote&gt;&lt;Cite&gt;&lt;Author&gt;Han&lt;/Author&gt;&lt;Year&gt;2019&lt;/Year&gt;&lt;RecNum&gt;134&lt;/RecNum&gt;&lt;DisplayText&gt;[279]&lt;/DisplayText&gt;&lt;record&gt;&lt;rec-number&gt;134&lt;/rec-number&gt;&lt;foreign-keys&gt;&lt;key app="EN" db-id="tdtrdw9aepptzbefsat599syza29sxsd2wsp" timestamp="1599642373"&gt;134&lt;/key&gt;&lt;/foreign-keys&gt;&lt;ref-type name="Journal Article"&gt;17&lt;/ref-type&gt;&lt;contributors&gt;&lt;authors&gt;&lt;author&gt;Han, Lu&lt;/author&gt;&lt;author&gt;Clegg, Andrew&lt;/author&gt;&lt;author&gt;Doran, Tim&lt;/author&gt;&lt;author&gt;Fraser, Lorna&lt;/author&gt;&lt;/authors&gt;&lt;/contributors&gt;&lt;titles&gt;&lt;title&gt;The impact of frailty on healthcare resource use: a longitudinal analysis using the Clinical Practice Research Datalink in England&lt;/title&gt;&lt;secondary-title&gt;Age and Ageing&lt;/secondary-title&gt;&lt;/titles&gt;&lt;periodical&gt;&lt;full-title&gt;Age and ageing&lt;/full-title&gt;&lt;/periodical&gt;&lt;pages&gt;665-671&lt;/pages&gt;&lt;volume&gt;48&lt;/volume&gt;&lt;number&gt;5&lt;/number&gt;&lt;dates&gt;&lt;year&gt;2019&lt;/year&gt;&lt;/dates&gt;&lt;isbn&gt;0002-0729&lt;/isbn&gt;&lt;urls&gt;&lt;/urls&gt;&lt;/record&gt;&lt;/Cite&gt;&lt;/EndNote&gt;</w:instrText>
            </w:r>
            <w:r w:rsidR="00A230CC" w:rsidRPr="004C78D8">
              <w:rPr>
                <w:sz w:val="18"/>
                <w:szCs w:val="18"/>
              </w:rPr>
              <w:fldChar w:fldCharType="separate"/>
            </w:r>
            <w:r w:rsidR="00C630FC" w:rsidRPr="00972766">
              <w:rPr>
                <w:noProof/>
                <w:sz w:val="18"/>
                <w:szCs w:val="18"/>
                <w:lang w:val="fr-FR"/>
              </w:rPr>
              <w:t>[279]</w:t>
            </w:r>
            <w:r w:rsidR="00A230CC" w:rsidRPr="004C78D8">
              <w:rPr>
                <w:sz w:val="18"/>
                <w:szCs w:val="18"/>
              </w:rPr>
              <w:fldChar w:fldCharType="end"/>
            </w:r>
            <w:r w:rsidR="00582C59" w:rsidRPr="00972766">
              <w:rPr>
                <w:sz w:val="18"/>
                <w:szCs w:val="18"/>
                <w:lang w:val="fr-FR"/>
              </w:rPr>
              <w:t xml:space="preserve"> </w:t>
            </w:r>
          </w:p>
          <w:p w14:paraId="41DE39A1" w14:textId="728D36BF" w:rsidR="00805A47" w:rsidRPr="004C78D8" w:rsidRDefault="00805A47" w:rsidP="00FB7C1F">
            <w:pPr>
              <w:rPr>
                <w:sz w:val="18"/>
                <w:szCs w:val="18"/>
              </w:rPr>
            </w:pPr>
            <w:r w:rsidRPr="004C78D8">
              <w:rPr>
                <w:sz w:val="18"/>
                <w:szCs w:val="18"/>
                <w:vertAlign w:val="superscript"/>
              </w:rPr>
              <w:t>2</w:t>
            </w:r>
            <w:r w:rsidRPr="004C78D8">
              <w:rPr>
                <w:sz w:val="18"/>
                <w:szCs w:val="18"/>
              </w:rPr>
              <w:t xml:space="preserve"> Data source for average NHS cost inflation between 2013 and 2019 of 1.98%: Curtis and Burns </w:t>
            </w:r>
            <w:r w:rsidR="00A230CC" w:rsidRPr="004C78D8">
              <w:rPr>
                <w:sz w:val="18"/>
                <w:szCs w:val="18"/>
              </w:rPr>
              <w:t>(</w:t>
            </w:r>
            <w:r w:rsidRPr="004C78D8">
              <w:rPr>
                <w:sz w:val="18"/>
                <w:szCs w:val="18"/>
              </w:rPr>
              <w:t>2019)</w:t>
            </w:r>
            <w:r w:rsidR="00A230CC" w:rsidRPr="004C78D8">
              <w:rPr>
                <w:sz w:val="18"/>
                <w:szCs w:val="18"/>
              </w:rPr>
              <w:t xml:space="preserve"> </w:t>
            </w:r>
            <w:r w:rsidR="00A230CC" w:rsidRPr="004C78D8">
              <w:rPr>
                <w:sz w:val="18"/>
                <w:szCs w:val="18"/>
              </w:rPr>
              <w:fldChar w:fldCharType="begin"/>
            </w:r>
            <w:r w:rsidR="00C630FC" w:rsidRPr="004C78D8">
              <w:rPr>
                <w:sz w:val="18"/>
                <w:szCs w:val="18"/>
              </w:rPr>
              <w:instrText xml:space="preserve"> ADDIN EN.CITE &lt;EndNote&gt;&lt;Cite&gt;&lt;Author&gt;Curtis&lt;/Author&gt;&lt;Year&gt;2019&lt;/Year&gt;&lt;RecNum&gt;135&lt;/RecNum&gt;&lt;DisplayText&gt;[401]&lt;/DisplayText&gt;&lt;record&gt;&lt;rec-number&gt;135&lt;/rec-number&gt;&lt;foreign-keys&gt;&lt;key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00A230CC" w:rsidRPr="004C78D8">
              <w:rPr>
                <w:sz w:val="18"/>
                <w:szCs w:val="18"/>
              </w:rPr>
              <w:fldChar w:fldCharType="separate"/>
            </w:r>
            <w:r w:rsidR="00C630FC" w:rsidRPr="004C78D8">
              <w:rPr>
                <w:noProof/>
                <w:sz w:val="18"/>
                <w:szCs w:val="18"/>
              </w:rPr>
              <w:t>[401]</w:t>
            </w:r>
            <w:r w:rsidR="00A230CC" w:rsidRPr="004C78D8">
              <w:rPr>
                <w:sz w:val="18"/>
                <w:szCs w:val="18"/>
              </w:rPr>
              <w:fldChar w:fldCharType="end"/>
            </w:r>
            <w:r w:rsidR="003B30C0" w:rsidRPr="004C78D8">
              <w:rPr>
                <w:sz w:val="18"/>
                <w:szCs w:val="18"/>
              </w:rPr>
              <w:t>.</w:t>
            </w:r>
          </w:p>
          <w:p w14:paraId="2F68C17F" w14:textId="307E10D7" w:rsidR="00805A47" w:rsidRPr="004C78D8" w:rsidRDefault="00805A47" w:rsidP="00FB7C1F">
            <w:pPr>
              <w:jc w:val="left"/>
              <w:rPr>
                <w:sz w:val="20"/>
                <w:szCs w:val="20"/>
              </w:rPr>
            </w:pPr>
            <w:r w:rsidRPr="004C78D8">
              <w:rPr>
                <w:sz w:val="18"/>
                <w:szCs w:val="18"/>
                <w:vertAlign w:val="superscript"/>
              </w:rPr>
              <w:t xml:space="preserve">3 </w:t>
            </w:r>
            <w:r w:rsidRPr="004C78D8">
              <w:rPr>
                <w:sz w:val="18"/>
                <w:szCs w:val="18"/>
              </w:rPr>
              <w:t xml:space="preserve">See Section </w:t>
            </w:r>
            <w:r w:rsidR="00E2580C" w:rsidRPr="004C78D8">
              <w:rPr>
                <w:sz w:val="18"/>
                <w:szCs w:val="18"/>
              </w:rPr>
              <w:t>5</w:t>
            </w:r>
            <w:r w:rsidR="00663045" w:rsidRPr="004C78D8">
              <w:rPr>
                <w:sz w:val="18"/>
                <w:szCs w:val="18"/>
              </w:rPr>
              <w:t>.</w:t>
            </w:r>
            <w:r w:rsidR="00A1272F" w:rsidRPr="004C78D8">
              <w:rPr>
                <w:sz w:val="18"/>
                <w:szCs w:val="18"/>
              </w:rPr>
              <w:t>2</w:t>
            </w:r>
            <w:r w:rsidR="00663045" w:rsidRPr="004C78D8">
              <w:rPr>
                <w:sz w:val="18"/>
                <w:szCs w:val="18"/>
              </w:rPr>
              <w:t>.</w:t>
            </w:r>
            <w:r w:rsidR="003B2AD7" w:rsidRPr="004C78D8">
              <w:rPr>
                <w:sz w:val="18"/>
                <w:szCs w:val="18"/>
              </w:rPr>
              <w:t>5.4</w:t>
            </w:r>
            <w:r w:rsidRPr="004C78D8">
              <w:rPr>
                <w:sz w:val="18"/>
                <w:szCs w:val="18"/>
              </w:rPr>
              <w:t xml:space="preserve"> for estimation of direct healthcare costs of falls</w:t>
            </w:r>
            <w:r w:rsidR="003B2AD7" w:rsidRPr="004C78D8">
              <w:rPr>
                <w:sz w:val="18"/>
                <w:szCs w:val="18"/>
              </w:rPr>
              <w:t>.</w:t>
            </w:r>
          </w:p>
        </w:tc>
      </w:tr>
    </w:tbl>
    <w:p w14:paraId="404EB8BB" w14:textId="0DD68918" w:rsidR="00EC4A69" w:rsidRPr="004C78D8" w:rsidRDefault="00EC4A69" w:rsidP="00FB7C1F"/>
    <w:p w14:paraId="194E79C2" w14:textId="615ED3AB" w:rsidR="00EA43B5" w:rsidRPr="004C78D8" w:rsidRDefault="00EA43B5" w:rsidP="00FB7C1F">
      <w:pPr>
        <w:pStyle w:val="Heading5"/>
      </w:pPr>
      <w:r w:rsidRPr="004C78D8">
        <w:t>Community healthcare costs</w:t>
      </w:r>
    </w:p>
    <w:p w14:paraId="5D4055D4" w14:textId="56E5AD6F" w:rsidR="00EA43B5" w:rsidRPr="004C78D8" w:rsidRDefault="00EA43B5" w:rsidP="00FB7C1F">
      <w:r w:rsidRPr="004C78D8">
        <w:t>ELSA Waves 4</w:t>
      </w:r>
      <w:r w:rsidR="00F25B67" w:rsidRPr="004C78D8">
        <w:t>-</w:t>
      </w:r>
      <w:r w:rsidRPr="004C78D8">
        <w:t xml:space="preserve">5 contain self-reported information on current receipt of care for the following </w:t>
      </w:r>
      <w:r w:rsidR="00E41155" w:rsidRPr="004C78D8">
        <w:t>seven</w:t>
      </w:r>
      <w:r w:rsidRPr="004C78D8">
        <w:t xml:space="preserve"> basic and instrumental activities of daily living: moving around the house; washing/dressing; preparing a meal or eating; shopping and doing work around house; using phone/managing money; taking medication; and other difficulties. </w:t>
      </w:r>
      <w:r w:rsidR="002B57E6" w:rsidRPr="004C78D8">
        <w:t>T</w:t>
      </w:r>
      <w:r w:rsidRPr="004C78D8">
        <w:t xml:space="preserve">here is </w:t>
      </w:r>
      <w:r w:rsidR="002B57E6" w:rsidRPr="004C78D8">
        <w:t xml:space="preserve">also </w:t>
      </w:r>
      <w:r w:rsidRPr="004C78D8">
        <w:t>information on the care source: (a) health visitor/district nurse</w:t>
      </w:r>
      <w:r w:rsidR="003004EC" w:rsidRPr="004C78D8">
        <w:t xml:space="preserve"> – i.e., community healthcare</w:t>
      </w:r>
      <w:r w:rsidRPr="004C78D8">
        <w:t>; (b) local authority/social services</w:t>
      </w:r>
      <w:r w:rsidR="003004EC" w:rsidRPr="004C78D8">
        <w:t xml:space="preserve"> – social care</w:t>
      </w:r>
      <w:r w:rsidRPr="004C78D8">
        <w:t>; (c) private paid help</w:t>
      </w:r>
      <w:r w:rsidR="003004EC" w:rsidRPr="004C78D8">
        <w:t xml:space="preserve"> – OOP care</w:t>
      </w:r>
      <w:r w:rsidRPr="004C78D8">
        <w:t>; and (d) informal care</w:t>
      </w:r>
      <w:r w:rsidR="003004EC" w:rsidRPr="004C78D8">
        <w:t>.</w:t>
      </w:r>
      <w:r w:rsidRPr="004C78D8">
        <w:t xml:space="preserve"> </w:t>
      </w:r>
      <w:r w:rsidR="003004EC" w:rsidRPr="004C78D8">
        <w:t>The cost associated with (a) is estimated in this section, and those associated with (b)-(d) in subsequent sections.</w:t>
      </w:r>
    </w:p>
    <w:p w14:paraId="620BA08A" w14:textId="1FB09EAD" w:rsidR="00637B74" w:rsidRPr="004C78D8" w:rsidRDefault="00A570ED" w:rsidP="00FB7C1F">
      <w:r w:rsidRPr="004C78D8">
        <w:t>According to ELSA Waves 4</w:t>
      </w:r>
      <w:r w:rsidR="00F25B67" w:rsidRPr="004C78D8">
        <w:t>-</w:t>
      </w:r>
      <w:r w:rsidRPr="004C78D8">
        <w:t xml:space="preserve">5, </w:t>
      </w:r>
      <w:r w:rsidR="00E344B9" w:rsidRPr="004C78D8">
        <w:t>receipt</w:t>
      </w:r>
      <w:r w:rsidR="000C3F9D" w:rsidRPr="004C78D8">
        <w:t xml:space="preserve"> of </w:t>
      </w:r>
      <w:r w:rsidR="002B57E6" w:rsidRPr="004C78D8">
        <w:t xml:space="preserve">any </w:t>
      </w:r>
      <w:r w:rsidR="000C3F9D" w:rsidRPr="004C78D8">
        <w:t xml:space="preserve">community healthcare service </w:t>
      </w:r>
      <w:r w:rsidR="00336127" w:rsidRPr="004C78D8">
        <w:t xml:space="preserve">differed significantly by frailty category: </w:t>
      </w:r>
      <w:r w:rsidR="002B57E6" w:rsidRPr="004C78D8">
        <w:t xml:space="preserve">among Fit or Mild individuals, the prevalence of </w:t>
      </w:r>
      <w:r w:rsidR="00E344B9" w:rsidRPr="004C78D8">
        <w:t>receipt</w:t>
      </w:r>
      <w:r w:rsidR="002B57E6" w:rsidRPr="004C78D8">
        <w:t xml:space="preserve"> was </w:t>
      </w:r>
      <w:r w:rsidR="00336127" w:rsidRPr="004C78D8">
        <w:t>0.02%</w:t>
      </w:r>
      <w:r w:rsidR="002B57E6" w:rsidRPr="004C78D8">
        <w:t>, compared to</w:t>
      </w:r>
      <w:r w:rsidR="00336127" w:rsidRPr="004C78D8">
        <w:t xml:space="preserve"> 1.23% </w:t>
      </w:r>
      <w:r w:rsidR="002B57E6" w:rsidRPr="004C78D8">
        <w:t>among</w:t>
      </w:r>
      <w:r w:rsidR="00336127" w:rsidRPr="004C78D8">
        <w:t xml:space="preserve"> Moderate</w:t>
      </w:r>
      <w:r w:rsidR="002B57E6" w:rsidRPr="004C78D8">
        <w:t xml:space="preserve"> </w:t>
      </w:r>
      <w:r w:rsidR="00336127" w:rsidRPr="004C78D8">
        <w:t xml:space="preserve">and 5.49% </w:t>
      </w:r>
      <w:r w:rsidR="002B57E6" w:rsidRPr="004C78D8">
        <w:t>among</w:t>
      </w:r>
      <w:r w:rsidR="00336127" w:rsidRPr="004C78D8">
        <w:t xml:space="preserve"> Severe. Given the very low prevalence </w:t>
      </w:r>
      <w:r w:rsidR="002B57E6" w:rsidRPr="004C78D8">
        <w:t>among</w:t>
      </w:r>
      <w:r w:rsidR="00336127" w:rsidRPr="004C78D8">
        <w:t xml:space="preserve"> Fit and Mild </w:t>
      </w:r>
      <w:r w:rsidR="002B57E6" w:rsidRPr="004C78D8">
        <w:t>groups</w:t>
      </w:r>
      <w:r w:rsidR="00336127" w:rsidRPr="004C78D8">
        <w:t xml:space="preserve">, it was assumed that </w:t>
      </w:r>
      <w:r w:rsidR="0017336F" w:rsidRPr="004C78D8">
        <w:t xml:space="preserve">the </w:t>
      </w:r>
      <w:r w:rsidR="00E344B9" w:rsidRPr="004C78D8">
        <w:t>receipt</w:t>
      </w:r>
      <w:r w:rsidR="0017336F" w:rsidRPr="004C78D8">
        <w:t xml:space="preserve"> was restricted to </w:t>
      </w:r>
      <w:r w:rsidR="00336127" w:rsidRPr="004C78D8">
        <w:t xml:space="preserve">those </w:t>
      </w:r>
      <w:r w:rsidR="00E344B9" w:rsidRPr="004C78D8">
        <w:t>with</w:t>
      </w:r>
      <w:r w:rsidR="00336127" w:rsidRPr="004C78D8">
        <w:t xml:space="preserve"> Moderate and Severe </w:t>
      </w:r>
      <w:r w:rsidR="0017336F" w:rsidRPr="004C78D8">
        <w:t xml:space="preserve">frailty. Multivariate logistic regression </w:t>
      </w:r>
      <w:r w:rsidR="00637B74" w:rsidRPr="004C78D8">
        <w:t xml:space="preserve">also </w:t>
      </w:r>
      <w:r w:rsidR="0017336F" w:rsidRPr="004C78D8">
        <w:t xml:space="preserve">found </w:t>
      </w:r>
      <w:r w:rsidR="00637B74" w:rsidRPr="004C78D8">
        <w:t xml:space="preserve">a </w:t>
      </w:r>
      <w:r w:rsidR="0017336F" w:rsidRPr="004C78D8">
        <w:t xml:space="preserve">significant association between </w:t>
      </w:r>
      <w:r w:rsidR="00E344B9" w:rsidRPr="004C78D8">
        <w:t>receipt</w:t>
      </w:r>
      <w:r w:rsidR="0017336F" w:rsidRPr="004C78D8">
        <w:t xml:space="preserve"> and </w:t>
      </w:r>
      <w:r w:rsidR="00637B74" w:rsidRPr="004C78D8">
        <w:t xml:space="preserve">cognitive impairment after controlling for frailty, but none for other </w:t>
      </w:r>
      <w:r w:rsidR="0017336F" w:rsidRPr="004C78D8">
        <w:t xml:space="preserve">characteristics including age, sex, </w:t>
      </w:r>
      <w:r w:rsidR="00E14EAC" w:rsidRPr="004C78D8">
        <w:t>SES</w:t>
      </w:r>
      <w:r w:rsidR="00E344B9" w:rsidRPr="004C78D8">
        <w:t>,</w:t>
      </w:r>
      <w:r w:rsidR="0017336F" w:rsidRPr="004C78D8">
        <w:t xml:space="preserve"> and falls history. Hence, </w:t>
      </w:r>
      <w:r w:rsidR="00E344B9" w:rsidRPr="004C78D8">
        <w:t>the receipt</w:t>
      </w:r>
      <w:r w:rsidR="00637B74" w:rsidRPr="004C78D8">
        <w:t xml:space="preserve"> was assigned to: 0</w:t>
      </w:r>
      <w:r w:rsidR="00393B5F" w:rsidRPr="004C78D8">
        <w:t>.</w:t>
      </w:r>
      <w:r w:rsidR="00637B74" w:rsidRPr="004C78D8">
        <w:t>62</w:t>
      </w:r>
      <w:r w:rsidR="00393B5F" w:rsidRPr="004C78D8">
        <w:t xml:space="preserve">% of </w:t>
      </w:r>
      <w:r w:rsidR="00637B74" w:rsidRPr="004C78D8">
        <w:t>cognitively intact</w:t>
      </w:r>
      <w:r w:rsidR="00E344B9" w:rsidRPr="004C78D8">
        <w:t>, Moderately frail</w:t>
      </w:r>
      <w:r w:rsidR="00637B74" w:rsidRPr="004C78D8">
        <w:t xml:space="preserve"> </w:t>
      </w:r>
      <w:r w:rsidR="0017336F" w:rsidRPr="004C78D8">
        <w:t>individuals</w:t>
      </w:r>
      <w:r w:rsidR="00637B74" w:rsidRPr="004C78D8">
        <w:t>; 2.57% of cognitively impaired</w:t>
      </w:r>
      <w:r w:rsidR="00E344B9" w:rsidRPr="004C78D8">
        <w:t>, Moderately frail</w:t>
      </w:r>
      <w:r w:rsidR="00637B74" w:rsidRPr="004C78D8">
        <w:t>; 2.52% of cognitively intact</w:t>
      </w:r>
      <w:r w:rsidR="00E344B9" w:rsidRPr="004C78D8">
        <w:t>, Severely frail</w:t>
      </w:r>
      <w:r w:rsidR="00637B74" w:rsidRPr="004C78D8">
        <w:t>;</w:t>
      </w:r>
      <w:r w:rsidR="00393B5F" w:rsidRPr="004C78D8">
        <w:t xml:space="preserve"> and </w:t>
      </w:r>
      <w:r w:rsidR="00637B74" w:rsidRPr="004C78D8">
        <w:t>9</w:t>
      </w:r>
      <w:r w:rsidR="00393B5F" w:rsidRPr="004C78D8">
        <w:t>.</w:t>
      </w:r>
      <w:r w:rsidR="00637B74" w:rsidRPr="004C78D8">
        <w:t>05</w:t>
      </w:r>
      <w:r w:rsidR="00393B5F" w:rsidRPr="004C78D8">
        <w:t xml:space="preserve">% of </w:t>
      </w:r>
      <w:r w:rsidR="00637B74" w:rsidRPr="004C78D8">
        <w:t>cognitively impaired</w:t>
      </w:r>
      <w:r w:rsidR="00E344B9" w:rsidRPr="004C78D8">
        <w:t>, Severely frail</w:t>
      </w:r>
      <w:r w:rsidR="0017336F" w:rsidRPr="004C78D8">
        <w:t>.</w:t>
      </w:r>
    </w:p>
    <w:p w14:paraId="6E303EE4" w14:textId="77CBD22B" w:rsidR="00CD4C6F" w:rsidRPr="004C78D8" w:rsidRDefault="00ED013C" w:rsidP="00FB7C1F">
      <w:r w:rsidRPr="004C78D8">
        <w:t>O</w:t>
      </w:r>
      <w:r w:rsidR="0017336F" w:rsidRPr="004C78D8">
        <w:t xml:space="preserve">nce assigned, the </w:t>
      </w:r>
      <w:r w:rsidR="00E344B9" w:rsidRPr="004C78D8">
        <w:t>receipt</w:t>
      </w:r>
      <w:r w:rsidR="0017336F" w:rsidRPr="004C78D8">
        <w:t xml:space="preserve"> was </w:t>
      </w:r>
      <w:r w:rsidRPr="004C78D8">
        <w:t xml:space="preserve">assumed to be </w:t>
      </w:r>
      <w:r w:rsidR="0017336F" w:rsidRPr="004C78D8">
        <w:t>maintained for the duration of the annual cycle.</w:t>
      </w:r>
      <w:r w:rsidR="00637B74" w:rsidRPr="004C78D8">
        <w:t xml:space="preserve"> </w:t>
      </w:r>
      <w:r w:rsidRPr="004C78D8">
        <w:t xml:space="preserve">To estimate the cost of annual receipt, the 2019 PSSRU report </w:t>
      </w:r>
      <w:r w:rsidR="00F25B67" w:rsidRPr="004C78D8">
        <w:t>estimated</w:t>
      </w:r>
      <w:r w:rsidRPr="004C78D8">
        <w:t xml:space="preserve"> the average cost per hour of work performed by </w:t>
      </w:r>
      <w:r w:rsidR="00F25B67" w:rsidRPr="004C78D8">
        <w:t xml:space="preserve">Band 5 </w:t>
      </w:r>
      <w:r w:rsidRPr="004C78D8">
        <w:t xml:space="preserve">district and community nurses </w:t>
      </w:r>
      <w:r w:rsidR="00583AFF" w:rsidRPr="004C78D8">
        <w:fldChar w:fldCharType="begin"/>
      </w:r>
      <w:r w:rsidR="00C630FC" w:rsidRPr="004C78D8">
        <w:instrText xml:space="preserve"> ADDIN EN.CITE &lt;EndNote&gt;&lt;Cite&gt;&lt;Author&gt;Curtis&lt;/Author&gt;&lt;Year&gt;2019&lt;/Year&gt;&lt;RecNum&gt;135&lt;/RecNum&gt;&lt;DisplayText&gt;[401]&lt;/DisplayText&gt;&lt;record&gt;&lt;rec-number&gt;135&lt;/rec-number&gt;&lt;foreign-keys&gt;&lt;key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00583AFF" w:rsidRPr="004C78D8">
        <w:fldChar w:fldCharType="separate"/>
      </w:r>
      <w:r w:rsidR="00C630FC" w:rsidRPr="004C78D8">
        <w:rPr>
          <w:noProof/>
        </w:rPr>
        <w:t>[401]</w:t>
      </w:r>
      <w:r w:rsidR="00583AFF" w:rsidRPr="004C78D8">
        <w:fldChar w:fldCharType="end"/>
      </w:r>
      <w:r w:rsidRPr="004C78D8">
        <w:t>: £60 at 2018/19 price</w:t>
      </w:r>
      <w:r w:rsidR="00F25B67" w:rsidRPr="004C78D8">
        <w:t>, equivalent</w:t>
      </w:r>
      <w:r w:rsidRPr="004C78D8">
        <w:t xml:space="preserve"> to £64.1</w:t>
      </w:r>
      <w:r w:rsidR="00583AFF" w:rsidRPr="004C78D8">
        <w:t>0</w:t>
      </w:r>
      <w:r w:rsidRPr="004C78D8">
        <w:t xml:space="preserve"> at 2021/22 price after applying 2018/19 NHS pay inflation of 2.24%</w:t>
      </w:r>
      <w:r w:rsidR="00E106A5" w:rsidRPr="004C78D8">
        <w:t xml:space="preserve">. Recent PSSRU reports did not state the estimated duration of each nurse visit, but the 2010 PSSRU report estimated this to be 20 minutes </w:t>
      </w:r>
      <w:r w:rsidR="00583AFF" w:rsidRPr="004C78D8">
        <w:fldChar w:fldCharType="begin"/>
      </w:r>
      <w:r w:rsidR="00C630FC" w:rsidRPr="004C78D8">
        <w:instrText xml:space="preserve"> ADDIN EN.CITE &lt;EndNote&gt;&lt;Cite&gt;&lt;Author&gt;Curtis&lt;/Author&gt;&lt;Year&gt;2010&lt;/Year&gt;&lt;RecNum&gt;511&lt;/RecNum&gt;&lt;DisplayText&gt;[402]&lt;/DisplayText&gt;&lt;record&gt;&lt;rec-number&gt;511&lt;/rec-number&gt;&lt;foreign-keys&gt;&lt;key app="EN" db-id="tdtrdw9aepptzbefsat599syza29sxsd2wsp" timestamp="1617877197"&gt;511&lt;/key&gt;&lt;/foreign-keys&gt;&lt;ref-type name="Journal Article"&gt;17&lt;/ref-type&gt;&lt;contributors&gt;&lt;authors&gt;&lt;author&gt;Curtis, L&lt;/author&gt;&lt;/authors&gt;&lt;/contributors&gt;&lt;titles&gt;&lt;title&gt;Unit costs of health and social care 2010&lt;/title&gt;&lt;secondary-title&gt;Canterbury: PSSRU, University of Kent&lt;/secondary-title&gt;&lt;/titles&gt;&lt;periodical&gt;&lt;full-title&gt;Canterbury: PSSRU, University of Kent&lt;/full-title&gt;&lt;/periodical&gt;&lt;dates&gt;&lt;year&gt;2010&lt;/year&gt;&lt;/dates&gt;&lt;urls&gt;&lt;/urls&gt;&lt;/record&gt;&lt;/Cite&gt;&lt;/EndNote&gt;</w:instrText>
      </w:r>
      <w:r w:rsidR="00583AFF" w:rsidRPr="004C78D8">
        <w:fldChar w:fldCharType="separate"/>
      </w:r>
      <w:r w:rsidR="00C630FC" w:rsidRPr="004C78D8">
        <w:rPr>
          <w:noProof/>
        </w:rPr>
        <w:t>[402]</w:t>
      </w:r>
      <w:r w:rsidR="00583AFF" w:rsidRPr="004C78D8">
        <w:fldChar w:fldCharType="end"/>
      </w:r>
      <w:r w:rsidR="00E106A5" w:rsidRPr="004C78D8">
        <w:t xml:space="preserve">. </w:t>
      </w:r>
      <w:r w:rsidR="00B32BA1" w:rsidRPr="004C78D8">
        <w:t xml:space="preserve">The 2019 PSSRU report estimated that the community nurse would work 225 days per year, </w:t>
      </w:r>
      <w:r w:rsidR="00637B74" w:rsidRPr="004C78D8">
        <w:t>and</w:t>
      </w:r>
      <w:r w:rsidR="00B32BA1" w:rsidRPr="004C78D8">
        <w:t xml:space="preserve"> the NHS job description for </w:t>
      </w:r>
      <w:r w:rsidR="0068475B" w:rsidRPr="004C78D8">
        <w:t xml:space="preserve">a </w:t>
      </w:r>
      <w:r w:rsidR="00B32BA1" w:rsidRPr="004C78D8">
        <w:t>district nurse stated that the nurses would make daily visits on their assigned patients</w:t>
      </w:r>
      <w:r w:rsidR="00583AFF" w:rsidRPr="004C78D8">
        <w:t xml:space="preserve"> </w:t>
      </w:r>
      <w:r w:rsidR="00583AFF" w:rsidRPr="004C78D8">
        <w:fldChar w:fldCharType="begin"/>
      </w:r>
      <w:r w:rsidR="00C630FC" w:rsidRPr="004C78D8">
        <w:instrText xml:space="preserve"> ADDIN EN.CITE &lt;EndNote&gt;&lt;Cite&gt;&lt;Author&gt;National Health Service&lt;/Author&gt;&lt;Year&gt;2020&lt;/Year&gt;&lt;RecNum&gt;147&lt;/RecNum&gt;&lt;DisplayText&gt;[403]&lt;/DisplayText&gt;&lt;record&gt;&lt;rec-number&gt;147&lt;/rec-number&gt;&lt;foreign-keys&gt;&lt;key app="EN" db-id="tdtrdw9aepptzbefsat599syza29sxsd2wsp" timestamp="1603311677"&gt;147&lt;/key&gt;&lt;/foreign-keys&gt;&lt;ref-type name="Web Page"&gt;12&lt;/ref-type&gt;&lt;contributors&gt;&lt;authors&gt;&lt;author&gt;National Health Service,&lt;/author&gt;&lt;/authors&gt;&lt;/contributors&gt;&lt;titles&gt;&lt;title&gt;Health Careers: District Nurse&lt;/title&gt;&lt;/titles&gt;&lt;dates&gt;&lt;year&gt;2020&lt;/year&gt;&lt;/dates&gt;&lt;urls&gt;&lt;related-urls&gt;&lt;url&gt;https://www.healthcareers.nhs.uk/explore-roles/nursing/roles-nursing/district-nurse&lt;/url&gt;&lt;/related-urls&gt;&lt;/urls&gt;&lt;/record&gt;&lt;/Cite&gt;&lt;/EndNote&gt;</w:instrText>
      </w:r>
      <w:r w:rsidR="00583AFF" w:rsidRPr="004C78D8">
        <w:fldChar w:fldCharType="separate"/>
      </w:r>
      <w:r w:rsidR="00C630FC" w:rsidRPr="004C78D8">
        <w:rPr>
          <w:noProof/>
        </w:rPr>
        <w:t>[403]</w:t>
      </w:r>
      <w:r w:rsidR="00583AFF" w:rsidRPr="004C78D8">
        <w:fldChar w:fldCharType="end"/>
      </w:r>
      <w:r w:rsidR="00B32BA1" w:rsidRPr="004C78D8">
        <w:t xml:space="preserve">. This equated to 225 visits by the nurse for each patient every year, or 75 hours of work if each visit lasted 20 minutes. Applying the hourly cost, this equated to £4,809.22 per patient. It was assumed that the number of visits and the length of each visit did not vary </w:t>
      </w:r>
      <w:r w:rsidR="00B841E4" w:rsidRPr="004C78D8">
        <w:t>by frailty and cognitive status</w:t>
      </w:r>
      <w:r w:rsidR="00D76463" w:rsidRPr="004C78D8">
        <w:t xml:space="preserve"> and hence that the same annual cost can be applied to all recipients</w:t>
      </w:r>
      <w:r w:rsidR="00B32BA1" w:rsidRPr="004C78D8">
        <w:t xml:space="preserve">. </w:t>
      </w:r>
      <w:r w:rsidR="00AE1E31" w:rsidRPr="004C78D8">
        <w:t xml:space="preserve">This was based on the observation that the intensity of care need – measured by the number of activities of daily living </w:t>
      </w:r>
      <w:r w:rsidR="00E9716F" w:rsidRPr="004C78D8">
        <w:t>(ADL</w:t>
      </w:r>
      <w:r w:rsidR="00F25B67" w:rsidRPr="004C78D8">
        <w:t>s</w:t>
      </w:r>
      <w:r w:rsidR="00E9716F" w:rsidRPr="004C78D8">
        <w:t xml:space="preserve">) </w:t>
      </w:r>
      <w:r w:rsidR="00AE1E31" w:rsidRPr="004C78D8">
        <w:t xml:space="preserve">requiring assistance – </w:t>
      </w:r>
      <w:r w:rsidR="00B86C1F" w:rsidRPr="004C78D8">
        <w:t>varied only modestly between frailty and cognitive status subgroups</w:t>
      </w:r>
      <w:r w:rsidR="00AE1E31" w:rsidRPr="004C78D8">
        <w:t>.</w:t>
      </w:r>
      <w:r w:rsidR="00D26C6B" w:rsidRPr="004C78D8">
        <w:t xml:space="preserve"> </w:t>
      </w:r>
    </w:p>
    <w:p w14:paraId="120BC8F4" w14:textId="496AD046" w:rsidR="00FF32A7" w:rsidRPr="004C78D8" w:rsidRDefault="00CB1FBA" w:rsidP="00FB7C1F">
      <w:pPr>
        <w:pStyle w:val="Heading5"/>
      </w:pPr>
      <w:r w:rsidRPr="004C78D8">
        <w:t>Short-term s</w:t>
      </w:r>
      <w:r w:rsidR="00FF32A7" w:rsidRPr="004C78D8">
        <w:t>ocial care costs</w:t>
      </w:r>
    </w:p>
    <w:p w14:paraId="31415CCD" w14:textId="1F9EC327" w:rsidR="00CA4663" w:rsidRPr="004C78D8" w:rsidRDefault="006F6571" w:rsidP="00FB7C1F">
      <w:r w:rsidRPr="004C78D8">
        <w:t>According to ELSA Waves 4</w:t>
      </w:r>
      <w:r w:rsidR="00F25B67" w:rsidRPr="004C78D8">
        <w:t>-</w:t>
      </w:r>
      <w:r w:rsidRPr="004C78D8">
        <w:t xml:space="preserve">5, </w:t>
      </w:r>
      <w:r w:rsidR="00CA4663" w:rsidRPr="004C78D8">
        <w:t>2.5% of those aged 65</w:t>
      </w:r>
      <w:r w:rsidR="00281B30" w:rsidRPr="004C78D8">
        <w:t>+</w:t>
      </w:r>
      <w:r w:rsidR="00CA4663" w:rsidRPr="004C78D8">
        <w:t xml:space="preserve"> received any social care from local authority or social services. </w:t>
      </w:r>
      <w:r w:rsidR="006F5A5D" w:rsidRPr="004C78D8">
        <w:t>This</w:t>
      </w:r>
      <w:r w:rsidR="00CA4663" w:rsidRPr="004C78D8">
        <w:t xml:space="preserve"> is close to the </w:t>
      </w:r>
      <w:r w:rsidR="006F5A5D" w:rsidRPr="004C78D8">
        <w:t>proportion</w:t>
      </w:r>
      <w:r w:rsidR="00CA4663" w:rsidRPr="004C78D8">
        <w:t xml:space="preserve"> </w:t>
      </w:r>
      <w:r w:rsidR="006F5A5D" w:rsidRPr="004C78D8">
        <w:t xml:space="preserve">reported for Sheffield in the 2018/19 Adult Social Care Activity and Finance Report which documented </w:t>
      </w:r>
      <w:r w:rsidR="00CA4663" w:rsidRPr="004C78D8">
        <w:t xml:space="preserve">2,500 new clients receiving short-term care from </w:t>
      </w:r>
      <w:r w:rsidR="00281B30" w:rsidRPr="004C78D8">
        <w:t>SCC</w:t>
      </w:r>
      <w:r w:rsidR="00CA4663" w:rsidRPr="004C78D8">
        <w:t xml:space="preserve"> </w:t>
      </w:r>
      <w:r w:rsidR="006F5A5D" w:rsidRPr="004C78D8">
        <w:t>in 2018, equivalent to 2.7% of the total Sheffield population aged 65</w:t>
      </w:r>
      <w:r w:rsidR="00281B30" w:rsidRPr="004C78D8">
        <w:t>+</w:t>
      </w:r>
      <w:r w:rsidR="006F5A5D" w:rsidRPr="004C78D8">
        <w:t xml:space="preserve"> in the same year</w:t>
      </w:r>
      <w:r w:rsidR="00CA4663" w:rsidRPr="004C78D8">
        <w:t xml:space="preserve"> </w:t>
      </w:r>
      <w:r w:rsidR="006F5A5D" w:rsidRPr="004C78D8">
        <w:t>(</w:t>
      </w:r>
      <w:r w:rsidR="00CA4663" w:rsidRPr="004C78D8">
        <w:t>93,374</w:t>
      </w:r>
      <w:r w:rsidR="006F5A5D" w:rsidRPr="004C78D8">
        <w:t>)</w:t>
      </w:r>
      <w:r w:rsidR="00CA4663" w:rsidRPr="004C78D8">
        <w:t xml:space="preserve"> </w:t>
      </w:r>
      <w:r w:rsidR="00306409" w:rsidRPr="004C78D8">
        <w:fldChar w:fldCharType="begin"/>
      </w:r>
      <w:r w:rsidR="00C630FC" w:rsidRPr="004C78D8">
        <w:instrText xml:space="preserve"> ADDIN EN.CITE &lt;EndNote&gt;&lt;Cite&gt;&lt;Author&gt;NHS Digital&lt;/Author&gt;&lt;Year&gt;2019&lt;/Year&gt;&lt;RecNum&gt;138&lt;/RecNum&gt;&lt;DisplayText&gt;[390]&lt;/DisplayText&gt;&lt;record&gt;&lt;rec-number&gt;138&lt;/rec-number&gt;&lt;foreign-keys&gt;&lt;key app="EN" db-id="tdtrdw9aepptzbefsat599syza29sxsd2wsp" timestamp="1599839856"&gt;138&lt;/key&gt;&lt;/foreign-keys&gt;&lt;ref-type name="Journal Article"&gt;17&lt;/ref-type&gt;&lt;contributors&gt;&lt;authors&gt;&lt;author&gt;NHS Digital,&lt;/author&gt;&lt;/authors&gt;&lt;/contributors&gt;&lt;titles&gt;&lt;title&gt;Adult Social Care Activity and Finance Report, England - 2018-19&lt;/title&gt;&lt;/titles&gt;&lt;dates&gt;&lt;year&gt;2019&lt;/year&gt;&lt;/dates&gt;&lt;urls&gt;&lt;/urls&gt;&lt;/record&gt;&lt;/Cite&gt;&lt;/EndNote&gt;</w:instrText>
      </w:r>
      <w:r w:rsidR="00306409" w:rsidRPr="004C78D8">
        <w:fldChar w:fldCharType="separate"/>
      </w:r>
      <w:r w:rsidR="00C630FC" w:rsidRPr="004C78D8">
        <w:rPr>
          <w:noProof/>
        </w:rPr>
        <w:t>[390]</w:t>
      </w:r>
      <w:r w:rsidR="00306409" w:rsidRPr="004C78D8">
        <w:fldChar w:fldCharType="end"/>
      </w:r>
      <w:r w:rsidR="00CA4663" w:rsidRPr="004C78D8">
        <w:t xml:space="preserve">. Disaggregating the prevalence rate by frailty category, 0.1% of those in Fit or Mild categories, 7.54% in Moderate and 24.26% in Severe received any social care. </w:t>
      </w:r>
      <w:r w:rsidR="006F5A5D" w:rsidRPr="004C78D8">
        <w:t>I</w:t>
      </w:r>
      <w:r w:rsidRPr="004C78D8">
        <w:t xml:space="preserve">t was </w:t>
      </w:r>
      <w:r w:rsidR="00CA4663" w:rsidRPr="004C78D8">
        <w:t xml:space="preserve">hence </w:t>
      </w:r>
      <w:r w:rsidRPr="004C78D8">
        <w:t xml:space="preserve">assumed that only the Moderately and Severely frail individuals received social care </w:t>
      </w:r>
      <w:r w:rsidR="00335504" w:rsidRPr="004C78D8">
        <w:t>at</w:t>
      </w:r>
      <w:r w:rsidRPr="004C78D8">
        <w:t xml:space="preserve"> their respective </w:t>
      </w:r>
      <w:r w:rsidR="00CA4663" w:rsidRPr="004C78D8">
        <w:t xml:space="preserve">ELSA </w:t>
      </w:r>
      <w:r w:rsidRPr="004C78D8">
        <w:t xml:space="preserve">prevalence rates. </w:t>
      </w:r>
      <w:r w:rsidR="00306409" w:rsidRPr="004C78D8">
        <w:t>T</w:t>
      </w:r>
      <w:r w:rsidR="00C33C17" w:rsidRPr="004C78D8">
        <w:t xml:space="preserve">he prevalence </w:t>
      </w:r>
      <w:r w:rsidR="00306409" w:rsidRPr="004C78D8">
        <w:t xml:space="preserve">also varied significantly </w:t>
      </w:r>
      <w:r w:rsidR="00C33C17" w:rsidRPr="004C78D8">
        <w:t xml:space="preserve">by cognitive status: 5.37% in Moderate frailty and cognitively intact; 12.33% in Moderate frailty and cognitively impaired; 18.91% in Severe frailty and cognitively intact; and 30.65% in Severe frailty and cognitively impaired. </w:t>
      </w:r>
    </w:p>
    <w:p w14:paraId="0E83B0DC" w14:textId="65582CD6" w:rsidR="001E629A" w:rsidRPr="004C78D8" w:rsidRDefault="00F53986" w:rsidP="00FB7C1F">
      <w:r w:rsidRPr="004C78D8">
        <w:t xml:space="preserve">According to the Age UK online care home cost calculator, the minimum hourly cost paid by </w:t>
      </w:r>
      <w:r w:rsidR="00281B30" w:rsidRPr="004C78D8">
        <w:t>SCC</w:t>
      </w:r>
      <w:r w:rsidRPr="004C78D8">
        <w:t xml:space="preserve"> to home care providers </w:t>
      </w:r>
      <w:r w:rsidR="00D661AA" w:rsidRPr="004C78D8">
        <w:t xml:space="preserve">was </w:t>
      </w:r>
      <w:r w:rsidRPr="004C78D8">
        <w:t xml:space="preserve">£20.75 </w:t>
      </w:r>
      <w:r w:rsidR="00D661AA" w:rsidRPr="004C78D8">
        <w:t xml:space="preserve">in 2020 </w:t>
      </w:r>
      <w:r w:rsidR="00D661AA" w:rsidRPr="004C78D8">
        <w:fldChar w:fldCharType="begin"/>
      </w:r>
      <w:r w:rsidR="00C630FC" w:rsidRPr="004C78D8">
        <w:instrText xml:space="preserve"> ADDIN EN.CITE &lt;EndNote&gt;&lt;Cite&gt;&lt;Author&gt;Age UK&lt;/Author&gt;&lt;Year&gt;2020&lt;/Year&gt;&lt;RecNum&gt;146&lt;/RecNum&gt;&lt;DisplayText&gt;[404]&lt;/DisplayText&gt;&lt;record&gt;&lt;rec-number&gt;146&lt;/rec-number&gt;&lt;foreign-keys&gt;&lt;key app="EN" db-id="tdtrdw9aepptzbefsat599syza29sxsd2wsp" timestamp="1603311179"&gt;146&lt;/key&gt;&lt;/foreign-keys&gt;&lt;ref-type name="Web Page"&gt;12&lt;/ref-type&gt;&lt;contributors&gt;&lt;authors&gt;&lt;author&gt;Age UK,&lt;/author&gt;&lt;/authors&gt;&lt;/contributors&gt;&lt;titles&gt;&lt;title&gt;How much does care cost?&lt;/title&gt;&lt;/titles&gt;&lt;dates&gt;&lt;year&gt;2020&lt;/year&gt;&lt;/dates&gt;&lt;urls&gt;&lt;related-urls&gt;&lt;url&gt;https://www.ageuk.org.uk/information-advice/care/paying-for-care/local-care-costs/&lt;/url&gt;&lt;/related-urls&gt;&lt;/urls&gt;&lt;/record&gt;&lt;/Cite&gt;&lt;/EndNote&gt;</w:instrText>
      </w:r>
      <w:r w:rsidR="00D661AA" w:rsidRPr="004C78D8">
        <w:fldChar w:fldCharType="separate"/>
      </w:r>
      <w:r w:rsidR="00C630FC" w:rsidRPr="004C78D8">
        <w:rPr>
          <w:noProof/>
        </w:rPr>
        <w:t>[404]</w:t>
      </w:r>
      <w:r w:rsidR="00D661AA" w:rsidRPr="004C78D8">
        <w:fldChar w:fldCharType="end"/>
      </w:r>
      <w:r w:rsidRPr="004C78D8">
        <w:t xml:space="preserve">. </w:t>
      </w:r>
      <w:r w:rsidR="00B81969" w:rsidRPr="004C78D8">
        <w:t>PSSRU 2019</w:t>
      </w:r>
      <w:r w:rsidR="00335504" w:rsidRPr="004C78D8">
        <w:t xml:space="preserve"> reported that the average local authority-commissioned home care per patient per week was 12.8 hours. However, this figure neglects the variation in care hours</w:t>
      </w:r>
      <w:r w:rsidR="00D751BC" w:rsidRPr="004C78D8">
        <w:t>/intensity</w:t>
      </w:r>
      <w:r w:rsidR="00335504" w:rsidRPr="004C78D8">
        <w:t xml:space="preserve"> by </w:t>
      </w:r>
      <w:r w:rsidR="00F312A0" w:rsidRPr="004C78D8">
        <w:t>patients’ health status</w:t>
      </w:r>
      <w:r w:rsidR="00335504" w:rsidRPr="004C78D8">
        <w:t xml:space="preserve">. As a measure of care </w:t>
      </w:r>
      <w:r w:rsidR="00A12DE6" w:rsidRPr="004C78D8">
        <w:t>intensity</w:t>
      </w:r>
      <w:r w:rsidR="00335504" w:rsidRPr="004C78D8">
        <w:t xml:space="preserve">, ELSA Wave 4 contained a variable on the frequency of social care visit: every day or nearly every day; </w:t>
      </w:r>
      <w:r w:rsidR="00281B30" w:rsidRPr="004C78D8">
        <w:t>two</w:t>
      </w:r>
      <w:r w:rsidR="00FB5231" w:rsidRPr="004C78D8">
        <w:t>/</w:t>
      </w:r>
      <w:r w:rsidR="00281B30" w:rsidRPr="004C78D8">
        <w:t>three</w:t>
      </w:r>
      <w:r w:rsidR="00335504" w:rsidRPr="004C78D8">
        <w:t xml:space="preserve"> times per week; and once per week or less</w:t>
      </w:r>
      <w:r w:rsidR="00A9154C" w:rsidRPr="004C78D8">
        <w:t xml:space="preserve"> </w:t>
      </w:r>
      <w:r w:rsidR="007D195C" w:rsidRPr="004C78D8">
        <w:t>(no corresponding variable was available for community healthcare)</w:t>
      </w:r>
      <w:r w:rsidR="00335504" w:rsidRPr="004C78D8">
        <w:t xml:space="preserve">. </w:t>
      </w:r>
      <w:r w:rsidR="002E76FD" w:rsidRPr="004C78D8">
        <w:t xml:space="preserve">PSSRU 2019 </w:t>
      </w:r>
      <w:r w:rsidR="00335504" w:rsidRPr="004C78D8">
        <w:t>described</w:t>
      </w:r>
      <w:r w:rsidR="002E76FD" w:rsidRPr="004C78D8">
        <w:t xml:space="preserve"> home care </w:t>
      </w:r>
      <w:r w:rsidR="00335504" w:rsidRPr="004C78D8">
        <w:t>being</w:t>
      </w:r>
      <w:r w:rsidR="002E76FD" w:rsidRPr="004C78D8">
        <w:t xml:space="preserve"> received on weekdays as well as weekends</w:t>
      </w:r>
      <w:r w:rsidR="00335504" w:rsidRPr="004C78D8">
        <w:t>. Therefore,</w:t>
      </w:r>
      <w:r w:rsidR="002E76FD" w:rsidRPr="004C78D8">
        <w:t xml:space="preserve"> </w:t>
      </w:r>
      <w:r w:rsidR="00335504" w:rsidRPr="004C78D8">
        <w:t>those re</w:t>
      </w:r>
      <w:r w:rsidR="00B0676C" w:rsidRPr="004C78D8">
        <w:t xml:space="preserve">porting </w:t>
      </w:r>
      <w:r w:rsidR="00A9154C" w:rsidRPr="004C78D8">
        <w:t xml:space="preserve">receipt of </w:t>
      </w:r>
      <w:r w:rsidR="00B0676C" w:rsidRPr="004C78D8">
        <w:t xml:space="preserve">daily </w:t>
      </w:r>
      <w:r w:rsidR="00CB495D" w:rsidRPr="004C78D8">
        <w:t xml:space="preserve">or near-daily </w:t>
      </w:r>
      <w:r w:rsidR="00B0676C" w:rsidRPr="004C78D8">
        <w:t xml:space="preserve">care in ELSA </w:t>
      </w:r>
      <w:r w:rsidR="00335504" w:rsidRPr="004C78D8">
        <w:t xml:space="preserve">were assumed to receive </w:t>
      </w:r>
      <w:r w:rsidR="00281B30" w:rsidRPr="004C78D8">
        <w:t>seven</w:t>
      </w:r>
      <w:r w:rsidR="00335504" w:rsidRPr="004C78D8">
        <w:t xml:space="preserve"> visits per week</w:t>
      </w:r>
      <w:r w:rsidR="00B0676C" w:rsidRPr="004C78D8">
        <w:t xml:space="preserve">; those reporting </w:t>
      </w:r>
      <w:r w:rsidR="00281B30" w:rsidRPr="004C78D8">
        <w:t>two/three</w:t>
      </w:r>
      <w:r w:rsidR="00B0676C" w:rsidRPr="004C78D8">
        <w:t xml:space="preserve"> visits, </w:t>
      </w:r>
      <w:r w:rsidR="00281B30" w:rsidRPr="004C78D8">
        <w:t>two</w:t>
      </w:r>
      <w:r w:rsidR="00B0676C" w:rsidRPr="004C78D8">
        <w:t xml:space="preserve"> visits; and those reporting one visit or less, one visit. If each visit was assumed to last 2.5 hours, this produced a weighted average of 13</w:t>
      </w:r>
      <w:r w:rsidR="00500FB4" w:rsidRPr="004C78D8">
        <w:t>.0</w:t>
      </w:r>
      <w:r w:rsidR="00B0676C" w:rsidRPr="004C78D8">
        <w:t xml:space="preserve"> hours per patient per week which is close to the 12.8 reported by PSSRU 2019. Hence, those receiving daily visits received 17.5 care hours per week</w:t>
      </w:r>
      <w:r w:rsidR="00097BD4" w:rsidRPr="004C78D8">
        <w:t xml:space="preserve"> costing £</w:t>
      </w:r>
      <w:r w:rsidR="00B81969" w:rsidRPr="004C78D8">
        <w:t>363</w:t>
      </w:r>
      <w:r w:rsidR="00097BD4" w:rsidRPr="004C78D8">
        <w:t>.</w:t>
      </w:r>
      <w:r w:rsidR="00B81969" w:rsidRPr="004C78D8">
        <w:t>13</w:t>
      </w:r>
      <w:r w:rsidR="00097BD4" w:rsidRPr="004C78D8">
        <w:t xml:space="preserve"> per week</w:t>
      </w:r>
      <w:r w:rsidR="00B81969" w:rsidRPr="004C78D8">
        <w:t xml:space="preserve"> (at Age UK </w:t>
      </w:r>
      <w:r w:rsidR="00D661AA" w:rsidRPr="004C78D8">
        <w:t>rate</w:t>
      </w:r>
      <w:r w:rsidR="00B81969" w:rsidRPr="004C78D8">
        <w:t xml:space="preserve"> of £20.75)</w:t>
      </w:r>
      <w:r w:rsidR="00FE021C" w:rsidRPr="004C78D8">
        <w:t>, £1</w:t>
      </w:r>
      <w:r w:rsidR="00B81969" w:rsidRPr="004C78D8">
        <w:t>03.75</w:t>
      </w:r>
      <w:r w:rsidR="00FE021C" w:rsidRPr="004C78D8">
        <w:t xml:space="preserve"> for twice/week patients and £</w:t>
      </w:r>
      <w:r w:rsidR="00B81969" w:rsidRPr="004C78D8">
        <w:t>51</w:t>
      </w:r>
      <w:r w:rsidR="00FE021C" w:rsidRPr="004C78D8">
        <w:t>.</w:t>
      </w:r>
      <w:r w:rsidR="00B81969" w:rsidRPr="004C78D8">
        <w:t>88</w:t>
      </w:r>
      <w:r w:rsidR="00FE021C" w:rsidRPr="004C78D8">
        <w:t xml:space="preserve"> for once/week patients. </w:t>
      </w:r>
    </w:p>
    <w:p w14:paraId="570B9C6A" w14:textId="6F58D4D4" w:rsidR="00D717FB" w:rsidRPr="004C78D8" w:rsidRDefault="00A9154C" w:rsidP="00FB7C1F">
      <w:r w:rsidRPr="004C78D8">
        <w:t xml:space="preserve">Given its short-term nature, social care </w:t>
      </w:r>
      <w:r w:rsidR="00D27867" w:rsidRPr="004C78D8">
        <w:t>would</w:t>
      </w:r>
      <w:r w:rsidRPr="004C78D8">
        <w:t xml:space="preserve"> not </w:t>
      </w:r>
      <w:r w:rsidR="00D27867" w:rsidRPr="004C78D8">
        <w:t xml:space="preserve">be </w:t>
      </w:r>
      <w:r w:rsidRPr="004C78D8">
        <w:t xml:space="preserve">provided all-year around. According to the 2018/19 Adult Social Care Activity and Finance Report, </w:t>
      </w:r>
      <w:r w:rsidR="00281B30" w:rsidRPr="004C78D8">
        <w:t>SCC</w:t>
      </w:r>
      <w:r w:rsidRPr="004C78D8">
        <w:t xml:space="preserve"> spent £5,539,000 in that year for 2,500 short-term social care clients aged 65</w:t>
      </w:r>
      <w:r w:rsidR="00281B30" w:rsidRPr="004C78D8">
        <w:t>+</w:t>
      </w:r>
      <w:r w:rsidRPr="004C78D8">
        <w:t xml:space="preserve"> </w:t>
      </w:r>
      <w:r w:rsidR="00E20435" w:rsidRPr="004C78D8">
        <w:fldChar w:fldCharType="begin"/>
      </w:r>
      <w:r w:rsidR="00C630FC" w:rsidRPr="004C78D8">
        <w:instrText xml:space="preserve"> ADDIN EN.CITE &lt;EndNote&gt;&lt;Cite&gt;&lt;Author&gt;NHS Digital&lt;/Author&gt;&lt;Year&gt;2019&lt;/Year&gt;&lt;RecNum&gt;138&lt;/RecNum&gt;&lt;DisplayText&gt;[390]&lt;/DisplayText&gt;&lt;record&gt;&lt;rec-number&gt;138&lt;/rec-number&gt;&lt;foreign-keys&gt;&lt;key app="EN" db-id="tdtrdw9aepptzbefsat599syza29sxsd2wsp" timestamp="1599839856"&gt;138&lt;/key&gt;&lt;/foreign-keys&gt;&lt;ref-type name="Journal Article"&gt;17&lt;/ref-type&gt;&lt;contributors&gt;&lt;authors&gt;&lt;author&gt;NHS Digital,&lt;/author&gt;&lt;/authors&gt;&lt;/contributors&gt;&lt;titles&gt;&lt;title&gt;Adult Social Care Activity and Finance Report, England - 2018-19&lt;/title&gt;&lt;/titles&gt;&lt;dates&gt;&lt;year&gt;2019&lt;/year&gt;&lt;/dates&gt;&lt;urls&gt;&lt;/urls&gt;&lt;/record&gt;&lt;/Cite&gt;&lt;/EndNote&gt;</w:instrText>
      </w:r>
      <w:r w:rsidR="00E20435" w:rsidRPr="004C78D8">
        <w:fldChar w:fldCharType="separate"/>
      </w:r>
      <w:r w:rsidR="00C630FC" w:rsidRPr="004C78D8">
        <w:rPr>
          <w:noProof/>
        </w:rPr>
        <w:t>[390]</w:t>
      </w:r>
      <w:r w:rsidR="00E20435" w:rsidRPr="004C78D8">
        <w:fldChar w:fldCharType="end"/>
      </w:r>
      <w:r w:rsidRPr="004C78D8">
        <w:t>. This amounts to an average of £2,215.6</w:t>
      </w:r>
      <w:r w:rsidR="00E20435" w:rsidRPr="004C78D8">
        <w:t>0</w:t>
      </w:r>
      <w:r w:rsidRPr="004C78D8">
        <w:t xml:space="preserve"> per client. </w:t>
      </w:r>
      <w:r w:rsidR="003E0E26" w:rsidRPr="004C78D8">
        <w:t>Under the above assumptions of 2.5 hours per visit and £2</w:t>
      </w:r>
      <w:r w:rsidR="00B81969" w:rsidRPr="004C78D8">
        <w:t>0</w:t>
      </w:r>
      <w:r w:rsidR="003E0E26" w:rsidRPr="004C78D8">
        <w:t>.</w:t>
      </w:r>
      <w:r w:rsidR="00B81969" w:rsidRPr="004C78D8">
        <w:t>75</w:t>
      </w:r>
      <w:r w:rsidR="003E0E26" w:rsidRPr="004C78D8">
        <w:t xml:space="preserve"> per care hour, the weighted average of care cost is £</w:t>
      </w:r>
      <w:r w:rsidR="00B81969" w:rsidRPr="004C78D8">
        <w:t>269</w:t>
      </w:r>
      <w:r w:rsidR="003E0E26" w:rsidRPr="004C78D8">
        <w:t>.</w:t>
      </w:r>
      <w:r w:rsidR="00B81969" w:rsidRPr="004C78D8">
        <w:t>75</w:t>
      </w:r>
      <w:r w:rsidR="003E0E26" w:rsidRPr="004C78D8">
        <w:t xml:space="preserve"> per week. </w:t>
      </w:r>
      <w:r w:rsidR="001F1157" w:rsidRPr="004C78D8">
        <w:t>If all clients receive the same number of weeks of care, t</w:t>
      </w:r>
      <w:r w:rsidR="003E0E26" w:rsidRPr="004C78D8">
        <w:t xml:space="preserve">his corresponds to </w:t>
      </w:r>
      <w:r w:rsidR="00B81969" w:rsidRPr="004C78D8">
        <w:t>8</w:t>
      </w:r>
      <w:r w:rsidR="00F61323" w:rsidRPr="004C78D8">
        <w:t>.</w:t>
      </w:r>
      <w:r w:rsidR="00B81969" w:rsidRPr="004C78D8">
        <w:t>21</w:t>
      </w:r>
      <w:r w:rsidR="003E0E26" w:rsidRPr="004C78D8">
        <w:t xml:space="preserve"> weeks of care per client.</w:t>
      </w:r>
      <w:r w:rsidR="00F61323" w:rsidRPr="004C78D8">
        <w:t xml:space="preserve"> Hence, the total annual cost of social care is £2,9</w:t>
      </w:r>
      <w:r w:rsidR="001F1157" w:rsidRPr="004C78D8">
        <w:t>81</w:t>
      </w:r>
      <w:r w:rsidR="00F61323" w:rsidRPr="004C78D8">
        <w:t>.</w:t>
      </w:r>
      <w:r w:rsidR="001F1157" w:rsidRPr="004C78D8">
        <w:t>26</w:t>
      </w:r>
      <w:r w:rsidR="00F61323" w:rsidRPr="004C78D8">
        <w:t xml:space="preserve"> for daily visit clients, £8</w:t>
      </w:r>
      <w:r w:rsidR="001F1157" w:rsidRPr="004C78D8">
        <w:t>5</w:t>
      </w:r>
      <w:r w:rsidR="00F61323" w:rsidRPr="004C78D8">
        <w:t>1.</w:t>
      </w:r>
      <w:r w:rsidR="001F1157" w:rsidRPr="004C78D8">
        <w:t>79</w:t>
      </w:r>
      <w:r w:rsidR="00F61323" w:rsidRPr="004C78D8">
        <w:t xml:space="preserve"> for twice/week clients, and £42</w:t>
      </w:r>
      <w:r w:rsidR="001F1157" w:rsidRPr="004C78D8">
        <w:t>5</w:t>
      </w:r>
      <w:r w:rsidR="00F61323" w:rsidRPr="004C78D8">
        <w:t>.</w:t>
      </w:r>
      <w:r w:rsidR="001F1157" w:rsidRPr="004C78D8">
        <w:t>89</w:t>
      </w:r>
      <w:r w:rsidR="00F61323" w:rsidRPr="004C78D8">
        <w:t xml:space="preserve"> for once/week clients.</w:t>
      </w:r>
      <w:r w:rsidR="00245476" w:rsidRPr="004C78D8">
        <w:t xml:space="preserve"> </w:t>
      </w:r>
      <w:r w:rsidR="00ED141B" w:rsidRPr="004C78D8">
        <w:t xml:space="preserve">The prevalence of different care intensity/visit frequency </w:t>
      </w:r>
      <w:r w:rsidR="0056515B" w:rsidRPr="004C78D8">
        <w:t xml:space="preserve">in ELSA </w:t>
      </w:r>
      <w:r w:rsidR="00ED141B" w:rsidRPr="004C78D8">
        <w:t>varied by frailty category</w:t>
      </w:r>
      <w:r w:rsidR="00421D07" w:rsidRPr="004C78D8">
        <w:t xml:space="preserve"> and cognitive status</w:t>
      </w:r>
      <w:r w:rsidR="00ED141B" w:rsidRPr="004C78D8">
        <w:t>.</w:t>
      </w:r>
      <w:r w:rsidR="00FF136E" w:rsidRPr="004C78D8">
        <w:t xml:space="preserve"> From the per-recipient annual cost and the </w:t>
      </w:r>
      <w:r w:rsidR="005932E7" w:rsidRPr="004C78D8">
        <w:t>subgroup</w:t>
      </w:r>
      <w:r w:rsidR="00FF136E" w:rsidRPr="004C78D8">
        <w:t xml:space="preserve">-specific prevalence of care intensity, the average cost per recipient was estimated for each frailty </w:t>
      </w:r>
      <w:r w:rsidR="005932E7" w:rsidRPr="004C78D8">
        <w:t>and cognitive status subgroup</w:t>
      </w:r>
      <w:r w:rsidR="00FF136E" w:rsidRPr="004C78D8">
        <w:t>.</w:t>
      </w:r>
      <w:r w:rsidR="00ED141B" w:rsidRPr="004C78D8">
        <w:t xml:space="preserve"> </w:t>
      </w:r>
      <w:r w:rsidR="00FF136E" w:rsidRPr="004C78D8">
        <w:t>These estimates</w:t>
      </w:r>
      <w:r w:rsidR="00ED141B" w:rsidRPr="004C78D8">
        <w:t xml:space="preserve"> are</w:t>
      </w:r>
      <w:r w:rsidR="00245476" w:rsidRPr="004C78D8">
        <w:t xml:space="preserve"> </w:t>
      </w:r>
      <w:r w:rsidR="00D06F51" w:rsidRPr="004C78D8">
        <w:t>summarised</w:t>
      </w:r>
      <w:r w:rsidR="00245476" w:rsidRPr="004C78D8">
        <w:t xml:space="preserve"> in Table </w:t>
      </w:r>
      <w:r w:rsidR="00E2580C" w:rsidRPr="004C78D8">
        <w:t>5</w:t>
      </w:r>
      <w:r w:rsidR="00E20435" w:rsidRPr="004C78D8">
        <w:t>.1</w:t>
      </w:r>
      <w:r w:rsidR="00A1272F" w:rsidRPr="004C78D8">
        <w:t>9</w:t>
      </w:r>
      <w:r w:rsidR="00245476" w:rsidRPr="004C78D8">
        <w:t>.</w:t>
      </w:r>
    </w:p>
    <w:tbl>
      <w:tblPr>
        <w:tblStyle w:val="TableGrid"/>
        <w:tblW w:w="5000" w:type="pct"/>
        <w:tblLook w:val="04A0" w:firstRow="1" w:lastRow="0" w:firstColumn="1" w:lastColumn="0" w:noHBand="0" w:noVBand="1"/>
      </w:tblPr>
      <w:tblGrid>
        <w:gridCol w:w="1511"/>
        <w:gridCol w:w="1363"/>
        <w:gridCol w:w="1549"/>
        <w:gridCol w:w="1516"/>
        <w:gridCol w:w="1515"/>
        <w:gridCol w:w="1562"/>
      </w:tblGrid>
      <w:tr w:rsidR="00FF136E" w:rsidRPr="004C78D8" w14:paraId="1BEF3590" w14:textId="730EB86B" w:rsidTr="00E35893">
        <w:tc>
          <w:tcPr>
            <w:tcW w:w="5000" w:type="pct"/>
            <w:gridSpan w:val="6"/>
          </w:tcPr>
          <w:p w14:paraId="16C5DEAE" w14:textId="3DE9C938" w:rsidR="00FF136E" w:rsidRPr="004C78D8" w:rsidRDefault="00FF136E" w:rsidP="00FB7C1F">
            <w:pPr>
              <w:rPr>
                <w:b/>
                <w:bCs/>
              </w:rPr>
            </w:pPr>
            <w:r w:rsidRPr="004C78D8">
              <w:rPr>
                <w:b/>
                <w:bCs/>
              </w:rPr>
              <w:t xml:space="preserve">Table </w:t>
            </w:r>
            <w:r w:rsidR="00E2580C" w:rsidRPr="004C78D8">
              <w:rPr>
                <w:b/>
                <w:bCs/>
              </w:rPr>
              <w:t>5</w:t>
            </w:r>
            <w:r w:rsidR="00E20435" w:rsidRPr="004C78D8">
              <w:rPr>
                <w:b/>
                <w:bCs/>
              </w:rPr>
              <w:t>.1</w:t>
            </w:r>
            <w:r w:rsidR="00A1272F" w:rsidRPr="004C78D8">
              <w:rPr>
                <w:b/>
                <w:bCs/>
              </w:rPr>
              <w:t>9</w:t>
            </w:r>
            <w:r w:rsidRPr="004C78D8">
              <w:t xml:space="preserve"> Annual all-cause </w:t>
            </w:r>
            <w:r w:rsidR="00D06F51" w:rsidRPr="004C78D8">
              <w:t xml:space="preserve">short-term </w:t>
            </w:r>
            <w:r w:rsidRPr="004C78D8">
              <w:t xml:space="preserve">social care costs by frailty </w:t>
            </w:r>
            <w:r w:rsidR="005932E7" w:rsidRPr="004C78D8">
              <w:t>and cognitive status</w:t>
            </w:r>
            <w:r w:rsidR="00D06F51" w:rsidRPr="004C78D8">
              <w:t>.</w:t>
            </w:r>
          </w:p>
        </w:tc>
      </w:tr>
      <w:tr w:rsidR="00FF136E" w:rsidRPr="004C78D8" w14:paraId="1B8A8085" w14:textId="3FFC6BCA" w:rsidTr="00E35893">
        <w:tc>
          <w:tcPr>
            <w:tcW w:w="838" w:type="pct"/>
            <w:tcBorders>
              <w:bottom w:val="single" w:sz="4" w:space="0" w:color="auto"/>
            </w:tcBorders>
          </w:tcPr>
          <w:p w14:paraId="42E6A39D" w14:textId="4ED52C5B" w:rsidR="00FF136E" w:rsidRPr="004C78D8" w:rsidRDefault="00FF136E" w:rsidP="00FB7C1F">
            <w:pPr>
              <w:jc w:val="left"/>
              <w:rPr>
                <w:b/>
                <w:bCs/>
                <w:sz w:val="18"/>
                <w:szCs w:val="18"/>
              </w:rPr>
            </w:pPr>
            <w:r w:rsidRPr="004C78D8">
              <w:rPr>
                <w:b/>
                <w:bCs/>
                <w:sz w:val="18"/>
                <w:szCs w:val="18"/>
              </w:rPr>
              <w:t xml:space="preserve">Frailty </w:t>
            </w:r>
            <w:r w:rsidR="005932E7" w:rsidRPr="004C78D8">
              <w:rPr>
                <w:b/>
                <w:bCs/>
                <w:sz w:val="18"/>
                <w:szCs w:val="18"/>
              </w:rPr>
              <w:t>&amp; cognitive status</w:t>
            </w:r>
          </w:p>
        </w:tc>
        <w:tc>
          <w:tcPr>
            <w:tcW w:w="756" w:type="pct"/>
            <w:tcBorders>
              <w:bottom w:val="single" w:sz="4" w:space="0" w:color="auto"/>
            </w:tcBorders>
          </w:tcPr>
          <w:p w14:paraId="251F90C2" w14:textId="7AD2B673" w:rsidR="00FF136E" w:rsidRPr="004C78D8" w:rsidRDefault="00FF136E" w:rsidP="00FB7C1F">
            <w:pPr>
              <w:jc w:val="left"/>
              <w:rPr>
                <w:b/>
                <w:bCs/>
                <w:sz w:val="18"/>
                <w:szCs w:val="18"/>
              </w:rPr>
            </w:pPr>
            <w:r w:rsidRPr="004C78D8">
              <w:rPr>
                <w:b/>
                <w:bCs/>
                <w:sz w:val="18"/>
                <w:szCs w:val="18"/>
              </w:rPr>
              <w:t>Prevalence of care receipt</w:t>
            </w:r>
          </w:p>
        </w:tc>
        <w:tc>
          <w:tcPr>
            <w:tcW w:w="859" w:type="pct"/>
            <w:tcBorders>
              <w:bottom w:val="single" w:sz="4" w:space="0" w:color="auto"/>
            </w:tcBorders>
          </w:tcPr>
          <w:p w14:paraId="47012A55" w14:textId="62A7BF64" w:rsidR="00FF136E" w:rsidRPr="004C78D8" w:rsidRDefault="00FF136E" w:rsidP="00FB7C1F">
            <w:pPr>
              <w:jc w:val="left"/>
              <w:rPr>
                <w:b/>
                <w:bCs/>
                <w:sz w:val="18"/>
                <w:szCs w:val="18"/>
              </w:rPr>
            </w:pPr>
            <w:r w:rsidRPr="004C78D8">
              <w:rPr>
                <w:b/>
                <w:bCs/>
                <w:sz w:val="18"/>
                <w:szCs w:val="18"/>
              </w:rPr>
              <w:t>Care intensity given receipt</w:t>
            </w:r>
          </w:p>
        </w:tc>
        <w:tc>
          <w:tcPr>
            <w:tcW w:w="841" w:type="pct"/>
            <w:tcBorders>
              <w:bottom w:val="single" w:sz="4" w:space="0" w:color="auto"/>
            </w:tcBorders>
          </w:tcPr>
          <w:p w14:paraId="12C1E024" w14:textId="6A116524" w:rsidR="00FF136E" w:rsidRPr="004C78D8" w:rsidRDefault="00FF136E" w:rsidP="00FB7C1F">
            <w:pPr>
              <w:jc w:val="left"/>
              <w:rPr>
                <w:b/>
                <w:bCs/>
                <w:sz w:val="18"/>
                <w:szCs w:val="18"/>
              </w:rPr>
            </w:pPr>
            <w:r w:rsidRPr="004C78D8">
              <w:rPr>
                <w:b/>
                <w:bCs/>
                <w:sz w:val="18"/>
                <w:szCs w:val="18"/>
              </w:rPr>
              <w:t>Prevalence of care intensity</w:t>
            </w:r>
          </w:p>
        </w:tc>
        <w:tc>
          <w:tcPr>
            <w:tcW w:w="840" w:type="pct"/>
            <w:tcBorders>
              <w:bottom w:val="single" w:sz="4" w:space="0" w:color="auto"/>
            </w:tcBorders>
          </w:tcPr>
          <w:p w14:paraId="32C06FB7" w14:textId="620D6B67" w:rsidR="00FF136E" w:rsidRPr="004C78D8" w:rsidRDefault="00FF136E" w:rsidP="00FB7C1F">
            <w:pPr>
              <w:jc w:val="left"/>
              <w:rPr>
                <w:b/>
                <w:bCs/>
                <w:sz w:val="18"/>
                <w:szCs w:val="18"/>
              </w:rPr>
            </w:pPr>
            <w:r w:rsidRPr="004C78D8">
              <w:rPr>
                <w:b/>
                <w:bCs/>
                <w:sz w:val="18"/>
                <w:szCs w:val="18"/>
              </w:rPr>
              <w:t>Annual cost per recipient</w:t>
            </w:r>
            <w:r w:rsidR="001E236F" w:rsidRPr="004C78D8">
              <w:rPr>
                <w:b/>
                <w:bCs/>
                <w:sz w:val="18"/>
                <w:szCs w:val="18"/>
                <w:vertAlign w:val="superscript"/>
              </w:rPr>
              <w:t>1</w:t>
            </w:r>
          </w:p>
        </w:tc>
        <w:tc>
          <w:tcPr>
            <w:tcW w:w="866" w:type="pct"/>
            <w:tcBorders>
              <w:bottom w:val="single" w:sz="4" w:space="0" w:color="auto"/>
            </w:tcBorders>
          </w:tcPr>
          <w:p w14:paraId="51BFEF29" w14:textId="03DD0FA1" w:rsidR="00FF136E" w:rsidRPr="004C78D8" w:rsidRDefault="00FF136E" w:rsidP="00FB7C1F">
            <w:pPr>
              <w:jc w:val="left"/>
              <w:rPr>
                <w:b/>
                <w:bCs/>
                <w:sz w:val="18"/>
                <w:szCs w:val="18"/>
              </w:rPr>
            </w:pPr>
            <w:r w:rsidRPr="004C78D8">
              <w:rPr>
                <w:b/>
                <w:bCs/>
                <w:sz w:val="18"/>
                <w:szCs w:val="18"/>
              </w:rPr>
              <w:t>Average cost per recipient</w:t>
            </w:r>
          </w:p>
        </w:tc>
      </w:tr>
      <w:tr w:rsidR="002D2B08" w:rsidRPr="004C78D8" w14:paraId="54B42E21" w14:textId="4B46DC5F" w:rsidTr="00E35893">
        <w:tc>
          <w:tcPr>
            <w:tcW w:w="838" w:type="pct"/>
            <w:vMerge w:val="restart"/>
          </w:tcPr>
          <w:p w14:paraId="2B713B45" w14:textId="5551E0C3" w:rsidR="002D2B08" w:rsidRPr="004C78D8" w:rsidRDefault="002D2B08" w:rsidP="00FB7C1F">
            <w:pPr>
              <w:jc w:val="left"/>
              <w:rPr>
                <w:sz w:val="18"/>
                <w:szCs w:val="18"/>
              </w:rPr>
            </w:pPr>
            <w:r w:rsidRPr="004C78D8">
              <w:rPr>
                <w:sz w:val="18"/>
                <w:szCs w:val="18"/>
              </w:rPr>
              <w:t>Moderate – Cognitively intact</w:t>
            </w:r>
          </w:p>
        </w:tc>
        <w:tc>
          <w:tcPr>
            <w:tcW w:w="756" w:type="pct"/>
            <w:tcBorders>
              <w:bottom w:val="nil"/>
            </w:tcBorders>
          </w:tcPr>
          <w:p w14:paraId="31FB8E73" w14:textId="09C48153" w:rsidR="002D2B08" w:rsidRPr="004C78D8" w:rsidRDefault="002D2B08" w:rsidP="00FB7C1F">
            <w:pPr>
              <w:jc w:val="left"/>
              <w:rPr>
                <w:sz w:val="18"/>
                <w:szCs w:val="18"/>
              </w:rPr>
            </w:pPr>
            <w:r w:rsidRPr="004C78D8">
              <w:rPr>
                <w:sz w:val="18"/>
                <w:szCs w:val="18"/>
              </w:rPr>
              <w:t>5.37%</w:t>
            </w:r>
          </w:p>
        </w:tc>
        <w:tc>
          <w:tcPr>
            <w:tcW w:w="859" w:type="pct"/>
            <w:tcBorders>
              <w:bottom w:val="nil"/>
            </w:tcBorders>
          </w:tcPr>
          <w:p w14:paraId="1A949717" w14:textId="72AE4DDE" w:rsidR="002D2B08" w:rsidRPr="004C78D8" w:rsidRDefault="002D2B08" w:rsidP="00FB7C1F">
            <w:pPr>
              <w:jc w:val="left"/>
              <w:rPr>
                <w:sz w:val="18"/>
                <w:szCs w:val="18"/>
              </w:rPr>
            </w:pPr>
            <w:r w:rsidRPr="004C78D8">
              <w:rPr>
                <w:sz w:val="18"/>
                <w:szCs w:val="18"/>
              </w:rPr>
              <w:t>7 visits/week</w:t>
            </w:r>
          </w:p>
        </w:tc>
        <w:tc>
          <w:tcPr>
            <w:tcW w:w="841" w:type="pct"/>
            <w:tcBorders>
              <w:bottom w:val="nil"/>
            </w:tcBorders>
          </w:tcPr>
          <w:p w14:paraId="51750181" w14:textId="50D4589D" w:rsidR="002D2B08" w:rsidRPr="004C78D8" w:rsidRDefault="002D2B08" w:rsidP="00FB7C1F">
            <w:pPr>
              <w:jc w:val="center"/>
              <w:rPr>
                <w:sz w:val="18"/>
                <w:szCs w:val="18"/>
              </w:rPr>
            </w:pPr>
            <w:r w:rsidRPr="004C78D8">
              <w:rPr>
                <w:sz w:val="18"/>
                <w:szCs w:val="18"/>
              </w:rPr>
              <w:t>65.</w:t>
            </w:r>
            <w:r w:rsidR="00433694" w:rsidRPr="004C78D8">
              <w:rPr>
                <w:sz w:val="18"/>
                <w:szCs w:val="18"/>
              </w:rPr>
              <w:t>1</w:t>
            </w:r>
            <w:r w:rsidRPr="004C78D8">
              <w:rPr>
                <w:sz w:val="18"/>
                <w:szCs w:val="18"/>
              </w:rPr>
              <w:t>%</w:t>
            </w:r>
          </w:p>
        </w:tc>
        <w:tc>
          <w:tcPr>
            <w:tcW w:w="840" w:type="pct"/>
            <w:tcBorders>
              <w:bottom w:val="nil"/>
            </w:tcBorders>
          </w:tcPr>
          <w:p w14:paraId="10C79BE4" w14:textId="2A7A6771" w:rsidR="002D2B08" w:rsidRPr="004C78D8" w:rsidRDefault="002D2B08" w:rsidP="00FB7C1F">
            <w:pPr>
              <w:jc w:val="center"/>
              <w:rPr>
                <w:sz w:val="18"/>
                <w:szCs w:val="18"/>
              </w:rPr>
            </w:pPr>
            <w:r w:rsidRPr="004C78D8">
              <w:rPr>
                <w:sz w:val="18"/>
                <w:szCs w:val="18"/>
              </w:rPr>
              <w:t>£2,981.26</w:t>
            </w:r>
          </w:p>
        </w:tc>
        <w:tc>
          <w:tcPr>
            <w:tcW w:w="866" w:type="pct"/>
            <w:tcBorders>
              <w:bottom w:val="nil"/>
            </w:tcBorders>
          </w:tcPr>
          <w:p w14:paraId="7881189A" w14:textId="6FF351DE" w:rsidR="002D2B08" w:rsidRPr="004C78D8" w:rsidRDefault="002D2B08" w:rsidP="00FB7C1F">
            <w:pPr>
              <w:jc w:val="center"/>
              <w:rPr>
                <w:sz w:val="18"/>
                <w:szCs w:val="18"/>
              </w:rPr>
            </w:pPr>
            <w:r w:rsidRPr="004C78D8">
              <w:rPr>
                <w:sz w:val="18"/>
                <w:szCs w:val="18"/>
              </w:rPr>
              <w:t>£2,1</w:t>
            </w:r>
            <w:r w:rsidR="00433694" w:rsidRPr="004C78D8">
              <w:rPr>
                <w:sz w:val="18"/>
                <w:szCs w:val="18"/>
              </w:rPr>
              <w:t>49</w:t>
            </w:r>
            <w:r w:rsidRPr="004C78D8">
              <w:rPr>
                <w:sz w:val="18"/>
                <w:szCs w:val="18"/>
              </w:rPr>
              <w:t>.</w:t>
            </w:r>
            <w:r w:rsidR="00433694" w:rsidRPr="004C78D8">
              <w:rPr>
                <w:sz w:val="18"/>
                <w:szCs w:val="18"/>
              </w:rPr>
              <w:t>06</w:t>
            </w:r>
          </w:p>
        </w:tc>
      </w:tr>
      <w:tr w:rsidR="002D2B08" w:rsidRPr="004C78D8" w14:paraId="6EF98B1A" w14:textId="0B99C1F6" w:rsidTr="00E35893">
        <w:tc>
          <w:tcPr>
            <w:tcW w:w="838" w:type="pct"/>
            <w:vMerge/>
          </w:tcPr>
          <w:p w14:paraId="35A3E863" w14:textId="299957B8" w:rsidR="002D2B08" w:rsidRPr="004C78D8" w:rsidRDefault="002D2B08" w:rsidP="00FB7C1F">
            <w:pPr>
              <w:jc w:val="left"/>
              <w:rPr>
                <w:sz w:val="18"/>
                <w:szCs w:val="18"/>
              </w:rPr>
            </w:pPr>
          </w:p>
        </w:tc>
        <w:tc>
          <w:tcPr>
            <w:tcW w:w="756" w:type="pct"/>
            <w:tcBorders>
              <w:top w:val="nil"/>
              <w:bottom w:val="nil"/>
            </w:tcBorders>
          </w:tcPr>
          <w:p w14:paraId="6C16E55F" w14:textId="348D3E3C" w:rsidR="002D2B08" w:rsidRPr="004C78D8" w:rsidRDefault="002D2B08" w:rsidP="00FB7C1F">
            <w:pPr>
              <w:jc w:val="left"/>
              <w:rPr>
                <w:sz w:val="18"/>
                <w:szCs w:val="18"/>
              </w:rPr>
            </w:pPr>
          </w:p>
        </w:tc>
        <w:tc>
          <w:tcPr>
            <w:tcW w:w="859" w:type="pct"/>
            <w:tcBorders>
              <w:top w:val="nil"/>
              <w:bottom w:val="nil"/>
            </w:tcBorders>
          </w:tcPr>
          <w:p w14:paraId="456A4B52" w14:textId="32175708" w:rsidR="002D2B08" w:rsidRPr="004C78D8" w:rsidRDefault="002D2B08" w:rsidP="00FB7C1F">
            <w:pPr>
              <w:jc w:val="left"/>
              <w:rPr>
                <w:sz w:val="18"/>
                <w:szCs w:val="18"/>
              </w:rPr>
            </w:pPr>
            <w:r w:rsidRPr="004C78D8">
              <w:rPr>
                <w:sz w:val="18"/>
                <w:szCs w:val="18"/>
              </w:rPr>
              <w:t>2 visits/week</w:t>
            </w:r>
          </w:p>
        </w:tc>
        <w:tc>
          <w:tcPr>
            <w:tcW w:w="841" w:type="pct"/>
            <w:tcBorders>
              <w:top w:val="nil"/>
              <w:bottom w:val="nil"/>
            </w:tcBorders>
          </w:tcPr>
          <w:p w14:paraId="19D87284" w14:textId="11231B2E" w:rsidR="002D2B08" w:rsidRPr="004C78D8" w:rsidRDefault="00433694" w:rsidP="00FB7C1F">
            <w:pPr>
              <w:jc w:val="center"/>
              <w:rPr>
                <w:sz w:val="18"/>
                <w:szCs w:val="18"/>
              </w:rPr>
            </w:pPr>
            <w:r w:rsidRPr="004C78D8">
              <w:rPr>
                <w:sz w:val="18"/>
                <w:szCs w:val="18"/>
              </w:rPr>
              <w:t>14</w:t>
            </w:r>
            <w:r w:rsidR="002D2B08" w:rsidRPr="004C78D8">
              <w:rPr>
                <w:sz w:val="18"/>
                <w:szCs w:val="18"/>
              </w:rPr>
              <w:t>.</w:t>
            </w:r>
            <w:r w:rsidRPr="004C78D8">
              <w:rPr>
                <w:sz w:val="18"/>
                <w:szCs w:val="18"/>
              </w:rPr>
              <w:t>0</w:t>
            </w:r>
            <w:r w:rsidR="002D2B08" w:rsidRPr="004C78D8">
              <w:rPr>
                <w:sz w:val="18"/>
                <w:szCs w:val="18"/>
              </w:rPr>
              <w:t>%</w:t>
            </w:r>
          </w:p>
        </w:tc>
        <w:tc>
          <w:tcPr>
            <w:tcW w:w="840" w:type="pct"/>
            <w:tcBorders>
              <w:top w:val="nil"/>
              <w:bottom w:val="nil"/>
            </w:tcBorders>
          </w:tcPr>
          <w:p w14:paraId="1FADF0BF" w14:textId="69BEED8E" w:rsidR="002D2B08" w:rsidRPr="004C78D8" w:rsidRDefault="002D2B08" w:rsidP="00FB7C1F">
            <w:pPr>
              <w:jc w:val="center"/>
              <w:rPr>
                <w:sz w:val="18"/>
                <w:szCs w:val="18"/>
              </w:rPr>
            </w:pPr>
            <w:r w:rsidRPr="004C78D8">
              <w:rPr>
                <w:sz w:val="18"/>
                <w:szCs w:val="18"/>
              </w:rPr>
              <w:t>£851.79</w:t>
            </w:r>
          </w:p>
        </w:tc>
        <w:tc>
          <w:tcPr>
            <w:tcW w:w="866" w:type="pct"/>
            <w:tcBorders>
              <w:top w:val="nil"/>
              <w:bottom w:val="nil"/>
            </w:tcBorders>
          </w:tcPr>
          <w:p w14:paraId="24B2B124" w14:textId="77777777" w:rsidR="002D2B08" w:rsidRPr="004C78D8" w:rsidRDefault="002D2B08" w:rsidP="00FB7C1F">
            <w:pPr>
              <w:jc w:val="center"/>
              <w:rPr>
                <w:sz w:val="18"/>
                <w:szCs w:val="18"/>
              </w:rPr>
            </w:pPr>
          </w:p>
        </w:tc>
      </w:tr>
      <w:tr w:rsidR="002D2B08" w:rsidRPr="004C78D8" w14:paraId="5055C544" w14:textId="76428372" w:rsidTr="00E35893">
        <w:tc>
          <w:tcPr>
            <w:tcW w:w="838" w:type="pct"/>
            <w:vMerge/>
            <w:tcBorders>
              <w:bottom w:val="single" w:sz="4" w:space="0" w:color="auto"/>
            </w:tcBorders>
          </w:tcPr>
          <w:p w14:paraId="3B8C4119" w14:textId="77777777" w:rsidR="002D2B08" w:rsidRPr="004C78D8" w:rsidRDefault="002D2B08" w:rsidP="00FB7C1F">
            <w:pPr>
              <w:jc w:val="left"/>
              <w:rPr>
                <w:sz w:val="18"/>
                <w:szCs w:val="18"/>
              </w:rPr>
            </w:pPr>
          </w:p>
        </w:tc>
        <w:tc>
          <w:tcPr>
            <w:tcW w:w="756" w:type="pct"/>
            <w:tcBorders>
              <w:top w:val="nil"/>
              <w:bottom w:val="single" w:sz="4" w:space="0" w:color="auto"/>
            </w:tcBorders>
          </w:tcPr>
          <w:p w14:paraId="0EAA2165" w14:textId="77777777" w:rsidR="002D2B08" w:rsidRPr="004C78D8" w:rsidRDefault="002D2B08" w:rsidP="00FB7C1F">
            <w:pPr>
              <w:jc w:val="left"/>
              <w:rPr>
                <w:sz w:val="18"/>
                <w:szCs w:val="18"/>
              </w:rPr>
            </w:pPr>
          </w:p>
        </w:tc>
        <w:tc>
          <w:tcPr>
            <w:tcW w:w="859" w:type="pct"/>
            <w:tcBorders>
              <w:top w:val="nil"/>
              <w:bottom w:val="single" w:sz="4" w:space="0" w:color="auto"/>
            </w:tcBorders>
          </w:tcPr>
          <w:p w14:paraId="2FCFD3D8" w14:textId="679FF736" w:rsidR="002D2B08" w:rsidRPr="004C78D8" w:rsidRDefault="002D2B08" w:rsidP="00FB7C1F">
            <w:pPr>
              <w:jc w:val="left"/>
              <w:rPr>
                <w:sz w:val="18"/>
                <w:szCs w:val="18"/>
              </w:rPr>
            </w:pPr>
            <w:r w:rsidRPr="004C78D8">
              <w:rPr>
                <w:sz w:val="18"/>
                <w:szCs w:val="18"/>
              </w:rPr>
              <w:t>1 visit/week</w:t>
            </w:r>
          </w:p>
        </w:tc>
        <w:tc>
          <w:tcPr>
            <w:tcW w:w="841" w:type="pct"/>
            <w:tcBorders>
              <w:top w:val="nil"/>
              <w:bottom w:val="single" w:sz="4" w:space="0" w:color="auto"/>
            </w:tcBorders>
          </w:tcPr>
          <w:p w14:paraId="52FEC921" w14:textId="667B1AB1" w:rsidR="002D2B08" w:rsidRPr="004C78D8" w:rsidRDefault="00433694" w:rsidP="00FB7C1F">
            <w:pPr>
              <w:jc w:val="center"/>
              <w:rPr>
                <w:sz w:val="18"/>
                <w:szCs w:val="18"/>
              </w:rPr>
            </w:pPr>
            <w:r w:rsidRPr="004C78D8">
              <w:rPr>
                <w:sz w:val="18"/>
                <w:szCs w:val="18"/>
              </w:rPr>
              <w:t>20</w:t>
            </w:r>
            <w:r w:rsidR="002D2B08" w:rsidRPr="004C78D8">
              <w:rPr>
                <w:sz w:val="18"/>
                <w:szCs w:val="18"/>
              </w:rPr>
              <w:t>.</w:t>
            </w:r>
            <w:r w:rsidRPr="004C78D8">
              <w:rPr>
                <w:sz w:val="18"/>
                <w:szCs w:val="18"/>
              </w:rPr>
              <w:t>9</w:t>
            </w:r>
            <w:r w:rsidR="002D2B08" w:rsidRPr="004C78D8">
              <w:rPr>
                <w:sz w:val="18"/>
                <w:szCs w:val="18"/>
              </w:rPr>
              <w:t>%</w:t>
            </w:r>
          </w:p>
        </w:tc>
        <w:tc>
          <w:tcPr>
            <w:tcW w:w="840" w:type="pct"/>
            <w:tcBorders>
              <w:top w:val="nil"/>
              <w:bottom w:val="single" w:sz="4" w:space="0" w:color="auto"/>
            </w:tcBorders>
          </w:tcPr>
          <w:p w14:paraId="1376D1A8" w14:textId="07CC90A7" w:rsidR="002D2B08" w:rsidRPr="004C78D8" w:rsidRDefault="002D2B08" w:rsidP="00FB7C1F">
            <w:pPr>
              <w:jc w:val="center"/>
              <w:rPr>
                <w:sz w:val="18"/>
                <w:szCs w:val="18"/>
              </w:rPr>
            </w:pPr>
            <w:r w:rsidRPr="004C78D8">
              <w:rPr>
                <w:sz w:val="18"/>
                <w:szCs w:val="18"/>
              </w:rPr>
              <w:t>£425.89</w:t>
            </w:r>
          </w:p>
        </w:tc>
        <w:tc>
          <w:tcPr>
            <w:tcW w:w="866" w:type="pct"/>
            <w:tcBorders>
              <w:top w:val="nil"/>
              <w:bottom w:val="single" w:sz="4" w:space="0" w:color="auto"/>
            </w:tcBorders>
          </w:tcPr>
          <w:p w14:paraId="70B9B6A7" w14:textId="77777777" w:rsidR="002D2B08" w:rsidRPr="004C78D8" w:rsidRDefault="002D2B08" w:rsidP="00FB7C1F">
            <w:pPr>
              <w:jc w:val="center"/>
              <w:rPr>
                <w:sz w:val="18"/>
                <w:szCs w:val="18"/>
              </w:rPr>
            </w:pPr>
          </w:p>
        </w:tc>
      </w:tr>
      <w:tr w:rsidR="00C24482" w:rsidRPr="004C78D8" w14:paraId="362C1420" w14:textId="77777777" w:rsidTr="00E35893">
        <w:tc>
          <w:tcPr>
            <w:tcW w:w="838" w:type="pct"/>
            <w:vMerge w:val="restart"/>
            <w:tcBorders>
              <w:top w:val="nil"/>
            </w:tcBorders>
          </w:tcPr>
          <w:p w14:paraId="2053EFF3" w14:textId="795E4B29" w:rsidR="00C24482" w:rsidRPr="004C78D8" w:rsidRDefault="00C24482" w:rsidP="00FB7C1F">
            <w:pPr>
              <w:jc w:val="left"/>
              <w:rPr>
                <w:sz w:val="18"/>
                <w:szCs w:val="18"/>
              </w:rPr>
            </w:pPr>
            <w:r w:rsidRPr="004C78D8">
              <w:rPr>
                <w:sz w:val="18"/>
                <w:szCs w:val="18"/>
              </w:rPr>
              <w:t>Moderate – Cognitively impaired</w:t>
            </w:r>
          </w:p>
        </w:tc>
        <w:tc>
          <w:tcPr>
            <w:tcW w:w="756" w:type="pct"/>
            <w:vMerge w:val="restart"/>
            <w:tcBorders>
              <w:top w:val="nil"/>
            </w:tcBorders>
          </w:tcPr>
          <w:p w14:paraId="4F290522" w14:textId="3586C506" w:rsidR="00C24482" w:rsidRPr="004C78D8" w:rsidRDefault="00C24482" w:rsidP="00FB7C1F">
            <w:pPr>
              <w:jc w:val="left"/>
              <w:rPr>
                <w:sz w:val="18"/>
                <w:szCs w:val="18"/>
              </w:rPr>
            </w:pPr>
            <w:r w:rsidRPr="004C78D8">
              <w:rPr>
                <w:sz w:val="18"/>
                <w:szCs w:val="18"/>
              </w:rPr>
              <w:t>12.33%</w:t>
            </w:r>
          </w:p>
        </w:tc>
        <w:tc>
          <w:tcPr>
            <w:tcW w:w="859" w:type="pct"/>
            <w:tcBorders>
              <w:top w:val="single" w:sz="4" w:space="0" w:color="auto"/>
              <w:bottom w:val="nil"/>
            </w:tcBorders>
          </w:tcPr>
          <w:p w14:paraId="73B6CA9B" w14:textId="0F1F703D" w:rsidR="00C24482" w:rsidRPr="004C78D8" w:rsidRDefault="00C24482" w:rsidP="00FB7C1F">
            <w:pPr>
              <w:jc w:val="left"/>
              <w:rPr>
                <w:sz w:val="18"/>
                <w:szCs w:val="18"/>
              </w:rPr>
            </w:pPr>
            <w:r w:rsidRPr="004C78D8">
              <w:rPr>
                <w:sz w:val="18"/>
                <w:szCs w:val="18"/>
              </w:rPr>
              <w:t>7 visits/week</w:t>
            </w:r>
          </w:p>
        </w:tc>
        <w:tc>
          <w:tcPr>
            <w:tcW w:w="841" w:type="pct"/>
            <w:tcBorders>
              <w:top w:val="single" w:sz="4" w:space="0" w:color="auto"/>
              <w:bottom w:val="nil"/>
            </w:tcBorders>
          </w:tcPr>
          <w:p w14:paraId="468793AB" w14:textId="09F13ECE" w:rsidR="00C24482" w:rsidRPr="004C78D8" w:rsidRDefault="00C24482" w:rsidP="00FB7C1F">
            <w:pPr>
              <w:jc w:val="center"/>
              <w:rPr>
                <w:sz w:val="18"/>
                <w:szCs w:val="18"/>
              </w:rPr>
            </w:pPr>
            <w:r w:rsidRPr="004C78D8">
              <w:rPr>
                <w:sz w:val="18"/>
                <w:szCs w:val="18"/>
              </w:rPr>
              <w:t>65.9%</w:t>
            </w:r>
          </w:p>
        </w:tc>
        <w:tc>
          <w:tcPr>
            <w:tcW w:w="840" w:type="pct"/>
            <w:tcBorders>
              <w:top w:val="single" w:sz="4" w:space="0" w:color="auto"/>
              <w:bottom w:val="nil"/>
            </w:tcBorders>
          </w:tcPr>
          <w:p w14:paraId="5A38EE99" w14:textId="67FF0328" w:rsidR="00C24482" w:rsidRPr="004C78D8" w:rsidRDefault="00C24482" w:rsidP="00FB7C1F">
            <w:pPr>
              <w:jc w:val="center"/>
              <w:rPr>
                <w:sz w:val="18"/>
                <w:szCs w:val="18"/>
              </w:rPr>
            </w:pPr>
            <w:r w:rsidRPr="004C78D8">
              <w:rPr>
                <w:sz w:val="18"/>
                <w:szCs w:val="18"/>
              </w:rPr>
              <w:t>£2,981.26</w:t>
            </w:r>
          </w:p>
        </w:tc>
        <w:tc>
          <w:tcPr>
            <w:tcW w:w="866" w:type="pct"/>
            <w:tcBorders>
              <w:top w:val="single" w:sz="4" w:space="0" w:color="auto"/>
              <w:bottom w:val="nil"/>
            </w:tcBorders>
          </w:tcPr>
          <w:p w14:paraId="55263780" w14:textId="40B50C23" w:rsidR="00C24482" w:rsidRPr="004C78D8" w:rsidRDefault="00C24482" w:rsidP="00FB7C1F">
            <w:pPr>
              <w:jc w:val="center"/>
              <w:rPr>
                <w:sz w:val="18"/>
                <w:szCs w:val="18"/>
              </w:rPr>
            </w:pPr>
            <w:r w:rsidRPr="004C78D8">
              <w:rPr>
                <w:sz w:val="18"/>
                <w:szCs w:val="18"/>
              </w:rPr>
              <w:t>£2,192.93</w:t>
            </w:r>
          </w:p>
        </w:tc>
      </w:tr>
      <w:tr w:rsidR="00C24482" w:rsidRPr="004C78D8" w14:paraId="0A6590F3" w14:textId="77777777" w:rsidTr="00E35893">
        <w:tc>
          <w:tcPr>
            <w:tcW w:w="838" w:type="pct"/>
            <w:vMerge/>
          </w:tcPr>
          <w:p w14:paraId="17120536" w14:textId="77777777" w:rsidR="00C24482" w:rsidRPr="004C78D8" w:rsidRDefault="00C24482" w:rsidP="00FB7C1F">
            <w:pPr>
              <w:jc w:val="left"/>
              <w:rPr>
                <w:sz w:val="18"/>
                <w:szCs w:val="18"/>
              </w:rPr>
            </w:pPr>
          </w:p>
        </w:tc>
        <w:tc>
          <w:tcPr>
            <w:tcW w:w="756" w:type="pct"/>
            <w:vMerge/>
          </w:tcPr>
          <w:p w14:paraId="295EA922" w14:textId="77777777" w:rsidR="00C24482" w:rsidRPr="004C78D8" w:rsidRDefault="00C24482" w:rsidP="00FB7C1F">
            <w:pPr>
              <w:jc w:val="left"/>
              <w:rPr>
                <w:sz w:val="18"/>
                <w:szCs w:val="18"/>
              </w:rPr>
            </w:pPr>
          </w:p>
        </w:tc>
        <w:tc>
          <w:tcPr>
            <w:tcW w:w="859" w:type="pct"/>
            <w:tcBorders>
              <w:top w:val="nil"/>
              <w:bottom w:val="nil"/>
            </w:tcBorders>
          </w:tcPr>
          <w:p w14:paraId="2F8B3FE4" w14:textId="44218E9B" w:rsidR="00C24482" w:rsidRPr="004C78D8" w:rsidRDefault="00C24482" w:rsidP="00FB7C1F">
            <w:pPr>
              <w:jc w:val="left"/>
              <w:rPr>
                <w:sz w:val="18"/>
                <w:szCs w:val="18"/>
              </w:rPr>
            </w:pPr>
            <w:r w:rsidRPr="004C78D8">
              <w:rPr>
                <w:sz w:val="18"/>
                <w:szCs w:val="18"/>
              </w:rPr>
              <w:t>2 visits/week</w:t>
            </w:r>
          </w:p>
        </w:tc>
        <w:tc>
          <w:tcPr>
            <w:tcW w:w="841" w:type="pct"/>
            <w:tcBorders>
              <w:top w:val="nil"/>
              <w:bottom w:val="nil"/>
            </w:tcBorders>
          </w:tcPr>
          <w:p w14:paraId="0C1ECCB2" w14:textId="56B69990" w:rsidR="00C24482" w:rsidRPr="004C78D8" w:rsidRDefault="00C24482" w:rsidP="00FB7C1F">
            <w:pPr>
              <w:jc w:val="center"/>
              <w:rPr>
                <w:sz w:val="18"/>
                <w:szCs w:val="18"/>
              </w:rPr>
            </w:pPr>
            <w:r w:rsidRPr="004C78D8">
              <w:rPr>
                <w:sz w:val="18"/>
                <w:szCs w:val="18"/>
              </w:rPr>
              <w:t>19.5%</w:t>
            </w:r>
          </w:p>
        </w:tc>
        <w:tc>
          <w:tcPr>
            <w:tcW w:w="840" w:type="pct"/>
            <w:tcBorders>
              <w:top w:val="nil"/>
              <w:bottom w:val="nil"/>
            </w:tcBorders>
          </w:tcPr>
          <w:p w14:paraId="149F8B5A" w14:textId="3D290420" w:rsidR="00C24482" w:rsidRPr="004C78D8" w:rsidRDefault="00C24482" w:rsidP="00FB7C1F">
            <w:pPr>
              <w:jc w:val="center"/>
              <w:rPr>
                <w:sz w:val="18"/>
                <w:szCs w:val="18"/>
              </w:rPr>
            </w:pPr>
            <w:r w:rsidRPr="004C78D8">
              <w:rPr>
                <w:sz w:val="18"/>
                <w:szCs w:val="18"/>
              </w:rPr>
              <w:t>£851.79</w:t>
            </w:r>
          </w:p>
        </w:tc>
        <w:tc>
          <w:tcPr>
            <w:tcW w:w="866" w:type="pct"/>
            <w:tcBorders>
              <w:top w:val="nil"/>
              <w:bottom w:val="nil"/>
            </w:tcBorders>
          </w:tcPr>
          <w:p w14:paraId="47B1C87F" w14:textId="77777777" w:rsidR="00C24482" w:rsidRPr="004C78D8" w:rsidRDefault="00C24482" w:rsidP="00FB7C1F">
            <w:pPr>
              <w:jc w:val="center"/>
              <w:rPr>
                <w:sz w:val="18"/>
                <w:szCs w:val="18"/>
              </w:rPr>
            </w:pPr>
          </w:p>
        </w:tc>
      </w:tr>
      <w:tr w:rsidR="00C24482" w:rsidRPr="004C78D8" w14:paraId="5E4AFAB9" w14:textId="77777777" w:rsidTr="00E35893">
        <w:tc>
          <w:tcPr>
            <w:tcW w:w="838" w:type="pct"/>
            <w:vMerge/>
            <w:tcBorders>
              <w:bottom w:val="single" w:sz="4" w:space="0" w:color="auto"/>
            </w:tcBorders>
          </w:tcPr>
          <w:p w14:paraId="663E41DC" w14:textId="77777777" w:rsidR="00C24482" w:rsidRPr="004C78D8" w:rsidRDefault="00C24482" w:rsidP="00FB7C1F">
            <w:pPr>
              <w:jc w:val="left"/>
              <w:rPr>
                <w:sz w:val="18"/>
                <w:szCs w:val="18"/>
              </w:rPr>
            </w:pPr>
          </w:p>
        </w:tc>
        <w:tc>
          <w:tcPr>
            <w:tcW w:w="756" w:type="pct"/>
            <w:vMerge/>
            <w:tcBorders>
              <w:bottom w:val="single" w:sz="4" w:space="0" w:color="auto"/>
            </w:tcBorders>
          </w:tcPr>
          <w:p w14:paraId="7D7176C6" w14:textId="77777777" w:rsidR="00C24482" w:rsidRPr="004C78D8" w:rsidRDefault="00C24482" w:rsidP="00FB7C1F">
            <w:pPr>
              <w:jc w:val="left"/>
              <w:rPr>
                <w:sz w:val="18"/>
                <w:szCs w:val="18"/>
              </w:rPr>
            </w:pPr>
          </w:p>
        </w:tc>
        <w:tc>
          <w:tcPr>
            <w:tcW w:w="859" w:type="pct"/>
            <w:tcBorders>
              <w:top w:val="nil"/>
              <w:bottom w:val="single" w:sz="4" w:space="0" w:color="auto"/>
            </w:tcBorders>
          </w:tcPr>
          <w:p w14:paraId="04E692AE" w14:textId="56689DDC" w:rsidR="00C24482" w:rsidRPr="004C78D8" w:rsidRDefault="00C24482" w:rsidP="00FB7C1F">
            <w:pPr>
              <w:jc w:val="left"/>
              <w:rPr>
                <w:sz w:val="18"/>
                <w:szCs w:val="18"/>
              </w:rPr>
            </w:pPr>
            <w:r w:rsidRPr="004C78D8">
              <w:rPr>
                <w:sz w:val="18"/>
                <w:szCs w:val="18"/>
              </w:rPr>
              <w:t>1 visit/week</w:t>
            </w:r>
          </w:p>
        </w:tc>
        <w:tc>
          <w:tcPr>
            <w:tcW w:w="841" w:type="pct"/>
            <w:tcBorders>
              <w:top w:val="nil"/>
              <w:bottom w:val="single" w:sz="4" w:space="0" w:color="auto"/>
            </w:tcBorders>
          </w:tcPr>
          <w:p w14:paraId="1C95BD5C" w14:textId="4F5BCA4A" w:rsidR="00C24482" w:rsidRPr="004C78D8" w:rsidRDefault="00C24482" w:rsidP="00FB7C1F">
            <w:pPr>
              <w:jc w:val="center"/>
              <w:rPr>
                <w:sz w:val="18"/>
                <w:szCs w:val="18"/>
              </w:rPr>
            </w:pPr>
            <w:r w:rsidRPr="004C78D8">
              <w:rPr>
                <w:sz w:val="18"/>
                <w:szCs w:val="18"/>
              </w:rPr>
              <w:t>14.6%</w:t>
            </w:r>
          </w:p>
        </w:tc>
        <w:tc>
          <w:tcPr>
            <w:tcW w:w="840" w:type="pct"/>
            <w:tcBorders>
              <w:top w:val="nil"/>
              <w:bottom w:val="single" w:sz="4" w:space="0" w:color="auto"/>
            </w:tcBorders>
          </w:tcPr>
          <w:p w14:paraId="378E22FA" w14:textId="69901D5C" w:rsidR="00C24482" w:rsidRPr="004C78D8" w:rsidRDefault="00C24482" w:rsidP="00FB7C1F">
            <w:pPr>
              <w:jc w:val="center"/>
              <w:rPr>
                <w:sz w:val="18"/>
                <w:szCs w:val="18"/>
              </w:rPr>
            </w:pPr>
            <w:r w:rsidRPr="004C78D8">
              <w:rPr>
                <w:sz w:val="18"/>
                <w:szCs w:val="18"/>
              </w:rPr>
              <w:t>£425.89</w:t>
            </w:r>
          </w:p>
        </w:tc>
        <w:tc>
          <w:tcPr>
            <w:tcW w:w="866" w:type="pct"/>
            <w:tcBorders>
              <w:top w:val="nil"/>
              <w:bottom w:val="single" w:sz="4" w:space="0" w:color="auto"/>
            </w:tcBorders>
          </w:tcPr>
          <w:p w14:paraId="62E09F45" w14:textId="77777777" w:rsidR="00C24482" w:rsidRPr="004C78D8" w:rsidRDefault="00C24482" w:rsidP="00FB7C1F">
            <w:pPr>
              <w:jc w:val="center"/>
              <w:rPr>
                <w:sz w:val="18"/>
                <w:szCs w:val="18"/>
              </w:rPr>
            </w:pPr>
          </w:p>
        </w:tc>
      </w:tr>
      <w:tr w:rsidR="00C24482" w:rsidRPr="004C78D8" w14:paraId="0BD467F7" w14:textId="77777777" w:rsidTr="00E35893">
        <w:tc>
          <w:tcPr>
            <w:tcW w:w="838" w:type="pct"/>
            <w:vMerge w:val="restart"/>
            <w:tcBorders>
              <w:top w:val="nil"/>
            </w:tcBorders>
          </w:tcPr>
          <w:p w14:paraId="01ED3F72" w14:textId="0C6A1F88" w:rsidR="00C24482" w:rsidRPr="004C78D8" w:rsidRDefault="00C24482" w:rsidP="00FB7C1F">
            <w:pPr>
              <w:jc w:val="left"/>
              <w:rPr>
                <w:sz w:val="18"/>
                <w:szCs w:val="18"/>
              </w:rPr>
            </w:pPr>
            <w:r w:rsidRPr="004C78D8">
              <w:rPr>
                <w:sz w:val="18"/>
                <w:szCs w:val="18"/>
              </w:rPr>
              <w:t>Severe – Cognitively intact</w:t>
            </w:r>
          </w:p>
        </w:tc>
        <w:tc>
          <w:tcPr>
            <w:tcW w:w="756" w:type="pct"/>
            <w:vMerge w:val="restart"/>
            <w:tcBorders>
              <w:top w:val="nil"/>
            </w:tcBorders>
          </w:tcPr>
          <w:p w14:paraId="05A798F0" w14:textId="03B01740" w:rsidR="00C24482" w:rsidRPr="004C78D8" w:rsidRDefault="00C24482" w:rsidP="00FB7C1F">
            <w:pPr>
              <w:jc w:val="left"/>
              <w:rPr>
                <w:sz w:val="18"/>
                <w:szCs w:val="18"/>
              </w:rPr>
            </w:pPr>
            <w:r w:rsidRPr="004C78D8">
              <w:rPr>
                <w:sz w:val="18"/>
                <w:szCs w:val="18"/>
              </w:rPr>
              <w:t>18.91%</w:t>
            </w:r>
          </w:p>
        </w:tc>
        <w:tc>
          <w:tcPr>
            <w:tcW w:w="859" w:type="pct"/>
            <w:tcBorders>
              <w:top w:val="single" w:sz="4" w:space="0" w:color="auto"/>
              <w:bottom w:val="nil"/>
            </w:tcBorders>
          </w:tcPr>
          <w:p w14:paraId="09A2DC3A" w14:textId="23868588" w:rsidR="00C24482" w:rsidRPr="004C78D8" w:rsidRDefault="00C24482" w:rsidP="00FB7C1F">
            <w:pPr>
              <w:jc w:val="left"/>
              <w:rPr>
                <w:sz w:val="18"/>
                <w:szCs w:val="18"/>
              </w:rPr>
            </w:pPr>
            <w:r w:rsidRPr="004C78D8">
              <w:rPr>
                <w:sz w:val="18"/>
                <w:szCs w:val="18"/>
              </w:rPr>
              <w:t>7 visits/week</w:t>
            </w:r>
          </w:p>
        </w:tc>
        <w:tc>
          <w:tcPr>
            <w:tcW w:w="841" w:type="pct"/>
            <w:tcBorders>
              <w:top w:val="single" w:sz="4" w:space="0" w:color="auto"/>
              <w:bottom w:val="nil"/>
            </w:tcBorders>
          </w:tcPr>
          <w:p w14:paraId="47E7478C" w14:textId="53CE9CF8" w:rsidR="00C24482" w:rsidRPr="004C78D8" w:rsidRDefault="00C24482" w:rsidP="00FB7C1F">
            <w:pPr>
              <w:jc w:val="center"/>
              <w:rPr>
                <w:sz w:val="18"/>
                <w:szCs w:val="18"/>
              </w:rPr>
            </w:pPr>
            <w:r w:rsidRPr="004C78D8">
              <w:rPr>
                <w:sz w:val="18"/>
                <w:szCs w:val="18"/>
              </w:rPr>
              <w:t>65.0%</w:t>
            </w:r>
          </w:p>
        </w:tc>
        <w:tc>
          <w:tcPr>
            <w:tcW w:w="840" w:type="pct"/>
            <w:tcBorders>
              <w:top w:val="single" w:sz="4" w:space="0" w:color="auto"/>
              <w:bottom w:val="nil"/>
            </w:tcBorders>
          </w:tcPr>
          <w:p w14:paraId="0EB09012" w14:textId="251E834F" w:rsidR="00C24482" w:rsidRPr="004C78D8" w:rsidRDefault="00C24482" w:rsidP="00FB7C1F">
            <w:pPr>
              <w:jc w:val="center"/>
              <w:rPr>
                <w:sz w:val="18"/>
                <w:szCs w:val="18"/>
              </w:rPr>
            </w:pPr>
            <w:r w:rsidRPr="004C78D8">
              <w:rPr>
                <w:sz w:val="18"/>
                <w:szCs w:val="18"/>
              </w:rPr>
              <w:t>£2,981.26</w:t>
            </w:r>
          </w:p>
        </w:tc>
        <w:tc>
          <w:tcPr>
            <w:tcW w:w="866" w:type="pct"/>
            <w:tcBorders>
              <w:top w:val="single" w:sz="4" w:space="0" w:color="auto"/>
              <w:bottom w:val="nil"/>
            </w:tcBorders>
          </w:tcPr>
          <w:p w14:paraId="2693B6B1" w14:textId="6FE5ED5F" w:rsidR="00C24482" w:rsidRPr="004C78D8" w:rsidRDefault="00C24482" w:rsidP="00FB7C1F">
            <w:pPr>
              <w:jc w:val="center"/>
              <w:rPr>
                <w:sz w:val="18"/>
                <w:szCs w:val="18"/>
              </w:rPr>
            </w:pPr>
            <w:r w:rsidRPr="004C78D8">
              <w:rPr>
                <w:sz w:val="18"/>
                <w:szCs w:val="18"/>
              </w:rPr>
              <w:t>£2,155.02</w:t>
            </w:r>
          </w:p>
        </w:tc>
      </w:tr>
      <w:tr w:rsidR="00C24482" w:rsidRPr="004C78D8" w14:paraId="4D37C250" w14:textId="77777777" w:rsidTr="00E35893">
        <w:tc>
          <w:tcPr>
            <w:tcW w:w="838" w:type="pct"/>
            <w:vMerge/>
          </w:tcPr>
          <w:p w14:paraId="77CC88A3" w14:textId="77777777" w:rsidR="00C24482" w:rsidRPr="004C78D8" w:rsidRDefault="00C24482" w:rsidP="00FB7C1F">
            <w:pPr>
              <w:jc w:val="left"/>
              <w:rPr>
                <w:sz w:val="18"/>
                <w:szCs w:val="18"/>
              </w:rPr>
            </w:pPr>
          </w:p>
        </w:tc>
        <w:tc>
          <w:tcPr>
            <w:tcW w:w="756" w:type="pct"/>
            <w:vMerge/>
          </w:tcPr>
          <w:p w14:paraId="7CA2C78D" w14:textId="77777777" w:rsidR="00C24482" w:rsidRPr="004C78D8" w:rsidRDefault="00C24482" w:rsidP="00FB7C1F">
            <w:pPr>
              <w:jc w:val="left"/>
              <w:rPr>
                <w:sz w:val="18"/>
                <w:szCs w:val="18"/>
              </w:rPr>
            </w:pPr>
          </w:p>
        </w:tc>
        <w:tc>
          <w:tcPr>
            <w:tcW w:w="859" w:type="pct"/>
            <w:tcBorders>
              <w:top w:val="nil"/>
              <w:bottom w:val="nil"/>
            </w:tcBorders>
          </w:tcPr>
          <w:p w14:paraId="0BCE739F" w14:textId="7ABD6CC6" w:rsidR="00C24482" w:rsidRPr="004C78D8" w:rsidRDefault="00C24482" w:rsidP="00FB7C1F">
            <w:pPr>
              <w:jc w:val="left"/>
              <w:rPr>
                <w:sz w:val="18"/>
                <w:szCs w:val="18"/>
              </w:rPr>
            </w:pPr>
            <w:r w:rsidRPr="004C78D8">
              <w:rPr>
                <w:sz w:val="18"/>
                <w:szCs w:val="18"/>
              </w:rPr>
              <w:t>2 visits/week</w:t>
            </w:r>
          </w:p>
        </w:tc>
        <w:tc>
          <w:tcPr>
            <w:tcW w:w="841" w:type="pct"/>
            <w:tcBorders>
              <w:top w:val="nil"/>
              <w:bottom w:val="nil"/>
            </w:tcBorders>
          </w:tcPr>
          <w:p w14:paraId="0A3656EF" w14:textId="21D8ABE7" w:rsidR="00C24482" w:rsidRPr="004C78D8" w:rsidRDefault="00C24482" w:rsidP="00FB7C1F">
            <w:pPr>
              <w:jc w:val="center"/>
              <w:rPr>
                <w:sz w:val="18"/>
                <w:szCs w:val="18"/>
              </w:rPr>
            </w:pPr>
            <w:r w:rsidRPr="004C78D8">
              <w:rPr>
                <w:sz w:val="18"/>
                <w:szCs w:val="18"/>
              </w:rPr>
              <w:t>16.0%</w:t>
            </w:r>
          </w:p>
        </w:tc>
        <w:tc>
          <w:tcPr>
            <w:tcW w:w="840" w:type="pct"/>
            <w:tcBorders>
              <w:top w:val="nil"/>
              <w:bottom w:val="nil"/>
            </w:tcBorders>
          </w:tcPr>
          <w:p w14:paraId="61B1BCD4" w14:textId="1EA03CE7" w:rsidR="00C24482" w:rsidRPr="004C78D8" w:rsidRDefault="00C24482" w:rsidP="00FB7C1F">
            <w:pPr>
              <w:jc w:val="center"/>
              <w:rPr>
                <w:sz w:val="18"/>
                <w:szCs w:val="18"/>
              </w:rPr>
            </w:pPr>
            <w:r w:rsidRPr="004C78D8">
              <w:rPr>
                <w:sz w:val="18"/>
                <w:szCs w:val="18"/>
              </w:rPr>
              <w:t>£851.79</w:t>
            </w:r>
          </w:p>
        </w:tc>
        <w:tc>
          <w:tcPr>
            <w:tcW w:w="866" w:type="pct"/>
            <w:tcBorders>
              <w:top w:val="nil"/>
              <w:bottom w:val="nil"/>
            </w:tcBorders>
          </w:tcPr>
          <w:p w14:paraId="7AA5FF15" w14:textId="77777777" w:rsidR="00C24482" w:rsidRPr="004C78D8" w:rsidRDefault="00C24482" w:rsidP="00FB7C1F">
            <w:pPr>
              <w:jc w:val="center"/>
              <w:rPr>
                <w:sz w:val="18"/>
                <w:szCs w:val="18"/>
              </w:rPr>
            </w:pPr>
          </w:p>
        </w:tc>
      </w:tr>
      <w:tr w:rsidR="00C24482" w:rsidRPr="004C78D8" w14:paraId="3D912C83" w14:textId="77777777" w:rsidTr="00E35893">
        <w:tc>
          <w:tcPr>
            <w:tcW w:w="838" w:type="pct"/>
            <w:vMerge/>
            <w:tcBorders>
              <w:bottom w:val="single" w:sz="4" w:space="0" w:color="auto"/>
            </w:tcBorders>
          </w:tcPr>
          <w:p w14:paraId="78EB4C4E" w14:textId="77777777" w:rsidR="00C24482" w:rsidRPr="004C78D8" w:rsidRDefault="00C24482" w:rsidP="00FB7C1F">
            <w:pPr>
              <w:jc w:val="left"/>
              <w:rPr>
                <w:sz w:val="18"/>
                <w:szCs w:val="18"/>
              </w:rPr>
            </w:pPr>
          </w:p>
        </w:tc>
        <w:tc>
          <w:tcPr>
            <w:tcW w:w="756" w:type="pct"/>
            <w:vMerge/>
            <w:tcBorders>
              <w:bottom w:val="single" w:sz="4" w:space="0" w:color="auto"/>
            </w:tcBorders>
          </w:tcPr>
          <w:p w14:paraId="75DB37C8" w14:textId="77777777" w:rsidR="00C24482" w:rsidRPr="004C78D8" w:rsidRDefault="00C24482" w:rsidP="00FB7C1F">
            <w:pPr>
              <w:jc w:val="left"/>
              <w:rPr>
                <w:sz w:val="18"/>
                <w:szCs w:val="18"/>
              </w:rPr>
            </w:pPr>
          </w:p>
        </w:tc>
        <w:tc>
          <w:tcPr>
            <w:tcW w:w="859" w:type="pct"/>
            <w:tcBorders>
              <w:top w:val="nil"/>
              <w:bottom w:val="single" w:sz="4" w:space="0" w:color="auto"/>
            </w:tcBorders>
          </w:tcPr>
          <w:p w14:paraId="75F7DFC6" w14:textId="5002D4E0" w:rsidR="00C24482" w:rsidRPr="004C78D8" w:rsidRDefault="00C24482" w:rsidP="00FB7C1F">
            <w:pPr>
              <w:jc w:val="left"/>
              <w:rPr>
                <w:sz w:val="18"/>
                <w:szCs w:val="18"/>
              </w:rPr>
            </w:pPr>
            <w:r w:rsidRPr="004C78D8">
              <w:rPr>
                <w:sz w:val="18"/>
                <w:szCs w:val="18"/>
              </w:rPr>
              <w:t>1 visit/week</w:t>
            </w:r>
          </w:p>
        </w:tc>
        <w:tc>
          <w:tcPr>
            <w:tcW w:w="841" w:type="pct"/>
            <w:tcBorders>
              <w:top w:val="nil"/>
              <w:bottom w:val="single" w:sz="4" w:space="0" w:color="auto"/>
            </w:tcBorders>
          </w:tcPr>
          <w:p w14:paraId="4150B354" w14:textId="21B9FDA9" w:rsidR="00C24482" w:rsidRPr="004C78D8" w:rsidRDefault="00C24482" w:rsidP="00FB7C1F">
            <w:pPr>
              <w:jc w:val="center"/>
              <w:rPr>
                <w:sz w:val="18"/>
                <w:szCs w:val="18"/>
              </w:rPr>
            </w:pPr>
            <w:r w:rsidRPr="004C78D8">
              <w:rPr>
                <w:sz w:val="18"/>
                <w:szCs w:val="18"/>
              </w:rPr>
              <w:t>19.0%</w:t>
            </w:r>
          </w:p>
        </w:tc>
        <w:tc>
          <w:tcPr>
            <w:tcW w:w="840" w:type="pct"/>
            <w:tcBorders>
              <w:top w:val="nil"/>
              <w:bottom w:val="single" w:sz="4" w:space="0" w:color="auto"/>
            </w:tcBorders>
          </w:tcPr>
          <w:p w14:paraId="4FFC75DB" w14:textId="044D1D2C" w:rsidR="00C24482" w:rsidRPr="004C78D8" w:rsidRDefault="00C24482" w:rsidP="00FB7C1F">
            <w:pPr>
              <w:jc w:val="center"/>
              <w:rPr>
                <w:sz w:val="18"/>
                <w:szCs w:val="18"/>
              </w:rPr>
            </w:pPr>
            <w:r w:rsidRPr="004C78D8">
              <w:rPr>
                <w:sz w:val="18"/>
                <w:szCs w:val="18"/>
              </w:rPr>
              <w:t>£425.89</w:t>
            </w:r>
          </w:p>
        </w:tc>
        <w:tc>
          <w:tcPr>
            <w:tcW w:w="866" w:type="pct"/>
            <w:tcBorders>
              <w:top w:val="nil"/>
              <w:bottom w:val="single" w:sz="4" w:space="0" w:color="auto"/>
            </w:tcBorders>
          </w:tcPr>
          <w:p w14:paraId="23423252" w14:textId="77777777" w:rsidR="00C24482" w:rsidRPr="004C78D8" w:rsidRDefault="00C24482" w:rsidP="00FB7C1F">
            <w:pPr>
              <w:jc w:val="center"/>
              <w:rPr>
                <w:sz w:val="18"/>
                <w:szCs w:val="18"/>
              </w:rPr>
            </w:pPr>
          </w:p>
        </w:tc>
      </w:tr>
      <w:tr w:rsidR="00C24482" w:rsidRPr="004C78D8" w14:paraId="3FEB8074" w14:textId="1FA129D1" w:rsidTr="00E35893">
        <w:trPr>
          <w:trHeight w:val="58"/>
        </w:trPr>
        <w:tc>
          <w:tcPr>
            <w:tcW w:w="838" w:type="pct"/>
            <w:vMerge w:val="restart"/>
          </w:tcPr>
          <w:p w14:paraId="1F5A7996" w14:textId="0982C751" w:rsidR="00C24482" w:rsidRPr="004C78D8" w:rsidRDefault="00C24482" w:rsidP="00FB7C1F">
            <w:pPr>
              <w:jc w:val="left"/>
              <w:rPr>
                <w:sz w:val="18"/>
                <w:szCs w:val="18"/>
              </w:rPr>
            </w:pPr>
            <w:r w:rsidRPr="004C78D8">
              <w:rPr>
                <w:sz w:val="18"/>
                <w:szCs w:val="18"/>
              </w:rPr>
              <w:t>Severe – Cognitively impaired</w:t>
            </w:r>
          </w:p>
        </w:tc>
        <w:tc>
          <w:tcPr>
            <w:tcW w:w="756" w:type="pct"/>
            <w:tcBorders>
              <w:bottom w:val="nil"/>
            </w:tcBorders>
          </w:tcPr>
          <w:p w14:paraId="6CF741E9" w14:textId="78A9EE9B" w:rsidR="00C24482" w:rsidRPr="004C78D8" w:rsidRDefault="00C24482" w:rsidP="00FB7C1F">
            <w:pPr>
              <w:jc w:val="left"/>
              <w:rPr>
                <w:sz w:val="18"/>
                <w:szCs w:val="18"/>
              </w:rPr>
            </w:pPr>
            <w:r w:rsidRPr="004C78D8">
              <w:rPr>
                <w:sz w:val="18"/>
                <w:szCs w:val="18"/>
              </w:rPr>
              <w:t>30.65%</w:t>
            </w:r>
          </w:p>
        </w:tc>
        <w:tc>
          <w:tcPr>
            <w:tcW w:w="859" w:type="pct"/>
            <w:tcBorders>
              <w:bottom w:val="nil"/>
            </w:tcBorders>
          </w:tcPr>
          <w:p w14:paraId="64A8805A" w14:textId="6FFDF768" w:rsidR="00C24482" w:rsidRPr="004C78D8" w:rsidRDefault="00C24482" w:rsidP="00FB7C1F">
            <w:pPr>
              <w:jc w:val="left"/>
              <w:rPr>
                <w:sz w:val="18"/>
                <w:szCs w:val="18"/>
              </w:rPr>
            </w:pPr>
            <w:r w:rsidRPr="004C78D8">
              <w:rPr>
                <w:sz w:val="18"/>
                <w:szCs w:val="18"/>
              </w:rPr>
              <w:t>7 visits/week</w:t>
            </w:r>
          </w:p>
        </w:tc>
        <w:tc>
          <w:tcPr>
            <w:tcW w:w="841" w:type="pct"/>
            <w:tcBorders>
              <w:bottom w:val="nil"/>
            </w:tcBorders>
          </w:tcPr>
          <w:p w14:paraId="2F50EE83" w14:textId="0426CA12" w:rsidR="00C24482" w:rsidRPr="004C78D8" w:rsidRDefault="00C24482" w:rsidP="00FB7C1F">
            <w:pPr>
              <w:jc w:val="center"/>
              <w:rPr>
                <w:sz w:val="18"/>
                <w:szCs w:val="18"/>
              </w:rPr>
            </w:pPr>
            <w:r w:rsidRPr="004C78D8">
              <w:rPr>
                <w:sz w:val="18"/>
                <w:szCs w:val="18"/>
              </w:rPr>
              <w:t>83.9%</w:t>
            </w:r>
          </w:p>
        </w:tc>
        <w:tc>
          <w:tcPr>
            <w:tcW w:w="840" w:type="pct"/>
            <w:tcBorders>
              <w:bottom w:val="nil"/>
            </w:tcBorders>
          </w:tcPr>
          <w:p w14:paraId="4EDAEE0E" w14:textId="288BA4D7" w:rsidR="00C24482" w:rsidRPr="004C78D8" w:rsidRDefault="00C24482" w:rsidP="00FB7C1F">
            <w:pPr>
              <w:jc w:val="center"/>
              <w:rPr>
                <w:sz w:val="18"/>
                <w:szCs w:val="18"/>
              </w:rPr>
            </w:pPr>
            <w:r w:rsidRPr="004C78D8">
              <w:rPr>
                <w:sz w:val="18"/>
                <w:szCs w:val="18"/>
              </w:rPr>
              <w:t>£2,981.26</w:t>
            </w:r>
          </w:p>
        </w:tc>
        <w:tc>
          <w:tcPr>
            <w:tcW w:w="866" w:type="pct"/>
            <w:tcBorders>
              <w:bottom w:val="nil"/>
            </w:tcBorders>
          </w:tcPr>
          <w:p w14:paraId="04CE083A" w14:textId="0A58A23F" w:rsidR="00C24482" w:rsidRPr="004C78D8" w:rsidRDefault="00C24482" w:rsidP="00FB7C1F">
            <w:pPr>
              <w:jc w:val="center"/>
              <w:rPr>
                <w:sz w:val="18"/>
                <w:szCs w:val="18"/>
              </w:rPr>
            </w:pPr>
            <w:r w:rsidRPr="004C78D8">
              <w:rPr>
                <w:sz w:val="18"/>
                <w:szCs w:val="18"/>
              </w:rPr>
              <w:t>£2,611.16</w:t>
            </w:r>
          </w:p>
        </w:tc>
      </w:tr>
      <w:tr w:rsidR="00C24482" w:rsidRPr="004C78D8" w14:paraId="618E5C65" w14:textId="6F1E4F9E" w:rsidTr="00E35893">
        <w:tc>
          <w:tcPr>
            <w:tcW w:w="838" w:type="pct"/>
            <w:vMerge/>
          </w:tcPr>
          <w:p w14:paraId="34D008D3" w14:textId="77777777" w:rsidR="00C24482" w:rsidRPr="004C78D8" w:rsidRDefault="00C24482" w:rsidP="00FB7C1F">
            <w:pPr>
              <w:jc w:val="left"/>
              <w:rPr>
                <w:sz w:val="18"/>
                <w:szCs w:val="18"/>
              </w:rPr>
            </w:pPr>
          </w:p>
        </w:tc>
        <w:tc>
          <w:tcPr>
            <w:tcW w:w="756" w:type="pct"/>
            <w:tcBorders>
              <w:top w:val="nil"/>
              <w:bottom w:val="nil"/>
            </w:tcBorders>
          </w:tcPr>
          <w:p w14:paraId="2BEF436C" w14:textId="77777777" w:rsidR="00C24482" w:rsidRPr="004C78D8" w:rsidRDefault="00C24482" w:rsidP="00FB7C1F">
            <w:pPr>
              <w:jc w:val="left"/>
              <w:rPr>
                <w:sz w:val="18"/>
                <w:szCs w:val="18"/>
              </w:rPr>
            </w:pPr>
          </w:p>
        </w:tc>
        <w:tc>
          <w:tcPr>
            <w:tcW w:w="859" w:type="pct"/>
            <w:tcBorders>
              <w:top w:val="nil"/>
              <w:bottom w:val="nil"/>
            </w:tcBorders>
          </w:tcPr>
          <w:p w14:paraId="14FA45A0" w14:textId="684C928A" w:rsidR="00C24482" w:rsidRPr="004C78D8" w:rsidRDefault="00C24482" w:rsidP="00FB7C1F">
            <w:pPr>
              <w:jc w:val="left"/>
              <w:rPr>
                <w:sz w:val="18"/>
                <w:szCs w:val="18"/>
              </w:rPr>
            </w:pPr>
            <w:r w:rsidRPr="004C78D8">
              <w:rPr>
                <w:sz w:val="18"/>
                <w:szCs w:val="18"/>
              </w:rPr>
              <w:t>2 visits/week</w:t>
            </w:r>
          </w:p>
        </w:tc>
        <w:tc>
          <w:tcPr>
            <w:tcW w:w="841" w:type="pct"/>
            <w:tcBorders>
              <w:top w:val="nil"/>
              <w:bottom w:val="nil"/>
            </w:tcBorders>
          </w:tcPr>
          <w:p w14:paraId="604DD839" w14:textId="51C81100" w:rsidR="00C24482" w:rsidRPr="004C78D8" w:rsidRDefault="00C24482" w:rsidP="00FB7C1F">
            <w:pPr>
              <w:jc w:val="center"/>
              <w:rPr>
                <w:sz w:val="18"/>
                <w:szCs w:val="18"/>
              </w:rPr>
            </w:pPr>
            <w:r w:rsidRPr="004C78D8">
              <w:rPr>
                <w:sz w:val="18"/>
                <w:szCs w:val="18"/>
              </w:rPr>
              <w:t>9.7%</w:t>
            </w:r>
          </w:p>
        </w:tc>
        <w:tc>
          <w:tcPr>
            <w:tcW w:w="840" w:type="pct"/>
            <w:tcBorders>
              <w:top w:val="nil"/>
              <w:bottom w:val="nil"/>
            </w:tcBorders>
          </w:tcPr>
          <w:p w14:paraId="256CFF64" w14:textId="103F9F34" w:rsidR="00C24482" w:rsidRPr="004C78D8" w:rsidRDefault="00C24482" w:rsidP="00FB7C1F">
            <w:pPr>
              <w:jc w:val="center"/>
              <w:rPr>
                <w:sz w:val="18"/>
                <w:szCs w:val="18"/>
              </w:rPr>
            </w:pPr>
            <w:r w:rsidRPr="004C78D8">
              <w:rPr>
                <w:sz w:val="18"/>
                <w:szCs w:val="18"/>
              </w:rPr>
              <w:t>£851.79</w:t>
            </w:r>
          </w:p>
        </w:tc>
        <w:tc>
          <w:tcPr>
            <w:tcW w:w="866" w:type="pct"/>
            <w:tcBorders>
              <w:top w:val="nil"/>
              <w:bottom w:val="nil"/>
            </w:tcBorders>
          </w:tcPr>
          <w:p w14:paraId="78E1433A" w14:textId="77777777" w:rsidR="00C24482" w:rsidRPr="004C78D8" w:rsidRDefault="00C24482" w:rsidP="00FB7C1F">
            <w:pPr>
              <w:jc w:val="center"/>
              <w:rPr>
                <w:sz w:val="18"/>
                <w:szCs w:val="18"/>
              </w:rPr>
            </w:pPr>
          </w:p>
        </w:tc>
      </w:tr>
      <w:tr w:rsidR="00C24482" w:rsidRPr="004C78D8" w14:paraId="62604CA0" w14:textId="74DCF863" w:rsidTr="00E35893">
        <w:tc>
          <w:tcPr>
            <w:tcW w:w="838" w:type="pct"/>
            <w:vMerge/>
            <w:tcBorders>
              <w:bottom w:val="single" w:sz="4" w:space="0" w:color="auto"/>
            </w:tcBorders>
          </w:tcPr>
          <w:p w14:paraId="0D697202" w14:textId="77777777" w:rsidR="00C24482" w:rsidRPr="004C78D8" w:rsidRDefault="00C24482" w:rsidP="00FB7C1F">
            <w:pPr>
              <w:jc w:val="left"/>
              <w:rPr>
                <w:sz w:val="18"/>
                <w:szCs w:val="18"/>
              </w:rPr>
            </w:pPr>
          </w:p>
        </w:tc>
        <w:tc>
          <w:tcPr>
            <w:tcW w:w="756" w:type="pct"/>
            <w:tcBorders>
              <w:top w:val="nil"/>
              <w:bottom w:val="single" w:sz="4" w:space="0" w:color="auto"/>
            </w:tcBorders>
          </w:tcPr>
          <w:p w14:paraId="21476A81" w14:textId="77777777" w:rsidR="00C24482" w:rsidRPr="004C78D8" w:rsidRDefault="00C24482" w:rsidP="00FB7C1F">
            <w:pPr>
              <w:jc w:val="left"/>
              <w:rPr>
                <w:sz w:val="18"/>
                <w:szCs w:val="18"/>
              </w:rPr>
            </w:pPr>
          </w:p>
        </w:tc>
        <w:tc>
          <w:tcPr>
            <w:tcW w:w="859" w:type="pct"/>
            <w:tcBorders>
              <w:top w:val="nil"/>
              <w:bottom w:val="single" w:sz="4" w:space="0" w:color="auto"/>
            </w:tcBorders>
          </w:tcPr>
          <w:p w14:paraId="4BCD9E0B" w14:textId="4AA34B82" w:rsidR="00C24482" w:rsidRPr="004C78D8" w:rsidRDefault="00C24482" w:rsidP="00FB7C1F">
            <w:pPr>
              <w:jc w:val="left"/>
              <w:rPr>
                <w:sz w:val="18"/>
                <w:szCs w:val="18"/>
              </w:rPr>
            </w:pPr>
            <w:r w:rsidRPr="004C78D8">
              <w:rPr>
                <w:sz w:val="18"/>
                <w:szCs w:val="18"/>
              </w:rPr>
              <w:t>1 visit/week</w:t>
            </w:r>
          </w:p>
        </w:tc>
        <w:tc>
          <w:tcPr>
            <w:tcW w:w="841" w:type="pct"/>
            <w:tcBorders>
              <w:top w:val="nil"/>
              <w:bottom w:val="single" w:sz="4" w:space="0" w:color="auto"/>
            </w:tcBorders>
          </w:tcPr>
          <w:p w14:paraId="2A34FB44" w14:textId="1DE3C866" w:rsidR="00C24482" w:rsidRPr="004C78D8" w:rsidRDefault="00C24482" w:rsidP="00FB7C1F">
            <w:pPr>
              <w:jc w:val="center"/>
              <w:rPr>
                <w:sz w:val="18"/>
                <w:szCs w:val="18"/>
              </w:rPr>
            </w:pPr>
            <w:r w:rsidRPr="004C78D8">
              <w:rPr>
                <w:sz w:val="18"/>
                <w:szCs w:val="18"/>
              </w:rPr>
              <w:t>6.4%</w:t>
            </w:r>
          </w:p>
        </w:tc>
        <w:tc>
          <w:tcPr>
            <w:tcW w:w="840" w:type="pct"/>
            <w:tcBorders>
              <w:top w:val="nil"/>
              <w:bottom w:val="single" w:sz="4" w:space="0" w:color="auto"/>
            </w:tcBorders>
          </w:tcPr>
          <w:p w14:paraId="4D982F6D" w14:textId="73CB5239" w:rsidR="00C24482" w:rsidRPr="004C78D8" w:rsidRDefault="00C24482" w:rsidP="00FB7C1F">
            <w:pPr>
              <w:jc w:val="center"/>
              <w:rPr>
                <w:sz w:val="18"/>
                <w:szCs w:val="18"/>
              </w:rPr>
            </w:pPr>
            <w:r w:rsidRPr="004C78D8">
              <w:rPr>
                <w:sz w:val="18"/>
                <w:szCs w:val="18"/>
              </w:rPr>
              <w:t>£425.89</w:t>
            </w:r>
          </w:p>
        </w:tc>
        <w:tc>
          <w:tcPr>
            <w:tcW w:w="866" w:type="pct"/>
            <w:tcBorders>
              <w:top w:val="nil"/>
              <w:bottom w:val="single" w:sz="4" w:space="0" w:color="auto"/>
            </w:tcBorders>
          </w:tcPr>
          <w:p w14:paraId="5C31D298" w14:textId="77777777" w:rsidR="00C24482" w:rsidRPr="004C78D8" w:rsidRDefault="00C24482" w:rsidP="00FB7C1F">
            <w:pPr>
              <w:jc w:val="center"/>
              <w:rPr>
                <w:sz w:val="18"/>
                <w:szCs w:val="18"/>
              </w:rPr>
            </w:pPr>
          </w:p>
        </w:tc>
      </w:tr>
      <w:tr w:rsidR="00C24482" w:rsidRPr="004C78D8" w14:paraId="32FC08E2" w14:textId="77777777" w:rsidTr="00E35893">
        <w:tc>
          <w:tcPr>
            <w:tcW w:w="5000" w:type="pct"/>
            <w:gridSpan w:val="6"/>
            <w:tcBorders>
              <w:top w:val="single" w:sz="4" w:space="0" w:color="auto"/>
            </w:tcBorders>
          </w:tcPr>
          <w:p w14:paraId="4D46DF94" w14:textId="626E558A" w:rsidR="00C24482" w:rsidRPr="004C78D8" w:rsidRDefault="00C24482" w:rsidP="00FB7C1F">
            <w:pPr>
              <w:jc w:val="left"/>
              <w:rPr>
                <w:sz w:val="18"/>
                <w:szCs w:val="18"/>
              </w:rPr>
            </w:pPr>
            <w:r w:rsidRPr="004C78D8">
              <w:rPr>
                <w:sz w:val="18"/>
                <w:szCs w:val="18"/>
                <w:vertAlign w:val="superscript"/>
              </w:rPr>
              <w:t>1</w:t>
            </w:r>
            <w:r w:rsidRPr="004C78D8">
              <w:rPr>
                <w:sz w:val="18"/>
                <w:szCs w:val="18"/>
              </w:rPr>
              <w:t xml:space="preserve"> Assumed 2.5 hours per visit, 8.21 weeks of visits per year and cost of £20.75 per hour.</w:t>
            </w:r>
          </w:p>
        </w:tc>
      </w:tr>
    </w:tbl>
    <w:p w14:paraId="703A3BC5" w14:textId="501314B1" w:rsidR="00E1203E" w:rsidRPr="004C78D8" w:rsidRDefault="00E1203E" w:rsidP="00FB7C1F"/>
    <w:p w14:paraId="3C406CC4" w14:textId="065B16B2" w:rsidR="00FF32A7" w:rsidRPr="004C78D8" w:rsidRDefault="00FF32A7" w:rsidP="00FB7C1F">
      <w:pPr>
        <w:pStyle w:val="Heading5"/>
      </w:pPr>
      <w:r w:rsidRPr="004C78D8">
        <w:t xml:space="preserve">Out-of-pocket care </w:t>
      </w:r>
      <w:r w:rsidR="00CE5817" w:rsidRPr="004C78D8">
        <w:t>costs</w:t>
      </w:r>
    </w:p>
    <w:p w14:paraId="5E74A146" w14:textId="0FC3E974" w:rsidR="006D0511" w:rsidRPr="004C78D8" w:rsidRDefault="003C0D19" w:rsidP="00FB7C1F">
      <w:r w:rsidRPr="004C78D8">
        <w:t>ELSA Waves 4</w:t>
      </w:r>
      <w:r w:rsidR="00FB5231" w:rsidRPr="004C78D8">
        <w:t>-</w:t>
      </w:r>
      <w:r w:rsidRPr="004C78D8">
        <w:t>5 contain</w:t>
      </w:r>
      <w:r w:rsidR="00E4438E" w:rsidRPr="004C78D8">
        <w:t>ed</w:t>
      </w:r>
      <w:r w:rsidRPr="004C78D8">
        <w:t xml:space="preserve"> information on the receipt of any privately paid help for </w:t>
      </w:r>
      <w:r w:rsidR="00E9716F" w:rsidRPr="004C78D8">
        <w:t>ADL</w:t>
      </w:r>
      <w:r w:rsidRPr="004C78D8">
        <w:t xml:space="preserve">. </w:t>
      </w:r>
      <w:r w:rsidR="00814050" w:rsidRPr="004C78D8">
        <w:t>The prevalence rates by frailty category were: 0</w:t>
      </w:r>
      <w:r w:rsidR="0035137B" w:rsidRPr="004C78D8">
        <w:t>.2</w:t>
      </w:r>
      <w:r w:rsidR="00814050" w:rsidRPr="004C78D8">
        <w:t xml:space="preserve">% for Fit; </w:t>
      </w:r>
      <w:r w:rsidR="0035137B" w:rsidRPr="004C78D8">
        <w:t>4</w:t>
      </w:r>
      <w:r w:rsidR="00814050" w:rsidRPr="004C78D8">
        <w:t>.</w:t>
      </w:r>
      <w:r w:rsidR="0035137B" w:rsidRPr="004C78D8">
        <w:t>1</w:t>
      </w:r>
      <w:r w:rsidR="00814050" w:rsidRPr="004C78D8">
        <w:t>% for Mild; 1</w:t>
      </w:r>
      <w:r w:rsidR="0035137B" w:rsidRPr="004C78D8">
        <w:t>2</w:t>
      </w:r>
      <w:r w:rsidR="00814050" w:rsidRPr="004C78D8">
        <w:t xml:space="preserve">.4% for Moderate; </w:t>
      </w:r>
      <w:r w:rsidR="0035137B" w:rsidRPr="004C78D8">
        <w:t>19</w:t>
      </w:r>
      <w:r w:rsidR="00814050" w:rsidRPr="004C78D8">
        <w:t>.9% for Severe; and 3.</w:t>
      </w:r>
      <w:r w:rsidR="0035137B" w:rsidRPr="004C78D8">
        <w:t>4</w:t>
      </w:r>
      <w:r w:rsidR="00814050" w:rsidRPr="004C78D8">
        <w:t xml:space="preserve">% overall. </w:t>
      </w:r>
      <w:r w:rsidR="00FB5231" w:rsidRPr="004C78D8">
        <w:t>M</w:t>
      </w:r>
      <w:r w:rsidR="00814050" w:rsidRPr="004C78D8">
        <w:t xml:space="preserve">ultivariate logistic regression showed that </w:t>
      </w:r>
      <w:r w:rsidR="00335C7D" w:rsidRPr="004C78D8">
        <w:t xml:space="preserve">several </w:t>
      </w:r>
      <w:r w:rsidR="00814050" w:rsidRPr="004C78D8">
        <w:t xml:space="preserve">covariates exerted statistically significant effects on </w:t>
      </w:r>
      <w:r w:rsidR="00007706" w:rsidRPr="004C78D8">
        <w:t xml:space="preserve">OOP </w:t>
      </w:r>
      <w:r w:rsidR="00814050" w:rsidRPr="004C78D8">
        <w:t xml:space="preserve">care receipt. Therefore, a multivariate risk equation for any OOP care receipt was estimated from ELSA. Table </w:t>
      </w:r>
      <w:r w:rsidR="00E2580C" w:rsidRPr="004C78D8">
        <w:t>5</w:t>
      </w:r>
      <w:r w:rsidR="009A182E" w:rsidRPr="004C78D8">
        <w:t>.</w:t>
      </w:r>
      <w:r w:rsidR="00A1272F" w:rsidRPr="004C78D8">
        <w:t>20</w:t>
      </w:r>
      <w:r w:rsidR="00814050" w:rsidRPr="004C78D8">
        <w:t xml:space="preserve"> shows the results from the best-fit model</w:t>
      </w:r>
      <w:r w:rsidR="00802845" w:rsidRPr="004C78D8">
        <w:t xml:space="preserve">. </w:t>
      </w:r>
      <w:r w:rsidR="00214712" w:rsidRPr="004C78D8">
        <w:t xml:space="preserve">Older and female individuals were likelier to require OOP care, as were frailer individuals. </w:t>
      </w:r>
      <w:r w:rsidR="003019F3" w:rsidRPr="004C78D8">
        <w:t xml:space="preserve">The </w:t>
      </w:r>
      <w:r w:rsidR="004F7E57" w:rsidRPr="004C78D8">
        <w:t>SES</w:t>
      </w:r>
      <w:r w:rsidR="003019F3" w:rsidRPr="004C78D8">
        <w:t xml:space="preserve"> gradient suggested that </w:t>
      </w:r>
      <w:r w:rsidR="00214712" w:rsidRPr="004C78D8">
        <w:t xml:space="preserve">OOP care </w:t>
      </w:r>
      <w:r w:rsidR="004F7E57" w:rsidRPr="004C78D8">
        <w:t xml:space="preserve">access </w:t>
      </w:r>
      <w:r w:rsidR="00214712" w:rsidRPr="004C78D8">
        <w:t>depended on individuals’ ability to pay</w:t>
      </w:r>
      <w:r w:rsidR="004E016D" w:rsidRPr="004C78D8">
        <w:t xml:space="preserve">. </w:t>
      </w:r>
      <w:r w:rsidR="008D3F6F" w:rsidRPr="004C78D8">
        <w:t>H</w:t>
      </w:r>
      <w:r w:rsidR="00DB399C" w:rsidRPr="004C78D8">
        <w:t>igh physical activity reduced the likelihood of requiring OOP care. Interestingly, those with cognitive impairment were less likely to access OOP care.</w:t>
      </w:r>
      <w:r w:rsidR="00C3636D" w:rsidRPr="004C78D8">
        <w:t xml:space="preserve"> This may be explained by cognitively impaired individuals receiving a greater amount of publicly financed community healthcare and social care (as well as informal care; see Table </w:t>
      </w:r>
      <w:r w:rsidR="00E2580C" w:rsidRPr="004C78D8">
        <w:t>5</w:t>
      </w:r>
      <w:r w:rsidR="008D3F6F" w:rsidRPr="004C78D8">
        <w:t>.</w:t>
      </w:r>
      <w:r w:rsidR="00C44671" w:rsidRPr="004C78D8">
        <w:t>2</w:t>
      </w:r>
      <w:r w:rsidR="00A1272F" w:rsidRPr="004C78D8">
        <w:t>2</w:t>
      </w:r>
      <w:r w:rsidR="00C3636D" w:rsidRPr="004C78D8">
        <w:t>). That said, variables for</w:t>
      </w:r>
      <w:r w:rsidR="006D0511" w:rsidRPr="004C78D8">
        <w:t xml:space="preserve"> receipt</w:t>
      </w:r>
      <w:r w:rsidR="004F7E57" w:rsidRPr="004C78D8">
        <w:t>s</w:t>
      </w:r>
      <w:r w:rsidR="006D0511" w:rsidRPr="004C78D8">
        <w:t xml:space="preserve"> of community healthcare</w:t>
      </w:r>
      <w:r w:rsidR="004F7E57" w:rsidRPr="004C78D8">
        <w:t xml:space="preserve">, </w:t>
      </w:r>
      <w:r w:rsidR="006D0511" w:rsidRPr="004C78D8">
        <w:t>social care</w:t>
      </w:r>
      <w:r w:rsidR="00FB5231" w:rsidRPr="004C78D8">
        <w:t>,</w:t>
      </w:r>
      <w:r w:rsidR="006D0511" w:rsidRPr="004C78D8">
        <w:t xml:space="preserve"> </w:t>
      </w:r>
      <w:r w:rsidR="004F7E57" w:rsidRPr="004C78D8">
        <w:t xml:space="preserve">and informal care </w:t>
      </w:r>
      <w:r w:rsidR="00C3636D" w:rsidRPr="004C78D8">
        <w:t>did not exert a statistically significant effect on OOP care receipt</w:t>
      </w:r>
      <w:r w:rsidR="00C608D7" w:rsidRPr="004C78D8">
        <w:t xml:space="preserve">. </w:t>
      </w:r>
    </w:p>
    <w:tbl>
      <w:tblPr>
        <w:tblStyle w:val="TableGrid"/>
        <w:tblW w:w="0" w:type="auto"/>
        <w:tblInd w:w="-5" w:type="dxa"/>
        <w:tblLook w:val="04A0" w:firstRow="1" w:lastRow="0" w:firstColumn="1" w:lastColumn="0" w:noHBand="0" w:noVBand="1"/>
      </w:tblPr>
      <w:tblGrid>
        <w:gridCol w:w="2263"/>
        <w:gridCol w:w="1701"/>
        <w:gridCol w:w="1701"/>
      </w:tblGrid>
      <w:tr w:rsidR="000B3DA1" w:rsidRPr="004C78D8" w14:paraId="7B8F10FB" w14:textId="77777777" w:rsidTr="00E35893">
        <w:tc>
          <w:tcPr>
            <w:tcW w:w="5665" w:type="dxa"/>
            <w:gridSpan w:val="3"/>
          </w:tcPr>
          <w:p w14:paraId="332A5F19" w14:textId="69DFC7E0" w:rsidR="000B3DA1" w:rsidRPr="004C78D8" w:rsidRDefault="000B3DA1" w:rsidP="00FB7C1F">
            <w:pPr>
              <w:jc w:val="left"/>
            </w:pPr>
            <w:r w:rsidRPr="004C78D8">
              <w:rPr>
                <w:b/>
                <w:bCs/>
              </w:rPr>
              <w:t xml:space="preserve">Table </w:t>
            </w:r>
            <w:r w:rsidR="00E2580C" w:rsidRPr="004C78D8">
              <w:rPr>
                <w:b/>
                <w:bCs/>
              </w:rPr>
              <w:t>5</w:t>
            </w:r>
            <w:r w:rsidR="009A182E" w:rsidRPr="004C78D8">
              <w:rPr>
                <w:b/>
                <w:bCs/>
              </w:rPr>
              <w:t>.</w:t>
            </w:r>
            <w:r w:rsidR="00A1272F" w:rsidRPr="004C78D8">
              <w:rPr>
                <w:b/>
                <w:bCs/>
              </w:rPr>
              <w:t>20</w:t>
            </w:r>
            <w:r w:rsidRPr="004C78D8">
              <w:t xml:space="preserve"> Logistic regression coefficients for out-of-pocket care receipt </w:t>
            </w:r>
            <w:r w:rsidR="00E9716F" w:rsidRPr="004C78D8">
              <w:t>from</w:t>
            </w:r>
            <w:r w:rsidRPr="004C78D8">
              <w:t xml:space="preserve"> ELSA Wave</w:t>
            </w:r>
            <w:r w:rsidR="0000212D" w:rsidRPr="004C78D8">
              <w:t>s</w:t>
            </w:r>
            <w:r w:rsidRPr="004C78D8">
              <w:t xml:space="preserve"> 4</w:t>
            </w:r>
            <w:r w:rsidR="0000212D" w:rsidRPr="004C78D8">
              <w:t xml:space="preserve"> and 5</w:t>
            </w:r>
            <w:r w:rsidR="00E9716F" w:rsidRPr="004C78D8">
              <w:t>.</w:t>
            </w:r>
          </w:p>
        </w:tc>
      </w:tr>
      <w:tr w:rsidR="000B3DA1" w:rsidRPr="004C78D8" w14:paraId="0FE2384E" w14:textId="77777777" w:rsidTr="00E35893">
        <w:tc>
          <w:tcPr>
            <w:tcW w:w="5665" w:type="dxa"/>
            <w:gridSpan w:val="3"/>
          </w:tcPr>
          <w:p w14:paraId="3A8B5FAD" w14:textId="454A2B6E" w:rsidR="000B3DA1" w:rsidRPr="004C78D8" w:rsidRDefault="000B3DA1" w:rsidP="00FB7C1F">
            <w:pPr>
              <w:jc w:val="left"/>
              <w:rPr>
                <w:b/>
                <w:bCs/>
                <w:i/>
                <w:iCs/>
                <w:sz w:val="20"/>
                <w:szCs w:val="20"/>
              </w:rPr>
            </w:pPr>
            <w:r w:rsidRPr="004C78D8">
              <w:rPr>
                <w:b/>
                <w:bCs/>
                <w:i/>
                <w:iCs/>
                <w:sz w:val="20"/>
                <w:szCs w:val="20"/>
              </w:rPr>
              <w:t>Dependent variable: OOP care receipt (N=</w:t>
            </w:r>
            <w:r w:rsidR="0000212D" w:rsidRPr="004C78D8">
              <w:rPr>
                <w:b/>
                <w:bCs/>
                <w:i/>
                <w:iCs/>
                <w:sz w:val="20"/>
                <w:szCs w:val="20"/>
              </w:rPr>
              <w:t>13</w:t>
            </w:r>
            <w:r w:rsidRPr="004C78D8">
              <w:rPr>
                <w:b/>
                <w:bCs/>
                <w:i/>
                <w:iCs/>
                <w:sz w:val="20"/>
                <w:szCs w:val="20"/>
              </w:rPr>
              <w:t>,</w:t>
            </w:r>
            <w:r w:rsidR="0000212D" w:rsidRPr="004C78D8">
              <w:rPr>
                <w:b/>
                <w:bCs/>
                <w:i/>
                <w:iCs/>
                <w:sz w:val="20"/>
                <w:szCs w:val="20"/>
              </w:rPr>
              <w:t>422</w:t>
            </w:r>
            <w:r w:rsidRPr="004C78D8">
              <w:rPr>
                <w:b/>
                <w:bCs/>
                <w:i/>
                <w:iCs/>
                <w:sz w:val="20"/>
                <w:szCs w:val="20"/>
              </w:rPr>
              <w:t>)</w:t>
            </w:r>
          </w:p>
        </w:tc>
      </w:tr>
      <w:tr w:rsidR="000B3DA1" w:rsidRPr="004C78D8" w14:paraId="2FF7F9A6" w14:textId="77777777" w:rsidTr="00E35893">
        <w:tc>
          <w:tcPr>
            <w:tcW w:w="2263" w:type="dxa"/>
            <w:tcBorders>
              <w:bottom w:val="single" w:sz="4" w:space="0" w:color="auto"/>
            </w:tcBorders>
          </w:tcPr>
          <w:p w14:paraId="7496D49C" w14:textId="77777777" w:rsidR="000B3DA1" w:rsidRPr="004C78D8" w:rsidRDefault="000B3DA1" w:rsidP="00FB7C1F">
            <w:pPr>
              <w:rPr>
                <w:b/>
                <w:bCs/>
                <w:sz w:val="20"/>
                <w:szCs w:val="20"/>
              </w:rPr>
            </w:pPr>
            <w:r w:rsidRPr="004C78D8">
              <w:rPr>
                <w:b/>
                <w:bCs/>
                <w:sz w:val="20"/>
                <w:szCs w:val="20"/>
              </w:rPr>
              <w:t>Explanatory variables</w:t>
            </w:r>
          </w:p>
        </w:tc>
        <w:tc>
          <w:tcPr>
            <w:tcW w:w="1701" w:type="dxa"/>
            <w:tcBorders>
              <w:bottom w:val="single" w:sz="4" w:space="0" w:color="auto"/>
            </w:tcBorders>
          </w:tcPr>
          <w:p w14:paraId="5967616D" w14:textId="77777777" w:rsidR="000B3DA1" w:rsidRPr="004C78D8" w:rsidRDefault="000B3DA1" w:rsidP="00FB7C1F">
            <w:pPr>
              <w:jc w:val="center"/>
              <w:rPr>
                <w:b/>
                <w:bCs/>
                <w:sz w:val="20"/>
                <w:szCs w:val="20"/>
              </w:rPr>
            </w:pPr>
            <w:r w:rsidRPr="004C78D8">
              <w:rPr>
                <w:b/>
                <w:bCs/>
                <w:sz w:val="20"/>
                <w:szCs w:val="20"/>
              </w:rPr>
              <w:t>Coefficient (SE)</w:t>
            </w:r>
          </w:p>
        </w:tc>
        <w:tc>
          <w:tcPr>
            <w:tcW w:w="1701" w:type="dxa"/>
            <w:tcBorders>
              <w:bottom w:val="single" w:sz="4" w:space="0" w:color="auto"/>
            </w:tcBorders>
          </w:tcPr>
          <w:p w14:paraId="6E117D11" w14:textId="77777777" w:rsidR="000B3DA1" w:rsidRPr="004C78D8" w:rsidRDefault="000B3DA1" w:rsidP="00FB7C1F">
            <w:pPr>
              <w:jc w:val="center"/>
              <w:rPr>
                <w:b/>
                <w:bCs/>
                <w:sz w:val="20"/>
                <w:szCs w:val="20"/>
              </w:rPr>
            </w:pPr>
            <w:r w:rsidRPr="004C78D8">
              <w:rPr>
                <w:b/>
                <w:bCs/>
                <w:sz w:val="20"/>
                <w:szCs w:val="20"/>
              </w:rPr>
              <w:t>P-value</w:t>
            </w:r>
          </w:p>
        </w:tc>
      </w:tr>
      <w:tr w:rsidR="000B3DA1" w:rsidRPr="004C78D8" w14:paraId="7BED9DEB" w14:textId="77777777" w:rsidTr="00E35893">
        <w:tc>
          <w:tcPr>
            <w:tcW w:w="2263" w:type="dxa"/>
            <w:tcBorders>
              <w:bottom w:val="nil"/>
            </w:tcBorders>
          </w:tcPr>
          <w:p w14:paraId="5731348A" w14:textId="77777777" w:rsidR="000B3DA1" w:rsidRPr="004C78D8" w:rsidRDefault="000B3DA1" w:rsidP="00FB7C1F">
            <w:pPr>
              <w:rPr>
                <w:sz w:val="18"/>
                <w:szCs w:val="18"/>
              </w:rPr>
            </w:pPr>
            <w:r w:rsidRPr="004C78D8">
              <w:rPr>
                <w:sz w:val="18"/>
                <w:szCs w:val="18"/>
              </w:rPr>
              <w:t>Constant</w:t>
            </w:r>
          </w:p>
        </w:tc>
        <w:tc>
          <w:tcPr>
            <w:tcW w:w="1701" w:type="dxa"/>
            <w:tcBorders>
              <w:bottom w:val="nil"/>
            </w:tcBorders>
          </w:tcPr>
          <w:p w14:paraId="15B966CE" w14:textId="7532C00F" w:rsidR="000B3DA1" w:rsidRPr="004C78D8" w:rsidRDefault="000B3DA1" w:rsidP="00FB7C1F">
            <w:pPr>
              <w:jc w:val="center"/>
              <w:rPr>
                <w:sz w:val="18"/>
                <w:szCs w:val="18"/>
              </w:rPr>
            </w:pPr>
            <w:r w:rsidRPr="004C78D8">
              <w:rPr>
                <w:sz w:val="18"/>
                <w:szCs w:val="18"/>
              </w:rPr>
              <w:t>-1</w:t>
            </w:r>
            <w:r w:rsidR="00B561CC" w:rsidRPr="004C78D8">
              <w:rPr>
                <w:sz w:val="18"/>
                <w:szCs w:val="18"/>
              </w:rPr>
              <w:t>1</w:t>
            </w:r>
            <w:r w:rsidRPr="004C78D8">
              <w:rPr>
                <w:sz w:val="18"/>
                <w:szCs w:val="18"/>
              </w:rPr>
              <w:t>.</w:t>
            </w:r>
            <w:r w:rsidR="00B561CC" w:rsidRPr="004C78D8">
              <w:rPr>
                <w:sz w:val="18"/>
                <w:szCs w:val="18"/>
              </w:rPr>
              <w:t>184</w:t>
            </w:r>
            <w:r w:rsidRPr="004C78D8">
              <w:rPr>
                <w:sz w:val="18"/>
                <w:szCs w:val="18"/>
              </w:rPr>
              <w:t xml:space="preserve"> (</w:t>
            </w:r>
            <w:r w:rsidR="005245DA" w:rsidRPr="004C78D8">
              <w:rPr>
                <w:sz w:val="18"/>
                <w:szCs w:val="18"/>
              </w:rPr>
              <w:t>0</w:t>
            </w:r>
            <w:r w:rsidRPr="004C78D8">
              <w:rPr>
                <w:sz w:val="18"/>
                <w:szCs w:val="18"/>
              </w:rPr>
              <w:t>.</w:t>
            </w:r>
            <w:r w:rsidR="00B561CC" w:rsidRPr="004C78D8">
              <w:rPr>
                <w:sz w:val="18"/>
                <w:szCs w:val="18"/>
              </w:rPr>
              <w:t>547</w:t>
            </w:r>
            <w:r w:rsidRPr="004C78D8">
              <w:rPr>
                <w:sz w:val="18"/>
                <w:szCs w:val="18"/>
              </w:rPr>
              <w:t>)</w:t>
            </w:r>
          </w:p>
        </w:tc>
        <w:tc>
          <w:tcPr>
            <w:tcW w:w="1701" w:type="dxa"/>
            <w:tcBorders>
              <w:bottom w:val="nil"/>
            </w:tcBorders>
          </w:tcPr>
          <w:p w14:paraId="04A9AA0E" w14:textId="77777777" w:rsidR="000B3DA1" w:rsidRPr="004C78D8" w:rsidRDefault="000B3DA1" w:rsidP="00FB7C1F">
            <w:pPr>
              <w:jc w:val="center"/>
              <w:rPr>
                <w:sz w:val="18"/>
                <w:szCs w:val="18"/>
              </w:rPr>
            </w:pPr>
            <w:r w:rsidRPr="004C78D8">
              <w:rPr>
                <w:sz w:val="18"/>
                <w:szCs w:val="18"/>
              </w:rPr>
              <w:t>&lt;0.001</w:t>
            </w:r>
          </w:p>
        </w:tc>
      </w:tr>
      <w:tr w:rsidR="000B3DA1" w:rsidRPr="004C78D8" w14:paraId="38B482CC" w14:textId="77777777" w:rsidTr="00E35893">
        <w:tc>
          <w:tcPr>
            <w:tcW w:w="2263" w:type="dxa"/>
            <w:tcBorders>
              <w:top w:val="nil"/>
              <w:bottom w:val="nil"/>
            </w:tcBorders>
          </w:tcPr>
          <w:p w14:paraId="65D04178" w14:textId="77777777" w:rsidR="000B3DA1" w:rsidRPr="004C78D8" w:rsidRDefault="000B3DA1" w:rsidP="00FB7C1F">
            <w:pPr>
              <w:rPr>
                <w:sz w:val="18"/>
                <w:szCs w:val="18"/>
              </w:rPr>
            </w:pPr>
            <w:r w:rsidRPr="004C78D8">
              <w:rPr>
                <w:sz w:val="18"/>
                <w:szCs w:val="18"/>
              </w:rPr>
              <w:t>Age</w:t>
            </w:r>
          </w:p>
        </w:tc>
        <w:tc>
          <w:tcPr>
            <w:tcW w:w="1701" w:type="dxa"/>
            <w:tcBorders>
              <w:top w:val="nil"/>
              <w:bottom w:val="nil"/>
            </w:tcBorders>
          </w:tcPr>
          <w:p w14:paraId="016C979A" w14:textId="548E2FDC" w:rsidR="000B3DA1" w:rsidRPr="004C78D8" w:rsidRDefault="000B3DA1" w:rsidP="00FB7C1F">
            <w:pPr>
              <w:jc w:val="center"/>
              <w:rPr>
                <w:sz w:val="18"/>
                <w:szCs w:val="18"/>
              </w:rPr>
            </w:pPr>
            <w:r w:rsidRPr="004C78D8">
              <w:rPr>
                <w:sz w:val="18"/>
                <w:szCs w:val="18"/>
              </w:rPr>
              <w:t>0.</w:t>
            </w:r>
            <w:r w:rsidR="005245DA" w:rsidRPr="004C78D8">
              <w:rPr>
                <w:sz w:val="18"/>
                <w:szCs w:val="18"/>
              </w:rPr>
              <w:t>0</w:t>
            </w:r>
            <w:r w:rsidR="00B561CC" w:rsidRPr="004C78D8">
              <w:rPr>
                <w:sz w:val="18"/>
                <w:szCs w:val="18"/>
              </w:rPr>
              <w:t>50</w:t>
            </w:r>
            <w:r w:rsidRPr="004C78D8">
              <w:rPr>
                <w:sz w:val="18"/>
                <w:szCs w:val="18"/>
              </w:rPr>
              <w:t xml:space="preserve"> (0.0</w:t>
            </w:r>
            <w:r w:rsidR="005245DA" w:rsidRPr="004C78D8">
              <w:rPr>
                <w:sz w:val="18"/>
                <w:szCs w:val="18"/>
              </w:rPr>
              <w:t>0</w:t>
            </w:r>
            <w:r w:rsidR="00B561CC" w:rsidRPr="004C78D8">
              <w:rPr>
                <w:sz w:val="18"/>
                <w:szCs w:val="18"/>
              </w:rPr>
              <w:t>7</w:t>
            </w:r>
            <w:r w:rsidRPr="004C78D8">
              <w:rPr>
                <w:sz w:val="18"/>
                <w:szCs w:val="18"/>
              </w:rPr>
              <w:t>)</w:t>
            </w:r>
          </w:p>
        </w:tc>
        <w:tc>
          <w:tcPr>
            <w:tcW w:w="1701" w:type="dxa"/>
            <w:tcBorders>
              <w:top w:val="nil"/>
              <w:bottom w:val="nil"/>
            </w:tcBorders>
          </w:tcPr>
          <w:p w14:paraId="3E009DDA" w14:textId="77777777" w:rsidR="000B3DA1" w:rsidRPr="004C78D8" w:rsidRDefault="000B3DA1" w:rsidP="00FB7C1F">
            <w:pPr>
              <w:jc w:val="center"/>
              <w:rPr>
                <w:sz w:val="18"/>
                <w:szCs w:val="18"/>
              </w:rPr>
            </w:pPr>
            <w:r w:rsidRPr="004C78D8">
              <w:rPr>
                <w:sz w:val="18"/>
                <w:szCs w:val="18"/>
              </w:rPr>
              <w:t>&lt;0.001</w:t>
            </w:r>
          </w:p>
        </w:tc>
      </w:tr>
      <w:tr w:rsidR="000B3DA1" w:rsidRPr="004C78D8" w14:paraId="33D980E1" w14:textId="77777777" w:rsidTr="00E35893">
        <w:tc>
          <w:tcPr>
            <w:tcW w:w="2263" w:type="dxa"/>
            <w:tcBorders>
              <w:top w:val="nil"/>
              <w:bottom w:val="nil"/>
            </w:tcBorders>
          </w:tcPr>
          <w:p w14:paraId="5430BB4A" w14:textId="77777777" w:rsidR="000B3DA1" w:rsidRPr="004C78D8" w:rsidRDefault="000B3DA1" w:rsidP="00FB7C1F">
            <w:pPr>
              <w:rPr>
                <w:sz w:val="18"/>
                <w:szCs w:val="18"/>
              </w:rPr>
            </w:pPr>
            <w:r w:rsidRPr="004C78D8">
              <w:rPr>
                <w:sz w:val="18"/>
                <w:szCs w:val="18"/>
              </w:rPr>
              <w:t>Female</w:t>
            </w:r>
          </w:p>
        </w:tc>
        <w:tc>
          <w:tcPr>
            <w:tcW w:w="1701" w:type="dxa"/>
            <w:tcBorders>
              <w:top w:val="nil"/>
              <w:bottom w:val="nil"/>
            </w:tcBorders>
          </w:tcPr>
          <w:p w14:paraId="6C8DE4BD" w14:textId="32956322" w:rsidR="000B3DA1" w:rsidRPr="004C78D8" w:rsidRDefault="000B3DA1" w:rsidP="00FB7C1F">
            <w:pPr>
              <w:jc w:val="center"/>
              <w:rPr>
                <w:sz w:val="18"/>
                <w:szCs w:val="18"/>
              </w:rPr>
            </w:pPr>
            <w:r w:rsidRPr="004C78D8">
              <w:rPr>
                <w:sz w:val="18"/>
                <w:szCs w:val="18"/>
              </w:rPr>
              <w:t>0.</w:t>
            </w:r>
            <w:r w:rsidR="00B561CC" w:rsidRPr="004C78D8">
              <w:rPr>
                <w:sz w:val="18"/>
                <w:szCs w:val="18"/>
              </w:rPr>
              <w:t>703</w:t>
            </w:r>
            <w:r w:rsidRPr="004C78D8">
              <w:rPr>
                <w:sz w:val="18"/>
                <w:szCs w:val="18"/>
              </w:rPr>
              <w:t xml:space="preserve"> (0.</w:t>
            </w:r>
            <w:r w:rsidR="005245DA" w:rsidRPr="004C78D8">
              <w:rPr>
                <w:sz w:val="18"/>
                <w:szCs w:val="18"/>
              </w:rPr>
              <w:t>1</w:t>
            </w:r>
            <w:r w:rsidR="00B561CC" w:rsidRPr="004C78D8">
              <w:rPr>
                <w:sz w:val="18"/>
                <w:szCs w:val="18"/>
              </w:rPr>
              <w:t>13</w:t>
            </w:r>
            <w:r w:rsidRPr="004C78D8">
              <w:rPr>
                <w:sz w:val="18"/>
                <w:szCs w:val="18"/>
              </w:rPr>
              <w:t>)</w:t>
            </w:r>
          </w:p>
        </w:tc>
        <w:tc>
          <w:tcPr>
            <w:tcW w:w="1701" w:type="dxa"/>
            <w:tcBorders>
              <w:top w:val="nil"/>
              <w:bottom w:val="nil"/>
            </w:tcBorders>
          </w:tcPr>
          <w:p w14:paraId="1A8D2537" w14:textId="77777777" w:rsidR="000B3DA1" w:rsidRPr="004C78D8" w:rsidRDefault="000B3DA1" w:rsidP="00FB7C1F">
            <w:pPr>
              <w:jc w:val="center"/>
              <w:rPr>
                <w:sz w:val="18"/>
                <w:szCs w:val="18"/>
              </w:rPr>
            </w:pPr>
            <w:r w:rsidRPr="004C78D8">
              <w:rPr>
                <w:sz w:val="18"/>
                <w:szCs w:val="18"/>
              </w:rPr>
              <w:t>&lt;0.001</w:t>
            </w:r>
          </w:p>
        </w:tc>
      </w:tr>
      <w:tr w:rsidR="000B3DA1" w:rsidRPr="004C78D8" w14:paraId="6FA05307" w14:textId="77777777" w:rsidTr="00E35893">
        <w:tc>
          <w:tcPr>
            <w:tcW w:w="2263" w:type="dxa"/>
            <w:tcBorders>
              <w:top w:val="nil"/>
              <w:bottom w:val="nil"/>
            </w:tcBorders>
          </w:tcPr>
          <w:p w14:paraId="3A31FFAC" w14:textId="43B0E2E6" w:rsidR="000B3DA1" w:rsidRPr="004C78D8" w:rsidRDefault="00E9716F" w:rsidP="00FB7C1F">
            <w:pPr>
              <w:rPr>
                <w:sz w:val="18"/>
                <w:szCs w:val="18"/>
              </w:rPr>
            </w:pPr>
            <w:r w:rsidRPr="004C78D8">
              <w:rPr>
                <w:sz w:val="18"/>
                <w:szCs w:val="18"/>
              </w:rPr>
              <w:t>SES</w:t>
            </w:r>
            <w:r w:rsidR="000B3DA1" w:rsidRPr="004C78D8">
              <w:rPr>
                <w:sz w:val="18"/>
                <w:szCs w:val="18"/>
              </w:rPr>
              <w:t xml:space="preserve"> (ref: Most privileged quartile)</w:t>
            </w:r>
          </w:p>
        </w:tc>
        <w:tc>
          <w:tcPr>
            <w:tcW w:w="1701" w:type="dxa"/>
            <w:tcBorders>
              <w:top w:val="nil"/>
              <w:bottom w:val="nil"/>
            </w:tcBorders>
          </w:tcPr>
          <w:p w14:paraId="2B2A2B59" w14:textId="77777777" w:rsidR="000B3DA1" w:rsidRPr="004C78D8" w:rsidRDefault="000B3DA1" w:rsidP="00FB7C1F">
            <w:pPr>
              <w:jc w:val="center"/>
              <w:rPr>
                <w:sz w:val="18"/>
                <w:szCs w:val="18"/>
              </w:rPr>
            </w:pPr>
          </w:p>
        </w:tc>
        <w:tc>
          <w:tcPr>
            <w:tcW w:w="1701" w:type="dxa"/>
            <w:tcBorders>
              <w:top w:val="nil"/>
              <w:bottom w:val="nil"/>
            </w:tcBorders>
          </w:tcPr>
          <w:p w14:paraId="0BCDC236" w14:textId="77777777" w:rsidR="000B3DA1" w:rsidRPr="004C78D8" w:rsidRDefault="000B3DA1" w:rsidP="00FB7C1F">
            <w:pPr>
              <w:jc w:val="center"/>
              <w:rPr>
                <w:sz w:val="18"/>
                <w:szCs w:val="18"/>
              </w:rPr>
            </w:pPr>
          </w:p>
        </w:tc>
      </w:tr>
      <w:tr w:rsidR="000B3DA1" w:rsidRPr="004C78D8" w14:paraId="7DD8B9DE" w14:textId="77777777" w:rsidTr="00E35893">
        <w:tc>
          <w:tcPr>
            <w:tcW w:w="2263" w:type="dxa"/>
            <w:tcBorders>
              <w:top w:val="nil"/>
              <w:bottom w:val="nil"/>
            </w:tcBorders>
          </w:tcPr>
          <w:p w14:paraId="749E2355" w14:textId="77777777" w:rsidR="000B3DA1" w:rsidRPr="004C78D8" w:rsidRDefault="000B3DA1" w:rsidP="00FB7C1F">
            <w:pPr>
              <w:jc w:val="right"/>
              <w:rPr>
                <w:sz w:val="18"/>
                <w:szCs w:val="18"/>
              </w:rPr>
            </w:pPr>
            <w:r w:rsidRPr="004C78D8">
              <w:rPr>
                <w:i/>
                <w:iCs/>
                <w:sz w:val="18"/>
                <w:szCs w:val="18"/>
              </w:rPr>
              <w:t>2</w:t>
            </w:r>
            <w:r w:rsidRPr="004C78D8">
              <w:rPr>
                <w:i/>
                <w:iCs/>
                <w:sz w:val="18"/>
                <w:szCs w:val="18"/>
                <w:vertAlign w:val="superscript"/>
              </w:rPr>
              <w:t>nd</w:t>
            </w:r>
            <w:r w:rsidRPr="004C78D8">
              <w:rPr>
                <w:i/>
                <w:iCs/>
                <w:sz w:val="18"/>
                <w:szCs w:val="18"/>
              </w:rPr>
              <w:t xml:space="preserve"> quartile</w:t>
            </w:r>
          </w:p>
        </w:tc>
        <w:tc>
          <w:tcPr>
            <w:tcW w:w="1701" w:type="dxa"/>
            <w:tcBorders>
              <w:top w:val="nil"/>
              <w:bottom w:val="nil"/>
            </w:tcBorders>
          </w:tcPr>
          <w:p w14:paraId="71BE7461" w14:textId="22EA1A3A" w:rsidR="000B3DA1" w:rsidRPr="004C78D8" w:rsidRDefault="000B3DA1" w:rsidP="00FB7C1F">
            <w:pPr>
              <w:jc w:val="center"/>
              <w:rPr>
                <w:sz w:val="18"/>
                <w:szCs w:val="18"/>
              </w:rPr>
            </w:pPr>
            <w:r w:rsidRPr="004C78D8">
              <w:rPr>
                <w:sz w:val="18"/>
                <w:szCs w:val="18"/>
              </w:rPr>
              <w:t>-0.</w:t>
            </w:r>
            <w:r w:rsidR="00B561CC" w:rsidRPr="004C78D8">
              <w:rPr>
                <w:sz w:val="18"/>
                <w:szCs w:val="18"/>
              </w:rPr>
              <w:t>175</w:t>
            </w:r>
            <w:r w:rsidRPr="004C78D8">
              <w:rPr>
                <w:sz w:val="18"/>
                <w:szCs w:val="18"/>
              </w:rPr>
              <w:t xml:space="preserve"> (0.</w:t>
            </w:r>
            <w:r w:rsidR="00B561CC" w:rsidRPr="004C78D8">
              <w:rPr>
                <w:sz w:val="18"/>
                <w:szCs w:val="18"/>
              </w:rPr>
              <w:t>132</w:t>
            </w:r>
            <w:r w:rsidRPr="004C78D8">
              <w:rPr>
                <w:sz w:val="18"/>
                <w:szCs w:val="18"/>
              </w:rPr>
              <w:t>)</w:t>
            </w:r>
          </w:p>
        </w:tc>
        <w:tc>
          <w:tcPr>
            <w:tcW w:w="1701" w:type="dxa"/>
            <w:tcBorders>
              <w:top w:val="nil"/>
              <w:bottom w:val="nil"/>
            </w:tcBorders>
          </w:tcPr>
          <w:p w14:paraId="32839ADC" w14:textId="2F85C6C0" w:rsidR="000B3DA1" w:rsidRPr="004C78D8" w:rsidRDefault="000B3DA1" w:rsidP="00FB7C1F">
            <w:pPr>
              <w:jc w:val="center"/>
              <w:rPr>
                <w:sz w:val="18"/>
                <w:szCs w:val="18"/>
              </w:rPr>
            </w:pPr>
            <w:r w:rsidRPr="004C78D8">
              <w:rPr>
                <w:sz w:val="18"/>
                <w:szCs w:val="18"/>
              </w:rPr>
              <w:t>0.</w:t>
            </w:r>
            <w:r w:rsidR="00B561CC" w:rsidRPr="004C78D8">
              <w:rPr>
                <w:sz w:val="18"/>
                <w:szCs w:val="18"/>
              </w:rPr>
              <w:t>185</w:t>
            </w:r>
          </w:p>
        </w:tc>
      </w:tr>
      <w:tr w:rsidR="000B3DA1" w:rsidRPr="004C78D8" w14:paraId="28903CD8" w14:textId="77777777" w:rsidTr="00E35893">
        <w:tc>
          <w:tcPr>
            <w:tcW w:w="2263" w:type="dxa"/>
            <w:tcBorders>
              <w:top w:val="nil"/>
              <w:bottom w:val="nil"/>
            </w:tcBorders>
          </w:tcPr>
          <w:p w14:paraId="7E5F7294" w14:textId="77777777" w:rsidR="000B3DA1" w:rsidRPr="004C78D8" w:rsidRDefault="000B3DA1" w:rsidP="00FB7C1F">
            <w:pPr>
              <w:jc w:val="right"/>
              <w:rPr>
                <w:sz w:val="18"/>
                <w:szCs w:val="18"/>
              </w:rPr>
            </w:pPr>
            <w:r w:rsidRPr="004C78D8">
              <w:rPr>
                <w:i/>
                <w:iCs/>
                <w:sz w:val="18"/>
                <w:szCs w:val="18"/>
              </w:rPr>
              <w:t>3</w:t>
            </w:r>
            <w:r w:rsidRPr="004C78D8">
              <w:rPr>
                <w:i/>
                <w:iCs/>
                <w:sz w:val="18"/>
                <w:szCs w:val="18"/>
                <w:vertAlign w:val="superscript"/>
              </w:rPr>
              <w:t>rd</w:t>
            </w:r>
            <w:r w:rsidRPr="004C78D8">
              <w:rPr>
                <w:i/>
                <w:iCs/>
                <w:sz w:val="18"/>
                <w:szCs w:val="18"/>
              </w:rPr>
              <w:t xml:space="preserve"> quartile</w:t>
            </w:r>
          </w:p>
        </w:tc>
        <w:tc>
          <w:tcPr>
            <w:tcW w:w="1701" w:type="dxa"/>
            <w:tcBorders>
              <w:top w:val="nil"/>
              <w:bottom w:val="nil"/>
            </w:tcBorders>
          </w:tcPr>
          <w:p w14:paraId="2EBB9E90" w14:textId="1EC08742" w:rsidR="000B3DA1" w:rsidRPr="004C78D8" w:rsidRDefault="000B3DA1" w:rsidP="00FB7C1F">
            <w:pPr>
              <w:jc w:val="center"/>
              <w:rPr>
                <w:sz w:val="18"/>
                <w:szCs w:val="18"/>
              </w:rPr>
            </w:pPr>
            <w:r w:rsidRPr="004C78D8">
              <w:rPr>
                <w:sz w:val="18"/>
                <w:szCs w:val="18"/>
              </w:rPr>
              <w:t>-0.</w:t>
            </w:r>
            <w:r w:rsidR="00B561CC" w:rsidRPr="004C78D8">
              <w:rPr>
                <w:sz w:val="18"/>
                <w:szCs w:val="18"/>
              </w:rPr>
              <w:t>499</w:t>
            </w:r>
            <w:r w:rsidRPr="004C78D8">
              <w:rPr>
                <w:sz w:val="18"/>
                <w:szCs w:val="18"/>
              </w:rPr>
              <w:t xml:space="preserve"> (0.</w:t>
            </w:r>
            <w:r w:rsidR="005245DA" w:rsidRPr="004C78D8">
              <w:rPr>
                <w:sz w:val="18"/>
                <w:szCs w:val="18"/>
              </w:rPr>
              <w:t>1</w:t>
            </w:r>
            <w:r w:rsidR="00B561CC" w:rsidRPr="004C78D8">
              <w:rPr>
                <w:sz w:val="18"/>
                <w:szCs w:val="18"/>
              </w:rPr>
              <w:t>22</w:t>
            </w:r>
            <w:r w:rsidRPr="004C78D8">
              <w:rPr>
                <w:sz w:val="18"/>
                <w:szCs w:val="18"/>
              </w:rPr>
              <w:t>)</w:t>
            </w:r>
          </w:p>
        </w:tc>
        <w:tc>
          <w:tcPr>
            <w:tcW w:w="1701" w:type="dxa"/>
            <w:tcBorders>
              <w:top w:val="nil"/>
              <w:bottom w:val="nil"/>
            </w:tcBorders>
          </w:tcPr>
          <w:p w14:paraId="6EBECB75" w14:textId="77777777" w:rsidR="000B3DA1" w:rsidRPr="004C78D8" w:rsidRDefault="000B3DA1" w:rsidP="00FB7C1F">
            <w:pPr>
              <w:jc w:val="center"/>
              <w:rPr>
                <w:sz w:val="18"/>
                <w:szCs w:val="18"/>
              </w:rPr>
            </w:pPr>
            <w:r w:rsidRPr="004C78D8">
              <w:rPr>
                <w:sz w:val="18"/>
                <w:szCs w:val="18"/>
              </w:rPr>
              <w:t>&lt;0.001</w:t>
            </w:r>
          </w:p>
        </w:tc>
      </w:tr>
      <w:tr w:rsidR="000B3DA1" w:rsidRPr="004C78D8" w14:paraId="5997505E" w14:textId="77777777" w:rsidTr="00E35893">
        <w:tc>
          <w:tcPr>
            <w:tcW w:w="2263" w:type="dxa"/>
            <w:tcBorders>
              <w:top w:val="nil"/>
              <w:bottom w:val="nil"/>
            </w:tcBorders>
          </w:tcPr>
          <w:p w14:paraId="407AEF54" w14:textId="77777777" w:rsidR="000B3DA1" w:rsidRPr="004C78D8" w:rsidRDefault="000B3DA1" w:rsidP="00FB7C1F">
            <w:pPr>
              <w:jc w:val="right"/>
              <w:rPr>
                <w:sz w:val="18"/>
                <w:szCs w:val="18"/>
              </w:rPr>
            </w:pPr>
            <w:r w:rsidRPr="004C78D8">
              <w:rPr>
                <w:i/>
                <w:iCs/>
                <w:sz w:val="18"/>
                <w:szCs w:val="18"/>
              </w:rPr>
              <w:t>Most deprived quartile</w:t>
            </w:r>
          </w:p>
        </w:tc>
        <w:tc>
          <w:tcPr>
            <w:tcW w:w="1701" w:type="dxa"/>
            <w:tcBorders>
              <w:top w:val="nil"/>
              <w:bottom w:val="nil"/>
            </w:tcBorders>
          </w:tcPr>
          <w:p w14:paraId="473C4095" w14:textId="21F7D002" w:rsidR="000B3DA1" w:rsidRPr="004C78D8" w:rsidRDefault="000B3DA1" w:rsidP="00FB7C1F">
            <w:pPr>
              <w:jc w:val="center"/>
              <w:rPr>
                <w:sz w:val="18"/>
                <w:szCs w:val="18"/>
              </w:rPr>
            </w:pPr>
            <w:r w:rsidRPr="004C78D8">
              <w:rPr>
                <w:sz w:val="18"/>
                <w:szCs w:val="18"/>
              </w:rPr>
              <w:t>-</w:t>
            </w:r>
            <w:r w:rsidR="005245DA" w:rsidRPr="004C78D8">
              <w:rPr>
                <w:sz w:val="18"/>
                <w:szCs w:val="18"/>
              </w:rPr>
              <w:t>1</w:t>
            </w:r>
            <w:r w:rsidRPr="004C78D8">
              <w:rPr>
                <w:sz w:val="18"/>
                <w:szCs w:val="18"/>
              </w:rPr>
              <w:t>.</w:t>
            </w:r>
            <w:r w:rsidR="00B561CC" w:rsidRPr="004C78D8">
              <w:rPr>
                <w:sz w:val="18"/>
                <w:szCs w:val="18"/>
              </w:rPr>
              <w:t>137</w:t>
            </w:r>
            <w:r w:rsidRPr="004C78D8">
              <w:rPr>
                <w:sz w:val="18"/>
                <w:szCs w:val="18"/>
              </w:rPr>
              <w:t xml:space="preserve"> (0.</w:t>
            </w:r>
            <w:r w:rsidR="00B561CC" w:rsidRPr="004C78D8">
              <w:rPr>
                <w:sz w:val="18"/>
                <w:szCs w:val="18"/>
              </w:rPr>
              <w:t>196</w:t>
            </w:r>
            <w:r w:rsidRPr="004C78D8">
              <w:rPr>
                <w:sz w:val="18"/>
                <w:szCs w:val="18"/>
              </w:rPr>
              <w:t>)</w:t>
            </w:r>
          </w:p>
        </w:tc>
        <w:tc>
          <w:tcPr>
            <w:tcW w:w="1701" w:type="dxa"/>
            <w:tcBorders>
              <w:top w:val="nil"/>
              <w:bottom w:val="nil"/>
            </w:tcBorders>
          </w:tcPr>
          <w:p w14:paraId="6D867083" w14:textId="77777777" w:rsidR="000B3DA1" w:rsidRPr="004C78D8" w:rsidRDefault="000B3DA1" w:rsidP="00FB7C1F">
            <w:pPr>
              <w:jc w:val="center"/>
              <w:rPr>
                <w:sz w:val="18"/>
                <w:szCs w:val="18"/>
              </w:rPr>
            </w:pPr>
            <w:r w:rsidRPr="004C78D8">
              <w:rPr>
                <w:sz w:val="18"/>
                <w:szCs w:val="18"/>
              </w:rPr>
              <w:t>&lt;0.001</w:t>
            </w:r>
          </w:p>
        </w:tc>
      </w:tr>
      <w:tr w:rsidR="000B3DA1" w:rsidRPr="004C78D8" w14:paraId="4FB6C66B" w14:textId="77777777" w:rsidTr="00E35893">
        <w:tc>
          <w:tcPr>
            <w:tcW w:w="2263" w:type="dxa"/>
            <w:tcBorders>
              <w:top w:val="nil"/>
              <w:bottom w:val="nil"/>
            </w:tcBorders>
          </w:tcPr>
          <w:p w14:paraId="1CF30CE1" w14:textId="77777777" w:rsidR="000B3DA1" w:rsidRPr="004C78D8" w:rsidRDefault="000B3DA1" w:rsidP="00FB7C1F">
            <w:pPr>
              <w:rPr>
                <w:sz w:val="18"/>
                <w:szCs w:val="18"/>
              </w:rPr>
            </w:pPr>
            <w:r w:rsidRPr="004C78D8">
              <w:rPr>
                <w:sz w:val="18"/>
                <w:szCs w:val="18"/>
              </w:rPr>
              <w:t>Frailty (0-100)</w:t>
            </w:r>
          </w:p>
        </w:tc>
        <w:tc>
          <w:tcPr>
            <w:tcW w:w="1701" w:type="dxa"/>
            <w:tcBorders>
              <w:top w:val="nil"/>
              <w:bottom w:val="nil"/>
            </w:tcBorders>
          </w:tcPr>
          <w:p w14:paraId="3341C857" w14:textId="03E1E1F4" w:rsidR="000B3DA1" w:rsidRPr="004C78D8" w:rsidRDefault="000B3DA1" w:rsidP="00FB7C1F">
            <w:pPr>
              <w:jc w:val="center"/>
              <w:rPr>
                <w:sz w:val="18"/>
                <w:szCs w:val="18"/>
              </w:rPr>
            </w:pPr>
            <w:r w:rsidRPr="004C78D8">
              <w:rPr>
                <w:sz w:val="18"/>
                <w:szCs w:val="18"/>
              </w:rPr>
              <w:t>0.</w:t>
            </w:r>
            <w:r w:rsidR="00B561CC" w:rsidRPr="004C78D8">
              <w:rPr>
                <w:sz w:val="18"/>
                <w:szCs w:val="18"/>
              </w:rPr>
              <w:t>258</w:t>
            </w:r>
            <w:r w:rsidRPr="004C78D8">
              <w:rPr>
                <w:sz w:val="18"/>
                <w:szCs w:val="18"/>
              </w:rPr>
              <w:t xml:space="preserve"> (0.0</w:t>
            </w:r>
            <w:r w:rsidR="00B561CC" w:rsidRPr="004C78D8">
              <w:rPr>
                <w:sz w:val="18"/>
                <w:szCs w:val="18"/>
              </w:rPr>
              <w:t>19</w:t>
            </w:r>
            <w:r w:rsidRPr="004C78D8">
              <w:rPr>
                <w:sz w:val="18"/>
                <w:szCs w:val="18"/>
              </w:rPr>
              <w:t>)</w:t>
            </w:r>
          </w:p>
        </w:tc>
        <w:tc>
          <w:tcPr>
            <w:tcW w:w="1701" w:type="dxa"/>
            <w:tcBorders>
              <w:top w:val="nil"/>
              <w:bottom w:val="nil"/>
            </w:tcBorders>
          </w:tcPr>
          <w:p w14:paraId="7DAF78B5" w14:textId="795770DB" w:rsidR="000B3DA1" w:rsidRPr="004C78D8" w:rsidRDefault="005245DA" w:rsidP="00FB7C1F">
            <w:pPr>
              <w:jc w:val="center"/>
              <w:rPr>
                <w:sz w:val="18"/>
                <w:szCs w:val="18"/>
              </w:rPr>
            </w:pPr>
            <w:r w:rsidRPr="004C78D8">
              <w:rPr>
                <w:sz w:val="18"/>
                <w:szCs w:val="18"/>
              </w:rPr>
              <w:t>&lt;0.001</w:t>
            </w:r>
          </w:p>
        </w:tc>
      </w:tr>
      <w:tr w:rsidR="000B3DA1" w:rsidRPr="004C78D8" w14:paraId="28E66F03" w14:textId="77777777" w:rsidTr="00E35893">
        <w:tc>
          <w:tcPr>
            <w:tcW w:w="2263" w:type="dxa"/>
            <w:tcBorders>
              <w:top w:val="nil"/>
              <w:bottom w:val="nil"/>
            </w:tcBorders>
          </w:tcPr>
          <w:p w14:paraId="31E6CAB8" w14:textId="77777777" w:rsidR="000B3DA1" w:rsidRPr="004C78D8" w:rsidRDefault="000B3DA1" w:rsidP="00FB7C1F">
            <w:pPr>
              <w:rPr>
                <w:sz w:val="18"/>
                <w:szCs w:val="18"/>
              </w:rPr>
            </w:pPr>
            <w:r w:rsidRPr="004C78D8">
              <w:rPr>
                <w:sz w:val="18"/>
                <w:szCs w:val="18"/>
              </w:rPr>
              <w:t>Frailty^2</w:t>
            </w:r>
          </w:p>
        </w:tc>
        <w:tc>
          <w:tcPr>
            <w:tcW w:w="1701" w:type="dxa"/>
            <w:tcBorders>
              <w:top w:val="nil"/>
              <w:bottom w:val="nil"/>
            </w:tcBorders>
          </w:tcPr>
          <w:p w14:paraId="7DFBB222" w14:textId="508D8D93" w:rsidR="000B3DA1" w:rsidRPr="004C78D8" w:rsidRDefault="000B3DA1" w:rsidP="00FB7C1F">
            <w:pPr>
              <w:jc w:val="center"/>
              <w:rPr>
                <w:sz w:val="18"/>
                <w:szCs w:val="18"/>
              </w:rPr>
            </w:pPr>
            <w:r w:rsidRPr="004C78D8">
              <w:rPr>
                <w:sz w:val="18"/>
                <w:szCs w:val="18"/>
              </w:rPr>
              <w:t>-0.00</w:t>
            </w:r>
            <w:r w:rsidR="00B561CC" w:rsidRPr="004C78D8">
              <w:rPr>
                <w:sz w:val="18"/>
                <w:szCs w:val="18"/>
              </w:rPr>
              <w:t>3</w:t>
            </w:r>
            <w:r w:rsidRPr="004C78D8">
              <w:rPr>
                <w:sz w:val="18"/>
                <w:szCs w:val="18"/>
              </w:rPr>
              <w:t xml:space="preserve"> (0.000</w:t>
            </w:r>
            <w:r w:rsidR="00B561CC" w:rsidRPr="004C78D8">
              <w:rPr>
                <w:sz w:val="18"/>
                <w:szCs w:val="18"/>
              </w:rPr>
              <w:t>3</w:t>
            </w:r>
            <w:r w:rsidRPr="004C78D8">
              <w:rPr>
                <w:sz w:val="18"/>
                <w:szCs w:val="18"/>
              </w:rPr>
              <w:t>)</w:t>
            </w:r>
          </w:p>
        </w:tc>
        <w:tc>
          <w:tcPr>
            <w:tcW w:w="1701" w:type="dxa"/>
            <w:tcBorders>
              <w:top w:val="nil"/>
              <w:bottom w:val="nil"/>
            </w:tcBorders>
          </w:tcPr>
          <w:p w14:paraId="3BEDB285" w14:textId="77777777" w:rsidR="000B3DA1" w:rsidRPr="004C78D8" w:rsidRDefault="000B3DA1" w:rsidP="00FB7C1F">
            <w:pPr>
              <w:jc w:val="center"/>
              <w:rPr>
                <w:sz w:val="18"/>
                <w:szCs w:val="18"/>
              </w:rPr>
            </w:pPr>
            <w:r w:rsidRPr="004C78D8">
              <w:rPr>
                <w:sz w:val="18"/>
                <w:szCs w:val="18"/>
              </w:rPr>
              <w:t>&lt;0.001</w:t>
            </w:r>
          </w:p>
        </w:tc>
      </w:tr>
      <w:tr w:rsidR="00B561CC" w:rsidRPr="004C78D8" w14:paraId="183B8F67" w14:textId="77777777" w:rsidTr="00E35893">
        <w:tc>
          <w:tcPr>
            <w:tcW w:w="2263" w:type="dxa"/>
            <w:tcBorders>
              <w:top w:val="nil"/>
              <w:bottom w:val="nil"/>
            </w:tcBorders>
          </w:tcPr>
          <w:p w14:paraId="6D417189" w14:textId="16E949E1" w:rsidR="00B561CC" w:rsidRPr="004C78D8" w:rsidRDefault="00B561CC" w:rsidP="00FB7C1F">
            <w:pPr>
              <w:rPr>
                <w:sz w:val="18"/>
                <w:szCs w:val="18"/>
              </w:rPr>
            </w:pPr>
            <w:r w:rsidRPr="004C78D8">
              <w:rPr>
                <w:sz w:val="18"/>
                <w:szCs w:val="18"/>
              </w:rPr>
              <w:t>High physical activity</w:t>
            </w:r>
          </w:p>
        </w:tc>
        <w:tc>
          <w:tcPr>
            <w:tcW w:w="1701" w:type="dxa"/>
            <w:tcBorders>
              <w:top w:val="nil"/>
              <w:bottom w:val="nil"/>
            </w:tcBorders>
          </w:tcPr>
          <w:p w14:paraId="02AD888A" w14:textId="65376C09" w:rsidR="00B561CC" w:rsidRPr="004C78D8" w:rsidRDefault="00B561CC" w:rsidP="00FB7C1F">
            <w:pPr>
              <w:jc w:val="center"/>
              <w:rPr>
                <w:sz w:val="18"/>
                <w:szCs w:val="18"/>
              </w:rPr>
            </w:pPr>
            <w:r w:rsidRPr="004C78D8">
              <w:rPr>
                <w:sz w:val="18"/>
                <w:szCs w:val="18"/>
              </w:rPr>
              <w:t>-0.640 (0.305)</w:t>
            </w:r>
          </w:p>
        </w:tc>
        <w:tc>
          <w:tcPr>
            <w:tcW w:w="1701" w:type="dxa"/>
            <w:tcBorders>
              <w:top w:val="nil"/>
              <w:bottom w:val="nil"/>
            </w:tcBorders>
          </w:tcPr>
          <w:p w14:paraId="565BBBAC" w14:textId="5150C494" w:rsidR="00B561CC" w:rsidRPr="004C78D8" w:rsidRDefault="00B561CC" w:rsidP="00FB7C1F">
            <w:pPr>
              <w:jc w:val="center"/>
              <w:rPr>
                <w:sz w:val="18"/>
                <w:szCs w:val="18"/>
              </w:rPr>
            </w:pPr>
            <w:r w:rsidRPr="004C78D8">
              <w:rPr>
                <w:sz w:val="18"/>
                <w:szCs w:val="18"/>
              </w:rPr>
              <w:t>0.036</w:t>
            </w:r>
          </w:p>
        </w:tc>
      </w:tr>
      <w:tr w:rsidR="00B561CC" w:rsidRPr="004C78D8" w14:paraId="117FA88F" w14:textId="77777777" w:rsidTr="00E35893">
        <w:tc>
          <w:tcPr>
            <w:tcW w:w="2263" w:type="dxa"/>
            <w:tcBorders>
              <w:top w:val="nil"/>
              <w:bottom w:val="nil"/>
            </w:tcBorders>
          </w:tcPr>
          <w:p w14:paraId="36A3BC14" w14:textId="6FCD4074" w:rsidR="00B561CC" w:rsidRPr="004C78D8" w:rsidRDefault="00B561CC" w:rsidP="00FB7C1F">
            <w:pPr>
              <w:rPr>
                <w:sz w:val="18"/>
                <w:szCs w:val="18"/>
              </w:rPr>
            </w:pPr>
            <w:r w:rsidRPr="004C78D8">
              <w:rPr>
                <w:sz w:val="18"/>
                <w:szCs w:val="18"/>
              </w:rPr>
              <w:t>Cognitive impairment</w:t>
            </w:r>
          </w:p>
        </w:tc>
        <w:tc>
          <w:tcPr>
            <w:tcW w:w="1701" w:type="dxa"/>
            <w:tcBorders>
              <w:top w:val="nil"/>
              <w:bottom w:val="nil"/>
            </w:tcBorders>
          </w:tcPr>
          <w:p w14:paraId="42732208" w14:textId="0DD4D9AF" w:rsidR="00B561CC" w:rsidRPr="004C78D8" w:rsidRDefault="00B561CC" w:rsidP="00FB7C1F">
            <w:pPr>
              <w:jc w:val="center"/>
              <w:rPr>
                <w:sz w:val="18"/>
                <w:szCs w:val="18"/>
              </w:rPr>
            </w:pPr>
            <w:r w:rsidRPr="004C78D8">
              <w:rPr>
                <w:sz w:val="18"/>
                <w:szCs w:val="18"/>
              </w:rPr>
              <w:t>-0.523 (0.120)</w:t>
            </w:r>
          </w:p>
        </w:tc>
        <w:tc>
          <w:tcPr>
            <w:tcW w:w="1701" w:type="dxa"/>
            <w:tcBorders>
              <w:top w:val="nil"/>
              <w:bottom w:val="nil"/>
            </w:tcBorders>
          </w:tcPr>
          <w:p w14:paraId="55ED73C8" w14:textId="3F502680" w:rsidR="00B561CC" w:rsidRPr="004C78D8" w:rsidRDefault="00B561CC" w:rsidP="00FB7C1F">
            <w:pPr>
              <w:jc w:val="center"/>
              <w:rPr>
                <w:sz w:val="18"/>
                <w:szCs w:val="18"/>
              </w:rPr>
            </w:pPr>
            <w:r w:rsidRPr="004C78D8">
              <w:rPr>
                <w:sz w:val="18"/>
                <w:szCs w:val="18"/>
              </w:rPr>
              <w:t>&lt;0.001</w:t>
            </w:r>
          </w:p>
        </w:tc>
      </w:tr>
      <w:tr w:rsidR="000B3DA1" w:rsidRPr="004C78D8" w14:paraId="4900FB4B" w14:textId="77777777" w:rsidTr="00E35893">
        <w:tc>
          <w:tcPr>
            <w:tcW w:w="5665" w:type="dxa"/>
            <w:gridSpan w:val="3"/>
          </w:tcPr>
          <w:p w14:paraId="16E0CC0E" w14:textId="6674F063" w:rsidR="000B3DA1" w:rsidRPr="004C78D8" w:rsidRDefault="00D10D5E" w:rsidP="00FB7C1F">
            <w:pPr>
              <w:rPr>
                <w:sz w:val="20"/>
                <w:szCs w:val="20"/>
              </w:rPr>
            </w:pPr>
            <w:r w:rsidRPr="004C78D8">
              <w:rPr>
                <w:b/>
                <w:bCs/>
                <w:sz w:val="18"/>
                <w:szCs w:val="18"/>
              </w:rPr>
              <w:t>Abbreviation</w:t>
            </w:r>
            <w:r w:rsidR="00182E50" w:rsidRPr="004C78D8">
              <w:rPr>
                <w:b/>
                <w:bCs/>
                <w:sz w:val="18"/>
                <w:szCs w:val="18"/>
              </w:rPr>
              <w:t>:</w:t>
            </w:r>
            <w:r w:rsidR="00182E50" w:rsidRPr="004C78D8">
              <w:rPr>
                <w:sz w:val="18"/>
                <w:szCs w:val="18"/>
              </w:rPr>
              <w:t xml:space="preserve"> </w:t>
            </w:r>
            <w:r w:rsidR="000B3DA1" w:rsidRPr="004C78D8">
              <w:rPr>
                <w:sz w:val="18"/>
                <w:szCs w:val="18"/>
              </w:rPr>
              <w:t>ELSA: English Longitudinal Study of Ageing; OOP: out-of-pocket; Ref: reference; SE: standard error</w:t>
            </w:r>
            <w:r w:rsidR="00E9716F" w:rsidRPr="004C78D8">
              <w:rPr>
                <w:sz w:val="18"/>
                <w:szCs w:val="18"/>
              </w:rPr>
              <w:t>; SES: socioeconomic status</w:t>
            </w:r>
          </w:p>
        </w:tc>
      </w:tr>
    </w:tbl>
    <w:p w14:paraId="3C0F8CC5" w14:textId="77777777" w:rsidR="00A112E0" w:rsidRPr="004C78D8" w:rsidRDefault="00A112E0" w:rsidP="00FB7C1F"/>
    <w:p w14:paraId="46A9B118" w14:textId="4903DA2E" w:rsidR="00902DB5" w:rsidRPr="004C78D8" w:rsidRDefault="009D76D0" w:rsidP="00FB7C1F">
      <w:r w:rsidRPr="004C78D8">
        <w:t xml:space="preserve">According to the Age UK online calculator, the hourly cost of privately paid home care in the Sheffield region </w:t>
      </w:r>
      <w:r w:rsidR="009A182E" w:rsidRPr="004C78D8">
        <w:t>was</w:t>
      </w:r>
      <w:r w:rsidRPr="004C78D8">
        <w:t xml:space="preserve"> at least £21</w:t>
      </w:r>
      <w:r w:rsidR="009A182E" w:rsidRPr="004C78D8">
        <w:t xml:space="preserve"> in 2020</w:t>
      </w:r>
      <w:r w:rsidRPr="004C78D8">
        <w:t xml:space="preserve"> </w:t>
      </w:r>
      <w:r w:rsidR="009A182E" w:rsidRPr="004C78D8">
        <w:fldChar w:fldCharType="begin"/>
      </w:r>
      <w:r w:rsidR="00C630FC" w:rsidRPr="004C78D8">
        <w:instrText xml:space="preserve"> ADDIN EN.CITE &lt;EndNote&gt;&lt;Cite&gt;&lt;Author&gt;Age UK&lt;/Author&gt;&lt;Year&gt;2020&lt;/Year&gt;&lt;RecNum&gt;146&lt;/RecNum&gt;&lt;DisplayText&gt;[404]&lt;/DisplayText&gt;&lt;record&gt;&lt;rec-number&gt;146&lt;/rec-number&gt;&lt;foreign-keys&gt;&lt;key app="EN" db-id="tdtrdw9aepptzbefsat599syza29sxsd2wsp" timestamp="1603311179"&gt;146&lt;/key&gt;&lt;/foreign-keys&gt;&lt;ref-type name="Web Page"&gt;12&lt;/ref-type&gt;&lt;contributors&gt;&lt;authors&gt;&lt;author&gt;Age UK,&lt;/author&gt;&lt;/authors&gt;&lt;/contributors&gt;&lt;titles&gt;&lt;title&gt;How much does care cost?&lt;/title&gt;&lt;/titles&gt;&lt;dates&gt;&lt;year&gt;2020&lt;/year&gt;&lt;/dates&gt;&lt;urls&gt;&lt;related-urls&gt;&lt;url&gt;https://www.ageuk.org.uk/information-advice/care/paying-for-care/local-care-costs/&lt;/url&gt;&lt;/related-urls&gt;&lt;/urls&gt;&lt;/record&gt;&lt;/Cite&gt;&lt;/EndNote&gt;</w:instrText>
      </w:r>
      <w:r w:rsidR="009A182E" w:rsidRPr="004C78D8">
        <w:fldChar w:fldCharType="separate"/>
      </w:r>
      <w:r w:rsidR="00C630FC" w:rsidRPr="004C78D8">
        <w:rPr>
          <w:noProof/>
        </w:rPr>
        <w:t>[404]</w:t>
      </w:r>
      <w:r w:rsidR="009A182E" w:rsidRPr="004C78D8">
        <w:fldChar w:fldCharType="end"/>
      </w:r>
      <w:r w:rsidRPr="004C78D8">
        <w:t xml:space="preserve">. </w:t>
      </w:r>
      <w:r w:rsidR="00B74D47" w:rsidRPr="004C78D8">
        <w:t xml:space="preserve">ELSA Wave 4 contained information on the frequency of OOP care visit as a measure of care intensity: every day or nearly every day; </w:t>
      </w:r>
      <w:r w:rsidR="004F7E57" w:rsidRPr="004C78D8">
        <w:t>two</w:t>
      </w:r>
      <w:r w:rsidR="00FB5231" w:rsidRPr="004C78D8">
        <w:t>/</w:t>
      </w:r>
      <w:r w:rsidR="004F7E57" w:rsidRPr="004C78D8">
        <w:t>three</w:t>
      </w:r>
      <w:r w:rsidR="00B74D47" w:rsidRPr="004C78D8">
        <w:t xml:space="preserve"> times per week; and once per week or less. </w:t>
      </w:r>
      <w:r w:rsidR="003F20E7" w:rsidRPr="004C78D8">
        <w:t>Therefore, s</w:t>
      </w:r>
      <w:r w:rsidR="00B74D47" w:rsidRPr="004C78D8">
        <w:t xml:space="preserve">imilar assumptions were made as for social care to estimate the annual cost of OOP care: 2.5 hours per visit; </w:t>
      </w:r>
      <w:r w:rsidR="004F7E57" w:rsidRPr="004C78D8">
        <w:t>seven</w:t>
      </w:r>
      <w:r w:rsidR="00B74D47" w:rsidRPr="004C78D8">
        <w:t xml:space="preserve"> visits per week for daily-visit group; </w:t>
      </w:r>
      <w:r w:rsidR="004F7E57" w:rsidRPr="004C78D8">
        <w:t>two</w:t>
      </w:r>
      <w:r w:rsidR="00B74D47" w:rsidRPr="004C78D8">
        <w:t xml:space="preserve"> visits per week for </w:t>
      </w:r>
      <w:r w:rsidR="004F7E57" w:rsidRPr="004C78D8">
        <w:t>two</w:t>
      </w:r>
      <w:r w:rsidR="00B74D47" w:rsidRPr="004C78D8">
        <w:t>/</w:t>
      </w:r>
      <w:r w:rsidR="004F7E57" w:rsidRPr="004C78D8">
        <w:t>three</w:t>
      </w:r>
      <w:r w:rsidR="00B74D47" w:rsidRPr="004C78D8">
        <w:t xml:space="preserve"> times per week; and </w:t>
      </w:r>
      <w:r w:rsidR="004F7E57" w:rsidRPr="004C78D8">
        <w:t>one</w:t>
      </w:r>
      <w:r w:rsidR="00B74D47" w:rsidRPr="004C78D8">
        <w:t xml:space="preserve"> visit per week for once or less per week. </w:t>
      </w:r>
      <w:r w:rsidR="001F65B8" w:rsidRPr="004C78D8">
        <w:t xml:space="preserve">However, unlike social care, </w:t>
      </w:r>
      <w:r w:rsidR="003F20E7" w:rsidRPr="004C78D8">
        <w:t xml:space="preserve">it was assumed that OOP care was received all year around, and that the intensity of care (i.e., visits per week) varied by frailty category </w:t>
      </w:r>
      <w:r w:rsidR="00281D14" w:rsidRPr="004C78D8">
        <w:rPr>
          <w:i/>
          <w:iCs/>
        </w:rPr>
        <w:t>and</w:t>
      </w:r>
      <w:r w:rsidR="003F20E7" w:rsidRPr="004C78D8">
        <w:t xml:space="preserve"> </w:t>
      </w:r>
      <w:r w:rsidR="004F7E57" w:rsidRPr="004C78D8">
        <w:t>SES</w:t>
      </w:r>
      <w:r w:rsidR="003F20E7" w:rsidRPr="004C78D8">
        <w:t xml:space="preserve"> quartile to account for the social gradient in access.</w:t>
      </w:r>
      <w:r w:rsidR="002F5511" w:rsidRPr="004C78D8">
        <w:t xml:space="preserve"> Table </w:t>
      </w:r>
      <w:r w:rsidR="00E2580C" w:rsidRPr="004C78D8">
        <w:t>5</w:t>
      </w:r>
      <w:r w:rsidR="008D3F6F" w:rsidRPr="004C78D8">
        <w:t>.</w:t>
      </w:r>
      <w:r w:rsidR="00C7697E" w:rsidRPr="004C78D8">
        <w:t>21</w:t>
      </w:r>
      <w:r w:rsidR="002F5511" w:rsidRPr="004C78D8">
        <w:t xml:space="preserve"> shows the estimated annual cost per OOP care recipient by </w:t>
      </w:r>
      <w:r w:rsidR="004F7E57" w:rsidRPr="004C78D8">
        <w:t>SES</w:t>
      </w:r>
      <w:r w:rsidR="002F5511" w:rsidRPr="004C78D8">
        <w:t xml:space="preserve"> quartile and frailty.</w:t>
      </w:r>
    </w:p>
    <w:tbl>
      <w:tblPr>
        <w:tblStyle w:val="TableGrid"/>
        <w:tblW w:w="0" w:type="auto"/>
        <w:tblInd w:w="-5" w:type="dxa"/>
        <w:tblLook w:val="04A0" w:firstRow="1" w:lastRow="0" w:firstColumn="1" w:lastColumn="0" w:noHBand="0" w:noVBand="1"/>
      </w:tblPr>
      <w:tblGrid>
        <w:gridCol w:w="1980"/>
        <w:gridCol w:w="1630"/>
        <w:gridCol w:w="1630"/>
        <w:gridCol w:w="1630"/>
        <w:gridCol w:w="1630"/>
      </w:tblGrid>
      <w:tr w:rsidR="008C6B72" w:rsidRPr="004C78D8" w14:paraId="0350FFF4" w14:textId="77777777" w:rsidTr="00E35893">
        <w:tc>
          <w:tcPr>
            <w:tcW w:w="8500" w:type="dxa"/>
            <w:gridSpan w:val="5"/>
          </w:tcPr>
          <w:p w14:paraId="269A2A2E" w14:textId="33D5EF94" w:rsidR="008C6B72" w:rsidRPr="004C78D8" w:rsidRDefault="008C6B72" w:rsidP="00FB7C1F">
            <w:r w:rsidRPr="004C78D8">
              <w:rPr>
                <w:b/>
                <w:bCs/>
              </w:rPr>
              <w:t xml:space="preserve">Table </w:t>
            </w:r>
            <w:r w:rsidR="00E2580C" w:rsidRPr="004C78D8">
              <w:rPr>
                <w:b/>
                <w:bCs/>
              </w:rPr>
              <w:t>5</w:t>
            </w:r>
            <w:r w:rsidR="008D3F6F" w:rsidRPr="004C78D8">
              <w:rPr>
                <w:b/>
                <w:bCs/>
              </w:rPr>
              <w:t>.</w:t>
            </w:r>
            <w:r w:rsidR="00C7697E" w:rsidRPr="004C78D8">
              <w:rPr>
                <w:b/>
                <w:bCs/>
              </w:rPr>
              <w:t>21</w:t>
            </w:r>
            <w:r w:rsidRPr="004C78D8">
              <w:t xml:space="preserve"> </w:t>
            </w:r>
            <w:r w:rsidR="006D0511" w:rsidRPr="004C78D8">
              <w:t>A</w:t>
            </w:r>
            <w:r w:rsidRPr="004C78D8">
              <w:t xml:space="preserve">nnual </w:t>
            </w:r>
            <w:r w:rsidR="00523C0F" w:rsidRPr="004C78D8">
              <w:t xml:space="preserve">all-cause </w:t>
            </w:r>
            <w:r w:rsidRPr="004C78D8">
              <w:t xml:space="preserve">out-of-pocket care costs by </w:t>
            </w:r>
            <w:r w:rsidR="004F7E57" w:rsidRPr="004C78D8">
              <w:t>SES</w:t>
            </w:r>
            <w:r w:rsidR="00B05C7C" w:rsidRPr="004C78D8">
              <w:t xml:space="preserve"> quartile and </w:t>
            </w:r>
            <w:r w:rsidRPr="004C78D8">
              <w:t>frailty category</w:t>
            </w:r>
            <w:r w:rsidR="004F7E57" w:rsidRPr="004C78D8">
              <w:t>.</w:t>
            </w:r>
          </w:p>
        </w:tc>
      </w:tr>
      <w:tr w:rsidR="00B05C7C" w:rsidRPr="004C78D8" w14:paraId="7E943CEA" w14:textId="77777777" w:rsidTr="00E35893">
        <w:tc>
          <w:tcPr>
            <w:tcW w:w="1980" w:type="dxa"/>
            <w:tcBorders>
              <w:bottom w:val="single" w:sz="4" w:space="0" w:color="auto"/>
            </w:tcBorders>
          </w:tcPr>
          <w:p w14:paraId="5577F3EE" w14:textId="40E2E9E8" w:rsidR="00B05C7C" w:rsidRPr="004C78D8" w:rsidRDefault="00B05C7C" w:rsidP="00FB7C1F">
            <w:pPr>
              <w:jc w:val="left"/>
              <w:rPr>
                <w:sz w:val="20"/>
                <w:szCs w:val="20"/>
              </w:rPr>
            </w:pPr>
            <w:r w:rsidRPr="004C78D8">
              <w:rPr>
                <w:b/>
                <w:bCs/>
                <w:sz w:val="20"/>
                <w:szCs w:val="20"/>
              </w:rPr>
              <w:t>Frailty/</w:t>
            </w:r>
            <w:r w:rsidR="004F7E57" w:rsidRPr="004C78D8">
              <w:rPr>
                <w:b/>
                <w:bCs/>
                <w:i/>
                <w:iCs/>
                <w:sz w:val="20"/>
                <w:szCs w:val="20"/>
              </w:rPr>
              <w:t xml:space="preserve">SES </w:t>
            </w:r>
            <w:r w:rsidRPr="004C78D8">
              <w:rPr>
                <w:b/>
                <w:bCs/>
                <w:i/>
                <w:iCs/>
                <w:sz w:val="20"/>
                <w:szCs w:val="20"/>
              </w:rPr>
              <w:t>quartile</w:t>
            </w:r>
          </w:p>
        </w:tc>
        <w:tc>
          <w:tcPr>
            <w:tcW w:w="1630" w:type="dxa"/>
            <w:tcBorders>
              <w:bottom w:val="single" w:sz="4" w:space="0" w:color="auto"/>
              <w:right w:val="nil"/>
            </w:tcBorders>
            <w:vAlign w:val="bottom"/>
          </w:tcPr>
          <w:p w14:paraId="75D5C574" w14:textId="7A0E13EB" w:rsidR="00B05C7C" w:rsidRPr="004C78D8" w:rsidRDefault="00B05C7C" w:rsidP="00FB7C1F">
            <w:pPr>
              <w:jc w:val="center"/>
              <w:rPr>
                <w:sz w:val="20"/>
                <w:szCs w:val="20"/>
              </w:rPr>
            </w:pPr>
            <w:r w:rsidRPr="004C78D8">
              <w:rPr>
                <w:b/>
                <w:bCs/>
                <w:i/>
                <w:iCs/>
                <w:sz w:val="20"/>
                <w:szCs w:val="20"/>
              </w:rPr>
              <w:t>Most privileged</w:t>
            </w:r>
          </w:p>
        </w:tc>
        <w:tc>
          <w:tcPr>
            <w:tcW w:w="1630" w:type="dxa"/>
            <w:tcBorders>
              <w:left w:val="nil"/>
              <w:bottom w:val="single" w:sz="4" w:space="0" w:color="auto"/>
              <w:right w:val="nil"/>
            </w:tcBorders>
            <w:vAlign w:val="bottom"/>
          </w:tcPr>
          <w:p w14:paraId="2504FBBD" w14:textId="091F0686" w:rsidR="00B05C7C" w:rsidRPr="004C78D8" w:rsidRDefault="00B05C7C" w:rsidP="00FB7C1F">
            <w:pPr>
              <w:jc w:val="center"/>
              <w:rPr>
                <w:sz w:val="20"/>
                <w:szCs w:val="20"/>
              </w:rPr>
            </w:pPr>
            <w:r w:rsidRPr="004C78D8">
              <w:rPr>
                <w:b/>
                <w:bCs/>
                <w:i/>
                <w:iCs/>
                <w:sz w:val="20"/>
                <w:szCs w:val="20"/>
              </w:rPr>
              <w:t>2</w:t>
            </w:r>
            <w:r w:rsidRPr="004C78D8">
              <w:rPr>
                <w:b/>
                <w:bCs/>
                <w:i/>
                <w:iCs/>
                <w:sz w:val="20"/>
                <w:szCs w:val="20"/>
                <w:vertAlign w:val="superscript"/>
              </w:rPr>
              <w:t>nd</w:t>
            </w:r>
            <w:r w:rsidRPr="004C78D8">
              <w:rPr>
                <w:b/>
                <w:bCs/>
                <w:i/>
                <w:iCs/>
                <w:sz w:val="20"/>
                <w:szCs w:val="20"/>
              </w:rPr>
              <w:t xml:space="preserve"> quartile</w:t>
            </w:r>
          </w:p>
        </w:tc>
        <w:tc>
          <w:tcPr>
            <w:tcW w:w="1630" w:type="dxa"/>
            <w:tcBorders>
              <w:left w:val="nil"/>
              <w:bottom w:val="single" w:sz="4" w:space="0" w:color="auto"/>
              <w:right w:val="nil"/>
            </w:tcBorders>
            <w:vAlign w:val="bottom"/>
          </w:tcPr>
          <w:p w14:paraId="4B3A3A3B" w14:textId="064A08BE" w:rsidR="00B05C7C" w:rsidRPr="004C78D8" w:rsidRDefault="00B05C7C" w:rsidP="00FB7C1F">
            <w:pPr>
              <w:jc w:val="center"/>
              <w:rPr>
                <w:sz w:val="20"/>
                <w:szCs w:val="20"/>
              </w:rPr>
            </w:pPr>
            <w:r w:rsidRPr="004C78D8">
              <w:rPr>
                <w:b/>
                <w:bCs/>
                <w:i/>
                <w:iCs/>
                <w:sz w:val="20"/>
                <w:szCs w:val="20"/>
              </w:rPr>
              <w:t>3</w:t>
            </w:r>
            <w:r w:rsidRPr="004C78D8">
              <w:rPr>
                <w:b/>
                <w:bCs/>
                <w:i/>
                <w:iCs/>
                <w:sz w:val="20"/>
                <w:szCs w:val="20"/>
                <w:vertAlign w:val="superscript"/>
              </w:rPr>
              <w:t>rd</w:t>
            </w:r>
            <w:r w:rsidRPr="004C78D8">
              <w:rPr>
                <w:b/>
                <w:bCs/>
                <w:i/>
                <w:iCs/>
                <w:sz w:val="20"/>
                <w:szCs w:val="20"/>
              </w:rPr>
              <w:t xml:space="preserve"> quartile</w:t>
            </w:r>
          </w:p>
        </w:tc>
        <w:tc>
          <w:tcPr>
            <w:tcW w:w="1630" w:type="dxa"/>
            <w:tcBorders>
              <w:left w:val="nil"/>
              <w:bottom w:val="single" w:sz="4" w:space="0" w:color="auto"/>
            </w:tcBorders>
            <w:vAlign w:val="bottom"/>
          </w:tcPr>
          <w:p w14:paraId="13D8C898" w14:textId="613E0E21" w:rsidR="00B05C7C" w:rsidRPr="004C78D8" w:rsidRDefault="00B05C7C" w:rsidP="00FB7C1F">
            <w:pPr>
              <w:jc w:val="center"/>
              <w:rPr>
                <w:sz w:val="20"/>
                <w:szCs w:val="20"/>
              </w:rPr>
            </w:pPr>
            <w:r w:rsidRPr="004C78D8">
              <w:rPr>
                <w:b/>
                <w:bCs/>
                <w:i/>
                <w:iCs/>
                <w:sz w:val="20"/>
                <w:szCs w:val="20"/>
              </w:rPr>
              <w:t>Most deprived</w:t>
            </w:r>
          </w:p>
        </w:tc>
      </w:tr>
      <w:tr w:rsidR="006D0511" w:rsidRPr="004C78D8" w14:paraId="0956A190" w14:textId="77777777" w:rsidTr="00E35893">
        <w:tc>
          <w:tcPr>
            <w:tcW w:w="1980" w:type="dxa"/>
            <w:tcBorders>
              <w:bottom w:val="nil"/>
            </w:tcBorders>
          </w:tcPr>
          <w:p w14:paraId="17F1EB13" w14:textId="1C6D7B0D" w:rsidR="006D0511" w:rsidRPr="004C78D8" w:rsidRDefault="006D0511" w:rsidP="00FB7C1F">
            <w:pPr>
              <w:jc w:val="left"/>
              <w:rPr>
                <w:sz w:val="18"/>
                <w:szCs w:val="18"/>
              </w:rPr>
            </w:pPr>
            <w:r w:rsidRPr="004C78D8">
              <w:rPr>
                <w:sz w:val="18"/>
                <w:szCs w:val="18"/>
              </w:rPr>
              <w:t>Fit</w:t>
            </w:r>
          </w:p>
        </w:tc>
        <w:tc>
          <w:tcPr>
            <w:tcW w:w="1630" w:type="dxa"/>
            <w:tcBorders>
              <w:top w:val="single" w:sz="4" w:space="0" w:color="auto"/>
              <w:left w:val="nil"/>
              <w:bottom w:val="nil"/>
              <w:right w:val="nil"/>
            </w:tcBorders>
            <w:shd w:val="clear" w:color="auto" w:fill="auto"/>
          </w:tcPr>
          <w:p w14:paraId="36D3FA5D" w14:textId="034F58AF" w:rsidR="006D0511" w:rsidRPr="004C78D8" w:rsidRDefault="006D0511" w:rsidP="00FB7C1F">
            <w:pPr>
              <w:jc w:val="center"/>
              <w:rPr>
                <w:rFonts w:cs="Times New Roman"/>
                <w:sz w:val="18"/>
                <w:szCs w:val="18"/>
              </w:rPr>
            </w:pPr>
            <w:r w:rsidRPr="004C78D8">
              <w:rPr>
                <w:rFonts w:cs="Times New Roman"/>
                <w:color w:val="000000"/>
                <w:sz w:val="18"/>
                <w:szCs w:val="18"/>
              </w:rPr>
              <w:t>£2,730.00</w:t>
            </w:r>
          </w:p>
        </w:tc>
        <w:tc>
          <w:tcPr>
            <w:tcW w:w="1630" w:type="dxa"/>
            <w:tcBorders>
              <w:top w:val="single" w:sz="4" w:space="0" w:color="auto"/>
              <w:left w:val="nil"/>
              <w:bottom w:val="nil"/>
              <w:right w:val="nil"/>
            </w:tcBorders>
            <w:shd w:val="clear" w:color="auto" w:fill="auto"/>
          </w:tcPr>
          <w:p w14:paraId="7D38A00B" w14:textId="7A3D4F2C" w:rsidR="006D0511" w:rsidRPr="004C78D8" w:rsidRDefault="006D0511" w:rsidP="00FB7C1F">
            <w:pPr>
              <w:jc w:val="center"/>
              <w:rPr>
                <w:rFonts w:cs="Times New Roman"/>
                <w:sz w:val="18"/>
                <w:szCs w:val="18"/>
              </w:rPr>
            </w:pPr>
            <w:r w:rsidRPr="004C78D8">
              <w:rPr>
                <w:rFonts w:cs="Times New Roman"/>
                <w:color w:val="000000"/>
                <w:sz w:val="18"/>
                <w:szCs w:val="18"/>
              </w:rPr>
              <w:t>£2,730.00</w:t>
            </w:r>
          </w:p>
        </w:tc>
        <w:tc>
          <w:tcPr>
            <w:tcW w:w="1630" w:type="dxa"/>
            <w:tcBorders>
              <w:top w:val="single" w:sz="4" w:space="0" w:color="auto"/>
              <w:left w:val="nil"/>
              <w:bottom w:val="nil"/>
              <w:right w:val="nil"/>
            </w:tcBorders>
            <w:shd w:val="clear" w:color="auto" w:fill="auto"/>
          </w:tcPr>
          <w:p w14:paraId="0060B32C" w14:textId="631E39F7" w:rsidR="006D0511" w:rsidRPr="004C78D8" w:rsidRDefault="006D0511" w:rsidP="00FB7C1F">
            <w:pPr>
              <w:jc w:val="center"/>
              <w:rPr>
                <w:rFonts w:cs="Times New Roman"/>
                <w:sz w:val="18"/>
                <w:szCs w:val="18"/>
              </w:rPr>
            </w:pPr>
            <w:r w:rsidRPr="004C78D8">
              <w:rPr>
                <w:rFonts w:cs="Times New Roman"/>
                <w:color w:val="000000"/>
                <w:sz w:val="18"/>
                <w:szCs w:val="18"/>
              </w:rPr>
              <w:t>£2,730.00</w:t>
            </w:r>
          </w:p>
        </w:tc>
        <w:tc>
          <w:tcPr>
            <w:tcW w:w="1630" w:type="dxa"/>
            <w:tcBorders>
              <w:top w:val="single" w:sz="4" w:space="0" w:color="auto"/>
              <w:left w:val="nil"/>
              <w:bottom w:val="nil"/>
              <w:right w:val="single" w:sz="4" w:space="0" w:color="auto"/>
            </w:tcBorders>
            <w:shd w:val="clear" w:color="auto" w:fill="auto"/>
          </w:tcPr>
          <w:p w14:paraId="18C64520" w14:textId="1AEF11D7" w:rsidR="006D0511" w:rsidRPr="004C78D8" w:rsidRDefault="006D0511" w:rsidP="00FB7C1F">
            <w:pPr>
              <w:jc w:val="center"/>
              <w:rPr>
                <w:rFonts w:cs="Times New Roman"/>
                <w:sz w:val="18"/>
                <w:szCs w:val="18"/>
              </w:rPr>
            </w:pPr>
            <w:r w:rsidRPr="004C78D8">
              <w:rPr>
                <w:rFonts w:cs="Times New Roman"/>
                <w:color w:val="000000"/>
                <w:sz w:val="18"/>
                <w:szCs w:val="18"/>
              </w:rPr>
              <w:t>£0</w:t>
            </w:r>
          </w:p>
        </w:tc>
      </w:tr>
      <w:tr w:rsidR="006D0511" w:rsidRPr="004C78D8" w14:paraId="0F733A2D" w14:textId="77777777" w:rsidTr="00E35893">
        <w:tc>
          <w:tcPr>
            <w:tcW w:w="1980" w:type="dxa"/>
            <w:tcBorders>
              <w:top w:val="nil"/>
              <w:bottom w:val="nil"/>
            </w:tcBorders>
          </w:tcPr>
          <w:p w14:paraId="5B80D75A" w14:textId="67F57DB0" w:rsidR="006D0511" w:rsidRPr="004C78D8" w:rsidRDefault="006D0511" w:rsidP="00FB7C1F">
            <w:pPr>
              <w:jc w:val="left"/>
              <w:rPr>
                <w:sz w:val="18"/>
                <w:szCs w:val="18"/>
              </w:rPr>
            </w:pPr>
            <w:r w:rsidRPr="004C78D8">
              <w:rPr>
                <w:sz w:val="18"/>
                <w:szCs w:val="18"/>
              </w:rPr>
              <w:t>Mild</w:t>
            </w:r>
          </w:p>
        </w:tc>
        <w:tc>
          <w:tcPr>
            <w:tcW w:w="1630" w:type="dxa"/>
            <w:tcBorders>
              <w:top w:val="nil"/>
              <w:left w:val="nil"/>
              <w:bottom w:val="nil"/>
              <w:right w:val="nil"/>
            </w:tcBorders>
            <w:shd w:val="clear" w:color="auto" w:fill="auto"/>
          </w:tcPr>
          <w:p w14:paraId="78D27303" w14:textId="141AFB9C" w:rsidR="006D0511" w:rsidRPr="004C78D8" w:rsidRDefault="006D0511" w:rsidP="00FB7C1F">
            <w:pPr>
              <w:jc w:val="center"/>
              <w:rPr>
                <w:rFonts w:cs="Times New Roman"/>
                <w:sz w:val="18"/>
                <w:szCs w:val="18"/>
              </w:rPr>
            </w:pPr>
            <w:r w:rsidRPr="004C78D8">
              <w:rPr>
                <w:rFonts w:cs="Times New Roman"/>
                <w:color w:val="000000"/>
                <w:sz w:val="18"/>
                <w:szCs w:val="18"/>
              </w:rPr>
              <w:t>£3,726.45</w:t>
            </w:r>
          </w:p>
        </w:tc>
        <w:tc>
          <w:tcPr>
            <w:tcW w:w="1630" w:type="dxa"/>
            <w:tcBorders>
              <w:top w:val="nil"/>
              <w:left w:val="nil"/>
              <w:bottom w:val="nil"/>
              <w:right w:val="nil"/>
            </w:tcBorders>
            <w:shd w:val="clear" w:color="auto" w:fill="auto"/>
          </w:tcPr>
          <w:p w14:paraId="3C932BE8" w14:textId="13B9E7B8" w:rsidR="006D0511" w:rsidRPr="004C78D8" w:rsidRDefault="008F5D5E" w:rsidP="00FB7C1F">
            <w:pPr>
              <w:jc w:val="center"/>
              <w:rPr>
                <w:rFonts w:cs="Times New Roman"/>
                <w:sz w:val="18"/>
                <w:szCs w:val="18"/>
              </w:rPr>
            </w:pPr>
            <w:r w:rsidRPr="004C78D8">
              <w:rPr>
                <w:rFonts w:cs="Times New Roman"/>
                <w:color w:val="000000"/>
                <w:sz w:val="18"/>
                <w:szCs w:val="18"/>
              </w:rPr>
              <w:t>£</w:t>
            </w:r>
            <w:r w:rsidR="006D0511" w:rsidRPr="004C78D8">
              <w:rPr>
                <w:rFonts w:cs="Times New Roman"/>
                <w:color w:val="000000"/>
                <w:sz w:val="18"/>
                <w:szCs w:val="18"/>
              </w:rPr>
              <w:t>3</w:t>
            </w:r>
            <w:r w:rsidRPr="004C78D8">
              <w:rPr>
                <w:rFonts w:cs="Times New Roman"/>
                <w:color w:val="000000"/>
                <w:sz w:val="18"/>
                <w:szCs w:val="18"/>
              </w:rPr>
              <w:t>,</w:t>
            </w:r>
            <w:r w:rsidR="006D0511" w:rsidRPr="004C78D8">
              <w:rPr>
                <w:rFonts w:cs="Times New Roman"/>
                <w:color w:val="000000"/>
                <w:sz w:val="18"/>
                <w:szCs w:val="18"/>
              </w:rPr>
              <w:t>336.06</w:t>
            </w:r>
          </w:p>
        </w:tc>
        <w:tc>
          <w:tcPr>
            <w:tcW w:w="1630" w:type="dxa"/>
            <w:tcBorders>
              <w:top w:val="nil"/>
              <w:left w:val="nil"/>
              <w:bottom w:val="nil"/>
              <w:right w:val="nil"/>
            </w:tcBorders>
            <w:shd w:val="clear" w:color="auto" w:fill="auto"/>
          </w:tcPr>
          <w:p w14:paraId="750839D2" w14:textId="56B94193" w:rsidR="006D0511" w:rsidRPr="004C78D8" w:rsidRDefault="006D0511" w:rsidP="00FB7C1F">
            <w:pPr>
              <w:jc w:val="center"/>
              <w:rPr>
                <w:rFonts w:cs="Times New Roman"/>
                <w:sz w:val="18"/>
                <w:szCs w:val="18"/>
              </w:rPr>
            </w:pPr>
            <w:r w:rsidRPr="004C78D8">
              <w:rPr>
                <w:rFonts w:cs="Times New Roman"/>
                <w:color w:val="000000"/>
                <w:sz w:val="18"/>
                <w:szCs w:val="18"/>
              </w:rPr>
              <w:t>£2,912.91</w:t>
            </w:r>
          </w:p>
        </w:tc>
        <w:tc>
          <w:tcPr>
            <w:tcW w:w="1630" w:type="dxa"/>
            <w:tcBorders>
              <w:top w:val="nil"/>
              <w:left w:val="nil"/>
              <w:bottom w:val="nil"/>
              <w:right w:val="single" w:sz="4" w:space="0" w:color="auto"/>
            </w:tcBorders>
            <w:shd w:val="clear" w:color="auto" w:fill="auto"/>
          </w:tcPr>
          <w:p w14:paraId="579F259F" w14:textId="5FBB2892" w:rsidR="006D0511" w:rsidRPr="004C78D8" w:rsidRDefault="006D0511" w:rsidP="00FB7C1F">
            <w:pPr>
              <w:jc w:val="center"/>
              <w:rPr>
                <w:rFonts w:cs="Times New Roman"/>
                <w:sz w:val="18"/>
                <w:szCs w:val="18"/>
              </w:rPr>
            </w:pPr>
            <w:r w:rsidRPr="004C78D8">
              <w:rPr>
                <w:rFonts w:cs="Times New Roman"/>
                <w:color w:val="000000"/>
                <w:sz w:val="18"/>
                <w:szCs w:val="18"/>
              </w:rPr>
              <w:t>£2,730.00</w:t>
            </w:r>
          </w:p>
        </w:tc>
      </w:tr>
      <w:tr w:rsidR="006D0511" w:rsidRPr="004C78D8" w14:paraId="42C45E20" w14:textId="77777777" w:rsidTr="00E35893">
        <w:tc>
          <w:tcPr>
            <w:tcW w:w="1980" w:type="dxa"/>
            <w:tcBorders>
              <w:top w:val="nil"/>
              <w:bottom w:val="nil"/>
            </w:tcBorders>
          </w:tcPr>
          <w:p w14:paraId="528B9C06" w14:textId="671A0F9C" w:rsidR="006D0511" w:rsidRPr="004C78D8" w:rsidRDefault="006D0511" w:rsidP="00FB7C1F">
            <w:pPr>
              <w:jc w:val="left"/>
              <w:rPr>
                <w:sz w:val="18"/>
                <w:szCs w:val="18"/>
              </w:rPr>
            </w:pPr>
            <w:r w:rsidRPr="004C78D8">
              <w:rPr>
                <w:sz w:val="18"/>
                <w:szCs w:val="18"/>
              </w:rPr>
              <w:t>Moderate</w:t>
            </w:r>
          </w:p>
        </w:tc>
        <w:tc>
          <w:tcPr>
            <w:tcW w:w="1630" w:type="dxa"/>
            <w:tcBorders>
              <w:top w:val="nil"/>
              <w:left w:val="nil"/>
              <w:bottom w:val="nil"/>
              <w:right w:val="nil"/>
            </w:tcBorders>
            <w:shd w:val="clear" w:color="auto" w:fill="auto"/>
          </w:tcPr>
          <w:p w14:paraId="50ED7D8D" w14:textId="4A2B4B6B" w:rsidR="006D0511" w:rsidRPr="004C78D8" w:rsidRDefault="006D0511" w:rsidP="00FB7C1F">
            <w:pPr>
              <w:jc w:val="center"/>
              <w:rPr>
                <w:rFonts w:cs="Times New Roman"/>
                <w:sz w:val="18"/>
                <w:szCs w:val="18"/>
              </w:rPr>
            </w:pPr>
            <w:r w:rsidRPr="004C78D8">
              <w:rPr>
                <w:rFonts w:cs="Times New Roman"/>
                <w:color w:val="000000"/>
                <w:sz w:val="18"/>
                <w:szCs w:val="18"/>
              </w:rPr>
              <w:t>£7,067.97</w:t>
            </w:r>
          </w:p>
        </w:tc>
        <w:tc>
          <w:tcPr>
            <w:tcW w:w="1630" w:type="dxa"/>
            <w:tcBorders>
              <w:top w:val="nil"/>
              <w:left w:val="nil"/>
              <w:bottom w:val="nil"/>
              <w:right w:val="nil"/>
            </w:tcBorders>
            <w:shd w:val="clear" w:color="auto" w:fill="auto"/>
          </w:tcPr>
          <w:p w14:paraId="41F66F3A" w14:textId="6F612772" w:rsidR="006D0511" w:rsidRPr="004C78D8" w:rsidRDefault="008F5D5E" w:rsidP="00FB7C1F">
            <w:pPr>
              <w:jc w:val="center"/>
              <w:rPr>
                <w:rFonts w:cs="Times New Roman"/>
                <w:sz w:val="18"/>
                <w:szCs w:val="18"/>
              </w:rPr>
            </w:pPr>
            <w:r w:rsidRPr="004C78D8">
              <w:rPr>
                <w:rFonts w:cs="Times New Roman"/>
                <w:color w:val="000000"/>
                <w:sz w:val="18"/>
                <w:szCs w:val="18"/>
              </w:rPr>
              <w:t>£</w:t>
            </w:r>
            <w:r w:rsidR="006D0511" w:rsidRPr="004C78D8">
              <w:rPr>
                <w:rFonts w:cs="Times New Roman"/>
                <w:color w:val="000000"/>
                <w:sz w:val="18"/>
                <w:szCs w:val="18"/>
              </w:rPr>
              <w:t>5</w:t>
            </w:r>
            <w:r w:rsidRPr="004C78D8">
              <w:rPr>
                <w:rFonts w:cs="Times New Roman"/>
                <w:color w:val="000000"/>
                <w:sz w:val="18"/>
                <w:szCs w:val="18"/>
              </w:rPr>
              <w:t>,</w:t>
            </w:r>
            <w:r w:rsidR="006D0511" w:rsidRPr="004C78D8">
              <w:rPr>
                <w:rFonts w:cs="Times New Roman"/>
                <w:color w:val="000000"/>
                <w:sz w:val="18"/>
                <w:szCs w:val="18"/>
              </w:rPr>
              <w:t>460</w:t>
            </w:r>
            <w:r w:rsidRPr="004C78D8">
              <w:rPr>
                <w:rFonts w:cs="Times New Roman"/>
                <w:color w:val="000000"/>
                <w:sz w:val="18"/>
                <w:szCs w:val="18"/>
              </w:rPr>
              <w:t>.00</w:t>
            </w:r>
          </w:p>
        </w:tc>
        <w:tc>
          <w:tcPr>
            <w:tcW w:w="1630" w:type="dxa"/>
            <w:tcBorders>
              <w:top w:val="nil"/>
              <w:left w:val="nil"/>
              <w:bottom w:val="nil"/>
              <w:right w:val="nil"/>
            </w:tcBorders>
            <w:shd w:val="clear" w:color="auto" w:fill="auto"/>
          </w:tcPr>
          <w:p w14:paraId="2615D837" w14:textId="1C1589B5" w:rsidR="006D0511" w:rsidRPr="004C78D8" w:rsidRDefault="006D0511" w:rsidP="00FB7C1F">
            <w:pPr>
              <w:jc w:val="center"/>
              <w:rPr>
                <w:rFonts w:cs="Times New Roman"/>
                <w:sz w:val="18"/>
                <w:szCs w:val="18"/>
              </w:rPr>
            </w:pPr>
            <w:r w:rsidRPr="004C78D8">
              <w:rPr>
                <w:rFonts w:cs="Times New Roman"/>
                <w:color w:val="000000"/>
                <w:sz w:val="18"/>
                <w:szCs w:val="18"/>
              </w:rPr>
              <w:t>£5,571.93</w:t>
            </w:r>
          </w:p>
        </w:tc>
        <w:tc>
          <w:tcPr>
            <w:tcW w:w="1630" w:type="dxa"/>
            <w:tcBorders>
              <w:top w:val="nil"/>
              <w:left w:val="nil"/>
              <w:bottom w:val="nil"/>
              <w:right w:val="single" w:sz="4" w:space="0" w:color="auto"/>
            </w:tcBorders>
            <w:shd w:val="clear" w:color="auto" w:fill="auto"/>
          </w:tcPr>
          <w:p w14:paraId="2F148F26" w14:textId="42B6BAA5" w:rsidR="006D0511" w:rsidRPr="004C78D8" w:rsidRDefault="006D0511" w:rsidP="00FB7C1F">
            <w:pPr>
              <w:jc w:val="center"/>
              <w:rPr>
                <w:rFonts w:cs="Times New Roman"/>
                <w:sz w:val="18"/>
                <w:szCs w:val="18"/>
              </w:rPr>
            </w:pPr>
            <w:r w:rsidRPr="004C78D8">
              <w:rPr>
                <w:rFonts w:cs="Times New Roman"/>
                <w:color w:val="000000"/>
                <w:sz w:val="18"/>
                <w:szCs w:val="18"/>
              </w:rPr>
              <w:t>£6,046.95</w:t>
            </w:r>
          </w:p>
        </w:tc>
      </w:tr>
      <w:tr w:rsidR="006D0511" w:rsidRPr="004C78D8" w14:paraId="34E5AFC2" w14:textId="77777777" w:rsidTr="00E35893">
        <w:tc>
          <w:tcPr>
            <w:tcW w:w="1980" w:type="dxa"/>
            <w:tcBorders>
              <w:top w:val="nil"/>
            </w:tcBorders>
          </w:tcPr>
          <w:p w14:paraId="025BC9BF" w14:textId="40646951" w:rsidR="006D0511" w:rsidRPr="004C78D8" w:rsidRDefault="006D0511" w:rsidP="00FB7C1F">
            <w:pPr>
              <w:jc w:val="left"/>
              <w:rPr>
                <w:sz w:val="18"/>
                <w:szCs w:val="18"/>
              </w:rPr>
            </w:pPr>
            <w:r w:rsidRPr="004C78D8">
              <w:rPr>
                <w:sz w:val="18"/>
                <w:szCs w:val="18"/>
              </w:rPr>
              <w:t>Severe</w:t>
            </w:r>
          </w:p>
        </w:tc>
        <w:tc>
          <w:tcPr>
            <w:tcW w:w="1630" w:type="dxa"/>
            <w:tcBorders>
              <w:top w:val="nil"/>
              <w:left w:val="nil"/>
              <w:bottom w:val="nil"/>
              <w:right w:val="nil"/>
            </w:tcBorders>
            <w:shd w:val="clear" w:color="auto" w:fill="auto"/>
          </w:tcPr>
          <w:p w14:paraId="165748E1" w14:textId="65E830C7" w:rsidR="006D0511" w:rsidRPr="004C78D8" w:rsidRDefault="006D0511" w:rsidP="00FB7C1F">
            <w:pPr>
              <w:jc w:val="center"/>
              <w:rPr>
                <w:rFonts w:cs="Times New Roman"/>
                <w:sz w:val="18"/>
                <w:szCs w:val="18"/>
              </w:rPr>
            </w:pPr>
            <w:r w:rsidRPr="004C78D8">
              <w:rPr>
                <w:rFonts w:cs="Times New Roman"/>
                <w:color w:val="000000"/>
                <w:sz w:val="18"/>
                <w:szCs w:val="18"/>
              </w:rPr>
              <w:t>£10,537.8</w:t>
            </w:r>
          </w:p>
        </w:tc>
        <w:tc>
          <w:tcPr>
            <w:tcW w:w="1630" w:type="dxa"/>
            <w:tcBorders>
              <w:top w:val="nil"/>
              <w:left w:val="nil"/>
              <w:bottom w:val="nil"/>
              <w:right w:val="nil"/>
            </w:tcBorders>
            <w:shd w:val="clear" w:color="auto" w:fill="auto"/>
          </w:tcPr>
          <w:p w14:paraId="2D93A4D3" w14:textId="2E6E8B52" w:rsidR="006D0511" w:rsidRPr="004C78D8" w:rsidRDefault="008F5D5E" w:rsidP="00FB7C1F">
            <w:pPr>
              <w:jc w:val="center"/>
              <w:rPr>
                <w:rFonts w:cs="Times New Roman"/>
                <w:sz w:val="18"/>
                <w:szCs w:val="18"/>
              </w:rPr>
            </w:pPr>
            <w:r w:rsidRPr="004C78D8">
              <w:rPr>
                <w:rFonts w:cs="Times New Roman"/>
                <w:color w:val="000000"/>
                <w:sz w:val="18"/>
                <w:szCs w:val="18"/>
              </w:rPr>
              <w:t>£</w:t>
            </w:r>
            <w:r w:rsidR="006D0511" w:rsidRPr="004C78D8">
              <w:rPr>
                <w:rFonts w:cs="Times New Roman"/>
                <w:color w:val="000000"/>
                <w:sz w:val="18"/>
                <w:szCs w:val="18"/>
              </w:rPr>
              <w:t>7</w:t>
            </w:r>
            <w:r w:rsidRPr="004C78D8">
              <w:rPr>
                <w:rFonts w:cs="Times New Roman"/>
                <w:color w:val="000000"/>
                <w:sz w:val="18"/>
                <w:szCs w:val="18"/>
              </w:rPr>
              <w:t>,</w:t>
            </w:r>
            <w:r w:rsidR="006D0511" w:rsidRPr="004C78D8">
              <w:rPr>
                <w:rFonts w:cs="Times New Roman"/>
                <w:color w:val="000000"/>
                <w:sz w:val="18"/>
                <w:szCs w:val="18"/>
              </w:rPr>
              <w:t>275.45</w:t>
            </w:r>
          </w:p>
        </w:tc>
        <w:tc>
          <w:tcPr>
            <w:tcW w:w="1630" w:type="dxa"/>
            <w:tcBorders>
              <w:top w:val="nil"/>
              <w:left w:val="nil"/>
              <w:bottom w:val="nil"/>
              <w:right w:val="nil"/>
            </w:tcBorders>
            <w:shd w:val="clear" w:color="auto" w:fill="auto"/>
          </w:tcPr>
          <w:p w14:paraId="14270F44" w14:textId="0F3FBAD4" w:rsidR="006D0511" w:rsidRPr="004C78D8" w:rsidRDefault="006D0511" w:rsidP="00FB7C1F">
            <w:pPr>
              <w:jc w:val="center"/>
              <w:rPr>
                <w:rFonts w:cs="Times New Roman"/>
                <w:sz w:val="18"/>
                <w:szCs w:val="18"/>
              </w:rPr>
            </w:pPr>
            <w:r w:rsidRPr="004C78D8">
              <w:rPr>
                <w:rFonts w:cs="Times New Roman"/>
                <w:color w:val="000000"/>
                <w:sz w:val="18"/>
                <w:szCs w:val="18"/>
              </w:rPr>
              <w:t>£6,491.94</w:t>
            </w:r>
          </w:p>
        </w:tc>
        <w:tc>
          <w:tcPr>
            <w:tcW w:w="1630" w:type="dxa"/>
            <w:tcBorders>
              <w:top w:val="nil"/>
              <w:left w:val="nil"/>
              <w:bottom w:val="nil"/>
              <w:right w:val="single" w:sz="4" w:space="0" w:color="auto"/>
            </w:tcBorders>
            <w:shd w:val="clear" w:color="auto" w:fill="auto"/>
          </w:tcPr>
          <w:p w14:paraId="39816AA9" w14:textId="2BD3E8AA" w:rsidR="006D0511" w:rsidRPr="004C78D8" w:rsidRDefault="006D0511" w:rsidP="00FB7C1F">
            <w:pPr>
              <w:jc w:val="center"/>
              <w:rPr>
                <w:rFonts w:cs="Times New Roman"/>
                <w:sz w:val="18"/>
                <w:szCs w:val="18"/>
              </w:rPr>
            </w:pPr>
            <w:r w:rsidRPr="004C78D8">
              <w:rPr>
                <w:rFonts w:cs="Times New Roman"/>
                <w:color w:val="000000"/>
                <w:sz w:val="18"/>
                <w:szCs w:val="18"/>
              </w:rPr>
              <w:t>£2,730.00</w:t>
            </w:r>
          </w:p>
        </w:tc>
      </w:tr>
      <w:tr w:rsidR="006D0511" w:rsidRPr="004C78D8" w14:paraId="613FF388" w14:textId="77777777" w:rsidTr="00E35893">
        <w:tc>
          <w:tcPr>
            <w:tcW w:w="8500" w:type="dxa"/>
            <w:gridSpan w:val="5"/>
          </w:tcPr>
          <w:p w14:paraId="5C560A0D" w14:textId="28DFD9C1" w:rsidR="004F7E57" w:rsidRPr="004C78D8" w:rsidRDefault="004F7E57" w:rsidP="00FB7C1F">
            <w:pPr>
              <w:rPr>
                <w:sz w:val="18"/>
                <w:szCs w:val="18"/>
              </w:rPr>
            </w:pPr>
            <w:r w:rsidRPr="004C78D8">
              <w:rPr>
                <w:b/>
                <w:bCs/>
                <w:sz w:val="18"/>
                <w:szCs w:val="18"/>
              </w:rPr>
              <w:t xml:space="preserve">Abbreviation: </w:t>
            </w:r>
            <w:r w:rsidRPr="004C78D8">
              <w:rPr>
                <w:sz w:val="18"/>
                <w:szCs w:val="18"/>
              </w:rPr>
              <w:t>SES: socioeconomic status</w:t>
            </w:r>
          </w:p>
          <w:p w14:paraId="775A60C9" w14:textId="5C34455E" w:rsidR="006D0511" w:rsidRPr="004C78D8" w:rsidRDefault="00707B2C" w:rsidP="00FB7C1F">
            <w:pPr>
              <w:rPr>
                <w:sz w:val="20"/>
                <w:szCs w:val="20"/>
              </w:rPr>
            </w:pPr>
            <w:r w:rsidRPr="004C78D8">
              <w:rPr>
                <w:b/>
                <w:bCs/>
                <w:sz w:val="18"/>
                <w:szCs w:val="18"/>
              </w:rPr>
              <w:t xml:space="preserve">Note: </w:t>
            </w:r>
            <w:r w:rsidR="002F5511" w:rsidRPr="004C78D8">
              <w:rPr>
                <w:sz w:val="18"/>
                <w:szCs w:val="18"/>
              </w:rPr>
              <w:t>The distribution of visit/week varied by frailty category and social quartile according to English Longitudinal Study of Ageing Wave 4 data. Assumed 2.5 hours per visit, 52 weeks of visits per year and cost of £21 per hour.</w:t>
            </w:r>
            <w:r w:rsidR="005C2EAE" w:rsidRPr="004C78D8">
              <w:rPr>
                <w:sz w:val="18"/>
                <w:szCs w:val="18"/>
              </w:rPr>
              <w:t xml:space="preserve"> </w:t>
            </w:r>
          </w:p>
        </w:tc>
      </w:tr>
    </w:tbl>
    <w:p w14:paraId="25BC4206" w14:textId="2386069F" w:rsidR="0035137B" w:rsidRPr="004C78D8" w:rsidRDefault="003F20E7" w:rsidP="00FB7C1F">
      <w:r w:rsidRPr="004C78D8">
        <w:t xml:space="preserve"> </w:t>
      </w:r>
    </w:p>
    <w:p w14:paraId="1C62E53E" w14:textId="0CAD28EE" w:rsidR="00A853F4" w:rsidRPr="004C78D8" w:rsidRDefault="00A853F4" w:rsidP="00FB7C1F">
      <w:pPr>
        <w:pStyle w:val="Heading5"/>
      </w:pPr>
      <w:r w:rsidRPr="004C78D8">
        <w:t xml:space="preserve">Informal </w:t>
      </w:r>
      <w:r w:rsidR="00EE5AFB" w:rsidRPr="004C78D8">
        <w:t>caregiving costs</w:t>
      </w:r>
    </w:p>
    <w:p w14:paraId="6E676123" w14:textId="2B6CA3F9" w:rsidR="006D0511" w:rsidRPr="004C78D8" w:rsidRDefault="00C9441D" w:rsidP="00FB7C1F">
      <w:r w:rsidRPr="004C78D8">
        <w:t>ELSA Waves 4</w:t>
      </w:r>
      <w:r w:rsidR="0044117F" w:rsidRPr="004C78D8">
        <w:t>-</w:t>
      </w:r>
      <w:r w:rsidRPr="004C78D8">
        <w:t xml:space="preserve">5 contained information on the receipt of </w:t>
      </w:r>
      <w:r w:rsidR="00800332" w:rsidRPr="004C78D8">
        <w:t>informal help</w:t>
      </w:r>
      <w:r w:rsidRPr="004C78D8">
        <w:t xml:space="preserve"> for </w:t>
      </w:r>
      <w:r w:rsidR="001352E0" w:rsidRPr="004C78D8">
        <w:t>ADL</w:t>
      </w:r>
      <w:r w:rsidRPr="004C78D8">
        <w:t xml:space="preserve">. The prevalence by frailty category were: </w:t>
      </w:r>
      <w:r w:rsidR="00007706" w:rsidRPr="004C78D8">
        <w:t>7</w:t>
      </w:r>
      <w:r w:rsidRPr="004C78D8">
        <w:t xml:space="preserve">.2% for Fit; </w:t>
      </w:r>
      <w:r w:rsidR="00007706" w:rsidRPr="004C78D8">
        <w:t>30</w:t>
      </w:r>
      <w:r w:rsidRPr="004C78D8">
        <w:t>.</w:t>
      </w:r>
      <w:r w:rsidR="00007706" w:rsidRPr="004C78D8">
        <w:t>3</w:t>
      </w:r>
      <w:r w:rsidRPr="004C78D8">
        <w:t xml:space="preserve">% for Mild; </w:t>
      </w:r>
      <w:r w:rsidR="00007706" w:rsidRPr="004C78D8">
        <w:t>66</w:t>
      </w:r>
      <w:r w:rsidRPr="004C78D8">
        <w:t xml:space="preserve">.4% for Moderate; </w:t>
      </w:r>
      <w:r w:rsidR="00007706" w:rsidRPr="004C78D8">
        <w:t>86</w:t>
      </w:r>
      <w:r w:rsidRPr="004C78D8">
        <w:t>.</w:t>
      </w:r>
      <w:r w:rsidR="00007706" w:rsidRPr="004C78D8">
        <w:t>0</w:t>
      </w:r>
      <w:r w:rsidRPr="004C78D8">
        <w:t xml:space="preserve">% for Severe; and </w:t>
      </w:r>
      <w:r w:rsidR="00007706" w:rsidRPr="004C78D8">
        <w:t>25.3</w:t>
      </w:r>
      <w:r w:rsidRPr="004C78D8">
        <w:t>% overall.</w:t>
      </w:r>
      <w:r w:rsidR="00007706" w:rsidRPr="004C78D8">
        <w:t xml:space="preserve"> </w:t>
      </w:r>
      <w:r w:rsidR="0044117F" w:rsidRPr="004C78D8">
        <w:t>Multivariate</w:t>
      </w:r>
      <w:r w:rsidR="00007706" w:rsidRPr="004C78D8">
        <w:t xml:space="preserve"> logistic regression showed that </w:t>
      </w:r>
      <w:r w:rsidR="00D31175" w:rsidRPr="004C78D8">
        <w:t xml:space="preserve">several </w:t>
      </w:r>
      <w:r w:rsidR="00007706" w:rsidRPr="004C78D8">
        <w:t xml:space="preserve">covariates exerted statistically significant effects on receipt. Therefore, a multivariate risk equation for any informal care receipt was estimated from ELSA. Table </w:t>
      </w:r>
      <w:r w:rsidR="00E2580C" w:rsidRPr="004C78D8">
        <w:t>5</w:t>
      </w:r>
      <w:r w:rsidR="00E73FC0" w:rsidRPr="004C78D8">
        <w:t>.</w:t>
      </w:r>
      <w:r w:rsidR="00C44671" w:rsidRPr="004C78D8">
        <w:t>2</w:t>
      </w:r>
      <w:r w:rsidR="00C7697E" w:rsidRPr="004C78D8">
        <w:t>2</w:t>
      </w:r>
      <w:r w:rsidR="00007706" w:rsidRPr="004C78D8">
        <w:t xml:space="preserve"> shows the results from the best-fit model.</w:t>
      </w:r>
      <w:r w:rsidR="005B0FF0" w:rsidRPr="004C78D8">
        <w:t xml:space="preserve"> </w:t>
      </w:r>
      <w:r w:rsidR="00BD1095" w:rsidRPr="004C78D8">
        <w:t xml:space="preserve">Older </w:t>
      </w:r>
      <w:r w:rsidR="005B0FF0" w:rsidRPr="004C78D8">
        <w:t>and frailer individuals</w:t>
      </w:r>
      <w:r w:rsidR="00BD1095" w:rsidRPr="004C78D8">
        <w:t>, as well as women and the cognitively impaired,</w:t>
      </w:r>
      <w:r w:rsidR="005B0FF0" w:rsidRPr="004C78D8">
        <w:t xml:space="preserve"> were likelier to receive informal care, as were those with fear of falling and abnormal gait</w:t>
      </w:r>
      <w:r w:rsidR="001B4BB4" w:rsidRPr="004C78D8">
        <w:t>/</w:t>
      </w:r>
      <w:r w:rsidR="005B0FF0" w:rsidRPr="004C78D8">
        <w:t xml:space="preserve">balance. Those with high physical activity were less likely to require informal care. </w:t>
      </w:r>
      <w:r w:rsidR="00F103C6" w:rsidRPr="004C78D8">
        <w:t>T</w:t>
      </w:r>
      <w:r w:rsidR="00BD1095" w:rsidRPr="004C78D8">
        <w:t>here w</w:t>
      </w:r>
      <w:r w:rsidR="00F103C6" w:rsidRPr="004C78D8">
        <w:t>as</w:t>
      </w:r>
      <w:r w:rsidR="00BD1095" w:rsidRPr="004C78D8">
        <w:t xml:space="preserve"> </w:t>
      </w:r>
      <w:r w:rsidR="00F103C6" w:rsidRPr="004C78D8">
        <w:t xml:space="preserve">significant evidence that those receiving community healthcare </w:t>
      </w:r>
      <w:r w:rsidR="001B4BB4" w:rsidRPr="004C78D8">
        <w:t xml:space="preserve">(but not </w:t>
      </w:r>
      <w:r w:rsidR="00E44B92" w:rsidRPr="004C78D8">
        <w:t xml:space="preserve">other </w:t>
      </w:r>
      <w:r w:rsidR="001B4BB4" w:rsidRPr="004C78D8">
        <w:t xml:space="preserve">care types) </w:t>
      </w:r>
      <w:r w:rsidR="00F103C6" w:rsidRPr="004C78D8">
        <w:t xml:space="preserve">were likelier to receive informal care. </w:t>
      </w:r>
    </w:p>
    <w:tbl>
      <w:tblPr>
        <w:tblStyle w:val="TableGrid"/>
        <w:tblW w:w="0" w:type="auto"/>
        <w:tblInd w:w="-5" w:type="dxa"/>
        <w:tblLook w:val="04A0" w:firstRow="1" w:lastRow="0" w:firstColumn="1" w:lastColumn="0" w:noHBand="0" w:noVBand="1"/>
      </w:tblPr>
      <w:tblGrid>
        <w:gridCol w:w="2263"/>
        <w:gridCol w:w="1701"/>
        <w:gridCol w:w="1701"/>
      </w:tblGrid>
      <w:tr w:rsidR="0082062E" w:rsidRPr="004C78D8" w14:paraId="6F9495D4" w14:textId="77777777" w:rsidTr="00E35893">
        <w:tc>
          <w:tcPr>
            <w:tcW w:w="5665" w:type="dxa"/>
            <w:gridSpan w:val="3"/>
          </w:tcPr>
          <w:p w14:paraId="40BEB78E" w14:textId="01DB59BB" w:rsidR="0082062E" w:rsidRPr="004C78D8" w:rsidRDefault="0082062E" w:rsidP="00FB7C1F">
            <w:pPr>
              <w:jc w:val="left"/>
            </w:pPr>
            <w:r w:rsidRPr="004C78D8">
              <w:rPr>
                <w:b/>
                <w:bCs/>
              </w:rPr>
              <w:t xml:space="preserve">Table </w:t>
            </w:r>
            <w:r w:rsidR="00E2580C" w:rsidRPr="004C78D8">
              <w:rPr>
                <w:b/>
                <w:bCs/>
              </w:rPr>
              <w:t>5</w:t>
            </w:r>
            <w:r w:rsidR="00E73FC0" w:rsidRPr="004C78D8">
              <w:rPr>
                <w:b/>
                <w:bCs/>
              </w:rPr>
              <w:t>.</w:t>
            </w:r>
            <w:r w:rsidR="00C44671" w:rsidRPr="004C78D8">
              <w:rPr>
                <w:b/>
                <w:bCs/>
              </w:rPr>
              <w:t>2</w:t>
            </w:r>
            <w:r w:rsidR="00C7697E" w:rsidRPr="004C78D8">
              <w:rPr>
                <w:b/>
                <w:bCs/>
              </w:rPr>
              <w:t>2</w:t>
            </w:r>
            <w:r w:rsidRPr="004C78D8">
              <w:t xml:space="preserve"> Logistic regression coefficients for informal care receipt </w:t>
            </w:r>
            <w:r w:rsidR="001352E0" w:rsidRPr="004C78D8">
              <w:t>from</w:t>
            </w:r>
            <w:r w:rsidRPr="004C78D8">
              <w:t xml:space="preserve"> ELSA Wave</w:t>
            </w:r>
            <w:r w:rsidR="00982233" w:rsidRPr="004C78D8">
              <w:t>s</w:t>
            </w:r>
            <w:r w:rsidRPr="004C78D8">
              <w:t xml:space="preserve"> 4</w:t>
            </w:r>
            <w:r w:rsidR="00982233" w:rsidRPr="004C78D8">
              <w:t xml:space="preserve"> and 5</w:t>
            </w:r>
            <w:r w:rsidR="001352E0" w:rsidRPr="004C78D8">
              <w:t>.</w:t>
            </w:r>
          </w:p>
        </w:tc>
      </w:tr>
      <w:tr w:rsidR="0082062E" w:rsidRPr="004C78D8" w14:paraId="171E713B" w14:textId="77777777" w:rsidTr="00E35893">
        <w:tc>
          <w:tcPr>
            <w:tcW w:w="5665" w:type="dxa"/>
            <w:gridSpan w:val="3"/>
          </w:tcPr>
          <w:p w14:paraId="3244DEA7" w14:textId="36A8F1AD" w:rsidR="0082062E" w:rsidRPr="004C78D8" w:rsidRDefault="0082062E" w:rsidP="00FB7C1F">
            <w:pPr>
              <w:jc w:val="left"/>
              <w:rPr>
                <w:b/>
                <w:bCs/>
                <w:i/>
                <w:iCs/>
                <w:sz w:val="20"/>
                <w:szCs w:val="20"/>
              </w:rPr>
            </w:pPr>
            <w:r w:rsidRPr="004C78D8">
              <w:rPr>
                <w:b/>
                <w:bCs/>
                <w:i/>
                <w:iCs/>
                <w:sz w:val="20"/>
                <w:szCs w:val="20"/>
              </w:rPr>
              <w:t xml:space="preserve">Dependent variable: </w:t>
            </w:r>
            <w:r w:rsidR="00917EA1" w:rsidRPr="004C78D8">
              <w:rPr>
                <w:b/>
                <w:bCs/>
                <w:i/>
                <w:iCs/>
                <w:sz w:val="20"/>
                <w:szCs w:val="20"/>
              </w:rPr>
              <w:t>I</w:t>
            </w:r>
            <w:r w:rsidRPr="004C78D8">
              <w:rPr>
                <w:b/>
                <w:bCs/>
                <w:i/>
                <w:iCs/>
                <w:sz w:val="20"/>
                <w:szCs w:val="20"/>
              </w:rPr>
              <w:t>nformal care receipt (N=</w:t>
            </w:r>
            <w:r w:rsidR="00982233" w:rsidRPr="004C78D8">
              <w:rPr>
                <w:b/>
                <w:bCs/>
                <w:i/>
                <w:iCs/>
                <w:sz w:val="20"/>
                <w:szCs w:val="20"/>
              </w:rPr>
              <w:t>13</w:t>
            </w:r>
            <w:r w:rsidRPr="004C78D8">
              <w:rPr>
                <w:b/>
                <w:bCs/>
                <w:i/>
                <w:iCs/>
                <w:sz w:val="20"/>
                <w:szCs w:val="20"/>
              </w:rPr>
              <w:t>,</w:t>
            </w:r>
            <w:r w:rsidR="00982233" w:rsidRPr="004C78D8">
              <w:rPr>
                <w:b/>
                <w:bCs/>
                <w:i/>
                <w:iCs/>
                <w:sz w:val="20"/>
                <w:szCs w:val="20"/>
              </w:rPr>
              <w:t>422</w:t>
            </w:r>
            <w:r w:rsidRPr="004C78D8">
              <w:rPr>
                <w:b/>
                <w:bCs/>
                <w:i/>
                <w:iCs/>
                <w:sz w:val="20"/>
                <w:szCs w:val="20"/>
              </w:rPr>
              <w:t>)</w:t>
            </w:r>
          </w:p>
        </w:tc>
      </w:tr>
      <w:tr w:rsidR="0082062E" w:rsidRPr="004C78D8" w14:paraId="2F2F800A" w14:textId="77777777" w:rsidTr="00E35893">
        <w:tc>
          <w:tcPr>
            <w:tcW w:w="2263" w:type="dxa"/>
            <w:tcBorders>
              <w:bottom w:val="single" w:sz="4" w:space="0" w:color="auto"/>
            </w:tcBorders>
          </w:tcPr>
          <w:p w14:paraId="05EA9FA1" w14:textId="77777777" w:rsidR="0082062E" w:rsidRPr="004C78D8" w:rsidRDefault="0082062E" w:rsidP="00FB7C1F">
            <w:pPr>
              <w:rPr>
                <w:b/>
                <w:bCs/>
                <w:sz w:val="20"/>
                <w:szCs w:val="20"/>
              </w:rPr>
            </w:pPr>
            <w:r w:rsidRPr="004C78D8">
              <w:rPr>
                <w:b/>
                <w:bCs/>
                <w:sz w:val="20"/>
                <w:szCs w:val="20"/>
              </w:rPr>
              <w:t>Explanatory variables</w:t>
            </w:r>
          </w:p>
        </w:tc>
        <w:tc>
          <w:tcPr>
            <w:tcW w:w="1701" w:type="dxa"/>
            <w:tcBorders>
              <w:bottom w:val="single" w:sz="4" w:space="0" w:color="auto"/>
            </w:tcBorders>
          </w:tcPr>
          <w:p w14:paraId="14FAAA00" w14:textId="77777777" w:rsidR="0082062E" w:rsidRPr="004C78D8" w:rsidRDefault="0082062E" w:rsidP="00FB7C1F">
            <w:pPr>
              <w:jc w:val="center"/>
              <w:rPr>
                <w:b/>
                <w:bCs/>
                <w:sz w:val="20"/>
                <w:szCs w:val="20"/>
              </w:rPr>
            </w:pPr>
            <w:r w:rsidRPr="004C78D8">
              <w:rPr>
                <w:b/>
                <w:bCs/>
                <w:sz w:val="20"/>
                <w:szCs w:val="20"/>
              </w:rPr>
              <w:t>Coefficient (SE)</w:t>
            </w:r>
          </w:p>
        </w:tc>
        <w:tc>
          <w:tcPr>
            <w:tcW w:w="1701" w:type="dxa"/>
            <w:tcBorders>
              <w:bottom w:val="single" w:sz="4" w:space="0" w:color="auto"/>
            </w:tcBorders>
          </w:tcPr>
          <w:p w14:paraId="6F58728D" w14:textId="77777777" w:rsidR="0082062E" w:rsidRPr="004C78D8" w:rsidRDefault="0082062E" w:rsidP="00FB7C1F">
            <w:pPr>
              <w:jc w:val="center"/>
              <w:rPr>
                <w:b/>
                <w:bCs/>
                <w:sz w:val="20"/>
                <w:szCs w:val="20"/>
              </w:rPr>
            </w:pPr>
            <w:r w:rsidRPr="004C78D8">
              <w:rPr>
                <w:b/>
                <w:bCs/>
                <w:sz w:val="20"/>
                <w:szCs w:val="20"/>
              </w:rPr>
              <w:t>P-value</w:t>
            </w:r>
          </w:p>
        </w:tc>
      </w:tr>
      <w:tr w:rsidR="0082062E" w:rsidRPr="004C78D8" w14:paraId="372A6DCD" w14:textId="77777777" w:rsidTr="00E35893">
        <w:tc>
          <w:tcPr>
            <w:tcW w:w="2263" w:type="dxa"/>
            <w:tcBorders>
              <w:bottom w:val="nil"/>
            </w:tcBorders>
          </w:tcPr>
          <w:p w14:paraId="4C4FBA00" w14:textId="77777777" w:rsidR="0082062E" w:rsidRPr="004C78D8" w:rsidRDefault="0082062E" w:rsidP="00FB7C1F">
            <w:pPr>
              <w:rPr>
                <w:sz w:val="18"/>
                <w:szCs w:val="18"/>
              </w:rPr>
            </w:pPr>
            <w:r w:rsidRPr="004C78D8">
              <w:rPr>
                <w:sz w:val="18"/>
                <w:szCs w:val="18"/>
              </w:rPr>
              <w:t>Constant</w:t>
            </w:r>
          </w:p>
        </w:tc>
        <w:tc>
          <w:tcPr>
            <w:tcW w:w="1701" w:type="dxa"/>
            <w:tcBorders>
              <w:bottom w:val="nil"/>
            </w:tcBorders>
          </w:tcPr>
          <w:p w14:paraId="299F7EF3" w14:textId="27198AAF" w:rsidR="0082062E" w:rsidRPr="004C78D8" w:rsidRDefault="0082062E" w:rsidP="00FB7C1F">
            <w:pPr>
              <w:jc w:val="center"/>
              <w:rPr>
                <w:sz w:val="18"/>
                <w:szCs w:val="18"/>
              </w:rPr>
            </w:pPr>
            <w:r w:rsidRPr="004C78D8">
              <w:rPr>
                <w:sz w:val="18"/>
                <w:szCs w:val="18"/>
              </w:rPr>
              <w:t>-</w:t>
            </w:r>
            <w:r w:rsidR="005C35A8" w:rsidRPr="004C78D8">
              <w:rPr>
                <w:sz w:val="18"/>
                <w:szCs w:val="18"/>
              </w:rPr>
              <w:t>3.</w:t>
            </w:r>
            <w:r w:rsidR="00BD1095" w:rsidRPr="004C78D8">
              <w:rPr>
                <w:sz w:val="18"/>
                <w:szCs w:val="18"/>
              </w:rPr>
              <w:t>299</w:t>
            </w:r>
            <w:r w:rsidRPr="004C78D8">
              <w:rPr>
                <w:sz w:val="18"/>
                <w:szCs w:val="18"/>
              </w:rPr>
              <w:t xml:space="preserve"> (</w:t>
            </w:r>
            <w:r w:rsidR="00007706" w:rsidRPr="004C78D8">
              <w:rPr>
                <w:sz w:val="18"/>
                <w:szCs w:val="18"/>
              </w:rPr>
              <w:t>0</w:t>
            </w:r>
            <w:r w:rsidRPr="004C78D8">
              <w:rPr>
                <w:sz w:val="18"/>
                <w:szCs w:val="18"/>
              </w:rPr>
              <w:t>.</w:t>
            </w:r>
            <w:r w:rsidR="005C35A8" w:rsidRPr="004C78D8">
              <w:rPr>
                <w:sz w:val="18"/>
                <w:szCs w:val="18"/>
              </w:rPr>
              <w:t>24</w:t>
            </w:r>
            <w:r w:rsidR="00BD1095" w:rsidRPr="004C78D8">
              <w:rPr>
                <w:sz w:val="18"/>
                <w:szCs w:val="18"/>
              </w:rPr>
              <w:t>3</w:t>
            </w:r>
            <w:r w:rsidRPr="004C78D8">
              <w:rPr>
                <w:sz w:val="18"/>
                <w:szCs w:val="18"/>
              </w:rPr>
              <w:t>)</w:t>
            </w:r>
          </w:p>
        </w:tc>
        <w:tc>
          <w:tcPr>
            <w:tcW w:w="1701" w:type="dxa"/>
            <w:tcBorders>
              <w:bottom w:val="nil"/>
            </w:tcBorders>
          </w:tcPr>
          <w:p w14:paraId="66D5E7CC" w14:textId="77777777" w:rsidR="0082062E" w:rsidRPr="004C78D8" w:rsidRDefault="0082062E" w:rsidP="00FB7C1F">
            <w:pPr>
              <w:jc w:val="center"/>
              <w:rPr>
                <w:sz w:val="18"/>
                <w:szCs w:val="18"/>
              </w:rPr>
            </w:pPr>
            <w:r w:rsidRPr="004C78D8">
              <w:rPr>
                <w:sz w:val="18"/>
                <w:szCs w:val="18"/>
              </w:rPr>
              <w:t>&lt;0.001</w:t>
            </w:r>
          </w:p>
        </w:tc>
      </w:tr>
      <w:tr w:rsidR="005C35A8" w:rsidRPr="004C78D8" w14:paraId="3632C88A" w14:textId="77777777" w:rsidTr="00E35893">
        <w:tc>
          <w:tcPr>
            <w:tcW w:w="2263" w:type="dxa"/>
            <w:tcBorders>
              <w:top w:val="nil"/>
              <w:bottom w:val="nil"/>
            </w:tcBorders>
          </w:tcPr>
          <w:p w14:paraId="413A98E7" w14:textId="7D394321" w:rsidR="005C35A8" w:rsidRPr="004C78D8" w:rsidRDefault="005C35A8" w:rsidP="00FB7C1F">
            <w:pPr>
              <w:rPr>
                <w:sz w:val="18"/>
                <w:szCs w:val="18"/>
              </w:rPr>
            </w:pPr>
            <w:r w:rsidRPr="004C78D8">
              <w:rPr>
                <w:sz w:val="18"/>
                <w:szCs w:val="18"/>
              </w:rPr>
              <w:t>Age</w:t>
            </w:r>
          </w:p>
        </w:tc>
        <w:tc>
          <w:tcPr>
            <w:tcW w:w="1701" w:type="dxa"/>
            <w:tcBorders>
              <w:top w:val="nil"/>
              <w:bottom w:val="nil"/>
            </w:tcBorders>
          </w:tcPr>
          <w:p w14:paraId="0008AB6A" w14:textId="451C22B4" w:rsidR="005C35A8" w:rsidRPr="004C78D8" w:rsidRDefault="005C35A8" w:rsidP="00FB7C1F">
            <w:pPr>
              <w:jc w:val="center"/>
              <w:rPr>
                <w:sz w:val="18"/>
                <w:szCs w:val="18"/>
              </w:rPr>
            </w:pPr>
            <w:r w:rsidRPr="004C78D8">
              <w:rPr>
                <w:sz w:val="18"/>
                <w:szCs w:val="18"/>
              </w:rPr>
              <w:t>-0.01</w:t>
            </w:r>
            <w:r w:rsidR="00BD1095" w:rsidRPr="004C78D8">
              <w:rPr>
                <w:sz w:val="18"/>
                <w:szCs w:val="18"/>
              </w:rPr>
              <w:t>5</w:t>
            </w:r>
            <w:r w:rsidRPr="004C78D8">
              <w:rPr>
                <w:sz w:val="18"/>
                <w:szCs w:val="18"/>
              </w:rPr>
              <w:t xml:space="preserve"> (0.003)</w:t>
            </w:r>
          </w:p>
        </w:tc>
        <w:tc>
          <w:tcPr>
            <w:tcW w:w="1701" w:type="dxa"/>
            <w:tcBorders>
              <w:top w:val="nil"/>
              <w:bottom w:val="nil"/>
            </w:tcBorders>
          </w:tcPr>
          <w:p w14:paraId="67A4BEA6" w14:textId="64E054D1" w:rsidR="005C35A8" w:rsidRPr="004C78D8" w:rsidRDefault="005C35A8" w:rsidP="00FB7C1F">
            <w:pPr>
              <w:jc w:val="center"/>
              <w:rPr>
                <w:sz w:val="18"/>
                <w:szCs w:val="18"/>
              </w:rPr>
            </w:pPr>
            <w:r w:rsidRPr="004C78D8">
              <w:rPr>
                <w:sz w:val="18"/>
                <w:szCs w:val="18"/>
              </w:rPr>
              <w:t>&lt;0.001</w:t>
            </w:r>
          </w:p>
        </w:tc>
      </w:tr>
      <w:tr w:rsidR="0082062E" w:rsidRPr="004C78D8" w14:paraId="1E9C29A0" w14:textId="77777777" w:rsidTr="00E35893">
        <w:tc>
          <w:tcPr>
            <w:tcW w:w="2263" w:type="dxa"/>
            <w:tcBorders>
              <w:top w:val="nil"/>
              <w:bottom w:val="nil"/>
            </w:tcBorders>
          </w:tcPr>
          <w:p w14:paraId="71F5725D" w14:textId="77777777" w:rsidR="0082062E" w:rsidRPr="004C78D8" w:rsidRDefault="0082062E" w:rsidP="00FB7C1F">
            <w:pPr>
              <w:rPr>
                <w:sz w:val="18"/>
                <w:szCs w:val="18"/>
              </w:rPr>
            </w:pPr>
            <w:r w:rsidRPr="004C78D8">
              <w:rPr>
                <w:sz w:val="18"/>
                <w:szCs w:val="18"/>
              </w:rPr>
              <w:t>Female</w:t>
            </w:r>
          </w:p>
        </w:tc>
        <w:tc>
          <w:tcPr>
            <w:tcW w:w="1701" w:type="dxa"/>
            <w:tcBorders>
              <w:top w:val="nil"/>
              <w:bottom w:val="nil"/>
            </w:tcBorders>
          </w:tcPr>
          <w:p w14:paraId="7031453B" w14:textId="391F6E5A" w:rsidR="0082062E" w:rsidRPr="004C78D8" w:rsidRDefault="0082062E" w:rsidP="00FB7C1F">
            <w:pPr>
              <w:jc w:val="center"/>
              <w:rPr>
                <w:sz w:val="18"/>
                <w:szCs w:val="18"/>
              </w:rPr>
            </w:pPr>
            <w:r w:rsidRPr="004C78D8">
              <w:rPr>
                <w:sz w:val="18"/>
                <w:szCs w:val="18"/>
              </w:rPr>
              <w:t>0.</w:t>
            </w:r>
            <w:r w:rsidR="00007706" w:rsidRPr="004C78D8">
              <w:rPr>
                <w:sz w:val="18"/>
                <w:szCs w:val="18"/>
              </w:rPr>
              <w:t>3</w:t>
            </w:r>
            <w:r w:rsidR="00BD1095" w:rsidRPr="004C78D8">
              <w:rPr>
                <w:sz w:val="18"/>
                <w:szCs w:val="18"/>
              </w:rPr>
              <w:t>88</w:t>
            </w:r>
            <w:r w:rsidRPr="004C78D8">
              <w:rPr>
                <w:sz w:val="18"/>
                <w:szCs w:val="18"/>
              </w:rPr>
              <w:t xml:space="preserve"> (0.0</w:t>
            </w:r>
            <w:r w:rsidR="005C35A8" w:rsidRPr="004C78D8">
              <w:rPr>
                <w:sz w:val="18"/>
                <w:szCs w:val="18"/>
              </w:rPr>
              <w:t>50</w:t>
            </w:r>
            <w:r w:rsidRPr="004C78D8">
              <w:rPr>
                <w:sz w:val="18"/>
                <w:szCs w:val="18"/>
              </w:rPr>
              <w:t>)</w:t>
            </w:r>
          </w:p>
        </w:tc>
        <w:tc>
          <w:tcPr>
            <w:tcW w:w="1701" w:type="dxa"/>
            <w:tcBorders>
              <w:top w:val="nil"/>
              <w:bottom w:val="nil"/>
            </w:tcBorders>
          </w:tcPr>
          <w:p w14:paraId="2D39D48E" w14:textId="77777777" w:rsidR="0082062E" w:rsidRPr="004C78D8" w:rsidRDefault="0082062E" w:rsidP="00FB7C1F">
            <w:pPr>
              <w:jc w:val="center"/>
              <w:rPr>
                <w:sz w:val="18"/>
                <w:szCs w:val="18"/>
              </w:rPr>
            </w:pPr>
            <w:r w:rsidRPr="004C78D8">
              <w:rPr>
                <w:sz w:val="18"/>
                <w:szCs w:val="18"/>
              </w:rPr>
              <w:t>&lt;0.001</w:t>
            </w:r>
          </w:p>
        </w:tc>
      </w:tr>
      <w:tr w:rsidR="0082062E" w:rsidRPr="004C78D8" w14:paraId="72630FAD" w14:textId="77777777" w:rsidTr="00E35893">
        <w:tc>
          <w:tcPr>
            <w:tcW w:w="2263" w:type="dxa"/>
            <w:tcBorders>
              <w:top w:val="nil"/>
              <w:bottom w:val="nil"/>
            </w:tcBorders>
          </w:tcPr>
          <w:p w14:paraId="76AFFA5B" w14:textId="77777777" w:rsidR="0082062E" w:rsidRPr="004C78D8" w:rsidRDefault="0082062E" w:rsidP="00FB7C1F">
            <w:pPr>
              <w:rPr>
                <w:sz w:val="18"/>
                <w:szCs w:val="18"/>
              </w:rPr>
            </w:pPr>
            <w:r w:rsidRPr="004C78D8">
              <w:rPr>
                <w:sz w:val="18"/>
                <w:szCs w:val="18"/>
              </w:rPr>
              <w:t>Frailty (0-100)</w:t>
            </w:r>
          </w:p>
        </w:tc>
        <w:tc>
          <w:tcPr>
            <w:tcW w:w="1701" w:type="dxa"/>
            <w:tcBorders>
              <w:top w:val="nil"/>
              <w:bottom w:val="nil"/>
            </w:tcBorders>
          </w:tcPr>
          <w:p w14:paraId="58246FA4" w14:textId="6F7025E9" w:rsidR="0082062E" w:rsidRPr="004C78D8" w:rsidRDefault="0082062E" w:rsidP="00FB7C1F">
            <w:pPr>
              <w:jc w:val="center"/>
              <w:rPr>
                <w:sz w:val="18"/>
                <w:szCs w:val="18"/>
              </w:rPr>
            </w:pPr>
            <w:r w:rsidRPr="004C78D8">
              <w:rPr>
                <w:sz w:val="18"/>
                <w:szCs w:val="18"/>
              </w:rPr>
              <w:t>0.</w:t>
            </w:r>
            <w:r w:rsidR="00007706" w:rsidRPr="004C78D8">
              <w:rPr>
                <w:sz w:val="18"/>
                <w:szCs w:val="18"/>
              </w:rPr>
              <w:t>2</w:t>
            </w:r>
            <w:r w:rsidR="005C35A8" w:rsidRPr="004C78D8">
              <w:rPr>
                <w:sz w:val="18"/>
                <w:szCs w:val="18"/>
              </w:rPr>
              <w:t>05</w:t>
            </w:r>
            <w:r w:rsidRPr="004C78D8">
              <w:rPr>
                <w:sz w:val="18"/>
                <w:szCs w:val="18"/>
              </w:rPr>
              <w:t xml:space="preserve"> (0.0</w:t>
            </w:r>
            <w:r w:rsidR="005C35A8" w:rsidRPr="004C78D8">
              <w:rPr>
                <w:sz w:val="18"/>
                <w:szCs w:val="18"/>
              </w:rPr>
              <w:t>09</w:t>
            </w:r>
            <w:r w:rsidRPr="004C78D8">
              <w:rPr>
                <w:sz w:val="18"/>
                <w:szCs w:val="18"/>
              </w:rPr>
              <w:t>)</w:t>
            </w:r>
          </w:p>
        </w:tc>
        <w:tc>
          <w:tcPr>
            <w:tcW w:w="1701" w:type="dxa"/>
            <w:tcBorders>
              <w:top w:val="nil"/>
              <w:bottom w:val="nil"/>
            </w:tcBorders>
          </w:tcPr>
          <w:p w14:paraId="08DBC6B7" w14:textId="56C5CF79" w:rsidR="0082062E" w:rsidRPr="004C78D8" w:rsidRDefault="00007706" w:rsidP="00FB7C1F">
            <w:pPr>
              <w:jc w:val="center"/>
              <w:rPr>
                <w:sz w:val="18"/>
                <w:szCs w:val="18"/>
              </w:rPr>
            </w:pPr>
            <w:r w:rsidRPr="004C78D8">
              <w:rPr>
                <w:sz w:val="18"/>
                <w:szCs w:val="18"/>
              </w:rPr>
              <w:t>&lt;0.001</w:t>
            </w:r>
          </w:p>
        </w:tc>
      </w:tr>
      <w:tr w:rsidR="0082062E" w:rsidRPr="004C78D8" w14:paraId="15AA0A19" w14:textId="77777777" w:rsidTr="00E35893">
        <w:tc>
          <w:tcPr>
            <w:tcW w:w="2263" w:type="dxa"/>
            <w:tcBorders>
              <w:top w:val="nil"/>
              <w:bottom w:val="nil"/>
            </w:tcBorders>
          </w:tcPr>
          <w:p w14:paraId="5D5D5EB3" w14:textId="77777777" w:rsidR="0082062E" w:rsidRPr="004C78D8" w:rsidRDefault="0082062E" w:rsidP="00FB7C1F">
            <w:pPr>
              <w:rPr>
                <w:sz w:val="18"/>
                <w:szCs w:val="18"/>
              </w:rPr>
            </w:pPr>
            <w:r w:rsidRPr="004C78D8">
              <w:rPr>
                <w:sz w:val="18"/>
                <w:szCs w:val="18"/>
              </w:rPr>
              <w:t>Frailty^2</w:t>
            </w:r>
          </w:p>
        </w:tc>
        <w:tc>
          <w:tcPr>
            <w:tcW w:w="1701" w:type="dxa"/>
            <w:tcBorders>
              <w:top w:val="nil"/>
              <w:bottom w:val="nil"/>
            </w:tcBorders>
          </w:tcPr>
          <w:p w14:paraId="6206E6CC" w14:textId="7B3FA1B7" w:rsidR="0082062E" w:rsidRPr="004C78D8" w:rsidRDefault="0082062E" w:rsidP="00FB7C1F">
            <w:pPr>
              <w:jc w:val="center"/>
              <w:rPr>
                <w:sz w:val="18"/>
                <w:szCs w:val="18"/>
              </w:rPr>
            </w:pPr>
            <w:r w:rsidRPr="004C78D8">
              <w:rPr>
                <w:sz w:val="18"/>
                <w:szCs w:val="18"/>
              </w:rPr>
              <w:t>-0.00</w:t>
            </w:r>
            <w:r w:rsidR="00007706" w:rsidRPr="004C78D8">
              <w:rPr>
                <w:sz w:val="18"/>
                <w:szCs w:val="18"/>
              </w:rPr>
              <w:t>2</w:t>
            </w:r>
            <w:r w:rsidRPr="004C78D8">
              <w:rPr>
                <w:sz w:val="18"/>
                <w:szCs w:val="18"/>
              </w:rPr>
              <w:t xml:space="preserve"> (0.000</w:t>
            </w:r>
            <w:r w:rsidR="005C35A8" w:rsidRPr="004C78D8">
              <w:rPr>
                <w:sz w:val="18"/>
                <w:szCs w:val="18"/>
              </w:rPr>
              <w:t>2</w:t>
            </w:r>
            <w:r w:rsidRPr="004C78D8">
              <w:rPr>
                <w:sz w:val="18"/>
                <w:szCs w:val="18"/>
              </w:rPr>
              <w:t>)</w:t>
            </w:r>
          </w:p>
        </w:tc>
        <w:tc>
          <w:tcPr>
            <w:tcW w:w="1701" w:type="dxa"/>
            <w:tcBorders>
              <w:top w:val="nil"/>
              <w:bottom w:val="nil"/>
            </w:tcBorders>
          </w:tcPr>
          <w:p w14:paraId="3DD0FDEC" w14:textId="77777777" w:rsidR="0082062E" w:rsidRPr="004C78D8" w:rsidRDefault="0082062E" w:rsidP="00FB7C1F">
            <w:pPr>
              <w:jc w:val="center"/>
              <w:rPr>
                <w:sz w:val="18"/>
                <w:szCs w:val="18"/>
              </w:rPr>
            </w:pPr>
            <w:r w:rsidRPr="004C78D8">
              <w:rPr>
                <w:sz w:val="18"/>
                <w:szCs w:val="18"/>
              </w:rPr>
              <w:t>&lt;0.001</w:t>
            </w:r>
          </w:p>
        </w:tc>
      </w:tr>
      <w:tr w:rsidR="00007706" w:rsidRPr="004C78D8" w14:paraId="1356BAEA" w14:textId="77777777" w:rsidTr="00E35893">
        <w:tc>
          <w:tcPr>
            <w:tcW w:w="2263" w:type="dxa"/>
            <w:tcBorders>
              <w:top w:val="nil"/>
              <w:bottom w:val="nil"/>
            </w:tcBorders>
          </w:tcPr>
          <w:p w14:paraId="51465D1D" w14:textId="7C013ED4" w:rsidR="00007706" w:rsidRPr="004C78D8" w:rsidRDefault="00007706" w:rsidP="00FB7C1F">
            <w:pPr>
              <w:rPr>
                <w:sz w:val="18"/>
                <w:szCs w:val="18"/>
              </w:rPr>
            </w:pPr>
            <w:r w:rsidRPr="004C78D8">
              <w:rPr>
                <w:sz w:val="18"/>
                <w:szCs w:val="18"/>
              </w:rPr>
              <w:t>High physical activity</w:t>
            </w:r>
          </w:p>
        </w:tc>
        <w:tc>
          <w:tcPr>
            <w:tcW w:w="1701" w:type="dxa"/>
            <w:tcBorders>
              <w:top w:val="nil"/>
              <w:bottom w:val="nil"/>
            </w:tcBorders>
          </w:tcPr>
          <w:p w14:paraId="136F0950" w14:textId="7AA2293A" w:rsidR="00007706" w:rsidRPr="004C78D8" w:rsidRDefault="00007706" w:rsidP="00FB7C1F">
            <w:pPr>
              <w:jc w:val="center"/>
              <w:rPr>
                <w:sz w:val="18"/>
                <w:szCs w:val="18"/>
              </w:rPr>
            </w:pPr>
            <w:r w:rsidRPr="004C78D8">
              <w:rPr>
                <w:sz w:val="18"/>
                <w:szCs w:val="18"/>
              </w:rPr>
              <w:t>-0.</w:t>
            </w:r>
            <w:r w:rsidR="005C35A8" w:rsidRPr="004C78D8">
              <w:rPr>
                <w:sz w:val="18"/>
                <w:szCs w:val="18"/>
              </w:rPr>
              <w:t>43</w:t>
            </w:r>
            <w:r w:rsidR="00BD1095" w:rsidRPr="004C78D8">
              <w:rPr>
                <w:sz w:val="18"/>
                <w:szCs w:val="18"/>
              </w:rPr>
              <w:t>2</w:t>
            </w:r>
            <w:r w:rsidRPr="004C78D8">
              <w:rPr>
                <w:sz w:val="18"/>
                <w:szCs w:val="18"/>
              </w:rPr>
              <w:t xml:space="preserve"> (0.</w:t>
            </w:r>
            <w:r w:rsidR="005C35A8" w:rsidRPr="004C78D8">
              <w:rPr>
                <w:sz w:val="18"/>
                <w:szCs w:val="18"/>
              </w:rPr>
              <w:t>087</w:t>
            </w:r>
            <w:r w:rsidRPr="004C78D8">
              <w:rPr>
                <w:sz w:val="18"/>
                <w:szCs w:val="18"/>
              </w:rPr>
              <w:t>)</w:t>
            </w:r>
          </w:p>
        </w:tc>
        <w:tc>
          <w:tcPr>
            <w:tcW w:w="1701" w:type="dxa"/>
            <w:tcBorders>
              <w:top w:val="nil"/>
              <w:bottom w:val="nil"/>
            </w:tcBorders>
          </w:tcPr>
          <w:p w14:paraId="25C50B7F" w14:textId="00D3DAE9" w:rsidR="00007706" w:rsidRPr="004C78D8" w:rsidRDefault="005C35A8" w:rsidP="00FB7C1F">
            <w:pPr>
              <w:jc w:val="center"/>
              <w:rPr>
                <w:sz w:val="18"/>
                <w:szCs w:val="18"/>
              </w:rPr>
            </w:pPr>
            <w:r w:rsidRPr="004C78D8">
              <w:rPr>
                <w:sz w:val="18"/>
                <w:szCs w:val="18"/>
              </w:rPr>
              <w:t>&lt;0.001</w:t>
            </w:r>
          </w:p>
        </w:tc>
      </w:tr>
      <w:tr w:rsidR="005C35A8" w:rsidRPr="004C78D8" w14:paraId="340028C1" w14:textId="77777777" w:rsidTr="00E35893">
        <w:tc>
          <w:tcPr>
            <w:tcW w:w="2263" w:type="dxa"/>
            <w:tcBorders>
              <w:top w:val="nil"/>
              <w:bottom w:val="nil"/>
            </w:tcBorders>
          </w:tcPr>
          <w:p w14:paraId="2ED32B26" w14:textId="56F41100" w:rsidR="005C35A8" w:rsidRPr="004C78D8" w:rsidRDefault="005C35A8" w:rsidP="00FB7C1F">
            <w:pPr>
              <w:rPr>
                <w:sz w:val="18"/>
                <w:szCs w:val="18"/>
              </w:rPr>
            </w:pPr>
            <w:r w:rsidRPr="004C78D8">
              <w:rPr>
                <w:sz w:val="18"/>
                <w:szCs w:val="18"/>
              </w:rPr>
              <w:t>Cognitive impairment</w:t>
            </w:r>
          </w:p>
        </w:tc>
        <w:tc>
          <w:tcPr>
            <w:tcW w:w="1701" w:type="dxa"/>
            <w:tcBorders>
              <w:top w:val="nil"/>
              <w:bottom w:val="nil"/>
            </w:tcBorders>
          </w:tcPr>
          <w:p w14:paraId="762B1AC2" w14:textId="64BC6F26" w:rsidR="005C35A8" w:rsidRPr="004C78D8" w:rsidRDefault="005C35A8" w:rsidP="00FB7C1F">
            <w:pPr>
              <w:jc w:val="center"/>
              <w:rPr>
                <w:sz w:val="18"/>
                <w:szCs w:val="18"/>
              </w:rPr>
            </w:pPr>
            <w:r w:rsidRPr="004C78D8">
              <w:rPr>
                <w:sz w:val="18"/>
                <w:szCs w:val="18"/>
              </w:rPr>
              <w:t>0.</w:t>
            </w:r>
            <w:r w:rsidR="00BD1095" w:rsidRPr="004C78D8">
              <w:rPr>
                <w:sz w:val="18"/>
                <w:szCs w:val="18"/>
              </w:rPr>
              <w:t>401</w:t>
            </w:r>
            <w:r w:rsidRPr="004C78D8">
              <w:rPr>
                <w:sz w:val="18"/>
                <w:szCs w:val="18"/>
              </w:rPr>
              <w:t xml:space="preserve"> (0.058)</w:t>
            </w:r>
          </w:p>
        </w:tc>
        <w:tc>
          <w:tcPr>
            <w:tcW w:w="1701" w:type="dxa"/>
            <w:tcBorders>
              <w:top w:val="nil"/>
              <w:bottom w:val="nil"/>
            </w:tcBorders>
          </w:tcPr>
          <w:p w14:paraId="6EAE6907" w14:textId="67EA5B82" w:rsidR="005C35A8" w:rsidRPr="004C78D8" w:rsidRDefault="005C35A8" w:rsidP="00FB7C1F">
            <w:pPr>
              <w:jc w:val="center"/>
              <w:rPr>
                <w:sz w:val="18"/>
                <w:szCs w:val="18"/>
              </w:rPr>
            </w:pPr>
            <w:r w:rsidRPr="004C78D8">
              <w:rPr>
                <w:sz w:val="18"/>
                <w:szCs w:val="18"/>
              </w:rPr>
              <w:t>&lt;0.001</w:t>
            </w:r>
          </w:p>
        </w:tc>
      </w:tr>
      <w:tr w:rsidR="00007706" w:rsidRPr="004C78D8" w14:paraId="0DA34A2B" w14:textId="77777777" w:rsidTr="00E35893">
        <w:tc>
          <w:tcPr>
            <w:tcW w:w="2263" w:type="dxa"/>
            <w:tcBorders>
              <w:top w:val="nil"/>
              <w:bottom w:val="nil"/>
            </w:tcBorders>
          </w:tcPr>
          <w:p w14:paraId="43DB3CDA" w14:textId="1CDED145" w:rsidR="00007706" w:rsidRPr="004C78D8" w:rsidRDefault="00007706" w:rsidP="00FB7C1F">
            <w:pPr>
              <w:rPr>
                <w:sz w:val="18"/>
                <w:szCs w:val="18"/>
              </w:rPr>
            </w:pPr>
            <w:r w:rsidRPr="004C78D8">
              <w:rPr>
                <w:sz w:val="18"/>
                <w:szCs w:val="18"/>
              </w:rPr>
              <w:t>Fear of falling</w:t>
            </w:r>
          </w:p>
        </w:tc>
        <w:tc>
          <w:tcPr>
            <w:tcW w:w="1701" w:type="dxa"/>
            <w:tcBorders>
              <w:top w:val="nil"/>
              <w:bottom w:val="nil"/>
            </w:tcBorders>
          </w:tcPr>
          <w:p w14:paraId="4CBA4C20" w14:textId="3C836269" w:rsidR="00007706" w:rsidRPr="004C78D8" w:rsidRDefault="00007706" w:rsidP="00FB7C1F">
            <w:pPr>
              <w:jc w:val="center"/>
              <w:rPr>
                <w:sz w:val="18"/>
                <w:szCs w:val="18"/>
              </w:rPr>
            </w:pPr>
            <w:r w:rsidRPr="004C78D8">
              <w:rPr>
                <w:sz w:val="18"/>
                <w:szCs w:val="18"/>
              </w:rPr>
              <w:t>0.</w:t>
            </w:r>
            <w:r w:rsidR="005C35A8" w:rsidRPr="004C78D8">
              <w:rPr>
                <w:sz w:val="18"/>
                <w:szCs w:val="18"/>
              </w:rPr>
              <w:t>40</w:t>
            </w:r>
            <w:r w:rsidR="00BD1095" w:rsidRPr="004C78D8">
              <w:rPr>
                <w:sz w:val="18"/>
                <w:szCs w:val="18"/>
              </w:rPr>
              <w:t>5</w:t>
            </w:r>
            <w:r w:rsidRPr="004C78D8">
              <w:rPr>
                <w:sz w:val="18"/>
                <w:szCs w:val="18"/>
              </w:rPr>
              <w:t xml:space="preserve"> (0.</w:t>
            </w:r>
            <w:r w:rsidR="005C35A8" w:rsidRPr="004C78D8">
              <w:rPr>
                <w:sz w:val="18"/>
                <w:szCs w:val="18"/>
              </w:rPr>
              <w:t>086</w:t>
            </w:r>
            <w:r w:rsidRPr="004C78D8">
              <w:rPr>
                <w:sz w:val="18"/>
                <w:szCs w:val="18"/>
              </w:rPr>
              <w:t>)</w:t>
            </w:r>
          </w:p>
        </w:tc>
        <w:tc>
          <w:tcPr>
            <w:tcW w:w="1701" w:type="dxa"/>
            <w:tcBorders>
              <w:top w:val="nil"/>
              <w:bottom w:val="nil"/>
            </w:tcBorders>
          </w:tcPr>
          <w:p w14:paraId="22075060" w14:textId="300FB51C" w:rsidR="00007706" w:rsidRPr="004C78D8" w:rsidRDefault="00007706" w:rsidP="00FB7C1F">
            <w:pPr>
              <w:jc w:val="center"/>
              <w:rPr>
                <w:sz w:val="18"/>
                <w:szCs w:val="18"/>
              </w:rPr>
            </w:pPr>
            <w:r w:rsidRPr="004C78D8">
              <w:rPr>
                <w:sz w:val="18"/>
                <w:szCs w:val="18"/>
              </w:rPr>
              <w:t>&lt;0.001</w:t>
            </w:r>
          </w:p>
        </w:tc>
      </w:tr>
      <w:tr w:rsidR="005C35A8" w:rsidRPr="004C78D8" w14:paraId="4677E801" w14:textId="77777777" w:rsidTr="00E35893">
        <w:tc>
          <w:tcPr>
            <w:tcW w:w="2263" w:type="dxa"/>
            <w:tcBorders>
              <w:top w:val="nil"/>
              <w:bottom w:val="nil"/>
            </w:tcBorders>
          </w:tcPr>
          <w:p w14:paraId="24EF889F" w14:textId="282CE1B3" w:rsidR="005C35A8" w:rsidRPr="004C78D8" w:rsidRDefault="005C35A8" w:rsidP="00FB7C1F">
            <w:pPr>
              <w:rPr>
                <w:sz w:val="18"/>
                <w:szCs w:val="18"/>
              </w:rPr>
            </w:pPr>
            <w:r w:rsidRPr="004C78D8">
              <w:rPr>
                <w:sz w:val="18"/>
                <w:szCs w:val="18"/>
              </w:rPr>
              <w:t>Abnormal gait/balance</w:t>
            </w:r>
          </w:p>
        </w:tc>
        <w:tc>
          <w:tcPr>
            <w:tcW w:w="1701" w:type="dxa"/>
            <w:tcBorders>
              <w:top w:val="nil"/>
              <w:bottom w:val="nil"/>
            </w:tcBorders>
          </w:tcPr>
          <w:p w14:paraId="145910A9" w14:textId="51EFD6D5" w:rsidR="005C35A8" w:rsidRPr="004C78D8" w:rsidRDefault="005C35A8" w:rsidP="00FB7C1F">
            <w:pPr>
              <w:jc w:val="center"/>
              <w:rPr>
                <w:sz w:val="18"/>
                <w:szCs w:val="18"/>
              </w:rPr>
            </w:pPr>
            <w:r w:rsidRPr="004C78D8">
              <w:rPr>
                <w:sz w:val="18"/>
                <w:szCs w:val="18"/>
              </w:rPr>
              <w:t>0.33</w:t>
            </w:r>
            <w:r w:rsidR="00BD1095" w:rsidRPr="004C78D8">
              <w:rPr>
                <w:sz w:val="18"/>
                <w:szCs w:val="18"/>
              </w:rPr>
              <w:t>0</w:t>
            </w:r>
            <w:r w:rsidRPr="004C78D8">
              <w:rPr>
                <w:sz w:val="18"/>
                <w:szCs w:val="18"/>
              </w:rPr>
              <w:t xml:space="preserve"> (0.060)</w:t>
            </w:r>
          </w:p>
        </w:tc>
        <w:tc>
          <w:tcPr>
            <w:tcW w:w="1701" w:type="dxa"/>
            <w:tcBorders>
              <w:top w:val="nil"/>
              <w:bottom w:val="nil"/>
            </w:tcBorders>
          </w:tcPr>
          <w:p w14:paraId="37E0CF27" w14:textId="64C4A5FF" w:rsidR="005C35A8" w:rsidRPr="004C78D8" w:rsidRDefault="005C35A8" w:rsidP="00FB7C1F">
            <w:pPr>
              <w:jc w:val="center"/>
              <w:rPr>
                <w:sz w:val="18"/>
                <w:szCs w:val="18"/>
              </w:rPr>
            </w:pPr>
            <w:r w:rsidRPr="004C78D8">
              <w:rPr>
                <w:sz w:val="18"/>
                <w:szCs w:val="18"/>
              </w:rPr>
              <w:t>&lt;0.001</w:t>
            </w:r>
          </w:p>
        </w:tc>
      </w:tr>
      <w:tr w:rsidR="005C35A8" w:rsidRPr="004C78D8" w14:paraId="27808885" w14:textId="77777777" w:rsidTr="00E35893">
        <w:tc>
          <w:tcPr>
            <w:tcW w:w="2263" w:type="dxa"/>
            <w:tcBorders>
              <w:top w:val="nil"/>
              <w:bottom w:val="nil"/>
            </w:tcBorders>
          </w:tcPr>
          <w:p w14:paraId="3FBBC58E" w14:textId="0D591BB9" w:rsidR="005C35A8" w:rsidRPr="004C78D8" w:rsidRDefault="005C35A8" w:rsidP="00FB7C1F">
            <w:pPr>
              <w:rPr>
                <w:sz w:val="18"/>
                <w:szCs w:val="18"/>
              </w:rPr>
            </w:pPr>
            <w:r w:rsidRPr="004C78D8">
              <w:rPr>
                <w:sz w:val="18"/>
                <w:szCs w:val="18"/>
              </w:rPr>
              <w:t>Community healthcare</w:t>
            </w:r>
          </w:p>
        </w:tc>
        <w:tc>
          <w:tcPr>
            <w:tcW w:w="1701" w:type="dxa"/>
            <w:tcBorders>
              <w:top w:val="nil"/>
              <w:bottom w:val="nil"/>
            </w:tcBorders>
          </w:tcPr>
          <w:p w14:paraId="2196B054" w14:textId="511DCECF" w:rsidR="005C35A8" w:rsidRPr="004C78D8" w:rsidRDefault="00DD49F3" w:rsidP="00FB7C1F">
            <w:pPr>
              <w:jc w:val="center"/>
              <w:rPr>
                <w:sz w:val="18"/>
                <w:szCs w:val="18"/>
              </w:rPr>
            </w:pPr>
            <w:r w:rsidRPr="004C78D8">
              <w:rPr>
                <w:sz w:val="18"/>
                <w:szCs w:val="18"/>
              </w:rPr>
              <w:t>1.5</w:t>
            </w:r>
            <w:r w:rsidR="00BD1095" w:rsidRPr="004C78D8">
              <w:rPr>
                <w:sz w:val="18"/>
                <w:szCs w:val="18"/>
              </w:rPr>
              <w:t>72</w:t>
            </w:r>
            <w:r w:rsidRPr="004C78D8">
              <w:rPr>
                <w:sz w:val="18"/>
                <w:szCs w:val="18"/>
              </w:rPr>
              <w:t xml:space="preserve"> (0.642)</w:t>
            </w:r>
          </w:p>
        </w:tc>
        <w:tc>
          <w:tcPr>
            <w:tcW w:w="1701" w:type="dxa"/>
            <w:tcBorders>
              <w:top w:val="nil"/>
              <w:bottom w:val="nil"/>
            </w:tcBorders>
          </w:tcPr>
          <w:p w14:paraId="2CF754E4" w14:textId="6389104A" w:rsidR="005C35A8" w:rsidRPr="004C78D8" w:rsidRDefault="00DD49F3" w:rsidP="00FB7C1F">
            <w:pPr>
              <w:jc w:val="center"/>
              <w:rPr>
                <w:sz w:val="18"/>
                <w:szCs w:val="18"/>
              </w:rPr>
            </w:pPr>
            <w:r w:rsidRPr="004C78D8">
              <w:rPr>
                <w:sz w:val="18"/>
                <w:szCs w:val="18"/>
              </w:rPr>
              <w:t>0.01</w:t>
            </w:r>
            <w:r w:rsidR="00BD1095" w:rsidRPr="004C78D8">
              <w:rPr>
                <w:sz w:val="18"/>
                <w:szCs w:val="18"/>
              </w:rPr>
              <w:t>4</w:t>
            </w:r>
          </w:p>
        </w:tc>
      </w:tr>
      <w:tr w:rsidR="005C35A8" w:rsidRPr="004C78D8" w14:paraId="57F57843" w14:textId="77777777" w:rsidTr="00E35893">
        <w:tc>
          <w:tcPr>
            <w:tcW w:w="5665" w:type="dxa"/>
            <w:gridSpan w:val="3"/>
          </w:tcPr>
          <w:p w14:paraId="7ADBA929" w14:textId="42D10C1E" w:rsidR="005C35A8" w:rsidRPr="004C78D8" w:rsidRDefault="00D10D5E" w:rsidP="00FB7C1F">
            <w:pPr>
              <w:rPr>
                <w:sz w:val="20"/>
                <w:szCs w:val="20"/>
              </w:rPr>
            </w:pPr>
            <w:r w:rsidRPr="004C78D8">
              <w:rPr>
                <w:b/>
                <w:bCs/>
                <w:sz w:val="18"/>
                <w:szCs w:val="18"/>
              </w:rPr>
              <w:t>Abbreviation</w:t>
            </w:r>
            <w:r w:rsidR="00707B2C" w:rsidRPr="004C78D8">
              <w:rPr>
                <w:b/>
                <w:bCs/>
                <w:sz w:val="18"/>
                <w:szCs w:val="18"/>
              </w:rPr>
              <w:t>:</w:t>
            </w:r>
            <w:r w:rsidR="00707B2C" w:rsidRPr="004C78D8">
              <w:rPr>
                <w:sz w:val="18"/>
                <w:szCs w:val="18"/>
              </w:rPr>
              <w:t xml:space="preserve"> </w:t>
            </w:r>
            <w:r w:rsidR="005C35A8" w:rsidRPr="004C78D8">
              <w:rPr>
                <w:sz w:val="18"/>
                <w:szCs w:val="18"/>
              </w:rPr>
              <w:t>ELSA: English Longitudinal Study of Ageing; Ref: reference; SE: standard error</w:t>
            </w:r>
          </w:p>
        </w:tc>
      </w:tr>
    </w:tbl>
    <w:p w14:paraId="19A591CA" w14:textId="082CB27B" w:rsidR="00BB5EA5" w:rsidRPr="004C78D8" w:rsidRDefault="00BB5EA5" w:rsidP="00FB7C1F"/>
    <w:p w14:paraId="35C7D1A1" w14:textId="7082A7EA" w:rsidR="005B0FF0" w:rsidRPr="004C78D8" w:rsidRDefault="005B0FF0" w:rsidP="00FB7C1F">
      <w:r w:rsidRPr="004C78D8">
        <w:t xml:space="preserve">Unlike social care and OOP care receipts, there was no variable </w:t>
      </w:r>
      <w:r w:rsidR="00F103C6" w:rsidRPr="004C78D8">
        <w:t xml:space="preserve">in ELSA </w:t>
      </w:r>
      <w:r w:rsidRPr="004C78D8">
        <w:t>for weekly frequency of informal care receipt</w:t>
      </w:r>
      <w:r w:rsidR="00B43D9F" w:rsidRPr="004C78D8">
        <w:t xml:space="preserve"> which could be used as a measure of care intensity</w:t>
      </w:r>
      <w:r w:rsidRPr="004C78D8">
        <w:t xml:space="preserve">. Hence, </w:t>
      </w:r>
      <w:r w:rsidR="000B2B66" w:rsidRPr="004C78D8">
        <w:t xml:space="preserve">requiring informal care for two or more </w:t>
      </w:r>
      <w:r w:rsidR="00634E24" w:rsidRPr="004C78D8">
        <w:t>ADLs</w:t>
      </w:r>
      <w:r w:rsidR="000B2B66" w:rsidRPr="004C78D8">
        <w:t xml:space="preserve"> was used as an alternative measure of </w:t>
      </w:r>
      <w:r w:rsidR="00804997" w:rsidRPr="004C78D8">
        <w:t>intensity</w:t>
      </w:r>
      <w:r w:rsidR="000B2B66" w:rsidRPr="004C78D8">
        <w:t xml:space="preserve">. </w:t>
      </w:r>
      <w:r w:rsidR="00AA7A82" w:rsidRPr="004C78D8">
        <w:t>Among informal care</w:t>
      </w:r>
      <w:r w:rsidR="007F2EF8" w:rsidRPr="004C78D8">
        <w:t xml:space="preserve"> recipients</w:t>
      </w:r>
      <w:r w:rsidR="00AA7A82" w:rsidRPr="004C78D8">
        <w:t>, 53.4% required care for a single need</w:t>
      </w:r>
      <w:r w:rsidR="007F2EF8" w:rsidRPr="004C78D8">
        <w:t xml:space="preserve">; </w:t>
      </w:r>
      <w:r w:rsidR="00AA7A82" w:rsidRPr="004C78D8">
        <w:t xml:space="preserve">the rest required it for multiple needs. </w:t>
      </w:r>
      <w:r w:rsidR="007F2EF8" w:rsidRPr="004C78D8">
        <w:t>M</w:t>
      </w:r>
      <w:r w:rsidR="000B2B66" w:rsidRPr="004C78D8">
        <w:t xml:space="preserve">ultivariate logistic regression showed that </w:t>
      </w:r>
      <w:r w:rsidR="00582DFF" w:rsidRPr="004C78D8">
        <w:t xml:space="preserve">several </w:t>
      </w:r>
      <w:r w:rsidR="000B2B66" w:rsidRPr="004C78D8">
        <w:t xml:space="preserve">covariates exerted statistically significant effects on the probability of having multiple </w:t>
      </w:r>
      <w:r w:rsidR="00582DFF" w:rsidRPr="004C78D8">
        <w:t xml:space="preserve">vs. single </w:t>
      </w:r>
      <w:r w:rsidR="000B2B66" w:rsidRPr="004C78D8">
        <w:t xml:space="preserve">needs given informal care receipt. Therefore, a multivariate risk equation for having multiple care needs given receipt was estimated from ELSA. Table </w:t>
      </w:r>
      <w:r w:rsidR="00E2580C" w:rsidRPr="004C78D8">
        <w:t>5</w:t>
      </w:r>
      <w:r w:rsidR="00E44B92" w:rsidRPr="004C78D8">
        <w:t>.2</w:t>
      </w:r>
      <w:r w:rsidR="00C7697E" w:rsidRPr="004C78D8">
        <w:t>3</w:t>
      </w:r>
      <w:r w:rsidR="000B2B66" w:rsidRPr="004C78D8">
        <w:t xml:space="preserve"> shows the results from the best-fit model.</w:t>
      </w:r>
      <w:r w:rsidR="00E233C0" w:rsidRPr="004C78D8">
        <w:t xml:space="preserve"> </w:t>
      </w:r>
      <w:r w:rsidR="00C9628B" w:rsidRPr="004C78D8">
        <w:t>Older individuals and w</w:t>
      </w:r>
      <w:r w:rsidR="00E233C0" w:rsidRPr="004C78D8">
        <w:t xml:space="preserve">omen </w:t>
      </w:r>
      <w:r w:rsidR="00C9628B" w:rsidRPr="004C78D8">
        <w:t xml:space="preserve">were less likely to </w:t>
      </w:r>
      <w:r w:rsidR="007F2EF8" w:rsidRPr="004C78D8">
        <w:t>have</w:t>
      </w:r>
      <w:r w:rsidR="00C9628B" w:rsidRPr="004C78D8">
        <w:t xml:space="preserve"> multiple needs</w:t>
      </w:r>
      <w:r w:rsidR="007F2EF8" w:rsidRPr="004C78D8">
        <w:t>, and t</w:t>
      </w:r>
      <w:r w:rsidR="00C9628B" w:rsidRPr="004C78D8">
        <w:t xml:space="preserve">here was a significant </w:t>
      </w:r>
      <w:r w:rsidR="00634E24" w:rsidRPr="004C78D8">
        <w:t>SES</w:t>
      </w:r>
      <w:r w:rsidR="00C9628B" w:rsidRPr="004C78D8">
        <w:t xml:space="preserve"> gradient. T</w:t>
      </w:r>
      <w:r w:rsidR="00E233C0" w:rsidRPr="004C78D8">
        <w:t>hose engaging in high physical activity were less likely to have multiple needs</w:t>
      </w:r>
      <w:r w:rsidR="00C9628B" w:rsidRPr="004C78D8">
        <w:t>, as well as those accessing OOP care</w:t>
      </w:r>
      <w:r w:rsidR="00E233C0" w:rsidRPr="004C78D8">
        <w:t xml:space="preserve">. </w:t>
      </w:r>
      <w:r w:rsidR="00C9628B" w:rsidRPr="004C78D8">
        <w:t>Frailer individuals and those with</w:t>
      </w:r>
      <w:r w:rsidR="00E233C0" w:rsidRPr="004C78D8">
        <w:t xml:space="preserve"> </w:t>
      </w:r>
      <w:r w:rsidR="00C9628B" w:rsidRPr="004C78D8">
        <w:t xml:space="preserve">cognitive impairment and </w:t>
      </w:r>
      <w:r w:rsidR="00E233C0" w:rsidRPr="004C78D8">
        <w:t>abnormal gait</w:t>
      </w:r>
      <w:r w:rsidR="00C9628B" w:rsidRPr="004C78D8">
        <w:t xml:space="preserve">/balance were likelier to </w:t>
      </w:r>
      <w:r w:rsidR="00E44B92" w:rsidRPr="004C78D8">
        <w:t>have</w:t>
      </w:r>
      <w:r w:rsidR="00C9628B" w:rsidRPr="004C78D8">
        <w:t xml:space="preserve"> multiple needs.</w:t>
      </w:r>
    </w:p>
    <w:tbl>
      <w:tblPr>
        <w:tblStyle w:val="TableGrid"/>
        <w:tblW w:w="0" w:type="auto"/>
        <w:tblInd w:w="-5" w:type="dxa"/>
        <w:tblLook w:val="04A0" w:firstRow="1" w:lastRow="0" w:firstColumn="1" w:lastColumn="0" w:noHBand="0" w:noVBand="1"/>
      </w:tblPr>
      <w:tblGrid>
        <w:gridCol w:w="2263"/>
        <w:gridCol w:w="1701"/>
        <w:gridCol w:w="1701"/>
      </w:tblGrid>
      <w:tr w:rsidR="0099739C" w:rsidRPr="004C78D8" w14:paraId="57307220" w14:textId="77777777" w:rsidTr="00E35893">
        <w:tc>
          <w:tcPr>
            <w:tcW w:w="5665" w:type="dxa"/>
            <w:gridSpan w:val="3"/>
          </w:tcPr>
          <w:p w14:paraId="701E585A" w14:textId="5F70BA2F" w:rsidR="0099739C" w:rsidRPr="004C78D8" w:rsidRDefault="0099739C" w:rsidP="00FB7C1F">
            <w:pPr>
              <w:jc w:val="left"/>
            </w:pPr>
            <w:r w:rsidRPr="004C78D8">
              <w:rPr>
                <w:b/>
                <w:bCs/>
              </w:rPr>
              <w:t xml:space="preserve">Table </w:t>
            </w:r>
            <w:r w:rsidR="00E2580C" w:rsidRPr="004C78D8">
              <w:rPr>
                <w:b/>
                <w:bCs/>
              </w:rPr>
              <w:t>5</w:t>
            </w:r>
            <w:r w:rsidR="00E44B92" w:rsidRPr="004C78D8">
              <w:rPr>
                <w:b/>
                <w:bCs/>
              </w:rPr>
              <w:t>.2</w:t>
            </w:r>
            <w:r w:rsidR="00C7697E" w:rsidRPr="004C78D8">
              <w:rPr>
                <w:b/>
                <w:bCs/>
              </w:rPr>
              <w:t>3</w:t>
            </w:r>
            <w:r w:rsidRPr="004C78D8">
              <w:t xml:space="preserve"> Logistic regression coefficients for multiple </w:t>
            </w:r>
            <w:r w:rsidR="00917EA1" w:rsidRPr="004C78D8">
              <w:t xml:space="preserve">informal </w:t>
            </w:r>
            <w:r w:rsidRPr="004C78D8">
              <w:t xml:space="preserve">care needs given informal care receipt </w:t>
            </w:r>
            <w:r w:rsidR="00634E24" w:rsidRPr="004C78D8">
              <w:t>from</w:t>
            </w:r>
            <w:r w:rsidRPr="004C78D8">
              <w:t xml:space="preserve"> ELSA Wave</w:t>
            </w:r>
            <w:r w:rsidR="00340FA0" w:rsidRPr="004C78D8">
              <w:t>s</w:t>
            </w:r>
            <w:r w:rsidRPr="004C78D8">
              <w:t xml:space="preserve"> 4</w:t>
            </w:r>
            <w:r w:rsidR="00340FA0" w:rsidRPr="004C78D8">
              <w:t xml:space="preserve"> and 5</w:t>
            </w:r>
            <w:r w:rsidR="00D46AD6" w:rsidRPr="004C78D8">
              <w:t>.</w:t>
            </w:r>
          </w:p>
        </w:tc>
      </w:tr>
      <w:tr w:rsidR="0099739C" w:rsidRPr="004C78D8" w14:paraId="56A0953F" w14:textId="77777777" w:rsidTr="00E35893">
        <w:tc>
          <w:tcPr>
            <w:tcW w:w="5665" w:type="dxa"/>
            <w:gridSpan w:val="3"/>
          </w:tcPr>
          <w:p w14:paraId="78971229" w14:textId="2F5C3DA3" w:rsidR="0099739C" w:rsidRPr="004C78D8" w:rsidRDefault="0099739C" w:rsidP="00FB7C1F">
            <w:pPr>
              <w:jc w:val="left"/>
              <w:rPr>
                <w:b/>
                <w:bCs/>
                <w:i/>
                <w:iCs/>
                <w:sz w:val="20"/>
                <w:szCs w:val="20"/>
              </w:rPr>
            </w:pPr>
            <w:r w:rsidRPr="004C78D8">
              <w:rPr>
                <w:b/>
                <w:bCs/>
                <w:i/>
                <w:iCs/>
                <w:sz w:val="20"/>
                <w:szCs w:val="20"/>
              </w:rPr>
              <w:t xml:space="preserve">Dependent variable: </w:t>
            </w:r>
            <w:r w:rsidR="00917EA1" w:rsidRPr="004C78D8">
              <w:rPr>
                <w:b/>
                <w:bCs/>
                <w:i/>
                <w:iCs/>
                <w:sz w:val="20"/>
                <w:szCs w:val="20"/>
              </w:rPr>
              <w:t>M</w:t>
            </w:r>
            <w:r w:rsidR="00340FA0" w:rsidRPr="004C78D8">
              <w:rPr>
                <w:b/>
                <w:bCs/>
                <w:i/>
                <w:iCs/>
                <w:sz w:val="20"/>
                <w:szCs w:val="20"/>
              </w:rPr>
              <w:t xml:space="preserve">ultiple </w:t>
            </w:r>
            <w:r w:rsidR="00917EA1" w:rsidRPr="004C78D8">
              <w:rPr>
                <w:b/>
                <w:bCs/>
                <w:i/>
                <w:iCs/>
                <w:sz w:val="20"/>
                <w:szCs w:val="20"/>
              </w:rPr>
              <w:t xml:space="preserve">informal </w:t>
            </w:r>
            <w:r w:rsidR="00340FA0" w:rsidRPr="004C78D8">
              <w:rPr>
                <w:b/>
                <w:bCs/>
                <w:i/>
                <w:iCs/>
                <w:sz w:val="20"/>
                <w:szCs w:val="20"/>
              </w:rPr>
              <w:t>care need</w:t>
            </w:r>
            <w:r w:rsidR="00917EA1" w:rsidRPr="004C78D8">
              <w:rPr>
                <w:b/>
                <w:bCs/>
                <w:i/>
                <w:iCs/>
                <w:sz w:val="20"/>
                <w:szCs w:val="20"/>
              </w:rPr>
              <w:t>s</w:t>
            </w:r>
            <w:r w:rsidR="00340FA0" w:rsidRPr="004C78D8">
              <w:rPr>
                <w:b/>
                <w:bCs/>
                <w:i/>
                <w:iCs/>
                <w:sz w:val="20"/>
                <w:szCs w:val="20"/>
              </w:rPr>
              <w:t xml:space="preserve"> given informal care receipt</w:t>
            </w:r>
            <w:r w:rsidRPr="004C78D8">
              <w:rPr>
                <w:b/>
                <w:bCs/>
                <w:i/>
                <w:iCs/>
                <w:sz w:val="20"/>
                <w:szCs w:val="20"/>
              </w:rPr>
              <w:t xml:space="preserve"> (N=</w:t>
            </w:r>
            <w:r w:rsidR="00340FA0" w:rsidRPr="004C78D8">
              <w:rPr>
                <w:b/>
                <w:bCs/>
                <w:i/>
                <w:iCs/>
                <w:sz w:val="20"/>
                <w:szCs w:val="20"/>
              </w:rPr>
              <w:t>3</w:t>
            </w:r>
            <w:r w:rsidRPr="004C78D8">
              <w:rPr>
                <w:b/>
                <w:bCs/>
                <w:i/>
                <w:iCs/>
                <w:sz w:val="20"/>
                <w:szCs w:val="20"/>
              </w:rPr>
              <w:t>,</w:t>
            </w:r>
            <w:r w:rsidR="00340FA0" w:rsidRPr="004C78D8">
              <w:rPr>
                <w:b/>
                <w:bCs/>
                <w:i/>
                <w:iCs/>
                <w:sz w:val="20"/>
                <w:szCs w:val="20"/>
              </w:rPr>
              <w:t>401</w:t>
            </w:r>
            <w:r w:rsidRPr="004C78D8">
              <w:rPr>
                <w:b/>
                <w:bCs/>
                <w:i/>
                <w:iCs/>
                <w:sz w:val="20"/>
                <w:szCs w:val="20"/>
              </w:rPr>
              <w:t>)</w:t>
            </w:r>
          </w:p>
        </w:tc>
      </w:tr>
      <w:tr w:rsidR="0099739C" w:rsidRPr="004C78D8" w14:paraId="5F6CB349" w14:textId="77777777" w:rsidTr="00E35893">
        <w:tc>
          <w:tcPr>
            <w:tcW w:w="2263" w:type="dxa"/>
            <w:tcBorders>
              <w:bottom w:val="single" w:sz="4" w:space="0" w:color="auto"/>
            </w:tcBorders>
          </w:tcPr>
          <w:p w14:paraId="698A7085" w14:textId="77777777" w:rsidR="0099739C" w:rsidRPr="004C78D8" w:rsidRDefault="0099739C" w:rsidP="00FB7C1F">
            <w:pPr>
              <w:rPr>
                <w:b/>
                <w:bCs/>
                <w:sz w:val="20"/>
                <w:szCs w:val="20"/>
              </w:rPr>
            </w:pPr>
            <w:r w:rsidRPr="004C78D8">
              <w:rPr>
                <w:b/>
                <w:bCs/>
                <w:sz w:val="20"/>
                <w:szCs w:val="20"/>
              </w:rPr>
              <w:t>Explanatory variables</w:t>
            </w:r>
          </w:p>
        </w:tc>
        <w:tc>
          <w:tcPr>
            <w:tcW w:w="1701" w:type="dxa"/>
            <w:tcBorders>
              <w:bottom w:val="single" w:sz="4" w:space="0" w:color="auto"/>
            </w:tcBorders>
          </w:tcPr>
          <w:p w14:paraId="7F0B87F6" w14:textId="77777777" w:rsidR="0099739C" w:rsidRPr="004C78D8" w:rsidRDefault="0099739C" w:rsidP="00FB7C1F">
            <w:pPr>
              <w:jc w:val="center"/>
              <w:rPr>
                <w:b/>
                <w:bCs/>
                <w:sz w:val="20"/>
                <w:szCs w:val="20"/>
              </w:rPr>
            </w:pPr>
            <w:r w:rsidRPr="004C78D8">
              <w:rPr>
                <w:b/>
                <w:bCs/>
                <w:sz w:val="20"/>
                <w:szCs w:val="20"/>
              </w:rPr>
              <w:t>Coefficient (SE)</w:t>
            </w:r>
          </w:p>
        </w:tc>
        <w:tc>
          <w:tcPr>
            <w:tcW w:w="1701" w:type="dxa"/>
            <w:tcBorders>
              <w:bottom w:val="single" w:sz="4" w:space="0" w:color="auto"/>
            </w:tcBorders>
          </w:tcPr>
          <w:p w14:paraId="786BECEA" w14:textId="77777777" w:rsidR="0099739C" w:rsidRPr="004C78D8" w:rsidRDefault="0099739C" w:rsidP="00FB7C1F">
            <w:pPr>
              <w:jc w:val="center"/>
              <w:rPr>
                <w:b/>
                <w:bCs/>
                <w:sz w:val="20"/>
                <w:szCs w:val="20"/>
              </w:rPr>
            </w:pPr>
            <w:r w:rsidRPr="004C78D8">
              <w:rPr>
                <w:b/>
                <w:bCs/>
                <w:sz w:val="20"/>
                <w:szCs w:val="20"/>
              </w:rPr>
              <w:t>P-value</w:t>
            </w:r>
          </w:p>
        </w:tc>
      </w:tr>
      <w:tr w:rsidR="0099739C" w:rsidRPr="004C78D8" w14:paraId="2E61CC51" w14:textId="77777777" w:rsidTr="00E35893">
        <w:tc>
          <w:tcPr>
            <w:tcW w:w="2263" w:type="dxa"/>
            <w:tcBorders>
              <w:bottom w:val="nil"/>
            </w:tcBorders>
          </w:tcPr>
          <w:p w14:paraId="6826CF1C" w14:textId="77777777" w:rsidR="0099739C" w:rsidRPr="004C78D8" w:rsidRDefault="0099739C" w:rsidP="00FB7C1F">
            <w:pPr>
              <w:rPr>
                <w:sz w:val="18"/>
                <w:szCs w:val="18"/>
              </w:rPr>
            </w:pPr>
            <w:r w:rsidRPr="004C78D8">
              <w:rPr>
                <w:sz w:val="18"/>
                <w:szCs w:val="18"/>
              </w:rPr>
              <w:t>Constant</w:t>
            </w:r>
          </w:p>
        </w:tc>
        <w:tc>
          <w:tcPr>
            <w:tcW w:w="1701" w:type="dxa"/>
            <w:tcBorders>
              <w:bottom w:val="nil"/>
            </w:tcBorders>
          </w:tcPr>
          <w:p w14:paraId="33E44BF9" w14:textId="152A3BFC" w:rsidR="0099739C" w:rsidRPr="004C78D8" w:rsidRDefault="0099739C" w:rsidP="00FB7C1F">
            <w:pPr>
              <w:jc w:val="center"/>
              <w:rPr>
                <w:sz w:val="18"/>
                <w:szCs w:val="18"/>
              </w:rPr>
            </w:pPr>
            <w:r w:rsidRPr="004C78D8">
              <w:rPr>
                <w:sz w:val="18"/>
                <w:szCs w:val="18"/>
              </w:rPr>
              <w:t>-</w:t>
            </w:r>
            <w:r w:rsidR="00340FA0" w:rsidRPr="004C78D8">
              <w:rPr>
                <w:sz w:val="18"/>
                <w:szCs w:val="18"/>
              </w:rPr>
              <w:t>1</w:t>
            </w:r>
            <w:r w:rsidRPr="004C78D8">
              <w:rPr>
                <w:sz w:val="18"/>
                <w:szCs w:val="18"/>
              </w:rPr>
              <w:t>.</w:t>
            </w:r>
            <w:r w:rsidR="00340FA0" w:rsidRPr="004C78D8">
              <w:rPr>
                <w:sz w:val="18"/>
                <w:szCs w:val="18"/>
              </w:rPr>
              <w:t>428</w:t>
            </w:r>
            <w:r w:rsidRPr="004C78D8">
              <w:rPr>
                <w:sz w:val="18"/>
                <w:szCs w:val="18"/>
              </w:rPr>
              <w:t xml:space="preserve"> (0.</w:t>
            </w:r>
            <w:r w:rsidR="00340FA0" w:rsidRPr="004C78D8">
              <w:rPr>
                <w:sz w:val="18"/>
                <w:szCs w:val="18"/>
              </w:rPr>
              <w:t>432</w:t>
            </w:r>
            <w:r w:rsidRPr="004C78D8">
              <w:rPr>
                <w:sz w:val="18"/>
                <w:szCs w:val="18"/>
              </w:rPr>
              <w:t>)</w:t>
            </w:r>
          </w:p>
        </w:tc>
        <w:tc>
          <w:tcPr>
            <w:tcW w:w="1701" w:type="dxa"/>
            <w:tcBorders>
              <w:bottom w:val="nil"/>
            </w:tcBorders>
          </w:tcPr>
          <w:p w14:paraId="58437163" w14:textId="104BE9D9" w:rsidR="0099739C" w:rsidRPr="004C78D8" w:rsidRDefault="0099739C" w:rsidP="00FB7C1F">
            <w:pPr>
              <w:jc w:val="center"/>
              <w:rPr>
                <w:sz w:val="18"/>
                <w:szCs w:val="18"/>
              </w:rPr>
            </w:pPr>
            <w:r w:rsidRPr="004C78D8">
              <w:rPr>
                <w:sz w:val="18"/>
                <w:szCs w:val="18"/>
              </w:rPr>
              <w:t>0.001</w:t>
            </w:r>
          </w:p>
        </w:tc>
      </w:tr>
      <w:tr w:rsidR="00340FA0" w:rsidRPr="004C78D8" w14:paraId="0F1DB63F" w14:textId="77777777" w:rsidTr="00E35893">
        <w:tc>
          <w:tcPr>
            <w:tcW w:w="2263" w:type="dxa"/>
            <w:tcBorders>
              <w:top w:val="nil"/>
              <w:bottom w:val="nil"/>
            </w:tcBorders>
          </w:tcPr>
          <w:p w14:paraId="021D9AE9" w14:textId="16DCD2C2" w:rsidR="00340FA0" w:rsidRPr="004C78D8" w:rsidRDefault="00340FA0" w:rsidP="00FB7C1F">
            <w:pPr>
              <w:rPr>
                <w:sz w:val="18"/>
                <w:szCs w:val="18"/>
              </w:rPr>
            </w:pPr>
            <w:r w:rsidRPr="004C78D8">
              <w:rPr>
                <w:sz w:val="18"/>
                <w:szCs w:val="18"/>
              </w:rPr>
              <w:t>Age</w:t>
            </w:r>
          </w:p>
        </w:tc>
        <w:tc>
          <w:tcPr>
            <w:tcW w:w="1701" w:type="dxa"/>
            <w:tcBorders>
              <w:top w:val="nil"/>
              <w:bottom w:val="nil"/>
            </w:tcBorders>
          </w:tcPr>
          <w:p w14:paraId="44CC8315" w14:textId="05C29DD6" w:rsidR="00340FA0" w:rsidRPr="004C78D8" w:rsidRDefault="00340FA0" w:rsidP="00FB7C1F">
            <w:pPr>
              <w:jc w:val="center"/>
              <w:rPr>
                <w:sz w:val="18"/>
                <w:szCs w:val="18"/>
              </w:rPr>
            </w:pPr>
            <w:r w:rsidRPr="004C78D8">
              <w:rPr>
                <w:sz w:val="18"/>
                <w:szCs w:val="18"/>
              </w:rPr>
              <w:t>-0.021 (0.005)</w:t>
            </w:r>
          </w:p>
        </w:tc>
        <w:tc>
          <w:tcPr>
            <w:tcW w:w="1701" w:type="dxa"/>
            <w:tcBorders>
              <w:top w:val="nil"/>
              <w:bottom w:val="nil"/>
            </w:tcBorders>
          </w:tcPr>
          <w:p w14:paraId="74CD9D70" w14:textId="6193BA5A" w:rsidR="00340FA0" w:rsidRPr="004C78D8" w:rsidRDefault="00340FA0" w:rsidP="00FB7C1F">
            <w:pPr>
              <w:jc w:val="center"/>
              <w:rPr>
                <w:sz w:val="18"/>
                <w:szCs w:val="18"/>
              </w:rPr>
            </w:pPr>
            <w:r w:rsidRPr="004C78D8">
              <w:rPr>
                <w:sz w:val="18"/>
                <w:szCs w:val="18"/>
              </w:rPr>
              <w:t>&lt;0.001</w:t>
            </w:r>
          </w:p>
        </w:tc>
      </w:tr>
      <w:tr w:rsidR="0099739C" w:rsidRPr="004C78D8" w14:paraId="7DE47A55" w14:textId="77777777" w:rsidTr="00E35893">
        <w:tc>
          <w:tcPr>
            <w:tcW w:w="2263" w:type="dxa"/>
            <w:tcBorders>
              <w:top w:val="nil"/>
              <w:bottom w:val="nil"/>
            </w:tcBorders>
          </w:tcPr>
          <w:p w14:paraId="78E801BC" w14:textId="77777777" w:rsidR="0099739C" w:rsidRPr="004C78D8" w:rsidRDefault="0099739C" w:rsidP="00FB7C1F">
            <w:pPr>
              <w:rPr>
                <w:sz w:val="18"/>
                <w:szCs w:val="18"/>
              </w:rPr>
            </w:pPr>
            <w:r w:rsidRPr="004C78D8">
              <w:rPr>
                <w:sz w:val="18"/>
                <w:szCs w:val="18"/>
              </w:rPr>
              <w:t>Female</w:t>
            </w:r>
          </w:p>
        </w:tc>
        <w:tc>
          <w:tcPr>
            <w:tcW w:w="1701" w:type="dxa"/>
            <w:tcBorders>
              <w:top w:val="nil"/>
              <w:bottom w:val="nil"/>
            </w:tcBorders>
          </w:tcPr>
          <w:p w14:paraId="77977FFB" w14:textId="69705D3A" w:rsidR="0099739C" w:rsidRPr="004C78D8" w:rsidRDefault="00E70F5E" w:rsidP="00FB7C1F">
            <w:pPr>
              <w:jc w:val="center"/>
              <w:rPr>
                <w:sz w:val="18"/>
                <w:szCs w:val="18"/>
              </w:rPr>
            </w:pPr>
            <w:r w:rsidRPr="004C78D8">
              <w:rPr>
                <w:sz w:val="18"/>
                <w:szCs w:val="18"/>
              </w:rPr>
              <w:t>-</w:t>
            </w:r>
            <w:r w:rsidR="0099739C" w:rsidRPr="004C78D8">
              <w:rPr>
                <w:sz w:val="18"/>
                <w:szCs w:val="18"/>
              </w:rPr>
              <w:t>0.</w:t>
            </w:r>
            <w:r w:rsidR="00340FA0" w:rsidRPr="004C78D8">
              <w:rPr>
                <w:sz w:val="18"/>
                <w:szCs w:val="18"/>
              </w:rPr>
              <w:t>422</w:t>
            </w:r>
            <w:r w:rsidR="0099739C" w:rsidRPr="004C78D8">
              <w:rPr>
                <w:sz w:val="18"/>
                <w:szCs w:val="18"/>
              </w:rPr>
              <w:t xml:space="preserve"> (0.</w:t>
            </w:r>
            <w:r w:rsidR="00340FA0" w:rsidRPr="004C78D8">
              <w:rPr>
                <w:sz w:val="18"/>
                <w:szCs w:val="18"/>
              </w:rPr>
              <w:t>085</w:t>
            </w:r>
            <w:r w:rsidR="0099739C" w:rsidRPr="004C78D8">
              <w:rPr>
                <w:sz w:val="18"/>
                <w:szCs w:val="18"/>
              </w:rPr>
              <w:t>)</w:t>
            </w:r>
          </w:p>
        </w:tc>
        <w:tc>
          <w:tcPr>
            <w:tcW w:w="1701" w:type="dxa"/>
            <w:tcBorders>
              <w:top w:val="nil"/>
              <w:bottom w:val="nil"/>
            </w:tcBorders>
          </w:tcPr>
          <w:p w14:paraId="0A15B59A" w14:textId="77777777" w:rsidR="0099739C" w:rsidRPr="004C78D8" w:rsidRDefault="0099739C" w:rsidP="00FB7C1F">
            <w:pPr>
              <w:jc w:val="center"/>
              <w:rPr>
                <w:sz w:val="18"/>
                <w:szCs w:val="18"/>
              </w:rPr>
            </w:pPr>
            <w:r w:rsidRPr="004C78D8">
              <w:rPr>
                <w:sz w:val="18"/>
                <w:szCs w:val="18"/>
              </w:rPr>
              <w:t>&lt;0.001</w:t>
            </w:r>
          </w:p>
        </w:tc>
      </w:tr>
      <w:tr w:rsidR="00340FA0" w:rsidRPr="004C78D8" w14:paraId="1A0A5AB8" w14:textId="77777777" w:rsidTr="00E35893">
        <w:tc>
          <w:tcPr>
            <w:tcW w:w="2263" w:type="dxa"/>
            <w:tcBorders>
              <w:top w:val="nil"/>
              <w:bottom w:val="nil"/>
            </w:tcBorders>
          </w:tcPr>
          <w:p w14:paraId="521531C0" w14:textId="72BF4BA3" w:rsidR="00340FA0" w:rsidRPr="004C78D8" w:rsidRDefault="00340FA0" w:rsidP="00FB7C1F">
            <w:pPr>
              <w:rPr>
                <w:sz w:val="18"/>
                <w:szCs w:val="18"/>
              </w:rPr>
            </w:pPr>
            <w:r w:rsidRPr="004C78D8">
              <w:rPr>
                <w:sz w:val="18"/>
                <w:szCs w:val="18"/>
              </w:rPr>
              <w:t>S</w:t>
            </w:r>
            <w:r w:rsidR="00634E24" w:rsidRPr="004C78D8">
              <w:rPr>
                <w:sz w:val="18"/>
                <w:szCs w:val="18"/>
              </w:rPr>
              <w:t>ES</w:t>
            </w:r>
            <w:r w:rsidRPr="004C78D8">
              <w:rPr>
                <w:sz w:val="18"/>
                <w:szCs w:val="18"/>
              </w:rPr>
              <w:t xml:space="preserve"> deprivation (ref: Most privileged quartile)</w:t>
            </w:r>
          </w:p>
        </w:tc>
        <w:tc>
          <w:tcPr>
            <w:tcW w:w="1701" w:type="dxa"/>
            <w:tcBorders>
              <w:top w:val="nil"/>
              <w:bottom w:val="nil"/>
            </w:tcBorders>
          </w:tcPr>
          <w:p w14:paraId="12226F24" w14:textId="77777777" w:rsidR="00340FA0" w:rsidRPr="004C78D8" w:rsidRDefault="00340FA0" w:rsidP="00FB7C1F">
            <w:pPr>
              <w:jc w:val="center"/>
              <w:rPr>
                <w:sz w:val="18"/>
                <w:szCs w:val="18"/>
              </w:rPr>
            </w:pPr>
          </w:p>
        </w:tc>
        <w:tc>
          <w:tcPr>
            <w:tcW w:w="1701" w:type="dxa"/>
            <w:tcBorders>
              <w:top w:val="nil"/>
              <w:bottom w:val="nil"/>
            </w:tcBorders>
          </w:tcPr>
          <w:p w14:paraId="4E0E6A21" w14:textId="77777777" w:rsidR="00340FA0" w:rsidRPr="004C78D8" w:rsidRDefault="00340FA0" w:rsidP="00FB7C1F">
            <w:pPr>
              <w:jc w:val="center"/>
              <w:rPr>
                <w:sz w:val="18"/>
                <w:szCs w:val="18"/>
              </w:rPr>
            </w:pPr>
          </w:p>
        </w:tc>
      </w:tr>
      <w:tr w:rsidR="00340FA0" w:rsidRPr="004C78D8" w14:paraId="15D87DB8" w14:textId="77777777" w:rsidTr="00E35893">
        <w:tc>
          <w:tcPr>
            <w:tcW w:w="2263" w:type="dxa"/>
            <w:tcBorders>
              <w:top w:val="nil"/>
              <w:bottom w:val="nil"/>
            </w:tcBorders>
          </w:tcPr>
          <w:p w14:paraId="46337AEA" w14:textId="020E50EB" w:rsidR="00340FA0" w:rsidRPr="004C78D8" w:rsidRDefault="00340FA0" w:rsidP="00FB7C1F">
            <w:pPr>
              <w:jc w:val="right"/>
              <w:rPr>
                <w:sz w:val="18"/>
                <w:szCs w:val="18"/>
              </w:rPr>
            </w:pPr>
            <w:r w:rsidRPr="004C78D8">
              <w:rPr>
                <w:i/>
                <w:iCs/>
                <w:sz w:val="18"/>
                <w:szCs w:val="18"/>
              </w:rPr>
              <w:t>2</w:t>
            </w:r>
            <w:r w:rsidRPr="004C78D8">
              <w:rPr>
                <w:i/>
                <w:iCs/>
                <w:sz w:val="18"/>
                <w:szCs w:val="18"/>
                <w:vertAlign w:val="superscript"/>
              </w:rPr>
              <w:t>nd</w:t>
            </w:r>
            <w:r w:rsidRPr="004C78D8">
              <w:rPr>
                <w:i/>
                <w:iCs/>
                <w:sz w:val="18"/>
                <w:szCs w:val="18"/>
              </w:rPr>
              <w:t xml:space="preserve"> quartile</w:t>
            </w:r>
          </w:p>
        </w:tc>
        <w:tc>
          <w:tcPr>
            <w:tcW w:w="1701" w:type="dxa"/>
            <w:tcBorders>
              <w:top w:val="nil"/>
              <w:bottom w:val="nil"/>
            </w:tcBorders>
          </w:tcPr>
          <w:p w14:paraId="3FFF5067" w14:textId="31631C92" w:rsidR="00340FA0" w:rsidRPr="004C78D8" w:rsidRDefault="00340FA0" w:rsidP="00FB7C1F">
            <w:pPr>
              <w:jc w:val="center"/>
              <w:rPr>
                <w:sz w:val="18"/>
                <w:szCs w:val="18"/>
              </w:rPr>
            </w:pPr>
            <w:r w:rsidRPr="004C78D8">
              <w:rPr>
                <w:sz w:val="18"/>
                <w:szCs w:val="18"/>
              </w:rPr>
              <w:t>-0.319 (0.120)</w:t>
            </w:r>
          </w:p>
        </w:tc>
        <w:tc>
          <w:tcPr>
            <w:tcW w:w="1701" w:type="dxa"/>
            <w:tcBorders>
              <w:top w:val="nil"/>
              <w:bottom w:val="nil"/>
            </w:tcBorders>
          </w:tcPr>
          <w:p w14:paraId="40BC60C0" w14:textId="7292B1C1" w:rsidR="00340FA0" w:rsidRPr="004C78D8" w:rsidRDefault="00340FA0" w:rsidP="00FB7C1F">
            <w:pPr>
              <w:jc w:val="center"/>
              <w:rPr>
                <w:sz w:val="18"/>
                <w:szCs w:val="18"/>
              </w:rPr>
            </w:pPr>
            <w:r w:rsidRPr="004C78D8">
              <w:rPr>
                <w:sz w:val="18"/>
                <w:szCs w:val="18"/>
              </w:rPr>
              <w:t>0.008</w:t>
            </w:r>
          </w:p>
        </w:tc>
      </w:tr>
      <w:tr w:rsidR="00340FA0" w:rsidRPr="004C78D8" w14:paraId="1418467C" w14:textId="77777777" w:rsidTr="00E35893">
        <w:tc>
          <w:tcPr>
            <w:tcW w:w="2263" w:type="dxa"/>
            <w:tcBorders>
              <w:top w:val="nil"/>
              <w:bottom w:val="nil"/>
            </w:tcBorders>
          </w:tcPr>
          <w:p w14:paraId="54E6020B" w14:textId="7A42EEC8" w:rsidR="00340FA0" w:rsidRPr="004C78D8" w:rsidRDefault="00340FA0" w:rsidP="00FB7C1F">
            <w:pPr>
              <w:jc w:val="right"/>
              <w:rPr>
                <w:sz w:val="18"/>
                <w:szCs w:val="18"/>
              </w:rPr>
            </w:pPr>
            <w:r w:rsidRPr="004C78D8">
              <w:rPr>
                <w:i/>
                <w:iCs/>
                <w:sz w:val="18"/>
                <w:szCs w:val="18"/>
              </w:rPr>
              <w:t>3</w:t>
            </w:r>
            <w:r w:rsidRPr="004C78D8">
              <w:rPr>
                <w:i/>
                <w:iCs/>
                <w:sz w:val="18"/>
                <w:szCs w:val="18"/>
                <w:vertAlign w:val="superscript"/>
              </w:rPr>
              <w:t>rd</w:t>
            </w:r>
            <w:r w:rsidRPr="004C78D8">
              <w:rPr>
                <w:i/>
                <w:iCs/>
                <w:sz w:val="18"/>
                <w:szCs w:val="18"/>
              </w:rPr>
              <w:t xml:space="preserve"> quartile</w:t>
            </w:r>
          </w:p>
        </w:tc>
        <w:tc>
          <w:tcPr>
            <w:tcW w:w="1701" w:type="dxa"/>
            <w:tcBorders>
              <w:top w:val="nil"/>
              <w:bottom w:val="nil"/>
            </w:tcBorders>
          </w:tcPr>
          <w:p w14:paraId="16E94467" w14:textId="00989A7A" w:rsidR="00340FA0" w:rsidRPr="004C78D8" w:rsidRDefault="00340FA0" w:rsidP="00FB7C1F">
            <w:pPr>
              <w:jc w:val="center"/>
              <w:rPr>
                <w:sz w:val="18"/>
                <w:szCs w:val="18"/>
              </w:rPr>
            </w:pPr>
            <w:r w:rsidRPr="004C78D8">
              <w:rPr>
                <w:sz w:val="18"/>
                <w:szCs w:val="18"/>
              </w:rPr>
              <w:t>-0.357 (0.103)</w:t>
            </w:r>
          </w:p>
        </w:tc>
        <w:tc>
          <w:tcPr>
            <w:tcW w:w="1701" w:type="dxa"/>
            <w:tcBorders>
              <w:top w:val="nil"/>
              <w:bottom w:val="nil"/>
            </w:tcBorders>
          </w:tcPr>
          <w:p w14:paraId="0DF1E62F" w14:textId="0055CB49" w:rsidR="00340FA0" w:rsidRPr="004C78D8" w:rsidRDefault="00340FA0" w:rsidP="00FB7C1F">
            <w:pPr>
              <w:jc w:val="center"/>
              <w:rPr>
                <w:sz w:val="18"/>
                <w:szCs w:val="18"/>
              </w:rPr>
            </w:pPr>
            <w:r w:rsidRPr="004C78D8">
              <w:rPr>
                <w:sz w:val="18"/>
                <w:szCs w:val="18"/>
              </w:rPr>
              <w:t>0.001</w:t>
            </w:r>
          </w:p>
        </w:tc>
      </w:tr>
      <w:tr w:rsidR="00340FA0" w:rsidRPr="004C78D8" w14:paraId="474F488A" w14:textId="77777777" w:rsidTr="00E35893">
        <w:tc>
          <w:tcPr>
            <w:tcW w:w="2263" w:type="dxa"/>
            <w:tcBorders>
              <w:top w:val="nil"/>
              <w:bottom w:val="nil"/>
            </w:tcBorders>
          </w:tcPr>
          <w:p w14:paraId="38685D6F" w14:textId="74CF5D53" w:rsidR="00340FA0" w:rsidRPr="004C78D8" w:rsidRDefault="00340FA0" w:rsidP="00FB7C1F">
            <w:pPr>
              <w:jc w:val="right"/>
              <w:rPr>
                <w:sz w:val="18"/>
                <w:szCs w:val="18"/>
              </w:rPr>
            </w:pPr>
            <w:r w:rsidRPr="004C78D8">
              <w:rPr>
                <w:i/>
                <w:iCs/>
                <w:sz w:val="18"/>
                <w:szCs w:val="18"/>
              </w:rPr>
              <w:t>Most deprived quartile</w:t>
            </w:r>
          </w:p>
        </w:tc>
        <w:tc>
          <w:tcPr>
            <w:tcW w:w="1701" w:type="dxa"/>
            <w:tcBorders>
              <w:top w:val="nil"/>
              <w:bottom w:val="nil"/>
            </w:tcBorders>
          </w:tcPr>
          <w:p w14:paraId="16D533B5" w14:textId="71EFE002" w:rsidR="00340FA0" w:rsidRPr="004C78D8" w:rsidRDefault="00340FA0" w:rsidP="00FB7C1F">
            <w:pPr>
              <w:jc w:val="center"/>
              <w:rPr>
                <w:sz w:val="18"/>
                <w:szCs w:val="18"/>
              </w:rPr>
            </w:pPr>
            <w:r w:rsidRPr="004C78D8">
              <w:rPr>
                <w:sz w:val="18"/>
                <w:szCs w:val="18"/>
              </w:rPr>
              <w:t>-0.494 (0.128)</w:t>
            </w:r>
          </w:p>
        </w:tc>
        <w:tc>
          <w:tcPr>
            <w:tcW w:w="1701" w:type="dxa"/>
            <w:tcBorders>
              <w:top w:val="nil"/>
              <w:bottom w:val="nil"/>
            </w:tcBorders>
          </w:tcPr>
          <w:p w14:paraId="0C2D7788" w14:textId="76645655" w:rsidR="00340FA0" w:rsidRPr="004C78D8" w:rsidRDefault="00340FA0" w:rsidP="00FB7C1F">
            <w:pPr>
              <w:jc w:val="center"/>
              <w:rPr>
                <w:sz w:val="18"/>
                <w:szCs w:val="18"/>
              </w:rPr>
            </w:pPr>
            <w:r w:rsidRPr="004C78D8">
              <w:rPr>
                <w:sz w:val="18"/>
                <w:szCs w:val="18"/>
              </w:rPr>
              <w:t>&lt;0.001</w:t>
            </w:r>
          </w:p>
        </w:tc>
      </w:tr>
      <w:tr w:rsidR="00340FA0" w:rsidRPr="004C78D8" w14:paraId="3CB9CD48" w14:textId="77777777" w:rsidTr="00E35893">
        <w:tc>
          <w:tcPr>
            <w:tcW w:w="2263" w:type="dxa"/>
            <w:tcBorders>
              <w:top w:val="nil"/>
              <w:bottom w:val="nil"/>
            </w:tcBorders>
          </w:tcPr>
          <w:p w14:paraId="41360138" w14:textId="77777777" w:rsidR="00340FA0" w:rsidRPr="004C78D8" w:rsidRDefault="00340FA0" w:rsidP="00FB7C1F">
            <w:pPr>
              <w:rPr>
                <w:sz w:val="18"/>
                <w:szCs w:val="18"/>
              </w:rPr>
            </w:pPr>
            <w:r w:rsidRPr="004C78D8">
              <w:rPr>
                <w:sz w:val="18"/>
                <w:szCs w:val="18"/>
              </w:rPr>
              <w:t>Frailty (0-100)</w:t>
            </w:r>
          </w:p>
        </w:tc>
        <w:tc>
          <w:tcPr>
            <w:tcW w:w="1701" w:type="dxa"/>
            <w:tcBorders>
              <w:top w:val="nil"/>
              <w:bottom w:val="nil"/>
            </w:tcBorders>
          </w:tcPr>
          <w:p w14:paraId="4FD9A260" w14:textId="32C8D7B8" w:rsidR="00340FA0" w:rsidRPr="004C78D8" w:rsidRDefault="00340FA0" w:rsidP="00FB7C1F">
            <w:pPr>
              <w:jc w:val="center"/>
              <w:rPr>
                <w:sz w:val="18"/>
                <w:szCs w:val="18"/>
              </w:rPr>
            </w:pPr>
            <w:r w:rsidRPr="004C78D8">
              <w:rPr>
                <w:sz w:val="18"/>
                <w:szCs w:val="18"/>
              </w:rPr>
              <w:t>0.201 (0.017)</w:t>
            </w:r>
          </w:p>
        </w:tc>
        <w:tc>
          <w:tcPr>
            <w:tcW w:w="1701" w:type="dxa"/>
            <w:tcBorders>
              <w:top w:val="nil"/>
              <w:bottom w:val="nil"/>
            </w:tcBorders>
          </w:tcPr>
          <w:p w14:paraId="6B371F54" w14:textId="77777777" w:rsidR="00340FA0" w:rsidRPr="004C78D8" w:rsidRDefault="00340FA0" w:rsidP="00FB7C1F">
            <w:pPr>
              <w:jc w:val="center"/>
              <w:rPr>
                <w:sz w:val="18"/>
                <w:szCs w:val="18"/>
              </w:rPr>
            </w:pPr>
            <w:r w:rsidRPr="004C78D8">
              <w:rPr>
                <w:sz w:val="18"/>
                <w:szCs w:val="18"/>
              </w:rPr>
              <w:t>&lt;0.001</w:t>
            </w:r>
          </w:p>
        </w:tc>
      </w:tr>
      <w:tr w:rsidR="00340FA0" w:rsidRPr="004C78D8" w14:paraId="04A8BEDF" w14:textId="77777777" w:rsidTr="00E35893">
        <w:tc>
          <w:tcPr>
            <w:tcW w:w="2263" w:type="dxa"/>
            <w:tcBorders>
              <w:top w:val="nil"/>
              <w:bottom w:val="nil"/>
            </w:tcBorders>
          </w:tcPr>
          <w:p w14:paraId="3F050F0F" w14:textId="77777777" w:rsidR="00340FA0" w:rsidRPr="004C78D8" w:rsidRDefault="00340FA0" w:rsidP="00FB7C1F">
            <w:pPr>
              <w:rPr>
                <w:sz w:val="18"/>
                <w:szCs w:val="18"/>
              </w:rPr>
            </w:pPr>
            <w:r w:rsidRPr="004C78D8">
              <w:rPr>
                <w:sz w:val="18"/>
                <w:szCs w:val="18"/>
              </w:rPr>
              <w:t>Frailty^2</w:t>
            </w:r>
          </w:p>
        </w:tc>
        <w:tc>
          <w:tcPr>
            <w:tcW w:w="1701" w:type="dxa"/>
            <w:tcBorders>
              <w:top w:val="nil"/>
              <w:bottom w:val="nil"/>
            </w:tcBorders>
          </w:tcPr>
          <w:p w14:paraId="401F8C5D" w14:textId="04C93E9A" w:rsidR="00340FA0" w:rsidRPr="004C78D8" w:rsidRDefault="00340FA0" w:rsidP="00FB7C1F">
            <w:pPr>
              <w:jc w:val="center"/>
              <w:rPr>
                <w:sz w:val="18"/>
                <w:szCs w:val="18"/>
              </w:rPr>
            </w:pPr>
            <w:r w:rsidRPr="004C78D8">
              <w:rPr>
                <w:sz w:val="18"/>
                <w:szCs w:val="18"/>
              </w:rPr>
              <w:t>-0.002 (0.0003)</w:t>
            </w:r>
          </w:p>
        </w:tc>
        <w:tc>
          <w:tcPr>
            <w:tcW w:w="1701" w:type="dxa"/>
            <w:tcBorders>
              <w:top w:val="nil"/>
              <w:bottom w:val="nil"/>
            </w:tcBorders>
          </w:tcPr>
          <w:p w14:paraId="1558A46E" w14:textId="77777777" w:rsidR="00340FA0" w:rsidRPr="004C78D8" w:rsidRDefault="00340FA0" w:rsidP="00FB7C1F">
            <w:pPr>
              <w:jc w:val="center"/>
              <w:rPr>
                <w:sz w:val="18"/>
                <w:szCs w:val="18"/>
              </w:rPr>
            </w:pPr>
            <w:r w:rsidRPr="004C78D8">
              <w:rPr>
                <w:sz w:val="18"/>
                <w:szCs w:val="18"/>
              </w:rPr>
              <w:t>&lt;0.001</w:t>
            </w:r>
          </w:p>
        </w:tc>
      </w:tr>
      <w:tr w:rsidR="00340FA0" w:rsidRPr="004C78D8" w14:paraId="666A9BA0" w14:textId="77777777" w:rsidTr="00E35893">
        <w:tc>
          <w:tcPr>
            <w:tcW w:w="2263" w:type="dxa"/>
            <w:tcBorders>
              <w:top w:val="nil"/>
              <w:bottom w:val="nil"/>
            </w:tcBorders>
          </w:tcPr>
          <w:p w14:paraId="58AF193F" w14:textId="77777777" w:rsidR="00340FA0" w:rsidRPr="004C78D8" w:rsidRDefault="00340FA0" w:rsidP="00FB7C1F">
            <w:pPr>
              <w:rPr>
                <w:sz w:val="18"/>
                <w:szCs w:val="18"/>
              </w:rPr>
            </w:pPr>
            <w:r w:rsidRPr="004C78D8">
              <w:rPr>
                <w:sz w:val="18"/>
                <w:szCs w:val="18"/>
              </w:rPr>
              <w:t>High physical activity</w:t>
            </w:r>
          </w:p>
        </w:tc>
        <w:tc>
          <w:tcPr>
            <w:tcW w:w="1701" w:type="dxa"/>
            <w:tcBorders>
              <w:top w:val="nil"/>
              <w:bottom w:val="nil"/>
            </w:tcBorders>
          </w:tcPr>
          <w:p w14:paraId="5068747B" w14:textId="4C0F8457" w:rsidR="00340FA0" w:rsidRPr="004C78D8" w:rsidRDefault="00340FA0" w:rsidP="00FB7C1F">
            <w:pPr>
              <w:jc w:val="center"/>
              <w:rPr>
                <w:sz w:val="18"/>
                <w:szCs w:val="18"/>
              </w:rPr>
            </w:pPr>
            <w:r w:rsidRPr="004C78D8">
              <w:rPr>
                <w:sz w:val="18"/>
                <w:szCs w:val="18"/>
              </w:rPr>
              <w:t>-0.436 (0.208)</w:t>
            </w:r>
          </w:p>
        </w:tc>
        <w:tc>
          <w:tcPr>
            <w:tcW w:w="1701" w:type="dxa"/>
            <w:tcBorders>
              <w:top w:val="nil"/>
              <w:bottom w:val="nil"/>
            </w:tcBorders>
          </w:tcPr>
          <w:p w14:paraId="5249706B" w14:textId="24BEE779" w:rsidR="00340FA0" w:rsidRPr="004C78D8" w:rsidRDefault="00340FA0" w:rsidP="00FB7C1F">
            <w:pPr>
              <w:jc w:val="center"/>
              <w:rPr>
                <w:sz w:val="18"/>
                <w:szCs w:val="18"/>
              </w:rPr>
            </w:pPr>
            <w:r w:rsidRPr="004C78D8">
              <w:rPr>
                <w:sz w:val="18"/>
                <w:szCs w:val="18"/>
              </w:rPr>
              <w:t>0.036</w:t>
            </w:r>
          </w:p>
        </w:tc>
      </w:tr>
      <w:tr w:rsidR="00340FA0" w:rsidRPr="004C78D8" w14:paraId="0D69F240" w14:textId="77777777" w:rsidTr="00E35893">
        <w:tc>
          <w:tcPr>
            <w:tcW w:w="2263" w:type="dxa"/>
            <w:tcBorders>
              <w:top w:val="nil"/>
              <w:bottom w:val="nil"/>
            </w:tcBorders>
          </w:tcPr>
          <w:p w14:paraId="1647A35B" w14:textId="08BFBC9B" w:rsidR="00340FA0" w:rsidRPr="004C78D8" w:rsidRDefault="00340FA0" w:rsidP="00FB7C1F">
            <w:pPr>
              <w:rPr>
                <w:sz w:val="18"/>
                <w:szCs w:val="18"/>
              </w:rPr>
            </w:pPr>
            <w:r w:rsidRPr="004C78D8">
              <w:rPr>
                <w:sz w:val="18"/>
                <w:szCs w:val="18"/>
              </w:rPr>
              <w:t>Cognitive impairment</w:t>
            </w:r>
          </w:p>
        </w:tc>
        <w:tc>
          <w:tcPr>
            <w:tcW w:w="1701" w:type="dxa"/>
            <w:tcBorders>
              <w:top w:val="nil"/>
              <w:bottom w:val="nil"/>
            </w:tcBorders>
          </w:tcPr>
          <w:p w14:paraId="55529E52" w14:textId="1FC38712" w:rsidR="00340FA0" w:rsidRPr="004C78D8" w:rsidRDefault="00340FA0" w:rsidP="00FB7C1F">
            <w:pPr>
              <w:jc w:val="center"/>
              <w:rPr>
                <w:sz w:val="18"/>
                <w:szCs w:val="18"/>
              </w:rPr>
            </w:pPr>
            <w:r w:rsidRPr="004C78D8">
              <w:rPr>
                <w:sz w:val="18"/>
                <w:szCs w:val="18"/>
              </w:rPr>
              <w:t>0.476 (0.092)</w:t>
            </w:r>
          </w:p>
        </w:tc>
        <w:tc>
          <w:tcPr>
            <w:tcW w:w="1701" w:type="dxa"/>
            <w:tcBorders>
              <w:top w:val="nil"/>
              <w:bottom w:val="nil"/>
            </w:tcBorders>
          </w:tcPr>
          <w:p w14:paraId="5D908C79" w14:textId="2B2193EF" w:rsidR="00340FA0" w:rsidRPr="004C78D8" w:rsidRDefault="00340FA0" w:rsidP="00FB7C1F">
            <w:pPr>
              <w:jc w:val="center"/>
              <w:rPr>
                <w:sz w:val="18"/>
                <w:szCs w:val="18"/>
              </w:rPr>
            </w:pPr>
            <w:r w:rsidRPr="004C78D8">
              <w:rPr>
                <w:sz w:val="18"/>
                <w:szCs w:val="18"/>
              </w:rPr>
              <w:t>&lt;0.001</w:t>
            </w:r>
          </w:p>
        </w:tc>
      </w:tr>
      <w:tr w:rsidR="00340FA0" w:rsidRPr="004C78D8" w14:paraId="69E222AE" w14:textId="77777777" w:rsidTr="00E35893">
        <w:tc>
          <w:tcPr>
            <w:tcW w:w="2263" w:type="dxa"/>
            <w:tcBorders>
              <w:top w:val="nil"/>
              <w:bottom w:val="nil"/>
            </w:tcBorders>
          </w:tcPr>
          <w:p w14:paraId="734EF85F" w14:textId="7BAE983C" w:rsidR="00340FA0" w:rsidRPr="004C78D8" w:rsidRDefault="00340FA0" w:rsidP="00FB7C1F">
            <w:pPr>
              <w:rPr>
                <w:sz w:val="18"/>
                <w:szCs w:val="18"/>
              </w:rPr>
            </w:pPr>
            <w:r w:rsidRPr="004C78D8">
              <w:rPr>
                <w:sz w:val="18"/>
                <w:szCs w:val="18"/>
              </w:rPr>
              <w:t>Abnormal gait/balance</w:t>
            </w:r>
          </w:p>
        </w:tc>
        <w:tc>
          <w:tcPr>
            <w:tcW w:w="1701" w:type="dxa"/>
            <w:tcBorders>
              <w:top w:val="nil"/>
              <w:bottom w:val="nil"/>
            </w:tcBorders>
          </w:tcPr>
          <w:p w14:paraId="379B5AB6" w14:textId="34BA454F" w:rsidR="00340FA0" w:rsidRPr="004C78D8" w:rsidRDefault="00340FA0" w:rsidP="00FB7C1F">
            <w:pPr>
              <w:jc w:val="center"/>
              <w:rPr>
                <w:sz w:val="18"/>
                <w:szCs w:val="18"/>
              </w:rPr>
            </w:pPr>
            <w:r w:rsidRPr="004C78D8">
              <w:rPr>
                <w:sz w:val="18"/>
                <w:szCs w:val="18"/>
              </w:rPr>
              <w:t>0.405 (0.100)</w:t>
            </w:r>
          </w:p>
        </w:tc>
        <w:tc>
          <w:tcPr>
            <w:tcW w:w="1701" w:type="dxa"/>
            <w:tcBorders>
              <w:top w:val="nil"/>
              <w:bottom w:val="nil"/>
            </w:tcBorders>
          </w:tcPr>
          <w:p w14:paraId="5DF3B7E1" w14:textId="25558F2B" w:rsidR="00340FA0" w:rsidRPr="004C78D8" w:rsidRDefault="00340FA0" w:rsidP="00FB7C1F">
            <w:pPr>
              <w:jc w:val="center"/>
              <w:rPr>
                <w:sz w:val="18"/>
                <w:szCs w:val="18"/>
              </w:rPr>
            </w:pPr>
            <w:r w:rsidRPr="004C78D8">
              <w:rPr>
                <w:sz w:val="18"/>
                <w:szCs w:val="18"/>
              </w:rPr>
              <w:t>&lt;0.001</w:t>
            </w:r>
          </w:p>
        </w:tc>
      </w:tr>
      <w:tr w:rsidR="00340FA0" w:rsidRPr="004C78D8" w14:paraId="0F95D4B9" w14:textId="77777777" w:rsidTr="00E35893">
        <w:tc>
          <w:tcPr>
            <w:tcW w:w="2263" w:type="dxa"/>
            <w:tcBorders>
              <w:top w:val="nil"/>
              <w:bottom w:val="nil"/>
            </w:tcBorders>
          </w:tcPr>
          <w:p w14:paraId="0700895E" w14:textId="475088D5" w:rsidR="00340FA0" w:rsidRPr="004C78D8" w:rsidRDefault="00340FA0" w:rsidP="00FB7C1F">
            <w:pPr>
              <w:rPr>
                <w:sz w:val="18"/>
                <w:szCs w:val="18"/>
              </w:rPr>
            </w:pPr>
            <w:r w:rsidRPr="004C78D8">
              <w:rPr>
                <w:sz w:val="18"/>
                <w:szCs w:val="18"/>
              </w:rPr>
              <w:t>OOP care receipt</w:t>
            </w:r>
          </w:p>
        </w:tc>
        <w:tc>
          <w:tcPr>
            <w:tcW w:w="1701" w:type="dxa"/>
            <w:tcBorders>
              <w:top w:val="nil"/>
              <w:bottom w:val="nil"/>
            </w:tcBorders>
          </w:tcPr>
          <w:p w14:paraId="3AA28E7A" w14:textId="54EBF767" w:rsidR="00340FA0" w:rsidRPr="004C78D8" w:rsidRDefault="00340FA0" w:rsidP="00FB7C1F">
            <w:pPr>
              <w:jc w:val="center"/>
              <w:rPr>
                <w:sz w:val="18"/>
                <w:szCs w:val="18"/>
              </w:rPr>
            </w:pPr>
            <w:r w:rsidRPr="004C78D8">
              <w:rPr>
                <w:sz w:val="18"/>
                <w:szCs w:val="18"/>
              </w:rPr>
              <w:t>-0.578 (0.150)</w:t>
            </w:r>
          </w:p>
        </w:tc>
        <w:tc>
          <w:tcPr>
            <w:tcW w:w="1701" w:type="dxa"/>
            <w:tcBorders>
              <w:top w:val="nil"/>
              <w:bottom w:val="nil"/>
            </w:tcBorders>
          </w:tcPr>
          <w:p w14:paraId="0940A20F" w14:textId="5E6238EA" w:rsidR="00340FA0" w:rsidRPr="004C78D8" w:rsidRDefault="00340FA0" w:rsidP="00FB7C1F">
            <w:pPr>
              <w:jc w:val="center"/>
              <w:rPr>
                <w:sz w:val="18"/>
                <w:szCs w:val="18"/>
              </w:rPr>
            </w:pPr>
            <w:r w:rsidRPr="004C78D8">
              <w:rPr>
                <w:sz w:val="18"/>
                <w:szCs w:val="18"/>
              </w:rPr>
              <w:t>&lt;0.001</w:t>
            </w:r>
          </w:p>
        </w:tc>
      </w:tr>
      <w:tr w:rsidR="00340FA0" w:rsidRPr="004C78D8" w14:paraId="7D2B7095" w14:textId="77777777" w:rsidTr="00E35893">
        <w:tc>
          <w:tcPr>
            <w:tcW w:w="5665" w:type="dxa"/>
            <w:gridSpan w:val="3"/>
          </w:tcPr>
          <w:p w14:paraId="020E6453" w14:textId="02ED0274" w:rsidR="00340FA0" w:rsidRPr="004C78D8" w:rsidRDefault="00D10D5E" w:rsidP="00FB7C1F">
            <w:pPr>
              <w:rPr>
                <w:sz w:val="20"/>
                <w:szCs w:val="20"/>
              </w:rPr>
            </w:pPr>
            <w:r w:rsidRPr="004C78D8">
              <w:rPr>
                <w:b/>
                <w:bCs/>
                <w:sz w:val="18"/>
                <w:szCs w:val="18"/>
              </w:rPr>
              <w:t>Abbreviation</w:t>
            </w:r>
            <w:r w:rsidR="004955CF" w:rsidRPr="004C78D8">
              <w:rPr>
                <w:b/>
                <w:bCs/>
                <w:sz w:val="18"/>
                <w:szCs w:val="18"/>
              </w:rPr>
              <w:t xml:space="preserve">: </w:t>
            </w:r>
            <w:r w:rsidR="00340FA0" w:rsidRPr="004C78D8">
              <w:rPr>
                <w:sz w:val="18"/>
                <w:szCs w:val="18"/>
              </w:rPr>
              <w:t>ELSA: English Longitudinal Study of Ageing; OOP: out-of-pocket; Ref: reference; SE: standard error</w:t>
            </w:r>
            <w:r w:rsidR="00634E24" w:rsidRPr="004C78D8">
              <w:rPr>
                <w:sz w:val="18"/>
                <w:szCs w:val="18"/>
              </w:rPr>
              <w:t>; SES: socioeconomic status</w:t>
            </w:r>
          </w:p>
        </w:tc>
      </w:tr>
    </w:tbl>
    <w:p w14:paraId="1F78A5F2" w14:textId="1A0E85F6" w:rsidR="0099739C" w:rsidRPr="004C78D8" w:rsidRDefault="0099739C" w:rsidP="00FB7C1F"/>
    <w:p w14:paraId="37EA2F43" w14:textId="02A398C9" w:rsidR="006E3F79" w:rsidRPr="004C78D8" w:rsidRDefault="001867D5" w:rsidP="00FB7C1F">
      <w:r w:rsidRPr="004C78D8">
        <w:t xml:space="preserve">Having divided the informal care recipients into single vs. multiple need subgroups, further assumptions were required </w:t>
      </w:r>
      <w:r w:rsidR="00C9628B" w:rsidRPr="004C78D8">
        <w:t>on</w:t>
      </w:r>
      <w:r w:rsidRPr="004C78D8">
        <w:t xml:space="preserve"> the number of hours of informal care received per week and year </w:t>
      </w:r>
      <w:r w:rsidR="00C9628B" w:rsidRPr="004C78D8">
        <w:t>to</w:t>
      </w:r>
      <w:r w:rsidRPr="004C78D8">
        <w:t xml:space="preserve"> estimate the annual cost of informal care. </w:t>
      </w:r>
      <w:r w:rsidR="00C109CF" w:rsidRPr="004C78D8">
        <w:t xml:space="preserve">First, it was assumed that the association between the number of care needs and the number of weekly visits for </w:t>
      </w:r>
      <w:r w:rsidR="00C109CF" w:rsidRPr="004C78D8">
        <w:rPr>
          <w:i/>
          <w:iCs/>
        </w:rPr>
        <w:t>social</w:t>
      </w:r>
      <w:r w:rsidR="00C109CF" w:rsidRPr="004C78D8">
        <w:t xml:space="preserve"> care can be generali</w:t>
      </w:r>
      <w:r w:rsidR="001F1927" w:rsidRPr="004C78D8">
        <w:t>s</w:t>
      </w:r>
      <w:r w:rsidR="00C109CF" w:rsidRPr="004C78D8">
        <w:t xml:space="preserve">ed to that for informal care. </w:t>
      </w:r>
      <w:r w:rsidR="00CA76C9" w:rsidRPr="004C78D8">
        <w:t xml:space="preserve">Social care was chosen as </w:t>
      </w:r>
      <w:r w:rsidR="00C9628B" w:rsidRPr="004C78D8">
        <w:t xml:space="preserve">reference </w:t>
      </w:r>
      <w:r w:rsidR="001F1927" w:rsidRPr="004C78D8">
        <w:t>because</w:t>
      </w:r>
      <w:r w:rsidR="00C9628B" w:rsidRPr="004C78D8">
        <w:t xml:space="preserve"> its access does not depend on ability to pay (unlike OOP care)</w:t>
      </w:r>
      <w:r w:rsidR="00CA76C9" w:rsidRPr="004C78D8">
        <w:t xml:space="preserve">. In </w:t>
      </w:r>
      <w:r w:rsidR="00D303A7" w:rsidRPr="004C78D8">
        <w:t xml:space="preserve">Table </w:t>
      </w:r>
      <w:r w:rsidR="00E2580C" w:rsidRPr="004C78D8">
        <w:t>5</w:t>
      </w:r>
      <w:r w:rsidR="00D303A7" w:rsidRPr="004C78D8">
        <w:t>.</w:t>
      </w:r>
      <w:r w:rsidR="001F1927" w:rsidRPr="004C78D8">
        <w:t>2</w:t>
      </w:r>
      <w:r w:rsidR="00C7697E" w:rsidRPr="004C78D8">
        <w:t>4</w:t>
      </w:r>
      <w:r w:rsidR="00CA76C9" w:rsidRPr="004C78D8">
        <w:t>, the first three columns</w:t>
      </w:r>
      <w:r w:rsidR="00D303A7" w:rsidRPr="004C78D8">
        <w:t xml:space="preserve"> show the distribution of </w:t>
      </w:r>
      <w:r w:rsidR="00D303A7" w:rsidRPr="004C78D8">
        <w:rPr>
          <w:i/>
          <w:iCs/>
        </w:rPr>
        <w:t>social</w:t>
      </w:r>
      <w:r w:rsidR="00D303A7" w:rsidRPr="004C78D8">
        <w:t xml:space="preserve"> care receipt frequency by the number of </w:t>
      </w:r>
      <w:r w:rsidR="00CA76C9" w:rsidRPr="004C78D8">
        <w:t xml:space="preserve">social </w:t>
      </w:r>
      <w:r w:rsidR="00D303A7" w:rsidRPr="004C78D8">
        <w:t xml:space="preserve">care needs (single vs. multiple). </w:t>
      </w:r>
      <w:r w:rsidR="00CA76C9" w:rsidRPr="004C78D8">
        <w:t xml:space="preserve">Assuming that </w:t>
      </w:r>
      <w:r w:rsidR="001D1190" w:rsidRPr="004C78D8">
        <w:t>these</w:t>
      </w:r>
      <w:r w:rsidR="00CA76C9" w:rsidRPr="004C78D8">
        <w:t xml:space="preserve"> apply to informal care and that each visit lasted 2.5 hours, the average number</w:t>
      </w:r>
      <w:r w:rsidR="001D1190" w:rsidRPr="004C78D8">
        <w:t>s</w:t>
      </w:r>
      <w:r w:rsidR="00CA76C9" w:rsidRPr="004C78D8">
        <w:t xml:space="preserve"> of care hours per week for those with single (10.1 hours) or multiple (15.2 hours) care needs</w:t>
      </w:r>
      <w:r w:rsidR="001D1190" w:rsidRPr="004C78D8">
        <w:t xml:space="preserve"> were estimated</w:t>
      </w:r>
      <w:r w:rsidR="00CA76C9" w:rsidRPr="004C78D8">
        <w:t xml:space="preserve">. Proxy goods </w:t>
      </w:r>
      <w:r w:rsidR="001D1190" w:rsidRPr="004C78D8">
        <w:t xml:space="preserve">method was used to value the informal care hours </w:t>
      </w:r>
      <w:r w:rsidR="001F1927" w:rsidRPr="004C78D8">
        <w:fldChar w:fldCharType="begin"/>
      </w:r>
      <w:r w:rsidR="00C630FC" w:rsidRPr="004C78D8">
        <w:instrText xml:space="preserve"> ADDIN EN.CITE &lt;EndNote&gt;&lt;Cite&gt;&lt;Author&gt;Krol&lt;/Author&gt;&lt;Year&gt;2014&lt;/Year&gt;&lt;RecNum&gt;507&lt;/RecNum&gt;&lt;DisplayText&gt;[234]&lt;/DisplayText&gt;&lt;record&gt;&lt;rec-number&gt;507&lt;/rec-number&gt;&lt;foreign-keys&gt;&lt;key app="EN" db-id="tdtrdw9aepptzbefsat599syza29sxsd2wsp" timestamp="1617828480"&gt;507&lt;/key&gt;&lt;/foreign-keys&gt;&lt;ref-type name="Journal Article"&gt;17&lt;/ref-type&gt;&lt;contributors&gt;&lt;authors&gt;&lt;author&gt;Krol, Marieke&lt;/author&gt;&lt;author&gt;Brouwer, Werner&lt;/author&gt;&lt;/authors&gt;&lt;/contributors&gt;&lt;titles&gt;&lt;title&gt;How to estimate productivity costs in economic evaluations&lt;/title&gt;&lt;secondary-title&gt;Pharmacoeconomics&lt;/secondary-title&gt;&lt;/titles&gt;&lt;periodical&gt;&lt;full-title&gt;PharmacoEconomics&lt;/full-title&gt;&lt;/periodical&gt;&lt;pages&gt;335-344&lt;/pages&gt;&lt;volume&gt;32&lt;/volume&gt;&lt;number&gt;4&lt;/number&gt;&lt;dates&gt;&lt;year&gt;2014&lt;/year&gt;&lt;/dates&gt;&lt;isbn&gt;1170-7690&lt;/isbn&gt;&lt;urls&gt;&lt;/urls&gt;&lt;/record&gt;&lt;/Cite&gt;&lt;/EndNote&gt;</w:instrText>
      </w:r>
      <w:r w:rsidR="001F1927" w:rsidRPr="004C78D8">
        <w:fldChar w:fldCharType="separate"/>
      </w:r>
      <w:r w:rsidR="00C630FC" w:rsidRPr="004C78D8">
        <w:rPr>
          <w:noProof/>
        </w:rPr>
        <w:t>[234]</w:t>
      </w:r>
      <w:r w:rsidR="001F1927" w:rsidRPr="004C78D8">
        <w:fldChar w:fldCharType="end"/>
      </w:r>
      <w:r w:rsidR="001D1190" w:rsidRPr="004C78D8">
        <w:t>:</w:t>
      </w:r>
      <w:r w:rsidR="001F1927" w:rsidRPr="004C78D8">
        <w:t xml:space="preserve"> </w:t>
      </w:r>
      <w:r w:rsidR="001D1190" w:rsidRPr="004C78D8">
        <w:t>i</w:t>
      </w:r>
      <w:r w:rsidR="00CA76C9" w:rsidRPr="004C78D8">
        <w:t xml:space="preserve">t was assumed that in the absence of informal care, individuals would purchase OOP care as </w:t>
      </w:r>
      <w:r w:rsidR="001F1927" w:rsidRPr="004C78D8">
        <w:t xml:space="preserve">a </w:t>
      </w:r>
      <w:r w:rsidR="00CA76C9" w:rsidRPr="004C78D8">
        <w:t xml:space="preserve">direct substitute at £21 per hour. Assuming that informal care would be received all-year around, the annual </w:t>
      </w:r>
      <w:r w:rsidR="00C9628B" w:rsidRPr="004C78D8">
        <w:t xml:space="preserve">cost of </w:t>
      </w:r>
      <w:r w:rsidR="00CA76C9" w:rsidRPr="004C78D8">
        <w:t xml:space="preserve">informal care </w:t>
      </w:r>
      <w:r w:rsidR="00C9628B" w:rsidRPr="004C78D8">
        <w:t xml:space="preserve">per needs category </w:t>
      </w:r>
      <w:r w:rsidR="00CA76C9" w:rsidRPr="004C78D8">
        <w:t>was estimated.</w:t>
      </w:r>
    </w:p>
    <w:tbl>
      <w:tblPr>
        <w:tblStyle w:val="TableGrid"/>
        <w:tblW w:w="0" w:type="auto"/>
        <w:tblInd w:w="-5" w:type="dxa"/>
        <w:tblLook w:val="04A0" w:firstRow="1" w:lastRow="0" w:firstColumn="1" w:lastColumn="0" w:noHBand="0" w:noVBand="1"/>
      </w:tblPr>
      <w:tblGrid>
        <w:gridCol w:w="1271"/>
        <w:gridCol w:w="1418"/>
        <w:gridCol w:w="1417"/>
        <w:gridCol w:w="1701"/>
        <w:gridCol w:w="1843"/>
      </w:tblGrid>
      <w:tr w:rsidR="00F55C31" w:rsidRPr="004C78D8" w14:paraId="35B4EB94" w14:textId="22680FE1" w:rsidTr="00E35893">
        <w:tc>
          <w:tcPr>
            <w:tcW w:w="7650" w:type="dxa"/>
            <w:gridSpan w:val="5"/>
          </w:tcPr>
          <w:p w14:paraId="0D35EEB4" w14:textId="59290639" w:rsidR="00F55C31" w:rsidRPr="004C78D8" w:rsidRDefault="00F55C31" w:rsidP="00FB7C1F">
            <w:pPr>
              <w:rPr>
                <w:b/>
                <w:bCs/>
              </w:rPr>
            </w:pPr>
            <w:r w:rsidRPr="004C78D8">
              <w:rPr>
                <w:b/>
                <w:bCs/>
              </w:rPr>
              <w:t xml:space="preserve">Table </w:t>
            </w:r>
            <w:r w:rsidR="00E2580C" w:rsidRPr="004C78D8">
              <w:rPr>
                <w:b/>
                <w:bCs/>
              </w:rPr>
              <w:t>5</w:t>
            </w:r>
            <w:r w:rsidR="001F1927" w:rsidRPr="004C78D8">
              <w:rPr>
                <w:b/>
                <w:bCs/>
              </w:rPr>
              <w:t>.2</w:t>
            </w:r>
            <w:r w:rsidR="00C7697E" w:rsidRPr="004C78D8">
              <w:rPr>
                <w:b/>
                <w:bCs/>
              </w:rPr>
              <w:t>4</w:t>
            </w:r>
            <w:r w:rsidRPr="004C78D8">
              <w:t xml:space="preserve"> Annual </w:t>
            </w:r>
            <w:r w:rsidR="00523C0F" w:rsidRPr="004C78D8">
              <w:t xml:space="preserve">all-cause </w:t>
            </w:r>
            <w:r w:rsidRPr="004C78D8">
              <w:t>informal care cost by single vs. multiple care needs</w:t>
            </w:r>
            <w:r w:rsidR="00FE1A1C" w:rsidRPr="004C78D8">
              <w:t>.</w:t>
            </w:r>
          </w:p>
        </w:tc>
      </w:tr>
      <w:tr w:rsidR="00F55C31" w:rsidRPr="004C78D8" w14:paraId="4EFD0E93" w14:textId="69131933" w:rsidTr="00E35893">
        <w:tc>
          <w:tcPr>
            <w:tcW w:w="1271" w:type="dxa"/>
            <w:tcBorders>
              <w:bottom w:val="single" w:sz="4" w:space="0" w:color="auto"/>
            </w:tcBorders>
          </w:tcPr>
          <w:p w14:paraId="5F82C79F" w14:textId="602E4113" w:rsidR="00F55C31" w:rsidRPr="004C78D8" w:rsidRDefault="00F55C31" w:rsidP="00FB7C1F">
            <w:pPr>
              <w:jc w:val="left"/>
              <w:rPr>
                <w:b/>
                <w:bCs/>
                <w:sz w:val="20"/>
                <w:szCs w:val="20"/>
              </w:rPr>
            </w:pPr>
            <w:r w:rsidRPr="004C78D8">
              <w:rPr>
                <w:b/>
                <w:bCs/>
                <w:sz w:val="20"/>
                <w:szCs w:val="20"/>
              </w:rPr>
              <w:t>Number of care needs</w:t>
            </w:r>
          </w:p>
        </w:tc>
        <w:tc>
          <w:tcPr>
            <w:tcW w:w="1418" w:type="dxa"/>
            <w:tcBorders>
              <w:bottom w:val="single" w:sz="4" w:space="0" w:color="auto"/>
            </w:tcBorders>
          </w:tcPr>
          <w:p w14:paraId="37310198" w14:textId="0DB0B996" w:rsidR="00F55C31" w:rsidRPr="004C78D8" w:rsidRDefault="00F55C31" w:rsidP="00FB7C1F">
            <w:pPr>
              <w:jc w:val="center"/>
              <w:rPr>
                <w:b/>
                <w:bCs/>
                <w:sz w:val="20"/>
                <w:szCs w:val="20"/>
              </w:rPr>
            </w:pPr>
            <w:r w:rsidRPr="004C78D8">
              <w:rPr>
                <w:b/>
                <w:bCs/>
                <w:sz w:val="20"/>
                <w:szCs w:val="20"/>
              </w:rPr>
              <w:t>Care receipt frequency</w:t>
            </w:r>
            <w:r w:rsidRPr="004C78D8">
              <w:rPr>
                <w:b/>
                <w:bCs/>
                <w:sz w:val="20"/>
                <w:szCs w:val="20"/>
                <w:vertAlign w:val="superscript"/>
              </w:rPr>
              <w:t>1</w:t>
            </w:r>
          </w:p>
        </w:tc>
        <w:tc>
          <w:tcPr>
            <w:tcW w:w="1417" w:type="dxa"/>
            <w:tcBorders>
              <w:bottom w:val="single" w:sz="4" w:space="0" w:color="auto"/>
            </w:tcBorders>
          </w:tcPr>
          <w:p w14:paraId="6E16EE18" w14:textId="0C5AAD22" w:rsidR="00F55C31" w:rsidRPr="004C78D8" w:rsidRDefault="00F55C31" w:rsidP="00FB7C1F">
            <w:pPr>
              <w:jc w:val="center"/>
              <w:rPr>
                <w:b/>
                <w:bCs/>
                <w:sz w:val="20"/>
                <w:szCs w:val="20"/>
              </w:rPr>
            </w:pPr>
            <w:r w:rsidRPr="004C78D8">
              <w:rPr>
                <w:b/>
                <w:bCs/>
                <w:sz w:val="20"/>
                <w:szCs w:val="20"/>
              </w:rPr>
              <w:t>Prevalence</w:t>
            </w:r>
            <w:r w:rsidRPr="004C78D8">
              <w:rPr>
                <w:b/>
                <w:bCs/>
                <w:sz w:val="20"/>
                <w:szCs w:val="20"/>
                <w:vertAlign w:val="superscript"/>
              </w:rPr>
              <w:t>1</w:t>
            </w:r>
          </w:p>
        </w:tc>
        <w:tc>
          <w:tcPr>
            <w:tcW w:w="1701" w:type="dxa"/>
            <w:tcBorders>
              <w:bottom w:val="single" w:sz="4" w:space="0" w:color="auto"/>
            </w:tcBorders>
          </w:tcPr>
          <w:p w14:paraId="00B912AC" w14:textId="02BD5B8D" w:rsidR="00F55C31" w:rsidRPr="004C78D8" w:rsidRDefault="00F55C31" w:rsidP="00FB7C1F">
            <w:pPr>
              <w:jc w:val="center"/>
              <w:rPr>
                <w:b/>
                <w:bCs/>
                <w:sz w:val="20"/>
                <w:szCs w:val="20"/>
              </w:rPr>
            </w:pPr>
            <w:r w:rsidRPr="004C78D8">
              <w:rPr>
                <w:b/>
                <w:bCs/>
                <w:sz w:val="20"/>
                <w:szCs w:val="20"/>
              </w:rPr>
              <w:t>Average care hours per week</w:t>
            </w:r>
            <w:r w:rsidRPr="004C78D8">
              <w:rPr>
                <w:b/>
                <w:bCs/>
                <w:sz w:val="20"/>
                <w:szCs w:val="20"/>
                <w:vertAlign w:val="superscript"/>
              </w:rPr>
              <w:t>2</w:t>
            </w:r>
          </w:p>
        </w:tc>
        <w:tc>
          <w:tcPr>
            <w:tcW w:w="1843" w:type="dxa"/>
            <w:tcBorders>
              <w:bottom w:val="single" w:sz="4" w:space="0" w:color="auto"/>
            </w:tcBorders>
          </w:tcPr>
          <w:p w14:paraId="1CBAA101" w14:textId="56296027" w:rsidR="00F55C31" w:rsidRPr="004C78D8" w:rsidRDefault="00F55C31" w:rsidP="00FB7C1F">
            <w:pPr>
              <w:jc w:val="center"/>
              <w:rPr>
                <w:b/>
                <w:bCs/>
                <w:sz w:val="20"/>
                <w:szCs w:val="20"/>
              </w:rPr>
            </w:pPr>
            <w:r w:rsidRPr="004C78D8">
              <w:rPr>
                <w:b/>
                <w:bCs/>
                <w:sz w:val="20"/>
                <w:szCs w:val="20"/>
              </w:rPr>
              <w:t>Estimated annual informal care cost</w:t>
            </w:r>
            <w:r w:rsidRPr="004C78D8">
              <w:rPr>
                <w:b/>
                <w:bCs/>
                <w:sz w:val="20"/>
                <w:szCs w:val="20"/>
                <w:vertAlign w:val="superscript"/>
              </w:rPr>
              <w:t>3</w:t>
            </w:r>
          </w:p>
        </w:tc>
      </w:tr>
      <w:tr w:rsidR="00F55C31" w:rsidRPr="004C78D8" w14:paraId="79EFA620" w14:textId="3EBF7749" w:rsidTr="00E35893">
        <w:tc>
          <w:tcPr>
            <w:tcW w:w="1271" w:type="dxa"/>
            <w:tcBorders>
              <w:bottom w:val="nil"/>
            </w:tcBorders>
          </w:tcPr>
          <w:p w14:paraId="5D2505B3" w14:textId="0882D6D8" w:rsidR="00F55C31" w:rsidRPr="004C78D8" w:rsidRDefault="00F55C31" w:rsidP="00FB7C1F">
            <w:pPr>
              <w:jc w:val="left"/>
              <w:rPr>
                <w:sz w:val="18"/>
                <w:szCs w:val="18"/>
              </w:rPr>
            </w:pPr>
            <w:r w:rsidRPr="004C78D8">
              <w:rPr>
                <w:sz w:val="18"/>
                <w:szCs w:val="18"/>
              </w:rPr>
              <w:t xml:space="preserve">Single </w:t>
            </w:r>
          </w:p>
        </w:tc>
        <w:tc>
          <w:tcPr>
            <w:tcW w:w="1418" w:type="dxa"/>
            <w:tcBorders>
              <w:bottom w:val="nil"/>
            </w:tcBorders>
          </w:tcPr>
          <w:p w14:paraId="70589E3C" w14:textId="54F4A243" w:rsidR="00F55C31" w:rsidRPr="004C78D8" w:rsidRDefault="00F55C31" w:rsidP="00FB7C1F">
            <w:pPr>
              <w:jc w:val="center"/>
              <w:rPr>
                <w:sz w:val="18"/>
                <w:szCs w:val="18"/>
              </w:rPr>
            </w:pPr>
            <w:r w:rsidRPr="004C78D8">
              <w:rPr>
                <w:sz w:val="18"/>
                <w:szCs w:val="18"/>
              </w:rPr>
              <w:t>7 days/week</w:t>
            </w:r>
          </w:p>
        </w:tc>
        <w:tc>
          <w:tcPr>
            <w:tcW w:w="1417" w:type="dxa"/>
            <w:tcBorders>
              <w:bottom w:val="nil"/>
            </w:tcBorders>
          </w:tcPr>
          <w:p w14:paraId="12BB4774" w14:textId="0246137B" w:rsidR="00F55C31" w:rsidRPr="004C78D8" w:rsidRDefault="00F55C31" w:rsidP="00FB7C1F">
            <w:pPr>
              <w:jc w:val="center"/>
              <w:rPr>
                <w:sz w:val="18"/>
                <w:szCs w:val="18"/>
              </w:rPr>
            </w:pPr>
            <w:r w:rsidRPr="004C78D8">
              <w:rPr>
                <w:sz w:val="18"/>
                <w:szCs w:val="18"/>
              </w:rPr>
              <w:t>47.6%</w:t>
            </w:r>
          </w:p>
        </w:tc>
        <w:tc>
          <w:tcPr>
            <w:tcW w:w="1701" w:type="dxa"/>
            <w:tcBorders>
              <w:bottom w:val="nil"/>
            </w:tcBorders>
          </w:tcPr>
          <w:p w14:paraId="35B0F719" w14:textId="01A77D1B" w:rsidR="00F55C31" w:rsidRPr="004C78D8" w:rsidRDefault="00F55C31" w:rsidP="00FB7C1F">
            <w:pPr>
              <w:jc w:val="center"/>
              <w:rPr>
                <w:sz w:val="18"/>
                <w:szCs w:val="18"/>
              </w:rPr>
            </w:pPr>
            <w:r w:rsidRPr="004C78D8">
              <w:rPr>
                <w:sz w:val="18"/>
                <w:szCs w:val="18"/>
              </w:rPr>
              <w:t>10.1</w:t>
            </w:r>
          </w:p>
        </w:tc>
        <w:tc>
          <w:tcPr>
            <w:tcW w:w="1843" w:type="dxa"/>
            <w:tcBorders>
              <w:bottom w:val="nil"/>
            </w:tcBorders>
          </w:tcPr>
          <w:p w14:paraId="524FEFC7" w14:textId="0461D869" w:rsidR="00F55C31" w:rsidRPr="004C78D8" w:rsidRDefault="00DB4234" w:rsidP="00FB7C1F">
            <w:pPr>
              <w:jc w:val="center"/>
              <w:rPr>
                <w:sz w:val="18"/>
                <w:szCs w:val="18"/>
              </w:rPr>
            </w:pPr>
            <w:r w:rsidRPr="004C78D8">
              <w:rPr>
                <w:sz w:val="18"/>
                <w:szCs w:val="18"/>
              </w:rPr>
              <w:t>£11,089.26</w:t>
            </w:r>
          </w:p>
        </w:tc>
      </w:tr>
      <w:tr w:rsidR="00F55C31" w:rsidRPr="004C78D8" w14:paraId="69B0965F" w14:textId="5FAE9157" w:rsidTr="00E35893">
        <w:tc>
          <w:tcPr>
            <w:tcW w:w="1271" w:type="dxa"/>
            <w:tcBorders>
              <w:top w:val="nil"/>
              <w:bottom w:val="nil"/>
            </w:tcBorders>
          </w:tcPr>
          <w:p w14:paraId="0269A763" w14:textId="77777777" w:rsidR="00F55C31" w:rsidRPr="004C78D8" w:rsidRDefault="00F55C31" w:rsidP="00FB7C1F">
            <w:pPr>
              <w:jc w:val="left"/>
              <w:rPr>
                <w:sz w:val="18"/>
                <w:szCs w:val="18"/>
              </w:rPr>
            </w:pPr>
          </w:p>
        </w:tc>
        <w:tc>
          <w:tcPr>
            <w:tcW w:w="1418" w:type="dxa"/>
            <w:tcBorders>
              <w:top w:val="nil"/>
              <w:bottom w:val="nil"/>
            </w:tcBorders>
          </w:tcPr>
          <w:p w14:paraId="2A473305" w14:textId="66A22679" w:rsidR="00F55C31" w:rsidRPr="004C78D8" w:rsidRDefault="00F55C31" w:rsidP="00FB7C1F">
            <w:pPr>
              <w:jc w:val="center"/>
              <w:rPr>
                <w:sz w:val="18"/>
                <w:szCs w:val="18"/>
              </w:rPr>
            </w:pPr>
            <w:r w:rsidRPr="004C78D8">
              <w:rPr>
                <w:sz w:val="18"/>
                <w:szCs w:val="18"/>
              </w:rPr>
              <w:t>2 days/week</w:t>
            </w:r>
          </w:p>
        </w:tc>
        <w:tc>
          <w:tcPr>
            <w:tcW w:w="1417" w:type="dxa"/>
            <w:tcBorders>
              <w:top w:val="nil"/>
              <w:bottom w:val="nil"/>
            </w:tcBorders>
          </w:tcPr>
          <w:p w14:paraId="087D0730" w14:textId="58D8DBCE" w:rsidR="00F55C31" w:rsidRPr="004C78D8" w:rsidRDefault="00F55C31" w:rsidP="00FB7C1F">
            <w:pPr>
              <w:jc w:val="center"/>
              <w:rPr>
                <w:sz w:val="18"/>
                <w:szCs w:val="18"/>
              </w:rPr>
            </w:pPr>
            <w:r w:rsidRPr="004C78D8">
              <w:rPr>
                <w:sz w:val="18"/>
                <w:szCs w:val="18"/>
              </w:rPr>
              <w:t>20.6%</w:t>
            </w:r>
          </w:p>
        </w:tc>
        <w:tc>
          <w:tcPr>
            <w:tcW w:w="1701" w:type="dxa"/>
            <w:tcBorders>
              <w:top w:val="nil"/>
              <w:bottom w:val="nil"/>
            </w:tcBorders>
          </w:tcPr>
          <w:p w14:paraId="3F8961AD" w14:textId="77777777" w:rsidR="00F55C31" w:rsidRPr="004C78D8" w:rsidRDefault="00F55C31" w:rsidP="00FB7C1F">
            <w:pPr>
              <w:jc w:val="center"/>
              <w:rPr>
                <w:sz w:val="18"/>
                <w:szCs w:val="18"/>
              </w:rPr>
            </w:pPr>
          </w:p>
        </w:tc>
        <w:tc>
          <w:tcPr>
            <w:tcW w:w="1843" w:type="dxa"/>
            <w:tcBorders>
              <w:top w:val="nil"/>
              <w:bottom w:val="nil"/>
            </w:tcBorders>
          </w:tcPr>
          <w:p w14:paraId="470A8D99" w14:textId="77777777" w:rsidR="00F55C31" w:rsidRPr="004C78D8" w:rsidRDefault="00F55C31" w:rsidP="00FB7C1F">
            <w:pPr>
              <w:jc w:val="center"/>
              <w:rPr>
                <w:sz w:val="18"/>
                <w:szCs w:val="18"/>
              </w:rPr>
            </w:pPr>
          </w:p>
        </w:tc>
      </w:tr>
      <w:tr w:rsidR="00F55C31" w:rsidRPr="004C78D8" w14:paraId="20C9B19C" w14:textId="7AE6FBFF" w:rsidTr="00E35893">
        <w:tc>
          <w:tcPr>
            <w:tcW w:w="1271" w:type="dxa"/>
            <w:tcBorders>
              <w:top w:val="nil"/>
              <w:bottom w:val="single" w:sz="4" w:space="0" w:color="auto"/>
            </w:tcBorders>
          </w:tcPr>
          <w:p w14:paraId="034F0901" w14:textId="77777777" w:rsidR="00F55C31" w:rsidRPr="004C78D8" w:rsidRDefault="00F55C31" w:rsidP="00FB7C1F">
            <w:pPr>
              <w:jc w:val="left"/>
              <w:rPr>
                <w:sz w:val="18"/>
                <w:szCs w:val="18"/>
              </w:rPr>
            </w:pPr>
          </w:p>
        </w:tc>
        <w:tc>
          <w:tcPr>
            <w:tcW w:w="1418" w:type="dxa"/>
            <w:tcBorders>
              <w:top w:val="nil"/>
              <w:bottom w:val="single" w:sz="4" w:space="0" w:color="auto"/>
            </w:tcBorders>
          </w:tcPr>
          <w:p w14:paraId="0A19279C" w14:textId="46FA2ABE" w:rsidR="00F55C31" w:rsidRPr="004C78D8" w:rsidRDefault="00F55C31" w:rsidP="00FB7C1F">
            <w:pPr>
              <w:jc w:val="center"/>
              <w:rPr>
                <w:sz w:val="18"/>
                <w:szCs w:val="18"/>
              </w:rPr>
            </w:pPr>
            <w:r w:rsidRPr="004C78D8">
              <w:rPr>
                <w:sz w:val="18"/>
                <w:szCs w:val="18"/>
              </w:rPr>
              <w:t>1 day/week</w:t>
            </w:r>
          </w:p>
        </w:tc>
        <w:tc>
          <w:tcPr>
            <w:tcW w:w="1417" w:type="dxa"/>
            <w:tcBorders>
              <w:top w:val="nil"/>
              <w:bottom w:val="single" w:sz="4" w:space="0" w:color="auto"/>
            </w:tcBorders>
          </w:tcPr>
          <w:p w14:paraId="021140A7" w14:textId="6DBAA860" w:rsidR="00F55C31" w:rsidRPr="004C78D8" w:rsidRDefault="00F55C31" w:rsidP="00FB7C1F">
            <w:pPr>
              <w:jc w:val="center"/>
              <w:rPr>
                <w:sz w:val="18"/>
                <w:szCs w:val="18"/>
              </w:rPr>
            </w:pPr>
            <w:r w:rsidRPr="004C78D8">
              <w:rPr>
                <w:sz w:val="18"/>
                <w:szCs w:val="18"/>
              </w:rPr>
              <w:t>31.8%</w:t>
            </w:r>
          </w:p>
        </w:tc>
        <w:tc>
          <w:tcPr>
            <w:tcW w:w="1701" w:type="dxa"/>
            <w:tcBorders>
              <w:top w:val="nil"/>
              <w:bottom w:val="single" w:sz="4" w:space="0" w:color="auto"/>
            </w:tcBorders>
          </w:tcPr>
          <w:p w14:paraId="6AE9FAE2" w14:textId="77777777" w:rsidR="00F55C31" w:rsidRPr="004C78D8" w:rsidRDefault="00F55C31" w:rsidP="00FB7C1F">
            <w:pPr>
              <w:jc w:val="center"/>
              <w:rPr>
                <w:sz w:val="18"/>
                <w:szCs w:val="18"/>
              </w:rPr>
            </w:pPr>
          </w:p>
        </w:tc>
        <w:tc>
          <w:tcPr>
            <w:tcW w:w="1843" w:type="dxa"/>
            <w:tcBorders>
              <w:top w:val="nil"/>
              <w:bottom w:val="single" w:sz="4" w:space="0" w:color="auto"/>
            </w:tcBorders>
          </w:tcPr>
          <w:p w14:paraId="0A5E688A" w14:textId="77777777" w:rsidR="00F55C31" w:rsidRPr="004C78D8" w:rsidRDefault="00F55C31" w:rsidP="00FB7C1F">
            <w:pPr>
              <w:jc w:val="center"/>
              <w:rPr>
                <w:sz w:val="18"/>
                <w:szCs w:val="18"/>
              </w:rPr>
            </w:pPr>
          </w:p>
        </w:tc>
      </w:tr>
      <w:tr w:rsidR="00F55C31" w:rsidRPr="004C78D8" w14:paraId="18D8608F" w14:textId="62DD3632" w:rsidTr="00E35893">
        <w:tc>
          <w:tcPr>
            <w:tcW w:w="1271" w:type="dxa"/>
            <w:tcBorders>
              <w:bottom w:val="nil"/>
            </w:tcBorders>
          </w:tcPr>
          <w:p w14:paraId="454402AA" w14:textId="1A22D483" w:rsidR="00F55C31" w:rsidRPr="004C78D8" w:rsidRDefault="00F55C31" w:rsidP="00FB7C1F">
            <w:pPr>
              <w:jc w:val="left"/>
              <w:rPr>
                <w:sz w:val="18"/>
                <w:szCs w:val="18"/>
              </w:rPr>
            </w:pPr>
            <w:r w:rsidRPr="004C78D8">
              <w:rPr>
                <w:sz w:val="18"/>
                <w:szCs w:val="18"/>
              </w:rPr>
              <w:t>Multiple</w:t>
            </w:r>
          </w:p>
        </w:tc>
        <w:tc>
          <w:tcPr>
            <w:tcW w:w="1418" w:type="dxa"/>
            <w:tcBorders>
              <w:bottom w:val="nil"/>
            </w:tcBorders>
          </w:tcPr>
          <w:p w14:paraId="5D27002F" w14:textId="0CE7002D" w:rsidR="00F55C31" w:rsidRPr="004C78D8" w:rsidRDefault="00F55C31" w:rsidP="00FB7C1F">
            <w:pPr>
              <w:jc w:val="center"/>
              <w:rPr>
                <w:sz w:val="18"/>
                <w:szCs w:val="18"/>
              </w:rPr>
            </w:pPr>
            <w:r w:rsidRPr="004C78D8">
              <w:rPr>
                <w:sz w:val="18"/>
                <w:szCs w:val="18"/>
              </w:rPr>
              <w:t>7 days/week</w:t>
            </w:r>
          </w:p>
        </w:tc>
        <w:tc>
          <w:tcPr>
            <w:tcW w:w="1417" w:type="dxa"/>
            <w:tcBorders>
              <w:bottom w:val="nil"/>
            </w:tcBorders>
          </w:tcPr>
          <w:p w14:paraId="3C3EEF67" w14:textId="6F3D1758" w:rsidR="00F55C31" w:rsidRPr="004C78D8" w:rsidRDefault="00F55C31" w:rsidP="00FB7C1F">
            <w:pPr>
              <w:jc w:val="center"/>
              <w:rPr>
                <w:sz w:val="18"/>
                <w:szCs w:val="18"/>
              </w:rPr>
            </w:pPr>
            <w:r w:rsidRPr="004C78D8">
              <w:rPr>
                <w:sz w:val="18"/>
                <w:szCs w:val="18"/>
              </w:rPr>
              <w:t>83.5%</w:t>
            </w:r>
          </w:p>
        </w:tc>
        <w:tc>
          <w:tcPr>
            <w:tcW w:w="1701" w:type="dxa"/>
            <w:tcBorders>
              <w:bottom w:val="nil"/>
            </w:tcBorders>
          </w:tcPr>
          <w:p w14:paraId="55732493" w14:textId="31EE0D45" w:rsidR="00F55C31" w:rsidRPr="004C78D8" w:rsidRDefault="00F55C31" w:rsidP="00FB7C1F">
            <w:pPr>
              <w:jc w:val="center"/>
              <w:rPr>
                <w:sz w:val="18"/>
                <w:szCs w:val="18"/>
              </w:rPr>
            </w:pPr>
            <w:r w:rsidRPr="004C78D8">
              <w:rPr>
                <w:sz w:val="18"/>
                <w:szCs w:val="18"/>
              </w:rPr>
              <w:t>15.2</w:t>
            </w:r>
          </w:p>
        </w:tc>
        <w:tc>
          <w:tcPr>
            <w:tcW w:w="1843" w:type="dxa"/>
            <w:tcBorders>
              <w:bottom w:val="nil"/>
            </w:tcBorders>
          </w:tcPr>
          <w:p w14:paraId="5B75019E" w14:textId="1C39D80F" w:rsidR="00F55C31" w:rsidRPr="004C78D8" w:rsidRDefault="00DB4234" w:rsidP="00FB7C1F">
            <w:pPr>
              <w:jc w:val="center"/>
              <w:rPr>
                <w:sz w:val="18"/>
                <w:szCs w:val="18"/>
              </w:rPr>
            </w:pPr>
            <w:r w:rsidRPr="004C78D8">
              <w:rPr>
                <w:sz w:val="18"/>
                <w:szCs w:val="18"/>
              </w:rPr>
              <w:t>£16,601.13</w:t>
            </w:r>
          </w:p>
        </w:tc>
      </w:tr>
      <w:tr w:rsidR="00F55C31" w:rsidRPr="004C78D8" w14:paraId="3C6778D8" w14:textId="32CBE1FE" w:rsidTr="00E35893">
        <w:tc>
          <w:tcPr>
            <w:tcW w:w="1271" w:type="dxa"/>
            <w:tcBorders>
              <w:top w:val="nil"/>
              <w:bottom w:val="nil"/>
            </w:tcBorders>
          </w:tcPr>
          <w:p w14:paraId="61BE455D" w14:textId="77777777" w:rsidR="00F55C31" w:rsidRPr="004C78D8" w:rsidRDefault="00F55C31" w:rsidP="00FB7C1F">
            <w:pPr>
              <w:jc w:val="left"/>
              <w:rPr>
                <w:sz w:val="18"/>
                <w:szCs w:val="18"/>
              </w:rPr>
            </w:pPr>
          </w:p>
        </w:tc>
        <w:tc>
          <w:tcPr>
            <w:tcW w:w="1418" w:type="dxa"/>
            <w:tcBorders>
              <w:top w:val="nil"/>
              <w:bottom w:val="nil"/>
            </w:tcBorders>
          </w:tcPr>
          <w:p w14:paraId="5B77E09E" w14:textId="14FE6696" w:rsidR="00F55C31" w:rsidRPr="004C78D8" w:rsidRDefault="00F55C31" w:rsidP="00FB7C1F">
            <w:pPr>
              <w:jc w:val="center"/>
              <w:rPr>
                <w:sz w:val="18"/>
                <w:szCs w:val="18"/>
              </w:rPr>
            </w:pPr>
            <w:r w:rsidRPr="004C78D8">
              <w:rPr>
                <w:sz w:val="18"/>
                <w:szCs w:val="18"/>
              </w:rPr>
              <w:t>2 days/week</w:t>
            </w:r>
          </w:p>
        </w:tc>
        <w:tc>
          <w:tcPr>
            <w:tcW w:w="1417" w:type="dxa"/>
            <w:tcBorders>
              <w:top w:val="nil"/>
              <w:bottom w:val="nil"/>
            </w:tcBorders>
          </w:tcPr>
          <w:p w14:paraId="20F0F374" w14:textId="77E9B085" w:rsidR="00F55C31" w:rsidRPr="004C78D8" w:rsidRDefault="00F55C31" w:rsidP="00FB7C1F">
            <w:pPr>
              <w:jc w:val="center"/>
              <w:rPr>
                <w:sz w:val="18"/>
                <w:szCs w:val="18"/>
              </w:rPr>
            </w:pPr>
            <w:r w:rsidRPr="004C78D8">
              <w:rPr>
                <w:sz w:val="18"/>
                <w:szCs w:val="18"/>
              </w:rPr>
              <w:t>7.1%</w:t>
            </w:r>
          </w:p>
        </w:tc>
        <w:tc>
          <w:tcPr>
            <w:tcW w:w="1701" w:type="dxa"/>
            <w:tcBorders>
              <w:top w:val="nil"/>
              <w:bottom w:val="nil"/>
            </w:tcBorders>
          </w:tcPr>
          <w:p w14:paraId="56B86BC0" w14:textId="77777777" w:rsidR="00F55C31" w:rsidRPr="004C78D8" w:rsidRDefault="00F55C31" w:rsidP="00FB7C1F">
            <w:pPr>
              <w:jc w:val="center"/>
              <w:rPr>
                <w:sz w:val="18"/>
                <w:szCs w:val="18"/>
              </w:rPr>
            </w:pPr>
          </w:p>
        </w:tc>
        <w:tc>
          <w:tcPr>
            <w:tcW w:w="1843" w:type="dxa"/>
            <w:tcBorders>
              <w:top w:val="nil"/>
              <w:bottom w:val="nil"/>
            </w:tcBorders>
          </w:tcPr>
          <w:p w14:paraId="52A98DB6" w14:textId="77777777" w:rsidR="00F55C31" w:rsidRPr="004C78D8" w:rsidRDefault="00F55C31" w:rsidP="00FB7C1F">
            <w:pPr>
              <w:jc w:val="center"/>
              <w:rPr>
                <w:sz w:val="18"/>
                <w:szCs w:val="18"/>
              </w:rPr>
            </w:pPr>
          </w:p>
        </w:tc>
      </w:tr>
      <w:tr w:rsidR="00F55C31" w:rsidRPr="004C78D8" w14:paraId="38E4F36B" w14:textId="4DAE610C" w:rsidTr="00E35893">
        <w:tc>
          <w:tcPr>
            <w:tcW w:w="1271" w:type="dxa"/>
            <w:tcBorders>
              <w:top w:val="nil"/>
            </w:tcBorders>
          </w:tcPr>
          <w:p w14:paraId="79C50B83" w14:textId="77777777" w:rsidR="00F55C31" w:rsidRPr="004C78D8" w:rsidRDefault="00F55C31" w:rsidP="00FB7C1F">
            <w:pPr>
              <w:jc w:val="left"/>
              <w:rPr>
                <w:sz w:val="18"/>
                <w:szCs w:val="18"/>
              </w:rPr>
            </w:pPr>
          </w:p>
        </w:tc>
        <w:tc>
          <w:tcPr>
            <w:tcW w:w="1418" w:type="dxa"/>
            <w:tcBorders>
              <w:top w:val="nil"/>
            </w:tcBorders>
          </w:tcPr>
          <w:p w14:paraId="1757A464" w14:textId="7EB250B8" w:rsidR="00F55C31" w:rsidRPr="004C78D8" w:rsidRDefault="00F55C31" w:rsidP="00FB7C1F">
            <w:pPr>
              <w:jc w:val="center"/>
              <w:rPr>
                <w:sz w:val="18"/>
                <w:szCs w:val="18"/>
              </w:rPr>
            </w:pPr>
            <w:r w:rsidRPr="004C78D8">
              <w:rPr>
                <w:sz w:val="18"/>
                <w:szCs w:val="18"/>
              </w:rPr>
              <w:t>1 day/week</w:t>
            </w:r>
          </w:p>
        </w:tc>
        <w:tc>
          <w:tcPr>
            <w:tcW w:w="1417" w:type="dxa"/>
            <w:tcBorders>
              <w:top w:val="nil"/>
            </w:tcBorders>
          </w:tcPr>
          <w:p w14:paraId="184A574A" w14:textId="6ABF339C" w:rsidR="00F55C31" w:rsidRPr="004C78D8" w:rsidRDefault="00F55C31" w:rsidP="00FB7C1F">
            <w:pPr>
              <w:jc w:val="center"/>
              <w:rPr>
                <w:sz w:val="18"/>
                <w:szCs w:val="18"/>
              </w:rPr>
            </w:pPr>
            <w:r w:rsidRPr="004C78D8">
              <w:rPr>
                <w:sz w:val="18"/>
                <w:szCs w:val="18"/>
              </w:rPr>
              <w:t>9.4%</w:t>
            </w:r>
          </w:p>
        </w:tc>
        <w:tc>
          <w:tcPr>
            <w:tcW w:w="1701" w:type="dxa"/>
            <w:tcBorders>
              <w:top w:val="nil"/>
            </w:tcBorders>
          </w:tcPr>
          <w:p w14:paraId="770365E1" w14:textId="77777777" w:rsidR="00F55C31" w:rsidRPr="004C78D8" w:rsidRDefault="00F55C31" w:rsidP="00FB7C1F">
            <w:pPr>
              <w:jc w:val="center"/>
              <w:rPr>
                <w:sz w:val="18"/>
                <w:szCs w:val="18"/>
              </w:rPr>
            </w:pPr>
          </w:p>
        </w:tc>
        <w:tc>
          <w:tcPr>
            <w:tcW w:w="1843" w:type="dxa"/>
            <w:tcBorders>
              <w:top w:val="nil"/>
            </w:tcBorders>
          </w:tcPr>
          <w:p w14:paraId="35CDF2B6" w14:textId="77777777" w:rsidR="00F55C31" w:rsidRPr="004C78D8" w:rsidRDefault="00F55C31" w:rsidP="00FB7C1F">
            <w:pPr>
              <w:jc w:val="center"/>
              <w:rPr>
                <w:sz w:val="18"/>
                <w:szCs w:val="18"/>
              </w:rPr>
            </w:pPr>
          </w:p>
        </w:tc>
      </w:tr>
      <w:tr w:rsidR="00F55C31" w:rsidRPr="004C78D8" w14:paraId="2B4E2C06" w14:textId="38E4F26E" w:rsidTr="00E35893">
        <w:tc>
          <w:tcPr>
            <w:tcW w:w="7650" w:type="dxa"/>
            <w:gridSpan w:val="5"/>
          </w:tcPr>
          <w:p w14:paraId="66E36477" w14:textId="1DC39589" w:rsidR="00F55C31" w:rsidRPr="004C78D8" w:rsidRDefault="00F55C31" w:rsidP="00FB7C1F">
            <w:pPr>
              <w:rPr>
                <w:sz w:val="18"/>
                <w:szCs w:val="18"/>
              </w:rPr>
            </w:pPr>
            <w:r w:rsidRPr="004C78D8">
              <w:rPr>
                <w:sz w:val="18"/>
                <w:szCs w:val="18"/>
                <w:vertAlign w:val="superscript"/>
              </w:rPr>
              <w:t>1</w:t>
            </w:r>
            <w:r w:rsidRPr="004C78D8">
              <w:rPr>
                <w:sz w:val="18"/>
                <w:szCs w:val="18"/>
              </w:rPr>
              <w:t xml:space="preserve"> Data taken from weekly social care receipt frequency. It is assumed that the frequency distribution by number of care needs for social care is generali</w:t>
            </w:r>
            <w:r w:rsidR="00E5056A" w:rsidRPr="004C78D8">
              <w:rPr>
                <w:sz w:val="18"/>
                <w:szCs w:val="18"/>
              </w:rPr>
              <w:t>s</w:t>
            </w:r>
            <w:r w:rsidRPr="004C78D8">
              <w:rPr>
                <w:sz w:val="18"/>
                <w:szCs w:val="18"/>
              </w:rPr>
              <w:t xml:space="preserve">able to informal care. </w:t>
            </w:r>
          </w:p>
          <w:p w14:paraId="56267554" w14:textId="77777777" w:rsidR="00F55C31" w:rsidRPr="004C78D8" w:rsidRDefault="00F55C31" w:rsidP="00FB7C1F">
            <w:pPr>
              <w:rPr>
                <w:sz w:val="18"/>
                <w:szCs w:val="18"/>
              </w:rPr>
            </w:pPr>
            <w:r w:rsidRPr="004C78D8">
              <w:rPr>
                <w:sz w:val="18"/>
                <w:szCs w:val="18"/>
                <w:vertAlign w:val="superscript"/>
              </w:rPr>
              <w:t>2</w:t>
            </w:r>
            <w:r w:rsidRPr="004C78D8">
              <w:rPr>
                <w:sz w:val="18"/>
                <w:szCs w:val="18"/>
              </w:rPr>
              <w:t xml:space="preserve"> Assumed 2.5 hours per visit.</w:t>
            </w:r>
          </w:p>
          <w:p w14:paraId="42353649" w14:textId="34310EAF" w:rsidR="00F55C31" w:rsidRPr="004C78D8" w:rsidRDefault="00F55C31" w:rsidP="00FB7C1F">
            <w:pPr>
              <w:rPr>
                <w:sz w:val="20"/>
                <w:szCs w:val="20"/>
              </w:rPr>
            </w:pPr>
            <w:r w:rsidRPr="004C78D8">
              <w:rPr>
                <w:sz w:val="18"/>
                <w:szCs w:val="18"/>
                <w:vertAlign w:val="superscript"/>
              </w:rPr>
              <w:t xml:space="preserve">3 </w:t>
            </w:r>
            <w:r w:rsidRPr="004C78D8">
              <w:rPr>
                <w:sz w:val="18"/>
                <w:szCs w:val="18"/>
              </w:rPr>
              <w:t>Estimated using proxy goods method: cost of £21 per care hour</w:t>
            </w:r>
            <w:r w:rsidR="004955CF" w:rsidRPr="004C78D8">
              <w:rPr>
                <w:sz w:val="18"/>
                <w:szCs w:val="18"/>
              </w:rPr>
              <w:t xml:space="preserve">; </w:t>
            </w:r>
            <w:r w:rsidRPr="004C78D8">
              <w:rPr>
                <w:sz w:val="18"/>
                <w:szCs w:val="18"/>
              </w:rPr>
              <w:t>52 weeks of care per year.</w:t>
            </w:r>
          </w:p>
        </w:tc>
      </w:tr>
    </w:tbl>
    <w:p w14:paraId="3F985007" w14:textId="4FC346CD" w:rsidR="0088677E" w:rsidRPr="004C78D8" w:rsidRDefault="0088677E" w:rsidP="00FB7C1F"/>
    <w:p w14:paraId="2ECF5C62" w14:textId="15E0A32F" w:rsidR="006F3BEE" w:rsidRPr="004C78D8" w:rsidRDefault="00015A89" w:rsidP="00FB7C1F">
      <w:r w:rsidRPr="004C78D8">
        <w:t xml:space="preserve">Finally, whether any receipt of informal care confers a measurable health benefit to the patient was explored. Tong, for example, incorporated an EQ-5D increment of 0.051 to dementia patients living with their caregivers, after adjusting for their MMSE score, behavioural score and residence </w:t>
      </w:r>
      <w:r w:rsidR="002505E0" w:rsidRPr="004C78D8">
        <w:fldChar w:fldCharType="begin"/>
      </w:r>
      <w:r w:rsidR="00513646" w:rsidRPr="004C78D8">
        <w:instrText xml:space="preserve"> ADDIN EN.CITE &lt;EndNote&gt;&lt;Cite&gt;&lt;Author&gt;Tong&lt;/Author&gt;&lt;Year&gt;2017&lt;/Year&gt;&lt;RecNum&gt;432&lt;/RecNum&gt;&lt;DisplayText&gt;[161]&lt;/DisplayText&gt;&lt;record&gt;&lt;rec-number&gt;432&lt;/rec-number&gt;&lt;foreign-keys&gt;&lt;key app="EN" db-id="tdtrdw9aepptzbefsat599syza29sxsd2wsp" timestamp="1616415999"&gt;432&lt;/key&gt;&lt;/foreign-keys&gt;&lt;ref-type name="Thesis"&gt;32&lt;/ref-type&gt;&lt;contributors&gt;&lt;authors&gt;&lt;author&gt;Tong, Thaison&lt;/author&gt;&lt;/authors&gt;&lt;/contributors&gt;&lt;titles&gt;&lt;title&gt;Broadening the perspective of economic evaluation in health care - A case study in dementia care in the UK&lt;/title&gt;&lt;/titles&gt;&lt;dates&gt;&lt;year&gt;2017&lt;/year&gt;&lt;/dates&gt;&lt;publisher&gt;University of Sheffield&lt;/publisher&gt;&lt;urls&gt;&lt;/urls&gt;&lt;/record&gt;&lt;/Cite&gt;&lt;/EndNote&gt;</w:instrText>
      </w:r>
      <w:r w:rsidR="002505E0" w:rsidRPr="004C78D8">
        <w:fldChar w:fldCharType="separate"/>
      </w:r>
      <w:r w:rsidR="00513646" w:rsidRPr="004C78D8">
        <w:rPr>
          <w:noProof/>
        </w:rPr>
        <w:t>[161]</w:t>
      </w:r>
      <w:r w:rsidR="002505E0" w:rsidRPr="004C78D8">
        <w:fldChar w:fldCharType="end"/>
      </w:r>
      <w:r w:rsidRPr="004C78D8">
        <w:t>. Using a similar multiple linear regression technique as Tong</w:t>
      </w:r>
      <w:r w:rsidR="005908BB" w:rsidRPr="004C78D8">
        <w:t xml:space="preserve">, the best-fit linear model for EQ-5D (Table </w:t>
      </w:r>
      <w:r w:rsidR="00D57F0D" w:rsidRPr="004C78D8">
        <w:t>5</w:t>
      </w:r>
      <w:r w:rsidR="002505E0" w:rsidRPr="004C78D8">
        <w:t>.1</w:t>
      </w:r>
      <w:r w:rsidR="00C7697E" w:rsidRPr="004C78D8">
        <w:t>4</w:t>
      </w:r>
      <w:r w:rsidR="005908BB" w:rsidRPr="004C78D8">
        <w:t>) was re-</w:t>
      </w:r>
      <w:r w:rsidRPr="004C78D8">
        <w:t>estimated</w:t>
      </w:r>
      <w:r w:rsidR="005908BB" w:rsidRPr="004C78D8">
        <w:t xml:space="preserve"> </w:t>
      </w:r>
      <w:r w:rsidR="002505E0" w:rsidRPr="004C78D8">
        <w:t xml:space="preserve">for a subset of ELSA individuals receiving any form of care </w:t>
      </w:r>
      <w:r w:rsidR="005908BB" w:rsidRPr="004C78D8">
        <w:t xml:space="preserve">with informal care </w:t>
      </w:r>
      <w:r w:rsidR="00B17CE0" w:rsidRPr="004C78D8">
        <w:t xml:space="preserve">receipt </w:t>
      </w:r>
      <w:r w:rsidR="005908BB" w:rsidRPr="004C78D8">
        <w:t xml:space="preserve">as an additional covariate. </w:t>
      </w:r>
      <w:r w:rsidR="006428FE" w:rsidRPr="004C78D8">
        <w:t xml:space="preserve">There was no statistically significant evidence of </w:t>
      </w:r>
      <w:r w:rsidRPr="004C78D8">
        <w:t>an EQ-5D increment</w:t>
      </w:r>
      <w:r w:rsidR="002505E0" w:rsidRPr="004C78D8">
        <w:t xml:space="preserve"> associated with informal care receipt relative to other forms of care</w:t>
      </w:r>
      <w:r w:rsidR="006428FE" w:rsidRPr="004C78D8">
        <w:t xml:space="preserve">. Hence, </w:t>
      </w:r>
      <w:r w:rsidRPr="004C78D8">
        <w:t>potential health</w:t>
      </w:r>
      <w:r w:rsidR="006428FE" w:rsidRPr="004C78D8">
        <w:t xml:space="preserve"> benefit of informal care was not incorporated in the model.</w:t>
      </w:r>
      <w:r w:rsidRPr="004C78D8">
        <w:t xml:space="preserve"> This, however, neglects potential non-health process benefits associated with informal care receipt</w:t>
      </w:r>
      <w:r w:rsidR="00B17CE0" w:rsidRPr="004C78D8">
        <w:t xml:space="preserve"> that are not captured by EQ-5D</w:t>
      </w:r>
      <w:r w:rsidRPr="004C78D8">
        <w:t>.</w:t>
      </w:r>
    </w:p>
    <w:p w14:paraId="44D8FC76" w14:textId="384B1F75" w:rsidR="002F0482" w:rsidRPr="004C78D8" w:rsidRDefault="002F0482" w:rsidP="00FB7C1F"/>
    <w:p w14:paraId="0924CE97" w14:textId="65E110D2" w:rsidR="00373C68" w:rsidRPr="004C78D8" w:rsidRDefault="00D57F0D" w:rsidP="00FB7C1F">
      <w:pPr>
        <w:pStyle w:val="Heading3"/>
      </w:pPr>
      <w:bookmarkStart w:id="151" w:name="_Toc111630777"/>
      <w:r w:rsidRPr="004C78D8">
        <w:t>5</w:t>
      </w:r>
      <w:r w:rsidR="00373C68" w:rsidRPr="004C78D8">
        <w:t>.</w:t>
      </w:r>
      <w:r w:rsidR="00127AB4" w:rsidRPr="004C78D8">
        <w:t>2</w:t>
      </w:r>
      <w:r w:rsidR="00373C68" w:rsidRPr="004C78D8">
        <w:t>.</w:t>
      </w:r>
      <w:r w:rsidR="00480861" w:rsidRPr="004C78D8">
        <w:t>4</w:t>
      </w:r>
      <w:r w:rsidR="00373C68" w:rsidRPr="004C78D8">
        <w:t xml:space="preserve"> Falls prevention </w:t>
      </w:r>
      <w:r w:rsidR="00104F72" w:rsidRPr="004C78D8">
        <w:t>strategy</w:t>
      </w:r>
      <w:bookmarkEnd w:id="151"/>
    </w:p>
    <w:p w14:paraId="3EF5F3C8" w14:textId="1FC772FC" w:rsidR="00637A54" w:rsidRPr="004C78D8" w:rsidRDefault="00133557" w:rsidP="00FB7C1F">
      <w:r w:rsidRPr="004C78D8">
        <w:t xml:space="preserve">As part of the </w:t>
      </w:r>
      <w:r w:rsidR="0039687C" w:rsidRPr="004C78D8">
        <w:t>conceptual model</w:t>
      </w:r>
      <w:r w:rsidRPr="004C78D8">
        <w:t xml:space="preserve">, Section 3.7 had discussed the </w:t>
      </w:r>
      <w:r w:rsidR="00A61CCC" w:rsidRPr="004C78D8">
        <w:t xml:space="preserve">current </w:t>
      </w:r>
      <w:r w:rsidRPr="004C78D8">
        <w:t xml:space="preserve">intervention </w:t>
      </w:r>
      <w:r w:rsidR="00A61CCC" w:rsidRPr="004C78D8">
        <w:t xml:space="preserve">practice in Sheffield (Section 3.7.1) and the recommended practices </w:t>
      </w:r>
      <w:r w:rsidRPr="004C78D8">
        <w:t>by the UK guidelines</w:t>
      </w:r>
      <w:r w:rsidR="00654E15" w:rsidRPr="004C78D8">
        <w:t xml:space="preserve"> (Section 3.7.</w:t>
      </w:r>
      <w:r w:rsidR="00A61CCC" w:rsidRPr="004C78D8">
        <w:t>2</w:t>
      </w:r>
      <w:r w:rsidR="00654E15" w:rsidRPr="004C78D8">
        <w:t>)</w:t>
      </w:r>
      <w:r w:rsidR="00A61CCC" w:rsidRPr="004C78D8">
        <w:t>.</w:t>
      </w:r>
      <w:r w:rsidRPr="004C78D8">
        <w:t xml:space="preserve"> </w:t>
      </w:r>
      <w:r w:rsidR="00B977BC" w:rsidRPr="004C78D8">
        <w:t>T</w:t>
      </w:r>
      <w:r w:rsidR="00654E15" w:rsidRPr="004C78D8">
        <w:t xml:space="preserve">he model represents </w:t>
      </w:r>
      <w:r w:rsidR="00A61CCC" w:rsidRPr="004C78D8">
        <w:t xml:space="preserve">these as </w:t>
      </w:r>
      <w:r w:rsidR="005C19D8" w:rsidRPr="004C78D8">
        <w:t xml:space="preserve">UC </w:t>
      </w:r>
      <w:r w:rsidR="00A61CCC" w:rsidRPr="004C78D8">
        <w:t xml:space="preserve">and </w:t>
      </w:r>
      <w:r w:rsidR="005C19D8" w:rsidRPr="004C78D8">
        <w:t xml:space="preserve">RC </w:t>
      </w:r>
      <w:r w:rsidR="00654E15" w:rsidRPr="004C78D8">
        <w:t>scenario</w:t>
      </w:r>
      <w:r w:rsidR="00A61CCC" w:rsidRPr="004C78D8">
        <w:t>s</w:t>
      </w:r>
      <w:r w:rsidR="002B40A0" w:rsidRPr="004C78D8">
        <w:t>, respectively,</w:t>
      </w:r>
      <w:r w:rsidR="00A61CCC" w:rsidRPr="004C78D8">
        <w:t xml:space="preserve"> </w:t>
      </w:r>
      <w:r w:rsidR="00233A6D" w:rsidRPr="004C78D8">
        <w:t>for</w:t>
      </w:r>
      <w:r w:rsidR="0039687C" w:rsidRPr="004C78D8">
        <w:t xml:space="preserve"> the base case analysis</w:t>
      </w:r>
      <w:r w:rsidR="00CB25B8" w:rsidRPr="004C78D8">
        <w:t xml:space="preserve">. Further intervention scenarios are </w:t>
      </w:r>
      <w:r w:rsidR="0075200C" w:rsidRPr="004C78D8">
        <w:t>discussed</w:t>
      </w:r>
      <w:r w:rsidR="00CB25B8" w:rsidRPr="004C78D8">
        <w:t xml:space="preserve"> in </w:t>
      </w:r>
      <w:r w:rsidR="0075200C" w:rsidRPr="004C78D8">
        <w:t xml:space="preserve">Section </w:t>
      </w:r>
      <w:r w:rsidR="00D57F0D" w:rsidRPr="004C78D8">
        <w:t>5</w:t>
      </w:r>
      <w:r w:rsidR="0075200C" w:rsidRPr="004C78D8">
        <w:t>.</w:t>
      </w:r>
      <w:r w:rsidR="00233A6D" w:rsidRPr="004C78D8">
        <w:t>4</w:t>
      </w:r>
      <w:r w:rsidR="0075200C" w:rsidRPr="004C78D8">
        <w:t>.</w:t>
      </w:r>
      <w:r w:rsidR="00233A6D" w:rsidRPr="004C78D8">
        <w:t>2</w:t>
      </w:r>
      <w:r w:rsidR="0075200C" w:rsidRPr="004C78D8">
        <w:t>.</w:t>
      </w:r>
      <w:r w:rsidR="00233A6D" w:rsidRPr="004C78D8">
        <w:t>3</w:t>
      </w:r>
      <w:r w:rsidR="00CB25B8" w:rsidRPr="004C78D8">
        <w:t>.</w:t>
      </w:r>
      <w:r w:rsidRPr="004C78D8">
        <w:t xml:space="preserve"> </w:t>
      </w:r>
      <w:r w:rsidR="003470F7" w:rsidRPr="004C78D8">
        <w:t xml:space="preserve">Section </w:t>
      </w:r>
      <w:r w:rsidR="00D57F0D" w:rsidRPr="004C78D8">
        <w:t>5</w:t>
      </w:r>
      <w:r w:rsidR="003470F7" w:rsidRPr="004C78D8">
        <w:t>.</w:t>
      </w:r>
      <w:r w:rsidR="00127AB4" w:rsidRPr="004C78D8">
        <w:t>2</w:t>
      </w:r>
      <w:r w:rsidR="003470F7" w:rsidRPr="004C78D8">
        <w:t xml:space="preserve">.4.1 provides an overview of the intervention pathways and types. Subsequent sections parameterise the </w:t>
      </w:r>
      <w:r w:rsidR="004B6828" w:rsidRPr="004C78D8">
        <w:t xml:space="preserve">following </w:t>
      </w:r>
      <w:r w:rsidR="0039687C" w:rsidRPr="004C78D8">
        <w:t xml:space="preserve">intervention </w:t>
      </w:r>
      <w:r w:rsidR="00654E15" w:rsidRPr="004C78D8">
        <w:t>features</w:t>
      </w:r>
      <w:r w:rsidRPr="004C78D8">
        <w:t xml:space="preserve">: </w:t>
      </w:r>
      <w:r w:rsidR="0039687C" w:rsidRPr="004C78D8">
        <w:t>access conditions</w:t>
      </w:r>
      <w:r w:rsidRPr="004C78D8">
        <w:t xml:space="preserve"> (Section </w:t>
      </w:r>
      <w:r w:rsidR="00D57F0D" w:rsidRPr="004C78D8">
        <w:t>5</w:t>
      </w:r>
      <w:r w:rsidRPr="004C78D8">
        <w:t>.</w:t>
      </w:r>
      <w:r w:rsidR="00127AB4" w:rsidRPr="004C78D8">
        <w:t>2</w:t>
      </w:r>
      <w:r w:rsidRPr="004C78D8">
        <w:t>.4.</w:t>
      </w:r>
      <w:r w:rsidR="005E4CD3" w:rsidRPr="004C78D8">
        <w:t>2</w:t>
      </w:r>
      <w:r w:rsidRPr="004C78D8">
        <w:t xml:space="preserve">); </w:t>
      </w:r>
      <w:r w:rsidR="005E4CD3" w:rsidRPr="004C78D8">
        <w:t xml:space="preserve">resource use and cost (Section </w:t>
      </w:r>
      <w:r w:rsidR="00D57F0D" w:rsidRPr="004C78D8">
        <w:t>5</w:t>
      </w:r>
      <w:r w:rsidR="005E4CD3" w:rsidRPr="004C78D8">
        <w:t>.</w:t>
      </w:r>
      <w:r w:rsidR="00127AB4" w:rsidRPr="004C78D8">
        <w:t>2</w:t>
      </w:r>
      <w:r w:rsidR="005E4CD3" w:rsidRPr="004C78D8">
        <w:t xml:space="preserve">.4.3); </w:t>
      </w:r>
      <w:r w:rsidRPr="004C78D8">
        <w:t xml:space="preserve">and efficacy (Section </w:t>
      </w:r>
      <w:r w:rsidR="00D57F0D" w:rsidRPr="004C78D8">
        <w:t>5</w:t>
      </w:r>
      <w:r w:rsidRPr="004C78D8">
        <w:t>.</w:t>
      </w:r>
      <w:r w:rsidR="00127AB4" w:rsidRPr="004C78D8">
        <w:t>2</w:t>
      </w:r>
      <w:r w:rsidRPr="004C78D8">
        <w:t>.4.4).</w:t>
      </w:r>
    </w:p>
    <w:p w14:paraId="001DDAAA" w14:textId="4192F7E0" w:rsidR="00697753" w:rsidRPr="004C78D8" w:rsidRDefault="00D57F0D" w:rsidP="00FB7C1F">
      <w:pPr>
        <w:pStyle w:val="Heading4"/>
      </w:pPr>
      <w:r w:rsidRPr="004C78D8">
        <w:t>5</w:t>
      </w:r>
      <w:r w:rsidR="00697753" w:rsidRPr="004C78D8">
        <w:t>.</w:t>
      </w:r>
      <w:r w:rsidR="00127AB4" w:rsidRPr="004C78D8">
        <w:t>2</w:t>
      </w:r>
      <w:r w:rsidR="00697753" w:rsidRPr="004C78D8">
        <w:t>.</w:t>
      </w:r>
      <w:r w:rsidR="00480861" w:rsidRPr="004C78D8">
        <w:t>4</w:t>
      </w:r>
      <w:r w:rsidR="00697753" w:rsidRPr="004C78D8">
        <w:t xml:space="preserve">.1 Intervention </w:t>
      </w:r>
      <w:r w:rsidR="005979BC" w:rsidRPr="004C78D8">
        <w:t>overview</w:t>
      </w:r>
    </w:p>
    <w:p w14:paraId="5CDD9BD0" w14:textId="3E3C2D68" w:rsidR="004F685F" w:rsidRPr="004C78D8" w:rsidRDefault="0064476C" w:rsidP="00FB7C1F">
      <w:r w:rsidRPr="004C78D8">
        <w:t>T</w:t>
      </w:r>
      <w:r w:rsidR="003D791B" w:rsidRPr="004C78D8">
        <w:t>he model incorporates three intervention pathways</w:t>
      </w:r>
      <w:r w:rsidR="00A41AC1" w:rsidRPr="004C78D8">
        <w:t xml:space="preserve"> operating in tandem</w:t>
      </w:r>
      <w:r w:rsidR="00D42FDD" w:rsidRPr="004C78D8">
        <w:t xml:space="preserve"> (i.e., non-mutually exclusive from the decision-maker’s perspective)</w:t>
      </w:r>
      <w:r w:rsidR="003D791B" w:rsidRPr="004C78D8">
        <w:t xml:space="preserve">: reactive, proactive, and self-referred. These pathways are mutually exclusive </w:t>
      </w:r>
      <w:r w:rsidR="00D42FDD" w:rsidRPr="004C78D8">
        <w:t xml:space="preserve">for individuals </w:t>
      </w:r>
      <w:r w:rsidR="003D791B" w:rsidRPr="004C78D8">
        <w:t>in any given annual cycle, though</w:t>
      </w:r>
      <w:r w:rsidR="004E2028" w:rsidRPr="004C78D8">
        <w:t xml:space="preserve"> </w:t>
      </w:r>
      <w:r w:rsidR="003D791B" w:rsidRPr="004C78D8">
        <w:t>the same individual could enter multiple pathways over the life</w:t>
      </w:r>
      <w:r w:rsidR="00D42FDD" w:rsidRPr="004C78D8">
        <w:t>-</w:t>
      </w:r>
      <w:r w:rsidR="003D791B" w:rsidRPr="004C78D8">
        <w:t>course as his/her characteristics and falls risk change.</w:t>
      </w:r>
      <w:r w:rsidR="00294628" w:rsidRPr="004C78D8">
        <w:t xml:space="preserve"> Table </w:t>
      </w:r>
      <w:r w:rsidR="00440095" w:rsidRPr="004C78D8">
        <w:t>5</w:t>
      </w:r>
      <w:r w:rsidR="00A41AC1" w:rsidRPr="004C78D8">
        <w:t>.2</w:t>
      </w:r>
      <w:r w:rsidR="00E61C64" w:rsidRPr="004C78D8">
        <w:t>5</w:t>
      </w:r>
      <w:r w:rsidR="00294628" w:rsidRPr="004C78D8">
        <w:t xml:space="preserve"> </w:t>
      </w:r>
      <w:r w:rsidR="00E50D52" w:rsidRPr="004C78D8">
        <w:t>describe</w:t>
      </w:r>
      <w:r w:rsidR="005C19D8" w:rsidRPr="004C78D8">
        <w:t>s</w:t>
      </w:r>
      <w:r w:rsidR="00E50D52" w:rsidRPr="004C78D8">
        <w:t xml:space="preserve"> the current and recommended </w:t>
      </w:r>
      <w:r w:rsidR="005C19D8" w:rsidRPr="004C78D8">
        <w:t>practices alongside their respective model scenarios</w:t>
      </w:r>
      <w:r w:rsidR="004F685F" w:rsidRPr="004C78D8">
        <w:t>. The</w:t>
      </w:r>
      <w:r w:rsidR="008C3CE1" w:rsidRPr="004C78D8">
        <w:t xml:space="preserve"> final </w:t>
      </w:r>
      <w:r w:rsidR="004F685F" w:rsidRPr="004C78D8">
        <w:t xml:space="preserve">column </w:t>
      </w:r>
      <w:r w:rsidR="008C3CE1" w:rsidRPr="004C78D8">
        <w:t>lists</w:t>
      </w:r>
      <w:r w:rsidR="0054606F" w:rsidRPr="004C78D8">
        <w:t xml:space="preserve"> </w:t>
      </w:r>
      <w:r w:rsidR="004F685F" w:rsidRPr="004C78D8">
        <w:t>the falls prevention RCT</w:t>
      </w:r>
      <w:r w:rsidR="0054606F" w:rsidRPr="004C78D8">
        <w:t>s</w:t>
      </w:r>
      <w:r w:rsidR="004F685F" w:rsidRPr="004C78D8">
        <w:t xml:space="preserve"> from which relevant intervention evidence (e.g., efficacy</w:t>
      </w:r>
      <w:r w:rsidR="008C3CE1" w:rsidRPr="004C78D8">
        <w:t>, uptake rate</w:t>
      </w:r>
      <w:r w:rsidR="004F685F" w:rsidRPr="004C78D8">
        <w:t xml:space="preserve">) </w:t>
      </w:r>
      <w:r w:rsidR="0049500E" w:rsidRPr="004C78D8">
        <w:t>are</w:t>
      </w:r>
      <w:r w:rsidR="004F685F" w:rsidRPr="004C78D8">
        <w:t xml:space="preserve"> obtained</w:t>
      </w:r>
      <w:r w:rsidR="0049500E" w:rsidRPr="004C78D8">
        <w:t xml:space="preserve"> for each intervention</w:t>
      </w:r>
      <w:r w:rsidR="00D42FDD" w:rsidRPr="004C78D8">
        <w:t>.</w:t>
      </w:r>
    </w:p>
    <w:p w14:paraId="1CF3ACB0" w14:textId="1F97048C" w:rsidR="00CE103B" w:rsidRPr="004C78D8" w:rsidRDefault="00CE103B" w:rsidP="00FB7C1F"/>
    <w:p w14:paraId="1C873374" w14:textId="77777777" w:rsidR="00344941" w:rsidRPr="004C78D8" w:rsidRDefault="00344941" w:rsidP="00FB7C1F">
      <w:pPr>
        <w:sectPr w:rsidR="00344941" w:rsidRPr="004C78D8">
          <w:pgSz w:w="11906" w:h="16838"/>
          <w:pgMar w:top="1440" w:right="1440" w:bottom="1440" w:left="1440" w:header="708" w:footer="708" w:gutter="0"/>
          <w:cols w:space="708"/>
          <w:docGrid w:linePitch="360"/>
        </w:sectPr>
      </w:pPr>
    </w:p>
    <w:tbl>
      <w:tblPr>
        <w:tblStyle w:val="TableGrid"/>
        <w:tblW w:w="5000" w:type="pct"/>
        <w:tblLook w:val="04A0" w:firstRow="1" w:lastRow="0" w:firstColumn="1" w:lastColumn="0" w:noHBand="0" w:noVBand="1"/>
      </w:tblPr>
      <w:tblGrid>
        <w:gridCol w:w="1278"/>
        <w:gridCol w:w="1710"/>
        <w:gridCol w:w="2268"/>
        <w:gridCol w:w="5228"/>
        <w:gridCol w:w="1983"/>
        <w:gridCol w:w="1481"/>
      </w:tblGrid>
      <w:tr w:rsidR="00344941" w:rsidRPr="004C78D8" w14:paraId="710A1E7D" w14:textId="77777777" w:rsidTr="00E35893">
        <w:tc>
          <w:tcPr>
            <w:tcW w:w="5000" w:type="pct"/>
            <w:gridSpan w:val="6"/>
          </w:tcPr>
          <w:p w14:paraId="49B6488D" w14:textId="25A6D13D" w:rsidR="00344941" w:rsidRPr="004C78D8" w:rsidRDefault="00344941" w:rsidP="00FB7C1F">
            <w:r w:rsidRPr="004C78D8">
              <w:rPr>
                <w:b/>
                <w:bCs/>
              </w:rPr>
              <w:t xml:space="preserve">Table </w:t>
            </w:r>
            <w:r w:rsidR="00440095" w:rsidRPr="004C78D8">
              <w:rPr>
                <w:b/>
                <w:bCs/>
              </w:rPr>
              <w:t>5</w:t>
            </w:r>
            <w:r w:rsidR="00A41AC1" w:rsidRPr="004C78D8">
              <w:rPr>
                <w:b/>
                <w:bCs/>
              </w:rPr>
              <w:t>.2</w:t>
            </w:r>
            <w:r w:rsidR="00F96510" w:rsidRPr="004C78D8">
              <w:rPr>
                <w:b/>
                <w:bCs/>
              </w:rPr>
              <w:t>5</w:t>
            </w:r>
            <w:r w:rsidRPr="004C78D8">
              <w:t xml:space="preserve"> </w:t>
            </w:r>
            <w:r w:rsidR="00BF43E8" w:rsidRPr="004C78D8">
              <w:t>F</w:t>
            </w:r>
            <w:r w:rsidRPr="004C78D8">
              <w:t>alls prevention intervention</w:t>
            </w:r>
            <w:r w:rsidR="00BF43E8" w:rsidRPr="004C78D8">
              <w:t xml:space="preserve"> features</w:t>
            </w:r>
            <w:r w:rsidRPr="004C78D8">
              <w:t xml:space="preserve"> by </w:t>
            </w:r>
            <w:r w:rsidR="00BF43E8" w:rsidRPr="004C78D8">
              <w:t xml:space="preserve">intervention </w:t>
            </w:r>
            <w:r w:rsidRPr="004C78D8">
              <w:t>pathway</w:t>
            </w:r>
            <w:r w:rsidR="00BF43E8" w:rsidRPr="004C78D8">
              <w:t xml:space="preserve"> and configuration</w:t>
            </w:r>
            <w:r w:rsidR="00654C0D" w:rsidRPr="004C78D8">
              <w:t>.</w:t>
            </w:r>
          </w:p>
        </w:tc>
      </w:tr>
      <w:tr w:rsidR="00344941" w:rsidRPr="004C78D8" w14:paraId="3E410C51" w14:textId="77777777" w:rsidTr="00E35893">
        <w:tc>
          <w:tcPr>
            <w:tcW w:w="458" w:type="pct"/>
            <w:tcBorders>
              <w:bottom w:val="single" w:sz="4" w:space="0" w:color="auto"/>
            </w:tcBorders>
          </w:tcPr>
          <w:p w14:paraId="2C409660" w14:textId="4F2EDBDC" w:rsidR="00344941" w:rsidRPr="004C78D8" w:rsidRDefault="00344941" w:rsidP="00FB7C1F">
            <w:pPr>
              <w:jc w:val="left"/>
              <w:rPr>
                <w:sz w:val="20"/>
                <w:szCs w:val="20"/>
              </w:rPr>
            </w:pPr>
            <w:r w:rsidRPr="004C78D8">
              <w:rPr>
                <w:b/>
                <w:bCs/>
                <w:sz w:val="20"/>
                <w:szCs w:val="20"/>
              </w:rPr>
              <w:t>Pathway</w:t>
            </w:r>
          </w:p>
        </w:tc>
        <w:tc>
          <w:tcPr>
            <w:tcW w:w="613" w:type="pct"/>
            <w:tcBorders>
              <w:bottom w:val="single" w:sz="4" w:space="0" w:color="auto"/>
            </w:tcBorders>
          </w:tcPr>
          <w:p w14:paraId="44D5A92E" w14:textId="11D9B834" w:rsidR="00344941" w:rsidRPr="004C78D8" w:rsidRDefault="00344941" w:rsidP="00FB7C1F">
            <w:pPr>
              <w:jc w:val="left"/>
              <w:rPr>
                <w:sz w:val="20"/>
                <w:szCs w:val="20"/>
              </w:rPr>
            </w:pPr>
            <w:r w:rsidRPr="004C78D8">
              <w:rPr>
                <w:b/>
                <w:bCs/>
                <w:sz w:val="20"/>
                <w:szCs w:val="20"/>
              </w:rPr>
              <w:t>Configuration</w:t>
            </w:r>
          </w:p>
        </w:tc>
        <w:tc>
          <w:tcPr>
            <w:tcW w:w="813" w:type="pct"/>
          </w:tcPr>
          <w:p w14:paraId="53C82E6A" w14:textId="1B5D3C29" w:rsidR="00344941" w:rsidRPr="004C78D8" w:rsidRDefault="004D1F82" w:rsidP="00FB7C1F">
            <w:pPr>
              <w:jc w:val="left"/>
              <w:rPr>
                <w:b/>
                <w:bCs/>
                <w:sz w:val="20"/>
                <w:szCs w:val="20"/>
              </w:rPr>
            </w:pPr>
            <w:r w:rsidRPr="004C78D8">
              <w:rPr>
                <w:b/>
                <w:bCs/>
                <w:sz w:val="20"/>
                <w:szCs w:val="20"/>
              </w:rPr>
              <w:t xml:space="preserve">Target </w:t>
            </w:r>
            <w:r w:rsidR="003B5D55" w:rsidRPr="004C78D8">
              <w:rPr>
                <w:b/>
                <w:bCs/>
                <w:sz w:val="20"/>
                <w:szCs w:val="20"/>
              </w:rPr>
              <w:t>p</w:t>
            </w:r>
            <w:r w:rsidR="00452C2C" w:rsidRPr="004C78D8">
              <w:rPr>
                <w:b/>
                <w:bCs/>
                <w:sz w:val="20"/>
                <w:szCs w:val="20"/>
              </w:rPr>
              <w:t>opulation</w:t>
            </w:r>
          </w:p>
        </w:tc>
        <w:tc>
          <w:tcPr>
            <w:tcW w:w="1874" w:type="pct"/>
          </w:tcPr>
          <w:p w14:paraId="41A97724" w14:textId="3BA8AB18" w:rsidR="00344941" w:rsidRPr="004C78D8" w:rsidRDefault="00452C2C" w:rsidP="00FB7C1F">
            <w:pPr>
              <w:jc w:val="left"/>
              <w:rPr>
                <w:b/>
                <w:bCs/>
                <w:sz w:val="20"/>
                <w:szCs w:val="20"/>
              </w:rPr>
            </w:pPr>
            <w:r w:rsidRPr="004C78D8">
              <w:rPr>
                <w:b/>
                <w:bCs/>
                <w:sz w:val="20"/>
                <w:szCs w:val="20"/>
              </w:rPr>
              <w:t>Intervention type</w:t>
            </w:r>
          </w:p>
        </w:tc>
        <w:tc>
          <w:tcPr>
            <w:tcW w:w="711" w:type="pct"/>
            <w:tcBorders>
              <w:bottom w:val="single" w:sz="4" w:space="0" w:color="auto"/>
            </w:tcBorders>
          </w:tcPr>
          <w:p w14:paraId="1D4C89BB" w14:textId="5D61746B" w:rsidR="00344941" w:rsidRPr="004C78D8" w:rsidRDefault="00452C2C" w:rsidP="00FB7C1F">
            <w:pPr>
              <w:jc w:val="left"/>
              <w:rPr>
                <w:b/>
                <w:bCs/>
                <w:sz w:val="20"/>
                <w:szCs w:val="20"/>
              </w:rPr>
            </w:pPr>
            <w:r w:rsidRPr="004C78D8">
              <w:rPr>
                <w:b/>
                <w:bCs/>
                <w:sz w:val="20"/>
                <w:szCs w:val="20"/>
              </w:rPr>
              <w:t>Access</w:t>
            </w:r>
            <w:r w:rsidR="00A41866" w:rsidRPr="004C78D8">
              <w:rPr>
                <w:b/>
                <w:bCs/>
                <w:sz w:val="20"/>
                <w:szCs w:val="20"/>
              </w:rPr>
              <w:t xml:space="preserve"> condition</w:t>
            </w:r>
          </w:p>
        </w:tc>
        <w:tc>
          <w:tcPr>
            <w:tcW w:w="531" w:type="pct"/>
            <w:tcBorders>
              <w:bottom w:val="single" w:sz="4" w:space="0" w:color="auto"/>
            </w:tcBorders>
          </w:tcPr>
          <w:p w14:paraId="1C4C82C2" w14:textId="25D50368" w:rsidR="00344941" w:rsidRPr="004C78D8" w:rsidRDefault="00CB0A5E" w:rsidP="00FB7C1F">
            <w:pPr>
              <w:jc w:val="left"/>
              <w:rPr>
                <w:b/>
                <w:bCs/>
                <w:sz w:val="20"/>
                <w:szCs w:val="20"/>
              </w:rPr>
            </w:pPr>
            <w:r w:rsidRPr="004C78D8">
              <w:rPr>
                <w:b/>
                <w:bCs/>
                <w:sz w:val="20"/>
                <w:szCs w:val="20"/>
              </w:rPr>
              <w:t>RCT evidence</w:t>
            </w:r>
          </w:p>
        </w:tc>
      </w:tr>
      <w:tr w:rsidR="00880CF7" w:rsidRPr="004C78D8" w14:paraId="31CCE92B" w14:textId="77777777" w:rsidTr="00E35893">
        <w:tc>
          <w:tcPr>
            <w:tcW w:w="458" w:type="pct"/>
            <w:vMerge w:val="restart"/>
          </w:tcPr>
          <w:p w14:paraId="60824FF9" w14:textId="3DC63A41" w:rsidR="00880CF7" w:rsidRPr="004C78D8" w:rsidRDefault="00880CF7" w:rsidP="00FB7C1F">
            <w:pPr>
              <w:jc w:val="left"/>
              <w:rPr>
                <w:sz w:val="20"/>
                <w:szCs w:val="20"/>
              </w:rPr>
            </w:pPr>
            <w:r w:rsidRPr="004C78D8">
              <w:rPr>
                <w:sz w:val="20"/>
                <w:szCs w:val="20"/>
              </w:rPr>
              <w:t>Reactive</w:t>
            </w:r>
          </w:p>
        </w:tc>
        <w:tc>
          <w:tcPr>
            <w:tcW w:w="613" w:type="pct"/>
            <w:tcBorders>
              <w:bottom w:val="nil"/>
            </w:tcBorders>
          </w:tcPr>
          <w:p w14:paraId="0242E76A" w14:textId="5BBACB4F" w:rsidR="00880CF7" w:rsidRPr="004C78D8" w:rsidRDefault="00880CF7" w:rsidP="00FB7C1F">
            <w:pPr>
              <w:jc w:val="left"/>
              <w:rPr>
                <w:sz w:val="20"/>
                <w:szCs w:val="20"/>
              </w:rPr>
            </w:pPr>
            <w:r w:rsidRPr="004C78D8">
              <w:rPr>
                <w:sz w:val="20"/>
                <w:szCs w:val="20"/>
              </w:rPr>
              <w:t xml:space="preserve">Current practice </w:t>
            </w:r>
          </w:p>
        </w:tc>
        <w:tc>
          <w:tcPr>
            <w:tcW w:w="813" w:type="pct"/>
          </w:tcPr>
          <w:p w14:paraId="5BB48CD2" w14:textId="5E74E064" w:rsidR="00880CF7" w:rsidRPr="004C78D8" w:rsidRDefault="00880CF7" w:rsidP="00FB7C1F">
            <w:pPr>
              <w:jc w:val="left"/>
              <w:rPr>
                <w:sz w:val="20"/>
                <w:szCs w:val="20"/>
              </w:rPr>
            </w:pPr>
            <w:r w:rsidRPr="004C78D8">
              <w:rPr>
                <w:sz w:val="20"/>
                <w:szCs w:val="20"/>
              </w:rPr>
              <w:t>MA fall patients</w:t>
            </w:r>
          </w:p>
        </w:tc>
        <w:tc>
          <w:tcPr>
            <w:tcW w:w="1874" w:type="pct"/>
          </w:tcPr>
          <w:p w14:paraId="388B40CA" w14:textId="17CD184B" w:rsidR="00880CF7" w:rsidRPr="004C78D8" w:rsidRDefault="00880CF7" w:rsidP="00FB7C1F">
            <w:pPr>
              <w:pStyle w:val="ListParagraph"/>
              <w:numPr>
                <w:ilvl w:val="0"/>
                <w:numId w:val="4"/>
              </w:numPr>
              <w:ind w:left="180" w:hanging="219"/>
              <w:jc w:val="left"/>
              <w:rPr>
                <w:sz w:val="20"/>
                <w:szCs w:val="20"/>
              </w:rPr>
            </w:pPr>
            <w:r w:rsidRPr="004C78D8">
              <w:rPr>
                <w:sz w:val="20"/>
                <w:szCs w:val="20"/>
              </w:rPr>
              <w:t>M</w:t>
            </w:r>
            <w:r w:rsidR="00A16CC4" w:rsidRPr="004C78D8">
              <w:rPr>
                <w:sz w:val="20"/>
                <w:szCs w:val="20"/>
              </w:rPr>
              <w:t>ixed</w:t>
            </w:r>
            <w:r w:rsidR="00166F77" w:rsidRPr="004C78D8">
              <w:rPr>
                <w:sz w:val="20"/>
                <w:szCs w:val="20"/>
                <w:vertAlign w:val="superscript"/>
              </w:rPr>
              <w:t>1</w:t>
            </w:r>
            <w:r w:rsidRPr="004C78D8">
              <w:rPr>
                <w:sz w:val="20"/>
                <w:szCs w:val="20"/>
              </w:rPr>
              <w:t xml:space="preserve"> </w:t>
            </w:r>
          </w:p>
        </w:tc>
        <w:tc>
          <w:tcPr>
            <w:tcW w:w="711" w:type="pct"/>
            <w:tcBorders>
              <w:bottom w:val="nil"/>
              <w:right w:val="nil"/>
            </w:tcBorders>
          </w:tcPr>
          <w:p w14:paraId="51415076" w14:textId="6C66E545" w:rsidR="00880CF7" w:rsidRPr="004C78D8" w:rsidRDefault="00880CF7" w:rsidP="00FB7C1F">
            <w:pPr>
              <w:jc w:val="left"/>
              <w:rPr>
                <w:sz w:val="20"/>
                <w:szCs w:val="20"/>
              </w:rPr>
            </w:pPr>
          </w:p>
        </w:tc>
        <w:tc>
          <w:tcPr>
            <w:tcW w:w="531" w:type="pct"/>
            <w:tcBorders>
              <w:left w:val="nil"/>
              <w:bottom w:val="nil"/>
            </w:tcBorders>
          </w:tcPr>
          <w:p w14:paraId="51B898DB" w14:textId="55480CD9" w:rsidR="00880CF7" w:rsidRPr="004C78D8" w:rsidRDefault="00880CF7" w:rsidP="00FB7C1F">
            <w:pPr>
              <w:jc w:val="left"/>
              <w:rPr>
                <w:sz w:val="20"/>
                <w:szCs w:val="20"/>
              </w:rPr>
            </w:pPr>
          </w:p>
        </w:tc>
      </w:tr>
      <w:tr w:rsidR="00C671DB" w:rsidRPr="004C78D8" w14:paraId="14819B5D" w14:textId="77777777" w:rsidTr="00E35893">
        <w:tc>
          <w:tcPr>
            <w:tcW w:w="458" w:type="pct"/>
            <w:vMerge/>
          </w:tcPr>
          <w:p w14:paraId="40EEFEC8" w14:textId="77777777" w:rsidR="00C671DB" w:rsidRPr="004C78D8" w:rsidRDefault="00C671DB" w:rsidP="00FB7C1F">
            <w:pPr>
              <w:jc w:val="left"/>
              <w:rPr>
                <w:sz w:val="20"/>
                <w:szCs w:val="20"/>
              </w:rPr>
            </w:pPr>
          </w:p>
        </w:tc>
        <w:tc>
          <w:tcPr>
            <w:tcW w:w="613" w:type="pct"/>
            <w:tcBorders>
              <w:top w:val="nil"/>
              <w:bottom w:val="nil"/>
            </w:tcBorders>
          </w:tcPr>
          <w:p w14:paraId="2BB10CA8" w14:textId="77777777" w:rsidR="00C671DB" w:rsidRPr="004C78D8" w:rsidRDefault="00C671DB" w:rsidP="00FB7C1F">
            <w:pPr>
              <w:jc w:val="left"/>
              <w:rPr>
                <w:sz w:val="20"/>
                <w:szCs w:val="20"/>
              </w:rPr>
            </w:pPr>
          </w:p>
        </w:tc>
        <w:tc>
          <w:tcPr>
            <w:tcW w:w="813" w:type="pct"/>
          </w:tcPr>
          <w:p w14:paraId="423F663E" w14:textId="0698C9AC" w:rsidR="00C671DB" w:rsidRPr="004C78D8" w:rsidRDefault="001D5170" w:rsidP="00FB7C1F">
            <w:pPr>
              <w:jc w:val="left"/>
              <w:rPr>
                <w:sz w:val="20"/>
                <w:szCs w:val="20"/>
              </w:rPr>
            </w:pPr>
            <w:r w:rsidRPr="004C78D8">
              <w:rPr>
                <w:sz w:val="20"/>
                <w:szCs w:val="20"/>
              </w:rPr>
              <w:t>Cognitively impaired</w:t>
            </w:r>
          </w:p>
        </w:tc>
        <w:tc>
          <w:tcPr>
            <w:tcW w:w="1874" w:type="pct"/>
          </w:tcPr>
          <w:p w14:paraId="154230DE" w14:textId="32680CDD" w:rsidR="00C671DB" w:rsidRPr="004C78D8" w:rsidRDefault="00C671DB" w:rsidP="00FB7C1F">
            <w:pPr>
              <w:pStyle w:val="ListParagraph"/>
              <w:numPr>
                <w:ilvl w:val="0"/>
                <w:numId w:val="4"/>
              </w:numPr>
              <w:ind w:left="180" w:hanging="219"/>
              <w:jc w:val="left"/>
              <w:rPr>
                <w:sz w:val="20"/>
                <w:szCs w:val="20"/>
              </w:rPr>
            </w:pPr>
            <w:r w:rsidRPr="004C78D8">
              <w:rPr>
                <w:sz w:val="20"/>
                <w:szCs w:val="20"/>
              </w:rPr>
              <w:t>M</w:t>
            </w:r>
            <w:r w:rsidR="00A16CC4" w:rsidRPr="004C78D8">
              <w:rPr>
                <w:sz w:val="20"/>
                <w:szCs w:val="20"/>
              </w:rPr>
              <w:t>ixed</w:t>
            </w:r>
            <w:r w:rsidR="00A41AC1" w:rsidRPr="004C78D8">
              <w:rPr>
                <w:sz w:val="20"/>
                <w:szCs w:val="20"/>
                <w:vertAlign w:val="superscript"/>
              </w:rPr>
              <w:t>1</w:t>
            </w:r>
          </w:p>
        </w:tc>
        <w:tc>
          <w:tcPr>
            <w:tcW w:w="711" w:type="pct"/>
            <w:tcBorders>
              <w:top w:val="nil"/>
              <w:bottom w:val="nil"/>
              <w:right w:val="nil"/>
            </w:tcBorders>
          </w:tcPr>
          <w:p w14:paraId="27596E0C" w14:textId="4276772F" w:rsidR="00C671DB" w:rsidRPr="004C78D8" w:rsidRDefault="00C671DB" w:rsidP="00FB7C1F">
            <w:pPr>
              <w:jc w:val="left"/>
              <w:rPr>
                <w:sz w:val="20"/>
                <w:szCs w:val="20"/>
              </w:rPr>
            </w:pPr>
          </w:p>
        </w:tc>
        <w:tc>
          <w:tcPr>
            <w:tcW w:w="531" w:type="pct"/>
            <w:tcBorders>
              <w:top w:val="nil"/>
              <w:left w:val="nil"/>
              <w:bottom w:val="nil"/>
            </w:tcBorders>
          </w:tcPr>
          <w:p w14:paraId="2CDF7B15" w14:textId="4821C89C" w:rsidR="00C671DB" w:rsidRPr="004C78D8" w:rsidRDefault="00C671DB" w:rsidP="00FB7C1F">
            <w:pPr>
              <w:jc w:val="left"/>
              <w:rPr>
                <w:sz w:val="20"/>
                <w:szCs w:val="20"/>
              </w:rPr>
            </w:pPr>
          </w:p>
        </w:tc>
      </w:tr>
      <w:tr w:rsidR="00C671DB" w:rsidRPr="004C78D8" w14:paraId="40AE9ECB" w14:textId="77777777" w:rsidTr="00E35893">
        <w:tc>
          <w:tcPr>
            <w:tcW w:w="458" w:type="pct"/>
            <w:vMerge/>
          </w:tcPr>
          <w:p w14:paraId="28D9A126" w14:textId="77777777" w:rsidR="00C671DB" w:rsidRPr="004C78D8" w:rsidRDefault="00C671DB" w:rsidP="00FB7C1F">
            <w:pPr>
              <w:jc w:val="left"/>
              <w:rPr>
                <w:sz w:val="20"/>
                <w:szCs w:val="20"/>
              </w:rPr>
            </w:pPr>
          </w:p>
        </w:tc>
        <w:tc>
          <w:tcPr>
            <w:tcW w:w="613" w:type="pct"/>
            <w:tcBorders>
              <w:top w:val="nil"/>
              <w:bottom w:val="single" w:sz="4" w:space="0" w:color="auto"/>
            </w:tcBorders>
          </w:tcPr>
          <w:p w14:paraId="40080A38" w14:textId="77777777" w:rsidR="00C671DB" w:rsidRPr="004C78D8" w:rsidRDefault="00C671DB" w:rsidP="00FB7C1F">
            <w:pPr>
              <w:jc w:val="left"/>
              <w:rPr>
                <w:sz w:val="20"/>
                <w:szCs w:val="20"/>
              </w:rPr>
            </w:pPr>
          </w:p>
        </w:tc>
        <w:tc>
          <w:tcPr>
            <w:tcW w:w="813" w:type="pct"/>
          </w:tcPr>
          <w:p w14:paraId="0F7CD0E7" w14:textId="6FC7F8A3" w:rsidR="00C671DB" w:rsidRPr="004C78D8" w:rsidRDefault="00C671DB" w:rsidP="00FB7C1F">
            <w:pPr>
              <w:jc w:val="left"/>
              <w:rPr>
                <w:sz w:val="20"/>
                <w:szCs w:val="20"/>
              </w:rPr>
            </w:pPr>
            <w:r w:rsidRPr="004C78D8">
              <w:rPr>
                <w:sz w:val="20"/>
                <w:szCs w:val="20"/>
              </w:rPr>
              <w:t>With intervention history</w:t>
            </w:r>
          </w:p>
        </w:tc>
        <w:tc>
          <w:tcPr>
            <w:tcW w:w="1874" w:type="pct"/>
          </w:tcPr>
          <w:p w14:paraId="4266D721" w14:textId="5CC23780" w:rsidR="00C671DB" w:rsidRPr="004C78D8" w:rsidRDefault="00C671DB" w:rsidP="00FB7C1F">
            <w:pPr>
              <w:pStyle w:val="ListParagraph"/>
              <w:numPr>
                <w:ilvl w:val="0"/>
                <w:numId w:val="4"/>
              </w:numPr>
              <w:ind w:left="177" w:hanging="218"/>
              <w:jc w:val="left"/>
              <w:rPr>
                <w:sz w:val="20"/>
                <w:szCs w:val="20"/>
              </w:rPr>
            </w:pPr>
            <w:r w:rsidRPr="004C78D8">
              <w:rPr>
                <w:sz w:val="20"/>
                <w:szCs w:val="20"/>
              </w:rPr>
              <w:t>M</w:t>
            </w:r>
            <w:r w:rsidR="00A16CC4" w:rsidRPr="004C78D8">
              <w:rPr>
                <w:sz w:val="20"/>
                <w:szCs w:val="20"/>
              </w:rPr>
              <w:t>ixed</w:t>
            </w:r>
            <w:r w:rsidR="00A41AC1" w:rsidRPr="004C78D8">
              <w:rPr>
                <w:sz w:val="20"/>
                <w:szCs w:val="20"/>
                <w:vertAlign w:val="superscript"/>
              </w:rPr>
              <w:t>1</w:t>
            </w:r>
          </w:p>
        </w:tc>
        <w:tc>
          <w:tcPr>
            <w:tcW w:w="711" w:type="pct"/>
            <w:tcBorders>
              <w:top w:val="nil"/>
              <w:right w:val="nil"/>
            </w:tcBorders>
          </w:tcPr>
          <w:p w14:paraId="7E57E314" w14:textId="55C72E4C" w:rsidR="00C671DB" w:rsidRPr="004C78D8" w:rsidRDefault="00C671DB" w:rsidP="00FB7C1F">
            <w:pPr>
              <w:jc w:val="left"/>
              <w:rPr>
                <w:sz w:val="20"/>
                <w:szCs w:val="20"/>
              </w:rPr>
            </w:pPr>
          </w:p>
        </w:tc>
        <w:tc>
          <w:tcPr>
            <w:tcW w:w="531" w:type="pct"/>
            <w:tcBorders>
              <w:top w:val="nil"/>
              <w:left w:val="nil"/>
            </w:tcBorders>
          </w:tcPr>
          <w:p w14:paraId="0CAF6B28" w14:textId="5319D21A" w:rsidR="00C671DB" w:rsidRPr="004C78D8" w:rsidRDefault="00C671DB" w:rsidP="00FB7C1F">
            <w:pPr>
              <w:jc w:val="left"/>
              <w:rPr>
                <w:sz w:val="20"/>
                <w:szCs w:val="20"/>
              </w:rPr>
            </w:pPr>
          </w:p>
        </w:tc>
      </w:tr>
      <w:tr w:rsidR="00C671DB" w:rsidRPr="004C78D8" w14:paraId="736CEF40" w14:textId="77777777" w:rsidTr="00E35893">
        <w:tc>
          <w:tcPr>
            <w:tcW w:w="458" w:type="pct"/>
            <w:vMerge/>
          </w:tcPr>
          <w:p w14:paraId="7DBDF342" w14:textId="77777777" w:rsidR="00C671DB" w:rsidRPr="004C78D8" w:rsidRDefault="00C671DB" w:rsidP="00FB7C1F">
            <w:pPr>
              <w:jc w:val="left"/>
              <w:rPr>
                <w:sz w:val="20"/>
                <w:szCs w:val="20"/>
              </w:rPr>
            </w:pPr>
          </w:p>
        </w:tc>
        <w:tc>
          <w:tcPr>
            <w:tcW w:w="613" w:type="pct"/>
            <w:vMerge w:val="restart"/>
            <w:tcBorders>
              <w:top w:val="nil"/>
            </w:tcBorders>
            <w:shd w:val="clear" w:color="auto" w:fill="F2F2F2" w:themeFill="background1" w:themeFillShade="F2"/>
          </w:tcPr>
          <w:p w14:paraId="7B2A3584" w14:textId="1594C69F" w:rsidR="00C671DB" w:rsidRPr="004C78D8" w:rsidRDefault="00C671DB" w:rsidP="00FB7C1F">
            <w:pPr>
              <w:jc w:val="left"/>
              <w:rPr>
                <w:i/>
                <w:iCs/>
                <w:sz w:val="20"/>
                <w:szCs w:val="20"/>
              </w:rPr>
            </w:pPr>
            <w:r w:rsidRPr="004C78D8">
              <w:rPr>
                <w:i/>
                <w:iCs/>
                <w:sz w:val="20"/>
                <w:szCs w:val="20"/>
              </w:rPr>
              <w:t>Model usual care</w:t>
            </w:r>
            <w:r w:rsidR="00A41AC1" w:rsidRPr="004C78D8">
              <w:rPr>
                <w:i/>
                <w:iCs/>
                <w:sz w:val="20"/>
                <w:szCs w:val="20"/>
              </w:rPr>
              <w:t xml:space="preserve"> scenario</w:t>
            </w:r>
          </w:p>
        </w:tc>
        <w:tc>
          <w:tcPr>
            <w:tcW w:w="813" w:type="pct"/>
            <w:shd w:val="clear" w:color="auto" w:fill="F2F2F2" w:themeFill="background1" w:themeFillShade="F2"/>
          </w:tcPr>
          <w:p w14:paraId="1D54039D" w14:textId="5A3558A2" w:rsidR="00C671DB" w:rsidRPr="004C78D8" w:rsidRDefault="00C671DB" w:rsidP="00FB7C1F">
            <w:pPr>
              <w:jc w:val="left"/>
              <w:rPr>
                <w:sz w:val="20"/>
                <w:szCs w:val="20"/>
              </w:rPr>
            </w:pPr>
            <w:r w:rsidRPr="004C78D8">
              <w:rPr>
                <w:sz w:val="20"/>
                <w:szCs w:val="20"/>
              </w:rPr>
              <w:t>MA fall patients</w:t>
            </w:r>
          </w:p>
        </w:tc>
        <w:tc>
          <w:tcPr>
            <w:tcW w:w="1874" w:type="pct"/>
            <w:shd w:val="clear" w:color="auto" w:fill="F2F2F2" w:themeFill="background1" w:themeFillShade="F2"/>
          </w:tcPr>
          <w:p w14:paraId="3B1B5ED9" w14:textId="19D27F1A" w:rsidR="00C671DB" w:rsidRPr="004C78D8" w:rsidRDefault="00A16CC4" w:rsidP="00FB7C1F">
            <w:pPr>
              <w:pStyle w:val="ListParagraph"/>
              <w:numPr>
                <w:ilvl w:val="0"/>
                <w:numId w:val="4"/>
              </w:numPr>
              <w:ind w:left="177" w:hanging="218"/>
              <w:jc w:val="left"/>
              <w:rPr>
                <w:sz w:val="20"/>
                <w:szCs w:val="20"/>
              </w:rPr>
            </w:pPr>
            <w:r w:rsidRPr="004C78D8">
              <w:rPr>
                <w:sz w:val="20"/>
                <w:szCs w:val="20"/>
              </w:rPr>
              <w:t>H</w:t>
            </w:r>
            <w:r w:rsidR="00A41AC1" w:rsidRPr="004C78D8">
              <w:rPr>
                <w:sz w:val="20"/>
                <w:szCs w:val="20"/>
              </w:rPr>
              <w:t>ome assessment and modification (HAM)</w:t>
            </w:r>
          </w:p>
        </w:tc>
        <w:tc>
          <w:tcPr>
            <w:tcW w:w="711" w:type="pct"/>
            <w:shd w:val="clear" w:color="auto" w:fill="F2F2F2" w:themeFill="background1" w:themeFillShade="F2"/>
          </w:tcPr>
          <w:p w14:paraId="2412893E" w14:textId="411721E0" w:rsidR="00C671DB" w:rsidRPr="004C78D8" w:rsidRDefault="00C671DB" w:rsidP="00FB7C1F">
            <w:pPr>
              <w:jc w:val="left"/>
              <w:rPr>
                <w:sz w:val="20"/>
                <w:szCs w:val="20"/>
              </w:rPr>
            </w:pPr>
            <w:r w:rsidRPr="004C78D8">
              <w:rPr>
                <w:sz w:val="20"/>
                <w:szCs w:val="20"/>
              </w:rPr>
              <w:t>Limited access</w:t>
            </w:r>
            <w:r w:rsidR="00A41AC1" w:rsidRPr="004C78D8">
              <w:rPr>
                <w:sz w:val="20"/>
                <w:szCs w:val="20"/>
                <w:vertAlign w:val="superscript"/>
              </w:rPr>
              <w:t>2</w:t>
            </w:r>
          </w:p>
        </w:tc>
        <w:tc>
          <w:tcPr>
            <w:tcW w:w="531" w:type="pct"/>
            <w:shd w:val="clear" w:color="auto" w:fill="F2F2F2" w:themeFill="background1" w:themeFillShade="F2"/>
          </w:tcPr>
          <w:p w14:paraId="7627E444" w14:textId="2267DD28" w:rsidR="00C671DB" w:rsidRPr="004C78D8" w:rsidRDefault="00A41AC1" w:rsidP="00FB7C1F">
            <w:pPr>
              <w:jc w:val="left"/>
              <w:rPr>
                <w:sz w:val="20"/>
                <w:szCs w:val="20"/>
              </w:rPr>
            </w:pPr>
            <w:r w:rsidRPr="004C78D8">
              <w:rPr>
                <w:sz w:val="20"/>
                <w:szCs w:val="20"/>
              </w:rPr>
              <w:fldChar w:fldCharType="begin"/>
            </w:r>
            <w:r w:rsidR="00C630FC" w:rsidRPr="004C78D8">
              <w:rPr>
                <w:sz w:val="20"/>
                <w:szCs w:val="20"/>
              </w:rPr>
              <w:instrText xml:space="preserve"> ADDIN EN.CITE &lt;EndNote&gt;&lt;Cite&gt;&lt;Author&gt;Lockwood&lt;/Author&gt;&lt;Year&gt;2019&lt;/Year&gt;&lt;RecNum&gt;512&lt;/RecNum&gt;&lt;DisplayText&gt;[405]&lt;/DisplayText&gt;&lt;record&gt;&lt;rec-number&gt;512&lt;/rec-number&gt;&lt;foreign-keys&gt;&lt;key app="EN" db-id="tdtrdw9aepptzbefsat599syza29sxsd2wsp" timestamp="1617903216"&gt;512&lt;/key&gt;&lt;/foreign-keys&gt;&lt;ref-type name="Journal Article"&gt;17&lt;/ref-type&gt;&lt;contributors&gt;&lt;authors&gt;&lt;author&gt;Lockwood, Kylee J&lt;/author&gt;&lt;author&gt;Harding, Katherine E&lt;/author&gt;&lt;author&gt;Boyd, Jude N&lt;/author&gt;&lt;author&gt;Taylor, Nicholas F&lt;/author&gt;&lt;/authors&gt;&lt;/contributors&gt;&lt;titles&gt;&lt;title&gt;Predischarge home visits after hip fracture: a randomized controlled trial&lt;/title&gt;&lt;secondary-title&gt;Clinical rehabilitation&lt;/secondary-title&gt;&lt;/titles&gt;&lt;periodical&gt;&lt;full-title&gt;Clinical rehabilitation&lt;/full-title&gt;&lt;/periodical&gt;&lt;pages&gt;681-692&lt;/pages&gt;&lt;volume&gt;33&lt;/volume&gt;&lt;number&gt;4&lt;/number&gt;&lt;dates&gt;&lt;year&gt;2019&lt;/year&gt;&lt;/dates&gt;&lt;isbn&gt;0269-2155&lt;/isbn&gt;&lt;urls&gt;&lt;/urls&gt;&lt;/record&gt;&lt;/Cite&gt;&lt;/EndNote&gt;</w:instrText>
            </w:r>
            <w:r w:rsidRPr="004C78D8">
              <w:rPr>
                <w:sz w:val="20"/>
                <w:szCs w:val="20"/>
              </w:rPr>
              <w:fldChar w:fldCharType="separate"/>
            </w:r>
            <w:r w:rsidR="00C630FC" w:rsidRPr="004C78D8">
              <w:rPr>
                <w:noProof/>
                <w:sz w:val="20"/>
                <w:szCs w:val="20"/>
              </w:rPr>
              <w:t>[405]</w:t>
            </w:r>
            <w:r w:rsidRPr="004C78D8">
              <w:rPr>
                <w:sz w:val="20"/>
                <w:szCs w:val="20"/>
              </w:rPr>
              <w:fldChar w:fldCharType="end"/>
            </w:r>
          </w:p>
        </w:tc>
      </w:tr>
      <w:tr w:rsidR="00C671DB" w:rsidRPr="004C78D8" w14:paraId="71AD24A4" w14:textId="77777777" w:rsidTr="00E35893">
        <w:tc>
          <w:tcPr>
            <w:tcW w:w="458" w:type="pct"/>
            <w:vMerge/>
          </w:tcPr>
          <w:p w14:paraId="6BA56B52" w14:textId="77777777" w:rsidR="00C671DB" w:rsidRPr="004C78D8" w:rsidRDefault="00C671DB" w:rsidP="00FB7C1F">
            <w:pPr>
              <w:jc w:val="left"/>
              <w:rPr>
                <w:sz w:val="20"/>
                <w:szCs w:val="20"/>
              </w:rPr>
            </w:pPr>
          </w:p>
        </w:tc>
        <w:tc>
          <w:tcPr>
            <w:tcW w:w="613" w:type="pct"/>
            <w:vMerge/>
            <w:tcBorders>
              <w:top w:val="nil"/>
            </w:tcBorders>
            <w:shd w:val="clear" w:color="auto" w:fill="F2F2F2" w:themeFill="background1" w:themeFillShade="F2"/>
          </w:tcPr>
          <w:p w14:paraId="44132818" w14:textId="77777777" w:rsidR="00C671DB" w:rsidRPr="004C78D8" w:rsidRDefault="00C671DB" w:rsidP="00FB7C1F">
            <w:pPr>
              <w:jc w:val="left"/>
              <w:rPr>
                <w:i/>
                <w:iCs/>
                <w:sz w:val="20"/>
                <w:szCs w:val="20"/>
              </w:rPr>
            </w:pPr>
          </w:p>
        </w:tc>
        <w:tc>
          <w:tcPr>
            <w:tcW w:w="813" w:type="pct"/>
            <w:shd w:val="clear" w:color="auto" w:fill="F2F2F2" w:themeFill="background1" w:themeFillShade="F2"/>
          </w:tcPr>
          <w:p w14:paraId="2DF5EB93" w14:textId="4D135463" w:rsidR="00C671DB" w:rsidRPr="004C78D8" w:rsidRDefault="001D5170" w:rsidP="00FB7C1F">
            <w:pPr>
              <w:jc w:val="left"/>
              <w:rPr>
                <w:sz w:val="20"/>
                <w:szCs w:val="20"/>
              </w:rPr>
            </w:pPr>
            <w:r w:rsidRPr="004C78D8">
              <w:rPr>
                <w:sz w:val="20"/>
                <w:szCs w:val="20"/>
              </w:rPr>
              <w:t>Cognitively impaired</w:t>
            </w:r>
          </w:p>
        </w:tc>
        <w:tc>
          <w:tcPr>
            <w:tcW w:w="1874" w:type="pct"/>
            <w:shd w:val="clear" w:color="auto" w:fill="F2F2F2" w:themeFill="background1" w:themeFillShade="F2"/>
          </w:tcPr>
          <w:p w14:paraId="4E5B2B7C" w14:textId="003AE6E2" w:rsidR="00C671DB" w:rsidRPr="004C78D8" w:rsidRDefault="00A16CC4" w:rsidP="00FB7C1F">
            <w:pPr>
              <w:pStyle w:val="ListParagraph"/>
              <w:numPr>
                <w:ilvl w:val="0"/>
                <w:numId w:val="4"/>
              </w:numPr>
              <w:ind w:left="177" w:hanging="218"/>
              <w:jc w:val="left"/>
              <w:rPr>
                <w:sz w:val="20"/>
                <w:szCs w:val="20"/>
              </w:rPr>
            </w:pPr>
            <w:r w:rsidRPr="004C78D8">
              <w:rPr>
                <w:sz w:val="20"/>
                <w:szCs w:val="20"/>
              </w:rPr>
              <w:t>HAM</w:t>
            </w:r>
          </w:p>
        </w:tc>
        <w:tc>
          <w:tcPr>
            <w:tcW w:w="711" w:type="pct"/>
            <w:shd w:val="clear" w:color="auto" w:fill="F2F2F2" w:themeFill="background1" w:themeFillShade="F2"/>
          </w:tcPr>
          <w:p w14:paraId="1AA02005" w14:textId="2F7B5782" w:rsidR="00C671DB" w:rsidRPr="004C78D8" w:rsidRDefault="00C671DB" w:rsidP="00FB7C1F">
            <w:pPr>
              <w:jc w:val="left"/>
              <w:rPr>
                <w:sz w:val="20"/>
                <w:szCs w:val="20"/>
              </w:rPr>
            </w:pPr>
            <w:r w:rsidRPr="004C78D8">
              <w:rPr>
                <w:sz w:val="20"/>
                <w:szCs w:val="20"/>
              </w:rPr>
              <w:t>Limited access</w:t>
            </w:r>
            <w:r w:rsidR="00A41AC1" w:rsidRPr="004C78D8">
              <w:rPr>
                <w:sz w:val="20"/>
                <w:szCs w:val="20"/>
                <w:vertAlign w:val="superscript"/>
              </w:rPr>
              <w:t>2</w:t>
            </w:r>
          </w:p>
        </w:tc>
        <w:tc>
          <w:tcPr>
            <w:tcW w:w="531" w:type="pct"/>
            <w:shd w:val="clear" w:color="auto" w:fill="F2F2F2" w:themeFill="background1" w:themeFillShade="F2"/>
          </w:tcPr>
          <w:p w14:paraId="0BF92FD8" w14:textId="20D8FE22" w:rsidR="00C671DB" w:rsidRPr="004C78D8" w:rsidRDefault="00A41AC1" w:rsidP="00FB7C1F">
            <w:pPr>
              <w:jc w:val="left"/>
              <w:rPr>
                <w:sz w:val="20"/>
                <w:szCs w:val="20"/>
              </w:rPr>
            </w:pPr>
            <w:r w:rsidRPr="004C78D8">
              <w:rPr>
                <w:sz w:val="20"/>
                <w:szCs w:val="20"/>
              </w:rPr>
              <w:fldChar w:fldCharType="begin"/>
            </w:r>
            <w:r w:rsidR="00C630FC" w:rsidRPr="004C78D8">
              <w:rPr>
                <w:sz w:val="20"/>
                <w:szCs w:val="20"/>
              </w:rPr>
              <w:instrText xml:space="preserve"> ADDIN EN.CITE &lt;EndNote&gt;&lt;Cite&gt;&lt;Author&gt;Lockwood&lt;/Author&gt;&lt;Year&gt;2019&lt;/Year&gt;&lt;RecNum&gt;512&lt;/RecNum&gt;&lt;DisplayText&gt;[405]&lt;/DisplayText&gt;&lt;record&gt;&lt;rec-number&gt;512&lt;/rec-number&gt;&lt;foreign-keys&gt;&lt;key app="EN" db-id="tdtrdw9aepptzbefsat599syza29sxsd2wsp" timestamp="1617903216"&gt;512&lt;/key&gt;&lt;/foreign-keys&gt;&lt;ref-type name="Journal Article"&gt;17&lt;/ref-type&gt;&lt;contributors&gt;&lt;authors&gt;&lt;author&gt;Lockwood, Kylee J&lt;/author&gt;&lt;author&gt;Harding, Katherine E&lt;/author&gt;&lt;author&gt;Boyd, Jude N&lt;/author&gt;&lt;author&gt;Taylor, Nicholas F&lt;/author&gt;&lt;/authors&gt;&lt;/contributors&gt;&lt;titles&gt;&lt;title&gt;Predischarge home visits after hip fracture: a randomized controlled trial&lt;/title&gt;&lt;secondary-title&gt;Clinical rehabilitation&lt;/secondary-title&gt;&lt;/titles&gt;&lt;periodical&gt;&lt;full-title&gt;Clinical rehabilitation&lt;/full-title&gt;&lt;/periodical&gt;&lt;pages&gt;681-692&lt;/pages&gt;&lt;volume&gt;33&lt;/volume&gt;&lt;number&gt;4&lt;/number&gt;&lt;dates&gt;&lt;year&gt;2019&lt;/year&gt;&lt;/dates&gt;&lt;isbn&gt;0269-2155&lt;/isbn&gt;&lt;urls&gt;&lt;/urls&gt;&lt;/record&gt;&lt;/Cite&gt;&lt;/EndNote&gt;</w:instrText>
            </w:r>
            <w:r w:rsidRPr="004C78D8">
              <w:rPr>
                <w:sz w:val="20"/>
                <w:szCs w:val="20"/>
              </w:rPr>
              <w:fldChar w:fldCharType="separate"/>
            </w:r>
            <w:r w:rsidR="00C630FC" w:rsidRPr="004C78D8">
              <w:rPr>
                <w:noProof/>
                <w:sz w:val="20"/>
                <w:szCs w:val="20"/>
              </w:rPr>
              <w:t>[405]</w:t>
            </w:r>
            <w:r w:rsidRPr="004C78D8">
              <w:rPr>
                <w:sz w:val="20"/>
                <w:szCs w:val="20"/>
              </w:rPr>
              <w:fldChar w:fldCharType="end"/>
            </w:r>
          </w:p>
        </w:tc>
      </w:tr>
      <w:tr w:rsidR="00C671DB" w:rsidRPr="004C78D8" w14:paraId="37D62031" w14:textId="77777777" w:rsidTr="00E35893">
        <w:tc>
          <w:tcPr>
            <w:tcW w:w="458" w:type="pct"/>
            <w:vMerge/>
          </w:tcPr>
          <w:p w14:paraId="7412459B" w14:textId="77777777" w:rsidR="00C671DB" w:rsidRPr="004C78D8" w:rsidRDefault="00C671DB" w:rsidP="00FB7C1F">
            <w:pPr>
              <w:jc w:val="left"/>
              <w:rPr>
                <w:sz w:val="20"/>
                <w:szCs w:val="20"/>
              </w:rPr>
            </w:pPr>
          </w:p>
        </w:tc>
        <w:tc>
          <w:tcPr>
            <w:tcW w:w="613" w:type="pct"/>
            <w:vMerge/>
            <w:tcBorders>
              <w:top w:val="nil"/>
            </w:tcBorders>
            <w:shd w:val="clear" w:color="auto" w:fill="F2F2F2" w:themeFill="background1" w:themeFillShade="F2"/>
          </w:tcPr>
          <w:p w14:paraId="7C05443D" w14:textId="77777777" w:rsidR="00C671DB" w:rsidRPr="004C78D8" w:rsidRDefault="00C671DB" w:rsidP="00FB7C1F">
            <w:pPr>
              <w:jc w:val="left"/>
              <w:rPr>
                <w:i/>
                <w:iCs/>
                <w:sz w:val="20"/>
                <w:szCs w:val="20"/>
              </w:rPr>
            </w:pPr>
          </w:p>
        </w:tc>
        <w:tc>
          <w:tcPr>
            <w:tcW w:w="813" w:type="pct"/>
            <w:shd w:val="clear" w:color="auto" w:fill="F2F2F2" w:themeFill="background1" w:themeFillShade="F2"/>
          </w:tcPr>
          <w:p w14:paraId="7117DEF4" w14:textId="286975B3" w:rsidR="00C671DB" w:rsidRPr="004C78D8" w:rsidRDefault="00C671DB" w:rsidP="00FB7C1F">
            <w:pPr>
              <w:jc w:val="left"/>
              <w:rPr>
                <w:sz w:val="20"/>
                <w:szCs w:val="20"/>
              </w:rPr>
            </w:pPr>
            <w:r w:rsidRPr="004C78D8">
              <w:rPr>
                <w:sz w:val="20"/>
                <w:szCs w:val="20"/>
              </w:rPr>
              <w:t>With intervention history</w:t>
            </w:r>
          </w:p>
        </w:tc>
        <w:tc>
          <w:tcPr>
            <w:tcW w:w="1874" w:type="pct"/>
            <w:shd w:val="clear" w:color="auto" w:fill="F2F2F2" w:themeFill="background1" w:themeFillShade="F2"/>
          </w:tcPr>
          <w:p w14:paraId="3BD12E27" w14:textId="5D8631A7" w:rsidR="00C671DB" w:rsidRPr="004C78D8" w:rsidRDefault="00A16CC4" w:rsidP="00FB7C1F">
            <w:pPr>
              <w:pStyle w:val="ListParagraph"/>
              <w:numPr>
                <w:ilvl w:val="0"/>
                <w:numId w:val="4"/>
              </w:numPr>
              <w:ind w:left="177" w:hanging="218"/>
              <w:jc w:val="left"/>
              <w:rPr>
                <w:sz w:val="20"/>
                <w:szCs w:val="20"/>
              </w:rPr>
            </w:pPr>
            <w:r w:rsidRPr="004C78D8">
              <w:rPr>
                <w:sz w:val="20"/>
                <w:szCs w:val="20"/>
              </w:rPr>
              <w:t>HAM</w:t>
            </w:r>
          </w:p>
        </w:tc>
        <w:tc>
          <w:tcPr>
            <w:tcW w:w="711" w:type="pct"/>
            <w:tcBorders>
              <w:bottom w:val="single" w:sz="4" w:space="0" w:color="auto"/>
            </w:tcBorders>
            <w:shd w:val="clear" w:color="auto" w:fill="F2F2F2" w:themeFill="background1" w:themeFillShade="F2"/>
          </w:tcPr>
          <w:p w14:paraId="62E45D37" w14:textId="29D8D47E" w:rsidR="00C671DB" w:rsidRPr="004C78D8" w:rsidRDefault="00C671DB" w:rsidP="00FB7C1F">
            <w:pPr>
              <w:jc w:val="left"/>
              <w:rPr>
                <w:sz w:val="20"/>
                <w:szCs w:val="20"/>
              </w:rPr>
            </w:pPr>
            <w:r w:rsidRPr="004C78D8">
              <w:rPr>
                <w:sz w:val="20"/>
                <w:szCs w:val="20"/>
              </w:rPr>
              <w:t>Limited access</w:t>
            </w:r>
            <w:r w:rsidR="00A41AC1" w:rsidRPr="004C78D8">
              <w:rPr>
                <w:sz w:val="20"/>
                <w:szCs w:val="20"/>
                <w:vertAlign w:val="superscript"/>
              </w:rPr>
              <w:t>2</w:t>
            </w:r>
          </w:p>
        </w:tc>
        <w:tc>
          <w:tcPr>
            <w:tcW w:w="531" w:type="pct"/>
            <w:tcBorders>
              <w:bottom w:val="single" w:sz="4" w:space="0" w:color="auto"/>
            </w:tcBorders>
            <w:shd w:val="clear" w:color="auto" w:fill="F2F2F2" w:themeFill="background1" w:themeFillShade="F2"/>
          </w:tcPr>
          <w:p w14:paraId="6DD8F905" w14:textId="091D1FE7" w:rsidR="00C671DB" w:rsidRPr="004C78D8" w:rsidRDefault="00A41AC1" w:rsidP="00FB7C1F">
            <w:pPr>
              <w:jc w:val="left"/>
              <w:rPr>
                <w:sz w:val="20"/>
                <w:szCs w:val="20"/>
              </w:rPr>
            </w:pPr>
            <w:r w:rsidRPr="004C78D8">
              <w:rPr>
                <w:sz w:val="20"/>
                <w:szCs w:val="20"/>
              </w:rPr>
              <w:fldChar w:fldCharType="begin"/>
            </w:r>
            <w:r w:rsidR="00C630FC" w:rsidRPr="004C78D8">
              <w:rPr>
                <w:sz w:val="20"/>
                <w:szCs w:val="20"/>
              </w:rPr>
              <w:instrText xml:space="preserve"> ADDIN EN.CITE &lt;EndNote&gt;&lt;Cite&gt;&lt;Author&gt;Lockwood&lt;/Author&gt;&lt;Year&gt;2019&lt;/Year&gt;&lt;RecNum&gt;512&lt;/RecNum&gt;&lt;DisplayText&gt;[405]&lt;/DisplayText&gt;&lt;record&gt;&lt;rec-number&gt;512&lt;/rec-number&gt;&lt;foreign-keys&gt;&lt;key app="EN" db-id="tdtrdw9aepptzbefsat599syza29sxsd2wsp" timestamp="1617903216"&gt;512&lt;/key&gt;&lt;/foreign-keys&gt;&lt;ref-type name="Journal Article"&gt;17&lt;/ref-type&gt;&lt;contributors&gt;&lt;authors&gt;&lt;author&gt;Lockwood, Kylee J&lt;/author&gt;&lt;author&gt;Harding, Katherine E&lt;/author&gt;&lt;author&gt;Boyd, Jude N&lt;/author&gt;&lt;author&gt;Taylor, Nicholas F&lt;/author&gt;&lt;/authors&gt;&lt;/contributors&gt;&lt;titles&gt;&lt;title&gt;Predischarge home visits after hip fracture: a randomized controlled trial&lt;/title&gt;&lt;secondary-title&gt;Clinical rehabilitation&lt;/secondary-title&gt;&lt;/titles&gt;&lt;periodical&gt;&lt;full-title&gt;Clinical rehabilitation&lt;/full-title&gt;&lt;/periodical&gt;&lt;pages&gt;681-692&lt;/pages&gt;&lt;volume&gt;33&lt;/volume&gt;&lt;number&gt;4&lt;/number&gt;&lt;dates&gt;&lt;year&gt;2019&lt;/year&gt;&lt;/dates&gt;&lt;isbn&gt;0269-2155&lt;/isbn&gt;&lt;urls&gt;&lt;/urls&gt;&lt;/record&gt;&lt;/Cite&gt;&lt;/EndNote&gt;</w:instrText>
            </w:r>
            <w:r w:rsidRPr="004C78D8">
              <w:rPr>
                <w:sz w:val="20"/>
                <w:szCs w:val="20"/>
              </w:rPr>
              <w:fldChar w:fldCharType="separate"/>
            </w:r>
            <w:r w:rsidR="00C630FC" w:rsidRPr="004C78D8">
              <w:rPr>
                <w:noProof/>
                <w:sz w:val="20"/>
                <w:szCs w:val="20"/>
              </w:rPr>
              <w:t>[405]</w:t>
            </w:r>
            <w:r w:rsidRPr="004C78D8">
              <w:rPr>
                <w:sz w:val="20"/>
                <w:szCs w:val="20"/>
              </w:rPr>
              <w:fldChar w:fldCharType="end"/>
            </w:r>
          </w:p>
        </w:tc>
      </w:tr>
      <w:tr w:rsidR="00C671DB" w:rsidRPr="004C78D8" w14:paraId="46A251DA" w14:textId="77777777" w:rsidTr="00E35893">
        <w:tc>
          <w:tcPr>
            <w:tcW w:w="458" w:type="pct"/>
            <w:vMerge/>
          </w:tcPr>
          <w:p w14:paraId="1D19E7C5" w14:textId="1120A65F" w:rsidR="00C671DB" w:rsidRPr="004C78D8" w:rsidRDefault="00C671DB" w:rsidP="00FB7C1F">
            <w:pPr>
              <w:jc w:val="left"/>
              <w:rPr>
                <w:sz w:val="20"/>
                <w:szCs w:val="20"/>
              </w:rPr>
            </w:pPr>
          </w:p>
        </w:tc>
        <w:tc>
          <w:tcPr>
            <w:tcW w:w="613" w:type="pct"/>
            <w:vMerge w:val="restart"/>
          </w:tcPr>
          <w:p w14:paraId="05DD3F8B" w14:textId="70E780D8" w:rsidR="00C671DB" w:rsidRPr="004C78D8" w:rsidRDefault="00445168" w:rsidP="00FB7C1F">
            <w:pPr>
              <w:jc w:val="left"/>
              <w:rPr>
                <w:sz w:val="20"/>
                <w:szCs w:val="20"/>
              </w:rPr>
            </w:pPr>
            <w:r w:rsidRPr="004C78D8">
              <w:rPr>
                <w:sz w:val="20"/>
                <w:szCs w:val="20"/>
              </w:rPr>
              <w:t>Recommended practice</w:t>
            </w:r>
          </w:p>
        </w:tc>
        <w:tc>
          <w:tcPr>
            <w:tcW w:w="813" w:type="pct"/>
          </w:tcPr>
          <w:p w14:paraId="13DB7C35" w14:textId="34FD22CE" w:rsidR="00C671DB" w:rsidRPr="004C78D8" w:rsidRDefault="00C671DB" w:rsidP="00FB7C1F">
            <w:pPr>
              <w:jc w:val="left"/>
              <w:rPr>
                <w:sz w:val="20"/>
                <w:szCs w:val="20"/>
              </w:rPr>
            </w:pPr>
            <w:r w:rsidRPr="004C78D8">
              <w:rPr>
                <w:sz w:val="20"/>
                <w:szCs w:val="20"/>
              </w:rPr>
              <w:t>MA fall patients</w:t>
            </w:r>
          </w:p>
        </w:tc>
        <w:tc>
          <w:tcPr>
            <w:tcW w:w="1874" w:type="pct"/>
          </w:tcPr>
          <w:p w14:paraId="6638C662" w14:textId="4F0DB75A" w:rsidR="00C671DB" w:rsidRPr="004C78D8" w:rsidRDefault="00C671DB" w:rsidP="00FB7C1F">
            <w:pPr>
              <w:pStyle w:val="ListParagraph"/>
              <w:numPr>
                <w:ilvl w:val="0"/>
                <w:numId w:val="4"/>
              </w:numPr>
              <w:ind w:left="180" w:hanging="219"/>
              <w:jc w:val="left"/>
              <w:rPr>
                <w:sz w:val="20"/>
                <w:szCs w:val="20"/>
              </w:rPr>
            </w:pPr>
            <w:r w:rsidRPr="004C78D8">
              <w:rPr>
                <w:sz w:val="20"/>
                <w:szCs w:val="20"/>
              </w:rPr>
              <w:t>Multifactorial intervention</w:t>
            </w:r>
          </w:p>
        </w:tc>
        <w:tc>
          <w:tcPr>
            <w:tcW w:w="711" w:type="pct"/>
            <w:tcBorders>
              <w:bottom w:val="nil"/>
              <w:right w:val="nil"/>
            </w:tcBorders>
          </w:tcPr>
          <w:p w14:paraId="2B1F823B" w14:textId="5C3FE3D1" w:rsidR="00C671DB" w:rsidRPr="004C78D8" w:rsidRDefault="00C671DB" w:rsidP="00FB7C1F">
            <w:pPr>
              <w:jc w:val="left"/>
              <w:rPr>
                <w:sz w:val="20"/>
                <w:szCs w:val="20"/>
              </w:rPr>
            </w:pPr>
          </w:p>
        </w:tc>
        <w:tc>
          <w:tcPr>
            <w:tcW w:w="531" w:type="pct"/>
            <w:tcBorders>
              <w:left w:val="nil"/>
              <w:bottom w:val="nil"/>
            </w:tcBorders>
          </w:tcPr>
          <w:p w14:paraId="72D3E919" w14:textId="2ADEF316" w:rsidR="00C671DB" w:rsidRPr="004C78D8" w:rsidRDefault="00C671DB" w:rsidP="00FB7C1F">
            <w:pPr>
              <w:jc w:val="left"/>
              <w:rPr>
                <w:sz w:val="20"/>
                <w:szCs w:val="20"/>
              </w:rPr>
            </w:pPr>
          </w:p>
        </w:tc>
      </w:tr>
      <w:tr w:rsidR="00C671DB" w:rsidRPr="004C78D8" w14:paraId="41C5B21E" w14:textId="77777777" w:rsidTr="00E35893">
        <w:tc>
          <w:tcPr>
            <w:tcW w:w="458" w:type="pct"/>
            <w:vMerge/>
          </w:tcPr>
          <w:p w14:paraId="666E9A05" w14:textId="77777777" w:rsidR="00C671DB" w:rsidRPr="004C78D8" w:rsidRDefault="00C671DB" w:rsidP="00FB7C1F">
            <w:pPr>
              <w:jc w:val="left"/>
              <w:rPr>
                <w:sz w:val="20"/>
                <w:szCs w:val="20"/>
              </w:rPr>
            </w:pPr>
          </w:p>
        </w:tc>
        <w:tc>
          <w:tcPr>
            <w:tcW w:w="613" w:type="pct"/>
            <w:vMerge/>
          </w:tcPr>
          <w:p w14:paraId="3C178CB4" w14:textId="77777777" w:rsidR="00C671DB" w:rsidRPr="004C78D8" w:rsidRDefault="00C671DB" w:rsidP="00FB7C1F">
            <w:pPr>
              <w:jc w:val="left"/>
              <w:rPr>
                <w:sz w:val="20"/>
                <w:szCs w:val="20"/>
              </w:rPr>
            </w:pPr>
          </w:p>
        </w:tc>
        <w:tc>
          <w:tcPr>
            <w:tcW w:w="813" w:type="pct"/>
          </w:tcPr>
          <w:p w14:paraId="6E7DBBE4" w14:textId="001FBF40" w:rsidR="00C671DB" w:rsidRPr="004C78D8" w:rsidRDefault="001D5170" w:rsidP="00FB7C1F">
            <w:pPr>
              <w:jc w:val="left"/>
              <w:rPr>
                <w:sz w:val="20"/>
                <w:szCs w:val="20"/>
              </w:rPr>
            </w:pPr>
            <w:r w:rsidRPr="004C78D8">
              <w:rPr>
                <w:sz w:val="20"/>
                <w:szCs w:val="20"/>
              </w:rPr>
              <w:t>Cognitively impaired</w:t>
            </w:r>
          </w:p>
        </w:tc>
        <w:tc>
          <w:tcPr>
            <w:tcW w:w="1874" w:type="pct"/>
          </w:tcPr>
          <w:p w14:paraId="689E063F" w14:textId="08685FB1" w:rsidR="00C671DB" w:rsidRPr="004C78D8" w:rsidRDefault="00C671DB" w:rsidP="00FB7C1F">
            <w:pPr>
              <w:pStyle w:val="ListParagraph"/>
              <w:numPr>
                <w:ilvl w:val="0"/>
                <w:numId w:val="4"/>
              </w:numPr>
              <w:ind w:left="180" w:hanging="219"/>
              <w:jc w:val="left"/>
              <w:rPr>
                <w:sz w:val="20"/>
                <w:szCs w:val="20"/>
              </w:rPr>
            </w:pPr>
            <w:r w:rsidRPr="004C78D8">
              <w:rPr>
                <w:sz w:val="20"/>
                <w:szCs w:val="20"/>
              </w:rPr>
              <w:t>No specific recommendation</w:t>
            </w:r>
          </w:p>
        </w:tc>
        <w:tc>
          <w:tcPr>
            <w:tcW w:w="711" w:type="pct"/>
            <w:tcBorders>
              <w:top w:val="nil"/>
              <w:bottom w:val="nil"/>
              <w:right w:val="nil"/>
            </w:tcBorders>
          </w:tcPr>
          <w:p w14:paraId="116298CC" w14:textId="297CB865" w:rsidR="00C671DB" w:rsidRPr="004C78D8" w:rsidRDefault="00C671DB" w:rsidP="00FB7C1F">
            <w:pPr>
              <w:jc w:val="left"/>
              <w:rPr>
                <w:sz w:val="20"/>
                <w:szCs w:val="20"/>
              </w:rPr>
            </w:pPr>
          </w:p>
        </w:tc>
        <w:tc>
          <w:tcPr>
            <w:tcW w:w="531" w:type="pct"/>
            <w:tcBorders>
              <w:top w:val="nil"/>
              <w:left w:val="nil"/>
              <w:bottom w:val="nil"/>
            </w:tcBorders>
          </w:tcPr>
          <w:p w14:paraId="0E8C91E5" w14:textId="46204ABD" w:rsidR="00C671DB" w:rsidRPr="004C78D8" w:rsidRDefault="00C671DB" w:rsidP="00FB7C1F">
            <w:pPr>
              <w:jc w:val="left"/>
              <w:rPr>
                <w:sz w:val="20"/>
                <w:szCs w:val="20"/>
              </w:rPr>
            </w:pPr>
          </w:p>
        </w:tc>
      </w:tr>
      <w:tr w:rsidR="00C671DB" w:rsidRPr="004C78D8" w14:paraId="02BDB14C" w14:textId="77777777" w:rsidTr="00E35893">
        <w:tc>
          <w:tcPr>
            <w:tcW w:w="458" w:type="pct"/>
            <w:vMerge/>
          </w:tcPr>
          <w:p w14:paraId="1A8B4026" w14:textId="77777777" w:rsidR="00C671DB" w:rsidRPr="004C78D8" w:rsidRDefault="00C671DB" w:rsidP="00FB7C1F">
            <w:pPr>
              <w:jc w:val="left"/>
              <w:rPr>
                <w:sz w:val="20"/>
                <w:szCs w:val="20"/>
              </w:rPr>
            </w:pPr>
          </w:p>
        </w:tc>
        <w:tc>
          <w:tcPr>
            <w:tcW w:w="613" w:type="pct"/>
            <w:vMerge/>
            <w:tcBorders>
              <w:bottom w:val="single" w:sz="4" w:space="0" w:color="auto"/>
            </w:tcBorders>
          </w:tcPr>
          <w:p w14:paraId="6B28ADBF" w14:textId="77777777" w:rsidR="00C671DB" w:rsidRPr="004C78D8" w:rsidRDefault="00C671DB" w:rsidP="00FB7C1F">
            <w:pPr>
              <w:jc w:val="left"/>
              <w:rPr>
                <w:sz w:val="20"/>
                <w:szCs w:val="20"/>
              </w:rPr>
            </w:pPr>
          </w:p>
        </w:tc>
        <w:tc>
          <w:tcPr>
            <w:tcW w:w="813" w:type="pct"/>
          </w:tcPr>
          <w:p w14:paraId="129E5E38" w14:textId="4E0B5306" w:rsidR="00C671DB" w:rsidRPr="004C78D8" w:rsidRDefault="00C671DB" w:rsidP="00FB7C1F">
            <w:pPr>
              <w:jc w:val="left"/>
              <w:rPr>
                <w:sz w:val="20"/>
                <w:szCs w:val="20"/>
              </w:rPr>
            </w:pPr>
            <w:r w:rsidRPr="004C78D8">
              <w:rPr>
                <w:sz w:val="20"/>
                <w:szCs w:val="20"/>
              </w:rPr>
              <w:t>With intervention history</w:t>
            </w:r>
          </w:p>
        </w:tc>
        <w:tc>
          <w:tcPr>
            <w:tcW w:w="1874" w:type="pct"/>
          </w:tcPr>
          <w:p w14:paraId="60913820" w14:textId="0D17E977" w:rsidR="00C671DB" w:rsidRPr="004C78D8" w:rsidRDefault="00C671DB" w:rsidP="00FB7C1F">
            <w:pPr>
              <w:pStyle w:val="ListParagraph"/>
              <w:numPr>
                <w:ilvl w:val="0"/>
                <w:numId w:val="4"/>
              </w:numPr>
              <w:ind w:left="180" w:hanging="219"/>
              <w:jc w:val="left"/>
              <w:rPr>
                <w:sz w:val="20"/>
                <w:szCs w:val="20"/>
              </w:rPr>
            </w:pPr>
            <w:r w:rsidRPr="004C78D8">
              <w:rPr>
                <w:sz w:val="20"/>
                <w:szCs w:val="20"/>
              </w:rPr>
              <w:t>No specific recommendation</w:t>
            </w:r>
          </w:p>
        </w:tc>
        <w:tc>
          <w:tcPr>
            <w:tcW w:w="711" w:type="pct"/>
            <w:tcBorders>
              <w:top w:val="nil"/>
              <w:right w:val="nil"/>
            </w:tcBorders>
          </w:tcPr>
          <w:p w14:paraId="3E22FCCA" w14:textId="30BAD415" w:rsidR="00C671DB" w:rsidRPr="004C78D8" w:rsidRDefault="00C671DB" w:rsidP="00FB7C1F">
            <w:pPr>
              <w:jc w:val="left"/>
              <w:rPr>
                <w:sz w:val="20"/>
                <w:szCs w:val="20"/>
              </w:rPr>
            </w:pPr>
          </w:p>
        </w:tc>
        <w:tc>
          <w:tcPr>
            <w:tcW w:w="531" w:type="pct"/>
            <w:tcBorders>
              <w:top w:val="nil"/>
              <w:left w:val="nil"/>
            </w:tcBorders>
          </w:tcPr>
          <w:p w14:paraId="5F48B111" w14:textId="5FE013E4" w:rsidR="00C671DB" w:rsidRPr="004C78D8" w:rsidRDefault="00C671DB" w:rsidP="00FB7C1F">
            <w:pPr>
              <w:jc w:val="left"/>
              <w:rPr>
                <w:sz w:val="20"/>
                <w:szCs w:val="20"/>
              </w:rPr>
            </w:pPr>
          </w:p>
        </w:tc>
      </w:tr>
      <w:tr w:rsidR="00C671DB" w:rsidRPr="004C78D8" w14:paraId="5006737B" w14:textId="77777777" w:rsidTr="00E35893">
        <w:tc>
          <w:tcPr>
            <w:tcW w:w="458" w:type="pct"/>
            <w:vMerge/>
          </w:tcPr>
          <w:p w14:paraId="1BC543C7" w14:textId="77777777" w:rsidR="00C671DB" w:rsidRPr="004C78D8" w:rsidRDefault="00C671DB" w:rsidP="00FB7C1F">
            <w:pPr>
              <w:jc w:val="left"/>
              <w:rPr>
                <w:sz w:val="20"/>
                <w:szCs w:val="20"/>
              </w:rPr>
            </w:pPr>
          </w:p>
        </w:tc>
        <w:tc>
          <w:tcPr>
            <w:tcW w:w="613" w:type="pct"/>
            <w:vMerge w:val="restart"/>
            <w:shd w:val="clear" w:color="auto" w:fill="F2F2F2" w:themeFill="background1" w:themeFillShade="F2"/>
          </w:tcPr>
          <w:p w14:paraId="79C5EFCC" w14:textId="710D98FD" w:rsidR="00C671DB" w:rsidRPr="004C78D8" w:rsidRDefault="00C671DB" w:rsidP="00FB7C1F">
            <w:pPr>
              <w:jc w:val="left"/>
              <w:rPr>
                <w:i/>
                <w:iCs/>
                <w:sz w:val="20"/>
                <w:szCs w:val="20"/>
              </w:rPr>
            </w:pPr>
            <w:r w:rsidRPr="004C78D8">
              <w:rPr>
                <w:i/>
                <w:iCs/>
                <w:sz w:val="20"/>
                <w:szCs w:val="20"/>
              </w:rPr>
              <w:t xml:space="preserve">Model </w:t>
            </w:r>
            <w:r w:rsidR="00A41AC1" w:rsidRPr="004C78D8">
              <w:rPr>
                <w:i/>
                <w:iCs/>
                <w:sz w:val="20"/>
                <w:szCs w:val="20"/>
              </w:rPr>
              <w:t xml:space="preserve">recommended </w:t>
            </w:r>
            <w:r w:rsidR="00445168" w:rsidRPr="004C78D8">
              <w:rPr>
                <w:i/>
                <w:iCs/>
                <w:sz w:val="20"/>
                <w:szCs w:val="20"/>
              </w:rPr>
              <w:t xml:space="preserve">care </w:t>
            </w:r>
            <w:r w:rsidR="00A41AC1" w:rsidRPr="004C78D8">
              <w:rPr>
                <w:i/>
                <w:iCs/>
                <w:sz w:val="20"/>
                <w:szCs w:val="20"/>
              </w:rPr>
              <w:t>scenario</w:t>
            </w:r>
          </w:p>
        </w:tc>
        <w:tc>
          <w:tcPr>
            <w:tcW w:w="813" w:type="pct"/>
            <w:shd w:val="clear" w:color="auto" w:fill="F2F2F2" w:themeFill="background1" w:themeFillShade="F2"/>
          </w:tcPr>
          <w:p w14:paraId="398D6264" w14:textId="226A7333" w:rsidR="00C671DB" w:rsidRPr="004C78D8" w:rsidRDefault="00C671DB" w:rsidP="00FB7C1F">
            <w:pPr>
              <w:jc w:val="left"/>
              <w:rPr>
                <w:sz w:val="20"/>
                <w:szCs w:val="20"/>
              </w:rPr>
            </w:pPr>
            <w:r w:rsidRPr="004C78D8">
              <w:rPr>
                <w:sz w:val="20"/>
                <w:szCs w:val="20"/>
              </w:rPr>
              <w:t>MA fall patients</w:t>
            </w:r>
          </w:p>
        </w:tc>
        <w:tc>
          <w:tcPr>
            <w:tcW w:w="1874" w:type="pct"/>
            <w:shd w:val="clear" w:color="auto" w:fill="F2F2F2" w:themeFill="background1" w:themeFillShade="F2"/>
          </w:tcPr>
          <w:p w14:paraId="000464C8" w14:textId="68D233AE" w:rsidR="00C671DB" w:rsidRPr="004C78D8" w:rsidRDefault="00C671DB" w:rsidP="00FB7C1F">
            <w:pPr>
              <w:pStyle w:val="ListParagraph"/>
              <w:numPr>
                <w:ilvl w:val="0"/>
                <w:numId w:val="4"/>
              </w:numPr>
              <w:ind w:left="180" w:hanging="219"/>
              <w:jc w:val="left"/>
              <w:rPr>
                <w:sz w:val="20"/>
                <w:szCs w:val="20"/>
              </w:rPr>
            </w:pPr>
            <w:r w:rsidRPr="004C78D8">
              <w:rPr>
                <w:sz w:val="20"/>
                <w:szCs w:val="20"/>
              </w:rPr>
              <w:t>Multifactorial intervention</w:t>
            </w:r>
          </w:p>
        </w:tc>
        <w:tc>
          <w:tcPr>
            <w:tcW w:w="711" w:type="pct"/>
            <w:shd w:val="clear" w:color="auto" w:fill="F2F2F2" w:themeFill="background1" w:themeFillShade="F2"/>
          </w:tcPr>
          <w:p w14:paraId="439B06F3" w14:textId="43C6CCC0" w:rsidR="00C671DB" w:rsidRPr="004C78D8" w:rsidRDefault="00C671DB" w:rsidP="00FB7C1F">
            <w:pPr>
              <w:jc w:val="left"/>
              <w:rPr>
                <w:sz w:val="20"/>
                <w:szCs w:val="20"/>
              </w:rPr>
            </w:pPr>
            <w:r w:rsidRPr="004C78D8">
              <w:rPr>
                <w:sz w:val="20"/>
                <w:szCs w:val="20"/>
              </w:rPr>
              <w:t>Access pending demand</w:t>
            </w:r>
            <w:r w:rsidR="006F76D4" w:rsidRPr="004C78D8">
              <w:rPr>
                <w:sz w:val="20"/>
                <w:szCs w:val="20"/>
                <w:vertAlign w:val="superscript"/>
              </w:rPr>
              <w:t>2</w:t>
            </w:r>
          </w:p>
        </w:tc>
        <w:tc>
          <w:tcPr>
            <w:tcW w:w="531" w:type="pct"/>
            <w:shd w:val="clear" w:color="auto" w:fill="F2F2F2" w:themeFill="background1" w:themeFillShade="F2"/>
          </w:tcPr>
          <w:p w14:paraId="2D667E42" w14:textId="3AA4F276" w:rsidR="00C671DB" w:rsidRPr="004C78D8" w:rsidRDefault="00A41AC1" w:rsidP="00FB7C1F">
            <w:pPr>
              <w:jc w:val="left"/>
              <w:rPr>
                <w:sz w:val="20"/>
                <w:szCs w:val="20"/>
              </w:rPr>
            </w:pPr>
            <w:r w:rsidRPr="004C78D8">
              <w:rPr>
                <w:sz w:val="20"/>
                <w:szCs w:val="20"/>
              </w:rPr>
              <w:fldChar w:fldCharType="begin"/>
            </w:r>
            <w:r w:rsidR="00513646" w:rsidRPr="004C78D8">
              <w:rPr>
                <w:sz w:val="20"/>
                <w:szCs w:val="20"/>
              </w:rPr>
              <w:instrText xml:space="preserve"> ADDIN EN.CITE &lt;EndNote&gt;&lt;Cite&gt;&lt;Author&gt;Close&lt;/Author&gt;&lt;Year&gt;1999&lt;/Year&gt;&lt;RecNum&gt;513&lt;/RecNum&gt;&lt;DisplayText&gt;[62]&lt;/DisplayText&gt;&lt;record&gt;&lt;rec-number&gt;513&lt;/rec-number&gt;&lt;foreign-keys&gt;&lt;key app="EN" db-id="tdtrdw9aepptzbefsat599syza29sxsd2wsp" timestamp="1617903389"&gt;513&lt;/key&gt;&lt;/foreign-keys&gt;&lt;ref-type name="Journal Article"&gt;17&lt;/ref-type&gt;&lt;contributors&gt;&lt;authors&gt;&lt;author&gt;Close, J.&lt;/author&gt;&lt;author&gt;Ellis, M.&lt;/author&gt;&lt;author&gt;Hooper, R.&lt;/author&gt;&lt;author&gt;Glucksman, E.&lt;/author&gt;&lt;author&gt;Jackson, S.&lt;/author&gt;&lt;author&gt;Swift, C.&lt;/author&gt;&lt;/authors&gt;&lt;/contributors&gt;&lt;auth-address&gt;Department of Health Care of the Elderly, Guy&amp;apos;s King&amp;apos;s, and St Thomas&amp;apos; School of Medicine, King&amp;apos;s College Hospital, London, UK. jacqueline.close@kcl.ac.uk&lt;/auth-address&gt;&lt;titles&gt;&lt;title&gt;Prevention of falls in the elderly trial (PROFET): a randomised controlled trial&lt;/title&gt;&lt;secondary-title&gt;Lancet&lt;/secondary-title&gt;&lt;/titles&gt;&lt;periodical&gt;&lt;full-title&gt;Lancet&lt;/full-title&gt;&lt;/periodical&gt;&lt;pages&gt;93-7&lt;/pages&gt;&lt;volume&gt;353&lt;/volume&gt;&lt;number&gt;9147&lt;/number&gt;&lt;keywords&gt;&lt;keyword&gt;Accidental Falls/*prevention &amp;amp; control&lt;/keyword&gt;&lt;keyword&gt;Activities of Daily Living/classification&lt;/keyword&gt;&lt;keyword&gt;Aged&lt;/keyword&gt;&lt;keyword&gt;Aged, 80 and over&lt;/keyword&gt;&lt;keyword&gt;Female&lt;/keyword&gt;&lt;keyword&gt;*Frail Elderly&lt;/keyword&gt;&lt;keyword&gt;Geriatric Assessment&lt;/keyword&gt;&lt;keyword&gt;Humans&lt;/keyword&gt;&lt;keyword&gt;Male&lt;/keyword&gt;&lt;keyword&gt;Occupational Therapy&lt;/keyword&gt;&lt;keyword&gt;*Patient Care Team&lt;/keyword&gt;&lt;keyword&gt;Recurrence&lt;/keyword&gt;&lt;keyword&gt;Referral and Consultation&lt;/keyword&gt;&lt;keyword&gt;Treatment Outcome&lt;/keyword&gt;&lt;/keywords&gt;&lt;dates&gt;&lt;year&gt;1999&lt;/year&gt;&lt;pub-dates&gt;&lt;date&gt;Jan 9&lt;/date&gt;&lt;/pub-dates&gt;&lt;/dates&gt;&lt;isbn&gt;0140-6736 (Print)&amp;#xD;0140-6736 (Linking)&lt;/isbn&gt;&lt;accession-num&gt;10023893&lt;/accession-num&gt;&lt;urls&gt;&lt;related-urls&gt;&lt;url&gt;https://www.ncbi.nlm.nih.gov/pubmed/10023893&lt;/url&gt;&lt;/related-urls&gt;&lt;/urls&gt;&lt;electronic-resource-num&gt;10.1016/S0140-6736(98)06119-4&lt;/electronic-resource-num&gt;&lt;/record&gt;&lt;/Cite&gt;&lt;/EndNote&gt;</w:instrText>
            </w:r>
            <w:r w:rsidRPr="004C78D8">
              <w:rPr>
                <w:sz w:val="20"/>
                <w:szCs w:val="20"/>
              </w:rPr>
              <w:fldChar w:fldCharType="separate"/>
            </w:r>
            <w:r w:rsidR="00513646" w:rsidRPr="004C78D8">
              <w:rPr>
                <w:noProof/>
                <w:sz w:val="20"/>
                <w:szCs w:val="20"/>
              </w:rPr>
              <w:t>[62]</w:t>
            </w:r>
            <w:r w:rsidRPr="004C78D8">
              <w:rPr>
                <w:sz w:val="20"/>
                <w:szCs w:val="20"/>
              </w:rPr>
              <w:fldChar w:fldCharType="end"/>
            </w:r>
          </w:p>
        </w:tc>
      </w:tr>
      <w:tr w:rsidR="007D7ECA" w:rsidRPr="004C78D8" w14:paraId="7B2A0B36" w14:textId="77777777" w:rsidTr="00E35893">
        <w:tc>
          <w:tcPr>
            <w:tcW w:w="458" w:type="pct"/>
            <w:vMerge/>
          </w:tcPr>
          <w:p w14:paraId="62FA2DDC" w14:textId="77777777" w:rsidR="007D7ECA" w:rsidRPr="004C78D8" w:rsidRDefault="007D7ECA" w:rsidP="00FB7C1F">
            <w:pPr>
              <w:jc w:val="left"/>
              <w:rPr>
                <w:sz w:val="20"/>
                <w:szCs w:val="20"/>
              </w:rPr>
            </w:pPr>
          </w:p>
        </w:tc>
        <w:tc>
          <w:tcPr>
            <w:tcW w:w="613" w:type="pct"/>
            <w:vMerge/>
            <w:shd w:val="clear" w:color="auto" w:fill="F2F2F2" w:themeFill="background1" w:themeFillShade="F2"/>
          </w:tcPr>
          <w:p w14:paraId="32BE296A" w14:textId="77777777" w:rsidR="007D7ECA" w:rsidRPr="004C78D8" w:rsidRDefault="007D7ECA" w:rsidP="00FB7C1F">
            <w:pPr>
              <w:jc w:val="left"/>
              <w:rPr>
                <w:i/>
                <w:iCs/>
                <w:sz w:val="20"/>
                <w:szCs w:val="20"/>
              </w:rPr>
            </w:pPr>
          </w:p>
        </w:tc>
        <w:tc>
          <w:tcPr>
            <w:tcW w:w="813" w:type="pct"/>
            <w:shd w:val="clear" w:color="auto" w:fill="F2F2F2" w:themeFill="background1" w:themeFillShade="F2"/>
          </w:tcPr>
          <w:p w14:paraId="44478ED7" w14:textId="249F6C8C" w:rsidR="007D7ECA" w:rsidRPr="004C78D8" w:rsidRDefault="001D5170" w:rsidP="00FB7C1F">
            <w:pPr>
              <w:jc w:val="left"/>
              <w:rPr>
                <w:sz w:val="20"/>
                <w:szCs w:val="20"/>
              </w:rPr>
            </w:pPr>
            <w:r w:rsidRPr="004C78D8">
              <w:rPr>
                <w:sz w:val="20"/>
                <w:szCs w:val="20"/>
              </w:rPr>
              <w:t>Cognitively impaired</w:t>
            </w:r>
          </w:p>
        </w:tc>
        <w:tc>
          <w:tcPr>
            <w:tcW w:w="1874" w:type="pct"/>
            <w:shd w:val="clear" w:color="auto" w:fill="F2F2F2" w:themeFill="background1" w:themeFillShade="F2"/>
          </w:tcPr>
          <w:p w14:paraId="083FA4F3" w14:textId="6732B48E" w:rsidR="007D7ECA" w:rsidRPr="004C78D8" w:rsidRDefault="007D7ECA" w:rsidP="00FB7C1F">
            <w:pPr>
              <w:pStyle w:val="ListParagraph"/>
              <w:numPr>
                <w:ilvl w:val="0"/>
                <w:numId w:val="4"/>
              </w:numPr>
              <w:ind w:left="180" w:hanging="219"/>
              <w:jc w:val="left"/>
              <w:rPr>
                <w:sz w:val="20"/>
                <w:szCs w:val="20"/>
              </w:rPr>
            </w:pPr>
            <w:r w:rsidRPr="004C78D8">
              <w:rPr>
                <w:sz w:val="20"/>
                <w:szCs w:val="20"/>
              </w:rPr>
              <w:t>Multifactorial intervention</w:t>
            </w:r>
          </w:p>
        </w:tc>
        <w:tc>
          <w:tcPr>
            <w:tcW w:w="711" w:type="pct"/>
            <w:shd w:val="clear" w:color="auto" w:fill="F2F2F2" w:themeFill="background1" w:themeFillShade="F2"/>
          </w:tcPr>
          <w:p w14:paraId="0CA7C5C3" w14:textId="759D5C05" w:rsidR="007D7ECA" w:rsidRPr="004C78D8" w:rsidRDefault="007D7ECA" w:rsidP="00FB7C1F">
            <w:pPr>
              <w:jc w:val="left"/>
              <w:rPr>
                <w:sz w:val="20"/>
                <w:szCs w:val="20"/>
              </w:rPr>
            </w:pPr>
            <w:r w:rsidRPr="004C78D8">
              <w:rPr>
                <w:sz w:val="20"/>
                <w:szCs w:val="20"/>
              </w:rPr>
              <w:t>Access pending demand</w:t>
            </w:r>
            <w:r w:rsidR="006F76D4" w:rsidRPr="004C78D8">
              <w:rPr>
                <w:sz w:val="20"/>
                <w:szCs w:val="20"/>
                <w:vertAlign w:val="superscript"/>
              </w:rPr>
              <w:t>2</w:t>
            </w:r>
          </w:p>
        </w:tc>
        <w:tc>
          <w:tcPr>
            <w:tcW w:w="531" w:type="pct"/>
            <w:shd w:val="clear" w:color="auto" w:fill="F2F2F2" w:themeFill="background1" w:themeFillShade="F2"/>
          </w:tcPr>
          <w:p w14:paraId="1B5A8842" w14:textId="6621BB9B" w:rsidR="007D7ECA" w:rsidRPr="004C78D8" w:rsidRDefault="00DB6797" w:rsidP="00FB7C1F">
            <w:pPr>
              <w:jc w:val="left"/>
              <w:rPr>
                <w:sz w:val="20"/>
                <w:szCs w:val="20"/>
              </w:rPr>
            </w:pPr>
            <w:r w:rsidRPr="004C78D8">
              <w:rPr>
                <w:sz w:val="20"/>
                <w:szCs w:val="20"/>
              </w:rPr>
              <w:fldChar w:fldCharType="begin"/>
            </w:r>
            <w:r w:rsidR="00C630FC" w:rsidRPr="004C78D8">
              <w:rPr>
                <w:sz w:val="20"/>
                <w:szCs w:val="20"/>
              </w:rPr>
              <w:instrText xml:space="preserve"> ADDIN EN.CITE &lt;EndNote&gt;&lt;Cite&gt;&lt;Author&gt;Shaw&lt;/Author&gt;&lt;Year&gt;2003&lt;/Year&gt;&lt;RecNum&gt;514&lt;/RecNum&gt;&lt;DisplayText&gt;[384]&lt;/DisplayText&gt;&lt;record&gt;&lt;rec-number&gt;514&lt;/rec-number&gt;&lt;foreign-keys&gt;&lt;key app="EN" db-id="tdtrdw9aepptzbefsat599syza29sxsd2wsp" timestamp="1617903616"&gt;514&lt;/key&gt;&lt;/foreign-keys&gt;&lt;ref-type name="Journal Article"&gt;17&lt;/ref-type&gt;&lt;contributors&gt;&lt;authors&gt;&lt;author&gt;Shaw, Fiona E&lt;/author&gt;&lt;author&gt;Bond, John&lt;/author&gt;&lt;author&gt;Richardson, David A&lt;/author&gt;&lt;author&gt;Dawson, Pamela&lt;/author&gt;&lt;author&gt;Steen, I Nicholas&lt;/author&gt;&lt;author&gt;McKeith, Ian G&lt;/author&gt;&lt;author&gt;Kenny, Rose Anne&lt;/author&gt;&lt;/authors&gt;&lt;/contributors&gt;&lt;titles&gt;&lt;title&gt;Multifactorial intervention after a fall in older people with cognitive impairment and dementia presenting to the accident and emergency department: randomised controlled trial&lt;/title&gt;&lt;secondary-title&gt;BMJ: British medical journal&lt;/secondary-title&gt;&lt;/titles&gt;&lt;periodical&gt;&lt;full-title&gt;BMJ: British medical journal&lt;/full-title&gt;&lt;/periodical&gt;&lt;pages&gt;73&lt;/pages&gt;&lt;volume&gt;326&lt;/volume&gt;&lt;number&gt;7380&lt;/number&gt;&lt;dates&gt;&lt;year&gt;2003&lt;/year&gt;&lt;/dates&gt;&lt;urls&gt;&lt;/urls&gt;&lt;/record&gt;&lt;/Cite&gt;&lt;/EndNote&gt;</w:instrText>
            </w:r>
            <w:r w:rsidRPr="004C78D8">
              <w:rPr>
                <w:sz w:val="20"/>
                <w:szCs w:val="20"/>
              </w:rPr>
              <w:fldChar w:fldCharType="separate"/>
            </w:r>
            <w:r w:rsidR="00C630FC" w:rsidRPr="004C78D8">
              <w:rPr>
                <w:noProof/>
                <w:sz w:val="20"/>
                <w:szCs w:val="20"/>
              </w:rPr>
              <w:t>[384]</w:t>
            </w:r>
            <w:r w:rsidRPr="004C78D8">
              <w:rPr>
                <w:sz w:val="20"/>
                <w:szCs w:val="20"/>
              </w:rPr>
              <w:fldChar w:fldCharType="end"/>
            </w:r>
          </w:p>
        </w:tc>
      </w:tr>
      <w:tr w:rsidR="007D7ECA" w:rsidRPr="004C78D8" w14:paraId="7749B5E9" w14:textId="77777777" w:rsidTr="00E35893">
        <w:tc>
          <w:tcPr>
            <w:tcW w:w="458" w:type="pct"/>
            <w:vMerge/>
            <w:tcBorders>
              <w:bottom w:val="nil"/>
            </w:tcBorders>
          </w:tcPr>
          <w:p w14:paraId="181CA653" w14:textId="77777777" w:rsidR="007D7ECA" w:rsidRPr="004C78D8" w:rsidRDefault="007D7ECA" w:rsidP="00FB7C1F">
            <w:pPr>
              <w:jc w:val="left"/>
              <w:rPr>
                <w:sz w:val="20"/>
                <w:szCs w:val="20"/>
              </w:rPr>
            </w:pPr>
          </w:p>
        </w:tc>
        <w:tc>
          <w:tcPr>
            <w:tcW w:w="613" w:type="pct"/>
            <w:vMerge/>
            <w:tcBorders>
              <w:bottom w:val="single" w:sz="4" w:space="0" w:color="auto"/>
            </w:tcBorders>
            <w:shd w:val="clear" w:color="auto" w:fill="F2F2F2" w:themeFill="background1" w:themeFillShade="F2"/>
          </w:tcPr>
          <w:p w14:paraId="1E2579E0" w14:textId="1D60A54D" w:rsidR="007D7ECA" w:rsidRPr="004C78D8" w:rsidRDefault="007D7ECA" w:rsidP="00FB7C1F">
            <w:pPr>
              <w:jc w:val="left"/>
              <w:rPr>
                <w:sz w:val="20"/>
                <w:szCs w:val="20"/>
              </w:rPr>
            </w:pPr>
          </w:p>
        </w:tc>
        <w:tc>
          <w:tcPr>
            <w:tcW w:w="813" w:type="pct"/>
            <w:shd w:val="clear" w:color="auto" w:fill="F2F2F2" w:themeFill="background1" w:themeFillShade="F2"/>
          </w:tcPr>
          <w:p w14:paraId="1EC13C70" w14:textId="0D3B1868" w:rsidR="007D7ECA" w:rsidRPr="004C78D8" w:rsidRDefault="007D7ECA" w:rsidP="00FB7C1F">
            <w:pPr>
              <w:jc w:val="left"/>
              <w:rPr>
                <w:sz w:val="20"/>
                <w:szCs w:val="20"/>
              </w:rPr>
            </w:pPr>
            <w:r w:rsidRPr="004C78D8">
              <w:rPr>
                <w:sz w:val="20"/>
                <w:szCs w:val="20"/>
              </w:rPr>
              <w:t>With intervention history</w:t>
            </w:r>
          </w:p>
        </w:tc>
        <w:tc>
          <w:tcPr>
            <w:tcW w:w="1874" w:type="pct"/>
            <w:shd w:val="clear" w:color="auto" w:fill="F2F2F2" w:themeFill="background1" w:themeFillShade="F2"/>
          </w:tcPr>
          <w:p w14:paraId="76385D67" w14:textId="2F2404C8" w:rsidR="007D7ECA" w:rsidRPr="004C78D8" w:rsidRDefault="007D7ECA" w:rsidP="00FB7C1F">
            <w:pPr>
              <w:pStyle w:val="ListParagraph"/>
              <w:numPr>
                <w:ilvl w:val="0"/>
                <w:numId w:val="4"/>
              </w:numPr>
              <w:ind w:left="180" w:hanging="219"/>
              <w:jc w:val="left"/>
              <w:rPr>
                <w:sz w:val="20"/>
                <w:szCs w:val="20"/>
              </w:rPr>
            </w:pPr>
            <w:r w:rsidRPr="004C78D8">
              <w:rPr>
                <w:sz w:val="20"/>
                <w:szCs w:val="20"/>
              </w:rPr>
              <w:t>Multifactorial intervention</w:t>
            </w:r>
          </w:p>
        </w:tc>
        <w:tc>
          <w:tcPr>
            <w:tcW w:w="711" w:type="pct"/>
            <w:tcBorders>
              <w:bottom w:val="single" w:sz="4" w:space="0" w:color="auto"/>
            </w:tcBorders>
            <w:shd w:val="clear" w:color="auto" w:fill="F2F2F2" w:themeFill="background1" w:themeFillShade="F2"/>
          </w:tcPr>
          <w:p w14:paraId="6B643043" w14:textId="244D3ED2" w:rsidR="007D7ECA" w:rsidRPr="004C78D8" w:rsidRDefault="007D7ECA" w:rsidP="00FB7C1F">
            <w:pPr>
              <w:jc w:val="left"/>
              <w:rPr>
                <w:sz w:val="20"/>
                <w:szCs w:val="20"/>
              </w:rPr>
            </w:pPr>
            <w:r w:rsidRPr="004C78D8">
              <w:rPr>
                <w:sz w:val="20"/>
                <w:szCs w:val="20"/>
              </w:rPr>
              <w:t>Access pending demand</w:t>
            </w:r>
            <w:r w:rsidR="006F76D4" w:rsidRPr="004C78D8">
              <w:rPr>
                <w:sz w:val="20"/>
                <w:szCs w:val="20"/>
                <w:vertAlign w:val="superscript"/>
              </w:rPr>
              <w:t>2</w:t>
            </w:r>
          </w:p>
        </w:tc>
        <w:tc>
          <w:tcPr>
            <w:tcW w:w="531" w:type="pct"/>
            <w:tcBorders>
              <w:bottom w:val="single" w:sz="4" w:space="0" w:color="auto"/>
            </w:tcBorders>
            <w:shd w:val="clear" w:color="auto" w:fill="F2F2F2" w:themeFill="background1" w:themeFillShade="F2"/>
          </w:tcPr>
          <w:p w14:paraId="7D9C7BE3" w14:textId="5E1743FD" w:rsidR="007D7ECA" w:rsidRPr="004C78D8" w:rsidRDefault="00DB6797" w:rsidP="00FB7C1F">
            <w:pPr>
              <w:jc w:val="left"/>
              <w:rPr>
                <w:sz w:val="20"/>
                <w:szCs w:val="20"/>
              </w:rPr>
            </w:pPr>
            <w:r w:rsidRPr="004C78D8">
              <w:rPr>
                <w:sz w:val="20"/>
                <w:szCs w:val="20"/>
              </w:rPr>
              <w:fldChar w:fldCharType="begin"/>
            </w:r>
            <w:r w:rsidR="00513646" w:rsidRPr="004C78D8">
              <w:rPr>
                <w:sz w:val="20"/>
                <w:szCs w:val="20"/>
              </w:rPr>
              <w:instrText xml:space="preserve"> ADDIN EN.CITE &lt;EndNote&gt;&lt;Cite&gt;&lt;Author&gt;Close&lt;/Author&gt;&lt;Year&gt;1999&lt;/Year&gt;&lt;RecNum&gt;513&lt;/RecNum&gt;&lt;DisplayText&gt;[62]&lt;/DisplayText&gt;&lt;record&gt;&lt;rec-number&gt;513&lt;/rec-number&gt;&lt;foreign-keys&gt;&lt;key app="EN" db-id="tdtrdw9aepptzbefsat599syza29sxsd2wsp" timestamp="1617903389"&gt;513&lt;/key&gt;&lt;/foreign-keys&gt;&lt;ref-type name="Journal Article"&gt;17&lt;/ref-type&gt;&lt;contributors&gt;&lt;authors&gt;&lt;author&gt;Close, J.&lt;/author&gt;&lt;author&gt;Ellis, M.&lt;/author&gt;&lt;author&gt;Hooper, R.&lt;/author&gt;&lt;author&gt;Glucksman, E.&lt;/author&gt;&lt;author&gt;Jackson, S.&lt;/author&gt;&lt;author&gt;Swift, C.&lt;/author&gt;&lt;/authors&gt;&lt;/contributors&gt;&lt;auth-address&gt;Department of Health Care of the Elderly, Guy&amp;apos;s King&amp;apos;s, and St Thomas&amp;apos; School of Medicine, King&amp;apos;s College Hospital, London, UK. jacqueline.close@kcl.ac.uk&lt;/auth-address&gt;&lt;titles&gt;&lt;title&gt;Prevention of falls in the elderly trial (PROFET): a randomised controlled trial&lt;/title&gt;&lt;secondary-title&gt;Lancet&lt;/secondary-title&gt;&lt;/titles&gt;&lt;periodical&gt;&lt;full-title&gt;Lancet&lt;/full-title&gt;&lt;/periodical&gt;&lt;pages&gt;93-7&lt;/pages&gt;&lt;volume&gt;353&lt;/volume&gt;&lt;number&gt;9147&lt;/number&gt;&lt;keywords&gt;&lt;keyword&gt;Accidental Falls/*prevention &amp;amp; control&lt;/keyword&gt;&lt;keyword&gt;Activities of Daily Living/classification&lt;/keyword&gt;&lt;keyword&gt;Aged&lt;/keyword&gt;&lt;keyword&gt;Aged, 80 and over&lt;/keyword&gt;&lt;keyword&gt;Female&lt;/keyword&gt;&lt;keyword&gt;*Frail Elderly&lt;/keyword&gt;&lt;keyword&gt;Geriatric Assessment&lt;/keyword&gt;&lt;keyword&gt;Humans&lt;/keyword&gt;&lt;keyword&gt;Male&lt;/keyword&gt;&lt;keyword&gt;Occupational Therapy&lt;/keyword&gt;&lt;keyword&gt;*Patient Care Team&lt;/keyword&gt;&lt;keyword&gt;Recurrence&lt;/keyword&gt;&lt;keyword&gt;Referral and Consultation&lt;/keyword&gt;&lt;keyword&gt;Treatment Outcome&lt;/keyword&gt;&lt;/keywords&gt;&lt;dates&gt;&lt;year&gt;1999&lt;/year&gt;&lt;pub-dates&gt;&lt;date&gt;Jan 9&lt;/date&gt;&lt;/pub-dates&gt;&lt;/dates&gt;&lt;isbn&gt;0140-6736 (Print)&amp;#xD;0140-6736 (Linking)&lt;/isbn&gt;&lt;accession-num&gt;10023893&lt;/accession-num&gt;&lt;urls&gt;&lt;related-urls&gt;&lt;url&gt;https://www.ncbi.nlm.nih.gov/pubmed/10023893&lt;/url&gt;&lt;/related-urls&gt;&lt;/urls&gt;&lt;electronic-resource-num&gt;10.1016/S0140-6736(98)06119-4&lt;/electronic-resource-num&gt;&lt;/record&gt;&lt;/Cite&gt;&lt;/EndNote&gt;</w:instrText>
            </w:r>
            <w:r w:rsidRPr="004C78D8">
              <w:rPr>
                <w:sz w:val="20"/>
                <w:szCs w:val="20"/>
              </w:rPr>
              <w:fldChar w:fldCharType="separate"/>
            </w:r>
            <w:r w:rsidR="00513646" w:rsidRPr="004C78D8">
              <w:rPr>
                <w:noProof/>
                <w:sz w:val="20"/>
                <w:szCs w:val="20"/>
              </w:rPr>
              <w:t>[62]</w:t>
            </w:r>
            <w:r w:rsidRPr="004C78D8">
              <w:rPr>
                <w:sz w:val="20"/>
                <w:szCs w:val="20"/>
              </w:rPr>
              <w:fldChar w:fldCharType="end"/>
            </w:r>
            <w:r w:rsidR="007D7ECA" w:rsidRPr="004C78D8">
              <w:rPr>
                <w:sz w:val="20"/>
                <w:szCs w:val="20"/>
              </w:rPr>
              <w:t xml:space="preserve">; </w:t>
            </w:r>
            <w:r w:rsidRPr="004C78D8">
              <w:rPr>
                <w:sz w:val="20"/>
                <w:szCs w:val="20"/>
              </w:rPr>
              <w:fldChar w:fldCharType="begin"/>
            </w:r>
            <w:r w:rsidR="00C630FC" w:rsidRPr="004C78D8">
              <w:rPr>
                <w:sz w:val="20"/>
                <w:szCs w:val="20"/>
              </w:rPr>
              <w:instrText xml:space="preserve"> ADDIN EN.CITE &lt;EndNote&gt;&lt;Cite&gt;&lt;Author&gt;Shaw&lt;/Author&gt;&lt;Year&gt;2003&lt;/Year&gt;&lt;RecNum&gt;514&lt;/RecNum&gt;&lt;DisplayText&gt;[384]&lt;/DisplayText&gt;&lt;record&gt;&lt;rec-number&gt;514&lt;/rec-number&gt;&lt;foreign-keys&gt;&lt;key app="EN" db-id="tdtrdw9aepptzbefsat599syza29sxsd2wsp" timestamp="1617903616"&gt;514&lt;/key&gt;&lt;/foreign-keys&gt;&lt;ref-type name="Journal Article"&gt;17&lt;/ref-type&gt;&lt;contributors&gt;&lt;authors&gt;&lt;author&gt;Shaw, Fiona E&lt;/author&gt;&lt;author&gt;Bond, John&lt;/author&gt;&lt;author&gt;Richardson, David A&lt;/author&gt;&lt;author&gt;Dawson, Pamela&lt;/author&gt;&lt;author&gt;Steen, I Nicholas&lt;/author&gt;&lt;author&gt;McKeith, Ian G&lt;/author&gt;&lt;author&gt;Kenny, Rose Anne&lt;/author&gt;&lt;/authors&gt;&lt;/contributors&gt;&lt;titles&gt;&lt;title&gt;Multifactorial intervention after a fall in older people with cognitive impairment and dementia presenting to the accident and emergency department: randomised controlled trial&lt;/title&gt;&lt;secondary-title&gt;BMJ: British medical journal&lt;/secondary-title&gt;&lt;/titles&gt;&lt;periodical&gt;&lt;full-title&gt;BMJ: British medical journal&lt;/full-title&gt;&lt;/periodical&gt;&lt;pages&gt;73&lt;/pages&gt;&lt;volume&gt;326&lt;/volume&gt;&lt;number&gt;7380&lt;/number&gt;&lt;dates&gt;&lt;year&gt;2003&lt;/year&gt;&lt;/dates&gt;&lt;urls&gt;&lt;/urls&gt;&lt;/record&gt;&lt;/Cite&gt;&lt;/EndNote&gt;</w:instrText>
            </w:r>
            <w:r w:rsidRPr="004C78D8">
              <w:rPr>
                <w:sz w:val="20"/>
                <w:szCs w:val="20"/>
              </w:rPr>
              <w:fldChar w:fldCharType="separate"/>
            </w:r>
            <w:r w:rsidR="00C630FC" w:rsidRPr="004C78D8">
              <w:rPr>
                <w:noProof/>
                <w:sz w:val="20"/>
                <w:szCs w:val="20"/>
              </w:rPr>
              <w:t>[384]</w:t>
            </w:r>
            <w:r w:rsidRPr="004C78D8">
              <w:rPr>
                <w:sz w:val="20"/>
                <w:szCs w:val="20"/>
              </w:rPr>
              <w:fldChar w:fldCharType="end"/>
            </w:r>
          </w:p>
        </w:tc>
      </w:tr>
      <w:tr w:rsidR="007E0D77" w:rsidRPr="004C78D8" w14:paraId="2940DD02" w14:textId="77777777" w:rsidTr="00E35893">
        <w:tc>
          <w:tcPr>
            <w:tcW w:w="458" w:type="pct"/>
            <w:vMerge w:val="restart"/>
          </w:tcPr>
          <w:p w14:paraId="70AED138" w14:textId="5F5C198C" w:rsidR="007E0D77" w:rsidRPr="004C78D8" w:rsidRDefault="007E0D77" w:rsidP="00FB7C1F">
            <w:pPr>
              <w:jc w:val="left"/>
              <w:rPr>
                <w:sz w:val="20"/>
                <w:szCs w:val="20"/>
              </w:rPr>
            </w:pPr>
            <w:r w:rsidRPr="004C78D8">
              <w:rPr>
                <w:sz w:val="20"/>
                <w:szCs w:val="20"/>
              </w:rPr>
              <w:t>Proactive</w:t>
            </w:r>
          </w:p>
        </w:tc>
        <w:tc>
          <w:tcPr>
            <w:tcW w:w="613" w:type="pct"/>
            <w:vMerge w:val="restart"/>
          </w:tcPr>
          <w:p w14:paraId="7D9D49FA" w14:textId="31761C8C" w:rsidR="007E0D77" w:rsidRPr="004C78D8" w:rsidRDefault="007E0D77" w:rsidP="00FB7C1F">
            <w:pPr>
              <w:jc w:val="left"/>
              <w:rPr>
                <w:sz w:val="20"/>
                <w:szCs w:val="20"/>
              </w:rPr>
            </w:pPr>
            <w:r w:rsidRPr="004C78D8">
              <w:rPr>
                <w:sz w:val="20"/>
                <w:szCs w:val="20"/>
              </w:rPr>
              <w:t xml:space="preserve">Current practice </w:t>
            </w:r>
          </w:p>
        </w:tc>
        <w:tc>
          <w:tcPr>
            <w:tcW w:w="813" w:type="pct"/>
          </w:tcPr>
          <w:p w14:paraId="162BE6BF" w14:textId="231EE72B" w:rsidR="007E0D77" w:rsidRPr="004C78D8" w:rsidRDefault="00EA011F" w:rsidP="00FB7C1F">
            <w:pPr>
              <w:jc w:val="left"/>
              <w:rPr>
                <w:sz w:val="20"/>
                <w:szCs w:val="20"/>
              </w:rPr>
            </w:pPr>
            <w:r w:rsidRPr="004C78D8">
              <w:rPr>
                <w:sz w:val="20"/>
                <w:szCs w:val="20"/>
              </w:rPr>
              <w:t xml:space="preserve">General </w:t>
            </w:r>
            <w:r w:rsidR="00445168" w:rsidRPr="004C78D8">
              <w:rPr>
                <w:sz w:val="20"/>
                <w:szCs w:val="20"/>
              </w:rPr>
              <w:t xml:space="preserve">older </w:t>
            </w:r>
            <w:r w:rsidRPr="004C78D8">
              <w:rPr>
                <w:sz w:val="20"/>
                <w:szCs w:val="20"/>
              </w:rPr>
              <w:t>population in community</w:t>
            </w:r>
          </w:p>
        </w:tc>
        <w:tc>
          <w:tcPr>
            <w:tcW w:w="1874" w:type="pct"/>
          </w:tcPr>
          <w:p w14:paraId="2D3FE8A8" w14:textId="14F48D62" w:rsidR="007E0D77" w:rsidRPr="004C78D8" w:rsidRDefault="007E0D77" w:rsidP="00FB7C1F">
            <w:pPr>
              <w:pStyle w:val="ListParagraph"/>
              <w:numPr>
                <w:ilvl w:val="0"/>
                <w:numId w:val="4"/>
              </w:numPr>
              <w:ind w:left="180" w:hanging="219"/>
              <w:jc w:val="left"/>
              <w:rPr>
                <w:sz w:val="20"/>
                <w:szCs w:val="20"/>
              </w:rPr>
            </w:pPr>
            <w:r w:rsidRPr="004C78D8">
              <w:rPr>
                <w:sz w:val="20"/>
                <w:szCs w:val="20"/>
              </w:rPr>
              <w:t>Falls risk screening in community; referral to multifactorial intervention by ICT team and Falls Clinic for high</w:t>
            </w:r>
            <w:r w:rsidR="0077658C" w:rsidRPr="004C78D8">
              <w:rPr>
                <w:sz w:val="20"/>
                <w:szCs w:val="20"/>
              </w:rPr>
              <w:t xml:space="preserve"> </w:t>
            </w:r>
            <w:r w:rsidRPr="004C78D8">
              <w:rPr>
                <w:sz w:val="20"/>
                <w:szCs w:val="20"/>
              </w:rPr>
              <w:t>falls</w:t>
            </w:r>
            <w:r w:rsidR="0077658C" w:rsidRPr="004C78D8">
              <w:rPr>
                <w:sz w:val="20"/>
                <w:szCs w:val="20"/>
              </w:rPr>
              <w:t xml:space="preserve"> </w:t>
            </w:r>
            <w:r w:rsidRPr="004C78D8">
              <w:rPr>
                <w:sz w:val="20"/>
                <w:szCs w:val="20"/>
              </w:rPr>
              <w:t xml:space="preserve">risk </w:t>
            </w:r>
          </w:p>
        </w:tc>
        <w:tc>
          <w:tcPr>
            <w:tcW w:w="711" w:type="pct"/>
            <w:tcBorders>
              <w:bottom w:val="nil"/>
              <w:right w:val="nil"/>
            </w:tcBorders>
          </w:tcPr>
          <w:p w14:paraId="07CD4283" w14:textId="1E1E6739" w:rsidR="007E0D77" w:rsidRPr="004C78D8" w:rsidRDefault="007E0D77" w:rsidP="00FB7C1F">
            <w:pPr>
              <w:jc w:val="left"/>
              <w:rPr>
                <w:sz w:val="20"/>
                <w:szCs w:val="20"/>
              </w:rPr>
            </w:pPr>
          </w:p>
        </w:tc>
        <w:tc>
          <w:tcPr>
            <w:tcW w:w="531" w:type="pct"/>
            <w:tcBorders>
              <w:left w:val="nil"/>
              <w:bottom w:val="nil"/>
            </w:tcBorders>
          </w:tcPr>
          <w:p w14:paraId="687D4805" w14:textId="3C18CA87" w:rsidR="007E0D77" w:rsidRPr="004C78D8" w:rsidRDefault="007E0D77" w:rsidP="00FB7C1F">
            <w:pPr>
              <w:jc w:val="left"/>
              <w:rPr>
                <w:sz w:val="20"/>
                <w:szCs w:val="20"/>
              </w:rPr>
            </w:pPr>
          </w:p>
        </w:tc>
      </w:tr>
      <w:tr w:rsidR="007E0D77" w:rsidRPr="004C78D8" w14:paraId="204A4049" w14:textId="77777777" w:rsidTr="00E35893">
        <w:tc>
          <w:tcPr>
            <w:tcW w:w="458" w:type="pct"/>
            <w:vMerge/>
          </w:tcPr>
          <w:p w14:paraId="5B2FDBC8" w14:textId="77777777" w:rsidR="007E0D77" w:rsidRPr="004C78D8" w:rsidRDefault="007E0D77" w:rsidP="00FB7C1F">
            <w:pPr>
              <w:jc w:val="left"/>
              <w:rPr>
                <w:sz w:val="20"/>
                <w:szCs w:val="20"/>
              </w:rPr>
            </w:pPr>
          </w:p>
        </w:tc>
        <w:tc>
          <w:tcPr>
            <w:tcW w:w="613" w:type="pct"/>
            <w:vMerge/>
          </w:tcPr>
          <w:p w14:paraId="560F80F7" w14:textId="77777777" w:rsidR="007E0D77" w:rsidRPr="004C78D8" w:rsidRDefault="007E0D77" w:rsidP="00FB7C1F">
            <w:pPr>
              <w:jc w:val="left"/>
              <w:rPr>
                <w:sz w:val="20"/>
                <w:szCs w:val="20"/>
              </w:rPr>
            </w:pPr>
          </w:p>
        </w:tc>
        <w:tc>
          <w:tcPr>
            <w:tcW w:w="813" w:type="pct"/>
          </w:tcPr>
          <w:p w14:paraId="2BD3607E" w14:textId="78BA30FF" w:rsidR="007E0D77" w:rsidRPr="004C78D8" w:rsidRDefault="001D5170" w:rsidP="00FB7C1F">
            <w:pPr>
              <w:jc w:val="left"/>
              <w:rPr>
                <w:sz w:val="20"/>
                <w:szCs w:val="20"/>
              </w:rPr>
            </w:pPr>
            <w:r w:rsidRPr="004C78D8">
              <w:rPr>
                <w:sz w:val="20"/>
                <w:szCs w:val="20"/>
              </w:rPr>
              <w:t>Cognitively impaired</w:t>
            </w:r>
          </w:p>
        </w:tc>
        <w:tc>
          <w:tcPr>
            <w:tcW w:w="1874" w:type="pct"/>
          </w:tcPr>
          <w:p w14:paraId="672996AA" w14:textId="6723892F" w:rsidR="007E0D77" w:rsidRPr="004C78D8" w:rsidRDefault="007E0D77" w:rsidP="00FB7C1F">
            <w:pPr>
              <w:pStyle w:val="ListParagraph"/>
              <w:numPr>
                <w:ilvl w:val="0"/>
                <w:numId w:val="4"/>
              </w:numPr>
              <w:ind w:left="180" w:hanging="219"/>
              <w:jc w:val="left"/>
              <w:rPr>
                <w:sz w:val="20"/>
                <w:szCs w:val="20"/>
              </w:rPr>
            </w:pPr>
            <w:r w:rsidRPr="004C78D8">
              <w:rPr>
                <w:sz w:val="20"/>
                <w:szCs w:val="20"/>
              </w:rPr>
              <w:t>No intervention: referral to Memory Clinic</w:t>
            </w:r>
          </w:p>
        </w:tc>
        <w:tc>
          <w:tcPr>
            <w:tcW w:w="711" w:type="pct"/>
            <w:tcBorders>
              <w:top w:val="nil"/>
              <w:bottom w:val="nil"/>
              <w:right w:val="nil"/>
            </w:tcBorders>
          </w:tcPr>
          <w:p w14:paraId="4185F03E" w14:textId="0EA64B2D" w:rsidR="007E0D77" w:rsidRPr="004C78D8" w:rsidRDefault="007E0D77" w:rsidP="00FB7C1F">
            <w:pPr>
              <w:jc w:val="left"/>
              <w:rPr>
                <w:sz w:val="20"/>
                <w:szCs w:val="20"/>
              </w:rPr>
            </w:pPr>
          </w:p>
        </w:tc>
        <w:tc>
          <w:tcPr>
            <w:tcW w:w="531" w:type="pct"/>
            <w:tcBorders>
              <w:top w:val="nil"/>
              <w:left w:val="nil"/>
              <w:bottom w:val="nil"/>
            </w:tcBorders>
          </w:tcPr>
          <w:p w14:paraId="4A5E575C" w14:textId="0F6AC8CE" w:rsidR="007E0D77" w:rsidRPr="004C78D8" w:rsidRDefault="007E0D77" w:rsidP="00FB7C1F">
            <w:pPr>
              <w:jc w:val="left"/>
              <w:rPr>
                <w:sz w:val="20"/>
                <w:szCs w:val="20"/>
              </w:rPr>
            </w:pPr>
          </w:p>
        </w:tc>
      </w:tr>
      <w:tr w:rsidR="007E0D77" w:rsidRPr="004C78D8" w14:paraId="40A8E6AB" w14:textId="77777777" w:rsidTr="00E35893">
        <w:tc>
          <w:tcPr>
            <w:tcW w:w="458" w:type="pct"/>
            <w:vMerge/>
          </w:tcPr>
          <w:p w14:paraId="3C5E4876" w14:textId="77777777" w:rsidR="007E0D77" w:rsidRPr="004C78D8" w:rsidRDefault="007E0D77" w:rsidP="00FB7C1F">
            <w:pPr>
              <w:jc w:val="left"/>
              <w:rPr>
                <w:sz w:val="20"/>
                <w:szCs w:val="20"/>
              </w:rPr>
            </w:pPr>
          </w:p>
        </w:tc>
        <w:tc>
          <w:tcPr>
            <w:tcW w:w="613" w:type="pct"/>
            <w:vMerge/>
          </w:tcPr>
          <w:p w14:paraId="080EBD73" w14:textId="77777777" w:rsidR="007E0D77" w:rsidRPr="004C78D8" w:rsidRDefault="007E0D77" w:rsidP="00FB7C1F">
            <w:pPr>
              <w:jc w:val="left"/>
              <w:rPr>
                <w:sz w:val="20"/>
                <w:szCs w:val="20"/>
              </w:rPr>
            </w:pPr>
          </w:p>
        </w:tc>
        <w:tc>
          <w:tcPr>
            <w:tcW w:w="813" w:type="pct"/>
          </w:tcPr>
          <w:p w14:paraId="38868B71" w14:textId="7132C892" w:rsidR="007E0D77" w:rsidRPr="004C78D8" w:rsidRDefault="007E0D77" w:rsidP="00FB7C1F">
            <w:pPr>
              <w:jc w:val="left"/>
              <w:rPr>
                <w:sz w:val="20"/>
                <w:szCs w:val="20"/>
              </w:rPr>
            </w:pPr>
            <w:r w:rsidRPr="004C78D8">
              <w:rPr>
                <w:sz w:val="20"/>
                <w:szCs w:val="20"/>
              </w:rPr>
              <w:t>With intervention history</w:t>
            </w:r>
          </w:p>
        </w:tc>
        <w:tc>
          <w:tcPr>
            <w:tcW w:w="1874" w:type="pct"/>
          </w:tcPr>
          <w:p w14:paraId="1CA03D67" w14:textId="3C191B93" w:rsidR="007E0D77" w:rsidRPr="004C78D8" w:rsidRDefault="007E0D77" w:rsidP="00FB7C1F">
            <w:pPr>
              <w:pStyle w:val="ListParagraph"/>
              <w:numPr>
                <w:ilvl w:val="0"/>
                <w:numId w:val="4"/>
              </w:numPr>
              <w:ind w:left="180" w:hanging="219"/>
              <w:jc w:val="left"/>
              <w:rPr>
                <w:sz w:val="20"/>
                <w:szCs w:val="20"/>
              </w:rPr>
            </w:pPr>
            <w:r w:rsidRPr="004C78D8">
              <w:rPr>
                <w:sz w:val="20"/>
                <w:szCs w:val="20"/>
              </w:rPr>
              <w:t>No repeated intervention: monitoring in primary care</w:t>
            </w:r>
          </w:p>
        </w:tc>
        <w:tc>
          <w:tcPr>
            <w:tcW w:w="711" w:type="pct"/>
            <w:tcBorders>
              <w:top w:val="nil"/>
              <w:right w:val="nil"/>
            </w:tcBorders>
          </w:tcPr>
          <w:p w14:paraId="4A60599B" w14:textId="0CF87717" w:rsidR="007E0D77" w:rsidRPr="004C78D8" w:rsidRDefault="007E0D77" w:rsidP="00FB7C1F">
            <w:pPr>
              <w:jc w:val="left"/>
              <w:rPr>
                <w:sz w:val="20"/>
                <w:szCs w:val="20"/>
              </w:rPr>
            </w:pPr>
          </w:p>
        </w:tc>
        <w:tc>
          <w:tcPr>
            <w:tcW w:w="531" w:type="pct"/>
            <w:tcBorders>
              <w:top w:val="nil"/>
              <w:left w:val="nil"/>
            </w:tcBorders>
          </w:tcPr>
          <w:p w14:paraId="6D5A6A32" w14:textId="1C9EA3A3" w:rsidR="007E0D77" w:rsidRPr="004C78D8" w:rsidRDefault="007E0D77" w:rsidP="00FB7C1F">
            <w:pPr>
              <w:jc w:val="left"/>
              <w:rPr>
                <w:sz w:val="20"/>
                <w:szCs w:val="20"/>
              </w:rPr>
            </w:pPr>
          </w:p>
        </w:tc>
      </w:tr>
      <w:tr w:rsidR="007E0D77" w:rsidRPr="004C78D8" w14:paraId="5B8C2C47" w14:textId="77777777" w:rsidTr="00E35893">
        <w:tc>
          <w:tcPr>
            <w:tcW w:w="458" w:type="pct"/>
            <w:vMerge/>
          </w:tcPr>
          <w:p w14:paraId="71016A94" w14:textId="77777777" w:rsidR="007E0D77" w:rsidRPr="004C78D8" w:rsidRDefault="007E0D77" w:rsidP="00FB7C1F">
            <w:pPr>
              <w:jc w:val="left"/>
              <w:rPr>
                <w:sz w:val="20"/>
                <w:szCs w:val="20"/>
              </w:rPr>
            </w:pPr>
          </w:p>
        </w:tc>
        <w:tc>
          <w:tcPr>
            <w:tcW w:w="613" w:type="pct"/>
            <w:vMerge w:val="restart"/>
            <w:tcBorders>
              <w:top w:val="nil"/>
            </w:tcBorders>
            <w:shd w:val="clear" w:color="auto" w:fill="F2F2F2" w:themeFill="background1" w:themeFillShade="F2"/>
          </w:tcPr>
          <w:p w14:paraId="5E62AEEB" w14:textId="248A9CDE" w:rsidR="007E0D77" w:rsidRPr="004C78D8" w:rsidRDefault="007E0D77" w:rsidP="00FB7C1F">
            <w:pPr>
              <w:jc w:val="left"/>
              <w:rPr>
                <w:i/>
                <w:iCs/>
                <w:sz w:val="20"/>
                <w:szCs w:val="20"/>
              </w:rPr>
            </w:pPr>
            <w:r w:rsidRPr="004C78D8">
              <w:rPr>
                <w:i/>
                <w:iCs/>
                <w:sz w:val="20"/>
                <w:szCs w:val="20"/>
              </w:rPr>
              <w:t xml:space="preserve">Model </w:t>
            </w:r>
            <w:r w:rsidR="00A41AC1" w:rsidRPr="004C78D8">
              <w:rPr>
                <w:i/>
                <w:iCs/>
                <w:sz w:val="20"/>
                <w:szCs w:val="20"/>
              </w:rPr>
              <w:t>usual care scenario</w:t>
            </w:r>
          </w:p>
        </w:tc>
        <w:tc>
          <w:tcPr>
            <w:tcW w:w="813" w:type="pct"/>
            <w:shd w:val="clear" w:color="auto" w:fill="F2F2F2" w:themeFill="background1" w:themeFillShade="F2"/>
          </w:tcPr>
          <w:p w14:paraId="0ADD50A8" w14:textId="37E07321" w:rsidR="007E0D77" w:rsidRPr="004C78D8" w:rsidRDefault="00EA011F" w:rsidP="00FB7C1F">
            <w:pPr>
              <w:jc w:val="left"/>
              <w:rPr>
                <w:sz w:val="20"/>
                <w:szCs w:val="20"/>
              </w:rPr>
            </w:pPr>
            <w:r w:rsidRPr="004C78D8">
              <w:rPr>
                <w:sz w:val="20"/>
                <w:szCs w:val="20"/>
              </w:rPr>
              <w:t>Persons not receiving reactive intervention</w:t>
            </w:r>
          </w:p>
        </w:tc>
        <w:tc>
          <w:tcPr>
            <w:tcW w:w="1874" w:type="pct"/>
            <w:shd w:val="clear" w:color="auto" w:fill="F2F2F2" w:themeFill="background1" w:themeFillShade="F2"/>
          </w:tcPr>
          <w:p w14:paraId="676BE3FE" w14:textId="1402DCD1" w:rsidR="007E0D77" w:rsidRPr="004C78D8" w:rsidRDefault="007E0D77" w:rsidP="00FB7C1F">
            <w:pPr>
              <w:pStyle w:val="ListParagraph"/>
              <w:numPr>
                <w:ilvl w:val="0"/>
                <w:numId w:val="4"/>
              </w:numPr>
              <w:ind w:left="180" w:hanging="219"/>
              <w:jc w:val="left"/>
              <w:rPr>
                <w:sz w:val="20"/>
                <w:szCs w:val="20"/>
              </w:rPr>
            </w:pPr>
            <w:r w:rsidRPr="004C78D8">
              <w:rPr>
                <w:sz w:val="20"/>
                <w:szCs w:val="20"/>
              </w:rPr>
              <w:t xml:space="preserve">Falls risk screening at GP routine contact; referral to multifactorial intervention </w:t>
            </w:r>
            <w:r w:rsidR="00EA011F" w:rsidRPr="004C78D8">
              <w:rPr>
                <w:sz w:val="20"/>
                <w:szCs w:val="20"/>
              </w:rPr>
              <w:t>if</w:t>
            </w:r>
            <w:r w:rsidRPr="004C78D8">
              <w:rPr>
                <w:sz w:val="20"/>
                <w:szCs w:val="20"/>
              </w:rPr>
              <w:t xml:space="preserve"> high</w:t>
            </w:r>
            <w:r w:rsidR="00B77106" w:rsidRPr="004C78D8">
              <w:rPr>
                <w:sz w:val="20"/>
                <w:szCs w:val="20"/>
              </w:rPr>
              <w:t xml:space="preserve"> </w:t>
            </w:r>
            <w:r w:rsidRPr="004C78D8">
              <w:rPr>
                <w:sz w:val="20"/>
                <w:szCs w:val="20"/>
              </w:rPr>
              <w:t>falls</w:t>
            </w:r>
            <w:r w:rsidR="00B77106" w:rsidRPr="004C78D8">
              <w:rPr>
                <w:sz w:val="20"/>
                <w:szCs w:val="20"/>
              </w:rPr>
              <w:t xml:space="preserve"> </w:t>
            </w:r>
            <w:r w:rsidRPr="004C78D8">
              <w:rPr>
                <w:sz w:val="20"/>
                <w:szCs w:val="20"/>
              </w:rPr>
              <w:t>risk</w:t>
            </w:r>
          </w:p>
        </w:tc>
        <w:tc>
          <w:tcPr>
            <w:tcW w:w="711" w:type="pct"/>
            <w:tcBorders>
              <w:bottom w:val="single" w:sz="4" w:space="0" w:color="auto"/>
            </w:tcBorders>
            <w:shd w:val="clear" w:color="auto" w:fill="F2F2F2" w:themeFill="background1" w:themeFillShade="F2"/>
          </w:tcPr>
          <w:p w14:paraId="3116727F" w14:textId="6A568344" w:rsidR="007E0D77" w:rsidRPr="004C78D8" w:rsidRDefault="007E0D77" w:rsidP="00FB7C1F">
            <w:pPr>
              <w:jc w:val="left"/>
              <w:rPr>
                <w:sz w:val="20"/>
                <w:szCs w:val="20"/>
              </w:rPr>
            </w:pPr>
            <w:r w:rsidRPr="004C78D8">
              <w:rPr>
                <w:sz w:val="20"/>
                <w:szCs w:val="20"/>
              </w:rPr>
              <w:t>Limited access</w:t>
            </w:r>
            <w:r w:rsidR="00DF3CE3" w:rsidRPr="004C78D8">
              <w:rPr>
                <w:sz w:val="20"/>
                <w:szCs w:val="20"/>
                <w:vertAlign w:val="superscript"/>
              </w:rPr>
              <w:t>3</w:t>
            </w:r>
          </w:p>
        </w:tc>
        <w:tc>
          <w:tcPr>
            <w:tcW w:w="531" w:type="pct"/>
            <w:tcBorders>
              <w:bottom w:val="single" w:sz="4" w:space="0" w:color="auto"/>
            </w:tcBorders>
            <w:shd w:val="clear" w:color="auto" w:fill="F2F2F2" w:themeFill="background1" w:themeFillShade="F2"/>
          </w:tcPr>
          <w:p w14:paraId="45334934" w14:textId="3DB068E1" w:rsidR="007E0D77" w:rsidRPr="004C78D8" w:rsidRDefault="00BE650E" w:rsidP="00FB7C1F">
            <w:pPr>
              <w:jc w:val="left"/>
              <w:rPr>
                <w:sz w:val="20"/>
                <w:szCs w:val="20"/>
              </w:rPr>
            </w:pPr>
            <w:r w:rsidRPr="004C78D8">
              <w:rPr>
                <w:sz w:val="20"/>
                <w:szCs w:val="20"/>
              </w:rPr>
              <w:fldChar w:fldCharType="begin"/>
            </w:r>
            <w:r w:rsidR="00C630FC" w:rsidRPr="004C78D8">
              <w:rPr>
                <w:sz w:val="20"/>
                <w:szCs w:val="20"/>
              </w:rPr>
              <w:instrText xml:space="preserve"> ADDIN EN.CITE &lt;EndNote&gt;&lt;Cite&gt;&lt;Author&gt;Spice&lt;/Author&gt;&lt;Year&gt;2009&lt;/Year&gt;&lt;RecNum&gt;515&lt;/RecNum&gt;&lt;DisplayText&gt;[385]&lt;/DisplayText&gt;&lt;record&gt;&lt;rec-number&gt;515&lt;/rec-number&gt;&lt;foreign-keys&gt;&lt;key app="EN" db-id="tdtrdw9aepptzbefsat599syza29sxsd2wsp" timestamp="1617909863"&gt;515&lt;/key&gt;&lt;/foreign-keys&gt;&lt;ref-type name="Journal Article"&gt;17&lt;/ref-type&gt;&lt;contributors&gt;&lt;authors&gt;&lt;author&gt;Spice, Claire L&lt;/author&gt;&lt;author&gt;Morotti, Wendy&lt;/author&gt;&lt;author&gt;George, Steve&lt;/author&gt;&lt;author&gt;Dent, Thomas HS&lt;/author&gt;&lt;author&gt;Rose, Jim&lt;/author&gt;&lt;author&gt;Harris, Scott&lt;/author&gt;&lt;author&gt;Gordon, Christopher J&lt;/author&gt;&lt;/authors&gt;&lt;/contributors&gt;&lt;titles&gt;&lt;title&gt;The Winchester falls project: a randomised controlled trial of secondary prevention of falls in older people&lt;/title&gt;&lt;secondary-title&gt;Age and ageing&lt;/secondary-title&gt;&lt;/titles&gt;&lt;periodical&gt;&lt;full-title&gt;Age and ageing&lt;/full-title&gt;&lt;/periodical&gt;&lt;pages&gt;33-40&lt;/pages&gt;&lt;volume&gt;38&lt;/volume&gt;&lt;number&gt;1&lt;/number&gt;&lt;dates&gt;&lt;year&gt;2009&lt;/year&gt;&lt;/dates&gt;&lt;isbn&gt;1468-2834&lt;/isbn&gt;&lt;urls&gt;&lt;/urls&gt;&lt;/record&gt;&lt;/Cite&gt;&lt;/EndNote&gt;</w:instrText>
            </w:r>
            <w:r w:rsidRPr="004C78D8">
              <w:rPr>
                <w:sz w:val="20"/>
                <w:szCs w:val="20"/>
              </w:rPr>
              <w:fldChar w:fldCharType="separate"/>
            </w:r>
            <w:r w:rsidR="00C630FC" w:rsidRPr="004C78D8">
              <w:rPr>
                <w:noProof/>
                <w:sz w:val="20"/>
                <w:szCs w:val="20"/>
              </w:rPr>
              <w:t>[385]</w:t>
            </w:r>
            <w:r w:rsidRPr="004C78D8">
              <w:rPr>
                <w:sz w:val="20"/>
                <w:szCs w:val="20"/>
              </w:rPr>
              <w:fldChar w:fldCharType="end"/>
            </w:r>
          </w:p>
        </w:tc>
      </w:tr>
      <w:tr w:rsidR="007E0D77" w:rsidRPr="004C78D8" w14:paraId="5106E038" w14:textId="77777777" w:rsidTr="00E35893">
        <w:tc>
          <w:tcPr>
            <w:tcW w:w="458" w:type="pct"/>
            <w:vMerge/>
          </w:tcPr>
          <w:p w14:paraId="490BB2AE" w14:textId="77777777" w:rsidR="007E0D77" w:rsidRPr="004C78D8" w:rsidRDefault="007E0D77" w:rsidP="00FB7C1F">
            <w:pPr>
              <w:jc w:val="left"/>
              <w:rPr>
                <w:sz w:val="20"/>
                <w:szCs w:val="20"/>
              </w:rPr>
            </w:pPr>
          </w:p>
        </w:tc>
        <w:tc>
          <w:tcPr>
            <w:tcW w:w="613" w:type="pct"/>
            <w:vMerge/>
            <w:tcBorders>
              <w:top w:val="nil"/>
            </w:tcBorders>
            <w:shd w:val="clear" w:color="auto" w:fill="F2F2F2" w:themeFill="background1" w:themeFillShade="F2"/>
          </w:tcPr>
          <w:p w14:paraId="60D29EEA" w14:textId="77777777" w:rsidR="007E0D77" w:rsidRPr="004C78D8" w:rsidRDefault="007E0D77" w:rsidP="00FB7C1F">
            <w:pPr>
              <w:jc w:val="left"/>
              <w:rPr>
                <w:i/>
                <w:iCs/>
                <w:sz w:val="20"/>
                <w:szCs w:val="20"/>
              </w:rPr>
            </w:pPr>
          </w:p>
        </w:tc>
        <w:tc>
          <w:tcPr>
            <w:tcW w:w="813" w:type="pct"/>
            <w:shd w:val="clear" w:color="auto" w:fill="F2F2F2" w:themeFill="background1" w:themeFillShade="F2"/>
          </w:tcPr>
          <w:p w14:paraId="0B2771D2" w14:textId="43264FD1" w:rsidR="007E0D77" w:rsidRPr="004C78D8" w:rsidRDefault="001D5170" w:rsidP="00FB7C1F">
            <w:pPr>
              <w:jc w:val="left"/>
              <w:rPr>
                <w:sz w:val="20"/>
                <w:szCs w:val="20"/>
              </w:rPr>
            </w:pPr>
            <w:r w:rsidRPr="004C78D8">
              <w:rPr>
                <w:sz w:val="20"/>
                <w:szCs w:val="20"/>
              </w:rPr>
              <w:t>Cognitively impaired</w:t>
            </w:r>
          </w:p>
        </w:tc>
        <w:tc>
          <w:tcPr>
            <w:tcW w:w="1874" w:type="pct"/>
            <w:shd w:val="clear" w:color="auto" w:fill="F2F2F2" w:themeFill="background1" w:themeFillShade="F2"/>
          </w:tcPr>
          <w:p w14:paraId="03462D9B" w14:textId="09CD874D" w:rsidR="007E0D77" w:rsidRPr="004C78D8" w:rsidRDefault="007E0D77" w:rsidP="00FB7C1F">
            <w:pPr>
              <w:pStyle w:val="ListParagraph"/>
              <w:numPr>
                <w:ilvl w:val="0"/>
                <w:numId w:val="4"/>
              </w:numPr>
              <w:ind w:left="180" w:hanging="219"/>
              <w:jc w:val="left"/>
              <w:rPr>
                <w:sz w:val="20"/>
                <w:szCs w:val="20"/>
              </w:rPr>
            </w:pPr>
            <w:r w:rsidRPr="004C78D8">
              <w:rPr>
                <w:sz w:val="20"/>
                <w:szCs w:val="20"/>
              </w:rPr>
              <w:t>No intervention</w:t>
            </w:r>
          </w:p>
        </w:tc>
        <w:tc>
          <w:tcPr>
            <w:tcW w:w="711" w:type="pct"/>
            <w:tcBorders>
              <w:bottom w:val="nil"/>
              <w:right w:val="nil"/>
            </w:tcBorders>
            <w:shd w:val="clear" w:color="auto" w:fill="F2F2F2" w:themeFill="background1" w:themeFillShade="F2"/>
          </w:tcPr>
          <w:p w14:paraId="36503C25" w14:textId="37C5FBAD" w:rsidR="007E0D77" w:rsidRPr="004C78D8" w:rsidRDefault="007E0D77" w:rsidP="00FB7C1F">
            <w:pPr>
              <w:jc w:val="left"/>
              <w:rPr>
                <w:sz w:val="20"/>
                <w:szCs w:val="20"/>
              </w:rPr>
            </w:pPr>
          </w:p>
        </w:tc>
        <w:tc>
          <w:tcPr>
            <w:tcW w:w="531" w:type="pct"/>
            <w:tcBorders>
              <w:left w:val="nil"/>
              <w:bottom w:val="nil"/>
            </w:tcBorders>
            <w:shd w:val="clear" w:color="auto" w:fill="F2F2F2" w:themeFill="background1" w:themeFillShade="F2"/>
          </w:tcPr>
          <w:p w14:paraId="3F20310F" w14:textId="1783D66E" w:rsidR="007E0D77" w:rsidRPr="004C78D8" w:rsidRDefault="007E0D77" w:rsidP="00FB7C1F">
            <w:pPr>
              <w:jc w:val="left"/>
              <w:rPr>
                <w:sz w:val="20"/>
                <w:szCs w:val="20"/>
              </w:rPr>
            </w:pPr>
          </w:p>
        </w:tc>
      </w:tr>
      <w:tr w:rsidR="007E0D77" w:rsidRPr="004C78D8" w14:paraId="4504338A" w14:textId="77777777" w:rsidTr="00E35893">
        <w:tc>
          <w:tcPr>
            <w:tcW w:w="458" w:type="pct"/>
            <w:vMerge/>
          </w:tcPr>
          <w:p w14:paraId="65E54622" w14:textId="77777777" w:rsidR="007E0D77" w:rsidRPr="004C78D8" w:rsidRDefault="007E0D77" w:rsidP="00FB7C1F">
            <w:pPr>
              <w:jc w:val="left"/>
              <w:rPr>
                <w:sz w:val="20"/>
                <w:szCs w:val="20"/>
              </w:rPr>
            </w:pPr>
          </w:p>
        </w:tc>
        <w:tc>
          <w:tcPr>
            <w:tcW w:w="613" w:type="pct"/>
            <w:vMerge/>
            <w:shd w:val="clear" w:color="auto" w:fill="F2F2F2" w:themeFill="background1" w:themeFillShade="F2"/>
          </w:tcPr>
          <w:p w14:paraId="27C06727" w14:textId="77777777" w:rsidR="007E0D77" w:rsidRPr="004C78D8" w:rsidRDefault="007E0D77" w:rsidP="00FB7C1F">
            <w:pPr>
              <w:jc w:val="left"/>
              <w:rPr>
                <w:sz w:val="20"/>
                <w:szCs w:val="20"/>
              </w:rPr>
            </w:pPr>
          </w:p>
        </w:tc>
        <w:tc>
          <w:tcPr>
            <w:tcW w:w="813" w:type="pct"/>
            <w:shd w:val="clear" w:color="auto" w:fill="F2F2F2" w:themeFill="background1" w:themeFillShade="F2"/>
          </w:tcPr>
          <w:p w14:paraId="1B420170" w14:textId="584445E4" w:rsidR="007E0D77" w:rsidRPr="004C78D8" w:rsidRDefault="007E0D77" w:rsidP="00FB7C1F">
            <w:pPr>
              <w:jc w:val="left"/>
              <w:rPr>
                <w:sz w:val="20"/>
                <w:szCs w:val="20"/>
              </w:rPr>
            </w:pPr>
            <w:r w:rsidRPr="004C78D8">
              <w:rPr>
                <w:sz w:val="20"/>
                <w:szCs w:val="20"/>
              </w:rPr>
              <w:t>With intervention history</w:t>
            </w:r>
          </w:p>
        </w:tc>
        <w:tc>
          <w:tcPr>
            <w:tcW w:w="1874" w:type="pct"/>
            <w:shd w:val="clear" w:color="auto" w:fill="F2F2F2" w:themeFill="background1" w:themeFillShade="F2"/>
          </w:tcPr>
          <w:p w14:paraId="4E3DD6FD" w14:textId="435C2ADE" w:rsidR="007E0D77" w:rsidRPr="004C78D8" w:rsidRDefault="007E0D77" w:rsidP="00FB7C1F">
            <w:pPr>
              <w:pStyle w:val="ListParagraph"/>
              <w:numPr>
                <w:ilvl w:val="0"/>
                <w:numId w:val="4"/>
              </w:numPr>
              <w:ind w:left="180" w:hanging="219"/>
              <w:jc w:val="left"/>
              <w:rPr>
                <w:sz w:val="20"/>
                <w:szCs w:val="20"/>
              </w:rPr>
            </w:pPr>
            <w:r w:rsidRPr="004C78D8">
              <w:rPr>
                <w:sz w:val="20"/>
                <w:szCs w:val="20"/>
              </w:rPr>
              <w:t>No intervention</w:t>
            </w:r>
          </w:p>
        </w:tc>
        <w:tc>
          <w:tcPr>
            <w:tcW w:w="711" w:type="pct"/>
            <w:tcBorders>
              <w:top w:val="nil"/>
              <w:bottom w:val="single" w:sz="4" w:space="0" w:color="auto"/>
              <w:right w:val="nil"/>
            </w:tcBorders>
            <w:shd w:val="clear" w:color="auto" w:fill="F2F2F2" w:themeFill="background1" w:themeFillShade="F2"/>
          </w:tcPr>
          <w:p w14:paraId="356D95AE" w14:textId="6F5A4109" w:rsidR="007E0D77" w:rsidRPr="004C78D8" w:rsidRDefault="007E0D77" w:rsidP="00FB7C1F">
            <w:pPr>
              <w:jc w:val="left"/>
              <w:rPr>
                <w:sz w:val="20"/>
                <w:szCs w:val="20"/>
              </w:rPr>
            </w:pPr>
          </w:p>
        </w:tc>
        <w:tc>
          <w:tcPr>
            <w:tcW w:w="531" w:type="pct"/>
            <w:tcBorders>
              <w:top w:val="nil"/>
              <w:left w:val="nil"/>
              <w:bottom w:val="single" w:sz="4" w:space="0" w:color="auto"/>
            </w:tcBorders>
            <w:shd w:val="clear" w:color="auto" w:fill="F2F2F2" w:themeFill="background1" w:themeFillShade="F2"/>
          </w:tcPr>
          <w:p w14:paraId="48141205" w14:textId="4154DACA" w:rsidR="007E0D77" w:rsidRPr="004C78D8" w:rsidRDefault="007E0D77" w:rsidP="00FB7C1F">
            <w:pPr>
              <w:jc w:val="left"/>
              <w:rPr>
                <w:sz w:val="20"/>
                <w:szCs w:val="20"/>
              </w:rPr>
            </w:pPr>
          </w:p>
        </w:tc>
      </w:tr>
      <w:tr w:rsidR="00445168" w:rsidRPr="004C78D8" w14:paraId="07E11F2B" w14:textId="77777777" w:rsidTr="00E35893">
        <w:tc>
          <w:tcPr>
            <w:tcW w:w="458" w:type="pct"/>
            <w:vMerge/>
          </w:tcPr>
          <w:p w14:paraId="6DD2ECAD" w14:textId="77777777" w:rsidR="00445168" w:rsidRPr="004C78D8" w:rsidRDefault="00445168" w:rsidP="00FB7C1F">
            <w:pPr>
              <w:jc w:val="left"/>
              <w:rPr>
                <w:sz w:val="20"/>
                <w:szCs w:val="20"/>
              </w:rPr>
            </w:pPr>
          </w:p>
        </w:tc>
        <w:tc>
          <w:tcPr>
            <w:tcW w:w="613" w:type="pct"/>
            <w:vMerge w:val="restart"/>
          </w:tcPr>
          <w:p w14:paraId="4FCEAAD9" w14:textId="513896D8" w:rsidR="00445168" w:rsidRPr="004C78D8" w:rsidRDefault="00445168" w:rsidP="00FB7C1F">
            <w:pPr>
              <w:jc w:val="left"/>
              <w:rPr>
                <w:sz w:val="20"/>
                <w:szCs w:val="20"/>
              </w:rPr>
            </w:pPr>
            <w:r w:rsidRPr="004C78D8">
              <w:rPr>
                <w:sz w:val="20"/>
                <w:szCs w:val="20"/>
              </w:rPr>
              <w:t>Recommended practice</w:t>
            </w:r>
          </w:p>
        </w:tc>
        <w:tc>
          <w:tcPr>
            <w:tcW w:w="813" w:type="pct"/>
          </w:tcPr>
          <w:p w14:paraId="467D265E" w14:textId="12BFC1DA" w:rsidR="00445168" w:rsidRPr="004C78D8" w:rsidRDefault="00445168" w:rsidP="00FB7C1F">
            <w:pPr>
              <w:jc w:val="left"/>
              <w:rPr>
                <w:sz w:val="20"/>
                <w:szCs w:val="20"/>
              </w:rPr>
            </w:pPr>
            <w:r w:rsidRPr="004C78D8">
              <w:rPr>
                <w:sz w:val="20"/>
                <w:szCs w:val="20"/>
              </w:rPr>
              <w:t>General older population in community</w:t>
            </w:r>
          </w:p>
        </w:tc>
        <w:tc>
          <w:tcPr>
            <w:tcW w:w="1874" w:type="pct"/>
          </w:tcPr>
          <w:p w14:paraId="4A35AE54" w14:textId="2E11AD00" w:rsidR="00445168" w:rsidRPr="004C78D8" w:rsidRDefault="00445168" w:rsidP="00FB7C1F">
            <w:pPr>
              <w:pStyle w:val="ListParagraph"/>
              <w:numPr>
                <w:ilvl w:val="0"/>
                <w:numId w:val="4"/>
              </w:numPr>
              <w:ind w:left="180" w:hanging="219"/>
              <w:jc w:val="left"/>
              <w:rPr>
                <w:sz w:val="20"/>
                <w:szCs w:val="20"/>
              </w:rPr>
            </w:pPr>
            <w:r w:rsidRPr="004C78D8">
              <w:rPr>
                <w:sz w:val="20"/>
                <w:szCs w:val="20"/>
              </w:rPr>
              <w:t>Falls risk screening in community; referral to multifactorial intervention if high falls risk</w:t>
            </w:r>
          </w:p>
        </w:tc>
        <w:tc>
          <w:tcPr>
            <w:tcW w:w="711" w:type="pct"/>
            <w:tcBorders>
              <w:bottom w:val="nil"/>
              <w:right w:val="nil"/>
            </w:tcBorders>
          </w:tcPr>
          <w:p w14:paraId="086D9F9D" w14:textId="6D26571D" w:rsidR="00445168" w:rsidRPr="004C78D8" w:rsidRDefault="00445168" w:rsidP="00FB7C1F">
            <w:pPr>
              <w:jc w:val="left"/>
              <w:rPr>
                <w:sz w:val="20"/>
                <w:szCs w:val="20"/>
              </w:rPr>
            </w:pPr>
          </w:p>
        </w:tc>
        <w:tc>
          <w:tcPr>
            <w:tcW w:w="531" w:type="pct"/>
            <w:tcBorders>
              <w:left w:val="nil"/>
              <w:bottom w:val="nil"/>
            </w:tcBorders>
          </w:tcPr>
          <w:p w14:paraId="70910E5E" w14:textId="166468D3" w:rsidR="00445168" w:rsidRPr="004C78D8" w:rsidRDefault="00445168" w:rsidP="00FB7C1F">
            <w:pPr>
              <w:jc w:val="left"/>
              <w:rPr>
                <w:sz w:val="20"/>
                <w:szCs w:val="20"/>
              </w:rPr>
            </w:pPr>
          </w:p>
        </w:tc>
      </w:tr>
      <w:tr w:rsidR="00445168" w:rsidRPr="004C78D8" w14:paraId="5A76D401" w14:textId="77777777" w:rsidTr="00E35893">
        <w:tc>
          <w:tcPr>
            <w:tcW w:w="458" w:type="pct"/>
            <w:vMerge/>
          </w:tcPr>
          <w:p w14:paraId="17A98EB7" w14:textId="77777777" w:rsidR="00445168" w:rsidRPr="004C78D8" w:rsidRDefault="00445168" w:rsidP="00FB7C1F">
            <w:pPr>
              <w:jc w:val="left"/>
              <w:rPr>
                <w:sz w:val="20"/>
                <w:szCs w:val="20"/>
              </w:rPr>
            </w:pPr>
          </w:p>
        </w:tc>
        <w:tc>
          <w:tcPr>
            <w:tcW w:w="613" w:type="pct"/>
            <w:vMerge/>
          </w:tcPr>
          <w:p w14:paraId="5ED4CD08" w14:textId="77777777" w:rsidR="00445168" w:rsidRPr="004C78D8" w:rsidRDefault="00445168" w:rsidP="00FB7C1F">
            <w:pPr>
              <w:jc w:val="left"/>
              <w:rPr>
                <w:sz w:val="20"/>
                <w:szCs w:val="20"/>
              </w:rPr>
            </w:pPr>
          </w:p>
        </w:tc>
        <w:tc>
          <w:tcPr>
            <w:tcW w:w="813" w:type="pct"/>
          </w:tcPr>
          <w:p w14:paraId="24CAA1D8" w14:textId="348E5734" w:rsidR="00445168" w:rsidRPr="004C78D8" w:rsidRDefault="001D5170" w:rsidP="00FB7C1F">
            <w:pPr>
              <w:jc w:val="left"/>
              <w:rPr>
                <w:sz w:val="20"/>
                <w:szCs w:val="20"/>
              </w:rPr>
            </w:pPr>
            <w:r w:rsidRPr="004C78D8">
              <w:rPr>
                <w:sz w:val="20"/>
                <w:szCs w:val="20"/>
              </w:rPr>
              <w:t>Cognitively impaired</w:t>
            </w:r>
          </w:p>
        </w:tc>
        <w:tc>
          <w:tcPr>
            <w:tcW w:w="1874" w:type="pct"/>
          </w:tcPr>
          <w:p w14:paraId="0CAFB191" w14:textId="5FF18BF9" w:rsidR="00445168" w:rsidRPr="004C78D8" w:rsidRDefault="00445168" w:rsidP="00FB7C1F">
            <w:pPr>
              <w:pStyle w:val="ListParagraph"/>
              <w:numPr>
                <w:ilvl w:val="0"/>
                <w:numId w:val="4"/>
              </w:numPr>
              <w:ind w:left="180" w:hanging="219"/>
              <w:jc w:val="left"/>
              <w:rPr>
                <w:sz w:val="20"/>
                <w:szCs w:val="20"/>
              </w:rPr>
            </w:pPr>
            <w:r w:rsidRPr="004C78D8">
              <w:rPr>
                <w:sz w:val="20"/>
                <w:szCs w:val="20"/>
              </w:rPr>
              <w:t>No specific recommendation</w:t>
            </w:r>
          </w:p>
        </w:tc>
        <w:tc>
          <w:tcPr>
            <w:tcW w:w="711" w:type="pct"/>
            <w:tcBorders>
              <w:top w:val="nil"/>
              <w:bottom w:val="nil"/>
              <w:right w:val="nil"/>
            </w:tcBorders>
          </w:tcPr>
          <w:p w14:paraId="4B3BAFD6" w14:textId="340AC890" w:rsidR="00445168" w:rsidRPr="004C78D8" w:rsidRDefault="00445168" w:rsidP="00FB7C1F">
            <w:pPr>
              <w:jc w:val="left"/>
              <w:rPr>
                <w:sz w:val="20"/>
                <w:szCs w:val="20"/>
              </w:rPr>
            </w:pPr>
          </w:p>
        </w:tc>
        <w:tc>
          <w:tcPr>
            <w:tcW w:w="531" w:type="pct"/>
            <w:tcBorders>
              <w:top w:val="nil"/>
              <w:left w:val="nil"/>
              <w:bottom w:val="nil"/>
            </w:tcBorders>
          </w:tcPr>
          <w:p w14:paraId="4BD58C5E" w14:textId="2516157C" w:rsidR="00445168" w:rsidRPr="004C78D8" w:rsidRDefault="00445168" w:rsidP="00FB7C1F">
            <w:pPr>
              <w:jc w:val="left"/>
              <w:rPr>
                <w:sz w:val="20"/>
                <w:szCs w:val="20"/>
              </w:rPr>
            </w:pPr>
          </w:p>
        </w:tc>
      </w:tr>
      <w:tr w:rsidR="00445168" w:rsidRPr="004C78D8" w14:paraId="28106029" w14:textId="77777777" w:rsidTr="00E35893">
        <w:tc>
          <w:tcPr>
            <w:tcW w:w="458" w:type="pct"/>
            <w:vMerge/>
          </w:tcPr>
          <w:p w14:paraId="26335474" w14:textId="77777777" w:rsidR="00445168" w:rsidRPr="004C78D8" w:rsidRDefault="00445168" w:rsidP="00FB7C1F">
            <w:pPr>
              <w:jc w:val="left"/>
              <w:rPr>
                <w:sz w:val="20"/>
                <w:szCs w:val="20"/>
              </w:rPr>
            </w:pPr>
          </w:p>
        </w:tc>
        <w:tc>
          <w:tcPr>
            <w:tcW w:w="613" w:type="pct"/>
            <w:vMerge/>
          </w:tcPr>
          <w:p w14:paraId="1A3BAFF3" w14:textId="77777777" w:rsidR="00445168" w:rsidRPr="004C78D8" w:rsidRDefault="00445168" w:rsidP="00FB7C1F">
            <w:pPr>
              <w:jc w:val="left"/>
              <w:rPr>
                <w:sz w:val="20"/>
                <w:szCs w:val="20"/>
              </w:rPr>
            </w:pPr>
          </w:p>
        </w:tc>
        <w:tc>
          <w:tcPr>
            <w:tcW w:w="813" w:type="pct"/>
          </w:tcPr>
          <w:p w14:paraId="7ED9AD87" w14:textId="18E09B20" w:rsidR="00445168" w:rsidRPr="004C78D8" w:rsidRDefault="00445168" w:rsidP="00FB7C1F">
            <w:pPr>
              <w:jc w:val="left"/>
              <w:rPr>
                <w:sz w:val="20"/>
                <w:szCs w:val="20"/>
              </w:rPr>
            </w:pPr>
            <w:r w:rsidRPr="004C78D8">
              <w:rPr>
                <w:sz w:val="20"/>
                <w:szCs w:val="20"/>
              </w:rPr>
              <w:t>With intervention history</w:t>
            </w:r>
          </w:p>
        </w:tc>
        <w:tc>
          <w:tcPr>
            <w:tcW w:w="1874" w:type="pct"/>
          </w:tcPr>
          <w:p w14:paraId="7FE31358" w14:textId="6A4DAD7C" w:rsidR="00445168" w:rsidRPr="004C78D8" w:rsidRDefault="00445168" w:rsidP="00FB7C1F">
            <w:pPr>
              <w:pStyle w:val="ListParagraph"/>
              <w:numPr>
                <w:ilvl w:val="0"/>
                <w:numId w:val="4"/>
              </w:numPr>
              <w:ind w:left="180" w:hanging="219"/>
              <w:jc w:val="left"/>
              <w:rPr>
                <w:sz w:val="20"/>
                <w:szCs w:val="20"/>
              </w:rPr>
            </w:pPr>
            <w:r w:rsidRPr="004C78D8">
              <w:rPr>
                <w:sz w:val="20"/>
                <w:szCs w:val="20"/>
              </w:rPr>
              <w:t>No specific recommendation</w:t>
            </w:r>
          </w:p>
        </w:tc>
        <w:tc>
          <w:tcPr>
            <w:tcW w:w="711" w:type="pct"/>
            <w:tcBorders>
              <w:top w:val="nil"/>
              <w:right w:val="nil"/>
            </w:tcBorders>
          </w:tcPr>
          <w:p w14:paraId="456A082F" w14:textId="1CBD19AD" w:rsidR="00445168" w:rsidRPr="004C78D8" w:rsidRDefault="00445168" w:rsidP="00FB7C1F">
            <w:pPr>
              <w:jc w:val="left"/>
              <w:rPr>
                <w:sz w:val="20"/>
                <w:szCs w:val="20"/>
              </w:rPr>
            </w:pPr>
          </w:p>
        </w:tc>
        <w:tc>
          <w:tcPr>
            <w:tcW w:w="531" w:type="pct"/>
            <w:tcBorders>
              <w:top w:val="nil"/>
              <w:left w:val="nil"/>
            </w:tcBorders>
          </w:tcPr>
          <w:p w14:paraId="0FC8DE99" w14:textId="5B42FDAD" w:rsidR="00445168" w:rsidRPr="004C78D8" w:rsidRDefault="00445168" w:rsidP="00FB7C1F">
            <w:pPr>
              <w:jc w:val="left"/>
              <w:rPr>
                <w:sz w:val="20"/>
                <w:szCs w:val="20"/>
              </w:rPr>
            </w:pPr>
          </w:p>
        </w:tc>
      </w:tr>
      <w:tr w:rsidR="00445168" w:rsidRPr="004C78D8" w14:paraId="0511EE05" w14:textId="77777777" w:rsidTr="00E35893">
        <w:tc>
          <w:tcPr>
            <w:tcW w:w="458" w:type="pct"/>
            <w:vMerge/>
          </w:tcPr>
          <w:p w14:paraId="03B684ED" w14:textId="77777777" w:rsidR="00445168" w:rsidRPr="004C78D8" w:rsidRDefault="00445168" w:rsidP="00FB7C1F">
            <w:pPr>
              <w:jc w:val="left"/>
              <w:rPr>
                <w:sz w:val="20"/>
                <w:szCs w:val="20"/>
              </w:rPr>
            </w:pPr>
          </w:p>
        </w:tc>
        <w:tc>
          <w:tcPr>
            <w:tcW w:w="613" w:type="pct"/>
            <w:vMerge w:val="restart"/>
            <w:shd w:val="clear" w:color="auto" w:fill="F2F2F2" w:themeFill="background1" w:themeFillShade="F2"/>
          </w:tcPr>
          <w:p w14:paraId="0C163D43" w14:textId="29D905A7" w:rsidR="00445168" w:rsidRPr="004C78D8" w:rsidRDefault="00445168" w:rsidP="00FB7C1F">
            <w:pPr>
              <w:jc w:val="left"/>
              <w:rPr>
                <w:i/>
                <w:iCs/>
                <w:sz w:val="20"/>
                <w:szCs w:val="20"/>
              </w:rPr>
            </w:pPr>
            <w:r w:rsidRPr="004C78D8">
              <w:rPr>
                <w:i/>
                <w:iCs/>
                <w:sz w:val="20"/>
                <w:szCs w:val="20"/>
              </w:rPr>
              <w:t>Model recommended care scenario</w:t>
            </w:r>
          </w:p>
        </w:tc>
        <w:tc>
          <w:tcPr>
            <w:tcW w:w="813" w:type="pct"/>
            <w:shd w:val="clear" w:color="auto" w:fill="F2F2F2" w:themeFill="background1" w:themeFillShade="F2"/>
          </w:tcPr>
          <w:p w14:paraId="4C38D98E" w14:textId="271AAF09" w:rsidR="00445168" w:rsidRPr="004C78D8" w:rsidRDefault="00445168" w:rsidP="00FB7C1F">
            <w:pPr>
              <w:jc w:val="left"/>
              <w:rPr>
                <w:sz w:val="20"/>
                <w:szCs w:val="20"/>
              </w:rPr>
            </w:pPr>
            <w:r w:rsidRPr="004C78D8">
              <w:rPr>
                <w:sz w:val="20"/>
                <w:szCs w:val="20"/>
              </w:rPr>
              <w:t>Persons not receiving reactive intervention</w:t>
            </w:r>
          </w:p>
        </w:tc>
        <w:tc>
          <w:tcPr>
            <w:tcW w:w="1874" w:type="pct"/>
            <w:shd w:val="clear" w:color="auto" w:fill="F2F2F2" w:themeFill="background1" w:themeFillShade="F2"/>
          </w:tcPr>
          <w:p w14:paraId="3BFEE87D" w14:textId="5847AB51" w:rsidR="00445168" w:rsidRPr="004C78D8" w:rsidRDefault="00445168" w:rsidP="00FB7C1F">
            <w:pPr>
              <w:pStyle w:val="ListParagraph"/>
              <w:numPr>
                <w:ilvl w:val="0"/>
                <w:numId w:val="4"/>
              </w:numPr>
              <w:ind w:left="180" w:hanging="219"/>
              <w:jc w:val="left"/>
              <w:rPr>
                <w:sz w:val="20"/>
                <w:szCs w:val="20"/>
              </w:rPr>
            </w:pPr>
            <w:r w:rsidRPr="004C78D8">
              <w:rPr>
                <w:sz w:val="20"/>
                <w:szCs w:val="20"/>
              </w:rPr>
              <w:t>Falls risk screening at GP routine contact; referral to multifactorial intervention if high falls risk</w:t>
            </w:r>
          </w:p>
        </w:tc>
        <w:tc>
          <w:tcPr>
            <w:tcW w:w="711" w:type="pct"/>
            <w:shd w:val="clear" w:color="auto" w:fill="F2F2F2" w:themeFill="background1" w:themeFillShade="F2"/>
          </w:tcPr>
          <w:p w14:paraId="3D29DD53" w14:textId="6CD2F74D" w:rsidR="00445168" w:rsidRPr="004C78D8" w:rsidRDefault="00445168" w:rsidP="00FB7C1F">
            <w:pPr>
              <w:jc w:val="left"/>
              <w:rPr>
                <w:sz w:val="20"/>
                <w:szCs w:val="20"/>
              </w:rPr>
            </w:pPr>
            <w:r w:rsidRPr="004C78D8">
              <w:rPr>
                <w:sz w:val="20"/>
                <w:szCs w:val="20"/>
              </w:rPr>
              <w:t>Access pending demand</w:t>
            </w:r>
            <w:r w:rsidRPr="004C78D8">
              <w:rPr>
                <w:sz w:val="20"/>
                <w:szCs w:val="20"/>
                <w:vertAlign w:val="superscript"/>
              </w:rPr>
              <w:t>3</w:t>
            </w:r>
          </w:p>
        </w:tc>
        <w:tc>
          <w:tcPr>
            <w:tcW w:w="531" w:type="pct"/>
            <w:shd w:val="clear" w:color="auto" w:fill="F2F2F2" w:themeFill="background1" w:themeFillShade="F2"/>
          </w:tcPr>
          <w:p w14:paraId="0A1C91CC" w14:textId="7BF166AC" w:rsidR="00445168" w:rsidRPr="004C78D8" w:rsidRDefault="00445168" w:rsidP="00FB7C1F">
            <w:pPr>
              <w:jc w:val="left"/>
              <w:rPr>
                <w:sz w:val="20"/>
                <w:szCs w:val="20"/>
              </w:rPr>
            </w:pPr>
            <w:r w:rsidRPr="004C78D8">
              <w:rPr>
                <w:sz w:val="20"/>
                <w:szCs w:val="20"/>
              </w:rPr>
              <w:fldChar w:fldCharType="begin"/>
            </w:r>
            <w:r w:rsidR="00C630FC" w:rsidRPr="004C78D8">
              <w:rPr>
                <w:sz w:val="20"/>
                <w:szCs w:val="20"/>
              </w:rPr>
              <w:instrText xml:space="preserve"> ADDIN EN.CITE &lt;EndNote&gt;&lt;Cite&gt;&lt;Author&gt;Spice&lt;/Author&gt;&lt;Year&gt;2009&lt;/Year&gt;&lt;RecNum&gt;515&lt;/RecNum&gt;&lt;DisplayText&gt;[385]&lt;/DisplayText&gt;&lt;record&gt;&lt;rec-number&gt;515&lt;/rec-number&gt;&lt;foreign-keys&gt;&lt;key app="EN" db-id="tdtrdw9aepptzbefsat599syza29sxsd2wsp" timestamp="1617909863"&gt;515&lt;/key&gt;&lt;/foreign-keys&gt;&lt;ref-type name="Journal Article"&gt;17&lt;/ref-type&gt;&lt;contributors&gt;&lt;authors&gt;&lt;author&gt;Spice, Claire L&lt;/author&gt;&lt;author&gt;Morotti, Wendy&lt;/author&gt;&lt;author&gt;George, Steve&lt;/author&gt;&lt;author&gt;Dent, Thomas HS&lt;/author&gt;&lt;author&gt;Rose, Jim&lt;/author&gt;&lt;author&gt;Harris, Scott&lt;/author&gt;&lt;author&gt;Gordon, Christopher J&lt;/author&gt;&lt;/authors&gt;&lt;/contributors&gt;&lt;titles&gt;&lt;title&gt;The Winchester falls project: a randomised controlled trial of secondary prevention of falls in older people&lt;/title&gt;&lt;secondary-title&gt;Age and ageing&lt;/secondary-title&gt;&lt;/titles&gt;&lt;periodical&gt;&lt;full-title&gt;Age and ageing&lt;/full-title&gt;&lt;/periodical&gt;&lt;pages&gt;33-40&lt;/pages&gt;&lt;volume&gt;38&lt;/volume&gt;&lt;number&gt;1&lt;/number&gt;&lt;dates&gt;&lt;year&gt;2009&lt;/year&gt;&lt;/dates&gt;&lt;isbn&gt;1468-2834&lt;/isbn&gt;&lt;urls&gt;&lt;/urls&gt;&lt;/record&gt;&lt;/Cite&gt;&lt;/EndNote&gt;</w:instrText>
            </w:r>
            <w:r w:rsidRPr="004C78D8">
              <w:rPr>
                <w:sz w:val="20"/>
                <w:szCs w:val="20"/>
              </w:rPr>
              <w:fldChar w:fldCharType="separate"/>
            </w:r>
            <w:r w:rsidR="00C630FC" w:rsidRPr="004C78D8">
              <w:rPr>
                <w:noProof/>
                <w:sz w:val="20"/>
                <w:szCs w:val="20"/>
              </w:rPr>
              <w:t>[385]</w:t>
            </w:r>
            <w:r w:rsidRPr="004C78D8">
              <w:rPr>
                <w:sz w:val="20"/>
                <w:szCs w:val="20"/>
              </w:rPr>
              <w:fldChar w:fldCharType="end"/>
            </w:r>
          </w:p>
        </w:tc>
      </w:tr>
      <w:tr w:rsidR="007E0D77" w:rsidRPr="004C78D8" w14:paraId="42973C84" w14:textId="77777777" w:rsidTr="00E35893">
        <w:tc>
          <w:tcPr>
            <w:tcW w:w="458" w:type="pct"/>
            <w:vMerge/>
          </w:tcPr>
          <w:p w14:paraId="5557C3EE" w14:textId="77777777" w:rsidR="007E0D77" w:rsidRPr="004C78D8" w:rsidRDefault="007E0D77" w:rsidP="00FB7C1F">
            <w:pPr>
              <w:jc w:val="left"/>
              <w:rPr>
                <w:sz w:val="20"/>
                <w:szCs w:val="20"/>
              </w:rPr>
            </w:pPr>
          </w:p>
        </w:tc>
        <w:tc>
          <w:tcPr>
            <w:tcW w:w="613" w:type="pct"/>
            <w:vMerge/>
            <w:shd w:val="clear" w:color="auto" w:fill="F2F2F2" w:themeFill="background1" w:themeFillShade="F2"/>
          </w:tcPr>
          <w:p w14:paraId="230463D8" w14:textId="77777777" w:rsidR="007E0D77" w:rsidRPr="004C78D8" w:rsidRDefault="007E0D77" w:rsidP="00FB7C1F">
            <w:pPr>
              <w:jc w:val="left"/>
              <w:rPr>
                <w:i/>
                <w:iCs/>
                <w:sz w:val="20"/>
                <w:szCs w:val="20"/>
              </w:rPr>
            </w:pPr>
          </w:p>
        </w:tc>
        <w:tc>
          <w:tcPr>
            <w:tcW w:w="813" w:type="pct"/>
            <w:shd w:val="clear" w:color="auto" w:fill="F2F2F2" w:themeFill="background1" w:themeFillShade="F2"/>
          </w:tcPr>
          <w:p w14:paraId="7A771BE6" w14:textId="095E188D" w:rsidR="007E0D77" w:rsidRPr="004C78D8" w:rsidRDefault="001D5170" w:rsidP="00FB7C1F">
            <w:pPr>
              <w:jc w:val="left"/>
              <w:rPr>
                <w:sz w:val="20"/>
                <w:szCs w:val="20"/>
              </w:rPr>
            </w:pPr>
            <w:r w:rsidRPr="004C78D8">
              <w:rPr>
                <w:sz w:val="20"/>
                <w:szCs w:val="20"/>
              </w:rPr>
              <w:t>Cognitively impaired</w:t>
            </w:r>
          </w:p>
        </w:tc>
        <w:tc>
          <w:tcPr>
            <w:tcW w:w="1874" w:type="pct"/>
            <w:shd w:val="clear" w:color="auto" w:fill="F2F2F2" w:themeFill="background1" w:themeFillShade="F2"/>
          </w:tcPr>
          <w:p w14:paraId="46763CDE" w14:textId="7D0833C2" w:rsidR="007E0D77" w:rsidRPr="004C78D8" w:rsidRDefault="007E0D77" w:rsidP="00FB7C1F">
            <w:pPr>
              <w:pStyle w:val="ListParagraph"/>
              <w:numPr>
                <w:ilvl w:val="0"/>
                <w:numId w:val="4"/>
              </w:numPr>
              <w:ind w:left="180" w:hanging="219"/>
              <w:jc w:val="left"/>
              <w:rPr>
                <w:sz w:val="20"/>
                <w:szCs w:val="20"/>
              </w:rPr>
            </w:pPr>
            <w:r w:rsidRPr="004C78D8">
              <w:rPr>
                <w:sz w:val="20"/>
                <w:szCs w:val="20"/>
              </w:rPr>
              <w:t>CI-specific group- and home-based Tai Chi together with informal caregiver</w:t>
            </w:r>
            <w:r w:rsidR="00EA011F" w:rsidRPr="004C78D8">
              <w:rPr>
                <w:sz w:val="20"/>
                <w:szCs w:val="20"/>
              </w:rPr>
              <w:t xml:space="preserve"> if high falls risk</w:t>
            </w:r>
          </w:p>
        </w:tc>
        <w:tc>
          <w:tcPr>
            <w:tcW w:w="711" w:type="pct"/>
            <w:shd w:val="clear" w:color="auto" w:fill="F2F2F2" w:themeFill="background1" w:themeFillShade="F2"/>
          </w:tcPr>
          <w:p w14:paraId="4109E34B" w14:textId="7C1302D6" w:rsidR="007E0D77" w:rsidRPr="004C78D8" w:rsidRDefault="00BE650E" w:rsidP="00FB7C1F">
            <w:pPr>
              <w:jc w:val="left"/>
              <w:rPr>
                <w:sz w:val="20"/>
                <w:szCs w:val="20"/>
              </w:rPr>
            </w:pPr>
            <w:r w:rsidRPr="004C78D8">
              <w:rPr>
                <w:sz w:val="20"/>
                <w:szCs w:val="20"/>
              </w:rPr>
              <w:t>Access pending demand</w:t>
            </w:r>
            <w:r w:rsidRPr="004C78D8">
              <w:rPr>
                <w:sz w:val="20"/>
                <w:szCs w:val="20"/>
                <w:vertAlign w:val="superscript"/>
              </w:rPr>
              <w:t>3</w:t>
            </w:r>
          </w:p>
        </w:tc>
        <w:tc>
          <w:tcPr>
            <w:tcW w:w="531" w:type="pct"/>
            <w:shd w:val="clear" w:color="auto" w:fill="F2F2F2" w:themeFill="background1" w:themeFillShade="F2"/>
          </w:tcPr>
          <w:p w14:paraId="33619B80" w14:textId="5D0F725B" w:rsidR="007E0D77" w:rsidRPr="004C78D8" w:rsidRDefault="00BE650E" w:rsidP="00FB7C1F">
            <w:pPr>
              <w:jc w:val="left"/>
              <w:rPr>
                <w:sz w:val="20"/>
                <w:szCs w:val="20"/>
              </w:rPr>
            </w:pPr>
            <w:r w:rsidRPr="004C78D8">
              <w:rPr>
                <w:sz w:val="20"/>
                <w:szCs w:val="20"/>
              </w:rPr>
              <w:fldChar w:fldCharType="begin"/>
            </w:r>
            <w:r w:rsidR="00C630FC" w:rsidRPr="004C78D8">
              <w:rPr>
                <w:sz w:val="20"/>
                <w:szCs w:val="20"/>
              </w:rPr>
              <w:instrText xml:space="preserve"> ADDIN EN.CITE &lt;EndNote&gt;&lt;Cite&gt;&lt;Author&gt;Nyman&lt;/Author&gt;&lt;Year&gt;2019&lt;/Year&gt;&lt;RecNum&gt;281&lt;/RecNum&gt;&lt;DisplayText&gt;[235]&lt;/DisplayText&gt;&lt;record&gt;&lt;rec-number&gt;281&lt;/rec-number&gt;&lt;foreign-keys&gt;&lt;key app="EN" db-id="tdtrdw9aepptzbefsat599syza29sxsd2wsp" timestamp="1611699160"&gt;281&lt;/key&gt;&lt;/foreign-keys&gt;&lt;ref-type name="Journal Article"&gt;17&lt;/ref-type&gt;&lt;contributors&gt;&lt;authors&gt;&lt;author&gt;Nyman, Samuel R&lt;/author&gt;&lt;author&gt;Ingram, Wendy&lt;/author&gt;&lt;author&gt;Sanders, Jeanette&lt;/author&gt;&lt;author&gt;Thomas, Peter W&lt;/author&gt;&lt;author&gt;Thomas, Sarah&lt;/author&gt;&lt;author&gt;Vassallo, Michael&lt;/author&gt;&lt;author&gt;Raftery, James&lt;/author&gt;&lt;author&gt;Bibi, Iram&lt;/author&gt;&lt;author&gt;Barrado-Martín, Yolanda&lt;/author&gt;&lt;/authors&gt;&lt;/contributors&gt;&lt;titles&gt;&lt;title&gt;Randomised controlled trial of the effect of Tai Chi on postural balance of people with dementia&lt;/title&gt;&lt;secondary-title&gt;Clinical interventions in aging&lt;/secondary-title&gt;&lt;/titles&gt;&lt;periodical&gt;&lt;full-title&gt;Clin Interv Aging&lt;/full-title&gt;&lt;abbr-1&gt;Clinical interventions in aging&lt;/abbr-1&gt;&lt;/periodical&gt;&lt;pages&gt;2017&lt;/pages&gt;&lt;volume&gt;14&lt;/volume&gt;&lt;dates&gt;&lt;year&gt;2019&lt;/year&gt;&lt;/dates&gt;&lt;urls&gt;&lt;/urls&gt;&lt;/record&gt;&lt;/Cite&gt;&lt;/EndNote&gt;</w:instrText>
            </w:r>
            <w:r w:rsidRPr="004C78D8">
              <w:rPr>
                <w:sz w:val="20"/>
                <w:szCs w:val="20"/>
              </w:rPr>
              <w:fldChar w:fldCharType="separate"/>
            </w:r>
            <w:r w:rsidR="00C630FC" w:rsidRPr="004C78D8">
              <w:rPr>
                <w:noProof/>
                <w:sz w:val="20"/>
                <w:szCs w:val="20"/>
              </w:rPr>
              <w:t>[235]</w:t>
            </w:r>
            <w:r w:rsidRPr="004C78D8">
              <w:rPr>
                <w:sz w:val="20"/>
                <w:szCs w:val="20"/>
              </w:rPr>
              <w:fldChar w:fldCharType="end"/>
            </w:r>
          </w:p>
        </w:tc>
      </w:tr>
      <w:tr w:rsidR="007E0D77" w:rsidRPr="004C78D8" w14:paraId="74F3466E" w14:textId="77777777" w:rsidTr="00E35893">
        <w:tc>
          <w:tcPr>
            <w:tcW w:w="458" w:type="pct"/>
            <w:vMerge/>
          </w:tcPr>
          <w:p w14:paraId="28BBA17D" w14:textId="77777777" w:rsidR="007E0D77" w:rsidRPr="004C78D8" w:rsidRDefault="007E0D77" w:rsidP="00FB7C1F">
            <w:pPr>
              <w:jc w:val="left"/>
              <w:rPr>
                <w:sz w:val="20"/>
                <w:szCs w:val="20"/>
              </w:rPr>
            </w:pPr>
          </w:p>
        </w:tc>
        <w:tc>
          <w:tcPr>
            <w:tcW w:w="613" w:type="pct"/>
            <w:vMerge/>
            <w:shd w:val="clear" w:color="auto" w:fill="F2F2F2" w:themeFill="background1" w:themeFillShade="F2"/>
          </w:tcPr>
          <w:p w14:paraId="412F02E4" w14:textId="77777777" w:rsidR="007E0D77" w:rsidRPr="004C78D8" w:rsidRDefault="007E0D77" w:rsidP="00FB7C1F">
            <w:pPr>
              <w:jc w:val="left"/>
              <w:rPr>
                <w:sz w:val="20"/>
                <w:szCs w:val="20"/>
              </w:rPr>
            </w:pPr>
          </w:p>
        </w:tc>
        <w:tc>
          <w:tcPr>
            <w:tcW w:w="813" w:type="pct"/>
            <w:shd w:val="clear" w:color="auto" w:fill="F2F2F2" w:themeFill="background1" w:themeFillShade="F2"/>
          </w:tcPr>
          <w:p w14:paraId="438EAD6F" w14:textId="11A67808" w:rsidR="007E0D77" w:rsidRPr="004C78D8" w:rsidRDefault="007E0D77" w:rsidP="00FB7C1F">
            <w:pPr>
              <w:jc w:val="left"/>
              <w:rPr>
                <w:sz w:val="20"/>
                <w:szCs w:val="20"/>
              </w:rPr>
            </w:pPr>
            <w:r w:rsidRPr="004C78D8">
              <w:rPr>
                <w:sz w:val="20"/>
                <w:szCs w:val="20"/>
              </w:rPr>
              <w:t>With intervention history</w:t>
            </w:r>
          </w:p>
        </w:tc>
        <w:tc>
          <w:tcPr>
            <w:tcW w:w="1874" w:type="pct"/>
            <w:shd w:val="clear" w:color="auto" w:fill="F2F2F2" w:themeFill="background1" w:themeFillShade="F2"/>
          </w:tcPr>
          <w:p w14:paraId="65E36F01" w14:textId="36D1F3C1" w:rsidR="00BE650E" w:rsidRPr="004C78D8" w:rsidRDefault="00301644" w:rsidP="00FB7C1F">
            <w:pPr>
              <w:pStyle w:val="ListParagraph"/>
              <w:numPr>
                <w:ilvl w:val="0"/>
                <w:numId w:val="4"/>
              </w:numPr>
              <w:ind w:left="180" w:hanging="219"/>
              <w:jc w:val="left"/>
              <w:rPr>
                <w:sz w:val="20"/>
                <w:szCs w:val="20"/>
              </w:rPr>
            </w:pPr>
            <w:r w:rsidRPr="004C78D8">
              <w:rPr>
                <w:sz w:val="20"/>
                <w:szCs w:val="20"/>
              </w:rPr>
              <w:t>Multifactorial</w:t>
            </w:r>
            <w:r w:rsidR="007E0D77" w:rsidRPr="004C78D8">
              <w:rPr>
                <w:sz w:val="20"/>
                <w:szCs w:val="20"/>
              </w:rPr>
              <w:t xml:space="preserve"> intervention </w:t>
            </w:r>
            <w:r w:rsidRPr="004C78D8">
              <w:rPr>
                <w:sz w:val="20"/>
                <w:szCs w:val="20"/>
              </w:rPr>
              <w:t>with reduced components</w:t>
            </w:r>
            <w:r w:rsidR="009D4844" w:rsidRPr="004C78D8">
              <w:rPr>
                <w:sz w:val="20"/>
                <w:szCs w:val="20"/>
              </w:rPr>
              <w:t>, up to 3 re-receipts of falls clinic for cognitively intact persons</w:t>
            </w:r>
            <w:r w:rsidR="009D4844" w:rsidRPr="004C78D8">
              <w:rPr>
                <w:sz w:val="20"/>
                <w:szCs w:val="20"/>
                <w:vertAlign w:val="superscript"/>
              </w:rPr>
              <w:t>4</w:t>
            </w:r>
            <w:r w:rsidR="009D4844" w:rsidRPr="004C78D8">
              <w:rPr>
                <w:sz w:val="20"/>
                <w:szCs w:val="20"/>
              </w:rPr>
              <w:t xml:space="preserve"> </w:t>
            </w:r>
            <w:r w:rsidR="00BE650E" w:rsidRPr="004C78D8">
              <w:rPr>
                <w:sz w:val="20"/>
                <w:szCs w:val="20"/>
              </w:rPr>
              <w:t xml:space="preserve"> </w:t>
            </w:r>
          </w:p>
          <w:p w14:paraId="53A05589" w14:textId="660B986D" w:rsidR="007E0D77" w:rsidRPr="004C78D8" w:rsidRDefault="00BE650E" w:rsidP="00FB7C1F">
            <w:pPr>
              <w:pStyle w:val="ListParagraph"/>
              <w:numPr>
                <w:ilvl w:val="0"/>
                <w:numId w:val="4"/>
              </w:numPr>
              <w:ind w:left="180" w:hanging="219"/>
              <w:jc w:val="left"/>
              <w:rPr>
                <w:sz w:val="20"/>
                <w:szCs w:val="20"/>
              </w:rPr>
            </w:pPr>
            <w:r w:rsidRPr="004C78D8">
              <w:rPr>
                <w:sz w:val="20"/>
                <w:szCs w:val="20"/>
              </w:rPr>
              <w:t>CI-specific Tai Chi</w:t>
            </w:r>
          </w:p>
        </w:tc>
        <w:tc>
          <w:tcPr>
            <w:tcW w:w="711" w:type="pct"/>
            <w:tcBorders>
              <w:bottom w:val="single" w:sz="4" w:space="0" w:color="auto"/>
            </w:tcBorders>
            <w:shd w:val="clear" w:color="auto" w:fill="F2F2F2" w:themeFill="background1" w:themeFillShade="F2"/>
          </w:tcPr>
          <w:p w14:paraId="48FE5D48" w14:textId="1D124DF0" w:rsidR="007E0D77" w:rsidRPr="004C78D8" w:rsidRDefault="00BE650E" w:rsidP="00FB7C1F">
            <w:pPr>
              <w:jc w:val="left"/>
              <w:rPr>
                <w:sz w:val="20"/>
                <w:szCs w:val="20"/>
              </w:rPr>
            </w:pPr>
            <w:r w:rsidRPr="004C78D8">
              <w:rPr>
                <w:sz w:val="20"/>
                <w:szCs w:val="20"/>
              </w:rPr>
              <w:t>Access pending demand</w:t>
            </w:r>
            <w:r w:rsidRPr="004C78D8">
              <w:rPr>
                <w:sz w:val="20"/>
                <w:szCs w:val="20"/>
                <w:vertAlign w:val="superscript"/>
              </w:rPr>
              <w:t>3</w:t>
            </w:r>
          </w:p>
        </w:tc>
        <w:tc>
          <w:tcPr>
            <w:tcW w:w="531" w:type="pct"/>
            <w:tcBorders>
              <w:bottom w:val="single" w:sz="4" w:space="0" w:color="auto"/>
            </w:tcBorders>
            <w:shd w:val="clear" w:color="auto" w:fill="F2F2F2" w:themeFill="background1" w:themeFillShade="F2"/>
          </w:tcPr>
          <w:p w14:paraId="614D7E4D" w14:textId="5E622672" w:rsidR="007E0D77" w:rsidRPr="004C78D8" w:rsidRDefault="00BE650E" w:rsidP="00FB7C1F">
            <w:pPr>
              <w:jc w:val="left"/>
              <w:rPr>
                <w:sz w:val="20"/>
                <w:szCs w:val="20"/>
              </w:rPr>
            </w:pPr>
            <w:r w:rsidRPr="004C78D8">
              <w:rPr>
                <w:sz w:val="20"/>
                <w:szCs w:val="20"/>
              </w:rPr>
              <w:fldChar w:fldCharType="begin"/>
            </w:r>
            <w:r w:rsidR="00C630FC" w:rsidRPr="004C78D8">
              <w:rPr>
                <w:sz w:val="20"/>
                <w:szCs w:val="20"/>
              </w:rPr>
              <w:instrText xml:space="preserve"> ADDIN EN.CITE &lt;EndNote&gt;&lt;Cite&gt;&lt;Author&gt;Spice&lt;/Author&gt;&lt;Year&gt;2009&lt;/Year&gt;&lt;RecNum&gt;515&lt;/RecNum&gt;&lt;DisplayText&gt;[385]&lt;/DisplayText&gt;&lt;record&gt;&lt;rec-number&gt;515&lt;/rec-number&gt;&lt;foreign-keys&gt;&lt;key app="EN" db-id="tdtrdw9aepptzbefsat599syza29sxsd2wsp" timestamp="1617909863"&gt;515&lt;/key&gt;&lt;/foreign-keys&gt;&lt;ref-type name="Journal Article"&gt;17&lt;/ref-type&gt;&lt;contributors&gt;&lt;authors&gt;&lt;author&gt;Spice, Claire L&lt;/author&gt;&lt;author&gt;Morotti, Wendy&lt;/author&gt;&lt;author&gt;George, Steve&lt;/author&gt;&lt;author&gt;Dent, Thomas HS&lt;/author&gt;&lt;author&gt;Rose, Jim&lt;/author&gt;&lt;author&gt;Harris, Scott&lt;/author&gt;&lt;author&gt;Gordon, Christopher J&lt;/author&gt;&lt;/authors&gt;&lt;/contributors&gt;&lt;titles&gt;&lt;title&gt;The Winchester falls project: a randomised controlled trial of secondary prevention of falls in older people&lt;/title&gt;&lt;secondary-title&gt;Age and ageing&lt;/secondary-title&gt;&lt;/titles&gt;&lt;periodical&gt;&lt;full-title&gt;Age and ageing&lt;/full-title&gt;&lt;/periodical&gt;&lt;pages&gt;33-40&lt;/pages&gt;&lt;volume&gt;38&lt;/volume&gt;&lt;number&gt;1&lt;/number&gt;&lt;dates&gt;&lt;year&gt;2009&lt;/year&gt;&lt;/dates&gt;&lt;isbn&gt;1468-2834&lt;/isbn&gt;&lt;urls&gt;&lt;/urls&gt;&lt;/record&gt;&lt;/Cite&gt;&lt;/EndNote&gt;</w:instrText>
            </w:r>
            <w:r w:rsidRPr="004C78D8">
              <w:rPr>
                <w:sz w:val="20"/>
                <w:szCs w:val="20"/>
              </w:rPr>
              <w:fldChar w:fldCharType="separate"/>
            </w:r>
            <w:r w:rsidR="00C630FC" w:rsidRPr="004C78D8">
              <w:rPr>
                <w:noProof/>
                <w:sz w:val="20"/>
                <w:szCs w:val="20"/>
              </w:rPr>
              <w:t>[385]</w:t>
            </w:r>
            <w:r w:rsidRPr="004C78D8">
              <w:rPr>
                <w:sz w:val="20"/>
                <w:szCs w:val="20"/>
              </w:rPr>
              <w:fldChar w:fldCharType="end"/>
            </w:r>
            <w:r w:rsidR="00BB3142" w:rsidRPr="004C78D8">
              <w:rPr>
                <w:sz w:val="20"/>
                <w:szCs w:val="20"/>
              </w:rPr>
              <w:t xml:space="preserve">; </w:t>
            </w:r>
            <w:r w:rsidR="00BB3142" w:rsidRPr="004C78D8">
              <w:rPr>
                <w:sz w:val="20"/>
                <w:szCs w:val="20"/>
              </w:rPr>
              <w:fldChar w:fldCharType="begin"/>
            </w:r>
            <w:r w:rsidR="00C630FC" w:rsidRPr="004C78D8">
              <w:rPr>
                <w:sz w:val="20"/>
                <w:szCs w:val="20"/>
              </w:rPr>
              <w:instrText xml:space="preserve"> ADDIN EN.CITE &lt;EndNote&gt;&lt;Cite&gt;&lt;Author&gt;Nyman&lt;/Author&gt;&lt;Year&gt;2019&lt;/Year&gt;&lt;RecNum&gt;281&lt;/RecNum&gt;&lt;DisplayText&gt;[235]&lt;/DisplayText&gt;&lt;record&gt;&lt;rec-number&gt;281&lt;/rec-number&gt;&lt;foreign-keys&gt;&lt;key app="EN" db-id="tdtrdw9aepptzbefsat599syza29sxsd2wsp" timestamp="1611699160"&gt;281&lt;/key&gt;&lt;/foreign-keys&gt;&lt;ref-type name="Journal Article"&gt;17&lt;/ref-type&gt;&lt;contributors&gt;&lt;authors&gt;&lt;author&gt;Nyman, Samuel R&lt;/author&gt;&lt;author&gt;Ingram, Wendy&lt;/author&gt;&lt;author&gt;Sanders, Jeanette&lt;/author&gt;&lt;author&gt;Thomas, Peter W&lt;/author&gt;&lt;author&gt;Thomas, Sarah&lt;/author&gt;&lt;author&gt;Vassallo, Michael&lt;/author&gt;&lt;author&gt;Raftery, James&lt;/author&gt;&lt;author&gt;Bibi, Iram&lt;/author&gt;&lt;author&gt;Barrado-Martín, Yolanda&lt;/author&gt;&lt;/authors&gt;&lt;/contributors&gt;&lt;titles&gt;&lt;title&gt;Randomised controlled trial of the effect of Tai Chi on postural balance of people with dementia&lt;/title&gt;&lt;secondary-title&gt;Clinical interventions in aging&lt;/secondary-title&gt;&lt;/titles&gt;&lt;periodical&gt;&lt;full-title&gt;Clin Interv Aging&lt;/full-title&gt;&lt;abbr-1&gt;Clinical interventions in aging&lt;/abbr-1&gt;&lt;/periodical&gt;&lt;pages&gt;2017&lt;/pages&gt;&lt;volume&gt;14&lt;/volume&gt;&lt;dates&gt;&lt;year&gt;2019&lt;/year&gt;&lt;/dates&gt;&lt;urls&gt;&lt;/urls&gt;&lt;/record&gt;&lt;/Cite&gt;&lt;/EndNote&gt;</w:instrText>
            </w:r>
            <w:r w:rsidR="00BB3142" w:rsidRPr="004C78D8">
              <w:rPr>
                <w:sz w:val="20"/>
                <w:szCs w:val="20"/>
              </w:rPr>
              <w:fldChar w:fldCharType="separate"/>
            </w:r>
            <w:r w:rsidR="00C630FC" w:rsidRPr="004C78D8">
              <w:rPr>
                <w:noProof/>
                <w:sz w:val="20"/>
                <w:szCs w:val="20"/>
              </w:rPr>
              <w:t>[235]</w:t>
            </w:r>
            <w:r w:rsidR="00BB3142" w:rsidRPr="004C78D8">
              <w:rPr>
                <w:sz w:val="20"/>
                <w:szCs w:val="20"/>
              </w:rPr>
              <w:fldChar w:fldCharType="end"/>
            </w:r>
          </w:p>
        </w:tc>
      </w:tr>
      <w:tr w:rsidR="007E0D77" w:rsidRPr="004C78D8" w14:paraId="123ADEEC" w14:textId="77777777" w:rsidTr="00E35893">
        <w:tc>
          <w:tcPr>
            <w:tcW w:w="458" w:type="pct"/>
            <w:vMerge w:val="restart"/>
          </w:tcPr>
          <w:p w14:paraId="24841A8F" w14:textId="0479826C" w:rsidR="007E0D77" w:rsidRPr="004C78D8" w:rsidRDefault="007E0D77" w:rsidP="00FB7C1F">
            <w:pPr>
              <w:jc w:val="left"/>
              <w:rPr>
                <w:sz w:val="18"/>
                <w:szCs w:val="18"/>
              </w:rPr>
            </w:pPr>
            <w:r w:rsidRPr="004C78D8">
              <w:rPr>
                <w:sz w:val="18"/>
                <w:szCs w:val="18"/>
              </w:rPr>
              <w:t>Self-referred</w:t>
            </w:r>
          </w:p>
        </w:tc>
        <w:tc>
          <w:tcPr>
            <w:tcW w:w="613" w:type="pct"/>
            <w:vMerge w:val="restart"/>
          </w:tcPr>
          <w:p w14:paraId="7AFBAD0C" w14:textId="60156A6C" w:rsidR="007E0D77" w:rsidRPr="004C78D8" w:rsidRDefault="007E0D77" w:rsidP="00FB7C1F">
            <w:pPr>
              <w:jc w:val="left"/>
              <w:rPr>
                <w:sz w:val="20"/>
                <w:szCs w:val="20"/>
              </w:rPr>
            </w:pPr>
            <w:r w:rsidRPr="004C78D8">
              <w:rPr>
                <w:sz w:val="20"/>
                <w:szCs w:val="20"/>
              </w:rPr>
              <w:t xml:space="preserve">Current practice </w:t>
            </w:r>
          </w:p>
        </w:tc>
        <w:tc>
          <w:tcPr>
            <w:tcW w:w="813" w:type="pct"/>
          </w:tcPr>
          <w:p w14:paraId="242AA20B" w14:textId="7909C917" w:rsidR="007E0D77" w:rsidRPr="004C78D8" w:rsidRDefault="00EA011F" w:rsidP="00FB7C1F">
            <w:pPr>
              <w:jc w:val="left"/>
              <w:rPr>
                <w:sz w:val="20"/>
                <w:szCs w:val="20"/>
              </w:rPr>
            </w:pPr>
            <w:r w:rsidRPr="004C78D8">
              <w:rPr>
                <w:sz w:val="20"/>
                <w:szCs w:val="20"/>
              </w:rPr>
              <w:t xml:space="preserve">General </w:t>
            </w:r>
            <w:r w:rsidR="00445168" w:rsidRPr="004C78D8">
              <w:rPr>
                <w:sz w:val="20"/>
                <w:szCs w:val="20"/>
              </w:rPr>
              <w:t xml:space="preserve">older </w:t>
            </w:r>
            <w:r w:rsidRPr="004C78D8">
              <w:rPr>
                <w:sz w:val="20"/>
                <w:szCs w:val="20"/>
              </w:rPr>
              <w:t>population in community</w:t>
            </w:r>
          </w:p>
        </w:tc>
        <w:tc>
          <w:tcPr>
            <w:tcW w:w="1874" w:type="pct"/>
          </w:tcPr>
          <w:p w14:paraId="12973D11" w14:textId="572ABE7F" w:rsidR="007E0D77" w:rsidRPr="004C78D8" w:rsidRDefault="007E0D77" w:rsidP="00FB7C1F">
            <w:pPr>
              <w:pStyle w:val="ListParagraph"/>
              <w:numPr>
                <w:ilvl w:val="0"/>
                <w:numId w:val="4"/>
              </w:numPr>
              <w:ind w:left="180" w:hanging="219"/>
              <w:jc w:val="left"/>
              <w:rPr>
                <w:sz w:val="20"/>
                <w:szCs w:val="20"/>
              </w:rPr>
            </w:pPr>
            <w:r w:rsidRPr="004C78D8">
              <w:rPr>
                <w:sz w:val="20"/>
                <w:szCs w:val="20"/>
              </w:rPr>
              <w:t>Dance to Health strength and balance group exercise – individually tailored, supervised, progressive difficulty, 2 hours/week, ongoing duration</w:t>
            </w:r>
          </w:p>
        </w:tc>
        <w:tc>
          <w:tcPr>
            <w:tcW w:w="711" w:type="pct"/>
            <w:tcBorders>
              <w:bottom w:val="nil"/>
              <w:right w:val="nil"/>
            </w:tcBorders>
          </w:tcPr>
          <w:p w14:paraId="4F0E6A13" w14:textId="3CDD6409" w:rsidR="007E0D77" w:rsidRPr="004C78D8" w:rsidRDefault="007E0D77" w:rsidP="00FB7C1F">
            <w:pPr>
              <w:jc w:val="left"/>
              <w:rPr>
                <w:sz w:val="20"/>
                <w:szCs w:val="20"/>
              </w:rPr>
            </w:pPr>
          </w:p>
        </w:tc>
        <w:tc>
          <w:tcPr>
            <w:tcW w:w="531" w:type="pct"/>
            <w:tcBorders>
              <w:left w:val="nil"/>
              <w:bottom w:val="nil"/>
            </w:tcBorders>
          </w:tcPr>
          <w:p w14:paraId="77083DE1" w14:textId="32FD5CC9" w:rsidR="007E0D77" w:rsidRPr="004C78D8" w:rsidRDefault="007E0D77" w:rsidP="00FB7C1F">
            <w:pPr>
              <w:jc w:val="left"/>
              <w:rPr>
                <w:sz w:val="20"/>
                <w:szCs w:val="20"/>
              </w:rPr>
            </w:pPr>
          </w:p>
        </w:tc>
      </w:tr>
      <w:tr w:rsidR="007E0D77" w:rsidRPr="004C78D8" w14:paraId="0B68EA82" w14:textId="77777777" w:rsidTr="00E35893">
        <w:tc>
          <w:tcPr>
            <w:tcW w:w="458" w:type="pct"/>
            <w:vMerge/>
          </w:tcPr>
          <w:p w14:paraId="4DA755E9" w14:textId="77777777" w:rsidR="007E0D77" w:rsidRPr="004C78D8" w:rsidRDefault="007E0D77" w:rsidP="00FB7C1F">
            <w:pPr>
              <w:jc w:val="left"/>
              <w:rPr>
                <w:sz w:val="18"/>
                <w:szCs w:val="18"/>
              </w:rPr>
            </w:pPr>
          </w:p>
        </w:tc>
        <w:tc>
          <w:tcPr>
            <w:tcW w:w="613" w:type="pct"/>
            <w:vMerge/>
          </w:tcPr>
          <w:p w14:paraId="27979E84" w14:textId="77777777" w:rsidR="007E0D77" w:rsidRPr="004C78D8" w:rsidRDefault="007E0D77" w:rsidP="00FB7C1F">
            <w:pPr>
              <w:jc w:val="left"/>
              <w:rPr>
                <w:sz w:val="20"/>
                <w:szCs w:val="20"/>
              </w:rPr>
            </w:pPr>
          </w:p>
        </w:tc>
        <w:tc>
          <w:tcPr>
            <w:tcW w:w="813" w:type="pct"/>
          </w:tcPr>
          <w:p w14:paraId="7EA903BE" w14:textId="24768710" w:rsidR="007E0D77" w:rsidRPr="004C78D8" w:rsidRDefault="001D5170" w:rsidP="00FB7C1F">
            <w:pPr>
              <w:jc w:val="left"/>
              <w:rPr>
                <w:sz w:val="20"/>
                <w:szCs w:val="20"/>
              </w:rPr>
            </w:pPr>
            <w:r w:rsidRPr="004C78D8">
              <w:rPr>
                <w:sz w:val="20"/>
                <w:szCs w:val="20"/>
              </w:rPr>
              <w:t>Cognitively impaired</w:t>
            </w:r>
          </w:p>
        </w:tc>
        <w:tc>
          <w:tcPr>
            <w:tcW w:w="1874" w:type="pct"/>
          </w:tcPr>
          <w:p w14:paraId="35018F67" w14:textId="07EAFC65" w:rsidR="007E0D77" w:rsidRPr="004C78D8" w:rsidRDefault="007E0D77" w:rsidP="00FB7C1F">
            <w:pPr>
              <w:pStyle w:val="ListParagraph"/>
              <w:numPr>
                <w:ilvl w:val="0"/>
                <w:numId w:val="4"/>
              </w:numPr>
              <w:ind w:left="180" w:hanging="219"/>
              <w:jc w:val="left"/>
              <w:rPr>
                <w:sz w:val="20"/>
                <w:szCs w:val="20"/>
              </w:rPr>
            </w:pPr>
            <w:r w:rsidRPr="004C78D8">
              <w:rPr>
                <w:sz w:val="20"/>
                <w:szCs w:val="20"/>
              </w:rPr>
              <w:t>Dance to Health group exercise</w:t>
            </w:r>
          </w:p>
        </w:tc>
        <w:tc>
          <w:tcPr>
            <w:tcW w:w="711" w:type="pct"/>
            <w:tcBorders>
              <w:top w:val="nil"/>
              <w:bottom w:val="nil"/>
              <w:right w:val="nil"/>
            </w:tcBorders>
          </w:tcPr>
          <w:p w14:paraId="17E7342B" w14:textId="623C9CCF" w:rsidR="007E0D77" w:rsidRPr="004C78D8" w:rsidRDefault="007E0D77" w:rsidP="00FB7C1F">
            <w:pPr>
              <w:jc w:val="left"/>
              <w:rPr>
                <w:sz w:val="20"/>
                <w:szCs w:val="20"/>
              </w:rPr>
            </w:pPr>
          </w:p>
        </w:tc>
        <w:tc>
          <w:tcPr>
            <w:tcW w:w="531" w:type="pct"/>
            <w:tcBorders>
              <w:top w:val="nil"/>
              <w:left w:val="nil"/>
              <w:bottom w:val="nil"/>
            </w:tcBorders>
          </w:tcPr>
          <w:p w14:paraId="1BC90F9E" w14:textId="14537F05" w:rsidR="007E0D77" w:rsidRPr="004C78D8" w:rsidRDefault="007E0D77" w:rsidP="00FB7C1F">
            <w:pPr>
              <w:jc w:val="left"/>
              <w:rPr>
                <w:sz w:val="20"/>
                <w:szCs w:val="20"/>
              </w:rPr>
            </w:pPr>
          </w:p>
        </w:tc>
      </w:tr>
      <w:tr w:rsidR="007E0D77" w:rsidRPr="004C78D8" w14:paraId="3D9A2C55" w14:textId="77777777" w:rsidTr="00E35893">
        <w:tc>
          <w:tcPr>
            <w:tcW w:w="458" w:type="pct"/>
            <w:vMerge/>
          </w:tcPr>
          <w:p w14:paraId="384971FE" w14:textId="77777777" w:rsidR="007E0D77" w:rsidRPr="004C78D8" w:rsidRDefault="007E0D77" w:rsidP="00FB7C1F">
            <w:pPr>
              <w:jc w:val="left"/>
              <w:rPr>
                <w:sz w:val="18"/>
                <w:szCs w:val="18"/>
              </w:rPr>
            </w:pPr>
          </w:p>
        </w:tc>
        <w:tc>
          <w:tcPr>
            <w:tcW w:w="613" w:type="pct"/>
            <w:vMerge/>
            <w:tcBorders>
              <w:bottom w:val="single" w:sz="4" w:space="0" w:color="auto"/>
            </w:tcBorders>
          </w:tcPr>
          <w:p w14:paraId="74A6DD42" w14:textId="77777777" w:rsidR="007E0D77" w:rsidRPr="004C78D8" w:rsidRDefault="007E0D77" w:rsidP="00FB7C1F">
            <w:pPr>
              <w:jc w:val="left"/>
              <w:rPr>
                <w:sz w:val="20"/>
                <w:szCs w:val="20"/>
              </w:rPr>
            </w:pPr>
          </w:p>
        </w:tc>
        <w:tc>
          <w:tcPr>
            <w:tcW w:w="813" w:type="pct"/>
          </w:tcPr>
          <w:p w14:paraId="408331D3" w14:textId="643F9AC0" w:rsidR="007E0D77" w:rsidRPr="004C78D8" w:rsidRDefault="007E0D77" w:rsidP="00FB7C1F">
            <w:pPr>
              <w:jc w:val="left"/>
              <w:rPr>
                <w:sz w:val="20"/>
                <w:szCs w:val="20"/>
              </w:rPr>
            </w:pPr>
            <w:r w:rsidRPr="004C78D8">
              <w:rPr>
                <w:sz w:val="20"/>
                <w:szCs w:val="20"/>
              </w:rPr>
              <w:t>With intervention history</w:t>
            </w:r>
          </w:p>
        </w:tc>
        <w:tc>
          <w:tcPr>
            <w:tcW w:w="1874" w:type="pct"/>
          </w:tcPr>
          <w:p w14:paraId="041B4772" w14:textId="6FF5856F" w:rsidR="007E0D77" w:rsidRPr="004C78D8" w:rsidRDefault="007E0D77" w:rsidP="00FB7C1F">
            <w:pPr>
              <w:pStyle w:val="ListParagraph"/>
              <w:numPr>
                <w:ilvl w:val="0"/>
                <w:numId w:val="4"/>
              </w:numPr>
              <w:ind w:left="180" w:hanging="219"/>
              <w:jc w:val="left"/>
              <w:rPr>
                <w:sz w:val="20"/>
                <w:szCs w:val="20"/>
              </w:rPr>
            </w:pPr>
            <w:r w:rsidRPr="004C78D8">
              <w:rPr>
                <w:sz w:val="20"/>
                <w:szCs w:val="20"/>
              </w:rPr>
              <w:t>Encourage sustained participation</w:t>
            </w:r>
          </w:p>
        </w:tc>
        <w:tc>
          <w:tcPr>
            <w:tcW w:w="711" w:type="pct"/>
            <w:tcBorders>
              <w:top w:val="nil"/>
              <w:right w:val="nil"/>
            </w:tcBorders>
          </w:tcPr>
          <w:p w14:paraId="25908116" w14:textId="453EE940" w:rsidR="007E0D77" w:rsidRPr="004C78D8" w:rsidRDefault="007E0D77" w:rsidP="00FB7C1F">
            <w:pPr>
              <w:jc w:val="left"/>
              <w:rPr>
                <w:sz w:val="20"/>
                <w:szCs w:val="20"/>
              </w:rPr>
            </w:pPr>
          </w:p>
        </w:tc>
        <w:tc>
          <w:tcPr>
            <w:tcW w:w="531" w:type="pct"/>
            <w:tcBorders>
              <w:top w:val="nil"/>
              <w:left w:val="nil"/>
            </w:tcBorders>
          </w:tcPr>
          <w:p w14:paraId="33B4E3F6" w14:textId="4A58A1AB" w:rsidR="007E0D77" w:rsidRPr="004C78D8" w:rsidRDefault="007E0D77" w:rsidP="00FB7C1F">
            <w:pPr>
              <w:jc w:val="left"/>
              <w:rPr>
                <w:sz w:val="20"/>
                <w:szCs w:val="20"/>
              </w:rPr>
            </w:pPr>
          </w:p>
        </w:tc>
      </w:tr>
      <w:tr w:rsidR="007E0D77" w:rsidRPr="004C78D8" w14:paraId="022393B0" w14:textId="77777777" w:rsidTr="00E35893">
        <w:tc>
          <w:tcPr>
            <w:tcW w:w="458" w:type="pct"/>
            <w:vMerge/>
          </w:tcPr>
          <w:p w14:paraId="4A5E90A4" w14:textId="77777777" w:rsidR="007E0D77" w:rsidRPr="004C78D8" w:rsidRDefault="007E0D77" w:rsidP="00FB7C1F">
            <w:pPr>
              <w:jc w:val="left"/>
              <w:rPr>
                <w:sz w:val="18"/>
                <w:szCs w:val="18"/>
              </w:rPr>
            </w:pPr>
          </w:p>
        </w:tc>
        <w:tc>
          <w:tcPr>
            <w:tcW w:w="613" w:type="pct"/>
            <w:vMerge w:val="restart"/>
            <w:tcBorders>
              <w:top w:val="nil"/>
            </w:tcBorders>
            <w:shd w:val="clear" w:color="auto" w:fill="F2F2F2" w:themeFill="background1" w:themeFillShade="F2"/>
          </w:tcPr>
          <w:p w14:paraId="28DFBB52" w14:textId="0104CF19" w:rsidR="007E0D77" w:rsidRPr="004C78D8" w:rsidRDefault="007E0D77" w:rsidP="00FB7C1F">
            <w:pPr>
              <w:jc w:val="left"/>
              <w:rPr>
                <w:i/>
                <w:iCs/>
                <w:sz w:val="20"/>
                <w:szCs w:val="20"/>
              </w:rPr>
            </w:pPr>
            <w:r w:rsidRPr="004C78D8">
              <w:rPr>
                <w:i/>
                <w:iCs/>
                <w:sz w:val="20"/>
                <w:szCs w:val="20"/>
              </w:rPr>
              <w:t>Model usual care</w:t>
            </w:r>
            <w:r w:rsidR="00A41AC1" w:rsidRPr="004C78D8">
              <w:rPr>
                <w:i/>
                <w:iCs/>
                <w:sz w:val="20"/>
                <w:szCs w:val="20"/>
              </w:rPr>
              <w:t xml:space="preserve"> scenario</w:t>
            </w:r>
          </w:p>
        </w:tc>
        <w:tc>
          <w:tcPr>
            <w:tcW w:w="813" w:type="pct"/>
            <w:shd w:val="clear" w:color="auto" w:fill="F2F2F2" w:themeFill="background1" w:themeFillShade="F2"/>
          </w:tcPr>
          <w:p w14:paraId="2A22072A" w14:textId="1C0A95BE" w:rsidR="007E0D77" w:rsidRPr="004C78D8" w:rsidRDefault="007E0D77" w:rsidP="00FB7C1F">
            <w:pPr>
              <w:jc w:val="left"/>
              <w:rPr>
                <w:sz w:val="20"/>
                <w:szCs w:val="20"/>
              </w:rPr>
            </w:pPr>
            <w:r w:rsidRPr="004C78D8">
              <w:rPr>
                <w:sz w:val="20"/>
                <w:szCs w:val="20"/>
              </w:rPr>
              <w:t xml:space="preserve">Persons not receiving reactive or proactive intervention </w:t>
            </w:r>
          </w:p>
        </w:tc>
        <w:tc>
          <w:tcPr>
            <w:tcW w:w="1874" w:type="pct"/>
            <w:shd w:val="clear" w:color="auto" w:fill="F2F2F2" w:themeFill="background1" w:themeFillShade="F2"/>
          </w:tcPr>
          <w:p w14:paraId="489A5EFF" w14:textId="1F42FDAF" w:rsidR="007E0D77" w:rsidRPr="004C78D8" w:rsidRDefault="007E0D77" w:rsidP="00FB7C1F">
            <w:pPr>
              <w:pStyle w:val="ListParagraph"/>
              <w:numPr>
                <w:ilvl w:val="0"/>
                <w:numId w:val="4"/>
              </w:numPr>
              <w:ind w:left="180" w:hanging="219"/>
              <w:jc w:val="left"/>
              <w:rPr>
                <w:sz w:val="20"/>
                <w:szCs w:val="20"/>
              </w:rPr>
            </w:pPr>
            <w:r w:rsidRPr="004C78D8">
              <w:rPr>
                <w:sz w:val="20"/>
                <w:szCs w:val="20"/>
              </w:rPr>
              <w:t>Strength and balance group exercise</w:t>
            </w:r>
            <w:r w:rsidR="009E5A54" w:rsidRPr="004C78D8">
              <w:rPr>
                <w:sz w:val="20"/>
                <w:szCs w:val="20"/>
                <w:vertAlign w:val="superscript"/>
              </w:rPr>
              <w:t>5</w:t>
            </w:r>
          </w:p>
          <w:p w14:paraId="7679AFF2" w14:textId="653B38A6" w:rsidR="007E0D77" w:rsidRPr="004C78D8" w:rsidRDefault="007E0D77" w:rsidP="00FB7C1F">
            <w:pPr>
              <w:pStyle w:val="ListParagraph"/>
              <w:numPr>
                <w:ilvl w:val="0"/>
                <w:numId w:val="4"/>
              </w:numPr>
              <w:ind w:left="180" w:hanging="219"/>
              <w:jc w:val="left"/>
              <w:rPr>
                <w:sz w:val="20"/>
                <w:szCs w:val="20"/>
              </w:rPr>
            </w:pPr>
            <w:r w:rsidRPr="004C78D8">
              <w:rPr>
                <w:sz w:val="20"/>
                <w:szCs w:val="20"/>
              </w:rPr>
              <w:t>Increased likelihood of achieving physical activity target for group exercise participants</w:t>
            </w:r>
          </w:p>
        </w:tc>
        <w:tc>
          <w:tcPr>
            <w:tcW w:w="711" w:type="pct"/>
            <w:shd w:val="clear" w:color="auto" w:fill="F2F2F2" w:themeFill="background1" w:themeFillShade="F2"/>
          </w:tcPr>
          <w:p w14:paraId="355FC103" w14:textId="02D0E1C0" w:rsidR="007E0D77" w:rsidRPr="004C78D8" w:rsidRDefault="007E0D77" w:rsidP="00FB7C1F">
            <w:pPr>
              <w:jc w:val="left"/>
              <w:rPr>
                <w:sz w:val="20"/>
                <w:szCs w:val="20"/>
              </w:rPr>
            </w:pPr>
            <w:r w:rsidRPr="004C78D8">
              <w:rPr>
                <w:sz w:val="20"/>
                <w:szCs w:val="20"/>
              </w:rPr>
              <w:t>Limited access</w:t>
            </w:r>
            <w:r w:rsidR="009E5A54" w:rsidRPr="004C78D8">
              <w:rPr>
                <w:sz w:val="20"/>
                <w:szCs w:val="20"/>
                <w:vertAlign w:val="superscript"/>
              </w:rPr>
              <w:t>6</w:t>
            </w:r>
          </w:p>
        </w:tc>
        <w:tc>
          <w:tcPr>
            <w:tcW w:w="531" w:type="pct"/>
            <w:shd w:val="clear" w:color="auto" w:fill="F2F2F2" w:themeFill="background1" w:themeFillShade="F2"/>
          </w:tcPr>
          <w:p w14:paraId="357C71B9" w14:textId="5B070394" w:rsidR="007E0D77" w:rsidRPr="004C78D8" w:rsidRDefault="006F76D4" w:rsidP="00FB7C1F">
            <w:pPr>
              <w:jc w:val="left"/>
              <w:rPr>
                <w:sz w:val="20"/>
                <w:szCs w:val="20"/>
              </w:rPr>
            </w:pPr>
            <w:r w:rsidRPr="004C78D8">
              <w:rPr>
                <w:sz w:val="20"/>
                <w:szCs w:val="20"/>
              </w:rPr>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rPr>
                <w:sz w:val="20"/>
                <w:szCs w:val="20"/>
              </w:rPr>
              <w:instrText xml:space="preserve"> ADDIN EN.CITE </w:instrText>
            </w:r>
            <w:r w:rsidR="00513646" w:rsidRPr="004C78D8">
              <w:rPr>
                <w:sz w:val="20"/>
                <w:szCs w:val="20"/>
              </w:rPr>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rPr>
                <w:sz w:val="20"/>
                <w:szCs w:val="20"/>
              </w:rPr>
              <w:instrText xml:space="preserve"> ADDIN EN.CITE.DATA </w:instrText>
            </w:r>
            <w:r w:rsidR="00513646" w:rsidRPr="004C78D8">
              <w:rPr>
                <w:sz w:val="20"/>
                <w:szCs w:val="20"/>
              </w:rPr>
            </w:r>
            <w:r w:rsidR="00513646" w:rsidRPr="004C78D8">
              <w:rPr>
                <w:sz w:val="20"/>
                <w:szCs w:val="20"/>
              </w:rPr>
              <w:fldChar w:fldCharType="end"/>
            </w:r>
            <w:r w:rsidRPr="004C78D8">
              <w:rPr>
                <w:sz w:val="20"/>
                <w:szCs w:val="20"/>
              </w:rPr>
            </w:r>
            <w:r w:rsidRPr="004C78D8">
              <w:rPr>
                <w:sz w:val="20"/>
                <w:szCs w:val="20"/>
              </w:rPr>
              <w:fldChar w:fldCharType="separate"/>
            </w:r>
            <w:r w:rsidR="00513646" w:rsidRPr="004C78D8">
              <w:rPr>
                <w:noProof/>
                <w:sz w:val="20"/>
                <w:szCs w:val="20"/>
              </w:rPr>
              <w:t>[135]</w:t>
            </w:r>
            <w:r w:rsidRPr="004C78D8">
              <w:rPr>
                <w:sz w:val="20"/>
                <w:szCs w:val="20"/>
              </w:rPr>
              <w:fldChar w:fldCharType="end"/>
            </w:r>
            <w:r w:rsidR="007E0D77" w:rsidRPr="004C78D8">
              <w:rPr>
                <w:sz w:val="20"/>
                <w:szCs w:val="20"/>
              </w:rPr>
              <w:t xml:space="preserve">; </w:t>
            </w:r>
            <w:r w:rsidRPr="004C78D8">
              <w:rPr>
                <w:sz w:val="20"/>
                <w:szCs w:val="20"/>
              </w:rPr>
              <w:fldChar w:fldCharType="begin"/>
            </w:r>
            <w:r w:rsidR="00513646" w:rsidRPr="004C78D8">
              <w:rPr>
                <w:sz w:val="20"/>
                <w:szCs w:val="20"/>
              </w:rPr>
              <w:instrText xml:space="preserve"> ADDIN EN.CITE &lt;EndNote&gt;&lt;Cite&gt;&lt;Author&gt;Skelton&lt;/Author&gt;&lt;Year&gt;2005&lt;/Year&gt;&lt;RecNum&gt;481&lt;/RecNum&gt;&lt;DisplayText&gt;[136]&lt;/DisplayText&gt;&lt;record&gt;&lt;rec-number&gt;481&lt;/rec-number&gt;&lt;foreign-keys&gt;&lt;key app="EN" db-id="tdtrdw9aepptzbefsat599syza29sxsd2wsp" timestamp="1616578116"&gt;481&lt;/key&gt;&lt;/foreign-keys&gt;&lt;ref-type name="Journal Article"&gt;17&lt;/ref-type&gt;&lt;contributors&gt;&lt;authors&gt;&lt;author&gt;Skelton, Dawn&lt;/author&gt;&lt;author&gt;Dinan, Susie&lt;/author&gt;&lt;author&gt;Campbell, Malcolm&lt;/author&gt;&lt;author&gt;Rutherford, Olga&lt;/author&gt;&lt;/authors&gt;&lt;/contributors&gt;&lt;titles&gt;&lt;title&gt;Tailored group exercise (Falls Management Exercise—FaME) reduces falls in community-dwelling older frequent fallers (an RCT)&lt;/title&gt;&lt;secondary-title&gt;Age and ageing&lt;/secondary-title&gt;&lt;/titles&gt;&lt;periodical&gt;&lt;full-title&gt;Age and ageing&lt;/full-title&gt;&lt;/periodical&gt;&lt;pages&gt;636-639&lt;/pages&gt;&lt;volume&gt;34&lt;/volume&gt;&lt;number&gt;6&lt;/number&gt;&lt;dates&gt;&lt;year&gt;2005&lt;/year&gt;&lt;/dates&gt;&lt;isbn&gt;1468-2834&lt;/isbn&gt;&lt;urls&gt;&lt;/urls&gt;&lt;/record&gt;&lt;/Cite&gt;&lt;/EndNote&gt;</w:instrText>
            </w:r>
            <w:r w:rsidRPr="004C78D8">
              <w:rPr>
                <w:sz w:val="20"/>
                <w:szCs w:val="20"/>
              </w:rPr>
              <w:fldChar w:fldCharType="separate"/>
            </w:r>
            <w:r w:rsidR="00513646" w:rsidRPr="004C78D8">
              <w:rPr>
                <w:noProof/>
                <w:sz w:val="20"/>
                <w:szCs w:val="20"/>
              </w:rPr>
              <w:t>[136]</w:t>
            </w:r>
            <w:r w:rsidRPr="004C78D8">
              <w:rPr>
                <w:sz w:val="20"/>
                <w:szCs w:val="20"/>
              </w:rPr>
              <w:fldChar w:fldCharType="end"/>
            </w:r>
          </w:p>
        </w:tc>
      </w:tr>
      <w:tr w:rsidR="007E0D77" w:rsidRPr="004C78D8" w14:paraId="3EB2DEFE" w14:textId="77777777" w:rsidTr="00E35893">
        <w:tc>
          <w:tcPr>
            <w:tcW w:w="458" w:type="pct"/>
            <w:vMerge/>
          </w:tcPr>
          <w:p w14:paraId="006B7D87" w14:textId="77777777" w:rsidR="007E0D77" w:rsidRPr="004C78D8" w:rsidRDefault="007E0D77" w:rsidP="00FB7C1F">
            <w:pPr>
              <w:jc w:val="left"/>
              <w:rPr>
                <w:sz w:val="18"/>
                <w:szCs w:val="18"/>
              </w:rPr>
            </w:pPr>
          </w:p>
        </w:tc>
        <w:tc>
          <w:tcPr>
            <w:tcW w:w="613" w:type="pct"/>
            <w:vMerge/>
            <w:tcBorders>
              <w:top w:val="nil"/>
            </w:tcBorders>
            <w:shd w:val="clear" w:color="auto" w:fill="F2F2F2" w:themeFill="background1" w:themeFillShade="F2"/>
          </w:tcPr>
          <w:p w14:paraId="36BB5473" w14:textId="77777777" w:rsidR="007E0D77" w:rsidRPr="004C78D8" w:rsidRDefault="007E0D77" w:rsidP="00FB7C1F">
            <w:pPr>
              <w:jc w:val="left"/>
              <w:rPr>
                <w:i/>
                <w:iCs/>
                <w:sz w:val="20"/>
                <w:szCs w:val="20"/>
              </w:rPr>
            </w:pPr>
          </w:p>
        </w:tc>
        <w:tc>
          <w:tcPr>
            <w:tcW w:w="813" w:type="pct"/>
            <w:shd w:val="clear" w:color="auto" w:fill="F2F2F2" w:themeFill="background1" w:themeFillShade="F2"/>
          </w:tcPr>
          <w:p w14:paraId="4BA3804B" w14:textId="274D5C1F" w:rsidR="007E0D77" w:rsidRPr="004C78D8" w:rsidRDefault="001D5170" w:rsidP="00FB7C1F">
            <w:pPr>
              <w:jc w:val="left"/>
              <w:rPr>
                <w:sz w:val="20"/>
                <w:szCs w:val="20"/>
              </w:rPr>
            </w:pPr>
            <w:r w:rsidRPr="004C78D8">
              <w:rPr>
                <w:sz w:val="20"/>
                <w:szCs w:val="20"/>
              </w:rPr>
              <w:t>Cognitively impaired</w:t>
            </w:r>
          </w:p>
        </w:tc>
        <w:tc>
          <w:tcPr>
            <w:tcW w:w="1874" w:type="pct"/>
            <w:shd w:val="clear" w:color="auto" w:fill="F2F2F2" w:themeFill="background1" w:themeFillShade="F2"/>
          </w:tcPr>
          <w:p w14:paraId="5A7D8B3F" w14:textId="5B0787A5" w:rsidR="007E0D77" w:rsidRPr="004C78D8" w:rsidRDefault="00282BED" w:rsidP="00FB7C1F">
            <w:pPr>
              <w:pStyle w:val="ListParagraph"/>
              <w:numPr>
                <w:ilvl w:val="0"/>
                <w:numId w:val="4"/>
              </w:numPr>
              <w:ind w:left="180" w:hanging="219"/>
              <w:jc w:val="left"/>
              <w:rPr>
                <w:sz w:val="20"/>
                <w:szCs w:val="20"/>
              </w:rPr>
            </w:pPr>
            <w:r w:rsidRPr="004C78D8">
              <w:rPr>
                <w:sz w:val="20"/>
                <w:szCs w:val="20"/>
              </w:rPr>
              <w:t>B</w:t>
            </w:r>
            <w:r w:rsidR="007E0D77" w:rsidRPr="004C78D8">
              <w:rPr>
                <w:sz w:val="20"/>
                <w:szCs w:val="20"/>
              </w:rPr>
              <w:t>alance group exercise</w:t>
            </w:r>
            <w:r w:rsidRPr="004C78D8">
              <w:rPr>
                <w:sz w:val="20"/>
                <w:szCs w:val="20"/>
              </w:rPr>
              <w:t xml:space="preserve"> (e</w:t>
            </w:r>
            <w:r w:rsidR="00B51078" w:rsidRPr="004C78D8">
              <w:rPr>
                <w:sz w:val="20"/>
                <w:szCs w:val="20"/>
              </w:rPr>
              <w:t>fficacy</w:t>
            </w:r>
            <w:r w:rsidRPr="004C78D8">
              <w:rPr>
                <w:sz w:val="20"/>
                <w:szCs w:val="20"/>
              </w:rPr>
              <w:t xml:space="preserve"> from Tai Chi)</w:t>
            </w:r>
          </w:p>
        </w:tc>
        <w:tc>
          <w:tcPr>
            <w:tcW w:w="711" w:type="pct"/>
            <w:shd w:val="clear" w:color="auto" w:fill="F2F2F2" w:themeFill="background1" w:themeFillShade="F2"/>
          </w:tcPr>
          <w:p w14:paraId="1D53CD1A" w14:textId="6ED222DE" w:rsidR="007E0D77" w:rsidRPr="004C78D8" w:rsidRDefault="007E0D77" w:rsidP="00FB7C1F">
            <w:pPr>
              <w:jc w:val="left"/>
              <w:rPr>
                <w:sz w:val="20"/>
                <w:szCs w:val="20"/>
              </w:rPr>
            </w:pPr>
            <w:r w:rsidRPr="004C78D8">
              <w:rPr>
                <w:sz w:val="20"/>
                <w:szCs w:val="20"/>
              </w:rPr>
              <w:t>Limited access</w:t>
            </w:r>
            <w:r w:rsidR="009E5A54" w:rsidRPr="004C78D8">
              <w:rPr>
                <w:sz w:val="20"/>
                <w:szCs w:val="20"/>
                <w:vertAlign w:val="superscript"/>
              </w:rPr>
              <w:t>6</w:t>
            </w:r>
          </w:p>
        </w:tc>
        <w:tc>
          <w:tcPr>
            <w:tcW w:w="531" w:type="pct"/>
            <w:shd w:val="clear" w:color="auto" w:fill="F2F2F2" w:themeFill="background1" w:themeFillShade="F2"/>
          </w:tcPr>
          <w:p w14:paraId="32F0106C" w14:textId="4450AD7B" w:rsidR="007E0D77" w:rsidRPr="004C78D8" w:rsidRDefault="006F76D4" w:rsidP="00FB7C1F">
            <w:pPr>
              <w:jc w:val="left"/>
              <w:rPr>
                <w:sz w:val="20"/>
                <w:szCs w:val="20"/>
              </w:rPr>
            </w:pPr>
            <w:r w:rsidRPr="004C78D8">
              <w:rPr>
                <w:sz w:val="20"/>
                <w:szCs w:val="20"/>
              </w:rPr>
              <w:fldChar w:fldCharType="begin"/>
            </w:r>
            <w:r w:rsidR="00C630FC" w:rsidRPr="004C78D8">
              <w:rPr>
                <w:sz w:val="20"/>
                <w:szCs w:val="20"/>
              </w:rPr>
              <w:instrText xml:space="preserve"> ADDIN EN.CITE &lt;EndNote&gt;&lt;Cite&gt;&lt;Author&gt;Nyman&lt;/Author&gt;&lt;Year&gt;2019&lt;/Year&gt;&lt;RecNum&gt;281&lt;/RecNum&gt;&lt;DisplayText&gt;[235]&lt;/DisplayText&gt;&lt;record&gt;&lt;rec-number&gt;281&lt;/rec-number&gt;&lt;foreign-keys&gt;&lt;key app="EN" db-id="tdtrdw9aepptzbefsat599syza29sxsd2wsp" timestamp="1611699160"&gt;281&lt;/key&gt;&lt;/foreign-keys&gt;&lt;ref-type name="Journal Article"&gt;17&lt;/ref-type&gt;&lt;contributors&gt;&lt;authors&gt;&lt;author&gt;Nyman, Samuel R&lt;/author&gt;&lt;author&gt;Ingram, Wendy&lt;/author&gt;&lt;author&gt;Sanders, Jeanette&lt;/author&gt;&lt;author&gt;Thomas, Peter W&lt;/author&gt;&lt;author&gt;Thomas, Sarah&lt;/author&gt;&lt;author&gt;Vassallo, Michael&lt;/author&gt;&lt;author&gt;Raftery, James&lt;/author&gt;&lt;author&gt;Bibi, Iram&lt;/author&gt;&lt;author&gt;Barrado-Martín, Yolanda&lt;/author&gt;&lt;/authors&gt;&lt;/contributors&gt;&lt;titles&gt;&lt;title&gt;Randomised controlled trial of the effect of Tai Chi on postural balance of people with dementia&lt;/title&gt;&lt;secondary-title&gt;Clinical interventions in aging&lt;/secondary-title&gt;&lt;/titles&gt;&lt;periodical&gt;&lt;full-title&gt;Clin Interv Aging&lt;/full-title&gt;&lt;abbr-1&gt;Clinical interventions in aging&lt;/abbr-1&gt;&lt;/periodical&gt;&lt;pages&gt;2017&lt;/pages&gt;&lt;volume&gt;14&lt;/volume&gt;&lt;dates&gt;&lt;year&gt;2019&lt;/year&gt;&lt;/dates&gt;&lt;urls&gt;&lt;/urls&gt;&lt;/record&gt;&lt;/Cite&gt;&lt;/EndNote&gt;</w:instrText>
            </w:r>
            <w:r w:rsidRPr="004C78D8">
              <w:rPr>
                <w:sz w:val="20"/>
                <w:szCs w:val="20"/>
              </w:rPr>
              <w:fldChar w:fldCharType="separate"/>
            </w:r>
            <w:r w:rsidR="00C630FC" w:rsidRPr="004C78D8">
              <w:rPr>
                <w:noProof/>
                <w:sz w:val="20"/>
                <w:szCs w:val="20"/>
              </w:rPr>
              <w:t>[235]</w:t>
            </w:r>
            <w:r w:rsidRPr="004C78D8">
              <w:rPr>
                <w:sz w:val="20"/>
                <w:szCs w:val="20"/>
              </w:rPr>
              <w:fldChar w:fldCharType="end"/>
            </w:r>
          </w:p>
        </w:tc>
      </w:tr>
      <w:tr w:rsidR="007E0D77" w:rsidRPr="004C78D8" w14:paraId="36E9947F" w14:textId="77777777" w:rsidTr="00E35893">
        <w:tc>
          <w:tcPr>
            <w:tcW w:w="458" w:type="pct"/>
            <w:vMerge/>
          </w:tcPr>
          <w:p w14:paraId="0907D45D" w14:textId="77777777" w:rsidR="007E0D77" w:rsidRPr="004C78D8" w:rsidRDefault="007E0D77" w:rsidP="00FB7C1F">
            <w:pPr>
              <w:jc w:val="left"/>
              <w:rPr>
                <w:sz w:val="18"/>
                <w:szCs w:val="18"/>
              </w:rPr>
            </w:pPr>
          </w:p>
        </w:tc>
        <w:tc>
          <w:tcPr>
            <w:tcW w:w="613" w:type="pct"/>
            <w:vMerge/>
            <w:tcBorders>
              <w:bottom w:val="single" w:sz="4" w:space="0" w:color="auto"/>
            </w:tcBorders>
            <w:shd w:val="clear" w:color="auto" w:fill="F2F2F2" w:themeFill="background1" w:themeFillShade="F2"/>
          </w:tcPr>
          <w:p w14:paraId="0C6AAB9C" w14:textId="77777777" w:rsidR="007E0D77" w:rsidRPr="004C78D8" w:rsidRDefault="007E0D77" w:rsidP="00FB7C1F">
            <w:pPr>
              <w:jc w:val="left"/>
              <w:rPr>
                <w:sz w:val="20"/>
                <w:szCs w:val="20"/>
              </w:rPr>
            </w:pPr>
          </w:p>
        </w:tc>
        <w:tc>
          <w:tcPr>
            <w:tcW w:w="813" w:type="pct"/>
            <w:shd w:val="clear" w:color="auto" w:fill="F2F2F2" w:themeFill="background1" w:themeFillShade="F2"/>
          </w:tcPr>
          <w:p w14:paraId="73463F82" w14:textId="3F75A6DF" w:rsidR="007E0D77" w:rsidRPr="004C78D8" w:rsidRDefault="007E0D77" w:rsidP="00FB7C1F">
            <w:pPr>
              <w:jc w:val="left"/>
              <w:rPr>
                <w:sz w:val="20"/>
                <w:szCs w:val="20"/>
              </w:rPr>
            </w:pPr>
            <w:r w:rsidRPr="004C78D8">
              <w:rPr>
                <w:sz w:val="20"/>
                <w:szCs w:val="20"/>
              </w:rPr>
              <w:t>With intervention history</w:t>
            </w:r>
          </w:p>
        </w:tc>
        <w:tc>
          <w:tcPr>
            <w:tcW w:w="1874" w:type="pct"/>
            <w:shd w:val="clear" w:color="auto" w:fill="F2F2F2" w:themeFill="background1" w:themeFillShade="F2"/>
          </w:tcPr>
          <w:p w14:paraId="68FF5523" w14:textId="3BAE6680" w:rsidR="007E0D77" w:rsidRPr="004C78D8" w:rsidRDefault="002000D2" w:rsidP="00FB7C1F">
            <w:pPr>
              <w:pStyle w:val="ListParagraph"/>
              <w:numPr>
                <w:ilvl w:val="0"/>
                <w:numId w:val="4"/>
              </w:numPr>
              <w:ind w:left="180" w:hanging="219"/>
              <w:jc w:val="left"/>
              <w:rPr>
                <w:sz w:val="20"/>
                <w:szCs w:val="20"/>
              </w:rPr>
            </w:pPr>
            <w:r w:rsidRPr="004C78D8">
              <w:rPr>
                <w:sz w:val="20"/>
                <w:szCs w:val="20"/>
              </w:rPr>
              <w:t>Sustained participation pending access</w:t>
            </w:r>
          </w:p>
        </w:tc>
        <w:tc>
          <w:tcPr>
            <w:tcW w:w="711" w:type="pct"/>
            <w:tcBorders>
              <w:bottom w:val="single" w:sz="4" w:space="0" w:color="auto"/>
            </w:tcBorders>
            <w:shd w:val="clear" w:color="auto" w:fill="F2F2F2" w:themeFill="background1" w:themeFillShade="F2"/>
          </w:tcPr>
          <w:p w14:paraId="267203BF" w14:textId="5BDD71F1" w:rsidR="007E0D77" w:rsidRPr="004C78D8" w:rsidRDefault="007E0D77" w:rsidP="00FB7C1F">
            <w:pPr>
              <w:jc w:val="left"/>
              <w:rPr>
                <w:sz w:val="20"/>
                <w:szCs w:val="20"/>
              </w:rPr>
            </w:pPr>
            <w:r w:rsidRPr="004C78D8">
              <w:rPr>
                <w:sz w:val="20"/>
                <w:szCs w:val="20"/>
              </w:rPr>
              <w:t>Limited access</w:t>
            </w:r>
            <w:r w:rsidR="009E5A54" w:rsidRPr="004C78D8">
              <w:rPr>
                <w:sz w:val="20"/>
                <w:szCs w:val="20"/>
                <w:vertAlign w:val="superscript"/>
              </w:rPr>
              <w:t>6</w:t>
            </w:r>
          </w:p>
        </w:tc>
        <w:tc>
          <w:tcPr>
            <w:tcW w:w="531" w:type="pct"/>
            <w:tcBorders>
              <w:bottom w:val="single" w:sz="4" w:space="0" w:color="auto"/>
            </w:tcBorders>
            <w:shd w:val="clear" w:color="auto" w:fill="F2F2F2" w:themeFill="background1" w:themeFillShade="F2"/>
          </w:tcPr>
          <w:p w14:paraId="7F067CAA" w14:textId="3FB63C64" w:rsidR="007E0D77" w:rsidRPr="004C78D8" w:rsidRDefault="00EA011F" w:rsidP="00FB7C1F">
            <w:pPr>
              <w:jc w:val="left"/>
              <w:rPr>
                <w:sz w:val="20"/>
                <w:szCs w:val="20"/>
              </w:rPr>
            </w:pPr>
            <w:r w:rsidRPr="004C78D8">
              <w:rPr>
                <w:sz w:val="20"/>
                <w:szCs w:val="20"/>
              </w:rPr>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rPr>
                <w:sz w:val="20"/>
                <w:szCs w:val="20"/>
              </w:rPr>
              <w:instrText xml:space="preserve"> ADDIN EN.CITE </w:instrText>
            </w:r>
            <w:r w:rsidR="00513646" w:rsidRPr="004C78D8">
              <w:rPr>
                <w:sz w:val="20"/>
                <w:szCs w:val="20"/>
              </w:rPr>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rPr>
                <w:sz w:val="20"/>
                <w:szCs w:val="20"/>
              </w:rPr>
              <w:instrText xml:space="preserve"> ADDIN EN.CITE.DATA </w:instrText>
            </w:r>
            <w:r w:rsidR="00513646" w:rsidRPr="004C78D8">
              <w:rPr>
                <w:sz w:val="20"/>
                <w:szCs w:val="20"/>
              </w:rPr>
            </w:r>
            <w:r w:rsidR="00513646" w:rsidRPr="004C78D8">
              <w:rPr>
                <w:sz w:val="20"/>
                <w:szCs w:val="20"/>
              </w:rPr>
              <w:fldChar w:fldCharType="end"/>
            </w:r>
            <w:r w:rsidRPr="004C78D8">
              <w:rPr>
                <w:sz w:val="20"/>
                <w:szCs w:val="20"/>
              </w:rPr>
            </w:r>
            <w:r w:rsidRPr="004C78D8">
              <w:rPr>
                <w:sz w:val="20"/>
                <w:szCs w:val="20"/>
              </w:rPr>
              <w:fldChar w:fldCharType="separate"/>
            </w:r>
            <w:r w:rsidR="00513646" w:rsidRPr="004C78D8">
              <w:rPr>
                <w:noProof/>
                <w:sz w:val="20"/>
                <w:szCs w:val="20"/>
              </w:rPr>
              <w:t>[135]</w:t>
            </w:r>
            <w:r w:rsidRPr="004C78D8">
              <w:rPr>
                <w:sz w:val="20"/>
                <w:szCs w:val="20"/>
              </w:rPr>
              <w:fldChar w:fldCharType="end"/>
            </w:r>
            <w:r w:rsidRPr="004C78D8">
              <w:rPr>
                <w:sz w:val="20"/>
                <w:szCs w:val="20"/>
              </w:rPr>
              <w:t xml:space="preserve">; </w:t>
            </w:r>
            <w:r w:rsidRPr="004C78D8">
              <w:rPr>
                <w:sz w:val="20"/>
                <w:szCs w:val="20"/>
              </w:rPr>
              <w:fldChar w:fldCharType="begin"/>
            </w:r>
            <w:r w:rsidR="00513646" w:rsidRPr="004C78D8">
              <w:rPr>
                <w:sz w:val="20"/>
                <w:szCs w:val="20"/>
              </w:rPr>
              <w:instrText xml:space="preserve"> ADDIN EN.CITE &lt;EndNote&gt;&lt;Cite&gt;&lt;Author&gt;Skelton&lt;/Author&gt;&lt;Year&gt;2005&lt;/Year&gt;&lt;RecNum&gt;481&lt;/RecNum&gt;&lt;DisplayText&gt;[136]&lt;/DisplayText&gt;&lt;record&gt;&lt;rec-number&gt;481&lt;/rec-number&gt;&lt;foreign-keys&gt;&lt;key app="EN" db-id="tdtrdw9aepptzbefsat599syza29sxsd2wsp" timestamp="1616578116"&gt;481&lt;/key&gt;&lt;/foreign-keys&gt;&lt;ref-type name="Journal Article"&gt;17&lt;/ref-type&gt;&lt;contributors&gt;&lt;authors&gt;&lt;author&gt;Skelton, Dawn&lt;/author&gt;&lt;author&gt;Dinan, Susie&lt;/author&gt;&lt;author&gt;Campbell, Malcolm&lt;/author&gt;&lt;author&gt;Rutherford, Olga&lt;/author&gt;&lt;/authors&gt;&lt;/contributors&gt;&lt;titles&gt;&lt;title&gt;Tailored group exercise (Falls Management Exercise—FaME) reduces falls in community-dwelling older frequent fallers (an RCT)&lt;/title&gt;&lt;secondary-title&gt;Age and ageing&lt;/secondary-title&gt;&lt;/titles&gt;&lt;periodical&gt;&lt;full-title&gt;Age and ageing&lt;/full-title&gt;&lt;/periodical&gt;&lt;pages&gt;636-639&lt;/pages&gt;&lt;volume&gt;34&lt;/volume&gt;&lt;number&gt;6&lt;/number&gt;&lt;dates&gt;&lt;year&gt;2005&lt;/year&gt;&lt;/dates&gt;&lt;isbn&gt;1468-2834&lt;/isbn&gt;&lt;urls&gt;&lt;/urls&gt;&lt;/record&gt;&lt;/Cite&gt;&lt;/EndNote&gt;</w:instrText>
            </w:r>
            <w:r w:rsidRPr="004C78D8">
              <w:rPr>
                <w:sz w:val="20"/>
                <w:szCs w:val="20"/>
              </w:rPr>
              <w:fldChar w:fldCharType="separate"/>
            </w:r>
            <w:r w:rsidR="00513646" w:rsidRPr="004C78D8">
              <w:rPr>
                <w:noProof/>
                <w:sz w:val="20"/>
                <w:szCs w:val="20"/>
              </w:rPr>
              <w:t>[136]</w:t>
            </w:r>
            <w:r w:rsidRPr="004C78D8">
              <w:rPr>
                <w:sz w:val="20"/>
                <w:szCs w:val="20"/>
              </w:rPr>
              <w:fldChar w:fldCharType="end"/>
            </w:r>
            <w:r w:rsidRPr="004C78D8">
              <w:rPr>
                <w:sz w:val="20"/>
                <w:szCs w:val="20"/>
              </w:rPr>
              <w:t xml:space="preserve">; </w:t>
            </w:r>
            <w:r w:rsidRPr="004C78D8">
              <w:rPr>
                <w:sz w:val="20"/>
                <w:szCs w:val="20"/>
              </w:rPr>
              <w:fldChar w:fldCharType="begin"/>
            </w:r>
            <w:r w:rsidR="00C630FC" w:rsidRPr="004C78D8">
              <w:rPr>
                <w:sz w:val="20"/>
                <w:szCs w:val="20"/>
              </w:rPr>
              <w:instrText xml:space="preserve"> ADDIN EN.CITE &lt;EndNote&gt;&lt;Cite&gt;&lt;Author&gt;Nyman&lt;/Author&gt;&lt;Year&gt;2019&lt;/Year&gt;&lt;RecNum&gt;281&lt;/RecNum&gt;&lt;DisplayText&gt;[235]&lt;/DisplayText&gt;&lt;record&gt;&lt;rec-number&gt;281&lt;/rec-number&gt;&lt;foreign-keys&gt;&lt;key app="EN" db-id="tdtrdw9aepptzbefsat599syza29sxsd2wsp" timestamp="1611699160"&gt;281&lt;/key&gt;&lt;/foreign-keys&gt;&lt;ref-type name="Journal Article"&gt;17&lt;/ref-type&gt;&lt;contributors&gt;&lt;authors&gt;&lt;author&gt;Nyman, Samuel R&lt;/author&gt;&lt;author&gt;Ingram, Wendy&lt;/author&gt;&lt;author&gt;Sanders, Jeanette&lt;/author&gt;&lt;author&gt;Thomas, Peter W&lt;/author&gt;&lt;author&gt;Thomas, Sarah&lt;/author&gt;&lt;author&gt;Vassallo, Michael&lt;/author&gt;&lt;author&gt;Raftery, James&lt;/author&gt;&lt;author&gt;Bibi, Iram&lt;/author&gt;&lt;author&gt;Barrado-Martín, Yolanda&lt;/author&gt;&lt;/authors&gt;&lt;/contributors&gt;&lt;titles&gt;&lt;title&gt;Randomised controlled trial of the effect of Tai Chi on postural balance of people with dementia&lt;/title&gt;&lt;secondary-title&gt;Clinical interventions in aging&lt;/secondary-title&gt;&lt;/titles&gt;&lt;periodical&gt;&lt;full-title&gt;Clin Interv Aging&lt;/full-title&gt;&lt;abbr-1&gt;Clinical interventions in aging&lt;/abbr-1&gt;&lt;/periodical&gt;&lt;pages&gt;2017&lt;/pages&gt;&lt;volume&gt;14&lt;/volume&gt;&lt;dates&gt;&lt;year&gt;2019&lt;/year&gt;&lt;/dates&gt;&lt;urls&gt;&lt;/urls&gt;&lt;/record&gt;&lt;/Cite&gt;&lt;/EndNote&gt;</w:instrText>
            </w:r>
            <w:r w:rsidRPr="004C78D8">
              <w:rPr>
                <w:sz w:val="20"/>
                <w:szCs w:val="20"/>
              </w:rPr>
              <w:fldChar w:fldCharType="separate"/>
            </w:r>
            <w:r w:rsidR="00C630FC" w:rsidRPr="004C78D8">
              <w:rPr>
                <w:noProof/>
                <w:sz w:val="20"/>
                <w:szCs w:val="20"/>
              </w:rPr>
              <w:t>[235]</w:t>
            </w:r>
            <w:r w:rsidRPr="004C78D8">
              <w:rPr>
                <w:sz w:val="20"/>
                <w:szCs w:val="20"/>
              </w:rPr>
              <w:fldChar w:fldCharType="end"/>
            </w:r>
          </w:p>
        </w:tc>
      </w:tr>
      <w:tr w:rsidR="00445168" w:rsidRPr="004C78D8" w14:paraId="6414CD68" w14:textId="77777777" w:rsidTr="00E35893">
        <w:tc>
          <w:tcPr>
            <w:tcW w:w="458" w:type="pct"/>
            <w:vMerge/>
          </w:tcPr>
          <w:p w14:paraId="360A0F38" w14:textId="77777777" w:rsidR="00445168" w:rsidRPr="004C78D8" w:rsidRDefault="00445168" w:rsidP="00FB7C1F">
            <w:pPr>
              <w:jc w:val="left"/>
              <w:rPr>
                <w:sz w:val="18"/>
                <w:szCs w:val="18"/>
              </w:rPr>
            </w:pPr>
          </w:p>
        </w:tc>
        <w:tc>
          <w:tcPr>
            <w:tcW w:w="613" w:type="pct"/>
            <w:vMerge w:val="restart"/>
          </w:tcPr>
          <w:p w14:paraId="3AF6A86B" w14:textId="720CAEB6" w:rsidR="00445168" w:rsidRPr="004C78D8" w:rsidRDefault="00445168" w:rsidP="00FB7C1F">
            <w:pPr>
              <w:jc w:val="left"/>
              <w:rPr>
                <w:sz w:val="20"/>
                <w:szCs w:val="20"/>
              </w:rPr>
            </w:pPr>
            <w:r w:rsidRPr="004C78D8">
              <w:rPr>
                <w:sz w:val="20"/>
                <w:szCs w:val="20"/>
              </w:rPr>
              <w:t>Recommended practice</w:t>
            </w:r>
          </w:p>
        </w:tc>
        <w:tc>
          <w:tcPr>
            <w:tcW w:w="813" w:type="pct"/>
          </w:tcPr>
          <w:p w14:paraId="23A7D8E1" w14:textId="12A6B6A4" w:rsidR="00445168" w:rsidRPr="004C78D8" w:rsidRDefault="00445168" w:rsidP="00FB7C1F">
            <w:pPr>
              <w:jc w:val="left"/>
              <w:rPr>
                <w:sz w:val="20"/>
                <w:szCs w:val="20"/>
              </w:rPr>
            </w:pPr>
            <w:r w:rsidRPr="004C78D8">
              <w:rPr>
                <w:sz w:val="20"/>
                <w:szCs w:val="20"/>
              </w:rPr>
              <w:t>General older population in community</w:t>
            </w:r>
          </w:p>
        </w:tc>
        <w:tc>
          <w:tcPr>
            <w:tcW w:w="1874" w:type="pct"/>
          </w:tcPr>
          <w:p w14:paraId="19B6CF69" w14:textId="77777777" w:rsidR="00445168" w:rsidRPr="004C78D8" w:rsidRDefault="00445168" w:rsidP="00FB7C1F">
            <w:pPr>
              <w:pStyle w:val="ListParagraph"/>
              <w:numPr>
                <w:ilvl w:val="0"/>
                <w:numId w:val="4"/>
              </w:numPr>
              <w:ind w:left="180" w:hanging="219"/>
              <w:jc w:val="left"/>
              <w:rPr>
                <w:sz w:val="20"/>
                <w:szCs w:val="20"/>
              </w:rPr>
            </w:pPr>
            <w:r w:rsidRPr="004C78D8">
              <w:rPr>
                <w:sz w:val="20"/>
                <w:szCs w:val="20"/>
              </w:rPr>
              <w:t>Strength and balance exercise – individually tailored, progressive difficulty, 50+ hours (2+ hours/week)</w:t>
            </w:r>
          </w:p>
          <w:p w14:paraId="7937F891" w14:textId="0A3F088A" w:rsidR="00445168" w:rsidRPr="004C78D8" w:rsidRDefault="00445168" w:rsidP="00FB7C1F">
            <w:pPr>
              <w:pStyle w:val="ListParagraph"/>
              <w:numPr>
                <w:ilvl w:val="0"/>
                <w:numId w:val="4"/>
              </w:numPr>
              <w:ind w:left="180" w:hanging="219"/>
              <w:jc w:val="left"/>
              <w:rPr>
                <w:sz w:val="20"/>
                <w:szCs w:val="20"/>
              </w:rPr>
            </w:pPr>
            <w:r w:rsidRPr="004C78D8">
              <w:rPr>
                <w:sz w:val="20"/>
                <w:szCs w:val="20"/>
              </w:rPr>
              <w:t>Achieve recommended 150 (75) minutes/week of moderate (vigorous) intensity physical activity</w:t>
            </w:r>
          </w:p>
        </w:tc>
        <w:tc>
          <w:tcPr>
            <w:tcW w:w="711" w:type="pct"/>
            <w:tcBorders>
              <w:bottom w:val="nil"/>
              <w:right w:val="nil"/>
            </w:tcBorders>
          </w:tcPr>
          <w:p w14:paraId="7347C1CB" w14:textId="5BA65420" w:rsidR="00445168" w:rsidRPr="004C78D8" w:rsidRDefault="00445168" w:rsidP="00FB7C1F">
            <w:pPr>
              <w:jc w:val="left"/>
              <w:rPr>
                <w:sz w:val="20"/>
                <w:szCs w:val="20"/>
              </w:rPr>
            </w:pPr>
          </w:p>
        </w:tc>
        <w:tc>
          <w:tcPr>
            <w:tcW w:w="531" w:type="pct"/>
            <w:tcBorders>
              <w:left w:val="nil"/>
              <w:bottom w:val="nil"/>
            </w:tcBorders>
          </w:tcPr>
          <w:p w14:paraId="22E270F9" w14:textId="198704B5" w:rsidR="00445168" w:rsidRPr="004C78D8" w:rsidRDefault="00445168" w:rsidP="00FB7C1F">
            <w:pPr>
              <w:jc w:val="left"/>
              <w:rPr>
                <w:sz w:val="20"/>
                <w:szCs w:val="20"/>
              </w:rPr>
            </w:pPr>
          </w:p>
        </w:tc>
      </w:tr>
      <w:tr w:rsidR="00445168" w:rsidRPr="004C78D8" w14:paraId="7634E108" w14:textId="77777777" w:rsidTr="00E35893">
        <w:tc>
          <w:tcPr>
            <w:tcW w:w="458" w:type="pct"/>
            <w:vMerge/>
          </w:tcPr>
          <w:p w14:paraId="713B862A" w14:textId="77777777" w:rsidR="00445168" w:rsidRPr="004C78D8" w:rsidRDefault="00445168" w:rsidP="00FB7C1F">
            <w:pPr>
              <w:jc w:val="left"/>
              <w:rPr>
                <w:sz w:val="18"/>
                <w:szCs w:val="18"/>
              </w:rPr>
            </w:pPr>
          </w:p>
        </w:tc>
        <w:tc>
          <w:tcPr>
            <w:tcW w:w="613" w:type="pct"/>
            <w:vMerge/>
          </w:tcPr>
          <w:p w14:paraId="1396F2B8" w14:textId="77777777" w:rsidR="00445168" w:rsidRPr="004C78D8" w:rsidRDefault="00445168" w:rsidP="00FB7C1F">
            <w:pPr>
              <w:jc w:val="left"/>
              <w:rPr>
                <w:sz w:val="20"/>
                <w:szCs w:val="20"/>
              </w:rPr>
            </w:pPr>
          </w:p>
        </w:tc>
        <w:tc>
          <w:tcPr>
            <w:tcW w:w="813" w:type="pct"/>
          </w:tcPr>
          <w:p w14:paraId="20EA4141" w14:textId="276A30EA" w:rsidR="00445168" w:rsidRPr="004C78D8" w:rsidRDefault="001D5170" w:rsidP="00FB7C1F">
            <w:pPr>
              <w:jc w:val="left"/>
              <w:rPr>
                <w:sz w:val="20"/>
                <w:szCs w:val="20"/>
              </w:rPr>
            </w:pPr>
            <w:r w:rsidRPr="004C78D8">
              <w:rPr>
                <w:sz w:val="20"/>
                <w:szCs w:val="20"/>
              </w:rPr>
              <w:t>Cognitively impaired</w:t>
            </w:r>
          </w:p>
        </w:tc>
        <w:tc>
          <w:tcPr>
            <w:tcW w:w="1874" w:type="pct"/>
          </w:tcPr>
          <w:p w14:paraId="55D62E3B" w14:textId="111D1C83" w:rsidR="00445168" w:rsidRPr="004C78D8" w:rsidRDefault="00445168" w:rsidP="00FB7C1F">
            <w:pPr>
              <w:pStyle w:val="ListParagraph"/>
              <w:numPr>
                <w:ilvl w:val="0"/>
                <w:numId w:val="4"/>
              </w:numPr>
              <w:ind w:left="180" w:hanging="219"/>
              <w:jc w:val="left"/>
              <w:rPr>
                <w:sz w:val="20"/>
                <w:szCs w:val="20"/>
              </w:rPr>
            </w:pPr>
            <w:r w:rsidRPr="004C78D8">
              <w:rPr>
                <w:sz w:val="20"/>
                <w:szCs w:val="20"/>
              </w:rPr>
              <w:t>Exercise should have supervision and appropriate intensity</w:t>
            </w:r>
          </w:p>
        </w:tc>
        <w:tc>
          <w:tcPr>
            <w:tcW w:w="711" w:type="pct"/>
            <w:tcBorders>
              <w:top w:val="nil"/>
              <w:bottom w:val="nil"/>
              <w:right w:val="nil"/>
            </w:tcBorders>
          </w:tcPr>
          <w:p w14:paraId="14B8828D" w14:textId="16F632E8" w:rsidR="00445168" w:rsidRPr="004C78D8" w:rsidRDefault="00445168" w:rsidP="00FB7C1F">
            <w:pPr>
              <w:jc w:val="left"/>
              <w:rPr>
                <w:sz w:val="20"/>
                <w:szCs w:val="20"/>
              </w:rPr>
            </w:pPr>
          </w:p>
        </w:tc>
        <w:tc>
          <w:tcPr>
            <w:tcW w:w="531" w:type="pct"/>
            <w:tcBorders>
              <w:top w:val="nil"/>
              <w:left w:val="nil"/>
              <w:bottom w:val="nil"/>
            </w:tcBorders>
          </w:tcPr>
          <w:p w14:paraId="05750B08" w14:textId="6BCC6007" w:rsidR="00445168" w:rsidRPr="004C78D8" w:rsidRDefault="00445168" w:rsidP="00FB7C1F">
            <w:pPr>
              <w:jc w:val="left"/>
              <w:rPr>
                <w:sz w:val="20"/>
                <w:szCs w:val="20"/>
              </w:rPr>
            </w:pPr>
          </w:p>
        </w:tc>
      </w:tr>
      <w:tr w:rsidR="00445168" w:rsidRPr="004C78D8" w14:paraId="2CA1A216" w14:textId="77777777" w:rsidTr="00E35893">
        <w:tc>
          <w:tcPr>
            <w:tcW w:w="458" w:type="pct"/>
            <w:vMerge/>
          </w:tcPr>
          <w:p w14:paraId="627B5ADD" w14:textId="77777777" w:rsidR="00445168" w:rsidRPr="004C78D8" w:rsidRDefault="00445168" w:rsidP="00FB7C1F">
            <w:pPr>
              <w:jc w:val="left"/>
              <w:rPr>
                <w:sz w:val="18"/>
                <w:szCs w:val="18"/>
              </w:rPr>
            </w:pPr>
          </w:p>
        </w:tc>
        <w:tc>
          <w:tcPr>
            <w:tcW w:w="613" w:type="pct"/>
            <w:vMerge/>
            <w:tcBorders>
              <w:bottom w:val="single" w:sz="4" w:space="0" w:color="auto"/>
            </w:tcBorders>
          </w:tcPr>
          <w:p w14:paraId="3159C8FF" w14:textId="77777777" w:rsidR="00445168" w:rsidRPr="004C78D8" w:rsidRDefault="00445168" w:rsidP="00FB7C1F">
            <w:pPr>
              <w:jc w:val="left"/>
              <w:rPr>
                <w:sz w:val="20"/>
                <w:szCs w:val="20"/>
              </w:rPr>
            </w:pPr>
          </w:p>
        </w:tc>
        <w:tc>
          <w:tcPr>
            <w:tcW w:w="813" w:type="pct"/>
          </w:tcPr>
          <w:p w14:paraId="5C80AA03" w14:textId="621912FF" w:rsidR="00445168" w:rsidRPr="004C78D8" w:rsidRDefault="00445168" w:rsidP="00FB7C1F">
            <w:pPr>
              <w:jc w:val="left"/>
              <w:rPr>
                <w:sz w:val="20"/>
                <w:szCs w:val="20"/>
              </w:rPr>
            </w:pPr>
            <w:r w:rsidRPr="004C78D8">
              <w:rPr>
                <w:sz w:val="20"/>
                <w:szCs w:val="20"/>
              </w:rPr>
              <w:t>With intervention history</w:t>
            </w:r>
          </w:p>
        </w:tc>
        <w:tc>
          <w:tcPr>
            <w:tcW w:w="1874" w:type="pct"/>
          </w:tcPr>
          <w:p w14:paraId="4F072AF4" w14:textId="76FAACFB" w:rsidR="00445168" w:rsidRPr="004C78D8" w:rsidRDefault="00445168" w:rsidP="00FB7C1F">
            <w:pPr>
              <w:pStyle w:val="ListParagraph"/>
              <w:numPr>
                <w:ilvl w:val="0"/>
                <w:numId w:val="4"/>
              </w:numPr>
              <w:ind w:left="180" w:hanging="219"/>
              <w:jc w:val="left"/>
              <w:rPr>
                <w:sz w:val="20"/>
                <w:szCs w:val="20"/>
              </w:rPr>
            </w:pPr>
            <w:r w:rsidRPr="004C78D8">
              <w:rPr>
                <w:sz w:val="20"/>
                <w:szCs w:val="20"/>
              </w:rPr>
              <w:t>Encourage sustained participation</w:t>
            </w:r>
          </w:p>
        </w:tc>
        <w:tc>
          <w:tcPr>
            <w:tcW w:w="711" w:type="pct"/>
            <w:tcBorders>
              <w:top w:val="nil"/>
              <w:right w:val="nil"/>
            </w:tcBorders>
          </w:tcPr>
          <w:p w14:paraId="6107A1C3" w14:textId="7E0BBB9B" w:rsidR="00445168" w:rsidRPr="004C78D8" w:rsidRDefault="00445168" w:rsidP="00FB7C1F">
            <w:pPr>
              <w:jc w:val="left"/>
              <w:rPr>
                <w:sz w:val="20"/>
                <w:szCs w:val="20"/>
              </w:rPr>
            </w:pPr>
          </w:p>
        </w:tc>
        <w:tc>
          <w:tcPr>
            <w:tcW w:w="531" w:type="pct"/>
            <w:tcBorders>
              <w:top w:val="nil"/>
              <w:left w:val="nil"/>
            </w:tcBorders>
          </w:tcPr>
          <w:p w14:paraId="7CD5AED8" w14:textId="1A8CE94D" w:rsidR="00445168" w:rsidRPr="004C78D8" w:rsidRDefault="00445168" w:rsidP="00FB7C1F">
            <w:pPr>
              <w:jc w:val="left"/>
              <w:rPr>
                <w:sz w:val="20"/>
                <w:szCs w:val="20"/>
              </w:rPr>
            </w:pPr>
          </w:p>
        </w:tc>
      </w:tr>
      <w:tr w:rsidR="00445168" w:rsidRPr="004C78D8" w14:paraId="08F5A24B" w14:textId="77777777" w:rsidTr="00E35893">
        <w:tc>
          <w:tcPr>
            <w:tcW w:w="458" w:type="pct"/>
            <w:vMerge/>
          </w:tcPr>
          <w:p w14:paraId="631615A6" w14:textId="77777777" w:rsidR="00445168" w:rsidRPr="004C78D8" w:rsidRDefault="00445168" w:rsidP="00FB7C1F">
            <w:pPr>
              <w:jc w:val="left"/>
              <w:rPr>
                <w:sz w:val="18"/>
                <w:szCs w:val="18"/>
              </w:rPr>
            </w:pPr>
          </w:p>
        </w:tc>
        <w:tc>
          <w:tcPr>
            <w:tcW w:w="613" w:type="pct"/>
            <w:vMerge w:val="restart"/>
            <w:shd w:val="clear" w:color="auto" w:fill="F2F2F2" w:themeFill="background1" w:themeFillShade="F2"/>
          </w:tcPr>
          <w:p w14:paraId="61495A51" w14:textId="2AF9C506" w:rsidR="00445168" w:rsidRPr="004C78D8" w:rsidRDefault="00445168" w:rsidP="00FB7C1F">
            <w:pPr>
              <w:jc w:val="left"/>
              <w:rPr>
                <w:i/>
                <w:iCs/>
                <w:sz w:val="20"/>
                <w:szCs w:val="20"/>
              </w:rPr>
            </w:pPr>
            <w:r w:rsidRPr="004C78D8">
              <w:rPr>
                <w:i/>
                <w:iCs/>
                <w:sz w:val="20"/>
                <w:szCs w:val="20"/>
              </w:rPr>
              <w:t>Model recommended care scenario</w:t>
            </w:r>
          </w:p>
        </w:tc>
        <w:tc>
          <w:tcPr>
            <w:tcW w:w="813" w:type="pct"/>
            <w:shd w:val="clear" w:color="auto" w:fill="F2F2F2" w:themeFill="background1" w:themeFillShade="F2"/>
          </w:tcPr>
          <w:p w14:paraId="561ACD89" w14:textId="4425A027" w:rsidR="00445168" w:rsidRPr="004C78D8" w:rsidRDefault="00445168" w:rsidP="00FB7C1F">
            <w:pPr>
              <w:jc w:val="left"/>
              <w:rPr>
                <w:sz w:val="20"/>
                <w:szCs w:val="20"/>
              </w:rPr>
            </w:pPr>
            <w:r w:rsidRPr="004C78D8">
              <w:rPr>
                <w:sz w:val="20"/>
                <w:szCs w:val="20"/>
              </w:rPr>
              <w:t xml:space="preserve">Persons not receiving reactive or proactive intervention </w:t>
            </w:r>
          </w:p>
        </w:tc>
        <w:tc>
          <w:tcPr>
            <w:tcW w:w="1874" w:type="pct"/>
            <w:shd w:val="clear" w:color="auto" w:fill="F2F2F2" w:themeFill="background1" w:themeFillShade="F2"/>
          </w:tcPr>
          <w:p w14:paraId="3CF12DD3" w14:textId="185DA30D" w:rsidR="00445168" w:rsidRPr="004C78D8" w:rsidRDefault="00445168" w:rsidP="00FB7C1F">
            <w:pPr>
              <w:pStyle w:val="ListParagraph"/>
              <w:numPr>
                <w:ilvl w:val="0"/>
                <w:numId w:val="4"/>
              </w:numPr>
              <w:ind w:left="180" w:hanging="219"/>
              <w:jc w:val="left"/>
              <w:rPr>
                <w:sz w:val="20"/>
                <w:szCs w:val="20"/>
              </w:rPr>
            </w:pPr>
            <w:r w:rsidRPr="004C78D8">
              <w:rPr>
                <w:sz w:val="20"/>
                <w:szCs w:val="20"/>
              </w:rPr>
              <w:t>Strength and balance group exercise</w:t>
            </w:r>
            <w:r w:rsidRPr="004C78D8">
              <w:rPr>
                <w:sz w:val="20"/>
                <w:szCs w:val="20"/>
                <w:vertAlign w:val="superscript"/>
              </w:rPr>
              <w:t>5</w:t>
            </w:r>
          </w:p>
          <w:p w14:paraId="5D4BE120" w14:textId="0B77D9E3" w:rsidR="00445168" w:rsidRPr="004C78D8" w:rsidRDefault="00445168" w:rsidP="00FB7C1F">
            <w:pPr>
              <w:pStyle w:val="ListParagraph"/>
              <w:numPr>
                <w:ilvl w:val="0"/>
                <w:numId w:val="4"/>
              </w:numPr>
              <w:ind w:left="180" w:hanging="219"/>
              <w:jc w:val="left"/>
              <w:rPr>
                <w:sz w:val="20"/>
                <w:szCs w:val="20"/>
              </w:rPr>
            </w:pPr>
            <w:r w:rsidRPr="004C78D8">
              <w:rPr>
                <w:sz w:val="20"/>
                <w:szCs w:val="20"/>
              </w:rPr>
              <w:t>Increased likelihood of achieving physical activity target for group exercise participants</w:t>
            </w:r>
          </w:p>
        </w:tc>
        <w:tc>
          <w:tcPr>
            <w:tcW w:w="711" w:type="pct"/>
            <w:shd w:val="clear" w:color="auto" w:fill="F2F2F2" w:themeFill="background1" w:themeFillShade="F2"/>
          </w:tcPr>
          <w:p w14:paraId="43087918" w14:textId="7BCFC03B" w:rsidR="00445168" w:rsidRPr="004C78D8" w:rsidRDefault="00445168" w:rsidP="00FB7C1F">
            <w:pPr>
              <w:jc w:val="left"/>
              <w:rPr>
                <w:sz w:val="20"/>
                <w:szCs w:val="20"/>
              </w:rPr>
            </w:pPr>
            <w:r w:rsidRPr="004C78D8">
              <w:rPr>
                <w:sz w:val="20"/>
                <w:szCs w:val="20"/>
              </w:rPr>
              <w:t>Access pending demand</w:t>
            </w:r>
            <w:r w:rsidRPr="004C78D8">
              <w:rPr>
                <w:sz w:val="20"/>
                <w:szCs w:val="20"/>
                <w:vertAlign w:val="superscript"/>
              </w:rPr>
              <w:t>6</w:t>
            </w:r>
          </w:p>
        </w:tc>
        <w:tc>
          <w:tcPr>
            <w:tcW w:w="531" w:type="pct"/>
            <w:shd w:val="clear" w:color="auto" w:fill="F2F2F2" w:themeFill="background1" w:themeFillShade="F2"/>
          </w:tcPr>
          <w:p w14:paraId="371A59D9" w14:textId="4FF59ED9" w:rsidR="00445168" w:rsidRPr="004C78D8" w:rsidRDefault="00445168" w:rsidP="00FB7C1F">
            <w:pPr>
              <w:jc w:val="left"/>
              <w:rPr>
                <w:sz w:val="20"/>
                <w:szCs w:val="20"/>
              </w:rPr>
            </w:pPr>
            <w:r w:rsidRPr="004C78D8">
              <w:rPr>
                <w:sz w:val="20"/>
                <w:szCs w:val="20"/>
              </w:rPr>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rPr>
                <w:sz w:val="20"/>
                <w:szCs w:val="20"/>
              </w:rPr>
              <w:instrText xml:space="preserve"> ADDIN EN.CITE </w:instrText>
            </w:r>
            <w:r w:rsidR="00513646" w:rsidRPr="004C78D8">
              <w:rPr>
                <w:sz w:val="20"/>
                <w:szCs w:val="20"/>
              </w:rPr>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rPr>
                <w:sz w:val="20"/>
                <w:szCs w:val="20"/>
              </w:rPr>
              <w:instrText xml:space="preserve"> ADDIN EN.CITE.DATA </w:instrText>
            </w:r>
            <w:r w:rsidR="00513646" w:rsidRPr="004C78D8">
              <w:rPr>
                <w:sz w:val="20"/>
                <w:szCs w:val="20"/>
              </w:rPr>
            </w:r>
            <w:r w:rsidR="00513646" w:rsidRPr="004C78D8">
              <w:rPr>
                <w:sz w:val="20"/>
                <w:szCs w:val="20"/>
              </w:rPr>
              <w:fldChar w:fldCharType="end"/>
            </w:r>
            <w:r w:rsidRPr="004C78D8">
              <w:rPr>
                <w:sz w:val="20"/>
                <w:szCs w:val="20"/>
              </w:rPr>
            </w:r>
            <w:r w:rsidRPr="004C78D8">
              <w:rPr>
                <w:sz w:val="20"/>
                <w:szCs w:val="20"/>
              </w:rPr>
              <w:fldChar w:fldCharType="separate"/>
            </w:r>
            <w:r w:rsidR="00513646" w:rsidRPr="004C78D8">
              <w:rPr>
                <w:noProof/>
                <w:sz w:val="20"/>
                <w:szCs w:val="20"/>
              </w:rPr>
              <w:t>[135]</w:t>
            </w:r>
            <w:r w:rsidRPr="004C78D8">
              <w:rPr>
                <w:sz w:val="20"/>
                <w:szCs w:val="20"/>
              </w:rPr>
              <w:fldChar w:fldCharType="end"/>
            </w:r>
            <w:r w:rsidRPr="004C78D8">
              <w:rPr>
                <w:sz w:val="20"/>
                <w:szCs w:val="20"/>
              </w:rPr>
              <w:t xml:space="preserve">; </w:t>
            </w:r>
            <w:r w:rsidRPr="004C78D8">
              <w:rPr>
                <w:sz w:val="20"/>
                <w:szCs w:val="20"/>
              </w:rPr>
              <w:fldChar w:fldCharType="begin"/>
            </w:r>
            <w:r w:rsidR="00513646" w:rsidRPr="004C78D8">
              <w:rPr>
                <w:sz w:val="20"/>
                <w:szCs w:val="20"/>
              </w:rPr>
              <w:instrText xml:space="preserve"> ADDIN EN.CITE &lt;EndNote&gt;&lt;Cite&gt;&lt;Author&gt;Skelton&lt;/Author&gt;&lt;Year&gt;2005&lt;/Year&gt;&lt;RecNum&gt;481&lt;/RecNum&gt;&lt;DisplayText&gt;[136]&lt;/DisplayText&gt;&lt;record&gt;&lt;rec-number&gt;481&lt;/rec-number&gt;&lt;foreign-keys&gt;&lt;key app="EN" db-id="tdtrdw9aepptzbefsat599syza29sxsd2wsp" timestamp="1616578116"&gt;481&lt;/key&gt;&lt;/foreign-keys&gt;&lt;ref-type name="Journal Article"&gt;17&lt;/ref-type&gt;&lt;contributors&gt;&lt;authors&gt;&lt;author&gt;Skelton, Dawn&lt;/author&gt;&lt;author&gt;Dinan, Susie&lt;/author&gt;&lt;author&gt;Campbell, Malcolm&lt;/author&gt;&lt;author&gt;Rutherford, Olga&lt;/author&gt;&lt;/authors&gt;&lt;/contributors&gt;&lt;titles&gt;&lt;title&gt;Tailored group exercise (Falls Management Exercise—FaME) reduces falls in community-dwelling older frequent fallers (an RCT)&lt;/title&gt;&lt;secondary-title&gt;Age and ageing&lt;/secondary-title&gt;&lt;/titles&gt;&lt;periodical&gt;&lt;full-title&gt;Age and ageing&lt;/full-title&gt;&lt;/periodical&gt;&lt;pages&gt;636-639&lt;/pages&gt;&lt;volume&gt;34&lt;/volume&gt;&lt;number&gt;6&lt;/number&gt;&lt;dates&gt;&lt;year&gt;2005&lt;/year&gt;&lt;/dates&gt;&lt;isbn&gt;1468-2834&lt;/isbn&gt;&lt;urls&gt;&lt;/urls&gt;&lt;/record&gt;&lt;/Cite&gt;&lt;/EndNote&gt;</w:instrText>
            </w:r>
            <w:r w:rsidRPr="004C78D8">
              <w:rPr>
                <w:sz w:val="20"/>
                <w:szCs w:val="20"/>
              </w:rPr>
              <w:fldChar w:fldCharType="separate"/>
            </w:r>
            <w:r w:rsidR="00513646" w:rsidRPr="004C78D8">
              <w:rPr>
                <w:noProof/>
                <w:sz w:val="20"/>
                <w:szCs w:val="20"/>
              </w:rPr>
              <w:t>[136]</w:t>
            </w:r>
            <w:r w:rsidRPr="004C78D8">
              <w:rPr>
                <w:sz w:val="20"/>
                <w:szCs w:val="20"/>
              </w:rPr>
              <w:fldChar w:fldCharType="end"/>
            </w:r>
          </w:p>
        </w:tc>
      </w:tr>
      <w:tr w:rsidR="00EA011F" w:rsidRPr="004C78D8" w14:paraId="51D90900" w14:textId="77777777" w:rsidTr="00E35893">
        <w:tc>
          <w:tcPr>
            <w:tcW w:w="458" w:type="pct"/>
            <w:vMerge/>
          </w:tcPr>
          <w:p w14:paraId="33C1341D" w14:textId="77777777" w:rsidR="00EA011F" w:rsidRPr="004C78D8" w:rsidRDefault="00EA011F" w:rsidP="00FB7C1F">
            <w:pPr>
              <w:jc w:val="left"/>
              <w:rPr>
                <w:sz w:val="18"/>
                <w:szCs w:val="18"/>
              </w:rPr>
            </w:pPr>
          </w:p>
        </w:tc>
        <w:tc>
          <w:tcPr>
            <w:tcW w:w="613" w:type="pct"/>
            <w:vMerge/>
            <w:shd w:val="clear" w:color="auto" w:fill="F2F2F2" w:themeFill="background1" w:themeFillShade="F2"/>
          </w:tcPr>
          <w:p w14:paraId="15F9157A" w14:textId="77777777" w:rsidR="00EA011F" w:rsidRPr="004C78D8" w:rsidRDefault="00EA011F" w:rsidP="00FB7C1F">
            <w:pPr>
              <w:jc w:val="left"/>
              <w:rPr>
                <w:i/>
                <w:iCs/>
                <w:sz w:val="20"/>
                <w:szCs w:val="20"/>
              </w:rPr>
            </w:pPr>
          </w:p>
        </w:tc>
        <w:tc>
          <w:tcPr>
            <w:tcW w:w="813" w:type="pct"/>
            <w:shd w:val="clear" w:color="auto" w:fill="F2F2F2" w:themeFill="background1" w:themeFillShade="F2"/>
          </w:tcPr>
          <w:p w14:paraId="0FB9B41A" w14:textId="5D6098FD" w:rsidR="00EA011F" w:rsidRPr="004C78D8" w:rsidRDefault="00EA011F" w:rsidP="00FB7C1F">
            <w:pPr>
              <w:jc w:val="left"/>
              <w:rPr>
                <w:sz w:val="20"/>
                <w:szCs w:val="20"/>
              </w:rPr>
            </w:pPr>
            <w:r w:rsidRPr="004C78D8">
              <w:rPr>
                <w:sz w:val="20"/>
                <w:szCs w:val="20"/>
              </w:rPr>
              <w:t>C</w:t>
            </w:r>
            <w:r w:rsidR="001D5170" w:rsidRPr="004C78D8">
              <w:rPr>
                <w:sz w:val="20"/>
                <w:szCs w:val="20"/>
              </w:rPr>
              <w:t>ognitively impaired</w:t>
            </w:r>
          </w:p>
        </w:tc>
        <w:tc>
          <w:tcPr>
            <w:tcW w:w="1874" w:type="pct"/>
            <w:shd w:val="clear" w:color="auto" w:fill="F2F2F2" w:themeFill="background1" w:themeFillShade="F2"/>
          </w:tcPr>
          <w:p w14:paraId="623F078F" w14:textId="3EFB9D70" w:rsidR="00EA011F" w:rsidRPr="004C78D8" w:rsidRDefault="00EA011F" w:rsidP="00FB7C1F">
            <w:pPr>
              <w:pStyle w:val="ListParagraph"/>
              <w:numPr>
                <w:ilvl w:val="0"/>
                <w:numId w:val="4"/>
              </w:numPr>
              <w:ind w:left="180" w:hanging="219"/>
              <w:jc w:val="left"/>
              <w:rPr>
                <w:sz w:val="20"/>
                <w:szCs w:val="20"/>
              </w:rPr>
            </w:pPr>
            <w:r w:rsidRPr="004C78D8">
              <w:rPr>
                <w:sz w:val="20"/>
                <w:szCs w:val="20"/>
              </w:rPr>
              <w:t>Balance group exercise (efficacy from Tai Chi)</w:t>
            </w:r>
          </w:p>
        </w:tc>
        <w:tc>
          <w:tcPr>
            <w:tcW w:w="711" w:type="pct"/>
            <w:shd w:val="clear" w:color="auto" w:fill="F2F2F2" w:themeFill="background1" w:themeFillShade="F2"/>
          </w:tcPr>
          <w:p w14:paraId="2711E90B" w14:textId="05FBE40E" w:rsidR="00EA011F" w:rsidRPr="004C78D8" w:rsidRDefault="00EA011F" w:rsidP="00FB7C1F">
            <w:pPr>
              <w:jc w:val="left"/>
              <w:rPr>
                <w:sz w:val="20"/>
                <w:szCs w:val="20"/>
              </w:rPr>
            </w:pPr>
            <w:r w:rsidRPr="004C78D8">
              <w:rPr>
                <w:sz w:val="20"/>
                <w:szCs w:val="20"/>
              </w:rPr>
              <w:t>Access pending demand</w:t>
            </w:r>
            <w:r w:rsidR="009E5A54" w:rsidRPr="004C78D8">
              <w:rPr>
                <w:sz w:val="20"/>
                <w:szCs w:val="20"/>
                <w:vertAlign w:val="superscript"/>
              </w:rPr>
              <w:t>6</w:t>
            </w:r>
          </w:p>
        </w:tc>
        <w:tc>
          <w:tcPr>
            <w:tcW w:w="531" w:type="pct"/>
            <w:shd w:val="clear" w:color="auto" w:fill="F2F2F2" w:themeFill="background1" w:themeFillShade="F2"/>
          </w:tcPr>
          <w:p w14:paraId="75261AA4" w14:textId="4F867B0E" w:rsidR="00EA011F" w:rsidRPr="004C78D8" w:rsidRDefault="00EA011F" w:rsidP="00FB7C1F">
            <w:pPr>
              <w:jc w:val="left"/>
              <w:rPr>
                <w:sz w:val="20"/>
                <w:szCs w:val="20"/>
              </w:rPr>
            </w:pPr>
            <w:r w:rsidRPr="004C78D8">
              <w:rPr>
                <w:sz w:val="20"/>
                <w:szCs w:val="20"/>
              </w:rPr>
              <w:fldChar w:fldCharType="begin"/>
            </w:r>
            <w:r w:rsidR="00C630FC" w:rsidRPr="004C78D8">
              <w:rPr>
                <w:sz w:val="20"/>
                <w:szCs w:val="20"/>
              </w:rPr>
              <w:instrText xml:space="preserve"> ADDIN EN.CITE &lt;EndNote&gt;&lt;Cite&gt;&lt;Author&gt;Nyman&lt;/Author&gt;&lt;Year&gt;2019&lt;/Year&gt;&lt;RecNum&gt;281&lt;/RecNum&gt;&lt;DisplayText&gt;[235]&lt;/DisplayText&gt;&lt;record&gt;&lt;rec-number&gt;281&lt;/rec-number&gt;&lt;foreign-keys&gt;&lt;key app="EN" db-id="tdtrdw9aepptzbefsat599syza29sxsd2wsp" timestamp="1611699160"&gt;281&lt;/key&gt;&lt;/foreign-keys&gt;&lt;ref-type name="Journal Article"&gt;17&lt;/ref-type&gt;&lt;contributors&gt;&lt;authors&gt;&lt;author&gt;Nyman, Samuel R&lt;/author&gt;&lt;author&gt;Ingram, Wendy&lt;/author&gt;&lt;author&gt;Sanders, Jeanette&lt;/author&gt;&lt;author&gt;Thomas, Peter W&lt;/author&gt;&lt;author&gt;Thomas, Sarah&lt;/author&gt;&lt;author&gt;Vassallo, Michael&lt;/author&gt;&lt;author&gt;Raftery, James&lt;/author&gt;&lt;author&gt;Bibi, Iram&lt;/author&gt;&lt;author&gt;Barrado-Martín, Yolanda&lt;/author&gt;&lt;/authors&gt;&lt;/contributors&gt;&lt;titles&gt;&lt;title&gt;Randomised controlled trial of the effect of Tai Chi on postural balance of people with dementia&lt;/title&gt;&lt;secondary-title&gt;Clinical interventions in aging&lt;/secondary-title&gt;&lt;/titles&gt;&lt;periodical&gt;&lt;full-title&gt;Clin Interv Aging&lt;/full-title&gt;&lt;abbr-1&gt;Clinical interventions in aging&lt;/abbr-1&gt;&lt;/periodical&gt;&lt;pages&gt;2017&lt;/pages&gt;&lt;volume&gt;14&lt;/volume&gt;&lt;dates&gt;&lt;year&gt;2019&lt;/year&gt;&lt;/dates&gt;&lt;urls&gt;&lt;/urls&gt;&lt;/record&gt;&lt;/Cite&gt;&lt;/EndNote&gt;</w:instrText>
            </w:r>
            <w:r w:rsidRPr="004C78D8">
              <w:rPr>
                <w:sz w:val="20"/>
                <w:szCs w:val="20"/>
              </w:rPr>
              <w:fldChar w:fldCharType="separate"/>
            </w:r>
            <w:r w:rsidR="00C630FC" w:rsidRPr="004C78D8">
              <w:rPr>
                <w:noProof/>
                <w:sz w:val="20"/>
                <w:szCs w:val="20"/>
              </w:rPr>
              <w:t>[235]</w:t>
            </w:r>
            <w:r w:rsidRPr="004C78D8">
              <w:rPr>
                <w:sz w:val="20"/>
                <w:szCs w:val="20"/>
              </w:rPr>
              <w:fldChar w:fldCharType="end"/>
            </w:r>
          </w:p>
        </w:tc>
      </w:tr>
      <w:tr w:rsidR="00EA011F" w:rsidRPr="004C78D8" w14:paraId="04FA2902" w14:textId="77777777" w:rsidTr="00E35893">
        <w:tc>
          <w:tcPr>
            <w:tcW w:w="458" w:type="pct"/>
            <w:vMerge/>
            <w:tcBorders>
              <w:bottom w:val="nil"/>
            </w:tcBorders>
          </w:tcPr>
          <w:p w14:paraId="4455485B" w14:textId="77777777" w:rsidR="00EA011F" w:rsidRPr="004C78D8" w:rsidRDefault="00EA011F" w:rsidP="00FB7C1F">
            <w:pPr>
              <w:jc w:val="left"/>
              <w:rPr>
                <w:sz w:val="18"/>
                <w:szCs w:val="18"/>
              </w:rPr>
            </w:pPr>
          </w:p>
        </w:tc>
        <w:tc>
          <w:tcPr>
            <w:tcW w:w="613" w:type="pct"/>
            <w:vMerge/>
            <w:tcBorders>
              <w:bottom w:val="single" w:sz="4" w:space="0" w:color="auto"/>
            </w:tcBorders>
            <w:shd w:val="clear" w:color="auto" w:fill="F2F2F2" w:themeFill="background1" w:themeFillShade="F2"/>
          </w:tcPr>
          <w:p w14:paraId="16C5A281" w14:textId="77777777" w:rsidR="00EA011F" w:rsidRPr="004C78D8" w:rsidRDefault="00EA011F" w:rsidP="00FB7C1F">
            <w:pPr>
              <w:jc w:val="left"/>
              <w:rPr>
                <w:sz w:val="20"/>
                <w:szCs w:val="20"/>
              </w:rPr>
            </w:pPr>
          </w:p>
        </w:tc>
        <w:tc>
          <w:tcPr>
            <w:tcW w:w="813" w:type="pct"/>
            <w:shd w:val="clear" w:color="auto" w:fill="F2F2F2" w:themeFill="background1" w:themeFillShade="F2"/>
          </w:tcPr>
          <w:p w14:paraId="36F7E15E" w14:textId="149C90F2" w:rsidR="00EA011F" w:rsidRPr="004C78D8" w:rsidRDefault="00EA011F" w:rsidP="00FB7C1F">
            <w:pPr>
              <w:jc w:val="left"/>
              <w:rPr>
                <w:sz w:val="20"/>
                <w:szCs w:val="20"/>
              </w:rPr>
            </w:pPr>
            <w:r w:rsidRPr="004C78D8">
              <w:rPr>
                <w:sz w:val="20"/>
                <w:szCs w:val="20"/>
              </w:rPr>
              <w:t>With intervention history</w:t>
            </w:r>
          </w:p>
        </w:tc>
        <w:tc>
          <w:tcPr>
            <w:tcW w:w="1874" w:type="pct"/>
            <w:shd w:val="clear" w:color="auto" w:fill="F2F2F2" w:themeFill="background1" w:themeFillShade="F2"/>
          </w:tcPr>
          <w:p w14:paraId="5E8D96F5" w14:textId="54283EE3" w:rsidR="00EA011F" w:rsidRPr="004C78D8" w:rsidRDefault="00EA011F" w:rsidP="00FB7C1F">
            <w:pPr>
              <w:pStyle w:val="ListParagraph"/>
              <w:numPr>
                <w:ilvl w:val="0"/>
                <w:numId w:val="4"/>
              </w:numPr>
              <w:ind w:left="180" w:hanging="219"/>
              <w:jc w:val="left"/>
              <w:rPr>
                <w:sz w:val="20"/>
                <w:szCs w:val="20"/>
              </w:rPr>
            </w:pPr>
            <w:r w:rsidRPr="004C78D8">
              <w:rPr>
                <w:sz w:val="20"/>
                <w:szCs w:val="20"/>
              </w:rPr>
              <w:t>Sustained participation pending demand</w:t>
            </w:r>
          </w:p>
        </w:tc>
        <w:tc>
          <w:tcPr>
            <w:tcW w:w="711" w:type="pct"/>
            <w:shd w:val="clear" w:color="auto" w:fill="F2F2F2" w:themeFill="background1" w:themeFillShade="F2"/>
          </w:tcPr>
          <w:p w14:paraId="78E51D9A" w14:textId="654F63BA" w:rsidR="00EA011F" w:rsidRPr="004C78D8" w:rsidRDefault="00EA011F" w:rsidP="00FB7C1F">
            <w:pPr>
              <w:jc w:val="left"/>
              <w:rPr>
                <w:sz w:val="20"/>
                <w:szCs w:val="20"/>
              </w:rPr>
            </w:pPr>
            <w:r w:rsidRPr="004C78D8">
              <w:rPr>
                <w:sz w:val="20"/>
                <w:szCs w:val="20"/>
              </w:rPr>
              <w:t>Access pending demand</w:t>
            </w:r>
            <w:r w:rsidR="009E5A54" w:rsidRPr="004C78D8">
              <w:rPr>
                <w:sz w:val="20"/>
                <w:szCs w:val="20"/>
                <w:vertAlign w:val="superscript"/>
              </w:rPr>
              <w:t>6</w:t>
            </w:r>
          </w:p>
        </w:tc>
        <w:tc>
          <w:tcPr>
            <w:tcW w:w="531" w:type="pct"/>
            <w:shd w:val="clear" w:color="auto" w:fill="F2F2F2" w:themeFill="background1" w:themeFillShade="F2"/>
          </w:tcPr>
          <w:p w14:paraId="08AD8CAB" w14:textId="434E3011" w:rsidR="00EA011F" w:rsidRPr="004C78D8" w:rsidRDefault="00EA011F" w:rsidP="00FB7C1F">
            <w:pPr>
              <w:jc w:val="left"/>
              <w:rPr>
                <w:sz w:val="20"/>
                <w:szCs w:val="20"/>
              </w:rPr>
            </w:pPr>
            <w:r w:rsidRPr="004C78D8">
              <w:rPr>
                <w:sz w:val="20"/>
                <w:szCs w:val="20"/>
              </w:rPr>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rPr>
                <w:sz w:val="20"/>
                <w:szCs w:val="20"/>
              </w:rPr>
              <w:instrText xml:space="preserve"> ADDIN EN.CITE </w:instrText>
            </w:r>
            <w:r w:rsidR="00513646" w:rsidRPr="004C78D8">
              <w:rPr>
                <w:sz w:val="20"/>
                <w:szCs w:val="20"/>
              </w:rPr>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rPr>
                <w:sz w:val="20"/>
                <w:szCs w:val="20"/>
              </w:rPr>
              <w:instrText xml:space="preserve"> ADDIN EN.CITE.DATA </w:instrText>
            </w:r>
            <w:r w:rsidR="00513646" w:rsidRPr="004C78D8">
              <w:rPr>
                <w:sz w:val="20"/>
                <w:szCs w:val="20"/>
              </w:rPr>
            </w:r>
            <w:r w:rsidR="00513646" w:rsidRPr="004C78D8">
              <w:rPr>
                <w:sz w:val="20"/>
                <w:szCs w:val="20"/>
              </w:rPr>
              <w:fldChar w:fldCharType="end"/>
            </w:r>
            <w:r w:rsidRPr="004C78D8">
              <w:rPr>
                <w:sz w:val="20"/>
                <w:szCs w:val="20"/>
              </w:rPr>
            </w:r>
            <w:r w:rsidRPr="004C78D8">
              <w:rPr>
                <w:sz w:val="20"/>
                <w:szCs w:val="20"/>
              </w:rPr>
              <w:fldChar w:fldCharType="separate"/>
            </w:r>
            <w:r w:rsidR="00513646" w:rsidRPr="004C78D8">
              <w:rPr>
                <w:noProof/>
                <w:sz w:val="20"/>
                <w:szCs w:val="20"/>
              </w:rPr>
              <w:t>[135]</w:t>
            </w:r>
            <w:r w:rsidRPr="004C78D8">
              <w:rPr>
                <w:sz w:val="20"/>
                <w:szCs w:val="20"/>
              </w:rPr>
              <w:fldChar w:fldCharType="end"/>
            </w:r>
            <w:r w:rsidRPr="004C78D8">
              <w:rPr>
                <w:sz w:val="20"/>
                <w:szCs w:val="20"/>
              </w:rPr>
              <w:t xml:space="preserve">; </w:t>
            </w:r>
            <w:r w:rsidRPr="004C78D8">
              <w:rPr>
                <w:sz w:val="20"/>
                <w:szCs w:val="20"/>
              </w:rPr>
              <w:fldChar w:fldCharType="begin"/>
            </w:r>
            <w:r w:rsidR="00513646" w:rsidRPr="004C78D8">
              <w:rPr>
                <w:sz w:val="20"/>
                <w:szCs w:val="20"/>
              </w:rPr>
              <w:instrText xml:space="preserve"> ADDIN EN.CITE &lt;EndNote&gt;&lt;Cite&gt;&lt;Author&gt;Skelton&lt;/Author&gt;&lt;Year&gt;2005&lt;/Year&gt;&lt;RecNum&gt;481&lt;/RecNum&gt;&lt;DisplayText&gt;[136]&lt;/DisplayText&gt;&lt;record&gt;&lt;rec-number&gt;481&lt;/rec-number&gt;&lt;foreign-keys&gt;&lt;key app="EN" db-id="tdtrdw9aepptzbefsat599syza29sxsd2wsp" timestamp="1616578116"&gt;481&lt;/key&gt;&lt;/foreign-keys&gt;&lt;ref-type name="Journal Article"&gt;17&lt;/ref-type&gt;&lt;contributors&gt;&lt;authors&gt;&lt;author&gt;Skelton, Dawn&lt;/author&gt;&lt;author&gt;Dinan, Susie&lt;/author&gt;&lt;author&gt;Campbell, Malcolm&lt;/author&gt;&lt;author&gt;Rutherford, Olga&lt;/author&gt;&lt;/authors&gt;&lt;/contributors&gt;&lt;titles&gt;&lt;title&gt;Tailored group exercise (Falls Management Exercise—FaME) reduces falls in community-dwelling older frequent fallers (an RCT)&lt;/title&gt;&lt;secondary-title&gt;Age and ageing&lt;/secondary-title&gt;&lt;/titles&gt;&lt;periodical&gt;&lt;full-title&gt;Age and ageing&lt;/full-title&gt;&lt;/periodical&gt;&lt;pages&gt;636-639&lt;/pages&gt;&lt;volume&gt;34&lt;/volume&gt;&lt;number&gt;6&lt;/number&gt;&lt;dates&gt;&lt;year&gt;2005&lt;/year&gt;&lt;/dates&gt;&lt;isbn&gt;1468-2834&lt;/isbn&gt;&lt;urls&gt;&lt;/urls&gt;&lt;/record&gt;&lt;/Cite&gt;&lt;/EndNote&gt;</w:instrText>
            </w:r>
            <w:r w:rsidRPr="004C78D8">
              <w:rPr>
                <w:sz w:val="20"/>
                <w:szCs w:val="20"/>
              </w:rPr>
              <w:fldChar w:fldCharType="separate"/>
            </w:r>
            <w:r w:rsidR="00513646" w:rsidRPr="004C78D8">
              <w:rPr>
                <w:noProof/>
                <w:sz w:val="20"/>
                <w:szCs w:val="20"/>
              </w:rPr>
              <w:t>[136]</w:t>
            </w:r>
            <w:r w:rsidRPr="004C78D8">
              <w:rPr>
                <w:sz w:val="20"/>
                <w:szCs w:val="20"/>
              </w:rPr>
              <w:fldChar w:fldCharType="end"/>
            </w:r>
            <w:r w:rsidRPr="004C78D8">
              <w:rPr>
                <w:sz w:val="20"/>
                <w:szCs w:val="20"/>
              </w:rPr>
              <w:t xml:space="preserve">; </w:t>
            </w:r>
            <w:r w:rsidRPr="004C78D8">
              <w:rPr>
                <w:sz w:val="20"/>
                <w:szCs w:val="20"/>
              </w:rPr>
              <w:fldChar w:fldCharType="begin"/>
            </w:r>
            <w:r w:rsidR="00C630FC" w:rsidRPr="004C78D8">
              <w:rPr>
                <w:sz w:val="20"/>
                <w:szCs w:val="20"/>
              </w:rPr>
              <w:instrText xml:space="preserve"> ADDIN EN.CITE &lt;EndNote&gt;&lt;Cite&gt;&lt;Author&gt;Nyman&lt;/Author&gt;&lt;Year&gt;2019&lt;/Year&gt;&lt;RecNum&gt;281&lt;/RecNum&gt;&lt;DisplayText&gt;[235]&lt;/DisplayText&gt;&lt;record&gt;&lt;rec-number&gt;281&lt;/rec-number&gt;&lt;foreign-keys&gt;&lt;key app="EN" db-id="tdtrdw9aepptzbefsat599syza29sxsd2wsp" timestamp="1611699160"&gt;281&lt;/key&gt;&lt;/foreign-keys&gt;&lt;ref-type name="Journal Article"&gt;17&lt;/ref-type&gt;&lt;contributors&gt;&lt;authors&gt;&lt;author&gt;Nyman, Samuel R&lt;/author&gt;&lt;author&gt;Ingram, Wendy&lt;/author&gt;&lt;author&gt;Sanders, Jeanette&lt;/author&gt;&lt;author&gt;Thomas, Peter W&lt;/author&gt;&lt;author&gt;Thomas, Sarah&lt;/author&gt;&lt;author&gt;Vassallo, Michael&lt;/author&gt;&lt;author&gt;Raftery, James&lt;/author&gt;&lt;author&gt;Bibi, Iram&lt;/author&gt;&lt;author&gt;Barrado-Martín, Yolanda&lt;/author&gt;&lt;/authors&gt;&lt;/contributors&gt;&lt;titles&gt;&lt;title&gt;Randomised controlled trial of the effect of Tai Chi on postural balance of people with dementia&lt;/title&gt;&lt;secondary-title&gt;Clinical interventions in aging&lt;/secondary-title&gt;&lt;/titles&gt;&lt;periodical&gt;&lt;full-title&gt;Clin Interv Aging&lt;/full-title&gt;&lt;abbr-1&gt;Clinical interventions in aging&lt;/abbr-1&gt;&lt;/periodical&gt;&lt;pages&gt;2017&lt;/pages&gt;&lt;volume&gt;14&lt;/volume&gt;&lt;dates&gt;&lt;year&gt;2019&lt;/year&gt;&lt;/dates&gt;&lt;urls&gt;&lt;/urls&gt;&lt;/record&gt;&lt;/Cite&gt;&lt;/EndNote&gt;</w:instrText>
            </w:r>
            <w:r w:rsidRPr="004C78D8">
              <w:rPr>
                <w:sz w:val="20"/>
                <w:szCs w:val="20"/>
              </w:rPr>
              <w:fldChar w:fldCharType="separate"/>
            </w:r>
            <w:r w:rsidR="00C630FC" w:rsidRPr="004C78D8">
              <w:rPr>
                <w:noProof/>
                <w:sz w:val="20"/>
                <w:szCs w:val="20"/>
              </w:rPr>
              <w:t>[235]</w:t>
            </w:r>
            <w:r w:rsidRPr="004C78D8">
              <w:rPr>
                <w:sz w:val="20"/>
                <w:szCs w:val="20"/>
              </w:rPr>
              <w:fldChar w:fldCharType="end"/>
            </w:r>
          </w:p>
        </w:tc>
      </w:tr>
      <w:tr w:rsidR="00EA011F" w:rsidRPr="004C78D8" w14:paraId="634C3D8F" w14:textId="77777777" w:rsidTr="00E35893">
        <w:tc>
          <w:tcPr>
            <w:tcW w:w="5000" w:type="pct"/>
            <w:gridSpan w:val="6"/>
          </w:tcPr>
          <w:p w14:paraId="18912A4E" w14:textId="2FE34BDD" w:rsidR="00D60F55" w:rsidRPr="004C78D8" w:rsidRDefault="00D10D5E" w:rsidP="00FB7C1F">
            <w:pPr>
              <w:jc w:val="left"/>
              <w:rPr>
                <w:sz w:val="18"/>
                <w:szCs w:val="18"/>
              </w:rPr>
            </w:pPr>
            <w:r w:rsidRPr="004C78D8">
              <w:rPr>
                <w:b/>
                <w:bCs/>
                <w:sz w:val="18"/>
                <w:szCs w:val="18"/>
              </w:rPr>
              <w:t>Abbreviation</w:t>
            </w:r>
            <w:r w:rsidR="00D60F55" w:rsidRPr="004C78D8">
              <w:rPr>
                <w:b/>
                <w:bCs/>
                <w:sz w:val="18"/>
                <w:szCs w:val="18"/>
              </w:rPr>
              <w:t>:</w:t>
            </w:r>
            <w:r w:rsidR="00D60F55" w:rsidRPr="004C78D8">
              <w:rPr>
                <w:sz w:val="18"/>
                <w:szCs w:val="18"/>
              </w:rPr>
              <w:t xml:space="preserve"> CCG: Clinical Commissioning Group; FLS: Fracture Liaison Service; HAM: home assessment and modification; ICT: Integrated C</w:t>
            </w:r>
            <w:r w:rsidR="001D5170" w:rsidRPr="004C78D8">
              <w:rPr>
                <w:sz w:val="18"/>
                <w:szCs w:val="18"/>
              </w:rPr>
              <w:t>ommunity</w:t>
            </w:r>
            <w:r w:rsidR="00D60F55" w:rsidRPr="004C78D8">
              <w:rPr>
                <w:sz w:val="18"/>
                <w:szCs w:val="18"/>
              </w:rPr>
              <w:t xml:space="preserve"> Therapy; MA fall: fall requiring medical attention; PT: physiotherapy; SCC: Sheffield City Council; STH: Sheffield Teaching Hospitals</w:t>
            </w:r>
          </w:p>
          <w:p w14:paraId="0E3B24FC" w14:textId="15AB3E9A" w:rsidR="00EA011F" w:rsidRPr="004C78D8" w:rsidRDefault="00EA011F" w:rsidP="00FB7C1F">
            <w:pPr>
              <w:jc w:val="left"/>
              <w:rPr>
                <w:sz w:val="18"/>
                <w:szCs w:val="18"/>
              </w:rPr>
            </w:pPr>
            <w:r w:rsidRPr="004C78D8">
              <w:rPr>
                <w:sz w:val="18"/>
                <w:szCs w:val="18"/>
                <w:vertAlign w:val="superscript"/>
              </w:rPr>
              <w:t>1</w:t>
            </w:r>
            <w:r w:rsidRPr="004C78D8">
              <w:rPr>
                <w:sz w:val="18"/>
                <w:szCs w:val="18"/>
              </w:rPr>
              <w:t xml:space="preserve"> HAM for hospitali</w:t>
            </w:r>
            <w:r w:rsidR="005F7137" w:rsidRPr="004C78D8">
              <w:rPr>
                <w:sz w:val="18"/>
                <w:szCs w:val="18"/>
              </w:rPr>
              <w:t>s</w:t>
            </w:r>
            <w:r w:rsidRPr="004C78D8">
              <w:rPr>
                <w:sz w:val="18"/>
                <w:szCs w:val="18"/>
              </w:rPr>
              <w:t>ed fallers by SCC; multifactorial intervention by ICT team and Sheffield Falls Clinic; Tai Chi and PT by CCG FLS and STH; fall alarm service.</w:t>
            </w:r>
          </w:p>
          <w:p w14:paraId="46DC5F75" w14:textId="0BB5DE91" w:rsidR="00EA011F" w:rsidRPr="004C78D8" w:rsidRDefault="00EA011F" w:rsidP="00FB7C1F">
            <w:pPr>
              <w:jc w:val="left"/>
              <w:rPr>
                <w:sz w:val="18"/>
                <w:szCs w:val="18"/>
              </w:rPr>
            </w:pPr>
            <w:r w:rsidRPr="004C78D8">
              <w:rPr>
                <w:sz w:val="18"/>
                <w:szCs w:val="18"/>
                <w:vertAlign w:val="superscript"/>
              </w:rPr>
              <w:t>2</w:t>
            </w:r>
            <w:r w:rsidRPr="004C78D8">
              <w:rPr>
                <w:sz w:val="18"/>
                <w:szCs w:val="18"/>
              </w:rPr>
              <w:t xml:space="preserve"> See Table </w:t>
            </w:r>
            <w:r w:rsidR="00440095" w:rsidRPr="004C78D8">
              <w:rPr>
                <w:sz w:val="18"/>
                <w:szCs w:val="18"/>
              </w:rPr>
              <w:t>5</w:t>
            </w:r>
            <w:r w:rsidRPr="004C78D8">
              <w:rPr>
                <w:sz w:val="18"/>
                <w:szCs w:val="18"/>
              </w:rPr>
              <w:t>.2</w:t>
            </w:r>
            <w:r w:rsidR="00E61C64" w:rsidRPr="004C78D8">
              <w:rPr>
                <w:sz w:val="18"/>
                <w:szCs w:val="18"/>
              </w:rPr>
              <w:t>6</w:t>
            </w:r>
            <w:r w:rsidRPr="004C78D8">
              <w:rPr>
                <w:sz w:val="18"/>
                <w:szCs w:val="18"/>
              </w:rPr>
              <w:t xml:space="preserve"> for access conditions and rates.</w:t>
            </w:r>
          </w:p>
          <w:p w14:paraId="1A3B9DB4" w14:textId="5B280623" w:rsidR="00EA011F" w:rsidRPr="004C78D8" w:rsidRDefault="00EA011F" w:rsidP="00FB7C1F">
            <w:pPr>
              <w:jc w:val="left"/>
              <w:rPr>
                <w:sz w:val="18"/>
                <w:szCs w:val="18"/>
              </w:rPr>
            </w:pPr>
            <w:r w:rsidRPr="004C78D8">
              <w:rPr>
                <w:sz w:val="18"/>
                <w:szCs w:val="18"/>
                <w:vertAlign w:val="superscript"/>
              </w:rPr>
              <w:t>3</w:t>
            </w:r>
            <w:r w:rsidRPr="004C78D8">
              <w:rPr>
                <w:sz w:val="18"/>
                <w:szCs w:val="18"/>
              </w:rPr>
              <w:t xml:space="preserve"> See Table </w:t>
            </w:r>
            <w:r w:rsidR="00440095" w:rsidRPr="004C78D8">
              <w:rPr>
                <w:sz w:val="18"/>
                <w:szCs w:val="18"/>
              </w:rPr>
              <w:t>5</w:t>
            </w:r>
            <w:r w:rsidRPr="004C78D8">
              <w:rPr>
                <w:sz w:val="18"/>
                <w:szCs w:val="18"/>
              </w:rPr>
              <w:t>.2</w:t>
            </w:r>
            <w:r w:rsidR="00E61C64" w:rsidRPr="004C78D8">
              <w:rPr>
                <w:sz w:val="18"/>
                <w:szCs w:val="18"/>
              </w:rPr>
              <w:t>7</w:t>
            </w:r>
            <w:r w:rsidRPr="004C78D8">
              <w:rPr>
                <w:sz w:val="18"/>
                <w:szCs w:val="18"/>
              </w:rPr>
              <w:t xml:space="preserve"> for access conditions and rates.</w:t>
            </w:r>
          </w:p>
          <w:p w14:paraId="7D2CB47E" w14:textId="29806607" w:rsidR="00D77A89" w:rsidRPr="004C78D8" w:rsidRDefault="00D77A89" w:rsidP="00FB7C1F">
            <w:pPr>
              <w:jc w:val="left"/>
              <w:rPr>
                <w:sz w:val="18"/>
                <w:szCs w:val="18"/>
              </w:rPr>
            </w:pPr>
            <w:r w:rsidRPr="004C78D8">
              <w:rPr>
                <w:sz w:val="18"/>
                <w:szCs w:val="18"/>
                <w:vertAlign w:val="superscript"/>
              </w:rPr>
              <w:t>4</w:t>
            </w:r>
            <w:r w:rsidRPr="004C78D8">
              <w:rPr>
                <w:sz w:val="18"/>
                <w:szCs w:val="18"/>
              </w:rPr>
              <w:t xml:space="preserve"> The cap on the number of receipts </w:t>
            </w:r>
            <w:r w:rsidR="004A03DF" w:rsidRPr="004C78D8">
              <w:rPr>
                <w:sz w:val="18"/>
                <w:szCs w:val="18"/>
              </w:rPr>
              <w:t xml:space="preserve">(four in total; three re-receipts) </w:t>
            </w:r>
            <w:r w:rsidRPr="004C78D8">
              <w:rPr>
                <w:sz w:val="18"/>
                <w:szCs w:val="18"/>
              </w:rPr>
              <w:t xml:space="preserve">was necessary to keep the annual flow of clients constant at around 21,000; see Section </w:t>
            </w:r>
            <w:r w:rsidR="00440095" w:rsidRPr="004C78D8">
              <w:rPr>
                <w:sz w:val="18"/>
                <w:szCs w:val="18"/>
              </w:rPr>
              <w:t>5</w:t>
            </w:r>
            <w:r w:rsidRPr="004C78D8">
              <w:rPr>
                <w:sz w:val="18"/>
                <w:szCs w:val="18"/>
              </w:rPr>
              <w:t>.</w:t>
            </w:r>
            <w:r w:rsidR="00E61C64" w:rsidRPr="004C78D8">
              <w:rPr>
                <w:sz w:val="18"/>
                <w:szCs w:val="18"/>
              </w:rPr>
              <w:t>2</w:t>
            </w:r>
            <w:r w:rsidRPr="004C78D8">
              <w:rPr>
                <w:sz w:val="18"/>
                <w:szCs w:val="18"/>
              </w:rPr>
              <w:t>.4.3 for discussion.</w:t>
            </w:r>
            <w:r w:rsidR="0082052C" w:rsidRPr="004C78D8">
              <w:rPr>
                <w:sz w:val="18"/>
                <w:szCs w:val="18"/>
              </w:rPr>
              <w:t xml:space="preserve"> The cap does not affect cognitively impaired persons who are not referred to the falls clinic. </w:t>
            </w:r>
          </w:p>
          <w:p w14:paraId="0BF99AE5" w14:textId="1BD0E5B1" w:rsidR="00EA011F" w:rsidRPr="004C78D8" w:rsidRDefault="00D77A89" w:rsidP="00FB7C1F">
            <w:pPr>
              <w:jc w:val="left"/>
              <w:rPr>
                <w:sz w:val="18"/>
                <w:szCs w:val="18"/>
              </w:rPr>
            </w:pPr>
            <w:r w:rsidRPr="004C78D8">
              <w:rPr>
                <w:sz w:val="18"/>
                <w:szCs w:val="18"/>
                <w:vertAlign w:val="superscript"/>
              </w:rPr>
              <w:t>5</w:t>
            </w:r>
            <w:r w:rsidR="00EA011F" w:rsidRPr="004C78D8">
              <w:rPr>
                <w:sz w:val="18"/>
                <w:szCs w:val="18"/>
              </w:rPr>
              <w:t xml:space="preserve"> Individually tailored, supervised, progressive difficulty, 50+ hours (2+ hours/week)</w:t>
            </w:r>
          </w:p>
          <w:p w14:paraId="39D60A0C" w14:textId="3DD6D0F1" w:rsidR="00EA011F" w:rsidRPr="004C78D8" w:rsidRDefault="00D77A89" w:rsidP="00FB7C1F">
            <w:pPr>
              <w:jc w:val="left"/>
              <w:rPr>
                <w:sz w:val="18"/>
                <w:szCs w:val="18"/>
              </w:rPr>
            </w:pPr>
            <w:r w:rsidRPr="004C78D8">
              <w:rPr>
                <w:sz w:val="18"/>
                <w:szCs w:val="18"/>
                <w:vertAlign w:val="superscript"/>
              </w:rPr>
              <w:t>6</w:t>
            </w:r>
            <w:r w:rsidR="00EA011F" w:rsidRPr="004C78D8">
              <w:rPr>
                <w:sz w:val="18"/>
                <w:szCs w:val="18"/>
              </w:rPr>
              <w:t xml:space="preserve"> See Table </w:t>
            </w:r>
            <w:r w:rsidR="00440095" w:rsidRPr="004C78D8">
              <w:rPr>
                <w:sz w:val="18"/>
                <w:szCs w:val="18"/>
              </w:rPr>
              <w:t>5</w:t>
            </w:r>
            <w:r w:rsidR="00EA011F" w:rsidRPr="004C78D8">
              <w:rPr>
                <w:sz w:val="18"/>
                <w:szCs w:val="18"/>
              </w:rPr>
              <w:t>.2</w:t>
            </w:r>
            <w:r w:rsidR="00E61C64" w:rsidRPr="004C78D8">
              <w:rPr>
                <w:sz w:val="18"/>
                <w:szCs w:val="18"/>
              </w:rPr>
              <w:t>9</w:t>
            </w:r>
            <w:r w:rsidR="00EA011F" w:rsidRPr="004C78D8">
              <w:rPr>
                <w:sz w:val="18"/>
                <w:szCs w:val="18"/>
              </w:rPr>
              <w:t xml:space="preserve"> for access conditions and rates.</w:t>
            </w:r>
          </w:p>
        </w:tc>
      </w:tr>
    </w:tbl>
    <w:p w14:paraId="3245B0D1" w14:textId="77777777" w:rsidR="00344941" w:rsidRPr="004C78D8" w:rsidRDefault="00344941" w:rsidP="00FB7C1F">
      <w:pPr>
        <w:sectPr w:rsidR="00344941" w:rsidRPr="004C78D8" w:rsidSect="00344941">
          <w:pgSz w:w="16838" w:h="11906" w:orient="landscape"/>
          <w:pgMar w:top="1440" w:right="1440" w:bottom="1440" w:left="1440" w:header="708" w:footer="708" w:gutter="0"/>
          <w:cols w:space="708"/>
          <w:docGrid w:linePitch="360"/>
        </w:sectPr>
      </w:pPr>
    </w:p>
    <w:p w14:paraId="7F96215C" w14:textId="77777777" w:rsidR="000A36D0" w:rsidRPr="004C78D8" w:rsidRDefault="000A36D0" w:rsidP="00FB7C1F">
      <w:pPr>
        <w:pStyle w:val="Heading5"/>
      </w:pPr>
      <w:r w:rsidRPr="004C78D8">
        <w:t>Reactive pathway</w:t>
      </w:r>
    </w:p>
    <w:p w14:paraId="24F20A37" w14:textId="55B9DC1D" w:rsidR="000B4469" w:rsidRPr="004C78D8" w:rsidRDefault="00333955" w:rsidP="00FB7C1F">
      <w:r w:rsidRPr="004C78D8">
        <w:t>T</w:t>
      </w:r>
      <w:r w:rsidR="000A36D0" w:rsidRPr="004C78D8">
        <w:t xml:space="preserve">he current reactive pathway in Sheffield makes use of several interventions commissioned and delivered by different system actors, including </w:t>
      </w:r>
      <w:r w:rsidR="004E1C0A" w:rsidRPr="004C78D8">
        <w:t xml:space="preserve">HAM provided by </w:t>
      </w:r>
      <w:r w:rsidR="000B4469" w:rsidRPr="004C78D8">
        <w:t>SCC</w:t>
      </w:r>
      <w:r w:rsidR="004E1C0A" w:rsidRPr="004C78D8">
        <w:t xml:space="preserve"> and </w:t>
      </w:r>
      <w:r w:rsidR="000A36D0" w:rsidRPr="004C78D8">
        <w:t xml:space="preserve">multifactorial intervention by </w:t>
      </w:r>
      <w:r w:rsidR="000B4469" w:rsidRPr="004C78D8">
        <w:t xml:space="preserve">diverse </w:t>
      </w:r>
      <w:r w:rsidR="000A36D0" w:rsidRPr="004C78D8">
        <w:t>multidisciplinary teams</w:t>
      </w:r>
      <w:r w:rsidRPr="004C78D8">
        <w:t xml:space="preserve"> (Section 3.7.1.1)</w:t>
      </w:r>
      <w:r w:rsidR="009903B3" w:rsidRPr="004C78D8">
        <w:t xml:space="preserve">. </w:t>
      </w:r>
      <w:r w:rsidR="000B4469" w:rsidRPr="004C78D8">
        <w:t>But</w:t>
      </w:r>
      <w:r w:rsidR="00201B56" w:rsidRPr="004C78D8">
        <w:t xml:space="preserve"> the </w:t>
      </w:r>
      <w:r w:rsidR="000B4469" w:rsidRPr="004C78D8">
        <w:t>client flows for</w:t>
      </w:r>
      <w:r w:rsidR="00201B56" w:rsidRPr="004C78D8">
        <w:t xml:space="preserve"> multifactorial intervention appear to be </w:t>
      </w:r>
      <w:r w:rsidR="000B4469" w:rsidRPr="004C78D8">
        <w:t>low</w:t>
      </w:r>
      <w:r w:rsidR="00201B56" w:rsidRPr="004C78D8">
        <w:t xml:space="preserve">. </w:t>
      </w:r>
      <w:r w:rsidR="000B4469" w:rsidRPr="004C78D8">
        <w:t>Hence</w:t>
      </w:r>
      <w:r w:rsidR="000A36D0" w:rsidRPr="004C78D8">
        <w:t xml:space="preserve">, the </w:t>
      </w:r>
      <w:r w:rsidR="000B4469" w:rsidRPr="004C78D8">
        <w:t>UC</w:t>
      </w:r>
      <w:r w:rsidR="00934A94" w:rsidRPr="004C78D8">
        <w:t xml:space="preserve"> scenario </w:t>
      </w:r>
      <w:r w:rsidR="00201B56" w:rsidRPr="004C78D8">
        <w:t xml:space="preserve">makes a simplifying assumption that </w:t>
      </w:r>
      <w:r w:rsidR="000A36D0" w:rsidRPr="004C78D8">
        <w:t xml:space="preserve">the reactive pathway </w:t>
      </w:r>
      <w:r w:rsidR="00201B56" w:rsidRPr="004C78D8">
        <w:t xml:space="preserve">relies mainly on HAM provided by </w:t>
      </w:r>
      <w:r w:rsidR="000B4469" w:rsidRPr="004C78D8">
        <w:t>SCC</w:t>
      </w:r>
      <w:r w:rsidR="00201B56" w:rsidRPr="004C78D8">
        <w:t xml:space="preserve">. Eligibility does not depend on cognitive status or intervention history. </w:t>
      </w:r>
      <w:r w:rsidR="000B4469" w:rsidRPr="004C78D8">
        <w:t>Regarding the recommended practice</w:t>
      </w:r>
      <w:r w:rsidR="00201B56" w:rsidRPr="004C78D8">
        <w:t xml:space="preserve">, NICE </w:t>
      </w:r>
      <w:r w:rsidR="000B4469" w:rsidRPr="004C78D8">
        <w:t>CG161</w:t>
      </w:r>
      <w:r w:rsidR="00201B56" w:rsidRPr="004C78D8">
        <w:t xml:space="preserve"> </w:t>
      </w:r>
      <w:r w:rsidR="00043235" w:rsidRPr="004C78D8">
        <w:t>recommend</w:t>
      </w:r>
      <w:r w:rsidR="00201B56" w:rsidRPr="004C78D8">
        <w:t>s</w:t>
      </w:r>
      <w:r w:rsidR="00043235" w:rsidRPr="004C78D8">
        <w:t xml:space="preserve"> that all MA fallers receive a multifactorial intervention without any specific recommendation for cognitively impaired </w:t>
      </w:r>
      <w:r w:rsidR="00E854D6" w:rsidRPr="004C78D8">
        <w:t xml:space="preserve">and intervention history </w:t>
      </w:r>
      <w:r w:rsidR="00043235" w:rsidRPr="004C78D8">
        <w:t>subgroup</w:t>
      </w:r>
      <w:r w:rsidR="00E854D6" w:rsidRPr="004C78D8">
        <w:t>s</w:t>
      </w:r>
      <w:r w:rsidR="00201B56" w:rsidRPr="004C78D8">
        <w:t xml:space="preserve"> </w:t>
      </w:r>
      <w:r w:rsidR="00934A94" w:rsidRPr="004C78D8">
        <w:fldChar w:fldCharType="begin"/>
      </w:r>
      <w:r w:rsidR="00F255A9"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00934A94" w:rsidRPr="004C78D8">
        <w:fldChar w:fldCharType="separate"/>
      </w:r>
      <w:r w:rsidR="00F255A9" w:rsidRPr="004C78D8">
        <w:rPr>
          <w:noProof/>
        </w:rPr>
        <w:t>[13]</w:t>
      </w:r>
      <w:r w:rsidR="00934A94" w:rsidRPr="004C78D8">
        <w:fldChar w:fldCharType="end"/>
      </w:r>
      <w:r w:rsidR="00043235" w:rsidRPr="004C78D8">
        <w:t xml:space="preserve">. Therefore, the </w:t>
      </w:r>
      <w:r w:rsidR="000B4469" w:rsidRPr="004C78D8">
        <w:t>RC</w:t>
      </w:r>
      <w:r w:rsidR="00043235" w:rsidRPr="004C78D8">
        <w:t xml:space="preserve"> scenario </w:t>
      </w:r>
      <w:r w:rsidR="000B4469" w:rsidRPr="004C78D8">
        <w:t>provides</w:t>
      </w:r>
      <w:r w:rsidR="00E854D6" w:rsidRPr="004C78D8">
        <w:t xml:space="preserve"> </w:t>
      </w:r>
      <w:r w:rsidR="00043235" w:rsidRPr="004C78D8">
        <w:t xml:space="preserve">multifactorial intervention </w:t>
      </w:r>
      <w:r w:rsidR="0052688F" w:rsidRPr="004C78D8">
        <w:t>to</w:t>
      </w:r>
      <w:r w:rsidR="00043235" w:rsidRPr="004C78D8">
        <w:t xml:space="preserve"> </w:t>
      </w:r>
      <w:r w:rsidR="00E854D6" w:rsidRPr="004C78D8">
        <w:t>all</w:t>
      </w:r>
      <w:r w:rsidR="00043235" w:rsidRPr="004C78D8">
        <w:t xml:space="preserve"> MA fallers</w:t>
      </w:r>
      <w:r w:rsidR="00E854D6" w:rsidRPr="004C78D8">
        <w:t xml:space="preserve"> regardless of </w:t>
      </w:r>
      <w:r w:rsidR="0052688F" w:rsidRPr="004C78D8">
        <w:t xml:space="preserve">cognitive status and </w:t>
      </w:r>
      <w:r w:rsidR="00E854D6" w:rsidRPr="004C78D8">
        <w:t>intervention history</w:t>
      </w:r>
      <w:r w:rsidR="00043235" w:rsidRPr="004C78D8">
        <w:t>.</w:t>
      </w:r>
      <w:r w:rsidR="0052688F" w:rsidRPr="004C78D8">
        <w:t xml:space="preserve"> </w:t>
      </w:r>
    </w:p>
    <w:p w14:paraId="4ABB7EBB" w14:textId="6712619B" w:rsidR="00043235" w:rsidRPr="004C78D8" w:rsidRDefault="0052688F" w:rsidP="00FB7C1F">
      <w:r w:rsidRPr="004C78D8">
        <w:t>The level of access to reactive HAM under current practice is limited</w:t>
      </w:r>
      <w:r w:rsidR="00F422CE" w:rsidRPr="004C78D8">
        <w:t>,</w:t>
      </w:r>
      <w:r w:rsidRPr="004C78D8">
        <w:t xml:space="preserve"> with hospitali</w:t>
      </w:r>
      <w:r w:rsidR="000B4469" w:rsidRPr="004C78D8">
        <w:t>s</w:t>
      </w:r>
      <w:r w:rsidRPr="004C78D8">
        <w:t>ed fallers being prioriti</w:t>
      </w:r>
      <w:r w:rsidR="00934A94" w:rsidRPr="004C78D8">
        <w:t>s</w:t>
      </w:r>
      <w:r w:rsidRPr="004C78D8">
        <w:t>ed</w:t>
      </w:r>
      <w:r w:rsidR="000B4469" w:rsidRPr="004C78D8">
        <w:t xml:space="preserve"> by SCC</w:t>
      </w:r>
      <w:r w:rsidRPr="004C78D8">
        <w:t xml:space="preserve">. This limited access </w:t>
      </w:r>
      <w:r w:rsidR="000B4469" w:rsidRPr="004C78D8">
        <w:t xml:space="preserve">pattern </w:t>
      </w:r>
      <w:r w:rsidRPr="004C78D8">
        <w:t>is parameteri</w:t>
      </w:r>
      <w:r w:rsidR="00934A94" w:rsidRPr="004C78D8">
        <w:t>s</w:t>
      </w:r>
      <w:r w:rsidRPr="004C78D8">
        <w:t xml:space="preserve">ed for </w:t>
      </w:r>
      <w:r w:rsidR="000B4469" w:rsidRPr="004C78D8">
        <w:t>UC</w:t>
      </w:r>
      <w:r w:rsidRPr="004C78D8">
        <w:t xml:space="preserve"> using ELSA data in</w:t>
      </w:r>
      <w:r w:rsidR="00E854D6" w:rsidRPr="004C78D8">
        <w:t xml:space="preserve"> </w:t>
      </w:r>
      <w:r w:rsidR="00043235" w:rsidRPr="004C78D8">
        <w:t xml:space="preserve">Section </w:t>
      </w:r>
      <w:r w:rsidR="00440095" w:rsidRPr="004C78D8">
        <w:t>5</w:t>
      </w:r>
      <w:r w:rsidR="00043235" w:rsidRPr="004C78D8">
        <w:t>.</w:t>
      </w:r>
      <w:r w:rsidR="000977A6" w:rsidRPr="004C78D8">
        <w:t>2</w:t>
      </w:r>
      <w:r w:rsidR="00043235" w:rsidRPr="004C78D8">
        <w:t xml:space="preserve">.4.2. For </w:t>
      </w:r>
      <w:r w:rsidR="000B4469" w:rsidRPr="004C78D8">
        <w:t>RC</w:t>
      </w:r>
      <w:r w:rsidR="00043235" w:rsidRPr="004C78D8">
        <w:t>, the model characteri</w:t>
      </w:r>
      <w:r w:rsidR="00934A94" w:rsidRPr="004C78D8">
        <w:t>s</w:t>
      </w:r>
      <w:r w:rsidR="00043235" w:rsidRPr="004C78D8">
        <w:t>e</w:t>
      </w:r>
      <w:r w:rsidR="00E854D6" w:rsidRPr="004C78D8">
        <w:t>s</w:t>
      </w:r>
      <w:r w:rsidR="00043235" w:rsidRPr="004C78D8">
        <w:t xml:space="preserve"> </w:t>
      </w:r>
      <w:r w:rsidR="00E854D6" w:rsidRPr="004C78D8">
        <w:t xml:space="preserve">full </w:t>
      </w:r>
      <w:r w:rsidR="00DC51CD" w:rsidRPr="004C78D8">
        <w:t>supply-side coverage</w:t>
      </w:r>
      <w:r w:rsidR="00043235" w:rsidRPr="004C78D8">
        <w:t xml:space="preserve"> </w:t>
      </w:r>
      <w:r w:rsidR="003470F7" w:rsidRPr="004C78D8">
        <w:t>of CG161-recommended level of intervention provision</w:t>
      </w:r>
      <w:r w:rsidR="00934A94" w:rsidRPr="004C78D8">
        <w:t>;</w:t>
      </w:r>
      <w:r w:rsidR="00043235" w:rsidRPr="004C78D8">
        <w:t xml:space="preserve"> </w:t>
      </w:r>
      <w:r w:rsidR="00934A94" w:rsidRPr="004C78D8">
        <w:t xml:space="preserve">but </w:t>
      </w:r>
      <w:r w:rsidR="00DE0814" w:rsidRPr="004C78D8">
        <w:t xml:space="preserve">the access rate would </w:t>
      </w:r>
      <w:r w:rsidR="00043235" w:rsidRPr="004C78D8">
        <w:t xml:space="preserve">still depend on </w:t>
      </w:r>
      <w:r w:rsidR="003470F7" w:rsidRPr="004C78D8">
        <w:t xml:space="preserve">uptake </w:t>
      </w:r>
      <w:r w:rsidR="00043235" w:rsidRPr="004C78D8">
        <w:t>(i.e., ‘pending demand’</w:t>
      </w:r>
      <w:r w:rsidR="003470F7" w:rsidRPr="004C78D8">
        <w:t xml:space="preserve"> in Table </w:t>
      </w:r>
      <w:r w:rsidR="00440095" w:rsidRPr="004C78D8">
        <w:t>5</w:t>
      </w:r>
      <w:r w:rsidR="003470F7" w:rsidRPr="004C78D8">
        <w:t>.2</w:t>
      </w:r>
      <w:r w:rsidR="00F96510" w:rsidRPr="004C78D8">
        <w:t>5</w:t>
      </w:r>
      <w:r w:rsidR="00043235" w:rsidRPr="004C78D8">
        <w:t>)</w:t>
      </w:r>
      <w:r w:rsidR="00826413" w:rsidRPr="004C78D8">
        <w:t xml:space="preserve"> </w:t>
      </w:r>
      <w:r w:rsidR="000B0F52" w:rsidRPr="004C78D8">
        <w:t xml:space="preserve">taken from </w:t>
      </w:r>
      <w:r w:rsidR="00DE0814" w:rsidRPr="004C78D8">
        <w:t xml:space="preserve">the relevant </w:t>
      </w:r>
      <w:r w:rsidR="000B0F52" w:rsidRPr="004C78D8">
        <w:t>RCT</w:t>
      </w:r>
      <w:r w:rsidR="00934A94" w:rsidRPr="004C78D8">
        <w:t>s</w:t>
      </w:r>
      <w:r w:rsidR="003470F7" w:rsidRPr="004C78D8">
        <w:t xml:space="preserve">; these are parameterised in Section </w:t>
      </w:r>
      <w:r w:rsidR="00440095" w:rsidRPr="004C78D8">
        <w:t>5</w:t>
      </w:r>
      <w:r w:rsidR="003470F7" w:rsidRPr="004C78D8">
        <w:t>.</w:t>
      </w:r>
      <w:r w:rsidR="00F96510" w:rsidRPr="004C78D8">
        <w:t>2</w:t>
      </w:r>
      <w:r w:rsidR="003470F7" w:rsidRPr="004C78D8">
        <w:t>.4.2.</w:t>
      </w:r>
      <w:r w:rsidR="000B0F52" w:rsidRPr="004C78D8">
        <w:t xml:space="preserve"> </w:t>
      </w:r>
    </w:p>
    <w:p w14:paraId="0CA59FE6" w14:textId="158106BC" w:rsidR="000A36D0" w:rsidRPr="004C78D8" w:rsidRDefault="000A36D0" w:rsidP="00FB7C1F">
      <w:r w:rsidRPr="004C78D8">
        <w:t xml:space="preserve">The intervention study evidence for the reactive pathway was drawn from </w:t>
      </w:r>
      <w:r w:rsidR="0052688F" w:rsidRPr="004C78D8">
        <w:t xml:space="preserve">one Australia-based and </w:t>
      </w:r>
      <w:r w:rsidRPr="004C78D8">
        <w:t xml:space="preserve">two UK-based RCTs: (i) </w:t>
      </w:r>
      <w:r w:rsidR="0052688F" w:rsidRPr="004C78D8">
        <w:t xml:space="preserve">a reactive HAM evaluated against usual care </w:t>
      </w:r>
      <w:r w:rsidR="00766D0E" w:rsidRPr="004C78D8">
        <w:t xml:space="preserve">in Australia </w:t>
      </w:r>
      <w:r w:rsidR="0052688F" w:rsidRPr="004C78D8">
        <w:t>for hip fracture patients aged 55</w:t>
      </w:r>
      <w:r w:rsidR="003470F7" w:rsidRPr="004C78D8">
        <w:t>+</w:t>
      </w:r>
      <w:r w:rsidR="0052688F" w:rsidRPr="004C78D8">
        <w:t xml:space="preserve"> with diverse cognitive status </w:t>
      </w:r>
      <w:r w:rsidR="00766D0E" w:rsidRPr="004C78D8">
        <w:fldChar w:fldCharType="begin"/>
      </w:r>
      <w:r w:rsidR="00C630FC" w:rsidRPr="004C78D8">
        <w:instrText xml:space="preserve"> ADDIN EN.CITE &lt;EndNote&gt;&lt;Cite&gt;&lt;Author&gt;Lockwood&lt;/Author&gt;&lt;Year&gt;2019&lt;/Year&gt;&lt;RecNum&gt;512&lt;/RecNum&gt;&lt;DisplayText&gt;[405]&lt;/DisplayText&gt;&lt;record&gt;&lt;rec-number&gt;512&lt;/rec-number&gt;&lt;foreign-keys&gt;&lt;key app="EN" db-id="tdtrdw9aepptzbefsat599syza29sxsd2wsp" timestamp="1617903216"&gt;512&lt;/key&gt;&lt;/foreign-keys&gt;&lt;ref-type name="Journal Article"&gt;17&lt;/ref-type&gt;&lt;contributors&gt;&lt;authors&gt;&lt;author&gt;Lockwood, Kylee J&lt;/author&gt;&lt;author&gt;Harding, Katherine E&lt;/author&gt;&lt;author&gt;Boyd, Jude N&lt;/author&gt;&lt;author&gt;Taylor, Nicholas F&lt;/author&gt;&lt;/authors&gt;&lt;/contributors&gt;&lt;titles&gt;&lt;title&gt;Predischarge home visits after hip fracture: a randomized controlled trial&lt;/title&gt;&lt;secondary-title&gt;Clinical rehabilitation&lt;/secondary-title&gt;&lt;/titles&gt;&lt;periodical&gt;&lt;full-title&gt;Clinical rehabilitation&lt;/full-title&gt;&lt;/periodical&gt;&lt;pages&gt;681-692&lt;/pages&gt;&lt;volume&gt;33&lt;/volume&gt;&lt;number&gt;4&lt;/number&gt;&lt;dates&gt;&lt;year&gt;2019&lt;/year&gt;&lt;/dates&gt;&lt;isbn&gt;0269-2155&lt;/isbn&gt;&lt;urls&gt;&lt;/urls&gt;&lt;/record&gt;&lt;/Cite&gt;&lt;/EndNote&gt;</w:instrText>
      </w:r>
      <w:r w:rsidR="00766D0E" w:rsidRPr="004C78D8">
        <w:fldChar w:fldCharType="separate"/>
      </w:r>
      <w:r w:rsidR="00C630FC" w:rsidRPr="004C78D8">
        <w:rPr>
          <w:noProof/>
        </w:rPr>
        <w:t>[405]</w:t>
      </w:r>
      <w:r w:rsidR="00766D0E" w:rsidRPr="004C78D8">
        <w:fldChar w:fldCharType="end"/>
      </w:r>
      <w:r w:rsidR="0052688F" w:rsidRPr="004C78D8">
        <w:t xml:space="preserve">; (ii) </w:t>
      </w:r>
      <w:r w:rsidRPr="004C78D8">
        <w:t xml:space="preserve">a </w:t>
      </w:r>
      <w:r w:rsidR="000F341D" w:rsidRPr="004C78D8">
        <w:t xml:space="preserve">reactive </w:t>
      </w:r>
      <w:r w:rsidRPr="004C78D8">
        <w:t>multifactorial intervention against usual care for cognitively intact persons aged 65</w:t>
      </w:r>
      <w:r w:rsidR="003470F7" w:rsidRPr="004C78D8">
        <w:t>+</w:t>
      </w:r>
      <w:r w:rsidRPr="004C78D8">
        <w:t xml:space="preserve"> admitted to A&amp;E for a fall </w:t>
      </w:r>
      <w:r w:rsidR="00766D0E" w:rsidRPr="004C78D8">
        <w:fldChar w:fldCharType="begin"/>
      </w:r>
      <w:r w:rsidR="00513646" w:rsidRPr="004C78D8">
        <w:instrText xml:space="preserve"> ADDIN EN.CITE &lt;EndNote&gt;&lt;Cite&gt;&lt;Author&gt;Close&lt;/Author&gt;&lt;Year&gt;1999&lt;/Year&gt;&lt;RecNum&gt;513&lt;/RecNum&gt;&lt;DisplayText&gt;[62]&lt;/DisplayText&gt;&lt;record&gt;&lt;rec-number&gt;513&lt;/rec-number&gt;&lt;foreign-keys&gt;&lt;key app="EN" db-id="tdtrdw9aepptzbefsat599syza29sxsd2wsp" timestamp="1617903389"&gt;513&lt;/key&gt;&lt;/foreign-keys&gt;&lt;ref-type name="Journal Article"&gt;17&lt;/ref-type&gt;&lt;contributors&gt;&lt;authors&gt;&lt;author&gt;Close, J.&lt;/author&gt;&lt;author&gt;Ellis, M.&lt;/author&gt;&lt;author&gt;Hooper, R.&lt;/author&gt;&lt;author&gt;Glucksman, E.&lt;/author&gt;&lt;author&gt;Jackson, S.&lt;/author&gt;&lt;author&gt;Swift, C.&lt;/author&gt;&lt;/authors&gt;&lt;/contributors&gt;&lt;auth-address&gt;Department of Health Care of the Elderly, Guy&amp;apos;s King&amp;apos;s, and St Thomas&amp;apos; School of Medicine, King&amp;apos;s College Hospital, London, UK. jacqueline.close@kcl.ac.uk&lt;/auth-address&gt;&lt;titles&gt;&lt;title&gt;Prevention of falls in the elderly trial (PROFET): a randomised controlled trial&lt;/title&gt;&lt;secondary-title&gt;Lancet&lt;/secondary-title&gt;&lt;/titles&gt;&lt;periodical&gt;&lt;full-title&gt;Lancet&lt;/full-title&gt;&lt;/periodical&gt;&lt;pages&gt;93-7&lt;/pages&gt;&lt;volume&gt;353&lt;/volume&gt;&lt;number&gt;9147&lt;/number&gt;&lt;keywords&gt;&lt;keyword&gt;Accidental Falls/*prevention &amp;amp; control&lt;/keyword&gt;&lt;keyword&gt;Activities of Daily Living/classification&lt;/keyword&gt;&lt;keyword&gt;Aged&lt;/keyword&gt;&lt;keyword&gt;Aged, 80 and over&lt;/keyword&gt;&lt;keyword&gt;Female&lt;/keyword&gt;&lt;keyword&gt;*Frail Elderly&lt;/keyword&gt;&lt;keyword&gt;Geriatric Assessment&lt;/keyword&gt;&lt;keyword&gt;Humans&lt;/keyword&gt;&lt;keyword&gt;Male&lt;/keyword&gt;&lt;keyword&gt;Occupational Therapy&lt;/keyword&gt;&lt;keyword&gt;*Patient Care Team&lt;/keyword&gt;&lt;keyword&gt;Recurrence&lt;/keyword&gt;&lt;keyword&gt;Referral and Consultation&lt;/keyword&gt;&lt;keyword&gt;Treatment Outcome&lt;/keyword&gt;&lt;/keywords&gt;&lt;dates&gt;&lt;year&gt;1999&lt;/year&gt;&lt;pub-dates&gt;&lt;date&gt;Jan 9&lt;/date&gt;&lt;/pub-dates&gt;&lt;/dates&gt;&lt;isbn&gt;0140-6736 (Print)&amp;#xD;0140-6736 (Linking)&lt;/isbn&gt;&lt;accession-num&gt;10023893&lt;/accession-num&gt;&lt;urls&gt;&lt;related-urls&gt;&lt;url&gt;https://www.ncbi.nlm.nih.gov/pubmed/10023893&lt;/url&gt;&lt;/related-urls&gt;&lt;/urls&gt;&lt;electronic-resource-num&gt;10.1016/S0140-6736(98)06119-4&lt;/electronic-resource-num&gt;&lt;/record&gt;&lt;/Cite&gt;&lt;/EndNote&gt;</w:instrText>
      </w:r>
      <w:r w:rsidR="00766D0E" w:rsidRPr="004C78D8">
        <w:fldChar w:fldCharType="separate"/>
      </w:r>
      <w:r w:rsidR="00513646" w:rsidRPr="004C78D8">
        <w:rPr>
          <w:noProof/>
        </w:rPr>
        <w:t>[62]</w:t>
      </w:r>
      <w:r w:rsidR="00766D0E" w:rsidRPr="004C78D8">
        <w:fldChar w:fldCharType="end"/>
      </w:r>
      <w:r w:rsidRPr="004C78D8">
        <w:t>; and (i</w:t>
      </w:r>
      <w:r w:rsidR="0052688F" w:rsidRPr="004C78D8">
        <w:t>i</w:t>
      </w:r>
      <w:r w:rsidRPr="004C78D8">
        <w:t xml:space="preserve">i) a </w:t>
      </w:r>
      <w:r w:rsidR="000F341D" w:rsidRPr="004C78D8">
        <w:t xml:space="preserve">reactive </w:t>
      </w:r>
      <w:r w:rsidRPr="004C78D8">
        <w:t>multifactorial intervention against usual care for cognitively impaired persons aged 65</w:t>
      </w:r>
      <w:r w:rsidR="003470F7" w:rsidRPr="004C78D8">
        <w:t>+</w:t>
      </w:r>
      <w:r w:rsidRPr="004C78D8">
        <w:t xml:space="preserve"> admitted to A&amp;E for a fall </w:t>
      </w:r>
      <w:r w:rsidR="00766D0E" w:rsidRPr="004C78D8">
        <w:fldChar w:fldCharType="begin"/>
      </w:r>
      <w:r w:rsidR="00C630FC" w:rsidRPr="004C78D8">
        <w:instrText xml:space="preserve"> ADDIN EN.CITE &lt;EndNote&gt;&lt;Cite&gt;&lt;Author&gt;Shaw&lt;/Author&gt;&lt;Year&gt;2003&lt;/Year&gt;&lt;RecNum&gt;514&lt;/RecNum&gt;&lt;DisplayText&gt;[384]&lt;/DisplayText&gt;&lt;record&gt;&lt;rec-number&gt;514&lt;/rec-number&gt;&lt;foreign-keys&gt;&lt;key app="EN" db-id="tdtrdw9aepptzbefsat599syza29sxsd2wsp" timestamp="1617903616"&gt;514&lt;/key&gt;&lt;/foreign-keys&gt;&lt;ref-type name="Journal Article"&gt;17&lt;/ref-type&gt;&lt;contributors&gt;&lt;authors&gt;&lt;author&gt;Shaw, Fiona E&lt;/author&gt;&lt;author&gt;Bond, John&lt;/author&gt;&lt;author&gt;Richardson, David A&lt;/author&gt;&lt;author&gt;Dawson, Pamela&lt;/author&gt;&lt;author&gt;Steen, I Nicholas&lt;/author&gt;&lt;author&gt;McKeith, Ian G&lt;/author&gt;&lt;author&gt;Kenny, Rose Anne&lt;/author&gt;&lt;/authors&gt;&lt;/contributors&gt;&lt;titles&gt;&lt;title&gt;Multifactorial intervention after a fall in older people with cognitive impairment and dementia presenting to the accident and emergency department: randomised controlled trial&lt;/title&gt;&lt;secondary-title&gt;BMJ: British medical journal&lt;/secondary-title&gt;&lt;/titles&gt;&lt;periodical&gt;&lt;full-title&gt;BMJ: British medical journal&lt;/full-title&gt;&lt;/periodical&gt;&lt;pages&gt;73&lt;/pages&gt;&lt;volume&gt;326&lt;/volume&gt;&lt;number&gt;7380&lt;/number&gt;&lt;dates&gt;&lt;year&gt;2003&lt;/year&gt;&lt;/dates&gt;&lt;urls&gt;&lt;/urls&gt;&lt;/record&gt;&lt;/Cite&gt;&lt;/EndNote&gt;</w:instrText>
      </w:r>
      <w:r w:rsidR="00766D0E" w:rsidRPr="004C78D8">
        <w:fldChar w:fldCharType="separate"/>
      </w:r>
      <w:r w:rsidR="00C630FC" w:rsidRPr="004C78D8">
        <w:rPr>
          <w:noProof/>
        </w:rPr>
        <w:t>[384]</w:t>
      </w:r>
      <w:r w:rsidR="00766D0E" w:rsidRPr="004C78D8">
        <w:fldChar w:fldCharType="end"/>
      </w:r>
      <w:r w:rsidRPr="004C78D8">
        <w:t xml:space="preserve">. </w:t>
      </w:r>
      <w:r w:rsidR="00F96510" w:rsidRPr="004C78D8">
        <w:t>The Australian RCT was used for the reactive HAM in (i) because no UK-based RCT was identified (although two RCTs for proactive HAM were identified; see Table E4).</w:t>
      </w:r>
    </w:p>
    <w:p w14:paraId="7DB1363B" w14:textId="4143C967" w:rsidR="00237D0C" w:rsidRPr="004C78D8" w:rsidRDefault="00237D0C" w:rsidP="00FB7C1F">
      <w:pPr>
        <w:pStyle w:val="Heading5"/>
      </w:pPr>
      <w:r w:rsidRPr="004C78D8">
        <w:t>Proactive pathway</w:t>
      </w:r>
    </w:p>
    <w:p w14:paraId="57A7C1E7" w14:textId="4737532C" w:rsidR="005473E0" w:rsidRPr="004C78D8" w:rsidRDefault="00DE0814" w:rsidP="00FB7C1F">
      <w:r w:rsidRPr="004C78D8">
        <w:t xml:space="preserve">For the proactive pathway, the current practice in Sheffield </w:t>
      </w:r>
      <w:r w:rsidR="002D46EA" w:rsidRPr="004C78D8">
        <w:t>relies on</w:t>
      </w:r>
      <w:r w:rsidRPr="004C78D8">
        <w:t xml:space="preserve"> </w:t>
      </w:r>
      <w:r w:rsidR="005473E0" w:rsidRPr="004C78D8">
        <w:t xml:space="preserve">falls risk screening at routine contact with care professionals in community followed by referral of high-risk individuals to multifactorial intervention delivered by </w:t>
      </w:r>
      <w:r w:rsidRPr="004C78D8">
        <w:t xml:space="preserve">multidisciplinary teams. </w:t>
      </w:r>
      <w:r w:rsidR="00646EF3" w:rsidRPr="004C78D8">
        <w:t>T</w:t>
      </w:r>
      <w:r w:rsidR="002D46EA" w:rsidRPr="004C78D8">
        <w:t xml:space="preserve">he current </w:t>
      </w:r>
      <w:r w:rsidR="00646EF3" w:rsidRPr="004C78D8">
        <w:t>access</w:t>
      </w:r>
      <w:r w:rsidR="002D46EA" w:rsidRPr="004C78D8">
        <w:t xml:space="preserve"> rate for the proactive </w:t>
      </w:r>
      <w:r w:rsidR="00646EF3" w:rsidRPr="004C78D8">
        <w:t>intervention</w:t>
      </w:r>
      <w:r w:rsidR="002D46EA" w:rsidRPr="004C78D8">
        <w:t xml:space="preserve"> is low, with </w:t>
      </w:r>
      <w:r w:rsidR="000F1EFF" w:rsidRPr="004C78D8">
        <w:t xml:space="preserve">the Falls Clinic managing </w:t>
      </w:r>
      <w:r w:rsidR="00206B76" w:rsidRPr="004C78D8">
        <w:t>around</w:t>
      </w:r>
      <w:r w:rsidR="000F1EFF" w:rsidRPr="004C78D8">
        <w:t xml:space="preserve"> 300 clients per year (including reactive pathway clients).</w:t>
      </w:r>
      <w:r w:rsidR="002D46EA" w:rsidRPr="004C78D8">
        <w:t xml:space="preserve"> </w:t>
      </w:r>
      <w:r w:rsidR="000F5D76" w:rsidRPr="004C78D8">
        <w:t>Accordingly</w:t>
      </w:r>
      <w:r w:rsidR="002D46EA" w:rsidRPr="004C78D8">
        <w:t xml:space="preserve">, </w:t>
      </w:r>
      <w:r w:rsidR="00206B76" w:rsidRPr="004C78D8">
        <w:t>UC</w:t>
      </w:r>
      <w:r w:rsidR="000F1EFF" w:rsidRPr="004C78D8">
        <w:t xml:space="preserve"> incorporates</w:t>
      </w:r>
      <w:r w:rsidR="002D46EA" w:rsidRPr="004C78D8">
        <w:t xml:space="preserve"> </w:t>
      </w:r>
      <w:r w:rsidR="00A652C8" w:rsidRPr="004C78D8">
        <w:t xml:space="preserve">limited access to falls risk screening at </w:t>
      </w:r>
      <w:r w:rsidR="00FE46B2" w:rsidRPr="004C78D8">
        <w:t xml:space="preserve">GP </w:t>
      </w:r>
      <w:r w:rsidR="00A652C8" w:rsidRPr="004C78D8">
        <w:t xml:space="preserve">contact and limited referral </w:t>
      </w:r>
      <w:r w:rsidR="00FE46B2" w:rsidRPr="004C78D8">
        <w:t xml:space="preserve">of high-risk individuals </w:t>
      </w:r>
      <w:r w:rsidR="00A652C8" w:rsidRPr="004C78D8">
        <w:t xml:space="preserve">to </w:t>
      </w:r>
      <w:r w:rsidR="002D46EA" w:rsidRPr="004C78D8">
        <w:t>multifactorial intervention</w:t>
      </w:r>
      <w:r w:rsidR="00206B76" w:rsidRPr="004C78D8">
        <w:t>;</w:t>
      </w:r>
      <w:r w:rsidR="002D46EA" w:rsidRPr="004C78D8">
        <w:t xml:space="preserve"> </w:t>
      </w:r>
      <w:r w:rsidR="00206B76" w:rsidRPr="004C78D8">
        <w:t xml:space="preserve">see </w:t>
      </w:r>
      <w:r w:rsidR="00FE46B2" w:rsidRPr="004C78D8">
        <w:t xml:space="preserve">Section </w:t>
      </w:r>
      <w:r w:rsidR="00440095" w:rsidRPr="004C78D8">
        <w:t>5</w:t>
      </w:r>
      <w:r w:rsidR="00FE46B2" w:rsidRPr="004C78D8">
        <w:t>.</w:t>
      </w:r>
      <w:r w:rsidR="00B55931" w:rsidRPr="004C78D8">
        <w:t>2</w:t>
      </w:r>
      <w:r w:rsidR="00FE46B2" w:rsidRPr="004C78D8">
        <w:t xml:space="preserve">.4.2 </w:t>
      </w:r>
      <w:r w:rsidR="00206B76" w:rsidRPr="004C78D8">
        <w:t>for</w:t>
      </w:r>
      <w:r w:rsidR="00FE46B2" w:rsidRPr="004C78D8">
        <w:t xml:space="preserve"> </w:t>
      </w:r>
      <w:r w:rsidR="00826413" w:rsidRPr="004C78D8">
        <w:t xml:space="preserve">parameterisation </w:t>
      </w:r>
      <w:r w:rsidR="00FE46B2" w:rsidRPr="004C78D8">
        <w:t xml:space="preserve">using ELSA. </w:t>
      </w:r>
      <w:r w:rsidR="00206B76" w:rsidRPr="004C78D8">
        <w:t>By contrast, RC</w:t>
      </w:r>
      <w:r w:rsidR="00FE46B2" w:rsidRPr="004C78D8">
        <w:t xml:space="preserve"> </w:t>
      </w:r>
      <w:r w:rsidR="00826413" w:rsidRPr="004C78D8">
        <w:t>incorporates</w:t>
      </w:r>
      <w:r w:rsidR="00FE46B2" w:rsidRPr="004C78D8">
        <w:t xml:space="preserve"> 100% falls risk screening at GP contact and 100% referral of high-risk individuals, resulting in access to all eligible persons </w:t>
      </w:r>
      <w:r w:rsidR="00826413" w:rsidRPr="004C78D8">
        <w:t>pending demand</w:t>
      </w:r>
      <w:r w:rsidR="00FE46B2" w:rsidRPr="004C78D8">
        <w:t>.</w:t>
      </w:r>
    </w:p>
    <w:p w14:paraId="6F55EDD2" w14:textId="1FD72F6E" w:rsidR="00DF29E3" w:rsidRPr="004C78D8" w:rsidRDefault="00872877" w:rsidP="00FB7C1F">
      <w:r w:rsidRPr="004C78D8">
        <w:t>U</w:t>
      </w:r>
      <w:r w:rsidR="00083500" w:rsidRPr="004C78D8">
        <w:t xml:space="preserve">nder current practice, cognitively impaired persons are </w:t>
      </w:r>
      <w:r w:rsidR="000F5D76" w:rsidRPr="004C78D8">
        <w:t xml:space="preserve">not </w:t>
      </w:r>
      <w:r w:rsidR="00206B76" w:rsidRPr="004C78D8">
        <w:t xml:space="preserve">generally </w:t>
      </w:r>
      <w:r w:rsidR="00083500" w:rsidRPr="004C78D8">
        <w:t xml:space="preserve">referred to </w:t>
      </w:r>
      <w:r w:rsidR="000F5D76" w:rsidRPr="004C78D8">
        <w:t>the proactive intervention</w:t>
      </w:r>
      <w:r w:rsidRPr="004C78D8">
        <w:t xml:space="preserve"> (Section 3.7.</w:t>
      </w:r>
      <w:r w:rsidR="00206B76" w:rsidRPr="004C78D8">
        <w:t>3</w:t>
      </w:r>
      <w:r w:rsidRPr="004C78D8">
        <w:t>)</w:t>
      </w:r>
      <w:r w:rsidR="00083500" w:rsidRPr="004C78D8">
        <w:t xml:space="preserve">. </w:t>
      </w:r>
      <w:r w:rsidR="00600226" w:rsidRPr="004C78D8">
        <w:t xml:space="preserve">Therefore, </w:t>
      </w:r>
      <w:r w:rsidR="00206B76" w:rsidRPr="004C78D8">
        <w:t>UC</w:t>
      </w:r>
      <w:r w:rsidRPr="004C78D8">
        <w:t xml:space="preserve"> </w:t>
      </w:r>
      <w:r w:rsidR="00600226" w:rsidRPr="004C78D8">
        <w:t xml:space="preserve">incorporates no intervention for the cognitively impaired subgroup. </w:t>
      </w:r>
      <w:r w:rsidR="00DF29E3" w:rsidRPr="004C78D8">
        <w:t xml:space="preserve">NICE </w:t>
      </w:r>
      <w:r w:rsidR="00206B76" w:rsidRPr="004C78D8">
        <w:t>CG161</w:t>
      </w:r>
      <w:r w:rsidR="00DF29E3" w:rsidRPr="004C78D8">
        <w:t xml:space="preserve"> makes no specific recommendation </w:t>
      </w:r>
      <w:r w:rsidR="00206B76" w:rsidRPr="004C78D8">
        <w:t>for</w:t>
      </w:r>
      <w:r w:rsidR="00DF29E3" w:rsidRPr="004C78D8">
        <w:t xml:space="preserve"> the cognitively impaired. </w:t>
      </w:r>
      <w:r w:rsidR="00206B76" w:rsidRPr="004C78D8">
        <w:t>But i</w:t>
      </w:r>
      <w:r w:rsidR="00DF29E3" w:rsidRPr="004C78D8">
        <w:t>t would be reasonable to assume that cognitively impaired persons are offered a proactive multifactorial intervention</w:t>
      </w:r>
      <w:r w:rsidRPr="004C78D8">
        <w:t xml:space="preserve"> under </w:t>
      </w:r>
      <w:r w:rsidR="00206B76" w:rsidRPr="004C78D8">
        <w:t>RC</w:t>
      </w:r>
      <w:r w:rsidR="00DF29E3" w:rsidRPr="004C78D8">
        <w:t xml:space="preserve">, just as </w:t>
      </w:r>
      <w:r w:rsidRPr="004C78D8">
        <w:t xml:space="preserve">they </w:t>
      </w:r>
      <w:r w:rsidR="00DF29E3" w:rsidRPr="004C78D8">
        <w:t xml:space="preserve">are offered a reactive one. </w:t>
      </w:r>
      <w:r w:rsidR="00387582" w:rsidRPr="004C78D8">
        <w:t>U</w:t>
      </w:r>
      <w:r w:rsidR="00A33B63" w:rsidRPr="004C78D8">
        <w:t xml:space="preserve">nlike the reactive pathway, there was no </w:t>
      </w:r>
      <w:r w:rsidRPr="004C78D8">
        <w:t xml:space="preserve">identified </w:t>
      </w:r>
      <w:r w:rsidR="00A33B63" w:rsidRPr="004C78D8">
        <w:t xml:space="preserve">RCT (UK or non-UK) that evaluated a proactive multifactorial intervention targeting the cognitively impaired. Therefore, on discussion with the falls modelling expert, it was </w:t>
      </w:r>
      <w:r w:rsidR="00765EEA" w:rsidRPr="004C78D8">
        <w:t>decided</w:t>
      </w:r>
      <w:r w:rsidR="00A33B63" w:rsidRPr="004C78D8">
        <w:t xml:space="preserve"> that high-risk cognitively impaired persons </w:t>
      </w:r>
      <w:r w:rsidR="00290106" w:rsidRPr="004C78D8">
        <w:t>are</w:t>
      </w:r>
      <w:r w:rsidR="00A33B63" w:rsidRPr="004C78D8">
        <w:t xml:space="preserve"> referred to a </w:t>
      </w:r>
      <w:r w:rsidR="00765EEA" w:rsidRPr="004C78D8">
        <w:t>tailored</w:t>
      </w:r>
      <w:r w:rsidR="00A33B63" w:rsidRPr="004C78D8">
        <w:t xml:space="preserve"> </w:t>
      </w:r>
      <w:r w:rsidR="00387582" w:rsidRPr="004C78D8">
        <w:t xml:space="preserve">Tai Chi </w:t>
      </w:r>
      <w:r w:rsidR="00A33B63" w:rsidRPr="004C78D8">
        <w:t xml:space="preserve">evaluated in a UK setting </w:t>
      </w:r>
      <w:r w:rsidRPr="004C78D8">
        <w:fldChar w:fldCharType="begin"/>
      </w:r>
      <w:r w:rsidR="00C630FC" w:rsidRPr="004C78D8">
        <w:instrText xml:space="preserve"> ADDIN EN.CITE &lt;EndNote&gt;&lt;Cite&gt;&lt;Author&gt;Nyman&lt;/Author&gt;&lt;Year&gt;2019&lt;/Year&gt;&lt;RecNum&gt;281&lt;/RecNum&gt;&lt;DisplayText&gt;[235]&lt;/DisplayText&gt;&lt;record&gt;&lt;rec-number&gt;281&lt;/rec-number&gt;&lt;foreign-keys&gt;&lt;key app="EN" db-id="tdtrdw9aepptzbefsat599syza29sxsd2wsp" timestamp="1611699160"&gt;281&lt;/key&gt;&lt;/foreign-keys&gt;&lt;ref-type name="Journal Article"&gt;17&lt;/ref-type&gt;&lt;contributors&gt;&lt;authors&gt;&lt;author&gt;Nyman, Samuel R&lt;/author&gt;&lt;author&gt;Ingram, Wendy&lt;/author&gt;&lt;author&gt;Sanders, Jeanette&lt;/author&gt;&lt;author&gt;Thomas, Peter W&lt;/author&gt;&lt;author&gt;Thomas, Sarah&lt;/author&gt;&lt;author&gt;Vassallo, Michael&lt;/author&gt;&lt;author&gt;Raftery, James&lt;/author&gt;&lt;author&gt;Bibi, Iram&lt;/author&gt;&lt;author&gt;Barrado-Martín, Yolanda&lt;/author&gt;&lt;/authors&gt;&lt;/contributors&gt;&lt;titles&gt;&lt;title&gt;Randomised controlled trial of the effect of Tai Chi on postural balance of people with dementia&lt;/title&gt;&lt;secondary-title&gt;Clinical interventions in aging&lt;/secondary-title&gt;&lt;/titles&gt;&lt;periodical&gt;&lt;full-title&gt;Clin Interv Aging&lt;/full-title&gt;&lt;abbr-1&gt;Clinical interventions in aging&lt;/abbr-1&gt;&lt;/periodical&gt;&lt;pages&gt;2017&lt;/pages&gt;&lt;volume&gt;14&lt;/volume&gt;&lt;dates&gt;&lt;year&gt;2019&lt;/year&gt;&lt;/dates&gt;&lt;urls&gt;&lt;/urls&gt;&lt;/record&gt;&lt;/Cite&gt;&lt;/EndNote&gt;</w:instrText>
      </w:r>
      <w:r w:rsidRPr="004C78D8">
        <w:fldChar w:fldCharType="separate"/>
      </w:r>
      <w:r w:rsidR="00C630FC" w:rsidRPr="004C78D8">
        <w:rPr>
          <w:noProof/>
        </w:rPr>
        <w:t>[235]</w:t>
      </w:r>
      <w:r w:rsidRPr="004C78D8">
        <w:fldChar w:fldCharType="end"/>
      </w:r>
      <w:r w:rsidR="00A33B63" w:rsidRPr="004C78D8">
        <w:t xml:space="preserve">. </w:t>
      </w:r>
    </w:p>
    <w:p w14:paraId="0D810638" w14:textId="307E8CFC" w:rsidR="00083500" w:rsidRPr="004C78D8" w:rsidRDefault="00072170" w:rsidP="00FB7C1F">
      <w:r w:rsidRPr="004C78D8">
        <w:t>Also u</w:t>
      </w:r>
      <w:r w:rsidR="00AA01D9" w:rsidRPr="004C78D8">
        <w:t xml:space="preserve">nder the current practice, </w:t>
      </w:r>
      <w:r w:rsidR="007F5B1E" w:rsidRPr="004C78D8">
        <w:t>those who have already received the proactive multifactorial intervention</w:t>
      </w:r>
      <w:r w:rsidR="00AA01D9" w:rsidRPr="004C78D8">
        <w:t xml:space="preserve"> are not </w:t>
      </w:r>
      <w:r w:rsidR="00765EEA" w:rsidRPr="004C78D8">
        <w:t xml:space="preserve">generally </w:t>
      </w:r>
      <w:r w:rsidR="00AA01D9" w:rsidRPr="004C78D8">
        <w:t>referred again to the multidisciplinary team but monitored in primary care</w:t>
      </w:r>
      <w:r w:rsidR="00765EEA" w:rsidRPr="004C78D8">
        <w:t xml:space="preserve"> (Section 3.7.3)</w:t>
      </w:r>
      <w:r w:rsidR="007F5B1E" w:rsidRPr="004C78D8">
        <w:t xml:space="preserve">. Hence, </w:t>
      </w:r>
      <w:r w:rsidR="00765EEA" w:rsidRPr="004C78D8">
        <w:t>UC</w:t>
      </w:r>
      <w:r w:rsidR="007F5B1E" w:rsidRPr="004C78D8">
        <w:t xml:space="preserve"> incorporates no intervention for those with proactive intervention history. </w:t>
      </w:r>
      <w:r w:rsidR="00AC543A" w:rsidRPr="004C78D8">
        <w:t xml:space="preserve">NICE </w:t>
      </w:r>
      <w:r w:rsidR="00765EEA" w:rsidRPr="004C78D8">
        <w:t>CG161</w:t>
      </w:r>
      <w:r w:rsidR="00AC543A" w:rsidRPr="004C78D8">
        <w:t xml:space="preserve"> makes no specific recommendation </w:t>
      </w:r>
      <w:r w:rsidR="00AA01D9" w:rsidRPr="004C78D8">
        <w:t>for this subgroup</w:t>
      </w:r>
      <w:r w:rsidR="00AC543A" w:rsidRPr="004C78D8">
        <w:t xml:space="preserve">. </w:t>
      </w:r>
      <w:r w:rsidR="00AA01D9" w:rsidRPr="004C78D8">
        <w:t xml:space="preserve">However, as </w:t>
      </w:r>
      <w:r w:rsidR="00765EEA" w:rsidRPr="004C78D8">
        <w:t>discussed</w:t>
      </w:r>
      <w:r w:rsidR="00AA01D9" w:rsidRPr="004C78D8">
        <w:t xml:space="preserve"> in Section 3.7.</w:t>
      </w:r>
      <w:r w:rsidR="00765EEA" w:rsidRPr="004C78D8">
        <w:t>3</w:t>
      </w:r>
      <w:r w:rsidR="00AA01D9" w:rsidRPr="004C78D8">
        <w:t xml:space="preserve">, the falls specialist geriatrician confirmed that those who remain at high falls risk would </w:t>
      </w:r>
      <w:r w:rsidR="00E42C03" w:rsidRPr="004C78D8">
        <w:t xml:space="preserve">ideally </w:t>
      </w:r>
      <w:r w:rsidR="00AA01D9" w:rsidRPr="004C78D8">
        <w:t xml:space="preserve">be referred again for further assessments. </w:t>
      </w:r>
      <w:r w:rsidR="00EE5752" w:rsidRPr="004C78D8">
        <w:t xml:space="preserve">Hence, </w:t>
      </w:r>
      <w:r w:rsidR="00765EEA" w:rsidRPr="004C78D8">
        <w:t>RC</w:t>
      </w:r>
      <w:r w:rsidRPr="004C78D8">
        <w:t xml:space="preserve"> refers high-risk individuals with</w:t>
      </w:r>
      <w:r w:rsidR="00AA01D9" w:rsidRPr="004C78D8">
        <w:t xml:space="preserve"> </w:t>
      </w:r>
      <w:r w:rsidR="00EE5752" w:rsidRPr="004C78D8">
        <w:t>intervention history</w:t>
      </w:r>
      <w:r w:rsidRPr="004C78D8">
        <w:t xml:space="preserve"> to </w:t>
      </w:r>
      <w:r w:rsidR="00FD0C9C" w:rsidRPr="004C78D8">
        <w:t xml:space="preserve">appropriate </w:t>
      </w:r>
      <w:r w:rsidR="00765EEA" w:rsidRPr="004C78D8">
        <w:t xml:space="preserve">proactive </w:t>
      </w:r>
      <w:r w:rsidR="00FD0C9C" w:rsidRPr="004C78D8">
        <w:t>intervention</w:t>
      </w:r>
      <w:r w:rsidR="00765EEA" w:rsidRPr="004C78D8">
        <w:t>s</w:t>
      </w:r>
      <w:r w:rsidR="00EE5752" w:rsidRPr="004C78D8">
        <w:t>.</w:t>
      </w:r>
      <w:r w:rsidR="00AA01D9" w:rsidRPr="004C78D8">
        <w:t xml:space="preserve"> </w:t>
      </w:r>
      <w:r w:rsidR="00290106" w:rsidRPr="004C78D8">
        <w:t>But</w:t>
      </w:r>
      <w:r w:rsidR="00C36DB9" w:rsidRPr="004C78D8">
        <w:t xml:space="preserve"> the number of re-receipts </w:t>
      </w:r>
      <w:r w:rsidR="00D85D0D" w:rsidRPr="004C78D8">
        <w:t xml:space="preserve">of </w:t>
      </w:r>
      <w:r w:rsidR="00765EEA" w:rsidRPr="004C78D8">
        <w:t xml:space="preserve">proactive </w:t>
      </w:r>
      <w:r w:rsidR="00D85D0D" w:rsidRPr="004C78D8">
        <w:t xml:space="preserve">multifactorial intervention for cognitively intact </w:t>
      </w:r>
      <w:r w:rsidR="00C36DB9" w:rsidRPr="004C78D8">
        <w:t xml:space="preserve">was limited to </w:t>
      </w:r>
      <w:r w:rsidR="00F15AE8" w:rsidRPr="004C78D8">
        <w:t>three</w:t>
      </w:r>
      <w:r w:rsidR="00C36DB9" w:rsidRPr="004C78D8">
        <w:t xml:space="preserve"> </w:t>
      </w:r>
      <w:r w:rsidR="00D26A61" w:rsidRPr="004C78D8">
        <w:t xml:space="preserve">to maintain the annual flow of clients to a level managed by seven falls clinics; see Section </w:t>
      </w:r>
      <w:r w:rsidR="00440095" w:rsidRPr="004C78D8">
        <w:t>5</w:t>
      </w:r>
      <w:r w:rsidR="00D26A61" w:rsidRPr="004C78D8">
        <w:t>.</w:t>
      </w:r>
      <w:r w:rsidR="008164E5" w:rsidRPr="004C78D8">
        <w:t>2</w:t>
      </w:r>
      <w:r w:rsidR="00D26A61" w:rsidRPr="004C78D8">
        <w:t>.4.3 for further discussion.</w:t>
      </w:r>
      <w:r w:rsidR="00C36DB9" w:rsidRPr="004C78D8">
        <w:t xml:space="preserve"> </w:t>
      </w:r>
    </w:p>
    <w:p w14:paraId="1C5885A8" w14:textId="4EB43D16" w:rsidR="00113ED8" w:rsidRPr="004C78D8" w:rsidRDefault="000F341D" w:rsidP="00FB7C1F">
      <w:r w:rsidRPr="004C78D8">
        <w:t xml:space="preserve">The intervention study evidence for the proactive pathway was drawn from </w:t>
      </w:r>
      <w:r w:rsidR="00113ED8" w:rsidRPr="004C78D8">
        <w:t>two</w:t>
      </w:r>
      <w:r w:rsidRPr="004C78D8">
        <w:t xml:space="preserve"> UK-based RCTs: (i) a proactive multifactorial intervention evaluated against usual care for cognitively intact persons aged 65</w:t>
      </w:r>
      <w:r w:rsidR="00765EEA" w:rsidRPr="004C78D8">
        <w:t>+</w:t>
      </w:r>
      <w:r w:rsidRPr="004C78D8">
        <w:t xml:space="preserve"> </w:t>
      </w:r>
      <w:r w:rsidR="006B13DC" w:rsidRPr="004C78D8">
        <w:t xml:space="preserve">(recruited at GP practices) </w:t>
      </w:r>
      <w:r w:rsidRPr="004C78D8">
        <w:t xml:space="preserve">with recurrent falls in past year and no A&amp;E presentation for the latest fall </w:t>
      </w:r>
      <w:r w:rsidR="006B13DC" w:rsidRPr="004C78D8">
        <w:fldChar w:fldCharType="begin"/>
      </w:r>
      <w:r w:rsidR="00C630FC" w:rsidRPr="004C78D8">
        <w:instrText xml:space="preserve"> ADDIN EN.CITE &lt;EndNote&gt;&lt;Cite&gt;&lt;Author&gt;Spice&lt;/Author&gt;&lt;Year&gt;2009&lt;/Year&gt;&lt;RecNum&gt;515&lt;/RecNum&gt;&lt;DisplayText&gt;[385]&lt;/DisplayText&gt;&lt;record&gt;&lt;rec-number&gt;515&lt;/rec-number&gt;&lt;foreign-keys&gt;&lt;key app="EN" db-id="tdtrdw9aepptzbefsat599syza29sxsd2wsp" timestamp="1617909863"&gt;515&lt;/key&gt;&lt;/foreign-keys&gt;&lt;ref-type name="Journal Article"&gt;17&lt;/ref-type&gt;&lt;contributors&gt;&lt;authors&gt;&lt;author&gt;Spice, Claire L&lt;/author&gt;&lt;author&gt;Morotti, Wendy&lt;/author&gt;&lt;author&gt;George, Steve&lt;/author&gt;&lt;author&gt;Dent, Thomas HS&lt;/author&gt;&lt;author&gt;Rose, Jim&lt;/author&gt;&lt;author&gt;Harris, Scott&lt;/author&gt;&lt;author&gt;Gordon, Christopher J&lt;/author&gt;&lt;/authors&gt;&lt;/contributors&gt;&lt;titles&gt;&lt;title&gt;The Winchester falls project: a randomised controlled trial of secondary prevention of falls in older people&lt;/title&gt;&lt;secondary-title&gt;Age and ageing&lt;/secondary-title&gt;&lt;/titles&gt;&lt;periodical&gt;&lt;full-title&gt;Age and ageing&lt;/full-title&gt;&lt;/periodical&gt;&lt;pages&gt;33-40&lt;/pages&gt;&lt;volume&gt;38&lt;/volume&gt;&lt;number&gt;1&lt;/number&gt;&lt;dates&gt;&lt;year&gt;2009&lt;/year&gt;&lt;/dates&gt;&lt;isbn&gt;1468-2834&lt;/isbn&gt;&lt;urls&gt;&lt;/urls&gt;&lt;/record&gt;&lt;/Cite&gt;&lt;/EndNote&gt;</w:instrText>
      </w:r>
      <w:r w:rsidR="006B13DC" w:rsidRPr="004C78D8">
        <w:fldChar w:fldCharType="separate"/>
      </w:r>
      <w:r w:rsidR="00C630FC" w:rsidRPr="004C78D8">
        <w:rPr>
          <w:noProof/>
        </w:rPr>
        <w:t>[385]</w:t>
      </w:r>
      <w:r w:rsidR="006B13DC" w:rsidRPr="004C78D8">
        <w:fldChar w:fldCharType="end"/>
      </w:r>
      <w:r w:rsidRPr="004C78D8">
        <w:t xml:space="preserve">; </w:t>
      </w:r>
      <w:r w:rsidR="00113ED8" w:rsidRPr="004C78D8">
        <w:t xml:space="preserve">and </w:t>
      </w:r>
      <w:r w:rsidRPr="004C78D8">
        <w:t xml:space="preserve">(ii) </w:t>
      </w:r>
      <w:r w:rsidR="00290106" w:rsidRPr="004C78D8">
        <w:t>the aforementioned</w:t>
      </w:r>
      <w:r w:rsidRPr="004C78D8">
        <w:t xml:space="preserve"> </w:t>
      </w:r>
      <w:r w:rsidR="000B0737" w:rsidRPr="004C78D8">
        <w:t xml:space="preserve">20-week </w:t>
      </w:r>
      <w:r w:rsidRPr="004C78D8">
        <w:t>group-</w:t>
      </w:r>
      <w:r w:rsidR="00C114B1" w:rsidRPr="004C78D8">
        <w:t xml:space="preserve"> and home-</w:t>
      </w:r>
      <w:r w:rsidRPr="004C78D8">
        <w:t xml:space="preserve">based Tai Chi intervention for </w:t>
      </w:r>
      <w:r w:rsidR="00A54785" w:rsidRPr="004C78D8">
        <w:t>dementia</w:t>
      </w:r>
      <w:r w:rsidRPr="004C78D8">
        <w:t xml:space="preserve"> patients accompanied by their caregivers </w:t>
      </w:r>
      <w:r w:rsidR="006B13DC" w:rsidRPr="004C78D8">
        <w:fldChar w:fldCharType="begin"/>
      </w:r>
      <w:r w:rsidR="00C630FC" w:rsidRPr="004C78D8">
        <w:instrText xml:space="preserve"> ADDIN EN.CITE &lt;EndNote&gt;&lt;Cite&gt;&lt;Author&gt;Nyman&lt;/Author&gt;&lt;Year&gt;2019&lt;/Year&gt;&lt;RecNum&gt;281&lt;/RecNum&gt;&lt;DisplayText&gt;[235]&lt;/DisplayText&gt;&lt;record&gt;&lt;rec-number&gt;281&lt;/rec-number&gt;&lt;foreign-keys&gt;&lt;key app="EN" db-id="tdtrdw9aepptzbefsat599syza29sxsd2wsp" timestamp="1611699160"&gt;281&lt;/key&gt;&lt;/foreign-keys&gt;&lt;ref-type name="Journal Article"&gt;17&lt;/ref-type&gt;&lt;contributors&gt;&lt;authors&gt;&lt;author&gt;Nyman, Samuel R&lt;/author&gt;&lt;author&gt;Ingram, Wendy&lt;/author&gt;&lt;author&gt;Sanders, Jeanette&lt;/author&gt;&lt;author&gt;Thomas, Peter W&lt;/author&gt;&lt;author&gt;Thomas, Sarah&lt;/author&gt;&lt;author&gt;Vassallo, Michael&lt;/author&gt;&lt;author&gt;Raftery, James&lt;/author&gt;&lt;author&gt;Bibi, Iram&lt;/author&gt;&lt;author&gt;Barrado-Martín, Yolanda&lt;/author&gt;&lt;/authors&gt;&lt;/contributors&gt;&lt;titles&gt;&lt;title&gt;Randomised controlled trial of the effect of Tai Chi on postural balance of people with dementia&lt;/title&gt;&lt;secondary-title&gt;Clinical interventions in aging&lt;/secondary-title&gt;&lt;/titles&gt;&lt;periodical&gt;&lt;full-title&gt;Clin Interv Aging&lt;/full-title&gt;&lt;abbr-1&gt;Clinical interventions in aging&lt;/abbr-1&gt;&lt;/periodical&gt;&lt;pages&gt;2017&lt;/pages&gt;&lt;volume&gt;14&lt;/volume&gt;&lt;dates&gt;&lt;year&gt;2019&lt;/year&gt;&lt;/dates&gt;&lt;urls&gt;&lt;/urls&gt;&lt;/record&gt;&lt;/Cite&gt;&lt;/EndNote&gt;</w:instrText>
      </w:r>
      <w:r w:rsidR="006B13DC" w:rsidRPr="004C78D8">
        <w:fldChar w:fldCharType="separate"/>
      </w:r>
      <w:r w:rsidR="00C630FC" w:rsidRPr="004C78D8">
        <w:rPr>
          <w:noProof/>
        </w:rPr>
        <w:t>[235]</w:t>
      </w:r>
      <w:r w:rsidR="006B13DC" w:rsidRPr="004C78D8">
        <w:fldChar w:fldCharType="end"/>
      </w:r>
      <w:r w:rsidRPr="004C78D8">
        <w:t xml:space="preserve">. </w:t>
      </w:r>
    </w:p>
    <w:p w14:paraId="4C39B0B2" w14:textId="565D362E" w:rsidR="00237D0C" w:rsidRPr="004C78D8" w:rsidRDefault="00237D0C" w:rsidP="00FB7C1F">
      <w:pPr>
        <w:pStyle w:val="Heading5"/>
      </w:pPr>
      <w:r w:rsidRPr="004C78D8">
        <w:t>Self-referred pathway</w:t>
      </w:r>
    </w:p>
    <w:p w14:paraId="036F2232" w14:textId="01F37CC3" w:rsidR="00DE0814" w:rsidRPr="004C78D8" w:rsidRDefault="00DE0814" w:rsidP="00FB7C1F">
      <w:r w:rsidRPr="004C78D8">
        <w:t>For the self-referred pathway, the sole intervention under current practice in Sheffield is the Dance to Health</w:t>
      </w:r>
      <w:r w:rsidR="004012BA" w:rsidRPr="004C78D8">
        <w:t xml:space="preserve"> exercise intervention</w:t>
      </w:r>
      <w:r w:rsidR="00605062" w:rsidRPr="004C78D8">
        <w:t xml:space="preserve"> which meets the</w:t>
      </w:r>
      <w:r w:rsidR="00F37293" w:rsidRPr="004C78D8">
        <w:t xml:space="preserve"> </w:t>
      </w:r>
      <w:r w:rsidR="00605062" w:rsidRPr="004C78D8">
        <w:t>recommendations on the requisite features of falls prevention exercise</w:t>
      </w:r>
      <w:r w:rsidR="00F37293" w:rsidRPr="004C78D8">
        <w:t>:</w:t>
      </w:r>
      <w:r w:rsidR="00605062" w:rsidRPr="004C78D8">
        <w:t xml:space="preserve"> i.e., individually tailored, supervised, progressive difficulty</w:t>
      </w:r>
      <w:r w:rsidR="00290106" w:rsidRPr="004C78D8">
        <w:t>,</w:t>
      </w:r>
      <w:r w:rsidR="00605062" w:rsidRPr="004C78D8">
        <w:t xml:space="preserve"> and 50</w:t>
      </w:r>
      <w:r w:rsidR="00F37293" w:rsidRPr="004C78D8">
        <w:t>+</w:t>
      </w:r>
      <w:r w:rsidR="00605062" w:rsidRPr="004C78D8">
        <w:t xml:space="preserve"> hours (at least 2 hours/week)</w:t>
      </w:r>
      <w:r w:rsidR="008B2368" w:rsidRPr="004C78D8">
        <w:t xml:space="preserve"> </w:t>
      </w:r>
      <w:r w:rsidR="008B2368" w:rsidRPr="004C78D8">
        <w:fldChar w:fldCharType="begin"/>
      </w:r>
      <w:r w:rsidR="00513646" w:rsidRPr="004C78D8">
        <w:instrText xml:space="preserve"> ADDIN EN.CITE &lt;EndNote&gt;&lt;Cite&gt;&lt;Author&gt;Public Health England&lt;/Author&gt;&lt;Year&gt;2017&lt;/Year&gt;&lt;RecNum&gt;533&lt;/RecNum&gt;&lt;DisplayText&gt;[143]&lt;/DisplayText&gt;&lt;record&gt;&lt;rec-number&gt;533&lt;/rec-number&gt;&lt;foreign-keys&gt;&lt;key app="EN" db-id="tdtrdw9aepptzbefsat599syza29sxsd2wsp" timestamp="1618261096"&gt;533&lt;/key&gt;&lt;/foreign-keys&gt;&lt;ref-type name="Journal Article"&gt;17&lt;/ref-type&gt;&lt;contributors&gt;&lt;authors&gt;&lt;author&gt;Public Health England,&lt;/author&gt;&lt;/authors&gt;&lt;/contributors&gt;&lt;titles&gt;&lt;title&gt;Falls and fracture consensus statement: Supporting commissioning for prevention&lt;/title&gt;&lt;secondary-title&gt;London: Public Health England&lt;/secondary-title&gt;&lt;/titles&gt;&lt;periodical&gt;&lt;full-title&gt;London: Public Health England&lt;/full-title&gt;&lt;/periodical&gt;&lt;dates&gt;&lt;year&gt;2017&lt;/year&gt;&lt;/dates&gt;&lt;urls&gt;&lt;/urls&gt;&lt;/record&gt;&lt;/Cite&gt;&lt;/EndNote&gt;</w:instrText>
      </w:r>
      <w:r w:rsidR="008B2368" w:rsidRPr="004C78D8">
        <w:fldChar w:fldCharType="separate"/>
      </w:r>
      <w:r w:rsidR="00513646" w:rsidRPr="004C78D8">
        <w:rPr>
          <w:noProof/>
        </w:rPr>
        <w:t>[143]</w:t>
      </w:r>
      <w:r w:rsidR="008B2368" w:rsidRPr="004C78D8">
        <w:fldChar w:fldCharType="end"/>
      </w:r>
      <w:r w:rsidR="004012BA" w:rsidRPr="004C78D8">
        <w:t xml:space="preserve">. But the </w:t>
      </w:r>
      <w:r w:rsidR="00605062" w:rsidRPr="004C78D8">
        <w:t>current access</w:t>
      </w:r>
      <w:r w:rsidR="004012BA" w:rsidRPr="004C78D8">
        <w:t xml:space="preserve"> rate is minimal, with around </w:t>
      </w:r>
      <w:r w:rsidR="00605062" w:rsidRPr="004C78D8">
        <w:t xml:space="preserve">20 regular self-financing participants. Therefore, </w:t>
      </w:r>
      <w:r w:rsidR="00F37293" w:rsidRPr="004C78D8">
        <w:t>UC</w:t>
      </w:r>
      <w:r w:rsidR="00605062" w:rsidRPr="004C78D8">
        <w:t xml:space="preserve"> </w:t>
      </w:r>
      <w:r w:rsidR="00F37293" w:rsidRPr="004C78D8">
        <w:t>incorporates</w:t>
      </w:r>
      <w:r w:rsidR="00605062" w:rsidRPr="004C78D8">
        <w:t xml:space="preserve"> </w:t>
      </w:r>
      <w:r w:rsidR="008B2368" w:rsidRPr="004C78D8">
        <w:t>highly</w:t>
      </w:r>
      <w:r w:rsidR="001E6821" w:rsidRPr="004C78D8">
        <w:t xml:space="preserve"> limited access to </w:t>
      </w:r>
      <w:r w:rsidR="001703C7" w:rsidRPr="004C78D8">
        <w:t xml:space="preserve">self-referred </w:t>
      </w:r>
      <w:r w:rsidR="00605062" w:rsidRPr="004C78D8">
        <w:t xml:space="preserve">group exercise. </w:t>
      </w:r>
      <w:r w:rsidR="00347E75" w:rsidRPr="004C78D8">
        <w:t>RC incorporates</w:t>
      </w:r>
      <w:r w:rsidR="001E6821" w:rsidRPr="004C78D8">
        <w:t xml:space="preserve"> full coverage of self-referred group exercise intervention pending demand. Section </w:t>
      </w:r>
      <w:r w:rsidR="00440095" w:rsidRPr="004C78D8">
        <w:t>5</w:t>
      </w:r>
      <w:r w:rsidR="001E6821" w:rsidRPr="004C78D8">
        <w:t>.</w:t>
      </w:r>
      <w:r w:rsidR="00A86414" w:rsidRPr="004C78D8">
        <w:t>2</w:t>
      </w:r>
      <w:r w:rsidR="001E6821" w:rsidRPr="004C78D8">
        <w:t xml:space="preserve">.4.2 describes the </w:t>
      </w:r>
      <w:r w:rsidR="008B2368" w:rsidRPr="004C78D8">
        <w:t>parameterisation using ELSA</w:t>
      </w:r>
      <w:r w:rsidR="001E6821" w:rsidRPr="004C78D8">
        <w:t>.</w:t>
      </w:r>
    </w:p>
    <w:p w14:paraId="50F46CF5" w14:textId="1424A76B" w:rsidR="00237D0C" w:rsidRPr="004C78D8" w:rsidRDefault="001E6821" w:rsidP="00FB7C1F">
      <w:r w:rsidRPr="004C78D8">
        <w:t>Under current practice, cognitively impaired persons are still eligible to participate in group exercise</w:t>
      </w:r>
      <w:r w:rsidR="00C337F1" w:rsidRPr="004C78D8">
        <w:t xml:space="preserve"> </w:t>
      </w:r>
      <w:r w:rsidR="00C337F1" w:rsidRPr="004C78D8">
        <w:fldChar w:fldCharType="begin"/>
      </w:r>
      <w:r w:rsidR="00C630FC" w:rsidRPr="004C78D8">
        <w:instrText xml:space="preserve"> ADDIN EN.CITE &lt;EndNote&gt;&lt;Cite&gt;&lt;Author&gt;Sport Industry Research Centre&lt;/Author&gt;&lt;Year&gt;2019&lt;/Year&gt;&lt;RecNum&gt;110&lt;/RecNum&gt;&lt;DisplayText&gt;[196]&lt;/DisplayText&gt;&lt;record&gt;&lt;rec-number&gt;110&lt;/rec-number&gt;&lt;foreign-keys&gt;&lt;key app="EN" db-id="tdtrdw9aepptzbefsat599syza29sxsd2wsp" timestamp="1598262067"&gt;110&lt;/key&gt;&lt;/foreign-keys&gt;&lt;ref-type name="Journal Article"&gt;17&lt;/ref-type&gt;&lt;contributors&gt;&lt;authors&gt;&lt;author&gt;Sport Industry Research Centre,&lt;/author&gt;&lt;/authors&gt;&lt;/contributors&gt;&lt;titles&gt;&lt;title&gt;Dance to Health &amp;apos;Phase 1 roll-out [test and learn]&amp;apos; evaluation&lt;/title&gt;&lt;secondary-title&gt;Sheffield Hallam University&lt;/secondary-title&gt;&lt;/titles&gt;&lt;periodical&gt;&lt;full-title&gt;Sheffield Hallam University&lt;/full-title&gt;&lt;/periodical&gt;&lt;dates&gt;&lt;year&gt;2019&lt;/year&gt;&lt;/dates&gt;&lt;urls&gt;&lt;/urls&gt;&lt;/record&gt;&lt;/Cite&gt;&lt;/EndNote&gt;</w:instrText>
      </w:r>
      <w:r w:rsidR="00C337F1" w:rsidRPr="004C78D8">
        <w:fldChar w:fldCharType="separate"/>
      </w:r>
      <w:r w:rsidR="00C630FC" w:rsidRPr="004C78D8">
        <w:rPr>
          <w:noProof/>
        </w:rPr>
        <w:t>[196]</w:t>
      </w:r>
      <w:r w:rsidR="00C337F1" w:rsidRPr="004C78D8">
        <w:fldChar w:fldCharType="end"/>
      </w:r>
      <w:r w:rsidRPr="004C78D8">
        <w:t xml:space="preserve">. Hence, </w:t>
      </w:r>
      <w:r w:rsidR="00347E75" w:rsidRPr="004C78D8">
        <w:t>UC</w:t>
      </w:r>
      <w:r w:rsidRPr="004C78D8">
        <w:t xml:space="preserve"> does not exclude th</w:t>
      </w:r>
      <w:r w:rsidR="00776CDB" w:rsidRPr="004C78D8">
        <w:t>is</w:t>
      </w:r>
      <w:r w:rsidRPr="004C78D8">
        <w:t xml:space="preserve"> subgroup from intervention</w:t>
      </w:r>
      <w:r w:rsidR="00C337F1" w:rsidRPr="004C78D8">
        <w:t xml:space="preserve"> receipt</w:t>
      </w:r>
      <w:r w:rsidRPr="004C78D8">
        <w:t xml:space="preserve">. </w:t>
      </w:r>
      <w:r w:rsidR="00252087" w:rsidRPr="004C78D8">
        <w:t xml:space="preserve">Moreover, those with intervention history are actively encouraged to sustain participation in the exercise programme. Therefore, </w:t>
      </w:r>
      <w:r w:rsidR="00347E75" w:rsidRPr="004C78D8">
        <w:t>UC</w:t>
      </w:r>
      <w:r w:rsidR="00776CDB" w:rsidRPr="004C78D8">
        <w:t xml:space="preserve"> </w:t>
      </w:r>
      <w:r w:rsidR="004B7B8C" w:rsidRPr="004C78D8">
        <w:t xml:space="preserve">also </w:t>
      </w:r>
      <w:r w:rsidR="00776CDB" w:rsidRPr="004C78D8">
        <w:t xml:space="preserve">does not exclude this subgroup from </w:t>
      </w:r>
      <w:r w:rsidR="004B7B8C" w:rsidRPr="004C78D8">
        <w:t>intervention</w:t>
      </w:r>
      <w:r w:rsidR="00776CDB" w:rsidRPr="004C78D8">
        <w:t xml:space="preserve"> </w:t>
      </w:r>
      <w:r w:rsidR="00C337F1" w:rsidRPr="004C78D8">
        <w:t>receipt</w:t>
      </w:r>
      <w:r w:rsidR="00776CDB" w:rsidRPr="004C78D8">
        <w:t xml:space="preserve">. </w:t>
      </w:r>
      <w:r w:rsidR="00B44D65" w:rsidRPr="004C78D8">
        <w:t xml:space="preserve">The UK guidelines </w:t>
      </w:r>
      <w:r w:rsidR="00422764" w:rsidRPr="004C78D8">
        <w:t xml:space="preserve">similarly </w:t>
      </w:r>
      <w:r w:rsidR="00B44D65" w:rsidRPr="004C78D8">
        <w:t xml:space="preserve">recommend </w:t>
      </w:r>
      <w:r w:rsidR="00347E75" w:rsidRPr="004C78D8">
        <w:t xml:space="preserve">supervised, tailored </w:t>
      </w:r>
      <w:r w:rsidR="00B44D65" w:rsidRPr="004C78D8">
        <w:t xml:space="preserve">exercise interventions for cognitively impaired persons </w:t>
      </w:r>
      <w:r w:rsidR="00531A84" w:rsidRPr="004C78D8">
        <w:t>and sustained participation for all with intervention history</w:t>
      </w:r>
      <w:r w:rsidR="00C337F1" w:rsidRPr="004C78D8">
        <w:t xml:space="preserve"> </w:t>
      </w:r>
      <w:r w:rsidR="00C337F1" w:rsidRPr="004C78D8">
        <w:fldChar w:fldCharType="begin"/>
      </w:r>
      <w:r w:rsidR="00513646" w:rsidRPr="004C78D8">
        <w:instrText xml:space="preserve"> ADDIN EN.CITE &lt;EndNote&gt;&lt;Cite&gt;&lt;Author&gt;Public Health England&lt;/Author&gt;&lt;Year&gt;2017&lt;/Year&gt;&lt;RecNum&gt;533&lt;/RecNum&gt;&lt;DisplayText&gt;[113, 143]&lt;/DisplayText&gt;&lt;record&gt;&lt;rec-number&gt;533&lt;/rec-number&gt;&lt;foreign-keys&gt;&lt;key app="EN" db-id="tdtrdw9aepptzbefsat599syza29sxsd2wsp" timestamp="1618261096"&gt;533&lt;/key&gt;&lt;/foreign-keys&gt;&lt;ref-type name="Journal Article"&gt;17&lt;/ref-type&gt;&lt;contributors&gt;&lt;authors&gt;&lt;author&gt;Public Health England,&lt;/author&gt;&lt;/authors&gt;&lt;/contributors&gt;&lt;titles&gt;&lt;title&gt;Falls and fracture consensus statement: Supporting commissioning for prevention&lt;/title&gt;&lt;secondary-title&gt;London: Public Health England&lt;/secondary-title&gt;&lt;/titles&gt;&lt;periodical&gt;&lt;full-title&gt;London: Public Health England&lt;/full-title&gt;&lt;/periodical&gt;&lt;dates&gt;&lt;year&gt;2017&lt;/year&gt;&lt;/dates&gt;&lt;urls&gt;&lt;/urls&gt;&lt;/record&gt;&lt;/Cite&gt;&lt;Cite&gt;&lt;Author&gt;Foster&lt;/Author&gt;&lt;Year&gt;2019&lt;/Year&gt;&lt;RecNum&gt;274&lt;/RecNum&gt;&lt;record&gt;&lt;rec-number&gt;274&lt;/rec-number&gt;&lt;foreign-keys&gt;&lt;key app="EN" db-id="tdtrdw9aepptzbefsat599syza29sxsd2wsp" timestamp="1611696027"&gt;274&lt;/key&gt;&lt;/foreign-keys&gt;&lt;ref-type name="Journal Article"&gt;17&lt;/ref-type&gt;&lt;contributors&gt;&lt;authors&gt;&lt;author&gt;Foster, C&lt;/author&gt;&lt;author&gt;Reilly, J&lt;/author&gt;&lt;author&gt;Jago, R&lt;/author&gt;&lt;author&gt;Murphy, M&lt;/author&gt;&lt;author&gt;Skelton, D&lt;/author&gt;&lt;author&gt;Cooper, A&lt;/author&gt;&lt;author&gt;Pulsford, A&lt;/author&gt;&lt;author&gt;Pulsford, R&lt;/author&gt;&lt;author&gt;Smith, B&lt;/author&gt;&lt;author&gt;Mutrie, N&lt;/author&gt;&lt;/authors&gt;&lt;/contributors&gt;&lt;titles&gt;&lt;title&gt;UK Chief Medical Officers&amp;apos; Physical Activity Guidelines&lt;/title&gt;&lt;secondary-title&gt;Department of Health and Social Care&lt;/secondary-title&gt;&lt;/titles&gt;&lt;periodical&gt;&lt;full-title&gt;Department of Health and Social Care&lt;/full-title&gt;&lt;/periodical&gt;&lt;dates&gt;&lt;year&gt;2019&lt;/year&gt;&lt;/dates&gt;&lt;urls&gt;&lt;/urls&gt;&lt;/record&gt;&lt;/Cite&gt;&lt;/EndNote&gt;</w:instrText>
      </w:r>
      <w:r w:rsidR="00C337F1" w:rsidRPr="004C78D8">
        <w:fldChar w:fldCharType="separate"/>
      </w:r>
      <w:r w:rsidR="00513646" w:rsidRPr="004C78D8">
        <w:rPr>
          <w:noProof/>
        </w:rPr>
        <w:t>[113, 143]</w:t>
      </w:r>
      <w:r w:rsidR="00C337F1" w:rsidRPr="004C78D8">
        <w:fldChar w:fldCharType="end"/>
      </w:r>
      <w:r w:rsidR="00B44D65" w:rsidRPr="004C78D8">
        <w:t xml:space="preserve">. </w:t>
      </w:r>
      <w:r w:rsidR="00531A84" w:rsidRPr="004C78D8">
        <w:t>Therefore</w:t>
      </w:r>
      <w:r w:rsidR="00B44D65" w:rsidRPr="004C78D8">
        <w:t xml:space="preserve">, </w:t>
      </w:r>
      <w:r w:rsidR="00347E75" w:rsidRPr="004C78D8">
        <w:t>RC incorporates</w:t>
      </w:r>
      <w:r w:rsidR="00B44D65" w:rsidRPr="004C78D8">
        <w:t xml:space="preserve"> full coverage for cognitively impaired persons</w:t>
      </w:r>
      <w:r w:rsidR="00531A84" w:rsidRPr="004C78D8">
        <w:t xml:space="preserve"> and those with intervention history</w:t>
      </w:r>
      <w:r w:rsidR="00C337F1" w:rsidRPr="004C78D8">
        <w:t xml:space="preserve"> pending</w:t>
      </w:r>
      <w:r w:rsidR="00B44D65" w:rsidRPr="004C78D8">
        <w:t xml:space="preserve"> demand. </w:t>
      </w:r>
    </w:p>
    <w:p w14:paraId="7737F01F" w14:textId="46B0FEC8" w:rsidR="00C337F1" w:rsidRPr="004C78D8" w:rsidRDefault="00531A84" w:rsidP="00FB7C1F">
      <w:r w:rsidRPr="004C78D8">
        <w:t>The intervention study evidence for the proactive pathway was drawn from three UK-based RCTs: (i)</w:t>
      </w:r>
      <w:r w:rsidR="004651AA" w:rsidRPr="004C78D8">
        <w:t xml:space="preserve"> a </w:t>
      </w:r>
      <w:r w:rsidR="00C114B1" w:rsidRPr="004C78D8">
        <w:t xml:space="preserve">24-week </w:t>
      </w:r>
      <w:r w:rsidR="004651AA" w:rsidRPr="004C78D8">
        <w:t>group-</w:t>
      </w:r>
      <w:r w:rsidR="00C114B1" w:rsidRPr="004C78D8">
        <w:t xml:space="preserve"> and home-</w:t>
      </w:r>
      <w:r w:rsidR="004651AA" w:rsidRPr="004C78D8">
        <w:t>based exercise intervention evaluated against usual care for cognitively intact persons aged 65</w:t>
      </w:r>
      <w:r w:rsidR="00347E75" w:rsidRPr="004C78D8">
        <w:t>+</w:t>
      </w:r>
      <w:r w:rsidR="004651AA" w:rsidRPr="004C78D8">
        <w:t xml:space="preserve"> </w:t>
      </w:r>
      <w:r w:rsidR="00C337F1" w:rsidRPr="004C78D8">
        <w:t xml:space="preserve">(recruited via postal invites) </w:t>
      </w:r>
      <w:r w:rsidR="004651AA" w:rsidRPr="004C78D8">
        <w:t xml:space="preserve">who have experienced less than </w:t>
      </w:r>
      <w:r w:rsidR="00347E75" w:rsidRPr="004C78D8">
        <w:t>three</w:t>
      </w:r>
      <w:r w:rsidR="004651AA" w:rsidRPr="004C78D8">
        <w:t xml:space="preserve"> falls in the past year </w:t>
      </w:r>
      <w:r w:rsidR="00C337F1" w:rsidRPr="004C78D8">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instrText xml:space="preserve"> ADDIN EN.CITE </w:instrText>
      </w:r>
      <w:r w:rsidR="00513646" w:rsidRPr="004C78D8">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instrText xml:space="preserve"> ADDIN EN.CITE.DATA </w:instrText>
      </w:r>
      <w:r w:rsidR="00513646" w:rsidRPr="004C78D8">
        <w:fldChar w:fldCharType="end"/>
      </w:r>
      <w:r w:rsidR="00C337F1" w:rsidRPr="004C78D8">
        <w:fldChar w:fldCharType="separate"/>
      </w:r>
      <w:r w:rsidR="00513646" w:rsidRPr="004C78D8">
        <w:rPr>
          <w:noProof/>
        </w:rPr>
        <w:t>[135]</w:t>
      </w:r>
      <w:r w:rsidR="00C337F1" w:rsidRPr="004C78D8">
        <w:fldChar w:fldCharType="end"/>
      </w:r>
      <w:r w:rsidR="004651AA" w:rsidRPr="004C78D8">
        <w:t xml:space="preserve">; (ii) a </w:t>
      </w:r>
      <w:r w:rsidR="00C114B1" w:rsidRPr="004C78D8">
        <w:t xml:space="preserve">36-week </w:t>
      </w:r>
      <w:r w:rsidR="004651AA" w:rsidRPr="004C78D8">
        <w:t>group-</w:t>
      </w:r>
      <w:r w:rsidR="00C114B1" w:rsidRPr="004C78D8">
        <w:t xml:space="preserve"> and home-</w:t>
      </w:r>
      <w:r w:rsidR="004651AA" w:rsidRPr="004C78D8">
        <w:t xml:space="preserve">based exercise for </w:t>
      </w:r>
      <w:r w:rsidR="00706490" w:rsidRPr="004C78D8">
        <w:t xml:space="preserve">cognitively intact </w:t>
      </w:r>
      <w:r w:rsidR="004651AA" w:rsidRPr="004C78D8">
        <w:t>women aged 65</w:t>
      </w:r>
      <w:r w:rsidR="00347E75" w:rsidRPr="004C78D8">
        <w:t>+</w:t>
      </w:r>
      <w:r w:rsidR="004651AA" w:rsidRPr="004C78D8">
        <w:t xml:space="preserve"> with </w:t>
      </w:r>
      <w:r w:rsidR="00347E75" w:rsidRPr="004C78D8">
        <w:t>three</w:t>
      </w:r>
      <w:r w:rsidR="004651AA" w:rsidRPr="004C78D8">
        <w:t xml:space="preserve"> or more falls in past year </w:t>
      </w:r>
      <w:r w:rsidR="00C337F1" w:rsidRPr="004C78D8">
        <w:fldChar w:fldCharType="begin"/>
      </w:r>
      <w:r w:rsidR="00513646" w:rsidRPr="004C78D8">
        <w:instrText xml:space="preserve"> ADDIN EN.CITE &lt;EndNote&gt;&lt;Cite&gt;&lt;Author&gt;Skelton&lt;/Author&gt;&lt;Year&gt;2005&lt;/Year&gt;&lt;RecNum&gt;481&lt;/RecNum&gt;&lt;DisplayText&gt;[136]&lt;/DisplayText&gt;&lt;record&gt;&lt;rec-number&gt;481&lt;/rec-number&gt;&lt;foreign-keys&gt;&lt;key app="EN" db-id="tdtrdw9aepptzbefsat599syza29sxsd2wsp" timestamp="1616578116"&gt;481&lt;/key&gt;&lt;/foreign-keys&gt;&lt;ref-type name="Journal Article"&gt;17&lt;/ref-type&gt;&lt;contributors&gt;&lt;authors&gt;&lt;author&gt;Skelton, Dawn&lt;/author&gt;&lt;author&gt;Dinan, Susie&lt;/author&gt;&lt;author&gt;Campbell, Malcolm&lt;/author&gt;&lt;author&gt;Rutherford, Olga&lt;/author&gt;&lt;/authors&gt;&lt;/contributors&gt;&lt;titles&gt;&lt;title&gt;Tailored group exercise (Falls Management Exercise—FaME) reduces falls in community-dwelling older frequent fallers (an RCT)&lt;/title&gt;&lt;secondary-title&gt;Age and ageing&lt;/secondary-title&gt;&lt;/titles&gt;&lt;periodical&gt;&lt;full-title&gt;Age and ageing&lt;/full-title&gt;&lt;/periodical&gt;&lt;pages&gt;636-639&lt;/pages&gt;&lt;volume&gt;34&lt;/volume&gt;&lt;number&gt;6&lt;/number&gt;&lt;dates&gt;&lt;year&gt;2005&lt;/year&gt;&lt;/dates&gt;&lt;isbn&gt;1468-2834&lt;/isbn&gt;&lt;urls&gt;&lt;/urls&gt;&lt;/record&gt;&lt;/Cite&gt;&lt;/EndNote&gt;</w:instrText>
      </w:r>
      <w:r w:rsidR="00C337F1" w:rsidRPr="004C78D8">
        <w:fldChar w:fldCharType="separate"/>
      </w:r>
      <w:r w:rsidR="00513646" w:rsidRPr="004C78D8">
        <w:rPr>
          <w:noProof/>
        </w:rPr>
        <w:t>[136]</w:t>
      </w:r>
      <w:r w:rsidR="00C337F1" w:rsidRPr="004C78D8">
        <w:fldChar w:fldCharType="end"/>
      </w:r>
      <w:r w:rsidR="004651AA" w:rsidRPr="004C78D8">
        <w:t xml:space="preserve">; and (iii) </w:t>
      </w:r>
      <w:r w:rsidR="00C337F1" w:rsidRPr="004C78D8">
        <w:t>the</w:t>
      </w:r>
      <w:r w:rsidR="00110643" w:rsidRPr="004C78D8">
        <w:t xml:space="preserve"> </w:t>
      </w:r>
      <w:r w:rsidR="003922AF" w:rsidRPr="004C78D8">
        <w:t xml:space="preserve">aforementioned </w:t>
      </w:r>
      <w:r w:rsidR="00C114B1" w:rsidRPr="004C78D8">
        <w:t xml:space="preserve">20-week </w:t>
      </w:r>
      <w:r w:rsidR="00110643" w:rsidRPr="004C78D8">
        <w:t>group-</w:t>
      </w:r>
      <w:r w:rsidR="00C114B1" w:rsidRPr="004C78D8">
        <w:t xml:space="preserve"> and home-</w:t>
      </w:r>
      <w:r w:rsidR="00110643" w:rsidRPr="004C78D8">
        <w:t xml:space="preserve">based Tai Chi intervention </w:t>
      </w:r>
      <w:r w:rsidR="00347E75" w:rsidRPr="004C78D8">
        <w:t>for cognitively impaired</w:t>
      </w:r>
      <w:r w:rsidR="00C337F1" w:rsidRPr="004C78D8">
        <w:t xml:space="preserve"> </w:t>
      </w:r>
      <w:r w:rsidR="00C337F1" w:rsidRPr="004C78D8">
        <w:fldChar w:fldCharType="begin"/>
      </w:r>
      <w:r w:rsidR="00C630FC" w:rsidRPr="004C78D8">
        <w:instrText xml:space="preserve"> ADDIN EN.CITE &lt;EndNote&gt;&lt;Cite&gt;&lt;Author&gt;Nyman&lt;/Author&gt;&lt;Year&gt;2019&lt;/Year&gt;&lt;RecNum&gt;281&lt;/RecNum&gt;&lt;DisplayText&gt;[235]&lt;/DisplayText&gt;&lt;record&gt;&lt;rec-number&gt;281&lt;/rec-number&gt;&lt;foreign-keys&gt;&lt;key app="EN" db-id="tdtrdw9aepptzbefsat599syza29sxsd2wsp" timestamp="1611699160"&gt;281&lt;/key&gt;&lt;/foreign-keys&gt;&lt;ref-type name="Journal Article"&gt;17&lt;/ref-type&gt;&lt;contributors&gt;&lt;authors&gt;&lt;author&gt;Nyman, Samuel R&lt;/author&gt;&lt;author&gt;Ingram, Wendy&lt;/author&gt;&lt;author&gt;Sanders, Jeanette&lt;/author&gt;&lt;author&gt;Thomas, Peter W&lt;/author&gt;&lt;author&gt;Thomas, Sarah&lt;/author&gt;&lt;author&gt;Vassallo, Michael&lt;/author&gt;&lt;author&gt;Raftery, James&lt;/author&gt;&lt;author&gt;Bibi, Iram&lt;/author&gt;&lt;author&gt;Barrado-Martín, Yolanda&lt;/author&gt;&lt;/authors&gt;&lt;/contributors&gt;&lt;titles&gt;&lt;title&gt;Randomised controlled trial of the effect of Tai Chi on postural balance of people with dementia&lt;/title&gt;&lt;secondary-title&gt;Clinical interventions in aging&lt;/secondary-title&gt;&lt;/titles&gt;&lt;periodical&gt;&lt;full-title&gt;Clin Interv Aging&lt;/full-title&gt;&lt;abbr-1&gt;Clinical interventions in aging&lt;/abbr-1&gt;&lt;/periodical&gt;&lt;pages&gt;2017&lt;/pages&gt;&lt;volume&gt;14&lt;/volume&gt;&lt;dates&gt;&lt;year&gt;2019&lt;/year&gt;&lt;/dates&gt;&lt;urls&gt;&lt;/urls&gt;&lt;/record&gt;&lt;/Cite&gt;&lt;/EndNote&gt;</w:instrText>
      </w:r>
      <w:r w:rsidR="00C337F1" w:rsidRPr="004C78D8">
        <w:fldChar w:fldCharType="separate"/>
      </w:r>
      <w:r w:rsidR="00C630FC" w:rsidRPr="004C78D8">
        <w:rPr>
          <w:noProof/>
        </w:rPr>
        <w:t>[235]</w:t>
      </w:r>
      <w:r w:rsidR="00C337F1" w:rsidRPr="004C78D8">
        <w:fldChar w:fldCharType="end"/>
      </w:r>
      <w:r w:rsidR="00EE0277" w:rsidRPr="004C78D8">
        <w:t>.</w:t>
      </w:r>
    </w:p>
    <w:p w14:paraId="5ED652CE" w14:textId="7505F6D0" w:rsidR="00FC3785" w:rsidRPr="004C78D8" w:rsidRDefault="00440095" w:rsidP="00FB7C1F">
      <w:pPr>
        <w:pStyle w:val="Heading4"/>
      </w:pPr>
      <w:r w:rsidRPr="004C78D8">
        <w:t>5</w:t>
      </w:r>
      <w:r w:rsidR="00563E1E" w:rsidRPr="004C78D8">
        <w:t>.</w:t>
      </w:r>
      <w:r w:rsidR="00332ADA" w:rsidRPr="004C78D8">
        <w:t>2</w:t>
      </w:r>
      <w:r w:rsidR="00563E1E" w:rsidRPr="004C78D8">
        <w:t>.</w:t>
      </w:r>
      <w:r w:rsidR="00480861" w:rsidRPr="004C78D8">
        <w:t>4</w:t>
      </w:r>
      <w:r w:rsidR="00563E1E" w:rsidRPr="004C78D8">
        <w:t>.</w:t>
      </w:r>
      <w:r w:rsidR="00697753" w:rsidRPr="004C78D8">
        <w:t>2</w:t>
      </w:r>
      <w:r w:rsidR="00563E1E" w:rsidRPr="004C78D8">
        <w:t xml:space="preserve"> </w:t>
      </w:r>
      <w:r w:rsidR="00697753" w:rsidRPr="004C78D8">
        <w:t>Intervention access</w:t>
      </w:r>
      <w:r w:rsidR="004B7B8C" w:rsidRPr="004C78D8">
        <w:t xml:space="preserve"> </w:t>
      </w:r>
      <w:r w:rsidR="0039687C" w:rsidRPr="004C78D8">
        <w:t>conditions</w:t>
      </w:r>
    </w:p>
    <w:p w14:paraId="5961DDEC" w14:textId="2B7629D8" w:rsidR="00CB25B8" w:rsidRPr="004C78D8" w:rsidRDefault="00E515C4" w:rsidP="00FB7C1F">
      <w:r w:rsidRPr="004C78D8">
        <w:t>This section parameteri</w:t>
      </w:r>
      <w:r w:rsidR="00F4332F" w:rsidRPr="004C78D8">
        <w:t>s</w:t>
      </w:r>
      <w:r w:rsidRPr="004C78D8">
        <w:t xml:space="preserve">es the intervention access rates for </w:t>
      </w:r>
      <w:r w:rsidR="00570BB3" w:rsidRPr="004C78D8">
        <w:t>UC and RC</w:t>
      </w:r>
      <w:r w:rsidRPr="004C78D8">
        <w:t xml:space="preserve"> scenarios. </w:t>
      </w:r>
      <w:r w:rsidR="00570BB3" w:rsidRPr="004C78D8">
        <w:t xml:space="preserve">Initial and long-term </w:t>
      </w:r>
      <w:r w:rsidR="0083488E" w:rsidRPr="004C78D8">
        <w:t xml:space="preserve">access </w:t>
      </w:r>
      <w:r w:rsidRPr="004C78D8">
        <w:t xml:space="preserve">rates </w:t>
      </w:r>
      <w:r w:rsidR="0083488E" w:rsidRPr="004C78D8">
        <w:t>are</w:t>
      </w:r>
      <w:r w:rsidRPr="004C78D8">
        <w:t xml:space="preserve"> determined by</w:t>
      </w:r>
      <w:r w:rsidR="00E06C6A" w:rsidRPr="004C78D8">
        <w:t xml:space="preserve"> </w:t>
      </w:r>
      <w:r w:rsidRPr="004C78D8">
        <w:t xml:space="preserve">eligibility </w:t>
      </w:r>
      <w:r w:rsidR="00E06C6A" w:rsidRPr="004C78D8">
        <w:t xml:space="preserve">and </w:t>
      </w:r>
      <w:r w:rsidRPr="004C78D8">
        <w:t xml:space="preserve">implementation </w:t>
      </w:r>
      <w:r w:rsidR="00570BB3" w:rsidRPr="004C78D8">
        <w:t>level</w:t>
      </w:r>
      <w:r w:rsidR="003922AF" w:rsidRPr="004C78D8">
        <w:t>s</w:t>
      </w:r>
      <w:r w:rsidRPr="004C78D8">
        <w:t xml:space="preserve"> (</w:t>
      </w:r>
      <w:r w:rsidR="00E06C6A" w:rsidRPr="004C78D8">
        <w:t>i.e.,</w:t>
      </w:r>
      <w:r w:rsidRPr="004C78D8">
        <w:t xml:space="preserve"> supply and demand</w:t>
      </w:r>
      <w:r w:rsidR="00E06C6A" w:rsidRPr="004C78D8">
        <w:t xml:space="preserve"> levels</w:t>
      </w:r>
      <w:r w:rsidRPr="004C78D8">
        <w:t>)</w:t>
      </w:r>
      <w:r w:rsidR="00CC72C8" w:rsidRPr="004C78D8">
        <w:t>.</w:t>
      </w:r>
    </w:p>
    <w:p w14:paraId="597D7629" w14:textId="49547214" w:rsidR="00563E1E" w:rsidRPr="004C78D8" w:rsidRDefault="00563E1E" w:rsidP="00FB7C1F">
      <w:pPr>
        <w:pStyle w:val="Heading5"/>
      </w:pPr>
      <w:r w:rsidRPr="004C78D8">
        <w:t>Reactive pathway</w:t>
      </w:r>
    </w:p>
    <w:p w14:paraId="0EF70B90" w14:textId="00DA8FB1" w:rsidR="00137A23" w:rsidRPr="004C78D8" w:rsidRDefault="00E57F09" w:rsidP="00FB7C1F">
      <w:r w:rsidRPr="004C78D8">
        <w:t xml:space="preserve">In </w:t>
      </w:r>
      <w:r w:rsidR="008B31D8" w:rsidRPr="004C78D8">
        <w:t>practice</w:t>
      </w:r>
      <w:r w:rsidRPr="004C78D8">
        <w:t xml:space="preserve">, reactive interventions would be accessed by fallers immediately after being discharged from </w:t>
      </w:r>
      <w:r w:rsidR="001A71CB" w:rsidRPr="004C78D8">
        <w:t xml:space="preserve">the </w:t>
      </w:r>
      <w:r w:rsidR="0088560B" w:rsidRPr="004C78D8">
        <w:t xml:space="preserve">fall-related </w:t>
      </w:r>
      <w:r w:rsidRPr="004C78D8">
        <w:t xml:space="preserve">medical attention. </w:t>
      </w:r>
      <w:r w:rsidR="008B31D8" w:rsidRPr="004C78D8">
        <w:t xml:space="preserve">This process is simulated in the model by </w:t>
      </w:r>
      <w:r w:rsidR="00F8696F" w:rsidRPr="004C78D8">
        <w:t xml:space="preserve">making </w:t>
      </w:r>
      <w:r w:rsidR="008B31D8" w:rsidRPr="004C78D8">
        <w:t>reactive intervention</w:t>
      </w:r>
      <w:r w:rsidR="00F8696F" w:rsidRPr="004C78D8">
        <w:t xml:space="preserve"> </w:t>
      </w:r>
      <w:r w:rsidR="0083488E" w:rsidRPr="004C78D8">
        <w:t xml:space="preserve">accessible to eligible individuals </w:t>
      </w:r>
      <w:r w:rsidR="008B31D8" w:rsidRPr="004C78D8">
        <w:t xml:space="preserve">at the </w:t>
      </w:r>
      <w:r w:rsidR="0088560B" w:rsidRPr="004C78D8">
        <w:t>very start</w:t>
      </w:r>
      <w:r w:rsidR="008B31D8" w:rsidRPr="004C78D8">
        <w:t xml:space="preserve"> of the </w:t>
      </w:r>
      <w:r w:rsidR="009748B0" w:rsidRPr="004C78D8">
        <w:t>given</w:t>
      </w:r>
      <w:r w:rsidR="00ED751A" w:rsidRPr="004C78D8">
        <w:t xml:space="preserve"> </w:t>
      </w:r>
      <w:r w:rsidR="008B31D8" w:rsidRPr="004C78D8">
        <w:t xml:space="preserve">cycle </w:t>
      </w:r>
      <w:r w:rsidR="0088560B" w:rsidRPr="004C78D8">
        <w:t xml:space="preserve">(i.e., </w:t>
      </w:r>
      <w:r w:rsidR="00B53104" w:rsidRPr="004C78D8">
        <w:t>before</w:t>
      </w:r>
      <w:r w:rsidR="00F8696F" w:rsidRPr="004C78D8">
        <w:t xml:space="preserve"> </w:t>
      </w:r>
      <w:r w:rsidR="0088560B" w:rsidRPr="004C78D8">
        <w:t xml:space="preserve">routine </w:t>
      </w:r>
      <w:r w:rsidR="009748B0" w:rsidRPr="004C78D8">
        <w:t xml:space="preserve">GP </w:t>
      </w:r>
      <w:r w:rsidR="0088560B" w:rsidRPr="004C78D8">
        <w:t>contact</w:t>
      </w:r>
      <w:r w:rsidR="00F8696F" w:rsidRPr="004C78D8">
        <w:t xml:space="preserve">). </w:t>
      </w:r>
      <w:r w:rsidR="00ED751A" w:rsidRPr="004C78D8">
        <w:t xml:space="preserve">Those who access the intervention would have a reduced risk of </w:t>
      </w:r>
      <w:r w:rsidR="00642633" w:rsidRPr="004C78D8">
        <w:t xml:space="preserve">falling in the </w:t>
      </w:r>
      <w:r w:rsidR="009748B0" w:rsidRPr="004C78D8">
        <w:t>given</w:t>
      </w:r>
      <w:r w:rsidR="00642633" w:rsidRPr="004C78D8">
        <w:t xml:space="preserve"> cycle</w:t>
      </w:r>
      <w:r w:rsidR="00ED751A" w:rsidRPr="004C78D8">
        <w:t xml:space="preserve">. </w:t>
      </w:r>
      <w:r w:rsidR="00122F51" w:rsidRPr="004C78D8">
        <w:t xml:space="preserve">A limitation of this approach is that </w:t>
      </w:r>
      <w:r w:rsidR="00642633" w:rsidRPr="004C78D8">
        <w:t xml:space="preserve">the </w:t>
      </w:r>
      <w:r w:rsidR="001A71CB" w:rsidRPr="004C78D8">
        <w:t xml:space="preserve">MA fall in the previous cycle (for which the intervention is given) has already influenced the dynamic trajectories between the previous and </w:t>
      </w:r>
      <w:r w:rsidR="009748B0" w:rsidRPr="004C78D8">
        <w:t>given</w:t>
      </w:r>
      <w:r w:rsidR="001A71CB" w:rsidRPr="004C78D8">
        <w:t xml:space="preserve"> cycles (see Section </w:t>
      </w:r>
      <w:r w:rsidR="00440095" w:rsidRPr="004C78D8">
        <w:t>5</w:t>
      </w:r>
      <w:r w:rsidR="001A71CB" w:rsidRPr="004C78D8">
        <w:t>.</w:t>
      </w:r>
      <w:r w:rsidR="00856472" w:rsidRPr="004C78D8">
        <w:t>2</w:t>
      </w:r>
      <w:r w:rsidR="001A71CB" w:rsidRPr="004C78D8">
        <w:t>.</w:t>
      </w:r>
      <w:r w:rsidR="009748B0" w:rsidRPr="004C78D8">
        <w:t>6.1</w:t>
      </w:r>
      <w:r w:rsidR="001A71CB" w:rsidRPr="004C78D8">
        <w:t>) and the intervention is unable to modify this influence</w:t>
      </w:r>
      <w:r w:rsidR="009748B0" w:rsidRPr="004C78D8">
        <w:t>;</w:t>
      </w:r>
      <w:r w:rsidR="00642633" w:rsidRPr="004C78D8">
        <w:t xml:space="preserve"> </w:t>
      </w:r>
      <w:r w:rsidR="009748B0" w:rsidRPr="004C78D8">
        <w:t>t</w:t>
      </w:r>
      <w:r w:rsidR="00642633" w:rsidRPr="004C78D8">
        <w:t>his underestimates t</w:t>
      </w:r>
      <w:r w:rsidR="00122F51" w:rsidRPr="004C78D8">
        <w:t xml:space="preserve">he reactive intervention </w:t>
      </w:r>
      <w:r w:rsidR="009748B0" w:rsidRPr="004C78D8">
        <w:t>benefits</w:t>
      </w:r>
      <w:r w:rsidR="00ED751A" w:rsidRPr="004C78D8">
        <w:t xml:space="preserve">. </w:t>
      </w:r>
    </w:p>
    <w:p w14:paraId="61CD5429" w14:textId="5BC722BC" w:rsidR="004E1436" w:rsidRPr="004C78D8" w:rsidRDefault="00896A69" w:rsidP="00FB7C1F">
      <w:r w:rsidRPr="004C78D8">
        <w:t xml:space="preserve">Table </w:t>
      </w:r>
      <w:r w:rsidR="00440095" w:rsidRPr="004C78D8">
        <w:t>5</w:t>
      </w:r>
      <w:r w:rsidR="00A41AC1" w:rsidRPr="004C78D8">
        <w:t>.2</w:t>
      </w:r>
      <w:r w:rsidR="006A252D" w:rsidRPr="004C78D8">
        <w:t>6</w:t>
      </w:r>
      <w:r w:rsidRPr="004C78D8">
        <w:t xml:space="preserve"> summari</w:t>
      </w:r>
      <w:r w:rsidR="00775757" w:rsidRPr="004C78D8">
        <w:t>s</w:t>
      </w:r>
      <w:r w:rsidRPr="004C78D8">
        <w:t xml:space="preserve">es the eligibility and access </w:t>
      </w:r>
      <w:r w:rsidR="00EB431B" w:rsidRPr="004C78D8">
        <w:t xml:space="preserve">rates for the reactive pathway </w:t>
      </w:r>
      <w:r w:rsidRPr="004C78D8">
        <w:t xml:space="preserve">under </w:t>
      </w:r>
      <w:r w:rsidR="00775757" w:rsidRPr="004C78D8">
        <w:t>UC and RC</w:t>
      </w:r>
      <w:r w:rsidRPr="004C78D8">
        <w:t xml:space="preserve">. </w:t>
      </w:r>
      <w:r w:rsidR="004E1436" w:rsidRPr="004C78D8">
        <w:t xml:space="preserve">Under </w:t>
      </w:r>
      <w:r w:rsidR="00775757" w:rsidRPr="004C78D8">
        <w:t>UC</w:t>
      </w:r>
      <w:r w:rsidR="004E1436" w:rsidRPr="004C78D8">
        <w:t xml:space="preserve">, </w:t>
      </w:r>
      <w:r w:rsidR="00CA1259" w:rsidRPr="004C78D8">
        <w:t xml:space="preserve">only </w:t>
      </w:r>
      <w:r w:rsidR="009C0397" w:rsidRPr="004C78D8">
        <w:t>the hospitalised</w:t>
      </w:r>
      <w:r w:rsidR="004E1436" w:rsidRPr="004C78D8">
        <w:t xml:space="preserve"> MA fall patients</w:t>
      </w:r>
      <w:r w:rsidR="00CA1259" w:rsidRPr="004C78D8">
        <w:t xml:space="preserve"> are eligible for </w:t>
      </w:r>
      <w:r w:rsidR="004B3447" w:rsidRPr="004C78D8">
        <w:t>HAM</w:t>
      </w:r>
      <w:r w:rsidR="00CA1259" w:rsidRPr="004C78D8">
        <w:t xml:space="preserve">. </w:t>
      </w:r>
      <w:r w:rsidR="004B3447" w:rsidRPr="004C78D8">
        <w:t xml:space="preserve">This means that only a proportion of MA fallers receive </w:t>
      </w:r>
      <w:r w:rsidR="0086451C" w:rsidRPr="004C78D8">
        <w:t>HAM</w:t>
      </w:r>
      <w:r w:rsidR="004B3447" w:rsidRPr="004C78D8">
        <w:t xml:space="preserve">, though access would not depend on cognitive status and intervention history. </w:t>
      </w:r>
    </w:p>
    <w:tbl>
      <w:tblPr>
        <w:tblStyle w:val="TableGrid"/>
        <w:tblW w:w="0" w:type="auto"/>
        <w:tblInd w:w="-5" w:type="dxa"/>
        <w:tblLook w:val="04A0" w:firstRow="1" w:lastRow="0" w:firstColumn="1" w:lastColumn="0" w:noHBand="0" w:noVBand="1"/>
      </w:tblPr>
      <w:tblGrid>
        <w:gridCol w:w="1271"/>
        <w:gridCol w:w="2906"/>
        <w:gridCol w:w="2906"/>
      </w:tblGrid>
      <w:tr w:rsidR="008171EF" w:rsidRPr="004C78D8" w14:paraId="6E8D9121" w14:textId="77777777" w:rsidTr="00E35893">
        <w:tc>
          <w:tcPr>
            <w:tcW w:w="7083" w:type="dxa"/>
            <w:gridSpan w:val="3"/>
          </w:tcPr>
          <w:p w14:paraId="0D5E1D0F" w14:textId="018C714D" w:rsidR="008171EF" w:rsidRPr="004C78D8" w:rsidRDefault="008171EF" w:rsidP="00FB7C1F">
            <w:pPr>
              <w:rPr>
                <w:b/>
                <w:bCs/>
                <w:sz w:val="20"/>
                <w:szCs w:val="20"/>
              </w:rPr>
            </w:pPr>
            <w:r w:rsidRPr="004C78D8">
              <w:rPr>
                <w:b/>
                <w:bCs/>
              </w:rPr>
              <w:t xml:space="preserve">Table </w:t>
            </w:r>
            <w:r w:rsidR="00440095" w:rsidRPr="004C78D8">
              <w:rPr>
                <w:b/>
                <w:bCs/>
              </w:rPr>
              <w:t>5</w:t>
            </w:r>
            <w:r w:rsidR="00A41AC1" w:rsidRPr="004C78D8">
              <w:rPr>
                <w:b/>
                <w:bCs/>
              </w:rPr>
              <w:t>.2</w:t>
            </w:r>
            <w:r w:rsidR="006A252D" w:rsidRPr="004C78D8">
              <w:rPr>
                <w:b/>
                <w:bCs/>
              </w:rPr>
              <w:t>6</w:t>
            </w:r>
            <w:r w:rsidRPr="004C78D8">
              <w:t xml:space="preserve"> Eligibility and access rates for </w:t>
            </w:r>
            <w:r w:rsidR="00EB431B" w:rsidRPr="004C78D8">
              <w:t xml:space="preserve">the reactive falls prevention pathway </w:t>
            </w:r>
            <w:r w:rsidRPr="004C78D8">
              <w:t xml:space="preserve">under usual care and </w:t>
            </w:r>
            <w:r w:rsidR="00064CF9" w:rsidRPr="004C78D8">
              <w:t xml:space="preserve">recommended </w:t>
            </w:r>
            <w:r w:rsidR="009748B0" w:rsidRPr="004C78D8">
              <w:t>care</w:t>
            </w:r>
            <w:r w:rsidRPr="004C78D8">
              <w:t xml:space="preserve"> scenarios</w:t>
            </w:r>
            <w:r w:rsidR="009748B0" w:rsidRPr="004C78D8">
              <w:t>.</w:t>
            </w:r>
          </w:p>
        </w:tc>
      </w:tr>
      <w:tr w:rsidR="008171EF" w:rsidRPr="004C78D8" w14:paraId="0F2F0CAA" w14:textId="77777777" w:rsidTr="00E35893">
        <w:tc>
          <w:tcPr>
            <w:tcW w:w="1271" w:type="dxa"/>
          </w:tcPr>
          <w:p w14:paraId="1FF90F77" w14:textId="1F648FB3" w:rsidR="008171EF" w:rsidRPr="004C78D8" w:rsidRDefault="008171EF" w:rsidP="00FB7C1F">
            <w:pPr>
              <w:rPr>
                <w:b/>
                <w:bCs/>
                <w:i/>
                <w:iCs/>
                <w:sz w:val="20"/>
                <w:szCs w:val="20"/>
              </w:rPr>
            </w:pPr>
          </w:p>
        </w:tc>
        <w:tc>
          <w:tcPr>
            <w:tcW w:w="2906" w:type="dxa"/>
          </w:tcPr>
          <w:p w14:paraId="30D2FBEF" w14:textId="38B899EB" w:rsidR="008171EF" w:rsidRPr="004C78D8" w:rsidRDefault="008171EF" w:rsidP="00FB7C1F">
            <w:pPr>
              <w:rPr>
                <w:b/>
                <w:bCs/>
                <w:sz w:val="20"/>
                <w:szCs w:val="20"/>
              </w:rPr>
            </w:pPr>
            <w:r w:rsidRPr="004C78D8">
              <w:rPr>
                <w:b/>
                <w:bCs/>
                <w:sz w:val="20"/>
                <w:szCs w:val="20"/>
              </w:rPr>
              <w:t>Usual care</w:t>
            </w:r>
          </w:p>
        </w:tc>
        <w:tc>
          <w:tcPr>
            <w:tcW w:w="2906" w:type="dxa"/>
          </w:tcPr>
          <w:p w14:paraId="2917C00A" w14:textId="2F75F4F6" w:rsidR="008171EF" w:rsidRPr="004C78D8" w:rsidRDefault="00064CF9" w:rsidP="00FB7C1F">
            <w:pPr>
              <w:rPr>
                <w:b/>
                <w:bCs/>
                <w:sz w:val="20"/>
                <w:szCs w:val="20"/>
              </w:rPr>
            </w:pPr>
            <w:r w:rsidRPr="004C78D8">
              <w:rPr>
                <w:b/>
                <w:bCs/>
                <w:sz w:val="20"/>
                <w:szCs w:val="20"/>
              </w:rPr>
              <w:t>Recommended</w:t>
            </w:r>
            <w:r w:rsidR="009748B0" w:rsidRPr="004C78D8">
              <w:rPr>
                <w:b/>
                <w:bCs/>
                <w:sz w:val="20"/>
                <w:szCs w:val="20"/>
              </w:rPr>
              <w:t xml:space="preserve"> care</w:t>
            </w:r>
          </w:p>
        </w:tc>
      </w:tr>
      <w:tr w:rsidR="00830E6F" w:rsidRPr="004C78D8" w14:paraId="0B4CD791" w14:textId="77777777" w:rsidTr="00E35893">
        <w:tc>
          <w:tcPr>
            <w:tcW w:w="7083" w:type="dxa"/>
            <w:gridSpan w:val="3"/>
            <w:tcBorders>
              <w:bottom w:val="single" w:sz="4" w:space="0" w:color="auto"/>
            </w:tcBorders>
          </w:tcPr>
          <w:p w14:paraId="5553CF84" w14:textId="0A613C01" w:rsidR="00830E6F" w:rsidRPr="004C78D8" w:rsidRDefault="00830E6F" w:rsidP="00FB7C1F">
            <w:pPr>
              <w:jc w:val="left"/>
              <w:rPr>
                <w:sz w:val="20"/>
                <w:szCs w:val="20"/>
              </w:rPr>
            </w:pPr>
            <w:r w:rsidRPr="004C78D8">
              <w:rPr>
                <w:b/>
                <w:bCs/>
                <w:sz w:val="20"/>
                <w:szCs w:val="20"/>
              </w:rPr>
              <w:t xml:space="preserve">Pathway component: Reactive </w:t>
            </w:r>
            <w:r w:rsidR="004B3447" w:rsidRPr="004C78D8">
              <w:rPr>
                <w:b/>
                <w:bCs/>
                <w:sz w:val="20"/>
                <w:szCs w:val="20"/>
              </w:rPr>
              <w:t xml:space="preserve">HAM or </w:t>
            </w:r>
            <w:r w:rsidRPr="004C78D8">
              <w:rPr>
                <w:b/>
                <w:bCs/>
                <w:sz w:val="20"/>
                <w:szCs w:val="20"/>
              </w:rPr>
              <w:t>multifactorial intervention</w:t>
            </w:r>
          </w:p>
        </w:tc>
      </w:tr>
      <w:tr w:rsidR="008171EF" w:rsidRPr="004C78D8" w14:paraId="4F37ED62" w14:textId="77777777" w:rsidTr="00E35893">
        <w:tc>
          <w:tcPr>
            <w:tcW w:w="1271" w:type="dxa"/>
            <w:tcBorders>
              <w:bottom w:val="single" w:sz="4" w:space="0" w:color="auto"/>
            </w:tcBorders>
          </w:tcPr>
          <w:p w14:paraId="1B057EBF" w14:textId="77777777" w:rsidR="008171EF" w:rsidRPr="004C78D8" w:rsidRDefault="008171EF" w:rsidP="00FB7C1F">
            <w:pPr>
              <w:jc w:val="left"/>
              <w:rPr>
                <w:sz w:val="20"/>
                <w:szCs w:val="20"/>
              </w:rPr>
            </w:pPr>
            <w:r w:rsidRPr="004C78D8">
              <w:rPr>
                <w:sz w:val="20"/>
                <w:szCs w:val="20"/>
              </w:rPr>
              <w:t>Eligibility</w:t>
            </w:r>
          </w:p>
        </w:tc>
        <w:tc>
          <w:tcPr>
            <w:tcW w:w="2906" w:type="dxa"/>
            <w:tcBorders>
              <w:bottom w:val="single" w:sz="4" w:space="0" w:color="auto"/>
            </w:tcBorders>
          </w:tcPr>
          <w:p w14:paraId="3CDC2693" w14:textId="78B3B985" w:rsidR="008171EF" w:rsidRPr="004C78D8" w:rsidRDefault="004B3447" w:rsidP="00FB7C1F">
            <w:pPr>
              <w:jc w:val="left"/>
              <w:rPr>
                <w:sz w:val="20"/>
                <w:szCs w:val="20"/>
              </w:rPr>
            </w:pPr>
            <w:r w:rsidRPr="004C78D8">
              <w:rPr>
                <w:sz w:val="20"/>
                <w:szCs w:val="20"/>
              </w:rPr>
              <w:t>HAM for s</w:t>
            </w:r>
            <w:r w:rsidR="004E1436" w:rsidRPr="004C78D8">
              <w:rPr>
                <w:sz w:val="20"/>
                <w:szCs w:val="20"/>
              </w:rPr>
              <w:t xml:space="preserve">evere </w:t>
            </w:r>
            <w:r w:rsidR="00EB431B" w:rsidRPr="004C78D8">
              <w:rPr>
                <w:sz w:val="20"/>
                <w:szCs w:val="20"/>
              </w:rPr>
              <w:t>MA fall patients regardless of cognitive status or intervention history</w:t>
            </w:r>
          </w:p>
        </w:tc>
        <w:tc>
          <w:tcPr>
            <w:tcW w:w="2906" w:type="dxa"/>
            <w:tcBorders>
              <w:bottom w:val="single" w:sz="4" w:space="0" w:color="auto"/>
            </w:tcBorders>
          </w:tcPr>
          <w:p w14:paraId="64C0B04A" w14:textId="74020F3D" w:rsidR="008171EF" w:rsidRPr="004C78D8" w:rsidRDefault="004B3447" w:rsidP="00FB7C1F">
            <w:pPr>
              <w:jc w:val="left"/>
              <w:rPr>
                <w:sz w:val="20"/>
                <w:szCs w:val="20"/>
              </w:rPr>
            </w:pPr>
            <w:r w:rsidRPr="004C78D8">
              <w:rPr>
                <w:sz w:val="20"/>
                <w:szCs w:val="20"/>
              </w:rPr>
              <w:t>Multifactorial intervention for a</w:t>
            </w:r>
            <w:r w:rsidR="00EB431B" w:rsidRPr="004C78D8">
              <w:rPr>
                <w:sz w:val="20"/>
                <w:szCs w:val="20"/>
              </w:rPr>
              <w:t>ll MA fall patients regardless of fall severity</w:t>
            </w:r>
            <w:r w:rsidR="00AA566B" w:rsidRPr="004C78D8">
              <w:rPr>
                <w:sz w:val="20"/>
                <w:szCs w:val="20"/>
              </w:rPr>
              <w:t>,</w:t>
            </w:r>
            <w:r w:rsidR="00EB431B" w:rsidRPr="004C78D8">
              <w:rPr>
                <w:sz w:val="20"/>
                <w:szCs w:val="20"/>
              </w:rPr>
              <w:t xml:space="preserve"> cognitive status</w:t>
            </w:r>
            <w:r w:rsidR="004B6B73" w:rsidRPr="004C78D8">
              <w:rPr>
                <w:sz w:val="20"/>
                <w:szCs w:val="20"/>
              </w:rPr>
              <w:t>,</w:t>
            </w:r>
            <w:r w:rsidR="00AA566B" w:rsidRPr="004C78D8">
              <w:rPr>
                <w:sz w:val="20"/>
                <w:szCs w:val="20"/>
              </w:rPr>
              <w:t xml:space="preserve"> and intervention history</w:t>
            </w:r>
          </w:p>
        </w:tc>
      </w:tr>
      <w:tr w:rsidR="008171EF" w:rsidRPr="004C78D8" w14:paraId="742B6217" w14:textId="77777777" w:rsidTr="00E35893">
        <w:tc>
          <w:tcPr>
            <w:tcW w:w="1271" w:type="dxa"/>
            <w:tcBorders>
              <w:bottom w:val="nil"/>
            </w:tcBorders>
          </w:tcPr>
          <w:p w14:paraId="2F9AB506" w14:textId="745323C5" w:rsidR="008171EF" w:rsidRPr="004C78D8" w:rsidRDefault="008171EF" w:rsidP="00FB7C1F">
            <w:pPr>
              <w:jc w:val="left"/>
              <w:rPr>
                <w:sz w:val="20"/>
                <w:szCs w:val="20"/>
              </w:rPr>
            </w:pPr>
            <w:r w:rsidRPr="004C78D8">
              <w:rPr>
                <w:sz w:val="20"/>
                <w:szCs w:val="20"/>
              </w:rPr>
              <w:t>Access rate</w:t>
            </w:r>
          </w:p>
        </w:tc>
        <w:tc>
          <w:tcPr>
            <w:tcW w:w="2906" w:type="dxa"/>
            <w:tcBorders>
              <w:bottom w:val="nil"/>
            </w:tcBorders>
          </w:tcPr>
          <w:p w14:paraId="5D1F7AA6" w14:textId="6EFA4AFC" w:rsidR="008171EF" w:rsidRPr="004C78D8" w:rsidRDefault="008171EF" w:rsidP="00FB7C1F">
            <w:pPr>
              <w:jc w:val="left"/>
              <w:rPr>
                <w:sz w:val="20"/>
                <w:szCs w:val="20"/>
              </w:rPr>
            </w:pPr>
            <w:r w:rsidRPr="004C78D8">
              <w:rPr>
                <w:sz w:val="20"/>
                <w:szCs w:val="20"/>
              </w:rPr>
              <w:t xml:space="preserve">Limited access rate </w:t>
            </w:r>
            <w:r w:rsidR="004A4498" w:rsidRPr="004C78D8">
              <w:rPr>
                <w:sz w:val="20"/>
                <w:szCs w:val="20"/>
              </w:rPr>
              <w:t xml:space="preserve">by frailty category </w:t>
            </w:r>
            <w:r w:rsidRPr="004C78D8">
              <w:rPr>
                <w:sz w:val="20"/>
                <w:szCs w:val="20"/>
              </w:rPr>
              <w:t xml:space="preserve">according to ELSA: </w:t>
            </w:r>
            <w:r w:rsidR="00A76DCC" w:rsidRPr="004C78D8">
              <w:rPr>
                <w:sz w:val="20"/>
                <w:szCs w:val="20"/>
              </w:rPr>
              <w:t xml:space="preserve">28.7% overall; </w:t>
            </w:r>
            <w:r w:rsidRPr="004C78D8">
              <w:rPr>
                <w:sz w:val="20"/>
                <w:szCs w:val="20"/>
              </w:rPr>
              <w:t>9.</w:t>
            </w:r>
            <w:r w:rsidR="00561A6C" w:rsidRPr="004C78D8">
              <w:rPr>
                <w:sz w:val="20"/>
                <w:szCs w:val="20"/>
              </w:rPr>
              <w:t>6</w:t>
            </w:r>
            <w:r w:rsidRPr="004C78D8">
              <w:rPr>
                <w:sz w:val="20"/>
                <w:szCs w:val="20"/>
              </w:rPr>
              <w:t>% if Fit; 23.</w:t>
            </w:r>
            <w:r w:rsidR="00561A6C" w:rsidRPr="004C78D8">
              <w:rPr>
                <w:sz w:val="20"/>
                <w:szCs w:val="20"/>
              </w:rPr>
              <w:t>5</w:t>
            </w:r>
            <w:r w:rsidRPr="004C78D8">
              <w:rPr>
                <w:sz w:val="20"/>
                <w:szCs w:val="20"/>
              </w:rPr>
              <w:t>% if Mild; 51.7% if Moderate; and 72.7% if Severe</w:t>
            </w:r>
          </w:p>
        </w:tc>
        <w:tc>
          <w:tcPr>
            <w:tcW w:w="2906" w:type="dxa"/>
            <w:tcBorders>
              <w:bottom w:val="nil"/>
            </w:tcBorders>
          </w:tcPr>
          <w:p w14:paraId="1BB1197C" w14:textId="024AF713" w:rsidR="008171EF" w:rsidRPr="004C78D8" w:rsidRDefault="008171EF" w:rsidP="00FB7C1F">
            <w:pPr>
              <w:jc w:val="left"/>
              <w:rPr>
                <w:sz w:val="20"/>
                <w:szCs w:val="20"/>
              </w:rPr>
            </w:pPr>
            <w:r w:rsidRPr="004C78D8">
              <w:rPr>
                <w:sz w:val="20"/>
                <w:szCs w:val="20"/>
              </w:rPr>
              <w:t>All eligible persons</w:t>
            </w:r>
            <w:r w:rsidR="00A479EE" w:rsidRPr="004C78D8">
              <w:rPr>
                <w:sz w:val="20"/>
                <w:szCs w:val="20"/>
              </w:rPr>
              <w:t xml:space="preserve"> pending demand</w:t>
            </w:r>
            <w:r w:rsidR="00B006A3" w:rsidRPr="004C78D8">
              <w:rPr>
                <w:sz w:val="20"/>
                <w:szCs w:val="20"/>
              </w:rPr>
              <w:t>: 5</w:t>
            </w:r>
            <w:r w:rsidR="00E273DD" w:rsidRPr="004C78D8">
              <w:rPr>
                <w:sz w:val="20"/>
                <w:szCs w:val="20"/>
              </w:rPr>
              <w:t>3</w:t>
            </w:r>
            <w:r w:rsidR="00B006A3" w:rsidRPr="004C78D8">
              <w:rPr>
                <w:sz w:val="20"/>
                <w:szCs w:val="20"/>
              </w:rPr>
              <w:t>.</w:t>
            </w:r>
            <w:r w:rsidR="00E273DD" w:rsidRPr="004C78D8">
              <w:rPr>
                <w:sz w:val="20"/>
                <w:szCs w:val="20"/>
              </w:rPr>
              <w:t>8</w:t>
            </w:r>
            <w:r w:rsidR="00B006A3" w:rsidRPr="004C78D8">
              <w:rPr>
                <w:sz w:val="20"/>
                <w:szCs w:val="20"/>
              </w:rPr>
              <w:t xml:space="preserve">% </w:t>
            </w:r>
            <w:r w:rsidR="00900C52" w:rsidRPr="004C78D8">
              <w:rPr>
                <w:sz w:val="20"/>
                <w:szCs w:val="20"/>
              </w:rPr>
              <w:t>uptake</w:t>
            </w:r>
            <w:r w:rsidR="002D109B" w:rsidRPr="004C78D8">
              <w:rPr>
                <w:sz w:val="20"/>
                <w:szCs w:val="20"/>
              </w:rPr>
              <w:t xml:space="preserve"> rate</w:t>
            </w:r>
            <w:r w:rsidR="00B006A3" w:rsidRPr="004C78D8">
              <w:rPr>
                <w:sz w:val="20"/>
                <w:szCs w:val="20"/>
              </w:rPr>
              <w:t xml:space="preserve"> for cognitively intact</w:t>
            </w:r>
            <w:r w:rsidR="007E4E92" w:rsidRPr="004C78D8">
              <w:rPr>
                <w:sz w:val="20"/>
                <w:szCs w:val="20"/>
              </w:rPr>
              <w:t xml:space="preserve"> </w:t>
            </w:r>
            <w:r w:rsidR="007E4E92" w:rsidRPr="004C78D8">
              <w:rPr>
                <w:sz w:val="20"/>
                <w:szCs w:val="20"/>
              </w:rPr>
              <w:fldChar w:fldCharType="begin"/>
            </w:r>
            <w:r w:rsidR="00513646" w:rsidRPr="004C78D8">
              <w:rPr>
                <w:sz w:val="20"/>
                <w:szCs w:val="20"/>
              </w:rPr>
              <w:instrText xml:space="preserve"> ADDIN EN.CITE &lt;EndNote&gt;&lt;Cite&gt;&lt;Author&gt;Close&lt;/Author&gt;&lt;Year&gt;1999&lt;/Year&gt;&lt;RecNum&gt;513&lt;/RecNum&gt;&lt;DisplayText&gt;[62]&lt;/DisplayText&gt;&lt;record&gt;&lt;rec-number&gt;513&lt;/rec-number&gt;&lt;foreign-keys&gt;&lt;key app="EN" db-id="tdtrdw9aepptzbefsat599syza29sxsd2wsp" timestamp="1617903389"&gt;513&lt;/key&gt;&lt;/foreign-keys&gt;&lt;ref-type name="Journal Article"&gt;17&lt;/ref-type&gt;&lt;contributors&gt;&lt;authors&gt;&lt;author&gt;Close, J.&lt;/author&gt;&lt;author&gt;Ellis, M.&lt;/author&gt;&lt;author&gt;Hooper, R.&lt;/author&gt;&lt;author&gt;Glucksman, E.&lt;/author&gt;&lt;author&gt;Jackson, S.&lt;/author&gt;&lt;author&gt;Swift, C.&lt;/author&gt;&lt;/authors&gt;&lt;/contributors&gt;&lt;auth-address&gt;Department of Health Care of the Elderly, Guy&amp;apos;s King&amp;apos;s, and St Thomas&amp;apos; School of Medicine, King&amp;apos;s College Hospital, London, UK. jacqueline.close@kcl.ac.uk&lt;/auth-address&gt;&lt;titles&gt;&lt;title&gt;Prevention of falls in the elderly trial (PROFET): a randomised controlled trial&lt;/title&gt;&lt;secondary-title&gt;Lancet&lt;/secondary-title&gt;&lt;/titles&gt;&lt;periodical&gt;&lt;full-title&gt;Lancet&lt;/full-title&gt;&lt;/periodical&gt;&lt;pages&gt;93-7&lt;/pages&gt;&lt;volume&gt;353&lt;/volume&gt;&lt;number&gt;9147&lt;/number&gt;&lt;keywords&gt;&lt;keyword&gt;Accidental Falls/*prevention &amp;amp; control&lt;/keyword&gt;&lt;keyword&gt;Activities of Daily Living/classification&lt;/keyword&gt;&lt;keyword&gt;Aged&lt;/keyword&gt;&lt;keyword&gt;Aged, 80 and over&lt;/keyword&gt;&lt;keyword&gt;Female&lt;/keyword&gt;&lt;keyword&gt;*Frail Elderly&lt;/keyword&gt;&lt;keyword&gt;Geriatric Assessment&lt;/keyword&gt;&lt;keyword&gt;Humans&lt;/keyword&gt;&lt;keyword&gt;Male&lt;/keyword&gt;&lt;keyword&gt;Occupational Therapy&lt;/keyword&gt;&lt;keyword&gt;*Patient Care Team&lt;/keyword&gt;&lt;keyword&gt;Recurrence&lt;/keyword&gt;&lt;keyword&gt;Referral and Consultation&lt;/keyword&gt;&lt;keyword&gt;Treatment Outcome&lt;/keyword&gt;&lt;/keywords&gt;&lt;dates&gt;&lt;year&gt;1999&lt;/year&gt;&lt;pub-dates&gt;&lt;date&gt;Jan 9&lt;/date&gt;&lt;/pub-dates&gt;&lt;/dates&gt;&lt;isbn&gt;0140-6736 (Print)&amp;#xD;0140-6736 (Linking)&lt;/isbn&gt;&lt;accession-num&gt;10023893&lt;/accession-num&gt;&lt;urls&gt;&lt;related-urls&gt;&lt;url&gt;https://www.ncbi.nlm.nih.gov/pubmed/10023893&lt;/url&gt;&lt;/related-urls&gt;&lt;/urls&gt;&lt;electronic-resource-num&gt;10.1016/S0140-6736(98)06119-4&lt;/electronic-resource-num&gt;&lt;/record&gt;&lt;/Cite&gt;&lt;/EndNote&gt;</w:instrText>
            </w:r>
            <w:r w:rsidR="007E4E92" w:rsidRPr="004C78D8">
              <w:rPr>
                <w:sz w:val="20"/>
                <w:szCs w:val="20"/>
              </w:rPr>
              <w:fldChar w:fldCharType="separate"/>
            </w:r>
            <w:r w:rsidR="00513646" w:rsidRPr="004C78D8">
              <w:rPr>
                <w:noProof/>
                <w:sz w:val="20"/>
                <w:szCs w:val="20"/>
              </w:rPr>
              <w:t>[62]</w:t>
            </w:r>
            <w:r w:rsidR="007E4E92" w:rsidRPr="004C78D8">
              <w:rPr>
                <w:sz w:val="20"/>
                <w:szCs w:val="20"/>
              </w:rPr>
              <w:fldChar w:fldCharType="end"/>
            </w:r>
            <w:r w:rsidR="00B006A3" w:rsidRPr="004C78D8">
              <w:rPr>
                <w:sz w:val="20"/>
                <w:szCs w:val="20"/>
              </w:rPr>
              <w:t xml:space="preserve">; </w:t>
            </w:r>
            <w:r w:rsidR="0005294E" w:rsidRPr="004C78D8">
              <w:rPr>
                <w:sz w:val="20"/>
                <w:szCs w:val="20"/>
              </w:rPr>
              <w:t>49</w:t>
            </w:r>
            <w:r w:rsidR="00B006A3" w:rsidRPr="004C78D8">
              <w:rPr>
                <w:sz w:val="20"/>
                <w:szCs w:val="20"/>
              </w:rPr>
              <w:t>.</w:t>
            </w:r>
            <w:r w:rsidR="0005294E" w:rsidRPr="004C78D8">
              <w:rPr>
                <w:sz w:val="20"/>
                <w:szCs w:val="20"/>
              </w:rPr>
              <w:t>6</w:t>
            </w:r>
            <w:r w:rsidR="00B006A3" w:rsidRPr="004C78D8">
              <w:rPr>
                <w:sz w:val="20"/>
                <w:szCs w:val="20"/>
              </w:rPr>
              <w:t xml:space="preserve">% for cognitively impaired </w:t>
            </w:r>
            <w:r w:rsidR="007E4E92" w:rsidRPr="004C78D8">
              <w:rPr>
                <w:sz w:val="20"/>
                <w:szCs w:val="20"/>
              </w:rPr>
              <w:fldChar w:fldCharType="begin"/>
            </w:r>
            <w:r w:rsidR="00C630FC" w:rsidRPr="004C78D8">
              <w:rPr>
                <w:sz w:val="20"/>
                <w:szCs w:val="20"/>
              </w:rPr>
              <w:instrText xml:space="preserve"> ADDIN EN.CITE &lt;EndNote&gt;&lt;Cite&gt;&lt;Author&gt;Shaw&lt;/Author&gt;&lt;Year&gt;2003&lt;/Year&gt;&lt;RecNum&gt;514&lt;/RecNum&gt;&lt;DisplayText&gt;[384]&lt;/DisplayText&gt;&lt;record&gt;&lt;rec-number&gt;514&lt;/rec-number&gt;&lt;foreign-keys&gt;&lt;key app="EN" db-id="tdtrdw9aepptzbefsat599syza29sxsd2wsp" timestamp="1617903616"&gt;514&lt;/key&gt;&lt;/foreign-keys&gt;&lt;ref-type name="Journal Article"&gt;17&lt;/ref-type&gt;&lt;contributors&gt;&lt;authors&gt;&lt;author&gt;Shaw, Fiona E&lt;/author&gt;&lt;author&gt;Bond, John&lt;/author&gt;&lt;author&gt;Richardson, David A&lt;/author&gt;&lt;author&gt;Dawson, Pamela&lt;/author&gt;&lt;author&gt;Steen, I Nicholas&lt;/author&gt;&lt;author&gt;McKeith, Ian G&lt;/author&gt;&lt;author&gt;Kenny, Rose Anne&lt;/author&gt;&lt;/authors&gt;&lt;/contributors&gt;&lt;titles&gt;&lt;title&gt;Multifactorial intervention after a fall in older people with cognitive impairment and dementia presenting to the accident and emergency department: randomised controlled trial&lt;/title&gt;&lt;secondary-title&gt;BMJ: British medical journal&lt;/secondary-title&gt;&lt;/titles&gt;&lt;periodical&gt;&lt;full-title&gt;BMJ: British medical journal&lt;/full-title&gt;&lt;/periodical&gt;&lt;pages&gt;73&lt;/pages&gt;&lt;volume&gt;326&lt;/volume&gt;&lt;number&gt;7380&lt;/number&gt;&lt;dates&gt;&lt;year&gt;2003&lt;/year&gt;&lt;/dates&gt;&lt;urls&gt;&lt;/urls&gt;&lt;/record&gt;&lt;/Cite&gt;&lt;/EndNote&gt;</w:instrText>
            </w:r>
            <w:r w:rsidR="007E4E92" w:rsidRPr="004C78D8">
              <w:rPr>
                <w:sz w:val="20"/>
                <w:szCs w:val="20"/>
              </w:rPr>
              <w:fldChar w:fldCharType="separate"/>
            </w:r>
            <w:r w:rsidR="00C630FC" w:rsidRPr="004C78D8">
              <w:rPr>
                <w:noProof/>
                <w:sz w:val="20"/>
                <w:szCs w:val="20"/>
              </w:rPr>
              <w:t>[384]</w:t>
            </w:r>
            <w:r w:rsidR="007E4E92" w:rsidRPr="004C78D8">
              <w:rPr>
                <w:sz w:val="20"/>
                <w:szCs w:val="20"/>
              </w:rPr>
              <w:fldChar w:fldCharType="end"/>
            </w:r>
          </w:p>
        </w:tc>
      </w:tr>
      <w:tr w:rsidR="008171EF" w:rsidRPr="004C78D8" w14:paraId="47766667" w14:textId="77777777" w:rsidTr="00E35893">
        <w:tc>
          <w:tcPr>
            <w:tcW w:w="7083" w:type="dxa"/>
            <w:gridSpan w:val="3"/>
            <w:tcBorders>
              <w:bottom w:val="single" w:sz="4" w:space="0" w:color="auto"/>
            </w:tcBorders>
          </w:tcPr>
          <w:p w14:paraId="491BB833" w14:textId="2F9AF3F3" w:rsidR="008171EF" w:rsidRPr="004C78D8" w:rsidRDefault="00D10D5E" w:rsidP="00FB7C1F">
            <w:r w:rsidRPr="004C78D8">
              <w:rPr>
                <w:b/>
                <w:bCs/>
                <w:sz w:val="18"/>
                <w:szCs w:val="18"/>
              </w:rPr>
              <w:t>Abbreviation</w:t>
            </w:r>
            <w:r w:rsidR="008D28E1" w:rsidRPr="004C78D8">
              <w:rPr>
                <w:b/>
                <w:bCs/>
                <w:sz w:val="18"/>
                <w:szCs w:val="18"/>
              </w:rPr>
              <w:t>:</w:t>
            </w:r>
            <w:r w:rsidR="008D28E1" w:rsidRPr="004C78D8">
              <w:rPr>
                <w:sz w:val="18"/>
                <w:szCs w:val="18"/>
              </w:rPr>
              <w:t xml:space="preserve"> </w:t>
            </w:r>
            <w:r w:rsidR="008171EF" w:rsidRPr="004C78D8">
              <w:rPr>
                <w:sz w:val="18"/>
                <w:szCs w:val="18"/>
              </w:rPr>
              <w:t xml:space="preserve">ELSA: English Longitudinal Study of Ageing; </w:t>
            </w:r>
            <w:r w:rsidR="004B3447" w:rsidRPr="004C78D8">
              <w:rPr>
                <w:sz w:val="18"/>
                <w:szCs w:val="18"/>
              </w:rPr>
              <w:t xml:space="preserve">HAM: home assessment and modification; </w:t>
            </w:r>
            <w:r w:rsidR="008171EF" w:rsidRPr="004C78D8">
              <w:rPr>
                <w:sz w:val="18"/>
                <w:szCs w:val="18"/>
              </w:rPr>
              <w:t>MA fall: fall requiring medical attention</w:t>
            </w:r>
          </w:p>
        </w:tc>
      </w:tr>
    </w:tbl>
    <w:p w14:paraId="17A388A3" w14:textId="77777777" w:rsidR="008171EF" w:rsidRPr="004C78D8" w:rsidRDefault="008171EF" w:rsidP="00FB7C1F">
      <w:pPr>
        <w:rPr>
          <w:sz w:val="20"/>
          <w:szCs w:val="20"/>
        </w:rPr>
      </w:pPr>
    </w:p>
    <w:p w14:paraId="76A82960" w14:textId="7B5FC25A" w:rsidR="004B3447" w:rsidRPr="004C78D8" w:rsidRDefault="003B59FD" w:rsidP="00FB7C1F">
      <w:r w:rsidRPr="004C78D8">
        <w:t>T</w:t>
      </w:r>
      <w:r w:rsidR="00210C4F" w:rsidRPr="004C78D8">
        <w:t xml:space="preserve">o estimate the </w:t>
      </w:r>
      <w:r w:rsidR="004B3447" w:rsidRPr="004C78D8">
        <w:t xml:space="preserve">limited </w:t>
      </w:r>
      <w:r w:rsidR="009E6C5D" w:rsidRPr="004C78D8">
        <w:t xml:space="preserve">access under </w:t>
      </w:r>
      <w:r w:rsidR="00BE142F" w:rsidRPr="004C78D8">
        <w:t>UC</w:t>
      </w:r>
      <w:r w:rsidR="00210C4F" w:rsidRPr="004C78D8">
        <w:t xml:space="preserve">, ELSA </w:t>
      </w:r>
      <w:r w:rsidR="00BE142F" w:rsidRPr="004C78D8">
        <w:t xml:space="preserve">data </w:t>
      </w:r>
      <w:r w:rsidR="00210C4F" w:rsidRPr="004C78D8">
        <w:t xml:space="preserve">was used. </w:t>
      </w:r>
      <w:r w:rsidR="00AB7C48" w:rsidRPr="004C78D8">
        <w:t xml:space="preserve">ELSA Wave 4 contained variables </w:t>
      </w:r>
      <w:r w:rsidR="00AE5F62" w:rsidRPr="004C78D8">
        <w:t xml:space="preserve">for whether the individual received a balance and gait test from a doctor/nurse, whether further fall risk tests were recommended, and whether falls risk factors were discussed in the past year. It also contained variables for whether the individual received </w:t>
      </w:r>
      <w:r w:rsidR="004B3447" w:rsidRPr="004C78D8">
        <w:t>HAM and physiotherapy</w:t>
      </w:r>
      <w:r w:rsidR="00AE5F62" w:rsidRPr="004C78D8">
        <w:t xml:space="preserve">. </w:t>
      </w:r>
      <w:r w:rsidR="008008F3" w:rsidRPr="004C78D8">
        <w:t>From these</w:t>
      </w:r>
      <w:r w:rsidR="00631317" w:rsidRPr="004C78D8">
        <w:t xml:space="preserve">, it was possible to construct a variable </w:t>
      </w:r>
      <w:r w:rsidR="007311FC" w:rsidRPr="004C78D8">
        <w:t>indicating</w:t>
      </w:r>
      <w:r w:rsidR="00631317" w:rsidRPr="004C78D8">
        <w:t xml:space="preserve"> </w:t>
      </w:r>
      <w:r w:rsidR="008008F3" w:rsidRPr="004C78D8">
        <w:t>receipt of</w:t>
      </w:r>
      <w:r w:rsidR="00631317" w:rsidRPr="004C78D8">
        <w:t xml:space="preserve"> falls risk </w:t>
      </w:r>
      <w:r w:rsidR="00AE5F62" w:rsidRPr="004C78D8">
        <w:t>screening</w:t>
      </w:r>
      <w:r w:rsidR="00C7448A" w:rsidRPr="004C78D8">
        <w:t>/assessment</w:t>
      </w:r>
      <w:r w:rsidR="00631317" w:rsidRPr="004C78D8">
        <w:t xml:space="preserve"> by </w:t>
      </w:r>
      <w:r w:rsidR="0011633A" w:rsidRPr="004C78D8">
        <w:t xml:space="preserve">a </w:t>
      </w:r>
      <w:r w:rsidR="00631317" w:rsidRPr="004C78D8">
        <w:t xml:space="preserve">medical professional in the past year </w:t>
      </w:r>
      <w:r w:rsidR="008008F3" w:rsidRPr="004C78D8">
        <w:t>plus</w:t>
      </w:r>
      <w:r w:rsidR="00631317" w:rsidRPr="004C78D8">
        <w:t xml:space="preserve"> </w:t>
      </w:r>
      <w:r w:rsidR="004B3447" w:rsidRPr="004C78D8">
        <w:t xml:space="preserve">HAM and/or </w:t>
      </w:r>
      <w:r w:rsidR="00631317" w:rsidRPr="004C78D8">
        <w:t xml:space="preserve">physiotherapy in the same </w:t>
      </w:r>
      <w:r w:rsidR="00AE5F62" w:rsidRPr="004C78D8">
        <w:t>period</w:t>
      </w:r>
      <w:r w:rsidR="00631317" w:rsidRPr="004C78D8">
        <w:t xml:space="preserve">. </w:t>
      </w:r>
      <w:r w:rsidR="008008F3" w:rsidRPr="004C78D8">
        <w:t>Assuming</w:t>
      </w:r>
      <w:r w:rsidR="007311FC" w:rsidRPr="004C78D8">
        <w:t xml:space="preserve"> that </w:t>
      </w:r>
      <w:r w:rsidR="0086451C" w:rsidRPr="004C78D8">
        <w:t>the latter</w:t>
      </w:r>
      <w:r w:rsidR="004B3447" w:rsidRPr="004C78D8">
        <w:t xml:space="preserve"> treatments </w:t>
      </w:r>
      <w:r w:rsidR="007311FC" w:rsidRPr="004C78D8">
        <w:t xml:space="preserve">are related to the falls risk assessment, </w:t>
      </w:r>
      <w:r w:rsidR="00C15F27" w:rsidRPr="004C78D8">
        <w:t>the variable served as a</w:t>
      </w:r>
      <w:r w:rsidR="007311FC" w:rsidRPr="004C78D8">
        <w:t xml:space="preserve"> proxy </w:t>
      </w:r>
      <w:r w:rsidR="00C15F27" w:rsidRPr="004C78D8">
        <w:t>measure of</w:t>
      </w:r>
      <w:r w:rsidR="007311FC" w:rsidRPr="004C78D8">
        <w:t xml:space="preserve"> annual access to </w:t>
      </w:r>
      <w:r w:rsidR="00C15F27" w:rsidRPr="004C78D8">
        <w:t>falls risk assessment followed by treatment(s)</w:t>
      </w:r>
      <w:r w:rsidR="007311FC" w:rsidRPr="004C78D8">
        <w:t xml:space="preserve">. </w:t>
      </w:r>
      <w:r w:rsidR="00C15F27" w:rsidRPr="004C78D8">
        <w:t xml:space="preserve">Among those who had experienced at least one MA fall in </w:t>
      </w:r>
      <w:r w:rsidR="0011633A" w:rsidRPr="004C78D8">
        <w:t xml:space="preserve">the </w:t>
      </w:r>
      <w:r w:rsidR="00C15F27" w:rsidRPr="004C78D8">
        <w:t>past year, 28.7% had received such assessment and treatment.</w:t>
      </w:r>
      <w:r w:rsidR="00104F0C" w:rsidRPr="004C78D8">
        <w:rPr>
          <w:rStyle w:val="FootnoteReference"/>
        </w:rPr>
        <w:footnoteReference w:id="3"/>
      </w:r>
      <w:r w:rsidR="00C15F27" w:rsidRPr="004C78D8">
        <w:t xml:space="preserve"> Under a further assumption that the assessment and treatment took place in response to the MA fall, this percentage measured the annual access to reactive falls prevention. </w:t>
      </w:r>
      <w:r w:rsidR="00BD6A97" w:rsidRPr="004C78D8">
        <w:t xml:space="preserve">According to the national HES data incorporated </w:t>
      </w:r>
      <w:r w:rsidR="00BE142F" w:rsidRPr="004C78D8">
        <w:t>in</w:t>
      </w:r>
      <w:r w:rsidR="00BD6A97" w:rsidRPr="004C78D8">
        <w:t xml:space="preserve"> the </w:t>
      </w:r>
      <w:r w:rsidR="00BE142F" w:rsidRPr="004C78D8">
        <w:t>PHE</w:t>
      </w:r>
      <w:r w:rsidR="00BD6A97" w:rsidRPr="004C78D8">
        <w:t xml:space="preserve"> model, 28% of MA falls resulted in hospital inpatient stay </w:t>
      </w:r>
      <w:r w:rsidR="0086451C" w:rsidRPr="004C78D8">
        <w:fldChar w:fldCharType="begin"/>
      </w:r>
      <w:r w:rsidR="00C630FC" w:rsidRPr="004C78D8">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0086451C" w:rsidRPr="004C78D8">
        <w:fldChar w:fldCharType="separate"/>
      </w:r>
      <w:r w:rsidR="00C630FC" w:rsidRPr="004C78D8">
        <w:rPr>
          <w:noProof/>
        </w:rPr>
        <w:t>[216]</w:t>
      </w:r>
      <w:r w:rsidR="0086451C" w:rsidRPr="004C78D8">
        <w:fldChar w:fldCharType="end"/>
      </w:r>
      <w:r w:rsidR="00BD6A97" w:rsidRPr="004C78D8">
        <w:t xml:space="preserve">. This is close to the 28.7% estimate. It is </w:t>
      </w:r>
      <w:r w:rsidR="00815A80" w:rsidRPr="004C78D8">
        <w:t>plausible</w:t>
      </w:r>
      <w:r w:rsidR="00BD6A97" w:rsidRPr="004C78D8">
        <w:t xml:space="preserve"> that the ELSA variable approximates the access to </w:t>
      </w:r>
      <w:r w:rsidR="00171B05" w:rsidRPr="004C78D8">
        <w:t xml:space="preserve">standard </w:t>
      </w:r>
      <w:r w:rsidR="00BD6A97" w:rsidRPr="004C78D8">
        <w:t xml:space="preserve">discharge package </w:t>
      </w:r>
      <w:r w:rsidR="00E57A29" w:rsidRPr="004C78D8">
        <w:t xml:space="preserve">for </w:t>
      </w:r>
      <w:r w:rsidR="0077076E" w:rsidRPr="004C78D8">
        <w:t>hospitali</w:t>
      </w:r>
      <w:r w:rsidR="0086451C" w:rsidRPr="004C78D8">
        <w:t>s</w:t>
      </w:r>
      <w:r w:rsidR="0077076E" w:rsidRPr="004C78D8">
        <w:t>ed fallers</w:t>
      </w:r>
      <w:r w:rsidR="00171B05" w:rsidRPr="004C78D8">
        <w:t xml:space="preserve"> </w:t>
      </w:r>
      <w:r w:rsidR="008008F3" w:rsidRPr="004C78D8">
        <w:t>corresponding to</w:t>
      </w:r>
      <w:r w:rsidR="00171B05" w:rsidRPr="004C78D8">
        <w:t xml:space="preserve"> the current practice in Sheffield</w:t>
      </w:r>
      <w:r w:rsidR="0077076E" w:rsidRPr="004C78D8">
        <w:t xml:space="preserve">. </w:t>
      </w:r>
      <w:r w:rsidR="00DE37E1" w:rsidRPr="004C78D8">
        <w:t>According to th</w:t>
      </w:r>
      <w:r w:rsidR="00171B05" w:rsidRPr="004C78D8">
        <w:t>is</w:t>
      </w:r>
      <w:r w:rsidR="00DE37E1" w:rsidRPr="004C78D8">
        <w:t xml:space="preserve"> variable, 1.9% of the population aged 60</w:t>
      </w:r>
      <w:r w:rsidR="008008F3" w:rsidRPr="004C78D8">
        <w:t>+</w:t>
      </w:r>
      <w:r w:rsidR="00DE37E1" w:rsidRPr="004C78D8">
        <w:t xml:space="preserve"> accessed the reactive intervention in </w:t>
      </w:r>
      <w:r w:rsidR="008008F3" w:rsidRPr="004C78D8">
        <w:t>one</w:t>
      </w:r>
      <w:r w:rsidR="00DE37E1" w:rsidRPr="004C78D8">
        <w:t xml:space="preserve"> year, </w:t>
      </w:r>
      <w:r w:rsidR="008008F3" w:rsidRPr="004C78D8">
        <w:t>corresponding</w:t>
      </w:r>
      <w:r w:rsidR="00DE37E1" w:rsidRPr="004C78D8">
        <w:t xml:space="preserve"> to around 2,300 individuals if applied to </w:t>
      </w:r>
      <w:r w:rsidR="0011633A" w:rsidRPr="004C78D8">
        <w:t xml:space="preserve">the </w:t>
      </w:r>
      <w:r w:rsidR="00DE37E1" w:rsidRPr="004C78D8">
        <w:t>Sheffield population.</w:t>
      </w:r>
    </w:p>
    <w:p w14:paraId="503168AA" w14:textId="18E730B2" w:rsidR="00171B05" w:rsidRPr="004C78D8" w:rsidRDefault="00171B05" w:rsidP="00FB7C1F">
      <w:r w:rsidRPr="004C78D8">
        <w:t xml:space="preserve">A multivariate logistic regression was estimated to assess whether this access rate was significantly associated with individual-level characteristics. The result showed no significant association except with frailty. The lack of association with cognitive impairment was consistent with the reactive intervention being accessed regardless of cognitive status. Therefore, the model incorporated the access rate that varied by frailty category: 9.6% if Fit; 23.5% Mild; 51.7% Moderate; and 72.7% Severe. </w:t>
      </w:r>
    </w:p>
    <w:p w14:paraId="7E10BABE" w14:textId="54123244" w:rsidR="00BD6A97" w:rsidRPr="004C78D8" w:rsidRDefault="004B3447" w:rsidP="00FB7C1F">
      <w:r w:rsidRPr="004C78D8">
        <w:t xml:space="preserve">Under </w:t>
      </w:r>
      <w:r w:rsidR="00900C52" w:rsidRPr="004C78D8">
        <w:t>RC</w:t>
      </w:r>
      <w:r w:rsidRPr="004C78D8">
        <w:t>, eligibility is expanded to all MA fall patients</w:t>
      </w:r>
      <w:r w:rsidR="00171B05" w:rsidRPr="004C78D8">
        <w:t xml:space="preserve"> regardless of cognitive status and intervention history</w:t>
      </w:r>
      <w:r w:rsidRPr="004C78D8">
        <w:t xml:space="preserve">. The intervention supply would expand without barrier to accommodate all eligible persons, but the final access rate would depend on demand. The </w:t>
      </w:r>
      <w:r w:rsidR="00900C52" w:rsidRPr="004C78D8">
        <w:t>uptake</w:t>
      </w:r>
      <w:r w:rsidRPr="004C78D8">
        <w:t xml:space="preserve"> rates from </w:t>
      </w:r>
      <w:r w:rsidR="00900C52" w:rsidRPr="004C78D8">
        <w:t xml:space="preserve">relevant </w:t>
      </w:r>
      <w:r w:rsidRPr="004C78D8">
        <w:t xml:space="preserve">UK-based RCTs were used as measures of demand: 53.8% for cognitively intact persons </w:t>
      </w:r>
      <w:r w:rsidR="00975FF3" w:rsidRPr="004C78D8">
        <w:fldChar w:fldCharType="begin"/>
      </w:r>
      <w:r w:rsidR="00513646" w:rsidRPr="004C78D8">
        <w:instrText xml:space="preserve"> ADDIN EN.CITE &lt;EndNote&gt;&lt;Cite&gt;&lt;Author&gt;Close&lt;/Author&gt;&lt;Year&gt;1999&lt;/Year&gt;&lt;RecNum&gt;513&lt;/RecNum&gt;&lt;DisplayText&gt;[62]&lt;/DisplayText&gt;&lt;record&gt;&lt;rec-number&gt;513&lt;/rec-number&gt;&lt;foreign-keys&gt;&lt;key app="EN" db-id="tdtrdw9aepptzbefsat599syza29sxsd2wsp" timestamp="1617903389"&gt;513&lt;/key&gt;&lt;/foreign-keys&gt;&lt;ref-type name="Journal Article"&gt;17&lt;/ref-type&gt;&lt;contributors&gt;&lt;authors&gt;&lt;author&gt;Close, J.&lt;/author&gt;&lt;author&gt;Ellis, M.&lt;/author&gt;&lt;author&gt;Hooper, R.&lt;/author&gt;&lt;author&gt;Glucksman, E.&lt;/author&gt;&lt;author&gt;Jackson, S.&lt;/author&gt;&lt;author&gt;Swift, C.&lt;/author&gt;&lt;/authors&gt;&lt;/contributors&gt;&lt;auth-address&gt;Department of Health Care of the Elderly, Guy&amp;apos;s King&amp;apos;s, and St Thomas&amp;apos; School of Medicine, King&amp;apos;s College Hospital, London, UK. jacqueline.close@kcl.ac.uk&lt;/auth-address&gt;&lt;titles&gt;&lt;title&gt;Prevention of falls in the elderly trial (PROFET): a randomised controlled trial&lt;/title&gt;&lt;secondary-title&gt;Lancet&lt;/secondary-title&gt;&lt;/titles&gt;&lt;periodical&gt;&lt;full-title&gt;Lancet&lt;/full-title&gt;&lt;/periodical&gt;&lt;pages&gt;93-7&lt;/pages&gt;&lt;volume&gt;353&lt;/volume&gt;&lt;number&gt;9147&lt;/number&gt;&lt;keywords&gt;&lt;keyword&gt;Accidental Falls/*prevention &amp;amp; control&lt;/keyword&gt;&lt;keyword&gt;Activities of Daily Living/classification&lt;/keyword&gt;&lt;keyword&gt;Aged&lt;/keyword&gt;&lt;keyword&gt;Aged, 80 and over&lt;/keyword&gt;&lt;keyword&gt;Female&lt;/keyword&gt;&lt;keyword&gt;*Frail Elderly&lt;/keyword&gt;&lt;keyword&gt;Geriatric Assessment&lt;/keyword&gt;&lt;keyword&gt;Humans&lt;/keyword&gt;&lt;keyword&gt;Male&lt;/keyword&gt;&lt;keyword&gt;Occupational Therapy&lt;/keyword&gt;&lt;keyword&gt;*Patient Care Team&lt;/keyword&gt;&lt;keyword&gt;Recurrence&lt;/keyword&gt;&lt;keyword&gt;Referral and Consultation&lt;/keyword&gt;&lt;keyword&gt;Treatment Outcome&lt;/keyword&gt;&lt;/keywords&gt;&lt;dates&gt;&lt;year&gt;1999&lt;/year&gt;&lt;pub-dates&gt;&lt;date&gt;Jan 9&lt;/date&gt;&lt;/pub-dates&gt;&lt;/dates&gt;&lt;isbn&gt;0140-6736 (Print)&amp;#xD;0140-6736 (Linking)&lt;/isbn&gt;&lt;accession-num&gt;10023893&lt;/accession-num&gt;&lt;urls&gt;&lt;related-urls&gt;&lt;url&gt;https://www.ncbi.nlm.nih.gov/pubmed/10023893&lt;/url&gt;&lt;/related-urls&gt;&lt;/urls&gt;&lt;electronic-resource-num&gt;10.1016/S0140-6736(98)06119-4&lt;/electronic-resource-num&gt;&lt;/record&gt;&lt;/Cite&gt;&lt;/EndNote&gt;</w:instrText>
      </w:r>
      <w:r w:rsidR="00975FF3" w:rsidRPr="004C78D8">
        <w:fldChar w:fldCharType="separate"/>
      </w:r>
      <w:r w:rsidR="00513646" w:rsidRPr="004C78D8">
        <w:rPr>
          <w:noProof/>
        </w:rPr>
        <w:t>[62]</w:t>
      </w:r>
      <w:r w:rsidR="00975FF3" w:rsidRPr="004C78D8">
        <w:fldChar w:fldCharType="end"/>
      </w:r>
      <w:r w:rsidRPr="004C78D8">
        <w:t xml:space="preserve">; and </w:t>
      </w:r>
      <w:r w:rsidR="0053572E" w:rsidRPr="004C78D8">
        <w:t>49</w:t>
      </w:r>
      <w:r w:rsidRPr="004C78D8">
        <w:t>.</w:t>
      </w:r>
      <w:r w:rsidR="0053572E" w:rsidRPr="004C78D8">
        <w:t>6</w:t>
      </w:r>
      <w:r w:rsidRPr="004C78D8">
        <w:t xml:space="preserve">% for cognitively impaired </w:t>
      </w:r>
      <w:r w:rsidR="00975FF3" w:rsidRPr="004C78D8">
        <w:fldChar w:fldCharType="begin"/>
      </w:r>
      <w:r w:rsidR="00C630FC" w:rsidRPr="004C78D8">
        <w:instrText xml:space="preserve"> ADDIN EN.CITE &lt;EndNote&gt;&lt;Cite&gt;&lt;Author&gt;Shaw&lt;/Author&gt;&lt;Year&gt;2003&lt;/Year&gt;&lt;RecNum&gt;514&lt;/RecNum&gt;&lt;DisplayText&gt;[384]&lt;/DisplayText&gt;&lt;record&gt;&lt;rec-number&gt;514&lt;/rec-number&gt;&lt;foreign-keys&gt;&lt;key app="EN" db-id="tdtrdw9aepptzbefsat599syza29sxsd2wsp" timestamp="1617903616"&gt;514&lt;/key&gt;&lt;/foreign-keys&gt;&lt;ref-type name="Journal Article"&gt;17&lt;/ref-type&gt;&lt;contributors&gt;&lt;authors&gt;&lt;author&gt;Shaw, Fiona E&lt;/author&gt;&lt;author&gt;Bond, John&lt;/author&gt;&lt;author&gt;Richardson, David A&lt;/author&gt;&lt;author&gt;Dawson, Pamela&lt;/author&gt;&lt;author&gt;Steen, I Nicholas&lt;/author&gt;&lt;author&gt;McKeith, Ian G&lt;/author&gt;&lt;author&gt;Kenny, Rose Anne&lt;/author&gt;&lt;/authors&gt;&lt;/contributors&gt;&lt;titles&gt;&lt;title&gt;Multifactorial intervention after a fall in older people with cognitive impairment and dementia presenting to the accident and emergency department: randomised controlled trial&lt;/title&gt;&lt;secondary-title&gt;BMJ: British medical journal&lt;/secondary-title&gt;&lt;/titles&gt;&lt;periodical&gt;&lt;full-title&gt;BMJ: British medical journal&lt;/full-title&gt;&lt;/periodical&gt;&lt;pages&gt;73&lt;/pages&gt;&lt;volume&gt;326&lt;/volume&gt;&lt;number&gt;7380&lt;/number&gt;&lt;dates&gt;&lt;year&gt;2003&lt;/year&gt;&lt;/dates&gt;&lt;urls&gt;&lt;/urls&gt;&lt;/record&gt;&lt;/Cite&gt;&lt;/EndNote&gt;</w:instrText>
      </w:r>
      <w:r w:rsidR="00975FF3" w:rsidRPr="004C78D8">
        <w:fldChar w:fldCharType="separate"/>
      </w:r>
      <w:r w:rsidR="00C630FC" w:rsidRPr="004C78D8">
        <w:rPr>
          <w:noProof/>
        </w:rPr>
        <w:t>[384]</w:t>
      </w:r>
      <w:r w:rsidR="00975FF3" w:rsidRPr="004C78D8">
        <w:fldChar w:fldCharType="end"/>
      </w:r>
      <w:r w:rsidRPr="004C78D8">
        <w:t>. The</w:t>
      </w:r>
      <w:r w:rsidR="00CC7623" w:rsidRPr="004C78D8">
        <w:t>re was no data on the individual-level variation in the</w:t>
      </w:r>
      <w:r w:rsidRPr="004C78D8">
        <w:t xml:space="preserve"> </w:t>
      </w:r>
      <w:r w:rsidR="00900C52" w:rsidRPr="004C78D8">
        <w:t>uptake</w:t>
      </w:r>
      <w:r w:rsidRPr="004C78D8">
        <w:t xml:space="preserve"> rates.</w:t>
      </w:r>
      <w:r w:rsidR="00DE37E1" w:rsidRPr="004C78D8">
        <w:t xml:space="preserve"> </w:t>
      </w:r>
    </w:p>
    <w:p w14:paraId="346F15FE" w14:textId="35135C36" w:rsidR="00563E1E" w:rsidRPr="004C78D8" w:rsidRDefault="00563E1E" w:rsidP="00FB7C1F">
      <w:pPr>
        <w:pStyle w:val="Heading5"/>
      </w:pPr>
      <w:r w:rsidRPr="004C78D8">
        <w:t>Proactive pathway</w:t>
      </w:r>
    </w:p>
    <w:p w14:paraId="4BFA2B33" w14:textId="03E33E3D" w:rsidR="00B619C6" w:rsidRPr="004C78D8" w:rsidRDefault="007E2EF0" w:rsidP="00FB7C1F">
      <w:r w:rsidRPr="004C78D8">
        <w:t xml:space="preserve">Table </w:t>
      </w:r>
      <w:r w:rsidR="00AA096B" w:rsidRPr="004C78D8">
        <w:t>5</w:t>
      </w:r>
      <w:r w:rsidRPr="004C78D8">
        <w:t>.</w:t>
      </w:r>
      <w:r w:rsidR="00AB7F23" w:rsidRPr="004C78D8">
        <w:t>2</w:t>
      </w:r>
      <w:r w:rsidR="006A252D" w:rsidRPr="004C78D8">
        <w:t>7</w:t>
      </w:r>
      <w:r w:rsidRPr="004C78D8">
        <w:t xml:space="preserve"> summari</w:t>
      </w:r>
      <w:r w:rsidR="007645E1" w:rsidRPr="004C78D8">
        <w:t>s</w:t>
      </w:r>
      <w:r w:rsidRPr="004C78D8">
        <w:t xml:space="preserve">es the eligibility and access conditions </w:t>
      </w:r>
      <w:r w:rsidR="00662EC0" w:rsidRPr="004C78D8">
        <w:t xml:space="preserve">under </w:t>
      </w:r>
      <w:r w:rsidR="00617506" w:rsidRPr="004C78D8">
        <w:t>UC and RC</w:t>
      </w:r>
      <w:r w:rsidR="00662EC0" w:rsidRPr="004C78D8">
        <w:t xml:space="preserve"> </w:t>
      </w:r>
      <w:r w:rsidRPr="004C78D8">
        <w:t xml:space="preserve">for three components </w:t>
      </w:r>
      <w:r w:rsidR="00617506" w:rsidRPr="004C78D8">
        <w:t>of</w:t>
      </w:r>
      <w:r w:rsidRPr="004C78D8">
        <w:t xml:space="preserve"> the proactive pathway: (1) routine GP contact; (2) falls risk screening at GP contact; and (3) access to appropriate falls prevention intervention for high-risk</w:t>
      </w:r>
      <w:r w:rsidR="00617506" w:rsidRPr="004C78D8">
        <w:t>, eligible</w:t>
      </w:r>
      <w:r w:rsidRPr="004C78D8">
        <w:t xml:space="preserve"> individuals. </w:t>
      </w:r>
    </w:p>
    <w:tbl>
      <w:tblPr>
        <w:tblStyle w:val="TableGrid"/>
        <w:tblW w:w="5000" w:type="pct"/>
        <w:tblLook w:val="04A0" w:firstRow="1" w:lastRow="0" w:firstColumn="1" w:lastColumn="0" w:noHBand="0" w:noVBand="1"/>
      </w:tblPr>
      <w:tblGrid>
        <w:gridCol w:w="1286"/>
        <w:gridCol w:w="3864"/>
        <w:gridCol w:w="3866"/>
      </w:tblGrid>
      <w:tr w:rsidR="00954961" w:rsidRPr="004C78D8" w14:paraId="0A24238E" w14:textId="77777777" w:rsidTr="00E35893">
        <w:tc>
          <w:tcPr>
            <w:tcW w:w="5000" w:type="pct"/>
            <w:gridSpan w:val="3"/>
          </w:tcPr>
          <w:p w14:paraId="385403D7" w14:textId="3FD76488" w:rsidR="00954961" w:rsidRPr="004C78D8" w:rsidRDefault="00954961" w:rsidP="00FB7C1F">
            <w:pPr>
              <w:rPr>
                <w:b/>
                <w:bCs/>
                <w:sz w:val="20"/>
                <w:szCs w:val="20"/>
              </w:rPr>
            </w:pPr>
            <w:r w:rsidRPr="004C78D8">
              <w:rPr>
                <w:b/>
                <w:bCs/>
              </w:rPr>
              <w:t xml:space="preserve">Table </w:t>
            </w:r>
            <w:r w:rsidR="00AA096B" w:rsidRPr="004C78D8">
              <w:rPr>
                <w:b/>
                <w:bCs/>
              </w:rPr>
              <w:t>5</w:t>
            </w:r>
            <w:r w:rsidR="00AB7F23" w:rsidRPr="004C78D8">
              <w:rPr>
                <w:b/>
                <w:bCs/>
              </w:rPr>
              <w:t>.2</w:t>
            </w:r>
            <w:r w:rsidR="006A252D" w:rsidRPr="004C78D8">
              <w:rPr>
                <w:b/>
                <w:bCs/>
              </w:rPr>
              <w:t>7</w:t>
            </w:r>
            <w:r w:rsidRPr="004C78D8">
              <w:t xml:space="preserve"> Eligibility and access rates for the proactive falls prevention pathway under usual care and </w:t>
            </w:r>
            <w:r w:rsidR="007645E1" w:rsidRPr="004C78D8">
              <w:t>recommended</w:t>
            </w:r>
            <w:r w:rsidRPr="004C78D8">
              <w:t xml:space="preserve"> </w:t>
            </w:r>
            <w:r w:rsidR="004409AC" w:rsidRPr="004C78D8">
              <w:t>care</w:t>
            </w:r>
            <w:r w:rsidRPr="004C78D8">
              <w:t xml:space="preserve"> scenarios</w:t>
            </w:r>
            <w:r w:rsidR="004409AC" w:rsidRPr="004C78D8">
              <w:t>.</w:t>
            </w:r>
          </w:p>
        </w:tc>
      </w:tr>
      <w:tr w:rsidR="00954961" w:rsidRPr="004C78D8" w14:paraId="0A867CA2" w14:textId="77777777" w:rsidTr="00E35893">
        <w:tc>
          <w:tcPr>
            <w:tcW w:w="713" w:type="pct"/>
          </w:tcPr>
          <w:p w14:paraId="72DE89BA" w14:textId="77777777" w:rsidR="00954961" w:rsidRPr="004C78D8" w:rsidRDefault="00954961" w:rsidP="00FB7C1F">
            <w:pPr>
              <w:rPr>
                <w:b/>
                <w:bCs/>
                <w:i/>
                <w:iCs/>
                <w:sz w:val="20"/>
                <w:szCs w:val="20"/>
              </w:rPr>
            </w:pPr>
          </w:p>
        </w:tc>
        <w:tc>
          <w:tcPr>
            <w:tcW w:w="2143" w:type="pct"/>
          </w:tcPr>
          <w:p w14:paraId="5E5687B3" w14:textId="77777777" w:rsidR="00954961" w:rsidRPr="004C78D8" w:rsidRDefault="00954961" w:rsidP="00FB7C1F">
            <w:pPr>
              <w:rPr>
                <w:b/>
                <w:bCs/>
                <w:sz w:val="20"/>
                <w:szCs w:val="20"/>
              </w:rPr>
            </w:pPr>
            <w:r w:rsidRPr="004C78D8">
              <w:rPr>
                <w:b/>
                <w:bCs/>
                <w:sz w:val="20"/>
                <w:szCs w:val="20"/>
              </w:rPr>
              <w:t>Usual care</w:t>
            </w:r>
          </w:p>
        </w:tc>
        <w:tc>
          <w:tcPr>
            <w:tcW w:w="2144" w:type="pct"/>
          </w:tcPr>
          <w:p w14:paraId="38A0C3DB" w14:textId="37F20DBE" w:rsidR="00954961" w:rsidRPr="004C78D8" w:rsidRDefault="007645E1" w:rsidP="00FB7C1F">
            <w:pPr>
              <w:rPr>
                <w:b/>
                <w:bCs/>
                <w:sz w:val="20"/>
                <w:szCs w:val="20"/>
              </w:rPr>
            </w:pPr>
            <w:r w:rsidRPr="004C78D8">
              <w:rPr>
                <w:b/>
                <w:bCs/>
                <w:sz w:val="20"/>
                <w:szCs w:val="20"/>
              </w:rPr>
              <w:t>Recommended</w:t>
            </w:r>
            <w:r w:rsidR="00D83290" w:rsidRPr="004C78D8">
              <w:rPr>
                <w:b/>
                <w:bCs/>
                <w:sz w:val="20"/>
                <w:szCs w:val="20"/>
              </w:rPr>
              <w:t xml:space="preserve"> care</w:t>
            </w:r>
          </w:p>
        </w:tc>
      </w:tr>
      <w:tr w:rsidR="00830E6F" w:rsidRPr="004C78D8" w14:paraId="7AF883EE" w14:textId="77777777" w:rsidTr="00E35893">
        <w:tc>
          <w:tcPr>
            <w:tcW w:w="5000" w:type="pct"/>
            <w:gridSpan w:val="3"/>
          </w:tcPr>
          <w:p w14:paraId="313936CF" w14:textId="6D783E85" w:rsidR="00830E6F" w:rsidRPr="004C78D8" w:rsidRDefault="00830E6F" w:rsidP="00FB7C1F">
            <w:pPr>
              <w:rPr>
                <w:b/>
                <w:bCs/>
                <w:sz w:val="20"/>
                <w:szCs w:val="20"/>
              </w:rPr>
            </w:pPr>
            <w:r w:rsidRPr="004C78D8">
              <w:rPr>
                <w:b/>
                <w:bCs/>
                <w:sz w:val="20"/>
                <w:szCs w:val="20"/>
              </w:rPr>
              <w:t>Pathway component: Routine GP contact</w:t>
            </w:r>
          </w:p>
        </w:tc>
      </w:tr>
      <w:tr w:rsidR="00954961" w:rsidRPr="004C78D8" w14:paraId="67FB068E" w14:textId="77777777" w:rsidTr="00E35893">
        <w:tc>
          <w:tcPr>
            <w:tcW w:w="713" w:type="pct"/>
            <w:tcBorders>
              <w:bottom w:val="single" w:sz="4" w:space="0" w:color="auto"/>
            </w:tcBorders>
          </w:tcPr>
          <w:p w14:paraId="6467FEAF" w14:textId="77777777" w:rsidR="00954961" w:rsidRPr="004C78D8" w:rsidRDefault="00954961" w:rsidP="00FB7C1F">
            <w:pPr>
              <w:jc w:val="left"/>
              <w:rPr>
                <w:sz w:val="20"/>
                <w:szCs w:val="20"/>
              </w:rPr>
            </w:pPr>
            <w:r w:rsidRPr="004C78D8">
              <w:rPr>
                <w:sz w:val="20"/>
                <w:szCs w:val="20"/>
              </w:rPr>
              <w:t>Eligibility</w:t>
            </w:r>
          </w:p>
        </w:tc>
        <w:tc>
          <w:tcPr>
            <w:tcW w:w="2143" w:type="pct"/>
            <w:tcBorders>
              <w:bottom w:val="single" w:sz="4" w:space="0" w:color="auto"/>
            </w:tcBorders>
          </w:tcPr>
          <w:p w14:paraId="04A26362" w14:textId="28D363B1" w:rsidR="00954961" w:rsidRPr="004C78D8" w:rsidRDefault="005A7B15" w:rsidP="00FB7C1F">
            <w:pPr>
              <w:jc w:val="left"/>
              <w:rPr>
                <w:sz w:val="20"/>
                <w:szCs w:val="20"/>
              </w:rPr>
            </w:pPr>
            <w:r w:rsidRPr="004C78D8">
              <w:rPr>
                <w:sz w:val="20"/>
                <w:szCs w:val="20"/>
              </w:rPr>
              <w:t xml:space="preserve">All persons </w:t>
            </w:r>
            <w:r w:rsidR="004A4AE5" w:rsidRPr="004C78D8">
              <w:rPr>
                <w:sz w:val="20"/>
                <w:szCs w:val="20"/>
              </w:rPr>
              <w:t>not receiving reactive intervention that year</w:t>
            </w:r>
          </w:p>
        </w:tc>
        <w:tc>
          <w:tcPr>
            <w:tcW w:w="2144" w:type="pct"/>
            <w:tcBorders>
              <w:bottom w:val="single" w:sz="4" w:space="0" w:color="auto"/>
            </w:tcBorders>
          </w:tcPr>
          <w:p w14:paraId="64CB57FA" w14:textId="22ED55B3" w:rsidR="00954961" w:rsidRPr="004C78D8" w:rsidRDefault="004A4AE5" w:rsidP="00FB7C1F">
            <w:pPr>
              <w:jc w:val="left"/>
              <w:rPr>
                <w:sz w:val="20"/>
                <w:szCs w:val="20"/>
              </w:rPr>
            </w:pPr>
            <w:r w:rsidRPr="004C78D8">
              <w:rPr>
                <w:sz w:val="20"/>
                <w:szCs w:val="20"/>
              </w:rPr>
              <w:t>All persons not receiving reactive intervention that year</w:t>
            </w:r>
          </w:p>
        </w:tc>
      </w:tr>
      <w:tr w:rsidR="00954961" w:rsidRPr="004C78D8" w14:paraId="0300EFC0" w14:textId="77777777" w:rsidTr="00E35893">
        <w:tc>
          <w:tcPr>
            <w:tcW w:w="713" w:type="pct"/>
            <w:tcBorders>
              <w:bottom w:val="nil"/>
            </w:tcBorders>
          </w:tcPr>
          <w:p w14:paraId="243775A4" w14:textId="77777777" w:rsidR="00954961" w:rsidRPr="004C78D8" w:rsidRDefault="00954961" w:rsidP="00FB7C1F">
            <w:pPr>
              <w:jc w:val="left"/>
              <w:rPr>
                <w:sz w:val="20"/>
                <w:szCs w:val="20"/>
              </w:rPr>
            </w:pPr>
            <w:r w:rsidRPr="004C78D8">
              <w:rPr>
                <w:sz w:val="20"/>
                <w:szCs w:val="20"/>
              </w:rPr>
              <w:t>Access rate</w:t>
            </w:r>
          </w:p>
        </w:tc>
        <w:tc>
          <w:tcPr>
            <w:tcW w:w="2143" w:type="pct"/>
            <w:tcBorders>
              <w:bottom w:val="nil"/>
            </w:tcBorders>
          </w:tcPr>
          <w:p w14:paraId="2E7F56B2" w14:textId="4538877C" w:rsidR="00954961" w:rsidRPr="004C78D8" w:rsidRDefault="00954961" w:rsidP="00FB7C1F">
            <w:pPr>
              <w:jc w:val="left"/>
              <w:rPr>
                <w:sz w:val="20"/>
                <w:szCs w:val="20"/>
              </w:rPr>
            </w:pPr>
            <w:r w:rsidRPr="004C78D8">
              <w:rPr>
                <w:sz w:val="20"/>
                <w:szCs w:val="20"/>
              </w:rPr>
              <w:t xml:space="preserve">Limited access rate according to ELSA: </w:t>
            </w:r>
            <w:r w:rsidR="005A7B15" w:rsidRPr="004C78D8">
              <w:rPr>
                <w:sz w:val="20"/>
                <w:szCs w:val="20"/>
              </w:rPr>
              <w:t>8</w:t>
            </w:r>
            <w:r w:rsidR="00135E6B" w:rsidRPr="004C78D8">
              <w:rPr>
                <w:sz w:val="20"/>
                <w:szCs w:val="20"/>
              </w:rPr>
              <w:t>1</w:t>
            </w:r>
            <w:r w:rsidR="005A7B15" w:rsidRPr="004C78D8">
              <w:rPr>
                <w:sz w:val="20"/>
                <w:szCs w:val="20"/>
              </w:rPr>
              <w:t>.</w:t>
            </w:r>
            <w:r w:rsidR="00561A6C" w:rsidRPr="004C78D8">
              <w:rPr>
                <w:sz w:val="20"/>
                <w:szCs w:val="20"/>
              </w:rPr>
              <w:t>3</w:t>
            </w:r>
            <w:r w:rsidR="005A7B15" w:rsidRPr="004C78D8">
              <w:rPr>
                <w:sz w:val="20"/>
                <w:szCs w:val="20"/>
              </w:rPr>
              <w:t xml:space="preserve">% overall; varying by individual-level characteristics (see Table </w:t>
            </w:r>
            <w:r w:rsidR="00AA096B" w:rsidRPr="004C78D8">
              <w:rPr>
                <w:sz w:val="20"/>
                <w:szCs w:val="20"/>
              </w:rPr>
              <w:t>5</w:t>
            </w:r>
            <w:r w:rsidR="00553547" w:rsidRPr="004C78D8">
              <w:rPr>
                <w:sz w:val="20"/>
                <w:szCs w:val="20"/>
              </w:rPr>
              <w:t>.2</w:t>
            </w:r>
            <w:r w:rsidR="006A252D" w:rsidRPr="004C78D8">
              <w:rPr>
                <w:sz w:val="20"/>
                <w:szCs w:val="20"/>
              </w:rPr>
              <w:t>8</w:t>
            </w:r>
            <w:r w:rsidR="005A7B15" w:rsidRPr="004C78D8">
              <w:rPr>
                <w:sz w:val="20"/>
                <w:szCs w:val="20"/>
              </w:rPr>
              <w:t>)</w:t>
            </w:r>
          </w:p>
        </w:tc>
        <w:tc>
          <w:tcPr>
            <w:tcW w:w="2144" w:type="pct"/>
            <w:tcBorders>
              <w:bottom w:val="nil"/>
            </w:tcBorders>
          </w:tcPr>
          <w:p w14:paraId="662DB836" w14:textId="24B284FA" w:rsidR="00954961" w:rsidRPr="004C78D8" w:rsidRDefault="000B7D21" w:rsidP="00FB7C1F">
            <w:pPr>
              <w:jc w:val="left"/>
              <w:rPr>
                <w:sz w:val="20"/>
                <w:szCs w:val="20"/>
              </w:rPr>
            </w:pPr>
            <w:r w:rsidRPr="004C78D8">
              <w:rPr>
                <w:sz w:val="20"/>
                <w:szCs w:val="20"/>
              </w:rPr>
              <w:t>Limited access rate according to ELSA: 8</w:t>
            </w:r>
            <w:r w:rsidR="00135E6B" w:rsidRPr="004C78D8">
              <w:rPr>
                <w:sz w:val="20"/>
                <w:szCs w:val="20"/>
              </w:rPr>
              <w:t>1</w:t>
            </w:r>
            <w:r w:rsidRPr="004C78D8">
              <w:rPr>
                <w:sz w:val="20"/>
                <w:szCs w:val="20"/>
              </w:rPr>
              <w:t>.</w:t>
            </w:r>
            <w:r w:rsidR="00561A6C" w:rsidRPr="004C78D8">
              <w:rPr>
                <w:sz w:val="20"/>
                <w:szCs w:val="20"/>
              </w:rPr>
              <w:t>3</w:t>
            </w:r>
            <w:r w:rsidRPr="004C78D8">
              <w:rPr>
                <w:sz w:val="20"/>
                <w:szCs w:val="20"/>
              </w:rPr>
              <w:t xml:space="preserve">% overall; varying by individual-level characteristics (see Table </w:t>
            </w:r>
            <w:r w:rsidR="00AA096B" w:rsidRPr="004C78D8">
              <w:rPr>
                <w:sz w:val="20"/>
                <w:szCs w:val="20"/>
              </w:rPr>
              <w:t>5</w:t>
            </w:r>
            <w:r w:rsidR="00553547" w:rsidRPr="004C78D8">
              <w:rPr>
                <w:sz w:val="20"/>
                <w:szCs w:val="20"/>
              </w:rPr>
              <w:t>.2</w:t>
            </w:r>
            <w:r w:rsidR="006A252D" w:rsidRPr="004C78D8">
              <w:rPr>
                <w:sz w:val="20"/>
                <w:szCs w:val="20"/>
              </w:rPr>
              <w:t>8</w:t>
            </w:r>
            <w:r w:rsidRPr="004C78D8">
              <w:rPr>
                <w:sz w:val="20"/>
                <w:szCs w:val="20"/>
              </w:rPr>
              <w:t>)</w:t>
            </w:r>
          </w:p>
        </w:tc>
      </w:tr>
      <w:tr w:rsidR="00830E6F" w:rsidRPr="004C78D8" w14:paraId="4207DC94" w14:textId="77777777" w:rsidTr="00E35893">
        <w:tc>
          <w:tcPr>
            <w:tcW w:w="5000" w:type="pct"/>
            <w:gridSpan w:val="3"/>
            <w:tcBorders>
              <w:bottom w:val="single" w:sz="4" w:space="0" w:color="auto"/>
            </w:tcBorders>
          </w:tcPr>
          <w:p w14:paraId="09E8C630" w14:textId="17D77D3A" w:rsidR="00830E6F" w:rsidRPr="004C78D8" w:rsidRDefault="00830E6F" w:rsidP="00FB7C1F">
            <w:pPr>
              <w:jc w:val="left"/>
              <w:rPr>
                <w:sz w:val="20"/>
                <w:szCs w:val="20"/>
              </w:rPr>
            </w:pPr>
            <w:r w:rsidRPr="004C78D8">
              <w:rPr>
                <w:b/>
                <w:bCs/>
                <w:sz w:val="20"/>
                <w:szCs w:val="20"/>
              </w:rPr>
              <w:t>Pathway component: Fall risk screening at routine GP contact</w:t>
            </w:r>
          </w:p>
        </w:tc>
      </w:tr>
      <w:tr w:rsidR="00830E6F" w:rsidRPr="004C78D8" w14:paraId="73DD23F5" w14:textId="77777777" w:rsidTr="00E35893">
        <w:tc>
          <w:tcPr>
            <w:tcW w:w="713" w:type="pct"/>
            <w:tcBorders>
              <w:bottom w:val="single" w:sz="4" w:space="0" w:color="auto"/>
            </w:tcBorders>
          </w:tcPr>
          <w:p w14:paraId="47E02C69" w14:textId="163964A6" w:rsidR="00830E6F" w:rsidRPr="004C78D8" w:rsidRDefault="00830E6F" w:rsidP="00FB7C1F">
            <w:pPr>
              <w:jc w:val="left"/>
              <w:rPr>
                <w:sz w:val="20"/>
                <w:szCs w:val="20"/>
              </w:rPr>
            </w:pPr>
            <w:r w:rsidRPr="004C78D8">
              <w:rPr>
                <w:sz w:val="20"/>
                <w:szCs w:val="20"/>
              </w:rPr>
              <w:t>Eligibility</w:t>
            </w:r>
          </w:p>
        </w:tc>
        <w:tc>
          <w:tcPr>
            <w:tcW w:w="2143" w:type="pct"/>
            <w:tcBorders>
              <w:bottom w:val="single" w:sz="4" w:space="0" w:color="auto"/>
            </w:tcBorders>
          </w:tcPr>
          <w:p w14:paraId="7E14A66F" w14:textId="0A5EC69E" w:rsidR="00830E6F" w:rsidRPr="004C78D8" w:rsidRDefault="00830E6F" w:rsidP="00FB7C1F">
            <w:pPr>
              <w:jc w:val="left"/>
              <w:rPr>
                <w:sz w:val="20"/>
                <w:szCs w:val="20"/>
              </w:rPr>
            </w:pPr>
            <w:r w:rsidRPr="004C78D8">
              <w:rPr>
                <w:sz w:val="20"/>
                <w:szCs w:val="20"/>
              </w:rPr>
              <w:t xml:space="preserve">All persons at </w:t>
            </w:r>
            <w:r w:rsidR="00B53F30" w:rsidRPr="004C78D8">
              <w:rPr>
                <w:sz w:val="20"/>
                <w:szCs w:val="20"/>
              </w:rPr>
              <w:t xml:space="preserve">routine </w:t>
            </w:r>
            <w:r w:rsidRPr="004C78D8">
              <w:rPr>
                <w:sz w:val="20"/>
                <w:szCs w:val="20"/>
              </w:rPr>
              <w:t>contact</w:t>
            </w:r>
          </w:p>
        </w:tc>
        <w:tc>
          <w:tcPr>
            <w:tcW w:w="2144" w:type="pct"/>
            <w:tcBorders>
              <w:bottom w:val="single" w:sz="4" w:space="0" w:color="auto"/>
            </w:tcBorders>
          </w:tcPr>
          <w:p w14:paraId="7941FEE9" w14:textId="6C745A67" w:rsidR="00830E6F" w:rsidRPr="004C78D8" w:rsidRDefault="00830E6F" w:rsidP="00FB7C1F">
            <w:pPr>
              <w:jc w:val="left"/>
              <w:rPr>
                <w:sz w:val="20"/>
                <w:szCs w:val="20"/>
              </w:rPr>
            </w:pPr>
            <w:r w:rsidRPr="004C78D8">
              <w:rPr>
                <w:sz w:val="20"/>
                <w:szCs w:val="20"/>
              </w:rPr>
              <w:t xml:space="preserve">All persons at </w:t>
            </w:r>
            <w:r w:rsidR="00B53F30" w:rsidRPr="004C78D8">
              <w:rPr>
                <w:sz w:val="20"/>
                <w:szCs w:val="20"/>
              </w:rPr>
              <w:t xml:space="preserve">routine </w:t>
            </w:r>
            <w:r w:rsidRPr="004C78D8">
              <w:rPr>
                <w:sz w:val="20"/>
                <w:szCs w:val="20"/>
              </w:rPr>
              <w:t>contact</w:t>
            </w:r>
          </w:p>
        </w:tc>
      </w:tr>
      <w:tr w:rsidR="00830E6F" w:rsidRPr="004C78D8" w14:paraId="1F9AFA7F" w14:textId="77777777" w:rsidTr="00E35893">
        <w:tc>
          <w:tcPr>
            <w:tcW w:w="713" w:type="pct"/>
            <w:tcBorders>
              <w:bottom w:val="single" w:sz="4" w:space="0" w:color="auto"/>
            </w:tcBorders>
          </w:tcPr>
          <w:p w14:paraId="13B2857D" w14:textId="675F87FC" w:rsidR="00830E6F" w:rsidRPr="004C78D8" w:rsidRDefault="00830E6F" w:rsidP="00FB7C1F">
            <w:pPr>
              <w:jc w:val="left"/>
              <w:rPr>
                <w:sz w:val="20"/>
                <w:szCs w:val="20"/>
              </w:rPr>
            </w:pPr>
            <w:r w:rsidRPr="004C78D8">
              <w:rPr>
                <w:sz w:val="20"/>
                <w:szCs w:val="20"/>
              </w:rPr>
              <w:t>Access rate</w:t>
            </w:r>
          </w:p>
        </w:tc>
        <w:tc>
          <w:tcPr>
            <w:tcW w:w="2143" w:type="pct"/>
            <w:tcBorders>
              <w:bottom w:val="single" w:sz="4" w:space="0" w:color="auto"/>
            </w:tcBorders>
          </w:tcPr>
          <w:p w14:paraId="42B7BD90" w14:textId="6E9AA0C9" w:rsidR="00830E6F" w:rsidRPr="004C78D8" w:rsidRDefault="00A76DCC" w:rsidP="00FB7C1F">
            <w:pPr>
              <w:jc w:val="left"/>
              <w:rPr>
                <w:sz w:val="20"/>
                <w:szCs w:val="20"/>
              </w:rPr>
            </w:pPr>
            <w:r w:rsidRPr="004C78D8">
              <w:rPr>
                <w:sz w:val="20"/>
                <w:szCs w:val="20"/>
              </w:rPr>
              <w:t xml:space="preserve">Limited access rate by frailty category according to ELSA: </w:t>
            </w:r>
            <w:r w:rsidR="000C1AB7" w:rsidRPr="004C78D8">
              <w:rPr>
                <w:sz w:val="20"/>
                <w:szCs w:val="20"/>
              </w:rPr>
              <w:t>15</w:t>
            </w:r>
            <w:r w:rsidRPr="004C78D8">
              <w:rPr>
                <w:sz w:val="20"/>
                <w:szCs w:val="20"/>
              </w:rPr>
              <w:t>.</w:t>
            </w:r>
            <w:r w:rsidR="000C1AB7" w:rsidRPr="004C78D8">
              <w:rPr>
                <w:sz w:val="20"/>
                <w:szCs w:val="20"/>
              </w:rPr>
              <w:t>7</w:t>
            </w:r>
            <w:r w:rsidRPr="004C78D8">
              <w:rPr>
                <w:sz w:val="20"/>
                <w:szCs w:val="20"/>
              </w:rPr>
              <w:t>% overall</w:t>
            </w:r>
            <w:r w:rsidR="00C14986" w:rsidRPr="004C78D8">
              <w:rPr>
                <w:sz w:val="20"/>
                <w:szCs w:val="20"/>
              </w:rPr>
              <w:t xml:space="preserve"> among those with recurrent non-MA or MA falls history</w:t>
            </w:r>
            <w:r w:rsidRPr="004C78D8">
              <w:rPr>
                <w:sz w:val="20"/>
                <w:szCs w:val="20"/>
              </w:rPr>
              <w:t xml:space="preserve">; </w:t>
            </w:r>
            <w:r w:rsidR="002C50D2" w:rsidRPr="004C78D8">
              <w:rPr>
                <w:sz w:val="20"/>
                <w:szCs w:val="20"/>
              </w:rPr>
              <w:t>12</w:t>
            </w:r>
            <w:r w:rsidRPr="004C78D8">
              <w:rPr>
                <w:sz w:val="20"/>
                <w:szCs w:val="20"/>
              </w:rPr>
              <w:t>.</w:t>
            </w:r>
            <w:r w:rsidR="002C50D2" w:rsidRPr="004C78D8">
              <w:rPr>
                <w:sz w:val="20"/>
                <w:szCs w:val="20"/>
              </w:rPr>
              <w:t>0</w:t>
            </w:r>
            <w:r w:rsidRPr="004C78D8">
              <w:rPr>
                <w:sz w:val="20"/>
                <w:szCs w:val="20"/>
              </w:rPr>
              <w:t xml:space="preserve">% if Fit; </w:t>
            </w:r>
            <w:r w:rsidR="002C50D2" w:rsidRPr="004C78D8">
              <w:rPr>
                <w:sz w:val="20"/>
                <w:szCs w:val="20"/>
              </w:rPr>
              <w:t>15</w:t>
            </w:r>
            <w:r w:rsidRPr="004C78D8">
              <w:rPr>
                <w:sz w:val="20"/>
                <w:szCs w:val="20"/>
              </w:rPr>
              <w:t>.</w:t>
            </w:r>
            <w:r w:rsidR="002C50D2" w:rsidRPr="004C78D8">
              <w:rPr>
                <w:sz w:val="20"/>
                <w:szCs w:val="20"/>
              </w:rPr>
              <w:t>1</w:t>
            </w:r>
            <w:r w:rsidRPr="004C78D8">
              <w:rPr>
                <w:sz w:val="20"/>
                <w:szCs w:val="20"/>
              </w:rPr>
              <w:t xml:space="preserve">% if Mild; </w:t>
            </w:r>
            <w:r w:rsidR="002C50D2" w:rsidRPr="004C78D8">
              <w:rPr>
                <w:sz w:val="20"/>
                <w:szCs w:val="20"/>
              </w:rPr>
              <w:t>19</w:t>
            </w:r>
            <w:r w:rsidRPr="004C78D8">
              <w:rPr>
                <w:sz w:val="20"/>
                <w:szCs w:val="20"/>
              </w:rPr>
              <w:t>.</w:t>
            </w:r>
            <w:r w:rsidR="002C50D2" w:rsidRPr="004C78D8">
              <w:rPr>
                <w:sz w:val="20"/>
                <w:szCs w:val="20"/>
              </w:rPr>
              <w:t>7</w:t>
            </w:r>
            <w:r w:rsidRPr="004C78D8">
              <w:rPr>
                <w:sz w:val="20"/>
                <w:szCs w:val="20"/>
              </w:rPr>
              <w:t xml:space="preserve">% if Moderate; </w:t>
            </w:r>
            <w:r w:rsidR="002C50D2" w:rsidRPr="004C78D8">
              <w:rPr>
                <w:sz w:val="20"/>
                <w:szCs w:val="20"/>
              </w:rPr>
              <w:t>21</w:t>
            </w:r>
            <w:r w:rsidRPr="004C78D8">
              <w:rPr>
                <w:sz w:val="20"/>
                <w:szCs w:val="20"/>
              </w:rPr>
              <w:t>.</w:t>
            </w:r>
            <w:r w:rsidR="00C14986" w:rsidRPr="004C78D8">
              <w:rPr>
                <w:sz w:val="20"/>
                <w:szCs w:val="20"/>
              </w:rPr>
              <w:t>9</w:t>
            </w:r>
            <w:r w:rsidRPr="004C78D8">
              <w:rPr>
                <w:sz w:val="20"/>
                <w:szCs w:val="20"/>
              </w:rPr>
              <w:t>% if Severe</w:t>
            </w:r>
          </w:p>
        </w:tc>
        <w:tc>
          <w:tcPr>
            <w:tcW w:w="2144" w:type="pct"/>
            <w:tcBorders>
              <w:bottom w:val="single" w:sz="4" w:space="0" w:color="auto"/>
            </w:tcBorders>
          </w:tcPr>
          <w:p w14:paraId="1DF01D26" w14:textId="2716C6CB" w:rsidR="00830E6F" w:rsidRPr="004C78D8" w:rsidRDefault="00B53F30" w:rsidP="00FB7C1F">
            <w:pPr>
              <w:jc w:val="left"/>
              <w:rPr>
                <w:sz w:val="20"/>
                <w:szCs w:val="20"/>
              </w:rPr>
            </w:pPr>
            <w:r w:rsidRPr="004C78D8">
              <w:rPr>
                <w:sz w:val="20"/>
                <w:szCs w:val="20"/>
              </w:rPr>
              <w:t>100% access</w:t>
            </w:r>
          </w:p>
        </w:tc>
      </w:tr>
      <w:tr w:rsidR="007E2EF0" w:rsidRPr="004C78D8" w14:paraId="05F05938" w14:textId="77777777" w:rsidTr="00E35893">
        <w:tc>
          <w:tcPr>
            <w:tcW w:w="5000" w:type="pct"/>
            <w:gridSpan w:val="3"/>
            <w:tcBorders>
              <w:bottom w:val="single" w:sz="4" w:space="0" w:color="auto"/>
            </w:tcBorders>
          </w:tcPr>
          <w:p w14:paraId="1991B598" w14:textId="707F6A52" w:rsidR="007E2EF0" w:rsidRPr="004C78D8" w:rsidRDefault="007E2EF0" w:rsidP="00FB7C1F">
            <w:pPr>
              <w:jc w:val="left"/>
              <w:rPr>
                <w:sz w:val="20"/>
                <w:szCs w:val="20"/>
              </w:rPr>
            </w:pPr>
            <w:r w:rsidRPr="004C78D8">
              <w:rPr>
                <w:b/>
                <w:bCs/>
                <w:sz w:val="20"/>
                <w:szCs w:val="20"/>
              </w:rPr>
              <w:t>Pathway component: Proactive falls prevention intervention</w:t>
            </w:r>
          </w:p>
        </w:tc>
      </w:tr>
      <w:tr w:rsidR="007E2EF0" w:rsidRPr="004C78D8" w14:paraId="60D1FC14" w14:textId="77777777" w:rsidTr="00E35893">
        <w:tc>
          <w:tcPr>
            <w:tcW w:w="713" w:type="pct"/>
            <w:tcBorders>
              <w:bottom w:val="single" w:sz="4" w:space="0" w:color="auto"/>
            </w:tcBorders>
          </w:tcPr>
          <w:p w14:paraId="54480046" w14:textId="2C873A57" w:rsidR="007E2EF0" w:rsidRPr="004C78D8" w:rsidRDefault="007E2EF0" w:rsidP="00FB7C1F">
            <w:pPr>
              <w:jc w:val="left"/>
              <w:rPr>
                <w:sz w:val="20"/>
                <w:szCs w:val="20"/>
              </w:rPr>
            </w:pPr>
            <w:r w:rsidRPr="004C78D8">
              <w:rPr>
                <w:sz w:val="20"/>
                <w:szCs w:val="20"/>
              </w:rPr>
              <w:t>Eligibility</w:t>
            </w:r>
          </w:p>
        </w:tc>
        <w:tc>
          <w:tcPr>
            <w:tcW w:w="2143" w:type="pct"/>
            <w:tcBorders>
              <w:bottom w:val="single" w:sz="4" w:space="0" w:color="auto"/>
            </w:tcBorders>
          </w:tcPr>
          <w:p w14:paraId="693F53D2" w14:textId="1443F9FD" w:rsidR="007E2EF0" w:rsidRPr="004C78D8" w:rsidRDefault="00A34290" w:rsidP="00FB7C1F">
            <w:pPr>
              <w:jc w:val="left"/>
              <w:rPr>
                <w:sz w:val="20"/>
                <w:szCs w:val="20"/>
              </w:rPr>
            </w:pPr>
            <w:r w:rsidRPr="004C78D8">
              <w:rPr>
                <w:sz w:val="20"/>
                <w:szCs w:val="20"/>
              </w:rPr>
              <w:t xml:space="preserve">Cognitively intact persons without intervention history; </w:t>
            </w:r>
            <w:r w:rsidR="007806F0" w:rsidRPr="004C78D8">
              <w:rPr>
                <w:sz w:val="20"/>
                <w:szCs w:val="20"/>
              </w:rPr>
              <w:t>p</w:t>
            </w:r>
            <w:r w:rsidRPr="004C78D8">
              <w:rPr>
                <w:sz w:val="20"/>
                <w:szCs w:val="20"/>
              </w:rPr>
              <w:t>rioriti</w:t>
            </w:r>
            <w:r w:rsidR="007806F0" w:rsidRPr="004C78D8">
              <w:rPr>
                <w:sz w:val="20"/>
                <w:szCs w:val="20"/>
              </w:rPr>
              <w:t>s</w:t>
            </w:r>
            <w:r w:rsidRPr="004C78D8">
              <w:rPr>
                <w:sz w:val="20"/>
                <w:szCs w:val="20"/>
              </w:rPr>
              <w:t>ation by unknown criteria in ELSA</w:t>
            </w:r>
            <w:r w:rsidR="00043885" w:rsidRPr="004C78D8">
              <w:rPr>
                <w:sz w:val="20"/>
                <w:szCs w:val="20"/>
              </w:rPr>
              <w:t xml:space="preserve"> (see Access rate)</w:t>
            </w:r>
          </w:p>
        </w:tc>
        <w:tc>
          <w:tcPr>
            <w:tcW w:w="2144" w:type="pct"/>
            <w:tcBorders>
              <w:bottom w:val="single" w:sz="4" w:space="0" w:color="auto"/>
            </w:tcBorders>
          </w:tcPr>
          <w:p w14:paraId="51C50326" w14:textId="1556D0E7" w:rsidR="007E2EF0" w:rsidRPr="004C78D8" w:rsidRDefault="00FD764A" w:rsidP="00FB7C1F">
            <w:pPr>
              <w:jc w:val="left"/>
              <w:rPr>
                <w:sz w:val="20"/>
                <w:szCs w:val="20"/>
              </w:rPr>
            </w:pPr>
            <w:r w:rsidRPr="004C78D8">
              <w:rPr>
                <w:sz w:val="20"/>
                <w:szCs w:val="20"/>
              </w:rPr>
              <w:t>I</w:t>
            </w:r>
            <w:r w:rsidR="00DB205B" w:rsidRPr="004C78D8">
              <w:rPr>
                <w:sz w:val="20"/>
                <w:szCs w:val="20"/>
              </w:rPr>
              <w:t>ndividuals</w:t>
            </w:r>
            <w:r w:rsidRPr="004C78D8">
              <w:rPr>
                <w:sz w:val="20"/>
                <w:szCs w:val="20"/>
              </w:rPr>
              <w:t xml:space="preserve"> at high risk by NICE criteria</w:t>
            </w:r>
            <w:r w:rsidR="00DB205B" w:rsidRPr="004C78D8">
              <w:rPr>
                <w:sz w:val="20"/>
                <w:szCs w:val="20"/>
                <w:vertAlign w:val="superscript"/>
              </w:rPr>
              <w:t>1</w:t>
            </w:r>
            <w:r w:rsidR="00DB205B" w:rsidRPr="004C78D8">
              <w:rPr>
                <w:sz w:val="20"/>
                <w:szCs w:val="20"/>
              </w:rPr>
              <w:t xml:space="preserve"> </w:t>
            </w:r>
            <w:r w:rsidRPr="004C78D8">
              <w:rPr>
                <w:sz w:val="20"/>
                <w:szCs w:val="20"/>
              </w:rPr>
              <w:t xml:space="preserve">and varying </w:t>
            </w:r>
            <w:r w:rsidR="00DB205B" w:rsidRPr="004C78D8">
              <w:rPr>
                <w:sz w:val="20"/>
                <w:szCs w:val="20"/>
              </w:rPr>
              <w:t>b</w:t>
            </w:r>
            <w:r w:rsidR="007E2EF0" w:rsidRPr="004C78D8">
              <w:rPr>
                <w:sz w:val="20"/>
                <w:szCs w:val="20"/>
              </w:rPr>
              <w:t xml:space="preserve">y cognitive status: </w:t>
            </w:r>
          </w:p>
          <w:p w14:paraId="22083C36" w14:textId="15F06836" w:rsidR="00B978F9" w:rsidRPr="004C78D8" w:rsidRDefault="007E2EF0" w:rsidP="00FB7C1F">
            <w:pPr>
              <w:jc w:val="left"/>
              <w:rPr>
                <w:sz w:val="20"/>
                <w:szCs w:val="20"/>
              </w:rPr>
            </w:pPr>
            <w:r w:rsidRPr="004C78D8">
              <w:rPr>
                <w:sz w:val="20"/>
                <w:szCs w:val="20"/>
              </w:rPr>
              <w:t>(i) Multifactorial intervention for cognitively intact persons</w:t>
            </w:r>
            <w:r w:rsidR="00EC023E" w:rsidRPr="004C78D8">
              <w:rPr>
                <w:sz w:val="20"/>
                <w:szCs w:val="20"/>
              </w:rPr>
              <w:t>, up to three re-receipts</w:t>
            </w:r>
          </w:p>
          <w:p w14:paraId="3D7F89B0" w14:textId="6CF1568A" w:rsidR="007E2EF0" w:rsidRPr="004C78D8" w:rsidRDefault="007E2EF0" w:rsidP="00FB7C1F">
            <w:pPr>
              <w:jc w:val="left"/>
              <w:rPr>
                <w:sz w:val="20"/>
                <w:szCs w:val="20"/>
              </w:rPr>
            </w:pPr>
            <w:r w:rsidRPr="004C78D8">
              <w:rPr>
                <w:sz w:val="20"/>
                <w:szCs w:val="20"/>
              </w:rPr>
              <w:t xml:space="preserve">(ii) Tai Chi for cognitively impaired </w:t>
            </w:r>
            <w:r w:rsidR="00B978F9" w:rsidRPr="004C78D8">
              <w:rPr>
                <w:sz w:val="20"/>
                <w:szCs w:val="20"/>
              </w:rPr>
              <w:t xml:space="preserve">with </w:t>
            </w:r>
            <w:r w:rsidR="009B5073" w:rsidRPr="004C78D8">
              <w:rPr>
                <w:sz w:val="20"/>
                <w:szCs w:val="20"/>
              </w:rPr>
              <w:t>or without</w:t>
            </w:r>
            <w:r w:rsidRPr="004C78D8">
              <w:rPr>
                <w:sz w:val="20"/>
                <w:szCs w:val="20"/>
              </w:rPr>
              <w:t xml:space="preserve"> intervention history</w:t>
            </w:r>
          </w:p>
        </w:tc>
      </w:tr>
      <w:tr w:rsidR="007E2EF0" w:rsidRPr="004C78D8" w14:paraId="53B602DE" w14:textId="77777777" w:rsidTr="00E35893">
        <w:tc>
          <w:tcPr>
            <w:tcW w:w="713" w:type="pct"/>
            <w:tcBorders>
              <w:bottom w:val="single" w:sz="4" w:space="0" w:color="auto"/>
            </w:tcBorders>
          </w:tcPr>
          <w:p w14:paraId="1F0BF6C0" w14:textId="5AD5E0FD" w:rsidR="007E2EF0" w:rsidRPr="004C78D8" w:rsidRDefault="007E2EF0" w:rsidP="00FB7C1F">
            <w:pPr>
              <w:jc w:val="left"/>
              <w:rPr>
                <w:sz w:val="20"/>
                <w:szCs w:val="20"/>
              </w:rPr>
            </w:pPr>
            <w:r w:rsidRPr="004C78D8">
              <w:rPr>
                <w:sz w:val="20"/>
                <w:szCs w:val="20"/>
              </w:rPr>
              <w:t>Access rate</w:t>
            </w:r>
          </w:p>
        </w:tc>
        <w:tc>
          <w:tcPr>
            <w:tcW w:w="2143" w:type="pct"/>
            <w:tcBorders>
              <w:bottom w:val="single" w:sz="4" w:space="0" w:color="auto"/>
            </w:tcBorders>
          </w:tcPr>
          <w:p w14:paraId="2905F87F" w14:textId="064EB5D1" w:rsidR="007E2EF0" w:rsidRPr="004C78D8" w:rsidRDefault="002D109B" w:rsidP="00FB7C1F">
            <w:pPr>
              <w:jc w:val="left"/>
              <w:rPr>
                <w:sz w:val="20"/>
                <w:szCs w:val="20"/>
              </w:rPr>
            </w:pPr>
            <w:r w:rsidRPr="004C78D8">
              <w:rPr>
                <w:sz w:val="20"/>
                <w:szCs w:val="20"/>
              </w:rPr>
              <w:t xml:space="preserve">Limited access rate by frailty category according to ELSA: </w:t>
            </w:r>
            <w:r w:rsidR="00A34290" w:rsidRPr="004C78D8">
              <w:rPr>
                <w:sz w:val="20"/>
                <w:szCs w:val="20"/>
              </w:rPr>
              <w:t>33.5</w:t>
            </w:r>
            <w:r w:rsidRPr="004C78D8">
              <w:rPr>
                <w:sz w:val="20"/>
                <w:szCs w:val="20"/>
              </w:rPr>
              <w:t>% overall</w:t>
            </w:r>
            <w:r w:rsidR="003D63D5" w:rsidRPr="004C78D8">
              <w:rPr>
                <w:sz w:val="20"/>
                <w:szCs w:val="20"/>
              </w:rPr>
              <w:t xml:space="preserve"> among cognitively intact persons who received falls risk screening</w:t>
            </w:r>
            <w:r w:rsidRPr="004C78D8">
              <w:rPr>
                <w:sz w:val="20"/>
                <w:szCs w:val="20"/>
              </w:rPr>
              <w:t xml:space="preserve">; </w:t>
            </w:r>
            <w:r w:rsidR="00A34290" w:rsidRPr="004C78D8">
              <w:rPr>
                <w:sz w:val="20"/>
                <w:szCs w:val="20"/>
              </w:rPr>
              <w:t>10.9</w:t>
            </w:r>
            <w:r w:rsidRPr="004C78D8">
              <w:rPr>
                <w:sz w:val="20"/>
                <w:szCs w:val="20"/>
              </w:rPr>
              <w:t xml:space="preserve">% if Fit; </w:t>
            </w:r>
            <w:r w:rsidR="00A34290" w:rsidRPr="004C78D8">
              <w:rPr>
                <w:sz w:val="20"/>
                <w:szCs w:val="20"/>
              </w:rPr>
              <w:t>24.7</w:t>
            </w:r>
            <w:r w:rsidRPr="004C78D8">
              <w:rPr>
                <w:sz w:val="20"/>
                <w:szCs w:val="20"/>
              </w:rPr>
              <w:t xml:space="preserve">% if Mild; </w:t>
            </w:r>
            <w:r w:rsidR="00A34290" w:rsidRPr="004C78D8">
              <w:rPr>
                <w:sz w:val="20"/>
                <w:szCs w:val="20"/>
              </w:rPr>
              <w:t>53</w:t>
            </w:r>
            <w:r w:rsidRPr="004C78D8">
              <w:rPr>
                <w:sz w:val="20"/>
                <w:szCs w:val="20"/>
              </w:rPr>
              <w:t>.</w:t>
            </w:r>
            <w:r w:rsidR="00A34290" w:rsidRPr="004C78D8">
              <w:rPr>
                <w:sz w:val="20"/>
                <w:szCs w:val="20"/>
              </w:rPr>
              <w:t>6</w:t>
            </w:r>
            <w:r w:rsidRPr="004C78D8">
              <w:rPr>
                <w:sz w:val="20"/>
                <w:szCs w:val="20"/>
              </w:rPr>
              <w:t xml:space="preserve">% if Moderate; </w:t>
            </w:r>
            <w:r w:rsidR="00A34290" w:rsidRPr="004C78D8">
              <w:rPr>
                <w:sz w:val="20"/>
                <w:szCs w:val="20"/>
              </w:rPr>
              <w:t>100</w:t>
            </w:r>
            <w:r w:rsidRPr="004C78D8">
              <w:rPr>
                <w:sz w:val="20"/>
                <w:szCs w:val="20"/>
              </w:rPr>
              <w:t>% if Severe</w:t>
            </w:r>
          </w:p>
        </w:tc>
        <w:tc>
          <w:tcPr>
            <w:tcW w:w="2144" w:type="pct"/>
            <w:tcBorders>
              <w:bottom w:val="single" w:sz="4" w:space="0" w:color="auto"/>
            </w:tcBorders>
          </w:tcPr>
          <w:p w14:paraId="651AE452" w14:textId="579C1738" w:rsidR="007E2EF0" w:rsidRPr="004C78D8" w:rsidRDefault="002D109B" w:rsidP="00FB7C1F">
            <w:pPr>
              <w:jc w:val="left"/>
              <w:rPr>
                <w:sz w:val="20"/>
                <w:szCs w:val="20"/>
              </w:rPr>
            </w:pPr>
            <w:r w:rsidRPr="004C78D8">
              <w:rPr>
                <w:sz w:val="20"/>
                <w:szCs w:val="20"/>
              </w:rPr>
              <w:t>All eligible persons pending demand</w:t>
            </w:r>
            <w:r w:rsidR="00273081" w:rsidRPr="004C78D8">
              <w:rPr>
                <w:sz w:val="20"/>
                <w:szCs w:val="20"/>
              </w:rPr>
              <w:t xml:space="preserve">: 82.4% </w:t>
            </w:r>
            <w:r w:rsidR="004409AC" w:rsidRPr="004C78D8">
              <w:rPr>
                <w:sz w:val="20"/>
                <w:szCs w:val="20"/>
              </w:rPr>
              <w:t>uptake</w:t>
            </w:r>
            <w:r w:rsidR="00273081" w:rsidRPr="004C78D8">
              <w:rPr>
                <w:sz w:val="20"/>
                <w:szCs w:val="20"/>
              </w:rPr>
              <w:t xml:space="preserve"> rate for (i) </w:t>
            </w:r>
            <w:r w:rsidR="00C426DA" w:rsidRPr="004C78D8">
              <w:rPr>
                <w:sz w:val="20"/>
                <w:szCs w:val="20"/>
              </w:rPr>
              <w:fldChar w:fldCharType="begin"/>
            </w:r>
            <w:r w:rsidR="00C630FC" w:rsidRPr="004C78D8">
              <w:rPr>
                <w:sz w:val="20"/>
                <w:szCs w:val="20"/>
              </w:rPr>
              <w:instrText xml:space="preserve"> ADDIN EN.CITE &lt;EndNote&gt;&lt;Cite&gt;&lt;Author&gt;Spice&lt;/Author&gt;&lt;Year&gt;2009&lt;/Year&gt;&lt;RecNum&gt;515&lt;/RecNum&gt;&lt;DisplayText&gt;[385]&lt;/DisplayText&gt;&lt;record&gt;&lt;rec-number&gt;515&lt;/rec-number&gt;&lt;foreign-keys&gt;&lt;key app="EN" db-id="tdtrdw9aepptzbefsat599syza29sxsd2wsp" timestamp="1617909863"&gt;515&lt;/key&gt;&lt;/foreign-keys&gt;&lt;ref-type name="Journal Article"&gt;17&lt;/ref-type&gt;&lt;contributors&gt;&lt;authors&gt;&lt;author&gt;Spice, Claire L&lt;/author&gt;&lt;author&gt;Morotti, Wendy&lt;/author&gt;&lt;author&gt;George, Steve&lt;/author&gt;&lt;author&gt;Dent, Thomas HS&lt;/author&gt;&lt;author&gt;Rose, Jim&lt;/author&gt;&lt;author&gt;Harris, Scott&lt;/author&gt;&lt;author&gt;Gordon, Christopher J&lt;/author&gt;&lt;/authors&gt;&lt;/contributors&gt;&lt;titles&gt;&lt;title&gt;The Winchester falls project: a randomised controlled trial of secondary prevention of falls in older people&lt;/title&gt;&lt;secondary-title&gt;Age and ageing&lt;/secondary-title&gt;&lt;/titles&gt;&lt;periodical&gt;&lt;full-title&gt;Age and ageing&lt;/full-title&gt;&lt;/periodical&gt;&lt;pages&gt;33-40&lt;/pages&gt;&lt;volume&gt;38&lt;/volume&gt;&lt;number&gt;1&lt;/number&gt;&lt;dates&gt;&lt;year&gt;2009&lt;/year&gt;&lt;/dates&gt;&lt;isbn&gt;1468-2834&lt;/isbn&gt;&lt;urls&gt;&lt;/urls&gt;&lt;/record&gt;&lt;/Cite&gt;&lt;/EndNote&gt;</w:instrText>
            </w:r>
            <w:r w:rsidR="00C426DA" w:rsidRPr="004C78D8">
              <w:rPr>
                <w:sz w:val="20"/>
                <w:szCs w:val="20"/>
              </w:rPr>
              <w:fldChar w:fldCharType="separate"/>
            </w:r>
            <w:r w:rsidR="00C630FC" w:rsidRPr="004C78D8">
              <w:rPr>
                <w:noProof/>
                <w:sz w:val="20"/>
                <w:szCs w:val="20"/>
              </w:rPr>
              <w:t>[385]</w:t>
            </w:r>
            <w:r w:rsidR="00C426DA" w:rsidRPr="004C78D8">
              <w:rPr>
                <w:sz w:val="20"/>
                <w:szCs w:val="20"/>
              </w:rPr>
              <w:fldChar w:fldCharType="end"/>
            </w:r>
            <w:r w:rsidR="00273081" w:rsidRPr="004C78D8">
              <w:rPr>
                <w:sz w:val="20"/>
                <w:szCs w:val="20"/>
              </w:rPr>
              <w:t xml:space="preserve">; </w:t>
            </w:r>
            <w:r w:rsidR="00BF7AEF" w:rsidRPr="004C78D8">
              <w:rPr>
                <w:sz w:val="20"/>
                <w:szCs w:val="20"/>
              </w:rPr>
              <w:t>44</w:t>
            </w:r>
            <w:r w:rsidR="00273081" w:rsidRPr="004C78D8">
              <w:rPr>
                <w:sz w:val="20"/>
                <w:szCs w:val="20"/>
              </w:rPr>
              <w:t>.</w:t>
            </w:r>
            <w:r w:rsidR="00BF7AEF" w:rsidRPr="004C78D8">
              <w:rPr>
                <w:sz w:val="20"/>
                <w:szCs w:val="20"/>
              </w:rPr>
              <w:t>5</w:t>
            </w:r>
            <w:r w:rsidR="00273081" w:rsidRPr="004C78D8">
              <w:rPr>
                <w:sz w:val="20"/>
                <w:szCs w:val="20"/>
              </w:rPr>
              <w:t xml:space="preserve">% for (ii) </w:t>
            </w:r>
            <w:r w:rsidR="00C426DA" w:rsidRPr="004C78D8">
              <w:rPr>
                <w:sz w:val="20"/>
                <w:szCs w:val="20"/>
              </w:rPr>
              <w:fldChar w:fldCharType="begin"/>
            </w:r>
            <w:r w:rsidR="00C630FC" w:rsidRPr="004C78D8">
              <w:rPr>
                <w:sz w:val="20"/>
                <w:szCs w:val="20"/>
              </w:rPr>
              <w:instrText xml:space="preserve"> ADDIN EN.CITE &lt;EndNote&gt;&lt;Cite&gt;&lt;Author&gt;Nyman&lt;/Author&gt;&lt;Year&gt;2019&lt;/Year&gt;&lt;RecNum&gt;281&lt;/RecNum&gt;&lt;DisplayText&gt;[235]&lt;/DisplayText&gt;&lt;record&gt;&lt;rec-number&gt;281&lt;/rec-number&gt;&lt;foreign-keys&gt;&lt;key app="EN" db-id="tdtrdw9aepptzbefsat599syza29sxsd2wsp" timestamp="1611699160"&gt;281&lt;/key&gt;&lt;/foreign-keys&gt;&lt;ref-type name="Journal Article"&gt;17&lt;/ref-type&gt;&lt;contributors&gt;&lt;authors&gt;&lt;author&gt;Nyman, Samuel R&lt;/author&gt;&lt;author&gt;Ingram, Wendy&lt;/author&gt;&lt;author&gt;Sanders, Jeanette&lt;/author&gt;&lt;author&gt;Thomas, Peter W&lt;/author&gt;&lt;author&gt;Thomas, Sarah&lt;/author&gt;&lt;author&gt;Vassallo, Michael&lt;/author&gt;&lt;author&gt;Raftery, James&lt;/author&gt;&lt;author&gt;Bibi, Iram&lt;/author&gt;&lt;author&gt;Barrado-Martín, Yolanda&lt;/author&gt;&lt;/authors&gt;&lt;/contributors&gt;&lt;titles&gt;&lt;title&gt;Randomised controlled trial of the effect of Tai Chi on postural balance of people with dementia&lt;/title&gt;&lt;secondary-title&gt;Clinical interventions in aging&lt;/secondary-title&gt;&lt;/titles&gt;&lt;periodical&gt;&lt;full-title&gt;Clin Interv Aging&lt;/full-title&gt;&lt;abbr-1&gt;Clinical interventions in aging&lt;/abbr-1&gt;&lt;/periodical&gt;&lt;pages&gt;2017&lt;/pages&gt;&lt;volume&gt;14&lt;/volume&gt;&lt;dates&gt;&lt;year&gt;2019&lt;/year&gt;&lt;/dates&gt;&lt;urls&gt;&lt;/urls&gt;&lt;/record&gt;&lt;/Cite&gt;&lt;/EndNote&gt;</w:instrText>
            </w:r>
            <w:r w:rsidR="00C426DA" w:rsidRPr="004C78D8">
              <w:rPr>
                <w:sz w:val="20"/>
                <w:szCs w:val="20"/>
              </w:rPr>
              <w:fldChar w:fldCharType="separate"/>
            </w:r>
            <w:r w:rsidR="00C630FC" w:rsidRPr="004C78D8">
              <w:rPr>
                <w:noProof/>
                <w:sz w:val="20"/>
                <w:szCs w:val="20"/>
              </w:rPr>
              <w:t>[235]</w:t>
            </w:r>
            <w:r w:rsidR="00C426DA" w:rsidRPr="004C78D8">
              <w:rPr>
                <w:sz w:val="20"/>
                <w:szCs w:val="20"/>
              </w:rPr>
              <w:fldChar w:fldCharType="end"/>
            </w:r>
          </w:p>
        </w:tc>
      </w:tr>
      <w:tr w:rsidR="007E2EF0" w:rsidRPr="004C78D8" w14:paraId="7FDB55A0" w14:textId="77777777" w:rsidTr="00E35893">
        <w:tc>
          <w:tcPr>
            <w:tcW w:w="5000" w:type="pct"/>
            <w:gridSpan w:val="3"/>
            <w:tcBorders>
              <w:bottom w:val="single" w:sz="4" w:space="0" w:color="auto"/>
            </w:tcBorders>
          </w:tcPr>
          <w:p w14:paraId="26575889" w14:textId="5D83C210" w:rsidR="008D28E1" w:rsidRPr="004C78D8" w:rsidRDefault="00D10D5E" w:rsidP="00FB7C1F">
            <w:pPr>
              <w:rPr>
                <w:sz w:val="18"/>
                <w:szCs w:val="18"/>
              </w:rPr>
            </w:pPr>
            <w:r w:rsidRPr="004C78D8">
              <w:rPr>
                <w:b/>
                <w:bCs/>
                <w:sz w:val="18"/>
                <w:szCs w:val="18"/>
              </w:rPr>
              <w:t>Abbreviation</w:t>
            </w:r>
            <w:r w:rsidR="008D28E1" w:rsidRPr="004C78D8">
              <w:rPr>
                <w:b/>
                <w:bCs/>
                <w:sz w:val="18"/>
                <w:szCs w:val="18"/>
              </w:rPr>
              <w:t xml:space="preserve">: </w:t>
            </w:r>
            <w:r w:rsidR="008D28E1" w:rsidRPr="004C78D8">
              <w:rPr>
                <w:sz w:val="18"/>
                <w:szCs w:val="18"/>
              </w:rPr>
              <w:t xml:space="preserve">ELSA: English Longitudinal Study of Ageing; NICE: National Institute for Health and Clinical Excellence </w:t>
            </w:r>
          </w:p>
          <w:p w14:paraId="1E24ABB1" w14:textId="7FEC375D" w:rsidR="007E2EF0" w:rsidRPr="004C78D8" w:rsidRDefault="00DB205B" w:rsidP="00FB7C1F">
            <w:pPr>
              <w:rPr>
                <w:sz w:val="18"/>
                <w:szCs w:val="18"/>
              </w:rPr>
            </w:pPr>
            <w:r w:rsidRPr="004C78D8">
              <w:rPr>
                <w:sz w:val="18"/>
                <w:szCs w:val="18"/>
                <w:vertAlign w:val="superscript"/>
              </w:rPr>
              <w:t>1</w:t>
            </w:r>
            <w:r w:rsidRPr="004C78D8">
              <w:rPr>
                <w:sz w:val="18"/>
                <w:szCs w:val="18"/>
              </w:rPr>
              <w:t xml:space="preserve"> Recurrent non-MA falls or MA fall history and/or abnormal gait/balance</w:t>
            </w:r>
          </w:p>
        </w:tc>
      </w:tr>
    </w:tbl>
    <w:p w14:paraId="69B37918" w14:textId="77777777" w:rsidR="00B619C6" w:rsidRPr="004C78D8" w:rsidRDefault="00B619C6" w:rsidP="00FB7C1F"/>
    <w:p w14:paraId="6677E74A" w14:textId="28620A04" w:rsidR="00EA118B" w:rsidRPr="004C78D8" w:rsidRDefault="00AA3380" w:rsidP="00FB7C1F">
      <w:r w:rsidRPr="004C78D8">
        <w:t>Under both UC and RC, t</w:t>
      </w:r>
      <w:r w:rsidR="004A7292" w:rsidRPr="004C78D8">
        <w:t xml:space="preserve">he proactive pathway is initiated through routine </w:t>
      </w:r>
      <w:r w:rsidRPr="004C78D8">
        <w:t xml:space="preserve">GP </w:t>
      </w:r>
      <w:r w:rsidR="004A7292" w:rsidRPr="004C78D8">
        <w:t xml:space="preserve">contact at which </w:t>
      </w:r>
      <w:r w:rsidR="00FC3C3B" w:rsidRPr="004C78D8">
        <w:t>older</w:t>
      </w:r>
      <w:r w:rsidR="004A7292" w:rsidRPr="004C78D8">
        <w:t xml:space="preserve"> persons are screened for falls risk. </w:t>
      </w:r>
      <w:r w:rsidR="00EA118B" w:rsidRPr="004C78D8">
        <w:t xml:space="preserve">ELSA contained a variable </w:t>
      </w:r>
      <w:r w:rsidR="00135E6B" w:rsidRPr="004C78D8">
        <w:t>for whether the individual received</w:t>
      </w:r>
      <w:r w:rsidR="00EA118B" w:rsidRPr="004C78D8">
        <w:t xml:space="preserve"> a blood pressure check at the GP in the past 12 months. </w:t>
      </w:r>
      <w:r w:rsidR="00135E6B" w:rsidRPr="004C78D8">
        <w:t>This was used as an indicator of at least one GP visit in a year. According to this measure, 8</w:t>
      </w:r>
      <w:r w:rsidR="00223F94" w:rsidRPr="004C78D8">
        <w:t>3</w:t>
      </w:r>
      <w:r w:rsidR="00135E6B" w:rsidRPr="004C78D8">
        <w:t>.</w:t>
      </w:r>
      <w:r w:rsidR="00223F94" w:rsidRPr="004C78D8">
        <w:t>8</w:t>
      </w:r>
      <w:r w:rsidR="00135E6B" w:rsidRPr="004C78D8">
        <w:t>% of the ELSA Wave 4 community-dwelling cohort aged 6</w:t>
      </w:r>
      <w:r w:rsidR="00223F94" w:rsidRPr="004C78D8">
        <w:t>5</w:t>
      </w:r>
      <w:r w:rsidRPr="004C78D8">
        <w:t>+</w:t>
      </w:r>
      <w:r w:rsidR="00135E6B" w:rsidRPr="004C78D8">
        <w:t xml:space="preserve"> had visited their GP at least once in the past year</w:t>
      </w:r>
      <w:r w:rsidR="00223F94" w:rsidRPr="004C78D8">
        <w:t>, which</w:t>
      </w:r>
      <w:r w:rsidR="00135E6B" w:rsidRPr="004C78D8">
        <w:t xml:space="preserve"> is slightly below the 87.4% estimated from another survey of 1,685 adults aged 65</w:t>
      </w:r>
      <w:r w:rsidRPr="004C78D8">
        <w:t>+</w:t>
      </w:r>
      <w:r w:rsidR="00135E6B" w:rsidRPr="004C78D8">
        <w:t xml:space="preserve"> in Northwest England </w:t>
      </w:r>
      <w:r w:rsidR="00223F94" w:rsidRPr="004C78D8">
        <w:fldChar w:fldCharType="begin"/>
      </w:r>
      <w:r w:rsidR="00C630FC" w:rsidRPr="004C78D8">
        <w:instrText xml:space="preserve"> ADDIN EN.CITE &lt;EndNote&gt;&lt;Cite&gt;&lt;Author&gt;Giebel&lt;/Author&gt;&lt;Year&gt;2020&lt;/Year&gt;&lt;RecNum&gt;141&lt;/RecNum&gt;&lt;DisplayText&gt;[406]&lt;/DisplayText&gt;&lt;record&gt;&lt;rec-number&gt;141&lt;/rec-number&gt;&lt;foreign-keys&gt;&lt;key app="EN" db-id="tdtrdw9aepptzbefsat599syza29sxsd2wsp" timestamp="1600789928"&gt;141&lt;/key&gt;&lt;/foreign-keys&gt;&lt;ref-type name="Journal Article"&gt;17&lt;/ref-type&gt;&lt;contributors&gt;&lt;authors&gt;&lt;author&gt;Giebel, Clarissa&lt;/author&gt;&lt;author&gt;Rodgers, Sarah&lt;/author&gt;&lt;author&gt;Barr, Ben&lt;/author&gt;&lt;author&gt;Collins, Brendan&lt;/author&gt;&lt;author&gt;Akpan, Asan&lt;/author&gt;&lt;author&gt;Shenton, Justine&lt;/author&gt;&lt;author&gt;Fuller, Elizabeth&lt;/author&gt;&lt;author&gt;Gabbay, Mark&lt;/author&gt;&lt;/authors&gt;&lt;/contributors&gt;&lt;titles&gt;&lt;title&gt;Does Social Support Affect Older Adults’ General Practitioner Attendance Rates? Findings from the North West Coast Household Health Survey&lt;/title&gt;&lt;secondary-title&gt;Clinical Gerontologist&lt;/secondary-title&gt;&lt;/titles&gt;&lt;periodical&gt;&lt;full-title&gt;Clinical Gerontologist&lt;/full-title&gt;&lt;/periodical&gt;&lt;pages&gt;1-11&lt;/pages&gt;&lt;dates&gt;&lt;year&gt;2020&lt;/year&gt;&lt;/dates&gt;&lt;isbn&gt;0731-7115&lt;/isbn&gt;&lt;urls&gt;&lt;/urls&gt;&lt;/record&gt;&lt;/Cite&gt;&lt;/EndNote&gt;</w:instrText>
      </w:r>
      <w:r w:rsidR="00223F94" w:rsidRPr="004C78D8">
        <w:fldChar w:fldCharType="separate"/>
      </w:r>
      <w:r w:rsidR="00C630FC" w:rsidRPr="004C78D8">
        <w:rPr>
          <w:noProof/>
        </w:rPr>
        <w:t>[406]</w:t>
      </w:r>
      <w:r w:rsidR="00223F94" w:rsidRPr="004C78D8">
        <w:fldChar w:fldCharType="end"/>
      </w:r>
      <w:r w:rsidR="00135E6B" w:rsidRPr="004C78D8">
        <w:t xml:space="preserve">. </w:t>
      </w:r>
      <w:r w:rsidR="00A319A8" w:rsidRPr="004C78D8">
        <w:t xml:space="preserve">The discrepancy could be due to GP visits </w:t>
      </w:r>
      <w:r w:rsidR="003A1539" w:rsidRPr="004C78D8">
        <w:t>not involving</w:t>
      </w:r>
      <w:r w:rsidR="00A319A8" w:rsidRPr="004C78D8">
        <w:t xml:space="preserve"> blood pressure checks</w:t>
      </w:r>
      <w:r w:rsidR="003A1539" w:rsidRPr="004C78D8">
        <w:t xml:space="preserve"> that were measured in the latter survey</w:t>
      </w:r>
      <w:r w:rsidR="00A319A8" w:rsidRPr="004C78D8">
        <w:t xml:space="preserve">. </w:t>
      </w:r>
      <w:r w:rsidR="00954EAE" w:rsidRPr="004C78D8">
        <w:t xml:space="preserve">Since the model is interested in GP visits long enough to conduct falls risk screening, it may be reasonable to restrict attention to those long enough to carry out blood pressure checks. Multivariate logistic regression indicated that the probability of GP visit was significantly associated with several individual-level covariates. </w:t>
      </w:r>
      <w:r w:rsidR="00CA23F3" w:rsidRPr="004C78D8">
        <w:t xml:space="preserve">Table </w:t>
      </w:r>
      <w:r w:rsidR="00AA096B" w:rsidRPr="004C78D8">
        <w:t>5</w:t>
      </w:r>
      <w:r w:rsidR="00CA23F3" w:rsidRPr="004C78D8">
        <w:t>.</w:t>
      </w:r>
      <w:r w:rsidR="00223F94" w:rsidRPr="004C78D8">
        <w:t>2</w:t>
      </w:r>
      <w:r w:rsidR="006A252D" w:rsidRPr="004C78D8">
        <w:t>8</w:t>
      </w:r>
      <w:r w:rsidR="00CA23F3" w:rsidRPr="004C78D8">
        <w:t xml:space="preserve"> shows the coefficient estimates from the best-fit model.</w:t>
      </w:r>
      <w:r w:rsidR="002C5BB7" w:rsidRPr="004C78D8">
        <w:t xml:space="preserve"> </w:t>
      </w:r>
      <w:r w:rsidR="00CD7848" w:rsidRPr="004C78D8">
        <w:t>The sample was restricted to those who did not receive a reactive falls prevention intervention that year and hence qualif</w:t>
      </w:r>
      <w:r w:rsidR="007806F0" w:rsidRPr="004C78D8">
        <w:t>ied</w:t>
      </w:r>
      <w:r w:rsidR="00CD7848" w:rsidRPr="004C78D8">
        <w:t xml:space="preserve"> for the proactive pathway.</w:t>
      </w:r>
    </w:p>
    <w:tbl>
      <w:tblPr>
        <w:tblStyle w:val="TableGrid"/>
        <w:tblW w:w="0" w:type="auto"/>
        <w:tblInd w:w="-5" w:type="dxa"/>
        <w:tblLook w:val="04A0" w:firstRow="1" w:lastRow="0" w:firstColumn="1" w:lastColumn="0" w:noHBand="0" w:noVBand="1"/>
      </w:tblPr>
      <w:tblGrid>
        <w:gridCol w:w="2263"/>
        <w:gridCol w:w="1701"/>
        <w:gridCol w:w="1701"/>
      </w:tblGrid>
      <w:tr w:rsidR="005E77DE" w:rsidRPr="004C78D8" w14:paraId="15461167" w14:textId="77777777" w:rsidTr="00E35893">
        <w:tc>
          <w:tcPr>
            <w:tcW w:w="5665" w:type="dxa"/>
            <w:gridSpan w:val="3"/>
          </w:tcPr>
          <w:p w14:paraId="0136256A" w14:textId="5427112C" w:rsidR="005E77DE" w:rsidRPr="004C78D8" w:rsidRDefault="005E77DE" w:rsidP="00FB7C1F">
            <w:r w:rsidRPr="004C78D8">
              <w:rPr>
                <w:b/>
                <w:bCs/>
              </w:rPr>
              <w:t xml:space="preserve">Table </w:t>
            </w:r>
            <w:r w:rsidR="00AA096B" w:rsidRPr="004C78D8">
              <w:rPr>
                <w:b/>
                <w:bCs/>
              </w:rPr>
              <w:t>5</w:t>
            </w:r>
            <w:r w:rsidR="00223F94" w:rsidRPr="004C78D8">
              <w:rPr>
                <w:b/>
                <w:bCs/>
              </w:rPr>
              <w:t>.2</w:t>
            </w:r>
            <w:r w:rsidR="006A252D" w:rsidRPr="004C78D8">
              <w:rPr>
                <w:b/>
                <w:bCs/>
              </w:rPr>
              <w:t>8</w:t>
            </w:r>
            <w:r w:rsidRPr="004C78D8">
              <w:t xml:space="preserve"> Logistic regression coefficients for </w:t>
            </w:r>
            <w:r w:rsidR="00186DF2" w:rsidRPr="004C78D8">
              <w:t>GP</w:t>
            </w:r>
            <w:r w:rsidRPr="004C78D8">
              <w:t xml:space="preserve"> contact </w:t>
            </w:r>
            <w:r w:rsidR="00AA3380" w:rsidRPr="004C78D8">
              <w:t>from</w:t>
            </w:r>
            <w:r w:rsidRPr="004C78D8">
              <w:t xml:space="preserve"> ELSA Wave</w:t>
            </w:r>
            <w:r w:rsidR="00186DF2" w:rsidRPr="004C78D8">
              <w:t>s</w:t>
            </w:r>
            <w:r w:rsidRPr="004C78D8">
              <w:t xml:space="preserve"> 4</w:t>
            </w:r>
            <w:r w:rsidR="00186DF2" w:rsidRPr="004C78D8">
              <w:t xml:space="preserve"> and 5</w:t>
            </w:r>
            <w:r w:rsidR="00AA3380" w:rsidRPr="004C78D8">
              <w:t>.</w:t>
            </w:r>
          </w:p>
        </w:tc>
      </w:tr>
      <w:tr w:rsidR="005E77DE" w:rsidRPr="007E625D" w14:paraId="3F379F0A" w14:textId="77777777" w:rsidTr="00E35893">
        <w:tc>
          <w:tcPr>
            <w:tcW w:w="5665" w:type="dxa"/>
            <w:gridSpan w:val="3"/>
          </w:tcPr>
          <w:p w14:paraId="3C16513F" w14:textId="4E01F4E7" w:rsidR="005E77DE" w:rsidRPr="00972766" w:rsidRDefault="005E77DE" w:rsidP="00FB7C1F">
            <w:pPr>
              <w:jc w:val="left"/>
              <w:rPr>
                <w:b/>
                <w:bCs/>
                <w:i/>
                <w:iCs/>
                <w:sz w:val="20"/>
                <w:szCs w:val="20"/>
                <w:lang w:val="fr-FR"/>
              </w:rPr>
            </w:pPr>
            <w:r w:rsidRPr="00972766">
              <w:rPr>
                <w:b/>
                <w:bCs/>
                <w:i/>
                <w:iCs/>
                <w:sz w:val="20"/>
                <w:szCs w:val="20"/>
                <w:lang w:val="fr-FR"/>
              </w:rPr>
              <w:t xml:space="preserve">Dependent variable: </w:t>
            </w:r>
            <w:r w:rsidR="002C5BB7" w:rsidRPr="00972766">
              <w:rPr>
                <w:b/>
                <w:bCs/>
                <w:i/>
                <w:iCs/>
                <w:sz w:val="20"/>
                <w:szCs w:val="20"/>
                <w:lang w:val="fr-FR"/>
              </w:rPr>
              <w:t xml:space="preserve">routine </w:t>
            </w:r>
            <w:r w:rsidR="00186DF2" w:rsidRPr="00972766">
              <w:rPr>
                <w:b/>
                <w:bCs/>
                <w:i/>
                <w:iCs/>
                <w:sz w:val="20"/>
                <w:szCs w:val="20"/>
                <w:lang w:val="fr-FR"/>
              </w:rPr>
              <w:t>GP</w:t>
            </w:r>
            <w:r w:rsidRPr="00972766">
              <w:rPr>
                <w:b/>
                <w:bCs/>
                <w:i/>
                <w:iCs/>
                <w:sz w:val="20"/>
                <w:szCs w:val="20"/>
                <w:lang w:val="fr-FR"/>
              </w:rPr>
              <w:t xml:space="preserve"> contact (N=</w:t>
            </w:r>
            <w:r w:rsidR="00186DF2" w:rsidRPr="00972766">
              <w:rPr>
                <w:b/>
                <w:bCs/>
                <w:i/>
                <w:iCs/>
                <w:sz w:val="20"/>
                <w:szCs w:val="20"/>
                <w:lang w:val="fr-FR"/>
              </w:rPr>
              <w:t>13</w:t>
            </w:r>
            <w:r w:rsidRPr="00972766">
              <w:rPr>
                <w:b/>
                <w:bCs/>
                <w:i/>
                <w:iCs/>
                <w:sz w:val="20"/>
                <w:szCs w:val="20"/>
                <w:lang w:val="fr-FR"/>
              </w:rPr>
              <w:t>,</w:t>
            </w:r>
            <w:r w:rsidR="00186DF2" w:rsidRPr="00972766">
              <w:rPr>
                <w:b/>
                <w:bCs/>
                <w:i/>
                <w:iCs/>
                <w:sz w:val="20"/>
                <w:szCs w:val="20"/>
                <w:lang w:val="fr-FR"/>
              </w:rPr>
              <w:t>280</w:t>
            </w:r>
            <w:r w:rsidRPr="00972766">
              <w:rPr>
                <w:b/>
                <w:bCs/>
                <w:i/>
                <w:iCs/>
                <w:sz w:val="20"/>
                <w:szCs w:val="20"/>
                <w:lang w:val="fr-FR"/>
              </w:rPr>
              <w:t>)</w:t>
            </w:r>
            <w:r w:rsidR="00CA23F3" w:rsidRPr="00972766">
              <w:rPr>
                <w:b/>
                <w:bCs/>
                <w:i/>
                <w:iCs/>
                <w:sz w:val="20"/>
                <w:szCs w:val="20"/>
                <w:vertAlign w:val="superscript"/>
                <w:lang w:val="fr-FR"/>
              </w:rPr>
              <w:t>1</w:t>
            </w:r>
          </w:p>
        </w:tc>
      </w:tr>
      <w:tr w:rsidR="005E77DE" w:rsidRPr="004C78D8" w14:paraId="2251C75E" w14:textId="77777777" w:rsidTr="00E35893">
        <w:tc>
          <w:tcPr>
            <w:tcW w:w="2263" w:type="dxa"/>
            <w:tcBorders>
              <w:bottom w:val="single" w:sz="4" w:space="0" w:color="auto"/>
            </w:tcBorders>
          </w:tcPr>
          <w:p w14:paraId="53DD06D1" w14:textId="77777777" w:rsidR="005E77DE" w:rsidRPr="004C78D8" w:rsidRDefault="005E77DE" w:rsidP="00FB7C1F">
            <w:pPr>
              <w:rPr>
                <w:b/>
                <w:bCs/>
                <w:sz w:val="20"/>
                <w:szCs w:val="20"/>
              </w:rPr>
            </w:pPr>
            <w:r w:rsidRPr="004C78D8">
              <w:rPr>
                <w:b/>
                <w:bCs/>
                <w:sz w:val="20"/>
                <w:szCs w:val="20"/>
              </w:rPr>
              <w:t>Explanatory variables</w:t>
            </w:r>
          </w:p>
        </w:tc>
        <w:tc>
          <w:tcPr>
            <w:tcW w:w="1701" w:type="dxa"/>
            <w:tcBorders>
              <w:bottom w:val="single" w:sz="4" w:space="0" w:color="auto"/>
            </w:tcBorders>
          </w:tcPr>
          <w:p w14:paraId="615B6501" w14:textId="77777777" w:rsidR="005E77DE" w:rsidRPr="004C78D8" w:rsidRDefault="005E77DE" w:rsidP="00FB7C1F">
            <w:pPr>
              <w:jc w:val="center"/>
              <w:rPr>
                <w:b/>
                <w:bCs/>
                <w:sz w:val="20"/>
                <w:szCs w:val="20"/>
              </w:rPr>
            </w:pPr>
            <w:r w:rsidRPr="004C78D8">
              <w:rPr>
                <w:b/>
                <w:bCs/>
                <w:sz w:val="20"/>
                <w:szCs w:val="20"/>
              </w:rPr>
              <w:t>Coefficient (SE)</w:t>
            </w:r>
          </w:p>
        </w:tc>
        <w:tc>
          <w:tcPr>
            <w:tcW w:w="1701" w:type="dxa"/>
            <w:tcBorders>
              <w:bottom w:val="single" w:sz="4" w:space="0" w:color="auto"/>
            </w:tcBorders>
          </w:tcPr>
          <w:p w14:paraId="0A3EB27B" w14:textId="77777777" w:rsidR="005E77DE" w:rsidRPr="004C78D8" w:rsidRDefault="005E77DE" w:rsidP="00FB7C1F">
            <w:pPr>
              <w:jc w:val="center"/>
              <w:rPr>
                <w:b/>
                <w:bCs/>
                <w:sz w:val="20"/>
                <w:szCs w:val="20"/>
              </w:rPr>
            </w:pPr>
            <w:r w:rsidRPr="004C78D8">
              <w:rPr>
                <w:b/>
                <w:bCs/>
                <w:sz w:val="20"/>
                <w:szCs w:val="20"/>
              </w:rPr>
              <w:t>P-value</w:t>
            </w:r>
          </w:p>
        </w:tc>
      </w:tr>
      <w:tr w:rsidR="005E77DE" w:rsidRPr="004C78D8" w14:paraId="57AAA38E" w14:textId="77777777" w:rsidTr="00E35893">
        <w:tc>
          <w:tcPr>
            <w:tcW w:w="2263" w:type="dxa"/>
            <w:tcBorders>
              <w:bottom w:val="nil"/>
            </w:tcBorders>
          </w:tcPr>
          <w:p w14:paraId="365A1AD8" w14:textId="77777777" w:rsidR="005E77DE" w:rsidRPr="004C78D8" w:rsidRDefault="005E77DE" w:rsidP="00FB7C1F">
            <w:pPr>
              <w:rPr>
                <w:sz w:val="18"/>
                <w:szCs w:val="18"/>
              </w:rPr>
            </w:pPr>
            <w:r w:rsidRPr="004C78D8">
              <w:rPr>
                <w:sz w:val="18"/>
                <w:szCs w:val="18"/>
              </w:rPr>
              <w:t>Constant</w:t>
            </w:r>
          </w:p>
        </w:tc>
        <w:tc>
          <w:tcPr>
            <w:tcW w:w="1701" w:type="dxa"/>
            <w:tcBorders>
              <w:bottom w:val="nil"/>
            </w:tcBorders>
          </w:tcPr>
          <w:p w14:paraId="39C4A510" w14:textId="10753ABD" w:rsidR="005E77DE" w:rsidRPr="004C78D8" w:rsidRDefault="00083890" w:rsidP="00FB7C1F">
            <w:pPr>
              <w:jc w:val="center"/>
              <w:rPr>
                <w:sz w:val="18"/>
                <w:szCs w:val="18"/>
              </w:rPr>
            </w:pPr>
            <w:r w:rsidRPr="004C78D8">
              <w:rPr>
                <w:sz w:val="18"/>
                <w:szCs w:val="18"/>
              </w:rPr>
              <w:t>-1</w:t>
            </w:r>
            <w:r w:rsidR="00186DF2" w:rsidRPr="004C78D8">
              <w:rPr>
                <w:sz w:val="18"/>
                <w:szCs w:val="18"/>
              </w:rPr>
              <w:t>7</w:t>
            </w:r>
            <w:r w:rsidRPr="004C78D8">
              <w:rPr>
                <w:sz w:val="18"/>
                <w:szCs w:val="18"/>
              </w:rPr>
              <w:t>.</w:t>
            </w:r>
            <w:r w:rsidR="00186DF2" w:rsidRPr="004C78D8">
              <w:rPr>
                <w:sz w:val="18"/>
                <w:szCs w:val="18"/>
              </w:rPr>
              <w:t>44</w:t>
            </w:r>
            <w:r w:rsidRPr="004C78D8">
              <w:rPr>
                <w:sz w:val="18"/>
                <w:szCs w:val="18"/>
              </w:rPr>
              <w:t>4 (</w:t>
            </w:r>
            <w:r w:rsidR="00186DF2" w:rsidRPr="004C78D8">
              <w:rPr>
                <w:sz w:val="18"/>
                <w:szCs w:val="18"/>
              </w:rPr>
              <w:t>1</w:t>
            </w:r>
            <w:r w:rsidRPr="004C78D8">
              <w:rPr>
                <w:sz w:val="18"/>
                <w:szCs w:val="18"/>
              </w:rPr>
              <w:t>.</w:t>
            </w:r>
            <w:r w:rsidR="00186DF2" w:rsidRPr="004C78D8">
              <w:rPr>
                <w:sz w:val="18"/>
                <w:szCs w:val="18"/>
              </w:rPr>
              <w:t>960</w:t>
            </w:r>
            <w:r w:rsidRPr="004C78D8">
              <w:rPr>
                <w:sz w:val="18"/>
                <w:szCs w:val="18"/>
              </w:rPr>
              <w:t>)</w:t>
            </w:r>
          </w:p>
        </w:tc>
        <w:tc>
          <w:tcPr>
            <w:tcW w:w="1701" w:type="dxa"/>
            <w:tcBorders>
              <w:bottom w:val="nil"/>
            </w:tcBorders>
          </w:tcPr>
          <w:p w14:paraId="47FD336C" w14:textId="33D565A3" w:rsidR="005E77DE" w:rsidRPr="004C78D8" w:rsidRDefault="00083890" w:rsidP="00FB7C1F">
            <w:pPr>
              <w:jc w:val="center"/>
              <w:rPr>
                <w:sz w:val="18"/>
                <w:szCs w:val="18"/>
              </w:rPr>
            </w:pPr>
            <w:r w:rsidRPr="004C78D8">
              <w:rPr>
                <w:sz w:val="18"/>
                <w:szCs w:val="18"/>
              </w:rPr>
              <w:t>&lt;0.001</w:t>
            </w:r>
          </w:p>
        </w:tc>
      </w:tr>
      <w:tr w:rsidR="005E77DE" w:rsidRPr="004C78D8" w14:paraId="61C64F26" w14:textId="77777777" w:rsidTr="00E35893">
        <w:tc>
          <w:tcPr>
            <w:tcW w:w="2263" w:type="dxa"/>
            <w:tcBorders>
              <w:top w:val="nil"/>
              <w:bottom w:val="nil"/>
            </w:tcBorders>
          </w:tcPr>
          <w:p w14:paraId="485158F3" w14:textId="77777777" w:rsidR="005E77DE" w:rsidRPr="004C78D8" w:rsidRDefault="005E77DE" w:rsidP="00FB7C1F">
            <w:pPr>
              <w:rPr>
                <w:sz w:val="18"/>
                <w:szCs w:val="18"/>
              </w:rPr>
            </w:pPr>
            <w:r w:rsidRPr="004C78D8">
              <w:rPr>
                <w:sz w:val="18"/>
                <w:szCs w:val="18"/>
              </w:rPr>
              <w:t>Age</w:t>
            </w:r>
          </w:p>
        </w:tc>
        <w:tc>
          <w:tcPr>
            <w:tcW w:w="1701" w:type="dxa"/>
            <w:tcBorders>
              <w:top w:val="nil"/>
              <w:bottom w:val="nil"/>
            </w:tcBorders>
          </w:tcPr>
          <w:p w14:paraId="73CE3E5D" w14:textId="0D50479F" w:rsidR="005E77DE" w:rsidRPr="004C78D8" w:rsidRDefault="008635D4" w:rsidP="00FB7C1F">
            <w:pPr>
              <w:jc w:val="center"/>
              <w:rPr>
                <w:sz w:val="18"/>
                <w:szCs w:val="18"/>
              </w:rPr>
            </w:pPr>
            <w:r w:rsidRPr="004C78D8">
              <w:rPr>
                <w:sz w:val="18"/>
                <w:szCs w:val="18"/>
              </w:rPr>
              <w:t>0.</w:t>
            </w:r>
            <w:r w:rsidR="00186DF2" w:rsidRPr="004C78D8">
              <w:rPr>
                <w:sz w:val="18"/>
                <w:szCs w:val="18"/>
              </w:rPr>
              <w:t>495</w:t>
            </w:r>
            <w:r w:rsidRPr="004C78D8">
              <w:rPr>
                <w:sz w:val="18"/>
                <w:szCs w:val="18"/>
              </w:rPr>
              <w:t xml:space="preserve"> (0.0</w:t>
            </w:r>
            <w:r w:rsidR="00186DF2" w:rsidRPr="004C78D8">
              <w:rPr>
                <w:sz w:val="18"/>
                <w:szCs w:val="18"/>
              </w:rPr>
              <w:t>54</w:t>
            </w:r>
            <w:r w:rsidRPr="004C78D8">
              <w:rPr>
                <w:sz w:val="18"/>
                <w:szCs w:val="18"/>
              </w:rPr>
              <w:t>)</w:t>
            </w:r>
          </w:p>
        </w:tc>
        <w:tc>
          <w:tcPr>
            <w:tcW w:w="1701" w:type="dxa"/>
            <w:tcBorders>
              <w:top w:val="nil"/>
              <w:bottom w:val="nil"/>
            </w:tcBorders>
          </w:tcPr>
          <w:p w14:paraId="4A3B58B1" w14:textId="18F925FE" w:rsidR="005E77DE" w:rsidRPr="004C78D8" w:rsidRDefault="00083890" w:rsidP="00FB7C1F">
            <w:pPr>
              <w:jc w:val="center"/>
              <w:rPr>
                <w:sz w:val="18"/>
                <w:szCs w:val="18"/>
              </w:rPr>
            </w:pPr>
            <w:r w:rsidRPr="004C78D8">
              <w:rPr>
                <w:sz w:val="18"/>
                <w:szCs w:val="18"/>
              </w:rPr>
              <w:t>&lt;0.001</w:t>
            </w:r>
          </w:p>
        </w:tc>
      </w:tr>
      <w:tr w:rsidR="005E77DE" w:rsidRPr="004C78D8" w14:paraId="1BD3CBD0" w14:textId="77777777" w:rsidTr="00E35893">
        <w:tc>
          <w:tcPr>
            <w:tcW w:w="2263" w:type="dxa"/>
            <w:tcBorders>
              <w:top w:val="nil"/>
              <w:bottom w:val="nil"/>
            </w:tcBorders>
          </w:tcPr>
          <w:p w14:paraId="0FD73E46" w14:textId="77777777" w:rsidR="005E77DE" w:rsidRPr="004C78D8" w:rsidRDefault="005E77DE" w:rsidP="00FB7C1F">
            <w:pPr>
              <w:rPr>
                <w:sz w:val="18"/>
                <w:szCs w:val="18"/>
              </w:rPr>
            </w:pPr>
            <w:r w:rsidRPr="004C78D8">
              <w:rPr>
                <w:sz w:val="18"/>
                <w:szCs w:val="18"/>
              </w:rPr>
              <w:t>Age^2</w:t>
            </w:r>
          </w:p>
        </w:tc>
        <w:tc>
          <w:tcPr>
            <w:tcW w:w="1701" w:type="dxa"/>
            <w:tcBorders>
              <w:top w:val="nil"/>
              <w:bottom w:val="nil"/>
            </w:tcBorders>
          </w:tcPr>
          <w:p w14:paraId="4F7CB242" w14:textId="78A6A1A5" w:rsidR="005E77DE" w:rsidRPr="004C78D8" w:rsidRDefault="008635D4" w:rsidP="00FB7C1F">
            <w:pPr>
              <w:jc w:val="center"/>
              <w:rPr>
                <w:sz w:val="18"/>
                <w:szCs w:val="18"/>
              </w:rPr>
            </w:pPr>
            <w:r w:rsidRPr="004C78D8">
              <w:rPr>
                <w:sz w:val="18"/>
                <w:szCs w:val="18"/>
              </w:rPr>
              <w:t>-0.00</w:t>
            </w:r>
            <w:r w:rsidR="00186DF2" w:rsidRPr="004C78D8">
              <w:rPr>
                <w:sz w:val="18"/>
                <w:szCs w:val="18"/>
              </w:rPr>
              <w:t>3</w:t>
            </w:r>
            <w:r w:rsidRPr="004C78D8">
              <w:rPr>
                <w:sz w:val="18"/>
                <w:szCs w:val="18"/>
              </w:rPr>
              <w:t xml:space="preserve"> (0.000</w:t>
            </w:r>
            <w:r w:rsidR="00186DF2" w:rsidRPr="004C78D8">
              <w:rPr>
                <w:sz w:val="18"/>
                <w:szCs w:val="18"/>
              </w:rPr>
              <w:t>4</w:t>
            </w:r>
            <w:r w:rsidRPr="004C78D8">
              <w:rPr>
                <w:sz w:val="18"/>
                <w:szCs w:val="18"/>
              </w:rPr>
              <w:t>)</w:t>
            </w:r>
          </w:p>
        </w:tc>
        <w:tc>
          <w:tcPr>
            <w:tcW w:w="1701" w:type="dxa"/>
            <w:tcBorders>
              <w:top w:val="nil"/>
              <w:bottom w:val="nil"/>
            </w:tcBorders>
          </w:tcPr>
          <w:p w14:paraId="7DCF7BF8" w14:textId="29334E9A" w:rsidR="005E77DE" w:rsidRPr="004C78D8" w:rsidRDefault="00083890" w:rsidP="00FB7C1F">
            <w:pPr>
              <w:jc w:val="center"/>
              <w:rPr>
                <w:sz w:val="18"/>
                <w:szCs w:val="18"/>
              </w:rPr>
            </w:pPr>
            <w:r w:rsidRPr="004C78D8">
              <w:rPr>
                <w:sz w:val="18"/>
                <w:szCs w:val="18"/>
              </w:rPr>
              <w:t>&lt;0.001</w:t>
            </w:r>
          </w:p>
        </w:tc>
      </w:tr>
      <w:tr w:rsidR="005E77DE" w:rsidRPr="004C78D8" w14:paraId="5E6B2B87" w14:textId="77777777" w:rsidTr="00E35893">
        <w:tc>
          <w:tcPr>
            <w:tcW w:w="2263" w:type="dxa"/>
            <w:tcBorders>
              <w:top w:val="nil"/>
              <w:bottom w:val="nil"/>
            </w:tcBorders>
          </w:tcPr>
          <w:p w14:paraId="273EA1A3" w14:textId="77777777" w:rsidR="005E77DE" w:rsidRPr="004C78D8" w:rsidRDefault="005E77DE" w:rsidP="00FB7C1F">
            <w:pPr>
              <w:rPr>
                <w:sz w:val="18"/>
                <w:szCs w:val="18"/>
              </w:rPr>
            </w:pPr>
            <w:r w:rsidRPr="004C78D8">
              <w:rPr>
                <w:sz w:val="18"/>
                <w:szCs w:val="18"/>
              </w:rPr>
              <w:t>Female</w:t>
            </w:r>
          </w:p>
        </w:tc>
        <w:tc>
          <w:tcPr>
            <w:tcW w:w="1701" w:type="dxa"/>
            <w:tcBorders>
              <w:top w:val="nil"/>
              <w:bottom w:val="nil"/>
            </w:tcBorders>
          </w:tcPr>
          <w:p w14:paraId="28CBB119" w14:textId="002B4CBA" w:rsidR="005E77DE" w:rsidRPr="004C78D8" w:rsidRDefault="008635D4" w:rsidP="00FB7C1F">
            <w:pPr>
              <w:jc w:val="center"/>
              <w:rPr>
                <w:sz w:val="18"/>
                <w:szCs w:val="18"/>
              </w:rPr>
            </w:pPr>
            <w:r w:rsidRPr="004C78D8">
              <w:rPr>
                <w:sz w:val="18"/>
                <w:szCs w:val="18"/>
              </w:rPr>
              <w:t>-0.</w:t>
            </w:r>
            <w:r w:rsidR="00186DF2" w:rsidRPr="004C78D8">
              <w:rPr>
                <w:sz w:val="18"/>
                <w:szCs w:val="18"/>
              </w:rPr>
              <w:t>212</w:t>
            </w:r>
            <w:r w:rsidRPr="004C78D8">
              <w:rPr>
                <w:sz w:val="18"/>
                <w:szCs w:val="18"/>
              </w:rPr>
              <w:t xml:space="preserve"> (0.0</w:t>
            </w:r>
            <w:r w:rsidR="00186DF2" w:rsidRPr="004C78D8">
              <w:rPr>
                <w:sz w:val="18"/>
                <w:szCs w:val="18"/>
              </w:rPr>
              <w:t>49</w:t>
            </w:r>
            <w:r w:rsidRPr="004C78D8">
              <w:rPr>
                <w:sz w:val="18"/>
                <w:szCs w:val="18"/>
              </w:rPr>
              <w:t>)</w:t>
            </w:r>
          </w:p>
        </w:tc>
        <w:tc>
          <w:tcPr>
            <w:tcW w:w="1701" w:type="dxa"/>
            <w:tcBorders>
              <w:top w:val="nil"/>
              <w:bottom w:val="nil"/>
            </w:tcBorders>
          </w:tcPr>
          <w:p w14:paraId="2955DF7B" w14:textId="067C9514" w:rsidR="005E77DE" w:rsidRPr="004C78D8" w:rsidRDefault="00186DF2" w:rsidP="00FB7C1F">
            <w:pPr>
              <w:jc w:val="center"/>
              <w:rPr>
                <w:sz w:val="18"/>
                <w:szCs w:val="18"/>
              </w:rPr>
            </w:pPr>
            <w:r w:rsidRPr="004C78D8">
              <w:rPr>
                <w:sz w:val="18"/>
                <w:szCs w:val="18"/>
              </w:rPr>
              <w:t>&lt;0.001</w:t>
            </w:r>
          </w:p>
        </w:tc>
      </w:tr>
      <w:tr w:rsidR="00186DF2" w:rsidRPr="004C78D8" w14:paraId="6A5A005A" w14:textId="77777777" w:rsidTr="00E35893">
        <w:tc>
          <w:tcPr>
            <w:tcW w:w="2263" w:type="dxa"/>
            <w:tcBorders>
              <w:top w:val="nil"/>
              <w:bottom w:val="nil"/>
            </w:tcBorders>
          </w:tcPr>
          <w:p w14:paraId="340F335D" w14:textId="793C5AF8" w:rsidR="00186DF2" w:rsidRPr="004C78D8" w:rsidRDefault="00AA3380" w:rsidP="00FB7C1F">
            <w:pPr>
              <w:rPr>
                <w:sz w:val="18"/>
                <w:szCs w:val="18"/>
              </w:rPr>
            </w:pPr>
            <w:r w:rsidRPr="004C78D8">
              <w:rPr>
                <w:sz w:val="18"/>
                <w:szCs w:val="18"/>
              </w:rPr>
              <w:t>SES</w:t>
            </w:r>
            <w:r w:rsidR="00186DF2" w:rsidRPr="004C78D8">
              <w:rPr>
                <w:sz w:val="18"/>
                <w:szCs w:val="18"/>
              </w:rPr>
              <w:t xml:space="preserve"> (ref: Most privileged quartile)</w:t>
            </w:r>
          </w:p>
        </w:tc>
        <w:tc>
          <w:tcPr>
            <w:tcW w:w="1701" w:type="dxa"/>
            <w:tcBorders>
              <w:top w:val="nil"/>
              <w:bottom w:val="nil"/>
            </w:tcBorders>
          </w:tcPr>
          <w:p w14:paraId="463245C2" w14:textId="77777777" w:rsidR="00186DF2" w:rsidRPr="004C78D8" w:rsidRDefault="00186DF2" w:rsidP="00FB7C1F">
            <w:pPr>
              <w:jc w:val="center"/>
              <w:rPr>
                <w:sz w:val="18"/>
                <w:szCs w:val="18"/>
              </w:rPr>
            </w:pPr>
          </w:p>
        </w:tc>
        <w:tc>
          <w:tcPr>
            <w:tcW w:w="1701" w:type="dxa"/>
            <w:tcBorders>
              <w:top w:val="nil"/>
              <w:bottom w:val="nil"/>
            </w:tcBorders>
          </w:tcPr>
          <w:p w14:paraId="11AB0E8D" w14:textId="77777777" w:rsidR="00186DF2" w:rsidRPr="004C78D8" w:rsidRDefault="00186DF2" w:rsidP="00FB7C1F">
            <w:pPr>
              <w:jc w:val="center"/>
              <w:rPr>
                <w:sz w:val="18"/>
                <w:szCs w:val="18"/>
              </w:rPr>
            </w:pPr>
          </w:p>
        </w:tc>
      </w:tr>
      <w:tr w:rsidR="00186DF2" w:rsidRPr="004C78D8" w14:paraId="13EFE1DF" w14:textId="77777777" w:rsidTr="00E35893">
        <w:tc>
          <w:tcPr>
            <w:tcW w:w="2263" w:type="dxa"/>
            <w:tcBorders>
              <w:top w:val="nil"/>
              <w:bottom w:val="nil"/>
            </w:tcBorders>
          </w:tcPr>
          <w:p w14:paraId="149E117A" w14:textId="4986FDC7" w:rsidR="00186DF2" w:rsidRPr="004C78D8" w:rsidRDefault="00186DF2" w:rsidP="00FB7C1F">
            <w:pPr>
              <w:jc w:val="right"/>
              <w:rPr>
                <w:sz w:val="18"/>
                <w:szCs w:val="18"/>
              </w:rPr>
            </w:pPr>
            <w:r w:rsidRPr="004C78D8">
              <w:rPr>
                <w:i/>
                <w:iCs/>
                <w:sz w:val="18"/>
                <w:szCs w:val="18"/>
              </w:rPr>
              <w:t>2</w:t>
            </w:r>
            <w:r w:rsidRPr="004C78D8">
              <w:rPr>
                <w:i/>
                <w:iCs/>
                <w:sz w:val="18"/>
                <w:szCs w:val="18"/>
                <w:vertAlign w:val="superscript"/>
              </w:rPr>
              <w:t>nd</w:t>
            </w:r>
            <w:r w:rsidRPr="004C78D8">
              <w:rPr>
                <w:i/>
                <w:iCs/>
                <w:sz w:val="18"/>
                <w:szCs w:val="18"/>
              </w:rPr>
              <w:t xml:space="preserve"> quartile</w:t>
            </w:r>
          </w:p>
        </w:tc>
        <w:tc>
          <w:tcPr>
            <w:tcW w:w="1701" w:type="dxa"/>
            <w:tcBorders>
              <w:top w:val="nil"/>
              <w:bottom w:val="nil"/>
            </w:tcBorders>
          </w:tcPr>
          <w:p w14:paraId="0F1138AF" w14:textId="4F974579" w:rsidR="00186DF2" w:rsidRPr="004C78D8" w:rsidRDefault="00186DF2" w:rsidP="00FB7C1F">
            <w:pPr>
              <w:jc w:val="center"/>
              <w:rPr>
                <w:sz w:val="18"/>
                <w:szCs w:val="18"/>
              </w:rPr>
            </w:pPr>
            <w:r w:rsidRPr="004C78D8">
              <w:rPr>
                <w:sz w:val="18"/>
                <w:szCs w:val="18"/>
              </w:rPr>
              <w:t>0.132 (0.066)</w:t>
            </w:r>
          </w:p>
        </w:tc>
        <w:tc>
          <w:tcPr>
            <w:tcW w:w="1701" w:type="dxa"/>
            <w:tcBorders>
              <w:top w:val="nil"/>
              <w:bottom w:val="nil"/>
            </w:tcBorders>
          </w:tcPr>
          <w:p w14:paraId="22B8505E" w14:textId="34B8D5B1" w:rsidR="00186DF2" w:rsidRPr="004C78D8" w:rsidRDefault="00186DF2" w:rsidP="00FB7C1F">
            <w:pPr>
              <w:jc w:val="center"/>
              <w:rPr>
                <w:sz w:val="18"/>
                <w:szCs w:val="18"/>
              </w:rPr>
            </w:pPr>
            <w:r w:rsidRPr="004C78D8">
              <w:rPr>
                <w:sz w:val="18"/>
                <w:szCs w:val="18"/>
              </w:rPr>
              <w:t>0.045</w:t>
            </w:r>
          </w:p>
        </w:tc>
      </w:tr>
      <w:tr w:rsidR="00186DF2" w:rsidRPr="004C78D8" w14:paraId="3B6EDCA5" w14:textId="77777777" w:rsidTr="00E35893">
        <w:tc>
          <w:tcPr>
            <w:tcW w:w="2263" w:type="dxa"/>
            <w:tcBorders>
              <w:top w:val="nil"/>
              <w:bottom w:val="nil"/>
            </w:tcBorders>
          </w:tcPr>
          <w:p w14:paraId="44D3C4DC" w14:textId="5AC2853F" w:rsidR="00186DF2" w:rsidRPr="004C78D8" w:rsidRDefault="00186DF2" w:rsidP="00FB7C1F">
            <w:pPr>
              <w:jc w:val="right"/>
              <w:rPr>
                <w:sz w:val="18"/>
                <w:szCs w:val="18"/>
              </w:rPr>
            </w:pPr>
            <w:r w:rsidRPr="004C78D8">
              <w:rPr>
                <w:i/>
                <w:iCs/>
                <w:sz w:val="18"/>
                <w:szCs w:val="18"/>
              </w:rPr>
              <w:t>3</w:t>
            </w:r>
            <w:r w:rsidRPr="004C78D8">
              <w:rPr>
                <w:i/>
                <w:iCs/>
                <w:sz w:val="18"/>
                <w:szCs w:val="18"/>
                <w:vertAlign w:val="superscript"/>
              </w:rPr>
              <w:t>rd</w:t>
            </w:r>
            <w:r w:rsidRPr="004C78D8">
              <w:rPr>
                <w:i/>
                <w:iCs/>
                <w:sz w:val="18"/>
                <w:szCs w:val="18"/>
              </w:rPr>
              <w:t xml:space="preserve"> quartile</w:t>
            </w:r>
          </w:p>
        </w:tc>
        <w:tc>
          <w:tcPr>
            <w:tcW w:w="1701" w:type="dxa"/>
            <w:tcBorders>
              <w:top w:val="nil"/>
              <w:bottom w:val="nil"/>
            </w:tcBorders>
          </w:tcPr>
          <w:p w14:paraId="0B33F79A" w14:textId="558A5E20" w:rsidR="00186DF2" w:rsidRPr="004C78D8" w:rsidRDefault="00186DF2" w:rsidP="00FB7C1F">
            <w:pPr>
              <w:jc w:val="center"/>
              <w:rPr>
                <w:sz w:val="18"/>
                <w:szCs w:val="18"/>
              </w:rPr>
            </w:pPr>
            <w:r w:rsidRPr="004C78D8">
              <w:rPr>
                <w:sz w:val="18"/>
                <w:szCs w:val="18"/>
              </w:rPr>
              <w:t>0.118 (0.059)</w:t>
            </w:r>
          </w:p>
        </w:tc>
        <w:tc>
          <w:tcPr>
            <w:tcW w:w="1701" w:type="dxa"/>
            <w:tcBorders>
              <w:top w:val="nil"/>
              <w:bottom w:val="nil"/>
            </w:tcBorders>
          </w:tcPr>
          <w:p w14:paraId="63AE93F4" w14:textId="539FB667" w:rsidR="00186DF2" w:rsidRPr="004C78D8" w:rsidRDefault="00186DF2" w:rsidP="00FB7C1F">
            <w:pPr>
              <w:jc w:val="center"/>
              <w:rPr>
                <w:sz w:val="18"/>
                <w:szCs w:val="18"/>
              </w:rPr>
            </w:pPr>
            <w:r w:rsidRPr="004C78D8">
              <w:rPr>
                <w:sz w:val="18"/>
                <w:szCs w:val="18"/>
              </w:rPr>
              <w:t>0.045</w:t>
            </w:r>
          </w:p>
        </w:tc>
      </w:tr>
      <w:tr w:rsidR="00186DF2" w:rsidRPr="004C78D8" w14:paraId="0D4BF70B" w14:textId="77777777" w:rsidTr="00E35893">
        <w:tc>
          <w:tcPr>
            <w:tcW w:w="2263" w:type="dxa"/>
            <w:tcBorders>
              <w:top w:val="nil"/>
              <w:bottom w:val="nil"/>
            </w:tcBorders>
          </w:tcPr>
          <w:p w14:paraId="0C932B19" w14:textId="737EA670" w:rsidR="00186DF2" w:rsidRPr="004C78D8" w:rsidRDefault="00186DF2" w:rsidP="00FB7C1F">
            <w:pPr>
              <w:jc w:val="right"/>
              <w:rPr>
                <w:sz w:val="18"/>
                <w:szCs w:val="18"/>
              </w:rPr>
            </w:pPr>
            <w:r w:rsidRPr="004C78D8">
              <w:rPr>
                <w:i/>
                <w:iCs/>
                <w:sz w:val="18"/>
                <w:szCs w:val="18"/>
              </w:rPr>
              <w:t>Most deprived quartile</w:t>
            </w:r>
          </w:p>
        </w:tc>
        <w:tc>
          <w:tcPr>
            <w:tcW w:w="1701" w:type="dxa"/>
            <w:tcBorders>
              <w:top w:val="nil"/>
              <w:bottom w:val="nil"/>
            </w:tcBorders>
          </w:tcPr>
          <w:p w14:paraId="04E928F0" w14:textId="3AB5774E" w:rsidR="00186DF2" w:rsidRPr="004C78D8" w:rsidRDefault="00186DF2" w:rsidP="00FB7C1F">
            <w:pPr>
              <w:jc w:val="center"/>
              <w:rPr>
                <w:sz w:val="18"/>
                <w:szCs w:val="18"/>
              </w:rPr>
            </w:pPr>
            <w:r w:rsidRPr="004C78D8">
              <w:rPr>
                <w:sz w:val="18"/>
                <w:szCs w:val="18"/>
              </w:rPr>
              <w:t>0.223 (0.088)</w:t>
            </w:r>
          </w:p>
        </w:tc>
        <w:tc>
          <w:tcPr>
            <w:tcW w:w="1701" w:type="dxa"/>
            <w:tcBorders>
              <w:top w:val="nil"/>
              <w:bottom w:val="nil"/>
            </w:tcBorders>
          </w:tcPr>
          <w:p w14:paraId="7FD44445" w14:textId="22D14B78" w:rsidR="00186DF2" w:rsidRPr="004C78D8" w:rsidRDefault="00186DF2" w:rsidP="00FB7C1F">
            <w:pPr>
              <w:jc w:val="center"/>
              <w:rPr>
                <w:sz w:val="18"/>
                <w:szCs w:val="18"/>
              </w:rPr>
            </w:pPr>
            <w:r w:rsidRPr="004C78D8">
              <w:rPr>
                <w:sz w:val="18"/>
                <w:szCs w:val="18"/>
              </w:rPr>
              <w:t>0.012</w:t>
            </w:r>
          </w:p>
        </w:tc>
      </w:tr>
      <w:tr w:rsidR="00186DF2" w:rsidRPr="004C78D8" w14:paraId="79651D03" w14:textId="77777777" w:rsidTr="00E35893">
        <w:tc>
          <w:tcPr>
            <w:tcW w:w="2263" w:type="dxa"/>
            <w:tcBorders>
              <w:top w:val="nil"/>
              <w:bottom w:val="nil"/>
            </w:tcBorders>
          </w:tcPr>
          <w:p w14:paraId="7454F413" w14:textId="61AC66AA" w:rsidR="00186DF2" w:rsidRPr="004C78D8" w:rsidRDefault="00186DF2" w:rsidP="00FB7C1F">
            <w:pPr>
              <w:rPr>
                <w:sz w:val="18"/>
                <w:szCs w:val="18"/>
              </w:rPr>
            </w:pPr>
            <w:r w:rsidRPr="004C78D8">
              <w:rPr>
                <w:sz w:val="18"/>
                <w:szCs w:val="18"/>
              </w:rPr>
              <w:t>Falls history (ref: No falls history)</w:t>
            </w:r>
          </w:p>
        </w:tc>
        <w:tc>
          <w:tcPr>
            <w:tcW w:w="1701" w:type="dxa"/>
            <w:tcBorders>
              <w:top w:val="nil"/>
              <w:bottom w:val="nil"/>
            </w:tcBorders>
          </w:tcPr>
          <w:p w14:paraId="7A24784E" w14:textId="77777777" w:rsidR="00186DF2" w:rsidRPr="004C78D8" w:rsidRDefault="00186DF2" w:rsidP="00FB7C1F">
            <w:pPr>
              <w:jc w:val="center"/>
              <w:rPr>
                <w:sz w:val="18"/>
                <w:szCs w:val="18"/>
              </w:rPr>
            </w:pPr>
          </w:p>
        </w:tc>
        <w:tc>
          <w:tcPr>
            <w:tcW w:w="1701" w:type="dxa"/>
            <w:tcBorders>
              <w:top w:val="nil"/>
              <w:bottom w:val="nil"/>
            </w:tcBorders>
          </w:tcPr>
          <w:p w14:paraId="64284ED5" w14:textId="77777777" w:rsidR="00186DF2" w:rsidRPr="004C78D8" w:rsidRDefault="00186DF2" w:rsidP="00FB7C1F">
            <w:pPr>
              <w:jc w:val="center"/>
              <w:rPr>
                <w:sz w:val="18"/>
                <w:szCs w:val="18"/>
              </w:rPr>
            </w:pPr>
          </w:p>
        </w:tc>
      </w:tr>
      <w:tr w:rsidR="00186DF2" w:rsidRPr="004C78D8" w14:paraId="30E66CF8" w14:textId="77777777" w:rsidTr="00E35893">
        <w:tc>
          <w:tcPr>
            <w:tcW w:w="2263" w:type="dxa"/>
            <w:tcBorders>
              <w:top w:val="nil"/>
              <w:bottom w:val="nil"/>
            </w:tcBorders>
          </w:tcPr>
          <w:p w14:paraId="2874140E" w14:textId="2DEB6379" w:rsidR="00186DF2" w:rsidRPr="004C78D8" w:rsidRDefault="00186DF2" w:rsidP="00FB7C1F">
            <w:pPr>
              <w:jc w:val="right"/>
              <w:rPr>
                <w:sz w:val="18"/>
                <w:szCs w:val="18"/>
              </w:rPr>
            </w:pPr>
            <w:r w:rsidRPr="004C78D8">
              <w:rPr>
                <w:i/>
                <w:iCs/>
                <w:sz w:val="18"/>
                <w:szCs w:val="18"/>
              </w:rPr>
              <w:t>Single non-MA fall</w:t>
            </w:r>
          </w:p>
        </w:tc>
        <w:tc>
          <w:tcPr>
            <w:tcW w:w="1701" w:type="dxa"/>
            <w:tcBorders>
              <w:top w:val="nil"/>
              <w:bottom w:val="nil"/>
            </w:tcBorders>
          </w:tcPr>
          <w:p w14:paraId="08322E03" w14:textId="02069202" w:rsidR="00186DF2" w:rsidRPr="004C78D8" w:rsidRDefault="00186DF2" w:rsidP="00FB7C1F">
            <w:pPr>
              <w:jc w:val="center"/>
              <w:rPr>
                <w:sz w:val="18"/>
                <w:szCs w:val="18"/>
              </w:rPr>
            </w:pPr>
            <w:r w:rsidRPr="004C78D8">
              <w:rPr>
                <w:sz w:val="18"/>
                <w:szCs w:val="18"/>
              </w:rPr>
              <w:t>0.172 (0.082)</w:t>
            </w:r>
          </w:p>
        </w:tc>
        <w:tc>
          <w:tcPr>
            <w:tcW w:w="1701" w:type="dxa"/>
            <w:tcBorders>
              <w:top w:val="nil"/>
              <w:bottom w:val="nil"/>
            </w:tcBorders>
          </w:tcPr>
          <w:p w14:paraId="081BE32A" w14:textId="1040B11A" w:rsidR="00186DF2" w:rsidRPr="004C78D8" w:rsidRDefault="00186DF2" w:rsidP="00FB7C1F">
            <w:pPr>
              <w:jc w:val="center"/>
              <w:rPr>
                <w:sz w:val="18"/>
                <w:szCs w:val="18"/>
              </w:rPr>
            </w:pPr>
            <w:r w:rsidRPr="004C78D8">
              <w:rPr>
                <w:sz w:val="18"/>
                <w:szCs w:val="18"/>
              </w:rPr>
              <w:t>0.036</w:t>
            </w:r>
          </w:p>
        </w:tc>
      </w:tr>
      <w:tr w:rsidR="00186DF2" w:rsidRPr="004C78D8" w14:paraId="2A54E1C5" w14:textId="77777777" w:rsidTr="00E35893">
        <w:tc>
          <w:tcPr>
            <w:tcW w:w="2263" w:type="dxa"/>
            <w:tcBorders>
              <w:top w:val="nil"/>
              <w:bottom w:val="nil"/>
            </w:tcBorders>
          </w:tcPr>
          <w:p w14:paraId="73D6A315" w14:textId="3A53D905" w:rsidR="00186DF2" w:rsidRPr="004C78D8" w:rsidRDefault="00186DF2" w:rsidP="00FB7C1F">
            <w:pPr>
              <w:jc w:val="right"/>
              <w:rPr>
                <w:sz w:val="18"/>
                <w:szCs w:val="18"/>
              </w:rPr>
            </w:pPr>
            <w:r w:rsidRPr="004C78D8">
              <w:rPr>
                <w:i/>
                <w:iCs/>
                <w:sz w:val="18"/>
                <w:szCs w:val="18"/>
              </w:rPr>
              <w:t>Recurrent non-MA falls</w:t>
            </w:r>
          </w:p>
        </w:tc>
        <w:tc>
          <w:tcPr>
            <w:tcW w:w="1701" w:type="dxa"/>
            <w:tcBorders>
              <w:top w:val="nil"/>
              <w:bottom w:val="nil"/>
            </w:tcBorders>
          </w:tcPr>
          <w:p w14:paraId="0C3B4FDF" w14:textId="3D8D4C22" w:rsidR="00186DF2" w:rsidRPr="004C78D8" w:rsidRDefault="00186DF2" w:rsidP="00FB7C1F">
            <w:pPr>
              <w:jc w:val="center"/>
              <w:rPr>
                <w:sz w:val="18"/>
                <w:szCs w:val="18"/>
              </w:rPr>
            </w:pPr>
            <w:r w:rsidRPr="004C78D8">
              <w:rPr>
                <w:sz w:val="18"/>
                <w:szCs w:val="18"/>
              </w:rPr>
              <w:t>0.450 (0.108)</w:t>
            </w:r>
          </w:p>
        </w:tc>
        <w:tc>
          <w:tcPr>
            <w:tcW w:w="1701" w:type="dxa"/>
            <w:tcBorders>
              <w:top w:val="nil"/>
              <w:bottom w:val="nil"/>
            </w:tcBorders>
          </w:tcPr>
          <w:p w14:paraId="5A73DF93" w14:textId="619B696D" w:rsidR="00186DF2" w:rsidRPr="004C78D8" w:rsidRDefault="00186DF2" w:rsidP="00FB7C1F">
            <w:pPr>
              <w:jc w:val="center"/>
              <w:rPr>
                <w:sz w:val="18"/>
                <w:szCs w:val="18"/>
              </w:rPr>
            </w:pPr>
            <w:r w:rsidRPr="004C78D8">
              <w:rPr>
                <w:sz w:val="18"/>
                <w:szCs w:val="18"/>
              </w:rPr>
              <w:t>&lt;0.001</w:t>
            </w:r>
          </w:p>
        </w:tc>
      </w:tr>
      <w:tr w:rsidR="00186DF2" w:rsidRPr="004C78D8" w14:paraId="65539DF9" w14:textId="77777777" w:rsidTr="00E35893">
        <w:tc>
          <w:tcPr>
            <w:tcW w:w="2263" w:type="dxa"/>
            <w:tcBorders>
              <w:top w:val="nil"/>
              <w:bottom w:val="nil"/>
            </w:tcBorders>
          </w:tcPr>
          <w:p w14:paraId="737BD423" w14:textId="3DB97A45" w:rsidR="00186DF2" w:rsidRPr="004C78D8" w:rsidRDefault="00186DF2" w:rsidP="00FB7C1F">
            <w:pPr>
              <w:jc w:val="right"/>
              <w:rPr>
                <w:sz w:val="18"/>
                <w:szCs w:val="18"/>
              </w:rPr>
            </w:pPr>
            <w:r w:rsidRPr="004C78D8">
              <w:rPr>
                <w:i/>
                <w:iCs/>
                <w:sz w:val="18"/>
                <w:szCs w:val="18"/>
              </w:rPr>
              <w:t>Single MA fall</w:t>
            </w:r>
          </w:p>
        </w:tc>
        <w:tc>
          <w:tcPr>
            <w:tcW w:w="1701" w:type="dxa"/>
            <w:tcBorders>
              <w:top w:val="nil"/>
              <w:bottom w:val="nil"/>
            </w:tcBorders>
          </w:tcPr>
          <w:p w14:paraId="70862A7D" w14:textId="6755EA71" w:rsidR="00186DF2" w:rsidRPr="004C78D8" w:rsidRDefault="00186DF2" w:rsidP="00FB7C1F">
            <w:pPr>
              <w:jc w:val="center"/>
              <w:rPr>
                <w:sz w:val="18"/>
                <w:szCs w:val="18"/>
              </w:rPr>
            </w:pPr>
            <w:r w:rsidRPr="004C78D8">
              <w:rPr>
                <w:sz w:val="18"/>
                <w:szCs w:val="18"/>
              </w:rPr>
              <w:t>0.701 (0.161)</w:t>
            </w:r>
          </w:p>
        </w:tc>
        <w:tc>
          <w:tcPr>
            <w:tcW w:w="1701" w:type="dxa"/>
            <w:tcBorders>
              <w:top w:val="nil"/>
              <w:bottom w:val="nil"/>
            </w:tcBorders>
          </w:tcPr>
          <w:p w14:paraId="6618ED47" w14:textId="3F7D61EF" w:rsidR="00186DF2" w:rsidRPr="004C78D8" w:rsidRDefault="00186DF2" w:rsidP="00FB7C1F">
            <w:pPr>
              <w:jc w:val="center"/>
              <w:rPr>
                <w:sz w:val="18"/>
                <w:szCs w:val="18"/>
              </w:rPr>
            </w:pPr>
            <w:r w:rsidRPr="004C78D8">
              <w:rPr>
                <w:sz w:val="18"/>
                <w:szCs w:val="18"/>
              </w:rPr>
              <w:t>&lt;0.001</w:t>
            </w:r>
          </w:p>
        </w:tc>
      </w:tr>
      <w:tr w:rsidR="00186DF2" w:rsidRPr="004C78D8" w14:paraId="7447B928" w14:textId="77777777" w:rsidTr="00E35893">
        <w:tc>
          <w:tcPr>
            <w:tcW w:w="2263" w:type="dxa"/>
            <w:tcBorders>
              <w:top w:val="nil"/>
              <w:bottom w:val="nil"/>
            </w:tcBorders>
          </w:tcPr>
          <w:p w14:paraId="59FFE91E" w14:textId="0F9480A9" w:rsidR="00186DF2" w:rsidRPr="004C78D8" w:rsidRDefault="00186DF2" w:rsidP="00FB7C1F">
            <w:pPr>
              <w:jc w:val="right"/>
              <w:rPr>
                <w:sz w:val="18"/>
                <w:szCs w:val="18"/>
              </w:rPr>
            </w:pPr>
            <w:r w:rsidRPr="004C78D8">
              <w:rPr>
                <w:i/>
                <w:iCs/>
                <w:sz w:val="18"/>
                <w:szCs w:val="18"/>
              </w:rPr>
              <w:t>Recurrent falls with MA</w:t>
            </w:r>
          </w:p>
        </w:tc>
        <w:tc>
          <w:tcPr>
            <w:tcW w:w="1701" w:type="dxa"/>
            <w:tcBorders>
              <w:top w:val="nil"/>
              <w:bottom w:val="nil"/>
            </w:tcBorders>
          </w:tcPr>
          <w:p w14:paraId="499EFDD0" w14:textId="15C1C875" w:rsidR="00186DF2" w:rsidRPr="004C78D8" w:rsidRDefault="00186DF2" w:rsidP="00FB7C1F">
            <w:pPr>
              <w:jc w:val="center"/>
              <w:rPr>
                <w:sz w:val="18"/>
                <w:szCs w:val="18"/>
              </w:rPr>
            </w:pPr>
            <w:r w:rsidRPr="004C78D8">
              <w:rPr>
                <w:sz w:val="18"/>
                <w:szCs w:val="18"/>
              </w:rPr>
              <w:t>0.930 (0.242)</w:t>
            </w:r>
          </w:p>
        </w:tc>
        <w:tc>
          <w:tcPr>
            <w:tcW w:w="1701" w:type="dxa"/>
            <w:tcBorders>
              <w:top w:val="nil"/>
              <w:bottom w:val="nil"/>
            </w:tcBorders>
          </w:tcPr>
          <w:p w14:paraId="737BED33" w14:textId="7E4C345B" w:rsidR="00186DF2" w:rsidRPr="004C78D8" w:rsidRDefault="00186DF2" w:rsidP="00FB7C1F">
            <w:pPr>
              <w:jc w:val="center"/>
              <w:rPr>
                <w:sz w:val="18"/>
                <w:szCs w:val="18"/>
              </w:rPr>
            </w:pPr>
            <w:r w:rsidRPr="004C78D8">
              <w:rPr>
                <w:sz w:val="18"/>
                <w:szCs w:val="18"/>
              </w:rPr>
              <w:t>&lt;0.001</w:t>
            </w:r>
          </w:p>
        </w:tc>
      </w:tr>
      <w:tr w:rsidR="00186DF2" w:rsidRPr="004C78D8" w14:paraId="62BF5B04" w14:textId="77777777" w:rsidTr="00E35893">
        <w:tc>
          <w:tcPr>
            <w:tcW w:w="2263" w:type="dxa"/>
            <w:tcBorders>
              <w:top w:val="nil"/>
              <w:bottom w:val="nil"/>
            </w:tcBorders>
          </w:tcPr>
          <w:p w14:paraId="224B6990" w14:textId="77777777" w:rsidR="00186DF2" w:rsidRPr="004C78D8" w:rsidRDefault="00186DF2" w:rsidP="00FB7C1F">
            <w:pPr>
              <w:rPr>
                <w:sz w:val="18"/>
                <w:szCs w:val="18"/>
              </w:rPr>
            </w:pPr>
            <w:r w:rsidRPr="004C78D8">
              <w:rPr>
                <w:sz w:val="18"/>
                <w:szCs w:val="18"/>
              </w:rPr>
              <w:t>Frailty (0-100)</w:t>
            </w:r>
          </w:p>
        </w:tc>
        <w:tc>
          <w:tcPr>
            <w:tcW w:w="1701" w:type="dxa"/>
            <w:tcBorders>
              <w:top w:val="nil"/>
              <w:bottom w:val="nil"/>
            </w:tcBorders>
          </w:tcPr>
          <w:p w14:paraId="421D807F" w14:textId="3CE12A1B" w:rsidR="00186DF2" w:rsidRPr="004C78D8" w:rsidRDefault="00186DF2" w:rsidP="00FB7C1F">
            <w:pPr>
              <w:jc w:val="center"/>
              <w:rPr>
                <w:sz w:val="18"/>
                <w:szCs w:val="18"/>
              </w:rPr>
            </w:pPr>
            <w:r w:rsidRPr="004C78D8">
              <w:rPr>
                <w:sz w:val="18"/>
                <w:szCs w:val="18"/>
              </w:rPr>
              <w:t>0.175 (0.008)</w:t>
            </w:r>
          </w:p>
        </w:tc>
        <w:tc>
          <w:tcPr>
            <w:tcW w:w="1701" w:type="dxa"/>
            <w:tcBorders>
              <w:top w:val="nil"/>
              <w:bottom w:val="nil"/>
            </w:tcBorders>
          </w:tcPr>
          <w:p w14:paraId="00D7680D" w14:textId="5081A772" w:rsidR="00186DF2" w:rsidRPr="004C78D8" w:rsidRDefault="00186DF2" w:rsidP="00FB7C1F">
            <w:pPr>
              <w:jc w:val="center"/>
              <w:rPr>
                <w:sz w:val="18"/>
                <w:szCs w:val="18"/>
              </w:rPr>
            </w:pPr>
            <w:r w:rsidRPr="004C78D8">
              <w:rPr>
                <w:sz w:val="18"/>
                <w:szCs w:val="18"/>
              </w:rPr>
              <w:t>&lt;0.001</w:t>
            </w:r>
          </w:p>
        </w:tc>
      </w:tr>
      <w:tr w:rsidR="00186DF2" w:rsidRPr="004C78D8" w14:paraId="3311B625" w14:textId="77777777" w:rsidTr="00E35893">
        <w:tc>
          <w:tcPr>
            <w:tcW w:w="2263" w:type="dxa"/>
            <w:tcBorders>
              <w:top w:val="nil"/>
              <w:bottom w:val="nil"/>
            </w:tcBorders>
          </w:tcPr>
          <w:p w14:paraId="62138D4E" w14:textId="77777777" w:rsidR="00186DF2" w:rsidRPr="004C78D8" w:rsidRDefault="00186DF2" w:rsidP="00FB7C1F">
            <w:pPr>
              <w:rPr>
                <w:sz w:val="18"/>
                <w:szCs w:val="18"/>
              </w:rPr>
            </w:pPr>
            <w:r w:rsidRPr="004C78D8">
              <w:rPr>
                <w:sz w:val="18"/>
                <w:szCs w:val="18"/>
              </w:rPr>
              <w:t>Frailty^2</w:t>
            </w:r>
          </w:p>
        </w:tc>
        <w:tc>
          <w:tcPr>
            <w:tcW w:w="1701" w:type="dxa"/>
            <w:tcBorders>
              <w:top w:val="nil"/>
              <w:bottom w:val="nil"/>
            </w:tcBorders>
          </w:tcPr>
          <w:p w14:paraId="2320E160" w14:textId="51AE15FE" w:rsidR="00186DF2" w:rsidRPr="004C78D8" w:rsidRDefault="00186DF2" w:rsidP="00FB7C1F">
            <w:pPr>
              <w:jc w:val="center"/>
              <w:rPr>
                <w:sz w:val="18"/>
                <w:szCs w:val="18"/>
              </w:rPr>
            </w:pPr>
            <w:r w:rsidRPr="004C78D8">
              <w:rPr>
                <w:sz w:val="18"/>
                <w:szCs w:val="18"/>
              </w:rPr>
              <w:t>-0.002 (0.0002)</w:t>
            </w:r>
          </w:p>
        </w:tc>
        <w:tc>
          <w:tcPr>
            <w:tcW w:w="1701" w:type="dxa"/>
            <w:tcBorders>
              <w:top w:val="nil"/>
              <w:bottom w:val="nil"/>
            </w:tcBorders>
          </w:tcPr>
          <w:p w14:paraId="3F72D2E7" w14:textId="19018F65" w:rsidR="00186DF2" w:rsidRPr="004C78D8" w:rsidRDefault="00186DF2" w:rsidP="00FB7C1F">
            <w:pPr>
              <w:jc w:val="center"/>
              <w:rPr>
                <w:sz w:val="18"/>
                <w:szCs w:val="18"/>
              </w:rPr>
            </w:pPr>
            <w:r w:rsidRPr="004C78D8">
              <w:rPr>
                <w:sz w:val="18"/>
                <w:szCs w:val="18"/>
              </w:rPr>
              <w:t>&lt;0.001</w:t>
            </w:r>
          </w:p>
        </w:tc>
      </w:tr>
      <w:tr w:rsidR="00186DF2" w:rsidRPr="004C78D8" w14:paraId="029F3CE9" w14:textId="77777777" w:rsidTr="00E35893">
        <w:tc>
          <w:tcPr>
            <w:tcW w:w="2263" w:type="dxa"/>
            <w:tcBorders>
              <w:top w:val="nil"/>
              <w:bottom w:val="nil"/>
            </w:tcBorders>
          </w:tcPr>
          <w:p w14:paraId="0D29AEA3" w14:textId="1A6CC649" w:rsidR="00186DF2" w:rsidRPr="004C78D8" w:rsidRDefault="00186DF2" w:rsidP="00FB7C1F">
            <w:pPr>
              <w:rPr>
                <w:sz w:val="18"/>
                <w:szCs w:val="18"/>
              </w:rPr>
            </w:pPr>
            <w:r w:rsidRPr="004C78D8">
              <w:rPr>
                <w:sz w:val="18"/>
                <w:szCs w:val="18"/>
              </w:rPr>
              <w:t>Cognitive impairment</w:t>
            </w:r>
          </w:p>
        </w:tc>
        <w:tc>
          <w:tcPr>
            <w:tcW w:w="1701" w:type="dxa"/>
            <w:tcBorders>
              <w:top w:val="nil"/>
              <w:bottom w:val="nil"/>
            </w:tcBorders>
          </w:tcPr>
          <w:p w14:paraId="131D4FCD" w14:textId="38258F65" w:rsidR="00186DF2" w:rsidRPr="004C78D8" w:rsidRDefault="00186DF2" w:rsidP="00FB7C1F">
            <w:pPr>
              <w:jc w:val="center"/>
              <w:rPr>
                <w:sz w:val="18"/>
                <w:szCs w:val="18"/>
              </w:rPr>
            </w:pPr>
            <w:r w:rsidRPr="004C78D8">
              <w:rPr>
                <w:sz w:val="18"/>
                <w:szCs w:val="18"/>
              </w:rPr>
              <w:t>-0.944 (0.058)</w:t>
            </w:r>
          </w:p>
        </w:tc>
        <w:tc>
          <w:tcPr>
            <w:tcW w:w="1701" w:type="dxa"/>
            <w:tcBorders>
              <w:top w:val="nil"/>
              <w:bottom w:val="nil"/>
            </w:tcBorders>
          </w:tcPr>
          <w:p w14:paraId="668B21DE" w14:textId="56C139E6" w:rsidR="00186DF2" w:rsidRPr="004C78D8" w:rsidRDefault="00186DF2" w:rsidP="00FB7C1F">
            <w:pPr>
              <w:jc w:val="center"/>
              <w:rPr>
                <w:sz w:val="18"/>
                <w:szCs w:val="18"/>
              </w:rPr>
            </w:pPr>
            <w:r w:rsidRPr="004C78D8">
              <w:rPr>
                <w:sz w:val="18"/>
                <w:szCs w:val="18"/>
              </w:rPr>
              <w:t>&lt;0.001</w:t>
            </w:r>
          </w:p>
        </w:tc>
      </w:tr>
      <w:tr w:rsidR="00186DF2" w:rsidRPr="004C78D8" w14:paraId="4C46DF26" w14:textId="77777777" w:rsidTr="00E35893">
        <w:tc>
          <w:tcPr>
            <w:tcW w:w="2263" w:type="dxa"/>
            <w:tcBorders>
              <w:top w:val="nil"/>
              <w:bottom w:val="nil"/>
            </w:tcBorders>
          </w:tcPr>
          <w:p w14:paraId="6365492F" w14:textId="6317D8B0" w:rsidR="00186DF2" w:rsidRPr="004C78D8" w:rsidRDefault="00186DF2" w:rsidP="00FB7C1F">
            <w:pPr>
              <w:rPr>
                <w:sz w:val="18"/>
                <w:szCs w:val="18"/>
              </w:rPr>
            </w:pPr>
            <w:r w:rsidRPr="004C78D8">
              <w:rPr>
                <w:sz w:val="18"/>
                <w:szCs w:val="18"/>
              </w:rPr>
              <w:t>Fear of falling</w:t>
            </w:r>
          </w:p>
        </w:tc>
        <w:tc>
          <w:tcPr>
            <w:tcW w:w="1701" w:type="dxa"/>
            <w:tcBorders>
              <w:top w:val="nil"/>
              <w:bottom w:val="nil"/>
            </w:tcBorders>
          </w:tcPr>
          <w:p w14:paraId="3FB56E56" w14:textId="0C0D2C88" w:rsidR="00186DF2" w:rsidRPr="004C78D8" w:rsidRDefault="00186DF2" w:rsidP="00FB7C1F">
            <w:pPr>
              <w:jc w:val="center"/>
              <w:rPr>
                <w:sz w:val="18"/>
                <w:szCs w:val="18"/>
              </w:rPr>
            </w:pPr>
            <w:r w:rsidRPr="004C78D8">
              <w:rPr>
                <w:sz w:val="18"/>
                <w:szCs w:val="18"/>
              </w:rPr>
              <w:t>0.339 (0.141)</w:t>
            </w:r>
          </w:p>
        </w:tc>
        <w:tc>
          <w:tcPr>
            <w:tcW w:w="1701" w:type="dxa"/>
            <w:tcBorders>
              <w:top w:val="nil"/>
              <w:bottom w:val="nil"/>
            </w:tcBorders>
          </w:tcPr>
          <w:p w14:paraId="2E56A00D" w14:textId="71B33408" w:rsidR="00186DF2" w:rsidRPr="004C78D8" w:rsidRDefault="00186DF2" w:rsidP="00FB7C1F">
            <w:pPr>
              <w:jc w:val="center"/>
              <w:rPr>
                <w:sz w:val="18"/>
                <w:szCs w:val="18"/>
              </w:rPr>
            </w:pPr>
            <w:r w:rsidRPr="004C78D8">
              <w:rPr>
                <w:sz w:val="18"/>
                <w:szCs w:val="18"/>
              </w:rPr>
              <w:t>0.016</w:t>
            </w:r>
          </w:p>
        </w:tc>
      </w:tr>
      <w:tr w:rsidR="00186DF2" w:rsidRPr="004C78D8" w14:paraId="7F997668" w14:textId="77777777" w:rsidTr="00E35893">
        <w:tc>
          <w:tcPr>
            <w:tcW w:w="2263" w:type="dxa"/>
            <w:tcBorders>
              <w:top w:val="nil"/>
              <w:bottom w:val="nil"/>
            </w:tcBorders>
          </w:tcPr>
          <w:p w14:paraId="3556D158" w14:textId="5137FA2E" w:rsidR="00186DF2" w:rsidRPr="004C78D8" w:rsidRDefault="00186DF2" w:rsidP="00FB7C1F">
            <w:pPr>
              <w:rPr>
                <w:sz w:val="18"/>
                <w:szCs w:val="18"/>
              </w:rPr>
            </w:pPr>
            <w:r w:rsidRPr="004C78D8">
              <w:rPr>
                <w:sz w:val="18"/>
                <w:szCs w:val="18"/>
              </w:rPr>
              <w:t>Abnormal gait/balance</w:t>
            </w:r>
          </w:p>
        </w:tc>
        <w:tc>
          <w:tcPr>
            <w:tcW w:w="1701" w:type="dxa"/>
            <w:tcBorders>
              <w:top w:val="nil"/>
              <w:bottom w:val="nil"/>
            </w:tcBorders>
          </w:tcPr>
          <w:p w14:paraId="5EA9E918" w14:textId="72E65607" w:rsidR="00186DF2" w:rsidRPr="004C78D8" w:rsidRDefault="00186DF2" w:rsidP="00FB7C1F">
            <w:pPr>
              <w:jc w:val="center"/>
              <w:rPr>
                <w:sz w:val="18"/>
                <w:szCs w:val="18"/>
              </w:rPr>
            </w:pPr>
            <w:r w:rsidRPr="004C78D8">
              <w:rPr>
                <w:sz w:val="18"/>
                <w:szCs w:val="18"/>
              </w:rPr>
              <w:t>-0.455 (0.076)</w:t>
            </w:r>
          </w:p>
        </w:tc>
        <w:tc>
          <w:tcPr>
            <w:tcW w:w="1701" w:type="dxa"/>
            <w:tcBorders>
              <w:top w:val="nil"/>
              <w:bottom w:val="nil"/>
            </w:tcBorders>
          </w:tcPr>
          <w:p w14:paraId="37602C8A" w14:textId="7DA592C1" w:rsidR="00186DF2" w:rsidRPr="004C78D8" w:rsidRDefault="00186DF2" w:rsidP="00FB7C1F">
            <w:pPr>
              <w:jc w:val="center"/>
              <w:rPr>
                <w:sz w:val="18"/>
                <w:szCs w:val="18"/>
              </w:rPr>
            </w:pPr>
            <w:r w:rsidRPr="004C78D8">
              <w:rPr>
                <w:sz w:val="18"/>
                <w:szCs w:val="18"/>
              </w:rPr>
              <w:t>&lt;0.001</w:t>
            </w:r>
          </w:p>
        </w:tc>
      </w:tr>
      <w:tr w:rsidR="00186DF2" w:rsidRPr="004C78D8" w14:paraId="4512D7BB" w14:textId="77777777" w:rsidTr="00E35893">
        <w:tc>
          <w:tcPr>
            <w:tcW w:w="2263" w:type="dxa"/>
            <w:tcBorders>
              <w:top w:val="nil"/>
              <w:bottom w:val="nil"/>
            </w:tcBorders>
          </w:tcPr>
          <w:p w14:paraId="22F06016" w14:textId="3681CB97" w:rsidR="00186DF2" w:rsidRPr="004C78D8" w:rsidRDefault="00186DF2" w:rsidP="00FB7C1F">
            <w:pPr>
              <w:rPr>
                <w:sz w:val="18"/>
                <w:szCs w:val="18"/>
              </w:rPr>
            </w:pPr>
            <w:r w:rsidRPr="004C78D8">
              <w:rPr>
                <w:sz w:val="18"/>
                <w:szCs w:val="18"/>
              </w:rPr>
              <w:t>Community healthcare</w:t>
            </w:r>
          </w:p>
        </w:tc>
        <w:tc>
          <w:tcPr>
            <w:tcW w:w="1701" w:type="dxa"/>
            <w:tcBorders>
              <w:top w:val="nil"/>
              <w:bottom w:val="nil"/>
            </w:tcBorders>
          </w:tcPr>
          <w:p w14:paraId="7AA300A8" w14:textId="27A12140" w:rsidR="00186DF2" w:rsidRPr="004C78D8" w:rsidRDefault="00186DF2" w:rsidP="00FB7C1F">
            <w:pPr>
              <w:jc w:val="center"/>
              <w:rPr>
                <w:sz w:val="18"/>
                <w:szCs w:val="18"/>
              </w:rPr>
            </w:pPr>
            <w:r w:rsidRPr="004C78D8">
              <w:rPr>
                <w:sz w:val="18"/>
                <w:szCs w:val="18"/>
              </w:rPr>
              <w:t>-0.933 (0.341)</w:t>
            </w:r>
          </w:p>
        </w:tc>
        <w:tc>
          <w:tcPr>
            <w:tcW w:w="1701" w:type="dxa"/>
            <w:tcBorders>
              <w:top w:val="nil"/>
              <w:bottom w:val="nil"/>
            </w:tcBorders>
          </w:tcPr>
          <w:p w14:paraId="5A5D36F9" w14:textId="7C67EF42" w:rsidR="00186DF2" w:rsidRPr="004C78D8" w:rsidRDefault="00186DF2" w:rsidP="00FB7C1F">
            <w:pPr>
              <w:jc w:val="center"/>
              <w:rPr>
                <w:sz w:val="18"/>
                <w:szCs w:val="18"/>
              </w:rPr>
            </w:pPr>
            <w:r w:rsidRPr="004C78D8">
              <w:rPr>
                <w:sz w:val="18"/>
                <w:szCs w:val="18"/>
              </w:rPr>
              <w:t>0.006</w:t>
            </w:r>
          </w:p>
        </w:tc>
      </w:tr>
      <w:tr w:rsidR="00186DF2" w:rsidRPr="004C78D8" w14:paraId="0F880D2C" w14:textId="77777777" w:rsidTr="00E35893">
        <w:tc>
          <w:tcPr>
            <w:tcW w:w="2263" w:type="dxa"/>
            <w:tcBorders>
              <w:top w:val="nil"/>
              <w:bottom w:val="nil"/>
            </w:tcBorders>
          </w:tcPr>
          <w:p w14:paraId="383096A1" w14:textId="5A2018C5" w:rsidR="00186DF2" w:rsidRPr="004C78D8" w:rsidRDefault="00186DF2" w:rsidP="00FB7C1F">
            <w:pPr>
              <w:rPr>
                <w:sz w:val="18"/>
                <w:szCs w:val="18"/>
              </w:rPr>
            </w:pPr>
            <w:r w:rsidRPr="004C78D8">
              <w:rPr>
                <w:sz w:val="18"/>
                <w:szCs w:val="18"/>
              </w:rPr>
              <w:t>Social care</w:t>
            </w:r>
          </w:p>
        </w:tc>
        <w:tc>
          <w:tcPr>
            <w:tcW w:w="1701" w:type="dxa"/>
            <w:tcBorders>
              <w:top w:val="nil"/>
              <w:bottom w:val="nil"/>
            </w:tcBorders>
          </w:tcPr>
          <w:p w14:paraId="3B0F73FB" w14:textId="55F519FA" w:rsidR="00186DF2" w:rsidRPr="004C78D8" w:rsidRDefault="00186DF2" w:rsidP="00FB7C1F">
            <w:pPr>
              <w:jc w:val="center"/>
              <w:rPr>
                <w:sz w:val="18"/>
                <w:szCs w:val="18"/>
              </w:rPr>
            </w:pPr>
            <w:r w:rsidRPr="004C78D8">
              <w:rPr>
                <w:sz w:val="18"/>
                <w:szCs w:val="18"/>
              </w:rPr>
              <w:t>-1.023 (0.179)</w:t>
            </w:r>
          </w:p>
        </w:tc>
        <w:tc>
          <w:tcPr>
            <w:tcW w:w="1701" w:type="dxa"/>
            <w:tcBorders>
              <w:top w:val="nil"/>
              <w:bottom w:val="nil"/>
            </w:tcBorders>
          </w:tcPr>
          <w:p w14:paraId="5AE147B0" w14:textId="16DFA0E4" w:rsidR="00186DF2" w:rsidRPr="004C78D8" w:rsidRDefault="00186DF2" w:rsidP="00FB7C1F">
            <w:pPr>
              <w:jc w:val="center"/>
              <w:rPr>
                <w:sz w:val="18"/>
                <w:szCs w:val="18"/>
              </w:rPr>
            </w:pPr>
            <w:r w:rsidRPr="004C78D8">
              <w:rPr>
                <w:sz w:val="18"/>
                <w:szCs w:val="18"/>
              </w:rPr>
              <w:t>&lt;0.001</w:t>
            </w:r>
          </w:p>
        </w:tc>
      </w:tr>
      <w:tr w:rsidR="00186DF2" w:rsidRPr="004C78D8" w14:paraId="398E797D" w14:textId="77777777" w:rsidTr="00E35893">
        <w:tc>
          <w:tcPr>
            <w:tcW w:w="2263" w:type="dxa"/>
            <w:tcBorders>
              <w:top w:val="nil"/>
              <w:bottom w:val="nil"/>
            </w:tcBorders>
          </w:tcPr>
          <w:p w14:paraId="130D5F5D" w14:textId="07AB5AFD" w:rsidR="00186DF2" w:rsidRPr="004C78D8" w:rsidRDefault="00186DF2" w:rsidP="00FB7C1F">
            <w:pPr>
              <w:rPr>
                <w:sz w:val="18"/>
                <w:szCs w:val="18"/>
              </w:rPr>
            </w:pPr>
            <w:r w:rsidRPr="004C78D8">
              <w:rPr>
                <w:sz w:val="18"/>
                <w:szCs w:val="18"/>
              </w:rPr>
              <w:t>OOP care</w:t>
            </w:r>
          </w:p>
        </w:tc>
        <w:tc>
          <w:tcPr>
            <w:tcW w:w="1701" w:type="dxa"/>
            <w:tcBorders>
              <w:top w:val="nil"/>
              <w:bottom w:val="nil"/>
            </w:tcBorders>
          </w:tcPr>
          <w:p w14:paraId="031034A7" w14:textId="5BCF4020" w:rsidR="00186DF2" w:rsidRPr="004C78D8" w:rsidRDefault="00186DF2" w:rsidP="00FB7C1F">
            <w:pPr>
              <w:jc w:val="center"/>
              <w:rPr>
                <w:sz w:val="18"/>
                <w:szCs w:val="18"/>
              </w:rPr>
            </w:pPr>
            <w:r w:rsidRPr="004C78D8">
              <w:rPr>
                <w:sz w:val="18"/>
                <w:szCs w:val="18"/>
              </w:rPr>
              <w:t>-0.300 (0.156)</w:t>
            </w:r>
          </w:p>
        </w:tc>
        <w:tc>
          <w:tcPr>
            <w:tcW w:w="1701" w:type="dxa"/>
            <w:tcBorders>
              <w:top w:val="nil"/>
              <w:bottom w:val="nil"/>
            </w:tcBorders>
          </w:tcPr>
          <w:p w14:paraId="1FC0912F" w14:textId="2F686C47" w:rsidR="00186DF2" w:rsidRPr="004C78D8" w:rsidRDefault="00186DF2" w:rsidP="00FB7C1F">
            <w:pPr>
              <w:jc w:val="center"/>
              <w:rPr>
                <w:sz w:val="18"/>
                <w:szCs w:val="18"/>
              </w:rPr>
            </w:pPr>
            <w:r w:rsidRPr="004C78D8">
              <w:rPr>
                <w:sz w:val="18"/>
                <w:szCs w:val="18"/>
              </w:rPr>
              <w:t>0.055</w:t>
            </w:r>
          </w:p>
        </w:tc>
      </w:tr>
      <w:tr w:rsidR="00186DF2" w:rsidRPr="004C78D8" w14:paraId="3CA625E3" w14:textId="77777777" w:rsidTr="00E35893">
        <w:tc>
          <w:tcPr>
            <w:tcW w:w="2263" w:type="dxa"/>
            <w:tcBorders>
              <w:top w:val="nil"/>
            </w:tcBorders>
          </w:tcPr>
          <w:p w14:paraId="49857532" w14:textId="7A596AC4" w:rsidR="00186DF2" w:rsidRPr="004C78D8" w:rsidRDefault="00186DF2" w:rsidP="00FB7C1F">
            <w:pPr>
              <w:rPr>
                <w:sz w:val="18"/>
                <w:szCs w:val="18"/>
              </w:rPr>
            </w:pPr>
            <w:r w:rsidRPr="004C78D8">
              <w:rPr>
                <w:sz w:val="18"/>
                <w:szCs w:val="18"/>
              </w:rPr>
              <w:t>Informal care</w:t>
            </w:r>
          </w:p>
        </w:tc>
        <w:tc>
          <w:tcPr>
            <w:tcW w:w="1701" w:type="dxa"/>
            <w:tcBorders>
              <w:top w:val="nil"/>
            </w:tcBorders>
          </w:tcPr>
          <w:p w14:paraId="1FEDCB25" w14:textId="0EF39929" w:rsidR="00186DF2" w:rsidRPr="004C78D8" w:rsidRDefault="00186DF2" w:rsidP="00FB7C1F">
            <w:pPr>
              <w:jc w:val="center"/>
              <w:rPr>
                <w:sz w:val="18"/>
                <w:szCs w:val="18"/>
              </w:rPr>
            </w:pPr>
            <w:r w:rsidRPr="004C78D8">
              <w:rPr>
                <w:sz w:val="18"/>
                <w:szCs w:val="18"/>
              </w:rPr>
              <w:t>-0.345 (0.072)</w:t>
            </w:r>
          </w:p>
        </w:tc>
        <w:tc>
          <w:tcPr>
            <w:tcW w:w="1701" w:type="dxa"/>
            <w:tcBorders>
              <w:top w:val="nil"/>
            </w:tcBorders>
          </w:tcPr>
          <w:p w14:paraId="009704F7" w14:textId="01EA9CCC" w:rsidR="00186DF2" w:rsidRPr="004C78D8" w:rsidRDefault="00186DF2" w:rsidP="00FB7C1F">
            <w:pPr>
              <w:jc w:val="center"/>
              <w:rPr>
                <w:sz w:val="18"/>
                <w:szCs w:val="18"/>
              </w:rPr>
            </w:pPr>
            <w:r w:rsidRPr="004C78D8">
              <w:rPr>
                <w:sz w:val="18"/>
                <w:szCs w:val="18"/>
              </w:rPr>
              <w:t>&lt;0.001</w:t>
            </w:r>
          </w:p>
        </w:tc>
      </w:tr>
      <w:tr w:rsidR="00186DF2" w:rsidRPr="004C78D8" w14:paraId="523647B7" w14:textId="77777777" w:rsidTr="00E35893">
        <w:tc>
          <w:tcPr>
            <w:tcW w:w="5665" w:type="dxa"/>
            <w:gridSpan w:val="3"/>
          </w:tcPr>
          <w:p w14:paraId="38117EFA" w14:textId="3ED6A479" w:rsidR="00B81190" w:rsidRPr="004C78D8" w:rsidRDefault="00D10D5E" w:rsidP="00FB7C1F">
            <w:pPr>
              <w:rPr>
                <w:sz w:val="18"/>
                <w:szCs w:val="18"/>
                <w:vertAlign w:val="superscript"/>
              </w:rPr>
            </w:pPr>
            <w:r w:rsidRPr="004C78D8">
              <w:rPr>
                <w:b/>
                <w:bCs/>
                <w:sz w:val="18"/>
                <w:szCs w:val="18"/>
              </w:rPr>
              <w:t>Abbreviation</w:t>
            </w:r>
            <w:r w:rsidR="00B81190" w:rsidRPr="004C78D8">
              <w:rPr>
                <w:b/>
                <w:bCs/>
                <w:sz w:val="18"/>
                <w:szCs w:val="18"/>
              </w:rPr>
              <w:t>:</w:t>
            </w:r>
            <w:r w:rsidR="00B81190" w:rsidRPr="004C78D8">
              <w:rPr>
                <w:sz w:val="18"/>
                <w:szCs w:val="18"/>
              </w:rPr>
              <w:t xml:space="preserve"> ELSA: English Longitudinal Study of Ageing; MA fall: fall requiring medical attention; </w:t>
            </w:r>
            <w:r w:rsidR="00AA3380" w:rsidRPr="004C78D8">
              <w:rPr>
                <w:sz w:val="18"/>
                <w:szCs w:val="18"/>
              </w:rPr>
              <w:t>OOP: out-of-pocket;</w:t>
            </w:r>
            <w:r w:rsidR="00AA3380" w:rsidRPr="004C78D8">
              <w:rPr>
                <w:sz w:val="18"/>
                <w:szCs w:val="18"/>
                <w:vertAlign w:val="superscript"/>
              </w:rPr>
              <w:t xml:space="preserve"> </w:t>
            </w:r>
            <w:r w:rsidR="00B81190" w:rsidRPr="004C78D8">
              <w:rPr>
                <w:sz w:val="18"/>
                <w:szCs w:val="18"/>
              </w:rPr>
              <w:t xml:space="preserve">Ref: reference; SE: standard error; </w:t>
            </w:r>
            <w:r w:rsidR="00AA3380" w:rsidRPr="004C78D8">
              <w:rPr>
                <w:sz w:val="18"/>
                <w:szCs w:val="18"/>
              </w:rPr>
              <w:t>SES: socioeconomic status</w:t>
            </w:r>
          </w:p>
          <w:p w14:paraId="4D084B1C" w14:textId="6C75CA09" w:rsidR="00186DF2" w:rsidRPr="004C78D8" w:rsidRDefault="00CA23F3" w:rsidP="00FB7C1F">
            <w:pPr>
              <w:rPr>
                <w:sz w:val="20"/>
                <w:szCs w:val="20"/>
              </w:rPr>
            </w:pPr>
            <w:r w:rsidRPr="004C78D8">
              <w:rPr>
                <w:sz w:val="18"/>
                <w:szCs w:val="18"/>
                <w:vertAlign w:val="superscript"/>
              </w:rPr>
              <w:t>1</w:t>
            </w:r>
            <w:r w:rsidRPr="004C78D8">
              <w:rPr>
                <w:sz w:val="18"/>
                <w:szCs w:val="18"/>
              </w:rPr>
              <w:t xml:space="preserve"> Sample was restricted to those who did not receive reactive falls prevention intervention that year</w:t>
            </w:r>
            <w:r w:rsidR="007645E1" w:rsidRPr="004C78D8">
              <w:rPr>
                <w:sz w:val="18"/>
                <w:szCs w:val="18"/>
              </w:rPr>
              <w:t>.</w:t>
            </w:r>
          </w:p>
        </w:tc>
      </w:tr>
    </w:tbl>
    <w:p w14:paraId="3DB5C43D" w14:textId="092F99D5" w:rsidR="005E77DE" w:rsidRPr="004C78D8" w:rsidRDefault="005E77DE" w:rsidP="00FB7C1F"/>
    <w:p w14:paraId="2DADF4AE" w14:textId="5FD4BF92" w:rsidR="00CD7848" w:rsidRPr="004C78D8" w:rsidRDefault="00CD7848" w:rsidP="00FB7C1F">
      <w:r w:rsidRPr="004C78D8">
        <w:t xml:space="preserve">Older individuals were likelier to visit the GP, </w:t>
      </w:r>
      <w:r w:rsidR="007806F0" w:rsidRPr="004C78D8">
        <w:t>and</w:t>
      </w:r>
      <w:r w:rsidRPr="004C78D8">
        <w:t xml:space="preserve"> women less so. There was a </w:t>
      </w:r>
      <w:r w:rsidR="00A23066" w:rsidRPr="004C78D8">
        <w:t xml:space="preserve">SES </w:t>
      </w:r>
      <w:r w:rsidRPr="004C78D8">
        <w:t xml:space="preserve">gradient in GP contact in favour of more deprived </w:t>
      </w:r>
      <w:r w:rsidR="00A23066" w:rsidRPr="004C78D8">
        <w:t>quartiles</w:t>
      </w:r>
      <w:r w:rsidRPr="004C78D8">
        <w:t xml:space="preserve">. Falls of all types were predictors of GP contact, suggesting that GPs are well-positioned to identify high-risk individuals with fall history. </w:t>
      </w:r>
      <w:r w:rsidR="007806F0" w:rsidRPr="004C78D8">
        <w:t>But</w:t>
      </w:r>
      <w:r w:rsidRPr="004C78D8">
        <w:t xml:space="preserve"> those with abnormal gait/balance were less likely to visit their GPs which reduces the probability of GPs identifying high-risk individuals. Higher frailty score was associated with increased probability. Cognitive</w:t>
      </w:r>
      <w:r w:rsidR="000453B2" w:rsidRPr="004C78D8">
        <w:t>ly</w:t>
      </w:r>
      <w:r w:rsidRPr="004C78D8">
        <w:t xml:space="preserve"> impaired persons were less likely to visit, while those with fear of falling were likelier.</w:t>
      </w:r>
      <w:r w:rsidR="006765CE" w:rsidRPr="004C78D8">
        <w:t xml:space="preserve"> There were also significant associations between receipt of other forms of care and the GP visit</w:t>
      </w:r>
      <w:r w:rsidR="000453B2" w:rsidRPr="004C78D8">
        <w:t xml:space="preserve"> probability</w:t>
      </w:r>
      <w:r w:rsidR="006765CE" w:rsidRPr="004C78D8">
        <w:t xml:space="preserve">. </w:t>
      </w:r>
    </w:p>
    <w:p w14:paraId="01EA4B2F" w14:textId="355A4C10" w:rsidR="00A76DCC" w:rsidRPr="004C78D8" w:rsidRDefault="004E5AC4" w:rsidP="00FB7C1F">
      <w:r w:rsidRPr="004C78D8">
        <w:t>For falls risk screening at GP contact, all persons in the target population (aged 60</w:t>
      </w:r>
      <w:r w:rsidR="00B90CF6" w:rsidRPr="004C78D8">
        <w:t>+</w:t>
      </w:r>
      <w:r w:rsidRPr="004C78D8">
        <w:t xml:space="preserve">) were assumed to be eligible. This deviates from the NICE recommendation that screening </w:t>
      </w:r>
      <w:r w:rsidR="00AD63F5" w:rsidRPr="004C78D8">
        <w:t>be targeted at</w:t>
      </w:r>
      <w:r w:rsidRPr="004C78D8">
        <w:t xml:space="preserve"> those aged 65</w:t>
      </w:r>
      <w:r w:rsidR="00C126D2" w:rsidRPr="004C78D8">
        <w:t xml:space="preserve">+ </w:t>
      </w:r>
      <w:r w:rsidR="000453B2" w:rsidRPr="004C78D8">
        <w:fldChar w:fldCharType="begin"/>
      </w:r>
      <w:r w:rsidR="00F255A9"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000453B2" w:rsidRPr="004C78D8">
        <w:fldChar w:fldCharType="separate"/>
      </w:r>
      <w:r w:rsidR="00F255A9" w:rsidRPr="004C78D8">
        <w:rPr>
          <w:noProof/>
        </w:rPr>
        <w:t>[13]</w:t>
      </w:r>
      <w:r w:rsidR="000453B2" w:rsidRPr="004C78D8">
        <w:fldChar w:fldCharType="end"/>
      </w:r>
      <w:r w:rsidR="000453B2" w:rsidRPr="004C78D8">
        <w:t xml:space="preserve">, </w:t>
      </w:r>
      <w:r w:rsidR="00516004" w:rsidRPr="004C78D8">
        <w:t xml:space="preserve">but was consistent with the stakeholder preference </w:t>
      </w:r>
      <w:r w:rsidR="001445D7" w:rsidRPr="004C78D8">
        <w:t>for</w:t>
      </w:r>
      <w:r w:rsidR="00516004" w:rsidRPr="004C78D8">
        <w:t xml:space="preserve"> early prevention. </w:t>
      </w:r>
      <w:r w:rsidR="001445D7" w:rsidRPr="004C78D8">
        <w:t>C</w:t>
      </w:r>
      <w:r w:rsidR="00B53F30" w:rsidRPr="004C78D8">
        <w:t xml:space="preserve">ognitively impaired persons </w:t>
      </w:r>
      <w:r w:rsidR="008651BC" w:rsidRPr="004C78D8">
        <w:t xml:space="preserve">and those with intervention history </w:t>
      </w:r>
      <w:r w:rsidR="00B53F30" w:rsidRPr="004C78D8">
        <w:t>still receive</w:t>
      </w:r>
      <w:r w:rsidR="008651BC" w:rsidRPr="004C78D8">
        <w:t>d</w:t>
      </w:r>
      <w:r w:rsidR="00B53F30" w:rsidRPr="004C78D8">
        <w:t xml:space="preserve"> falls risk screening </w:t>
      </w:r>
      <w:r w:rsidR="008651BC" w:rsidRPr="004C78D8">
        <w:t xml:space="preserve">under </w:t>
      </w:r>
      <w:r w:rsidR="00C126D2" w:rsidRPr="004C78D8">
        <w:t>UC</w:t>
      </w:r>
      <w:r w:rsidR="008651BC" w:rsidRPr="004C78D8">
        <w:t xml:space="preserve"> even though they would not be referred to the multifactorial intervention. This was consistent with </w:t>
      </w:r>
      <w:r w:rsidR="00C126D2" w:rsidRPr="004C78D8">
        <w:t xml:space="preserve">the </w:t>
      </w:r>
      <w:r w:rsidR="008651BC" w:rsidRPr="004C78D8">
        <w:t>falls specialist geriatrician</w:t>
      </w:r>
      <w:r w:rsidR="00C126D2" w:rsidRPr="004C78D8">
        <w:t>’s</w:t>
      </w:r>
      <w:r w:rsidR="008651BC" w:rsidRPr="004C78D8">
        <w:t xml:space="preserve"> opinion that falls risk among these subgroups should still be monitored in primary care even if they are referred to different services. </w:t>
      </w:r>
      <w:r w:rsidR="00AD63F5" w:rsidRPr="004C78D8">
        <w:t xml:space="preserve">The key difference between </w:t>
      </w:r>
      <w:r w:rsidR="00C126D2" w:rsidRPr="004C78D8">
        <w:t>UC and RC</w:t>
      </w:r>
      <w:r w:rsidR="00AD63F5" w:rsidRPr="004C78D8">
        <w:t xml:space="preserve"> was the level of screening</w:t>
      </w:r>
      <w:r w:rsidR="00C327A4" w:rsidRPr="004C78D8">
        <w:t xml:space="preserve"> access</w:t>
      </w:r>
      <w:r w:rsidR="00AD63F5" w:rsidRPr="004C78D8">
        <w:t xml:space="preserve">. </w:t>
      </w:r>
      <w:r w:rsidR="00C7448A" w:rsidRPr="004C78D8">
        <w:t xml:space="preserve">To </w:t>
      </w:r>
      <w:r w:rsidR="00C126D2" w:rsidRPr="004C78D8">
        <w:t>parameterise</w:t>
      </w:r>
      <w:r w:rsidR="00C7448A" w:rsidRPr="004C78D8">
        <w:t xml:space="preserve"> the screening access under </w:t>
      </w:r>
      <w:r w:rsidR="00C126D2" w:rsidRPr="004C78D8">
        <w:t>UC</w:t>
      </w:r>
      <w:r w:rsidR="00C7448A" w:rsidRPr="004C78D8">
        <w:t xml:space="preserve">, </w:t>
      </w:r>
      <w:r w:rsidR="00C327A4" w:rsidRPr="004C78D8">
        <w:t xml:space="preserve">ELSA </w:t>
      </w:r>
      <w:r w:rsidR="00C7448A" w:rsidRPr="004C78D8">
        <w:t xml:space="preserve">data was used. As for the reactive pathway, </w:t>
      </w:r>
      <w:r w:rsidR="008E21E8" w:rsidRPr="004C78D8">
        <w:t xml:space="preserve">a composite variable was created from </w:t>
      </w:r>
      <w:r w:rsidR="00C7448A" w:rsidRPr="004C78D8">
        <w:t xml:space="preserve">ELSA </w:t>
      </w:r>
      <w:r w:rsidR="008E21E8" w:rsidRPr="004C78D8">
        <w:t>to measure</w:t>
      </w:r>
      <w:r w:rsidR="00C7448A" w:rsidRPr="004C78D8">
        <w:t xml:space="preserve"> whether the individual had received fall risk screening in the past year. </w:t>
      </w:r>
      <w:r w:rsidR="008E21E8" w:rsidRPr="004C78D8">
        <w:t xml:space="preserve">According to this variable, </w:t>
      </w:r>
      <w:r w:rsidR="009A742D" w:rsidRPr="004C78D8">
        <w:t>31</w:t>
      </w:r>
      <w:r w:rsidR="008E21E8" w:rsidRPr="004C78D8">
        <w:t>.</w:t>
      </w:r>
      <w:r w:rsidR="009A742D" w:rsidRPr="004C78D8">
        <w:t>4</w:t>
      </w:r>
      <w:r w:rsidR="008E21E8" w:rsidRPr="004C78D8">
        <w:t>% of the ELSA cohort aged 6</w:t>
      </w:r>
      <w:r w:rsidR="00740628" w:rsidRPr="004C78D8">
        <w:t>0</w:t>
      </w:r>
      <w:r w:rsidR="00C126D2" w:rsidRPr="004C78D8">
        <w:t>+</w:t>
      </w:r>
      <w:r w:rsidR="008E21E8" w:rsidRPr="004C78D8">
        <w:t xml:space="preserve"> who </w:t>
      </w:r>
      <w:r w:rsidR="00F05029" w:rsidRPr="004C78D8">
        <w:t>had a history of recurrent non-MA falls or MA fall(s)</w:t>
      </w:r>
      <w:r w:rsidR="00C126D2" w:rsidRPr="004C78D8">
        <w:t xml:space="preserve"> (but</w:t>
      </w:r>
      <w:r w:rsidR="00F05029" w:rsidRPr="004C78D8">
        <w:t xml:space="preserve"> </w:t>
      </w:r>
      <w:r w:rsidR="008E21E8" w:rsidRPr="004C78D8">
        <w:t xml:space="preserve">did not receive </w:t>
      </w:r>
      <w:r w:rsidR="00C126D2" w:rsidRPr="004C78D8">
        <w:t>the</w:t>
      </w:r>
      <w:r w:rsidR="008E21E8" w:rsidRPr="004C78D8">
        <w:t xml:space="preserve"> reactive intervention</w:t>
      </w:r>
      <w:r w:rsidR="00C126D2" w:rsidRPr="004C78D8">
        <w:t>)</w:t>
      </w:r>
      <w:r w:rsidR="00B82637" w:rsidRPr="004C78D8">
        <w:t xml:space="preserve"> </w:t>
      </w:r>
      <w:r w:rsidR="008E21E8" w:rsidRPr="004C78D8">
        <w:t xml:space="preserve">received </w:t>
      </w:r>
      <w:r w:rsidR="00C327A4" w:rsidRPr="004C78D8">
        <w:t>falls risk screening</w:t>
      </w:r>
      <w:r w:rsidR="008E21E8" w:rsidRPr="004C78D8">
        <w:t>.</w:t>
      </w:r>
      <w:r w:rsidR="009D7549" w:rsidRPr="004C78D8">
        <w:rPr>
          <w:rStyle w:val="FootnoteReference"/>
        </w:rPr>
        <w:footnoteReference w:id="4"/>
      </w:r>
      <w:r w:rsidR="008E21E8" w:rsidRPr="004C78D8">
        <w:t xml:space="preserve"> </w:t>
      </w:r>
      <w:r w:rsidR="00A76DCC" w:rsidRPr="004C78D8">
        <w:t xml:space="preserve">A </w:t>
      </w:r>
      <w:r w:rsidR="001C27AF" w:rsidRPr="004C78D8">
        <w:t xml:space="preserve">multivariate </w:t>
      </w:r>
      <w:r w:rsidR="00A76DCC" w:rsidRPr="004C78D8">
        <w:t xml:space="preserve">regression showed no significant association </w:t>
      </w:r>
      <w:r w:rsidR="00C126D2" w:rsidRPr="004C78D8">
        <w:t xml:space="preserve">between access rate and individual characteristics </w:t>
      </w:r>
      <w:r w:rsidR="00A76DCC" w:rsidRPr="004C78D8">
        <w:t xml:space="preserve">except </w:t>
      </w:r>
      <w:r w:rsidR="00C126D2" w:rsidRPr="004C78D8">
        <w:t>for</w:t>
      </w:r>
      <w:r w:rsidR="00A76DCC" w:rsidRPr="004C78D8">
        <w:t xml:space="preserve"> </w:t>
      </w:r>
      <w:r w:rsidR="00C327A4" w:rsidRPr="004C78D8">
        <w:t>frailty</w:t>
      </w:r>
      <w:r w:rsidR="00A76DCC" w:rsidRPr="004C78D8">
        <w:t xml:space="preserve">. Therefore, the </w:t>
      </w:r>
      <w:r w:rsidR="00FC10D2" w:rsidRPr="004C78D8">
        <w:t>modelled</w:t>
      </w:r>
      <w:r w:rsidR="00A76DCC" w:rsidRPr="004C78D8">
        <w:t xml:space="preserve"> rate varied by frailty</w:t>
      </w:r>
      <w:r w:rsidR="00F05029" w:rsidRPr="004C78D8">
        <w:t xml:space="preserve"> (given recurrent non-MA or MA falls history)</w:t>
      </w:r>
      <w:r w:rsidR="00A76DCC" w:rsidRPr="004C78D8">
        <w:t xml:space="preserve">: </w:t>
      </w:r>
      <w:r w:rsidR="000278D4" w:rsidRPr="004C78D8">
        <w:t>12</w:t>
      </w:r>
      <w:r w:rsidR="004318D6" w:rsidRPr="004C78D8">
        <w:t>.</w:t>
      </w:r>
      <w:r w:rsidR="000278D4" w:rsidRPr="004C78D8">
        <w:t>0</w:t>
      </w:r>
      <w:r w:rsidR="00A76DCC" w:rsidRPr="004C78D8">
        <w:t xml:space="preserve">% if Fit; </w:t>
      </w:r>
      <w:r w:rsidR="000278D4" w:rsidRPr="004C78D8">
        <w:t>15</w:t>
      </w:r>
      <w:r w:rsidR="004318D6" w:rsidRPr="004C78D8">
        <w:t>.</w:t>
      </w:r>
      <w:r w:rsidR="000278D4" w:rsidRPr="004C78D8">
        <w:t>1</w:t>
      </w:r>
      <w:r w:rsidR="004318D6" w:rsidRPr="004C78D8">
        <w:t xml:space="preserve">% </w:t>
      </w:r>
      <w:r w:rsidR="00A76DCC" w:rsidRPr="004C78D8">
        <w:t xml:space="preserve">Mild; </w:t>
      </w:r>
      <w:r w:rsidR="000278D4" w:rsidRPr="004C78D8">
        <w:t>19</w:t>
      </w:r>
      <w:r w:rsidR="00A76DCC" w:rsidRPr="004C78D8">
        <w:t>.</w:t>
      </w:r>
      <w:r w:rsidR="000278D4" w:rsidRPr="004C78D8">
        <w:t>7</w:t>
      </w:r>
      <w:r w:rsidR="00A76DCC" w:rsidRPr="004C78D8">
        <w:t xml:space="preserve">% Moderate; and </w:t>
      </w:r>
      <w:r w:rsidR="000278D4" w:rsidRPr="004C78D8">
        <w:t>21</w:t>
      </w:r>
      <w:r w:rsidR="00A76DCC" w:rsidRPr="004C78D8">
        <w:t>.</w:t>
      </w:r>
      <w:r w:rsidR="00B80B0A" w:rsidRPr="004C78D8">
        <w:t>9</w:t>
      </w:r>
      <w:r w:rsidR="00A76DCC" w:rsidRPr="004C78D8">
        <w:t xml:space="preserve">% Severe. </w:t>
      </w:r>
      <w:r w:rsidR="001445D7" w:rsidRPr="004C78D8">
        <w:t>T</w:t>
      </w:r>
      <w:r w:rsidR="00FD764A" w:rsidRPr="004C78D8">
        <w:t>he rate was 100%</w:t>
      </w:r>
      <w:r w:rsidR="001445D7" w:rsidRPr="004C78D8">
        <w:t xml:space="preserve"> for RC</w:t>
      </w:r>
      <w:r w:rsidR="00FD764A" w:rsidRPr="004C78D8">
        <w:t xml:space="preserve">. </w:t>
      </w:r>
    </w:p>
    <w:p w14:paraId="2042698C" w14:textId="11FDADA2" w:rsidR="00101DAB" w:rsidRPr="004C78D8" w:rsidRDefault="00205003" w:rsidP="00FB7C1F">
      <w:r w:rsidRPr="004C78D8">
        <w:t xml:space="preserve">The referral to falls prevention intervention after the screening differed </w:t>
      </w:r>
      <w:r w:rsidR="00137B50" w:rsidRPr="004C78D8">
        <w:t>significantly</w:t>
      </w:r>
      <w:r w:rsidRPr="004C78D8">
        <w:t xml:space="preserve"> between </w:t>
      </w:r>
      <w:r w:rsidR="00FC10D2" w:rsidRPr="004C78D8">
        <w:t>UC and RC</w:t>
      </w:r>
      <w:r w:rsidRPr="004C78D8">
        <w:t xml:space="preserve">. Under </w:t>
      </w:r>
      <w:r w:rsidR="00FC10D2" w:rsidRPr="004C78D8">
        <w:t>UC</w:t>
      </w:r>
      <w:r w:rsidRPr="004C78D8">
        <w:t xml:space="preserve">, only cognitively intact persons without intervention history were </w:t>
      </w:r>
      <w:r w:rsidR="00137B50" w:rsidRPr="004C78D8">
        <w:t xml:space="preserve">eligible for </w:t>
      </w:r>
      <w:r w:rsidRPr="004C78D8">
        <w:t>multifactorial intervention</w:t>
      </w:r>
      <w:r w:rsidR="00137B50" w:rsidRPr="004C78D8">
        <w:t>. ELSA contained variables that indicated the receipt of physiotherapy and</w:t>
      </w:r>
      <w:r w:rsidR="00163505" w:rsidRPr="004C78D8">
        <w:t>/or</w:t>
      </w:r>
      <w:r w:rsidR="00137B50" w:rsidRPr="004C78D8">
        <w:t xml:space="preserve"> HAM</w:t>
      </w:r>
      <w:r w:rsidR="00911E7E" w:rsidRPr="004C78D8">
        <w:t xml:space="preserve">. </w:t>
      </w:r>
      <w:r w:rsidR="009D7549" w:rsidRPr="004C78D8">
        <w:t>These</w:t>
      </w:r>
      <w:r w:rsidR="00911E7E" w:rsidRPr="004C78D8">
        <w:t xml:space="preserve"> were used to create a composite variable </w:t>
      </w:r>
      <w:r w:rsidR="000943F8" w:rsidRPr="004C78D8">
        <w:t>which showed that</w:t>
      </w:r>
      <w:r w:rsidR="00911E7E" w:rsidRPr="004C78D8">
        <w:t xml:space="preserve"> 33.5% of </w:t>
      </w:r>
      <w:r w:rsidR="00846B24" w:rsidRPr="004C78D8">
        <w:t>cognitively intact individuals</w:t>
      </w:r>
      <w:r w:rsidR="00911E7E" w:rsidRPr="004C78D8">
        <w:t xml:space="preserve"> who received falls risk screening subsequently received any falls prevention treatment. </w:t>
      </w:r>
      <w:r w:rsidR="00846B24" w:rsidRPr="004C78D8">
        <w:t>The recipients comprised 1.0% of the ELSA cohort</w:t>
      </w:r>
      <w:r w:rsidR="009A7247" w:rsidRPr="004C78D8">
        <w:t xml:space="preserve"> aged 65</w:t>
      </w:r>
      <w:r w:rsidR="00FC10D2" w:rsidRPr="004C78D8">
        <w:t>+</w:t>
      </w:r>
      <w:r w:rsidR="00846B24" w:rsidRPr="004C78D8">
        <w:t xml:space="preserve">, which, if applied to the Sheffield population, would constitute around </w:t>
      </w:r>
      <w:r w:rsidR="00FC10D2" w:rsidRPr="004C78D8">
        <w:t>1,0</w:t>
      </w:r>
      <w:r w:rsidR="00846B24" w:rsidRPr="004C78D8">
        <w:t xml:space="preserve">00 clients per year. </w:t>
      </w:r>
      <w:r w:rsidR="009A7247" w:rsidRPr="004C78D8">
        <w:t>This is consistent with the currently low access rate in Sheffield</w:t>
      </w:r>
      <w:r w:rsidR="001C27AF" w:rsidRPr="004C78D8">
        <w:t xml:space="preserve">. </w:t>
      </w:r>
      <w:r w:rsidR="006B0A1C" w:rsidRPr="004C78D8">
        <w:t xml:space="preserve">A multivariate regression showed no significant association between access rate and individual characteristics except </w:t>
      </w:r>
      <w:r w:rsidR="00FC10D2" w:rsidRPr="004C78D8">
        <w:t xml:space="preserve">for </w:t>
      </w:r>
      <w:r w:rsidR="006B0A1C" w:rsidRPr="004C78D8">
        <w:t xml:space="preserve">frailty. Therefore, the </w:t>
      </w:r>
      <w:r w:rsidR="00FC10D2" w:rsidRPr="004C78D8">
        <w:t>modelled</w:t>
      </w:r>
      <w:r w:rsidR="006B0A1C" w:rsidRPr="004C78D8">
        <w:t xml:space="preserve"> access rate </w:t>
      </w:r>
      <w:r w:rsidR="00FC10D2" w:rsidRPr="004C78D8">
        <w:t>varied</w:t>
      </w:r>
      <w:r w:rsidR="006B0A1C" w:rsidRPr="004C78D8">
        <w:t xml:space="preserve"> by frailty category: </w:t>
      </w:r>
      <w:r w:rsidR="00101DAB" w:rsidRPr="004C78D8">
        <w:t>10</w:t>
      </w:r>
      <w:r w:rsidR="006B0A1C" w:rsidRPr="004C78D8">
        <w:t>.</w:t>
      </w:r>
      <w:r w:rsidR="00101DAB" w:rsidRPr="004C78D8">
        <w:t>9</w:t>
      </w:r>
      <w:r w:rsidR="006B0A1C" w:rsidRPr="004C78D8">
        <w:t xml:space="preserve">% if Fit; </w:t>
      </w:r>
      <w:r w:rsidR="00101DAB" w:rsidRPr="004C78D8">
        <w:t>24</w:t>
      </w:r>
      <w:r w:rsidR="006B0A1C" w:rsidRPr="004C78D8">
        <w:t>.</w:t>
      </w:r>
      <w:r w:rsidR="00101DAB" w:rsidRPr="004C78D8">
        <w:t>7</w:t>
      </w:r>
      <w:r w:rsidR="006B0A1C" w:rsidRPr="004C78D8">
        <w:t xml:space="preserve">% Mild; </w:t>
      </w:r>
      <w:r w:rsidR="00101DAB" w:rsidRPr="004C78D8">
        <w:t>53</w:t>
      </w:r>
      <w:r w:rsidR="006B0A1C" w:rsidRPr="004C78D8">
        <w:t>.</w:t>
      </w:r>
      <w:r w:rsidR="00101DAB" w:rsidRPr="004C78D8">
        <w:t>6</w:t>
      </w:r>
      <w:r w:rsidR="006B0A1C" w:rsidRPr="004C78D8">
        <w:t xml:space="preserve">% Moderate; and </w:t>
      </w:r>
      <w:r w:rsidR="00101DAB" w:rsidRPr="004C78D8">
        <w:t>100</w:t>
      </w:r>
      <w:r w:rsidR="006B0A1C" w:rsidRPr="004C78D8">
        <w:t xml:space="preserve">% Severe. </w:t>
      </w:r>
      <w:r w:rsidR="009770A3" w:rsidRPr="004C78D8">
        <w:t xml:space="preserve">Those with </w:t>
      </w:r>
      <w:r w:rsidR="009D7549" w:rsidRPr="004C78D8">
        <w:t xml:space="preserve">proactive intervention </w:t>
      </w:r>
      <w:r w:rsidR="009770A3" w:rsidRPr="004C78D8">
        <w:t xml:space="preserve">history were excluded from referral from the second model cycle. </w:t>
      </w:r>
    </w:p>
    <w:p w14:paraId="50FFBAC7" w14:textId="0636C839" w:rsidR="00570DC3" w:rsidRPr="004C78D8" w:rsidRDefault="00570DC3" w:rsidP="00FB7C1F">
      <w:r w:rsidRPr="004C78D8">
        <w:t>Under</w:t>
      </w:r>
      <w:r w:rsidR="006B0A1C" w:rsidRPr="004C78D8">
        <w:t xml:space="preserve"> </w:t>
      </w:r>
      <w:r w:rsidR="00FC10D2" w:rsidRPr="004C78D8">
        <w:t>RC</w:t>
      </w:r>
      <w:r w:rsidR="006B0A1C" w:rsidRPr="004C78D8">
        <w:t xml:space="preserve">, </w:t>
      </w:r>
      <w:r w:rsidRPr="004C78D8">
        <w:t xml:space="preserve">all individuals deemed to be at high falls risk were eligible for </w:t>
      </w:r>
      <w:r w:rsidR="00E20FBE" w:rsidRPr="004C78D8">
        <w:t>proactive</w:t>
      </w:r>
      <w:r w:rsidRPr="004C78D8">
        <w:t xml:space="preserve"> intervention </w:t>
      </w:r>
      <w:r w:rsidR="00E20FBE" w:rsidRPr="004C78D8">
        <w:t>according to</w:t>
      </w:r>
      <w:r w:rsidRPr="004C78D8">
        <w:t xml:space="preserve"> their cognitive status. The NICE criteria were used to determine high falls risk: i.e., recurrent non-MA falls history or MA fall history without reactive intervention access and/or abnormal gait/balance</w:t>
      </w:r>
      <w:r w:rsidR="009D7549" w:rsidRPr="004C78D8">
        <w:t xml:space="preserve"> </w:t>
      </w:r>
      <w:r w:rsidR="009D7549" w:rsidRPr="004C78D8">
        <w:fldChar w:fldCharType="begin"/>
      </w:r>
      <w:r w:rsidR="00F255A9"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009D7549" w:rsidRPr="004C78D8">
        <w:fldChar w:fldCharType="separate"/>
      </w:r>
      <w:r w:rsidR="00F255A9" w:rsidRPr="004C78D8">
        <w:rPr>
          <w:noProof/>
        </w:rPr>
        <w:t>[13]</w:t>
      </w:r>
      <w:r w:rsidR="009D7549" w:rsidRPr="004C78D8">
        <w:fldChar w:fldCharType="end"/>
      </w:r>
      <w:r w:rsidRPr="004C78D8">
        <w:t xml:space="preserve">. The intervention supply would expand to accommodate all referred persons, but the final access would depend on demand estimated from </w:t>
      </w:r>
      <w:r w:rsidR="00E20FBE" w:rsidRPr="004C78D8">
        <w:t>uptake</w:t>
      </w:r>
      <w:r w:rsidRPr="004C78D8">
        <w:t xml:space="preserve"> rates in UK-based RCTs</w:t>
      </w:r>
      <w:r w:rsidR="007F0238" w:rsidRPr="004C78D8">
        <w:t xml:space="preserve">: 82.4% for cognitively intact persons </w:t>
      </w:r>
      <w:r w:rsidR="009D7549" w:rsidRPr="004C78D8">
        <w:fldChar w:fldCharType="begin"/>
      </w:r>
      <w:r w:rsidR="00C630FC" w:rsidRPr="004C78D8">
        <w:instrText xml:space="preserve"> ADDIN EN.CITE &lt;EndNote&gt;&lt;Cite&gt;&lt;Author&gt;Spice&lt;/Author&gt;&lt;Year&gt;2009&lt;/Year&gt;&lt;RecNum&gt;515&lt;/RecNum&gt;&lt;DisplayText&gt;[385]&lt;/DisplayText&gt;&lt;record&gt;&lt;rec-number&gt;515&lt;/rec-number&gt;&lt;foreign-keys&gt;&lt;key app="EN" db-id="tdtrdw9aepptzbefsat599syza29sxsd2wsp" timestamp="1617909863"&gt;515&lt;/key&gt;&lt;/foreign-keys&gt;&lt;ref-type name="Journal Article"&gt;17&lt;/ref-type&gt;&lt;contributors&gt;&lt;authors&gt;&lt;author&gt;Spice, Claire L&lt;/author&gt;&lt;author&gt;Morotti, Wendy&lt;/author&gt;&lt;author&gt;George, Steve&lt;/author&gt;&lt;author&gt;Dent, Thomas HS&lt;/author&gt;&lt;author&gt;Rose, Jim&lt;/author&gt;&lt;author&gt;Harris, Scott&lt;/author&gt;&lt;author&gt;Gordon, Christopher J&lt;/author&gt;&lt;/authors&gt;&lt;/contributors&gt;&lt;titles&gt;&lt;title&gt;The Winchester falls project: a randomised controlled trial of secondary prevention of falls in older people&lt;/title&gt;&lt;secondary-title&gt;Age and ageing&lt;/secondary-title&gt;&lt;/titles&gt;&lt;periodical&gt;&lt;full-title&gt;Age and ageing&lt;/full-title&gt;&lt;/periodical&gt;&lt;pages&gt;33-40&lt;/pages&gt;&lt;volume&gt;38&lt;/volume&gt;&lt;number&gt;1&lt;/number&gt;&lt;dates&gt;&lt;year&gt;2009&lt;/year&gt;&lt;/dates&gt;&lt;isbn&gt;1468-2834&lt;/isbn&gt;&lt;urls&gt;&lt;/urls&gt;&lt;/record&gt;&lt;/Cite&gt;&lt;/EndNote&gt;</w:instrText>
      </w:r>
      <w:r w:rsidR="009D7549" w:rsidRPr="004C78D8">
        <w:fldChar w:fldCharType="separate"/>
      </w:r>
      <w:r w:rsidR="00C630FC" w:rsidRPr="004C78D8">
        <w:rPr>
          <w:noProof/>
        </w:rPr>
        <w:t>[385]</w:t>
      </w:r>
      <w:r w:rsidR="009D7549" w:rsidRPr="004C78D8">
        <w:fldChar w:fldCharType="end"/>
      </w:r>
      <w:r w:rsidR="007F0238" w:rsidRPr="004C78D8">
        <w:t xml:space="preserve">; and </w:t>
      </w:r>
      <w:r w:rsidR="00BF7AEF" w:rsidRPr="004C78D8">
        <w:t>44</w:t>
      </w:r>
      <w:r w:rsidR="007F0238" w:rsidRPr="004C78D8">
        <w:t>.</w:t>
      </w:r>
      <w:r w:rsidR="00BF7AEF" w:rsidRPr="004C78D8">
        <w:t>5</w:t>
      </w:r>
      <w:r w:rsidR="007F0238" w:rsidRPr="004C78D8">
        <w:t xml:space="preserve">% for cognitively impaired </w:t>
      </w:r>
      <w:r w:rsidR="009D7549" w:rsidRPr="004C78D8">
        <w:fldChar w:fldCharType="begin"/>
      </w:r>
      <w:r w:rsidR="00C630FC" w:rsidRPr="004C78D8">
        <w:instrText xml:space="preserve"> ADDIN EN.CITE &lt;EndNote&gt;&lt;Cite&gt;&lt;Author&gt;Nyman&lt;/Author&gt;&lt;Year&gt;2019&lt;/Year&gt;&lt;RecNum&gt;281&lt;/RecNum&gt;&lt;DisplayText&gt;[235]&lt;/DisplayText&gt;&lt;record&gt;&lt;rec-number&gt;281&lt;/rec-number&gt;&lt;foreign-keys&gt;&lt;key app="EN" db-id="tdtrdw9aepptzbefsat599syza29sxsd2wsp" timestamp="1611699160"&gt;281&lt;/key&gt;&lt;/foreign-keys&gt;&lt;ref-type name="Journal Article"&gt;17&lt;/ref-type&gt;&lt;contributors&gt;&lt;authors&gt;&lt;author&gt;Nyman, Samuel R&lt;/author&gt;&lt;author&gt;Ingram, Wendy&lt;/author&gt;&lt;author&gt;Sanders, Jeanette&lt;/author&gt;&lt;author&gt;Thomas, Peter W&lt;/author&gt;&lt;author&gt;Thomas, Sarah&lt;/author&gt;&lt;author&gt;Vassallo, Michael&lt;/author&gt;&lt;author&gt;Raftery, James&lt;/author&gt;&lt;author&gt;Bibi, Iram&lt;/author&gt;&lt;author&gt;Barrado-Martín, Yolanda&lt;/author&gt;&lt;/authors&gt;&lt;/contributors&gt;&lt;titles&gt;&lt;title&gt;Randomised controlled trial of the effect of Tai Chi on postural balance of people with dementia&lt;/title&gt;&lt;secondary-title&gt;Clinical interventions in aging&lt;/secondary-title&gt;&lt;/titles&gt;&lt;periodical&gt;&lt;full-title&gt;Clin Interv Aging&lt;/full-title&gt;&lt;abbr-1&gt;Clinical interventions in aging&lt;/abbr-1&gt;&lt;/periodical&gt;&lt;pages&gt;2017&lt;/pages&gt;&lt;volume&gt;14&lt;/volume&gt;&lt;dates&gt;&lt;year&gt;2019&lt;/year&gt;&lt;/dates&gt;&lt;urls&gt;&lt;/urls&gt;&lt;/record&gt;&lt;/Cite&gt;&lt;/EndNote&gt;</w:instrText>
      </w:r>
      <w:r w:rsidR="009D7549" w:rsidRPr="004C78D8">
        <w:fldChar w:fldCharType="separate"/>
      </w:r>
      <w:r w:rsidR="00C630FC" w:rsidRPr="004C78D8">
        <w:rPr>
          <w:noProof/>
        </w:rPr>
        <w:t>[235]</w:t>
      </w:r>
      <w:r w:rsidR="009D7549" w:rsidRPr="004C78D8">
        <w:fldChar w:fldCharType="end"/>
      </w:r>
      <w:r w:rsidRPr="004C78D8">
        <w:t>.</w:t>
      </w:r>
      <w:r w:rsidR="007F0238" w:rsidRPr="004C78D8">
        <w:t xml:space="preserve"> </w:t>
      </w:r>
      <w:r w:rsidR="00034808" w:rsidRPr="004C78D8">
        <w:t xml:space="preserve">The </w:t>
      </w:r>
      <w:r w:rsidR="009D7549" w:rsidRPr="004C78D8">
        <w:t>uptake</w:t>
      </w:r>
      <w:r w:rsidR="00034808" w:rsidRPr="004C78D8">
        <w:t xml:space="preserve"> rates were assumed not to vary by other characteristics such as frailty. </w:t>
      </w:r>
    </w:p>
    <w:p w14:paraId="4D19AD07" w14:textId="7141BEAE" w:rsidR="00563E1E" w:rsidRPr="004C78D8" w:rsidRDefault="00563E1E" w:rsidP="00FB7C1F">
      <w:pPr>
        <w:pStyle w:val="Heading5"/>
      </w:pPr>
      <w:r w:rsidRPr="004C78D8">
        <w:t>Self-referred pathway</w:t>
      </w:r>
    </w:p>
    <w:p w14:paraId="52DDDE8C" w14:textId="79CA9707" w:rsidR="00563E1E" w:rsidRPr="004C78D8" w:rsidRDefault="00B27FA3" w:rsidP="00FB7C1F">
      <w:r w:rsidRPr="004C78D8">
        <w:t xml:space="preserve">Table </w:t>
      </w:r>
      <w:r w:rsidR="00AA096B" w:rsidRPr="004C78D8">
        <w:t>5</w:t>
      </w:r>
      <w:r w:rsidR="00692CE7" w:rsidRPr="004C78D8">
        <w:t>.2</w:t>
      </w:r>
      <w:r w:rsidR="006A252D" w:rsidRPr="004C78D8">
        <w:t>9</w:t>
      </w:r>
      <w:r w:rsidRPr="004C78D8">
        <w:t xml:space="preserve"> summari</w:t>
      </w:r>
      <w:r w:rsidR="003B42F1" w:rsidRPr="004C78D8">
        <w:t>s</w:t>
      </w:r>
      <w:r w:rsidRPr="004C78D8">
        <w:t>es the eligibility and access conditions for the self-referred falls prevention pathway</w:t>
      </w:r>
      <w:r w:rsidR="008A3F66" w:rsidRPr="004C78D8">
        <w:t xml:space="preserve"> under </w:t>
      </w:r>
      <w:r w:rsidR="003B42F1" w:rsidRPr="004C78D8">
        <w:t>UC</w:t>
      </w:r>
      <w:r w:rsidR="008A3F66" w:rsidRPr="004C78D8">
        <w:t xml:space="preserve"> and </w:t>
      </w:r>
      <w:r w:rsidR="003B42F1" w:rsidRPr="004C78D8">
        <w:t>RC</w:t>
      </w:r>
      <w:r w:rsidR="008A3F66" w:rsidRPr="004C78D8">
        <w:t>.</w:t>
      </w:r>
    </w:p>
    <w:tbl>
      <w:tblPr>
        <w:tblStyle w:val="TableGrid"/>
        <w:tblW w:w="0" w:type="auto"/>
        <w:tblInd w:w="-5" w:type="dxa"/>
        <w:tblLook w:val="04A0" w:firstRow="1" w:lastRow="0" w:firstColumn="1" w:lastColumn="0" w:noHBand="0" w:noVBand="1"/>
      </w:tblPr>
      <w:tblGrid>
        <w:gridCol w:w="1413"/>
        <w:gridCol w:w="3118"/>
        <w:gridCol w:w="3544"/>
      </w:tblGrid>
      <w:tr w:rsidR="0070722D" w:rsidRPr="004C78D8" w14:paraId="3A038ED2" w14:textId="77777777" w:rsidTr="00E35893">
        <w:tc>
          <w:tcPr>
            <w:tcW w:w="8075" w:type="dxa"/>
            <w:gridSpan w:val="3"/>
          </w:tcPr>
          <w:p w14:paraId="735FB730" w14:textId="6C10E3C6" w:rsidR="0070722D" w:rsidRPr="004C78D8" w:rsidRDefault="0070722D" w:rsidP="00FB7C1F">
            <w:pPr>
              <w:rPr>
                <w:b/>
                <w:bCs/>
                <w:sz w:val="20"/>
                <w:szCs w:val="20"/>
              </w:rPr>
            </w:pPr>
            <w:r w:rsidRPr="004C78D8">
              <w:rPr>
                <w:b/>
                <w:bCs/>
              </w:rPr>
              <w:t xml:space="preserve">Table </w:t>
            </w:r>
            <w:r w:rsidR="00AA096B" w:rsidRPr="004C78D8">
              <w:rPr>
                <w:b/>
                <w:bCs/>
              </w:rPr>
              <w:t>5</w:t>
            </w:r>
            <w:r w:rsidR="00692CE7" w:rsidRPr="004C78D8">
              <w:rPr>
                <w:b/>
                <w:bCs/>
              </w:rPr>
              <w:t>.2</w:t>
            </w:r>
            <w:r w:rsidR="006A252D" w:rsidRPr="004C78D8">
              <w:rPr>
                <w:b/>
                <w:bCs/>
              </w:rPr>
              <w:t>9</w:t>
            </w:r>
            <w:r w:rsidRPr="004C78D8">
              <w:t xml:space="preserve"> Eligibility and access rates for the self-referred falls prevention pathway under usual care and </w:t>
            </w:r>
            <w:r w:rsidR="006A2103" w:rsidRPr="004C78D8">
              <w:t>recommended</w:t>
            </w:r>
            <w:r w:rsidRPr="004C78D8">
              <w:t xml:space="preserve"> </w:t>
            </w:r>
            <w:r w:rsidR="003B42F1" w:rsidRPr="004C78D8">
              <w:t>care</w:t>
            </w:r>
            <w:r w:rsidRPr="004C78D8">
              <w:t xml:space="preserve"> scenarios</w:t>
            </w:r>
            <w:r w:rsidR="003B42F1" w:rsidRPr="004C78D8">
              <w:t>.</w:t>
            </w:r>
          </w:p>
        </w:tc>
      </w:tr>
      <w:tr w:rsidR="0070722D" w:rsidRPr="004C78D8" w14:paraId="7387B7EE" w14:textId="77777777" w:rsidTr="00E35893">
        <w:tc>
          <w:tcPr>
            <w:tcW w:w="1413" w:type="dxa"/>
          </w:tcPr>
          <w:p w14:paraId="358AD4CC" w14:textId="77777777" w:rsidR="0070722D" w:rsidRPr="004C78D8" w:rsidRDefault="0070722D" w:rsidP="00FB7C1F">
            <w:pPr>
              <w:rPr>
                <w:b/>
                <w:bCs/>
                <w:i/>
                <w:iCs/>
                <w:sz w:val="20"/>
                <w:szCs w:val="20"/>
              </w:rPr>
            </w:pPr>
          </w:p>
        </w:tc>
        <w:tc>
          <w:tcPr>
            <w:tcW w:w="3118" w:type="dxa"/>
          </w:tcPr>
          <w:p w14:paraId="2A126D07" w14:textId="77777777" w:rsidR="0070722D" w:rsidRPr="004C78D8" w:rsidRDefault="0070722D" w:rsidP="00FB7C1F">
            <w:pPr>
              <w:rPr>
                <w:b/>
                <w:bCs/>
                <w:sz w:val="20"/>
                <w:szCs w:val="20"/>
              </w:rPr>
            </w:pPr>
            <w:r w:rsidRPr="004C78D8">
              <w:rPr>
                <w:b/>
                <w:bCs/>
                <w:sz w:val="20"/>
                <w:szCs w:val="20"/>
              </w:rPr>
              <w:t>Usual care</w:t>
            </w:r>
          </w:p>
        </w:tc>
        <w:tc>
          <w:tcPr>
            <w:tcW w:w="3544" w:type="dxa"/>
          </w:tcPr>
          <w:p w14:paraId="1FED73FF" w14:textId="63594B5C" w:rsidR="0070722D" w:rsidRPr="004C78D8" w:rsidRDefault="006A2103" w:rsidP="00FB7C1F">
            <w:pPr>
              <w:rPr>
                <w:b/>
                <w:bCs/>
                <w:sz w:val="20"/>
                <w:szCs w:val="20"/>
              </w:rPr>
            </w:pPr>
            <w:r w:rsidRPr="004C78D8">
              <w:rPr>
                <w:b/>
                <w:bCs/>
                <w:sz w:val="20"/>
                <w:szCs w:val="20"/>
              </w:rPr>
              <w:t>Recommended</w:t>
            </w:r>
            <w:r w:rsidR="00D83290" w:rsidRPr="004C78D8">
              <w:rPr>
                <w:b/>
                <w:bCs/>
                <w:sz w:val="20"/>
                <w:szCs w:val="20"/>
              </w:rPr>
              <w:t xml:space="preserve"> care</w:t>
            </w:r>
          </w:p>
        </w:tc>
      </w:tr>
      <w:tr w:rsidR="0070722D" w:rsidRPr="004C78D8" w14:paraId="21CBA9C5" w14:textId="77777777" w:rsidTr="00E35893">
        <w:tc>
          <w:tcPr>
            <w:tcW w:w="8075" w:type="dxa"/>
            <w:gridSpan w:val="3"/>
            <w:tcBorders>
              <w:bottom w:val="single" w:sz="4" w:space="0" w:color="auto"/>
            </w:tcBorders>
          </w:tcPr>
          <w:p w14:paraId="38A80B70" w14:textId="55143423" w:rsidR="0070722D" w:rsidRPr="004C78D8" w:rsidRDefault="0070722D" w:rsidP="00FB7C1F">
            <w:pPr>
              <w:jc w:val="left"/>
              <w:rPr>
                <w:sz w:val="20"/>
                <w:szCs w:val="20"/>
              </w:rPr>
            </w:pPr>
            <w:r w:rsidRPr="004C78D8">
              <w:rPr>
                <w:b/>
                <w:bCs/>
                <w:sz w:val="20"/>
                <w:szCs w:val="20"/>
              </w:rPr>
              <w:t>Pathway component: Self-referred exercise intervention</w:t>
            </w:r>
          </w:p>
        </w:tc>
      </w:tr>
      <w:tr w:rsidR="0070722D" w:rsidRPr="004C78D8" w14:paraId="1B0D0981" w14:textId="77777777" w:rsidTr="00E35893">
        <w:tc>
          <w:tcPr>
            <w:tcW w:w="1413" w:type="dxa"/>
            <w:tcBorders>
              <w:bottom w:val="single" w:sz="4" w:space="0" w:color="auto"/>
            </w:tcBorders>
          </w:tcPr>
          <w:p w14:paraId="1D3CBB7E" w14:textId="77777777" w:rsidR="0070722D" w:rsidRPr="004C78D8" w:rsidRDefault="0070722D" w:rsidP="00FB7C1F">
            <w:pPr>
              <w:jc w:val="left"/>
              <w:rPr>
                <w:sz w:val="20"/>
                <w:szCs w:val="20"/>
              </w:rPr>
            </w:pPr>
            <w:r w:rsidRPr="004C78D8">
              <w:rPr>
                <w:sz w:val="20"/>
                <w:szCs w:val="20"/>
              </w:rPr>
              <w:t>Eligibility</w:t>
            </w:r>
          </w:p>
        </w:tc>
        <w:tc>
          <w:tcPr>
            <w:tcW w:w="3118" w:type="dxa"/>
            <w:tcBorders>
              <w:bottom w:val="single" w:sz="4" w:space="0" w:color="auto"/>
            </w:tcBorders>
          </w:tcPr>
          <w:p w14:paraId="3DF18AD8" w14:textId="309D1FD1" w:rsidR="0070722D" w:rsidRPr="004C78D8" w:rsidRDefault="0016157C" w:rsidP="00FB7C1F">
            <w:pPr>
              <w:jc w:val="left"/>
              <w:rPr>
                <w:sz w:val="20"/>
                <w:szCs w:val="20"/>
              </w:rPr>
            </w:pPr>
            <w:r w:rsidRPr="004C78D8">
              <w:rPr>
                <w:sz w:val="20"/>
                <w:szCs w:val="20"/>
              </w:rPr>
              <w:t>All persons not receiving reactive or proactive intervention that year</w:t>
            </w:r>
          </w:p>
        </w:tc>
        <w:tc>
          <w:tcPr>
            <w:tcW w:w="3544" w:type="dxa"/>
            <w:tcBorders>
              <w:bottom w:val="single" w:sz="4" w:space="0" w:color="auto"/>
            </w:tcBorders>
          </w:tcPr>
          <w:p w14:paraId="7668518A" w14:textId="05143FB8" w:rsidR="0070722D" w:rsidRPr="004C78D8" w:rsidRDefault="0016157C" w:rsidP="00FB7C1F">
            <w:pPr>
              <w:jc w:val="left"/>
              <w:rPr>
                <w:sz w:val="20"/>
                <w:szCs w:val="20"/>
              </w:rPr>
            </w:pPr>
            <w:r w:rsidRPr="004C78D8">
              <w:rPr>
                <w:sz w:val="20"/>
                <w:szCs w:val="20"/>
              </w:rPr>
              <w:t>All persons not receiving reactive or proactive intervention that year</w:t>
            </w:r>
          </w:p>
        </w:tc>
      </w:tr>
      <w:tr w:rsidR="0070722D" w:rsidRPr="004C78D8" w14:paraId="2A940F42" w14:textId="77777777" w:rsidTr="00E35893">
        <w:tc>
          <w:tcPr>
            <w:tcW w:w="1413" w:type="dxa"/>
            <w:tcBorders>
              <w:bottom w:val="nil"/>
            </w:tcBorders>
          </w:tcPr>
          <w:p w14:paraId="5E3262C4" w14:textId="77777777" w:rsidR="0070722D" w:rsidRPr="004C78D8" w:rsidRDefault="0070722D" w:rsidP="00FB7C1F">
            <w:pPr>
              <w:jc w:val="left"/>
              <w:rPr>
                <w:sz w:val="20"/>
                <w:szCs w:val="20"/>
              </w:rPr>
            </w:pPr>
            <w:r w:rsidRPr="004C78D8">
              <w:rPr>
                <w:sz w:val="20"/>
                <w:szCs w:val="20"/>
              </w:rPr>
              <w:t>Access rate</w:t>
            </w:r>
          </w:p>
        </w:tc>
        <w:tc>
          <w:tcPr>
            <w:tcW w:w="3118" w:type="dxa"/>
            <w:tcBorders>
              <w:bottom w:val="nil"/>
            </w:tcBorders>
          </w:tcPr>
          <w:p w14:paraId="4E03EF4A" w14:textId="374697F9" w:rsidR="0070722D" w:rsidRPr="004C78D8" w:rsidRDefault="0070722D" w:rsidP="00FB7C1F">
            <w:pPr>
              <w:jc w:val="left"/>
              <w:rPr>
                <w:sz w:val="20"/>
                <w:szCs w:val="20"/>
              </w:rPr>
            </w:pPr>
            <w:r w:rsidRPr="004C78D8">
              <w:rPr>
                <w:sz w:val="20"/>
                <w:szCs w:val="20"/>
              </w:rPr>
              <w:t xml:space="preserve">Limited access rate: </w:t>
            </w:r>
          </w:p>
          <w:p w14:paraId="07FFCDEA" w14:textId="0D44E3A0" w:rsidR="0070722D" w:rsidRPr="004C78D8" w:rsidRDefault="00917528" w:rsidP="00FB7C1F">
            <w:pPr>
              <w:jc w:val="left"/>
              <w:rPr>
                <w:sz w:val="20"/>
                <w:szCs w:val="20"/>
              </w:rPr>
            </w:pPr>
            <w:r w:rsidRPr="004C78D8">
              <w:rPr>
                <w:sz w:val="20"/>
                <w:szCs w:val="20"/>
              </w:rPr>
              <w:t xml:space="preserve">0.1% among most privileged </w:t>
            </w:r>
            <w:r w:rsidR="009A617C" w:rsidRPr="004C78D8">
              <w:rPr>
                <w:sz w:val="20"/>
                <w:szCs w:val="20"/>
              </w:rPr>
              <w:t>SES</w:t>
            </w:r>
            <w:r w:rsidRPr="004C78D8">
              <w:rPr>
                <w:sz w:val="20"/>
                <w:szCs w:val="20"/>
              </w:rPr>
              <w:t xml:space="preserve"> quartile</w:t>
            </w:r>
          </w:p>
        </w:tc>
        <w:tc>
          <w:tcPr>
            <w:tcW w:w="3544" w:type="dxa"/>
            <w:tcBorders>
              <w:bottom w:val="nil"/>
            </w:tcBorders>
          </w:tcPr>
          <w:p w14:paraId="7B8B504A" w14:textId="5EFF0310" w:rsidR="0070722D" w:rsidRPr="004C78D8" w:rsidRDefault="0070722D" w:rsidP="00FB7C1F">
            <w:pPr>
              <w:jc w:val="left"/>
              <w:rPr>
                <w:sz w:val="20"/>
                <w:szCs w:val="20"/>
              </w:rPr>
            </w:pPr>
            <w:r w:rsidRPr="004C78D8">
              <w:rPr>
                <w:sz w:val="20"/>
                <w:szCs w:val="20"/>
              </w:rPr>
              <w:t>All eligible persons pending demand</w:t>
            </w:r>
            <w:r w:rsidR="008407F0" w:rsidRPr="004C78D8">
              <w:rPr>
                <w:sz w:val="20"/>
                <w:szCs w:val="20"/>
              </w:rPr>
              <w:t xml:space="preserve">: </w:t>
            </w:r>
            <w:r w:rsidR="001A5C39" w:rsidRPr="004C78D8">
              <w:rPr>
                <w:sz w:val="20"/>
                <w:szCs w:val="20"/>
              </w:rPr>
              <w:t>uptake</w:t>
            </w:r>
            <w:r w:rsidR="008407F0" w:rsidRPr="004C78D8">
              <w:rPr>
                <w:sz w:val="20"/>
                <w:szCs w:val="20"/>
              </w:rPr>
              <w:t xml:space="preserve"> rate according to ELSA; </w:t>
            </w:r>
            <w:r w:rsidR="008925C1" w:rsidRPr="004C78D8">
              <w:rPr>
                <w:sz w:val="20"/>
                <w:szCs w:val="20"/>
              </w:rPr>
              <w:t>9</w:t>
            </w:r>
            <w:r w:rsidR="007B4808" w:rsidRPr="004C78D8">
              <w:rPr>
                <w:sz w:val="20"/>
                <w:szCs w:val="20"/>
              </w:rPr>
              <w:t>.5</w:t>
            </w:r>
            <w:r w:rsidR="008407F0" w:rsidRPr="004C78D8">
              <w:rPr>
                <w:sz w:val="20"/>
                <w:szCs w:val="20"/>
              </w:rPr>
              <w:t xml:space="preserve">% overall; varying by individual-level characteristics (see Table </w:t>
            </w:r>
            <w:r w:rsidR="00AA096B" w:rsidRPr="004C78D8">
              <w:rPr>
                <w:sz w:val="20"/>
                <w:szCs w:val="20"/>
              </w:rPr>
              <w:t>5</w:t>
            </w:r>
            <w:r w:rsidR="00692CE7" w:rsidRPr="004C78D8">
              <w:rPr>
                <w:sz w:val="20"/>
                <w:szCs w:val="20"/>
              </w:rPr>
              <w:t>.</w:t>
            </w:r>
            <w:r w:rsidR="006A252D" w:rsidRPr="004C78D8">
              <w:rPr>
                <w:sz w:val="20"/>
                <w:szCs w:val="20"/>
              </w:rPr>
              <w:t>30</w:t>
            </w:r>
            <w:r w:rsidR="008407F0" w:rsidRPr="004C78D8">
              <w:rPr>
                <w:sz w:val="20"/>
                <w:szCs w:val="20"/>
              </w:rPr>
              <w:t>)</w:t>
            </w:r>
          </w:p>
        </w:tc>
      </w:tr>
      <w:tr w:rsidR="0070722D" w:rsidRPr="004C78D8" w14:paraId="40F7D1CA" w14:textId="77777777" w:rsidTr="00E35893">
        <w:tc>
          <w:tcPr>
            <w:tcW w:w="8075" w:type="dxa"/>
            <w:gridSpan w:val="3"/>
            <w:tcBorders>
              <w:bottom w:val="single" w:sz="4" w:space="0" w:color="auto"/>
            </w:tcBorders>
          </w:tcPr>
          <w:p w14:paraId="0D1A31DE" w14:textId="0F7B9F8B" w:rsidR="0070722D" w:rsidRPr="004C78D8" w:rsidRDefault="00D10D5E" w:rsidP="00FB7C1F">
            <w:r w:rsidRPr="004C78D8">
              <w:rPr>
                <w:b/>
                <w:bCs/>
                <w:sz w:val="18"/>
                <w:szCs w:val="18"/>
              </w:rPr>
              <w:t>Abbreviation</w:t>
            </w:r>
            <w:r w:rsidR="00B81190" w:rsidRPr="004C78D8">
              <w:rPr>
                <w:b/>
                <w:bCs/>
                <w:sz w:val="18"/>
                <w:szCs w:val="18"/>
              </w:rPr>
              <w:t xml:space="preserve">: </w:t>
            </w:r>
            <w:r w:rsidR="0070722D" w:rsidRPr="004C78D8">
              <w:rPr>
                <w:sz w:val="18"/>
                <w:szCs w:val="18"/>
              </w:rPr>
              <w:t>ELSA: English Longitudinal Study of Ageing</w:t>
            </w:r>
            <w:r w:rsidR="009F6128" w:rsidRPr="004C78D8">
              <w:rPr>
                <w:sz w:val="18"/>
                <w:szCs w:val="18"/>
              </w:rPr>
              <w:t>; SES: socioeconomic status</w:t>
            </w:r>
          </w:p>
        </w:tc>
      </w:tr>
    </w:tbl>
    <w:p w14:paraId="04F37703" w14:textId="3EE2808F" w:rsidR="00F701B8" w:rsidRPr="004C78D8" w:rsidRDefault="00F701B8" w:rsidP="00FB7C1F"/>
    <w:p w14:paraId="471BE36A" w14:textId="5A9A25A0" w:rsidR="001A5C39" w:rsidRPr="004C78D8" w:rsidRDefault="00A0689D" w:rsidP="00FB7C1F">
      <w:r w:rsidRPr="004C78D8">
        <w:t xml:space="preserve">Under both scenarios, all persons not receiving reactive or proactive intervention that year are eligible for the intervention. For the final access rate, </w:t>
      </w:r>
      <w:r w:rsidR="00D83290" w:rsidRPr="004C78D8">
        <w:t>UC</w:t>
      </w:r>
      <w:r w:rsidRPr="004C78D8">
        <w:t xml:space="preserve"> should portray the very low uptake of the Dance to Health programme (20-30 </w:t>
      </w:r>
      <w:r w:rsidR="001A5C39" w:rsidRPr="004C78D8">
        <w:t xml:space="preserve">regular </w:t>
      </w:r>
      <w:r w:rsidRPr="004C78D8">
        <w:t xml:space="preserve">attendees) under current practice. </w:t>
      </w:r>
      <w:r w:rsidR="00292B37" w:rsidRPr="004C78D8">
        <w:t>According to</w:t>
      </w:r>
      <w:r w:rsidRPr="004C78D8">
        <w:t xml:space="preserve"> </w:t>
      </w:r>
      <w:r w:rsidR="00292B37" w:rsidRPr="004C78D8">
        <w:t xml:space="preserve">the </w:t>
      </w:r>
      <w:r w:rsidRPr="004C78D8">
        <w:t>focus groups</w:t>
      </w:r>
      <w:r w:rsidR="004551BE" w:rsidRPr="004C78D8">
        <w:t xml:space="preserve"> </w:t>
      </w:r>
      <w:r w:rsidR="00D83290" w:rsidRPr="004C78D8">
        <w:t>in</w:t>
      </w:r>
      <w:r w:rsidR="004551BE" w:rsidRPr="004C78D8">
        <w:t xml:space="preserve"> Chapter 2</w:t>
      </w:r>
      <w:r w:rsidRPr="004C78D8">
        <w:t xml:space="preserve">, current attendance </w:t>
      </w:r>
      <w:r w:rsidR="00292B37" w:rsidRPr="004C78D8">
        <w:t>wa</w:t>
      </w:r>
      <w:r w:rsidRPr="004C78D8">
        <w:t xml:space="preserve">s concentrated in a well-off neighbourhood with </w:t>
      </w:r>
      <w:r w:rsidR="001A5C39" w:rsidRPr="004C78D8">
        <w:t>participants who can</w:t>
      </w:r>
      <w:r w:rsidRPr="004C78D8">
        <w:t xml:space="preserve"> self-finance the intervention. </w:t>
      </w:r>
      <w:r w:rsidR="004E3C4A" w:rsidRPr="004C78D8">
        <w:t xml:space="preserve">Therefore, the model assumed that 0.1% of individuals in the most privileged </w:t>
      </w:r>
      <w:r w:rsidR="00D83290" w:rsidRPr="004C78D8">
        <w:t>SES</w:t>
      </w:r>
      <w:r w:rsidR="004E3C4A" w:rsidRPr="004C78D8">
        <w:t xml:space="preserve"> quartile (around 30 individuals) would enrol in self-referred exercise.</w:t>
      </w:r>
    </w:p>
    <w:p w14:paraId="2B27C215" w14:textId="47710FD0" w:rsidR="004551BE" w:rsidRPr="004C78D8" w:rsidRDefault="00A76DCE" w:rsidP="00FB7C1F">
      <w:r w:rsidRPr="004C78D8">
        <w:t>For</w:t>
      </w:r>
      <w:r w:rsidR="001A5C39" w:rsidRPr="004C78D8">
        <w:t xml:space="preserve"> the access rate under </w:t>
      </w:r>
      <w:r w:rsidR="00D83290" w:rsidRPr="004C78D8">
        <w:t>RC</w:t>
      </w:r>
      <w:r w:rsidR="001A5C39" w:rsidRPr="004C78D8">
        <w:t xml:space="preserve">, ELSA was used to </w:t>
      </w:r>
      <w:r w:rsidRPr="004C78D8">
        <w:t>parameteri</w:t>
      </w:r>
      <w:r w:rsidR="004551BE" w:rsidRPr="004C78D8">
        <w:t>s</w:t>
      </w:r>
      <w:r w:rsidRPr="004C78D8">
        <w:t>e</w:t>
      </w:r>
      <w:r w:rsidR="001A5C39" w:rsidRPr="004C78D8">
        <w:t xml:space="preserve"> the uptake rate.</w:t>
      </w:r>
      <w:r w:rsidR="004E3C4A" w:rsidRPr="004C78D8">
        <w:t xml:space="preserve"> </w:t>
      </w:r>
      <w:r w:rsidRPr="004C78D8">
        <w:t xml:space="preserve">ELSA contained variables which together indicated whether an individual is currently participating in an exercise or </w:t>
      </w:r>
      <w:r w:rsidR="00CD60A3" w:rsidRPr="004C78D8">
        <w:t>PT</w:t>
      </w:r>
      <w:r w:rsidRPr="004C78D8">
        <w:t xml:space="preserve"> session. It was unclear whether </w:t>
      </w:r>
      <w:r w:rsidR="00F05B31" w:rsidRPr="004C78D8">
        <w:t>these sessions</w:t>
      </w:r>
      <w:r w:rsidR="00604284" w:rsidRPr="004C78D8">
        <w:t xml:space="preserve"> </w:t>
      </w:r>
      <w:r w:rsidR="00961BAF" w:rsidRPr="004C78D8">
        <w:t xml:space="preserve">were </w:t>
      </w:r>
      <w:r w:rsidR="00C12FE9" w:rsidRPr="004C78D8">
        <w:t xml:space="preserve">evidence-based falls prevention exercises </w:t>
      </w:r>
      <w:r w:rsidR="00961BAF" w:rsidRPr="004C78D8">
        <w:t xml:space="preserve">or </w:t>
      </w:r>
      <w:r w:rsidR="00C12FE9" w:rsidRPr="004C78D8">
        <w:t xml:space="preserve">‘conventional’ exercises </w:t>
      </w:r>
      <w:r w:rsidR="00D83290" w:rsidRPr="004C78D8">
        <w:t>for</w:t>
      </w:r>
      <w:r w:rsidR="00C12FE9" w:rsidRPr="004C78D8">
        <w:t xml:space="preserve"> </w:t>
      </w:r>
      <w:r w:rsidR="00961BAF" w:rsidRPr="004C78D8">
        <w:t xml:space="preserve">general physical difficulties. </w:t>
      </w:r>
      <w:r w:rsidR="00C12FE9" w:rsidRPr="004C78D8">
        <w:t>The overall uptake rate of 9.5% among those aged 60</w:t>
      </w:r>
      <w:r w:rsidR="00D83290" w:rsidRPr="004C78D8">
        <w:t>+</w:t>
      </w:r>
      <w:r w:rsidR="00C12FE9" w:rsidRPr="004C78D8">
        <w:t xml:space="preserve"> was substantially higher than that known for Dance to Health in Sheffield. Therefore, it was assumed that</w:t>
      </w:r>
      <w:r w:rsidR="00F05B31" w:rsidRPr="004C78D8">
        <w:t>: (i)</w:t>
      </w:r>
      <w:r w:rsidR="00C12FE9" w:rsidRPr="004C78D8">
        <w:t xml:space="preserve"> the ELSA variable captured </w:t>
      </w:r>
      <w:r w:rsidR="00952DBC" w:rsidRPr="004C78D8">
        <w:t xml:space="preserve">the </w:t>
      </w:r>
      <w:r w:rsidR="00E12917" w:rsidRPr="004C78D8">
        <w:t>uptake rate for conventional exercise</w:t>
      </w:r>
      <w:r w:rsidR="00F05B31" w:rsidRPr="004C78D8">
        <w:t>; and (ii) the uptake rate</w:t>
      </w:r>
      <w:r w:rsidR="00E12917" w:rsidRPr="004C78D8">
        <w:t xml:space="preserve"> represented a </w:t>
      </w:r>
      <w:r w:rsidR="00C12FE9" w:rsidRPr="004C78D8">
        <w:rPr>
          <w:i/>
          <w:iCs/>
        </w:rPr>
        <w:t>latent</w:t>
      </w:r>
      <w:r w:rsidR="00C12FE9" w:rsidRPr="004C78D8">
        <w:t xml:space="preserve"> demand for falls prevention exercise</w:t>
      </w:r>
      <w:r w:rsidR="00D55B40" w:rsidRPr="004C78D8">
        <w:t xml:space="preserve">. </w:t>
      </w:r>
      <w:r w:rsidR="00992786" w:rsidRPr="004C78D8">
        <w:t xml:space="preserve">Assumption (i) means that the uptake of falls prevention exercise remains low in </w:t>
      </w:r>
      <w:r w:rsidR="005C65A2" w:rsidRPr="004C78D8">
        <w:t>UC</w:t>
      </w:r>
      <w:r w:rsidR="00992786" w:rsidRPr="004C78D8">
        <w:t xml:space="preserve">. </w:t>
      </w:r>
      <w:r w:rsidR="00196695" w:rsidRPr="004C78D8">
        <w:t>A</w:t>
      </w:r>
      <w:r w:rsidR="00992786" w:rsidRPr="004C78D8">
        <w:t xml:space="preserve">ssumption </w:t>
      </w:r>
      <w:r w:rsidR="00F05B31" w:rsidRPr="004C78D8">
        <w:t xml:space="preserve">(ii) </w:t>
      </w:r>
      <w:r w:rsidR="005C65A2" w:rsidRPr="004C78D8">
        <w:t>holds</w:t>
      </w:r>
      <w:r w:rsidR="00196695" w:rsidRPr="004C78D8">
        <w:t xml:space="preserve"> </w:t>
      </w:r>
      <w:r w:rsidR="00D55B40" w:rsidRPr="004C78D8">
        <w:t>that</w:t>
      </w:r>
      <w:r w:rsidR="00C12FE9" w:rsidRPr="004C78D8">
        <w:t xml:space="preserve"> if </w:t>
      </w:r>
      <w:r w:rsidR="00D55B40" w:rsidRPr="004C78D8">
        <w:t>falls prevention exercise</w:t>
      </w:r>
      <w:r w:rsidR="00C12FE9" w:rsidRPr="004C78D8">
        <w:t xml:space="preserve"> is </w:t>
      </w:r>
      <w:r w:rsidR="00952DBC" w:rsidRPr="004C78D8">
        <w:t xml:space="preserve">commissioned and marketed </w:t>
      </w:r>
      <w:r w:rsidR="00C12FE9" w:rsidRPr="004C78D8">
        <w:t>on a wide scale</w:t>
      </w:r>
      <w:r w:rsidR="00D55B40" w:rsidRPr="004C78D8">
        <w:t xml:space="preserve">, those who </w:t>
      </w:r>
      <w:r w:rsidR="005C73C9" w:rsidRPr="004C78D8">
        <w:t xml:space="preserve">would take up conventional exercise would take up falls prevention exercise </w:t>
      </w:r>
      <w:r w:rsidR="00C431EB" w:rsidRPr="004C78D8">
        <w:t>as a substitute or complement</w:t>
      </w:r>
      <w:r w:rsidR="005C73C9" w:rsidRPr="004C78D8">
        <w:t xml:space="preserve">. This </w:t>
      </w:r>
      <w:r w:rsidR="00E12025" w:rsidRPr="004C78D8">
        <w:t>is</w:t>
      </w:r>
      <w:r w:rsidR="005C73C9" w:rsidRPr="004C78D8">
        <w:t xml:space="preserve"> reasonable given that falls prevention exercises typically aim to resemble conventional leisure programmes to </w:t>
      </w:r>
      <w:r w:rsidR="00E12025" w:rsidRPr="004C78D8">
        <w:t>promote uptake</w:t>
      </w:r>
      <w:r w:rsidR="005C73C9" w:rsidRPr="004C78D8">
        <w:t xml:space="preserve"> </w:t>
      </w:r>
      <w:r w:rsidR="004551BE" w:rsidRPr="004C78D8">
        <w:fldChar w:fldCharType="begin"/>
      </w:r>
      <w:r w:rsidR="00C630FC" w:rsidRPr="004C78D8">
        <w:instrText xml:space="preserve"> ADDIN EN.CITE &lt;EndNote&gt;&lt;Cite&gt;&lt;Author&gt;Sport Industry Research Centre&lt;/Author&gt;&lt;Year&gt;2019&lt;/Year&gt;&lt;RecNum&gt;110&lt;/RecNum&gt;&lt;DisplayText&gt;[196]&lt;/DisplayText&gt;&lt;record&gt;&lt;rec-number&gt;110&lt;/rec-number&gt;&lt;foreign-keys&gt;&lt;key app="EN" db-id="tdtrdw9aepptzbefsat599syza29sxsd2wsp" timestamp="1598262067"&gt;110&lt;/key&gt;&lt;/foreign-keys&gt;&lt;ref-type name="Journal Article"&gt;17&lt;/ref-type&gt;&lt;contributors&gt;&lt;authors&gt;&lt;author&gt;Sport Industry Research Centre,&lt;/author&gt;&lt;/authors&gt;&lt;/contributors&gt;&lt;titles&gt;&lt;title&gt;Dance to Health &amp;apos;Phase 1 roll-out [test and learn]&amp;apos; evaluation&lt;/title&gt;&lt;secondary-title&gt;Sheffield Hallam University&lt;/secondary-title&gt;&lt;/titles&gt;&lt;periodical&gt;&lt;full-title&gt;Sheffield Hallam University&lt;/full-title&gt;&lt;/periodical&gt;&lt;dates&gt;&lt;year&gt;2019&lt;/year&gt;&lt;/dates&gt;&lt;urls&gt;&lt;/urls&gt;&lt;/record&gt;&lt;/Cite&gt;&lt;/EndNote&gt;</w:instrText>
      </w:r>
      <w:r w:rsidR="004551BE" w:rsidRPr="004C78D8">
        <w:fldChar w:fldCharType="separate"/>
      </w:r>
      <w:r w:rsidR="00C630FC" w:rsidRPr="004C78D8">
        <w:rPr>
          <w:noProof/>
        </w:rPr>
        <w:t>[196]</w:t>
      </w:r>
      <w:r w:rsidR="004551BE" w:rsidRPr="004C78D8">
        <w:fldChar w:fldCharType="end"/>
      </w:r>
      <w:r w:rsidR="005C73C9" w:rsidRPr="004C78D8">
        <w:t xml:space="preserve">. </w:t>
      </w:r>
      <w:r w:rsidR="009856AB" w:rsidRPr="004C78D8">
        <w:t>Indeed, t</w:t>
      </w:r>
      <w:r w:rsidR="007A7D46" w:rsidRPr="004C78D8">
        <w:t xml:space="preserve">he </w:t>
      </w:r>
      <w:r w:rsidR="005C65A2" w:rsidRPr="004C78D8">
        <w:t>qualitative research</w:t>
      </w:r>
      <w:r w:rsidR="007A7D46" w:rsidRPr="004C78D8">
        <w:t xml:space="preserve"> participants </w:t>
      </w:r>
      <w:r w:rsidR="004551BE" w:rsidRPr="004C78D8">
        <w:t xml:space="preserve">in Chapter 2 </w:t>
      </w:r>
      <w:r w:rsidR="009856AB" w:rsidRPr="004C78D8">
        <w:t xml:space="preserve">did not draw a clear distinction between conventional and falls prevention exercises </w:t>
      </w:r>
      <w:r w:rsidR="005C65A2" w:rsidRPr="004C78D8">
        <w:t xml:space="preserve">and </w:t>
      </w:r>
      <w:r w:rsidR="007A7D46" w:rsidRPr="004C78D8">
        <w:t>cited previous</w:t>
      </w:r>
      <w:r w:rsidR="005C65A2" w:rsidRPr="004C78D8">
        <w:t>/</w:t>
      </w:r>
      <w:r w:rsidR="00124BA4" w:rsidRPr="004C78D8">
        <w:t>con</w:t>
      </w:r>
      <w:r w:rsidR="00992786" w:rsidRPr="004C78D8">
        <w:t>current engagement in</w:t>
      </w:r>
      <w:r w:rsidR="007A7D46" w:rsidRPr="004C78D8">
        <w:t xml:space="preserve"> other exercise</w:t>
      </w:r>
      <w:r w:rsidR="005C65A2" w:rsidRPr="004C78D8">
        <w:t xml:space="preserve">s </w:t>
      </w:r>
      <w:r w:rsidR="007A7D46" w:rsidRPr="004C78D8">
        <w:t xml:space="preserve">as a facilitator </w:t>
      </w:r>
      <w:r w:rsidR="00992786" w:rsidRPr="004C78D8">
        <w:t>for</w:t>
      </w:r>
      <w:r w:rsidR="007A7D46" w:rsidRPr="004C78D8">
        <w:t xml:space="preserve"> falls prevention exercise</w:t>
      </w:r>
      <w:r w:rsidR="00E12025" w:rsidRPr="004C78D8">
        <w:t xml:space="preserve"> uptake</w:t>
      </w:r>
      <w:r w:rsidR="007A7D46" w:rsidRPr="004C78D8">
        <w:t>.</w:t>
      </w:r>
      <w:r w:rsidR="009856AB" w:rsidRPr="004C78D8">
        <w:t xml:space="preserve"> </w:t>
      </w:r>
    </w:p>
    <w:p w14:paraId="71108EFB" w14:textId="2DA48DC2" w:rsidR="00AA082C" w:rsidRPr="004C78D8" w:rsidRDefault="00DB6407" w:rsidP="00FB7C1F">
      <w:r w:rsidRPr="004C78D8">
        <w:t>A</w:t>
      </w:r>
      <w:r w:rsidR="009856AB" w:rsidRPr="004C78D8">
        <w:t xml:space="preserve">nother issue </w:t>
      </w:r>
      <w:r w:rsidR="00124BA4" w:rsidRPr="004C78D8">
        <w:t xml:space="preserve">is that </w:t>
      </w:r>
      <w:r w:rsidR="00E12025" w:rsidRPr="004C78D8">
        <w:t>the ELSA variable</w:t>
      </w:r>
      <w:r w:rsidR="00124BA4" w:rsidRPr="004C78D8">
        <w:t xml:space="preserve"> </w:t>
      </w:r>
      <w:r w:rsidR="009856AB" w:rsidRPr="004C78D8">
        <w:t xml:space="preserve">may better reflect current </w:t>
      </w:r>
      <w:r w:rsidR="009856AB" w:rsidRPr="004C78D8">
        <w:rPr>
          <w:i/>
          <w:iCs/>
        </w:rPr>
        <w:t>supply</w:t>
      </w:r>
      <w:r w:rsidR="009856AB" w:rsidRPr="004C78D8">
        <w:t xml:space="preserve"> </w:t>
      </w:r>
      <w:r w:rsidR="00124BA4" w:rsidRPr="004C78D8">
        <w:t xml:space="preserve">rather than demand </w:t>
      </w:r>
      <w:r w:rsidR="009856AB" w:rsidRPr="004C78D8">
        <w:t>conditions for exercise</w:t>
      </w:r>
      <w:r w:rsidR="00124BA4" w:rsidRPr="004C78D8">
        <w:t xml:space="preserve">. In other words, </w:t>
      </w:r>
      <w:r w:rsidR="009856AB" w:rsidRPr="004C78D8">
        <w:t xml:space="preserve">the access rate would be higher than 9.5% under </w:t>
      </w:r>
      <w:r w:rsidR="005C65A2" w:rsidRPr="004C78D8">
        <w:t>RC with</w:t>
      </w:r>
      <w:r w:rsidR="009856AB" w:rsidRPr="004C78D8">
        <w:t xml:space="preserve"> </w:t>
      </w:r>
      <w:r w:rsidRPr="004C78D8">
        <w:t xml:space="preserve">unlimited supply. It is also unclear whether the </w:t>
      </w:r>
      <w:r w:rsidR="00E12025" w:rsidRPr="004C78D8">
        <w:t>variable</w:t>
      </w:r>
      <w:r w:rsidRPr="004C78D8">
        <w:t xml:space="preserve"> better reflects </w:t>
      </w:r>
      <w:r w:rsidR="00124BA4" w:rsidRPr="004C78D8">
        <w:t xml:space="preserve">recommendations (or direct </w:t>
      </w:r>
      <w:r w:rsidR="004551BE" w:rsidRPr="004C78D8">
        <w:t>referrals</w:t>
      </w:r>
      <w:r w:rsidR="00124BA4" w:rsidRPr="004C78D8">
        <w:t>) made</w:t>
      </w:r>
      <w:r w:rsidRPr="004C78D8">
        <w:t xml:space="preserve"> by care professionals than </w:t>
      </w:r>
      <w:r w:rsidR="005C65A2" w:rsidRPr="004C78D8">
        <w:t>‘pure’ self-referrals</w:t>
      </w:r>
      <w:r w:rsidRPr="004C78D8">
        <w:t xml:space="preserve">. </w:t>
      </w:r>
      <w:r w:rsidR="00124BA4" w:rsidRPr="004C78D8">
        <w:t>But</w:t>
      </w:r>
      <w:r w:rsidRPr="004C78D8">
        <w:t xml:space="preserve"> given the frequent contact between </w:t>
      </w:r>
      <w:r w:rsidR="00FC3C3B" w:rsidRPr="004C78D8">
        <w:t>older</w:t>
      </w:r>
      <w:r w:rsidRPr="004C78D8">
        <w:t xml:space="preserve"> persons and </w:t>
      </w:r>
      <w:r w:rsidR="002A33D0" w:rsidRPr="004C78D8">
        <w:t xml:space="preserve">those in supportive roles, </w:t>
      </w:r>
      <w:r w:rsidR="00124BA4" w:rsidRPr="004C78D8">
        <w:t xml:space="preserve">external facilitation </w:t>
      </w:r>
      <w:r w:rsidR="005C65A2" w:rsidRPr="004C78D8">
        <w:t>is</w:t>
      </w:r>
      <w:r w:rsidR="00124BA4" w:rsidRPr="004C78D8">
        <w:t xml:space="preserve"> a constant feature of </w:t>
      </w:r>
      <w:r w:rsidR="005C65A2" w:rsidRPr="004C78D8">
        <w:t>geriatric</w:t>
      </w:r>
      <w:r w:rsidR="00124BA4" w:rsidRPr="004C78D8">
        <w:t xml:space="preserve"> health promotion</w:t>
      </w:r>
      <w:r w:rsidR="00B1083D" w:rsidRPr="004C78D8">
        <w:t>.</w:t>
      </w:r>
      <w:r w:rsidR="00E0143A" w:rsidRPr="004C78D8">
        <w:t xml:space="preserve"> </w:t>
      </w:r>
      <w:r w:rsidR="005C65A2" w:rsidRPr="004C78D8">
        <w:t>Nevertheless</w:t>
      </w:r>
      <w:r w:rsidR="00E0143A" w:rsidRPr="004C78D8">
        <w:t xml:space="preserve">, the ELSA uptake rate was similar to that observed in a UK trial of falls prevention exercise that mainly relied on community marketing for recruitment </w:t>
      </w:r>
      <w:r w:rsidR="00E0143A" w:rsidRPr="004C78D8">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instrText xml:space="preserve"> ADDIN EN.CITE </w:instrText>
      </w:r>
      <w:r w:rsidR="00513646" w:rsidRPr="004C78D8">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instrText xml:space="preserve"> ADDIN EN.CITE.DATA </w:instrText>
      </w:r>
      <w:r w:rsidR="00513646" w:rsidRPr="004C78D8">
        <w:fldChar w:fldCharType="end"/>
      </w:r>
      <w:r w:rsidR="00E0143A" w:rsidRPr="004C78D8">
        <w:fldChar w:fldCharType="separate"/>
      </w:r>
      <w:r w:rsidR="00513646" w:rsidRPr="004C78D8">
        <w:rPr>
          <w:noProof/>
        </w:rPr>
        <w:t>[135]</w:t>
      </w:r>
      <w:r w:rsidR="00E0143A" w:rsidRPr="004C78D8">
        <w:fldChar w:fldCharType="end"/>
      </w:r>
      <w:r w:rsidR="00E0143A" w:rsidRPr="004C78D8">
        <w:t>: among those aged 65</w:t>
      </w:r>
      <w:r w:rsidR="00E0049D" w:rsidRPr="004C78D8">
        <w:t>+</w:t>
      </w:r>
      <w:r w:rsidR="00E0143A" w:rsidRPr="004C78D8">
        <w:t xml:space="preserve"> with less than </w:t>
      </w:r>
      <w:r w:rsidR="00E0049D" w:rsidRPr="004C78D8">
        <w:t>three</w:t>
      </w:r>
      <w:r w:rsidR="00E0143A" w:rsidRPr="004C78D8">
        <w:t xml:space="preserve"> falls in </w:t>
      </w:r>
      <w:r w:rsidR="0011633A" w:rsidRPr="004C78D8">
        <w:t xml:space="preserve">the </w:t>
      </w:r>
      <w:r w:rsidR="00E0143A" w:rsidRPr="004C78D8">
        <w:t xml:space="preserve">past year, the </w:t>
      </w:r>
      <w:r w:rsidR="00E0049D" w:rsidRPr="004C78D8">
        <w:t xml:space="preserve">ELSA </w:t>
      </w:r>
      <w:r w:rsidR="00E0143A" w:rsidRPr="004C78D8">
        <w:t>uptake rate was 8.8%</w:t>
      </w:r>
      <w:r w:rsidR="00E0049D" w:rsidRPr="004C78D8">
        <w:t xml:space="preserve"> compared to</w:t>
      </w:r>
      <w:r w:rsidR="00E0143A" w:rsidRPr="004C78D8">
        <w:t xml:space="preserve"> 6.1% in the trial. </w:t>
      </w:r>
    </w:p>
    <w:p w14:paraId="6E45C5C9" w14:textId="4A63B4C8" w:rsidR="00CE7F26" w:rsidRPr="004C78D8" w:rsidRDefault="00E0143A" w:rsidP="00FB7C1F">
      <w:r w:rsidRPr="004C78D8">
        <w:t>A</w:t>
      </w:r>
      <w:r w:rsidR="00AA082C" w:rsidRPr="004C78D8">
        <w:t xml:space="preserve"> multivariate logistic regression was estimated to assess </w:t>
      </w:r>
      <w:r w:rsidR="00D04D0C" w:rsidRPr="004C78D8">
        <w:t xml:space="preserve">the </w:t>
      </w:r>
      <w:r w:rsidR="00E0049D" w:rsidRPr="004C78D8">
        <w:t xml:space="preserve">variation in </w:t>
      </w:r>
      <w:r w:rsidR="00D04D0C" w:rsidRPr="004C78D8">
        <w:t xml:space="preserve">exercise </w:t>
      </w:r>
      <w:r w:rsidR="00AA082C" w:rsidRPr="004C78D8">
        <w:t xml:space="preserve">uptake. Table </w:t>
      </w:r>
      <w:r w:rsidR="00AA096B" w:rsidRPr="004C78D8">
        <w:t>5</w:t>
      </w:r>
      <w:r w:rsidRPr="004C78D8">
        <w:t>.</w:t>
      </w:r>
      <w:r w:rsidR="006A252D" w:rsidRPr="004C78D8">
        <w:t>30</w:t>
      </w:r>
      <w:r w:rsidR="00AA082C" w:rsidRPr="004C78D8">
        <w:t xml:space="preserve"> shows the results</w:t>
      </w:r>
      <w:r w:rsidR="00D04D0C" w:rsidRPr="004C78D8">
        <w:t>.</w:t>
      </w:r>
      <w:r w:rsidR="00961BAF" w:rsidRPr="004C78D8">
        <w:t xml:space="preserve"> </w:t>
      </w:r>
    </w:p>
    <w:tbl>
      <w:tblPr>
        <w:tblStyle w:val="TableGrid"/>
        <w:tblW w:w="0" w:type="auto"/>
        <w:tblInd w:w="-5" w:type="dxa"/>
        <w:tblLook w:val="04A0" w:firstRow="1" w:lastRow="0" w:firstColumn="1" w:lastColumn="0" w:noHBand="0" w:noVBand="1"/>
      </w:tblPr>
      <w:tblGrid>
        <w:gridCol w:w="2263"/>
        <w:gridCol w:w="1701"/>
        <w:gridCol w:w="1701"/>
      </w:tblGrid>
      <w:tr w:rsidR="002B4877" w:rsidRPr="004C78D8" w14:paraId="523E43C2" w14:textId="77777777" w:rsidTr="00E35893">
        <w:tc>
          <w:tcPr>
            <w:tcW w:w="5665" w:type="dxa"/>
            <w:gridSpan w:val="3"/>
          </w:tcPr>
          <w:p w14:paraId="4CAADF1D" w14:textId="6E1B2E7A" w:rsidR="002B4877" w:rsidRPr="004C78D8" w:rsidRDefault="002B4877" w:rsidP="00FB7C1F">
            <w:r w:rsidRPr="004C78D8">
              <w:rPr>
                <w:b/>
                <w:bCs/>
              </w:rPr>
              <w:t xml:space="preserve">Table </w:t>
            </w:r>
            <w:r w:rsidR="00AA096B" w:rsidRPr="004C78D8">
              <w:rPr>
                <w:b/>
                <w:bCs/>
              </w:rPr>
              <w:t>5</w:t>
            </w:r>
            <w:r w:rsidR="00692CE7" w:rsidRPr="004C78D8">
              <w:rPr>
                <w:b/>
                <w:bCs/>
              </w:rPr>
              <w:t>.</w:t>
            </w:r>
            <w:r w:rsidR="006A252D" w:rsidRPr="004C78D8">
              <w:rPr>
                <w:b/>
                <w:bCs/>
              </w:rPr>
              <w:t>30</w:t>
            </w:r>
            <w:r w:rsidRPr="004C78D8">
              <w:t xml:space="preserve"> Logistic regression coefficients for self-referred exercise uptake </w:t>
            </w:r>
            <w:r w:rsidR="00E0049D" w:rsidRPr="004C78D8">
              <w:t>from</w:t>
            </w:r>
            <w:r w:rsidRPr="004C78D8">
              <w:t xml:space="preserve"> ELSA Waves 4 and 5</w:t>
            </w:r>
            <w:r w:rsidR="00E0049D" w:rsidRPr="004C78D8">
              <w:t>.</w:t>
            </w:r>
          </w:p>
        </w:tc>
      </w:tr>
      <w:tr w:rsidR="002B4877" w:rsidRPr="004C78D8" w14:paraId="3D83C042" w14:textId="77777777" w:rsidTr="00E35893">
        <w:tc>
          <w:tcPr>
            <w:tcW w:w="5665" w:type="dxa"/>
            <w:gridSpan w:val="3"/>
          </w:tcPr>
          <w:p w14:paraId="39BA5CB8" w14:textId="2A7662BA" w:rsidR="002B4877" w:rsidRPr="004C78D8" w:rsidRDefault="002B4877" w:rsidP="00FB7C1F">
            <w:pPr>
              <w:jc w:val="left"/>
              <w:rPr>
                <w:b/>
                <w:bCs/>
                <w:i/>
                <w:iCs/>
                <w:sz w:val="20"/>
                <w:szCs w:val="20"/>
              </w:rPr>
            </w:pPr>
            <w:r w:rsidRPr="004C78D8">
              <w:rPr>
                <w:b/>
                <w:bCs/>
                <w:i/>
                <w:iCs/>
                <w:sz w:val="20"/>
                <w:szCs w:val="20"/>
              </w:rPr>
              <w:t>Dependent variable: exercise uptake (N=13,173)</w:t>
            </w:r>
            <w:r w:rsidRPr="004C78D8">
              <w:rPr>
                <w:b/>
                <w:bCs/>
                <w:i/>
                <w:iCs/>
                <w:sz w:val="20"/>
                <w:szCs w:val="20"/>
                <w:vertAlign w:val="superscript"/>
              </w:rPr>
              <w:t>1</w:t>
            </w:r>
          </w:p>
        </w:tc>
      </w:tr>
      <w:tr w:rsidR="002B4877" w:rsidRPr="004C78D8" w14:paraId="49B47347" w14:textId="77777777" w:rsidTr="00E35893">
        <w:tc>
          <w:tcPr>
            <w:tcW w:w="2263" w:type="dxa"/>
            <w:tcBorders>
              <w:bottom w:val="single" w:sz="4" w:space="0" w:color="auto"/>
            </w:tcBorders>
          </w:tcPr>
          <w:p w14:paraId="02736D69" w14:textId="77777777" w:rsidR="002B4877" w:rsidRPr="004C78D8" w:rsidRDefault="002B4877" w:rsidP="00FB7C1F">
            <w:pPr>
              <w:rPr>
                <w:b/>
                <w:bCs/>
                <w:sz w:val="20"/>
                <w:szCs w:val="20"/>
              </w:rPr>
            </w:pPr>
            <w:r w:rsidRPr="004C78D8">
              <w:rPr>
                <w:b/>
                <w:bCs/>
                <w:sz w:val="20"/>
                <w:szCs w:val="20"/>
              </w:rPr>
              <w:t>Explanatory variables</w:t>
            </w:r>
          </w:p>
        </w:tc>
        <w:tc>
          <w:tcPr>
            <w:tcW w:w="1701" w:type="dxa"/>
            <w:tcBorders>
              <w:bottom w:val="single" w:sz="4" w:space="0" w:color="auto"/>
            </w:tcBorders>
          </w:tcPr>
          <w:p w14:paraId="213908EC" w14:textId="77777777" w:rsidR="002B4877" w:rsidRPr="004C78D8" w:rsidRDefault="002B4877" w:rsidP="00FB7C1F">
            <w:pPr>
              <w:jc w:val="center"/>
              <w:rPr>
                <w:b/>
                <w:bCs/>
                <w:sz w:val="20"/>
                <w:szCs w:val="20"/>
              </w:rPr>
            </w:pPr>
            <w:r w:rsidRPr="004C78D8">
              <w:rPr>
                <w:b/>
                <w:bCs/>
                <w:sz w:val="20"/>
                <w:szCs w:val="20"/>
              </w:rPr>
              <w:t>Coefficient (SE)</w:t>
            </w:r>
          </w:p>
        </w:tc>
        <w:tc>
          <w:tcPr>
            <w:tcW w:w="1701" w:type="dxa"/>
            <w:tcBorders>
              <w:bottom w:val="single" w:sz="4" w:space="0" w:color="auto"/>
            </w:tcBorders>
          </w:tcPr>
          <w:p w14:paraId="24180CEC" w14:textId="77777777" w:rsidR="002B4877" w:rsidRPr="004C78D8" w:rsidRDefault="002B4877" w:rsidP="00FB7C1F">
            <w:pPr>
              <w:jc w:val="center"/>
              <w:rPr>
                <w:b/>
                <w:bCs/>
                <w:sz w:val="20"/>
                <w:szCs w:val="20"/>
              </w:rPr>
            </w:pPr>
            <w:r w:rsidRPr="004C78D8">
              <w:rPr>
                <w:b/>
                <w:bCs/>
                <w:sz w:val="20"/>
                <w:szCs w:val="20"/>
              </w:rPr>
              <w:t>P-value</w:t>
            </w:r>
          </w:p>
        </w:tc>
      </w:tr>
      <w:tr w:rsidR="002B4877" w:rsidRPr="004C78D8" w14:paraId="4F3656AC" w14:textId="77777777" w:rsidTr="00E35893">
        <w:tc>
          <w:tcPr>
            <w:tcW w:w="2263" w:type="dxa"/>
            <w:tcBorders>
              <w:bottom w:val="nil"/>
            </w:tcBorders>
          </w:tcPr>
          <w:p w14:paraId="2AB757D1" w14:textId="77777777" w:rsidR="002B4877" w:rsidRPr="004C78D8" w:rsidRDefault="002B4877" w:rsidP="00FB7C1F">
            <w:pPr>
              <w:rPr>
                <w:sz w:val="18"/>
                <w:szCs w:val="18"/>
              </w:rPr>
            </w:pPr>
            <w:r w:rsidRPr="004C78D8">
              <w:rPr>
                <w:sz w:val="18"/>
                <w:szCs w:val="18"/>
              </w:rPr>
              <w:t>Constant</w:t>
            </w:r>
          </w:p>
        </w:tc>
        <w:tc>
          <w:tcPr>
            <w:tcW w:w="1701" w:type="dxa"/>
            <w:tcBorders>
              <w:bottom w:val="nil"/>
            </w:tcBorders>
          </w:tcPr>
          <w:p w14:paraId="56B0AB6A" w14:textId="620AE0F4" w:rsidR="002B4877" w:rsidRPr="004C78D8" w:rsidRDefault="002B4877" w:rsidP="00FB7C1F">
            <w:pPr>
              <w:jc w:val="center"/>
              <w:rPr>
                <w:sz w:val="18"/>
                <w:szCs w:val="18"/>
              </w:rPr>
            </w:pPr>
            <w:r w:rsidRPr="004C78D8">
              <w:rPr>
                <w:sz w:val="18"/>
                <w:szCs w:val="18"/>
              </w:rPr>
              <w:t>-1</w:t>
            </w:r>
            <w:r w:rsidR="004E7841" w:rsidRPr="004C78D8">
              <w:rPr>
                <w:sz w:val="18"/>
                <w:szCs w:val="18"/>
              </w:rPr>
              <w:t>1</w:t>
            </w:r>
            <w:r w:rsidRPr="004C78D8">
              <w:rPr>
                <w:sz w:val="18"/>
                <w:szCs w:val="18"/>
              </w:rPr>
              <w:t>.</w:t>
            </w:r>
            <w:r w:rsidR="00951350" w:rsidRPr="004C78D8">
              <w:rPr>
                <w:sz w:val="18"/>
                <w:szCs w:val="18"/>
              </w:rPr>
              <w:t>206</w:t>
            </w:r>
            <w:r w:rsidRPr="004C78D8">
              <w:rPr>
                <w:sz w:val="18"/>
                <w:szCs w:val="18"/>
              </w:rPr>
              <w:t xml:space="preserve"> (</w:t>
            </w:r>
            <w:r w:rsidR="004E7841" w:rsidRPr="004C78D8">
              <w:rPr>
                <w:sz w:val="18"/>
                <w:szCs w:val="18"/>
              </w:rPr>
              <w:t>2</w:t>
            </w:r>
            <w:r w:rsidRPr="004C78D8">
              <w:rPr>
                <w:sz w:val="18"/>
                <w:szCs w:val="18"/>
              </w:rPr>
              <w:t>.</w:t>
            </w:r>
            <w:r w:rsidR="004E7841" w:rsidRPr="004C78D8">
              <w:rPr>
                <w:sz w:val="18"/>
                <w:szCs w:val="18"/>
              </w:rPr>
              <w:t>6</w:t>
            </w:r>
            <w:r w:rsidRPr="004C78D8">
              <w:rPr>
                <w:sz w:val="18"/>
                <w:szCs w:val="18"/>
              </w:rPr>
              <w:t>6</w:t>
            </w:r>
            <w:r w:rsidR="00951350" w:rsidRPr="004C78D8">
              <w:rPr>
                <w:sz w:val="18"/>
                <w:szCs w:val="18"/>
              </w:rPr>
              <w:t>5</w:t>
            </w:r>
            <w:r w:rsidRPr="004C78D8">
              <w:rPr>
                <w:sz w:val="18"/>
                <w:szCs w:val="18"/>
              </w:rPr>
              <w:t>)</w:t>
            </w:r>
          </w:p>
        </w:tc>
        <w:tc>
          <w:tcPr>
            <w:tcW w:w="1701" w:type="dxa"/>
            <w:tcBorders>
              <w:bottom w:val="nil"/>
            </w:tcBorders>
          </w:tcPr>
          <w:p w14:paraId="52ACEE14" w14:textId="77777777" w:rsidR="002B4877" w:rsidRPr="004C78D8" w:rsidRDefault="002B4877" w:rsidP="00FB7C1F">
            <w:pPr>
              <w:jc w:val="center"/>
              <w:rPr>
                <w:sz w:val="18"/>
                <w:szCs w:val="18"/>
              </w:rPr>
            </w:pPr>
            <w:r w:rsidRPr="004C78D8">
              <w:rPr>
                <w:sz w:val="18"/>
                <w:szCs w:val="18"/>
              </w:rPr>
              <w:t>&lt;0.001</w:t>
            </w:r>
          </w:p>
        </w:tc>
      </w:tr>
      <w:tr w:rsidR="002B4877" w:rsidRPr="004C78D8" w14:paraId="3BD978C0" w14:textId="77777777" w:rsidTr="00E35893">
        <w:tc>
          <w:tcPr>
            <w:tcW w:w="2263" w:type="dxa"/>
            <w:tcBorders>
              <w:top w:val="nil"/>
              <w:bottom w:val="nil"/>
            </w:tcBorders>
          </w:tcPr>
          <w:p w14:paraId="72A7E36A" w14:textId="77777777" w:rsidR="002B4877" w:rsidRPr="004C78D8" w:rsidRDefault="002B4877" w:rsidP="00FB7C1F">
            <w:pPr>
              <w:rPr>
                <w:sz w:val="18"/>
                <w:szCs w:val="18"/>
              </w:rPr>
            </w:pPr>
            <w:r w:rsidRPr="004C78D8">
              <w:rPr>
                <w:sz w:val="18"/>
                <w:szCs w:val="18"/>
              </w:rPr>
              <w:t>Age</w:t>
            </w:r>
          </w:p>
        </w:tc>
        <w:tc>
          <w:tcPr>
            <w:tcW w:w="1701" w:type="dxa"/>
            <w:tcBorders>
              <w:top w:val="nil"/>
              <w:bottom w:val="nil"/>
            </w:tcBorders>
          </w:tcPr>
          <w:p w14:paraId="2DCC5F08" w14:textId="6683C327" w:rsidR="002B4877" w:rsidRPr="004C78D8" w:rsidRDefault="002B4877" w:rsidP="00FB7C1F">
            <w:pPr>
              <w:jc w:val="center"/>
              <w:rPr>
                <w:sz w:val="18"/>
                <w:szCs w:val="18"/>
              </w:rPr>
            </w:pPr>
            <w:r w:rsidRPr="004C78D8">
              <w:rPr>
                <w:sz w:val="18"/>
                <w:szCs w:val="18"/>
              </w:rPr>
              <w:t>0.</w:t>
            </w:r>
            <w:r w:rsidR="004E7841" w:rsidRPr="004C78D8">
              <w:rPr>
                <w:sz w:val="18"/>
                <w:szCs w:val="18"/>
              </w:rPr>
              <w:t>2</w:t>
            </w:r>
            <w:r w:rsidR="00951350" w:rsidRPr="004C78D8">
              <w:rPr>
                <w:sz w:val="18"/>
                <w:szCs w:val="18"/>
              </w:rPr>
              <w:t>09</w:t>
            </w:r>
            <w:r w:rsidRPr="004C78D8">
              <w:rPr>
                <w:sz w:val="18"/>
                <w:szCs w:val="18"/>
              </w:rPr>
              <w:t xml:space="preserve"> (0.0</w:t>
            </w:r>
            <w:r w:rsidR="004E7841" w:rsidRPr="004C78D8">
              <w:rPr>
                <w:sz w:val="18"/>
                <w:szCs w:val="18"/>
              </w:rPr>
              <w:t>7</w:t>
            </w:r>
            <w:r w:rsidR="00951350" w:rsidRPr="004C78D8">
              <w:rPr>
                <w:sz w:val="18"/>
                <w:szCs w:val="18"/>
              </w:rPr>
              <w:t>4</w:t>
            </w:r>
            <w:r w:rsidRPr="004C78D8">
              <w:rPr>
                <w:sz w:val="18"/>
                <w:szCs w:val="18"/>
              </w:rPr>
              <w:t>)</w:t>
            </w:r>
          </w:p>
        </w:tc>
        <w:tc>
          <w:tcPr>
            <w:tcW w:w="1701" w:type="dxa"/>
            <w:tcBorders>
              <w:top w:val="nil"/>
              <w:bottom w:val="nil"/>
            </w:tcBorders>
          </w:tcPr>
          <w:p w14:paraId="146683C2" w14:textId="7E7A20AA" w:rsidR="002B4877" w:rsidRPr="004C78D8" w:rsidRDefault="002B4877" w:rsidP="00FB7C1F">
            <w:pPr>
              <w:jc w:val="center"/>
              <w:rPr>
                <w:sz w:val="18"/>
                <w:szCs w:val="18"/>
              </w:rPr>
            </w:pPr>
            <w:r w:rsidRPr="004C78D8">
              <w:rPr>
                <w:sz w:val="18"/>
                <w:szCs w:val="18"/>
              </w:rPr>
              <w:t>0.00</w:t>
            </w:r>
            <w:r w:rsidR="00951350" w:rsidRPr="004C78D8">
              <w:rPr>
                <w:sz w:val="18"/>
                <w:szCs w:val="18"/>
              </w:rPr>
              <w:t>5</w:t>
            </w:r>
          </w:p>
        </w:tc>
      </w:tr>
      <w:tr w:rsidR="002B4877" w:rsidRPr="004C78D8" w14:paraId="04C77BCD" w14:textId="77777777" w:rsidTr="00E35893">
        <w:tc>
          <w:tcPr>
            <w:tcW w:w="2263" w:type="dxa"/>
            <w:tcBorders>
              <w:top w:val="nil"/>
              <w:bottom w:val="nil"/>
            </w:tcBorders>
          </w:tcPr>
          <w:p w14:paraId="20FA3E56" w14:textId="77777777" w:rsidR="002B4877" w:rsidRPr="004C78D8" w:rsidRDefault="002B4877" w:rsidP="00FB7C1F">
            <w:pPr>
              <w:rPr>
                <w:sz w:val="18"/>
                <w:szCs w:val="18"/>
              </w:rPr>
            </w:pPr>
            <w:r w:rsidRPr="004C78D8">
              <w:rPr>
                <w:sz w:val="18"/>
                <w:szCs w:val="18"/>
              </w:rPr>
              <w:t>Age^2</w:t>
            </w:r>
          </w:p>
        </w:tc>
        <w:tc>
          <w:tcPr>
            <w:tcW w:w="1701" w:type="dxa"/>
            <w:tcBorders>
              <w:top w:val="nil"/>
              <w:bottom w:val="nil"/>
            </w:tcBorders>
          </w:tcPr>
          <w:p w14:paraId="3B3621E3" w14:textId="5ED06DA3" w:rsidR="002B4877" w:rsidRPr="004C78D8" w:rsidRDefault="002B4877" w:rsidP="00FB7C1F">
            <w:pPr>
              <w:jc w:val="center"/>
              <w:rPr>
                <w:sz w:val="18"/>
                <w:szCs w:val="18"/>
              </w:rPr>
            </w:pPr>
            <w:r w:rsidRPr="004C78D8">
              <w:rPr>
                <w:sz w:val="18"/>
                <w:szCs w:val="18"/>
              </w:rPr>
              <w:t>-0.00</w:t>
            </w:r>
            <w:r w:rsidR="004E7841" w:rsidRPr="004C78D8">
              <w:rPr>
                <w:sz w:val="18"/>
                <w:szCs w:val="18"/>
              </w:rPr>
              <w:t>2</w:t>
            </w:r>
            <w:r w:rsidRPr="004C78D8">
              <w:rPr>
                <w:sz w:val="18"/>
                <w:szCs w:val="18"/>
              </w:rPr>
              <w:t xml:space="preserve"> (0.000</w:t>
            </w:r>
            <w:r w:rsidR="004E7841" w:rsidRPr="004C78D8">
              <w:rPr>
                <w:sz w:val="18"/>
                <w:szCs w:val="18"/>
              </w:rPr>
              <w:t>5</w:t>
            </w:r>
            <w:r w:rsidRPr="004C78D8">
              <w:rPr>
                <w:sz w:val="18"/>
                <w:szCs w:val="18"/>
              </w:rPr>
              <w:t>)</w:t>
            </w:r>
          </w:p>
        </w:tc>
        <w:tc>
          <w:tcPr>
            <w:tcW w:w="1701" w:type="dxa"/>
            <w:tcBorders>
              <w:top w:val="nil"/>
              <w:bottom w:val="nil"/>
            </w:tcBorders>
          </w:tcPr>
          <w:p w14:paraId="26BEE798" w14:textId="50B21984" w:rsidR="002B4877" w:rsidRPr="004C78D8" w:rsidRDefault="002B4877" w:rsidP="00FB7C1F">
            <w:pPr>
              <w:jc w:val="center"/>
              <w:rPr>
                <w:sz w:val="18"/>
                <w:szCs w:val="18"/>
              </w:rPr>
            </w:pPr>
            <w:r w:rsidRPr="004C78D8">
              <w:rPr>
                <w:sz w:val="18"/>
                <w:szCs w:val="18"/>
              </w:rPr>
              <w:t>0.001</w:t>
            </w:r>
          </w:p>
        </w:tc>
      </w:tr>
      <w:tr w:rsidR="002B4877" w:rsidRPr="004C78D8" w14:paraId="23A120E0" w14:textId="77777777" w:rsidTr="00E35893">
        <w:tc>
          <w:tcPr>
            <w:tcW w:w="2263" w:type="dxa"/>
            <w:tcBorders>
              <w:top w:val="nil"/>
              <w:bottom w:val="nil"/>
            </w:tcBorders>
          </w:tcPr>
          <w:p w14:paraId="73E5292F" w14:textId="77777777" w:rsidR="002B4877" w:rsidRPr="004C78D8" w:rsidRDefault="002B4877" w:rsidP="00FB7C1F">
            <w:pPr>
              <w:rPr>
                <w:sz w:val="18"/>
                <w:szCs w:val="18"/>
              </w:rPr>
            </w:pPr>
            <w:r w:rsidRPr="004C78D8">
              <w:rPr>
                <w:sz w:val="18"/>
                <w:szCs w:val="18"/>
              </w:rPr>
              <w:t>Female</w:t>
            </w:r>
          </w:p>
        </w:tc>
        <w:tc>
          <w:tcPr>
            <w:tcW w:w="1701" w:type="dxa"/>
            <w:tcBorders>
              <w:top w:val="nil"/>
              <w:bottom w:val="nil"/>
            </w:tcBorders>
          </w:tcPr>
          <w:p w14:paraId="3969D561" w14:textId="42DAF19A" w:rsidR="002B4877" w:rsidRPr="004C78D8" w:rsidRDefault="002B4877" w:rsidP="00FB7C1F">
            <w:pPr>
              <w:jc w:val="center"/>
              <w:rPr>
                <w:sz w:val="18"/>
                <w:szCs w:val="18"/>
              </w:rPr>
            </w:pPr>
            <w:r w:rsidRPr="004C78D8">
              <w:rPr>
                <w:sz w:val="18"/>
                <w:szCs w:val="18"/>
              </w:rPr>
              <w:t>0.</w:t>
            </w:r>
            <w:r w:rsidR="004E7841" w:rsidRPr="004C78D8">
              <w:rPr>
                <w:sz w:val="18"/>
                <w:szCs w:val="18"/>
              </w:rPr>
              <w:t>7</w:t>
            </w:r>
            <w:r w:rsidR="00951350" w:rsidRPr="004C78D8">
              <w:rPr>
                <w:sz w:val="18"/>
                <w:szCs w:val="18"/>
              </w:rPr>
              <w:t>81</w:t>
            </w:r>
            <w:r w:rsidRPr="004C78D8">
              <w:rPr>
                <w:sz w:val="18"/>
                <w:szCs w:val="18"/>
              </w:rPr>
              <w:t xml:space="preserve"> (0.0</w:t>
            </w:r>
            <w:r w:rsidR="004E7841" w:rsidRPr="004C78D8">
              <w:rPr>
                <w:sz w:val="18"/>
                <w:szCs w:val="18"/>
              </w:rPr>
              <w:t>67</w:t>
            </w:r>
            <w:r w:rsidRPr="004C78D8">
              <w:rPr>
                <w:sz w:val="18"/>
                <w:szCs w:val="18"/>
              </w:rPr>
              <w:t>)</w:t>
            </w:r>
          </w:p>
        </w:tc>
        <w:tc>
          <w:tcPr>
            <w:tcW w:w="1701" w:type="dxa"/>
            <w:tcBorders>
              <w:top w:val="nil"/>
              <w:bottom w:val="nil"/>
            </w:tcBorders>
          </w:tcPr>
          <w:p w14:paraId="2C2BB3E5" w14:textId="77777777" w:rsidR="002B4877" w:rsidRPr="004C78D8" w:rsidRDefault="002B4877" w:rsidP="00FB7C1F">
            <w:pPr>
              <w:jc w:val="center"/>
              <w:rPr>
                <w:sz w:val="18"/>
                <w:szCs w:val="18"/>
              </w:rPr>
            </w:pPr>
            <w:r w:rsidRPr="004C78D8">
              <w:rPr>
                <w:sz w:val="18"/>
                <w:szCs w:val="18"/>
              </w:rPr>
              <w:t>&lt;0.001</w:t>
            </w:r>
          </w:p>
        </w:tc>
      </w:tr>
      <w:tr w:rsidR="002B4877" w:rsidRPr="004C78D8" w14:paraId="292EB7BB" w14:textId="77777777" w:rsidTr="00E35893">
        <w:tc>
          <w:tcPr>
            <w:tcW w:w="2263" w:type="dxa"/>
            <w:tcBorders>
              <w:top w:val="nil"/>
              <w:bottom w:val="nil"/>
            </w:tcBorders>
          </w:tcPr>
          <w:p w14:paraId="7776EC31" w14:textId="3AF2341D" w:rsidR="002B4877" w:rsidRPr="004C78D8" w:rsidRDefault="00E0049D" w:rsidP="00FB7C1F">
            <w:pPr>
              <w:rPr>
                <w:sz w:val="18"/>
                <w:szCs w:val="18"/>
              </w:rPr>
            </w:pPr>
            <w:r w:rsidRPr="004C78D8">
              <w:rPr>
                <w:sz w:val="18"/>
                <w:szCs w:val="18"/>
              </w:rPr>
              <w:t>SES</w:t>
            </w:r>
            <w:r w:rsidR="002B4877" w:rsidRPr="004C78D8">
              <w:rPr>
                <w:sz w:val="18"/>
                <w:szCs w:val="18"/>
              </w:rPr>
              <w:t xml:space="preserve"> (ref: Most privileged quartile)</w:t>
            </w:r>
          </w:p>
        </w:tc>
        <w:tc>
          <w:tcPr>
            <w:tcW w:w="1701" w:type="dxa"/>
            <w:tcBorders>
              <w:top w:val="nil"/>
              <w:bottom w:val="nil"/>
            </w:tcBorders>
          </w:tcPr>
          <w:p w14:paraId="28500432" w14:textId="77777777" w:rsidR="002B4877" w:rsidRPr="004C78D8" w:rsidRDefault="002B4877" w:rsidP="00FB7C1F">
            <w:pPr>
              <w:jc w:val="center"/>
              <w:rPr>
                <w:sz w:val="18"/>
                <w:szCs w:val="18"/>
              </w:rPr>
            </w:pPr>
          </w:p>
        </w:tc>
        <w:tc>
          <w:tcPr>
            <w:tcW w:w="1701" w:type="dxa"/>
            <w:tcBorders>
              <w:top w:val="nil"/>
              <w:bottom w:val="nil"/>
            </w:tcBorders>
          </w:tcPr>
          <w:p w14:paraId="20BDB753" w14:textId="77777777" w:rsidR="002B4877" w:rsidRPr="004C78D8" w:rsidRDefault="002B4877" w:rsidP="00FB7C1F">
            <w:pPr>
              <w:jc w:val="center"/>
              <w:rPr>
                <w:sz w:val="18"/>
                <w:szCs w:val="18"/>
              </w:rPr>
            </w:pPr>
          </w:p>
        </w:tc>
      </w:tr>
      <w:tr w:rsidR="002B4877" w:rsidRPr="004C78D8" w14:paraId="6A507A23" w14:textId="77777777" w:rsidTr="00E35893">
        <w:tc>
          <w:tcPr>
            <w:tcW w:w="2263" w:type="dxa"/>
            <w:tcBorders>
              <w:top w:val="nil"/>
              <w:bottom w:val="nil"/>
            </w:tcBorders>
          </w:tcPr>
          <w:p w14:paraId="004B4CD7" w14:textId="77777777" w:rsidR="002B4877" w:rsidRPr="004C78D8" w:rsidRDefault="002B4877" w:rsidP="00FB7C1F">
            <w:pPr>
              <w:jc w:val="right"/>
              <w:rPr>
                <w:sz w:val="18"/>
                <w:szCs w:val="18"/>
              </w:rPr>
            </w:pPr>
            <w:r w:rsidRPr="004C78D8">
              <w:rPr>
                <w:i/>
                <w:iCs/>
                <w:sz w:val="18"/>
                <w:szCs w:val="18"/>
              </w:rPr>
              <w:t>2</w:t>
            </w:r>
            <w:r w:rsidRPr="004C78D8">
              <w:rPr>
                <w:i/>
                <w:iCs/>
                <w:sz w:val="18"/>
                <w:szCs w:val="18"/>
                <w:vertAlign w:val="superscript"/>
              </w:rPr>
              <w:t>nd</w:t>
            </w:r>
            <w:r w:rsidRPr="004C78D8">
              <w:rPr>
                <w:i/>
                <w:iCs/>
                <w:sz w:val="18"/>
                <w:szCs w:val="18"/>
              </w:rPr>
              <w:t xml:space="preserve"> quartile</w:t>
            </w:r>
          </w:p>
        </w:tc>
        <w:tc>
          <w:tcPr>
            <w:tcW w:w="1701" w:type="dxa"/>
            <w:tcBorders>
              <w:top w:val="nil"/>
              <w:bottom w:val="nil"/>
            </w:tcBorders>
          </w:tcPr>
          <w:p w14:paraId="63CF87A7" w14:textId="7078E48E" w:rsidR="002B4877" w:rsidRPr="004C78D8" w:rsidRDefault="002B4877" w:rsidP="00FB7C1F">
            <w:pPr>
              <w:jc w:val="center"/>
              <w:rPr>
                <w:sz w:val="18"/>
                <w:szCs w:val="18"/>
              </w:rPr>
            </w:pPr>
            <w:r w:rsidRPr="004C78D8">
              <w:rPr>
                <w:sz w:val="18"/>
                <w:szCs w:val="18"/>
              </w:rPr>
              <w:t>0.</w:t>
            </w:r>
            <w:r w:rsidR="004E7841" w:rsidRPr="004C78D8">
              <w:rPr>
                <w:sz w:val="18"/>
                <w:szCs w:val="18"/>
              </w:rPr>
              <w:t>0</w:t>
            </w:r>
            <w:r w:rsidR="00951350" w:rsidRPr="004C78D8">
              <w:rPr>
                <w:sz w:val="18"/>
                <w:szCs w:val="18"/>
              </w:rPr>
              <w:t>38</w:t>
            </w:r>
            <w:r w:rsidRPr="004C78D8">
              <w:rPr>
                <w:sz w:val="18"/>
                <w:szCs w:val="18"/>
              </w:rPr>
              <w:t xml:space="preserve"> (0.0</w:t>
            </w:r>
            <w:r w:rsidR="004E7841" w:rsidRPr="004C78D8">
              <w:rPr>
                <w:sz w:val="18"/>
                <w:szCs w:val="18"/>
              </w:rPr>
              <w:t>82</w:t>
            </w:r>
            <w:r w:rsidRPr="004C78D8">
              <w:rPr>
                <w:sz w:val="18"/>
                <w:szCs w:val="18"/>
              </w:rPr>
              <w:t>)</w:t>
            </w:r>
          </w:p>
        </w:tc>
        <w:tc>
          <w:tcPr>
            <w:tcW w:w="1701" w:type="dxa"/>
            <w:tcBorders>
              <w:top w:val="nil"/>
              <w:bottom w:val="nil"/>
            </w:tcBorders>
          </w:tcPr>
          <w:p w14:paraId="2B9410AD" w14:textId="093E9CE8" w:rsidR="002B4877" w:rsidRPr="004C78D8" w:rsidRDefault="002B4877" w:rsidP="00FB7C1F">
            <w:pPr>
              <w:jc w:val="center"/>
              <w:rPr>
                <w:sz w:val="18"/>
                <w:szCs w:val="18"/>
              </w:rPr>
            </w:pPr>
            <w:r w:rsidRPr="004C78D8">
              <w:rPr>
                <w:sz w:val="18"/>
                <w:szCs w:val="18"/>
              </w:rPr>
              <w:t>0.</w:t>
            </w:r>
            <w:r w:rsidR="004E7841" w:rsidRPr="004C78D8">
              <w:rPr>
                <w:sz w:val="18"/>
                <w:szCs w:val="18"/>
              </w:rPr>
              <w:t>6</w:t>
            </w:r>
            <w:r w:rsidR="00951350" w:rsidRPr="004C78D8">
              <w:rPr>
                <w:sz w:val="18"/>
                <w:szCs w:val="18"/>
              </w:rPr>
              <w:t>45</w:t>
            </w:r>
          </w:p>
        </w:tc>
      </w:tr>
      <w:tr w:rsidR="002B4877" w:rsidRPr="004C78D8" w14:paraId="295F9CCD" w14:textId="77777777" w:rsidTr="00E35893">
        <w:tc>
          <w:tcPr>
            <w:tcW w:w="2263" w:type="dxa"/>
            <w:tcBorders>
              <w:top w:val="nil"/>
              <w:bottom w:val="nil"/>
            </w:tcBorders>
          </w:tcPr>
          <w:p w14:paraId="2C6A80E2" w14:textId="77777777" w:rsidR="002B4877" w:rsidRPr="004C78D8" w:rsidRDefault="002B4877" w:rsidP="00FB7C1F">
            <w:pPr>
              <w:jc w:val="right"/>
              <w:rPr>
                <w:sz w:val="18"/>
                <w:szCs w:val="18"/>
              </w:rPr>
            </w:pPr>
            <w:r w:rsidRPr="004C78D8">
              <w:rPr>
                <w:i/>
                <w:iCs/>
                <w:sz w:val="18"/>
                <w:szCs w:val="18"/>
              </w:rPr>
              <w:t>3</w:t>
            </w:r>
            <w:r w:rsidRPr="004C78D8">
              <w:rPr>
                <w:i/>
                <w:iCs/>
                <w:sz w:val="18"/>
                <w:szCs w:val="18"/>
                <w:vertAlign w:val="superscript"/>
              </w:rPr>
              <w:t>rd</w:t>
            </w:r>
            <w:r w:rsidRPr="004C78D8">
              <w:rPr>
                <w:i/>
                <w:iCs/>
                <w:sz w:val="18"/>
                <w:szCs w:val="18"/>
              </w:rPr>
              <w:t xml:space="preserve"> quartile</w:t>
            </w:r>
          </w:p>
        </w:tc>
        <w:tc>
          <w:tcPr>
            <w:tcW w:w="1701" w:type="dxa"/>
            <w:tcBorders>
              <w:top w:val="nil"/>
              <w:bottom w:val="nil"/>
            </w:tcBorders>
          </w:tcPr>
          <w:p w14:paraId="0CDF34B9" w14:textId="64FC6B71" w:rsidR="002B4877" w:rsidRPr="004C78D8" w:rsidRDefault="004E7841" w:rsidP="00FB7C1F">
            <w:pPr>
              <w:jc w:val="center"/>
              <w:rPr>
                <w:sz w:val="18"/>
                <w:szCs w:val="18"/>
              </w:rPr>
            </w:pPr>
            <w:r w:rsidRPr="004C78D8">
              <w:rPr>
                <w:sz w:val="18"/>
                <w:szCs w:val="18"/>
              </w:rPr>
              <w:t>-</w:t>
            </w:r>
            <w:r w:rsidR="002B4877" w:rsidRPr="004C78D8">
              <w:rPr>
                <w:sz w:val="18"/>
                <w:szCs w:val="18"/>
              </w:rPr>
              <w:t>0.</w:t>
            </w:r>
            <w:r w:rsidRPr="004C78D8">
              <w:rPr>
                <w:sz w:val="18"/>
                <w:szCs w:val="18"/>
              </w:rPr>
              <w:t>27</w:t>
            </w:r>
            <w:r w:rsidR="00951350" w:rsidRPr="004C78D8">
              <w:rPr>
                <w:sz w:val="18"/>
                <w:szCs w:val="18"/>
              </w:rPr>
              <w:t>6</w:t>
            </w:r>
            <w:r w:rsidR="002B4877" w:rsidRPr="004C78D8">
              <w:rPr>
                <w:sz w:val="18"/>
                <w:szCs w:val="18"/>
              </w:rPr>
              <w:t xml:space="preserve"> (0.0</w:t>
            </w:r>
            <w:r w:rsidRPr="004C78D8">
              <w:rPr>
                <w:sz w:val="18"/>
                <w:szCs w:val="18"/>
              </w:rPr>
              <w:t>76</w:t>
            </w:r>
            <w:r w:rsidR="002B4877" w:rsidRPr="004C78D8">
              <w:rPr>
                <w:sz w:val="18"/>
                <w:szCs w:val="18"/>
              </w:rPr>
              <w:t>)</w:t>
            </w:r>
          </w:p>
        </w:tc>
        <w:tc>
          <w:tcPr>
            <w:tcW w:w="1701" w:type="dxa"/>
            <w:tcBorders>
              <w:top w:val="nil"/>
              <w:bottom w:val="nil"/>
            </w:tcBorders>
          </w:tcPr>
          <w:p w14:paraId="69F64FC8" w14:textId="0D9A02E5" w:rsidR="002B4877" w:rsidRPr="004C78D8" w:rsidRDefault="004E7841" w:rsidP="00FB7C1F">
            <w:pPr>
              <w:jc w:val="center"/>
              <w:rPr>
                <w:sz w:val="18"/>
                <w:szCs w:val="18"/>
              </w:rPr>
            </w:pPr>
            <w:r w:rsidRPr="004C78D8">
              <w:rPr>
                <w:sz w:val="18"/>
                <w:szCs w:val="18"/>
              </w:rPr>
              <w:t>&lt;0.001</w:t>
            </w:r>
          </w:p>
        </w:tc>
      </w:tr>
      <w:tr w:rsidR="002B4877" w:rsidRPr="004C78D8" w14:paraId="3ACC0824" w14:textId="77777777" w:rsidTr="00E35893">
        <w:tc>
          <w:tcPr>
            <w:tcW w:w="2263" w:type="dxa"/>
            <w:tcBorders>
              <w:top w:val="nil"/>
              <w:bottom w:val="nil"/>
            </w:tcBorders>
          </w:tcPr>
          <w:p w14:paraId="540F2296" w14:textId="77777777" w:rsidR="002B4877" w:rsidRPr="004C78D8" w:rsidRDefault="002B4877" w:rsidP="00FB7C1F">
            <w:pPr>
              <w:jc w:val="right"/>
              <w:rPr>
                <w:sz w:val="18"/>
                <w:szCs w:val="18"/>
              </w:rPr>
            </w:pPr>
            <w:r w:rsidRPr="004C78D8">
              <w:rPr>
                <w:i/>
                <w:iCs/>
                <w:sz w:val="18"/>
                <w:szCs w:val="18"/>
              </w:rPr>
              <w:t>Most deprived quartile</w:t>
            </w:r>
          </w:p>
        </w:tc>
        <w:tc>
          <w:tcPr>
            <w:tcW w:w="1701" w:type="dxa"/>
            <w:tcBorders>
              <w:top w:val="nil"/>
              <w:bottom w:val="nil"/>
            </w:tcBorders>
          </w:tcPr>
          <w:p w14:paraId="63AEC495" w14:textId="5DE204D7" w:rsidR="002B4877" w:rsidRPr="004C78D8" w:rsidRDefault="004E7841" w:rsidP="00FB7C1F">
            <w:pPr>
              <w:jc w:val="center"/>
              <w:rPr>
                <w:sz w:val="18"/>
                <w:szCs w:val="18"/>
              </w:rPr>
            </w:pPr>
            <w:r w:rsidRPr="004C78D8">
              <w:rPr>
                <w:sz w:val="18"/>
                <w:szCs w:val="18"/>
              </w:rPr>
              <w:t>-</w:t>
            </w:r>
            <w:r w:rsidR="002B4877" w:rsidRPr="004C78D8">
              <w:rPr>
                <w:sz w:val="18"/>
                <w:szCs w:val="18"/>
              </w:rPr>
              <w:t>0.</w:t>
            </w:r>
            <w:r w:rsidRPr="004C78D8">
              <w:rPr>
                <w:sz w:val="18"/>
                <w:szCs w:val="18"/>
              </w:rPr>
              <w:t>40</w:t>
            </w:r>
            <w:r w:rsidR="00951350" w:rsidRPr="004C78D8">
              <w:rPr>
                <w:sz w:val="18"/>
                <w:szCs w:val="18"/>
              </w:rPr>
              <w:t>9</w:t>
            </w:r>
            <w:r w:rsidR="002B4877" w:rsidRPr="004C78D8">
              <w:rPr>
                <w:sz w:val="18"/>
                <w:szCs w:val="18"/>
              </w:rPr>
              <w:t xml:space="preserve"> (0.</w:t>
            </w:r>
            <w:r w:rsidRPr="004C78D8">
              <w:rPr>
                <w:sz w:val="18"/>
                <w:szCs w:val="18"/>
              </w:rPr>
              <w:t>10</w:t>
            </w:r>
            <w:r w:rsidR="002B4877" w:rsidRPr="004C78D8">
              <w:rPr>
                <w:sz w:val="18"/>
                <w:szCs w:val="18"/>
              </w:rPr>
              <w:t>8)</w:t>
            </w:r>
          </w:p>
        </w:tc>
        <w:tc>
          <w:tcPr>
            <w:tcW w:w="1701" w:type="dxa"/>
            <w:tcBorders>
              <w:top w:val="nil"/>
              <w:bottom w:val="nil"/>
            </w:tcBorders>
          </w:tcPr>
          <w:p w14:paraId="42B87E24" w14:textId="391FBB77" w:rsidR="002B4877" w:rsidRPr="004C78D8" w:rsidRDefault="004E7841" w:rsidP="00FB7C1F">
            <w:pPr>
              <w:jc w:val="center"/>
              <w:rPr>
                <w:sz w:val="18"/>
                <w:szCs w:val="18"/>
              </w:rPr>
            </w:pPr>
            <w:r w:rsidRPr="004C78D8">
              <w:rPr>
                <w:sz w:val="18"/>
                <w:szCs w:val="18"/>
              </w:rPr>
              <w:t>&lt;0.001</w:t>
            </w:r>
          </w:p>
        </w:tc>
      </w:tr>
      <w:tr w:rsidR="002B4877" w:rsidRPr="004C78D8" w14:paraId="6EC30C6B" w14:textId="77777777" w:rsidTr="00E35893">
        <w:tc>
          <w:tcPr>
            <w:tcW w:w="2263" w:type="dxa"/>
            <w:tcBorders>
              <w:top w:val="nil"/>
              <w:bottom w:val="nil"/>
            </w:tcBorders>
          </w:tcPr>
          <w:p w14:paraId="4061177B" w14:textId="77777777" w:rsidR="002B4877" w:rsidRPr="004C78D8" w:rsidRDefault="002B4877" w:rsidP="00FB7C1F">
            <w:pPr>
              <w:rPr>
                <w:sz w:val="18"/>
                <w:szCs w:val="18"/>
              </w:rPr>
            </w:pPr>
            <w:r w:rsidRPr="004C78D8">
              <w:rPr>
                <w:sz w:val="18"/>
                <w:szCs w:val="18"/>
              </w:rPr>
              <w:t>Falls history (ref: No falls history)</w:t>
            </w:r>
          </w:p>
        </w:tc>
        <w:tc>
          <w:tcPr>
            <w:tcW w:w="1701" w:type="dxa"/>
            <w:tcBorders>
              <w:top w:val="nil"/>
              <w:bottom w:val="nil"/>
            </w:tcBorders>
          </w:tcPr>
          <w:p w14:paraId="67CEB1AF" w14:textId="77777777" w:rsidR="002B4877" w:rsidRPr="004C78D8" w:rsidRDefault="002B4877" w:rsidP="00FB7C1F">
            <w:pPr>
              <w:jc w:val="center"/>
              <w:rPr>
                <w:sz w:val="18"/>
                <w:szCs w:val="18"/>
              </w:rPr>
            </w:pPr>
          </w:p>
        </w:tc>
        <w:tc>
          <w:tcPr>
            <w:tcW w:w="1701" w:type="dxa"/>
            <w:tcBorders>
              <w:top w:val="nil"/>
              <w:bottom w:val="nil"/>
            </w:tcBorders>
          </w:tcPr>
          <w:p w14:paraId="7F8364E8" w14:textId="77777777" w:rsidR="002B4877" w:rsidRPr="004C78D8" w:rsidRDefault="002B4877" w:rsidP="00FB7C1F">
            <w:pPr>
              <w:jc w:val="center"/>
              <w:rPr>
                <w:sz w:val="18"/>
                <w:szCs w:val="18"/>
              </w:rPr>
            </w:pPr>
          </w:p>
        </w:tc>
      </w:tr>
      <w:tr w:rsidR="002B4877" w:rsidRPr="004C78D8" w14:paraId="43ACC7D2" w14:textId="77777777" w:rsidTr="00E35893">
        <w:tc>
          <w:tcPr>
            <w:tcW w:w="2263" w:type="dxa"/>
            <w:tcBorders>
              <w:top w:val="nil"/>
              <w:bottom w:val="nil"/>
            </w:tcBorders>
          </w:tcPr>
          <w:p w14:paraId="4BC053B1" w14:textId="77777777" w:rsidR="002B4877" w:rsidRPr="004C78D8" w:rsidRDefault="002B4877" w:rsidP="00FB7C1F">
            <w:pPr>
              <w:jc w:val="right"/>
              <w:rPr>
                <w:sz w:val="18"/>
                <w:szCs w:val="18"/>
              </w:rPr>
            </w:pPr>
            <w:r w:rsidRPr="004C78D8">
              <w:rPr>
                <w:i/>
                <w:iCs/>
                <w:sz w:val="18"/>
                <w:szCs w:val="18"/>
              </w:rPr>
              <w:t>Single non-MA fall</w:t>
            </w:r>
          </w:p>
        </w:tc>
        <w:tc>
          <w:tcPr>
            <w:tcW w:w="1701" w:type="dxa"/>
            <w:tcBorders>
              <w:top w:val="nil"/>
              <w:bottom w:val="nil"/>
            </w:tcBorders>
          </w:tcPr>
          <w:p w14:paraId="2C5779A7" w14:textId="349D92BB" w:rsidR="002B4877" w:rsidRPr="004C78D8" w:rsidRDefault="002B4877" w:rsidP="00FB7C1F">
            <w:pPr>
              <w:jc w:val="center"/>
              <w:rPr>
                <w:sz w:val="18"/>
                <w:szCs w:val="18"/>
              </w:rPr>
            </w:pPr>
            <w:r w:rsidRPr="004C78D8">
              <w:rPr>
                <w:sz w:val="18"/>
                <w:szCs w:val="18"/>
              </w:rPr>
              <w:t>0.</w:t>
            </w:r>
            <w:r w:rsidR="004E7841" w:rsidRPr="004C78D8">
              <w:rPr>
                <w:sz w:val="18"/>
                <w:szCs w:val="18"/>
              </w:rPr>
              <w:t>2</w:t>
            </w:r>
            <w:r w:rsidR="00951350" w:rsidRPr="004C78D8">
              <w:rPr>
                <w:sz w:val="18"/>
                <w:szCs w:val="18"/>
              </w:rPr>
              <w:t>69</w:t>
            </w:r>
            <w:r w:rsidRPr="004C78D8">
              <w:rPr>
                <w:sz w:val="18"/>
                <w:szCs w:val="18"/>
              </w:rPr>
              <w:t xml:space="preserve"> (0.0</w:t>
            </w:r>
            <w:r w:rsidR="004E7841" w:rsidRPr="004C78D8">
              <w:rPr>
                <w:sz w:val="18"/>
                <w:szCs w:val="18"/>
              </w:rPr>
              <w:t>93</w:t>
            </w:r>
            <w:r w:rsidRPr="004C78D8">
              <w:rPr>
                <w:sz w:val="18"/>
                <w:szCs w:val="18"/>
              </w:rPr>
              <w:t>)</w:t>
            </w:r>
          </w:p>
        </w:tc>
        <w:tc>
          <w:tcPr>
            <w:tcW w:w="1701" w:type="dxa"/>
            <w:tcBorders>
              <w:top w:val="nil"/>
              <w:bottom w:val="nil"/>
            </w:tcBorders>
          </w:tcPr>
          <w:p w14:paraId="32E2D908" w14:textId="1ADBD6E9" w:rsidR="002B4877" w:rsidRPr="004C78D8" w:rsidRDefault="002B4877" w:rsidP="00FB7C1F">
            <w:pPr>
              <w:jc w:val="center"/>
              <w:rPr>
                <w:sz w:val="18"/>
                <w:szCs w:val="18"/>
              </w:rPr>
            </w:pPr>
            <w:r w:rsidRPr="004C78D8">
              <w:rPr>
                <w:sz w:val="18"/>
                <w:szCs w:val="18"/>
              </w:rPr>
              <w:t>0.0</w:t>
            </w:r>
            <w:r w:rsidR="004E7841" w:rsidRPr="004C78D8">
              <w:rPr>
                <w:sz w:val="18"/>
                <w:szCs w:val="18"/>
              </w:rPr>
              <w:t>0</w:t>
            </w:r>
            <w:r w:rsidR="00951350" w:rsidRPr="004C78D8">
              <w:rPr>
                <w:sz w:val="18"/>
                <w:szCs w:val="18"/>
              </w:rPr>
              <w:t>4</w:t>
            </w:r>
          </w:p>
        </w:tc>
      </w:tr>
      <w:tr w:rsidR="002B4877" w:rsidRPr="004C78D8" w14:paraId="79495EF5" w14:textId="77777777" w:rsidTr="00E35893">
        <w:tc>
          <w:tcPr>
            <w:tcW w:w="2263" w:type="dxa"/>
            <w:tcBorders>
              <w:top w:val="nil"/>
              <w:bottom w:val="nil"/>
            </w:tcBorders>
          </w:tcPr>
          <w:p w14:paraId="567A9ACE" w14:textId="77777777" w:rsidR="002B4877" w:rsidRPr="004C78D8" w:rsidRDefault="002B4877" w:rsidP="00FB7C1F">
            <w:pPr>
              <w:jc w:val="right"/>
              <w:rPr>
                <w:sz w:val="18"/>
                <w:szCs w:val="18"/>
              </w:rPr>
            </w:pPr>
            <w:r w:rsidRPr="004C78D8">
              <w:rPr>
                <w:i/>
                <w:iCs/>
                <w:sz w:val="18"/>
                <w:szCs w:val="18"/>
              </w:rPr>
              <w:t>Recurrent non-MA falls</w:t>
            </w:r>
          </w:p>
        </w:tc>
        <w:tc>
          <w:tcPr>
            <w:tcW w:w="1701" w:type="dxa"/>
            <w:tcBorders>
              <w:top w:val="nil"/>
              <w:bottom w:val="nil"/>
            </w:tcBorders>
          </w:tcPr>
          <w:p w14:paraId="3891B0AC" w14:textId="492AAF90" w:rsidR="002B4877" w:rsidRPr="004C78D8" w:rsidRDefault="002B4877" w:rsidP="00FB7C1F">
            <w:pPr>
              <w:jc w:val="center"/>
              <w:rPr>
                <w:sz w:val="18"/>
                <w:szCs w:val="18"/>
              </w:rPr>
            </w:pPr>
            <w:r w:rsidRPr="004C78D8">
              <w:rPr>
                <w:sz w:val="18"/>
                <w:szCs w:val="18"/>
              </w:rPr>
              <w:t>0.</w:t>
            </w:r>
            <w:r w:rsidR="004E7841" w:rsidRPr="004C78D8">
              <w:rPr>
                <w:sz w:val="18"/>
                <w:szCs w:val="18"/>
              </w:rPr>
              <w:t>2</w:t>
            </w:r>
            <w:r w:rsidR="00951350" w:rsidRPr="004C78D8">
              <w:rPr>
                <w:sz w:val="18"/>
                <w:szCs w:val="18"/>
              </w:rPr>
              <w:t>46</w:t>
            </w:r>
            <w:r w:rsidRPr="004C78D8">
              <w:rPr>
                <w:sz w:val="18"/>
                <w:szCs w:val="18"/>
              </w:rPr>
              <w:t xml:space="preserve"> (0.10</w:t>
            </w:r>
            <w:r w:rsidR="004E7841" w:rsidRPr="004C78D8">
              <w:rPr>
                <w:sz w:val="18"/>
                <w:szCs w:val="18"/>
              </w:rPr>
              <w:t>5</w:t>
            </w:r>
            <w:r w:rsidRPr="004C78D8">
              <w:rPr>
                <w:sz w:val="18"/>
                <w:szCs w:val="18"/>
              </w:rPr>
              <w:t>)</w:t>
            </w:r>
          </w:p>
        </w:tc>
        <w:tc>
          <w:tcPr>
            <w:tcW w:w="1701" w:type="dxa"/>
            <w:tcBorders>
              <w:top w:val="nil"/>
              <w:bottom w:val="nil"/>
            </w:tcBorders>
          </w:tcPr>
          <w:p w14:paraId="4833762C" w14:textId="19934CA3" w:rsidR="002B4877" w:rsidRPr="004C78D8" w:rsidRDefault="002B4877" w:rsidP="00FB7C1F">
            <w:pPr>
              <w:jc w:val="center"/>
              <w:rPr>
                <w:sz w:val="18"/>
                <w:szCs w:val="18"/>
              </w:rPr>
            </w:pPr>
            <w:r w:rsidRPr="004C78D8">
              <w:rPr>
                <w:sz w:val="18"/>
                <w:szCs w:val="18"/>
              </w:rPr>
              <w:t>0.0</w:t>
            </w:r>
            <w:r w:rsidR="004E7841" w:rsidRPr="004C78D8">
              <w:rPr>
                <w:sz w:val="18"/>
                <w:szCs w:val="18"/>
              </w:rPr>
              <w:t>1</w:t>
            </w:r>
            <w:r w:rsidR="00951350" w:rsidRPr="004C78D8">
              <w:rPr>
                <w:sz w:val="18"/>
                <w:szCs w:val="18"/>
              </w:rPr>
              <w:t>9</w:t>
            </w:r>
          </w:p>
        </w:tc>
      </w:tr>
      <w:tr w:rsidR="002B4877" w:rsidRPr="004C78D8" w14:paraId="0B164F80" w14:textId="77777777" w:rsidTr="00E35893">
        <w:tc>
          <w:tcPr>
            <w:tcW w:w="2263" w:type="dxa"/>
            <w:tcBorders>
              <w:top w:val="nil"/>
              <w:bottom w:val="nil"/>
            </w:tcBorders>
          </w:tcPr>
          <w:p w14:paraId="0ECCC934" w14:textId="77777777" w:rsidR="002B4877" w:rsidRPr="004C78D8" w:rsidRDefault="002B4877" w:rsidP="00FB7C1F">
            <w:pPr>
              <w:jc w:val="right"/>
              <w:rPr>
                <w:sz w:val="18"/>
                <w:szCs w:val="18"/>
              </w:rPr>
            </w:pPr>
            <w:r w:rsidRPr="004C78D8">
              <w:rPr>
                <w:i/>
                <w:iCs/>
                <w:sz w:val="18"/>
                <w:szCs w:val="18"/>
              </w:rPr>
              <w:t>Single MA fall</w:t>
            </w:r>
          </w:p>
        </w:tc>
        <w:tc>
          <w:tcPr>
            <w:tcW w:w="1701" w:type="dxa"/>
            <w:tcBorders>
              <w:top w:val="nil"/>
              <w:bottom w:val="nil"/>
            </w:tcBorders>
          </w:tcPr>
          <w:p w14:paraId="614F8E74" w14:textId="363539B2" w:rsidR="002B4877" w:rsidRPr="004C78D8" w:rsidRDefault="002B4877" w:rsidP="00FB7C1F">
            <w:pPr>
              <w:jc w:val="center"/>
              <w:rPr>
                <w:sz w:val="18"/>
                <w:szCs w:val="18"/>
              </w:rPr>
            </w:pPr>
            <w:r w:rsidRPr="004C78D8">
              <w:rPr>
                <w:sz w:val="18"/>
                <w:szCs w:val="18"/>
              </w:rPr>
              <w:t>0.</w:t>
            </w:r>
            <w:r w:rsidR="004E7841" w:rsidRPr="004C78D8">
              <w:rPr>
                <w:sz w:val="18"/>
                <w:szCs w:val="18"/>
              </w:rPr>
              <w:t>4</w:t>
            </w:r>
            <w:r w:rsidR="00951350" w:rsidRPr="004C78D8">
              <w:rPr>
                <w:sz w:val="18"/>
                <w:szCs w:val="18"/>
              </w:rPr>
              <w:t>34</w:t>
            </w:r>
            <w:r w:rsidRPr="004C78D8">
              <w:rPr>
                <w:sz w:val="18"/>
                <w:szCs w:val="18"/>
              </w:rPr>
              <w:t xml:space="preserve"> (0.1</w:t>
            </w:r>
            <w:r w:rsidR="004E7841" w:rsidRPr="004C78D8">
              <w:rPr>
                <w:sz w:val="18"/>
                <w:szCs w:val="18"/>
              </w:rPr>
              <w:t>36</w:t>
            </w:r>
            <w:r w:rsidRPr="004C78D8">
              <w:rPr>
                <w:sz w:val="18"/>
                <w:szCs w:val="18"/>
              </w:rPr>
              <w:t>)</w:t>
            </w:r>
          </w:p>
        </w:tc>
        <w:tc>
          <w:tcPr>
            <w:tcW w:w="1701" w:type="dxa"/>
            <w:tcBorders>
              <w:top w:val="nil"/>
              <w:bottom w:val="nil"/>
            </w:tcBorders>
          </w:tcPr>
          <w:p w14:paraId="4418EBAE" w14:textId="0A84F8F5" w:rsidR="002B4877" w:rsidRPr="004C78D8" w:rsidRDefault="002B4877" w:rsidP="00FB7C1F">
            <w:pPr>
              <w:jc w:val="center"/>
              <w:rPr>
                <w:sz w:val="18"/>
                <w:szCs w:val="18"/>
              </w:rPr>
            </w:pPr>
            <w:r w:rsidRPr="004C78D8">
              <w:rPr>
                <w:sz w:val="18"/>
                <w:szCs w:val="18"/>
              </w:rPr>
              <w:t>0.001</w:t>
            </w:r>
          </w:p>
        </w:tc>
      </w:tr>
      <w:tr w:rsidR="002B4877" w:rsidRPr="004C78D8" w14:paraId="172B3329" w14:textId="77777777" w:rsidTr="00E35893">
        <w:tc>
          <w:tcPr>
            <w:tcW w:w="2263" w:type="dxa"/>
            <w:tcBorders>
              <w:top w:val="nil"/>
              <w:bottom w:val="nil"/>
            </w:tcBorders>
          </w:tcPr>
          <w:p w14:paraId="71F49A71" w14:textId="77777777" w:rsidR="002B4877" w:rsidRPr="004C78D8" w:rsidRDefault="002B4877" w:rsidP="00FB7C1F">
            <w:pPr>
              <w:jc w:val="right"/>
              <w:rPr>
                <w:sz w:val="18"/>
                <w:szCs w:val="18"/>
              </w:rPr>
            </w:pPr>
            <w:r w:rsidRPr="004C78D8">
              <w:rPr>
                <w:i/>
                <w:iCs/>
                <w:sz w:val="18"/>
                <w:szCs w:val="18"/>
              </w:rPr>
              <w:t>Recurrent falls with MA</w:t>
            </w:r>
          </w:p>
        </w:tc>
        <w:tc>
          <w:tcPr>
            <w:tcW w:w="1701" w:type="dxa"/>
            <w:tcBorders>
              <w:top w:val="nil"/>
              <w:bottom w:val="nil"/>
            </w:tcBorders>
          </w:tcPr>
          <w:p w14:paraId="4FD5E30D" w14:textId="375F8979" w:rsidR="002B4877" w:rsidRPr="004C78D8" w:rsidRDefault="002B4877" w:rsidP="00FB7C1F">
            <w:pPr>
              <w:jc w:val="center"/>
              <w:rPr>
                <w:sz w:val="18"/>
                <w:szCs w:val="18"/>
              </w:rPr>
            </w:pPr>
            <w:r w:rsidRPr="004C78D8">
              <w:rPr>
                <w:sz w:val="18"/>
                <w:szCs w:val="18"/>
              </w:rPr>
              <w:t>0.</w:t>
            </w:r>
            <w:r w:rsidR="004E7841" w:rsidRPr="004C78D8">
              <w:rPr>
                <w:sz w:val="18"/>
                <w:szCs w:val="18"/>
              </w:rPr>
              <w:t>5</w:t>
            </w:r>
            <w:r w:rsidR="00951350" w:rsidRPr="004C78D8">
              <w:rPr>
                <w:sz w:val="18"/>
                <w:szCs w:val="18"/>
              </w:rPr>
              <w:t>49</w:t>
            </w:r>
            <w:r w:rsidRPr="004C78D8">
              <w:rPr>
                <w:sz w:val="18"/>
                <w:szCs w:val="18"/>
              </w:rPr>
              <w:t xml:space="preserve"> (0.</w:t>
            </w:r>
            <w:r w:rsidR="004E7841" w:rsidRPr="004C78D8">
              <w:rPr>
                <w:sz w:val="18"/>
                <w:szCs w:val="18"/>
              </w:rPr>
              <w:t>158</w:t>
            </w:r>
            <w:r w:rsidRPr="004C78D8">
              <w:rPr>
                <w:sz w:val="18"/>
                <w:szCs w:val="18"/>
              </w:rPr>
              <w:t>)</w:t>
            </w:r>
          </w:p>
        </w:tc>
        <w:tc>
          <w:tcPr>
            <w:tcW w:w="1701" w:type="dxa"/>
            <w:tcBorders>
              <w:top w:val="nil"/>
              <w:bottom w:val="nil"/>
            </w:tcBorders>
          </w:tcPr>
          <w:p w14:paraId="5B744941" w14:textId="32F33A28" w:rsidR="002B4877" w:rsidRPr="004C78D8" w:rsidRDefault="002B4877" w:rsidP="00FB7C1F">
            <w:pPr>
              <w:jc w:val="center"/>
              <w:rPr>
                <w:sz w:val="18"/>
                <w:szCs w:val="18"/>
              </w:rPr>
            </w:pPr>
            <w:r w:rsidRPr="004C78D8">
              <w:rPr>
                <w:sz w:val="18"/>
                <w:szCs w:val="18"/>
              </w:rPr>
              <w:t>0.001</w:t>
            </w:r>
          </w:p>
        </w:tc>
      </w:tr>
      <w:tr w:rsidR="002B4877" w:rsidRPr="004C78D8" w14:paraId="63D81E34" w14:textId="77777777" w:rsidTr="00E35893">
        <w:tc>
          <w:tcPr>
            <w:tcW w:w="2263" w:type="dxa"/>
            <w:tcBorders>
              <w:top w:val="nil"/>
              <w:bottom w:val="nil"/>
            </w:tcBorders>
          </w:tcPr>
          <w:p w14:paraId="6F5658A0" w14:textId="77777777" w:rsidR="002B4877" w:rsidRPr="004C78D8" w:rsidRDefault="002B4877" w:rsidP="00FB7C1F">
            <w:pPr>
              <w:rPr>
                <w:sz w:val="18"/>
                <w:szCs w:val="18"/>
              </w:rPr>
            </w:pPr>
            <w:r w:rsidRPr="004C78D8">
              <w:rPr>
                <w:sz w:val="18"/>
                <w:szCs w:val="18"/>
              </w:rPr>
              <w:t>Frailty (0-100)</w:t>
            </w:r>
          </w:p>
        </w:tc>
        <w:tc>
          <w:tcPr>
            <w:tcW w:w="1701" w:type="dxa"/>
            <w:tcBorders>
              <w:top w:val="nil"/>
              <w:bottom w:val="nil"/>
            </w:tcBorders>
          </w:tcPr>
          <w:p w14:paraId="5E92DCD2" w14:textId="43BA131D" w:rsidR="002B4877" w:rsidRPr="004C78D8" w:rsidRDefault="002B4877" w:rsidP="00FB7C1F">
            <w:pPr>
              <w:jc w:val="center"/>
              <w:rPr>
                <w:sz w:val="18"/>
                <w:szCs w:val="18"/>
              </w:rPr>
            </w:pPr>
            <w:r w:rsidRPr="004C78D8">
              <w:rPr>
                <w:sz w:val="18"/>
                <w:szCs w:val="18"/>
              </w:rPr>
              <w:t>0.</w:t>
            </w:r>
            <w:r w:rsidR="004E7841" w:rsidRPr="004C78D8">
              <w:rPr>
                <w:sz w:val="18"/>
                <w:szCs w:val="18"/>
              </w:rPr>
              <w:t>08</w:t>
            </w:r>
            <w:r w:rsidR="00951350" w:rsidRPr="004C78D8">
              <w:rPr>
                <w:sz w:val="18"/>
                <w:szCs w:val="18"/>
              </w:rPr>
              <w:t>1</w:t>
            </w:r>
            <w:r w:rsidRPr="004C78D8">
              <w:rPr>
                <w:sz w:val="18"/>
                <w:szCs w:val="18"/>
              </w:rPr>
              <w:t xml:space="preserve"> (0.0</w:t>
            </w:r>
            <w:r w:rsidR="004E7841" w:rsidRPr="004C78D8">
              <w:rPr>
                <w:sz w:val="18"/>
                <w:szCs w:val="18"/>
              </w:rPr>
              <w:t>10</w:t>
            </w:r>
            <w:r w:rsidRPr="004C78D8">
              <w:rPr>
                <w:sz w:val="18"/>
                <w:szCs w:val="18"/>
              </w:rPr>
              <w:t>)</w:t>
            </w:r>
          </w:p>
        </w:tc>
        <w:tc>
          <w:tcPr>
            <w:tcW w:w="1701" w:type="dxa"/>
            <w:tcBorders>
              <w:top w:val="nil"/>
              <w:bottom w:val="nil"/>
            </w:tcBorders>
          </w:tcPr>
          <w:p w14:paraId="432E574E" w14:textId="77777777" w:rsidR="002B4877" w:rsidRPr="004C78D8" w:rsidRDefault="002B4877" w:rsidP="00FB7C1F">
            <w:pPr>
              <w:jc w:val="center"/>
              <w:rPr>
                <w:sz w:val="18"/>
                <w:szCs w:val="18"/>
              </w:rPr>
            </w:pPr>
            <w:r w:rsidRPr="004C78D8">
              <w:rPr>
                <w:sz w:val="18"/>
                <w:szCs w:val="18"/>
              </w:rPr>
              <w:t>&lt;0.001</w:t>
            </w:r>
          </w:p>
        </w:tc>
      </w:tr>
      <w:tr w:rsidR="002B4877" w:rsidRPr="004C78D8" w14:paraId="2671861F" w14:textId="77777777" w:rsidTr="00E35893">
        <w:tc>
          <w:tcPr>
            <w:tcW w:w="2263" w:type="dxa"/>
            <w:tcBorders>
              <w:top w:val="nil"/>
              <w:bottom w:val="nil"/>
            </w:tcBorders>
          </w:tcPr>
          <w:p w14:paraId="750BAD0B" w14:textId="77777777" w:rsidR="002B4877" w:rsidRPr="004C78D8" w:rsidRDefault="002B4877" w:rsidP="00FB7C1F">
            <w:pPr>
              <w:rPr>
                <w:sz w:val="18"/>
                <w:szCs w:val="18"/>
              </w:rPr>
            </w:pPr>
            <w:r w:rsidRPr="004C78D8">
              <w:rPr>
                <w:sz w:val="18"/>
                <w:szCs w:val="18"/>
              </w:rPr>
              <w:t>Frailty^2</w:t>
            </w:r>
          </w:p>
        </w:tc>
        <w:tc>
          <w:tcPr>
            <w:tcW w:w="1701" w:type="dxa"/>
            <w:tcBorders>
              <w:top w:val="nil"/>
              <w:bottom w:val="nil"/>
            </w:tcBorders>
          </w:tcPr>
          <w:p w14:paraId="5BFA7E5F" w14:textId="0C2383B4" w:rsidR="002B4877" w:rsidRPr="004C78D8" w:rsidRDefault="002B4877" w:rsidP="00FB7C1F">
            <w:pPr>
              <w:jc w:val="center"/>
              <w:rPr>
                <w:sz w:val="18"/>
                <w:szCs w:val="18"/>
              </w:rPr>
            </w:pPr>
            <w:r w:rsidRPr="004C78D8">
              <w:rPr>
                <w:sz w:val="18"/>
                <w:szCs w:val="18"/>
              </w:rPr>
              <w:t>-0.00</w:t>
            </w:r>
            <w:r w:rsidR="004E7841" w:rsidRPr="004C78D8">
              <w:rPr>
                <w:sz w:val="18"/>
                <w:szCs w:val="18"/>
              </w:rPr>
              <w:t>1</w:t>
            </w:r>
            <w:r w:rsidRPr="004C78D8">
              <w:rPr>
                <w:sz w:val="18"/>
                <w:szCs w:val="18"/>
              </w:rPr>
              <w:t xml:space="preserve"> (0.0002)</w:t>
            </w:r>
          </w:p>
        </w:tc>
        <w:tc>
          <w:tcPr>
            <w:tcW w:w="1701" w:type="dxa"/>
            <w:tcBorders>
              <w:top w:val="nil"/>
              <w:bottom w:val="nil"/>
            </w:tcBorders>
          </w:tcPr>
          <w:p w14:paraId="33CEFA9F" w14:textId="77777777" w:rsidR="002B4877" w:rsidRPr="004C78D8" w:rsidRDefault="002B4877" w:rsidP="00FB7C1F">
            <w:pPr>
              <w:jc w:val="center"/>
              <w:rPr>
                <w:sz w:val="18"/>
                <w:szCs w:val="18"/>
              </w:rPr>
            </w:pPr>
            <w:r w:rsidRPr="004C78D8">
              <w:rPr>
                <w:sz w:val="18"/>
                <w:szCs w:val="18"/>
              </w:rPr>
              <w:t>&lt;0.001</w:t>
            </w:r>
          </w:p>
        </w:tc>
      </w:tr>
      <w:tr w:rsidR="004E7841" w:rsidRPr="004C78D8" w14:paraId="4EEF185F" w14:textId="77777777" w:rsidTr="00E35893">
        <w:tc>
          <w:tcPr>
            <w:tcW w:w="2263" w:type="dxa"/>
            <w:tcBorders>
              <w:top w:val="nil"/>
              <w:bottom w:val="nil"/>
            </w:tcBorders>
          </w:tcPr>
          <w:p w14:paraId="1C7D5337" w14:textId="7AF1279D" w:rsidR="004E7841" w:rsidRPr="004C78D8" w:rsidRDefault="004E7841" w:rsidP="00FB7C1F">
            <w:pPr>
              <w:rPr>
                <w:sz w:val="18"/>
                <w:szCs w:val="18"/>
              </w:rPr>
            </w:pPr>
            <w:r w:rsidRPr="004C78D8">
              <w:rPr>
                <w:sz w:val="18"/>
                <w:szCs w:val="18"/>
              </w:rPr>
              <w:t>High physical activity</w:t>
            </w:r>
          </w:p>
        </w:tc>
        <w:tc>
          <w:tcPr>
            <w:tcW w:w="1701" w:type="dxa"/>
            <w:tcBorders>
              <w:top w:val="nil"/>
              <w:bottom w:val="nil"/>
            </w:tcBorders>
          </w:tcPr>
          <w:p w14:paraId="0EEE29D8" w14:textId="39A6B55F" w:rsidR="004E7841" w:rsidRPr="004C78D8" w:rsidRDefault="004E7841" w:rsidP="00FB7C1F">
            <w:pPr>
              <w:jc w:val="center"/>
              <w:rPr>
                <w:sz w:val="18"/>
                <w:szCs w:val="18"/>
              </w:rPr>
            </w:pPr>
            <w:r w:rsidRPr="004C78D8">
              <w:rPr>
                <w:sz w:val="18"/>
                <w:szCs w:val="18"/>
              </w:rPr>
              <w:t>0.76</w:t>
            </w:r>
            <w:r w:rsidR="00951350" w:rsidRPr="004C78D8">
              <w:rPr>
                <w:sz w:val="18"/>
                <w:szCs w:val="18"/>
              </w:rPr>
              <w:t>3</w:t>
            </w:r>
            <w:r w:rsidRPr="004C78D8">
              <w:rPr>
                <w:sz w:val="18"/>
                <w:szCs w:val="18"/>
              </w:rPr>
              <w:t xml:space="preserve"> (0.080)</w:t>
            </w:r>
          </w:p>
        </w:tc>
        <w:tc>
          <w:tcPr>
            <w:tcW w:w="1701" w:type="dxa"/>
            <w:tcBorders>
              <w:top w:val="nil"/>
              <w:bottom w:val="nil"/>
            </w:tcBorders>
          </w:tcPr>
          <w:p w14:paraId="61C7F42C" w14:textId="6489A559" w:rsidR="004E7841" w:rsidRPr="004C78D8" w:rsidRDefault="004E7841" w:rsidP="00FB7C1F">
            <w:pPr>
              <w:jc w:val="center"/>
              <w:rPr>
                <w:sz w:val="18"/>
                <w:szCs w:val="18"/>
              </w:rPr>
            </w:pPr>
            <w:r w:rsidRPr="004C78D8">
              <w:rPr>
                <w:sz w:val="18"/>
                <w:szCs w:val="18"/>
              </w:rPr>
              <w:t>&lt;0.001</w:t>
            </w:r>
          </w:p>
        </w:tc>
      </w:tr>
      <w:tr w:rsidR="002B4877" w:rsidRPr="004C78D8" w14:paraId="1E3DA29B" w14:textId="77777777" w:rsidTr="00E35893">
        <w:tc>
          <w:tcPr>
            <w:tcW w:w="2263" w:type="dxa"/>
            <w:tcBorders>
              <w:top w:val="nil"/>
              <w:bottom w:val="nil"/>
            </w:tcBorders>
          </w:tcPr>
          <w:p w14:paraId="6C331D5D" w14:textId="77777777" w:rsidR="002B4877" w:rsidRPr="004C78D8" w:rsidRDefault="002B4877" w:rsidP="00FB7C1F">
            <w:pPr>
              <w:rPr>
                <w:sz w:val="18"/>
                <w:szCs w:val="18"/>
              </w:rPr>
            </w:pPr>
            <w:r w:rsidRPr="004C78D8">
              <w:rPr>
                <w:sz w:val="18"/>
                <w:szCs w:val="18"/>
              </w:rPr>
              <w:t>Cognitive impairment</w:t>
            </w:r>
          </w:p>
        </w:tc>
        <w:tc>
          <w:tcPr>
            <w:tcW w:w="1701" w:type="dxa"/>
            <w:tcBorders>
              <w:top w:val="nil"/>
              <w:bottom w:val="nil"/>
            </w:tcBorders>
          </w:tcPr>
          <w:p w14:paraId="7FFA6B46" w14:textId="70149ADD" w:rsidR="002B4877" w:rsidRPr="004C78D8" w:rsidRDefault="002B4877" w:rsidP="00FB7C1F">
            <w:pPr>
              <w:jc w:val="center"/>
              <w:rPr>
                <w:sz w:val="18"/>
                <w:szCs w:val="18"/>
              </w:rPr>
            </w:pPr>
            <w:r w:rsidRPr="004C78D8">
              <w:rPr>
                <w:sz w:val="18"/>
                <w:szCs w:val="18"/>
              </w:rPr>
              <w:t>-0.</w:t>
            </w:r>
            <w:r w:rsidR="004E7841" w:rsidRPr="004C78D8">
              <w:rPr>
                <w:sz w:val="18"/>
                <w:szCs w:val="18"/>
              </w:rPr>
              <w:t>1</w:t>
            </w:r>
            <w:r w:rsidR="00951350" w:rsidRPr="004C78D8">
              <w:rPr>
                <w:sz w:val="18"/>
                <w:szCs w:val="18"/>
              </w:rPr>
              <w:t>51</w:t>
            </w:r>
            <w:r w:rsidRPr="004C78D8">
              <w:rPr>
                <w:sz w:val="18"/>
                <w:szCs w:val="18"/>
              </w:rPr>
              <w:t xml:space="preserve"> (0.0</w:t>
            </w:r>
            <w:r w:rsidR="004E7841" w:rsidRPr="004C78D8">
              <w:rPr>
                <w:sz w:val="18"/>
                <w:szCs w:val="18"/>
              </w:rPr>
              <w:t>8</w:t>
            </w:r>
            <w:r w:rsidR="00951350" w:rsidRPr="004C78D8">
              <w:rPr>
                <w:sz w:val="18"/>
                <w:szCs w:val="18"/>
              </w:rPr>
              <w:t>4</w:t>
            </w:r>
            <w:r w:rsidRPr="004C78D8">
              <w:rPr>
                <w:sz w:val="18"/>
                <w:szCs w:val="18"/>
              </w:rPr>
              <w:t>)</w:t>
            </w:r>
          </w:p>
        </w:tc>
        <w:tc>
          <w:tcPr>
            <w:tcW w:w="1701" w:type="dxa"/>
            <w:tcBorders>
              <w:top w:val="nil"/>
              <w:bottom w:val="nil"/>
            </w:tcBorders>
          </w:tcPr>
          <w:p w14:paraId="44F24B40" w14:textId="6BBA3CE1" w:rsidR="002B4877" w:rsidRPr="004C78D8" w:rsidRDefault="002B4877" w:rsidP="00FB7C1F">
            <w:pPr>
              <w:jc w:val="center"/>
              <w:rPr>
                <w:sz w:val="18"/>
                <w:szCs w:val="18"/>
              </w:rPr>
            </w:pPr>
            <w:r w:rsidRPr="004C78D8">
              <w:rPr>
                <w:sz w:val="18"/>
                <w:szCs w:val="18"/>
              </w:rPr>
              <w:t>0.0</w:t>
            </w:r>
            <w:r w:rsidR="00951350" w:rsidRPr="004C78D8">
              <w:rPr>
                <w:sz w:val="18"/>
                <w:szCs w:val="18"/>
              </w:rPr>
              <w:t>72</w:t>
            </w:r>
          </w:p>
        </w:tc>
      </w:tr>
      <w:tr w:rsidR="002B4877" w:rsidRPr="004C78D8" w14:paraId="5F175747" w14:textId="77777777" w:rsidTr="00E35893">
        <w:tc>
          <w:tcPr>
            <w:tcW w:w="2263" w:type="dxa"/>
            <w:tcBorders>
              <w:top w:val="nil"/>
              <w:bottom w:val="nil"/>
            </w:tcBorders>
          </w:tcPr>
          <w:p w14:paraId="4883D323" w14:textId="77777777" w:rsidR="002B4877" w:rsidRPr="004C78D8" w:rsidRDefault="002B4877" w:rsidP="00FB7C1F">
            <w:pPr>
              <w:rPr>
                <w:sz w:val="18"/>
                <w:szCs w:val="18"/>
              </w:rPr>
            </w:pPr>
            <w:r w:rsidRPr="004C78D8">
              <w:rPr>
                <w:sz w:val="18"/>
                <w:szCs w:val="18"/>
              </w:rPr>
              <w:t>Abnormal gait/balance</w:t>
            </w:r>
          </w:p>
        </w:tc>
        <w:tc>
          <w:tcPr>
            <w:tcW w:w="1701" w:type="dxa"/>
            <w:tcBorders>
              <w:top w:val="nil"/>
              <w:bottom w:val="nil"/>
            </w:tcBorders>
          </w:tcPr>
          <w:p w14:paraId="0447CEB1" w14:textId="7A4328BF" w:rsidR="002B4877" w:rsidRPr="004C78D8" w:rsidRDefault="002B4877" w:rsidP="00FB7C1F">
            <w:pPr>
              <w:jc w:val="center"/>
              <w:rPr>
                <w:sz w:val="18"/>
                <w:szCs w:val="18"/>
              </w:rPr>
            </w:pPr>
            <w:r w:rsidRPr="004C78D8">
              <w:rPr>
                <w:sz w:val="18"/>
                <w:szCs w:val="18"/>
              </w:rPr>
              <w:t>-0.</w:t>
            </w:r>
            <w:r w:rsidR="004E7841" w:rsidRPr="004C78D8">
              <w:rPr>
                <w:sz w:val="18"/>
                <w:szCs w:val="18"/>
              </w:rPr>
              <w:t>1</w:t>
            </w:r>
            <w:r w:rsidR="006E3F1E" w:rsidRPr="004C78D8">
              <w:rPr>
                <w:sz w:val="18"/>
                <w:szCs w:val="18"/>
              </w:rPr>
              <w:t>87</w:t>
            </w:r>
            <w:r w:rsidRPr="004C78D8">
              <w:rPr>
                <w:sz w:val="18"/>
                <w:szCs w:val="18"/>
              </w:rPr>
              <w:t xml:space="preserve"> (0.0</w:t>
            </w:r>
            <w:r w:rsidR="004E7841" w:rsidRPr="004C78D8">
              <w:rPr>
                <w:sz w:val="18"/>
                <w:szCs w:val="18"/>
              </w:rPr>
              <w:t>88</w:t>
            </w:r>
            <w:r w:rsidRPr="004C78D8">
              <w:rPr>
                <w:sz w:val="18"/>
                <w:szCs w:val="18"/>
              </w:rPr>
              <w:t>)</w:t>
            </w:r>
          </w:p>
        </w:tc>
        <w:tc>
          <w:tcPr>
            <w:tcW w:w="1701" w:type="dxa"/>
            <w:tcBorders>
              <w:top w:val="nil"/>
              <w:bottom w:val="nil"/>
            </w:tcBorders>
          </w:tcPr>
          <w:p w14:paraId="51D12222" w14:textId="230961B7" w:rsidR="002B4877" w:rsidRPr="004C78D8" w:rsidRDefault="004E7841" w:rsidP="00FB7C1F">
            <w:pPr>
              <w:jc w:val="center"/>
              <w:rPr>
                <w:sz w:val="18"/>
                <w:szCs w:val="18"/>
              </w:rPr>
            </w:pPr>
            <w:r w:rsidRPr="004C78D8">
              <w:rPr>
                <w:sz w:val="18"/>
                <w:szCs w:val="18"/>
              </w:rPr>
              <w:t>0.0</w:t>
            </w:r>
            <w:r w:rsidR="00951350" w:rsidRPr="004C78D8">
              <w:rPr>
                <w:sz w:val="18"/>
                <w:szCs w:val="18"/>
              </w:rPr>
              <w:t>35</w:t>
            </w:r>
          </w:p>
        </w:tc>
      </w:tr>
      <w:tr w:rsidR="002B4877" w:rsidRPr="004C78D8" w14:paraId="2D9DBC51" w14:textId="77777777" w:rsidTr="00E35893">
        <w:tc>
          <w:tcPr>
            <w:tcW w:w="2263" w:type="dxa"/>
            <w:tcBorders>
              <w:top w:val="nil"/>
              <w:bottom w:val="nil"/>
            </w:tcBorders>
          </w:tcPr>
          <w:p w14:paraId="1D7C3256" w14:textId="77777777" w:rsidR="002B4877" w:rsidRPr="004C78D8" w:rsidRDefault="002B4877" w:rsidP="00FB7C1F">
            <w:pPr>
              <w:rPr>
                <w:sz w:val="18"/>
                <w:szCs w:val="18"/>
              </w:rPr>
            </w:pPr>
            <w:r w:rsidRPr="004C78D8">
              <w:rPr>
                <w:sz w:val="18"/>
                <w:szCs w:val="18"/>
              </w:rPr>
              <w:t>Community healthcare</w:t>
            </w:r>
          </w:p>
        </w:tc>
        <w:tc>
          <w:tcPr>
            <w:tcW w:w="1701" w:type="dxa"/>
            <w:tcBorders>
              <w:top w:val="nil"/>
              <w:bottom w:val="nil"/>
            </w:tcBorders>
          </w:tcPr>
          <w:p w14:paraId="40A3C42A" w14:textId="4ACA7367" w:rsidR="002B4877" w:rsidRPr="004C78D8" w:rsidRDefault="002B4877" w:rsidP="00FB7C1F">
            <w:pPr>
              <w:jc w:val="center"/>
              <w:rPr>
                <w:sz w:val="18"/>
                <w:szCs w:val="18"/>
              </w:rPr>
            </w:pPr>
            <w:r w:rsidRPr="004C78D8">
              <w:rPr>
                <w:sz w:val="18"/>
                <w:szCs w:val="18"/>
              </w:rPr>
              <w:t>0.</w:t>
            </w:r>
            <w:r w:rsidR="004E7841" w:rsidRPr="004C78D8">
              <w:rPr>
                <w:sz w:val="18"/>
                <w:szCs w:val="18"/>
              </w:rPr>
              <w:t>7</w:t>
            </w:r>
            <w:r w:rsidR="006E3F1E" w:rsidRPr="004C78D8">
              <w:rPr>
                <w:sz w:val="18"/>
                <w:szCs w:val="18"/>
              </w:rPr>
              <w:t>43</w:t>
            </w:r>
            <w:r w:rsidRPr="004C78D8">
              <w:rPr>
                <w:sz w:val="18"/>
                <w:szCs w:val="18"/>
              </w:rPr>
              <w:t xml:space="preserve"> (0.3</w:t>
            </w:r>
            <w:r w:rsidR="006E3F1E" w:rsidRPr="004C78D8">
              <w:rPr>
                <w:sz w:val="18"/>
                <w:szCs w:val="18"/>
              </w:rPr>
              <w:t>71</w:t>
            </w:r>
            <w:r w:rsidRPr="004C78D8">
              <w:rPr>
                <w:sz w:val="18"/>
                <w:szCs w:val="18"/>
              </w:rPr>
              <w:t>)</w:t>
            </w:r>
          </w:p>
        </w:tc>
        <w:tc>
          <w:tcPr>
            <w:tcW w:w="1701" w:type="dxa"/>
            <w:tcBorders>
              <w:top w:val="nil"/>
              <w:bottom w:val="nil"/>
            </w:tcBorders>
          </w:tcPr>
          <w:p w14:paraId="65A95E91" w14:textId="5C8A4BF5" w:rsidR="002B4877" w:rsidRPr="004C78D8" w:rsidRDefault="002B4877" w:rsidP="00FB7C1F">
            <w:pPr>
              <w:jc w:val="center"/>
              <w:rPr>
                <w:sz w:val="18"/>
                <w:szCs w:val="18"/>
              </w:rPr>
            </w:pPr>
            <w:r w:rsidRPr="004C78D8">
              <w:rPr>
                <w:sz w:val="18"/>
                <w:szCs w:val="18"/>
              </w:rPr>
              <w:t>0.0</w:t>
            </w:r>
            <w:r w:rsidR="00951350" w:rsidRPr="004C78D8">
              <w:rPr>
                <w:sz w:val="18"/>
                <w:szCs w:val="18"/>
              </w:rPr>
              <w:t>45</w:t>
            </w:r>
          </w:p>
        </w:tc>
      </w:tr>
      <w:tr w:rsidR="002B4877" w:rsidRPr="004C78D8" w14:paraId="65B8E151" w14:textId="77777777" w:rsidTr="00E35893">
        <w:tc>
          <w:tcPr>
            <w:tcW w:w="2263" w:type="dxa"/>
            <w:tcBorders>
              <w:top w:val="nil"/>
              <w:bottom w:val="nil"/>
            </w:tcBorders>
          </w:tcPr>
          <w:p w14:paraId="174E2886" w14:textId="77777777" w:rsidR="002B4877" w:rsidRPr="004C78D8" w:rsidRDefault="002B4877" w:rsidP="00FB7C1F">
            <w:pPr>
              <w:rPr>
                <w:sz w:val="18"/>
                <w:szCs w:val="18"/>
              </w:rPr>
            </w:pPr>
            <w:r w:rsidRPr="004C78D8">
              <w:rPr>
                <w:sz w:val="18"/>
                <w:szCs w:val="18"/>
              </w:rPr>
              <w:t>Social care</w:t>
            </w:r>
          </w:p>
        </w:tc>
        <w:tc>
          <w:tcPr>
            <w:tcW w:w="1701" w:type="dxa"/>
            <w:tcBorders>
              <w:top w:val="nil"/>
              <w:bottom w:val="nil"/>
            </w:tcBorders>
          </w:tcPr>
          <w:p w14:paraId="2C755FE4" w14:textId="3F29681F" w:rsidR="002B4877" w:rsidRPr="004C78D8" w:rsidRDefault="004E7841" w:rsidP="00FB7C1F">
            <w:pPr>
              <w:jc w:val="center"/>
              <w:rPr>
                <w:sz w:val="18"/>
                <w:szCs w:val="18"/>
              </w:rPr>
            </w:pPr>
            <w:r w:rsidRPr="004C78D8">
              <w:rPr>
                <w:sz w:val="18"/>
                <w:szCs w:val="18"/>
              </w:rPr>
              <w:t>0</w:t>
            </w:r>
            <w:r w:rsidR="002B4877" w:rsidRPr="004C78D8">
              <w:rPr>
                <w:sz w:val="18"/>
                <w:szCs w:val="18"/>
              </w:rPr>
              <w:t>.</w:t>
            </w:r>
            <w:r w:rsidRPr="004C78D8">
              <w:rPr>
                <w:sz w:val="18"/>
                <w:szCs w:val="18"/>
              </w:rPr>
              <w:t>4</w:t>
            </w:r>
            <w:r w:rsidR="006E3F1E" w:rsidRPr="004C78D8">
              <w:rPr>
                <w:sz w:val="18"/>
                <w:szCs w:val="18"/>
              </w:rPr>
              <w:t>85</w:t>
            </w:r>
            <w:r w:rsidR="002B4877" w:rsidRPr="004C78D8">
              <w:rPr>
                <w:sz w:val="18"/>
                <w:szCs w:val="18"/>
              </w:rPr>
              <w:t xml:space="preserve"> (0.1</w:t>
            </w:r>
            <w:r w:rsidRPr="004C78D8">
              <w:rPr>
                <w:sz w:val="18"/>
                <w:szCs w:val="18"/>
              </w:rPr>
              <w:t>9</w:t>
            </w:r>
            <w:r w:rsidR="006E3F1E" w:rsidRPr="004C78D8">
              <w:rPr>
                <w:sz w:val="18"/>
                <w:szCs w:val="18"/>
              </w:rPr>
              <w:t>4</w:t>
            </w:r>
            <w:r w:rsidR="002B4877" w:rsidRPr="004C78D8">
              <w:rPr>
                <w:sz w:val="18"/>
                <w:szCs w:val="18"/>
              </w:rPr>
              <w:t>)</w:t>
            </w:r>
          </w:p>
        </w:tc>
        <w:tc>
          <w:tcPr>
            <w:tcW w:w="1701" w:type="dxa"/>
            <w:tcBorders>
              <w:top w:val="nil"/>
              <w:bottom w:val="nil"/>
            </w:tcBorders>
          </w:tcPr>
          <w:p w14:paraId="2DEC850C" w14:textId="120BDA68" w:rsidR="002B4877" w:rsidRPr="004C78D8" w:rsidRDefault="002B4877" w:rsidP="00FB7C1F">
            <w:pPr>
              <w:jc w:val="center"/>
              <w:rPr>
                <w:sz w:val="18"/>
                <w:szCs w:val="18"/>
              </w:rPr>
            </w:pPr>
            <w:r w:rsidRPr="004C78D8">
              <w:rPr>
                <w:sz w:val="18"/>
                <w:szCs w:val="18"/>
              </w:rPr>
              <w:t>0.0</w:t>
            </w:r>
            <w:r w:rsidR="004E7841" w:rsidRPr="004C78D8">
              <w:rPr>
                <w:sz w:val="18"/>
                <w:szCs w:val="18"/>
              </w:rPr>
              <w:t>1</w:t>
            </w:r>
            <w:r w:rsidR="00951350" w:rsidRPr="004C78D8">
              <w:rPr>
                <w:sz w:val="18"/>
                <w:szCs w:val="18"/>
              </w:rPr>
              <w:t>2</w:t>
            </w:r>
          </w:p>
        </w:tc>
      </w:tr>
      <w:tr w:rsidR="002B4877" w:rsidRPr="004C78D8" w14:paraId="5036080D" w14:textId="77777777" w:rsidTr="00E35893">
        <w:tc>
          <w:tcPr>
            <w:tcW w:w="2263" w:type="dxa"/>
            <w:tcBorders>
              <w:top w:val="nil"/>
              <w:bottom w:val="nil"/>
            </w:tcBorders>
          </w:tcPr>
          <w:p w14:paraId="00A8D6F7" w14:textId="77777777" w:rsidR="002B4877" w:rsidRPr="004C78D8" w:rsidRDefault="002B4877" w:rsidP="00FB7C1F">
            <w:pPr>
              <w:rPr>
                <w:sz w:val="18"/>
                <w:szCs w:val="18"/>
              </w:rPr>
            </w:pPr>
            <w:r w:rsidRPr="004C78D8">
              <w:rPr>
                <w:sz w:val="18"/>
                <w:szCs w:val="18"/>
              </w:rPr>
              <w:t>OOP care</w:t>
            </w:r>
          </w:p>
        </w:tc>
        <w:tc>
          <w:tcPr>
            <w:tcW w:w="1701" w:type="dxa"/>
            <w:tcBorders>
              <w:top w:val="nil"/>
              <w:bottom w:val="nil"/>
            </w:tcBorders>
          </w:tcPr>
          <w:p w14:paraId="684B82D7" w14:textId="4C0ED0EB" w:rsidR="002B4877" w:rsidRPr="004C78D8" w:rsidRDefault="002B4877" w:rsidP="00FB7C1F">
            <w:pPr>
              <w:jc w:val="center"/>
              <w:rPr>
                <w:sz w:val="18"/>
                <w:szCs w:val="18"/>
              </w:rPr>
            </w:pPr>
            <w:r w:rsidRPr="004C78D8">
              <w:rPr>
                <w:sz w:val="18"/>
                <w:szCs w:val="18"/>
              </w:rPr>
              <w:t>0.</w:t>
            </w:r>
            <w:r w:rsidR="004E7841" w:rsidRPr="004C78D8">
              <w:rPr>
                <w:sz w:val="18"/>
                <w:szCs w:val="18"/>
              </w:rPr>
              <w:t>60</w:t>
            </w:r>
            <w:r w:rsidR="006E3F1E" w:rsidRPr="004C78D8">
              <w:rPr>
                <w:sz w:val="18"/>
                <w:szCs w:val="18"/>
              </w:rPr>
              <w:t>9</w:t>
            </w:r>
            <w:r w:rsidRPr="004C78D8">
              <w:rPr>
                <w:sz w:val="18"/>
                <w:szCs w:val="18"/>
              </w:rPr>
              <w:t xml:space="preserve"> (0.1</w:t>
            </w:r>
            <w:r w:rsidR="004E7841" w:rsidRPr="004C78D8">
              <w:rPr>
                <w:sz w:val="18"/>
                <w:szCs w:val="18"/>
              </w:rPr>
              <w:t>34</w:t>
            </w:r>
            <w:r w:rsidRPr="004C78D8">
              <w:rPr>
                <w:sz w:val="18"/>
                <w:szCs w:val="18"/>
              </w:rPr>
              <w:t>)</w:t>
            </w:r>
          </w:p>
        </w:tc>
        <w:tc>
          <w:tcPr>
            <w:tcW w:w="1701" w:type="dxa"/>
            <w:tcBorders>
              <w:top w:val="nil"/>
              <w:bottom w:val="nil"/>
            </w:tcBorders>
          </w:tcPr>
          <w:p w14:paraId="33E76C64" w14:textId="1E7F5FEF" w:rsidR="002B4877" w:rsidRPr="004C78D8" w:rsidRDefault="004E7841" w:rsidP="00FB7C1F">
            <w:pPr>
              <w:jc w:val="center"/>
              <w:rPr>
                <w:sz w:val="18"/>
                <w:szCs w:val="18"/>
              </w:rPr>
            </w:pPr>
            <w:r w:rsidRPr="004C78D8">
              <w:rPr>
                <w:sz w:val="18"/>
                <w:szCs w:val="18"/>
              </w:rPr>
              <w:t>&lt;0.001</w:t>
            </w:r>
          </w:p>
        </w:tc>
      </w:tr>
      <w:tr w:rsidR="00951350" w:rsidRPr="004C78D8" w14:paraId="238354F5" w14:textId="77777777" w:rsidTr="00E35893">
        <w:tc>
          <w:tcPr>
            <w:tcW w:w="2263" w:type="dxa"/>
            <w:tcBorders>
              <w:top w:val="nil"/>
              <w:bottom w:val="nil"/>
            </w:tcBorders>
          </w:tcPr>
          <w:p w14:paraId="2EB63360" w14:textId="6FD14072" w:rsidR="00951350" w:rsidRPr="004C78D8" w:rsidRDefault="00951350" w:rsidP="00FB7C1F">
            <w:pPr>
              <w:rPr>
                <w:sz w:val="18"/>
                <w:szCs w:val="18"/>
              </w:rPr>
            </w:pPr>
            <w:r w:rsidRPr="004C78D8">
              <w:rPr>
                <w:sz w:val="18"/>
                <w:szCs w:val="18"/>
              </w:rPr>
              <w:t>Informal care</w:t>
            </w:r>
          </w:p>
        </w:tc>
        <w:tc>
          <w:tcPr>
            <w:tcW w:w="1701" w:type="dxa"/>
            <w:tcBorders>
              <w:top w:val="nil"/>
              <w:bottom w:val="nil"/>
            </w:tcBorders>
          </w:tcPr>
          <w:p w14:paraId="1EDDAEE3" w14:textId="247BF676" w:rsidR="00951350" w:rsidRPr="004C78D8" w:rsidRDefault="00951350" w:rsidP="00FB7C1F">
            <w:pPr>
              <w:jc w:val="center"/>
              <w:rPr>
                <w:sz w:val="18"/>
                <w:szCs w:val="18"/>
              </w:rPr>
            </w:pPr>
            <w:r w:rsidRPr="004C78D8">
              <w:rPr>
                <w:sz w:val="18"/>
                <w:szCs w:val="18"/>
              </w:rPr>
              <w:t>0.4</w:t>
            </w:r>
            <w:r w:rsidR="006E3F1E" w:rsidRPr="004C78D8">
              <w:rPr>
                <w:sz w:val="18"/>
                <w:szCs w:val="18"/>
              </w:rPr>
              <w:t>12</w:t>
            </w:r>
            <w:r w:rsidRPr="004C78D8">
              <w:rPr>
                <w:sz w:val="18"/>
                <w:szCs w:val="18"/>
              </w:rPr>
              <w:t xml:space="preserve"> (0.077)</w:t>
            </w:r>
          </w:p>
        </w:tc>
        <w:tc>
          <w:tcPr>
            <w:tcW w:w="1701" w:type="dxa"/>
            <w:tcBorders>
              <w:top w:val="nil"/>
              <w:bottom w:val="nil"/>
            </w:tcBorders>
          </w:tcPr>
          <w:p w14:paraId="398AF91B" w14:textId="72A76C8F" w:rsidR="00951350" w:rsidRPr="004C78D8" w:rsidRDefault="00951350" w:rsidP="00FB7C1F">
            <w:pPr>
              <w:jc w:val="center"/>
              <w:rPr>
                <w:sz w:val="18"/>
                <w:szCs w:val="18"/>
              </w:rPr>
            </w:pPr>
            <w:r w:rsidRPr="004C78D8">
              <w:rPr>
                <w:sz w:val="18"/>
                <w:szCs w:val="18"/>
              </w:rPr>
              <w:t>&lt;0.001</w:t>
            </w:r>
          </w:p>
        </w:tc>
      </w:tr>
      <w:tr w:rsidR="00951350" w:rsidRPr="004C78D8" w14:paraId="41D6DE10" w14:textId="77777777" w:rsidTr="00E35893">
        <w:tc>
          <w:tcPr>
            <w:tcW w:w="2263" w:type="dxa"/>
            <w:tcBorders>
              <w:top w:val="nil"/>
            </w:tcBorders>
          </w:tcPr>
          <w:p w14:paraId="43DFBEC1" w14:textId="1558C1DC" w:rsidR="00951350" w:rsidRPr="004C78D8" w:rsidRDefault="00951350" w:rsidP="00FB7C1F">
            <w:pPr>
              <w:rPr>
                <w:sz w:val="18"/>
                <w:szCs w:val="18"/>
              </w:rPr>
            </w:pPr>
            <w:r w:rsidRPr="004C78D8">
              <w:rPr>
                <w:sz w:val="18"/>
                <w:szCs w:val="18"/>
              </w:rPr>
              <w:t>GP routine contact</w:t>
            </w:r>
          </w:p>
        </w:tc>
        <w:tc>
          <w:tcPr>
            <w:tcW w:w="1701" w:type="dxa"/>
            <w:tcBorders>
              <w:top w:val="nil"/>
            </w:tcBorders>
          </w:tcPr>
          <w:p w14:paraId="79A5B865" w14:textId="2069821A" w:rsidR="00951350" w:rsidRPr="004C78D8" w:rsidRDefault="00951350" w:rsidP="00FB7C1F">
            <w:pPr>
              <w:jc w:val="center"/>
              <w:rPr>
                <w:sz w:val="18"/>
                <w:szCs w:val="18"/>
              </w:rPr>
            </w:pPr>
            <w:r w:rsidRPr="004C78D8">
              <w:rPr>
                <w:sz w:val="18"/>
                <w:szCs w:val="18"/>
              </w:rPr>
              <w:t>0.213 (0.093)</w:t>
            </w:r>
          </w:p>
        </w:tc>
        <w:tc>
          <w:tcPr>
            <w:tcW w:w="1701" w:type="dxa"/>
            <w:tcBorders>
              <w:top w:val="nil"/>
            </w:tcBorders>
          </w:tcPr>
          <w:p w14:paraId="659FE311" w14:textId="0713F080" w:rsidR="00951350" w:rsidRPr="004C78D8" w:rsidRDefault="00951350" w:rsidP="00FB7C1F">
            <w:pPr>
              <w:jc w:val="center"/>
              <w:rPr>
                <w:sz w:val="18"/>
                <w:szCs w:val="18"/>
              </w:rPr>
            </w:pPr>
            <w:r w:rsidRPr="004C78D8">
              <w:rPr>
                <w:sz w:val="18"/>
                <w:szCs w:val="18"/>
              </w:rPr>
              <w:t>0.022</w:t>
            </w:r>
          </w:p>
        </w:tc>
      </w:tr>
      <w:tr w:rsidR="00951350" w:rsidRPr="004C78D8" w14:paraId="04830F99" w14:textId="77777777" w:rsidTr="00E35893">
        <w:tc>
          <w:tcPr>
            <w:tcW w:w="5665" w:type="dxa"/>
            <w:gridSpan w:val="3"/>
          </w:tcPr>
          <w:p w14:paraId="7ECE06BB" w14:textId="5AF62B2D" w:rsidR="00797C77" w:rsidRPr="004C78D8" w:rsidRDefault="00D10D5E" w:rsidP="00FB7C1F">
            <w:pPr>
              <w:rPr>
                <w:sz w:val="18"/>
                <w:szCs w:val="18"/>
                <w:vertAlign w:val="superscript"/>
              </w:rPr>
            </w:pPr>
            <w:r w:rsidRPr="004C78D8">
              <w:rPr>
                <w:b/>
                <w:bCs/>
                <w:sz w:val="18"/>
                <w:szCs w:val="18"/>
              </w:rPr>
              <w:t>Abbreviation</w:t>
            </w:r>
            <w:r w:rsidR="00797C77" w:rsidRPr="004C78D8">
              <w:rPr>
                <w:b/>
                <w:bCs/>
                <w:sz w:val="18"/>
                <w:szCs w:val="18"/>
              </w:rPr>
              <w:t>:</w:t>
            </w:r>
            <w:r w:rsidR="00797C77" w:rsidRPr="004C78D8">
              <w:rPr>
                <w:sz w:val="18"/>
                <w:szCs w:val="18"/>
              </w:rPr>
              <w:t xml:space="preserve"> ELSA: English Longitudinal Study of Ageing; MA fall: fall requiring medical attention; </w:t>
            </w:r>
            <w:r w:rsidR="00E0049D" w:rsidRPr="004C78D8">
              <w:rPr>
                <w:sz w:val="18"/>
                <w:szCs w:val="18"/>
              </w:rPr>
              <w:t>OOP: out-of-pocket;</w:t>
            </w:r>
            <w:r w:rsidR="00E0049D" w:rsidRPr="004C78D8">
              <w:rPr>
                <w:sz w:val="18"/>
                <w:szCs w:val="18"/>
                <w:vertAlign w:val="superscript"/>
              </w:rPr>
              <w:t xml:space="preserve"> </w:t>
            </w:r>
            <w:r w:rsidR="00797C77" w:rsidRPr="004C78D8">
              <w:rPr>
                <w:sz w:val="18"/>
                <w:szCs w:val="18"/>
              </w:rPr>
              <w:t xml:space="preserve">Ref: reference; SE: standard error; </w:t>
            </w:r>
            <w:r w:rsidR="00E0049D" w:rsidRPr="004C78D8">
              <w:rPr>
                <w:sz w:val="18"/>
                <w:szCs w:val="18"/>
              </w:rPr>
              <w:t>SES: socioeconomic status</w:t>
            </w:r>
          </w:p>
          <w:p w14:paraId="2A89D37C" w14:textId="1C74D7F0" w:rsidR="00951350" w:rsidRPr="004C78D8" w:rsidRDefault="00951350" w:rsidP="00FB7C1F">
            <w:pPr>
              <w:rPr>
                <w:sz w:val="18"/>
                <w:szCs w:val="18"/>
              </w:rPr>
            </w:pPr>
            <w:r w:rsidRPr="004C78D8">
              <w:rPr>
                <w:sz w:val="18"/>
                <w:szCs w:val="18"/>
                <w:vertAlign w:val="superscript"/>
              </w:rPr>
              <w:t>1</w:t>
            </w:r>
            <w:r w:rsidRPr="004C78D8">
              <w:rPr>
                <w:sz w:val="18"/>
                <w:szCs w:val="18"/>
              </w:rPr>
              <w:t xml:space="preserve"> Sample was restricted to those who did not receive reactive or proactive falls prevention intervention that year</w:t>
            </w:r>
            <w:r w:rsidR="00962615" w:rsidRPr="004C78D8">
              <w:rPr>
                <w:sz w:val="18"/>
                <w:szCs w:val="18"/>
              </w:rPr>
              <w:t>.</w:t>
            </w:r>
          </w:p>
        </w:tc>
      </w:tr>
    </w:tbl>
    <w:p w14:paraId="27AD318C" w14:textId="77777777" w:rsidR="002B4877" w:rsidRPr="004C78D8" w:rsidRDefault="002B4877" w:rsidP="00FB7C1F"/>
    <w:p w14:paraId="456C06B0" w14:textId="55080800" w:rsidR="003B0111" w:rsidRPr="004C78D8" w:rsidRDefault="00E0049D" w:rsidP="00FB7C1F">
      <w:r w:rsidRPr="004C78D8">
        <w:t xml:space="preserve">Older individuals and women were likelier to take up exercise. </w:t>
      </w:r>
      <w:r w:rsidR="005F6594" w:rsidRPr="004C78D8">
        <w:t xml:space="preserve">There was a </w:t>
      </w:r>
      <w:r w:rsidRPr="004C78D8">
        <w:t xml:space="preserve">SES </w:t>
      </w:r>
      <w:r w:rsidR="005F6594" w:rsidRPr="004C78D8">
        <w:t xml:space="preserve">gradient to uptake with the bottom two </w:t>
      </w:r>
      <w:r w:rsidRPr="004C78D8">
        <w:t>SES</w:t>
      </w:r>
      <w:r w:rsidR="005F6594" w:rsidRPr="004C78D8">
        <w:t xml:space="preserve"> quartiles less likely to take up the intervention than the top two. Falls history of any type was associated with higher uptake. Interestingly, higher frailty </w:t>
      </w:r>
      <w:r w:rsidR="00651B54" w:rsidRPr="004C78D8">
        <w:t>and high physical activity were both</w:t>
      </w:r>
      <w:r w:rsidR="005F6594" w:rsidRPr="004C78D8">
        <w:t xml:space="preserve"> associated with greater likelihood. Cognitively impaired persons were less likely to take up exercise, though association was not statistically significant at 95% confidence level. Those with abnormal gait/balance were less likely to take up, suggesting that these high-risk individuals may be disadvantaged under the self-referred pathway (if they fail to enter the proactive pathway). Finally, all forms of care contact in the community setting were associated with greater likelihood of exercise uptake, suggesting that supportive environment facilitated health promotion.</w:t>
      </w:r>
    </w:p>
    <w:p w14:paraId="19C519AD" w14:textId="23D2E5A6" w:rsidR="00563E1E" w:rsidRPr="004C78D8" w:rsidRDefault="00AA096B" w:rsidP="00FB7C1F">
      <w:pPr>
        <w:pStyle w:val="Heading4"/>
      </w:pPr>
      <w:r w:rsidRPr="004C78D8">
        <w:t>5</w:t>
      </w:r>
      <w:r w:rsidR="00563E1E" w:rsidRPr="004C78D8">
        <w:t>.</w:t>
      </w:r>
      <w:r w:rsidR="00332ADA" w:rsidRPr="004C78D8">
        <w:t>2</w:t>
      </w:r>
      <w:r w:rsidR="00563E1E" w:rsidRPr="004C78D8">
        <w:t>.</w:t>
      </w:r>
      <w:r w:rsidR="00480861" w:rsidRPr="004C78D8">
        <w:t>4</w:t>
      </w:r>
      <w:r w:rsidR="00563E1E" w:rsidRPr="004C78D8">
        <w:t>.</w:t>
      </w:r>
      <w:r w:rsidR="00C31EDF" w:rsidRPr="004C78D8">
        <w:t>3</w:t>
      </w:r>
      <w:r w:rsidR="00563E1E" w:rsidRPr="004C78D8">
        <w:t xml:space="preserve"> Intervention resource use and cost</w:t>
      </w:r>
    </w:p>
    <w:p w14:paraId="3584FD57" w14:textId="5F064C0E" w:rsidR="00CF04B7" w:rsidRPr="004C78D8" w:rsidRDefault="00390291" w:rsidP="00FB7C1F">
      <w:r w:rsidRPr="004C78D8">
        <w:t>Falls prevention interventions u</w:t>
      </w:r>
      <w:r w:rsidR="00D7332A" w:rsidRPr="004C78D8">
        <w:t>nder</w:t>
      </w:r>
      <w:r w:rsidR="00A34947" w:rsidRPr="004C78D8">
        <w:t xml:space="preserve"> </w:t>
      </w:r>
      <w:r w:rsidR="0023543C" w:rsidRPr="004C78D8">
        <w:t>UC and RC</w:t>
      </w:r>
      <w:r w:rsidR="00A34947" w:rsidRPr="004C78D8">
        <w:t xml:space="preserve"> can be divided into </w:t>
      </w:r>
      <w:r w:rsidR="00E662CD" w:rsidRPr="004C78D8">
        <w:t xml:space="preserve">two </w:t>
      </w:r>
      <w:r w:rsidR="000678DB" w:rsidRPr="004C78D8">
        <w:t>groups:</w:t>
      </w:r>
      <w:r w:rsidR="0023543C" w:rsidRPr="004C78D8">
        <w:t xml:space="preserve"> </w:t>
      </w:r>
      <w:r w:rsidR="00E662CD" w:rsidRPr="004C78D8">
        <w:t xml:space="preserve">multifactorial interventions </w:t>
      </w:r>
      <w:r w:rsidR="00500409" w:rsidRPr="004C78D8">
        <w:t>for</w:t>
      </w:r>
      <w:r w:rsidR="00E662CD" w:rsidRPr="004C78D8">
        <w:t xml:space="preserve"> reactive and proactive pathways</w:t>
      </w:r>
      <w:r w:rsidR="000678DB" w:rsidRPr="004C78D8">
        <w:t xml:space="preserve">; and </w:t>
      </w:r>
      <w:r w:rsidR="004C302D" w:rsidRPr="004C78D8">
        <w:t>single-component</w:t>
      </w:r>
      <w:r w:rsidR="00500409" w:rsidRPr="004C78D8">
        <w:t xml:space="preserve"> interventions </w:t>
      </w:r>
      <w:r w:rsidR="004C302D" w:rsidRPr="004C78D8">
        <w:t xml:space="preserve">including HAM for the reactive pathway and exercise </w:t>
      </w:r>
      <w:r w:rsidR="00471D79" w:rsidRPr="004C78D8">
        <w:t xml:space="preserve">for proactive and self-referred pathways. </w:t>
      </w:r>
      <w:r w:rsidR="004D4857" w:rsidRPr="004C78D8">
        <w:t>T</w:t>
      </w:r>
      <w:r w:rsidR="000678DB" w:rsidRPr="004C78D8">
        <w:t xml:space="preserve">he two groups have </w:t>
      </w:r>
      <w:r w:rsidR="0038413F" w:rsidRPr="004C78D8">
        <w:t>marked</w:t>
      </w:r>
      <w:r w:rsidR="004C302D" w:rsidRPr="004C78D8">
        <w:t xml:space="preserve"> </w:t>
      </w:r>
      <w:r w:rsidR="000678DB" w:rsidRPr="004C78D8">
        <w:t>differen</w:t>
      </w:r>
      <w:r w:rsidR="00657562" w:rsidRPr="004C78D8">
        <w:t>ces</w:t>
      </w:r>
      <w:r w:rsidR="000678DB" w:rsidRPr="004C78D8">
        <w:t xml:space="preserve"> </w:t>
      </w:r>
      <w:r w:rsidR="00657562" w:rsidRPr="004C78D8">
        <w:t xml:space="preserve">in </w:t>
      </w:r>
      <w:r w:rsidR="004C302D" w:rsidRPr="004C78D8">
        <w:t xml:space="preserve">resource and </w:t>
      </w:r>
      <w:r w:rsidR="000678DB" w:rsidRPr="004C78D8">
        <w:t>cost structures</w:t>
      </w:r>
      <w:r w:rsidR="005657E9" w:rsidRPr="004C78D8">
        <w:t>.</w:t>
      </w:r>
      <w:r w:rsidR="00F15D90" w:rsidRPr="004C78D8">
        <w:t xml:space="preserve"> </w:t>
      </w:r>
      <w:r w:rsidR="006B69F3" w:rsidRPr="004C78D8">
        <w:t xml:space="preserve">Multifactorial interventions typically require in-house facilities and equipment with </w:t>
      </w:r>
      <w:r w:rsidR="004C7BFD" w:rsidRPr="004C78D8">
        <w:t>major</w:t>
      </w:r>
      <w:r w:rsidR="006B69F3" w:rsidRPr="004C78D8">
        <w:t xml:space="preserve"> fixed cost components </w:t>
      </w:r>
      <w:r w:rsidR="006B69F3" w:rsidRPr="004C78D8">
        <w:fldChar w:fldCharType="begin"/>
      </w:r>
      <w:r w:rsidR="00C630FC" w:rsidRPr="004C78D8">
        <w:instrText xml:space="preserve"> ADDIN EN.CITE &lt;EndNote&gt;&lt;Cite&gt;&lt;Author&gt;Comans&lt;/Author&gt;&lt;Year&gt;2009&lt;/Year&gt;&lt;RecNum&gt;376&lt;/RecNum&gt;&lt;DisplayText&gt;[207]&lt;/DisplayText&gt;&lt;record&gt;&lt;rec-number&gt;376&lt;/rec-number&gt;&lt;foreign-keys&gt;&lt;key app="EN" db-id="tdtrdw9aepptzbefsat599syza29sxsd2wsp" timestamp="1612625082"&gt;376&lt;/key&gt;&lt;/foreign-keys&gt;&lt;ref-type name="Journal Article"&gt;17&lt;/ref-type&gt;&lt;contributors&gt;&lt;authors&gt;&lt;author&gt;Comans, Tracy&lt;/author&gt;&lt;author&gt;Brauer, Sandy&lt;/author&gt;&lt;author&gt;Haines, Terry&lt;/author&gt;&lt;/authors&gt;&lt;/contributors&gt;&lt;titles&gt;&lt;title&gt;A break-even analysis of a community rehabilitation falls prevention service&lt;/title&gt;&lt;secondary-title&gt;Australian and New Zealand journal of public health&lt;/secondary-title&gt;&lt;/titles&gt;&lt;periodical&gt;&lt;full-title&gt;Australian and New Zealand journal of public health&lt;/full-title&gt;&lt;/periodical&gt;&lt;pages&gt;240-5&lt;/pages&gt;&lt;volume&gt;33&lt;/volume&gt;&lt;number&gt;3&lt;/number&gt;&lt;section&gt;Comans, Tracy. The Community Rehabilitation Service, Southside Health Service District and School of Health and Rehabilitation Sciences, University of Queensland, Queensland, Australia. tracy.comans@uqconnect.edu.au&lt;/section&gt;&lt;keywords&gt;&lt;keyword&gt;*Accidental Falls/pc [Prevention &amp;amp; Control]&lt;/keyword&gt;&lt;keyword&gt;Aged&lt;/keyword&gt;&lt;keyword&gt;Aged, 80 and over&lt;/keyword&gt;&lt;keyword&gt;Cost-Benefit Analysis&lt;/keyword&gt;&lt;keyword&gt;Efficiency, Organizational/ec [Economics]&lt;/keyword&gt;&lt;keyword&gt;*Efficiency, Organizational&lt;/keyword&gt;&lt;keyword&gt;Female&lt;/keyword&gt;&lt;keyword&gt;Humans&lt;/keyword&gt;&lt;keyword&gt;Interdisciplinary Communication&lt;/keyword&gt;&lt;keyword&gt;Male&lt;/keyword&gt;&lt;keyword&gt;Models, Theoretical&lt;/keyword&gt;&lt;keyword&gt;*Preventive Health Services/st [Standards]&lt;/keyword&gt;&lt;keyword&gt;*Rehabilitation Centers&lt;/keyword&gt;&lt;/keywords&gt;&lt;dates&gt;&lt;year&gt;2009&lt;/year&gt;&lt;/dates&gt;&lt;pub-location&gt;Australia&lt;/pub-location&gt;&lt;isbn&gt;1326-0200&lt;/isbn&gt;&lt;urls&gt;&lt;related-urls&gt;&lt;url&gt;http://ovidsp.ovid.com/ovidweb.cgi?T=JS&amp;amp;PAGE=reference&amp;amp;D=med6&amp;amp;NEWS=N&amp;amp;AN=19630843&lt;/url&gt;&lt;/related-urls&gt;&lt;/urls&gt;&lt;electronic-resource-num&gt;https://dx.doi.org/10.1111/j.1753-6405.2009.00382.x&lt;/electronic-resource-num&gt;&lt;remote-database-name&gt;Medline&lt;/remote-database-name&gt;&lt;/record&gt;&lt;/Cite&gt;&lt;/EndNote&gt;</w:instrText>
      </w:r>
      <w:r w:rsidR="006B69F3" w:rsidRPr="004C78D8">
        <w:fldChar w:fldCharType="separate"/>
      </w:r>
      <w:r w:rsidR="00C630FC" w:rsidRPr="004C78D8">
        <w:rPr>
          <w:noProof/>
        </w:rPr>
        <w:t>[207]</w:t>
      </w:r>
      <w:r w:rsidR="006B69F3" w:rsidRPr="004C78D8">
        <w:fldChar w:fldCharType="end"/>
      </w:r>
      <w:r w:rsidR="006B69F3" w:rsidRPr="004C78D8">
        <w:t xml:space="preserve">, although several component services may be outsourced to other clinical facilities </w:t>
      </w:r>
      <w:r w:rsidR="006B69F3" w:rsidRPr="004C78D8">
        <w:fldChar w:fldCharType="begin"/>
      </w:r>
      <w:r w:rsidR="00513646" w:rsidRPr="004C78D8">
        <w:instrText xml:space="preserve"> ADDIN EN.CITE &lt;EndNote&gt;&lt;Cite&gt;&lt;Author&gt;Day&lt;/Author&gt;&lt;Year&gt;2009&lt;/Year&gt;&lt;RecNum&gt;346&lt;/RecNum&gt;&lt;DisplayText&gt;[167]&lt;/DisplayText&gt;&lt;record&gt;&lt;rec-number&gt;346&lt;/rec-number&gt;&lt;foreign-keys&gt;&lt;key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006B69F3" w:rsidRPr="004C78D8">
        <w:fldChar w:fldCharType="separate"/>
      </w:r>
      <w:r w:rsidR="00513646" w:rsidRPr="004C78D8">
        <w:rPr>
          <w:noProof/>
        </w:rPr>
        <w:t>[167]</w:t>
      </w:r>
      <w:r w:rsidR="006B69F3" w:rsidRPr="004C78D8">
        <w:fldChar w:fldCharType="end"/>
      </w:r>
      <w:r w:rsidR="006B69F3" w:rsidRPr="004C78D8">
        <w:t xml:space="preserve">. </w:t>
      </w:r>
      <w:r w:rsidR="004C7BFD" w:rsidRPr="004C78D8">
        <w:t>T</w:t>
      </w:r>
      <w:r w:rsidR="006B69F3" w:rsidRPr="004C78D8">
        <w:t xml:space="preserve">he NHS professionals in the multidisciplinary team </w:t>
      </w:r>
      <w:r w:rsidR="004C7BFD" w:rsidRPr="004C78D8">
        <w:t xml:space="preserve">likely </w:t>
      </w:r>
      <w:r w:rsidR="006B69F3" w:rsidRPr="004C78D8">
        <w:t xml:space="preserve">receive salaries that do not vary directly with the client numbers </w:t>
      </w:r>
      <w:r w:rsidR="006B69F3" w:rsidRPr="004C78D8">
        <w:fldChar w:fldCharType="begin"/>
      </w:r>
      <w:r w:rsidR="00C630FC" w:rsidRPr="004C78D8">
        <w:instrText xml:space="preserve"> ADDIN EN.CITE &lt;EndNote&gt;&lt;Cite&gt;&lt;Author&gt;Curtis&lt;/Author&gt;&lt;Year&gt;2019&lt;/Year&gt;&lt;RecNum&gt;135&lt;/RecNum&gt;&lt;DisplayText&gt;[401]&lt;/DisplayText&gt;&lt;record&gt;&lt;rec-number&gt;135&lt;/rec-number&gt;&lt;foreign-keys&gt;&lt;key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006B69F3" w:rsidRPr="004C78D8">
        <w:fldChar w:fldCharType="separate"/>
      </w:r>
      <w:r w:rsidR="00C630FC" w:rsidRPr="004C78D8">
        <w:rPr>
          <w:noProof/>
        </w:rPr>
        <w:t>[401]</w:t>
      </w:r>
      <w:r w:rsidR="006B69F3" w:rsidRPr="004C78D8">
        <w:fldChar w:fldCharType="end"/>
      </w:r>
      <w:r w:rsidR="006B69F3" w:rsidRPr="004C78D8">
        <w:t xml:space="preserve">. By contrast, single-component interventions, particularly exercise, may not operate at a </w:t>
      </w:r>
      <w:r w:rsidR="003714A8" w:rsidRPr="004C78D8">
        <w:t xml:space="preserve">single </w:t>
      </w:r>
      <w:r w:rsidR="006B69F3" w:rsidRPr="004C78D8">
        <w:t>dedicated venue and their professionals are likely paid at piece rates per session</w:t>
      </w:r>
      <w:r w:rsidR="003714A8" w:rsidRPr="004C78D8">
        <w:t>/</w:t>
      </w:r>
      <w:r w:rsidR="006B69F3" w:rsidRPr="004C78D8">
        <w:t xml:space="preserve">hour </w:t>
      </w:r>
      <w:r w:rsidR="006B69F3" w:rsidRPr="004C78D8">
        <w:fldChar w:fldCharType="begin"/>
      </w:r>
      <w:r w:rsidR="00C630FC" w:rsidRPr="004C78D8">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006B69F3" w:rsidRPr="004C78D8">
        <w:fldChar w:fldCharType="separate"/>
      </w:r>
      <w:r w:rsidR="00C630FC" w:rsidRPr="004C78D8">
        <w:rPr>
          <w:noProof/>
        </w:rPr>
        <w:t>[216]</w:t>
      </w:r>
      <w:r w:rsidR="006B69F3" w:rsidRPr="004C78D8">
        <w:fldChar w:fldCharType="end"/>
      </w:r>
      <w:r w:rsidR="006B69F3" w:rsidRPr="004C78D8">
        <w:t xml:space="preserve">. </w:t>
      </w:r>
      <w:r w:rsidR="003714A8" w:rsidRPr="004C78D8">
        <w:t>T</w:t>
      </w:r>
      <w:r w:rsidR="009D3545" w:rsidRPr="004C78D8">
        <w:t xml:space="preserve">he model should assign similar type and volume of resources as RCTs to derive corresponding efficacies. </w:t>
      </w:r>
    </w:p>
    <w:p w14:paraId="2301F6F1" w14:textId="76DB5453" w:rsidR="005657E9" w:rsidRPr="004C78D8" w:rsidRDefault="00866BA1" w:rsidP="00FB7C1F">
      <w:pPr>
        <w:pStyle w:val="Heading5"/>
      </w:pPr>
      <w:r w:rsidRPr="004C78D8">
        <w:t>Multifactorial interventions</w:t>
      </w:r>
      <w:r w:rsidR="0095475F" w:rsidRPr="004C78D8">
        <w:t xml:space="preserve"> – resource use</w:t>
      </w:r>
    </w:p>
    <w:p w14:paraId="77C5D519" w14:textId="6CC0D75C" w:rsidR="00866BA1" w:rsidRPr="004C78D8" w:rsidRDefault="00757363" w:rsidP="00FB7C1F">
      <w:r w:rsidRPr="004C78D8">
        <w:t xml:space="preserve">Table </w:t>
      </w:r>
      <w:r w:rsidR="00AA096B" w:rsidRPr="004C78D8">
        <w:t>5</w:t>
      </w:r>
      <w:r w:rsidR="00904486" w:rsidRPr="004C78D8">
        <w:t>.</w:t>
      </w:r>
      <w:r w:rsidR="00FA1597" w:rsidRPr="004C78D8">
        <w:t>31</w:t>
      </w:r>
      <w:r w:rsidRPr="004C78D8">
        <w:t xml:space="preserve"> summari</w:t>
      </w:r>
      <w:r w:rsidR="00904486" w:rsidRPr="004C78D8">
        <w:t>s</w:t>
      </w:r>
      <w:r w:rsidRPr="004C78D8">
        <w:t xml:space="preserve">es the </w:t>
      </w:r>
      <w:r w:rsidR="00866BA1" w:rsidRPr="004C78D8">
        <w:t xml:space="preserve">intervention </w:t>
      </w:r>
      <w:r w:rsidRPr="004C78D8">
        <w:t xml:space="preserve">resource use </w:t>
      </w:r>
      <w:r w:rsidR="002D6E40" w:rsidRPr="004C78D8">
        <w:t>detailed in</w:t>
      </w:r>
      <w:r w:rsidR="00866BA1" w:rsidRPr="004C78D8">
        <w:t xml:space="preserve"> each of the three UK-based RCTs that evaluated multifactorial intervention</w:t>
      </w:r>
      <w:r w:rsidR="00BA7833" w:rsidRPr="004C78D8">
        <w:t>s</w:t>
      </w:r>
      <w:r w:rsidR="003674A0" w:rsidRPr="004C78D8">
        <w:t xml:space="preserve">: </w:t>
      </w:r>
      <w:r w:rsidR="00904486" w:rsidRPr="004C78D8">
        <w:t xml:space="preserve">Close (1999) </w:t>
      </w:r>
      <w:r w:rsidR="00904486" w:rsidRPr="004C78D8">
        <w:fldChar w:fldCharType="begin"/>
      </w:r>
      <w:r w:rsidR="00513646" w:rsidRPr="004C78D8">
        <w:instrText xml:space="preserve"> ADDIN EN.CITE &lt;EndNote&gt;&lt;Cite&gt;&lt;Author&gt;Close&lt;/Author&gt;&lt;Year&gt;1999&lt;/Year&gt;&lt;RecNum&gt;513&lt;/RecNum&gt;&lt;DisplayText&gt;[62]&lt;/DisplayText&gt;&lt;record&gt;&lt;rec-number&gt;513&lt;/rec-number&gt;&lt;foreign-keys&gt;&lt;key app="EN" db-id="tdtrdw9aepptzbefsat599syza29sxsd2wsp" timestamp="1617903389"&gt;513&lt;/key&gt;&lt;/foreign-keys&gt;&lt;ref-type name="Journal Article"&gt;17&lt;/ref-type&gt;&lt;contributors&gt;&lt;authors&gt;&lt;author&gt;Close, J.&lt;/author&gt;&lt;author&gt;Ellis, M.&lt;/author&gt;&lt;author&gt;Hooper, R.&lt;/author&gt;&lt;author&gt;Glucksman, E.&lt;/author&gt;&lt;author&gt;Jackson, S.&lt;/author&gt;&lt;author&gt;Swift, C.&lt;/author&gt;&lt;/authors&gt;&lt;/contributors&gt;&lt;auth-address&gt;Department of Health Care of the Elderly, Guy&amp;apos;s King&amp;apos;s, and St Thomas&amp;apos; School of Medicine, King&amp;apos;s College Hospital, London, UK. jacqueline.close@kcl.ac.uk&lt;/auth-address&gt;&lt;titles&gt;&lt;title&gt;Prevention of falls in the elderly trial (PROFET): a randomised controlled trial&lt;/title&gt;&lt;secondary-title&gt;Lancet&lt;/secondary-title&gt;&lt;/titles&gt;&lt;periodical&gt;&lt;full-title&gt;Lancet&lt;/full-title&gt;&lt;/periodical&gt;&lt;pages&gt;93-7&lt;/pages&gt;&lt;volume&gt;353&lt;/volume&gt;&lt;number&gt;9147&lt;/number&gt;&lt;keywords&gt;&lt;keyword&gt;Accidental Falls/*prevention &amp;amp; control&lt;/keyword&gt;&lt;keyword&gt;Activities of Daily Living/classification&lt;/keyword&gt;&lt;keyword&gt;Aged&lt;/keyword&gt;&lt;keyword&gt;Aged, 80 and over&lt;/keyword&gt;&lt;keyword&gt;Female&lt;/keyword&gt;&lt;keyword&gt;*Frail Elderly&lt;/keyword&gt;&lt;keyword&gt;Geriatric Assessment&lt;/keyword&gt;&lt;keyword&gt;Humans&lt;/keyword&gt;&lt;keyword&gt;Male&lt;/keyword&gt;&lt;keyword&gt;Occupational Therapy&lt;/keyword&gt;&lt;keyword&gt;*Patient Care Team&lt;/keyword&gt;&lt;keyword&gt;Recurrence&lt;/keyword&gt;&lt;keyword&gt;Referral and Consultation&lt;/keyword&gt;&lt;keyword&gt;Treatment Outcome&lt;/keyword&gt;&lt;/keywords&gt;&lt;dates&gt;&lt;year&gt;1999&lt;/year&gt;&lt;pub-dates&gt;&lt;date&gt;Jan 9&lt;/date&gt;&lt;/pub-dates&gt;&lt;/dates&gt;&lt;isbn&gt;0140-6736 (Print)&amp;#xD;0140-6736 (Linking)&lt;/isbn&gt;&lt;accession-num&gt;10023893&lt;/accession-num&gt;&lt;urls&gt;&lt;related-urls&gt;&lt;url&gt;https://www.ncbi.nlm.nih.gov/pubmed/10023893&lt;/url&gt;&lt;/related-urls&gt;&lt;/urls&gt;&lt;electronic-resource-num&gt;10.1016/S0140-6736(98)06119-4&lt;/electronic-resource-num&gt;&lt;/record&gt;&lt;/Cite&gt;&lt;/EndNote&gt;</w:instrText>
      </w:r>
      <w:r w:rsidR="00904486" w:rsidRPr="004C78D8">
        <w:fldChar w:fldCharType="separate"/>
      </w:r>
      <w:r w:rsidR="00513646" w:rsidRPr="004C78D8">
        <w:rPr>
          <w:noProof/>
        </w:rPr>
        <w:t>[62]</w:t>
      </w:r>
      <w:r w:rsidR="00904486" w:rsidRPr="004C78D8">
        <w:fldChar w:fldCharType="end"/>
      </w:r>
      <w:r w:rsidR="00904486" w:rsidRPr="004C78D8">
        <w:t xml:space="preserve"> and Shaw (2003)</w:t>
      </w:r>
      <w:r w:rsidR="003674A0" w:rsidRPr="004C78D8">
        <w:t xml:space="preserve"> </w:t>
      </w:r>
      <w:r w:rsidR="00904486" w:rsidRPr="004C78D8">
        <w:fldChar w:fldCharType="begin"/>
      </w:r>
      <w:r w:rsidR="00C630FC" w:rsidRPr="004C78D8">
        <w:instrText xml:space="preserve"> ADDIN EN.CITE &lt;EndNote&gt;&lt;Cite&gt;&lt;Author&gt;Shaw&lt;/Author&gt;&lt;Year&gt;2003&lt;/Year&gt;&lt;RecNum&gt;514&lt;/RecNum&gt;&lt;DisplayText&gt;[384]&lt;/DisplayText&gt;&lt;record&gt;&lt;rec-number&gt;514&lt;/rec-number&gt;&lt;foreign-keys&gt;&lt;key app="EN" db-id="tdtrdw9aepptzbefsat599syza29sxsd2wsp" timestamp="1617903616"&gt;514&lt;/key&gt;&lt;/foreign-keys&gt;&lt;ref-type name="Journal Article"&gt;17&lt;/ref-type&gt;&lt;contributors&gt;&lt;authors&gt;&lt;author&gt;Shaw, Fiona E&lt;/author&gt;&lt;author&gt;Bond, John&lt;/author&gt;&lt;author&gt;Richardson, David A&lt;/author&gt;&lt;author&gt;Dawson, Pamela&lt;/author&gt;&lt;author&gt;Steen, I Nicholas&lt;/author&gt;&lt;author&gt;McKeith, Ian G&lt;/author&gt;&lt;author&gt;Kenny, Rose Anne&lt;/author&gt;&lt;/authors&gt;&lt;/contributors&gt;&lt;titles&gt;&lt;title&gt;Multifactorial intervention after a fall in older people with cognitive impairment and dementia presenting to the accident and emergency department: randomised controlled trial&lt;/title&gt;&lt;secondary-title&gt;BMJ: British medical journal&lt;/secondary-title&gt;&lt;/titles&gt;&lt;periodical&gt;&lt;full-title&gt;BMJ: British medical journal&lt;/full-title&gt;&lt;/periodical&gt;&lt;pages&gt;73&lt;/pages&gt;&lt;volume&gt;326&lt;/volume&gt;&lt;number&gt;7380&lt;/number&gt;&lt;dates&gt;&lt;year&gt;2003&lt;/year&gt;&lt;/dates&gt;&lt;urls&gt;&lt;/urls&gt;&lt;/record&gt;&lt;/Cite&gt;&lt;/EndNote&gt;</w:instrText>
      </w:r>
      <w:r w:rsidR="00904486" w:rsidRPr="004C78D8">
        <w:fldChar w:fldCharType="separate"/>
      </w:r>
      <w:r w:rsidR="00C630FC" w:rsidRPr="004C78D8">
        <w:rPr>
          <w:noProof/>
        </w:rPr>
        <w:t>[384]</w:t>
      </w:r>
      <w:r w:rsidR="00904486" w:rsidRPr="004C78D8">
        <w:fldChar w:fldCharType="end"/>
      </w:r>
      <w:r w:rsidR="00904486" w:rsidRPr="004C78D8">
        <w:t xml:space="preserve"> </w:t>
      </w:r>
      <w:r w:rsidR="003674A0" w:rsidRPr="004C78D8">
        <w:t xml:space="preserve">under the reactive pathway; and </w:t>
      </w:r>
      <w:r w:rsidR="00904486" w:rsidRPr="004C78D8">
        <w:t xml:space="preserve">Spice (2009) </w:t>
      </w:r>
      <w:r w:rsidR="00904486" w:rsidRPr="004C78D8">
        <w:fldChar w:fldCharType="begin"/>
      </w:r>
      <w:r w:rsidR="00C630FC" w:rsidRPr="004C78D8">
        <w:instrText xml:space="preserve"> ADDIN EN.CITE &lt;EndNote&gt;&lt;Cite&gt;&lt;Author&gt;Spice&lt;/Author&gt;&lt;Year&gt;2009&lt;/Year&gt;&lt;RecNum&gt;515&lt;/RecNum&gt;&lt;DisplayText&gt;[385]&lt;/DisplayText&gt;&lt;record&gt;&lt;rec-number&gt;515&lt;/rec-number&gt;&lt;foreign-keys&gt;&lt;key app="EN" db-id="tdtrdw9aepptzbefsat599syza29sxsd2wsp" timestamp="1617909863"&gt;515&lt;/key&gt;&lt;/foreign-keys&gt;&lt;ref-type name="Journal Article"&gt;17&lt;/ref-type&gt;&lt;contributors&gt;&lt;authors&gt;&lt;author&gt;Spice, Claire L&lt;/author&gt;&lt;author&gt;Morotti, Wendy&lt;/author&gt;&lt;author&gt;George, Steve&lt;/author&gt;&lt;author&gt;Dent, Thomas HS&lt;/author&gt;&lt;author&gt;Rose, Jim&lt;/author&gt;&lt;author&gt;Harris, Scott&lt;/author&gt;&lt;author&gt;Gordon, Christopher J&lt;/author&gt;&lt;/authors&gt;&lt;/contributors&gt;&lt;titles&gt;&lt;title&gt;The Winchester falls project: a randomised controlled trial of secondary prevention of falls in older people&lt;/title&gt;&lt;secondary-title&gt;Age and ageing&lt;/secondary-title&gt;&lt;/titles&gt;&lt;periodical&gt;&lt;full-title&gt;Age and ageing&lt;/full-title&gt;&lt;/periodical&gt;&lt;pages&gt;33-40&lt;/pages&gt;&lt;volume&gt;38&lt;/volume&gt;&lt;number&gt;1&lt;/number&gt;&lt;dates&gt;&lt;year&gt;2009&lt;/year&gt;&lt;/dates&gt;&lt;isbn&gt;1468-2834&lt;/isbn&gt;&lt;urls&gt;&lt;/urls&gt;&lt;/record&gt;&lt;/Cite&gt;&lt;/EndNote&gt;</w:instrText>
      </w:r>
      <w:r w:rsidR="00904486" w:rsidRPr="004C78D8">
        <w:fldChar w:fldCharType="separate"/>
      </w:r>
      <w:r w:rsidR="00C630FC" w:rsidRPr="004C78D8">
        <w:rPr>
          <w:noProof/>
        </w:rPr>
        <w:t>[385]</w:t>
      </w:r>
      <w:r w:rsidR="00904486" w:rsidRPr="004C78D8">
        <w:fldChar w:fldCharType="end"/>
      </w:r>
      <w:r w:rsidR="00904486" w:rsidRPr="004C78D8">
        <w:t xml:space="preserve"> </w:t>
      </w:r>
      <w:r w:rsidR="003674A0" w:rsidRPr="004C78D8">
        <w:t>under the proactive</w:t>
      </w:r>
      <w:r w:rsidR="00866BA1" w:rsidRPr="004C78D8">
        <w:t>.</w:t>
      </w:r>
      <w:r w:rsidR="003468F7" w:rsidRPr="004C78D8">
        <w:t xml:space="preserve"> </w:t>
      </w:r>
      <w:r w:rsidR="00635243" w:rsidRPr="004C78D8">
        <w:t>The resource use</w:t>
      </w:r>
      <w:r w:rsidR="009D3545" w:rsidRPr="004C78D8">
        <w:t>s</w:t>
      </w:r>
      <w:r w:rsidR="00635243" w:rsidRPr="004C78D8">
        <w:t xml:space="preserve"> </w:t>
      </w:r>
      <w:r w:rsidR="009D3545" w:rsidRPr="004C78D8">
        <w:t>are catalogued by</w:t>
      </w:r>
      <w:r w:rsidR="003468F7" w:rsidRPr="004C78D8">
        <w:t xml:space="preserve"> three components: participant </w:t>
      </w:r>
      <w:r w:rsidR="00D56D95" w:rsidRPr="004C78D8">
        <w:t xml:space="preserve">screening and </w:t>
      </w:r>
      <w:r w:rsidR="003468F7" w:rsidRPr="004C78D8">
        <w:t>recruitment; falls risk assessment; and therapeutic treatment.</w:t>
      </w:r>
      <w:r w:rsidR="00841D10" w:rsidRPr="004C78D8">
        <w:t xml:space="preserve"> </w:t>
      </w:r>
      <w:r w:rsidR="00B140ED" w:rsidRPr="004C78D8">
        <w:t>Strictly research-related resource</w:t>
      </w:r>
      <w:r w:rsidR="00C578C6" w:rsidRPr="004C78D8">
        <w:t xml:space="preserve"> uses</w:t>
      </w:r>
      <w:r w:rsidR="00B140ED" w:rsidRPr="004C78D8">
        <w:t xml:space="preserve"> such as phone calls to collect falls diaries are excluded. </w:t>
      </w:r>
    </w:p>
    <w:tbl>
      <w:tblPr>
        <w:tblStyle w:val="TableGrid"/>
        <w:tblW w:w="5000" w:type="pct"/>
        <w:tblLook w:val="04A0" w:firstRow="1" w:lastRow="0" w:firstColumn="1" w:lastColumn="0" w:noHBand="0" w:noVBand="1"/>
      </w:tblPr>
      <w:tblGrid>
        <w:gridCol w:w="1084"/>
        <w:gridCol w:w="1626"/>
        <w:gridCol w:w="1232"/>
        <w:gridCol w:w="5074"/>
      </w:tblGrid>
      <w:tr w:rsidR="009C3472" w:rsidRPr="004C78D8" w14:paraId="6C501BE5" w14:textId="1BB1E9E2" w:rsidTr="00E35893">
        <w:tc>
          <w:tcPr>
            <w:tcW w:w="5000" w:type="pct"/>
            <w:gridSpan w:val="4"/>
          </w:tcPr>
          <w:p w14:paraId="1366317C" w14:textId="3D12DE41" w:rsidR="009C3472" w:rsidRPr="004C78D8" w:rsidRDefault="009C3472" w:rsidP="00FB7C1F">
            <w:pPr>
              <w:jc w:val="left"/>
              <w:rPr>
                <w:b/>
                <w:bCs/>
              </w:rPr>
            </w:pPr>
            <w:r w:rsidRPr="004C78D8">
              <w:rPr>
                <w:b/>
                <w:bCs/>
              </w:rPr>
              <w:t xml:space="preserve">Table </w:t>
            </w:r>
            <w:r w:rsidR="00AA096B" w:rsidRPr="004C78D8">
              <w:rPr>
                <w:b/>
                <w:bCs/>
              </w:rPr>
              <w:t>5</w:t>
            </w:r>
            <w:r w:rsidR="00904486" w:rsidRPr="004C78D8">
              <w:rPr>
                <w:b/>
                <w:bCs/>
              </w:rPr>
              <w:t>.</w:t>
            </w:r>
            <w:r w:rsidR="00FA1597" w:rsidRPr="004C78D8">
              <w:rPr>
                <w:b/>
                <w:bCs/>
              </w:rPr>
              <w:t>31</w:t>
            </w:r>
            <w:r w:rsidRPr="004C78D8">
              <w:t xml:space="preserve"> </w:t>
            </w:r>
            <w:r w:rsidR="00F15D90" w:rsidRPr="004C78D8">
              <w:t>R</w:t>
            </w:r>
            <w:r w:rsidRPr="004C78D8">
              <w:t>esource use in UK-based randomi</w:t>
            </w:r>
            <w:r w:rsidR="00CC1D1B" w:rsidRPr="004C78D8">
              <w:t>s</w:t>
            </w:r>
            <w:r w:rsidRPr="004C78D8">
              <w:t xml:space="preserve">ed controlled trials </w:t>
            </w:r>
            <w:r w:rsidR="00A75DFA" w:rsidRPr="004C78D8">
              <w:t>of</w:t>
            </w:r>
            <w:r w:rsidRPr="004C78D8">
              <w:t xml:space="preserve"> multifactorial interventions</w:t>
            </w:r>
            <w:r w:rsidR="00F15D90" w:rsidRPr="004C78D8">
              <w:t>.</w:t>
            </w:r>
          </w:p>
        </w:tc>
      </w:tr>
      <w:tr w:rsidR="009C3472" w:rsidRPr="004C78D8" w14:paraId="324310AE" w14:textId="5285263B" w:rsidTr="00E35893">
        <w:tc>
          <w:tcPr>
            <w:tcW w:w="601" w:type="pct"/>
          </w:tcPr>
          <w:p w14:paraId="584B20D8" w14:textId="79586C8B" w:rsidR="009C3472" w:rsidRPr="004C78D8" w:rsidRDefault="00CC1D1B" w:rsidP="00FB7C1F">
            <w:pPr>
              <w:jc w:val="left"/>
              <w:rPr>
                <w:b/>
                <w:bCs/>
                <w:sz w:val="20"/>
                <w:szCs w:val="20"/>
              </w:rPr>
            </w:pPr>
            <w:r w:rsidRPr="004C78D8">
              <w:rPr>
                <w:b/>
                <w:bCs/>
                <w:sz w:val="20"/>
                <w:szCs w:val="20"/>
              </w:rPr>
              <w:t>RCT reference</w:t>
            </w:r>
          </w:p>
        </w:tc>
        <w:tc>
          <w:tcPr>
            <w:tcW w:w="902" w:type="pct"/>
          </w:tcPr>
          <w:p w14:paraId="5537D3A9" w14:textId="12A48A2C" w:rsidR="009C3472" w:rsidRPr="004C78D8" w:rsidRDefault="009C3472" w:rsidP="00FB7C1F">
            <w:pPr>
              <w:jc w:val="left"/>
              <w:rPr>
                <w:b/>
                <w:bCs/>
                <w:sz w:val="20"/>
                <w:szCs w:val="20"/>
              </w:rPr>
            </w:pPr>
            <w:r w:rsidRPr="004C78D8">
              <w:rPr>
                <w:b/>
                <w:bCs/>
                <w:sz w:val="20"/>
                <w:szCs w:val="20"/>
              </w:rPr>
              <w:t>Intervention type</w:t>
            </w:r>
          </w:p>
        </w:tc>
        <w:tc>
          <w:tcPr>
            <w:tcW w:w="683" w:type="pct"/>
          </w:tcPr>
          <w:p w14:paraId="59BFE863" w14:textId="5C1AD18D" w:rsidR="009C3472" w:rsidRPr="004C78D8" w:rsidRDefault="00B94C45" w:rsidP="00FB7C1F">
            <w:pPr>
              <w:jc w:val="left"/>
              <w:rPr>
                <w:b/>
                <w:bCs/>
                <w:sz w:val="20"/>
                <w:szCs w:val="20"/>
              </w:rPr>
            </w:pPr>
            <w:r w:rsidRPr="004C78D8">
              <w:rPr>
                <w:b/>
                <w:bCs/>
                <w:sz w:val="20"/>
                <w:szCs w:val="20"/>
              </w:rPr>
              <w:t>Component</w:t>
            </w:r>
          </w:p>
        </w:tc>
        <w:tc>
          <w:tcPr>
            <w:tcW w:w="2814" w:type="pct"/>
          </w:tcPr>
          <w:p w14:paraId="59188A83" w14:textId="68060B21" w:rsidR="009C3472" w:rsidRPr="004C78D8" w:rsidRDefault="009C3472" w:rsidP="00FB7C1F">
            <w:pPr>
              <w:jc w:val="left"/>
              <w:rPr>
                <w:b/>
                <w:bCs/>
                <w:sz w:val="20"/>
                <w:szCs w:val="20"/>
              </w:rPr>
            </w:pPr>
            <w:r w:rsidRPr="004C78D8">
              <w:rPr>
                <w:b/>
                <w:bCs/>
                <w:sz w:val="20"/>
                <w:szCs w:val="20"/>
              </w:rPr>
              <w:t>Resource</w:t>
            </w:r>
            <w:r w:rsidR="00B94C45" w:rsidRPr="004C78D8">
              <w:rPr>
                <w:b/>
                <w:bCs/>
                <w:sz w:val="20"/>
                <w:szCs w:val="20"/>
              </w:rPr>
              <w:t xml:space="preserve"> use</w:t>
            </w:r>
          </w:p>
        </w:tc>
      </w:tr>
      <w:tr w:rsidR="009C3472" w:rsidRPr="004C78D8" w14:paraId="640BCE62" w14:textId="1D869EB4" w:rsidTr="00E35893">
        <w:tc>
          <w:tcPr>
            <w:tcW w:w="601" w:type="pct"/>
            <w:vMerge w:val="restart"/>
          </w:tcPr>
          <w:p w14:paraId="51E3C092" w14:textId="76B2A503" w:rsidR="009C3472" w:rsidRPr="004C78D8" w:rsidRDefault="00904486" w:rsidP="00FB7C1F">
            <w:pPr>
              <w:jc w:val="left"/>
              <w:rPr>
                <w:sz w:val="18"/>
                <w:szCs w:val="18"/>
              </w:rPr>
            </w:pPr>
            <w:r w:rsidRPr="004C78D8">
              <w:rPr>
                <w:sz w:val="18"/>
                <w:szCs w:val="18"/>
              </w:rPr>
              <w:t xml:space="preserve">Close (1999) </w:t>
            </w:r>
            <w:r w:rsidRPr="004C78D8">
              <w:rPr>
                <w:sz w:val="18"/>
                <w:szCs w:val="18"/>
              </w:rPr>
              <w:fldChar w:fldCharType="begin"/>
            </w:r>
            <w:r w:rsidR="00513646" w:rsidRPr="004C78D8">
              <w:rPr>
                <w:sz w:val="18"/>
                <w:szCs w:val="18"/>
              </w:rPr>
              <w:instrText xml:space="preserve"> ADDIN EN.CITE &lt;EndNote&gt;&lt;Cite&gt;&lt;Author&gt;Close&lt;/Author&gt;&lt;Year&gt;1999&lt;/Year&gt;&lt;RecNum&gt;513&lt;/RecNum&gt;&lt;DisplayText&gt;[62]&lt;/DisplayText&gt;&lt;record&gt;&lt;rec-number&gt;513&lt;/rec-number&gt;&lt;foreign-keys&gt;&lt;key app="EN" db-id="tdtrdw9aepptzbefsat599syza29sxsd2wsp" timestamp="1617903389"&gt;513&lt;/key&gt;&lt;/foreign-keys&gt;&lt;ref-type name="Journal Article"&gt;17&lt;/ref-type&gt;&lt;contributors&gt;&lt;authors&gt;&lt;author&gt;Close, J.&lt;/author&gt;&lt;author&gt;Ellis, M.&lt;/author&gt;&lt;author&gt;Hooper, R.&lt;/author&gt;&lt;author&gt;Glucksman, E.&lt;/author&gt;&lt;author&gt;Jackson, S.&lt;/author&gt;&lt;author&gt;Swift, C.&lt;/author&gt;&lt;/authors&gt;&lt;/contributors&gt;&lt;auth-address&gt;Department of Health Care of the Elderly, Guy&amp;apos;s King&amp;apos;s, and St Thomas&amp;apos; School of Medicine, King&amp;apos;s College Hospital, London, UK. jacqueline.close@kcl.ac.uk&lt;/auth-address&gt;&lt;titles&gt;&lt;title&gt;Prevention of falls in the elderly trial (PROFET): a randomised controlled trial&lt;/title&gt;&lt;secondary-title&gt;Lancet&lt;/secondary-title&gt;&lt;/titles&gt;&lt;periodical&gt;&lt;full-title&gt;Lancet&lt;/full-title&gt;&lt;/periodical&gt;&lt;pages&gt;93-7&lt;/pages&gt;&lt;volume&gt;353&lt;/volume&gt;&lt;number&gt;9147&lt;/number&gt;&lt;keywords&gt;&lt;keyword&gt;Accidental Falls/*prevention &amp;amp; control&lt;/keyword&gt;&lt;keyword&gt;Activities of Daily Living/classification&lt;/keyword&gt;&lt;keyword&gt;Aged&lt;/keyword&gt;&lt;keyword&gt;Aged, 80 and over&lt;/keyword&gt;&lt;keyword&gt;Female&lt;/keyword&gt;&lt;keyword&gt;*Frail Elderly&lt;/keyword&gt;&lt;keyword&gt;Geriatric Assessment&lt;/keyword&gt;&lt;keyword&gt;Humans&lt;/keyword&gt;&lt;keyword&gt;Male&lt;/keyword&gt;&lt;keyword&gt;Occupational Therapy&lt;/keyword&gt;&lt;keyword&gt;*Patient Care Team&lt;/keyword&gt;&lt;keyword&gt;Recurrence&lt;/keyword&gt;&lt;keyword&gt;Referral and Consultation&lt;/keyword&gt;&lt;keyword&gt;Treatment Outcome&lt;/keyword&gt;&lt;/keywords&gt;&lt;dates&gt;&lt;year&gt;1999&lt;/year&gt;&lt;pub-dates&gt;&lt;date&gt;Jan 9&lt;/date&gt;&lt;/pub-dates&gt;&lt;/dates&gt;&lt;isbn&gt;0140-6736 (Print)&amp;#xD;0140-6736 (Linking)&lt;/isbn&gt;&lt;accession-num&gt;10023893&lt;/accession-num&gt;&lt;urls&gt;&lt;related-urls&gt;&lt;url&gt;https://www.ncbi.nlm.nih.gov/pubmed/10023893&lt;/url&gt;&lt;/related-urls&gt;&lt;/urls&gt;&lt;electronic-resource-num&gt;10.1016/S0140-6736(98)06119-4&lt;/electronic-resource-num&gt;&lt;/record&gt;&lt;/Cite&gt;&lt;/EndNote&gt;</w:instrText>
            </w:r>
            <w:r w:rsidRPr="004C78D8">
              <w:rPr>
                <w:sz w:val="18"/>
                <w:szCs w:val="18"/>
              </w:rPr>
              <w:fldChar w:fldCharType="separate"/>
            </w:r>
            <w:r w:rsidR="00513646" w:rsidRPr="004C78D8">
              <w:rPr>
                <w:noProof/>
                <w:sz w:val="18"/>
                <w:szCs w:val="18"/>
              </w:rPr>
              <w:t>[62]</w:t>
            </w:r>
            <w:r w:rsidRPr="004C78D8">
              <w:rPr>
                <w:sz w:val="18"/>
                <w:szCs w:val="18"/>
              </w:rPr>
              <w:fldChar w:fldCharType="end"/>
            </w:r>
          </w:p>
        </w:tc>
        <w:tc>
          <w:tcPr>
            <w:tcW w:w="902" w:type="pct"/>
            <w:vMerge w:val="restart"/>
          </w:tcPr>
          <w:p w14:paraId="295F8751" w14:textId="7BD87416" w:rsidR="009C3472" w:rsidRPr="004C78D8" w:rsidRDefault="009C3472" w:rsidP="00FB7C1F">
            <w:pPr>
              <w:jc w:val="left"/>
              <w:rPr>
                <w:sz w:val="18"/>
                <w:szCs w:val="18"/>
              </w:rPr>
            </w:pPr>
            <w:r w:rsidRPr="004C78D8">
              <w:rPr>
                <w:sz w:val="18"/>
                <w:szCs w:val="18"/>
              </w:rPr>
              <w:t>Reactive multifactorial intervention for cognitively intact persons at MA fall presentation</w:t>
            </w:r>
          </w:p>
        </w:tc>
        <w:tc>
          <w:tcPr>
            <w:tcW w:w="683" w:type="pct"/>
          </w:tcPr>
          <w:p w14:paraId="50D705F1" w14:textId="5E34BB5B" w:rsidR="009C3472" w:rsidRPr="004C78D8" w:rsidRDefault="009C3472" w:rsidP="00FB7C1F">
            <w:pPr>
              <w:jc w:val="left"/>
              <w:rPr>
                <w:sz w:val="18"/>
                <w:szCs w:val="18"/>
              </w:rPr>
            </w:pPr>
            <w:r w:rsidRPr="004C78D8">
              <w:rPr>
                <w:sz w:val="18"/>
                <w:szCs w:val="18"/>
              </w:rPr>
              <w:t>Participant</w:t>
            </w:r>
            <w:r w:rsidR="0001600F" w:rsidRPr="004C78D8">
              <w:rPr>
                <w:sz w:val="18"/>
                <w:szCs w:val="18"/>
              </w:rPr>
              <w:t xml:space="preserve"> screening &amp;</w:t>
            </w:r>
            <w:r w:rsidRPr="004C78D8">
              <w:rPr>
                <w:sz w:val="18"/>
                <w:szCs w:val="18"/>
              </w:rPr>
              <w:t xml:space="preserve"> recruitment</w:t>
            </w:r>
            <w:r w:rsidR="00C578C6" w:rsidRPr="004C78D8">
              <w:rPr>
                <w:sz w:val="18"/>
                <w:szCs w:val="18"/>
                <w:vertAlign w:val="superscript"/>
              </w:rPr>
              <w:t>1</w:t>
            </w:r>
            <w:r w:rsidR="006566F6" w:rsidRPr="004C78D8">
              <w:rPr>
                <w:sz w:val="18"/>
                <w:szCs w:val="18"/>
              </w:rPr>
              <w:t xml:space="preserve"> </w:t>
            </w:r>
          </w:p>
        </w:tc>
        <w:tc>
          <w:tcPr>
            <w:tcW w:w="2814" w:type="pct"/>
          </w:tcPr>
          <w:p w14:paraId="56941B84" w14:textId="77777777" w:rsidR="009C3472" w:rsidRPr="004C78D8" w:rsidRDefault="00772C54" w:rsidP="00FB7C1F">
            <w:pPr>
              <w:jc w:val="left"/>
              <w:rPr>
                <w:sz w:val="18"/>
                <w:szCs w:val="18"/>
              </w:rPr>
            </w:pPr>
            <w:r w:rsidRPr="004C78D8">
              <w:rPr>
                <w:sz w:val="18"/>
                <w:szCs w:val="18"/>
              </w:rPr>
              <w:t>(1) Eligibility screening by researcher using A&amp;E records</w:t>
            </w:r>
          </w:p>
          <w:p w14:paraId="5083346F" w14:textId="1C891C57" w:rsidR="00B34ADC" w:rsidRPr="004C78D8" w:rsidRDefault="00B34ADC" w:rsidP="00FB7C1F">
            <w:pPr>
              <w:jc w:val="left"/>
              <w:rPr>
                <w:sz w:val="18"/>
                <w:szCs w:val="18"/>
              </w:rPr>
            </w:pPr>
            <w:r w:rsidRPr="004C78D8">
              <w:rPr>
                <w:sz w:val="18"/>
                <w:szCs w:val="18"/>
              </w:rPr>
              <w:t>(2) Invitation by letter with information sheet and telephone call to answer questions</w:t>
            </w:r>
          </w:p>
        </w:tc>
      </w:tr>
      <w:tr w:rsidR="009C3472" w:rsidRPr="004C78D8" w14:paraId="55E49BA9" w14:textId="77777777" w:rsidTr="00E35893">
        <w:tc>
          <w:tcPr>
            <w:tcW w:w="601" w:type="pct"/>
            <w:vMerge/>
          </w:tcPr>
          <w:p w14:paraId="47FA1B89" w14:textId="77777777" w:rsidR="009C3472" w:rsidRPr="004C78D8" w:rsidRDefault="009C3472" w:rsidP="00FB7C1F">
            <w:pPr>
              <w:jc w:val="left"/>
              <w:rPr>
                <w:sz w:val="18"/>
                <w:szCs w:val="18"/>
              </w:rPr>
            </w:pPr>
          </w:p>
        </w:tc>
        <w:tc>
          <w:tcPr>
            <w:tcW w:w="902" w:type="pct"/>
            <w:vMerge/>
          </w:tcPr>
          <w:p w14:paraId="60FF413E" w14:textId="77777777" w:rsidR="009C3472" w:rsidRPr="004C78D8" w:rsidRDefault="009C3472" w:rsidP="00FB7C1F">
            <w:pPr>
              <w:jc w:val="left"/>
              <w:rPr>
                <w:sz w:val="18"/>
                <w:szCs w:val="18"/>
              </w:rPr>
            </w:pPr>
          </w:p>
        </w:tc>
        <w:tc>
          <w:tcPr>
            <w:tcW w:w="683" w:type="pct"/>
          </w:tcPr>
          <w:p w14:paraId="3B76C5A2" w14:textId="33EB6CF8" w:rsidR="009C3472" w:rsidRPr="004C78D8" w:rsidRDefault="009C3472" w:rsidP="00FB7C1F">
            <w:pPr>
              <w:jc w:val="left"/>
              <w:rPr>
                <w:sz w:val="18"/>
                <w:szCs w:val="18"/>
              </w:rPr>
            </w:pPr>
            <w:r w:rsidRPr="004C78D8">
              <w:rPr>
                <w:sz w:val="18"/>
                <w:szCs w:val="18"/>
              </w:rPr>
              <w:t>Falls risk assessment</w:t>
            </w:r>
          </w:p>
        </w:tc>
        <w:tc>
          <w:tcPr>
            <w:tcW w:w="2814" w:type="pct"/>
          </w:tcPr>
          <w:p w14:paraId="290F1546" w14:textId="11ABB53F" w:rsidR="00A23BF8" w:rsidRPr="004C78D8" w:rsidRDefault="00A23BF8" w:rsidP="00FB7C1F">
            <w:pPr>
              <w:jc w:val="left"/>
              <w:rPr>
                <w:sz w:val="18"/>
                <w:szCs w:val="18"/>
              </w:rPr>
            </w:pPr>
            <w:r w:rsidRPr="004C78D8">
              <w:rPr>
                <w:sz w:val="18"/>
                <w:szCs w:val="18"/>
              </w:rPr>
              <w:t>Assessments conducted by one physician at a day hospital</w:t>
            </w:r>
          </w:p>
          <w:p w14:paraId="3CF25F30" w14:textId="5F374A37" w:rsidR="009C3472" w:rsidRPr="004C78D8" w:rsidRDefault="009C3472" w:rsidP="00FB7C1F">
            <w:pPr>
              <w:jc w:val="left"/>
              <w:rPr>
                <w:sz w:val="18"/>
                <w:szCs w:val="18"/>
              </w:rPr>
            </w:pPr>
            <w:r w:rsidRPr="004C78D8">
              <w:rPr>
                <w:sz w:val="18"/>
                <w:szCs w:val="18"/>
              </w:rPr>
              <w:t xml:space="preserve">(A) Medical </w:t>
            </w:r>
            <w:r w:rsidR="007F54BA" w:rsidRPr="004C78D8">
              <w:rPr>
                <w:sz w:val="18"/>
                <w:szCs w:val="18"/>
              </w:rPr>
              <w:t xml:space="preserve">and cardiovascular </w:t>
            </w:r>
            <w:r w:rsidRPr="004C78D8">
              <w:rPr>
                <w:sz w:val="18"/>
                <w:szCs w:val="18"/>
              </w:rPr>
              <w:t>assessment</w:t>
            </w:r>
            <w:r w:rsidR="007F54BA" w:rsidRPr="004C78D8">
              <w:rPr>
                <w:sz w:val="18"/>
                <w:szCs w:val="18"/>
              </w:rPr>
              <w:t>s</w:t>
            </w:r>
            <w:r w:rsidRPr="004C78D8">
              <w:rPr>
                <w:sz w:val="18"/>
                <w:szCs w:val="18"/>
              </w:rPr>
              <w:t>: balance; vision; medication; affect; cognition</w:t>
            </w:r>
            <w:r w:rsidR="00B34ADC" w:rsidRPr="004C78D8">
              <w:rPr>
                <w:sz w:val="18"/>
                <w:szCs w:val="18"/>
              </w:rPr>
              <w:t xml:space="preserve">; </w:t>
            </w:r>
            <w:r w:rsidR="00EB4196" w:rsidRPr="004C78D8">
              <w:rPr>
                <w:sz w:val="18"/>
                <w:szCs w:val="18"/>
              </w:rPr>
              <w:t>postural hypotension; cardiac arrhythmias; carotid sinus hypersensitivity</w:t>
            </w:r>
          </w:p>
          <w:p w14:paraId="5688B716" w14:textId="3C228588" w:rsidR="009C3472" w:rsidRPr="004C78D8" w:rsidRDefault="009C3472" w:rsidP="00FB7C1F">
            <w:pPr>
              <w:jc w:val="left"/>
              <w:rPr>
                <w:sz w:val="18"/>
                <w:szCs w:val="18"/>
              </w:rPr>
            </w:pPr>
            <w:r w:rsidRPr="004C78D8">
              <w:rPr>
                <w:sz w:val="18"/>
                <w:szCs w:val="18"/>
              </w:rPr>
              <w:t>(B) OT</w:t>
            </w:r>
            <w:r w:rsidR="00AD1242" w:rsidRPr="004C78D8">
              <w:rPr>
                <w:sz w:val="18"/>
                <w:szCs w:val="18"/>
              </w:rPr>
              <w:t xml:space="preserve"> assessment at home: function; environmental hazards; psychological status after fall</w:t>
            </w:r>
          </w:p>
        </w:tc>
      </w:tr>
      <w:tr w:rsidR="009C3472" w:rsidRPr="004C78D8" w14:paraId="7AC23B5C" w14:textId="77777777" w:rsidTr="00E35893">
        <w:tc>
          <w:tcPr>
            <w:tcW w:w="601" w:type="pct"/>
            <w:vMerge/>
          </w:tcPr>
          <w:p w14:paraId="2A574B84" w14:textId="77777777" w:rsidR="009C3472" w:rsidRPr="004C78D8" w:rsidRDefault="009C3472" w:rsidP="00FB7C1F">
            <w:pPr>
              <w:jc w:val="left"/>
              <w:rPr>
                <w:sz w:val="18"/>
                <w:szCs w:val="18"/>
              </w:rPr>
            </w:pPr>
          </w:p>
        </w:tc>
        <w:tc>
          <w:tcPr>
            <w:tcW w:w="902" w:type="pct"/>
            <w:vMerge/>
          </w:tcPr>
          <w:p w14:paraId="71F8CA9C" w14:textId="77777777" w:rsidR="009C3472" w:rsidRPr="004C78D8" w:rsidRDefault="009C3472" w:rsidP="00FB7C1F">
            <w:pPr>
              <w:jc w:val="left"/>
              <w:rPr>
                <w:sz w:val="18"/>
                <w:szCs w:val="18"/>
              </w:rPr>
            </w:pPr>
          </w:p>
        </w:tc>
        <w:tc>
          <w:tcPr>
            <w:tcW w:w="683" w:type="pct"/>
          </w:tcPr>
          <w:p w14:paraId="7081C3B2" w14:textId="7D8095A3" w:rsidR="009C3472" w:rsidRPr="004C78D8" w:rsidRDefault="009C3472" w:rsidP="00FB7C1F">
            <w:pPr>
              <w:jc w:val="left"/>
              <w:rPr>
                <w:sz w:val="18"/>
                <w:szCs w:val="18"/>
              </w:rPr>
            </w:pPr>
            <w:r w:rsidRPr="004C78D8">
              <w:rPr>
                <w:sz w:val="18"/>
                <w:szCs w:val="18"/>
              </w:rPr>
              <w:t>Therapeutic treatment</w:t>
            </w:r>
          </w:p>
        </w:tc>
        <w:tc>
          <w:tcPr>
            <w:tcW w:w="2814" w:type="pct"/>
          </w:tcPr>
          <w:p w14:paraId="18A60ECE" w14:textId="2BA54BA2" w:rsidR="009C3472" w:rsidRPr="004C78D8" w:rsidRDefault="00D50B3D" w:rsidP="00FB7C1F">
            <w:pPr>
              <w:jc w:val="left"/>
              <w:rPr>
                <w:sz w:val="18"/>
                <w:szCs w:val="18"/>
              </w:rPr>
            </w:pPr>
            <w:r w:rsidRPr="004C78D8">
              <w:rPr>
                <w:sz w:val="18"/>
                <w:szCs w:val="18"/>
              </w:rPr>
              <w:t>(I) In-house treatment</w:t>
            </w:r>
            <w:r w:rsidR="00AD1242" w:rsidRPr="004C78D8">
              <w:rPr>
                <w:sz w:val="18"/>
                <w:szCs w:val="18"/>
              </w:rPr>
              <w:t>s</w:t>
            </w:r>
            <w:r w:rsidRPr="004C78D8">
              <w:rPr>
                <w:sz w:val="18"/>
                <w:szCs w:val="18"/>
              </w:rPr>
              <w:t>:</w:t>
            </w:r>
            <w:r w:rsidR="00882464" w:rsidRPr="004C78D8">
              <w:rPr>
                <w:sz w:val="18"/>
                <w:szCs w:val="18"/>
              </w:rPr>
              <w:t xml:space="preserve"> </w:t>
            </w:r>
            <w:r w:rsidR="00FE16C5" w:rsidRPr="004C78D8">
              <w:rPr>
                <w:sz w:val="18"/>
                <w:szCs w:val="18"/>
              </w:rPr>
              <w:t xml:space="preserve">92.1% received </w:t>
            </w:r>
            <w:r w:rsidR="00882464" w:rsidRPr="004C78D8">
              <w:rPr>
                <w:sz w:val="18"/>
                <w:szCs w:val="18"/>
              </w:rPr>
              <w:t xml:space="preserve">HAM </w:t>
            </w:r>
            <w:r w:rsidR="00FE16C5" w:rsidRPr="004C78D8">
              <w:rPr>
                <w:sz w:val="18"/>
                <w:szCs w:val="18"/>
              </w:rPr>
              <w:t xml:space="preserve">and falls prevention education </w:t>
            </w:r>
            <w:r w:rsidR="00882464" w:rsidRPr="004C78D8">
              <w:rPr>
                <w:sz w:val="18"/>
                <w:szCs w:val="18"/>
              </w:rPr>
              <w:t>by OT</w:t>
            </w:r>
          </w:p>
          <w:p w14:paraId="3D3D7BC6" w14:textId="6B35732E" w:rsidR="00D50B3D" w:rsidRPr="004C78D8" w:rsidRDefault="00D50B3D" w:rsidP="00FB7C1F">
            <w:pPr>
              <w:jc w:val="left"/>
              <w:rPr>
                <w:sz w:val="18"/>
                <w:szCs w:val="18"/>
              </w:rPr>
            </w:pPr>
            <w:r w:rsidRPr="004C78D8">
              <w:rPr>
                <w:sz w:val="18"/>
                <w:szCs w:val="18"/>
              </w:rPr>
              <w:t>(II) Outsourced treatment</w:t>
            </w:r>
            <w:r w:rsidR="00AD1242" w:rsidRPr="004C78D8">
              <w:rPr>
                <w:sz w:val="18"/>
                <w:szCs w:val="18"/>
              </w:rPr>
              <w:t>s</w:t>
            </w:r>
            <w:r w:rsidRPr="004C78D8">
              <w:rPr>
                <w:sz w:val="18"/>
                <w:szCs w:val="18"/>
              </w:rPr>
              <w:t>:</w:t>
            </w:r>
            <w:r w:rsidR="00FD630A" w:rsidRPr="004C78D8">
              <w:rPr>
                <w:sz w:val="18"/>
                <w:szCs w:val="18"/>
              </w:rPr>
              <w:t xml:space="preserve"> </w:t>
            </w:r>
            <w:r w:rsidR="00FE16C5" w:rsidRPr="004C78D8">
              <w:rPr>
                <w:sz w:val="18"/>
                <w:szCs w:val="18"/>
              </w:rPr>
              <w:t xml:space="preserve">44.1% to specialist services in outpatient setting; 25.0% to multidisciplinary falls clinic in day hospital; </w:t>
            </w:r>
            <w:r w:rsidR="0006450D" w:rsidRPr="004C78D8">
              <w:rPr>
                <w:sz w:val="18"/>
                <w:szCs w:val="18"/>
              </w:rPr>
              <w:t xml:space="preserve">21.7% referred to </w:t>
            </w:r>
            <w:r w:rsidR="00AD1242" w:rsidRPr="004C78D8">
              <w:rPr>
                <w:sz w:val="18"/>
                <w:szCs w:val="18"/>
              </w:rPr>
              <w:t>GPs</w:t>
            </w:r>
            <w:r w:rsidR="0006450D" w:rsidRPr="004C78D8">
              <w:rPr>
                <w:sz w:val="18"/>
                <w:szCs w:val="18"/>
              </w:rPr>
              <w:t xml:space="preserve"> mainly for medication modification</w:t>
            </w:r>
            <w:r w:rsidR="00AD1242" w:rsidRPr="004C78D8">
              <w:rPr>
                <w:sz w:val="18"/>
                <w:szCs w:val="18"/>
              </w:rPr>
              <w:t xml:space="preserve">; </w:t>
            </w:r>
            <w:r w:rsidR="00FE16C5" w:rsidRPr="004C78D8">
              <w:rPr>
                <w:sz w:val="18"/>
                <w:szCs w:val="18"/>
              </w:rPr>
              <w:t>17.8% to optician</w:t>
            </w:r>
            <w:r w:rsidR="00E536CF" w:rsidRPr="004C78D8">
              <w:rPr>
                <w:sz w:val="18"/>
                <w:szCs w:val="18"/>
              </w:rPr>
              <w:t>/ophthalmologist</w:t>
            </w:r>
            <w:r w:rsidR="000A7474" w:rsidRPr="004C78D8">
              <w:rPr>
                <w:sz w:val="18"/>
                <w:szCs w:val="18"/>
              </w:rPr>
              <w:t xml:space="preserve">; </w:t>
            </w:r>
            <w:r w:rsidR="00FE16C5" w:rsidRPr="004C78D8">
              <w:rPr>
                <w:sz w:val="18"/>
                <w:szCs w:val="18"/>
              </w:rPr>
              <w:t xml:space="preserve">15.8% received no referrals; </w:t>
            </w:r>
            <w:r w:rsidR="00AD1242" w:rsidRPr="004C78D8">
              <w:rPr>
                <w:sz w:val="18"/>
                <w:szCs w:val="18"/>
              </w:rPr>
              <w:t>major home modification</w:t>
            </w:r>
            <w:r w:rsidR="005A4B93" w:rsidRPr="004C78D8">
              <w:rPr>
                <w:sz w:val="18"/>
                <w:szCs w:val="18"/>
              </w:rPr>
              <w:t>s</w:t>
            </w:r>
            <w:r w:rsidR="00AD1242" w:rsidRPr="004C78D8">
              <w:rPr>
                <w:sz w:val="18"/>
                <w:szCs w:val="18"/>
              </w:rPr>
              <w:t xml:space="preserve"> referred to social services</w:t>
            </w:r>
          </w:p>
        </w:tc>
      </w:tr>
      <w:tr w:rsidR="005A4B93" w:rsidRPr="004C78D8" w14:paraId="3C5671DC" w14:textId="547F6662" w:rsidTr="00E35893">
        <w:tc>
          <w:tcPr>
            <w:tcW w:w="601" w:type="pct"/>
            <w:vMerge w:val="restart"/>
          </w:tcPr>
          <w:p w14:paraId="33F96BA8" w14:textId="0EA5C696" w:rsidR="005A4B93" w:rsidRPr="004C78D8" w:rsidRDefault="00904486" w:rsidP="00FB7C1F">
            <w:pPr>
              <w:jc w:val="left"/>
              <w:rPr>
                <w:sz w:val="18"/>
                <w:szCs w:val="18"/>
              </w:rPr>
            </w:pPr>
            <w:r w:rsidRPr="004C78D8">
              <w:rPr>
                <w:sz w:val="18"/>
                <w:szCs w:val="18"/>
              </w:rPr>
              <w:t xml:space="preserve">Shaw (2003) </w:t>
            </w:r>
            <w:r w:rsidRPr="004C78D8">
              <w:rPr>
                <w:sz w:val="18"/>
                <w:szCs w:val="18"/>
              </w:rPr>
              <w:fldChar w:fldCharType="begin"/>
            </w:r>
            <w:r w:rsidR="00C630FC" w:rsidRPr="004C78D8">
              <w:rPr>
                <w:sz w:val="18"/>
                <w:szCs w:val="18"/>
              </w:rPr>
              <w:instrText xml:space="preserve"> ADDIN EN.CITE &lt;EndNote&gt;&lt;Cite&gt;&lt;Author&gt;Shaw&lt;/Author&gt;&lt;Year&gt;2003&lt;/Year&gt;&lt;RecNum&gt;514&lt;/RecNum&gt;&lt;DisplayText&gt;[384]&lt;/DisplayText&gt;&lt;record&gt;&lt;rec-number&gt;514&lt;/rec-number&gt;&lt;foreign-keys&gt;&lt;key app="EN" db-id="tdtrdw9aepptzbefsat599syza29sxsd2wsp" timestamp="1617903616"&gt;514&lt;/key&gt;&lt;/foreign-keys&gt;&lt;ref-type name="Journal Article"&gt;17&lt;/ref-type&gt;&lt;contributors&gt;&lt;authors&gt;&lt;author&gt;Shaw, Fiona E&lt;/author&gt;&lt;author&gt;Bond, John&lt;/author&gt;&lt;author&gt;Richardson, David A&lt;/author&gt;&lt;author&gt;Dawson, Pamela&lt;/author&gt;&lt;author&gt;Steen, I Nicholas&lt;/author&gt;&lt;author&gt;McKeith, Ian G&lt;/author&gt;&lt;author&gt;Kenny, Rose Anne&lt;/author&gt;&lt;/authors&gt;&lt;/contributors&gt;&lt;titles&gt;&lt;title&gt;Multifactorial intervention after a fall in older people with cognitive impairment and dementia presenting to the accident and emergency department: randomised controlled trial&lt;/title&gt;&lt;secondary-title&gt;BMJ: British medical journal&lt;/secondary-title&gt;&lt;/titles&gt;&lt;periodical&gt;&lt;full-title&gt;BMJ: British medical journal&lt;/full-title&gt;&lt;/periodical&gt;&lt;pages&gt;73&lt;/pages&gt;&lt;volume&gt;326&lt;/volume&gt;&lt;number&gt;7380&lt;/number&gt;&lt;dates&gt;&lt;year&gt;2003&lt;/year&gt;&lt;/dates&gt;&lt;urls&gt;&lt;/urls&gt;&lt;/record&gt;&lt;/Cite&gt;&lt;/EndNote&gt;</w:instrText>
            </w:r>
            <w:r w:rsidRPr="004C78D8">
              <w:rPr>
                <w:sz w:val="18"/>
                <w:szCs w:val="18"/>
              </w:rPr>
              <w:fldChar w:fldCharType="separate"/>
            </w:r>
            <w:r w:rsidR="00C630FC" w:rsidRPr="004C78D8">
              <w:rPr>
                <w:noProof/>
                <w:sz w:val="18"/>
                <w:szCs w:val="18"/>
              </w:rPr>
              <w:t>[384]</w:t>
            </w:r>
            <w:r w:rsidRPr="004C78D8">
              <w:rPr>
                <w:sz w:val="18"/>
                <w:szCs w:val="18"/>
              </w:rPr>
              <w:fldChar w:fldCharType="end"/>
            </w:r>
          </w:p>
        </w:tc>
        <w:tc>
          <w:tcPr>
            <w:tcW w:w="902" w:type="pct"/>
            <w:vMerge w:val="restart"/>
          </w:tcPr>
          <w:p w14:paraId="02A3CEA6" w14:textId="268E0C0C" w:rsidR="005A4B93" w:rsidRPr="004C78D8" w:rsidRDefault="005A4B93" w:rsidP="00FB7C1F">
            <w:pPr>
              <w:jc w:val="left"/>
              <w:rPr>
                <w:sz w:val="18"/>
                <w:szCs w:val="18"/>
              </w:rPr>
            </w:pPr>
            <w:r w:rsidRPr="004C78D8">
              <w:rPr>
                <w:sz w:val="18"/>
                <w:szCs w:val="18"/>
              </w:rPr>
              <w:t>Reactive multifactorial intervention for cognitively impaired persons at MA fall presentation</w:t>
            </w:r>
          </w:p>
        </w:tc>
        <w:tc>
          <w:tcPr>
            <w:tcW w:w="683" w:type="pct"/>
          </w:tcPr>
          <w:p w14:paraId="613B55C6" w14:textId="11DC052C" w:rsidR="005A4B93" w:rsidRPr="004C78D8" w:rsidRDefault="0001600F" w:rsidP="00FB7C1F">
            <w:pPr>
              <w:jc w:val="left"/>
              <w:rPr>
                <w:sz w:val="18"/>
                <w:szCs w:val="18"/>
              </w:rPr>
            </w:pPr>
            <w:r w:rsidRPr="004C78D8">
              <w:rPr>
                <w:sz w:val="18"/>
                <w:szCs w:val="18"/>
              </w:rPr>
              <w:t>Participant screening &amp; recruitment</w:t>
            </w:r>
            <w:r w:rsidR="00C578C6" w:rsidRPr="004C78D8">
              <w:rPr>
                <w:sz w:val="18"/>
                <w:szCs w:val="18"/>
                <w:vertAlign w:val="superscript"/>
              </w:rPr>
              <w:t>2</w:t>
            </w:r>
          </w:p>
        </w:tc>
        <w:tc>
          <w:tcPr>
            <w:tcW w:w="2814" w:type="pct"/>
          </w:tcPr>
          <w:p w14:paraId="634DFEF3" w14:textId="113E4E4F" w:rsidR="006731E9" w:rsidRPr="004C78D8" w:rsidRDefault="006731E9" w:rsidP="00FB7C1F">
            <w:pPr>
              <w:jc w:val="left"/>
              <w:rPr>
                <w:sz w:val="18"/>
                <w:szCs w:val="18"/>
              </w:rPr>
            </w:pPr>
            <w:r w:rsidRPr="004C78D8">
              <w:rPr>
                <w:sz w:val="18"/>
                <w:szCs w:val="18"/>
              </w:rPr>
              <w:t xml:space="preserve">(1) 52-week </w:t>
            </w:r>
            <w:r w:rsidR="00C63872" w:rsidRPr="004C78D8">
              <w:rPr>
                <w:sz w:val="18"/>
                <w:szCs w:val="18"/>
              </w:rPr>
              <w:t xml:space="preserve">eligibility </w:t>
            </w:r>
            <w:r w:rsidRPr="004C78D8">
              <w:rPr>
                <w:sz w:val="18"/>
                <w:szCs w:val="18"/>
              </w:rPr>
              <w:t xml:space="preserve">screening </w:t>
            </w:r>
            <w:r w:rsidR="00C63872" w:rsidRPr="004C78D8">
              <w:rPr>
                <w:sz w:val="18"/>
                <w:szCs w:val="18"/>
              </w:rPr>
              <w:t>at A&amp;E</w:t>
            </w:r>
          </w:p>
          <w:p w14:paraId="36879232" w14:textId="719C2BEF" w:rsidR="006731E9" w:rsidRPr="004C78D8" w:rsidRDefault="006731E9" w:rsidP="00FB7C1F">
            <w:pPr>
              <w:jc w:val="left"/>
              <w:rPr>
                <w:sz w:val="18"/>
                <w:szCs w:val="18"/>
              </w:rPr>
            </w:pPr>
            <w:r w:rsidRPr="004C78D8">
              <w:rPr>
                <w:sz w:val="18"/>
                <w:szCs w:val="18"/>
              </w:rPr>
              <w:t>(2) Participant consent sought from patient, immediate caregiver and next of kin</w:t>
            </w:r>
          </w:p>
        </w:tc>
      </w:tr>
      <w:tr w:rsidR="005A4B93" w:rsidRPr="004C78D8" w14:paraId="68037984" w14:textId="77777777" w:rsidTr="00E35893">
        <w:tc>
          <w:tcPr>
            <w:tcW w:w="601" w:type="pct"/>
            <w:vMerge/>
          </w:tcPr>
          <w:p w14:paraId="22A72B52" w14:textId="77777777" w:rsidR="005A4B93" w:rsidRPr="004C78D8" w:rsidRDefault="005A4B93" w:rsidP="00FB7C1F">
            <w:pPr>
              <w:jc w:val="left"/>
              <w:rPr>
                <w:sz w:val="18"/>
                <w:szCs w:val="18"/>
              </w:rPr>
            </w:pPr>
          </w:p>
        </w:tc>
        <w:tc>
          <w:tcPr>
            <w:tcW w:w="902" w:type="pct"/>
            <w:vMerge/>
          </w:tcPr>
          <w:p w14:paraId="0235B18C" w14:textId="77777777" w:rsidR="005A4B93" w:rsidRPr="004C78D8" w:rsidRDefault="005A4B93" w:rsidP="00FB7C1F">
            <w:pPr>
              <w:jc w:val="left"/>
              <w:rPr>
                <w:sz w:val="18"/>
                <w:szCs w:val="18"/>
              </w:rPr>
            </w:pPr>
          </w:p>
        </w:tc>
        <w:tc>
          <w:tcPr>
            <w:tcW w:w="683" w:type="pct"/>
          </w:tcPr>
          <w:p w14:paraId="60E909A5" w14:textId="49873EAB" w:rsidR="005A4B93" w:rsidRPr="004C78D8" w:rsidRDefault="005A4B93" w:rsidP="00FB7C1F">
            <w:pPr>
              <w:jc w:val="left"/>
              <w:rPr>
                <w:sz w:val="18"/>
                <w:szCs w:val="18"/>
              </w:rPr>
            </w:pPr>
            <w:r w:rsidRPr="004C78D8">
              <w:rPr>
                <w:sz w:val="18"/>
                <w:szCs w:val="18"/>
              </w:rPr>
              <w:t>Falls risk assessment</w:t>
            </w:r>
          </w:p>
        </w:tc>
        <w:tc>
          <w:tcPr>
            <w:tcW w:w="2814" w:type="pct"/>
          </w:tcPr>
          <w:p w14:paraId="3A5EE4A0" w14:textId="0370AED2" w:rsidR="00A23BF8" w:rsidRPr="004C78D8" w:rsidRDefault="00A23BF8" w:rsidP="00FB7C1F">
            <w:pPr>
              <w:jc w:val="left"/>
              <w:rPr>
                <w:sz w:val="18"/>
                <w:szCs w:val="18"/>
              </w:rPr>
            </w:pPr>
            <w:r w:rsidRPr="004C78D8">
              <w:rPr>
                <w:sz w:val="18"/>
                <w:szCs w:val="18"/>
              </w:rPr>
              <w:t>Assessments conducted at a secondary care clinic</w:t>
            </w:r>
          </w:p>
          <w:p w14:paraId="708A8182" w14:textId="432E433E" w:rsidR="00A23BF8" w:rsidRPr="004C78D8" w:rsidRDefault="00553D23" w:rsidP="00FB7C1F">
            <w:pPr>
              <w:jc w:val="left"/>
              <w:rPr>
                <w:sz w:val="18"/>
                <w:szCs w:val="18"/>
              </w:rPr>
            </w:pPr>
            <w:r w:rsidRPr="004C78D8">
              <w:rPr>
                <w:sz w:val="18"/>
                <w:szCs w:val="18"/>
              </w:rPr>
              <w:t xml:space="preserve">(A) </w:t>
            </w:r>
            <w:r w:rsidR="00522700" w:rsidRPr="004C78D8">
              <w:rPr>
                <w:sz w:val="18"/>
                <w:szCs w:val="18"/>
              </w:rPr>
              <w:t xml:space="preserve">Medical </w:t>
            </w:r>
            <w:r w:rsidR="00EB4196" w:rsidRPr="004C78D8">
              <w:rPr>
                <w:sz w:val="18"/>
                <w:szCs w:val="18"/>
              </w:rPr>
              <w:t xml:space="preserve">and cardiovascular </w:t>
            </w:r>
            <w:r w:rsidR="00522700" w:rsidRPr="004C78D8">
              <w:rPr>
                <w:sz w:val="18"/>
                <w:szCs w:val="18"/>
              </w:rPr>
              <w:t>assessment</w:t>
            </w:r>
            <w:r w:rsidR="00EB4196" w:rsidRPr="004C78D8">
              <w:rPr>
                <w:sz w:val="18"/>
                <w:szCs w:val="18"/>
              </w:rPr>
              <w:t>s</w:t>
            </w:r>
            <w:r w:rsidR="00522700" w:rsidRPr="004C78D8">
              <w:rPr>
                <w:sz w:val="18"/>
                <w:szCs w:val="18"/>
              </w:rPr>
              <w:t xml:space="preserve">: </w:t>
            </w:r>
            <w:r w:rsidR="00552747" w:rsidRPr="004C78D8">
              <w:rPr>
                <w:sz w:val="18"/>
                <w:szCs w:val="18"/>
              </w:rPr>
              <w:t>medication</w:t>
            </w:r>
            <w:r w:rsidR="00522700" w:rsidRPr="004C78D8">
              <w:rPr>
                <w:sz w:val="18"/>
                <w:szCs w:val="18"/>
              </w:rPr>
              <w:t>;</w:t>
            </w:r>
            <w:r w:rsidR="00552747" w:rsidRPr="004C78D8">
              <w:rPr>
                <w:sz w:val="18"/>
                <w:szCs w:val="18"/>
              </w:rPr>
              <w:t xml:space="preserve"> vision</w:t>
            </w:r>
            <w:r w:rsidR="00522700" w:rsidRPr="004C78D8">
              <w:rPr>
                <w:sz w:val="18"/>
                <w:szCs w:val="18"/>
              </w:rPr>
              <w:t>;</w:t>
            </w:r>
            <w:r w:rsidR="00552747" w:rsidRPr="004C78D8">
              <w:rPr>
                <w:sz w:val="18"/>
                <w:szCs w:val="18"/>
              </w:rPr>
              <w:t xml:space="preserve"> </w:t>
            </w:r>
            <w:r w:rsidR="00522700" w:rsidRPr="004C78D8">
              <w:rPr>
                <w:sz w:val="18"/>
                <w:szCs w:val="18"/>
              </w:rPr>
              <w:t>depression</w:t>
            </w:r>
            <w:r w:rsidRPr="004C78D8">
              <w:rPr>
                <w:sz w:val="18"/>
                <w:szCs w:val="18"/>
              </w:rPr>
              <w:t xml:space="preserve">; </w:t>
            </w:r>
            <w:r w:rsidR="00522700" w:rsidRPr="004C78D8">
              <w:rPr>
                <w:sz w:val="18"/>
                <w:szCs w:val="18"/>
              </w:rPr>
              <w:t>epilepsy; cerebrovascular</w:t>
            </w:r>
            <w:r w:rsidR="00EB4196" w:rsidRPr="004C78D8">
              <w:rPr>
                <w:sz w:val="18"/>
                <w:szCs w:val="18"/>
              </w:rPr>
              <w:t xml:space="preserve">; </w:t>
            </w:r>
            <w:r w:rsidR="00552747" w:rsidRPr="004C78D8">
              <w:rPr>
                <w:sz w:val="18"/>
                <w:szCs w:val="18"/>
              </w:rPr>
              <w:t>orthostatic hypotension</w:t>
            </w:r>
            <w:r w:rsidR="00A23BF8" w:rsidRPr="004C78D8">
              <w:rPr>
                <w:sz w:val="18"/>
                <w:szCs w:val="18"/>
              </w:rPr>
              <w:t>;</w:t>
            </w:r>
            <w:r w:rsidR="00552747" w:rsidRPr="004C78D8">
              <w:rPr>
                <w:sz w:val="18"/>
                <w:szCs w:val="18"/>
              </w:rPr>
              <w:t xml:space="preserve"> carotid sinus hypersensitivity</w:t>
            </w:r>
            <w:r w:rsidR="00A23BF8" w:rsidRPr="004C78D8">
              <w:rPr>
                <w:sz w:val="18"/>
                <w:szCs w:val="18"/>
              </w:rPr>
              <w:t>;</w:t>
            </w:r>
            <w:r w:rsidR="00552747" w:rsidRPr="004C78D8">
              <w:rPr>
                <w:sz w:val="18"/>
                <w:szCs w:val="18"/>
              </w:rPr>
              <w:t xml:space="preserve"> syncope</w:t>
            </w:r>
          </w:p>
          <w:p w14:paraId="1EA7204A" w14:textId="21A5F52C" w:rsidR="00A23BF8" w:rsidRPr="004C78D8" w:rsidRDefault="00A23BF8" w:rsidP="00FB7C1F">
            <w:pPr>
              <w:jc w:val="left"/>
              <w:rPr>
                <w:sz w:val="18"/>
                <w:szCs w:val="18"/>
              </w:rPr>
            </w:pPr>
            <w:r w:rsidRPr="004C78D8">
              <w:rPr>
                <w:sz w:val="18"/>
                <w:szCs w:val="18"/>
              </w:rPr>
              <w:t>(</w:t>
            </w:r>
            <w:r w:rsidR="00EB4196" w:rsidRPr="004C78D8">
              <w:rPr>
                <w:sz w:val="18"/>
                <w:szCs w:val="18"/>
              </w:rPr>
              <w:t>B</w:t>
            </w:r>
            <w:r w:rsidRPr="004C78D8">
              <w:rPr>
                <w:sz w:val="18"/>
                <w:szCs w:val="18"/>
              </w:rPr>
              <w:t xml:space="preserve">) </w:t>
            </w:r>
            <w:r w:rsidR="00553D23" w:rsidRPr="004C78D8">
              <w:rPr>
                <w:sz w:val="18"/>
                <w:szCs w:val="18"/>
              </w:rPr>
              <w:t>PT</w:t>
            </w:r>
            <w:r w:rsidR="00552747" w:rsidRPr="004C78D8">
              <w:rPr>
                <w:sz w:val="18"/>
                <w:szCs w:val="18"/>
              </w:rPr>
              <w:t xml:space="preserve"> </w:t>
            </w:r>
            <w:r w:rsidRPr="004C78D8">
              <w:rPr>
                <w:sz w:val="18"/>
                <w:szCs w:val="18"/>
              </w:rPr>
              <w:t xml:space="preserve">assessment: </w:t>
            </w:r>
            <w:r w:rsidR="00552747" w:rsidRPr="004C78D8">
              <w:rPr>
                <w:sz w:val="18"/>
                <w:szCs w:val="18"/>
              </w:rPr>
              <w:t>gait</w:t>
            </w:r>
            <w:r w:rsidRPr="004C78D8">
              <w:rPr>
                <w:sz w:val="18"/>
                <w:szCs w:val="18"/>
              </w:rPr>
              <w:t>;</w:t>
            </w:r>
            <w:r w:rsidR="00552747" w:rsidRPr="004C78D8">
              <w:rPr>
                <w:sz w:val="18"/>
                <w:szCs w:val="18"/>
              </w:rPr>
              <w:t xml:space="preserve"> balance</w:t>
            </w:r>
            <w:r w:rsidRPr="004C78D8">
              <w:rPr>
                <w:sz w:val="18"/>
                <w:szCs w:val="18"/>
              </w:rPr>
              <w:t>;</w:t>
            </w:r>
            <w:r w:rsidR="00552747" w:rsidRPr="004C78D8">
              <w:rPr>
                <w:sz w:val="18"/>
                <w:szCs w:val="18"/>
              </w:rPr>
              <w:t xml:space="preserve"> feet</w:t>
            </w:r>
            <w:r w:rsidR="0033349E" w:rsidRPr="004C78D8">
              <w:rPr>
                <w:sz w:val="18"/>
                <w:szCs w:val="18"/>
              </w:rPr>
              <w:t xml:space="preserve">; </w:t>
            </w:r>
            <w:r w:rsidR="00552747" w:rsidRPr="004C78D8">
              <w:rPr>
                <w:sz w:val="18"/>
                <w:szCs w:val="18"/>
              </w:rPr>
              <w:t>footwear</w:t>
            </w:r>
            <w:r w:rsidRPr="004C78D8">
              <w:rPr>
                <w:sz w:val="18"/>
                <w:szCs w:val="18"/>
              </w:rPr>
              <w:t>;</w:t>
            </w:r>
            <w:r w:rsidR="00552747" w:rsidRPr="004C78D8">
              <w:rPr>
                <w:sz w:val="18"/>
                <w:szCs w:val="18"/>
              </w:rPr>
              <w:t xml:space="preserve"> walking aid</w:t>
            </w:r>
          </w:p>
          <w:p w14:paraId="6723EB37" w14:textId="0C4B6734" w:rsidR="00662E07" w:rsidRPr="004C78D8" w:rsidRDefault="00A23BF8" w:rsidP="00FB7C1F">
            <w:pPr>
              <w:jc w:val="left"/>
              <w:rPr>
                <w:sz w:val="18"/>
                <w:szCs w:val="18"/>
              </w:rPr>
            </w:pPr>
            <w:r w:rsidRPr="004C78D8">
              <w:rPr>
                <w:sz w:val="18"/>
                <w:szCs w:val="18"/>
              </w:rPr>
              <w:t>(</w:t>
            </w:r>
            <w:r w:rsidR="00EB4196" w:rsidRPr="004C78D8">
              <w:rPr>
                <w:sz w:val="18"/>
                <w:szCs w:val="18"/>
              </w:rPr>
              <w:t>C</w:t>
            </w:r>
            <w:r w:rsidRPr="004C78D8">
              <w:rPr>
                <w:sz w:val="18"/>
                <w:szCs w:val="18"/>
              </w:rPr>
              <w:t xml:space="preserve">) </w:t>
            </w:r>
            <w:r w:rsidR="00553D23" w:rsidRPr="004C78D8">
              <w:rPr>
                <w:sz w:val="18"/>
                <w:szCs w:val="18"/>
              </w:rPr>
              <w:t>OT</w:t>
            </w:r>
            <w:r w:rsidR="00552747" w:rsidRPr="004C78D8">
              <w:rPr>
                <w:sz w:val="18"/>
                <w:szCs w:val="18"/>
              </w:rPr>
              <w:t xml:space="preserve"> </w:t>
            </w:r>
            <w:r w:rsidRPr="004C78D8">
              <w:rPr>
                <w:sz w:val="18"/>
                <w:szCs w:val="18"/>
              </w:rPr>
              <w:t xml:space="preserve">assessment: </w:t>
            </w:r>
            <w:r w:rsidR="00552747" w:rsidRPr="004C78D8">
              <w:rPr>
                <w:sz w:val="18"/>
                <w:szCs w:val="18"/>
              </w:rPr>
              <w:t xml:space="preserve">environmental </w:t>
            </w:r>
            <w:r w:rsidRPr="004C78D8">
              <w:rPr>
                <w:sz w:val="18"/>
                <w:szCs w:val="18"/>
              </w:rPr>
              <w:t>hazards</w:t>
            </w:r>
          </w:p>
        </w:tc>
      </w:tr>
      <w:tr w:rsidR="005A4B93" w:rsidRPr="004C78D8" w14:paraId="7A113438" w14:textId="77777777" w:rsidTr="00E35893">
        <w:tc>
          <w:tcPr>
            <w:tcW w:w="601" w:type="pct"/>
            <w:vMerge/>
          </w:tcPr>
          <w:p w14:paraId="76F0960C" w14:textId="77777777" w:rsidR="005A4B93" w:rsidRPr="004C78D8" w:rsidRDefault="005A4B93" w:rsidP="00FB7C1F">
            <w:pPr>
              <w:jc w:val="left"/>
              <w:rPr>
                <w:sz w:val="18"/>
                <w:szCs w:val="18"/>
              </w:rPr>
            </w:pPr>
          </w:p>
        </w:tc>
        <w:tc>
          <w:tcPr>
            <w:tcW w:w="902" w:type="pct"/>
            <w:vMerge/>
          </w:tcPr>
          <w:p w14:paraId="06B94851" w14:textId="77777777" w:rsidR="005A4B93" w:rsidRPr="004C78D8" w:rsidRDefault="005A4B93" w:rsidP="00FB7C1F">
            <w:pPr>
              <w:jc w:val="left"/>
              <w:rPr>
                <w:sz w:val="18"/>
                <w:szCs w:val="18"/>
              </w:rPr>
            </w:pPr>
          </w:p>
        </w:tc>
        <w:tc>
          <w:tcPr>
            <w:tcW w:w="683" w:type="pct"/>
          </w:tcPr>
          <w:p w14:paraId="0D180BF1" w14:textId="647C1337" w:rsidR="005A4B93" w:rsidRPr="004C78D8" w:rsidRDefault="005A4B93" w:rsidP="00FB7C1F">
            <w:pPr>
              <w:jc w:val="left"/>
              <w:rPr>
                <w:sz w:val="18"/>
                <w:szCs w:val="18"/>
              </w:rPr>
            </w:pPr>
            <w:r w:rsidRPr="004C78D8">
              <w:rPr>
                <w:sz w:val="18"/>
                <w:szCs w:val="18"/>
              </w:rPr>
              <w:t>Therapeutic treatment</w:t>
            </w:r>
          </w:p>
        </w:tc>
        <w:tc>
          <w:tcPr>
            <w:tcW w:w="2814" w:type="pct"/>
          </w:tcPr>
          <w:p w14:paraId="61F9779A" w14:textId="14AD6259" w:rsidR="005A4B93" w:rsidRPr="004C78D8" w:rsidRDefault="00520DC5" w:rsidP="00FB7C1F">
            <w:pPr>
              <w:jc w:val="left"/>
              <w:rPr>
                <w:sz w:val="18"/>
                <w:szCs w:val="18"/>
              </w:rPr>
            </w:pPr>
            <w:r w:rsidRPr="004C78D8">
              <w:rPr>
                <w:sz w:val="18"/>
                <w:szCs w:val="18"/>
              </w:rPr>
              <w:t xml:space="preserve">(I) In-house treatments: </w:t>
            </w:r>
            <w:r w:rsidR="00F3634D" w:rsidRPr="004C78D8">
              <w:rPr>
                <w:sz w:val="18"/>
                <w:szCs w:val="18"/>
              </w:rPr>
              <w:t xml:space="preserve">96.2% prescribed balance treatment and 90.0% gait treatment contained in 3-month PT-supervised home exercise, continued by caregiver; 80.8% prescribed HAM; 70.8% prescribed </w:t>
            </w:r>
            <w:r w:rsidRPr="004C78D8">
              <w:rPr>
                <w:sz w:val="18"/>
                <w:szCs w:val="18"/>
              </w:rPr>
              <w:t xml:space="preserve">medication modification; </w:t>
            </w:r>
            <w:r w:rsidR="00F3634D" w:rsidRPr="004C78D8">
              <w:rPr>
                <w:sz w:val="18"/>
                <w:szCs w:val="18"/>
              </w:rPr>
              <w:t>35.4% prescribed treatment for orthostatic hypotension; 10.8% prescribed treatment</w:t>
            </w:r>
            <w:r w:rsidRPr="004C78D8">
              <w:rPr>
                <w:sz w:val="18"/>
                <w:szCs w:val="18"/>
              </w:rPr>
              <w:t xml:space="preserve"> </w:t>
            </w:r>
            <w:r w:rsidR="00F3634D" w:rsidRPr="004C78D8">
              <w:rPr>
                <w:sz w:val="18"/>
                <w:szCs w:val="18"/>
              </w:rPr>
              <w:t>for carotid sinus hypersensitivity</w:t>
            </w:r>
          </w:p>
          <w:p w14:paraId="6E8EDF16" w14:textId="0984AA35" w:rsidR="00520DC5" w:rsidRPr="004C78D8" w:rsidRDefault="00520DC5" w:rsidP="00FB7C1F">
            <w:pPr>
              <w:jc w:val="left"/>
              <w:rPr>
                <w:sz w:val="18"/>
                <w:szCs w:val="18"/>
              </w:rPr>
            </w:pPr>
            <w:r w:rsidRPr="004C78D8">
              <w:rPr>
                <w:sz w:val="18"/>
                <w:szCs w:val="18"/>
              </w:rPr>
              <w:t xml:space="preserve">(II) Outsourced treatments: </w:t>
            </w:r>
            <w:r w:rsidR="00F3634D" w:rsidRPr="004C78D8">
              <w:rPr>
                <w:sz w:val="18"/>
                <w:szCs w:val="18"/>
              </w:rPr>
              <w:t xml:space="preserve">28.5% had feet or footwear problems addressed by chiropody; 17.7% had vision problems addressed by optician or </w:t>
            </w:r>
            <w:r w:rsidRPr="004C78D8">
              <w:rPr>
                <w:sz w:val="18"/>
                <w:szCs w:val="18"/>
              </w:rPr>
              <w:t xml:space="preserve">ophthalmologist; </w:t>
            </w:r>
            <w:r w:rsidR="00F3634D" w:rsidRPr="004C78D8">
              <w:rPr>
                <w:sz w:val="18"/>
                <w:szCs w:val="18"/>
              </w:rPr>
              <w:t xml:space="preserve">6.9% had depression addressed by </w:t>
            </w:r>
            <w:r w:rsidRPr="004C78D8">
              <w:rPr>
                <w:sz w:val="18"/>
                <w:szCs w:val="18"/>
              </w:rPr>
              <w:t xml:space="preserve">psychogeriatric assessment </w:t>
            </w:r>
          </w:p>
        </w:tc>
      </w:tr>
      <w:tr w:rsidR="00635243" w:rsidRPr="004C78D8" w14:paraId="22D82965" w14:textId="0A0064C7" w:rsidTr="00E35893">
        <w:tc>
          <w:tcPr>
            <w:tcW w:w="601" w:type="pct"/>
            <w:vMerge w:val="restart"/>
          </w:tcPr>
          <w:p w14:paraId="5B5AE91A" w14:textId="44D4B76B" w:rsidR="00635243" w:rsidRPr="004C78D8" w:rsidRDefault="00C578C6" w:rsidP="00FB7C1F">
            <w:pPr>
              <w:jc w:val="left"/>
              <w:rPr>
                <w:sz w:val="18"/>
                <w:szCs w:val="18"/>
              </w:rPr>
            </w:pPr>
            <w:r w:rsidRPr="004C78D8">
              <w:rPr>
                <w:sz w:val="18"/>
                <w:szCs w:val="18"/>
              </w:rPr>
              <w:t xml:space="preserve">Spice (2009) </w:t>
            </w:r>
            <w:r w:rsidRPr="004C78D8">
              <w:rPr>
                <w:sz w:val="18"/>
                <w:szCs w:val="18"/>
              </w:rPr>
              <w:fldChar w:fldCharType="begin"/>
            </w:r>
            <w:r w:rsidR="00C630FC" w:rsidRPr="004C78D8">
              <w:rPr>
                <w:sz w:val="18"/>
                <w:szCs w:val="18"/>
              </w:rPr>
              <w:instrText xml:space="preserve"> ADDIN EN.CITE &lt;EndNote&gt;&lt;Cite&gt;&lt;Author&gt;Spice&lt;/Author&gt;&lt;Year&gt;2009&lt;/Year&gt;&lt;RecNum&gt;515&lt;/RecNum&gt;&lt;DisplayText&gt;[385]&lt;/DisplayText&gt;&lt;record&gt;&lt;rec-number&gt;515&lt;/rec-number&gt;&lt;foreign-keys&gt;&lt;key app="EN" db-id="tdtrdw9aepptzbefsat599syza29sxsd2wsp" timestamp="1617909863"&gt;515&lt;/key&gt;&lt;/foreign-keys&gt;&lt;ref-type name="Journal Article"&gt;17&lt;/ref-type&gt;&lt;contributors&gt;&lt;authors&gt;&lt;author&gt;Spice, Claire L&lt;/author&gt;&lt;author&gt;Morotti, Wendy&lt;/author&gt;&lt;author&gt;George, Steve&lt;/author&gt;&lt;author&gt;Dent, Thomas HS&lt;/author&gt;&lt;author&gt;Rose, Jim&lt;/author&gt;&lt;author&gt;Harris, Scott&lt;/author&gt;&lt;author&gt;Gordon, Christopher J&lt;/author&gt;&lt;/authors&gt;&lt;/contributors&gt;&lt;titles&gt;&lt;title&gt;The Winchester falls project: a randomised controlled trial of secondary prevention of falls in older people&lt;/title&gt;&lt;secondary-title&gt;Age and ageing&lt;/secondary-title&gt;&lt;/titles&gt;&lt;periodical&gt;&lt;full-title&gt;Age and ageing&lt;/full-title&gt;&lt;/periodical&gt;&lt;pages&gt;33-40&lt;/pages&gt;&lt;volume&gt;38&lt;/volume&gt;&lt;number&gt;1&lt;/number&gt;&lt;dates&gt;&lt;year&gt;2009&lt;/year&gt;&lt;/dates&gt;&lt;isbn&gt;1468-2834&lt;/isbn&gt;&lt;urls&gt;&lt;/urls&gt;&lt;/record&gt;&lt;/Cite&gt;&lt;/EndNote&gt;</w:instrText>
            </w:r>
            <w:r w:rsidRPr="004C78D8">
              <w:rPr>
                <w:sz w:val="18"/>
                <w:szCs w:val="18"/>
              </w:rPr>
              <w:fldChar w:fldCharType="separate"/>
            </w:r>
            <w:r w:rsidR="00C630FC" w:rsidRPr="004C78D8">
              <w:rPr>
                <w:noProof/>
                <w:sz w:val="18"/>
                <w:szCs w:val="18"/>
              </w:rPr>
              <w:t>[385]</w:t>
            </w:r>
            <w:r w:rsidRPr="004C78D8">
              <w:rPr>
                <w:sz w:val="18"/>
                <w:szCs w:val="18"/>
              </w:rPr>
              <w:fldChar w:fldCharType="end"/>
            </w:r>
          </w:p>
        </w:tc>
        <w:tc>
          <w:tcPr>
            <w:tcW w:w="902" w:type="pct"/>
            <w:vMerge w:val="restart"/>
          </w:tcPr>
          <w:p w14:paraId="49AD5EAA" w14:textId="42BDF9EE" w:rsidR="00635243" w:rsidRPr="004C78D8" w:rsidRDefault="00635243" w:rsidP="00FB7C1F">
            <w:pPr>
              <w:jc w:val="left"/>
              <w:rPr>
                <w:sz w:val="18"/>
                <w:szCs w:val="18"/>
              </w:rPr>
            </w:pPr>
            <w:r w:rsidRPr="004C78D8">
              <w:rPr>
                <w:sz w:val="18"/>
                <w:szCs w:val="18"/>
              </w:rPr>
              <w:t>Proactive multifactorial intervention for cognitively intact persons at high falls risk</w:t>
            </w:r>
          </w:p>
        </w:tc>
        <w:tc>
          <w:tcPr>
            <w:tcW w:w="683" w:type="pct"/>
          </w:tcPr>
          <w:p w14:paraId="1B157FE5" w14:textId="40BF363C" w:rsidR="00635243" w:rsidRPr="004C78D8" w:rsidRDefault="0001600F" w:rsidP="00FB7C1F">
            <w:pPr>
              <w:jc w:val="left"/>
              <w:rPr>
                <w:sz w:val="18"/>
                <w:szCs w:val="18"/>
              </w:rPr>
            </w:pPr>
            <w:r w:rsidRPr="004C78D8">
              <w:rPr>
                <w:sz w:val="18"/>
                <w:szCs w:val="18"/>
              </w:rPr>
              <w:t>Participant screening &amp; recruitment</w:t>
            </w:r>
            <w:r w:rsidR="00C578C6" w:rsidRPr="004C78D8">
              <w:rPr>
                <w:sz w:val="18"/>
                <w:szCs w:val="18"/>
                <w:vertAlign w:val="superscript"/>
              </w:rPr>
              <w:t>3</w:t>
            </w:r>
          </w:p>
        </w:tc>
        <w:tc>
          <w:tcPr>
            <w:tcW w:w="2814" w:type="pct"/>
          </w:tcPr>
          <w:p w14:paraId="0F9AA389" w14:textId="77777777" w:rsidR="00635243" w:rsidRPr="004C78D8" w:rsidRDefault="00F40FC9" w:rsidP="00FB7C1F">
            <w:pPr>
              <w:jc w:val="left"/>
              <w:rPr>
                <w:sz w:val="18"/>
                <w:szCs w:val="18"/>
              </w:rPr>
            </w:pPr>
            <w:r w:rsidRPr="004C78D8">
              <w:rPr>
                <w:sz w:val="18"/>
                <w:szCs w:val="18"/>
              </w:rPr>
              <w:t xml:space="preserve">(1) </w:t>
            </w:r>
            <w:r w:rsidR="00B815A8" w:rsidRPr="004C78D8">
              <w:rPr>
                <w:sz w:val="18"/>
                <w:szCs w:val="18"/>
              </w:rPr>
              <w:t>Consent by 19 GP practices in same PCT area</w:t>
            </w:r>
          </w:p>
          <w:p w14:paraId="549A00F9" w14:textId="77777777" w:rsidR="00C9529A" w:rsidRPr="004C78D8" w:rsidRDefault="00C9529A" w:rsidP="00FB7C1F">
            <w:pPr>
              <w:jc w:val="left"/>
              <w:rPr>
                <w:sz w:val="18"/>
                <w:szCs w:val="18"/>
              </w:rPr>
            </w:pPr>
            <w:r w:rsidRPr="004C78D8">
              <w:rPr>
                <w:sz w:val="18"/>
                <w:szCs w:val="18"/>
              </w:rPr>
              <w:t xml:space="preserve">(2) GP nurse conducted baseline risk screening: AMT; Barthel index; TUG test; medical history; falls history; osteoporosis risk factors </w:t>
            </w:r>
          </w:p>
          <w:p w14:paraId="4C26ED40" w14:textId="162CB0A8" w:rsidR="006566F6" w:rsidRPr="004C78D8" w:rsidRDefault="00B815A8" w:rsidP="00FB7C1F">
            <w:pPr>
              <w:jc w:val="left"/>
              <w:rPr>
                <w:sz w:val="18"/>
                <w:szCs w:val="18"/>
              </w:rPr>
            </w:pPr>
            <w:r w:rsidRPr="004C78D8">
              <w:rPr>
                <w:sz w:val="18"/>
                <w:szCs w:val="18"/>
              </w:rPr>
              <w:t>(</w:t>
            </w:r>
            <w:r w:rsidR="00C9529A" w:rsidRPr="004C78D8">
              <w:rPr>
                <w:sz w:val="18"/>
                <w:szCs w:val="18"/>
              </w:rPr>
              <w:t>3</w:t>
            </w:r>
            <w:r w:rsidRPr="004C78D8">
              <w:rPr>
                <w:sz w:val="18"/>
                <w:szCs w:val="18"/>
              </w:rPr>
              <w:t xml:space="preserve">) Information leaflet given to </w:t>
            </w:r>
            <w:r w:rsidR="00FC3C3B" w:rsidRPr="004C78D8">
              <w:rPr>
                <w:sz w:val="18"/>
                <w:szCs w:val="18"/>
              </w:rPr>
              <w:t>older</w:t>
            </w:r>
            <w:r w:rsidRPr="004C78D8">
              <w:rPr>
                <w:sz w:val="18"/>
                <w:szCs w:val="18"/>
              </w:rPr>
              <w:t xml:space="preserve"> persons for participation consent</w:t>
            </w:r>
          </w:p>
        </w:tc>
      </w:tr>
      <w:tr w:rsidR="00635243" w:rsidRPr="004C78D8" w14:paraId="7936AF4B" w14:textId="77777777" w:rsidTr="00E35893">
        <w:tc>
          <w:tcPr>
            <w:tcW w:w="601" w:type="pct"/>
            <w:vMerge/>
          </w:tcPr>
          <w:p w14:paraId="2464F0D1" w14:textId="77777777" w:rsidR="00635243" w:rsidRPr="004C78D8" w:rsidRDefault="00635243" w:rsidP="00FB7C1F">
            <w:pPr>
              <w:jc w:val="left"/>
              <w:rPr>
                <w:sz w:val="18"/>
                <w:szCs w:val="18"/>
              </w:rPr>
            </w:pPr>
          </w:p>
        </w:tc>
        <w:tc>
          <w:tcPr>
            <w:tcW w:w="902" w:type="pct"/>
            <w:vMerge/>
          </w:tcPr>
          <w:p w14:paraId="4F774D4E" w14:textId="77777777" w:rsidR="00635243" w:rsidRPr="004C78D8" w:rsidRDefault="00635243" w:rsidP="00FB7C1F">
            <w:pPr>
              <w:jc w:val="left"/>
              <w:rPr>
                <w:sz w:val="18"/>
                <w:szCs w:val="18"/>
              </w:rPr>
            </w:pPr>
          </w:p>
        </w:tc>
        <w:tc>
          <w:tcPr>
            <w:tcW w:w="683" w:type="pct"/>
          </w:tcPr>
          <w:p w14:paraId="2EDD78D6" w14:textId="76C0D260" w:rsidR="00635243" w:rsidRPr="004C78D8" w:rsidRDefault="00635243" w:rsidP="00FB7C1F">
            <w:pPr>
              <w:jc w:val="left"/>
              <w:rPr>
                <w:sz w:val="18"/>
                <w:szCs w:val="18"/>
              </w:rPr>
            </w:pPr>
            <w:r w:rsidRPr="004C78D8">
              <w:rPr>
                <w:sz w:val="18"/>
                <w:szCs w:val="18"/>
              </w:rPr>
              <w:t>Falls risk assessment</w:t>
            </w:r>
          </w:p>
        </w:tc>
        <w:tc>
          <w:tcPr>
            <w:tcW w:w="2814" w:type="pct"/>
          </w:tcPr>
          <w:p w14:paraId="275F52D0" w14:textId="47D92EB9" w:rsidR="00A23BF8" w:rsidRPr="004C78D8" w:rsidRDefault="00A23BF8" w:rsidP="00FB7C1F">
            <w:pPr>
              <w:jc w:val="left"/>
              <w:rPr>
                <w:sz w:val="18"/>
                <w:szCs w:val="18"/>
              </w:rPr>
            </w:pPr>
            <w:r w:rsidRPr="004C78D8">
              <w:rPr>
                <w:sz w:val="18"/>
                <w:szCs w:val="18"/>
              </w:rPr>
              <w:t>Assessments conducted at a one-stop multidisciplinary clinic</w:t>
            </w:r>
          </w:p>
          <w:p w14:paraId="3B5CBA1C" w14:textId="662D3AD7" w:rsidR="00A23BF8" w:rsidRPr="004C78D8" w:rsidRDefault="00190C9C" w:rsidP="00FB7C1F">
            <w:pPr>
              <w:jc w:val="left"/>
              <w:rPr>
                <w:sz w:val="18"/>
                <w:szCs w:val="18"/>
              </w:rPr>
            </w:pPr>
            <w:r w:rsidRPr="004C78D8">
              <w:rPr>
                <w:sz w:val="18"/>
                <w:szCs w:val="18"/>
              </w:rPr>
              <w:t xml:space="preserve">(A) </w:t>
            </w:r>
            <w:r w:rsidR="00A23BF8" w:rsidRPr="004C78D8">
              <w:rPr>
                <w:sz w:val="18"/>
                <w:szCs w:val="18"/>
              </w:rPr>
              <w:t>M</w:t>
            </w:r>
            <w:r w:rsidRPr="004C78D8">
              <w:rPr>
                <w:sz w:val="18"/>
                <w:szCs w:val="18"/>
              </w:rPr>
              <w:t>edical</w:t>
            </w:r>
            <w:r w:rsidR="00552747" w:rsidRPr="004C78D8">
              <w:rPr>
                <w:sz w:val="18"/>
                <w:szCs w:val="18"/>
              </w:rPr>
              <w:t xml:space="preserve"> </w:t>
            </w:r>
            <w:r w:rsidR="00EB4196" w:rsidRPr="004C78D8">
              <w:rPr>
                <w:sz w:val="18"/>
                <w:szCs w:val="18"/>
              </w:rPr>
              <w:t xml:space="preserve">and cardiovascular </w:t>
            </w:r>
            <w:r w:rsidR="00A23BF8" w:rsidRPr="004C78D8">
              <w:rPr>
                <w:sz w:val="18"/>
                <w:szCs w:val="18"/>
              </w:rPr>
              <w:t>assessment</w:t>
            </w:r>
            <w:r w:rsidR="00EB4196" w:rsidRPr="004C78D8">
              <w:rPr>
                <w:sz w:val="18"/>
                <w:szCs w:val="18"/>
              </w:rPr>
              <w:t>s</w:t>
            </w:r>
            <w:r w:rsidR="00A23BF8" w:rsidRPr="004C78D8">
              <w:rPr>
                <w:sz w:val="18"/>
                <w:szCs w:val="18"/>
              </w:rPr>
              <w:t xml:space="preserve">: </w:t>
            </w:r>
            <w:r w:rsidR="00552747" w:rsidRPr="004C78D8">
              <w:rPr>
                <w:sz w:val="18"/>
                <w:szCs w:val="18"/>
              </w:rPr>
              <w:t>medication</w:t>
            </w:r>
            <w:r w:rsidR="00A23BF8" w:rsidRPr="004C78D8">
              <w:rPr>
                <w:sz w:val="18"/>
                <w:szCs w:val="18"/>
              </w:rPr>
              <w:t>;</w:t>
            </w:r>
            <w:r w:rsidR="00552747" w:rsidRPr="004C78D8">
              <w:rPr>
                <w:sz w:val="18"/>
                <w:szCs w:val="18"/>
              </w:rPr>
              <w:t xml:space="preserve"> vision</w:t>
            </w:r>
            <w:r w:rsidR="00A23BF8" w:rsidRPr="004C78D8">
              <w:rPr>
                <w:sz w:val="18"/>
                <w:szCs w:val="18"/>
              </w:rPr>
              <w:t>;</w:t>
            </w:r>
            <w:r w:rsidR="00552747" w:rsidRPr="004C78D8">
              <w:rPr>
                <w:sz w:val="18"/>
                <w:szCs w:val="18"/>
              </w:rPr>
              <w:t xml:space="preserve"> alcohol</w:t>
            </w:r>
            <w:r w:rsidRPr="004C78D8">
              <w:rPr>
                <w:sz w:val="18"/>
                <w:szCs w:val="18"/>
              </w:rPr>
              <w:t xml:space="preserve">; </w:t>
            </w:r>
            <w:r w:rsidR="00A23BF8" w:rsidRPr="004C78D8">
              <w:rPr>
                <w:sz w:val="18"/>
                <w:szCs w:val="18"/>
              </w:rPr>
              <w:t>neurological; musculoskeletal</w:t>
            </w:r>
            <w:r w:rsidR="00EB4196" w:rsidRPr="004C78D8">
              <w:rPr>
                <w:sz w:val="18"/>
                <w:szCs w:val="18"/>
              </w:rPr>
              <w:t>; postural hypotension; other cardiovascular</w:t>
            </w:r>
          </w:p>
          <w:p w14:paraId="516FD889" w14:textId="72D4C9A8" w:rsidR="00A23BF8" w:rsidRPr="004C78D8" w:rsidRDefault="00A23BF8" w:rsidP="00FB7C1F">
            <w:pPr>
              <w:jc w:val="left"/>
              <w:rPr>
                <w:sz w:val="18"/>
                <w:szCs w:val="18"/>
              </w:rPr>
            </w:pPr>
            <w:r w:rsidRPr="004C78D8">
              <w:rPr>
                <w:sz w:val="18"/>
                <w:szCs w:val="18"/>
              </w:rPr>
              <w:t xml:space="preserve">(B) </w:t>
            </w:r>
            <w:r w:rsidR="00190C9C" w:rsidRPr="004C78D8">
              <w:rPr>
                <w:sz w:val="18"/>
                <w:szCs w:val="18"/>
              </w:rPr>
              <w:t>PT</w:t>
            </w:r>
            <w:r w:rsidRPr="004C78D8">
              <w:rPr>
                <w:sz w:val="18"/>
                <w:szCs w:val="18"/>
              </w:rPr>
              <w:t xml:space="preserve"> assessment: mobility</w:t>
            </w:r>
          </w:p>
          <w:p w14:paraId="017178DF" w14:textId="4F3B26DB" w:rsidR="00635243" w:rsidRPr="004C78D8" w:rsidRDefault="00A23BF8" w:rsidP="00FB7C1F">
            <w:pPr>
              <w:jc w:val="left"/>
              <w:rPr>
                <w:sz w:val="18"/>
                <w:szCs w:val="18"/>
              </w:rPr>
            </w:pPr>
            <w:r w:rsidRPr="004C78D8">
              <w:rPr>
                <w:sz w:val="18"/>
                <w:szCs w:val="18"/>
              </w:rPr>
              <w:t xml:space="preserve">(C) </w:t>
            </w:r>
            <w:r w:rsidR="00190C9C" w:rsidRPr="004C78D8">
              <w:rPr>
                <w:sz w:val="18"/>
                <w:szCs w:val="18"/>
              </w:rPr>
              <w:t>OT</w:t>
            </w:r>
            <w:r w:rsidRPr="004C78D8">
              <w:rPr>
                <w:sz w:val="18"/>
                <w:szCs w:val="18"/>
              </w:rPr>
              <w:t xml:space="preserve"> assessment: environmental hazards</w:t>
            </w:r>
            <w:r w:rsidR="001D2624" w:rsidRPr="004C78D8">
              <w:rPr>
                <w:sz w:val="18"/>
                <w:szCs w:val="18"/>
              </w:rPr>
              <w:t>; feet/footwear</w:t>
            </w:r>
          </w:p>
        </w:tc>
      </w:tr>
      <w:tr w:rsidR="00635243" w:rsidRPr="004C78D8" w14:paraId="1FF0D79A" w14:textId="77777777" w:rsidTr="00E35893">
        <w:tc>
          <w:tcPr>
            <w:tcW w:w="601" w:type="pct"/>
            <w:vMerge/>
          </w:tcPr>
          <w:p w14:paraId="5E8BDB02" w14:textId="77777777" w:rsidR="00635243" w:rsidRPr="004C78D8" w:rsidRDefault="00635243" w:rsidP="00FB7C1F">
            <w:pPr>
              <w:jc w:val="left"/>
              <w:rPr>
                <w:sz w:val="18"/>
                <w:szCs w:val="18"/>
              </w:rPr>
            </w:pPr>
          </w:p>
        </w:tc>
        <w:tc>
          <w:tcPr>
            <w:tcW w:w="902" w:type="pct"/>
            <w:vMerge/>
          </w:tcPr>
          <w:p w14:paraId="365DCA52" w14:textId="77777777" w:rsidR="00635243" w:rsidRPr="004C78D8" w:rsidRDefault="00635243" w:rsidP="00FB7C1F">
            <w:pPr>
              <w:jc w:val="left"/>
              <w:rPr>
                <w:sz w:val="18"/>
                <w:szCs w:val="18"/>
              </w:rPr>
            </w:pPr>
          </w:p>
        </w:tc>
        <w:tc>
          <w:tcPr>
            <w:tcW w:w="683" w:type="pct"/>
          </w:tcPr>
          <w:p w14:paraId="47278986" w14:textId="5E53B6E4" w:rsidR="00635243" w:rsidRPr="004C78D8" w:rsidRDefault="00635243" w:rsidP="00FB7C1F">
            <w:pPr>
              <w:jc w:val="left"/>
              <w:rPr>
                <w:sz w:val="18"/>
                <w:szCs w:val="18"/>
              </w:rPr>
            </w:pPr>
            <w:r w:rsidRPr="004C78D8">
              <w:rPr>
                <w:sz w:val="18"/>
                <w:szCs w:val="18"/>
              </w:rPr>
              <w:t>Therapeutic treatment</w:t>
            </w:r>
          </w:p>
        </w:tc>
        <w:tc>
          <w:tcPr>
            <w:tcW w:w="2814" w:type="pct"/>
          </w:tcPr>
          <w:p w14:paraId="52D3BC6F" w14:textId="731EC7D6" w:rsidR="00635243" w:rsidRPr="004C78D8" w:rsidRDefault="0033349E" w:rsidP="00FB7C1F">
            <w:pPr>
              <w:jc w:val="left"/>
              <w:rPr>
                <w:sz w:val="18"/>
                <w:szCs w:val="18"/>
              </w:rPr>
            </w:pPr>
            <w:r w:rsidRPr="004C78D8">
              <w:rPr>
                <w:sz w:val="18"/>
                <w:szCs w:val="18"/>
              </w:rPr>
              <w:t>(I) In-house treatments</w:t>
            </w:r>
            <w:r w:rsidR="00200D44" w:rsidRPr="004C78D8">
              <w:rPr>
                <w:sz w:val="18"/>
                <w:szCs w:val="18"/>
              </w:rPr>
              <w:t>: 53.6% received any PT treatment; 51.8% received any medication modification; 33.8% received any OT treatment; 3.6% received any nursing treatment</w:t>
            </w:r>
          </w:p>
        </w:tc>
      </w:tr>
      <w:tr w:rsidR="00635243" w:rsidRPr="004C78D8" w14:paraId="4A33DC2A" w14:textId="0C688A9E" w:rsidTr="00E35893">
        <w:tc>
          <w:tcPr>
            <w:tcW w:w="5000" w:type="pct"/>
            <w:gridSpan w:val="4"/>
          </w:tcPr>
          <w:p w14:paraId="79DCAB37" w14:textId="1F64AE20" w:rsidR="000956C1" w:rsidRPr="004C78D8" w:rsidRDefault="00D10D5E" w:rsidP="00FB7C1F">
            <w:pPr>
              <w:jc w:val="left"/>
              <w:rPr>
                <w:sz w:val="18"/>
                <w:szCs w:val="18"/>
              </w:rPr>
            </w:pPr>
            <w:r w:rsidRPr="004C78D8">
              <w:rPr>
                <w:b/>
                <w:bCs/>
                <w:sz w:val="18"/>
                <w:szCs w:val="18"/>
              </w:rPr>
              <w:t>Abbreviation</w:t>
            </w:r>
            <w:r w:rsidR="000956C1" w:rsidRPr="004C78D8">
              <w:rPr>
                <w:b/>
                <w:bCs/>
                <w:sz w:val="18"/>
                <w:szCs w:val="18"/>
              </w:rPr>
              <w:t>:</w:t>
            </w:r>
            <w:r w:rsidR="000956C1" w:rsidRPr="004C78D8">
              <w:rPr>
                <w:sz w:val="18"/>
                <w:szCs w:val="18"/>
              </w:rPr>
              <w:t xml:space="preserve"> AMT: Abbreviated Mental Test; HAM: home assessment and modification; MA fall: fall requiring medical attention; OT: occupational therapy/therapist; PCT: primary care trust; PT: physiotherapy/therapist; RCT: randomised controlled trial; TUG: Timed Up and Go test</w:t>
            </w:r>
          </w:p>
          <w:p w14:paraId="7C8D4DE8" w14:textId="16DAB690" w:rsidR="00C578C6" w:rsidRPr="004C78D8" w:rsidRDefault="00C578C6" w:rsidP="00FB7C1F">
            <w:pPr>
              <w:jc w:val="left"/>
              <w:rPr>
                <w:sz w:val="18"/>
                <w:szCs w:val="18"/>
              </w:rPr>
            </w:pPr>
            <w:r w:rsidRPr="004C78D8">
              <w:rPr>
                <w:sz w:val="18"/>
                <w:szCs w:val="18"/>
                <w:vertAlign w:val="superscript"/>
              </w:rPr>
              <w:t>1</w:t>
            </w:r>
            <w:r w:rsidRPr="004C78D8">
              <w:rPr>
                <w:sz w:val="18"/>
                <w:szCs w:val="18"/>
              </w:rPr>
              <w:t xml:space="preserve"> </w:t>
            </w:r>
            <w:r w:rsidR="00F15D90" w:rsidRPr="004C78D8">
              <w:rPr>
                <w:sz w:val="18"/>
                <w:szCs w:val="18"/>
              </w:rPr>
              <w:t>Uptake</w:t>
            </w:r>
            <w:r w:rsidRPr="004C78D8">
              <w:rPr>
                <w:sz w:val="18"/>
                <w:szCs w:val="18"/>
              </w:rPr>
              <w:t xml:space="preserve"> rate was 53.8%.</w:t>
            </w:r>
          </w:p>
          <w:p w14:paraId="6E5F30EA" w14:textId="0F08EB0C" w:rsidR="00C578C6" w:rsidRPr="004C78D8" w:rsidRDefault="00C578C6" w:rsidP="00FB7C1F">
            <w:pPr>
              <w:jc w:val="left"/>
              <w:rPr>
                <w:sz w:val="18"/>
                <w:szCs w:val="18"/>
              </w:rPr>
            </w:pPr>
            <w:r w:rsidRPr="004C78D8">
              <w:rPr>
                <w:sz w:val="18"/>
                <w:szCs w:val="18"/>
                <w:vertAlign w:val="superscript"/>
              </w:rPr>
              <w:t>2</w:t>
            </w:r>
            <w:r w:rsidRPr="004C78D8">
              <w:rPr>
                <w:sz w:val="18"/>
                <w:szCs w:val="18"/>
              </w:rPr>
              <w:t xml:space="preserve"> </w:t>
            </w:r>
            <w:r w:rsidR="00F15D90" w:rsidRPr="004C78D8">
              <w:rPr>
                <w:sz w:val="18"/>
                <w:szCs w:val="18"/>
              </w:rPr>
              <w:t>Uptake</w:t>
            </w:r>
            <w:r w:rsidRPr="004C78D8">
              <w:rPr>
                <w:sz w:val="18"/>
                <w:szCs w:val="18"/>
              </w:rPr>
              <w:t xml:space="preserve"> rate was 46.9%.</w:t>
            </w:r>
          </w:p>
          <w:p w14:paraId="219A8520" w14:textId="732F37CF" w:rsidR="00635243" w:rsidRPr="004C78D8" w:rsidRDefault="00C578C6" w:rsidP="00FB7C1F">
            <w:pPr>
              <w:jc w:val="left"/>
              <w:rPr>
                <w:sz w:val="18"/>
                <w:szCs w:val="18"/>
              </w:rPr>
            </w:pPr>
            <w:r w:rsidRPr="004C78D8">
              <w:rPr>
                <w:sz w:val="18"/>
                <w:szCs w:val="18"/>
                <w:vertAlign w:val="superscript"/>
              </w:rPr>
              <w:t>3</w:t>
            </w:r>
            <w:r w:rsidRPr="004C78D8">
              <w:rPr>
                <w:sz w:val="18"/>
                <w:szCs w:val="18"/>
              </w:rPr>
              <w:t xml:space="preserve"> </w:t>
            </w:r>
            <w:r w:rsidR="00F15D90" w:rsidRPr="004C78D8">
              <w:rPr>
                <w:sz w:val="18"/>
                <w:szCs w:val="18"/>
              </w:rPr>
              <w:t>Uptake</w:t>
            </w:r>
            <w:r w:rsidRPr="004C78D8">
              <w:rPr>
                <w:sz w:val="18"/>
                <w:szCs w:val="18"/>
              </w:rPr>
              <w:t xml:space="preserve"> rate was 82.4%.</w:t>
            </w:r>
          </w:p>
        </w:tc>
      </w:tr>
    </w:tbl>
    <w:p w14:paraId="7B866F0B" w14:textId="72422D5E" w:rsidR="00866BA1" w:rsidRPr="004C78D8" w:rsidRDefault="00866BA1" w:rsidP="00FB7C1F"/>
    <w:p w14:paraId="23A781F9" w14:textId="1DC015D0" w:rsidR="00D56D95" w:rsidRPr="004C78D8" w:rsidRDefault="009D3545" w:rsidP="00FB7C1F">
      <w:r w:rsidRPr="004C78D8">
        <w:t xml:space="preserve">All three RCTs allocated resources to participant </w:t>
      </w:r>
      <w:r w:rsidR="00D56D95" w:rsidRPr="004C78D8">
        <w:t xml:space="preserve">screening and </w:t>
      </w:r>
      <w:r w:rsidRPr="004C78D8">
        <w:t xml:space="preserve">recruitment. </w:t>
      </w:r>
      <w:r w:rsidR="00C578C6" w:rsidRPr="004C78D8">
        <w:t xml:space="preserve">The reactive </w:t>
      </w:r>
      <w:r w:rsidRPr="004C78D8">
        <w:t xml:space="preserve">interventions </w:t>
      </w:r>
      <w:r w:rsidR="00C578C6" w:rsidRPr="004C78D8">
        <w:t>used</w:t>
      </w:r>
      <w:r w:rsidR="00C9529A" w:rsidRPr="004C78D8">
        <w:t xml:space="preserve"> A&amp;E admission records</w:t>
      </w:r>
      <w:r w:rsidR="00C578C6" w:rsidRPr="004C78D8">
        <w:t xml:space="preserve"> for eligibility screening</w:t>
      </w:r>
      <w:r w:rsidR="00C9529A" w:rsidRPr="004C78D8">
        <w:t xml:space="preserve">, while the proactive intervention </w:t>
      </w:r>
      <w:r w:rsidR="00F93D83" w:rsidRPr="004C78D8">
        <w:t>relied on</w:t>
      </w:r>
      <w:r w:rsidR="00C9529A" w:rsidRPr="004C78D8">
        <w:t xml:space="preserve"> screening by GP nurses. MA fallers did not automatically participate in the reactive interventions and resources were </w:t>
      </w:r>
      <w:r w:rsidR="00BA7833" w:rsidRPr="004C78D8">
        <w:t>needed for</w:t>
      </w:r>
      <w:r w:rsidR="00C9529A" w:rsidRPr="004C78D8">
        <w:t xml:space="preserve"> their recruitment. </w:t>
      </w:r>
      <w:r w:rsidR="00BA7833" w:rsidRPr="004C78D8">
        <w:t>F</w:t>
      </w:r>
      <w:r w:rsidR="00260E0D" w:rsidRPr="004C78D8">
        <w:t xml:space="preserve">alls risk assessments </w:t>
      </w:r>
      <w:r w:rsidR="00657562" w:rsidRPr="004C78D8">
        <w:t>comprised</w:t>
      </w:r>
      <w:r w:rsidR="00260E0D" w:rsidRPr="004C78D8">
        <w:t xml:space="preserve"> three main </w:t>
      </w:r>
      <w:r w:rsidR="004E7C3E" w:rsidRPr="004C78D8">
        <w:t>types</w:t>
      </w:r>
      <w:r w:rsidR="00260E0D" w:rsidRPr="004C78D8">
        <w:t xml:space="preserve">: (A) medical and cardiovascular assessments; (B) PT assessments; and (C) OT assessments. </w:t>
      </w:r>
      <w:r w:rsidR="00B140ED" w:rsidRPr="004C78D8">
        <w:t>The range of risk factors covered was broadly similar for the three RCTs</w:t>
      </w:r>
      <w:r w:rsidR="00265931" w:rsidRPr="004C78D8">
        <w:t xml:space="preserve">, but the method of delivery differed. </w:t>
      </w:r>
      <w:r w:rsidR="00B140ED" w:rsidRPr="004C78D8">
        <w:t xml:space="preserve">Close (1999) referred only 25% of intervention participants to a full multidisciplinary assessment at falls clinic, while the </w:t>
      </w:r>
      <w:r w:rsidR="00E227CE" w:rsidRPr="004C78D8">
        <w:t>rest</w:t>
      </w:r>
      <w:r w:rsidR="00B140ED" w:rsidRPr="004C78D8">
        <w:t xml:space="preserve"> received a bi-disciplinary assessment by physician and OT.</w:t>
      </w:r>
      <w:r w:rsidR="00265931" w:rsidRPr="004C78D8">
        <w:t xml:space="preserve"> By contrast, Shaw (2003) and Spice (2009) conducted all assessments at multidisciplinary clinic</w:t>
      </w:r>
      <w:r w:rsidR="00E227CE" w:rsidRPr="004C78D8">
        <w:t>s</w:t>
      </w:r>
      <w:r w:rsidR="00265931" w:rsidRPr="004C78D8">
        <w:t xml:space="preserve">. </w:t>
      </w:r>
    </w:p>
    <w:p w14:paraId="37A37AF8" w14:textId="0F0BD25A" w:rsidR="004E7C3E" w:rsidRPr="004C78D8" w:rsidRDefault="004E7C3E" w:rsidP="00FB7C1F">
      <w:r w:rsidRPr="004C78D8">
        <w:t>The therapeutic treatments based on identified risk factors were either delivered in-house or outsourced to external providers. The proportion delivered in-house differed between RCTs. In Close (1999), only HAM and falls prevention education were delivered in-house by the OT. By contrast, Spice (2009) mentioned no external referrals, suggesting that most treatments were delivered in-house</w:t>
      </w:r>
      <w:r w:rsidR="00D56D95" w:rsidRPr="004C78D8">
        <w:t xml:space="preserve"> at the multidisciplinary clinic</w:t>
      </w:r>
      <w:r w:rsidRPr="004C78D8">
        <w:t>. Shaw (2003) mentioned external referrals for several treatments including chiropody, vision correction</w:t>
      </w:r>
      <w:r w:rsidR="00E227CE" w:rsidRPr="004C78D8">
        <w:t>,</w:t>
      </w:r>
      <w:r w:rsidRPr="004C78D8">
        <w:t xml:space="preserve"> and geriatric psychiatry. </w:t>
      </w:r>
    </w:p>
    <w:p w14:paraId="643CD1F1" w14:textId="0271838E" w:rsidR="003273AC" w:rsidRPr="004C78D8" w:rsidRDefault="004E7C3E" w:rsidP="00FB7C1F">
      <w:r w:rsidRPr="004C78D8">
        <w:t xml:space="preserve">The RCTs provided </w:t>
      </w:r>
      <w:r w:rsidR="00E227CE" w:rsidRPr="004C78D8">
        <w:t>little</w:t>
      </w:r>
      <w:r w:rsidRPr="004C78D8">
        <w:t xml:space="preserve"> details on the timeframe </w:t>
      </w:r>
      <w:r w:rsidR="009F6314" w:rsidRPr="004C78D8">
        <w:t xml:space="preserve">and professional workload associated with </w:t>
      </w:r>
      <w:r w:rsidRPr="004C78D8">
        <w:t xml:space="preserve">intervention delivery. Close (1999) mentioned that a single physician carried out the medical assessments for all 184 </w:t>
      </w:r>
      <w:r w:rsidR="00297A9C" w:rsidRPr="004C78D8">
        <w:t>intervention participants</w:t>
      </w:r>
      <w:r w:rsidRPr="004C78D8">
        <w:t xml:space="preserve"> completed within </w:t>
      </w:r>
      <w:r w:rsidR="00BB0347" w:rsidRPr="004C78D8">
        <w:t>three</w:t>
      </w:r>
      <w:r w:rsidRPr="004C78D8">
        <w:t xml:space="preserve"> weeks of A&amp;E discharge. The OT assessment and treatments were delivered within a single home visit per patient by the OT. </w:t>
      </w:r>
      <w:r w:rsidR="00EF62A4" w:rsidRPr="004C78D8">
        <w:t xml:space="preserve">The study did not report what </w:t>
      </w:r>
      <w:r w:rsidR="009F6314" w:rsidRPr="004C78D8">
        <w:t>assessments and treatments were prescribed</w:t>
      </w:r>
      <w:r w:rsidR="00EF62A4" w:rsidRPr="004C78D8">
        <w:t xml:space="preserve"> for the 25% of intervention participants who were referred to the multidisciplinary falls clinic. </w:t>
      </w:r>
      <w:r w:rsidR="00D60BA0" w:rsidRPr="004C78D8">
        <w:t xml:space="preserve">Shaw (2003) did not report how many </w:t>
      </w:r>
      <w:r w:rsidR="009F6314" w:rsidRPr="004C78D8">
        <w:t xml:space="preserve">and which </w:t>
      </w:r>
      <w:r w:rsidR="00D60BA0" w:rsidRPr="004C78D8">
        <w:t xml:space="preserve">professionals were involved in the delivery of multidisciplinary assessment and treatments. </w:t>
      </w:r>
      <w:r w:rsidR="009F6314" w:rsidRPr="004C78D8">
        <w:t>I</w:t>
      </w:r>
      <w:r w:rsidR="00D60BA0" w:rsidRPr="004C78D8">
        <w:t xml:space="preserve">t </w:t>
      </w:r>
      <w:r w:rsidR="009F6314" w:rsidRPr="004C78D8">
        <w:t xml:space="preserve">nonetheless </w:t>
      </w:r>
      <w:r w:rsidR="00D60BA0" w:rsidRPr="004C78D8">
        <w:t xml:space="preserve">reported that all assessments and treatments were completed by the </w:t>
      </w:r>
      <w:r w:rsidR="0084297A" w:rsidRPr="004C78D8">
        <w:t>three</w:t>
      </w:r>
      <w:r w:rsidR="00D60BA0" w:rsidRPr="004C78D8">
        <w:t xml:space="preserve">-month follow-up. The home-based exercise was the longest component, delivered by PT for </w:t>
      </w:r>
      <w:r w:rsidR="0084297A" w:rsidRPr="004C78D8">
        <w:t>three</w:t>
      </w:r>
      <w:r w:rsidR="00D60BA0" w:rsidRPr="004C78D8">
        <w:t xml:space="preserve"> months and ideally sustained </w:t>
      </w:r>
      <w:r w:rsidR="0095475F" w:rsidRPr="004C78D8">
        <w:t>thereafter</w:t>
      </w:r>
      <w:r w:rsidR="00D60BA0" w:rsidRPr="004C78D8">
        <w:t xml:space="preserve"> </w:t>
      </w:r>
      <w:r w:rsidR="009F6314" w:rsidRPr="004C78D8">
        <w:t>by</w:t>
      </w:r>
      <w:r w:rsidR="00D60BA0" w:rsidRPr="004C78D8">
        <w:t xml:space="preserve"> participants’ caregivers. Spice (2009) provided no detail on the workflow except the proportions of participants receiving different treatment components.</w:t>
      </w:r>
      <w:r w:rsidR="00F13FDE" w:rsidRPr="004C78D8">
        <w:t xml:space="preserve"> </w:t>
      </w:r>
    </w:p>
    <w:p w14:paraId="6371652D" w14:textId="272B49C3" w:rsidR="00F67AEA" w:rsidRPr="004C78D8" w:rsidRDefault="00F67AEA" w:rsidP="00FB7C1F">
      <w:r w:rsidRPr="004C78D8">
        <w:t xml:space="preserve">It was </w:t>
      </w:r>
      <w:r w:rsidR="00711AED" w:rsidRPr="004C78D8">
        <w:t>overall</w:t>
      </w:r>
      <w:r w:rsidRPr="004C78D8">
        <w:t xml:space="preserve"> clear that full implementation of multifactorial interventions would rely </w:t>
      </w:r>
      <w:r w:rsidR="00297A9C" w:rsidRPr="004C78D8">
        <w:t xml:space="preserve">extensively </w:t>
      </w:r>
      <w:r w:rsidRPr="004C78D8">
        <w:t>on referral</w:t>
      </w:r>
      <w:r w:rsidR="00297A9C" w:rsidRPr="004C78D8">
        <w:t>s</w:t>
      </w:r>
      <w:r w:rsidRPr="004C78D8">
        <w:t xml:space="preserve"> to multidisciplinary falls clinics. The falls specialist geriatrician at the Sheffield Falls Clinic confirmed that his team had the expertise, equipment</w:t>
      </w:r>
      <w:r w:rsidR="00297A9C" w:rsidRPr="004C78D8">
        <w:t>,</w:t>
      </w:r>
      <w:r w:rsidRPr="004C78D8">
        <w:t xml:space="preserve"> and links to other specialist services to deliver all assessment and treatment components recommended by NICE </w:t>
      </w:r>
      <w:r w:rsidR="0084297A" w:rsidRPr="004C78D8">
        <w:t>CG161</w:t>
      </w:r>
      <w:r w:rsidRPr="004C78D8">
        <w:t xml:space="preserve">. It is hence plausible that a group of multidisciplinary falls clinics – each clinic equipped to operate like the current Sheffield Falls Clinic (but on an expanded scale) – could cater to both reactive and proactive referrals. </w:t>
      </w:r>
    </w:p>
    <w:p w14:paraId="56448DE3" w14:textId="6C880A55" w:rsidR="00F67AEA" w:rsidRPr="004C78D8" w:rsidRDefault="00F67AEA" w:rsidP="00FB7C1F">
      <w:pPr>
        <w:pStyle w:val="Heading5"/>
      </w:pPr>
      <w:r w:rsidRPr="004C78D8">
        <w:t>Multifactorial interventions – cost</w:t>
      </w:r>
    </w:p>
    <w:p w14:paraId="430D0EEC" w14:textId="17E54AF1" w:rsidR="001803F5" w:rsidRPr="004C78D8" w:rsidRDefault="00B6671B" w:rsidP="00FB7C1F">
      <w:r w:rsidRPr="004C78D8">
        <w:t xml:space="preserve">Table </w:t>
      </w:r>
      <w:r w:rsidR="00AA096B" w:rsidRPr="004C78D8">
        <w:t>5</w:t>
      </w:r>
      <w:r w:rsidR="00D03A07" w:rsidRPr="004C78D8">
        <w:t>.</w:t>
      </w:r>
      <w:r w:rsidR="00935A0A" w:rsidRPr="004C78D8">
        <w:t>3</w:t>
      </w:r>
      <w:r w:rsidR="000A3494" w:rsidRPr="004C78D8">
        <w:t>2</w:t>
      </w:r>
      <w:r w:rsidRPr="004C78D8">
        <w:t xml:space="preserve"> shows the estimated annual cost of </w:t>
      </w:r>
      <w:r w:rsidR="00B52B97" w:rsidRPr="004C78D8">
        <w:t>delivering the multifactorial interventions</w:t>
      </w:r>
      <w:r w:rsidRPr="004C78D8">
        <w:t xml:space="preserve">. </w:t>
      </w:r>
      <w:r w:rsidR="001803F5" w:rsidRPr="004C78D8">
        <w:t xml:space="preserve">The costing is divided into two parts: (1) referral to multidisciplinary falls clinic; and (2) </w:t>
      </w:r>
      <w:r w:rsidR="001A18AE" w:rsidRPr="004C78D8">
        <w:t>bi-disciplinary assessment and treatment</w:t>
      </w:r>
      <w:r w:rsidR="00711C55" w:rsidRPr="004C78D8">
        <w:t xml:space="preserve"> for 75% of cognitively intact MA fallers under the reactive pathway </w:t>
      </w:r>
      <w:r w:rsidR="00711C55" w:rsidRPr="004C78D8">
        <w:fldChar w:fldCharType="begin"/>
      </w:r>
      <w:r w:rsidR="00513646" w:rsidRPr="004C78D8">
        <w:instrText xml:space="preserve"> ADDIN EN.CITE &lt;EndNote&gt;&lt;Cite&gt;&lt;Author&gt;Close&lt;/Author&gt;&lt;Year&gt;1999&lt;/Year&gt;&lt;RecNum&gt;513&lt;/RecNum&gt;&lt;DisplayText&gt;[62]&lt;/DisplayText&gt;&lt;record&gt;&lt;rec-number&gt;513&lt;/rec-number&gt;&lt;foreign-keys&gt;&lt;key app="EN" db-id="tdtrdw9aepptzbefsat599syza29sxsd2wsp" timestamp="1617903389"&gt;513&lt;/key&gt;&lt;/foreign-keys&gt;&lt;ref-type name="Journal Article"&gt;17&lt;/ref-type&gt;&lt;contributors&gt;&lt;authors&gt;&lt;author&gt;Close, J.&lt;/author&gt;&lt;author&gt;Ellis, M.&lt;/author&gt;&lt;author&gt;Hooper, R.&lt;/author&gt;&lt;author&gt;Glucksman, E.&lt;/author&gt;&lt;author&gt;Jackson, S.&lt;/author&gt;&lt;author&gt;Swift, C.&lt;/author&gt;&lt;/authors&gt;&lt;/contributors&gt;&lt;auth-address&gt;Department of Health Care of the Elderly, Guy&amp;apos;s King&amp;apos;s, and St Thomas&amp;apos; School of Medicine, King&amp;apos;s College Hospital, London, UK. jacqueline.close@kcl.ac.uk&lt;/auth-address&gt;&lt;titles&gt;&lt;title&gt;Prevention of falls in the elderly trial (PROFET): a randomised controlled trial&lt;/title&gt;&lt;secondary-title&gt;Lancet&lt;/secondary-title&gt;&lt;/titles&gt;&lt;periodical&gt;&lt;full-title&gt;Lancet&lt;/full-title&gt;&lt;/periodical&gt;&lt;pages&gt;93-7&lt;/pages&gt;&lt;volume&gt;353&lt;/volume&gt;&lt;number&gt;9147&lt;/number&gt;&lt;keywords&gt;&lt;keyword&gt;Accidental Falls/*prevention &amp;amp; control&lt;/keyword&gt;&lt;keyword&gt;Activities of Daily Living/classification&lt;/keyword&gt;&lt;keyword&gt;Aged&lt;/keyword&gt;&lt;keyword&gt;Aged, 80 and over&lt;/keyword&gt;&lt;keyword&gt;Female&lt;/keyword&gt;&lt;keyword&gt;*Frail Elderly&lt;/keyword&gt;&lt;keyword&gt;Geriatric Assessment&lt;/keyword&gt;&lt;keyword&gt;Humans&lt;/keyword&gt;&lt;keyword&gt;Male&lt;/keyword&gt;&lt;keyword&gt;Occupational Therapy&lt;/keyword&gt;&lt;keyword&gt;*Patient Care Team&lt;/keyword&gt;&lt;keyword&gt;Recurrence&lt;/keyword&gt;&lt;keyword&gt;Referral and Consultation&lt;/keyword&gt;&lt;keyword&gt;Treatment Outcome&lt;/keyword&gt;&lt;/keywords&gt;&lt;dates&gt;&lt;year&gt;1999&lt;/year&gt;&lt;pub-dates&gt;&lt;date&gt;Jan 9&lt;/date&gt;&lt;/pub-dates&gt;&lt;/dates&gt;&lt;isbn&gt;0140-6736 (Print)&amp;#xD;0140-6736 (Linking)&lt;/isbn&gt;&lt;accession-num&gt;10023893&lt;/accession-num&gt;&lt;urls&gt;&lt;related-urls&gt;&lt;url&gt;https://www.ncbi.nlm.nih.gov/pubmed/10023893&lt;/url&gt;&lt;/related-urls&gt;&lt;/urls&gt;&lt;electronic-resource-num&gt;10.1016/S0140-6736(98)06119-4&lt;/electronic-resource-num&gt;&lt;/record&gt;&lt;/Cite&gt;&lt;/EndNote&gt;</w:instrText>
      </w:r>
      <w:r w:rsidR="00711C55" w:rsidRPr="004C78D8">
        <w:fldChar w:fldCharType="separate"/>
      </w:r>
      <w:r w:rsidR="00513646" w:rsidRPr="004C78D8">
        <w:rPr>
          <w:noProof/>
        </w:rPr>
        <w:t>[62]</w:t>
      </w:r>
      <w:r w:rsidR="00711C55" w:rsidRPr="004C78D8">
        <w:fldChar w:fldCharType="end"/>
      </w:r>
      <w:r w:rsidR="001803F5" w:rsidRPr="004C78D8">
        <w:t xml:space="preserve">. </w:t>
      </w:r>
    </w:p>
    <w:tbl>
      <w:tblPr>
        <w:tblStyle w:val="TableGrid"/>
        <w:tblW w:w="5000" w:type="pct"/>
        <w:tblLook w:val="04A0" w:firstRow="1" w:lastRow="0" w:firstColumn="1" w:lastColumn="0" w:noHBand="0" w:noVBand="1"/>
      </w:tblPr>
      <w:tblGrid>
        <w:gridCol w:w="1520"/>
        <w:gridCol w:w="3789"/>
        <w:gridCol w:w="2418"/>
        <w:gridCol w:w="1289"/>
      </w:tblGrid>
      <w:tr w:rsidR="00103F47" w:rsidRPr="004C78D8" w14:paraId="2D4F39FB" w14:textId="77777777" w:rsidTr="00E35893">
        <w:tc>
          <w:tcPr>
            <w:tcW w:w="5000" w:type="pct"/>
            <w:gridSpan w:val="4"/>
          </w:tcPr>
          <w:p w14:paraId="7AEE9175" w14:textId="5278C588" w:rsidR="00103F47" w:rsidRPr="004C78D8" w:rsidRDefault="00103F47" w:rsidP="00FB7C1F">
            <w:pPr>
              <w:jc w:val="left"/>
              <w:rPr>
                <w:b/>
                <w:bCs/>
                <w:sz w:val="20"/>
                <w:szCs w:val="20"/>
              </w:rPr>
            </w:pPr>
            <w:bookmarkStart w:id="152" w:name="_Hlk69319979"/>
            <w:r w:rsidRPr="004C78D8">
              <w:rPr>
                <w:b/>
                <w:bCs/>
              </w:rPr>
              <w:t xml:space="preserve">Table </w:t>
            </w:r>
            <w:r w:rsidR="00AA096B" w:rsidRPr="004C78D8">
              <w:rPr>
                <w:b/>
                <w:bCs/>
              </w:rPr>
              <w:t>5</w:t>
            </w:r>
            <w:r w:rsidR="00D03A07" w:rsidRPr="004C78D8">
              <w:rPr>
                <w:b/>
                <w:bCs/>
              </w:rPr>
              <w:t>.</w:t>
            </w:r>
            <w:r w:rsidR="00935A0A" w:rsidRPr="004C78D8">
              <w:rPr>
                <w:b/>
                <w:bCs/>
              </w:rPr>
              <w:t>3</w:t>
            </w:r>
            <w:r w:rsidR="000A3494" w:rsidRPr="004C78D8">
              <w:rPr>
                <w:b/>
                <w:bCs/>
              </w:rPr>
              <w:t>2</w:t>
            </w:r>
            <w:r w:rsidRPr="004C78D8">
              <w:t xml:space="preserve"> Resource use and cost </w:t>
            </w:r>
            <w:r w:rsidR="00444479" w:rsidRPr="004C78D8">
              <w:t xml:space="preserve">of </w:t>
            </w:r>
            <w:r w:rsidRPr="004C78D8">
              <w:t>multifactorial interventions</w:t>
            </w:r>
            <w:r w:rsidR="0084297A" w:rsidRPr="004C78D8">
              <w:t>.</w:t>
            </w:r>
          </w:p>
        </w:tc>
      </w:tr>
      <w:tr w:rsidR="005C3683" w:rsidRPr="004C78D8" w14:paraId="76D2666A" w14:textId="77777777" w:rsidTr="00E35893">
        <w:tc>
          <w:tcPr>
            <w:tcW w:w="843" w:type="pct"/>
          </w:tcPr>
          <w:p w14:paraId="6687E590" w14:textId="729D4544" w:rsidR="005C3683" w:rsidRPr="004C78D8" w:rsidRDefault="005C3683" w:rsidP="00FB7C1F">
            <w:pPr>
              <w:jc w:val="left"/>
              <w:rPr>
                <w:b/>
                <w:bCs/>
                <w:sz w:val="20"/>
                <w:szCs w:val="20"/>
              </w:rPr>
            </w:pPr>
            <w:r w:rsidRPr="004C78D8">
              <w:rPr>
                <w:b/>
                <w:bCs/>
                <w:sz w:val="20"/>
                <w:szCs w:val="20"/>
              </w:rPr>
              <w:t>Component</w:t>
            </w:r>
          </w:p>
        </w:tc>
        <w:tc>
          <w:tcPr>
            <w:tcW w:w="2101" w:type="pct"/>
          </w:tcPr>
          <w:p w14:paraId="067EC61E" w14:textId="77777777" w:rsidR="005C3683" w:rsidRPr="004C78D8" w:rsidRDefault="005C3683" w:rsidP="00FB7C1F">
            <w:pPr>
              <w:jc w:val="left"/>
              <w:rPr>
                <w:b/>
                <w:bCs/>
                <w:sz w:val="20"/>
                <w:szCs w:val="20"/>
              </w:rPr>
            </w:pPr>
            <w:r w:rsidRPr="004C78D8">
              <w:rPr>
                <w:b/>
                <w:bCs/>
                <w:sz w:val="20"/>
                <w:szCs w:val="20"/>
              </w:rPr>
              <w:t>Resource use</w:t>
            </w:r>
          </w:p>
        </w:tc>
        <w:tc>
          <w:tcPr>
            <w:tcW w:w="1341" w:type="pct"/>
          </w:tcPr>
          <w:p w14:paraId="1034AC49" w14:textId="202A6326" w:rsidR="005C3683" w:rsidRPr="004C78D8" w:rsidRDefault="005C3683" w:rsidP="00FB7C1F">
            <w:pPr>
              <w:jc w:val="left"/>
              <w:rPr>
                <w:b/>
                <w:bCs/>
                <w:sz w:val="20"/>
                <w:szCs w:val="20"/>
              </w:rPr>
            </w:pPr>
            <w:r w:rsidRPr="004C78D8">
              <w:rPr>
                <w:b/>
                <w:bCs/>
                <w:sz w:val="20"/>
                <w:szCs w:val="20"/>
              </w:rPr>
              <w:t>Mean cost</w:t>
            </w:r>
            <w:r w:rsidRPr="004C78D8">
              <w:rPr>
                <w:b/>
                <w:bCs/>
                <w:sz w:val="20"/>
                <w:szCs w:val="20"/>
                <w:vertAlign w:val="superscript"/>
              </w:rPr>
              <w:t>1</w:t>
            </w:r>
          </w:p>
        </w:tc>
        <w:tc>
          <w:tcPr>
            <w:tcW w:w="715" w:type="pct"/>
          </w:tcPr>
          <w:p w14:paraId="6ADF64A3" w14:textId="39B92E5E" w:rsidR="005C3683" w:rsidRPr="004C78D8" w:rsidRDefault="005C3683" w:rsidP="00FB7C1F">
            <w:pPr>
              <w:jc w:val="left"/>
              <w:rPr>
                <w:b/>
                <w:bCs/>
                <w:sz w:val="20"/>
                <w:szCs w:val="20"/>
              </w:rPr>
            </w:pPr>
            <w:r w:rsidRPr="004C78D8">
              <w:rPr>
                <w:b/>
                <w:bCs/>
                <w:sz w:val="20"/>
                <w:szCs w:val="20"/>
              </w:rPr>
              <w:t>Reference</w:t>
            </w:r>
          </w:p>
        </w:tc>
      </w:tr>
      <w:tr w:rsidR="008D4B9C" w:rsidRPr="004C78D8" w14:paraId="7EF17989" w14:textId="77777777" w:rsidTr="00E35893">
        <w:tc>
          <w:tcPr>
            <w:tcW w:w="5000" w:type="pct"/>
            <w:gridSpan w:val="4"/>
          </w:tcPr>
          <w:p w14:paraId="14F10FA2" w14:textId="47440F8F" w:rsidR="008D4B9C" w:rsidRPr="004C78D8" w:rsidRDefault="008D4B9C" w:rsidP="00FB7C1F">
            <w:pPr>
              <w:jc w:val="left"/>
              <w:rPr>
                <w:b/>
                <w:bCs/>
              </w:rPr>
            </w:pPr>
            <w:r w:rsidRPr="004C78D8">
              <w:rPr>
                <w:b/>
                <w:bCs/>
                <w:sz w:val="20"/>
                <w:szCs w:val="20"/>
              </w:rPr>
              <w:t xml:space="preserve">(1) </w:t>
            </w:r>
            <w:r w:rsidR="00EB64DD" w:rsidRPr="004C78D8">
              <w:rPr>
                <w:b/>
                <w:bCs/>
                <w:sz w:val="20"/>
                <w:szCs w:val="20"/>
              </w:rPr>
              <w:t>R</w:t>
            </w:r>
            <w:r w:rsidRPr="004C78D8">
              <w:rPr>
                <w:b/>
                <w:bCs/>
                <w:sz w:val="20"/>
                <w:szCs w:val="20"/>
              </w:rPr>
              <w:t>eferral to multidisciplinary falls clinic</w:t>
            </w:r>
            <w:r w:rsidR="00130F16" w:rsidRPr="004C78D8">
              <w:rPr>
                <w:b/>
                <w:bCs/>
                <w:sz w:val="20"/>
                <w:szCs w:val="20"/>
              </w:rPr>
              <w:t xml:space="preserve"> (2</w:t>
            </w:r>
            <w:r w:rsidR="00BD5765" w:rsidRPr="004C78D8">
              <w:rPr>
                <w:b/>
                <w:bCs/>
                <w:sz w:val="20"/>
                <w:szCs w:val="20"/>
              </w:rPr>
              <w:t>1</w:t>
            </w:r>
            <w:r w:rsidR="00130F16" w:rsidRPr="004C78D8">
              <w:rPr>
                <w:b/>
                <w:bCs/>
                <w:sz w:val="20"/>
                <w:szCs w:val="20"/>
              </w:rPr>
              <w:t>,000 clients</w:t>
            </w:r>
            <w:r w:rsidR="00E65D13" w:rsidRPr="004C78D8">
              <w:rPr>
                <w:b/>
                <w:bCs/>
                <w:sz w:val="20"/>
                <w:szCs w:val="20"/>
              </w:rPr>
              <w:t>; 3,000 per clinic</w:t>
            </w:r>
            <w:r w:rsidR="00D03A07" w:rsidRPr="004C78D8">
              <w:rPr>
                <w:b/>
                <w:bCs/>
                <w:sz w:val="20"/>
                <w:szCs w:val="20"/>
              </w:rPr>
              <w:t xml:space="preserve"> per year</w:t>
            </w:r>
            <w:r w:rsidR="00130F16" w:rsidRPr="004C78D8">
              <w:rPr>
                <w:b/>
                <w:bCs/>
                <w:sz w:val="20"/>
                <w:szCs w:val="20"/>
              </w:rPr>
              <w:t>)</w:t>
            </w:r>
          </w:p>
        </w:tc>
      </w:tr>
      <w:tr w:rsidR="005C3683" w:rsidRPr="004C78D8" w14:paraId="24971754" w14:textId="77777777" w:rsidTr="00E35893">
        <w:tc>
          <w:tcPr>
            <w:tcW w:w="843" w:type="pct"/>
            <w:vMerge w:val="restart"/>
          </w:tcPr>
          <w:p w14:paraId="14975F4B" w14:textId="11A05A8C" w:rsidR="005C3683" w:rsidRPr="004C78D8" w:rsidRDefault="005C3683" w:rsidP="00FB7C1F">
            <w:pPr>
              <w:jc w:val="left"/>
              <w:rPr>
                <w:sz w:val="18"/>
                <w:szCs w:val="18"/>
              </w:rPr>
            </w:pPr>
            <w:r w:rsidRPr="004C78D8">
              <w:rPr>
                <w:sz w:val="18"/>
                <w:szCs w:val="18"/>
              </w:rPr>
              <w:t>Risk screening and access</w:t>
            </w:r>
          </w:p>
        </w:tc>
        <w:tc>
          <w:tcPr>
            <w:tcW w:w="2101" w:type="pct"/>
            <w:tcBorders>
              <w:bottom w:val="nil"/>
            </w:tcBorders>
          </w:tcPr>
          <w:p w14:paraId="0E2F75AC" w14:textId="4A31D604" w:rsidR="005C3683" w:rsidRPr="004C78D8" w:rsidRDefault="005C3683" w:rsidP="00FB7C1F">
            <w:pPr>
              <w:jc w:val="left"/>
              <w:rPr>
                <w:sz w:val="18"/>
                <w:szCs w:val="18"/>
              </w:rPr>
            </w:pPr>
            <w:r w:rsidRPr="004C78D8">
              <w:rPr>
                <w:sz w:val="18"/>
                <w:szCs w:val="18"/>
              </w:rPr>
              <w:t>Reactive clients – A&amp;E record screening for eligibility and invitation by letter</w:t>
            </w:r>
            <w:r w:rsidR="004977AD" w:rsidRPr="004C78D8">
              <w:rPr>
                <w:sz w:val="18"/>
                <w:szCs w:val="18"/>
              </w:rPr>
              <w:t>/</w:t>
            </w:r>
            <w:r w:rsidRPr="004C78D8">
              <w:rPr>
                <w:sz w:val="18"/>
                <w:szCs w:val="18"/>
              </w:rPr>
              <w:t>phone</w:t>
            </w:r>
            <w:r w:rsidR="004977AD" w:rsidRPr="004C78D8">
              <w:rPr>
                <w:sz w:val="18"/>
                <w:szCs w:val="18"/>
                <w:vertAlign w:val="superscript"/>
              </w:rPr>
              <w:t>2</w:t>
            </w:r>
          </w:p>
        </w:tc>
        <w:tc>
          <w:tcPr>
            <w:tcW w:w="1341" w:type="pct"/>
            <w:tcBorders>
              <w:bottom w:val="nil"/>
            </w:tcBorders>
          </w:tcPr>
          <w:p w14:paraId="28B3BF49" w14:textId="75357CD8" w:rsidR="005C3683" w:rsidRPr="004C78D8" w:rsidRDefault="005C3683" w:rsidP="00FB7C1F">
            <w:pPr>
              <w:jc w:val="left"/>
              <w:rPr>
                <w:sz w:val="18"/>
                <w:szCs w:val="18"/>
              </w:rPr>
            </w:pPr>
            <w:r w:rsidRPr="004C78D8">
              <w:rPr>
                <w:sz w:val="18"/>
                <w:szCs w:val="18"/>
              </w:rPr>
              <w:t>£16.37 per client</w:t>
            </w:r>
          </w:p>
        </w:tc>
        <w:tc>
          <w:tcPr>
            <w:tcW w:w="715" w:type="pct"/>
            <w:tcBorders>
              <w:bottom w:val="nil"/>
            </w:tcBorders>
          </w:tcPr>
          <w:p w14:paraId="12BE2B7D" w14:textId="6A2CC9A5" w:rsidR="005C3683" w:rsidRPr="004C78D8" w:rsidRDefault="005C3683" w:rsidP="00FB7C1F">
            <w:pPr>
              <w:jc w:val="left"/>
              <w:rPr>
                <w:sz w:val="18"/>
                <w:szCs w:val="18"/>
              </w:rPr>
            </w:pPr>
            <w:r w:rsidRPr="004C78D8">
              <w:rPr>
                <w:sz w:val="18"/>
                <w:szCs w:val="18"/>
              </w:rPr>
              <w:fldChar w:fldCharType="begin"/>
            </w:r>
            <w:r w:rsidR="00513646" w:rsidRPr="004C78D8">
              <w:rPr>
                <w:sz w:val="18"/>
                <w:szCs w:val="18"/>
              </w:rPr>
              <w:instrText xml:space="preserve"> ADDIN EN.CITE &lt;EndNote&gt;&lt;Cite&gt;&lt;Author&gt;Day&lt;/Author&gt;&lt;Year&gt;2009&lt;/Year&gt;&lt;RecNum&gt;346&lt;/RecNum&gt;&lt;DisplayText&gt;[167]&lt;/DisplayText&gt;&lt;record&gt;&lt;rec-number&gt;346&lt;/rec-number&gt;&lt;foreign-keys&gt;&lt;key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4C78D8">
              <w:rPr>
                <w:sz w:val="18"/>
                <w:szCs w:val="18"/>
              </w:rPr>
              <w:fldChar w:fldCharType="separate"/>
            </w:r>
            <w:r w:rsidR="00513646" w:rsidRPr="004C78D8">
              <w:rPr>
                <w:noProof/>
                <w:sz w:val="18"/>
                <w:szCs w:val="18"/>
              </w:rPr>
              <w:t>[167]</w:t>
            </w:r>
            <w:r w:rsidRPr="004C78D8">
              <w:rPr>
                <w:sz w:val="18"/>
                <w:szCs w:val="18"/>
              </w:rPr>
              <w:fldChar w:fldCharType="end"/>
            </w:r>
          </w:p>
        </w:tc>
      </w:tr>
      <w:tr w:rsidR="005C3683" w:rsidRPr="004C78D8" w14:paraId="65431B2A" w14:textId="77777777" w:rsidTr="00E35893">
        <w:tc>
          <w:tcPr>
            <w:tcW w:w="843" w:type="pct"/>
            <w:vMerge/>
          </w:tcPr>
          <w:p w14:paraId="06C0DB7B" w14:textId="77777777" w:rsidR="005C3683" w:rsidRPr="004C78D8" w:rsidRDefault="005C3683" w:rsidP="00FB7C1F">
            <w:pPr>
              <w:jc w:val="left"/>
              <w:rPr>
                <w:sz w:val="18"/>
                <w:szCs w:val="18"/>
              </w:rPr>
            </w:pPr>
          </w:p>
        </w:tc>
        <w:tc>
          <w:tcPr>
            <w:tcW w:w="2101" w:type="pct"/>
            <w:tcBorders>
              <w:top w:val="nil"/>
              <w:bottom w:val="nil"/>
            </w:tcBorders>
          </w:tcPr>
          <w:p w14:paraId="2FB0B774" w14:textId="29327678" w:rsidR="005C3683" w:rsidRPr="004C78D8" w:rsidRDefault="005C3683" w:rsidP="00FB7C1F">
            <w:pPr>
              <w:jc w:val="left"/>
              <w:rPr>
                <w:sz w:val="18"/>
                <w:szCs w:val="18"/>
              </w:rPr>
            </w:pPr>
            <w:r w:rsidRPr="004C78D8">
              <w:rPr>
                <w:sz w:val="18"/>
                <w:szCs w:val="18"/>
              </w:rPr>
              <w:t>Proactive clients – TUG test set-up and staff time and training</w:t>
            </w:r>
            <w:r w:rsidR="000814BC" w:rsidRPr="004C78D8">
              <w:rPr>
                <w:sz w:val="18"/>
                <w:szCs w:val="18"/>
                <w:vertAlign w:val="superscript"/>
              </w:rPr>
              <w:t>3</w:t>
            </w:r>
          </w:p>
        </w:tc>
        <w:tc>
          <w:tcPr>
            <w:tcW w:w="1341" w:type="pct"/>
            <w:tcBorders>
              <w:top w:val="nil"/>
              <w:bottom w:val="nil"/>
            </w:tcBorders>
          </w:tcPr>
          <w:p w14:paraId="640CA9E1" w14:textId="29E0CA0E" w:rsidR="005C3683" w:rsidRPr="004C78D8" w:rsidRDefault="005C3683" w:rsidP="00FB7C1F">
            <w:pPr>
              <w:jc w:val="left"/>
              <w:rPr>
                <w:sz w:val="18"/>
                <w:szCs w:val="18"/>
              </w:rPr>
            </w:pPr>
            <w:r w:rsidRPr="004C78D8">
              <w:rPr>
                <w:sz w:val="18"/>
                <w:szCs w:val="18"/>
              </w:rPr>
              <w:t>£10.83 per client</w:t>
            </w:r>
          </w:p>
        </w:tc>
        <w:tc>
          <w:tcPr>
            <w:tcW w:w="715" w:type="pct"/>
            <w:tcBorders>
              <w:top w:val="nil"/>
              <w:bottom w:val="nil"/>
            </w:tcBorders>
          </w:tcPr>
          <w:p w14:paraId="54DE0A6F" w14:textId="3261F474" w:rsidR="005C3683" w:rsidRPr="004C78D8" w:rsidRDefault="00C651C3"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&lt;EndNote&gt;&lt;Cite&gt;&lt;Author&gt;Franklin&lt;/Author&gt;&lt;Year&gt;2019&lt;/Year&gt;&lt;RecNum&gt;395&lt;/RecNum&gt;&lt;DisplayText&gt;[363]&lt;/DisplayText&gt;&lt;record&gt;&lt;rec-number&gt;395&lt;/rec-number&gt;&lt;foreign-keys&gt;&lt;key app="EN" db-id="tdtrdw9aepptzbefsat599syza29sxsd2wsp" timestamp="1612694614"&gt;395&lt;/key&gt;&lt;/foreign-keys&gt;&lt;ref-type name="Journal Article"&gt;17&lt;/ref-type&gt;&lt;contributors&gt;&lt;authors&gt;&lt;author&gt;Franklin, Matthew&lt;/author&gt;&lt;author&gt;Hunter, Rachael Maree&lt;/author&gt;&lt;/authors&gt;&lt;/contributors&gt;&lt;titles&gt;&lt;title&gt;A modelling-based economic evaluation of primary-care-based fall-risk screening followed by fall-prevention intervention: a cohort-based Markov model stratified by older age groups&lt;/title&gt;&lt;secondary-title&gt;Age and ageing&lt;/secondary-title&gt;&lt;/titles&gt;&lt;periodical&gt;&lt;full-title&gt;Age and ageing&lt;/full-title&gt;&lt;/periodical&gt;&lt;dates&gt;&lt;year&gt;2019&lt;/year&gt;&lt;/dates&gt;&lt;urls&gt;&lt;/urls&gt;&lt;/record&gt;&lt;/Cite&gt;&lt;/EndNote&gt;</w:instrText>
            </w:r>
            <w:r w:rsidRPr="004C78D8">
              <w:rPr>
                <w:sz w:val="18"/>
                <w:szCs w:val="18"/>
              </w:rPr>
              <w:fldChar w:fldCharType="separate"/>
            </w:r>
            <w:r w:rsidR="00C630FC" w:rsidRPr="004C78D8">
              <w:rPr>
                <w:noProof/>
                <w:sz w:val="18"/>
                <w:szCs w:val="18"/>
              </w:rPr>
              <w:t>[363]</w:t>
            </w:r>
            <w:r w:rsidRPr="004C78D8">
              <w:rPr>
                <w:sz w:val="18"/>
                <w:szCs w:val="18"/>
              </w:rPr>
              <w:fldChar w:fldCharType="end"/>
            </w:r>
          </w:p>
        </w:tc>
      </w:tr>
      <w:tr w:rsidR="005C3683" w:rsidRPr="004C78D8" w14:paraId="1397EB5B" w14:textId="77777777" w:rsidTr="00E35893">
        <w:tc>
          <w:tcPr>
            <w:tcW w:w="843" w:type="pct"/>
            <w:vMerge/>
          </w:tcPr>
          <w:p w14:paraId="6A86BC56" w14:textId="77777777" w:rsidR="005C3683" w:rsidRPr="004C78D8" w:rsidRDefault="005C3683" w:rsidP="00FB7C1F">
            <w:pPr>
              <w:jc w:val="left"/>
              <w:rPr>
                <w:sz w:val="18"/>
                <w:szCs w:val="18"/>
              </w:rPr>
            </w:pPr>
          </w:p>
        </w:tc>
        <w:tc>
          <w:tcPr>
            <w:tcW w:w="2101" w:type="pct"/>
            <w:tcBorders>
              <w:top w:val="nil"/>
              <w:bottom w:val="nil"/>
            </w:tcBorders>
          </w:tcPr>
          <w:p w14:paraId="4DF411B3" w14:textId="3DB9FF6B" w:rsidR="005C3683" w:rsidRPr="004C78D8" w:rsidRDefault="005C3683" w:rsidP="00FB7C1F">
            <w:pPr>
              <w:jc w:val="left"/>
              <w:rPr>
                <w:sz w:val="18"/>
                <w:szCs w:val="18"/>
              </w:rPr>
            </w:pPr>
            <w:r w:rsidRPr="004C78D8">
              <w:rPr>
                <w:sz w:val="18"/>
                <w:szCs w:val="18"/>
              </w:rPr>
              <w:t>Bi-disciplinary assessment for 25% of cognitively intact reactive clients (</w:t>
            </w:r>
            <w:r w:rsidR="00AA6AA4" w:rsidRPr="004C78D8">
              <w:rPr>
                <w:sz w:val="18"/>
                <w:szCs w:val="18"/>
              </w:rPr>
              <w:t>n=</w:t>
            </w:r>
            <w:r w:rsidRPr="004C78D8">
              <w:rPr>
                <w:sz w:val="18"/>
                <w:szCs w:val="18"/>
              </w:rPr>
              <w:t>903)</w:t>
            </w:r>
          </w:p>
        </w:tc>
        <w:tc>
          <w:tcPr>
            <w:tcW w:w="1341" w:type="pct"/>
            <w:tcBorders>
              <w:top w:val="nil"/>
              <w:bottom w:val="nil"/>
            </w:tcBorders>
          </w:tcPr>
          <w:p w14:paraId="6E70C0C9" w14:textId="51B4264C" w:rsidR="005C3683" w:rsidRPr="004C78D8" w:rsidRDefault="005C3683" w:rsidP="00FB7C1F">
            <w:pPr>
              <w:jc w:val="left"/>
              <w:rPr>
                <w:sz w:val="18"/>
                <w:szCs w:val="18"/>
              </w:rPr>
            </w:pPr>
            <w:r w:rsidRPr="004C78D8">
              <w:rPr>
                <w:sz w:val="18"/>
                <w:szCs w:val="18"/>
              </w:rPr>
              <w:t>£121.46 per client</w:t>
            </w:r>
          </w:p>
        </w:tc>
        <w:tc>
          <w:tcPr>
            <w:tcW w:w="715" w:type="pct"/>
            <w:tcBorders>
              <w:top w:val="nil"/>
              <w:bottom w:val="nil"/>
            </w:tcBorders>
          </w:tcPr>
          <w:p w14:paraId="76A0D853" w14:textId="3EF56035" w:rsidR="005C3683" w:rsidRPr="004C78D8" w:rsidRDefault="005C3683" w:rsidP="00FB7C1F">
            <w:pPr>
              <w:jc w:val="left"/>
              <w:rPr>
                <w:sz w:val="18"/>
                <w:szCs w:val="18"/>
              </w:rPr>
            </w:pPr>
            <w:r w:rsidRPr="004C78D8">
              <w:rPr>
                <w:sz w:val="18"/>
                <w:szCs w:val="18"/>
              </w:rPr>
              <w:fldChar w:fldCharType="begin"/>
            </w:r>
            <w:r w:rsidR="00513646" w:rsidRPr="004C78D8">
              <w:rPr>
                <w:sz w:val="18"/>
                <w:szCs w:val="18"/>
              </w:rPr>
              <w:instrText xml:space="preserve"> ADDIN EN.CITE &lt;EndNote&gt;&lt;Cite&gt;&lt;Author&gt;Day&lt;/Author&gt;&lt;Year&gt;2009&lt;/Year&gt;&lt;RecNum&gt;346&lt;/RecNum&gt;&lt;DisplayText&gt;[167]&lt;/DisplayText&gt;&lt;record&gt;&lt;rec-number&gt;346&lt;/rec-number&gt;&lt;foreign-keys&gt;&lt;key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4C78D8">
              <w:rPr>
                <w:sz w:val="18"/>
                <w:szCs w:val="18"/>
              </w:rPr>
              <w:fldChar w:fldCharType="separate"/>
            </w:r>
            <w:r w:rsidR="00513646" w:rsidRPr="004C78D8">
              <w:rPr>
                <w:noProof/>
                <w:sz w:val="18"/>
                <w:szCs w:val="18"/>
              </w:rPr>
              <w:t>[167]</w:t>
            </w:r>
            <w:r w:rsidRPr="004C78D8">
              <w:rPr>
                <w:sz w:val="18"/>
                <w:szCs w:val="18"/>
              </w:rPr>
              <w:fldChar w:fldCharType="end"/>
            </w:r>
          </w:p>
        </w:tc>
      </w:tr>
      <w:tr w:rsidR="001E58E6" w:rsidRPr="004C78D8" w14:paraId="1279787D" w14:textId="77777777" w:rsidTr="00E35893">
        <w:tc>
          <w:tcPr>
            <w:tcW w:w="843" w:type="pct"/>
            <w:vMerge w:val="restart"/>
          </w:tcPr>
          <w:p w14:paraId="417D2D34" w14:textId="4F58BE3D" w:rsidR="001E58E6" w:rsidRPr="004C78D8" w:rsidRDefault="001E58E6" w:rsidP="00FB7C1F">
            <w:pPr>
              <w:jc w:val="left"/>
              <w:rPr>
                <w:sz w:val="18"/>
                <w:szCs w:val="18"/>
              </w:rPr>
            </w:pPr>
            <w:r w:rsidRPr="004C78D8">
              <w:rPr>
                <w:sz w:val="18"/>
                <w:szCs w:val="18"/>
              </w:rPr>
              <w:t>Falls clinic operation</w:t>
            </w:r>
          </w:p>
        </w:tc>
        <w:tc>
          <w:tcPr>
            <w:tcW w:w="2101" w:type="pct"/>
            <w:tcBorders>
              <w:bottom w:val="nil"/>
            </w:tcBorders>
          </w:tcPr>
          <w:p w14:paraId="7A3BF94E" w14:textId="5A7147F3" w:rsidR="001E58E6" w:rsidRPr="004C78D8" w:rsidRDefault="005157CB" w:rsidP="00FB7C1F">
            <w:pPr>
              <w:jc w:val="left"/>
              <w:rPr>
                <w:sz w:val="18"/>
                <w:szCs w:val="18"/>
              </w:rPr>
            </w:pPr>
            <w:r w:rsidRPr="004C78D8">
              <w:rPr>
                <w:sz w:val="18"/>
                <w:szCs w:val="18"/>
              </w:rPr>
              <w:t xml:space="preserve">1 </w:t>
            </w:r>
            <w:r w:rsidR="001E58E6" w:rsidRPr="004C78D8">
              <w:rPr>
                <w:sz w:val="18"/>
                <w:szCs w:val="18"/>
              </w:rPr>
              <w:t>falls specialist geriatrician (medical consultants) – salary &amp; oncosts</w:t>
            </w:r>
          </w:p>
        </w:tc>
        <w:tc>
          <w:tcPr>
            <w:tcW w:w="1341" w:type="pct"/>
            <w:tcBorders>
              <w:bottom w:val="nil"/>
            </w:tcBorders>
          </w:tcPr>
          <w:p w14:paraId="2CFF483F" w14:textId="277B3C8C" w:rsidR="001E58E6" w:rsidRPr="004C78D8" w:rsidRDefault="001E58E6" w:rsidP="00FB7C1F">
            <w:pPr>
              <w:jc w:val="left"/>
              <w:rPr>
                <w:sz w:val="18"/>
                <w:szCs w:val="18"/>
              </w:rPr>
            </w:pPr>
            <w:r w:rsidRPr="004C78D8">
              <w:rPr>
                <w:sz w:val="18"/>
                <w:szCs w:val="18"/>
              </w:rPr>
              <w:t>£121,393 annual fixed</w:t>
            </w:r>
          </w:p>
        </w:tc>
        <w:tc>
          <w:tcPr>
            <w:tcW w:w="715" w:type="pct"/>
            <w:tcBorders>
              <w:bottom w:val="nil"/>
            </w:tcBorders>
          </w:tcPr>
          <w:p w14:paraId="248C6C3A" w14:textId="4EC7E79E" w:rsidR="001E58E6" w:rsidRPr="004C78D8" w:rsidRDefault="001E58E6"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&lt;EndNote&gt;&lt;Cite&gt;&lt;Author&gt;Curtis&lt;/Author&gt;&lt;Year&gt;2019&lt;/Year&gt;&lt;RecNum&gt;135&lt;/RecNum&gt;&lt;DisplayText&gt;[401]&lt;/DisplayText&gt;&lt;record&gt;&lt;rec-number&gt;135&lt;/rec-number&gt;&lt;foreign-keys&gt;&lt;key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Pr="004C78D8">
              <w:rPr>
                <w:sz w:val="18"/>
                <w:szCs w:val="18"/>
              </w:rPr>
              <w:fldChar w:fldCharType="separate"/>
            </w:r>
            <w:r w:rsidR="00C630FC" w:rsidRPr="004C78D8">
              <w:rPr>
                <w:noProof/>
                <w:sz w:val="18"/>
                <w:szCs w:val="18"/>
              </w:rPr>
              <w:t>[401]</w:t>
            </w:r>
            <w:r w:rsidRPr="004C78D8">
              <w:rPr>
                <w:sz w:val="18"/>
                <w:szCs w:val="18"/>
              </w:rPr>
              <w:fldChar w:fldCharType="end"/>
            </w:r>
          </w:p>
        </w:tc>
      </w:tr>
      <w:tr w:rsidR="001E58E6" w:rsidRPr="004C78D8" w14:paraId="576C80F0" w14:textId="77777777" w:rsidTr="00E35893">
        <w:tc>
          <w:tcPr>
            <w:tcW w:w="843" w:type="pct"/>
            <w:vMerge/>
          </w:tcPr>
          <w:p w14:paraId="668F36A3" w14:textId="77777777" w:rsidR="001E58E6" w:rsidRPr="004C78D8" w:rsidRDefault="001E58E6" w:rsidP="00FB7C1F">
            <w:pPr>
              <w:jc w:val="left"/>
              <w:rPr>
                <w:sz w:val="18"/>
                <w:szCs w:val="18"/>
              </w:rPr>
            </w:pPr>
          </w:p>
        </w:tc>
        <w:tc>
          <w:tcPr>
            <w:tcW w:w="2101" w:type="pct"/>
            <w:tcBorders>
              <w:top w:val="nil"/>
              <w:bottom w:val="nil"/>
            </w:tcBorders>
          </w:tcPr>
          <w:p w14:paraId="1F30037A" w14:textId="304628E0" w:rsidR="001E58E6" w:rsidRPr="004C78D8" w:rsidRDefault="001E58E6" w:rsidP="00FB7C1F">
            <w:pPr>
              <w:jc w:val="left"/>
              <w:rPr>
                <w:sz w:val="18"/>
                <w:szCs w:val="18"/>
              </w:rPr>
            </w:pPr>
            <w:r w:rsidRPr="004C78D8">
              <w:rPr>
                <w:sz w:val="18"/>
                <w:szCs w:val="18"/>
              </w:rPr>
              <w:t>2 registrars – salary &amp; oncosts</w:t>
            </w:r>
          </w:p>
        </w:tc>
        <w:tc>
          <w:tcPr>
            <w:tcW w:w="1341" w:type="pct"/>
            <w:tcBorders>
              <w:top w:val="nil"/>
              <w:bottom w:val="nil"/>
            </w:tcBorders>
          </w:tcPr>
          <w:p w14:paraId="4314DAED" w14:textId="397F35A4" w:rsidR="001E58E6" w:rsidRPr="004C78D8" w:rsidRDefault="001E58E6" w:rsidP="00FB7C1F">
            <w:pPr>
              <w:jc w:val="left"/>
              <w:rPr>
                <w:sz w:val="18"/>
                <w:szCs w:val="18"/>
              </w:rPr>
            </w:pPr>
            <w:r w:rsidRPr="004C78D8">
              <w:rPr>
                <w:sz w:val="18"/>
                <w:szCs w:val="18"/>
              </w:rPr>
              <w:t>£112,644 annual fixed</w:t>
            </w:r>
          </w:p>
        </w:tc>
        <w:tc>
          <w:tcPr>
            <w:tcW w:w="715" w:type="pct"/>
            <w:tcBorders>
              <w:top w:val="nil"/>
              <w:bottom w:val="nil"/>
            </w:tcBorders>
          </w:tcPr>
          <w:p w14:paraId="3DA8AA7A" w14:textId="30FC4680" w:rsidR="001E58E6" w:rsidRPr="004C78D8" w:rsidRDefault="001E58E6"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&lt;EndNote&gt;&lt;Cite&gt;&lt;Author&gt;Curtis&lt;/Author&gt;&lt;Year&gt;2019&lt;/Year&gt;&lt;RecNum&gt;135&lt;/RecNum&gt;&lt;DisplayText&gt;[401]&lt;/DisplayText&gt;&lt;record&gt;&lt;rec-number&gt;135&lt;/rec-number&gt;&lt;foreign-keys&gt;&lt;key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Pr="004C78D8">
              <w:rPr>
                <w:sz w:val="18"/>
                <w:szCs w:val="18"/>
              </w:rPr>
              <w:fldChar w:fldCharType="separate"/>
            </w:r>
            <w:r w:rsidR="00C630FC" w:rsidRPr="004C78D8">
              <w:rPr>
                <w:noProof/>
                <w:sz w:val="18"/>
                <w:szCs w:val="18"/>
              </w:rPr>
              <w:t>[401]</w:t>
            </w:r>
            <w:r w:rsidRPr="004C78D8">
              <w:rPr>
                <w:sz w:val="18"/>
                <w:szCs w:val="18"/>
              </w:rPr>
              <w:fldChar w:fldCharType="end"/>
            </w:r>
          </w:p>
        </w:tc>
      </w:tr>
      <w:tr w:rsidR="001E58E6" w:rsidRPr="004C78D8" w14:paraId="68C00EF9" w14:textId="77777777" w:rsidTr="00E35893">
        <w:tc>
          <w:tcPr>
            <w:tcW w:w="843" w:type="pct"/>
            <w:vMerge/>
          </w:tcPr>
          <w:p w14:paraId="09A15E8D" w14:textId="77777777" w:rsidR="001E58E6" w:rsidRPr="004C78D8" w:rsidRDefault="001E58E6" w:rsidP="00FB7C1F">
            <w:pPr>
              <w:jc w:val="left"/>
              <w:rPr>
                <w:sz w:val="18"/>
                <w:szCs w:val="18"/>
              </w:rPr>
            </w:pPr>
          </w:p>
        </w:tc>
        <w:tc>
          <w:tcPr>
            <w:tcW w:w="2101" w:type="pct"/>
            <w:tcBorders>
              <w:top w:val="nil"/>
              <w:bottom w:val="nil"/>
            </w:tcBorders>
          </w:tcPr>
          <w:p w14:paraId="0EB4FCE0" w14:textId="6A1DCEE4" w:rsidR="001E58E6" w:rsidRPr="004C78D8" w:rsidRDefault="001E58E6" w:rsidP="00FB7C1F">
            <w:pPr>
              <w:jc w:val="left"/>
              <w:rPr>
                <w:sz w:val="18"/>
                <w:szCs w:val="18"/>
              </w:rPr>
            </w:pPr>
            <w:r w:rsidRPr="004C78D8">
              <w:rPr>
                <w:sz w:val="18"/>
                <w:szCs w:val="18"/>
              </w:rPr>
              <w:t>2 PTs (band 6 &amp; 7) – salary &amp; oncosts</w:t>
            </w:r>
          </w:p>
        </w:tc>
        <w:tc>
          <w:tcPr>
            <w:tcW w:w="1341" w:type="pct"/>
            <w:tcBorders>
              <w:top w:val="nil"/>
              <w:bottom w:val="nil"/>
            </w:tcBorders>
          </w:tcPr>
          <w:p w14:paraId="61A5078E" w14:textId="203E2C89" w:rsidR="001E58E6" w:rsidRPr="004C78D8" w:rsidRDefault="001E58E6" w:rsidP="00FB7C1F">
            <w:pPr>
              <w:jc w:val="left"/>
              <w:rPr>
                <w:sz w:val="18"/>
                <w:szCs w:val="18"/>
              </w:rPr>
            </w:pPr>
            <w:r w:rsidRPr="004C78D8">
              <w:rPr>
                <w:sz w:val="18"/>
                <w:szCs w:val="18"/>
              </w:rPr>
              <w:t>£94,906 annual fixed</w:t>
            </w:r>
          </w:p>
        </w:tc>
        <w:tc>
          <w:tcPr>
            <w:tcW w:w="715" w:type="pct"/>
            <w:tcBorders>
              <w:top w:val="nil"/>
              <w:bottom w:val="nil"/>
            </w:tcBorders>
          </w:tcPr>
          <w:p w14:paraId="078A8940" w14:textId="0AF88466" w:rsidR="001E58E6" w:rsidRPr="004C78D8" w:rsidRDefault="001E58E6"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&lt;EndNote&gt;&lt;Cite&gt;&lt;Author&gt;Curtis&lt;/Author&gt;&lt;Year&gt;2019&lt;/Year&gt;&lt;RecNum&gt;135&lt;/RecNum&gt;&lt;DisplayText&gt;[401]&lt;/DisplayText&gt;&lt;record&gt;&lt;rec-number&gt;135&lt;/rec-number&gt;&lt;foreign-keys&gt;&lt;key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Pr="004C78D8">
              <w:rPr>
                <w:sz w:val="18"/>
                <w:szCs w:val="18"/>
              </w:rPr>
              <w:fldChar w:fldCharType="separate"/>
            </w:r>
            <w:r w:rsidR="00C630FC" w:rsidRPr="004C78D8">
              <w:rPr>
                <w:noProof/>
                <w:sz w:val="18"/>
                <w:szCs w:val="18"/>
              </w:rPr>
              <w:t>[401]</w:t>
            </w:r>
            <w:r w:rsidRPr="004C78D8">
              <w:rPr>
                <w:sz w:val="18"/>
                <w:szCs w:val="18"/>
              </w:rPr>
              <w:fldChar w:fldCharType="end"/>
            </w:r>
          </w:p>
        </w:tc>
      </w:tr>
      <w:tr w:rsidR="001E58E6" w:rsidRPr="004C78D8" w14:paraId="62248D04" w14:textId="77777777" w:rsidTr="00E35893">
        <w:tc>
          <w:tcPr>
            <w:tcW w:w="843" w:type="pct"/>
            <w:vMerge/>
          </w:tcPr>
          <w:p w14:paraId="792A3EF3" w14:textId="77777777" w:rsidR="001E58E6" w:rsidRPr="004C78D8" w:rsidRDefault="001E58E6" w:rsidP="00FB7C1F">
            <w:pPr>
              <w:jc w:val="left"/>
              <w:rPr>
                <w:sz w:val="18"/>
                <w:szCs w:val="18"/>
              </w:rPr>
            </w:pPr>
          </w:p>
        </w:tc>
        <w:tc>
          <w:tcPr>
            <w:tcW w:w="2101" w:type="pct"/>
            <w:tcBorders>
              <w:top w:val="nil"/>
              <w:bottom w:val="nil"/>
            </w:tcBorders>
          </w:tcPr>
          <w:p w14:paraId="64BDE397" w14:textId="55C79230" w:rsidR="001E58E6" w:rsidRPr="004C78D8" w:rsidRDefault="001E58E6" w:rsidP="00FB7C1F">
            <w:pPr>
              <w:jc w:val="left"/>
              <w:rPr>
                <w:sz w:val="18"/>
                <w:szCs w:val="18"/>
              </w:rPr>
            </w:pPr>
            <w:r w:rsidRPr="004C78D8">
              <w:rPr>
                <w:sz w:val="18"/>
                <w:szCs w:val="18"/>
              </w:rPr>
              <w:t>2 OTs (band 6 &amp; 7) – salary &amp; oncosts</w:t>
            </w:r>
          </w:p>
        </w:tc>
        <w:tc>
          <w:tcPr>
            <w:tcW w:w="1341" w:type="pct"/>
            <w:tcBorders>
              <w:top w:val="nil"/>
              <w:bottom w:val="nil"/>
            </w:tcBorders>
          </w:tcPr>
          <w:p w14:paraId="41DBBB1F" w14:textId="73FFF1F9" w:rsidR="001E58E6" w:rsidRPr="004C78D8" w:rsidRDefault="001E58E6" w:rsidP="00FB7C1F">
            <w:pPr>
              <w:jc w:val="left"/>
              <w:rPr>
                <w:sz w:val="18"/>
                <w:szCs w:val="18"/>
              </w:rPr>
            </w:pPr>
            <w:r w:rsidRPr="004C78D8">
              <w:rPr>
                <w:sz w:val="18"/>
                <w:szCs w:val="18"/>
              </w:rPr>
              <w:t>£94,906 annual fixed</w:t>
            </w:r>
          </w:p>
        </w:tc>
        <w:tc>
          <w:tcPr>
            <w:tcW w:w="715" w:type="pct"/>
            <w:tcBorders>
              <w:top w:val="nil"/>
              <w:bottom w:val="nil"/>
            </w:tcBorders>
          </w:tcPr>
          <w:p w14:paraId="64F9E71F" w14:textId="35A1087E" w:rsidR="001E58E6" w:rsidRPr="004C78D8" w:rsidRDefault="001E58E6"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&lt;EndNote&gt;&lt;Cite&gt;&lt;Author&gt;Curtis&lt;/Author&gt;&lt;Year&gt;2019&lt;/Year&gt;&lt;RecNum&gt;135&lt;/RecNum&gt;&lt;DisplayText&gt;[401]&lt;/DisplayText&gt;&lt;record&gt;&lt;rec-number&gt;135&lt;/rec-number&gt;&lt;foreign-keys&gt;&lt;key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Pr="004C78D8">
              <w:rPr>
                <w:sz w:val="18"/>
                <w:szCs w:val="18"/>
              </w:rPr>
              <w:fldChar w:fldCharType="separate"/>
            </w:r>
            <w:r w:rsidR="00C630FC" w:rsidRPr="004C78D8">
              <w:rPr>
                <w:noProof/>
                <w:sz w:val="18"/>
                <w:szCs w:val="18"/>
              </w:rPr>
              <w:t>[401]</w:t>
            </w:r>
            <w:r w:rsidRPr="004C78D8">
              <w:rPr>
                <w:sz w:val="18"/>
                <w:szCs w:val="18"/>
              </w:rPr>
              <w:fldChar w:fldCharType="end"/>
            </w:r>
          </w:p>
        </w:tc>
      </w:tr>
      <w:tr w:rsidR="001E58E6" w:rsidRPr="004C78D8" w14:paraId="59E432F4" w14:textId="77777777" w:rsidTr="00E35893">
        <w:tc>
          <w:tcPr>
            <w:tcW w:w="843" w:type="pct"/>
            <w:vMerge/>
          </w:tcPr>
          <w:p w14:paraId="78CF1179" w14:textId="77777777" w:rsidR="001E58E6" w:rsidRPr="004C78D8" w:rsidRDefault="001E58E6" w:rsidP="00FB7C1F">
            <w:pPr>
              <w:jc w:val="left"/>
              <w:rPr>
                <w:sz w:val="18"/>
                <w:szCs w:val="18"/>
              </w:rPr>
            </w:pPr>
          </w:p>
        </w:tc>
        <w:tc>
          <w:tcPr>
            <w:tcW w:w="2101" w:type="pct"/>
            <w:tcBorders>
              <w:top w:val="nil"/>
              <w:bottom w:val="nil"/>
            </w:tcBorders>
          </w:tcPr>
          <w:p w14:paraId="3ADE4CC3" w14:textId="3289788A" w:rsidR="001E58E6" w:rsidRPr="004C78D8" w:rsidRDefault="005157CB" w:rsidP="00FB7C1F">
            <w:pPr>
              <w:jc w:val="left"/>
              <w:rPr>
                <w:sz w:val="18"/>
                <w:szCs w:val="18"/>
              </w:rPr>
            </w:pPr>
            <w:r w:rsidRPr="004C78D8">
              <w:rPr>
                <w:sz w:val="18"/>
                <w:szCs w:val="18"/>
              </w:rPr>
              <w:t xml:space="preserve">2 </w:t>
            </w:r>
            <w:r w:rsidR="001E58E6" w:rsidRPr="004C78D8">
              <w:rPr>
                <w:sz w:val="18"/>
                <w:szCs w:val="18"/>
              </w:rPr>
              <w:t>PT assistants (band 4) – salary &amp; oncosts</w:t>
            </w:r>
          </w:p>
        </w:tc>
        <w:tc>
          <w:tcPr>
            <w:tcW w:w="1341" w:type="pct"/>
            <w:tcBorders>
              <w:top w:val="nil"/>
              <w:bottom w:val="nil"/>
            </w:tcBorders>
          </w:tcPr>
          <w:p w14:paraId="7E1F7E80" w14:textId="4AF51C50" w:rsidR="001E58E6" w:rsidRPr="004C78D8" w:rsidRDefault="001E58E6" w:rsidP="00FB7C1F">
            <w:pPr>
              <w:jc w:val="left"/>
              <w:rPr>
                <w:sz w:val="18"/>
                <w:szCs w:val="18"/>
              </w:rPr>
            </w:pPr>
            <w:r w:rsidRPr="004C78D8">
              <w:rPr>
                <w:sz w:val="18"/>
                <w:szCs w:val="18"/>
              </w:rPr>
              <w:t>£56,919 annual fixed</w:t>
            </w:r>
          </w:p>
        </w:tc>
        <w:tc>
          <w:tcPr>
            <w:tcW w:w="715" w:type="pct"/>
            <w:tcBorders>
              <w:top w:val="nil"/>
              <w:bottom w:val="nil"/>
            </w:tcBorders>
          </w:tcPr>
          <w:p w14:paraId="429E9C6F" w14:textId="54C3F194" w:rsidR="001E58E6" w:rsidRPr="004C78D8" w:rsidRDefault="001E58E6"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&lt;EndNote&gt;&lt;Cite&gt;&lt;Author&gt;Curtis&lt;/Author&gt;&lt;Year&gt;2019&lt;/Year&gt;&lt;RecNum&gt;135&lt;/RecNum&gt;&lt;DisplayText&gt;[401]&lt;/DisplayText&gt;&lt;record&gt;&lt;rec-number&gt;135&lt;/rec-number&gt;&lt;foreign-keys&gt;&lt;key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Pr="004C78D8">
              <w:rPr>
                <w:sz w:val="18"/>
                <w:szCs w:val="18"/>
              </w:rPr>
              <w:fldChar w:fldCharType="separate"/>
            </w:r>
            <w:r w:rsidR="00C630FC" w:rsidRPr="004C78D8">
              <w:rPr>
                <w:noProof/>
                <w:sz w:val="18"/>
                <w:szCs w:val="18"/>
              </w:rPr>
              <w:t>[401]</w:t>
            </w:r>
            <w:r w:rsidRPr="004C78D8">
              <w:rPr>
                <w:sz w:val="18"/>
                <w:szCs w:val="18"/>
              </w:rPr>
              <w:fldChar w:fldCharType="end"/>
            </w:r>
          </w:p>
        </w:tc>
      </w:tr>
      <w:tr w:rsidR="001E58E6" w:rsidRPr="004C78D8" w14:paraId="694FE5A4" w14:textId="77777777" w:rsidTr="00E35893">
        <w:tc>
          <w:tcPr>
            <w:tcW w:w="843" w:type="pct"/>
            <w:vMerge/>
          </w:tcPr>
          <w:p w14:paraId="53259E6A" w14:textId="77777777" w:rsidR="001E58E6" w:rsidRPr="004C78D8" w:rsidRDefault="001E58E6" w:rsidP="00FB7C1F">
            <w:pPr>
              <w:jc w:val="left"/>
              <w:rPr>
                <w:sz w:val="18"/>
                <w:szCs w:val="18"/>
              </w:rPr>
            </w:pPr>
          </w:p>
        </w:tc>
        <w:tc>
          <w:tcPr>
            <w:tcW w:w="2101" w:type="pct"/>
            <w:tcBorders>
              <w:top w:val="nil"/>
              <w:bottom w:val="nil"/>
            </w:tcBorders>
          </w:tcPr>
          <w:p w14:paraId="653B2A96" w14:textId="75819937" w:rsidR="001E58E6" w:rsidRPr="004C78D8" w:rsidRDefault="005157CB" w:rsidP="00FB7C1F">
            <w:pPr>
              <w:jc w:val="left"/>
              <w:rPr>
                <w:sz w:val="18"/>
                <w:szCs w:val="18"/>
              </w:rPr>
            </w:pPr>
            <w:r w:rsidRPr="004C78D8">
              <w:rPr>
                <w:sz w:val="18"/>
                <w:szCs w:val="18"/>
              </w:rPr>
              <w:t xml:space="preserve">2 </w:t>
            </w:r>
            <w:r w:rsidR="001E58E6" w:rsidRPr="004C78D8">
              <w:rPr>
                <w:sz w:val="18"/>
                <w:szCs w:val="18"/>
              </w:rPr>
              <w:t>OT assistants (band 4) – salary &amp; oncosts</w:t>
            </w:r>
          </w:p>
        </w:tc>
        <w:tc>
          <w:tcPr>
            <w:tcW w:w="1341" w:type="pct"/>
            <w:tcBorders>
              <w:top w:val="nil"/>
              <w:bottom w:val="nil"/>
            </w:tcBorders>
          </w:tcPr>
          <w:p w14:paraId="048F192D" w14:textId="57714594" w:rsidR="001E58E6" w:rsidRPr="004C78D8" w:rsidRDefault="001E58E6" w:rsidP="00FB7C1F">
            <w:pPr>
              <w:jc w:val="left"/>
              <w:rPr>
                <w:sz w:val="18"/>
                <w:szCs w:val="18"/>
              </w:rPr>
            </w:pPr>
            <w:r w:rsidRPr="004C78D8">
              <w:rPr>
                <w:sz w:val="18"/>
                <w:szCs w:val="18"/>
              </w:rPr>
              <w:t>£56,919 annual fixed</w:t>
            </w:r>
          </w:p>
        </w:tc>
        <w:tc>
          <w:tcPr>
            <w:tcW w:w="715" w:type="pct"/>
            <w:tcBorders>
              <w:top w:val="nil"/>
              <w:bottom w:val="nil"/>
            </w:tcBorders>
          </w:tcPr>
          <w:p w14:paraId="3946B9BA" w14:textId="6433F4AE" w:rsidR="001E58E6" w:rsidRPr="004C78D8" w:rsidRDefault="001E58E6"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&lt;EndNote&gt;&lt;Cite&gt;&lt;Author&gt;Curtis&lt;/Author&gt;&lt;Year&gt;2019&lt;/Year&gt;&lt;RecNum&gt;135&lt;/RecNum&gt;&lt;DisplayText&gt;[401]&lt;/DisplayText&gt;&lt;record&gt;&lt;rec-number&gt;135&lt;/rec-number&gt;&lt;foreign-keys&gt;&lt;key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Pr="004C78D8">
              <w:rPr>
                <w:sz w:val="18"/>
                <w:szCs w:val="18"/>
              </w:rPr>
              <w:fldChar w:fldCharType="separate"/>
            </w:r>
            <w:r w:rsidR="00C630FC" w:rsidRPr="004C78D8">
              <w:rPr>
                <w:noProof/>
                <w:sz w:val="18"/>
                <w:szCs w:val="18"/>
              </w:rPr>
              <w:t>[401]</w:t>
            </w:r>
            <w:r w:rsidRPr="004C78D8">
              <w:rPr>
                <w:sz w:val="18"/>
                <w:szCs w:val="18"/>
              </w:rPr>
              <w:fldChar w:fldCharType="end"/>
            </w:r>
          </w:p>
        </w:tc>
      </w:tr>
      <w:tr w:rsidR="001E58E6" w:rsidRPr="004C78D8" w14:paraId="1E237159" w14:textId="77777777" w:rsidTr="00E35893">
        <w:tc>
          <w:tcPr>
            <w:tcW w:w="843" w:type="pct"/>
            <w:vMerge/>
          </w:tcPr>
          <w:p w14:paraId="70E3EBDD" w14:textId="77777777" w:rsidR="001E58E6" w:rsidRPr="004C78D8" w:rsidRDefault="001E58E6" w:rsidP="00FB7C1F">
            <w:pPr>
              <w:jc w:val="left"/>
              <w:rPr>
                <w:sz w:val="18"/>
                <w:szCs w:val="18"/>
              </w:rPr>
            </w:pPr>
          </w:p>
        </w:tc>
        <w:tc>
          <w:tcPr>
            <w:tcW w:w="2101" w:type="pct"/>
            <w:tcBorders>
              <w:top w:val="nil"/>
              <w:bottom w:val="nil"/>
            </w:tcBorders>
          </w:tcPr>
          <w:p w14:paraId="72DC7A56" w14:textId="241F2583" w:rsidR="001E58E6" w:rsidRPr="004C78D8" w:rsidRDefault="001E58E6" w:rsidP="00FB7C1F">
            <w:pPr>
              <w:jc w:val="left"/>
              <w:rPr>
                <w:sz w:val="18"/>
                <w:szCs w:val="18"/>
              </w:rPr>
            </w:pPr>
            <w:r w:rsidRPr="004C78D8">
              <w:rPr>
                <w:sz w:val="18"/>
                <w:szCs w:val="18"/>
              </w:rPr>
              <w:t>3 nurses (band 4) – salary &amp; oncosts</w:t>
            </w:r>
          </w:p>
        </w:tc>
        <w:tc>
          <w:tcPr>
            <w:tcW w:w="1341" w:type="pct"/>
            <w:tcBorders>
              <w:top w:val="nil"/>
              <w:bottom w:val="nil"/>
            </w:tcBorders>
          </w:tcPr>
          <w:p w14:paraId="4750DD8E" w14:textId="70907865" w:rsidR="001E58E6" w:rsidRPr="004C78D8" w:rsidRDefault="001E58E6" w:rsidP="00FB7C1F">
            <w:pPr>
              <w:jc w:val="left"/>
              <w:rPr>
                <w:sz w:val="18"/>
                <w:szCs w:val="18"/>
              </w:rPr>
            </w:pPr>
            <w:r w:rsidRPr="004C78D8">
              <w:rPr>
                <w:sz w:val="18"/>
                <w:szCs w:val="18"/>
              </w:rPr>
              <w:t>£75,834 annual fixed</w:t>
            </w:r>
          </w:p>
        </w:tc>
        <w:tc>
          <w:tcPr>
            <w:tcW w:w="715" w:type="pct"/>
            <w:tcBorders>
              <w:top w:val="nil"/>
              <w:bottom w:val="nil"/>
            </w:tcBorders>
          </w:tcPr>
          <w:p w14:paraId="0450784A" w14:textId="3B83350E" w:rsidR="001E58E6" w:rsidRPr="004C78D8" w:rsidRDefault="001E58E6"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&lt;EndNote&gt;&lt;Cite&gt;&lt;Author&gt;Curtis&lt;/Author&gt;&lt;Year&gt;2019&lt;/Year&gt;&lt;RecNum&gt;135&lt;/RecNum&gt;&lt;DisplayText&gt;[401]&lt;/DisplayText&gt;&lt;record&gt;&lt;rec-number&gt;135&lt;/rec-number&gt;&lt;foreign-keys&gt;&lt;key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Pr="004C78D8">
              <w:rPr>
                <w:sz w:val="18"/>
                <w:szCs w:val="18"/>
              </w:rPr>
              <w:fldChar w:fldCharType="separate"/>
            </w:r>
            <w:r w:rsidR="00C630FC" w:rsidRPr="004C78D8">
              <w:rPr>
                <w:noProof/>
                <w:sz w:val="18"/>
                <w:szCs w:val="18"/>
              </w:rPr>
              <w:t>[401]</w:t>
            </w:r>
            <w:r w:rsidRPr="004C78D8">
              <w:rPr>
                <w:sz w:val="18"/>
                <w:szCs w:val="18"/>
              </w:rPr>
              <w:fldChar w:fldCharType="end"/>
            </w:r>
          </w:p>
        </w:tc>
      </w:tr>
      <w:tr w:rsidR="001E58E6" w:rsidRPr="004C78D8" w14:paraId="6DDC5E80" w14:textId="77777777" w:rsidTr="00E35893">
        <w:tc>
          <w:tcPr>
            <w:tcW w:w="843" w:type="pct"/>
            <w:vMerge/>
          </w:tcPr>
          <w:p w14:paraId="09387D30" w14:textId="77777777" w:rsidR="001E58E6" w:rsidRPr="004C78D8" w:rsidRDefault="001E58E6" w:rsidP="00FB7C1F">
            <w:pPr>
              <w:jc w:val="left"/>
              <w:rPr>
                <w:sz w:val="18"/>
                <w:szCs w:val="18"/>
              </w:rPr>
            </w:pPr>
          </w:p>
        </w:tc>
        <w:tc>
          <w:tcPr>
            <w:tcW w:w="2101" w:type="pct"/>
            <w:tcBorders>
              <w:top w:val="nil"/>
              <w:bottom w:val="nil"/>
            </w:tcBorders>
          </w:tcPr>
          <w:p w14:paraId="572758A0" w14:textId="5B10BF7E" w:rsidR="001E58E6" w:rsidRPr="004C78D8" w:rsidRDefault="005157CB" w:rsidP="00FB7C1F">
            <w:pPr>
              <w:jc w:val="left"/>
              <w:rPr>
                <w:sz w:val="18"/>
                <w:szCs w:val="18"/>
              </w:rPr>
            </w:pPr>
            <w:r w:rsidRPr="004C78D8">
              <w:rPr>
                <w:sz w:val="18"/>
                <w:szCs w:val="18"/>
              </w:rPr>
              <w:t xml:space="preserve">1 </w:t>
            </w:r>
            <w:r w:rsidR="001E58E6" w:rsidRPr="004C78D8">
              <w:rPr>
                <w:sz w:val="18"/>
                <w:szCs w:val="18"/>
              </w:rPr>
              <w:t>falls prevention facilitator – salary &amp; oncosts</w:t>
            </w:r>
            <w:r w:rsidR="001E58E6" w:rsidRPr="004C78D8">
              <w:rPr>
                <w:sz w:val="18"/>
                <w:szCs w:val="18"/>
                <w:vertAlign w:val="superscript"/>
              </w:rPr>
              <w:t>4</w:t>
            </w:r>
          </w:p>
        </w:tc>
        <w:tc>
          <w:tcPr>
            <w:tcW w:w="1341" w:type="pct"/>
            <w:tcBorders>
              <w:top w:val="nil"/>
              <w:bottom w:val="nil"/>
            </w:tcBorders>
          </w:tcPr>
          <w:p w14:paraId="1521A1F8" w14:textId="3240631C" w:rsidR="001E58E6" w:rsidRPr="004C78D8" w:rsidRDefault="001E58E6" w:rsidP="00FB7C1F">
            <w:pPr>
              <w:jc w:val="left"/>
              <w:rPr>
                <w:sz w:val="18"/>
                <w:szCs w:val="18"/>
              </w:rPr>
            </w:pPr>
            <w:r w:rsidRPr="004C78D8">
              <w:rPr>
                <w:sz w:val="18"/>
                <w:szCs w:val="18"/>
              </w:rPr>
              <w:t>£33,123 annual fixed</w:t>
            </w:r>
          </w:p>
        </w:tc>
        <w:tc>
          <w:tcPr>
            <w:tcW w:w="715" w:type="pct"/>
            <w:tcBorders>
              <w:top w:val="nil"/>
              <w:bottom w:val="nil"/>
            </w:tcBorders>
          </w:tcPr>
          <w:p w14:paraId="464F5E2A" w14:textId="2E645C95" w:rsidR="001E58E6" w:rsidRPr="004C78D8" w:rsidRDefault="001E58E6"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&lt;EndNote&gt;&lt;Cite&gt;&lt;Author&gt;Curtis&lt;/Author&gt;&lt;Year&gt;2019&lt;/Year&gt;&lt;RecNum&gt;135&lt;/RecNum&gt;&lt;DisplayText&gt;[401]&lt;/DisplayText&gt;&lt;record&gt;&lt;rec-number&gt;135&lt;/rec-number&gt;&lt;foreign-keys&gt;&lt;key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Pr="004C78D8">
              <w:rPr>
                <w:sz w:val="18"/>
                <w:szCs w:val="18"/>
              </w:rPr>
              <w:fldChar w:fldCharType="separate"/>
            </w:r>
            <w:r w:rsidR="00C630FC" w:rsidRPr="004C78D8">
              <w:rPr>
                <w:noProof/>
                <w:sz w:val="18"/>
                <w:szCs w:val="18"/>
              </w:rPr>
              <w:t>[401]</w:t>
            </w:r>
            <w:r w:rsidRPr="004C78D8">
              <w:rPr>
                <w:sz w:val="18"/>
                <w:szCs w:val="18"/>
              </w:rPr>
              <w:fldChar w:fldCharType="end"/>
            </w:r>
            <w:r w:rsidRPr="004C78D8">
              <w:rPr>
                <w:sz w:val="18"/>
                <w:szCs w:val="18"/>
              </w:rPr>
              <w:t xml:space="preserve">; </w:t>
            </w:r>
            <w:r w:rsidRPr="004C78D8">
              <w:rPr>
                <w:sz w:val="18"/>
                <w:szCs w:val="18"/>
              </w:rPr>
              <w:fldChar w:fldCharType="begin"/>
            </w:r>
            <w:r w:rsidR="00C630FC" w:rsidRPr="004C78D8">
              <w:rPr>
                <w:sz w:val="18"/>
                <w:szCs w:val="18"/>
              </w:rPr>
              <w:instrText xml:space="preserve"> ADDIN EN.CITE &lt;EndNote&gt;&lt;Cite&gt;&lt;Author&gt;Comans&lt;/Author&gt;&lt;Year&gt;2009&lt;/Year&gt;&lt;RecNum&gt;376&lt;/RecNum&gt;&lt;DisplayText&gt;[207]&lt;/DisplayText&gt;&lt;record&gt;&lt;rec-number&gt;376&lt;/rec-number&gt;&lt;foreign-keys&gt;&lt;key app="EN" db-id="tdtrdw9aepptzbefsat599syza29sxsd2wsp" timestamp="1612625082"&gt;376&lt;/key&gt;&lt;/foreign-keys&gt;&lt;ref-type name="Journal Article"&gt;17&lt;/ref-type&gt;&lt;contributors&gt;&lt;authors&gt;&lt;author&gt;Comans, Tracy&lt;/author&gt;&lt;author&gt;Brauer, Sandy&lt;/author&gt;&lt;author&gt;Haines, Terry&lt;/author&gt;&lt;/authors&gt;&lt;/contributors&gt;&lt;titles&gt;&lt;title&gt;A break-even analysis of a community rehabilitation falls prevention service&lt;/title&gt;&lt;secondary-title&gt;Australian and New Zealand journal of public health&lt;/secondary-title&gt;&lt;/titles&gt;&lt;periodical&gt;&lt;full-title&gt;Australian and New Zealand journal of public health&lt;/full-title&gt;&lt;/periodical&gt;&lt;pages&gt;240-5&lt;/pages&gt;&lt;volume&gt;33&lt;/volume&gt;&lt;number&gt;3&lt;/number&gt;&lt;section&gt;Comans, Tracy. The Community Rehabilitation Service, Southside Health Service District and School of Health and Rehabilitation Sciences, University of Queensland, Queensland, Australia. tracy.comans@uqconnect.edu.au&lt;/section&gt;&lt;keywords&gt;&lt;keyword&gt;*Accidental Falls/pc [Prevention &amp;amp; Control]&lt;/keyword&gt;&lt;keyword&gt;Aged&lt;/keyword&gt;&lt;keyword&gt;Aged, 80 and over&lt;/keyword&gt;&lt;keyword&gt;Cost-Benefit Analysis&lt;/keyword&gt;&lt;keyword&gt;Efficiency, Organizational/ec [Economics]&lt;/keyword&gt;&lt;keyword&gt;*Efficiency, Organizational&lt;/keyword&gt;&lt;keyword&gt;Female&lt;/keyword&gt;&lt;keyword&gt;Humans&lt;/keyword&gt;&lt;keyword&gt;Interdisciplinary Communication&lt;/keyword&gt;&lt;keyword&gt;Male&lt;/keyword&gt;&lt;keyword&gt;Models, Theoretical&lt;/keyword&gt;&lt;keyword&gt;*Preventive Health Services/st [Standards]&lt;/keyword&gt;&lt;keyword&gt;*Rehabilitation Centers&lt;/keyword&gt;&lt;/keywords&gt;&lt;dates&gt;&lt;year&gt;2009&lt;/year&gt;&lt;/dates&gt;&lt;pub-location&gt;Australia&lt;/pub-location&gt;&lt;isbn&gt;1326-0200&lt;/isbn&gt;&lt;urls&gt;&lt;related-urls&gt;&lt;url&gt;http://ovidsp.ovid.com/ovidweb.cgi?T=JS&amp;amp;PAGE=reference&amp;amp;D=med6&amp;amp;NEWS=N&amp;amp;AN=19630843&lt;/url&gt;&lt;/related-urls&gt;&lt;/urls&gt;&lt;electronic-resource-num&gt;https://dx.doi.org/10.1111/j.1753-6405.2009.00382.x&lt;/electronic-resource-num&gt;&lt;remote-database-name&gt;Medline&lt;/remote-database-name&gt;&lt;/record&gt;&lt;/Cite&gt;&lt;/EndNote&gt;</w:instrText>
            </w:r>
            <w:r w:rsidRPr="004C78D8">
              <w:rPr>
                <w:sz w:val="18"/>
                <w:szCs w:val="18"/>
              </w:rPr>
              <w:fldChar w:fldCharType="separate"/>
            </w:r>
            <w:r w:rsidR="00C630FC" w:rsidRPr="004C78D8">
              <w:rPr>
                <w:noProof/>
                <w:sz w:val="18"/>
                <w:szCs w:val="18"/>
              </w:rPr>
              <w:t>[207]</w:t>
            </w:r>
            <w:r w:rsidRPr="004C78D8">
              <w:rPr>
                <w:sz w:val="18"/>
                <w:szCs w:val="18"/>
              </w:rPr>
              <w:fldChar w:fldCharType="end"/>
            </w:r>
          </w:p>
        </w:tc>
      </w:tr>
      <w:tr w:rsidR="001E58E6" w:rsidRPr="004C78D8" w14:paraId="0767EB52" w14:textId="77777777" w:rsidTr="00E35893">
        <w:tc>
          <w:tcPr>
            <w:tcW w:w="843" w:type="pct"/>
            <w:vMerge/>
          </w:tcPr>
          <w:p w14:paraId="483DCC35" w14:textId="77777777" w:rsidR="001E58E6" w:rsidRPr="004C78D8" w:rsidRDefault="001E58E6" w:rsidP="00FB7C1F">
            <w:pPr>
              <w:jc w:val="left"/>
              <w:rPr>
                <w:sz w:val="18"/>
                <w:szCs w:val="18"/>
              </w:rPr>
            </w:pPr>
          </w:p>
        </w:tc>
        <w:tc>
          <w:tcPr>
            <w:tcW w:w="2101" w:type="pct"/>
            <w:tcBorders>
              <w:top w:val="nil"/>
              <w:bottom w:val="nil"/>
            </w:tcBorders>
          </w:tcPr>
          <w:p w14:paraId="05CFF7F5" w14:textId="7228EFDB" w:rsidR="001E58E6" w:rsidRPr="004C78D8" w:rsidRDefault="005157CB" w:rsidP="00FB7C1F">
            <w:pPr>
              <w:jc w:val="left"/>
              <w:rPr>
                <w:sz w:val="18"/>
                <w:szCs w:val="18"/>
              </w:rPr>
            </w:pPr>
            <w:r w:rsidRPr="004C78D8">
              <w:rPr>
                <w:sz w:val="18"/>
                <w:szCs w:val="18"/>
              </w:rPr>
              <w:t xml:space="preserve">2 </w:t>
            </w:r>
            <w:r w:rsidR="001E58E6" w:rsidRPr="004C78D8">
              <w:rPr>
                <w:sz w:val="18"/>
                <w:szCs w:val="18"/>
              </w:rPr>
              <w:t>administrative staffs – salary &amp; oncosts</w:t>
            </w:r>
            <w:r w:rsidR="001E58E6" w:rsidRPr="004C78D8">
              <w:rPr>
                <w:sz w:val="18"/>
                <w:szCs w:val="18"/>
                <w:vertAlign w:val="superscript"/>
              </w:rPr>
              <w:t>5</w:t>
            </w:r>
          </w:p>
        </w:tc>
        <w:tc>
          <w:tcPr>
            <w:tcW w:w="1341" w:type="pct"/>
            <w:tcBorders>
              <w:top w:val="nil"/>
              <w:bottom w:val="nil"/>
            </w:tcBorders>
          </w:tcPr>
          <w:p w14:paraId="3278C81E" w14:textId="5307579F" w:rsidR="001E58E6" w:rsidRPr="004C78D8" w:rsidRDefault="001E58E6" w:rsidP="00FB7C1F">
            <w:pPr>
              <w:jc w:val="left"/>
              <w:rPr>
                <w:sz w:val="18"/>
                <w:szCs w:val="18"/>
              </w:rPr>
            </w:pPr>
            <w:r w:rsidRPr="004C78D8">
              <w:rPr>
                <w:sz w:val="18"/>
                <w:szCs w:val="18"/>
              </w:rPr>
              <w:t>£58,754 annual fixed</w:t>
            </w:r>
          </w:p>
        </w:tc>
        <w:tc>
          <w:tcPr>
            <w:tcW w:w="715" w:type="pct"/>
            <w:tcBorders>
              <w:top w:val="nil"/>
              <w:bottom w:val="nil"/>
            </w:tcBorders>
          </w:tcPr>
          <w:p w14:paraId="5EA1FCB1" w14:textId="526C6C55" w:rsidR="001E58E6" w:rsidRPr="004C78D8" w:rsidRDefault="001E58E6"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&lt;EndNote&gt;&lt;Cite&gt;&lt;Author&gt;Curtis&lt;/Author&gt;&lt;Year&gt;2019&lt;/Year&gt;&lt;RecNum&gt;135&lt;/RecNum&gt;&lt;DisplayText&gt;[401]&lt;/DisplayText&gt;&lt;record&gt;&lt;rec-number&gt;135&lt;/rec-number&gt;&lt;foreign-keys&gt;&lt;key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Pr="004C78D8">
              <w:rPr>
                <w:sz w:val="18"/>
                <w:szCs w:val="18"/>
              </w:rPr>
              <w:fldChar w:fldCharType="separate"/>
            </w:r>
            <w:r w:rsidR="00C630FC" w:rsidRPr="004C78D8">
              <w:rPr>
                <w:noProof/>
                <w:sz w:val="18"/>
                <w:szCs w:val="18"/>
              </w:rPr>
              <w:t>[401]</w:t>
            </w:r>
            <w:r w:rsidRPr="004C78D8">
              <w:rPr>
                <w:sz w:val="18"/>
                <w:szCs w:val="18"/>
              </w:rPr>
              <w:fldChar w:fldCharType="end"/>
            </w:r>
          </w:p>
        </w:tc>
      </w:tr>
      <w:tr w:rsidR="001E58E6" w:rsidRPr="004C78D8" w14:paraId="6B5479A0" w14:textId="77777777" w:rsidTr="00E35893">
        <w:tc>
          <w:tcPr>
            <w:tcW w:w="843" w:type="pct"/>
            <w:vMerge/>
          </w:tcPr>
          <w:p w14:paraId="463B1738" w14:textId="77777777" w:rsidR="001E58E6" w:rsidRPr="004C78D8" w:rsidRDefault="001E58E6" w:rsidP="00FB7C1F">
            <w:pPr>
              <w:jc w:val="left"/>
              <w:rPr>
                <w:sz w:val="18"/>
                <w:szCs w:val="18"/>
              </w:rPr>
            </w:pPr>
          </w:p>
        </w:tc>
        <w:tc>
          <w:tcPr>
            <w:tcW w:w="2101" w:type="pct"/>
            <w:tcBorders>
              <w:top w:val="nil"/>
              <w:bottom w:val="nil"/>
            </w:tcBorders>
          </w:tcPr>
          <w:p w14:paraId="63F69C2E" w14:textId="2D9A6EAB" w:rsidR="001E58E6" w:rsidRPr="004C78D8" w:rsidRDefault="001E58E6" w:rsidP="00FB7C1F">
            <w:pPr>
              <w:jc w:val="left"/>
              <w:rPr>
                <w:sz w:val="18"/>
                <w:szCs w:val="18"/>
              </w:rPr>
            </w:pPr>
            <w:r w:rsidRPr="004C78D8">
              <w:rPr>
                <w:sz w:val="18"/>
                <w:szCs w:val="18"/>
              </w:rPr>
              <w:t>Capital overheads – land and office</w:t>
            </w:r>
            <w:r w:rsidRPr="004C78D8">
              <w:rPr>
                <w:sz w:val="18"/>
                <w:szCs w:val="18"/>
                <w:vertAlign w:val="superscript"/>
              </w:rPr>
              <w:t>6</w:t>
            </w:r>
          </w:p>
        </w:tc>
        <w:tc>
          <w:tcPr>
            <w:tcW w:w="1341" w:type="pct"/>
            <w:tcBorders>
              <w:top w:val="nil"/>
              <w:bottom w:val="nil"/>
            </w:tcBorders>
          </w:tcPr>
          <w:p w14:paraId="32A75749" w14:textId="715368E3" w:rsidR="001E58E6" w:rsidRPr="004C78D8" w:rsidRDefault="001E58E6" w:rsidP="00FB7C1F">
            <w:pPr>
              <w:jc w:val="left"/>
              <w:rPr>
                <w:sz w:val="18"/>
                <w:szCs w:val="18"/>
              </w:rPr>
            </w:pPr>
            <w:r w:rsidRPr="004C78D8">
              <w:rPr>
                <w:sz w:val="18"/>
                <w:szCs w:val="18"/>
              </w:rPr>
              <w:t>£9,256 annual fixed</w:t>
            </w:r>
          </w:p>
        </w:tc>
        <w:tc>
          <w:tcPr>
            <w:tcW w:w="715" w:type="pct"/>
            <w:tcBorders>
              <w:top w:val="nil"/>
              <w:bottom w:val="nil"/>
            </w:tcBorders>
          </w:tcPr>
          <w:p w14:paraId="519C1167" w14:textId="21BDFAD9" w:rsidR="001E58E6" w:rsidRPr="004C78D8" w:rsidRDefault="001E58E6"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&lt;EndNote&gt;&lt;Cite&gt;&lt;Author&gt;Curtis&lt;/Author&gt;&lt;Year&gt;2019&lt;/Year&gt;&lt;RecNum&gt;135&lt;/RecNum&gt;&lt;DisplayText&gt;[401]&lt;/DisplayText&gt;&lt;record&gt;&lt;rec-number&gt;135&lt;/rec-number&gt;&lt;foreign-keys&gt;&lt;key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Pr="004C78D8">
              <w:rPr>
                <w:sz w:val="18"/>
                <w:szCs w:val="18"/>
              </w:rPr>
              <w:fldChar w:fldCharType="separate"/>
            </w:r>
            <w:r w:rsidR="00C630FC" w:rsidRPr="004C78D8">
              <w:rPr>
                <w:noProof/>
                <w:sz w:val="18"/>
                <w:szCs w:val="18"/>
              </w:rPr>
              <w:t>[401]</w:t>
            </w:r>
            <w:r w:rsidRPr="004C78D8">
              <w:rPr>
                <w:sz w:val="18"/>
                <w:szCs w:val="18"/>
              </w:rPr>
              <w:fldChar w:fldCharType="end"/>
            </w:r>
          </w:p>
        </w:tc>
      </w:tr>
      <w:tr w:rsidR="001E58E6" w:rsidRPr="004C78D8" w14:paraId="7092D079" w14:textId="77777777" w:rsidTr="00E35893">
        <w:tc>
          <w:tcPr>
            <w:tcW w:w="843" w:type="pct"/>
            <w:vMerge/>
          </w:tcPr>
          <w:p w14:paraId="7BE73051" w14:textId="77777777" w:rsidR="001E58E6" w:rsidRPr="004C78D8" w:rsidRDefault="001E58E6" w:rsidP="00FB7C1F">
            <w:pPr>
              <w:jc w:val="left"/>
              <w:rPr>
                <w:sz w:val="18"/>
                <w:szCs w:val="18"/>
              </w:rPr>
            </w:pPr>
          </w:p>
        </w:tc>
        <w:tc>
          <w:tcPr>
            <w:tcW w:w="2101" w:type="pct"/>
            <w:tcBorders>
              <w:top w:val="nil"/>
              <w:bottom w:val="single" w:sz="4" w:space="0" w:color="auto"/>
            </w:tcBorders>
          </w:tcPr>
          <w:p w14:paraId="6F357E6C" w14:textId="3B862F84" w:rsidR="001E58E6" w:rsidRPr="004C78D8" w:rsidRDefault="001E58E6" w:rsidP="00FB7C1F">
            <w:pPr>
              <w:jc w:val="left"/>
              <w:rPr>
                <w:sz w:val="18"/>
                <w:szCs w:val="18"/>
              </w:rPr>
            </w:pPr>
            <w:r w:rsidRPr="004C78D8">
              <w:rPr>
                <w:sz w:val="18"/>
                <w:szCs w:val="18"/>
              </w:rPr>
              <w:t>Non-staff overheads – travel/transport, telephone, education and training, office supplies, clinical/general services, utilities</w:t>
            </w:r>
            <w:r w:rsidRPr="004C78D8">
              <w:rPr>
                <w:sz w:val="18"/>
                <w:szCs w:val="18"/>
                <w:vertAlign w:val="superscript"/>
              </w:rPr>
              <w:t>7</w:t>
            </w:r>
          </w:p>
        </w:tc>
        <w:tc>
          <w:tcPr>
            <w:tcW w:w="1341" w:type="pct"/>
            <w:tcBorders>
              <w:top w:val="nil"/>
              <w:bottom w:val="single" w:sz="4" w:space="0" w:color="auto"/>
            </w:tcBorders>
          </w:tcPr>
          <w:p w14:paraId="172B444E" w14:textId="191AF045" w:rsidR="001E58E6" w:rsidRPr="004C78D8" w:rsidRDefault="001E58E6" w:rsidP="00FB7C1F">
            <w:pPr>
              <w:jc w:val="left"/>
              <w:rPr>
                <w:sz w:val="18"/>
                <w:szCs w:val="18"/>
              </w:rPr>
            </w:pPr>
            <w:r w:rsidRPr="004C78D8">
              <w:rPr>
                <w:sz w:val="18"/>
                <w:szCs w:val="18"/>
              </w:rPr>
              <w:t>£400,898 annual fixed</w:t>
            </w:r>
          </w:p>
        </w:tc>
        <w:tc>
          <w:tcPr>
            <w:tcW w:w="715" w:type="pct"/>
            <w:tcBorders>
              <w:top w:val="nil"/>
              <w:bottom w:val="single" w:sz="4" w:space="0" w:color="auto"/>
            </w:tcBorders>
          </w:tcPr>
          <w:p w14:paraId="71E81C4E" w14:textId="4985A4A1" w:rsidR="001E58E6" w:rsidRPr="004C78D8" w:rsidRDefault="001E58E6"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&lt;EndNote&gt;&lt;Cite&gt;&lt;Author&gt;Curtis&lt;/Author&gt;&lt;Year&gt;2019&lt;/Year&gt;&lt;RecNum&gt;135&lt;/RecNum&gt;&lt;DisplayText&gt;[401]&lt;/DisplayText&gt;&lt;record&gt;&lt;rec-number&gt;135&lt;/rec-number&gt;&lt;foreign-keys&gt;&lt;key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Pr="004C78D8">
              <w:rPr>
                <w:sz w:val="18"/>
                <w:szCs w:val="18"/>
              </w:rPr>
              <w:fldChar w:fldCharType="separate"/>
            </w:r>
            <w:r w:rsidR="00C630FC" w:rsidRPr="004C78D8">
              <w:rPr>
                <w:noProof/>
                <w:sz w:val="18"/>
                <w:szCs w:val="18"/>
              </w:rPr>
              <w:t>[401]</w:t>
            </w:r>
            <w:r w:rsidRPr="004C78D8">
              <w:rPr>
                <w:sz w:val="18"/>
                <w:szCs w:val="18"/>
              </w:rPr>
              <w:fldChar w:fldCharType="end"/>
            </w:r>
          </w:p>
        </w:tc>
      </w:tr>
      <w:tr w:rsidR="001E58E6" w:rsidRPr="004C78D8" w14:paraId="773A3D57" w14:textId="77777777" w:rsidTr="00E35893">
        <w:tc>
          <w:tcPr>
            <w:tcW w:w="843" w:type="pct"/>
            <w:vMerge/>
          </w:tcPr>
          <w:p w14:paraId="47AEEEE4" w14:textId="77777777" w:rsidR="001E58E6" w:rsidRPr="004C78D8" w:rsidRDefault="001E58E6" w:rsidP="00FB7C1F">
            <w:pPr>
              <w:jc w:val="left"/>
              <w:rPr>
                <w:sz w:val="18"/>
                <w:szCs w:val="18"/>
              </w:rPr>
            </w:pPr>
          </w:p>
        </w:tc>
        <w:tc>
          <w:tcPr>
            <w:tcW w:w="2101" w:type="pct"/>
            <w:tcBorders>
              <w:bottom w:val="nil"/>
            </w:tcBorders>
          </w:tcPr>
          <w:p w14:paraId="1D0F756D" w14:textId="61F6E6D5" w:rsidR="001E58E6" w:rsidRPr="004C78D8" w:rsidRDefault="001E58E6" w:rsidP="00FB7C1F">
            <w:pPr>
              <w:jc w:val="left"/>
              <w:rPr>
                <w:b/>
                <w:bCs/>
                <w:i/>
                <w:iCs/>
                <w:sz w:val="18"/>
                <w:szCs w:val="18"/>
              </w:rPr>
            </w:pPr>
            <w:r w:rsidRPr="004C78D8">
              <w:rPr>
                <w:b/>
                <w:bCs/>
                <w:i/>
                <w:iCs/>
                <w:sz w:val="18"/>
                <w:szCs w:val="18"/>
              </w:rPr>
              <w:t>Total cost per falls clinic</w:t>
            </w:r>
          </w:p>
        </w:tc>
        <w:tc>
          <w:tcPr>
            <w:tcW w:w="1341" w:type="pct"/>
            <w:tcBorders>
              <w:bottom w:val="nil"/>
            </w:tcBorders>
          </w:tcPr>
          <w:p w14:paraId="49E027CA" w14:textId="0B99E6E6" w:rsidR="001E58E6" w:rsidRPr="004C78D8" w:rsidRDefault="001E58E6" w:rsidP="00FB7C1F">
            <w:pPr>
              <w:jc w:val="left"/>
              <w:rPr>
                <w:b/>
                <w:bCs/>
                <w:sz w:val="18"/>
                <w:szCs w:val="18"/>
              </w:rPr>
            </w:pPr>
            <w:r w:rsidRPr="004C78D8">
              <w:rPr>
                <w:b/>
                <w:bCs/>
                <w:sz w:val="18"/>
                <w:szCs w:val="18"/>
              </w:rPr>
              <w:t>£1,115,552 annual fixed</w:t>
            </w:r>
          </w:p>
        </w:tc>
        <w:tc>
          <w:tcPr>
            <w:tcW w:w="715" w:type="pct"/>
            <w:tcBorders>
              <w:bottom w:val="nil"/>
            </w:tcBorders>
          </w:tcPr>
          <w:p w14:paraId="37634AD2" w14:textId="77777777" w:rsidR="001E58E6" w:rsidRPr="004C78D8" w:rsidRDefault="001E58E6" w:rsidP="00FB7C1F">
            <w:pPr>
              <w:jc w:val="left"/>
              <w:rPr>
                <w:sz w:val="18"/>
                <w:szCs w:val="18"/>
              </w:rPr>
            </w:pPr>
          </w:p>
        </w:tc>
      </w:tr>
      <w:tr w:rsidR="001E58E6" w:rsidRPr="004C78D8" w14:paraId="6CDC418E" w14:textId="77777777" w:rsidTr="00E35893">
        <w:tc>
          <w:tcPr>
            <w:tcW w:w="843" w:type="pct"/>
            <w:vMerge/>
          </w:tcPr>
          <w:p w14:paraId="64301CE2" w14:textId="77777777" w:rsidR="001E58E6" w:rsidRPr="004C78D8" w:rsidRDefault="001E58E6" w:rsidP="00FB7C1F">
            <w:pPr>
              <w:jc w:val="left"/>
              <w:rPr>
                <w:sz w:val="18"/>
                <w:szCs w:val="18"/>
              </w:rPr>
            </w:pPr>
          </w:p>
        </w:tc>
        <w:tc>
          <w:tcPr>
            <w:tcW w:w="2101" w:type="pct"/>
            <w:tcBorders>
              <w:top w:val="nil"/>
              <w:bottom w:val="single" w:sz="4" w:space="0" w:color="auto"/>
            </w:tcBorders>
          </w:tcPr>
          <w:p w14:paraId="24D0E73D" w14:textId="5E9682A6" w:rsidR="001E58E6" w:rsidRPr="004C78D8" w:rsidRDefault="001E58E6" w:rsidP="00FB7C1F">
            <w:pPr>
              <w:jc w:val="left"/>
              <w:rPr>
                <w:b/>
                <w:bCs/>
                <w:i/>
                <w:iCs/>
                <w:sz w:val="18"/>
                <w:szCs w:val="18"/>
              </w:rPr>
            </w:pPr>
            <w:r w:rsidRPr="004C78D8">
              <w:rPr>
                <w:b/>
                <w:bCs/>
                <w:i/>
                <w:iCs/>
                <w:sz w:val="18"/>
                <w:szCs w:val="18"/>
              </w:rPr>
              <w:t xml:space="preserve">Total cost for </w:t>
            </w:r>
            <w:r w:rsidR="00EC023E" w:rsidRPr="004C78D8">
              <w:rPr>
                <w:b/>
                <w:bCs/>
                <w:i/>
                <w:iCs/>
                <w:sz w:val="18"/>
                <w:szCs w:val="18"/>
              </w:rPr>
              <w:t>7</w:t>
            </w:r>
            <w:r w:rsidRPr="004C78D8">
              <w:rPr>
                <w:b/>
                <w:bCs/>
                <w:i/>
                <w:iCs/>
                <w:sz w:val="18"/>
                <w:szCs w:val="18"/>
              </w:rPr>
              <w:t xml:space="preserve"> falls clinics</w:t>
            </w:r>
          </w:p>
        </w:tc>
        <w:tc>
          <w:tcPr>
            <w:tcW w:w="1341" w:type="pct"/>
            <w:tcBorders>
              <w:top w:val="nil"/>
              <w:bottom w:val="single" w:sz="4" w:space="0" w:color="auto"/>
            </w:tcBorders>
          </w:tcPr>
          <w:p w14:paraId="3009A549" w14:textId="3DAD2DF9" w:rsidR="001E58E6" w:rsidRPr="004C78D8" w:rsidRDefault="001E58E6" w:rsidP="00FB7C1F">
            <w:pPr>
              <w:jc w:val="left"/>
              <w:rPr>
                <w:b/>
                <w:bCs/>
                <w:sz w:val="18"/>
                <w:szCs w:val="18"/>
              </w:rPr>
            </w:pPr>
            <w:r w:rsidRPr="004C78D8">
              <w:rPr>
                <w:b/>
                <w:bCs/>
                <w:sz w:val="18"/>
                <w:szCs w:val="18"/>
              </w:rPr>
              <w:t>£</w:t>
            </w:r>
            <w:r w:rsidR="00EC023E" w:rsidRPr="004C78D8">
              <w:rPr>
                <w:b/>
                <w:bCs/>
                <w:sz w:val="18"/>
                <w:szCs w:val="18"/>
              </w:rPr>
              <w:t>7</w:t>
            </w:r>
            <w:r w:rsidRPr="004C78D8">
              <w:rPr>
                <w:b/>
                <w:bCs/>
                <w:sz w:val="18"/>
                <w:szCs w:val="18"/>
              </w:rPr>
              <w:t>,</w:t>
            </w:r>
            <w:r w:rsidR="00EC023E" w:rsidRPr="004C78D8">
              <w:rPr>
                <w:b/>
                <w:bCs/>
                <w:sz w:val="18"/>
                <w:szCs w:val="18"/>
              </w:rPr>
              <w:t>808</w:t>
            </w:r>
            <w:r w:rsidRPr="004C78D8">
              <w:rPr>
                <w:b/>
                <w:bCs/>
                <w:sz w:val="18"/>
                <w:szCs w:val="18"/>
              </w:rPr>
              <w:t>,</w:t>
            </w:r>
            <w:r w:rsidR="00EC023E" w:rsidRPr="004C78D8">
              <w:rPr>
                <w:b/>
                <w:bCs/>
                <w:sz w:val="18"/>
                <w:szCs w:val="18"/>
              </w:rPr>
              <w:t>864</w:t>
            </w:r>
            <w:r w:rsidRPr="004C78D8">
              <w:rPr>
                <w:b/>
                <w:bCs/>
                <w:sz w:val="18"/>
                <w:szCs w:val="18"/>
              </w:rPr>
              <w:t xml:space="preserve"> annual fixed</w:t>
            </w:r>
          </w:p>
        </w:tc>
        <w:tc>
          <w:tcPr>
            <w:tcW w:w="715" w:type="pct"/>
            <w:tcBorders>
              <w:top w:val="nil"/>
              <w:bottom w:val="single" w:sz="4" w:space="0" w:color="auto"/>
            </w:tcBorders>
          </w:tcPr>
          <w:p w14:paraId="7D16C04D" w14:textId="77777777" w:rsidR="001E58E6" w:rsidRPr="004C78D8" w:rsidRDefault="001E58E6" w:rsidP="00FB7C1F">
            <w:pPr>
              <w:jc w:val="left"/>
              <w:rPr>
                <w:sz w:val="18"/>
                <w:szCs w:val="18"/>
              </w:rPr>
            </w:pPr>
          </w:p>
        </w:tc>
      </w:tr>
      <w:tr w:rsidR="00E91A7D" w:rsidRPr="004C78D8" w14:paraId="4DA1A0F6" w14:textId="77777777" w:rsidTr="00E35893">
        <w:tc>
          <w:tcPr>
            <w:tcW w:w="843" w:type="pct"/>
            <w:vMerge w:val="restart"/>
          </w:tcPr>
          <w:p w14:paraId="2187FB1A" w14:textId="0DD8FB47" w:rsidR="00E91A7D" w:rsidRPr="004C78D8" w:rsidRDefault="00E91A7D" w:rsidP="00FB7C1F">
            <w:pPr>
              <w:jc w:val="left"/>
              <w:rPr>
                <w:sz w:val="18"/>
                <w:szCs w:val="18"/>
              </w:rPr>
            </w:pPr>
            <w:r w:rsidRPr="004C78D8">
              <w:rPr>
                <w:sz w:val="18"/>
                <w:szCs w:val="18"/>
              </w:rPr>
              <w:t>Outsourced services and equipment</w:t>
            </w:r>
            <w:r w:rsidR="00F12992" w:rsidRPr="004C78D8">
              <w:rPr>
                <w:sz w:val="18"/>
                <w:szCs w:val="18"/>
                <w:vertAlign w:val="superscript"/>
              </w:rPr>
              <w:t>8</w:t>
            </w:r>
          </w:p>
        </w:tc>
        <w:tc>
          <w:tcPr>
            <w:tcW w:w="2101" w:type="pct"/>
            <w:tcBorders>
              <w:bottom w:val="nil"/>
            </w:tcBorders>
          </w:tcPr>
          <w:p w14:paraId="78B8D302" w14:textId="2AF11952" w:rsidR="00E91A7D" w:rsidRPr="004C78D8" w:rsidRDefault="00E91A7D" w:rsidP="00FB7C1F">
            <w:pPr>
              <w:jc w:val="left"/>
              <w:rPr>
                <w:sz w:val="18"/>
                <w:szCs w:val="18"/>
              </w:rPr>
            </w:pPr>
            <w:r w:rsidRPr="004C78D8">
              <w:rPr>
                <w:sz w:val="18"/>
                <w:szCs w:val="18"/>
              </w:rPr>
              <w:t>2 specialist outpatient visits for 30% of clients</w:t>
            </w:r>
          </w:p>
        </w:tc>
        <w:tc>
          <w:tcPr>
            <w:tcW w:w="1341" w:type="pct"/>
            <w:tcBorders>
              <w:bottom w:val="nil"/>
            </w:tcBorders>
          </w:tcPr>
          <w:p w14:paraId="32BE4A17" w14:textId="40BA44A2" w:rsidR="00E91A7D" w:rsidRPr="004C78D8" w:rsidRDefault="00E91A7D" w:rsidP="00FB7C1F">
            <w:pPr>
              <w:jc w:val="left"/>
              <w:rPr>
                <w:sz w:val="18"/>
                <w:szCs w:val="18"/>
              </w:rPr>
            </w:pPr>
            <w:r w:rsidRPr="004C78D8">
              <w:rPr>
                <w:sz w:val="18"/>
                <w:szCs w:val="18"/>
              </w:rPr>
              <w:t xml:space="preserve">£32.89 </w:t>
            </w:r>
            <w:r w:rsidR="00E40E05" w:rsidRPr="004C78D8">
              <w:rPr>
                <w:sz w:val="18"/>
                <w:szCs w:val="18"/>
              </w:rPr>
              <w:t>expected</w:t>
            </w:r>
            <w:r w:rsidR="00F12992" w:rsidRPr="004C78D8">
              <w:rPr>
                <w:sz w:val="18"/>
                <w:szCs w:val="18"/>
                <w:vertAlign w:val="superscript"/>
              </w:rPr>
              <w:t>9</w:t>
            </w:r>
            <w:r w:rsidR="00E40E05" w:rsidRPr="004C78D8">
              <w:rPr>
                <w:sz w:val="18"/>
                <w:szCs w:val="18"/>
              </w:rPr>
              <w:t xml:space="preserve"> </w:t>
            </w:r>
            <w:r w:rsidRPr="004C78D8">
              <w:rPr>
                <w:sz w:val="18"/>
                <w:szCs w:val="18"/>
              </w:rPr>
              <w:t>per client</w:t>
            </w:r>
          </w:p>
        </w:tc>
        <w:tc>
          <w:tcPr>
            <w:tcW w:w="715" w:type="pct"/>
            <w:tcBorders>
              <w:bottom w:val="nil"/>
            </w:tcBorders>
          </w:tcPr>
          <w:p w14:paraId="104BF924" w14:textId="418C1184" w:rsidR="00E91A7D" w:rsidRPr="004C78D8" w:rsidRDefault="00E91A7D" w:rsidP="00FB7C1F">
            <w:pPr>
              <w:jc w:val="left"/>
              <w:rPr>
                <w:sz w:val="18"/>
                <w:szCs w:val="18"/>
              </w:rPr>
            </w:pPr>
            <w:r w:rsidRPr="004C78D8">
              <w:rPr>
                <w:sz w:val="18"/>
                <w:szCs w:val="18"/>
              </w:rPr>
              <w:fldChar w:fldCharType="begin"/>
            </w:r>
            <w:r w:rsidR="00513646" w:rsidRPr="004C78D8">
              <w:rPr>
                <w:sz w:val="18"/>
                <w:szCs w:val="18"/>
              </w:rPr>
              <w:instrText xml:space="preserve"> ADDIN EN.CITE &lt;EndNote&gt;&lt;Cite&gt;&lt;Author&gt;Day&lt;/Author&gt;&lt;Year&gt;2009&lt;/Year&gt;&lt;RecNum&gt;346&lt;/RecNum&gt;&lt;DisplayText&gt;[167]&lt;/DisplayText&gt;&lt;record&gt;&lt;rec-number&gt;346&lt;/rec-number&gt;&lt;foreign-keys&gt;&lt;key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4C78D8">
              <w:rPr>
                <w:sz w:val="18"/>
                <w:szCs w:val="18"/>
              </w:rPr>
              <w:fldChar w:fldCharType="separate"/>
            </w:r>
            <w:r w:rsidR="00513646" w:rsidRPr="004C78D8">
              <w:rPr>
                <w:noProof/>
                <w:sz w:val="18"/>
                <w:szCs w:val="18"/>
              </w:rPr>
              <w:t>[167]</w:t>
            </w:r>
            <w:r w:rsidRPr="004C78D8">
              <w:rPr>
                <w:sz w:val="18"/>
                <w:szCs w:val="18"/>
              </w:rPr>
              <w:fldChar w:fldCharType="end"/>
            </w:r>
          </w:p>
        </w:tc>
      </w:tr>
      <w:tr w:rsidR="00E91A7D" w:rsidRPr="004C78D8" w14:paraId="7CEE2AEF" w14:textId="77777777" w:rsidTr="00E35893">
        <w:tc>
          <w:tcPr>
            <w:tcW w:w="843" w:type="pct"/>
            <w:vMerge/>
          </w:tcPr>
          <w:p w14:paraId="173274F8" w14:textId="77777777" w:rsidR="00E91A7D" w:rsidRPr="004C78D8" w:rsidRDefault="00E91A7D" w:rsidP="00FB7C1F">
            <w:pPr>
              <w:jc w:val="left"/>
              <w:rPr>
                <w:sz w:val="18"/>
                <w:szCs w:val="18"/>
              </w:rPr>
            </w:pPr>
          </w:p>
        </w:tc>
        <w:tc>
          <w:tcPr>
            <w:tcW w:w="2101" w:type="pct"/>
            <w:tcBorders>
              <w:top w:val="nil"/>
              <w:bottom w:val="nil"/>
            </w:tcBorders>
          </w:tcPr>
          <w:p w14:paraId="05BDFE6D" w14:textId="3C44392D" w:rsidR="00E91A7D" w:rsidRPr="004C78D8" w:rsidRDefault="00E91A7D" w:rsidP="00FB7C1F">
            <w:pPr>
              <w:jc w:val="left"/>
              <w:rPr>
                <w:sz w:val="18"/>
                <w:szCs w:val="18"/>
              </w:rPr>
            </w:pPr>
            <w:r w:rsidRPr="004C78D8">
              <w:rPr>
                <w:sz w:val="18"/>
                <w:szCs w:val="18"/>
              </w:rPr>
              <w:t>Optician and/or ophthalmologist referral for 17.7% of clients</w:t>
            </w:r>
          </w:p>
        </w:tc>
        <w:tc>
          <w:tcPr>
            <w:tcW w:w="1341" w:type="pct"/>
            <w:tcBorders>
              <w:top w:val="nil"/>
              <w:bottom w:val="nil"/>
            </w:tcBorders>
          </w:tcPr>
          <w:p w14:paraId="63C8378D" w14:textId="7D063F84" w:rsidR="00E91A7D" w:rsidRPr="004C78D8" w:rsidRDefault="00E91A7D" w:rsidP="00FB7C1F">
            <w:pPr>
              <w:jc w:val="left"/>
              <w:rPr>
                <w:sz w:val="18"/>
                <w:szCs w:val="18"/>
              </w:rPr>
            </w:pPr>
            <w:r w:rsidRPr="004C78D8">
              <w:rPr>
                <w:sz w:val="18"/>
                <w:szCs w:val="18"/>
              </w:rPr>
              <w:t xml:space="preserve">£51.33 </w:t>
            </w:r>
            <w:r w:rsidR="00E40E05" w:rsidRPr="004C78D8">
              <w:rPr>
                <w:sz w:val="18"/>
                <w:szCs w:val="18"/>
              </w:rPr>
              <w:t xml:space="preserve">expected </w:t>
            </w:r>
            <w:r w:rsidRPr="004C78D8">
              <w:rPr>
                <w:sz w:val="18"/>
                <w:szCs w:val="18"/>
              </w:rPr>
              <w:t>per client</w:t>
            </w:r>
          </w:p>
        </w:tc>
        <w:tc>
          <w:tcPr>
            <w:tcW w:w="715" w:type="pct"/>
            <w:tcBorders>
              <w:top w:val="nil"/>
              <w:bottom w:val="nil"/>
            </w:tcBorders>
          </w:tcPr>
          <w:p w14:paraId="0D8D331A" w14:textId="09CD423B" w:rsidR="00E91A7D" w:rsidRPr="004C78D8" w:rsidRDefault="00E91A7D" w:rsidP="00FB7C1F">
            <w:pPr>
              <w:jc w:val="left"/>
              <w:rPr>
                <w:sz w:val="18"/>
                <w:szCs w:val="18"/>
              </w:rPr>
            </w:pPr>
            <w:r w:rsidRPr="004C78D8">
              <w:rPr>
                <w:sz w:val="18"/>
                <w:szCs w:val="18"/>
              </w:rPr>
              <w:fldChar w:fldCharType="begin"/>
            </w:r>
            <w:r w:rsidR="00513646" w:rsidRPr="004C78D8">
              <w:rPr>
                <w:sz w:val="18"/>
                <w:szCs w:val="18"/>
              </w:rPr>
              <w:instrText xml:space="preserve"> ADDIN EN.CITE &lt;EndNote&gt;&lt;Cite&gt;&lt;Author&gt;Day&lt;/Author&gt;&lt;Year&gt;2009&lt;/Year&gt;&lt;RecNum&gt;346&lt;/RecNum&gt;&lt;DisplayText&gt;[167]&lt;/DisplayText&gt;&lt;record&gt;&lt;rec-number&gt;346&lt;/rec-number&gt;&lt;foreign-keys&gt;&lt;key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4C78D8">
              <w:rPr>
                <w:sz w:val="18"/>
                <w:szCs w:val="18"/>
              </w:rPr>
              <w:fldChar w:fldCharType="separate"/>
            </w:r>
            <w:r w:rsidR="00513646" w:rsidRPr="004C78D8">
              <w:rPr>
                <w:noProof/>
                <w:sz w:val="18"/>
                <w:szCs w:val="18"/>
              </w:rPr>
              <w:t>[167]</w:t>
            </w:r>
            <w:r w:rsidRPr="004C78D8">
              <w:rPr>
                <w:sz w:val="18"/>
                <w:szCs w:val="18"/>
              </w:rPr>
              <w:fldChar w:fldCharType="end"/>
            </w:r>
          </w:p>
        </w:tc>
      </w:tr>
      <w:tr w:rsidR="00E91A7D" w:rsidRPr="004C78D8" w14:paraId="6D4CCB56" w14:textId="77777777" w:rsidTr="00E35893">
        <w:tc>
          <w:tcPr>
            <w:tcW w:w="843" w:type="pct"/>
            <w:vMerge/>
          </w:tcPr>
          <w:p w14:paraId="3D06788D" w14:textId="77777777" w:rsidR="00E91A7D" w:rsidRPr="004C78D8" w:rsidRDefault="00E91A7D" w:rsidP="00FB7C1F">
            <w:pPr>
              <w:jc w:val="left"/>
              <w:rPr>
                <w:sz w:val="18"/>
                <w:szCs w:val="18"/>
              </w:rPr>
            </w:pPr>
          </w:p>
        </w:tc>
        <w:tc>
          <w:tcPr>
            <w:tcW w:w="2101" w:type="pct"/>
            <w:tcBorders>
              <w:top w:val="nil"/>
              <w:bottom w:val="nil"/>
            </w:tcBorders>
          </w:tcPr>
          <w:p w14:paraId="3C4B9DED" w14:textId="32585DFB" w:rsidR="00E91A7D" w:rsidRPr="004C78D8" w:rsidRDefault="00E91A7D" w:rsidP="00FB7C1F">
            <w:pPr>
              <w:jc w:val="left"/>
              <w:rPr>
                <w:sz w:val="18"/>
                <w:szCs w:val="18"/>
              </w:rPr>
            </w:pPr>
            <w:r w:rsidRPr="004C78D8">
              <w:rPr>
                <w:sz w:val="18"/>
                <w:szCs w:val="18"/>
              </w:rPr>
              <w:t>1 podiatry visit for 17% of clients</w:t>
            </w:r>
          </w:p>
        </w:tc>
        <w:tc>
          <w:tcPr>
            <w:tcW w:w="1341" w:type="pct"/>
            <w:tcBorders>
              <w:top w:val="nil"/>
              <w:bottom w:val="nil"/>
            </w:tcBorders>
          </w:tcPr>
          <w:p w14:paraId="378546CC" w14:textId="599CE9B7" w:rsidR="00E91A7D" w:rsidRPr="004C78D8" w:rsidRDefault="00E91A7D" w:rsidP="00FB7C1F">
            <w:pPr>
              <w:jc w:val="left"/>
              <w:rPr>
                <w:sz w:val="18"/>
                <w:szCs w:val="18"/>
              </w:rPr>
            </w:pPr>
            <w:r w:rsidRPr="004C78D8">
              <w:rPr>
                <w:sz w:val="18"/>
                <w:szCs w:val="18"/>
              </w:rPr>
              <w:t xml:space="preserve">£5.77 </w:t>
            </w:r>
            <w:r w:rsidR="00E40E05" w:rsidRPr="004C78D8">
              <w:rPr>
                <w:sz w:val="18"/>
                <w:szCs w:val="18"/>
              </w:rPr>
              <w:t xml:space="preserve">expected </w:t>
            </w:r>
            <w:r w:rsidRPr="004C78D8">
              <w:rPr>
                <w:sz w:val="18"/>
                <w:szCs w:val="18"/>
              </w:rPr>
              <w:t>per client</w:t>
            </w:r>
          </w:p>
        </w:tc>
        <w:tc>
          <w:tcPr>
            <w:tcW w:w="715" w:type="pct"/>
            <w:tcBorders>
              <w:top w:val="nil"/>
              <w:bottom w:val="nil"/>
            </w:tcBorders>
          </w:tcPr>
          <w:p w14:paraId="778FCE94" w14:textId="27A9F862" w:rsidR="00E91A7D" w:rsidRPr="004C78D8" w:rsidRDefault="00E91A7D" w:rsidP="00FB7C1F">
            <w:pPr>
              <w:jc w:val="left"/>
              <w:rPr>
                <w:sz w:val="18"/>
                <w:szCs w:val="18"/>
              </w:rPr>
            </w:pPr>
            <w:r w:rsidRPr="004C78D8">
              <w:rPr>
                <w:sz w:val="18"/>
                <w:szCs w:val="18"/>
              </w:rPr>
              <w:fldChar w:fldCharType="begin"/>
            </w:r>
            <w:r w:rsidR="00513646" w:rsidRPr="004C78D8">
              <w:rPr>
                <w:sz w:val="18"/>
                <w:szCs w:val="18"/>
              </w:rPr>
              <w:instrText xml:space="preserve"> ADDIN EN.CITE &lt;EndNote&gt;&lt;Cite&gt;&lt;Author&gt;Day&lt;/Author&gt;&lt;Year&gt;2009&lt;/Year&gt;&lt;RecNum&gt;346&lt;/RecNum&gt;&lt;DisplayText&gt;[167]&lt;/DisplayText&gt;&lt;record&gt;&lt;rec-number&gt;346&lt;/rec-number&gt;&lt;foreign-keys&gt;&lt;key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4C78D8">
              <w:rPr>
                <w:sz w:val="18"/>
                <w:szCs w:val="18"/>
              </w:rPr>
              <w:fldChar w:fldCharType="separate"/>
            </w:r>
            <w:r w:rsidR="00513646" w:rsidRPr="004C78D8">
              <w:rPr>
                <w:noProof/>
                <w:sz w:val="18"/>
                <w:szCs w:val="18"/>
              </w:rPr>
              <w:t>[167]</w:t>
            </w:r>
            <w:r w:rsidRPr="004C78D8">
              <w:rPr>
                <w:sz w:val="18"/>
                <w:szCs w:val="18"/>
              </w:rPr>
              <w:fldChar w:fldCharType="end"/>
            </w:r>
          </w:p>
        </w:tc>
      </w:tr>
      <w:tr w:rsidR="00E91A7D" w:rsidRPr="004C78D8" w14:paraId="3E5120C8" w14:textId="77777777" w:rsidTr="00E35893">
        <w:tc>
          <w:tcPr>
            <w:tcW w:w="843" w:type="pct"/>
            <w:vMerge/>
          </w:tcPr>
          <w:p w14:paraId="3755DF80" w14:textId="77777777" w:rsidR="00E91A7D" w:rsidRPr="004C78D8" w:rsidRDefault="00E91A7D" w:rsidP="00FB7C1F">
            <w:pPr>
              <w:jc w:val="left"/>
              <w:rPr>
                <w:sz w:val="18"/>
                <w:szCs w:val="18"/>
              </w:rPr>
            </w:pPr>
          </w:p>
        </w:tc>
        <w:tc>
          <w:tcPr>
            <w:tcW w:w="2101" w:type="pct"/>
            <w:tcBorders>
              <w:top w:val="nil"/>
              <w:bottom w:val="nil"/>
            </w:tcBorders>
          </w:tcPr>
          <w:p w14:paraId="746C0F75" w14:textId="02764A9D" w:rsidR="00E91A7D" w:rsidRPr="004C78D8" w:rsidRDefault="00E91A7D" w:rsidP="00FB7C1F">
            <w:pPr>
              <w:jc w:val="left"/>
              <w:rPr>
                <w:sz w:val="18"/>
                <w:szCs w:val="18"/>
              </w:rPr>
            </w:pPr>
            <w:r w:rsidRPr="004C78D8">
              <w:rPr>
                <w:sz w:val="18"/>
                <w:szCs w:val="18"/>
              </w:rPr>
              <w:t>Geriatric psychiatry for 6.9% of cognitively impaired clients</w:t>
            </w:r>
          </w:p>
        </w:tc>
        <w:tc>
          <w:tcPr>
            <w:tcW w:w="1341" w:type="pct"/>
            <w:tcBorders>
              <w:top w:val="nil"/>
              <w:bottom w:val="nil"/>
            </w:tcBorders>
          </w:tcPr>
          <w:p w14:paraId="5D126F3E" w14:textId="547FBBFA" w:rsidR="00E91A7D" w:rsidRPr="004C78D8" w:rsidRDefault="00E91A7D" w:rsidP="00FB7C1F">
            <w:pPr>
              <w:jc w:val="left"/>
              <w:rPr>
                <w:sz w:val="18"/>
                <w:szCs w:val="18"/>
              </w:rPr>
            </w:pPr>
            <w:r w:rsidRPr="004C78D8">
              <w:rPr>
                <w:sz w:val="18"/>
                <w:szCs w:val="18"/>
              </w:rPr>
              <w:t xml:space="preserve">£0.16 </w:t>
            </w:r>
            <w:r w:rsidR="00E40E05" w:rsidRPr="004C78D8">
              <w:rPr>
                <w:sz w:val="18"/>
                <w:szCs w:val="18"/>
              </w:rPr>
              <w:t xml:space="preserve">expected </w:t>
            </w:r>
            <w:r w:rsidRPr="004C78D8">
              <w:rPr>
                <w:sz w:val="18"/>
                <w:szCs w:val="18"/>
              </w:rPr>
              <w:t>per client</w:t>
            </w:r>
          </w:p>
        </w:tc>
        <w:tc>
          <w:tcPr>
            <w:tcW w:w="715" w:type="pct"/>
            <w:tcBorders>
              <w:top w:val="nil"/>
              <w:bottom w:val="nil"/>
            </w:tcBorders>
          </w:tcPr>
          <w:p w14:paraId="27428766" w14:textId="512CC29B" w:rsidR="00E91A7D" w:rsidRPr="004C78D8" w:rsidRDefault="00E91A7D" w:rsidP="00FB7C1F">
            <w:pPr>
              <w:jc w:val="left"/>
              <w:rPr>
                <w:sz w:val="18"/>
                <w:szCs w:val="18"/>
              </w:rPr>
            </w:pPr>
            <w:r w:rsidRPr="004C78D8">
              <w:rPr>
                <w:sz w:val="18"/>
                <w:szCs w:val="18"/>
              </w:rPr>
              <w:fldChar w:fldCharType="begin"/>
            </w:r>
            <w:r w:rsidR="00513646" w:rsidRPr="004C78D8">
              <w:rPr>
                <w:sz w:val="18"/>
                <w:szCs w:val="18"/>
              </w:rPr>
              <w:instrText xml:space="preserve"> ADDIN EN.CITE &lt;EndNote&gt;&lt;Cite&gt;&lt;Author&gt;Day&lt;/Author&gt;&lt;Year&gt;2009&lt;/Year&gt;&lt;RecNum&gt;346&lt;/RecNum&gt;&lt;DisplayText&gt;[167]&lt;/DisplayText&gt;&lt;record&gt;&lt;rec-number&gt;346&lt;/rec-number&gt;&lt;foreign-keys&gt;&lt;key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4C78D8">
              <w:rPr>
                <w:sz w:val="18"/>
                <w:szCs w:val="18"/>
              </w:rPr>
              <w:fldChar w:fldCharType="separate"/>
            </w:r>
            <w:r w:rsidR="00513646" w:rsidRPr="004C78D8">
              <w:rPr>
                <w:noProof/>
                <w:sz w:val="18"/>
                <w:szCs w:val="18"/>
              </w:rPr>
              <w:t>[167]</w:t>
            </w:r>
            <w:r w:rsidRPr="004C78D8">
              <w:rPr>
                <w:sz w:val="18"/>
                <w:szCs w:val="18"/>
              </w:rPr>
              <w:fldChar w:fldCharType="end"/>
            </w:r>
            <w:r w:rsidRPr="004C78D8">
              <w:rPr>
                <w:sz w:val="18"/>
                <w:szCs w:val="18"/>
              </w:rPr>
              <w:t xml:space="preserve">; </w:t>
            </w:r>
            <w:r w:rsidRPr="004C78D8">
              <w:rPr>
                <w:sz w:val="18"/>
                <w:szCs w:val="18"/>
              </w:rPr>
              <w:fldChar w:fldCharType="begin"/>
            </w:r>
            <w:r w:rsidR="00C630FC" w:rsidRPr="004C78D8">
              <w:rPr>
                <w:sz w:val="18"/>
                <w:szCs w:val="18"/>
              </w:rPr>
              <w:instrText xml:space="preserve"> ADDIN EN.CITE &lt;EndNote&gt;&lt;Cite&gt;&lt;Author&gt;Shaw&lt;/Author&gt;&lt;Year&gt;2003&lt;/Year&gt;&lt;RecNum&gt;514&lt;/RecNum&gt;&lt;DisplayText&gt;[384]&lt;/DisplayText&gt;&lt;record&gt;&lt;rec-number&gt;514&lt;/rec-number&gt;&lt;foreign-keys&gt;&lt;key app="EN" db-id="tdtrdw9aepptzbefsat599syza29sxsd2wsp" timestamp="1617903616"&gt;514&lt;/key&gt;&lt;/foreign-keys&gt;&lt;ref-type name="Journal Article"&gt;17&lt;/ref-type&gt;&lt;contributors&gt;&lt;authors&gt;&lt;author&gt;Shaw, Fiona E&lt;/author&gt;&lt;author&gt;Bond, John&lt;/author&gt;&lt;author&gt;Richardson, David A&lt;/author&gt;&lt;author&gt;Dawson, Pamela&lt;/author&gt;&lt;author&gt;Steen, I Nicholas&lt;/author&gt;&lt;author&gt;McKeith, Ian G&lt;/author&gt;&lt;author&gt;Kenny, Rose Anne&lt;/author&gt;&lt;/authors&gt;&lt;/contributors&gt;&lt;titles&gt;&lt;title&gt;Multifactorial intervention after a fall in older people with cognitive impairment and dementia presenting to the accident and emergency department: randomised controlled trial&lt;/title&gt;&lt;secondary-title&gt;BMJ: British medical journal&lt;/secondary-title&gt;&lt;/titles&gt;&lt;periodical&gt;&lt;full-title&gt;BMJ: British medical journal&lt;/full-title&gt;&lt;/periodical&gt;&lt;pages&gt;73&lt;/pages&gt;&lt;volume&gt;326&lt;/volume&gt;&lt;number&gt;7380&lt;/number&gt;&lt;dates&gt;&lt;year&gt;2003&lt;/year&gt;&lt;/dates&gt;&lt;urls&gt;&lt;/urls&gt;&lt;/record&gt;&lt;/Cite&gt;&lt;/EndNote&gt;</w:instrText>
            </w:r>
            <w:r w:rsidRPr="004C78D8">
              <w:rPr>
                <w:sz w:val="18"/>
                <w:szCs w:val="18"/>
              </w:rPr>
              <w:fldChar w:fldCharType="separate"/>
            </w:r>
            <w:r w:rsidR="00C630FC" w:rsidRPr="004C78D8">
              <w:rPr>
                <w:noProof/>
                <w:sz w:val="18"/>
                <w:szCs w:val="18"/>
              </w:rPr>
              <w:t>[384]</w:t>
            </w:r>
            <w:r w:rsidRPr="004C78D8">
              <w:rPr>
                <w:sz w:val="18"/>
                <w:szCs w:val="18"/>
              </w:rPr>
              <w:fldChar w:fldCharType="end"/>
            </w:r>
          </w:p>
        </w:tc>
      </w:tr>
      <w:tr w:rsidR="00E91A7D" w:rsidRPr="004C78D8" w14:paraId="5EE2DB77" w14:textId="77777777" w:rsidTr="00E35893">
        <w:tc>
          <w:tcPr>
            <w:tcW w:w="843" w:type="pct"/>
            <w:vMerge/>
          </w:tcPr>
          <w:p w14:paraId="4C885DEE" w14:textId="77777777" w:rsidR="00E91A7D" w:rsidRPr="004C78D8" w:rsidRDefault="00E91A7D" w:rsidP="00FB7C1F">
            <w:pPr>
              <w:jc w:val="left"/>
              <w:rPr>
                <w:sz w:val="18"/>
                <w:szCs w:val="18"/>
              </w:rPr>
            </w:pPr>
          </w:p>
        </w:tc>
        <w:tc>
          <w:tcPr>
            <w:tcW w:w="2101" w:type="pct"/>
            <w:tcBorders>
              <w:top w:val="nil"/>
              <w:bottom w:val="nil"/>
            </w:tcBorders>
          </w:tcPr>
          <w:p w14:paraId="26884E80" w14:textId="184E7D0C" w:rsidR="00E91A7D" w:rsidRPr="004C78D8" w:rsidRDefault="00E91A7D" w:rsidP="00FB7C1F">
            <w:pPr>
              <w:jc w:val="left"/>
              <w:rPr>
                <w:sz w:val="18"/>
                <w:szCs w:val="18"/>
              </w:rPr>
            </w:pPr>
            <w:r w:rsidRPr="004C78D8">
              <w:rPr>
                <w:sz w:val="18"/>
                <w:szCs w:val="18"/>
              </w:rPr>
              <w:t>Walking aid for 25% of clients</w:t>
            </w:r>
          </w:p>
        </w:tc>
        <w:tc>
          <w:tcPr>
            <w:tcW w:w="1341" w:type="pct"/>
            <w:tcBorders>
              <w:top w:val="nil"/>
              <w:bottom w:val="nil"/>
            </w:tcBorders>
          </w:tcPr>
          <w:p w14:paraId="49C4B595" w14:textId="435B5756" w:rsidR="00E91A7D" w:rsidRPr="004C78D8" w:rsidRDefault="00E91A7D" w:rsidP="00FB7C1F">
            <w:pPr>
              <w:jc w:val="left"/>
              <w:rPr>
                <w:sz w:val="18"/>
                <w:szCs w:val="18"/>
              </w:rPr>
            </w:pPr>
            <w:r w:rsidRPr="004C78D8">
              <w:rPr>
                <w:sz w:val="18"/>
                <w:szCs w:val="18"/>
              </w:rPr>
              <w:t xml:space="preserve">£21.29 </w:t>
            </w:r>
            <w:r w:rsidR="00E40E05" w:rsidRPr="004C78D8">
              <w:rPr>
                <w:sz w:val="18"/>
                <w:szCs w:val="18"/>
              </w:rPr>
              <w:t xml:space="preserve">expected </w:t>
            </w:r>
            <w:r w:rsidRPr="004C78D8">
              <w:rPr>
                <w:sz w:val="18"/>
                <w:szCs w:val="18"/>
              </w:rPr>
              <w:t>per client</w:t>
            </w:r>
          </w:p>
        </w:tc>
        <w:tc>
          <w:tcPr>
            <w:tcW w:w="715" w:type="pct"/>
            <w:tcBorders>
              <w:top w:val="nil"/>
              <w:bottom w:val="nil"/>
            </w:tcBorders>
          </w:tcPr>
          <w:p w14:paraId="1A76E95A" w14:textId="19624668" w:rsidR="00E91A7D" w:rsidRPr="004C78D8" w:rsidRDefault="00E91A7D" w:rsidP="00FB7C1F">
            <w:pPr>
              <w:jc w:val="left"/>
              <w:rPr>
                <w:sz w:val="18"/>
                <w:szCs w:val="18"/>
              </w:rPr>
            </w:pPr>
            <w:r w:rsidRPr="004C78D8">
              <w:rPr>
                <w:sz w:val="18"/>
                <w:szCs w:val="18"/>
              </w:rPr>
              <w:fldChar w:fldCharType="begin"/>
            </w:r>
            <w:r w:rsidR="00513646" w:rsidRPr="004C78D8">
              <w:rPr>
                <w:sz w:val="18"/>
                <w:szCs w:val="18"/>
              </w:rPr>
              <w:instrText xml:space="preserve"> ADDIN EN.CITE &lt;EndNote&gt;&lt;Cite&gt;&lt;Author&gt;Day&lt;/Author&gt;&lt;Year&gt;2009&lt;/Year&gt;&lt;RecNum&gt;346&lt;/RecNum&gt;&lt;DisplayText&gt;[167]&lt;/DisplayText&gt;&lt;record&gt;&lt;rec-number&gt;346&lt;/rec-number&gt;&lt;foreign-keys&gt;&lt;key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4C78D8">
              <w:rPr>
                <w:sz w:val="18"/>
                <w:szCs w:val="18"/>
              </w:rPr>
              <w:fldChar w:fldCharType="separate"/>
            </w:r>
            <w:r w:rsidR="00513646" w:rsidRPr="004C78D8">
              <w:rPr>
                <w:noProof/>
                <w:sz w:val="18"/>
                <w:szCs w:val="18"/>
              </w:rPr>
              <w:t>[167]</w:t>
            </w:r>
            <w:r w:rsidRPr="004C78D8">
              <w:rPr>
                <w:sz w:val="18"/>
                <w:szCs w:val="18"/>
              </w:rPr>
              <w:fldChar w:fldCharType="end"/>
            </w:r>
          </w:p>
        </w:tc>
      </w:tr>
      <w:tr w:rsidR="00E91A7D" w:rsidRPr="004C78D8" w14:paraId="5D8D25B1" w14:textId="77777777" w:rsidTr="00E35893">
        <w:tc>
          <w:tcPr>
            <w:tcW w:w="843" w:type="pct"/>
            <w:vMerge/>
          </w:tcPr>
          <w:p w14:paraId="353E744C" w14:textId="77777777" w:rsidR="00E91A7D" w:rsidRPr="004C78D8" w:rsidRDefault="00E91A7D" w:rsidP="00FB7C1F">
            <w:pPr>
              <w:jc w:val="left"/>
              <w:rPr>
                <w:sz w:val="18"/>
                <w:szCs w:val="18"/>
              </w:rPr>
            </w:pPr>
          </w:p>
        </w:tc>
        <w:tc>
          <w:tcPr>
            <w:tcW w:w="2101" w:type="pct"/>
            <w:tcBorders>
              <w:top w:val="nil"/>
              <w:bottom w:val="nil"/>
            </w:tcBorders>
          </w:tcPr>
          <w:p w14:paraId="3800467A" w14:textId="6E50F488" w:rsidR="00E91A7D" w:rsidRPr="004C78D8" w:rsidRDefault="00E91A7D" w:rsidP="00FB7C1F">
            <w:pPr>
              <w:jc w:val="left"/>
              <w:rPr>
                <w:sz w:val="18"/>
                <w:szCs w:val="18"/>
              </w:rPr>
            </w:pPr>
            <w:r w:rsidRPr="004C78D8">
              <w:rPr>
                <w:sz w:val="18"/>
                <w:szCs w:val="18"/>
              </w:rPr>
              <w:t>Hip protectors for 17% of clients</w:t>
            </w:r>
          </w:p>
        </w:tc>
        <w:tc>
          <w:tcPr>
            <w:tcW w:w="1341" w:type="pct"/>
            <w:tcBorders>
              <w:top w:val="nil"/>
              <w:bottom w:val="nil"/>
            </w:tcBorders>
          </w:tcPr>
          <w:p w14:paraId="76DB0E86" w14:textId="22325F34" w:rsidR="00E91A7D" w:rsidRPr="004C78D8" w:rsidRDefault="00E91A7D" w:rsidP="00FB7C1F">
            <w:pPr>
              <w:jc w:val="left"/>
              <w:rPr>
                <w:sz w:val="18"/>
                <w:szCs w:val="18"/>
              </w:rPr>
            </w:pPr>
            <w:r w:rsidRPr="004C78D8">
              <w:rPr>
                <w:sz w:val="18"/>
                <w:szCs w:val="18"/>
              </w:rPr>
              <w:t xml:space="preserve">£11.81 </w:t>
            </w:r>
            <w:r w:rsidR="00E40E05" w:rsidRPr="004C78D8">
              <w:rPr>
                <w:sz w:val="18"/>
                <w:szCs w:val="18"/>
              </w:rPr>
              <w:t xml:space="preserve">expected </w:t>
            </w:r>
            <w:r w:rsidRPr="004C78D8">
              <w:rPr>
                <w:sz w:val="18"/>
                <w:szCs w:val="18"/>
              </w:rPr>
              <w:t>per client</w:t>
            </w:r>
          </w:p>
        </w:tc>
        <w:tc>
          <w:tcPr>
            <w:tcW w:w="715" w:type="pct"/>
            <w:tcBorders>
              <w:top w:val="nil"/>
              <w:bottom w:val="nil"/>
            </w:tcBorders>
          </w:tcPr>
          <w:p w14:paraId="4CC931ED" w14:textId="6268DD99" w:rsidR="00E91A7D" w:rsidRPr="004C78D8" w:rsidRDefault="00E91A7D" w:rsidP="00FB7C1F">
            <w:pPr>
              <w:jc w:val="left"/>
              <w:rPr>
                <w:sz w:val="18"/>
                <w:szCs w:val="18"/>
              </w:rPr>
            </w:pPr>
            <w:r w:rsidRPr="004C78D8">
              <w:rPr>
                <w:sz w:val="18"/>
                <w:szCs w:val="18"/>
              </w:rPr>
              <w:fldChar w:fldCharType="begin"/>
            </w:r>
            <w:r w:rsidR="00513646" w:rsidRPr="004C78D8">
              <w:rPr>
                <w:sz w:val="18"/>
                <w:szCs w:val="18"/>
              </w:rPr>
              <w:instrText xml:space="preserve"> ADDIN EN.CITE &lt;EndNote&gt;&lt;Cite&gt;&lt;Author&gt;Day&lt;/Author&gt;&lt;Year&gt;2009&lt;/Year&gt;&lt;RecNum&gt;346&lt;/RecNum&gt;&lt;DisplayText&gt;[167]&lt;/DisplayText&gt;&lt;record&gt;&lt;rec-number&gt;346&lt;/rec-number&gt;&lt;foreign-keys&gt;&lt;key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4C78D8">
              <w:rPr>
                <w:sz w:val="18"/>
                <w:szCs w:val="18"/>
              </w:rPr>
              <w:fldChar w:fldCharType="separate"/>
            </w:r>
            <w:r w:rsidR="00513646" w:rsidRPr="004C78D8">
              <w:rPr>
                <w:noProof/>
                <w:sz w:val="18"/>
                <w:szCs w:val="18"/>
              </w:rPr>
              <w:t>[167]</w:t>
            </w:r>
            <w:r w:rsidRPr="004C78D8">
              <w:rPr>
                <w:sz w:val="18"/>
                <w:szCs w:val="18"/>
              </w:rPr>
              <w:fldChar w:fldCharType="end"/>
            </w:r>
          </w:p>
        </w:tc>
      </w:tr>
      <w:tr w:rsidR="00E91A7D" w:rsidRPr="004C78D8" w14:paraId="25DAC6FB" w14:textId="77777777" w:rsidTr="00E35893">
        <w:tc>
          <w:tcPr>
            <w:tcW w:w="843" w:type="pct"/>
            <w:vMerge/>
          </w:tcPr>
          <w:p w14:paraId="6882AEDE" w14:textId="77777777" w:rsidR="00E91A7D" w:rsidRPr="004C78D8" w:rsidRDefault="00E91A7D" w:rsidP="00FB7C1F">
            <w:pPr>
              <w:jc w:val="left"/>
              <w:rPr>
                <w:sz w:val="18"/>
                <w:szCs w:val="18"/>
              </w:rPr>
            </w:pPr>
          </w:p>
        </w:tc>
        <w:tc>
          <w:tcPr>
            <w:tcW w:w="2101" w:type="pct"/>
            <w:tcBorders>
              <w:top w:val="nil"/>
              <w:bottom w:val="nil"/>
            </w:tcBorders>
          </w:tcPr>
          <w:p w14:paraId="787B7A8C" w14:textId="71B3EC14" w:rsidR="00E91A7D" w:rsidRPr="004C78D8" w:rsidRDefault="00E91A7D" w:rsidP="00FB7C1F">
            <w:pPr>
              <w:jc w:val="left"/>
              <w:rPr>
                <w:sz w:val="18"/>
                <w:szCs w:val="18"/>
              </w:rPr>
            </w:pPr>
            <w:r w:rsidRPr="004C78D8">
              <w:rPr>
                <w:sz w:val="18"/>
                <w:szCs w:val="18"/>
              </w:rPr>
              <w:t>New footwear for 19% of clients</w:t>
            </w:r>
          </w:p>
        </w:tc>
        <w:tc>
          <w:tcPr>
            <w:tcW w:w="1341" w:type="pct"/>
            <w:tcBorders>
              <w:top w:val="nil"/>
              <w:bottom w:val="nil"/>
            </w:tcBorders>
          </w:tcPr>
          <w:p w14:paraId="4A074CA0" w14:textId="017B0305" w:rsidR="00E91A7D" w:rsidRPr="004C78D8" w:rsidRDefault="00E91A7D" w:rsidP="00FB7C1F">
            <w:pPr>
              <w:jc w:val="left"/>
              <w:rPr>
                <w:sz w:val="18"/>
                <w:szCs w:val="18"/>
              </w:rPr>
            </w:pPr>
            <w:r w:rsidRPr="004C78D8">
              <w:rPr>
                <w:sz w:val="18"/>
                <w:szCs w:val="18"/>
              </w:rPr>
              <w:t xml:space="preserve">£10.79 </w:t>
            </w:r>
            <w:r w:rsidR="00E40E05" w:rsidRPr="004C78D8">
              <w:rPr>
                <w:sz w:val="18"/>
                <w:szCs w:val="18"/>
              </w:rPr>
              <w:t xml:space="preserve">expected </w:t>
            </w:r>
            <w:r w:rsidRPr="004C78D8">
              <w:rPr>
                <w:sz w:val="18"/>
                <w:szCs w:val="18"/>
              </w:rPr>
              <w:t>per client</w:t>
            </w:r>
          </w:p>
        </w:tc>
        <w:tc>
          <w:tcPr>
            <w:tcW w:w="715" w:type="pct"/>
            <w:tcBorders>
              <w:top w:val="nil"/>
              <w:bottom w:val="nil"/>
            </w:tcBorders>
          </w:tcPr>
          <w:p w14:paraId="151370CB" w14:textId="47D53FDE" w:rsidR="00E91A7D" w:rsidRPr="004C78D8" w:rsidRDefault="00E91A7D" w:rsidP="00FB7C1F">
            <w:pPr>
              <w:jc w:val="left"/>
              <w:rPr>
                <w:sz w:val="18"/>
                <w:szCs w:val="18"/>
              </w:rPr>
            </w:pPr>
            <w:r w:rsidRPr="004C78D8">
              <w:rPr>
                <w:sz w:val="18"/>
                <w:szCs w:val="18"/>
              </w:rPr>
              <w:fldChar w:fldCharType="begin"/>
            </w:r>
            <w:r w:rsidR="00513646" w:rsidRPr="004C78D8">
              <w:rPr>
                <w:sz w:val="18"/>
                <w:szCs w:val="18"/>
              </w:rPr>
              <w:instrText xml:space="preserve"> ADDIN EN.CITE &lt;EndNote&gt;&lt;Cite&gt;&lt;Author&gt;Day&lt;/Author&gt;&lt;Year&gt;2009&lt;/Year&gt;&lt;RecNum&gt;346&lt;/RecNum&gt;&lt;DisplayText&gt;[167]&lt;/DisplayText&gt;&lt;record&gt;&lt;rec-number&gt;346&lt;/rec-number&gt;&lt;foreign-keys&gt;&lt;key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4C78D8">
              <w:rPr>
                <w:sz w:val="18"/>
                <w:szCs w:val="18"/>
              </w:rPr>
              <w:fldChar w:fldCharType="separate"/>
            </w:r>
            <w:r w:rsidR="00513646" w:rsidRPr="004C78D8">
              <w:rPr>
                <w:noProof/>
                <w:sz w:val="18"/>
                <w:szCs w:val="18"/>
              </w:rPr>
              <w:t>[167]</w:t>
            </w:r>
            <w:r w:rsidRPr="004C78D8">
              <w:rPr>
                <w:sz w:val="18"/>
                <w:szCs w:val="18"/>
              </w:rPr>
              <w:fldChar w:fldCharType="end"/>
            </w:r>
          </w:p>
        </w:tc>
      </w:tr>
      <w:tr w:rsidR="00E91A7D" w:rsidRPr="004C78D8" w14:paraId="35EC0395" w14:textId="77777777" w:rsidTr="00E35893">
        <w:tc>
          <w:tcPr>
            <w:tcW w:w="843" w:type="pct"/>
            <w:vMerge/>
          </w:tcPr>
          <w:p w14:paraId="37479779" w14:textId="77777777" w:rsidR="00E91A7D" w:rsidRPr="004C78D8" w:rsidRDefault="00E91A7D" w:rsidP="00FB7C1F">
            <w:pPr>
              <w:jc w:val="left"/>
              <w:rPr>
                <w:sz w:val="18"/>
                <w:szCs w:val="18"/>
              </w:rPr>
            </w:pPr>
          </w:p>
        </w:tc>
        <w:tc>
          <w:tcPr>
            <w:tcW w:w="2101" w:type="pct"/>
            <w:tcBorders>
              <w:top w:val="nil"/>
              <w:bottom w:val="nil"/>
            </w:tcBorders>
          </w:tcPr>
          <w:p w14:paraId="508AC15E" w14:textId="5E5A569B" w:rsidR="00E91A7D" w:rsidRPr="004C78D8" w:rsidRDefault="00E91A7D" w:rsidP="00FB7C1F">
            <w:pPr>
              <w:jc w:val="left"/>
              <w:rPr>
                <w:sz w:val="18"/>
                <w:szCs w:val="18"/>
              </w:rPr>
            </w:pPr>
            <w:r w:rsidRPr="004C78D8">
              <w:rPr>
                <w:sz w:val="18"/>
                <w:szCs w:val="18"/>
              </w:rPr>
              <w:t>HAM major modifications (social car</w:t>
            </w:r>
            <w:r w:rsidR="00AA6AA4" w:rsidRPr="004C78D8">
              <w:rPr>
                <w:sz w:val="18"/>
                <w:szCs w:val="18"/>
              </w:rPr>
              <w:t>e</w:t>
            </w:r>
            <w:r w:rsidRPr="004C78D8">
              <w:rPr>
                <w:sz w:val="18"/>
                <w:szCs w:val="18"/>
              </w:rPr>
              <w:t>)</w:t>
            </w:r>
          </w:p>
        </w:tc>
        <w:tc>
          <w:tcPr>
            <w:tcW w:w="1341" w:type="pct"/>
            <w:tcBorders>
              <w:top w:val="nil"/>
              <w:bottom w:val="nil"/>
            </w:tcBorders>
          </w:tcPr>
          <w:p w14:paraId="1EF58252" w14:textId="672F81F9" w:rsidR="00E91A7D" w:rsidRPr="004C78D8" w:rsidRDefault="00E91A7D" w:rsidP="00FB7C1F">
            <w:pPr>
              <w:jc w:val="left"/>
              <w:rPr>
                <w:sz w:val="18"/>
                <w:szCs w:val="18"/>
              </w:rPr>
            </w:pPr>
            <w:r w:rsidRPr="004C78D8">
              <w:rPr>
                <w:sz w:val="18"/>
                <w:szCs w:val="18"/>
              </w:rPr>
              <w:t xml:space="preserve">£94.97 </w:t>
            </w:r>
            <w:r w:rsidR="00E40E05" w:rsidRPr="004C78D8">
              <w:rPr>
                <w:sz w:val="18"/>
                <w:szCs w:val="18"/>
              </w:rPr>
              <w:t xml:space="preserve">expected </w:t>
            </w:r>
            <w:r w:rsidRPr="004C78D8">
              <w:rPr>
                <w:sz w:val="18"/>
                <w:szCs w:val="18"/>
              </w:rPr>
              <w:t>per client</w:t>
            </w:r>
          </w:p>
        </w:tc>
        <w:tc>
          <w:tcPr>
            <w:tcW w:w="715" w:type="pct"/>
            <w:tcBorders>
              <w:top w:val="nil"/>
              <w:bottom w:val="nil"/>
            </w:tcBorders>
          </w:tcPr>
          <w:p w14:paraId="4B9533AB" w14:textId="47A5569F" w:rsidR="00E91A7D" w:rsidRPr="004C78D8" w:rsidRDefault="00B173DD"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4C78D8">
              <w:rPr>
                <w:sz w:val="18"/>
                <w:szCs w:val="18"/>
              </w:rPr>
              <w:fldChar w:fldCharType="separate"/>
            </w:r>
            <w:r w:rsidR="00C630FC" w:rsidRPr="004C78D8">
              <w:rPr>
                <w:noProof/>
                <w:sz w:val="18"/>
                <w:szCs w:val="18"/>
              </w:rPr>
              <w:t>[216]</w:t>
            </w:r>
            <w:r w:rsidRPr="004C78D8">
              <w:rPr>
                <w:sz w:val="18"/>
                <w:szCs w:val="18"/>
              </w:rPr>
              <w:fldChar w:fldCharType="end"/>
            </w:r>
          </w:p>
        </w:tc>
      </w:tr>
      <w:tr w:rsidR="00E91A7D" w:rsidRPr="004C78D8" w14:paraId="0DA2362A" w14:textId="77777777" w:rsidTr="00E35893">
        <w:tc>
          <w:tcPr>
            <w:tcW w:w="843" w:type="pct"/>
            <w:vMerge/>
          </w:tcPr>
          <w:p w14:paraId="27BF28AE" w14:textId="77777777" w:rsidR="00E91A7D" w:rsidRPr="004C78D8" w:rsidRDefault="00E91A7D" w:rsidP="00FB7C1F">
            <w:pPr>
              <w:jc w:val="left"/>
              <w:rPr>
                <w:sz w:val="18"/>
                <w:szCs w:val="18"/>
              </w:rPr>
            </w:pPr>
          </w:p>
        </w:tc>
        <w:tc>
          <w:tcPr>
            <w:tcW w:w="2101" w:type="pct"/>
            <w:tcBorders>
              <w:top w:val="nil"/>
              <w:bottom w:val="nil"/>
            </w:tcBorders>
          </w:tcPr>
          <w:p w14:paraId="6B886C5B" w14:textId="50BBF6E7" w:rsidR="00E91A7D" w:rsidRPr="004C78D8" w:rsidRDefault="00E91A7D" w:rsidP="00FB7C1F">
            <w:pPr>
              <w:jc w:val="left"/>
              <w:rPr>
                <w:sz w:val="18"/>
                <w:szCs w:val="18"/>
              </w:rPr>
            </w:pPr>
            <w:r w:rsidRPr="004C78D8">
              <w:rPr>
                <w:sz w:val="18"/>
                <w:szCs w:val="18"/>
              </w:rPr>
              <w:t>Handouts and amenities</w:t>
            </w:r>
          </w:p>
        </w:tc>
        <w:tc>
          <w:tcPr>
            <w:tcW w:w="1341" w:type="pct"/>
            <w:tcBorders>
              <w:top w:val="nil"/>
              <w:bottom w:val="nil"/>
            </w:tcBorders>
          </w:tcPr>
          <w:p w14:paraId="202E11EB" w14:textId="3A0F4C9F" w:rsidR="00E91A7D" w:rsidRPr="004C78D8" w:rsidRDefault="00E91A7D" w:rsidP="00FB7C1F">
            <w:pPr>
              <w:jc w:val="left"/>
              <w:rPr>
                <w:sz w:val="18"/>
                <w:szCs w:val="18"/>
              </w:rPr>
            </w:pPr>
            <w:r w:rsidRPr="004C78D8">
              <w:rPr>
                <w:sz w:val="18"/>
                <w:szCs w:val="18"/>
              </w:rPr>
              <w:t>£22.71 per client</w:t>
            </w:r>
          </w:p>
        </w:tc>
        <w:tc>
          <w:tcPr>
            <w:tcW w:w="715" w:type="pct"/>
            <w:tcBorders>
              <w:top w:val="nil"/>
              <w:bottom w:val="nil"/>
            </w:tcBorders>
          </w:tcPr>
          <w:p w14:paraId="22721527" w14:textId="2BE016B5" w:rsidR="00E91A7D" w:rsidRPr="004C78D8" w:rsidRDefault="00B173DD"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&lt;EndNote&gt;&lt;Cite&gt;&lt;Author&gt;Comans&lt;/Author&gt;&lt;Year&gt;2009&lt;/Year&gt;&lt;RecNum&gt;376&lt;/RecNum&gt;&lt;DisplayText&gt;[207]&lt;/DisplayText&gt;&lt;record&gt;&lt;rec-number&gt;376&lt;/rec-number&gt;&lt;foreign-keys&gt;&lt;key app="EN" db-id="tdtrdw9aepptzbefsat599syza29sxsd2wsp" timestamp="1612625082"&gt;376&lt;/key&gt;&lt;/foreign-keys&gt;&lt;ref-type name="Journal Article"&gt;17&lt;/ref-type&gt;&lt;contributors&gt;&lt;authors&gt;&lt;author&gt;Comans, Tracy&lt;/author&gt;&lt;author&gt;Brauer, Sandy&lt;/author&gt;&lt;author&gt;Haines, Terry&lt;/author&gt;&lt;/authors&gt;&lt;/contributors&gt;&lt;titles&gt;&lt;title&gt;A break-even analysis of a community rehabilitation falls prevention service&lt;/title&gt;&lt;secondary-title&gt;Australian and New Zealand journal of public health&lt;/secondary-title&gt;&lt;/titles&gt;&lt;periodical&gt;&lt;full-title&gt;Australian and New Zealand journal of public health&lt;/full-title&gt;&lt;/periodical&gt;&lt;pages&gt;240-5&lt;/pages&gt;&lt;volume&gt;33&lt;/volume&gt;&lt;number&gt;3&lt;/number&gt;&lt;section&gt;Comans, Tracy. The Community Rehabilitation Service, Southside Health Service District and School of Health and Rehabilitation Sciences, University of Queensland, Queensland, Australia. tracy.comans@uqconnect.edu.au&lt;/section&gt;&lt;keywords&gt;&lt;keyword&gt;*Accidental Falls/pc [Prevention &amp;amp; Control]&lt;/keyword&gt;&lt;keyword&gt;Aged&lt;/keyword&gt;&lt;keyword&gt;Aged, 80 and over&lt;/keyword&gt;&lt;keyword&gt;Cost-Benefit Analysis&lt;/keyword&gt;&lt;keyword&gt;Efficiency, Organizational/ec [Economics]&lt;/keyword&gt;&lt;keyword&gt;*Efficiency, Organizational&lt;/keyword&gt;&lt;keyword&gt;Female&lt;/keyword&gt;&lt;keyword&gt;Humans&lt;/keyword&gt;&lt;keyword&gt;Interdisciplinary Communication&lt;/keyword&gt;&lt;keyword&gt;Male&lt;/keyword&gt;&lt;keyword&gt;Models, Theoretical&lt;/keyword&gt;&lt;keyword&gt;*Preventive Health Services/st [Standards]&lt;/keyword&gt;&lt;keyword&gt;*Rehabilitation Centers&lt;/keyword&gt;&lt;/keywords&gt;&lt;dates&gt;&lt;year&gt;2009&lt;/year&gt;&lt;/dates&gt;&lt;pub-location&gt;Australia&lt;/pub-location&gt;&lt;isbn&gt;1326-0200&lt;/isbn&gt;&lt;urls&gt;&lt;related-urls&gt;&lt;url&gt;http://ovidsp.ovid.com/ovidweb.cgi?T=JS&amp;amp;PAGE=reference&amp;amp;D=med6&amp;amp;NEWS=N&amp;amp;AN=19630843&lt;/url&gt;&lt;/related-urls&gt;&lt;/urls&gt;&lt;electronic-resource-num&gt;https://dx.doi.org/10.1111/j.1753-6405.2009.00382.x&lt;/electronic-resource-num&gt;&lt;remote-database-name&gt;Medline&lt;/remote-database-name&gt;&lt;/record&gt;&lt;/Cite&gt;&lt;/EndNote&gt;</w:instrText>
            </w:r>
            <w:r w:rsidRPr="004C78D8">
              <w:rPr>
                <w:sz w:val="18"/>
                <w:szCs w:val="18"/>
              </w:rPr>
              <w:fldChar w:fldCharType="separate"/>
            </w:r>
            <w:r w:rsidR="00C630FC" w:rsidRPr="004C78D8">
              <w:rPr>
                <w:noProof/>
                <w:sz w:val="18"/>
                <w:szCs w:val="18"/>
              </w:rPr>
              <w:t>[207]</w:t>
            </w:r>
            <w:r w:rsidRPr="004C78D8">
              <w:rPr>
                <w:sz w:val="18"/>
                <w:szCs w:val="18"/>
              </w:rPr>
              <w:fldChar w:fldCharType="end"/>
            </w:r>
          </w:p>
        </w:tc>
      </w:tr>
      <w:tr w:rsidR="00E91A7D" w:rsidRPr="004C78D8" w14:paraId="723C4964" w14:textId="77777777" w:rsidTr="00E35893">
        <w:tc>
          <w:tcPr>
            <w:tcW w:w="843" w:type="pct"/>
            <w:vMerge/>
          </w:tcPr>
          <w:p w14:paraId="30A80DD4" w14:textId="77777777" w:rsidR="00E91A7D" w:rsidRPr="004C78D8" w:rsidRDefault="00E91A7D" w:rsidP="00FB7C1F">
            <w:pPr>
              <w:jc w:val="left"/>
              <w:rPr>
                <w:sz w:val="18"/>
                <w:szCs w:val="18"/>
              </w:rPr>
            </w:pPr>
          </w:p>
        </w:tc>
        <w:tc>
          <w:tcPr>
            <w:tcW w:w="2101" w:type="pct"/>
            <w:tcBorders>
              <w:bottom w:val="nil"/>
            </w:tcBorders>
          </w:tcPr>
          <w:p w14:paraId="3A274B0B" w14:textId="2BCBC06D" w:rsidR="00E91A7D" w:rsidRPr="004C78D8" w:rsidRDefault="00E91A7D" w:rsidP="00FB7C1F">
            <w:pPr>
              <w:jc w:val="left"/>
              <w:rPr>
                <w:i/>
                <w:iCs/>
                <w:sz w:val="18"/>
                <w:szCs w:val="18"/>
              </w:rPr>
            </w:pPr>
            <w:r w:rsidRPr="004C78D8">
              <w:rPr>
                <w:b/>
                <w:bCs/>
                <w:i/>
                <w:iCs/>
                <w:sz w:val="18"/>
                <w:szCs w:val="18"/>
              </w:rPr>
              <w:t>Total cost per client</w:t>
            </w:r>
          </w:p>
        </w:tc>
        <w:tc>
          <w:tcPr>
            <w:tcW w:w="1341" w:type="pct"/>
            <w:tcBorders>
              <w:bottom w:val="nil"/>
            </w:tcBorders>
          </w:tcPr>
          <w:p w14:paraId="34F17B85" w14:textId="0CA42E7E" w:rsidR="00E91A7D" w:rsidRPr="004C78D8" w:rsidRDefault="00E91A7D" w:rsidP="00FB7C1F">
            <w:pPr>
              <w:jc w:val="left"/>
              <w:rPr>
                <w:b/>
                <w:bCs/>
                <w:sz w:val="18"/>
                <w:szCs w:val="18"/>
              </w:rPr>
            </w:pPr>
            <w:r w:rsidRPr="004C78D8">
              <w:rPr>
                <w:b/>
                <w:bCs/>
                <w:sz w:val="18"/>
                <w:szCs w:val="18"/>
              </w:rPr>
              <w:t>£251.73</w:t>
            </w:r>
          </w:p>
        </w:tc>
        <w:tc>
          <w:tcPr>
            <w:tcW w:w="715" w:type="pct"/>
            <w:tcBorders>
              <w:bottom w:val="nil"/>
            </w:tcBorders>
          </w:tcPr>
          <w:p w14:paraId="2F1C7835" w14:textId="77777777" w:rsidR="00E91A7D" w:rsidRPr="004C78D8" w:rsidRDefault="00E91A7D" w:rsidP="00FB7C1F">
            <w:pPr>
              <w:jc w:val="left"/>
              <w:rPr>
                <w:sz w:val="18"/>
                <w:szCs w:val="18"/>
              </w:rPr>
            </w:pPr>
          </w:p>
        </w:tc>
      </w:tr>
      <w:tr w:rsidR="00E91A7D" w:rsidRPr="004C78D8" w14:paraId="1F07ABBC" w14:textId="77777777" w:rsidTr="00E35893">
        <w:tc>
          <w:tcPr>
            <w:tcW w:w="843" w:type="pct"/>
            <w:vMerge w:val="restart"/>
          </w:tcPr>
          <w:p w14:paraId="6FC5749A" w14:textId="744143FF" w:rsidR="00E91A7D" w:rsidRPr="004C78D8" w:rsidRDefault="00E91A7D" w:rsidP="00FB7C1F">
            <w:pPr>
              <w:jc w:val="left"/>
              <w:rPr>
                <w:sz w:val="18"/>
                <w:szCs w:val="18"/>
              </w:rPr>
            </w:pPr>
            <w:r w:rsidRPr="004C78D8">
              <w:rPr>
                <w:sz w:val="18"/>
                <w:szCs w:val="18"/>
              </w:rPr>
              <w:t>Non-public sector</w:t>
            </w:r>
            <w:r w:rsidR="00B173DD" w:rsidRPr="004C78D8">
              <w:rPr>
                <w:sz w:val="18"/>
                <w:szCs w:val="18"/>
              </w:rPr>
              <w:t xml:space="preserve"> </w:t>
            </w:r>
            <w:r w:rsidR="00AA6AA4" w:rsidRPr="004C78D8">
              <w:rPr>
                <w:sz w:val="18"/>
                <w:szCs w:val="18"/>
              </w:rPr>
              <w:t xml:space="preserve">cost </w:t>
            </w:r>
            <w:r w:rsidR="00B173DD" w:rsidRPr="004C78D8">
              <w:rPr>
                <w:sz w:val="18"/>
                <w:szCs w:val="18"/>
              </w:rPr>
              <w:t>per participant</w:t>
            </w:r>
          </w:p>
        </w:tc>
        <w:tc>
          <w:tcPr>
            <w:tcW w:w="2101" w:type="pct"/>
            <w:tcBorders>
              <w:bottom w:val="nil"/>
            </w:tcBorders>
          </w:tcPr>
          <w:p w14:paraId="05173A8D" w14:textId="38510647" w:rsidR="00E91A7D" w:rsidRPr="004C78D8" w:rsidRDefault="00E91A7D" w:rsidP="00FB7C1F">
            <w:pPr>
              <w:jc w:val="left"/>
              <w:rPr>
                <w:sz w:val="18"/>
                <w:szCs w:val="18"/>
              </w:rPr>
            </w:pPr>
            <w:r w:rsidRPr="004C78D8">
              <w:rPr>
                <w:sz w:val="18"/>
                <w:szCs w:val="18"/>
              </w:rPr>
              <w:t>Travel cost</w:t>
            </w:r>
          </w:p>
        </w:tc>
        <w:tc>
          <w:tcPr>
            <w:tcW w:w="1341" w:type="pct"/>
            <w:tcBorders>
              <w:bottom w:val="nil"/>
            </w:tcBorders>
          </w:tcPr>
          <w:p w14:paraId="64ADCD14" w14:textId="57DEA0C0" w:rsidR="00E91A7D" w:rsidRPr="004C78D8" w:rsidRDefault="00E91A7D" w:rsidP="00FB7C1F">
            <w:pPr>
              <w:jc w:val="left"/>
              <w:rPr>
                <w:sz w:val="18"/>
                <w:szCs w:val="18"/>
              </w:rPr>
            </w:pPr>
            <w:r w:rsidRPr="004C78D8">
              <w:rPr>
                <w:sz w:val="18"/>
                <w:szCs w:val="18"/>
              </w:rPr>
              <w:t>£62.45 per year</w:t>
            </w:r>
          </w:p>
        </w:tc>
        <w:tc>
          <w:tcPr>
            <w:tcW w:w="715" w:type="pct"/>
            <w:tcBorders>
              <w:bottom w:val="nil"/>
            </w:tcBorders>
          </w:tcPr>
          <w:p w14:paraId="7AA174B8" w14:textId="7FD63798" w:rsidR="00E91A7D" w:rsidRPr="004C78D8" w:rsidRDefault="00B173DD"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&lt;EndNote&gt;&lt;Cite&gt;&lt;Author&gt;Comans&lt;/Author&gt;&lt;Year&gt;2009&lt;/Year&gt;&lt;RecNum&gt;376&lt;/RecNum&gt;&lt;DisplayText&gt;[207]&lt;/DisplayText&gt;&lt;record&gt;&lt;rec-number&gt;376&lt;/rec-number&gt;&lt;foreign-keys&gt;&lt;key app="EN" db-id="tdtrdw9aepptzbefsat599syza29sxsd2wsp" timestamp="1612625082"&gt;376&lt;/key&gt;&lt;/foreign-keys&gt;&lt;ref-type name="Journal Article"&gt;17&lt;/ref-type&gt;&lt;contributors&gt;&lt;authors&gt;&lt;author&gt;Comans, Tracy&lt;/author&gt;&lt;author&gt;Brauer, Sandy&lt;/author&gt;&lt;author&gt;Haines, Terry&lt;/author&gt;&lt;/authors&gt;&lt;/contributors&gt;&lt;titles&gt;&lt;title&gt;A break-even analysis of a community rehabilitation falls prevention service&lt;/title&gt;&lt;secondary-title&gt;Australian and New Zealand journal of public health&lt;/secondary-title&gt;&lt;/titles&gt;&lt;periodical&gt;&lt;full-title&gt;Australian and New Zealand journal of public health&lt;/full-title&gt;&lt;/periodical&gt;&lt;pages&gt;240-5&lt;/pages&gt;&lt;volume&gt;33&lt;/volume&gt;&lt;number&gt;3&lt;/number&gt;&lt;section&gt;Comans, Tracy. The Community Rehabilitation Service, Southside Health Service District and School of Health and Rehabilitation Sciences, University of Queensland, Queensland, Australia. tracy.comans@uqconnect.edu.au&lt;/section&gt;&lt;keywords&gt;&lt;keyword&gt;*Accidental Falls/pc [Prevention &amp;amp; Control]&lt;/keyword&gt;&lt;keyword&gt;Aged&lt;/keyword&gt;&lt;keyword&gt;Aged, 80 and over&lt;/keyword&gt;&lt;keyword&gt;Cost-Benefit Analysis&lt;/keyword&gt;&lt;keyword&gt;Efficiency, Organizational/ec [Economics]&lt;/keyword&gt;&lt;keyword&gt;*Efficiency, Organizational&lt;/keyword&gt;&lt;keyword&gt;Female&lt;/keyword&gt;&lt;keyword&gt;Humans&lt;/keyword&gt;&lt;keyword&gt;Interdisciplinary Communication&lt;/keyword&gt;&lt;keyword&gt;Male&lt;/keyword&gt;&lt;keyword&gt;Models, Theoretical&lt;/keyword&gt;&lt;keyword&gt;*Preventive Health Services/st [Standards]&lt;/keyword&gt;&lt;keyword&gt;*Rehabilitation Centers&lt;/keyword&gt;&lt;/keywords&gt;&lt;dates&gt;&lt;year&gt;2009&lt;/year&gt;&lt;/dates&gt;&lt;pub-location&gt;Australia&lt;/pub-location&gt;&lt;isbn&gt;1326-0200&lt;/isbn&gt;&lt;urls&gt;&lt;related-urls&gt;&lt;url&gt;http://ovidsp.ovid.com/ovidweb.cgi?T=JS&amp;amp;PAGE=reference&amp;amp;D=med6&amp;amp;NEWS=N&amp;amp;AN=19630843&lt;/url&gt;&lt;/related-urls&gt;&lt;/urls&gt;&lt;electronic-resource-num&gt;https://dx.doi.org/10.1111/j.1753-6405.2009.00382.x&lt;/electronic-resource-num&gt;&lt;remote-database-name&gt;Medline&lt;/remote-database-name&gt;&lt;/record&gt;&lt;/Cite&gt;&lt;/EndNote&gt;</w:instrText>
            </w:r>
            <w:r w:rsidRPr="004C78D8">
              <w:rPr>
                <w:sz w:val="18"/>
                <w:szCs w:val="18"/>
              </w:rPr>
              <w:fldChar w:fldCharType="separate"/>
            </w:r>
            <w:r w:rsidR="00C630FC" w:rsidRPr="004C78D8">
              <w:rPr>
                <w:noProof/>
                <w:sz w:val="18"/>
                <w:szCs w:val="18"/>
              </w:rPr>
              <w:t>[207]</w:t>
            </w:r>
            <w:r w:rsidRPr="004C78D8">
              <w:rPr>
                <w:sz w:val="18"/>
                <w:szCs w:val="18"/>
              </w:rPr>
              <w:fldChar w:fldCharType="end"/>
            </w:r>
          </w:p>
        </w:tc>
      </w:tr>
      <w:tr w:rsidR="00E91A7D" w:rsidRPr="004C78D8" w14:paraId="467F853A" w14:textId="77777777" w:rsidTr="00E35893">
        <w:tc>
          <w:tcPr>
            <w:tcW w:w="843" w:type="pct"/>
            <w:vMerge/>
          </w:tcPr>
          <w:p w14:paraId="6D8A9083" w14:textId="77777777" w:rsidR="00E91A7D" w:rsidRPr="004C78D8" w:rsidRDefault="00E91A7D" w:rsidP="00FB7C1F">
            <w:pPr>
              <w:jc w:val="left"/>
              <w:rPr>
                <w:sz w:val="18"/>
                <w:szCs w:val="18"/>
              </w:rPr>
            </w:pPr>
          </w:p>
        </w:tc>
        <w:tc>
          <w:tcPr>
            <w:tcW w:w="2101" w:type="pct"/>
            <w:tcBorders>
              <w:top w:val="nil"/>
              <w:bottom w:val="nil"/>
            </w:tcBorders>
          </w:tcPr>
          <w:p w14:paraId="77D6DFA8" w14:textId="069DFB78" w:rsidR="00E91A7D" w:rsidRPr="004C78D8" w:rsidRDefault="00E91A7D" w:rsidP="00FB7C1F">
            <w:pPr>
              <w:jc w:val="left"/>
              <w:rPr>
                <w:sz w:val="18"/>
                <w:szCs w:val="18"/>
              </w:rPr>
            </w:pPr>
            <w:r w:rsidRPr="004C78D8">
              <w:rPr>
                <w:sz w:val="18"/>
                <w:szCs w:val="18"/>
              </w:rPr>
              <w:t>HAM major modifications (self-funded)</w:t>
            </w:r>
          </w:p>
        </w:tc>
        <w:tc>
          <w:tcPr>
            <w:tcW w:w="1341" w:type="pct"/>
            <w:tcBorders>
              <w:top w:val="nil"/>
              <w:bottom w:val="nil"/>
            </w:tcBorders>
          </w:tcPr>
          <w:p w14:paraId="3D030AAB" w14:textId="05BD0C38" w:rsidR="00E91A7D" w:rsidRPr="004C78D8" w:rsidRDefault="00E91A7D" w:rsidP="00FB7C1F">
            <w:pPr>
              <w:jc w:val="left"/>
              <w:rPr>
                <w:sz w:val="18"/>
                <w:szCs w:val="18"/>
              </w:rPr>
            </w:pPr>
            <w:r w:rsidRPr="004C78D8">
              <w:rPr>
                <w:sz w:val="18"/>
                <w:szCs w:val="18"/>
              </w:rPr>
              <w:t>£94.97 per receipt</w:t>
            </w:r>
          </w:p>
        </w:tc>
        <w:tc>
          <w:tcPr>
            <w:tcW w:w="715" w:type="pct"/>
            <w:tcBorders>
              <w:top w:val="nil"/>
              <w:bottom w:val="nil"/>
            </w:tcBorders>
          </w:tcPr>
          <w:p w14:paraId="38BD0542" w14:textId="636D711E" w:rsidR="00E91A7D" w:rsidRPr="004C78D8" w:rsidRDefault="00911CAE"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4C78D8">
              <w:rPr>
                <w:sz w:val="18"/>
                <w:szCs w:val="18"/>
              </w:rPr>
              <w:fldChar w:fldCharType="separate"/>
            </w:r>
            <w:r w:rsidR="00C630FC" w:rsidRPr="004C78D8">
              <w:rPr>
                <w:noProof/>
                <w:sz w:val="18"/>
                <w:szCs w:val="18"/>
              </w:rPr>
              <w:t>[216]</w:t>
            </w:r>
            <w:r w:rsidRPr="004C78D8">
              <w:rPr>
                <w:sz w:val="18"/>
                <w:szCs w:val="18"/>
              </w:rPr>
              <w:fldChar w:fldCharType="end"/>
            </w:r>
          </w:p>
        </w:tc>
      </w:tr>
      <w:tr w:rsidR="00B173DD" w:rsidRPr="004C78D8" w14:paraId="5A64B52D" w14:textId="77777777" w:rsidTr="00E35893">
        <w:tc>
          <w:tcPr>
            <w:tcW w:w="843" w:type="pct"/>
            <w:vMerge/>
          </w:tcPr>
          <w:p w14:paraId="084C5119" w14:textId="77777777" w:rsidR="00B173DD" w:rsidRPr="004C78D8" w:rsidRDefault="00B173DD" w:rsidP="00FB7C1F">
            <w:pPr>
              <w:jc w:val="left"/>
              <w:rPr>
                <w:sz w:val="18"/>
                <w:szCs w:val="18"/>
              </w:rPr>
            </w:pPr>
          </w:p>
        </w:tc>
        <w:tc>
          <w:tcPr>
            <w:tcW w:w="2101" w:type="pct"/>
            <w:tcBorders>
              <w:top w:val="nil"/>
              <w:bottom w:val="nil"/>
            </w:tcBorders>
          </w:tcPr>
          <w:p w14:paraId="72CFE600" w14:textId="1560613F" w:rsidR="00B173DD" w:rsidRPr="004C78D8" w:rsidRDefault="00B173DD" w:rsidP="00FB7C1F">
            <w:pPr>
              <w:jc w:val="left"/>
              <w:rPr>
                <w:sz w:val="18"/>
                <w:szCs w:val="18"/>
              </w:rPr>
            </w:pPr>
            <w:r w:rsidRPr="004C78D8">
              <w:rPr>
                <w:sz w:val="18"/>
                <w:szCs w:val="18"/>
              </w:rPr>
              <w:t>Time opportunity cost – if employed</w:t>
            </w:r>
            <w:r w:rsidR="00F12992" w:rsidRPr="004C78D8">
              <w:rPr>
                <w:sz w:val="18"/>
                <w:szCs w:val="18"/>
                <w:vertAlign w:val="superscript"/>
              </w:rPr>
              <w:t>10</w:t>
            </w:r>
          </w:p>
        </w:tc>
        <w:tc>
          <w:tcPr>
            <w:tcW w:w="1341" w:type="pct"/>
            <w:tcBorders>
              <w:top w:val="nil"/>
              <w:bottom w:val="nil"/>
            </w:tcBorders>
          </w:tcPr>
          <w:p w14:paraId="157039C0" w14:textId="62EFF47C" w:rsidR="00B173DD" w:rsidRPr="004C78D8" w:rsidRDefault="00B173DD" w:rsidP="00FB7C1F">
            <w:pPr>
              <w:jc w:val="left"/>
              <w:rPr>
                <w:sz w:val="18"/>
                <w:szCs w:val="18"/>
              </w:rPr>
            </w:pPr>
            <w:r w:rsidRPr="004C78D8">
              <w:rPr>
                <w:sz w:val="18"/>
                <w:szCs w:val="18"/>
              </w:rPr>
              <w:t>£348.80 per year</w:t>
            </w:r>
          </w:p>
        </w:tc>
        <w:tc>
          <w:tcPr>
            <w:tcW w:w="715" w:type="pct"/>
            <w:tcBorders>
              <w:top w:val="nil"/>
              <w:bottom w:val="nil"/>
            </w:tcBorders>
          </w:tcPr>
          <w:p w14:paraId="0D6442D6" w14:textId="77777777" w:rsidR="00B173DD" w:rsidRPr="004C78D8" w:rsidRDefault="00B173DD" w:rsidP="00FB7C1F">
            <w:pPr>
              <w:jc w:val="left"/>
              <w:rPr>
                <w:sz w:val="18"/>
                <w:szCs w:val="18"/>
              </w:rPr>
            </w:pPr>
          </w:p>
        </w:tc>
      </w:tr>
      <w:tr w:rsidR="00B173DD" w:rsidRPr="004C78D8" w14:paraId="7AAC5A9C" w14:textId="77777777" w:rsidTr="00E35893">
        <w:tc>
          <w:tcPr>
            <w:tcW w:w="843" w:type="pct"/>
            <w:vMerge/>
          </w:tcPr>
          <w:p w14:paraId="3AE50C00" w14:textId="77777777" w:rsidR="00B173DD" w:rsidRPr="004C78D8" w:rsidRDefault="00B173DD" w:rsidP="00FB7C1F">
            <w:pPr>
              <w:jc w:val="left"/>
              <w:rPr>
                <w:sz w:val="18"/>
                <w:szCs w:val="18"/>
              </w:rPr>
            </w:pPr>
          </w:p>
        </w:tc>
        <w:tc>
          <w:tcPr>
            <w:tcW w:w="2101" w:type="pct"/>
            <w:tcBorders>
              <w:top w:val="nil"/>
              <w:bottom w:val="nil"/>
            </w:tcBorders>
          </w:tcPr>
          <w:p w14:paraId="000A39E4" w14:textId="203AAC78" w:rsidR="00B173DD" w:rsidRPr="004C78D8" w:rsidRDefault="00B173DD" w:rsidP="00FB7C1F">
            <w:pPr>
              <w:jc w:val="left"/>
              <w:rPr>
                <w:sz w:val="18"/>
                <w:szCs w:val="18"/>
              </w:rPr>
            </w:pPr>
            <w:r w:rsidRPr="004C78D8">
              <w:rPr>
                <w:sz w:val="18"/>
                <w:szCs w:val="18"/>
              </w:rPr>
              <w:t>Time opportunity cost – if engaged in regular unpaid work</w:t>
            </w:r>
            <w:r w:rsidR="00F12992" w:rsidRPr="004C78D8">
              <w:rPr>
                <w:sz w:val="18"/>
                <w:szCs w:val="18"/>
                <w:vertAlign w:val="superscript"/>
              </w:rPr>
              <w:t>10</w:t>
            </w:r>
          </w:p>
        </w:tc>
        <w:tc>
          <w:tcPr>
            <w:tcW w:w="1341" w:type="pct"/>
            <w:tcBorders>
              <w:top w:val="nil"/>
              <w:bottom w:val="nil"/>
            </w:tcBorders>
          </w:tcPr>
          <w:p w14:paraId="08DBE3C9" w14:textId="0E9F13C1" w:rsidR="00B173DD" w:rsidRPr="004C78D8" w:rsidRDefault="00B173DD" w:rsidP="00FB7C1F">
            <w:pPr>
              <w:jc w:val="left"/>
              <w:rPr>
                <w:sz w:val="18"/>
                <w:szCs w:val="18"/>
              </w:rPr>
            </w:pPr>
            <w:r w:rsidRPr="004C78D8">
              <w:rPr>
                <w:sz w:val="18"/>
                <w:szCs w:val="18"/>
              </w:rPr>
              <w:t>£87.20 per year</w:t>
            </w:r>
          </w:p>
        </w:tc>
        <w:tc>
          <w:tcPr>
            <w:tcW w:w="715" w:type="pct"/>
            <w:tcBorders>
              <w:top w:val="nil"/>
              <w:bottom w:val="nil"/>
            </w:tcBorders>
          </w:tcPr>
          <w:p w14:paraId="76BE3962" w14:textId="77777777" w:rsidR="00B173DD" w:rsidRPr="004C78D8" w:rsidRDefault="00B173DD" w:rsidP="00FB7C1F">
            <w:pPr>
              <w:jc w:val="left"/>
              <w:rPr>
                <w:sz w:val="18"/>
                <w:szCs w:val="18"/>
              </w:rPr>
            </w:pPr>
          </w:p>
        </w:tc>
      </w:tr>
      <w:tr w:rsidR="00B173DD" w:rsidRPr="004C78D8" w14:paraId="66CA98D4" w14:textId="77777777" w:rsidTr="00E35893">
        <w:tc>
          <w:tcPr>
            <w:tcW w:w="843" w:type="pct"/>
            <w:vMerge/>
          </w:tcPr>
          <w:p w14:paraId="2B9745A2" w14:textId="77777777" w:rsidR="00B173DD" w:rsidRPr="004C78D8" w:rsidRDefault="00B173DD" w:rsidP="00FB7C1F">
            <w:pPr>
              <w:jc w:val="left"/>
              <w:rPr>
                <w:sz w:val="18"/>
                <w:szCs w:val="18"/>
              </w:rPr>
            </w:pPr>
          </w:p>
        </w:tc>
        <w:tc>
          <w:tcPr>
            <w:tcW w:w="2101" w:type="pct"/>
            <w:tcBorders>
              <w:top w:val="nil"/>
              <w:bottom w:val="single" w:sz="4" w:space="0" w:color="auto"/>
            </w:tcBorders>
          </w:tcPr>
          <w:p w14:paraId="655729E5" w14:textId="7B2FCA2D" w:rsidR="00B173DD" w:rsidRPr="004C78D8" w:rsidRDefault="00B173DD" w:rsidP="00FB7C1F">
            <w:pPr>
              <w:jc w:val="left"/>
              <w:rPr>
                <w:sz w:val="18"/>
                <w:szCs w:val="18"/>
              </w:rPr>
            </w:pPr>
            <w:r w:rsidRPr="004C78D8">
              <w:rPr>
                <w:sz w:val="18"/>
                <w:szCs w:val="18"/>
              </w:rPr>
              <w:t>Time opportunity cost – informal caregiver for CI client</w:t>
            </w:r>
            <w:r w:rsidR="000814BC" w:rsidRPr="004C78D8">
              <w:rPr>
                <w:sz w:val="18"/>
                <w:szCs w:val="18"/>
                <w:vertAlign w:val="superscript"/>
              </w:rPr>
              <w:t>1</w:t>
            </w:r>
            <w:r w:rsidR="00F12992" w:rsidRPr="004C78D8">
              <w:rPr>
                <w:sz w:val="18"/>
                <w:szCs w:val="18"/>
                <w:vertAlign w:val="superscript"/>
              </w:rPr>
              <w:t>1</w:t>
            </w:r>
          </w:p>
        </w:tc>
        <w:tc>
          <w:tcPr>
            <w:tcW w:w="1341" w:type="pct"/>
            <w:tcBorders>
              <w:top w:val="nil"/>
              <w:bottom w:val="single" w:sz="4" w:space="0" w:color="auto"/>
            </w:tcBorders>
          </w:tcPr>
          <w:p w14:paraId="026E3939" w14:textId="2812F300" w:rsidR="00B173DD" w:rsidRPr="004C78D8" w:rsidRDefault="00B173DD" w:rsidP="00FB7C1F">
            <w:pPr>
              <w:jc w:val="left"/>
              <w:rPr>
                <w:sz w:val="18"/>
                <w:szCs w:val="18"/>
              </w:rPr>
            </w:pPr>
            <w:r w:rsidRPr="004C78D8">
              <w:rPr>
                <w:sz w:val="18"/>
                <w:szCs w:val="18"/>
              </w:rPr>
              <w:t>£348.80 per year</w:t>
            </w:r>
          </w:p>
        </w:tc>
        <w:tc>
          <w:tcPr>
            <w:tcW w:w="715" w:type="pct"/>
            <w:tcBorders>
              <w:top w:val="nil"/>
              <w:bottom w:val="single" w:sz="4" w:space="0" w:color="auto"/>
            </w:tcBorders>
          </w:tcPr>
          <w:p w14:paraId="5995E6F8" w14:textId="77777777" w:rsidR="00B173DD" w:rsidRPr="004C78D8" w:rsidRDefault="00B173DD" w:rsidP="00FB7C1F">
            <w:pPr>
              <w:jc w:val="left"/>
              <w:rPr>
                <w:sz w:val="18"/>
                <w:szCs w:val="18"/>
              </w:rPr>
            </w:pPr>
          </w:p>
        </w:tc>
      </w:tr>
      <w:tr w:rsidR="007E4054" w:rsidRPr="004C78D8" w14:paraId="68464C51" w14:textId="77777777" w:rsidTr="00E35893">
        <w:tc>
          <w:tcPr>
            <w:tcW w:w="5000" w:type="pct"/>
            <w:gridSpan w:val="4"/>
          </w:tcPr>
          <w:p w14:paraId="7AF01AEF" w14:textId="20B2E566" w:rsidR="007E4054" w:rsidRPr="004C78D8" w:rsidRDefault="007E4054" w:rsidP="00FB7C1F">
            <w:pPr>
              <w:jc w:val="left"/>
              <w:rPr>
                <w:b/>
                <w:bCs/>
              </w:rPr>
            </w:pPr>
            <w:r w:rsidRPr="004C78D8">
              <w:rPr>
                <w:b/>
                <w:bCs/>
                <w:sz w:val="20"/>
                <w:szCs w:val="20"/>
              </w:rPr>
              <w:t xml:space="preserve">(2) Bi-disciplinary assessment and treatment </w:t>
            </w:r>
            <w:r w:rsidR="00A53412" w:rsidRPr="004C78D8">
              <w:rPr>
                <w:b/>
                <w:bCs/>
                <w:sz w:val="20"/>
                <w:szCs w:val="20"/>
              </w:rPr>
              <w:fldChar w:fldCharType="begin"/>
            </w:r>
            <w:r w:rsidR="00513646" w:rsidRPr="004C78D8">
              <w:rPr>
                <w:b/>
                <w:bCs/>
                <w:sz w:val="20"/>
                <w:szCs w:val="20"/>
              </w:rPr>
              <w:instrText xml:space="preserve"> ADDIN EN.CITE &lt;EndNote&gt;&lt;Cite&gt;&lt;Author&gt;Close&lt;/Author&gt;&lt;Year&gt;1999&lt;/Year&gt;&lt;RecNum&gt;513&lt;/RecNum&gt;&lt;DisplayText&gt;[62]&lt;/DisplayText&gt;&lt;record&gt;&lt;rec-number&gt;513&lt;/rec-number&gt;&lt;foreign-keys&gt;&lt;key app="EN" db-id="tdtrdw9aepptzbefsat599syza29sxsd2wsp" timestamp="1617903389"&gt;513&lt;/key&gt;&lt;/foreign-keys&gt;&lt;ref-type name="Journal Article"&gt;17&lt;/ref-type&gt;&lt;contributors&gt;&lt;authors&gt;&lt;author&gt;Close, J.&lt;/author&gt;&lt;author&gt;Ellis, M.&lt;/author&gt;&lt;author&gt;Hooper, R.&lt;/author&gt;&lt;author&gt;Glucksman, E.&lt;/author&gt;&lt;author&gt;Jackson, S.&lt;/author&gt;&lt;author&gt;Swift, C.&lt;/author&gt;&lt;/authors&gt;&lt;/contributors&gt;&lt;auth-address&gt;Department of Health Care of the Elderly, Guy&amp;apos;s King&amp;apos;s, and St Thomas&amp;apos; School of Medicine, King&amp;apos;s College Hospital, London, UK. jacqueline.close@kcl.ac.uk&lt;/auth-address&gt;&lt;titles&gt;&lt;title&gt;Prevention of falls in the elderly trial (PROFET): a randomised controlled trial&lt;/title&gt;&lt;secondary-title&gt;Lancet&lt;/secondary-title&gt;&lt;/titles&gt;&lt;periodical&gt;&lt;full-title&gt;Lancet&lt;/full-title&gt;&lt;/periodical&gt;&lt;pages&gt;93-7&lt;/pages&gt;&lt;volume&gt;353&lt;/volume&gt;&lt;number&gt;9147&lt;/number&gt;&lt;keywords&gt;&lt;keyword&gt;Accidental Falls/*prevention &amp;amp; control&lt;/keyword&gt;&lt;keyword&gt;Activities of Daily Living/classification&lt;/keyword&gt;&lt;keyword&gt;Aged&lt;/keyword&gt;&lt;keyword&gt;Aged, 80 and over&lt;/keyword&gt;&lt;keyword&gt;Female&lt;/keyword&gt;&lt;keyword&gt;*Frail Elderly&lt;/keyword&gt;&lt;keyword&gt;Geriatric Assessment&lt;/keyword&gt;&lt;keyword&gt;Humans&lt;/keyword&gt;&lt;keyword&gt;Male&lt;/keyword&gt;&lt;keyword&gt;Occupational Therapy&lt;/keyword&gt;&lt;keyword&gt;*Patient Care Team&lt;/keyword&gt;&lt;keyword&gt;Recurrence&lt;/keyword&gt;&lt;keyword&gt;Referral and Consultation&lt;/keyword&gt;&lt;keyword&gt;Treatment Outcome&lt;/keyword&gt;&lt;/keywords&gt;&lt;dates&gt;&lt;year&gt;1999&lt;/year&gt;&lt;pub-dates&gt;&lt;date&gt;Jan 9&lt;/date&gt;&lt;/pub-dates&gt;&lt;/dates&gt;&lt;isbn&gt;0140-6736 (Print)&amp;#xD;0140-6736 (Linking)&lt;/isbn&gt;&lt;accession-num&gt;10023893&lt;/accession-num&gt;&lt;urls&gt;&lt;related-urls&gt;&lt;url&gt;https://www.ncbi.nlm.nih.gov/pubmed/10023893&lt;/url&gt;&lt;/related-urls&gt;&lt;/urls&gt;&lt;electronic-resource-num&gt;10.1016/S0140-6736(98)06119-4&lt;/electronic-resource-num&gt;&lt;/record&gt;&lt;/Cite&gt;&lt;/EndNote&gt;</w:instrText>
            </w:r>
            <w:r w:rsidR="00A53412" w:rsidRPr="004C78D8">
              <w:rPr>
                <w:b/>
                <w:bCs/>
                <w:sz w:val="20"/>
                <w:szCs w:val="20"/>
              </w:rPr>
              <w:fldChar w:fldCharType="separate"/>
            </w:r>
            <w:r w:rsidR="00513646" w:rsidRPr="004C78D8">
              <w:rPr>
                <w:b/>
                <w:bCs/>
                <w:noProof/>
                <w:sz w:val="20"/>
                <w:szCs w:val="20"/>
              </w:rPr>
              <w:t>[62]</w:t>
            </w:r>
            <w:r w:rsidR="00A53412" w:rsidRPr="004C78D8">
              <w:rPr>
                <w:b/>
                <w:bCs/>
                <w:sz w:val="20"/>
                <w:szCs w:val="20"/>
              </w:rPr>
              <w:fldChar w:fldCharType="end"/>
            </w:r>
            <w:r w:rsidRPr="004C78D8">
              <w:rPr>
                <w:b/>
                <w:bCs/>
                <w:sz w:val="20"/>
                <w:szCs w:val="20"/>
              </w:rPr>
              <w:t xml:space="preserve"> (2,700 clients</w:t>
            </w:r>
            <w:r w:rsidR="00A53412" w:rsidRPr="004C78D8">
              <w:rPr>
                <w:b/>
                <w:bCs/>
                <w:sz w:val="20"/>
                <w:szCs w:val="20"/>
              </w:rPr>
              <w:t xml:space="preserve"> per year</w:t>
            </w:r>
            <w:r w:rsidRPr="004C78D8">
              <w:rPr>
                <w:b/>
                <w:bCs/>
                <w:sz w:val="20"/>
                <w:szCs w:val="20"/>
              </w:rPr>
              <w:t>)</w:t>
            </w:r>
          </w:p>
        </w:tc>
      </w:tr>
      <w:tr w:rsidR="00E40E05" w:rsidRPr="004C78D8" w14:paraId="1C89204F" w14:textId="77777777" w:rsidTr="00E35893">
        <w:tc>
          <w:tcPr>
            <w:tcW w:w="843" w:type="pct"/>
          </w:tcPr>
          <w:p w14:paraId="44D43A65" w14:textId="71A2DDF2" w:rsidR="00E40E05" w:rsidRPr="004C78D8" w:rsidRDefault="00E40E05" w:rsidP="00FB7C1F">
            <w:pPr>
              <w:jc w:val="left"/>
              <w:rPr>
                <w:sz w:val="18"/>
                <w:szCs w:val="18"/>
              </w:rPr>
            </w:pPr>
            <w:r w:rsidRPr="004C78D8">
              <w:rPr>
                <w:sz w:val="18"/>
                <w:szCs w:val="18"/>
              </w:rPr>
              <w:t>Risk screening and access</w:t>
            </w:r>
          </w:p>
        </w:tc>
        <w:tc>
          <w:tcPr>
            <w:tcW w:w="2101" w:type="pct"/>
            <w:tcBorders>
              <w:bottom w:val="single" w:sz="4" w:space="0" w:color="auto"/>
            </w:tcBorders>
          </w:tcPr>
          <w:p w14:paraId="1CD10757" w14:textId="693C517E" w:rsidR="00E40E05" w:rsidRPr="004C78D8" w:rsidRDefault="00E40E05" w:rsidP="00FB7C1F">
            <w:pPr>
              <w:jc w:val="left"/>
              <w:rPr>
                <w:sz w:val="18"/>
                <w:szCs w:val="18"/>
              </w:rPr>
            </w:pPr>
            <w:r w:rsidRPr="004C78D8">
              <w:rPr>
                <w:sz w:val="18"/>
                <w:szCs w:val="18"/>
              </w:rPr>
              <w:t>Reactive pathway screening and invitation</w:t>
            </w:r>
            <w:r w:rsidR="004977AD" w:rsidRPr="004C78D8">
              <w:rPr>
                <w:sz w:val="18"/>
                <w:szCs w:val="18"/>
                <w:vertAlign w:val="superscript"/>
              </w:rPr>
              <w:t>2</w:t>
            </w:r>
          </w:p>
        </w:tc>
        <w:tc>
          <w:tcPr>
            <w:tcW w:w="1341" w:type="pct"/>
            <w:tcBorders>
              <w:bottom w:val="single" w:sz="4" w:space="0" w:color="auto"/>
            </w:tcBorders>
          </w:tcPr>
          <w:p w14:paraId="72C3A826" w14:textId="023D703A" w:rsidR="00E40E05" w:rsidRPr="004C78D8" w:rsidRDefault="00E40E05" w:rsidP="00FB7C1F">
            <w:pPr>
              <w:jc w:val="left"/>
              <w:rPr>
                <w:sz w:val="18"/>
                <w:szCs w:val="18"/>
              </w:rPr>
            </w:pPr>
            <w:r w:rsidRPr="004C78D8">
              <w:rPr>
                <w:sz w:val="18"/>
                <w:szCs w:val="18"/>
              </w:rPr>
              <w:t>£16.37 per client</w:t>
            </w:r>
          </w:p>
        </w:tc>
        <w:tc>
          <w:tcPr>
            <w:tcW w:w="715" w:type="pct"/>
            <w:tcBorders>
              <w:bottom w:val="single" w:sz="4" w:space="0" w:color="auto"/>
            </w:tcBorders>
          </w:tcPr>
          <w:p w14:paraId="5716B0CA" w14:textId="0EAEFE3D" w:rsidR="00E40E05" w:rsidRPr="004C78D8" w:rsidRDefault="00E40E05" w:rsidP="00FB7C1F">
            <w:pPr>
              <w:jc w:val="left"/>
              <w:rPr>
                <w:sz w:val="18"/>
                <w:szCs w:val="18"/>
              </w:rPr>
            </w:pPr>
            <w:r w:rsidRPr="004C78D8">
              <w:rPr>
                <w:sz w:val="18"/>
                <w:szCs w:val="18"/>
              </w:rPr>
              <w:fldChar w:fldCharType="begin"/>
            </w:r>
            <w:r w:rsidR="00513646" w:rsidRPr="004C78D8">
              <w:rPr>
                <w:sz w:val="18"/>
                <w:szCs w:val="18"/>
              </w:rPr>
              <w:instrText xml:space="preserve"> ADDIN EN.CITE &lt;EndNote&gt;&lt;Cite&gt;&lt;Author&gt;Day&lt;/Author&gt;&lt;Year&gt;2009&lt;/Year&gt;&lt;RecNum&gt;346&lt;/RecNum&gt;&lt;DisplayText&gt;[167]&lt;/DisplayText&gt;&lt;record&gt;&lt;rec-number&gt;346&lt;/rec-number&gt;&lt;foreign-keys&gt;&lt;key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4C78D8">
              <w:rPr>
                <w:sz w:val="18"/>
                <w:szCs w:val="18"/>
              </w:rPr>
              <w:fldChar w:fldCharType="separate"/>
            </w:r>
            <w:r w:rsidR="00513646" w:rsidRPr="004C78D8">
              <w:rPr>
                <w:noProof/>
                <w:sz w:val="18"/>
                <w:szCs w:val="18"/>
              </w:rPr>
              <w:t>[167]</w:t>
            </w:r>
            <w:r w:rsidRPr="004C78D8">
              <w:rPr>
                <w:sz w:val="18"/>
                <w:szCs w:val="18"/>
              </w:rPr>
              <w:fldChar w:fldCharType="end"/>
            </w:r>
          </w:p>
        </w:tc>
      </w:tr>
      <w:tr w:rsidR="00E40E05" w:rsidRPr="004C78D8" w14:paraId="56FEDC87" w14:textId="77777777" w:rsidTr="00E35893">
        <w:tc>
          <w:tcPr>
            <w:tcW w:w="843" w:type="pct"/>
            <w:vMerge w:val="restart"/>
          </w:tcPr>
          <w:p w14:paraId="10688B88" w14:textId="28D11C51" w:rsidR="00E40E05" w:rsidRPr="004C78D8" w:rsidRDefault="00E40E05" w:rsidP="00FB7C1F">
            <w:pPr>
              <w:jc w:val="left"/>
              <w:rPr>
                <w:sz w:val="18"/>
                <w:szCs w:val="18"/>
              </w:rPr>
            </w:pPr>
            <w:r w:rsidRPr="004C78D8">
              <w:rPr>
                <w:sz w:val="18"/>
                <w:szCs w:val="18"/>
              </w:rPr>
              <w:t>Bi-disciplinary assessment</w:t>
            </w:r>
          </w:p>
        </w:tc>
        <w:tc>
          <w:tcPr>
            <w:tcW w:w="2101" w:type="pct"/>
            <w:tcBorders>
              <w:bottom w:val="nil"/>
            </w:tcBorders>
          </w:tcPr>
          <w:p w14:paraId="15BDA292" w14:textId="44040B2C" w:rsidR="00E40E05" w:rsidRPr="004C78D8" w:rsidRDefault="00E40E05" w:rsidP="00FB7C1F">
            <w:pPr>
              <w:jc w:val="left"/>
              <w:rPr>
                <w:sz w:val="18"/>
                <w:szCs w:val="18"/>
              </w:rPr>
            </w:pPr>
            <w:r w:rsidRPr="004C78D8">
              <w:rPr>
                <w:sz w:val="18"/>
                <w:szCs w:val="18"/>
              </w:rPr>
              <w:t>Physician assessment</w:t>
            </w:r>
          </w:p>
        </w:tc>
        <w:tc>
          <w:tcPr>
            <w:tcW w:w="1341" w:type="pct"/>
            <w:tcBorders>
              <w:bottom w:val="nil"/>
            </w:tcBorders>
          </w:tcPr>
          <w:p w14:paraId="0B6295E5" w14:textId="283D42B5" w:rsidR="00E40E05" w:rsidRPr="004C78D8" w:rsidRDefault="00E40E05" w:rsidP="00FB7C1F">
            <w:pPr>
              <w:jc w:val="left"/>
              <w:rPr>
                <w:sz w:val="18"/>
                <w:szCs w:val="18"/>
              </w:rPr>
            </w:pPr>
            <w:r w:rsidRPr="004C78D8">
              <w:rPr>
                <w:sz w:val="18"/>
                <w:szCs w:val="18"/>
              </w:rPr>
              <w:t>£121.46 per client</w:t>
            </w:r>
          </w:p>
        </w:tc>
        <w:tc>
          <w:tcPr>
            <w:tcW w:w="715" w:type="pct"/>
            <w:tcBorders>
              <w:bottom w:val="nil"/>
            </w:tcBorders>
          </w:tcPr>
          <w:p w14:paraId="601D16C1" w14:textId="3045B0FD" w:rsidR="00E40E05" w:rsidRPr="004C78D8" w:rsidRDefault="00E40E05" w:rsidP="00FB7C1F">
            <w:pPr>
              <w:jc w:val="left"/>
              <w:rPr>
                <w:sz w:val="18"/>
                <w:szCs w:val="18"/>
              </w:rPr>
            </w:pPr>
            <w:r w:rsidRPr="004C78D8">
              <w:rPr>
                <w:sz w:val="18"/>
                <w:szCs w:val="18"/>
              </w:rPr>
              <w:fldChar w:fldCharType="begin"/>
            </w:r>
            <w:r w:rsidR="00513646" w:rsidRPr="004C78D8">
              <w:rPr>
                <w:sz w:val="18"/>
                <w:szCs w:val="18"/>
              </w:rPr>
              <w:instrText xml:space="preserve"> ADDIN EN.CITE &lt;EndNote&gt;&lt;Cite&gt;&lt;Author&gt;Day&lt;/Author&gt;&lt;Year&gt;2009&lt;/Year&gt;&lt;RecNum&gt;346&lt;/RecNum&gt;&lt;DisplayText&gt;[167]&lt;/DisplayText&gt;&lt;record&gt;&lt;rec-number&gt;346&lt;/rec-number&gt;&lt;foreign-keys&gt;&lt;key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4C78D8">
              <w:rPr>
                <w:sz w:val="18"/>
                <w:szCs w:val="18"/>
              </w:rPr>
              <w:fldChar w:fldCharType="separate"/>
            </w:r>
            <w:r w:rsidR="00513646" w:rsidRPr="004C78D8">
              <w:rPr>
                <w:noProof/>
                <w:sz w:val="18"/>
                <w:szCs w:val="18"/>
              </w:rPr>
              <w:t>[167]</w:t>
            </w:r>
            <w:r w:rsidRPr="004C78D8">
              <w:rPr>
                <w:sz w:val="18"/>
                <w:szCs w:val="18"/>
              </w:rPr>
              <w:fldChar w:fldCharType="end"/>
            </w:r>
          </w:p>
        </w:tc>
      </w:tr>
      <w:tr w:rsidR="00E40E05" w:rsidRPr="004C78D8" w14:paraId="21E4A4DC" w14:textId="77777777" w:rsidTr="00E35893">
        <w:tc>
          <w:tcPr>
            <w:tcW w:w="843" w:type="pct"/>
            <w:vMerge/>
          </w:tcPr>
          <w:p w14:paraId="32627390" w14:textId="77777777" w:rsidR="00E40E05" w:rsidRPr="004C78D8" w:rsidRDefault="00E40E05" w:rsidP="00FB7C1F">
            <w:pPr>
              <w:jc w:val="left"/>
              <w:rPr>
                <w:sz w:val="18"/>
                <w:szCs w:val="18"/>
              </w:rPr>
            </w:pPr>
          </w:p>
        </w:tc>
        <w:tc>
          <w:tcPr>
            <w:tcW w:w="2101" w:type="pct"/>
            <w:tcBorders>
              <w:top w:val="nil"/>
              <w:bottom w:val="single" w:sz="4" w:space="0" w:color="auto"/>
            </w:tcBorders>
          </w:tcPr>
          <w:p w14:paraId="05F827D1" w14:textId="7D87B32F" w:rsidR="00E40E05" w:rsidRPr="004C78D8" w:rsidRDefault="00E40E05" w:rsidP="00FB7C1F">
            <w:pPr>
              <w:jc w:val="left"/>
              <w:rPr>
                <w:sz w:val="18"/>
                <w:szCs w:val="18"/>
              </w:rPr>
            </w:pPr>
            <w:r w:rsidRPr="004C78D8">
              <w:rPr>
                <w:sz w:val="18"/>
                <w:szCs w:val="18"/>
              </w:rPr>
              <w:t>OT assessment for 92.1% of clients</w:t>
            </w:r>
          </w:p>
        </w:tc>
        <w:tc>
          <w:tcPr>
            <w:tcW w:w="1341" w:type="pct"/>
            <w:tcBorders>
              <w:top w:val="nil"/>
              <w:bottom w:val="single" w:sz="4" w:space="0" w:color="auto"/>
            </w:tcBorders>
          </w:tcPr>
          <w:p w14:paraId="031772F6" w14:textId="4216FD1C" w:rsidR="00E40E05" w:rsidRPr="004C78D8" w:rsidRDefault="00E40E05" w:rsidP="00FB7C1F">
            <w:pPr>
              <w:jc w:val="left"/>
              <w:rPr>
                <w:sz w:val="18"/>
                <w:szCs w:val="18"/>
              </w:rPr>
            </w:pPr>
            <w:r w:rsidRPr="004C78D8">
              <w:rPr>
                <w:sz w:val="18"/>
                <w:szCs w:val="18"/>
              </w:rPr>
              <w:t>£269.63 expected per client</w:t>
            </w:r>
          </w:p>
        </w:tc>
        <w:tc>
          <w:tcPr>
            <w:tcW w:w="715" w:type="pct"/>
            <w:tcBorders>
              <w:top w:val="nil"/>
              <w:bottom w:val="single" w:sz="4" w:space="0" w:color="auto"/>
            </w:tcBorders>
          </w:tcPr>
          <w:p w14:paraId="35A1F945" w14:textId="4A6A76FE" w:rsidR="00E40E05" w:rsidRPr="004C78D8" w:rsidRDefault="00E40E05" w:rsidP="00FB7C1F">
            <w:pPr>
              <w:jc w:val="left"/>
              <w:rPr>
                <w:sz w:val="18"/>
                <w:szCs w:val="18"/>
              </w:rPr>
            </w:pPr>
            <w:r w:rsidRPr="004C78D8">
              <w:rPr>
                <w:sz w:val="18"/>
                <w:szCs w:val="18"/>
              </w:rPr>
              <w:fldChar w:fldCharType="begin"/>
            </w:r>
            <w:r w:rsidR="00513646" w:rsidRPr="004C78D8">
              <w:rPr>
                <w:sz w:val="18"/>
                <w:szCs w:val="18"/>
              </w:rPr>
              <w:instrText xml:space="preserve"> ADDIN EN.CITE &lt;EndNote&gt;&lt;Cite&gt;&lt;Author&gt;Day&lt;/Author&gt;&lt;Year&gt;2009&lt;/Year&gt;&lt;RecNum&gt;346&lt;/RecNum&gt;&lt;DisplayText&gt;[167]&lt;/DisplayText&gt;&lt;record&gt;&lt;rec-number&gt;346&lt;/rec-number&gt;&lt;foreign-keys&gt;&lt;key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4C78D8">
              <w:rPr>
                <w:sz w:val="18"/>
                <w:szCs w:val="18"/>
              </w:rPr>
              <w:fldChar w:fldCharType="separate"/>
            </w:r>
            <w:r w:rsidR="00513646" w:rsidRPr="004C78D8">
              <w:rPr>
                <w:noProof/>
                <w:sz w:val="18"/>
                <w:szCs w:val="18"/>
              </w:rPr>
              <w:t>[167]</w:t>
            </w:r>
            <w:r w:rsidRPr="004C78D8">
              <w:rPr>
                <w:sz w:val="18"/>
                <w:szCs w:val="18"/>
              </w:rPr>
              <w:fldChar w:fldCharType="end"/>
            </w:r>
            <w:r w:rsidRPr="004C78D8">
              <w:rPr>
                <w:sz w:val="18"/>
                <w:szCs w:val="18"/>
              </w:rPr>
              <w:t xml:space="preserve">; </w:t>
            </w:r>
            <w:r w:rsidRPr="004C78D8">
              <w:rPr>
                <w:sz w:val="18"/>
                <w:szCs w:val="18"/>
              </w:rPr>
              <w:fldChar w:fldCharType="begin"/>
            </w:r>
            <w:r w:rsidR="00513646" w:rsidRPr="004C78D8">
              <w:rPr>
                <w:sz w:val="18"/>
                <w:szCs w:val="18"/>
              </w:rPr>
              <w:instrText xml:space="preserve"> ADDIN EN.CITE &lt;EndNote&gt;&lt;Cite&gt;&lt;Author&gt;Close&lt;/Author&gt;&lt;Year&gt;1999&lt;/Year&gt;&lt;RecNum&gt;513&lt;/RecNum&gt;&lt;DisplayText&gt;[62]&lt;/DisplayText&gt;&lt;record&gt;&lt;rec-number&gt;513&lt;/rec-number&gt;&lt;foreign-keys&gt;&lt;key app="EN" db-id="tdtrdw9aepptzbefsat599syza29sxsd2wsp" timestamp="1617903389"&gt;513&lt;/key&gt;&lt;/foreign-keys&gt;&lt;ref-type name="Journal Article"&gt;17&lt;/ref-type&gt;&lt;contributors&gt;&lt;authors&gt;&lt;author&gt;Close, J.&lt;/author&gt;&lt;author&gt;Ellis, M.&lt;/author&gt;&lt;author&gt;Hooper, R.&lt;/author&gt;&lt;author&gt;Glucksman, E.&lt;/author&gt;&lt;author&gt;Jackson, S.&lt;/author&gt;&lt;author&gt;Swift, C.&lt;/author&gt;&lt;/authors&gt;&lt;/contributors&gt;&lt;auth-address&gt;Department of Health Care of the Elderly, Guy&amp;apos;s King&amp;apos;s, and St Thomas&amp;apos; School of Medicine, King&amp;apos;s College Hospital, London, UK. jacqueline.close@kcl.ac.uk&lt;/auth-address&gt;&lt;titles&gt;&lt;title&gt;Prevention of falls in the elderly trial (PROFET): a randomised controlled trial&lt;/title&gt;&lt;secondary-title&gt;Lancet&lt;/secondary-title&gt;&lt;/titles&gt;&lt;periodical&gt;&lt;full-title&gt;Lancet&lt;/full-title&gt;&lt;/periodical&gt;&lt;pages&gt;93-7&lt;/pages&gt;&lt;volume&gt;353&lt;/volume&gt;&lt;number&gt;9147&lt;/number&gt;&lt;keywords&gt;&lt;keyword&gt;Accidental Falls/*prevention &amp;amp; control&lt;/keyword&gt;&lt;keyword&gt;Activities of Daily Living/classification&lt;/keyword&gt;&lt;keyword&gt;Aged&lt;/keyword&gt;&lt;keyword&gt;Aged, 80 and over&lt;/keyword&gt;&lt;keyword&gt;Female&lt;/keyword&gt;&lt;keyword&gt;*Frail Elderly&lt;/keyword&gt;&lt;keyword&gt;Geriatric Assessment&lt;/keyword&gt;&lt;keyword&gt;Humans&lt;/keyword&gt;&lt;keyword&gt;Male&lt;/keyword&gt;&lt;keyword&gt;Occupational Therapy&lt;/keyword&gt;&lt;keyword&gt;*Patient Care Team&lt;/keyword&gt;&lt;keyword&gt;Recurrence&lt;/keyword&gt;&lt;keyword&gt;Referral and Consultation&lt;/keyword&gt;&lt;keyword&gt;Treatment Outcome&lt;/keyword&gt;&lt;/keywords&gt;&lt;dates&gt;&lt;year&gt;1999&lt;/year&gt;&lt;pub-dates&gt;&lt;date&gt;Jan 9&lt;/date&gt;&lt;/pub-dates&gt;&lt;/dates&gt;&lt;isbn&gt;0140-6736 (Print)&amp;#xD;0140-6736 (Linking)&lt;/isbn&gt;&lt;accession-num&gt;10023893&lt;/accession-num&gt;&lt;urls&gt;&lt;related-urls&gt;&lt;url&gt;https://www.ncbi.nlm.nih.gov/pubmed/10023893&lt;/url&gt;&lt;/related-urls&gt;&lt;/urls&gt;&lt;electronic-resource-num&gt;10.1016/S0140-6736(98)06119-4&lt;/electronic-resource-num&gt;&lt;/record&gt;&lt;/Cite&gt;&lt;/EndNote&gt;</w:instrText>
            </w:r>
            <w:r w:rsidRPr="004C78D8">
              <w:rPr>
                <w:sz w:val="18"/>
                <w:szCs w:val="18"/>
              </w:rPr>
              <w:fldChar w:fldCharType="separate"/>
            </w:r>
            <w:r w:rsidR="00513646" w:rsidRPr="004C78D8">
              <w:rPr>
                <w:noProof/>
                <w:sz w:val="18"/>
                <w:szCs w:val="18"/>
              </w:rPr>
              <w:t>[62]</w:t>
            </w:r>
            <w:r w:rsidRPr="004C78D8">
              <w:rPr>
                <w:sz w:val="18"/>
                <w:szCs w:val="18"/>
              </w:rPr>
              <w:fldChar w:fldCharType="end"/>
            </w:r>
          </w:p>
        </w:tc>
      </w:tr>
      <w:tr w:rsidR="00E40E05" w:rsidRPr="004C78D8" w14:paraId="24A91B41" w14:textId="77777777" w:rsidTr="00E35893">
        <w:tc>
          <w:tcPr>
            <w:tcW w:w="843" w:type="pct"/>
            <w:vMerge w:val="restart"/>
          </w:tcPr>
          <w:p w14:paraId="0CCE5302" w14:textId="66D17296" w:rsidR="00E40E05" w:rsidRPr="004C78D8" w:rsidRDefault="00E40E05" w:rsidP="00FB7C1F">
            <w:pPr>
              <w:jc w:val="left"/>
              <w:rPr>
                <w:sz w:val="18"/>
                <w:szCs w:val="18"/>
              </w:rPr>
            </w:pPr>
            <w:r w:rsidRPr="004C78D8">
              <w:rPr>
                <w:sz w:val="18"/>
                <w:szCs w:val="18"/>
              </w:rPr>
              <w:t>Outsourced services and equipment</w:t>
            </w:r>
            <w:r w:rsidR="00F12992" w:rsidRPr="004C78D8">
              <w:rPr>
                <w:sz w:val="18"/>
                <w:szCs w:val="18"/>
                <w:vertAlign w:val="superscript"/>
              </w:rPr>
              <w:t>8</w:t>
            </w:r>
          </w:p>
        </w:tc>
        <w:tc>
          <w:tcPr>
            <w:tcW w:w="2101" w:type="pct"/>
            <w:tcBorders>
              <w:bottom w:val="nil"/>
            </w:tcBorders>
          </w:tcPr>
          <w:p w14:paraId="62531FB5" w14:textId="66DD6364" w:rsidR="00E40E05" w:rsidRPr="004C78D8" w:rsidRDefault="00E40E05" w:rsidP="00FB7C1F">
            <w:pPr>
              <w:jc w:val="left"/>
              <w:rPr>
                <w:sz w:val="18"/>
                <w:szCs w:val="18"/>
              </w:rPr>
            </w:pPr>
            <w:r w:rsidRPr="004C78D8">
              <w:rPr>
                <w:sz w:val="18"/>
                <w:szCs w:val="18"/>
              </w:rPr>
              <w:t>Specialist outpatient visit for 44.1% of clients</w:t>
            </w:r>
          </w:p>
        </w:tc>
        <w:tc>
          <w:tcPr>
            <w:tcW w:w="1341" w:type="pct"/>
            <w:tcBorders>
              <w:bottom w:val="nil"/>
            </w:tcBorders>
          </w:tcPr>
          <w:p w14:paraId="1D5A5BA3" w14:textId="30656A17" w:rsidR="00E40E05" w:rsidRPr="004C78D8" w:rsidRDefault="00E40E05" w:rsidP="00FB7C1F">
            <w:pPr>
              <w:jc w:val="left"/>
              <w:rPr>
                <w:sz w:val="18"/>
                <w:szCs w:val="18"/>
              </w:rPr>
            </w:pPr>
            <w:r w:rsidRPr="004C78D8">
              <w:rPr>
                <w:sz w:val="18"/>
                <w:szCs w:val="18"/>
              </w:rPr>
              <w:t>£45.90 expected per client</w:t>
            </w:r>
          </w:p>
        </w:tc>
        <w:tc>
          <w:tcPr>
            <w:tcW w:w="715" w:type="pct"/>
            <w:tcBorders>
              <w:bottom w:val="nil"/>
            </w:tcBorders>
          </w:tcPr>
          <w:p w14:paraId="2E7A4B57" w14:textId="3DFBF9A2" w:rsidR="00E40E05" w:rsidRPr="004C78D8" w:rsidRDefault="00E40E05" w:rsidP="00FB7C1F">
            <w:pPr>
              <w:jc w:val="left"/>
              <w:rPr>
                <w:sz w:val="18"/>
                <w:szCs w:val="18"/>
              </w:rPr>
            </w:pPr>
            <w:r w:rsidRPr="004C78D8">
              <w:rPr>
                <w:sz w:val="18"/>
                <w:szCs w:val="18"/>
              </w:rPr>
              <w:fldChar w:fldCharType="begin"/>
            </w:r>
            <w:r w:rsidR="00513646" w:rsidRPr="004C78D8">
              <w:rPr>
                <w:sz w:val="18"/>
                <w:szCs w:val="18"/>
              </w:rPr>
              <w:instrText xml:space="preserve"> ADDIN EN.CITE &lt;EndNote&gt;&lt;Cite&gt;&lt;Author&gt;Day&lt;/Author&gt;&lt;Year&gt;2009&lt;/Year&gt;&lt;RecNum&gt;346&lt;/RecNum&gt;&lt;DisplayText&gt;[167]&lt;/DisplayText&gt;&lt;record&gt;&lt;rec-number&gt;346&lt;/rec-number&gt;&lt;foreign-keys&gt;&lt;key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4C78D8">
              <w:rPr>
                <w:sz w:val="18"/>
                <w:szCs w:val="18"/>
              </w:rPr>
              <w:fldChar w:fldCharType="separate"/>
            </w:r>
            <w:r w:rsidR="00513646" w:rsidRPr="004C78D8">
              <w:rPr>
                <w:noProof/>
                <w:sz w:val="18"/>
                <w:szCs w:val="18"/>
              </w:rPr>
              <w:t>[167]</w:t>
            </w:r>
            <w:r w:rsidRPr="004C78D8">
              <w:rPr>
                <w:sz w:val="18"/>
                <w:szCs w:val="18"/>
              </w:rPr>
              <w:fldChar w:fldCharType="end"/>
            </w:r>
            <w:r w:rsidRPr="004C78D8">
              <w:rPr>
                <w:sz w:val="18"/>
                <w:szCs w:val="18"/>
              </w:rPr>
              <w:t xml:space="preserve">; </w:t>
            </w:r>
            <w:r w:rsidRPr="004C78D8">
              <w:rPr>
                <w:sz w:val="18"/>
                <w:szCs w:val="18"/>
              </w:rPr>
              <w:fldChar w:fldCharType="begin"/>
            </w:r>
            <w:r w:rsidR="00513646" w:rsidRPr="004C78D8">
              <w:rPr>
                <w:sz w:val="18"/>
                <w:szCs w:val="18"/>
              </w:rPr>
              <w:instrText xml:space="preserve"> ADDIN EN.CITE &lt;EndNote&gt;&lt;Cite&gt;&lt;Author&gt;Close&lt;/Author&gt;&lt;Year&gt;1999&lt;/Year&gt;&lt;RecNum&gt;513&lt;/RecNum&gt;&lt;DisplayText&gt;[62]&lt;/DisplayText&gt;&lt;record&gt;&lt;rec-number&gt;513&lt;/rec-number&gt;&lt;foreign-keys&gt;&lt;key app="EN" db-id="tdtrdw9aepptzbefsat599syza29sxsd2wsp" timestamp="1617903389"&gt;513&lt;/key&gt;&lt;/foreign-keys&gt;&lt;ref-type name="Journal Article"&gt;17&lt;/ref-type&gt;&lt;contributors&gt;&lt;authors&gt;&lt;author&gt;Close, J.&lt;/author&gt;&lt;author&gt;Ellis, M.&lt;/author&gt;&lt;author&gt;Hooper, R.&lt;/author&gt;&lt;author&gt;Glucksman, E.&lt;/author&gt;&lt;author&gt;Jackson, S.&lt;/author&gt;&lt;author&gt;Swift, C.&lt;/author&gt;&lt;/authors&gt;&lt;/contributors&gt;&lt;auth-address&gt;Department of Health Care of the Elderly, Guy&amp;apos;s King&amp;apos;s, and St Thomas&amp;apos; School of Medicine, King&amp;apos;s College Hospital, London, UK. jacqueline.close@kcl.ac.uk&lt;/auth-address&gt;&lt;titles&gt;&lt;title&gt;Prevention of falls in the elderly trial (PROFET): a randomised controlled trial&lt;/title&gt;&lt;secondary-title&gt;Lancet&lt;/secondary-title&gt;&lt;/titles&gt;&lt;periodical&gt;&lt;full-title&gt;Lancet&lt;/full-title&gt;&lt;/periodical&gt;&lt;pages&gt;93-7&lt;/pages&gt;&lt;volume&gt;353&lt;/volume&gt;&lt;number&gt;9147&lt;/number&gt;&lt;keywords&gt;&lt;keyword&gt;Accidental Falls/*prevention &amp;amp; control&lt;/keyword&gt;&lt;keyword&gt;Activities of Daily Living/classification&lt;/keyword&gt;&lt;keyword&gt;Aged&lt;/keyword&gt;&lt;keyword&gt;Aged, 80 and over&lt;/keyword&gt;&lt;keyword&gt;Female&lt;/keyword&gt;&lt;keyword&gt;*Frail Elderly&lt;/keyword&gt;&lt;keyword&gt;Geriatric Assessment&lt;/keyword&gt;&lt;keyword&gt;Humans&lt;/keyword&gt;&lt;keyword&gt;Male&lt;/keyword&gt;&lt;keyword&gt;Occupational Therapy&lt;/keyword&gt;&lt;keyword&gt;*Patient Care Team&lt;/keyword&gt;&lt;keyword&gt;Recurrence&lt;/keyword&gt;&lt;keyword&gt;Referral and Consultation&lt;/keyword&gt;&lt;keyword&gt;Treatment Outcome&lt;/keyword&gt;&lt;/keywords&gt;&lt;dates&gt;&lt;year&gt;1999&lt;/year&gt;&lt;pub-dates&gt;&lt;date&gt;Jan 9&lt;/date&gt;&lt;/pub-dates&gt;&lt;/dates&gt;&lt;isbn&gt;0140-6736 (Print)&amp;#xD;0140-6736 (Linking)&lt;/isbn&gt;&lt;accession-num&gt;10023893&lt;/accession-num&gt;&lt;urls&gt;&lt;related-urls&gt;&lt;url&gt;https://www.ncbi.nlm.nih.gov/pubmed/10023893&lt;/url&gt;&lt;/related-urls&gt;&lt;/urls&gt;&lt;electronic-resource-num&gt;10.1016/S0140-6736(98)06119-4&lt;/electronic-resource-num&gt;&lt;/record&gt;&lt;/Cite&gt;&lt;/EndNote&gt;</w:instrText>
            </w:r>
            <w:r w:rsidRPr="004C78D8">
              <w:rPr>
                <w:sz w:val="18"/>
                <w:szCs w:val="18"/>
              </w:rPr>
              <w:fldChar w:fldCharType="separate"/>
            </w:r>
            <w:r w:rsidR="00513646" w:rsidRPr="004C78D8">
              <w:rPr>
                <w:noProof/>
                <w:sz w:val="18"/>
                <w:szCs w:val="18"/>
              </w:rPr>
              <w:t>[62]</w:t>
            </w:r>
            <w:r w:rsidRPr="004C78D8">
              <w:rPr>
                <w:sz w:val="18"/>
                <w:szCs w:val="18"/>
              </w:rPr>
              <w:fldChar w:fldCharType="end"/>
            </w:r>
          </w:p>
        </w:tc>
      </w:tr>
      <w:tr w:rsidR="00E40E05" w:rsidRPr="004C78D8" w14:paraId="350448CF" w14:textId="77777777" w:rsidTr="00E35893">
        <w:tc>
          <w:tcPr>
            <w:tcW w:w="843" w:type="pct"/>
            <w:vMerge/>
          </w:tcPr>
          <w:p w14:paraId="065317FA" w14:textId="77777777" w:rsidR="00E40E05" w:rsidRPr="004C78D8" w:rsidRDefault="00E40E05" w:rsidP="00FB7C1F">
            <w:pPr>
              <w:jc w:val="left"/>
              <w:rPr>
                <w:sz w:val="18"/>
                <w:szCs w:val="18"/>
              </w:rPr>
            </w:pPr>
          </w:p>
        </w:tc>
        <w:tc>
          <w:tcPr>
            <w:tcW w:w="2101" w:type="pct"/>
            <w:tcBorders>
              <w:top w:val="nil"/>
              <w:bottom w:val="nil"/>
            </w:tcBorders>
          </w:tcPr>
          <w:p w14:paraId="3CCB9422" w14:textId="599A3047" w:rsidR="00E40E05" w:rsidRPr="004C78D8" w:rsidRDefault="00E40E05" w:rsidP="00FB7C1F">
            <w:pPr>
              <w:jc w:val="left"/>
              <w:rPr>
                <w:sz w:val="18"/>
                <w:szCs w:val="18"/>
              </w:rPr>
            </w:pPr>
            <w:r w:rsidRPr="004C78D8">
              <w:rPr>
                <w:sz w:val="18"/>
                <w:szCs w:val="18"/>
              </w:rPr>
              <w:t>2 GP visits for medication change for 21.7% of clients</w:t>
            </w:r>
          </w:p>
        </w:tc>
        <w:tc>
          <w:tcPr>
            <w:tcW w:w="1341" w:type="pct"/>
            <w:tcBorders>
              <w:top w:val="nil"/>
              <w:bottom w:val="nil"/>
            </w:tcBorders>
          </w:tcPr>
          <w:p w14:paraId="0D3337E7" w14:textId="4B15F7F0" w:rsidR="00E40E05" w:rsidRPr="004C78D8" w:rsidRDefault="00E40E05" w:rsidP="00FB7C1F">
            <w:pPr>
              <w:jc w:val="left"/>
              <w:rPr>
                <w:sz w:val="18"/>
                <w:szCs w:val="18"/>
              </w:rPr>
            </w:pPr>
            <w:r w:rsidRPr="004C78D8">
              <w:rPr>
                <w:sz w:val="18"/>
                <w:szCs w:val="18"/>
              </w:rPr>
              <w:t>£16.63 expected per client</w:t>
            </w:r>
          </w:p>
        </w:tc>
        <w:tc>
          <w:tcPr>
            <w:tcW w:w="715" w:type="pct"/>
            <w:tcBorders>
              <w:top w:val="nil"/>
              <w:bottom w:val="nil"/>
            </w:tcBorders>
          </w:tcPr>
          <w:p w14:paraId="00F43E3D" w14:textId="77E50E08" w:rsidR="00E40E05" w:rsidRPr="004C78D8" w:rsidRDefault="00E40E05" w:rsidP="00FB7C1F">
            <w:pPr>
              <w:jc w:val="left"/>
              <w:rPr>
                <w:sz w:val="18"/>
                <w:szCs w:val="18"/>
              </w:rPr>
            </w:pPr>
            <w:r w:rsidRPr="004C78D8">
              <w:rPr>
                <w:sz w:val="18"/>
                <w:szCs w:val="18"/>
              </w:rPr>
              <w:fldChar w:fldCharType="begin"/>
            </w:r>
            <w:r w:rsidR="00513646" w:rsidRPr="004C78D8">
              <w:rPr>
                <w:sz w:val="18"/>
                <w:szCs w:val="18"/>
              </w:rPr>
              <w:instrText xml:space="preserve"> ADDIN EN.CITE &lt;EndNote&gt;&lt;Cite&gt;&lt;Author&gt;Day&lt;/Author&gt;&lt;Year&gt;2009&lt;/Year&gt;&lt;RecNum&gt;346&lt;/RecNum&gt;&lt;DisplayText&gt;[167]&lt;/DisplayText&gt;&lt;record&gt;&lt;rec-number&gt;346&lt;/rec-number&gt;&lt;foreign-keys&gt;&lt;key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4C78D8">
              <w:rPr>
                <w:sz w:val="18"/>
                <w:szCs w:val="18"/>
              </w:rPr>
              <w:fldChar w:fldCharType="separate"/>
            </w:r>
            <w:r w:rsidR="00513646" w:rsidRPr="004C78D8">
              <w:rPr>
                <w:noProof/>
                <w:sz w:val="18"/>
                <w:szCs w:val="18"/>
              </w:rPr>
              <w:t>[167]</w:t>
            </w:r>
            <w:r w:rsidRPr="004C78D8">
              <w:rPr>
                <w:sz w:val="18"/>
                <w:szCs w:val="18"/>
              </w:rPr>
              <w:fldChar w:fldCharType="end"/>
            </w:r>
            <w:r w:rsidRPr="004C78D8">
              <w:rPr>
                <w:sz w:val="18"/>
                <w:szCs w:val="18"/>
              </w:rPr>
              <w:t xml:space="preserve">; </w:t>
            </w:r>
            <w:r w:rsidRPr="004C78D8">
              <w:rPr>
                <w:sz w:val="18"/>
                <w:szCs w:val="18"/>
              </w:rPr>
              <w:fldChar w:fldCharType="begin"/>
            </w:r>
            <w:r w:rsidR="00513646" w:rsidRPr="004C78D8">
              <w:rPr>
                <w:sz w:val="18"/>
                <w:szCs w:val="18"/>
              </w:rPr>
              <w:instrText xml:space="preserve"> ADDIN EN.CITE &lt;EndNote&gt;&lt;Cite&gt;&lt;Author&gt;Close&lt;/Author&gt;&lt;Year&gt;1999&lt;/Year&gt;&lt;RecNum&gt;513&lt;/RecNum&gt;&lt;DisplayText&gt;[62]&lt;/DisplayText&gt;&lt;record&gt;&lt;rec-number&gt;513&lt;/rec-number&gt;&lt;foreign-keys&gt;&lt;key app="EN" db-id="tdtrdw9aepptzbefsat599syza29sxsd2wsp" timestamp="1617903389"&gt;513&lt;/key&gt;&lt;/foreign-keys&gt;&lt;ref-type name="Journal Article"&gt;17&lt;/ref-type&gt;&lt;contributors&gt;&lt;authors&gt;&lt;author&gt;Close, J.&lt;/author&gt;&lt;author&gt;Ellis, M.&lt;/author&gt;&lt;author&gt;Hooper, R.&lt;/author&gt;&lt;author&gt;Glucksman, E.&lt;/author&gt;&lt;author&gt;Jackson, S.&lt;/author&gt;&lt;author&gt;Swift, C.&lt;/author&gt;&lt;/authors&gt;&lt;/contributors&gt;&lt;auth-address&gt;Department of Health Care of the Elderly, Guy&amp;apos;s King&amp;apos;s, and St Thomas&amp;apos; School of Medicine, King&amp;apos;s College Hospital, London, UK. jacqueline.close@kcl.ac.uk&lt;/auth-address&gt;&lt;titles&gt;&lt;title&gt;Prevention of falls in the elderly trial (PROFET): a randomised controlled trial&lt;/title&gt;&lt;secondary-title&gt;Lancet&lt;/secondary-title&gt;&lt;/titles&gt;&lt;periodical&gt;&lt;full-title&gt;Lancet&lt;/full-title&gt;&lt;/periodical&gt;&lt;pages&gt;93-7&lt;/pages&gt;&lt;volume&gt;353&lt;/volume&gt;&lt;number&gt;9147&lt;/number&gt;&lt;keywords&gt;&lt;keyword&gt;Accidental Falls/*prevention &amp;amp; control&lt;/keyword&gt;&lt;keyword&gt;Activities of Daily Living/classification&lt;/keyword&gt;&lt;keyword&gt;Aged&lt;/keyword&gt;&lt;keyword&gt;Aged, 80 and over&lt;/keyword&gt;&lt;keyword&gt;Female&lt;/keyword&gt;&lt;keyword&gt;*Frail Elderly&lt;/keyword&gt;&lt;keyword&gt;Geriatric Assessment&lt;/keyword&gt;&lt;keyword&gt;Humans&lt;/keyword&gt;&lt;keyword&gt;Male&lt;/keyword&gt;&lt;keyword&gt;Occupational Therapy&lt;/keyword&gt;&lt;keyword&gt;*Patient Care Team&lt;/keyword&gt;&lt;keyword&gt;Recurrence&lt;/keyword&gt;&lt;keyword&gt;Referral and Consultation&lt;/keyword&gt;&lt;keyword&gt;Treatment Outcome&lt;/keyword&gt;&lt;/keywords&gt;&lt;dates&gt;&lt;year&gt;1999&lt;/year&gt;&lt;pub-dates&gt;&lt;date&gt;Jan 9&lt;/date&gt;&lt;/pub-dates&gt;&lt;/dates&gt;&lt;isbn&gt;0140-6736 (Print)&amp;#xD;0140-6736 (Linking)&lt;/isbn&gt;&lt;accession-num&gt;10023893&lt;/accession-num&gt;&lt;urls&gt;&lt;related-urls&gt;&lt;url&gt;https://www.ncbi.nlm.nih.gov/pubmed/10023893&lt;/url&gt;&lt;/related-urls&gt;&lt;/urls&gt;&lt;electronic-resource-num&gt;10.1016/S0140-6736(98)06119-4&lt;/electronic-resource-num&gt;&lt;/record&gt;&lt;/Cite&gt;&lt;/EndNote&gt;</w:instrText>
            </w:r>
            <w:r w:rsidRPr="004C78D8">
              <w:rPr>
                <w:sz w:val="18"/>
                <w:szCs w:val="18"/>
              </w:rPr>
              <w:fldChar w:fldCharType="separate"/>
            </w:r>
            <w:r w:rsidR="00513646" w:rsidRPr="004C78D8">
              <w:rPr>
                <w:noProof/>
                <w:sz w:val="18"/>
                <w:szCs w:val="18"/>
              </w:rPr>
              <w:t>[62]</w:t>
            </w:r>
            <w:r w:rsidRPr="004C78D8">
              <w:rPr>
                <w:sz w:val="18"/>
                <w:szCs w:val="18"/>
              </w:rPr>
              <w:fldChar w:fldCharType="end"/>
            </w:r>
          </w:p>
        </w:tc>
      </w:tr>
      <w:tr w:rsidR="00E40E05" w:rsidRPr="004C78D8" w14:paraId="5381A55E" w14:textId="77777777" w:rsidTr="00E35893">
        <w:tc>
          <w:tcPr>
            <w:tcW w:w="843" w:type="pct"/>
            <w:vMerge/>
          </w:tcPr>
          <w:p w14:paraId="41C5F68D" w14:textId="77777777" w:rsidR="00E40E05" w:rsidRPr="004C78D8" w:rsidRDefault="00E40E05" w:rsidP="00FB7C1F">
            <w:pPr>
              <w:jc w:val="left"/>
              <w:rPr>
                <w:sz w:val="18"/>
                <w:szCs w:val="18"/>
              </w:rPr>
            </w:pPr>
          </w:p>
        </w:tc>
        <w:tc>
          <w:tcPr>
            <w:tcW w:w="2101" w:type="pct"/>
            <w:tcBorders>
              <w:top w:val="nil"/>
              <w:bottom w:val="nil"/>
            </w:tcBorders>
          </w:tcPr>
          <w:p w14:paraId="62905623" w14:textId="6601E48E" w:rsidR="00E40E05" w:rsidRPr="004C78D8" w:rsidRDefault="00E40E05" w:rsidP="00FB7C1F">
            <w:pPr>
              <w:jc w:val="left"/>
              <w:rPr>
                <w:sz w:val="18"/>
                <w:szCs w:val="18"/>
              </w:rPr>
            </w:pPr>
            <w:r w:rsidRPr="004C78D8">
              <w:rPr>
                <w:sz w:val="18"/>
                <w:szCs w:val="18"/>
              </w:rPr>
              <w:t>Optician and/or ophthalmologist referral for 17.8% of clients</w:t>
            </w:r>
          </w:p>
        </w:tc>
        <w:tc>
          <w:tcPr>
            <w:tcW w:w="1341" w:type="pct"/>
            <w:tcBorders>
              <w:top w:val="nil"/>
              <w:bottom w:val="nil"/>
            </w:tcBorders>
          </w:tcPr>
          <w:p w14:paraId="412128B3" w14:textId="128E10B1" w:rsidR="00E40E05" w:rsidRPr="004C78D8" w:rsidRDefault="00E40E05" w:rsidP="00FB7C1F">
            <w:pPr>
              <w:jc w:val="left"/>
              <w:rPr>
                <w:sz w:val="18"/>
                <w:szCs w:val="18"/>
              </w:rPr>
            </w:pPr>
            <w:r w:rsidRPr="004C78D8">
              <w:rPr>
                <w:sz w:val="18"/>
                <w:szCs w:val="18"/>
              </w:rPr>
              <w:t>£51.62 expected per client</w:t>
            </w:r>
          </w:p>
        </w:tc>
        <w:tc>
          <w:tcPr>
            <w:tcW w:w="715" w:type="pct"/>
            <w:tcBorders>
              <w:top w:val="nil"/>
              <w:bottom w:val="nil"/>
            </w:tcBorders>
          </w:tcPr>
          <w:p w14:paraId="30234102" w14:textId="7C2E33B3" w:rsidR="00E40E05" w:rsidRPr="004C78D8" w:rsidRDefault="00E40E05" w:rsidP="00FB7C1F">
            <w:pPr>
              <w:jc w:val="left"/>
              <w:rPr>
                <w:sz w:val="18"/>
                <w:szCs w:val="18"/>
              </w:rPr>
            </w:pPr>
            <w:r w:rsidRPr="004C78D8">
              <w:rPr>
                <w:sz w:val="18"/>
                <w:szCs w:val="18"/>
              </w:rPr>
              <w:fldChar w:fldCharType="begin"/>
            </w:r>
            <w:r w:rsidR="00513646" w:rsidRPr="004C78D8">
              <w:rPr>
                <w:sz w:val="18"/>
                <w:szCs w:val="18"/>
              </w:rPr>
              <w:instrText xml:space="preserve"> ADDIN EN.CITE &lt;EndNote&gt;&lt;Cite&gt;&lt;Author&gt;Day&lt;/Author&gt;&lt;Year&gt;2009&lt;/Year&gt;&lt;RecNum&gt;346&lt;/RecNum&gt;&lt;DisplayText&gt;[167]&lt;/DisplayText&gt;&lt;record&gt;&lt;rec-number&gt;346&lt;/rec-number&gt;&lt;foreign-keys&gt;&lt;key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4C78D8">
              <w:rPr>
                <w:sz w:val="18"/>
                <w:szCs w:val="18"/>
              </w:rPr>
              <w:fldChar w:fldCharType="separate"/>
            </w:r>
            <w:r w:rsidR="00513646" w:rsidRPr="004C78D8">
              <w:rPr>
                <w:noProof/>
                <w:sz w:val="18"/>
                <w:szCs w:val="18"/>
              </w:rPr>
              <w:t>[167]</w:t>
            </w:r>
            <w:r w:rsidRPr="004C78D8">
              <w:rPr>
                <w:sz w:val="18"/>
                <w:szCs w:val="18"/>
              </w:rPr>
              <w:fldChar w:fldCharType="end"/>
            </w:r>
            <w:r w:rsidRPr="004C78D8">
              <w:rPr>
                <w:sz w:val="18"/>
                <w:szCs w:val="18"/>
              </w:rPr>
              <w:t xml:space="preserve">; </w:t>
            </w:r>
            <w:r w:rsidRPr="004C78D8">
              <w:rPr>
                <w:sz w:val="18"/>
                <w:szCs w:val="18"/>
              </w:rPr>
              <w:fldChar w:fldCharType="begin"/>
            </w:r>
            <w:r w:rsidR="00513646" w:rsidRPr="004C78D8">
              <w:rPr>
                <w:sz w:val="18"/>
                <w:szCs w:val="18"/>
              </w:rPr>
              <w:instrText xml:space="preserve"> ADDIN EN.CITE &lt;EndNote&gt;&lt;Cite&gt;&lt;Author&gt;Close&lt;/Author&gt;&lt;Year&gt;1999&lt;/Year&gt;&lt;RecNum&gt;513&lt;/RecNum&gt;&lt;DisplayText&gt;[62]&lt;/DisplayText&gt;&lt;record&gt;&lt;rec-number&gt;513&lt;/rec-number&gt;&lt;foreign-keys&gt;&lt;key app="EN" db-id="tdtrdw9aepptzbefsat599syza29sxsd2wsp" timestamp="1617903389"&gt;513&lt;/key&gt;&lt;/foreign-keys&gt;&lt;ref-type name="Journal Article"&gt;17&lt;/ref-type&gt;&lt;contributors&gt;&lt;authors&gt;&lt;author&gt;Close, J.&lt;/author&gt;&lt;author&gt;Ellis, M.&lt;/author&gt;&lt;author&gt;Hooper, R.&lt;/author&gt;&lt;author&gt;Glucksman, E.&lt;/author&gt;&lt;author&gt;Jackson, S.&lt;/author&gt;&lt;author&gt;Swift, C.&lt;/author&gt;&lt;/authors&gt;&lt;/contributors&gt;&lt;auth-address&gt;Department of Health Care of the Elderly, Guy&amp;apos;s King&amp;apos;s, and St Thomas&amp;apos; School of Medicine, King&amp;apos;s College Hospital, London, UK. jacqueline.close@kcl.ac.uk&lt;/auth-address&gt;&lt;titles&gt;&lt;title&gt;Prevention of falls in the elderly trial (PROFET): a randomised controlled trial&lt;/title&gt;&lt;secondary-title&gt;Lancet&lt;/secondary-title&gt;&lt;/titles&gt;&lt;periodical&gt;&lt;full-title&gt;Lancet&lt;/full-title&gt;&lt;/periodical&gt;&lt;pages&gt;93-7&lt;/pages&gt;&lt;volume&gt;353&lt;/volume&gt;&lt;number&gt;9147&lt;/number&gt;&lt;keywords&gt;&lt;keyword&gt;Accidental Falls/*prevention &amp;amp; control&lt;/keyword&gt;&lt;keyword&gt;Activities of Daily Living/classification&lt;/keyword&gt;&lt;keyword&gt;Aged&lt;/keyword&gt;&lt;keyword&gt;Aged, 80 and over&lt;/keyword&gt;&lt;keyword&gt;Female&lt;/keyword&gt;&lt;keyword&gt;*Frail Elderly&lt;/keyword&gt;&lt;keyword&gt;Geriatric Assessment&lt;/keyword&gt;&lt;keyword&gt;Humans&lt;/keyword&gt;&lt;keyword&gt;Male&lt;/keyword&gt;&lt;keyword&gt;Occupational Therapy&lt;/keyword&gt;&lt;keyword&gt;*Patient Care Team&lt;/keyword&gt;&lt;keyword&gt;Recurrence&lt;/keyword&gt;&lt;keyword&gt;Referral and Consultation&lt;/keyword&gt;&lt;keyword&gt;Treatment Outcome&lt;/keyword&gt;&lt;/keywords&gt;&lt;dates&gt;&lt;year&gt;1999&lt;/year&gt;&lt;pub-dates&gt;&lt;date&gt;Jan 9&lt;/date&gt;&lt;/pub-dates&gt;&lt;/dates&gt;&lt;isbn&gt;0140-6736 (Print)&amp;#xD;0140-6736 (Linking)&lt;/isbn&gt;&lt;accession-num&gt;10023893&lt;/accession-num&gt;&lt;urls&gt;&lt;related-urls&gt;&lt;url&gt;https://www.ncbi.nlm.nih.gov/pubmed/10023893&lt;/url&gt;&lt;/related-urls&gt;&lt;/urls&gt;&lt;electronic-resource-num&gt;10.1016/S0140-6736(98)06119-4&lt;/electronic-resource-num&gt;&lt;/record&gt;&lt;/Cite&gt;&lt;/EndNote&gt;</w:instrText>
            </w:r>
            <w:r w:rsidRPr="004C78D8">
              <w:rPr>
                <w:sz w:val="18"/>
                <w:szCs w:val="18"/>
              </w:rPr>
              <w:fldChar w:fldCharType="separate"/>
            </w:r>
            <w:r w:rsidR="00513646" w:rsidRPr="004C78D8">
              <w:rPr>
                <w:noProof/>
                <w:sz w:val="18"/>
                <w:szCs w:val="18"/>
              </w:rPr>
              <w:t>[62]</w:t>
            </w:r>
            <w:r w:rsidRPr="004C78D8">
              <w:rPr>
                <w:sz w:val="18"/>
                <w:szCs w:val="18"/>
              </w:rPr>
              <w:fldChar w:fldCharType="end"/>
            </w:r>
          </w:p>
        </w:tc>
      </w:tr>
      <w:tr w:rsidR="00E40E05" w:rsidRPr="004C78D8" w14:paraId="40A7CD9C" w14:textId="77777777" w:rsidTr="00E35893">
        <w:tc>
          <w:tcPr>
            <w:tcW w:w="843" w:type="pct"/>
            <w:vMerge/>
          </w:tcPr>
          <w:p w14:paraId="0FED56F1" w14:textId="77777777" w:rsidR="00E40E05" w:rsidRPr="004C78D8" w:rsidRDefault="00E40E05" w:rsidP="00FB7C1F">
            <w:pPr>
              <w:jc w:val="left"/>
              <w:rPr>
                <w:sz w:val="18"/>
                <w:szCs w:val="18"/>
              </w:rPr>
            </w:pPr>
          </w:p>
        </w:tc>
        <w:tc>
          <w:tcPr>
            <w:tcW w:w="2101" w:type="pct"/>
            <w:tcBorders>
              <w:top w:val="nil"/>
              <w:bottom w:val="nil"/>
            </w:tcBorders>
          </w:tcPr>
          <w:p w14:paraId="1F2D0656" w14:textId="10867466" w:rsidR="00E40E05" w:rsidRPr="004C78D8" w:rsidRDefault="00E40E05" w:rsidP="00FB7C1F">
            <w:pPr>
              <w:jc w:val="left"/>
              <w:rPr>
                <w:sz w:val="18"/>
                <w:szCs w:val="18"/>
              </w:rPr>
            </w:pPr>
            <w:r w:rsidRPr="004C78D8">
              <w:rPr>
                <w:sz w:val="18"/>
                <w:szCs w:val="18"/>
              </w:rPr>
              <w:t>HAM major modifications (social care) for 92.1% of clients</w:t>
            </w:r>
          </w:p>
        </w:tc>
        <w:tc>
          <w:tcPr>
            <w:tcW w:w="1341" w:type="pct"/>
            <w:tcBorders>
              <w:top w:val="nil"/>
              <w:bottom w:val="nil"/>
            </w:tcBorders>
          </w:tcPr>
          <w:p w14:paraId="759E890D" w14:textId="010AC975" w:rsidR="00E40E05" w:rsidRPr="004C78D8" w:rsidRDefault="00E40E05" w:rsidP="00FB7C1F">
            <w:pPr>
              <w:jc w:val="left"/>
              <w:rPr>
                <w:sz w:val="18"/>
                <w:szCs w:val="18"/>
              </w:rPr>
            </w:pPr>
            <w:r w:rsidRPr="004C78D8">
              <w:rPr>
                <w:sz w:val="18"/>
                <w:szCs w:val="18"/>
              </w:rPr>
              <w:t>£87.47 expected per client</w:t>
            </w:r>
          </w:p>
        </w:tc>
        <w:tc>
          <w:tcPr>
            <w:tcW w:w="715" w:type="pct"/>
            <w:tcBorders>
              <w:top w:val="nil"/>
              <w:bottom w:val="nil"/>
            </w:tcBorders>
          </w:tcPr>
          <w:p w14:paraId="5DFCA737" w14:textId="3F5A3E61" w:rsidR="00E40E05" w:rsidRPr="004C78D8" w:rsidRDefault="00E40E05"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4C78D8">
              <w:rPr>
                <w:sz w:val="18"/>
                <w:szCs w:val="18"/>
              </w:rPr>
              <w:fldChar w:fldCharType="separate"/>
            </w:r>
            <w:r w:rsidR="00C630FC" w:rsidRPr="004C78D8">
              <w:rPr>
                <w:noProof/>
                <w:sz w:val="18"/>
                <w:szCs w:val="18"/>
              </w:rPr>
              <w:t>[216]</w:t>
            </w:r>
            <w:r w:rsidRPr="004C78D8">
              <w:rPr>
                <w:sz w:val="18"/>
                <w:szCs w:val="18"/>
              </w:rPr>
              <w:fldChar w:fldCharType="end"/>
            </w:r>
            <w:r w:rsidRPr="004C78D8">
              <w:rPr>
                <w:sz w:val="18"/>
                <w:szCs w:val="18"/>
              </w:rPr>
              <w:t xml:space="preserve">; </w:t>
            </w:r>
            <w:r w:rsidRPr="004C78D8">
              <w:rPr>
                <w:sz w:val="18"/>
                <w:szCs w:val="18"/>
              </w:rPr>
              <w:fldChar w:fldCharType="begin"/>
            </w:r>
            <w:r w:rsidR="00513646" w:rsidRPr="004C78D8">
              <w:rPr>
                <w:sz w:val="18"/>
                <w:szCs w:val="18"/>
              </w:rPr>
              <w:instrText xml:space="preserve"> ADDIN EN.CITE &lt;EndNote&gt;&lt;Cite&gt;&lt;Author&gt;Close&lt;/Author&gt;&lt;Year&gt;1999&lt;/Year&gt;&lt;RecNum&gt;513&lt;/RecNum&gt;&lt;DisplayText&gt;[62]&lt;/DisplayText&gt;&lt;record&gt;&lt;rec-number&gt;513&lt;/rec-number&gt;&lt;foreign-keys&gt;&lt;key app="EN" db-id="tdtrdw9aepptzbefsat599syza29sxsd2wsp" timestamp="1617903389"&gt;513&lt;/key&gt;&lt;/foreign-keys&gt;&lt;ref-type name="Journal Article"&gt;17&lt;/ref-type&gt;&lt;contributors&gt;&lt;authors&gt;&lt;author&gt;Close, J.&lt;/author&gt;&lt;author&gt;Ellis, M.&lt;/author&gt;&lt;author&gt;Hooper, R.&lt;/author&gt;&lt;author&gt;Glucksman, E.&lt;/author&gt;&lt;author&gt;Jackson, S.&lt;/author&gt;&lt;author&gt;Swift, C.&lt;/author&gt;&lt;/authors&gt;&lt;/contributors&gt;&lt;auth-address&gt;Department of Health Care of the Elderly, Guy&amp;apos;s King&amp;apos;s, and St Thomas&amp;apos; School of Medicine, King&amp;apos;s College Hospital, London, UK. jacqueline.close@kcl.ac.uk&lt;/auth-address&gt;&lt;titles&gt;&lt;title&gt;Prevention of falls in the elderly trial (PROFET): a randomised controlled trial&lt;/title&gt;&lt;secondary-title&gt;Lancet&lt;/secondary-title&gt;&lt;/titles&gt;&lt;periodical&gt;&lt;full-title&gt;Lancet&lt;/full-title&gt;&lt;/periodical&gt;&lt;pages&gt;93-7&lt;/pages&gt;&lt;volume&gt;353&lt;/volume&gt;&lt;number&gt;9147&lt;/number&gt;&lt;keywords&gt;&lt;keyword&gt;Accidental Falls/*prevention &amp;amp; control&lt;/keyword&gt;&lt;keyword&gt;Activities of Daily Living/classification&lt;/keyword&gt;&lt;keyword&gt;Aged&lt;/keyword&gt;&lt;keyword&gt;Aged, 80 and over&lt;/keyword&gt;&lt;keyword&gt;Female&lt;/keyword&gt;&lt;keyword&gt;*Frail Elderly&lt;/keyword&gt;&lt;keyword&gt;Geriatric Assessment&lt;/keyword&gt;&lt;keyword&gt;Humans&lt;/keyword&gt;&lt;keyword&gt;Male&lt;/keyword&gt;&lt;keyword&gt;Occupational Therapy&lt;/keyword&gt;&lt;keyword&gt;*Patient Care Team&lt;/keyword&gt;&lt;keyword&gt;Recurrence&lt;/keyword&gt;&lt;keyword&gt;Referral and Consultation&lt;/keyword&gt;&lt;keyword&gt;Treatment Outcome&lt;/keyword&gt;&lt;/keywords&gt;&lt;dates&gt;&lt;year&gt;1999&lt;/year&gt;&lt;pub-dates&gt;&lt;date&gt;Jan 9&lt;/date&gt;&lt;/pub-dates&gt;&lt;/dates&gt;&lt;isbn&gt;0140-6736 (Print)&amp;#xD;0140-6736 (Linking)&lt;/isbn&gt;&lt;accession-num&gt;10023893&lt;/accession-num&gt;&lt;urls&gt;&lt;related-urls&gt;&lt;url&gt;https://www.ncbi.nlm.nih.gov/pubmed/10023893&lt;/url&gt;&lt;/related-urls&gt;&lt;/urls&gt;&lt;electronic-resource-num&gt;10.1016/S0140-6736(98)06119-4&lt;/electronic-resource-num&gt;&lt;/record&gt;&lt;/Cite&gt;&lt;/EndNote&gt;</w:instrText>
            </w:r>
            <w:r w:rsidRPr="004C78D8">
              <w:rPr>
                <w:sz w:val="18"/>
                <w:szCs w:val="18"/>
              </w:rPr>
              <w:fldChar w:fldCharType="separate"/>
            </w:r>
            <w:r w:rsidR="00513646" w:rsidRPr="004C78D8">
              <w:rPr>
                <w:noProof/>
                <w:sz w:val="18"/>
                <w:szCs w:val="18"/>
              </w:rPr>
              <w:t>[62]</w:t>
            </w:r>
            <w:r w:rsidRPr="004C78D8">
              <w:rPr>
                <w:sz w:val="18"/>
                <w:szCs w:val="18"/>
              </w:rPr>
              <w:fldChar w:fldCharType="end"/>
            </w:r>
          </w:p>
        </w:tc>
      </w:tr>
      <w:tr w:rsidR="00AA6AA4" w:rsidRPr="004C78D8" w14:paraId="12EFB77F" w14:textId="77777777" w:rsidTr="00E35893">
        <w:tc>
          <w:tcPr>
            <w:tcW w:w="843" w:type="pct"/>
            <w:vMerge w:val="restart"/>
          </w:tcPr>
          <w:p w14:paraId="1A449DE3" w14:textId="6A2FB4F4" w:rsidR="00AA6AA4" w:rsidRPr="004C78D8" w:rsidRDefault="00AA6AA4" w:rsidP="00FB7C1F">
            <w:pPr>
              <w:jc w:val="left"/>
              <w:rPr>
                <w:sz w:val="18"/>
                <w:szCs w:val="18"/>
              </w:rPr>
            </w:pPr>
            <w:r w:rsidRPr="004C78D8">
              <w:rPr>
                <w:sz w:val="18"/>
                <w:szCs w:val="18"/>
              </w:rPr>
              <w:t>Non public sector cost per participant</w:t>
            </w:r>
          </w:p>
        </w:tc>
        <w:tc>
          <w:tcPr>
            <w:tcW w:w="2101" w:type="pct"/>
            <w:tcBorders>
              <w:bottom w:val="nil"/>
            </w:tcBorders>
          </w:tcPr>
          <w:p w14:paraId="5569DAF1" w14:textId="36BF43FE" w:rsidR="00AA6AA4" w:rsidRPr="004C78D8" w:rsidRDefault="00AA6AA4" w:rsidP="00FB7C1F">
            <w:pPr>
              <w:jc w:val="left"/>
              <w:rPr>
                <w:sz w:val="18"/>
                <w:szCs w:val="18"/>
              </w:rPr>
            </w:pPr>
            <w:r w:rsidRPr="004C78D8">
              <w:rPr>
                <w:sz w:val="18"/>
                <w:szCs w:val="18"/>
              </w:rPr>
              <w:t>Travel cost</w:t>
            </w:r>
          </w:p>
        </w:tc>
        <w:tc>
          <w:tcPr>
            <w:tcW w:w="1341" w:type="pct"/>
            <w:tcBorders>
              <w:bottom w:val="nil"/>
            </w:tcBorders>
          </w:tcPr>
          <w:p w14:paraId="1B8F7F29" w14:textId="59E8D136" w:rsidR="00AA6AA4" w:rsidRPr="004C78D8" w:rsidRDefault="00AA6AA4" w:rsidP="00FB7C1F">
            <w:pPr>
              <w:jc w:val="left"/>
              <w:rPr>
                <w:sz w:val="18"/>
                <w:szCs w:val="18"/>
              </w:rPr>
            </w:pPr>
            <w:r w:rsidRPr="004C78D8">
              <w:rPr>
                <w:sz w:val="18"/>
                <w:szCs w:val="18"/>
              </w:rPr>
              <w:t>£62.45 per year</w:t>
            </w:r>
          </w:p>
        </w:tc>
        <w:tc>
          <w:tcPr>
            <w:tcW w:w="715" w:type="pct"/>
            <w:tcBorders>
              <w:bottom w:val="nil"/>
            </w:tcBorders>
          </w:tcPr>
          <w:p w14:paraId="6B0DFEAA" w14:textId="6FE0053E" w:rsidR="00AA6AA4" w:rsidRPr="004C78D8" w:rsidRDefault="00AA6AA4"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&lt;EndNote&gt;&lt;Cite&gt;&lt;Author&gt;Comans&lt;/Author&gt;&lt;Year&gt;2009&lt;/Year&gt;&lt;RecNum&gt;376&lt;/RecNum&gt;&lt;DisplayText&gt;[207]&lt;/DisplayText&gt;&lt;record&gt;&lt;rec-number&gt;376&lt;/rec-number&gt;&lt;foreign-keys&gt;&lt;key app="EN" db-id="tdtrdw9aepptzbefsat599syza29sxsd2wsp" timestamp="1612625082"&gt;376&lt;/key&gt;&lt;/foreign-keys&gt;&lt;ref-type name="Journal Article"&gt;17&lt;/ref-type&gt;&lt;contributors&gt;&lt;authors&gt;&lt;author&gt;Comans, Tracy&lt;/author&gt;&lt;author&gt;Brauer, Sandy&lt;/author&gt;&lt;author&gt;Haines, Terry&lt;/author&gt;&lt;/authors&gt;&lt;/contributors&gt;&lt;titles&gt;&lt;title&gt;A break-even analysis of a community rehabilitation falls prevention service&lt;/title&gt;&lt;secondary-title&gt;Australian and New Zealand journal of public health&lt;/secondary-title&gt;&lt;/titles&gt;&lt;periodical&gt;&lt;full-title&gt;Australian and New Zealand journal of public health&lt;/full-title&gt;&lt;/periodical&gt;&lt;pages&gt;240-5&lt;/pages&gt;&lt;volume&gt;33&lt;/volume&gt;&lt;number&gt;3&lt;/number&gt;&lt;section&gt;Comans, Tracy. The Community Rehabilitation Service, Southside Health Service District and School of Health and Rehabilitation Sciences, University of Queensland, Queensland, Australia. tracy.comans@uqconnect.edu.au&lt;/section&gt;&lt;keywords&gt;&lt;keyword&gt;*Accidental Falls/pc [Prevention &amp;amp; Control]&lt;/keyword&gt;&lt;keyword&gt;Aged&lt;/keyword&gt;&lt;keyword&gt;Aged, 80 and over&lt;/keyword&gt;&lt;keyword&gt;Cost-Benefit Analysis&lt;/keyword&gt;&lt;keyword&gt;Efficiency, Organizational/ec [Economics]&lt;/keyword&gt;&lt;keyword&gt;*Efficiency, Organizational&lt;/keyword&gt;&lt;keyword&gt;Female&lt;/keyword&gt;&lt;keyword&gt;Humans&lt;/keyword&gt;&lt;keyword&gt;Interdisciplinary Communication&lt;/keyword&gt;&lt;keyword&gt;Male&lt;/keyword&gt;&lt;keyword&gt;Models, Theoretical&lt;/keyword&gt;&lt;keyword&gt;*Preventive Health Services/st [Standards]&lt;/keyword&gt;&lt;keyword&gt;*Rehabilitation Centers&lt;/keyword&gt;&lt;/keywords&gt;&lt;dates&gt;&lt;year&gt;2009&lt;/year&gt;&lt;/dates&gt;&lt;pub-location&gt;Australia&lt;/pub-location&gt;&lt;isbn&gt;1326-0200&lt;/isbn&gt;&lt;urls&gt;&lt;related-urls&gt;&lt;url&gt;http://ovidsp.ovid.com/ovidweb.cgi?T=JS&amp;amp;PAGE=reference&amp;amp;D=med6&amp;amp;NEWS=N&amp;amp;AN=19630843&lt;/url&gt;&lt;/related-urls&gt;&lt;/urls&gt;&lt;electronic-resource-num&gt;https://dx.doi.org/10.1111/j.1753-6405.2009.00382.x&lt;/electronic-resource-num&gt;&lt;remote-database-name&gt;Medline&lt;/remote-database-name&gt;&lt;/record&gt;&lt;/Cite&gt;&lt;/EndNote&gt;</w:instrText>
            </w:r>
            <w:r w:rsidRPr="004C78D8">
              <w:rPr>
                <w:sz w:val="18"/>
                <w:szCs w:val="18"/>
              </w:rPr>
              <w:fldChar w:fldCharType="separate"/>
            </w:r>
            <w:r w:rsidR="00C630FC" w:rsidRPr="004C78D8">
              <w:rPr>
                <w:noProof/>
                <w:sz w:val="18"/>
                <w:szCs w:val="18"/>
              </w:rPr>
              <w:t>[207]</w:t>
            </w:r>
            <w:r w:rsidRPr="004C78D8">
              <w:rPr>
                <w:sz w:val="18"/>
                <w:szCs w:val="18"/>
              </w:rPr>
              <w:fldChar w:fldCharType="end"/>
            </w:r>
          </w:p>
        </w:tc>
      </w:tr>
      <w:tr w:rsidR="00AA6AA4" w:rsidRPr="004C78D8" w14:paraId="37EB44A5" w14:textId="77777777" w:rsidTr="00E35893">
        <w:tc>
          <w:tcPr>
            <w:tcW w:w="843" w:type="pct"/>
            <w:vMerge/>
          </w:tcPr>
          <w:p w14:paraId="5573D8C9" w14:textId="77777777" w:rsidR="00AA6AA4" w:rsidRPr="004C78D8" w:rsidRDefault="00AA6AA4" w:rsidP="00FB7C1F">
            <w:pPr>
              <w:jc w:val="left"/>
              <w:rPr>
                <w:sz w:val="18"/>
                <w:szCs w:val="18"/>
              </w:rPr>
            </w:pPr>
          </w:p>
        </w:tc>
        <w:tc>
          <w:tcPr>
            <w:tcW w:w="2101" w:type="pct"/>
            <w:tcBorders>
              <w:top w:val="nil"/>
              <w:bottom w:val="nil"/>
            </w:tcBorders>
          </w:tcPr>
          <w:p w14:paraId="58508503" w14:textId="587205B0" w:rsidR="00AA6AA4" w:rsidRPr="004C78D8" w:rsidRDefault="00AA6AA4" w:rsidP="00FB7C1F">
            <w:pPr>
              <w:jc w:val="left"/>
              <w:rPr>
                <w:sz w:val="18"/>
                <w:szCs w:val="18"/>
              </w:rPr>
            </w:pPr>
            <w:r w:rsidRPr="004C78D8">
              <w:rPr>
                <w:sz w:val="18"/>
                <w:szCs w:val="18"/>
              </w:rPr>
              <w:t>HAM major modifications (self-funded) for 92.1% of clients</w:t>
            </w:r>
          </w:p>
        </w:tc>
        <w:tc>
          <w:tcPr>
            <w:tcW w:w="1341" w:type="pct"/>
            <w:tcBorders>
              <w:top w:val="nil"/>
              <w:bottom w:val="nil"/>
            </w:tcBorders>
          </w:tcPr>
          <w:p w14:paraId="7070DA32" w14:textId="1A265AD5" w:rsidR="00AA6AA4" w:rsidRPr="004C78D8" w:rsidRDefault="00AA6AA4" w:rsidP="00FB7C1F">
            <w:pPr>
              <w:jc w:val="left"/>
              <w:rPr>
                <w:sz w:val="18"/>
                <w:szCs w:val="18"/>
              </w:rPr>
            </w:pPr>
            <w:r w:rsidRPr="004C78D8">
              <w:rPr>
                <w:sz w:val="18"/>
                <w:szCs w:val="18"/>
              </w:rPr>
              <w:t>£87.47 expected per client</w:t>
            </w:r>
          </w:p>
        </w:tc>
        <w:tc>
          <w:tcPr>
            <w:tcW w:w="715" w:type="pct"/>
            <w:tcBorders>
              <w:top w:val="nil"/>
              <w:bottom w:val="nil"/>
            </w:tcBorders>
          </w:tcPr>
          <w:p w14:paraId="346F9671" w14:textId="7F0D8E1F" w:rsidR="00AA6AA4" w:rsidRPr="004C78D8" w:rsidRDefault="00AA6AA4"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4C78D8">
              <w:rPr>
                <w:sz w:val="18"/>
                <w:szCs w:val="18"/>
              </w:rPr>
              <w:fldChar w:fldCharType="separate"/>
            </w:r>
            <w:r w:rsidR="00C630FC" w:rsidRPr="004C78D8">
              <w:rPr>
                <w:noProof/>
                <w:sz w:val="18"/>
                <w:szCs w:val="18"/>
              </w:rPr>
              <w:t>[216]</w:t>
            </w:r>
            <w:r w:rsidRPr="004C78D8">
              <w:rPr>
                <w:sz w:val="18"/>
                <w:szCs w:val="18"/>
              </w:rPr>
              <w:fldChar w:fldCharType="end"/>
            </w:r>
            <w:r w:rsidRPr="004C78D8">
              <w:rPr>
                <w:sz w:val="18"/>
                <w:szCs w:val="18"/>
              </w:rPr>
              <w:t xml:space="preserve">; </w:t>
            </w:r>
            <w:r w:rsidRPr="004C78D8">
              <w:rPr>
                <w:sz w:val="18"/>
                <w:szCs w:val="18"/>
              </w:rPr>
              <w:fldChar w:fldCharType="begin"/>
            </w:r>
            <w:r w:rsidR="00513646" w:rsidRPr="004C78D8">
              <w:rPr>
                <w:sz w:val="18"/>
                <w:szCs w:val="18"/>
              </w:rPr>
              <w:instrText xml:space="preserve"> ADDIN EN.CITE &lt;EndNote&gt;&lt;Cite&gt;&lt;Author&gt;Close&lt;/Author&gt;&lt;Year&gt;1999&lt;/Year&gt;&lt;RecNum&gt;513&lt;/RecNum&gt;&lt;DisplayText&gt;[62]&lt;/DisplayText&gt;&lt;record&gt;&lt;rec-number&gt;513&lt;/rec-number&gt;&lt;foreign-keys&gt;&lt;key app="EN" db-id="tdtrdw9aepptzbefsat599syza29sxsd2wsp" timestamp="1617903389"&gt;513&lt;/key&gt;&lt;/foreign-keys&gt;&lt;ref-type name="Journal Article"&gt;17&lt;/ref-type&gt;&lt;contributors&gt;&lt;authors&gt;&lt;author&gt;Close, J.&lt;/author&gt;&lt;author&gt;Ellis, M.&lt;/author&gt;&lt;author&gt;Hooper, R.&lt;/author&gt;&lt;author&gt;Glucksman, E.&lt;/author&gt;&lt;author&gt;Jackson, S.&lt;/author&gt;&lt;author&gt;Swift, C.&lt;/author&gt;&lt;/authors&gt;&lt;/contributors&gt;&lt;auth-address&gt;Department of Health Care of the Elderly, Guy&amp;apos;s King&amp;apos;s, and St Thomas&amp;apos; School of Medicine, King&amp;apos;s College Hospital, London, UK. jacqueline.close@kcl.ac.uk&lt;/auth-address&gt;&lt;titles&gt;&lt;title&gt;Prevention of falls in the elderly trial (PROFET): a randomised controlled trial&lt;/title&gt;&lt;secondary-title&gt;Lancet&lt;/secondary-title&gt;&lt;/titles&gt;&lt;periodical&gt;&lt;full-title&gt;Lancet&lt;/full-title&gt;&lt;/periodical&gt;&lt;pages&gt;93-7&lt;/pages&gt;&lt;volume&gt;353&lt;/volume&gt;&lt;number&gt;9147&lt;/number&gt;&lt;keywords&gt;&lt;keyword&gt;Accidental Falls/*prevention &amp;amp; control&lt;/keyword&gt;&lt;keyword&gt;Activities of Daily Living/classification&lt;/keyword&gt;&lt;keyword&gt;Aged&lt;/keyword&gt;&lt;keyword&gt;Aged, 80 and over&lt;/keyword&gt;&lt;keyword&gt;Female&lt;/keyword&gt;&lt;keyword&gt;*Frail Elderly&lt;/keyword&gt;&lt;keyword&gt;Geriatric Assessment&lt;/keyword&gt;&lt;keyword&gt;Humans&lt;/keyword&gt;&lt;keyword&gt;Male&lt;/keyword&gt;&lt;keyword&gt;Occupational Therapy&lt;/keyword&gt;&lt;keyword&gt;*Patient Care Team&lt;/keyword&gt;&lt;keyword&gt;Recurrence&lt;/keyword&gt;&lt;keyword&gt;Referral and Consultation&lt;/keyword&gt;&lt;keyword&gt;Treatment Outcome&lt;/keyword&gt;&lt;/keywords&gt;&lt;dates&gt;&lt;year&gt;1999&lt;/year&gt;&lt;pub-dates&gt;&lt;date&gt;Jan 9&lt;/date&gt;&lt;/pub-dates&gt;&lt;/dates&gt;&lt;isbn&gt;0140-6736 (Print)&amp;#xD;0140-6736 (Linking)&lt;/isbn&gt;&lt;accession-num&gt;10023893&lt;/accession-num&gt;&lt;urls&gt;&lt;related-urls&gt;&lt;url&gt;https://www.ncbi.nlm.nih.gov/pubmed/10023893&lt;/url&gt;&lt;/related-urls&gt;&lt;/urls&gt;&lt;electronic-resource-num&gt;10.1016/S0140-6736(98)06119-4&lt;/electronic-resource-num&gt;&lt;/record&gt;&lt;/Cite&gt;&lt;/EndNote&gt;</w:instrText>
            </w:r>
            <w:r w:rsidRPr="004C78D8">
              <w:rPr>
                <w:sz w:val="18"/>
                <w:szCs w:val="18"/>
              </w:rPr>
              <w:fldChar w:fldCharType="separate"/>
            </w:r>
            <w:r w:rsidR="00513646" w:rsidRPr="004C78D8">
              <w:rPr>
                <w:noProof/>
                <w:sz w:val="18"/>
                <w:szCs w:val="18"/>
              </w:rPr>
              <w:t>[62]</w:t>
            </w:r>
            <w:r w:rsidRPr="004C78D8">
              <w:rPr>
                <w:sz w:val="18"/>
                <w:szCs w:val="18"/>
              </w:rPr>
              <w:fldChar w:fldCharType="end"/>
            </w:r>
          </w:p>
        </w:tc>
      </w:tr>
      <w:tr w:rsidR="00AA6AA4" w:rsidRPr="004C78D8" w14:paraId="4400E6C6" w14:textId="77777777" w:rsidTr="00E35893">
        <w:tc>
          <w:tcPr>
            <w:tcW w:w="843" w:type="pct"/>
            <w:vMerge/>
          </w:tcPr>
          <w:p w14:paraId="7D2907F7" w14:textId="77777777" w:rsidR="00AA6AA4" w:rsidRPr="004C78D8" w:rsidRDefault="00AA6AA4" w:rsidP="00FB7C1F">
            <w:pPr>
              <w:jc w:val="left"/>
              <w:rPr>
                <w:sz w:val="18"/>
                <w:szCs w:val="18"/>
              </w:rPr>
            </w:pPr>
          </w:p>
        </w:tc>
        <w:tc>
          <w:tcPr>
            <w:tcW w:w="2101" w:type="pct"/>
            <w:tcBorders>
              <w:top w:val="nil"/>
              <w:bottom w:val="nil"/>
            </w:tcBorders>
          </w:tcPr>
          <w:p w14:paraId="2A237B3A" w14:textId="5C5801F7" w:rsidR="00AA6AA4" w:rsidRPr="004C78D8" w:rsidRDefault="00AA6AA4" w:rsidP="00FB7C1F">
            <w:pPr>
              <w:jc w:val="left"/>
              <w:rPr>
                <w:sz w:val="18"/>
                <w:szCs w:val="18"/>
              </w:rPr>
            </w:pPr>
            <w:r w:rsidRPr="004C78D8">
              <w:rPr>
                <w:sz w:val="18"/>
                <w:szCs w:val="18"/>
              </w:rPr>
              <w:t>Time opportunity cost – if employed</w:t>
            </w:r>
            <w:r w:rsidRPr="004C78D8">
              <w:rPr>
                <w:sz w:val="18"/>
                <w:szCs w:val="18"/>
                <w:vertAlign w:val="superscript"/>
              </w:rPr>
              <w:t>1</w:t>
            </w:r>
            <w:r w:rsidR="00F12992" w:rsidRPr="004C78D8">
              <w:rPr>
                <w:sz w:val="18"/>
                <w:szCs w:val="18"/>
                <w:vertAlign w:val="superscript"/>
              </w:rPr>
              <w:t>2</w:t>
            </w:r>
          </w:p>
        </w:tc>
        <w:tc>
          <w:tcPr>
            <w:tcW w:w="1341" w:type="pct"/>
            <w:tcBorders>
              <w:top w:val="nil"/>
              <w:bottom w:val="nil"/>
            </w:tcBorders>
          </w:tcPr>
          <w:p w14:paraId="31407048" w14:textId="3C2426F6" w:rsidR="00AA6AA4" w:rsidRPr="004C78D8" w:rsidRDefault="00AA6AA4" w:rsidP="00FB7C1F">
            <w:pPr>
              <w:jc w:val="left"/>
              <w:rPr>
                <w:sz w:val="18"/>
                <w:szCs w:val="18"/>
              </w:rPr>
            </w:pPr>
            <w:r w:rsidRPr="004C78D8">
              <w:rPr>
                <w:sz w:val="18"/>
                <w:szCs w:val="18"/>
              </w:rPr>
              <w:t>£69.76 per year</w:t>
            </w:r>
          </w:p>
        </w:tc>
        <w:tc>
          <w:tcPr>
            <w:tcW w:w="715" w:type="pct"/>
            <w:tcBorders>
              <w:top w:val="nil"/>
              <w:bottom w:val="nil"/>
            </w:tcBorders>
          </w:tcPr>
          <w:p w14:paraId="102058F2" w14:textId="77777777" w:rsidR="00AA6AA4" w:rsidRPr="004C78D8" w:rsidRDefault="00AA6AA4" w:rsidP="00FB7C1F">
            <w:pPr>
              <w:jc w:val="left"/>
              <w:rPr>
                <w:sz w:val="18"/>
                <w:szCs w:val="18"/>
              </w:rPr>
            </w:pPr>
          </w:p>
        </w:tc>
      </w:tr>
      <w:tr w:rsidR="00AA6AA4" w:rsidRPr="004C78D8" w14:paraId="6CD88113" w14:textId="77777777" w:rsidTr="00E35893">
        <w:tc>
          <w:tcPr>
            <w:tcW w:w="843" w:type="pct"/>
            <w:vMerge/>
          </w:tcPr>
          <w:p w14:paraId="4BEC618B" w14:textId="77777777" w:rsidR="00AA6AA4" w:rsidRPr="004C78D8" w:rsidRDefault="00AA6AA4" w:rsidP="00FB7C1F">
            <w:pPr>
              <w:jc w:val="left"/>
              <w:rPr>
                <w:sz w:val="18"/>
                <w:szCs w:val="18"/>
              </w:rPr>
            </w:pPr>
          </w:p>
        </w:tc>
        <w:tc>
          <w:tcPr>
            <w:tcW w:w="2101" w:type="pct"/>
            <w:tcBorders>
              <w:top w:val="nil"/>
            </w:tcBorders>
          </w:tcPr>
          <w:p w14:paraId="4666FD78" w14:textId="1FAC7921" w:rsidR="00AA6AA4" w:rsidRPr="004C78D8" w:rsidRDefault="00AA6AA4" w:rsidP="00FB7C1F">
            <w:pPr>
              <w:jc w:val="left"/>
              <w:rPr>
                <w:sz w:val="18"/>
                <w:szCs w:val="18"/>
              </w:rPr>
            </w:pPr>
            <w:r w:rsidRPr="004C78D8">
              <w:rPr>
                <w:sz w:val="18"/>
                <w:szCs w:val="18"/>
              </w:rPr>
              <w:t>Time opportunity cost – if engaged in regular unpaid work</w:t>
            </w:r>
            <w:r w:rsidRPr="004C78D8">
              <w:rPr>
                <w:sz w:val="18"/>
                <w:szCs w:val="18"/>
                <w:vertAlign w:val="superscript"/>
              </w:rPr>
              <w:t>1</w:t>
            </w:r>
            <w:r w:rsidR="00F12992" w:rsidRPr="004C78D8">
              <w:rPr>
                <w:sz w:val="18"/>
                <w:szCs w:val="18"/>
                <w:vertAlign w:val="superscript"/>
              </w:rPr>
              <w:t>2</w:t>
            </w:r>
          </w:p>
        </w:tc>
        <w:tc>
          <w:tcPr>
            <w:tcW w:w="1341" w:type="pct"/>
            <w:tcBorders>
              <w:top w:val="nil"/>
            </w:tcBorders>
          </w:tcPr>
          <w:p w14:paraId="1A1BEAF1" w14:textId="33940E1E" w:rsidR="00AA6AA4" w:rsidRPr="004C78D8" w:rsidRDefault="00AA6AA4" w:rsidP="00FB7C1F">
            <w:pPr>
              <w:jc w:val="left"/>
              <w:rPr>
                <w:sz w:val="18"/>
                <w:szCs w:val="18"/>
              </w:rPr>
            </w:pPr>
            <w:r w:rsidRPr="004C78D8">
              <w:rPr>
                <w:sz w:val="18"/>
                <w:szCs w:val="18"/>
              </w:rPr>
              <w:t>£17.44 per year</w:t>
            </w:r>
          </w:p>
        </w:tc>
        <w:tc>
          <w:tcPr>
            <w:tcW w:w="715" w:type="pct"/>
            <w:tcBorders>
              <w:top w:val="nil"/>
            </w:tcBorders>
          </w:tcPr>
          <w:p w14:paraId="3C10D56D" w14:textId="77777777" w:rsidR="00AA6AA4" w:rsidRPr="004C78D8" w:rsidRDefault="00AA6AA4" w:rsidP="00FB7C1F">
            <w:pPr>
              <w:jc w:val="left"/>
              <w:rPr>
                <w:sz w:val="18"/>
                <w:szCs w:val="18"/>
              </w:rPr>
            </w:pPr>
          </w:p>
        </w:tc>
      </w:tr>
      <w:tr w:rsidR="00530911" w:rsidRPr="004C78D8" w14:paraId="19F2CC29" w14:textId="77777777" w:rsidTr="00E35893">
        <w:tc>
          <w:tcPr>
            <w:tcW w:w="5000" w:type="pct"/>
            <w:gridSpan w:val="4"/>
          </w:tcPr>
          <w:p w14:paraId="45157BD7" w14:textId="56EACB0E" w:rsidR="00C46EA2" w:rsidRPr="004C78D8" w:rsidRDefault="00D10D5E" w:rsidP="00FB7C1F">
            <w:pPr>
              <w:rPr>
                <w:sz w:val="18"/>
                <w:szCs w:val="18"/>
              </w:rPr>
            </w:pPr>
            <w:r w:rsidRPr="004C78D8">
              <w:rPr>
                <w:b/>
                <w:bCs/>
                <w:sz w:val="18"/>
                <w:szCs w:val="18"/>
              </w:rPr>
              <w:t>Abbreviation</w:t>
            </w:r>
            <w:r w:rsidR="00C46EA2" w:rsidRPr="004C78D8">
              <w:rPr>
                <w:b/>
                <w:bCs/>
                <w:sz w:val="18"/>
                <w:szCs w:val="18"/>
              </w:rPr>
              <w:t>:</w:t>
            </w:r>
            <w:r w:rsidR="00C46EA2" w:rsidRPr="004C78D8">
              <w:rPr>
                <w:sz w:val="18"/>
                <w:szCs w:val="18"/>
              </w:rPr>
              <w:t xml:space="preserve"> CI: cognitively impaired; HAM: home assessment and modification; MA fall: fall requiring medical attention; OT: occupational therapy/therapist; PT: physiotherapy/therapist; TUG: timed up and go</w:t>
            </w:r>
          </w:p>
          <w:p w14:paraId="2EA76869" w14:textId="7DEF9721" w:rsidR="00530911" w:rsidRPr="004C78D8" w:rsidRDefault="00530911" w:rsidP="00FB7C1F">
            <w:pPr>
              <w:rPr>
                <w:sz w:val="18"/>
                <w:szCs w:val="18"/>
              </w:rPr>
            </w:pPr>
            <w:r w:rsidRPr="004C78D8">
              <w:rPr>
                <w:sz w:val="18"/>
                <w:szCs w:val="18"/>
                <w:vertAlign w:val="superscript"/>
              </w:rPr>
              <w:t>1</w:t>
            </w:r>
            <w:r w:rsidRPr="004C78D8">
              <w:rPr>
                <w:sz w:val="18"/>
                <w:szCs w:val="18"/>
              </w:rPr>
              <w:t xml:space="preserve"> All costs are expressed in 2021/22 </w:t>
            </w:r>
            <w:r w:rsidR="00A876A2" w:rsidRPr="004C78D8">
              <w:rPr>
                <w:sz w:val="18"/>
                <w:szCs w:val="18"/>
              </w:rPr>
              <w:t>£</w:t>
            </w:r>
            <w:r w:rsidRPr="004C78D8">
              <w:rPr>
                <w:sz w:val="18"/>
                <w:szCs w:val="18"/>
              </w:rPr>
              <w:t xml:space="preserve">. Earlier estimates were inflated at the annual rate of 1.98% which is the average NHS cost inflation between 2013 and 2019 </w:t>
            </w:r>
            <w:r w:rsidR="005C3683" w:rsidRPr="004C78D8">
              <w:rPr>
                <w:sz w:val="18"/>
                <w:szCs w:val="18"/>
              </w:rPr>
              <w:fldChar w:fldCharType="begin"/>
            </w:r>
            <w:r w:rsidR="00C630FC" w:rsidRPr="004C78D8">
              <w:rPr>
                <w:sz w:val="18"/>
                <w:szCs w:val="18"/>
              </w:rPr>
              <w:instrText xml:space="preserve"> ADDIN EN.CITE &lt;EndNote&gt;&lt;Cite&gt;&lt;Author&gt;Curtis&lt;/Author&gt;&lt;Year&gt;2019&lt;/Year&gt;&lt;RecNum&gt;135&lt;/RecNum&gt;&lt;DisplayText&gt;[401]&lt;/DisplayText&gt;&lt;record&gt;&lt;rec-number&gt;135&lt;/rec-number&gt;&lt;foreign-keys&gt;&lt;key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005C3683" w:rsidRPr="004C78D8">
              <w:rPr>
                <w:sz w:val="18"/>
                <w:szCs w:val="18"/>
              </w:rPr>
              <w:fldChar w:fldCharType="separate"/>
            </w:r>
            <w:r w:rsidR="00C630FC" w:rsidRPr="004C78D8">
              <w:rPr>
                <w:noProof/>
                <w:sz w:val="18"/>
                <w:szCs w:val="18"/>
              </w:rPr>
              <w:t>[401]</w:t>
            </w:r>
            <w:r w:rsidR="005C3683" w:rsidRPr="004C78D8">
              <w:rPr>
                <w:sz w:val="18"/>
                <w:szCs w:val="18"/>
              </w:rPr>
              <w:fldChar w:fldCharType="end"/>
            </w:r>
            <w:r w:rsidRPr="004C78D8">
              <w:rPr>
                <w:sz w:val="18"/>
                <w:szCs w:val="18"/>
              </w:rPr>
              <w:t xml:space="preserve">. Costs in Australian dollar were converted to </w:t>
            </w:r>
            <w:r w:rsidR="00A876A2" w:rsidRPr="004C78D8">
              <w:rPr>
                <w:sz w:val="18"/>
                <w:szCs w:val="18"/>
              </w:rPr>
              <w:t>£</w:t>
            </w:r>
            <w:r w:rsidRPr="004C78D8">
              <w:rPr>
                <w:sz w:val="18"/>
                <w:szCs w:val="18"/>
              </w:rPr>
              <w:t xml:space="preserve"> at rate of £0.55/AUS$1.</w:t>
            </w:r>
          </w:p>
          <w:p w14:paraId="47FC8280" w14:textId="1118E538" w:rsidR="004977AD" w:rsidRPr="004C78D8" w:rsidRDefault="004977AD" w:rsidP="00FB7C1F">
            <w:pPr>
              <w:rPr>
                <w:sz w:val="18"/>
                <w:szCs w:val="18"/>
              </w:rPr>
            </w:pPr>
            <w:r w:rsidRPr="004C78D8">
              <w:rPr>
                <w:sz w:val="18"/>
                <w:szCs w:val="18"/>
                <w:vertAlign w:val="superscript"/>
              </w:rPr>
              <w:t>2</w:t>
            </w:r>
            <w:r w:rsidRPr="004C78D8">
              <w:rPr>
                <w:sz w:val="18"/>
                <w:szCs w:val="18"/>
              </w:rPr>
              <w:t xml:space="preserve"> This incorporated cost of 30 minutes of hospital staff time, 28% premium as </w:t>
            </w:r>
            <w:r w:rsidR="00A876A2" w:rsidRPr="004C78D8">
              <w:rPr>
                <w:sz w:val="18"/>
                <w:szCs w:val="18"/>
              </w:rPr>
              <w:t>c</w:t>
            </w:r>
            <w:r w:rsidRPr="004C78D8">
              <w:rPr>
                <w:sz w:val="18"/>
                <w:szCs w:val="18"/>
              </w:rPr>
              <w:t>ost of recruitment (i.e., letter</w:t>
            </w:r>
            <w:r w:rsidR="00A876A2" w:rsidRPr="004C78D8">
              <w:rPr>
                <w:sz w:val="18"/>
                <w:szCs w:val="18"/>
              </w:rPr>
              <w:t>s</w:t>
            </w:r>
            <w:r w:rsidRPr="004C78D8">
              <w:rPr>
                <w:sz w:val="18"/>
                <w:szCs w:val="18"/>
              </w:rPr>
              <w:t xml:space="preserve"> and phone calls), and 50% premium as office overheads. The costs were converted from 2008/09 Australian dollar to 2021/22 </w:t>
            </w:r>
            <w:r w:rsidR="00A876A2" w:rsidRPr="004C78D8">
              <w:rPr>
                <w:sz w:val="18"/>
                <w:szCs w:val="18"/>
              </w:rPr>
              <w:t>£</w:t>
            </w:r>
            <w:r w:rsidRPr="004C78D8">
              <w:rPr>
                <w:sz w:val="18"/>
                <w:szCs w:val="18"/>
              </w:rPr>
              <w:t>.</w:t>
            </w:r>
          </w:p>
          <w:p w14:paraId="5AC344DA" w14:textId="173F1940" w:rsidR="000814BC" w:rsidRPr="004C78D8" w:rsidRDefault="000814BC" w:rsidP="00FB7C1F">
            <w:pPr>
              <w:rPr>
                <w:sz w:val="18"/>
                <w:szCs w:val="18"/>
              </w:rPr>
            </w:pPr>
            <w:r w:rsidRPr="004C78D8">
              <w:rPr>
                <w:sz w:val="18"/>
                <w:szCs w:val="18"/>
                <w:vertAlign w:val="superscript"/>
              </w:rPr>
              <w:t>3</w:t>
            </w:r>
            <w:r w:rsidRPr="004C78D8">
              <w:rPr>
                <w:sz w:val="18"/>
                <w:szCs w:val="18"/>
              </w:rPr>
              <w:t xml:space="preserve"> This included cost of set-up (i.e., office overheads) at £24 per GP practice which amounted to £0.02 per person when spread across all recommended scenario recipients. The 28% premium for recruitment was applied as in reactive pathway (see note 2) to obtain the final per-participant cost of £10.83.</w:t>
            </w:r>
          </w:p>
          <w:p w14:paraId="4E481257" w14:textId="2098322C" w:rsidR="00530911" w:rsidRPr="004C78D8" w:rsidRDefault="000814BC" w:rsidP="00FB7C1F">
            <w:pPr>
              <w:rPr>
                <w:sz w:val="18"/>
                <w:szCs w:val="18"/>
              </w:rPr>
            </w:pPr>
            <w:r w:rsidRPr="004C78D8">
              <w:rPr>
                <w:sz w:val="18"/>
                <w:szCs w:val="18"/>
                <w:vertAlign w:val="superscript"/>
              </w:rPr>
              <w:t>4</w:t>
            </w:r>
            <w:r w:rsidR="00530911" w:rsidRPr="004C78D8">
              <w:rPr>
                <w:sz w:val="18"/>
                <w:szCs w:val="18"/>
              </w:rPr>
              <w:t xml:space="preserve"> Salary/oncosts of social work assistant from PSSRU depository were used </w:t>
            </w:r>
            <w:r w:rsidR="005C3683" w:rsidRPr="004C78D8">
              <w:rPr>
                <w:sz w:val="18"/>
                <w:szCs w:val="18"/>
              </w:rPr>
              <w:fldChar w:fldCharType="begin"/>
            </w:r>
            <w:r w:rsidR="00C630FC" w:rsidRPr="004C78D8">
              <w:rPr>
                <w:sz w:val="18"/>
                <w:szCs w:val="18"/>
              </w:rPr>
              <w:instrText xml:space="preserve"> ADDIN EN.CITE &lt;EndNote&gt;&lt;Cite&gt;&lt;Author&gt;Curtis&lt;/Author&gt;&lt;Year&gt;2019&lt;/Year&gt;&lt;RecNum&gt;135&lt;/RecNum&gt;&lt;DisplayText&gt;[401]&lt;/DisplayText&gt;&lt;record&gt;&lt;rec-number&gt;135&lt;/rec-number&gt;&lt;foreign-keys&gt;&lt;key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005C3683" w:rsidRPr="004C78D8">
              <w:rPr>
                <w:sz w:val="18"/>
                <w:szCs w:val="18"/>
              </w:rPr>
              <w:fldChar w:fldCharType="separate"/>
            </w:r>
            <w:r w:rsidR="00C630FC" w:rsidRPr="004C78D8">
              <w:rPr>
                <w:noProof/>
                <w:sz w:val="18"/>
                <w:szCs w:val="18"/>
              </w:rPr>
              <w:t>[401]</w:t>
            </w:r>
            <w:r w:rsidR="005C3683" w:rsidRPr="004C78D8">
              <w:rPr>
                <w:sz w:val="18"/>
                <w:szCs w:val="18"/>
              </w:rPr>
              <w:fldChar w:fldCharType="end"/>
            </w:r>
            <w:r w:rsidR="00530911" w:rsidRPr="004C78D8">
              <w:rPr>
                <w:sz w:val="18"/>
                <w:szCs w:val="18"/>
              </w:rPr>
              <w:t>.</w:t>
            </w:r>
          </w:p>
          <w:p w14:paraId="74ADAB12" w14:textId="7B4ECF80" w:rsidR="00530911" w:rsidRPr="004C78D8" w:rsidRDefault="000814BC" w:rsidP="00FB7C1F">
            <w:pPr>
              <w:rPr>
                <w:sz w:val="18"/>
                <w:szCs w:val="18"/>
              </w:rPr>
            </w:pPr>
            <w:r w:rsidRPr="004C78D8">
              <w:rPr>
                <w:sz w:val="18"/>
                <w:szCs w:val="18"/>
                <w:vertAlign w:val="superscript"/>
              </w:rPr>
              <w:t>5</w:t>
            </w:r>
            <w:r w:rsidR="00530911" w:rsidRPr="004C78D8">
              <w:rPr>
                <w:sz w:val="18"/>
                <w:szCs w:val="18"/>
              </w:rPr>
              <w:t xml:space="preserve"> Salary/oncosts of administrative staff for medical consultant were used </w:t>
            </w:r>
            <w:r w:rsidR="005C3683" w:rsidRPr="004C78D8">
              <w:rPr>
                <w:sz w:val="18"/>
                <w:szCs w:val="18"/>
              </w:rPr>
              <w:fldChar w:fldCharType="begin"/>
            </w:r>
            <w:r w:rsidR="00C630FC" w:rsidRPr="004C78D8">
              <w:rPr>
                <w:sz w:val="18"/>
                <w:szCs w:val="18"/>
              </w:rPr>
              <w:instrText xml:space="preserve"> ADDIN EN.CITE &lt;EndNote&gt;&lt;Cite&gt;&lt;Author&gt;Curtis&lt;/Author&gt;&lt;Year&gt;2019&lt;/Year&gt;&lt;RecNum&gt;135&lt;/RecNum&gt;&lt;DisplayText&gt;[401]&lt;/DisplayText&gt;&lt;record&gt;&lt;rec-number&gt;135&lt;/rec-number&gt;&lt;foreign-keys&gt;&lt;key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005C3683" w:rsidRPr="004C78D8">
              <w:rPr>
                <w:sz w:val="18"/>
                <w:szCs w:val="18"/>
              </w:rPr>
              <w:fldChar w:fldCharType="separate"/>
            </w:r>
            <w:r w:rsidR="00C630FC" w:rsidRPr="004C78D8">
              <w:rPr>
                <w:noProof/>
                <w:sz w:val="18"/>
                <w:szCs w:val="18"/>
              </w:rPr>
              <w:t>[401]</w:t>
            </w:r>
            <w:r w:rsidR="005C3683" w:rsidRPr="004C78D8">
              <w:rPr>
                <w:sz w:val="18"/>
                <w:szCs w:val="18"/>
              </w:rPr>
              <w:fldChar w:fldCharType="end"/>
            </w:r>
            <w:r w:rsidR="00530911" w:rsidRPr="004C78D8">
              <w:rPr>
                <w:sz w:val="18"/>
                <w:szCs w:val="18"/>
              </w:rPr>
              <w:t>.</w:t>
            </w:r>
          </w:p>
          <w:p w14:paraId="330EEE42" w14:textId="7F479B55" w:rsidR="00530911" w:rsidRPr="004C78D8" w:rsidRDefault="000814BC" w:rsidP="00FB7C1F">
            <w:pPr>
              <w:rPr>
                <w:sz w:val="18"/>
                <w:szCs w:val="18"/>
              </w:rPr>
            </w:pPr>
            <w:r w:rsidRPr="004C78D8">
              <w:rPr>
                <w:sz w:val="18"/>
                <w:szCs w:val="18"/>
                <w:vertAlign w:val="superscript"/>
              </w:rPr>
              <w:t>6</w:t>
            </w:r>
            <w:r w:rsidR="00530911" w:rsidRPr="004C78D8">
              <w:rPr>
                <w:sz w:val="18"/>
                <w:szCs w:val="18"/>
              </w:rPr>
              <w:t xml:space="preserve"> Assumed to be </w:t>
            </w:r>
            <w:r w:rsidR="00534194" w:rsidRPr="004C78D8">
              <w:rPr>
                <w:sz w:val="18"/>
                <w:szCs w:val="18"/>
              </w:rPr>
              <w:t>four</w:t>
            </w:r>
            <w:r w:rsidR="00530911" w:rsidRPr="004C78D8">
              <w:rPr>
                <w:sz w:val="18"/>
                <w:szCs w:val="18"/>
              </w:rPr>
              <w:t xml:space="preserve"> times the capital overheads for </w:t>
            </w:r>
            <w:r w:rsidR="005C3683" w:rsidRPr="004C78D8">
              <w:rPr>
                <w:sz w:val="18"/>
                <w:szCs w:val="18"/>
              </w:rPr>
              <w:t>D</w:t>
            </w:r>
            <w:r w:rsidR="00530911" w:rsidRPr="004C78D8">
              <w:rPr>
                <w:sz w:val="18"/>
                <w:szCs w:val="18"/>
              </w:rPr>
              <w:t xml:space="preserve">ementia </w:t>
            </w:r>
            <w:r w:rsidR="005C3683" w:rsidRPr="004C78D8">
              <w:rPr>
                <w:sz w:val="18"/>
                <w:szCs w:val="18"/>
              </w:rPr>
              <w:t>M</w:t>
            </w:r>
            <w:r w:rsidR="00530911" w:rsidRPr="004C78D8">
              <w:rPr>
                <w:sz w:val="18"/>
                <w:szCs w:val="18"/>
              </w:rPr>
              <w:t xml:space="preserve">emory </w:t>
            </w:r>
            <w:r w:rsidR="005C3683" w:rsidRPr="004C78D8">
              <w:rPr>
                <w:sz w:val="18"/>
                <w:szCs w:val="18"/>
              </w:rPr>
              <w:t>C</w:t>
            </w:r>
            <w:r w:rsidR="00530911" w:rsidRPr="004C78D8">
              <w:rPr>
                <w:sz w:val="18"/>
                <w:szCs w:val="18"/>
              </w:rPr>
              <w:t xml:space="preserve">linic operating 40 hours per week for 50.4 weeks per year and catering to 708 dementia patients as costed in PSSRU depository. The overheads were annuitized over 60 years at a discount of 3.5%, declining to 3% after 30 years </w:t>
            </w:r>
            <w:r w:rsidR="005C3683" w:rsidRPr="004C78D8">
              <w:rPr>
                <w:sz w:val="18"/>
                <w:szCs w:val="18"/>
              </w:rPr>
              <w:fldChar w:fldCharType="begin"/>
            </w:r>
            <w:r w:rsidR="00C630FC" w:rsidRPr="004C78D8">
              <w:rPr>
                <w:sz w:val="18"/>
                <w:szCs w:val="18"/>
              </w:rPr>
              <w:instrText xml:space="preserve"> ADDIN EN.CITE &lt;EndNote&gt;&lt;Cite&gt;&lt;Author&gt;Curtis&lt;/Author&gt;&lt;Year&gt;2019&lt;/Year&gt;&lt;RecNum&gt;135&lt;/RecNum&gt;&lt;DisplayText&gt;[401]&lt;/DisplayText&gt;&lt;record&gt;&lt;rec-number&gt;135&lt;/rec-number&gt;&lt;foreign-keys&gt;&lt;key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005C3683" w:rsidRPr="004C78D8">
              <w:rPr>
                <w:sz w:val="18"/>
                <w:szCs w:val="18"/>
              </w:rPr>
              <w:fldChar w:fldCharType="separate"/>
            </w:r>
            <w:r w:rsidR="00C630FC" w:rsidRPr="004C78D8">
              <w:rPr>
                <w:noProof/>
                <w:sz w:val="18"/>
                <w:szCs w:val="18"/>
              </w:rPr>
              <w:t>[401]</w:t>
            </w:r>
            <w:r w:rsidR="005C3683" w:rsidRPr="004C78D8">
              <w:rPr>
                <w:sz w:val="18"/>
                <w:szCs w:val="18"/>
              </w:rPr>
              <w:fldChar w:fldCharType="end"/>
            </w:r>
            <w:r w:rsidR="00530911" w:rsidRPr="004C78D8">
              <w:rPr>
                <w:sz w:val="18"/>
                <w:szCs w:val="18"/>
              </w:rPr>
              <w:t>.</w:t>
            </w:r>
          </w:p>
          <w:p w14:paraId="0E0BF70E" w14:textId="7E3EE545" w:rsidR="00530911" w:rsidRPr="004C78D8" w:rsidRDefault="000814BC" w:rsidP="00FB7C1F">
            <w:pPr>
              <w:rPr>
                <w:sz w:val="18"/>
                <w:szCs w:val="18"/>
              </w:rPr>
            </w:pPr>
            <w:r w:rsidRPr="004C78D8">
              <w:rPr>
                <w:sz w:val="18"/>
                <w:szCs w:val="18"/>
                <w:vertAlign w:val="superscript"/>
              </w:rPr>
              <w:t>7</w:t>
            </w:r>
            <w:r w:rsidR="00530911" w:rsidRPr="004C78D8">
              <w:rPr>
                <w:sz w:val="18"/>
                <w:szCs w:val="18"/>
              </w:rPr>
              <w:t xml:space="preserve"> Assumed to be </w:t>
            </w:r>
            <w:r w:rsidR="007B0718" w:rsidRPr="004C78D8">
              <w:rPr>
                <w:sz w:val="18"/>
                <w:szCs w:val="18"/>
              </w:rPr>
              <w:t>two</w:t>
            </w:r>
            <w:r w:rsidR="00530911" w:rsidRPr="004C78D8">
              <w:rPr>
                <w:sz w:val="18"/>
                <w:szCs w:val="18"/>
              </w:rPr>
              <w:t xml:space="preserve"> times the </w:t>
            </w:r>
            <w:r w:rsidR="000A7AF9" w:rsidRPr="004C78D8">
              <w:rPr>
                <w:sz w:val="18"/>
                <w:szCs w:val="18"/>
              </w:rPr>
              <w:t xml:space="preserve">non-staff </w:t>
            </w:r>
            <w:r w:rsidR="00530911" w:rsidRPr="004C78D8">
              <w:rPr>
                <w:sz w:val="18"/>
                <w:szCs w:val="18"/>
              </w:rPr>
              <w:t xml:space="preserve">overheads for </w:t>
            </w:r>
            <w:r w:rsidR="005C3683" w:rsidRPr="004C78D8">
              <w:rPr>
                <w:sz w:val="18"/>
                <w:szCs w:val="18"/>
              </w:rPr>
              <w:t>D</w:t>
            </w:r>
            <w:r w:rsidR="00530911" w:rsidRPr="004C78D8">
              <w:rPr>
                <w:sz w:val="18"/>
                <w:szCs w:val="18"/>
              </w:rPr>
              <w:t xml:space="preserve">ementia </w:t>
            </w:r>
            <w:r w:rsidR="005C3683" w:rsidRPr="004C78D8">
              <w:rPr>
                <w:sz w:val="18"/>
                <w:szCs w:val="18"/>
              </w:rPr>
              <w:t>M</w:t>
            </w:r>
            <w:r w:rsidR="00530911" w:rsidRPr="004C78D8">
              <w:rPr>
                <w:sz w:val="18"/>
                <w:szCs w:val="18"/>
              </w:rPr>
              <w:t xml:space="preserve">emory </w:t>
            </w:r>
            <w:r w:rsidR="005C3683" w:rsidRPr="004C78D8">
              <w:rPr>
                <w:sz w:val="18"/>
                <w:szCs w:val="18"/>
              </w:rPr>
              <w:t>C</w:t>
            </w:r>
            <w:r w:rsidR="00530911" w:rsidRPr="004C78D8">
              <w:rPr>
                <w:sz w:val="18"/>
                <w:szCs w:val="18"/>
              </w:rPr>
              <w:t xml:space="preserve">linic </w:t>
            </w:r>
            <w:r w:rsidR="005C3683" w:rsidRPr="004C78D8">
              <w:rPr>
                <w:sz w:val="18"/>
                <w:szCs w:val="18"/>
              </w:rPr>
              <w:fldChar w:fldCharType="begin"/>
            </w:r>
            <w:r w:rsidR="00C630FC" w:rsidRPr="004C78D8">
              <w:rPr>
                <w:sz w:val="18"/>
                <w:szCs w:val="18"/>
              </w:rPr>
              <w:instrText xml:space="preserve"> ADDIN EN.CITE &lt;EndNote&gt;&lt;Cite&gt;&lt;Author&gt;Curtis&lt;/Author&gt;&lt;Year&gt;2019&lt;/Year&gt;&lt;RecNum&gt;135&lt;/RecNum&gt;&lt;DisplayText&gt;[401]&lt;/DisplayText&gt;&lt;record&gt;&lt;rec-number&gt;135&lt;/rec-number&gt;&lt;foreign-keys&gt;&lt;key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005C3683" w:rsidRPr="004C78D8">
              <w:rPr>
                <w:sz w:val="18"/>
                <w:szCs w:val="18"/>
              </w:rPr>
              <w:fldChar w:fldCharType="separate"/>
            </w:r>
            <w:r w:rsidR="00C630FC" w:rsidRPr="004C78D8">
              <w:rPr>
                <w:noProof/>
                <w:sz w:val="18"/>
                <w:szCs w:val="18"/>
              </w:rPr>
              <w:t>[401]</w:t>
            </w:r>
            <w:r w:rsidR="005C3683" w:rsidRPr="004C78D8">
              <w:rPr>
                <w:sz w:val="18"/>
                <w:szCs w:val="18"/>
              </w:rPr>
              <w:fldChar w:fldCharType="end"/>
            </w:r>
            <w:r w:rsidR="00530911" w:rsidRPr="004C78D8">
              <w:rPr>
                <w:sz w:val="18"/>
                <w:szCs w:val="18"/>
              </w:rPr>
              <w:t>.</w:t>
            </w:r>
          </w:p>
          <w:p w14:paraId="4F201984" w14:textId="7B397885" w:rsidR="00F12992" w:rsidRPr="004C78D8" w:rsidRDefault="00F12992" w:rsidP="00FB7C1F">
            <w:pPr>
              <w:rPr>
                <w:sz w:val="18"/>
                <w:szCs w:val="18"/>
              </w:rPr>
            </w:pPr>
            <w:r w:rsidRPr="004C78D8">
              <w:rPr>
                <w:sz w:val="18"/>
                <w:szCs w:val="18"/>
                <w:vertAlign w:val="superscript"/>
              </w:rPr>
              <w:t>8</w:t>
            </w:r>
            <w:r w:rsidRPr="004C78D8">
              <w:rPr>
                <w:sz w:val="18"/>
                <w:szCs w:val="18"/>
              </w:rPr>
              <w:t xml:space="preserve"> Assumed that those with intervention history incurred 20% of the costs of outsourced services.</w:t>
            </w:r>
          </w:p>
          <w:p w14:paraId="052CADFA" w14:textId="21BB3542" w:rsidR="00E40E05" w:rsidRPr="004C78D8" w:rsidRDefault="00F12992" w:rsidP="00FB7C1F">
            <w:pPr>
              <w:rPr>
                <w:sz w:val="18"/>
                <w:szCs w:val="18"/>
              </w:rPr>
            </w:pPr>
            <w:r w:rsidRPr="004C78D8">
              <w:rPr>
                <w:sz w:val="18"/>
                <w:szCs w:val="18"/>
                <w:vertAlign w:val="superscript"/>
              </w:rPr>
              <w:t>9</w:t>
            </w:r>
            <w:r w:rsidR="00E40E05" w:rsidRPr="004C78D8">
              <w:rPr>
                <w:sz w:val="18"/>
                <w:szCs w:val="18"/>
              </w:rPr>
              <w:t xml:space="preserve"> Expected cost given the probability of receiving the given service. </w:t>
            </w:r>
          </w:p>
          <w:p w14:paraId="46C60950" w14:textId="6BE47C63" w:rsidR="00530911" w:rsidRPr="004C78D8" w:rsidRDefault="00F12992" w:rsidP="00FB7C1F">
            <w:pPr>
              <w:rPr>
                <w:sz w:val="18"/>
                <w:szCs w:val="18"/>
              </w:rPr>
            </w:pPr>
            <w:r w:rsidRPr="004C78D8">
              <w:rPr>
                <w:sz w:val="18"/>
                <w:szCs w:val="18"/>
                <w:vertAlign w:val="superscript"/>
              </w:rPr>
              <w:t>10</w:t>
            </w:r>
            <w:r w:rsidR="00530911" w:rsidRPr="004C78D8">
              <w:rPr>
                <w:sz w:val="18"/>
                <w:szCs w:val="18"/>
              </w:rPr>
              <w:t xml:space="preserve"> Assumed that average time committed per client is </w:t>
            </w:r>
            <w:r w:rsidR="00087D12" w:rsidRPr="004C78D8">
              <w:rPr>
                <w:sz w:val="18"/>
                <w:szCs w:val="18"/>
              </w:rPr>
              <w:t>4</w:t>
            </w:r>
            <w:r w:rsidR="00530911" w:rsidRPr="004C78D8">
              <w:rPr>
                <w:sz w:val="18"/>
                <w:szCs w:val="18"/>
              </w:rPr>
              <w:t xml:space="preserve">0 hours: 2 hours for falls risk assessment at falls clinic; 4 hours for in-house medical treatments at falls clinic; </w:t>
            </w:r>
            <w:r w:rsidR="00087D12" w:rsidRPr="004C78D8">
              <w:rPr>
                <w:sz w:val="18"/>
                <w:szCs w:val="18"/>
              </w:rPr>
              <w:t>3</w:t>
            </w:r>
            <w:r w:rsidR="00530911" w:rsidRPr="004C78D8">
              <w:rPr>
                <w:sz w:val="18"/>
                <w:szCs w:val="18"/>
              </w:rPr>
              <w:t xml:space="preserve">0 hours for in-house exercise treatments; 2 hours for HAM; 2 hours per outsourced services amounting to 2 hours on average per client (2 outpatient visits for 30%, optician/ophthalmologist visit for 17.7%, podiatry visit for 17%). Those in paid employment assumed to incur an hourly opportunity cost equal to the </w:t>
            </w:r>
            <w:r w:rsidR="001C1DFE" w:rsidRPr="004C78D8">
              <w:rPr>
                <w:sz w:val="18"/>
                <w:szCs w:val="18"/>
              </w:rPr>
              <w:t>national living</w:t>
            </w:r>
            <w:r w:rsidR="00530911" w:rsidRPr="004C78D8">
              <w:rPr>
                <w:sz w:val="18"/>
                <w:szCs w:val="18"/>
              </w:rPr>
              <w:t xml:space="preserve"> wage (£8.72). Those engaged in unpaid work assumed to incur an hourly opportunity cost equal to quarter of the </w:t>
            </w:r>
            <w:r w:rsidR="00326778" w:rsidRPr="004C78D8">
              <w:rPr>
                <w:sz w:val="18"/>
                <w:szCs w:val="18"/>
              </w:rPr>
              <w:t>national living</w:t>
            </w:r>
            <w:r w:rsidR="00530911" w:rsidRPr="004C78D8">
              <w:rPr>
                <w:sz w:val="18"/>
                <w:szCs w:val="18"/>
              </w:rPr>
              <w:t xml:space="preserve"> wage (£2.18) due to shorter weekly working hours (11 vs. 40 hours for employed).</w:t>
            </w:r>
          </w:p>
          <w:p w14:paraId="3AE9B6D0" w14:textId="7DEE53EC" w:rsidR="00530911" w:rsidRPr="004C78D8" w:rsidRDefault="000814BC" w:rsidP="00FB7C1F">
            <w:pPr>
              <w:rPr>
                <w:sz w:val="18"/>
                <w:szCs w:val="18"/>
              </w:rPr>
            </w:pPr>
            <w:r w:rsidRPr="004C78D8">
              <w:rPr>
                <w:sz w:val="18"/>
                <w:szCs w:val="18"/>
                <w:vertAlign w:val="superscript"/>
              </w:rPr>
              <w:t>1</w:t>
            </w:r>
            <w:r w:rsidR="00F12992" w:rsidRPr="004C78D8">
              <w:rPr>
                <w:sz w:val="18"/>
                <w:szCs w:val="18"/>
                <w:vertAlign w:val="superscript"/>
              </w:rPr>
              <w:t>1</w:t>
            </w:r>
            <w:r w:rsidR="00530911" w:rsidRPr="004C78D8">
              <w:rPr>
                <w:sz w:val="18"/>
                <w:szCs w:val="18"/>
              </w:rPr>
              <w:t xml:space="preserve"> Assumed that cognitively impaired clients are accompanied by their informal caregivers for all </w:t>
            </w:r>
            <w:r w:rsidR="00103CE1" w:rsidRPr="004C78D8">
              <w:rPr>
                <w:sz w:val="18"/>
                <w:szCs w:val="18"/>
              </w:rPr>
              <w:t>4</w:t>
            </w:r>
            <w:r w:rsidR="00530911" w:rsidRPr="004C78D8">
              <w:rPr>
                <w:sz w:val="18"/>
                <w:szCs w:val="18"/>
              </w:rPr>
              <w:t>0 hours of interventio</w:t>
            </w:r>
            <w:r w:rsidR="005C3683" w:rsidRPr="004C78D8">
              <w:rPr>
                <w:sz w:val="18"/>
                <w:szCs w:val="18"/>
              </w:rPr>
              <w:t xml:space="preserve">n, incurring an hourly </w:t>
            </w:r>
            <w:r w:rsidR="00530911" w:rsidRPr="004C78D8">
              <w:rPr>
                <w:sz w:val="18"/>
                <w:szCs w:val="18"/>
              </w:rPr>
              <w:t>opportunity cost equal to the</w:t>
            </w:r>
            <w:r w:rsidR="001C1DFE" w:rsidRPr="004C78D8">
              <w:rPr>
                <w:sz w:val="18"/>
                <w:szCs w:val="18"/>
              </w:rPr>
              <w:t xml:space="preserve"> national living</w:t>
            </w:r>
            <w:r w:rsidR="00530911" w:rsidRPr="004C78D8">
              <w:rPr>
                <w:sz w:val="18"/>
                <w:szCs w:val="18"/>
              </w:rPr>
              <w:t xml:space="preserve"> wage. </w:t>
            </w:r>
          </w:p>
          <w:p w14:paraId="73F85C1D" w14:textId="4DEE735D" w:rsidR="00530911" w:rsidRPr="004C78D8" w:rsidRDefault="00E40E05" w:rsidP="00FB7C1F">
            <w:pPr>
              <w:rPr>
                <w:sz w:val="18"/>
                <w:szCs w:val="18"/>
              </w:rPr>
            </w:pPr>
            <w:r w:rsidRPr="004C78D8">
              <w:rPr>
                <w:sz w:val="18"/>
                <w:szCs w:val="18"/>
                <w:vertAlign w:val="superscript"/>
              </w:rPr>
              <w:t>1</w:t>
            </w:r>
            <w:r w:rsidR="00F12992" w:rsidRPr="004C78D8">
              <w:rPr>
                <w:sz w:val="18"/>
                <w:szCs w:val="18"/>
                <w:vertAlign w:val="superscript"/>
              </w:rPr>
              <w:t>2</w:t>
            </w:r>
            <w:r w:rsidR="00530911" w:rsidRPr="004C78D8">
              <w:rPr>
                <w:sz w:val="18"/>
                <w:szCs w:val="18"/>
              </w:rPr>
              <w:t xml:space="preserve"> Assumed that average time committed per client is 8 hours: 2 hours for physician assessment; 4 hours for OT HAM and falls prevention education; and 2 hours per outsourced services. The hours were valued in the same way as in note </w:t>
            </w:r>
            <w:r w:rsidR="000A7AF9" w:rsidRPr="004C78D8">
              <w:rPr>
                <w:sz w:val="18"/>
                <w:szCs w:val="18"/>
              </w:rPr>
              <w:t>10</w:t>
            </w:r>
            <w:r w:rsidR="00530911" w:rsidRPr="004C78D8">
              <w:rPr>
                <w:sz w:val="18"/>
                <w:szCs w:val="18"/>
              </w:rPr>
              <w:t xml:space="preserve">. </w:t>
            </w:r>
          </w:p>
        </w:tc>
      </w:tr>
      <w:bookmarkEnd w:id="152"/>
    </w:tbl>
    <w:p w14:paraId="5D33E217" w14:textId="7B625C18" w:rsidR="005269A3" w:rsidRPr="004C78D8" w:rsidRDefault="005269A3" w:rsidP="00FB7C1F"/>
    <w:p w14:paraId="5C7CA225" w14:textId="30CDB197" w:rsidR="0021006C" w:rsidRPr="004C78D8" w:rsidRDefault="00962C0A" w:rsidP="00FB7C1F">
      <w:r w:rsidRPr="004C78D8">
        <w:t xml:space="preserve">Given the high fixed costs </w:t>
      </w:r>
      <w:r w:rsidR="00711C55" w:rsidRPr="004C78D8">
        <w:t>of</w:t>
      </w:r>
      <w:r w:rsidRPr="004C78D8">
        <w:t xml:space="preserve"> falls clinics, it is important to estimate the </w:t>
      </w:r>
      <w:r w:rsidR="0012744B" w:rsidRPr="004C78D8">
        <w:t>total number of clinics required</w:t>
      </w:r>
      <w:r w:rsidRPr="004C78D8">
        <w:t xml:space="preserve">. For the </w:t>
      </w:r>
      <w:r w:rsidR="0021006C" w:rsidRPr="004C78D8">
        <w:t xml:space="preserve">reactive pathway under </w:t>
      </w:r>
      <w:r w:rsidR="00E612B8" w:rsidRPr="004C78D8">
        <w:t>RC</w:t>
      </w:r>
      <w:r w:rsidRPr="004C78D8">
        <w:t xml:space="preserve">, all MA fallers would </w:t>
      </w:r>
      <w:r w:rsidR="0021006C" w:rsidRPr="004C78D8">
        <w:t>access</w:t>
      </w:r>
      <w:r w:rsidRPr="004C78D8">
        <w:t xml:space="preserve"> the multifactorial intervention pending demand. According to ELSA Wave 4, 6.8% of the population aged 60</w:t>
      </w:r>
      <w:r w:rsidR="00E612B8" w:rsidRPr="004C78D8">
        <w:t>+</w:t>
      </w:r>
      <w:r w:rsidRPr="004C78D8">
        <w:t xml:space="preserve"> experienced at least one MA fall in the past year and were eligible for the reactive</w:t>
      </w:r>
      <w:r w:rsidR="0021006C" w:rsidRPr="004C78D8">
        <w:t xml:space="preserve"> </w:t>
      </w:r>
      <w:r w:rsidRPr="004C78D8">
        <w:t>intervention. This equates to 8,542 individuals out of 125,244 aged 60</w:t>
      </w:r>
      <w:r w:rsidR="00E612B8" w:rsidRPr="004C78D8">
        <w:t>+</w:t>
      </w:r>
      <w:r w:rsidRPr="004C78D8">
        <w:t xml:space="preserve"> in Sheffield. Of these, 78.4% (</w:t>
      </w:r>
      <w:r w:rsidR="00123EF4" w:rsidRPr="004C78D8">
        <w:t>n=</w:t>
      </w:r>
      <w:r w:rsidRPr="004C78D8">
        <w:t>6,695) were cognitively intact and the other 21.6% (</w:t>
      </w:r>
      <w:r w:rsidR="00123EF4" w:rsidRPr="004C78D8">
        <w:t>n=</w:t>
      </w:r>
      <w:r w:rsidRPr="004C78D8">
        <w:t xml:space="preserve">1,847) impaired. According to the RCTs, the </w:t>
      </w:r>
      <w:r w:rsidR="00E612B8" w:rsidRPr="004C78D8">
        <w:t>uptake</w:t>
      </w:r>
      <w:r w:rsidRPr="004C78D8">
        <w:t xml:space="preserve"> rate for the reactive intervention was 53.8% for cognitively intact </w:t>
      </w:r>
      <w:r w:rsidR="00123EF4" w:rsidRPr="004C78D8">
        <w:fldChar w:fldCharType="begin"/>
      </w:r>
      <w:r w:rsidR="00513646" w:rsidRPr="004C78D8">
        <w:instrText xml:space="preserve"> ADDIN EN.CITE &lt;EndNote&gt;&lt;Cite&gt;&lt;Author&gt;Close&lt;/Author&gt;&lt;Year&gt;1999&lt;/Year&gt;&lt;RecNum&gt;513&lt;/RecNum&gt;&lt;DisplayText&gt;[62]&lt;/DisplayText&gt;&lt;record&gt;&lt;rec-number&gt;513&lt;/rec-number&gt;&lt;foreign-keys&gt;&lt;key app="EN" db-id="tdtrdw9aepptzbefsat599syza29sxsd2wsp" timestamp="1617903389"&gt;513&lt;/key&gt;&lt;/foreign-keys&gt;&lt;ref-type name="Journal Article"&gt;17&lt;/ref-type&gt;&lt;contributors&gt;&lt;authors&gt;&lt;author&gt;Close, J.&lt;/author&gt;&lt;author&gt;Ellis, M.&lt;/author&gt;&lt;author&gt;Hooper, R.&lt;/author&gt;&lt;author&gt;Glucksman, E.&lt;/author&gt;&lt;author&gt;Jackson, S.&lt;/author&gt;&lt;author&gt;Swift, C.&lt;/author&gt;&lt;/authors&gt;&lt;/contributors&gt;&lt;auth-address&gt;Department of Health Care of the Elderly, Guy&amp;apos;s King&amp;apos;s, and St Thomas&amp;apos; School of Medicine, King&amp;apos;s College Hospital, London, UK. jacqueline.close@kcl.ac.uk&lt;/auth-address&gt;&lt;titles&gt;&lt;title&gt;Prevention of falls in the elderly trial (PROFET): a randomised controlled trial&lt;/title&gt;&lt;secondary-title&gt;Lancet&lt;/secondary-title&gt;&lt;/titles&gt;&lt;periodical&gt;&lt;full-title&gt;Lancet&lt;/full-title&gt;&lt;/periodical&gt;&lt;pages&gt;93-7&lt;/pages&gt;&lt;volume&gt;353&lt;/volume&gt;&lt;number&gt;9147&lt;/number&gt;&lt;keywords&gt;&lt;keyword&gt;Accidental Falls/*prevention &amp;amp; control&lt;/keyword&gt;&lt;keyword&gt;Activities of Daily Living/classification&lt;/keyword&gt;&lt;keyword&gt;Aged&lt;/keyword&gt;&lt;keyword&gt;Aged, 80 and over&lt;/keyword&gt;&lt;keyword&gt;Female&lt;/keyword&gt;&lt;keyword&gt;*Frail Elderly&lt;/keyword&gt;&lt;keyword&gt;Geriatric Assessment&lt;/keyword&gt;&lt;keyword&gt;Humans&lt;/keyword&gt;&lt;keyword&gt;Male&lt;/keyword&gt;&lt;keyword&gt;Occupational Therapy&lt;/keyword&gt;&lt;keyword&gt;*Patient Care Team&lt;/keyword&gt;&lt;keyword&gt;Recurrence&lt;/keyword&gt;&lt;keyword&gt;Referral and Consultation&lt;/keyword&gt;&lt;keyword&gt;Treatment Outcome&lt;/keyword&gt;&lt;/keywords&gt;&lt;dates&gt;&lt;year&gt;1999&lt;/year&gt;&lt;pub-dates&gt;&lt;date&gt;Jan 9&lt;/date&gt;&lt;/pub-dates&gt;&lt;/dates&gt;&lt;isbn&gt;0140-6736 (Print)&amp;#xD;0140-6736 (Linking)&lt;/isbn&gt;&lt;accession-num&gt;10023893&lt;/accession-num&gt;&lt;urls&gt;&lt;related-urls&gt;&lt;url&gt;https://www.ncbi.nlm.nih.gov/pubmed/10023893&lt;/url&gt;&lt;/related-urls&gt;&lt;/urls&gt;&lt;electronic-resource-num&gt;10.1016/S0140-6736(98)06119-4&lt;/electronic-resource-num&gt;&lt;/record&gt;&lt;/Cite&gt;&lt;/EndNote&gt;</w:instrText>
      </w:r>
      <w:r w:rsidR="00123EF4" w:rsidRPr="004C78D8">
        <w:fldChar w:fldCharType="separate"/>
      </w:r>
      <w:r w:rsidR="00513646" w:rsidRPr="004C78D8">
        <w:rPr>
          <w:noProof/>
        </w:rPr>
        <w:t>[62]</w:t>
      </w:r>
      <w:r w:rsidR="00123EF4" w:rsidRPr="004C78D8">
        <w:fldChar w:fldCharType="end"/>
      </w:r>
      <w:r w:rsidRPr="004C78D8">
        <w:t xml:space="preserve"> and 49.6% for impaired </w:t>
      </w:r>
      <w:r w:rsidR="00123EF4" w:rsidRPr="004C78D8">
        <w:fldChar w:fldCharType="begin"/>
      </w:r>
      <w:r w:rsidR="00C630FC" w:rsidRPr="004C78D8">
        <w:instrText xml:space="preserve"> ADDIN EN.CITE &lt;EndNote&gt;&lt;Cite&gt;&lt;Author&gt;Shaw&lt;/Author&gt;&lt;Year&gt;2003&lt;/Year&gt;&lt;RecNum&gt;514&lt;/RecNum&gt;&lt;DisplayText&gt;[384]&lt;/DisplayText&gt;&lt;record&gt;&lt;rec-number&gt;514&lt;/rec-number&gt;&lt;foreign-keys&gt;&lt;key app="EN" db-id="tdtrdw9aepptzbefsat599syza29sxsd2wsp" timestamp="1617903616"&gt;514&lt;/key&gt;&lt;/foreign-keys&gt;&lt;ref-type name="Journal Article"&gt;17&lt;/ref-type&gt;&lt;contributors&gt;&lt;authors&gt;&lt;author&gt;Shaw, Fiona E&lt;/author&gt;&lt;author&gt;Bond, John&lt;/author&gt;&lt;author&gt;Richardson, David A&lt;/author&gt;&lt;author&gt;Dawson, Pamela&lt;/author&gt;&lt;author&gt;Steen, I Nicholas&lt;/author&gt;&lt;author&gt;McKeith, Ian G&lt;/author&gt;&lt;author&gt;Kenny, Rose Anne&lt;/author&gt;&lt;/authors&gt;&lt;/contributors&gt;&lt;titles&gt;&lt;title&gt;Multifactorial intervention after a fall in older people with cognitive impairment and dementia presenting to the accident and emergency department: randomised controlled trial&lt;/title&gt;&lt;secondary-title&gt;BMJ: British medical journal&lt;/secondary-title&gt;&lt;/titles&gt;&lt;periodical&gt;&lt;full-title&gt;BMJ: British medical journal&lt;/full-title&gt;&lt;/periodical&gt;&lt;pages&gt;73&lt;/pages&gt;&lt;volume&gt;326&lt;/volume&gt;&lt;number&gt;7380&lt;/number&gt;&lt;dates&gt;&lt;year&gt;2003&lt;/year&gt;&lt;/dates&gt;&lt;urls&gt;&lt;/urls&gt;&lt;/record&gt;&lt;/Cite&gt;&lt;/EndNote&gt;</w:instrText>
      </w:r>
      <w:r w:rsidR="00123EF4" w:rsidRPr="004C78D8">
        <w:fldChar w:fldCharType="separate"/>
      </w:r>
      <w:r w:rsidR="00C630FC" w:rsidRPr="004C78D8">
        <w:rPr>
          <w:noProof/>
        </w:rPr>
        <w:t>[384]</w:t>
      </w:r>
      <w:r w:rsidR="00123EF4" w:rsidRPr="004C78D8">
        <w:fldChar w:fldCharType="end"/>
      </w:r>
      <w:r w:rsidRPr="004C78D8">
        <w:t xml:space="preserve">. Hence, 3,602 cognitively intact and 916 impaired persons would access the intervention. However, given that only 25% of cognitively intact </w:t>
      </w:r>
      <w:r w:rsidR="0021006C" w:rsidRPr="004C78D8">
        <w:t>MA fallers</w:t>
      </w:r>
      <w:r w:rsidRPr="004C78D8">
        <w:t xml:space="preserve"> are referred to </w:t>
      </w:r>
      <w:r w:rsidR="00123EF4" w:rsidRPr="004C78D8">
        <w:t xml:space="preserve">the clinic </w:t>
      </w:r>
      <w:r w:rsidR="00123EF4" w:rsidRPr="004C78D8">
        <w:fldChar w:fldCharType="begin"/>
      </w:r>
      <w:r w:rsidR="00513646" w:rsidRPr="004C78D8">
        <w:instrText xml:space="preserve"> ADDIN EN.CITE &lt;EndNote&gt;&lt;Cite&gt;&lt;Author&gt;Close&lt;/Author&gt;&lt;Year&gt;1999&lt;/Year&gt;&lt;RecNum&gt;513&lt;/RecNum&gt;&lt;DisplayText&gt;[62]&lt;/DisplayText&gt;&lt;record&gt;&lt;rec-number&gt;513&lt;/rec-number&gt;&lt;foreign-keys&gt;&lt;key app="EN" db-id="tdtrdw9aepptzbefsat599syza29sxsd2wsp" timestamp="1617903389"&gt;513&lt;/key&gt;&lt;/foreign-keys&gt;&lt;ref-type name="Journal Article"&gt;17&lt;/ref-type&gt;&lt;contributors&gt;&lt;authors&gt;&lt;author&gt;Close, J.&lt;/author&gt;&lt;author&gt;Ellis, M.&lt;/author&gt;&lt;author&gt;Hooper, R.&lt;/author&gt;&lt;author&gt;Glucksman, E.&lt;/author&gt;&lt;author&gt;Jackson, S.&lt;/author&gt;&lt;author&gt;Swift, C.&lt;/author&gt;&lt;/authors&gt;&lt;/contributors&gt;&lt;auth-address&gt;Department of Health Care of the Elderly, Guy&amp;apos;s King&amp;apos;s, and St Thomas&amp;apos; School of Medicine, King&amp;apos;s College Hospital, London, UK. jacqueline.close@kcl.ac.uk&lt;/auth-address&gt;&lt;titles&gt;&lt;title&gt;Prevention of falls in the elderly trial (PROFET): a randomised controlled trial&lt;/title&gt;&lt;secondary-title&gt;Lancet&lt;/secondary-title&gt;&lt;/titles&gt;&lt;periodical&gt;&lt;full-title&gt;Lancet&lt;/full-title&gt;&lt;/periodical&gt;&lt;pages&gt;93-7&lt;/pages&gt;&lt;volume&gt;353&lt;/volume&gt;&lt;number&gt;9147&lt;/number&gt;&lt;keywords&gt;&lt;keyword&gt;Accidental Falls/*prevention &amp;amp; control&lt;/keyword&gt;&lt;keyword&gt;Activities of Daily Living/classification&lt;/keyword&gt;&lt;keyword&gt;Aged&lt;/keyword&gt;&lt;keyword&gt;Aged, 80 and over&lt;/keyword&gt;&lt;keyword&gt;Female&lt;/keyword&gt;&lt;keyword&gt;*Frail Elderly&lt;/keyword&gt;&lt;keyword&gt;Geriatric Assessment&lt;/keyword&gt;&lt;keyword&gt;Humans&lt;/keyword&gt;&lt;keyword&gt;Male&lt;/keyword&gt;&lt;keyword&gt;Occupational Therapy&lt;/keyword&gt;&lt;keyword&gt;*Patient Care Team&lt;/keyword&gt;&lt;keyword&gt;Recurrence&lt;/keyword&gt;&lt;keyword&gt;Referral and Consultation&lt;/keyword&gt;&lt;keyword&gt;Treatment Outcome&lt;/keyword&gt;&lt;/keywords&gt;&lt;dates&gt;&lt;year&gt;1999&lt;/year&gt;&lt;pub-dates&gt;&lt;date&gt;Jan 9&lt;/date&gt;&lt;/pub-dates&gt;&lt;/dates&gt;&lt;isbn&gt;0140-6736 (Print)&amp;#xD;0140-6736 (Linking)&lt;/isbn&gt;&lt;accession-num&gt;10023893&lt;/accession-num&gt;&lt;urls&gt;&lt;related-urls&gt;&lt;url&gt;https://www.ncbi.nlm.nih.gov/pubmed/10023893&lt;/url&gt;&lt;/related-urls&gt;&lt;/urls&gt;&lt;electronic-resource-num&gt;10.1016/S0140-6736(98)06119-4&lt;/electronic-resource-num&gt;&lt;/record&gt;&lt;/Cite&gt;&lt;/EndNote&gt;</w:instrText>
      </w:r>
      <w:r w:rsidR="00123EF4" w:rsidRPr="004C78D8">
        <w:fldChar w:fldCharType="separate"/>
      </w:r>
      <w:r w:rsidR="00513646" w:rsidRPr="004C78D8">
        <w:rPr>
          <w:noProof/>
        </w:rPr>
        <w:t>[62]</w:t>
      </w:r>
      <w:r w:rsidR="00123EF4" w:rsidRPr="004C78D8">
        <w:fldChar w:fldCharType="end"/>
      </w:r>
      <w:r w:rsidRPr="004C78D8">
        <w:t xml:space="preserve">, the final </w:t>
      </w:r>
      <w:r w:rsidR="005F48B7" w:rsidRPr="004C78D8">
        <w:t xml:space="preserve">client </w:t>
      </w:r>
      <w:r w:rsidRPr="004C78D8">
        <w:t xml:space="preserve">number </w:t>
      </w:r>
      <w:r w:rsidR="005F48B7" w:rsidRPr="004C78D8">
        <w:t xml:space="preserve">for the clinic would be around 900, while the other 2,700 would receive bi-disciplinary </w:t>
      </w:r>
      <w:r w:rsidR="004977AD" w:rsidRPr="004C78D8">
        <w:t>intervention</w:t>
      </w:r>
      <w:r w:rsidRPr="004C78D8">
        <w:t xml:space="preserve">. </w:t>
      </w:r>
    </w:p>
    <w:p w14:paraId="7FC1F668" w14:textId="1148BDD5" w:rsidR="00D46A8A" w:rsidRPr="004C78D8" w:rsidRDefault="0021006C" w:rsidP="00FB7C1F">
      <w:r w:rsidRPr="004C78D8">
        <w:t>F</w:t>
      </w:r>
      <w:r w:rsidR="00962C0A" w:rsidRPr="004C78D8">
        <w:t>or the proactive pathway</w:t>
      </w:r>
      <w:r w:rsidR="005F48B7" w:rsidRPr="004C78D8">
        <w:t xml:space="preserve"> under </w:t>
      </w:r>
      <w:r w:rsidR="00E612B8" w:rsidRPr="004C78D8">
        <w:t>RC</w:t>
      </w:r>
      <w:r w:rsidR="00962C0A" w:rsidRPr="004C78D8">
        <w:t xml:space="preserve">, </w:t>
      </w:r>
      <w:r w:rsidR="005F48B7" w:rsidRPr="004C78D8">
        <w:t xml:space="preserve">all cognitively intact individuals screened to be at high falls risk at GP contact are eligible for multifactorial intervention. Among those who did not experience an MA fall, </w:t>
      </w:r>
      <w:r w:rsidR="00962C0A" w:rsidRPr="004C78D8">
        <w:t xml:space="preserve">29.0% </w:t>
      </w:r>
      <w:r w:rsidR="005F48B7" w:rsidRPr="004C78D8">
        <w:t xml:space="preserve">or 36,333 individuals in Sheffield </w:t>
      </w:r>
      <w:r w:rsidR="00962C0A" w:rsidRPr="004C78D8">
        <w:t>had abnormal gait</w:t>
      </w:r>
      <w:r w:rsidR="00123EF4" w:rsidRPr="004C78D8">
        <w:t>/</w:t>
      </w:r>
      <w:r w:rsidR="00962C0A" w:rsidRPr="004C78D8">
        <w:t>balance or experienced recurrent non-MA falls in the past year</w:t>
      </w:r>
      <w:r w:rsidR="005F48B7" w:rsidRPr="004C78D8">
        <w:t xml:space="preserve"> and hence were at high falls risk</w:t>
      </w:r>
      <w:r w:rsidR="00962C0A" w:rsidRPr="004C78D8">
        <w:t>. Of these, 71.9% (</w:t>
      </w:r>
      <w:r w:rsidR="00123EF4" w:rsidRPr="004C78D8">
        <w:t>n=</w:t>
      </w:r>
      <w:r w:rsidR="00962C0A" w:rsidRPr="004C78D8">
        <w:t>26,131) were cognitively intact</w:t>
      </w:r>
      <w:r w:rsidR="005F48B7" w:rsidRPr="004C78D8">
        <w:t xml:space="preserve"> and hence eligible for the multifactorial intervention</w:t>
      </w:r>
      <w:r w:rsidR="00962C0A" w:rsidRPr="004C78D8">
        <w:t>, while the other 28.1% (</w:t>
      </w:r>
      <w:r w:rsidR="00123EF4" w:rsidRPr="004C78D8">
        <w:t>n=</w:t>
      </w:r>
      <w:r w:rsidR="00962C0A" w:rsidRPr="004C78D8">
        <w:t xml:space="preserve">10,202) were impaired. </w:t>
      </w:r>
      <w:r w:rsidR="005F48B7" w:rsidRPr="004C78D8">
        <w:t>But</w:t>
      </w:r>
      <w:r w:rsidR="00962C0A" w:rsidRPr="004C78D8">
        <w:t xml:space="preserve"> not all eligible persons would have a GP contact in that year for the fall risk screening. The average annual probability of having a GP contact was 89.0% for the cognitively intact at high falls risk, meaning that 23,257 would be referred. For those referred, the </w:t>
      </w:r>
      <w:r w:rsidR="00E612B8" w:rsidRPr="004C78D8">
        <w:t>uptake</w:t>
      </w:r>
      <w:r w:rsidR="00962C0A" w:rsidRPr="004C78D8">
        <w:t xml:space="preserve"> rate was 82.4% according to the RCT </w:t>
      </w:r>
      <w:r w:rsidR="00123EF4" w:rsidRPr="004C78D8">
        <w:fldChar w:fldCharType="begin"/>
      </w:r>
      <w:r w:rsidR="00C630FC" w:rsidRPr="004C78D8">
        <w:instrText xml:space="preserve"> ADDIN EN.CITE &lt;EndNote&gt;&lt;Cite&gt;&lt;Author&gt;Spice&lt;/Author&gt;&lt;Year&gt;2009&lt;/Year&gt;&lt;RecNum&gt;515&lt;/RecNum&gt;&lt;DisplayText&gt;[385]&lt;/DisplayText&gt;&lt;record&gt;&lt;rec-number&gt;515&lt;/rec-number&gt;&lt;foreign-keys&gt;&lt;key app="EN" db-id="tdtrdw9aepptzbefsat599syza29sxsd2wsp" timestamp="1617909863"&gt;515&lt;/key&gt;&lt;/foreign-keys&gt;&lt;ref-type name="Journal Article"&gt;17&lt;/ref-type&gt;&lt;contributors&gt;&lt;authors&gt;&lt;author&gt;Spice, Claire L&lt;/author&gt;&lt;author&gt;Morotti, Wendy&lt;/author&gt;&lt;author&gt;George, Steve&lt;/author&gt;&lt;author&gt;Dent, Thomas HS&lt;/author&gt;&lt;author&gt;Rose, Jim&lt;/author&gt;&lt;author&gt;Harris, Scott&lt;/author&gt;&lt;author&gt;Gordon, Christopher J&lt;/author&gt;&lt;/authors&gt;&lt;/contributors&gt;&lt;titles&gt;&lt;title&gt;The Winchester falls project: a randomised controlled trial of secondary prevention of falls in older people&lt;/title&gt;&lt;secondary-title&gt;Age and ageing&lt;/secondary-title&gt;&lt;/titles&gt;&lt;periodical&gt;&lt;full-title&gt;Age and ageing&lt;/full-title&gt;&lt;/periodical&gt;&lt;pages&gt;33-40&lt;/pages&gt;&lt;volume&gt;38&lt;/volume&gt;&lt;number&gt;1&lt;/number&gt;&lt;dates&gt;&lt;year&gt;2009&lt;/year&gt;&lt;/dates&gt;&lt;isbn&gt;1468-2834&lt;/isbn&gt;&lt;urls&gt;&lt;/urls&gt;&lt;/record&gt;&lt;/Cite&gt;&lt;/EndNote&gt;</w:instrText>
      </w:r>
      <w:r w:rsidR="00123EF4" w:rsidRPr="004C78D8">
        <w:fldChar w:fldCharType="separate"/>
      </w:r>
      <w:r w:rsidR="00C630FC" w:rsidRPr="004C78D8">
        <w:rPr>
          <w:noProof/>
        </w:rPr>
        <w:t>[385]</w:t>
      </w:r>
      <w:r w:rsidR="00123EF4" w:rsidRPr="004C78D8">
        <w:fldChar w:fldCharType="end"/>
      </w:r>
      <w:r w:rsidR="00962C0A" w:rsidRPr="004C78D8">
        <w:t xml:space="preserve">, meaning that the final number accessing the intervention would be 19,163. </w:t>
      </w:r>
    </w:p>
    <w:p w14:paraId="5E84D319" w14:textId="321FC723" w:rsidR="00962C0A" w:rsidRPr="004C78D8" w:rsidRDefault="00B64F47" w:rsidP="00FB7C1F">
      <w:r w:rsidRPr="004C78D8">
        <w:t>Therefore</w:t>
      </w:r>
      <w:r w:rsidR="00962C0A" w:rsidRPr="004C78D8">
        <w:t>, across both reactive and proactive pathways</w:t>
      </w:r>
      <w:r w:rsidR="00D46A8A" w:rsidRPr="004C78D8">
        <w:t xml:space="preserve"> under </w:t>
      </w:r>
      <w:r w:rsidR="00BA2CC9" w:rsidRPr="004C78D8">
        <w:t>RC</w:t>
      </w:r>
      <w:r w:rsidR="00962C0A" w:rsidRPr="004C78D8">
        <w:t>, the total number accessing the falls clinic would be 20,979</w:t>
      </w:r>
      <w:r w:rsidR="0012744B" w:rsidRPr="004C78D8">
        <w:t xml:space="preserve">. </w:t>
      </w:r>
      <w:r w:rsidR="008315FB" w:rsidRPr="004C78D8">
        <w:t>Annual f</w:t>
      </w:r>
      <w:r w:rsidR="005F48B7" w:rsidRPr="004C78D8">
        <w:t>alls clinic capacity should thus be planned for</w:t>
      </w:r>
      <w:r w:rsidR="0012744B" w:rsidRPr="004C78D8">
        <w:t xml:space="preserve"> 21,000 </w:t>
      </w:r>
      <w:r w:rsidR="005F48B7" w:rsidRPr="004C78D8">
        <w:t xml:space="preserve">clients </w:t>
      </w:r>
      <w:r w:rsidR="0012744B" w:rsidRPr="004C78D8">
        <w:t xml:space="preserve">of whom </w:t>
      </w:r>
      <w:r w:rsidR="005F48B7" w:rsidRPr="004C78D8">
        <w:t>91.3% (</w:t>
      </w:r>
      <w:r w:rsidR="00123EF4" w:rsidRPr="004C78D8">
        <w:t>n=</w:t>
      </w:r>
      <w:r w:rsidR="0012744B" w:rsidRPr="004C78D8">
        <w:t>19,173</w:t>
      </w:r>
      <w:r w:rsidR="005F48B7" w:rsidRPr="004C78D8">
        <w:t xml:space="preserve">) </w:t>
      </w:r>
      <w:r w:rsidR="0012744B" w:rsidRPr="004C78D8">
        <w:t xml:space="preserve">are cognitively intact proactive clients, </w:t>
      </w:r>
      <w:r w:rsidR="005F48B7" w:rsidRPr="004C78D8">
        <w:t>4.4% (</w:t>
      </w:r>
      <w:r w:rsidR="00123EF4" w:rsidRPr="004C78D8">
        <w:t>n=</w:t>
      </w:r>
      <w:r w:rsidR="005F48B7" w:rsidRPr="004C78D8">
        <w:t>924) cognitively impaired reactive clients, and 4.3% (</w:t>
      </w:r>
      <w:r w:rsidR="00123EF4" w:rsidRPr="004C78D8">
        <w:t>n=</w:t>
      </w:r>
      <w:r w:rsidR="0012744B" w:rsidRPr="004C78D8">
        <w:t>903</w:t>
      </w:r>
      <w:r w:rsidR="005F48B7" w:rsidRPr="004C78D8">
        <w:t>)</w:t>
      </w:r>
      <w:r w:rsidR="0012744B" w:rsidRPr="004C78D8">
        <w:t xml:space="preserve"> cognitively intact reactive clients. </w:t>
      </w:r>
      <w:r w:rsidR="00E53467" w:rsidRPr="004C78D8">
        <w:t xml:space="preserve">A further 2,700 clients would receive the bi-disciplinary intervention. </w:t>
      </w:r>
      <w:r w:rsidR="00962C0A" w:rsidRPr="004C78D8">
        <w:t xml:space="preserve">The Sheffield Falls Clinic </w:t>
      </w:r>
      <w:r w:rsidR="0021006C" w:rsidRPr="004C78D8">
        <w:t xml:space="preserve">under current practice </w:t>
      </w:r>
      <w:r w:rsidR="00962C0A" w:rsidRPr="004C78D8">
        <w:t>ran for a single afternoon</w:t>
      </w:r>
      <w:r w:rsidR="00BA2CC9" w:rsidRPr="004C78D8">
        <w:t xml:space="preserve"> per week</w:t>
      </w:r>
      <w:r w:rsidR="00962C0A" w:rsidRPr="004C78D8">
        <w:t xml:space="preserve"> and catered to around 300 clients per year. If the Clinic operates full-time (i.e., 10 morning and afternoon sessions), it </w:t>
      </w:r>
      <w:r w:rsidR="00BA2CC9" w:rsidRPr="004C78D8">
        <w:t>w</w:t>
      </w:r>
      <w:r w:rsidR="00962C0A" w:rsidRPr="004C78D8">
        <w:t xml:space="preserve">ould have an annual capacity of 3,000 clients. At this workflow, </w:t>
      </w:r>
      <w:r w:rsidR="00BD7417" w:rsidRPr="004C78D8">
        <w:t>seven</w:t>
      </w:r>
      <w:r w:rsidR="00962C0A" w:rsidRPr="004C78D8">
        <w:t xml:space="preserve"> clinics </w:t>
      </w:r>
      <w:r w:rsidR="00D46A8A" w:rsidRPr="004C78D8">
        <w:t>would be needed to manage</w:t>
      </w:r>
      <w:r w:rsidR="00962C0A" w:rsidRPr="004C78D8">
        <w:t xml:space="preserve"> 2</w:t>
      </w:r>
      <w:r w:rsidR="0021006C" w:rsidRPr="004C78D8">
        <w:t>1</w:t>
      </w:r>
      <w:r w:rsidR="00962C0A" w:rsidRPr="004C78D8">
        <w:t>,</w:t>
      </w:r>
      <w:r w:rsidR="0021006C" w:rsidRPr="004C78D8">
        <w:t>000</w:t>
      </w:r>
      <w:r w:rsidR="00962C0A" w:rsidRPr="004C78D8">
        <w:t xml:space="preserve"> clients per year</w:t>
      </w:r>
      <w:r w:rsidR="00D46A8A" w:rsidRPr="004C78D8">
        <w:t xml:space="preserve">. </w:t>
      </w:r>
      <w:r w:rsidR="00166046" w:rsidRPr="004C78D8">
        <w:t>That said, i</w:t>
      </w:r>
      <w:r w:rsidR="00BD7417" w:rsidRPr="004C78D8">
        <w:t xml:space="preserve">nitial model simulation </w:t>
      </w:r>
      <w:r w:rsidR="00AB1BBF" w:rsidRPr="004C78D8">
        <w:t>showed that the clinic client flow</w:t>
      </w:r>
      <w:r w:rsidR="00BD7417" w:rsidRPr="004C78D8">
        <w:t xml:space="preserve"> </w:t>
      </w:r>
      <w:r w:rsidR="00AB1BBF" w:rsidRPr="004C78D8">
        <w:t>averaged around</w:t>
      </w:r>
      <w:r w:rsidR="00BD7417" w:rsidRPr="004C78D8">
        <w:t xml:space="preserve"> 2</w:t>
      </w:r>
      <w:r w:rsidR="00AB1BBF" w:rsidRPr="004C78D8">
        <w:t>5</w:t>
      </w:r>
      <w:r w:rsidR="00BD7417" w:rsidRPr="004C78D8">
        <w:t xml:space="preserve">,000 </w:t>
      </w:r>
      <w:r w:rsidR="00AB1BBF" w:rsidRPr="004C78D8">
        <w:t xml:space="preserve">over 40 years due to the unlimited re-receipt of intervention by those with proactive intervention history. </w:t>
      </w:r>
      <w:r w:rsidR="00BA2CC9" w:rsidRPr="004C78D8">
        <w:t>C</w:t>
      </w:r>
      <w:r w:rsidR="00AB1BBF" w:rsidRPr="004C78D8">
        <w:t xml:space="preserve">apping the number of </w:t>
      </w:r>
      <w:r w:rsidR="0009053F" w:rsidRPr="004C78D8">
        <w:t xml:space="preserve">proactive </w:t>
      </w:r>
      <w:r w:rsidR="00BB4D09" w:rsidRPr="004C78D8">
        <w:t xml:space="preserve">intervention </w:t>
      </w:r>
      <w:r w:rsidR="00AB1BBF" w:rsidRPr="004C78D8">
        <w:t xml:space="preserve">re-receipts to </w:t>
      </w:r>
      <w:r w:rsidR="00BB4D09" w:rsidRPr="004C78D8">
        <w:t>three</w:t>
      </w:r>
      <w:r w:rsidR="00AB1BBF" w:rsidRPr="004C78D8">
        <w:t xml:space="preserve"> returned the annual flow to around 21,000.</w:t>
      </w:r>
    </w:p>
    <w:p w14:paraId="22C847A4" w14:textId="08274968" w:rsidR="008645BA" w:rsidRPr="004C78D8" w:rsidRDefault="00135F4E" w:rsidP="00FB7C1F">
      <w:r w:rsidRPr="004C78D8">
        <w:t xml:space="preserve">Resource uses and costs for </w:t>
      </w:r>
      <w:r w:rsidR="000C0969" w:rsidRPr="004C78D8">
        <w:t>referrals to multidisciplinary falls clinics</w:t>
      </w:r>
      <w:r w:rsidRPr="004C78D8">
        <w:t xml:space="preserve"> were divided into </w:t>
      </w:r>
      <w:r w:rsidR="00C20F98" w:rsidRPr="004C78D8">
        <w:t>four</w:t>
      </w:r>
      <w:r w:rsidRPr="004C78D8">
        <w:t xml:space="preserve"> components: (i) risk screening and access; (ii) falls clinic operation; (iii) outsourced services</w:t>
      </w:r>
      <w:r w:rsidR="00372DC8" w:rsidRPr="004C78D8">
        <w:t xml:space="preserve"> and equipment</w:t>
      </w:r>
      <w:r w:rsidR="00C20F98" w:rsidRPr="004C78D8">
        <w:t>; and (iv) non-public sector</w:t>
      </w:r>
      <w:r w:rsidR="00A40615" w:rsidRPr="004C78D8">
        <w:t xml:space="preserve"> costs</w:t>
      </w:r>
      <w:r w:rsidRPr="004C78D8">
        <w:t xml:space="preserve">. </w:t>
      </w:r>
      <w:r w:rsidR="00A40615" w:rsidRPr="004C78D8">
        <w:t>T</w:t>
      </w:r>
      <w:r w:rsidRPr="004C78D8">
        <w:t xml:space="preserve">he </w:t>
      </w:r>
      <w:r w:rsidR="00F9150A" w:rsidRPr="004C78D8">
        <w:t>f</w:t>
      </w:r>
      <w:r w:rsidRPr="004C78D8">
        <w:t xml:space="preserve">alls </w:t>
      </w:r>
      <w:r w:rsidR="00F9150A" w:rsidRPr="004C78D8">
        <w:t>c</w:t>
      </w:r>
      <w:r w:rsidRPr="004C78D8">
        <w:t xml:space="preserve">linic </w:t>
      </w:r>
      <w:r w:rsidR="00993BB6" w:rsidRPr="004C78D8">
        <w:t>operation was assumed to mainly incur fixed annual costs in the form of salaries and overheads, while other components were costed at per-</w:t>
      </w:r>
      <w:r w:rsidR="00A40615" w:rsidRPr="004C78D8">
        <w:t>client</w:t>
      </w:r>
      <w:r w:rsidR="00993BB6" w:rsidRPr="004C78D8">
        <w:t xml:space="preserve"> rates. </w:t>
      </w:r>
      <w:r w:rsidRPr="004C78D8">
        <w:t xml:space="preserve">This is a simplification since many of the latter </w:t>
      </w:r>
      <w:r w:rsidR="00993BB6" w:rsidRPr="004C78D8">
        <w:t>components</w:t>
      </w:r>
      <w:r w:rsidRPr="004C78D8">
        <w:t xml:space="preserve"> </w:t>
      </w:r>
      <w:r w:rsidR="00A40615" w:rsidRPr="004C78D8">
        <w:t>(</w:t>
      </w:r>
      <w:r w:rsidRPr="004C78D8">
        <w:t>e.g., specialist outpatient services</w:t>
      </w:r>
      <w:r w:rsidR="00A40615" w:rsidRPr="004C78D8">
        <w:t>)</w:t>
      </w:r>
      <w:r w:rsidRPr="004C78D8">
        <w:t xml:space="preserve"> also operate in facilities incurring fixed costs. However, unlike the </w:t>
      </w:r>
      <w:r w:rsidR="00F9150A" w:rsidRPr="004C78D8">
        <w:t>f</w:t>
      </w:r>
      <w:r w:rsidRPr="004C78D8">
        <w:t xml:space="preserve">alls </w:t>
      </w:r>
      <w:r w:rsidR="00F9150A" w:rsidRPr="004C78D8">
        <w:t>c</w:t>
      </w:r>
      <w:r w:rsidRPr="004C78D8">
        <w:t>linic, these facilities are not dedicated to falls prevention and hence the per-</w:t>
      </w:r>
      <w:r w:rsidR="00A40615" w:rsidRPr="004C78D8">
        <w:t>client</w:t>
      </w:r>
      <w:r w:rsidR="00993BB6" w:rsidRPr="004C78D8">
        <w:t xml:space="preserve"> rates were deemed </w:t>
      </w:r>
      <w:r w:rsidRPr="004C78D8">
        <w:t xml:space="preserve">more appropriate. </w:t>
      </w:r>
    </w:p>
    <w:p w14:paraId="2620E873" w14:textId="780FB253" w:rsidR="0085193B" w:rsidRPr="004C78D8" w:rsidRDefault="00A40615" w:rsidP="00FB7C1F">
      <w:r w:rsidRPr="004C78D8">
        <w:t xml:space="preserve">Two previous falls prevention models informed the </w:t>
      </w:r>
      <w:r w:rsidR="00EF5F52" w:rsidRPr="004C78D8">
        <w:t xml:space="preserve">per-client cost of risk screening, recruitment and physical assessment for the bi-disciplinary intervention </w:t>
      </w:r>
      <w:r w:rsidRPr="004C78D8">
        <w:fldChar w:fldCharType="begin"/>
      </w:r>
      <w:r w:rsidR="00C630FC" w:rsidRPr="004C78D8">
        <w:instrText xml:space="preserve"> ADDIN EN.CITE &lt;EndNote&gt;&lt;Cite&gt;&lt;Author&gt;Day&lt;/Author&gt;&lt;Year&gt;2009&lt;/Year&gt;&lt;RecNum&gt;346&lt;/RecNum&gt;&lt;DisplayText&gt;[167, 363]&lt;/DisplayText&gt;&lt;record&gt;&lt;rec-number&gt;346&lt;/rec-number&gt;&lt;foreign-keys&gt;&lt;key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Cite&gt;&lt;Author&gt;Franklin&lt;/Author&gt;&lt;Year&gt;2019&lt;/Year&gt;&lt;RecNum&gt;395&lt;/RecNum&gt;&lt;record&gt;&lt;rec-number&gt;395&lt;/rec-number&gt;&lt;foreign-keys&gt;&lt;key app="EN" db-id="tdtrdw9aepptzbefsat599syza29sxsd2wsp" timestamp="1612694614"&gt;395&lt;/key&gt;&lt;/foreign-keys&gt;&lt;ref-type name="Journal Article"&gt;17&lt;/ref-type&gt;&lt;contributors&gt;&lt;authors&gt;&lt;author&gt;Franklin, Matthew&lt;/author&gt;&lt;author&gt;Hunter, Rachael Maree&lt;/author&gt;&lt;/authors&gt;&lt;/contributors&gt;&lt;titles&gt;&lt;title&gt;A modelling-based economic evaluation of primary-care-based fall-risk screening followed by fall-prevention intervention: a cohort-based Markov model stratified by older age groups&lt;/title&gt;&lt;secondary-title&gt;Age and ageing&lt;/secondary-title&gt;&lt;/titles&gt;&lt;periodical&gt;&lt;full-title&gt;Age and ageing&lt;/full-title&gt;&lt;/periodical&gt;&lt;dates&gt;&lt;year&gt;2019&lt;/year&gt;&lt;/dates&gt;&lt;urls&gt;&lt;/urls&gt;&lt;/record&gt;&lt;/Cite&gt;&lt;/EndNote&gt;</w:instrText>
      </w:r>
      <w:r w:rsidRPr="004C78D8">
        <w:fldChar w:fldCharType="separate"/>
      </w:r>
      <w:r w:rsidR="00C630FC" w:rsidRPr="004C78D8">
        <w:rPr>
          <w:noProof/>
        </w:rPr>
        <w:t>[167, 363]</w:t>
      </w:r>
      <w:r w:rsidRPr="004C78D8">
        <w:fldChar w:fldCharType="end"/>
      </w:r>
      <w:r w:rsidR="00993BB6" w:rsidRPr="004C78D8">
        <w:t xml:space="preserve">. </w:t>
      </w:r>
      <w:r w:rsidR="00220135" w:rsidRPr="004C78D8">
        <w:t xml:space="preserve">No cost was assigned to GP contact since it would be included in the annual comorbidity care costs for primary and secondary care. </w:t>
      </w:r>
      <w:r w:rsidR="00EA1434" w:rsidRPr="004C78D8">
        <w:t>The costing of the falls clinic operation is described in detail in Appendix E</w:t>
      </w:r>
      <w:r w:rsidR="00B64F47" w:rsidRPr="004C78D8">
        <w:t>, Table E9 and commentary.</w:t>
      </w:r>
      <w:r w:rsidR="00EA1434" w:rsidRPr="004C78D8">
        <w:t xml:space="preserve"> In brief, the annual salary and overhead cost of operating a full-time clinic (40 hours per week) was estimated based on stakeholder consultations and literature. The PSSRU unit cost depository </w:t>
      </w:r>
      <w:r w:rsidR="00EA1434" w:rsidRPr="004C78D8">
        <w:fldChar w:fldCharType="begin"/>
      </w:r>
      <w:r w:rsidR="00C630FC" w:rsidRPr="004C78D8">
        <w:instrText xml:space="preserve"> ADDIN EN.CITE &lt;EndNote&gt;&lt;Cite&gt;&lt;Author&gt;Curtis&lt;/Author&gt;&lt;Year&gt;2019&lt;/Year&gt;&lt;RecNum&gt;135&lt;/RecNum&gt;&lt;DisplayText&gt;[401]&lt;/DisplayText&gt;&lt;record&gt;&lt;rec-number&gt;135&lt;/rec-number&gt;&lt;foreign-keys&gt;&lt;key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00EA1434" w:rsidRPr="004C78D8">
        <w:fldChar w:fldCharType="separate"/>
      </w:r>
      <w:r w:rsidR="00C630FC" w:rsidRPr="004C78D8">
        <w:rPr>
          <w:noProof/>
        </w:rPr>
        <w:t>[401]</w:t>
      </w:r>
      <w:r w:rsidR="00EA1434" w:rsidRPr="004C78D8">
        <w:fldChar w:fldCharType="end"/>
      </w:r>
      <w:r w:rsidR="00EA1434" w:rsidRPr="004C78D8">
        <w:t xml:space="preserve"> served as an important data source. </w:t>
      </w:r>
      <w:r w:rsidR="007C0BE4" w:rsidRPr="004C78D8">
        <w:t>T</w:t>
      </w:r>
      <w:r w:rsidR="00530911" w:rsidRPr="004C78D8">
        <w:t xml:space="preserve">reatments outsourced to </w:t>
      </w:r>
      <w:r w:rsidR="009167AD" w:rsidRPr="004C78D8">
        <w:t xml:space="preserve">external </w:t>
      </w:r>
      <w:r w:rsidR="00530911" w:rsidRPr="004C78D8">
        <w:t>providers were</w:t>
      </w:r>
      <w:r w:rsidR="00515AF8" w:rsidRPr="004C78D8">
        <w:t xml:space="preserve"> cost</w:t>
      </w:r>
      <w:r w:rsidR="00530911" w:rsidRPr="004C78D8">
        <w:t>ed</w:t>
      </w:r>
      <w:r w:rsidR="00515AF8" w:rsidRPr="004C78D8">
        <w:t xml:space="preserve"> at per-</w:t>
      </w:r>
      <w:r w:rsidR="007C0BE4" w:rsidRPr="004C78D8">
        <w:t>client</w:t>
      </w:r>
      <w:r w:rsidR="00515AF8" w:rsidRPr="004C78D8">
        <w:t xml:space="preserve"> rate</w:t>
      </w:r>
      <w:r w:rsidR="00530911" w:rsidRPr="004C78D8">
        <w:t>s</w:t>
      </w:r>
      <w:r w:rsidR="0049588D" w:rsidRPr="004C78D8">
        <w:t xml:space="preserve">. </w:t>
      </w:r>
      <w:r w:rsidR="008A5444" w:rsidRPr="004C78D8">
        <w:t>The</w:t>
      </w:r>
      <w:r w:rsidR="007C0BE4" w:rsidRPr="004C78D8">
        <w:t xml:space="preserve"> proportion of multifactorial intervention clients requir</w:t>
      </w:r>
      <w:r w:rsidR="008A5444" w:rsidRPr="004C78D8">
        <w:t>ing</w:t>
      </w:r>
      <w:r w:rsidR="007C0BE4" w:rsidRPr="004C78D8">
        <w:t xml:space="preserve"> </w:t>
      </w:r>
      <w:r w:rsidR="008A5444" w:rsidRPr="004C78D8">
        <w:t>each</w:t>
      </w:r>
      <w:r w:rsidR="007C0BE4" w:rsidRPr="004C78D8">
        <w:t xml:space="preserve"> </w:t>
      </w:r>
      <w:r w:rsidR="00F56C1F" w:rsidRPr="004C78D8">
        <w:t xml:space="preserve">outsourced </w:t>
      </w:r>
      <w:r w:rsidR="007C0BE4" w:rsidRPr="004C78D8">
        <w:t xml:space="preserve">service and cost per service </w:t>
      </w:r>
      <w:r w:rsidR="008A5444" w:rsidRPr="004C78D8">
        <w:t>were obtained from</w:t>
      </w:r>
      <w:r w:rsidR="007C0BE4" w:rsidRPr="004C78D8">
        <w:t xml:space="preserve"> a previous model </w:t>
      </w:r>
      <w:r w:rsidR="007C0BE4" w:rsidRPr="004C78D8">
        <w:fldChar w:fldCharType="begin"/>
      </w:r>
      <w:r w:rsidR="00513646" w:rsidRPr="004C78D8">
        <w:instrText xml:space="preserve"> ADDIN EN.CITE &lt;EndNote&gt;&lt;Cite&gt;&lt;Author&gt;Day&lt;/Author&gt;&lt;Year&gt;2009&lt;/Year&gt;&lt;RecNum&gt;346&lt;/RecNum&gt;&lt;DisplayText&gt;[167]&lt;/DisplayText&gt;&lt;record&gt;&lt;rec-number&gt;346&lt;/rec-number&gt;&lt;foreign-keys&gt;&lt;key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007C0BE4" w:rsidRPr="004C78D8">
        <w:fldChar w:fldCharType="separate"/>
      </w:r>
      <w:r w:rsidR="00513646" w:rsidRPr="004C78D8">
        <w:rPr>
          <w:noProof/>
        </w:rPr>
        <w:t>[167]</w:t>
      </w:r>
      <w:r w:rsidR="007C0BE4" w:rsidRPr="004C78D8">
        <w:fldChar w:fldCharType="end"/>
      </w:r>
      <w:r w:rsidR="007C0BE4" w:rsidRPr="004C78D8">
        <w:t xml:space="preserve"> to estimate the expected cost per service. </w:t>
      </w:r>
    </w:p>
    <w:p w14:paraId="792F51B3" w14:textId="2C033E20" w:rsidR="00326778" w:rsidRPr="004C78D8" w:rsidRDefault="00497F39" w:rsidP="00FB7C1F">
      <w:r w:rsidRPr="004C78D8">
        <w:t xml:space="preserve">Based on consultation with the falls modelling expert, clients with previous receipt history were assumed to incur only 20% of the cost of outsourced services to reflect the lower number of newly identified falls risk factors </w:t>
      </w:r>
      <w:r w:rsidR="009F49A2" w:rsidRPr="004C78D8">
        <w:t xml:space="preserve">at the repeat visit. </w:t>
      </w:r>
      <w:r w:rsidR="00326778" w:rsidRPr="004C78D8">
        <w:t xml:space="preserve">Attending the falls clinic also incurred costs outside the public sector. The annual travel cost was sourced from a previous model </w:t>
      </w:r>
      <w:r w:rsidR="00326778" w:rsidRPr="004C78D8">
        <w:fldChar w:fldCharType="begin"/>
      </w:r>
      <w:r w:rsidR="00C630FC" w:rsidRPr="004C78D8">
        <w:instrText xml:space="preserve"> ADDIN EN.CITE &lt;EndNote&gt;&lt;Cite&gt;&lt;Author&gt;Comans&lt;/Author&gt;&lt;Year&gt;2009&lt;/Year&gt;&lt;RecNum&gt;376&lt;/RecNum&gt;&lt;DisplayText&gt;[207]&lt;/DisplayText&gt;&lt;record&gt;&lt;rec-number&gt;376&lt;/rec-number&gt;&lt;foreign-keys&gt;&lt;key app="EN" db-id="tdtrdw9aepptzbefsat599syza29sxsd2wsp" timestamp="1612625082"&gt;376&lt;/key&gt;&lt;/foreign-keys&gt;&lt;ref-type name="Journal Article"&gt;17&lt;/ref-type&gt;&lt;contributors&gt;&lt;authors&gt;&lt;author&gt;Comans, Tracy&lt;/author&gt;&lt;author&gt;Brauer, Sandy&lt;/author&gt;&lt;author&gt;Haines, Terry&lt;/author&gt;&lt;/authors&gt;&lt;/contributors&gt;&lt;titles&gt;&lt;title&gt;A break-even analysis of a community rehabilitation falls prevention service&lt;/title&gt;&lt;secondary-title&gt;Australian and New Zealand journal of public health&lt;/secondary-title&gt;&lt;/titles&gt;&lt;periodical&gt;&lt;full-title&gt;Australian and New Zealand journal of public health&lt;/full-title&gt;&lt;/periodical&gt;&lt;pages&gt;240-5&lt;/pages&gt;&lt;volume&gt;33&lt;/volume&gt;&lt;number&gt;3&lt;/number&gt;&lt;section&gt;Comans, Tracy. The Community Rehabilitation Service, Southside Health Service District and School of Health and Rehabilitation Sciences, University of Queensland, Queensland, Australia. tracy.comans@uqconnect.edu.au&lt;/section&gt;&lt;keywords&gt;&lt;keyword&gt;*Accidental Falls/pc [Prevention &amp;amp; Control]&lt;/keyword&gt;&lt;keyword&gt;Aged&lt;/keyword&gt;&lt;keyword&gt;Aged, 80 and over&lt;/keyword&gt;&lt;keyword&gt;Cost-Benefit Analysis&lt;/keyword&gt;&lt;keyword&gt;Efficiency, Organizational/ec [Economics]&lt;/keyword&gt;&lt;keyword&gt;*Efficiency, Organizational&lt;/keyword&gt;&lt;keyword&gt;Female&lt;/keyword&gt;&lt;keyword&gt;Humans&lt;/keyword&gt;&lt;keyword&gt;Interdisciplinary Communication&lt;/keyword&gt;&lt;keyword&gt;Male&lt;/keyword&gt;&lt;keyword&gt;Models, Theoretical&lt;/keyword&gt;&lt;keyword&gt;*Preventive Health Services/st [Standards]&lt;/keyword&gt;&lt;keyword&gt;*Rehabilitation Centers&lt;/keyword&gt;&lt;/keywords&gt;&lt;dates&gt;&lt;year&gt;2009&lt;/year&gt;&lt;/dates&gt;&lt;pub-location&gt;Australia&lt;/pub-location&gt;&lt;isbn&gt;1326-0200&lt;/isbn&gt;&lt;urls&gt;&lt;related-urls&gt;&lt;url&gt;http://ovidsp.ovid.com/ovidweb.cgi?T=JS&amp;amp;PAGE=reference&amp;amp;D=med6&amp;amp;NEWS=N&amp;amp;AN=19630843&lt;/url&gt;&lt;/related-urls&gt;&lt;/urls&gt;&lt;electronic-resource-num&gt;https://dx.doi.org/10.1111/j.1753-6405.2009.00382.x&lt;/electronic-resource-num&gt;&lt;remote-database-name&gt;Medline&lt;/remote-database-name&gt;&lt;/record&gt;&lt;/Cite&gt;&lt;/EndNote&gt;</w:instrText>
      </w:r>
      <w:r w:rsidR="00326778" w:rsidRPr="004C78D8">
        <w:fldChar w:fldCharType="separate"/>
      </w:r>
      <w:r w:rsidR="00C630FC" w:rsidRPr="004C78D8">
        <w:rPr>
          <w:noProof/>
        </w:rPr>
        <w:t>[207]</w:t>
      </w:r>
      <w:r w:rsidR="00326778" w:rsidRPr="004C78D8">
        <w:fldChar w:fldCharType="end"/>
      </w:r>
      <w:r w:rsidR="00326778" w:rsidRPr="004C78D8">
        <w:t>. T</w:t>
      </w:r>
      <w:r w:rsidR="00087D12" w:rsidRPr="004C78D8">
        <w:t xml:space="preserve">ime opportunity costs </w:t>
      </w:r>
      <w:r w:rsidR="00326778" w:rsidRPr="004C78D8">
        <w:t xml:space="preserve">were estimated </w:t>
      </w:r>
      <w:r w:rsidR="00087D12" w:rsidRPr="004C78D8">
        <w:t xml:space="preserve">for </w:t>
      </w:r>
      <w:r w:rsidR="00326778" w:rsidRPr="004C78D8">
        <w:t>participants</w:t>
      </w:r>
      <w:r w:rsidR="00087D12" w:rsidRPr="004C78D8">
        <w:t xml:space="preserve"> who are employed or engaged in unpaid work</w:t>
      </w:r>
      <w:r w:rsidR="00326778" w:rsidRPr="004C78D8">
        <w:t xml:space="preserve">, and for informal caregivers accompanying cognitively impaired participants. </w:t>
      </w:r>
    </w:p>
    <w:p w14:paraId="54197DD0" w14:textId="441D99BA" w:rsidR="009F49A2" w:rsidRPr="004C78D8" w:rsidRDefault="001545C5" w:rsidP="00FB7C1F">
      <w:r w:rsidRPr="004C78D8">
        <w:t>T</w:t>
      </w:r>
      <w:r w:rsidR="00FE150A" w:rsidRPr="004C78D8">
        <w:t xml:space="preserve">he bi-disciplinary </w:t>
      </w:r>
      <w:r w:rsidR="009F49A2" w:rsidRPr="004C78D8">
        <w:t>intervention</w:t>
      </w:r>
      <w:r w:rsidRPr="004C78D8">
        <w:t xml:space="preserve"> was costed</w:t>
      </w:r>
      <w:r w:rsidR="00FE150A" w:rsidRPr="004C78D8">
        <w:t xml:space="preserve"> </w:t>
      </w:r>
      <w:r w:rsidR="0085193B" w:rsidRPr="004C78D8">
        <w:t>at</w:t>
      </w:r>
      <w:r w:rsidR="00FE150A" w:rsidRPr="004C78D8">
        <w:t xml:space="preserve"> per-</w:t>
      </w:r>
      <w:r w:rsidR="009F49A2" w:rsidRPr="004C78D8">
        <w:t>client</w:t>
      </w:r>
      <w:r w:rsidR="00FE150A" w:rsidRPr="004C78D8">
        <w:t xml:space="preserve"> rates. </w:t>
      </w:r>
      <w:r w:rsidR="009F49A2" w:rsidRPr="004C78D8">
        <w:t xml:space="preserve">The RCT for the bi-disciplinary intervention reported the proportions of clients </w:t>
      </w:r>
      <w:r w:rsidRPr="004C78D8">
        <w:t>receiving</w:t>
      </w:r>
      <w:r w:rsidR="009F49A2" w:rsidRPr="004C78D8">
        <w:t xml:space="preserve"> </w:t>
      </w:r>
      <w:r w:rsidR="00A71187" w:rsidRPr="004C78D8">
        <w:t xml:space="preserve">different outsourced services </w:t>
      </w:r>
      <w:r w:rsidR="00A71187" w:rsidRPr="004C78D8">
        <w:fldChar w:fldCharType="begin"/>
      </w:r>
      <w:r w:rsidR="00513646" w:rsidRPr="004C78D8">
        <w:instrText xml:space="preserve"> ADDIN EN.CITE &lt;EndNote&gt;&lt;Cite&gt;&lt;Author&gt;Close&lt;/Author&gt;&lt;Year&gt;1999&lt;/Year&gt;&lt;RecNum&gt;513&lt;/RecNum&gt;&lt;DisplayText&gt;[62]&lt;/DisplayText&gt;&lt;record&gt;&lt;rec-number&gt;513&lt;/rec-number&gt;&lt;foreign-keys&gt;&lt;key app="EN" db-id="tdtrdw9aepptzbefsat599syza29sxsd2wsp" timestamp="1617903389"&gt;513&lt;/key&gt;&lt;/foreign-keys&gt;&lt;ref-type name="Journal Article"&gt;17&lt;/ref-type&gt;&lt;contributors&gt;&lt;authors&gt;&lt;author&gt;Close, J.&lt;/author&gt;&lt;author&gt;Ellis, M.&lt;/author&gt;&lt;author&gt;Hooper, R.&lt;/author&gt;&lt;author&gt;Glucksman, E.&lt;/author&gt;&lt;author&gt;Jackson, S.&lt;/author&gt;&lt;author&gt;Swift, C.&lt;/author&gt;&lt;/authors&gt;&lt;/contributors&gt;&lt;auth-address&gt;Department of Health Care of the Elderly, Guy&amp;apos;s King&amp;apos;s, and St Thomas&amp;apos; School of Medicine, King&amp;apos;s College Hospital, London, UK. jacqueline.close@kcl.ac.uk&lt;/auth-address&gt;&lt;titles&gt;&lt;title&gt;Prevention of falls in the elderly trial (PROFET): a randomised controlled trial&lt;/title&gt;&lt;secondary-title&gt;Lancet&lt;/secondary-title&gt;&lt;/titles&gt;&lt;periodical&gt;&lt;full-title&gt;Lancet&lt;/full-title&gt;&lt;/periodical&gt;&lt;pages&gt;93-7&lt;/pages&gt;&lt;volume&gt;353&lt;/volume&gt;&lt;number&gt;9147&lt;/number&gt;&lt;keywords&gt;&lt;keyword&gt;Accidental Falls/*prevention &amp;amp; control&lt;/keyword&gt;&lt;keyword&gt;Activities of Daily Living/classification&lt;/keyword&gt;&lt;keyword&gt;Aged&lt;/keyword&gt;&lt;keyword&gt;Aged, 80 and over&lt;/keyword&gt;&lt;keyword&gt;Female&lt;/keyword&gt;&lt;keyword&gt;*Frail Elderly&lt;/keyword&gt;&lt;keyword&gt;Geriatric Assessment&lt;/keyword&gt;&lt;keyword&gt;Humans&lt;/keyword&gt;&lt;keyword&gt;Male&lt;/keyword&gt;&lt;keyword&gt;Occupational Therapy&lt;/keyword&gt;&lt;keyword&gt;*Patient Care Team&lt;/keyword&gt;&lt;keyword&gt;Recurrence&lt;/keyword&gt;&lt;keyword&gt;Referral and Consultation&lt;/keyword&gt;&lt;keyword&gt;Treatment Outcome&lt;/keyword&gt;&lt;/keywords&gt;&lt;dates&gt;&lt;year&gt;1999&lt;/year&gt;&lt;pub-dates&gt;&lt;date&gt;Jan 9&lt;/date&gt;&lt;/pub-dates&gt;&lt;/dates&gt;&lt;isbn&gt;0140-6736 (Print)&amp;#xD;0140-6736 (Linking)&lt;/isbn&gt;&lt;accession-num&gt;10023893&lt;/accession-num&gt;&lt;urls&gt;&lt;related-urls&gt;&lt;url&gt;https://www.ncbi.nlm.nih.gov/pubmed/10023893&lt;/url&gt;&lt;/related-urls&gt;&lt;/urls&gt;&lt;electronic-resource-num&gt;10.1016/S0140-6736(98)06119-4&lt;/electronic-resource-num&gt;&lt;/record&gt;&lt;/Cite&gt;&lt;/EndNote&gt;</w:instrText>
      </w:r>
      <w:r w:rsidR="00A71187" w:rsidRPr="004C78D8">
        <w:fldChar w:fldCharType="separate"/>
      </w:r>
      <w:r w:rsidR="00513646" w:rsidRPr="004C78D8">
        <w:rPr>
          <w:noProof/>
        </w:rPr>
        <w:t>[62]</w:t>
      </w:r>
      <w:r w:rsidR="00A71187" w:rsidRPr="004C78D8">
        <w:fldChar w:fldCharType="end"/>
      </w:r>
      <w:r w:rsidR="00A71187" w:rsidRPr="004C78D8">
        <w:t xml:space="preserve">. These proportions were combined with unit costs from the previous model </w:t>
      </w:r>
      <w:r w:rsidR="00A71187" w:rsidRPr="004C78D8">
        <w:fldChar w:fldCharType="begin"/>
      </w:r>
      <w:r w:rsidR="00513646" w:rsidRPr="004C78D8">
        <w:instrText xml:space="preserve"> ADDIN EN.CITE &lt;EndNote&gt;&lt;Cite&gt;&lt;Author&gt;Day&lt;/Author&gt;&lt;Year&gt;2009&lt;/Year&gt;&lt;RecNum&gt;346&lt;/RecNum&gt;&lt;DisplayText&gt;[167]&lt;/DisplayText&gt;&lt;record&gt;&lt;rec-number&gt;346&lt;/rec-number&gt;&lt;foreign-keys&gt;&lt;key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00A71187" w:rsidRPr="004C78D8">
        <w:fldChar w:fldCharType="separate"/>
      </w:r>
      <w:r w:rsidR="00513646" w:rsidRPr="004C78D8">
        <w:rPr>
          <w:noProof/>
        </w:rPr>
        <w:t>[167]</w:t>
      </w:r>
      <w:r w:rsidR="00A71187" w:rsidRPr="004C78D8">
        <w:fldChar w:fldCharType="end"/>
      </w:r>
      <w:r w:rsidR="00A71187" w:rsidRPr="004C78D8">
        <w:t xml:space="preserve"> to estimate the expected costs. </w:t>
      </w:r>
    </w:p>
    <w:p w14:paraId="0FCA76B6" w14:textId="50F86F5B" w:rsidR="008A220F" w:rsidRPr="004C78D8" w:rsidRDefault="00B175D8" w:rsidP="00FB7C1F">
      <w:pPr>
        <w:pStyle w:val="Heading5"/>
      </w:pPr>
      <w:r w:rsidRPr="004C78D8">
        <w:t>Single-component</w:t>
      </w:r>
      <w:r w:rsidR="00A75DFA" w:rsidRPr="004C78D8">
        <w:t xml:space="preserve"> interventions</w:t>
      </w:r>
      <w:r w:rsidR="00783203" w:rsidRPr="004C78D8">
        <w:t xml:space="preserve"> – resource use</w:t>
      </w:r>
    </w:p>
    <w:p w14:paraId="394DF444" w14:textId="1F5698F5" w:rsidR="00A75DFA" w:rsidRPr="004C78D8" w:rsidRDefault="00A75DFA" w:rsidP="00FB7C1F">
      <w:r w:rsidRPr="004C78D8">
        <w:t xml:space="preserve">Table </w:t>
      </w:r>
      <w:r w:rsidR="00F56116" w:rsidRPr="004C78D8">
        <w:t>5</w:t>
      </w:r>
      <w:r w:rsidR="00081F42" w:rsidRPr="004C78D8">
        <w:t>.3</w:t>
      </w:r>
      <w:r w:rsidR="005B68C9" w:rsidRPr="004C78D8">
        <w:t>3</w:t>
      </w:r>
      <w:r w:rsidRPr="004C78D8">
        <w:t xml:space="preserve"> summari</w:t>
      </w:r>
      <w:r w:rsidR="00444479" w:rsidRPr="004C78D8">
        <w:t>s</w:t>
      </w:r>
      <w:r w:rsidRPr="004C78D8">
        <w:t xml:space="preserve">es the intervention resource use </w:t>
      </w:r>
      <w:r w:rsidR="0074387F" w:rsidRPr="004C78D8">
        <w:t>in</w:t>
      </w:r>
      <w:r w:rsidRPr="004C78D8">
        <w:t xml:space="preserve"> RCTs </w:t>
      </w:r>
      <w:r w:rsidR="0074387F" w:rsidRPr="004C78D8">
        <w:t>for</w:t>
      </w:r>
      <w:r w:rsidR="0058387B" w:rsidRPr="004C78D8">
        <w:t>:</w:t>
      </w:r>
      <w:r w:rsidRPr="004C78D8">
        <w:t xml:space="preserve"> </w:t>
      </w:r>
      <w:r w:rsidR="00380125" w:rsidRPr="004C78D8">
        <w:t xml:space="preserve">reactive HAM </w:t>
      </w:r>
      <w:r w:rsidR="0058387B" w:rsidRPr="004C78D8">
        <w:t xml:space="preserve">for hip fracture patients </w:t>
      </w:r>
      <w:r w:rsidR="006B601F" w:rsidRPr="004C78D8">
        <w:fldChar w:fldCharType="begin"/>
      </w:r>
      <w:r w:rsidR="00C630FC" w:rsidRPr="004C78D8">
        <w:instrText xml:space="preserve"> ADDIN EN.CITE &lt;EndNote&gt;&lt;Cite&gt;&lt;Author&gt;Lockwood&lt;/Author&gt;&lt;Year&gt;2019&lt;/Year&gt;&lt;RecNum&gt;512&lt;/RecNum&gt;&lt;DisplayText&gt;[405]&lt;/DisplayText&gt;&lt;record&gt;&lt;rec-number&gt;512&lt;/rec-number&gt;&lt;foreign-keys&gt;&lt;key app="EN" db-id="tdtrdw9aepptzbefsat599syza29sxsd2wsp" timestamp="1617903216"&gt;512&lt;/key&gt;&lt;/foreign-keys&gt;&lt;ref-type name="Journal Article"&gt;17&lt;/ref-type&gt;&lt;contributors&gt;&lt;authors&gt;&lt;author&gt;Lockwood, Kylee J&lt;/author&gt;&lt;author&gt;Harding, Katherine E&lt;/author&gt;&lt;author&gt;Boyd, Jude N&lt;/author&gt;&lt;author&gt;Taylor, Nicholas F&lt;/author&gt;&lt;/authors&gt;&lt;/contributors&gt;&lt;titles&gt;&lt;title&gt;Predischarge home visits after hip fracture: a randomized controlled trial&lt;/title&gt;&lt;secondary-title&gt;Clinical rehabilitation&lt;/secondary-title&gt;&lt;/titles&gt;&lt;periodical&gt;&lt;full-title&gt;Clinical rehabilitation&lt;/full-title&gt;&lt;/periodical&gt;&lt;pages&gt;681-692&lt;/pages&gt;&lt;volume&gt;33&lt;/volume&gt;&lt;number&gt;4&lt;/number&gt;&lt;dates&gt;&lt;year&gt;2019&lt;/year&gt;&lt;/dates&gt;&lt;isbn&gt;0269-2155&lt;/isbn&gt;&lt;urls&gt;&lt;/urls&gt;&lt;/record&gt;&lt;/Cite&gt;&lt;/EndNote&gt;</w:instrText>
      </w:r>
      <w:r w:rsidR="006B601F" w:rsidRPr="004C78D8">
        <w:fldChar w:fldCharType="separate"/>
      </w:r>
      <w:r w:rsidR="00C630FC" w:rsidRPr="004C78D8">
        <w:rPr>
          <w:noProof/>
        </w:rPr>
        <w:t>[405]</w:t>
      </w:r>
      <w:r w:rsidR="006B601F" w:rsidRPr="004C78D8">
        <w:fldChar w:fldCharType="end"/>
      </w:r>
      <w:r w:rsidR="0058387B" w:rsidRPr="004C78D8">
        <w:t xml:space="preserve">; and three exercise interventions for different subgroups </w:t>
      </w:r>
      <w:r w:rsidR="006B601F" w:rsidRPr="004C78D8">
        <w:fldChar w:fldCharType="begin">
          <w:fldData xml:space="preserve">PEVuZE5vdGU+PENpdGU+PEF1dGhvcj5OeW1hbjwvQXV0aG9yPjxZZWFyPjIwMTk8L1llYXI+PFJl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</w:fldData>
        </w:fldChar>
      </w:r>
      <w:r w:rsidR="00C630FC" w:rsidRPr="004C78D8">
        <w:instrText xml:space="preserve"> ADDIN EN.CITE </w:instrText>
      </w:r>
      <w:r w:rsidR="00C630FC" w:rsidRPr="004C78D8">
        <w:fldChar w:fldCharType="begin">
          <w:fldData xml:space="preserve">PEVuZE5vdGU+PENpdGU+PEF1dGhvcj5OeW1hbjwvQXV0aG9yPjxZZWFyPjIwMTk8L1llYXI+PFJl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</w:fldData>
        </w:fldChar>
      </w:r>
      <w:r w:rsidR="00C630FC" w:rsidRPr="004C78D8">
        <w:instrText xml:space="preserve"> ADDIN EN.CITE.DATA </w:instrText>
      </w:r>
      <w:r w:rsidR="00C630FC" w:rsidRPr="004C78D8">
        <w:fldChar w:fldCharType="end"/>
      </w:r>
      <w:r w:rsidR="006B601F" w:rsidRPr="004C78D8">
        <w:fldChar w:fldCharType="separate"/>
      </w:r>
      <w:r w:rsidR="00C630FC" w:rsidRPr="004C78D8">
        <w:rPr>
          <w:noProof/>
        </w:rPr>
        <w:t>[135, 136, 235]</w:t>
      </w:r>
      <w:r w:rsidR="006B601F" w:rsidRPr="004C78D8">
        <w:fldChar w:fldCharType="end"/>
      </w:r>
      <w:r w:rsidR="0058387B" w:rsidRPr="004C78D8">
        <w:t xml:space="preserve">. </w:t>
      </w:r>
    </w:p>
    <w:tbl>
      <w:tblPr>
        <w:tblStyle w:val="TableGrid"/>
        <w:tblW w:w="5000" w:type="pct"/>
        <w:tblLook w:val="04A0" w:firstRow="1" w:lastRow="0" w:firstColumn="1" w:lastColumn="0" w:noHBand="0" w:noVBand="1"/>
      </w:tblPr>
      <w:tblGrid>
        <w:gridCol w:w="1175"/>
        <w:gridCol w:w="1955"/>
        <w:gridCol w:w="1291"/>
        <w:gridCol w:w="4595"/>
      </w:tblGrid>
      <w:tr w:rsidR="00A75DFA" w:rsidRPr="004C78D8" w14:paraId="3666C893" w14:textId="77777777" w:rsidTr="00E35893">
        <w:tc>
          <w:tcPr>
            <w:tcW w:w="5000" w:type="pct"/>
            <w:gridSpan w:val="4"/>
          </w:tcPr>
          <w:p w14:paraId="39060125" w14:textId="5836B49C" w:rsidR="00A75DFA" w:rsidRPr="004C78D8" w:rsidRDefault="00A75DFA" w:rsidP="00FB7C1F">
            <w:pPr>
              <w:jc w:val="left"/>
              <w:rPr>
                <w:b/>
                <w:bCs/>
              </w:rPr>
            </w:pPr>
            <w:r w:rsidRPr="004C78D8">
              <w:rPr>
                <w:b/>
                <w:bCs/>
              </w:rPr>
              <w:t xml:space="preserve">Table </w:t>
            </w:r>
            <w:r w:rsidR="00F56116" w:rsidRPr="004C78D8">
              <w:rPr>
                <w:b/>
                <w:bCs/>
              </w:rPr>
              <w:t>5</w:t>
            </w:r>
            <w:r w:rsidR="00081F42" w:rsidRPr="004C78D8">
              <w:rPr>
                <w:b/>
                <w:bCs/>
              </w:rPr>
              <w:t>.3</w:t>
            </w:r>
            <w:r w:rsidR="005B68C9" w:rsidRPr="004C78D8">
              <w:rPr>
                <w:b/>
                <w:bCs/>
              </w:rPr>
              <w:t>3</w:t>
            </w:r>
            <w:r w:rsidRPr="004C78D8">
              <w:t xml:space="preserve"> </w:t>
            </w:r>
            <w:r w:rsidR="0085193B" w:rsidRPr="004C78D8">
              <w:t>R</w:t>
            </w:r>
            <w:r w:rsidRPr="004C78D8">
              <w:t>esource use in randomi</w:t>
            </w:r>
            <w:r w:rsidR="00081F42" w:rsidRPr="004C78D8">
              <w:t>s</w:t>
            </w:r>
            <w:r w:rsidRPr="004C78D8">
              <w:t xml:space="preserve">ed controlled trials of </w:t>
            </w:r>
            <w:r w:rsidR="002C78D0" w:rsidRPr="004C78D8">
              <w:t>single-component interventions.</w:t>
            </w:r>
          </w:p>
        </w:tc>
      </w:tr>
      <w:tr w:rsidR="00081F42" w:rsidRPr="004C78D8" w14:paraId="47A8A5CD" w14:textId="77777777" w:rsidTr="00E35893">
        <w:tc>
          <w:tcPr>
            <w:tcW w:w="652" w:type="pct"/>
          </w:tcPr>
          <w:p w14:paraId="20298AF8" w14:textId="403D2DDC" w:rsidR="00A75DFA" w:rsidRPr="004C78D8" w:rsidRDefault="00081F42" w:rsidP="00FB7C1F">
            <w:pPr>
              <w:jc w:val="left"/>
              <w:rPr>
                <w:b/>
                <w:bCs/>
                <w:sz w:val="20"/>
                <w:szCs w:val="20"/>
              </w:rPr>
            </w:pPr>
            <w:r w:rsidRPr="004C78D8">
              <w:rPr>
                <w:b/>
                <w:bCs/>
                <w:sz w:val="20"/>
                <w:szCs w:val="20"/>
              </w:rPr>
              <w:t>RCT reference</w:t>
            </w:r>
          </w:p>
        </w:tc>
        <w:tc>
          <w:tcPr>
            <w:tcW w:w="1084" w:type="pct"/>
          </w:tcPr>
          <w:p w14:paraId="74C4FE38" w14:textId="77777777" w:rsidR="00A75DFA" w:rsidRPr="004C78D8" w:rsidRDefault="00A75DFA" w:rsidP="00FB7C1F">
            <w:pPr>
              <w:jc w:val="left"/>
              <w:rPr>
                <w:b/>
                <w:bCs/>
                <w:sz w:val="20"/>
                <w:szCs w:val="20"/>
              </w:rPr>
            </w:pPr>
            <w:r w:rsidRPr="004C78D8">
              <w:rPr>
                <w:b/>
                <w:bCs/>
                <w:sz w:val="20"/>
                <w:szCs w:val="20"/>
              </w:rPr>
              <w:t>Intervention type</w:t>
            </w:r>
          </w:p>
        </w:tc>
        <w:tc>
          <w:tcPr>
            <w:tcW w:w="716" w:type="pct"/>
          </w:tcPr>
          <w:p w14:paraId="4459980A" w14:textId="77777777" w:rsidR="00A75DFA" w:rsidRPr="004C78D8" w:rsidRDefault="00A75DFA" w:rsidP="00FB7C1F">
            <w:pPr>
              <w:jc w:val="left"/>
              <w:rPr>
                <w:b/>
                <w:bCs/>
                <w:sz w:val="20"/>
                <w:szCs w:val="20"/>
              </w:rPr>
            </w:pPr>
            <w:r w:rsidRPr="004C78D8">
              <w:rPr>
                <w:b/>
                <w:bCs/>
                <w:sz w:val="20"/>
                <w:szCs w:val="20"/>
              </w:rPr>
              <w:t>Category</w:t>
            </w:r>
          </w:p>
        </w:tc>
        <w:tc>
          <w:tcPr>
            <w:tcW w:w="2548" w:type="pct"/>
          </w:tcPr>
          <w:p w14:paraId="3C2A8E7A" w14:textId="77777777" w:rsidR="00A75DFA" w:rsidRPr="004C78D8" w:rsidRDefault="00A75DFA" w:rsidP="00FB7C1F">
            <w:pPr>
              <w:jc w:val="left"/>
              <w:rPr>
                <w:b/>
                <w:bCs/>
                <w:sz w:val="20"/>
                <w:szCs w:val="20"/>
              </w:rPr>
            </w:pPr>
            <w:r w:rsidRPr="004C78D8">
              <w:rPr>
                <w:b/>
                <w:bCs/>
                <w:sz w:val="20"/>
                <w:szCs w:val="20"/>
              </w:rPr>
              <w:t>Resources</w:t>
            </w:r>
          </w:p>
        </w:tc>
      </w:tr>
      <w:tr w:rsidR="00081F42" w:rsidRPr="004C78D8" w14:paraId="332DDAC1" w14:textId="77777777" w:rsidTr="00E35893">
        <w:tc>
          <w:tcPr>
            <w:tcW w:w="652" w:type="pct"/>
            <w:vMerge w:val="restart"/>
          </w:tcPr>
          <w:p w14:paraId="36D14093" w14:textId="56CEF96A" w:rsidR="00380125" w:rsidRPr="004C78D8" w:rsidRDefault="00081F42" w:rsidP="00FB7C1F">
            <w:pPr>
              <w:jc w:val="left"/>
              <w:rPr>
                <w:sz w:val="18"/>
                <w:szCs w:val="18"/>
              </w:rPr>
            </w:pPr>
            <w:r w:rsidRPr="004C78D8">
              <w:rPr>
                <w:sz w:val="18"/>
                <w:szCs w:val="18"/>
              </w:rPr>
              <w:t xml:space="preserve">Lockwood (2019) </w:t>
            </w:r>
            <w:r w:rsidRPr="004C78D8">
              <w:rPr>
                <w:sz w:val="18"/>
                <w:szCs w:val="18"/>
              </w:rPr>
              <w:fldChar w:fldCharType="begin"/>
            </w:r>
            <w:r w:rsidR="00C630FC" w:rsidRPr="004C78D8">
              <w:rPr>
                <w:sz w:val="18"/>
                <w:szCs w:val="18"/>
              </w:rPr>
              <w:instrText xml:space="preserve"> ADDIN EN.CITE &lt;EndNote&gt;&lt;Cite&gt;&lt;Author&gt;Lockwood&lt;/Author&gt;&lt;Year&gt;2019&lt;/Year&gt;&lt;RecNum&gt;512&lt;/RecNum&gt;&lt;DisplayText&gt;[405]&lt;/DisplayText&gt;&lt;record&gt;&lt;rec-number&gt;512&lt;/rec-number&gt;&lt;foreign-keys&gt;&lt;key app="EN" db-id="tdtrdw9aepptzbefsat599syza29sxsd2wsp" timestamp="1617903216"&gt;512&lt;/key&gt;&lt;/foreign-keys&gt;&lt;ref-type name="Journal Article"&gt;17&lt;/ref-type&gt;&lt;contributors&gt;&lt;authors&gt;&lt;author&gt;Lockwood, Kylee J&lt;/author&gt;&lt;author&gt;Harding, Katherine E&lt;/author&gt;&lt;author&gt;Boyd, Jude N&lt;/author&gt;&lt;author&gt;Taylor, Nicholas F&lt;/author&gt;&lt;/authors&gt;&lt;/contributors&gt;&lt;titles&gt;&lt;title&gt;Predischarge home visits after hip fracture: a randomized controlled trial&lt;/title&gt;&lt;secondary-title&gt;Clinical rehabilitation&lt;/secondary-title&gt;&lt;/titles&gt;&lt;periodical&gt;&lt;full-title&gt;Clinical rehabilitation&lt;/full-title&gt;&lt;/periodical&gt;&lt;pages&gt;681-692&lt;/pages&gt;&lt;volume&gt;33&lt;/volume&gt;&lt;number&gt;4&lt;/number&gt;&lt;dates&gt;&lt;year&gt;2019&lt;/year&gt;&lt;/dates&gt;&lt;isbn&gt;0269-2155&lt;/isbn&gt;&lt;urls&gt;&lt;/urls&gt;&lt;/record&gt;&lt;/Cite&gt;&lt;/EndNote&gt;</w:instrText>
            </w:r>
            <w:r w:rsidRPr="004C78D8">
              <w:rPr>
                <w:sz w:val="18"/>
                <w:szCs w:val="18"/>
              </w:rPr>
              <w:fldChar w:fldCharType="separate"/>
            </w:r>
            <w:r w:rsidR="00C630FC" w:rsidRPr="004C78D8">
              <w:rPr>
                <w:noProof/>
                <w:sz w:val="18"/>
                <w:szCs w:val="18"/>
              </w:rPr>
              <w:t>[405]</w:t>
            </w:r>
            <w:r w:rsidRPr="004C78D8">
              <w:rPr>
                <w:sz w:val="18"/>
                <w:szCs w:val="18"/>
              </w:rPr>
              <w:fldChar w:fldCharType="end"/>
            </w:r>
          </w:p>
        </w:tc>
        <w:tc>
          <w:tcPr>
            <w:tcW w:w="1084" w:type="pct"/>
            <w:vMerge w:val="restart"/>
          </w:tcPr>
          <w:p w14:paraId="14A72A76" w14:textId="5AE5A15E" w:rsidR="00380125" w:rsidRPr="004C78D8" w:rsidRDefault="00380125" w:rsidP="00FB7C1F">
            <w:pPr>
              <w:jc w:val="left"/>
              <w:rPr>
                <w:sz w:val="18"/>
                <w:szCs w:val="18"/>
              </w:rPr>
            </w:pPr>
            <w:r w:rsidRPr="004C78D8">
              <w:rPr>
                <w:sz w:val="18"/>
                <w:szCs w:val="18"/>
              </w:rPr>
              <w:t>HAM</w:t>
            </w:r>
            <w:r w:rsidR="0083319D" w:rsidRPr="004C78D8">
              <w:rPr>
                <w:sz w:val="18"/>
                <w:szCs w:val="18"/>
              </w:rPr>
              <w:t xml:space="preserve"> for hip fracture patients discharged from hospital</w:t>
            </w:r>
            <w:r w:rsidR="00F9645E" w:rsidRPr="004C78D8">
              <w:rPr>
                <w:sz w:val="18"/>
                <w:szCs w:val="18"/>
              </w:rPr>
              <w:t xml:space="preserve"> (reactive pathway</w:t>
            </w:r>
            <w:r w:rsidR="009815AB" w:rsidRPr="004C78D8">
              <w:rPr>
                <w:sz w:val="18"/>
                <w:szCs w:val="18"/>
              </w:rPr>
              <w:t xml:space="preserve"> under usual care</w:t>
            </w:r>
            <w:r w:rsidR="00452F94" w:rsidRPr="004C78D8">
              <w:rPr>
                <w:sz w:val="18"/>
                <w:szCs w:val="18"/>
              </w:rPr>
              <w:t xml:space="preserve"> only</w:t>
            </w:r>
            <w:r w:rsidR="00F9645E" w:rsidRPr="004C78D8">
              <w:rPr>
                <w:sz w:val="18"/>
                <w:szCs w:val="18"/>
              </w:rPr>
              <w:t>)</w:t>
            </w:r>
          </w:p>
        </w:tc>
        <w:tc>
          <w:tcPr>
            <w:tcW w:w="716" w:type="pct"/>
          </w:tcPr>
          <w:p w14:paraId="6C14A949" w14:textId="6F60966E" w:rsidR="00380125" w:rsidRPr="004C78D8" w:rsidRDefault="00380125" w:rsidP="00FB7C1F">
            <w:pPr>
              <w:jc w:val="left"/>
              <w:rPr>
                <w:sz w:val="18"/>
                <w:szCs w:val="18"/>
              </w:rPr>
            </w:pPr>
            <w:r w:rsidRPr="004C78D8">
              <w:rPr>
                <w:sz w:val="18"/>
                <w:szCs w:val="18"/>
              </w:rPr>
              <w:t>Participant screening &amp; recruitment</w:t>
            </w:r>
          </w:p>
        </w:tc>
        <w:tc>
          <w:tcPr>
            <w:tcW w:w="2548" w:type="pct"/>
          </w:tcPr>
          <w:p w14:paraId="0439C1EA" w14:textId="6BF899EF" w:rsidR="00380125" w:rsidRPr="004C78D8" w:rsidRDefault="00F84E45" w:rsidP="00FB7C1F">
            <w:pPr>
              <w:jc w:val="left"/>
              <w:rPr>
                <w:sz w:val="18"/>
                <w:szCs w:val="18"/>
              </w:rPr>
            </w:pPr>
            <w:r w:rsidRPr="004C78D8">
              <w:rPr>
                <w:sz w:val="18"/>
                <w:szCs w:val="18"/>
              </w:rPr>
              <w:t xml:space="preserve">(1) </w:t>
            </w:r>
            <w:r w:rsidR="00FB6FCE" w:rsidRPr="004C78D8">
              <w:rPr>
                <w:sz w:val="18"/>
                <w:szCs w:val="18"/>
              </w:rPr>
              <w:t>Eligibility s</w:t>
            </w:r>
            <w:r w:rsidRPr="004C78D8">
              <w:rPr>
                <w:sz w:val="18"/>
                <w:szCs w:val="18"/>
              </w:rPr>
              <w:t>creening method unclear</w:t>
            </w:r>
          </w:p>
          <w:p w14:paraId="6FAF4D1A" w14:textId="2DA66C19" w:rsidR="00F84E45" w:rsidRPr="004C78D8" w:rsidRDefault="00F84E45" w:rsidP="00FB7C1F">
            <w:pPr>
              <w:jc w:val="left"/>
              <w:rPr>
                <w:sz w:val="18"/>
                <w:szCs w:val="18"/>
              </w:rPr>
            </w:pPr>
            <w:r w:rsidRPr="004C78D8">
              <w:rPr>
                <w:sz w:val="18"/>
                <w:szCs w:val="18"/>
              </w:rPr>
              <w:t xml:space="preserve">(2) </w:t>
            </w:r>
            <w:r w:rsidR="00C60CA4" w:rsidRPr="004C78D8">
              <w:rPr>
                <w:sz w:val="18"/>
                <w:szCs w:val="18"/>
              </w:rPr>
              <w:t>Hip fracture patients approach</w:t>
            </w:r>
            <w:r w:rsidR="00A86F9B" w:rsidRPr="004C78D8">
              <w:rPr>
                <w:sz w:val="18"/>
                <w:szCs w:val="18"/>
              </w:rPr>
              <w:t>ed</w:t>
            </w:r>
            <w:r w:rsidR="00C60CA4" w:rsidRPr="004C78D8">
              <w:rPr>
                <w:sz w:val="18"/>
                <w:szCs w:val="18"/>
              </w:rPr>
              <w:t xml:space="preserve"> after surgery; consent given by </w:t>
            </w:r>
            <w:r w:rsidR="00EF6F33" w:rsidRPr="004C78D8">
              <w:rPr>
                <w:sz w:val="18"/>
                <w:szCs w:val="18"/>
              </w:rPr>
              <w:t xml:space="preserve">family member </w:t>
            </w:r>
            <w:r w:rsidR="00C60CA4" w:rsidRPr="004C78D8">
              <w:rPr>
                <w:sz w:val="18"/>
                <w:szCs w:val="18"/>
              </w:rPr>
              <w:t>if have moderate/severe cognitive impairment</w:t>
            </w:r>
          </w:p>
        </w:tc>
      </w:tr>
      <w:tr w:rsidR="00081F42" w:rsidRPr="004C78D8" w14:paraId="69E2D445" w14:textId="77777777" w:rsidTr="00E35893">
        <w:tc>
          <w:tcPr>
            <w:tcW w:w="652" w:type="pct"/>
            <w:vMerge/>
          </w:tcPr>
          <w:p w14:paraId="196867F0" w14:textId="77777777" w:rsidR="00380125" w:rsidRPr="004C78D8" w:rsidRDefault="00380125" w:rsidP="00FB7C1F">
            <w:pPr>
              <w:jc w:val="left"/>
              <w:rPr>
                <w:sz w:val="18"/>
                <w:szCs w:val="18"/>
              </w:rPr>
            </w:pPr>
          </w:p>
        </w:tc>
        <w:tc>
          <w:tcPr>
            <w:tcW w:w="1084" w:type="pct"/>
            <w:vMerge/>
          </w:tcPr>
          <w:p w14:paraId="55681450" w14:textId="77777777" w:rsidR="00380125" w:rsidRPr="004C78D8" w:rsidRDefault="00380125" w:rsidP="00FB7C1F">
            <w:pPr>
              <w:jc w:val="left"/>
              <w:rPr>
                <w:sz w:val="18"/>
                <w:szCs w:val="18"/>
              </w:rPr>
            </w:pPr>
          </w:p>
        </w:tc>
        <w:tc>
          <w:tcPr>
            <w:tcW w:w="716" w:type="pct"/>
          </w:tcPr>
          <w:p w14:paraId="14E02EC3" w14:textId="3D62E001" w:rsidR="00380125" w:rsidRPr="004C78D8" w:rsidRDefault="008C0DB6" w:rsidP="00FB7C1F">
            <w:pPr>
              <w:jc w:val="left"/>
              <w:rPr>
                <w:sz w:val="18"/>
                <w:szCs w:val="18"/>
              </w:rPr>
            </w:pPr>
            <w:r w:rsidRPr="004C78D8">
              <w:rPr>
                <w:sz w:val="18"/>
                <w:szCs w:val="18"/>
              </w:rPr>
              <w:t>Therapeutic treatment</w:t>
            </w:r>
          </w:p>
        </w:tc>
        <w:tc>
          <w:tcPr>
            <w:tcW w:w="2548" w:type="pct"/>
          </w:tcPr>
          <w:p w14:paraId="776E9F51" w14:textId="31757B5D" w:rsidR="00380125" w:rsidRPr="004C78D8" w:rsidRDefault="00715D32" w:rsidP="00FB7C1F">
            <w:pPr>
              <w:jc w:val="left"/>
              <w:rPr>
                <w:sz w:val="18"/>
                <w:szCs w:val="18"/>
              </w:rPr>
            </w:pPr>
            <w:r w:rsidRPr="004C78D8">
              <w:rPr>
                <w:sz w:val="18"/>
                <w:szCs w:val="18"/>
              </w:rPr>
              <w:t xml:space="preserve">(I) </w:t>
            </w:r>
            <w:r w:rsidR="00790F58" w:rsidRPr="004C78D8">
              <w:rPr>
                <w:sz w:val="18"/>
                <w:szCs w:val="18"/>
              </w:rPr>
              <w:t xml:space="preserve">1-hour </w:t>
            </w:r>
            <w:r w:rsidRPr="004C78D8">
              <w:rPr>
                <w:sz w:val="18"/>
                <w:szCs w:val="18"/>
              </w:rPr>
              <w:t>OT home visit</w:t>
            </w:r>
            <w:r w:rsidR="00EF6F33" w:rsidRPr="004C78D8">
              <w:rPr>
                <w:sz w:val="18"/>
                <w:szCs w:val="18"/>
              </w:rPr>
              <w:t xml:space="preserve"> with patient (and family member if cognitively impaired) 1-5 days before discharge</w:t>
            </w:r>
            <w:r w:rsidR="003262B2" w:rsidRPr="004C78D8">
              <w:rPr>
                <w:sz w:val="18"/>
                <w:szCs w:val="18"/>
                <w:vertAlign w:val="superscript"/>
              </w:rPr>
              <w:t>1</w:t>
            </w:r>
            <w:r w:rsidR="003262B2" w:rsidRPr="004C78D8">
              <w:rPr>
                <w:sz w:val="18"/>
                <w:szCs w:val="18"/>
              </w:rPr>
              <w:t xml:space="preserve"> – assessed </w:t>
            </w:r>
            <w:r w:rsidR="00011FB9" w:rsidRPr="004C78D8">
              <w:rPr>
                <w:sz w:val="18"/>
                <w:szCs w:val="18"/>
              </w:rPr>
              <w:t xml:space="preserve">home safety, </w:t>
            </w:r>
            <w:r w:rsidR="003262B2" w:rsidRPr="004C78D8">
              <w:rPr>
                <w:sz w:val="18"/>
                <w:szCs w:val="18"/>
              </w:rPr>
              <w:t>mobility, self-care</w:t>
            </w:r>
            <w:r w:rsidR="00011FB9" w:rsidRPr="004C78D8">
              <w:rPr>
                <w:sz w:val="18"/>
                <w:szCs w:val="18"/>
              </w:rPr>
              <w:t xml:space="preserve"> and </w:t>
            </w:r>
            <w:r w:rsidR="003262B2" w:rsidRPr="004C78D8">
              <w:rPr>
                <w:sz w:val="18"/>
                <w:szCs w:val="18"/>
              </w:rPr>
              <w:t>function, followed by education, advice and recommendation on home modifications</w:t>
            </w:r>
            <w:r w:rsidR="00011FB9" w:rsidRPr="004C78D8">
              <w:rPr>
                <w:sz w:val="18"/>
                <w:szCs w:val="18"/>
              </w:rPr>
              <w:t>, equipment</w:t>
            </w:r>
            <w:r w:rsidR="003262B2" w:rsidRPr="004C78D8">
              <w:rPr>
                <w:sz w:val="18"/>
                <w:szCs w:val="18"/>
              </w:rPr>
              <w:t xml:space="preserve"> and community services</w:t>
            </w:r>
            <w:r w:rsidR="001B7C6C" w:rsidRPr="004C78D8">
              <w:rPr>
                <w:sz w:val="18"/>
                <w:szCs w:val="18"/>
                <w:vertAlign w:val="superscript"/>
              </w:rPr>
              <w:t>2</w:t>
            </w:r>
            <w:r w:rsidR="003262B2" w:rsidRPr="004C78D8">
              <w:rPr>
                <w:sz w:val="18"/>
                <w:szCs w:val="18"/>
              </w:rPr>
              <w:t xml:space="preserve"> </w:t>
            </w:r>
          </w:p>
        </w:tc>
      </w:tr>
      <w:tr w:rsidR="00081F42" w:rsidRPr="004C78D8" w14:paraId="0716289F" w14:textId="77777777" w:rsidTr="00E35893">
        <w:tc>
          <w:tcPr>
            <w:tcW w:w="652" w:type="pct"/>
            <w:vMerge w:val="restart"/>
          </w:tcPr>
          <w:p w14:paraId="4DEC052D" w14:textId="29D88012" w:rsidR="008C0DB6" w:rsidRPr="004C78D8" w:rsidRDefault="00081F42" w:rsidP="00FB7C1F">
            <w:pPr>
              <w:jc w:val="left"/>
              <w:rPr>
                <w:sz w:val="18"/>
                <w:szCs w:val="18"/>
              </w:rPr>
            </w:pPr>
            <w:r w:rsidRPr="004C78D8">
              <w:rPr>
                <w:sz w:val="18"/>
                <w:szCs w:val="18"/>
              </w:rPr>
              <w:t xml:space="preserve">Nyman (2020) </w:t>
            </w:r>
            <w:r w:rsidRPr="004C78D8">
              <w:rPr>
                <w:sz w:val="18"/>
                <w:szCs w:val="18"/>
              </w:rPr>
              <w:fldChar w:fldCharType="begin"/>
            </w:r>
            <w:r w:rsidR="00C630FC" w:rsidRPr="004C78D8">
              <w:rPr>
                <w:sz w:val="18"/>
                <w:szCs w:val="18"/>
              </w:rPr>
              <w:instrText xml:space="preserve"> ADDIN EN.CITE &lt;EndNote&gt;&lt;Cite&gt;&lt;Author&gt;Nyman&lt;/Author&gt;&lt;Year&gt;2019&lt;/Year&gt;&lt;RecNum&gt;281&lt;/RecNum&gt;&lt;DisplayText&gt;[235]&lt;/DisplayText&gt;&lt;record&gt;&lt;rec-number&gt;281&lt;/rec-number&gt;&lt;foreign-keys&gt;&lt;key app="EN" db-id="tdtrdw9aepptzbefsat599syza29sxsd2wsp" timestamp="1611699160"&gt;281&lt;/key&gt;&lt;/foreign-keys&gt;&lt;ref-type name="Journal Article"&gt;17&lt;/ref-type&gt;&lt;contributors&gt;&lt;authors&gt;&lt;author&gt;Nyman, Samuel R&lt;/author&gt;&lt;author&gt;Ingram, Wendy&lt;/author&gt;&lt;author&gt;Sanders, Jeanette&lt;/author&gt;&lt;author&gt;Thomas, Peter W&lt;/author&gt;&lt;author&gt;Thomas, Sarah&lt;/author&gt;&lt;author&gt;Vassallo, Michael&lt;/author&gt;&lt;author&gt;Raftery, James&lt;/author&gt;&lt;author&gt;Bibi, Iram&lt;/author&gt;&lt;author&gt;Barrado-Martín, Yolanda&lt;/author&gt;&lt;/authors&gt;&lt;/contributors&gt;&lt;titles&gt;&lt;title&gt;Randomised controlled trial of the effect of Tai Chi on postural balance of people with dementia&lt;/title&gt;&lt;secondary-title&gt;Clinical interventions in aging&lt;/secondary-title&gt;&lt;/titles&gt;&lt;periodical&gt;&lt;full-title&gt;Clin Interv Aging&lt;/full-title&gt;&lt;abbr-1&gt;Clinical interventions in aging&lt;/abbr-1&gt;&lt;/periodical&gt;&lt;pages&gt;2017&lt;/pages&gt;&lt;volume&gt;14&lt;/volume&gt;&lt;dates&gt;&lt;year&gt;2019&lt;/year&gt;&lt;/dates&gt;&lt;urls&gt;&lt;/urls&gt;&lt;/record&gt;&lt;/Cite&gt;&lt;/EndNote&gt;</w:instrText>
            </w:r>
            <w:r w:rsidRPr="004C78D8">
              <w:rPr>
                <w:sz w:val="18"/>
                <w:szCs w:val="18"/>
              </w:rPr>
              <w:fldChar w:fldCharType="separate"/>
            </w:r>
            <w:r w:rsidR="00C630FC" w:rsidRPr="004C78D8">
              <w:rPr>
                <w:noProof/>
                <w:sz w:val="18"/>
                <w:szCs w:val="18"/>
              </w:rPr>
              <w:t>[235]</w:t>
            </w:r>
            <w:r w:rsidRPr="004C78D8">
              <w:rPr>
                <w:sz w:val="18"/>
                <w:szCs w:val="18"/>
              </w:rPr>
              <w:fldChar w:fldCharType="end"/>
            </w:r>
          </w:p>
        </w:tc>
        <w:tc>
          <w:tcPr>
            <w:tcW w:w="1084" w:type="pct"/>
            <w:vMerge w:val="restart"/>
          </w:tcPr>
          <w:p w14:paraId="728F6ECE" w14:textId="366C8078" w:rsidR="008C0DB6" w:rsidRPr="004C78D8" w:rsidRDefault="00F9645E" w:rsidP="00FB7C1F">
            <w:pPr>
              <w:jc w:val="left"/>
              <w:rPr>
                <w:sz w:val="18"/>
                <w:szCs w:val="18"/>
              </w:rPr>
            </w:pPr>
            <w:r w:rsidRPr="004C78D8">
              <w:rPr>
                <w:sz w:val="18"/>
                <w:szCs w:val="18"/>
              </w:rPr>
              <w:t>G</w:t>
            </w:r>
            <w:r w:rsidR="008C0DB6" w:rsidRPr="004C78D8">
              <w:rPr>
                <w:sz w:val="18"/>
                <w:szCs w:val="18"/>
              </w:rPr>
              <w:t>roup</w:t>
            </w:r>
            <w:r w:rsidR="00C8468A" w:rsidRPr="004C78D8">
              <w:rPr>
                <w:sz w:val="18"/>
                <w:szCs w:val="18"/>
              </w:rPr>
              <w:t>-</w:t>
            </w:r>
            <w:r w:rsidR="008C0DB6" w:rsidRPr="004C78D8">
              <w:rPr>
                <w:sz w:val="18"/>
                <w:szCs w:val="18"/>
              </w:rPr>
              <w:t xml:space="preserve"> and home</w:t>
            </w:r>
            <w:r w:rsidR="00C8468A" w:rsidRPr="004C78D8">
              <w:rPr>
                <w:sz w:val="18"/>
                <w:szCs w:val="18"/>
              </w:rPr>
              <w:t>-based</w:t>
            </w:r>
            <w:r w:rsidR="008C0DB6" w:rsidRPr="004C78D8">
              <w:rPr>
                <w:sz w:val="18"/>
                <w:szCs w:val="18"/>
              </w:rPr>
              <w:t xml:space="preserve"> Tai Chi for </w:t>
            </w:r>
            <w:r w:rsidR="00EE7CC1" w:rsidRPr="004C78D8">
              <w:rPr>
                <w:sz w:val="18"/>
                <w:szCs w:val="18"/>
              </w:rPr>
              <w:t>dementia patients</w:t>
            </w:r>
            <w:r w:rsidRPr="004C78D8">
              <w:rPr>
                <w:sz w:val="18"/>
                <w:szCs w:val="18"/>
              </w:rPr>
              <w:t xml:space="preserve"> (proactive and self-referred pathways)</w:t>
            </w:r>
          </w:p>
        </w:tc>
        <w:tc>
          <w:tcPr>
            <w:tcW w:w="716" w:type="pct"/>
          </w:tcPr>
          <w:p w14:paraId="039ABE6A" w14:textId="7701E2E0" w:rsidR="008C0DB6" w:rsidRPr="004C78D8" w:rsidRDefault="008C0DB6" w:rsidP="00FB7C1F">
            <w:pPr>
              <w:jc w:val="left"/>
              <w:rPr>
                <w:sz w:val="18"/>
                <w:szCs w:val="18"/>
              </w:rPr>
            </w:pPr>
            <w:r w:rsidRPr="004C78D8">
              <w:rPr>
                <w:sz w:val="18"/>
                <w:szCs w:val="18"/>
              </w:rPr>
              <w:t>Participant screening &amp; recruitment</w:t>
            </w:r>
          </w:p>
        </w:tc>
        <w:tc>
          <w:tcPr>
            <w:tcW w:w="2548" w:type="pct"/>
          </w:tcPr>
          <w:p w14:paraId="0D432475" w14:textId="07665B5A" w:rsidR="008C0DB6" w:rsidRPr="004C78D8" w:rsidRDefault="00635446" w:rsidP="00FB7C1F">
            <w:pPr>
              <w:jc w:val="left"/>
              <w:rPr>
                <w:sz w:val="18"/>
                <w:szCs w:val="18"/>
              </w:rPr>
            </w:pPr>
            <w:r w:rsidRPr="004C78D8">
              <w:rPr>
                <w:sz w:val="18"/>
                <w:szCs w:val="18"/>
              </w:rPr>
              <w:t>(1) Potential participants identified from: NHS research/clinic databases; memory services; local charities</w:t>
            </w:r>
            <w:r w:rsidR="00B44E8E" w:rsidRPr="004C78D8">
              <w:rPr>
                <w:sz w:val="18"/>
                <w:szCs w:val="18"/>
              </w:rPr>
              <w:t>; self-referrals</w:t>
            </w:r>
          </w:p>
          <w:p w14:paraId="7CCB4670" w14:textId="65F46B04" w:rsidR="00155271" w:rsidRPr="004C78D8" w:rsidRDefault="00155271" w:rsidP="00FB7C1F">
            <w:pPr>
              <w:jc w:val="left"/>
              <w:rPr>
                <w:sz w:val="18"/>
                <w:szCs w:val="18"/>
              </w:rPr>
            </w:pPr>
            <w:r w:rsidRPr="004C78D8">
              <w:rPr>
                <w:sz w:val="18"/>
                <w:szCs w:val="18"/>
              </w:rPr>
              <w:t xml:space="preserve">(2) Eligibility confirmed and consent obtained from participant and caregiver at home visit by researcher </w:t>
            </w:r>
          </w:p>
          <w:p w14:paraId="6287996F" w14:textId="41356D6C" w:rsidR="00B44E8E" w:rsidRPr="004C78D8" w:rsidRDefault="00B44E8E" w:rsidP="00FB7C1F">
            <w:pPr>
              <w:jc w:val="left"/>
              <w:rPr>
                <w:sz w:val="18"/>
                <w:szCs w:val="18"/>
              </w:rPr>
            </w:pPr>
            <w:r w:rsidRPr="004C78D8">
              <w:rPr>
                <w:sz w:val="18"/>
                <w:szCs w:val="18"/>
              </w:rPr>
              <w:t>(</w:t>
            </w:r>
            <w:r w:rsidR="00155271" w:rsidRPr="004C78D8">
              <w:rPr>
                <w:sz w:val="18"/>
                <w:szCs w:val="18"/>
              </w:rPr>
              <w:t>3</w:t>
            </w:r>
            <w:r w:rsidRPr="004C78D8">
              <w:rPr>
                <w:sz w:val="18"/>
                <w:szCs w:val="18"/>
              </w:rPr>
              <w:t>) Reimbursed travel cost for intervention</w:t>
            </w:r>
          </w:p>
        </w:tc>
      </w:tr>
      <w:tr w:rsidR="00081F42" w:rsidRPr="004C78D8" w14:paraId="3011A9C6" w14:textId="77777777" w:rsidTr="00E35893">
        <w:tc>
          <w:tcPr>
            <w:tcW w:w="652" w:type="pct"/>
            <w:vMerge/>
          </w:tcPr>
          <w:p w14:paraId="583452E9" w14:textId="77777777" w:rsidR="008C0DB6" w:rsidRPr="004C78D8" w:rsidRDefault="008C0DB6" w:rsidP="00FB7C1F">
            <w:pPr>
              <w:jc w:val="left"/>
              <w:rPr>
                <w:sz w:val="18"/>
                <w:szCs w:val="18"/>
              </w:rPr>
            </w:pPr>
          </w:p>
        </w:tc>
        <w:tc>
          <w:tcPr>
            <w:tcW w:w="1084" w:type="pct"/>
            <w:vMerge/>
          </w:tcPr>
          <w:p w14:paraId="6A5DA842" w14:textId="77777777" w:rsidR="008C0DB6" w:rsidRPr="004C78D8" w:rsidRDefault="008C0DB6" w:rsidP="00FB7C1F">
            <w:pPr>
              <w:jc w:val="left"/>
              <w:rPr>
                <w:sz w:val="18"/>
                <w:szCs w:val="18"/>
              </w:rPr>
            </w:pPr>
          </w:p>
        </w:tc>
        <w:tc>
          <w:tcPr>
            <w:tcW w:w="716" w:type="pct"/>
          </w:tcPr>
          <w:p w14:paraId="260CD03C" w14:textId="1E69A2D0" w:rsidR="008C0DB6" w:rsidRPr="004C78D8" w:rsidRDefault="008C0DB6" w:rsidP="00FB7C1F">
            <w:pPr>
              <w:jc w:val="left"/>
              <w:rPr>
                <w:sz w:val="18"/>
                <w:szCs w:val="18"/>
              </w:rPr>
            </w:pPr>
            <w:r w:rsidRPr="004C78D8">
              <w:rPr>
                <w:sz w:val="18"/>
                <w:szCs w:val="18"/>
              </w:rPr>
              <w:t>Therapeutic treatment</w:t>
            </w:r>
          </w:p>
        </w:tc>
        <w:tc>
          <w:tcPr>
            <w:tcW w:w="2548" w:type="pct"/>
          </w:tcPr>
          <w:p w14:paraId="6184D1BA" w14:textId="77777777" w:rsidR="000B16A4" w:rsidRPr="004C78D8" w:rsidRDefault="00473F44" w:rsidP="00FB7C1F">
            <w:pPr>
              <w:jc w:val="left"/>
              <w:rPr>
                <w:sz w:val="18"/>
                <w:szCs w:val="18"/>
              </w:rPr>
            </w:pPr>
            <w:r w:rsidRPr="004C78D8">
              <w:rPr>
                <w:sz w:val="18"/>
                <w:szCs w:val="18"/>
              </w:rPr>
              <w:t xml:space="preserve">(I) </w:t>
            </w:r>
            <w:r w:rsidR="000B16A4" w:rsidRPr="004C78D8">
              <w:rPr>
                <w:sz w:val="18"/>
                <w:szCs w:val="18"/>
              </w:rPr>
              <w:t>Group Tai Chi: 90-minute (45-minute exercise and 45-minute informal discussion) weekly Tai Chi class (10 patient-caregiver dyads) for 20 weeks – delivered by qualified lead/assistant Tai Chi instructor; individually-tailored and progressing in difficulty</w:t>
            </w:r>
          </w:p>
          <w:p w14:paraId="010331FA" w14:textId="690A1E13" w:rsidR="005907A4" w:rsidRPr="004C78D8" w:rsidRDefault="000B16A4" w:rsidP="00FB7C1F">
            <w:pPr>
              <w:jc w:val="left"/>
              <w:rPr>
                <w:sz w:val="18"/>
                <w:szCs w:val="18"/>
              </w:rPr>
            </w:pPr>
            <w:r w:rsidRPr="004C78D8">
              <w:rPr>
                <w:sz w:val="18"/>
                <w:szCs w:val="18"/>
              </w:rPr>
              <w:t xml:space="preserve">(II) Home-based Tai Chi: </w:t>
            </w:r>
            <w:r w:rsidR="00AB21F0" w:rsidRPr="004C78D8">
              <w:rPr>
                <w:sz w:val="18"/>
                <w:szCs w:val="18"/>
              </w:rPr>
              <w:t xml:space="preserve">20-minute </w:t>
            </w:r>
            <w:r w:rsidR="005907A4" w:rsidRPr="004C78D8">
              <w:rPr>
                <w:sz w:val="18"/>
                <w:szCs w:val="18"/>
              </w:rPr>
              <w:t xml:space="preserve">daily </w:t>
            </w:r>
            <w:r w:rsidR="00AB21F0" w:rsidRPr="004C78D8">
              <w:rPr>
                <w:sz w:val="18"/>
                <w:szCs w:val="18"/>
              </w:rPr>
              <w:t>Tai Chi</w:t>
            </w:r>
            <w:r w:rsidR="005907A4" w:rsidRPr="004C78D8">
              <w:rPr>
                <w:sz w:val="18"/>
                <w:szCs w:val="18"/>
              </w:rPr>
              <w:t xml:space="preserve"> for 20 weeks – instructed by Tai Chi instructor and</w:t>
            </w:r>
            <w:r w:rsidR="00AB21F0" w:rsidRPr="004C78D8">
              <w:rPr>
                <w:sz w:val="18"/>
                <w:szCs w:val="18"/>
              </w:rPr>
              <w:t xml:space="preserve"> </w:t>
            </w:r>
            <w:r w:rsidR="00DC7095" w:rsidRPr="004C78D8">
              <w:rPr>
                <w:sz w:val="18"/>
                <w:szCs w:val="18"/>
              </w:rPr>
              <w:t>supervised</w:t>
            </w:r>
            <w:r w:rsidR="00AB21F0" w:rsidRPr="004C78D8">
              <w:rPr>
                <w:sz w:val="18"/>
                <w:szCs w:val="18"/>
              </w:rPr>
              <w:t xml:space="preserve"> by caregiver</w:t>
            </w:r>
          </w:p>
          <w:p w14:paraId="605AA193" w14:textId="77777777" w:rsidR="005907A4" w:rsidRPr="004C78D8" w:rsidRDefault="005907A4" w:rsidP="00FB7C1F">
            <w:pPr>
              <w:jc w:val="left"/>
              <w:rPr>
                <w:sz w:val="18"/>
                <w:szCs w:val="18"/>
              </w:rPr>
            </w:pPr>
            <w:r w:rsidRPr="004C78D8">
              <w:rPr>
                <w:sz w:val="18"/>
                <w:szCs w:val="18"/>
              </w:rPr>
              <w:t>(III) B</w:t>
            </w:r>
            <w:r w:rsidR="00AB21F0" w:rsidRPr="004C78D8">
              <w:rPr>
                <w:sz w:val="18"/>
                <w:szCs w:val="18"/>
              </w:rPr>
              <w:t>ehavioural change techniques</w:t>
            </w:r>
            <w:r w:rsidRPr="004C78D8">
              <w:rPr>
                <w:sz w:val="18"/>
                <w:szCs w:val="18"/>
              </w:rPr>
              <w:t>:</w:t>
            </w:r>
            <w:r w:rsidR="00AB21F0" w:rsidRPr="004C78D8">
              <w:rPr>
                <w:sz w:val="18"/>
                <w:szCs w:val="18"/>
              </w:rPr>
              <w:t xml:space="preserve"> e.g., solutions to personal barriers, self-monitoring, peer support</w:t>
            </w:r>
          </w:p>
          <w:p w14:paraId="549D429F" w14:textId="4F3F696A" w:rsidR="008C0DB6" w:rsidRPr="004C78D8" w:rsidRDefault="005907A4" w:rsidP="00FB7C1F">
            <w:pPr>
              <w:jc w:val="left"/>
              <w:rPr>
                <w:sz w:val="18"/>
                <w:szCs w:val="18"/>
              </w:rPr>
            </w:pPr>
            <w:r w:rsidRPr="004C78D8">
              <w:rPr>
                <w:sz w:val="18"/>
                <w:szCs w:val="18"/>
              </w:rPr>
              <w:t xml:space="preserve">(Note) Programme </w:t>
            </w:r>
            <w:r w:rsidR="006872C6" w:rsidRPr="004C78D8">
              <w:rPr>
                <w:sz w:val="18"/>
                <w:szCs w:val="18"/>
              </w:rPr>
              <w:t>designed to accumulate 50 hours of exercise over 20 weeks</w:t>
            </w:r>
            <w:r w:rsidR="001E0C77" w:rsidRPr="004C78D8">
              <w:rPr>
                <w:sz w:val="18"/>
                <w:szCs w:val="18"/>
              </w:rPr>
              <w:t>; the mean number of hours spent in exercise was 25</w:t>
            </w:r>
          </w:p>
        </w:tc>
      </w:tr>
      <w:tr w:rsidR="00081F42" w:rsidRPr="004C78D8" w14:paraId="23F18F34" w14:textId="77777777" w:rsidTr="00E35893">
        <w:tc>
          <w:tcPr>
            <w:tcW w:w="652" w:type="pct"/>
            <w:vMerge w:val="restart"/>
          </w:tcPr>
          <w:p w14:paraId="36D6911A" w14:textId="4A434C1E" w:rsidR="008C0DB6" w:rsidRPr="004C78D8" w:rsidRDefault="00081F42" w:rsidP="00FB7C1F">
            <w:pPr>
              <w:jc w:val="left"/>
              <w:rPr>
                <w:sz w:val="18"/>
                <w:szCs w:val="18"/>
              </w:rPr>
            </w:pPr>
            <w:r w:rsidRPr="004C78D8">
              <w:rPr>
                <w:sz w:val="18"/>
                <w:szCs w:val="18"/>
              </w:rPr>
              <w:t xml:space="preserve">Iliffe (2014) </w:t>
            </w:r>
            <w:r w:rsidRPr="004C78D8">
              <w:rPr>
                <w:sz w:val="18"/>
                <w:szCs w:val="18"/>
              </w:rPr>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rPr>
                <w:sz w:val="18"/>
                <w:szCs w:val="18"/>
              </w:rPr>
              <w:instrText xml:space="preserve"> ADDIN EN.CITE </w:instrText>
            </w:r>
            <w:r w:rsidR="00513646" w:rsidRPr="004C78D8">
              <w:rPr>
                <w:sz w:val="18"/>
                <w:szCs w:val="18"/>
              </w:rPr>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rPr>
                <w:sz w:val="18"/>
                <w:szCs w:val="18"/>
              </w:rPr>
              <w:instrText xml:space="preserve"> ADDIN EN.CITE.DATA </w:instrText>
            </w:r>
            <w:r w:rsidR="00513646" w:rsidRPr="004C78D8">
              <w:rPr>
                <w:sz w:val="18"/>
                <w:szCs w:val="18"/>
              </w:rPr>
            </w:r>
            <w:r w:rsidR="00513646" w:rsidRPr="004C78D8">
              <w:rPr>
                <w:sz w:val="18"/>
                <w:szCs w:val="18"/>
              </w:rPr>
              <w:fldChar w:fldCharType="end"/>
            </w:r>
            <w:r w:rsidRPr="004C78D8">
              <w:rPr>
                <w:sz w:val="18"/>
                <w:szCs w:val="18"/>
              </w:rPr>
            </w:r>
            <w:r w:rsidRPr="004C78D8">
              <w:rPr>
                <w:sz w:val="18"/>
                <w:szCs w:val="18"/>
              </w:rPr>
              <w:fldChar w:fldCharType="separate"/>
            </w:r>
            <w:r w:rsidR="00513646" w:rsidRPr="004C78D8">
              <w:rPr>
                <w:noProof/>
                <w:sz w:val="18"/>
                <w:szCs w:val="18"/>
              </w:rPr>
              <w:t>[135]</w:t>
            </w:r>
            <w:r w:rsidRPr="004C78D8">
              <w:rPr>
                <w:sz w:val="18"/>
                <w:szCs w:val="18"/>
              </w:rPr>
              <w:fldChar w:fldCharType="end"/>
            </w:r>
          </w:p>
        </w:tc>
        <w:tc>
          <w:tcPr>
            <w:tcW w:w="1084" w:type="pct"/>
            <w:vMerge w:val="restart"/>
          </w:tcPr>
          <w:p w14:paraId="60896B9C" w14:textId="6BAF79A2" w:rsidR="008C0DB6" w:rsidRPr="004C78D8" w:rsidRDefault="008C0DB6" w:rsidP="00FB7C1F">
            <w:pPr>
              <w:jc w:val="left"/>
              <w:rPr>
                <w:sz w:val="18"/>
                <w:szCs w:val="18"/>
              </w:rPr>
            </w:pPr>
            <w:r w:rsidRPr="004C78D8">
              <w:rPr>
                <w:sz w:val="18"/>
                <w:szCs w:val="18"/>
              </w:rPr>
              <w:t>Group</w:t>
            </w:r>
            <w:r w:rsidR="00C8468A" w:rsidRPr="004C78D8">
              <w:rPr>
                <w:sz w:val="18"/>
                <w:szCs w:val="18"/>
              </w:rPr>
              <w:t>-based FaME</w:t>
            </w:r>
            <w:r w:rsidRPr="004C78D8">
              <w:rPr>
                <w:sz w:val="18"/>
                <w:szCs w:val="18"/>
              </w:rPr>
              <w:t xml:space="preserve"> and home</w:t>
            </w:r>
            <w:r w:rsidR="00C8468A" w:rsidRPr="004C78D8">
              <w:rPr>
                <w:sz w:val="18"/>
                <w:szCs w:val="18"/>
              </w:rPr>
              <w:t>-based</w:t>
            </w:r>
            <w:r w:rsidRPr="004C78D8">
              <w:rPr>
                <w:sz w:val="18"/>
                <w:szCs w:val="18"/>
              </w:rPr>
              <w:t xml:space="preserve"> Otago exercises for cognitively intact persons at general falls risk</w:t>
            </w:r>
            <w:r w:rsidR="00F9645E" w:rsidRPr="004C78D8">
              <w:rPr>
                <w:sz w:val="18"/>
                <w:szCs w:val="18"/>
              </w:rPr>
              <w:t xml:space="preserve"> (self-referred pathway)</w:t>
            </w:r>
          </w:p>
        </w:tc>
        <w:tc>
          <w:tcPr>
            <w:tcW w:w="716" w:type="pct"/>
          </w:tcPr>
          <w:p w14:paraId="12F21F5C" w14:textId="484D97B4" w:rsidR="008C0DB6" w:rsidRPr="004C78D8" w:rsidRDefault="008C0DB6" w:rsidP="00FB7C1F">
            <w:pPr>
              <w:jc w:val="left"/>
              <w:rPr>
                <w:sz w:val="18"/>
                <w:szCs w:val="18"/>
              </w:rPr>
            </w:pPr>
            <w:r w:rsidRPr="004C78D8">
              <w:rPr>
                <w:sz w:val="18"/>
                <w:szCs w:val="18"/>
              </w:rPr>
              <w:t>Participant screening &amp; recruitment</w:t>
            </w:r>
          </w:p>
        </w:tc>
        <w:tc>
          <w:tcPr>
            <w:tcW w:w="2548" w:type="pct"/>
          </w:tcPr>
          <w:p w14:paraId="6DA9BE2C" w14:textId="6673697E" w:rsidR="008C0DB6" w:rsidRPr="004C78D8" w:rsidRDefault="00D36E4D" w:rsidP="00FB7C1F">
            <w:pPr>
              <w:jc w:val="left"/>
              <w:rPr>
                <w:sz w:val="18"/>
                <w:szCs w:val="18"/>
              </w:rPr>
            </w:pPr>
            <w:r w:rsidRPr="004C78D8">
              <w:rPr>
                <w:sz w:val="18"/>
                <w:szCs w:val="18"/>
              </w:rPr>
              <w:t xml:space="preserve">(1) GP practices with suitable venues for exercise classes created a list of potentially eligible </w:t>
            </w:r>
            <w:r w:rsidR="00FC3C3B" w:rsidRPr="004C78D8">
              <w:rPr>
                <w:sz w:val="18"/>
                <w:szCs w:val="18"/>
              </w:rPr>
              <w:t>older</w:t>
            </w:r>
            <w:r w:rsidR="00242B71" w:rsidRPr="004C78D8">
              <w:rPr>
                <w:sz w:val="18"/>
                <w:szCs w:val="18"/>
              </w:rPr>
              <w:t xml:space="preserve"> </w:t>
            </w:r>
            <w:r w:rsidRPr="004C78D8">
              <w:rPr>
                <w:sz w:val="18"/>
                <w:szCs w:val="18"/>
              </w:rPr>
              <w:t>persons; random number generator selected 600 persons per GP practice; invitation letters were sent</w:t>
            </w:r>
          </w:p>
        </w:tc>
      </w:tr>
      <w:tr w:rsidR="00081F42" w:rsidRPr="004C78D8" w14:paraId="6347A487" w14:textId="77777777" w:rsidTr="00E35893">
        <w:tc>
          <w:tcPr>
            <w:tcW w:w="652" w:type="pct"/>
            <w:vMerge/>
          </w:tcPr>
          <w:p w14:paraId="0D0ACADD" w14:textId="77777777" w:rsidR="008C0DB6" w:rsidRPr="004C78D8" w:rsidRDefault="008C0DB6" w:rsidP="00FB7C1F">
            <w:pPr>
              <w:jc w:val="left"/>
              <w:rPr>
                <w:sz w:val="18"/>
                <w:szCs w:val="18"/>
              </w:rPr>
            </w:pPr>
          </w:p>
        </w:tc>
        <w:tc>
          <w:tcPr>
            <w:tcW w:w="1084" w:type="pct"/>
            <w:vMerge/>
          </w:tcPr>
          <w:p w14:paraId="72154AC3" w14:textId="77777777" w:rsidR="008C0DB6" w:rsidRPr="004C78D8" w:rsidRDefault="008C0DB6" w:rsidP="00FB7C1F">
            <w:pPr>
              <w:jc w:val="left"/>
              <w:rPr>
                <w:sz w:val="18"/>
                <w:szCs w:val="18"/>
              </w:rPr>
            </w:pPr>
          </w:p>
        </w:tc>
        <w:tc>
          <w:tcPr>
            <w:tcW w:w="716" w:type="pct"/>
          </w:tcPr>
          <w:p w14:paraId="35E209CF" w14:textId="63C1BD70" w:rsidR="008C0DB6" w:rsidRPr="004C78D8" w:rsidRDefault="008C0DB6" w:rsidP="00FB7C1F">
            <w:pPr>
              <w:jc w:val="left"/>
              <w:rPr>
                <w:sz w:val="18"/>
                <w:szCs w:val="18"/>
              </w:rPr>
            </w:pPr>
            <w:r w:rsidRPr="004C78D8">
              <w:rPr>
                <w:sz w:val="18"/>
                <w:szCs w:val="18"/>
              </w:rPr>
              <w:t>Therapeutic treatment</w:t>
            </w:r>
          </w:p>
        </w:tc>
        <w:tc>
          <w:tcPr>
            <w:tcW w:w="2548" w:type="pct"/>
          </w:tcPr>
          <w:p w14:paraId="2EBF7452" w14:textId="2ADD7AD5" w:rsidR="00205F94" w:rsidRPr="004C78D8" w:rsidRDefault="00242B71" w:rsidP="00FB7C1F">
            <w:pPr>
              <w:jc w:val="left"/>
              <w:rPr>
                <w:sz w:val="18"/>
                <w:szCs w:val="18"/>
              </w:rPr>
            </w:pPr>
            <w:r w:rsidRPr="004C78D8">
              <w:rPr>
                <w:sz w:val="18"/>
                <w:szCs w:val="18"/>
              </w:rPr>
              <w:t>(I) FaME</w:t>
            </w:r>
            <w:r w:rsidR="00205F94" w:rsidRPr="004C78D8">
              <w:rPr>
                <w:sz w:val="18"/>
                <w:szCs w:val="18"/>
              </w:rPr>
              <w:t xml:space="preserve">: </w:t>
            </w:r>
            <w:r w:rsidRPr="004C78D8">
              <w:rPr>
                <w:sz w:val="18"/>
                <w:szCs w:val="18"/>
              </w:rPr>
              <w:t xml:space="preserve">1-hour weekly group class (up to 15 participants per class) </w:t>
            </w:r>
            <w:r w:rsidR="00205F94" w:rsidRPr="004C78D8">
              <w:rPr>
                <w:sz w:val="18"/>
                <w:szCs w:val="18"/>
              </w:rPr>
              <w:t xml:space="preserve">for 24 weeks – </w:t>
            </w:r>
            <w:r w:rsidRPr="004C78D8">
              <w:rPr>
                <w:sz w:val="18"/>
                <w:szCs w:val="18"/>
              </w:rPr>
              <w:t xml:space="preserve">delivered by PSI </w:t>
            </w:r>
            <w:r w:rsidR="000B16A4" w:rsidRPr="004C78D8">
              <w:rPr>
                <w:sz w:val="18"/>
                <w:szCs w:val="18"/>
              </w:rPr>
              <w:t>at local venues</w:t>
            </w:r>
            <w:r w:rsidR="00AB62EB" w:rsidRPr="004C78D8">
              <w:rPr>
                <w:sz w:val="18"/>
                <w:szCs w:val="18"/>
              </w:rPr>
              <w:t>; individually-tailored and</w:t>
            </w:r>
            <w:r w:rsidR="00205F94" w:rsidRPr="004C78D8">
              <w:rPr>
                <w:sz w:val="18"/>
                <w:szCs w:val="18"/>
              </w:rPr>
              <w:t xml:space="preserve"> progress</w:t>
            </w:r>
            <w:r w:rsidR="000B16A4" w:rsidRPr="004C78D8">
              <w:rPr>
                <w:sz w:val="18"/>
                <w:szCs w:val="18"/>
              </w:rPr>
              <w:t>ing</w:t>
            </w:r>
            <w:r w:rsidR="00205F94" w:rsidRPr="004C78D8">
              <w:rPr>
                <w:sz w:val="18"/>
                <w:szCs w:val="18"/>
              </w:rPr>
              <w:t xml:space="preserve"> in difficulty</w:t>
            </w:r>
          </w:p>
          <w:p w14:paraId="22186A41" w14:textId="77777777" w:rsidR="006872C6" w:rsidRPr="004C78D8" w:rsidRDefault="00205F94" w:rsidP="00FB7C1F">
            <w:pPr>
              <w:jc w:val="left"/>
              <w:rPr>
                <w:sz w:val="18"/>
                <w:szCs w:val="18"/>
              </w:rPr>
            </w:pPr>
            <w:r w:rsidRPr="004C78D8">
              <w:rPr>
                <w:sz w:val="18"/>
                <w:szCs w:val="18"/>
              </w:rPr>
              <w:t xml:space="preserve">(II) Otago </w:t>
            </w:r>
            <w:r w:rsidR="00242B71" w:rsidRPr="004C78D8">
              <w:rPr>
                <w:sz w:val="18"/>
                <w:szCs w:val="18"/>
              </w:rPr>
              <w:t>home exercise</w:t>
            </w:r>
            <w:r w:rsidRPr="004C78D8">
              <w:rPr>
                <w:sz w:val="18"/>
                <w:szCs w:val="18"/>
              </w:rPr>
              <w:t>: 30-minute exercise 2 times per week</w:t>
            </w:r>
            <w:r w:rsidR="00242B71" w:rsidRPr="004C78D8">
              <w:rPr>
                <w:sz w:val="18"/>
                <w:szCs w:val="18"/>
              </w:rPr>
              <w:t xml:space="preserve"> for 24 weeks</w:t>
            </w:r>
            <w:r w:rsidR="006872C6" w:rsidRPr="004C78D8">
              <w:rPr>
                <w:sz w:val="18"/>
                <w:szCs w:val="18"/>
              </w:rPr>
              <w:t xml:space="preserve"> using instruction booklets</w:t>
            </w:r>
          </w:p>
          <w:p w14:paraId="33DB1312" w14:textId="77777777" w:rsidR="008C0DB6" w:rsidRPr="004C78D8" w:rsidRDefault="006872C6" w:rsidP="00FB7C1F">
            <w:pPr>
              <w:jc w:val="left"/>
              <w:rPr>
                <w:sz w:val="18"/>
                <w:szCs w:val="18"/>
              </w:rPr>
            </w:pPr>
            <w:r w:rsidRPr="004C78D8">
              <w:rPr>
                <w:sz w:val="18"/>
                <w:szCs w:val="18"/>
              </w:rPr>
              <w:t>(III)</w:t>
            </w:r>
            <w:r w:rsidR="00242B71" w:rsidRPr="004C78D8">
              <w:rPr>
                <w:sz w:val="18"/>
                <w:szCs w:val="18"/>
              </w:rPr>
              <w:t xml:space="preserve"> </w:t>
            </w:r>
            <w:r w:rsidRPr="004C78D8">
              <w:rPr>
                <w:sz w:val="18"/>
                <w:szCs w:val="18"/>
              </w:rPr>
              <w:t>W</w:t>
            </w:r>
            <w:r w:rsidR="00242B71" w:rsidRPr="004C78D8">
              <w:rPr>
                <w:sz w:val="18"/>
                <w:szCs w:val="18"/>
              </w:rPr>
              <w:t>alking</w:t>
            </w:r>
            <w:r w:rsidRPr="004C78D8">
              <w:rPr>
                <w:sz w:val="18"/>
                <w:szCs w:val="18"/>
              </w:rPr>
              <w:t>: 30 minutes at moderate pace 2+ times per week for 24 weeks</w:t>
            </w:r>
          </w:p>
          <w:p w14:paraId="3B9F247D" w14:textId="41D9BFB0" w:rsidR="006872C6" w:rsidRPr="004C78D8" w:rsidRDefault="00AB62EB" w:rsidP="00FB7C1F">
            <w:pPr>
              <w:jc w:val="left"/>
              <w:rPr>
                <w:sz w:val="18"/>
                <w:szCs w:val="18"/>
              </w:rPr>
            </w:pPr>
            <w:r w:rsidRPr="004C78D8">
              <w:rPr>
                <w:sz w:val="18"/>
                <w:szCs w:val="18"/>
              </w:rPr>
              <w:t>(Note)</w:t>
            </w:r>
            <w:r w:rsidR="00E50385" w:rsidRPr="004C78D8">
              <w:rPr>
                <w:sz w:val="18"/>
                <w:szCs w:val="18"/>
              </w:rPr>
              <w:t xml:space="preserve"> 72 hours of exercise </w:t>
            </w:r>
            <w:r w:rsidR="000719E4" w:rsidRPr="004C78D8">
              <w:rPr>
                <w:sz w:val="18"/>
                <w:szCs w:val="18"/>
              </w:rPr>
              <w:t xml:space="preserve">including walking </w:t>
            </w:r>
            <w:r w:rsidR="00E50385" w:rsidRPr="004C78D8">
              <w:rPr>
                <w:sz w:val="18"/>
                <w:szCs w:val="18"/>
              </w:rPr>
              <w:t>over 24 weeks</w:t>
            </w:r>
            <w:r w:rsidR="001E0C77" w:rsidRPr="004C78D8">
              <w:rPr>
                <w:sz w:val="18"/>
                <w:szCs w:val="18"/>
              </w:rPr>
              <w:t>; 17% completed 75% of FaME and Otago exercise hours</w:t>
            </w:r>
          </w:p>
        </w:tc>
      </w:tr>
      <w:tr w:rsidR="00081F42" w:rsidRPr="004C78D8" w14:paraId="66CC86E2" w14:textId="77777777" w:rsidTr="00E35893">
        <w:tc>
          <w:tcPr>
            <w:tcW w:w="652" w:type="pct"/>
            <w:vMerge w:val="restart"/>
          </w:tcPr>
          <w:p w14:paraId="2BED8E41" w14:textId="3B7B58CE" w:rsidR="00C8468A" w:rsidRPr="004C78D8" w:rsidRDefault="00081F42" w:rsidP="00FB7C1F">
            <w:pPr>
              <w:jc w:val="left"/>
              <w:rPr>
                <w:sz w:val="18"/>
                <w:szCs w:val="18"/>
              </w:rPr>
            </w:pPr>
            <w:r w:rsidRPr="004C78D8">
              <w:rPr>
                <w:sz w:val="18"/>
                <w:szCs w:val="18"/>
              </w:rPr>
              <w:t xml:space="preserve">Skelton (2005) </w:t>
            </w:r>
            <w:r w:rsidRPr="004C78D8">
              <w:rPr>
                <w:sz w:val="18"/>
                <w:szCs w:val="18"/>
              </w:rPr>
              <w:fldChar w:fldCharType="begin"/>
            </w:r>
            <w:r w:rsidR="00513646" w:rsidRPr="004C78D8">
              <w:rPr>
                <w:sz w:val="18"/>
                <w:szCs w:val="18"/>
              </w:rPr>
              <w:instrText xml:space="preserve"> ADDIN EN.CITE &lt;EndNote&gt;&lt;Cite&gt;&lt;Author&gt;Skelton&lt;/Author&gt;&lt;Year&gt;2005&lt;/Year&gt;&lt;RecNum&gt;481&lt;/RecNum&gt;&lt;DisplayText&gt;[136]&lt;/DisplayText&gt;&lt;record&gt;&lt;rec-number&gt;481&lt;/rec-number&gt;&lt;foreign-keys&gt;&lt;key app="EN" db-id="tdtrdw9aepptzbefsat599syza29sxsd2wsp" timestamp="1616578116"&gt;481&lt;/key&gt;&lt;/foreign-keys&gt;&lt;ref-type name="Journal Article"&gt;17&lt;/ref-type&gt;&lt;contributors&gt;&lt;authors&gt;&lt;author&gt;Skelton, Dawn&lt;/author&gt;&lt;author&gt;Dinan, Susie&lt;/author&gt;&lt;author&gt;Campbell, Malcolm&lt;/author&gt;&lt;author&gt;Rutherford, Olga&lt;/author&gt;&lt;/authors&gt;&lt;/contributors&gt;&lt;titles&gt;&lt;title&gt;Tailored group exercise (Falls Management Exercise—FaME) reduces falls in community-dwelling older frequent fallers (an RCT)&lt;/title&gt;&lt;secondary-title&gt;Age and ageing&lt;/secondary-title&gt;&lt;/titles&gt;&lt;periodical&gt;&lt;full-title&gt;Age and ageing&lt;/full-title&gt;&lt;/periodical&gt;&lt;pages&gt;636-639&lt;/pages&gt;&lt;volume&gt;34&lt;/volume&gt;&lt;number&gt;6&lt;/number&gt;&lt;dates&gt;&lt;year&gt;2005&lt;/year&gt;&lt;/dates&gt;&lt;isbn&gt;1468-2834&lt;/isbn&gt;&lt;urls&gt;&lt;/urls&gt;&lt;/record&gt;&lt;/Cite&gt;&lt;/EndNote&gt;</w:instrText>
            </w:r>
            <w:r w:rsidRPr="004C78D8">
              <w:rPr>
                <w:sz w:val="18"/>
                <w:szCs w:val="18"/>
              </w:rPr>
              <w:fldChar w:fldCharType="separate"/>
            </w:r>
            <w:r w:rsidR="00513646" w:rsidRPr="004C78D8">
              <w:rPr>
                <w:noProof/>
                <w:sz w:val="18"/>
                <w:szCs w:val="18"/>
              </w:rPr>
              <w:t>[136]</w:t>
            </w:r>
            <w:r w:rsidRPr="004C78D8">
              <w:rPr>
                <w:sz w:val="18"/>
                <w:szCs w:val="18"/>
              </w:rPr>
              <w:fldChar w:fldCharType="end"/>
            </w:r>
          </w:p>
        </w:tc>
        <w:tc>
          <w:tcPr>
            <w:tcW w:w="1084" w:type="pct"/>
            <w:vMerge w:val="restart"/>
          </w:tcPr>
          <w:p w14:paraId="537712DA" w14:textId="3BB3B71D" w:rsidR="00C8468A" w:rsidRPr="004C78D8" w:rsidRDefault="00C8468A" w:rsidP="00FB7C1F">
            <w:pPr>
              <w:jc w:val="left"/>
              <w:rPr>
                <w:sz w:val="18"/>
                <w:szCs w:val="18"/>
              </w:rPr>
            </w:pPr>
            <w:r w:rsidRPr="004C78D8">
              <w:rPr>
                <w:sz w:val="18"/>
                <w:szCs w:val="18"/>
              </w:rPr>
              <w:t>Group-based FaME and home-based Otago exercises for cognitively intact women at high falls risk</w:t>
            </w:r>
            <w:r w:rsidR="00F9645E" w:rsidRPr="004C78D8">
              <w:rPr>
                <w:sz w:val="18"/>
                <w:szCs w:val="18"/>
              </w:rPr>
              <w:t xml:space="preserve"> (self-referred pathway)</w:t>
            </w:r>
          </w:p>
        </w:tc>
        <w:tc>
          <w:tcPr>
            <w:tcW w:w="716" w:type="pct"/>
          </w:tcPr>
          <w:p w14:paraId="1A1B1ABA" w14:textId="3B54B5D4" w:rsidR="00C8468A" w:rsidRPr="004C78D8" w:rsidRDefault="00C8468A" w:rsidP="00FB7C1F">
            <w:pPr>
              <w:jc w:val="left"/>
              <w:rPr>
                <w:sz w:val="18"/>
                <w:szCs w:val="18"/>
              </w:rPr>
            </w:pPr>
            <w:r w:rsidRPr="004C78D8">
              <w:rPr>
                <w:sz w:val="18"/>
                <w:szCs w:val="18"/>
              </w:rPr>
              <w:t>Participant screening &amp; recruitment</w:t>
            </w:r>
          </w:p>
        </w:tc>
        <w:tc>
          <w:tcPr>
            <w:tcW w:w="2548" w:type="pct"/>
          </w:tcPr>
          <w:p w14:paraId="6667C667" w14:textId="6B1EA495" w:rsidR="00C8468A" w:rsidRPr="004C78D8" w:rsidRDefault="00000739" w:rsidP="00FB7C1F">
            <w:pPr>
              <w:jc w:val="left"/>
              <w:rPr>
                <w:sz w:val="18"/>
                <w:szCs w:val="18"/>
              </w:rPr>
            </w:pPr>
            <w:r w:rsidRPr="004C78D8">
              <w:rPr>
                <w:sz w:val="18"/>
                <w:szCs w:val="18"/>
              </w:rPr>
              <w:t xml:space="preserve">(1) </w:t>
            </w:r>
            <w:r w:rsidR="008450C2" w:rsidRPr="004C78D8">
              <w:rPr>
                <w:sz w:val="18"/>
                <w:szCs w:val="18"/>
              </w:rPr>
              <w:t>Direct</w:t>
            </w:r>
            <w:r w:rsidRPr="004C78D8">
              <w:rPr>
                <w:sz w:val="18"/>
                <w:szCs w:val="18"/>
              </w:rPr>
              <w:t xml:space="preserve"> </w:t>
            </w:r>
            <w:r w:rsidR="00156447" w:rsidRPr="004C78D8">
              <w:rPr>
                <w:sz w:val="18"/>
                <w:szCs w:val="18"/>
              </w:rPr>
              <w:t xml:space="preserve">community </w:t>
            </w:r>
            <w:r w:rsidRPr="004C78D8">
              <w:rPr>
                <w:sz w:val="18"/>
                <w:szCs w:val="18"/>
              </w:rPr>
              <w:t>marketing: posters at NHS clinics and voluntary organizations; advertisement in local and national newspapers and local radio station</w:t>
            </w:r>
          </w:p>
          <w:p w14:paraId="1CDD09C5" w14:textId="7D429F6B" w:rsidR="00000739" w:rsidRPr="004C78D8" w:rsidRDefault="00000739" w:rsidP="00FB7C1F">
            <w:pPr>
              <w:jc w:val="left"/>
              <w:rPr>
                <w:sz w:val="18"/>
                <w:szCs w:val="18"/>
              </w:rPr>
            </w:pPr>
            <w:r w:rsidRPr="004C78D8">
              <w:rPr>
                <w:sz w:val="18"/>
                <w:szCs w:val="18"/>
              </w:rPr>
              <w:t>(2) Eligibility screen</w:t>
            </w:r>
            <w:r w:rsidR="00FF3E89" w:rsidRPr="004C78D8">
              <w:rPr>
                <w:sz w:val="18"/>
                <w:szCs w:val="18"/>
              </w:rPr>
              <w:t>ing: initial telephone call to people who</w:t>
            </w:r>
            <w:r w:rsidR="007440B9" w:rsidRPr="004C78D8">
              <w:rPr>
                <w:sz w:val="18"/>
                <w:szCs w:val="18"/>
              </w:rPr>
              <w:t xml:space="preserve"> responded to marketing</w:t>
            </w:r>
            <w:r w:rsidR="00FF3E89" w:rsidRPr="004C78D8">
              <w:rPr>
                <w:sz w:val="18"/>
                <w:szCs w:val="18"/>
              </w:rPr>
              <w:t>; postal questionnaire sent for further screening</w:t>
            </w:r>
          </w:p>
        </w:tc>
      </w:tr>
      <w:tr w:rsidR="00081F42" w:rsidRPr="004C78D8" w14:paraId="7925C425" w14:textId="77777777" w:rsidTr="00E35893">
        <w:tc>
          <w:tcPr>
            <w:tcW w:w="652" w:type="pct"/>
            <w:vMerge/>
          </w:tcPr>
          <w:p w14:paraId="7D8D533E" w14:textId="77777777" w:rsidR="00C8468A" w:rsidRPr="004C78D8" w:rsidRDefault="00C8468A" w:rsidP="00FB7C1F">
            <w:pPr>
              <w:jc w:val="left"/>
              <w:rPr>
                <w:sz w:val="18"/>
                <w:szCs w:val="18"/>
              </w:rPr>
            </w:pPr>
          </w:p>
        </w:tc>
        <w:tc>
          <w:tcPr>
            <w:tcW w:w="1084" w:type="pct"/>
            <w:vMerge/>
          </w:tcPr>
          <w:p w14:paraId="31BF7C5E" w14:textId="77777777" w:rsidR="00C8468A" w:rsidRPr="004C78D8" w:rsidRDefault="00C8468A" w:rsidP="00FB7C1F">
            <w:pPr>
              <w:jc w:val="left"/>
              <w:rPr>
                <w:sz w:val="18"/>
                <w:szCs w:val="18"/>
              </w:rPr>
            </w:pPr>
          </w:p>
        </w:tc>
        <w:tc>
          <w:tcPr>
            <w:tcW w:w="716" w:type="pct"/>
          </w:tcPr>
          <w:p w14:paraId="1A12EBF5" w14:textId="77777777" w:rsidR="00C8468A" w:rsidRPr="004C78D8" w:rsidRDefault="00C8468A" w:rsidP="00FB7C1F">
            <w:pPr>
              <w:jc w:val="left"/>
              <w:rPr>
                <w:sz w:val="18"/>
                <w:szCs w:val="18"/>
              </w:rPr>
            </w:pPr>
            <w:r w:rsidRPr="004C78D8">
              <w:rPr>
                <w:sz w:val="18"/>
                <w:szCs w:val="18"/>
              </w:rPr>
              <w:t>Therapeutic treatment</w:t>
            </w:r>
          </w:p>
        </w:tc>
        <w:tc>
          <w:tcPr>
            <w:tcW w:w="2548" w:type="pct"/>
          </w:tcPr>
          <w:p w14:paraId="348E8093" w14:textId="04504E90" w:rsidR="00227BC6" w:rsidRPr="004C78D8" w:rsidRDefault="00C8468A" w:rsidP="00FB7C1F">
            <w:pPr>
              <w:jc w:val="left"/>
              <w:rPr>
                <w:sz w:val="18"/>
                <w:szCs w:val="18"/>
              </w:rPr>
            </w:pPr>
            <w:r w:rsidRPr="004C78D8">
              <w:rPr>
                <w:sz w:val="18"/>
                <w:szCs w:val="18"/>
              </w:rPr>
              <w:t xml:space="preserve">(I) </w:t>
            </w:r>
            <w:r w:rsidR="00227BC6" w:rsidRPr="004C78D8">
              <w:rPr>
                <w:sz w:val="18"/>
                <w:szCs w:val="18"/>
              </w:rPr>
              <w:t xml:space="preserve">FaME: 1-hour weekly group class for 36 weeks – delivered by qualified geriatric exercise instructors </w:t>
            </w:r>
            <w:r w:rsidR="000B16A4" w:rsidRPr="004C78D8">
              <w:rPr>
                <w:sz w:val="18"/>
                <w:szCs w:val="18"/>
              </w:rPr>
              <w:t>with additional FaME training at</w:t>
            </w:r>
            <w:r w:rsidR="00227BC6" w:rsidRPr="004C78D8">
              <w:rPr>
                <w:sz w:val="18"/>
                <w:szCs w:val="18"/>
              </w:rPr>
              <w:t xml:space="preserve"> local venue</w:t>
            </w:r>
            <w:r w:rsidR="000B16A4" w:rsidRPr="004C78D8">
              <w:rPr>
                <w:sz w:val="18"/>
                <w:szCs w:val="18"/>
              </w:rPr>
              <w:t>s</w:t>
            </w:r>
            <w:r w:rsidR="000719E4" w:rsidRPr="004C78D8">
              <w:rPr>
                <w:sz w:val="18"/>
                <w:szCs w:val="18"/>
              </w:rPr>
              <w:t>; individually tailored</w:t>
            </w:r>
            <w:r w:rsidR="00227BC6" w:rsidRPr="004C78D8">
              <w:rPr>
                <w:sz w:val="18"/>
                <w:szCs w:val="18"/>
              </w:rPr>
              <w:t xml:space="preserve"> and progress</w:t>
            </w:r>
            <w:r w:rsidR="000B16A4" w:rsidRPr="004C78D8">
              <w:rPr>
                <w:sz w:val="18"/>
                <w:szCs w:val="18"/>
              </w:rPr>
              <w:t>ing</w:t>
            </w:r>
            <w:r w:rsidR="00227BC6" w:rsidRPr="004C78D8">
              <w:rPr>
                <w:sz w:val="18"/>
                <w:szCs w:val="18"/>
              </w:rPr>
              <w:t xml:space="preserve"> in difficulty</w:t>
            </w:r>
          </w:p>
          <w:p w14:paraId="69ACD87F" w14:textId="77777777" w:rsidR="00C8468A" w:rsidRPr="004C78D8" w:rsidRDefault="000B16A4" w:rsidP="00FB7C1F">
            <w:pPr>
              <w:jc w:val="left"/>
              <w:rPr>
                <w:sz w:val="18"/>
                <w:szCs w:val="18"/>
              </w:rPr>
            </w:pPr>
            <w:r w:rsidRPr="004C78D8">
              <w:rPr>
                <w:sz w:val="18"/>
                <w:szCs w:val="18"/>
              </w:rPr>
              <w:t>(II) Otago home exercise: 30-minute exercise 2 times per week for 36 weeks using instruction booklets</w:t>
            </w:r>
          </w:p>
          <w:p w14:paraId="16ACAAEB" w14:textId="655F1524" w:rsidR="000719E4" w:rsidRPr="004C78D8" w:rsidRDefault="000719E4" w:rsidP="00FB7C1F">
            <w:pPr>
              <w:jc w:val="left"/>
              <w:rPr>
                <w:sz w:val="18"/>
                <w:szCs w:val="18"/>
              </w:rPr>
            </w:pPr>
            <w:r w:rsidRPr="004C78D8">
              <w:rPr>
                <w:sz w:val="18"/>
                <w:szCs w:val="18"/>
              </w:rPr>
              <w:t>(Note) 72 hours of exercise over 24 weeks</w:t>
            </w:r>
            <w:r w:rsidR="000227D5" w:rsidRPr="004C78D8">
              <w:rPr>
                <w:sz w:val="18"/>
                <w:szCs w:val="18"/>
              </w:rPr>
              <w:t>; adherence not reported but 68% continued exercising at trial end</w:t>
            </w:r>
          </w:p>
        </w:tc>
      </w:tr>
      <w:tr w:rsidR="00C8468A" w:rsidRPr="004C78D8" w14:paraId="09564922" w14:textId="77777777" w:rsidTr="00E35893">
        <w:tc>
          <w:tcPr>
            <w:tcW w:w="5000" w:type="pct"/>
            <w:gridSpan w:val="4"/>
          </w:tcPr>
          <w:p w14:paraId="76A9BA9A" w14:textId="33919976" w:rsidR="00223EE2" w:rsidRPr="004C78D8" w:rsidRDefault="00D10D5E" w:rsidP="00FB7C1F">
            <w:pPr>
              <w:rPr>
                <w:sz w:val="18"/>
                <w:szCs w:val="18"/>
                <w:vertAlign w:val="superscript"/>
              </w:rPr>
            </w:pPr>
            <w:r w:rsidRPr="004C78D8">
              <w:rPr>
                <w:b/>
                <w:bCs/>
                <w:sz w:val="18"/>
                <w:szCs w:val="18"/>
              </w:rPr>
              <w:t>Abbreviation</w:t>
            </w:r>
            <w:r w:rsidR="00223EE2" w:rsidRPr="004C78D8">
              <w:rPr>
                <w:b/>
                <w:bCs/>
                <w:sz w:val="18"/>
                <w:szCs w:val="18"/>
              </w:rPr>
              <w:t>:</w:t>
            </w:r>
            <w:r w:rsidR="00223EE2" w:rsidRPr="004C78D8">
              <w:rPr>
                <w:sz w:val="18"/>
                <w:szCs w:val="18"/>
              </w:rPr>
              <w:t xml:space="preserve"> FaME: Falls Management Exercise; HAM: home assessment and modification; OT: occupational therapy/therapist; PSI: postural stability instructor</w:t>
            </w:r>
            <w:r w:rsidR="00223EE2" w:rsidRPr="004C78D8">
              <w:rPr>
                <w:sz w:val="18"/>
                <w:szCs w:val="18"/>
                <w:vertAlign w:val="superscript"/>
              </w:rPr>
              <w:t xml:space="preserve"> </w:t>
            </w:r>
          </w:p>
          <w:p w14:paraId="0F71767A" w14:textId="1B9322C6" w:rsidR="00BA5A96" w:rsidRPr="004C78D8" w:rsidRDefault="00C8468A" w:rsidP="00FB7C1F">
            <w:pPr>
              <w:rPr>
                <w:sz w:val="18"/>
                <w:szCs w:val="18"/>
              </w:rPr>
            </w:pPr>
            <w:r w:rsidRPr="004C78D8">
              <w:rPr>
                <w:sz w:val="18"/>
                <w:szCs w:val="18"/>
                <w:vertAlign w:val="superscript"/>
              </w:rPr>
              <w:t>1</w:t>
            </w:r>
            <w:r w:rsidRPr="004C78D8">
              <w:rPr>
                <w:sz w:val="18"/>
                <w:szCs w:val="18"/>
              </w:rPr>
              <w:t xml:space="preserve"> Both intervention and control group participants received multidisciplinary inpatient rehabilitation and (depending on functional level) community rehabilitation after discharge. </w:t>
            </w:r>
            <w:r w:rsidR="001B7C6C" w:rsidRPr="004C78D8">
              <w:rPr>
                <w:sz w:val="18"/>
                <w:szCs w:val="18"/>
              </w:rPr>
              <w:t>T</w:t>
            </w:r>
            <w:r w:rsidRPr="004C78D8">
              <w:rPr>
                <w:sz w:val="18"/>
                <w:szCs w:val="18"/>
              </w:rPr>
              <w:t>he OT who conducted the 1-hour home visit was also involved with the inpatient rehabilitation for the same patient.</w:t>
            </w:r>
          </w:p>
          <w:p w14:paraId="0CDCAFF0" w14:textId="68689A62" w:rsidR="00C8468A" w:rsidRPr="004C78D8" w:rsidRDefault="00BA5A96" w:rsidP="00FB7C1F">
            <w:pPr>
              <w:rPr>
                <w:sz w:val="20"/>
                <w:szCs w:val="20"/>
              </w:rPr>
            </w:pPr>
            <w:r w:rsidRPr="004C78D8">
              <w:rPr>
                <w:sz w:val="18"/>
                <w:szCs w:val="18"/>
                <w:vertAlign w:val="superscript"/>
              </w:rPr>
              <w:t>2</w:t>
            </w:r>
            <w:r w:rsidRPr="004C78D8">
              <w:rPr>
                <w:sz w:val="18"/>
                <w:szCs w:val="18"/>
              </w:rPr>
              <w:t xml:space="preserve"> The study did not mention major home modifications being made at the single home visit or being financed by the evaluated intervention, suggesting that external social services were referred for major modifications with their costs being borne by the social care sector or by participants themselves.</w:t>
            </w:r>
          </w:p>
        </w:tc>
      </w:tr>
    </w:tbl>
    <w:p w14:paraId="7B63A6E1" w14:textId="29D7B83E" w:rsidR="00A75DFA" w:rsidRPr="004C78D8" w:rsidRDefault="00A75DFA" w:rsidP="00FB7C1F"/>
    <w:p w14:paraId="18933371" w14:textId="43FC245C" w:rsidR="00A63813" w:rsidRPr="004C78D8" w:rsidRDefault="001B7C6C" w:rsidP="00FB7C1F">
      <w:r w:rsidRPr="004C78D8">
        <w:t>Lockwood (2019) for reactive HAM</w:t>
      </w:r>
      <w:r w:rsidR="002F2D5C" w:rsidRPr="004C78D8">
        <w:t xml:space="preserve"> did not clearly describe the eligibility screening method, perhaps because hip fracture patients </w:t>
      </w:r>
      <w:r w:rsidR="0074387F" w:rsidRPr="004C78D8">
        <w:t>we</w:t>
      </w:r>
      <w:r w:rsidRPr="004C78D8">
        <w:t>re</w:t>
      </w:r>
      <w:r w:rsidR="002F2D5C" w:rsidRPr="004C78D8">
        <w:t xml:space="preserve"> readily identifiable</w:t>
      </w:r>
      <w:r w:rsidR="002A020E" w:rsidRPr="004C78D8">
        <w:t>; b</w:t>
      </w:r>
      <w:r w:rsidRPr="004C78D8">
        <w:t>ut i</w:t>
      </w:r>
      <w:r w:rsidR="002F2D5C" w:rsidRPr="004C78D8">
        <w:t xml:space="preserve">mplementing the same intervention </w:t>
      </w:r>
      <w:r w:rsidRPr="004C78D8">
        <w:t>on</w:t>
      </w:r>
      <w:r w:rsidR="002F2D5C" w:rsidRPr="004C78D8">
        <w:t xml:space="preserve"> all hospitali</w:t>
      </w:r>
      <w:r w:rsidRPr="004C78D8">
        <w:t>s</w:t>
      </w:r>
      <w:r w:rsidR="002F2D5C" w:rsidRPr="004C78D8">
        <w:t xml:space="preserve">ed MA fallers </w:t>
      </w:r>
      <w:r w:rsidR="008701F7" w:rsidRPr="004C78D8">
        <w:t>w</w:t>
      </w:r>
      <w:r w:rsidR="0074387F" w:rsidRPr="004C78D8">
        <w:t>ill</w:t>
      </w:r>
      <w:r w:rsidR="00A86F9B" w:rsidRPr="004C78D8">
        <w:t xml:space="preserve"> </w:t>
      </w:r>
      <w:r w:rsidR="002F2D5C" w:rsidRPr="004C78D8">
        <w:t xml:space="preserve">require </w:t>
      </w:r>
      <w:r w:rsidRPr="004C78D8">
        <w:t>screening resources</w:t>
      </w:r>
      <w:r w:rsidR="00B955DB" w:rsidRPr="004C78D8">
        <w:t xml:space="preserve">. </w:t>
      </w:r>
      <w:r w:rsidR="00011FB9" w:rsidRPr="004C78D8">
        <w:t xml:space="preserve">The intervention consisted </w:t>
      </w:r>
      <w:r w:rsidRPr="004C78D8">
        <w:t>of an OT</w:t>
      </w:r>
      <w:r w:rsidR="00011FB9" w:rsidRPr="004C78D8">
        <w:t xml:space="preserve"> home visit 1-5 days before discharge</w:t>
      </w:r>
      <w:r w:rsidR="00114C66" w:rsidRPr="004C78D8">
        <w:t xml:space="preserve"> to make safety assessment and relevant recommendations. </w:t>
      </w:r>
    </w:p>
    <w:p w14:paraId="214B63BC" w14:textId="57C42DFB" w:rsidR="00153FB8" w:rsidRPr="004C78D8" w:rsidRDefault="00153FB8" w:rsidP="00FB7C1F">
      <w:r w:rsidRPr="004C78D8">
        <w:t xml:space="preserve">Nyman (2020) evaluated a </w:t>
      </w:r>
      <w:r w:rsidR="00BB0B75" w:rsidRPr="004C78D8">
        <w:t xml:space="preserve">20-week </w:t>
      </w:r>
      <w:r w:rsidRPr="004C78D8">
        <w:t xml:space="preserve">group- and home-based Tai Chi intervention </w:t>
      </w:r>
      <w:r w:rsidR="00C91C5D" w:rsidRPr="004C78D8">
        <w:t xml:space="preserve">that was </w:t>
      </w:r>
      <w:r w:rsidRPr="004C78D8">
        <w:t xml:space="preserve">tailored to dementia patients. </w:t>
      </w:r>
      <w:r w:rsidR="00DD0E31" w:rsidRPr="004C78D8">
        <w:t xml:space="preserve">The participants were screened and recruited in a </w:t>
      </w:r>
      <w:r w:rsidR="00F063B8" w:rsidRPr="004C78D8">
        <w:t>largely</w:t>
      </w:r>
      <w:r w:rsidR="00DD0E31" w:rsidRPr="004C78D8">
        <w:t xml:space="preserve"> proactive manner, with dementia patients being identified from their routine contacts with clinical and nonclinical services</w:t>
      </w:r>
      <w:r w:rsidR="00F063B8" w:rsidRPr="004C78D8">
        <w:t>,</w:t>
      </w:r>
      <w:r w:rsidR="00DD0E31" w:rsidRPr="004C78D8">
        <w:t xml:space="preserve"> </w:t>
      </w:r>
      <w:r w:rsidR="007B0BBA" w:rsidRPr="004C78D8">
        <w:t>al</w:t>
      </w:r>
      <w:r w:rsidR="00DD0E31" w:rsidRPr="004C78D8">
        <w:t>though self-referr</w:t>
      </w:r>
      <w:r w:rsidR="00114C66" w:rsidRPr="004C78D8">
        <w:t>als</w:t>
      </w:r>
      <w:r w:rsidR="00F063B8" w:rsidRPr="004C78D8">
        <w:t xml:space="preserve"> were also accepted</w:t>
      </w:r>
      <w:r w:rsidR="00DD0E31" w:rsidRPr="004C78D8">
        <w:t xml:space="preserve">. </w:t>
      </w:r>
      <w:r w:rsidR="00BB0B75" w:rsidRPr="004C78D8">
        <w:t xml:space="preserve">Those whose dementia was too severe to be able to give informed consent (assisted by the caregiver) were excluded from participation. </w:t>
      </w:r>
      <w:r w:rsidR="00DC7095" w:rsidRPr="004C78D8">
        <w:t xml:space="preserve">Due to </w:t>
      </w:r>
      <w:r w:rsidR="00427624" w:rsidRPr="004C78D8">
        <w:t xml:space="preserve">the </w:t>
      </w:r>
      <w:r w:rsidR="00114C66" w:rsidRPr="004C78D8">
        <w:t>initial</w:t>
      </w:r>
      <w:r w:rsidR="00427624" w:rsidRPr="004C78D8">
        <w:t>ly</w:t>
      </w:r>
      <w:r w:rsidR="00114C66" w:rsidRPr="004C78D8">
        <w:t xml:space="preserve"> </w:t>
      </w:r>
      <w:r w:rsidR="00DC7095" w:rsidRPr="004C78D8">
        <w:t xml:space="preserve">low uptake, </w:t>
      </w:r>
      <w:r w:rsidR="00427624" w:rsidRPr="004C78D8">
        <w:t>the intervention travel costs were reimbursed</w:t>
      </w:r>
      <w:r w:rsidR="00DC7095" w:rsidRPr="004C78D8">
        <w:t xml:space="preserve">. There were three therapeutic components: group-based Tai Chi delivered by qualified Tai Chi instructor; home-based Tai Chi instructed by the instructor but supervised by the caregiver; and behavioural change techniques delivered by the instructor. </w:t>
      </w:r>
      <w:r w:rsidR="00114C66" w:rsidRPr="004C78D8">
        <w:t>The aim was</w:t>
      </w:r>
      <w:r w:rsidR="00BB0B75" w:rsidRPr="004C78D8">
        <w:t xml:space="preserve"> to accumulate 50 hours of exercise per participant over 20 weeks. </w:t>
      </w:r>
      <w:r w:rsidR="007C76C8" w:rsidRPr="004C78D8">
        <w:t xml:space="preserve">But </w:t>
      </w:r>
      <w:r w:rsidR="00114C66" w:rsidRPr="004C78D8">
        <w:t xml:space="preserve">dose </w:t>
      </w:r>
      <w:r w:rsidR="007C76C8" w:rsidRPr="004C78D8">
        <w:t xml:space="preserve">adherence was low: the average hours of exercise was 25, with only </w:t>
      </w:r>
      <w:r w:rsidR="002B40FC" w:rsidRPr="004C78D8">
        <w:t>three</w:t>
      </w:r>
      <w:r w:rsidR="007C76C8" w:rsidRPr="004C78D8">
        <w:t xml:space="preserve"> of 42 </w:t>
      </w:r>
      <w:r w:rsidR="00114C66" w:rsidRPr="004C78D8">
        <w:t xml:space="preserve">participants </w:t>
      </w:r>
      <w:r w:rsidR="007C76C8" w:rsidRPr="004C78D8">
        <w:t xml:space="preserve">(7.1%) reaching 50 hours. </w:t>
      </w:r>
    </w:p>
    <w:p w14:paraId="70EE6E69" w14:textId="520F2F48" w:rsidR="00075A39" w:rsidRPr="004C78D8" w:rsidRDefault="00205F94" w:rsidP="00FB7C1F">
      <w:r w:rsidRPr="004C78D8">
        <w:t>Iliffe (2014)</w:t>
      </w:r>
      <w:r w:rsidR="00C91C5D" w:rsidRPr="004C78D8">
        <w:t xml:space="preserve"> </w:t>
      </w:r>
      <w:r w:rsidR="002941A5" w:rsidRPr="004C78D8">
        <w:t>evaluated a 24-week multi-component exercise intervention that targeted a</w:t>
      </w:r>
      <w:r w:rsidR="00A12A0F" w:rsidRPr="004C78D8">
        <w:t xml:space="preserve"> relatively low falls risk </w:t>
      </w:r>
      <w:r w:rsidR="00357E78" w:rsidRPr="004C78D8">
        <w:t xml:space="preserve">(less than </w:t>
      </w:r>
      <w:r w:rsidR="00AD40E5" w:rsidRPr="004C78D8">
        <w:t>three</w:t>
      </w:r>
      <w:r w:rsidR="00357E78" w:rsidRPr="004C78D8">
        <w:t xml:space="preserve"> falls in past year) </w:t>
      </w:r>
      <w:r w:rsidR="008450C2" w:rsidRPr="004C78D8">
        <w:t xml:space="preserve">cognitively intact </w:t>
      </w:r>
      <w:r w:rsidR="00FC3C3B" w:rsidRPr="004C78D8">
        <w:t>older</w:t>
      </w:r>
      <w:r w:rsidR="002941A5" w:rsidRPr="004C78D8">
        <w:t xml:space="preserve"> population.</w:t>
      </w:r>
      <w:r w:rsidR="00EC203C" w:rsidRPr="004C78D8">
        <w:t xml:space="preserve"> </w:t>
      </w:r>
      <w:r w:rsidR="00427624" w:rsidRPr="004C78D8">
        <w:t>T</w:t>
      </w:r>
      <w:r w:rsidR="00CD1F7F" w:rsidRPr="004C78D8">
        <w:t xml:space="preserve">he </w:t>
      </w:r>
      <w:r w:rsidR="00357E78" w:rsidRPr="004C78D8">
        <w:t xml:space="preserve">recruitment was </w:t>
      </w:r>
      <w:r w:rsidR="00CD1F7F" w:rsidRPr="004C78D8">
        <w:t>conducted</w:t>
      </w:r>
      <w:r w:rsidR="00357E78" w:rsidRPr="004C78D8">
        <w:t xml:space="preserve"> </w:t>
      </w:r>
      <w:r w:rsidR="00CD1F7F" w:rsidRPr="004C78D8">
        <w:t xml:space="preserve">via </w:t>
      </w:r>
      <w:r w:rsidR="00357E78" w:rsidRPr="004C78D8">
        <w:t>invitation letters</w:t>
      </w:r>
      <w:r w:rsidR="00427624" w:rsidRPr="004C78D8">
        <w:t>;</w:t>
      </w:r>
      <w:r w:rsidR="00357E78" w:rsidRPr="004C78D8">
        <w:t xml:space="preserve"> </w:t>
      </w:r>
      <w:r w:rsidR="00075A39" w:rsidRPr="004C78D8">
        <w:t xml:space="preserve">the </w:t>
      </w:r>
      <w:r w:rsidR="00CD1F7F" w:rsidRPr="004C78D8">
        <w:t>access mode was</w:t>
      </w:r>
      <w:r w:rsidR="00075A39" w:rsidRPr="004C78D8">
        <w:t xml:space="preserve"> </w:t>
      </w:r>
      <w:r w:rsidR="00427624" w:rsidRPr="004C78D8">
        <w:t xml:space="preserve">hence </w:t>
      </w:r>
      <w:r w:rsidR="00075A39" w:rsidRPr="004C78D8">
        <w:t>self-referral. There were three therapeutic components: group-based FaME delivered by postural stability instructors (PSIs); self-implemented Otago home exercise; and encouragement of walking. The total number of exercise hours was 72 hours over 24 weeks. But adherence was low, with 17% completing 75% of FaME and Otago doses.</w:t>
      </w:r>
    </w:p>
    <w:p w14:paraId="0461460F" w14:textId="6A7147E3" w:rsidR="008450C2" w:rsidRPr="004C78D8" w:rsidRDefault="008450C2" w:rsidP="00FB7C1F">
      <w:r w:rsidRPr="004C78D8">
        <w:t xml:space="preserve">Skelton (2005) evaluated a 36-week multi-component exercise intervention that targeted a high falls risk </w:t>
      </w:r>
      <w:r w:rsidR="00F651F9" w:rsidRPr="004C78D8">
        <w:t>(</w:t>
      </w:r>
      <w:r w:rsidR="00022B94" w:rsidRPr="004C78D8">
        <w:t>three</w:t>
      </w:r>
      <w:r w:rsidR="00F651F9" w:rsidRPr="004C78D8">
        <w:t xml:space="preserve"> or more falls in past year) </w:t>
      </w:r>
      <w:r w:rsidRPr="004C78D8">
        <w:t xml:space="preserve">cognitively intact </w:t>
      </w:r>
      <w:r w:rsidR="00FC3C3B" w:rsidRPr="004C78D8">
        <w:t>older</w:t>
      </w:r>
      <w:r w:rsidRPr="004C78D8">
        <w:t xml:space="preserve"> women. </w:t>
      </w:r>
      <w:r w:rsidR="00F651F9" w:rsidRPr="004C78D8">
        <w:t>T</w:t>
      </w:r>
      <w:r w:rsidRPr="004C78D8">
        <w:t xml:space="preserve">he trial recruitment relied on direct marketing </w:t>
      </w:r>
      <w:r w:rsidR="00F651F9" w:rsidRPr="004C78D8">
        <w:t>– posters and newspaper and radio advertisements –</w:t>
      </w:r>
      <w:r w:rsidR="00022B94" w:rsidRPr="004C78D8">
        <w:t xml:space="preserve"> </w:t>
      </w:r>
      <w:r w:rsidRPr="004C78D8">
        <w:t xml:space="preserve">consistent with </w:t>
      </w:r>
      <w:r w:rsidR="00427624" w:rsidRPr="004C78D8">
        <w:t xml:space="preserve">the </w:t>
      </w:r>
      <w:r w:rsidRPr="004C78D8">
        <w:t xml:space="preserve">self-referred pathway. </w:t>
      </w:r>
      <w:r w:rsidR="00A02B16" w:rsidRPr="004C78D8">
        <w:t xml:space="preserve">The therapeutic components were like those in Iliffe (2014), except that encouragement of walking was </w:t>
      </w:r>
      <w:r w:rsidR="00427624" w:rsidRPr="004C78D8">
        <w:t>excluded</w:t>
      </w:r>
      <w:r w:rsidR="00A02B16" w:rsidRPr="004C78D8">
        <w:t xml:space="preserve">. </w:t>
      </w:r>
      <w:r w:rsidR="0089753B" w:rsidRPr="004C78D8">
        <w:t xml:space="preserve">This meant that even though the overall number of exercise hours (72) was the same </w:t>
      </w:r>
      <w:r w:rsidR="00A02B16" w:rsidRPr="004C78D8">
        <w:t xml:space="preserve">– </w:t>
      </w:r>
      <w:r w:rsidR="0089753B" w:rsidRPr="004C78D8">
        <w:t xml:space="preserve">spread across </w:t>
      </w:r>
      <w:r w:rsidR="00A02B16" w:rsidRPr="004C78D8">
        <w:t xml:space="preserve">36 </w:t>
      </w:r>
      <w:r w:rsidR="0089753B" w:rsidRPr="004C78D8">
        <w:t xml:space="preserve">weeks in Skelton (2005) </w:t>
      </w:r>
      <w:r w:rsidR="00A02B16" w:rsidRPr="004C78D8">
        <w:t xml:space="preserve">vs. 24 weeks </w:t>
      </w:r>
      <w:r w:rsidR="0089753B" w:rsidRPr="004C78D8">
        <w:t xml:space="preserve">in Iliffe (2014) </w:t>
      </w:r>
      <w:r w:rsidR="00A02B16" w:rsidRPr="004C78D8">
        <w:t>–</w:t>
      </w:r>
      <w:r w:rsidR="0089753B" w:rsidRPr="004C78D8">
        <w:t xml:space="preserve"> the </w:t>
      </w:r>
      <w:r w:rsidR="00A02B16" w:rsidRPr="004C78D8">
        <w:t xml:space="preserve">intervention </w:t>
      </w:r>
      <w:r w:rsidR="0089753B" w:rsidRPr="004C78D8">
        <w:t xml:space="preserve">in Skelton (2005) was </w:t>
      </w:r>
      <w:r w:rsidR="00A02B16" w:rsidRPr="004C78D8">
        <w:t xml:space="preserve">more intensive than </w:t>
      </w:r>
      <w:r w:rsidR="0089753B" w:rsidRPr="004C78D8">
        <w:t xml:space="preserve">that in </w:t>
      </w:r>
      <w:r w:rsidR="00A02B16" w:rsidRPr="004C78D8">
        <w:t>Iliffe (2014)</w:t>
      </w:r>
      <w:r w:rsidR="00427624" w:rsidRPr="004C78D8">
        <w:t>,</w:t>
      </w:r>
      <w:r w:rsidR="0089753B" w:rsidRPr="004C78D8">
        <w:t xml:space="preserve"> composed entirely of FaME and Otago. </w:t>
      </w:r>
      <w:r w:rsidR="00676719" w:rsidRPr="004C78D8">
        <w:t>The adherence rate</w:t>
      </w:r>
      <w:r w:rsidR="00F651F9" w:rsidRPr="004C78D8">
        <w:t>s</w:t>
      </w:r>
      <w:r w:rsidR="00676719" w:rsidRPr="004C78D8">
        <w:t xml:space="preserve"> w</w:t>
      </w:r>
      <w:r w:rsidR="00F651F9" w:rsidRPr="004C78D8">
        <w:t>ere</w:t>
      </w:r>
      <w:r w:rsidR="00676719" w:rsidRPr="004C78D8">
        <w:t xml:space="preserve"> not reported.</w:t>
      </w:r>
    </w:p>
    <w:p w14:paraId="2E691935" w14:textId="4383BA14" w:rsidR="006A128B" w:rsidRPr="004C78D8" w:rsidRDefault="006A128B" w:rsidP="00FB7C1F">
      <w:pPr>
        <w:pStyle w:val="Heading5"/>
      </w:pPr>
      <w:r w:rsidRPr="004C78D8">
        <w:t>Single-component interventions – cost</w:t>
      </w:r>
    </w:p>
    <w:p w14:paraId="4D6EAF5B" w14:textId="45BBBB0F" w:rsidR="00A75DFA" w:rsidRPr="004C78D8" w:rsidRDefault="00A75DFA" w:rsidP="00FB7C1F">
      <w:r w:rsidRPr="004C78D8">
        <w:t xml:space="preserve">Table </w:t>
      </w:r>
      <w:r w:rsidR="00F56116" w:rsidRPr="004C78D8">
        <w:t>5</w:t>
      </w:r>
      <w:r w:rsidR="00081F42" w:rsidRPr="004C78D8">
        <w:t>.3</w:t>
      </w:r>
      <w:r w:rsidR="005B68C9" w:rsidRPr="004C78D8">
        <w:t>4</w:t>
      </w:r>
      <w:r w:rsidRPr="004C78D8">
        <w:t xml:space="preserve"> shows the resource use and cost parameters for </w:t>
      </w:r>
      <w:r w:rsidR="00484A53" w:rsidRPr="004C78D8">
        <w:t>single-component</w:t>
      </w:r>
      <w:r w:rsidRPr="004C78D8">
        <w:t xml:space="preserve"> interventions.</w:t>
      </w:r>
    </w:p>
    <w:tbl>
      <w:tblPr>
        <w:tblStyle w:val="TableGrid"/>
        <w:tblW w:w="5000" w:type="pct"/>
        <w:tblLook w:val="04A0" w:firstRow="1" w:lastRow="0" w:firstColumn="1" w:lastColumn="0" w:noHBand="0" w:noVBand="1"/>
      </w:tblPr>
      <w:tblGrid>
        <w:gridCol w:w="1616"/>
        <w:gridCol w:w="3682"/>
        <w:gridCol w:w="2541"/>
        <w:gridCol w:w="1177"/>
      </w:tblGrid>
      <w:tr w:rsidR="008C0DB6" w:rsidRPr="004C78D8" w14:paraId="6791F473" w14:textId="77777777" w:rsidTr="00E35893">
        <w:tc>
          <w:tcPr>
            <w:tcW w:w="5000" w:type="pct"/>
            <w:gridSpan w:val="4"/>
          </w:tcPr>
          <w:p w14:paraId="0664E42B" w14:textId="4E0407FD" w:rsidR="008C0DB6" w:rsidRPr="004C78D8" w:rsidRDefault="008C0DB6" w:rsidP="00FB7C1F">
            <w:pPr>
              <w:jc w:val="left"/>
              <w:rPr>
                <w:b/>
                <w:bCs/>
                <w:sz w:val="20"/>
                <w:szCs w:val="20"/>
              </w:rPr>
            </w:pPr>
            <w:r w:rsidRPr="004C78D8">
              <w:rPr>
                <w:b/>
                <w:bCs/>
              </w:rPr>
              <w:t xml:space="preserve">Table </w:t>
            </w:r>
            <w:r w:rsidR="00F56116" w:rsidRPr="004C78D8">
              <w:rPr>
                <w:b/>
                <w:bCs/>
              </w:rPr>
              <w:t>5</w:t>
            </w:r>
            <w:r w:rsidR="00081F42" w:rsidRPr="004C78D8">
              <w:rPr>
                <w:b/>
                <w:bCs/>
              </w:rPr>
              <w:t>.3</w:t>
            </w:r>
            <w:r w:rsidR="005B68C9" w:rsidRPr="004C78D8">
              <w:rPr>
                <w:b/>
                <w:bCs/>
              </w:rPr>
              <w:t>4</w:t>
            </w:r>
            <w:r w:rsidRPr="004C78D8">
              <w:t xml:space="preserve"> </w:t>
            </w:r>
            <w:r w:rsidR="009F1F8A" w:rsidRPr="004C78D8">
              <w:t>Resource use and cost of single-component interventions.</w:t>
            </w:r>
          </w:p>
        </w:tc>
      </w:tr>
      <w:tr w:rsidR="00081F42" w:rsidRPr="004C78D8" w14:paraId="6A6F221C" w14:textId="77777777" w:rsidTr="00E35893">
        <w:tc>
          <w:tcPr>
            <w:tcW w:w="896" w:type="pct"/>
          </w:tcPr>
          <w:p w14:paraId="655BCDC5" w14:textId="77777777" w:rsidR="00081F42" w:rsidRPr="004C78D8" w:rsidRDefault="00081F42" w:rsidP="00FB7C1F">
            <w:pPr>
              <w:jc w:val="left"/>
              <w:rPr>
                <w:b/>
                <w:bCs/>
                <w:sz w:val="20"/>
                <w:szCs w:val="20"/>
              </w:rPr>
            </w:pPr>
            <w:r w:rsidRPr="004C78D8">
              <w:rPr>
                <w:b/>
                <w:bCs/>
                <w:sz w:val="20"/>
                <w:szCs w:val="20"/>
              </w:rPr>
              <w:t>Component</w:t>
            </w:r>
          </w:p>
        </w:tc>
        <w:tc>
          <w:tcPr>
            <w:tcW w:w="2042" w:type="pct"/>
          </w:tcPr>
          <w:p w14:paraId="0DF1F149" w14:textId="77777777" w:rsidR="00081F42" w:rsidRPr="004C78D8" w:rsidRDefault="00081F42" w:rsidP="00FB7C1F">
            <w:pPr>
              <w:jc w:val="left"/>
              <w:rPr>
                <w:b/>
                <w:bCs/>
                <w:sz w:val="20"/>
                <w:szCs w:val="20"/>
              </w:rPr>
            </w:pPr>
            <w:r w:rsidRPr="004C78D8">
              <w:rPr>
                <w:b/>
                <w:bCs/>
                <w:sz w:val="20"/>
                <w:szCs w:val="20"/>
              </w:rPr>
              <w:t>Resource use</w:t>
            </w:r>
          </w:p>
        </w:tc>
        <w:tc>
          <w:tcPr>
            <w:tcW w:w="1409" w:type="pct"/>
          </w:tcPr>
          <w:p w14:paraId="5665923B" w14:textId="5A13B89A" w:rsidR="00081F42" w:rsidRPr="004C78D8" w:rsidRDefault="00081F42" w:rsidP="00FB7C1F">
            <w:pPr>
              <w:jc w:val="left"/>
              <w:rPr>
                <w:b/>
                <w:bCs/>
                <w:sz w:val="20"/>
                <w:szCs w:val="20"/>
              </w:rPr>
            </w:pPr>
            <w:r w:rsidRPr="004C78D8">
              <w:rPr>
                <w:b/>
                <w:bCs/>
                <w:sz w:val="20"/>
                <w:szCs w:val="20"/>
              </w:rPr>
              <w:t>Mean cost</w:t>
            </w:r>
            <w:r w:rsidRPr="004C78D8">
              <w:rPr>
                <w:b/>
                <w:bCs/>
                <w:sz w:val="20"/>
                <w:szCs w:val="20"/>
                <w:vertAlign w:val="superscript"/>
              </w:rPr>
              <w:t>1</w:t>
            </w:r>
          </w:p>
        </w:tc>
        <w:tc>
          <w:tcPr>
            <w:tcW w:w="653" w:type="pct"/>
          </w:tcPr>
          <w:p w14:paraId="11A7B8F4" w14:textId="77777777" w:rsidR="00081F42" w:rsidRPr="004C78D8" w:rsidRDefault="00081F42" w:rsidP="00FB7C1F">
            <w:pPr>
              <w:jc w:val="left"/>
              <w:rPr>
                <w:b/>
                <w:bCs/>
                <w:sz w:val="20"/>
                <w:szCs w:val="20"/>
              </w:rPr>
            </w:pPr>
            <w:r w:rsidRPr="004C78D8">
              <w:rPr>
                <w:b/>
                <w:bCs/>
                <w:sz w:val="20"/>
                <w:szCs w:val="20"/>
              </w:rPr>
              <w:t>Reference</w:t>
            </w:r>
          </w:p>
        </w:tc>
      </w:tr>
      <w:tr w:rsidR="008C0DB6" w:rsidRPr="004C78D8" w14:paraId="7536DDAE" w14:textId="77777777" w:rsidTr="00E35893">
        <w:tc>
          <w:tcPr>
            <w:tcW w:w="5000" w:type="pct"/>
            <w:gridSpan w:val="4"/>
          </w:tcPr>
          <w:p w14:paraId="447C7239" w14:textId="63C4A4BA" w:rsidR="008C0DB6" w:rsidRPr="004C78D8" w:rsidRDefault="008C0DB6" w:rsidP="00FB7C1F">
            <w:pPr>
              <w:jc w:val="left"/>
              <w:rPr>
                <w:b/>
                <w:bCs/>
              </w:rPr>
            </w:pPr>
            <w:r w:rsidRPr="004C78D8">
              <w:rPr>
                <w:b/>
                <w:bCs/>
                <w:sz w:val="20"/>
                <w:szCs w:val="20"/>
              </w:rPr>
              <w:t xml:space="preserve">(1) </w:t>
            </w:r>
            <w:r w:rsidR="00531BB0" w:rsidRPr="004C78D8">
              <w:rPr>
                <w:b/>
                <w:bCs/>
                <w:sz w:val="20"/>
                <w:szCs w:val="20"/>
              </w:rPr>
              <w:t>Reactive HAM under usual care</w:t>
            </w:r>
          </w:p>
        </w:tc>
      </w:tr>
      <w:tr w:rsidR="00081F42" w:rsidRPr="004C78D8" w14:paraId="231A931F" w14:textId="77777777" w:rsidTr="00E35893">
        <w:tc>
          <w:tcPr>
            <w:tcW w:w="896" w:type="pct"/>
          </w:tcPr>
          <w:p w14:paraId="54E34868" w14:textId="77777777" w:rsidR="00081F42" w:rsidRPr="004C78D8" w:rsidRDefault="00081F42" w:rsidP="00FB7C1F">
            <w:pPr>
              <w:jc w:val="left"/>
              <w:rPr>
                <w:sz w:val="18"/>
                <w:szCs w:val="18"/>
              </w:rPr>
            </w:pPr>
            <w:r w:rsidRPr="004C78D8">
              <w:rPr>
                <w:sz w:val="18"/>
                <w:szCs w:val="18"/>
              </w:rPr>
              <w:t>Risk screening and access</w:t>
            </w:r>
          </w:p>
        </w:tc>
        <w:tc>
          <w:tcPr>
            <w:tcW w:w="2042" w:type="pct"/>
            <w:tcBorders>
              <w:bottom w:val="nil"/>
            </w:tcBorders>
          </w:tcPr>
          <w:p w14:paraId="2E5DA2B6" w14:textId="2C6E7AE2" w:rsidR="00081F42" w:rsidRPr="004C78D8" w:rsidRDefault="00081F42" w:rsidP="00FB7C1F">
            <w:pPr>
              <w:jc w:val="left"/>
              <w:rPr>
                <w:sz w:val="18"/>
                <w:szCs w:val="18"/>
              </w:rPr>
            </w:pPr>
            <w:r w:rsidRPr="004C78D8">
              <w:rPr>
                <w:sz w:val="18"/>
                <w:szCs w:val="18"/>
              </w:rPr>
              <w:t>Hospital record screening for eligibility and invitation before discharge</w:t>
            </w:r>
          </w:p>
        </w:tc>
        <w:tc>
          <w:tcPr>
            <w:tcW w:w="1409" w:type="pct"/>
            <w:tcBorders>
              <w:bottom w:val="nil"/>
            </w:tcBorders>
          </w:tcPr>
          <w:p w14:paraId="51973388" w14:textId="42062C21" w:rsidR="00081F42" w:rsidRPr="004C78D8" w:rsidRDefault="00081F42" w:rsidP="00FB7C1F">
            <w:pPr>
              <w:jc w:val="left"/>
              <w:rPr>
                <w:sz w:val="18"/>
                <w:szCs w:val="18"/>
              </w:rPr>
            </w:pPr>
            <w:r w:rsidRPr="004C78D8">
              <w:rPr>
                <w:sz w:val="18"/>
                <w:szCs w:val="18"/>
              </w:rPr>
              <w:t>£16.37 per client</w:t>
            </w:r>
          </w:p>
        </w:tc>
        <w:tc>
          <w:tcPr>
            <w:tcW w:w="653" w:type="pct"/>
            <w:tcBorders>
              <w:bottom w:val="nil"/>
            </w:tcBorders>
          </w:tcPr>
          <w:p w14:paraId="30A0C7B7" w14:textId="3677502E" w:rsidR="00081F42" w:rsidRPr="004C78D8" w:rsidRDefault="00081F42" w:rsidP="00FB7C1F">
            <w:pPr>
              <w:jc w:val="left"/>
              <w:rPr>
                <w:sz w:val="18"/>
                <w:szCs w:val="18"/>
              </w:rPr>
            </w:pPr>
            <w:r w:rsidRPr="004C78D8">
              <w:rPr>
                <w:sz w:val="18"/>
                <w:szCs w:val="18"/>
              </w:rPr>
              <w:fldChar w:fldCharType="begin"/>
            </w:r>
            <w:r w:rsidR="00513646" w:rsidRPr="004C78D8">
              <w:rPr>
                <w:sz w:val="18"/>
                <w:szCs w:val="18"/>
              </w:rPr>
              <w:instrText xml:space="preserve"> ADDIN EN.CITE &lt;EndNote&gt;&lt;Cite&gt;&lt;Author&gt;Day&lt;/Author&gt;&lt;Year&gt;2009&lt;/Year&gt;&lt;RecNum&gt;346&lt;/RecNum&gt;&lt;DisplayText&gt;[167]&lt;/DisplayText&gt;&lt;record&gt;&lt;rec-number&gt;346&lt;/rec-number&gt;&lt;foreign-keys&gt;&lt;key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4C78D8">
              <w:rPr>
                <w:sz w:val="18"/>
                <w:szCs w:val="18"/>
              </w:rPr>
              <w:fldChar w:fldCharType="separate"/>
            </w:r>
            <w:r w:rsidR="00513646" w:rsidRPr="004C78D8">
              <w:rPr>
                <w:noProof/>
                <w:sz w:val="18"/>
                <w:szCs w:val="18"/>
              </w:rPr>
              <w:t>[167]</w:t>
            </w:r>
            <w:r w:rsidRPr="004C78D8">
              <w:rPr>
                <w:sz w:val="18"/>
                <w:szCs w:val="18"/>
              </w:rPr>
              <w:fldChar w:fldCharType="end"/>
            </w:r>
          </w:p>
        </w:tc>
      </w:tr>
      <w:tr w:rsidR="00081F42" w:rsidRPr="004C78D8" w14:paraId="442710EE" w14:textId="77777777" w:rsidTr="00E35893">
        <w:tc>
          <w:tcPr>
            <w:tcW w:w="896" w:type="pct"/>
            <w:vMerge w:val="restart"/>
          </w:tcPr>
          <w:p w14:paraId="7CF425FF" w14:textId="33813817" w:rsidR="00081F42" w:rsidRPr="004C78D8" w:rsidRDefault="00081F42" w:rsidP="00FB7C1F">
            <w:pPr>
              <w:jc w:val="left"/>
              <w:rPr>
                <w:sz w:val="18"/>
                <w:szCs w:val="18"/>
              </w:rPr>
            </w:pPr>
            <w:r w:rsidRPr="004C78D8">
              <w:rPr>
                <w:sz w:val="18"/>
                <w:szCs w:val="18"/>
              </w:rPr>
              <w:t xml:space="preserve">Therapeutic </w:t>
            </w:r>
            <w:r w:rsidR="00522146" w:rsidRPr="004C78D8">
              <w:rPr>
                <w:sz w:val="18"/>
                <w:szCs w:val="18"/>
              </w:rPr>
              <w:t>component</w:t>
            </w:r>
          </w:p>
        </w:tc>
        <w:tc>
          <w:tcPr>
            <w:tcW w:w="2042" w:type="pct"/>
            <w:tcBorders>
              <w:bottom w:val="nil"/>
            </w:tcBorders>
          </w:tcPr>
          <w:p w14:paraId="3D62A5AB" w14:textId="63025EC0" w:rsidR="00081F42" w:rsidRPr="004C78D8" w:rsidRDefault="00081F42" w:rsidP="00FB7C1F">
            <w:pPr>
              <w:jc w:val="left"/>
              <w:rPr>
                <w:sz w:val="18"/>
                <w:szCs w:val="18"/>
              </w:rPr>
            </w:pPr>
            <w:r w:rsidRPr="004C78D8">
              <w:rPr>
                <w:sz w:val="18"/>
                <w:szCs w:val="18"/>
              </w:rPr>
              <w:t>OT (band 7) home visit and assessment (2 hours including travel)</w:t>
            </w:r>
          </w:p>
        </w:tc>
        <w:tc>
          <w:tcPr>
            <w:tcW w:w="1409" w:type="pct"/>
            <w:tcBorders>
              <w:bottom w:val="nil"/>
            </w:tcBorders>
          </w:tcPr>
          <w:p w14:paraId="4CA8D098" w14:textId="26567F4D" w:rsidR="00081F42" w:rsidRPr="004C78D8" w:rsidRDefault="00081F42" w:rsidP="00FB7C1F">
            <w:pPr>
              <w:jc w:val="left"/>
              <w:rPr>
                <w:sz w:val="18"/>
                <w:szCs w:val="18"/>
              </w:rPr>
            </w:pPr>
            <w:r w:rsidRPr="004C78D8">
              <w:rPr>
                <w:sz w:val="18"/>
                <w:szCs w:val="18"/>
              </w:rPr>
              <w:t>£128.23 per client</w:t>
            </w:r>
          </w:p>
        </w:tc>
        <w:tc>
          <w:tcPr>
            <w:tcW w:w="653" w:type="pct"/>
            <w:tcBorders>
              <w:bottom w:val="nil"/>
            </w:tcBorders>
          </w:tcPr>
          <w:p w14:paraId="035738B4" w14:textId="21D715D1" w:rsidR="00081F42" w:rsidRPr="004C78D8" w:rsidRDefault="00081F42"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&lt;EndNote&gt;&lt;Cite&gt;&lt;Author&gt;Curtis&lt;/Author&gt;&lt;Year&gt;2019&lt;/Year&gt;&lt;RecNum&gt;135&lt;/RecNum&gt;&lt;DisplayText&gt;[401]&lt;/DisplayText&gt;&lt;record&gt;&lt;rec-number&gt;135&lt;/rec-number&gt;&lt;foreign-keys&gt;&lt;key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Pr="004C78D8">
              <w:rPr>
                <w:sz w:val="18"/>
                <w:szCs w:val="18"/>
              </w:rPr>
              <w:fldChar w:fldCharType="separate"/>
            </w:r>
            <w:r w:rsidR="00C630FC" w:rsidRPr="004C78D8">
              <w:rPr>
                <w:noProof/>
                <w:sz w:val="18"/>
                <w:szCs w:val="18"/>
              </w:rPr>
              <w:t>[401]</w:t>
            </w:r>
            <w:r w:rsidRPr="004C78D8">
              <w:rPr>
                <w:sz w:val="18"/>
                <w:szCs w:val="18"/>
              </w:rPr>
              <w:fldChar w:fldCharType="end"/>
            </w:r>
          </w:p>
        </w:tc>
      </w:tr>
      <w:tr w:rsidR="00081F42" w:rsidRPr="004C78D8" w14:paraId="387AB90B" w14:textId="77777777" w:rsidTr="00E35893">
        <w:tc>
          <w:tcPr>
            <w:tcW w:w="896" w:type="pct"/>
            <w:vMerge/>
          </w:tcPr>
          <w:p w14:paraId="766CBA16" w14:textId="77777777" w:rsidR="00081F42" w:rsidRPr="004C78D8" w:rsidRDefault="00081F42" w:rsidP="00FB7C1F">
            <w:pPr>
              <w:jc w:val="left"/>
              <w:rPr>
                <w:sz w:val="18"/>
                <w:szCs w:val="18"/>
              </w:rPr>
            </w:pPr>
          </w:p>
        </w:tc>
        <w:tc>
          <w:tcPr>
            <w:tcW w:w="2042" w:type="pct"/>
            <w:tcBorders>
              <w:top w:val="nil"/>
              <w:bottom w:val="nil"/>
            </w:tcBorders>
          </w:tcPr>
          <w:p w14:paraId="442BCA90" w14:textId="4B1F61DA" w:rsidR="00081F42" w:rsidRPr="004C78D8" w:rsidRDefault="00081F42" w:rsidP="00FB7C1F">
            <w:pPr>
              <w:jc w:val="left"/>
              <w:rPr>
                <w:sz w:val="18"/>
                <w:szCs w:val="18"/>
              </w:rPr>
            </w:pPr>
            <w:r w:rsidRPr="004C78D8">
              <w:rPr>
                <w:sz w:val="18"/>
                <w:szCs w:val="18"/>
              </w:rPr>
              <w:t>HAM major modifications (social care)</w:t>
            </w:r>
          </w:p>
        </w:tc>
        <w:tc>
          <w:tcPr>
            <w:tcW w:w="1409" w:type="pct"/>
            <w:tcBorders>
              <w:top w:val="nil"/>
              <w:bottom w:val="nil"/>
            </w:tcBorders>
          </w:tcPr>
          <w:p w14:paraId="24916CA7" w14:textId="6D98D293" w:rsidR="00081F42" w:rsidRPr="004C78D8" w:rsidRDefault="00081F42" w:rsidP="00FB7C1F">
            <w:pPr>
              <w:jc w:val="left"/>
              <w:rPr>
                <w:sz w:val="18"/>
                <w:szCs w:val="18"/>
              </w:rPr>
            </w:pPr>
            <w:r w:rsidRPr="004C78D8">
              <w:rPr>
                <w:sz w:val="18"/>
                <w:szCs w:val="18"/>
              </w:rPr>
              <w:t>£94.97 per client</w:t>
            </w:r>
          </w:p>
        </w:tc>
        <w:tc>
          <w:tcPr>
            <w:tcW w:w="653" w:type="pct"/>
            <w:tcBorders>
              <w:top w:val="nil"/>
              <w:bottom w:val="nil"/>
            </w:tcBorders>
          </w:tcPr>
          <w:p w14:paraId="7A01F757" w14:textId="3EA11B86" w:rsidR="00081F42" w:rsidRPr="004C78D8" w:rsidRDefault="00081F42"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4C78D8">
              <w:rPr>
                <w:sz w:val="18"/>
                <w:szCs w:val="18"/>
              </w:rPr>
              <w:fldChar w:fldCharType="separate"/>
            </w:r>
            <w:r w:rsidR="00C630FC" w:rsidRPr="004C78D8">
              <w:rPr>
                <w:noProof/>
                <w:sz w:val="18"/>
                <w:szCs w:val="18"/>
              </w:rPr>
              <w:t>[216]</w:t>
            </w:r>
            <w:r w:rsidRPr="004C78D8">
              <w:rPr>
                <w:sz w:val="18"/>
                <w:szCs w:val="18"/>
              </w:rPr>
              <w:fldChar w:fldCharType="end"/>
            </w:r>
          </w:p>
        </w:tc>
      </w:tr>
      <w:tr w:rsidR="00F92C43" w:rsidRPr="004C78D8" w14:paraId="0142225E" w14:textId="77777777" w:rsidTr="00E35893">
        <w:tc>
          <w:tcPr>
            <w:tcW w:w="896" w:type="pct"/>
            <w:vMerge/>
          </w:tcPr>
          <w:p w14:paraId="096D7F8F" w14:textId="77777777" w:rsidR="00F92C43" w:rsidRPr="004C78D8" w:rsidRDefault="00F92C43" w:rsidP="00FB7C1F">
            <w:pPr>
              <w:jc w:val="left"/>
              <w:rPr>
                <w:sz w:val="18"/>
                <w:szCs w:val="18"/>
              </w:rPr>
            </w:pPr>
          </w:p>
        </w:tc>
        <w:tc>
          <w:tcPr>
            <w:tcW w:w="2042" w:type="pct"/>
            <w:tcBorders>
              <w:top w:val="nil"/>
              <w:bottom w:val="nil"/>
            </w:tcBorders>
          </w:tcPr>
          <w:p w14:paraId="48C335BD" w14:textId="3A3B873C" w:rsidR="00F92C43" w:rsidRPr="004C78D8" w:rsidRDefault="00F92C43" w:rsidP="00FB7C1F">
            <w:pPr>
              <w:jc w:val="left"/>
              <w:rPr>
                <w:sz w:val="18"/>
                <w:szCs w:val="18"/>
              </w:rPr>
            </w:pPr>
            <w:r w:rsidRPr="004C78D8">
              <w:rPr>
                <w:sz w:val="18"/>
                <w:szCs w:val="18"/>
              </w:rPr>
              <w:t>Walking aid for 25% of clients</w:t>
            </w:r>
          </w:p>
        </w:tc>
        <w:tc>
          <w:tcPr>
            <w:tcW w:w="1409" w:type="pct"/>
            <w:tcBorders>
              <w:top w:val="nil"/>
              <w:bottom w:val="nil"/>
            </w:tcBorders>
          </w:tcPr>
          <w:p w14:paraId="6113ACE2" w14:textId="1AD344DF" w:rsidR="00F92C43" w:rsidRPr="004C78D8" w:rsidRDefault="00F92C43" w:rsidP="00FB7C1F">
            <w:pPr>
              <w:jc w:val="left"/>
              <w:rPr>
                <w:sz w:val="18"/>
                <w:szCs w:val="18"/>
              </w:rPr>
            </w:pPr>
            <w:r w:rsidRPr="004C78D8">
              <w:rPr>
                <w:sz w:val="18"/>
                <w:szCs w:val="18"/>
              </w:rPr>
              <w:t>£21.29 expected</w:t>
            </w:r>
            <w:r w:rsidRPr="004C78D8">
              <w:rPr>
                <w:sz w:val="18"/>
                <w:szCs w:val="18"/>
                <w:vertAlign w:val="superscript"/>
              </w:rPr>
              <w:t>2</w:t>
            </w:r>
            <w:r w:rsidRPr="004C78D8">
              <w:rPr>
                <w:sz w:val="18"/>
                <w:szCs w:val="18"/>
              </w:rPr>
              <w:t xml:space="preserve"> per client</w:t>
            </w:r>
          </w:p>
        </w:tc>
        <w:tc>
          <w:tcPr>
            <w:tcW w:w="653" w:type="pct"/>
            <w:tcBorders>
              <w:top w:val="nil"/>
              <w:bottom w:val="nil"/>
            </w:tcBorders>
          </w:tcPr>
          <w:p w14:paraId="4ADC51FD" w14:textId="6C69BC99" w:rsidR="00F92C43" w:rsidRPr="004C78D8" w:rsidRDefault="00F92C43" w:rsidP="00FB7C1F">
            <w:pPr>
              <w:jc w:val="left"/>
              <w:rPr>
                <w:sz w:val="18"/>
                <w:szCs w:val="18"/>
              </w:rPr>
            </w:pPr>
            <w:r w:rsidRPr="004C78D8">
              <w:rPr>
                <w:sz w:val="18"/>
                <w:szCs w:val="18"/>
              </w:rPr>
              <w:fldChar w:fldCharType="begin"/>
            </w:r>
            <w:r w:rsidR="00513646" w:rsidRPr="004C78D8">
              <w:rPr>
                <w:sz w:val="18"/>
                <w:szCs w:val="18"/>
              </w:rPr>
              <w:instrText xml:space="preserve"> ADDIN EN.CITE &lt;EndNote&gt;&lt;Cite&gt;&lt;Author&gt;Day&lt;/Author&gt;&lt;Year&gt;2009&lt;/Year&gt;&lt;RecNum&gt;346&lt;/RecNum&gt;&lt;DisplayText&gt;[167]&lt;/DisplayText&gt;&lt;record&gt;&lt;rec-number&gt;346&lt;/rec-number&gt;&lt;foreign-keys&gt;&lt;key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4C78D8">
              <w:rPr>
                <w:sz w:val="18"/>
                <w:szCs w:val="18"/>
              </w:rPr>
              <w:fldChar w:fldCharType="separate"/>
            </w:r>
            <w:r w:rsidR="00513646" w:rsidRPr="004C78D8">
              <w:rPr>
                <w:noProof/>
                <w:sz w:val="18"/>
                <w:szCs w:val="18"/>
              </w:rPr>
              <w:t>[167]</w:t>
            </w:r>
            <w:r w:rsidRPr="004C78D8">
              <w:rPr>
                <w:sz w:val="18"/>
                <w:szCs w:val="18"/>
              </w:rPr>
              <w:fldChar w:fldCharType="end"/>
            </w:r>
          </w:p>
        </w:tc>
      </w:tr>
      <w:tr w:rsidR="00F92C43" w:rsidRPr="004C78D8" w14:paraId="43767941" w14:textId="77777777" w:rsidTr="00E35893">
        <w:tc>
          <w:tcPr>
            <w:tcW w:w="896" w:type="pct"/>
            <w:vMerge/>
          </w:tcPr>
          <w:p w14:paraId="0FB19C5E" w14:textId="77777777" w:rsidR="00F92C43" w:rsidRPr="004C78D8" w:rsidRDefault="00F92C43" w:rsidP="00FB7C1F">
            <w:pPr>
              <w:jc w:val="left"/>
              <w:rPr>
                <w:sz w:val="18"/>
                <w:szCs w:val="18"/>
              </w:rPr>
            </w:pPr>
          </w:p>
        </w:tc>
        <w:tc>
          <w:tcPr>
            <w:tcW w:w="2042" w:type="pct"/>
            <w:tcBorders>
              <w:top w:val="nil"/>
              <w:bottom w:val="nil"/>
            </w:tcBorders>
          </w:tcPr>
          <w:p w14:paraId="2BC87361" w14:textId="4361DB70" w:rsidR="00F92C43" w:rsidRPr="004C78D8" w:rsidRDefault="00F92C43" w:rsidP="00FB7C1F">
            <w:pPr>
              <w:jc w:val="left"/>
              <w:rPr>
                <w:sz w:val="18"/>
                <w:szCs w:val="18"/>
              </w:rPr>
            </w:pPr>
            <w:r w:rsidRPr="004C78D8">
              <w:rPr>
                <w:sz w:val="18"/>
                <w:szCs w:val="18"/>
              </w:rPr>
              <w:t>Hip protectors for 17% of clients</w:t>
            </w:r>
          </w:p>
        </w:tc>
        <w:tc>
          <w:tcPr>
            <w:tcW w:w="1409" w:type="pct"/>
            <w:tcBorders>
              <w:top w:val="nil"/>
              <w:bottom w:val="nil"/>
            </w:tcBorders>
          </w:tcPr>
          <w:p w14:paraId="2B2F9EC8" w14:textId="6B47B278" w:rsidR="00F92C43" w:rsidRPr="004C78D8" w:rsidRDefault="00F92C43" w:rsidP="00FB7C1F">
            <w:pPr>
              <w:jc w:val="left"/>
              <w:rPr>
                <w:sz w:val="18"/>
                <w:szCs w:val="18"/>
              </w:rPr>
            </w:pPr>
            <w:r w:rsidRPr="004C78D8">
              <w:rPr>
                <w:sz w:val="18"/>
                <w:szCs w:val="18"/>
              </w:rPr>
              <w:t>£11.81 expected per client</w:t>
            </w:r>
          </w:p>
        </w:tc>
        <w:tc>
          <w:tcPr>
            <w:tcW w:w="653" w:type="pct"/>
            <w:tcBorders>
              <w:top w:val="nil"/>
              <w:bottom w:val="nil"/>
            </w:tcBorders>
          </w:tcPr>
          <w:p w14:paraId="5CEB21A4" w14:textId="7EF22154" w:rsidR="00F92C43" w:rsidRPr="004C78D8" w:rsidRDefault="00F92C43" w:rsidP="00FB7C1F">
            <w:pPr>
              <w:jc w:val="left"/>
              <w:rPr>
                <w:sz w:val="18"/>
                <w:szCs w:val="18"/>
              </w:rPr>
            </w:pPr>
            <w:r w:rsidRPr="004C78D8">
              <w:rPr>
                <w:sz w:val="18"/>
                <w:szCs w:val="18"/>
              </w:rPr>
              <w:fldChar w:fldCharType="begin"/>
            </w:r>
            <w:r w:rsidR="00513646" w:rsidRPr="004C78D8">
              <w:rPr>
                <w:sz w:val="18"/>
                <w:szCs w:val="18"/>
              </w:rPr>
              <w:instrText xml:space="preserve"> ADDIN EN.CITE &lt;EndNote&gt;&lt;Cite&gt;&lt;Author&gt;Day&lt;/Author&gt;&lt;Year&gt;2009&lt;/Year&gt;&lt;RecNum&gt;346&lt;/RecNum&gt;&lt;DisplayText&gt;[167]&lt;/DisplayText&gt;&lt;record&gt;&lt;rec-number&gt;346&lt;/rec-number&gt;&lt;foreign-keys&gt;&lt;key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4C78D8">
              <w:rPr>
                <w:sz w:val="18"/>
                <w:szCs w:val="18"/>
              </w:rPr>
              <w:fldChar w:fldCharType="separate"/>
            </w:r>
            <w:r w:rsidR="00513646" w:rsidRPr="004C78D8">
              <w:rPr>
                <w:noProof/>
                <w:sz w:val="18"/>
                <w:szCs w:val="18"/>
              </w:rPr>
              <w:t>[167]</w:t>
            </w:r>
            <w:r w:rsidRPr="004C78D8">
              <w:rPr>
                <w:sz w:val="18"/>
                <w:szCs w:val="18"/>
              </w:rPr>
              <w:fldChar w:fldCharType="end"/>
            </w:r>
          </w:p>
        </w:tc>
      </w:tr>
      <w:tr w:rsidR="00F92C43" w:rsidRPr="004C78D8" w14:paraId="737BB95D" w14:textId="77777777" w:rsidTr="00E35893">
        <w:tc>
          <w:tcPr>
            <w:tcW w:w="896" w:type="pct"/>
            <w:vMerge/>
          </w:tcPr>
          <w:p w14:paraId="197E3113" w14:textId="77777777" w:rsidR="00F92C43" w:rsidRPr="004C78D8" w:rsidRDefault="00F92C43" w:rsidP="00FB7C1F">
            <w:pPr>
              <w:jc w:val="left"/>
              <w:rPr>
                <w:sz w:val="18"/>
                <w:szCs w:val="18"/>
              </w:rPr>
            </w:pPr>
          </w:p>
        </w:tc>
        <w:tc>
          <w:tcPr>
            <w:tcW w:w="2042" w:type="pct"/>
            <w:tcBorders>
              <w:top w:val="nil"/>
              <w:bottom w:val="nil"/>
            </w:tcBorders>
          </w:tcPr>
          <w:p w14:paraId="192D6DD6" w14:textId="3E2D0E13" w:rsidR="00F92C43" w:rsidRPr="004C78D8" w:rsidRDefault="00F92C43" w:rsidP="00FB7C1F">
            <w:pPr>
              <w:jc w:val="left"/>
              <w:rPr>
                <w:sz w:val="18"/>
                <w:szCs w:val="18"/>
              </w:rPr>
            </w:pPr>
            <w:r w:rsidRPr="004C78D8">
              <w:rPr>
                <w:sz w:val="18"/>
                <w:szCs w:val="18"/>
              </w:rPr>
              <w:t>New footwear for 19% of clients</w:t>
            </w:r>
          </w:p>
        </w:tc>
        <w:tc>
          <w:tcPr>
            <w:tcW w:w="1409" w:type="pct"/>
            <w:tcBorders>
              <w:top w:val="nil"/>
              <w:bottom w:val="nil"/>
            </w:tcBorders>
          </w:tcPr>
          <w:p w14:paraId="42E2432F" w14:textId="5D766102" w:rsidR="00F92C43" w:rsidRPr="004C78D8" w:rsidRDefault="00F92C43" w:rsidP="00FB7C1F">
            <w:pPr>
              <w:jc w:val="left"/>
              <w:rPr>
                <w:sz w:val="18"/>
                <w:szCs w:val="18"/>
              </w:rPr>
            </w:pPr>
            <w:r w:rsidRPr="004C78D8">
              <w:rPr>
                <w:sz w:val="18"/>
                <w:szCs w:val="18"/>
              </w:rPr>
              <w:t>£10.79 expected per client</w:t>
            </w:r>
          </w:p>
        </w:tc>
        <w:tc>
          <w:tcPr>
            <w:tcW w:w="653" w:type="pct"/>
            <w:tcBorders>
              <w:top w:val="nil"/>
              <w:bottom w:val="nil"/>
            </w:tcBorders>
          </w:tcPr>
          <w:p w14:paraId="7D3849FF" w14:textId="55A9A0F4" w:rsidR="00F92C43" w:rsidRPr="004C78D8" w:rsidRDefault="00F92C43" w:rsidP="00FB7C1F">
            <w:pPr>
              <w:jc w:val="left"/>
              <w:rPr>
                <w:sz w:val="18"/>
                <w:szCs w:val="18"/>
              </w:rPr>
            </w:pPr>
            <w:r w:rsidRPr="004C78D8">
              <w:rPr>
                <w:sz w:val="18"/>
                <w:szCs w:val="18"/>
              </w:rPr>
              <w:fldChar w:fldCharType="begin"/>
            </w:r>
            <w:r w:rsidR="00513646" w:rsidRPr="004C78D8">
              <w:rPr>
                <w:sz w:val="18"/>
                <w:szCs w:val="18"/>
              </w:rPr>
              <w:instrText xml:space="preserve"> ADDIN EN.CITE &lt;EndNote&gt;&lt;Cite&gt;&lt;Author&gt;Day&lt;/Author&gt;&lt;Year&gt;2009&lt;/Year&gt;&lt;RecNum&gt;346&lt;/RecNum&gt;&lt;DisplayText&gt;[167]&lt;/DisplayText&gt;&lt;record&gt;&lt;rec-number&gt;346&lt;/rec-number&gt;&lt;foreign-keys&gt;&lt;key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4C78D8">
              <w:rPr>
                <w:sz w:val="18"/>
                <w:szCs w:val="18"/>
              </w:rPr>
              <w:fldChar w:fldCharType="separate"/>
            </w:r>
            <w:r w:rsidR="00513646" w:rsidRPr="004C78D8">
              <w:rPr>
                <w:noProof/>
                <w:sz w:val="18"/>
                <w:szCs w:val="18"/>
              </w:rPr>
              <w:t>[167]</w:t>
            </w:r>
            <w:r w:rsidRPr="004C78D8">
              <w:rPr>
                <w:sz w:val="18"/>
                <w:szCs w:val="18"/>
              </w:rPr>
              <w:fldChar w:fldCharType="end"/>
            </w:r>
          </w:p>
        </w:tc>
      </w:tr>
      <w:tr w:rsidR="00F92C43" w:rsidRPr="004C78D8" w14:paraId="696717B9" w14:textId="77777777" w:rsidTr="00E35893">
        <w:tc>
          <w:tcPr>
            <w:tcW w:w="896" w:type="pct"/>
            <w:vMerge/>
          </w:tcPr>
          <w:p w14:paraId="2DFC05A4" w14:textId="77777777" w:rsidR="00F92C43" w:rsidRPr="004C78D8" w:rsidRDefault="00F92C43" w:rsidP="00FB7C1F">
            <w:pPr>
              <w:jc w:val="left"/>
              <w:rPr>
                <w:sz w:val="18"/>
                <w:szCs w:val="18"/>
              </w:rPr>
            </w:pPr>
          </w:p>
        </w:tc>
        <w:tc>
          <w:tcPr>
            <w:tcW w:w="2042" w:type="pct"/>
            <w:tcBorders>
              <w:top w:val="nil"/>
              <w:bottom w:val="nil"/>
            </w:tcBorders>
          </w:tcPr>
          <w:p w14:paraId="38713607" w14:textId="4DC3CEE1" w:rsidR="00F92C43" w:rsidRPr="004C78D8" w:rsidRDefault="00F92C43" w:rsidP="00FB7C1F">
            <w:pPr>
              <w:jc w:val="left"/>
              <w:rPr>
                <w:sz w:val="18"/>
                <w:szCs w:val="18"/>
              </w:rPr>
            </w:pPr>
            <w:r w:rsidRPr="004C78D8">
              <w:rPr>
                <w:sz w:val="18"/>
                <w:szCs w:val="18"/>
              </w:rPr>
              <w:t>2 referrals to community OT service for 20% of clients</w:t>
            </w:r>
          </w:p>
        </w:tc>
        <w:tc>
          <w:tcPr>
            <w:tcW w:w="1409" w:type="pct"/>
            <w:tcBorders>
              <w:top w:val="nil"/>
              <w:bottom w:val="nil"/>
            </w:tcBorders>
          </w:tcPr>
          <w:p w14:paraId="2BDA3A22" w14:textId="59CECCEF" w:rsidR="00F92C43" w:rsidRPr="004C78D8" w:rsidRDefault="00F92C43" w:rsidP="00FB7C1F">
            <w:pPr>
              <w:jc w:val="left"/>
              <w:rPr>
                <w:sz w:val="18"/>
                <w:szCs w:val="18"/>
              </w:rPr>
            </w:pPr>
            <w:r w:rsidRPr="004C78D8">
              <w:rPr>
                <w:sz w:val="18"/>
                <w:szCs w:val="18"/>
              </w:rPr>
              <w:t>£19.97 expected per client</w:t>
            </w:r>
          </w:p>
        </w:tc>
        <w:tc>
          <w:tcPr>
            <w:tcW w:w="653" w:type="pct"/>
            <w:tcBorders>
              <w:top w:val="nil"/>
              <w:bottom w:val="nil"/>
            </w:tcBorders>
          </w:tcPr>
          <w:p w14:paraId="6DF4F4FA" w14:textId="71BAFE1D" w:rsidR="00F92C43" w:rsidRPr="004C78D8" w:rsidRDefault="00F92C43"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&lt;EndNote&gt;&lt;Cite&gt;&lt;Author&gt;Curtis&lt;/Author&gt;&lt;Year&gt;2019&lt;/Year&gt;&lt;RecNum&gt;135&lt;/RecNum&gt;&lt;DisplayText&gt;[401]&lt;/DisplayText&gt;&lt;record&gt;&lt;rec-number&gt;135&lt;/rec-number&gt;&lt;foreign-keys&gt;&lt;key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Pr="004C78D8">
              <w:rPr>
                <w:sz w:val="18"/>
                <w:szCs w:val="18"/>
              </w:rPr>
              <w:fldChar w:fldCharType="separate"/>
            </w:r>
            <w:r w:rsidR="00C630FC" w:rsidRPr="004C78D8">
              <w:rPr>
                <w:noProof/>
                <w:sz w:val="18"/>
                <w:szCs w:val="18"/>
              </w:rPr>
              <w:t>[401]</w:t>
            </w:r>
            <w:r w:rsidRPr="004C78D8">
              <w:rPr>
                <w:sz w:val="18"/>
                <w:szCs w:val="18"/>
              </w:rPr>
              <w:fldChar w:fldCharType="end"/>
            </w:r>
          </w:p>
        </w:tc>
      </w:tr>
      <w:tr w:rsidR="00956EC9" w:rsidRPr="004C78D8" w14:paraId="6EAD5CBF" w14:textId="77777777" w:rsidTr="00E35893">
        <w:tc>
          <w:tcPr>
            <w:tcW w:w="896" w:type="pct"/>
            <w:vMerge w:val="restart"/>
          </w:tcPr>
          <w:p w14:paraId="1AECE0B5" w14:textId="651E9BE3" w:rsidR="00956EC9" w:rsidRPr="004C78D8" w:rsidRDefault="00956EC9" w:rsidP="00FB7C1F">
            <w:pPr>
              <w:jc w:val="left"/>
              <w:rPr>
                <w:sz w:val="18"/>
                <w:szCs w:val="18"/>
              </w:rPr>
            </w:pPr>
            <w:r w:rsidRPr="004C78D8">
              <w:rPr>
                <w:sz w:val="18"/>
                <w:szCs w:val="18"/>
              </w:rPr>
              <w:t>Non-public sector cost per client</w:t>
            </w:r>
          </w:p>
        </w:tc>
        <w:tc>
          <w:tcPr>
            <w:tcW w:w="2042" w:type="pct"/>
            <w:tcBorders>
              <w:bottom w:val="nil"/>
            </w:tcBorders>
          </w:tcPr>
          <w:p w14:paraId="0C753196" w14:textId="20128379" w:rsidR="00956EC9" w:rsidRPr="004C78D8" w:rsidRDefault="00956EC9" w:rsidP="00FB7C1F">
            <w:pPr>
              <w:jc w:val="left"/>
              <w:rPr>
                <w:sz w:val="18"/>
                <w:szCs w:val="18"/>
              </w:rPr>
            </w:pPr>
            <w:r w:rsidRPr="004C78D8">
              <w:rPr>
                <w:sz w:val="18"/>
                <w:szCs w:val="18"/>
              </w:rPr>
              <w:t>HAM major modifications (self-funded)</w:t>
            </w:r>
          </w:p>
        </w:tc>
        <w:tc>
          <w:tcPr>
            <w:tcW w:w="1409" w:type="pct"/>
            <w:tcBorders>
              <w:bottom w:val="nil"/>
            </w:tcBorders>
          </w:tcPr>
          <w:p w14:paraId="0AA43B9B" w14:textId="53348639" w:rsidR="00956EC9" w:rsidRPr="004C78D8" w:rsidRDefault="00956EC9" w:rsidP="00FB7C1F">
            <w:pPr>
              <w:jc w:val="left"/>
              <w:rPr>
                <w:sz w:val="18"/>
                <w:szCs w:val="18"/>
              </w:rPr>
            </w:pPr>
            <w:r w:rsidRPr="004C78D8">
              <w:rPr>
                <w:sz w:val="18"/>
                <w:szCs w:val="18"/>
              </w:rPr>
              <w:t>£94.97</w:t>
            </w:r>
          </w:p>
        </w:tc>
        <w:tc>
          <w:tcPr>
            <w:tcW w:w="653" w:type="pct"/>
            <w:tcBorders>
              <w:bottom w:val="nil"/>
            </w:tcBorders>
          </w:tcPr>
          <w:p w14:paraId="598F6F4A" w14:textId="3680E046" w:rsidR="00956EC9" w:rsidRPr="004C78D8" w:rsidRDefault="00956EC9"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4C78D8">
              <w:rPr>
                <w:sz w:val="18"/>
                <w:szCs w:val="18"/>
              </w:rPr>
              <w:fldChar w:fldCharType="separate"/>
            </w:r>
            <w:r w:rsidR="00C630FC" w:rsidRPr="004C78D8">
              <w:rPr>
                <w:noProof/>
                <w:sz w:val="18"/>
                <w:szCs w:val="18"/>
              </w:rPr>
              <w:t>[216]</w:t>
            </w:r>
            <w:r w:rsidRPr="004C78D8">
              <w:rPr>
                <w:sz w:val="18"/>
                <w:szCs w:val="18"/>
              </w:rPr>
              <w:fldChar w:fldCharType="end"/>
            </w:r>
          </w:p>
        </w:tc>
      </w:tr>
      <w:tr w:rsidR="00956EC9" w:rsidRPr="004C78D8" w14:paraId="6C25387B" w14:textId="77777777" w:rsidTr="00E35893">
        <w:tc>
          <w:tcPr>
            <w:tcW w:w="896" w:type="pct"/>
            <w:vMerge/>
          </w:tcPr>
          <w:p w14:paraId="3EC00A19" w14:textId="77777777" w:rsidR="00956EC9" w:rsidRPr="004C78D8" w:rsidRDefault="00956EC9" w:rsidP="00FB7C1F">
            <w:pPr>
              <w:jc w:val="left"/>
              <w:rPr>
                <w:sz w:val="18"/>
                <w:szCs w:val="18"/>
              </w:rPr>
            </w:pPr>
          </w:p>
        </w:tc>
        <w:tc>
          <w:tcPr>
            <w:tcW w:w="2042" w:type="pct"/>
            <w:tcBorders>
              <w:top w:val="nil"/>
              <w:bottom w:val="single" w:sz="4" w:space="0" w:color="auto"/>
            </w:tcBorders>
          </w:tcPr>
          <w:p w14:paraId="685034DA" w14:textId="0062DFBA" w:rsidR="00956EC9" w:rsidRPr="004C78D8" w:rsidRDefault="00956EC9" w:rsidP="00FB7C1F">
            <w:pPr>
              <w:jc w:val="left"/>
              <w:rPr>
                <w:sz w:val="18"/>
                <w:szCs w:val="18"/>
              </w:rPr>
            </w:pPr>
            <w:r w:rsidRPr="004C78D8">
              <w:rPr>
                <w:sz w:val="18"/>
                <w:szCs w:val="18"/>
              </w:rPr>
              <w:t>Time opportunity cost – informal caregiver for CI patient</w:t>
            </w:r>
            <w:r w:rsidRPr="004C78D8">
              <w:rPr>
                <w:sz w:val="18"/>
                <w:szCs w:val="18"/>
                <w:vertAlign w:val="superscript"/>
              </w:rPr>
              <w:t>3</w:t>
            </w:r>
          </w:p>
        </w:tc>
        <w:tc>
          <w:tcPr>
            <w:tcW w:w="1409" w:type="pct"/>
            <w:tcBorders>
              <w:top w:val="nil"/>
              <w:bottom w:val="single" w:sz="4" w:space="0" w:color="auto"/>
            </w:tcBorders>
          </w:tcPr>
          <w:p w14:paraId="261F8B07" w14:textId="268E32A6" w:rsidR="00956EC9" w:rsidRPr="004C78D8" w:rsidRDefault="00956EC9" w:rsidP="00FB7C1F">
            <w:pPr>
              <w:jc w:val="left"/>
              <w:rPr>
                <w:sz w:val="18"/>
                <w:szCs w:val="18"/>
              </w:rPr>
            </w:pPr>
            <w:r w:rsidRPr="004C78D8">
              <w:rPr>
                <w:sz w:val="18"/>
                <w:szCs w:val="18"/>
              </w:rPr>
              <w:t>£17.44 per year</w:t>
            </w:r>
          </w:p>
        </w:tc>
        <w:tc>
          <w:tcPr>
            <w:tcW w:w="653" w:type="pct"/>
            <w:tcBorders>
              <w:top w:val="nil"/>
              <w:bottom w:val="single" w:sz="4" w:space="0" w:color="auto"/>
            </w:tcBorders>
          </w:tcPr>
          <w:p w14:paraId="232561CA" w14:textId="77777777" w:rsidR="00956EC9" w:rsidRPr="004C78D8" w:rsidRDefault="00956EC9" w:rsidP="00FB7C1F">
            <w:pPr>
              <w:jc w:val="left"/>
              <w:rPr>
                <w:sz w:val="18"/>
                <w:szCs w:val="18"/>
              </w:rPr>
            </w:pPr>
          </w:p>
        </w:tc>
      </w:tr>
      <w:tr w:rsidR="00956EC9" w:rsidRPr="004C78D8" w14:paraId="204777B6" w14:textId="77777777" w:rsidTr="00E35893">
        <w:tc>
          <w:tcPr>
            <w:tcW w:w="896" w:type="pct"/>
            <w:vMerge w:val="restart"/>
          </w:tcPr>
          <w:p w14:paraId="6AF4A611" w14:textId="77777777" w:rsidR="00956EC9" w:rsidRPr="004C78D8" w:rsidRDefault="00956EC9" w:rsidP="00FB7C1F">
            <w:pPr>
              <w:jc w:val="left"/>
              <w:rPr>
                <w:sz w:val="18"/>
                <w:szCs w:val="18"/>
              </w:rPr>
            </w:pPr>
            <w:r w:rsidRPr="004C78D8">
              <w:rPr>
                <w:sz w:val="18"/>
                <w:szCs w:val="18"/>
              </w:rPr>
              <w:t>Public sector cost</w:t>
            </w:r>
          </w:p>
        </w:tc>
        <w:tc>
          <w:tcPr>
            <w:tcW w:w="2042" w:type="pct"/>
            <w:tcBorders>
              <w:bottom w:val="nil"/>
            </w:tcBorders>
          </w:tcPr>
          <w:p w14:paraId="4693BCDB" w14:textId="574D4A69" w:rsidR="00956EC9" w:rsidRPr="004C78D8" w:rsidRDefault="00956EC9" w:rsidP="00FB7C1F">
            <w:pPr>
              <w:jc w:val="left"/>
              <w:rPr>
                <w:b/>
                <w:bCs/>
                <w:sz w:val="18"/>
                <w:szCs w:val="18"/>
              </w:rPr>
            </w:pPr>
            <w:r w:rsidRPr="004C78D8">
              <w:rPr>
                <w:b/>
                <w:bCs/>
                <w:sz w:val="18"/>
                <w:szCs w:val="18"/>
              </w:rPr>
              <w:t>Average cost per client</w:t>
            </w:r>
          </w:p>
        </w:tc>
        <w:tc>
          <w:tcPr>
            <w:tcW w:w="1409" w:type="pct"/>
            <w:tcBorders>
              <w:bottom w:val="nil"/>
            </w:tcBorders>
          </w:tcPr>
          <w:p w14:paraId="032786FD" w14:textId="4135C04F" w:rsidR="00956EC9" w:rsidRPr="004C78D8" w:rsidRDefault="00956EC9" w:rsidP="00FB7C1F">
            <w:pPr>
              <w:jc w:val="left"/>
              <w:rPr>
                <w:b/>
                <w:bCs/>
                <w:sz w:val="18"/>
                <w:szCs w:val="18"/>
              </w:rPr>
            </w:pPr>
            <w:r w:rsidRPr="004C78D8">
              <w:rPr>
                <w:b/>
                <w:bCs/>
                <w:sz w:val="18"/>
                <w:szCs w:val="18"/>
              </w:rPr>
              <w:t>£303.43 per year</w:t>
            </w:r>
          </w:p>
        </w:tc>
        <w:tc>
          <w:tcPr>
            <w:tcW w:w="653" w:type="pct"/>
            <w:tcBorders>
              <w:bottom w:val="nil"/>
            </w:tcBorders>
          </w:tcPr>
          <w:p w14:paraId="1E72417F" w14:textId="77777777" w:rsidR="00956EC9" w:rsidRPr="004C78D8" w:rsidRDefault="00956EC9" w:rsidP="00FB7C1F">
            <w:pPr>
              <w:jc w:val="left"/>
              <w:rPr>
                <w:sz w:val="18"/>
                <w:szCs w:val="18"/>
              </w:rPr>
            </w:pPr>
          </w:p>
        </w:tc>
      </w:tr>
      <w:tr w:rsidR="00956EC9" w:rsidRPr="004C78D8" w14:paraId="4CED4C3B" w14:textId="77777777" w:rsidTr="00E35893">
        <w:tc>
          <w:tcPr>
            <w:tcW w:w="896" w:type="pct"/>
            <w:vMerge/>
          </w:tcPr>
          <w:p w14:paraId="70C85209" w14:textId="77777777" w:rsidR="00956EC9" w:rsidRPr="004C78D8" w:rsidRDefault="00956EC9" w:rsidP="00FB7C1F">
            <w:pPr>
              <w:jc w:val="left"/>
              <w:rPr>
                <w:sz w:val="18"/>
                <w:szCs w:val="18"/>
              </w:rPr>
            </w:pPr>
          </w:p>
        </w:tc>
        <w:tc>
          <w:tcPr>
            <w:tcW w:w="2042" w:type="pct"/>
            <w:tcBorders>
              <w:top w:val="nil"/>
              <w:bottom w:val="nil"/>
            </w:tcBorders>
          </w:tcPr>
          <w:p w14:paraId="50002A11" w14:textId="2B3B6389" w:rsidR="00956EC9" w:rsidRPr="004C78D8" w:rsidRDefault="00956EC9" w:rsidP="00FB7C1F">
            <w:pPr>
              <w:jc w:val="left"/>
              <w:rPr>
                <w:b/>
                <w:bCs/>
                <w:sz w:val="18"/>
                <w:szCs w:val="18"/>
              </w:rPr>
            </w:pPr>
            <w:r w:rsidRPr="004C78D8">
              <w:rPr>
                <w:b/>
                <w:bCs/>
                <w:sz w:val="18"/>
                <w:szCs w:val="18"/>
              </w:rPr>
              <w:t>Average cost per client with intervention history</w:t>
            </w:r>
            <w:r w:rsidRPr="004C78D8">
              <w:rPr>
                <w:b/>
                <w:bCs/>
                <w:sz w:val="18"/>
                <w:szCs w:val="18"/>
                <w:vertAlign w:val="superscript"/>
              </w:rPr>
              <w:t>4</w:t>
            </w:r>
          </w:p>
        </w:tc>
        <w:tc>
          <w:tcPr>
            <w:tcW w:w="1409" w:type="pct"/>
            <w:tcBorders>
              <w:top w:val="nil"/>
              <w:bottom w:val="nil"/>
            </w:tcBorders>
          </w:tcPr>
          <w:p w14:paraId="7C9F0220" w14:textId="6F2EF5CB" w:rsidR="00956EC9" w:rsidRPr="004C78D8" w:rsidRDefault="00956EC9" w:rsidP="00FB7C1F">
            <w:pPr>
              <w:jc w:val="left"/>
              <w:rPr>
                <w:b/>
                <w:bCs/>
                <w:sz w:val="18"/>
                <w:szCs w:val="18"/>
              </w:rPr>
            </w:pPr>
            <w:r w:rsidRPr="004C78D8">
              <w:rPr>
                <w:b/>
                <w:bCs/>
                <w:sz w:val="18"/>
                <w:szCs w:val="18"/>
              </w:rPr>
              <w:t>£176.37 per year</w:t>
            </w:r>
          </w:p>
        </w:tc>
        <w:tc>
          <w:tcPr>
            <w:tcW w:w="653" w:type="pct"/>
            <w:tcBorders>
              <w:top w:val="nil"/>
              <w:bottom w:val="nil"/>
            </w:tcBorders>
          </w:tcPr>
          <w:p w14:paraId="7B2170B2" w14:textId="77777777" w:rsidR="00956EC9" w:rsidRPr="004C78D8" w:rsidRDefault="00956EC9" w:rsidP="00FB7C1F">
            <w:pPr>
              <w:jc w:val="left"/>
              <w:rPr>
                <w:sz w:val="18"/>
                <w:szCs w:val="18"/>
              </w:rPr>
            </w:pPr>
          </w:p>
        </w:tc>
      </w:tr>
      <w:tr w:rsidR="00282707" w:rsidRPr="004C78D8" w14:paraId="71FCB936" w14:textId="77777777" w:rsidTr="00E35893">
        <w:tc>
          <w:tcPr>
            <w:tcW w:w="5000" w:type="pct"/>
            <w:gridSpan w:val="4"/>
          </w:tcPr>
          <w:p w14:paraId="4CDA690B" w14:textId="2F4B676B" w:rsidR="00282707" w:rsidRPr="004C78D8" w:rsidRDefault="00282707" w:rsidP="00FB7C1F">
            <w:pPr>
              <w:jc w:val="left"/>
              <w:rPr>
                <w:b/>
                <w:bCs/>
              </w:rPr>
            </w:pPr>
            <w:r w:rsidRPr="004C78D8">
              <w:rPr>
                <w:b/>
                <w:bCs/>
                <w:sz w:val="20"/>
                <w:szCs w:val="20"/>
              </w:rPr>
              <w:t xml:space="preserve">(2) </w:t>
            </w:r>
            <w:r w:rsidR="005A3BC0" w:rsidRPr="004C78D8">
              <w:rPr>
                <w:b/>
                <w:bCs/>
                <w:sz w:val="20"/>
                <w:szCs w:val="20"/>
              </w:rPr>
              <w:t xml:space="preserve">20-week </w:t>
            </w:r>
            <w:r w:rsidR="0035522D" w:rsidRPr="004C78D8">
              <w:rPr>
                <w:b/>
                <w:bCs/>
                <w:sz w:val="20"/>
                <w:szCs w:val="20"/>
              </w:rPr>
              <w:t>Tai Chi</w:t>
            </w:r>
            <w:r w:rsidRPr="004C78D8">
              <w:rPr>
                <w:b/>
                <w:bCs/>
                <w:sz w:val="20"/>
                <w:szCs w:val="20"/>
              </w:rPr>
              <w:t xml:space="preserve"> for cognitively impaired persons </w:t>
            </w:r>
            <w:r w:rsidR="006C5AAC" w:rsidRPr="004C78D8">
              <w:rPr>
                <w:b/>
                <w:bCs/>
                <w:sz w:val="20"/>
                <w:szCs w:val="20"/>
              </w:rPr>
              <w:t>and their caregivers</w:t>
            </w:r>
          </w:p>
        </w:tc>
      </w:tr>
      <w:tr w:rsidR="00110366" w:rsidRPr="004C78D8" w14:paraId="11E8D9E6" w14:textId="77777777" w:rsidTr="00E35893">
        <w:tc>
          <w:tcPr>
            <w:tcW w:w="896" w:type="pct"/>
            <w:vMerge w:val="restart"/>
          </w:tcPr>
          <w:p w14:paraId="075A543E" w14:textId="77777777" w:rsidR="00110366" w:rsidRPr="004C78D8" w:rsidRDefault="00110366" w:rsidP="00FB7C1F">
            <w:pPr>
              <w:jc w:val="left"/>
              <w:rPr>
                <w:sz w:val="18"/>
                <w:szCs w:val="18"/>
              </w:rPr>
            </w:pPr>
            <w:r w:rsidRPr="004C78D8">
              <w:rPr>
                <w:sz w:val="18"/>
                <w:szCs w:val="18"/>
              </w:rPr>
              <w:t>Risk screening and access</w:t>
            </w:r>
          </w:p>
        </w:tc>
        <w:tc>
          <w:tcPr>
            <w:tcW w:w="2042" w:type="pct"/>
            <w:tcBorders>
              <w:bottom w:val="nil"/>
            </w:tcBorders>
          </w:tcPr>
          <w:p w14:paraId="2F5E794F" w14:textId="4E90C458" w:rsidR="00110366" w:rsidRPr="004C78D8" w:rsidRDefault="00110366" w:rsidP="00FB7C1F">
            <w:pPr>
              <w:jc w:val="left"/>
              <w:rPr>
                <w:sz w:val="18"/>
                <w:szCs w:val="18"/>
              </w:rPr>
            </w:pPr>
            <w:r w:rsidRPr="004C78D8">
              <w:rPr>
                <w:sz w:val="18"/>
                <w:szCs w:val="18"/>
              </w:rPr>
              <w:t>Screening at GP contact (proactive only)</w:t>
            </w:r>
          </w:p>
        </w:tc>
        <w:tc>
          <w:tcPr>
            <w:tcW w:w="1409" w:type="pct"/>
            <w:tcBorders>
              <w:bottom w:val="nil"/>
            </w:tcBorders>
          </w:tcPr>
          <w:p w14:paraId="531AA38E" w14:textId="4FF197DD" w:rsidR="00110366" w:rsidRPr="004C78D8" w:rsidRDefault="00110366" w:rsidP="00FB7C1F">
            <w:pPr>
              <w:jc w:val="left"/>
              <w:rPr>
                <w:sz w:val="18"/>
                <w:szCs w:val="18"/>
              </w:rPr>
            </w:pPr>
            <w:r w:rsidRPr="004C78D8">
              <w:rPr>
                <w:sz w:val="18"/>
                <w:szCs w:val="18"/>
              </w:rPr>
              <w:t>£10.83 per client</w:t>
            </w:r>
          </w:p>
        </w:tc>
        <w:tc>
          <w:tcPr>
            <w:tcW w:w="653" w:type="pct"/>
            <w:tcBorders>
              <w:bottom w:val="nil"/>
            </w:tcBorders>
          </w:tcPr>
          <w:p w14:paraId="40016E14" w14:textId="7A09E636" w:rsidR="00110366" w:rsidRPr="004C78D8" w:rsidRDefault="00110366"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&lt;EndNote&gt;&lt;Cite&gt;&lt;Author&gt;Franklin&lt;/Author&gt;&lt;Year&gt;2019&lt;/Year&gt;&lt;RecNum&gt;395&lt;/RecNum&gt;&lt;DisplayText&gt;[363]&lt;/DisplayText&gt;&lt;record&gt;&lt;rec-number&gt;395&lt;/rec-number&gt;&lt;foreign-keys&gt;&lt;key app="EN" db-id="tdtrdw9aepptzbefsat599syza29sxsd2wsp" timestamp="1612694614"&gt;395&lt;/key&gt;&lt;/foreign-keys&gt;&lt;ref-type name="Journal Article"&gt;17&lt;/ref-type&gt;&lt;contributors&gt;&lt;authors&gt;&lt;author&gt;Franklin, Matthew&lt;/author&gt;&lt;author&gt;Hunter, Rachael Maree&lt;/author&gt;&lt;/authors&gt;&lt;/contributors&gt;&lt;titles&gt;&lt;title&gt;A modelling-based economic evaluation of primary-care-based fall-risk screening followed by fall-prevention intervention: a cohort-based Markov model stratified by older age groups&lt;/title&gt;&lt;secondary-title&gt;Age and ageing&lt;/secondary-title&gt;&lt;/titles&gt;&lt;periodical&gt;&lt;full-title&gt;Age and ageing&lt;/full-title&gt;&lt;/periodical&gt;&lt;dates&gt;&lt;year&gt;2019&lt;/year&gt;&lt;/dates&gt;&lt;urls&gt;&lt;/urls&gt;&lt;/record&gt;&lt;/Cite&gt;&lt;/EndNote&gt;</w:instrText>
            </w:r>
            <w:r w:rsidRPr="004C78D8">
              <w:rPr>
                <w:sz w:val="18"/>
                <w:szCs w:val="18"/>
              </w:rPr>
              <w:fldChar w:fldCharType="separate"/>
            </w:r>
            <w:r w:rsidR="00C630FC" w:rsidRPr="004C78D8">
              <w:rPr>
                <w:noProof/>
                <w:sz w:val="18"/>
                <w:szCs w:val="18"/>
              </w:rPr>
              <w:t>[363]</w:t>
            </w:r>
            <w:r w:rsidRPr="004C78D8">
              <w:rPr>
                <w:sz w:val="18"/>
                <w:szCs w:val="18"/>
              </w:rPr>
              <w:fldChar w:fldCharType="end"/>
            </w:r>
          </w:p>
        </w:tc>
      </w:tr>
      <w:tr w:rsidR="00110366" w:rsidRPr="004C78D8" w14:paraId="72634797" w14:textId="77777777" w:rsidTr="00E35893">
        <w:tc>
          <w:tcPr>
            <w:tcW w:w="896" w:type="pct"/>
            <w:vMerge/>
          </w:tcPr>
          <w:p w14:paraId="25CD02C4" w14:textId="77777777" w:rsidR="00110366" w:rsidRPr="004C78D8" w:rsidRDefault="00110366" w:rsidP="00FB7C1F">
            <w:pPr>
              <w:jc w:val="left"/>
              <w:rPr>
                <w:sz w:val="18"/>
                <w:szCs w:val="18"/>
              </w:rPr>
            </w:pPr>
          </w:p>
        </w:tc>
        <w:tc>
          <w:tcPr>
            <w:tcW w:w="2042" w:type="pct"/>
            <w:tcBorders>
              <w:top w:val="nil"/>
              <w:bottom w:val="nil"/>
            </w:tcBorders>
          </w:tcPr>
          <w:p w14:paraId="44EFE7A7" w14:textId="01AE01CE" w:rsidR="00110366" w:rsidRPr="004C78D8" w:rsidRDefault="00110366" w:rsidP="00FB7C1F">
            <w:pPr>
              <w:jc w:val="left"/>
              <w:rPr>
                <w:sz w:val="18"/>
                <w:szCs w:val="18"/>
              </w:rPr>
            </w:pPr>
            <w:r w:rsidRPr="004C78D8">
              <w:rPr>
                <w:sz w:val="18"/>
                <w:szCs w:val="18"/>
              </w:rPr>
              <w:t>Travel cost (proactive only)</w:t>
            </w:r>
          </w:p>
        </w:tc>
        <w:tc>
          <w:tcPr>
            <w:tcW w:w="1409" w:type="pct"/>
            <w:tcBorders>
              <w:top w:val="nil"/>
              <w:bottom w:val="nil"/>
            </w:tcBorders>
          </w:tcPr>
          <w:p w14:paraId="2F0FA022" w14:textId="558B3CCC" w:rsidR="00110366" w:rsidRPr="004C78D8" w:rsidRDefault="00110366" w:rsidP="00FB7C1F">
            <w:pPr>
              <w:jc w:val="left"/>
              <w:rPr>
                <w:sz w:val="18"/>
                <w:szCs w:val="18"/>
              </w:rPr>
            </w:pPr>
            <w:r w:rsidRPr="004C78D8">
              <w:rPr>
                <w:sz w:val="18"/>
                <w:szCs w:val="18"/>
              </w:rPr>
              <w:t>£62.45 per client</w:t>
            </w:r>
          </w:p>
        </w:tc>
        <w:tc>
          <w:tcPr>
            <w:tcW w:w="653" w:type="pct"/>
            <w:tcBorders>
              <w:top w:val="nil"/>
              <w:bottom w:val="nil"/>
            </w:tcBorders>
          </w:tcPr>
          <w:p w14:paraId="057EF400" w14:textId="1C9D2CC4" w:rsidR="00110366" w:rsidRPr="004C78D8" w:rsidRDefault="00110366"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&lt;EndNote&gt;&lt;Cite&gt;&lt;Author&gt;Comans&lt;/Author&gt;&lt;Year&gt;2009&lt;/Year&gt;&lt;RecNum&gt;376&lt;/RecNum&gt;&lt;DisplayText&gt;[207]&lt;/DisplayText&gt;&lt;record&gt;&lt;rec-number&gt;376&lt;/rec-number&gt;&lt;foreign-keys&gt;&lt;key app="EN" db-id="tdtrdw9aepptzbefsat599syza29sxsd2wsp" timestamp="1612625082"&gt;376&lt;/key&gt;&lt;/foreign-keys&gt;&lt;ref-type name="Journal Article"&gt;17&lt;/ref-type&gt;&lt;contributors&gt;&lt;authors&gt;&lt;author&gt;Comans, Tracy&lt;/author&gt;&lt;author&gt;Brauer, Sandy&lt;/author&gt;&lt;author&gt;Haines, Terry&lt;/author&gt;&lt;/authors&gt;&lt;/contributors&gt;&lt;titles&gt;&lt;title&gt;A break-even analysis of a community rehabilitation falls prevention service&lt;/title&gt;&lt;secondary-title&gt;Australian and New Zealand journal of public health&lt;/secondary-title&gt;&lt;/titles&gt;&lt;periodical&gt;&lt;full-title&gt;Australian and New Zealand journal of public health&lt;/full-title&gt;&lt;/periodical&gt;&lt;pages&gt;240-5&lt;/pages&gt;&lt;volume&gt;33&lt;/volume&gt;&lt;number&gt;3&lt;/number&gt;&lt;section&gt;Comans, Tracy. The Community Rehabilitation Service, Southside Health Service District and School of Health and Rehabilitation Sciences, University of Queensland, Queensland, Australia. tracy.comans@uqconnect.edu.au&lt;/section&gt;&lt;keywords&gt;&lt;keyword&gt;*Accidental Falls/pc [Prevention &amp;amp; Control]&lt;/keyword&gt;&lt;keyword&gt;Aged&lt;/keyword&gt;&lt;keyword&gt;Aged, 80 and over&lt;/keyword&gt;&lt;keyword&gt;Cost-Benefit Analysis&lt;/keyword&gt;&lt;keyword&gt;Efficiency, Organizational/ec [Economics]&lt;/keyword&gt;&lt;keyword&gt;*Efficiency, Organizational&lt;/keyword&gt;&lt;keyword&gt;Female&lt;/keyword&gt;&lt;keyword&gt;Humans&lt;/keyword&gt;&lt;keyword&gt;Interdisciplinary Communication&lt;/keyword&gt;&lt;keyword&gt;Male&lt;/keyword&gt;&lt;keyword&gt;Models, Theoretical&lt;/keyword&gt;&lt;keyword&gt;*Preventive Health Services/st [Standards]&lt;/keyword&gt;&lt;keyword&gt;*Rehabilitation Centers&lt;/keyword&gt;&lt;/keywords&gt;&lt;dates&gt;&lt;year&gt;2009&lt;/year&gt;&lt;/dates&gt;&lt;pub-location&gt;Australia&lt;/pub-location&gt;&lt;isbn&gt;1326-0200&lt;/isbn&gt;&lt;urls&gt;&lt;related-urls&gt;&lt;url&gt;http://ovidsp.ovid.com/ovidweb.cgi?T=JS&amp;amp;PAGE=reference&amp;amp;D=med6&amp;amp;NEWS=N&amp;amp;AN=19630843&lt;/url&gt;&lt;/related-urls&gt;&lt;/urls&gt;&lt;electronic-resource-num&gt;https://dx.doi.org/10.1111/j.1753-6405.2009.00382.x&lt;/electronic-resource-num&gt;&lt;remote-database-name&gt;Medline&lt;/remote-database-name&gt;&lt;/record&gt;&lt;/Cite&gt;&lt;/EndNote&gt;</w:instrText>
            </w:r>
            <w:r w:rsidRPr="004C78D8">
              <w:rPr>
                <w:sz w:val="18"/>
                <w:szCs w:val="18"/>
              </w:rPr>
              <w:fldChar w:fldCharType="separate"/>
            </w:r>
            <w:r w:rsidR="00C630FC" w:rsidRPr="004C78D8">
              <w:rPr>
                <w:noProof/>
                <w:sz w:val="18"/>
                <w:szCs w:val="18"/>
              </w:rPr>
              <w:t>[207]</w:t>
            </w:r>
            <w:r w:rsidRPr="004C78D8">
              <w:rPr>
                <w:sz w:val="18"/>
                <w:szCs w:val="18"/>
              </w:rPr>
              <w:fldChar w:fldCharType="end"/>
            </w:r>
          </w:p>
        </w:tc>
      </w:tr>
      <w:tr w:rsidR="00110366" w:rsidRPr="004C78D8" w14:paraId="17C0FE2F" w14:textId="77777777" w:rsidTr="00E35893">
        <w:tc>
          <w:tcPr>
            <w:tcW w:w="896" w:type="pct"/>
            <w:vMerge/>
          </w:tcPr>
          <w:p w14:paraId="1E660596" w14:textId="77777777" w:rsidR="00110366" w:rsidRPr="004C78D8" w:rsidRDefault="00110366" w:rsidP="00FB7C1F">
            <w:pPr>
              <w:jc w:val="left"/>
              <w:rPr>
                <w:sz w:val="18"/>
                <w:szCs w:val="18"/>
              </w:rPr>
            </w:pPr>
          </w:p>
        </w:tc>
        <w:tc>
          <w:tcPr>
            <w:tcW w:w="2042" w:type="pct"/>
            <w:tcBorders>
              <w:top w:val="nil"/>
              <w:bottom w:val="nil"/>
            </w:tcBorders>
          </w:tcPr>
          <w:p w14:paraId="4AF0FE25" w14:textId="58C5C883" w:rsidR="00110366" w:rsidRPr="004C78D8" w:rsidRDefault="00110366" w:rsidP="00FB7C1F">
            <w:pPr>
              <w:jc w:val="left"/>
              <w:rPr>
                <w:sz w:val="18"/>
                <w:szCs w:val="18"/>
              </w:rPr>
            </w:pPr>
            <w:r w:rsidRPr="004C78D8">
              <w:rPr>
                <w:sz w:val="18"/>
                <w:szCs w:val="18"/>
              </w:rPr>
              <w:t>Ongoing administration</w:t>
            </w:r>
            <w:r w:rsidR="001D7D04" w:rsidRPr="004C78D8">
              <w:rPr>
                <w:sz w:val="18"/>
                <w:szCs w:val="18"/>
                <w:vertAlign w:val="superscript"/>
              </w:rPr>
              <w:t>5</w:t>
            </w:r>
          </w:p>
        </w:tc>
        <w:tc>
          <w:tcPr>
            <w:tcW w:w="1409" w:type="pct"/>
            <w:tcBorders>
              <w:top w:val="nil"/>
              <w:bottom w:val="nil"/>
            </w:tcBorders>
          </w:tcPr>
          <w:p w14:paraId="6F4B48CB" w14:textId="1F97BACA" w:rsidR="00110366" w:rsidRPr="004C78D8" w:rsidRDefault="00110366" w:rsidP="00FB7C1F">
            <w:pPr>
              <w:jc w:val="left"/>
              <w:rPr>
                <w:sz w:val="18"/>
                <w:szCs w:val="18"/>
              </w:rPr>
            </w:pPr>
            <w:r w:rsidRPr="004C78D8">
              <w:rPr>
                <w:sz w:val="18"/>
                <w:szCs w:val="18"/>
              </w:rPr>
              <w:t>£50 per client</w:t>
            </w:r>
          </w:p>
        </w:tc>
        <w:tc>
          <w:tcPr>
            <w:tcW w:w="653" w:type="pct"/>
            <w:tcBorders>
              <w:top w:val="nil"/>
              <w:bottom w:val="nil"/>
            </w:tcBorders>
          </w:tcPr>
          <w:p w14:paraId="36348437" w14:textId="1AE0355C" w:rsidR="00110366" w:rsidRPr="004C78D8" w:rsidRDefault="00110366" w:rsidP="00FB7C1F">
            <w:pPr>
              <w:jc w:val="left"/>
              <w:rPr>
                <w:sz w:val="18"/>
                <w:szCs w:val="18"/>
              </w:rPr>
            </w:pPr>
            <w:r w:rsidRPr="004C78D8">
              <w:rPr>
                <w:sz w:val="18"/>
                <w:szCs w:val="18"/>
              </w:rPr>
              <w:t>PCS</w:t>
            </w:r>
          </w:p>
        </w:tc>
      </w:tr>
      <w:tr w:rsidR="00110366" w:rsidRPr="004C78D8" w14:paraId="373EBBEF" w14:textId="77777777" w:rsidTr="00E35893">
        <w:tc>
          <w:tcPr>
            <w:tcW w:w="896" w:type="pct"/>
            <w:vMerge/>
          </w:tcPr>
          <w:p w14:paraId="5EF90F98" w14:textId="77777777" w:rsidR="00110366" w:rsidRPr="004C78D8" w:rsidRDefault="00110366" w:rsidP="00FB7C1F">
            <w:pPr>
              <w:jc w:val="left"/>
              <w:rPr>
                <w:sz w:val="18"/>
                <w:szCs w:val="18"/>
              </w:rPr>
            </w:pPr>
          </w:p>
        </w:tc>
        <w:tc>
          <w:tcPr>
            <w:tcW w:w="2042" w:type="pct"/>
            <w:tcBorders>
              <w:top w:val="nil"/>
              <w:bottom w:val="nil"/>
            </w:tcBorders>
          </w:tcPr>
          <w:p w14:paraId="13D812A3" w14:textId="363A2FDF" w:rsidR="00110366" w:rsidRPr="004C78D8" w:rsidRDefault="00110366" w:rsidP="00FB7C1F">
            <w:pPr>
              <w:jc w:val="left"/>
              <w:rPr>
                <w:sz w:val="18"/>
                <w:szCs w:val="18"/>
              </w:rPr>
            </w:pPr>
            <w:r w:rsidRPr="004C78D8">
              <w:rPr>
                <w:sz w:val="18"/>
                <w:szCs w:val="18"/>
              </w:rPr>
              <w:t>Direct marketing (self-referred only)</w:t>
            </w:r>
          </w:p>
        </w:tc>
        <w:tc>
          <w:tcPr>
            <w:tcW w:w="1409" w:type="pct"/>
            <w:tcBorders>
              <w:top w:val="nil"/>
              <w:bottom w:val="nil"/>
            </w:tcBorders>
          </w:tcPr>
          <w:p w14:paraId="044283BC" w14:textId="04CED435" w:rsidR="00110366" w:rsidRPr="004C78D8" w:rsidRDefault="00110366" w:rsidP="00FB7C1F">
            <w:pPr>
              <w:jc w:val="left"/>
              <w:rPr>
                <w:sz w:val="18"/>
                <w:szCs w:val="18"/>
              </w:rPr>
            </w:pPr>
            <w:r w:rsidRPr="004C78D8">
              <w:rPr>
                <w:sz w:val="18"/>
                <w:szCs w:val="18"/>
              </w:rPr>
              <w:t>£25.31 per client</w:t>
            </w:r>
          </w:p>
        </w:tc>
        <w:tc>
          <w:tcPr>
            <w:tcW w:w="653" w:type="pct"/>
            <w:tcBorders>
              <w:top w:val="nil"/>
              <w:bottom w:val="nil"/>
            </w:tcBorders>
          </w:tcPr>
          <w:p w14:paraId="06C4640B" w14:textId="114E6B1C" w:rsidR="00110366" w:rsidRPr="004C78D8" w:rsidRDefault="00110366" w:rsidP="00FB7C1F">
            <w:pPr>
              <w:jc w:val="left"/>
              <w:rPr>
                <w:sz w:val="18"/>
                <w:szCs w:val="18"/>
              </w:rPr>
            </w:pPr>
            <w:r w:rsidRPr="004C78D8">
              <w:rPr>
                <w:sz w:val="18"/>
                <w:szCs w:val="18"/>
              </w:rPr>
              <w:fldChar w:fldCharType="begin"/>
            </w:r>
            <w:r w:rsidR="00513646" w:rsidRPr="004C78D8">
              <w:rPr>
                <w:sz w:val="18"/>
                <w:szCs w:val="18"/>
              </w:rPr>
              <w:instrText xml:space="preserve"> ADDIN EN.CITE &lt;EndNote&gt;&lt;Cite&gt;&lt;Author&gt;Day&lt;/Author&gt;&lt;Year&gt;2009&lt;/Year&gt;&lt;RecNum&gt;346&lt;/RecNum&gt;&lt;DisplayText&gt;[167]&lt;/DisplayText&gt;&lt;record&gt;&lt;rec-number&gt;346&lt;/rec-number&gt;&lt;foreign-keys&gt;&lt;key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Pr="004C78D8">
              <w:rPr>
                <w:sz w:val="18"/>
                <w:szCs w:val="18"/>
              </w:rPr>
              <w:fldChar w:fldCharType="separate"/>
            </w:r>
            <w:r w:rsidR="00513646" w:rsidRPr="004C78D8">
              <w:rPr>
                <w:noProof/>
                <w:sz w:val="18"/>
                <w:szCs w:val="18"/>
              </w:rPr>
              <w:t>[167]</w:t>
            </w:r>
            <w:r w:rsidRPr="004C78D8">
              <w:rPr>
                <w:sz w:val="18"/>
                <w:szCs w:val="18"/>
              </w:rPr>
              <w:fldChar w:fldCharType="end"/>
            </w:r>
          </w:p>
        </w:tc>
      </w:tr>
      <w:tr w:rsidR="00110366" w:rsidRPr="004C78D8" w14:paraId="1F723DAB" w14:textId="77777777" w:rsidTr="00E35893">
        <w:tc>
          <w:tcPr>
            <w:tcW w:w="896" w:type="pct"/>
            <w:vMerge w:val="restart"/>
          </w:tcPr>
          <w:p w14:paraId="3090767D" w14:textId="77FFAB9F" w:rsidR="00110366" w:rsidRPr="004C78D8" w:rsidRDefault="00110366" w:rsidP="00FB7C1F">
            <w:pPr>
              <w:jc w:val="left"/>
              <w:rPr>
                <w:sz w:val="18"/>
                <w:szCs w:val="18"/>
              </w:rPr>
            </w:pPr>
            <w:r w:rsidRPr="004C78D8">
              <w:rPr>
                <w:sz w:val="18"/>
                <w:szCs w:val="18"/>
              </w:rPr>
              <w:t xml:space="preserve">Therapeutic </w:t>
            </w:r>
            <w:r w:rsidR="00522146" w:rsidRPr="004C78D8">
              <w:rPr>
                <w:sz w:val="18"/>
                <w:szCs w:val="18"/>
              </w:rPr>
              <w:t>component</w:t>
            </w:r>
          </w:p>
        </w:tc>
        <w:tc>
          <w:tcPr>
            <w:tcW w:w="2042" w:type="pct"/>
            <w:tcBorders>
              <w:bottom w:val="nil"/>
            </w:tcBorders>
          </w:tcPr>
          <w:p w14:paraId="311E5F52" w14:textId="10508752" w:rsidR="00110366" w:rsidRPr="004C78D8" w:rsidRDefault="00110366" w:rsidP="00FB7C1F">
            <w:pPr>
              <w:jc w:val="left"/>
              <w:rPr>
                <w:sz w:val="18"/>
                <w:szCs w:val="18"/>
              </w:rPr>
            </w:pPr>
            <w:r w:rsidRPr="004C78D8">
              <w:rPr>
                <w:sz w:val="18"/>
                <w:szCs w:val="18"/>
              </w:rPr>
              <w:t>Staff time</w:t>
            </w:r>
          </w:p>
        </w:tc>
        <w:tc>
          <w:tcPr>
            <w:tcW w:w="1409" w:type="pct"/>
            <w:tcBorders>
              <w:bottom w:val="nil"/>
            </w:tcBorders>
          </w:tcPr>
          <w:p w14:paraId="09694336" w14:textId="40FA09DE" w:rsidR="00110366" w:rsidRPr="004C78D8" w:rsidRDefault="00110366" w:rsidP="00FB7C1F">
            <w:pPr>
              <w:jc w:val="left"/>
              <w:rPr>
                <w:sz w:val="18"/>
                <w:szCs w:val="18"/>
              </w:rPr>
            </w:pPr>
            <w:r w:rsidRPr="004C78D8">
              <w:rPr>
                <w:sz w:val="18"/>
                <w:szCs w:val="18"/>
              </w:rPr>
              <w:t>£367.06 per client</w:t>
            </w:r>
          </w:p>
        </w:tc>
        <w:tc>
          <w:tcPr>
            <w:tcW w:w="653" w:type="pct"/>
            <w:tcBorders>
              <w:bottom w:val="nil"/>
            </w:tcBorders>
          </w:tcPr>
          <w:p w14:paraId="264425FE" w14:textId="62D6FD86" w:rsidR="00110366" w:rsidRPr="004C78D8" w:rsidRDefault="00110366"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&lt;EndNote&gt;&lt;Cite&gt;&lt;Author&gt;Nyman&lt;/Author&gt;&lt;Year&gt;2019&lt;/Year&gt;&lt;RecNum&gt;281&lt;/RecNum&gt;&lt;DisplayText&gt;[235]&lt;/DisplayText&gt;&lt;record&gt;&lt;rec-number&gt;281&lt;/rec-number&gt;&lt;foreign-keys&gt;&lt;key app="EN" db-id="tdtrdw9aepptzbefsat599syza29sxsd2wsp" timestamp="1611699160"&gt;281&lt;/key&gt;&lt;/foreign-keys&gt;&lt;ref-type name="Journal Article"&gt;17&lt;/ref-type&gt;&lt;contributors&gt;&lt;authors&gt;&lt;author&gt;Nyman, Samuel R&lt;/author&gt;&lt;author&gt;Ingram, Wendy&lt;/author&gt;&lt;author&gt;Sanders, Jeanette&lt;/author&gt;&lt;author&gt;Thomas, Peter W&lt;/author&gt;&lt;author&gt;Thomas, Sarah&lt;/author&gt;&lt;author&gt;Vassallo, Michael&lt;/author&gt;&lt;author&gt;Raftery, James&lt;/author&gt;&lt;author&gt;Bibi, Iram&lt;/author&gt;&lt;author&gt;Barrado-Martín, Yolanda&lt;/author&gt;&lt;/authors&gt;&lt;/contributors&gt;&lt;titles&gt;&lt;title&gt;Randomised controlled trial of the effect of Tai Chi on postural balance of people with dementia&lt;/title&gt;&lt;secondary-title&gt;Clinical interventions in aging&lt;/secondary-title&gt;&lt;/titles&gt;&lt;periodical&gt;&lt;full-title&gt;Clin Interv Aging&lt;/full-title&gt;&lt;abbr-1&gt;Clinical interventions in aging&lt;/abbr-1&gt;&lt;/periodical&gt;&lt;pages&gt;2017&lt;/pages&gt;&lt;volume&gt;14&lt;/volume&gt;&lt;dates&gt;&lt;year&gt;2019&lt;/year&gt;&lt;/dates&gt;&lt;urls&gt;&lt;/urls&gt;&lt;/record&gt;&lt;/Cite&gt;&lt;/EndNote&gt;</w:instrText>
            </w:r>
            <w:r w:rsidRPr="004C78D8">
              <w:rPr>
                <w:sz w:val="18"/>
                <w:szCs w:val="18"/>
              </w:rPr>
              <w:fldChar w:fldCharType="separate"/>
            </w:r>
            <w:r w:rsidR="00C630FC" w:rsidRPr="004C78D8">
              <w:rPr>
                <w:noProof/>
                <w:sz w:val="18"/>
                <w:szCs w:val="18"/>
              </w:rPr>
              <w:t>[235]</w:t>
            </w:r>
            <w:r w:rsidRPr="004C78D8">
              <w:rPr>
                <w:sz w:val="18"/>
                <w:szCs w:val="18"/>
              </w:rPr>
              <w:fldChar w:fldCharType="end"/>
            </w:r>
          </w:p>
        </w:tc>
      </w:tr>
      <w:tr w:rsidR="00110366" w:rsidRPr="004C78D8" w14:paraId="273B8161" w14:textId="77777777" w:rsidTr="00E35893">
        <w:tc>
          <w:tcPr>
            <w:tcW w:w="896" w:type="pct"/>
            <w:vMerge/>
          </w:tcPr>
          <w:p w14:paraId="7CB48C07" w14:textId="77777777" w:rsidR="00110366" w:rsidRPr="004C78D8" w:rsidRDefault="00110366" w:rsidP="00FB7C1F">
            <w:pPr>
              <w:jc w:val="left"/>
              <w:rPr>
                <w:sz w:val="18"/>
                <w:szCs w:val="18"/>
              </w:rPr>
            </w:pPr>
          </w:p>
        </w:tc>
        <w:tc>
          <w:tcPr>
            <w:tcW w:w="2042" w:type="pct"/>
            <w:tcBorders>
              <w:top w:val="nil"/>
              <w:bottom w:val="nil"/>
            </w:tcBorders>
          </w:tcPr>
          <w:p w14:paraId="356CF09D" w14:textId="2F12039B" w:rsidR="00110366" w:rsidRPr="004C78D8" w:rsidRDefault="00110366" w:rsidP="00FB7C1F">
            <w:pPr>
              <w:jc w:val="left"/>
              <w:rPr>
                <w:sz w:val="18"/>
                <w:szCs w:val="18"/>
              </w:rPr>
            </w:pPr>
            <w:r w:rsidRPr="004C78D8">
              <w:rPr>
                <w:sz w:val="18"/>
                <w:szCs w:val="18"/>
              </w:rPr>
              <w:t>Staff training</w:t>
            </w:r>
          </w:p>
        </w:tc>
        <w:tc>
          <w:tcPr>
            <w:tcW w:w="1409" w:type="pct"/>
            <w:tcBorders>
              <w:top w:val="nil"/>
              <w:bottom w:val="nil"/>
            </w:tcBorders>
          </w:tcPr>
          <w:p w14:paraId="4C8EBC5C" w14:textId="59993694" w:rsidR="00110366" w:rsidRPr="004C78D8" w:rsidRDefault="00110366" w:rsidP="00FB7C1F">
            <w:pPr>
              <w:jc w:val="left"/>
              <w:rPr>
                <w:sz w:val="18"/>
                <w:szCs w:val="18"/>
              </w:rPr>
            </w:pPr>
            <w:r w:rsidRPr="004C78D8">
              <w:rPr>
                <w:sz w:val="18"/>
                <w:szCs w:val="18"/>
              </w:rPr>
              <w:t>£8.25 per client</w:t>
            </w:r>
          </w:p>
        </w:tc>
        <w:tc>
          <w:tcPr>
            <w:tcW w:w="653" w:type="pct"/>
            <w:tcBorders>
              <w:top w:val="nil"/>
              <w:bottom w:val="nil"/>
            </w:tcBorders>
          </w:tcPr>
          <w:p w14:paraId="1ADCE4A0" w14:textId="280E5A3D" w:rsidR="00110366" w:rsidRPr="004C78D8" w:rsidRDefault="00110366"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4C78D8">
              <w:rPr>
                <w:sz w:val="18"/>
                <w:szCs w:val="18"/>
              </w:rPr>
              <w:fldChar w:fldCharType="separate"/>
            </w:r>
            <w:r w:rsidR="00C630FC" w:rsidRPr="004C78D8">
              <w:rPr>
                <w:noProof/>
                <w:sz w:val="18"/>
                <w:szCs w:val="18"/>
              </w:rPr>
              <w:t>[216]</w:t>
            </w:r>
            <w:r w:rsidRPr="004C78D8">
              <w:rPr>
                <w:sz w:val="18"/>
                <w:szCs w:val="18"/>
              </w:rPr>
              <w:fldChar w:fldCharType="end"/>
            </w:r>
          </w:p>
        </w:tc>
      </w:tr>
      <w:tr w:rsidR="00110366" w:rsidRPr="004C78D8" w14:paraId="63F9F9B6" w14:textId="77777777" w:rsidTr="00E35893">
        <w:tc>
          <w:tcPr>
            <w:tcW w:w="896" w:type="pct"/>
            <w:vMerge/>
          </w:tcPr>
          <w:p w14:paraId="30DF2302" w14:textId="77777777" w:rsidR="00110366" w:rsidRPr="004C78D8" w:rsidRDefault="00110366" w:rsidP="00FB7C1F">
            <w:pPr>
              <w:jc w:val="left"/>
              <w:rPr>
                <w:sz w:val="18"/>
                <w:szCs w:val="18"/>
              </w:rPr>
            </w:pPr>
          </w:p>
        </w:tc>
        <w:tc>
          <w:tcPr>
            <w:tcW w:w="2042" w:type="pct"/>
            <w:tcBorders>
              <w:top w:val="nil"/>
              <w:bottom w:val="nil"/>
            </w:tcBorders>
          </w:tcPr>
          <w:p w14:paraId="7B4EC31D" w14:textId="1D31157F" w:rsidR="00110366" w:rsidRPr="004C78D8" w:rsidRDefault="00110366" w:rsidP="00FB7C1F">
            <w:pPr>
              <w:jc w:val="left"/>
              <w:rPr>
                <w:sz w:val="18"/>
                <w:szCs w:val="18"/>
              </w:rPr>
            </w:pPr>
            <w:r w:rsidRPr="004C78D8">
              <w:rPr>
                <w:sz w:val="18"/>
                <w:szCs w:val="18"/>
              </w:rPr>
              <w:t>Staff travel</w:t>
            </w:r>
          </w:p>
        </w:tc>
        <w:tc>
          <w:tcPr>
            <w:tcW w:w="1409" w:type="pct"/>
            <w:tcBorders>
              <w:top w:val="nil"/>
              <w:bottom w:val="nil"/>
            </w:tcBorders>
          </w:tcPr>
          <w:p w14:paraId="756B8D64" w14:textId="7910E78A" w:rsidR="00110366" w:rsidRPr="004C78D8" w:rsidRDefault="00110366" w:rsidP="00FB7C1F">
            <w:pPr>
              <w:jc w:val="left"/>
              <w:rPr>
                <w:sz w:val="18"/>
                <w:szCs w:val="18"/>
              </w:rPr>
            </w:pPr>
            <w:r w:rsidRPr="004C78D8">
              <w:rPr>
                <w:sz w:val="18"/>
                <w:szCs w:val="18"/>
              </w:rPr>
              <w:t>£15.01 per client</w:t>
            </w:r>
          </w:p>
        </w:tc>
        <w:tc>
          <w:tcPr>
            <w:tcW w:w="653" w:type="pct"/>
            <w:tcBorders>
              <w:top w:val="nil"/>
              <w:bottom w:val="nil"/>
            </w:tcBorders>
          </w:tcPr>
          <w:p w14:paraId="3A1C1FBA" w14:textId="554962F1" w:rsidR="00110366" w:rsidRPr="004C78D8" w:rsidRDefault="00110366"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4C78D8">
              <w:rPr>
                <w:sz w:val="18"/>
                <w:szCs w:val="18"/>
              </w:rPr>
              <w:fldChar w:fldCharType="separate"/>
            </w:r>
            <w:r w:rsidR="00C630FC" w:rsidRPr="004C78D8">
              <w:rPr>
                <w:noProof/>
                <w:sz w:val="18"/>
                <w:szCs w:val="18"/>
              </w:rPr>
              <w:t>[216]</w:t>
            </w:r>
            <w:r w:rsidRPr="004C78D8">
              <w:rPr>
                <w:sz w:val="18"/>
                <w:szCs w:val="18"/>
              </w:rPr>
              <w:fldChar w:fldCharType="end"/>
            </w:r>
          </w:p>
        </w:tc>
      </w:tr>
      <w:tr w:rsidR="00110366" w:rsidRPr="004C78D8" w14:paraId="0BF3F918" w14:textId="77777777" w:rsidTr="00E35893">
        <w:tc>
          <w:tcPr>
            <w:tcW w:w="896" w:type="pct"/>
            <w:vMerge/>
          </w:tcPr>
          <w:p w14:paraId="07ED9E7A" w14:textId="77777777" w:rsidR="00110366" w:rsidRPr="004C78D8" w:rsidRDefault="00110366" w:rsidP="00FB7C1F">
            <w:pPr>
              <w:jc w:val="left"/>
              <w:rPr>
                <w:sz w:val="18"/>
                <w:szCs w:val="18"/>
              </w:rPr>
            </w:pPr>
          </w:p>
        </w:tc>
        <w:tc>
          <w:tcPr>
            <w:tcW w:w="2042" w:type="pct"/>
            <w:tcBorders>
              <w:top w:val="nil"/>
              <w:bottom w:val="nil"/>
            </w:tcBorders>
          </w:tcPr>
          <w:p w14:paraId="41E55C40" w14:textId="706D6D3B" w:rsidR="00110366" w:rsidRPr="004C78D8" w:rsidRDefault="00110366" w:rsidP="00FB7C1F">
            <w:pPr>
              <w:jc w:val="left"/>
              <w:rPr>
                <w:sz w:val="18"/>
                <w:szCs w:val="18"/>
              </w:rPr>
            </w:pPr>
            <w:r w:rsidRPr="004C78D8">
              <w:rPr>
                <w:sz w:val="18"/>
                <w:szCs w:val="18"/>
              </w:rPr>
              <w:t>Equipment</w:t>
            </w:r>
          </w:p>
        </w:tc>
        <w:tc>
          <w:tcPr>
            <w:tcW w:w="1409" w:type="pct"/>
            <w:tcBorders>
              <w:top w:val="nil"/>
              <w:bottom w:val="nil"/>
            </w:tcBorders>
          </w:tcPr>
          <w:p w14:paraId="7EFB5622" w14:textId="4C9C7427" w:rsidR="00110366" w:rsidRPr="004C78D8" w:rsidRDefault="00110366" w:rsidP="00FB7C1F">
            <w:pPr>
              <w:jc w:val="left"/>
              <w:rPr>
                <w:sz w:val="18"/>
                <w:szCs w:val="18"/>
              </w:rPr>
            </w:pPr>
            <w:r w:rsidRPr="004C78D8">
              <w:rPr>
                <w:sz w:val="18"/>
                <w:szCs w:val="18"/>
              </w:rPr>
              <w:t>£5 per client</w:t>
            </w:r>
          </w:p>
        </w:tc>
        <w:tc>
          <w:tcPr>
            <w:tcW w:w="653" w:type="pct"/>
            <w:tcBorders>
              <w:top w:val="nil"/>
              <w:bottom w:val="nil"/>
            </w:tcBorders>
          </w:tcPr>
          <w:p w14:paraId="0B245595" w14:textId="06AE0C80" w:rsidR="00110366" w:rsidRPr="004C78D8" w:rsidRDefault="00110366"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4C78D8">
              <w:rPr>
                <w:sz w:val="18"/>
                <w:szCs w:val="18"/>
              </w:rPr>
              <w:fldChar w:fldCharType="separate"/>
            </w:r>
            <w:r w:rsidR="00C630FC" w:rsidRPr="004C78D8">
              <w:rPr>
                <w:noProof/>
                <w:sz w:val="18"/>
                <w:szCs w:val="18"/>
              </w:rPr>
              <w:t>[216]</w:t>
            </w:r>
            <w:r w:rsidRPr="004C78D8">
              <w:rPr>
                <w:sz w:val="18"/>
                <w:szCs w:val="18"/>
              </w:rPr>
              <w:fldChar w:fldCharType="end"/>
            </w:r>
          </w:p>
        </w:tc>
      </w:tr>
      <w:tr w:rsidR="00110366" w:rsidRPr="004C78D8" w14:paraId="2601B13C" w14:textId="77777777" w:rsidTr="00E35893">
        <w:tc>
          <w:tcPr>
            <w:tcW w:w="896" w:type="pct"/>
            <w:vMerge/>
          </w:tcPr>
          <w:p w14:paraId="29A7B788" w14:textId="77777777" w:rsidR="00110366" w:rsidRPr="004C78D8" w:rsidRDefault="00110366" w:rsidP="00FB7C1F">
            <w:pPr>
              <w:jc w:val="left"/>
              <w:rPr>
                <w:sz w:val="18"/>
                <w:szCs w:val="18"/>
              </w:rPr>
            </w:pPr>
          </w:p>
        </w:tc>
        <w:tc>
          <w:tcPr>
            <w:tcW w:w="2042" w:type="pct"/>
            <w:tcBorders>
              <w:top w:val="nil"/>
              <w:bottom w:val="single" w:sz="4" w:space="0" w:color="auto"/>
            </w:tcBorders>
          </w:tcPr>
          <w:p w14:paraId="22389D85" w14:textId="519BB99D" w:rsidR="00110366" w:rsidRPr="004C78D8" w:rsidRDefault="00110366" w:rsidP="00FB7C1F">
            <w:pPr>
              <w:jc w:val="left"/>
              <w:rPr>
                <w:sz w:val="18"/>
                <w:szCs w:val="18"/>
              </w:rPr>
            </w:pPr>
            <w:r w:rsidRPr="004C78D8">
              <w:rPr>
                <w:sz w:val="18"/>
                <w:szCs w:val="18"/>
              </w:rPr>
              <w:t>Venue hire</w:t>
            </w:r>
          </w:p>
        </w:tc>
        <w:tc>
          <w:tcPr>
            <w:tcW w:w="1409" w:type="pct"/>
            <w:tcBorders>
              <w:top w:val="nil"/>
              <w:bottom w:val="single" w:sz="4" w:space="0" w:color="auto"/>
            </w:tcBorders>
          </w:tcPr>
          <w:p w14:paraId="2024A76C" w14:textId="475D33E0" w:rsidR="00110366" w:rsidRPr="004C78D8" w:rsidRDefault="00110366" w:rsidP="00FB7C1F">
            <w:pPr>
              <w:jc w:val="left"/>
              <w:rPr>
                <w:sz w:val="18"/>
                <w:szCs w:val="18"/>
              </w:rPr>
            </w:pPr>
            <w:r w:rsidRPr="004C78D8">
              <w:rPr>
                <w:sz w:val="18"/>
                <w:szCs w:val="18"/>
              </w:rPr>
              <w:t>£30 per client</w:t>
            </w:r>
          </w:p>
        </w:tc>
        <w:tc>
          <w:tcPr>
            <w:tcW w:w="653" w:type="pct"/>
            <w:tcBorders>
              <w:top w:val="nil"/>
              <w:bottom w:val="single" w:sz="4" w:space="0" w:color="auto"/>
            </w:tcBorders>
          </w:tcPr>
          <w:p w14:paraId="39379FFE" w14:textId="10FFC609" w:rsidR="00110366" w:rsidRPr="004C78D8" w:rsidRDefault="00110366"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4C78D8">
              <w:rPr>
                <w:sz w:val="18"/>
                <w:szCs w:val="18"/>
              </w:rPr>
              <w:fldChar w:fldCharType="separate"/>
            </w:r>
            <w:r w:rsidR="00C630FC" w:rsidRPr="004C78D8">
              <w:rPr>
                <w:noProof/>
                <w:sz w:val="18"/>
                <w:szCs w:val="18"/>
              </w:rPr>
              <w:t>[216]</w:t>
            </w:r>
            <w:r w:rsidRPr="004C78D8">
              <w:rPr>
                <w:sz w:val="18"/>
                <w:szCs w:val="18"/>
              </w:rPr>
              <w:fldChar w:fldCharType="end"/>
            </w:r>
          </w:p>
        </w:tc>
      </w:tr>
      <w:tr w:rsidR="00110366" w:rsidRPr="004C78D8" w14:paraId="669949C7" w14:textId="77777777" w:rsidTr="00E35893">
        <w:tc>
          <w:tcPr>
            <w:tcW w:w="896" w:type="pct"/>
            <w:vMerge w:val="restart"/>
          </w:tcPr>
          <w:p w14:paraId="5C4DA9A0" w14:textId="33967978" w:rsidR="00110366" w:rsidRPr="004C78D8" w:rsidRDefault="00110366" w:rsidP="00FB7C1F">
            <w:pPr>
              <w:jc w:val="left"/>
              <w:rPr>
                <w:sz w:val="18"/>
                <w:szCs w:val="18"/>
              </w:rPr>
            </w:pPr>
            <w:r w:rsidRPr="004C78D8">
              <w:rPr>
                <w:sz w:val="18"/>
                <w:szCs w:val="18"/>
              </w:rPr>
              <w:t>Non public sector cost per client</w:t>
            </w:r>
          </w:p>
        </w:tc>
        <w:tc>
          <w:tcPr>
            <w:tcW w:w="2042" w:type="pct"/>
            <w:tcBorders>
              <w:bottom w:val="nil"/>
            </w:tcBorders>
          </w:tcPr>
          <w:p w14:paraId="2A7139DD" w14:textId="207D7279" w:rsidR="00110366" w:rsidRPr="004C78D8" w:rsidRDefault="00110366" w:rsidP="00FB7C1F">
            <w:pPr>
              <w:jc w:val="left"/>
              <w:rPr>
                <w:sz w:val="18"/>
                <w:szCs w:val="18"/>
              </w:rPr>
            </w:pPr>
            <w:r w:rsidRPr="004C78D8">
              <w:rPr>
                <w:sz w:val="18"/>
                <w:szCs w:val="18"/>
              </w:rPr>
              <w:t>Travel cost (self-referred only)</w:t>
            </w:r>
          </w:p>
        </w:tc>
        <w:tc>
          <w:tcPr>
            <w:tcW w:w="1409" w:type="pct"/>
            <w:tcBorders>
              <w:bottom w:val="nil"/>
            </w:tcBorders>
          </w:tcPr>
          <w:p w14:paraId="3E5E987F" w14:textId="23C4B034" w:rsidR="00110366" w:rsidRPr="004C78D8" w:rsidRDefault="00110366" w:rsidP="00FB7C1F">
            <w:pPr>
              <w:jc w:val="left"/>
              <w:rPr>
                <w:sz w:val="18"/>
                <w:szCs w:val="18"/>
              </w:rPr>
            </w:pPr>
            <w:r w:rsidRPr="004C78D8">
              <w:rPr>
                <w:sz w:val="18"/>
                <w:szCs w:val="18"/>
              </w:rPr>
              <w:t>£62.45</w:t>
            </w:r>
          </w:p>
        </w:tc>
        <w:tc>
          <w:tcPr>
            <w:tcW w:w="653" w:type="pct"/>
            <w:tcBorders>
              <w:bottom w:val="nil"/>
            </w:tcBorders>
          </w:tcPr>
          <w:p w14:paraId="4E0D12DB" w14:textId="68A7A3D5" w:rsidR="00110366" w:rsidRPr="004C78D8" w:rsidRDefault="00110366"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&lt;EndNote&gt;&lt;Cite&gt;&lt;Author&gt;Comans&lt;/Author&gt;&lt;Year&gt;2009&lt;/Year&gt;&lt;RecNum&gt;376&lt;/RecNum&gt;&lt;DisplayText&gt;[207]&lt;/DisplayText&gt;&lt;record&gt;&lt;rec-number&gt;376&lt;/rec-number&gt;&lt;foreign-keys&gt;&lt;key app="EN" db-id="tdtrdw9aepptzbefsat599syza29sxsd2wsp" timestamp="1612625082"&gt;376&lt;/key&gt;&lt;/foreign-keys&gt;&lt;ref-type name="Journal Article"&gt;17&lt;/ref-type&gt;&lt;contributors&gt;&lt;authors&gt;&lt;author&gt;Comans, Tracy&lt;/author&gt;&lt;author&gt;Brauer, Sandy&lt;/author&gt;&lt;author&gt;Haines, Terry&lt;/author&gt;&lt;/authors&gt;&lt;/contributors&gt;&lt;titles&gt;&lt;title&gt;A break-even analysis of a community rehabilitation falls prevention service&lt;/title&gt;&lt;secondary-title&gt;Australian and New Zealand journal of public health&lt;/secondary-title&gt;&lt;/titles&gt;&lt;periodical&gt;&lt;full-title&gt;Australian and New Zealand journal of public health&lt;/full-title&gt;&lt;/periodical&gt;&lt;pages&gt;240-5&lt;/pages&gt;&lt;volume&gt;33&lt;/volume&gt;&lt;number&gt;3&lt;/number&gt;&lt;section&gt;Comans, Tracy. The Community Rehabilitation Service, Southside Health Service District and School of Health and Rehabilitation Sciences, University of Queensland, Queensland, Australia. tracy.comans@uqconnect.edu.au&lt;/section&gt;&lt;keywords&gt;&lt;keyword&gt;*Accidental Falls/pc [Prevention &amp;amp; Control]&lt;/keyword&gt;&lt;keyword&gt;Aged&lt;/keyword&gt;&lt;keyword&gt;Aged, 80 and over&lt;/keyword&gt;&lt;keyword&gt;Cost-Benefit Analysis&lt;/keyword&gt;&lt;keyword&gt;Efficiency, Organizational/ec [Economics]&lt;/keyword&gt;&lt;keyword&gt;*Efficiency, Organizational&lt;/keyword&gt;&lt;keyword&gt;Female&lt;/keyword&gt;&lt;keyword&gt;Humans&lt;/keyword&gt;&lt;keyword&gt;Interdisciplinary Communication&lt;/keyword&gt;&lt;keyword&gt;Male&lt;/keyword&gt;&lt;keyword&gt;Models, Theoretical&lt;/keyword&gt;&lt;keyword&gt;*Preventive Health Services/st [Standards]&lt;/keyword&gt;&lt;keyword&gt;*Rehabilitation Centers&lt;/keyword&gt;&lt;/keywords&gt;&lt;dates&gt;&lt;year&gt;2009&lt;/year&gt;&lt;/dates&gt;&lt;pub-location&gt;Australia&lt;/pub-location&gt;&lt;isbn&gt;1326-0200&lt;/isbn&gt;&lt;urls&gt;&lt;related-urls&gt;&lt;url&gt;http://ovidsp.ovid.com/ovidweb.cgi?T=JS&amp;amp;PAGE=reference&amp;amp;D=med6&amp;amp;NEWS=N&amp;amp;AN=19630843&lt;/url&gt;&lt;/related-urls&gt;&lt;/urls&gt;&lt;electronic-resource-num&gt;https://dx.doi.org/10.1111/j.1753-6405.2009.00382.x&lt;/electronic-resource-num&gt;&lt;remote-database-name&gt;Medline&lt;/remote-database-name&gt;&lt;/record&gt;&lt;/Cite&gt;&lt;/EndNote&gt;</w:instrText>
            </w:r>
            <w:r w:rsidRPr="004C78D8">
              <w:rPr>
                <w:sz w:val="18"/>
                <w:szCs w:val="18"/>
              </w:rPr>
              <w:fldChar w:fldCharType="separate"/>
            </w:r>
            <w:r w:rsidR="00C630FC" w:rsidRPr="004C78D8">
              <w:rPr>
                <w:noProof/>
                <w:sz w:val="18"/>
                <w:szCs w:val="18"/>
              </w:rPr>
              <w:t>[207]</w:t>
            </w:r>
            <w:r w:rsidRPr="004C78D8">
              <w:rPr>
                <w:sz w:val="18"/>
                <w:szCs w:val="18"/>
              </w:rPr>
              <w:fldChar w:fldCharType="end"/>
            </w:r>
          </w:p>
        </w:tc>
      </w:tr>
      <w:tr w:rsidR="00110366" w:rsidRPr="004C78D8" w14:paraId="3C2AC893" w14:textId="77777777" w:rsidTr="00E35893">
        <w:tc>
          <w:tcPr>
            <w:tcW w:w="896" w:type="pct"/>
            <w:vMerge/>
          </w:tcPr>
          <w:p w14:paraId="29F91C19" w14:textId="79EE156E" w:rsidR="00110366" w:rsidRPr="004C78D8" w:rsidRDefault="00110366" w:rsidP="00FB7C1F">
            <w:pPr>
              <w:jc w:val="left"/>
              <w:rPr>
                <w:sz w:val="18"/>
                <w:szCs w:val="18"/>
              </w:rPr>
            </w:pPr>
          </w:p>
        </w:tc>
        <w:tc>
          <w:tcPr>
            <w:tcW w:w="2042" w:type="pct"/>
            <w:tcBorders>
              <w:top w:val="nil"/>
              <w:bottom w:val="nil"/>
            </w:tcBorders>
          </w:tcPr>
          <w:p w14:paraId="54B7A1A1" w14:textId="3FC71798" w:rsidR="00110366" w:rsidRPr="004C78D8" w:rsidRDefault="00110366" w:rsidP="00FB7C1F">
            <w:pPr>
              <w:jc w:val="left"/>
              <w:rPr>
                <w:sz w:val="18"/>
                <w:szCs w:val="18"/>
              </w:rPr>
            </w:pPr>
            <w:r w:rsidRPr="004C78D8">
              <w:rPr>
                <w:sz w:val="18"/>
                <w:szCs w:val="18"/>
              </w:rPr>
              <w:t>Time opportunity cost – if employed</w:t>
            </w:r>
            <w:r w:rsidR="001D7D04" w:rsidRPr="004C78D8">
              <w:rPr>
                <w:sz w:val="18"/>
                <w:szCs w:val="18"/>
                <w:vertAlign w:val="superscript"/>
              </w:rPr>
              <w:t>6</w:t>
            </w:r>
          </w:p>
        </w:tc>
        <w:tc>
          <w:tcPr>
            <w:tcW w:w="1409" w:type="pct"/>
            <w:tcBorders>
              <w:top w:val="nil"/>
              <w:bottom w:val="nil"/>
            </w:tcBorders>
          </w:tcPr>
          <w:p w14:paraId="2B0793AC" w14:textId="6B3C0BD3" w:rsidR="00110366" w:rsidRPr="004C78D8" w:rsidRDefault="00110366" w:rsidP="00FB7C1F">
            <w:pPr>
              <w:jc w:val="left"/>
              <w:rPr>
                <w:sz w:val="18"/>
                <w:szCs w:val="18"/>
              </w:rPr>
            </w:pPr>
            <w:r w:rsidRPr="004C78D8">
              <w:rPr>
                <w:sz w:val="18"/>
                <w:szCs w:val="18"/>
              </w:rPr>
              <w:t>£218 per year</w:t>
            </w:r>
          </w:p>
        </w:tc>
        <w:tc>
          <w:tcPr>
            <w:tcW w:w="653" w:type="pct"/>
            <w:tcBorders>
              <w:top w:val="nil"/>
              <w:bottom w:val="nil"/>
            </w:tcBorders>
          </w:tcPr>
          <w:p w14:paraId="5CB8E4B5" w14:textId="04043A51" w:rsidR="00110366" w:rsidRPr="004C78D8" w:rsidRDefault="00110366" w:rsidP="00FB7C1F">
            <w:pPr>
              <w:jc w:val="left"/>
              <w:rPr>
                <w:sz w:val="18"/>
                <w:szCs w:val="18"/>
              </w:rPr>
            </w:pPr>
          </w:p>
        </w:tc>
      </w:tr>
      <w:tr w:rsidR="00110366" w:rsidRPr="004C78D8" w14:paraId="3B75317C" w14:textId="77777777" w:rsidTr="00E35893">
        <w:tc>
          <w:tcPr>
            <w:tcW w:w="896" w:type="pct"/>
            <w:vMerge/>
          </w:tcPr>
          <w:p w14:paraId="7DCD90E5" w14:textId="77777777" w:rsidR="00110366" w:rsidRPr="004C78D8" w:rsidRDefault="00110366" w:rsidP="00FB7C1F">
            <w:pPr>
              <w:jc w:val="left"/>
              <w:rPr>
                <w:sz w:val="18"/>
                <w:szCs w:val="18"/>
              </w:rPr>
            </w:pPr>
          </w:p>
        </w:tc>
        <w:tc>
          <w:tcPr>
            <w:tcW w:w="2042" w:type="pct"/>
            <w:tcBorders>
              <w:top w:val="nil"/>
              <w:bottom w:val="nil"/>
            </w:tcBorders>
          </w:tcPr>
          <w:p w14:paraId="523C9674" w14:textId="7988D93D" w:rsidR="00110366" w:rsidRPr="004C78D8" w:rsidRDefault="00110366" w:rsidP="00FB7C1F">
            <w:pPr>
              <w:jc w:val="left"/>
              <w:rPr>
                <w:sz w:val="18"/>
                <w:szCs w:val="18"/>
              </w:rPr>
            </w:pPr>
            <w:r w:rsidRPr="004C78D8">
              <w:rPr>
                <w:sz w:val="18"/>
                <w:szCs w:val="18"/>
              </w:rPr>
              <w:t>Time opportunity cost – if engaged in regular unpaid work</w:t>
            </w:r>
            <w:r w:rsidR="001D7D04" w:rsidRPr="004C78D8">
              <w:rPr>
                <w:sz w:val="18"/>
                <w:szCs w:val="18"/>
                <w:vertAlign w:val="superscript"/>
              </w:rPr>
              <w:t>6</w:t>
            </w:r>
          </w:p>
        </w:tc>
        <w:tc>
          <w:tcPr>
            <w:tcW w:w="1409" w:type="pct"/>
            <w:tcBorders>
              <w:top w:val="nil"/>
              <w:bottom w:val="nil"/>
            </w:tcBorders>
          </w:tcPr>
          <w:p w14:paraId="29CC5203" w14:textId="7F8AF499" w:rsidR="00110366" w:rsidRPr="004C78D8" w:rsidRDefault="00110366" w:rsidP="00FB7C1F">
            <w:pPr>
              <w:jc w:val="left"/>
              <w:rPr>
                <w:sz w:val="18"/>
                <w:szCs w:val="18"/>
              </w:rPr>
            </w:pPr>
            <w:r w:rsidRPr="004C78D8">
              <w:rPr>
                <w:sz w:val="18"/>
                <w:szCs w:val="18"/>
              </w:rPr>
              <w:t>£54.5 per year</w:t>
            </w:r>
          </w:p>
        </w:tc>
        <w:tc>
          <w:tcPr>
            <w:tcW w:w="653" w:type="pct"/>
            <w:tcBorders>
              <w:top w:val="nil"/>
              <w:bottom w:val="nil"/>
            </w:tcBorders>
          </w:tcPr>
          <w:p w14:paraId="1E72F6DD" w14:textId="77777777" w:rsidR="00110366" w:rsidRPr="004C78D8" w:rsidRDefault="00110366" w:rsidP="00FB7C1F">
            <w:pPr>
              <w:jc w:val="left"/>
              <w:rPr>
                <w:sz w:val="18"/>
                <w:szCs w:val="18"/>
              </w:rPr>
            </w:pPr>
          </w:p>
        </w:tc>
      </w:tr>
      <w:tr w:rsidR="00110366" w:rsidRPr="004C78D8" w14:paraId="743F65D7" w14:textId="77777777" w:rsidTr="00E35893">
        <w:tc>
          <w:tcPr>
            <w:tcW w:w="896" w:type="pct"/>
            <w:vMerge/>
          </w:tcPr>
          <w:p w14:paraId="19F83A8A" w14:textId="77777777" w:rsidR="00110366" w:rsidRPr="004C78D8" w:rsidRDefault="00110366" w:rsidP="00FB7C1F">
            <w:pPr>
              <w:jc w:val="left"/>
              <w:rPr>
                <w:sz w:val="18"/>
                <w:szCs w:val="18"/>
              </w:rPr>
            </w:pPr>
          </w:p>
        </w:tc>
        <w:tc>
          <w:tcPr>
            <w:tcW w:w="2042" w:type="pct"/>
            <w:tcBorders>
              <w:top w:val="nil"/>
            </w:tcBorders>
          </w:tcPr>
          <w:p w14:paraId="62EA8776" w14:textId="15CC460E" w:rsidR="00110366" w:rsidRPr="004C78D8" w:rsidRDefault="00110366" w:rsidP="00FB7C1F">
            <w:pPr>
              <w:jc w:val="left"/>
              <w:rPr>
                <w:sz w:val="18"/>
                <w:szCs w:val="18"/>
              </w:rPr>
            </w:pPr>
            <w:r w:rsidRPr="004C78D8">
              <w:rPr>
                <w:sz w:val="18"/>
                <w:szCs w:val="18"/>
              </w:rPr>
              <w:t>Time opportunity cost – informal caregiver</w:t>
            </w:r>
            <w:r w:rsidR="001D7D04" w:rsidRPr="004C78D8">
              <w:rPr>
                <w:sz w:val="18"/>
                <w:szCs w:val="18"/>
                <w:vertAlign w:val="superscript"/>
              </w:rPr>
              <w:t>7</w:t>
            </w:r>
          </w:p>
        </w:tc>
        <w:tc>
          <w:tcPr>
            <w:tcW w:w="1409" w:type="pct"/>
            <w:tcBorders>
              <w:top w:val="nil"/>
            </w:tcBorders>
          </w:tcPr>
          <w:p w14:paraId="0B8B1B63" w14:textId="13CE71BD" w:rsidR="00110366" w:rsidRPr="004C78D8" w:rsidRDefault="00110366" w:rsidP="00FB7C1F">
            <w:pPr>
              <w:jc w:val="left"/>
              <w:rPr>
                <w:sz w:val="18"/>
                <w:szCs w:val="18"/>
              </w:rPr>
            </w:pPr>
            <w:r w:rsidRPr="004C78D8">
              <w:rPr>
                <w:sz w:val="18"/>
                <w:szCs w:val="18"/>
              </w:rPr>
              <w:t>£218 per year</w:t>
            </w:r>
          </w:p>
        </w:tc>
        <w:tc>
          <w:tcPr>
            <w:tcW w:w="653" w:type="pct"/>
            <w:tcBorders>
              <w:top w:val="nil"/>
            </w:tcBorders>
          </w:tcPr>
          <w:p w14:paraId="72A66361" w14:textId="77777777" w:rsidR="00110366" w:rsidRPr="004C78D8" w:rsidRDefault="00110366" w:rsidP="00FB7C1F">
            <w:pPr>
              <w:jc w:val="left"/>
              <w:rPr>
                <w:sz w:val="18"/>
                <w:szCs w:val="18"/>
              </w:rPr>
            </w:pPr>
          </w:p>
        </w:tc>
      </w:tr>
      <w:tr w:rsidR="00110366" w:rsidRPr="004C78D8" w14:paraId="3DF1C3D1" w14:textId="77777777" w:rsidTr="00E35893">
        <w:tc>
          <w:tcPr>
            <w:tcW w:w="896" w:type="pct"/>
            <w:vMerge w:val="restart"/>
          </w:tcPr>
          <w:p w14:paraId="3F32CEA2" w14:textId="77777777" w:rsidR="00110366" w:rsidRPr="004C78D8" w:rsidRDefault="00110366" w:rsidP="00FB7C1F">
            <w:pPr>
              <w:jc w:val="left"/>
              <w:rPr>
                <w:sz w:val="18"/>
                <w:szCs w:val="18"/>
              </w:rPr>
            </w:pPr>
            <w:r w:rsidRPr="004C78D8">
              <w:rPr>
                <w:sz w:val="18"/>
                <w:szCs w:val="18"/>
              </w:rPr>
              <w:t>Public sector cost</w:t>
            </w:r>
          </w:p>
        </w:tc>
        <w:tc>
          <w:tcPr>
            <w:tcW w:w="2042" w:type="pct"/>
            <w:tcBorders>
              <w:bottom w:val="nil"/>
            </w:tcBorders>
          </w:tcPr>
          <w:p w14:paraId="1B2DFB7D" w14:textId="4C6A55ED" w:rsidR="00110366" w:rsidRPr="004C78D8" w:rsidRDefault="00110366" w:rsidP="00FB7C1F">
            <w:pPr>
              <w:jc w:val="left"/>
              <w:rPr>
                <w:b/>
                <w:bCs/>
                <w:sz w:val="18"/>
                <w:szCs w:val="18"/>
              </w:rPr>
            </w:pPr>
            <w:r w:rsidRPr="004C78D8">
              <w:rPr>
                <w:b/>
                <w:bCs/>
                <w:sz w:val="18"/>
                <w:szCs w:val="18"/>
              </w:rPr>
              <w:t>Average cost per proactive client</w:t>
            </w:r>
          </w:p>
        </w:tc>
        <w:tc>
          <w:tcPr>
            <w:tcW w:w="1409" w:type="pct"/>
            <w:tcBorders>
              <w:bottom w:val="nil"/>
            </w:tcBorders>
          </w:tcPr>
          <w:p w14:paraId="30B563DA" w14:textId="5E347696" w:rsidR="00110366" w:rsidRPr="004C78D8" w:rsidRDefault="00110366" w:rsidP="00FB7C1F">
            <w:pPr>
              <w:jc w:val="left"/>
              <w:rPr>
                <w:b/>
                <w:bCs/>
                <w:sz w:val="18"/>
                <w:szCs w:val="18"/>
              </w:rPr>
            </w:pPr>
            <w:r w:rsidRPr="004C78D8">
              <w:rPr>
                <w:b/>
                <w:bCs/>
                <w:sz w:val="18"/>
                <w:szCs w:val="18"/>
              </w:rPr>
              <w:t>£537.77 per year</w:t>
            </w:r>
          </w:p>
        </w:tc>
        <w:tc>
          <w:tcPr>
            <w:tcW w:w="653" w:type="pct"/>
            <w:tcBorders>
              <w:bottom w:val="nil"/>
            </w:tcBorders>
          </w:tcPr>
          <w:p w14:paraId="39C46209" w14:textId="77777777" w:rsidR="00110366" w:rsidRPr="004C78D8" w:rsidRDefault="00110366" w:rsidP="00FB7C1F">
            <w:pPr>
              <w:jc w:val="left"/>
              <w:rPr>
                <w:sz w:val="18"/>
                <w:szCs w:val="18"/>
              </w:rPr>
            </w:pPr>
          </w:p>
        </w:tc>
      </w:tr>
      <w:tr w:rsidR="00110366" w:rsidRPr="004C78D8" w14:paraId="73E20D07" w14:textId="77777777" w:rsidTr="00E35893">
        <w:tc>
          <w:tcPr>
            <w:tcW w:w="896" w:type="pct"/>
            <w:vMerge/>
          </w:tcPr>
          <w:p w14:paraId="7EF20CE0" w14:textId="77777777" w:rsidR="00110366" w:rsidRPr="004C78D8" w:rsidRDefault="00110366" w:rsidP="00FB7C1F">
            <w:pPr>
              <w:jc w:val="left"/>
              <w:rPr>
                <w:sz w:val="18"/>
                <w:szCs w:val="18"/>
              </w:rPr>
            </w:pPr>
          </w:p>
        </w:tc>
        <w:tc>
          <w:tcPr>
            <w:tcW w:w="2042" w:type="pct"/>
            <w:tcBorders>
              <w:top w:val="nil"/>
              <w:bottom w:val="nil"/>
            </w:tcBorders>
          </w:tcPr>
          <w:p w14:paraId="26E4F96B" w14:textId="493493FA" w:rsidR="00110366" w:rsidRPr="004C78D8" w:rsidRDefault="00110366" w:rsidP="00FB7C1F">
            <w:pPr>
              <w:jc w:val="left"/>
              <w:rPr>
                <w:b/>
                <w:bCs/>
                <w:sz w:val="18"/>
                <w:szCs w:val="18"/>
              </w:rPr>
            </w:pPr>
            <w:r w:rsidRPr="004C78D8">
              <w:rPr>
                <w:b/>
                <w:bCs/>
                <w:sz w:val="18"/>
                <w:szCs w:val="18"/>
              </w:rPr>
              <w:t>Average cost per self-referred client</w:t>
            </w:r>
            <w:r w:rsidR="001D7D04" w:rsidRPr="004C78D8">
              <w:rPr>
                <w:b/>
                <w:bCs/>
                <w:sz w:val="18"/>
                <w:szCs w:val="18"/>
                <w:vertAlign w:val="superscript"/>
              </w:rPr>
              <w:t>8</w:t>
            </w:r>
          </w:p>
        </w:tc>
        <w:tc>
          <w:tcPr>
            <w:tcW w:w="1409" w:type="pct"/>
            <w:tcBorders>
              <w:top w:val="nil"/>
              <w:bottom w:val="nil"/>
            </w:tcBorders>
          </w:tcPr>
          <w:p w14:paraId="17DD94AD" w14:textId="3D9DAE1B" w:rsidR="00110366" w:rsidRPr="004C78D8" w:rsidRDefault="00110366" w:rsidP="00FB7C1F">
            <w:pPr>
              <w:jc w:val="left"/>
              <w:rPr>
                <w:b/>
                <w:bCs/>
                <w:sz w:val="18"/>
                <w:szCs w:val="18"/>
              </w:rPr>
            </w:pPr>
            <w:r w:rsidRPr="004C78D8">
              <w:rPr>
                <w:b/>
                <w:bCs/>
                <w:sz w:val="18"/>
                <w:szCs w:val="18"/>
              </w:rPr>
              <w:t>£500.63 per year</w:t>
            </w:r>
          </w:p>
        </w:tc>
        <w:tc>
          <w:tcPr>
            <w:tcW w:w="653" w:type="pct"/>
            <w:tcBorders>
              <w:top w:val="nil"/>
              <w:bottom w:val="nil"/>
            </w:tcBorders>
          </w:tcPr>
          <w:p w14:paraId="2A9D696C" w14:textId="77777777" w:rsidR="00110366" w:rsidRPr="004C78D8" w:rsidRDefault="00110366" w:rsidP="00FB7C1F">
            <w:pPr>
              <w:jc w:val="left"/>
              <w:rPr>
                <w:sz w:val="18"/>
                <w:szCs w:val="18"/>
              </w:rPr>
            </w:pPr>
          </w:p>
        </w:tc>
      </w:tr>
      <w:tr w:rsidR="00F071F1" w:rsidRPr="004C78D8" w14:paraId="5A075126" w14:textId="77777777" w:rsidTr="00E35893">
        <w:tc>
          <w:tcPr>
            <w:tcW w:w="5000" w:type="pct"/>
            <w:gridSpan w:val="4"/>
          </w:tcPr>
          <w:p w14:paraId="71941C1C" w14:textId="4461F9EE" w:rsidR="00F071F1" w:rsidRPr="004C78D8" w:rsidRDefault="00F071F1" w:rsidP="00FB7C1F">
            <w:pPr>
              <w:jc w:val="left"/>
              <w:rPr>
                <w:sz w:val="20"/>
                <w:szCs w:val="20"/>
              </w:rPr>
            </w:pPr>
            <w:r w:rsidRPr="004C78D8">
              <w:rPr>
                <w:b/>
                <w:bCs/>
                <w:sz w:val="20"/>
                <w:szCs w:val="20"/>
              </w:rPr>
              <w:t>(3) 24-week self-referred FaME and Otago for general-risk cognitively intact persons</w:t>
            </w:r>
          </w:p>
        </w:tc>
      </w:tr>
      <w:tr w:rsidR="00110366" w:rsidRPr="004C78D8" w14:paraId="6EA4DEAC" w14:textId="77777777" w:rsidTr="00E35893">
        <w:tc>
          <w:tcPr>
            <w:tcW w:w="896" w:type="pct"/>
          </w:tcPr>
          <w:p w14:paraId="3C7D1773" w14:textId="2E6F1A25" w:rsidR="00110366" w:rsidRPr="004C78D8" w:rsidRDefault="00110366" w:rsidP="00FB7C1F">
            <w:pPr>
              <w:jc w:val="left"/>
              <w:rPr>
                <w:sz w:val="18"/>
                <w:szCs w:val="18"/>
              </w:rPr>
            </w:pPr>
            <w:r w:rsidRPr="004C78D8">
              <w:rPr>
                <w:sz w:val="18"/>
                <w:szCs w:val="18"/>
              </w:rPr>
              <w:t>Access</w:t>
            </w:r>
          </w:p>
        </w:tc>
        <w:tc>
          <w:tcPr>
            <w:tcW w:w="2042" w:type="pct"/>
            <w:tcBorders>
              <w:top w:val="nil"/>
              <w:bottom w:val="single" w:sz="4" w:space="0" w:color="auto"/>
            </w:tcBorders>
          </w:tcPr>
          <w:p w14:paraId="25F97890" w14:textId="307B9D79" w:rsidR="00110366" w:rsidRPr="004C78D8" w:rsidRDefault="00110366" w:rsidP="00FB7C1F">
            <w:pPr>
              <w:jc w:val="left"/>
              <w:rPr>
                <w:sz w:val="18"/>
                <w:szCs w:val="18"/>
              </w:rPr>
            </w:pPr>
            <w:r w:rsidRPr="004C78D8">
              <w:rPr>
                <w:sz w:val="18"/>
                <w:szCs w:val="18"/>
              </w:rPr>
              <w:t>Direct marketing</w:t>
            </w:r>
          </w:p>
        </w:tc>
        <w:tc>
          <w:tcPr>
            <w:tcW w:w="1409" w:type="pct"/>
            <w:tcBorders>
              <w:top w:val="nil"/>
              <w:bottom w:val="single" w:sz="4" w:space="0" w:color="auto"/>
            </w:tcBorders>
          </w:tcPr>
          <w:p w14:paraId="13DC7758" w14:textId="38EC9D1C" w:rsidR="00110366" w:rsidRPr="004C78D8" w:rsidRDefault="00110366" w:rsidP="00FB7C1F">
            <w:pPr>
              <w:jc w:val="left"/>
              <w:rPr>
                <w:sz w:val="18"/>
                <w:szCs w:val="18"/>
              </w:rPr>
            </w:pPr>
            <w:r w:rsidRPr="004C78D8">
              <w:rPr>
                <w:sz w:val="18"/>
                <w:szCs w:val="18"/>
              </w:rPr>
              <w:t>£10.03 per client</w:t>
            </w:r>
          </w:p>
        </w:tc>
        <w:tc>
          <w:tcPr>
            <w:tcW w:w="653" w:type="pct"/>
            <w:tcBorders>
              <w:top w:val="nil"/>
              <w:bottom w:val="single" w:sz="4" w:space="0" w:color="auto"/>
            </w:tcBorders>
          </w:tcPr>
          <w:p w14:paraId="0BDB1442" w14:textId="2262D107" w:rsidR="00110366" w:rsidRPr="004C78D8" w:rsidRDefault="00110366" w:rsidP="00FB7C1F">
            <w:pPr>
              <w:jc w:val="left"/>
              <w:rPr>
                <w:sz w:val="18"/>
                <w:szCs w:val="18"/>
              </w:rPr>
            </w:pPr>
            <w:r w:rsidRPr="004C78D8">
              <w:rPr>
                <w:sz w:val="18"/>
                <w:szCs w:val="18"/>
              </w:rPr>
              <w:fldChar w:fldCharType="begin">
                <w:fldData xml:space="preserve">PEVuZE5vdGU+PENpdGU+PEF1dGhvcj5NY0xlYW48L0F1dGhvcj48WWVhcj4yMDE1PC9ZZWFyPjxS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</w:fldData>
              </w:fldChar>
            </w:r>
            <w:r w:rsidR="00C630FC" w:rsidRPr="004C78D8">
              <w:rPr>
                <w:sz w:val="18"/>
                <w:szCs w:val="18"/>
              </w:rPr>
              <w:instrText xml:space="preserve"> ADDIN EN.CITE </w:instrText>
            </w:r>
            <w:r w:rsidR="00C630FC" w:rsidRPr="004C78D8">
              <w:rPr>
                <w:sz w:val="18"/>
                <w:szCs w:val="18"/>
              </w:rPr>
              <w:fldChar w:fldCharType="begin">
                <w:fldData xml:space="preserve">PEVuZE5vdGU+PENpdGU+PEF1dGhvcj5NY0xlYW48L0F1dGhvcj48WWVhcj4yMDE1PC9ZZWFyPjxS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</w:fldData>
              </w:fldChar>
            </w:r>
            <w:r w:rsidR="00C630FC" w:rsidRPr="004C78D8">
              <w:rPr>
                <w:sz w:val="18"/>
                <w:szCs w:val="18"/>
              </w:rPr>
              <w:instrText xml:space="preserve"> ADDIN EN.CITE.DATA </w:instrText>
            </w:r>
            <w:r w:rsidR="00C630FC" w:rsidRPr="004C78D8">
              <w:rPr>
                <w:sz w:val="18"/>
                <w:szCs w:val="18"/>
              </w:rPr>
            </w:r>
            <w:r w:rsidR="00C630FC" w:rsidRPr="004C78D8">
              <w:rPr>
                <w:sz w:val="18"/>
                <w:szCs w:val="18"/>
              </w:rPr>
              <w:fldChar w:fldCharType="end"/>
            </w:r>
            <w:r w:rsidRPr="004C78D8">
              <w:rPr>
                <w:sz w:val="18"/>
                <w:szCs w:val="18"/>
              </w:rPr>
            </w:r>
            <w:r w:rsidRPr="004C78D8">
              <w:rPr>
                <w:sz w:val="18"/>
                <w:szCs w:val="18"/>
              </w:rPr>
              <w:fldChar w:fldCharType="separate"/>
            </w:r>
            <w:r w:rsidR="00C630FC" w:rsidRPr="004C78D8">
              <w:rPr>
                <w:noProof/>
                <w:sz w:val="18"/>
                <w:szCs w:val="18"/>
              </w:rPr>
              <w:t>[355]</w:t>
            </w:r>
            <w:r w:rsidRPr="004C78D8">
              <w:rPr>
                <w:sz w:val="18"/>
                <w:szCs w:val="18"/>
              </w:rPr>
              <w:fldChar w:fldCharType="end"/>
            </w:r>
          </w:p>
        </w:tc>
      </w:tr>
      <w:tr w:rsidR="00110366" w:rsidRPr="004C78D8" w14:paraId="65E2861F" w14:textId="77777777" w:rsidTr="00E35893">
        <w:tc>
          <w:tcPr>
            <w:tcW w:w="896" w:type="pct"/>
            <w:vMerge w:val="restart"/>
          </w:tcPr>
          <w:p w14:paraId="129BD496" w14:textId="0154B46B" w:rsidR="00110366" w:rsidRPr="004C78D8" w:rsidRDefault="00110366" w:rsidP="00FB7C1F">
            <w:pPr>
              <w:jc w:val="left"/>
              <w:rPr>
                <w:sz w:val="18"/>
                <w:szCs w:val="18"/>
              </w:rPr>
            </w:pPr>
            <w:r w:rsidRPr="004C78D8">
              <w:rPr>
                <w:sz w:val="18"/>
                <w:szCs w:val="18"/>
              </w:rPr>
              <w:t xml:space="preserve">Therapeutic </w:t>
            </w:r>
            <w:r w:rsidR="00522146" w:rsidRPr="004C78D8">
              <w:rPr>
                <w:sz w:val="18"/>
                <w:szCs w:val="18"/>
              </w:rPr>
              <w:t>component</w:t>
            </w:r>
          </w:p>
        </w:tc>
        <w:tc>
          <w:tcPr>
            <w:tcW w:w="2042" w:type="pct"/>
            <w:tcBorders>
              <w:top w:val="single" w:sz="4" w:space="0" w:color="auto"/>
              <w:bottom w:val="nil"/>
            </w:tcBorders>
          </w:tcPr>
          <w:p w14:paraId="7F374885" w14:textId="5A964738" w:rsidR="00110366" w:rsidRPr="004C78D8" w:rsidRDefault="00110366" w:rsidP="00FB7C1F">
            <w:pPr>
              <w:jc w:val="left"/>
              <w:rPr>
                <w:sz w:val="18"/>
                <w:szCs w:val="18"/>
              </w:rPr>
            </w:pPr>
            <w:r w:rsidRPr="004C78D8">
              <w:rPr>
                <w:sz w:val="18"/>
                <w:szCs w:val="18"/>
              </w:rPr>
              <w:t>Staff time</w:t>
            </w:r>
          </w:p>
        </w:tc>
        <w:tc>
          <w:tcPr>
            <w:tcW w:w="1409" w:type="pct"/>
            <w:tcBorders>
              <w:top w:val="single" w:sz="4" w:space="0" w:color="auto"/>
              <w:bottom w:val="nil"/>
            </w:tcBorders>
          </w:tcPr>
          <w:p w14:paraId="40E161C2" w14:textId="72E01166" w:rsidR="00110366" w:rsidRPr="004C78D8" w:rsidRDefault="00110366" w:rsidP="00FB7C1F">
            <w:pPr>
              <w:jc w:val="left"/>
              <w:rPr>
                <w:sz w:val="18"/>
                <w:szCs w:val="18"/>
              </w:rPr>
            </w:pPr>
            <w:r w:rsidRPr="004C78D8">
              <w:rPr>
                <w:sz w:val="18"/>
                <w:szCs w:val="18"/>
              </w:rPr>
              <w:t>£126 per client</w:t>
            </w:r>
          </w:p>
        </w:tc>
        <w:tc>
          <w:tcPr>
            <w:tcW w:w="653" w:type="pct"/>
            <w:tcBorders>
              <w:top w:val="single" w:sz="4" w:space="0" w:color="auto"/>
              <w:bottom w:val="nil"/>
            </w:tcBorders>
          </w:tcPr>
          <w:p w14:paraId="21702259" w14:textId="25A2C645" w:rsidR="00110366" w:rsidRPr="004C78D8" w:rsidRDefault="00110366" w:rsidP="00FB7C1F">
            <w:pPr>
              <w:jc w:val="left"/>
              <w:rPr>
                <w:sz w:val="18"/>
                <w:szCs w:val="18"/>
              </w:rPr>
            </w:pPr>
            <w:r w:rsidRPr="004C78D8">
              <w:rPr>
                <w:sz w:val="18"/>
                <w:szCs w:val="18"/>
              </w:rPr>
              <w:t>PCS</w:t>
            </w:r>
          </w:p>
        </w:tc>
      </w:tr>
      <w:tr w:rsidR="00110366" w:rsidRPr="004C78D8" w14:paraId="249A048B" w14:textId="77777777" w:rsidTr="00E35893">
        <w:tc>
          <w:tcPr>
            <w:tcW w:w="896" w:type="pct"/>
            <w:vMerge/>
          </w:tcPr>
          <w:p w14:paraId="02B6A631" w14:textId="77777777" w:rsidR="00110366" w:rsidRPr="004C78D8" w:rsidRDefault="00110366" w:rsidP="00FB7C1F">
            <w:pPr>
              <w:jc w:val="left"/>
              <w:rPr>
                <w:sz w:val="18"/>
                <w:szCs w:val="18"/>
              </w:rPr>
            </w:pPr>
          </w:p>
        </w:tc>
        <w:tc>
          <w:tcPr>
            <w:tcW w:w="2042" w:type="pct"/>
            <w:tcBorders>
              <w:top w:val="nil"/>
              <w:bottom w:val="nil"/>
            </w:tcBorders>
          </w:tcPr>
          <w:p w14:paraId="34125D66" w14:textId="52371612" w:rsidR="00110366" w:rsidRPr="004C78D8" w:rsidRDefault="00110366" w:rsidP="00FB7C1F">
            <w:pPr>
              <w:jc w:val="left"/>
              <w:rPr>
                <w:sz w:val="18"/>
                <w:szCs w:val="18"/>
              </w:rPr>
            </w:pPr>
            <w:r w:rsidRPr="004C78D8">
              <w:rPr>
                <w:sz w:val="18"/>
                <w:szCs w:val="18"/>
              </w:rPr>
              <w:t>Staff training</w:t>
            </w:r>
          </w:p>
        </w:tc>
        <w:tc>
          <w:tcPr>
            <w:tcW w:w="1409" w:type="pct"/>
            <w:tcBorders>
              <w:top w:val="nil"/>
              <w:bottom w:val="nil"/>
            </w:tcBorders>
          </w:tcPr>
          <w:p w14:paraId="743FE79B" w14:textId="20BDD0B8" w:rsidR="00110366" w:rsidRPr="004C78D8" w:rsidRDefault="00110366" w:rsidP="00FB7C1F">
            <w:pPr>
              <w:jc w:val="left"/>
              <w:rPr>
                <w:sz w:val="18"/>
                <w:szCs w:val="18"/>
              </w:rPr>
            </w:pPr>
            <w:r w:rsidRPr="004C78D8">
              <w:rPr>
                <w:sz w:val="18"/>
                <w:szCs w:val="18"/>
              </w:rPr>
              <w:t>£4.60 per client</w:t>
            </w:r>
          </w:p>
        </w:tc>
        <w:tc>
          <w:tcPr>
            <w:tcW w:w="653" w:type="pct"/>
            <w:tcBorders>
              <w:top w:val="nil"/>
              <w:bottom w:val="nil"/>
            </w:tcBorders>
          </w:tcPr>
          <w:p w14:paraId="52A5256F" w14:textId="6F7B3B0C" w:rsidR="00110366" w:rsidRPr="004C78D8" w:rsidRDefault="00110366"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4C78D8">
              <w:rPr>
                <w:sz w:val="18"/>
                <w:szCs w:val="18"/>
              </w:rPr>
              <w:fldChar w:fldCharType="separate"/>
            </w:r>
            <w:r w:rsidR="00C630FC" w:rsidRPr="004C78D8">
              <w:rPr>
                <w:noProof/>
                <w:sz w:val="18"/>
                <w:szCs w:val="18"/>
              </w:rPr>
              <w:t>[216]</w:t>
            </w:r>
            <w:r w:rsidRPr="004C78D8">
              <w:rPr>
                <w:sz w:val="18"/>
                <w:szCs w:val="18"/>
              </w:rPr>
              <w:fldChar w:fldCharType="end"/>
            </w:r>
          </w:p>
        </w:tc>
      </w:tr>
      <w:tr w:rsidR="00110366" w:rsidRPr="004C78D8" w14:paraId="68BEB368" w14:textId="77777777" w:rsidTr="00E35893">
        <w:tc>
          <w:tcPr>
            <w:tcW w:w="896" w:type="pct"/>
            <w:vMerge/>
          </w:tcPr>
          <w:p w14:paraId="7FA98189" w14:textId="77777777" w:rsidR="00110366" w:rsidRPr="004C78D8" w:rsidRDefault="00110366" w:rsidP="00FB7C1F">
            <w:pPr>
              <w:jc w:val="left"/>
              <w:rPr>
                <w:sz w:val="18"/>
                <w:szCs w:val="18"/>
              </w:rPr>
            </w:pPr>
          </w:p>
        </w:tc>
        <w:tc>
          <w:tcPr>
            <w:tcW w:w="2042" w:type="pct"/>
            <w:tcBorders>
              <w:top w:val="nil"/>
              <w:bottom w:val="nil"/>
            </w:tcBorders>
          </w:tcPr>
          <w:p w14:paraId="24DB57DD" w14:textId="26568B81" w:rsidR="00110366" w:rsidRPr="004C78D8" w:rsidRDefault="00110366" w:rsidP="00FB7C1F">
            <w:pPr>
              <w:jc w:val="left"/>
              <w:rPr>
                <w:sz w:val="18"/>
                <w:szCs w:val="18"/>
              </w:rPr>
            </w:pPr>
            <w:r w:rsidRPr="004C78D8">
              <w:rPr>
                <w:sz w:val="18"/>
                <w:szCs w:val="18"/>
              </w:rPr>
              <w:t>Staff travel</w:t>
            </w:r>
          </w:p>
        </w:tc>
        <w:tc>
          <w:tcPr>
            <w:tcW w:w="1409" w:type="pct"/>
            <w:tcBorders>
              <w:top w:val="nil"/>
              <w:bottom w:val="nil"/>
            </w:tcBorders>
          </w:tcPr>
          <w:p w14:paraId="10474684" w14:textId="138DA91D" w:rsidR="00110366" w:rsidRPr="004C78D8" w:rsidRDefault="00110366" w:rsidP="00FB7C1F">
            <w:pPr>
              <w:jc w:val="left"/>
              <w:rPr>
                <w:sz w:val="18"/>
                <w:szCs w:val="18"/>
              </w:rPr>
            </w:pPr>
            <w:r w:rsidRPr="004C78D8">
              <w:rPr>
                <w:sz w:val="18"/>
                <w:szCs w:val="18"/>
              </w:rPr>
              <w:t>£21.11 per client</w:t>
            </w:r>
          </w:p>
        </w:tc>
        <w:tc>
          <w:tcPr>
            <w:tcW w:w="653" w:type="pct"/>
            <w:tcBorders>
              <w:top w:val="nil"/>
              <w:bottom w:val="nil"/>
            </w:tcBorders>
          </w:tcPr>
          <w:p w14:paraId="1968E8FB" w14:textId="51C8D837" w:rsidR="00110366" w:rsidRPr="004C78D8" w:rsidRDefault="00110366"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4C78D8">
              <w:rPr>
                <w:sz w:val="18"/>
                <w:szCs w:val="18"/>
              </w:rPr>
              <w:fldChar w:fldCharType="separate"/>
            </w:r>
            <w:r w:rsidR="00C630FC" w:rsidRPr="004C78D8">
              <w:rPr>
                <w:noProof/>
                <w:sz w:val="18"/>
                <w:szCs w:val="18"/>
              </w:rPr>
              <w:t>[216]</w:t>
            </w:r>
            <w:r w:rsidRPr="004C78D8">
              <w:rPr>
                <w:sz w:val="18"/>
                <w:szCs w:val="18"/>
              </w:rPr>
              <w:fldChar w:fldCharType="end"/>
            </w:r>
          </w:p>
        </w:tc>
      </w:tr>
      <w:tr w:rsidR="00110366" w:rsidRPr="004C78D8" w14:paraId="015437C5" w14:textId="77777777" w:rsidTr="00E35893">
        <w:tc>
          <w:tcPr>
            <w:tcW w:w="896" w:type="pct"/>
            <w:vMerge/>
          </w:tcPr>
          <w:p w14:paraId="1F5798AB" w14:textId="77777777" w:rsidR="00110366" w:rsidRPr="004C78D8" w:rsidRDefault="00110366" w:rsidP="00FB7C1F">
            <w:pPr>
              <w:jc w:val="left"/>
              <w:rPr>
                <w:sz w:val="18"/>
                <w:szCs w:val="18"/>
              </w:rPr>
            </w:pPr>
          </w:p>
        </w:tc>
        <w:tc>
          <w:tcPr>
            <w:tcW w:w="2042" w:type="pct"/>
            <w:tcBorders>
              <w:top w:val="nil"/>
              <w:bottom w:val="nil"/>
            </w:tcBorders>
          </w:tcPr>
          <w:p w14:paraId="7E889329" w14:textId="61329AF8" w:rsidR="00110366" w:rsidRPr="004C78D8" w:rsidRDefault="00110366" w:rsidP="00FB7C1F">
            <w:pPr>
              <w:jc w:val="left"/>
              <w:rPr>
                <w:sz w:val="18"/>
                <w:szCs w:val="18"/>
              </w:rPr>
            </w:pPr>
            <w:r w:rsidRPr="004C78D8">
              <w:rPr>
                <w:sz w:val="18"/>
                <w:szCs w:val="18"/>
              </w:rPr>
              <w:t>Equipment</w:t>
            </w:r>
          </w:p>
        </w:tc>
        <w:tc>
          <w:tcPr>
            <w:tcW w:w="1409" w:type="pct"/>
            <w:tcBorders>
              <w:top w:val="nil"/>
              <w:bottom w:val="nil"/>
            </w:tcBorders>
          </w:tcPr>
          <w:p w14:paraId="2408E409" w14:textId="7C5E0008" w:rsidR="00110366" w:rsidRPr="004C78D8" w:rsidRDefault="00110366" w:rsidP="00FB7C1F">
            <w:pPr>
              <w:jc w:val="left"/>
              <w:rPr>
                <w:sz w:val="18"/>
                <w:szCs w:val="18"/>
              </w:rPr>
            </w:pPr>
            <w:r w:rsidRPr="004C78D8">
              <w:rPr>
                <w:sz w:val="18"/>
                <w:szCs w:val="18"/>
              </w:rPr>
              <w:t>£20.02 per client</w:t>
            </w:r>
          </w:p>
        </w:tc>
        <w:tc>
          <w:tcPr>
            <w:tcW w:w="653" w:type="pct"/>
            <w:tcBorders>
              <w:top w:val="nil"/>
              <w:bottom w:val="nil"/>
            </w:tcBorders>
          </w:tcPr>
          <w:p w14:paraId="042101F1" w14:textId="444E8497" w:rsidR="00110366" w:rsidRPr="004C78D8" w:rsidRDefault="00110366"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4C78D8">
              <w:rPr>
                <w:sz w:val="18"/>
                <w:szCs w:val="18"/>
              </w:rPr>
              <w:fldChar w:fldCharType="separate"/>
            </w:r>
            <w:r w:rsidR="00C630FC" w:rsidRPr="004C78D8">
              <w:rPr>
                <w:noProof/>
                <w:sz w:val="18"/>
                <w:szCs w:val="18"/>
              </w:rPr>
              <w:t>[216]</w:t>
            </w:r>
            <w:r w:rsidRPr="004C78D8">
              <w:rPr>
                <w:sz w:val="18"/>
                <w:szCs w:val="18"/>
              </w:rPr>
              <w:fldChar w:fldCharType="end"/>
            </w:r>
          </w:p>
        </w:tc>
      </w:tr>
      <w:tr w:rsidR="00110366" w:rsidRPr="004C78D8" w14:paraId="0C82AC7D" w14:textId="77777777" w:rsidTr="00E35893">
        <w:tc>
          <w:tcPr>
            <w:tcW w:w="896" w:type="pct"/>
            <w:vMerge/>
          </w:tcPr>
          <w:p w14:paraId="6C991E48" w14:textId="77777777" w:rsidR="00110366" w:rsidRPr="004C78D8" w:rsidRDefault="00110366" w:rsidP="00FB7C1F">
            <w:pPr>
              <w:jc w:val="left"/>
              <w:rPr>
                <w:sz w:val="18"/>
                <w:szCs w:val="18"/>
              </w:rPr>
            </w:pPr>
          </w:p>
        </w:tc>
        <w:tc>
          <w:tcPr>
            <w:tcW w:w="2042" w:type="pct"/>
            <w:tcBorders>
              <w:top w:val="nil"/>
              <w:bottom w:val="single" w:sz="4" w:space="0" w:color="auto"/>
            </w:tcBorders>
          </w:tcPr>
          <w:p w14:paraId="492B8E57" w14:textId="6D700464" w:rsidR="00110366" w:rsidRPr="004C78D8" w:rsidRDefault="00110366" w:rsidP="00FB7C1F">
            <w:pPr>
              <w:jc w:val="left"/>
              <w:rPr>
                <w:sz w:val="18"/>
                <w:szCs w:val="18"/>
              </w:rPr>
            </w:pPr>
            <w:r w:rsidRPr="004C78D8">
              <w:rPr>
                <w:sz w:val="18"/>
                <w:szCs w:val="18"/>
              </w:rPr>
              <w:t>Venue hire</w:t>
            </w:r>
          </w:p>
        </w:tc>
        <w:tc>
          <w:tcPr>
            <w:tcW w:w="1409" w:type="pct"/>
            <w:tcBorders>
              <w:top w:val="nil"/>
              <w:bottom w:val="single" w:sz="4" w:space="0" w:color="auto"/>
            </w:tcBorders>
          </w:tcPr>
          <w:p w14:paraId="5A1D069E" w14:textId="2EA0FEF7" w:rsidR="00110366" w:rsidRPr="004C78D8" w:rsidRDefault="00110366" w:rsidP="00FB7C1F">
            <w:pPr>
              <w:jc w:val="left"/>
              <w:rPr>
                <w:sz w:val="18"/>
                <w:szCs w:val="18"/>
              </w:rPr>
            </w:pPr>
            <w:r w:rsidRPr="004C78D8">
              <w:rPr>
                <w:sz w:val="18"/>
                <w:szCs w:val="18"/>
              </w:rPr>
              <w:t>£18 per client</w:t>
            </w:r>
          </w:p>
        </w:tc>
        <w:tc>
          <w:tcPr>
            <w:tcW w:w="653" w:type="pct"/>
            <w:tcBorders>
              <w:top w:val="nil"/>
              <w:bottom w:val="single" w:sz="4" w:space="0" w:color="auto"/>
            </w:tcBorders>
          </w:tcPr>
          <w:p w14:paraId="2693BB3C" w14:textId="38A8EA59" w:rsidR="00110366" w:rsidRPr="004C78D8" w:rsidRDefault="00110366"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4C78D8">
              <w:rPr>
                <w:sz w:val="18"/>
                <w:szCs w:val="18"/>
              </w:rPr>
              <w:fldChar w:fldCharType="separate"/>
            </w:r>
            <w:r w:rsidR="00C630FC" w:rsidRPr="004C78D8">
              <w:rPr>
                <w:noProof/>
                <w:sz w:val="18"/>
                <w:szCs w:val="18"/>
              </w:rPr>
              <w:t>[216]</w:t>
            </w:r>
            <w:r w:rsidRPr="004C78D8">
              <w:rPr>
                <w:sz w:val="18"/>
                <w:szCs w:val="18"/>
              </w:rPr>
              <w:fldChar w:fldCharType="end"/>
            </w:r>
          </w:p>
        </w:tc>
      </w:tr>
      <w:tr w:rsidR="00110366" w:rsidRPr="004C78D8" w14:paraId="52F91278" w14:textId="77777777" w:rsidTr="00E35893">
        <w:tc>
          <w:tcPr>
            <w:tcW w:w="896" w:type="pct"/>
            <w:vMerge w:val="restart"/>
          </w:tcPr>
          <w:p w14:paraId="11B1BE34" w14:textId="7D60C12B" w:rsidR="00110366" w:rsidRPr="004C78D8" w:rsidRDefault="00110366" w:rsidP="00FB7C1F">
            <w:pPr>
              <w:jc w:val="left"/>
              <w:rPr>
                <w:sz w:val="18"/>
                <w:szCs w:val="18"/>
              </w:rPr>
            </w:pPr>
            <w:r w:rsidRPr="004C78D8">
              <w:rPr>
                <w:sz w:val="18"/>
                <w:szCs w:val="18"/>
              </w:rPr>
              <w:t>Non public sector cost per client</w:t>
            </w:r>
          </w:p>
        </w:tc>
        <w:tc>
          <w:tcPr>
            <w:tcW w:w="2042" w:type="pct"/>
            <w:tcBorders>
              <w:top w:val="single" w:sz="4" w:space="0" w:color="auto"/>
              <w:bottom w:val="nil"/>
            </w:tcBorders>
          </w:tcPr>
          <w:p w14:paraId="6ADA9D2A" w14:textId="063CEBAB" w:rsidR="00110366" w:rsidRPr="004C78D8" w:rsidRDefault="00110366" w:rsidP="00FB7C1F">
            <w:pPr>
              <w:jc w:val="left"/>
              <w:rPr>
                <w:sz w:val="18"/>
                <w:szCs w:val="18"/>
              </w:rPr>
            </w:pPr>
            <w:r w:rsidRPr="004C78D8">
              <w:rPr>
                <w:sz w:val="18"/>
                <w:szCs w:val="18"/>
              </w:rPr>
              <w:t>Travel cost</w:t>
            </w:r>
          </w:p>
        </w:tc>
        <w:tc>
          <w:tcPr>
            <w:tcW w:w="1409" w:type="pct"/>
            <w:tcBorders>
              <w:top w:val="single" w:sz="4" w:space="0" w:color="auto"/>
              <w:bottom w:val="nil"/>
            </w:tcBorders>
          </w:tcPr>
          <w:p w14:paraId="3C4CCA90" w14:textId="0BC79213" w:rsidR="00110366" w:rsidRPr="004C78D8" w:rsidRDefault="00110366" w:rsidP="00FB7C1F">
            <w:pPr>
              <w:jc w:val="left"/>
              <w:rPr>
                <w:sz w:val="18"/>
                <w:szCs w:val="18"/>
              </w:rPr>
            </w:pPr>
            <w:r w:rsidRPr="004C78D8">
              <w:rPr>
                <w:sz w:val="18"/>
                <w:szCs w:val="18"/>
              </w:rPr>
              <w:t>£62.45</w:t>
            </w:r>
          </w:p>
        </w:tc>
        <w:tc>
          <w:tcPr>
            <w:tcW w:w="653" w:type="pct"/>
            <w:tcBorders>
              <w:top w:val="single" w:sz="4" w:space="0" w:color="auto"/>
              <w:bottom w:val="nil"/>
            </w:tcBorders>
          </w:tcPr>
          <w:p w14:paraId="6903D46C" w14:textId="43891FA1" w:rsidR="00110366" w:rsidRPr="004C78D8" w:rsidRDefault="00110366"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&lt;EndNote&gt;&lt;Cite&gt;&lt;Author&gt;Comans&lt;/Author&gt;&lt;Year&gt;2009&lt;/Year&gt;&lt;RecNum&gt;376&lt;/RecNum&gt;&lt;DisplayText&gt;[207]&lt;/DisplayText&gt;&lt;record&gt;&lt;rec-number&gt;376&lt;/rec-number&gt;&lt;foreign-keys&gt;&lt;key app="EN" db-id="tdtrdw9aepptzbefsat599syza29sxsd2wsp" timestamp="1612625082"&gt;376&lt;/key&gt;&lt;/foreign-keys&gt;&lt;ref-type name="Journal Article"&gt;17&lt;/ref-type&gt;&lt;contributors&gt;&lt;authors&gt;&lt;author&gt;Comans, Tracy&lt;/author&gt;&lt;author&gt;Brauer, Sandy&lt;/author&gt;&lt;author&gt;Haines, Terry&lt;/author&gt;&lt;/authors&gt;&lt;/contributors&gt;&lt;titles&gt;&lt;title&gt;A break-even analysis of a community rehabilitation falls prevention service&lt;/title&gt;&lt;secondary-title&gt;Australian and New Zealand journal of public health&lt;/secondary-title&gt;&lt;/titles&gt;&lt;periodical&gt;&lt;full-title&gt;Australian and New Zealand journal of public health&lt;/full-title&gt;&lt;/periodical&gt;&lt;pages&gt;240-5&lt;/pages&gt;&lt;volume&gt;33&lt;/volume&gt;&lt;number&gt;3&lt;/number&gt;&lt;section&gt;Comans, Tracy. The Community Rehabilitation Service, Southside Health Service District and School of Health and Rehabilitation Sciences, University of Queensland, Queensland, Australia. tracy.comans@uqconnect.edu.au&lt;/section&gt;&lt;keywords&gt;&lt;keyword&gt;*Accidental Falls/pc [Prevention &amp;amp; Control]&lt;/keyword&gt;&lt;keyword&gt;Aged&lt;/keyword&gt;&lt;keyword&gt;Aged, 80 and over&lt;/keyword&gt;&lt;keyword&gt;Cost-Benefit Analysis&lt;/keyword&gt;&lt;keyword&gt;Efficiency, Organizational/ec [Economics]&lt;/keyword&gt;&lt;keyword&gt;*Efficiency, Organizational&lt;/keyword&gt;&lt;keyword&gt;Female&lt;/keyword&gt;&lt;keyword&gt;Humans&lt;/keyword&gt;&lt;keyword&gt;Interdisciplinary Communication&lt;/keyword&gt;&lt;keyword&gt;Male&lt;/keyword&gt;&lt;keyword&gt;Models, Theoretical&lt;/keyword&gt;&lt;keyword&gt;*Preventive Health Services/st [Standards]&lt;/keyword&gt;&lt;keyword&gt;*Rehabilitation Centers&lt;/keyword&gt;&lt;/keywords&gt;&lt;dates&gt;&lt;year&gt;2009&lt;/year&gt;&lt;/dates&gt;&lt;pub-location&gt;Australia&lt;/pub-location&gt;&lt;isbn&gt;1326-0200&lt;/isbn&gt;&lt;urls&gt;&lt;related-urls&gt;&lt;url&gt;http://ovidsp.ovid.com/ovidweb.cgi?T=JS&amp;amp;PAGE=reference&amp;amp;D=med6&amp;amp;NEWS=N&amp;amp;AN=19630843&lt;/url&gt;&lt;/related-urls&gt;&lt;/urls&gt;&lt;electronic-resource-num&gt;https://dx.doi.org/10.1111/j.1753-6405.2009.00382.x&lt;/electronic-resource-num&gt;&lt;remote-database-name&gt;Medline&lt;/remote-database-name&gt;&lt;/record&gt;&lt;/Cite&gt;&lt;/EndNote&gt;</w:instrText>
            </w:r>
            <w:r w:rsidRPr="004C78D8">
              <w:rPr>
                <w:sz w:val="18"/>
                <w:szCs w:val="18"/>
              </w:rPr>
              <w:fldChar w:fldCharType="separate"/>
            </w:r>
            <w:r w:rsidR="00C630FC" w:rsidRPr="004C78D8">
              <w:rPr>
                <w:noProof/>
                <w:sz w:val="18"/>
                <w:szCs w:val="18"/>
              </w:rPr>
              <w:t>[207]</w:t>
            </w:r>
            <w:r w:rsidRPr="004C78D8">
              <w:rPr>
                <w:sz w:val="18"/>
                <w:szCs w:val="18"/>
              </w:rPr>
              <w:fldChar w:fldCharType="end"/>
            </w:r>
          </w:p>
        </w:tc>
      </w:tr>
      <w:tr w:rsidR="00110366" w:rsidRPr="004C78D8" w14:paraId="2D760678" w14:textId="77777777" w:rsidTr="00E35893">
        <w:tc>
          <w:tcPr>
            <w:tcW w:w="896" w:type="pct"/>
            <w:vMerge/>
          </w:tcPr>
          <w:p w14:paraId="76B8FB85" w14:textId="77777777" w:rsidR="00110366" w:rsidRPr="004C78D8" w:rsidRDefault="00110366" w:rsidP="00FB7C1F">
            <w:pPr>
              <w:jc w:val="left"/>
              <w:rPr>
                <w:sz w:val="18"/>
                <w:szCs w:val="18"/>
              </w:rPr>
            </w:pPr>
          </w:p>
        </w:tc>
        <w:tc>
          <w:tcPr>
            <w:tcW w:w="2042" w:type="pct"/>
            <w:tcBorders>
              <w:top w:val="nil"/>
              <w:bottom w:val="nil"/>
            </w:tcBorders>
          </w:tcPr>
          <w:p w14:paraId="3196186D" w14:textId="6A2496B2" w:rsidR="00110366" w:rsidRPr="004C78D8" w:rsidRDefault="00110366" w:rsidP="00FB7C1F">
            <w:pPr>
              <w:jc w:val="left"/>
              <w:rPr>
                <w:sz w:val="18"/>
                <w:szCs w:val="18"/>
              </w:rPr>
            </w:pPr>
            <w:r w:rsidRPr="004C78D8">
              <w:rPr>
                <w:sz w:val="18"/>
                <w:szCs w:val="18"/>
              </w:rPr>
              <w:t>Time opportunity cost – if employed</w:t>
            </w:r>
            <w:r w:rsidR="001D7D04" w:rsidRPr="004C78D8">
              <w:rPr>
                <w:sz w:val="18"/>
                <w:szCs w:val="18"/>
                <w:vertAlign w:val="superscript"/>
              </w:rPr>
              <w:t>9</w:t>
            </w:r>
          </w:p>
        </w:tc>
        <w:tc>
          <w:tcPr>
            <w:tcW w:w="1409" w:type="pct"/>
            <w:tcBorders>
              <w:top w:val="nil"/>
              <w:bottom w:val="nil"/>
            </w:tcBorders>
          </w:tcPr>
          <w:p w14:paraId="6D06AA9A" w14:textId="30052642" w:rsidR="00110366" w:rsidRPr="004C78D8" w:rsidRDefault="00110366" w:rsidP="00FB7C1F">
            <w:pPr>
              <w:jc w:val="left"/>
              <w:rPr>
                <w:sz w:val="18"/>
                <w:szCs w:val="18"/>
              </w:rPr>
            </w:pPr>
            <w:r w:rsidRPr="004C78D8">
              <w:rPr>
                <w:sz w:val="18"/>
                <w:szCs w:val="18"/>
              </w:rPr>
              <w:t>£340.60 per year</w:t>
            </w:r>
          </w:p>
        </w:tc>
        <w:tc>
          <w:tcPr>
            <w:tcW w:w="653" w:type="pct"/>
            <w:tcBorders>
              <w:top w:val="nil"/>
              <w:bottom w:val="nil"/>
            </w:tcBorders>
          </w:tcPr>
          <w:p w14:paraId="33CBD34D" w14:textId="7DD88CFB" w:rsidR="00110366" w:rsidRPr="004C78D8" w:rsidRDefault="00110366" w:rsidP="00FB7C1F">
            <w:pPr>
              <w:jc w:val="left"/>
              <w:rPr>
                <w:sz w:val="18"/>
                <w:szCs w:val="18"/>
              </w:rPr>
            </w:pPr>
            <w:r w:rsidRPr="004C78D8">
              <w:rPr>
                <w:sz w:val="18"/>
                <w:szCs w:val="18"/>
              </w:rPr>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rPr>
                <w:sz w:val="18"/>
                <w:szCs w:val="18"/>
              </w:rPr>
              <w:instrText xml:space="preserve"> ADDIN EN.CITE </w:instrText>
            </w:r>
            <w:r w:rsidR="00513646" w:rsidRPr="004C78D8">
              <w:rPr>
                <w:sz w:val="18"/>
                <w:szCs w:val="18"/>
              </w:rPr>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rPr>
                <w:sz w:val="18"/>
                <w:szCs w:val="18"/>
              </w:rPr>
              <w:instrText xml:space="preserve"> ADDIN EN.CITE.DATA </w:instrText>
            </w:r>
            <w:r w:rsidR="00513646" w:rsidRPr="004C78D8">
              <w:rPr>
                <w:sz w:val="18"/>
                <w:szCs w:val="18"/>
              </w:rPr>
            </w:r>
            <w:r w:rsidR="00513646" w:rsidRPr="004C78D8">
              <w:rPr>
                <w:sz w:val="18"/>
                <w:szCs w:val="18"/>
              </w:rPr>
              <w:fldChar w:fldCharType="end"/>
            </w:r>
            <w:r w:rsidRPr="004C78D8">
              <w:rPr>
                <w:sz w:val="18"/>
                <w:szCs w:val="18"/>
              </w:rPr>
            </w:r>
            <w:r w:rsidRPr="004C78D8">
              <w:rPr>
                <w:sz w:val="18"/>
                <w:szCs w:val="18"/>
              </w:rPr>
              <w:fldChar w:fldCharType="separate"/>
            </w:r>
            <w:r w:rsidR="00513646" w:rsidRPr="004C78D8">
              <w:rPr>
                <w:noProof/>
                <w:sz w:val="18"/>
                <w:szCs w:val="18"/>
              </w:rPr>
              <w:t>[135]</w:t>
            </w:r>
            <w:r w:rsidRPr="004C78D8">
              <w:rPr>
                <w:sz w:val="18"/>
                <w:szCs w:val="18"/>
              </w:rPr>
              <w:fldChar w:fldCharType="end"/>
            </w:r>
          </w:p>
        </w:tc>
      </w:tr>
      <w:tr w:rsidR="00110366" w:rsidRPr="004C78D8" w14:paraId="02C94F97" w14:textId="77777777" w:rsidTr="00E35893">
        <w:tc>
          <w:tcPr>
            <w:tcW w:w="896" w:type="pct"/>
            <w:vMerge/>
          </w:tcPr>
          <w:p w14:paraId="1DEBFB30" w14:textId="77777777" w:rsidR="00110366" w:rsidRPr="004C78D8" w:rsidRDefault="00110366" w:rsidP="00FB7C1F">
            <w:pPr>
              <w:jc w:val="left"/>
              <w:rPr>
                <w:sz w:val="18"/>
                <w:szCs w:val="18"/>
              </w:rPr>
            </w:pPr>
          </w:p>
        </w:tc>
        <w:tc>
          <w:tcPr>
            <w:tcW w:w="2042" w:type="pct"/>
            <w:tcBorders>
              <w:top w:val="nil"/>
            </w:tcBorders>
          </w:tcPr>
          <w:p w14:paraId="01102FDE" w14:textId="1E5E11E2" w:rsidR="00110366" w:rsidRPr="004C78D8" w:rsidRDefault="00110366" w:rsidP="00FB7C1F">
            <w:pPr>
              <w:jc w:val="left"/>
              <w:rPr>
                <w:sz w:val="18"/>
                <w:szCs w:val="18"/>
              </w:rPr>
            </w:pPr>
            <w:r w:rsidRPr="004C78D8">
              <w:rPr>
                <w:sz w:val="18"/>
                <w:szCs w:val="18"/>
              </w:rPr>
              <w:t>Time opportunity cost – if engaged in regular unpaid work</w:t>
            </w:r>
            <w:r w:rsidR="001D7D04" w:rsidRPr="004C78D8">
              <w:rPr>
                <w:sz w:val="18"/>
                <w:szCs w:val="18"/>
                <w:vertAlign w:val="superscript"/>
              </w:rPr>
              <w:t>9</w:t>
            </w:r>
          </w:p>
        </w:tc>
        <w:tc>
          <w:tcPr>
            <w:tcW w:w="1409" w:type="pct"/>
            <w:tcBorders>
              <w:top w:val="nil"/>
            </w:tcBorders>
          </w:tcPr>
          <w:p w14:paraId="24563AD2" w14:textId="06ADD8DE" w:rsidR="00110366" w:rsidRPr="004C78D8" w:rsidRDefault="00110366" w:rsidP="00FB7C1F">
            <w:pPr>
              <w:jc w:val="left"/>
              <w:rPr>
                <w:sz w:val="18"/>
                <w:szCs w:val="18"/>
              </w:rPr>
            </w:pPr>
            <w:r w:rsidRPr="004C78D8">
              <w:rPr>
                <w:sz w:val="18"/>
                <w:szCs w:val="18"/>
              </w:rPr>
              <w:t>£85.15 per year</w:t>
            </w:r>
          </w:p>
        </w:tc>
        <w:tc>
          <w:tcPr>
            <w:tcW w:w="653" w:type="pct"/>
            <w:tcBorders>
              <w:top w:val="nil"/>
            </w:tcBorders>
          </w:tcPr>
          <w:p w14:paraId="1B1B5645" w14:textId="4BDC158C" w:rsidR="00110366" w:rsidRPr="004C78D8" w:rsidRDefault="00110366" w:rsidP="00FB7C1F">
            <w:pPr>
              <w:jc w:val="left"/>
              <w:rPr>
                <w:sz w:val="18"/>
                <w:szCs w:val="18"/>
              </w:rPr>
            </w:pPr>
            <w:r w:rsidRPr="004C78D8">
              <w:rPr>
                <w:sz w:val="18"/>
                <w:szCs w:val="18"/>
              </w:rPr>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rPr>
                <w:sz w:val="18"/>
                <w:szCs w:val="18"/>
              </w:rPr>
              <w:instrText xml:space="preserve"> ADDIN EN.CITE </w:instrText>
            </w:r>
            <w:r w:rsidR="00513646" w:rsidRPr="004C78D8">
              <w:rPr>
                <w:sz w:val="18"/>
                <w:szCs w:val="18"/>
              </w:rPr>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rPr>
                <w:sz w:val="18"/>
                <w:szCs w:val="18"/>
              </w:rPr>
              <w:instrText xml:space="preserve"> ADDIN EN.CITE.DATA </w:instrText>
            </w:r>
            <w:r w:rsidR="00513646" w:rsidRPr="004C78D8">
              <w:rPr>
                <w:sz w:val="18"/>
                <w:szCs w:val="18"/>
              </w:rPr>
            </w:r>
            <w:r w:rsidR="00513646" w:rsidRPr="004C78D8">
              <w:rPr>
                <w:sz w:val="18"/>
                <w:szCs w:val="18"/>
              </w:rPr>
              <w:fldChar w:fldCharType="end"/>
            </w:r>
            <w:r w:rsidRPr="004C78D8">
              <w:rPr>
                <w:sz w:val="18"/>
                <w:szCs w:val="18"/>
              </w:rPr>
            </w:r>
            <w:r w:rsidRPr="004C78D8">
              <w:rPr>
                <w:sz w:val="18"/>
                <w:szCs w:val="18"/>
              </w:rPr>
              <w:fldChar w:fldCharType="separate"/>
            </w:r>
            <w:r w:rsidR="00513646" w:rsidRPr="004C78D8">
              <w:rPr>
                <w:noProof/>
                <w:sz w:val="18"/>
                <w:szCs w:val="18"/>
              </w:rPr>
              <w:t>[135]</w:t>
            </w:r>
            <w:r w:rsidRPr="004C78D8">
              <w:rPr>
                <w:sz w:val="18"/>
                <w:szCs w:val="18"/>
              </w:rPr>
              <w:fldChar w:fldCharType="end"/>
            </w:r>
          </w:p>
        </w:tc>
      </w:tr>
      <w:tr w:rsidR="00110366" w:rsidRPr="004C78D8" w14:paraId="302D8EAF" w14:textId="77777777" w:rsidTr="00E35893">
        <w:tc>
          <w:tcPr>
            <w:tcW w:w="896" w:type="pct"/>
          </w:tcPr>
          <w:p w14:paraId="2D79CA39" w14:textId="7DCC52FD" w:rsidR="00110366" w:rsidRPr="004C78D8" w:rsidRDefault="00110366" w:rsidP="00FB7C1F">
            <w:pPr>
              <w:jc w:val="left"/>
              <w:rPr>
                <w:sz w:val="18"/>
                <w:szCs w:val="18"/>
              </w:rPr>
            </w:pPr>
            <w:r w:rsidRPr="004C78D8">
              <w:rPr>
                <w:sz w:val="18"/>
                <w:szCs w:val="18"/>
              </w:rPr>
              <w:t>Public sector cost</w:t>
            </w:r>
          </w:p>
        </w:tc>
        <w:tc>
          <w:tcPr>
            <w:tcW w:w="2042" w:type="pct"/>
            <w:tcBorders>
              <w:top w:val="nil"/>
            </w:tcBorders>
          </w:tcPr>
          <w:p w14:paraId="344FBF6E" w14:textId="3A0C9EE9" w:rsidR="00110366" w:rsidRPr="004C78D8" w:rsidRDefault="00110366" w:rsidP="00FB7C1F">
            <w:pPr>
              <w:jc w:val="left"/>
              <w:rPr>
                <w:sz w:val="18"/>
                <w:szCs w:val="18"/>
              </w:rPr>
            </w:pPr>
            <w:r w:rsidRPr="004C78D8">
              <w:rPr>
                <w:b/>
                <w:bCs/>
                <w:sz w:val="18"/>
                <w:szCs w:val="18"/>
              </w:rPr>
              <w:t>Average cost per client</w:t>
            </w:r>
          </w:p>
        </w:tc>
        <w:tc>
          <w:tcPr>
            <w:tcW w:w="1409" w:type="pct"/>
            <w:tcBorders>
              <w:top w:val="nil"/>
            </w:tcBorders>
          </w:tcPr>
          <w:p w14:paraId="405F812F" w14:textId="64B54481" w:rsidR="00110366" w:rsidRPr="004C78D8" w:rsidRDefault="00110366" w:rsidP="00FB7C1F">
            <w:pPr>
              <w:jc w:val="left"/>
              <w:rPr>
                <w:b/>
                <w:bCs/>
                <w:sz w:val="18"/>
                <w:szCs w:val="18"/>
              </w:rPr>
            </w:pPr>
            <w:r w:rsidRPr="004C78D8">
              <w:rPr>
                <w:b/>
                <w:bCs/>
                <w:sz w:val="18"/>
                <w:szCs w:val="18"/>
              </w:rPr>
              <w:t>£199.76 per year</w:t>
            </w:r>
          </w:p>
        </w:tc>
        <w:tc>
          <w:tcPr>
            <w:tcW w:w="653" w:type="pct"/>
            <w:tcBorders>
              <w:top w:val="nil"/>
            </w:tcBorders>
          </w:tcPr>
          <w:p w14:paraId="2AEBB939" w14:textId="77777777" w:rsidR="00110366" w:rsidRPr="004C78D8" w:rsidRDefault="00110366" w:rsidP="00FB7C1F">
            <w:pPr>
              <w:jc w:val="left"/>
              <w:rPr>
                <w:sz w:val="18"/>
                <w:szCs w:val="18"/>
              </w:rPr>
            </w:pPr>
          </w:p>
        </w:tc>
      </w:tr>
      <w:tr w:rsidR="0007288A" w:rsidRPr="004C78D8" w14:paraId="3F353C3D" w14:textId="77777777" w:rsidTr="00E35893">
        <w:tc>
          <w:tcPr>
            <w:tcW w:w="5000" w:type="pct"/>
            <w:gridSpan w:val="4"/>
          </w:tcPr>
          <w:p w14:paraId="68DB46BA" w14:textId="57EC18C4" w:rsidR="0007288A" w:rsidRPr="004C78D8" w:rsidRDefault="0007288A" w:rsidP="00FB7C1F">
            <w:pPr>
              <w:jc w:val="left"/>
              <w:rPr>
                <w:sz w:val="20"/>
                <w:szCs w:val="20"/>
              </w:rPr>
            </w:pPr>
            <w:r w:rsidRPr="004C78D8">
              <w:rPr>
                <w:b/>
                <w:bCs/>
                <w:sz w:val="20"/>
                <w:szCs w:val="20"/>
              </w:rPr>
              <w:t>(4) 36-week self-referred FaME and Otago for high-risk cognitively intact persons</w:t>
            </w:r>
          </w:p>
        </w:tc>
      </w:tr>
      <w:tr w:rsidR="00110366" w:rsidRPr="004C78D8" w14:paraId="4C27484E" w14:textId="77777777" w:rsidTr="00E35893">
        <w:tc>
          <w:tcPr>
            <w:tcW w:w="896" w:type="pct"/>
          </w:tcPr>
          <w:p w14:paraId="596B2CA4" w14:textId="7A633C65" w:rsidR="00110366" w:rsidRPr="004C78D8" w:rsidRDefault="00110366" w:rsidP="00FB7C1F">
            <w:pPr>
              <w:jc w:val="left"/>
              <w:rPr>
                <w:sz w:val="18"/>
                <w:szCs w:val="18"/>
              </w:rPr>
            </w:pPr>
            <w:r w:rsidRPr="004C78D8">
              <w:rPr>
                <w:sz w:val="18"/>
                <w:szCs w:val="18"/>
              </w:rPr>
              <w:t>Access</w:t>
            </w:r>
          </w:p>
        </w:tc>
        <w:tc>
          <w:tcPr>
            <w:tcW w:w="2042" w:type="pct"/>
            <w:tcBorders>
              <w:top w:val="nil"/>
              <w:bottom w:val="single" w:sz="4" w:space="0" w:color="auto"/>
            </w:tcBorders>
          </w:tcPr>
          <w:p w14:paraId="7F9C7002" w14:textId="471278F2" w:rsidR="00110366" w:rsidRPr="004C78D8" w:rsidRDefault="00110366" w:rsidP="00FB7C1F">
            <w:pPr>
              <w:jc w:val="left"/>
              <w:rPr>
                <w:sz w:val="18"/>
                <w:szCs w:val="18"/>
              </w:rPr>
            </w:pPr>
            <w:r w:rsidRPr="004C78D8">
              <w:rPr>
                <w:sz w:val="18"/>
                <w:szCs w:val="18"/>
              </w:rPr>
              <w:t>Direct marketing</w:t>
            </w:r>
          </w:p>
        </w:tc>
        <w:tc>
          <w:tcPr>
            <w:tcW w:w="1409" w:type="pct"/>
            <w:tcBorders>
              <w:top w:val="nil"/>
              <w:bottom w:val="single" w:sz="4" w:space="0" w:color="auto"/>
            </w:tcBorders>
          </w:tcPr>
          <w:p w14:paraId="2780B76A" w14:textId="7E01BF4A" w:rsidR="00110366" w:rsidRPr="004C78D8" w:rsidRDefault="00110366" w:rsidP="00FB7C1F">
            <w:pPr>
              <w:jc w:val="left"/>
              <w:rPr>
                <w:sz w:val="18"/>
                <w:szCs w:val="18"/>
              </w:rPr>
            </w:pPr>
            <w:r w:rsidRPr="004C78D8">
              <w:rPr>
                <w:sz w:val="18"/>
                <w:szCs w:val="18"/>
              </w:rPr>
              <w:t>£10.03 per client</w:t>
            </w:r>
          </w:p>
        </w:tc>
        <w:tc>
          <w:tcPr>
            <w:tcW w:w="653" w:type="pct"/>
            <w:tcBorders>
              <w:top w:val="nil"/>
              <w:bottom w:val="single" w:sz="4" w:space="0" w:color="auto"/>
            </w:tcBorders>
          </w:tcPr>
          <w:p w14:paraId="10093447" w14:textId="4ECD7018" w:rsidR="00110366" w:rsidRPr="004C78D8" w:rsidRDefault="00110366" w:rsidP="00FB7C1F">
            <w:pPr>
              <w:jc w:val="left"/>
              <w:rPr>
                <w:sz w:val="18"/>
                <w:szCs w:val="18"/>
              </w:rPr>
            </w:pPr>
            <w:r w:rsidRPr="004C78D8">
              <w:rPr>
                <w:sz w:val="18"/>
                <w:szCs w:val="18"/>
              </w:rPr>
              <w:fldChar w:fldCharType="begin">
                <w:fldData xml:space="preserve">PEVuZE5vdGU+PENpdGU+PEF1dGhvcj5NY0xlYW48L0F1dGhvcj48WWVhcj4yMDE1PC9ZZWFyPjxS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</w:fldData>
              </w:fldChar>
            </w:r>
            <w:r w:rsidR="00C630FC" w:rsidRPr="004C78D8">
              <w:rPr>
                <w:sz w:val="18"/>
                <w:szCs w:val="18"/>
              </w:rPr>
              <w:instrText xml:space="preserve"> ADDIN EN.CITE </w:instrText>
            </w:r>
            <w:r w:rsidR="00C630FC" w:rsidRPr="004C78D8">
              <w:rPr>
                <w:sz w:val="18"/>
                <w:szCs w:val="18"/>
              </w:rPr>
              <w:fldChar w:fldCharType="begin">
                <w:fldData xml:space="preserve">PEVuZE5vdGU+PENpdGU+PEF1dGhvcj5NY0xlYW48L0F1dGhvcj48WWVhcj4yMDE1PC9ZZWFyPjxS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</w:fldData>
              </w:fldChar>
            </w:r>
            <w:r w:rsidR="00C630FC" w:rsidRPr="004C78D8">
              <w:rPr>
                <w:sz w:val="18"/>
                <w:szCs w:val="18"/>
              </w:rPr>
              <w:instrText xml:space="preserve"> ADDIN EN.CITE.DATA </w:instrText>
            </w:r>
            <w:r w:rsidR="00C630FC" w:rsidRPr="004C78D8">
              <w:rPr>
                <w:sz w:val="18"/>
                <w:szCs w:val="18"/>
              </w:rPr>
            </w:r>
            <w:r w:rsidR="00C630FC" w:rsidRPr="004C78D8">
              <w:rPr>
                <w:sz w:val="18"/>
                <w:szCs w:val="18"/>
              </w:rPr>
              <w:fldChar w:fldCharType="end"/>
            </w:r>
            <w:r w:rsidRPr="004C78D8">
              <w:rPr>
                <w:sz w:val="18"/>
                <w:szCs w:val="18"/>
              </w:rPr>
            </w:r>
            <w:r w:rsidRPr="004C78D8">
              <w:rPr>
                <w:sz w:val="18"/>
                <w:szCs w:val="18"/>
              </w:rPr>
              <w:fldChar w:fldCharType="separate"/>
            </w:r>
            <w:r w:rsidR="00C630FC" w:rsidRPr="004C78D8">
              <w:rPr>
                <w:noProof/>
                <w:sz w:val="18"/>
                <w:szCs w:val="18"/>
              </w:rPr>
              <w:t>[355]</w:t>
            </w:r>
            <w:r w:rsidRPr="004C78D8">
              <w:rPr>
                <w:sz w:val="18"/>
                <w:szCs w:val="18"/>
              </w:rPr>
              <w:fldChar w:fldCharType="end"/>
            </w:r>
          </w:p>
        </w:tc>
      </w:tr>
      <w:tr w:rsidR="00110366" w:rsidRPr="004C78D8" w14:paraId="496AF887" w14:textId="77777777" w:rsidTr="00E35893">
        <w:tc>
          <w:tcPr>
            <w:tcW w:w="896" w:type="pct"/>
            <w:vMerge w:val="restart"/>
          </w:tcPr>
          <w:p w14:paraId="6AC37CDB" w14:textId="53C1889B" w:rsidR="00110366" w:rsidRPr="004C78D8" w:rsidRDefault="00110366" w:rsidP="00FB7C1F">
            <w:pPr>
              <w:jc w:val="left"/>
              <w:rPr>
                <w:sz w:val="18"/>
                <w:szCs w:val="18"/>
              </w:rPr>
            </w:pPr>
            <w:r w:rsidRPr="004C78D8">
              <w:rPr>
                <w:sz w:val="18"/>
                <w:szCs w:val="18"/>
              </w:rPr>
              <w:t xml:space="preserve">Therapeutic </w:t>
            </w:r>
            <w:r w:rsidR="00522146" w:rsidRPr="004C78D8">
              <w:rPr>
                <w:sz w:val="18"/>
                <w:szCs w:val="18"/>
              </w:rPr>
              <w:t>component</w:t>
            </w:r>
          </w:p>
        </w:tc>
        <w:tc>
          <w:tcPr>
            <w:tcW w:w="2042" w:type="pct"/>
            <w:tcBorders>
              <w:top w:val="single" w:sz="4" w:space="0" w:color="auto"/>
              <w:bottom w:val="nil"/>
            </w:tcBorders>
          </w:tcPr>
          <w:p w14:paraId="6899DDAF" w14:textId="1B208969" w:rsidR="00110366" w:rsidRPr="004C78D8" w:rsidRDefault="00110366" w:rsidP="00FB7C1F">
            <w:pPr>
              <w:jc w:val="left"/>
              <w:rPr>
                <w:sz w:val="18"/>
                <w:szCs w:val="18"/>
              </w:rPr>
            </w:pPr>
            <w:r w:rsidRPr="004C78D8">
              <w:rPr>
                <w:sz w:val="18"/>
                <w:szCs w:val="18"/>
              </w:rPr>
              <w:t>Staff time</w:t>
            </w:r>
          </w:p>
        </w:tc>
        <w:tc>
          <w:tcPr>
            <w:tcW w:w="1409" w:type="pct"/>
            <w:tcBorders>
              <w:top w:val="single" w:sz="4" w:space="0" w:color="auto"/>
              <w:bottom w:val="nil"/>
            </w:tcBorders>
          </w:tcPr>
          <w:p w14:paraId="64933816" w14:textId="7A2677FF" w:rsidR="00110366" w:rsidRPr="004C78D8" w:rsidRDefault="00110366" w:rsidP="00FB7C1F">
            <w:pPr>
              <w:jc w:val="left"/>
              <w:rPr>
                <w:sz w:val="18"/>
                <w:szCs w:val="18"/>
              </w:rPr>
            </w:pPr>
            <w:r w:rsidRPr="004C78D8">
              <w:rPr>
                <w:sz w:val="18"/>
                <w:szCs w:val="18"/>
              </w:rPr>
              <w:t>£189 per client</w:t>
            </w:r>
          </w:p>
        </w:tc>
        <w:tc>
          <w:tcPr>
            <w:tcW w:w="653" w:type="pct"/>
            <w:tcBorders>
              <w:top w:val="single" w:sz="4" w:space="0" w:color="auto"/>
              <w:bottom w:val="nil"/>
            </w:tcBorders>
          </w:tcPr>
          <w:p w14:paraId="7EDB9834" w14:textId="24482940" w:rsidR="00110366" w:rsidRPr="004C78D8" w:rsidRDefault="00110366" w:rsidP="00FB7C1F">
            <w:pPr>
              <w:jc w:val="left"/>
              <w:rPr>
                <w:sz w:val="18"/>
                <w:szCs w:val="18"/>
              </w:rPr>
            </w:pPr>
            <w:r w:rsidRPr="004C78D8">
              <w:rPr>
                <w:sz w:val="18"/>
                <w:szCs w:val="18"/>
              </w:rPr>
              <w:t>PCS</w:t>
            </w:r>
          </w:p>
        </w:tc>
      </w:tr>
      <w:tr w:rsidR="00110366" w:rsidRPr="004C78D8" w14:paraId="18FF53F4" w14:textId="77777777" w:rsidTr="00E35893">
        <w:tc>
          <w:tcPr>
            <w:tcW w:w="896" w:type="pct"/>
            <w:vMerge/>
          </w:tcPr>
          <w:p w14:paraId="63338AAD" w14:textId="77777777" w:rsidR="00110366" w:rsidRPr="004C78D8" w:rsidRDefault="00110366" w:rsidP="00FB7C1F">
            <w:pPr>
              <w:jc w:val="left"/>
              <w:rPr>
                <w:sz w:val="18"/>
                <w:szCs w:val="18"/>
              </w:rPr>
            </w:pPr>
          </w:p>
        </w:tc>
        <w:tc>
          <w:tcPr>
            <w:tcW w:w="2042" w:type="pct"/>
            <w:tcBorders>
              <w:top w:val="nil"/>
              <w:bottom w:val="nil"/>
            </w:tcBorders>
          </w:tcPr>
          <w:p w14:paraId="4B5BF460" w14:textId="4A443525" w:rsidR="00110366" w:rsidRPr="004C78D8" w:rsidRDefault="00110366" w:rsidP="00FB7C1F">
            <w:pPr>
              <w:jc w:val="left"/>
              <w:rPr>
                <w:sz w:val="18"/>
                <w:szCs w:val="18"/>
              </w:rPr>
            </w:pPr>
            <w:r w:rsidRPr="004C78D8">
              <w:rPr>
                <w:sz w:val="18"/>
                <w:szCs w:val="18"/>
              </w:rPr>
              <w:t>Staff training</w:t>
            </w:r>
          </w:p>
        </w:tc>
        <w:tc>
          <w:tcPr>
            <w:tcW w:w="1409" w:type="pct"/>
            <w:tcBorders>
              <w:top w:val="nil"/>
              <w:bottom w:val="nil"/>
            </w:tcBorders>
          </w:tcPr>
          <w:p w14:paraId="1A00B602" w14:textId="5C4A0859" w:rsidR="00110366" w:rsidRPr="004C78D8" w:rsidRDefault="00110366" w:rsidP="00FB7C1F">
            <w:pPr>
              <w:jc w:val="left"/>
              <w:rPr>
                <w:sz w:val="18"/>
                <w:szCs w:val="18"/>
              </w:rPr>
            </w:pPr>
            <w:r w:rsidRPr="004C78D8">
              <w:rPr>
                <w:sz w:val="18"/>
                <w:szCs w:val="18"/>
              </w:rPr>
              <w:t>£4.60 per client</w:t>
            </w:r>
          </w:p>
        </w:tc>
        <w:tc>
          <w:tcPr>
            <w:tcW w:w="653" w:type="pct"/>
            <w:tcBorders>
              <w:top w:val="nil"/>
              <w:bottom w:val="nil"/>
            </w:tcBorders>
          </w:tcPr>
          <w:p w14:paraId="285326AC" w14:textId="39BA06BA" w:rsidR="00110366" w:rsidRPr="004C78D8" w:rsidRDefault="00110366"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4C78D8">
              <w:rPr>
                <w:sz w:val="18"/>
                <w:szCs w:val="18"/>
              </w:rPr>
              <w:fldChar w:fldCharType="separate"/>
            </w:r>
            <w:r w:rsidR="00C630FC" w:rsidRPr="004C78D8">
              <w:rPr>
                <w:noProof/>
                <w:sz w:val="18"/>
                <w:szCs w:val="18"/>
              </w:rPr>
              <w:t>[216]</w:t>
            </w:r>
            <w:r w:rsidRPr="004C78D8">
              <w:rPr>
                <w:sz w:val="18"/>
                <w:szCs w:val="18"/>
              </w:rPr>
              <w:fldChar w:fldCharType="end"/>
            </w:r>
          </w:p>
        </w:tc>
      </w:tr>
      <w:tr w:rsidR="00110366" w:rsidRPr="004C78D8" w14:paraId="30D4BE3E" w14:textId="77777777" w:rsidTr="00E35893">
        <w:tc>
          <w:tcPr>
            <w:tcW w:w="896" w:type="pct"/>
            <w:vMerge/>
          </w:tcPr>
          <w:p w14:paraId="5EFF0821" w14:textId="77777777" w:rsidR="00110366" w:rsidRPr="004C78D8" w:rsidRDefault="00110366" w:rsidP="00FB7C1F">
            <w:pPr>
              <w:jc w:val="left"/>
              <w:rPr>
                <w:sz w:val="18"/>
                <w:szCs w:val="18"/>
              </w:rPr>
            </w:pPr>
          </w:p>
        </w:tc>
        <w:tc>
          <w:tcPr>
            <w:tcW w:w="2042" w:type="pct"/>
            <w:tcBorders>
              <w:top w:val="nil"/>
              <w:bottom w:val="nil"/>
            </w:tcBorders>
          </w:tcPr>
          <w:p w14:paraId="78E7D205" w14:textId="35B7A887" w:rsidR="00110366" w:rsidRPr="004C78D8" w:rsidRDefault="00110366" w:rsidP="00FB7C1F">
            <w:pPr>
              <w:jc w:val="left"/>
              <w:rPr>
                <w:sz w:val="18"/>
                <w:szCs w:val="18"/>
              </w:rPr>
            </w:pPr>
            <w:r w:rsidRPr="004C78D8">
              <w:rPr>
                <w:sz w:val="18"/>
                <w:szCs w:val="18"/>
              </w:rPr>
              <w:t>Staff travel</w:t>
            </w:r>
          </w:p>
        </w:tc>
        <w:tc>
          <w:tcPr>
            <w:tcW w:w="1409" w:type="pct"/>
            <w:tcBorders>
              <w:top w:val="nil"/>
              <w:bottom w:val="nil"/>
            </w:tcBorders>
          </w:tcPr>
          <w:p w14:paraId="3B88F457" w14:textId="32C8BCAA" w:rsidR="00110366" w:rsidRPr="004C78D8" w:rsidRDefault="00110366" w:rsidP="00FB7C1F">
            <w:pPr>
              <w:jc w:val="left"/>
              <w:rPr>
                <w:sz w:val="18"/>
                <w:szCs w:val="18"/>
              </w:rPr>
            </w:pPr>
            <w:r w:rsidRPr="004C78D8">
              <w:rPr>
                <w:sz w:val="18"/>
                <w:szCs w:val="18"/>
              </w:rPr>
              <w:t>£31.66 per client</w:t>
            </w:r>
          </w:p>
        </w:tc>
        <w:tc>
          <w:tcPr>
            <w:tcW w:w="653" w:type="pct"/>
            <w:tcBorders>
              <w:top w:val="nil"/>
              <w:bottom w:val="nil"/>
            </w:tcBorders>
          </w:tcPr>
          <w:p w14:paraId="10128068" w14:textId="7563F362" w:rsidR="00110366" w:rsidRPr="004C78D8" w:rsidRDefault="00110366"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4C78D8">
              <w:rPr>
                <w:sz w:val="18"/>
                <w:szCs w:val="18"/>
              </w:rPr>
              <w:fldChar w:fldCharType="separate"/>
            </w:r>
            <w:r w:rsidR="00C630FC" w:rsidRPr="004C78D8">
              <w:rPr>
                <w:noProof/>
                <w:sz w:val="18"/>
                <w:szCs w:val="18"/>
              </w:rPr>
              <w:t>[216]</w:t>
            </w:r>
            <w:r w:rsidRPr="004C78D8">
              <w:rPr>
                <w:sz w:val="18"/>
                <w:szCs w:val="18"/>
              </w:rPr>
              <w:fldChar w:fldCharType="end"/>
            </w:r>
          </w:p>
        </w:tc>
      </w:tr>
      <w:tr w:rsidR="00110366" w:rsidRPr="004C78D8" w14:paraId="25FB09D9" w14:textId="77777777" w:rsidTr="00E35893">
        <w:tc>
          <w:tcPr>
            <w:tcW w:w="896" w:type="pct"/>
            <w:vMerge/>
          </w:tcPr>
          <w:p w14:paraId="55189964" w14:textId="77777777" w:rsidR="00110366" w:rsidRPr="004C78D8" w:rsidRDefault="00110366" w:rsidP="00FB7C1F">
            <w:pPr>
              <w:jc w:val="left"/>
              <w:rPr>
                <w:sz w:val="18"/>
                <w:szCs w:val="18"/>
              </w:rPr>
            </w:pPr>
          </w:p>
        </w:tc>
        <w:tc>
          <w:tcPr>
            <w:tcW w:w="2042" w:type="pct"/>
            <w:tcBorders>
              <w:top w:val="nil"/>
              <w:bottom w:val="nil"/>
            </w:tcBorders>
          </w:tcPr>
          <w:p w14:paraId="2BC170DD" w14:textId="61C925F2" w:rsidR="00110366" w:rsidRPr="004C78D8" w:rsidRDefault="00110366" w:rsidP="00FB7C1F">
            <w:pPr>
              <w:jc w:val="left"/>
              <w:rPr>
                <w:sz w:val="18"/>
                <w:szCs w:val="18"/>
              </w:rPr>
            </w:pPr>
            <w:r w:rsidRPr="004C78D8">
              <w:rPr>
                <w:sz w:val="18"/>
                <w:szCs w:val="18"/>
              </w:rPr>
              <w:t>Equipment</w:t>
            </w:r>
          </w:p>
        </w:tc>
        <w:tc>
          <w:tcPr>
            <w:tcW w:w="1409" w:type="pct"/>
            <w:tcBorders>
              <w:top w:val="nil"/>
              <w:bottom w:val="nil"/>
            </w:tcBorders>
          </w:tcPr>
          <w:p w14:paraId="05CCE054" w14:textId="1EBE325C" w:rsidR="00110366" w:rsidRPr="004C78D8" w:rsidRDefault="00110366" w:rsidP="00FB7C1F">
            <w:pPr>
              <w:jc w:val="left"/>
              <w:rPr>
                <w:sz w:val="18"/>
                <w:szCs w:val="18"/>
              </w:rPr>
            </w:pPr>
            <w:r w:rsidRPr="004C78D8">
              <w:rPr>
                <w:sz w:val="18"/>
                <w:szCs w:val="18"/>
              </w:rPr>
              <w:t>£20.02 per client</w:t>
            </w:r>
          </w:p>
        </w:tc>
        <w:tc>
          <w:tcPr>
            <w:tcW w:w="653" w:type="pct"/>
            <w:tcBorders>
              <w:top w:val="nil"/>
              <w:bottom w:val="nil"/>
            </w:tcBorders>
          </w:tcPr>
          <w:p w14:paraId="1FC6BADA" w14:textId="52EC3440" w:rsidR="00110366" w:rsidRPr="004C78D8" w:rsidRDefault="00110366"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4C78D8">
              <w:rPr>
                <w:sz w:val="18"/>
                <w:szCs w:val="18"/>
              </w:rPr>
              <w:fldChar w:fldCharType="separate"/>
            </w:r>
            <w:r w:rsidR="00C630FC" w:rsidRPr="004C78D8">
              <w:rPr>
                <w:noProof/>
                <w:sz w:val="18"/>
                <w:szCs w:val="18"/>
              </w:rPr>
              <w:t>[216]</w:t>
            </w:r>
            <w:r w:rsidRPr="004C78D8">
              <w:rPr>
                <w:sz w:val="18"/>
                <w:szCs w:val="18"/>
              </w:rPr>
              <w:fldChar w:fldCharType="end"/>
            </w:r>
          </w:p>
        </w:tc>
      </w:tr>
      <w:tr w:rsidR="00110366" w:rsidRPr="004C78D8" w14:paraId="2FF85AE3" w14:textId="77777777" w:rsidTr="00E35893">
        <w:tc>
          <w:tcPr>
            <w:tcW w:w="896" w:type="pct"/>
            <w:vMerge/>
          </w:tcPr>
          <w:p w14:paraId="69787CF0" w14:textId="77777777" w:rsidR="00110366" w:rsidRPr="004C78D8" w:rsidRDefault="00110366" w:rsidP="00FB7C1F">
            <w:pPr>
              <w:jc w:val="left"/>
              <w:rPr>
                <w:sz w:val="18"/>
                <w:szCs w:val="18"/>
              </w:rPr>
            </w:pPr>
          </w:p>
        </w:tc>
        <w:tc>
          <w:tcPr>
            <w:tcW w:w="2042" w:type="pct"/>
            <w:tcBorders>
              <w:top w:val="nil"/>
              <w:bottom w:val="single" w:sz="4" w:space="0" w:color="auto"/>
            </w:tcBorders>
          </w:tcPr>
          <w:p w14:paraId="4E5DF5AD" w14:textId="7CC1AC1F" w:rsidR="00110366" w:rsidRPr="004C78D8" w:rsidRDefault="00110366" w:rsidP="00FB7C1F">
            <w:pPr>
              <w:jc w:val="left"/>
              <w:rPr>
                <w:sz w:val="18"/>
                <w:szCs w:val="18"/>
              </w:rPr>
            </w:pPr>
            <w:r w:rsidRPr="004C78D8">
              <w:rPr>
                <w:sz w:val="18"/>
                <w:szCs w:val="18"/>
              </w:rPr>
              <w:t>Venue hire</w:t>
            </w:r>
          </w:p>
        </w:tc>
        <w:tc>
          <w:tcPr>
            <w:tcW w:w="1409" w:type="pct"/>
            <w:tcBorders>
              <w:top w:val="nil"/>
              <w:bottom w:val="single" w:sz="4" w:space="0" w:color="auto"/>
            </w:tcBorders>
          </w:tcPr>
          <w:p w14:paraId="6D6C5865" w14:textId="379C2C3A" w:rsidR="00110366" w:rsidRPr="004C78D8" w:rsidRDefault="00110366" w:rsidP="00FB7C1F">
            <w:pPr>
              <w:jc w:val="left"/>
              <w:rPr>
                <w:sz w:val="18"/>
                <w:szCs w:val="18"/>
              </w:rPr>
            </w:pPr>
            <w:r w:rsidRPr="004C78D8">
              <w:rPr>
                <w:sz w:val="18"/>
                <w:szCs w:val="18"/>
              </w:rPr>
              <w:t>£27 per client</w:t>
            </w:r>
          </w:p>
        </w:tc>
        <w:tc>
          <w:tcPr>
            <w:tcW w:w="653" w:type="pct"/>
            <w:tcBorders>
              <w:top w:val="nil"/>
              <w:bottom w:val="single" w:sz="4" w:space="0" w:color="auto"/>
            </w:tcBorders>
          </w:tcPr>
          <w:p w14:paraId="70881772" w14:textId="2C3E94C7" w:rsidR="00110366" w:rsidRPr="004C78D8" w:rsidRDefault="00110366"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4C78D8">
              <w:rPr>
                <w:sz w:val="18"/>
                <w:szCs w:val="18"/>
              </w:rPr>
              <w:fldChar w:fldCharType="separate"/>
            </w:r>
            <w:r w:rsidR="00C630FC" w:rsidRPr="004C78D8">
              <w:rPr>
                <w:noProof/>
                <w:sz w:val="18"/>
                <w:szCs w:val="18"/>
              </w:rPr>
              <w:t>[216]</w:t>
            </w:r>
            <w:r w:rsidRPr="004C78D8">
              <w:rPr>
                <w:sz w:val="18"/>
                <w:szCs w:val="18"/>
              </w:rPr>
              <w:fldChar w:fldCharType="end"/>
            </w:r>
          </w:p>
        </w:tc>
      </w:tr>
      <w:tr w:rsidR="00110366" w:rsidRPr="004C78D8" w14:paraId="3C093619" w14:textId="77777777" w:rsidTr="00E35893">
        <w:tc>
          <w:tcPr>
            <w:tcW w:w="896" w:type="pct"/>
            <w:vMerge w:val="restart"/>
          </w:tcPr>
          <w:p w14:paraId="4BA085A0" w14:textId="5B158ADA" w:rsidR="00110366" w:rsidRPr="004C78D8" w:rsidRDefault="00110366" w:rsidP="00FB7C1F">
            <w:pPr>
              <w:jc w:val="left"/>
              <w:rPr>
                <w:sz w:val="18"/>
                <w:szCs w:val="18"/>
              </w:rPr>
            </w:pPr>
            <w:r w:rsidRPr="004C78D8">
              <w:rPr>
                <w:sz w:val="18"/>
                <w:szCs w:val="18"/>
              </w:rPr>
              <w:t>Non public sector cost per client</w:t>
            </w:r>
          </w:p>
        </w:tc>
        <w:tc>
          <w:tcPr>
            <w:tcW w:w="2042" w:type="pct"/>
            <w:tcBorders>
              <w:top w:val="single" w:sz="4" w:space="0" w:color="auto"/>
              <w:bottom w:val="nil"/>
            </w:tcBorders>
          </w:tcPr>
          <w:p w14:paraId="68331886" w14:textId="7D395566" w:rsidR="00110366" w:rsidRPr="004C78D8" w:rsidRDefault="00110366" w:rsidP="00FB7C1F">
            <w:pPr>
              <w:jc w:val="left"/>
              <w:rPr>
                <w:sz w:val="18"/>
                <w:szCs w:val="18"/>
              </w:rPr>
            </w:pPr>
            <w:r w:rsidRPr="004C78D8">
              <w:rPr>
                <w:sz w:val="18"/>
                <w:szCs w:val="18"/>
              </w:rPr>
              <w:t>Travel cost</w:t>
            </w:r>
            <w:r w:rsidR="00750C8D" w:rsidRPr="004C78D8">
              <w:rPr>
                <w:sz w:val="18"/>
                <w:szCs w:val="18"/>
                <w:vertAlign w:val="superscript"/>
              </w:rPr>
              <w:t>10</w:t>
            </w:r>
          </w:p>
        </w:tc>
        <w:tc>
          <w:tcPr>
            <w:tcW w:w="1409" w:type="pct"/>
            <w:tcBorders>
              <w:top w:val="single" w:sz="4" w:space="0" w:color="auto"/>
              <w:bottom w:val="nil"/>
            </w:tcBorders>
          </w:tcPr>
          <w:p w14:paraId="4DE743F5" w14:textId="50CA5A95" w:rsidR="00110366" w:rsidRPr="004C78D8" w:rsidRDefault="00110366" w:rsidP="00FB7C1F">
            <w:pPr>
              <w:jc w:val="left"/>
              <w:rPr>
                <w:sz w:val="18"/>
                <w:szCs w:val="18"/>
              </w:rPr>
            </w:pPr>
            <w:r w:rsidRPr="004C78D8">
              <w:rPr>
                <w:sz w:val="18"/>
                <w:szCs w:val="18"/>
              </w:rPr>
              <w:t>£93.68</w:t>
            </w:r>
          </w:p>
        </w:tc>
        <w:tc>
          <w:tcPr>
            <w:tcW w:w="653" w:type="pct"/>
            <w:tcBorders>
              <w:top w:val="single" w:sz="4" w:space="0" w:color="auto"/>
              <w:bottom w:val="nil"/>
            </w:tcBorders>
          </w:tcPr>
          <w:p w14:paraId="3C26EAC4" w14:textId="41C2EF95" w:rsidR="00110366" w:rsidRPr="004C78D8" w:rsidRDefault="00110366"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&lt;EndNote&gt;&lt;Cite&gt;&lt;Author&gt;Comans&lt;/Author&gt;&lt;Year&gt;2009&lt;/Year&gt;&lt;RecNum&gt;376&lt;/RecNum&gt;&lt;DisplayText&gt;[207]&lt;/DisplayText&gt;&lt;record&gt;&lt;rec-number&gt;376&lt;/rec-number&gt;&lt;foreign-keys&gt;&lt;key app="EN" db-id="tdtrdw9aepptzbefsat599syza29sxsd2wsp" timestamp="1612625082"&gt;376&lt;/key&gt;&lt;/foreign-keys&gt;&lt;ref-type name="Journal Article"&gt;17&lt;/ref-type&gt;&lt;contributors&gt;&lt;authors&gt;&lt;author&gt;Comans, Tracy&lt;/author&gt;&lt;author&gt;Brauer, Sandy&lt;/author&gt;&lt;author&gt;Haines, Terry&lt;/author&gt;&lt;/authors&gt;&lt;/contributors&gt;&lt;titles&gt;&lt;title&gt;A break-even analysis of a community rehabilitation falls prevention service&lt;/title&gt;&lt;secondary-title&gt;Australian and New Zealand journal of public health&lt;/secondary-title&gt;&lt;/titles&gt;&lt;periodical&gt;&lt;full-title&gt;Australian and New Zealand journal of public health&lt;/full-title&gt;&lt;/periodical&gt;&lt;pages&gt;240-5&lt;/pages&gt;&lt;volume&gt;33&lt;/volume&gt;&lt;number&gt;3&lt;/number&gt;&lt;section&gt;Comans, Tracy. The Community Rehabilitation Service, Southside Health Service District and School of Health and Rehabilitation Sciences, University of Queensland, Queensland, Australia. tracy.comans@uqconnect.edu.au&lt;/section&gt;&lt;keywords&gt;&lt;keyword&gt;*Accidental Falls/pc [Prevention &amp;amp; Control]&lt;/keyword&gt;&lt;keyword&gt;Aged&lt;/keyword&gt;&lt;keyword&gt;Aged, 80 and over&lt;/keyword&gt;&lt;keyword&gt;Cost-Benefit Analysis&lt;/keyword&gt;&lt;keyword&gt;Efficiency, Organizational/ec [Economics]&lt;/keyword&gt;&lt;keyword&gt;*Efficiency, Organizational&lt;/keyword&gt;&lt;keyword&gt;Female&lt;/keyword&gt;&lt;keyword&gt;Humans&lt;/keyword&gt;&lt;keyword&gt;Interdisciplinary Communication&lt;/keyword&gt;&lt;keyword&gt;Male&lt;/keyword&gt;&lt;keyword&gt;Models, Theoretical&lt;/keyword&gt;&lt;keyword&gt;*Preventive Health Services/st [Standards]&lt;/keyword&gt;&lt;keyword&gt;*Rehabilitation Centers&lt;/keyword&gt;&lt;/keywords&gt;&lt;dates&gt;&lt;year&gt;2009&lt;/year&gt;&lt;/dates&gt;&lt;pub-location&gt;Australia&lt;/pub-location&gt;&lt;isbn&gt;1326-0200&lt;/isbn&gt;&lt;urls&gt;&lt;related-urls&gt;&lt;url&gt;http://ovidsp.ovid.com/ovidweb.cgi?T=JS&amp;amp;PAGE=reference&amp;amp;D=med6&amp;amp;NEWS=N&amp;amp;AN=19630843&lt;/url&gt;&lt;/related-urls&gt;&lt;/urls&gt;&lt;electronic-resource-num&gt;https://dx.doi.org/10.1111/j.1753-6405.2009.00382.x&lt;/electronic-resource-num&gt;&lt;remote-database-name&gt;Medline&lt;/remote-database-name&gt;&lt;/record&gt;&lt;/Cite&gt;&lt;/EndNote&gt;</w:instrText>
            </w:r>
            <w:r w:rsidRPr="004C78D8">
              <w:rPr>
                <w:sz w:val="18"/>
                <w:szCs w:val="18"/>
              </w:rPr>
              <w:fldChar w:fldCharType="separate"/>
            </w:r>
            <w:r w:rsidR="00C630FC" w:rsidRPr="004C78D8">
              <w:rPr>
                <w:noProof/>
                <w:sz w:val="18"/>
                <w:szCs w:val="18"/>
              </w:rPr>
              <w:t>[207]</w:t>
            </w:r>
            <w:r w:rsidRPr="004C78D8">
              <w:rPr>
                <w:sz w:val="18"/>
                <w:szCs w:val="18"/>
              </w:rPr>
              <w:fldChar w:fldCharType="end"/>
            </w:r>
          </w:p>
        </w:tc>
      </w:tr>
      <w:tr w:rsidR="00110366" w:rsidRPr="004C78D8" w14:paraId="5B947230" w14:textId="77777777" w:rsidTr="00E35893">
        <w:tc>
          <w:tcPr>
            <w:tcW w:w="896" w:type="pct"/>
            <w:vMerge/>
          </w:tcPr>
          <w:p w14:paraId="63B74D07" w14:textId="77777777" w:rsidR="00110366" w:rsidRPr="004C78D8" w:rsidRDefault="00110366" w:rsidP="00FB7C1F">
            <w:pPr>
              <w:jc w:val="left"/>
              <w:rPr>
                <w:sz w:val="18"/>
                <w:szCs w:val="18"/>
              </w:rPr>
            </w:pPr>
          </w:p>
        </w:tc>
        <w:tc>
          <w:tcPr>
            <w:tcW w:w="2042" w:type="pct"/>
            <w:tcBorders>
              <w:top w:val="nil"/>
              <w:bottom w:val="nil"/>
            </w:tcBorders>
          </w:tcPr>
          <w:p w14:paraId="0A12F56A" w14:textId="60CAA51B" w:rsidR="00110366" w:rsidRPr="004C78D8" w:rsidRDefault="00110366" w:rsidP="00FB7C1F">
            <w:pPr>
              <w:jc w:val="left"/>
              <w:rPr>
                <w:sz w:val="18"/>
                <w:szCs w:val="18"/>
              </w:rPr>
            </w:pPr>
            <w:r w:rsidRPr="004C78D8">
              <w:rPr>
                <w:sz w:val="18"/>
                <w:szCs w:val="18"/>
              </w:rPr>
              <w:t>Time opportunity cost – if employed</w:t>
            </w:r>
            <w:r w:rsidR="001D7D04" w:rsidRPr="004C78D8">
              <w:rPr>
                <w:sz w:val="18"/>
                <w:szCs w:val="18"/>
                <w:vertAlign w:val="superscript"/>
              </w:rPr>
              <w:t>9</w:t>
            </w:r>
          </w:p>
        </w:tc>
        <w:tc>
          <w:tcPr>
            <w:tcW w:w="1409" w:type="pct"/>
            <w:tcBorders>
              <w:top w:val="nil"/>
              <w:bottom w:val="nil"/>
            </w:tcBorders>
          </w:tcPr>
          <w:p w14:paraId="668CE6AC" w14:textId="468169D0" w:rsidR="00110366" w:rsidRPr="004C78D8" w:rsidRDefault="00110366" w:rsidP="00FB7C1F">
            <w:pPr>
              <w:jc w:val="left"/>
              <w:rPr>
                <w:sz w:val="18"/>
                <w:szCs w:val="18"/>
              </w:rPr>
            </w:pPr>
            <w:r w:rsidRPr="004C78D8">
              <w:rPr>
                <w:sz w:val="18"/>
                <w:szCs w:val="18"/>
              </w:rPr>
              <w:t>£340.60 per year</w:t>
            </w:r>
          </w:p>
        </w:tc>
        <w:tc>
          <w:tcPr>
            <w:tcW w:w="653" w:type="pct"/>
            <w:tcBorders>
              <w:top w:val="nil"/>
              <w:bottom w:val="nil"/>
            </w:tcBorders>
          </w:tcPr>
          <w:p w14:paraId="467A4421" w14:textId="36085116" w:rsidR="00110366" w:rsidRPr="004C78D8" w:rsidRDefault="00110366" w:rsidP="00FB7C1F">
            <w:pPr>
              <w:jc w:val="left"/>
              <w:rPr>
                <w:sz w:val="18"/>
                <w:szCs w:val="18"/>
              </w:rPr>
            </w:pPr>
            <w:r w:rsidRPr="004C78D8">
              <w:rPr>
                <w:sz w:val="18"/>
                <w:szCs w:val="18"/>
              </w:rPr>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rPr>
                <w:sz w:val="18"/>
                <w:szCs w:val="18"/>
              </w:rPr>
              <w:instrText xml:space="preserve"> ADDIN EN.CITE </w:instrText>
            </w:r>
            <w:r w:rsidR="00513646" w:rsidRPr="004C78D8">
              <w:rPr>
                <w:sz w:val="18"/>
                <w:szCs w:val="18"/>
              </w:rPr>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rPr>
                <w:sz w:val="18"/>
                <w:szCs w:val="18"/>
              </w:rPr>
              <w:instrText xml:space="preserve"> ADDIN EN.CITE.DATA </w:instrText>
            </w:r>
            <w:r w:rsidR="00513646" w:rsidRPr="004C78D8">
              <w:rPr>
                <w:sz w:val="18"/>
                <w:szCs w:val="18"/>
              </w:rPr>
            </w:r>
            <w:r w:rsidR="00513646" w:rsidRPr="004C78D8">
              <w:rPr>
                <w:sz w:val="18"/>
                <w:szCs w:val="18"/>
              </w:rPr>
              <w:fldChar w:fldCharType="end"/>
            </w:r>
            <w:r w:rsidRPr="004C78D8">
              <w:rPr>
                <w:sz w:val="18"/>
                <w:szCs w:val="18"/>
              </w:rPr>
            </w:r>
            <w:r w:rsidRPr="004C78D8">
              <w:rPr>
                <w:sz w:val="18"/>
                <w:szCs w:val="18"/>
              </w:rPr>
              <w:fldChar w:fldCharType="separate"/>
            </w:r>
            <w:r w:rsidR="00513646" w:rsidRPr="004C78D8">
              <w:rPr>
                <w:noProof/>
                <w:sz w:val="18"/>
                <w:szCs w:val="18"/>
              </w:rPr>
              <w:t>[135]</w:t>
            </w:r>
            <w:r w:rsidRPr="004C78D8">
              <w:rPr>
                <w:sz w:val="18"/>
                <w:szCs w:val="18"/>
              </w:rPr>
              <w:fldChar w:fldCharType="end"/>
            </w:r>
          </w:p>
        </w:tc>
      </w:tr>
      <w:tr w:rsidR="00110366" w:rsidRPr="004C78D8" w14:paraId="4DA8DD5F" w14:textId="77777777" w:rsidTr="00E35893">
        <w:tc>
          <w:tcPr>
            <w:tcW w:w="896" w:type="pct"/>
            <w:vMerge/>
          </w:tcPr>
          <w:p w14:paraId="3E103220" w14:textId="5BC4D23A" w:rsidR="00110366" w:rsidRPr="004C78D8" w:rsidRDefault="00110366" w:rsidP="00FB7C1F">
            <w:pPr>
              <w:jc w:val="left"/>
              <w:rPr>
                <w:sz w:val="18"/>
                <w:szCs w:val="18"/>
              </w:rPr>
            </w:pPr>
          </w:p>
        </w:tc>
        <w:tc>
          <w:tcPr>
            <w:tcW w:w="2042" w:type="pct"/>
            <w:tcBorders>
              <w:top w:val="nil"/>
            </w:tcBorders>
          </w:tcPr>
          <w:p w14:paraId="0E5FD576" w14:textId="28F6E72F" w:rsidR="00110366" w:rsidRPr="004C78D8" w:rsidRDefault="00110366" w:rsidP="00FB7C1F">
            <w:pPr>
              <w:jc w:val="left"/>
              <w:rPr>
                <w:sz w:val="18"/>
                <w:szCs w:val="18"/>
              </w:rPr>
            </w:pPr>
            <w:r w:rsidRPr="004C78D8">
              <w:rPr>
                <w:sz w:val="18"/>
                <w:szCs w:val="18"/>
              </w:rPr>
              <w:t>Time opportunity cost – if engaged in regular unpaid work</w:t>
            </w:r>
            <w:r w:rsidR="001D7D04" w:rsidRPr="004C78D8">
              <w:rPr>
                <w:sz w:val="18"/>
                <w:szCs w:val="18"/>
                <w:vertAlign w:val="superscript"/>
              </w:rPr>
              <w:t>9</w:t>
            </w:r>
          </w:p>
        </w:tc>
        <w:tc>
          <w:tcPr>
            <w:tcW w:w="1409" w:type="pct"/>
            <w:tcBorders>
              <w:top w:val="nil"/>
            </w:tcBorders>
          </w:tcPr>
          <w:p w14:paraId="6E03638F" w14:textId="5347A348" w:rsidR="00110366" w:rsidRPr="004C78D8" w:rsidRDefault="00110366" w:rsidP="00FB7C1F">
            <w:pPr>
              <w:jc w:val="left"/>
              <w:rPr>
                <w:sz w:val="18"/>
                <w:szCs w:val="18"/>
              </w:rPr>
            </w:pPr>
            <w:r w:rsidRPr="004C78D8">
              <w:rPr>
                <w:sz w:val="18"/>
                <w:szCs w:val="18"/>
              </w:rPr>
              <w:t>£85.15 per year</w:t>
            </w:r>
          </w:p>
        </w:tc>
        <w:tc>
          <w:tcPr>
            <w:tcW w:w="653" w:type="pct"/>
            <w:tcBorders>
              <w:top w:val="nil"/>
            </w:tcBorders>
          </w:tcPr>
          <w:p w14:paraId="130F5126" w14:textId="543FF21A" w:rsidR="00110366" w:rsidRPr="004C78D8" w:rsidRDefault="00110366" w:rsidP="00FB7C1F">
            <w:pPr>
              <w:jc w:val="left"/>
              <w:rPr>
                <w:sz w:val="18"/>
                <w:szCs w:val="18"/>
              </w:rPr>
            </w:pPr>
            <w:r w:rsidRPr="004C78D8">
              <w:rPr>
                <w:sz w:val="18"/>
                <w:szCs w:val="18"/>
              </w:rPr>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rPr>
                <w:sz w:val="18"/>
                <w:szCs w:val="18"/>
              </w:rPr>
              <w:instrText xml:space="preserve"> ADDIN EN.CITE </w:instrText>
            </w:r>
            <w:r w:rsidR="00513646" w:rsidRPr="004C78D8">
              <w:rPr>
                <w:sz w:val="18"/>
                <w:szCs w:val="18"/>
              </w:rPr>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rPr>
                <w:sz w:val="18"/>
                <w:szCs w:val="18"/>
              </w:rPr>
              <w:instrText xml:space="preserve"> ADDIN EN.CITE.DATA </w:instrText>
            </w:r>
            <w:r w:rsidR="00513646" w:rsidRPr="004C78D8">
              <w:rPr>
                <w:sz w:val="18"/>
                <w:szCs w:val="18"/>
              </w:rPr>
            </w:r>
            <w:r w:rsidR="00513646" w:rsidRPr="004C78D8">
              <w:rPr>
                <w:sz w:val="18"/>
                <w:szCs w:val="18"/>
              </w:rPr>
              <w:fldChar w:fldCharType="end"/>
            </w:r>
            <w:r w:rsidRPr="004C78D8">
              <w:rPr>
                <w:sz w:val="18"/>
                <w:szCs w:val="18"/>
              </w:rPr>
            </w:r>
            <w:r w:rsidRPr="004C78D8">
              <w:rPr>
                <w:sz w:val="18"/>
                <w:szCs w:val="18"/>
              </w:rPr>
              <w:fldChar w:fldCharType="separate"/>
            </w:r>
            <w:r w:rsidR="00513646" w:rsidRPr="004C78D8">
              <w:rPr>
                <w:noProof/>
                <w:sz w:val="18"/>
                <w:szCs w:val="18"/>
              </w:rPr>
              <w:t>[135]</w:t>
            </w:r>
            <w:r w:rsidRPr="004C78D8">
              <w:rPr>
                <w:sz w:val="18"/>
                <w:szCs w:val="18"/>
              </w:rPr>
              <w:fldChar w:fldCharType="end"/>
            </w:r>
          </w:p>
        </w:tc>
      </w:tr>
      <w:tr w:rsidR="00110366" w:rsidRPr="004C78D8" w14:paraId="5A4C9886" w14:textId="77777777" w:rsidTr="00E35893">
        <w:tc>
          <w:tcPr>
            <w:tcW w:w="896" w:type="pct"/>
          </w:tcPr>
          <w:p w14:paraId="3391284A" w14:textId="28C1F02F" w:rsidR="00110366" w:rsidRPr="004C78D8" w:rsidRDefault="00110366" w:rsidP="00FB7C1F">
            <w:pPr>
              <w:jc w:val="left"/>
              <w:rPr>
                <w:sz w:val="18"/>
                <w:szCs w:val="18"/>
              </w:rPr>
            </w:pPr>
            <w:r w:rsidRPr="004C78D8">
              <w:rPr>
                <w:sz w:val="18"/>
                <w:szCs w:val="18"/>
              </w:rPr>
              <w:t>Public sector cost</w:t>
            </w:r>
          </w:p>
        </w:tc>
        <w:tc>
          <w:tcPr>
            <w:tcW w:w="2042" w:type="pct"/>
            <w:tcBorders>
              <w:top w:val="nil"/>
            </w:tcBorders>
          </w:tcPr>
          <w:p w14:paraId="62C35DAC" w14:textId="5E0A8C7D" w:rsidR="00110366" w:rsidRPr="004C78D8" w:rsidRDefault="00110366" w:rsidP="00FB7C1F">
            <w:pPr>
              <w:jc w:val="left"/>
              <w:rPr>
                <w:b/>
                <w:bCs/>
                <w:sz w:val="18"/>
                <w:szCs w:val="18"/>
              </w:rPr>
            </w:pPr>
            <w:r w:rsidRPr="004C78D8">
              <w:rPr>
                <w:b/>
                <w:bCs/>
                <w:sz w:val="18"/>
                <w:szCs w:val="18"/>
              </w:rPr>
              <w:t>Average cost per client</w:t>
            </w:r>
          </w:p>
        </w:tc>
        <w:tc>
          <w:tcPr>
            <w:tcW w:w="1409" w:type="pct"/>
            <w:tcBorders>
              <w:top w:val="nil"/>
            </w:tcBorders>
          </w:tcPr>
          <w:p w14:paraId="5F2A9899" w14:textId="6E37392C" w:rsidR="00110366" w:rsidRPr="004C78D8" w:rsidRDefault="00110366" w:rsidP="00FB7C1F">
            <w:pPr>
              <w:jc w:val="left"/>
              <w:rPr>
                <w:b/>
                <w:bCs/>
                <w:sz w:val="18"/>
                <w:szCs w:val="18"/>
              </w:rPr>
            </w:pPr>
            <w:r w:rsidRPr="004C78D8">
              <w:rPr>
                <w:b/>
                <w:bCs/>
                <w:sz w:val="18"/>
                <w:szCs w:val="18"/>
              </w:rPr>
              <w:t>£272.28 per year</w:t>
            </w:r>
          </w:p>
        </w:tc>
        <w:tc>
          <w:tcPr>
            <w:tcW w:w="653" w:type="pct"/>
            <w:tcBorders>
              <w:top w:val="nil"/>
            </w:tcBorders>
          </w:tcPr>
          <w:p w14:paraId="002D0605" w14:textId="77777777" w:rsidR="00110366" w:rsidRPr="004C78D8" w:rsidRDefault="00110366" w:rsidP="00FB7C1F">
            <w:pPr>
              <w:jc w:val="left"/>
              <w:rPr>
                <w:sz w:val="18"/>
                <w:szCs w:val="18"/>
              </w:rPr>
            </w:pPr>
          </w:p>
        </w:tc>
      </w:tr>
      <w:tr w:rsidR="0007288A" w:rsidRPr="004C78D8" w14:paraId="5737398E" w14:textId="77777777" w:rsidTr="00E35893">
        <w:tc>
          <w:tcPr>
            <w:tcW w:w="5000" w:type="pct"/>
            <w:gridSpan w:val="4"/>
          </w:tcPr>
          <w:p w14:paraId="1E06FB31" w14:textId="1B6B6BD5" w:rsidR="00816FE0" w:rsidRPr="004C78D8" w:rsidRDefault="00D10D5E" w:rsidP="00FB7C1F">
            <w:pPr>
              <w:rPr>
                <w:sz w:val="18"/>
                <w:szCs w:val="18"/>
                <w:vertAlign w:val="superscript"/>
              </w:rPr>
            </w:pPr>
            <w:r w:rsidRPr="004C78D8">
              <w:rPr>
                <w:b/>
                <w:bCs/>
                <w:sz w:val="18"/>
                <w:szCs w:val="18"/>
              </w:rPr>
              <w:t>Abbreviation</w:t>
            </w:r>
            <w:r w:rsidR="00816FE0" w:rsidRPr="004C78D8">
              <w:rPr>
                <w:b/>
                <w:bCs/>
                <w:sz w:val="18"/>
                <w:szCs w:val="18"/>
              </w:rPr>
              <w:t xml:space="preserve">: </w:t>
            </w:r>
            <w:r w:rsidR="00816FE0" w:rsidRPr="004C78D8">
              <w:rPr>
                <w:sz w:val="18"/>
                <w:szCs w:val="18"/>
              </w:rPr>
              <w:t>FaME: Falls Management Exercise; HAM: home assessment and modification; OT: occupational therapy/therapist; PCS: personal communication with stakeholder</w:t>
            </w:r>
          </w:p>
          <w:p w14:paraId="13CE9828" w14:textId="5173D3EE" w:rsidR="00F92C43" w:rsidRPr="004C78D8" w:rsidRDefault="0007288A" w:rsidP="00FB7C1F">
            <w:pPr>
              <w:rPr>
                <w:sz w:val="18"/>
                <w:szCs w:val="18"/>
              </w:rPr>
            </w:pPr>
            <w:r w:rsidRPr="004C78D8">
              <w:rPr>
                <w:sz w:val="18"/>
                <w:szCs w:val="18"/>
                <w:vertAlign w:val="superscript"/>
              </w:rPr>
              <w:t>1</w:t>
            </w:r>
            <w:r w:rsidRPr="004C78D8">
              <w:rPr>
                <w:sz w:val="18"/>
                <w:szCs w:val="18"/>
              </w:rPr>
              <w:t xml:space="preserve"> All costs are expressed in 2021/22 </w:t>
            </w:r>
            <w:r w:rsidR="00484A53" w:rsidRPr="004C78D8">
              <w:rPr>
                <w:sz w:val="18"/>
                <w:szCs w:val="18"/>
              </w:rPr>
              <w:t>£</w:t>
            </w:r>
            <w:r w:rsidRPr="004C78D8">
              <w:rPr>
                <w:sz w:val="18"/>
                <w:szCs w:val="18"/>
              </w:rPr>
              <w:t xml:space="preserve">. Earlier estimates were inflated at the annual rate of 1.98% which is the average NHS cost inflation between 2013 and 2019 </w:t>
            </w:r>
            <w:r w:rsidR="00F92C43" w:rsidRPr="004C78D8">
              <w:rPr>
                <w:sz w:val="18"/>
                <w:szCs w:val="18"/>
              </w:rPr>
              <w:fldChar w:fldCharType="begin"/>
            </w:r>
            <w:r w:rsidR="00C630FC" w:rsidRPr="004C78D8">
              <w:rPr>
                <w:sz w:val="18"/>
                <w:szCs w:val="18"/>
              </w:rPr>
              <w:instrText xml:space="preserve"> ADDIN EN.CITE &lt;EndNote&gt;&lt;Cite&gt;&lt;Author&gt;Curtis&lt;/Author&gt;&lt;Year&gt;2019&lt;/Year&gt;&lt;RecNum&gt;135&lt;/RecNum&gt;&lt;DisplayText&gt;[401]&lt;/DisplayText&gt;&lt;record&gt;&lt;rec-number&gt;135&lt;/rec-number&gt;&lt;foreign-keys&gt;&lt;key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00F92C43" w:rsidRPr="004C78D8">
              <w:rPr>
                <w:sz w:val="18"/>
                <w:szCs w:val="18"/>
              </w:rPr>
              <w:fldChar w:fldCharType="separate"/>
            </w:r>
            <w:r w:rsidR="00C630FC" w:rsidRPr="004C78D8">
              <w:rPr>
                <w:noProof/>
                <w:sz w:val="18"/>
                <w:szCs w:val="18"/>
              </w:rPr>
              <w:t>[401]</w:t>
            </w:r>
            <w:r w:rsidR="00F92C43" w:rsidRPr="004C78D8">
              <w:rPr>
                <w:sz w:val="18"/>
                <w:szCs w:val="18"/>
              </w:rPr>
              <w:fldChar w:fldCharType="end"/>
            </w:r>
            <w:r w:rsidRPr="004C78D8">
              <w:rPr>
                <w:sz w:val="18"/>
                <w:szCs w:val="18"/>
              </w:rPr>
              <w:t xml:space="preserve">. Costs in Australian dollar were converted to </w:t>
            </w:r>
            <w:r w:rsidR="00484A53" w:rsidRPr="004C78D8">
              <w:rPr>
                <w:sz w:val="18"/>
                <w:szCs w:val="18"/>
              </w:rPr>
              <w:t>£</w:t>
            </w:r>
            <w:r w:rsidRPr="004C78D8">
              <w:rPr>
                <w:sz w:val="18"/>
                <w:szCs w:val="18"/>
              </w:rPr>
              <w:t xml:space="preserve"> at £0.55/AUS$1.</w:t>
            </w:r>
          </w:p>
          <w:p w14:paraId="24E19BAD" w14:textId="0DFBCBB8" w:rsidR="0007288A" w:rsidRPr="004C78D8" w:rsidRDefault="00F92C43" w:rsidP="00FB7C1F">
            <w:pPr>
              <w:rPr>
                <w:sz w:val="18"/>
                <w:szCs w:val="18"/>
              </w:rPr>
            </w:pPr>
            <w:r w:rsidRPr="004C78D8">
              <w:rPr>
                <w:sz w:val="18"/>
                <w:szCs w:val="18"/>
                <w:vertAlign w:val="superscript"/>
              </w:rPr>
              <w:t>2</w:t>
            </w:r>
            <w:r w:rsidRPr="004C78D8">
              <w:rPr>
                <w:sz w:val="18"/>
                <w:szCs w:val="18"/>
              </w:rPr>
              <w:t xml:space="preserve"> Expected cost given the probability of receiving the given service.</w:t>
            </w:r>
            <w:r w:rsidR="0007288A" w:rsidRPr="004C78D8">
              <w:rPr>
                <w:sz w:val="18"/>
                <w:szCs w:val="18"/>
              </w:rPr>
              <w:t xml:space="preserve"> </w:t>
            </w:r>
          </w:p>
          <w:p w14:paraId="32121C3C" w14:textId="2867CE5E" w:rsidR="0007288A" w:rsidRPr="004C78D8" w:rsidRDefault="00F92C43" w:rsidP="00FB7C1F">
            <w:pPr>
              <w:rPr>
                <w:sz w:val="18"/>
                <w:szCs w:val="18"/>
              </w:rPr>
            </w:pPr>
            <w:r w:rsidRPr="004C78D8">
              <w:rPr>
                <w:sz w:val="18"/>
                <w:szCs w:val="18"/>
                <w:vertAlign w:val="superscript"/>
              </w:rPr>
              <w:t>3</w:t>
            </w:r>
            <w:r w:rsidR="0007288A" w:rsidRPr="004C78D8">
              <w:rPr>
                <w:sz w:val="18"/>
                <w:szCs w:val="18"/>
              </w:rPr>
              <w:t xml:space="preserve"> Assumed that cognitively impaired patients are accompanied by informal caregivers for 2 hours of OT home visit</w:t>
            </w:r>
            <w:r w:rsidRPr="004C78D8">
              <w:rPr>
                <w:sz w:val="18"/>
                <w:szCs w:val="18"/>
              </w:rPr>
              <w:t xml:space="preserve">, incurring </w:t>
            </w:r>
            <w:r w:rsidR="0007288A" w:rsidRPr="004C78D8">
              <w:rPr>
                <w:sz w:val="18"/>
                <w:szCs w:val="18"/>
              </w:rPr>
              <w:t>an hourly opportunity cost equal to the national living wage (£8.72).</w:t>
            </w:r>
          </w:p>
          <w:p w14:paraId="20C5CC6D" w14:textId="230FC3C7" w:rsidR="0007288A" w:rsidRPr="004C78D8" w:rsidRDefault="00F92C43" w:rsidP="00FB7C1F">
            <w:pPr>
              <w:rPr>
                <w:sz w:val="18"/>
                <w:szCs w:val="18"/>
              </w:rPr>
            </w:pPr>
            <w:r w:rsidRPr="004C78D8">
              <w:rPr>
                <w:sz w:val="18"/>
                <w:szCs w:val="18"/>
                <w:vertAlign w:val="superscript"/>
              </w:rPr>
              <w:t>4</w:t>
            </w:r>
            <w:r w:rsidR="0007288A" w:rsidRPr="004C78D8">
              <w:rPr>
                <w:sz w:val="18"/>
                <w:szCs w:val="18"/>
              </w:rPr>
              <w:t xml:space="preserve"> Assumed that those with intervention history incurred 20% of the costs of HAM major modifications, equipment and community OT services.</w:t>
            </w:r>
          </w:p>
          <w:p w14:paraId="2ED66AA2" w14:textId="59C344DF" w:rsidR="001D7D04" w:rsidRPr="004C78D8" w:rsidRDefault="001D7D04" w:rsidP="00FB7C1F">
            <w:pPr>
              <w:rPr>
                <w:sz w:val="18"/>
                <w:szCs w:val="18"/>
              </w:rPr>
            </w:pPr>
            <w:r w:rsidRPr="004C78D8">
              <w:rPr>
                <w:sz w:val="18"/>
                <w:szCs w:val="18"/>
                <w:vertAlign w:val="superscript"/>
              </w:rPr>
              <w:t>5</w:t>
            </w:r>
            <w:r w:rsidRPr="004C78D8">
              <w:rPr>
                <w:sz w:val="18"/>
                <w:szCs w:val="18"/>
              </w:rPr>
              <w:t xml:space="preserve"> The manager for Dance to Health Sheffield informed that each weekly session for 20 participants incurred an administrative cost of £25, which equates to £500 for a 20-week programme. This translates to £50 per client if each Tai Chi class is attended by 10 participant-caregiver dyads as mentioned in Nyman (2020).</w:t>
            </w:r>
          </w:p>
          <w:p w14:paraId="12CC1F62" w14:textId="1F4D38CC" w:rsidR="0007288A" w:rsidRPr="004C78D8" w:rsidRDefault="001D7D04" w:rsidP="00FB7C1F">
            <w:pPr>
              <w:rPr>
                <w:sz w:val="18"/>
                <w:szCs w:val="18"/>
              </w:rPr>
            </w:pPr>
            <w:r w:rsidRPr="004C78D8">
              <w:rPr>
                <w:sz w:val="18"/>
                <w:szCs w:val="18"/>
                <w:vertAlign w:val="superscript"/>
              </w:rPr>
              <w:t>6</w:t>
            </w:r>
            <w:r w:rsidR="0007288A" w:rsidRPr="004C78D8">
              <w:rPr>
                <w:sz w:val="18"/>
                <w:szCs w:val="18"/>
              </w:rPr>
              <w:t xml:space="preserve"> Assumed that average time committed per participant is 25 hours according to the average exercise time in RCT </w:t>
            </w:r>
            <w:r w:rsidR="00F92C43" w:rsidRPr="004C78D8">
              <w:rPr>
                <w:sz w:val="18"/>
                <w:szCs w:val="18"/>
              </w:rPr>
              <w:fldChar w:fldCharType="begin"/>
            </w:r>
            <w:r w:rsidR="00C630FC" w:rsidRPr="004C78D8">
              <w:rPr>
                <w:sz w:val="18"/>
                <w:szCs w:val="18"/>
              </w:rPr>
              <w:instrText xml:space="preserve"> ADDIN EN.CITE &lt;EndNote&gt;&lt;Cite&gt;&lt;Author&gt;Nyman&lt;/Author&gt;&lt;Year&gt;2019&lt;/Year&gt;&lt;RecNum&gt;281&lt;/RecNum&gt;&lt;DisplayText&gt;[235]&lt;/DisplayText&gt;&lt;record&gt;&lt;rec-number&gt;281&lt;/rec-number&gt;&lt;foreign-keys&gt;&lt;key app="EN" db-id="tdtrdw9aepptzbefsat599syza29sxsd2wsp" timestamp="1611699160"&gt;281&lt;/key&gt;&lt;/foreign-keys&gt;&lt;ref-type name="Journal Article"&gt;17&lt;/ref-type&gt;&lt;contributors&gt;&lt;authors&gt;&lt;author&gt;Nyman, Samuel R&lt;/author&gt;&lt;author&gt;Ingram, Wendy&lt;/author&gt;&lt;author&gt;Sanders, Jeanette&lt;/author&gt;&lt;author&gt;Thomas, Peter W&lt;/author&gt;&lt;author&gt;Thomas, Sarah&lt;/author&gt;&lt;author&gt;Vassallo, Michael&lt;/author&gt;&lt;author&gt;Raftery, James&lt;/author&gt;&lt;author&gt;Bibi, Iram&lt;/author&gt;&lt;author&gt;Barrado-Martín, Yolanda&lt;/author&gt;&lt;/authors&gt;&lt;/contributors&gt;&lt;titles&gt;&lt;title&gt;Randomised controlled trial of the effect of Tai Chi on postural balance of people with dementia&lt;/title&gt;&lt;secondary-title&gt;Clinical interventions in aging&lt;/secondary-title&gt;&lt;/titles&gt;&lt;periodical&gt;&lt;full-title&gt;Clin Interv Aging&lt;/full-title&gt;&lt;abbr-1&gt;Clinical interventions in aging&lt;/abbr-1&gt;&lt;/periodical&gt;&lt;pages&gt;2017&lt;/pages&gt;&lt;volume&gt;14&lt;/volume&gt;&lt;dates&gt;&lt;year&gt;2019&lt;/year&gt;&lt;/dates&gt;&lt;urls&gt;&lt;/urls&gt;&lt;/record&gt;&lt;/Cite&gt;&lt;/EndNote&gt;</w:instrText>
            </w:r>
            <w:r w:rsidR="00F92C43" w:rsidRPr="004C78D8">
              <w:rPr>
                <w:sz w:val="18"/>
                <w:szCs w:val="18"/>
              </w:rPr>
              <w:fldChar w:fldCharType="separate"/>
            </w:r>
            <w:r w:rsidR="00C630FC" w:rsidRPr="004C78D8">
              <w:rPr>
                <w:noProof/>
                <w:sz w:val="18"/>
                <w:szCs w:val="18"/>
              </w:rPr>
              <w:t>[235]</w:t>
            </w:r>
            <w:r w:rsidR="00F92C43" w:rsidRPr="004C78D8">
              <w:rPr>
                <w:sz w:val="18"/>
                <w:szCs w:val="18"/>
              </w:rPr>
              <w:fldChar w:fldCharType="end"/>
            </w:r>
            <w:r w:rsidR="0007288A" w:rsidRPr="004C78D8">
              <w:rPr>
                <w:sz w:val="18"/>
                <w:szCs w:val="18"/>
              </w:rPr>
              <w:t xml:space="preserve">. Those in paid employment assumed to incur an hourly opportunity cost equal to the national living wage. Those engaged in unpaid work assumed to incur an hourly opportunity cost equal to quarter of the </w:t>
            </w:r>
            <w:r w:rsidR="00F92C43" w:rsidRPr="004C78D8">
              <w:rPr>
                <w:sz w:val="18"/>
                <w:szCs w:val="18"/>
              </w:rPr>
              <w:t>national living wage</w:t>
            </w:r>
            <w:r w:rsidR="0007288A" w:rsidRPr="004C78D8">
              <w:rPr>
                <w:sz w:val="18"/>
                <w:szCs w:val="18"/>
              </w:rPr>
              <w:t>.</w:t>
            </w:r>
          </w:p>
          <w:p w14:paraId="130D765B" w14:textId="4A1805EC" w:rsidR="0007288A" w:rsidRPr="004C78D8" w:rsidRDefault="001D7D04" w:rsidP="00FB7C1F">
            <w:pPr>
              <w:rPr>
                <w:sz w:val="18"/>
                <w:szCs w:val="18"/>
              </w:rPr>
            </w:pPr>
            <w:r w:rsidRPr="004C78D8">
              <w:rPr>
                <w:sz w:val="18"/>
                <w:szCs w:val="18"/>
                <w:vertAlign w:val="superscript"/>
              </w:rPr>
              <w:t>7</w:t>
            </w:r>
            <w:r w:rsidR="0007288A" w:rsidRPr="004C78D8">
              <w:rPr>
                <w:sz w:val="18"/>
                <w:szCs w:val="18"/>
              </w:rPr>
              <w:t xml:space="preserve"> Assumed that cognitively impaired clients are accompanied by their informal caregivers for all 25 hours of intervention</w:t>
            </w:r>
            <w:r w:rsidR="00F92C43" w:rsidRPr="004C78D8">
              <w:rPr>
                <w:sz w:val="18"/>
                <w:szCs w:val="18"/>
              </w:rPr>
              <w:t xml:space="preserve">, incurring </w:t>
            </w:r>
            <w:r w:rsidR="0007288A" w:rsidRPr="004C78D8">
              <w:rPr>
                <w:sz w:val="18"/>
                <w:szCs w:val="18"/>
              </w:rPr>
              <w:t>an hourly opportunity cost equal to the national living wage.</w:t>
            </w:r>
          </w:p>
          <w:p w14:paraId="474BE0F1" w14:textId="490A0DCE" w:rsidR="0007288A" w:rsidRPr="004C78D8" w:rsidRDefault="001D7D04" w:rsidP="00FB7C1F">
            <w:pPr>
              <w:rPr>
                <w:sz w:val="18"/>
                <w:szCs w:val="18"/>
              </w:rPr>
            </w:pPr>
            <w:r w:rsidRPr="004C78D8">
              <w:rPr>
                <w:sz w:val="18"/>
                <w:szCs w:val="18"/>
                <w:vertAlign w:val="superscript"/>
              </w:rPr>
              <w:t>8</w:t>
            </w:r>
            <w:r w:rsidR="0007288A" w:rsidRPr="004C78D8">
              <w:rPr>
                <w:sz w:val="18"/>
                <w:szCs w:val="18"/>
              </w:rPr>
              <w:t xml:space="preserve"> Under usual care, the cost of self-referred intervention is entirely self-paid.</w:t>
            </w:r>
          </w:p>
          <w:p w14:paraId="36ECA3D4" w14:textId="0BB35113" w:rsidR="00750C8D" w:rsidRPr="004C78D8" w:rsidRDefault="001D7D04" w:rsidP="00FB7C1F">
            <w:pPr>
              <w:rPr>
                <w:sz w:val="18"/>
                <w:szCs w:val="18"/>
              </w:rPr>
            </w:pPr>
            <w:r w:rsidRPr="004C78D8">
              <w:rPr>
                <w:sz w:val="18"/>
                <w:szCs w:val="18"/>
                <w:vertAlign w:val="superscript"/>
              </w:rPr>
              <w:t>9</w:t>
            </w:r>
            <w:r w:rsidR="0007288A" w:rsidRPr="004C78D8">
              <w:rPr>
                <w:sz w:val="18"/>
                <w:szCs w:val="18"/>
              </w:rPr>
              <w:t xml:space="preserve"> According to Iliffe (2014)</w:t>
            </w:r>
            <w:r w:rsidR="00F92C43" w:rsidRPr="004C78D8">
              <w:rPr>
                <w:sz w:val="18"/>
                <w:szCs w:val="18"/>
              </w:rPr>
              <w:t xml:space="preserve"> </w:t>
            </w:r>
            <w:r w:rsidR="00F92C43" w:rsidRPr="004C78D8">
              <w:rPr>
                <w:sz w:val="18"/>
                <w:szCs w:val="18"/>
              </w:rPr>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rPr>
                <w:sz w:val="18"/>
                <w:szCs w:val="18"/>
              </w:rPr>
              <w:instrText xml:space="preserve"> ADDIN EN.CITE </w:instrText>
            </w:r>
            <w:r w:rsidR="00513646" w:rsidRPr="004C78D8">
              <w:rPr>
                <w:sz w:val="18"/>
                <w:szCs w:val="18"/>
              </w:rPr>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rPr>
                <w:sz w:val="18"/>
                <w:szCs w:val="18"/>
              </w:rPr>
              <w:instrText xml:space="preserve"> ADDIN EN.CITE.DATA </w:instrText>
            </w:r>
            <w:r w:rsidR="00513646" w:rsidRPr="004C78D8">
              <w:rPr>
                <w:sz w:val="18"/>
                <w:szCs w:val="18"/>
              </w:rPr>
            </w:r>
            <w:r w:rsidR="00513646" w:rsidRPr="004C78D8">
              <w:rPr>
                <w:sz w:val="18"/>
                <w:szCs w:val="18"/>
              </w:rPr>
              <w:fldChar w:fldCharType="end"/>
            </w:r>
            <w:r w:rsidR="00F92C43" w:rsidRPr="004C78D8">
              <w:rPr>
                <w:sz w:val="18"/>
                <w:szCs w:val="18"/>
              </w:rPr>
            </w:r>
            <w:r w:rsidR="00F92C43" w:rsidRPr="004C78D8">
              <w:rPr>
                <w:sz w:val="18"/>
                <w:szCs w:val="18"/>
              </w:rPr>
              <w:fldChar w:fldCharType="separate"/>
            </w:r>
            <w:r w:rsidR="00513646" w:rsidRPr="004C78D8">
              <w:rPr>
                <w:noProof/>
                <w:sz w:val="18"/>
                <w:szCs w:val="18"/>
              </w:rPr>
              <w:t>[135]</w:t>
            </w:r>
            <w:r w:rsidR="00F92C43" w:rsidRPr="004C78D8">
              <w:rPr>
                <w:sz w:val="18"/>
                <w:szCs w:val="18"/>
              </w:rPr>
              <w:fldChar w:fldCharType="end"/>
            </w:r>
            <w:r w:rsidR="0007288A" w:rsidRPr="004C78D8">
              <w:rPr>
                <w:sz w:val="18"/>
                <w:szCs w:val="18"/>
              </w:rPr>
              <w:t xml:space="preserve">, 17% of general-risk persons receiving the 24-week intervention completed 75% of prescribed time for FaME and Otago exercises. Assuming the other 83% completed 50% of prescribed time and that the pattern was the same for 24-hour walking, then the average time committed was 39.06 hours. If the same pattern was applied to the 36-week intervention evaluated by Skelton (2005) </w:t>
            </w:r>
            <w:r w:rsidR="00F92C43" w:rsidRPr="004C78D8">
              <w:rPr>
                <w:sz w:val="18"/>
                <w:szCs w:val="18"/>
              </w:rPr>
              <w:fldChar w:fldCharType="begin"/>
            </w:r>
            <w:r w:rsidR="00513646" w:rsidRPr="004C78D8">
              <w:rPr>
                <w:sz w:val="18"/>
                <w:szCs w:val="18"/>
              </w:rPr>
              <w:instrText xml:space="preserve"> ADDIN EN.CITE &lt;EndNote&gt;&lt;Cite&gt;&lt;Author&gt;Skelton&lt;/Author&gt;&lt;Year&gt;2005&lt;/Year&gt;&lt;RecNum&gt;481&lt;/RecNum&gt;&lt;DisplayText&gt;[136]&lt;/DisplayText&gt;&lt;record&gt;&lt;rec-number&gt;481&lt;/rec-number&gt;&lt;foreign-keys&gt;&lt;key app="EN" db-id="tdtrdw9aepptzbefsat599syza29sxsd2wsp" timestamp="1616578116"&gt;481&lt;/key&gt;&lt;/foreign-keys&gt;&lt;ref-type name="Journal Article"&gt;17&lt;/ref-type&gt;&lt;contributors&gt;&lt;authors&gt;&lt;author&gt;Skelton, Dawn&lt;/author&gt;&lt;author&gt;Dinan, Susie&lt;/author&gt;&lt;author&gt;Campbell, Malcolm&lt;/author&gt;&lt;author&gt;Rutherford, Olga&lt;/author&gt;&lt;/authors&gt;&lt;/contributors&gt;&lt;titles&gt;&lt;title&gt;Tailored group exercise (Falls Management Exercise—FaME) reduces falls in community-dwelling older frequent fallers (an RCT)&lt;/title&gt;&lt;secondary-title&gt;Age and ageing&lt;/secondary-title&gt;&lt;/titles&gt;&lt;periodical&gt;&lt;full-title&gt;Age and ageing&lt;/full-title&gt;&lt;/periodical&gt;&lt;pages&gt;636-639&lt;/pages&gt;&lt;volume&gt;34&lt;/volume&gt;&lt;number&gt;6&lt;/number&gt;&lt;dates&gt;&lt;year&gt;2005&lt;/year&gt;&lt;/dates&gt;&lt;isbn&gt;1468-2834&lt;/isbn&gt;&lt;urls&gt;&lt;/urls&gt;&lt;/record&gt;&lt;/Cite&gt;&lt;/EndNote&gt;</w:instrText>
            </w:r>
            <w:r w:rsidR="00F92C43" w:rsidRPr="004C78D8">
              <w:rPr>
                <w:sz w:val="18"/>
                <w:szCs w:val="18"/>
              </w:rPr>
              <w:fldChar w:fldCharType="separate"/>
            </w:r>
            <w:r w:rsidR="00513646" w:rsidRPr="004C78D8">
              <w:rPr>
                <w:noProof/>
                <w:sz w:val="18"/>
                <w:szCs w:val="18"/>
              </w:rPr>
              <w:t>[136]</w:t>
            </w:r>
            <w:r w:rsidR="00F92C43" w:rsidRPr="004C78D8">
              <w:rPr>
                <w:sz w:val="18"/>
                <w:szCs w:val="18"/>
              </w:rPr>
              <w:fldChar w:fldCharType="end"/>
            </w:r>
            <w:r w:rsidR="00F92C43" w:rsidRPr="004C78D8">
              <w:rPr>
                <w:sz w:val="18"/>
                <w:szCs w:val="18"/>
              </w:rPr>
              <w:t xml:space="preserve"> </w:t>
            </w:r>
            <w:r w:rsidR="0007288A" w:rsidRPr="004C78D8">
              <w:rPr>
                <w:sz w:val="18"/>
                <w:szCs w:val="18"/>
              </w:rPr>
              <w:t xml:space="preserve">which contained 72 hours of FaME and Otago, the average time committed was again 39.06 hours. </w:t>
            </w:r>
            <w:r w:rsidR="00F92C43" w:rsidRPr="004C78D8">
              <w:rPr>
                <w:sz w:val="18"/>
                <w:szCs w:val="18"/>
              </w:rPr>
              <w:t xml:space="preserve">Time opportunity costs were assigned as in note </w:t>
            </w:r>
            <w:r w:rsidR="00F56116" w:rsidRPr="004C78D8">
              <w:rPr>
                <w:sz w:val="18"/>
                <w:szCs w:val="18"/>
              </w:rPr>
              <w:t>6</w:t>
            </w:r>
            <w:r w:rsidR="00F92C43" w:rsidRPr="004C78D8">
              <w:rPr>
                <w:sz w:val="18"/>
                <w:szCs w:val="18"/>
              </w:rPr>
              <w:t>.</w:t>
            </w:r>
          </w:p>
          <w:p w14:paraId="1F03288C" w14:textId="18ED9A2D" w:rsidR="0007288A" w:rsidRPr="004C78D8" w:rsidRDefault="00750C8D" w:rsidP="00FB7C1F">
            <w:pPr>
              <w:rPr>
                <w:sz w:val="20"/>
                <w:szCs w:val="20"/>
              </w:rPr>
            </w:pPr>
            <w:r w:rsidRPr="004C78D8">
              <w:rPr>
                <w:sz w:val="18"/>
                <w:szCs w:val="18"/>
                <w:vertAlign w:val="superscript"/>
              </w:rPr>
              <w:t>10</w:t>
            </w:r>
            <w:r w:rsidRPr="004C78D8">
              <w:rPr>
                <w:sz w:val="18"/>
                <w:szCs w:val="18"/>
              </w:rPr>
              <w:t xml:space="preserve"> Travel cost was assumed to be proportional to the programme duration. Hence, the 36-week programme for high-risk group incurred 1.5 times the travel cost of the 24-week programme for general-risk.</w:t>
            </w:r>
            <w:r w:rsidR="00F92C43" w:rsidRPr="004C78D8">
              <w:rPr>
                <w:sz w:val="18"/>
                <w:szCs w:val="18"/>
              </w:rPr>
              <w:t xml:space="preserve"> </w:t>
            </w:r>
          </w:p>
        </w:tc>
      </w:tr>
    </w:tbl>
    <w:p w14:paraId="08838348" w14:textId="154DBF19" w:rsidR="00A75DFA" w:rsidRPr="004C78D8" w:rsidRDefault="00A75DFA" w:rsidP="00FB7C1F"/>
    <w:p w14:paraId="4C75AED0" w14:textId="7998F960" w:rsidR="00837DFC" w:rsidRPr="004C78D8" w:rsidRDefault="00837DFC" w:rsidP="00FB7C1F">
      <w:r w:rsidRPr="004C78D8">
        <w:t xml:space="preserve">For reactive HAM under </w:t>
      </w:r>
      <w:r w:rsidR="00383BD3" w:rsidRPr="004C78D8">
        <w:t>UC</w:t>
      </w:r>
      <w:r w:rsidRPr="004C78D8">
        <w:t xml:space="preserve">, the cost of screening </w:t>
      </w:r>
      <w:r w:rsidR="0002403C" w:rsidRPr="004C78D8">
        <w:t>was taken from</w:t>
      </w:r>
      <w:r w:rsidR="003D32C9" w:rsidRPr="004C78D8">
        <w:t xml:space="preserve"> </w:t>
      </w:r>
      <w:r w:rsidR="00FC05D5" w:rsidRPr="004C78D8">
        <w:t xml:space="preserve">a previous model </w:t>
      </w:r>
      <w:r w:rsidR="00FC05D5" w:rsidRPr="004C78D8">
        <w:fldChar w:fldCharType="begin"/>
      </w:r>
      <w:r w:rsidR="00513646" w:rsidRPr="004C78D8">
        <w:instrText xml:space="preserve"> ADDIN EN.CITE &lt;EndNote&gt;&lt;Cite&gt;&lt;Author&gt;Day&lt;/Author&gt;&lt;Year&gt;2009&lt;/Year&gt;&lt;RecNum&gt;346&lt;/RecNum&gt;&lt;DisplayText&gt;[167]&lt;/DisplayText&gt;&lt;record&gt;&lt;rec-number&gt;346&lt;/rec-number&gt;&lt;foreign-keys&gt;&lt;key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00FC05D5" w:rsidRPr="004C78D8">
        <w:fldChar w:fldCharType="separate"/>
      </w:r>
      <w:r w:rsidR="00513646" w:rsidRPr="004C78D8">
        <w:rPr>
          <w:noProof/>
        </w:rPr>
        <w:t>[167]</w:t>
      </w:r>
      <w:r w:rsidR="00FC05D5" w:rsidRPr="004C78D8">
        <w:fldChar w:fldCharType="end"/>
      </w:r>
      <w:r w:rsidR="00FC05D5" w:rsidRPr="004C78D8">
        <w:t>.</w:t>
      </w:r>
      <w:r w:rsidR="0048068D" w:rsidRPr="004C78D8">
        <w:t xml:space="preserve"> </w:t>
      </w:r>
      <w:r w:rsidR="00693640" w:rsidRPr="004C78D8">
        <w:t>In the intervention RCT, each OT home visit lasted one hour</w:t>
      </w:r>
      <w:r w:rsidR="00FC05D5" w:rsidRPr="004C78D8">
        <w:t xml:space="preserve"> </w:t>
      </w:r>
      <w:r w:rsidR="00FC05D5" w:rsidRPr="004C78D8">
        <w:fldChar w:fldCharType="begin"/>
      </w:r>
      <w:r w:rsidR="00C630FC" w:rsidRPr="004C78D8">
        <w:instrText xml:space="preserve"> ADDIN EN.CITE &lt;EndNote&gt;&lt;Cite&gt;&lt;Author&gt;Lockwood&lt;/Author&gt;&lt;Year&gt;2019&lt;/Year&gt;&lt;RecNum&gt;512&lt;/RecNum&gt;&lt;DisplayText&gt;[405]&lt;/DisplayText&gt;&lt;record&gt;&lt;rec-number&gt;512&lt;/rec-number&gt;&lt;foreign-keys&gt;&lt;key app="EN" db-id="tdtrdw9aepptzbefsat599syza29sxsd2wsp" timestamp="1617903216"&gt;512&lt;/key&gt;&lt;/foreign-keys&gt;&lt;ref-type name="Journal Article"&gt;17&lt;/ref-type&gt;&lt;contributors&gt;&lt;authors&gt;&lt;author&gt;Lockwood, Kylee J&lt;/author&gt;&lt;author&gt;Harding, Katherine E&lt;/author&gt;&lt;author&gt;Boyd, Jude N&lt;/author&gt;&lt;author&gt;Taylor, Nicholas F&lt;/author&gt;&lt;/authors&gt;&lt;/contributors&gt;&lt;titles&gt;&lt;title&gt;Predischarge home visits after hip fracture: a randomized controlled trial&lt;/title&gt;&lt;secondary-title&gt;Clinical rehabilitation&lt;/secondary-title&gt;&lt;/titles&gt;&lt;periodical&gt;&lt;full-title&gt;Clinical rehabilitation&lt;/full-title&gt;&lt;/periodical&gt;&lt;pages&gt;681-692&lt;/pages&gt;&lt;volume&gt;33&lt;/volume&gt;&lt;number&gt;4&lt;/number&gt;&lt;dates&gt;&lt;year&gt;2019&lt;/year&gt;&lt;/dates&gt;&lt;isbn&gt;0269-2155&lt;/isbn&gt;&lt;urls&gt;&lt;/urls&gt;&lt;/record&gt;&lt;/Cite&gt;&lt;/EndNote&gt;</w:instrText>
      </w:r>
      <w:r w:rsidR="00FC05D5" w:rsidRPr="004C78D8">
        <w:fldChar w:fldCharType="separate"/>
      </w:r>
      <w:r w:rsidR="00C630FC" w:rsidRPr="004C78D8">
        <w:rPr>
          <w:noProof/>
        </w:rPr>
        <w:t>[405]</w:t>
      </w:r>
      <w:r w:rsidR="00FC05D5" w:rsidRPr="004C78D8">
        <w:fldChar w:fldCharType="end"/>
      </w:r>
      <w:r w:rsidR="00693640" w:rsidRPr="004C78D8">
        <w:t xml:space="preserve">. But the OT </w:t>
      </w:r>
      <w:r w:rsidR="00FC05D5" w:rsidRPr="004C78D8">
        <w:t xml:space="preserve">involvement </w:t>
      </w:r>
      <w:r w:rsidR="008A6433" w:rsidRPr="004C78D8">
        <w:t>during</w:t>
      </w:r>
      <w:r w:rsidR="00693640" w:rsidRPr="004C78D8">
        <w:t xml:space="preserve"> the inpatient </w:t>
      </w:r>
      <w:r w:rsidR="008A6433" w:rsidRPr="004C78D8">
        <w:t>stay</w:t>
      </w:r>
      <w:r w:rsidR="00383BD3" w:rsidRPr="004C78D8">
        <w:t xml:space="preserve"> </w:t>
      </w:r>
      <w:r w:rsidR="00FC05D5" w:rsidRPr="004C78D8">
        <w:t>would</w:t>
      </w:r>
      <w:r w:rsidR="00693640" w:rsidRPr="004C78D8">
        <w:t xml:space="preserve"> have reduced the </w:t>
      </w:r>
      <w:r w:rsidR="0002403C" w:rsidRPr="004C78D8">
        <w:t xml:space="preserve">required </w:t>
      </w:r>
      <w:r w:rsidR="00693640" w:rsidRPr="004C78D8">
        <w:t xml:space="preserve">length of home visit. The </w:t>
      </w:r>
      <w:r w:rsidR="0002403C" w:rsidRPr="004C78D8">
        <w:t xml:space="preserve">RCT </w:t>
      </w:r>
      <w:r w:rsidR="00693640" w:rsidRPr="004C78D8">
        <w:t>also exclude</w:t>
      </w:r>
      <w:r w:rsidR="00383BD3" w:rsidRPr="004C78D8">
        <w:t>d</w:t>
      </w:r>
      <w:r w:rsidR="00693640" w:rsidRPr="004C78D8">
        <w:t xml:space="preserve"> travel time which was costed separately for HAM </w:t>
      </w:r>
      <w:r w:rsidR="00F32037" w:rsidRPr="004C78D8">
        <w:t xml:space="preserve">in previous </w:t>
      </w:r>
      <w:r w:rsidR="00693640" w:rsidRPr="004C78D8">
        <w:t>model</w:t>
      </w:r>
      <w:r w:rsidR="00F32037" w:rsidRPr="004C78D8">
        <w:t>s</w:t>
      </w:r>
      <w:r w:rsidR="00693640" w:rsidRPr="004C78D8">
        <w:t xml:space="preserve"> </w:t>
      </w:r>
      <w:r w:rsidR="00FC05D5" w:rsidRPr="004C78D8">
        <w:fldChar w:fldCharType="begin"/>
      </w:r>
      <w:r w:rsidR="00C630FC" w:rsidRPr="004C78D8">
        <w:instrText xml:space="preserve"> ADDIN EN.CITE &lt;EndNote&gt;&lt;Cite&gt;&lt;Author&gt;Day&lt;/Author&gt;&lt;Year&gt;2009&lt;/Year&gt;&lt;RecNum&gt;346&lt;/RecNum&gt;&lt;DisplayText&gt;[167, 216]&lt;/DisplayText&gt;&lt;record&gt;&lt;rec-number&gt;346&lt;/rec-number&gt;&lt;foreign-keys&gt;&lt;key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planners&lt;/title&gt;&lt;/titles&gt;&lt;dates&gt;&lt;year&gt;2009&lt;/year&gt;&lt;/dates&gt;&lt;urls&gt;&lt;/urls&gt;&lt;/record&gt;&lt;/Cite&gt;&lt;Cite&gt;&lt;Author&gt;Public Health England&lt;/Author&gt;&lt;Year&gt;2018&lt;/Year&gt;&lt;RecNum&gt;305&lt;/RecNum&gt;&lt;record&gt;&lt;rec-number&gt;305&lt;/rec-number&gt;&lt;foreign-keys&gt;&lt;key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00FC05D5" w:rsidRPr="004C78D8">
        <w:fldChar w:fldCharType="separate"/>
      </w:r>
      <w:r w:rsidR="00C630FC" w:rsidRPr="004C78D8">
        <w:rPr>
          <w:noProof/>
        </w:rPr>
        <w:t>[167, 216]</w:t>
      </w:r>
      <w:r w:rsidR="00FC05D5" w:rsidRPr="004C78D8">
        <w:fldChar w:fldCharType="end"/>
      </w:r>
      <w:r w:rsidR="00693640" w:rsidRPr="004C78D8">
        <w:t xml:space="preserve">. </w:t>
      </w:r>
      <w:r w:rsidR="00FC05D5" w:rsidRPr="004C78D8">
        <w:t>A</w:t>
      </w:r>
      <w:r w:rsidR="00F32037" w:rsidRPr="004C78D8">
        <w:t xml:space="preserve"> simplifying assumption was made that each OT home visit </w:t>
      </w:r>
      <w:r w:rsidR="00FC05D5" w:rsidRPr="004C78D8">
        <w:t>lasted</w:t>
      </w:r>
      <w:r w:rsidR="00F32037" w:rsidRPr="004C78D8">
        <w:t xml:space="preserve"> two hours </w:t>
      </w:r>
      <w:r w:rsidR="00FC05D5" w:rsidRPr="004C78D8">
        <w:t>including</w:t>
      </w:r>
      <w:r w:rsidR="00F32037" w:rsidRPr="004C78D8">
        <w:t xml:space="preserve"> travel time. The hourly cost for OT band 7 was obtained from PSSRU</w:t>
      </w:r>
      <w:r w:rsidR="005F6F1E" w:rsidRPr="004C78D8">
        <w:t xml:space="preserve"> </w:t>
      </w:r>
      <w:r w:rsidR="005F6F1E" w:rsidRPr="004C78D8">
        <w:fldChar w:fldCharType="begin"/>
      </w:r>
      <w:r w:rsidR="00C630FC" w:rsidRPr="004C78D8">
        <w:instrText xml:space="preserve"> ADDIN EN.CITE &lt;EndNote&gt;&lt;Cite&gt;&lt;Author&gt;Curtis&lt;/Author&gt;&lt;Year&gt;2019&lt;/Year&gt;&lt;RecNum&gt;135&lt;/RecNum&gt;&lt;DisplayText&gt;[401]&lt;/DisplayText&gt;&lt;record&gt;&lt;rec-number&gt;135&lt;/rec-number&gt;&lt;foreign-keys&gt;&lt;key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005F6F1E" w:rsidRPr="004C78D8">
        <w:fldChar w:fldCharType="separate"/>
      </w:r>
      <w:r w:rsidR="00C630FC" w:rsidRPr="004C78D8">
        <w:rPr>
          <w:noProof/>
        </w:rPr>
        <w:t>[401]</w:t>
      </w:r>
      <w:r w:rsidR="005F6F1E" w:rsidRPr="004C78D8">
        <w:fldChar w:fldCharType="end"/>
      </w:r>
      <w:r w:rsidR="00F32037" w:rsidRPr="004C78D8">
        <w:t xml:space="preserve">. </w:t>
      </w:r>
      <w:r w:rsidR="0002403C" w:rsidRPr="004C78D8">
        <w:t>The costs of major home modifications</w:t>
      </w:r>
      <w:r w:rsidR="005F6F1E" w:rsidRPr="004C78D8">
        <w:t xml:space="preserve">, sourced from a previous model </w:t>
      </w:r>
      <w:r w:rsidR="005F6F1E" w:rsidRPr="004C78D8">
        <w:fldChar w:fldCharType="begin"/>
      </w:r>
      <w:r w:rsidR="00C630FC" w:rsidRPr="004C78D8">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005F6F1E" w:rsidRPr="004C78D8">
        <w:fldChar w:fldCharType="separate"/>
      </w:r>
      <w:r w:rsidR="00C630FC" w:rsidRPr="004C78D8">
        <w:rPr>
          <w:noProof/>
        </w:rPr>
        <w:t>[216]</w:t>
      </w:r>
      <w:r w:rsidR="005F6F1E" w:rsidRPr="004C78D8">
        <w:fldChar w:fldCharType="end"/>
      </w:r>
      <w:r w:rsidR="005F6F1E" w:rsidRPr="004C78D8">
        <w:t>,</w:t>
      </w:r>
      <w:r w:rsidR="0002403C" w:rsidRPr="004C78D8">
        <w:t xml:space="preserve"> were </w:t>
      </w:r>
      <w:r w:rsidR="008A6433" w:rsidRPr="004C78D8">
        <w:t>split</w:t>
      </w:r>
      <w:r w:rsidR="0002403C" w:rsidRPr="004C78D8">
        <w:t xml:space="preserve"> </w:t>
      </w:r>
      <w:r w:rsidR="005F6F1E" w:rsidRPr="004C78D8">
        <w:t>equally</w:t>
      </w:r>
      <w:r w:rsidR="0002403C" w:rsidRPr="004C78D8">
        <w:t xml:space="preserve"> </w:t>
      </w:r>
      <w:r w:rsidR="008A6433" w:rsidRPr="004C78D8">
        <w:t>between</w:t>
      </w:r>
      <w:r w:rsidR="0002403C" w:rsidRPr="004C78D8">
        <w:t xml:space="preserve"> social care sector and participants themselves. </w:t>
      </w:r>
      <w:r w:rsidR="00ED7D0E" w:rsidRPr="004C78D8">
        <w:t xml:space="preserve">The home visit also resulted in equipment recommendations and community service referrals. </w:t>
      </w:r>
      <w:r w:rsidR="00177648" w:rsidRPr="004C78D8">
        <w:t>Further details on costing the equipment and services are given in Appendix E</w:t>
      </w:r>
      <w:r w:rsidR="008A6433" w:rsidRPr="004C78D8">
        <w:t xml:space="preserve">, </w:t>
      </w:r>
      <w:r w:rsidR="002C4B74" w:rsidRPr="004C78D8">
        <w:t>Table E</w:t>
      </w:r>
      <w:r w:rsidR="005B68C9" w:rsidRPr="004C78D8">
        <w:t>10</w:t>
      </w:r>
      <w:r w:rsidR="008A6433" w:rsidRPr="004C78D8">
        <w:t xml:space="preserve"> and commentary</w:t>
      </w:r>
      <w:r w:rsidR="00177648" w:rsidRPr="004C78D8">
        <w:t xml:space="preserve">. </w:t>
      </w:r>
      <w:r w:rsidR="006B1A27" w:rsidRPr="004C78D8">
        <w:t>Patients with history of reactive HAM incur</w:t>
      </w:r>
      <w:r w:rsidR="003624E1" w:rsidRPr="004C78D8">
        <w:t>red</w:t>
      </w:r>
      <w:r w:rsidR="006B1A27" w:rsidRPr="004C78D8">
        <w:t xml:space="preserve"> 20% of the equipment</w:t>
      </w:r>
      <w:r w:rsidR="003624E1" w:rsidRPr="004C78D8">
        <w:t>/service</w:t>
      </w:r>
      <w:r w:rsidR="006B1A27" w:rsidRPr="004C78D8">
        <w:t xml:space="preserve"> costs. </w:t>
      </w:r>
      <w:r w:rsidR="00BC790F" w:rsidRPr="004C78D8">
        <w:t xml:space="preserve">Lockwood (2019) described cognitively impaired patients being accompanied by their caregivers at the OT home visit. Hence, </w:t>
      </w:r>
      <w:r w:rsidR="006B1A27" w:rsidRPr="004C78D8">
        <w:t xml:space="preserve">HAM </w:t>
      </w:r>
      <w:r w:rsidR="00BC790F" w:rsidRPr="004C78D8">
        <w:t xml:space="preserve">incurred the opportunity cost of </w:t>
      </w:r>
      <w:r w:rsidR="00383BD3" w:rsidRPr="004C78D8">
        <w:t>two</w:t>
      </w:r>
      <w:r w:rsidR="00BC790F" w:rsidRPr="004C78D8">
        <w:t xml:space="preserve"> hours of caregivers’ time. </w:t>
      </w:r>
      <w:r w:rsidR="0007288A" w:rsidRPr="004C78D8">
        <w:t>It was assumed that hospitali</w:t>
      </w:r>
      <w:r w:rsidR="006B1A27" w:rsidRPr="004C78D8">
        <w:t>s</w:t>
      </w:r>
      <w:r w:rsidR="0007288A" w:rsidRPr="004C78D8">
        <w:t>ed MA fallers engaged in minimal paid</w:t>
      </w:r>
      <w:r w:rsidR="006B1A27" w:rsidRPr="004C78D8">
        <w:t>/</w:t>
      </w:r>
      <w:r w:rsidR="0007288A" w:rsidRPr="004C78D8">
        <w:t>unpaid work and hence incurred no time opportunity cost.</w:t>
      </w:r>
    </w:p>
    <w:p w14:paraId="05677597" w14:textId="6A244991" w:rsidR="00750C8D" w:rsidRPr="004C78D8" w:rsidRDefault="001162A8" w:rsidP="00FB7C1F">
      <w:r w:rsidRPr="004C78D8">
        <w:t>For</w:t>
      </w:r>
      <w:r w:rsidR="00592745" w:rsidRPr="004C78D8">
        <w:t xml:space="preserve"> the </w:t>
      </w:r>
      <w:r w:rsidRPr="004C78D8">
        <w:t xml:space="preserve">three </w:t>
      </w:r>
      <w:r w:rsidR="00592745" w:rsidRPr="004C78D8">
        <w:t xml:space="preserve">exercise interventions, the dosage </w:t>
      </w:r>
      <w:r w:rsidR="003643B2" w:rsidRPr="004C78D8">
        <w:t>costed</w:t>
      </w:r>
      <w:r w:rsidR="00592745" w:rsidRPr="004C78D8">
        <w:t xml:space="preserve"> for the year was that evaluated in their respective RCTs. </w:t>
      </w:r>
      <w:r w:rsidR="008A1F5F" w:rsidRPr="004C78D8">
        <w:t xml:space="preserve">The Tai Chi operated under both proactive and self-referred pathways. The former would incur the cost of falls risk screening taken from a previous model </w:t>
      </w:r>
      <w:r w:rsidR="008A1F5F" w:rsidRPr="004C78D8">
        <w:fldChar w:fldCharType="begin"/>
      </w:r>
      <w:r w:rsidR="00C630FC" w:rsidRPr="004C78D8">
        <w:instrText xml:space="preserve"> ADDIN EN.CITE &lt;EndNote&gt;&lt;Cite&gt;&lt;Author&gt;Franklin&lt;/Author&gt;&lt;Year&gt;2019&lt;/Year&gt;&lt;RecNum&gt;395&lt;/RecNum&gt;&lt;DisplayText&gt;[363]&lt;/DisplayText&gt;&lt;record&gt;&lt;rec-number&gt;395&lt;/rec-number&gt;&lt;foreign-keys&gt;&lt;key app="EN" db-id="tdtrdw9aepptzbefsat599syza29sxsd2wsp" timestamp="1612694614"&gt;395&lt;/key&gt;&lt;/foreign-keys&gt;&lt;ref-type name="Journal Article"&gt;17&lt;/ref-type&gt;&lt;contributors&gt;&lt;authors&gt;&lt;author&gt;Franklin, Matthew&lt;/author&gt;&lt;author&gt;Hunter, Rachael Maree&lt;/author&gt;&lt;/authors&gt;&lt;/contributors&gt;&lt;titles&gt;&lt;title&gt;A modelling-based economic evaluation of primary-care-based fall-risk screening followed by fall-prevention intervention: a cohort-based Markov model stratified by older age groups&lt;/title&gt;&lt;secondary-title&gt;Age and ageing&lt;/secondary-title&gt;&lt;/titles&gt;&lt;periodical&gt;&lt;full-title&gt;Age and ageing&lt;/full-title&gt;&lt;/periodical&gt;&lt;dates&gt;&lt;year&gt;2019&lt;/year&gt;&lt;/dates&gt;&lt;urls&gt;&lt;/urls&gt;&lt;/record&gt;&lt;/Cite&gt;&lt;/EndNote&gt;</w:instrText>
      </w:r>
      <w:r w:rsidR="008A1F5F" w:rsidRPr="004C78D8">
        <w:fldChar w:fldCharType="separate"/>
      </w:r>
      <w:r w:rsidR="00C630FC" w:rsidRPr="004C78D8">
        <w:rPr>
          <w:noProof/>
        </w:rPr>
        <w:t>[363]</w:t>
      </w:r>
      <w:r w:rsidR="008A1F5F" w:rsidRPr="004C78D8">
        <w:fldChar w:fldCharType="end"/>
      </w:r>
      <w:r w:rsidR="008A1F5F" w:rsidRPr="004C78D8">
        <w:t xml:space="preserve">. </w:t>
      </w:r>
      <w:r w:rsidR="001130AD" w:rsidRPr="004C78D8">
        <w:t xml:space="preserve">Nyman (2020) also mentioned </w:t>
      </w:r>
      <w:r w:rsidR="00717A84" w:rsidRPr="004C78D8">
        <w:t>that</w:t>
      </w:r>
      <w:r w:rsidR="001130AD" w:rsidRPr="004C78D8">
        <w:t xml:space="preserve"> participants’ travel costs </w:t>
      </w:r>
      <w:r w:rsidR="00717A84" w:rsidRPr="004C78D8">
        <w:t>were</w:t>
      </w:r>
      <w:r w:rsidR="001130AD" w:rsidRPr="004C78D8">
        <w:t xml:space="preserve"> reimbursed to </w:t>
      </w:r>
      <w:r w:rsidR="008A1F5F" w:rsidRPr="004C78D8">
        <w:t>increase</w:t>
      </w:r>
      <w:r w:rsidR="001130AD" w:rsidRPr="004C78D8">
        <w:t xml:space="preserve"> uptake. </w:t>
      </w:r>
      <w:r w:rsidR="00717A84" w:rsidRPr="004C78D8">
        <w:t>Hence, participant travel costs</w:t>
      </w:r>
      <w:r w:rsidR="008A1F5F" w:rsidRPr="004C78D8">
        <w:t xml:space="preserve">, taken from a previous model </w:t>
      </w:r>
      <w:r w:rsidR="008A1F5F" w:rsidRPr="004C78D8">
        <w:fldChar w:fldCharType="begin"/>
      </w:r>
      <w:r w:rsidR="00C630FC" w:rsidRPr="004C78D8">
        <w:instrText xml:space="preserve"> ADDIN EN.CITE &lt;EndNote&gt;&lt;Cite&gt;&lt;Author&gt;Comans&lt;/Author&gt;&lt;Year&gt;2009&lt;/Year&gt;&lt;RecNum&gt;376&lt;/RecNum&gt;&lt;DisplayText&gt;[207]&lt;/DisplayText&gt;&lt;record&gt;&lt;rec-number&gt;376&lt;/rec-number&gt;&lt;foreign-keys&gt;&lt;key app="EN" db-id="tdtrdw9aepptzbefsat599syza29sxsd2wsp" timestamp="1612625082"&gt;376&lt;/key&gt;&lt;/foreign-keys&gt;&lt;ref-type name="Journal Article"&gt;17&lt;/ref-type&gt;&lt;contributors&gt;&lt;authors&gt;&lt;author&gt;Comans, Tracy&lt;/author&gt;&lt;author&gt;Brauer, Sandy&lt;/author&gt;&lt;author&gt;Haines, Terry&lt;/author&gt;&lt;/authors&gt;&lt;/contributors&gt;&lt;titles&gt;&lt;title&gt;A break-even analysis of a community rehabilitation falls prevention service&lt;/title&gt;&lt;secondary-title&gt;Australian and New Zealand journal of public health&lt;/secondary-title&gt;&lt;/titles&gt;&lt;periodical&gt;&lt;full-title&gt;Australian and New Zealand journal of public health&lt;/full-title&gt;&lt;/periodical&gt;&lt;pages&gt;240-5&lt;/pages&gt;&lt;volume&gt;33&lt;/volume&gt;&lt;number&gt;3&lt;/number&gt;&lt;section&gt;Comans, Tracy. The Community Rehabilitation Service, Southside Health Service District and School of Health and Rehabilitation Sciences, University of Queensland, Queensland, Australia. tracy.comans@uqconnect.edu.au&lt;/section&gt;&lt;keywords&gt;&lt;keyword&gt;*Accidental Falls/pc [Prevention &amp;amp; Control]&lt;/keyword&gt;&lt;keyword&gt;Aged&lt;/keyword&gt;&lt;keyword&gt;Aged, 80 and over&lt;/keyword&gt;&lt;keyword&gt;Cost-Benefit Analysis&lt;/keyword&gt;&lt;keyword&gt;Efficiency, Organizational/ec [Economics]&lt;/keyword&gt;&lt;keyword&gt;*Efficiency, Organizational&lt;/keyword&gt;&lt;keyword&gt;Female&lt;/keyword&gt;&lt;keyword&gt;Humans&lt;/keyword&gt;&lt;keyword&gt;Interdisciplinary Communication&lt;/keyword&gt;&lt;keyword&gt;Male&lt;/keyword&gt;&lt;keyword&gt;Models, Theoretical&lt;/keyword&gt;&lt;keyword&gt;*Preventive Health Services/st [Standards]&lt;/keyword&gt;&lt;keyword&gt;*Rehabilitation Centers&lt;/keyword&gt;&lt;/keywords&gt;&lt;dates&gt;&lt;year&gt;2009&lt;/year&gt;&lt;/dates&gt;&lt;pub-location&gt;Australia&lt;/pub-location&gt;&lt;isbn&gt;1326-0200&lt;/isbn&gt;&lt;urls&gt;&lt;related-urls&gt;&lt;url&gt;http://ovidsp.ovid.com/ovidweb.cgi?T=JS&amp;amp;PAGE=reference&amp;amp;D=med6&amp;amp;NEWS=N&amp;amp;AN=19630843&lt;/url&gt;&lt;/related-urls&gt;&lt;/urls&gt;&lt;electronic-resource-num&gt;https://dx.doi.org/10.1111/j.1753-6405.2009.00382.x&lt;/electronic-resource-num&gt;&lt;remote-database-name&gt;Medline&lt;/remote-database-name&gt;&lt;/record&gt;&lt;/Cite&gt;&lt;/EndNote&gt;</w:instrText>
      </w:r>
      <w:r w:rsidR="008A1F5F" w:rsidRPr="004C78D8">
        <w:fldChar w:fldCharType="separate"/>
      </w:r>
      <w:r w:rsidR="00C630FC" w:rsidRPr="004C78D8">
        <w:rPr>
          <w:noProof/>
        </w:rPr>
        <w:t>[207]</w:t>
      </w:r>
      <w:r w:rsidR="008A1F5F" w:rsidRPr="004C78D8">
        <w:fldChar w:fldCharType="end"/>
      </w:r>
      <w:r w:rsidR="008A1F5F" w:rsidRPr="004C78D8">
        <w:t>,</w:t>
      </w:r>
      <w:r w:rsidR="00717A84" w:rsidRPr="004C78D8">
        <w:t xml:space="preserve"> </w:t>
      </w:r>
      <w:r w:rsidR="008A1F5F" w:rsidRPr="004C78D8">
        <w:t>accrued to</w:t>
      </w:r>
      <w:r w:rsidR="00717A84" w:rsidRPr="004C78D8">
        <w:t xml:space="preserve"> the public sector under the proactive pathway but not under the self-referred pathway. </w:t>
      </w:r>
      <w:r w:rsidR="008A1F5F" w:rsidRPr="004C78D8">
        <w:t xml:space="preserve">The administration cost was </w:t>
      </w:r>
      <w:r w:rsidR="008A6433" w:rsidRPr="004C78D8">
        <w:t>included</w:t>
      </w:r>
      <w:r w:rsidR="008A1F5F" w:rsidRPr="004C78D8">
        <w:t xml:space="preserve"> at per-client rate</w:t>
      </w:r>
      <w:r w:rsidR="001D7D04" w:rsidRPr="004C78D8">
        <w:t xml:space="preserve">. </w:t>
      </w:r>
      <w:r w:rsidR="007E1B13" w:rsidRPr="004C78D8">
        <w:t xml:space="preserve">The cost of direct marketing under the self-referred pathway was taken from </w:t>
      </w:r>
      <w:r w:rsidR="001D7D04" w:rsidRPr="004C78D8">
        <w:t xml:space="preserve">a previous model </w:t>
      </w:r>
      <w:bookmarkStart w:id="153" w:name="_Hlk88300682"/>
      <w:r w:rsidR="001D7D04" w:rsidRPr="004C78D8">
        <w:fldChar w:fldCharType="begin"/>
      </w:r>
      <w:r w:rsidR="00513646" w:rsidRPr="004C78D8">
        <w:instrText xml:space="preserve"> ADDIN EN.CITE &lt;EndNote&gt;&lt;Cite&gt;&lt;Author&gt;Day&lt;/Author&gt;&lt;Year&gt;2009&lt;/Year&gt;&lt;RecNum&gt;346&lt;/RecNum&gt;&lt;DisplayText&gt;[167]&lt;/DisplayText&gt;&lt;record&gt;&lt;rec-number&gt;346&lt;/rec-number&gt;&lt;foreign-keys&gt;&lt;key app="EN" db-id="tdtrdw9aepptzbefsat599syza29sxsd2wsp" timestamp="1612211760"&gt;346&lt;/key&gt;&lt;/foreign-keys&gt;&lt;ref-type name="Journal Article"&gt;17&lt;/ref-type&gt;&lt;contributors&gt;&lt;authors&gt;&lt;author&gt;Day, Lesley&lt;/author&gt;&lt;author&gt;Hoareau, Effie&lt;/author&gt;&lt;author&gt;Finch, Caroline&lt;/author&gt;&lt;author&gt;Harrison, James E&lt;/author&gt;&lt;author&gt;Segal, Leonie&lt;/author&gt;&lt;author&gt;Bolton, Thomas Graham&lt;/author&gt;&lt;author&gt;Bradley, Clare&lt;/author&gt;&lt;author&gt;Boufous, Soufiane&lt;/author&gt;&lt;author&gt;Ullah, Shahid&lt;/author&gt;&lt;/authors&gt;&lt;/contributors&gt;&lt;titles&gt;&lt;title&gt;Modelling the impact, cost and benefits of falls prevention measures to support policy-makers and program planners&lt;/title&gt;&lt;/titles&gt;&lt;dates&gt;&lt;year&gt;2009&lt;/year&gt;&lt;/dates&gt;&lt;urls&gt;&lt;/urls&gt;&lt;/record&gt;&lt;/Cite&gt;&lt;/EndNote&gt;</w:instrText>
      </w:r>
      <w:r w:rsidR="001D7D04" w:rsidRPr="004C78D8">
        <w:fldChar w:fldCharType="separate"/>
      </w:r>
      <w:r w:rsidR="00513646" w:rsidRPr="004C78D8">
        <w:rPr>
          <w:noProof/>
        </w:rPr>
        <w:t>[167]</w:t>
      </w:r>
      <w:r w:rsidR="001D7D04" w:rsidRPr="004C78D8">
        <w:fldChar w:fldCharType="end"/>
      </w:r>
      <w:bookmarkEnd w:id="153"/>
      <w:r w:rsidR="005730FD" w:rsidRPr="004C78D8">
        <w:t xml:space="preserve">. </w:t>
      </w:r>
      <w:r w:rsidR="00E33EFC" w:rsidRPr="004C78D8">
        <w:t>The marketing cost for FaME and Otago exercises targeting cognitively intact persons was assumed to be lower than that for cognitively impaired Tai Chi participants and taken from a</w:t>
      </w:r>
      <w:r w:rsidR="008F0D0D" w:rsidRPr="004C78D8">
        <w:t xml:space="preserve"> previous</w:t>
      </w:r>
      <w:r w:rsidR="00E33EFC" w:rsidRPr="004C78D8">
        <w:t xml:space="preserve"> economic evaluation </w:t>
      </w:r>
      <w:r w:rsidR="00E33EFC" w:rsidRPr="004C78D8">
        <w:fldChar w:fldCharType="begin">
          <w:fldData xml:space="preserve">PEVuZE5vdGU+PENpdGU+PEF1dGhvcj5NY0xlYW48L0F1dGhvcj48WWVhcj4yMDE1PC9ZZWFyPjxS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</w:fldData>
        </w:fldChar>
      </w:r>
      <w:r w:rsidR="00C630FC" w:rsidRPr="004C78D8">
        <w:instrText xml:space="preserve"> ADDIN EN.CITE </w:instrText>
      </w:r>
      <w:r w:rsidR="00C630FC" w:rsidRPr="004C78D8">
        <w:fldChar w:fldCharType="begin">
          <w:fldData xml:space="preserve">PEVuZE5vdGU+PENpdGU+PEF1dGhvcj5NY0xlYW48L0F1dGhvcj48WWVhcj4yMDE1PC9ZZWFyPjxS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</w:fldData>
        </w:fldChar>
      </w:r>
      <w:r w:rsidR="00C630FC" w:rsidRPr="004C78D8">
        <w:instrText xml:space="preserve"> ADDIN EN.CITE.DATA </w:instrText>
      </w:r>
      <w:r w:rsidR="00C630FC" w:rsidRPr="004C78D8">
        <w:fldChar w:fldCharType="end"/>
      </w:r>
      <w:r w:rsidR="00E33EFC" w:rsidRPr="004C78D8">
        <w:fldChar w:fldCharType="separate"/>
      </w:r>
      <w:r w:rsidR="00C630FC" w:rsidRPr="004C78D8">
        <w:rPr>
          <w:noProof/>
        </w:rPr>
        <w:t>[355]</w:t>
      </w:r>
      <w:r w:rsidR="00E33EFC" w:rsidRPr="004C78D8">
        <w:fldChar w:fldCharType="end"/>
      </w:r>
      <w:r w:rsidR="00E33EFC" w:rsidRPr="004C78D8">
        <w:t>.</w:t>
      </w:r>
      <w:r w:rsidR="00750C8D" w:rsidRPr="004C78D8">
        <w:t xml:space="preserve"> </w:t>
      </w:r>
      <w:r w:rsidR="00522146" w:rsidRPr="004C78D8">
        <w:t xml:space="preserve">The cost categories for the therapeutic components </w:t>
      </w:r>
      <w:r w:rsidR="001F5D5B" w:rsidRPr="004C78D8">
        <w:t xml:space="preserve">of all three exercises </w:t>
      </w:r>
      <w:r w:rsidR="00522146" w:rsidRPr="004C78D8">
        <w:t xml:space="preserve">were </w:t>
      </w:r>
      <w:r w:rsidR="00280D5B" w:rsidRPr="004C78D8">
        <w:t xml:space="preserve">taken from </w:t>
      </w:r>
      <w:r w:rsidR="00522146" w:rsidRPr="004C78D8">
        <w:t xml:space="preserve">the </w:t>
      </w:r>
      <w:r w:rsidR="00FD4F49" w:rsidRPr="004C78D8">
        <w:t xml:space="preserve">PHE </w:t>
      </w:r>
      <w:r w:rsidR="00522146" w:rsidRPr="004C78D8">
        <w:t xml:space="preserve">model </w:t>
      </w:r>
      <w:r w:rsidR="00522146" w:rsidRPr="004C78D8">
        <w:fldChar w:fldCharType="begin"/>
      </w:r>
      <w:r w:rsidR="00C630FC" w:rsidRPr="004C78D8">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00522146" w:rsidRPr="004C78D8">
        <w:fldChar w:fldCharType="separate"/>
      </w:r>
      <w:r w:rsidR="00C630FC" w:rsidRPr="004C78D8">
        <w:rPr>
          <w:noProof/>
        </w:rPr>
        <w:t>[216]</w:t>
      </w:r>
      <w:r w:rsidR="00522146" w:rsidRPr="004C78D8">
        <w:fldChar w:fldCharType="end"/>
      </w:r>
      <w:r w:rsidR="00280D5B" w:rsidRPr="004C78D8">
        <w:t>: staff time; staff training; staff travel; equipment; and venue hire.</w:t>
      </w:r>
      <w:r w:rsidR="00FD4F49" w:rsidRPr="004C78D8">
        <w:t xml:space="preserve"> </w:t>
      </w:r>
      <w:r w:rsidR="003D32E6" w:rsidRPr="004C78D8">
        <w:t>Further d</w:t>
      </w:r>
      <w:r w:rsidR="00FD4F49" w:rsidRPr="004C78D8">
        <w:t xml:space="preserve">etails on costing the therapeutic components are given in Appendix E. </w:t>
      </w:r>
      <w:r w:rsidR="003624E1" w:rsidRPr="004C78D8">
        <w:t xml:space="preserve">The costs were assumed not to vary by intervention history. </w:t>
      </w:r>
      <w:r w:rsidR="008F0D0D" w:rsidRPr="004C78D8">
        <w:t>Societal</w:t>
      </w:r>
      <w:r w:rsidR="00D40B2D" w:rsidRPr="004C78D8">
        <w:t xml:space="preserve"> costs included travel cost </w:t>
      </w:r>
      <w:r w:rsidR="00750C8D" w:rsidRPr="004C78D8">
        <w:t>(except for proactive Tai Chi) which was assumed proportional to the programme duration.</w:t>
      </w:r>
      <w:r w:rsidR="00177648" w:rsidRPr="004C78D8">
        <w:t xml:space="preserve"> Time opportunity costs for those in </w:t>
      </w:r>
      <w:r w:rsidR="00DC5039" w:rsidRPr="004C78D8">
        <w:t>paid/</w:t>
      </w:r>
      <w:r w:rsidR="00177648" w:rsidRPr="004C78D8">
        <w:t xml:space="preserve">unpaid work and for </w:t>
      </w:r>
      <w:r w:rsidR="00DC5039" w:rsidRPr="004C78D8">
        <w:t xml:space="preserve">accompanying </w:t>
      </w:r>
      <w:r w:rsidR="00177648" w:rsidRPr="004C78D8">
        <w:t xml:space="preserve">caregivers were </w:t>
      </w:r>
      <w:r w:rsidR="00DC5039" w:rsidRPr="004C78D8">
        <w:t xml:space="preserve">assumed </w:t>
      </w:r>
      <w:r w:rsidR="00177648" w:rsidRPr="004C78D8">
        <w:t xml:space="preserve">proportional to the number of hours committed. </w:t>
      </w:r>
    </w:p>
    <w:p w14:paraId="7156F67E" w14:textId="793A0969" w:rsidR="00563E1E" w:rsidRPr="004C78D8" w:rsidRDefault="00F56116" w:rsidP="00FB7C1F">
      <w:pPr>
        <w:pStyle w:val="Heading4"/>
      </w:pPr>
      <w:r w:rsidRPr="004C78D8">
        <w:t>5</w:t>
      </w:r>
      <w:r w:rsidR="001B0B86" w:rsidRPr="004C78D8">
        <w:t>.</w:t>
      </w:r>
      <w:r w:rsidR="00332ADA" w:rsidRPr="004C78D8">
        <w:t>2</w:t>
      </w:r>
      <w:r w:rsidR="001B0B86" w:rsidRPr="004C78D8">
        <w:t>.</w:t>
      </w:r>
      <w:r w:rsidR="00480861" w:rsidRPr="004C78D8">
        <w:t>4</w:t>
      </w:r>
      <w:r w:rsidR="001B0B86" w:rsidRPr="004C78D8">
        <w:t>.</w:t>
      </w:r>
      <w:r w:rsidR="00C31EDF" w:rsidRPr="004C78D8">
        <w:t>4</w:t>
      </w:r>
      <w:r w:rsidR="001B0B86" w:rsidRPr="004C78D8">
        <w:t xml:space="preserve"> Intervention efficacy</w:t>
      </w:r>
    </w:p>
    <w:p w14:paraId="2AC86E63" w14:textId="4287F43C" w:rsidR="006147DC" w:rsidRPr="004C78D8" w:rsidRDefault="002A69F7" w:rsidP="00FB7C1F">
      <w:r w:rsidRPr="004C78D8">
        <w:t xml:space="preserve">The RCT efficacy evidence should match the model specification in terms of: (i) the main fall event of interest – e.g., any fall, recurrent fall, MA fall; (ii) the incidence metric – RR for falls risk </w:t>
      </w:r>
      <w:r w:rsidR="005B68C9" w:rsidRPr="004C78D8">
        <w:t>reduction</w:t>
      </w:r>
      <w:r w:rsidRPr="004C78D8">
        <w:t xml:space="preserve"> and </w:t>
      </w:r>
      <w:r w:rsidR="004C7089" w:rsidRPr="004C78D8">
        <w:t xml:space="preserve">RaR </w:t>
      </w:r>
      <w:r w:rsidRPr="004C78D8">
        <w:t>for falls rate</w:t>
      </w:r>
      <w:r w:rsidR="005B68C9" w:rsidRPr="004C78D8">
        <w:t xml:space="preserve"> reduction</w:t>
      </w:r>
      <w:r w:rsidRPr="004C78D8">
        <w:t xml:space="preserve"> </w:t>
      </w:r>
      <w:r w:rsidRPr="004C78D8">
        <w:fldChar w:fldCharType="begin"/>
      </w:r>
      <w:r w:rsidR="00C630FC" w:rsidRPr="004C78D8">
        <w:instrText xml:space="preserve"> ADDIN EN.CITE &lt;EndNote&gt;&lt;Cite&gt;&lt;Author&gt;Robertson&lt;/Author&gt;&lt;Year&gt;2005&lt;/Year&gt;&lt;RecNum&gt;703&lt;/RecNum&gt;&lt;DisplayText&gt;[407]&lt;/DisplayText&gt;&lt;record&gt;&lt;rec-number&gt;703&lt;/rec-number&gt;&lt;foreign-keys&gt;&lt;key app="EN" db-id="tdtrdw9aepptzbefsat599syza29sxsd2wsp" timestamp="1636736421"&gt;703&lt;/key&gt;&lt;/foreign-keys&gt;&lt;ref-type name="Journal Article"&gt;17&lt;/ref-type&gt;&lt;contributors&gt;&lt;authors&gt;&lt;author&gt;Robertson, M Clare&lt;/author&gt;&lt;author&gt;Campbell, A John&lt;/author&gt;&lt;author&gt;Herbison, Peter&lt;/author&gt;&lt;/authors&gt;&lt;/contributors&gt;&lt;titles&gt;&lt;title&gt;Statistical analysis of efficacy in falls prevention trials&lt;/title&gt;&lt;secondary-title&gt;The Journals of Gerontology Series A: Biological Sciences and Medical Sciences&lt;/secondary-title&gt;&lt;/titles&gt;&lt;periodical&gt;&lt;full-title&gt;The Journals of Gerontology Series A: Biological Sciences and Medical Sciences&lt;/full-title&gt;&lt;/periodical&gt;&lt;pages&gt;530-534&lt;/pages&gt;&lt;volume&gt;60&lt;/volume&gt;&lt;number&gt;4&lt;/number&gt;&lt;dates&gt;&lt;year&gt;2005&lt;/year&gt;&lt;/dates&gt;&lt;isbn&gt;1758-535X&lt;/isbn&gt;&lt;urls&gt;&lt;/urls&gt;&lt;/record&gt;&lt;/Cite&gt;&lt;/EndNote&gt;</w:instrText>
      </w:r>
      <w:r w:rsidRPr="004C78D8">
        <w:fldChar w:fldCharType="separate"/>
      </w:r>
      <w:r w:rsidR="00C630FC" w:rsidRPr="004C78D8">
        <w:rPr>
          <w:noProof/>
        </w:rPr>
        <w:t>[407]</w:t>
      </w:r>
      <w:r w:rsidRPr="004C78D8">
        <w:fldChar w:fldCharType="end"/>
      </w:r>
      <w:r w:rsidRPr="004C78D8">
        <w:t xml:space="preserve">; and (iii) efficacy duration – i.e., no longer than the RCT duration, unless implementation is sustained </w:t>
      </w:r>
      <w:r w:rsidRPr="004C78D8">
        <w:fldChar w:fldCharType="begin"/>
      </w:r>
      <w:r w:rsidR="00513646" w:rsidRPr="004C78D8">
        <w:instrText xml:space="preserve"> ADDIN EN.CITE &lt;EndNote&gt;&lt;Cite&gt;&lt;Author&gt;Davis&lt;/Author&gt;&lt;Year&gt;2011&lt;/Year&gt;&lt;RecNum&gt;286&lt;/RecNum&gt;&lt;DisplayText&gt;[105]&lt;/DisplayText&gt;&lt;record&gt;&lt;rec-number&gt;286&lt;/rec-number&gt;&lt;foreign-keys&gt;&lt;key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Pr="004C78D8">
        <w:fldChar w:fldCharType="separate"/>
      </w:r>
      <w:r w:rsidR="00513646" w:rsidRPr="004C78D8">
        <w:rPr>
          <w:noProof/>
        </w:rPr>
        <w:t>[105]</w:t>
      </w:r>
      <w:r w:rsidRPr="004C78D8">
        <w:fldChar w:fldCharType="end"/>
      </w:r>
      <w:r w:rsidRPr="004C78D8">
        <w:t xml:space="preserve">. </w:t>
      </w:r>
      <w:r w:rsidR="006A6D96" w:rsidRPr="004C78D8">
        <w:t xml:space="preserve">Table </w:t>
      </w:r>
      <w:r w:rsidR="00F56116" w:rsidRPr="004C78D8">
        <w:t>5</w:t>
      </w:r>
      <w:r w:rsidR="006A6D96" w:rsidRPr="004C78D8">
        <w:t>.35 summarises the efficacy data for base case analysis extracted from seven RCTs and one Cochrane meta-analysis.</w:t>
      </w:r>
    </w:p>
    <w:tbl>
      <w:tblPr>
        <w:tblStyle w:val="TableGrid"/>
        <w:tblW w:w="5000" w:type="pct"/>
        <w:tblLook w:val="04A0" w:firstRow="1" w:lastRow="0" w:firstColumn="1" w:lastColumn="0" w:noHBand="0" w:noVBand="1"/>
      </w:tblPr>
      <w:tblGrid>
        <w:gridCol w:w="1751"/>
        <w:gridCol w:w="1396"/>
        <w:gridCol w:w="1399"/>
        <w:gridCol w:w="1141"/>
        <w:gridCol w:w="1760"/>
        <w:gridCol w:w="1569"/>
      </w:tblGrid>
      <w:tr w:rsidR="00ED0F3B" w:rsidRPr="004C78D8" w14:paraId="7BA2427F" w14:textId="77777777" w:rsidTr="00E35893">
        <w:tc>
          <w:tcPr>
            <w:tcW w:w="5000" w:type="pct"/>
            <w:gridSpan w:val="6"/>
          </w:tcPr>
          <w:p w14:paraId="0D2C6819" w14:textId="74B17BA2" w:rsidR="00ED0F3B" w:rsidRPr="004C78D8" w:rsidRDefault="00ED0F3B" w:rsidP="00FB7C1F">
            <w:r w:rsidRPr="004C78D8">
              <w:rPr>
                <w:b/>
                <w:bCs/>
              </w:rPr>
              <w:t xml:space="preserve">Table </w:t>
            </w:r>
            <w:r w:rsidR="00F56116" w:rsidRPr="004C78D8">
              <w:rPr>
                <w:b/>
                <w:bCs/>
              </w:rPr>
              <w:t>5</w:t>
            </w:r>
            <w:r w:rsidRPr="004C78D8">
              <w:rPr>
                <w:b/>
                <w:bCs/>
              </w:rPr>
              <w:t>.3</w:t>
            </w:r>
            <w:r w:rsidR="00AA40D4" w:rsidRPr="004C78D8">
              <w:rPr>
                <w:b/>
                <w:bCs/>
              </w:rPr>
              <w:t>5</w:t>
            </w:r>
            <w:r w:rsidRPr="004C78D8">
              <w:t xml:space="preserve"> Falls prevention intervention efficacy parameters for base case analysis.</w:t>
            </w:r>
          </w:p>
        </w:tc>
      </w:tr>
      <w:tr w:rsidR="00ED0F3B" w:rsidRPr="004C78D8" w14:paraId="65218095" w14:textId="77777777" w:rsidTr="00E35893">
        <w:tc>
          <w:tcPr>
            <w:tcW w:w="971" w:type="pct"/>
          </w:tcPr>
          <w:p w14:paraId="1ADE03EA" w14:textId="77777777" w:rsidR="00ED0F3B" w:rsidRPr="004C78D8" w:rsidRDefault="00ED0F3B" w:rsidP="00FB7C1F">
            <w:pPr>
              <w:jc w:val="left"/>
              <w:rPr>
                <w:b/>
                <w:bCs/>
                <w:sz w:val="20"/>
                <w:szCs w:val="20"/>
              </w:rPr>
            </w:pPr>
            <w:r w:rsidRPr="004C78D8">
              <w:rPr>
                <w:b/>
                <w:bCs/>
                <w:sz w:val="20"/>
                <w:szCs w:val="20"/>
              </w:rPr>
              <w:t>Target population</w:t>
            </w:r>
          </w:p>
        </w:tc>
        <w:tc>
          <w:tcPr>
            <w:tcW w:w="774" w:type="pct"/>
          </w:tcPr>
          <w:p w14:paraId="5248F290" w14:textId="77777777" w:rsidR="00ED0F3B" w:rsidRPr="004C78D8" w:rsidRDefault="00ED0F3B" w:rsidP="00FB7C1F">
            <w:pPr>
              <w:jc w:val="left"/>
              <w:rPr>
                <w:b/>
                <w:bCs/>
                <w:sz w:val="20"/>
                <w:szCs w:val="20"/>
              </w:rPr>
            </w:pPr>
            <w:r w:rsidRPr="004C78D8">
              <w:rPr>
                <w:b/>
                <w:bCs/>
                <w:sz w:val="20"/>
                <w:szCs w:val="20"/>
              </w:rPr>
              <w:t>Intervention</w:t>
            </w:r>
          </w:p>
        </w:tc>
        <w:tc>
          <w:tcPr>
            <w:tcW w:w="776" w:type="pct"/>
          </w:tcPr>
          <w:p w14:paraId="538E4DE3" w14:textId="77777777" w:rsidR="00ED0F3B" w:rsidRPr="004C78D8" w:rsidRDefault="00ED0F3B" w:rsidP="00FB7C1F">
            <w:pPr>
              <w:jc w:val="left"/>
              <w:rPr>
                <w:b/>
                <w:bCs/>
                <w:sz w:val="20"/>
                <w:szCs w:val="20"/>
              </w:rPr>
            </w:pPr>
            <w:r w:rsidRPr="004C78D8">
              <w:rPr>
                <w:b/>
                <w:bCs/>
                <w:sz w:val="20"/>
                <w:szCs w:val="20"/>
              </w:rPr>
              <w:t>RCT source</w:t>
            </w:r>
          </w:p>
        </w:tc>
        <w:tc>
          <w:tcPr>
            <w:tcW w:w="633" w:type="pct"/>
          </w:tcPr>
          <w:p w14:paraId="2297829B" w14:textId="2FE4F7A7" w:rsidR="00ED0F3B" w:rsidRPr="004C78D8" w:rsidRDefault="00ED0F3B" w:rsidP="00FB7C1F">
            <w:pPr>
              <w:jc w:val="left"/>
              <w:rPr>
                <w:b/>
                <w:bCs/>
                <w:sz w:val="20"/>
                <w:szCs w:val="20"/>
              </w:rPr>
            </w:pPr>
            <w:r w:rsidRPr="004C78D8">
              <w:rPr>
                <w:b/>
                <w:bCs/>
                <w:sz w:val="20"/>
                <w:szCs w:val="20"/>
              </w:rPr>
              <w:t>Follow-up duration</w:t>
            </w:r>
          </w:p>
        </w:tc>
        <w:tc>
          <w:tcPr>
            <w:tcW w:w="976" w:type="pct"/>
          </w:tcPr>
          <w:p w14:paraId="154ED38F" w14:textId="36DEF631" w:rsidR="00ED0F3B" w:rsidRPr="004C78D8" w:rsidRDefault="00ED0F3B" w:rsidP="00FB7C1F">
            <w:pPr>
              <w:jc w:val="left"/>
              <w:rPr>
                <w:b/>
                <w:bCs/>
                <w:sz w:val="20"/>
                <w:szCs w:val="20"/>
              </w:rPr>
            </w:pPr>
            <w:r w:rsidRPr="004C78D8">
              <w:rPr>
                <w:b/>
                <w:bCs/>
                <w:sz w:val="20"/>
                <w:szCs w:val="20"/>
              </w:rPr>
              <w:t>Efficacy type</w:t>
            </w:r>
          </w:p>
        </w:tc>
        <w:tc>
          <w:tcPr>
            <w:tcW w:w="870" w:type="pct"/>
          </w:tcPr>
          <w:p w14:paraId="0C16E37A" w14:textId="17CCA697" w:rsidR="00ED0F3B" w:rsidRPr="004C78D8" w:rsidRDefault="00ED0F3B" w:rsidP="00FB7C1F">
            <w:pPr>
              <w:jc w:val="left"/>
              <w:rPr>
                <w:b/>
                <w:bCs/>
                <w:sz w:val="20"/>
                <w:szCs w:val="20"/>
              </w:rPr>
            </w:pPr>
            <w:r w:rsidRPr="004C78D8">
              <w:rPr>
                <w:b/>
                <w:bCs/>
                <w:sz w:val="20"/>
                <w:szCs w:val="20"/>
              </w:rPr>
              <w:t>RR (95% CInt)</w:t>
            </w:r>
          </w:p>
        </w:tc>
      </w:tr>
      <w:tr w:rsidR="00ED0F3B" w:rsidRPr="004C78D8" w14:paraId="53A866ED" w14:textId="77777777" w:rsidTr="00E35893">
        <w:tc>
          <w:tcPr>
            <w:tcW w:w="5000" w:type="pct"/>
            <w:gridSpan w:val="6"/>
            <w:tcBorders>
              <w:bottom w:val="single" w:sz="4" w:space="0" w:color="auto"/>
            </w:tcBorders>
          </w:tcPr>
          <w:p w14:paraId="514EB5FC" w14:textId="297A2EC1" w:rsidR="00ED0F3B" w:rsidRPr="004C78D8" w:rsidRDefault="00ED0F3B" w:rsidP="00FB7C1F">
            <w:pPr>
              <w:jc w:val="left"/>
              <w:rPr>
                <w:b/>
                <w:bCs/>
                <w:i/>
                <w:iCs/>
                <w:sz w:val="20"/>
                <w:szCs w:val="20"/>
              </w:rPr>
            </w:pPr>
            <w:r w:rsidRPr="004C78D8">
              <w:rPr>
                <w:b/>
                <w:bCs/>
                <w:i/>
                <w:iCs/>
                <w:sz w:val="20"/>
                <w:szCs w:val="20"/>
              </w:rPr>
              <w:t>Reactive pathway</w:t>
            </w:r>
          </w:p>
        </w:tc>
      </w:tr>
      <w:tr w:rsidR="00ED0F3B" w:rsidRPr="004C78D8" w14:paraId="63ED91B9" w14:textId="77777777" w:rsidTr="00E35893">
        <w:tc>
          <w:tcPr>
            <w:tcW w:w="971" w:type="pct"/>
            <w:tcBorders>
              <w:bottom w:val="nil"/>
            </w:tcBorders>
          </w:tcPr>
          <w:p w14:paraId="7E817EE4" w14:textId="77777777" w:rsidR="00ED0F3B" w:rsidRPr="004C78D8" w:rsidRDefault="00ED0F3B" w:rsidP="00FB7C1F">
            <w:pPr>
              <w:jc w:val="left"/>
              <w:rPr>
                <w:sz w:val="18"/>
                <w:szCs w:val="18"/>
              </w:rPr>
            </w:pPr>
            <w:r w:rsidRPr="004C78D8">
              <w:rPr>
                <w:sz w:val="18"/>
                <w:szCs w:val="18"/>
              </w:rPr>
              <w:t>MA fall patients (UC)</w:t>
            </w:r>
          </w:p>
        </w:tc>
        <w:tc>
          <w:tcPr>
            <w:tcW w:w="774" w:type="pct"/>
            <w:tcBorders>
              <w:bottom w:val="nil"/>
            </w:tcBorders>
          </w:tcPr>
          <w:p w14:paraId="48EDE724" w14:textId="77777777" w:rsidR="00ED0F3B" w:rsidRPr="004C78D8" w:rsidRDefault="00ED0F3B" w:rsidP="00FB7C1F">
            <w:pPr>
              <w:jc w:val="left"/>
              <w:rPr>
                <w:sz w:val="18"/>
                <w:szCs w:val="18"/>
              </w:rPr>
            </w:pPr>
            <w:r w:rsidRPr="004C78D8">
              <w:rPr>
                <w:sz w:val="18"/>
                <w:szCs w:val="18"/>
              </w:rPr>
              <w:t>HAM</w:t>
            </w:r>
          </w:p>
        </w:tc>
        <w:tc>
          <w:tcPr>
            <w:tcW w:w="776" w:type="pct"/>
            <w:vMerge w:val="restart"/>
          </w:tcPr>
          <w:p w14:paraId="69C922B9" w14:textId="5A7262CE" w:rsidR="00ED0F3B" w:rsidRPr="004C78D8" w:rsidRDefault="00ED0F3B" w:rsidP="00FB7C1F">
            <w:pPr>
              <w:jc w:val="left"/>
              <w:rPr>
                <w:sz w:val="18"/>
                <w:szCs w:val="18"/>
              </w:rPr>
            </w:pPr>
            <w:r w:rsidRPr="004C78D8">
              <w:rPr>
                <w:sz w:val="18"/>
                <w:szCs w:val="18"/>
              </w:rPr>
              <w:t xml:space="preserve">Lockwood (2009) </w:t>
            </w:r>
            <w:r w:rsidRPr="004C78D8">
              <w:rPr>
                <w:sz w:val="18"/>
                <w:szCs w:val="18"/>
              </w:rPr>
              <w:fldChar w:fldCharType="begin"/>
            </w:r>
            <w:r w:rsidR="00C630FC" w:rsidRPr="004C78D8">
              <w:rPr>
                <w:sz w:val="18"/>
                <w:szCs w:val="18"/>
              </w:rPr>
              <w:instrText xml:space="preserve"> ADDIN EN.CITE &lt;EndNote&gt;&lt;Cite&gt;&lt;Author&gt;Lockwood&lt;/Author&gt;&lt;Year&gt;2019&lt;/Year&gt;&lt;RecNum&gt;512&lt;/RecNum&gt;&lt;DisplayText&gt;[405]&lt;/DisplayText&gt;&lt;record&gt;&lt;rec-number&gt;512&lt;/rec-number&gt;&lt;foreign-keys&gt;&lt;key app="EN" db-id="tdtrdw9aepptzbefsat599syza29sxsd2wsp" timestamp="1617903216"&gt;512&lt;/key&gt;&lt;/foreign-keys&gt;&lt;ref-type name="Journal Article"&gt;17&lt;/ref-type&gt;&lt;contributors&gt;&lt;authors&gt;&lt;author&gt;Lockwood, Kylee J&lt;/author&gt;&lt;author&gt;Harding, Katherine E&lt;/author&gt;&lt;author&gt;Boyd, Jude N&lt;/author&gt;&lt;author&gt;Taylor, Nicholas F&lt;/author&gt;&lt;/authors&gt;&lt;/contributors&gt;&lt;titles&gt;&lt;title&gt;Predischarge home visits after hip fracture: a randomized controlled trial&lt;/title&gt;&lt;secondary-title&gt;Clinical rehabilitation&lt;/secondary-title&gt;&lt;/titles&gt;&lt;periodical&gt;&lt;full-title&gt;Clinical rehabilitation&lt;/full-title&gt;&lt;/periodical&gt;&lt;pages&gt;681-692&lt;/pages&gt;&lt;volume&gt;33&lt;/volume&gt;&lt;number&gt;4&lt;/number&gt;&lt;dates&gt;&lt;year&gt;2019&lt;/year&gt;&lt;/dates&gt;&lt;isbn&gt;0269-2155&lt;/isbn&gt;&lt;urls&gt;&lt;/urls&gt;&lt;/record&gt;&lt;/Cite&gt;&lt;/EndNote&gt;</w:instrText>
            </w:r>
            <w:r w:rsidRPr="004C78D8">
              <w:rPr>
                <w:sz w:val="18"/>
                <w:szCs w:val="18"/>
              </w:rPr>
              <w:fldChar w:fldCharType="separate"/>
            </w:r>
            <w:r w:rsidR="00C630FC" w:rsidRPr="004C78D8">
              <w:rPr>
                <w:noProof/>
                <w:sz w:val="18"/>
                <w:szCs w:val="18"/>
              </w:rPr>
              <w:t>[405]</w:t>
            </w:r>
            <w:r w:rsidRPr="004C78D8">
              <w:rPr>
                <w:sz w:val="18"/>
                <w:szCs w:val="18"/>
              </w:rPr>
              <w:fldChar w:fldCharType="end"/>
            </w:r>
          </w:p>
        </w:tc>
        <w:tc>
          <w:tcPr>
            <w:tcW w:w="633" w:type="pct"/>
            <w:vMerge w:val="restart"/>
          </w:tcPr>
          <w:p w14:paraId="7E092D61" w14:textId="3A518413" w:rsidR="00ED0F3B" w:rsidRPr="004C78D8" w:rsidRDefault="00ED0F3B" w:rsidP="00FB7C1F">
            <w:pPr>
              <w:jc w:val="left"/>
              <w:rPr>
                <w:sz w:val="18"/>
                <w:szCs w:val="18"/>
              </w:rPr>
            </w:pPr>
            <w:r w:rsidRPr="004C78D8">
              <w:rPr>
                <w:sz w:val="18"/>
                <w:szCs w:val="18"/>
              </w:rPr>
              <w:t>6 months</w:t>
            </w:r>
          </w:p>
        </w:tc>
        <w:tc>
          <w:tcPr>
            <w:tcW w:w="976" w:type="pct"/>
            <w:tcBorders>
              <w:bottom w:val="nil"/>
            </w:tcBorders>
          </w:tcPr>
          <w:p w14:paraId="6445FA75" w14:textId="41A8A686" w:rsidR="00ED0F3B" w:rsidRPr="004C78D8" w:rsidRDefault="00ED0F3B" w:rsidP="00FB7C1F">
            <w:pPr>
              <w:jc w:val="left"/>
              <w:rPr>
                <w:sz w:val="18"/>
                <w:szCs w:val="18"/>
              </w:rPr>
            </w:pPr>
            <w:r w:rsidRPr="004C78D8">
              <w:rPr>
                <w:sz w:val="18"/>
                <w:szCs w:val="18"/>
              </w:rPr>
              <w:t>RR – any faller</w:t>
            </w:r>
          </w:p>
        </w:tc>
        <w:tc>
          <w:tcPr>
            <w:tcW w:w="870" w:type="pct"/>
            <w:tcBorders>
              <w:bottom w:val="nil"/>
            </w:tcBorders>
          </w:tcPr>
          <w:p w14:paraId="6BA63FE1" w14:textId="77777777" w:rsidR="00ED0F3B" w:rsidRPr="004C78D8" w:rsidRDefault="00ED0F3B" w:rsidP="00FB7C1F">
            <w:pPr>
              <w:jc w:val="left"/>
              <w:rPr>
                <w:sz w:val="18"/>
                <w:szCs w:val="18"/>
              </w:rPr>
            </w:pPr>
            <w:r w:rsidRPr="004C78D8">
              <w:rPr>
                <w:sz w:val="18"/>
                <w:szCs w:val="18"/>
              </w:rPr>
              <w:t>0.828 (0.472-1.452)</w:t>
            </w:r>
          </w:p>
        </w:tc>
      </w:tr>
      <w:tr w:rsidR="00ED0F3B" w:rsidRPr="004C78D8" w14:paraId="6427A6C8" w14:textId="77777777" w:rsidTr="00E35893">
        <w:tc>
          <w:tcPr>
            <w:tcW w:w="971" w:type="pct"/>
            <w:tcBorders>
              <w:top w:val="nil"/>
              <w:bottom w:val="nil"/>
            </w:tcBorders>
          </w:tcPr>
          <w:p w14:paraId="2BFC5122" w14:textId="77777777" w:rsidR="00ED0F3B" w:rsidRPr="004C78D8" w:rsidRDefault="00ED0F3B" w:rsidP="00FB7C1F">
            <w:pPr>
              <w:jc w:val="left"/>
              <w:rPr>
                <w:sz w:val="18"/>
                <w:szCs w:val="18"/>
              </w:rPr>
            </w:pPr>
          </w:p>
        </w:tc>
        <w:tc>
          <w:tcPr>
            <w:tcW w:w="774" w:type="pct"/>
            <w:tcBorders>
              <w:top w:val="nil"/>
              <w:bottom w:val="nil"/>
            </w:tcBorders>
          </w:tcPr>
          <w:p w14:paraId="09C1408C" w14:textId="77777777" w:rsidR="00ED0F3B" w:rsidRPr="004C78D8" w:rsidRDefault="00ED0F3B" w:rsidP="00FB7C1F">
            <w:pPr>
              <w:jc w:val="left"/>
              <w:rPr>
                <w:sz w:val="18"/>
                <w:szCs w:val="18"/>
              </w:rPr>
            </w:pPr>
          </w:p>
        </w:tc>
        <w:tc>
          <w:tcPr>
            <w:tcW w:w="776" w:type="pct"/>
            <w:vMerge/>
            <w:tcBorders>
              <w:bottom w:val="nil"/>
            </w:tcBorders>
          </w:tcPr>
          <w:p w14:paraId="55D6015E" w14:textId="77777777" w:rsidR="00ED0F3B" w:rsidRPr="004C78D8" w:rsidRDefault="00ED0F3B" w:rsidP="00FB7C1F">
            <w:pPr>
              <w:jc w:val="left"/>
              <w:rPr>
                <w:sz w:val="18"/>
                <w:szCs w:val="18"/>
              </w:rPr>
            </w:pPr>
          </w:p>
        </w:tc>
        <w:tc>
          <w:tcPr>
            <w:tcW w:w="633" w:type="pct"/>
            <w:vMerge/>
            <w:tcBorders>
              <w:bottom w:val="nil"/>
            </w:tcBorders>
          </w:tcPr>
          <w:p w14:paraId="596EB462" w14:textId="77777777" w:rsidR="00ED0F3B" w:rsidRPr="004C78D8" w:rsidRDefault="00ED0F3B" w:rsidP="00FB7C1F">
            <w:pPr>
              <w:jc w:val="left"/>
              <w:rPr>
                <w:sz w:val="18"/>
                <w:szCs w:val="18"/>
              </w:rPr>
            </w:pPr>
          </w:p>
        </w:tc>
        <w:tc>
          <w:tcPr>
            <w:tcW w:w="976" w:type="pct"/>
            <w:tcBorders>
              <w:top w:val="nil"/>
              <w:bottom w:val="nil"/>
            </w:tcBorders>
          </w:tcPr>
          <w:p w14:paraId="0DFF4A12" w14:textId="411EE61D" w:rsidR="00ED0F3B" w:rsidRPr="004C78D8" w:rsidRDefault="00ED0F3B" w:rsidP="00FB7C1F">
            <w:pPr>
              <w:jc w:val="left"/>
              <w:rPr>
                <w:sz w:val="18"/>
                <w:szCs w:val="18"/>
              </w:rPr>
            </w:pPr>
            <w:r w:rsidRPr="004C78D8">
              <w:rPr>
                <w:sz w:val="18"/>
                <w:szCs w:val="18"/>
              </w:rPr>
              <w:t>RR – recurrent faller given any fall</w:t>
            </w:r>
            <w:r w:rsidRPr="004C78D8">
              <w:rPr>
                <w:sz w:val="18"/>
                <w:szCs w:val="18"/>
                <w:vertAlign w:val="superscript"/>
              </w:rPr>
              <w:t>1</w:t>
            </w:r>
          </w:p>
        </w:tc>
        <w:tc>
          <w:tcPr>
            <w:tcW w:w="870" w:type="pct"/>
            <w:tcBorders>
              <w:top w:val="nil"/>
              <w:bottom w:val="nil"/>
            </w:tcBorders>
          </w:tcPr>
          <w:p w14:paraId="15C93CA1" w14:textId="77777777" w:rsidR="00ED0F3B" w:rsidRPr="004C78D8" w:rsidRDefault="00ED0F3B" w:rsidP="00FB7C1F">
            <w:pPr>
              <w:jc w:val="left"/>
              <w:rPr>
                <w:sz w:val="18"/>
                <w:szCs w:val="18"/>
              </w:rPr>
            </w:pPr>
            <w:r w:rsidRPr="004C78D8">
              <w:rPr>
                <w:sz w:val="18"/>
                <w:szCs w:val="18"/>
              </w:rPr>
              <w:t>1.383 (0.788-2.427)</w:t>
            </w:r>
          </w:p>
        </w:tc>
      </w:tr>
      <w:tr w:rsidR="00ED0F3B" w:rsidRPr="004C78D8" w14:paraId="555DA56C" w14:textId="77777777" w:rsidTr="00E35893">
        <w:tc>
          <w:tcPr>
            <w:tcW w:w="971" w:type="pct"/>
            <w:vMerge w:val="restart"/>
            <w:tcBorders>
              <w:top w:val="nil"/>
              <w:bottom w:val="nil"/>
            </w:tcBorders>
          </w:tcPr>
          <w:p w14:paraId="60362CA2" w14:textId="33D90A4F" w:rsidR="00ED0F3B" w:rsidRPr="004C78D8" w:rsidRDefault="00ED0F3B" w:rsidP="00FB7C1F">
            <w:pPr>
              <w:jc w:val="left"/>
              <w:rPr>
                <w:sz w:val="18"/>
                <w:szCs w:val="18"/>
              </w:rPr>
            </w:pPr>
            <w:r w:rsidRPr="004C78D8">
              <w:rPr>
                <w:sz w:val="18"/>
                <w:szCs w:val="18"/>
              </w:rPr>
              <w:t>Cognitively intact MA fall patients (RC)</w:t>
            </w:r>
          </w:p>
        </w:tc>
        <w:tc>
          <w:tcPr>
            <w:tcW w:w="774" w:type="pct"/>
            <w:vMerge w:val="restart"/>
            <w:tcBorders>
              <w:top w:val="nil"/>
              <w:bottom w:val="nil"/>
            </w:tcBorders>
          </w:tcPr>
          <w:p w14:paraId="195B24DC" w14:textId="77777777" w:rsidR="00ED0F3B" w:rsidRPr="004C78D8" w:rsidRDefault="00ED0F3B" w:rsidP="00FB7C1F">
            <w:pPr>
              <w:jc w:val="left"/>
              <w:rPr>
                <w:sz w:val="18"/>
                <w:szCs w:val="18"/>
              </w:rPr>
            </w:pPr>
            <w:r w:rsidRPr="004C78D8">
              <w:rPr>
                <w:sz w:val="18"/>
                <w:szCs w:val="18"/>
              </w:rPr>
              <w:t>Multifactorial intervention</w:t>
            </w:r>
          </w:p>
        </w:tc>
        <w:tc>
          <w:tcPr>
            <w:tcW w:w="776" w:type="pct"/>
            <w:vMerge w:val="restart"/>
            <w:tcBorders>
              <w:top w:val="nil"/>
              <w:bottom w:val="nil"/>
            </w:tcBorders>
          </w:tcPr>
          <w:p w14:paraId="58A1D5E0" w14:textId="6DBFCD78" w:rsidR="00ED0F3B" w:rsidRPr="004C78D8" w:rsidRDefault="00ED0F3B" w:rsidP="00FB7C1F">
            <w:pPr>
              <w:jc w:val="left"/>
              <w:rPr>
                <w:sz w:val="18"/>
                <w:szCs w:val="18"/>
              </w:rPr>
            </w:pPr>
            <w:r w:rsidRPr="004C78D8">
              <w:rPr>
                <w:sz w:val="18"/>
                <w:szCs w:val="18"/>
              </w:rPr>
              <w:t xml:space="preserve">Close (1999) </w:t>
            </w:r>
            <w:r w:rsidRPr="004C78D8">
              <w:rPr>
                <w:sz w:val="18"/>
                <w:szCs w:val="18"/>
              </w:rPr>
              <w:fldChar w:fldCharType="begin"/>
            </w:r>
            <w:r w:rsidR="00513646" w:rsidRPr="004C78D8">
              <w:rPr>
                <w:sz w:val="18"/>
                <w:szCs w:val="18"/>
              </w:rPr>
              <w:instrText xml:space="preserve"> ADDIN EN.CITE &lt;EndNote&gt;&lt;Cite&gt;&lt;Author&gt;Close&lt;/Author&gt;&lt;Year&gt;1999&lt;/Year&gt;&lt;RecNum&gt;513&lt;/RecNum&gt;&lt;DisplayText&gt;[62]&lt;/DisplayText&gt;&lt;record&gt;&lt;rec-number&gt;513&lt;/rec-number&gt;&lt;foreign-keys&gt;&lt;key app="EN" db-id="tdtrdw9aepptzbefsat599syza29sxsd2wsp" timestamp="1617903389"&gt;513&lt;/key&gt;&lt;/foreign-keys&gt;&lt;ref-type name="Journal Article"&gt;17&lt;/ref-type&gt;&lt;contributors&gt;&lt;authors&gt;&lt;author&gt;Close, J.&lt;/author&gt;&lt;author&gt;Ellis, M.&lt;/author&gt;&lt;author&gt;Hooper, R.&lt;/author&gt;&lt;author&gt;Glucksman, E.&lt;/author&gt;&lt;author&gt;Jackson, S.&lt;/author&gt;&lt;author&gt;Swift, C.&lt;/author&gt;&lt;/authors&gt;&lt;/contributors&gt;&lt;auth-address&gt;Department of Health Care of the Elderly, Guy&amp;apos;s King&amp;apos;s, and St Thomas&amp;apos; School of Medicine, King&amp;apos;s College Hospital, London, UK. jacqueline.close@kcl.ac.uk&lt;/auth-address&gt;&lt;titles&gt;&lt;title&gt;Prevention of falls in the elderly trial (PROFET): a randomised controlled trial&lt;/title&gt;&lt;secondary-title&gt;Lancet&lt;/secondary-title&gt;&lt;/titles&gt;&lt;periodical&gt;&lt;full-title&gt;Lancet&lt;/full-title&gt;&lt;/periodical&gt;&lt;pages&gt;93-7&lt;/pages&gt;&lt;volume&gt;353&lt;/volume&gt;&lt;number&gt;9147&lt;/number&gt;&lt;keywords&gt;&lt;keyword&gt;Accidental Falls/*prevention &amp;amp; control&lt;/keyword&gt;&lt;keyword&gt;Activities of Daily Living/classification&lt;/keyword&gt;&lt;keyword&gt;Aged&lt;/keyword&gt;&lt;keyword&gt;Aged, 80 and over&lt;/keyword&gt;&lt;keyword&gt;Female&lt;/keyword&gt;&lt;keyword&gt;*Frail Elderly&lt;/keyword&gt;&lt;keyword&gt;Geriatric Assessment&lt;/keyword&gt;&lt;keyword&gt;Humans&lt;/keyword&gt;&lt;keyword&gt;Male&lt;/keyword&gt;&lt;keyword&gt;Occupational Therapy&lt;/keyword&gt;&lt;keyword&gt;*Patient Care Team&lt;/keyword&gt;&lt;keyword&gt;Recurrence&lt;/keyword&gt;&lt;keyword&gt;Referral and Consultation&lt;/keyword&gt;&lt;keyword&gt;Treatment Outcome&lt;/keyword&gt;&lt;/keywords&gt;&lt;dates&gt;&lt;year&gt;1999&lt;/year&gt;&lt;pub-dates&gt;&lt;date&gt;Jan 9&lt;/date&gt;&lt;/pub-dates&gt;&lt;/dates&gt;&lt;isbn&gt;0140-6736 (Print)&amp;#xD;0140-6736 (Linking)&lt;/isbn&gt;&lt;accession-num&gt;10023893&lt;/accession-num&gt;&lt;urls&gt;&lt;related-urls&gt;&lt;url&gt;https://www.ncbi.nlm.nih.gov/pubmed/10023893&lt;/url&gt;&lt;/related-urls&gt;&lt;/urls&gt;&lt;electronic-resource-num&gt;10.1016/S0140-6736(98)06119-4&lt;/electronic-resource-num&gt;&lt;/record&gt;&lt;/Cite&gt;&lt;/EndNote&gt;</w:instrText>
            </w:r>
            <w:r w:rsidRPr="004C78D8">
              <w:rPr>
                <w:sz w:val="18"/>
                <w:szCs w:val="18"/>
              </w:rPr>
              <w:fldChar w:fldCharType="separate"/>
            </w:r>
            <w:r w:rsidR="00513646" w:rsidRPr="004C78D8">
              <w:rPr>
                <w:noProof/>
                <w:sz w:val="18"/>
                <w:szCs w:val="18"/>
              </w:rPr>
              <w:t>[62]</w:t>
            </w:r>
            <w:r w:rsidRPr="004C78D8">
              <w:rPr>
                <w:sz w:val="18"/>
                <w:szCs w:val="18"/>
              </w:rPr>
              <w:fldChar w:fldCharType="end"/>
            </w:r>
          </w:p>
        </w:tc>
        <w:tc>
          <w:tcPr>
            <w:tcW w:w="633" w:type="pct"/>
            <w:tcBorders>
              <w:top w:val="nil"/>
              <w:bottom w:val="nil"/>
            </w:tcBorders>
          </w:tcPr>
          <w:p w14:paraId="4D6E49BE" w14:textId="6DE8F53F" w:rsidR="00ED0F3B" w:rsidRPr="004C78D8" w:rsidRDefault="00ED0F3B" w:rsidP="00FB7C1F">
            <w:pPr>
              <w:jc w:val="left"/>
              <w:rPr>
                <w:sz w:val="18"/>
                <w:szCs w:val="18"/>
              </w:rPr>
            </w:pPr>
            <w:r w:rsidRPr="004C78D8">
              <w:rPr>
                <w:sz w:val="18"/>
                <w:szCs w:val="18"/>
              </w:rPr>
              <w:t>12 months</w:t>
            </w:r>
          </w:p>
        </w:tc>
        <w:tc>
          <w:tcPr>
            <w:tcW w:w="976" w:type="pct"/>
            <w:tcBorders>
              <w:top w:val="nil"/>
              <w:bottom w:val="nil"/>
            </w:tcBorders>
          </w:tcPr>
          <w:p w14:paraId="5396D6EE" w14:textId="070B093E" w:rsidR="00ED0F3B" w:rsidRPr="004C78D8" w:rsidRDefault="00ED0F3B" w:rsidP="00FB7C1F">
            <w:pPr>
              <w:jc w:val="left"/>
              <w:rPr>
                <w:sz w:val="18"/>
                <w:szCs w:val="18"/>
              </w:rPr>
            </w:pPr>
            <w:r w:rsidRPr="004C78D8">
              <w:rPr>
                <w:sz w:val="18"/>
                <w:szCs w:val="18"/>
              </w:rPr>
              <w:t>RR – any faller</w:t>
            </w:r>
          </w:p>
        </w:tc>
        <w:tc>
          <w:tcPr>
            <w:tcW w:w="870" w:type="pct"/>
            <w:tcBorders>
              <w:top w:val="nil"/>
              <w:bottom w:val="nil"/>
            </w:tcBorders>
          </w:tcPr>
          <w:p w14:paraId="5CC03928" w14:textId="77777777" w:rsidR="00ED0F3B" w:rsidRPr="004C78D8" w:rsidRDefault="00ED0F3B" w:rsidP="00FB7C1F">
            <w:pPr>
              <w:jc w:val="left"/>
              <w:rPr>
                <w:sz w:val="18"/>
                <w:szCs w:val="18"/>
              </w:rPr>
            </w:pPr>
            <w:r w:rsidRPr="004C78D8">
              <w:rPr>
                <w:sz w:val="18"/>
                <w:szCs w:val="18"/>
              </w:rPr>
              <w:t>0.615 (0.485-0.793)</w:t>
            </w:r>
          </w:p>
        </w:tc>
      </w:tr>
      <w:tr w:rsidR="00ED0F3B" w:rsidRPr="004C78D8" w14:paraId="0032F81C" w14:textId="77777777" w:rsidTr="00E35893">
        <w:tc>
          <w:tcPr>
            <w:tcW w:w="971" w:type="pct"/>
            <w:vMerge/>
            <w:tcBorders>
              <w:top w:val="nil"/>
              <w:bottom w:val="nil"/>
            </w:tcBorders>
          </w:tcPr>
          <w:p w14:paraId="049FFDAD" w14:textId="77777777" w:rsidR="00ED0F3B" w:rsidRPr="004C78D8" w:rsidRDefault="00ED0F3B" w:rsidP="00FB7C1F">
            <w:pPr>
              <w:jc w:val="left"/>
              <w:rPr>
                <w:sz w:val="18"/>
                <w:szCs w:val="18"/>
              </w:rPr>
            </w:pPr>
          </w:p>
        </w:tc>
        <w:tc>
          <w:tcPr>
            <w:tcW w:w="774" w:type="pct"/>
            <w:vMerge/>
            <w:tcBorders>
              <w:top w:val="nil"/>
              <w:bottom w:val="nil"/>
            </w:tcBorders>
          </w:tcPr>
          <w:p w14:paraId="08D3765F" w14:textId="77777777" w:rsidR="00ED0F3B" w:rsidRPr="004C78D8" w:rsidRDefault="00ED0F3B" w:rsidP="00FB7C1F">
            <w:pPr>
              <w:jc w:val="left"/>
              <w:rPr>
                <w:sz w:val="18"/>
                <w:szCs w:val="18"/>
              </w:rPr>
            </w:pPr>
          </w:p>
        </w:tc>
        <w:tc>
          <w:tcPr>
            <w:tcW w:w="776" w:type="pct"/>
            <w:vMerge/>
            <w:tcBorders>
              <w:top w:val="nil"/>
              <w:bottom w:val="nil"/>
            </w:tcBorders>
          </w:tcPr>
          <w:p w14:paraId="3370C78B" w14:textId="77777777" w:rsidR="00ED0F3B" w:rsidRPr="004C78D8" w:rsidRDefault="00ED0F3B" w:rsidP="00FB7C1F">
            <w:pPr>
              <w:jc w:val="left"/>
              <w:rPr>
                <w:sz w:val="18"/>
                <w:szCs w:val="18"/>
              </w:rPr>
            </w:pPr>
          </w:p>
        </w:tc>
        <w:tc>
          <w:tcPr>
            <w:tcW w:w="633" w:type="pct"/>
            <w:tcBorders>
              <w:top w:val="nil"/>
              <w:bottom w:val="nil"/>
            </w:tcBorders>
          </w:tcPr>
          <w:p w14:paraId="4A9F6208" w14:textId="77777777" w:rsidR="00ED0F3B" w:rsidRPr="004C78D8" w:rsidRDefault="00ED0F3B" w:rsidP="00FB7C1F">
            <w:pPr>
              <w:jc w:val="left"/>
              <w:rPr>
                <w:sz w:val="18"/>
                <w:szCs w:val="18"/>
              </w:rPr>
            </w:pPr>
          </w:p>
        </w:tc>
        <w:tc>
          <w:tcPr>
            <w:tcW w:w="976" w:type="pct"/>
            <w:tcBorders>
              <w:top w:val="nil"/>
              <w:bottom w:val="nil"/>
            </w:tcBorders>
          </w:tcPr>
          <w:p w14:paraId="08A3FFB5" w14:textId="1B0FDD09" w:rsidR="00ED0F3B" w:rsidRPr="004C78D8" w:rsidRDefault="00ED0F3B" w:rsidP="00FB7C1F">
            <w:pPr>
              <w:jc w:val="left"/>
              <w:rPr>
                <w:sz w:val="18"/>
                <w:szCs w:val="18"/>
              </w:rPr>
            </w:pPr>
            <w:r w:rsidRPr="004C78D8">
              <w:rPr>
                <w:sz w:val="18"/>
                <w:szCs w:val="18"/>
              </w:rPr>
              <w:t>RR – recurrent faller given any fall</w:t>
            </w:r>
            <w:r w:rsidRPr="004C78D8">
              <w:rPr>
                <w:sz w:val="18"/>
                <w:szCs w:val="18"/>
                <w:vertAlign w:val="superscript"/>
              </w:rPr>
              <w:t>2</w:t>
            </w:r>
          </w:p>
        </w:tc>
        <w:tc>
          <w:tcPr>
            <w:tcW w:w="870" w:type="pct"/>
            <w:tcBorders>
              <w:top w:val="nil"/>
              <w:bottom w:val="nil"/>
            </w:tcBorders>
          </w:tcPr>
          <w:p w14:paraId="16957EED" w14:textId="77777777" w:rsidR="00ED0F3B" w:rsidRPr="004C78D8" w:rsidRDefault="00ED0F3B" w:rsidP="00FB7C1F">
            <w:pPr>
              <w:jc w:val="left"/>
              <w:rPr>
                <w:sz w:val="18"/>
                <w:szCs w:val="18"/>
              </w:rPr>
            </w:pPr>
            <w:r w:rsidRPr="004C78D8">
              <w:rPr>
                <w:sz w:val="18"/>
                <w:szCs w:val="18"/>
              </w:rPr>
              <w:t>0.719 (0.486-1.063)</w:t>
            </w:r>
          </w:p>
        </w:tc>
      </w:tr>
      <w:tr w:rsidR="00ED0F3B" w:rsidRPr="004C78D8" w14:paraId="60859741" w14:textId="77777777" w:rsidTr="00E35893">
        <w:tc>
          <w:tcPr>
            <w:tcW w:w="971" w:type="pct"/>
            <w:vMerge/>
            <w:tcBorders>
              <w:top w:val="nil"/>
              <w:bottom w:val="nil"/>
            </w:tcBorders>
          </w:tcPr>
          <w:p w14:paraId="3E64EB84" w14:textId="77777777" w:rsidR="00ED0F3B" w:rsidRPr="004C78D8" w:rsidRDefault="00ED0F3B" w:rsidP="00FB7C1F">
            <w:pPr>
              <w:jc w:val="left"/>
              <w:rPr>
                <w:sz w:val="18"/>
                <w:szCs w:val="18"/>
              </w:rPr>
            </w:pPr>
          </w:p>
        </w:tc>
        <w:tc>
          <w:tcPr>
            <w:tcW w:w="774" w:type="pct"/>
            <w:vMerge/>
            <w:tcBorders>
              <w:top w:val="nil"/>
              <w:bottom w:val="nil"/>
            </w:tcBorders>
          </w:tcPr>
          <w:p w14:paraId="40ABFA46" w14:textId="77777777" w:rsidR="00ED0F3B" w:rsidRPr="004C78D8" w:rsidRDefault="00ED0F3B" w:rsidP="00FB7C1F">
            <w:pPr>
              <w:jc w:val="left"/>
              <w:rPr>
                <w:sz w:val="18"/>
                <w:szCs w:val="18"/>
              </w:rPr>
            </w:pPr>
          </w:p>
        </w:tc>
        <w:tc>
          <w:tcPr>
            <w:tcW w:w="776" w:type="pct"/>
            <w:vMerge/>
            <w:tcBorders>
              <w:top w:val="nil"/>
              <w:bottom w:val="nil"/>
            </w:tcBorders>
          </w:tcPr>
          <w:p w14:paraId="20AD370F" w14:textId="77777777" w:rsidR="00ED0F3B" w:rsidRPr="004C78D8" w:rsidRDefault="00ED0F3B" w:rsidP="00FB7C1F">
            <w:pPr>
              <w:jc w:val="left"/>
              <w:rPr>
                <w:sz w:val="18"/>
                <w:szCs w:val="18"/>
              </w:rPr>
            </w:pPr>
          </w:p>
        </w:tc>
        <w:tc>
          <w:tcPr>
            <w:tcW w:w="633" w:type="pct"/>
            <w:tcBorders>
              <w:top w:val="nil"/>
              <w:bottom w:val="nil"/>
            </w:tcBorders>
          </w:tcPr>
          <w:p w14:paraId="68D9B8E8" w14:textId="77777777" w:rsidR="00ED0F3B" w:rsidRPr="004C78D8" w:rsidRDefault="00ED0F3B" w:rsidP="00FB7C1F">
            <w:pPr>
              <w:jc w:val="left"/>
              <w:rPr>
                <w:sz w:val="18"/>
                <w:szCs w:val="18"/>
              </w:rPr>
            </w:pPr>
          </w:p>
        </w:tc>
        <w:tc>
          <w:tcPr>
            <w:tcW w:w="976" w:type="pct"/>
            <w:tcBorders>
              <w:top w:val="nil"/>
              <w:bottom w:val="nil"/>
            </w:tcBorders>
          </w:tcPr>
          <w:p w14:paraId="3025F5F2" w14:textId="5F80BCD9" w:rsidR="00ED0F3B" w:rsidRPr="004C78D8" w:rsidRDefault="00ED0F3B" w:rsidP="00FB7C1F">
            <w:pPr>
              <w:jc w:val="left"/>
              <w:rPr>
                <w:sz w:val="18"/>
                <w:szCs w:val="18"/>
              </w:rPr>
            </w:pPr>
            <w:r w:rsidRPr="004C78D8">
              <w:rPr>
                <w:sz w:val="18"/>
                <w:szCs w:val="18"/>
              </w:rPr>
              <w:t>RR – MA faller given any fall</w:t>
            </w:r>
          </w:p>
        </w:tc>
        <w:tc>
          <w:tcPr>
            <w:tcW w:w="870" w:type="pct"/>
            <w:tcBorders>
              <w:top w:val="nil"/>
              <w:bottom w:val="nil"/>
            </w:tcBorders>
          </w:tcPr>
          <w:p w14:paraId="3B5900EF" w14:textId="77777777" w:rsidR="00ED0F3B" w:rsidRPr="004C78D8" w:rsidRDefault="00ED0F3B" w:rsidP="00FB7C1F">
            <w:pPr>
              <w:jc w:val="left"/>
              <w:rPr>
                <w:sz w:val="18"/>
                <w:szCs w:val="18"/>
              </w:rPr>
            </w:pPr>
            <w:r w:rsidRPr="004C78D8">
              <w:rPr>
                <w:sz w:val="18"/>
                <w:szCs w:val="18"/>
              </w:rPr>
              <w:t>0.942 (0.428-2.071)</w:t>
            </w:r>
          </w:p>
        </w:tc>
      </w:tr>
      <w:tr w:rsidR="00ED0F3B" w:rsidRPr="004C78D8" w14:paraId="35F372B0" w14:textId="77777777" w:rsidTr="00E35893">
        <w:tc>
          <w:tcPr>
            <w:tcW w:w="971" w:type="pct"/>
            <w:vMerge w:val="restart"/>
            <w:tcBorders>
              <w:top w:val="nil"/>
            </w:tcBorders>
          </w:tcPr>
          <w:p w14:paraId="00088EEE" w14:textId="020D6BF3" w:rsidR="00ED0F3B" w:rsidRPr="004C78D8" w:rsidRDefault="00ED0F3B" w:rsidP="00FB7C1F">
            <w:pPr>
              <w:jc w:val="left"/>
              <w:rPr>
                <w:sz w:val="18"/>
                <w:szCs w:val="18"/>
              </w:rPr>
            </w:pPr>
            <w:r w:rsidRPr="004C78D8">
              <w:rPr>
                <w:sz w:val="18"/>
                <w:szCs w:val="18"/>
              </w:rPr>
              <w:t>Cognitively impaired MA fall patients (RC)</w:t>
            </w:r>
          </w:p>
        </w:tc>
        <w:tc>
          <w:tcPr>
            <w:tcW w:w="774" w:type="pct"/>
            <w:vMerge w:val="restart"/>
            <w:tcBorders>
              <w:top w:val="nil"/>
            </w:tcBorders>
          </w:tcPr>
          <w:p w14:paraId="635FECAB" w14:textId="77777777" w:rsidR="00ED0F3B" w:rsidRPr="004C78D8" w:rsidRDefault="00ED0F3B" w:rsidP="00FB7C1F">
            <w:pPr>
              <w:jc w:val="left"/>
              <w:rPr>
                <w:sz w:val="18"/>
                <w:szCs w:val="18"/>
              </w:rPr>
            </w:pPr>
            <w:r w:rsidRPr="004C78D8">
              <w:rPr>
                <w:sz w:val="18"/>
                <w:szCs w:val="18"/>
              </w:rPr>
              <w:t>Multifactorial intervention</w:t>
            </w:r>
          </w:p>
        </w:tc>
        <w:tc>
          <w:tcPr>
            <w:tcW w:w="776" w:type="pct"/>
            <w:vMerge w:val="restart"/>
            <w:tcBorders>
              <w:top w:val="nil"/>
            </w:tcBorders>
          </w:tcPr>
          <w:p w14:paraId="72073C67" w14:textId="76D77876" w:rsidR="00ED0F3B" w:rsidRPr="004C78D8" w:rsidRDefault="00ED0F3B" w:rsidP="00FB7C1F">
            <w:pPr>
              <w:jc w:val="left"/>
              <w:rPr>
                <w:sz w:val="18"/>
                <w:szCs w:val="18"/>
              </w:rPr>
            </w:pPr>
            <w:r w:rsidRPr="004C78D8">
              <w:rPr>
                <w:sz w:val="18"/>
                <w:szCs w:val="18"/>
              </w:rPr>
              <w:t xml:space="preserve">Shaw (2003) </w:t>
            </w:r>
            <w:r w:rsidRPr="004C78D8">
              <w:rPr>
                <w:sz w:val="18"/>
                <w:szCs w:val="18"/>
              </w:rPr>
              <w:fldChar w:fldCharType="begin"/>
            </w:r>
            <w:r w:rsidR="00C630FC" w:rsidRPr="004C78D8">
              <w:rPr>
                <w:sz w:val="18"/>
                <w:szCs w:val="18"/>
              </w:rPr>
              <w:instrText xml:space="preserve"> ADDIN EN.CITE &lt;EndNote&gt;&lt;Cite&gt;&lt;Author&gt;Shaw&lt;/Author&gt;&lt;Year&gt;2003&lt;/Year&gt;&lt;RecNum&gt;514&lt;/RecNum&gt;&lt;DisplayText&gt;[384]&lt;/DisplayText&gt;&lt;record&gt;&lt;rec-number&gt;514&lt;/rec-number&gt;&lt;foreign-keys&gt;&lt;key app="EN" db-id="tdtrdw9aepptzbefsat599syza29sxsd2wsp" timestamp="1617903616"&gt;514&lt;/key&gt;&lt;/foreign-keys&gt;&lt;ref-type name="Journal Article"&gt;17&lt;/ref-type&gt;&lt;contributors&gt;&lt;authors&gt;&lt;author&gt;Shaw, Fiona E&lt;/author&gt;&lt;author&gt;Bond, John&lt;/author&gt;&lt;author&gt;Richardson, David A&lt;/author&gt;&lt;author&gt;Dawson, Pamela&lt;/author&gt;&lt;author&gt;Steen, I Nicholas&lt;/author&gt;&lt;author&gt;McKeith, Ian G&lt;/author&gt;&lt;author&gt;Kenny, Rose Anne&lt;/author&gt;&lt;/authors&gt;&lt;/contributors&gt;&lt;titles&gt;&lt;title&gt;Multifactorial intervention after a fall in older people with cognitive impairment and dementia presenting to the accident and emergency department: randomised controlled trial&lt;/title&gt;&lt;secondary-title&gt;BMJ: British medical journal&lt;/secondary-title&gt;&lt;/titles&gt;&lt;periodical&gt;&lt;full-title&gt;BMJ: British medical journal&lt;/full-title&gt;&lt;/periodical&gt;&lt;pages&gt;73&lt;/pages&gt;&lt;volume&gt;326&lt;/volume&gt;&lt;number&gt;7380&lt;/number&gt;&lt;dates&gt;&lt;year&gt;2003&lt;/year&gt;&lt;/dates&gt;&lt;urls&gt;&lt;/urls&gt;&lt;/record&gt;&lt;/Cite&gt;&lt;/EndNote&gt;</w:instrText>
            </w:r>
            <w:r w:rsidRPr="004C78D8">
              <w:rPr>
                <w:sz w:val="18"/>
                <w:szCs w:val="18"/>
              </w:rPr>
              <w:fldChar w:fldCharType="separate"/>
            </w:r>
            <w:r w:rsidR="00C630FC" w:rsidRPr="004C78D8">
              <w:rPr>
                <w:noProof/>
                <w:sz w:val="18"/>
                <w:szCs w:val="18"/>
              </w:rPr>
              <w:t>[384]</w:t>
            </w:r>
            <w:r w:rsidRPr="004C78D8">
              <w:rPr>
                <w:sz w:val="18"/>
                <w:szCs w:val="18"/>
              </w:rPr>
              <w:fldChar w:fldCharType="end"/>
            </w:r>
          </w:p>
        </w:tc>
        <w:tc>
          <w:tcPr>
            <w:tcW w:w="633" w:type="pct"/>
            <w:vMerge w:val="restart"/>
            <w:tcBorders>
              <w:top w:val="nil"/>
            </w:tcBorders>
          </w:tcPr>
          <w:p w14:paraId="66532125" w14:textId="7EAAF24B" w:rsidR="00ED0F3B" w:rsidRPr="004C78D8" w:rsidRDefault="00ED0F3B" w:rsidP="00FB7C1F">
            <w:pPr>
              <w:jc w:val="left"/>
              <w:rPr>
                <w:sz w:val="18"/>
                <w:szCs w:val="18"/>
              </w:rPr>
            </w:pPr>
            <w:r w:rsidRPr="004C78D8">
              <w:rPr>
                <w:sz w:val="18"/>
                <w:szCs w:val="18"/>
              </w:rPr>
              <w:t>12 months</w:t>
            </w:r>
          </w:p>
        </w:tc>
        <w:tc>
          <w:tcPr>
            <w:tcW w:w="976" w:type="pct"/>
            <w:tcBorders>
              <w:top w:val="nil"/>
              <w:bottom w:val="nil"/>
            </w:tcBorders>
          </w:tcPr>
          <w:p w14:paraId="1AA5328E" w14:textId="03978197" w:rsidR="00ED0F3B" w:rsidRPr="004C78D8" w:rsidRDefault="00ED0F3B" w:rsidP="00FB7C1F">
            <w:pPr>
              <w:jc w:val="left"/>
              <w:rPr>
                <w:sz w:val="18"/>
                <w:szCs w:val="18"/>
              </w:rPr>
            </w:pPr>
            <w:r w:rsidRPr="004C78D8">
              <w:rPr>
                <w:sz w:val="18"/>
                <w:szCs w:val="18"/>
              </w:rPr>
              <w:t>RR – any faller</w:t>
            </w:r>
          </w:p>
        </w:tc>
        <w:tc>
          <w:tcPr>
            <w:tcW w:w="870" w:type="pct"/>
            <w:tcBorders>
              <w:top w:val="nil"/>
              <w:bottom w:val="nil"/>
            </w:tcBorders>
          </w:tcPr>
          <w:p w14:paraId="4E91443B" w14:textId="77777777" w:rsidR="00ED0F3B" w:rsidRPr="004C78D8" w:rsidRDefault="00ED0F3B" w:rsidP="00FB7C1F">
            <w:pPr>
              <w:jc w:val="left"/>
              <w:rPr>
                <w:sz w:val="18"/>
                <w:szCs w:val="18"/>
              </w:rPr>
            </w:pPr>
            <w:r w:rsidRPr="004C78D8">
              <w:rPr>
                <w:sz w:val="18"/>
                <w:szCs w:val="18"/>
              </w:rPr>
              <w:t>0.925 (0.811-1.054)</w:t>
            </w:r>
          </w:p>
        </w:tc>
      </w:tr>
      <w:tr w:rsidR="00ED0F3B" w:rsidRPr="004C78D8" w14:paraId="1607919F" w14:textId="77777777" w:rsidTr="00E35893">
        <w:tc>
          <w:tcPr>
            <w:tcW w:w="971" w:type="pct"/>
            <w:vMerge/>
          </w:tcPr>
          <w:p w14:paraId="578388F3" w14:textId="77777777" w:rsidR="00ED0F3B" w:rsidRPr="004C78D8" w:rsidRDefault="00ED0F3B" w:rsidP="00FB7C1F">
            <w:pPr>
              <w:jc w:val="left"/>
              <w:rPr>
                <w:sz w:val="18"/>
                <w:szCs w:val="18"/>
              </w:rPr>
            </w:pPr>
          </w:p>
        </w:tc>
        <w:tc>
          <w:tcPr>
            <w:tcW w:w="774" w:type="pct"/>
            <w:vMerge/>
          </w:tcPr>
          <w:p w14:paraId="6C29C943" w14:textId="77777777" w:rsidR="00ED0F3B" w:rsidRPr="004C78D8" w:rsidRDefault="00ED0F3B" w:rsidP="00FB7C1F">
            <w:pPr>
              <w:jc w:val="left"/>
              <w:rPr>
                <w:sz w:val="18"/>
                <w:szCs w:val="18"/>
              </w:rPr>
            </w:pPr>
          </w:p>
        </w:tc>
        <w:tc>
          <w:tcPr>
            <w:tcW w:w="776" w:type="pct"/>
            <w:vMerge/>
          </w:tcPr>
          <w:p w14:paraId="1A1AFA44" w14:textId="77777777" w:rsidR="00ED0F3B" w:rsidRPr="004C78D8" w:rsidRDefault="00ED0F3B" w:rsidP="00FB7C1F">
            <w:pPr>
              <w:jc w:val="left"/>
              <w:rPr>
                <w:sz w:val="18"/>
                <w:szCs w:val="18"/>
              </w:rPr>
            </w:pPr>
          </w:p>
        </w:tc>
        <w:tc>
          <w:tcPr>
            <w:tcW w:w="633" w:type="pct"/>
            <w:vMerge/>
          </w:tcPr>
          <w:p w14:paraId="0493B13C" w14:textId="77777777" w:rsidR="00ED0F3B" w:rsidRPr="004C78D8" w:rsidRDefault="00ED0F3B" w:rsidP="00FB7C1F">
            <w:pPr>
              <w:jc w:val="left"/>
              <w:rPr>
                <w:sz w:val="18"/>
                <w:szCs w:val="18"/>
              </w:rPr>
            </w:pPr>
          </w:p>
        </w:tc>
        <w:tc>
          <w:tcPr>
            <w:tcW w:w="976" w:type="pct"/>
            <w:tcBorders>
              <w:top w:val="nil"/>
            </w:tcBorders>
          </w:tcPr>
          <w:p w14:paraId="17FFBDF9" w14:textId="388AE04D" w:rsidR="00ED0F3B" w:rsidRPr="004C78D8" w:rsidRDefault="00ED0F3B" w:rsidP="00FB7C1F">
            <w:pPr>
              <w:jc w:val="left"/>
              <w:rPr>
                <w:sz w:val="18"/>
                <w:szCs w:val="18"/>
              </w:rPr>
            </w:pPr>
            <w:r w:rsidRPr="004C78D8">
              <w:rPr>
                <w:sz w:val="18"/>
                <w:szCs w:val="18"/>
              </w:rPr>
              <w:t>RR – recurrent faller given any fall</w:t>
            </w:r>
            <w:r w:rsidR="004C7089" w:rsidRPr="004C78D8">
              <w:rPr>
                <w:sz w:val="18"/>
                <w:szCs w:val="18"/>
                <w:vertAlign w:val="superscript"/>
              </w:rPr>
              <w:t>1</w:t>
            </w:r>
          </w:p>
        </w:tc>
        <w:tc>
          <w:tcPr>
            <w:tcW w:w="870" w:type="pct"/>
            <w:tcBorders>
              <w:top w:val="nil"/>
            </w:tcBorders>
          </w:tcPr>
          <w:p w14:paraId="4927C6EF" w14:textId="77777777" w:rsidR="00ED0F3B" w:rsidRPr="004C78D8" w:rsidRDefault="00ED0F3B" w:rsidP="00FB7C1F">
            <w:pPr>
              <w:jc w:val="left"/>
              <w:rPr>
                <w:sz w:val="18"/>
                <w:szCs w:val="18"/>
              </w:rPr>
            </w:pPr>
            <w:r w:rsidRPr="004C78D8">
              <w:rPr>
                <w:sz w:val="18"/>
                <w:szCs w:val="18"/>
              </w:rPr>
              <w:t>1.183 (1.037-1.349)</w:t>
            </w:r>
          </w:p>
        </w:tc>
      </w:tr>
      <w:tr w:rsidR="00ED0F3B" w:rsidRPr="004C78D8" w14:paraId="787C0AA0" w14:textId="77777777" w:rsidTr="00E35893">
        <w:tc>
          <w:tcPr>
            <w:tcW w:w="5000" w:type="pct"/>
            <w:gridSpan w:val="6"/>
            <w:tcBorders>
              <w:bottom w:val="single" w:sz="4" w:space="0" w:color="auto"/>
            </w:tcBorders>
          </w:tcPr>
          <w:p w14:paraId="3B6A4F96" w14:textId="3102EE77" w:rsidR="00ED0F3B" w:rsidRPr="004C78D8" w:rsidRDefault="00ED0F3B" w:rsidP="00FB7C1F">
            <w:pPr>
              <w:jc w:val="left"/>
              <w:rPr>
                <w:b/>
                <w:bCs/>
                <w:i/>
                <w:iCs/>
                <w:sz w:val="20"/>
                <w:szCs w:val="20"/>
              </w:rPr>
            </w:pPr>
            <w:r w:rsidRPr="004C78D8">
              <w:rPr>
                <w:b/>
                <w:bCs/>
                <w:i/>
                <w:iCs/>
                <w:sz w:val="20"/>
                <w:szCs w:val="20"/>
              </w:rPr>
              <w:t>Proactive pathway</w:t>
            </w:r>
          </w:p>
        </w:tc>
      </w:tr>
      <w:tr w:rsidR="00ED0F3B" w:rsidRPr="004C78D8" w14:paraId="75E08514" w14:textId="77777777" w:rsidTr="00E35893">
        <w:tc>
          <w:tcPr>
            <w:tcW w:w="971" w:type="pct"/>
            <w:vMerge w:val="restart"/>
            <w:tcBorders>
              <w:bottom w:val="nil"/>
            </w:tcBorders>
          </w:tcPr>
          <w:p w14:paraId="49B093DC" w14:textId="77777777" w:rsidR="00ED0F3B" w:rsidRPr="004C78D8" w:rsidRDefault="00ED0F3B" w:rsidP="00FB7C1F">
            <w:pPr>
              <w:jc w:val="left"/>
              <w:rPr>
                <w:sz w:val="18"/>
                <w:szCs w:val="18"/>
              </w:rPr>
            </w:pPr>
            <w:r w:rsidRPr="004C78D8">
              <w:rPr>
                <w:sz w:val="18"/>
                <w:szCs w:val="18"/>
              </w:rPr>
              <w:t>Cognitively intact high-risk persons</w:t>
            </w:r>
          </w:p>
        </w:tc>
        <w:tc>
          <w:tcPr>
            <w:tcW w:w="774" w:type="pct"/>
            <w:vMerge w:val="restart"/>
            <w:tcBorders>
              <w:bottom w:val="nil"/>
            </w:tcBorders>
          </w:tcPr>
          <w:p w14:paraId="162542F4" w14:textId="77777777" w:rsidR="00ED0F3B" w:rsidRPr="004C78D8" w:rsidRDefault="00ED0F3B" w:rsidP="00FB7C1F">
            <w:pPr>
              <w:jc w:val="left"/>
              <w:rPr>
                <w:sz w:val="18"/>
                <w:szCs w:val="18"/>
              </w:rPr>
            </w:pPr>
            <w:r w:rsidRPr="004C78D8">
              <w:rPr>
                <w:sz w:val="18"/>
                <w:szCs w:val="18"/>
              </w:rPr>
              <w:t>Multifactorial intervention</w:t>
            </w:r>
          </w:p>
        </w:tc>
        <w:tc>
          <w:tcPr>
            <w:tcW w:w="776" w:type="pct"/>
            <w:vMerge w:val="restart"/>
            <w:tcBorders>
              <w:bottom w:val="nil"/>
            </w:tcBorders>
          </w:tcPr>
          <w:p w14:paraId="2E8650ED" w14:textId="5769197D" w:rsidR="00ED0F3B" w:rsidRPr="004C78D8" w:rsidRDefault="00ED0F3B" w:rsidP="00FB7C1F">
            <w:pPr>
              <w:jc w:val="left"/>
              <w:rPr>
                <w:sz w:val="18"/>
                <w:szCs w:val="18"/>
              </w:rPr>
            </w:pPr>
            <w:r w:rsidRPr="004C78D8">
              <w:rPr>
                <w:sz w:val="18"/>
                <w:szCs w:val="18"/>
              </w:rPr>
              <w:t xml:space="preserve">Spice (2009) </w:t>
            </w:r>
            <w:r w:rsidRPr="004C78D8">
              <w:rPr>
                <w:sz w:val="18"/>
                <w:szCs w:val="18"/>
              </w:rPr>
              <w:fldChar w:fldCharType="begin"/>
            </w:r>
            <w:r w:rsidR="00C630FC" w:rsidRPr="004C78D8">
              <w:rPr>
                <w:sz w:val="18"/>
                <w:szCs w:val="18"/>
              </w:rPr>
              <w:instrText xml:space="preserve"> ADDIN EN.CITE &lt;EndNote&gt;&lt;Cite&gt;&lt;Author&gt;Spice&lt;/Author&gt;&lt;Year&gt;2009&lt;/Year&gt;&lt;RecNum&gt;515&lt;/RecNum&gt;&lt;DisplayText&gt;[385]&lt;/DisplayText&gt;&lt;record&gt;&lt;rec-number&gt;515&lt;/rec-number&gt;&lt;foreign-keys&gt;&lt;key app="EN" db-id="tdtrdw9aepptzbefsat599syza29sxsd2wsp" timestamp="1617909863"&gt;515&lt;/key&gt;&lt;/foreign-keys&gt;&lt;ref-type name="Journal Article"&gt;17&lt;/ref-type&gt;&lt;contributors&gt;&lt;authors&gt;&lt;author&gt;Spice, Claire L&lt;/author&gt;&lt;author&gt;Morotti, Wendy&lt;/author&gt;&lt;author&gt;George, Steve&lt;/author&gt;&lt;author&gt;Dent, Thomas HS&lt;/author&gt;&lt;author&gt;Rose, Jim&lt;/author&gt;&lt;author&gt;Harris, Scott&lt;/author&gt;&lt;author&gt;Gordon, Christopher J&lt;/author&gt;&lt;/authors&gt;&lt;/contributors&gt;&lt;titles&gt;&lt;title&gt;The Winchester falls project: a randomised controlled trial of secondary prevention of falls in older people&lt;/title&gt;&lt;secondary-title&gt;Age and ageing&lt;/secondary-title&gt;&lt;/titles&gt;&lt;periodical&gt;&lt;full-title&gt;Age and ageing&lt;/full-title&gt;&lt;/periodical&gt;&lt;pages&gt;33-40&lt;/pages&gt;&lt;volume&gt;38&lt;/volume&gt;&lt;number&gt;1&lt;/number&gt;&lt;dates&gt;&lt;year&gt;2009&lt;/year&gt;&lt;/dates&gt;&lt;isbn&gt;1468-2834&lt;/isbn&gt;&lt;urls&gt;&lt;/urls&gt;&lt;/record&gt;&lt;/Cite&gt;&lt;/EndNote&gt;</w:instrText>
            </w:r>
            <w:r w:rsidRPr="004C78D8">
              <w:rPr>
                <w:sz w:val="18"/>
                <w:szCs w:val="18"/>
              </w:rPr>
              <w:fldChar w:fldCharType="separate"/>
            </w:r>
            <w:r w:rsidR="00C630FC" w:rsidRPr="004C78D8">
              <w:rPr>
                <w:noProof/>
                <w:sz w:val="18"/>
                <w:szCs w:val="18"/>
              </w:rPr>
              <w:t>[385]</w:t>
            </w:r>
            <w:r w:rsidRPr="004C78D8">
              <w:rPr>
                <w:sz w:val="18"/>
                <w:szCs w:val="18"/>
              </w:rPr>
              <w:fldChar w:fldCharType="end"/>
            </w:r>
          </w:p>
        </w:tc>
        <w:tc>
          <w:tcPr>
            <w:tcW w:w="633" w:type="pct"/>
            <w:tcBorders>
              <w:bottom w:val="nil"/>
            </w:tcBorders>
          </w:tcPr>
          <w:p w14:paraId="45AEC82F" w14:textId="0C37B616" w:rsidR="00ED0F3B" w:rsidRPr="004C78D8" w:rsidRDefault="00ED0F3B" w:rsidP="00FB7C1F">
            <w:pPr>
              <w:jc w:val="left"/>
              <w:rPr>
                <w:sz w:val="18"/>
                <w:szCs w:val="18"/>
              </w:rPr>
            </w:pPr>
            <w:r w:rsidRPr="004C78D8">
              <w:rPr>
                <w:sz w:val="18"/>
                <w:szCs w:val="18"/>
              </w:rPr>
              <w:t>12 months</w:t>
            </w:r>
          </w:p>
        </w:tc>
        <w:tc>
          <w:tcPr>
            <w:tcW w:w="976" w:type="pct"/>
            <w:tcBorders>
              <w:bottom w:val="nil"/>
            </w:tcBorders>
          </w:tcPr>
          <w:p w14:paraId="71DB561B" w14:textId="371898E8" w:rsidR="00ED0F3B" w:rsidRPr="004C78D8" w:rsidRDefault="00ED0F3B" w:rsidP="00FB7C1F">
            <w:pPr>
              <w:jc w:val="left"/>
              <w:rPr>
                <w:sz w:val="18"/>
                <w:szCs w:val="18"/>
              </w:rPr>
            </w:pPr>
            <w:r w:rsidRPr="004C78D8">
              <w:rPr>
                <w:sz w:val="18"/>
                <w:szCs w:val="18"/>
              </w:rPr>
              <w:t>RR – any faller</w:t>
            </w:r>
          </w:p>
        </w:tc>
        <w:tc>
          <w:tcPr>
            <w:tcW w:w="870" w:type="pct"/>
            <w:tcBorders>
              <w:bottom w:val="nil"/>
            </w:tcBorders>
          </w:tcPr>
          <w:p w14:paraId="06834AFD" w14:textId="77777777" w:rsidR="00ED0F3B" w:rsidRPr="004C78D8" w:rsidRDefault="00ED0F3B" w:rsidP="00FB7C1F">
            <w:pPr>
              <w:jc w:val="left"/>
              <w:rPr>
                <w:sz w:val="18"/>
                <w:szCs w:val="18"/>
              </w:rPr>
            </w:pPr>
            <w:r w:rsidRPr="004C78D8">
              <w:rPr>
                <w:sz w:val="18"/>
                <w:szCs w:val="18"/>
              </w:rPr>
              <w:t>0.874 (0.778-0.982)</w:t>
            </w:r>
          </w:p>
        </w:tc>
      </w:tr>
      <w:tr w:rsidR="00ED0F3B" w:rsidRPr="004C78D8" w14:paraId="4019A364" w14:textId="77777777" w:rsidTr="00E35893">
        <w:tc>
          <w:tcPr>
            <w:tcW w:w="971" w:type="pct"/>
            <w:vMerge/>
            <w:tcBorders>
              <w:top w:val="nil"/>
              <w:bottom w:val="nil"/>
            </w:tcBorders>
          </w:tcPr>
          <w:p w14:paraId="415E40CF" w14:textId="77777777" w:rsidR="00ED0F3B" w:rsidRPr="004C78D8" w:rsidRDefault="00ED0F3B" w:rsidP="00FB7C1F">
            <w:pPr>
              <w:jc w:val="left"/>
              <w:rPr>
                <w:sz w:val="18"/>
                <w:szCs w:val="18"/>
              </w:rPr>
            </w:pPr>
          </w:p>
        </w:tc>
        <w:tc>
          <w:tcPr>
            <w:tcW w:w="774" w:type="pct"/>
            <w:vMerge/>
            <w:tcBorders>
              <w:top w:val="nil"/>
              <w:bottom w:val="nil"/>
            </w:tcBorders>
          </w:tcPr>
          <w:p w14:paraId="57E91872" w14:textId="77777777" w:rsidR="00ED0F3B" w:rsidRPr="004C78D8" w:rsidRDefault="00ED0F3B" w:rsidP="00FB7C1F">
            <w:pPr>
              <w:jc w:val="left"/>
              <w:rPr>
                <w:sz w:val="18"/>
                <w:szCs w:val="18"/>
              </w:rPr>
            </w:pPr>
          </w:p>
        </w:tc>
        <w:tc>
          <w:tcPr>
            <w:tcW w:w="776" w:type="pct"/>
            <w:vMerge/>
            <w:tcBorders>
              <w:top w:val="nil"/>
              <w:bottom w:val="nil"/>
            </w:tcBorders>
          </w:tcPr>
          <w:p w14:paraId="245B9FB0" w14:textId="77777777" w:rsidR="00ED0F3B" w:rsidRPr="004C78D8" w:rsidRDefault="00ED0F3B" w:rsidP="00FB7C1F">
            <w:pPr>
              <w:jc w:val="left"/>
              <w:rPr>
                <w:sz w:val="18"/>
                <w:szCs w:val="18"/>
              </w:rPr>
            </w:pPr>
          </w:p>
        </w:tc>
        <w:tc>
          <w:tcPr>
            <w:tcW w:w="633" w:type="pct"/>
            <w:tcBorders>
              <w:top w:val="nil"/>
              <w:bottom w:val="nil"/>
            </w:tcBorders>
          </w:tcPr>
          <w:p w14:paraId="5D279E8D" w14:textId="77777777" w:rsidR="00ED0F3B" w:rsidRPr="004C78D8" w:rsidRDefault="00ED0F3B" w:rsidP="00FB7C1F">
            <w:pPr>
              <w:jc w:val="left"/>
              <w:rPr>
                <w:sz w:val="18"/>
                <w:szCs w:val="18"/>
              </w:rPr>
            </w:pPr>
          </w:p>
        </w:tc>
        <w:tc>
          <w:tcPr>
            <w:tcW w:w="976" w:type="pct"/>
            <w:tcBorders>
              <w:top w:val="nil"/>
              <w:bottom w:val="nil"/>
            </w:tcBorders>
          </w:tcPr>
          <w:p w14:paraId="6A09E758" w14:textId="63F77C97" w:rsidR="00ED0F3B" w:rsidRPr="004C78D8" w:rsidRDefault="00ED0F3B" w:rsidP="00FB7C1F">
            <w:pPr>
              <w:jc w:val="left"/>
              <w:rPr>
                <w:sz w:val="18"/>
                <w:szCs w:val="18"/>
              </w:rPr>
            </w:pPr>
            <w:r w:rsidRPr="004C78D8">
              <w:rPr>
                <w:sz w:val="18"/>
                <w:szCs w:val="18"/>
              </w:rPr>
              <w:t>RR – MA faller given any fall</w:t>
            </w:r>
            <w:r w:rsidR="00AA40D4" w:rsidRPr="004C78D8">
              <w:rPr>
                <w:sz w:val="18"/>
                <w:szCs w:val="18"/>
                <w:vertAlign w:val="superscript"/>
              </w:rPr>
              <w:t>3</w:t>
            </w:r>
          </w:p>
        </w:tc>
        <w:tc>
          <w:tcPr>
            <w:tcW w:w="870" w:type="pct"/>
            <w:tcBorders>
              <w:top w:val="nil"/>
              <w:bottom w:val="nil"/>
            </w:tcBorders>
          </w:tcPr>
          <w:p w14:paraId="18FD14F4" w14:textId="77777777" w:rsidR="00ED0F3B" w:rsidRPr="004C78D8" w:rsidRDefault="00ED0F3B" w:rsidP="00FB7C1F">
            <w:pPr>
              <w:jc w:val="left"/>
              <w:rPr>
                <w:sz w:val="18"/>
                <w:szCs w:val="18"/>
              </w:rPr>
            </w:pPr>
            <w:r w:rsidRPr="004C78D8">
              <w:rPr>
                <w:sz w:val="18"/>
                <w:szCs w:val="18"/>
              </w:rPr>
              <w:t>0.854 (0.441-1.652)</w:t>
            </w:r>
          </w:p>
        </w:tc>
      </w:tr>
      <w:tr w:rsidR="00ED0F3B" w:rsidRPr="004C78D8" w14:paraId="4E00EB66" w14:textId="77777777" w:rsidTr="00E35893">
        <w:tc>
          <w:tcPr>
            <w:tcW w:w="971" w:type="pct"/>
            <w:vMerge w:val="restart"/>
            <w:tcBorders>
              <w:top w:val="nil"/>
              <w:bottom w:val="nil"/>
            </w:tcBorders>
          </w:tcPr>
          <w:p w14:paraId="329E097F" w14:textId="21D6F2C5" w:rsidR="00ED0F3B" w:rsidRPr="004C78D8" w:rsidRDefault="00ED0F3B" w:rsidP="00FB7C1F">
            <w:pPr>
              <w:jc w:val="left"/>
              <w:rPr>
                <w:sz w:val="18"/>
                <w:szCs w:val="18"/>
              </w:rPr>
            </w:pPr>
            <w:r w:rsidRPr="004C78D8">
              <w:rPr>
                <w:sz w:val="18"/>
                <w:szCs w:val="18"/>
              </w:rPr>
              <w:t>Cognitively impaired high-risk persons (RC)</w:t>
            </w:r>
          </w:p>
        </w:tc>
        <w:tc>
          <w:tcPr>
            <w:tcW w:w="774" w:type="pct"/>
            <w:vMerge w:val="restart"/>
            <w:tcBorders>
              <w:top w:val="nil"/>
              <w:bottom w:val="nil"/>
            </w:tcBorders>
          </w:tcPr>
          <w:p w14:paraId="73DF22A1" w14:textId="7D6B7E64" w:rsidR="00ED0F3B" w:rsidRPr="004C78D8" w:rsidRDefault="00ED0F3B" w:rsidP="00FB7C1F">
            <w:pPr>
              <w:jc w:val="left"/>
              <w:rPr>
                <w:sz w:val="18"/>
                <w:szCs w:val="18"/>
              </w:rPr>
            </w:pPr>
            <w:r w:rsidRPr="004C78D8">
              <w:rPr>
                <w:sz w:val="18"/>
                <w:szCs w:val="18"/>
              </w:rPr>
              <w:t>Tai Chi</w:t>
            </w:r>
          </w:p>
        </w:tc>
        <w:tc>
          <w:tcPr>
            <w:tcW w:w="776" w:type="pct"/>
            <w:vMerge w:val="restart"/>
            <w:tcBorders>
              <w:top w:val="nil"/>
              <w:bottom w:val="nil"/>
            </w:tcBorders>
          </w:tcPr>
          <w:p w14:paraId="52405DFE" w14:textId="3792C5E4" w:rsidR="00ED0F3B" w:rsidRPr="004C78D8" w:rsidRDefault="00ED0F3B" w:rsidP="00FB7C1F">
            <w:pPr>
              <w:jc w:val="left"/>
              <w:rPr>
                <w:sz w:val="18"/>
                <w:szCs w:val="18"/>
              </w:rPr>
            </w:pPr>
            <w:r w:rsidRPr="004C78D8">
              <w:rPr>
                <w:sz w:val="18"/>
                <w:szCs w:val="18"/>
              </w:rPr>
              <w:t xml:space="preserve">Nyman (2020) </w:t>
            </w:r>
            <w:r w:rsidRPr="004C78D8">
              <w:rPr>
                <w:sz w:val="18"/>
                <w:szCs w:val="18"/>
              </w:rPr>
              <w:fldChar w:fldCharType="begin"/>
            </w:r>
            <w:r w:rsidR="00C630FC" w:rsidRPr="004C78D8">
              <w:rPr>
                <w:sz w:val="18"/>
                <w:szCs w:val="18"/>
              </w:rPr>
              <w:instrText xml:space="preserve"> ADDIN EN.CITE &lt;EndNote&gt;&lt;Cite&gt;&lt;Author&gt;Nyman&lt;/Author&gt;&lt;Year&gt;2019&lt;/Year&gt;&lt;RecNum&gt;281&lt;/RecNum&gt;&lt;DisplayText&gt;[235]&lt;/DisplayText&gt;&lt;record&gt;&lt;rec-number&gt;281&lt;/rec-number&gt;&lt;foreign-keys&gt;&lt;key app="EN" db-id="tdtrdw9aepptzbefsat599syza29sxsd2wsp" timestamp="1611699160"&gt;281&lt;/key&gt;&lt;/foreign-keys&gt;&lt;ref-type name="Journal Article"&gt;17&lt;/ref-type&gt;&lt;contributors&gt;&lt;authors&gt;&lt;author&gt;Nyman, Samuel R&lt;/author&gt;&lt;author&gt;Ingram, Wendy&lt;/author&gt;&lt;author&gt;Sanders, Jeanette&lt;/author&gt;&lt;author&gt;Thomas, Peter W&lt;/author&gt;&lt;author&gt;Thomas, Sarah&lt;/author&gt;&lt;author&gt;Vassallo, Michael&lt;/author&gt;&lt;author&gt;Raftery, James&lt;/author&gt;&lt;author&gt;Bibi, Iram&lt;/author&gt;&lt;author&gt;Barrado-Martín, Yolanda&lt;/author&gt;&lt;/authors&gt;&lt;/contributors&gt;&lt;titles&gt;&lt;title&gt;Randomised controlled trial of the effect of Tai Chi on postural balance of people with dementia&lt;/title&gt;&lt;secondary-title&gt;Clinical interventions in aging&lt;/secondary-title&gt;&lt;/titles&gt;&lt;periodical&gt;&lt;full-title&gt;Clin Interv Aging&lt;/full-title&gt;&lt;abbr-1&gt;Clinical interventions in aging&lt;/abbr-1&gt;&lt;/periodical&gt;&lt;pages&gt;2017&lt;/pages&gt;&lt;volume&gt;14&lt;/volume&gt;&lt;dates&gt;&lt;year&gt;2019&lt;/year&gt;&lt;/dates&gt;&lt;urls&gt;&lt;/urls&gt;&lt;/record&gt;&lt;/Cite&gt;&lt;/EndNote&gt;</w:instrText>
            </w:r>
            <w:r w:rsidRPr="004C78D8">
              <w:rPr>
                <w:sz w:val="18"/>
                <w:szCs w:val="18"/>
              </w:rPr>
              <w:fldChar w:fldCharType="separate"/>
            </w:r>
            <w:r w:rsidR="00C630FC" w:rsidRPr="004C78D8">
              <w:rPr>
                <w:noProof/>
                <w:sz w:val="18"/>
                <w:szCs w:val="18"/>
              </w:rPr>
              <w:t>[235]</w:t>
            </w:r>
            <w:r w:rsidRPr="004C78D8">
              <w:rPr>
                <w:sz w:val="18"/>
                <w:szCs w:val="18"/>
              </w:rPr>
              <w:fldChar w:fldCharType="end"/>
            </w:r>
          </w:p>
        </w:tc>
        <w:tc>
          <w:tcPr>
            <w:tcW w:w="633" w:type="pct"/>
            <w:tcBorders>
              <w:top w:val="nil"/>
              <w:bottom w:val="nil"/>
            </w:tcBorders>
          </w:tcPr>
          <w:p w14:paraId="46BB1C60" w14:textId="69118B89" w:rsidR="00ED0F3B" w:rsidRPr="004C78D8" w:rsidRDefault="00505500" w:rsidP="00FB7C1F">
            <w:pPr>
              <w:jc w:val="left"/>
              <w:rPr>
                <w:sz w:val="18"/>
                <w:szCs w:val="18"/>
              </w:rPr>
            </w:pPr>
            <w:r w:rsidRPr="004C78D8">
              <w:rPr>
                <w:sz w:val="18"/>
                <w:szCs w:val="18"/>
              </w:rPr>
              <w:t>6 months</w:t>
            </w:r>
          </w:p>
        </w:tc>
        <w:tc>
          <w:tcPr>
            <w:tcW w:w="976" w:type="pct"/>
            <w:tcBorders>
              <w:top w:val="nil"/>
              <w:bottom w:val="nil"/>
            </w:tcBorders>
          </w:tcPr>
          <w:p w14:paraId="0A62BB82" w14:textId="53FA5C7D" w:rsidR="00ED0F3B" w:rsidRPr="004C78D8" w:rsidRDefault="00ED0F3B" w:rsidP="00FB7C1F">
            <w:pPr>
              <w:jc w:val="left"/>
              <w:rPr>
                <w:sz w:val="18"/>
                <w:szCs w:val="18"/>
              </w:rPr>
            </w:pPr>
            <w:r w:rsidRPr="004C78D8">
              <w:rPr>
                <w:sz w:val="18"/>
                <w:szCs w:val="18"/>
              </w:rPr>
              <w:t>RR – any faller</w:t>
            </w:r>
          </w:p>
        </w:tc>
        <w:tc>
          <w:tcPr>
            <w:tcW w:w="870" w:type="pct"/>
            <w:tcBorders>
              <w:top w:val="nil"/>
              <w:bottom w:val="nil"/>
            </w:tcBorders>
          </w:tcPr>
          <w:p w14:paraId="08C022BA" w14:textId="77777777" w:rsidR="00ED0F3B" w:rsidRPr="004C78D8" w:rsidRDefault="00ED0F3B" w:rsidP="00FB7C1F">
            <w:pPr>
              <w:jc w:val="left"/>
              <w:rPr>
                <w:sz w:val="18"/>
                <w:szCs w:val="18"/>
              </w:rPr>
            </w:pPr>
            <w:r w:rsidRPr="004C78D8">
              <w:rPr>
                <w:sz w:val="18"/>
                <w:szCs w:val="18"/>
              </w:rPr>
              <w:t>1.024 (0.608-1.723)</w:t>
            </w:r>
          </w:p>
        </w:tc>
      </w:tr>
      <w:tr w:rsidR="00ED0F3B" w:rsidRPr="004C78D8" w14:paraId="2DF76B05" w14:textId="77777777" w:rsidTr="00E35893">
        <w:tc>
          <w:tcPr>
            <w:tcW w:w="971" w:type="pct"/>
            <w:vMerge/>
            <w:tcBorders>
              <w:top w:val="nil"/>
            </w:tcBorders>
          </w:tcPr>
          <w:p w14:paraId="145379E1" w14:textId="77777777" w:rsidR="00ED0F3B" w:rsidRPr="004C78D8" w:rsidRDefault="00ED0F3B" w:rsidP="00FB7C1F">
            <w:pPr>
              <w:jc w:val="left"/>
              <w:rPr>
                <w:sz w:val="18"/>
                <w:szCs w:val="18"/>
              </w:rPr>
            </w:pPr>
          </w:p>
        </w:tc>
        <w:tc>
          <w:tcPr>
            <w:tcW w:w="774" w:type="pct"/>
            <w:vMerge/>
            <w:tcBorders>
              <w:top w:val="nil"/>
            </w:tcBorders>
          </w:tcPr>
          <w:p w14:paraId="61776DB3" w14:textId="77777777" w:rsidR="00ED0F3B" w:rsidRPr="004C78D8" w:rsidRDefault="00ED0F3B" w:rsidP="00FB7C1F">
            <w:pPr>
              <w:jc w:val="left"/>
              <w:rPr>
                <w:sz w:val="18"/>
                <w:szCs w:val="18"/>
              </w:rPr>
            </w:pPr>
          </w:p>
        </w:tc>
        <w:tc>
          <w:tcPr>
            <w:tcW w:w="776" w:type="pct"/>
            <w:vMerge/>
            <w:tcBorders>
              <w:top w:val="nil"/>
            </w:tcBorders>
          </w:tcPr>
          <w:p w14:paraId="3DB85860" w14:textId="77777777" w:rsidR="00ED0F3B" w:rsidRPr="004C78D8" w:rsidRDefault="00ED0F3B" w:rsidP="00FB7C1F">
            <w:pPr>
              <w:jc w:val="left"/>
              <w:rPr>
                <w:sz w:val="18"/>
                <w:szCs w:val="18"/>
              </w:rPr>
            </w:pPr>
          </w:p>
        </w:tc>
        <w:tc>
          <w:tcPr>
            <w:tcW w:w="633" w:type="pct"/>
            <w:tcBorders>
              <w:top w:val="nil"/>
            </w:tcBorders>
          </w:tcPr>
          <w:p w14:paraId="0CE6848C" w14:textId="77777777" w:rsidR="00ED0F3B" w:rsidRPr="004C78D8" w:rsidRDefault="00ED0F3B" w:rsidP="00FB7C1F">
            <w:pPr>
              <w:jc w:val="left"/>
              <w:rPr>
                <w:sz w:val="18"/>
                <w:szCs w:val="18"/>
              </w:rPr>
            </w:pPr>
          </w:p>
        </w:tc>
        <w:tc>
          <w:tcPr>
            <w:tcW w:w="976" w:type="pct"/>
            <w:tcBorders>
              <w:top w:val="nil"/>
            </w:tcBorders>
          </w:tcPr>
          <w:p w14:paraId="64232760" w14:textId="1BED8DB7" w:rsidR="00ED0F3B" w:rsidRPr="004C78D8" w:rsidRDefault="00ED0F3B" w:rsidP="00FB7C1F">
            <w:pPr>
              <w:jc w:val="left"/>
              <w:rPr>
                <w:sz w:val="18"/>
                <w:szCs w:val="18"/>
              </w:rPr>
            </w:pPr>
            <w:r w:rsidRPr="004C78D8">
              <w:rPr>
                <w:sz w:val="18"/>
                <w:szCs w:val="18"/>
              </w:rPr>
              <w:t>RR – recurrent faller given any fall</w:t>
            </w:r>
            <w:r w:rsidR="004C7089" w:rsidRPr="004C78D8">
              <w:rPr>
                <w:sz w:val="18"/>
                <w:szCs w:val="18"/>
                <w:vertAlign w:val="superscript"/>
              </w:rPr>
              <w:t>1</w:t>
            </w:r>
          </w:p>
        </w:tc>
        <w:tc>
          <w:tcPr>
            <w:tcW w:w="870" w:type="pct"/>
            <w:tcBorders>
              <w:top w:val="nil"/>
            </w:tcBorders>
          </w:tcPr>
          <w:p w14:paraId="33AA792C" w14:textId="77777777" w:rsidR="00ED0F3B" w:rsidRPr="004C78D8" w:rsidRDefault="00ED0F3B" w:rsidP="00FB7C1F">
            <w:pPr>
              <w:jc w:val="left"/>
              <w:rPr>
                <w:sz w:val="18"/>
                <w:szCs w:val="18"/>
              </w:rPr>
            </w:pPr>
            <w:r w:rsidRPr="004C78D8">
              <w:rPr>
                <w:sz w:val="18"/>
                <w:szCs w:val="18"/>
              </w:rPr>
              <w:t>0.379 (0.225-0.638)</w:t>
            </w:r>
          </w:p>
        </w:tc>
      </w:tr>
      <w:tr w:rsidR="00ED0F3B" w:rsidRPr="004C78D8" w14:paraId="09D2396C" w14:textId="77777777" w:rsidTr="00E35893">
        <w:tc>
          <w:tcPr>
            <w:tcW w:w="5000" w:type="pct"/>
            <w:gridSpan w:val="6"/>
            <w:tcBorders>
              <w:bottom w:val="single" w:sz="4" w:space="0" w:color="auto"/>
            </w:tcBorders>
          </w:tcPr>
          <w:p w14:paraId="07D17716" w14:textId="0277AB41" w:rsidR="00ED0F3B" w:rsidRPr="004C78D8" w:rsidRDefault="00ED0F3B" w:rsidP="00FB7C1F">
            <w:pPr>
              <w:jc w:val="left"/>
              <w:rPr>
                <w:b/>
                <w:bCs/>
                <w:i/>
                <w:iCs/>
                <w:sz w:val="20"/>
                <w:szCs w:val="20"/>
              </w:rPr>
            </w:pPr>
            <w:r w:rsidRPr="004C78D8">
              <w:rPr>
                <w:b/>
                <w:bCs/>
                <w:i/>
                <w:iCs/>
                <w:sz w:val="20"/>
                <w:szCs w:val="20"/>
              </w:rPr>
              <w:t>Self-referred pathway</w:t>
            </w:r>
          </w:p>
        </w:tc>
      </w:tr>
      <w:tr w:rsidR="00ED0F3B" w:rsidRPr="004C78D8" w14:paraId="3611BBCE" w14:textId="77777777" w:rsidTr="00E35893">
        <w:tc>
          <w:tcPr>
            <w:tcW w:w="971" w:type="pct"/>
            <w:vMerge w:val="restart"/>
            <w:tcBorders>
              <w:bottom w:val="nil"/>
            </w:tcBorders>
          </w:tcPr>
          <w:p w14:paraId="60F1A113" w14:textId="77777777" w:rsidR="00ED0F3B" w:rsidRPr="004C78D8" w:rsidRDefault="00ED0F3B" w:rsidP="00FB7C1F">
            <w:pPr>
              <w:jc w:val="left"/>
              <w:rPr>
                <w:sz w:val="18"/>
                <w:szCs w:val="18"/>
              </w:rPr>
            </w:pPr>
            <w:r w:rsidRPr="004C78D8">
              <w:rPr>
                <w:sz w:val="18"/>
                <w:szCs w:val="18"/>
              </w:rPr>
              <w:t>Cognitively intact general-risk persons</w:t>
            </w:r>
          </w:p>
        </w:tc>
        <w:tc>
          <w:tcPr>
            <w:tcW w:w="774" w:type="pct"/>
            <w:vMerge w:val="restart"/>
            <w:tcBorders>
              <w:bottom w:val="nil"/>
            </w:tcBorders>
          </w:tcPr>
          <w:p w14:paraId="30BD42A0" w14:textId="77777777" w:rsidR="00ED0F3B" w:rsidRPr="004C78D8" w:rsidRDefault="00ED0F3B" w:rsidP="00FB7C1F">
            <w:pPr>
              <w:jc w:val="left"/>
              <w:rPr>
                <w:sz w:val="18"/>
                <w:szCs w:val="18"/>
              </w:rPr>
            </w:pPr>
            <w:r w:rsidRPr="004C78D8">
              <w:rPr>
                <w:sz w:val="18"/>
                <w:szCs w:val="18"/>
              </w:rPr>
              <w:t>Exercise</w:t>
            </w:r>
          </w:p>
        </w:tc>
        <w:tc>
          <w:tcPr>
            <w:tcW w:w="776" w:type="pct"/>
            <w:tcBorders>
              <w:bottom w:val="nil"/>
            </w:tcBorders>
          </w:tcPr>
          <w:p w14:paraId="67B1BD1A" w14:textId="1512CBAB" w:rsidR="00ED0F3B" w:rsidRPr="004C78D8" w:rsidRDefault="00ED0F3B" w:rsidP="00FB7C1F">
            <w:pPr>
              <w:jc w:val="left"/>
              <w:rPr>
                <w:sz w:val="18"/>
                <w:szCs w:val="18"/>
              </w:rPr>
            </w:pPr>
            <w:r w:rsidRPr="004C78D8">
              <w:rPr>
                <w:sz w:val="18"/>
                <w:szCs w:val="18"/>
              </w:rPr>
              <w:t xml:space="preserve">Sherrington (2019) </w:t>
            </w:r>
            <w:r w:rsidRPr="004C78D8">
              <w:rPr>
                <w:sz w:val="18"/>
                <w:szCs w:val="18"/>
              </w:rPr>
              <w:fldChar w:fldCharType="begin"/>
            </w:r>
            <w:r w:rsidR="00513646" w:rsidRPr="004C78D8">
              <w:rPr>
                <w:sz w:val="18"/>
                <w:szCs w:val="18"/>
              </w:rPr>
              <w:instrText xml:space="preserve"> ADDIN EN.CITE &lt;EndNote&gt;&lt;Cite&gt;&lt;Author&gt;Sherrington&lt;/Author&gt;&lt;Year&gt;2019&lt;/Year&gt;&lt;RecNum&gt;310&lt;/RecNum&gt;&lt;DisplayText&gt;[125]&lt;/DisplayText&gt;&lt;record&gt;&lt;rec-number&gt;310&lt;/rec-number&gt;&lt;foreign-keys&gt;&lt;key app="EN" db-id="tdtrdw9aepptzbefsat599syza29sxsd2wsp" timestamp="1612016357"&gt;310&lt;/key&gt;&lt;/foreign-keys&gt;&lt;ref-type name="Journal Article"&gt;17&lt;/ref-type&gt;&lt;contributors&gt;&lt;authors&gt;&lt;author&gt;Sherrington, Catherine&lt;/author&gt;&lt;author&gt;Fairhall, Nicola J&lt;/author&gt;&lt;author&gt;Wallbank, Geraldine K&lt;/author&gt;&lt;author&gt;Tiedemann, Anne&lt;/author&gt;&lt;author&gt;Michaleff, Zoe A&lt;/author&gt;&lt;author&gt;Howard, Kirsten&lt;/author&gt;&lt;author&gt;Clemson, Lindy&lt;/author&gt;&lt;author&gt;Hopewell, Sally&lt;/author&gt;&lt;author&gt;Lamb, Sarah E&lt;/author&gt;&lt;/authors&gt;&lt;/contributors&gt;&lt;titles&gt;&lt;title&gt;Exercise for preventing falls in older people living in the community&lt;/title&gt;&lt;secondary-title&gt;Cochrane database of systematic reviews&lt;/secondary-title&gt;&lt;/titles&gt;&lt;periodical&gt;&lt;full-title&gt;Cochrane database of systematic reviews&lt;/full-title&gt;&lt;/periodical&gt;&lt;number&gt;1&lt;/number&gt;&lt;dates&gt;&lt;year&gt;2019&lt;/year&gt;&lt;/dates&gt;&lt;isbn&gt;1465-1858&lt;/isbn&gt;&lt;urls&gt;&lt;/urls&gt;&lt;/record&gt;&lt;/Cite&gt;&lt;/EndNote&gt;</w:instrText>
            </w:r>
            <w:r w:rsidRPr="004C78D8">
              <w:rPr>
                <w:sz w:val="18"/>
                <w:szCs w:val="18"/>
              </w:rPr>
              <w:fldChar w:fldCharType="separate"/>
            </w:r>
            <w:r w:rsidR="00513646" w:rsidRPr="004C78D8">
              <w:rPr>
                <w:noProof/>
                <w:sz w:val="18"/>
                <w:szCs w:val="18"/>
              </w:rPr>
              <w:t>[125]</w:t>
            </w:r>
            <w:r w:rsidRPr="004C78D8">
              <w:rPr>
                <w:sz w:val="18"/>
                <w:szCs w:val="18"/>
              </w:rPr>
              <w:fldChar w:fldCharType="end"/>
            </w:r>
          </w:p>
        </w:tc>
        <w:tc>
          <w:tcPr>
            <w:tcW w:w="633" w:type="pct"/>
            <w:tcBorders>
              <w:bottom w:val="nil"/>
            </w:tcBorders>
          </w:tcPr>
          <w:p w14:paraId="36B1F66A" w14:textId="509011D7" w:rsidR="00ED0F3B" w:rsidRPr="004C78D8" w:rsidRDefault="005D0EF2" w:rsidP="00FB7C1F">
            <w:pPr>
              <w:jc w:val="left"/>
              <w:rPr>
                <w:sz w:val="18"/>
                <w:szCs w:val="18"/>
              </w:rPr>
            </w:pPr>
            <w:r w:rsidRPr="004C78D8">
              <w:rPr>
                <w:sz w:val="18"/>
                <w:szCs w:val="18"/>
              </w:rPr>
              <w:t>3-25 months</w:t>
            </w:r>
          </w:p>
        </w:tc>
        <w:tc>
          <w:tcPr>
            <w:tcW w:w="976" w:type="pct"/>
            <w:tcBorders>
              <w:bottom w:val="nil"/>
            </w:tcBorders>
          </w:tcPr>
          <w:p w14:paraId="28B08B81" w14:textId="2781B964" w:rsidR="00ED0F3B" w:rsidRPr="004C78D8" w:rsidRDefault="00ED0F3B" w:rsidP="00FB7C1F">
            <w:pPr>
              <w:jc w:val="left"/>
              <w:rPr>
                <w:sz w:val="18"/>
                <w:szCs w:val="18"/>
              </w:rPr>
            </w:pPr>
            <w:r w:rsidRPr="004C78D8">
              <w:rPr>
                <w:sz w:val="18"/>
                <w:szCs w:val="18"/>
              </w:rPr>
              <w:t>RR – any faller</w:t>
            </w:r>
          </w:p>
        </w:tc>
        <w:tc>
          <w:tcPr>
            <w:tcW w:w="870" w:type="pct"/>
            <w:tcBorders>
              <w:bottom w:val="nil"/>
            </w:tcBorders>
          </w:tcPr>
          <w:p w14:paraId="17E48D69" w14:textId="77777777" w:rsidR="00ED0F3B" w:rsidRPr="004C78D8" w:rsidRDefault="00ED0F3B" w:rsidP="00FB7C1F">
            <w:pPr>
              <w:jc w:val="left"/>
              <w:rPr>
                <w:sz w:val="18"/>
                <w:szCs w:val="18"/>
              </w:rPr>
            </w:pPr>
            <w:r w:rsidRPr="004C78D8">
              <w:rPr>
                <w:sz w:val="18"/>
                <w:szCs w:val="18"/>
              </w:rPr>
              <w:t>0.850 (0.810-0.890)</w:t>
            </w:r>
          </w:p>
        </w:tc>
      </w:tr>
      <w:tr w:rsidR="00ED0F3B" w:rsidRPr="004C78D8" w14:paraId="335B4F9D" w14:textId="77777777" w:rsidTr="00E35893">
        <w:tc>
          <w:tcPr>
            <w:tcW w:w="971" w:type="pct"/>
            <w:vMerge/>
            <w:tcBorders>
              <w:top w:val="nil"/>
              <w:bottom w:val="nil"/>
            </w:tcBorders>
          </w:tcPr>
          <w:p w14:paraId="615E8C53" w14:textId="77777777" w:rsidR="00ED0F3B" w:rsidRPr="004C78D8" w:rsidRDefault="00ED0F3B" w:rsidP="00FB7C1F">
            <w:pPr>
              <w:jc w:val="left"/>
              <w:rPr>
                <w:sz w:val="18"/>
                <w:szCs w:val="18"/>
              </w:rPr>
            </w:pPr>
          </w:p>
        </w:tc>
        <w:tc>
          <w:tcPr>
            <w:tcW w:w="774" w:type="pct"/>
            <w:vMerge/>
            <w:tcBorders>
              <w:top w:val="nil"/>
              <w:bottom w:val="nil"/>
            </w:tcBorders>
          </w:tcPr>
          <w:p w14:paraId="033A38BA" w14:textId="77777777" w:rsidR="00ED0F3B" w:rsidRPr="004C78D8" w:rsidRDefault="00ED0F3B" w:rsidP="00FB7C1F">
            <w:pPr>
              <w:jc w:val="left"/>
              <w:rPr>
                <w:sz w:val="18"/>
                <w:szCs w:val="18"/>
              </w:rPr>
            </w:pPr>
          </w:p>
        </w:tc>
        <w:tc>
          <w:tcPr>
            <w:tcW w:w="776" w:type="pct"/>
            <w:tcBorders>
              <w:top w:val="nil"/>
              <w:bottom w:val="nil"/>
            </w:tcBorders>
          </w:tcPr>
          <w:p w14:paraId="6B9EF29D" w14:textId="74E76994" w:rsidR="00ED0F3B" w:rsidRPr="004C78D8" w:rsidRDefault="00ED0F3B" w:rsidP="00FB7C1F">
            <w:pPr>
              <w:jc w:val="left"/>
              <w:rPr>
                <w:sz w:val="18"/>
                <w:szCs w:val="18"/>
              </w:rPr>
            </w:pPr>
            <w:r w:rsidRPr="004C78D8">
              <w:rPr>
                <w:sz w:val="18"/>
                <w:szCs w:val="18"/>
              </w:rPr>
              <w:t xml:space="preserve">Iliffe (2014) </w:t>
            </w:r>
            <w:r w:rsidRPr="004C78D8">
              <w:rPr>
                <w:sz w:val="18"/>
                <w:szCs w:val="18"/>
              </w:rPr>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rPr>
                <w:sz w:val="18"/>
                <w:szCs w:val="18"/>
              </w:rPr>
              <w:instrText xml:space="preserve"> ADDIN EN.CITE </w:instrText>
            </w:r>
            <w:r w:rsidR="00513646" w:rsidRPr="004C78D8">
              <w:rPr>
                <w:sz w:val="18"/>
                <w:szCs w:val="18"/>
              </w:rPr>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rPr>
                <w:sz w:val="18"/>
                <w:szCs w:val="18"/>
              </w:rPr>
              <w:instrText xml:space="preserve"> ADDIN EN.CITE.DATA </w:instrText>
            </w:r>
            <w:r w:rsidR="00513646" w:rsidRPr="004C78D8">
              <w:rPr>
                <w:sz w:val="18"/>
                <w:szCs w:val="18"/>
              </w:rPr>
            </w:r>
            <w:r w:rsidR="00513646" w:rsidRPr="004C78D8">
              <w:rPr>
                <w:sz w:val="18"/>
                <w:szCs w:val="18"/>
              </w:rPr>
              <w:fldChar w:fldCharType="end"/>
            </w:r>
            <w:r w:rsidRPr="004C78D8">
              <w:rPr>
                <w:sz w:val="18"/>
                <w:szCs w:val="18"/>
              </w:rPr>
            </w:r>
            <w:r w:rsidRPr="004C78D8">
              <w:rPr>
                <w:sz w:val="18"/>
                <w:szCs w:val="18"/>
              </w:rPr>
              <w:fldChar w:fldCharType="separate"/>
            </w:r>
            <w:r w:rsidR="00513646" w:rsidRPr="004C78D8">
              <w:rPr>
                <w:noProof/>
                <w:sz w:val="18"/>
                <w:szCs w:val="18"/>
              </w:rPr>
              <w:t>[135]</w:t>
            </w:r>
            <w:r w:rsidRPr="004C78D8">
              <w:rPr>
                <w:sz w:val="18"/>
                <w:szCs w:val="18"/>
              </w:rPr>
              <w:fldChar w:fldCharType="end"/>
            </w:r>
          </w:p>
        </w:tc>
        <w:tc>
          <w:tcPr>
            <w:tcW w:w="633" w:type="pct"/>
            <w:tcBorders>
              <w:top w:val="nil"/>
              <w:bottom w:val="nil"/>
            </w:tcBorders>
          </w:tcPr>
          <w:p w14:paraId="13C27CED" w14:textId="7EC45BFE" w:rsidR="00ED0F3B" w:rsidRPr="004C78D8" w:rsidRDefault="00505500" w:rsidP="00FB7C1F">
            <w:pPr>
              <w:jc w:val="left"/>
              <w:rPr>
                <w:sz w:val="18"/>
                <w:szCs w:val="18"/>
              </w:rPr>
            </w:pPr>
            <w:r w:rsidRPr="004C78D8">
              <w:rPr>
                <w:sz w:val="18"/>
                <w:szCs w:val="18"/>
              </w:rPr>
              <w:t>12 months</w:t>
            </w:r>
          </w:p>
        </w:tc>
        <w:tc>
          <w:tcPr>
            <w:tcW w:w="976" w:type="pct"/>
            <w:tcBorders>
              <w:top w:val="nil"/>
              <w:bottom w:val="nil"/>
            </w:tcBorders>
          </w:tcPr>
          <w:p w14:paraId="4BCE4FF9" w14:textId="10A8897C" w:rsidR="00ED0F3B" w:rsidRPr="004C78D8" w:rsidRDefault="00ED0F3B" w:rsidP="00FB7C1F">
            <w:pPr>
              <w:jc w:val="left"/>
              <w:rPr>
                <w:sz w:val="18"/>
                <w:szCs w:val="18"/>
              </w:rPr>
            </w:pPr>
            <w:r w:rsidRPr="004C78D8">
              <w:rPr>
                <w:sz w:val="18"/>
                <w:szCs w:val="18"/>
              </w:rPr>
              <w:t>RR – recurrent faller given any fall</w:t>
            </w:r>
            <w:r w:rsidR="00AA40D4" w:rsidRPr="004C78D8">
              <w:rPr>
                <w:sz w:val="18"/>
                <w:szCs w:val="18"/>
                <w:vertAlign w:val="superscript"/>
              </w:rPr>
              <w:t>4</w:t>
            </w:r>
          </w:p>
        </w:tc>
        <w:tc>
          <w:tcPr>
            <w:tcW w:w="870" w:type="pct"/>
            <w:tcBorders>
              <w:top w:val="nil"/>
              <w:bottom w:val="nil"/>
            </w:tcBorders>
          </w:tcPr>
          <w:p w14:paraId="44DED341" w14:textId="77777777" w:rsidR="00ED0F3B" w:rsidRPr="004C78D8" w:rsidRDefault="00ED0F3B" w:rsidP="00FB7C1F">
            <w:pPr>
              <w:jc w:val="left"/>
              <w:rPr>
                <w:sz w:val="18"/>
                <w:szCs w:val="18"/>
              </w:rPr>
            </w:pPr>
            <w:r w:rsidRPr="004C78D8">
              <w:rPr>
                <w:sz w:val="18"/>
                <w:szCs w:val="18"/>
              </w:rPr>
              <w:t>0.964 (0.921-1.009)</w:t>
            </w:r>
          </w:p>
        </w:tc>
      </w:tr>
      <w:tr w:rsidR="00ED0F3B" w:rsidRPr="004C78D8" w14:paraId="4E4E44F2" w14:textId="77777777" w:rsidTr="00E35893">
        <w:tc>
          <w:tcPr>
            <w:tcW w:w="971" w:type="pct"/>
            <w:tcBorders>
              <w:top w:val="nil"/>
              <w:bottom w:val="nil"/>
            </w:tcBorders>
          </w:tcPr>
          <w:p w14:paraId="5109FC32" w14:textId="77777777" w:rsidR="00ED0F3B" w:rsidRPr="004C78D8" w:rsidRDefault="00ED0F3B" w:rsidP="00FB7C1F">
            <w:pPr>
              <w:jc w:val="left"/>
              <w:rPr>
                <w:sz w:val="18"/>
                <w:szCs w:val="18"/>
              </w:rPr>
            </w:pPr>
          </w:p>
        </w:tc>
        <w:tc>
          <w:tcPr>
            <w:tcW w:w="774" w:type="pct"/>
            <w:tcBorders>
              <w:top w:val="nil"/>
              <w:bottom w:val="nil"/>
            </w:tcBorders>
          </w:tcPr>
          <w:p w14:paraId="071CF2EB" w14:textId="77777777" w:rsidR="00ED0F3B" w:rsidRPr="004C78D8" w:rsidRDefault="00ED0F3B" w:rsidP="00FB7C1F">
            <w:pPr>
              <w:jc w:val="left"/>
              <w:rPr>
                <w:sz w:val="18"/>
                <w:szCs w:val="18"/>
              </w:rPr>
            </w:pPr>
          </w:p>
        </w:tc>
        <w:tc>
          <w:tcPr>
            <w:tcW w:w="776" w:type="pct"/>
            <w:tcBorders>
              <w:top w:val="nil"/>
              <w:bottom w:val="nil"/>
            </w:tcBorders>
          </w:tcPr>
          <w:p w14:paraId="7C9FD24C" w14:textId="77777777" w:rsidR="00ED0F3B" w:rsidRPr="004C78D8" w:rsidRDefault="00ED0F3B" w:rsidP="00FB7C1F">
            <w:pPr>
              <w:jc w:val="left"/>
              <w:rPr>
                <w:sz w:val="18"/>
                <w:szCs w:val="18"/>
              </w:rPr>
            </w:pPr>
          </w:p>
        </w:tc>
        <w:tc>
          <w:tcPr>
            <w:tcW w:w="633" w:type="pct"/>
            <w:tcBorders>
              <w:top w:val="nil"/>
              <w:bottom w:val="nil"/>
            </w:tcBorders>
          </w:tcPr>
          <w:p w14:paraId="4104B097" w14:textId="77777777" w:rsidR="00ED0F3B" w:rsidRPr="004C78D8" w:rsidRDefault="00ED0F3B" w:rsidP="00FB7C1F">
            <w:pPr>
              <w:jc w:val="left"/>
              <w:rPr>
                <w:sz w:val="18"/>
                <w:szCs w:val="18"/>
              </w:rPr>
            </w:pPr>
          </w:p>
        </w:tc>
        <w:tc>
          <w:tcPr>
            <w:tcW w:w="976" w:type="pct"/>
            <w:tcBorders>
              <w:top w:val="nil"/>
              <w:bottom w:val="nil"/>
            </w:tcBorders>
          </w:tcPr>
          <w:p w14:paraId="1A539EE7" w14:textId="6364162A" w:rsidR="00ED0F3B" w:rsidRPr="004C78D8" w:rsidRDefault="00ED0F3B" w:rsidP="00FB7C1F">
            <w:pPr>
              <w:jc w:val="left"/>
              <w:rPr>
                <w:sz w:val="18"/>
                <w:szCs w:val="18"/>
              </w:rPr>
            </w:pPr>
            <w:r w:rsidRPr="004C78D8">
              <w:rPr>
                <w:sz w:val="18"/>
                <w:szCs w:val="18"/>
              </w:rPr>
              <w:t>RR – engaging in high physical activity</w:t>
            </w:r>
            <w:r w:rsidR="00AA40D4" w:rsidRPr="004C78D8">
              <w:rPr>
                <w:sz w:val="18"/>
                <w:szCs w:val="18"/>
                <w:vertAlign w:val="superscript"/>
              </w:rPr>
              <w:t>5</w:t>
            </w:r>
          </w:p>
        </w:tc>
        <w:tc>
          <w:tcPr>
            <w:tcW w:w="870" w:type="pct"/>
            <w:tcBorders>
              <w:top w:val="nil"/>
              <w:bottom w:val="nil"/>
            </w:tcBorders>
          </w:tcPr>
          <w:p w14:paraId="1503CFF9" w14:textId="77777777" w:rsidR="00ED0F3B" w:rsidRPr="004C78D8" w:rsidRDefault="00ED0F3B" w:rsidP="00FB7C1F">
            <w:pPr>
              <w:jc w:val="left"/>
              <w:rPr>
                <w:sz w:val="18"/>
                <w:szCs w:val="18"/>
              </w:rPr>
            </w:pPr>
            <w:r w:rsidRPr="004C78D8">
              <w:rPr>
                <w:sz w:val="18"/>
                <w:szCs w:val="18"/>
              </w:rPr>
              <w:t>2.308 (1.156-4.909)</w:t>
            </w:r>
          </w:p>
        </w:tc>
      </w:tr>
      <w:tr w:rsidR="00ED0F3B" w:rsidRPr="004C78D8" w14:paraId="446BF278" w14:textId="77777777" w:rsidTr="00E35893">
        <w:tc>
          <w:tcPr>
            <w:tcW w:w="971" w:type="pct"/>
            <w:vMerge w:val="restart"/>
            <w:tcBorders>
              <w:top w:val="nil"/>
              <w:bottom w:val="nil"/>
            </w:tcBorders>
          </w:tcPr>
          <w:p w14:paraId="2BB7C850" w14:textId="77777777" w:rsidR="00ED0F3B" w:rsidRPr="004C78D8" w:rsidRDefault="00ED0F3B" w:rsidP="00FB7C1F">
            <w:pPr>
              <w:jc w:val="left"/>
              <w:rPr>
                <w:sz w:val="18"/>
                <w:szCs w:val="18"/>
              </w:rPr>
            </w:pPr>
            <w:r w:rsidRPr="004C78D8">
              <w:rPr>
                <w:sz w:val="18"/>
                <w:szCs w:val="18"/>
              </w:rPr>
              <w:t>Cognitively intact high-risk persons</w:t>
            </w:r>
          </w:p>
        </w:tc>
        <w:tc>
          <w:tcPr>
            <w:tcW w:w="774" w:type="pct"/>
            <w:vMerge w:val="restart"/>
            <w:tcBorders>
              <w:top w:val="nil"/>
              <w:bottom w:val="nil"/>
            </w:tcBorders>
          </w:tcPr>
          <w:p w14:paraId="448C7B15" w14:textId="77777777" w:rsidR="00ED0F3B" w:rsidRPr="004C78D8" w:rsidRDefault="00ED0F3B" w:rsidP="00FB7C1F">
            <w:pPr>
              <w:jc w:val="left"/>
              <w:rPr>
                <w:sz w:val="18"/>
                <w:szCs w:val="18"/>
              </w:rPr>
            </w:pPr>
            <w:r w:rsidRPr="004C78D8">
              <w:rPr>
                <w:sz w:val="18"/>
                <w:szCs w:val="18"/>
              </w:rPr>
              <w:t>Exercise</w:t>
            </w:r>
          </w:p>
        </w:tc>
        <w:tc>
          <w:tcPr>
            <w:tcW w:w="776" w:type="pct"/>
            <w:vMerge w:val="restart"/>
            <w:tcBorders>
              <w:top w:val="nil"/>
              <w:bottom w:val="nil"/>
            </w:tcBorders>
          </w:tcPr>
          <w:p w14:paraId="5C5A9C2F" w14:textId="423D9622" w:rsidR="00ED0F3B" w:rsidRPr="004C78D8" w:rsidRDefault="00ED0F3B" w:rsidP="00FB7C1F">
            <w:pPr>
              <w:jc w:val="left"/>
              <w:rPr>
                <w:sz w:val="18"/>
                <w:szCs w:val="18"/>
              </w:rPr>
            </w:pPr>
            <w:r w:rsidRPr="004C78D8">
              <w:rPr>
                <w:sz w:val="18"/>
                <w:szCs w:val="18"/>
              </w:rPr>
              <w:t xml:space="preserve">Skelton (2005) </w:t>
            </w:r>
            <w:r w:rsidRPr="004C78D8">
              <w:rPr>
                <w:sz w:val="18"/>
                <w:szCs w:val="18"/>
              </w:rPr>
              <w:fldChar w:fldCharType="begin"/>
            </w:r>
            <w:r w:rsidR="00513646" w:rsidRPr="004C78D8">
              <w:rPr>
                <w:sz w:val="18"/>
                <w:szCs w:val="18"/>
              </w:rPr>
              <w:instrText xml:space="preserve"> ADDIN EN.CITE &lt;EndNote&gt;&lt;Cite&gt;&lt;Author&gt;Skelton&lt;/Author&gt;&lt;Year&gt;2005&lt;/Year&gt;&lt;RecNum&gt;481&lt;/RecNum&gt;&lt;DisplayText&gt;[136]&lt;/DisplayText&gt;&lt;record&gt;&lt;rec-number&gt;481&lt;/rec-number&gt;&lt;foreign-keys&gt;&lt;key app="EN" db-id="tdtrdw9aepptzbefsat599syza29sxsd2wsp" timestamp="1616578116"&gt;481&lt;/key&gt;&lt;/foreign-keys&gt;&lt;ref-type name="Journal Article"&gt;17&lt;/ref-type&gt;&lt;contributors&gt;&lt;authors&gt;&lt;author&gt;Skelton, Dawn&lt;/author&gt;&lt;author&gt;Dinan, Susie&lt;/author&gt;&lt;author&gt;Campbell, Malcolm&lt;/author&gt;&lt;author&gt;Rutherford, Olga&lt;/author&gt;&lt;/authors&gt;&lt;/contributors&gt;&lt;titles&gt;&lt;title&gt;Tailored group exercise (Falls Management Exercise—FaME) reduces falls in community-dwelling older frequent fallers (an RCT)&lt;/title&gt;&lt;secondary-title&gt;Age and ageing&lt;/secondary-title&gt;&lt;/titles&gt;&lt;periodical&gt;&lt;full-title&gt;Age and ageing&lt;/full-title&gt;&lt;/periodical&gt;&lt;pages&gt;636-639&lt;/pages&gt;&lt;volume&gt;34&lt;/volume&gt;&lt;number&gt;6&lt;/number&gt;&lt;dates&gt;&lt;year&gt;2005&lt;/year&gt;&lt;/dates&gt;&lt;isbn&gt;1468-2834&lt;/isbn&gt;&lt;urls&gt;&lt;/urls&gt;&lt;/record&gt;&lt;/Cite&gt;&lt;/EndNote&gt;</w:instrText>
            </w:r>
            <w:r w:rsidRPr="004C78D8">
              <w:rPr>
                <w:sz w:val="18"/>
                <w:szCs w:val="18"/>
              </w:rPr>
              <w:fldChar w:fldCharType="separate"/>
            </w:r>
            <w:r w:rsidR="00513646" w:rsidRPr="004C78D8">
              <w:rPr>
                <w:noProof/>
                <w:sz w:val="18"/>
                <w:szCs w:val="18"/>
              </w:rPr>
              <w:t>[136]</w:t>
            </w:r>
            <w:r w:rsidRPr="004C78D8">
              <w:rPr>
                <w:sz w:val="18"/>
                <w:szCs w:val="18"/>
              </w:rPr>
              <w:fldChar w:fldCharType="end"/>
            </w:r>
          </w:p>
        </w:tc>
        <w:tc>
          <w:tcPr>
            <w:tcW w:w="633" w:type="pct"/>
            <w:tcBorders>
              <w:top w:val="nil"/>
              <w:bottom w:val="nil"/>
            </w:tcBorders>
          </w:tcPr>
          <w:p w14:paraId="102C24AA" w14:textId="15D78B77" w:rsidR="00ED0F3B" w:rsidRPr="004C78D8" w:rsidRDefault="00505500" w:rsidP="00FB7C1F">
            <w:pPr>
              <w:jc w:val="left"/>
              <w:rPr>
                <w:sz w:val="18"/>
                <w:szCs w:val="18"/>
              </w:rPr>
            </w:pPr>
            <w:r w:rsidRPr="004C78D8">
              <w:rPr>
                <w:sz w:val="18"/>
                <w:szCs w:val="18"/>
              </w:rPr>
              <w:t>50 weeks</w:t>
            </w:r>
          </w:p>
        </w:tc>
        <w:tc>
          <w:tcPr>
            <w:tcW w:w="976" w:type="pct"/>
            <w:tcBorders>
              <w:top w:val="nil"/>
              <w:bottom w:val="nil"/>
            </w:tcBorders>
          </w:tcPr>
          <w:p w14:paraId="1B26A2D3" w14:textId="6BF77ABA" w:rsidR="00ED0F3B" w:rsidRPr="004C78D8" w:rsidRDefault="00ED0F3B" w:rsidP="00FB7C1F">
            <w:pPr>
              <w:jc w:val="left"/>
              <w:rPr>
                <w:sz w:val="18"/>
                <w:szCs w:val="18"/>
              </w:rPr>
            </w:pPr>
            <w:r w:rsidRPr="004C78D8">
              <w:rPr>
                <w:sz w:val="18"/>
                <w:szCs w:val="18"/>
              </w:rPr>
              <w:t>RR – any faller</w:t>
            </w:r>
          </w:p>
        </w:tc>
        <w:tc>
          <w:tcPr>
            <w:tcW w:w="870" w:type="pct"/>
            <w:tcBorders>
              <w:top w:val="nil"/>
              <w:bottom w:val="nil"/>
            </w:tcBorders>
          </w:tcPr>
          <w:p w14:paraId="344133C6" w14:textId="77777777" w:rsidR="00ED0F3B" w:rsidRPr="004C78D8" w:rsidRDefault="00ED0F3B" w:rsidP="00FB7C1F">
            <w:pPr>
              <w:jc w:val="left"/>
              <w:rPr>
                <w:sz w:val="18"/>
                <w:szCs w:val="18"/>
              </w:rPr>
            </w:pPr>
            <w:r w:rsidRPr="004C78D8">
              <w:rPr>
                <w:sz w:val="18"/>
                <w:szCs w:val="18"/>
              </w:rPr>
              <w:t>0.733 (0.567-0.946)</w:t>
            </w:r>
          </w:p>
        </w:tc>
      </w:tr>
      <w:tr w:rsidR="00ED0F3B" w:rsidRPr="004C78D8" w14:paraId="09F64DE4" w14:textId="77777777" w:rsidTr="00E35893">
        <w:tc>
          <w:tcPr>
            <w:tcW w:w="971" w:type="pct"/>
            <w:vMerge/>
            <w:tcBorders>
              <w:top w:val="nil"/>
              <w:bottom w:val="nil"/>
            </w:tcBorders>
          </w:tcPr>
          <w:p w14:paraId="7C41C0A1" w14:textId="77777777" w:rsidR="00ED0F3B" w:rsidRPr="004C78D8" w:rsidRDefault="00ED0F3B" w:rsidP="00FB7C1F">
            <w:pPr>
              <w:jc w:val="left"/>
              <w:rPr>
                <w:sz w:val="18"/>
                <w:szCs w:val="18"/>
              </w:rPr>
            </w:pPr>
          </w:p>
        </w:tc>
        <w:tc>
          <w:tcPr>
            <w:tcW w:w="774" w:type="pct"/>
            <w:vMerge/>
            <w:tcBorders>
              <w:top w:val="nil"/>
              <w:bottom w:val="nil"/>
            </w:tcBorders>
          </w:tcPr>
          <w:p w14:paraId="0187D4EE" w14:textId="77777777" w:rsidR="00ED0F3B" w:rsidRPr="004C78D8" w:rsidRDefault="00ED0F3B" w:rsidP="00FB7C1F">
            <w:pPr>
              <w:jc w:val="left"/>
              <w:rPr>
                <w:sz w:val="18"/>
                <w:szCs w:val="18"/>
              </w:rPr>
            </w:pPr>
          </w:p>
        </w:tc>
        <w:tc>
          <w:tcPr>
            <w:tcW w:w="776" w:type="pct"/>
            <w:vMerge/>
            <w:tcBorders>
              <w:top w:val="nil"/>
              <w:bottom w:val="nil"/>
            </w:tcBorders>
          </w:tcPr>
          <w:p w14:paraId="53006C6D" w14:textId="77777777" w:rsidR="00ED0F3B" w:rsidRPr="004C78D8" w:rsidRDefault="00ED0F3B" w:rsidP="00FB7C1F">
            <w:pPr>
              <w:jc w:val="left"/>
              <w:rPr>
                <w:sz w:val="18"/>
                <w:szCs w:val="18"/>
              </w:rPr>
            </w:pPr>
          </w:p>
        </w:tc>
        <w:tc>
          <w:tcPr>
            <w:tcW w:w="633" w:type="pct"/>
            <w:tcBorders>
              <w:top w:val="nil"/>
              <w:bottom w:val="nil"/>
            </w:tcBorders>
          </w:tcPr>
          <w:p w14:paraId="47DE6C78" w14:textId="77777777" w:rsidR="00ED0F3B" w:rsidRPr="004C78D8" w:rsidRDefault="00ED0F3B" w:rsidP="00FB7C1F">
            <w:pPr>
              <w:jc w:val="left"/>
              <w:rPr>
                <w:sz w:val="18"/>
                <w:szCs w:val="18"/>
              </w:rPr>
            </w:pPr>
          </w:p>
        </w:tc>
        <w:tc>
          <w:tcPr>
            <w:tcW w:w="976" w:type="pct"/>
            <w:tcBorders>
              <w:top w:val="nil"/>
              <w:bottom w:val="nil"/>
            </w:tcBorders>
          </w:tcPr>
          <w:p w14:paraId="524C73C1" w14:textId="3E4B69D2" w:rsidR="00ED0F3B" w:rsidRPr="004C78D8" w:rsidRDefault="00ED0F3B" w:rsidP="00FB7C1F">
            <w:pPr>
              <w:jc w:val="left"/>
              <w:rPr>
                <w:sz w:val="18"/>
                <w:szCs w:val="18"/>
              </w:rPr>
            </w:pPr>
            <w:r w:rsidRPr="004C78D8">
              <w:rPr>
                <w:sz w:val="18"/>
                <w:szCs w:val="18"/>
              </w:rPr>
              <w:t>RR – recurrent faller given any fall</w:t>
            </w:r>
            <w:r w:rsidR="00AA40D4" w:rsidRPr="004C78D8">
              <w:rPr>
                <w:sz w:val="18"/>
                <w:szCs w:val="18"/>
                <w:vertAlign w:val="superscript"/>
              </w:rPr>
              <w:t>1</w:t>
            </w:r>
          </w:p>
        </w:tc>
        <w:tc>
          <w:tcPr>
            <w:tcW w:w="870" w:type="pct"/>
            <w:tcBorders>
              <w:top w:val="nil"/>
              <w:bottom w:val="nil"/>
            </w:tcBorders>
          </w:tcPr>
          <w:p w14:paraId="5A019678" w14:textId="77777777" w:rsidR="00ED0F3B" w:rsidRPr="004C78D8" w:rsidRDefault="00ED0F3B" w:rsidP="00FB7C1F">
            <w:pPr>
              <w:jc w:val="left"/>
              <w:rPr>
                <w:sz w:val="18"/>
                <w:szCs w:val="18"/>
              </w:rPr>
            </w:pPr>
            <w:r w:rsidRPr="004C78D8">
              <w:rPr>
                <w:sz w:val="18"/>
                <w:szCs w:val="18"/>
              </w:rPr>
              <w:t>0.863 (0.669-1.113)</w:t>
            </w:r>
          </w:p>
        </w:tc>
      </w:tr>
      <w:tr w:rsidR="00ED0F3B" w:rsidRPr="004C78D8" w14:paraId="0159B288" w14:textId="77777777" w:rsidTr="00E35893">
        <w:tc>
          <w:tcPr>
            <w:tcW w:w="971" w:type="pct"/>
            <w:vMerge/>
            <w:tcBorders>
              <w:top w:val="nil"/>
              <w:bottom w:val="nil"/>
            </w:tcBorders>
          </w:tcPr>
          <w:p w14:paraId="4916E491" w14:textId="77777777" w:rsidR="00ED0F3B" w:rsidRPr="004C78D8" w:rsidRDefault="00ED0F3B" w:rsidP="00FB7C1F">
            <w:pPr>
              <w:jc w:val="left"/>
              <w:rPr>
                <w:sz w:val="18"/>
                <w:szCs w:val="18"/>
              </w:rPr>
            </w:pPr>
          </w:p>
        </w:tc>
        <w:tc>
          <w:tcPr>
            <w:tcW w:w="774" w:type="pct"/>
            <w:vMerge/>
            <w:tcBorders>
              <w:top w:val="nil"/>
              <w:bottom w:val="nil"/>
            </w:tcBorders>
          </w:tcPr>
          <w:p w14:paraId="0E4B661F" w14:textId="77777777" w:rsidR="00ED0F3B" w:rsidRPr="004C78D8" w:rsidRDefault="00ED0F3B" w:rsidP="00FB7C1F">
            <w:pPr>
              <w:jc w:val="left"/>
              <w:rPr>
                <w:sz w:val="18"/>
                <w:szCs w:val="18"/>
              </w:rPr>
            </w:pPr>
          </w:p>
        </w:tc>
        <w:tc>
          <w:tcPr>
            <w:tcW w:w="776" w:type="pct"/>
            <w:vMerge/>
            <w:tcBorders>
              <w:top w:val="nil"/>
              <w:bottom w:val="nil"/>
            </w:tcBorders>
          </w:tcPr>
          <w:p w14:paraId="7D9965C3" w14:textId="77777777" w:rsidR="00ED0F3B" w:rsidRPr="004C78D8" w:rsidRDefault="00ED0F3B" w:rsidP="00FB7C1F">
            <w:pPr>
              <w:jc w:val="left"/>
              <w:rPr>
                <w:sz w:val="18"/>
                <w:szCs w:val="18"/>
              </w:rPr>
            </w:pPr>
          </w:p>
        </w:tc>
        <w:tc>
          <w:tcPr>
            <w:tcW w:w="633" w:type="pct"/>
            <w:tcBorders>
              <w:top w:val="nil"/>
              <w:bottom w:val="nil"/>
            </w:tcBorders>
          </w:tcPr>
          <w:p w14:paraId="403C61C6" w14:textId="77777777" w:rsidR="00ED0F3B" w:rsidRPr="004C78D8" w:rsidRDefault="00ED0F3B" w:rsidP="00FB7C1F">
            <w:pPr>
              <w:jc w:val="left"/>
              <w:rPr>
                <w:sz w:val="18"/>
                <w:szCs w:val="18"/>
              </w:rPr>
            </w:pPr>
          </w:p>
        </w:tc>
        <w:tc>
          <w:tcPr>
            <w:tcW w:w="976" w:type="pct"/>
            <w:tcBorders>
              <w:top w:val="nil"/>
              <w:bottom w:val="nil"/>
            </w:tcBorders>
          </w:tcPr>
          <w:p w14:paraId="00E1D404" w14:textId="24AEB5B5" w:rsidR="00ED0F3B" w:rsidRPr="004C78D8" w:rsidRDefault="00ED0F3B" w:rsidP="00FB7C1F">
            <w:pPr>
              <w:jc w:val="left"/>
              <w:rPr>
                <w:sz w:val="18"/>
                <w:szCs w:val="18"/>
              </w:rPr>
            </w:pPr>
            <w:r w:rsidRPr="004C78D8">
              <w:rPr>
                <w:sz w:val="18"/>
                <w:szCs w:val="18"/>
              </w:rPr>
              <w:t>RR – MA faller given any fall</w:t>
            </w:r>
            <w:r w:rsidR="00AA40D4" w:rsidRPr="004C78D8">
              <w:rPr>
                <w:sz w:val="18"/>
                <w:szCs w:val="18"/>
                <w:vertAlign w:val="superscript"/>
              </w:rPr>
              <w:t>6</w:t>
            </w:r>
          </w:p>
        </w:tc>
        <w:tc>
          <w:tcPr>
            <w:tcW w:w="870" w:type="pct"/>
            <w:tcBorders>
              <w:top w:val="nil"/>
              <w:bottom w:val="nil"/>
            </w:tcBorders>
          </w:tcPr>
          <w:p w14:paraId="728F5FC3" w14:textId="77777777" w:rsidR="00ED0F3B" w:rsidRPr="004C78D8" w:rsidRDefault="00ED0F3B" w:rsidP="00FB7C1F">
            <w:pPr>
              <w:jc w:val="left"/>
              <w:rPr>
                <w:sz w:val="18"/>
                <w:szCs w:val="18"/>
              </w:rPr>
            </w:pPr>
            <w:r w:rsidRPr="004C78D8">
              <w:rPr>
                <w:sz w:val="18"/>
                <w:szCs w:val="18"/>
              </w:rPr>
              <w:t>0.429 (0.190-0.968)</w:t>
            </w:r>
          </w:p>
        </w:tc>
      </w:tr>
      <w:tr w:rsidR="00ED0F3B" w:rsidRPr="004C78D8" w14:paraId="22EB3052" w14:textId="77777777" w:rsidTr="00E35893">
        <w:tc>
          <w:tcPr>
            <w:tcW w:w="971" w:type="pct"/>
            <w:tcBorders>
              <w:top w:val="nil"/>
            </w:tcBorders>
          </w:tcPr>
          <w:p w14:paraId="6922BFA1" w14:textId="77777777" w:rsidR="00ED0F3B" w:rsidRPr="004C78D8" w:rsidRDefault="00ED0F3B" w:rsidP="00FB7C1F">
            <w:pPr>
              <w:jc w:val="left"/>
              <w:rPr>
                <w:sz w:val="18"/>
                <w:szCs w:val="18"/>
              </w:rPr>
            </w:pPr>
            <w:r w:rsidRPr="004C78D8">
              <w:rPr>
                <w:sz w:val="18"/>
                <w:szCs w:val="18"/>
              </w:rPr>
              <w:t>Cognitively impaired persons</w:t>
            </w:r>
          </w:p>
        </w:tc>
        <w:tc>
          <w:tcPr>
            <w:tcW w:w="774" w:type="pct"/>
            <w:tcBorders>
              <w:top w:val="nil"/>
            </w:tcBorders>
          </w:tcPr>
          <w:p w14:paraId="751E747A" w14:textId="531CBBFA" w:rsidR="00ED0F3B" w:rsidRPr="004C78D8" w:rsidRDefault="00ED0F3B" w:rsidP="00FB7C1F">
            <w:pPr>
              <w:jc w:val="left"/>
              <w:rPr>
                <w:sz w:val="18"/>
                <w:szCs w:val="18"/>
              </w:rPr>
            </w:pPr>
            <w:r w:rsidRPr="004C78D8">
              <w:rPr>
                <w:sz w:val="18"/>
                <w:szCs w:val="18"/>
              </w:rPr>
              <w:t>Tai Chi</w:t>
            </w:r>
          </w:p>
        </w:tc>
        <w:tc>
          <w:tcPr>
            <w:tcW w:w="776" w:type="pct"/>
            <w:tcBorders>
              <w:top w:val="nil"/>
            </w:tcBorders>
          </w:tcPr>
          <w:p w14:paraId="2C6774B1" w14:textId="135B0AE4" w:rsidR="00ED0F3B" w:rsidRPr="004C78D8" w:rsidRDefault="00ED0F3B" w:rsidP="00FB7C1F">
            <w:pPr>
              <w:jc w:val="left"/>
              <w:rPr>
                <w:sz w:val="18"/>
                <w:szCs w:val="18"/>
              </w:rPr>
            </w:pPr>
            <w:r w:rsidRPr="004C78D8">
              <w:rPr>
                <w:sz w:val="18"/>
                <w:szCs w:val="18"/>
              </w:rPr>
              <w:t xml:space="preserve">Nyman (2020) </w:t>
            </w:r>
            <w:r w:rsidRPr="004C78D8">
              <w:rPr>
                <w:sz w:val="18"/>
                <w:szCs w:val="18"/>
              </w:rPr>
              <w:fldChar w:fldCharType="begin"/>
            </w:r>
            <w:r w:rsidR="00C630FC" w:rsidRPr="004C78D8">
              <w:rPr>
                <w:sz w:val="18"/>
                <w:szCs w:val="18"/>
              </w:rPr>
              <w:instrText xml:space="preserve"> ADDIN EN.CITE &lt;EndNote&gt;&lt;Cite&gt;&lt;Author&gt;Nyman&lt;/Author&gt;&lt;Year&gt;2019&lt;/Year&gt;&lt;RecNum&gt;281&lt;/RecNum&gt;&lt;DisplayText&gt;[235]&lt;/DisplayText&gt;&lt;record&gt;&lt;rec-number&gt;281&lt;/rec-number&gt;&lt;foreign-keys&gt;&lt;key app="EN" db-id="tdtrdw9aepptzbefsat599syza29sxsd2wsp" timestamp="1611699160"&gt;281&lt;/key&gt;&lt;/foreign-keys&gt;&lt;ref-type name="Journal Article"&gt;17&lt;/ref-type&gt;&lt;contributors&gt;&lt;authors&gt;&lt;author&gt;Nyman, Samuel R&lt;/author&gt;&lt;author&gt;Ingram, Wendy&lt;/author&gt;&lt;author&gt;Sanders, Jeanette&lt;/author&gt;&lt;author&gt;Thomas, Peter W&lt;/author&gt;&lt;author&gt;Thomas, Sarah&lt;/author&gt;&lt;author&gt;Vassallo, Michael&lt;/author&gt;&lt;author&gt;Raftery, James&lt;/author&gt;&lt;author&gt;Bibi, Iram&lt;/author&gt;&lt;author&gt;Barrado-Martín, Yolanda&lt;/author&gt;&lt;/authors&gt;&lt;/contributors&gt;&lt;titles&gt;&lt;title&gt;Randomised controlled trial of the effect of Tai Chi on postural balance of people with dementia&lt;/title&gt;&lt;secondary-title&gt;Clinical interventions in aging&lt;/secondary-title&gt;&lt;/titles&gt;&lt;periodical&gt;&lt;full-title&gt;Clin Interv Aging&lt;/full-title&gt;&lt;abbr-1&gt;Clinical interventions in aging&lt;/abbr-1&gt;&lt;/periodical&gt;&lt;pages&gt;2017&lt;/pages&gt;&lt;volume&gt;14&lt;/volume&gt;&lt;dates&gt;&lt;year&gt;2019&lt;/year&gt;&lt;/dates&gt;&lt;urls&gt;&lt;/urls&gt;&lt;/record&gt;&lt;/Cite&gt;&lt;/EndNote&gt;</w:instrText>
            </w:r>
            <w:r w:rsidRPr="004C78D8">
              <w:rPr>
                <w:sz w:val="18"/>
                <w:szCs w:val="18"/>
              </w:rPr>
              <w:fldChar w:fldCharType="separate"/>
            </w:r>
            <w:r w:rsidR="00C630FC" w:rsidRPr="004C78D8">
              <w:rPr>
                <w:noProof/>
                <w:sz w:val="18"/>
                <w:szCs w:val="18"/>
              </w:rPr>
              <w:t>[235]</w:t>
            </w:r>
            <w:r w:rsidRPr="004C78D8">
              <w:rPr>
                <w:sz w:val="18"/>
                <w:szCs w:val="18"/>
              </w:rPr>
              <w:fldChar w:fldCharType="end"/>
            </w:r>
          </w:p>
        </w:tc>
        <w:tc>
          <w:tcPr>
            <w:tcW w:w="633" w:type="pct"/>
            <w:tcBorders>
              <w:top w:val="nil"/>
            </w:tcBorders>
          </w:tcPr>
          <w:p w14:paraId="2943698E" w14:textId="4BDCEC92" w:rsidR="00ED0F3B" w:rsidRPr="004C78D8" w:rsidRDefault="00ED0F3B" w:rsidP="00FB7C1F">
            <w:pPr>
              <w:jc w:val="left"/>
              <w:rPr>
                <w:sz w:val="18"/>
                <w:szCs w:val="18"/>
              </w:rPr>
            </w:pPr>
          </w:p>
        </w:tc>
        <w:tc>
          <w:tcPr>
            <w:tcW w:w="976" w:type="pct"/>
            <w:tcBorders>
              <w:top w:val="nil"/>
            </w:tcBorders>
          </w:tcPr>
          <w:p w14:paraId="17F47442" w14:textId="677FB4AE" w:rsidR="00ED0F3B" w:rsidRPr="004C78D8" w:rsidRDefault="00ED0F3B" w:rsidP="00FB7C1F">
            <w:pPr>
              <w:jc w:val="left"/>
              <w:rPr>
                <w:i/>
                <w:iCs/>
                <w:sz w:val="18"/>
                <w:szCs w:val="18"/>
              </w:rPr>
            </w:pPr>
            <w:r w:rsidRPr="004C78D8">
              <w:rPr>
                <w:i/>
                <w:iCs/>
                <w:sz w:val="18"/>
                <w:szCs w:val="18"/>
              </w:rPr>
              <w:t>See proactive pathway above</w:t>
            </w:r>
          </w:p>
        </w:tc>
        <w:tc>
          <w:tcPr>
            <w:tcW w:w="870" w:type="pct"/>
            <w:tcBorders>
              <w:top w:val="nil"/>
            </w:tcBorders>
          </w:tcPr>
          <w:p w14:paraId="181CC62B" w14:textId="77777777" w:rsidR="00ED0F3B" w:rsidRPr="004C78D8" w:rsidRDefault="00ED0F3B" w:rsidP="00FB7C1F">
            <w:pPr>
              <w:jc w:val="left"/>
              <w:rPr>
                <w:sz w:val="18"/>
                <w:szCs w:val="18"/>
              </w:rPr>
            </w:pPr>
          </w:p>
        </w:tc>
      </w:tr>
      <w:tr w:rsidR="00ED0F3B" w:rsidRPr="004C78D8" w14:paraId="13334B0F" w14:textId="77777777" w:rsidTr="00E35893">
        <w:tc>
          <w:tcPr>
            <w:tcW w:w="5000" w:type="pct"/>
            <w:gridSpan w:val="6"/>
          </w:tcPr>
          <w:p w14:paraId="15B3944E" w14:textId="760D23BF" w:rsidR="00ED0F3B" w:rsidRPr="004C78D8" w:rsidRDefault="00ED0F3B" w:rsidP="00FB7C1F">
            <w:pPr>
              <w:rPr>
                <w:sz w:val="18"/>
                <w:szCs w:val="18"/>
              </w:rPr>
            </w:pPr>
            <w:r w:rsidRPr="004C78D8">
              <w:rPr>
                <w:b/>
                <w:bCs/>
                <w:sz w:val="18"/>
                <w:szCs w:val="18"/>
              </w:rPr>
              <w:t xml:space="preserve">Abbreviation: </w:t>
            </w:r>
            <w:r w:rsidRPr="004C78D8">
              <w:rPr>
                <w:sz w:val="18"/>
                <w:szCs w:val="18"/>
              </w:rPr>
              <w:t>CI</w:t>
            </w:r>
            <w:r w:rsidR="00295A41" w:rsidRPr="004C78D8">
              <w:rPr>
                <w:sz w:val="18"/>
                <w:szCs w:val="18"/>
              </w:rPr>
              <w:t>nt</w:t>
            </w:r>
            <w:r w:rsidRPr="004C78D8">
              <w:rPr>
                <w:sz w:val="18"/>
                <w:szCs w:val="18"/>
              </w:rPr>
              <w:t>: confidence interval; HAM: home assessment and modification; MA fall: fall requiring medical attention; OR: odds ratio; RaR: rate ratio; RC: recommended care; RCT: randomized controlled trial; RR: relative risk; UC: usual care</w:t>
            </w:r>
            <w:r w:rsidR="0030415B" w:rsidRPr="004C78D8">
              <w:rPr>
                <w:sz w:val="18"/>
                <w:szCs w:val="18"/>
              </w:rPr>
              <w:t>.</w:t>
            </w:r>
          </w:p>
          <w:p w14:paraId="08EE7978" w14:textId="508929A8" w:rsidR="00ED0F3B" w:rsidRPr="004C78D8" w:rsidRDefault="00ED0F3B" w:rsidP="00FB7C1F">
            <w:pPr>
              <w:rPr>
                <w:sz w:val="18"/>
                <w:szCs w:val="18"/>
              </w:rPr>
            </w:pPr>
            <w:r w:rsidRPr="004C78D8">
              <w:rPr>
                <w:sz w:val="18"/>
                <w:szCs w:val="18"/>
                <w:vertAlign w:val="superscript"/>
              </w:rPr>
              <w:t>1</w:t>
            </w:r>
            <w:r w:rsidRPr="004C78D8">
              <w:rPr>
                <w:sz w:val="18"/>
                <w:szCs w:val="18"/>
              </w:rPr>
              <w:t xml:space="preserve"> Calculated from the RR, RaR and SE for log(RR any faller) reported by the RCT and recurrent fall pattern value (A) of 0.903 from a UK RCT </w:t>
            </w:r>
            <w:r w:rsidRPr="004C78D8">
              <w:rPr>
                <w:sz w:val="18"/>
                <w:szCs w:val="18"/>
              </w:rPr>
              <w:fldChar w:fldCharType="begin"/>
            </w:r>
            <w:r w:rsidR="00513646" w:rsidRPr="004C78D8">
              <w:rPr>
                <w:sz w:val="18"/>
                <w:szCs w:val="18"/>
              </w:rPr>
              <w:instrText xml:space="preserve"> ADDIN EN.CITE &lt;EndNote&gt;&lt;Cite&gt;&lt;Author&gt;Conroy&lt;/Author&gt;&lt;Year&gt;2010&lt;/Year&gt;&lt;RecNum&gt;162&lt;/RecNum&gt;&lt;DisplayText&gt;[25]&lt;/DisplayText&gt;&lt;record&gt;&lt;rec-number&gt;162&lt;/rec-number&gt;&lt;foreign-keys&gt;&lt;key app="EN" db-id="tdtrdw9aepptzbefsat599syza29sxsd2wsp" timestamp="1609258180"&gt;162&lt;/key&gt;&lt;/foreign-keys&gt;&lt;ref-type name="Journal Article"&gt;17&lt;/ref-type&gt;&lt;contributors&gt;&lt;authors&gt;&lt;author&gt;Conroy, Simon&lt;/author&gt;&lt;author&gt;Kendrick, Denise&lt;/author&gt;&lt;author&gt;Harwood, Rowan&lt;/author&gt;&lt;author&gt;Gladman, John&lt;/author&gt;&lt;author&gt;Coupland, Carol&lt;/author&gt;&lt;author&gt;Sach, Tracey&lt;/author&gt;&lt;author&gt;Drummond, Avril&lt;/author&gt;&lt;author&gt;Youde, Jane&lt;/author&gt;&lt;author&gt;Edmans, Judi&lt;/author&gt;&lt;author&gt;Masud, Tahir&lt;/author&gt;&lt;/authors&gt;&lt;/contributors&gt;&lt;titles&gt;&lt;title&gt;A multicentre randomised controlled trial of day hospital-based falls prevention programme for a screened population of community-dwelling older people at high risk of falls&lt;/title&gt;&lt;secondary-title&gt;Age and Ageing&lt;/secondary-title&gt;&lt;/titles&gt;&lt;periodical&gt;&lt;full-title&gt;Age and ageing&lt;/full-title&gt;&lt;/periodical&gt;&lt;pages&gt;704-710&lt;/pages&gt;&lt;volume&gt;39&lt;/volume&gt;&lt;number&gt;6&lt;/number&gt;&lt;dates&gt;&lt;year&gt;2010&lt;/year&gt;&lt;/dates&gt;&lt;isbn&gt;1468-2834&lt;/isbn&gt;&lt;urls&gt;&lt;/urls&gt;&lt;/record&gt;&lt;/Cite&gt;&lt;/EndNote&gt;</w:instrText>
            </w:r>
            <w:r w:rsidRPr="004C78D8">
              <w:rPr>
                <w:sz w:val="18"/>
                <w:szCs w:val="18"/>
              </w:rPr>
              <w:fldChar w:fldCharType="separate"/>
            </w:r>
            <w:r w:rsidR="00513646" w:rsidRPr="004C78D8">
              <w:rPr>
                <w:noProof/>
                <w:sz w:val="18"/>
                <w:szCs w:val="18"/>
              </w:rPr>
              <w:t>[25]</w:t>
            </w:r>
            <w:r w:rsidRPr="004C78D8">
              <w:rPr>
                <w:sz w:val="18"/>
                <w:szCs w:val="18"/>
              </w:rPr>
              <w:fldChar w:fldCharType="end"/>
            </w:r>
            <w:r w:rsidRPr="004C78D8">
              <w:rPr>
                <w:sz w:val="18"/>
                <w:szCs w:val="18"/>
              </w:rPr>
              <w:t>; see Equation (2) for formula.</w:t>
            </w:r>
            <w:r w:rsidR="00295A41" w:rsidRPr="004C78D8">
              <w:rPr>
                <w:sz w:val="18"/>
                <w:szCs w:val="18"/>
              </w:rPr>
              <w:t xml:space="preserve"> The 95% CInt for RR</w:t>
            </w:r>
            <w:r w:rsidR="00295A41" w:rsidRPr="004C78D8">
              <w:rPr>
                <w:sz w:val="18"/>
                <w:szCs w:val="18"/>
                <w:vertAlign w:val="superscript"/>
              </w:rPr>
              <w:t>RF</w:t>
            </w:r>
            <w:r w:rsidR="00295A41" w:rsidRPr="004C78D8">
              <w:rPr>
                <w:sz w:val="18"/>
                <w:szCs w:val="18"/>
              </w:rPr>
              <w:t xml:space="preserve"> was obtained by assuming that the SE for log(RR any faller) </w:t>
            </w:r>
            <w:r w:rsidR="00546C48" w:rsidRPr="004C78D8">
              <w:rPr>
                <w:sz w:val="18"/>
                <w:szCs w:val="18"/>
              </w:rPr>
              <w:t>equals</w:t>
            </w:r>
            <w:r w:rsidR="00295A41" w:rsidRPr="004C78D8">
              <w:rPr>
                <w:sz w:val="18"/>
                <w:szCs w:val="18"/>
              </w:rPr>
              <w:t xml:space="preserve"> SE for log(RR</w:t>
            </w:r>
            <w:r w:rsidR="00295A41" w:rsidRPr="004C78D8">
              <w:rPr>
                <w:sz w:val="18"/>
                <w:szCs w:val="18"/>
                <w:vertAlign w:val="superscript"/>
              </w:rPr>
              <w:t>RF</w:t>
            </w:r>
            <w:r w:rsidR="00295A41" w:rsidRPr="004C78D8">
              <w:rPr>
                <w:sz w:val="18"/>
                <w:szCs w:val="18"/>
              </w:rPr>
              <w:t>).</w:t>
            </w:r>
          </w:p>
          <w:p w14:paraId="143B3D6D" w14:textId="1BBF826E" w:rsidR="00ED0F3B" w:rsidRPr="004C78D8" w:rsidRDefault="00ED0F3B" w:rsidP="00FB7C1F">
            <w:pPr>
              <w:rPr>
                <w:sz w:val="18"/>
                <w:szCs w:val="18"/>
              </w:rPr>
            </w:pPr>
            <w:r w:rsidRPr="004C78D8">
              <w:rPr>
                <w:sz w:val="18"/>
                <w:szCs w:val="18"/>
                <w:vertAlign w:val="superscript"/>
              </w:rPr>
              <w:t>2</w:t>
            </w:r>
            <w:r w:rsidRPr="004C78D8">
              <w:rPr>
                <w:sz w:val="18"/>
                <w:szCs w:val="18"/>
              </w:rPr>
              <w:t xml:space="preserve"> Proxied by RR of experiencing 3+ falls given any fall reported by the same RCT.</w:t>
            </w:r>
          </w:p>
          <w:p w14:paraId="096C51DD" w14:textId="7B5CBB4B" w:rsidR="00ED0F3B" w:rsidRPr="004C78D8" w:rsidRDefault="00AA40D4" w:rsidP="00FB7C1F">
            <w:pPr>
              <w:rPr>
                <w:sz w:val="18"/>
                <w:szCs w:val="18"/>
              </w:rPr>
            </w:pPr>
            <w:r w:rsidRPr="004C78D8">
              <w:rPr>
                <w:sz w:val="18"/>
                <w:szCs w:val="18"/>
                <w:vertAlign w:val="superscript"/>
              </w:rPr>
              <w:t>3</w:t>
            </w:r>
            <w:r w:rsidR="00ED0F3B" w:rsidRPr="004C78D8">
              <w:rPr>
                <w:sz w:val="18"/>
                <w:szCs w:val="18"/>
              </w:rPr>
              <w:t xml:space="preserve"> Proxied by RR of being hospitalized faller given any fall reported by the same RCT and assumed to apply to both single and recurrent fallers.</w:t>
            </w:r>
          </w:p>
          <w:p w14:paraId="17960F05" w14:textId="58697C03" w:rsidR="00ED0F3B" w:rsidRPr="004C78D8" w:rsidRDefault="00AA40D4" w:rsidP="00FB7C1F">
            <w:pPr>
              <w:rPr>
                <w:sz w:val="18"/>
                <w:szCs w:val="18"/>
              </w:rPr>
            </w:pPr>
            <w:r w:rsidRPr="004C78D8">
              <w:rPr>
                <w:sz w:val="18"/>
                <w:szCs w:val="18"/>
                <w:vertAlign w:val="superscript"/>
              </w:rPr>
              <w:t>4</w:t>
            </w:r>
            <w:r w:rsidR="00ED0F3B" w:rsidRPr="004C78D8">
              <w:rPr>
                <w:sz w:val="18"/>
                <w:szCs w:val="18"/>
              </w:rPr>
              <w:t xml:space="preserve"> Calculated from RaR reported by the RCT, RR and SE for log(RR any faller) from Cochrane meta-analysis </w:t>
            </w:r>
            <w:r w:rsidR="00ED0F3B" w:rsidRPr="004C78D8">
              <w:rPr>
                <w:sz w:val="18"/>
                <w:szCs w:val="18"/>
              </w:rPr>
              <w:fldChar w:fldCharType="begin"/>
            </w:r>
            <w:r w:rsidR="00513646" w:rsidRPr="004C78D8">
              <w:rPr>
                <w:sz w:val="18"/>
                <w:szCs w:val="18"/>
              </w:rPr>
              <w:instrText xml:space="preserve"> ADDIN EN.CITE &lt;EndNote&gt;&lt;Cite&gt;&lt;Author&gt;Sherrington&lt;/Author&gt;&lt;Year&gt;2019&lt;/Year&gt;&lt;RecNum&gt;310&lt;/RecNum&gt;&lt;DisplayText&gt;[125]&lt;/DisplayText&gt;&lt;record&gt;&lt;rec-number&gt;310&lt;/rec-number&gt;&lt;foreign-keys&gt;&lt;key app="EN" db-id="tdtrdw9aepptzbefsat599syza29sxsd2wsp" timestamp="1612016357"&gt;310&lt;/key&gt;&lt;/foreign-keys&gt;&lt;ref-type name="Journal Article"&gt;17&lt;/ref-type&gt;&lt;contributors&gt;&lt;authors&gt;&lt;author&gt;Sherrington, Catherine&lt;/author&gt;&lt;author&gt;Fairhall, Nicola J&lt;/author&gt;&lt;author&gt;Wallbank, Geraldine K&lt;/author&gt;&lt;author&gt;Tiedemann, Anne&lt;/author&gt;&lt;author&gt;Michaleff, Zoe A&lt;/author&gt;&lt;author&gt;Howard, Kirsten&lt;/author&gt;&lt;author&gt;Clemson, Lindy&lt;/author&gt;&lt;author&gt;Hopewell, Sally&lt;/author&gt;&lt;author&gt;Lamb, Sarah E&lt;/author&gt;&lt;/authors&gt;&lt;/contributors&gt;&lt;titles&gt;&lt;title&gt;Exercise for preventing falls in older people living in the community&lt;/title&gt;&lt;secondary-title&gt;Cochrane database of systematic reviews&lt;/secondary-title&gt;&lt;/titles&gt;&lt;periodical&gt;&lt;full-title&gt;Cochrane database of systematic reviews&lt;/full-title&gt;&lt;/periodical&gt;&lt;number&gt;1&lt;/number&gt;&lt;dates&gt;&lt;year&gt;2019&lt;/year&gt;&lt;/dates&gt;&lt;isbn&gt;1465-1858&lt;/isbn&gt;&lt;urls&gt;&lt;/urls&gt;&lt;/record&gt;&lt;/Cite&gt;&lt;/EndNote&gt;</w:instrText>
            </w:r>
            <w:r w:rsidR="00ED0F3B" w:rsidRPr="004C78D8">
              <w:rPr>
                <w:sz w:val="18"/>
                <w:szCs w:val="18"/>
              </w:rPr>
              <w:fldChar w:fldCharType="separate"/>
            </w:r>
            <w:r w:rsidR="00513646" w:rsidRPr="004C78D8">
              <w:rPr>
                <w:noProof/>
                <w:sz w:val="18"/>
                <w:szCs w:val="18"/>
              </w:rPr>
              <w:t>[125]</w:t>
            </w:r>
            <w:r w:rsidR="00ED0F3B" w:rsidRPr="004C78D8">
              <w:rPr>
                <w:sz w:val="18"/>
                <w:szCs w:val="18"/>
              </w:rPr>
              <w:fldChar w:fldCharType="end"/>
            </w:r>
            <w:r w:rsidR="00ED0F3B" w:rsidRPr="004C78D8">
              <w:rPr>
                <w:sz w:val="18"/>
                <w:szCs w:val="18"/>
              </w:rPr>
              <w:t xml:space="preserve"> and A of 0.903.</w:t>
            </w:r>
            <w:r w:rsidR="00295A41" w:rsidRPr="004C78D8">
              <w:rPr>
                <w:sz w:val="18"/>
                <w:szCs w:val="18"/>
              </w:rPr>
              <w:t xml:space="preserve"> The 95% CInt for RR</w:t>
            </w:r>
            <w:r w:rsidR="00295A41" w:rsidRPr="004C78D8">
              <w:rPr>
                <w:sz w:val="18"/>
                <w:szCs w:val="18"/>
                <w:vertAlign w:val="superscript"/>
              </w:rPr>
              <w:t>RF</w:t>
            </w:r>
            <w:r w:rsidR="00295A41" w:rsidRPr="004C78D8">
              <w:rPr>
                <w:sz w:val="18"/>
                <w:szCs w:val="18"/>
              </w:rPr>
              <w:t xml:space="preserve"> was obtained by assuming that SE for log(RR any faller) </w:t>
            </w:r>
            <w:r w:rsidR="00546C48" w:rsidRPr="004C78D8">
              <w:rPr>
                <w:sz w:val="18"/>
                <w:szCs w:val="18"/>
              </w:rPr>
              <w:t>equals</w:t>
            </w:r>
            <w:r w:rsidR="00295A41" w:rsidRPr="004C78D8">
              <w:rPr>
                <w:sz w:val="18"/>
                <w:szCs w:val="18"/>
              </w:rPr>
              <w:t xml:space="preserve"> SE for log(RR</w:t>
            </w:r>
            <w:r w:rsidR="00295A41" w:rsidRPr="004C78D8">
              <w:rPr>
                <w:sz w:val="18"/>
                <w:szCs w:val="18"/>
                <w:vertAlign w:val="superscript"/>
              </w:rPr>
              <w:t>RF</w:t>
            </w:r>
            <w:r w:rsidR="00295A41" w:rsidRPr="004C78D8">
              <w:rPr>
                <w:sz w:val="18"/>
                <w:szCs w:val="18"/>
              </w:rPr>
              <w:t>).</w:t>
            </w:r>
          </w:p>
          <w:p w14:paraId="72CAECA9" w14:textId="55B19C4E" w:rsidR="00ED0F3B" w:rsidRPr="004C78D8" w:rsidRDefault="00AA40D4" w:rsidP="00FB7C1F">
            <w:pPr>
              <w:rPr>
                <w:sz w:val="18"/>
                <w:szCs w:val="18"/>
              </w:rPr>
            </w:pPr>
            <w:r w:rsidRPr="004C78D8">
              <w:rPr>
                <w:sz w:val="18"/>
                <w:szCs w:val="18"/>
                <w:vertAlign w:val="superscript"/>
              </w:rPr>
              <w:t>5</w:t>
            </w:r>
            <w:r w:rsidR="00ED0F3B" w:rsidRPr="004C78D8">
              <w:rPr>
                <w:sz w:val="18"/>
                <w:szCs w:val="18"/>
              </w:rPr>
              <w:t xml:space="preserve"> Calculated from </w:t>
            </w:r>
            <w:bookmarkStart w:id="154" w:name="_Hlk57972476"/>
            <w:r w:rsidR="00ED0F3B" w:rsidRPr="004C78D8">
              <w:rPr>
                <w:sz w:val="18"/>
                <w:szCs w:val="18"/>
              </w:rPr>
              <w:t xml:space="preserve">OR </w:t>
            </w:r>
            <w:bookmarkEnd w:id="154"/>
            <w:r w:rsidR="00ED0F3B" w:rsidRPr="004C78D8">
              <w:rPr>
                <w:sz w:val="18"/>
                <w:szCs w:val="18"/>
              </w:rPr>
              <w:t>and baseline risk of 38% of control group being highly physically active from the RCT.</w:t>
            </w:r>
          </w:p>
          <w:p w14:paraId="0438D440" w14:textId="3810B18F" w:rsidR="00ED0F3B" w:rsidRPr="004C78D8" w:rsidRDefault="00AA40D4" w:rsidP="00FB7C1F">
            <w:pPr>
              <w:rPr>
                <w:sz w:val="20"/>
                <w:szCs w:val="20"/>
              </w:rPr>
            </w:pPr>
            <w:r w:rsidRPr="004C78D8">
              <w:rPr>
                <w:sz w:val="18"/>
                <w:szCs w:val="18"/>
                <w:vertAlign w:val="superscript"/>
              </w:rPr>
              <w:t>6</w:t>
            </w:r>
            <w:r w:rsidR="00ED0F3B" w:rsidRPr="004C78D8">
              <w:rPr>
                <w:sz w:val="18"/>
                <w:szCs w:val="18"/>
              </w:rPr>
              <w:t xml:space="preserve"> Proxied by RR of being injurious faller given any fall reported by the RCT; applied to both single and recurrent fallers.</w:t>
            </w:r>
          </w:p>
        </w:tc>
      </w:tr>
    </w:tbl>
    <w:p w14:paraId="2480C9CC" w14:textId="77777777" w:rsidR="000463CB" w:rsidRPr="004C78D8" w:rsidRDefault="000463CB" w:rsidP="00FB7C1F"/>
    <w:p w14:paraId="6494B8F5" w14:textId="170B45D8" w:rsidR="00AA40D4" w:rsidRPr="004C78D8" w:rsidRDefault="00AA40D4" w:rsidP="00FB7C1F">
      <w:r w:rsidRPr="004C78D8">
        <w:t xml:space="preserve">Several RCTs reported both RR and RaR for the intervention relative to comparator. Nyman (2020), for example, reported RR of 1.024 (95% confidence interval: 0.608-1.723) and RaR of 0.350 (95% CInt: 0.150-0.810); hence, the intervention lacks statistically significant evidence for reducing the number of fallers but has such evidence for the number of falls per faller </w:t>
      </w:r>
      <w:r w:rsidRPr="004C78D8">
        <w:fldChar w:fldCharType="begin"/>
      </w:r>
      <w:r w:rsidR="00C630FC" w:rsidRPr="004C78D8">
        <w:instrText xml:space="preserve"> ADDIN EN.CITE &lt;EndNote&gt;&lt;Cite&gt;&lt;Author&gt;Nyman&lt;/Author&gt;&lt;Year&gt;2019&lt;/Year&gt;&lt;RecNum&gt;281&lt;/RecNum&gt;&lt;DisplayText&gt;[235]&lt;/DisplayText&gt;&lt;record&gt;&lt;rec-number&gt;281&lt;/rec-number&gt;&lt;foreign-keys&gt;&lt;key app="EN" db-id="tdtrdw9aepptzbefsat599syza29sxsd2wsp" timestamp="1611699160"&gt;281&lt;/key&gt;&lt;/foreign-keys&gt;&lt;ref-type name="Journal Article"&gt;17&lt;/ref-type&gt;&lt;contributors&gt;&lt;authors&gt;&lt;author&gt;Nyman, Samuel R&lt;/author&gt;&lt;author&gt;Ingram, Wendy&lt;/author&gt;&lt;author&gt;Sanders, Jeanette&lt;/author&gt;&lt;author&gt;Thomas, Peter W&lt;/author&gt;&lt;author&gt;Thomas, Sarah&lt;/author&gt;&lt;author&gt;Vassallo, Michael&lt;/author&gt;&lt;author&gt;Raftery, James&lt;/author&gt;&lt;author&gt;Bibi, Iram&lt;/author&gt;&lt;author&gt;Barrado-Martín, Yolanda&lt;/author&gt;&lt;/authors&gt;&lt;/contributors&gt;&lt;titles&gt;&lt;title&gt;Randomised controlled trial of the effect of Tai Chi on postural balance of people with dementia&lt;/title&gt;&lt;secondary-title&gt;Clinical interventions in aging&lt;/secondary-title&gt;&lt;/titles&gt;&lt;periodical&gt;&lt;full-title&gt;Clin Interv Aging&lt;/full-title&gt;&lt;abbr-1&gt;Clinical interventions in aging&lt;/abbr-1&gt;&lt;/periodical&gt;&lt;pages&gt;2017&lt;/pages&gt;&lt;volume&gt;14&lt;/volume&gt;&lt;dates&gt;&lt;year&gt;2019&lt;/year&gt;&lt;/dates&gt;&lt;urls&gt;&lt;/urls&gt;&lt;/record&gt;&lt;/Cite&gt;&lt;/EndNote&gt;</w:instrText>
      </w:r>
      <w:r w:rsidRPr="004C78D8">
        <w:fldChar w:fldCharType="separate"/>
      </w:r>
      <w:r w:rsidR="00C630FC" w:rsidRPr="004C78D8">
        <w:rPr>
          <w:noProof/>
        </w:rPr>
        <w:t>[235]</w:t>
      </w:r>
      <w:r w:rsidRPr="004C78D8">
        <w:fldChar w:fldCharType="end"/>
      </w:r>
      <w:r w:rsidRPr="004C78D8">
        <w:t>. Using one of RR or RaR individually would neglect the information content of the other. Therefore, where the RCT reported both RaR and RR, the following equation (2) was used to estimate RR of being a recurrent faller given any fall, or RR</w:t>
      </w:r>
      <w:r w:rsidRPr="004C78D8">
        <w:rPr>
          <w:vertAlign w:val="superscript"/>
        </w:rPr>
        <w:t>RF</w:t>
      </w:r>
      <w:r w:rsidR="002930A3" w:rsidRPr="004C78D8">
        <w:t>, from the information in the two metrics:</w:t>
      </w:r>
      <w:r w:rsidRPr="004C78D8">
        <w:t xml:space="preserve"> </w:t>
      </w:r>
    </w:p>
    <w:p w14:paraId="38887B33" w14:textId="77777777" w:rsidR="00AA40D4" w:rsidRPr="004C78D8" w:rsidRDefault="00AA40D4" w:rsidP="00FB7C1F">
      <m:oMathPara>
        <m:oMath>
          <m:r>
            <w:rPr>
              <w:rFonts w:ascii="Cambria Math" w:hAnsi="Cambria Math"/>
            </w:rPr>
            <m:t>RaR=RR×</m:t>
          </m:r>
          <m:sSup>
            <m:sSupPr>
              <m:ctrlPr>
                <w:rPr>
                  <w:rFonts w:ascii="Cambria Math" w:hAnsi="Cambria Math"/>
                  <w:i/>
                </w:rPr>
              </m:ctrlPr>
            </m:sSupPr>
            <m:e>
              <m:r>
                <w:rPr>
                  <w:rFonts w:ascii="Cambria Math" w:hAnsi="Cambria Math"/>
                </w:rPr>
                <m:t>RR</m:t>
              </m:r>
            </m:e>
            <m:sup>
              <m:r>
                <w:rPr>
                  <w:rFonts w:ascii="Cambria Math" w:hAnsi="Cambria Math"/>
                </w:rPr>
                <m:t>RF</m:t>
              </m:r>
            </m:sup>
          </m:sSup>
          <m:r>
            <w:rPr>
              <w:rFonts w:ascii="Cambria Math" w:hAnsi="Cambria Math"/>
            </w:rPr>
            <m:t>×A</m:t>
          </m:r>
        </m:oMath>
      </m:oMathPara>
    </w:p>
    <w:p w14:paraId="66EB3874" w14:textId="77777777" w:rsidR="00AA40D4" w:rsidRPr="004C78D8" w:rsidRDefault="00AA40D4" w:rsidP="00FB7C1F">
      <m:oMathPara>
        <m:oMath>
          <m:r>
            <w:rPr>
              <w:rFonts w:ascii="Cambria Math" w:hAnsi="Cambria Math"/>
            </w:rPr>
            <m:t>and A=</m:t>
          </m:r>
          <m:f>
            <m:fPr>
              <m:ctrlPr>
                <w:rPr>
                  <w:rFonts w:ascii="Cambria Math" w:hAnsi="Cambria Math"/>
                  <w:i/>
                </w:rPr>
              </m:ctrlPr>
            </m:fPr>
            <m:num>
              <m:r>
                <w:rPr>
                  <w:rFonts w:ascii="Cambria Math" w:hAnsi="Cambria Math"/>
                </w:rPr>
                <m:t>1+Ratio'∙</m:t>
              </m:r>
              <m:sSup>
                <m:sSupPr>
                  <m:ctrlPr>
                    <w:rPr>
                      <w:rFonts w:ascii="Cambria Math" w:hAnsi="Cambria Math"/>
                      <w:i/>
                    </w:rPr>
                  </m:ctrlPr>
                </m:sSupPr>
                <m:e>
                  <m:r>
                    <w:rPr>
                      <w:rFonts w:ascii="Cambria Math" w:hAnsi="Cambria Math"/>
                    </w:rPr>
                    <m:t>RF#</m:t>
                  </m:r>
                </m:e>
                <m:sup>
                  <m:r>
                    <w:rPr>
                      <w:rFonts w:ascii="Cambria Math" w:hAnsi="Cambria Math"/>
                    </w:rPr>
                    <m:t>'</m:t>
                  </m:r>
                </m:sup>
              </m:sSup>
            </m:num>
            <m:den>
              <m:r>
                <w:rPr>
                  <w:rFonts w:ascii="Cambria Math" w:hAnsi="Cambria Math"/>
                </w:rPr>
                <m:t>1+Ratio∙RF#</m:t>
              </m:r>
            </m:den>
          </m:f>
          <m:r>
            <w:rPr>
              <w:rFonts w:ascii="Cambria Math" w:hAnsi="Cambria Math"/>
            </w:rPr>
            <m:t>×</m:t>
          </m:r>
          <m:f>
            <m:fPr>
              <m:ctrlPr>
                <w:rPr>
                  <w:rFonts w:ascii="Cambria Math" w:hAnsi="Cambria Math"/>
                  <w:i/>
                </w:rPr>
              </m:ctrlPr>
            </m:fPr>
            <m:num>
              <m:r>
                <w:rPr>
                  <w:rFonts w:ascii="Cambria Math" w:hAnsi="Cambria Math"/>
                </w:rPr>
                <m:t>Ratio</m:t>
              </m:r>
            </m:num>
            <m:den>
              <m:r>
                <w:rPr>
                  <w:rFonts w:ascii="Cambria Math" w:hAnsi="Cambria Math"/>
                </w:rPr>
                <m:t>Ratio'</m:t>
              </m:r>
            </m:den>
          </m:f>
          <m:r>
            <w:rPr>
              <w:rFonts w:ascii="Cambria Math" w:hAnsi="Cambria Math"/>
            </w:rPr>
            <m:t>×</m:t>
          </m:r>
          <m:f>
            <m:fPr>
              <m:ctrlPr>
                <w:rPr>
                  <w:rFonts w:ascii="Cambria Math" w:hAnsi="Cambria Math"/>
                  <w:i/>
                </w:rPr>
              </m:ctrlPr>
            </m:fPr>
            <m:num>
              <m:r>
                <w:rPr>
                  <w:rFonts w:ascii="Cambria Math" w:hAnsi="Cambria Math"/>
                </w:rPr>
                <m:t>APY</m:t>
              </m:r>
            </m:num>
            <m:den>
              <m:r>
                <w:rPr>
                  <w:rFonts w:ascii="Cambria Math" w:hAnsi="Cambria Math"/>
                </w:rPr>
                <m:t>APY'</m:t>
              </m:r>
            </m:den>
          </m:f>
          <m:r>
            <w:rPr>
              <w:rFonts w:ascii="Cambria Math" w:hAnsi="Cambria Math"/>
            </w:rPr>
            <m:t xml:space="preserve">       (2)</m:t>
          </m:r>
        </m:oMath>
      </m:oMathPara>
    </w:p>
    <w:p w14:paraId="4BE2FCEC" w14:textId="656EF267" w:rsidR="002930A3" w:rsidRPr="004C78D8" w:rsidRDefault="00AA40D4" w:rsidP="00FB7C1F">
      <w:r w:rsidRPr="004C78D8">
        <w:t xml:space="preserve">where </w:t>
      </w:r>
      <m:oMath>
        <m:r>
          <w:rPr>
            <w:rFonts w:ascii="Cambria Math" w:hAnsi="Cambria Math"/>
          </w:rPr>
          <m:t>A</m:t>
        </m:r>
      </m:oMath>
      <w:r w:rsidRPr="004C78D8">
        <w:t xml:space="preserve"> is a composite term expressing the pattern of falls among recurrent fallers (henceforth, ‘recurrent fall pattern’). </w:t>
      </w:r>
      <m:oMath>
        <m:r>
          <w:rPr>
            <w:rFonts w:ascii="Cambria Math" w:hAnsi="Cambria Math"/>
          </w:rPr>
          <m:t>Ratio'</m:t>
        </m:r>
      </m:oMath>
      <w:r w:rsidRPr="004C78D8">
        <w:t xml:space="preserve"> and </w:t>
      </w:r>
      <m:oMath>
        <m:r>
          <w:rPr>
            <w:rFonts w:ascii="Cambria Math" w:hAnsi="Cambria Math"/>
          </w:rPr>
          <m:t>Ratio</m:t>
        </m:r>
      </m:oMath>
      <w:r w:rsidRPr="004C78D8">
        <w:t xml:space="preserve"> are ratios between the numbers of recurrent fallers and single fallers in the intervention group and control group, respectively. </w:t>
      </w:r>
      <m:oMath>
        <m:sSup>
          <m:sSupPr>
            <m:ctrlPr>
              <w:rPr>
                <w:rFonts w:ascii="Cambria Math" w:hAnsi="Cambria Math"/>
                <w:i/>
              </w:rPr>
            </m:ctrlPr>
          </m:sSupPr>
          <m:e>
            <m:r>
              <w:rPr>
                <w:rFonts w:ascii="Cambria Math" w:hAnsi="Cambria Math"/>
              </w:rPr>
              <m:t>RF#</m:t>
            </m:r>
          </m:e>
          <m:sup>
            <m:r>
              <w:rPr>
                <w:rFonts w:ascii="Cambria Math" w:hAnsi="Cambria Math"/>
              </w:rPr>
              <m:t>'</m:t>
            </m:r>
          </m:sup>
        </m:sSup>
      </m:oMath>
      <w:r w:rsidRPr="004C78D8">
        <w:t xml:space="preserve"> and </w:t>
      </w:r>
      <m:oMath>
        <m:r>
          <w:rPr>
            <w:rFonts w:ascii="Cambria Math" w:hAnsi="Cambria Math"/>
          </w:rPr>
          <m:t>RF#</m:t>
        </m:r>
      </m:oMath>
      <w:r w:rsidRPr="004C78D8">
        <w:t xml:space="preserve"> are the average numbers of falls experienced by recurrent fallers in the intervention group and control group, respectively. </w:t>
      </w:r>
      <m:oMath>
        <m:sSup>
          <m:sSupPr>
            <m:ctrlPr>
              <w:rPr>
                <w:rFonts w:ascii="Cambria Math" w:hAnsi="Cambria Math"/>
                <w:i/>
              </w:rPr>
            </m:ctrlPr>
          </m:sSupPr>
          <m:e>
            <m:r>
              <w:rPr>
                <w:rFonts w:ascii="Cambria Math" w:hAnsi="Cambria Math"/>
              </w:rPr>
              <m:t>APY</m:t>
            </m:r>
          </m:e>
          <m:sup>
            <m:r>
              <w:rPr>
                <w:rFonts w:ascii="Cambria Math" w:hAnsi="Cambria Math"/>
              </w:rPr>
              <m:t>'</m:t>
            </m:r>
          </m:sup>
        </m:sSup>
      </m:oMath>
      <w:r w:rsidRPr="004C78D8">
        <w:t xml:space="preserve"> and </w:t>
      </w:r>
      <m:oMath>
        <m:r>
          <w:rPr>
            <w:rFonts w:ascii="Cambria Math" w:hAnsi="Cambria Math"/>
          </w:rPr>
          <m:t>APY</m:t>
        </m:r>
      </m:oMath>
      <w:r w:rsidRPr="004C78D8">
        <w:t xml:space="preserve"> are the average length of follow-up duration expressed in person-years for the intervention group and control group, respectively. Equation (2) is derived in Appendix E. </w:t>
      </w:r>
      <w:r w:rsidR="002930A3" w:rsidRPr="004C78D8">
        <w:t xml:space="preserve">Only one UK RCT (not used for parameterisation) reported sufficient data to estimate the recurrent fall pattern of value 0.903 </w:t>
      </w:r>
      <w:r w:rsidR="002930A3" w:rsidRPr="004C78D8">
        <w:fldChar w:fldCharType="begin"/>
      </w:r>
      <w:r w:rsidR="00513646" w:rsidRPr="004C78D8">
        <w:instrText xml:space="preserve"> ADDIN EN.CITE &lt;EndNote&gt;&lt;Cite&gt;&lt;Author&gt;Conroy&lt;/Author&gt;&lt;Year&gt;2010&lt;/Year&gt;&lt;RecNum&gt;162&lt;/RecNum&gt;&lt;DisplayText&gt;[25]&lt;/DisplayText&gt;&lt;record&gt;&lt;rec-number&gt;162&lt;/rec-number&gt;&lt;foreign-keys&gt;&lt;key app="EN" db-id="tdtrdw9aepptzbefsat599syza29sxsd2wsp" timestamp="1609258180"&gt;162&lt;/key&gt;&lt;/foreign-keys&gt;&lt;ref-type name="Journal Article"&gt;17&lt;/ref-type&gt;&lt;contributors&gt;&lt;authors&gt;&lt;author&gt;Conroy, Simon&lt;/author&gt;&lt;author&gt;Kendrick, Denise&lt;/author&gt;&lt;author&gt;Harwood, Rowan&lt;/author&gt;&lt;author&gt;Gladman, John&lt;/author&gt;&lt;author&gt;Coupland, Carol&lt;/author&gt;&lt;author&gt;Sach, Tracey&lt;/author&gt;&lt;author&gt;Drummond, Avril&lt;/author&gt;&lt;author&gt;Youde, Jane&lt;/author&gt;&lt;author&gt;Edmans, Judi&lt;/author&gt;&lt;author&gt;Masud, Tahir&lt;/author&gt;&lt;/authors&gt;&lt;/contributors&gt;&lt;titles&gt;&lt;title&gt;A multicentre randomised controlled trial of day hospital-based falls prevention programme for a screened population of community-dwelling older people at high risk of falls&lt;/title&gt;&lt;secondary-title&gt;Age and Ageing&lt;/secondary-title&gt;&lt;/titles&gt;&lt;periodical&gt;&lt;full-title&gt;Age and ageing&lt;/full-title&gt;&lt;/periodical&gt;&lt;pages&gt;704-710&lt;/pages&gt;&lt;volume&gt;39&lt;/volume&gt;&lt;number&gt;6&lt;/number&gt;&lt;dates&gt;&lt;year&gt;2010&lt;/year&gt;&lt;/dates&gt;&lt;isbn&gt;1468-2834&lt;/isbn&gt;&lt;urls&gt;&lt;/urls&gt;&lt;/record&gt;&lt;/Cite&gt;&lt;/EndNote&gt;</w:instrText>
      </w:r>
      <w:r w:rsidR="002930A3" w:rsidRPr="004C78D8">
        <w:fldChar w:fldCharType="separate"/>
      </w:r>
      <w:r w:rsidR="00513646" w:rsidRPr="004C78D8">
        <w:rPr>
          <w:noProof/>
        </w:rPr>
        <w:t>[25]</w:t>
      </w:r>
      <w:r w:rsidR="002930A3" w:rsidRPr="004C78D8">
        <w:fldChar w:fldCharType="end"/>
      </w:r>
      <w:r w:rsidR="002930A3" w:rsidRPr="004C78D8">
        <w:t xml:space="preserve">. This estimate was assumed to hold for other RCTs when equation (2) was applied. </w:t>
      </w:r>
      <w:r w:rsidR="00A47B13" w:rsidRPr="004C78D8">
        <w:t>In the example of Nyman (2020) given above, the RR of being a recurrent faller given any fall (</w:t>
      </w:r>
      <w:r w:rsidR="00A47B13" w:rsidRPr="00972766">
        <w:rPr>
          <w:i/>
          <w:iCs/>
        </w:rPr>
        <w:t>RR</w:t>
      </w:r>
      <w:r w:rsidR="00A47B13" w:rsidRPr="00972766">
        <w:rPr>
          <w:i/>
          <w:iCs/>
          <w:vertAlign w:val="superscript"/>
        </w:rPr>
        <w:t>RF</w:t>
      </w:r>
      <w:r w:rsidR="00A47B13" w:rsidRPr="004C78D8">
        <w:t xml:space="preserve">) would be 0.350/(1.024*0.903) = 0.379. </w:t>
      </w:r>
      <w:r w:rsidR="00964D77" w:rsidRPr="004C78D8">
        <w:t xml:space="preserve">The intervention’s high efficacy in reducing the number of falls per faller thus translates to </w:t>
      </w:r>
      <w:r w:rsidR="007A11A1" w:rsidRPr="004C78D8">
        <w:t>around 62% reduction</w:t>
      </w:r>
      <w:r w:rsidR="00964D77" w:rsidRPr="004C78D8">
        <w:t xml:space="preserve"> in the </w:t>
      </w:r>
      <w:r w:rsidR="007A11A1" w:rsidRPr="004C78D8">
        <w:t>risk of being a</w:t>
      </w:r>
      <w:r w:rsidR="00964D77" w:rsidRPr="004C78D8">
        <w:t xml:space="preserve"> recurrent faller </w:t>
      </w:r>
      <w:r w:rsidR="007A11A1" w:rsidRPr="004C78D8">
        <w:t>having fallen</w:t>
      </w:r>
      <w:r w:rsidR="00964D77" w:rsidRPr="004C78D8">
        <w:t>.</w:t>
      </w:r>
    </w:p>
    <w:p w14:paraId="68E1ADAE" w14:textId="57E0EDE3" w:rsidR="00AA40D4" w:rsidRPr="004C78D8" w:rsidRDefault="002930A3" w:rsidP="00FB7C1F">
      <w:r w:rsidRPr="004C78D8">
        <w:t xml:space="preserve">Where sufficient data were reported, RR of being an MA faller given any fall was computed. Technically, the model could have distinguished between RR of being an MA faller given a single fall and </w:t>
      </w:r>
      <w:r w:rsidR="00295A41" w:rsidRPr="004C78D8">
        <w:t xml:space="preserve">RR </w:t>
      </w:r>
      <w:r w:rsidRPr="004C78D8">
        <w:t>given recurrent falls, but no RCT provided sufficient detail for this distinction.</w:t>
      </w:r>
      <w:r w:rsidR="00F316DD" w:rsidRPr="004C78D8">
        <w:t xml:space="preserve"> </w:t>
      </w:r>
      <w:r w:rsidR="00843830" w:rsidRPr="004C78D8">
        <w:t xml:space="preserve">The RR was hence applied to both single and recurrent fallers. </w:t>
      </w:r>
      <w:r w:rsidR="00F316DD" w:rsidRPr="004C78D8">
        <w:t xml:space="preserve">No RCT reported RR of experiencing a fatal fall. The reliance on reported </w:t>
      </w:r>
      <w:r w:rsidR="00295A41" w:rsidRPr="004C78D8">
        <w:t>data</w:t>
      </w:r>
      <w:r w:rsidR="00F316DD" w:rsidRPr="004C78D8">
        <w:t xml:space="preserve"> meant that the </w:t>
      </w:r>
      <w:r w:rsidR="00295A41" w:rsidRPr="004C78D8">
        <w:t>evidence availability</w:t>
      </w:r>
      <w:r w:rsidR="00F316DD" w:rsidRPr="004C78D8">
        <w:t xml:space="preserve"> varied across RCTs</w:t>
      </w:r>
      <w:r w:rsidR="0061657E" w:rsidRPr="004C78D8">
        <w:t>: Lockwood (2009), for example, lacked the data for RR of being an MA faller given any fall, while Spice (2009) lacked it for RR</w:t>
      </w:r>
      <w:r w:rsidR="0061657E" w:rsidRPr="004C78D8">
        <w:rPr>
          <w:vertAlign w:val="superscript"/>
        </w:rPr>
        <w:t>RF</w:t>
      </w:r>
      <w:r w:rsidR="0061657E" w:rsidRPr="004C78D8">
        <w:t>.</w:t>
      </w:r>
      <w:r w:rsidR="00AE1142" w:rsidRPr="004C78D8">
        <w:t xml:space="preserve"> </w:t>
      </w:r>
      <w:r w:rsidR="00295A41" w:rsidRPr="004C78D8">
        <w:t xml:space="preserve">Yet the absence of reported evidence does not imply the absence of effect. </w:t>
      </w:r>
      <w:r w:rsidR="00AE1142" w:rsidRPr="004C78D8">
        <w:t xml:space="preserve">Iliffe (2014) provided the sole wider health effect of falls prevention, namely the higher likelihood of engaging in high physical activity. </w:t>
      </w:r>
      <w:r w:rsidR="00843830" w:rsidRPr="004C78D8">
        <w:t xml:space="preserve">The OR was converted into RR and applied to the individual-level probability of engaging in high physical activity in the next cycle (see Section </w:t>
      </w:r>
      <w:r w:rsidR="00B54C2F" w:rsidRPr="004C78D8">
        <w:t>5</w:t>
      </w:r>
      <w:r w:rsidR="00843830" w:rsidRPr="004C78D8">
        <w:t>.2.6.3). Iliffe (2014)</w:t>
      </w:r>
      <w:r w:rsidR="00AE1142" w:rsidRPr="004C78D8">
        <w:t xml:space="preserve"> nevertheless lacked the data on RR of experiencing any fall; this was thus obtained from </w:t>
      </w:r>
      <w:r w:rsidR="00295A41" w:rsidRPr="004C78D8">
        <w:t xml:space="preserve">the Cochrane meta-analysis on community-based falls prevention exercise </w:t>
      </w:r>
      <w:r w:rsidR="00295A41" w:rsidRPr="004C78D8">
        <w:fldChar w:fldCharType="begin"/>
      </w:r>
      <w:r w:rsidR="00513646" w:rsidRPr="004C78D8">
        <w:instrText xml:space="preserve"> ADDIN EN.CITE &lt;EndNote&gt;&lt;Cite&gt;&lt;Author&gt;Sherrington&lt;/Author&gt;&lt;Year&gt;2019&lt;/Year&gt;&lt;RecNum&gt;310&lt;/RecNum&gt;&lt;DisplayText&gt;[125]&lt;/DisplayText&gt;&lt;record&gt;&lt;rec-number&gt;310&lt;/rec-number&gt;&lt;foreign-keys&gt;&lt;key app="EN" db-id="tdtrdw9aepptzbefsat599syza29sxsd2wsp" timestamp="1612016357"&gt;310&lt;/key&gt;&lt;/foreign-keys&gt;&lt;ref-type name="Journal Article"&gt;17&lt;/ref-type&gt;&lt;contributors&gt;&lt;authors&gt;&lt;author&gt;Sherrington, Catherine&lt;/author&gt;&lt;author&gt;Fairhall, Nicola J&lt;/author&gt;&lt;author&gt;Wallbank, Geraldine K&lt;/author&gt;&lt;author&gt;Tiedemann, Anne&lt;/author&gt;&lt;author&gt;Michaleff, Zoe A&lt;/author&gt;&lt;author&gt;Howard, Kirsten&lt;/author&gt;&lt;author&gt;Clemson, Lindy&lt;/author&gt;&lt;author&gt;Hopewell, Sally&lt;/author&gt;&lt;author&gt;Lamb, Sarah E&lt;/author&gt;&lt;/authors&gt;&lt;/contributors&gt;&lt;titles&gt;&lt;title&gt;Exercise for preventing falls in older people living in the community&lt;/title&gt;&lt;secondary-title&gt;Cochrane database of systematic reviews&lt;/secondary-title&gt;&lt;/titles&gt;&lt;periodical&gt;&lt;full-title&gt;Cochrane database of systematic reviews&lt;/full-title&gt;&lt;/periodical&gt;&lt;number&gt;1&lt;/number&gt;&lt;dates&gt;&lt;year&gt;2019&lt;/year&gt;&lt;/dates&gt;&lt;isbn&gt;1465-1858&lt;/isbn&gt;&lt;urls&gt;&lt;/urls&gt;&lt;/record&gt;&lt;/Cite&gt;&lt;/EndNote&gt;</w:instrText>
      </w:r>
      <w:r w:rsidR="00295A41" w:rsidRPr="004C78D8">
        <w:fldChar w:fldCharType="separate"/>
      </w:r>
      <w:r w:rsidR="00513646" w:rsidRPr="004C78D8">
        <w:rPr>
          <w:noProof/>
        </w:rPr>
        <w:t>[125]</w:t>
      </w:r>
      <w:r w:rsidR="00295A41" w:rsidRPr="004C78D8">
        <w:fldChar w:fldCharType="end"/>
      </w:r>
      <w:r w:rsidR="00295A41" w:rsidRPr="004C78D8">
        <w:t>.</w:t>
      </w:r>
    </w:p>
    <w:p w14:paraId="5B537505" w14:textId="2C681872" w:rsidR="00932042" w:rsidRPr="004C78D8" w:rsidRDefault="00932042" w:rsidP="00FB7C1F">
      <w:r w:rsidRPr="004C78D8">
        <w:t xml:space="preserve">Five of the seven RCTs had follow-up durations of 12 months (or approaching 12 months at 50 weeks), while the other two had durations of six months; the meta-analysis pooled RCTs of follow-up durations ranging between three and 25 months. </w:t>
      </w:r>
      <w:r w:rsidR="00FB77BA" w:rsidRPr="004C78D8">
        <w:t>The model</w:t>
      </w:r>
      <w:r w:rsidRPr="004C78D8">
        <w:t xml:space="preserve"> assumed that the efficacies of the six-month follow-up RCTs were </w:t>
      </w:r>
      <w:r w:rsidR="00FB77BA" w:rsidRPr="004C78D8">
        <w:t>durable</w:t>
      </w:r>
      <w:r w:rsidRPr="004C78D8">
        <w:t xml:space="preserve"> for the </w:t>
      </w:r>
      <w:r w:rsidR="00FB77BA" w:rsidRPr="004C78D8">
        <w:t>year</w:t>
      </w:r>
      <w:r w:rsidRPr="004C78D8">
        <w:t xml:space="preserve"> in which the interventions are accessed. This is a limitation since there is no evidence </w:t>
      </w:r>
      <w:r w:rsidR="00914815" w:rsidRPr="004C78D8">
        <w:t xml:space="preserve">that the efficacies are durable </w:t>
      </w:r>
      <w:r w:rsidR="00FB77BA" w:rsidRPr="004C78D8">
        <w:t>in the second half of the year</w:t>
      </w:r>
      <w:r w:rsidRPr="004C78D8">
        <w:t xml:space="preserve">. </w:t>
      </w:r>
      <w:r w:rsidR="00E802F8" w:rsidRPr="004C78D8">
        <w:t xml:space="preserve">A further caveat is the model’s lack of consideration of per-protocol efficacy evidence, incorporating intention-to-treat (ITT) efficacy data only. The per-protocol evidence would have captured heterogeneity in the intervention benefit access by adherence level. </w:t>
      </w:r>
      <w:r w:rsidR="00FB77BA" w:rsidRPr="004C78D8">
        <w:t>But only Nyman (2020) conducted per-protocol analysis and did not report its outcome beyond stating that it was close to the ITT outcome.</w:t>
      </w:r>
      <w:r w:rsidR="00E802F8" w:rsidRPr="004C78D8">
        <w:t xml:space="preserve"> </w:t>
      </w:r>
    </w:p>
    <w:p w14:paraId="34D0C97F" w14:textId="77777777" w:rsidR="00AA40D4" w:rsidRPr="004C78D8" w:rsidRDefault="00AA40D4" w:rsidP="00FB7C1F"/>
    <w:p w14:paraId="01978A10" w14:textId="6B12F700" w:rsidR="00373C68" w:rsidRPr="004C78D8" w:rsidRDefault="0064431A" w:rsidP="00FB7C1F">
      <w:pPr>
        <w:pStyle w:val="Heading3"/>
      </w:pPr>
      <w:bookmarkStart w:id="155" w:name="_Toc111630778"/>
      <w:r w:rsidRPr="004C78D8">
        <w:t>5</w:t>
      </w:r>
      <w:r w:rsidR="00373C68" w:rsidRPr="004C78D8">
        <w:t>.</w:t>
      </w:r>
      <w:r w:rsidR="00332ADA" w:rsidRPr="004C78D8">
        <w:t>2</w:t>
      </w:r>
      <w:r w:rsidR="00373C68" w:rsidRPr="004C78D8">
        <w:t>.</w:t>
      </w:r>
      <w:r w:rsidR="00480861" w:rsidRPr="004C78D8">
        <w:t>5</w:t>
      </w:r>
      <w:r w:rsidR="00373C68" w:rsidRPr="004C78D8">
        <w:t xml:space="preserve"> Mortality </w:t>
      </w:r>
      <w:r w:rsidR="00162507" w:rsidRPr="004C78D8">
        <w:t xml:space="preserve">risks </w:t>
      </w:r>
      <w:r w:rsidR="00373C68" w:rsidRPr="004C78D8">
        <w:t>and falls epidemiology</w:t>
      </w:r>
      <w:bookmarkEnd w:id="155"/>
    </w:p>
    <w:p w14:paraId="300B3497" w14:textId="56A0F478" w:rsidR="00373C68" w:rsidRPr="004C78D8" w:rsidRDefault="005C6298" w:rsidP="00FB7C1F">
      <w:r w:rsidRPr="004C78D8">
        <w:t xml:space="preserve">After individuals have received their appropriate falls prevention interventions (if any), the model proceeds to generate the risk and incidence of mortality (Section </w:t>
      </w:r>
      <w:r w:rsidR="0064431A" w:rsidRPr="004C78D8">
        <w:t>5</w:t>
      </w:r>
      <w:r w:rsidRPr="004C78D8">
        <w:t>.</w:t>
      </w:r>
      <w:r w:rsidR="00332ADA" w:rsidRPr="004C78D8">
        <w:t>2</w:t>
      </w:r>
      <w:r w:rsidRPr="004C78D8">
        <w:t xml:space="preserve">.5.1), followed by the risk and incidence of falls of various types (Section </w:t>
      </w:r>
      <w:r w:rsidR="0064431A" w:rsidRPr="004C78D8">
        <w:t>5</w:t>
      </w:r>
      <w:r w:rsidRPr="004C78D8">
        <w:t>.</w:t>
      </w:r>
      <w:r w:rsidR="00332ADA" w:rsidRPr="004C78D8">
        <w:t>2</w:t>
      </w:r>
      <w:r w:rsidRPr="004C78D8">
        <w:t xml:space="preserve">.5.2). </w:t>
      </w:r>
    </w:p>
    <w:p w14:paraId="40876968" w14:textId="77CF8C03" w:rsidR="008D380D" w:rsidRPr="004C78D8" w:rsidRDefault="0064431A" w:rsidP="00FB7C1F">
      <w:pPr>
        <w:pStyle w:val="Heading4"/>
      </w:pPr>
      <w:r w:rsidRPr="004C78D8">
        <w:t>5</w:t>
      </w:r>
      <w:r w:rsidR="008D380D" w:rsidRPr="004C78D8">
        <w:t>.</w:t>
      </w:r>
      <w:r w:rsidR="00332ADA" w:rsidRPr="004C78D8">
        <w:t>2</w:t>
      </w:r>
      <w:r w:rsidR="008D380D" w:rsidRPr="004C78D8">
        <w:t>.</w:t>
      </w:r>
      <w:r w:rsidR="00480861" w:rsidRPr="004C78D8">
        <w:t>5</w:t>
      </w:r>
      <w:r w:rsidR="008D380D" w:rsidRPr="004C78D8">
        <w:t xml:space="preserve">.1 </w:t>
      </w:r>
      <w:r w:rsidR="00724D15" w:rsidRPr="004C78D8">
        <w:t>Fatal falls and other-cause mortality</w:t>
      </w:r>
    </w:p>
    <w:p w14:paraId="5755A3EA" w14:textId="225118D4" w:rsidR="00C339D1" w:rsidRPr="004C78D8" w:rsidRDefault="00D879D1" w:rsidP="00FB7C1F">
      <w:r w:rsidRPr="004C78D8">
        <w:t xml:space="preserve">According to the </w:t>
      </w:r>
      <w:r w:rsidR="007B7221" w:rsidRPr="004C78D8">
        <w:t xml:space="preserve">2019 </w:t>
      </w:r>
      <w:r w:rsidRPr="004C78D8">
        <w:t xml:space="preserve">Global Burden of Disease </w:t>
      </w:r>
      <w:r w:rsidR="00567F77" w:rsidRPr="004C78D8">
        <w:t xml:space="preserve">(GBD) </w:t>
      </w:r>
      <w:r w:rsidR="007B7221" w:rsidRPr="004C78D8">
        <w:t>study</w:t>
      </w:r>
      <w:r w:rsidRPr="004C78D8">
        <w:t>, falls constituted 0.76% of all deaths in men aged 50-69 in Sheffield; 0.45% in women aged 50-69; 1.09% in men aged 70</w:t>
      </w:r>
      <w:r w:rsidR="002E1DB2" w:rsidRPr="004C78D8">
        <w:t>+</w:t>
      </w:r>
      <w:r w:rsidRPr="004C78D8">
        <w:t>; and 0.96% in women aged 70</w:t>
      </w:r>
      <w:r w:rsidR="002E1DB2" w:rsidRPr="004C78D8">
        <w:t>+</w:t>
      </w:r>
      <w:r w:rsidR="000269D0" w:rsidRPr="004C78D8">
        <w:t xml:space="preserve"> </w:t>
      </w:r>
      <w:r w:rsidR="00DB55D1" w:rsidRPr="004C78D8">
        <w:fldChar w:fldCharType="begin"/>
      </w:r>
      <w:r w:rsidR="00C630FC" w:rsidRPr="004C78D8">
        <w:instrText xml:space="preserve"> ADDIN EN.CITE &lt;EndNote&gt;&lt;Cite&gt;&lt;Author&gt;Institute for Health Metrics and Evaluation&lt;/Author&gt;&lt;Year&gt;2020&lt;/Year&gt;&lt;RecNum&gt;155&lt;/RecNum&gt;&lt;DisplayText&gt;[408]&lt;/DisplayText&gt;&lt;record&gt;&lt;rec-number&gt;155&lt;/rec-number&gt;&lt;foreign-keys&gt;&lt;key app="EN" db-id="tdtrdw9aepptzbefsat599syza29sxsd2wsp" timestamp="1605523009"&gt;155&lt;/key&gt;&lt;/foreign-keys&gt;&lt;ref-type name="Web Page"&gt;12&lt;/ref-type&gt;&lt;contributors&gt;&lt;authors&gt;&lt;author&gt;Institute for Health Metrics and Evaluation,&lt;/author&gt;&lt;/authors&gt;&lt;/contributors&gt;&lt;titles&gt;&lt;title&gt;GBD Compare Data Visualization&lt;/title&gt;&lt;/titles&gt;&lt;pages&gt;Available from http://vizhub.healthdata.org/gbd-compare&lt;/pages&gt;&lt;number&gt;Accessed 2020.11.16&lt;/number&gt;&lt;dates&gt;&lt;year&gt;2020&lt;/year&gt;&lt;/dates&gt;&lt;pub-location&gt;Seattle, WA: IHME, University of Washington&lt;/pub-location&gt;&lt;urls&gt;&lt;/urls&gt;&lt;/record&gt;&lt;/Cite&gt;&lt;/EndNote&gt;</w:instrText>
      </w:r>
      <w:r w:rsidR="00DB55D1" w:rsidRPr="004C78D8">
        <w:fldChar w:fldCharType="separate"/>
      </w:r>
      <w:r w:rsidR="00C630FC" w:rsidRPr="004C78D8">
        <w:rPr>
          <w:noProof/>
        </w:rPr>
        <w:t>[408]</w:t>
      </w:r>
      <w:r w:rsidR="00DB55D1" w:rsidRPr="004C78D8">
        <w:fldChar w:fldCharType="end"/>
      </w:r>
      <w:r w:rsidRPr="004C78D8">
        <w:t xml:space="preserve">. </w:t>
      </w:r>
      <w:r w:rsidR="00DB55D1" w:rsidRPr="004C78D8">
        <w:t>From this information, estimates of all-cause mortality rates can be partitioned into fall-related and other-cause mortality rates</w:t>
      </w:r>
      <w:r w:rsidRPr="004C78D8">
        <w:t>.</w:t>
      </w:r>
      <w:r w:rsidR="0017072F" w:rsidRPr="004C78D8">
        <w:t xml:space="preserve"> The costs of health and social care by cause of death in the final year of life </w:t>
      </w:r>
      <w:r w:rsidR="0069164B" w:rsidRPr="004C78D8">
        <w:t>we</w:t>
      </w:r>
      <w:r w:rsidR="0017072F" w:rsidRPr="004C78D8">
        <w:t xml:space="preserve">re assigned to deceased individuals. </w:t>
      </w:r>
    </w:p>
    <w:p w14:paraId="2200CDF0" w14:textId="0B3E0183" w:rsidR="00662AE6" w:rsidRPr="004C78D8" w:rsidRDefault="00162507" w:rsidP="00FB7C1F">
      <w:pPr>
        <w:pStyle w:val="Heading5"/>
      </w:pPr>
      <w:r w:rsidRPr="004C78D8">
        <w:t>Risk</w:t>
      </w:r>
      <w:r w:rsidR="00C339D1" w:rsidRPr="004C78D8">
        <w:t xml:space="preserve"> of fatal falls</w:t>
      </w:r>
      <w:r w:rsidR="0017072F" w:rsidRPr="004C78D8">
        <w:t xml:space="preserve"> </w:t>
      </w:r>
    </w:p>
    <w:p w14:paraId="4D7D0508" w14:textId="703B48EC" w:rsidR="004F0DB6" w:rsidRPr="004C78D8" w:rsidRDefault="005F0240" w:rsidP="00FB7C1F">
      <w:r w:rsidRPr="004C78D8">
        <w:t xml:space="preserve">The ONS Life Tables provided the annual </w:t>
      </w:r>
      <w:r w:rsidR="00A67E65" w:rsidRPr="004C78D8">
        <w:t xml:space="preserve">all-cause </w:t>
      </w:r>
      <w:r w:rsidRPr="004C78D8">
        <w:t xml:space="preserve">mortality </w:t>
      </w:r>
      <w:r w:rsidR="00162507" w:rsidRPr="004C78D8">
        <w:t xml:space="preserve">risks </w:t>
      </w:r>
      <w:r w:rsidRPr="004C78D8">
        <w:t xml:space="preserve">stratified by age and sex </w:t>
      </w:r>
      <w:r w:rsidR="00A67E65" w:rsidRPr="004C78D8">
        <w:t xml:space="preserve">based on </w:t>
      </w:r>
      <w:r w:rsidR="00662AE6" w:rsidRPr="004C78D8">
        <w:t>death incidence</w:t>
      </w:r>
      <w:r w:rsidR="00A67E65" w:rsidRPr="004C78D8">
        <w:t xml:space="preserve"> </w:t>
      </w:r>
      <w:r w:rsidR="00662AE6" w:rsidRPr="004C78D8">
        <w:t>for</w:t>
      </w:r>
      <w:r w:rsidR="00A67E65" w:rsidRPr="004C78D8">
        <w:t xml:space="preserve"> the period 2016-2018 </w:t>
      </w:r>
      <w:r w:rsidR="006A62DF" w:rsidRPr="004C78D8">
        <w:fldChar w:fldCharType="begin"/>
      </w:r>
      <w:r w:rsidR="00C630FC" w:rsidRPr="004C78D8">
        <w:instrText xml:space="preserve"> ADDIN EN.CITE &lt;EndNote&gt;&lt;Cite&gt;&lt;Author&gt;Office for National Statistics&lt;/Author&gt;&lt;Year&gt;2019&lt;/Year&gt;&lt;RecNum&gt;154&lt;/RecNum&gt;&lt;DisplayText&gt;[388]&lt;/DisplayText&gt;&lt;record&gt;&lt;rec-number&gt;154&lt;/rec-number&gt;&lt;foreign-keys&gt;&lt;key app="EN" db-id="tdtrdw9aepptzbefsat599syza29sxsd2wsp" timestamp="1605522927"&gt;154&lt;/key&gt;&lt;/foreign-keys&gt;&lt;ref-type name="Journal Article"&gt;17&lt;/ref-type&gt;&lt;contributors&gt;&lt;authors&gt;&lt;author&gt;Office for National Statistics,&lt;/author&gt;&lt;/authors&gt;&lt;/contributors&gt;&lt;titles&gt;&lt;title&gt;National Life Tables, United Kingdom, 1980-1982 to 2016-2018&lt;/title&gt;&lt;/titles&gt;&lt;dates&gt;&lt;year&gt;2019&lt;/year&gt;&lt;/dates&gt;&lt;urls&gt;&lt;/urls&gt;&lt;/record&gt;&lt;/Cite&gt;&lt;/EndNote&gt;</w:instrText>
      </w:r>
      <w:r w:rsidR="006A62DF" w:rsidRPr="004C78D8">
        <w:fldChar w:fldCharType="separate"/>
      </w:r>
      <w:r w:rsidR="00C630FC" w:rsidRPr="004C78D8">
        <w:rPr>
          <w:noProof/>
        </w:rPr>
        <w:t>[388]</w:t>
      </w:r>
      <w:r w:rsidR="006A62DF" w:rsidRPr="004C78D8">
        <w:fldChar w:fldCharType="end"/>
      </w:r>
      <w:r w:rsidRPr="004C78D8">
        <w:t xml:space="preserve">. </w:t>
      </w:r>
      <w:r w:rsidR="004F0DB6" w:rsidRPr="004C78D8">
        <w:t>T</w:t>
      </w:r>
      <w:r w:rsidR="00662AE6" w:rsidRPr="004C78D8">
        <w:t>he Life Tables covered both community-dwelling and institutionali</w:t>
      </w:r>
      <w:r w:rsidR="006A62DF" w:rsidRPr="004C78D8">
        <w:t>s</w:t>
      </w:r>
      <w:r w:rsidR="00662AE6" w:rsidRPr="004C78D8">
        <w:t>ed populations</w:t>
      </w:r>
      <w:r w:rsidR="004F0DB6" w:rsidRPr="004C78D8">
        <w:t xml:space="preserve"> who have significantly different mortality rates. </w:t>
      </w:r>
      <w:r w:rsidR="009B323C" w:rsidRPr="004C78D8">
        <w:t xml:space="preserve">A </w:t>
      </w:r>
      <w:r w:rsidR="008B2097" w:rsidRPr="004C78D8">
        <w:t xml:space="preserve">prospective </w:t>
      </w:r>
      <w:r w:rsidR="009B323C" w:rsidRPr="004C78D8">
        <w:t xml:space="preserve">cohort study of </w:t>
      </w:r>
      <w:r w:rsidR="008B2097" w:rsidRPr="004C78D8">
        <w:t xml:space="preserve">primary care records of </w:t>
      </w:r>
      <w:r w:rsidR="009B323C" w:rsidRPr="004C78D8">
        <w:t xml:space="preserve">9,772 care home residents </w:t>
      </w:r>
      <w:r w:rsidR="008B2097" w:rsidRPr="004C78D8">
        <w:t xml:space="preserve">and 354,306 community-dwelling persons in England and Wales </w:t>
      </w:r>
      <w:r w:rsidR="009B323C" w:rsidRPr="004C78D8">
        <w:t xml:space="preserve">aged 65-104 </w:t>
      </w:r>
      <w:r w:rsidR="008B2097" w:rsidRPr="004C78D8">
        <w:t xml:space="preserve">reported one-year mortality rates for the two populations by age group </w:t>
      </w:r>
      <w:r w:rsidR="006A62DF" w:rsidRPr="004C78D8">
        <w:fldChar w:fldCharType="begin"/>
      </w:r>
      <w:r w:rsidR="00C630FC" w:rsidRPr="004C78D8">
        <w:instrText xml:space="preserve"> ADDIN EN.CITE &lt;EndNote&gt;&lt;Cite&gt;&lt;Author&gt;Shah&lt;/Author&gt;&lt;Year&gt;2013&lt;/Year&gt;&lt;RecNum&gt;140&lt;/RecNum&gt;&lt;DisplayText&gt;[409]&lt;/DisplayText&gt;&lt;record&gt;&lt;rec-number&gt;140&lt;/rec-number&gt;&lt;foreign-keys&gt;&lt;key app="EN" db-id="tdtrdw9aepptzbefsat599syza29sxsd2wsp" timestamp="1599847784"&gt;140&lt;/key&gt;&lt;/foreign-keys&gt;&lt;ref-type name="Journal Article"&gt;17&lt;/ref-type&gt;&lt;contributors&gt;&lt;authors&gt;&lt;author&gt;Shah, Sunil M&lt;/author&gt;&lt;author&gt;Carey, Iain M&lt;/author&gt;&lt;author&gt;Harris, Tess&lt;/author&gt;&lt;author&gt;DeWilde, Stephen&lt;/author&gt;&lt;author&gt;Cook, Derek G&lt;/author&gt;&lt;/authors&gt;&lt;/contributors&gt;&lt;titles&gt;&lt;title&gt;Mortality in older care home residents in England and Wales&lt;/title&gt;&lt;secondary-title&gt;Age and ageing&lt;/secondary-title&gt;&lt;/titles&gt;&lt;periodical&gt;&lt;full-title&gt;Age and ageing&lt;/full-title&gt;&lt;/periodical&gt;&lt;pages&gt;209-215&lt;/pages&gt;&lt;volume&gt;42&lt;/volume&gt;&lt;number&gt;2&lt;/number&gt;&lt;dates&gt;&lt;year&gt;2013&lt;/year&gt;&lt;/dates&gt;&lt;isbn&gt;1468-2834&lt;/isbn&gt;&lt;urls&gt;&lt;/urls&gt;&lt;/record&gt;&lt;/Cite&gt;&lt;/EndNote&gt;</w:instrText>
      </w:r>
      <w:r w:rsidR="006A62DF" w:rsidRPr="004C78D8">
        <w:fldChar w:fldCharType="separate"/>
      </w:r>
      <w:r w:rsidR="00C630FC" w:rsidRPr="004C78D8">
        <w:rPr>
          <w:noProof/>
        </w:rPr>
        <w:t>[409]</w:t>
      </w:r>
      <w:r w:rsidR="006A62DF" w:rsidRPr="004C78D8">
        <w:fldChar w:fldCharType="end"/>
      </w:r>
      <w:r w:rsidR="008B2097" w:rsidRPr="004C78D8">
        <w:t xml:space="preserve">. From this data, the relative risks of death in </w:t>
      </w:r>
      <w:r w:rsidR="00AC6268" w:rsidRPr="004C78D8">
        <w:t xml:space="preserve">an </w:t>
      </w:r>
      <w:r w:rsidR="008B2097" w:rsidRPr="004C78D8">
        <w:t>institutional setting compared to community were computed by age group: 10.67 for age 65-74; 5.51 for age 75-84; and 3.07 for age 85</w:t>
      </w:r>
      <w:r w:rsidR="004617D8" w:rsidRPr="004C78D8">
        <w:t>+</w:t>
      </w:r>
      <w:r w:rsidR="008B2097" w:rsidRPr="004C78D8">
        <w:t xml:space="preserve">. </w:t>
      </w:r>
      <w:r w:rsidR="007E3CC0" w:rsidRPr="004C78D8">
        <w:t xml:space="preserve">Using the relative mortality risks and the ELSA-estimated proportions of </w:t>
      </w:r>
      <w:r w:rsidR="00AC6268" w:rsidRPr="004C78D8">
        <w:t xml:space="preserve">the </w:t>
      </w:r>
      <w:r w:rsidR="007E3CC0" w:rsidRPr="004C78D8">
        <w:t>total population institutionali</w:t>
      </w:r>
      <w:r w:rsidR="00AC6268" w:rsidRPr="004C78D8">
        <w:t>s</w:t>
      </w:r>
      <w:r w:rsidR="007E3CC0" w:rsidRPr="004C78D8">
        <w:t xml:space="preserve">ed by age group and sex (Section </w:t>
      </w:r>
      <w:r w:rsidR="00E14EC0" w:rsidRPr="004C78D8">
        <w:t>5</w:t>
      </w:r>
      <w:r w:rsidR="007E3CC0" w:rsidRPr="004C78D8">
        <w:t>.</w:t>
      </w:r>
      <w:r w:rsidR="00CE7A92" w:rsidRPr="004C78D8">
        <w:t>2</w:t>
      </w:r>
      <w:r w:rsidR="007E3CC0" w:rsidRPr="004C78D8">
        <w:t>.2.1</w:t>
      </w:r>
      <w:r w:rsidR="00AC6268" w:rsidRPr="004C78D8">
        <w:t>)</w:t>
      </w:r>
      <w:r w:rsidR="007E3CC0" w:rsidRPr="004C78D8">
        <w:t xml:space="preserve">, annual mortality rates were estimated for the community-dwelling </w:t>
      </w:r>
      <w:r w:rsidR="00F71309" w:rsidRPr="004C78D8">
        <w:t>and</w:t>
      </w:r>
      <w:r w:rsidR="007E3CC0" w:rsidRPr="004C78D8">
        <w:t xml:space="preserve"> institutionali</w:t>
      </w:r>
      <w:r w:rsidR="00AC6268" w:rsidRPr="004C78D8">
        <w:t>s</w:t>
      </w:r>
      <w:r w:rsidR="007E3CC0" w:rsidRPr="004C78D8">
        <w:t>ed population</w:t>
      </w:r>
      <w:r w:rsidR="00F71309" w:rsidRPr="004C78D8">
        <w:t>s</w:t>
      </w:r>
      <w:r w:rsidR="007E3CC0" w:rsidRPr="004C78D8">
        <w:t xml:space="preserve">. </w:t>
      </w:r>
      <w:r w:rsidR="008B3F1E" w:rsidRPr="004C78D8">
        <w:t xml:space="preserve">It was assumed that the relative risk for age 65-74 applied also to age 60-64. </w:t>
      </w:r>
      <w:r w:rsidR="00980F4F" w:rsidRPr="004C78D8">
        <w:t>The weighted average of the two rates equalled the stratified rates in the ONS Life Tables.</w:t>
      </w:r>
    </w:p>
    <w:p w14:paraId="62BA6FED" w14:textId="2D696D10" w:rsidR="00567F77" w:rsidRPr="004C78D8" w:rsidRDefault="00AC6268" w:rsidP="00FB7C1F">
      <w:r w:rsidRPr="004C78D8">
        <w:t>T</w:t>
      </w:r>
      <w:r w:rsidR="00103C90" w:rsidRPr="004C78D8">
        <w:t xml:space="preserve">he age- and sex-stratified annual mortality rates for the community-dwelling population were further stratified by frailty category. </w:t>
      </w:r>
      <w:r w:rsidRPr="004C78D8">
        <w:t>T</w:t>
      </w:r>
      <w:r w:rsidR="00A62FA2" w:rsidRPr="004C78D8">
        <w:t xml:space="preserve">he </w:t>
      </w:r>
      <w:r w:rsidRPr="004C78D8">
        <w:t xml:space="preserve">UK study of </w:t>
      </w:r>
      <w:r w:rsidR="00A62FA2" w:rsidRPr="004C78D8">
        <w:t>eFI reported the hazard ratio</w:t>
      </w:r>
      <w:r w:rsidR="00745F61" w:rsidRPr="004C78D8">
        <w:t>s</w:t>
      </w:r>
      <w:r w:rsidR="00A62FA2" w:rsidRPr="004C78D8">
        <w:t xml:space="preserve"> of annual mortality </w:t>
      </w:r>
      <w:r w:rsidR="00745F61" w:rsidRPr="004C78D8">
        <w:t xml:space="preserve">(adjusted for age and sex) </w:t>
      </w:r>
      <w:r w:rsidR="00A62FA2" w:rsidRPr="004C78D8">
        <w:t>by frailty category: 1.92 (</w:t>
      </w:r>
      <w:r w:rsidR="00C30141" w:rsidRPr="004C78D8">
        <w:t>95% CInt</w:t>
      </w:r>
      <w:r w:rsidRPr="004C78D8">
        <w:t>:</w:t>
      </w:r>
      <w:r w:rsidR="00A62FA2" w:rsidRPr="004C78D8">
        <w:t xml:space="preserve"> 1.81-2.04) for Mild relative to Fit; 3.10 (</w:t>
      </w:r>
      <w:r w:rsidR="00C30141" w:rsidRPr="004C78D8">
        <w:t>95% CInt</w:t>
      </w:r>
      <w:r w:rsidRPr="004C78D8">
        <w:t xml:space="preserve">: </w:t>
      </w:r>
      <w:r w:rsidR="00A62FA2" w:rsidRPr="004C78D8">
        <w:t>2.91-3.31) for Moderate relative to Fit; and 4.52 (</w:t>
      </w:r>
      <w:r w:rsidR="00C30141" w:rsidRPr="004C78D8">
        <w:t>95% CInt</w:t>
      </w:r>
      <w:r w:rsidRPr="004C78D8">
        <w:t xml:space="preserve">: </w:t>
      </w:r>
      <w:r w:rsidR="00A62FA2" w:rsidRPr="004C78D8">
        <w:t>4.16-4.91) for Severe relative to Fit</w:t>
      </w:r>
      <w:r w:rsidR="00FE5176" w:rsidRPr="004C78D8">
        <w:t xml:space="preserve"> </w:t>
      </w:r>
      <w:r w:rsidRPr="004C78D8">
        <w:fldChar w:fldCharType="begin">
          <w:fldData xml:space="preserve">PEVuZE5vdGU+PENpdGU+PEF1dGhvcj5DbGVnZzwvQXV0aG9yPjxZZWFyPjIwMTY8L1llYXI+PFJl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</w:fldData>
        </w:fldChar>
      </w:r>
      <w:r w:rsidR="00513646" w:rsidRPr="004C78D8">
        <w:instrText xml:space="preserve"> ADDIN EN.CITE </w:instrText>
      </w:r>
      <w:r w:rsidR="00513646" w:rsidRPr="004C78D8">
        <w:fldChar w:fldCharType="begin">
          <w:fldData xml:space="preserve">PEVuZE5vdGU+PENpdGU+PEF1dGhvcj5DbGVnZzwvQXV0aG9yPjxZZWFyPjIwMTY8L1llYXI+PFJl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</w:fldData>
        </w:fldChar>
      </w:r>
      <w:r w:rsidR="00513646" w:rsidRPr="004C78D8">
        <w:instrText xml:space="preserve"> ADDIN EN.CITE.DATA </w:instrText>
      </w:r>
      <w:r w:rsidR="00513646" w:rsidRPr="004C78D8">
        <w:fldChar w:fldCharType="end"/>
      </w:r>
      <w:r w:rsidRPr="004C78D8">
        <w:fldChar w:fldCharType="separate"/>
      </w:r>
      <w:r w:rsidR="00513646" w:rsidRPr="004C78D8">
        <w:rPr>
          <w:noProof/>
        </w:rPr>
        <w:t>[47]</w:t>
      </w:r>
      <w:r w:rsidRPr="004C78D8">
        <w:fldChar w:fldCharType="end"/>
      </w:r>
      <w:r w:rsidR="00FE5176" w:rsidRPr="004C78D8">
        <w:t>.</w:t>
      </w:r>
      <w:r w:rsidR="00103C90" w:rsidRPr="004C78D8">
        <w:t xml:space="preserve"> </w:t>
      </w:r>
      <w:r w:rsidR="00745F61" w:rsidRPr="004C78D8">
        <w:t>Using the hazard ratios and the ELSA-estimated proportions of community-dwelling by frailty category in each age and sex subgroup, the frailty-stratified mortality rates were estimated for the community-dwelling population</w:t>
      </w:r>
      <w:r w:rsidR="00D21BC7" w:rsidRPr="004C78D8">
        <w:t xml:space="preserve"> by age and sex.</w:t>
      </w:r>
      <w:r w:rsidR="00B67A48" w:rsidRPr="004C78D8">
        <w:t xml:space="preserve"> </w:t>
      </w:r>
      <w:r w:rsidR="00567F77" w:rsidRPr="004C78D8">
        <w:t xml:space="preserve">Having estimated the stratified mortality rates, the percentages reported by GBD 2019 were applied to estimate the rates of </w:t>
      </w:r>
      <w:r w:rsidR="00405C21" w:rsidRPr="004C78D8">
        <w:t>fatal falls</w:t>
      </w:r>
      <w:r w:rsidR="00567F77" w:rsidRPr="004C78D8">
        <w:t xml:space="preserve">. This assumed that: (i) GBD percentages for age group 50-69 applied equally to the age group 60-69; and (ii) GBD percentages did not vary by frailty. Table </w:t>
      </w:r>
      <w:r w:rsidR="00E14EC0" w:rsidRPr="004C78D8">
        <w:t>5</w:t>
      </w:r>
      <w:r w:rsidRPr="004C78D8">
        <w:t>.3</w:t>
      </w:r>
      <w:r w:rsidR="00CE7A92" w:rsidRPr="004C78D8">
        <w:t>6</w:t>
      </w:r>
      <w:r w:rsidR="00567F77" w:rsidRPr="004C78D8">
        <w:t xml:space="preserve"> shows the ann</w:t>
      </w:r>
      <w:r w:rsidR="00F569C2" w:rsidRPr="004C78D8">
        <w:t>u</w:t>
      </w:r>
      <w:r w:rsidR="00567F77" w:rsidRPr="004C78D8">
        <w:t>al fatal fall rates stratified by age, sex</w:t>
      </w:r>
      <w:r w:rsidR="00F569C2" w:rsidRPr="004C78D8">
        <w:t>,</w:t>
      </w:r>
      <w:r w:rsidR="00567F77" w:rsidRPr="004C78D8">
        <w:t xml:space="preserve"> and frailty category incorporated in the model. </w:t>
      </w:r>
    </w:p>
    <w:tbl>
      <w:tblPr>
        <w:tblStyle w:val="TableGrid"/>
        <w:tblW w:w="0" w:type="auto"/>
        <w:tblInd w:w="-5" w:type="dxa"/>
        <w:tblLook w:val="04A0" w:firstRow="1" w:lastRow="0" w:firstColumn="1" w:lastColumn="0" w:noHBand="0" w:noVBand="1"/>
      </w:tblPr>
      <w:tblGrid>
        <w:gridCol w:w="846"/>
        <w:gridCol w:w="992"/>
        <w:gridCol w:w="1488"/>
        <w:gridCol w:w="1489"/>
      </w:tblGrid>
      <w:tr w:rsidR="00567F77" w:rsidRPr="004C78D8" w14:paraId="67F0289B" w14:textId="77777777" w:rsidTr="00E35893">
        <w:tc>
          <w:tcPr>
            <w:tcW w:w="4815" w:type="dxa"/>
            <w:gridSpan w:val="4"/>
          </w:tcPr>
          <w:p w14:paraId="56FAA09A" w14:textId="4089C4DF" w:rsidR="00567F77" w:rsidRPr="004C78D8" w:rsidRDefault="00567F77" w:rsidP="00FB7C1F">
            <w:pPr>
              <w:jc w:val="left"/>
            </w:pPr>
            <w:r w:rsidRPr="004C78D8">
              <w:rPr>
                <w:b/>
                <w:bCs/>
              </w:rPr>
              <w:t xml:space="preserve">Table </w:t>
            </w:r>
            <w:r w:rsidR="00E14EC0" w:rsidRPr="004C78D8">
              <w:rPr>
                <w:b/>
                <w:bCs/>
              </w:rPr>
              <w:t>5</w:t>
            </w:r>
            <w:r w:rsidR="00AC6268" w:rsidRPr="004C78D8">
              <w:rPr>
                <w:b/>
                <w:bCs/>
              </w:rPr>
              <w:t>.3</w:t>
            </w:r>
            <w:r w:rsidR="00CE7A92" w:rsidRPr="004C78D8">
              <w:rPr>
                <w:b/>
                <w:bCs/>
              </w:rPr>
              <w:t>6</w:t>
            </w:r>
            <w:r w:rsidRPr="004C78D8">
              <w:t xml:space="preserve"> Annual fatal fall rate </w:t>
            </w:r>
            <w:r w:rsidR="000C1EB1" w:rsidRPr="004C78D8">
              <w:t xml:space="preserve">(range 0-1) </w:t>
            </w:r>
            <w:r w:rsidRPr="004C78D8">
              <w:t>by age</w:t>
            </w:r>
            <w:r w:rsidR="005827EE" w:rsidRPr="004C78D8">
              <w:t xml:space="preserve"> group</w:t>
            </w:r>
            <w:r w:rsidRPr="004C78D8">
              <w:t>, sex and frailty category</w:t>
            </w:r>
            <w:r w:rsidR="004617D8" w:rsidRPr="004C78D8">
              <w:t>.</w:t>
            </w:r>
          </w:p>
        </w:tc>
      </w:tr>
      <w:tr w:rsidR="00567F77" w:rsidRPr="004C78D8" w14:paraId="0ACA5CE5" w14:textId="77777777" w:rsidTr="00E35893">
        <w:tc>
          <w:tcPr>
            <w:tcW w:w="846" w:type="dxa"/>
            <w:tcBorders>
              <w:bottom w:val="single" w:sz="4" w:space="0" w:color="auto"/>
            </w:tcBorders>
          </w:tcPr>
          <w:p w14:paraId="0352BB66" w14:textId="3288CAFC" w:rsidR="00567F77" w:rsidRPr="004C78D8" w:rsidRDefault="00567F77" w:rsidP="00FB7C1F">
            <w:pPr>
              <w:jc w:val="left"/>
              <w:rPr>
                <w:b/>
                <w:bCs/>
                <w:sz w:val="20"/>
                <w:szCs w:val="20"/>
              </w:rPr>
            </w:pPr>
            <w:r w:rsidRPr="004C78D8">
              <w:rPr>
                <w:b/>
                <w:bCs/>
                <w:sz w:val="20"/>
                <w:szCs w:val="20"/>
              </w:rPr>
              <w:t>Sex</w:t>
            </w:r>
          </w:p>
        </w:tc>
        <w:tc>
          <w:tcPr>
            <w:tcW w:w="992" w:type="dxa"/>
            <w:tcBorders>
              <w:bottom w:val="single" w:sz="4" w:space="0" w:color="auto"/>
            </w:tcBorders>
          </w:tcPr>
          <w:p w14:paraId="17EBD98D" w14:textId="1325DD0D" w:rsidR="00567F77" w:rsidRPr="004C78D8" w:rsidRDefault="00567F77" w:rsidP="00FB7C1F">
            <w:pPr>
              <w:jc w:val="left"/>
              <w:rPr>
                <w:b/>
                <w:bCs/>
                <w:sz w:val="20"/>
                <w:szCs w:val="20"/>
              </w:rPr>
            </w:pPr>
            <w:r w:rsidRPr="004C78D8">
              <w:rPr>
                <w:b/>
                <w:bCs/>
                <w:sz w:val="20"/>
                <w:szCs w:val="20"/>
              </w:rPr>
              <w:t>Frailty</w:t>
            </w:r>
          </w:p>
        </w:tc>
        <w:tc>
          <w:tcPr>
            <w:tcW w:w="1488" w:type="dxa"/>
            <w:tcBorders>
              <w:bottom w:val="single" w:sz="4" w:space="0" w:color="auto"/>
            </w:tcBorders>
          </w:tcPr>
          <w:p w14:paraId="4E05B11E" w14:textId="4481706F" w:rsidR="00567F77" w:rsidRPr="004C78D8" w:rsidRDefault="00567F77" w:rsidP="00FB7C1F">
            <w:pPr>
              <w:jc w:val="center"/>
              <w:rPr>
                <w:b/>
                <w:bCs/>
                <w:sz w:val="20"/>
                <w:szCs w:val="20"/>
              </w:rPr>
            </w:pPr>
            <w:r w:rsidRPr="004C78D8">
              <w:rPr>
                <w:b/>
                <w:bCs/>
                <w:sz w:val="20"/>
                <w:szCs w:val="20"/>
              </w:rPr>
              <w:t>Age 60-69</w:t>
            </w:r>
          </w:p>
        </w:tc>
        <w:tc>
          <w:tcPr>
            <w:tcW w:w="1489" w:type="dxa"/>
            <w:tcBorders>
              <w:bottom w:val="single" w:sz="4" w:space="0" w:color="auto"/>
            </w:tcBorders>
          </w:tcPr>
          <w:p w14:paraId="4B68B3E6" w14:textId="78958F34" w:rsidR="00567F77" w:rsidRPr="004C78D8" w:rsidRDefault="00567F77" w:rsidP="00FB7C1F">
            <w:pPr>
              <w:jc w:val="center"/>
              <w:rPr>
                <w:b/>
                <w:bCs/>
                <w:sz w:val="20"/>
                <w:szCs w:val="20"/>
              </w:rPr>
            </w:pPr>
            <w:r w:rsidRPr="004C78D8">
              <w:rPr>
                <w:b/>
                <w:bCs/>
                <w:sz w:val="20"/>
                <w:szCs w:val="20"/>
              </w:rPr>
              <w:t>Age 70+</w:t>
            </w:r>
          </w:p>
        </w:tc>
      </w:tr>
      <w:tr w:rsidR="00405C21" w:rsidRPr="004C78D8" w14:paraId="2537A4F9" w14:textId="77777777" w:rsidTr="00E35893">
        <w:tc>
          <w:tcPr>
            <w:tcW w:w="846" w:type="dxa"/>
            <w:tcBorders>
              <w:bottom w:val="nil"/>
            </w:tcBorders>
          </w:tcPr>
          <w:p w14:paraId="105A649B" w14:textId="06E44B5F" w:rsidR="00405C21" w:rsidRPr="004C78D8" w:rsidRDefault="00405C21" w:rsidP="00FB7C1F">
            <w:pPr>
              <w:jc w:val="left"/>
              <w:rPr>
                <w:sz w:val="20"/>
                <w:szCs w:val="20"/>
              </w:rPr>
            </w:pPr>
            <w:r w:rsidRPr="004C78D8">
              <w:rPr>
                <w:sz w:val="20"/>
                <w:szCs w:val="20"/>
              </w:rPr>
              <w:t>Male</w:t>
            </w:r>
          </w:p>
        </w:tc>
        <w:tc>
          <w:tcPr>
            <w:tcW w:w="992" w:type="dxa"/>
            <w:tcBorders>
              <w:bottom w:val="nil"/>
            </w:tcBorders>
          </w:tcPr>
          <w:p w14:paraId="76D2569D" w14:textId="509C2631" w:rsidR="00405C21" w:rsidRPr="004C78D8" w:rsidRDefault="00405C21" w:rsidP="00FB7C1F">
            <w:pPr>
              <w:jc w:val="left"/>
              <w:rPr>
                <w:sz w:val="20"/>
                <w:szCs w:val="20"/>
              </w:rPr>
            </w:pPr>
            <w:r w:rsidRPr="004C78D8">
              <w:rPr>
                <w:sz w:val="20"/>
                <w:szCs w:val="20"/>
              </w:rPr>
              <w:t>Fit</w:t>
            </w:r>
          </w:p>
        </w:tc>
        <w:tc>
          <w:tcPr>
            <w:tcW w:w="1488" w:type="dxa"/>
            <w:tcBorders>
              <w:top w:val="single" w:sz="4" w:space="0" w:color="auto"/>
              <w:left w:val="nil"/>
              <w:bottom w:val="nil"/>
              <w:right w:val="single" w:sz="4" w:space="0" w:color="auto"/>
            </w:tcBorders>
            <w:shd w:val="clear" w:color="auto" w:fill="auto"/>
            <w:vAlign w:val="bottom"/>
          </w:tcPr>
          <w:p w14:paraId="7E51A9BC" w14:textId="541DE463" w:rsidR="00405C21" w:rsidRPr="004C78D8" w:rsidRDefault="00405C21" w:rsidP="00FB7C1F">
            <w:pPr>
              <w:jc w:val="center"/>
              <w:rPr>
                <w:rFonts w:cs="Times New Roman"/>
                <w:sz w:val="20"/>
                <w:szCs w:val="20"/>
              </w:rPr>
            </w:pPr>
            <w:r w:rsidRPr="004C78D8">
              <w:rPr>
                <w:rFonts w:cs="Times New Roman"/>
                <w:color w:val="000000"/>
                <w:sz w:val="20"/>
                <w:szCs w:val="20"/>
              </w:rPr>
              <w:t>0.000063</w:t>
            </w:r>
          </w:p>
        </w:tc>
        <w:tc>
          <w:tcPr>
            <w:tcW w:w="1489" w:type="dxa"/>
            <w:tcBorders>
              <w:top w:val="single" w:sz="4" w:space="0" w:color="auto"/>
              <w:left w:val="single" w:sz="4" w:space="0" w:color="auto"/>
              <w:bottom w:val="nil"/>
              <w:right w:val="single" w:sz="4" w:space="0" w:color="auto"/>
            </w:tcBorders>
            <w:shd w:val="clear" w:color="auto" w:fill="auto"/>
            <w:vAlign w:val="bottom"/>
          </w:tcPr>
          <w:p w14:paraId="1DE9964C" w14:textId="295F27CA" w:rsidR="00405C21" w:rsidRPr="004C78D8" w:rsidRDefault="00405C21" w:rsidP="00FB7C1F">
            <w:pPr>
              <w:jc w:val="center"/>
              <w:rPr>
                <w:rFonts w:cs="Times New Roman"/>
                <w:sz w:val="20"/>
                <w:szCs w:val="20"/>
              </w:rPr>
            </w:pPr>
            <w:r w:rsidRPr="004C78D8">
              <w:rPr>
                <w:rFonts w:cs="Times New Roman"/>
                <w:color w:val="000000"/>
                <w:sz w:val="20"/>
                <w:szCs w:val="20"/>
              </w:rPr>
              <w:t>0.000354</w:t>
            </w:r>
          </w:p>
        </w:tc>
      </w:tr>
      <w:tr w:rsidR="00405C21" w:rsidRPr="004C78D8" w14:paraId="02F08A8B" w14:textId="77777777" w:rsidTr="00E35893">
        <w:tc>
          <w:tcPr>
            <w:tcW w:w="846" w:type="dxa"/>
            <w:tcBorders>
              <w:top w:val="nil"/>
              <w:bottom w:val="nil"/>
            </w:tcBorders>
          </w:tcPr>
          <w:p w14:paraId="62C0A33F" w14:textId="77777777" w:rsidR="00405C21" w:rsidRPr="004C78D8" w:rsidRDefault="00405C21" w:rsidP="00FB7C1F">
            <w:pPr>
              <w:jc w:val="left"/>
              <w:rPr>
                <w:sz w:val="20"/>
                <w:szCs w:val="20"/>
              </w:rPr>
            </w:pPr>
          </w:p>
        </w:tc>
        <w:tc>
          <w:tcPr>
            <w:tcW w:w="992" w:type="dxa"/>
            <w:tcBorders>
              <w:top w:val="nil"/>
              <w:bottom w:val="nil"/>
            </w:tcBorders>
          </w:tcPr>
          <w:p w14:paraId="134389F9" w14:textId="7B6D066D" w:rsidR="00405C21" w:rsidRPr="004C78D8" w:rsidRDefault="00405C21" w:rsidP="00FB7C1F">
            <w:pPr>
              <w:jc w:val="left"/>
              <w:rPr>
                <w:sz w:val="20"/>
                <w:szCs w:val="20"/>
              </w:rPr>
            </w:pPr>
            <w:r w:rsidRPr="004C78D8">
              <w:rPr>
                <w:sz w:val="20"/>
                <w:szCs w:val="20"/>
              </w:rPr>
              <w:t>Mild</w:t>
            </w:r>
          </w:p>
        </w:tc>
        <w:tc>
          <w:tcPr>
            <w:tcW w:w="1488" w:type="dxa"/>
            <w:tcBorders>
              <w:top w:val="nil"/>
              <w:left w:val="nil"/>
              <w:bottom w:val="nil"/>
              <w:right w:val="single" w:sz="4" w:space="0" w:color="auto"/>
            </w:tcBorders>
            <w:shd w:val="clear" w:color="auto" w:fill="auto"/>
            <w:vAlign w:val="bottom"/>
          </w:tcPr>
          <w:p w14:paraId="2110C005" w14:textId="6915FEF1" w:rsidR="00405C21" w:rsidRPr="004C78D8" w:rsidRDefault="00405C21" w:rsidP="00FB7C1F">
            <w:pPr>
              <w:jc w:val="center"/>
              <w:rPr>
                <w:rFonts w:cs="Times New Roman"/>
                <w:sz w:val="20"/>
                <w:szCs w:val="20"/>
              </w:rPr>
            </w:pPr>
            <w:r w:rsidRPr="004C78D8">
              <w:rPr>
                <w:rFonts w:cs="Times New Roman"/>
                <w:color w:val="000000"/>
                <w:sz w:val="20"/>
                <w:szCs w:val="20"/>
              </w:rPr>
              <w:t>0.000121</w:t>
            </w:r>
          </w:p>
        </w:tc>
        <w:tc>
          <w:tcPr>
            <w:tcW w:w="1489" w:type="dxa"/>
            <w:tcBorders>
              <w:top w:val="nil"/>
              <w:left w:val="single" w:sz="4" w:space="0" w:color="auto"/>
              <w:bottom w:val="nil"/>
              <w:right w:val="single" w:sz="4" w:space="0" w:color="auto"/>
            </w:tcBorders>
            <w:shd w:val="clear" w:color="auto" w:fill="auto"/>
            <w:vAlign w:val="bottom"/>
          </w:tcPr>
          <w:p w14:paraId="1AA339E3" w14:textId="777F3F60" w:rsidR="00405C21" w:rsidRPr="004C78D8" w:rsidRDefault="00405C21" w:rsidP="00FB7C1F">
            <w:pPr>
              <w:jc w:val="center"/>
              <w:rPr>
                <w:rFonts w:cs="Times New Roman"/>
                <w:sz w:val="20"/>
                <w:szCs w:val="20"/>
              </w:rPr>
            </w:pPr>
            <w:r w:rsidRPr="004C78D8">
              <w:rPr>
                <w:rFonts w:cs="Times New Roman"/>
                <w:color w:val="000000"/>
                <w:sz w:val="20"/>
                <w:szCs w:val="20"/>
              </w:rPr>
              <w:t>0.00068</w:t>
            </w:r>
            <w:r w:rsidR="000C1EB1" w:rsidRPr="004C78D8">
              <w:rPr>
                <w:rFonts w:cs="Times New Roman"/>
                <w:color w:val="000000"/>
                <w:sz w:val="20"/>
                <w:szCs w:val="20"/>
              </w:rPr>
              <w:t>0</w:t>
            </w:r>
          </w:p>
        </w:tc>
      </w:tr>
      <w:tr w:rsidR="00405C21" w:rsidRPr="004C78D8" w14:paraId="56FA0498" w14:textId="77777777" w:rsidTr="00E35893">
        <w:tc>
          <w:tcPr>
            <w:tcW w:w="846" w:type="dxa"/>
            <w:tcBorders>
              <w:top w:val="nil"/>
              <w:bottom w:val="nil"/>
            </w:tcBorders>
          </w:tcPr>
          <w:p w14:paraId="60FF9823" w14:textId="77777777" w:rsidR="00405C21" w:rsidRPr="004C78D8" w:rsidRDefault="00405C21" w:rsidP="00FB7C1F">
            <w:pPr>
              <w:jc w:val="left"/>
              <w:rPr>
                <w:sz w:val="20"/>
                <w:szCs w:val="20"/>
              </w:rPr>
            </w:pPr>
          </w:p>
        </w:tc>
        <w:tc>
          <w:tcPr>
            <w:tcW w:w="992" w:type="dxa"/>
            <w:tcBorders>
              <w:top w:val="nil"/>
              <w:bottom w:val="nil"/>
            </w:tcBorders>
          </w:tcPr>
          <w:p w14:paraId="487C65E9" w14:textId="2FE8D8FF" w:rsidR="00405C21" w:rsidRPr="004C78D8" w:rsidRDefault="00405C21" w:rsidP="00FB7C1F">
            <w:pPr>
              <w:jc w:val="left"/>
              <w:rPr>
                <w:sz w:val="20"/>
                <w:szCs w:val="20"/>
              </w:rPr>
            </w:pPr>
            <w:r w:rsidRPr="004C78D8">
              <w:rPr>
                <w:sz w:val="20"/>
                <w:szCs w:val="20"/>
              </w:rPr>
              <w:t>Moderate</w:t>
            </w:r>
          </w:p>
        </w:tc>
        <w:tc>
          <w:tcPr>
            <w:tcW w:w="1488" w:type="dxa"/>
            <w:tcBorders>
              <w:top w:val="nil"/>
              <w:left w:val="nil"/>
              <w:bottom w:val="nil"/>
              <w:right w:val="single" w:sz="4" w:space="0" w:color="auto"/>
            </w:tcBorders>
            <w:shd w:val="clear" w:color="auto" w:fill="auto"/>
            <w:vAlign w:val="bottom"/>
          </w:tcPr>
          <w:p w14:paraId="675E7B67" w14:textId="3FE17BE9" w:rsidR="00405C21" w:rsidRPr="004C78D8" w:rsidRDefault="00405C21" w:rsidP="00FB7C1F">
            <w:pPr>
              <w:jc w:val="center"/>
              <w:rPr>
                <w:rFonts w:cs="Times New Roman"/>
                <w:sz w:val="20"/>
                <w:szCs w:val="20"/>
              </w:rPr>
            </w:pPr>
            <w:r w:rsidRPr="004C78D8">
              <w:rPr>
                <w:rFonts w:cs="Times New Roman"/>
                <w:color w:val="000000"/>
                <w:sz w:val="20"/>
                <w:szCs w:val="20"/>
              </w:rPr>
              <w:t>0.000196</w:t>
            </w:r>
          </w:p>
        </w:tc>
        <w:tc>
          <w:tcPr>
            <w:tcW w:w="1489" w:type="dxa"/>
            <w:tcBorders>
              <w:top w:val="nil"/>
              <w:left w:val="single" w:sz="4" w:space="0" w:color="auto"/>
              <w:bottom w:val="nil"/>
              <w:right w:val="single" w:sz="4" w:space="0" w:color="auto"/>
            </w:tcBorders>
            <w:shd w:val="clear" w:color="auto" w:fill="auto"/>
            <w:vAlign w:val="bottom"/>
          </w:tcPr>
          <w:p w14:paraId="2EB0FD81" w14:textId="1F6C6B4E" w:rsidR="00405C21" w:rsidRPr="004C78D8" w:rsidRDefault="00405C21" w:rsidP="00FB7C1F">
            <w:pPr>
              <w:jc w:val="center"/>
              <w:rPr>
                <w:rFonts w:cs="Times New Roman"/>
                <w:sz w:val="20"/>
                <w:szCs w:val="20"/>
              </w:rPr>
            </w:pPr>
            <w:r w:rsidRPr="004C78D8">
              <w:rPr>
                <w:rFonts w:cs="Times New Roman"/>
                <w:color w:val="000000"/>
                <w:sz w:val="20"/>
                <w:szCs w:val="20"/>
              </w:rPr>
              <w:t>0.001097</w:t>
            </w:r>
          </w:p>
        </w:tc>
      </w:tr>
      <w:tr w:rsidR="00405C21" w:rsidRPr="004C78D8" w14:paraId="3EC77181" w14:textId="77777777" w:rsidTr="00E35893">
        <w:tc>
          <w:tcPr>
            <w:tcW w:w="846" w:type="dxa"/>
            <w:tcBorders>
              <w:top w:val="nil"/>
              <w:bottom w:val="single" w:sz="4" w:space="0" w:color="auto"/>
            </w:tcBorders>
          </w:tcPr>
          <w:p w14:paraId="508F270A" w14:textId="77777777" w:rsidR="00405C21" w:rsidRPr="004C78D8" w:rsidRDefault="00405C21" w:rsidP="00FB7C1F">
            <w:pPr>
              <w:jc w:val="left"/>
              <w:rPr>
                <w:sz w:val="20"/>
                <w:szCs w:val="20"/>
              </w:rPr>
            </w:pPr>
          </w:p>
        </w:tc>
        <w:tc>
          <w:tcPr>
            <w:tcW w:w="992" w:type="dxa"/>
            <w:tcBorders>
              <w:top w:val="nil"/>
              <w:bottom w:val="single" w:sz="4" w:space="0" w:color="auto"/>
            </w:tcBorders>
          </w:tcPr>
          <w:p w14:paraId="1ED99316" w14:textId="2802CF11" w:rsidR="00405C21" w:rsidRPr="004C78D8" w:rsidRDefault="00405C21" w:rsidP="00FB7C1F">
            <w:pPr>
              <w:jc w:val="left"/>
              <w:rPr>
                <w:sz w:val="20"/>
                <w:szCs w:val="20"/>
              </w:rPr>
            </w:pPr>
            <w:r w:rsidRPr="004C78D8">
              <w:rPr>
                <w:sz w:val="20"/>
                <w:szCs w:val="20"/>
              </w:rPr>
              <w:t>Severe</w:t>
            </w:r>
          </w:p>
        </w:tc>
        <w:tc>
          <w:tcPr>
            <w:tcW w:w="1488" w:type="dxa"/>
            <w:tcBorders>
              <w:top w:val="nil"/>
              <w:left w:val="nil"/>
              <w:bottom w:val="single" w:sz="4" w:space="0" w:color="auto"/>
              <w:right w:val="single" w:sz="4" w:space="0" w:color="auto"/>
            </w:tcBorders>
            <w:shd w:val="clear" w:color="auto" w:fill="auto"/>
            <w:vAlign w:val="bottom"/>
          </w:tcPr>
          <w:p w14:paraId="1BEC6E6A" w14:textId="6FD0DE11" w:rsidR="00405C21" w:rsidRPr="004C78D8" w:rsidRDefault="00405C21" w:rsidP="00FB7C1F">
            <w:pPr>
              <w:jc w:val="center"/>
              <w:rPr>
                <w:rFonts w:cs="Times New Roman"/>
                <w:sz w:val="20"/>
                <w:szCs w:val="20"/>
              </w:rPr>
            </w:pPr>
            <w:r w:rsidRPr="004C78D8">
              <w:rPr>
                <w:rFonts w:cs="Times New Roman"/>
                <w:color w:val="000000"/>
                <w:sz w:val="20"/>
                <w:szCs w:val="20"/>
              </w:rPr>
              <w:t>0.000285</w:t>
            </w:r>
          </w:p>
        </w:tc>
        <w:tc>
          <w:tcPr>
            <w:tcW w:w="1489" w:type="dxa"/>
            <w:tcBorders>
              <w:top w:val="nil"/>
              <w:left w:val="single" w:sz="4" w:space="0" w:color="auto"/>
              <w:bottom w:val="single" w:sz="4" w:space="0" w:color="auto"/>
              <w:right w:val="single" w:sz="4" w:space="0" w:color="auto"/>
            </w:tcBorders>
            <w:shd w:val="clear" w:color="auto" w:fill="auto"/>
            <w:vAlign w:val="bottom"/>
          </w:tcPr>
          <w:p w14:paraId="58548D8E" w14:textId="4A09400C" w:rsidR="00405C21" w:rsidRPr="004C78D8" w:rsidRDefault="00405C21" w:rsidP="00FB7C1F">
            <w:pPr>
              <w:jc w:val="center"/>
              <w:rPr>
                <w:rFonts w:cs="Times New Roman"/>
                <w:sz w:val="20"/>
                <w:szCs w:val="20"/>
              </w:rPr>
            </w:pPr>
            <w:r w:rsidRPr="004C78D8">
              <w:rPr>
                <w:rFonts w:cs="Times New Roman"/>
                <w:color w:val="000000"/>
                <w:sz w:val="20"/>
                <w:szCs w:val="20"/>
              </w:rPr>
              <w:t>0.0016</w:t>
            </w:r>
            <w:r w:rsidR="000C1EB1" w:rsidRPr="004C78D8">
              <w:rPr>
                <w:rFonts w:cs="Times New Roman"/>
                <w:color w:val="000000"/>
                <w:sz w:val="20"/>
                <w:szCs w:val="20"/>
              </w:rPr>
              <w:t>00</w:t>
            </w:r>
          </w:p>
        </w:tc>
      </w:tr>
      <w:tr w:rsidR="00405C21" w:rsidRPr="004C78D8" w14:paraId="03D10BFE" w14:textId="77777777" w:rsidTr="00E35893">
        <w:tc>
          <w:tcPr>
            <w:tcW w:w="846" w:type="dxa"/>
            <w:tcBorders>
              <w:bottom w:val="nil"/>
            </w:tcBorders>
          </w:tcPr>
          <w:p w14:paraId="0B197368" w14:textId="5AC5059B" w:rsidR="00405C21" w:rsidRPr="004C78D8" w:rsidRDefault="00405C21" w:rsidP="00FB7C1F">
            <w:pPr>
              <w:jc w:val="left"/>
              <w:rPr>
                <w:sz w:val="20"/>
                <w:szCs w:val="20"/>
              </w:rPr>
            </w:pPr>
            <w:r w:rsidRPr="004C78D8">
              <w:rPr>
                <w:sz w:val="20"/>
                <w:szCs w:val="20"/>
              </w:rPr>
              <w:t>Female</w:t>
            </w:r>
          </w:p>
        </w:tc>
        <w:tc>
          <w:tcPr>
            <w:tcW w:w="992" w:type="dxa"/>
            <w:tcBorders>
              <w:bottom w:val="nil"/>
            </w:tcBorders>
          </w:tcPr>
          <w:p w14:paraId="6A6D040B" w14:textId="6B950357" w:rsidR="00405C21" w:rsidRPr="004C78D8" w:rsidRDefault="00405C21" w:rsidP="00FB7C1F">
            <w:pPr>
              <w:jc w:val="left"/>
              <w:rPr>
                <w:sz w:val="20"/>
                <w:szCs w:val="20"/>
              </w:rPr>
            </w:pPr>
            <w:r w:rsidRPr="004C78D8">
              <w:rPr>
                <w:sz w:val="20"/>
                <w:szCs w:val="20"/>
              </w:rPr>
              <w:t>Fit</w:t>
            </w:r>
          </w:p>
        </w:tc>
        <w:tc>
          <w:tcPr>
            <w:tcW w:w="1488" w:type="dxa"/>
            <w:tcBorders>
              <w:top w:val="single" w:sz="4" w:space="0" w:color="auto"/>
              <w:left w:val="nil"/>
              <w:bottom w:val="nil"/>
              <w:right w:val="single" w:sz="4" w:space="0" w:color="auto"/>
            </w:tcBorders>
            <w:shd w:val="clear" w:color="auto" w:fill="auto"/>
            <w:vAlign w:val="bottom"/>
          </w:tcPr>
          <w:p w14:paraId="7340FABA" w14:textId="094C9F2D" w:rsidR="00405C21" w:rsidRPr="004C78D8" w:rsidRDefault="00405C21" w:rsidP="00FB7C1F">
            <w:pPr>
              <w:jc w:val="center"/>
              <w:rPr>
                <w:rFonts w:cs="Times New Roman"/>
                <w:sz w:val="20"/>
                <w:szCs w:val="20"/>
              </w:rPr>
            </w:pPr>
            <w:r w:rsidRPr="004C78D8">
              <w:rPr>
                <w:rFonts w:cs="Times New Roman"/>
                <w:color w:val="000000"/>
                <w:sz w:val="20"/>
                <w:szCs w:val="20"/>
              </w:rPr>
              <w:t>0.000024</w:t>
            </w:r>
          </w:p>
        </w:tc>
        <w:tc>
          <w:tcPr>
            <w:tcW w:w="1489" w:type="dxa"/>
            <w:tcBorders>
              <w:top w:val="single" w:sz="4" w:space="0" w:color="auto"/>
              <w:left w:val="single" w:sz="4" w:space="0" w:color="auto"/>
              <w:bottom w:val="nil"/>
              <w:right w:val="single" w:sz="4" w:space="0" w:color="auto"/>
            </w:tcBorders>
            <w:shd w:val="clear" w:color="auto" w:fill="auto"/>
            <w:vAlign w:val="bottom"/>
          </w:tcPr>
          <w:p w14:paraId="1EDF9E85" w14:textId="17B740D1" w:rsidR="00405C21" w:rsidRPr="004C78D8" w:rsidRDefault="00405C21" w:rsidP="00FB7C1F">
            <w:pPr>
              <w:jc w:val="center"/>
              <w:rPr>
                <w:rFonts w:cs="Times New Roman"/>
                <w:sz w:val="20"/>
                <w:szCs w:val="20"/>
              </w:rPr>
            </w:pPr>
            <w:r w:rsidRPr="004C78D8">
              <w:rPr>
                <w:rFonts w:cs="Times New Roman"/>
                <w:color w:val="000000"/>
                <w:sz w:val="20"/>
                <w:szCs w:val="20"/>
              </w:rPr>
              <w:t>0.000198</w:t>
            </w:r>
          </w:p>
        </w:tc>
      </w:tr>
      <w:tr w:rsidR="00405C21" w:rsidRPr="004C78D8" w14:paraId="60DD657E" w14:textId="77777777" w:rsidTr="00E35893">
        <w:tc>
          <w:tcPr>
            <w:tcW w:w="846" w:type="dxa"/>
            <w:tcBorders>
              <w:top w:val="nil"/>
              <w:bottom w:val="nil"/>
            </w:tcBorders>
          </w:tcPr>
          <w:p w14:paraId="14F1E2B4" w14:textId="77777777" w:rsidR="00405C21" w:rsidRPr="004C78D8" w:rsidRDefault="00405C21" w:rsidP="00FB7C1F">
            <w:pPr>
              <w:jc w:val="left"/>
              <w:rPr>
                <w:sz w:val="20"/>
                <w:szCs w:val="20"/>
              </w:rPr>
            </w:pPr>
          </w:p>
        </w:tc>
        <w:tc>
          <w:tcPr>
            <w:tcW w:w="992" w:type="dxa"/>
            <w:tcBorders>
              <w:top w:val="nil"/>
              <w:bottom w:val="nil"/>
            </w:tcBorders>
          </w:tcPr>
          <w:p w14:paraId="1E92C3B9" w14:textId="4EAE07B5" w:rsidR="00405C21" w:rsidRPr="004C78D8" w:rsidRDefault="00405C21" w:rsidP="00FB7C1F">
            <w:pPr>
              <w:jc w:val="left"/>
              <w:rPr>
                <w:sz w:val="20"/>
                <w:szCs w:val="20"/>
              </w:rPr>
            </w:pPr>
            <w:r w:rsidRPr="004C78D8">
              <w:rPr>
                <w:sz w:val="20"/>
                <w:szCs w:val="20"/>
              </w:rPr>
              <w:t>Mild</w:t>
            </w:r>
          </w:p>
        </w:tc>
        <w:tc>
          <w:tcPr>
            <w:tcW w:w="1488" w:type="dxa"/>
            <w:tcBorders>
              <w:top w:val="nil"/>
              <w:left w:val="nil"/>
              <w:bottom w:val="nil"/>
              <w:right w:val="single" w:sz="4" w:space="0" w:color="auto"/>
            </w:tcBorders>
            <w:shd w:val="clear" w:color="auto" w:fill="auto"/>
            <w:vAlign w:val="bottom"/>
          </w:tcPr>
          <w:p w14:paraId="7F6B49C0" w14:textId="3058BB8E" w:rsidR="00405C21" w:rsidRPr="004C78D8" w:rsidRDefault="000C1EB1" w:rsidP="00FB7C1F">
            <w:pPr>
              <w:jc w:val="center"/>
              <w:rPr>
                <w:rFonts w:cs="Times New Roman"/>
                <w:sz w:val="20"/>
                <w:szCs w:val="20"/>
              </w:rPr>
            </w:pPr>
            <w:r w:rsidRPr="004C78D8">
              <w:rPr>
                <w:rFonts w:cs="Times New Roman"/>
                <w:color w:val="000000"/>
                <w:sz w:val="20"/>
                <w:szCs w:val="20"/>
              </w:rPr>
              <w:t>0</w:t>
            </w:r>
            <w:r w:rsidR="00405C21" w:rsidRPr="004C78D8">
              <w:rPr>
                <w:rFonts w:cs="Times New Roman"/>
                <w:color w:val="000000"/>
                <w:sz w:val="20"/>
                <w:szCs w:val="20"/>
              </w:rPr>
              <w:t>.</w:t>
            </w:r>
            <w:r w:rsidRPr="004C78D8">
              <w:rPr>
                <w:rFonts w:cs="Times New Roman"/>
                <w:color w:val="000000"/>
                <w:sz w:val="20"/>
                <w:szCs w:val="20"/>
              </w:rPr>
              <w:t>000046</w:t>
            </w:r>
          </w:p>
        </w:tc>
        <w:tc>
          <w:tcPr>
            <w:tcW w:w="1489" w:type="dxa"/>
            <w:tcBorders>
              <w:top w:val="nil"/>
              <w:left w:val="single" w:sz="4" w:space="0" w:color="auto"/>
              <w:bottom w:val="nil"/>
              <w:right w:val="single" w:sz="4" w:space="0" w:color="auto"/>
            </w:tcBorders>
            <w:shd w:val="clear" w:color="auto" w:fill="auto"/>
            <w:vAlign w:val="bottom"/>
          </w:tcPr>
          <w:p w14:paraId="51F937C5" w14:textId="2FCAA61F" w:rsidR="00405C21" w:rsidRPr="004C78D8" w:rsidRDefault="00405C21" w:rsidP="00FB7C1F">
            <w:pPr>
              <w:jc w:val="center"/>
              <w:rPr>
                <w:rFonts w:cs="Times New Roman"/>
                <w:sz w:val="20"/>
                <w:szCs w:val="20"/>
              </w:rPr>
            </w:pPr>
            <w:r w:rsidRPr="004C78D8">
              <w:rPr>
                <w:rFonts w:cs="Times New Roman"/>
                <w:color w:val="000000"/>
                <w:sz w:val="20"/>
                <w:szCs w:val="20"/>
              </w:rPr>
              <w:t>0.000381</w:t>
            </w:r>
          </w:p>
        </w:tc>
      </w:tr>
      <w:tr w:rsidR="00405C21" w:rsidRPr="004C78D8" w14:paraId="020F2710" w14:textId="77777777" w:rsidTr="00E35893">
        <w:tc>
          <w:tcPr>
            <w:tcW w:w="846" w:type="dxa"/>
            <w:tcBorders>
              <w:top w:val="nil"/>
              <w:bottom w:val="nil"/>
            </w:tcBorders>
          </w:tcPr>
          <w:p w14:paraId="4E7BB583" w14:textId="77777777" w:rsidR="00405C21" w:rsidRPr="004C78D8" w:rsidRDefault="00405C21" w:rsidP="00FB7C1F">
            <w:pPr>
              <w:jc w:val="left"/>
              <w:rPr>
                <w:sz w:val="20"/>
                <w:szCs w:val="20"/>
              </w:rPr>
            </w:pPr>
          </w:p>
        </w:tc>
        <w:tc>
          <w:tcPr>
            <w:tcW w:w="992" w:type="dxa"/>
            <w:tcBorders>
              <w:top w:val="nil"/>
              <w:bottom w:val="nil"/>
            </w:tcBorders>
          </w:tcPr>
          <w:p w14:paraId="7AEF5321" w14:textId="056A8233" w:rsidR="00405C21" w:rsidRPr="004C78D8" w:rsidRDefault="00405C21" w:rsidP="00FB7C1F">
            <w:pPr>
              <w:jc w:val="left"/>
              <w:rPr>
                <w:sz w:val="20"/>
                <w:szCs w:val="20"/>
              </w:rPr>
            </w:pPr>
            <w:r w:rsidRPr="004C78D8">
              <w:rPr>
                <w:sz w:val="20"/>
                <w:szCs w:val="20"/>
              </w:rPr>
              <w:t>Moderate</w:t>
            </w:r>
          </w:p>
        </w:tc>
        <w:tc>
          <w:tcPr>
            <w:tcW w:w="1488" w:type="dxa"/>
            <w:tcBorders>
              <w:top w:val="nil"/>
              <w:left w:val="nil"/>
              <w:bottom w:val="nil"/>
              <w:right w:val="single" w:sz="4" w:space="0" w:color="auto"/>
            </w:tcBorders>
            <w:shd w:val="clear" w:color="auto" w:fill="auto"/>
            <w:vAlign w:val="bottom"/>
          </w:tcPr>
          <w:p w14:paraId="4A551272" w14:textId="279B471A" w:rsidR="00405C21" w:rsidRPr="004C78D8" w:rsidRDefault="000C1EB1" w:rsidP="00FB7C1F">
            <w:pPr>
              <w:jc w:val="center"/>
              <w:rPr>
                <w:rFonts w:cs="Times New Roman"/>
                <w:sz w:val="20"/>
                <w:szCs w:val="20"/>
              </w:rPr>
            </w:pPr>
            <w:r w:rsidRPr="004C78D8">
              <w:rPr>
                <w:rFonts w:cs="Times New Roman"/>
                <w:color w:val="000000"/>
                <w:sz w:val="20"/>
                <w:szCs w:val="20"/>
              </w:rPr>
              <w:t>0</w:t>
            </w:r>
            <w:r w:rsidR="00405C21" w:rsidRPr="004C78D8">
              <w:rPr>
                <w:rFonts w:cs="Times New Roman"/>
                <w:color w:val="000000"/>
                <w:sz w:val="20"/>
                <w:szCs w:val="20"/>
              </w:rPr>
              <w:t>.</w:t>
            </w:r>
            <w:r w:rsidRPr="004C78D8">
              <w:rPr>
                <w:rFonts w:cs="Times New Roman"/>
                <w:color w:val="000000"/>
                <w:sz w:val="20"/>
                <w:szCs w:val="20"/>
              </w:rPr>
              <w:t>00007</w:t>
            </w:r>
            <w:r w:rsidR="00405C21" w:rsidRPr="004C78D8">
              <w:rPr>
                <w:rFonts w:cs="Times New Roman"/>
                <w:color w:val="000000"/>
                <w:sz w:val="20"/>
                <w:szCs w:val="20"/>
              </w:rPr>
              <w:t>4</w:t>
            </w:r>
          </w:p>
        </w:tc>
        <w:tc>
          <w:tcPr>
            <w:tcW w:w="1489" w:type="dxa"/>
            <w:tcBorders>
              <w:top w:val="nil"/>
              <w:left w:val="single" w:sz="4" w:space="0" w:color="auto"/>
              <w:bottom w:val="nil"/>
              <w:right w:val="single" w:sz="4" w:space="0" w:color="auto"/>
            </w:tcBorders>
            <w:shd w:val="clear" w:color="auto" w:fill="auto"/>
            <w:vAlign w:val="bottom"/>
          </w:tcPr>
          <w:p w14:paraId="3CB18A30" w14:textId="02E2534C" w:rsidR="00405C21" w:rsidRPr="004C78D8" w:rsidRDefault="00405C21" w:rsidP="00FB7C1F">
            <w:pPr>
              <w:jc w:val="center"/>
              <w:rPr>
                <w:rFonts w:cs="Times New Roman"/>
                <w:sz w:val="20"/>
                <w:szCs w:val="20"/>
              </w:rPr>
            </w:pPr>
            <w:r w:rsidRPr="004C78D8">
              <w:rPr>
                <w:rFonts w:cs="Times New Roman"/>
                <w:color w:val="000000"/>
                <w:sz w:val="20"/>
                <w:szCs w:val="20"/>
              </w:rPr>
              <w:t>0.000615</w:t>
            </w:r>
          </w:p>
        </w:tc>
      </w:tr>
      <w:tr w:rsidR="00405C21" w:rsidRPr="004C78D8" w14:paraId="2071371A" w14:textId="77777777" w:rsidTr="00E35893">
        <w:tc>
          <w:tcPr>
            <w:tcW w:w="846" w:type="dxa"/>
            <w:tcBorders>
              <w:top w:val="nil"/>
            </w:tcBorders>
          </w:tcPr>
          <w:p w14:paraId="045A3171" w14:textId="77777777" w:rsidR="00405C21" w:rsidRPr="004C78D8" w:rsidRDefault="00405C21" w:rsidP="00FB7C1F">
            <w:pPr>
              <w:jc w:val="left"/>
              <w:rPr>
                <w:sz w:val="20"/>
                <w:szCs w:val="20"/>
              </w:rPr>
            </w:pPr>
          </w:p>
        </w:tc>
        <w:tc>
          <w:tcPr>
            <w:tcW w:w="992" w:type="dxa"/>
            <w:tcBorders>
              <w:top w:val="nil"/>
            </w:tcBorders>
          </w:tcPr>
          <w:p w14:paraId="13276BC8" w14:textId="62119107" w:rsidR="00405C21" w:rsidRPr="004C78D8" w:rsidRDefault="00405C21" w:rsidP="00FB7C1F">
            <w:pPr>
              <w:jc w:val="left"/>
              <w:rPr>
                <w:sz w:val="20"/>
                <w:szCs w:val="20"/>
              </w:rPr>
            </w:pPr>
            <w:r w:rsidRPr="004C78D8">
              <w:rPr>
                <w:sz w:val="20"/>
                <w:szCs w:val="20"/>
              </w:rPr>
              <w:t>Severe</w:t>
            </w:r>
          </w:p>
        </w:tc>
        <w:tc>
          <w:tcPr>
            <w:tcW w:w="1488" w:type="dxa"/>
            <w:tcBorders>
              <w:top w:val="nil"/>
              <w:left w:val="nil"/>
              <w:bottom w:val="single" w:sz="4" w:space="0" w:color="auto"/>
              <w:right w:val="single" w:sz="4" w:space="0" w:color="auto"/>
            </w:tcBorders>
            <w:shd w:val="clear" w:color="auto" w:fill="auto"/>
            <w:vAlign w:val="bottom"/>
          </w:tcPr>
          <w:p w14:paraId="6A5EA62E" w14:textId="0B03874A" w:rsidR="00405C21" w:rsidRPr="004C78D8" w:rsidRDefault="00405C21" w:rsidP="00FB7C1F">
            <w:pPr>
              <w:jc w:val="center"/>
              <w:rPr>
                <w:rFonts w:cs="Times New Roman"/>
                <w:sz w:val="20"/>
                <w:szCs w:val="20"/>
              </w:rPr>
            </w:pPr>
            <w:r w:rsidRPr="004C78D8">
              <w:rPr>
                <w:rFonts w:cs="Times New Roman"/>
                <w:color w:val="000000"/>
                <w:sz w:val="20"/>
                <w:szCs w:val="20"/>
              </w:rPr>
              <w:t>0.000108</w:t>
            </w:r>
          </w:p>
        </w:tc>
        <w:tc>
          <w:tcPr>
            <w:tcW w:w="1489" w:type="dxa"/>
            <w:tcBorders>
              <w:top w:val="nil"/>
              <w:left w:val="single" w:sz="4" w:space="0" w:color="auto"/>
              <w:bottom w:val="single" w:sz="4" w:space="0" w:color="auto"/>
              <w:right w:val="single" w:sz="4" w:space="0" w:color="auto"/>
            </w:tcBorders>
            <w:shd w:val="clear" w:color="auto" w:fill="auto"/>
            <w:vAlign w:val="bottom"/>
          </w:tcPr>
          <w:p w14:paraId="4C1A1A56" w14:textId="4F6555F5" w:rsidR="00405C21" w:rsidRPr="004C78D8" w:rsidRDefault="00405C21" w:rsidP="00FB7C1F">
            <w:pPr>
              <w:jc w:val="center"/>
              <w:rPr>
                <w:rFonts w:cs="Times New Roman"/>
                <w:sz w:val="20"/>
                <w:szCs w:val="20"/>
              </w:rPr>
            </w:pPr>
            <w:r w:rsidRPr="004C78D8">
              <w:rPr>
                <w:rFonts w:cs="Times New Roman"/>
                <w:color w:val="000000"/>
                <w:sz w:val="20"/>
                <w:szCs w:val="20"/>
              </w:rPr>
              <w:t>0.000896</w:t>
            </w:r>
          </w:p>
        </w:tc>
      </w:tr>
    </w:tbl>
    <w:p w14:paraId="797AA8EB" w14:textId="78596CD1" w:rsidR="008D380D" w:rsidRPr="004C78D8" w:rsidRDefault="008D380D" w:rsidP="00FB7C1F"/>
    <w:p w14:paraId="3FCA584C" w14:textId="147A5D3B" w:rsidR="00C339D1" w:rsidRPr="004C78D8" w:rsidRDefault="00AC6268" w:rsidP="00FB7C1F">
      <w:r w:rsidRPr="004C78D8">
        <w:t>T</w:t>
      </w:r>
      <w:r w:rsidR="00A9228B" w:rsidRPr="004C78D8">
        <w:t xml:space="preserve">he weighted average of the </w:t>
      </w:r>
      <w:r w:rsidRPr="004C78D8">
        <w:t xml:space="preserve">estimated </w:t>
      </w:r>
      <w:r w:rsidR="0039450C" w:rsidRPr="004C78D8">
        <w:t>fatal fall</w:t>
      </w:r>
      <w:r w:rsidR="00A9228B" w:rsidRPr="004C78D8">
        <w:t xml:space="preserve"> rate</w:t>
      </w:r>
      <w:r w:rsidRPr="004C78D8">
        <w:t>s</w:t>
      </w:r>
      <w:r w:rsidR="00A9228B" w:rsidRPr="004C78D8">
        <w:t xml:space="preserve"> </w:t>
      </w:r>
      <w:r w:rsidR="0039450C" w:rsidRPr="004C78D8">
        <w:t>for the whole community-dwelling population aged 60</w:t>
      </w:r>
      <w:r w:rsidR="007151A6" w:rsidRPr="004C78D8">
        <w:t>+</w:t>
      </w:r>
      <w:r w:rsidR="00A9228B" w:rsidRPr="004C78D8">
        <w:t xml:space="preserve"> was 0.00029</w:t>
      </w:r>
      <w:r w:rsidR="0039450C" w:rsidRPr="004C78D8">
        <w:t xml:space="preserve">. The </w:t>
      </w:r>
      <w:r w:rsidRPr="004C78D8">
        <w:t xml:space="preserve">PHE </w:t>
      </w:r>
      <w:r w:rsidR="0039450C" w:rsidRPr="004C78D8">
        <w:t xml:space="preserve">model incorporated an estimate from </w:t>
      </w:r>
      <w:r w:rsidR="007151A6" w:rsidRPr="004C78D8">
        <w:t>HES</w:t>
      </w:r>
      <w:r w:rsidR="0039450C" w:rsidRPr="004C78D8">
        <w:t xml:space="preserve"> that 2.39% of </w:t>
      </w:r>
      <w:r w:rsidR="00A26289" w:rsidRPr="004C78D8">
        <w:t>hospitali</w:t>
      </w:r>
      <w:r w:rsidRPr="004C78D8">
        <w:t>s</w:t>
      </w:r>
      <w:r w:rsidR="00A26289" w:rsidRPr="004C78D8">
        <w:t xml:space="preserve">ed falls were fatal </w:t>
      </w:r>
      <w:r w:rsidRPr="004C78D8">
        <w:fldChar w:fldCharType="begin"/>
      </w:r>
      <w:r w:rsidR="00C630FC" w:rsidRPr="004C78D8">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4C78D8">
        <w:fldChar w:fldCharType="separate"/>
      </w:r>
      <w:r w:rsidR="00C630FC" w:rsidRPr="004C78D8">
        <w:rPr>
          <w:noProof/>
        </w:rPr>
        <w:t>[216]</w:t>
      </w:r>
      <w:r w:rsidRPr="004C78D8">
        <w:fldChar w:fldCharType="end"/>
      </w:r>
      <w:r w:rsidR="00A76209" w:rsidRPr="004C78D8">
        <w:t>;</w:t>
      </w:r>
      <w:r w:rsidR="0039450C" w:rsidRPr="004C78D8">
        <w:t xml:space="preserve"> </w:t>
      </w:r>
      <w:r w:rsidR="00A76209" w:rsidRPr="004C78D8">
        <w:t>it</w:t>
      </w:r>
      <w:r w:rsidR="0039450C" w:rsidRPr="004C78D8">
        <w:t xml:space="preserve"> also estimated that 5.6% of falls </w:t>
      </w:r>
      <w:r w:rsidR="007151A6" w:rsidRPr="004C78D8">
        <w:t>required</w:t>
      </w:r>
      <w:r w:rsidR="0039450C" w:rsidRPr="004C78D8">
        <w:t xml:space="preserve"> hospitali</w:t>
      </w:r>
      <w:r w:rsidRPr="004C78D8">
        <w:t>s</w:t>
      </w:r>
      <w:r w:rsidR="0039450C" w:rsidRPr="004C78D8">
        <w:t>ation</w:t>
      </w:r>
      <w:r w:rsidR="00A76209" w:rsidRPr="004C78D8">
        <w:t>.</w:t>
      </w:r>
      <w:r w:rsidR="0039450C" w:rsidRPr="004C78D8">
        <w:t xml:space="preserve"> </w:t>
      </w:r>
      <w:r w:rsidR="00A76209" w:rsidRPr="004C78D8">
        <w:t>T</w:t>
      </w:r>
      <w:r w:rsidR="0039450C" w:rsidRPr="004C78D8">
        <w:t xml:space="preserve">his meant that 0.13% of </w:t>
      </w:r>
      <w:r w:rsidR="00FF71D5" w:rsidRPr="004C78D8">
        <w:t xml:space="preserve">all </w:t>
      </w:r>
      <w:r w:rsidR="0039450C" w:rsidRPr="004C78D8">
        <w:t xml:space="preserve">falls </w:t>
      </w:r>
      <w:r w:rsidR="00FF71D5" w:rsidRPr="004C78D8">
        <w:t>were</w:t>
      </w:r>
      <w:r w:rsidR="0039450C" w:rsidRPr="004C78D8">
        <w:t xml:space="preserve"> fatal. </w:t>
      </w:r>
      <w:r w:rsidR="009318DD" w:rsidRPr="004C78D8">
        <w:t xml:space="preserve">If </w:t>
      </w:r>
      <w:r w:rsidR="00A9228B" w:rsidRPr="004C78D8">
        <w:t xml:space="preserve">it is assumed that </w:t>
      </w:r>
      <w:r w:rsidR="009318DD" w:rsidRPr="004C78D8">
        <w:t>30% of the population aged 60</w:t>
      </w:r>
      <w:r w:rsidR="007151A6" w:rsidRPr="004C78D8">
        <w:t>+</w:t>
      </w:r>
      <w:r w:rsidR="009318DD" w:rsidRPr="004C78D8">
        <w:t xml:space="preserve"> experience </w:t>
      </w:r>
      <w:r w:rsidR="00A9228B" w:rsidRPr="004C78D8">
        <w:t xml:space="preserve">a fall each year </w:t>
      </w:r>
      <w:r w:rsidR="009318DD" w:rsidRPr="004C78D8">
        <w:t xml:space="preserve">(the </w:t>
      </w:r>
      <w:r w:rsidRPr="004C78D8">
        <w:t xml:space="preserve">PHE </w:t>
      </w:r>
      <w:r w:rsidR="009318DD" w:rsidRPr="004C78D8">
        <w:t>model assumed that 34% of the population aged 65</w:t>
      </w:r>
      <w:r w:rsidR="007151A6" w:rsidRPr="004C78D8">
        <w:t>+</w:t>
      </w:r>
      <w:r w:rsidR="009318DD" w:rsidRPr="004C78D8">
        <w:t xml:space="preserve"> fell at least once </w:t>
      </w:r>
      <w:r w:rsidRPr="004C78D8">
        <w:t xml:space="preserve">per year </w:t>
      </w:r>
      <w:r w:rsidR="009318DD" w:rsidRPr="004C78D8">
        <w:t>and that the average falls per person was 1.06), th</w:t>
      </w:r>
      <w:r w:rsidR="00A9228B" w:rsidRPr="004C78D8">
        <w:t>en the fatal fall</w:t>
      </w:r>
      <w:r w:rsidR="00A76209" w:rsidRPr="004C78D8">
        <w:t xml:space="preserve"> rate</w:t>
      </w:r>
      <w:r w:rsidR="00A9228B" w:rsidRPr="004C78D8">
        <w:t xml:space="preserve"> for this population would be 0.00039.</w:t>
      </w:r>
      <w:r w:rsidR="00685085" w:rsidRPr="004C78D8">
        <w:t xml:space="preserve"> Hence, this model underestimates the rate of fatal falls relative to the </w:t>
      </w:r>
      <w:r w:rsidR="00B4386F" w:rsidRPr="004C78D8">
        <w:t>PHE</w:t>
      </w:r>
      <w:r w:rsidR="00685085" w:rsidRPr="004C78D8">
        <w:t xml:space="preserve"> model, though </w:t>
      </w:r>
      <w:r w:rsidR="00B4386F" w:rsidRPr="004C78D8">
        <w:t>both</w:t>
      </w:r>
      <w:r w:rsidR="00685085" w:rsidRPr="004C78D8">
        <w:t xml:space="preserve"> rates are likely too low to substantially affect the evaluation results.</w:t>
      </w:r>
    </w:p>
    <w:p w14:paraId="5A95F00B" w14:textId="6D28C8B7" w:rsidR="00A06385" w:rsidRPr="004C78D8" w:rsidRDefault="00162507" w:rsidP="00FB7C1F">
      <w:pPr>
        <w:pStyle w:val="Heading5"/>
      </w:pPr>
      <w:r w:rsidRPr="004C78D8">
        <w:t>Risk</w:t>
      </w:r>
      <w:r w:rsidR="00C339D1" w:rsidRPr="004C78D8">
        <w:t xml:space="preserve"> of other-cause mortality</w:t>
      </w:r>
      <w:r w:rsidR="00685085" w:rsidRPr="004C78D8">
        <w:t xml:space="preserve"> </w:t>
      </w:r>
    </w:p>
    <w:p w14:paraId="0BEE27B1" w14:textId="5949137A" w:rsidR="00C41EC5" w:rsidRPr="004C78D8" w:rsidRDefault="00A06385" w:rsidP="00FB7C1F">
      <w:r w:rsidRPr="004C78D8">
        <w:t xml:space="preserve">The </w:t>
      </w:r>
      <w:r w:rsidR="001C371F" w:rsidRPr="004C78D8">
        <w:t xml:space="preserve">factor of </w:t>
      </w:r>
      <w:r w:rsidR="007151A6" w:rsidRPr="004C78D8">
        <w:t>one</w:t>
      </w:r>
      <w:r w:rsidR="001C371F" w:rsidRPr="004C78D8">
        <w:t xml:space="preserve"> minus </w:t>
      </w:r>
      <w:r w:rsidRPr="004C78D8">
        <w:t xml:space="preserve">GBD </w:t>
      </w:r>
      <w:r w:rsidR="001C371F" w:rsidRPr="004C78D8">
        <w:t xml:space="preserve">(age group- and sex-specific) </w:t>
      </w:r>
      <w:r w:rsidRPr="004C78D8">
        <w:t xml:space="preserve">percentages </w:t>
      </w:r>
      <w:r w:rsidR="001C371F" w:rsidRPr="004C78D8">
        <w:t>were applied to the all-cause mortality rates to obtain the other-cause rates by age, sex</w:t>
      </w:r>
      <w:r w:rsidR="00A76209" w:rsidRPr="004C78D8">
        <w:t>,</w:t>
      </w:r>
      <w:r w:rsidR="001C371F" w:rsidRPr="004C78D8">
        <w:t xml:space="preserve"> and frailty category</w:t>
      </w:r>
      <w:r w:rsidR="00E14EC0" w:rsidRPr="004C78D8">
        <w:t>. These rates are displayed in Figure 5.</w:t>
      </w:r>
      <w:r w:rsidR="00BE2A67" w:rsidRPr="004C78D8">
        <w:t>3</w:t>
      </w:r>
      <w:r w:rsidR="00E14EC0" w:rsidRPr="004C78D8">
        <w:t xml:space="preserve"> and Table E11</w:t>
      </w:r>
      <w:r w:rsidR="00115D86" w:rsidRPr="004C78D8">
        <w:t xml:space="preserve"> </w:t>
      </w:r>
      <w:r w:rsidR="00E14EC0" w:rsidRPr="004C78D8">
        <w:t>in Appendix E.</w:t>
      </w:r>
      <w:r w:rsidR="00115D86" w:rsidRPr="004C78D8">
        <w:t xml:space="preserve"> </w:t>
      </w:r>
    </w:p>
    <w:p w14:paraId="45A09012" w14:textId="70DA7428" w:rsidR="00BE2A67" w:rsidRPr="004C78D8" w:rsidRDefault="00BE2A67" w:rsidP="00FB7C1F">
      <w:r w:rsidRPr="004C78D8">
        <w:rPr>
          <w:noProof/>
          <w:lang w:eastAsia="en-GB"/>
        </w:rPr>
        <w:drawing>
          <wp:inline distT="0" distB="0" distL="0" distR="0" wp14:anchorId="390C89ED" wp14:editId="7E770C89">
            <wp:extent cx="5695950" cy="3371850"/>
            <wp:effectExtent l="0" t="0" r="0" b="0"/>
            <wp:docPr id="21" name="Chart 21">
              <a:extLst xmlns:a="http://schemas.openxmlformats.org/drawingml/2006/main">
                <a:ext uri="{FF2B5EF4-FFF2-40B4-BE49-F238E27FC236}">
                  <a16:creationId xmlns:a16="http://schemas.microsoft.com/office/drawing/2014/main" id="{F045998F-55FF-8774-50E0-A73722A37A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7A72429" w14:textId="54101D81" w:rsidR="00BE2A67" w:rsidRPr="004C78D8" w:rsidRDefault="00BE2A67" w:rsidP="00FB7C1F">
      <w:r w:rsidRPr="00972766">
        <w:rPr>
          <w:b/>
          <w:bCs/>
        </w:rPr>
        <w:t>Figure 5.3</w:t>
      </w:r>
      <w:r w:rsidRPr="004C78D8">
        <w:t xml:space="preserve"> Annual other-cause mortality rate (range 0-1) by age, sex and frailty category.</w:t>
      </w:r>
    </w:p>
    <w:p w14:paraId="3C7A5697" w14:textId="77777777" w:rsidR="00C339D1" w:rsidRPr="004C78D8" w:rsidRDefault="00C339D1" w:rsidP="00FB7C1F"/>
    <w:p w14:paraId="27E6FD38" w14:textId="1C8B7D02" w:rsidR="00C339D1" w:rsidRPr="004C78D8" w:rsidRDefault="00C339D1" w:rsidP="00FB7C1F">
      <w:pPr>
        <w:pStyle w:val="Heading5"/>
      </w:pPr>
      <w:r w:rsidRPr="004C78D8">
        <w:t>Cost</w:t>
      </w:r>
      <w:r w:rsidR="00110896" w:rsidRPr="004C78D8">
        <w:t>s</w:t>
      </w:r>
      <w:r w:rsidRPr="004C78D8">
        <w:t xml:space="preserve"> in final year of life</w:t>
      </w:r>
    </w:p>
    <w:p w14:paraId="754AD1FC" w14:textId="199A32FF" w:rsidR="00F44FFF" w:rsidRPr="004C78D8" w:rsidRDefault="00F44FFF" w:rsidP="00FB7C1F">
      <w:r w:rsidRPr="004C78D8">
        <w:t xml:space="preserve">Table </w:t>
      </w:r>
      <w:r w:rsidR="00952A01" w:rsidRPr="004C78D8">
        <w:t>5</w:t>
      </w:r>
      <w:r w:rsidR="00BE4B15" w:rsidRPr="004C78D8">
        <w:t>.3</w:t>
      </w:r>
      <w:r w:rsidR="00952A01" w:rsidRPr="004C78D8">
        <w:t>7</w:t>
      </w:r>
      <w:r w:rsidRPr="004C78D8">
        <w:t xml:space="preserve"> shows the costs in the final year of life by care sector and primary cause of death</w:t>
      </w:r>
      <w:r w:rsidR="00783C05" w:rsidRPr="004C78D8">
        <w:t xml:space="preserve">. The data source was </w:t>
      </w:r>
      <w:r w:rsidRPr="004C78D8">
        <w:t>t</w:t>
      </w:r>
      <w:r w:rsidR="00C339D1" w:rsidRPr="004C78D8">
        <w:t xml:space="preserve">he 2019 PSSRU unit cost depository </w:t>
      </w:r>
      <w:r w:rsidR="00783C05" w:rsidRPr="004C78D8">
        <w:t xml:space="preserve">which reported the final-year costs for falls patients and all patients </w:t>
      </w:r>
      <w:r w:rsidR="000A39FA" w:rsidRPr="004C78D8">
        <w:fldChar w:fldCharType="begin"/>
      </w:r>
      <w:r w:rsidR="00C630FC" w:rsidRPr="004C78D8">
        <w:instrText xml:space="preserve"> ADDIN EN.CITE &lt;EndNote&gt;&lt;Cite&gt;&lt;Author&gt;Curtis&lt;/Author&gt;&lt;Year&gt;2019&lt;/Year&gt;&lt;RecNum&gt;135&lt;/RecNum&gt;&lt;DisplayText&gt;[401]&lt;/DisplayText&gt;&lt;record&gt;&lt;rec-number&gt;135&lt;/rec-number&gt;&lt;foreign-keys&gt;&lt;key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000A39FA" w:rsidRPr="004C78D8">
        <w:fldChar w:fldCharType="separate"/>
      </w:r>
      <w:r w:rsidR="00C630FC" w:rsidRPr="004C78D8">
        <w:rPr>
          <w:noProof/>
        </w:rPr>
        <w:t>[401]</w:t>
      </w:r>
      <w:r w:rsidR="000A39FA" w:rsidRPr="004C78D8">
        <w:fldChar w:fldCharType="end"/>
      </w:r>
      <w:r w:rsidR="00C339D1" w:rsidRPr="004C78D8">
        <w:t>.</w:t>
      </w:r>
      <w:r w:rsidRPr="004C78D8">
        <w:t xml:space="preserve"> </w:t>
      </w:r>
      <w:r w:rsidR="00783C05" w:rsidRPr="004C78D8">
        <w:t>Assuming that falls accounted for 0.</w:t>
      </w:r>
      <w:r w:rsidR="00A957E7" w:rsidRPr="004C78D8">
        <w:t>82</w:t>
      </w:r>
      <w:r w:rsidR="00783C05" w:rsidRPr="004C78D8">
        <w:t xml:space="preserve">% of all deaths as estimated </w:t>
      </w:r>
      <w:r w:rsidR="00A957E7" w:rsidRPr="004C78D8">
        <w:t>from the GBD data</w:t>
      </w:r>
      <w:r w:rsidR="000A39FA" w:rsidRPr="004C78D8">
        <w:t xml:space="preserve"> </w:t>
      </w:r>
      <w:r w:rsidR="000A39FA" w:rsidRPr="004C78D8">
        <w:fldChar w:fldCharType="begin"/>
      </w:r>
      <w:r w:rsidR="00C630FC" w:rsidRPr="004C78D8">
        <w:instrText xml:space="preserve"> ADDIN EN.CITE &lt;EndNote&gt;&lt;Cite&gt;&lt;Author&gt;Institute for Health Metrics and Evaluation&lt;/Author&gt;&lt;Year&gt;2020&lt;/Year&gt;&lt;RecNum&gt;155&lt;/RecNum&gt;&lt;DisplayText&gt;[408]&lt;/DisplayText&gt;&lt;record&gt;&lt;rec-number&gt;155&lt;/rec-number&gt;&lt;foreign-keys&gt;&lt;key app="EN" db-id="tdtrdw9aepptzbefsat599syza29sxsd2wsp" timestamp="1605523009"&gt;155&lt;/key&gt;&lt;/foreign-keys&gt;&lt;ref-type name="Web Page"&gt;12&lt;/ref-type&gt;&lt;contributors&gt;&lt;authors&gt;&lt;author&gt;Institute for Health Metrics and Evaluation,&lt;/author&gt;&lt;/authors&gt;&lt;/contributors&gt;&lt;titles&gt;&lt;title&gt;GBD Compare Data Visualization&lt;/title&gt;&lt;/titles&gt;&lt;pages&gt;Available from http://vizhub.healthdata.org/gbd-compare&lt;/pages&gt;&lt;number&gt;Accessed 2020.11.16&lt;/number&gt;&lt;dates&gt;&lt;year&gt;2020&lt;/year&gt;&lt;/dates&gt;&lt;pub-location&gt;Seattle, WA: IHME, University of Washington&lt;/pub-location&gt;&lt;urls&gt;&lt;/urls&gt;&lt;/record&gt;&lt;/Cite&gt;&lt;/EndNote&gt;</w:instrText>
      </w:r>
      <w:r w:rsidR="000A39FA" w:rsidRPr="004C78D8">
        <w:fldChar w:fldCharType="separate"/>
      </w:r>
      <w:r w:rsidR="00C630FC" w:rsidRPr="004C78D8">
        <w:rPr>
          <w:noProof/>
        </w:rPr>
        <w:t>[408]</w:t>
      </w:r>
      <w:r w:rsidR="000A39FA" w:rsidRPr="004C78D8">
        <w:fldChar w:fldCharType="end"/>
      </w:r>
      <w:r w:rsidR="00783C05" w:rsidRPr="004C78D8">
        <w:t xml:space="preserve">, weighted fall-related costs were subtracted from the all-cause costs to obtain the other-cause costs. </w:t>
      </w:r>
      <w:r w:rsidRPr="004C78D8">
        <w:t xml:space="preserve">They were assigned to the deceased individuals as they exited the model. </w:t>
      </w:r>
    </w:p>
    <w:tbl>
      <w:tblPr>
        <w:tblStyle w:val="TableGrid"/>
        <w:tblW w:w="0" w:type="auto"/>
        <w:tblInd w:w="-5" w:type="dxa"/>
        <w:tblLook w:val="04A0" w:firstRow="1" w:lastRow="0" w:firstColumn="1" w:lastColumn="0" w:noHBand="0" w:noVBand="1"/>
      </w:tblPr>
      <w:tblGrid>
        <w:gridCol w:w="1696"/>
        <w:gridCol w:w="1843"/>
        <w:gridCol w:w="1843"/>
        <w:gridCol w:w="2126"/>
      </w:tblGrid>
      <w:tr w:rsidR="00EE040D" w:rsidRPr="004C78D8" w14:paraId="23437383" w14:textId="4F6E1C37" w:rsidTr="00E35893">
        <w:tc>
          <w:tcPr>
            <w:tcW w:w="7508" w:type="dxa"/>
            <w:gridSpan w:val="4"/>
          </w:tcPr>
          <w:p w14:paraId="4E3D3F53" w14:textId="4A0B10EC" w:rsidR="00EE040D" w:rsidRPr="004C78D8" w:rsidRDefault="00EE040D" w:rsidP="00FB7C1F">
            <w:pPr>
              <w:jc w:val="left"/>
              <w:rPr>
                <w:b/>
                <w:bCs/>
              </w:rPr>
            </w:pPr>
            <w:r w:rsidRPr="004C78D8">
              <w:rPr>
                <w:b/>
                <w:bCs/>
              </w:rPr>
              <w:t xml:space="preserve">Table </w:t>
            </w:r>
            <w:r w:rsidR="00A768FA" w:rsidRPr="004C78D8">
              <w:rPr>
                <w:b/>
                <w:bCs/>
              </w:rPr>
              <w:t>5</w:t>
            </w:r>
            <w:r w:rsidR="00E97CE8" w:rsidRPr="004C78D8">
              <w:rPr>
                <w:b/>
                <w:bCs/>
              </w:rPr>
              <w:t>.3</w:t>
            </w:r>
            <w:r w:rsidR="00A768FA" w:rsidRPr="004C78D8">
              <w:rPr>
                <w:b/>
                <w:bCs/>
              </w:rPr>
              <w:t>7</w:t>
            </w:r>
            <w:r w:rsidRPr="004C78D8">
              <w:t xml:space="preserve"> Costs in final year of life by care sector and primary cause of death</w:t>
            </w:r>
            <w:r w:rsidR="00B90CF3" w:rsidRPr="004C78D8">
              <w:t>.</w:t>
            </w:r>
          </w:p>
        </w:tc>
      </w:tr>
      <w:tr w:rsidR="00EE040D" w:rsidRPr="004C78D8" w14:paraId="3A833AC1" w14:textId="1EB328B9" w:rsidTr="00E35893">
        <w:tc>
          <w:tcPr>
            <w:tcW w:w="1696" w:type="dxa"/>
            <w:tcBorders>
              <w:bottom w:val="single" w:sz="4" w:space="0" w:color="auto"/>
            </w:tcBorders>
          </w:tcPr>
          <w:p w14:paraId="28134368" w14:textId="0AD432C2" w:rsidR="00EE040D" w:rsidRPr="004C78D8" w:rsidRDefault="00EE040D" w:rsidP="00FB7C1F">
            <w:pPr>
              <w:jc w:val="left"/>
              <w:rPr>
                <w:b/>
                <w:bCs/>
                <w:sz w:val="20"/>
                <w:szCs w:val="20"/>
              </w:rPr>
            </w:pPr>
            <w:r w:rsidRPr="004C78D8">
              <w:rPr>
                <w:b/>
                <w:bCs/>
                <w:sz w:val="20"/>
                <w:szCs w:val="20"/>
              </w:rPr>
              <w:t>Cause of death</w:t>
            </w:r>
          </w:p>
        </w:tc>
        <w:tc>
          <w:tcPr>
            <w:tcW w:w="1843" w:type="dxa"/>
            <w:tcBorders>
              <w:bottom w:val="single" w:sz="4" w:space="0" w:color="auto"/>
            </w:tcBorders>
          </w:tcPr>
          <w:p w14:paraId="060DBD09" w14:textId="5CAEADA0" w:rsidR="00EE040D" w:rsidRPr="004C78D8" w:rsidRDefault="00EE040D" w:rsidP="00FB7C1F">
            <w:pPr>
              <w:jc w:val="left"/>
              <w:rPr>
                <w:b/>
                <w:bCs/>
                <w:sz w:val="20"/>
                <w:szCs w:val="20"/>
              </w:rPr>
            </w:pPr>
            <w:r w:rsidRPr="004C78D8">
              <w:rPr>
                <w:b/>
                <w:bCs/>
                <w:sz w:val="20"/>
                <w:szCs w:val="20"/>
              </w:rPr>
              <w:t>Healthcare</w:t>
            </w:r>
            <w:r w:rsidR="00B90CF3" w:rsidRPr="004C78D8">
              <w:rPr>
                <w:b/>
                <w:bCs/>
                <w:sz w:val="20"/>
                <w:szCs w:val="20"/>
                <w:vertAlign w:val="superscript"/>
              </w:rPr>
              <w:t>1,2</w:t>
            </w:r>
          </w:p>
        </w:tc>
        <w:tc>
          <w:tcPr>
            <w:tcW w:w="1843" w:type="dxa"/>
            <w:tcBorders>
              <w:bottom w:val="single" w:sz="4" w:space="0" w:color="auto"/>
            </w:tcBorders>
          </w:tcPr>
          <w:p w14:paraId="5819A3FC" w14:textId="48C46B6C" w:rsidR="00EE040D" w:rsidRPr="004C78D8" w:rsidRDefault="00EE040D" w:rsidP="00FB7C1F">
            <w:pPr>
              <w:jc w:val="left"/>
              <w:rPr>
                <w:b/>
                <w:bCs/>
                <w:sz w:val="20"/>
                <w:szCs w:val="20"/>
              </w:rPr>
            </w:pPr>
            <w:r w:rsidRPr="004C78D8">
              <w:rPr>
                <w:b/>
                <w:bCs/>
                <w:sz w:val="20"/>
                <w:szCs w:val="20"/>
              </w:rPr>
              <w:t>Social care</w:t>
            </w:r>
          </w:p>
        </w:tc>
        <w:tc>
          <w:tcPr>
            <w:tcW w:w="2126" w:type="dxa"/>
            <w:tcBorders>
              <w:bottom w:val="single" w:sz="4" w:space="0" w:color="auto"/>
            </w:tcBorders>
          </w:tcPr>
          <w:p w14:paraId="5A2E0551" w14:textId="4405EF2E" w:rsidR="00EE040D" w:rsidRPr="004C78D8" w:rsidRDefault="00EE040D" w:rsidP="00FB7C1F">
            <w:pPr>
              <w:jc w:val="left"/>
              <w:rPr>
                <w:b/>
                <w:bCs/>
                <w:sz w:val="20"/>
                <w:szCs w:val="20"/>
              </w:rPr>
            </w:pPr>
            <w:r w:rsidRPr="004C78D8">
              <w:rPr>
                <w:b/>
                <w:bCs/>
                <w:sz w:val="20"/>
                <w:szCs w:val="20"/>
              </w:rPr>
              <w:t>Total public sector</w:t>
            </w:r>
          </w:p>
        </w:tc>
      </w:tr>
      <w:tr w:rsidR="00EE040D" w:rsidRPr="004C78D8" w14:paraId="300B7095" w14:textId="328ED289" w:rsidTr="00E35893">
        <w:tc>
          <w:tcPr>
            <w:tcW w:w="1696" w:type="dxa"/>
            <w:tcBorders>
              <w:bottom w:val="nil"/>
            </w:tcBorders>
          </w:tcPr>
          <w:p w14:paraId="7FE8E969" w14:textId="75CBD6CD" w:rsidR="00EE040D" w:rsidRPr="004C78D8" w:rsidRDefault="00EE040D" w:rsidP="00FB7C1F">
            <w:pPr>
              <w:jc w:val="left"/>
              <w:rPr>
                <w:sz w:val="20"/>
                <w:szCs w:val="20"/>
              </w:rPr>
            </w:pPr>
            <w:r w:rsidRPr="004C78D8">
              <w:rPr>
                <w:sz w:val="20"/>
                <w:szCs w:val="20"/>
              </w:rPr>
              <w:t>Falls</w:t>
            </w:r>
          </w:p>
        </w:tc>
        <w:tc>
          <w:tcPr>
            <w:tcW w:w="1843" w:type="dxa"/>
            <w:tcBorders>
              <w:bottom w:val="nil"/>
            </w:tcBorders>
          </w:tcPr>
          <w:p w14:paraId="254F6000" w14:textId="716DD471" w:rsidR="00EE040D" w:rsidRPr="004C78D8" w:rsidRDefault="00EE040D" w:rsidP="00FB7C1F">
            <w:pPr>
              <w:jc w:val="left"/>
              <w:rPr>
                <w:sz w:val="20"/>
                <w:szCs w:val="20"/>
              </w:rPr>
            </w:pPr>
            <w:r w:rsidRPr="004C78D8">
              <w:rPr>
                <w:sz w:val="20"/>
                <w:szCs w:val="20"/>
              </w:rPr>
              <w:t>£10,492.48</w:t>
            </w:r>
          </w:p>
        </w:tc>
        <w:tc>
          <w:tcPr>
            <w:tcW w:w="1843" w:type="dxa"/>
            <w:tcBorders>
              <w:bottom w:val="nil"/>
            </w:tcBorders>
          </w:tcPr>
          <w:p w14:paraId="7122A767" w14:textId="4B1CF444" w:rsidR="00EE040D" w:rsidRPr="004C78D8" w:rsidRDefault="00EE040D" w:rsidP="00FB7C1F">
            <w:pPr>
              <w:jc w:val="left"/>
              <w:rPr>
                <w:sz w:val="20"/>
                <w:szCs w:val="20"/>
              </w:rPr>
            </w:pPr>
            <w:r w:rsidRPr="004C78D8">
              <w:rPr>
                <w:sz w:val="20"/>
                <w:szCs w:val="20"/>
              </w:rPr>
              <w:t>£6,507.61</w:t>
            </w:r>
          </w:p>
        </w:tc>
        <w:tc>
          <w:tcPr>
            <w:tcW w:w="2126" w:type="dxa"/>
            <w:tcBorders>
              <w:bottom w:val="nil"/>
            </w:tcBorders>
          </w:tcPr>
          <w:p w14:paraId="2C2FB101" w14:textId="4BE67E7D" w:rsidR="00EE040D" w:rsidRPr="004C78D8" w:rsidRDefault="00EE040D" w:rsidP="00FB7C1F">
            <w:pPr>
              <w:jc w:val="left"/>
              <w:rPr>
                <w:sz w:val="20"/>
                <w:szCs w:val="20"/>
              </w:rPr>
            </w:pPr>
            <w:r w:rsidRPr="004C78D8">
              <w:rPr>
                <w:sz w:val="20"/>
                <w:szCs w:val="20"/>
              </w:rPr>
              <w:t>£17,000.09</w:t>
            </w:r>
          </w:p>
        </w:tc>
      </w:tr>
      <w:tr w:rsidR="00EE040D" w:rsidRPr="004C78D8" w14:paraId="7C1EF04C" w14:textId="3CA64808" w:rsidTr="00E35893">
        <w:tc>
          <w:tcPr>
            <w:tcW w:w="1696" w:type="dxa"/>
            <w:tcBorders>
              <w:top w:val="nil"/>
            </w:tcBorders>
          </w:tcPr>
          <w:p w14:paraId="5771C046" w14:textId="098FBA01" w:rsidR="00EE040D" w:rsidRPr="004C78D8" w:rsidRDefault="00EE040D" w:rsidP="00FB7C1F">
            <w:pPr>
              <w:jc w:val="left"/>
              <w:rPr>
                <w:sz w:val="20"/>
                <w:szCs w:val="20"/>
              </w:rPr>
            </w:pPr>
            <w:r w:rsidRPr="004C78D8">
              <w:rPr>
                <w:sz w:val="20"/>
                <w:szCs w:val="20"/>
              </w:rPr>
              <w:t>Other causes</w:t>
            </w:r>
            <w:r w:rsidRPr="004C78D8">
              <w:rPr>
                <w:sz w:val="20"/>
                <w:szCs w:val="20"/>
                <w:vertAlign w:val="superscript"/>
              </w:rPr>
              <w:t>3</w:t>
            </w:r>
          </w:p>
        </w:tc>
        <w:tc>
          <w:tcPr>
            <w:tcW w:w="1843" w:type="dxa"/>
            <w:tcBorders>
              <w:top w:val="nil"/>
            </w:tcBorders>
          </w:tcPr>
          <w:p w14:paraId="41EA262E" w14:textId="049586F8" w:rsidR="00EE040D" w:rsidRPr="004C78D8" w:rsidRDefault="00EE040D" w:rsidP="00FB7C1F">
            <w:pPr>
              <w:jc w:val="left"/>
              <w:rPr>
                <w:sz w:val="20"/>
                <w:szCs w:val="20"/>
              </w:rPr>
            </w:pPr>
            <w:r w:rsidRPr="004C78D8">
              <w:rPr>
                <w:sz w:val="20"/>
                <w:szCs w:val="20"/>
              </w:rPr>
              <w:t>£7,</w:t>
            </w:r>
            <w:r w:rsidR="006C2773" w:rsidRPr="004C78D8">
              <w:rPr>
                <w:sz w:val="20"/>
                <w:szCs w:val="20"/>
              </w:rPr>
              <w:t>66</w:t>
            </w:r>
            <w:r w:rsidR="00516763" w:rsidRPr="004C78D8">
              <w:rPr>
                <w:sz w:val="20"/>
                <w:szCs w:val="20"/>
              </w:rPr>
              <w:t>6</w:t>
            </w:r>
            <w:r w:rsidRPr="004C78D8">
              <w:rPr>
                <w:sz w:val="20"/>
                <w:szCs w:val="20"/>
              </w:rPr>
              <w:t>.</w:t>
            </w:r>
            <w:r w:rsidR="00516763" w:rsidRPr="004C78D8">
              <w:rPr>
                <w:sz w:val="20"/>
                <w:szCs w:val="20"/>
              </w:rPr>
              <w:t>08</w:t>
            </w:r>
          </w:p>
        </w:tc>
        <w:tc>
          <w:tcPr>
            <w:tcW w:w="1843" w:type="dxa"/>
            <w:tcBorders>
              <w:top w:val="nil"/>
            </w:tcBorders>
          </w:tcPr>
          <w:p w14:paraId="4EC78A00" w14:textId="2592028C" w:rsidR="00EE040D" w:rsidRPr="004C78D8" w:rsidRDefault="00EE040D" w:rsidP="00FB7C1F">
            <w:pPr>
              <w:jc w:val="left"/>
              <w:rPr>
                <w:sz w:val="20"/>
                <w:szCs w:val="20"/>
              </w:rPr>
            </w:pPr>
            <w:r w:rsidRPr="004C78D8">
              <w:rPr>
                <w:sz w:val="20"/>
                <w:szCs w:val="20"/>
              </w:rPr>
              <w:t>£4,2</w:t>
            </w:r>
            <w:r w:rsidR="006C2773" w:rsidRPr="004C78D8">
              <w:rPr>
                <w:sz w:val="20"/>
                <w:szCs w:val="20"/>
              </w:rPr>
              <w:t>2</w:t>
            </w:r>
            <w:r w:rsidR="00516763" w:rsidRPr="004C78D8">
              <w:rPr>
                <w:sz w:val="20"/>
                <w:szCs w:val="20"/>
              </w:rPr>
              <w:t>6</w:t>
            </w:r>
            <w:r w:rsidRPr="004C78D8">
              <w:rPr>
                <w:sz w:val="20"/>
                <w:szCs w:val="20"/>
              </w:rPr>
              <w:t>.</w:t>
            </w:r>
            <w:r w:rsidR="00516763" w:rsidRPr="004C78D8">
              <w:rPr>
                <w:sz w:val="20"/>
                <w:szCs w:val="20"/>
              </w:rPr>
              <w:t>05</w:t>
            </w:r>
          </w:p>
        </w:tc>
        <w:tc>
          <w:tcPr>
            <w:tcW w:w="2126" w:type="dxa"/>
            <w:tcBorders>
              <w:top w:val="nil"/>
            </w:tcBorders>
          </w:tcPr>
          <w:p w14:paraId="52263E7C" w14:textId="7A585FAB" w:rsidR="00EE040D" w:rsidRPr="004C78D8" w:rsidRDefault="00EE040D" w:rsidP="00FB7C1F">
            <w:pPr>
              <w:jc w:val="left"/>
              <w:rPr>
                <w:sz w:val="20"/>
                <w:szCs w:val="20"/>
              </w:rPr>
            </w:pPr>
            <w:r w:rsidRPr="004C78D8">
              <w:rPr>
                <w:sz w:val="20"/>
                <w:szCs w:val="20"/>
              </w:rPr>
              <w:t>£1</w:t>
            </w:r>
            <w:r w:rsidR="006C2773" w:rsidRPr="004C78D8">
              <w:rPr>
                <w:sz w:val="20"/>
                <w:szCs w:val="20"/>
              </w:rPr>
              <w:t>1</w:t>
            </w:r>
            <w:r w:rsidRPr="004C78D8">
              <w:rPr>
                <w:sz w:val="20"/>
                <w:szCs w:val="20"/>
              </w:rPr>
              <w:t>,</w:t>
            </w:r>
            <w:r w:rsidR="006C2773" w:rsidRPr="004C78D8">
              <w:rPr>
                <w:sz w:val="20"/>
                <w:szCs w:val="20"/>
              </w:rPr>
              <w:t>89</w:t>
            </w:r>
            <w:r w:rsidR="00516763" w:rsidRPr="004C78D8">
              <w:rPr>
                <w:sz w:val="20"/>
                <w:szCs w:val="20"/>
              </w:rPr>
              <w:t>2</w:t>
            </w:r>
            <w:r w:rsidRPr="004C78D8">
              <w:rPr>
                <w:sz w:val="20"/>
                <w:szCs w:val="20"/>
              </w:rPr>
              <w:t>.</w:t>
            </w:r>
            <w:r w:rsidR="006C2773" w:rsidRPr="004C78D8">
              <w:rPr>
                <w:sz w:val="20"/>
                <w:szCs w:val="20"/>
              </w:rPr>
              <w:t>1</w:t>
            </w:r>
            <w:r w:rsidR="00516763" w:rsidRPr="004C78D8">
              <w:rPr>
                <w:sz w:val="20"/>
                <w:szCs w:val="20"/>
              </w:rPr>
              <w:t>3</w:t>
            </w:r>
          </w:p>
        </w:tc>
      </w:tr>
      <w:tr w:rsidR="00EE040D" w:rsidRPr="004C78D8" w14:paraId="14DD3DC2" w14:textId="20380440" w:rsidTr="00E35893">
        <w:tc>
          <w:tcPr>
            <w:tcW w:w="7508" w:type="dxa"/>
            <w:gridSpan w:val="4"/>
          </w:tcPr>
          <w:p w14:paraId="4B5180A8" w14:textId="05B4AA2A" w:rsidR="00EE040D" w:rsidRPr="004C78D8" w:rsidRDefault="00EE040D" w:rsidP="00FB7C1F">
            <w:pPr>
              <w:rPr>
                <w:sz w:val="18"/>
                <w:szCs w:val="18"/>
              </w:rPr>
            </w:pPr>
            <w:r w:rsidRPr="004C78D8">
              <w:rPr>
                <w:b/>
                <w:bCs/>
                <w:sz w:val="18"/>
                <w:szCs w:val="18"/>
              </w:rPr>
              <w:t>Source:</w:t>
            </w:r>
            <w:r w:rsidRPr="004C78D8">
              <w:rPr>
                <w:sz w:val="18"/>
                <w:szCs w:val="18"/>
              </w:rPr>
              <w:t xml:space="preserve"> 2019 PSSRU unit cost depository</w:t>
            </w:r>
            <w:r w:rsidR="000A39FA" w:rsidRPr="004C78D8">
              <w:rPr>
                <w:sz w:val="18"/>
                <w:szCs w:val="18"/>
              </w:rPr>
              <w:t xml:space="preserve"> </w:t>
            </w:r>
            <w:r w:rsidR="000A39FA" w:rsidRPr="004C78D8">
              <w:rPr>
                <w:sz w:val="18"/>
                <w:szCs w:val="18"/>
              </w:rPr>
              <w:fldChar w:fldCharType="begin"/>
            </w:r>
            <w:r w:rsidR="00C630FC" w:rsidRPr="004C78D8">
              <w:rPr>
                <w:sz w:val="18"/>
                <w:szCs w:val="18"/>
              </w:rPr>
              <w:instrText xml:space="preserve"> ADDIN EN.CITE &lt;EndNote&gt;&lt;Cite&gt;&lt;Author&gt;Curtis&lt;/Author&gt;&lt;Year&gt;2019&lt;/Year&gt;&lt;RecNum&gt;135&lt;/RecNum&gt;&lt;DisplayText&gt;[401]&lt;/DisplayText&gt;&lt;record&gt;&lt;rec-number&gt;135&lt;/rec-number&gt;&lt;foreign-keys&gt;&lt;key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000A39FA" w:rsidRPr="004C78D8">
              <w:rPr>
                <w:sz w:val="18"/>
                <w:szCs w:val="18"/>
              </w:rPr>
              <w:fldChar w:fldCharType="separate"/>
            </w:r>
            <w:r w:rsidR="00C630FC" w:rsidRPr="004C78D8">
              <w:rPr>
                <w:noProof/>
                <w:sz w:val="18"/>
                <w:szCs w:val="18"/>
              </w:rPr>
              <w:t>[401]</w:t>
            </w:r>
            <w:r w:rsidR="000A39FA" w:rsidRPr="004C78D8">
              <w:rPr>
                <w:sz w:val="18"/>
                <w:szCs w:val="18"/>
              </w:rPr>
              <w:fldChar w:fldCharType="end"/>
            </w:r>
            <w:r w:rsidRPr="004C78D8">
              <w:rPr>
                <w:sz w:val="18"/>
                <w:szCs w:val="18"/>
              </w:rPr>
              <w:t>.</w:t>
            </w:r>
          </w:p>
          <w:p w14:paraId="10C18BE5" w14:textId="58EEB36B" w:rsidR="00EE040D" w:rsidRPr="004C78D8" w:rsidRDefault="00EE040D" w:rsidP="00FB7C1F">
            <w:pPr>
              <w:rPr>
                <w:sz w:val="18"/>
                <w:szCs w:val="18"/>
              </w:rPr>
            </w:pPr>
            <w:r w:rsidRPr="004C78D8">
              <w:rPr>
                <w:sz w:val="18"/>
                <w:szCs w:val="18"/>
                <w:vertAlign w:val="superscript"/>
              </w:rPr>
              <w:t>1</w:t>
            </w:r>
            <w:r w:rsidRPr="004C78D8">
              <w:rPr>
                <w:sz w:val="18"/>
                <w:szCs w:val="18"/>
              </w:rPr>
              <w:t xml:space="preserve"> </w:t>
            </w:r>
            <w:r w:rsidR="00B90CF3" w:rsidRPr="004C78D8">
              <w:rPr>
                <w:sz w:val="18"/>
                <w:szCs w:val="18"/>
              </w:rPr>
              <w:t xml:space="preserve">All costs are expressed in 2021/22 £. </w:t>
            </w:r>
            <w:r w:rsidRPr="004C78D8">
              <w:rPr>
                <w:sz w:val="18"/>
                <w:szCs w:val="18"/>
              </w:rPr>
              <w:t xml:space="preserve">Healthcare costs were inflated at 1.98% per annum according to average NHS cost inflation rate over the period 2013-19; social care costs were inflated at 2.13% per annum according to average PSS pay &amp; price inflation rate over the same period </w:t>
            </w:r>
            <w:r w:rsidR="000A39FA" w:rsidRPr="004C78D8">
              <w:rPr>
                <w:sz w:val="18"/>
                <w:szCs w:val="18"/>
              </w:rPr>
              <w:fldChar w:fldCharType="begin"/>
            </w:r>
            <w:r w:rsidR="00C630FC" w:rsidRPr="004C78D8">
              <w:rPr>
                <w:sz w:val="18"/>
                <w:szCs w:val="18"/>
              </w:rPr>
              <w:instrText xml:space="preserve"> ADDIN EN.CITE &lt;EndNote&gt;&lt;Cite&gt;&lt;Author&gt;Curtis&lt;/Author&gt;&lt;Year&gt;2019&lt;/Year&gt;&lt;RecNum&gt;135&lt;/RecNum&gt;&lt;DisplayText&gt;[401]&lt;/DisplayText&gt;&lt;record&gt;&lt;rec-number&gt;135&lt;/rec-number&gt;&lt;foreign-keys&gt;&lt;key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000A39FA" w:rsidRPr="004C78D8">
              <w:rPr>
                <w:sz w:val="18"/>
                <w:szCs w:val="18"/>
              </w:rPr>
              <w:fldChar w:fldCharType="separate"/>
            </w:r>
            <w:r w:rsidR="00C630FC" w:rsidRPr="004C78D8">
              <w:rPr>
                <w:noProof/>
                <w:sz w:val="18"/>
                <w:szCs w:val="18"/>
              </w:rPr>
              <w:t>[401]</w:t>
            </w:r>
            <w:r w:rsidR="000A39FA" w:rsidRPr="004C78D8">
              <w:rPr>
                <w:sz w:val="18"/>
                <w:szCs w:val="18"/>
              </w:rPr>
              <w:fldChar w:fldCharType="end"/>
            </w:r>
            <w:r w:rsidR="000A39FA" w:rsidRPr="004C78D8">
              <w:rPr>
                <w:sz w:val="18"/>
                <w:szCs w:val="18"/>
              </w:rPr>
              <w:t>.</w:t>
            </w:r>
          </w:p>
          <w:p w14:paraId="6C209905" w14:textId="217EDD7B" w:rsidR="00EE040D" w:rsidRPr="004C78D8" w:rsidRDefault="00EE040D" w:rsidP="00FB7C1F">
            <w:pPr>
              <w:rPr>
                <w:sz w:val="18"/>
                <w:szCs w:val="18"/>
              </w:rPr>
            </w:pPr>
            <w:r w:rsidRPr="004C78D8">
              <w:rPr>
                <w:sz w:val="18"/>
                <w:szCs w:val="18"/>
                <w:vertAlign w:val="superscript"/>
              </w:rPr>
              <w:t>2</w:t>
            </w:r>
            <w:r w:rsidRPr="004C78D8">
              <w:rPr>
                <w:sz w:val="18"/>
                <w:szCs w:val="18"/>
              </w:rPr>
              <w:t xml:space="preserve"> Secondary care only: inpatient emergency</w:t>
            </w:r>
            <w:r w:rsidR="000A39FA" w:rsidRPr="004C78D8">
              <w:rPr>
                <w:sz w:val="18"/>
                <w:szCs w:val="18"/>
              </w:rPr>
              <w:t xml:space="preserve"> and</w:t>
            </w:r>
            <w:r w:rsidRPr="004C78D8">
              <w:rPr>
                <w:sz w:val="18"/>
                <w:szCs w:val="18"/>
              </w:rPr>
              <w:t xml:space="preserve"> non-emergency; outpatient; A&amp;E</w:t>
            </w:r>
          </w:p>
          <w:p w14:paraId="2007BFA1" w14:textId="399B43F0" w:rsidR="00EE040D" w:rsidRPr="004C78D8" w:rsidRDefault="00EE040D" w:rsidP="00FB7C1F">
            <w:pPr>
              <w:rPr>
                <w:sz w:val="20"/>
                <w:szCs w:val="20"/>
              </w:rPr>
            </w:pPr>
            <w:r w:rsidRPr="004C78D8">
              <w:rPr>
                <w:sz w:val="18"/>
                <w:szCs w:val="18"/>
                <w:vertAlign w:val="superscript"/>
              </w:rPr>
              <w:t>3</w:t>
            </w:r>
            <w:r w:rsidRPr="004C78D8">
              <w:rPr>
                <w:sz w:val="18"/>
                <w:szCs w:val="18"/>
              </w:rPr>
              <w:t xml:space="preserve"> Assumed that falls accounted for 0.029% of all deaths; weighted fall-related costs were then subtracted from all-cause costs.</w:t>
            </w:r>
          </w:p>
        </w:tc>
      </w:tr>
    </w:tbl>
    <w:p w14:paraId="5947A8A2" w14:textId="6EFE94C5" w:rsidR="001659D7" w:rsidRPr="004C78D8" w:rsidRDefault="001659D7" w:rsidP="00FB7C1F"/>
    <w:p w14:paraId="70FF7C24" w14:textId="259510F1" w:rsidR="008D380D" w:rsidRPr="004C78D8" w:rsidRDefault="00A768FA" w:rsidP="00FB7C1F">
      <w:pPr>
        <w:pStyle w:val="Heading4"/>
      </w:pPr>
      <w:r w:rsidRPr="004C78D8">
        <w:t>5</w:t>
      </w:r>
      <w:r w:rsidR="008D380D" w:rsidRPr="004C78D8">
        <w:t>.</w:t>
      </w:r>
      <w:r w:rsidR="00332ADA" w:rsidRPr="004C78D8">
        <w:t>2</w:t>
      </w:r>
      <w:r w:rsidR="008D380D" w:rsidRPr="004C78D8">
        <w:t>.</w:t>
      </w:r>
      <w:r w:rsidR="00480861" w:rsidRPr="004C78D8">
        <w:t>5</w:t>
      </w:r>
      <w:r w:rsidR="008D380D" w:rsidRPr="004C78D8">
        <w:t>.2 Non-fatal falls</w:t>
      </w:r>
    </w:p>
    <w:p w14:paraId="15D41D48" w14:textId="67D2CE25" w:rsidR="001F6C58" w:rsidRPr="004C78D8" w:rsidRDefault="00B52259" w:rsidP="00FB7C1F">
      <w:r w:rsidRPr="004C78D8">
        <w:t>The risk</w:t>
      </w:r>
      <w:r w:rsidR="008D07EC" w:rsidRPr="004C78D8">
        <w:t>s</w:t>
      </w:r>
      <w:r w:rsidRPr="004C78D8">
        <w:t xml:space="preserve"> of non-fatal falls </w:t>
      </w:r>
      <w:r w:rsidR="00B96CCA" w:rsidRPr="004C78D8">
        <w:t>we</w:t>
      </w:r>
      <w:r w:rsidRPr="004C78D8">
        <w:t xml:space="preserve">re estimated prospectively using the </w:t>
      </w:r>
      <w:r w:rsidR="001F6C58" w:rsidRPr="004C78D8">
        <w:t xml:space="preserve">ELSA </w:t>
      </w:r>
      <w:r w:rsidRPr="004C78D8">
        <w:t>data on fall incidence and type during the two-year interim between Waves 4</w:t>
      </w:r>
      <w:r w:rsidR="00B96CCA" w:rsidRPr="004C78D8">
        <w:t>-</w:t>
      </w:r>
      <w:r w:rsidRPr="004C78D8">
        <w:t>5</w:t>
      </w:r>
      <w:r w:rsidR="00B96CCA" w:rsidRPr="004C78D8">
        <w:t>, then annualised.</w:t>
      </w:r>
      <w:r w:rsidRPr="004C78D8">
        <w:t xml:space="preserve"> </w:t>
      </w:r>
      <w:r w:rsidR="00AA7189" w:rsidRPr="004C78D8">
        <w:t xml:space="preserve">There are </w:t>
      </w:r>
      <w:r w:rsidR="004C1D97" w:rsidRPr="004C78D8">
        <w:t>five</w:t>
      </w:r>
      <w:r w:rsidR="00AA7189" w:rsidRPr="004C78D8">
        <w:t xml:space="preserve"> fall-related outcomes of interest which match the f</w:t>
      </w:r>
      <w:r w:rsidR="004C1D97" w:rsidRPr="004C78D8">
        <w:t>ive</w:t>
      </w:r>
      <w:r w:rsidR="00AA7189" w:rsidRPr="004C78D8">
        <w:t xml:space="preserve"> types of fall history: (1) no fall; (2) single non-MA fall; (3) recurrent non-MA falls; (4) single MA fall; and (5) recurrent falls with at least one MA fall. To estimate the risk of each of these outcomes, four separate multivariate logistic regressions are estimated</w:t>
      </w:r>
      <w:r w:rsidR="004C1D97" w:rsidRPr="004C78D8">
        <w:t xml:space="preserve"> for</w:t>
      </w:r>
      <w:r w:rsidR="00AA7189" w:rsidRPr="004C78D8">
        <w:t xml:space="preserve">: (a) risk of </w:t>
      </w:r>
      <w:r w:rsidR="00E336CB" w:rsidRPr="004C78D8">
        <w:t xml:space="preserve">being </w:t>
      </w:r>
      <w:r w:rsidR="00AA7189" w:rsidRPr="004C78D8">
        <w:t>any fall</w:t>
      </w:r>
      <w:r w:rsidR="00E336CB" w:rsidRPr="004C78D8">
        <w:t>er</w:t>
      </w:r>
      <w:r w:rsidR="00AA7189" w:rsidRPr="004C78D8">
        <w:t xml:space="preserve">; (b) risk of </w:t>
      </w:r>
      <w:r w:rsidR="00E336CB" w:rsidRPr="004C78D8">
        <w:t xml:space="preserve">being a </w:t>
      </w:r>
      <w:r w:rsidR="00AA7189" w:rsidRPr="004C78D8">
        <w:t>recurrent fall</w:t>
      </w:r>
      <w:r w:rsidR="00E336CB" w:rsidRPr="004C78D8">
        <w:t>er</w:t>
      </w:r>
      <w:r w:rsidR="00AA7189" w:rsidRPr="004C78D8">
        <w:t xml:space="preserve"> given any fall; (c) risk of </w:t>
      </w:r>
      <w:r w:rsidR="00E336CB" w:rsidRPr="004C78D8">
        <w:t xml:space="preserve">being an </w:t>
      </w:r>
      <w:r w:rsidR="00AA7189" w:rsidRPr="004C78D8">
        <w:t>MA fall</w:t>
      </w:r>
      <w:r w:rsidR="00E336CB" w:rsidRPr="004C78D8">
        <w:t>er</w:t>
      </w:r>
      <w:r w:rsidR="00AA7189" w:rsidRPr="004C78D8">
        <w:t xml:space="preserve"> given single fall; and (d) risk of </w:t>
      </w:r>
      <w:r w:rsidR="00E336CB" w:rsidRPr="004C78D8">
        <w:t xml:space="preserve">being an </w:t>
      </w:r>
      <w:r w:rsidR="00AA7189" w:rsidRPr="004C78D8">
        <w:t>MA fall</w:t>
      </w:r>
      <w:r w:rsidR="00E336CB" w:rsidRPr="004C78D8">
        <w:t>er</w:t>
      </w:r>
      <w:r w:rsidR="00AA7189" w:rsidRPr="004C78D8">
        <w:t xml:space="preserve"> given recurrent fall. </w:t>
      </w:r>
      <w:r w:rsidR="004C1D97" w:rsidRPr="004C78D8">
        <w:t xml:space="preserve">These are sufficient to generate the five fall incidence types above: e.g., yes for (a), no for (b) and yes for (c) generate </w:t>
      </w:r>
      <w:r w:rsidR="007E0846" w:rsidRPr="004C78D8">
        <w:t xml:space="preserve">type </w:t>
      </w:r>
      <w:r w:rsidR="004C1D97" w:rsidRPr="004C78D8">
        <w:t xml:space="preserve">(4) single MA fall. </w:t>
      </w:r>
      <w:r w:rsidR="00E336CB" w:rsidRPr="004C78D8">
        <w:t>Nevertheless, the issue of recall bias in the use of ELSA falls data is first discussed.</w:t>
      </w:r>
    </w:p>
    <w:p w14:paraId="4F90618E" w14:textId="33EB0A68" w:rsidR="001F6C58" w:rsidRPr="004C78D8" w:rsidRDefault="002B3E7B" w:rsidP="00FB7C1F">
      <w:pPr>
        <w:pStyle w:val="Heading5"/>
      </w:pPr>
      <w:r w:rsidRPr="004C78D8">
        <w:t>Recall bias in the ELSA falls data</w:t>
      </w:r>
    </w:p>
    <w:p w14:paraId="07EA495D" w14:textId="3C7DBAA0" w:rsidR="009B4D28" w:rsidRPr="004C78D8" w:rsidRDefault="0010515E" w:rsidP="00FB7C1F">
      <w:r w:rsidRPr="004C78D8">
        <w:t>A key</w:t>
      </w:r>
      <w:r w:rsidR="00C376CB" w:rsidRPr="004C78D8">
        <w:t xml:space="preserve"> </w:t>
      </w:r>
      <w:r w:rsidR="00330F26" w:rsidRPr="004C78D8">
        <w:t xml:space="preserve">methodological </w:t>
      </w:r>
      <w:r w:rsidR="00053D60" w:rsidRPr="004C78D8">
        <w:t>issue</w:t>
      </w:r>
      <w:r w:rsidR="00C376CB" w:rsidRPr="004C78D8">
        <w:t xml:space="preserve"> </w:t>
      </w:r>
      <w:r w:rsidR="00053D60" w:rsidRPr="004C78D8">
        <w:t xml:space="preserve">in </w:t>
      </w:r>
      <w:r w:rsidRPr="004C78D8">
        <w:t>prospective analyses of falls incidence between ELSA Waves 4</w:t>
      </w:r>
      <w:r w:rsidR="00A93111" w:rsidRPr="004C78D8">
        <w:t>-</w:t>
      </w:r>
      <w:r w:rsidRPr="004C78D8">
        <w:t xml:space="preserve">5 is </w:t>
      </w:r>
      <w:r w:rsidR="00C376CB" w:rsidRPr="004C78D8">
        <w:t xml:space="preserve">the </w:t>
      </w:r>
      <w:r w:rsidR="00E3162A" w:rsidRPr="004C78D8">
        <w:t xml:space="preserve">quality of the falls data collected </w:t>
      </w:r>
      <w:r w:rsidR="00C376CB" w:rsidRPr="004C78D8">
        <w:t>at Wave 5. Whil</w:t>
      </w:r>
      <w:r w:rsidR="00330F26" w:rsidRPr="004C78D8">
        <w:t>st</w:t>
      </w:r>
      <w:r w:rsidR="00E3162A" w:rsidRPr="004C78D8">
        <w:t xml:space="preserve"> the</w:t>
      </w:r>
      <w:r w:rsidR="00C376CB" w:rsidRPr="004C78D8">
        <w:t xml:space="preserve"> Wave 4 </w:t>
      </w:r>
      <w:r w:rsidR="00E3162A" w:rsidRPr="004C78D8">
        <w:t xml:space="preserve">survey </w:t>
      </w:r>
      <w:r w:rsidR="00C376CB" w:rsidRPr="004C78D8">
        <w:t>ask</w:t>
      </w:r>
      <w:r w:rsidR="00E3162A" w:rsidRPr="004C78D8">
        <w:t>ed</w:t>
      </w:r>
      <w:r w:rsidR="00C376CB" w:rsidRPr="004C78D8">
        <w:t xml:space="preserve"> the respondent ‘Whether fallen down in </w:t>
      </w:r>
      <w:r w:rsidR="00E3162A" w:rsidRPr="004C78D8">
        <w:t xml:space="preserve">the </w:t>
      </w:r>
      <w:r w:rsidR="00C376CB" w:rsidRPr="004C78D8">
        <w:t>last year</w:t>
      </w:r>
      <w:r w:rsidR="00E3162A" w:rsidRPr="004C78D8">
        <w:t xml:space="preserve"> (for any reason)?</w:t>
      </w:r>
      <w:r w:rsidR="00C376CB" w:rsidRPr="004C78D8">
        <w:t xml:space="preserve">’, the Wave </w:t>
      </w:r>
      <w:r w:rsidR="00917621" w:rsidRPr="004C78D8">
        <w:t>5</w:t>
      </w:r>
      <w:r w:rsidR="00C376CB" w:rsidRPr="004C78D8">
        <w:t xml:space="preserve"> </w:t>
      </w:r>
      <w:r w:rsidR="00E3162A" w:rsidRPr="004C78D8">
        <w:t xml:space="preserve">survey </w:t>
      </w:r>
      <w:r w:rsidR="00C376CB" w:rsidRPr="004C78D8">
        <w:t>ask</w:t>
      </w:r>
      <w:r w:rsidR="00E3162A" w:rsidRPr="004C78D8">
        <w:t>ed</w:t>
      </w:r>
      <w:r w:rsidR="00C376CB" w:rsidRPr="004C78D8">
        <w:t xml:space="preserve"> ‘</w:t>
      </w:r>
      <w:r w:rsidR="00E6332C" w:rsidRPr="004C78D8">
        <w:t>[</w:t>
      </w:r>
      <w:r w:rsidR="00E3162A" w:rsidRPr="004C78D8">
        <w:t>Since we last talked to you on [date of last interview]</w:t>
      </w:r>
      <w:r w:rsidR="00D4015F" w:rsidRPr="004C78D8">
        <w:t>, have</w:t>
      </w:r>
      <w:r w:rsidR="00E6332C" w:rsidRPr="004C78D8">
        <w:t>/Have]</w:t>
      </w:r>
      <w:r w:rsidR="00330F26" w:rsidRPr="004C78D8">
        <w:t xml:space="preserve"> </w:t>
      </w:r>
      <w:r w:rsidR="00E3162A" w:rsidRPr="004C78D8">
        <w:t>you fallen down [</w:t>
      </w:r>
      <w:r w:rsidR="00E6332C" w:rsidRPr="004C78D8">
        <w:t>BLANK/</w:t>
      </w:r>
      <w:r w:rsidR="00E3162A" w:rsidRPr="004C78D8">
        <w:t xml:space="preserve">in the last two years] for any reason?’. </w:t>
      </w:r>
      <w:r w:rsidR="00330F26" w:rsidRPr="004C78D8">
        <w:t xml:space="preserve">Despite </w:t>
      </w:r>
      <w:r w:rsidR="00540F1E" w:rsidRPr="004C78D8">
        <w:t>the different</w:t>
      </w:r>
      <w:r w:rsidR="00330F26" w:rsidRPr="004C78D8">
        <w:t xml:space="preserve"> recall period</w:t>
      </w:r>
      <w:r w:rsidR="00540F1E" w:rsidRPr="004C78D8">
        <w:t>s</w:t>
      </w:r>
      <w:r w:rsidR="0040473F" w:rsidRPr="004C78D8">
        <w:t xml:space="preserve">, the </w:t>
      </w:r>
      <w:r w:rsidR="00B902A8" w:rsidRPr="004C78D8">
        <w:t>two-year</w:t>
      </w:r>
      <w:r w:rsidR="0040473F" w:rsidRPr="004C78D8">
        <w:t xml:space="preserve"> prevalence rates of falls of different types reported in </w:t>
      </w:r>
      <w:r w:rsidR="007B45DD" w:rsidRPr="004C78D8">
        <w:t xml:space="preserve">Wave 5 </w:t>
      </w:r>
      <w:r w:rsidR="0040473F" w:rsidRPr="004C78D8">
        <w:t xml:space="preserve">were </w:t>
      </w:r>
      <w:r w:rsidR="00A93111" w:rsidRPr="004C78D8">
        <w:t>comparable</w:t>
      </w:r>
      <w:r w:rsidR="007B45DD" w:rsidRPr="004C78D8">
        <w:t xml:space="preserve"> </w:t>
      </w:r>
      <w:r w:rsidR="0040473F" w:rsidRPr="004C78D8">
        <w:t>to the annual rates reported in Wave 4. Th</w:t>
      </w:r>
      <w:r w:rsidR="00053D60" w:rsidRPr="004C78D8">
        <w:t>ese are</w:t>
      </w:r>
      <w:r w:rsidR="0040473F" w:rsidRPr="004C78D8">
        <w:t xml:space="preserve"> </w:t>
      </w:r>
      <w:r w:rsidR="007B45DD" w:rsidRPr="004C78D8">
        <w:t xml:space="preserve">shown in Table </w:t>
      </w:r>
      <w:r w:rsidR="00A768FA" w:rsidRPr="004C78D8">
        <w:t>5</w:t>
      </w:r>
      <w:r w:rsidRPr="004C78D8">
        <w:t>.3</w:t>
      </w:r>
      <w:r w:rsidR="00A768FA" w:rsidRPr="004C78D8">
        <w:t>8</w:t>
      </w:r>
      <w:r w:rsidR="00540F1E" w:rsidRPr="004C78D8">
        <w:t xml:space="preserve">. </w:t>
      </w:r>
    </w:p>
    <w:tbl>
      <w:tblPr>
        <w:tblStyle w:val="TableGrid"/>
        <w:tblW w:w="5000" w:type="pct"/>
        <w:tblLook w:val="04A0" w:firstRow="1" w:lastRow="0" w:firstColumn="1" w:lastColumn="0" w:noHBand="0" w:noVBand="1"/>
      </w:tblPr>
      <w:tblGrid>
        <w:gridCol w:w="2285"/>
        <w:gridCol w:w="2579"/>
        <w:gridCol w:w="1956"/>
        <w:gridCol w:w="2196"/>
      </w:tblGrid>
      <w:tr w:rsidR="00134356" w:rsidRPr="004C78D8" w14:paraId="03E3B431" w14:textId="77777777" w:rsidTr="00E35893">
        <w:tc>
          <w:tcPr>
            <w:tcW w:w="5000" w:type="pct"/>
            <w:gridSpan w:val="4"/>
            <w:tcBorders>
              <w:bottom w:val="single" w:sz="4" w:space="0" w:color="auto"/>
            </w:tcBorders>
          </w:tcPr>
          <w:p w14:paraId="15F57059" w14:textId="0574CBD7" w:rsidR="00134356" w:rsidRPr="004C78D8" w:rsidRDefault="00134356" w:rsidP="00FB7C1F">
            <w:pPr>
              <w:jc w:val="left"/>
            </w:pPr>
            <w:r w:rsidRPr="004C78D8">
              <w:rPr>
                <w:b/>
                <w:bCs/>
              </w:rPr>
              <w:t xml:space="preserve">Table </w:t>
            </w:r>
            <w:r w:rsidR="00A768FA" w:rsidRPr="004C78D8">
              <w:rPr>
                <w:b/>
                <w:bCs/>
              </w:rPr>
              <w:t>5</w:t>
            </w:r>
            <w:r w:rsidR="0010515E" w:rsidRPr="004C78D8">
              <w:rPr>
                <w:b/>
                <w:bCs/>
              </w:rPr>
              <w:t>.3</w:t>
            </w:r>
            <w:r w:rsidR="00A768FA" w:rsidRPr="004C78D8">
              <w:rPr>
                <w:b/>
                <w:bCs/>
              </w:rPr>
              <w:t>8</w:t>
            </w:r>
            <w:r w:rsidRPr="004C78D8">
              <w:t xml:space="preserve"> Comparison of falls risk between: (1) ELSA falls incidence between Waves 4-5; (2) ELSA falls </w:t>
            </w:r>
            <w:r w:rsidR="00A56FCD" w:rsidRPr="004C78D8">
              <w:t>prevalence/</w:t>
            </w:r>
            <w:r w:rsidRPr="004C78D8">
              <w:t xml:space="preserve">history in Wave 4; and (3) </w:t>
            </w:r>
            <w:r w:rsidR="00A56FCD" w:rsidRPr="004C78D8">
              <w:t>estimates in literature</w:t>
            </w:r>
            <w:r w:rsidR="008D07EC" w:rsidRPr="004C78D8">
              <w:t>.</w:t>
            </w:r>
            <w:r w:rsidRPr="004C78D8">
              <w:t xml:space="preserve"> </w:t>
            </w:r>
          </w:p>
        </w:tc>
      </w:tr>
      <w:tr w:rsidR="00134356" w:rsidRPr="004C78D8" w14:paraId="575F63A8" w14:textId="77777777" w:rsidTr="00E35893">
        <w:tc>
          <w:tcPr>
            <w:tcW w:w="1267" w:type="pct"/>
            <w:tcBorders>
              <w:right w:val="nil"/>
            </w:tcBorders>
          </w:tcPr>
          <w:p w14:paraId="51847592" w14:textId="6C8BE75A" w:rsidR="00134356" w:rsidRPr="004C78D8" w:rsidRDefault="00B73A36" w:rsidP="00FB7C1F">
            <w:pPr>
              <w:jc w:val="left"/>
              <w:rPr>
                <w:b/>
                <w:bCs/>
                <w:sz w:val="20"/>
                <w:szCs w:val="20"/>
              </w:rPr>
            </w:pPr>
            <w:r w:rsidRPr="004C78D8">
              <w:rPr>
                <w:b/>
                <w:bCs/>
                <w:sz w:val="20"/>
                <w:szCs w:val="20"/>
              </w:rPr>
              <w:t>Fall type</w:t>
            </w:r>
            <w:r w:rsidR="009B4D28" w:rsidRPr="004C78D8">
              <w:rPr>
                <w:b/>
                <w:bCs/>
                <w:sz w:val="20"/>
                <w:szCs w:val="20"/>
              </w:rPr>
              <w:t xml:space="preserve">: </w:t>
            </w:r>
            <w:r w:rsidRPr="004C78D8">
              <w:rPr>
                <w:b/>
                <w:bCs/>
                <w:sz w:val="20"/>
                <w:szCs w:val="20"/>
              </w:rPr>
              <w:t>target population</w:t>
            </w:r>
          </w:p>
        </w:tc>
        <w:tc>
          <w:tcPr>
            <w:tcW w:w="1430" w:type="pct"/>
            <w:tcBorders>
              <w:left w:val="nil"/>
              <w:right w:val="nil"/>
            </w:tcBorders>
          </w:tcPr>
          <w:p w14:paraId="619F3D9A" w14:textId="30418C87" w:rsidR="00134356" w:rsidRPr="004C78D8" w:rsidRDefault="00C704AF" w:rsidP="00FB7C1F">
            <w:pPr>
              <w:jc w:val="left"/>
              <w:rPr>
                <w:b/>
                <w:bCs/>
                <w:sz w:val="20"/>
                <w:szCs w:val="20"/>
              </w:rPr>
            </w:pPr>
            <w:r w:rsidRPr="004C78D8">
              <w:rPr>
                <w:b/>
                <w:bCs/>
                <w:sz w:val="20"/>
                <w:szCs w:val="20"/>
              </w:rPr>
              <w:t xml:space="preserve">(1) </w:t>
            </w:r>
            <w:r w:rsidR="00B902A8" w:rsidRPr="004C78D8">
              <w:rPr>
                <w:b/>
                <w:bCs/>
                <w:sz w:val="20"/>
                <w:szCs w:val="20"/>
              </w:rPr>
              <w:t>Two-year</w:t>
            </w:r>
            <w:r w:rsidR="001E3B28" w:rsidRPr="004C78D8">
              <w:rPr>
                <w:b/>
                <w:bCs/>
                <w:sz w:val="20"/>
                <w:szCs w:val="20"/>
              </w:rPr>
              <w:t xml:space="preserve"> [annualised] risk from </w:t>
            </w:r>
            <w:r w:rsidR="00B73A36" w:rsidRPr="004C78D8">
              <w:rPr>
                <w:b/>
                <w:bCs/>
                <w:sz w:val="20"/>
                <w:szCs w:val="20"/>
              </w:rPr>
              <w:t>ELSA Waves 4-5</w:t>
            </w:r>
          </w:p>
        </w:tc>
        <w:tc>
          <w:tcPr>
            <w:tcW w:w="1085" w:type="pct"/>
            <w:tcBorders>
              <w:left w:val="nil"/>
              <w:right w:val="nil"/>
            </w:tcBorders>
          </w:tcPr>
          <w:p w14:paraId="350B1570" w14:textId="30D9BB3D" w:rsidR="00134356" w:rsidRPr="004C78D8" w:rsidRDefault="00C704AF" w:rsidP="00FB7C1F">
            <w:pPr>
              <w:jc w:val="left"/>
              <w:rPr>
                <w:b/>
                <w:bCs/>
                <w:sz w:val="20"/>
                <w:szCs w:val="20"/>
              </w:rPr>
            </w:pPr>
            <w:r w:rsidRPr="004C78D8">
              <w:rPr>
                <w:b/>
                <w:bCs/>
                <w:sz w:val="20"/>
                <w:szCs w:val="20"/>
              </w:rPr>
              <w:t xml:space="preserve">(2) </w:t>
            </w:r>
            <w:r w:rsidR="001E3B28" w:rsidRPr="004C78D8">
              <w:rPr>
                <w:b/>
                <w:bCs/>
                <w:sz w:val="20"/>
                <w:szCs w:val="20"/>
              </w:rPr>
              <w:t xml:space="preserve">Annual risk from </w:t>
            </w:r>
            <w:r w:rsidR="00B73A36" w:rsidRPr="004C78D8">
              <w:rPr>
                <w:b/>
                <w:bCs/>
                <w:sz w:val="20"/>
                <w:szCs w:val="20"/>
              </w:rPr>
              <w:t>ELSA Wave 4</w:t>
            </w:r>
            <w:r w:rsidR="00A03655" w:rsidRPr="004C78D8">
              <w:rPr>
                <w:b/>
                <w:bCs/>
                <w:sz w:val="20"/>
                <w:szCs w:val="20"/>
              </w:rPr>
              <w:t xml:space="preserve"> </w:t>
            </w:r>
          </w:p>
        </w:tc>
        <w:tc>
          <w:tcPr>
            <w:tcW w:w="1218" w:type="pct"/>
            <w:tcBorders>
              <w:left w:val="nil"/>
            </w:tcBorders>
          </w:tcPr>
          <w:p w14:paraId="05423106" w14:textId="5590D929" w:rsidR="00134356" w:rsidRPr="004C78D8" w:rsidRDefault="00C704AF" w:rsidP="00FB7C1F">
            <w:pPr>
              <w:jc w:val="left"/>
              <w:rPr>
                <w:b/>
                <w:bCs/>
                <w:sz w:val="20"/>
                <w:szCs w:val="20"/>
              </w:rPr>
            </w:pPr>
            <w:r w:rsidRPr="004C78D8">
              <w:rPr>
                <w:b/>
                <w:bCs/>
                <w:sz w:val="20"/>
                <w:szCs w:val="20"/>
              </w:rPr>
              <w:t xml:space="preserve">(3) </w:t>
            </w:r>
            <w:r w:rsidR="001E3B28" w:rsidRPr="004C78D8">
              <w:rPr>
                <w:b/>
                <w:bCs/>
                <w:sz w:val="20"/>
                <w:szCs w:val="20"/>
              </w:rPr>
              <w:t>Annual risk in literature [reference]</w:t>
            </w:r>
          </w:p>
        </w:tc>
      </w:tr>
      <w:tr w:rsidR="00134356" w:rsidRPr="004C78D8" w14:paraId="70000F6E" w14:textId="77777777" w:rsidTr="00E35893">
        <w:tc>
          <w:tcPr>
            <w:tcW w:w="1267" w:type="pct"/>
            <w:tcBorders>
              <w:right w:val="nil"/>
            </w:tcBorders>
          </w:tcPr>
          <w:p w14:paraId="017F11E1" w14:textId="74642278" w:rsidR="00134356" w:rsidRPr="004C78D8" w:rsidRDefault="00A56FCD" w:rsidP="00FB7C1F">
            <w:pPr>
              <w:jc w:val="left"/>
              <w:rPr>
                <w:sz w:val="18"/>
                <w:szCs w:val="18"/>
              </w:rPr>
            </w:pPr>
            <w:r w:rsidRPr="004C78D8">
              <w:rPr>
                <w:sz w:val="18"/>
                <w:szCs w:val="18"/>
              </w:rPr>
              <w:t>A</w:t>
            </w:r>
            <w:r w:rsidR="00B73A36" w:rsidRPr="004C78D8">
              <w:rPr>
                <w:sz w:val="18"/>
                <w:szCs w:val="18"/>
              </w:rPr>
              <w:t>ny fall: aged 6</w:t>
            </w:r>
            <w:r w:rsidRPr="004C78D8">
              <w:rPr>
                <w:sz w:val="18"/>
                <w:szCs w:val="18"/>
              </w:rPr>
              <w:t>5</w:t>
            </w:r>
            <w:r w:rsidR="009B4D28" w:rsidRPr="004C78D8">
              <w:rPr>
                <w:sz w:val="18"/>
                <w:szCs w:val="18"/>
              </w:rPr>
              <w:t>+</w:t>
            </w:r>
          </w:p>
        </w:tc>
        <w:tc>
          <w:tcPr>
            <w:tcW w:w="1430" w:type="pct"/>
            <w:tcBorders>
              <w:left w:val="nil"/>
              <w:right w:val="nil"/>
            </w:tcBorders>
          </w:tcPr>
          <w:p w14:paraId="02DDA328" w14:textId="1EF8BA5F" w:rsidR="00134356" w:rsidRPr="004C78D8" w:rsidRDefault="00B73A36" w:rsidP="00FB7C1F">
            <w:pPr>
              <w:jc w:val="left"/>
              <w:rPr>
                <w:sz w:val="18"/>
                <w:szCs w:val="18"/>
              </w:rPr>
            </w:pPr>
            <w:r w:rsidRPr="004C78D8">
              <w:rPr>
                <w:sz w:val="18"/>
                <w:szCs w:val="18"/>
              </w:rPr>
              <w:t>2</w:t>
            </w:r>
            <w:r w:rsidR="00A03655" w:rsidRPr="004C78D8">
              <w:rPr>
                <w:sz w:val="18"/>
                <w:szCs w:val="18"/>
              </w:rPr>
              <w:t>9</w:t>
            </w:r>
            <w:r w:rsidRPr="004C78D8">
              <w:rPr>
                <w:sz w:val="18"/>
                <w:szCs w:val="18"/>
              </w:rPr>
              <w:t>.</w:t>
            </w:r>
            <w:r w:rsidR="00A03655" w:rsidRPr="004C78D8">
              <w:rPr>
                <w:sz w:val="18"/>
                <w:szCs w:val="18"/>
              </w:rPr>
              <w:t>7</w:t>
            </w:r>
            <w:r w:rsidRPr="004C78D8">
              <w:rPr>
                <w:sz w:val="18"/>
                <w:szCs w:val="18"/>
              </w:rPr>
              <w:t>%</w:t>
            </w:r>
            <w:r w:rsidR="007B45DD" w:rsidRPr="004C78D8">
              <w:rPr>
                <w:sz w:val="18"/>
                <w:szCs w:val="18"/>
              </w:rPr>
              <w:t xml:space="preserve"> [16.2%]</w:t>
            </w:r>
          </w:p>
        </w:tc>
        <w:tc>
          <w:tcPr>
            <w:tcW w:w="1085" w:type="pct"/>
            <w:tcBorders>
              <w:left w:val="nil"/>
              <w:right w:val="nil"/>
            </w:tcBorders>
          </w:tcPr>
          <w:p w14:paraId="0BC8F4C7" w14:textId="33918742" w:rsidR="00134356" w:rsidRPr="004C78D8" w:rsidRDefault="00B73A36" w:rsidP="00FB7C1F">
            <w:pPr>
              <w:jc w:val="left"/>
              <w:rPr>
                <w:sz w:val="18"/>
                <w:szCs w:val="18"/>
              </w:rPr>
            </w:pPr>
            <w:r w:rsidRPr="004C78D8">
              <w:rPr>
                <w:sz w:val="18"/>
                <w:szCs w:val="18"/>
              </w:rPr>
              <w:t>2</w:t>
            </w:r>
            <w:r w:rsidR="00A03655" w:rsidRPr="004C78D8">
              <w:rPr>
                <w:sz w:val="18"/>
                <w:szCs w:val="18"/>
              </w:rPr>
              <w:t>7</w:t>
            </w:r>
            <w:r w:rsidRPr="004C78D8">
              <w:rPr>
                <w:sz w:val="18"/>
                <w:szCs w:val="18"/>
              </w:rPr>
              <w:t>.</w:t>
            </w:r>
            <w:r w:rsidR="00A03655" w:rsidRPr="004C78D8">
              <w:rPr>
                <w:sz w:val="18"/>
                <w:szCs w:val="18"/>
              </w:rPr>
              <w:t>0</w:t>
            </w:r>
            <w:r w:rsidRPr="004C78D8">
              <w:rPr>
                <w:sz w:val="18"/>
                <w:szCs w:val="18"/>
              </w:rPr>
              <w:t>%</w:t>
            </w:r>
          </w:p>
        </w:tc>
        <w:tc>
          <w:tcPr>
            <w:tcW w:w="1218" w:type="pct"/>
            <w:tcBorders>
              <w:left w:val="nil"/>
            </w:tcBorders>
          </w:tcPr>
          <w:p w14:paraId="37631A98" w14:textId="174C5046" w:rsidR="00134356" w:rsidRPr="004C78D8" w:rsidRDefault="009B4D28" w:rsidP="00FB7C1F">
            <w:pPr>
              <w:jc w:val="left"/>
              <w:rPr>
                <w:sz w:val="18"/>
                <w:szCs w:val="18"/>
              </w:rPr>
            </w:pPr>
            <w:r w:rsidRPr="004C78D8">
              <w:rPr>
                <w:sz w:val="18"/>
                <w:szCs w:val="18"/>
              </w:rPr>
              <w:t xml:space="preserve">NICE: </w:t>
            </w:r>
            <w:r w:rsidR="00A56FCD" w:rsidRPr="004C78D8">
              <w:rPr>
                <w:sz w:val="18"/>
                <w:szCs w:val="18"/>
              </w:rPr>
              <w:t xml:space="preserve">30% </w:t>
            </w:r>
            <w:r w:rsidR="001E3B28" w:rsidRPr="004C78D8">
              <w:rPr>
                <w:sz w:val="18"/>
                <w:szCs w:val="18"/>
              </w:rPr>
              <w:fldChar w:fldCharType="begin"/>
            </w:r>
            <w:r w:rsidR="00F255A9" w:rsidRPr="004C78D8">
              <w:rPr>
                <w:sz w:val="18"/>
                <w:szCs w:val="18"/>
              </w:rPr>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001E3B28" w:rsidRPr="004C78D8">
              <w:rPr>
                <w:sz w:val="18"/>
                <w:szCs w:val="18"/>
              </w:rPr>
              <w:fldChar w:fldCharType="separate"/>
            </w:r>
            <w:r w:rsidR="00F255A9" w:rsidRPr="004C78D8">
              <w:rPr>
                <w:noProof/>
                <w:sz w:val="18"/>
                <w:szCs w:val="18"/>
              </w:rPr>
              <w:t>[13]</w:t>
            </w:r>
            <w:r w:rsidR="001E3B28" w:rsidRPr="004C78D8">
              <w:rPr>
                <w:sz w:val="18"/>
                <w:szCs w:val="18"/>
              </w:rPr>
              <w:fldChar w:fldCharType="end"/>
            </w:r>
          </w:p>
        </w:tc>
      </w:tr>
      <w:tr w:rsidR="00A03655" w:rsidRPr="004C78D8" w14:paraId="25F622AB" w14:textId="77777777" w:rsidTr="00E35893">
        <w:tc>
          <w:tcPr>
            <w:tcW w:w="1267" w:type="pct"/>
            <w:tcBorders>
              <w:right w:val="nil"/>
            </w:tcBorders>
          </w:tcPr>
          <w:p w14:paraId="396C74E8" w14:textId="3B5BF0F6" w:rsidR="00A03655" w:rsidRPr="004C78D8" w:rsidRDefault="007B45DD" w:rsidP="00FB7C1F">
            <w:pPr>
              <w:jc w:val="left"/>
              <w:rPr>
                <w:sz w:val="18"/>
                <w:szCs w:val="18"/>
              </w:rPr>
            </w:pPr>
            <w:r w:rsidRPr="004C78D8">
              <w:rPr>
                <w:sz w:val="18"/>
                <w:szCs w:val="18"/>
              </w:rPr>
              <w:t>Any fall: aged 80</w:t>
            </w:r>
            <w:r w:rsidR="009B4D28" w:rsidRPr="004C78D8">
              <w:rPr>
                <w:sz w:val="18"/>
                <w:szCs w:val="18"/>
              </w:rPr>
              <w:t>+</w:t>
            </w:r>
          </w:p>
        </w:tc>
        <w:tc>
          <w:tcPr>
            <w:tcW w:w="1430" w:type="pct"/>
            <w:tcBorders>
              <w:left w:val="nil"/>
              <w:right w:val="nil"/>
            </w:tcBorders>
          </w:tcPr>
          <w:p w14:paraId="10CDC3C6" w14:textId="2423A9CF" w:rsidR="00A03655" w:rsidRPr="004C78D8" w:rsidRDefault="007B45DD" w:rsidP="00FB7C1F">
            <w:pPr>
              <w:jc w:val="left"/>
              <w:rPr>
                <w:sz w:val="18"/>
                <w:szCs w:val="18"/>
              </w:rPr>
            </w:pPr>
            <w:r w:rsidRPr="004C78D8">
              <w:rPr>
                <w:sz w:val="18"/>
                <w:szCs w:val="18"/>
              </w:rPr>
              <w:t>39.1% [22.0%]</w:t>
            </w:r>
          </w:p>
        </w:tc>
        <w:tc>
          <w:tcPr>
            <w:tcW w:w="1085" w:type="pct"/>
            <w:tcBorders>
              <w:left w:val="nil"/>
              <w:right w:val="nil"/>
            </w:tcBorders>
          </w:tcPr>
          <w:p w14:paraId="40DC2E17" w14:textId="17BD05E7" w:rsidR="00A03655" w:rsidRPr="004C78D8" w:rsidRDefault="007B45DD" w:rsidP="00FB7C1F">
            <w:pPr>
              <w:jc w:val="left"/>
              <w:rPr>
                <w:sz w:val="18"/>
                <w:szCs w:val="18"/>
              </w:rPr>
            </w:pPr>
            <w:r w:rsidRPr="004C78D8">
              <w:rPr>
                <w:sz w:val="18"/>
                <w:szCs w:val="18"/>
              </w:rPr>
              <w:t>35.5%</w:t>
            </w:r>
          </w:p>
        </w:tc>
        <w:tc>
          <w:tcPr>
            <w:tcW w:w="1218" w:type="pct"/>
            <w:tcBorders>
              <w:left w:val="nil"/>
            </w:tcBorders>
          </w:tcPr>
          <w:p w14:paraId="59E0F3CF" w14:textId="6CC2B2D3" w:rsidR="00A03655" w:rsidRPr="004C78D8" w:rsidRDefault="009B4D28" w:rsidP="00FB7C1F">
            <w:pPr>
              <w:jc w:val="left"/>
              <w:rPr>
                <w:sz w:val="18"/>
                <w:szCs w:val="18"/>
              </w:rPr>
            </w:pPr>
            <w:r w:rsidRPr="004C78D8">
              <w:rPr>
                <w:sz w:val="18"/>
                <w:szCs w:val="18"/>
              </w:rPr>
              <w:t xml:space="preserve">NICE: </w:t>
            </w:r>
            <w:r w:rsidR="007B45DD" w:rsidRPr="004C78D8">
              <w:rPr>
                <w:sz w:val="18"/>
                <w:szCs w:val="18"/>
              </w:rPr>
              <w:t xml:space="preserve">50% </w:t>
            </w:r>
            <w:r w:rsidR="001E3B28" w:rsidRPr="004C78D8">
              <w:rPr>
                <w:sz w:val="18"/>
                <w:szCs w:val="18"/>
              </w:rPr>
              <w:fldChar w:fldCharType="begin"/>
            </w:r>
            <w:r w:rsidR="00F255A9" w:rsidRPr="004C78D8">
              <w:rPr>
                <w:sz w:val="18"/>
                <w:szCs w:val="18"/>
              </w:rPr>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001E3B28" w:rsidRPr="004C78D8">
              <w:rPr>
                <w:sz w:val="18"/>
                <w:szCs w:val="18"/>
              </w:rPr>
              <w:fldChar w:fldCharType="separate"/>
            </w:r>
            <w:r w:rsidR="00F255A9" w:rsidRPr="004C78D8">
              <w:rPr>
                <w:noProof/>
                <w:sz w:val="18"/>
                <w:szCs w:val="18"/>
              </w:rPr>
              <w:t>[13]</w:t>
            </w:r>
            <w:r w:rsidR="001E3B28" w:rsidRPr="004C78D8">
              <w:rPr>
                <w:sz w:val="18"/>
                <w:szCs w:val="18"/>
              </w:rPr>
              <w:fldChar w:fldCharType="end"/>
            </w:r>
          </w:p>
        </w:tc>
      </w:tr>
      <w:tr w:rsidR="00B13DB9" w:rsidRPr="004C78D8" w14:paraId="133542F0" w14:textId="77777777" w:rsidTr="00E35893">
        <w:tc>
          <w:tcPr>
            <w:tcW w:w="1267" w:type="pct"/>
            <w:tcBorders>
              <w:right w:val="nil"/>
            </w:tcBorders>
          </w:tcPr>
          <w:p w14:paraId="2D441F49" w14:textId="77608557" w:rsidR="00B13DB9" w:rsidRPr="004C78D8" w:rsidRDefault="00B13DB9" w:rsidP="00FB7C1F">
            <w:pPr>
              <w:jc w:val="left"/>
              <w:rPr>
                <w:sz w:val="18"/>
                <w:szCs w:val="18"/>
              </w:rPr>
            </w:pPr>
            <w:r w:rsidRPr="004C78D8">
              <w:rPr>
                <w:sz w:val="18"/>
                <w:szCs w:val="18"/>
              </w:rPr>
              <w:t>Recurrent fall given any fall: aged 60</w:t>
            </w:r>
            <w:r w:rsidR="009B4D28" w:rsidRPr="004C78D8">
              <w:rPr>
                <w:sz w:val="18"/>
                <w:szCs w:val="18"/>
              </w:rPr>
              <w:t>+</w:t>
            </w:r>
          </w:p>
        </w:tc>
        <w:tc>
          <w:tcPr>
            <w:tcW w:w="1430" w:type="pct"/>
            <w:tcBorders>
              <w:left w:val="nil"/>
              <w:right w:val="nil"/>
            </w:tcBorders>
          </w:tcPr>
          <w:p w14:paraId="29710F02" w14:textId="2729599D" w:rsidR="00B13DB9" w:rsidRPr="004C78D8" w:rsidRDefault="00B13DB9" w:rsidP="00FB7C1F">
            <w:pPr>
              <w:jc w:val="left"/>
              <w:rPr>
                <w:sz w:val="18"/>
                <w:szCs w:val="18"/>
              </w:rPr>
            </w:pPr>
            <w:r w:rsidRPr="004C78D8">
              <w:rPr>
                <w:sz w:val="18"/>
                <w:szCs w:val="18"/>
              </w:rPr>
              <w:t>43.2% [24.6%]</w:t>
            </w:r>
          </w:p>
        </w:tc>
        <w:tc>
          <w:tcPr>
            <w:tcW w:w="1085" w:type="pct"/>
            <w:tcBorders>
              <w:left w:val="nil"/>
              <w:right w:val="nil"/>
            </w:tcBorders>
          </w:tcPr>
          <w:p w14:paraId="7159913F" w14:textId="785F96DA" w:rsidR="00B13DB9" w:rsidRPr="004C78D8" w:rsidRDefault="00B13DB9" w:rsidP="00FB7C1F">
            <w:pPr>
              <w:jc w:val="left"/>
              <w:rPr>
                <w:sz w:val="18"/>
                <w:szCs w:val="18"/>
              </w:rPr>
            </w:pPr>
            <w:r w:rsidRPr="004C78D8">
              <w:rPr>
                <w:sz w:val="18"/>
                <w:szCs w:val="18"/>
              </w:rPr>
              <w:t>43.9%</w:t>
            </w:r>
          </w:p>
        </w:tc>
        <w:tc>
          <w:tcPr>
            <w:tcW w:w="1218" w:type="pct"/>
            <w:tcBorders>
              <w:left w:val="nil"/>
            </w:tcBorders>
          </w:tcPr>
          <w:p w14:paraId="14260FB5" w14:textId="77777777" w:rsidR="00B13DB9" w:rsidRPr="004C78D8" w:rsidRDefault="00B13DB9" w:rsidP="00FB7C1F">
            <w:pPr>
              <w:jc w:val="left"/>
              <w:rPr>
                <w:sz w:val="18"/>
                <w:szCs w:val="18"/>
              </w:rPr>
            </w:pPr>
          </w:p>
        </w:tc>
      </w:tr>
      <w:tr w:rsidR="00B13DB9" w:rsidRPr="004C78D8" w14:paraId="220E559C" w14:textId="77777777" w:rsidTr="00E35893">
        <w:tc>
          <w:tcPr>
            <w:tcW w:w="1267" w:type="pct"/>
            <w:tcBorders>
              <w:right w:val="nil"/>
            </w:tcBorders>
          </w:tcPr>
          <w:p w14:paraId="6CA60CD0" w14:textId="3F90302C" w:rsidR="00B13DB9" w:rsidRPr="004C78D8" w:rsidRDefault="00B13DB9" w:rsidP="00FB7C1F">
            <w:pPr>
              <w:jc w:val="left"/>
              <w:rPr>
                <w:sz w:val="18"/>
                <w:szCs w:val="18"/>
              </w:rPr>
            </w:pPr>
            <w:r w:rsidRPr="004C78D8">
              <w:rPr>
                <w:sz w:val="18"/>
                <w:szCs w:val="18"/>
              </w:rPr>
              <w:t>Any fall: women aged 65</w:t>
            </w:r>
            <w:r w:rsidR="009B4D28" w:rsidRPr="004C78D8">
              <w:rPr>
                <w:sz w:val="18"/>
                <w:szCs w:val="18"/>
              </w:rPr>
              <w:t>+</w:t>
            </w:r>
            <w:r w:rsidRPr="004C78D8">
              <w:rPr>
                <w:sz w:val="18"/>
                <w:szCs w:val="18"/>
              </w:rPr>
              <w:t xml:space="preserve"> with </w:t>
            </w:r>
            <w:r w:rsidR="007D099F" w:rsidRPr="004C78D8">
              <w:rPr>
                <w:sz w:val="18"/>
                <w:szCs w:val="18"/>
              </w:rPr>
              <w:t>3</w:t>
            </w:r>
            <w:r w:rsidR="009B4D28" w:rsidRPr="004C78D8">
              <w:rPr>
                <w:sz w:val="18"/>
                <w:szCs w:val="18"/>
              </w:rPr>
              <w:t>+</w:t>
            </w:r>
            <w:r w:rsidR="007D099F" w:rsidRPr="004C78D8">
              <w:rPr>
                <w:sz w:val="18"/>
                <w:szCs w:val="18"/>
              </w:rPr>
              <w:t xml:space="preserve"> falls in past year</w:t>
            </w:r>
          </w:p>
        </w:tc>
        <w:tc>
          <w:tcPr>
            <w:tcW w:w="1430" w:type="pct"/>
            <w:tcBorders>
              <w:left w:val="nil"/>
              <w:right w:val="nil"/>
            </w:tcBorders>
          </w:tcPr>
          <w:p w14:paraId="39467F60" w14:textId="253E1459" w:rsidR="00B13DB9" w:rsidRPr="004C78D8" w:rsidRDefault="007D099F" w:rsidP="00FB7C1F">
            <w:pPr>
              <w:jc w:val="left"/>
              <w:rPr>
                <w:sz w:val="18"/>
                <w:szCs w:val="18"/>
              </w:rPr>
            </w:pPr>
            <w:r w:rsidRPr="004C78D8">
              <w:rPr>
                <w:sz w:val="18"/>
                <w:szCs w:val="18"/>
              </w:rPr>
              <w:t>67</w:t>
            </w:r>
            <w:r w:rsidR="00B13DB9" w:rsidRPr="004C78D8">
              <w:rPr>
                <w:sz w:val="18"/>
                <w:szCs w:val="18"/>
              </w:rPr>
              <w:t>.</w:t>
            </w:r>
            <w:r w:rsidRPr="004C78D8">
              <w:rPr>
                <w:sz w:val="18"/>
                <w:szCs w:val="18"/>
              </w:rPr>
              <w:t>6</w:t>
            </w:r>
            <w:r w:rsidR="00B13DB9" w:rsidRPr="004C78D8">
              <w:rPr>
                <w:sz w:val="18"/>
                <w:szCs w:val="18"/>
              </w:rPr>
              <w:t>% [</w:t>
            </w:r>
            <w:r w:rsidRPr="004C78D8">
              <w:rPr>
                <w:sz w:val="18"/>
                <w:szCs w:val="18"/>
              </w:rPr>
              <w:t>43</w:t>
            </w:r>
            <w:r w:rsidR="00B13DB9" w:rsidRPr="004C78D8">
              <w:rPr>
                <w:sz w:val="18"/>
                <w:szCs w:val="18"/>
              </w:rPr>
              <w:t>.</w:t>
            </w:r>
            <w:r w:rsidRPr="004C78D8">
              <w:rPr>
                <w:sz w:val="18"/>
                <w:szCs w:val="18"/>
              </w:rPr>
              <w:t>1</w:t>
            </w:r>
            <w:r w:rsidR="00B13DB9" w:rsidRPr="004C78D8">
              <w:rPr>
                <w:sz w:val="18"/>
                <w:szCs w:val="18"/>
              </w:rPr>
              <w:t>%]</w:t>
            </w:r>
          </w:p>
        </w:tc>
        <w:tc>
          <w:tcPr>
            <w:tcW w:w="1085" w:type="pct"/>
            <w:tcBorders>
              <w:left w:val="nil"/>
              <w:right w:val="nil"/>
            </w:tcBorders>
          </w:tcPr>
          <w:p w14:paraId="60914A6F" w14:textId="77777777" w:rsidR="00B13DB9" w:rsidRPr="004C78D8" w:rsidRDefault="00B13DB9" w:rsidP="00FB7C1F">
            <w:pPr>
              <w:jc w:val="left"/>
              <w:rPr>
                <w:sz w:val="18"/>
                <w:szCs w:val="18"/>
              </w:rPr>
            </w:pPr>
          </w:p>
        </w:tc>
        <w:tc>
          <w:tcPr>
            <w:tcW w:w="1218" w:type="pct"/>
            <w:tcBorders>
              <w:left w:val="nil"/>
            </w:tcBorders>
          </w:tcPr>
          <w:p w14:paraId="40E165E2" w14:textId="4EEEFB62" w:rsidR="00B13DB9" w:rsidRPr="004C78D8" w:rsidRDefault="009B4D28" w:rsidP="00FB7C1F">
            <w:pPr>
              <w:jc w:val="left"/>
              <w:rPr>
                <w:sz w:val="18"/>
                <w:szCs w:val="18"/>
              </w:rPr>
            </w:pPr>
            <w:r w:rsidRPr="004C78D8">
              <w:rPr>
                <w:sz w:val="18"/>
                <w:szCs w:val="18"/>
              </w:rPr>
              <w:t xml:space="preserve">RCT: </w:t>
            </w:r>
            <w:r w:rsidR="00B13DB9" w:rsidRPr="004C78D8">
              <w:rPr>
                <w:sz w:val="18"/>
                <w:szCs w:val="18"/>
              </w:rPr>
              <w:t xml:space="preserve">88.9% </w:t>
            </w:r>
            <w:r w:rsidR="001E3B28" w:rsidRPr="004C78D8">
              <w:rPr>
                <w:sz w:val="18"/>
                <w:szCs w:val="18"/>
              </w:rPr>
              <w:fldChar w:fldCharType="begin"/>
            </w:r>
            <w:r w:rsidR="00513646" w:rsidRPr="004C78D8">
              <w:rPr>
                <w:sz w:val="18"/>
                <w:szCs w:val="18"/>
              </w:rPr>
              <w:instrText xml:space="preserve"> ADDIN EN.CITE &lt;EndNote&gt;&lt;Cite&gt;&lt;Author&gt;Skelton&lt;/Author&gt;&lt;Year&gt;2005&lt;/Year&gt;&lt;RecNum&gt;481&lt;/RecNum&gt;&lt;DisplayText&gt;[136]&lt;/DisplayText&gt;&lt;record&gt;&lt;rec-number&gt;481&lt;/rec-number&gt;&lt;foreign-keys&gt;&lt;key app="EN" db-id="tdtrdw9aepptzbefsat599syza29sxsd2wsp" timestamp="1616578116"&gt;481&lt;/key&gt;&lt;/foreign-keys&gt;&lt;ref-type name="Journal Article"&gt;17&lt;/ref-type&gt;&lt;contributors&gt;&lt;authors&gt;&lt;author&gt;Skelton, Dawn&lt;/author&gt;&lt;author&gt;Dinan, Susie&lt;/author&gt;&lt;author&gt;Campbell, Malcolm&lt;/author&gt;&lt;author&gt;Rutherford, Olga&lt;/author&gt;&lt;/authors&gt;&lt;/contributors&gt;&lt;titles&gt;&lt;title&gt;Tailored group exercise (Falls Management Exercise—FaME) reduces falls in community-dwelling older frequent fallers (an RCT)&lt;/title&gt;&lt;secondary-title&gt;Age and ageing&lt;/secondary-title&gt;&lt;/titles&gt;&lt;periodical&gt;&lt;full-title&gt;Age and ageing&lt;/full-title&gt;&lt;/periodical&gt;&lt;pages&gt;636-639&lt;/pages&gt;&lt;volume&gt;34&lt;/volume&gt;&lt;number&gt;6&lt;/number&gt;&lt;dates&gt;&lt;year&gt;2005&lt;/year&gt;&lt;/dates&gt;&lt;isbn&gt;1468-2834&lt;/isbn&gt;&lt;urls&gt;&lt;/urls&gt;&lt;/record&gt;&lt;/Cite&gt;&lt;/EndNote&gt;</w:instrText>
            </w:r>
            <w:r w:rsidR="001E3B28" w:rsidRPr="004C78D8">
              <w:rPr>
                <w:sz w:val="18"/>
                <w:szCs w:val="18"/>
              </w:rPr>
              <w:fldChar w:fldCharType="separate"/>
            </w:r>
            <w:r w:rsidR="00513646" w:rsidRPr="004C78D8">
              <w:rPr>
                <w:noProof/>
                <w:sz w:val="18"/>
                <w:szCs w:val="18"/>
              </w:rPr>
              <w:t>[136]</w:t>
            </w:r>
            <w:r w:rsidR="001E3B28" w:rsidRPr="004C78D8">
              <w:rPr>
                <w:sz w:val="18"/>
                <w:szCs w:val="18"/>
              </w:rPr>
              <w:fldChar w:fldCharType="end"/>
            </w:r>
            <w:r w:rsidR="00B13DB9" w:rsidRPr="004C78D8">
              <w:rPr>
                <w:sz w:val="18"/>
                <w:szCs w:val="18"/>
                <w:vertAlign w:val="superscript"/>
              </w:rPr>
              <w:t>1</w:t>
            </w:r>
          </w:p>
        </w:tc>
      </w:tr>
      <w:tr w:rsidR="00B13DB9" w:rsidRPr="004C78D8" w14:paraId="0C0D207A" w14:textId="77777777" w:rsidTr="00E35893">
        <w:tc>
          <w:tcPr>
            <w:tcW w:w="1267" w:type="pct"/>
            <w:tcBorders>
              <w:right w:val="nil"/>
            </w:tcBorders>
          </w:tcPr>
          <w:p w14:paraId="018843AF" w14:textId="75A0309F" w:rsidR="00B13DB9" w:rsidRPr="004C78D8" w:rsidRDefault="00B13DB9" w:rsidP="00FB7C1F">
            <w:pPr>
              <w:jc w:val="left"/>
              <w:rPr>
                <w:sz w:val="18"/>
                <w:szCs w:val="18"/>
              </w:rPr>
            </w:pPr>
            <w:r w:rsidRPr="004C78D8">
              <w:rPr>
                <w:sz w:val="18"/>
                <w:szCs w:val="18"/>
              </w:rPr>
              <w:t>Any fall: mean age 78 with MA fall history</w:t>
            </w:r>
          </w:p>
        </w:tc>
        <w:tc>
          <w:tcPr>
            <w:tcW w:w="1430" w:type="pct"/>
            <w:tcBorders>
              <w:left w:val="nil"/>
              <w:right w:val="nil"/>
            </w:tcBorders>
          </w:tcPr>
          <w:p w14:paraId="63995475" w14:textId="1CC313AF" w:rsidR="00B13DB9" w:rsidRPr="004C78D8" w:rsidRDefault="00B13DB9" w:rsidP="00FB7C1F">
            <w:pPr>
              <w:jc w:val="left"/>
              <w:rPr>
                <w:sz w:val="18"/>
                <w:szCs w:val="18"/>
              </w:rPr>
            </w:pPr>
            <w:r w:rsidRPr="004C78D8">
              <w:rPr>
                <w:sz w:val="18"/>
                <w:szCs w:val="18"/>
              </w:rPr>
              <w:t>47.8% [27.8%]</w:t>
            </w:r>
          </w:p>
        </w:tc>
        <w:tc>
          <w:tcPr>
            <w:tcW w:w="1085" w:type="pct"/>
            <w:tcBorders>
              <w:left w:val="nil"/>
              <w:right w:val="nil"/>
            </w:tcBorders>
          </w:tcPr>
          <w:p w14:paraId="0C49FC14" w14:textId="77777777" w:rsidR="00B13DB9" w:rsidRPr="004C78D8" w:rsidRDefault="00B13DB9" w:rsidP="00FB7C1F">
            <w:pPr>
              <w:jc w:val="left"/>
              <w:rPr>
                <w:sz w:val="18"/>
                <w:szCs w:val="18"/>
              </w:rPr>
            </w:pPr>
          </w:p>
        </w:tc>
        <w:tc>
          <w:tcPr>
            <w:tcW w:w="1218" w:type="pct"/>
            <w:tcBorders>
              <w:left w:val="nil"/>
            </w:tcBorders>
          </w:tcPr>
          <w:p w14:paraId="0D58359B" w14:textId="692BCC50" w:rsidR="00B13DB9" w:rsidRPr="004C78D8" w:rsidRDefault="009B4D28" w:rsidP="00FB7C1F">
            <w:pPr>
              <w:jc w:val="left"/>
              <w:rPr>
                <w:sz w:val="18"/>
                <w:szCs w:val="18"/>
              </w:rPr>
            </w:pPr>
            <w:r w:rsidRPr="004C78D8">
              <w:rPr>
                <w:sz w:val="18"/>
                <w:szCs w:val="18"/>
              </w:rPr>
              <w:t xml:space="preserve">RCT: </w:t>
            </w:r>
            <w:r w:rsidR="00B13DB9" w:rsidRPr="004C78D8">
              <w:rPr>
                <w:sz w:val="18"/>
                <w:szCs w:val="18"/>
              </w:rPr>
              <w:t xml:space="preserve">52.0% </w:t>
            </w:r>
            <w:r w:rsidR="001E3B28" w:rsidRPr="004C78D8">
              <w:rPr>
                <w:sz w:val="18"/>
                <w:szCs w:val="18"/>
              </w:rPr>
              <w:fldChar w:fldCharType="begin"/>
            </w:r>
            <w:r w:rsidR="00513646" w:rsidRPr="004C78D8">
              <w:rPr>
                <w:sz w:val="18"/>
                <w:szCs w:val="18"/>
              </w:rPr>
              <w:instrText xml:space="preserve"> ADDIN EN.CITE &lt;EndNote&gt;&lt;Cite&gt;&lt;Author&gt;Close&lt;/Author&gt;&lt;Year&gt;1999&lt;/Year&gt;&lt;RecNum&gt;513&lt;/RecNum&gt;&lt;DisplayText&gt;[62]&lt;/DisplayText&gt;&lt;record&gt;&lt;rec-number&gt;513&lt;/rec-number&gt;&lt;foreign-keys&gt;&lt;key app="EN" db-id="tdtrdw9aepptzbefsat599syza29sxsd2wsp" timestamp="1617903389"&gt;513&lt;/key&gt;&lt;/foreign-keys&gt;&lt;ref-type name="Journal Article"&gt;17&lt;/ref-type&gt;&lt;contributors&gt;&lt;authors&gt;&lt;author&gt;Close, J.&lt;/author&gt;&lt;author&gt;Ellis, M.&lt;/author&gt;&lt;author&gt;Hooper, R.&lt;/author&gt;&lt;author&gt;Glucksman, E.&lt;/author&gt;&lt;author&gt;Jackson, S.&lt;/author&gt;&lt;author&gt;Swift, C.&lt;/author&gt;&lt;/authors&gt;&lt;/contributors&gt;&lt;auth-address&gt;Department of Health Care of the Elderly, Guy&amp;apos;s King&amp;apos;s, and St Thomas&amp;apos; School of Medicine, King&amp;apos;s College Hospital, London, UK. jacqueline.close@kcl.ac.uk&lt;/auth-address&gt;&lt;titles&gt;&lt;title&gt;Prevention of falls in the elderly trial (PROFET): a randomised controlled trial&lt;/title&gt;&lt;secondary-title&gt;Lancet&lt;/secondary-title&gt;&lt;/titles&gt;&lt;periodical&gt;&lt;full-title&gt;Lancet&lt;/full-title&gt;&lt;/periodical&gt;&lt;pages&gt;93-7&lt;/pages&gt;&lt;volume&gt;353&lt;/volume&gt;&lt;number&gt;9147&lt;/number&gt;&lt;keywords&gt;&lt;keyword&gt;Accidental Falls/*prevention &amp;amp; control&lt;/keyword&gt;&lt;keyword&gt;Activities of Daily Living/classification&lt;/keyword&gt;&lt;keyword&gt;Aged&lt;/keyword&gt;&lt;keyword&gt;Aged, 80 and over&lt;/keyword&gt;&lt;keyword&gt;Female&lt;/keyword&gt;&lt;keyword&gt;*Frail Elderly&lt;/keyword&gt;&lt;keyword&gt;Geriatric Assessment&lt;/keyword&gt;&lt;keyword&gt;Humans&lt;/keyword&gt;&lt;keyword&gt;Male&lt;/keyword&gt;&lt;keyword&gt;Occupational Therapy&lt;/keyword&gt;&lt;keyword&gt;*Patient Care Team&lt;/keyword&gt;&lt;keyword&gt;Recurrence&lt;/keyword&gt;&lt;keyword&gt;Referral and Consultation&lt;/keyword&gt;&lt;keyword&gt;Treatment Outcome&lt;/keyword&gt;&lt;/keywords&gt;&lt;dates&gt;&lt;year&gt;1999&lt;/year&gt;&lt;pub-dates&gt;&lt;date&gt;Jan 9&lt;/date&gt;&lt;/pub-dates&gt;&lt;/dates&gt;&lt;isbn&gt;0140-6736 (Print)&amp;#xD;0140-6736 (Linking)&lt;/isbn&gt;&lt;accession-num&gt;10023893&lt;/accession-num&gt;&lt;urls&gt;&lt;related-urls&gt;&lt;url&gt;https://www.ncbi.nlm.nih.gov/pubmed/10023893&lt;/url&gt;&lt;/related-urls&gt;&lt;/urls&gt;&lt;electronic-resource-num&gt;10.1016/S0140-6736(98)06119-4&lt;/electronic-resource-num&gt;&lt;/record&gt;&lt;/Cite&gt;&lt;/EndNote&gt;</w:instrText>
            </w:r>
            <w:r w:rsidR="001E3B28" w:rsidRPr="004C78D8">
              <w:rPr>
                <w:sz w:val="18"/>
                <w:szCs w:val="18"/>
              </w:rPr>
              <w:fldChar w:fldCharType="separate"/>
            </w:r>
            <w:r w:rsidR="00513646" w:rsidRPr="004C78D8">
              <w:rPr>
                <w:noProof/>
                <w:sz w:val="18"/>
                <w:szCs w:val="18"/>
              </w:rPr>
              <w:t>[62]</w:t>
            </w:r>
            <w:r w:rsidR="001E3B28" w:rsidRPr="004C78D8">
              <w:rPr>
                <w:sz w:val="18"/>
                <w:szCs w:val="18"/>
              </w:rPr>
              <w:fldChar w:fldCharType="end"/>
            </w:r>
            <w:r w:rsidR="00B13DB9" w:rsidRPr="004C78D8">
              <w:rPr>
                <w:sz w:val="18"/>
                <w:szCs w:val="18"/>
                <w:vertAlign w:val="superscript"/>
              </w:rPr>
              <w:t>1,</w:t>
            </w:r>
            <w:r w:rsidR="00FC21E1" w:rsidRPr="004C78D8">
              <w:rPr>
                <w:sz w:val="18"/>
                <w:szCs w:val="18"/>
                <w:vertAlign w:val="superscript"/>
              </w:rPr>
              <w:t>2</w:t>
            </w:r>
            <w:r w:rsidR="00B13DB9" w:rsidRPr="004C78D8">
              <w:rPr>
                <w:sz w:val="18"/>
                <w:szCs w:val="18"/>
              </w:rPr>
              <w:t xml:space="preserve">; 68.5% </w:t>
            </w:r>
            <w:r w:rsidR="001E3B28" w:rsidRPr="004C78D8">
              <w:rPr>
                <w:sz w:val="18"/>
                <w:szCs w:val="18"/>
              </w:rPr>
              <w:fldChar w:fldCharType="begin"/>
            </w:r>
            <w:r w:rsidR="00C630FC" w:rsidRPr="004C78D8">
              <w:rPr>
                <w:sz w:val="18"/>
                <w:szCs w:val="18"/>
              </w:rPr>
              <w:instrText xml:space="preserve"> ADDIN EN.CITE &lt;EndNote&gt;&lt;Cite&gt;&lt;Author&gt;Davison&lt;/Author&gt;&lt;Year&gt;2005&lt;/Year&gt;&lt;RecNum&gt;541&lt;/RecNum&gt;&lt;DisplayText&gt;[383]&lt;/DisplayText&gt;&lt;record&gt;&lt;rec-number&gt;541&lt;/rec-number&gt;&lt;foreign-keys&gt;&lt;key app="EN" db-id="tdtrdw9aepptzbefsat599syza29sxsd2wsp" timestamp="1618610885"&gt;541&lt;/key&gt;&lt;/foreign-keys&gt;&lt;ref-type name="Journal Article"&gt;17&lt;/ref-type&gt;&lt;contributors&gt;&lt;authors&gt;&lt;author&gt;Davison, John&lt;/author&gt;&lt;author&gt;Bond, John&lt;/author&gt;&lt;author&gt;Dawson, Pamela&lt;/author&gt;&lt;author&gt;Steen, I Nicholas&lt;/author&gt;&lt;author&gt;Kenny, Rose Anne&lt;/author&gt;&lt;/authors&gt;&lt;/contributors&gt;&lt;titles&gt;&lt;title&gt;Patients with recurrent falls attending Accident &amp;amp; Emergency benefit from multifactorial intervention—a randomised controlled trial&lt;/title&gt;&lt;secondary-title&gt;Age and ageing&lt;/secondary-title&gt;&lt;/titles&gt;&lt;periodical&gt;&lt;full-title&gt;Age and ageing&lt;/full-title&gt;&lt;/periodical&gt;&lt;pages&gt;162-168&lt;/pages&gt;&lt;volume&gt;34&lt;/volume&gt;&lt;number&gt;2&lt;/number&gt;&lt;dates&gt;&lt;year&gt;2005&lt;/year&gt;&lt;/dates&gt;&lt;isbn&gt;1468-2834&lt;/isbn&gt;&lt;urls&gt;&lt;/urls&gt;&lt;/record&gt;&lt;/Cite&gt;&lt;/EndNote&gt;</w:instrText>
            </w:r>
            <w:r w:rsidR="001E3B28" w:rsidRPr="004C78D8">
              <w:rPr>
                <w:sz w:val="18"/>
                <w:szCs w:val="18"/>
              </w:rPr>
              <w:fldChar w:fldCharType="separate"/>
            </w:r>
            <w:r w:rsidR="00C630FC" w:rsidRPr="004C78D8">
              <w:rPr>
                <w:noProof/>
                <w:sz w:val="18"/>
                <w:szCs w:val="18"/>
              </w:rPr>
              <w:t>[383]</w:t>
            </w:r>
            <w:r w:rsidR="001E3B28" w:rsidRPr="004C78D8">
              <w:rPr>
                <w:sz w:val="18"/>
                <w:szCs w:val="18"/>
              </w:rPr>
              <w:fldChar w:fldCharType="end"/>
            </w:r>
            <w:r w:rsidR="00B13DB9" w:rsidRPr="004C78D8">
              <w:rPr>
                <w:sz w:val="18"/>
                <w:szCs w:val="18"/>
                <w:vertAlign w:val="superscript"/>
              </w:rPr>
              <w:t>1,</w:t>
            </w:r>
            <w:r w:rsidR="00FC21E1" w:rsidRPr="004C78D8">
              <w:rPr>
                <w:sz w:val="18"/>
                <w:szCs w:val="18"/>
                <w:vertAlign w:val="superscript"/>
              </w:rPr>
              <w:t>2</w:t>
            </w:r>
          </w:p>
        </w:tc>
      </w:tr>
      <w:tr w:rsidR="00B13DB9" w:rsidRPr="004C78D8" w14:paraId="5875207C" w14:textId="77777777" w:rsidTr="00E35893">
        <w:tc>
          <w:tcPr>
            <w:tcW w:w="5000" w:type="pct"/>
            <w:gridSpan w:val="4"/>
          </w:tcPr>
          <w:p w14:paraId="2E367FCA" w14:textId="0EFBA251" w:rsidR="00404459" w:rsidRPr="004C78D8" w:rsidRDefault="00D10D5E" w:rsidP="00FB7C1F">
            <w:pPr>
              <w:rPr>
                <w:sz w:val="18"/>
                <w:szCs w:val="18"/>
                <w:vertAlign w:val="superscript"/>
              </w:rPr>
            </w:pPr>
            <w:r w:rsidRPr="004C78D8">
              <w:rPr>
                <w:b/>
                <w:bCs/>
                <w:sz w:val="18"/>
                <w:szCs w:val="18"/>
              </w:rPr>
              <w:t>Abbreviation</w:t>
            </w:r>
            <w:r w:rsidR="00404459" w:rsidRPr="004C78D8">
              <w:rPr>
                <w:b/>
                <w:bCs/>
                <w:sz w:val="18"/>
                <w:szCs w:val="18"/>
              </w:rPr>
              <w:t>:</w:t>
            </w:r>
            <w:r w:rsidR="00404459" w:rsidRPr="004C78D8">
              <w:rPr>
                <w:sz w:val="18"/>
                <w:szCs w:val="18"/>
              </w:rPr>
              <w:t xml:space="preserve"> ELSA: English Longitudinal Study of Ageing; MA fall: fall requiring medical attention; NICE: National Institute for Health and Care Excellence; RCT: randomized controlled trial</w:t>
            </w:r>
            <w:r w:rsidR="00404459" w:rsidRPr="004C78D8">
              <w:rPr>
                <w:sz w:val="18"/>
                <w:szCs w:val="18"/>
                <w:vertAlign w:val="superscript"/>
              </w:rPr>
              <w:t xml:space="preserve"> </w:t>
            </w:r>
          </w:p>
          <w:p w14:paraId="300D59D4" w14:textId="7F965BDF" w:rsidR="00B13DB9" w:rsidRPr="004C78D8" w:rsidRDefault="00B13DB9" w:rsidP="00FB7C1F">
            <w:pPr>
              <w:rPr>
                <w:sz w:val="18"/>
                <w:szCs w:val="18"/>
              </w:rPr>
            </w:pPr>
            <w:r w:rsidRPr="004C78D8">
              <w:rPr>
                <w:sz w:val="18"/>
                <w:szCs w:val="18"/>
                <w:vertAlign w:val="superscript"/>
              </w:rPr>
              <w:t>1</w:t>
            </w:r>
            <w:r w:rsidRPr="004C78D8">
              <w:rPr>
                <w:sz w:val="18"/>
                <w:szCs w:val="18"/>
              </w:rPr>
              <w:t xml:space="preserve"> </w:t>
            </w:r>
            <w:r w:rsidR="00DD3835" w:rsidRPr="004C78D8">
              <w:rPr>
                <w:sz w:val="18"/>
                <w:szCs w:val="18"/>
              </w:rPr>
              <w:t>One-year</w:t>
            </w:r>
            <w:r w:rsidRPr="004C78D8">
              <w:rPr>
                <w:sz w:val="18"/>
                <w:szCs w:val="18"/>
              </w:rPr>
              <w:t xml:space="preserve"> falls risk is taken from the control group that received no falls prevention intervention</w:t>
            </w:r>
            <w:r w:rsidR="00C704AF" w:rsidRPr="004C78D8">
              <w:rPr>
                <w:sz w:val="18"/>
                <w:szCs w:val="18"/>
              </w:rPr>
              <w:t>.</w:t>
            </w:r>
          </w:p>
          <w:p w14:paraId="74681832" w14:textId="7BD138ED" w:rsidR="00B13DB9" w:rsidRPr="004C78D8" w:rsidRDefault="00FC21E1" w:rsidP="00FB7C1F">
            <w:pPr>
              <w:rPr>
                <w:sz w:val="20"/>
                <w:szCs w:val="20"/>
              </w:rPr>
            </w:pPr>
            <w:r w:rsidRPr="004C78D8">
              <w:rPr>
                <w:sz w:val="18"/>
                <w:szCs w:val="18"/>
                <w:vertAlign w:val="superscript"/>
              </w:rPr>
              <w:t>2</w:t>
            </w:r>
            <w:r w:rsidR="00B13DB9" w:rsidRPr="004C78D8">
              <w:rPr>
                <w:sz w:val="18"/>
                <w:szCs w:val="18"/>
              </w:rPr>
              <w:t xml:space="preserve"> Presented to A&amp;E for an MA fall</w:t>
            </w:r>
            <w:r w:rsidRPr="004C78D8">
              <w:rPr>
                <w:sz w:val="18"/>
                <w:szCs w:val="18"/>
              </w:rPr>
              <w:t xml:space="preserve"> </w:t>
            </w:r>
            <w:r w:rsidR="002D4B42" w:rsidRPr="004C78D8">
              <w:rPr>
                <w:sz w:val="18"/>
                <w:szCs w:val="18"/>
              </w:rPr>
              <w:t>at trial baseline</w:t>
            </w:r>
            <w:r w:rsidR="001E3B28" w:rsidRPr="004C78D8">
              <w:rPr>
                <w:sz w:val="18"/>
                <w:szCs w:val="18"/>
              </w:rPr>
              <w:t>.</w:t>
            </w:r>
          </w:p>
        </w:tc>
      </w:tr>
    </w:tbl>
    <w:p w14:paraId="23AA451C" w14:textId="62DA9D6A" w:rsidR="00134356" w:rsidRPr="004C78D8" w:rsidRDefault="00134356" w:rsidP="00FB7C1F"/>
    <w:p w14:paraId="5EB64D1D" w14:textId="5411A3D7" w:rsidR="008D07EC" w:rsidRPr="004C78D8" w:rsidRDefault="008D07EC" w:rsidP="00FB7C1F">
      <w:r w:rsidRPr="004C78D8">
        <w:t xml:space="preserve">According to Wave 5 data, 29.7% of the cohort aged 65+ (at Wave 4) and followed up in Wave 5 reported the experience of at least one fall. This </w:t>
      </w:r>
      <w:r w:rsidR="00B902A8" w:rsidRPr="004C78D8">
        <w:t>two-year</w:t>
      </w:r>
      <w:r w:rsidRPr="004C78D8">
        <w:t xml:space="preserve"> risk was only marginally greater than the prevalence of 27.0% for falls experienced one year prior to Wave 4. The 29.7% </w:t>
      </w:r>
      <w:r w:rsidR="00B902A8" w:rsidRPr="004C78D8">
        <w:t>two-year</w:t>
      </w:r>
      <w:r w:rsidRPr="004C78D8">
        <w:t xml:space="preserve"> risk was equivalent to an annualised risk of 16.2%. This is substantially lower than the Wave 4 annual prevalence and the 30% annual risk cited by the NICE guideline as generalisable to the UK population aged 65+ </w:t>
      </w:r>
      <w:r w:rsidRPr="004C78D8">
        <w:fldChar w:fldCharType="begin"/>
      </w:r>
      <w:r w:rsidR="00F255A9"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Pr="004C78D8">
        <w:fldChar w:fldCharType="separate"/>
      </w:r>
      <w:r w:rsidR="00F255A9" w:rsidRPr="004C78D8">
        <w:rPr>
          <w:noProof/>
        </w:rPr>
        <w:t>[13]</w:t>
      </w:r>
      <w:r w:rsidRPr="004C78D8">
        <w:fldChar w:fldCharType="end"/>
      </w:r>
      <w:r w:rsidRPr="004C78D8">
        <w:t xml:space="preserve">. A noticeable pattern is that the original </w:t>
      </w:r>
      <w:r w:rsidR="00B902A8" w:rsidRPr="004C78D8">
        <w:t>two-year</w:t>
      </w:r>
      <w:r w:rsidRPr="004C78D8">
        <w:t xml:space="preserve"> risks from Waves 4-5 are </w:t>
      </w:r>
      <w:r w:rsidR="007B2DB5" w:rsidRPr="004C78D8">
        <w:t>comparable</w:t>
      </w:r>
      <w:r w:rsidRPr="004C78D8">
        <w:t xml:space="preserve"> to the annual </w:t>
      </w:r>
      <w:r w:rsidR="005A76BE" w:rsidRPr="004C78D8">
        <w:t>prevalence</w:t>
      </w:r>
      <w:r w:rsidRPr="004C78D8">
        <w:t xml:space="preserve"> from Wave 4. The last column also gives the annual risks reported for the control groups of three UK-based RCTs that used high-frequency prospective falls recording methods as recommended for falls epidemiological research </w:t>
      </w:r>
      <w:r w:rsidRPr="004C78D8">
        <w:fldChar w:fldCharType="begin"/>
      </w:r>
      <w:r w:rsidR="00513646" w:rsidRPr="004C78D8">
        <w:instrText xml:space="preserve"> ADDIN EN.CITE &lt;EndNote&gt;&lt;Cite&gt;&lt;Author&gt;Lamb&lt;/Author&gt;&lt;Year&gt;2005&lt;/Year&gt;&lt;RecNum&gt;161&lt;/RecNum&gt;&lt;DisplayText&gt;[24, 124]&lt;/DisplayText&gt;&lt;record&gt;&lt;rec-number&gt;161&lt;/rec-number&gt;&lt;foreign-keys&gt;&lt;key app="EN" db-id="tdtrdw9aepptzbefsat599syza29sxsd2wsp" timestamp="1609258101"&gt;161&lt;/key&gt;&lt;/foreign-keys&gt;&lt;ref-type name="Journal Article"&gt;17&lt;/ref-type&gt;&lt;contributors&gt;&lt;authors&gt;&lt;author&gt;Lamb, Sarah E&lt;/author&gt;&lt;author&gt;Jørstad‐Stein, Ellen C&lt;/author&gt;&lt;author&gt;Hauer, Klaus&lt;/author&gt;&lt;author&gt;Becker, Clemens&lt;/author&gt;&lt;author&gt;Prevention of Falls Network Europe&lt;/author&gt;&lt;author&gt;Outcomes Consensus Group&lt;/author&gt;&lt;/authors&gt;&lt;/contributors&gt;&lt;titles&gt;&lt;title&gt;Development of a common outcome data set for fall injury prevention trials: the Prevention of Falls Network Europe consensus&lt;/title&gt;&lt;secondary-title&gt;Journal of the American Geriatrics Society&lt;/secondary-title&gt;&lt;/titles&gt;&lt;periodical&gt;&lt;full-title&gt;Journal of the American Geriatrics Society&lt;/full-title&gt;&lt;/periodical&gt;&lt;pages&gt;1618-1622&lt;/pages&gt;&lt;volume&gt;53&lt;/volume&gt;&lt;number&gt;9&lt;/number&gt;&lt;dates&gt;&lt;year&gt;2005&lt;/year&gt;&lt;/dates&gt;&lt;isbn&gt;0002-8614&lt;/isbn&gt;&lt;urls&gt;&lt;/urls&gt;&lt;/record&gt;&lt;/Cite&gt;&lt;Cite&gt;&lt;Author&gt;Gillespie&lt;/Author&gt;&lt;Year&gt;2012&lt;/Year&gt;&lt;RecNum&gt;52&lt;/RecNum&gt;&lt;record&gt;&lt;rec-number&gt;52&lt;/rec-number&gt;&lt;foreign-keys&gt;&lt;key app="EN" db-id="tdtrdw9aepptzbefsat599syza29sxsd2wsp" timestamp="1597844815"&gt;52&lt;/key&gt;&lt;/foreign-keys&gt;&lt;ref-type name="Journal Article"&gt;17&lt;/ref-type&gt;&lt;contributors&gt;&lt;authors&gt;&lt;author&gt;Gillespie, Lesley D&lt;/author&gt;&lt;author&gt;Robertson, M Clare&lt;/author&gt;&lt;author&gt;Gillespie, William J&lt;/author&gt;&lt;author&gt;Sherrington, Catherine&lt;/author&gt;&lt;author&gt;Gates, Simon&lt;/author&gt;&lt;author&gt;Clemson, Lindy M&lt;/author&gt;&lt;author&gt;Lamb, Sarah E&lt;/author&gt;&lt;/authors&gt;&lt;/contributors&gt;&lt;titles&gt;&lt;title&gt;Interventions for preventing falls in older people living in the community&lt;/title&gt;&lt;secondary-title&gt;Cochrane database of systematic reviews&lt;/secondary-title&gt;&lt;/titles&gt;&lt;periodical&gt;&lt;full-title&gt;Cochrane database of systematic reviews&lt;/full-title&gt;&lt;/periodical&gt;&lt;number&gt;9&lt;/number&gt;&lt;dates&gt;&lt;year&gt;2012&lt;/year&gt;&lt;/dates&gt;&lt;isbn&gt;1465-1858&lt;/isbn&gt;&lt;urls&gt;&lt;/urls&gt;&lt;/record&gt;&lt;/Cite&gt;&lt;/EndNote&gt;</w:instrText>
      </w:r>
      <w:r w:rsidRPr="004C78D8">
        <w:fldChar w:fldCharType="separate"/>
      </w:r>
      <w:r w:rsidR="00513646" w:rsidRPr="004C78D8">
        <w:rPr>
          <w:noProof/>
        </w:rPr>
        <w:t>[24, 124]</w:t>
      </w:r>
      <w:r w:rsidRPr="004C78D8">
        <w:fldChar w:fldCharType="end"/>
      </w:r>
      <w:r w:rsidRPr="004C78D8">
        <w:t xml:space="preserve">. A noticeable pattern is that the </w:t>
      </w:r>
      <w:r w:rsidR="00B902A8" w:rsidRPr="004C78D8">
        <w:t>two-year</w:t>
      </w:r>
      <w:r w:rsidRPr="004C78D8">
        <w:t xml:space="preserve"> risks from ELSA Waves 4-5 are all lower than the </w:t>
      </w:r>
      <w:r w:rsidRPr="004C78D8">
        <w:rPr>
          <w:i/>
          <w:iCs/>
        </w:rPr>
        <w:t>annual</w:t>
      </w:r>
      <w:r w:rsidRPr="004C78D8">
        <w:t xml:space="preserve"> RCT risks. </w:t>
      </w:r>
    </w:p>
    <w:p w14:paraId="48216F65" w14:textId="18B1DADB" w:rsidR="00CA1CB3" w:rsidRPr="004C78D8" w:rsidRDefault="00F23122" w:rsidP="00FB7C1F">
      <w:r w:rsidRPr="004C78D8">
        <w:t xml:space="preserve">A plausible explanation for </w:t>
      </w:r>
      <w:r w:rsidR="00A822DC" w:rsidRPr="004C78D8">
        <w:t>the observed patterns</w:t>
      </w:r>
      <w:r w:rsidRPr="004C78D8">
        <w:t xml:space="preserve"> is recall bias in ELSA falls measurement. I</w:t>
      </w:r>
      <w:r w:rsidR="00BF75ED" w:rsidRPr="004C78D8">
        <w:t xml:space="preserve">t </w:t>
      </w:r>
      <w:r w:rsidR="00D4015F" w:rsidRPr="004C78D8">
        <w:t>may be</w:t>
      </w:r>
      <w:r w:rsidR="00BF75ED" w:rsidRPr="004C78D8">
        <w:t xml:space="preserve"> that despite the </w:t>
      </w:r>
      <w:r w:rsidR="00D4015F" w:rsidRPr="004C78D8">
        <w:t xml:space="preserve">specific </w:t>
      </w:r>
      <w:r w:rsidR="00BF75ED" w:rsidRPr="004C78D8">
        <w:t xml:space="preserve">wording of the </w:t>
      </w:r>
      <w:r w:rsidR="00D4015F" w:rsidRPr="004C78D8">
        <w:t xml:space="preserve">fall-related </w:t>
      </w:r>
      <w:r w:rsidR="00BF75ED" w:rsidRPr="004C78D8">
        <w:t>survey question</w:t>
      </w:r>
      <w:r w:rsidR="00D4015F" w:rsidRPr="004C78D8">
        <w:t>s</w:t>
      </w:r>
      <w:r w:rsidR="00BF75ED" w:rsidRPr="004C78D8">
        <w:t xml:space="preserve"> in Wave 5, the </w:t>
      </w:r>
      <w:r w:rsidR="00FC3C3B" w:rsidRPr="004C78D8">
        <w:t>older</w:t>
      </w:r>
      <w:r w:rsidR="00BF75ED" w:rsidRPr="004C78D8">
        <w:t xml:space="preserve"> respondents are</w:t>
      </w:r>
      <w:r w:rsidR="00D4015F" w:rsidRPr="004C78D8">
        <w:t xml:space="preserve"> </w:t>
      </w:r>
      <w:r w:rsidR="00BF75ED" w:rsidRPr="004C78D8">
        <w:t xml:space="preserve">recalling the falls that occurred over the past </w:t>
      </w:r>
      <w:r w:rsidR="00D4015F" w:rsidRPr="004C78D8">
        <w:t xml:space="preserve">12 months or so rather than 24 months, which explains the close correspondence to annual </w:t>
      </w:r>
      <w:r w:rsidR="009B4D28" w:rsidRPr="004C78D8">
        <w:t>risks</w:t>
      </w:r>
      <w:r w:rsidR="00D4015F" w:rsidRPr="004C78D8">
        <w:t xml:space="preserve"> </w:t>
      </w:r>
      <w:r w:rsidR="009B4D28" w:rsidRPr="004C78D8">
        <w:t>from</w:t>
      </w:r>
      <w:r w:rsidR="00D4015F" w:rsidRPr="004C78D8">
        <w:t xml:space="preserve"> Wave 4. </w:t>
      </w:r>
      <w:r w:rsidRPr="004C78D8">
        <w:t>Such recall bias</w:t>
      </w:r>
      <w:r w:rsidR="00FC7513" w:rsidRPr="004C78D8">
        <w:t xml:space="preserve"> is a prominent </w:t>
      </w:r>
      <w:r w:rsidR="00AE7D99" w:rsidRPr="004C78D8">
        <w:t xml:space="preserve">methodological </w:t>
      </w:r>
      <w:r w:rsidR="00FC7513" w:rsidRPr="004C78D8">
        <w:t>issue in falls research</w:t>
      </w:r>
      <w:r w:rsidR="00AE7D99" w:rsidRPr="004C78D8">
        <w:t xml:space="preserve"> </w:t>
      </w:r>
      <w:r w:rsidR="009B4D28" w:rsidRPr="004C78D8">
        <w:fldChar w:fldCharType="begin"/>
      </w:r>
      <w:r w:rsidR="00513646" w:rsidRPr="004C78D8">
        <w:instrText xml:space="preserve"> ADDIN EN.CITE &lt;EndNote&gt;&lt;Cite&gt;&lt;Author&gt;Lamb&lt;/Author&gt;&lt;Year&gt;2005&lt;/Year&gt;&lt;RecNum&gt;161&lt;/RecNum&gt;&lt;DisplayText&gt;[24, 105]&lt;/DisplayText&gt;&lt;record&gt;&lt;rec-number&gt;161&lt;/rec-number&gt;&lt;foreign-keys&gt;&lt;key app="EN" db-id="tdtrdw9aepptzbefsat599syza29sxsd2wsp" timestamp="1609258101"&gt;161&lt;/key&gt;&lt;/foreign-keys&gt;&lt;ref-type name="Journal Article"&gt;17&lt;/ref-type&gt;&lt;contributors&gt;&lt;authors&gt;&lt;author&gt;Lamb, Sarah E&lt;/author&gt;&lt;author&gt;Jørstad‐Stein, Ellen C&lt;/author&gt;&lt;author&gt;Hauer, Klaus&lt;/author&gt;&lt;author&gt;Becker, Clemens&lt;/author&gt;&lt;author&gt;Prevention of Falls Network Europe&lt;/author&gt;&lt;author&gt;Outcomes Consensus Group&lt;/author&gt;&lt;/authors&gt;&lt;/contributors&gt;&lt;titles&gt;&lt;title&gt;Development of a common outcome data set for fall injury prevention trials: the Prevention of Falls Network Europe consensus&lt;/title&gt;&lt;secondary-title&gt;Journal of the American Geriatrics Society&lt;/secondary-title&gt;&lt;/titles&gt;&lt;periodical&gt;&lt;full-title&gt;Journal of the American Geriatrics Society&lt;/full-title&gt;&lt;/periodical&gt;&lt;pages&gt;1618-1622&lt;/pages&gt;&lt;volume&gt;53&lt;/volume&gt;&lt;number&gt;9&lt;/number&gt;&lt;dates&gt;&lt;year&gt;2005&lt;/year&gt;&lt;/dates&gt;&lt;isbn&gt;0002-8614&lt;/isbn&gt;&lt;urls&gt;&lt;/urls&gt;&lt;/record&gt;&lt;/Cite&gt;&lt;Cite&gt;&lt;Author&gt;Davis&lt;/Author&gt;&lt;Year&gt;2011&lt;/Year&gt;&lt;RecNum&gt;286&lt;/RecNum&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009B4D28" w:rsidRPr="004C78D8">
        <w:fldChar w:fldCharType="separate"/>
      </w:r>
      <w:r w:rsidR="00513646" w:rsidRPr="004C78D8">
        <w:rPr>
          <w:noProof/>
        </w:rPr>
        <w:t>[24, 105]</w:t>
      </w:r>
      <w:r w:rsidR="009B4D28" w:rsidRPr="004C78D8">
        <w:fldChar w:fldCharType="end"/>
      </w:r>
      <w:r w:rsidR="00AE7D99" w:rsidRPr="004C78D8">
        <w:t xml:space="preserve">. </w:t>
      </w:r>
      <w:r w:rsidR="00D57F17" w:rsidRPr="004C78D8">
        <w:t xml:space="preserve">A systematic review of studies </w:t>
      </w:r>
      <w:r w:rsidR="00CA1CB3" w:rsidRPr="004C78D8">
        <w:t>on fall</w:t>
      </w:r>
      <w:r w:rsidRPr="004C78D8">
        <w:t>-related</w:t>
      </w:r>
      <w:r w:rsidR="00D57F17" w:rsidRPr="004C78D8">
        <w:t xml:space="preserve"> recall bias found that the sensitivity of retrospective recording at quarterly or longer intervals can be as low as 31% relative to prospective weekly recording </w:t>
      </w:r>
      <w:r w:rsidR="00CA1CB3" w:rsidRPr="004C78D8">
        <w:fldChar w:fldCharType="begin"/>
      </w:r>
      <w:r w:rsidR="00C630FC" w:rsidRPr="004C78D8">
        <w:instrText xml:space="preserve"> ADDIN EN.CITE &lt;EndNote&gt;&lt;Cite&gt;&lt;Author&gt;Ganz&lt;/Author&gt;&lt;Year&gt;2005&lt;/Year&gt;&lt;RecNum&gt;542&lt;/RecNum&gt;&lt;DisplayText&gt;[410]&lt;/DisplayText&gt;&lt;record&gt;&lt;rec-number&gt;542&lt;/rec-number&gt;&lt;foreign-keys&gt;&lt;key app="EN" db-id="tdtrdw9aepptzbefsat599syza29sxsd2wsp" timestamp="1618611737"&gt;542&lt;/key&gt;&lt;/foreign-keys&gt;&lt;ref-type name="Journal Article"&gt;17&lt;/ref-type&gt;&lt;contributors&gt;&lt;authors&gt;&lt;author&gt;Ganz, David A&lt;/author&gt;&lt;author&gt;Higashi, Takahiro&lt;/author&gt;&lt;author&gt;Rubenstein, Laurence Z&lt;/author&gt;&lt;/authors&gt;&lt;/contributors&gt;&lt;titles&gt;&lt;title&gt;Monitoring falls in cohort studies of community‐dwelling older people: effect of the recall interval&lt;/title&gt;&lt;secondary-title&gt;Journal of the American Geriatrics Society&lt;/secondary-title&gt;&lt;/titles&gt;&lt;periodical&gt;&lt;full-title&gt;Journal of the American Geriatrics Society&lt;/full-title&gt;&lt;/periodical&gt;&lt;pages&gt;2190-2194&lt;/pages&gt;&lt;volume&gt;53&lt;/volume&gt;&lt;number&gt;12&lt;/number&gt;&lt;dates&gt;&lt;year&gt;2005&lt;/year&gt;&lt;/dates&gt;&lt;isbn&gt;0002-8614&lt;/isbn&gt;&lt;urls&gt;&lt;/urls&gt;&lt;/record&gt;&lt;/Cite&gt;&lt;/EndNote&gt;</w:instrText>
      </w:r>
      <w:r w:rsidR="00CA1CB3" w:rsidRPr="004C78D8">
        <w:fldChar w:fldCharType="separate"/>
      </w:r>
      <w:r w:rsidR="00C630FC" w:rsidRPr="004C78D8">
        <w:rPr>
          <w:noProof/>
        </w:rPr>
        <w:t>[410]</w:t>
      </w:r>
      <w:r w:rsidR="00CA1CB3" w:rsidRPr="004C78D8">
        <w:fldChar w:fldCharType="end"/>
      </w:r>
      <w:r w:rsidR="00D57F17" w:rsidRPr="004C78D8">
        <w:t xml:space="preserve">. In the UK setting, a recent RCT found that the </w:t>
      </w:r>
      <w:r w:rsidR="00B43E94" w:rsidRPr="004C78D8">
        <w:t>four</w:t>
      </w:r>
      <w:r w:rsidR="00D57F17" w:rsidRPr="004C78D8">
        <w:t xml:space="preserve">-month recall method reported on average 32% fewer falls </w:t>
      </w:r>
      <w:r w:rsidR="00CA1CB3" w:rsidRPr="004C78D8">
        <w:t>than</w:t>
      </w:r>
      <w:r w:rsidR="00D57F17" w:rsidRPr="004C78D8">
        <w:t xml:space="preserve"> prospective monthly recording </w:t>
      </w:r>
      <w:r w:rsidR="00CA1CB3" w:rsidRPr="004C78D8">
        <w:fldChar w:fldCharType="begin"/>
      </w:r>
      <w:r w:rsidR="00C630FC" w:rsidRPr="004C78D8">
        <w:instrText xml:space="preserve"> ADDIN EN.CITE &lt;EndNote&gt;&lt;Cite&gt;&lt;Author&gt;Griffin&lt;/Author&gt;&lt;Year&gt;2019&lt;/Year&gt;&lt;RecNum&gt;543&lt;/RecNum&gt;&lt;DisplayText&gt;[411]&lt;/DisplayText&gt;&lt;record&gt;&lt;rec-number&gt;543&lt;/rec-number&gt;&lt;foreign-keys&gt;&lt;key app="EN" db-id="tdtrdw9aepptzbefsat599syza29sxsd2wsp" timestamp="1618611767"&gt;543&lt;/key&gt;&lt;/foreign-keys&gt;&lt;ref-type name="Journal Article"&gt;17&lt;/ref-type&gt;&lt;contributors&gt;&lt;authors&gt;&lt;author&gt;Griffin, James&lt;/author&gt;&lt;author&gt;Lall, Ranjit&lt;/author&gt;&lt;author&gt;Bruce, Julie&lt;/author&gt;&lt;author&gt;Withers, Emma&lt;/author&gt;&lt;author&gt;Finnegan, Susanne&lt;/author&gt;&lt;author&gt;Lamb, Sarah E&lt;/author&gt;&lt;author&gt;Underwood, Martin&lt;/author&gt;&lt;author&gt;Martin, Finbarr&lt;/author&gt;&lt;author&gt;Yardley, Lucy&lt;/author&gt;&lt;author&gt;Skelton, Dawn&lt;/author&gt;&lt;/authors&gt;&lt;/contributors&gt;&lt;titles&gt;&lt;title&gt;Comparison of alternative falls data collection methods in the Prevention of Falls Injury Trial (PreFIT)&lt;/title&gt;&lt;secondary-title&gt;Journal of clinical epidemiology&lt;/secondary-title&gt;&lt;/titles&gt;&lt;periodical&gt;&lt;full-title&gt;Journal of clinical epidemiology&lt;/full-title&gt;&lt;/periodical&gt;&lt;pages&gt;32-40&lt;/pages&gt;&lt;volume&gt;106&lt;/volume&gt;&lt;dates&gt;&lt;year&gt;2019&lt;/year&gt;&lt;/dates&gt;&lt;isbn&gt;0895-4356&lt;/isbn&gt;&lt;urls&gt;&lt;/urls&gt;&lt;/record&gt;&lt;/Cite&gt;&lt;/EndNote&gt;</w:instrText>
      </w:r>
      <w:r w:rsidR="00CA1CB3" w:rsidRPr="004C78D8">
        <w:fldChar w:fldCharType="separate"/>
      </w:r>
      <w:r w:rsidR="00C630FC" w:rsidRPr="004C78D8">
        <w:rPr>
          <w:noProof/>
        </w:rPr>
        <w:t>[411]</w:t>
      </w:r>
      <w:r w:rsidR="00CA1CB3" w:rsidRPr="004C78D8">
        <w:fldChar w:fldCharType="end"/>
      </w:r>
      <w:r w:rsidR="00D57F17" w:rsidRPr="004C78D8">
        <w:t xml:space="preserve">. </w:t>
      </w:r>
      <w:r w:rsidR="008243CE" w:rsidRPr="004C78D8">
        <w:t xml:space="preserve">Given the above features of </w:t>
      </w:r>
      <w:r w:rsidR="00CA1CB3" w:rsidRPr="004C78D8">
        <w:t xml:space="preserve">ELSA </w:t>
      </w:r>
      <w:r w:rsidR="008243CE" w:rsidRPr="004C78D8">
        <w:t xml:space="preserve">falls data </w:t>
      </w:r>
      <w:r w:rsidR="00CA1CB3" w:rsidRPr="004C78D8">
        <w:t>and the likelihood of recall bias</w:t>
      </w:r>
      <w:r w:rsidR="008243CE" w:rsidRPr="004C78D8">
        <w:t xml:space="preserve">, it was deemed reasonable to treat </w:t>
      </w:r>
      <w:r w:rsidRPr="004C78D8">
        <w:t xml:space="preserve">the </w:t>
      </w:r>
      <w:r w:rsidR="008243CE" w:rsidRPr="004C78D8">
        <w:t xml:space="preserve">Waves 4-5 </w:t>
      </w:r>
      <w:r w:rsidRPr="004C78D8">
        <w:t>data as</w:t>
      </w:r>
      <w:r w:rsidR="008243CE" w:rsidRPr="004C78D8">
        <w:t xml:space="preserve"> </w:t>
      </w:r>
      <w:r w:rsidR="008243CE" w:rsidRPr="004C78D8">
        <w:rPr>
          <w:i/>
          <w:iCs/>
        </w:rPr>
        <w:t>annual</w:t>
      </w:r>
      <w:r w:rsidR="008243CE" w:rsidRPr="004C78D8">
        <w:t xml:space="preserve"> rather than </w:t>
      </w:r>
      <w:r w:rsidR="00B902A8" w:rsidRPr="004C78D8">
        <w:t>two-year</w:t>
      </w:r>
      <w:r w:rsidR="008243CE" w:rsidRPr="004C78D8">
        <w:t xml:space="preserve"> risks. This meant </w:t>
      </w:r>
      <w:r w:rsidR="008243CE" w:rsidRPr="004C78D8">
        <w:rPr>
          <w:i/>
          <w:iCs/>
        </w:rPr>
        <w:t xml:space="preserve">not </w:t>
      </w:r>
      <w:r w:rsidR="008243CE" w:rsidRPr="004C78D8">
        <w:t>annuali</w:t>
      </w:r>
      <w:r w:rsidR="00CA1CB3" w:rsidRPr="004C78D8">
        <w:t>s</w:t>
      </w:r>
      <w:r w:rsidR="008243CE" w:rsidRPr="004C78D8">
        <w:t xml:space="preserve">ing the </w:t>
      </w:r>
      <w:r w:rsidR="00CA1CB3" w:rsidRPr="004C78D8">
        <w:t xml:space="preserve">Waves 4-5 </w:t>
      </w:r>
      <w:r w:rsidR="008243CE" w:rsidRPr="004C78D8">
        <w:t>risks</w:t>
      </w:r>
      <w:r w:rsidR="00CA1CB3" w:rsidRPr="004C78D8">
        <w:t xml:space="preserve"> and assigning them to the modelled individuals.</w:t>
      </w:r>
      <w:r w:rsidR="005C5D7C" w:rsidRPr="004C78D8">
        <w:t xml:space="preserve"> Even so, a key caveat is that two years, rather than one, have elapsed since Wave 4 which would overestimate the risk transition over time.</w:t>
      </w:r>
    </w:p>
    <w:p w14:paraId="41C301D4" w14:textId="68379936" w:rsidR="00925D3F" w:rsidRPr="004C78D8" w:rsidRDefault="00925D3F" w:rsidP="00FB7C1F">
      <w:pPr>
        <w:pStyle w:val="Heading5"/>
      </w:pPr>
      <w:r w:rsidRPr="004C78D8">
        <w:t>Risk of any fall</w:t>
      </w:r>
    </w:p>
    <w:p w14:paraId="17AB93B0" w14:textId="23A58458" w:rsidR="001423FD" w:rsidRPr="004C78D8" w:rsidRDefault="00BA25C3" w:rsidP="00FB7C1F">
      <w:r w:rsidRPr="004C78D8">
        <w:t xml:space="preserve">As mentioned, </w:t>
      </w:r>
      <w:r w:rsidR="00DC64DF" w:rsidRPr="004C78D8">
        <w:t xml:space="preserve">27.8% of the ELSA </w:t>
      </w:r>
      <w:r w:rsidR="0072681C" w:rsidRPr="004C78D8">
        <w:t xml:space="preserve">Wave 4 </w:t>
      </w:r>
      <w:r w:rsidR="00DC64DF" w:rsidRPr="004C78D8">
        <w:t xml:space="preserve">cohort </w:t>
      </w:r>
      <w:r w:rsidR="00F23122" w:rsidRPr="004C78D8">
        <w:t>reported</w:t>
      </w:r>
      <w:r w:rsidR="00DC64DF" w:rsidRPr="004C78D8">
        <w:t xml:space="preserve"> </w:t>
      </w:r>
      <w:r w:rsidR="00F23122" w:rsidRPr="004C78D8">
        <w:t xml:space="preserve">the incidence of </w:t>
      </w:r>
      <w:r w:rsidRPr="004C78D8">
        <w:t>at least one fall of any type</w:t>
      </w:r>
      <w:r w:rsidR="00F23122" w:rsidRPr="004C78D8">
        <w:t xml:space="preserve"> at Wave 5 follow-up</w:t>
      </w:r>
      <w:r w:rsidR="00DC64DF" w:rsidRPr="004C78D8">
        <w:t xml:space="preserve">. </w:t>
      </w:r>
      <w:r w:rsidR="00156DAD" w:rsidRPr="004C78D8">
        <w:t xml:space="preserve">Table </w:t>
      </w:r>
      <w:r w:rsidR="00A768FA" w:rsidRPr="004C78D8">
        <w:t>5</w:t>
      </w:r>
      <w:r w:rsidR="00F23122" w:rsidRPr="004C78D8">
        <w:t>.</w:t>
      </w:r>
      <w:r w:rsidR="00A768FA" w:rsidRPr="004C78D8">
        <w:t>39</w:t>
      </w:r>
      <w:r w:rsidR="00156DAD" w:rsidRPr="004C78D8">
        <w:t xml:space="preserve"> shows the results of the logistic regression for </w:t>
      </w:r>
      <w:r w:rsidR="00A81470" w:rsidRPr="004C78D8">
        <w:t>incidence</w:t>
      </w:r>
      <w:r w:rsidR="00156DAD" w:rsidRPr="004C78D8">
        <w:t xml:space="preserve"> of any fall</w:t>
      </w:r>
      <w:r w:rsidR="00A768FA" w:rsidRPr="004C78D8">
        <w:t>.</w:t>
      </w:r>
      <w:r w:rsidR="00DE6E90" w:rsidRPr="004C78D8">
        <w:t xml:space="preserve"> </w:t>
      </w:r>
      <w:r w:rsidR="00A768FA" w:rsidRPr="004C78D8">
        <w:t xml:space="preserve">See </w:t>
      </w:r>
      <w:r w:rsidR="00156DAD" w:rsidRPr="004C78D8">
        <w:t xml:space="preserve">Table </w:t>
      </w:r>
      <w:r w:rsidR="00F23122" w:rsidRPr="004C78D8">
        <w:t>E</w:t>
      </w:r>
      <w:r w:rsidR="00192A04" w:rsidRPr="004C78D8">
        <w:t>8</w:t>
      </w:r>
      <w:r w:rsidR="00A23AF0" w:rsidRPr="004C78D8">
        <w:t xml:space="preserve"> </w:t>
      </w:r>
      <w:r w:rsidR="00156DAD" w:rsidRPr="004C78D8">
        <w:t xml:space="preserve">for </w:t>
      </w:r>
      <w:r w:rsidR="00A768FA" w:rsidRPr="004C78D8">
        <w:t xml:space="preserve">all </w:t>
      </w:r>
      <w:r w:rsidR="00156DAD" w:rsidRPr="004C78D8">
        <w:t>model-fit comparisons</w:t>
      </w:r>
      <w:r w:rsidR="00A768FA" w:rsidRPr="004C78D8">
        <w:t xml:space="preserve"> concerning falls risk estimation</w:t>
      </w:r>
      <w:r w:rsidR="00156DAD" w:rsidRPr="004C78D8">
        <w:t xml:space="preserve">. </w:t>
      </w:r>
      <w:r w:rsidR="001423FD" w:rsidRPr="004C78D8">
        <w:t xml:space="preserve">Older individuals and women were likelier to experience any fall. Any falls history prior to Wave 4 was associated with increased risk. Recurrent non-MA falls history had a higher coefficient than other fall types. Fear of falling was associated with higher risk. </w:t>
      </w:r>
    </w:p>
    <w:tbl>
      <w:tblPr>
        <w:tblStyle w:val="TableGrid"/>
        <w:tblW w:w="0" w:type="auto"/>
        <w:tblInd w:w="-5" w:type="dxa"/>
        <w:tblLook w:val="04A0" w:firstRow="1" w:lastRow="0" w:firstColumn="1" w:lastColumn="0" w:noHBand="0" w:noVBand="1"/>
      </w:tblPr>
      <w:tblGrid>
        <w:gridCol w:w="2263"/>
        <w:gridCol w:w="1772"/>
        <w:gridCol w:w="1772"/>
      </w:tblGrid>
      <w:tr w:rsidR="00A81470" w:rsidRPr="004C78D8" w14:paraId="4F04ACBA" w14:textId="77777777" w:rsidTr="00E35893">
        <w:tc>
          <w:tcPr>
            <w:tcW w:w="5807" w:type="dxa"/>
            <w:gridSpan w:val="3"/>
          </w:tcPr>
          <w:p w14:paraId="728AB9BE" w14:textId="7BE7054D" w:rsidR="00A81470" w:rsidRPr="004C78D8" w:rsidRDefault="00A81470" w:rsidP="00FB7C1F">
            <w:pPr>
              <w:jc w:val="left"/>
            </w:pPr>
            <w:r w:rsidRPr="004C78D8">
              <w:rPr>
                <w:b/>
                <w:bCs/>
              </w:rPr>
              <w:t xml:space="preserve">Table </w:t>
            </w:r>
            <w:r w:rsidR="00A768FA" w:rsidRPr="004C78D8">
              <w:rPr>
                <w:b/>
                <w:bCs/>
              </w:rPr>
              <w:t>5</w:t>
            </w:r>
            <w:r w:rsidR="001423FD" w:rsidRPr="004C78D8">
              <w:rPr>
                <w:b/>
                <w:bCs/>
              </w:rPr>
              <w:t>.</w:t>
            </w:r>
            <w:r w:rsidR="00A768FA" w:rsidRPr="004C78D8">
              <w:rPr>
                <w:b/>
                <w:bCs/>
              </w:rPr>
              <w:t>39</w:t>
            </w:r>
            <w:r w:rsidRPr="004C78D8">
              <w:t xml:space="preserve"> Logistic regression coefficients for any fall incidence </w:t>
            </w:r>
            <w:r w:rsidR="00141B7C" w:rsidRPr="004C78D8">
              <w:t>between</w:t>
            </w:r>
            <w:r w:rsidRPr="004C78D8">
              <w:t xml:space="preserve"> ELSA Waves 4 and 5</w:t>
            </w:r>
            <w:r w:rsidR="00A23AF0" w:rsidRPr="004C78D8">
              <w:t>.</w:t>
            </w:r>
          </w:p>
        </w:tc>
      </w:tr>
      <w:tr w:rsidR="00A81470" w:rsidRPr="004C78D8" w14:paraId="56EAC478" w14:textId="77777777" w:rsidTr="00E35893">
        <w:tc>
          <w:tcPr>
            <w:tcW w:w="5807" w:type="dxa"/>
            <w:gridSpan w:val="3"/>
          </w:tcPr>
          <w:p w14:paraId="01633B68" w14:textId="58DD47A2" w:rsidR="00A81470" w:rsidRPr="004C78D8" w:rsidRDefault="00A81470" w:rsidP="00FB7C1F">
            <w:pPr>
              <w:jc w:val="left"/>
              <w:rPr>
                <w:b/>
                <w:bCs/>
                <w:i/>
                <w:iCs/>
                <w:sz w:val="20"/>
                <w:szCs w:val="20"/>
              </w:rPr>
            </w:pPr>
            <w:r w:rsidRPr="004C78D8">
              <w:rPr>
                <w:b/>
                <w:bCs/>
                <w:i/>
                <w:iCs/>
                <w:sz w:val="20"/>
                <w:szCs w:val="20"/>
              </w:rPr>
              <w:t>Dependent variable: Incidence of any fall (N=6,205)</w:t>
            </w:r>
            <w:r w:rsidR="008C070E" w:rsidRPr="004C78D8">
              <w:rPr>
                <w:b/>
                <w:bCs/>
                <w:i/>
                <w:iCs/>
                <w:sz w:val="20"/>
                <w:szCs w:val="20"/>
                <w:vertAlign w:val="superscript"/>
              </w:rPr>
              <w:t>1</w:t>
            </w:r>
          </w:p>
        </w:tc>
      </w:tr>
      <w:tr w:rsidR="00A81470" w:rsidRPr="004C78D8" w14:paraId="7FD5B4FF" w14:textId="77777777" w:rsidTr="00E35893">
        <w:tc>
          <w:tcPr>
            <w:tcW w:w="2263" w:type="dxa"/>
            <w:tcBorders>
              <w:bottom w:val="single" w:sz="4" w:space="0" w:color="auto"/>
            </w:tcBorders>
          </w:tcPr>
          <w:p w14:paraId="07801893" w14:textId="77777777" w:rsidR="00A81470" w:rsidRPr="004C78D8" w:rsidRDefault="00A81470" w:rsidP="00FB7C1F">
            <w:pPr>
              <w:rPr>
                <w:b/>
                <w:bCs/>
                <w:sz w:val="20"/>
                <w:szCs w:val="20"/>
              </w:rPr>
            </w:pPr>
            <w:r w:rsidRPr="004C78D8">
              <w:rPr>
                <w:b/>
                <w:bCs/>
                <w:sz w:val="20"/>
                <w:szCs w:val="20"/>
              </w:rPr>
              <w:t>Explanatory variables</w:t>
            </w:r>
          </w:p>
        </w:tc>
        <w:tc>
          <w:tcPr>
            <w:tcW w:w="1772" w:type="dxa"/>
            <w:tcBorders>
              <w:bottom w:val="single" w:sz="4" w:space="0" w:color="auto"/>
            </w:tcBorders>
          </w:tcPr>
          <w:p w14:paraId="583B6A56" w14:textId="77777777" w:rsidR="00A81470" w:rsidRPr="004C78D8" w:rsidRDefault="00A81470" w:rsidP="00FB7C1F">
            <w:pPr>
              <w:jc w:val="center"/>
              <w:rPr>
                <w:b/>
                <w:bCs/>
                <w:sz w:val="20"/>
                <w:szCs w:val="20"/>
              </w:rPr>
            </w:pPr>
            <w:r w:rsidRPr="004C78D8">
              <w:rPr>
                <w:b/>
                <w:bCs/>
                <w:sz w:val="20"/>
                <w:szCs w:val="20"/>
              </w:rPr>
              <w:t>Coefficient (SE)</w:t>
            </w:r>
          </w:p>
        </w:tc>
        <w:tc>
          <w:tcPr>
            <w:tcW w:w="1772" w:type="dxa"/>
            <w:tcBorders>
              <w:bottom w:val="single" w:sz="4" w:space="0" w:color="auto"/>
            </w:tcBorders>
          </w:tcPr>
          <w:p w14:paraId="7A6B4226" w14:textId="77777777" w:rsidR="00A81470" w:rsidRPr="004C78D8" w:rsidRDefault="00A81470" w:rsidP="00FB7C1F">
            <w:pPr>
              <w:jc w:val="center"/>
              <w:rPr>
                <w:b/>
                <w:bCs/>
                <w:sz w:val="20"/>
                <w:szCs w:val="20"/>
              </w:rPr>
            </w:pPr>
            <w:r w:rsidRPr="004C78D8">
              <w:rPr>
                <w:b/>
                <w:bCs/>
                <w:sz w:val="20"/>
                <w:szCs w:val="20"/>
              </w:rPr>
              <w:t>P-value</w:t>
            </w:r>
          </w:p>
        </w:tc>
      </w:tr>
      <w:tr w:rsidR="00A81470" w:rsidRPr="004C78D8" w14:paraId="343238B4" w14:textId="77777777" w:rsidTr="00E35893">
        <w:tc>
          <w:tcPr>
            <w:tcW w:w="2263" w:type="dxa"/>
            <w:tcBorders>
              <w:bottom w:val="nil"/>
            </w:tcBorders>
          </w:tcPr>
          <w:p w14:paraId="448D8AF4" w14:textId="77777777" w:rsidR="00A81470" w:rsidRPr="004C78D8" w:rsidRDefault="00A81470" w:rsidP="00FB7C1F">
            <w:pPr>
              <w:rPr>
                <w:sz w:val="18"/>
                <w:szCs w:val="18"/>
              </w:rPr>
            </w:pPr>
            <w:r w:rsidRPr="004C78D8">
              <w:rPr>
                <w:sz w:val="18"/>
                <w:szCs w:val="18"/>
              </w:rPr>
              <w:t>Constant</w:t>
            </w:r>
          </w:p>
        </w:tc>
        <w:tc>
          <w:tcPr>
            <w:tcW w:w="1772" w:type="dxa"/>
            <w:tcBorders>
              <w:bottom w:val="nil"/>
            </w:tcBorders>
          </w:tcPr>
          <w:p w14:paraId="05189746" w14:textId="411B8E4C" w:rsidR="00A81470" w:rsidRPr="004C78D8" w:rsidRDefault="00A81470" w:rsidP="00FB7C1F">
            <w:pPr>
              <w:jc w:val="center"/>
              <w:rPr>
                <w:sz w:val="18"/>
                <w:szCs w:val="18"/>
              </w:rPr>
            </w:pPr>
            <w:r w:rsidRPr="004C78D8">
              <w:rPr>
                <w:sz w:val="18"/>
                <w:szCs w:val="18"/>
              </w:rPr>
              <w:t>-</w:t>
            </w:r>
            <w:r w:rsidR="00133BF7" w:rsidRPr="004C78D8">
              <w:rPr>
                <w:sz w:val="18"/>
                <w:szCs w:val="18"/>
              </w:rPr>
              <w:t>2</w:t>
            </w:r>
            <w:r w:rsidRPr="004C78D8">
              <w:rPr>
                <w:sz w:val="18"/>
                <w:szCs w:val="18"/>
              </w:rPr>
              <w:t>.</w:t>
            </w:r>
            <w:r w:rsidR="00133BF7" w:rsidRPr="004C78D8">
              <w:rPr>
                <w:sz w:val="18"/>
                <w:szCs w:val="18"/>
              </w:rPr>
              <w:t>709</w:t>
            </w:r>
            <w:r w:rsidRPr="004C78D8">
              <w:rPr>
                <w:sz w:val="18"/>
                <w:szCs w:val="18"/>
              </w:rPr>
              <w:t xml:space="preserve"> (</w:t>
            </w:r>
            <w:r w:rsidR="00133BF7" w:rsidRPr="004C78D8">
              <w:rPr>
                <w:sz w:val="18"/>
                <w:szCs w:val="18"/>
              </w:rPr>
              <w:t>0</w:t>
            </w:r>
            <w:r w:rsidRPr="004C78D8">
              <w:rPr>
                <w:sz w:val="18"/>
                <w:szCs w:val="18"/>
              </w:rPr>
              <w:t>.</w:t>
            </w:r>
            <w:r w:rsidR="00133BF7" w:rsidRPr="004C78D8">
              <w:rPr>
                <w:sz w:val="18"/>
                <w:szCs w:val="18"/>
              </w:rPr>
              <w:t>297</w:t>
            </w:r>
            <w:r w:rsidRPr="004C78D8">
              <w:rPr>
                <w:sz w:val="18"/>
                <w:szCs w:val="18"/>
              </w:rPr>
              <w:t>)</w:t>
            </w:r>
          </w:p>
        </w:tc>
        <w:tc>
          <w:tcPr>
            <w:tcW w:w="1772" w:type="dxa"/>
            <w:tcBorders>
              <w:bottom w:val="nil"/>
            </w:tcBorders>
          </w:tcPr>
          <w:p w14:paraId="1B7009BC" w14:textId="77777777" w:rsidR="00A81470" w:rsidRPr="004C78D8" w:rsidRDefault="00A81470" w:rsidP="00FB7C1F">
            <w:pPr>
              <w:jc w:val="center"/>
              <w:rPr>
                <w:sz w:val="18"/>
                <w:szCs w:val="18"/>
              </w:rPr>
            </w:pPr>
            <w:r w:rsidRPr="004C78D8">
              <w:rPr>
                <w:sz w:val="18"/>
                <w:szCs w:val="18"/>
              </w:rPr>
              <w:t>&lt;0.001</w:t>
            </w:r>
          </w:p>
        </w:tc>
      </w:tr>
      <w:tr w:rsidR="00A81470" w:rsidRPr="004C78D8" w14:paraId="58EFC67F" w14:textId="77777777" w:rsidTr="00E35893">
        <w:tc>
          <w:tcPr>
            <w:tcW w:w="2263" w:type="dxa"/>
            <w:tcBorders>
              <w:top w:val="nil"/>
              <w:bottom w:val="nil"/>
            </w:tcBorders>
          </w:tcPr>
          <w:p w14:paraId="05B62F34" w14:textId="77777777" w:rsidR="00A81470" w:rsidRPr="004C78D8" w:rsidRDefault="00A81470" w:rsidP="00FB7C1F">
            <w:pPr>
              <w:rPr>
                <w:sz w:val="18"/>
                <w:szCs w:val="18"/>
              </w:rPr>
            </w:pPr>
            <w:r w:rsidRPr="004C78D8">
              <w:rPr>
                <w:sz w:val="18"/>
                <w:szCs w:val="18"/>
              </w:rPr>
              <w:t>Age</w:t>
            </w:r>
          </w:p>
        </w:tc>
        <w:tc>
          <w:tcPr>
            <w:tcW w:w="1772" w:type="dxa"/>
            <w:tcBorders>
              <w:top w:val="nil"/>
              <w:bottom w:val="nil"/>
            </w:tcBorders>
          </w:tcPr>
          <w:p w14:paraId="393DA140" w14:textId="5F225E44" w:rsidR="00A81470" w:rsidRPr="004C78D8" w:rsidRDefault="00A81470" w:rsidP="00FB7C1F">
            <w:pPr>
              <w:jc w:val="center"/>
              <w:rPr>
                <w:sz w:val="18"/>
                <w:szCs w:val="18"/>
              </w:rPr>
            </w:pPr>
            <w:r w:rsidRPr="004C78D8">
              <w:rPr>
                <w:sz w:val="18"/>
                <w:szCs w:val="18"/>
              </w:rPr>
              <w:t>0.</w:t>
            </w:r>
            <w:r w:rsidR="00133BF7" w:rsidRPr="004C78D8">
              <w:rPr>
                <w:sz w:val="18"/>
                <w:szCs w:val="18"/>
              </w:rPr>
              <w:t>0</w:t>
            </w:r>
            <w:r w:rsidRPr="004C78D8">
              <w:rPr>
                <w:sz w:val="18"/>
                <w:szCs w:val="18"/>
              </w:rPr>
              <w:t>09 (0.0</w:t>
            </w:r>
            <w:r w:rsidR="00133BF7" w:rsidRPr="004C78D8">
              <w:rPr>
                <w:sz w:val="18"/>
                <w:szCs w:val="18"/>
              </w:rPr>
              <w:t>0</w:t>
            </w:r>
            <w:r w:rsidRPr="004C78D8">
              <w:rPr>
                <w:sz w:val="18"/>
                <w:szCs w:val="18"/>
              </w:rPr>
              <w:t>4)</w:t>
            </w:r>
          </w:p>
        </w:tc>
        <w:tc>
          <w:tcPr>
            <w:tcW w:w="1772" w:type="dxa"/>
            <w:tcBorders>
              <w:top w:val="nil"/>
              <w:bottom w:val="nil"/>
            </w:tcBorders>
          </w:tcPr>
          <w:p w14:paraId="0C5FF968" w14:textId="1E0F6162" w:rsidR="00A81470" w:rsidRPr="004C78D8" w:rsidRDefault="00A81470" w:rsidP="00FB7C1F">
            <w:pPr>
              <w:jc w:val="center"/>
              <w:rPr>
                <w:sz w:val="18"/>
                <w:szCs w:val="18"/>
              </w:rPr>
            </w:pPr>
            <w:r w:rsidRPr="004C78D8">
              <w:rPr>
                <w:sz w:val="18"/>
                <w:szCs w:val="18"/>
              </w:rPr>
              <w:t>0.0</w:t>
            </w:r>
            <w:r w:rsidR="00133BF7" w:rsidRPr="004C78D8">
              <w:rPr>
                <w:sz w:val="18"/>
                <w:szCs w:val="18"/>
              </w:rPr>
              <w:t>28</w:t>
            </w:r>
          </w:p>
        </w:tc>
      </w:tr>
      <w:tr w:rsidR="00A81470" w:rsidRPr="004C78D8" w14:paraId="36569127" w14:textId="77777777" w:rsidTr="00E35893">
        <w:tc>
          <w:tcPr>
            <w:tcW w:w="2263" w:type="dxa"/>
            <w:tcBorders>
              <w:top w:val="nil"/>
              <w:bottom w:val="nil"/>
            </w:tcBorders>
          </w:tcPr>
          <w:p w14:paraId="738C1C06" w14:textId="77777777" w:rsidR="00A81470" w:rsidRPr="004C78D8" w:rsidRDefault="00A81470" w:rsidP="00FB7C1F">
            <w:pPr>
              <w:rPr>
                <w:sz w:val="18"/>
                <w:szCs w:val="18"/>
              </w:rPr>
            </w:pPr>
            <w:r w:rsidRPr="004C78D8">
              <w:rPr>
                <w:sz w:val="18"/>
                <w:szCs w:val="18"/>
              </w:rPr>
              <w:t>Female</w:t>
            </w:r>
          </w:p>
        </w:tc>
        <w:tc>
          <w:tcPr>
            <w:tcW w:w="1772" w:type="dxa"/>
            <w:tcBorders>
              <w:top w:val="nil"/>
              <w:bottom w:val="nil"/>
            </w:tcBorders>
          </w:tcPr>
          <w:p w14:paraId="611C16F3" w14:textId="17AFD722" w:rsidR="00A81470" w:rsidRPr="004C78D8" w:rsidRDefault="00A81470" w:rsidP="00FB7C1F">
            <w:pPr>
              <w:jc w:val="center"/>
              <w:rPr>
                <w:sz w:val="18"/>
                <w:szCs w:val="18"/>
              </w:rPr>
            </w:pPr>
            <w:r w:rsidRPr="004C78D8">
              <w:rPr>
                <w:sz w:val="18"/>
                <w:szCs w:val="18"/>
              </w:rPr>
              <w:t>0.</w:t>
            </w:r>
            <w:r w:rsidR="00133BF7" w:rsidRPr="004C78D8">
              <w:rPr>
                <w:sz w:val="18"/>
                <w:szCs w:val="18"/>
              </w:rPr>
              <w:t>187</w:t>
            </w:r>
            <w:r w:rsidRPr="004C78D8">
              <w:rPr>
                <w:sz w:val="18"/>
                <w:szCs w:val="18"/>
              </w:rPr>
              <w:t xml:space="preserve"> (0.06</w:t>
            </w:r>
            <w:r w:rsidR="00133BF7" w:rsidRPr="004C78D8">
              <w:rPr>
                <w:sz w:val="18"/>
                <w:szCs w:val="18"/>
              </w:rPr>
              <w:t>1</w:t>
            </w:r>
            <w:r w:rsidRPr="004C78D8">
              <w:rPr>
                <w:sz w:val="18"/>
                <w:szCs w:val="18"/>
              </w:rPr>
              <w:t>)</w:t>
            </w:r>
          </w:p>
        </w:tc>
        <w:tc>
          <w:tcPr>
            <w:tcW w:w="1772" w:type="dxa"/>
            <w:tcBorders>
              <w:top w:val="nil"/>
              <w:bottom w:val="nil"/>
            </w:tcBorders>
          </w:tcPr>
          <w:p w14:paraId="0DA96363" w14:textId="71159D9F" w:rsidR="00A81470" w:rsidRPr="004C78D8" w:rsidRDefault="00A81470" w:rsidP="00FB7C1F">
            <w:pPr>
              <w:jc w:val="center"/>
              <w:rPr>
                <w:sz w:val="18"/>
                <w:szCs w:val="18"/>
              </w:rPr>
            </w:pPr>
            <w:r w:rsidRPr="004C78D8">
              <w:rPr>
                <w:sz w:val="18"/>
                <w:szCs w:val="18"/>
              </w:rPr>
              <w:t>0.00</w:t>
            </w:r>
            <w:r w:rsidR="00133BF7" w:rsidRPr="004C78D8">
              <w:rPr>
                <w:sz w:val="18"/>
                <w:szCs w:val="18"/>
              </w:rPr>
              <w:t>2</w:t>
            </w:r>
          </w:p>
        </w:tc>
      </w:tr>
      <w:tr w:rsidR="00A81470" w:rsidRPr="004C78D8" w14:paraId="1649C8F0" w14:textId="77777777" w:rsidTr="00E35893">
        <w:tc>
          <w:tcPr>
            <w:tcW w:w="2263" w:type="dxa"/>
            <w:tcBorders>
              <w:top w:val="nil"/>
              <w:bottom w:val="nil"/>
            </w:tcBorders>
          </w:tcPr>
          <w:p w14:paraId="7EE5215E" w14:textId="77777777" w:rsidR="00A81470" w:rsidRPr="004C78D8" w:rsidRDefault="00A81470" w:rsidP="00FB7C1F">
            <w:pPr>
              <w:rPr>
                <w:sz w:val="18"/>
                <w:szCs w:val="18"/>
              </w:rPr>
            </w:pPr>
            <w:r w:rsidRPr="004C78D8">
              <w:rPr>
                <w:sz w:val="18"/>
                <w:szCs w:val="18"/>
              </w:rPr>
              <w:t>Falls history (ref: No falls history)</w:t>
            </w:r>
          </w:p>
        </w:tc>
        <w:tc>
          <w:tcPr>
            <w:tcW w:w="1772" w:type="dxa"/>
            <w:tcBorders>
              <w:top w:val="nil"/>
              <w:bottom w:val="nil"/>
            </w:tcBorders>
          </w:tcPr>
          <w:p w14:paraId="373E1F6A" w14:textId="77777777" w:rsidR="00A81470" w:rsidRPr="004C78D8" w:rsidRDefault="00A81470" w:rsidP="00FB7C1F">
            <w:pPr>
              <w:jc w:val="center"/>
              <w:rPr>
                <w:sz w:val="18"/>
                <w:szCs w:val="18"/>
              </w:rPr>
            </w:pPr>
          </w:p>
        </w:tc>
        <w:tc>
          <w:tcPr>
            <w:tcW w:w="1772" w:type="dxa"/>
            <w:tcBorders>
              <w:top w:val="nil"/>
              <w:bottom w:val="nil"/>
            </w:tcBorders>
          </w:tcPr>
          <w:p w14:paraId="6548008B" w14:textId="77777777" w:rsidR="00A81470" w:rsidRPr="004C78D8" w:rsidRDefault="00A81470" w:rsidP="00FB7C1F">
            <w:pPr>
              <w:jc w:val="center"/>
              <w:rPr>
                <w:sz w:val="18"/>
                <w:szCs w:val="18"/>
              </w:rPr>
            </w:pPr>
          </w:p>
        </w:tc>
      </w:tr>
      <w:tr w:rsidR="00A81470" w:rsidRPr="004C78D8" w14:paraId="2E6AE4E7" w14:textId="77777777" w:rsidTr="00E35893">
        <w:tc>
          <w:tcPr>
            <w:tcW w:w="2263" w:type="dxa"/>
            <w:tcBorders>
              <w:top w:val="nil"/>
              <w:bottom w:val="nil"/>
            </w:tcBorders>
          </w:tcPr>
          <w:p w14:paraId="27AE5D01" w14:textId="77777777" w:rsidR="00A81470" w:rsidRPr="004C78D8" w:rsidRDefault="00A81470" w:rsidP="00FB7C1F">
            <w:pPr>
              <w:jc w:val="right"/>
              <w:rPr>
                <w:sz w:val="18"/>
                <w:szCs w:val="18"/>
              </w:rPr>
            </w:pPr>
            <w:r w:rsidRPr="004C78D8">
              <w:rPr>
                <w:i/>
                <w:iCs/>
                <w:sz w:val="18"/>
                <w:szCs w:val="18"/>
              </w:rPr>
              <w:t>Single non-MA fall</w:t>
            </w:r>
          </w:p>
        </w:tc>
        <w:tc>
          <w:tcPr>
            <w:tcW w:w="1772" w:type="dxa"/>
            <w:tcBorders>
              <w:top w:val="nil"/>
              <w:bottom w:val="nil"/>
            </w:tcBorders>
          </w:tcPr>
          <w:p w14:paraId="6732C395" w14:textId="77CB1151" w:rsidR="00A81470" w:rsidRPr="004C78D8" w:rsidRDefault="00A81470" w:rsidP="00FB7C1F">
            <w:pPr>
              <w:jc w:val="center"/>
              <w:rPr>
                <w:sz w:val="18"/>
                <w:szCs w:val="18"/>
              </w:rPr>
            </w:pPr>
            <w:r w:rsidRPr="004C78D8">
              <w:rPr>
                <w:sz w:val="18"/>
                <w:szCs w:val="18"/>
              </w:rPr>
              <w:t>0.</w:t>
            </w:r>
            <w:r w:rsidR="005B49FF" w:rsidRPr="004C78D8">
              <w:rPr>
                <w:sz w:val="18"/>
                <w:szCs w:val="18"/>
              </w:rPr>
              <w:t>845</w:t>
            </w:r>
            <w:r w:rsidRPr="004C78D8">
              <w:rPr>
                <w:sz w:val="18"/>
                <w:szCs w:val="18"/>
              </w:rPr>
              <w:t xml:space="preserve"> (0.09</w:t>
            </w:r>
            <w:r w:rsidR="005B49FF" w:rsidRPr="004C78D8">
              <w:rPr>
                <w:sz w:val="18"/>
                <w:szCs w:val="18"/>
              </w:rPr>
              <w:t>0</w:t>
            </w:r>
            <w:r w:rsidRPr="004C78D8">
              <w:rPr>
                <w:sz w:val="18"/>
                <w:szCs w:val="18"/>
              </w:rPr>
              <w:t>)</w:t>
            </w:r>
          </w:p>
        </w:tc>
        <w:tc>
          <w:tcPr>
            <w:tcW w:w="1772" w:type="dxa"/>
            <w:tcBorders>
              <w:top w:val="nil"/>
              <w:bottom w:val="nil"/>
            </w:tcBorders>
          </w:tcPr>
          <w:p w14:paraId="21860B44" w14:textId="18AF90E3" w:rsidR="00A81470" w:rsidRPr="004C78D8" w:rsidRDefault="005B49FF" w:rsidP="00FB7C1F">
            <w:pPr>
              <w:jc w:val="center"/>
              <w:rPr>
                <w:sz w:val="18"/>
                <w:szCs w:val="18"/>
              </w:rPr>
            </w:pPr>
            <w:r w:rsidRPr="004C78D8">
              <w:rPr>
                <w:sz w:val="18"/>
                <w:szCs w:val="18"/>
              </w:rPr>
              <w:t>&lt;0.001</w:t>
            </w:r>
          </w:p>
        </w:tc>
      </w:tr>
      <w:tr w:rsidR="00A81470" w:rsidRPr="004C78D8" w14:paraId="6C32A2D0" w14:textId="77777777" w:rsidTr="00E35893">
        <w:tc>
          <w:tcPr>
            <w:tcW w:w="2263" w:type="dxa"/>
            <w:tcBorders>
              <w:top w:val="nil"/>
              <w:bottom w:val="nil"/>
            </w:tcBorders>
          </w:tcPr>
          <w:p w14:paraId="55DC4A68" w14:textId="77777777" w:rsidR="00A81470" w:rsidRPr="004C78D8" w:rsidRDefault="00A81470" w:rsidP="00FB7C1F">
            <w:pPr>
              <w:jc w:val="right"/>
              <w:rPr>
                <w:sz w:val="18"/>
                <w:szCs w:val="18"/>
              </w:rPr>
            </w:pPr>
            <w:r w:rsidRPr="004C78D8">
              <w:rPr>
                <w:i/>
                <w:iCs/>
                <w:sz w:val="18"/>
                <w:szCs w:val="18"/>
              </w:rPr>
              <w:t>Recurrent non-MA falls</w:t>
            </w:r>
          </w:p>
        </w:tc>
        <w:tc>
          <w:tcPr>
            <w:tcW w:w="1772" w:type="dxa"/>
            <w:tcBorders>
              <w:top w:val="nil"/>
              <w:bottom w:val="nil"/>
            </w:tcBorders>
          </w:tcPr>
          <w:p w14:paraId="7F1F6579" w14:textId="513B645A" w:rsidR="00A81470" w:rsidRPr="004C78D8" w:rsidRDefault="005B49FF" w:rsidP="00FB7C1F">
            <w:pPr>
              <w:jc w:val="center"/>
              <w:rPr>
                <w:sz w:val="18"/>
                <w:szCs w:val="18"/>
              </w:rPr>
            </w:pPr>
            <w:r w:rsidRPr="004C78D8">
              <w:rPr>
                <w:sz w:val="18"/>
                <w:szCs w:val="18"/>
              </w:rPr>
              <w:t>1</w:t>
            </w:r>
            <w:r w:rsidR="00A81470" w:rsidRPr="004C78D8">
              <w:rPr>
                <w:sz w:val="18"/>
                <w:szCs w:val="18"/>
              </w:rPr>
              <w:t>.</w:t>
            </w:r>
            <w:r w:rsidRPr="004C78D8">
              <w:rPr>
                <w:sz w:val="18"/>
                <w:szCs w:val="18"/>
              </w:rPr>
              <w:t>654</w:t>
            </w:r>
            <w:r w:rsidR="00A81470" w:rsidRPr="004C78D8">
              <w:rPr>
                <w:sz w:val="18"/>
                <w:szCs w:val="18"/>
              </w:rPr>
              <w:t xml:space="preserve"> (0.10</w:t>
            </w:r>
            <w:r w:rsidRPr="004C78D8">
              <w:rPr>
                <w:sz w:val="18"/>
                <w:szCs w:val="18"/>
              </w:rPr>
              <w:t>2</w:t>
            </w:r>
            <w:r w:rsidR="00A81470" w:rsidRPr="004C78D8">
              <w:rPr>
                <w:sz w:val="18"/>
                <w:szCs w:val="18"/>
              </w:rPr>
              <w:t>)</w:t>
            </w:r>
          </w:p>
        </w:tc>
        <w:tc>
          <w:tcPr>
            <w:tcW w:w="1772" w:type="dxa"/>
            <w:tcBorders>
              <w:top w:val="nil"/>
              <w:bottom w:val="nil"/>
            </w:tcBorders>
          </w:tcPr>
          <w:p w14:paraId="7284D029" w14:textId="6B38ECCC" w:rsidR="00A81470" w:rsidRPr="004C78D8" w:rsidRDefault="005B49FF" w:rsidP="00FB7C1F">
            <w:pPr>
              <w:jc w:val="center"/>
              <w:rPr>
                <w:sz w:val="18"/>
                <w:szCs w:val="18"/>
              </w:rPr>
            </w:pPr>
            <w:r w:rsidRPr="004C78D8">
              <w:rPr>
                <w:sz w:val="18"/>
                <w:szCs w:val="18"/>
              </w:rPr>
              <w:t>&lt;0.001</w:t>
            </w:r>
          </w:p>
        </w:tc>
      </w:tr>
      <w:tr w:rsidR="00A81470" w:rsidRPr="004C78D8" w14:paraId="047F8B0B" w14:textId="77777777" w:rsidTr="00E35893">
        <w:tc>
          <w:tcPr>
            <w:tcW w:w="2263" w:type="dxa"/>
            <w:tcBorders>
              <w:top w:val="nil"/>
              <w:bottom w:val="nil"/>
            </w:tcBorders>
          </w:tcPr>
          <w:p w14:paraId="6D9CF162" w14:textId="77777777" w:rsidR="00A81470" w:rsidRPr="004C78D8" w:rsidRDefault="00A81470" w:rsidP="00FB7C1F">
            <w:pPr>
              <w:jc w:val="right"/>
              <w:rPr>
                <w:sz w:val="18"/>
                <w:szCs w:val="18"/>
              </w:rPr>
            </w:pPr>
            <w:r w:rsidRPr="004C78D8">
              <w:rPr>
                <w:i/>
                <w:iCs/>
                <w:sz w:val="18"/>
                <w:szCs w:val="18"/>
              </w:rPr>
              <w:t>Single MA fall</w:t>
            </w:r>
          </w:p>
        </w:tc>
        <w:tc>
          <w:tcPr>
            <w:tcW w:w="1772" w:type="dxa"/>
            <w:tcBorders>
              <w:top w:val="nil"/>
              <w:bottom w:val="nil"/>
            </w:tcBorders>
          </w:tcPr>
          <w:p w14:paraId="38E52521" w14:textId="01124A1F" w:rsidR="00A81470" w:rsidRPr="004C78D8" w:rsidRDefault="00A81470" w:rsidP="00FB7C1F">
            <w:pPr>
              <w:jc w:val="center"/>
              <w:rPr>
                <w:sz w:val="18"/>
                <w:szCs w:val="18"/>
              </w:rPr>
            </w:pPr>
            <w:r w:rsidRPr="004C78D8">
              <w:rPr>
                <w:sz w:val="18"/>
                <w:szCs w:val="18"/>
              </w:rPr>
              <w:t>0.</w:t>
            </w:r>
            <w:r w:rsidR="005B49FF" w:rsidRPr="004C78D8">
              <w:rPr>
                <w:sz w:val="18"/>
                <w:szCs w:val="18"/>
              </w:rPr>
              <w:t>657</w:t>
            </w:r>
            <w:r w:rsidRPr="004C78D8">
              <w:rPr>
                <w:sz w:val="18"/>
                <w:szCs w:val="18"/>
              </w:rPr>
              <w:t xml:space="preserve"> (0.1</w:t>
            </w:r>
            <w:r w:rsidR="005B49FF" w:rsidRPr="004C78D8">
              <w:rPr>
                <w:sz w:val="18"/>
                <w:szCs w:val="18"/>
              </w:rPr>
              <w:t>41</w:t>
            </w:r>
            <w:r w:rsidRPr="004C78D8">
              <w:rPr>
                <w:sz w:val="18"/>
                <w:szCs w:val="18"/>
              </w:rPr>
              <w:t>)</w:t>
            </w:r>
          </w:p>
        </w:tc>
        <w:tc>
          <w:tcPr>
            <w:tcW w:w="1772" w:type="dxa"/>
            <w:tcBorders>
              <w:top w:val="nil"/>
              <w:bottom w:val="nil"/>
            </w:tcBorders>
          </w:tcPr>
          <w:p w14:paraId="49CE2573" w14:textId="375E94A9" w:rsidR="00A81470" w:rsidRPr="004C78D8" w:rsidRDefault="005B49FF" w:rsidP="00FB7C1F">
            <w:pPr>
              <w:jc w:val="center"/>
              <w:rPr>
                <w:sz w:val="18"/>
                <w:szCs w:val="18"/>
              </w:rPr>
            </w:pPr>
            <w:r w:rsidRPr="004C78D8">
              <w:rPr>
                <w:sz w:val="18"/>
                <w:szCs w:val="18"/>
              </w:rPr>
              <w:t>&lt;0.001</w:t>
            </w:r>
          </w:p>
        </w:tc>
      </w:tr>
      <w:tr w:rsidR="00A81470" w:rsidRPr="004C78D8" w14:paraId="156C6A8A" w14:textId="77777777" w:rsidTr="00E35893">
        <w:tc>
          <w:tcPr>
            <w:tcW w:w="2263" w:type="dxa"/>
            <w:tcBorders>
              <w:top w:val="nil"/>
              <w:bottom w:val="nil"/>
            </w:tcBorders>
          </w:tcPr>
          <w:p w14:paraId="2C05C571" w14:textId="77777777" w:rsidR="00A81470" w:rsidRPr="004C78D8" w:rsidRDefault="00A81470" w:rsidP="00FB7C1F">
            <w:pPr>
              <w:jc w:val="right"/>
              <w:rPr>
                <w:sz w:val="18"/>
                <w:szCs w:val="18"/>
              </w:rPr>
            </w:pPr>
            <w:r w:rsidRPr="004C78D8">
              <w:rPr>
                <w:i/>
                <w:iCs/>
                <w:sz w:val="18"/>
                <w:szCs w:val="18"/>
              </w:rPr>
              <w:t>Recurrent falls with MA</w:t>
            </w:r>
          </w:p>
        </w:tc>
        <w:tc>
          <w:tcPr>
            <w:tcW w:w="1772" w:type="dxa"/>
            <w:tcBorders>
              <w:top w:val="nil"/>
              <w:bottom w:val="nil"/>
            </w:tcBorders>
          </w:tcPr>
          <w:p w14:paraId="74744C7A" w14:textId="5FE3EBD2" w:rsidR="00A81470" w:rsidRPr="004C78D8" w:rsidRDefault="00A81470" w:rsidP="00FB7C1F">
            <w:pPr>
              <w:jc w:val="center"/>
              <w:rPr>
                <w:sz w:val="18"/>
                <w:szCs w:val="18"/>
              </w:rPr>
            </w:pPr>
            <w:r w:rsidRPr="004C78D8">
              <w:rPr>
                <w:sz w:val="18"/>
                <w:szCs w:val="18"/>
              </w:rPr>
              <w:t>0.</w:t>
            </w:r>
            <w:r w:rsidR="005B49FF" w:rsidRPr="004C78D8">
              <w:rPr>
                <w:sz w:val="18"/>
                <w:szCs w:val="18"/>
              </w:rPr>
              <w:t>974</w:t>
            </w:r>
            <w:r w:rsidRPr="004C78D8">
              <w:rPr>
                <w:sz w:val="18"/>
                <w:szCs w:val="18"/>
              </w:rPr>
              <w:t xml:space="preserve"> (0.1</w:t>
            </w:r>
            <w:r w:rsidR="005B49FF" w:rsidRPr="004C78D8">
              <w:rPr>
                <w:sz w:val="18"/>
                <w:szCs w:val="18"/>
              </w:rPr>
              <w:t>66</w:t>
            </w:r>
            <w:r w:rsidRPr="004C78D8">
              <w:rPr>
                <w:sz w:val="18"/>
                <w:szCs w:val="18"/>
              </w:rPr>
              <w:t>)</w:t>
            </w:r>
          </w:p>
        </w:tc>
        <w:tc>
          <w:tcPr>
            <w:tcW w:w="1772" w:type="dxa"/>
            <w:tcBorders>
              <w:top w:val="nil"/>
              <w:bottom w:val="nil"/>
            </w:tcBorders>
          </w:tcPr>
          <w:p w14:paraId="2CA6C8A7" w14:textId="5AACD908" w:rsidR="00A81470" w:rsidRPr="004C78D8" w:rsidRDefault="005B49FF" w:rsidP="00FB7C1F">
            <w:pPr>
              <w:jc w:val="center"/>
              <w:rPr>
                <w:sz w:val="18"/>
                <w:szCs w:val="18"/>
              </w:rPr>
            </w:pPr>
            <w:r w:rsidRPr="004C78D8">
              <w:rPr>
                <w:sz w:val="18"/>
                <w:szCs w:val="18"/>
              </w:rPr>
              <w:t>&lt;0.001</w:t>
            </w:r>
          </w:p>
        </w:tc>
      </w:tr>
      <w:tr w:rsidR="00A81470" w:rsidRPr="004C78D8" w14:paraId="6ECE6B1A" w14:textId="77777777" w:rsidTr="00E35893">
        <w:tc>
          <w:tcPr>
            <w:tcW w:w="2263" w:type="dxa"/>
            <w:tcBorders>
              <w:top w:val="nil"/>
              <w:bottom w:val="nil"/>
            </w:tcBorders>
          </w:tcPr>
          <w:p w14:paraId="7B3FE8A0" w14:textId="77777777" w:rsidR="00A81470" w:rsidRPr="004C78D8" w:rsidRDefault="00A81470" w:rsidP="00FB7C1F">
            <w:pPr>
              <w:rPr>
                <w:sz w:val="18"/>
                <w:szCs w:val="18"/>
              </w:rPr>
            </w:pPr>
            <w:r w:rsidRPr="004C78D8">
              <w:rPr>
                <w:sz w:val="18"/>
                <w:szCs w:val="18"/>
              </w:rPr>
              <w:t>Frailty (0-100)</w:t>
            </w:r>
          </w:p>
        </w:tc>
        <w:tc>
          <w:tcPr>
            <w:tcW w:w="1772" w:type="dxa"/>
            <w:tcBorders>
              <w:top w:val="nil"/>
              <w:bottom w:val="nil"/>
            </w:tcBorders>
          </w:tcPr>
          <w:p w14:paraId="5DCC40AD" w14:textId="754551A7" w:rsidR="00A81470" w:rsidRPr="004C78D8" w:rsidRDefault="00A81470" w:rsidP="00FB7C1F">
            <w:pPr>
              <w:jc w:val="center"/>
              <w:rPr>
                <w:sz w:val="18"/>
                <w:szCs w:val="18"/>
              </w:rPr>
            </w:pPr>
            <w:r w:rsidRPr="004C78D8">
              <w:rPr>
                <w:sz w:val="18"/>
                <w:szCs w:val="18"/>
              </w:rPr>
              <w:t>0.0</w:t>
            </w:r>
            <w:r w:rsidR="005B49FF" w:rsidRPr="004C78D8">
              <w:rPr>
                <w:sz w:val="18"/>
                <w:szCs w:val="18"/>
              </w:rPr>
              <w:t>49</w:t>
            </w:r>
            <w:r w:rsidRPr="004C78D8">
              <w:rPr>
                <w:sz w:val="18"/>
                <w:szCs w:val="18"/>
              </w:rPr>
              <w:t xml:space="preserve"> (0.010)</w:t>
            </w:r>
          </w:p>
        </w:tc>
        <w:tc>
          <w:tcPr>
            <w:tcW w:w="1772" w:type="dxa"/>
            <w:tcBorders>
              <w:top w:val="nil"/>
              <w:bottom w:val="nil"/>
            </w:tcBorders>
          </w:tcPr>
          <w:p w14:paraId="7FDA251B" w14:textId="77777777" w:rsidR="00A81470" w:rsidRPr="004C78D8" w:rsidRDefault="00A81470" w:rsidP="00FB7C1F">
            <w:pPr>
              <w:jc w:val="center"/>
              <w:rPr>
                <w:sz w:val="18"/>
                <w:szCs w:val="18"/>
              </w:rPr>
            </w:pPr>
            <w:r w:rsidRPr="004C78D8">
              <w:rPr>
                <w:sz w:val="18"/>
                <w:szCs w:val="18"/>
              </w:rPr>
              <w:t>&lt;0.001</w:t>
            </w:r>
          </w:p>
        </w:tc>
      </w:tr>
      <w:tr w:rsidR="00A81470" w:rsidRPr="004C78D8" w14:paraId="5334CBB8" w14:textId="77777777" w:rsidTr="00E35893">
        <w:tc>
          <w:tcPr>
            <w:tcW w:w="2263" w:type="dxa"/>
            <w:tcBorders>
              <w:top w:val="nil"/>
              <w:bottom w:val="nil"/>
            </w:tcBorders>
          </w:tcPr>
          <w:p w14:paraId="7FEFACAB" w14:textId="77777777" w:rsidR="00A81470" w:rsidRPr="004C78D8" w:rsidRDefault="00A81470" w:rsidP="00FB7C1F">
            <w:pPr>
              <w:rPr>
                <w:sz w:val="18"/>
                <w:szCs w:val="18"/>
              </w:rPr>
            </w:pPr>
            <w:r w:rsidRPr="004C78D8">
              <w:rPr>
                <w:sz w:val="18"/>
                <w:szCs w:val="18"/>
              </w:rPr>
              <w:t>Frailty^2</w:t>
            </w:r>
          </w:p>
        </w:tc>
        <w:tc>
          <w:tcPr>
            <w:tcW w:w="1772" w:type="dxa"/>
            <w:tcBorders>
              <w:top w:val="nil"/>
              <w:bottom w:val="nil"/>
            </w:tcBorders>
          </w:tcPr>
          <w:p w14:paraId="28C00F70" w14:textId="19603D28" w:rsidR="00A81470" w:rsidRPr="004C78D8" w:rsidRDefault="00A81470" w:rsidP="00FB7C1F">
            <w:pPr>
              <w:jc w:val="center"/>
              <w:rPr>
                <w:sz w:val="18"/>
                <w:szCs w:val="18"/>
              </w:rPr>
            </w:pPr>
            <w:r w:rsidRPr="004C78D8">
              <w:rPr>
                <w:sz w:val="18"/>
                <w:szCs w:val="18"/>
              </w:rPr>
              <w:t>-0.00</w:t>
            </w:r>
            <w:r w:rsidR="005B49FF" w:rsidRPr="004C78D8">
              <w:rPr>
                <w:sz w:val="18"/>
                <w:szCs w:val="18"/>
              </w:rPr>
              <w:t>07</w:t>
            </w:r>
            <w:r w:rsidRPr="004C78D8">
              <w:rPr>
                <w:sz w:val="18"/>
                <w:szCs w:val="18"/>
              </w:rPr>
              <w:t xml:space="preserve"> (0.0002)</w:t>
            </w:r>
          </w:p>
        </w:tc>
        <w:tc>
          <w:tcPr>
            <w:tcW w:w="1772" w:type="dxa"/>
            <w:tcBorders>
              <w:top w:val="nil"/>
              <w:bottom w:val="nil"/>
            </w:tcBorders>
          </w:tcPr>
          <w:p w14:paraId="6B1D0424" w14:textId="5562267E" w:rsidR="00A81470" w:rsidRPr="004C78D8" w:rsidRDefault="00A81470" w:rsidP="00FB7C1F">
            <w:pPr>
              <w:jc w:val="center"/>
              <w:rPr>
                <w:sz w:val="18"/>
                <w:szCs w:val="18"/>
              </w:rPr>
            </w:pPr>
            <w:r w:rsidRPr="004C78D8">
              <w:rPr>
                <w:sz w:val="18"/>
                <w:szCs w:val="18"/>
              </w:rPr>
              <w:t>0.00</w:t>
            </w:r>
            <w:r w:rsidR="005B49FF" w:rsidRPr="004C78D8">
              <w:rPr>
                <w:sz w:val="18"/>
                <w:szCs w:val="18"/>
              </w:rPr>
              <w:t>2</w:t>
            </w:r>
          </w:p>
        </w:tc>
      </w:tr>
      <w:tr w:rsidR="00A81470" w:rsidRPr="004C78D8" w14:paraId="35C60519" w14:textId="77777777" w:rsidTr="00E35893">
        <w:tc>
          <w:tcPr>
            <w:tcW w:w="2263" w:type="dxa"/>
            <w:tcBorders>
              <w:top w:val="nil"/>
              <w:bottom w:val="nil"/>
            </w:tcBorders>
          </w:tcPr>
          <w:p w14:paraId="2B782863" w14:textId="027C2A62" w:rsidR="00A81470" w:rsidRPr="004C78D8" w:rsidRDefault="00737CB4" w:rsidP="00FB7C1F">
            <w:pPr>
              <w:rPr>
                <w:sz w:val="18"/>
                <w:szCs w:val="18"/>
              </w:rPr>
            </w:pPr>
            <w:r w:rsidRPr="004C78D8">
              <w:rPr>
                <w:sz w:val="18"/>
                <w:szCs w:val="18"/>
              </w:rPr>
              <w:t>Fear of falling</w:t>
            </w:r>
          </w:p>
        </w:tc>
        <w:tc>
          <w:tcPr>
            <w:tcW w:w="1772" w:type="dxa"/>
            <w:tcBorders>
              <w:top w:val="nil"/>
              <w:bottom w:val="nil"/>
            </w:tcBorders>
          </w:tcPr>
          <w:p w14:paraId="3BB22FF0" w14:textId="5B432D3C" w:rsidR="00A81470" w:rsidRPr="004C78D8" w:rsidRDefault="00A81470" w:rsidP="00FB7C1F">
            <w:pPr>
              <w:jc w:val="center"/>
              <w:rPr>
                <w:sz w:val="18"/>
                <w:szCs w:val="18"/>
              </w:rPr>
            </w:pPr>
            <w:r w:rsidRPr="004C78D8">
              <w:rPr>
                <w:sz w:val="18"/>
                <w:szCs w:val="18"/>
              </w:rPr>
              <w:t>0.</w:t>
            </w:r>
            <w:r w:rsidR="00737CB4" w:rsidRPr="004C78D8">
              <w:rPr>
                <w:sz w:val="18"/>
                <w:szCs w:val="18"/>
              </w:rPr>
              <w:t>279</w:t>
            </w:r>
            <w:r w:rsidRPr="004C78D8">
              <w:rPr>
                <w:sz w:val="18"/>
                <w:szCs w:val="18"/>
              </w:rPr>
              <w:t xml:space="preserve"> (0.</w:t>
            </w:r>
            <w:r w:rsidR="00737CB4" w:rsidRPr="004C78D8">
              <w:rPr>
                <w:sz w:val="18"/>
                <w:szCs w:val="18"/>
              </w:rPr>
              <w:t>125</w:t>
            </w:r>
            <w:r w:rsidRPr="004C78D8">
              <w:rPr>
                <w:sz w:val="18"/>
                <w:szCs w:val="18"/>
              </w:rPr>
              <w:t>)</w:t>
            </w:r>
          </w:p>
        </w:tc>
        <w:tc>
          <w:tcPr>
            <w:tcW w:w="1772" w:type="dxa"/>
            <w:tcBorders>
              <w:top w:val="nil"/>
              <w:bottom w:val="nil"/>
            </w:tcBorders>
          </w:tcPr>
          <w:p w14:paraId="3DE5D916" w14:textId="6C4D5D82" w:rsidR="00A81470" w:rsidRPr="004C78D8" w:rsidRDefault="00A81470" w:rsidP="00FB7C1F">
            <w:pPr>
              <w:jc w:val="center"/>
              <w:rPr>
                <w:sz w:val="18"/>
                <w:szCs w:val="18"/>
              </w:rPr>
            </w:pPr>
            <w:r w:rsidRPr="004C78D8">
              <w:rPr>
                <w:sz w:val="18"/>
                <w:szCs w:val="18"/>
              </w:rPr>
              <w:t>0.0</w:t>
            </w:r>
            <w:r w:rsidR="00737CB4" w:rsidRPr="004C78D8">
              <w:rPr>
                <w:sz w:val="18"/>
                <w:szCs w:val="18"/>
              </w:rPr>
              <w:t>26</w:t>
            </w:r>
          </w:p>
        </w:tc>
      </w:tr>
      <w:tr w:rsidR="00A81470" w:rsidRPr="004C78D8" w14:paraId="423BA093" w14:textId="77777777" w:rsidTr="00E35893">
        <w:tc>
          <w:tcPr>
            <w:tcW w:w="2263" w:type="dxa"/>
            <w:tcBorders>
              <w:top w:val="nil"/>
              <w:bottom w:val="nil"/>
            </w:tcBorders>
          </w:tcPr>
          <w:p w14:paraId="5A596661" w14:textId="77777777" w:rsidR="00A81470" w:rsidRPr="004C78D8" w:rsidRDefault="00A81470" w:rsidP="00FB7C1F">
            <w:pPr>
              <w:rPr>
                <w:sz w:val="18"/>
                <w:szCs w:val="18"/>
              </w:rPr>
            </w:pPr>
            <w:r w:rsidRPr="004C78D8">
              <w:rPr>
                <w:sz w:val="18"/>
                <w:szCs w:val="18"/>
              </w:rPr>
              <w:t>Abnormal gait/balance</w:t>
            </w:r>
          </w:p>
        </w:tc>
        <w:tc>
          <w:tcPr>
            <w:tcW w:w="1772" w:type="dxa"/>
            <w:tcBorders>
              <w:top w:val="nil"/>
              <w:bottom w:val="nil"/>
            </w:tcBorders>
          </w:tcPr>
          <w:p w14:paraId="32B96C48" w14:textId="5E154CD0" w:rsidR="00A81470" w:rsidRPr="004C78D8" w:rsidRDefault="00A81470" w:rsidP="00FB7C1F">
            <w:pPr>
              <w:jc w:val="center"/>
              <w:rPr>
                <w:sz w:val="18"/>
                <w:szCs w:val="18"/>
              </w:rPr>
            </w:pPr>
            <w:r w:rsidRPr="004C78D8">
              <w:rPr>
                <w:sz w:val="18"/>
                <w:szCs w:val="18"/>
              </w:rPr>
              <w:t>-0.1</w:t>
            </w:r>
            <w:r w:rsidR="00E53676" w:rsidRPr="004C78D8">
              <w:rPr>
                <w:sz w:val="18"/>
                <w:szCs w:val="18"/>
              </w:rPr>
              <w:t>48</w:t>
            </w:r>
            <w:r w:rsidRPr="004C78D8">
              <w:rPr>
                <w:sz w:val="18"/>
                <w:szCs w:val="18"/>
              </w:rPr>
              <w:t xml:space="preserve"> (0.08</w:t>
            </w:r>
            <w:r w:rsidR="00E53676" w:rsidRPr="004C78D8">
              <w:rPr>
                <w:sz w:val="18"/>
                <w:szCs w:val="18"/>
              </w:rPr>
              <w:t>4</w:t>
            </w:r>
            <w:r w:rsidRPr="004C78D8">
              <w:rPr>
                <w:sz w:val="18"/>
                <w:szCs w:val="18"/>
              </w:rPr>
              <w:t>)</w:t>
            </w:r>
          </w:p>
        </w:tc>
        <w:tc>
          <w:tcPr>
            <w:tcW w:w="1772" w:type="dxa"/>
            <w:tcBorders>
              <w:top w:val="nil"/>
              <w:bottom w:val="nil"/>
            </w:tcBorders>
          </w:tcPr>
          <w:p w14:paraId="0E7BE638" w14:textId="5DC60047" w:rsidR="00A81470" w:rsidRPr="004C78D8" w:rsidRDefault="00A81470" w:rsidP="00FB7C1F">
            <w:pPr>
              <w:jc w:val="center"/>
              <w:rPr>
                <w:sz w:val="18"/>
                <w:szCs w:val="18"/>
              </w:rPr>
            </w:pPr>
            <w:r w:rsidRPr="004C78D8">
              <w:rPr>
                <w:sz w:val="18"/>
                <w:szCs w:val="18"/>
              </w:rPr>
              <w:t>0.0</w:t>
            </w:r>
            <w:r w:rsidR="00E53676" w:rsidRPr="004C78D8">
              <w:rPr>
                <w:sz w:val="18"/>
                <w:szCs w:val="18"/>
              </w:rPr>
              <w:t>79</w:t>
            </w:r>
          </w:p>
        </w:tc>
      </w:tr>
      <w:tr w:rsidR="00A81470" w:rsidRPr="004C78D8" w14:paraId="24AF48F3" w14:textId="77777777" w:rsidTr="00E35893">
        <w:tc>
          <w:tcPr>
            <w:tcW w:w="5807" w:type="dxa"/>
            <w:gridSpan w:val="3"/>
          </w:tcPr>
          <w:p w14:paraId="62A0E3CA" w14:textId="0CD76C11" w:rsidR="00404459" w:rsidRPr="004C78D8" w:rsidRDefault="00D10D5E" w:rsidP="00FB7C1F">
            <w:pPr>
              <w:rPr>
                <w:sz w:val="18"/>
                <w:szCs w:val="18"/>
                <w:vertAlign w:val="superscript"/>
              </w:rPr>
            </w:pPr>
            <w:r w:rsidRPr="004C78D8">
              <w:rPr>
                <w:b/>
                <w:bCs/>
                <w:sz w:val="18"/>
                <w:szCs w:val="18"/>
              </w:rPr>
              <w:t>Abbreviation</w:t>
            </w:r>
            <w:r w:rsidR="00404459" w:rsidRPr="004C78D8">
              <w:rPr>
                <w:b/>
                <w:bCs/>
                <w:sz w:val="18"/>
                <w:szCs w:val="18"/>
              </w:rPr>
              <w:t xml:space="preserve">: </w:t>
            </w:r>
            <w:r w:rsidR="00404459" w:rsidRPr="004C78D8">
              <w:rPr>
                <w:sz w:val="18"/>
                <w:szCs w:val="18"/>
              </w:rPr>
              <w:t>ELSA: English Longitudinal Study of Ageing; MA fall: fall requiring medical attention; Ref: reference; SE: standard error</w:t>
            </w:r>
            <w:r w:rsidR="00404459" w:rsidRPr="004C78D8">
              <w:rPr>
                <w:sz w:val="18"/>
                <w:szCs w:val="18"/>
                <w:vertAlign w:val="superscript"/>
              </w:rPr>
              <w:t xml:space="preserve"> </w:t>
            </w:r>
          </w:p>
          <w:p w14:paraId="3F290B9D" w14:textId="759ED63D" w:rsidR="00A81470" w:rsidRPr="004C78D8" w:rsidRDefault="008C070E" w:rsidP="00FB7C1F">
            <w:pPr>
              <w:rPr>
                <w:sz w:val="20"/>
                <w:szCs w:val="20"/>
              </w:rPr>
            </w:pPr>
            <w:r w:rsidRPr="004C78D8">
              <w:rPr>
                <w:sz w:val="18"/>
                <w:szCs w:val="18"/>
                <w:vertAlign w:val="superscript"/>
              </w:rPr>
              <w:t>1</w:t>
            </w:r>
            <w:r w:rsidRPr="004C78D8">
              <w:rPr>
                <w:sz w:val="18"/>
                <w:szCs w:val="18"/>
              </w:rPr>
              <w:t xml:space="preserve"> Sample restricted to those interviewed in both ELSA Waves 4 and 5</w:t>
            </w:r>
            <w:r w:rsidR="00404459" w:rsidRPr="004C78D8">
              <w:rPr>
                <w:sz w:val="18"/>
                <w:szCs w:val="18"/>
              </w:rPr>
              <w:t>.</w:t>
            </w:r>
          </w:p>
        </w:tc>
      </w:tr>
    </w:tbl>
    <w:p w14:paraId="186048F1" w14:textId="77777777" w:rsidR="00F23122" w:rsidRPr="004C78D8" w:rsidRDefault="00F23122" w:rsidP="00FB7C1F"/>
    <w:p w14:paraId="369E2F91" w14:textId="4B4FA573" w:rsidR="00925D3F" w:rsidRPr="004C78D8" w:rsidRDefault="00925D3F" w:rsidP="00FB7C1F">
      <w:pPr>
        <w:pStyle w:val="Heading5"/>
      </w:pPr>
      <w:r w:rsidRPr="004C78D8">
        <w:t>Risk of recurrent fall given any fall</w:t>
      </w:r>
    </w:p>
    <w:p w14:paraId="498B0412" w14:textId="7D4904E5" w:rsidR="00925D3F" w:rsidRPr="004C78D8" w:rsidRDefault="00730E34" w:rsidP="00FB7C1F">
      <w:r w:rsidRPr="004C78D8">
        <w:t xml:space="preserve">Of </w:t>
      </w:r>
      <w:r w:rsidR="00A23AF0" w:rsidRPr="004C78D8">
        <w:t>those</w:t>
      </w:r>
      <w:r w:rsidRPr="004C78D8">
        <w:t xml:space="preserve"> who experienced any fall, 43.2% experienced </w:t>
      </w:r>
      <w:r w:rsidR="00EC74D4" w:rsidRPr="004C78D8">
        <w:t>recurrent</w:t>
      </w:r>
      <w:r w:rsidRPr="004C78D8">
        <w:t xml:space="preserve"> falls. </w:t>
      </w:r>
      <w:r w:rsidR="00EC74D4" w:rsidRPr="004C78D8">
        <w:t xml:space="preserve">Table </w:t>
      </w:r>
      <w:r w:rsidR="00A768FA" w:rsidRPr="004C78D8">
        <w:t>5</w:t>
      </w:r>
      <w:r w:rsidR="001A3CFB" w:rsidRPr="004C78D8">
        <w:t>.</w:t>
      </w:r>
      <w:r w:rsidR="00CB5FB7" w:rsidRPr="004C78D8">
        <w:t>4</w:t>
      </w:r>
      <w:r w:rsidR="00A768FA" w:rsidRPr="004C78D8">
        <w:t>0</w:t>
      </w:r>
      <w:r w:rsidR="00EC74D4" w:rsidRPr="004C78D8">
        <w:t xml:space="preserve"> shows the results of logistic regression for incidence of recurrent falls given any fall.</w:t>
      </w:r>
      <w:r w:rsidR="00850867" w:rsidRPr="004C78D8">
        <w:t xml:space="preserve"> Interestingly, older fallers were less likely to be recurrent fallers. Falls history was associated with recurrent fall</w:t>
      </w:r>
      <w:r w:rsidR="000F75FE" w:rsidRPr="004C78D8">
        <w:t>s</w:t>
      </w:r>
      <w:r w:rsidR="00850867" w:rsidRPr="004C78D8">
        <w:t xml:space="preserve"> risk, though the coefficient for single MA fall was not significantly different from zero. Higher frailty score was associated with greater recurrent fall</w:t>
      </w:r>
      <w:r w:rsidR="000F75FE" w:rsidRPr="004C78D8">
        <w:t>s</w:t>
      </w:r>
      <w:r w:rsidR="00850867" w:rsidRPr="004C78D8">
        <w:t xml:space="preserve"> risk at a decreasing rate. </w:t>
      </w:r>
      <w:r w:rsidR="00D057A9" w:rsidRPr="004C78D8">
        <w:t>A</w:t>
      </w:r>
      <w:r w:rsidR="00850867" w:rsidRPr="004C78D8">
        <w:t>bnormal gait/balance was associated with greater recurrent fall</w:t>
      </w:r>
      <w:r w:rsidR="000F75FE" w:rsidRPr="004C78D8">
        <w:t>s</w:t>
      </w:r>
      <w:r w:rsidR="00850867" w:rsidRPr="004C78D8">
        <w:t xml:space="preserve"> risk. </w:t>
      </w:r>
    </w:p>
    <w:tbl>
      <w:tblPr>
        <w:tblStyle w:val="TableGrid"/>
        <w:tblW w:w="0" w:type="auto"/>
        <w:tblInd w:w="-5" w:type="dxa"/>
        <w:tblLook w:val="04A0" w:firstRow="1" w:lastRow="0" w:firstColumn="1" w:lastColumn="0" w:noHBand="0" w:noVBand="1"/>
      </w:tblPr>
      <w:tblGrid>
        <w:gridCol w:w="2263"/>
        <w:gridCol w:w="1772"/>
        <w:gridCol w:w="1772"/>
      </w:tblGrid>
      <w:tr w:rsidR="00EC74D4" w:rsidRPr="004C78D8" w14:paraId="7CEE6DA2" w14:textId="77777777" w:rsidTr="00E35893">
        <w:tc>
          <w:tcPr>
            <w:tcW w:w="5807" w:type="dxa"/>
            <w:gridSpan w:val="3"/>
          </w:tcPr>
          <w:p w14:paraId="76AA438D" w14:textId="4044CBEC" w:rsidR="00EC74D4" w:rsidRPr="004C78D8" w:rsidRDefault="00EC74D4" w:rsidP="00FB7C1F">
            <w:pPr>
              <w:jc w:val="left"/>
            </w:pPr>
            <w:r w:rsidRPr="004C78D8">
              <w:rPr>
                <w:b/>
                <w:bCs/>
              </w:rPr>
              <w:t xml:space="preserve">Table </w:t>
            </w:r>
            <w:r w:rsidR="00A768FA" w:rsidRPr="004C78D8">
              <w:rPr>
                <w:b/>
                <w:bCs/>
              </w:rPr>
              <w:t>5</w:t>
            </w:r>
            <w:r w:rsidR="001A3CFB" w:rsidRPr="004C78D8">
              <w:rPr>
                <w:b/>
                <w:bCs/>
              </w:rPr>
              <w:t>.</w:t>
            </w:r>
            <w:r w:rsidR="00CB5FB7" w:rsidRPr="004C78D8">
              <w:rPr>
                <w:b/>
                <w:bCs/>
              </w:rPr>
              <w:t>4</w:t>
            </w:r>
            <w:r w:rsidR="00A768FA" w:rsidRPr="004C78D8">
              <w:rPr>
                <w:b/>
                <w:bCs/>
              </w:rPr>
              <w:t>0</w:t>
            </w:r>
            <w:r w:rsidRPr="004C78D8">
              <w:t xml:space="preserve"> Logistic regression coefficients for </w:t>
            </w:r>
            <w:r w:rsidR="00DE6BBB" w:rsidRPr="004C78D8">
              <w:t>incidence of recurrent fall</w:t>
            </w:r>
            <w:r w:rsidR="000F75FE" w:rsidRPr="004C78D8">
              <w:t>s</w:t>
            </w:r>
            <w:r w:rsidR="00DE6BBB" w:rsidRPr="004C78D8">
              <w:t xml:space="preserve"> given </w:t>
            </w:r>
            <w:r w:rsidRPr="004C78D8">
              <w:t>any fall between ELSA Waves 4 and 5</w:t>
            </w:r>
            <w:r w:rsidR="000F75FE" w:rsidRPr="004C78D8">
              <w:t>.</w:t>
            </w:r>
          </w:p>
        </w:tc>
      </w:tr>
      <w:tr w:rsidR="00EC74D4" w:rsidRPr="004C78D8" w14:paraId="72237B92" w14:textId="77777777" w:rsidTr="00E35893">
        <w:tc>
          <w:tcPr>
            <w:tcW w:w="5807" w:type="dxa"/>
            <w:gridSpan w:val="3"/>
          </w:tcPr>
          <w:p w14:paraId="61F0E8E5" w14:textId="0DE51F15" w:rsidR="00EC74D4" w:rsidRPr="004C78D8" w:rsidRDefault="00EC74D4" w:rsidP="00FB7C1F">
            <w:pPr>
              <w:jc w:val="left"/>
              <w:rPr>
                <w:b/>
                <w:bCs/>
                <w:i/>
                <w:iCs/>
                <w:sz w:val="20"/>
                <w:szCs w:val="20"/>
              </w:rPr>
            </w:pPr>
            <w:r w:rsidRPr="004C78D8">
              <w:rPr>
                <w:b/>
                <w:bCs/>
                <w:i/>
                <w:iCs/>
                <w:sz w:val="20"/>
                <w:szCs w:val="20"/>
              </w:rPr>
              <w:t>Dependent variable: Incidence of recurrent falls given any fall (N=</w:t>
            </w:r>
            <w:r w:rsidR="00EC0ED1" w:rsidRPr="004C78D8">
              <w:rPr>
                <w:b/>
                <w:bCs/>
                <w:i/>
                <w:iCs/>
                <w:sz w:val="20"/>
                <w:szCs w:val="20"/>
              </w:rPr>
              <w:t>1</w:t>
            </w:r>
            <w:r w:rsidRPr="004C78D8">
              <w:rPr>
                <w:b/>
                <w:bCs/>
                <w:i/>
                <w:iCs/>
                <w:sz w:val="20"/>
                <w:szCs w:val="20"/>
              </w:rPr>
              <w:t>,</w:t>
            </w:r>
            <w:r w:rsidR="00EC0ED1" w:rsidRPr="004C78D8">
              <w:rPr>
                <w:b/>
                <w:bCs/>
                <w:i/>
                <w:iCs/>
                <w:sz w:val="20"/>
                <w:szCs w:val="20"/>
              </w:rPr>
              <w:t>731</w:t>
            </w:r>
            <w:r w:rsidRPr="004C78D8">
              <w:rPr>
                <w:b/>
                <w:bCs/>
                <w:i/>
                <w:iCs/>
                <w:sz w:val="20"/>
                <w:szCs w:val="20"/>
              </w:rPr>
              <w:t>)</w:t>
            </w:r>
            <w:r w:rsidRPr="004C78D8">
              <w:rPr>
                <w:b/>
                <w:bCs/>
                <w:i/>
                <w:iCs/>
                <w:sz w:val="20"/>
                <w:szCs w:val="20"/>
                <w:vertAlign w:val="superscript"/>
              </w:rPr>
              <w:t>1</w:t>
            </w:r>
          </w:p>
        </w:tc>
      </w:tr>
      <w:tr w:rsidR="00EC74D4" w:rsidRPr="004C78D8" w14:paraId="2B2D584C" w14:textId="77777777" w:rsidTr="00E35893">
        <w:tc>
          <w:tcPr>
            <w:tcW w:w="2263" w:type="dxa"/>
            <w:tcBorders>
              <w:bottom w:val="single" w:sz="4" w:space="0" w:color="auto"/>
            </w:tcBorders>
          </w:tcPr>
          <w:p w14:paraId="56487CD5" w14:textId="77777777" w:rsidR="00EC74D4" w:rsidRPr="004C78D8" w:rsidRDefault="00EC74D4" w:rsidP="00FB7C1F">
            <w:pPr>
              <w:rPr>
                <w:b/>
                <w:bCs/>
                <w:sz w:val="20"/>
                <w:szCs w:val="20"/>
              </w:rPr>
            </w:pPr>
            <w:r w:rsidRPr="004C78D8">
              <w:rPr>
                <w:b/>
                <w:bCs/>
                <w:sz w:val="20"/>
                <w:szCs w:val="20"/>
              </w:rPr>
              <w:t>Explanatory variables</w:t>
            </w:r>
          </w:p>
        </w:tc>
        <w:tc>
          <w:tcPr>
            <w:tcW w:w="1772" w:type="dxa"/>
            <w:tcBorders>
              <w:bottom w:val="single" w:sz="4" w:space="0" w:color="auto"/>
            </w:tcBorders>
          </w:tcPr>
          <w:p w14:paraId="35E9EDB1" w14:textId="77777777" w:rsidR="00EC74D4" w:rsidRPr="004C78D8" w:rsidRDefault="00EC74D4" w:rsidP="00FB7C1F">
            <w:pPr>
              <w:jc w:val="center"/>
              <w:rPr>
                <w:b/>
                <w:bCs/>
                <w:sz w:val="20"/>
                <w:szCs w:val="20"/>
              </w:rPr>
            </w:pPr>
            <w:r w:rsidRPr="004C78D8">
              <w:rPr>
                <w:b/>
                <w:bCs/>
                <w:sz w:val="20"/>
                <w:szCs w:val="20"/>
              </w:rPr>
              <w:t>Coefficient (SE)</w:t>
            </w:r>
          </w:p>
        </w:tc>
        <w:tc>
          <w:tcPr>
            <w:tcW w:w="1772" w:type="dxa"/>
            <w:tcBorders>
              <w:bottom w:val="single" w:sz="4" w:space="0" w:color="auto"/>
            </w:tcBorders>
          </w:tcPr>
          <w:p w14:paraId="6A5071DF" w14:textId="77777777" w:rsidR="00EC74D4" w:rsidRPr="004C78D8" w:rsidRDefault="00EC74D4" w:rsidP="00FB7C1F">
            <w:pPr>
              <w:jc w:val="center"/>
              <w:rPr>
                <w:b/>
                <w:bCs/>
                <w:sz w:val="20"/>
                <w:szCs w:val="20"/>
              </w:rPr>
            </w:pPr>
            <w:r w:rsidRPr="004C78D8">
              <w:rPr>
                <w:b/>
                <w:bCs/>
                <w:sz w:val="20"/>
                <w:szCs w:val="20"/>
              </w:rPr>
              <w:t>P-value</w:t>
            </w:r>
          </w:p>
        </w:tc>
      </w:tr>
      <w:tr w:rsidR="00EC74D4" w:rsidRPr="004C78D8" w14:paraId="6E8B3168" w14:textId="77777777" w:rsidTr="00E35893">
        <w:tc>
          <w:tcPr>
            <w:tcW w:w="2263" w:type="dxa"/>
            <w:tcBorders>
              <w:bottom w:val="nil"/>
            </w:tcBorders>
          </w:tcPr>
          <w:p w14:paraId="05A11EC0" w14:textId="77777777" w:rsidR="00EC74D4" w:rsidRPr="004C78D8" w:rsidRDefault="00EC74D4" w:rsidP="00FB7C1F">
            <w:pPr>
              <w:rPr>
                <w:sz w:val="18"/>
                <w:szCs w:val="18"/>
              </w:rPr>
            </w:pPr>
            <w:r w:rsidRPr="004C78D8">
              <w:rPr>
                <w:sz w:val="18"/>
                <w:szCs w:val="18"/>
              </w:rPr>
              <w:t>Constant</w:t>
            </w:r>
          </w:p>
        </w:tc>
        <w:tc>
          <w:tcPr>
            <w:tcW w:w="1772" w:type="dxa"/>
            <w:tcBorders>
              <w:bottom w:val="nil"/>
            </w:tcBorders>
          </w:tcPr>
          <w:p w14:paraId="112555A3" w14:textId="6B4ACAD9" w:rsidR="00EC74D4" w:rsidRPr="004C78D8" w:rsidRDefault="00EC74D4" w:rsidP="00FB7C1F">
            <w:pPr>
              <w:jc w:val="center"/>
              <w:rPr>
                <w:sz w:val="18"/>
                <w:szCs w:val="18"/>
              </w:rPr>
            </w:pPr>
            <w:r w:rsidRPr="004C78D8">
              <w:rPr>
                <w:sz w:val="18"/>
                <w:szCs w:val="18"/>
              </w:rPr>
              <w:t>-</w:t>
            </w:r>
            <w:r w:rsidR="001F6BEE" w:rsidRPr="004C78D8">
              <w:rPr>
                <w:sz w:val="18"/>
                <w:szCs w:val="18"/>
              </w:rPr>
              <w:t>0</w:t>
            </w:r>
            <w:r w:rsidRPr="004C78D8">
              <w:rPr>
                <w:sz w:val="18"/>
                <w:szCs w:val="18"/>
              </w:rPr>
              <w:t>.</w:t>
            </w:r>
            <w:r w:rsidR="001F6BEE" w:rsidRPr="004C78D8">
              <w:rPr>
                <w:sz w:val="18"/>
                <w:szCs w:val="18"/>
              </w:rPr>
              <w:t>692</w:t>
            </w:r>
            <w:r w:rsidRPr="004C78D8">
              <w:rPr>
                <w:sz w:val="18"/>
                <w:szCs w:val="18"/>
              </w:rPr>
              <w:t xml:space="preserve"> (0.</w:t>
            </w:r>
            <w:r w:rsidR="001F6BEE" w:rsidRPr="004C78D8">
              <w:rPr>
                <w:sz w:val="18"/>
                <w:szCs w:val="18"/>
              </w:rPr>
              <w:t>494</w:t>
            </w:r>
            <w:r w:rsidRPr="004C78D8">
              <w:rPr>
                <w:sz w:val="18"/>
                <w:szCs w:val="18"/>
              </w:rPr>
              <w:t>)</w:t>
            </w:r>
          </w:p>
        </w:tc>
        <w:tc>
          <w:tcPr>
            <w:tcW w:w="1772" w:type="dxa"/>
            <w:tcBorders>
              <w:bottom w:val="nil"/>
            </w:tcBorders>
          </w:tcPr>
          <w:p w14:paraId="6053164B" w14:textId="4BCEC5DF" w:rsidR="00EC74D4" w:rsidRPr="004C78D8" w:rsidRDefault="00EC74D4" w:rsidP="00FB7C1F">
            <w:pPr>
              <w:jc w:val="center"/>
              <w:rPr>
                <w:sz w:val="18"/>
                <w:szCs w:val="18"/>
              </w:rPr>
            </w:pPr>
            <w:r w:rsidRPr="004C78D8">
              <w:rPr>
                <w:sz w:val="18"/>
                <w:szCs w:val="18"/>
              </w:rPr>
              <w:t>0.</w:t>
            </w:r>
            <w:r w:rsidR="001F6BEE" w:rsidRPr="004C78D8">
              <w:rPr>
                <w:sz w:val="18"/>
                <w:szCs w:val="18"/>
              </w:rPr>
              <w:t>16</w:t>
            </w:r>
            <w:r w:rsidRPr="004C78D8">
              <w:rPr>
                <w:sz w:val="18"/>
                <w:szCs w:val="18"/>
              </w:rPr>
              <w:t>1</w:t>
            </w:r>
          </w:p>
        </w:tc>
      </w:tr>
      <w:tr w:rsidR="00EC74D4" w:rsidRPr="004C78D8" w14:paraId="5C9D4102" w14:textId="77777777" w:rsidTr="00E35893">
        <w:tc>
          <w:tcPr>
            <w:tcW w:w="2263" w:type="dxa"/>
            <w:tcBorders>
              <w:top w:val="nil"/>
              <w:bottom w:val="nil"/>
            </w:tcBorders>
          </w:tcPr>
          <w:p w14:paraId="6CF34DC7" w14:textId="77777777" w:rsidR="00EC74D4" w:rsidRPr="004C78D8" w:rsidRDefault="00EC74D4" w:rsidP="00FB7C1F">
            <w:pPr>
              <w:rPr>
                <w:sz w:val="18"/>
                <w:szCs w:val="18"/>
              </w:rPr>
            </w:pPr>
            <w:r w:rsidRPr="004C78D8">
              <w:rPr>
                <w:sz w:val="18"/>
                <w:szCs w:val="18"/>
              </w:rPr>
              <w:t>Age</w:t>
            </w:r>
          </w:p>
        </w:tc>
        <w:tc>
          <w:tcPr>
            <w:tcW w:w="1772" w:type="dxa"/>
            <w:tcBorders>
              <w:top w:val="nil"/>
              <w:bottom w:val="nil"/>
            </w:tcBorders>
          </w:tcPr>
          <w:p w14:paraId="4CFBB3D1" w14:textId="46E60350" w:rsidR="00EC74D4" w:rsidRPr="004C78D8" w:rsidRDefault="001F6BEE" w:rsidP="00FB7C1F">
            <w:pPr>
              <w:jc w:val="center"/>
              <w:rPr>
                <w:sz w:val="18"/>
                <w:szCs w:val="18"/>
              </w:rPr>
            </w:pPr>
            <w:r w:rsidRPr="004C78D8">
              <w:rPr>
                <w:sz w:val="18"/>
                <w:szCs w:val="18"/>
              </w:rPr>
              <w:t>-</w:t>
            </w:r>
            <w:r w:rsidR="00EC74D4" w:rsidRPr="004C78D8">
              <w:rPr>
                <w:sz w:val="18"/>
                <w:szCs w:val="18"/>
              </w:rPr>
              <w:t>0.0</w:t>
            </w:r>
            <w:r w:rsidRPr="004C78D8">
              <w:rPr>
                <w:sz w:val="18"/>
                <w:szCs w:val="18"/>
              </w:rPr>
              <w:t>15</w:t>
            </w:r>
            <w:r w:rsidR="00EC74D4" w:rsidRPr="004C78D8">
              <w:rPr>
                <w:sz w:val="18"/>
                <w:szCs w:val="18"/>
              </w:rPr>
              <w:t xml:space="preserve"> (0.00</w:t>
            </w:r>
            <w:r w:rsidRPr="004C78D8">
              <w:rPr>
                <w:sz w:val="18"/>
                <w:szCs w:val="18"/>
              </w:rPr>
              <w:t>7</w:t>
            </w:r>
            <w:r w:rsidR="00EC74D4" w:rsidRPr="004C78D8">
              <w:rPr>
                <w:sz w:val="18"/>
                <w:szCs w:val="18"/>
              </w:rPr>
              <w:t>)</w:t>
            </w:r>
          </w:p>
        </w:tc>
        <w:tc>
          <w:tcPr>
            <w:tcW w:w="1772" w:type="dxa"/>
            <w:tcBorders>
              <w:top w:val="nil"/>
              <w:bottom w:val="nil"/>
            </w:tcBorders>
          </w:tcPr>
          <w:p w14:paraId="6F2E41BF" w14:textId="78299C7C" w:rsidR="00EC74D4" w:rsidRPr="004C78D8" w:rsidRDefault="00EC74D4" w:rsidP="00FB7C1F">
            <w:pPr>
              <w:jc w:val="center"/>
              <w:rPr>
                <w:sz w:val="18"/>
                <w:szCs w:val="18"/>
              </w:rPr>
            </w:pPr>
            <w:r w:rsidRPr="004C78D8">
              <w:rPr>
                <w:sz w:val="18"/>
                <w:szCs w:val="18"/>
              </w:rPr>
              <w:t>0.0</w:t>
            </w:r>
            <w:r w:rsidR="001F6BEE" w:rsidRPr="004C78D8">
              <w:rPr>
                <w:sz w:val="18"/>
                <w:szCs w:val="18"/>
              </w:rPr>
              <w:t>37</w:t>
            </w:r>
          </w:p>
        </w:tc>
      </w:tr>
      <w:tr w:rsidR="00EC74D4" w:rsidRPr="004C78D8" w14:paraId="6514974E" w14:textId="77777777" w:rsidTr="00E35893">
        <w:tc>
          <w:tcPr>
            <w:tcW w:w="2263" w:type="dxa"/>
            <w:tcBorders>
              <w:top w:val="nil"/>
              <w:bottom w:val="nil"/>
            </w:tcBorders>
          </w:tcPr>
          <w:p w14:paraId="55E10B04" w14:textId="77777777" w:rsidR="00EC74D4" w:rsidRPr="004C78D8" w:rsidRDefault="00EC74D4" w:rsidP="00FB7C1F">
            <w:pPr>
              <w:rPr>
                <w:sz w:val="18"/>
                <w:szCs w:val="18"/>
              </w:rPr>
            </w:pPr>
            <w:r w:rsidRPr="004C78D8">
              <w:rPr>
                <w:sz w:val="18"/>
                <w:szCs w:val="18"/>
              </w:rPr>
              <w:t>Falls history (ref: No falls history)</w:t>
            </w:r>
          </w:p>
        </w:tc>
        <w:tc>
          <w:tcPr>
            <w:tcW w:w="1772" w:type="dxa"/>
            <w:tcBorders>
              <w:top w:val="nil"/>
              <w:bottom w:val="nil"/>
            </w:tcBorders>
          </w:tcPr>
          <w:p w14:paraId="357071EB" w14:textId="77777777" w:rsidR="00EC74D4" w:rsidRPr="004C78D8" w:rsidRDefault="00EC74D4" w:rsidP="00FB7C1F">
            <w:pPr>
              <w:jc w:val="center"/>
              <w:rPr>
                <w:sz w:val="18"/>
                <w:szCs w:val="18"/>
              </w:rPr>
            </w:pPr>
          </w:p>
        </w:tc>
        <w:tc>
          <w:tcPr>
            <w:tcW w:w="1772" w:type="dxa"/>
            <w:tcBorders>
              <w:top w:val="nil"/>
              <w:bottom w:val="nil"/>
            </w:tcBorders>
          </w:tcPr>
          <w:p w14:paraId="35CF1991" w14:textId="77777777" w:rsidR="00EC74D4" w:rsidRPr="004C78D8" w:rsidRDefault="00EC74D4" w:rsidP="00FB7C1F">
            <w:pPr>
              <w:jc w:val="center"/>
              <w:rPr>
                <w:sz w:val="18"/>
                <w:szCs w:val="18"/>
              </w:rPr>
            </w:pPr>
          </w:p>
        </w:tc>
      </w:tr>
      <w:tr w:rsidR="00EC74D4" w:rsidRPr="004C78D8" w14:paraId="7E3A60CB" w14:textId="77777777" w:rsidTr="00E35893">
        <w:tc>
          <w:tcPr>
            <w:tcW w:w="2263" w:type="dxa"/>
            <w:tcBorders>
              <w:top w:val="nil"/>
              <w:bottom w:val="nil"/>
            </w:tcBorders>
          </w:tcPr>
          <w:p w14:paraId="61FD7E0D" w14:textId="77777777" w:rsidR="00EC74D4" w:rsidRPr="004C78D8" w:rsidRDefault="00EC74D4" w:rsidP="00FB7C1F">
            <w:pPr>
              <w:jc w:val="right"/>
              <w:rPr>
                <w:sz w:val="18"/>
                <w:szCs w:val="18"/>
              </w:rPr>
            </w:pPr>
            <w:r w:rsidRPr="004C78D8">
              <w:rPr>
                <w:i/>
                <w:iCs/>
                <w:sz w:val="18"/>
                <w:szCs w:val="18"/>
              </w:rPr>
              <w:t>Single non-MA fall</w:t>
            </w:r>
          </w:p>
        </w:tc>
        <w:tc>
          <w:tcPr>
            <w:tcW w:w="1772" w:type="dxa"/>
            <w:tcBorders>
              <w:top w:val="nil"/>
              <w:bottom w:val="nil"/>
            </w:tcBorders>
          </w:tcPr>
          <w:p w14:paraId="54D99615" w14:textId="3F637084" w:rsidR="00EC74D4" w:rsidRPr="004C78D8" w:rsidRDefault="00EC74D4" w:rsidP="00FB7C1F">
            <w:pPr>
              <w:jc w:val="center"/>
              <w:rPr>
                <w:sz w:val="18"/>
                <w:szCs w:val="18"/>
              </w:rPr>
            </w:pPr>
            <w:r w:rsidRPr="004C78D8">
              <w:rPr>
                <w:sz w:val="18"/>
                <w:szCs w:val="18"/>
              </w:rPr>
              <w:t>0.</w:t>
            </w:r>
            <w:r w:rsidR="001F6BEE" w:rsidRPr="004C78D8">
              <w:rPr>
                <w:sz w:val="18"/>
                <w:szCs w:val="18"/>
              </w:rPr>
              <w:t>322</w:t>
            </w:r>
            <w:r w:rsidRPr="004C78D8">
              <w:rPr>
                <w:sz w:val="18"/>
                <w:szCs w:val="18"/>
              </w:rPr>
              <w:t xml:space="preserve"> (0.</w:t>
            </w:r>
            <w:r w:rsidR="001F6BEE" w:rsidRPr="004C78D8">
              <w:rPr>
                <w:sz w:val="18"/>
                <w:szCs w:val="18"/>
              </w:rPr>
              <w:t>151</w:t>
            </w:r>
            <w:r w:rsidRPr="004C78D8">
              <w:rPr>
                <w:sz w:val="18"/>
                <w:szCs w:val="18"/>
              </w:rPr>
              <w:t>)</w:t>
            </w:r>
          </w:p>
        </w:tc>
        <w:tc>
          <w:tcPr>
            <w:tcW w:w="1772" w:type="dxa"/>
            <w:tcBorders>
              <w:top w:val="nil"/>
              <w:bottom w:val="nil"/>
            </w:tcBorders>
          </w:tcPr>
          <w:p w14:paraId="3A5F89E8" w14:textId="15484677" w:rsidR="00EC74D4" w:rsidRPr="004C78D8" w:rsidRDefault="00EC74D4" w:rsidP="00FB7C1F">
            <w:pPr>
              <w:jc w:val="center"/>
              <w:rPr>
                <w:sz w:val="18"/>
                <w:szCs w:val="18"/>
              </w:rPr>
            </w:pPr>
            <w:r w:rsidRPr="004C78D8">
              <w:rPr>
                <w:sz w:val="18"/>
                <w:szCs w:val="18"/>
              </w:rPr>
              <w:t>0.0</w:t>
            </w:r>
            <w:r w:rsidR="001F6BEE" w:rsidRPr="004C78D8">
              <w:rPr>
                <w:sz w:val="18"/>
                <w:szCs w:val="18"/>
              </w:rPr>
              <w:t>33</w:t>
            </w:r>
          </w:p>
        </w:tc>
      </w:tr>
      <w:tr w:rsidR="00EC74D4" w:rsidRPr="004C78D8" w14:paraId="280D0976" w14:textId="77777777" w:rsidTr="00E35893">
        <w:tc>
          <w:tcPr>
            <w:tcW w:w="2263" w:type="dxa"/>
            <w:tcBorders>
              <w:top w:val="nil"/>
              <w:bottom w:val="nil"/>
            </w:tcBorders>
          </w:tcPr>
          <w:p w14:paraId="20A051F2" w14:textId="77777777" w:rsidR="00EC74D4" w:rsidRPr="004C78D8" w:rsidRDefault="00EC74D4" w:rsidP="00FB7C1F">
            <w:pPr>
              <w:jc w:val="right"/>
              <w:rPr>
                <w:sz w:val="18"/>
                <w:szCs w:val="18"/>
              </w:rPr>
            </w:pPr>
            <w:r w:rsidRPr="004C78D8">
              <w:rPr>
                <w:i/>
                <w:iCs/>
                <w:sz w:val="18"/>
                <w:szCs w:val="18"/>
              </w:rPr>
              <w:t>Recurrent non-MA falls</w:t>
            </w:r>
          </w:p>
        </w:tc>
        <w:tc>
          <w:tcPr>
            <w:tcW w:w="1772" w:type="dxa"/>
            <w:tcBorders>
              <w:top w:val="nil"/>
              <w:bottom w:val="nil"/>
            </w:tcBorders>
          </w:tcPr>
          <w:p w14:paraId="417470AE" w14:textId="6A99BCFA" w:rsidR="00EC74D4" w:rsidRPr="004C78D8" w:rsidRDefault="00EC74D4" w:rsidP="00FB7C1F">
            <w:pPr>
              <w:jc w:val="center"/>
              <w:rPr>
                <w:sz w:val="18"/>
                <w:szCs w:val="18"/>
              </w:rPr>
            </w:pPr>
            <w:r w:rsidRPr="004C78D8">
              <w:rPr>
                <w:sz w:val="18"/>
                <w:szCs w:val="18"/>
              </w:rPr>
              <w:t>1.6</w:t>
            </w:r>
            <w:r w:rsidR="001F6BEE" w:rsidRPr="004C78D8">
              <w:rPr>
                <w:sz w:val="18"/>
                <w:szCs w:val="18"/>
              </w:rPr>
              <w:t>78</w:t>
            </w:r>
            <w:r w:rsidRPr="004C78D8">
              <w:rPr>
                <w:sz w:val="18"/>
                <w:szCs w:val="18"/>
              </w:rPr>
              <w:t xml:space="preserve"> (0.1</w:t>
            </w:r>
            <w:r w:rsidR="001F6BEE" w:rsidRPr="004C78D8">
              <w:rPr>
                <w:sz w:val="18"/>
                <w:szCs w:val="18"/>
              </w:rPr>
              <w:t>51</w:t>
            </w:r>
            <w:r w:rsidRPr="004C78D8">
              <w:rPr>
                <w:sz w:val="18"/>
                <w:szCs w:val="18"/>
              </w:rPr>
              <w:t>)</w:t>
            </w:r>
          </w:p>
        </w:tc>
        <w:tc>
          <w:tcPr>
            <w:tcW w:w="1772" w:type="dxa"/>
            <w:tcBorders>
              <w:top w:val="nil"/>
              <w:bottom w:val="nil"/>
            </w:tcBorders>
          </w:tcPr>
          <w:p w14:paraId="2B138CCB" w14:textId="77777777" w:rsidR="00EC74D4" w:rsidRPr="004C78D8" w:rsidRDefault="00EC74D4" w:rsidP="00FB7C1F">
            <w:pPr>
              <w:jc w:val="center"/>
              <w:rPr>
                <w:sz w:val="18"/>
                <w:szCs w:val="18"/>
              </w:rPr>
            </w:pPr>
            <w:r w:rsidRPr="004C78D8">
              <w:rPr>
                <w:sz w:val="18"/>
                <w:szCs w:val="18"/>
              </w:rPr>
              <w:t>&lt;0.001</w:t>
            </w:r>
          </w:p>
        </w:tc>
      </w:tr>
      <w:tr w:rsidR="00EC74D4" w:rsidRPr="004C78D8" w14:paraId="53012F57" w14:textId="77777777" w:rsidTr="00E35893">
        <w:tc>
          <w:tcPr>
            <w:tcW w:w="2263" w:type="dxa"/>
            <w:tcBorders>
              <w:top w:val="nil"/>
              <w:bottom w:val="nil"/>
            </w:tcBorders>
          </w:tcPr>
          <w:p w14:paraId="1730B2CF" w14:textId="77777777" w:rsidR="00EC74D4" w:rsidRPr="004C78D8" w:rsidRDefault="00EC74D4" w:rsidP="00FB7C1F">
            <w:pPr>
              <w:jc w:val="right"/>
              <w:rPr>
                <w:sz w:val="18"/>
                <w:szCs w:val="18"/>
              </w:rPr>
            </w:pPr>
            <w:r w:rsidRPr="004C78D8">
              <w:rPr>
                <w:i/>
                <w:iCs/>
                <w:sz w:val="18"/>
                <w:szCs w:val="18"/>
              </w:rPr>
              <w:t>Single MA fall</w:t>
            </w:r>
          </w:p>
        </w:tc>
        <w:tc>
          <w:tcPr>
            <w:tcW w:w="1772" w:type="dxa"/>
            <w:tcBorders>
              <w:top w:val="nil"/>
              <w:bottom w:val="nil"/>
            </w:tcBorders>
          </w:tcPr>
          <w:p w14:paraId="424878DB" w14:textId="1C49B3DF" w:rsidR="00EC74D4" w:rsidRPr="004C78D8" w:rsidRDefault="00EC74D4" w:rsidP="00FB7C1F">
            <w:pPr>
              <w:jc w:val="center"/>
              <w:rPr>
                <w:sz w:val="18"/>
                <w:szCs w:val="18"/>
              </w:rPr>
            </w:pPr>
            <w:r w:rsidRPr="004C78D8">
              <w:rPr>
                <w:sz w:val="18"/>
                <w:szCs w:val="18"/>
              </w:rPr>
              <w:t>0.</w:t>
            </w:r>
            <w:r w:rsidR="001F6BEE" w:rsidRPr="004C78D8">
              <w:rPr>
                <w:sz w:val="18"/>
                <w:szCs w:val="18"/>
              </w:rPr>
              <w:t>089</w:t>
            </w:r>
            <w:r w:rsidRPr="004C78D8">
              <w:rPr>
                <w:sz w:val="18"/>
                <w:szCs w:val="18"/>
              </w:rPr>
              <w:t xml:space="preserve"> (0.</w:t>
            </w:r>
            <w:r w:rsidR="001F6BEE" w:rsidRPr="004C78D8">
              <w:rPr>
                <w:sz w:val="18"/>
                <w:szCs w:val="18"/>
              </w:rPr>
              <w:t>238</w:t>
            </w:r>
            <w:r w:rsidRPr="004C78D8">
              <w:rPr>
                <w:sz w:val="18"/>
                <w:szCs w:val="18"/>
              </w:rPr>
              <w:t>)</w:t>
            </w:r>
          </w:p>
        </w:tc>
        <w:tc>
          <w:tcPr>
            <w:tcW w:w="1772" w:type="dxa"/>
            <w:tcBorders>
              <w:top w:val="nil"/>
              <w:bottom w:val="nil"/>
            </w:tcBorders>
          </w:tcPr>
          <w:p w14:paraId="7151323D" w14:textId="44C8FCB7" w:rsidR="00EC74D4" w:rsidRPr="004C78D8" w:rsidRDefault="00EC74D4" w:rsidP="00FB7C1F">
            <w:pPr>
              <w:jc w:val="center"/>
              <w:rPr>
                <w:sz w:val="18"/>
                <w:szCs w:val="18"/>
              </w:rPr>
            </w:pPr>
            <w:r w:rsidRPr="004C78D8">
              <w:rPr>
                <w:sz w:val="18"/>
                <w:szCs w:val="18"/>
              </w:rPr>
              <w:t>0.</w:t>
            </w:r>
            <w:r w:rsidR="001F6BEE" w:rsidRPr="004C78D8">
              <w:rPr>
                <w:sz w:val="18"/>
                <w:szCs w:val="18"/>
              </w:rPr>
              <w:t>708</w:t>
            </w:r>
          </w:p>
        </w:tc>
      </w:tr>
      <w:tr w:rsidR="00EC74D4" w:rsidRPr="004C78D8" w14:paraId="683CB923" w14:textId="77777777" w:rsidTr="00E35893">
        <w:tc>
          <w:tcPr>
            <w:tcW w:w="2263" w:type="dxa"/>
            <w:tcBorders>
              <w:top w:val="nil"/>
              <w:bottom w:val="nil"/>
            </w:tcBorders>
          </w:tcPr>
          <w:p w14:paraId="6F820D12" w14:textId="77777777" w:rsidR="00EC74D4" w:rsidRPr="004C78D8" w:rsidRDefault="00EC74D4" w:rsidP="00FB7C1F">
            <w:pPr>
              <w:jc w:val="right"/>
              <w:rPr>
                <w:sz w:val="18"/>
                <w:szCs w:val="18"/>
              </w:rPr>
            </w:pPr>
            <w:r w:rsidRPr="004C78D8">
              <w:rPr>
                <w:i/>
                <w:iCs/>
                <w:sz w:val="18"/>
                <w:szCs w:val="18"/>
              </w:rPr>
              <w:t>Recurrent falls with MA</w:t>
            </w:r>
          </w:p>
        </w:tc>
        <w:tc>
          <w:tcPr>
            <w:tcW w:w="1772" w:type="dxa"/>
            <w:tcBorders>
              <w:top w:val="nil"/>
              <w:bottom w:val="nil"/>
            </w:tcBorders>
          </w:tcPr>
          <w:p w14:paraId="6B3C5E07" w14:textId="357B1DC4" w:rsidR="00EC74D4" w:rsidRPr="004C78D8" w:rsidRDefault="001F6BEE" w:rsidP="00FB7C1F">
            <w:pPr>
              <w:jc w:val="center"/>
              <w:rPr>
                <w:sz w:val="18"/>
                <w:szCs w:val="18"/>
              </w:rPr>
            </w:pPr>
            <w:r w:rsidRPr="004C78D8">
              <w:rPr>
                <w:sz w:val="18"/>
                <w:szCs w:val="18"/>
              </w:rPr>
              <w:t>1</w:t>
            </w:r>
            <w:r w:rsidR="00EC74D4" w:rsidRPr="004C78D8">
              <w:rPr>
                <w:sz w:val="18"/>
                <w:szCs w:val="18"/>
              </w:rPr>
              <w:t>.</w:t>
            </w:r>
            <w:r w:rsidRPr="004C78D8">
              <w:rPr>
                <w:sz w:val="18"/>
                <w:szCs w:val="18"/>
              </w:rPr>
              <w:t>314</w:t>
            </w:r>
            <w:r w:rsidR="00EC74D4" w:rsidRPr="004C78D8">
              <w:rPr>
                <w:sz w:val="18"/>
                <w:szCs w:val="18"/>
              </w:rPr>
              <w:t xml:space="preserve"> (0.</w:t>
            </w:r>
            <w:r w:rsidRPr="004C78D8">
              <w:rPr>
                <w:sz w:val="18"/>
                <w:szCs w:val="18"/>
              </w:rPr>
              <w:t>262</w:t>
            </w:r>
            <w:r w:rsidR="00EC74D4" w:rsidRPr="004C78D8">
              <w:rPr>
                <w:sz w:val="18"/>
                <w:szCs w:val="18"/>
              </w:rPr>
              <w:t>)</w:t>
            </w:r>
          </w:p>
        </w:tc>
        <w:tc>
          <w:tcPr>
            <w:tcW w:w="1772" w:type="dxa"/>
            <w:tcBorders>
              <w:top w:val="nil"/>
              <w:bottom w:val="nil"/>
            </w:tcBorders>
          </w:tcPr>
          <w:p w14:paraId="05F0215E" w14:textId="77777777" w:rsidR="00EC74D4" w:rsidRPr="004C78D8" w:rsidRDefault="00EC74D4" w:rsidP="00FB7C1F">
            <w:pPr>
              <w:jc w:val="center"/>
              <w:rPr>
                <w:sz w:val="18"/>
                <w:szCs w:val="18"/>
              </w:rPr>
            </w:pPr>
            <w:r w:rsidRPr="004C78D8">
              <w:rPr>
                <w:sz w:val="18"/>
                <w:szCs w:val="18"/>
              </w:rPr>
              <w:t>&lt;0.001</w:t>
            </w:r>
          </w:p>
        </w:tc>
      </w:tr>
      <w:tr w:rsidR="00EC74D4" w:rsidRPr="004C78D8" w14:paraId="28C848C7" w14:textId="77777777" w:rsidTr="00E35893">
        <w:tc>
          <w:tcPr>
            <w:tcW w:w="2263" w:type="dxa"/>
            <w:tcBorders>
              <w:top w:val="nil"/>
              <w:bottom w:val="nil"/>
            </w:tcBorders>
          </w:tcPr>
          <w:p w14:paraId="7C975112" w14:textId="77777777" w:rsidR="00EC74D4" w:rsidRPr="004C78D8" w:rsidRDefault="00EC74D4" w:rsidP="00FB7C1F">
            <w:pPr>
              <w:rPr>
                <w:sz w:val="18"/>
                <w:szCs w:val="18"/>
              </w:rPr>
            </w:pPr>
            <w:r w:rsidRPr="004C78D8">
              <w:rPr>
                <w:sz w:val="18"/>
                <w:szCs w:val="18"/>
              </w:rPr>
              <w:t>Frailty (0-100)</w:t>
            </w:r>
          </w:p>
        </w:tc>
        <w:tc>
          <w:tcPr>
            <w:tcW w:w="1772" w:type="dxa"/>
            <w:tcBorders>
              <w:top w:val="nil"/>
              <w:bottom w:val="nil"/>
            </w:tcBorders>
          </w:tcPr>
          <w:p w14:paraId="540E2C2E" w14:textId="393729EE" w:rsidR="00EC74D4" w:rsidRPr="004C78D8" w:rsidRDefault="00EC74D4" w:rsidP="00FB7C1F">
            <w:pPr>
              <w:jc w:val="center"/>
              <w:rPr>
                <w:sz w:val="18"/>
                <w:szCs w:val="18"/>
              </w:rPr>
            </w:pPr>
            <w:r w:rsidRPr="004C78D8">
              <w:rPr>
                <w:sz w:val="18"/>
                <w:szCs w:val="18"/>
              </w:rPr>
              <w:t>0.0</w:t>
            </w:r>
            <w:r w:rsidR="001F6BEE" w:rsidRPr="004C78D8">
              <w:rPr>
                <w:sz w:val="18"/>
                <w:szCs w:val="18"/>
              </w:rPr>
              <w:t>89</w:t>
            </w:r>
            <w:r w:rsidRPr="004C78D8">
              <w:rPr>
                <w:sz w:val="18"/>
                <w:szCs w:val="18"/>
              </w:rPr>
              <w:t xml:space="preserve"> (0.01</w:t>
            </w:r>
            <w:r w:rsidR="001F6BEE" w:rsidRPr="004C78D8">
              <w:rPr>
                <w:sz w:val="18"/>
                <w:szCs w:val="18"/>
              </w:rPr>
              <w:t>7</w:t>
            </w:r>
            <w:r w:rsidRPr="004C78D8">
              <w:rPr>
                <w:sz w:val="18"/>
                <w:szCs w:val="18"/>
              </w:rPr>
              <w:t>)</w:t>
            </w:r>
          </w:p>
        </w:tc>
        <w:tc>
          <w:tcPr>
            <w:tcW w:w="1772" w:type="dxa"/>
            <w:tcBorders>
              <w:top w:val="nil"/>
              <w:bottom w:val="nil"/>
            </w:tcBorders>
          </w:tcPr>
          <w:p w14:paraId="3EC1B84D" w14:textId="77777777" w:rsidR="00EC74D4" w:rsidRPr="004C78D8" w:rsidRDefault="00EC74D4" w:rsidP="00FB7C1F">
            <w:pPr>
              <w:jc w:val="center"/>
              <w:rPr>
                <w:sz w:val="18"/>
                <w:szCs w:val="18"/>
              </w:rPr>
            </w:pPr>
            <w:r w:rsidRPr="004C78D8">
              <w:rPr>
                <w:sz w:val="18"/>
                <w:szCs w:val="18"/>
              </w:rPr>
              <w:t>&lt;0.001</w:t>
            </w:r>
          </w:p>
        </w:tc>
      </w:tr>
      <w:tr w:rsidR="00EC74D4" w:rsidRPr="004C78D8" w14:paraId="588F5E58" w14:textId="77777777" w:rsidTr="00E35893">
        <w:tc>
          <w:tcPr>
            <w:tcW w:w="2263" w:type="dxa"/>
            <w:tcBorders>
              <w:top w:val="nil"/>
              <w:bottom w:val="nil"/>
            </w:tcBorders>
          </w:tcPr>
          <w:p w14:paraId="269CB5DD" w14:textId="77777777" w:rsidR="00EC74D4" w:rsidRPr="004C78D8" w:rsidRDefault="00EC74D4" w:rsidP="00FB7C1F">
            <w:pPr>
              <w:rPr>
                <w:sz w:val="18"/>
                <w:szCs w:val="18"/>
              </w:rPr>
            </w:pPr>
            <w:r w:rsidRPr="004C78D8">
              <w:rPr>
                <w:sz w:val="18"/>
                <w:szCs w:val="18"/>
              </w:rPr>
              <w:t>Frailty^2</w:t>
            </w:r>
          </w:p>
        </w:tc>
        <w:tc>
          <w:tcPr>
            <w:tcW w:w="1772" w:type="dxa"/>
            <w:tcBorders>
              <w:top w:val="nil"/>
              <w:bottom w:val="nil"/>
            </w:tcBorders>
          </w:tcPr>
          <w:p w14:paraId="64F9A245" w14:textId="5CAEA839" w:rsidR="00EC74D4" w:rsidRPr="004C78D8" w:rsidRDefault="00EC74D4" w:rsidP="00FB7C1F">
            <w:pPr>
              <w:jc w:val="center"/>
              <w:rPr>
                <w:sz w:val="18"/>
                <w:szCs w:val="18"/>
              </w:rPr>
            </w:pPr>
            <w:r w:rsidRPr="004C78D8">
              <w:rPr>
                <w:sz w:val="18"/>
                <w:szCs w:val="18"/>
              </w:rPr>
              <w:t>-0.00</w:t>
            </w:r>
            <w:r w:rsidR="001F6BEE" w:rsidRPr="004C78D8">
              <w:rPr>
                <w:sz w:val="18"/>
                <w:szCs w:val="18"/>
              </w:rPr>
              <w:t>1</w:t>
            </w:r>
            <w:r w:rsidRPr="004C78D8">
              <w:rPr>
                <w:sz w:val="18"/>
                <w:szCs w:val="18"/>
              </w:rPr>
              <w:t xml:space="preserve"> (0.000</w:t>
            </w:r>
            <w:r w:rsidR="001F6BEE" w:rsidRPr="004C78D8">
              <w:rPr>
                <w:sz w:val="18"/>
                <w:szCs w:val="18"/>
              </w:rPr>
              <w:t>4</w:t>
            </w:r>
            <w:r w:rsidRPr="004C78D8">
              <w:rPr>
                <w:sz w:val="18"/>
                <w:szCs w:val="18"/>
              </w:rPr>
              <w:t>)</w:t>
            </w:r>
          </w:p>
        </w:tc>
        <w:tc>
          <w:tcPr>
            <w:tcW w:w="1772" w:type="dxa"/>
            <w:tcBorders>
              <w:top w:val="nil"/>
              <w:bottom w:val="nil"/>
            </w:tcBorders>
          </w:tcPr>
          <w:p w14:paraId="57D319BD" w14:textId="6832CB31" w:rsidR="00EC74D4" w:rsidRPr="004C78D8" w:rsidRDefault="00EC74D4" w:rsidP="00FB7C1F">
            <w:pPr>
              <w:jc w:val="center"/>
              <w:rPr>
                <w:sz w:val="18"/>
                <w:szCs w:val="18"/>
              </w:rPr>
            </w:pPr>
            <w:r w:rsidRPr="004C78D8">
              <w:rPr>
                <w:sz w:val="18"/>
                <w:szCs w:val="18"/>
              </w:rPr>
              <w:t>0.00</w:t>
            </w:r>
            <w:r w:rsidR="001F6BEE" w:rsidRPr="004C78D8">
              <w:rPr>
                <w:sz w:val="18"/>
                <w:szCs w:val="18"/>
              </w:rPr>
              <w:t>1</w:t>
            </w:r>
          </w:p>
        </w:tc>
      </w:tr>
      <w:tr w:rsidR="00EC74D4" w:rsidRPr="004C78D8" w14:paraId="56E5D7D9" w14:textId="77777777" w:rsidTr="00E35893">
        <w:tc>
          <w:tcPr>
            <w:tcW w:w="2263" w:type="dxa"/>
            <w:tcBorders>
              <w:top w:val="nil"/>
              <w:bottom w:val="nil"/>
            </w:tcBorders>
          </w:tcPr>
          <w:p w14:paraId="74E0377B" w14:textId="77777777" w:rsidR="00EC74D4" w:rsidRPr="004C78D8" w:rsidRDefault="00EC74D4" w:rsidP="00FB7C1F">
            <w:pPr>
              <w:rPr>
                <w:sz w:val="18"/>
                <w:szCs w:val="18"/>
              </w:rPr>
            </w:pPr>
            <w:r w:rsidRPr="004C78D8">
              <w:rPr>
                <w:sz w:val="18"/>
                <w:szCs w:val="18"/>
              </w:rPr>
              <w:t>Abnormal gait/balance</w:t>
            </w:r>
          </w:p>
        </w:tc>
        <w:tc>
          <w:tcPr>
            <w:tcW w:w="1772" w:type="dxa"/>
            <w:tcBorders>
              <w:top w:val="nil"/>
              <w:bottom w:val="nil"/>
            </w:tcBorders>
          </w:tcPr>
          <w:p w14:paraId="58BD6949" w14:textId="427DE557" w:rsidR="00EC74D4" w:rsidRPr="004C78D8" w:rsidRDefault="00EC74D4" w:rsidP="00FB7C1F">
            <w:pPr>
              <w:jc w:val="center"/>
              <w:rPr>
                <w:sz w:val="18"/>
                <w:szCs w:val="18"/>
              </w:rPr>
            </w:pPr>
            <w:r w:rsidRPr="004C78D8">
              <w:rPr>
                <w:sz w:val="18"/>
                <w:szCs w:val="18"/>
              </w:rPr>
              <w:t>0.</w:t>
            </w:r>
            <w:r w:rsidR="001F6BEE" w:rsidRPr="004C78D8">
              <w:rPr>
                <w:sz w:val="18"/>
                <w:szCs w:val="18"/>
              </w:rPr>
              <w:t>319</w:t>
            </w:r>
            <w:r w:rsidRPr="004C78D8">
              <w:rPr>
                <w:sz w:val="18"/>
                <w:szCs w:val="18"/>
              </w:rPr>
              <w:t xml:space="preserve"> (0.</w:t>
            </w:r>
            <w:r w:rsidR="001F6BEE" w:rsidRPr="004C78D8">
              <w:rPr>
                <w:sz w:val="18"/>
                <w:szCs w:val="18"/>
              </w:rPr>
              <w:t>143</w:t>
            </w:r>
            <w:r w:rsidRPr="004C78D8">
              <w:rPr>
                <w:sz w:val="18"/>
                <w:szCs w:val="18"/>
              </w:rPr>
              <w:t>)</w:t>
            </w:r>
          </w:p>
        </w:tc>
        <w:tc>
          <w:tcPr>
            <w:tcW w:w="1772" w:type="dxa"/>
            <w:tcBorders>
              <w:top w:val="nil"/>
              <w:bottom w:val="nil"/>
            </w:tcBorders>
          </w:tcPr>
          <w:p w14:paraId="757CFC3E" w14:textId="5D20E9EF" w:rsidR="00EC74D4" w:rsidRPr="004C78D8" w:rsidRDefault="00EC74D4" w:rsidP="00FB7C1F">
            <w:pPr>
              <w:jc w:val="center"/>
              <w:rPr>
                <w:sz w:val="18"/>
                <w:szCs w:val="18"/>
              </w:rPr>
            </w:pPr>
            <w:r w:rsidRPr="004C78D8">
              <w:rPr>
                <w:sz w:val="18"/>
                <w:szCs w:val="18"/>
              </w:rPr>
              <w:t>0.0</w:t>
            </w:r>
            <w:r w:rsidR="001F6BEE" w:rsidRPr="004C78D8">
              <w:rPr>
                <w:sz w:val="18"/>
                <w:szCs w:val="18"/>
              </w:rPr>
              <w:t>26</w:t>
            </w:r>
          </w:p>
        </w:tc>
      </w:tr>
      <w:tr w:rsidR="00EC74D4" w:rsidRPr="004C78D8" w14:paraId="59BF440E" w14:textId="77777777" w:rsidTr="00E35893">
        <w:tc>
          <w:tcPr>
            <w:tcW w:w="5807" w:type="dxa"/>
            <w:gridSpan w:val="3"/>
          </w:tcPr>
          <w:p w14:paraId="065323CF" w14:textId="659376BA" w:rsidR="00404459" w:rsidRPr="004C78D8" w:rsidRDefault="00D10D5E" w:rsidP="00FB7C1F">
            <w:pPr>
              <w:rPr>
                <w:sz w:val="18"/>
                <w:szCs w:val="18"/>
                <w:vertAlign w:val="superscript"/>
              </w:rPr>
            </w:pPr>
            <w:r w:rsidRPr="004C78D8">
              <w:rPr>
                <w:b/>
                <w:bCs/>
                <w:sz w:val="18"/>
                <w:szCs w:val="18"/>
              </w:rPr>
              <w:t>Abbreviation</w:t>
            </w:r>
            <w:r w:rsidR="00404459" w:rsidRPr="004C78D8">
              <w:rPr>
                <w:b/>
                <w:bCs/>
                <w:sz w:val="18"/>
                <w:szCs w:val="18"/>
              </w:rPr>
              <w:t xml:space="preserve">: </w:t>
            </w:r>
            <w:r w:rsidR="00404459" w:rsidRPr="004C78D8">
              <w:rPr>
                <w:sz w:val="18"/>
                <w:szCs w:val="18"/>
              </w:rPr>
              <w:t>ELSA: English Longitudinal Study of Ageing; MA fall: fall requiring medical attention; Ref: reference; SE: standard error</w:t>
            </w:r>
            <w:r w:rsidR="00404459" w:rsidRPr="004C78D8">
              <w:rPr>
                <w:sz w:val="18"/>
                <w:szCs w:val="18"/>
                <w:vertAlign w:val="superscript"/>
              </w:rPr>
              <w:t xml:space="preserve"> </w:t>
            </w:r>
          </w:p>
          <w:p w14:paraId="0CBD6B05" w14:textId="6A7C2847" w:rsidR="00EC74D4" w:rsidRPr="004C78D8" w:rsidRDefault="00EC74D4" w:rsidP="00FB7C1F">
            <w:pPr>
              <w:rPr>
                <w:sz w:val="20"/>
                <w:szCs w:val="20"/>
              </w:rPr>
            </w:pPr>
            <w:r w:rsidRPr="004C78D8">
              <w:rPr>
                <w:sz w:val="18"/>
                <w:szCs w:val="18"/>
                <w:vertAlign w:val="superscript"/>
              </w:rPr>
              <w:t>1</w:t>
            </w:r>
            <w:r w:rsidRPr="004C78D8">
              <w:rPr>
                <w:sz w:val="18"/>
                <w:szCs w:val="18"/>
              </w:rPr>
              <w:t xml:space="preserve"> Sample restricted to those interviewed in both ELSA Waves 4 and 5 who experienced any fall</w:t>
            </w:r>
            <w:r w:rsidR="00404459" w:rsidRPr="004C78D8">
              <w:rPr>
                <w:sz w:val="18"/>
                <w:szCs w:val="18"/>
              </w:rPr>
              <w:t>.</w:t>
            </w:r>
          </w:p>
        </w:tc>
      </w:tr>
    </w:tbl>
    <w:p w14:paraId="4A3F2852" w14:textId="73FAC16E" w:rsidR="00EC74D4" w:rsidRPr="004C78D8" w:rsidRDefault="00EC74D4" w:rsidP="00FB7C1F"/>
    <w:p w14:paraId="186754A6" w14:textId="64364726" w:rsidR="00925D3F" w:rsidRPr="004C78D8" w:rsidRDefault="00925D3F" w:rsidP="00FB7C1F">
      <w:pPr>
        <w:pStyle w:val="Heading5"/>
      </w:pPr>
      <w:r w:rsidRPr="004C78D8">
        <w:t>Risk of MA fall given single or recurrent fall</w:t>
      </w:r>
    </w:p>
    <w:p w14:paraId="1FFAA1E5" w14:textId="1A8AC0F3" w:rsidR="00664886" w:rsidRPr="004C78D8" w:rsidRDefault="00E1094B" w:rsidP="00FB7C1F">
      <w:r w:rsidRPr="004C78D8">
        <w:t xml:space="preserve">Single and recurrent fallers likely face differing risks of experiencing at least one </w:t>
      </w:r>
      <w:r w:rsidR="00482A48" w:rsidRPr="004C78D8">
        <w:t xml:space="preserve">MA </w:t>
      </w:r>
      <w:r w:rsidRPr="004C78D8">
        <w:t xml:space="preserve">fall. </w:t>
      </w:r>
      <w:r w:rsidR="00BD57B6" w:rsidRPr="004C78D8">
        <w:t xml:space="preserve">Therefore, estimation of the risk of </w:t>
      </w:r>
      <w:r w:rsidRPr="004C78D8">
        <w:t xml:space="preserve">being an </w:t>
      </w:r>
      <w:r w:rsidR="00BD57B6" w:rsidRPr="004C78D8">
        <w:t>MA fall</w:t>
      </w:r>
      <w:r w:rsidRPr="004C78D8">
        <w:t>er</w:t>
      </w:r>
      <w:r w:rsidR="00BD57B6" w:rsidRPr="004C78D8">
        <w:t xml:space="preserve"> given any fall was conducted separately for single and recurrent fallers. </w:t>
      </w:r>
      <w:r w:rsidR="00BD57B6" w:rsidRPr="004C78D8">
        <w:rPr>
          <w:shd w:val="clear" w:color="auto" w:fill="FFFF00"/>
        </w:rPr>
        <w:t xml:space="preserve">Table </w:t>
      </w:r>
      <w:r w:rsidR="00A768FA" w:rsidRPr="004C78D8">
        <w:rPr>
          <w:shd w:val="clear" w:color="auto" w:fill="FFFF00"/>
        </w:rPr>
        <w:t>5</w:t>
      </w:r>
      <w:r w:rsidRPr="004C78D8">
        <w:rPr>
          <w:shd w:val="clear" w:color="auto" w:fill="FFFF00"/>
        </w:rPr>
        <w:t>.</w:t>
      </w:r>
      <w:r w:rsidR="00935A0A" w:rsidRPr="004C78D8">
        <w:rPr>
          <w:shd w:val="clear" w:color="auto" w:fill="FFFF00"/>
        </w:rPr>
        <w:t>4</w:t>
      </w:r>
      <w:r w:rsidR="00A768FA" w:rsidRPr="004C78D8">
        <w:rPr>
          <w:shd w:val="clear" w:color="auto" w:fill="FFFF00"/>
        </w:rPr>
        <w:t>1</w:t>
      </w:r>
      <w:r w:rsidR="00BD57B6" w:rsidRPr="004C78D8">
        <w:t xml:space="preserve"> shows the regression coefficients for single fallers, while </w:t>
      </w:r>
      <w:r w:rsidR="00BD57B6" w:rsidRPr="004C78D8">
        <w:rPr>
          <w:shd w:val="clear" w:color="auto" w:fill="FFFF00"/>
        </w:rPr>
        <w:t xml:space="preserve">Table </w:t>
      </w:r>
      <w:r w:rsidR="00A768FA" w:rsidRPr="004C78D8">
        <w:rPr>
          <w:shd w:val="clear" w:color="auto" w:fill="FFFF00"/>
        </w:rPr>
        <w:t>5</w:t>
      </w:r>
      <w:r w:rsidRPr="004C78D8">
        <w:rPr>
          <w:shd w:val="clear" w:color="auto" w:fill="FFFF00"/>
        </w:rPr>
        <w:t>.4</w:t>
      </w:r>
      <w:r w:rsidR="00A768FA" w:rsidRPr="004C78D8">
        <w:rPr>
          <w:shd w:val="clear" w:color="auto" w:fill="FFFF00"/>
        </w:rPr>
        <w:t>2</w:t>
      </w:r>
      <w:r w:rsidR="00BD57B6" w:rsidRPr="004C78D8">
        <w:t xml:space="preserve"> shows those for recurrent fallers. The best-fit model for single fallers </w:t>
      </w:r>
      <w:r w:rsidR="007621F2" w:rsidRPr="004C78D8">
        <w:t>contained</w:t>
      </w:r>
      <w:r w:rsidR="00BD57B6" w:rsidRPr="004C78D8">
        <w:t xml:space="preserve"> only age, sex</w:t>
      </w:r>
      <w:r w:rsidR="00DE6E90" w:rsidRPr="004C78D8">
        <w:t>,</w:t>
      </w:r>
      <w:r w:rsidR="00BD57B6" w:rsidRPr="004C78D8">
        <w:t xml:space="preserve"> and high physical activity as covariates</w:t>
      </w:r>
      <w:r w:rsidR="00FD2EDB" w:rsidRPr="004C78D8">
        <w:t>.</w:t>
      </w:r>
      <w:r w:rsidR="00BD57B6" w:rsidRPr="004C78D8">
        <w:t xml:space="preserve"> Older individuals and women were likelier to experience a single MA fall. </w:t>
      </w:r>
      <w:r w:rsidR="00DE6E90" w:rsidRPr="004C78D8">
        <w:t>H</w:t>
      </w:r>
      <w:r w:rsidR="009E73C8" w:rsidRPr="004C78D8">
        <w:t xml:space="preserve">igh physical activity was associated with </w:t>
      </w:r>
      <w:r w:rsidR="009E73C8" w:rsidRPr="004C78D8">
        <w:rPr>
          <w:i/>
          <w:iCs/>
        </w:rPr>
        <w:t>greater</w:t>
      </w:r>
      <w:r w:rsidR="009E73C8" w:rsidRPr="004C78D8">
        <w:t xml:space="preserve"> risk, though this was not statistically significant at 95% confidence level. </w:t>
      </w:r>
      <w:r w:rsidR="00F95A70" w:rsidRPr="004C78D8">
        <w:t xml:space="preserve">It may be that high-intensity physical activity, despite its health benefits, leaves </w:t>
      </w:r>
      <w:r w:rsidR="00FC3C3B" w:rsidRPr="004C78D8">
        <w:t>older</w:t>
      </w:r>
      <w:r w:rsidR="00F95A70" w:rsidRPr="004C78D8">
        <w:t xml:space="preserve"> persons more susceptible to an injurious fall. </w:t>
      </w:r>
    </w:p>
    <w:tbl>
      <w:tblPr>
        <w:tblStyle w:val="TableGrid"/>
        <w:tblW w:w="0" w:type="auto"/>
        <w:tblInd w:w="-5" w:type="dxa"/>
        <w:tblLook w:val="04A0" w:firstRow="1" w:lastRow="0" w:firstColumn="1" w:lastColumn="0" w:noHBand="0" w:noVBand="1"/>
      </w:tblPr>
      <w:tblGrid>
        <w:gridCol w:w="2263"/>
        <w:gridCol w:w="1772"/>
        <w:gridCol w:w="1772"/>
      </w:tblGrid>
      <w:tr w:rsidR="00DE6BBB" w:rsidRPr="004C78D8" w14:paraId="56726365" w14:textId="77777777" w:rsidTr="00E35893">
        <w:tc>
          <w:tcPr>
            <w:tcW w:w="5807" w:type="dxa"/>
            <w:gridSpan w:val="3"/>
          </w:tcPr>
          <w:p w14:paraId="4B069441" w14:textId="514175C5" w:rsidR="00DE6BBB" w:rsidRPr="004C78D8" w:rsidRDefault="00DE6BBB" w:rsidP="00FB7C1F">
            <w:pPr>
              <w:jc w:val="left"/>
            </w:pPr>
            <w:r w:rsidRPr="004C78D8">
              <w:rPr>
                <w:b/>
                <w:bCs/>
              </w:rPr>
              <w:t xml:space="preserve">Table </w:t>
            </w:r>
            <w:r w:rsidR="00CC53AC" w:rsidRPr="004C78D8">
              <w:rPr>
                <w:b/>
                <w:bCs/>
              </w:rPr>
              <w:t>5</w:t>
            </w:r>
            <w:r w:rsidR="00E1094B" w:rsidRPr="004C78D8">
              <w:rPr>
                <w:b/>
                <w:bCs/>
              </w:rPr>
              <w:t>.</w:t>
            </w:r>
            <w:r w:rsidR="00935A0A" w:rsidRPr="004C78D8">
              <w:rPr>
                <w:b/>
                <w:bCs/>
              </w:rPr>
              <w:t>4</w:t>
            </w:r>
            <w:r w:rsidR="00CC53AC" w:rsidRPr="004C78D8">
              <w:rPr>
                <w:b/>
                <w:bCs/>
              </w:rPr>
              <w:t>1</w:t>
            </w:r>
            <w:r w:rsidRPr="004C78D8">
              <w:t xml:space="preserve"> Logistic regression coefficients for </w:t>
            </w:r>
            <w:r w:rsidR="00B779F7" w:rsidRPr="004C78D8">
              <w:t>incidence of MA fall given single</w:t>
            </w:r>
            <w:r w:rsidRPr="004C78D8">
              <w:t xml:space="preserve"> fall between ELSA Waves 4 and 5</w:t>
            </w:r>
            <w:r w:rsidR="007621F2" w:rsidRPr="004C78D8">
              <w:t>.</w:t>
            </w:r>
          </w:p>
        </w:tc>
      </w:tr>
      <w:tr w:rsidR="00DE6BBB" w:rsidRPr="004C78D8" w14:paraId="4BD6D75D" w14:textId="77777777" w:rsidTr="00E35893">
        <w:tc>
          <w:tcPr>
            <w:tcW w:w="5807" w:type="dxa"/>
            <w:gridSpan w:val="3"/>
          </w:tcPr>
          <w:p w14:paraId="7D5BF51A" w14:textId="15DE7C84" w:rsidR="00DE6BBB" w:rsidRPr="004C78D8" w:rsidRDefault="00DE6BBB" w:rsidP="00FB7C1F">
            <w:pPr>
              <w:jc w:val="left"/>
              <w:rPr>
                <w:b/>
                <w:bCs/>
                <w:i/>
                <w:iCs/>
                <w:sz w:val="20"/>
                <w:szCs w:val="20"/>
              </w:rPr>
            </w:pPr>
            <w:r w:rsidRPr="004C78D8">
              <w:rPr>
                <w:b/>
                <w:bCs/>
                <w:i/>
                <w:iCs/>
                <w:sz w:val="20"/>
                <w:szCs w:val="20"/>
              </w:rPr>
              <w:t xml:space="preserve">Dependent variable: Incidence of </w:t>
            </w:r>
            <w:r w:rsidR="00B779F7" w:rsidRPr="004C78D8">
              <w:rPr>
                <w:b/>
                <w:bCs/>
                <w:i/>
                <w:iCs/>
                <w:sz w:val="20"/>
                <w:szCs w:val="20"/>
              </w:rPr>
              <w:t>MA fall</w:t>
            </w:r>
            <w:r w:rsidRPr="004C78D8">
              <w:rPr>
                <w:b/>
                <w:bCs/>
                <w:i/>
                <w:iCs/>
                <w:sz w:val="20"/>
                <w:szCs w:val="20"/>
              </w:rPr>
              <w:t xml:space="preserve"> given </w:t>
            </w:r>
            <w:r w:rsidR="00B779F7" w:rsidRPr="004C78D8">
              <w:rPr>
                <w:b/>
                <w:bCs/>
                <w:i/>
                <w:iCs/>
                <w:sz w:val="20"/>
                <w:szCs w:val="20"/>
              </w:rPr>
              <w:t>single</w:t>
            </w:r>
            <w:r w:rsidRPr="004C78D8">
              <w:rPr>
                <w:b/>
                <w:bCs/>
                <w:i/>
                <w:iCs/>
                <w:sz w:val="20"/>
                <w:szCs w:val="20"/>
              </w:rPr>
              <w:t xml:space="preserve"> fall (N=</w:t>
            </w:r>
            <w:r w:rsidR="00B779F7" w:rsidRPr="004C78D8">
              <w:rPr>
                <w:b/>
                <w:bCs/>
                <w:i/>
                <w:iCs/>
                <w:sz w:val="20"/>
                <w:szCs w:val="20"/>
              </w:rPr>
              <w:t>984</w:t>
            </w:r>
            <w:r w:rsidRPr="004C78D8">
              <w:rPr>
                <w:b/>
                <w:bCs/>
                <w:i/>
                <w:iCs/>
                <w:sz w:val="20"/>
                <w:szCs w:val="20"/>
              </w:rPr>
              <w:t>)</w:t>
            </w:r>
            <w:r w:rsidRPr="004C78D8">
              <w:rPr>
                <w:b/>
                <w:bCs/>
                <w:i/>
                <w:iCs/>
                <w:sz w:val="20"/>
                <w:szCs w:val="20"/>
                <w:vertAlign w:val="superscript"/>
              </w:rPr>
              <w:t>1</w:t>
            </w:r>
          </w:p>
        </w:tc>
      </w:tr>
      <w:tr w:rsidR="00DE6BBB" w:rsidRPr="004C78D8" w14:paraId="74741739" w14:textId="77777777" w:rsidTr="00E35893">
        <w:tc>
          <w:tcPr>
            <w:tcW w:w="2263" w:type="dxa"/>
            <w:tcBorders>
              <w:bottom w:val="single" w:sz="4" w:space="0" w:color="auto"/>
            </w:tcBorders>
          </w:tcPr>
          <w:p w14:paraId="0C10DA70" w14:textId="77777777" w:rsidR="00DE6BBB" w:rsidRPr="004C78D8" w:rsidRDefault="00DE6BBB" w:rsidP="00FB7C1F">
            <w:pPr>
              <w:rPr>
                <w:b/>
                <w:bCs/>
                <w:sz w:val="20"/>
                <w:szCs w:val="20"/>
              </w:rPr>
            </w:pPr>
            <w:r w:rsidRPr="004C78D8">
              <w:rPr>
                <w:b/>
                <w:bCs/>
                <w:sz w:val="20"/>
                <w:szCs w:val="20"/>
              </w:rPr>
              <w:t>Explanatory variables</w:t>
            </w:r>
          </w:p>
        </w:tc>
        <w:tc>
          <w:tcPr>
            <w:tcW w:w="1772" w:type="dxa"/>
            <w:tcBorders>
              <w:bottom w:val="single" w:sz="4" w:space="0" w:color="auto"/>
            </w:tcBorders>
          </w:tcPr>
          <w:p w14:paraId="7D98B162" w14:textId="77777777" w:rsidR="00DE6BBB" w:rsidRPr="004C78D8" w:rsidRDefault="00DE6BBB" w:rsidP="00FB7C1F">
            <w:pPr>
              <w:jc w:val="center"/>
              <w:rPr>
                <w:b/>
                <w:bCs/>
                <w:sz w:val="20"/>
                <w:szCs w:val="20"/>
              </w:rPr>
            </w:pPr>
            <w:r w:rsidRPr="004C78D8">
              <w:rPr>
                <w:b/>
                <w:bCs/>
                <w:sz w:val="20"/>
                <w:szCs w:val="20"/>
              </w:rPr>
              <w:t>Coefficient (SE)</w:t>
            </w:r>
          </w:p>
        </w:tc>
        <w:tc>
          <w:tcPr>
            <w:tcW w:w="1772" w:type="dxa"/>
            <w:tcBorders>
              <w:bottom w:val="single" w:sz="4" w:space="0" w:color="auto"/>
            </w:tcBorders>
          </w:tcPr>
          <w:p w14:paraId="65D9ED5E" w14:textId="77777777" w:rsidR="00DE6BBB" w:rsidRPr="004C78D8" w:rsidRDefault="00DE6BBB" w:rsidP="00FB7C1F">
            <w:pPr>
              <w:jc w:val="center"/>
              <w:rPr>
                <w:b/>
                <w:bCs/>
                <w:sz w:val="20"/>
                <w:szCs w:val="20"/>
              </w:rPr>
            </w:pPr>
            <w:r w:rsidRPr="004C78D8">
              <w:rPr>
                <w:b/>
                <w:bCs/>
                <w:sz w:val="20"/>
                <w:szCs w:val="20"/>
              </w:rPr>
              <w:t>P-value</w:t>
            </w:r>
          </w:p>
        </w:tc>
      </w:tr>
      <w:tr w:rsidR="00DE6BBB" w:rsidRPr="004C78D8" w14:paraId="242D4882" w14:textId="77777777" w:rsidTr="00E35893">
        <w:tc>
          <w:tcPr>
            <w:tcW w:w="2263" w:type="dxa"/>
            <w:tcBorders>
              <w:bottom w:val="nil"/>
            </w:tcBorders>
          </w:tcPr>
          <w:p w14:paraId="24ABCB03" w14:textId="77777777" w:rsidR="00DE6BBB" w:rsidRPr="004C78D8" w:rsidRDefault="00DE6BBB" w:rsidP="00FB7C1F">
            <w:pPr>
              <w:rPr>
                <w:sz w:val="18"/>
                <w:szCs w:val="18"/>
              </w:rPr>
            </w:pPr>
            <w:r w:rsidRPr="004C78D8">
              <w:rPr>
                <w:sz w:val="18"/>
                <w:szCs w:val="18"/>
              </w:rPr>
              <w:t>Constant</w:t>
            </w:r>
          </w:p>
        </w:tc>
        <w:tc>
          <w:tcPr>
            <w:tcW w:w="1772" w:type="dxa"/>
            <w:tcBorders>
              <w:bottom w:val="nil"/>
            </w:tcBorders>
          </w:tcPr>
          <w:p w14:paraId="6D97FBBE" w14:textId="3F95A91D" w:rsidR="00DE6BBB" w:rsidRPr="004C78D8" w:rsidRDefault="00DE6BBB" w:rsidP="00FB7C1F">
            <w:pPr>
              <w:jc w:val="center"/>
              <w:rPr>
                <w:sz w:val="18"/>
                <w:szCs w:val="18"/>
              </w:rPr>
            </w:pPr>
            <w:r w:rsidRPr="004C78D8">
              <w:rPr>
                <w:sz w:val="18"/>
                <w:szCs w:val="18"/>
              </w:rPr>
              <w:t>-</w:t>
            </w:r>
            <w:r w:rsidR="008B0EAC" w:rsidRPr="004C78D8">
              <w:rPr>
                <w:sz w:val="18"/>
                <w:szCs w:val="18"/>
              </w:rPr>
              <w:t>4</w:t>
            </w:r>
            <w:r w:rsidRPr="004C78D8">
              <w:rPr>
                <w:sz w:val="18"/>
                <w:szCs w:val="18"/>
              </w:rPr>
              <w:t>.</w:t>
            </w:r>
            <w:r w:rsidR="008B0EAC" w:rsidRPr="004C78D8">
              <w:rPr>
                <w:sz w:val="18"/>
                <w:szCs w:val="18"/>
              </w:rPr>
              <w:t>636</w:t>
            </w:r>
            <w:r w:rsidRPr="004C78D8">
              <w:rPr>
                <w:sz w:val="18"/>
                <w:szCs w:val="18"/>
              </w:rPr>
              <w:t xml:space="preserve"> (0.</w:t>
            </w:r>
            <w:r w:rsidR="008B0EAC" w:rsidRPr="004C78D8">
              <w:rPr>
                <w:sz w:val="18"/>
                <w:szCs w:val="18"/>
              </w:rPr>
              <w:t>736</w:t>
            </w:r>
            <w:r w:rsidRPr="004C78D8">
              <w:rPr>
                <w:sz w:val="18"/>
                <w:szCs w:val="18"/>
              </w:rPr>
              <w:t>)</w:t>
            </w:r>
          </w:p>
        </w:tc>
        <w:tc>
          <w:tcPr>
            <w:tcW w:w="1772" w:type="dxa"/>
            <w:tcBorders>
              <w:bottom w:val="nil"/>
            </w:tcBorders>
          </w:tcPr>
          <w:p w14:paraId="7AA19710" w14:textId="77410B3B" w:rsidR="00DE6BBB" w:rsidRPr="004C78D8" w:rsidRDefault="008B0EAC" w:rsidP="00FB7C1F">
            <w:pPr>
              <w:jc w:val="center"/>
              <w:rPr>
                <w:sz w:val="18"/>
                <w:szCs w:val="18"/>
              </w:rPr>
            </w:pPr>
            <w:r w:rsidRPr="004C78D8">
              <w:rPr>
                <w:sz w:val="18"/>
                <w:szCs w:val="18"/>
              </w:rPr>
              <w:t>&lt;</w:t>
            </w:r>
            <w:r w:rsidR="00DE6BBB" w:rsidRPr="004C78D8">
              <w:rPr>
                <w:sz w:val="18"/>
                <w:szCs w:val="18"/>
              </w:rPr>
              <w:t>0.</w:t>
            </w:r>
            <w:r w:rsidRPr="004C78D8">
              <w:rPr>
                <w:sz w:val="18"/>
                <w:szCs w:val="18"/>
              </w:rPr>
              <w:t>00</w:t>
            </w:r>
            <w:r w:rsidR="00DE6BBB" w:rsidRPr="004C78D8">
              <w:rPr>
                <w:sz w:val="18"/>
                <w:szCs w:val="18"/>
              </w:rPr>
              <w:t>1</w:t>
            </w:r>
          </w:p>
        </w:tc>
      </w:tr>
      <w:tr w:rsidR="00DE6BBB" w:rsidRPr="004C78D8" w14:paraId="7B152FCE" w14:textId="77777777" w:rsidTr="00E35893">
        <w:tc>
          <w:tcPr>
            <w:tcW w:w="2263" w:type="dxa"/>
            <w:tcBorders>
              <w:top w:val="nil"/>
              <w:bottom w:val="nil"/>
            </w:tcBorders>
          </w:tcPr>
          <w:p w14:paraId="78437B44" w14:textId="77777777" w:rsidR="00DE6BBB" w:rsidRPr="004C78D8" w:rsidRDefault="00DE6BBB" w:rsidP="00FB7C1F">
            <w:pPr>
              <w:rPr>
                <w:sz w:val="18"/>
                <w:szCs w:val="18"/>
              </w:rPr>
            </w:pPr>
            <w:r w:rsidRPr="004C78D8">
              <w:rPr>
                <w:sz w:val="18"/>
                <w:szCs w:val="18"/>
              </w:rPr>
              <w:t>Age</w:t>
            </w:r>
          </w:p>
        </w:tc>
        <w:tc>
          <w:tcPr>
            <w:tcW w:w="1772" w:type="dxa"/>
            <w:tcBorders>
              <w:top w:val="nil"/>
              <w:bottom w:val="nil"/>
            </w:tcBorders>
          </w:tcPr>
          <w:p w14:paraId="4FDCC9F3" w14:textId="12DD3ECE" w:rsidR="00DE6BBB" w:rsidRPr="004C78D8" w:rsidRDefault="00DE6BBB" w:rsidP="00FB7C1F">
            <w:pPr>
              <w:jc w:val="center"/>
              <w:rPr>
                <w:sz w:val="18"/>
                <w:szCs w:val="18"/>
              </w:rPr>
            </w:pPr>
            <w:r w:rsidRPr="004C78D8">
              <w:rPr>
                <w:sz w:val="18"/>
                <w:szCs w:val="18"/>
              </w:rPr>
              <w:t>0.0</w:t>
            </w:r>
            <w:r w:rsidR="008B0EAC" w:rsidRPr="004C78D8">
              <w:rPr>
                <w:sz w:val="18"/>
                <w:szCs w:val="18"/>
              </w:rPr>
              <w:t>43</w:t>
            </w:r>
            <w:r w:rsidRPr="004C78D8">
              <w:rPr>
                <w:sz w:val="18"/>
                <w:szCs w:val="18"/>
              </w:rPr>
              <w:t xml:space="preserve"> (0.00</w:t>
            </w:r>
            <w:r w:rsidR="008B0EAC" w:rsidRPr="004C78D8">
              <w:rPr>
                <w:sz w:val="18"/>
                <w:szCs w:val="18"/>
              </w:rPr>
              <w:t>9</w:t>
            </w:r>
            <w:r w:rsidRPr="004C78D8">
              <w:rPr>
                <w:sz w:val="18"/>
                <w:szCs w:val="18"/>
              </w:rPr>
              <w:t>)</w:t>
            </w:r>
          </w:p>
        </w:tc>
        <w:tc>
          <w:tcPr>
            <w:tcW w:w="1772" w:type="dxa"/>
            <w:tcBorders>
              <w:top w:val="nil"/>
              <w:bottom w:val="nil"/>
            </w:tcBorders>
          </w:tcPr>
          <w:p w14:paraId="643C5EFE" w14:textId="071D925B" w:rsidR="00DE6BBB" w:rsidRPr="004C78D8" w:rsidRDefault="008B0EAC" w:rsidP="00FB7C1F">
            <w:pPr>
              <w:jc w:val="center"/>
              <w:rPr>
                <w:sz w:val="18"/>
                <w:szCs w:val="18"/>
              </w:rPr>
            </w:pPr>
            <w:r w:rsidRPr="004C78D8">
              <w:rPr>
                <w:sz w:val="18"/>
                <w:szCs w:val="18"/>
              </w:rPr>
              <w:t>&lt;0.001</w:t>
            </w:r>
          </w:p>
        </w:tc>
      </w:tr>
      <w:tr w:rsidR="008B0EAC" w:rsidRPr="004C78D8" w14:paraId="6B11E694" w14:textId="77777777" w:rsidTr="00E35893">
        <w:tc>
          <w:tcPr>
            <w:tcW w:w="2263" w:type="dxa"/>
            <w:tcBorders>
              <w:top w:val="nil"/>
              <w:bottom w:val="nil"/>
            </w:tcBorders>
          </w:tcPr>
          <w:p w14:paraId="0E2E2D86" w14:textId="6DFBABCB" w:rsidR="008B0EAC" w:rsidRPr="004C78D8" w:rsidRDefault="008B0EAC" w:rsidP="00FB7C1F">
            <w:pPr>
              <w:rPr>
                <w:sz w:val="18"/>
                <w:szCs w:val="18"/>
              </w:rPr>
            </w:pPr>
            <w:r w:rsidRPr="004C78D8">
              <w:rPr>
                <w:sz w:val="18"/>
                <w:szCs w:val="18"/>
              </w:rPr>
              <w:t>Female</w:t>
            </w:r>
          </w:p>
        </w:tc>
        <w:tc>
          <w:tcPr>
            <w:tcW w:w="1772" w:type="dxa"/>
            <w:tcBorders>
              <w:top w:val="nil"/>
              <w:bottom w:val="nil"/>
            </w:tcBorders>
          </w:tcPr>
          <w:p w14:paraId="1C952461" w14:textId="64D5200E" w:rsidR="008B0EAC" w:rsidRPr="004C78D8" w:rsidRDefault="008B0EAC" w:rsidP="00FB7C1F">
            <w:pPr>
              <w:jc w:val="center"/>
              <w:rPr>
                <w:sz w:val="18"/>
                <w:szCs w:val="18"/>
              </w:rPr>
            </w:pPr>
            <w:r w:rsidRPr="004C78D8">
              <w:rPr>
                <w:sz w:val="18"/>
                <w:szCs w:val="18"/>
              </w:rPr>
              <w:t>0</w:t>
            </w:r>
            <w:r w:rsidR="002358E4" w:rsidRPr="004C78D8">
              <w:rPr>
                <w:sz w:val="18"/>
                <w:szCs w:val="18"/>
              </w:rPr>
              <w:t>.</w:t>
            </w:r>
            <w:r w:rsidRPr="004C78D8">
              <w:rPr>
                <w:sz w:val="18"/>
                <w:szCs w:val="18"/>
              </w:rPr>
              <w:t>340 (0.149)</w:t>
            </w:r>
          </w:p>
        </w:tc>
        <w:tc>
          <w:tcPr>
            <w:tcW w:w="1772" w:type="dxa"/>
            <w:tcBorders>
              <w:top w:val="nil"/>
              <w:bottom w:val="nil"/>
            </w:tcBorders>
          </w:tcPr>
          <w:p w14:paraId="20A167A5" w14:textId="2861D2D0" w:rsidR="008B0EAC" w:rsidRPr="004C78D8" w:rsidRDefault="008B0EAC" w:rsidP="00FB7C1F">
            <w:pPr>
              <w:jc w:val="center"/>
              <w:rPr>
                <w:sz w:val="18"/>
                <w:szCs w:val="18"/>
              </w:rPr>
            </w:pPr>
            <w:r w:rsidRPr="004C78D8">
              <w:rPr>
                <w:sz w:val="18"/>
                <w:szCs w:val="18"/>
              </w:rPr>
              <w:t>0.023</w:t>
            </w:r>
          </w:p>
        </w:tc>
      </w:tr>
      <w:tr w:rsidR="00DE6BBB" w:rsidRPr="004C78D8" w14:paraId="0A0FE976" w14:textId="77777777" w:rsidTr="00E35893">
        <w:tc>
          <w:tcPr>
            <w:tcW w:w="2263" w:type="dxa"/>
            <w:tcBorders>
              <w:top w:val="nil"/>
              <w:bottom w:val="nil"/>
            </w:tcBorders>
          </w:tcPr>
          <w:p w14:paraId="6D8F9BEF" w14:textId="66672E6E" w:rsidR="00DE6BBB" w:rsidRPr="004C78D8" w:rsidRDefault="008B0EAC" w:rsidP="00FB7C1F">
            <w:pPr>
              <w:rPr>
                <w:sz w:val="18"/>
                <w:szCs w:val="18"/>
              </w:rPr>
            </w:pPr>
            <w:r w:rsidRPr="004C78D8">
              <w:rPr>
                <w:sz w:val="18"/>
                <w:szCs w:val="18"/>
              </w:rPr>
              <w:t>High physical activity</w:t>
            </w:r>
          </w:p>
        </w:tc>
        <w:tc>
          <w:tcPr>
            <w:tcW w:w="1772" w:type="dxa"/>
            <w:tcBorders>
              <w:top w:val="nil"/>
              <w:bottom w:val="nil"/>
            </w:tcBorders>
          </w:tcPr>
          <w:p w14:paraId="395E1FE1" w14:textId="0CB3EAD4" w:rsidR="00DE6BBB" w:rsidRPr="004C78D8" w:rsidRDefault="00DE6BBB" w:rsidP="00FB7C1F">
            <w:pPr>
              <w:jc w:val="center"/>
              <w:rPr>
                <w:sz w:val="18"/>
                <w:szCs w:val="18"/>
              </w:rPr>
            </w:pPr>
            <w:r w:rsidRPr="004C78D8">
              <w:rPr>
                <w:sz w:val="18"/>
                <w:szCs w:val="18"/>
              </w:rPr>
              <w:t>0.3</w:t>
            </w:r>
            <w:r w:rsidR="008B0EAC" w:rsidRPr="004C78D8">
              <w:rPr>
                <w:sz w:val="18"/>
                <w:szCs w:val="18"/>
              </w:rPr>
              <w:t>66</w:t>
            </w:r>
            <w:r w:rsidRPr="004C78D8">
              <w:rPr>
                <w:sz w:val="18"/>
                <w:szCs w:val="18"/>
              </w:rPr>
              <w:t xml:space="preserve"> (0.1</w:t>
            </w:r>
            <w:r w:rsidR="008B0EAC" w:rsidRPr="004C78D8">
              <w:rPr>
                <w:sz w:val="18"/>
                <w:szCs w:val="18"/>
              </w:rPr>
              <w:t>88</w:t>
            </w:r>
            <w:r w:rsidRPr="004C78D8">
              <w:rPr>
                <w:sz w:val="18"/>
                <w:szCs w:val="18"/>
              </w:rPr>
              <w:t>)</w:t>
            </w:r>
          </w:p>
        </w:tc>
        <w:tc>
          <w:tcPr>
            <w:tcW w:w="1772" w:type="dxa"/>
            <w:tcBorders>
              <w:top w:val="nil"/>
              <w:bottom w:val="nil"/>
            </w:tcBorders>
          </w:tcPr>
          <w:p w14:paraId="6AF9BE8C" w14:textId="2078022F" w:rsidR="00DE6BBB" w:rsidRPr="004C78D8" w:rsidRDefault="00DE6BBB" w:rsidP="00FB7C1F">
            <w:pPr>
              <w:jc w:val="center"/>
              <w:rPr>
                <w:sz w:val="18"/>
                <w:szCs w:val="18"/>
              </w:rPr>
            </w:pPr>
            <w:r w:rsidRPr="004C78D8">
              <w:rPr>
                <w:sz w:val="18"/>
                <w:szCs w:val="18"/>
              </w:rPr>
              <w:t>0.0</w:t>
            </w:r>
            <w:r w:rsidR="008B0EAC" w:rsidRPr="004C78D8">
              <w:rPr>
                <w:sz w:val="18"/>
                <w:szCs w:val="18"/>
              </w:rPr>
              <w:t>52</w:t>
            </w:r>
          </w:p>
        </w:tc>
      </w:tr>
      <w:tr w:rsidR="00DE6BBB" w:rsidRPr="004C78D8" w14:paraId="1A9B110B" w14:textId="77777777" w:rsidTr="00E35893">
        <w:tc>
          <w:tcPr>
            <w:tcW w:w="5807" w:type="dxa"/>
            <w:gridSpan w:val="3"/>
          </w:tcPr>
          <w:p w14:paraId="5495CA64" w14:textId="31B2D5BC" w:rsidR="00A87D23" w:rsidRPr="004C78D8" w:rsidRDefault="00D10D5E" w:rsidP="00FB7C1F">
            <w:pPr>
              <w:rPr>
                <w:sz w:val="18"/>
                <w:szCs w:val="18"/>
                <w:vertAlign w:val="superscript"/>
              </w:rPr>
            </w:pPr>
            <w:r w:rsidRPr="004C78D8">
              <w:rPr>
                <w:b/>
                <w:bCs/>
                <w:sz w:val="18"/>
                <w:szCs w:val="18"/>
              </w:rPr>
              <w:t>Abbreviation</w:t>
            </w:r>
            <w:r w:rsidR="00A87D23" w:rsidRPr="004C78D8">
              <w:rPr>
                <w:b/>
                <w:bCs/>
                <w:sz w:val="18"/>
                <w:szCs w:val="18"/>
              </w:rPr>
              <w:t xml:space="preserve">: </w:t>
            </w:r>
            <w:r w:rsidR="00A87D23" w:rsidRPr="004C78D8">
              <w:rPr>
                <w:sz w:val="18"/>
                <w:szCs w:val="18"/>
              </w:rPr>
              <w:t>ELSA: English Longitudinal Study of Ageing; MA fall: fall requiring medical attention; Ref: reference; SE: standard error</w:t>
            </w:r>
            <w:r w:rsidR="00A87D23" w:rsidRPr="004C78D8">
              <w:rPr>
                <w:sz w:val="18"/>
                <w:szCs w:val="18"/>
                <w:vertAlign w:val="superscript"/>
              </w:rPr>
              <w:t xml:space="preserve"> </w:t>
            </w:r>
          </w:p>
          <w:p w14:paraId="7779E6E0" w14:textId="118235B3" w:rsidR="00DE6BBB" w:rsidRPr="004C78D8" w:rsidRDefault="00DE6BBB" w:rsidP="00FB7C1F">
            <w:pPr>
              <w:rPr>
                <w:sz w:val="20"/>
                <w:szCs w:val="20"/>
              </w:rPr>
            </w:pPr>
            <w:r w:rsidRPr="004C78D8">
              <w:rPr>
                <w:sz w:val="18"/>
                <w:szCs w:val="18"/>
                <w:vertAlign w:val="superscript"/>
              </w:rPr>
              <w:t>1</w:t>
            </w:r>
            <w:r w:rsidRPr="004C78D8">
              <w:rPr>
                <w:sz w:val="18"/>
                <w:szCs w:val="18"/>
              </w:rPr>
              <w:t xml:space="preserve"> Sample restricted to those interviewed in both ELSA Waves 4 and 5 who experienced a</w:t>
            </w:r>
            <w:r w:rsidR="00B779F7" w:rsidRPr="004C78D8">
              <w:rPr>
                <w:sz w:val="18"/>
                <w:szCs w:val="18"/>
              </w:rPr>
              <w:t xml:space="preserve"> single fall</w:t>
            </w:r>
            <w:r w:rsidR="00E1094B" w:rsidRPr="004C78D8">
              <w:rPr>
                <w:sz w:val="18"/>
                <w:szCs w:val="18"/>
              </w:rPr>
              <w:t>.</w:t>
            </w:r>
          </w:p>
        </w:tc>
      </w:tr>
    </w:tbl>
    <w:p w14:paraId="78CF5329" w14:textId="5469AAFE" w:rsidR="00DE6BBB" w:rsidRPr="004C78D8" w:rsidRDefault="00DE6BBB" w:rsidP="00FB7C1F"/>
    <w:p w14:paraId="74D1B3D4" w14:textId="797A46E1" w:rsidR="00C46B7F" w:rsidRPr="004C78D8" w:rsidRDefault="00A94230" w:rsidP="00FB7C1F">
      <w:r w:rsidRPr="004C78D8">
        <w:t>Among recurrent fallers, women were likelier to experience at least one MA fall, while the coefficient on age was not significantly different from zero at 95% confidence level. In contrast to single fallers, histories of single MA fall and recurrent falls with MA fall were associated with greater risk of MA fall. Higher frailty was also associated with greater risk at a decreasing rate.</w:t>
      </w:r>
    </w:p>
    <w:tbl>
      <w:tblPr>
        <w:tblStyle w:val="TableGrid"/>
        <w:tblW w:w="0" w:type="auto"/>
        <w:tblInd w:w="-5" w:type="dxa"/>
        <w:tblLook w:val="04A0" w:firstRow="1" w:lastRow="0" w:firstColumn="1" w:lastColumn="0" w:noHBand="0" w:noVBand="1"/>
      </w:tblPr>
      <w:tblGrid>
        <w:gridCol w:w="2263"/>
        <w:gridCol w:w="1772"/>
        <w:gridCol w:w="1772"/>
      </w:tblGrid>
      <w:tr w:rsidR="00C46B7F" w:rsidRPr="004C78D8" w14:paraId="3EDE8E45" w14:textId="77777777" w:rsidTr="00E35893">
        <w:tc>
          <w:tcPr>
            <w:tcW w:w="5807" w:type="dxa"/>
            <w:gridSpan w:val="3"/>
          </w:tcPr>
          <w:p w14:paraId="785A64EB" w14:textId="2FF61538" w:rsidR="00C46B7F" w:rsidRPr="004C78D8" w:rsidRDefault="00C46B7F" w:rsidP="00FB7C1F">
            <w:pPr>
              <w:jc w:val="left"/>
            </w:pPr>
            <w:r w:rsidRPr="004C78D8">
              <w:rPr>
                <w:b/>
                <w:bCs/>
              </w:rPr>
              <w:t xml:space="preserve">Table </w:t>
            </w:r>
            <w:r w:rsidR="00CC53AC" w:rsidRPr="004C78D8">
              <w:rPr>
                <w:b/>
                <w:bCs/>
              </w:rPr>
              <w:t>5</w:t>
            </w:r>
            <w:r w:rsidR="00E1094B" w:rsidRPr="004C78D8">
              <w:rPr>
                <w:b/>
                <w:bCs/>
              </w:rPr>
              <w:t>.4</w:t>
            </w:r>
            <w:r w:rsidR="00CC53AC" w:rsidRPr="004C78D8">
              <w:rPr>
                <w:b/>
                <w:bCs/>
              </w:rPr>
              <w:t>2</w:t>
            </w:r>
            <w:r w:rsidRPr="004C78D8">
              <w:t xml:space="preserve"> Logistic regression coefficients for incidence of MA fall given recurrent falls between ELSA Waves 4 and 5</w:t>
            </w:r>
            <w:r w:rsidR="00193809" w:rsidRPr="004C78D8">
              <w:t>.</w:t>
            </w:r>
          </w:p>
        </w:tc>
      </w:tr>
      <w:tr w:rsidR="00C46B7F" w:rsidRPr="004C78D8" w14:paraId="03326E3B" w14:textId="77777777" w:rsidTr="00E35893">
        <w:tc>
          <w:tcPr>
            <w:tcW w:w="5807" w:type="dxa"/>
            <w:gridSpan w:val="3"/>
          </w:tcPr>
          <w:p w14:paraId="7B04D37D" w14:textId="38B64DFB" w:rsidR="00C46B7F" w:rsidRPr="004C78D8" w:rsidRDefault="00C46B7F" w:rsidP="00FB7C1F">
            <w:pPr>
              <w:jc w:val="left"/>
              <w:rPr>
                <w:b/>
                <w:bCs/>
                <w:i/>
                <w:iCs/>
                <w:sz w:val="20"/>
                <w:szCs w:val="20"/>
              </w:rPr>
            </w:pPr>
            <w:r w:rsidRPr="004C78D8">
              <w:rPr>
                <w:b/>
                <w:bCs/>
                <w:i/>
                <w:iCs/>
                <w:sz w:val="20"/>
                <w:szCs w:val="20"/>
              </w:rPr>
              <w:t>Dependent variable: Incidence of MA fall given recurrent falls (N=74</w:t>
            </w:r>
            <w:r w:rsidR="00F605E4" w:rsidRPr="004C78D8">
              <w:rPr>
                <w:b/>
                <w:bCs/>
                <w:i/>
                <w:iCs/>
                <w:sz w:val="20"/>
                <w:szCs w:val="20"/>
              </w:rPr>
              <w:t>7</w:t>
            </w:r>
            <w:r w:rsidRPr="004C78D8">
              <w:rPr>
                <w:b/>
                <w:bCs/>
                <w:i/>
                <w:iCs/>
                <w:sz w:val="20"/>
                <w:szCs w:val="20"/>
              </w:rPr>
              <w:t>)</w:t>
            </w:r>
            <w:r w:rsidRPr="004C78D8">
              <w:rPr>
                <w:b/>
                <w:bCs/>
                <w:i/>
                <w:iCs/>
                <w:sz w:val="20"/>
                <w:szCs w:val="20"/>
                <w:vertAlign w:val="superscript"/>
              </w:rPr>
              <w:t>1</w:t>
            </w:r>
          </w:p>
        </w:tc>
      </w:tr>
      <w:tr w:rsidR="00C46B7F" w:rsidRPr="004C78D8" w14:paraId="69B17AC5" w14:textId="77777777" w:rsidTr="00E35893">
        <w:tc>
          <w:tcPr>
            <w:tcW w:w="2263" w:type="dxa"/>
            <w:tcBorders>
              <w:bottom w:val="single" w:sz="4" w:space="0" w:color="auto"/>
            </w:tcBorders>
          </w:tcPr>
          <w:p w14:paraId="40BB7ED0" w14:textId="77777777" w:rsidR="00C46B7F" w:rsidRPr="004C78D8" w:rsidRDefault="00C46B7F" w:rsidP="00FB7C1F">
            <w:pPr>
              <w:rPr>
                <w:b/>
                <w:bCs/>
                <w:sz w:val="20"/>
                <w:szCs w:val="20"/>
              </w:rPr>
            </w:pPr>
            <w:r w:rsidRPr="004C78D8">
              <w:rPr>
                <w:b/>
                <w:bCs/>
                <w:sz w:val="20"/>
                <w:szCs w:val="20"/>
              </w:rPr>
              <w:t>Explanatory variables</w:t>
            </w:r>
          </w:p>
        </w:tc>
        <w:tc>
          <w:tcPr>
            <w:tcW w:w="1772" w:type="dxa"/>
            <w:tcBorders>
              <w:bottom w:val="single" w:sz="4" w:space="0" w:color="auto"/>
            </w:tcBorders>
          </w:tcPr>
          <w:p w14:paraId="73FCBFF0" w14:textId="77777777" w:rsidR="00C46B7F" w:rsidRPr="004C78D8" w:rsidRDefault="00C46B7F" w:rsidP="00FB7C1F">
            <w:pPr>
              <w:jc w:val="center"/>
              <w:rPr>
                <w:b/>
                <w:bCs/>
                <w:sz w:val="20"/>
                <w:szCs w:val="20"/>
              </w:rPr>
            </w:pPr>
            <w:r w:rsidRPr="004C78D8">
              <w:rPr>
                <w:b/>
                <w:bCs/>
                <w:sz w:val="20"/>
                <w:szCs w:val="20"/>
              </w:rPr>
              <w:t>Coefficient (SE)</w:t>
            </w:r>
          </w:p>
        </w:tc>
        <w:tc>
          <w:tcPr>
            <w:tcW w:w="1772" w:type="dxa"/>
            <w:tcBorders>
              <w:bottom w:val="single" w:sz="4" w:space="0" w:color="auto"/>
            </w:tcBorders>
          </w:tcPr>
          <w:p w14:paraId="425C4AE1" w14:textId="77777777" w:rsidR="00C46B7F" w:rsidRPr="004C78D8" w:rsidRDefault="00C46B7F" w:rsidP="00FB7C1F">
            <w:pPr>
              <w:jc w:val="center"/>
              <w:rPr>
                <w:b/>
                <w:bCs/>
                <w:sz w:val="20"/>
                <w:szCs w:val="20"/>
              </w:rPr>
            </w:pPr>
            <w:r w:rsidRPr="004C78D8">
              <w:rPr>
                <w:b/>
                <w:bCs/>
                <w:sz w:val="20"/>
                <w:szCs w:val="20"/>
              </w:rPr>
              <w:t>P-value</w:t>
            </w:r>
          </w:p>
        </w:tc>
      </w:tr>
      <w:tr w:rsidR="00C46B7F" w:rsidRPr="004C78D8" w14:paraId="6884F9F3" w14:textId="77777777" w:rsidTr="00E35893">
        <w:tc>
          <w:tcPr>
            <w:tcW w:w="2263" w:type="dxa"/>
            <w:tcBorders>
              <w:bottom w:val="nil"/>
            </w:tcBorders>
          </w:tcPr>
          <w:p w14:paraId="58BFBA05" w14:textId="77777777" w:rsidR="00C46B7F" w:rsidRPr="004C78D8" w:rsidRDefault="00C46B7F" w:rsidP="00FB7C1F">
            <w:pPr>
              <w:rPr>
                <w:sz w:val="18"/>
                <w:szCs w:val="18"/>
              </w:rPr>
            </w:pPr>
            <w:r w:rsidRPr="004C78D8">
              <w:rPr>
                <w:sz w:val="18"/>
                <w:szCs w:val="18"/>
              </w:rPr>
              <w:t>Constant</w:t>
            </w:r>
          </w:p>
        </w:tc>
        <w:tc>
          <w:tcPr>
            <w:tcW w:w="1772" w:type="dxa"/>
            <w:tcBorders>
              <w:bottom w:val="nil"/>
            </w:tcBorders>
          </w:tcPr>
          <w:p w14:paraId="4E504594" w14:textId="76894C9F" w:rsidR="00C46B7F" w:rsidRPr="004C78D8" w:rsidRDefault="00C46B7F" w:rsidP="00FB7C1F">
            <w:pPr>
              <w:jc w:val="center"/>
              <w:rPr>
                <w:sz w:val="18"/>
                <w:szCs w:val="18"/>
              </w:rPr>
            </w:pPr>
            <w:r w:rsidRPr="004C78D8">
              <w:rPr>
                <w:sz w:val="18"/>
                <w:szCs w:val="18"/>
              </w:rPr>
              <w:t>-</w:t>
            </w:r>
            <w:r w:rsidR="002876A8" w:rsidRPr="004C78D8">
              <w:rPr>
                <w:sz w:val="18"/>
                <w:szCs w:val="18"/>
              </w:rPr>
              <w:t>4</w:t>
            </w:r>
            <w:r w:rsidRPr="004C78D8">
              <w:rPr>
                <w:sz w:val="18"/>
                <w:szCs w:val="18"/>
              </w:rPr>
              <w:t>.</w:t>
            </w:r>
            <w:r w:rsidR="002876A8" w:rsidRPr="004C78D8">
              <w:rPr>
                <w:sz w:val="18"/>
                <w:szCs w:val="18"/>
              </w:rPr>
              <w:t>159</w:t>
            </w:r>
            <w:r w:rsidRPr="004C78D8">
              <w:rPr>
                <w:sz w:val="18"/>
                <w:szCs w:val="18"/>
              </w:rPr>
              <w:t xml:space="preserve"> (0.</w:t>
            </w:r>
            <w:r w:rsidR="002876A8" w:rsidRPr="004C78D8">
              <w:rPr>
                <w:sz w:val="18"/>
                <w:szCs w:val="18"/>
              </w:rPr>
              <w:t>811</w:t>
            </w:r>
            <w:r w:rsidRPr="004C78D8">
              <w:rPr>
                <w:sz w:val="18"/>
                <w:szCs w:val="18"/>
              </w:rPr>
              <w:t>)</w:t>
            </w:r>
          </w:p>
        </w:tc>
        <w:tc>
          <w:tcPr>
            <w:tcW w:w="1772" w:type="dxa"/>
            <w:tcBorders>
              <w:bottom w:val="nil"/>
            </w:tcBorders>
          </w:tcPr>
          <w:p w14:paraId="788A30F4" w14:textId="261475B4" w:rsidR="00C46B7F" w:rsidRPr="004C78D8" w:rsidRDefault="002876A8" w:rsidP="00FB7C1F">
            <w:pPr>
              <w:jc w:val="center"/>
              <w:rPr>
                <w:sz w:val="18"/>
                <w:szCs w:val="18"/>
              </w:rPr>
            </w:pPr>
            <w:r w:rsidRPr="004C78D8">
              <w:rPr>
                <w:sz w:val="18"/>
                <w:szCs w:val="18"/>
              </w:rPr>
              <w:t>&lt;0.001</w:t>
            </w:r>
          </w:p>
        </w:tc>
      </w:tr>
      <w:tr w:rsidR="00C46B7F" w:rsidRPr="004C78D8" w14:paraId="60BFD14C" w14:textId="77777777" w:rsidTr="00E35893">
        <w:tc>
          <w:tcPr>
            <w:tcW w:w="2263" w:type="dxa"/>
            <w:tcBorders>
              <w:top w:val="nil"/>
              <w:bottom w:val="nil"/>
            </w:tcBorders>
          </w:tcPr>
          <w:p w14:paraId="5075BC1D" w14:textId="77777777" w:rsidR="00C46B7F" w:rsidRPr="004C78D8" w:rsidRDefault="00C46B7F" w:rsidP="00FB7C1F">
            <w:pPr>
              <w:rPr>
                <w:sz w:val="18"/>
                <w:szCs w:val="18"/>
              </w:rPr>
            </w:pPr>
            <w:r w:rsidRPr="004C78D8">
              <w:rPr>
                <w:sz w:val="18"/>
                <w:szCs w:val="18"/>
              </w:rPr>
              <w:t>Age</w:t>
            </w:r>
          </w:p>
        </w:tc>
        <w:tc>
          <w:tcPr>
            <w:tcW w:w="1772" w:type="dxa"/>
            <w:tcBorders>
              <w:top w:val="nil"/>
              <w:bottom w:val="nil"/>
            </w:tcBorders>
          </w:tcPr>
          <w:p w14:paraId="4FBE8066" w14:textId="6AF03142" w:rsidR="00C46B7F" w:rsidRPr="004C78D8" w:rsidRDefault="00C46B7F" w:rsidP="00FB7C1F">
            <w:pPr>
              <w:jc w:val="center"/>
              <w:rPr>
                <w:sz w:val="18"/>
                <w:szCs w:val="18"/>
              </w:rPr>
            </w:pPr>
            <w:r w:rsidRPr="004C78D8">
              <w:rPr>
                <w:sz w:val="18"/>
                <w:szCs w:val="18"/>
              </w:rPr>
              <w:t>0.0</w:t>
            </w:r>
            <w:r w:rsidR="002876A8" w:rsidRPr="004C78D8">
              <w:rPr>
                <w:sz w:val="18"/>
                <w:szCs w:val="18"/>
              </w:rPr>
              <w:t>20</w:t>
            </w:r>
            <w:r w:rsidRPr="004C78D8">
              <w:rPr>
                <w:sz w:val="18"/>
                <w:szCs w:val="18"/>
              </w:rPr>
              <w:t xml:space="preserve"> (0.0</w:t>
            </w:r>
            <w:r w:rsidR="002876A8" w:rsidRPr="004C78D8">
              <w:rPr>
                <w:sz w:val="18"/>
                <w:szCs w:val="18"/>
              </w:rPr>
              <w:t>10</w:t>
            </w:r>
            <w:r w:rsidRPr="004C78D8">
              <w:rPr>
                <w:sz w:val="18"/>
                <w:szCs w:val="18"/>
              </w:rPr>
              <w:t>)</w:t>
            </w:r>
          </w:p>
        </w:tc>
        <w:tc>
          <w:tcPr>
            <w:tcW w:w="1772" w:type="dxa"/>
            <w:tcBorders>
              <w:top w:val="nil"/>
              <w:bottom w:val="nil"/>
            </w:tcBorders>
          </w:tcPr>
          <w:p w14:paraId="5A50970E" w14:textId="682BA968" w:rsidR="00C46B7F" w:rsidRPr="004C78D8" w:rsidRDefault="00C46B7F" w:rsidP="00FB7C1F">
            <w:pPr>
              <w:jc w:val="center"/>
              <w:rPr>
                <w:sz w:val="18"/>
                <w:szCs w:val="18"/>
              </w:rPr>
            </w:pPr>
            <w:r w:rsidRPr="004C78D8">
              <w:rPr>
                <w:sz w:val="18"/>
                <w:szCs w:val="18"/>
              </w:rPr>
              <w:t>0.0</w:t>
            </w:r>
            <w:r w:rsidR="002876A8" w:rsidRPr="004C78D8">
              <w:rPr>
                <w:sz w:val="18"/>
                <w:szCs w:val="18"/>
              </w:rPr>
              <w:t>63</w:t>
            </w:r>
          </w:p>
        </w:tc>
      </w:tr>
      <w:tr w:rsidR="002876A8" w:rsidRPr="004C78D8" w14:paraId="2490B26B" w14:textId="77777777" w:rsidTr="00E35893">
        <w:tc>
          <w:tcPr>
            <w:tcW w:w="2263" w:type="dxa"/>
            <w:tcBorders>
              <w:top w:val="nil"/>
              <w:bottom w:val="nil"/>
            </w:tcBorders>
          </w:tcPr>
          <w:p w14:paraId="00D21D20" w14:textId="122FD6B6" w:rsidR="002876A8" w:rsidRPr="004C78D8" w:rsidRDefault="002876A8" w:rsidP="00FB7C1F">
            <w:pPr>
              <w:rPr>
                <w:sz w:val="18"/>
                <w:szCs w:val="18"/>
              </w:rPr>
            </w:pPr>
            <w:r w:rsidRPr="004C78D8">
              <w:rPr>
                <w:sz w:val="18"/>
                <w:szCs w:val="18"/>
              </w:rPr>
              <w:t>Female</w:t>
            </w:r>
          </w:p>
        </w:tc>
        <w:tc>
          <w:tcPr>
            <w:tcW w:w="1772" w:type="dxa"/>
            <w:tcBorders>
              <w:top w:val="nil"/>
              <w:bottom w:val="nil"/>
            </w:tcBorders>
          </w:tcPr>
          <w:p w14:paraId="17B40B1A" w14:textId="17581435" w:rsidR="002876A8" w:rsidRPr="004C78D8" w:rsidRDefault="002876A8" w:rsidP="00FB7C1F">
            <w:pPr>
              <w:jc w:val="center"/>
              <w:rPr>
                <w:sz w:val="18"/>
                <w:szCs w:val="18"/>
              </w:rPr>
            </w:pPr>
            <w:r w:rsidRPr="004C78D8">
              <w:rPr>
                <w:sz w:val="18"/>
                <w:szCs w:val="18"/>
              </w:rPr>
              <w:t>0.426 (0.180)</w:t>
            </w:r>
          </w:p>
        </w:tc>
        <w:tc>
          <w:tcPr>
            <w:tcW w:w="1772" w:type="dxa"/>
            <w:tcBorders>
              <w:top w:val="nil"/>
              <w:bottom w:val="nil"/>
            </w:tcBorders>
          </w:tcPr>
          <w:p w14:paraId="711A99F1" w14:textId="57BE0E27" w:rsidR="002876A8" w:rsidRPr="004C78D8" w:rsidRDefault="002876A8" w:rsidP="00FB7C1F">
            <w:pPr>
              <w:jc w:val="center"/>
              <w:rPr>
                <w:sz w:val="18"/>
                <w:szCs w:val="18"/>
              </w:rPr>
            </w:pPr>
            <w:r w:rsidRPr="004C78D8">
              <w:rPr>
                <w:sz w:val="18"/>
                <w:szCs w:val="18"/>
              </w:rPr>
              <w:t>0.018</w:t>
            </w:r>
          </w:p>
        </w:tc>
      </w:tr>
      <w:tr w:rsidR="00C46B7F" w:rsidRPr="004C78D8" w14:paraId="5F2BA3CA" w14:textId="77777777" w:rsidTr="00E35893">
        <w:tc>
          <w:tcPr>
            <w:tcW w:w="2263" w:type="dxa"/>
            <w:tcBorders>
              <w:top w:val="nil"/>
              <w:bottom w:val="nil"/>
            </w:tcBorders>
          </w:tcPr>
          <w:p w14:paraId="39CD28F3" w14:textId="77777777" w:rsidR="00C46B7F" w:rsidRPr="004C78D8" w:rsidRDefault="00C46B7F" w:rsidP="00FB7C1F">
            <w:pPr>
              <w:rPr>
                <w:sz w:val="18"/>
                <w:szCs w:val="18"/>
              </w:rPr>
            </w:pPr>
            <w:r w:rsidRPr="004C78D8">
              <w:rPr>
                <w:sz w:val="18"/>
                <w:szCs w:val="18"/>
              </w:rPr>
              <w:t>Falls history (ref: No falls history)</w:t>
            </w:r>
          </w:p>
        </w:tc>
        <w:tc>
          <w:tcPr>
            <w:tcW w:w="1772" w:type="dxa"/>
            <w:tcBorders>
              <w:top w:val="nil"/>
              <w:bottom w:val="nil"/>
            </w:tcBorders>
          </w:tcPr>
          <w:p w14:paraId="0EA8D20A" w14:textId="77777777" w:rsidR="00C46B7F" w:rsidRPr="004C78D8" w:rsidRDefault="00C46B7F" w:rsidP="00FB7C1F">
            <w:pPr>
              <w:jc w:val="center"/>
              <w:rPr>
                <w:sz w:val="18"/>
                <w:szCs w:val="18"/>
              </w:rPr>
            </w:pPr>
          </w:p>
        </w:tc>
        <w:tc>
          <w:tcPr>
            <w:tcW w:w="1772" w:type="dxa"/>
            <w:tcBorders>
              <w:top w:val="nil"/>
              <w:bottom w:val="nil"/>
            </w:tcBorders>
          </w:tcPr>
          <w:p w14:paraId="7D8E825A" w14:textId="77777777" w:rsidR="00C46B7F" w:rsidRPr="004C78D8" w:rsidRDefault="00C46B7F" w:rsidP="00FB7C1F">
            <w:pPr>
              <w:jc w:val="center"/>
              <w:rPr>
                <w:sz w:val="18"/>
                <w:szCs w:val="18"/>
              </w:rPr>
            </w:pPr>
          </w:p>
        </w:tc>
      </w:tr>
      <w:tr w:rsidR="00C46B7F" w:rsidRPr="004C78D8" w14:paraId="2F24A374" w14:textId="77777777" w:rsidTr="00E35893">
        <w:tc>
          <w:tcPr>
            <w:tcW w:w="2263" w:type="dxa"/>
            <w:tcBorders>
              <w:top w:val="nil"/>
              <w:bottom w:val="nil"/>
            </w:tcBorders>
          </w:tcPr>
          <w:p w14:paraId="28376835" w14:textId="77777777" w:rsidR="00C46B7F" w:rsidRPr="004C78D8" w:rsidRDefault="00C46B7F" w:rsidP="00FB7C1F">
            <w:pPr>
              <w:jc w:val="right"/>
              <w:rPr>
                <w:sz w:val="18"/>
                <w:szCs w:val="18"/>
              </w:rPr>
            </w:pPr>
            <w:r w:rsidRPr="004C78D8">
              <w:rPr>
                <w:i/>
                <w:iCs/>
                <w:sz w:val="18"/>
                <w:szCs w:val="18"/>
              </w:rPr>
              <w:t>Single non-MA fall</w:t>
            </w:r>
          </w:p>
        </w:tc>
        <w:tc>
          <w:tcPr>
            <w:tcW w:w="1772" w:type="dxa"/>
            <w:tcBorders>
              <w:top w:val="nil"/>
              <w:bottom w:val="nil"/>
            </w:tcBorders>
          </w:tcPr>
          <w:p w14:paraId="70A57B57" w14:textId="20C95FE4" w:rsidR="00C46B7F" w:rsidRPr="004C78D8" w:rsidRDefault="00C46B7F" w:rsidP="00FB7C1F">
            <w:pPr>
              <w:jc w:val="center"/>
              <w:rPr>
                <w:sz w:val="18"/>
                <w:szCs w:val="18"/>
              </w:rPr>
            </w:pPr>
            <w:r w:rsidRPr="004C78D8">
              <w:rPr>
                <w:sz w:val="18"/>
                <w:szCs w:val="18"/>
              </w:rPr>
              <w:t>0.</w:t>
            </w:r>
            <w:r w:rsidR="002876A8" w:rsidRPr="004C78D8">
              <w:rPr>
                <w:sz w:val="18"/>
                <w:szCs w:val="18"/>
              </w:rPr>
              <w:t>152</w:t>
            </w:r>
            <w:r w:rsidRPr="004C78D8">
              <w:rPr>
                <w:sz w:val="18"/>
                <w:szCs w:val="18"/>
              </w:rPr>
              <w:t xml:space="preserve"> (0.</w:t>
            </w:r>
            <w:r w:rsidR="002876A8" w:rsidRPr="004C78D8">
              <w:rPr>
                <w:sz w:val="18"/>
                <w:szCs w:val="18"/>
              </w:rPr>
              <w:t>268</w:t>
            </w:r>
            <w:r w:rsidRPr="004C78D8">
              <w:rPr>
                <w:sz w:val="18"/>
                <w:szCs w:val="18"/>
              </w:rPr>
              <w:t>)</w:t>
            </w:r>
          </w:p>
        </w:tc>
        <w:tc>
          <w:tcPr>
            <w:tcW w:w="1772" w:type="dxa"/>
            <w:tcBorders>
              <w:top w:val="nil"/>
              <w:bottom w:val="nil"/>
            </w:tcBorders>
          </w:tcPr>
          <w:p w14:paraId="17799A64" w14:textId="646E184A" w:rsidR="00C46B7F" w:rsidRPr="004C78D8" w:rsidRDefault="00C46B7F" w:rsidP="00FB7C1F">
            <w:pPr>
              <w:jc w:val="center"/>
              <w:rPr>
                <w:sz w:val="18"/>
                <w:szCs w:val="18"/>
              </w:rPr>
            </w:pPr>
            <w:r w:rsidRPr="004C78D8">
              <w:rPr>
                <w:sz w:val="18"/>
                <w:szCs w:val="18"/>
              </w:rPr>
              <w:t>0.</w:t>
            </w:r>
            <w:r w:rsidR="002876A8" w:rsidRPr="004C78D8">
              <w:rPr>
                <w:sz w:val="18"/>
                <w:szCs w:val="18"/>
              </w:rPr>
              <w:t>570</w:t>
            </w:r>
          </w:p>
        </w:tc>
      </w:tr>
      <w:tr w:rsidR="00C46B7F" w:rsidRPr="004C78D8" w14:paraId="5CE8CBFE" w14:textId="77777777" w:rsidTr="00E35893">
        <w:tc>
          <w:tcPr>
            <w:tcW w:w="2263" w:type="dxa"/>
            <w:tcBorders>
              <w:top w:val="nil"/>
              <w:bottom w:val="nil"/>
            </w:tcBorders>
          </w:tcPr>
          <w:p w14:paraId="2B9F6AAA" w14:textId="77777777" w:rsidR="00C46B7F" w:rsidRPr="004C78D8" w:rsidRDefault="00C46B7F" w:rsidP="00FB7C1F">
            <w:pPr>
              <w:jc w:val="right"/>
              <w:rPr>
                <w:sz w:val="18"/>
                <w:szCs w:val="18"/>
              </w:rPr>
            </w:pPr>
            <w:r w:rsidRPr="004C78D8">
              <w:rPr>
                <w:i/>
                <w:iCs/>
                <w:sz w:val="18"/>
                <w:szCs w:val="18"/>
              </w:rPr>
              <w:t>Recurrent non-MA falls</w:t>
            </w:r>
          </w:p>
        </w:tc>
        <w:tc>
          <w:tcPr>
            <w:tcW w:w="1772" w:type="dxa"/>
            <w:tcBorders>
              <w:top w:val="nil"/>
              <w:bottom w:val="nil"/>
            </w:tcBorders>
          </w:tcPr>
          <w:p w14:paraId="1DCBC737" w14:textId="12CCEDFA" w:rsidR="00C46B7F" w:rsidRPr="004C78D8" w:rsidRDefault="002876A8" w:rsidP="00FB7C1F">
            <w:pPr>
              <w:jc w:val="center"/>
              <w:rPr>
                <w:sz w:val="18"/>
                <w:szCs w:val="18"/>
              </w:rPr>
            </w:pPr>
            <w:r w:rsidRPr="004C78D8">
              <w:rPr>
                <w:sz w:val="18"/>
                <w:szCs w:val="18"/>
              </w:rPr>
              <w:t>0</w:t>
            </w:r>
            <w:r w:rsidR="00C46B7F" w:rsidRPr="004C78D8">
              <w:rPr>
                <w:sz w:val="18"/>
                <w:szCs w:val="18"/>
              </w:rPr>
              <w:t>.</w:t>
            </w:r>
            <w:r w:rsidRPr="004C78D8">
              <w:rPr>
                <w:sz w:val="18"/>
                <w:szCs w:val="18"/>
              </w:rPr>
              <w:t>118</w:t>
            </w:r>
            <w:r w:rsidR="00C46B7F" w:rsidRPr="004C78D8">
              <w:rPr>
                <w:sz w:val="18"/>
                <w:szCs w:val="18"/>
              </w:rPr>
              <w:t xml:space="preserve"> (0.</w:t>
            </w:r>
            <w:r w:rsidRPr="004C78D8">
              <w:rPr>
                <w:sz w:val="18"/>
                <w:szCs w:val="18"/>
              </w:rPr>
              <w:t>207</w:t>
            </w:r>
            <w:r w:rsidR="00C46B7F" w:rsidRPr="004C78D8">
              <w:rPr>
                <w:sz w:val="18"/>
                <w:szCs w:val="18"/>
              </w:rPr>
              <w:t>)</w:t>
            </w:r>
          </w:p>
        </w:tc>
        <w:tc>
          <w:tcPr>
            <w:tcW w:w="1772" w:type="dxa"/>
            <w:tcBorders>
              <w:top w:val="nil"/>
              <w:bottom w:val="nil"/>
            </w:tcBorders>
          </w:tcPr>
          <w:p w14:paraId="2DA63916" w14:textId="618809D1" w:rsidR="00C46B7F" w:rsidRPr="004C78D8" w:rsidRDefault="002876A8" w:rsidP="00FB7C1F">
            <w:pPr>
              <w:jc w:val="center"/>
              <w:rPr>
                <w:sz w:val="18"/>
                <w:szCs w:val="18"/>
              </w:rPr>
            </w:pPr>
            <w:r w:rsidRPr="004C78D8">
              <w:rPr>
                <w:sz w:val="18"/>
                <w:szCs w:val="18"/>
              </w:rPr>
              <w:t>0.570</w:t>
            </w:r>
          </w:p>
        </w:tc>
      </w:tr>
      <w:tr w:rsidR="00C46B7F" w:rsidRPr="004C78D8" w14:paraId="47341688" w14:textId="77777777" w:rsidTr="00E35893">
        <w:tc>
          <w:tcPr>
            <w:tcW w:w="2263" w:type="dxa"/>
            <w:tcBorders>
              <w:top w:val="nil"/>
              <w:bottom w:val="nil"/>
            </w:tcBorders>
          </w:tcPr>
          <w:p w14:paraId="69E6C8A8" w14:textId="77777777" w:rsidR="00C46B7F" w:rsidRPr="004C78D8" w:rsidRDefault="00C46B7F" w:rsidP="00FB7C1F">
            <w:pPr>
              <w:jc w:val="right"/>
              <w:rPr>
                <w:sz w:val="18"/>
                <w:szCs w:val="18"/>
              </w:rPr>
            </w:pPr>
            <w:r w:rsidRPr="004C78D8">
              <w:rPr>
                <w:i/>
                <w:iCs/>
                <w:sz w:val="18"/>
                <w:szCs w:val="18"/>
              </w:rPr>
              <w:t>Single MA fall</w:t>
            </w:r>
          </w:p>
        </w:tc>
        <w:tc>
          <w:tcPr>
            <w:tcW w:w="1772" w:type="dxa"/>
            <w:tcBorders>
              <w:top w:val="nil"/>
              <w:bottom w:val="nil"/>
            </w:tcBorders>
          </w:tcPr>
          <w:p w14:paraId="55ACB8C3" w14:textId="71553061" w:rsidR="00C46B7F" w:rsidRPr="004C78D8" w:rsidRDefault="00C46B7F" w:rsidP="00FB7C1F">
            <w:pPr>
              <w:jc w:val="center"/>
              <w:rPr>
                <w:sz w:val="18"/>
                <w:szCs w:val="18"/>
              </w:rPr>
            </w:pPr>
            <w:r w:rsidRPr="004C78D8">
              <w:rPr>
                <w:sz w:val="18"/>
                <w:szCs w:val="18"/>
              </w:rPr>
              <w:t>0.</w:t>
            </w:r>
            <w:r w:rsidR="002876A8" w:rsidRPr="004C78D8">
              <w:rPr>
                <w:sz w:val="18"/>
                <w:szCs w:val="18"/>
              </w:rPr>
              <w:t>983</w:t>
            </w:r>
            <w:r w:rsidRPr="004C78D8">
              <w:rPr>
                <w:sz w:val="18"/>
                <w:szCs w:val="18"/>
              </w:rPr>
              <w:t xml:space="preserve"> (0.</w:t>
            </w:r>
            <w:r w:rsidR="002876A8" w:rsidRPr="004C78D8">
              <w:rPr>
                <w:sz w:val="18"/>
                <w:szCs w:val="18"/>
              </w:rPr>
              <w:t>383</w:t>
            </w:r>
            <w:r w:rsidRPr="004C78D8">
              <w:rPr>
                <w:sz w:val="18"/>
                <w:szCs w:val="18"/>
              </w:rPr>
              <w:t>)</w:t>
            </w:r>
          </w:p>
        </w:tc>
        <w:tc>
          <w:tcPr>
            <w:tcW w:w="1772" w:type="dxa"/>
            <w:tcBorders>
              <w:top w:val="nil"/>
              <w:bottom w:val="nil"/>
            </w:tcBorders>
          </w:tcPr>
          <w:p w14:paraId="5E38E19C" w14:textId="0E241ABA" w:rsidR="00C46B7F" w:rsidRPr="004C78D8" w:rsidRDefault="00C46B7F" w:rsidP="00FB7C1F">
            <w:pPr>
              <w:jc w:val="center"/>
              <w:rPr>
                <w:sz w:val="18"/>
                <w:szCs w:val="18"/>
              </w:rPr>
            </w:pPr>
            <w:r w:rsidRPr="004C78D8">
              <w:rPr>
                <w:sz w:val="18"/>
                <w:szCs w:val="18"/>
              </w:rPr>
              <w:t>0.</w:t>
            </w:r>
            <w:r w:rsidR="002876A8" w:rsidRPr="004C78D8">
              <w:rPr>
                <w:sz w:val="18"/>
                <w:szCs w:val="18"/>
              </w:rPr>
              <w:t>010</w:t>
            </w:r>
          </w:p>
        </w:tc>
      </w:tr>
      <w:tr w:rsidR="00C46B7F" w:rsidRPr="004C78D8" w14:paraId="5C536069" w14:textId="77777777" w:rsidTr="00E35893">
        <w:tc>
          <w:tcPr>
            <w:tcW w:w="2263" w:type="dxa"/>
            <w:tcBorders>
              <w:top w:val="nil"/>
              <w:bottom w:val="nil"/>
            </w:tcBorders>
          </w:tcPr>
          <w:p w14:paraId="345138B9" w14:textId="77777777" w:rsidR="00C46B7F" w:rsidRPr="004C78D8" w:rsidRDefault="00C46B7F" w:rsidP="00FB7C1F">
            <w:pPr>
              <w:jc w:val="right"/>
              <w:rPr>
                <w:sz w:val="18"/>
                <w:szCs w:val="18"/>
              </w:rPr>
            </w:pPr>
            <w:r w:rsidRPr="004C78D8">
              <w:rPr>
                <w:i/>
                <w:iCs/>
                <w:sz w:val="18"/>
                <w:szCs w:val="18"/>
              </w:rPr>
              <w:t>Recurrent falls with MA</w:t>
            </w:r>
          </w:p>
        </w:tc>
        <w:tc>
          <w:tcPr>
            <w:tcW w:w="1772" w:type="dxa"/>
            <w:tcBorders>
              <w:top w:val="nil"/>
              <w:bottom w:val="nil"/>
            </w:tcBorders>
          </w:tcPr>
          <w:p w14:paraId="2AF9D877" w14:textId="5B72A963" w:rsidR="00C46B7F" w:rsidRPr="004C78D8" w:rsidRDefault="002876A8" w:rsidP="00FB7C1F">
            <w:pPr>
              <w:jc w:val="center"/>
              <w:rPr>
                <w:sz w:val="18"/>
                <w:szCs w:val="18"/>
              </w:rPr>
            </w:pPr>
            <w:r w:rsidRPr="004C78D8">
              <w:rPr>
                <w:sz w:val="18"/>
                <w:szCs w:val="18"/>
              </w:rPr>
              <w:t>0.912</w:t>
            </w:r>
            <w:r w:rsidR="00C46B7F" w:rsidRPr="004C78D8">
              <w:rPr>
                <w:sz w:val="18"/>
                <w:szCs w:val="18"/>
              </w:rPr>
              <w:t xml:space="preserve"> (0.</w:t>
            </w:r>
            <w:r w:rsidRPr="004C78D8">
              <w:rPr>
                <w:sz w:val="18"/>
                <w:szCs w:val="18"/>
              </w:rPr>
              <w:t>310</w:t>
            </w:r>
            <w:r w:rsidR="00C46B7F" w:rsidRPr="004C78D8">
              <w:rPr>
                <w:sz w:val="18"/>
                <w:szCs w:val="18"/>
              </w:rPr>
              <w:t>)</w:t>
            </w:r>
          </w:p>
        </w:tc>
        <w:tc>
          <w:tcPr>
            <w:tcW w:w="1772" w:type="dxa"/>
            <w:tcBorders>
              <w:top w:val="nil"/>
              <w:bottom w:val="nil"/>
            </w:tcBorders>
          </w:tcPr>
          <w:p w14:paraId="4DF21D1A" w14:textId="3A9640F7" w:rsidR="00C46B7F" w:rsidRPr="004C78D8" w:rsidRDefault="00C46B7F" w:rsidP="00FB7C1F">
            <w:pPr>
              <w:jc w:val="center"/>
              <w:rPr>
                <w:sz w:val="18"/>
                <w:szCs w:val="18"/>
              </w:rPr>
            </w:pPr>
            <w:r w:rsidRPr="004C78D8">
              <w:rPr>
                <w:sz w:val="18"/>
                <w:szCs w:val="18"/>
              </w:rPr>
              <w:t>0.00</w:t>
            </w:r>
            <w:r w:rsidR="002876A8" w:rsidRPr="004C78D8">
              <w:rPr>
                <w:sz w:val="18"/>
                <w:szCs w:val="18"/>
              </w:rPr>
              <w:t>3</w:t>
            </w:r>
          </w:p>
        </w:tc>
      </w:tr>
      <w:tr w:rsidR="00C46B7F" w:rsidRPr="004C78D8" w14:paraId="5E56961C" w14:textId="77777777" w:rsidTr="00E35893">
        <w:tc>
          <w:tcPr>
            <w:tcW w:w="2263" w:type="dxa"/>
            <w:tcBorders>
              <w:top w:val="nil"/>
              <w:bottom w:val="nil"/>
            </w:tcBorders>
          </w:tcPr>
          <w:p w14:paraId="05A6808D" w14:textId="77777777" w:rsidR="00C46B7F" w:rsidRPr="004C78D8" w:rsidRDefault="00C46B7F" w:rsidP="00FB7C1F">
            <w:pPr>
              <w:rPr>
                <w:sz w:val="18"/>
                <w:szCs w:val="18"/>
              </w:rPr>
            </w:pPr>
            <w:r w:rsidRPr="004C78D8">
              <w:rPr>
                <w:sz w:val="18"/>
                <w:szCs w:val="18"/>
              </w:rPr>
              <w:t>Frailty (0-100)</w:t>
            </w:r>
          </w:p>
        </w:tc>
        <w:tc>
          <w:tcPr>
            <w:tcW w:w="1772" w:type="dxa"/>
            <w:tcBorders>
              <w:top w:val="nil"/>
              <w:bottom w:val="nil"/>
            </w:tcBorders>
          </w:tcPr>
          <w:p w14:paraId="5F9E63FB" w14:textId="114AD479" w:rsidR="00C46B7F" w:rsidRPr="004C78D8" w:rsidRDefault="00C46B7F" w:rsidP="00FB7C1F">
            <w:pPr>
              <w:jc w:val="center"/>
              <w:rPr>
                <w:sz w:val="18"/>
                <w:szCs w:val="18"/>
              </w:rPr>
            </w:pPr>
            <w:r w:rsidRPr="004C78D8">
              <w:rPr>
                <w:sz w:val="18"/>
                <w:szCs w:val="18"/>
              </w:rPr>
              <w:t>0.0</w:t>
            </w:r>
            <w:r w:rsidR="002876A8" w:rsidRPr="004C78D8">
              <w:rPr>
                <w:sz w:val="18"/>
                <w:szCs w:val="18"/>
              </w:rPr>
              <w:t>91</w:t>
            </w:r>
            <w:r w:rsidRPr="004C78D8">
              <w:rPr>
                <w:sz w:val="18"/>
                <w:szCs w:val="18"/>
              </w:rPr>
              <w:t xml:space="preserve"> (0.0</w:t>
            </w:r>
            <w:r w:rsidR="002876A8" w:rsidRPr="004C78D8">
              <w:rPr>
                <w:sz w:val="18"/>
                <w:szCs w:val="18"/>
              </w:rPr>
              <w:t>28</w:t>
            </w:r>
            <w:r w:rsidRPr="004C78D8">
              <w:rPr>
                <w:sz w:val="18"/>
                <w:szCs w:val="18"/>
              </w:rPr>
              <w:t>)</w:t>
            </w:r>
          </w:p>
        </w:tc>
        <w:tc>
          <w:tcPr>
            <w:tcW w:w="1772" w:type="dxa"/>
            <w:tcBorders>
              <w:top w:val="nil"/>
              <w:bottom w:val="nil"/>
            </w:tcBorders>
          </w:tcPr>
          <w:p w14:paraId="5A6E8E51" w14:textId="7EC5F0CF" w:rsidR="00C46B7F" w:rsidRPr="004C78D8" w:rsidRDefault="00C46B7F" w:rsidP="00FB7C1F">
            <w:pPr>
              <w:jc w:val="center"/>
              <w:rPr>
                <w:sz w:val="18"/>
                <w:szCs w:val="18"/>
              </w:rPr>
            </w:pPr>
            <w:r w:rsidRPr="004C78D8">
              <w:rPr>
                <w:sz w:val="18"/>
                <w:szCs w:val="18"/>
              </w:rPr>
              <w:t>0.001</w:t>
            </w:r>
          </w:p>
        </w:tc>
      </w:tr>
      <w:tr w:rsidR="00C46B7F" w:rsidRPr="004C78D8" w14:paraId="60A2DD3C" w14:textId="77777777" w:rsidTr="00E35893">
        <w:tc>
          <w:tcPr>
            <w:tcW w:w="2263" w:type="dxa"/>
            <w:tcBorders>
              <w:top w:val="nil"/>
              <w:bottom w:val="nil"/>
            </w:tcBorders>
          </w:tcPr>
          <w:p w14:paraId="3AC9A476" w14:textId="77777777" w:rsidR="00C46B7F" w:rsidRPr="004C78D8" w:rsidRDefault="00C46B7F" w:rsidP="00FB7C1F">
            <w:pPr>
              <w:rPr>
                <w:sz w:val="18"/>
                <w:szCs w:val="18"/>
              </w:rPr>
            </w:pPr>
            <w:r w:rsidRPr="004C78D8">
              <w:rPr>
                <w:sz w:val="18"/>
                <w:szCs w:val="18"/>
              </w:rPr>
              <w:t>Frailty^2</w:t>
            </w:r>
          </w:p>
        </w:tc>
        <w:tc>
          <w:tcPr>
            <w:tcW w:w="1772" w:type="dxa"/>
            <w:tcBorders>
              <w:top w:val="nil"/>
              <w:bottom w:val="nil"/>
            </w:tcBorders>
          </w:tcPr>
          <w:p w14:paraId="64B7191C" w14:textId="47E6BC77" w:rsidR="00C46B7F" w:rsidRPr="004C78D8" w:rsidRDefault="00C46B7F" w:rsidP="00FB7C1F">
            <w:pPr>
              <w:jc w:val="center"/>
              <w:rPr>
                <w:sz w:val="18"/>
                <w:szCs w:val="18"/>
              </w:rPr>
            </w:pPr>
            <w:r w:rsidRPr="004C78D8">
              <w:rPr>
                <w:sz w:val="18"/>
                <w:szCs w:val="18"/>
              </w:rPr>
              <w:t>-0.00</w:t>
            </w:r>
            <w:r w:rsidR="002876A8" w:rsidRPr="004C78D8">
              <w:rPr>
                <w:sz w:val="18"/>
                <w:szCs w:val="18"/>
              </w:rPr>
              <w:t>2</w:t>
            </w:r>
            <w:r w:rsidRPr="004C78D8">
              <w:rPr>
                <w:sz w:val="18"/>
                <w:szCs w:val="18"/>
              </w:rPr>
              <w:t xml:space="preserve"> (0.000</w:t>
            </w:r>
            <w:r w:rsidR="002876A8" w:rsidRPr="004C78D8">
              <w:rPr>
                <w:sz w:val="18"/>
                <w:szCs w:val="18"/>
              </w:rPr>
              <w:t>6</w:t>
            </w:r>
            <w:r w:rsidRPr="004C78D8">
              <w:rPr>
                <w:sz w:val="18"/>
                <w:szCs w:val="18"/>
              </w:rPr>
              <w:t>)</w:t>
            </w:r>
          </w:p>
        </w:tc>
        <w:tc>
          <w:tcPr>
            <w:tcW w:w="1772" w:type="dxa"/>
            <w:tcBorders>
              <w:top w:val="nil"/>
              <w:bottom w:val="nil"/>
            </w:tcBorders>
          </w:tcPr>
          <w:p w14:paraId="5F4B23A2" w14:textId="3B554610" w:rsidR="00C46B7F" w:rsidRPr="004C78D8" w:rsidRDefault="00C46B7F" w:rsidP="00FB7C1F">
            <w:pPr>
              <w:jc w:val="center"/>
              <w:rPr>
                <w:sz w:val="18"/>
                <w:szCs w:val="18"/>
              </w:rPr>
            </w:pPr>
            <w:r w:rsidRPr="004C78D8">
              <w:rPr>
                <w:sz w:val="18"/>
                <w:szCs w:val="18"/>
              </w:rPr>
              <w:t>0.00</w:t>
            </w:r>
            <w:r w:rsidR="002876A8" w:rsidRPr="004C78D8">
              <w:rPr>
                <w:sz w:val="18"/>
                <w:szCs w:val="18"/>
              </w:rPr>
              <w:t>2</w:t>
            </w:r>
          </w:p>
        </w:tc>
      </w:tr>
      <w:tr w:rsidR="00C46B7F" w:rsidRPr="004C78D8" w14:paraId="5A29E420" w14:textId="77777777" w:rsidTr="00E35893">
        <w:tc>
          <w:tcPr>
            <w:tcW w:w="5807" w:type="dxa"/>
            <w:gridSpan w:val="3"/>
          </w:tcPr>
          <w:p w14:paraId="64AFF262" w14:textId="04FAF8BF" w:rsidR="00670444" w:rsidRPr="004C78D8" w:rsidRDefault="00D10D5E" w:rsidP="00FB7C1F">
            <w:pPr>
              <w:rPr>
                <w:sz w:val="18"/>
                <w:szCs w:val="18"/>
                <w:vertAlign w:val="superscript"/>
              </w:rPr>
            </w:pPr>
            <w:r w:rsidRPr="004C78D8">
              <w:rPr>
                <w:b/>
                <w:bCs/>
                <w:sz w:val="18"/>
                <w:szCs w:val="18"/>
              </w:rPr>
              <w:t>Abbreviation</w:t>
            </w:r>
            <w:r w:rsidR="00670444" w:rsidRPr="004C78D8">
              <w:rPr>
                <w:b/>
                <w:bCs/>
                <w:sz w:val="18"/>
                <w:szCs w:val="18"/>
              </w:rPr>
              <w:t xml:space="preserve">: </w:t>
            </w:r>
            <w:r w:rsidR="00670444" w:rsidRPr="004C78D8">
              <w:rPr>
                <w:sz w:val="18"/>
                <w:szCs w:val="18"/>
              </w:rPr>
              <w:t>ELSA: English Longitudinal Study of Ageing; MA fall: fall requiring medical attention; Ref: reference; SE: standard error</w:t>
            </w:r>
            <w:r w:rsidR="00670444" w:rsidRPr="004C78D8">
              <w:rPr>
                <w:sz w:val="18"/>
                <w:szCs w:val="18"/>
                <w:vertAlign w:val="superscript"/>
              </w:rPr>
              <w:t xml:space="preserve"> </w:t>
            </w:r>
          </w:p>
          <w:p w14:paraId="19F153D5" w14:textId="4CF27444" w:rsidR="00C46B7F" w:rsidRPr="004C78D8" w:rsidRDefault="00C46B7F" w:rsidP="00FB7C1F">
            <w:pPr>
              <w:rPr>
                <w:sz w:val="20"/>
                <w:szCs w:val="20"/>
              </w:rPr>
            </w:pPr>
            <w:r w:rsidRPr="004C78D8">
              <w:rPr>
                <w:sz w:val="18"/>
                <w:szCs w:val="18"/>
                <w:vertAlign w:val="superscript"/>
              </w:rPr>
              <w:t>1</w:t>
            </w:r>
            <w:r w:rsidRPr="004C78D8">
              <w:rPr>
                <w:sz w:val="18"/>
                <w:szCs w:val="18"/>
              </w:rPr>
              <w:t xml:space="preserve"> Sample restricted to those interviewed in both ELSA Waves 4 and 5 who experienced </w:t>
            </w:r>
            <w:r w:rsidR="002B0176" w:rsidRPr="004C78D8">
              <w:rPr>
                <w:sz w:val="18"/>
                <w:szCs w:val="18"/>
              </w:rPr>
              <w:t>recurrent</w:t>
            </w:r>
            <w:r w:rsidRPr="004C78D8">
              <w:rPr>
                <w:sz w:val="18"/>
                <w:szCs w:val="18"/>
              </w:rPr>
              <w:t xml:space="preserve"> fall</w:t>
            </w:r>
            <w:r w:rsidR="002B0176" w:rsidRPr="004C78D8">
              <w:rPr>
                <w:sz w:val="18"/>
                <w:szCs w:val="18"/>
              </w:rPr>
              <w:t>s</w:t>
            </w:r>
            <w:r w:rsidR="00E1094B" w:rsidRPr="004C78D8">
              <w:rPr>
                <w:sz w:val="18"/>
                <w:szCs w:val="18"/>
              </w:rPr>
              <w:t>.</w:t>
            </w:r>
          </w:p>
        </w:tc>
      </w:tr>
    </w:tbl>
    <w:p w14:paraId="337DB375" w14:textId="77777777" w:rsidR="00C46B7F" w:rsidRPr="004C78D8" w:rsidRDefault="00C46B7F" w:rsidP="00FB7C1F"/>
    <w:p w14:paraId="10991895" w14:textId="0B149218" w:rsidR="00E63B21" w:rsidRPr="004C78D8" w:rsidRDefault="00E63B21" w:rsidP="00FB7C1F">
      <w:r w:rsidRPr="004C78D8">
        <w:t xml:space="preserve">Unlike single fallers who experience an MA fall, recurrent fallers can experience multiple MA falls. However, ELSA </w:t>
      </w:r>
      <w:r w:rsidR="00F571CB" w:rsidRPr="004C78D8">
        <w:t xml:space="preserve">does </w:t>
      </w:r>
      <w:r w:rsidRPr="004C78D8">
        <w:t xml:space="preserve">not </w:t>
      </w:r>
      <w:r w:rsidR="00F571CB" w:rsidRPr="004C78D8">
        <w:t xml:space="preserve">report </w:t>
      </w:r>
      <w:r w:rsidRPr="004C78D8">
        <w:t xml:space="preserve">the number of MA falls. Hence, the proportion of MA fallers who experienced recurrent MA falls was obtained from literature. The falls prevention model </w:t>
      </w:r>
      <w:r w:rsidR="00B956C9" w:rsidRPr="004C78D8">
        <w:t>Howland (2015) targeted</w:t>
      </w:r>
      <w:r w:rsidRPr="004C78D8">
        <w:t xml:space="preserve"> persons aged 65</w:t>
      </w:r>
      <w:r w:rsidR="00B956C9" w:rsidRPr="004C78D8">
        <w:t>+</w:t>
      </w:r>
      <w:r w:rsidRPr="004C78D8">
        <w:t xml:space="preserve"> in the US who were admitted to </w:t>
      </w:r>
      <w:r w:rsidR="00B956C9" w:rsidRPr="004C78D8">
        <w:t>ED</w:t>
      </w:r>
      <w:r w:rsidRPr="004C78D8">
        <w:t xml:space="preserve"> for </w:t>
      </w:r>
      <w:r w:rsidR="00B956C9" w:rsidRPr="004C78D8">
        <w:t>MA fall</w:t>
      </w:r>
      <w:r w:rsidRPr="004C78D8">
        <w:t xml:space="preserve"> </w:t>
      </w:r>
      <w:r w:rsidR="00F571CB" w:rsidRPr="004C78D8">
        <w:fldChar w:fldCharType="begin">
          <w:fldData xml:space="preserve">PEVuZE5vdGU+PENpdGU+PEF1dGhvcj5Ib3dsYW5kPC9BdXRob3I+PFllYXI+MjAxNTwvWWVhcj48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==
</w:fldData>
        </w:fldChar>
      </w:r>
      <w:r w:rsidR="00C630FC" w:rsidRPr="004C78D8">
        <w:instrText xml:space="preserve"> ADDIN EN.CITE </w:instrText>
      </w:r>
      <w:r w:rsidR="00C630FC" w:rsidRPr="004C78D8">
        <w:fldChar w:fldCharType="begin">
          <w:fldData xml:space="preserve">PEVuZE5vdGU+PENpdGU+PEF1dGhvcj5Ib3dsYW5kPC9BdXRob3I+PFllYXI+MjAxNTwvWWVhcj48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==
</w:fldData>
        </w:fldChar>
      </w:r>
      <w:r w:rsidR="00C630FC" w:rsidRPr="004C78D8">
        <w:instrText xml:space="preserve"> ADDIN EN.CITE.DATA </w:instrText>
      </w:r>
      <w:r w:rsidR="00C630FC" w:rsidRPr="004C78D8">
        <w:fldChar w:fldCharType="end"/>
      </w:r>
      <w:r w:rsidR="00F571CB" w:rsidRPr="004C78D8">
        <w:fldChar w:fldCharType="separate"/>
      </w:r>
      <w:r w:rsidR="00C630FC" w:rsidRPr="004C78D8">
        <w:rPr>
          <w:noProof/>
        </w:rPr>
        <w:t>[200]</w:t>
      </w:r>
      <w:r w:rsidR="00F571CB" w:rsidRPr="004C78D8">
        <w:fldChar w:fldCharType="end"/>
      </w:r>
      <w:r w:rsidRPr="004C78D8">
        <w:t xml:space="preserve">. The </w:t>
      </w:r>
      <w:r w:rsidR="00CE4BA2" w:rsidRPr="004C78D8">
        <w:t>model</w:t>
      </w:r>
      <w:r w:rsidRPr="004C78D8">
        <w:t xml:space="preserve"> incorporated a parameter from a primary survey that 18% of </w:t>
      </w:r>
      <w:r w:rsidR="00B956C9" w:rsidRPr="004C78D8">
        <w:t>MA fallers</w:t>
      </w:r>
      <w:r w:rsidRPr="004C78D8">
        <w:t xml:space="preserve"> admitted to ED are readmitted for the same cause within one year. </w:t>
      </w:r>
      <w:r w:rsidR="00721EBD" w:rsidRPr="004C78D8">
        <w:t>Between ELSA Waves 4-5, 7.7% of the cohort experienced at least one MA fall. Of these, 57.7% were single MA fallers</w:t>
      </w:r>
      <w:r w:rsidR="007557D4" w:rsidRPr="004C78D8">
        <w:t>, while the other 42.3% were recurrent fallers with one or more MA falls. If 18% of all MA fallers experienced recurrent MA falls – and these individuals are necessarily found among recurrent fallers with one or more MA falls – then calculation shows that 42.6% of those in th</w:t>
      </w:r>
      <w:r w:rsidR="00EE3A32" w:rsidRPr="004C78D8">
        <w:t>is</w:t>
      </w:r>
      <w:r w:rsidR="007557D4" w:rsidRPr="004C78D8">
        <w:t xml:space="preserve"> group would have experienced recurrent MA falls. This parameter was incorporated without any adjustment since there w</w:t>
      </w:r>
      <w:r w:rsidR="00735E45" w:rsidRPr="004C78D8">
        <w:t>as</w:t>
      </w:r>
      <w:r w:rsidR="007557D4" w:rsidRPr="004C78D8">
        <w:t xml:space="preserve"> no </w:t>
      </w:r>
      <w:r w:rsidR="00735E45" w:rsidRPr="004C78D8">
        <w:t>information</w:t>
      </w:r>
      <w:r w:rsidR="007557D4" w:rsidRPr="004C78D8">
        <w:t xml:space="preserve"> on its variation (e.g., by frailt</w:t>
      </w:r>
      <w:r w:rsidR="00CE4BA2" w:rsidRPr="004C78D8">
        <w:t>y</w:t>
      </w:r>
      <w:r w:rsidR="007557D4" w:rsidRPr="004C78D8">
        <w:t>).</w:t>
      </w:r>
    </w:p>
    <w:p w14:paraId="267EE41A" w14:textId="0E98D91E" w:rsidR="00730E34" w:rsidRPr="004C78D8" w:rsidRDefault="00604975" w:rsidP="00FB7C1F">
      <w:r w:rsidRPr="004C78D8">
        <w:t xml:space="preserve">In Section </w:t>
      </w:r>
      <w:r w:rsidR="00CC53AC" w:rsidRPr="004C78D8">
        <w:t>5</w:t>
      </w:r>
      <w:r w:rsidRPr="004C78D8">
        <w:t>.</w:t>
      </w:r>
      <w:r w:rsidR="00CB5FB7" w:rsidRPr="004C78D8">
        <w:t>2</w:t>
      </w:r>
      <w:r w:rsidRPr="004C78D8">
        <w:t>.4.</w:t>
      </w:r>
      <w:r w:rsidR="00CE4BA2" w:rsidRPr="004C78D8">
        <w:t>2</w:t>
      </w:r>
      <w:r w:rsidRPr="004C78D8">
        <w:t xml:space="preserve"> where access to reactive intervention was parameteri</w:t>
      </w:r>
      <w:r w:rsidR="00CE4BA2" w:rsidRPr="004C78D8">
        <w:t>s</w:t>
      </w:r>
      <w:r w:rsidRPr="004C78D8">
        <w:t xml:space="preserve">ed, </w:t>
      </w:r>
      <w:r w:rsidR="00517E45" w:rsidRPr="004C78D8">
        <w:t>i</w:t>
      </w:r>
      <w:r w:rsidR="00102396" w:rsidRPr="004C78D8">
        <w:t xml:space="preserve">t was noted </w:t>
      </w:r>
      <w:r w:rsidR="00517E45" w:rsidRPr="004C78D8">
        <w:t xml:space="preserve">that the </w:t>
      </w:r>
      <w:r w:rsidR="00102396" w:rsidRPr="004C78D8">
        <w:t xml:space="preserve">access rate </w:t>
      </w:r>
      <w:r w:rsidR="00517E45" w:rsidRPr="004C78D8">
        <w:t xml:space="preserve">under </w:t>
      </w:r>
      <w:r w:rsidR="00B956C9" w:rsidRPr="004C78D8">
        <w:t>UC</w:t>
      </w:r>
      <w:r w:rsidR="00517E45" w:rsidRPr="004C78D8">
        <w:t xml:space="preserve"> from </w:t>
      </w:r>
      <w:r w:rsidR="00102396" w:rsidRPr="004C78D8">
        <w:t xml:space="preserve">ELSA </w:t>
      </w:r>
      <w:r w:rsidR="00517E45" w:rsidRPr="004C78D8">
        <w:t xml:space="preserve">Wave 4 likely represented the proportion of MA fallers who </w:t>
      </w:r>
      <w:r w:rsidR="00B956C9" w:rsidRPr="004C78D8">
        <w:t>a</w:t>
      </w:r>
      <w:r w:rsidR="00517E45" w:rsidRPr="004C78D8">
        <w:t>re hospitali</w:t>
      </w:r>
      <w:r w:rsidR="00CE4BA2" w:rsidRPr="004C78D8">
        <w:t>s</w:t>
      </w:r>
      <w:r w:rsidR="00517E45" w:rsidRPr="004C78D8">
        <w:t xml:space="preserve">ed. </w:t>
      </w:r>
      <w:r w:rsidR="00743124" w:rsidRPr="004C78D8">
        <w:t xml:space="preserve">Hence, this proportion stratified by frailty category – </w:t>
      </w:r>
      <w:r w:rsidR="00102396" w:rsidRPr="004C78D8">
        <w:t>9.</w:t>
      </w:r>
      <w:r w:rsidR="00743124" w:rsidRPr="004C78D8">
        <w:t>6</w:t>
      </w:r>
      <w:r w:rsidR="00102396" w:rsidRPr="004C78D8">
        <w:t xml:space="preserve">% </w:t>
      </w:r>
      <w:r w:rsidR="00743124" w:rsidRPr="004C78D8">
        <w:t>for</w:t>
      </w:r>
      <w:r w:rsidR="00102396" w:rsidRPr="004C78D8">
        <w:t xml:space="preserve"> Fit; 23.</w:t>
      </w:r>
      <w:r w:rsidR="00743124" w:rsidRPr="004C78D8">
        <w:t>5</w:t>
      </w:r>
      <w:r w:rsidR="00102396" w:rsidRPr="004C78D8">
        <w:t xml:space="preserve">% </w:t>
      </w:r>
      <w:r w:rsidR="00743124" w:rsidRPr="004C78D8">
        <w:t>for</w:t>
      </w:r>
      <w:r w:rsidR="00102396" w:rsidRPr="004C78D8">
        <w:t xml:space="preserve"> Mild; 51.7% </w:t>
      </w:r>
      <w:r w:rsidR="00743124" w:rsidRPr="004C78D8">
        <w:t>for</w:t>
      </w:r>
      <w:r w:rsidR="00102396" w:rsidRPr="004C78D8">
        <w:t xml:space="preserve"> Moderate; and 72.7% </w:t>
      </w:r>
      <w:r w:rsidR="00743124" w:rsidRPr="004C78D8">
        <w:t>for</w:t>
      </w:r>
      <w:r w:rsidR="00102396" w:rsidRPr="004C78D8">
        <w:t xml:space="preserve"> Severe</w:t>
      </w:r>
      <w:r w:rsidR="00743124" w:rsidRPr="004C78D8">
        <w:t xml:space="preserve"> – was incorporated in the model to estimate the proportion of (single or recurrent) MA fallers who were hospitali</w:t>
      </w:r>
      <w:r w:rsidR="005D13ED" w:rsidRPr="004C78D8">
        <w:t>s</w:t>
      </w:r>
      <w:r w:rsidR="00743124" w:rsidRPr="004C78D8">
        <w:t xml:space="preserve">ed. </w:t>
      </w:r>
      <w:r w:rsidR="00000041" w:rsidRPr="004C78D8">
        <w:t xml:space="preserve">For recurrent MA fallers, this proportion was applied again to determine the nature of the second MA fall. </w:t>
      </w:r>
      <w:r w:rsidR="003A290D" w:rsidRPr="004C78D8">
        <w:t xml:space="preserve">Hence, </w:t>
      </w:r>
      <w:r w:rsidR="00D1203C" w:rsidRPr="004C78D8">
        <w:t xml:space="preserve">the nature of the first MA fall was </w:t>
      </w:r>
      <w:r w:rsidR="003A290D" w:rsidRPr="004C78D8">
        <w:t xml:space="preserve">assumed </w:t>
      </w:r>
      <w:r w:rsidR="00D1203C" w:rsidRPr="004C78D8">
        <w:t xml:space="preserve">not to influence </w:t>
      </w:r>
      <w:r w:rsidR="003A290D" w:rsidRPr="004C78D8">
        <w:t>the risk of the second MA fall requiring hospitali</w:t>
      </w:r>
      <w:r w:rsidR="005D13ED" w:rsidRPr="004C78D8">
        <w:t>s</w:t>
      </w:r>
      <w:r w:rsidR="003A290D" w:rsidRPr="004C78D8">
        <w:t xml:space="preserve">ation. </w:t>
      </w:r>
    </w:p>
    <w:p w14:paraId="42F214E6" w14:textId="18CE0A39" w:rsidR="005174A3" w:rsidRPr="004C78D8" w:rsidRDefault="00CC53AC" w:rsidP="00FB7C1F">
      <w:pPr>
        <w:pStyle w:val="Heading4"/>
      </w:pPr>
      <w:r w:rsidRPr="004C78D8">
        <w:t>5</w:t>
      </w:r>
      <w:r w:rsidR="005174A3" w:rsidRPr="004C78D8">
        <w:t>.</w:t>
      </w:r>
      <w:r w:rsidR="00332ADA" w:rsidRPr="004C78D8">
        <w:t>2</w:t>
      </w:r>
      <w:r w:rsidR="005174A3" w:rsidRPr="004C78D8">
        <w:t>.</w:t>
      </w:r>
      <w:r w:rsidR="00480861" w:rsidRPr="004C78D8">
        <w:t>5</w:t>
      </w:r>
      <w:r w:rsidR="005174A3" w:rsidRPr="004C78D8">
        <w:t xml:space="preserve">.3 Acute </w:t>
      </w:r>
      <w:r w:rsidR="0014650B" w:rsidRPr="004C78D8">
        <w:t>QALY</w:t>
      </w:r>
      <w:r w:rsidR="005174A3" w:rsidRPr="004C78D8">
        <w:t xml:space="preserve"> loss due to </w:t>
      </w:r>
      <w:r w:rsidR="001E1221" w:rsidRPr="004C78D8">
        <w:t>falls</w:t>
      </w:r>
    </w:p>
    <w:p w14:paraId="32C7002D" w14:textId="596A482E" w:rsidR="00F605E4" w:rsidRPr="004C78D8" w:rsidRDefault="00B956C9" w:rsidP="00FB7C1F">
      <w:r w:rsidRPr="004C78D8">
        <w:t>I</w:t>
      </w:r>
      <w:r w:rsidR="00F605E4" w:rsidRPr="004C78D8">
        <w:t xml:space="preserve">t was discussed </w:t>
      </w:r>
      <w:r w:rsidRPr="004C78D8">
        <w:t xml:space="preserve">in Section </w:t>
      </w:r>
      <w:r w:rsidR="00CC53AC" w:rsidRPr="004C78D8">
        <w:t>5</w:t>
      </w:r>
      <w:r w:rsidRPr="004C78D8">
        <w:t>.</w:t>
      </w:r>
      <w:r w:rsidR="00CB5FB7" w:rsidRPr="004C78D8">
        <w:t>2</w:t>
      </w:r>
      <w:r w:rsidRPr="004C78D8">
        <w:t xml:space="preserve">.3.1 </w:t>
      </w:r>
      <w:r w:rsidR="00F605E4" w:rsidRPr="004C78D8">
        <w:t xml:space="preserve">that the EQ-5D decrements associated with falls history are unlikely to capture the acute impact </w:t>
      </w:r>
      <w:r w:rsidRPr="004C78D8">
        <w:t xml:space="preserve">of falls. </w:t>
      </w:r>
      <w:r w:rsidR="00F605E4" w:rsidRPr="004C78D8">
        <w:t xml:space="preserve">Therefore, </w:t>
      </w:r>
      <w:r w:rsidRPr="004C78D8">
        <w:t>this section</w:t>
      </w:r>
      <w:r w:rsidR="00F605E4" w:rsidRPr="004C78D8">
        <w:t xml:space="preserve"> incorporate</w:t>
      </w:r>
      <w:r w:rsidRPr="004C78D8">
        <w:t>s</w:t>
      </w:r>
      <w:r w:rsidR="00F605E4" w:rsidRPr="004C78D8">
        <w:t xml:space="preserve"> the latter </w:t>
      </w:r>
      <w:r w:rsidR="00EE3A32" w:rsidRPr="004C78D8">
        <w:t>separately</w:t>
      </w:r>
      <w:r w:rsidR="00F605E4" w:rsidRPr="004C78D8">
        <w:t xml:space="preserve">. </w:t>
      </w:r>
      <w:r w:rsidR="0071489E" w:rsidRPr="004C78D8">
        <w:t xml:space="preserve">Table </w:t>
      </w:r>
      <w:r w:rsidR="00CC53AC" w:rsidRPr="004C78D8">
        <w:t>5</w:t>
      </w:r>
      <w:r w:rsidR="00EE3BB0" w:rsidRPr="004C78D8">
        <w:t>.4</w:t>
      </w:r>
      <w:r w:rsidR="00CC53AC" w:rsidRPr="004C78D8">
        <w:t>3</w:t>
      </w:r>
      <w:r w:rsidR="0071489E" w:rsidRPr="004C78D8">
        <w:t xml:space="preserve"> shows the point estimates for acute QALY loss obtained from literature.</w:t>
      </w:r>
    </w:p>
    <w:tbl>
      <w:tblPr>
        <w:tblStyle w:val="TableGrid"/>
        <w:tblW w:w="0" w:type="auto"/>
        <w:tblInd w:w="-5" w:type="dxa"/>
        <w:tblLook w:val="04A0" w:firstRow="1" w:lastRow="0" w:firstColumn="1" w:lastColumn="0" w:noHBand="0" w:noVBand="1"/>
      </w:tblPr>
      <w:tblGrid>
        <w:gridCol w:w="2547"/>
        <w:gridCol w:w="1701"/>
        <w:gridCol w:w="2551"/>
      </w:tblGrid>
      <w:tr w:rsidR="008B6E1E" w:rsidRPr="004C78D8" w14:paraId="127F86B3" w14:textId="77777777" w:rsidTr="00E35893">
        <w:tc>
          <w:tcPr>
            <w:tcW w:w="6799" w:type="dxa"/>
            <w:gridSpan w:val="3"/>
          </w:tcPr>
          <w:p w14:paraId="6A030FBC" w14:textId="43F13753" w:rsidR="008B6E1E" w:rsidRPr="004C78D8" w:rsidRDefault="008B6E1E" w:rsidP="00FB7C1F">
            <w:pPr>
              <w:jc w:val="left"/>
            </w:pPr>
            <w:r w:rsidRPr="004C78D8">
              <w:rPr>
                <w:b/>
                <w:bCs/>
              </w:rPr>
              <w:t xml:space="preserve">Table </w:t>
            </w:r>
            <w:r w:rsidR="00CC53AC" w:rsidRPr="004C78D8">
              <w:rPr>
                <w:b/>
                <w:bCs/>
              </w:rPr>
              <w:t>5</w:t>
            </w:r>
            <w:r w:rsidR="005D13ED" w:rsidRPr="004C78D8">
              <w:rPr>
                <w:b/>
                <w:bCs/>
              </w:rPr>
              <w:t>.4</w:t>
            </w:r>
            <w:r w:rsidR="00CC53AC" w:rsidRPr="004C78D8">
              <w:rPr>
                <w:b/>
                <w:bCs/>
              </w:rPr>
              <w:t>3</w:t>
            </w:r>
            <w:r w:rsidRPr="004C78D8">
              <w:t xml:space="preserve"> Acute QALY loss associated with fall types</w:t>
            </w:r>
            <w:r w:rsidR="00B956C9" w:rsidRPr="004C78D8">
              <w:t>.</w:t>
            </w:r>
          </w:p>
        </w:tc>
      </w:tr>
      <w:tr w:rsidR="00EE3BB0" w:rsidRPr="004C78D8" w14:paraId="036C2AD8" w14:textId="77777777" w:rsidTr="00E35893">
        <w:tc>
          <w:tcPr>
            <w:tcW w:w="2547" w:type="dxa"/>
            <w:tcBorders>
              <w:bottom w:val="single" w:sz="4" w:space="0" w:color="auto"/>
            </w:tcBorders>
          </w:tcPr>
          <w:p w14:paraId="415F4DFB" w14:textId="6BE0F3D5" w:rsidR="00EE3BB0" w:rsidRPr="004C78D8" w:rsidRDefault="00EE3BB0" w:rsidP="00FB7C1F">
            <w:pPr>
              <w:jc w:val="left"/>
              <w:rPr>
                <w:b/>
                <w:bCs/>
                <w:sz w:val="20"/>
                <w:szCs w:val="20"/>
              </w:rPr>
            </w:pPr>
            <w:r w:rsidRPr="004C78D8">
              <w:rPr>
                <w:b/>
                <w:bCs/>
                <w:sz w:val="20"/>
                <w:szCs w:val="20"/>
              </w:rPr>
              <w:t>Fall type</w:t>
            </w:r>
          </w:p>
        </w:tc>
        <w:tc>
          <w:tcPr>
            <w:tcW w:w="1701" w:type="dxa"/>
            <w:tcBorders>
              <w:bottom w:val="single" w:sz="4" w:space="0" w:color="auto"/>
            </w:tcBorders>
          </w:tcPr>
          <w:p w14:paraId="1A1BA5FD" w14:textId="6CE12FD7" w:rsidR="00EE3BB0" w:rsidRPr="004C78D8" w:rsidRDefault="00EE3BB0" w:rsidP="00FB7C1F">
            <w:pPr>
              <w:jc w:val="left"/>
              <w:rPr>
                <w:b/>
                <w:bCs/>
                <w:sz w:val="20"/>
                <w:szCs w:val="20"/>
              </w:rPr>
            </w:pPr>
            <w:r w:rsidRPr="004C78D8">
              <w:rPr>
                <w:b/>
                <w:bCs/>
                <w:sz w:val="20"/>
                <w:szCs w:val="20"/>
              </w:rPr>
              <w:t>QALY loss</w:t>
            </w:r>
          </w:p>
        </w:tc>
        <w:tc>
          <w:tcPr>
            <w:tcW w:w="2551" w:type="dxa"/>
            <w:tcBorders>
              <w:bottom w:val="single" w:sz="4" w:space="0" w:color="auto"/>
            </w:tcBorders>
          </w:tcPr>
          <w:p w14:paraId="31BB8F10" w14:textId="3CB9B1F4" w:rsidR="00EE3BB0" w:rsidRPr="004C78D8" w:rsidRDefault="00EE3BB0" w:rsidP="00FB7C1F">
            <w:pPr>
              <w:jc w:val="left"/>
              <w:rPr>
                <w:b/>
                <w:bCs/>
                <w:sz w:val="20"/>
                <w:szCs w:val="20"/>
              </w:rPr>
            </w:pPr>
            <w:r w:rsidRPr="004C78D8">
              <w:rPr>
                <w:b/>
                <w:bCs/>
                <w:sz w:val="20"/>
                <w:szCs w:val="20"/>
              </w:rPr>
              <w:t>Source reference</w:t>
            </w:r>
          </w:p>
        </w:tc>
      </w:tr>
      <w:tr w:rsidR="00EE3BB0" w:rsidRPr="004C78D8" w14:paraId="583EF474" w14:textId="77777777" w:rsidTr="00E35893">
        <w:tc>
          <w:tcPr>
            <w:tcW w:w="2547" w:type="dxa"/>
            <w:tcBorders>
              <w:bottom w:val="nil"/>
            </w:tcBorders>
          </w:tcPr>
          <w:p w14:paraId="67B457D7" w14:textId="310FDA15" w:rsidR="00EE3BB0" w:rsidRPr="004C78D8" w:rsidRDefault="00EE3BB0" w:rsidP="00FB7C1F">
            <w:pPr>
              <w:jc w:val="left"/>
              <w:rPr>
                <w:sz w:val="20"/>
                <w:szCs w:val="20"/>
              </w:rPr>
            </w:pPr>
            <w:r w:rsidRPr="004C78D8">
              <w:rPr>
                <w:sz w:val="20"/>
                <w:szCs w:val="20"/>
              </w:rPr>
              <w:t>Single non-MA fall</w:t>
            </w:r>
          </w:p>
        </w:tc>
        <w:tc>
          <w:tcPr>
            <w:tcW w:w="1701" w:type="dxa"/>
            <w:tcBorders>
              <w:bottom w:val="nil"/>
            </w:tcBorders>
          </w:tcPr>
          <w:p w14:paraId="263FA233" w14:textId="68F03B28" w:rsidR="00EE3BB0" w:rsidRPr="004C78D8" w:rsidRDefault="00EE3BB0" w:rsidP="00FB7C1F">
            <w:pPr>
              <w:jc w:val="left"/>
              <w:rPr>
                <w:sz w:val="20"/>
                <w:szCs w:val="20"/>
              </w:rPr>
            </w:pPr>
            <w:r w:rsidRPr="004C78D8">
              <w:rPr>
                <w:sz w:val="20"/>
                <w:szCs w:val="20"/>
              </w:rPr>
              <w:t>0.012</w:t>
            </w:r>
          </w:p>
        </w:tc>
        <w:tc>
          <w:tcPr>
            <w:tcW w:w="2551" w:type="dxa"/>
            <w:tcBorders>
              <w:bottom w:val="nil"/>
            </w:tcBorders>
          </w:tcPr>
          <w:p w14:paraId="723E39DE" w14:textId="1614D66F" w:rsidR="00EE3BB0" w:rsidRPr="004C78D8" w:rsidRDefault="00A73576" w:rsidP="00FB7C1F">
            <w:pPr>
              <w:jc w:val="left"/>
              <w:rPr>
                <w:sz w:val="20"/>
                <w:szCs w:val="20"/>
              </w:rPr>
            </w:pPr>
            <w:r w:rsidRPr="004C78D8">
              <w:rPr>
                <w:sz w:val="20"/>
                <w:szCs w:val="20"/>
              </w:rPr>
              <w:t xml:space="preserve">Albert (2016) </w:t>
            </w:r>
            <w:r w:rsidRPr="004C78D8">
              <w:rPr>
                <w:sz w:val="20"/>
                <w:szCs w:val="20"/>
              </w:rPr>
              <w:fldChar w:fldCharType="begin">
                <w:fldData xml:space="preserve">PEVuZE5vdGU+PENpdGU+PEF1dGhvcj5BbGJlcnQ8L0F1dGhvcj48WWVhcj4yMDE2PC9ZZWFyPjxS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==
</w:fldData>
              </w:fldChar>
            </w:r>
            <w:r w:rsidR="00C630FC" w:rsidRPr="004C78D8">
              <w:rPr>
                <w:sz w:val="20"/>
                <w:szCs w:val="20"/>
              </w:rPr>
              <w:instrText xml:space="preserve"> ADDIN EN.CITE </w:instrText>
            </w:r>
            <w:r w:rsidR="00C630FC" w:rsidRPr="004C78D8">
              <w:rPr>
                <w:sz w:val="20"/>
                <w:szCs w:val="20"/>
              </w:rPr>
              <w:fldChar w:fldCharType="begin">
                <w:fldData xml:space="preserve">PEVuZE5vdGU+PENpdGU+PEF1dGhvcj5BbGJlcnQ8L0F1dGhvcj48WWVhcj4yMDE2PC9ZZWFyPjxS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==
</w:fldData>
              </w:fldChar>
            </w:r>
            <w:r w:rsidR="00C630FC" w:rsidRPr="004C78D8">
              <w:rPr>
                <w:sz w:val="20"/>
                <w:szCs w:val="20"/>
              </w:rPr>
              <w:instrText xml:space="preserve"> ADDIN EN.CITE.DATA </w:instrText>
            </w:r>
            <w:r w:rsidR="00C630FC" w:rsidRPr="004C78D8">
              <w:rPr>
                <w:sz w:val="20"/>
                <w:szCs w:val="20"/>
              </w:rPr>
            </w:r>
            <w:r w:rsidR="00C630FC" w:rsidRPr="004C78D8">
              <w:rPr>
                <w:sz w:val="20"/>
                <w:szCs w:val="20"/>
              </w:rPr>
              <w:fldChar w:fldCharType="end"/>
            </w:r>
            <w:r w:rsidRPr="004C78D8">
              <w:rPr>
                <w:sz w:val="20"/>
                <w:szCs w:val="20"/>
              </w:rPr>
            </w:r>
            <w:r w:rsidRPr="004C78D8">
              <w:rPr>
                <w:sz w:val="20"/>
                <w:szCs w:val="20"/>
              </w:rPr>
              <w:fldChar w:fldCharType="separate"/>
            </w:r>
            <w:r w:rsidR="00C630FC" w:rsidRPr="004C78D8">
              <w:rPr>
                <w:noProof/>
                <w:sz w:val="20"/>
                <w:szCs w:val="20"/>
              </w:rPr>
              <w:t>[354]</w:t>
            </w:r>
            <w:r w:rsidRPr="004C78D8">
              <w:rPr>
                <w:sz w:val="20"/>
                <w:szCs w:val="20"/>
              </w:rPr>
              <w:fldChar w:fldCharType="end"/>
            </w:r>
          </w:p>
        </w:tc>
      </w:tr>
      <w:tr w:rsidR="00EE3BB0" w:rsidRPr="004C78D8" w14:paraId="28A1DA3B" w14:textId="77777777" w:rsidTr="00E35893">
        <w:tc>
          <w:tcPr>
            <w:tcW w:w="2547" w:type="dxa"/>
            <w:tcBorders>
              <w:top w:val="nil"/>
              <w:bottom w:val="nil"/>
            </w:tcBorders>
          </w:tcPr>
          <w:p w14:paraId="0234FB42" w14:textId="0ACF4174" w:rsidR="00EE3BB0" w:rsidRPr="004C78D8" w:rsidRDefault="00EE3BB0" w:rsidP="00FB7C1F">
            <w:pPr>
              <w:jc w:val="left"/>
              <w:rPr>
                <w:sz w:val="20"/>
                <w:szCs w:val="20"/>
              </w:rPr>
            </w:pPr>
            <w:r w:rsidRPr="004C78D8">
              <w:rPr>
                <w:sz w:val="20"/>
                <w:szCs w:val="20"/>
              </w:rPr>
              <w:t>Recurrent non-MA falls</w:t>
            </w:r>
          </w:p>
        </w:tc>
        <w:tc>
          <w:tcPr>
            <w:tcW w:w="1701" w:type="dxa"/>
            <w:tcBorders>
              <w:top w:val="nil"/>
              <w:bottom w:val="nil"/>
            </w:tcBorders>
          </w:tcPr>
          <w:p w14:paraId="6A184826" w14:textId="65B92054" w:rsidR="00EE3BB0" w:rsidRPr="004C78D8" w:rsidRDefault="00EE3BB0" w:rsidP="00FB7C1F">
            <w:pPr>
              <w:jc w:val="left"/>
              <w:rPr>
                <w:sz w:val="20"/>
                <w:szCs w:val="20"/>
              </w:rPr>
            </w:pPr>
            <w:r w:rsidRPr="004C78D8">
              <w:rPr>
                <w:sz w:val="20"/>
                <w:szCs w:val="20"/>
              </w:rPr>
              <w:t>0.031</w:t>
            </w:r>
          </w:p>
        </w:tc>
        <w:tc>
          <w:tcPr>
            <w:tcW w:w="2551" w:type="dxa"/>
            <w:tcBorders>
              <w:top w:val="nil"/>
              <w:bottom w:val="nil"/>
            </w:tcBorders>
          </w:tcPr>
          <w:p w14:paraId="4094D450" w14:textId="3206E346" w:rsidR="00EE3BB0" w:rsidRPr="004C78D8" w:rsidRDefault="00A73576" w:rsidP="00FB7C1F">
            <w:pPr>
              <w:jc w:val="left"/>
              <w:rPr>
                <w:sz w:val="20"/>
                <w:szCs w:val="20"/>
              </w:rPr>
            </w:pPr>
            <w:r w:rsidRPr="004C78D8">
              <w:rPr>
                <w:sz w:val="20"/>
                <w:szCs w:val="20"/>
              </w:rPr>
              <w:t xml:space="preserve">Albert (2016) </w:t>
            </w:r>
            <w:r w:rsidRPr="004C78D8">
              <w:rPr>
                <w:sz w:val="20"/>
                <w:szCs w:val="20"/>
              </w:rPr>
              <w:fldChar w:fldCharType="begin">
                <w:fldData xml:space="preserve">PEVuZE5vdGU+PENpdGU+PEF1dGhvcj5BbGJlcnQ8L0F1dGhvcj48WWVhcj4yMDE2PC9ZZWFyPjxS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==
</w:fldData>
              </w:fldChar>
            </w:r>
            <w:r w:rsidR="00C630FC" w:rsidRPr="004C78D8">
              <w:rPr>
                <w:sz w:val="20"/>
                <w:szCs w:val="20"/>
              </w:rPr>
              <w:instrText xml:space="preserve"> ADDIN EN.CITE </w:instrText>
            </w:r>
            <w:r w:rsidR="00C630FC" w:rsidRPr="004C78D8">
              <w:rPr>
                <w:sz w:val="20"/>
                <w:szCs w:val="20"/>
              </w:rPr>
              <w:fldChar w:fldCharType="begin">
                <w:fldData xml:space="preserve">PEVuZE5vdGU+PENpdGU+PEF1dGhvcj5BbGJlcnQ8L0F1dGhvcj48WWVhcj4yMDE2PC9ZZWFyPjxS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==
</w:fldData>
              </w:fldChar>
            </w:r>
            <w:r w:rsidR="00C630FC" w:rsidRPr="004C78D8">
              <w:rPr>
                <w:sz w:val="20"/>
                <w:szCs w:val="20"/>
              </w:rPr>
              <w:instrText xml:space="preserve"> ADDIN EN.CITE.DATA </w:instrText>
            </w:r>
            <w:r w:rsidR="00C630FC" w:rsidRPr="004C78D8">
              <w:rPr>
                <w:sz w:val="20"/>
                <w:szCs w:val="20"/>
              </w:rPr>
            </w:r>
            <w:r w:rsidR="00C630FC" w:rsidRPr="004C78D8">
              <w:rPr>
                <w:sz w:val="20"/>
                <w:szCs w:val="20"/>
              </w:rPr>
              <w:fldChar w:fldCharType="end"/>
            </w:r>
            <w:r w:rsidRPr="004C78D8">
              <w:rPr>
                <w:sz w:val="20"/>
                <w:szCs w:val="20"/>
              </w:rPr>
            </w:r>
            <w:r w:rsidRPr="004C78D8">
              <w:rPr>
                <w:sz w:val="20"/>
                <w:szCs w:val="20"/>
              </w:rPr>
              <w:fldChar w:fldCharType="separate"/>
            </w:r>
            <w:r w:rsidR="00C630FC" w:rsidRPr="004C78D8">
              <w:rPr>
                <w:noProof/>
                <w:sz w:val="20"/>
                <w:szCs w:val="20"/>
              </w:rPr>
              <w:t>[354]</w:t>
            </w:r>
            <w:r w:rsidRPr="004C78D8">
              <w:rPr>
                <w:sz w:val="20"/>
                <w:szCs w:val="20"/>
              </w:rPr>
              <w:fldChar w:fldCharType="end"/>
            </w:r>
          </w:p>
        </w:tc>
      </w:tr>
      <w:tr w:rsidR="00EE3BB0" w:rsidRPr="004C78D8" w14:paraId="43BAE2EA" w14:textId="77777777" w:rsidTr="00E35893">
        <w:tc>
          <w:tcPr>
            <w:tcW w:w="2547" w:type="dxa"/>
            <w:tcBorders>
              <w:top w:val="nil"/>
              <w:bottom w:val="nil"/>
            </w:tcBorders>
          </w:tcPr>
          <w:p w14:paraId="3FF53115" w14:textId="0E4B2A3F" w:rsidR="00EE3BB0" w:rsidRPr="004C78D8" w:rsidRDefault="00EE3BB0" w:rsidP="00FB7C1F">
            <w:pPr>
              <w:jc w:val="left"/>
              <w:rPr>
                <w:sz w:val="20"/>
                <w:szCs w:val="20"/>
              </w:rPr>
            </w:pPr>
            <w:r w:rsidRPr="004C78D8">
              <w:rPr>
                <w:sz w:val="20"/>
                <w:szCs w:val="20"/>
              </w:rPr>
              <w:t>Non-hospitalized MA fall</w:t>
            </w:r>
          </w:p>
        </w:tc>
        <w:tc>
          <w:tcPr>
            <w:tcW w:w="1701" w:type="dxa"/>
            <w:tcBorders>
              <w:top w:val="nil"/>
              <w:bottom w:val="nil"/>
            </w:tcBorders>
          </w:tcPr>
          <w:p w14:paraId="1832D100" w14:textId="720CC899" w:rsidR="00EE3BB0" w:rsidRPr="004C78D8" w:rsidRDefault="00EE3BB0" w:rsidP="00FB7C1F">
            <w:pPr>
              <w:jc w:val="left"/>
              <w:rPr>
                <w:sz w:val="20"/>
                <w:szCs w:val="20"/>
              </w:rPr>
            </w:pPr>
            <w:r w:rsidRPr="004C78D8">
              <w:rPr>
                <w:sz w:val="20"/>
                <w:szCs w:val="20"/>
              </w:rPr>
              <w:t>0.040</w:t>
            </w:r>
          </w:p>
        </w:tc>
        <w:tc>
          <w:tcPr>
            <w:tcW w:w="2551" w:type="dxa"/>
            <w:tcBorders>
              <w:top w:val="nil"/>
              <w:bottom w:val="nil"/>
            </w:tcBorders>
          </w:tcPr>
          <w:p w14:paraId="70889B4E" w14:textId="0429A2F6" w:rsidR="00EE3BB0" w:rsidRPr="004C78D8" w:rsidRDefault="00EE3BB0" w:rsidP="00FB7C1F">
            <w:pPr>
              <w:jc w:val="left"/>
              <w:rPr>
                <w:sz w:val="20"/>
                <w:szCs w:val="20"/>
              </w:rPr>
            </w:pPr>
            <w:r w:rsidRPr="004C78D8">
              <w:rPr>
                <w:sz w:val="20"/>
                <w:szCs w:val="20"/>
              </w:rPr>
              <w:t>Peasgood</w:t>
            </w:r>
            <w:r w:rsidR="001071AC" w:rsidRPr="004C78D8">
              <w:rPr>
                <w:sz w:val="20"/>
                <w:szCs w:val="20"/>
              </w:rPr>
              <w:t xml:space="preserve"> (</w:t>
            </w:r>
            <w:r w:rsidRPr="004C78D8">
              <w:rPr>
                <w:sz w:val="20"/>
                <w:szCs w:val="20"/>
              </w:rPr>
              <w:t>2009)</w:t>
            </w:r>
            <w:r w:rsidR="001071AC" w:rsidRPr="004C78D8">
              <w:rPr>
                <w:sz w:val="20"/>
                <w:szCs w:val="20"/>
              </w:rPr>
              <w:t xml:space="preserve"> </w:t>
            </w:r>
            <w:r w:rsidR="001071AC" w:rsidRPr="004C78D8">
              <w:rPr>
                <w:sz w:val="20"/>
                <w:szCs w:val="20"/>
              </w:rPr>
              <w:fldChar w:fldCharType="begin"/>
            </w:r>
            <w:r w:rsidR="00C630FC" w:rsidRPr="004C78D8">
              <w:rPr>
                <w:sz w:val="20"/>
                <w:szCs w:val="20"/>
              </w:rPr>
              <w:instrText xml:space="preserve"> ADDIN EN.CITE &lt;EndNote&gt;&lt;Cite&gt;&lt;Author&gt;Peasgood&lt;/Author&gt;&lt;Year&gt;2009&lt;/Year&gt;&lt;RecNum&gt;544&lt;/RecNum&gt;&lt;DisplayText&gt;[265]&lt;/DisplayText&gt;&lt;record&gt;&lt;rec-number&gt;544&lt;/rec-number&gt;&lt;foreign-keys&gt;&lt;key app="EN" db-id="tdtrdw9aepptzbefsat599syza29sxsd2wsp" timestamp="1618666710"&gt;544&lt;/key&gt;&lt;/foreign-keys&gt;&lt;ref-type name="Journal Article"&gt;17&lt;/ref-type&gt;&lt;contributors&gt;&lt;authors&gt;&lt;author&gt;Peasgood, T.&lt;/author&gt;&lt;author&gt;Herrmann, K.&lt;/author&gt;&lt;author&gt;Kanis, J. A.&lt;/author&gt;&lt;author&gt;Brazier, J. E.&lt;/author&gt;&lt;/authors&gt;&lt;/contributors&gt;&lt;auth-address&gt;Health Economics and Decision Science, School of Health and Related Research, University of Sheffield Regent Court, Court, 30 Regent Street, Sheffield, UK S1 4DA.&lt;/auth-address&gt;&lt;titles&gt;&lt;title&gt;An updated systematic review of Health State Utility Values for osteoporosis related conditions&lt;/title&gt;&lt;secondary-title&gt;Osteoporos Int&lt;/secondary-title&gt;&lt;/titles&gt;&lt;periodical&gt;&lt;full-title&gt;Osteoporos Int&lt;/full-title&gt;&lt;abbr-1&gt;Osteoporosis international : a journal established as result of cooperation between the European Foundation for Osteoporosis and the National Osteoporosis Foundation of the USA&lt;/abbr-1&gt;&lt;/periodical&gt;&lt;pages&gt;853-68&lt;/pages&gt;&lt;volume&gt;20&lt;/volume&gt;&lt;number&gt;6&lt;/number&gt;&lt;keywords&gt;&lt;keyword&gt;Analysis of Variance&lt;/keyword&gt;&lt;keyword&gt;Clinical Trials as Topic&lt;/keyword&gt;&lt;keyword&gt;Cost-Benefit Analysis&lt;/keyword&gt;&lt;keyword&gt;Female&lt;/keyword&gt;&lt;keyword&gt;*Fractures, Bone&lt;/keyword&gt;&lt;keyword&gt;Humans&lt;/keyword&gt;&lt;keyword&gt;Male&lt;/keyword&gt;&lt;keyword&gt;*Osteoporosis&lt;/keyword&gt;&lt;keyword&gt;*Quality-Adjusted Life Years&lt;/keyword&gt;&lt;keyword&gt;Reference Values&lt;/keyword&gt;&lt;/keywords&gt;&lt;dates&gt;&lt;year&gt;2009&lt;/year&gt;&lt;pub-dates&gt;&lt;date&gt;Jun&lt;/date&gt;&lt;/pub-dates&gt;&lt;/dates&gt;&lt;isbn&gt;1433-2965 (Electronic)&amp;#xD;0937-941X (Linking)&lt;/isbn&gt;&lt;accession-num&gt;19271098&lt;/accession-num&gt;&lt;urls&gt;&lt;related-urls&gt;&lt;url&gt;https://www.ncbi.nlm.nih.gov/pubmed/19271098&lt;/url&gt;&lt;/related-urls&gt;&lt;/urls&gt;&lt;electronic-resource-num&gt;10.1007/s00198-009-0844-y&lt;/electronic-resource-num&gt;&lt;/record&gt;&lt;/Cite&gt;&lt;/EndNote&gt;</w:instrText>
            </w:r>
            <w:r w:rsidR="001071AC" w:rsidRPr="004C78D8">
              <w:rPr>
                <w:sz w:val="20"/>
                <w:szCs w:val="20"/>
              </w:rPr>
              <w:fldChar w:fldCharType="separate"/>
            </w:r>
            <w:r w:rsidR="00C630FC" w:rsidRPr="004C78D8">
              <w:rPr>
                <w:noProof/>
                <w:sz w:val="20"/>
                <w:szCs w:val="20"/>
              </w:rPr>
              <w:t>[265]</w:t>
            </w:r>
            <w:r w:rsidR="001071AC" w:rsidRPr="004C78D8">
              <w:rPr>
                <w:sz w:val="20"/>
                <w:szCs w:val="20"/>
              </w:rPr>
              <w:fldChar w:fldCharType="end"/>
            </w:r>
          </w:p>
        </w:tc>
      </w:tr>
      <w:tr w:rsidR="00EE3BB0" w:rsidRPr="004C78D8" w14:paraId="544C258F" w14:textId="77777777" w:rsidTr="00E35893">
        <w:tc>
          <w:tcPr>
            <w:tcW w:w="2547" w:type="dxa"/>
            <w:tcBorders>
              <w:top w:val="nil"/>
              <w:bottom w:val="nil"/>
            </w:tcBorders>
          </w:tcPr>
          <w:p w14:paraId="5F8A828F" w14:textId="21096635" w:rsidR="00EE3BB0" w:rsidRPr="004C78D8" w:rsidRDefault="00EE3BB0" w:rsidP="00FB7C1F">
            <w:pPr>
              <w:jc w:val="left"/>
              <w:rPr>
                <w:sz w:val="20"/>
                <w:szCs w:val="20"/>
              </w:rPr>
            </w:pPr>
            <w:r w:rsidRPr="004C78D8">
              <w:rPr>
                <w:sz w:val="20"/>
                <w:szCs w:val="20"/>
              </w:rPr>
              <w:t>Hospitalized MA fall</w:t>
            </w:r>
          </w:p>
        </w:tc>
        <w:tc>
          <w:tcPr>
            <w:tcW w:w="1701" w:type="dxa"/>
            <w:tcBorders>
              <w:top w:val="nil"/>
              <w:bottom w:val="nil"/>
            </w:tcBorders>
          </w:tcPr>
          <w:p w14:paraId="50F15368" w14:textId="01A8A53C" w:rsidR="00EE3BB0" w:rsidRPr="004C78D8" w:rsidRDefault="00EE3BB0" w:rsidP="00FB7C1F">
            <w:pPr>
              <w:jc w:val="left"/>
              <w:rPr>
                <w:sz w:val="20"/>
                <w:szCs w:val="20"/>
              </w:rPr>
            </w:pPr>
            <w:r w:rsidRPr="004C78D8">
              <w:rPr>
                <w:sz w:val="20"/>
                <w:szCs w:val="20"/>
              </w:rPr>
              <w:t>0.239</w:t>
            </w:r>
          </w:p>
        </w:tc>
        <w:tc>
          <w:tcPr>
            <w:tcW w:w="2551" w:type="dxa"/>
            <w:tcBorders>
              <w:top w:val="nil"/>
              <w:bottom w:val="nil"/>
            </w:tcBorders>
          </w:tcPr>
          <w:p w14:paraId="5519A7EE" w14:textId="2E1134B9" w:rsidR="00EE3BB0" w:rsidRPr="004C78D8" w:rsidRDefault="001071AC" w:rsidP="00FB7C1F">
            <w:pPr>
              <w:jc w:val="left"/>
              <w:rPr>
                <w:sz w:val="20"/>
                <w:szCs w:val="20"/>
              </w:rPr>
            </w:pPr>
            <w:r w:rsidRPr="004C78D8">
              <w:rPr>
                <w:sz w:val="20"/>
                <w:szCs w:val="20"/>
              </w:rPr>
              <w:t xml:space="preserve">Peasgood (2009) </w:t>
            </w:r>
            <w:r w:rsidRPr="004C78D8">
              <w:rPr>
                <w:sz w:val="20"/>
                <w:szCs w:val="20"/>
              </w:rPr>
              <w:fldChar w:fldCharType="begin"/>
            </w:r>
            <w:r w:rsidR="00C630FC" w:rsidRPr="004C78D8">
              <w:rPr>
                <w:sz w:val="20"/>
                <w:szCs w:val="20"/>
              </w:rPr>
              <w:instrText xml:space="preserve"> ADDIN EN.CITE &lt;EndNote&gt;&lt;Cite&gt;&lt;Author&gt;Peasgood&lt;/Author&gt;&lt;Year&gt;2009&lt;/Year&gt;&lt;RecNum&gt;544&lt;/RecNum&gt;&lt;DisplayText&gt;[265]&lt;/DisplayText&gt;&lt;record&gt;&lt;rec-number&gt;544&lt;/rec-number&gt;&lt;foreign-keys&gt;&lt;key app="EN" db-id="tdtrdw9aepptzbefsat599syza29sxsd2wsp" timestamp="1618666710"&gt;544&lt;/key&gt;&lt;/foreign-keys&gt;&lt;ref-type name="Journal Article"&gt;17&lt;/ref-type&gt;&lt;contributors&gt;&lt;authors&gt;&lt;author&gt;Peasgood, T.&lt;/author&gt;&lt;author&gt;Herrmann, K.&lt;/author&gt;&lt;author&gt;Kanis, J. A.&lt;/author&gt;&lt;author&gt;Brazier, J. E.&lt;/author&gt;&lt;/authors&gt;&lt;/contributors&gt;&lt;auth-address&gt;Health Economics and Decision Science, School of Health and Related Research, University of Sheffield Regent Court, Court, 30 Regent Street, Sheffield, UK S1 4DA.&lt;/auth-address&gt;&lt;titles&gt;&lt;title&gt;An updated systematic review of Health State Utility Values for osteoporosis related conditions&lt;/title&gt;&lt;secondary-title&gt;Osteoporos Int&lt;/secondary-title&gt;&lt;/titles&gt;&lt;periodical&gt;&lt;full-title&gt;Osteoporos Int&lt;/full-title&gt;&lt;abbr-1&gt;Osteoporosis international : a journal established as result of cooperation between the European Foundation for Osteoporosis and the National Osteoporosis Foundation of the USA&lt;/abbr-1&gt;&lt;/periodical&gt;&lt;pages&gt;853-68&lt;/pages&gt;&lt;volume&gt;20&lt;/volume&gt;&lt;number&gt;6&lt;/number&gt;&lt;keywords&gt;&lt;keyword&gt;Analysis of Variance&lt;/keyword&gt;&lt;keyword&gt;Clinical Trials as Topic&lt;/keyword&gt;&lt;keyword&gt;Cost-Benefit Analysis&lt;/keyword&gt;&lt;keyword&gt;Female&lt;/keyword&gt;&lt;keyword&gt;*Fractures, Bone&lt;/keyword&gt;&lt;keyword&gt;Humans&lt;/keyword&gt;&lt;keyword&gt;Male&lt;/keyword&gt;&lt;keyword&gt;*Osteoporosis&lt;/keyword&gt;&lt;keyword&gt;*Quality-Adjusted Life Years&lt;/keyword&gt;&lt;keyword&gt;Reference Values&lt;/keyword&gt;&lt;/keywords&gt;&lt;dates&gt;&lt;year&gt;2009&lt;/year&gt;&lt;pub-dates&gt;&lt;date&gt;Jun&lt;/date&gt;&lt;/pub-dates&gt;&lt;/dates&gt;&lt;isbn&gt;1433-2965 (Electronic)&amp;#xD;0937-941X (Linking)&lt;/isbn&gt;&lt;accession-num&gt;19271098&lt;/accession-num&gt;&lt;urls&gt;&lt;related-urls&gt;&lt;url&gt;https://www.ncbi.nlm.nih.gov/pubmed/19271098&lt;/url&gt;&lt;/related-urls&gt;&lt;/urls&gt;&lt;electronic-resource-num&gt;10.1007/s00198-009-0844-y&lt;/electronic-resource-num&gt;&lt;/record&gt;&lt;/Cite&gt;&lt;/EndNote&gt;</w:instrText>
            </w:r>
            <w:r w:rsidRPr="004C78D8">
              <w:rPr>
                <w:sz w:val="20"/>
                <w:szCs w:val="20"/>
              </w:rPr>
              <w:fldChar w:fldCharType="separate"/>
            </w:r>
            <w:r w:rsidR="00C630FC" w:rsidRPr="004C78D8">
              <w:rPr>
                <w:noProof/>
                <w:sz w:val="20"/>
                <w:szCs w:val="20"/>
              </w:rPr>
              <w:t>[265]</w:t>
            </w:r>
            <w:r w:rsidRPr="004C78D8">
              <w:rPr>
                <w:sz w:val="20"/>
                <w:szCs w:val="20"/>
              </w:rPr>
              <w:fldChar w:fldCharType="end"/>
            </w:r>
          </w:p>
        </w:tc>
      </w:tr>
      <w:tr w:rsidR="000E25DB" w:rsidRPr="004C78D8" w14:paraId="632EF744" w14:textId="77777777" w:rsidTr="00E35893">
        <w:tc>
          <w:tcPr>
            <w:tcW w:w="6799" w:type="dxa"/>
            <w:gridSpan w:val="3"/>
          </w:tcPr>
          <w:p w14:paraId="60922F57" w14:textId="57A67941" w:rsidR="000E25DB" w:rsidRPr="004C78D8" w:rsidRDefault="00D10D5E" w:rsidP="00FB7C1F">
            <w:pPr>
              <w:jc w:val="left"/>
              <w:rPr>
                <w:sz w:val="20"/>
                <w:szCs w:val="20"/>
              </w:rPr>
            </w:pPr>
            <w:r w:rsidRPr="004C78D8">
              <w:rPr>
                <w:b/>
                <w:bCs/>
                <w:sz w:val="18"/>
                <w:szCs w:val="18"/>
              </w:rPr>
              <w:t>Abbreviation</w:t>
            </w:r>
            <w:r w:rsidR="00570D23" w:rsidRPr="004C78D8">
              <w:rPr>
                <w:b/>
                <w:bCs/>
                <w:sz w:val="18"/>
                <w:szCs w:val="18"/>
              </w:rPr>
              <w:t>:</w:t>
            </w:r>
            <w:r w:rsidR="00570D23" w:rsidRPr="004C78D8">
              <w:rPr>
                <w:sz w:val="18"/>
                <w:szCs w:val="18"/>
              </w:rPr>
              <w:t xml:space="preserve"> </w:t>
            </w:r>
            <w:r w:rsidR="000E25DB" w:rsidRPr="004C78D8">
              <w:rPr>
                <w:sz w:val="18"/>
                <w:szCs w:val="18"/>
              </w:rPr>
              <w:t>MA fall: fall requiring medical attention; QALY: quality-adjusted life year</w:t>
            </w:r>
          </w:p>
        </w:tc>
      </w:tr>
    </w:tbl>
    <w:p w14:paraId="19876166" w14:textId="3DB57A52" w:rsidR="00F605E4" w:rsidRPr="004C78D8" w:rsidRDefault="00F605E4" w:rsidP="00FB7C1F"/>
    <w:p w14:paraId="0FC6BF45" w14:textId="5584D7DB" w:rsidR="00110585" w:rsidRPr="004C78D8" w:rsidRDefault="0071489E" w:rsidP="00FB7C1F">
      <w:r w:rsidRPr="004C78D8">
        <w:t xml:space="preserve">Albert </w:t>
      </w:r>
      <w:r w:rsidR="001071AC" w:rsidRPr="004C78D8">
        <w:t xml:space="preserve">(2016) developed a decision tree model using individual-level data, including EQ-5D values, collected at </w:t>
      </w:r>
      <w:r w:rsidRPr="004C78D8">
        <w:t>a quasi-experimental evaluation of multifactorial intervention</w:t>
      </w:r>
      <w:r w:rsidR="001071AC" w:rsidRPr="004C78D8">
        <w:t xml:space="preserve"> in the US </w:t>
      </w:r>
      <w:r w:rsidR="001071AC" w:rsidRPr="004C78D8">
        <w:fldChar w:fldCharType="begin">
          <w:fldData xml:space="preserve">PEVuZE5vdGU+PENpdGU+PEF1dGhvcj5BbGJlcnQ8L0F1dGhvcj48WWVhcj4yMDE2PC9ZZWFyPjxS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==
</w:fldData>
        </w:fldChar>
      </w:r>
      <w:r w:rsidR="00C630FC" w:rsidRPr="004C78D8">
        <w:instrText xml:space="preserve"> ADDIN EN.CITE </w:instrText>
      </w:r>
      <w:r w:rsidR="00C630FC" w:rsidRPr="004C78D8">
        <w:fldChar w:fldCharType="begin">
          <w:fldData xml:space="preserve">PEVuZE5vdGU+PENpdGU+PEF1dGhvcj5BbGJlcnQ8L0F1dGhvcj48WWVhcj4yMDE2PC9ZZWFyPjxS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==
</w:fldData>
        </w:fldChar>
      </w:r>
      <w:r w:rsidR="00C630FC" w:rsidRPr="004C78D8">
        <w:instrText xml:space="preserve"> ADDIN EN.CITE.DATA </w:instrText>
      </w:r>
      <w:r w:rsidR="00C630FC" w:rsidRPr="004C78D8">
        <w:fldChar w:fldCharType="end"/>
      </w:r>
      <w:r w:rsidR="001071AC" w:rsidRPr="004C78D8">
        <w:fldChar w:fldCharType="separate"/>
      </w:r>
      <w:r w:rsidR="00C630FC" w:rsidRPr="004C78D8">
        <w:rPr>
          <w:noProof/>
        </w:rPr>
        <w:t>[354]</w:t>
      </w:r>
      <w:r w:rsidR="001071AC" w:rsidRPr="004C78D8">
        <w:fldChar w:fldCharType="end"/>
      </w:r>
      <w:r w:rsidRPr="004C78D8">
        <w:t xml:space="preserve">. </w:t>
      </w:r>
      <w:r w:rsidR="001B0C6C" w:rsidRPr="004C78D8">
        <w:t>The</w:t>
      </w:r>
      <w:r w:rsidRPr="004C78D8">
        <w:t xml:space="preserve"> EQ-5D values for control and intervention </w:t>
      </w:r>
      <w:r w:rsidR="001B0C6C" w:rsidRPr="004C78D8">
        <w:t>groups were categorised</w:t>
      </w:r>
      <w:r w:rsidRPr="004C78D8">
        <w:t xml:space="preserve"> by </w:t>
      </w:r>
      <w:r w:rsidR="007248EB" w:rsidRPr="004C78D8">
        <w:t xml:space="preserve">the number of falls experienced (none, single or </w:t>
      </w:r>
      <w:r w:rsidR="001B0C6C" w:rsidRPr="004C78D8">
        <w:t>multiple</w:t>
      </w:r>
      <w:r w:rsidR="007248EB" w:rsidRPr="004C78D8">
        <w:t xml:space="preserve">) and all-cause </w:t>
      </w:r>
      <w:r w:rsidR="00283095" w:rsidRPr="004C78D8">
        <w:t>health</w:t>
      </w:r>
      <w:r w:rsidR="007248EB" w:rsidRPr="004C78D8">
        <w:t>care utili</w:t>
      </w:r>
      <w:r w:rsidR="00AC1DD1" w:rsidRPr="004C78D8">
        <w:t>s</w:t>
      </w:r>
      <w:r w:rsidR="007248EB" w:rsidRPr="004C78D8">
        <w:t xml:space="preserve">ation frequency over the 12-month follow-up. </w:t>
      </w:r>
      <w:r w:rsidR="00283095" w:rsidRPr="004C78D8">
        <w:t>Control group participants who experienced a single fall and had no healthcare utili</w:t>
      </w:r>
      <w:r w:rsidR="001B0C6C" w:rsidRPr="004C78D8">
        <w:t>s</w:t>
      </w:r>
      <w:r w:rsidR="00283095" w:rsidRPr="004C78D8">
        <w:t xml:space="preserve">ation had an average EQ-5D value 0.024 less than control group participants who experienced no fall </w:t>
      </w:r>
      <w:r w:rsidR="001B0C6C" w:rsidRPr="004C78D8">
        <w:t>or</w:t>
      </w:r>
      <w:r w:rsidR="00283095" w:rsidRPr="004C78D8">
        <w:t xml:space="preserve"> healthcare utili</w:t>
      </w:r>
      <w:r w:rsidR="001B0C6C" w:rsidRPr="004C78D8">
        <w:t>s</w:t>
      </w:r>
      <w:r w:rsidR="00283095" w:rsidRPr="004C78D8">
        <w:t>ation. Hence, single non-MA faller</w:t>
      </w:r>
      <w:r w:rsidR="001B0C6C" w:rsidRPr="004C78D8">
        <w:t>s</w:t>
      </w:r>
      <w:r w:rsidR="00283095" w:rsidRPr="004C78D8">
        <w:t xml:space="preserve"> </w:t>
      </w:r>
      <w:r w:rsidR="001B0C6C" w:rsidRPr="004C78D8">
        <w:t xml:space="preserve">were assumed to </w:t>
      </w:r>
      <w:r w:rsidR="00283095" w:rsidRPr="004C78D8">
        <w:t>experience a</w:t>
      </w:r>
      <w:r w:rsidR="001B0C6C" w:rsidRPr="004C78D8">
        <w:t xml:space="preserve"> non-permanent</w:t>
      </w:r>
      <w:r w:rsidR="00283095" w:rsidRPr="004C78D8">
        <w:t xml:space="preserve"> EQ-5D decrement of 0.024 for the year in which the fall occurs, which is equivalent to a QALY loss of 0.0</w:t>
      </w:r>
      <w:r w:rsidR="00743869" w:rsidRPr="004C78D8">
        <w:t xml:space="preserve">12 if the fall is experienced </w:t>
      </w:r>
      <w:r w:rsidR="00982605" w:rsidRPr="004C78D8">
        <w:t>mid-</w:t>
      </w:r>
      <w:r w:rsidR="00743869" w:rsidRPr="004C78D8">
        <w:t>year</w:t>
      </w:r>
      <w:r w:rsidR="00283095" w:rsidRPr="004C78D8">
        <w:t xml:space="preserve">. </w:t>
      </w:r>
      <w:r w:rsidR="001B0C6C" w:rsidRPr="004C78D8">
        <w:t>T</w:t>
      </w:r>
      <w:r w:rsidR="009F396D" w:rsidRPr="004C78D8">
        <w:t xml:space="preserve">he QALY loss </w:t>
      </w:r>
      <w:r w:rsidR="001B0C6C" w:rsidRPr="004C78D8">
        <w:t>for</w:t>
      </w:r>
      <w:r w:rsidR="009F396D" w:rsidRPr="004C78D8">
        <w:t xml:space="preserve"> recurrent non-MA falls</w:t>
      </w:r>
      <w:r w:rsidR="001B0C6C" w:rsidRPr="004C78D8">
        <w:t xml:space="preserve"> was similarly estimated</w:t>
      </w:r>
      <w:r w:rsidR="009F396D" w:rsidRPr="004C78D8">
        <w:t xml:space="preserve">. </w:t>
      </w:r>
    </w:p>
    <w:p w14:paraId="722707B7" w14:textId="5878488C" w:rsidR="008D7386" w:rsidRPr="004C78D8" w:rsidRDefault="00344B8C" w:rsidP="00FB7C1F">
      <w:r w:rsidRPr="004C78D8">
        <w:t xml:space="preserve">As </w:t>
      </w:r>
      <w:r w:rsidR="00982605" w:rsidRPr="004C78D8">
        <w:t>not</w:t>
      </w:r>
      <w:r w:rsidR="00FA4516" w:rsidRPr="004C78D8">
        <w:t xml:space="preserve">ed, </w:t>
      </w:r>
      <w:r w:rsidR="00DB1569" w:rsidRPr="004C78D8">
        <w:t>28.7%</w:t>
      </w:r>
      <w:r w:rsidRPr="004C78D8">
        <w:t xml:space="preserve"> of MA falls required hospitali</w:t>
      </w:r>
      <w:r w:rsidR="00FA4516" w:rsidRPr="004C78D8">
        <w:t>s</w:t>
      </w:r>
      <w:r w:rsidRPr="004C78D8">
        <w:t xml:space="preserve">ation. McLean </w:t>
      </w:r>
      <w:r w:rsidR="00D93456" w:rsidRPr="004C78D8">
        <w:t>(2015)</w:t>
      </w:r>
      <w:r w:rsidRPr="004C78D8">
        <w:t xml:space="preserve"> reported the distribution of fall-related injuries by secondary care utili</w:t>
      </w:r>
      <w:r w:rsidR="00193346" w:rsidRPr="004C78D8">
        <w:t>s</w:t>
      </w:r>
      <w:r w:rsidRPr="004C78D8">
        <w:t xml:space="preserve">ation type (requiring vs. not requiring </w:t>
      </w:r>
      <w:r w:rsidR="00D93456" w:rsidRPr="004C78D8">
        <w:t xml:space="preserve">hospital </w:t>
      </w:r>
      <w:r w:rsidRPr="004C78D8">
        <w:t xml:space="preserve">inpatient stay) from a falls prevention RCT </w:t>
      </w:r>
      <w:r w:rsidR="00193346" w:rsidRPr="004C78D8">
        <w:fldChar w:fldCharType="begin">
          <w:fldData xml:space="preserve">PEVuZE5vdGU+PENpdGU+PEF1dGhvcj5NY0xlYW48L0F1dGhvcj48WWVhcj4yMDE1PC9ZZWFyPjxS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</w:fldData>
        </w:fldChar>
      </w:r>
      <w:r w:rsidR="00C630FC" w:rsidRPr="004C78D8">
        <w:instrText xml:space="preserve"> ADDIN EN.CITE </w:instrText>
      </w:r>
      <w:r w:rsidR="00C630FC" w:rsidRPr="004C78D8">
        <w:fldChar w:fldCharType="begin">
          <w:fldData xml:space="preserve">PEVuZE5vdGU+PENpdGU+PEF1dGhvcj5NY0xlYW48L0F1dGhvcj48WWVhcj4yMDE1PC9ZZWFyPjxS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</w:fldData>
        </w:fldChar>
      </w:r>
      <w:r w:rsidR="00C630FC" w:rsidRPr="004C78D8">
        <w:instrText xml:space="preserve"> ADDIN EN.CITE.DATA </w:instrText>
      </w:r>
      <w:r w:rsidR="00C630FC" w:rsidRPr="004C78D8">
        <w:fldChar w:fldCharType="end"/>
      </w:r>
      <w:r w:rsidR="00193346" w:rsidRPr="004C78D8">
        <w:fldChar w:fldCharType="separate"/>
      </w:r>
      <w:r w:rsidR="00C630FC" w:rsidRPr="004C78D8">
        <w:rPr>
          <w:noProof/>
        </w:rPr>
        <w:t>[355]</w:t>
      </w:r>
      <w:r w:rsidR="00193346" w:rsidRPr="004C78D8">
        <w:fldChar w:fldCharType="end"/>
      </w:r>
      <w:r w:rsidRPr="004C78D8">
        <w:t>.</w:t>
      </w:r>
      <w:r w:rsidR="00717A0E" w:rsidRPr="004C78D8">
        <w:t xml:space="preserve"> Of all injuries reported (hip fracture, wrist fracture, shoulder fracture, other fracture, head injury, cuts/bruises, other), wrist fracture had the highest likelihood of requiring secondary care but not hospitali</w:t>
      </w:r>
      <w:r w:rsidR="00193346" w:rsidRPr="004C78D8">
        <w:t>s</w:t>
      </w:r>
      <w:r w:rsidR="00717A0E" w:rsidRPr="004C78D8">
        <w:t xml:space="preserve">ation (87.5%). Hence, it was assumed that </w:t>
      </w:r>
      <w:r w:rsidR="00193346" w:rsidRPr="004C78D8">
        <w:t>the QALY</w:t>
      </w:r>
      <w:r w:rsidR="00717A0E" w:rsidRPr="004C78D8">
        <w:t xml:space="preserve"> impact incurred by wrist fracture is representative of th</w:t>
      </w:r>
      <w:r w:rsidR="00982605" w:rsidRPr="004C78D8">
        <w:t>at</w:t>
      </w:r>
      <w:r w:rsidR="00717A0E" w:rsidRPr="004C78D8">
        <w:t xml:space="preserve"> incurred by </w:t>
      </w:r>
      <w:r w:rsidR="00193346" w:rsidRPr="004C78D8">
        <w:t xml:space="preserve">injuries </w:t>
      </w:r>
      <w:r w:rsidR="00717A0E" w:rsidRPr="004C78D8">
        <w:t>requir</w:t>
      </w:r>
      <w:r w:rsidR="00D93456" w:rsidRPr="004C78D8">
        <w:t>ing</w:t>
      </w:r>
      <w:r w:rsidR="00717A0E" w:rsidRPr="004C78D8">
        <w:t xml:space="preserve"> </w:t>
      </w:r>
      <w:r w:rsidR="00D93456" w:rsidRPr="004C78D8">
        <w:t xml:space="preserve">non-hospitalised </w:t>
      </w:r>
      <w:r w:rsidR="00717A0E" w:rsidRPr="004C78D8">
        <w:t>secondary care.</w:t>
      </w:r>
      <w:r w:rsidR="00DB1569" w:rsidRPr="004C78D8">
        <w:t xml:space="preserve"> The QALY loss in the first year of wrist fracture was estimated by Peasgood and colleagues who conducted a systematic review and meta-analysis of studies measuring the </w:t>
      </w:r>
      <w:r w:rsidR="00193346" w:rsidRPr="004C78D8">
        <w:t>health utilit</w:t>
      </w:r>
      <w:r w:rsidR="00D93456" w:rsidRPr="004C78D8">
        <w:t>y</w:t>
      </w:r>
      <w:r w:rsidR="00193346" w:rsidRPr="004C78D8">
        <w:t xml:space="preserve"> </w:t>
      </w:r>
      <w:r w:rsidR="00DB1569" w:rsidRPr="004C78D8">
        <w:t xml:space="preserve">impact of fractures </w:t>
      </w:r>
      <w:r w:rsidR="00193346" w:rsidRPr="004C78D8">
        <w:fldChar w:fldCharType="begin"/>
      </w:r>
      <w:r w:rsidR="00C630FC" w:rsidRPr="004C78D8">
        <w:instrText xml:space="preserve"> ADDIN EN.CITE &lt;EndNote&gt;&lt;Cite&gt;&lt;Author&gt;Peasgood&lt;/Author&gt;&lt;Year&gt;2009&lt;/Year&gt;&lt;RecNum&gt;544&lt;/RecNum&gt;&lt;DisplayText&gt;[265]&lt;/DisplayText&gt;&lt;record&gt;&lt;rec-number&gt;544&lt;/rec-number&gt;&lt;foreign-keys&gt;&lt;key app="EN" db-id="tdtrdw9aepptzbefsat599syza29sxsd2wsp" timestamp="1618666710"&gt;544&lt;/key&gt;&lt;/foreign-keys&gt;&lt;ref-type name="Journal Article"&gt;17&lt;/ref-type&gt;&lt;contributors&gt;&lt;authors&gt;&lt;author&gt;Peasgood, T.&lt;/author&gt;&lt;author&gt;Herrmann, K.&lt;/author&gt;&lt;author&gt;Kanis, J. A.&lt;/author&gt;&lt;author&gt;Brazier, J. E.&lt;/author&gt;&lt;/authors&gt;&lt;/contributors&gt;&lt;auth-address&gt;Health Economics and Decision Science, School of Health and Related Research, University of Sheffield Regent Court, Court, 30 Regent Street, Sheffield, UK S1 4DA.&lt;/auth-address&gt;&lt;titles&gt;&lt;title&gt;An updated systematic review of Health State Utility Values for osteoporosis related conditions&lt;/title&gt;&lt;secondary-title&gt;Osteoporos Int&lt;/secondary-title&gt;&lt;/titles&gt;&lt;periodical&gt;&lt;full-title&gt;Osteoporos Int&lt;/full-title&gt;&lt;abbr-1&gt;Osteoporosis international : a journal established as result of cooperation between the European Foundation for Osteoporosis and the National Osteoporosis Foundation of the USA&lt;/abbr-1&gt;&lt;/periodical&gt;&lt;pages&gt;853-68&lt;/pages&gt;&lt;volume&gt;20&lt;/volume&gt;&lt;number&gt;6&lt;/number&gt;&lt;keywords&gt;&lt;keyword&gt;Analysis of Variance&lt;/keyword&gt;&lt;keyword&gt;Clinical Trials as Topic&lt;/keyword&gt;&lt;keyword&gt;Cost-Benefit Analysis&lt;/keyword&gt;&lt;keyword&gt;Female&lt;/keyword&gt;&lt;keyword&gt;*Fractures, Bone&lt;/keyword&gt;&lt;keyword&gt;Humans&lt;/keyword&gt;&lt;keyword&gt;Male&lt;/keyword&gt;&lt;keyword&gt;*Osteoporosis&lt;/keyword&gt;&lt;keyword&gt;*Quality-Adjusted Life Years&lt;/keyword&gt;&lt;keyword&gt;Reference Values&lt;/keyword&gt;&lt;/keywords&gt;&lt;dates&gt;&lt;year&gt;2009&lt;/year&gt;&lt;pub-dates&gt;&lt;date&gt;Jun&lt;/date&gt;&lt;/pub-dates&gt;&lt;/dates&gt;&lt;isbn&gt;1433-2965 (Electronic)&amp;#xD;0937-941X (Linking)&lt;/isbn&gt;&lt;accession-num&gt;19271098&lt;/accession-num&gt;&lt;urls&gt;&lt;related-urls&gt;&lt;url&gt;https://www.ncbi.nlm.nih.gov/pubmed/19271098&lt;/url&gt;&lt;/related-urls&gt;&lt;/urls&gt;&lt;electronic-resource-num&gt;10.1007/s00198-009-0844-y&lt;/electronic-resource-num&gt;&lt;/record&gt;&lt;/Cite&gt;&lt;/EndNote&gt;</w:instrText>
      </w:r>
      <w:r w:rsidR="00193346" w:rsidRPr="004C78D8">
        <w:fldChar w:fldCharType="separate"/>
      </w:r>
      <w:r w:rsidR="00C630FC" w:rsidRPr="004C78D8">
        <w:rPr>
          <w:noProof/>
        </w:rPr>
        <w:t>[265]</w:t>
      </w:r>
      <w:r w:rsidR="00193346" w:rsidRPr="004C78D8">
        <w:fldChar w:fldCharType="end"/>
      </w:r>
      <w:r w:rsidR="00D93456" w:rsidRPr="004C78D8">
        <w:t xml:space="preserve">; the authors </w:t>
      </w:r>
      <w:r w:rsidR="00DB1569" w:rsidRPr="004C78D8">
        <w:t>estimated a QALY loss of 0.040</w:t>
      </w:r>
      <w:r w:rsidR="00D93456" w:rsidRPr="004C78D8">
        <w:t xml:space="preserve"> over 12 months</w:t>
      </w:r>
      <w:r w:rsidR="00DB1569" w:rsidRPr="004C78D8">
        <w:t xml:space="preserve">. </w:t>
      </w:r>
      <w:r w:rsidR="00D93456" w:rsidRPr="004C78D8">
        <w:t>F</w:t>
      </w:r>
      <w:r w:rsidR="005125F2" w:rsidRPr="004C78D8">
        <w:t>or hospitali</w:t>
      </w:r>
      <w:r w:rsidR="00193346" w:rsidRPr="004C78D8">
        <w:t>s</w:t>
      </w:r>
      <w:r w:rsidR="005125F2" w:rsidRPr="004C78D8">
        <w:t xml:space="preserve">ed MA falls, McLean </w:t>
      </w:r>
      <w:r w:rsidR="00D93456" w:rsidRPr="004C78D8">
        <w:t>(2015)</w:t>
      </w:r>
      <w:r w:rsidR="005125F2" w:rsidRPr="004C78D8">
        <w:t xml:space="preserve"> reported that hip fracture had the highest likelihood of requiring hospitali</w:t>
      </w:r>
      <w:r w:rsidR="00193346" w:rsidRPr="004C78D8">
        <w:t>s</w:t>
      </w:r>
      <w:r w:rsidR="005125F2" w:rsidRPr="004C78D8">
        <w:t>ation (100%) relative to other injuries</w:t>
      </w:r>
      <w:r w:rsidR="00193346" w:rsidRPr="004C78D8">
        <w:t xml:space="preserve"> </w:t>
      </w:r>
      <w:r w:rsidR="00193346" w:rsidRPr="004C78D8">
        <w:fldChar w:fldCharType="begin">
          <w:fldData xml:space="preserve">PEVuZE5vdGU+PENpdGU+PEF1dGhvcj5NY0xlYW48L0F1dGhvcj48WWVhcj4yMDE1PC9ZZWFyPjxS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</w:fldData>
        </w:fldChar>
      </w:r>
      <w:r w:rsidR="00C630FC" w:rsidRPr="004C78D8">
        <w:instrText xml:space="preserve"> ADDIN EN.CITE </w:instrText>
      </w:r>
      <w:r w:rsidR="00C630FC" w:rsidRPr="004C78D8">
        <w:fldChar w:fldCharType="begin">
          <w:fldData xml:space="preserve">PEVuZE5vdGU+PENpdGU+PEF1dGhvcj5NY0xlYW48L0F1dGhvcj48WWVhcj4yMDE1PC9ZZWFyPjxS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</w:fldData>
        </w:fldChar>
      </w:r>
      <w:r w:rsidR="00C630FC" w:rsidRPr="004C78D8">
        <w:instrText xml:space="preserve"> ADDIN EN.CITE.DATA </w:instrText>
      </w:r>
      <w:r w:rsidR="00C630FC" w:rsidRPr="004C78D8">
        <w:fldChar w:fldCharType="end"/>
      </w:r>
      <w:r w:rsidR="00193346" w:rsidRPr="004C78D8">
        <w:fldChar w:fldCharType="separate"/>
      </w:r>
      <w:r w:rsidR="00C630FC" w:rsidRPr="004C78D8">
        <w:rPr>
          <w:noProof/>
        </w:rPr>
        <w:t>[355]</w:t>
      </w:r>
      <w:r w:rsidR="00193346" w:rsidRPr="004C78D8">
        <w:fldChar w:fldCharType="end"/>
      </w:r>
      <w:r w:rsidR="005125F2" w:rsidRPr="004C78D8">
        <w:t xml:space="preserve">. Hence, the </w:t>
      </w:r>
      <w:r w:rsidR="00193346" w:rsidRPr="004C78D8">
        <w:t>QALY</w:t>
      </w:r>
      <w:r w:rsidR="005125F2" w:rsidRPr="004C78D8">
        <w:t xml:space="preserve"> impact of hip fracture was assumed to be representative of injuries requiring hospitali</w:t>
      </w:r>
      <w:r w:rsidR="00193346" w:rsidRPr="004C78D8">
        <w:t>s</w:t>
      </w:r>
      <w:r w:rsidR="005125F2" w:rsidRPr="004C78D8">
        <w:t>ation</w:t>
      </w:r>
      <w:r w:rsidR="00D93456" w:rsidRPr="004C78D8">
        <w:t>;</w:t>
      </w:r>
      <w:r w:rsidR="005125F2" w:rsidRPr="004C78D8">
        <w:t xml:space="preserve"> Peasgood and colleagues </w:t>
      </w:r>
      <w:r w:rsidR="00193346" w:rsidRPr="004C78D8">
        <w:t>estimated</w:t>
      </w:r>
      <w:r w:rsidR="005125F2" w:rsidRPr="004C78D8">
        <w:t xml:space="preserve"> QALY loss of 0.239 </w:t>
      </w:r>
      <w:r w:rsidR="00D93456" w:rsidRPr="004C78D8">
        <w:t xml:space="preserve">in the first year </w:t>
      </w:r>
      <w:r w:rsidR="00982605" w:rsidRPr="004C78D8">
        <w:t>of</w:t>
      </w:r>
      <w:r w:rsidR="005125F2" w:rsidRPr="004C78D8">
        <w:t xml:space="preserve"> hip fracture</w:t>
      </w:r>
      <w:r w:rsidR="00193346" w:rsidRPr="004C78D8">
        <w:t xml:space="preserve"> </w:t>
      </w:r>
      <w:r w:rsidR="00193346" w:rsidRPr="004C78D8">
        <w:fldChar w:fldCharType="begin"/>
      </w:r>
      <w:r w:rsidR="00C630FC" w:rsidRPr="004C78D8">
        <w:instrText xml:space="preserve"> ADDIN EN.CITE &lt;EndNote&gt;&lt;Cite&gt;&lt;Author&gt;Peasgood&lt;/Author&gt;&lt;Year&gt;2009&lt;/Year&gt;&lt;RecNum&gt;544&lt;/RecNum&gt;&lt;DisplayText&gt;[265]&lt;/DisplayText&gt;&lt;record&gt;&lt;rec-number&gt;544&lt;/rec-number&gt;&lt;foreign-keys&gt;&lt;key app="EN" db-id="tdtrdw9aepptzbefsat599syza29sxsd2wsp" timestamp="1618666710"&gt;544&lt;/key&gt;&lt;/foreign-keys&gt;&lt;ref-type name="Journal Article"&gt;17&lt;/ref-type&gt;&lt;contributors&gt;&lt;authors&gt;&lt;author&gt;Peasgood, T.&lt;/author&gt;&lt;author&gt;Herrmann, K.&lt;/author&gt;&lt;author&gt;Kanis, J. A.&lt;/author&gt;&lt;author&gt;Brazier, J. E.&lt;/author&gt;&lt;/authors&gt;&lt;/contributors&gt;&lt;auth-address&gt;Health Economics and Decision Science, School of Health and Related Research, University of Sheffield Regent Court, Court, 30 Regent Street, Sheffield, UK S1 4DA.&lt;/auth-address&gt;&lt;titles&gt;&lt;title&gt;An updated systematic review of Health State Utility Values for osteoporosis related conditions&lt;/title&gt;&lt;secondary-title&gt;Osteoporos Int&lt;/secondary-title&gt;&lt;/titles&gt;&lt;periodical&gt;&lt;full-title&gt;Osteoporos Int&lt;/full-title&gt;&lt;abbr-1&gt;Osteoporosis international : a journal established as result of cooperation between the European Foundation for Osteoporosis and the National Osteoporosis Foundation of the USA&lt;/abbr-1&gt;&lt;/periodical&gt;&lt;pages&gt;853-68&lt;/pages&gt;&lt;volume&gt;20&lt;/volume&gt;&lt;number&gt;6&lt;/number&gt;&lt;keywords&gt;&lt;keyword&gt;Analysis of Variance&lt;/keyword&gt;&lt;keyword&gt;Clinical Trials as Topic&lt;/keyword&gt;&lt;keyword&gt;Cost-Benefit Analysis&lt;/keyword&gt;&lt;keyword&gt;Female&lt;/keyword&gt;&lt;keyword&gt;*Fractures, Bone&lt;/keyword&gt;&lt;keyword&gt;Humans&lt;/keyword&gt;&lt;keyword&gt;Male&lt;/keyword&gt;&lt;keyword&gt;*Osteoporosis&lt;/keyword&gt;&lt;keyword&gt;*Quality-Adjusted Life Years&lt;/keyword&gt;&lt;keyword&gt;Reference Values&lt;/keyword&gt;&lt;/keywords&gt;&lt;dates&gt;&lt;year&gt;2009&lt;/year&gt;&lt;pub-dates&gt;&lt;date&gt;Jun&lt;/date&gt;&lt;/pub-dates&gt;&lt;/dates&gt;&lt;isbn&gt;1433-2965 (Electronic)&amp;#xD;0937-941X (Linking)&lt;/isbn&gt;&lt;accession-num&gt;19271098&lt;/accession-num&gt;&lt;urls&gt;&lt;related-urls&gt;&lt;url&gt;https://www.ncbi.nlm.nih.gov/pubmed/19271098&lt;/url&gt;&lt;/related-urls&gt;&lt;/urls&gt;&lt;electronic-resource-num&gt;10.1007/s00198-009-0844-y&lt;/electronic-resource-num&gt;&lt;/record&gt;&lt;/Cite&gt;&lt;/EndNote&gt;</w:instrText>
      </w:r>
      <w:r w:rsidR="00193346" w:rsidRPr="004C78D8">
        <w:fldChar w:fldCharType="separate"/>
      </w:r>
      <w:r w:rsidR="00C630FC" w:rsidRPr="004C78D8">
        <w:rPr>
          <w:noProof/>
        </w:rPr>
        <w:t>[265]</w:t>
      </w:r>
      <w:r w:rsidR="00193346" w:rsidRPr="004C78D8">
        <w:fldChar w:fldCharType="end"/>
      </w:r>
      <w:r w:rsidR="005125F2" w:rsidRPr="004C78D8">
        <w:t xml:space="preserve">. </w:t>
      </w:r>
      <w:r w:rsidR="003A290D" w:rsidRPr="004C78D8">
        <w:t>For recurrent MA fallers, a</w:t>
      </w:r>
      <w:r w:rsidR="00D1203C" w:rsidRPr="004C78D8">
        <w:t xml:space="preserve"> simple </w:t>
      </w:r>
      <w:r w:rsidR="003A290D" w:rsidRPr="004C78D8">
        <w:t xml:space="preserve">assumption was made </w:t>
      </w:r>
      <w:r w:rsidR="00D1203C" w:rsidRPr="004C78D8">
        <w:t>that the relevant QALY losses would be added</w:t>
      </w:r>
      <w:r w:rsidR="0095576B" w:rsidRPr="004C78D8">
        <w:t>:</w:t>
      </w:r>
      <w:r w:rsidR="00D1203C" w:rsidRPr="004C78D8">
        <w:t xml:space="preserve"> </w:t>
      </w:r>
      <w:r w:rsidR="0095576B" w:rsidRPr="004C78D8">
        <w:t>e.g.</w:t>
      </w:r>
      <w:r w:rsidR="00D1203C" w:rsidRPr="004C78D8">
        <w:t>, QALY loss of 0.279 was assigned to a person whose first MA fall did not require hospitali</w:t>
      </w:r>
      <w:r w:rsidR="0095576B" w:rsidRPr="004C78D8">
        <w:t>s</w:t>
      </w:r>
      <w:r w:rsidR="00D1203C" w:rsidRPr="004C78D8">
        <w:t xml:space="preserve">ation but the second one did. </w:t>
      </w:r>
    </w:p>
    <w:p w14:paraId="0739D2C9" w14:textId="17E4467E" w:rsidR="001E1221" w:rsidRPr="004C78D8" w:rsidRDefault="00CC53AC" w:rsidP="00FB7C1F">
      <w:pPr>
        <w:pStyle w:val="Heading4"/>
      </w:pPr>
      <w:r w:rsidRPr="004C78D8">
        <w:t>5</w:t>
      </w:r>
      <w:r w:rsidR="001E1221" w:rsidRPr="004C78D8">
        <w:t>.</w:t>
      </w:r>
      <w:r w:rsidR="00332ADA" w:rsidRPr="004C78D8">
        <w:t>2</w:t>
      </w:r>
      <w:r w:rsidR="001E1221" w:rsidRPr="004C78D8">
        <w:t>.</w:t>
      </w:r>
      <w:r w:rsidR="00480861" w:rsidRPr="004C78D8">
        <w:t>5</w:t>
      </w:r>
      <w:r w:rsidR="001E1221" w:rsidRPr="004C78D8">
        <w:t>.4 Economic consequences of falls</w:t>
      </w:r>
    </w:p>
    <w:p w14:paraId="2E4BBFF1" w14:textId="2C00841E" w:rsidR="00353F28" w:rsidRPr="004C78D8" w:rsidRDefault="00353F28" w:rsidP="00FB7C1F">
      <w:r w:rsidRPr="004C78D8">
        <w:t>E</w:t>
      </w:r>
      <w:r w:rsidR="00C8437F" w:rsidRPr="004C78D8">
        <w:t xml:space="preserve">conomic consequences </w:t>
      </w:r>
      <w:r w:rsidR="001D725D" w:rsidRPr="004C78D8">
        <w:t>directly attributable to</w:t>
      </w:r>
      <w:r w:rsidR="00C8437F" w:rsidRPr="004C78D8">
        <w:t xml:space="preserve"> falls </w:t>
      </w:r>
      <w:r w:rsidRPr="004C78D8">
        <w:t xml:space="preserve">can be </w:t>
      </w:r>
      <w:r w:rsidR="003556C0" w:rsidRPr="004C78D8">
        <w:t>categori</w:t>
      </w:r>
      <w:r w:rsidR="00335231" w:rsidRPr="004C78D8">
        <w:t>s</w:t>
      </w:r>
      <w:r w:rsidR="003556C0" w:rsidRPr="004C78D8">
        <w:t>ed by sector and care type: healthcare – A&amp;E, hospitali</w:t>
      </w:r>
      <w:r w:rsidR="00335231" w:rsidRPr="004C78D8">
        <w:t>s</w:t>
      </w:r>
      <w:r w:rsidR="003556C0" w:rsidRPr="004C78D8">
        <w:t>ation, ambulatory/community</w:t>
      </w:r>
      <w:r w:rsidR="00982605" w:rsidRPr="004C78D8">
        <w:t>,</w:t>
      </w:r>
      <w:r w:rsidR="003556C0" w:rsidRPr="004C78D8">
        <w:t xml:space="preserve"> and rehabilitation; social care</w:t>
      </w:r>
      <w:r w:rsidR="00335231" w:rsidRPr="004C78D8">
        <w:t xml:space="preserve"> – short-term and long-term</w:t>
      </w:r>
      <w:r w:rsidR="003556C0" w:rsidRPr="004C78D8">
        <w:t xml:space="preserve">; </w:t>
      </w:r>
      <w:r w:rsidR="00335231" w:rsidRPr="004C78D8">
        <w:t xml:space="preserve">and </w:t>
      </w:r>
      <w:r w:rsidR="003556C0" w:rsidRPr="004C78D8">
        <w:t xml:space="preserve">societal – </w:t>
      </w:r>
      <w:r w:rsidR="00335231" w:rsidRPr="004C78D8">
        <w:t>OOP</w:t>
      </w:r>
      <w:r w:rsidR="003556C0" w:rsidRPr="004C78D8">
        <w:t xml:space="preserve"> care, informal caregiver burden</w:t>
      </w:r>
      <w:r w:rsidR="00982605" w:rsidRPr="004C78D8">
        <w:t>,</w:t>
      </w:r>
      <w:r w:rsidR="003556C0" w:rsidRPr="004C78D8">
        <w:t xml:space="preserve"> and productivity loss. </w:t>
      </w:r>
      <w:r w:rsidR="009855DF" w:rsidRPr="004C78D8">
        <w:t>The</w:t>
      </w:r>
      <w:r w:rsidR="002A4174" w:rsidRPr="004C78D8">
        <w:t>se</w:t>
      </w:r>
      <w:r w:rsidR="009855DF" w:rsidRPr="004C78D8">
        <w:t xml:space="preserve"> </w:t>
      </w:r>
      <w:r w:rsidR="00335231" w:rsidRPr="004C78D8">
        <w:t>direct</w:t>
      </w:r>
      <w:r w:rsidR="009855DF" w:rsidRPr="004C78D8">
        <w:t xml:space="preserve"> costs </w:t>
      </w:r>
      <w:r w:rsidR="00335231" w:rsidRPr="004C78D8">
        <w:t xml:space="preserve">complement the comorbidity care costs parameterised </w:t>
      </w:r>
      <w:r w:rsidR="009855DF" w:rsidRPr="004C78D8">
        <w:t xml:space="preserve">in Section </w:t>
      </w:r>
      <w:r w:rsidR="00CC53AC" w:rsidRPr="004C78D8">
        <w:t>5</w:t>
      </w:r>
      <w:r w:rsidR="009855DF" w:rsidRPr="004C78D8">
        <w:t>.</w:t>
      </w:r>
      <w:r w:rsidR="00CB5FB7" w:rsidRPr="004C78D8">
        <w:t>2</w:t>
      </w:r>
      <w:r w:rsidR="009855DF" w:rsidRPr="004C78D8">
        <w:t>.3.</w:t>
      </w:r>
      <w:r w:rsidR="00935A0A" w:rsidRPr="004C78D8">
        <w:t>4</w:t>
      </w:r>
      <w:r w:rsidR="009855DF" w:rsidRPr="004C78D8">
        <w:t>.</w:t>
      </w:r>
      <w:r w:rsidR="001D725D" w:rsidRPr="004C78D8">
        <w:t xml:space="preserve"> </w:t>
      </w:r>
      <w:r w:rsidR="00335231" w:rsidRPr="004C78D8">
        <w:t xml:space="preserve">Costs of </w:t>
      </w:r>
      <w:r w:rsidR="00982605" w:rsidRPr="004C78D8">
        <w:t>LTC</w:t>
      </w:r>
      <w:r w:rsidR="001D725D" w:rsidRPr="004C78D8">
        <w:t xml:space="preserve"> are parameteri</w:t>
      </w:r>
      <w:r w:rsidR="00335231" w:rsidRPr="004C78D8">
        <w:t>s</w:t>
      </w:r>
      <w:r w:rsidR="001D725D" w:rsidRPr="004C78D8">
        <w:t xml:space="preserve">ed separately in Section </w:t>
      </w:r>
      <w:r w:rsidR="00CC53AC" w:rsidRPr="004C78D8">
        <w:t>5</w:t>
      </w:r>
      <w:r w:rsidR="001D725D" w:rsidRPr="004C78D8">
        <w:t>.</w:t>
      </w:r>
      <w:r w:rsidR="00CB5FB7" w:rsidRPr="004C78D8">
        <w:t>2</w:t>
      </w:r>
      <w:r w:rsidR="001D725D" w:rsidRPr="004C78D8">
        <w:t>.6.</w:t>
      </w:r>
      <w:r w:rsidR="00335231" w:rsidRPr="004C78D8">
        <w:t>2</w:t>
      </w:r>
      <w:r w:rsidR="001D725D" w:rsidRPr="004C78D8">
        <w:t xml:space="preserve"> as part of dynamic transition.</w:t>
      </w:r>
    </w:p>
    <w:p w14:paraId="0CCC2AA5" w14:textId="067AA5C5" w:rsidR="00CE5817" w:rsidRPr="004C78D8" w:rsidRDefault="00CA75D2" w:rsidP="00FB7C1F">
      <w:pPr>
        <w:pStyle w:val="Heading5"/>
      </w:pPr>
      <w:r w:rsidRPr="004C78D8">
        <w:t>Public sector</w:t>
      </w:r>
      <w:r w:rsidR="002A4021" w:rsidRPr="004C78D8">
        <w:t xml:space="preserve"> costs</w:t>
      </w:r>
    </w:p>
    <w:p w14:paraId="3B04B2F7" w14:textId="6CC3A771" w:rsidR="008F26D1" w:rsidRPr="004C78D8" w:rsidRDefault="000D1494" w:rsidP="00FB7C1F">
      <w:r w:rsidRPr="004C78D8">
        <w:t xml:space="preserve">Table </w:t>
      </w:r>
      <w:r w:rsidR="00CC53AC" w:rsidRPr="004C78D8">
        <w:t>5</w:t>
      </w:r>
      <w:r w:rsidR="00335231" w:rsidRPr="004C78D8">
        <w:t>.4</w:t>
      </w:r>
      <w:r w:rsidR="00CC53AC" w:rsidRPr="004C78D8">
        <w:t>4</w:t>
      </w:r>
      <w:r w:rsidRPr="004C78D8">
        <w:t xml:space="preserve"> summari</w:t>
      </w:r>
      <w:r w:rsidR="00335231" w:rsidRPr="004C78D8">
        <w:t>s</w:t>
      </w:r>
      <w:r w:rsidRPr="004C78D8">
        <w:t xml:space="preserve">es the direct healthcare costs </w:t>
      </w:r>
      <w:r w:rsidR="003967A2" w:rsidRPr="004C78D8">
        <w:t>of MA</w:t>
      </w:r>
      <w:r w:rsidRPr="004C78D8">
        <w:t xml:space="preserve"> falls</w:t>
      </w:r>
      <w:r w:rsidR="00D317EE" w:rsidRPr="004C78D8">
        <w:t xml:space="preserve"> in the year of incidence</w:t>
      </w:r>
      <w:r w:rsidRPr="004C78D8">
        <w:t xml:space="preserve">. </w:t>
      </w:r>
      <w:r w:rsidR="00343DBD" w:rsidRPr="004C78D8">
        <w:t xml:space="preserve">Data were obtained from </w:t>
      </w:r>
      <w:r w:rsidR="00497A01" w:rsidRPr="004C78D8">
        <w:t>two UK-based models</w:t>
      </w:r>
      <w:r w:rsidR="003967A2" w:rsidRPr="004C78D8">
        <w:t xml:space="preserve">, Franklin (2019) </w:t>
      </w:r>
      <w:r w:rsidR="003967A2" w:rsidRPr="004C78D8">
        <w:fldChar w:fldCharType="begin"/>
      </w:r>
      <w:r w:rsidR="00C630FC" w:rsidRPr="004C78D8">
        <w:instrText xml:space="preserve"> ADDIN EN.CITE &lt;EndNote&gt;&lt;Cite&gt;&lt;Author&gt;Franklin&lt;/Author&gt;&lt;Year&gt;2019&lt;/Year&gt;&lt;RecNum&gt;395&lt;/RecNum&gt;&lt;DisplayText&gt;[363]&lt;/DisplayText&gt;&lt;record&gt;&lt;rec-number&gt;395&lt;/rec-number&gt;&lt;foreign-keys&gt;&lt;key app="EN" db-id="tdtrdw9aepptzbefsat599syza29sxsd2wsp" timestamp="1612694614"&gt;395&lt;/key&gt;&lt;/foreign-keys&gt;&lt;ref-type name="Journal Article"&gt;17&lt;/ref-type&gt;&lt;contributors&gt;&lt;authors&gt;&lt;author&gt;Franklin, Matthew&lt;/author&gt;&lt;author&gt;Hunter, Rachael Maree&lt;/author&gt;&lt;/authors&gt;&lt;/contributors&gt;&lt;titles&gt;&lt;title&gt;A modelling-based economic evaluation of primary-care-based fall-risk screening followed by fall-prevention intervention: a cohort-based Markov model stratified by older age groups&lt;/title&gt;&lt;secondary-title&gt;Age and ageing&lt;/secondary-title&gt;&lt;/titles&gt;&lt;periodical&gt;&lt;full-title&gt;Age and ageing&lt;/full-title&gt;&lt;/periodical&gt;&lt;dates&gt;&lt;year&gt;2019&lt;/year&gt;&lt;/dates&gt;&lt;urls&gt;&lt;/urls&gt;&lt;/record&gt;&lt;/Cite&gt;&lt;/EndNote&gt;</w:instrText>
      </w:r>
      <w:r w:rsidR="003967A2" w:rsidRPr="004C78D8">
        <w:fldChar w:fldCharType="separate"/>
      </w:r>
      <w:r w:rsidR="00C630FC" w:rsidRPr="004C78D8">
        <w:rPr>
          <w:noProof/>
        </w:rPr>
        <w:t>[363]</w:t>
      </w:r>
      <w:r w:rsidR="003967A2" w:rsidRPr="004C78D8">
        <w:fldChar w:fldCharType="end"/>
      </w:r>
      <w:r w:rsidR="003967A2" w:rsidRPr="004C78D8">
        <w:t xml:space="preserve"> and PHE model </w:t>
      </w:r>
      <w:r w:rsidR="003967A2" w:rsidRPr="004C78D8">
        <w:fldChar w:fldCharType="begin"/>
      </w:r>
      <w:r w:rsidR="00C630FC" w:rsidRPr="004C78D8">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003967A2" w:rsidRPr="004C78D8">
        <w:fldChar w:fldCharType="separate"/>
      </w:r>
      <w:r w:rsidR="00C630FC" w:rsidRPr="004C78D8">
        <w:rPr>
          <w:noProof/>
        </w:rPr>
        <w:t>[216]</w:t>
      </w:r>
      <w:r w:rsidR="003967A2" w:rsidRPr="004C78D8">
        <w:fldChar w:fldCharType="end"/>
      </w:r>
      <w:r w:rsidR="003967A2" w:rsidRPr="004C78D8">
        <w:t>,</w:t>
      </w:r>
      <w:r w:rsidR="00F377E6" w:rsidRPr="004C78D8">
        <w:t xml:space="preserve"> that incorporated nationally representative cost estimates. </w:t>
      </w:r>
      <w:r w:rsidR="008F26D1" w:rsidRPr="004C78D8">
        <w:t>For those who experience</w:t>
      </w:r>
      <w:r w:rsidR="006E7D23" w:rsidRPr="004C78D8">
        <w:t>d</w:t>
      </w:r>
      <w:r w:rsidR="008F26D1" w:rsidRPr="004C78D8">
        <w:t xml:space="preserve"> recurrent MA falls, the resource consequences were assumed not to overlap</w:t>
      </w:r>
      <w:r w:rsidR="006E7D23" w:rsidRPr="004C78D8">
        <w:t>,</w:t>
      </w:r>
      <w:r w:rsidR="008F26D1" w:rsidRPr="004C78D8">
        <w:t xml:space="preserve"> and their costs were added. </w:t>
      </w:r>
      <w:r w:rsidR="006E7D23" w:rsidRPr="004C78D8">
        <w:t>Healthcare costs incurred after the year of incidence were incorporated as</w:t>
      </w:r>
      <w:r w:rsidR="008F26D1" w:rsidRPr="004C78D8">
        <w:t xml:space="preserve"> comorbidity care costs associated with higher frailty</w:t>
      </w:r>
      <w:r w:rsidR="00D01220" w:rsidRPr="004C78D8">
        <w:t>.</w:t>
      </w:r>
    </w:p>
    <w:tbl>
      <w:tblPr>
        <w:tblStyle w:val="TableGrid"/>
        <w:tblW w:w="0" w:type="auto"/>
        <w:tblInd w:w="-5" w:type="dxa"/>
        <w:tblLook w:val="04A0" w:firstRow="1" w:lastRow="0" w:firstColumn="1" w:lastColumn="0" w:noHBand="0" w:noVBand="1"/>
      </w:tblPr>
      <w:tblGrid>
        <w:gridCol w:w="1413"/>
        <w:gridCol w:w="2126"/>
        <w:gridCol w:w="1985"/>
        <w:gridCol w:w="1701"/>
      </w:tblGrid>
      <w:tr w:rsidR="007F6457" w:rsidRPr="004C78D8" w14:paraId="50DE5689" w14:textId="77777777" w:rsidTr="00E35893">
        <w:tc>
          <w:tcPr>
            <w:tcW w:w="7225" w:type="dxa"/>
            <w:gridSpan w:val="4"/>
          </w:tcPr>
          <w:p w14:paraId="0DBAC32D" w14:textId="56C1284A" w:rsidR="007F6457" w:rsidRPr="004C78D8" w:rsidRDefault="007F6457" w:rsidP="00FB7C1F">
            <w:r w:rsidRPr="004C78D8">
              <w:rPr>
                <w:b/>
                <w:bCs/>
              </w:rPr>
              <w:t xml:space="preserve">Table </w:t>
            </w:r>
            <w:r w:rsidR="00CC53AC" w:rsidRPr="004C78D8">
              <w:rPr>
                <w:b/>
                <w:bCs/>
              </w:rPr>
              <w:t>5</w:t>
            </w:r>
            <w:r w:rsidR="00335231" w:rsidRPr="004C78D8">
              <w:rPr>
                <w:b/>
                <w:bCs/>
              </w:rPr>
              <w:t>.4</w:t>
            </w:r>
            <w:r w:rsidR="00CC53AC" w:rsidRPr="004C78D8">
              <w:rPr>
                <w:b/>
                <w:bCs/>
              </w:rPr>
              <w:t>4</w:t>
            </w:r>
            <w:r w:rsidRPr="004C78D8">
              <w:t xml:space="preserve"> </w:t>
            </w:r>
            <w:r w:rsidR="00790BAA" w:rsidRPr="004C78D8">
              <w:t>D</w:t>
            </w:r>
            <w:r w:rsidRPr="004C78D8">
              <w:t xml:space="preserve">irect healthcare </w:t>
            </w:r>
            <w:r w:rsidR="000D1494" w:rsidRPr="004C78D8">
              <w:t>costs</w:t>
            </w:r>
            <w:r w:rsidRPr="004C78D8">
              <w:t xml:space="preserve"> of falls</w:t>
            </w:r>
            <w:r w:rsidR="00D317EE" w:rsidRPr="004C78D8">
              <w:t xml:space="preserve"> in </w:t>
            </w:r>
            <w:r w:rsidR="00317DC5" w:rsidRPr="004C78D8">
              <w:t xml:space="preserve">the </w:t>
            </w:r>
            <w:r w:rsidR="00D317EE" w:rsidRPr="004C78D8">
              <w:t>year of incidence</w:t>
            </w:r>
            <w:r w:rsidR="0095576B" w:rsidRPr="004C78D8">
              <w:t>.</w:t>
            </w:r>
          </w:p>
        </w:tc>
      </w:tr>
      <w:tr w:rsidR="006E7D23" w:rsidRPr="004C78D8" w14:paraId="1DF49C7D" w14:textId="77777777" w:rsidTr="00E35893">
        <w:tc>
          <w:tcPr>
            <w:tcW w:w="1413" w:type="dxa"/>
          </w:tcPr>
          <w:p w14:paraId="7CAAA0A7" w14:textId="5C861A18" w:rsidR="006E7D23" w:rsidRPr="004C78D8" w:rsidRDefault="006E7D23" w:rsidP="00FB7C1F">
            <w:pPr>
              <w:jc w:val="left"/>
              <w:rPr>
                <w:b/>
                <w:bCs/>
                <w:sz w:val="20"/>
                <w:szCs w:val="20"/>
              </w:rPr>
            </w:pPr>
            <w:r w:rsidRPr="004C78D8">
              <w:rPr>
                <w:b/>
                <w:bCs/>
                <w:sz w:val="20"/>
                <w:szCs w:val="20"/>
              </w:rPr>
              <w:t>Fall type</w:t>
            </w:r>
          </w:p>
        </w:tc>
        <w:tc>
          <w:tcPr>
            <w:tcW w:w="2126" w:type="dxa"/>
            <w:tcBorders>
              <w:bottom w:val="single" w:sz="4" w:space="0" w:color="auto"/>
            </w:tcBorders>
          </w:tcPr>
          <w:p w14:paraId="5C27CFF0" w14:textId="1FACAD6E" w:rsidR="006E7D23" w:rsidRPr="004C78D8" w:rsidRDefault="00564B98" w:rsidP="00FB7C1F">
            <w:pPr>
              <w:jc w:val="left"/>
              <w:rPr>
                <w:b/>
                <w:bCs/>
                <w:sz w:val="20"/>
                <w:szCs w:val="20"/>
              </w:rPr>
            </w:pPr>
            <w:r w:rsidRPr="004C78D8">
              <w:rPr>
                <w:b/>
                <w:bCs/>
                <w:sz w:val="20"/>
                <w:szCs w:val="20"/>
              </w:rPr>
              <w:t>Resource</w:t>
            </w:r>
            <w:r w:rsidR="006E7D23" w:rsidRPr="004C78D8">
              <w:rPr>
                <w:b/>
                <w:bCs/>
                <w:sz w:val="20"/>
                <w:szCs w:val="20"/>
              </w:rPr>
              <w:t xml:space="preserve"> consequence</w:t>
            </w:r>
          </w:p>
        </w:tc>
        <w:tc>
          <w:tcPr>
            <w:tcW w:w="1985" w:type="dxa"/>
            <w:tcBorders>
              <w:bottom w:val="single" w:sz="4" w:space="0" w:color="auto"/>
            </w:tcBorders>
          </w:tcPr>
          <w:p w14:paraId="38E23389" w14:textId="7F8AFEE2" w:rsidR="006E7D23" w:rsidRPr="004C78D8" w:rsidRDefault="00564B98" w:rsidP="00FB7C1F">
            <w:pPr>
              <w:jc w:val="left"/>
              <w:rPr>
                <w:b/>
                <w:bCs/>
                <w:sz w:val="20"/>
                <w:szCs w:val="20"/>
              </w:rPr>
            </w:pPr>
            <w:r w:rsidRPr="004C78D8">
              <w:rPr>
                <w:b/>
                <w:bCs/>
                <w:sz w:val="20"/>
                <w:szCs w:val="20"/>
              </w:rPr>
              <w:t>C</w:t>
            </w:r>
            <w:r w:rsidR="006E7D23" w:rsidRPr="004C78D8">
              <w:rPr>
                <w:b/>
                <w:bCs/>
                <w:sz w:val="20"/>
                <w:szCs w:val="20"/>
              </w:rPr>
              <w:t>ost</w:t>
            </w:r>
            <w:r w:rsidR="006E7D23" w:rsidRPr="004C78D8">
              <w:rPr>
                <w:b/>
                <w:bCs/>
                <w:sz w:val="20"/>
                <w:szCs w:val="20"/>
                <w:vertAlign w:val="superscript"/>
              </w:rPr>
              <w:t>1</w:t>
            </w:r>
          </w:p>
        </w:tc>
        <w:tc>
          <w:tcPr>
            <w:tcW w:w="1701" w:type="dxa"/>
            <w:tcBorders>
              <w:bottom w:val="single" w:sz="4" w:space="0" w:color="auto"/>
            </w:tcBorders>
          </w:tcPr>
          <w:p w14:paraId="58DFD4D4" w14:textId="667FA16C" w:rsidR="006E7D23" w:rsidRPr="004C78D8" w:rsidRDefault="006E7D23" w:rsidP="00FB7C1F">
            <w:pPr>
              <w:jc w:val="left"/>
              <w:rPr>
                <w:b/>
                <w:bCs/>
                <w:sz w:val="20"/>
                <w:szCs w:val="20"/>
              </w:rPr>
            </w:pPr>
            <w:r w:rsidRPr="004C78D8">
              <w:rPr>
                <w:b/>
                <w:bCs/>
                <w:sz w:val="20"/>
                <w:szCs w:val="20"/>
              </w:rPr>
              <w:t>Source reference</w:t>
            </w:r>
          </w:p>
        </w:tc>
      </w:tr>
      <w:tr w:rsidR="00564B98" w:rsidRPr="004C78D8" w14:paraId="200BDE21" w14:textId="77777777" w:rsidTr="00E35893">
        <w:tc>
          <w:tcPr>
            <w:tcW w:w="1413" w:type="dxa"/>
            <w:vMerge w:val="restart"/>
          </w:tcPr>
          <w:p w14:paraId="4C242839" w14:textId="64E7928C" w:rsidR="00564B98" w:rsidRPr="004C78D8" w:rsidRDefault="00564B98" w:rsidP="00FB7C1F">
            <w:pPr>
              <w:jc w:val="left"/>
              <w:rPr>
                <w:sz w:val="18"/>
                <w:szCs w:val="18"/>
              </w:rPr>
            </w:pPr>
            <w:r w:rsidRPr="004C78D8">
              <w:rPr>
                <w:sz w:val="18"/>
                <w:szCs w:val="18"/>
              </w:rPr>
              <w:t>MA fall – not hospitali</w:t>
            </w:r>
            <w:r w:rsidR="00D01220" w:rsidRPr="004C78D8">
              <w:rPr>
                <w:sz w:val="18"/>
                <w:szCs w:val="18"/>
              </w:rPr>
              <w:t>s</w:t>
            </w:r>
            <w:r w:rsidRPr="004C78D8">
              <w:rPr>
                <w:sz w:val="18"/>
                <w:szCs w:val="18"/>
              </w:rPr>
              <w:t>ed</w:t>
            </w:r>
          </w:p>
        </w:tc>
        <w:tc>
          <w:tcPr>
            <w:tcW w:w="2126" w:type="dxa"/>
            <w:tcBorders>
              <w:bottom w:val="nil"/>
            </w:tcBorders>
          </w:tcPr>
          <w:p w14:paraId="6E18FD54" w14:textId="7141FBE6" w:rsidR="00564B98" w:rsidRPr="004C78D8" w:rsidRDefault="00564B98" w:rsidP="00FB7C1F">
            <w:pPr>
              <w:jc w:val="left"/>
              <w:rPr>
                <w:sz w:val="18"/>
                <w:szCs w:val="18"/>
              </w:rPr>
            </w:pPr>
            <w:r w:rsidRPr="004C78D8">
              <w:rPr>
                <w:sz w:val="18"/>
                <w:szCs w:val="18"/>
              </w:rPr>
              <w:t>999 call</w:t>
            </w:r>
          </w:p>
        </w:tc>
        <w:tc>
          <w:tcPr>
            <w:tcW w:w="1985" w:type="dxa"/>
            <w:tcBorders>
              <w:bottom w:val="nil"/>
            </w:tcBorders>
          </w:tcPr>
          <w:p w14:paraId="2227F11E" w14:textId="7491F57D" w:rsidR="00564B98" w:rsidRPr="004C78D8" w:rsidRDefault="00564B98" w:rsidP="00FB7C1F">
            <w:pPr>
              <w:jc w:val="left"/>
              <w:rPr>
                <w:sz w:val="18"/>
                <w:szCs w:val="18"/>
              </w:rPr>
            </w:pPr>
            <w:r w:rsidRPr="004C78D8">
              <w:rPr>
                <w:sz w:val="18"/>
                <w:szCs w:val="18"/>
              </w:rPr>
              <w:t>£7.77</w:t>
            </w:r>
          </w:p>
        </w:tc>
        <w:tc>
          <w:tcPr>
            <w:tcW w:w="1701" w:type="dxa"/>
            <w:tcBorders>
              <w:bottom w:val="nil"/>
            </w:tcBorders>
          </w:tcPr>
          <w:p w14:paraId="7159E0A4" w14:textId="12815952" w:rsidR="00564B98" w:rsidRPr="004C78D8" w:rsidRDefault="00564B98"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&lt;EndNote&gt;&lt;Cite&gt;&lt;Author&gt;Franklin&lt;/Author&gt;&lt;Year&gt;2019&lt;/Year&gt;&lt;RecNum&gt;395&lt;/RecNum&gt;&lt;DisplayText&gt;[363]&lt;/DisplayText&gt;&lt;record&gt;&lt;rec-number&gt;395&lt;/rec-number&gt;&lt;foreign-keys&gt;&lt;key app="EN" db-id="tdtrdw9aepptzbefsat599syza29sxsd2wsp" timestamp="1612694614"&gt;395&lt;/key&gt;&lt;/foreign-keys&gt;&lt;ref-type name="Journal Article"&gt;17&lt;/ref-type&gt;&lt;contributors&gt;&lt;authors&gt;&lt;author&gt;Franklin, Matthew&lt;/author&gt;&lt;author&gt;Hunter, Rachael Maree&lt;/author&gt;&lt;/authors&gt;&lt;/contributors&gt;&lt;titles&gt;&lt;title&gt;A modelling-based economic evaluation of primary-care-based fall-risk screening followed by fall-prevention intervention: a cohort-based Markov model stratified by older age groups&lt;/title&gt;&lt;secondary-title&gt;Age and ageing&lt;/secondary-title&gt;&lt;/titles&gt;&lt;periodical&gt;&lt;full-title&gt;Age and ageing&lt;/full-title&gt;&lt;/periodical&gt;&lt;dates&gt;&lt;year&gt;2019&lt;/year&gt;&lt;/dates&gt;&lt;urls&gt;&lt;/urls&gt;&lt;/record&gt;&lt;/Cite&gt;&lt;/EndNote&gt;</w:instrText>
            </w:r>
            <w:r w:rsidRPr="004C78D8">
              <w:rPr>
                <w:sz w:val="18"/>
                <w:szCs w:val="18"/>
              </w:rPr>
              <w:fldChar w:fldCharType="separate"/>
            </w:r>
            <w:r w:rsidR="00C630FC" w:rsidRPr="004C78D8">
              <w:rPr>
                <w:noProof/>
                <w:sz w:val="18"/>
                <w:szCs w:val="18"/>
              </w:rPr>
              <w:t>[363]</w:t>
            </w:r>
            <w:r w:rsidRPr="004C78D8">
              <w:rPr>
                <w:sz w:val="18"/>
                <w:szCs w:val="18"/>
              </w:rPr>
              <w:fldChar w:fldCharType="end"/>
            </w:r>
          </w:p>
        </w:tc>
      </w:tr>
      <w:tr w:rsidR="00564B98" w:rsidRPr="004C78D8" w14:paraId="413162C0" w14:textId="77777777" w:rsidTr="00E35893">
        <w:tc>
          <w:tcPr>
            <w:tcW w:w="1413" w:type="dxa"/>
            <w:vMerge/>
          </w:tcPr>
          <w:p w14:paraId="025556DB" w14:textId="77777777" w:rsidR="00564B98" w:rsidRPr="004C78D8" w:rsidRDefault="00564B98" w:rsidP="00FB7C1F">
            <w:pPr>
              <w:jc w:val="left"/>
              <w:rPr>
                <w:sz w:val="18"/>
                <w:szCs w:val="18"/>
              </w:rPr>
            </w:pPr>
          </w:p>
        </w:tc>
        <w:tc>
          <w:tcPr>
            <w:tcW w:w="2126" w:type="dxa"/>
            <w:tcBorders>
              <w:top w:val="nil"/>
              <w:bottom w:val="nil"/>
            </w:tcBorders>
          </w:tcPr>
          <w:p w14:paraId="63C12E63" w14:textId="1862851F" w:rsidR="00564B98" w:rsidRPr="004C78D8" w:rsidRDefault="00564B98" w:rsidP="00FB7C1F">
            <w:pPr>
              <w:jc w:val="left"/>
              <w:rPr>
                <w:sz w:val="18"/>
                <w:szCs w:val="18"/>
              </w:rPr>
            </w:pPr>
            <w:r w:rsidRPr="004C78D8">
              <w:rPr>
                <w:sz w:val="18"/>
                <w:szCs w:val="18"/>
              </w:rPr>
              <w:t>Ambulance</w:t>
            </w:r>
          </w:p>
        </w:tc>
        <w:tc>
          <w:tcPr>
            <w:tcW w:w="1985" w:type="dxa"/>
            <w:tcBorders>
              <w:top w:val="nil"/>
              <w:bottom w:val="nil"/>
            </w:tcBorders>
          </w:tcPr>
          <w:p w14:paraId="1EF1D23F" w14:textId="0C44F068" w:rsidR="00564B98" w:rsidRPr="004C78D8" w:rsidRDefault="00564B98" w:rsidP="00FB7C1F">
            <w:pPr>
              <w:jc w:val="left"/>
              <w:rPr>
                <w:sz w:val="18"/>
                <w:szCs w:val="18"/>
              </w:rPr>
            </w:pPr>
            <w:r w:rsidRPr="004C78D8">
              <w:rPr>
                <w:sz w:val="18"/>
                <w:szCs w:val="18"/>
              </w:rPr>
              <w:t>£265.96</w:t>
            </w:r>
          </w:p>
        </w:tc>
        <w:tc>
          <w:tcPr>
            <w:tcW w:w="1701" w:type="dxa"/>
            <w:tcBorders>
              <w:top w:val="nil"/>
              <w:bottom w:val="nil"/>
            </w:tcBorders>
          </w:tcPr>
          <w:p w14:paraId="3E1B87B1" w14:textId="6C54C04D" w:rsidR="00564B98" w:rsidRPr="004C78D8" w:rsidRDefault="00564B98"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&lt;EndNote&gt;&lt;Cite&gt;&lt;Author&gt;Franklin&lt;/Author&gt;&lt;Year&gt;2019&lt;/Year&gt;&lt;RecNum&gt;395&lt;/RecNum&gt;&lt;DisplayText&gt;[363]&lt;/DisplayText&gt;&lt;record&gt;&lt;rec-number&gt;395&lt;/rec-number&gt;&lt;foreign-keys&gt;&lt;key app="EN" db-id="tdtrdw9aepptzbefsat599syza29sxsd2wsp" timestamp="1612694614"&gt;395&lt;/key&gt;&lt;/foreign-keys&gt;&lt;ref-type name="Journal Article"&gt;17&lt;/ref-type&gt;&lt;contributors&gt;&lt;authors&gt;&lt;author&gt;Franklin, Matthew&lt;/author&gt;&lt;author&gt;Hunter, Rachael Maree&lt;/author&gt;&lt;/authors&gt;&lt;/contributors&gt;&lt;titles&gt;&lt;title&gt;A modelling-based economic evaluation of primary-care-based fall-risk screening followed by fall-prevention intervention: a cohort-based Markov model stratified by older age groups&lt;/title&gt;&lt;secondary-title&gt;Age and ageing&lt;/secondary-title&gt;&lt;/titles&gt;&lt;periodical&gt;&lt;full-title&gt;Age and ageing&lt;/full-title&gt;&lt;/periodical&gt;&lt;dates&gt;&lt;year&gt;2019&lt;/year&gt;&lt;/dates&gt;&lt;urls&gt;&lt;/urls&gt;&lt;/record&gt;&lt;/Cite&gt;&lt;/EndNote&gt;</w:instrText>
            </w:r>
            <w:r w:rsidRPr="004C78D8">
              <w:rPr>
                <w:sz w:val="18"/>
                <w:szCs w:val="18"/>
              </w:rPr>
              <w:fldChar w:fldCharType="separate"/>
            </w:r>
            <w:r w:rsidR="00C630FC" w:rsidRPr="004C78D8">
              <w:rPr>
                <w:noProof/>
                <w:sz w:val="18"/>
                <w:szCs w:val="18"/>
              </w:rPr>
              <w:t>[363]</w:t>
            </w:r>
            <w:r w:rsidRPr="004C78D8">
              <w:rPr>
                <w:sz w:val="18"/>
                <w:szCs w:val="18"/>
              </w:rPr>
              <w:fldChar w:fldCharType="end"/>
            </w:r>
          </w:p>
        </w:tc>
      </w:tr>
      <w:tr w:rsidR="00564B98" w:rsidRPr="004C78D8" w14:paraId="2BEA09C3" w14:textId="77777777" w:rsidTr="00E35893">
        <w:tc>
          <w:tcPr>
            <w:tcW w:w="1413" w:type="dxa"/>
            <w:vMerge/>
          </w:tcPr>
          <w:p w14:paraId="1EA6243D" w14:textId="77777777" w:rsidR="00564B98" w:rsidRPr="004C78D8" w:rsidRDefault="00564B98" w:rsidP="00FB7C1F">
            <w:pPr>
              <w:jc w:val="left"/>
              <w:rPr>
                <w:sz w:val="18"/>
                <w:szCs w:val="18"/>
              </w:rPr>
            </w:pPr>
          </w:p>
        </w:tc>
        <w:tc>
          <w:tcPr>
            <w:tcW w:w="2126" w:type="dxa"/>
            <w:tcBorders>
              <w:top w:val="nil"/>
              <w:bottom w:val="nil"/>
            </w:tcBorders>
          </w:tcPr>
          <w:p w14:paraId="561EE741" w14:textId="32264618" w:rsidR="00564B98" w:rsidRPr="004C78D8" w:rsidRDefault="00564B98" w:rsidP="00FB7C1F">
            <w:pPr>
              <w:jc w:val="left"/>
              <w:rPr>
                <w:sz w:val="18"/>
                <w:szCs w:val="18"/>
              </w:rPr>
            </w:pPr>
            <w:r w:rsidRPr="004C78D8">
              <w:rPr>
                <w:sz w:val="18"/>
                <w:szCs w:val="18"/>
              </w:rPr>
              <w:t>A&amp;E only</w:t>
            </w:r>
          </w:p>
        </w:tc>
        <w:tc>
          <w:tcPr>
            <w:tcW w:w="1985" w:type="dxa"/>
            <w:tcBorders>
              <w:top w:val="nil"/>
              <w:bottom w:val="nil"/>
            </w:tcBorders>
          </w:tcPr>
          <w:p w14:paraId="66C8EC62" w14:textId="5DBE769E" w:rsidR="00564B98" w:rsidRPr="004C78D8" w:rsidRDefault="00564B98" w:rsidP="00FB7C1F">
            <w:pPr>
              <w:jc w:val="left"/>
              <w:rPr>
                <w:sz w:val="18"/>
                <w:szCs w:val="18"/>
              </w:rPr>
            </w:pPr>
            <w:r w:rsidRPr="004C78D8">
              <w:rPr>
                <w:sz w:val="18"/>
                <w:szCs w:val="18"/>
              </w:rPr>
              <w:t>£157.48</w:t>
            </w:r>
          </w:p>
        </w:tc>
        <w:tc>
          <w:tcPr>
            <w:tcW w:w="1701" w:type="dxa"/>
            <w:tcBorders>
              <w:top w:val="nil"/>
              <w:bottom w:val="nil"/>
            </w:tcBorders>
          </w:tcPr>
          <w:p w14:paraId="45215C98" w14:textId="24652023" w:rsidR="00564B98" w:rsidRPr="004C78D8" w:rsidRDefault="00564B98"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&lt;EndNote&gt;&lt;Cite&gt;&lt;Author&gt;Franklin&lt;/Author&gt;&lt;Year&gt;2019&lt;/Year&gt;&lt;RecNum&gt;395&lt;/RecNum&gt;&lt;DisplayText&gt;[363]&lt;/DisplayText&gt;&lt;record&gt;&lt;rec-number&gt;395&lt;/rec-number&gt;&lt;foreign-keys&gt;&lt;key app="EN" db-id="tdtrdw9aepptzbefsat599syza29sxsd2wsp" timestamp="1612694614"&gt;395&lt;/key&gt;&lt;/foreign-keys&gt;&lt;ref-type name="Journal Article"&gt;17&lt;/ref-type&gt;&lt;contributors&gt;&lt;authors&gt;&lt;author&gt;Franklin, Matthew&lt;/author&gt;&lt;author&gt;Hunter, Rachael Maree&lt;/author&gt;&lt;/authors&gt;&lt;/contributors&gt;&lt;titles&gt;&lt;title&gt;A modelling-based economic evaluation of primary-care-based fall-risk screening followed by fall-prevention intervention: a cohort-based Markov model stratified by older age groups&lt;/title&gt;&lt;secondary-title&gt;Age and ageing&lt;/secondary-title&gt;&lt;/titles&gt;&lt;periodical&gt;&lt;full-title&gt;Age and ageing&lt;/full-title&gt;&lt;/periodical&gt;&lt;dates&gt;&lt;year&gt;2019&lt;/year&gt;&lt;/dates&gt;&lt;urls&gt;&lt;/urls&gt;&lt;/record&gt;&lt;/Cite&gt;&lt;/EndNote&gt;</w:instrText>
            </w:r>
            <w:r w:rsidRPr="004C78D8">
              <w:rPr>
                <w:sz w:val="18"/>
                <w:szCs w:val="18"/>
              </w:rPr>
              <w:fldChar w:fldCharType="separate"/>
            </w:r>
            <w:r w:rsidR="00C630FC" w:rsidRPr="004C78D8">
              <w:rPr>
                <w:noProof/>
                <w:sz w:val="18"/>
                <w:szCs w:val="18"/>
              </w:rPr>
              <w:t>[363]</w:t>
            </w:r>
            <w:r w:rsidRPr="004C78D8">
              <w:rPr>
                <w:sz w:val="18"/>
                <w:szCs w:val="18"/>
              </w:rPr>
              <w:fldChar w:fldCharType="end"/>
            </w:r>
          </w:p>
        </w:tc>
      </w:tr>
      <w:tr w:rsidR="00564B98" w:rsidRPr="004C78D8" w14:paraId="6008C248" w14:textId="77777777" w:rsidTr="00E35893">
        <w:tc>
          <w:tcPr>
            <w:tcW w:w="1413" w:type="dxa"/>
            <w:vMerge/>
          </w:tcPr>
          <w:p w14:paraId="1BB830D7" w14:textId="77777777" w:rsidR="00564B98" w:rsidRPr="004C78D8" w:rsidRDefault="00564B98" w:rsidP="00FB7C1F">
            <w:pPr>
              <w:jc w:val="left"/>
              <w:rPr>
                <w:sz w:val="18"/>
                <w:szCs w:val="18"/>
              </w:rPr>
            </w:pPr>
          </w:p>
        </w:tc>
        <w:tc>
          <w:tcPr>
            <w:tcW w:w="2126" w:type="dxa"/>
            <w:tcBorders>
              <w:top w:val="nil"/>
              <w:bottom w:val="single" w:sz="4" w:space="0" w:color="auto"/>
            </w:tcBorders>
          </w:tcPr>
          <w:p w14:paraId="04366F11" w14:textId="54E83AD5" w:rsidR="00564B98" w:rsidRPr="004C78D8" w:rsidRDefault="00564B98" w:rsidP="00FB7C1F">
            <w:pPr>
              <w:jc w:val="left"/>
              <w:rPr>
                <w:sz w:val="18"/>
                <w:szCs w:val="18"/>
              </w:rPr>
            </w:pPr>
            <w:r w:rsidRPr="004C78D8">
              <w:rPr>
                <w:sz w:val="18"/>
                <w:szCs w:val="18"/>
              </w:rPr>
              <w:t>Rehabilitation</w:t>
            </w:r>
            <w:r w:rsidRPr="004C78D8">
              <w:rPr>
                <w:sz w:val="18"/>
                <w:szCs w:val="18"/>
                <w:vertAlign w:val="superscript"/>
              </w:rPr>
              <w:t>2</w:t>
            </w:r>
          </w:p>
        </w:tc>
        <w:tc>
          <w:tcPr>
            <w:tcW w:w="1985" w:type="dxa"/>
            <w:tcBorders>
              <w:top w:val="nil"/>
              <w:bottom w:val="single" w:sz="4" w:space="0" w:color="auto"/>
            </w:tcBorders>
          </w:tcPr>
          <w:p w14:paraId="02CE0170" w14:textId="4F7FEFDC" w:rsidR="00564B98" w:rsidRPr="004C78D8" w:rsidRDefault="00564B98" w:rsidP="00FB7C1F">
            <w:pPr>
              <w:jc w:val="left"/>
              <w:rPr>
                <w:sz w:val="18"/>
                <w:szCs w:val="18"/>
              </w:rPr>
            </w:pPr>
            <w:r w:rsidRPr="004C78D8">
              <w:rPr>
                <w:sz w:val="18"/>
                <w:szCs w:val="18"/>
              </w:rPr>
              <w:t>£47.57</w:t>
            </w:r>
          </w:p>
        </w:tc>
        <w:tc>
          <w:tcPr>
            <w:tcW w:w="1701" w:type="dxa"/>
            <w:tcBorders>
              <w:top w:val="nil"/>
              <w:bottom w:val="single" w:sz="4" w:space="0" w:color="auto"/>
            </w:tcBorders>
          </w:tcPr>
          <w:p w14:paraId="3419E23B" w14:textId="7E778462" w:rsidR="00564B98" w:rsidRPr="004C78D8" w:rsidRDefault="00564B98"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&lt;EndNote&gt;&lt;Cite&gt;&lt;Author&gt;Franklin&lt;/Author&gt;&lt;Year&gt;2019&lt;/Year&gt;&lt;RecNum&gt;395&lt;/RecNum&gt;&lt;DisplayText&gt;[363]&lt;/DisplayText&gt;&lt;record&gt;&lt;rec-number&gt;395&lt;/rec-number&gt;&lt;foreign-keys&gt;&lt;key app="EN" db-id="tdtrdw9aepptzbefsat599syza29sxsd2wsp" timestamp="1612694614"&gt;395&lt;/key&gt;&lt;/foreign-keys&gt;&lt;ref-type name="Journal Article"&gt;17&lt;/ref-type&gt;&lt;contributors&gt;&lt;authors&gt;&lt;author&gt;Franklin, Matthew&lt;/author&gt;&lt;author&gt;Hunter, Rachael Maree&lt;/author&gt;&lt;/authors&gt;&lt;/contributors&gt;&lt;titles&gt;&lt;title&gt;A modelling-based economic evaluation of primary-care-based fall-risk screening followed by fall-prevention intervention: a cohort-based Markov model stratified by older age groups&lt;/title&gt;&lt;secondary-title&gt;Age and ageing&lt;/secondary-title&gt;&lt;/titles&gt;&lt;periodical&gt;&lt;full-title&gt;Age and ageing&lt;/full-title&gt;&lt;/periodical&gt;&lt;dates&gt;&lt;year&gt;2019&lt;/year&gt;&lt;/dates&gt;&lt;urls&gt;&lt;/urls&gt;&lt;/record&gt;&lt;/Cite&gt;&lt;/EndNote&gt;</w:instrText>
            </w:r>
            <w:r w:rsidRPr="004C78D8">
              <w:rPr>
                <w:sz w:val="18"/>
                <w:szCs w:val="18"/>
              </w:rPr>
              <w:fldChar w:fldCharType="separate"/>
            </w:r>
            <w:r w:rsidR="00C630FC" w:rsidRPr="004C78D8">
              <w:rPr>
                <w:noProof/>
                <w:sz w:val="18"/>
                <w:szCs w:val="18"/>
              </w:rPr>
              <w:t>[363]</w:t>
            </w:r>
            <w:r w:rsidRPr="004C78D8">
              <w:rPr>
                <w:sz w:val="18"/>
                <w:szCs w:val="18"/>
              </w:rPr>
              <w:fldChar w:fldCharType="end"/>
            </w:r>
          </w:p>
        </w:tc>
      </w:tr>
      <w:tr w:rsidR="00564B98" w:rsidRPr="004C78D8" w14:paraId="45011AE8" w14:textId="77777777" w:rsidTr="00E35893">
        <w:tc>
          <w:tcPr>
            <w:tcW w:w="1413" w:type="dxa"/>
            <w:vMerge/>
          </w:tcPr>
          <w:p w14:paraId="7A5936EC" w14:textId="77777777" w:rsidR="00564B98" w:rsidRPr="004C78D8" w:rsidRDefault="00564B98" w:rsidP="00FB7C1F">
            <w:pPr>
              <w:jc w:val="left"/>
              <w:rPr>
                <w:sz w:val="18"/>
                <w:szCs w:val="18"/>
              </w:rPr>
            </w:pPr>
          </w:p>
        </w:tc>
        <w:tc>
          <w:tcPr>
            <w:tcW w:w="2126" w:type="dxa"/>
            <w:tcBorders>
              <w:top w:val="single" w:sz="4" w:space="0" w:color="auto"/>
              <w:bottom w:val="single" w:sz="4" w:space="0" w:color="auto"/>
            </w:tcBorders>
          </w:tcPr>
          <w:p w14:paraId="4B9CFE2F" w14:textId="52CD94CB" w:rsidR="00564B98" w:rsidRPr="004C78D8" w:rsidRDefault="00564B98" w:rsidP="00FB7C1F">
            <w:pPr>
              <w:jc w:val="left"/>
              <w:rPr>
                <w:b/>
                <w:bCs/>
                <w:sz w:val="18"/>
                <w:szCs w:val="18"/>
              </w:rPr>
            </w:pPr>
            <w:r w:rsidRPr="004C78D8">
              <w:rPr>
                <w:b/>
                <w:bCs/>
                <w:sz w:val="18"/>
                <w:szCs w:val="18"/>
              </w:rPr>
              <w:t>Total</w:t>
            </w:r>
          </w:p>
        </w:tc>
        <w:tc>
          <w:tcPr>
            <w:tcW w:w="1985" w:type="dxa"/>
            <w:tcBorders>
              <w:top w:val="single" w:sz="4" w:space="0" w:color="auto"/>
              <w:bottom w:val="single" w:sz="4" w:space="0" w:color="auto"/>
            </w:tcBorders>
          </w:tcPr>
          <w:p w14:paraId="2E69D4E7" w14:textId="4154B0E5" w:rsidR="00564B98" w:rsidRPr="004C78D8" w:rsidRDefault="00564B98" w:rsidP="00FB7C1F">
            <w:pPr>
              <w:jc w:val="left"/>
              <w:rPr>
                <w:b/>
                <w:bCs/>
                <w:sz w:val="18"/>
                <w:szCs w:val="18"/>
              </w:rPr>
            </w:pPr>
            <w:r w:rsidRPr="004C78D8">
              <w:rPr>
                <w:b/>
                <w:bCs/>
                <w:sz w:val="18"/>
                <w:szCs w:val="18"/>
              </w:rPr>
              <w:t>£478.78</w:t>
            </w:r>
          </w:p>
        </w:tc>
        <w:tc>
          <w:tcPr>
            <w:tcW w:w="1701" w:type="dxa"/>
            <w:tcBorders>
              <w:top w:val="single" w:sz="4" w:space="0" w:color="auto"/>
              <w:bottom w:val="single" w:sz="4" w:space="0" w:color="auto"/>
            </w:tcBorders>
          </w:tcPr>
          <w:p w14:paraId="2D197743" w14:textId="77777777" w:rsidR="00564B98" w:rsidRPr="004C78D8" w:rsidRDefault="00564B98" w:rsidP="00FB7C1F">
            <w:pPr>
              <w:jc w:val="left"/>
              <w:rPr>
                <w:sz w:val="18"/>
                <w:szCs w:val="18"/>
              </w:rPr>
            </w:pPr>
          </w:p>
        </w:tc>
      </w:tr>
      <w:tr w:rsidR="00564B98" w:rsidRPr="004C78D8" w14:paraId="1364FCB6" w14:textId="77777777" w:rsidTr="00E35893">
        <w:tc>
          <w:tcPr>
            <w:tcW w:w="1413" w:type="dxa"/>
            <w:vMerge w:val="restart"/>
          </w:tcPr>
          <w:p w14:paraId="4C854FD0" w14:textId="1CFACE61" w:rsidR="00564B98" w:rsidRPr="004C78D8" w:rsidRDefault="00564B98" w:rsidP="00FB7C1F">
            <w:pPr>
              <w:jc w:val="left"/>
              <w:rPr>
                <w:sz w:val="18"/>
                <w:szCs w:val="18"/>
              </w:rPr>
            </w:pPr>
            <w:r w:rsidRPr="004C78D8">
              <w:rPr>
                <w:sz w:val="18"/>
                <w:szCs w:val="18"/>
              </w:rPr>
              <w:t>MA fall – hospitali</w:t>
            </w:r>
            <w:r w:rsidR="00D01220" w:rsidRPr="004C78D8">
              <w:rPr>
                <w:sz w:val="18"/>
                <w:szCs w:val="18"/>
              </w:rPr>
              <w:t>s</w:t>
            </w:r>
            <w:r w:rsidRPr="004C78D8">
              <w:rPr>
                <w:sz w:val="18"/>
                <w:szCs w:val="18"/>
              </w:rPr>
              <w:t xml:space="preserve">ed </w:t>
            </w:r>
          </w:p>
        </w:tc>
        <w:tc>
          <w:tcPr>
            <w:tcW w:w="2126" w:type="dxa"/>
            <w:tcBorders>
              <w:bottom w:val="nil"/>
            </w:tcBorders>
          </w:tcPr>
          <w:p w14:paraId="1596C1CA" w14:textId="25335321" w:rsidR="00564B98" w:rsidRPr="004C78D8" w:rsidRDefault="00564B98" w:rsidP="00FB7C1F">
            <w:pPr>
              <w:jc w:val="left"/>
              <w:rPr>
                <w:sz w:val="18"/>
                <w:szCs w:val="18"/>
              </w:rPr>
            </w:pPr>
            <w:r w:rsidRPr="004C78D8">
              <w:rPr>
                <w:sz w:val="18"/>
                <w:szCs w:val="18"/>
              </w:rPr>
              <w:t>999 call</w:t>
            </w:r>
          </w:p>
        </w:tc>
        <w:tc>
          <w:tcPr>
            <w:tcW w:w="1985" w:type="dxa"/>
            <w:tcBorders>
              <w:bottom w:val="nil"/>
            </w:tcBorders>
          </w:tcPr>
          <w:p w14:paraId="3153AD77" w14:textId="3CDB7642" w:rsidR="00564B98" w:rsidRPr="004C78D8" w:rsidRDefault="00564B98" w:rsidP="00FB7C1F">
            <w:pPr>
              <w:jc w:val="left"/>
              <w:rPr>
                <w:sz w:val="18"/>
                <w:szCs w:val="18"/>
              </w:rPr>
            </w:pPr>
            <w:r w:rsidRPr="004C78D8">
              <w:rPr>
                <w:sz w:val="18"/>
                <w:szCs w:val="18"/>
              </w:rPr>
              <w:t>£7.77</w:t>
            </w:r>
          </w:p>
        </w:tc>
        <w:tc>
          <w:tcPr>
            <w:tcW w:w="1701" w:type="dxa"/>
            <w:tcBorders>
              <w:bottom w:val="nil"/>
            </w:tcBorders>
          </w:tcPr>
          <w:p w14:paraId="72326BF8" w14:textId="08753A00" w:rsidR="00564B98" w:rsidRPr="004C78D8" w:rsidRDefault="00564B98"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&lt;EndNote&gt;&lt;Cite&gt;&lt;Author&gt;Franklin&lt;/Author&gt;&lt;Year&gt;2019&lt;/Year&gt;&lt;RecNum&gt;395&lt;/RecNum&gt;&lt;DisplayText&gt;[363]&lt;/DisplayText&gt;&lt;record&gt;&lt;rec-number&gt;395&lt;/rec-number&gt;&lt;foreign-keys&gt;&lt;key app="EN" db-id="tdtrdw9aepptzbefsat599syza29sxsd2wsp" timestamp="1612694614"&gt;395&lt;/key&gt;&lt;/foreign-keys&gt;&lt;ref-type name="Journal Article"&gt;17&lt;/ref-type&gt;&lt;contributors&gt;&lt;authors&gt;&lt;author&gt;Franklin, Matthew&lt;/author&gt;&lt;author&gt;Hunter, Rachael Maree&lt;/author&gt;&lt;/authors&gt;&lt;/contributors&gt;&lt;titles&gt;&lt;title&gt;A modelling-based economic evaluation of primary-care-based fall-risk screening followed by fall-prevention intervention: a cohort-based Markov model stratified by older age groups&lt;/title&gt;&lt;secondary-title&gt;Age and ageing&lt;/secondary-title&gt;&lt;/titles&gt;&lt;periodical&gt;&lt;full-title&gt;Age and ageing&lt;/full-title&gt;&lt;/periodical&gt;&lt;dates&gt;&lt;year&gt;2019&lt;/year&gt;&lt;/dates&gt;&lt;urls&gt;&lt;/urls&gt;&lt;/record&gt;&lt;/Cite&gt;&lt;/EndNote&gt;</w:instrText>
            </w:r>
            <w:r w:rsidRPr="004C78D8">
              <w:rPr>
                <w:sz w:val="18"/>
                <w:szCs w:val="18"/>
              </w:rPr>
              <w:fldChar w:fldCharType="separate"/>
            </w:r>
            <w:r w:rsidR="00C630FC" w:rsidRPr="004C78D8">
              <w:rPr>
                <w:noProof/>
                <w:sz w:val="18"/>
                <w:szCs w:val="18"/>
              </w:rPr>
              <w:t>[363]</w:t>
            </w:r>
            <w:r w:rsidRPr="004C78D8">
              <w:rPr>
                <w:sz w:val="18"/>
                <w:szCs w:val="18"/>
              </w:rPr>
              <w:fldChar w:fldCharType="end"/>
            </w:r>
          </w:p>
        </w:tc>
      </w:tr>
      <w:tr w:rsidR="00564B98" w:rsidRPr="004C78D8" w14:paraId="144702D4" w14:textId="77777777" w:rsidTr="00E35893">
        <w:tc>
          <w:tcPr>
            <w:tcW w:w="1413" w:type="dxa"/>
            <w:vMerge/>
          </w:tcPr>
          <w:p w14:paraId="4B7897E5" w14:textId="77777777" w:rsidR="00564B98" w:rsidRPr="004C78D8" w:rsidRDefault="00564B98" w:rsidP="00FB7C1F">
            <w:pPr>
              <w:jc w:val="left"/>
              <w:rPr>
                <w:sz w:val="18"/>
                <w:szCs w:val="18"/>
              </w:rPr>
            </w:pPr>
          </w:p>
        </w:tc>
        <w:tc>
          <w:tcPr>
            <w:tcW w:w="2126" w:type="dxa"/>
            <w:tcBorders>
              <w:top w:val="nil"/>
              <w:bottom w:val="nil"/>
            </w:tcBorders>
          </w:tcPr>
          <w:p w14:paraId="6C68190F" w14:textId="19CBD289" w:rsidR="00564B98" w:rsidRPr="004C78D8" w:rsidRDefault="00564B98" w:rsidP="00FB7C1F">
            <w:pPr>
              <w:jc w:val="left"/>
              <w:rPr>
                <w:sz w:val="18"/>
                <w:szCs w:val="18"/>
              </w:rPr>
            </w:pPr>
            <w:r w:rsidRPr="004C78D8">
              <w:rPr>
                <w:sz w:val="18"/>
                <w:szCs w:val="18"/>
              </w:rPr>
              <w:t>Ambulance</w:t>
            </w:r>
          </w:p>
        </w:tc>
        <w:tc>
          <w:tcPr>
            <w:tcW w:w="1985" w:type="dxa"/>
            <w:tcBorders>
              <w:top w:val="nil"/>
              <w:bottom w:val="nil"/>
            </w:tcBorders>
          </w:tcPr>
          <w:p w14:paraId="51CA4162" w14:textId="59496EB5" w:rsidR="00564B98" w:rsidRPr="004C78D8" w:rsidRDefault="00564B98" w:rsidP="00FB7C1F">
            <w:pPr>
              <w:jc w:val="left"/>
              <w:rPr>
                <w:sz w:val="18"/>
                <w:szCs w:val="18"/>
              </w:rPr>
            </w:pPr>
            <w:r w:rsidRPr="004C78D8">
              <w:rPr>
                <w:sz w:val="18"/>
                <w:szCs w:val="18"/>
              </w:rPr>
              <w:t>£265.96</w:t>
            </w:r>
          </w:p>
        </w:tc>
        <w:tc>
          <w:tcPr>
            <w:tcW w:w="1701" w:type="dxa"/>
            <w:tcBorders>
              <w:top w:val="nil"/>
              <w:bottom w:val="nil"/>
            </w:tcBorders>
          </w:tcPr>
          <w:p w14:paraId="573B2D55" w14:textId="4F1CE659" w:rsidR="00564B98" w:rsidRPr="004C78D8" w:rsidRDefault="00564B98"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&lt;EndNote&gt;&lt;Cite&gt;&lt;Author&gt;Franklin&lt;/Author&gt;&lt;Year&gt;2019&lt;/Year&gt;&lt;RecNum&gt;395&lt;/RecNum&gt;&lt;DisplayText&gt;[363]&lt;/DisplayText&gt;&lt;record&gt;&lt;rec-number&gt;395&lt;/rec-number&gt;&lt;foreign-keys&gt;&lt;key app="EN" db-id="tdtrdw9aepptzbefsat599syza29sxsd2wsp" timestamp="1612694614"&gt;395&lt;/key&gt;&lt;/foreign-keys&gt;&lt;ref-type name="Journal Article"&gt;17&lt;/ref-type&gt;&lt;contributors&gt;&lt;authors&gt;&lt;author&gt;Franklin, Matthew&lt;/author&gt;&lt;author&gt;Hunter, Rachael Maree&lt;/author&gt;&lt;/authors&gt;&lt;/contributors&gt;&lt;titles&gt;&lt;title&gt;A modelling-based economic evaluation of primary-care-based fall-risk screening followed by fall-prevention intervention: a cohort-based Markov model stratified by older age groups&lt;/title&gt;&lt;secondary-title&gt;Age and ageing&lt;/secondary-title&gt;&lt;/titles&gt;&lt;periodical&gt;&lt;full-title&gt;Age and ageing&lt;/full-title&gt;&lt;/periodical&gt;&lt;dates&gt;&lt;year&gt;2019&lt;/year&gt;&lt;/dates&gt;&lt;urls&gt;&lt;/urls&gt;&lt;/record&gt;&lt;/Cite&gt;&lt;/EndNote&gt;</w:instrText>
            </w:r>
            <w:r w:rsidRPr="004C78D8">
              <w:rPr>
                <w:sz w:val="18"/>
                <w:szCs w:val="18"/>
              </w:rPr>
              <w:fldChar w:fldCharType="separate"/>
            </w:r>
            <w:r w:rsidR="00C630FC" w:rsidRPr="004C78D8">
              <w:rPr>
                <w:noProof/>
                <w:sz w:val="18"/>
                <w:szCs w:val="18"/>
              </w:rPr>
              <w:t>[363]</w:t>
            </w:r>
            <w:r w:rsidRPr="004C78D8">
              <w:rPr>
                <w:sz w:val="18"/>
                <w:szCs w:val="18"/>
              </w:rPr>
              <w:fldChar w:fldCharType="end"/>
            </w:r>
          </w:p>
        </w:tc>
      </w:tr>
      <w:tr w:rsidR="00564B98" w:rsidRPr="004C78D8" w14:paraId="33412A22" w14:textId="77777777" w:rsidTr="00E35893">
        <w:tc>
          <w:tcPr>
            <w:tcW w:w="1413" w:type="dxa"/>
            <w:vMerge/>
          </w:tcPr>
          <w:p w14:paraId="4C3A5509" w14:textId="77777777" w:rsidR="00564B98" w:rsidRPr="004C78D8" w:rsidRDefault="00564B98" w:rsidP="00FB7C1F">
            <w:pPr>
              <w:jc w:val="left"/>
              <w:rPr>
                <w:sz w:val="18"/>
                <w:szCs w:val="18"/>
              </w:rPr>
            </w:pPr>
          </w:p>
        </w:tc>
        <w:tc>
          <w:tcPr>
            <w:tcW w:w="2126" w:type="dxa"/>
            <w:tcBorders>
              <w:top w:val="nil"/>
              <w:bottom w:val="nil"/>
            </w:tcBorders>
          </w:tcPr>
          <w:p w14:paraId="74DD0D23" w14:textId="23E4B3C1" w:rsidR="00564B98" w:rsidRPr="004C78D8" w:rsidRDefault="00564B98" w:rsidP="00FB7C1F">
            <w:pPr>
              <w:jc w:val="left"/>
              <w:rPr>
                <w:sz w:val="18"/>
                <w:szCs w:val="18"/>
              </w:rPr>
            </w:pPr>
            <w:r w:rsidRPr="004C78D8">
              <w:rPr>
                <w:sz w:val="18"/>
                <w:szCs w:val="18"/>
              </w:rPr>
              <w:t xml:space="preserve">A&amp;E </w:t>
            </w:r>
            <w:r w:rsidR="00737402" w:rsidRPr="004C78D8">
              <w:rPr>
                <w:sz w:val="18"/>
                <w:szCs w:val="18"/>
              </w:rPr>
              <w:t>attendance before</w:t>
            </w:r>
            <w:r w:rsidRPr="004C78D8">
              <w:rPr>
                <w:sz w:val="18"/>
                <w:szCs w:val="18"/>
              </w:rPr>
              <w:t xml:space="preserve"> </w:t>
            </w:r>
            <w:r w:rsidR="00737402" w:rsidRPr="004C78D8">
              <w:rPr>
                <w:sz w:val="18"/>
                <w:szCs w:val="18"/>
              </w:rPr>
              <w:t>hospitalisation</w:t>
            </w:r>
          </w:p>
        </w:tc>
        <w:tc>
          <w:tcPr>
            <w:tcW w:w="1985" w:type="dxa"/>
            <w:tcBorders>
              <w:top w:val="nil"/>
              <w:bottom w:val="nil"/>
            </w:tcBorders>
          </w:tcPr>
          <w:p w14:paraId="4C918B1A" w14:textId="091FE521" w:rsidR="00564B98" w:rsidRPr="004C78D8" w:rsidRDefault="00564B98" w:rsidP="00FB7C1F">
            <w:pPr>
              <w:jc w:val="left"/>
              <w:rPr>
                <w:sz w:val="18"/>
                <w:szCs w:val="18"/>
              </w:rPr>
            </w:pPr>
            <w:r w:rsidRPr="004C78D8">
              <w:rPr>
                <w:sz w:val="18"/>
                <w:szCs w:val="18"/>
              </w:rPr>
              <w:t>£101.56</w:t>
            </w:r>
          </w:p>
        </w:tc>
        <w:tc>
          <w:tcPr>
            <w:tcW w:w="1701" w:type="dxa"/>
            <w:tcBorders>
              <w:top w:val="nil"/>
              <w:bottom w:val="nil"/>
            </w:tcBorders>
          </w:tcPr>
          <w:p w14:paraId="06923D2A" w14:textId="30585983" w:rsidR="00564B98" w:rsidRPr="004C78D8" w:rsidRDefault="00737402"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4C78D8">
              <w:rPr>
                <w:sz w:val="18"/>
                <w:szCs w:val="18"/>
              </w:rPr>
              <w:fldChar w:fldCharType="separate"/>
            </w:r>
            <w:r w:rsidR="00C630FC" w:rsidRPr="004C78D8">
              <w:rPr>
                <w:noProof/>
                <w:sz w:val="18"/>
                <w:szCs w:val="18"/>
              </w:rPr>
              <w:t>[216]</w:t>
            </w:r>
            <w:r w:rsidRPr="004C78D8">
              <w:rPr>
                <w:sz w:val="18"/>
                <w:szCs w:val="18"/>
              </w:rPr>
              <w:fldChar w:fldCharType="end"/>
            </w:r>
          </w:p>
        </w:tc>
      </w:tr>
      <w:tr w:rsidR="00564B98" w:rsidRPr="004C78D8" w14:paraId="6A809D0F" w14:textId="77777777" w:rsidTr="00E35893">
        <w:tc>
          <w:tcPr>
            <w:tcW w:w="1413" w:type="dxa"/>
            <w:vMerge/>
          </w:tcPr>
          <w:p w14:paraId="74BCAEB2" w14:textId="77777777" w:rsidR="00564B98" w:rsidRPr="004C78D8" w:rsidRDefault="00564B98" w:rsidP="00FB7C1F">
            <w:pPr>
              <w:jc w:val="left"/>
              <w:rPr>
                <w:sz w:val="18"/>
                <w:szCs w:val="18"/>
              </w:rPr>
            </w:pPr>
          </w:p>
        </w:tc>
        <w:tc>
          <w:tcPr>
            <w:tcW w:w="2126" w:type="dxa"/>
            <w:tcBorders>
              <w:top w:val="nil"/>
              <w:bottom w:val="nil"/>
            </w:tcBorders>
          </w:tcPr>
          <w:p w14:paraId="0586D130" w14:textId="470B6BE5" w:rsidR="00564B98" w:rsidRPr="004C78D8" w:rsidRDefault="00564B98" w:rsidP="00FB7C1F">
            <w:pPr>
              <w:jc w:val="left"/>
              <w:rPr>
                <w:sz w:val="18"/>
                <w:szCs w:val="18"/>
              </w:rPr>
            </w:pPr>
            <w:r w:rsidRPr="004C78D8">
              <w:rPr>
                <w:sz w:val="18"/>
                <w:szCs w:val="18"/>
              </w:rPr>
              <w:t>Hospitali</w:t>
            </w:r>
            <w:r w:rsidR="00737402" w:rsidRPr="004C78D8">
              <w:rPr>
                <w:sz w:val="18"/>
                <w:szCs w:val="18"/>
              </w:rPr>
              <w:t>s</w:t>
            </w:r>
            <w:r w:rsidRPr="004C78D8">
              <w:rPr>
                <w:sz w:val="18"/>
                <w:szCs w:val="18"/>
              </w:rPr>
              <w:t>ation</w:t>
            </w:r>
            <w:r w:rsidR="00737402" w:rsidRPr="004C78D8">
              <w:rPr>
                <w:sz w:val="18"/>
                <w:szCs w:val="18"/>
                <w:vertAlign w:val="superscript"/>
              </w:rPr>
              <w:t>3</w:t>
            </w:r>
          </w:p>
        </w:tc>
        <w:tc>
          <w:tcPr>
            <w:tcW w:w="1985" w:type="dxa"/>
            <w:tcBorders>
              <w:top w:val="nil"/>
              <w:bottom w:val="nil"/>
            </w:tcBorders>
          </w:tcPr>
          <w:p w14:paraId="32F5D4DB" w14:textId="7814C0FD" w:rsidR="00564B98" w:rsidRPr="004C78D8" w:rsidRDefault="00564B98" w:rsidP="00FB7C1F">
            <w:pPr>
              <w:jc w:val="left"/>
              <w:rPr>
                <w:sz w:val="18"/>
                <w:szCs w:val="18"/>
              </w:rPr>
            </w:pPr>
            <w:r w:rsidRPr="004C78D8">
              <w:rPr>
                <w:sz w:val="18"/>
                <w:szCs w:val="18"/>
              </w:rPr>
              <w:t>£9,292.13</w:t>
            </w:r>
          </w:p>
        </w:tc>
        <w:tc>
          <w:tcPr>
            <w:tcW w:w="1701" w:type="dxa"/>
            <w:tcBorders>
              <w:top w:val="nil"/>
              <w:bottom w:val="nil"/>
            </w:tcBorders>
          </w:tcPr>
          <w:p w14:paraId="1BF393FA" w14:textId="4CB63E5B" w:rsidR="00564B98" w:rsidRPr="004C78D8" w:rsidRDefault="00737402"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4C78D8">
              <w:rPr>
                <w:sz w:val="18"/>
                <w:szCs w:val="18"/>
              </w:rPr>
              <w:fldChar w:fldCharType="separate"/>
            </w:r>
            <w:r w:rsidR="00C630FC" w:rsidRPr="004C78D8">
              <w:rPr>
                <w:noProof/>
                <w:sz w:val="18"/>
                <w:szCs w:val="18"/>
              </w:rPr>
              <w:t>[216]</w:t>
            </w:r>
            <w:r w:rsidRPr="004C78D8">
              <w:rPr>
                <w:sz w:val="18"/>
                <w:szCs w:val="18"/>
              </w:rPr>
              <w:fldChar w:fldCharType="end"/>
            </w:r>
          </w:p>
        </w:tc>
      </w:tr>
      <w:tr w:rsidR="00564B98" w:rsidRPr="004C78D8" w14:paraId="287DD626" w14:textId="77777777" w:rsidTr="00E35893">
        <w:tc>
          <w:tcPr>
            <w:tcW w:w="1413" w:type="dxa"/>
            <w:vMerge/>
          </w:tcPr>
          <w:p w14:paraId="10A4D0EC" w14:textId="77777777" w:rsidR="00564B98" w:rsidRPr="004C78D8" w:rsidRDefault="00564B98" w:rsidP="00FB7C1F">
            <w:pPr>
              <w:jc w:val="left"/>
              <w:rPr>
                <w:sz w:val="18"/>
                <w:szCs w:val="18"/>
              </w:rPr>
            </w:pPr>
          </w:p>
        </w:tc>
        <w:tc>
          <w:tcPr>
            <w:tcW w:w="2126" w:type="dxa"/>
            <w:tcBorders>
              <w:top w:val="nil"/>
              <w:bottom w:val="nil"/>
            </w:tcBorders>
          </w:tcPr>
          <w:p w14:paraId="1DEF9992" w14:textId="4B21EAE6" w:rsidR="00564B98" w:rsidRPr="004C78D8" w:rsidRDefault="00564B98" w:rsidP="00FB7C1F">
            <w:pPr>
              <w:jc w:val="left"/>
              <w:rPr>
                <w:sz w:val="18"/>
                <w:szCs w:val="18"/>
              </w:rPr>
            </w:pPr>
            <w:r w:rsidRPr="004C78D8">
              <w:rPr>
                <w:sz w:val="18"/>
                <w:szCs w:val="18"/>
              </w:rPr>
              <w:t>Rehabilitation</w:t>
            </w:r>
            <w:r w:rsidRPr="004C78D8">
              <w:rPr>
                <w:sz w:val="18"/>
                <w:szCs w:val="18"/>
                <w:vertAlign w:val="superscript"/>
              </w:rPr>
              <w:t>2</w:t>
            </w:r>
          </w:p>
        </w:tc>
        <w:tc>
          <w:tcPr>
            <w:tcW w:w="1985" w:type="dxa"/>
            <w:tcBorders>
              <w:top w:val="nil"/>
              <w:bottom w:val="nil"/>
            </w:tcBorders>
          </w:tcPr>
          <w:p w14:paraId="263ACD6D" w14:textId="7EE841B5" w:rsidR="00564B98" w:rsidRPr="004C78D8" w:rsidRDefault="00564B98" w:rsidP="00FB7C1F">
            <w:pPr>
              <w:jc w:val="left"/>
              <w:rPr>
                <w:sz w:val="18"/>
                <w:szCs w:val="18"/>
              </w:rPr>
            </w:pPr>
            <w:r w:rsidRPr="004C78D8">
              <w:rPr>
                <w:sz w:val="18"/>
                <w:szCs w:val="18"/>
              </w:rPr>
              <w:t>£81.20</w:t>
            </w:r>
          </w:p>
        </w:tc>
        <w:tc>
          <w:tcPr>
            <w:tcW w:w="1701" w:type="dxa"/>
            <w:tcBorders>
              <w:top w:val="nil"/>
              <w:bottom w:val="nil"/>
            </w:tcBorders>
          </w:tcPr>
          <w:p w14:paraId="38E79CF9" w14:textId="2C255384" w:rsidR="00564B98" w:rsidRPr="004C78D8" w:rsidRDefault="00737402"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4C78D8">
              <w:rPr>
                <w:sz w:val="18"/>
                <w:szCs w:val="18"/>
              </w:rPr>
              <w:fldChar w:fldCharType="separate"/>
            </w:r>
            <w:r w:rsidR="00C630FC" w:rsidRPr="004C78D8">
              <w:rPr>
                <w:noProof/>
                <w:sz w:val="18"/>
                <w:szCs w:val="18"/>
              </w:rPr>
              <w:t>[216]</w:t>
            </w:r>
            <w:r w:rsidRPr="004C78D8">
              <w:rPr>
                <w:sz w:val="18"/>
                <w:szCs w:val="18"/>
              </w:rPr>
              <w:fldChar w:fldCharType="end"/>
            </w:r>
          </w:p>
        </w:tc>
      </w:tr>
      <w:tr w:rsidR="00564B98" w:rsidRPr="004C78D8" w14:paraId="7AA7737F" w14:textId="77777777" w:rsidTr="00E35893">
        <w:tc>
          <w:tcPr>
            <w:tcW w:w="1413" w:type="dxa"/>
            <w:vMerge/>
          </w:tcPr>
          <w:p w14:paraId="50D98590" w14:textId="77777777" w:rsidR="00564B98" w:rsidRPr="004C78D8" w:rsidRDefault="00564B98" w:rsidP="00FB7C1F">
            <w:pPr>
              <w:jc w:val="left"/>
              <w:rPr>
                <w:sz w:val="18"/>
                <w:szCs w:val="18"/>
              </w:rPr>
            </w:pPr>
          </w:p>
        </w:tc>
        <w:tc>
          <w:tcPr>
            <w:tcW w:w="2126" w:type="dxa"/>
            <w:tcBorders>
              <w:top w:val="nil"/>
              <w:bottom w:val="single" w:sz="4" w:space="0" w:color="auto"/>
            </w:tcBorders>
          </w:tcPr>
          <w:p w14:paraId="43E5B32A" w14:textId="09574640" w:rsidR="00564B98" w:rsidRPr="004C78D8" w:rsidRDefault="00564B98" w:rsidP="00FB7C1F">
            <w:pPr>
              <w:jc w:val="left"/>
              <w:rPr>
                <w:sz w:val="18"/>
                <w:szCs w:val="18"/>
              </w:rPr>
            </w:pPr>
            <w:r w:rsidRPr="004C78D8">
              <w:rPr>
                <w:sz w:val="18"/>
                <w:szCs w:val="18"/>
              </w:rPr>
              <w:t>Geriatric ward</w:t>
            </w:r>
            <w:r w:rsidR="00737402" w:rsidRPr="004C78D8">
              <w:rPr>
                <w:sz w:val="18"/>
                <w:szCs w:val="18"/>
                <w:vertAlign w:val="superscript"/>
              </w:rPr>
              <w:t>4</w:t>
            </w:r>
          </w:p>
        </w:tc>
        <w:tc>
          <w:tcPr>
            <w:tcW w:w="1985" w:type="dxa"/>
            <w:tcBorders>
              <w:top w:val="nil"/>
              <w:bottom w:val="single" w:sz="4" w:space="0" w:color="auto"/>
            </w:tcBorders>
          </w:tcPr>
          <w:p w14:paraId="386E3EFD" w14:textId="48544D9C" w:rsidR="00564B98" w:rsidRPr="004C78D8" w:rsidRDefault="00564B98" w:rsidP="00FB7C1F">
            <w:pPr>
              <w:jc w:val="left"/>
              <w:rPr>
                <w:sz w:val="18"/>
                <w:szCs w:val="18"/>
              </w:rPr>
            </w:pPr>
            <w:r w:rsidRPr="004C78D8">
              <w:rPr>
                <w:sz w:val="18"/>
                <w:szCs w:val="18"/>
              </w:rPr>
              <w:t>£956.36</w:t>
            </w:r>
          </w:p>
        </w:tc>
        <w:tc>
          <w:tcPr>
            <w:tcW w:w="1701" w:type="dxa"/>
            <w:tcBorders>
              <w:top w:val="nil"/>
              <w:bottom w:val="single" w:sz="4" w:space="0" w:color="auto"/>
            </w:tcBorders>
          </w:tcPr>
          <w:p w14:paraId="78734EEB" w14:textId="26B1C562" w:rsidR="00564B98" w:rsidRPr="004C78D8" w:rsidRDefault="00737402"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4C78D8">
              <w:rPr>
                <w:sz w:val="18"/>
                <w:szCs w:val="18"/>
              </w:rPr>
              <w:fldChar w:fldCharType="separate"/>
            </w:r>
            <w:r w:rsidR="00C630FC" w:rsidRPr="004C78D8">
              <w:rPr>
                <w:noProof/>
                <w:sz w:val="18"/>
                <w:szCs w:val="18"/>
              </w:rPr>
              <w:t>[216]</w:t>
            </w:r>
            <w:r w:rsidRPr="004C78D8">
              <w:rPr>
                <w:sz w:val="18"/>
                <w:szCs w:val="18"/>
              </w:rPr>
              <w:fldChar w:fldCharType="end"/>
            </w:r>
          </w:p>
        </w:tc>
      </w:tr>
      <w:tr w:rsidR="00564B98" w:rsidRPr="004C78D8" w14:paraId="35CD73F5" w14:textId="77777777" w:rsidTr="00E35893">
        <w:tc>
          <w:tcPr>
            <w:tcW w:w="1413" w:type="dxa"/>
            <w:vMerge/>
          </w:tcPr>
          <w:p w14:paraId="243F9016" w14:textId="77777777" w:rsidR="00564B98" w:rsidRPr="004C78D8" w:rsidRDefault="00564B98" w:rsidP="00FB7C1F">
            <w:pPr>
              <w:jc w:val="left"/>
              <w:rPr>
                <w:sz w:val="18"/>
                <w:szCs w:val="18"/>
              </w:rPr>
            </w:pPr>
          </w:p>
        </w:tc>
        <w:tc>
          <w:tcPr>
            <w:tcW w:w="2126" w:type="dxa"/>
            <w:tcBorders>
              <w:top w:val="single" w:sz="4" w:space="0" w:color="auto"/>
            </w:tcBorders>
          </w:tcPr>
          <w:p w14:paraId="19746A99" w14:textId="7467FD4A" w:rsidR="00564B98" w:rsidRPr="004C78D8" w:rsidRDefault="00564B98" w:rsidP="00FB7C1F">
            <w:pPr>
              <w:jc w:val="left"/>
              <w:rPr>
                <w:b/>
                <w:bCs/>
                <w:sz w:val="18"/>
                <w:szCs w:val="18"/>
              </w:rPr>
            </w:pPr>
            <w:r w:rsidRPr="004C78D8">
              <w:rPr>
                <w:b/>
                <w:bCs/>
                <w:sz w:val="18"/>
                <w:szCs w:val="18"/>
              </w:rPr>
              <w:t>Total</w:t>
            </w:r>
          </w:p>
        </w:tc>
        <w:tc>
          <w:tcPr>
            <w:tcW w:w="1985" w:type="dxa"/>
            <w:tcBorders>
              <w:top w:val="single" w:sz="4" w:space="0" w:color="auto"/>
            </w:tcBorders>
          </w:tcPr>
          <w:p w14:paraId="358757C9" w14:textId="21432ECE" w:rsidR="00564B98" w:rsidRPr="004C78D8" w:rsidRDefault="00564B98" w:rsidP="00FB7C1F">
            <w:pPr>
              <w:jc w:val="left"/>
              <w:rPr>
                <w:b/>
                <w:bCs/>
                <w:sz w:val="18"/>
                <w:szCs w:val="18"/>
              </w:rPr>
            </w:pPr>
            <w:r w:rsidRPr="004C78D8">
              <w:rPr>
                <w:b/>
                <w:bCs/>
                <w:sz w:val="18"/>
                <w:szCs w:val="18"/>
              </w:rPr>
              <w:t>£10,704.98</w:t>
            </w:r>
          </w:p>
        </w:tc>
        <w:tc>
          <w:tcPr>
            <w:tcW w:w="1701" w:type="dxa"/>
            <w:tcBorders>
              <w:top w:val="single" w:sz="4" w:space="0" w:color="auto"/>
            </w:tcBorders>
          </w:tcPr>
          <w:p w14:paraId="243F91EA" w14:textId="77777777" w:rsidR="00564B98" w:rsidRPr="004C78D8" w:rsidRDefault="00564B98" w:rsidP="00FB7C1F">
            <w:pPr>
              <w:jc w:val="left"/>
              <w:rPr>
                <w:b/>
                <w:bCs/>
                <w:sz w:val="18"/>
                <w:szCs w:val="18"/>
              </w:rPr>
            </w:pPr>
          </w:p>
        </w:tc>
      </w:tr>
      <w:tr w:rsidR="000D1494" w:rsidRPr="004C78D8" w14:paraId="1DF29C1D" w14:textId="77777777" w:rsidTr="00E35893">
        <w:tc>
          <w:tcPr>
            <w:tcW w:w="7225" w:type="dxa"/>
            <w:gridSpan w:val="4"/>
          </w:tcPr>
          <w:p w14:paraId="68C8EF3C" w14:textId="4F7BD0A5" w:rsidR="003B35BB" w:rsidRPr="004C78D8" w:rsidRDefault="00D10D5E" w:rsidP="00FB7C1F">
            <w:pPr>
              <w:rPr>
                <w:sz w:val="18"/>
                <w:szCs w:val="18"/>
                <w:vertAlign w:val="superscript"/>
              </w:rPr>
            </w:pPr>
            <w:r w:rsidRPr="004C78D8">
              <w:rPr>
                <w:b/>
                <w:bCs/>
                <w:sz w:val="18"/>
                <w:szCs w:val="18"/>
              </w:rPr>
              <w:t>Abbreviation</w:t>
            </w:r>
            <w:r w:rsidR="003B35BB" w:rsidRPr="004C78D8">
              <w:rPr>
                <w:b/>
                <w:bCs/>
                <w:sz w:val="18"/>
                <w:szCs w:val="18"/>
              </w:rPr>
              <w:t xml:space="preserve">: </w:t>
            </w:r>
            <w:r w:rsidR="003B35BB" w:rsidRPr="004C78D8">
              <w:rPr>
                <w:sz w:val="18"/>
                <w:szCs w:val="18"/>
              </w:rPr>
              <w:t>ELSA: English Longitudinal Study of Ageing; MA fall: fall requiring medical attention; SE: standard error</w:t>
            </w:r>
            <w:r w:rsidR="003B35BB" w:rsidRPr="004C78D8">
              <w:rPr>
                <w:sz w:val="18"/>
                <w:szCs w:val="18"/>
                <w:vertAlign w:val="superscript"/>
              </w:rPr>
              <w:t xml:space="preserve"> </w:t>
            </w:r>
          </w:p>
          <w:p w14:paraId="7734D584" w14:textId="12556664" w:rsidR="000D1494" w:rsidRPr="004C78D8" w:rsidRDefault="000D1494" w:rsidP="00FB7C1F">
            <w:pPr>
              <w:rPr>
                <w:sz w:val="18"/>
                <w:szCs w:val="18"/>
              </w:rPr>
            </w:pPr>
            <w:r w:rsidRPr="004C78D8">
              <w:rPr>
                <w:sz w:val="18"/>
                <w:szCs w:val="18"/>
                <w:vertAlign w:val="superscript"/>
              </w:rPr>
              <w:t>1</w:t>
            </w:r>
            <w:r w:rsidRPr="004C78D8">
              <w:rPr>
                <w:sz w:val="18"/>
                <w:szCs w:val="18"/>
              </w:rPr>
              <w:t xml:space="preserve"> All mean unit costs obtained from previous models were inflated to 2021</w:t>
            </w:r>
            <w:r w:rsidR="00733D18" w:rsidRPr="004C78D8">
              <w:rPr>
                <w:sz w:val="18"/>
                <w:szCs w:val="18"/>
              </w:rPr>
              <w:t>/22</w:t>
            </w:r>
            <w:r w:rsidRPr="004C78D8">
              <w:rPr>
                <w:sz w:val="18"/>
                <w:szCs w:val="18"/>
              </w:rPr>
              <w:t xml:space="preserve"> prices using the average annual inflation rate between 2013-19 (1.98%) for healthcare services as reported in PSSRU unit cost depository</w:t>
            </w:r>
            <w:r w:rsidR="00737402" w:rsidRPr="004C78D8">
              <w:rPr>
                <w:sz w:val="18"/>
                <w:szCs w:val="18"/>
              </w:rPr>
              <w:t xml:space="preserve"> </w:t>
            </w:r>
            <w:r w:rsidR="00737402" w:rsidRPr="004C78D8">
              <w:rPr>
                <w:sz w:val="18"/>
                <w:szCs w:val="18"/>
              </w:rPr>
              <w:fldChar w:fldCharType="begin"/>
            </w:r>
            <w:r w:rsidR="00C630FC" w:rsidRPr="004C78D8">
              <w:rPr>
                <w:sz w:val="18"/>
                <w:szCs w:val="18"/>
              </w:rPr>
              <w:instrText xml:space="preserve"> ADDIN EN.CITE &lt;EndNote&gt;&lt;Cite&gt;&lt;Author&gt;Curtis&lt;/Author&gt;&lt;Year&gt;2019&lt;/Year&gt;&lt;RecNum&gt;135&lt;/RecNum&gt;&lt;DisplayText&gt;[401]&lt;/DisplayText&gt;&lt;record&gt;&lt;rec-number&gt;135&lt;/rec-number&gt;&lt;foreign-keys&gt;&lt;key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00737402" w:rsidRPr="004C78D8">
              <w:rPr>
                <w:sz w:val="18"/>
                <w:szCs w:val="18"/>
              </w:rPr>
              <w:fldChar w:fldCharType="separate"/>
            </w:r>
            <w:r w:rsidR="00C630FC" w:rsidRPr="004C78D8">
              <w:rPr>
                <w:noProof/>
                <w:sz w:val="18"/>
                <w:szCs w:val="18"/>
              </w:rPr>
              <w:t>[401]</w:t>
            </w:r>
            <w:r w:rsidR="00737402" w:rsidRPr="004C78D8">
              <w:rPr>
                <w:sz w:val="18"/>
                <w:szCs w:val="18"/>
              </w:rPr>
              <w:fldChar w:fldCharType="end"/>
            </w:r>
            <w:r w:rsidRPr="004C78D8">
              <w:rPr>
                <w:sz w:val="18"/>
                <w:szCs w:val="18"/>
              </w:rPr>
              <w:t xml:space="preserve">. </w:t>
            </w:r>
          </w:p>
          <w:p w14:paraId="5A20F660" w14:textId="5565BB49" w:rsidR="000D1494" w:rsidRPr="004C78D8" w:rsidRDefault="000D1494" w:rsidP="00FB7C1F">
            <w:pPr>
              <w:rPr>
                <w:sz w:val="18"/>
                <w:szCs w:val="18"/>
              </w:rPr>
            </w:pPr>
            <w:r w:rsidRPr="004C78D8">
              <w:rPr>
                <w:sz w:val="18"/>
                <w:szCs w:val="18"/>
                <w:vertAlign w:val="superscript"/>
              </w:rPr>
              <w:t>2</w:t>
            </w:r>
            <w:r w:rsidRPr="004C78D8">
              <w:rPr>
                <w:sz w:val="18"/>
                <w:szCs w:val="18"/>
              </w:rPr>
              <w:t xml:space="preserve"> Rehabilitation costs comprised of costs of GP and outpatient visits weighted by age group-specific probabilities </w:t>
            </w:r>
            <w:r w:rsidR="00CA74C0" w:rsidRPr="004C78D8">
              <w:rPr>
                <w:sz w:val="18"/>
                <w:szCs w:val="18"/>
              </w:rPr>
              <w:t xml:space="preserve">of their </w:t>
            </w:r>
            <w:r w:rsidR="00133CDA" w:rsidRPr="004C78D8">
              <w:rPr>
                <w:sz w:val="18"/>
                <w:szCs w:val="18"/>
              </w:rPr>
              <w:t>need</w:t>
            </w:r>
            <w:r w:rsidR="00737402" w:rsidRPr="004C78D8">
              <w:rPr>
                <w:sz w:val="18"/>
                <w:szCs w:val="18"/>
              </w:rPr>
              <w:t xml:space="preserve"> </w:t>
            </w:r>
            <w:r w:rsidR="00737402" w:rsidRPr="004C78D8">
              <w:rPr>
                <w:sz w:val="18"/>
                <w:szCs w:val="18"/>
              </w:rPr>
              <w:fldChar w:fldCharType="begin"/>
            </w:r>
            <w:r w:rsidR="00C630FC" w:rsidRPr="004C78D8">
              <w:rPr>
                <w:sz w:val="18"/>
                <w:szCs w:val="18"/>
              </w:rPr>
              <w:instrText xml:space="preserve"> ADDIN EN.CITE &lt;EndNote&gt;&lt;Cite&gt;&lt;Author&gt;Franklin&lt;/Author&gt;&lt;Year&gt;2019&lt;/Year&gt;&lt;RecNum&gt;395&lt;/RecNum&gt;&lt;DisplayText&gt;[363]&lt;/DisplayText&gt;&lt;record&gt;&lt;rec-number&gt;395&lt;/rec-number&gt;&lt;foreign-keys&gt;&lt;key app="EN" db-id="tdtrdw9aepptzbefsat599syza29sxsd2wsp" timestamp="1612694614"&gt;395&lt;/key&gt;&lt;/foreign-keys&gt;&lt;ref-type name="Journal Article"&gt;17&lt;/ref-type&gt;&lt;contributors&gt;&lt;authors&gt;&lt;author&gt;Franklin, Matthew&lt;/author&gt;&lt;author&gt;Hunter, Rachael Maree&lt;/author&gt;&lt;/authors&gt;&lt;/contributors&gt;&lt;titles&gt;&lt;title&gt;A modelling-based economic evaluation of primary-care-based fall-risk screening followed by fall-prevention intervention: a cohort-based Markov model stratified by older age groups&lt;/title&gt;&lt;secondary-title&gt;Age and ageing&lt;/secondary-title&gt;&lt;/titles&gt;&lt;periodical&gt;&lt;full-title&gt;Age and ageing&lt;/full-title&gt;&lt;/periodical&gt;&lt;dates&gt;&lt;year&gt;2019&lt;/year&gt;&lt;/dates&gt;&lt;urls&gt;&lt;/urls&gt;&lt;/record&gt;&lt;/Cite&gt;&lt;/EndNote&gt;</w:instrText>
            </w:r>
            <w:r w:rsidR="00737402" w:rsidRPr="004C78D8">
              <w:rPr>
                <w:sz w:val="18"/>
                <w:szCs w:val="18"/>
              </w:rPr>
              <w:fldChar w:fldCharType="separate"/>
            </w:r>
            <w:r w:rsidR="00C630FC" w:rsidRPr="004C78D8">
              <w:rPr>
                <w:noProof/>
                <w:sz w:val="18"/>
                <w:szCs w:val="18"/>
              </w:rPr>
              <w:t>[363]</w:t>
            </w:r>
            <w:r w:rsidR="00737402" w:rsidRPr="004C78D8">
              <w:rPr>
                <w:sz w:val="18"/>
                <w:szCs w:val="18"/>
              </w:rPr>
              <w:fldChar w:fldCharType="end"/>
            </w:r>
            <w:r w:rsidRPr="004C78D8">
              <w:rPr>
                <w:sz w:val="18"/>
                <w:szCs w:val="18"/>
              </w:rPr>
              <w:t xml:space="preserve">. </w:t>
            </w:r>
            <w:r w:rsidR="00133CDA" w:rsidRPr="004C78D8">
              <w:rPr>
                <w:sz w:val="18"/>
                <w:szCs w:val="18"/>
              </w:rPr>
              <w:t>The probabilities were higher for hospitali</w:t>
            </w:r>
            <w:r w:rsidR="00737402" w:rsidRPr="004C78D8">
              <w:rPr>
                <w:sz w:val="18"/>
                <w:szCs w:val="18"/>
              </w:rPr>
              <w:t>s</w:t>
            </w:r>
            <w:r w:rsidR="00133CDA" w:rsidRPr="004C78D8">
              <w:rPr>
                <w:sz w:val="18"/>
                <w:szCs w:val="18"/>
              </w:rPr>
              <w:t xml:space="preserve">ed falls – hence the higher average. </w:t>
            </w:r>
            <w:r w:rsidRPr="004C78D8">
              <w:rPr>
                <w:sz w:val="18"/>
                <w:szCs w:val="18"/>
              </w:rPr>
              <w:t>This was further weighted by proportion of target population in each age group from ELSA to obtain the final weighted average.</w:t>
            </w:r>
          </w:p>
          <w:p w14:paraId="32E12E84" w14:textId="6E45DEF8" w:rsidR="00BE4B34" w:rsidRPr="004C78D8" w:rsidRDefault="00737402" w:rsidP="00FB7C1F">
            <w:pPr>
              <w:rPr>
                <w:sz w:val="18"/>
                <w:szCs w:val="18"/>
              </w:rPr>
            </w:pPr>
            <w:r w:rsidRPr="004C78D8">
              <w:rPr>
                <w:sz w:val="18"/>
                <w:szCs w:val="18"/>
                <w:vertAlign w:val="superscript"/>
              </w:rPr>
              <w:t>3</w:t>
            </w:r>
            <w:r w:rsidR="00CA74C0" w:rsidRPr="004C78D8">
              <w:rPr>
                <w:sz w:val="18"/>
                <w:szCs w:val="18"/>
              </w:rPr>
              <w:t xml:space="preserve"> Hospitali</w:t>
            </w:r>
            <w:r w:rsidRPr="004C78D8">
              <w:rPr>
                <w:sz w:val="18"/>
                <w:szCs w:val="18"/>
              </w:rPr>
              <w:t>s</w:t>
            </w:r>
            <w:r w:rsidR="00CA74C0" w:rsidRPr="004C78D8">
              <w:rPr>
                <w:sz w:val="18"/>
                <w:szCs w:val="18"/>
              </w:rPr>
              <w:t>ation costs were originally disaggregated by two types of fall-related injuries that caused hospitali</w:t>
            </w:r>
            <w:r w:rsidR="0095576B" w:rsidRPr="004C78D8">
              <w:rPr>
                <w:sz w:val="18"/>
                <w:szCs w:val="18"/>
              </w:rPr>
              <w:t>s</w:t>
            </w:r>
            <w:r w:rsidR="00CA74C0" w:rsidRPr="004C78D8">
              <w:rPr>
                <w:sz w:val="18"/>
                <w:szCs w:val="18"/>
              </w:rPr>
              <w:t xml:space="preserve">ation: hip fracture vs. other injuries </w:t>
            </w:r>
            <w:r w:rsidRPr="004C78D8">
              <w:rPr>
                <w:sz w:val="18"/>
                <w:szCs w:val="18"/>
              </w:rPr>
              <w:fldChar w:fldCharType="begin"/>
            </w:r>
            <w:r w:rsidR="00C630FC" w:rsidRPr="004C78D8">
              <w:rPr>
                <w:sz w:val="18"/>
                <w:szCs w:val="18"/>
              </w:rPr>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4C78D8">
              <w:rPr>
                <w:sz w:val="18"/>
                <w:szCs w:val="18"/>
              </w:rPr>
              <w:fldChar w:fldCharType="separate"/>
            </w:r>
            <w:r w:rsidR="00C630FC" w:rsidRPr="004C78D8">
              <w:rPr>
                <w:noProof/>
                <w:sz w:val="18"/>
                <w:szCs w:val="18"/>
              </w:rPr>
              <w:t>[216]</w:t>
            </w:r>
            <w:r w:rsidRPr="004C78D8">
              <w:rPr>
                <w:sz w:val="18"/>
                <w:szCs w:val="18"/>
              </w:rPr>
              <w:fldChar w:fldCharType="end"/>
            </w:r>
            <w:r w:rsidR="00CA74C0" w:rsidRPr="004C78D8">
              <w:rPr>
                <w:sz w:val="18"/>
                <w:szCs w:val="18"/>
              </w:rPr>
              <w:t>. The weighted average was obtained from the information that 31% of hospitali</w:t>
            </w:r>
            <w:r w:rsidRPr="004C78D8">
              <w:rPr>
                <w:sz w:val="18"/>
                <w:szCs w:val="18"/>
              </w:rPr>
              <w:t>s</w:t>
            </w:r>
            <w:r w:rsidR="00CA74C0" w:rsidRPr="004C78D8">
              <w:rPr>
                <w:sz w:val="18"/>
                <w:szCs w:val="18"/>
              </w:rPr>
              <w:t>ed falls were caused by hip fracture</w:t>
            </w:r>
            <w:r w:rsidRPr="004C78D8">
              <w:rPr>
                <w:sz w:val="18"/>
                <w:szCs w:val="18"/>
              </w:rPr>
              <w:t xml:space="preserve"> </w:t>
            </w:r>
            <w:r w:rsidRPr="004C78D8">
              <w:rPr>
                <w:sz w:val="18"/>
                <w:szCs w:val="18"/>
              </w:rPr>
              <w:fldChar w:fldCharType="begin"/>
            </w:r>
            <w:r w:rsidR="00C630FC" w:rsidRPr="004C78D8">
              <w:rPr>
                <w:sz w:val="18"/>
                <w:szCs w:val="18"/>
              </w:rPr>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4C78D8">
              <w:rPr>
                <w:sz w:val="18"/>
                <w:szCs w:val="18"/>
              </w:rPr>
              <w:fldChar w:fldCharType="separate"/>
            </w:r>
            <w:r w:rsidR="00C630FC" w:rsidRPr="004C78D8">
              <w:rPr>
                <w:noProof/>
                <w:sz w:val="18"/>
                <w:szCs w:val="18"/>
              </w:rPr>
              <w:t>[216]</w:t>
            </w:r>
            <w:r w:rsidRPr="004C78D8">
              <w:rPr>
                <w:sz w:val="18"/>
                <w:szCs w:val="18"/>
              </w:rPr>
              <w:fldChar w:fldCharType="end"/>
            </w:r>
            <w:r w:rsidR="00CA74C0" w:rsidRPr="004C78D8">
              <w:rPr>
                <w:sz w:val="18"/>
                <w:szCs w:val="18"/>
              </w:rPr>
              <w:t>.</w:t>
            </w:r>
          </w:p>
          <w:p w14:paraId="29E3A9B7" w14:textId="349DE923" w:rsidR="000D1494" w:rsidRPr="004C78D8" w:rsidRDefault="00737402" w:rsidP="00FB7C1F">
            <w:pPr>
              <w:rPr>
                <w:sz w:val="18"/>
                <w:szCs w:val="18"/>
              </w:rPr>
            </w:pPr>
            <w:r w:rsidRPr="004C78D8">
              <w:rPr>
                <w:sz w:val="18"/>
                <w:szCs w:val="18"/>
                <w:vertAlign w:val="superscript"/>
              </w:rPr>
              <w:t>4</w:t>
            </w:r>
            <w:r w:rsidR="00BE4B34" w:rsidRPr="004C78D8">
              <w:rPr>
                <w:sz w:val="18"/>
                <w:szCs w:val="18"/>
              </w:rPr>
              <w:t xml:space="preserve"> Only 5.8% of hospitali</w:t>
            </w:r>
            <w:r w:rsidRPr="004C78D8">
              <w:rPr>
                <w:sz w:val="18"/>
                <w:szCs w:val="18"/>
              </w:rPr>
              <w:t>s</w:t>
            </w:r>
            <w:r w:rsidR="00BE4B34" w:rsidRPr="004C78D8">
              <w:rPr>
                <w:sz w:val="18"/>
                <w:szCs w:val="18"/>
              </w:rPr>
              <w:t xml:space="preserve">ed falls required long-stay geriatric ward which cost £14,659 per person in 2015/16 price </w:t>
            </w:r>
            <w:r w:rsidRPr="004C78D8">
              <w:rPr>
                <w:sz w:val="18"/>
                <w:szCs w:val="18"/>
              </w:rPr>
              <w:fldChar w:fldCharType="begin"/>
            </w:r>
            <w:r w:rsidR="00C630FC" w:rsidRPr="004C78D8">
              <w:rPr>
                <w:sz w:val="18"/>
                <w:szCs w:val="18"/>
              </w:rPr>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4C78D8">
              <w:rPr>
                <w:sz w:val="18"/>
                <w:szCs w:val="18"/>
              </w:rPr>
              <w:fldChar w:fldCharType="separate"/>
            </w:r>
            <w:r w:rsidR="00C630FC" w:rsidRPr="004C78D8">
              <w:rPr>
                <w:noProof/>
                <w:sz w:val="18"/>
                <w:szCs w:val="18"/>
              </w:rPr>
              <w:t>[216]</w:t>
            </w:r>
            <w:r w:rsidRPr="004C78D8">
              <w:rPr>
                <w:sz w:val="18"/>
                <w:szCs w:val="18"/>
              </w:rPr>
              <w:fldChar w:fldCharType="end"/>
            </w:r>
            <w:r w:rsidR="00BE4B34" w:rsidRPr="004C78D8">
              <w:rPr>
                <w:sz w:val="18"/>
                <w:szCs w:val="18"/>
              </w:rPr>
              <w:t>. In the absence of individual-level data on the risk of geriatric ward admission, its expected cost was applied</w:t>
            </w:r>
            <w:r w:rsidR="008209B2" w:rsidRPr="004C78D8">
              <w:rPr>
                <w:sz w:val="18"/>
                <w:szCs w:val="18"/>
              </w:rPr>
              <w:t xml:space="preserve"> to all hospitali</w:t>
            </w:r>
            <w:r w:rsidRPr="004C78D8">
              <w:rPr>
                <w:sz w:val="18"/>
                <w:szCs w:val="18"/>
              </w:rPr>
              <w:t>s</w:t>
            </w:r>
            <w:r w:rsidR="008209B2" w:rsidRPr="004C78D8">
              <w:rPr>
                <w:sz w:val="18"/>
                <w:szCs w:val="18"/>
              </w:rPr>
              <w:t>ed falls.</w:t>
            </w:r>
          </w:p>
        </w:tc>
      </w:tr>
    </w:tbl>
    <w:p w14:paraId="6D1A7955" w14:textId="77777777" w:rsidR="00813BE2" w:rsidRPr="004C78D8" w:rsidRDefault="00813BE2" w:rsidP="00FB7C1F"/>
    <w:p w14:paraId="3DBDBAB2" w14:textId="7CD553E0" w:rsidR="0068608E" w:rsidRPr="004C78D8" w:rsidRDefault="00733D18" w:rsidP="00FB7C1F">
      <w:r w:rsidRPr="004C78D8">
        <w:t xml:space="preserve">There </w:t>
      </w:r>
      <w:r w:rsidR="00196522" w:rsidRPr="004C78D8">
        <w:t>were some</w:t>
      </w:r>
      <w:r w:rsidRPr="004C78D8">
        <w:t xml:space="preserve"> differences in how the two models had parameteri</w:t>
      </w:r>
      <w:r w:rsidR="00737402" w:rsidRPr="004C78D8">
        <w:t>s</w:t>
      </w:r>
      <w:r w:rsidRPr="004C78D8">
        <w:t xml:space="preserve">ed </w:t>
      </w:r>
      <w:r w:rsidR="00196522" w:rsidRPr="004C78D8">
        <w:t>the healthcare costs</w:t>
      </w:r>
      <w:r w:rsidRPr="004C78D8">
        <w:t xml:space="preserve">. First, Franklin (2019) included rehabilitation costs (GP and outpatient visits) for all MA falls, while the PHE model included them for hip fracture only. This model chose the first approach since the PSSRU unit cost repository showed significant care costs – mean of £1,128 excluding inpatient costs – after </w:t>
      </w:r>
      <w:r w:rsidR="00196522" w:rsidRPr="004C78D8">
        <w:t xml:space="preserve">hospital </w:t>
      </w:r>
      <w:r w:rsidRPr="004C78D8">
        <w:t xml:space="preserve">discharge for any cause </w:t>
      </w:r>
      <w:r w:rsidR="00196522" w:rsidRPr="004C78D8">
        <w:fldChar w:fldCharType="begin"/>
      </w:r>
      <w:r w:rsidR="00C630FC" w:rsidRPr="004C78D8">
        <w:instrText xml:space="preserve"> ADDIN EN.CITE &lt;EndNote&gt;&lt;Cite&gt;&lt;Author&gt;Curtis&lt;/Author&gt;&lt;Year&gt;2019&lt;/Year&gt;&lt;RecNum&gt;135&lt;/RecNum&gt;&lt;DisplayText&gt;[401]&lt;/DisplayText&gt;&lt;record&gt;&lt;rec-number&gt;135&lt;/rec-number&gt;&lt;foreign-keys&gt;&lt;key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00196522" w:rsidRPr="004C78D8">
        <w:fldChar w:fldCharType="separate"/>
      </w:r>
      <w:r w:rsidR="00C630FC" w:rsidRPr="004C78D8">
        <w:rPr>
          <w:noProof/>
        </w:rPr>
        <w:t>[401]</w:t>
      </w:r>
      <w:r w:rsidR="00196522" w:rsidRPr="004C78D8">
        <w:fldChar w:fldCharType="end"/>
      </w:r>
      <w:r w:rsidRPr="004C78D8">
        <w:t>. Secondly, the hospitali</w:t>
      </w:r>
      <w:r w:rsidR="003967A2" w:rsidRPr="004C78D8">
        <w:t>s</w:t>
      </w:r>
      <w:r w:rsidRPr="004C78D8">
        <w:t>ation cost was substantially higher in the PHE model</w:t>
      </w:r>
      <w:r w:rsidR="00CE0BF2" w:rsidRPr="004C78D8">
        <w:t>: mean</w:t>
      </w:r>
      <w:r w:rsidRPr="004C78D8">
        <w:t xml:space="preserve"> of £9,292.13 as in Table </w:t>
      </w:r>
      <w:r w:rsidR="00CC53AC" w:rsidRPr="004C78D8">
        <w:t>5</w:t>
      </w:r>
      <w:r w:rsidR="003967A2" w:rsidRPr="004C78D8">
        <w:t>.4</w:t>
      </w:r>
      <w:r w:rsidR="00CC53AC" w:rsidRPr="004C78D8">
        <w:t>4</w:t>
      </w:r>
      <w:r w:rsidRPr="004C78D8">
        <w:t xml:space="preserve"> </w:t>
      </w:r>
      <w:r w:rsidR="00CE0BF2" w:rsidRPr="004C78D8">
        <w:t>compared to</w:t>
      </w:r>
      <w:r w:rsidRPr="004C78D8">
        <w:t xml:space="preserve"> £3,935.15 </w:t>
      </w:r>
      <w:r w:rsidR="00CE0BF2" w:rsidRPr="004C78D8">
        <w:t>in Franklin (2019) (</w:t>
      </w:r>
      <w:r w:rsidRPr="004C78D8">
        <w:t>in 2021/22 price</w:t>
      </w:r>
      <w:r w:rsidR="00CE0BF2" w:rsidRPr="004C78D8">
        <w:t>)</w:t>
      </w:r>
      <w:r w:rsidRPr="004C78D8">
        <w:t xml:space="preserve">. </w:t>
      </w:r>
      <w:r w:rsidR="00817E4F" w:rsidRPr="004C78D8">
        <w:t xml:space="preserve">The disparity </w:t>
      </w:r>
      <w:r w:rsidR="00CE0BF2" w:rsidRPr="004C78D8">
        <w:t>can</w:t>
      </w:r>
      <w:r w:rsidR="00817E4F" w:rsidRPr="004C78D8">
        <w:t xml:space="preserve"> be attributed to the differing sources of data for the cost estimates. Franklin (2019) used the weighted average cost of orthopaedic related items recorded in NHS reference costs, while </w:t>
      </w:r>
      <w:r w:rsidR="00CE0BF2" w:rsidRPr="004C78D8">
        <w:t>the PHE model</w:t>
      </w:r>
      <w:r w:rsidR="00817E4F" w:rsidRPr="004C78D8">
        <w:t xml:space="preserve"> drew on cost-of-illness studies that focused specifically on falls and hip fractures </w:t>
      </w:r>
      <w:r w:rsidR="00CE0BF2" w:rsidRPr="004C78D8">
        <w:fldChar w:fldCharType="begin"/>
      </w:r>
      <w:r w:rsidR="00C630FC" w:rsidRPr="004C78D8">
        <w:instrText xml:space="preserve"> ADDIN EN.CITE &lt;EndNote&gt;&lt;Cite&gt;&lt;Author&gt;Craig&lt;/Author&gt;&lt;Year&gt;2013&lt;/Year&gt;&lt;RecNum&gt;545&lt;/RecNum&gt;&lt;DisplayText&gt;[324, 412]&lt;/DisplayText&gt;&lt;record&gt;&lt;rec-number&gt;545&lt;/rec-number&gt;&lt;foreign-keys&gt;&lt;key app="EN" db-id="tdtrdw9aepptzbefsat599syza29sxsd2wsp" timestamp="1618679594"&gt;545&lt;/key&gt;&lt;/foreign-keys&gt;&lt;ref-type name="Journal Article"&gt;17&lt;/ref-type&gt;&lt;contributors&gt;&lt;authors&gt;&lt;author&gt;Craig, J&lt;/author&gt;&lt;author&gt;Murray, A&lt;/author&gt;&lt;author&gt;Mitchell, S&lt;/author&gt;&lt;author&gt;Clark, S&lt;/author&gt;&lt;author&gt;Saunders, L&lt;/author&gt;&lt;author&gt;Burleigh, L&lt;/author&gt;&lt;/authors&gt;&lt;/contributors&gt;&lt;titles&gt;&lt;title&gt;The high cost to health and social care of managing falls in older adults living in the community in Scotland&lt;/title&gt;&lt;secondary-title&gt;Scottish medical journal&lt;/secondary-title&gt;&lt;/titles&gt;&lt;periodical&gt;&lt;full-title&gt;Scottish medical journal&lt;/full-title&gt;&lt;/periodical&gt;&lt;pages&gt;198-203&lt;/pages&gt;&lt;volume&gt;58&lt;/volume&gt;&lt;number&gt;4&lt;/number&gt;&lt;dates&gt;&lt;year&gt;2013&lt;/year&gt;&lt;/dates&gt;&lt;isbn&gt;0036-9330&lt;/isbn&gt;&lt;urls&gt;&lt;/urls&gt;&lt;/record&gt;&lt;/Cite&gt;&lt;Cite&gt;&lt;Author&gt;Leal&lt;/Author&gt;&lt;Year&gt;2016&lt;/Year&gt;&lt;RecNum&gt;546&lt;/RecNum&gt;&lt;record&gt;&lt;rec-number&gt;546&lt;/rec-number&gt;&lt;foreign-keys&gt;&lt;key app="EN" db-id="tdtrdw9aepptzbefsat599syza29sxsd2wsp" timestamp="1618679604"&gt;546&lt;/key&gt;&lt;/foreign-keys&gt;&lt;ref-type name="Journal Article"&gt;17&lt;/ref-type&gt;&lt;contributors&gt;&lt;authors&gt;&lt;author&gt;Leal, Jose&lt;/author&gt;&lt;author&gt;Gray, AM&lt;/author&gt;&lt;author&gt;Prieto-Alhambra, Daniel&lt;/author&gt;&lt;author&gt;Arden, Nigel K&lt;/author&gt;&lt;author&gt;Cooper, Cyrus&lt;/author&gt;&lt;author&gt;Javaid, MK&lt;/author&gt;&lt;author&gt;Judge, A&lt;/author&gt;&lt;author&gt;REFReSH study group&lt;/author&gt;&lt;/authors&gt;&lt;/contributors&gt;&lt;titles&gt;&lt;title&gt;Impact of hip fracture on hospital care costs: a population-based study&lt;/title&gt;&lt;secondary-title&gt;Osteoporosis International&lt;/secondary-title&gt;&lt;/titles&gt;&lt;periodical&gt;&lt;full-title&gt;Osteoporosis International&lt;/full-title&gt;&lt;/periodical&gt;&lt;pages&gt;549-558&lt;/pages&gt;&lt;volume&gt;27&lt;/volume&gt;&lt;number&gt;2&lt;/number&gt;&lt;dates&gt;&lt;year&gt;2016&lt;/year&gt;&lt;/dates&gt;&lt;isbn&gt;0937-941X&lt;/isbn&gt;&lt;urls&gt;&lt;/urls&gt;&lt;/record&gt;&lt;/Cite&gt;&lt;/EndNote&gt;</w:instrText>
      </w:r>
      <w:r w:rsidR="00CE0BF2" w:rsidRPr="004C78D8">
        <w:fldChar w:fldCharType="separate"/>
      </w:r>
      <w:r w:rsidR="00C630FC" w:rsidRPr="004C78D8">
        <w:rPr>
          <w:noProof/>
        </w:rPr>
        <w:t>[324, 412]</w:t>
      </w:r>
      <w:r w:rsidR="00CE0BF2" w:rsidRPr="004C78D8">
        <w:fldChar w:fldCharType="end"/>
      </w:r>
      <w:r w:rsidR="00817E4F" w:rsidRPr="004C78D8">
        <w:t>. This model chose the second approach because the estimates from the fall-specific cost-of-illness studies are likely more accurate than the average cost</w:t>
      </w:r>
      <w:r w:rsidR="00CE0BF2" w:rsidRPr="004C78D8">
        <w:t>s</w:t>
      </w:r>
      <w:r w:rsidR="00817E4F" w:rsidRPr="004C78D8">
        <w:t xml:space="preserve"> </w:t>
      </w:r>
      <w:r w:rsidR="00CE0BF2" w:rsidRPr="004C78D8">
        <w:t xml:space="preserve">for </w:t>
      </w:r>
      <w:r w:rsidR="00817E4F" w:rsidRPr="004C78D8">
        <w:t>orthopaedic</w:t>
      </w:r>
      <w:r w:rsidR="00CE0BF2" w:rsidRPr="004C78D8">
        <w:t xml:space="preserve"> conditions</w:t>
      </w:r>
      <w:r w:rsidR="00817E4F" w:rsidRPr="004C78D8">
        <w:t xml:space="preserve">. Finally, the PHE model included </w:t>
      </w:r>
      <w:r w:rsidR="00AC6E5B" w:rsidRPr="004C78D8">
        <w:t xml:space="preserve">the </w:t>
      </w:r>
      <w:r w:rsidR="00817E4F" w:rsidRPr="004C78D8">
        <w:t xml:space="preserve">cost </w:t>
      </w:r>
      <w:r w:rsidR="00AC6E5B" w:rsidRPr="004C78D8">
        <w:t>of admission</w:t>
      </w:r>
      <w:r w:rsidR="00817E4F" w:rsidRPr="004C78D8">
        <w:t xml:space="preserve"> to long-stay geriatric wards which w</w:t>
      </w:r>
      <w:r w:rsidR="00AC6E5B" w:rsidRPr="004C78D8">
        <w:t>as</w:t>
      </w:r>
      <w:r w:rsidR="00817E4F" w:rsidRPr="004C78D8">
        <w:t xml:space="preserve"> not considered in Franklin (2019). </w:t>
      </w:r>
      <w:r w:rsidR="00AC6E5B" w:rsidRPr="004C78D8">
        <w:t xml:space="preserve">This model followed the PHE model since the ward admission was a separate resource consequence to ambulatory rehabilitation. </w:t>
      </w:r>
      <w:r w:rsidR="003D2D48" w:rsidRPr="004C78D8">
        <w:t xml:space="preserve">Having estimated the </w:t>
      </w:r>
      <w:r w:rsidR="007C600B" w:rsidRPr="004C78D8">
        <w:t>healthcare costs</w:t>
      </w:r>
      <w:r w:rsidR="003D2D48" w:rsidRPr="004C78D8">
        <w:t>, ELSA Wave 4 data was used to estimate the annual prevalence of MA fall</w:t>
      </w:r>
      <w:r w:rsidR="007C600B" w:rsidRPr="004C78D8">
        <w:t>s</w:t>
      </w:r>
      <w:r w:rsidR="003D2D48" w:rsidRPr="004C78D8">
        <w:t xml:space="preserve"> </w:t>
      </w:r>
      <w:r w:rsidR="00AC0BB0" w:rsidRPr="004C78D8">
        <w:t>by frailty category</w:t>
      </w:r>
      <w:r w:rsidR="003D2D48" w:rsidRPr="004C78D8">
        <w:t xml:space="preserve">. </w:t>
      </w:r>
      <w:r w:rsidR="00AC0BB0" w:rsidRPr="004C78D8">
        <w:t>T</w:t>
      </w:r>
      <w:r w:rsidR="003D2D48" w:rsidRPr="004C78D8">
        <w:t xml:space="preserve">he expected cost of </w:t>
      </w:r>
      <w:r w:rsidR="007C600B" w:rsidRPr="004C78D8">
        <w:t>MA falls</w:t>
      </w:r>
      <w:r w:rsidR="00AC0BB0" w:rsidRPr="004C78D8">
        <w:t xml:space="preserve"> </w:t>
      </w:r>
      <w:r w:rsidR="003D2D48" w:rsidRPr="004C78D8">
        <w:t xml:space="preserve">by frailty category </w:t>
      </w:r>
      <w:r w:rsidR="00AC0BB0" w:rsidRPr="004C78D8">
        <w:t xml:space="preserve">was then estimated and subtracted from the all-cause primary and secondary care costs to obtain the comorbidity care costs by frailty category </w:t>
      </w:r>
      <w:r w:rsidR="007C600B" w:rsidRPr="004C78D8">
        <w:t xml:space="preserve">in Section </w:t>
      </w:r>
      <w:r w:rsidR="00CC53AC" w:rsidRPr="004C78D8">
        <w:t>5</w:t>
      </w:r>
      <w:r w:rsidR="007C600B" w:rsidRPr="004C78D8">
        <w:t>.</w:t>
      </w:r>
      <w:r w:rsidR="008C2590" w:rsidRPr="004C78D8">
        <w:t>2</w:t>
      </w:r>
      <w:r w:rsidR="007C600B" w:rsidRPr="004C78D8">
        <w:t>.3.</w:t>
      </w:r>
      <w:r w:rsidR="00935A0A" w:rsidRPr="004C78D8">
        <w:t>4</w:t>
      </w:r>
      <w:r w:rsidR="007C600B" w:rsidRPr="004C78D8">
        <w:t xml:space="preserve"> </w:t>
      </w:r>
      <w:r w:rsidR="00AC0BB0" w:rsidRPr="004C78D8">
        <w:t xml:space="preserve">(Table </w:t>
      </w:r>
      <w:r w:rsidR="00CC53AC" w:rsidRPr="004C78D8">
        <w:t>5</w:t>
      </w:r>
      <w:r w:rsidR="007C600B" w:rsidRPr="004C78D8">
        <w:t>.1</w:t>
      </w:r>
      <w:r w:rsidR="008C2590" w:rsidRPr="004C78D8">
        <w:t>8</w:t>
      </w:r>
      <w:r w:rsidR="00AC0BB0" w:rsidRPr="004C78D8">
        <w:t xml:space="preserve">). </w:t>
      </w:r>
    </w:p>
    <w:p w14:paraId="7C083646" w14:textId="40DC95C5" w:rsidR="00C3051F" w:rsidRPr="004C78D8" w:rsidRDefault="0068608E" w:rsidP="00FB7C1F">
      <w:r w:rsidRPr="004C78D8">
        <w:t>T</w:t>
      </w:r>
      <w:r w:rsidR="00AC0BB0" w:rsidRPr="004C78D8">
        <w:t xml:space="preserve">he direct healthcare costs </w:t>
      </w:r>
      <w:r w:rsidRPr="004C78D8">
        <w:t xml:space="preserve">estimated </w:t>
      </w:r>
      <w:r w:rsidR="007C600B" w:rsidRPr="004C78D8">
        <w:t>here</w:t>
      </w:r>
      <w:r w:rsidRPr="004C78D8">
        <w:t xml:space="preserve"> </w:t>
      </w:r>
      <w:r w:rsidR="00AC0BB0" w:rsidRPr="004C78D8">
        <w:t xml:space="preserve">did not include </w:t>
      </w:r>
      <w:r w:rsidRPr="004C78D8">
        <w:t>those</w:t>
      </w:r>
      <w:r w:rsidR="00AC0BB0" w:rsidRPr="004C78D8">
        <w:t xml:space="preserve"> of </w:t>
      </w:r>
      <w:r w:rsidRPr="004C78D8">
        <w:t xml:space="preserve">district nursing which were included as all-cause </w:t>
      </w:r>
      <w:r w:rsidR="00343A49" w:rsidRPr="004C78D8">
        <w:t>community health</w:t>
      </w:r>
      <w:r w:rsidRPr="004C78D8">
        <w:t xml:space="preserve">care cost in Section </w:t>
      </w:r>
      <w:r w:rsidR="00CC53AC" w:rsidRPr="004C78D8">
        <w:t>5</w:t>
      </w:r>
      <w:r w:rsidRPr="004C78D8">
        <w:t>.</w:t>
      </w:r>
      <w:r w:rsidR="00E01543" w:rsidRPr="004C78D8">
        <w:t>2</w:t>
      </w:r>
      <w:r w:rsidRPr="004C78D8">
        <w:t>.3.</w:t>
      </w:r>
      <w:r w:rsidR="00935A0A" w:rsidRPr="004C78D8">
        <w:t>4</w:t>
      </w:r>
      <w:r w:rsidRPr="004C78D8">
        <w:t xml:space="preserve">. </w:t>
      </w:r>
      <w:r w:rsidR="00C3051F" w:rsidRPr="004C78D8">
        <w:t xml:space="preserve">The systematic review in Chapter </w:t>
      </w:r>
      <w:r w:rsidR="00CC53AC" w:rsidRPr="004C78D8">
        <w:t xml:space="preserve">4 </w:t>
      </w:r>
      <w:r w:rsidR="00C3051F" w:rsidRPr="004C78D8">
        <w:t xml:space="preserve">identified three UK-based economic evaluations that included district nursing as a resource consequence of falls </w:t>
      </w:r>
      <w:r w:rsidR="007C600B" w:rsidRPr="004C78D8">
        <w:fldChar w:fldCharType="begin">
          <w:fldData xml:space="preserve">PEVuZE5vdGU+PENpdGU+PEF1dGhvcj5TYWNoPC9BdXRob3I+PFllYXI+MjAwNzwvWWVhcj48UmVj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=
</w:fldData>
        </w:fldChar>
      </w:r>
      <w:r w:rsidR="00C630FC" w:rsidRPr="004C78D8">
        <w:instrText xml:space="preserve"> ADDIN EN.CITE </w:instrText>
      </w:r>
      <w:r w:rsidR="00C630FC" w:rsidRPr="004C78D8">
        <w:fldChar w:fldCharType="begin">
          <w:fldData xml:space="preserve">PEVuZE5vdGU+PENpdGU+PEF1dGhvcj5TYWNoPC9BdXRob3I+PFllYXI+MjAwNzwvWWVhcj48UmVj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=
</w:fldData>
        </w:fldChar>
      </w:r>
      <w:r w:rsidR="00C630FC" w:rsidRPr="004C78D8">
        <w:instrText xml:space="preserve"> ADDIN EN.CITE.DATA </w:instrText>
      </w:r>
      <w:r w:rsidR="00C630FC" w:rsidRPr="004C78D8">
        <w:fldChar w:fldCharType="end"/>
      </w:r>
      <w:r w:rsidR="007C600B" w:rsidRPr="004C78D8">
        <w:fldChar w:fldCharType="separate"/>
      </w:r>
      <w:r w:rsidR="00C630FC" w:rsidRPr="004C78D8">
        <w:rPr>
          <w:noProof/>
        </w:rPr>
        <w:t>[75, 349, 350]</w:t>
      </w:r>
      <w:r w:rsidR="007C600B" w:rsidRPr="004C78D8">
        <w:fldChar w:fldCharType="end"/>
      </w:r>
      <w:r w:rsidR="00C3051F" w:rsidRPr="004C78D8">
        <w:t xml:space="preserve">. </w:t>
      </w:r>
      <w:r w:rsidR="007C600B" w:rsidRPr="004C78D8">
        <w:t xml:space="preserve">Of these, </w:t>
      </w:r>
      <w:r w:rsidR="00C3051F" w:rsidRPr="004C78D8">
        <w:t xml:space="preserve">two targeted highly specific populations of women </w:t>
      </w:r>
      <w:r w:rsidR="00462337" w:rsidRPr="004C78D8">
        <w:t xml:space="preserve">requiring </w:t>
      </w:r>
      <w:r w:rsidR="00C3051F" w:rsidRPr="004C78D8">
        <w:t>cataract surgeries</w:t>
      </w:r>
      <w:r w:rsidR="007C600B" w:rsidRPr="004C78D8">
        <w:t xml:space="preserve"> </w:t>
      </w:r>
      <w:r w:rsidR="007C600B" w:rsidRPr="004C78D8">
        <w:fldChar w:fldCharType="begin">
          <w:fldData xml:space="preserve">PEVuZE5vdGU+PENpdGU+PEF1dGhvcj5TYWNoPC9BdXRob3I+PFllYXI+MjAwNzwvWWVhcj48UmVj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</w:fldData>
        </w:fldChar>
      </w:r>
      <w:r w:rsidR="00C630FC" w:rsidRPr="004C78D8">
        <w:instrText xml:space="preserve"> ADDIN EN.CITE </w:instrText>
      </w:r>
      <w:r w:rsidR="00C630FC" w:rsidRPr="004C78D8">
        <w:fldChar w:fldCharType="begin">
          <w:fldData xml:space="preserve">PEVuZE5vdGU+PENpdGU+PEF1dGhvcj5TYWNoPC9BdXRob3I+PFllYXI+MjAwNzwvWWVhcj48UmVj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</w:fldData>
        </w:fldChar>
      </w:r>
      <w:r w:rsidR="00C630FC" w:rsidRPr="004C78D8">
        <w:instrText xml:space="preserve"> ADDIN EN.CITE.DATA </w:instrText>
      </w:r>
      <w:r w:rsidR="00C630FC" w:rsidRPr="004C78D8">
        <w:fldChar w:fldCharType="end"/>
      </w:r>
      <w:r w:rsidR="007C600B" w:rsidRPr="004C78D8">
        <w:fldChar w:fldCharType="separate"/>
      </w:r>
      <w:r w:rsidR="00C630FC" w:rsidRPr="004C78D8">
        <w:rPr>
          <w:noProof/>
        </w:rPr>
        <w:t>[349, 350]</w:t>
      </w:r>
      <w:r w:rsidR="007C600B" w:rsidRPr="004C78D8">
        <w:fldChar w:fldCharType="end"/>
      </w:r>
      <w:r w:rsidR="007C600B" w:rsidRPr="004C78D8">
        <w:t>, while t</w:t>
      </w:r>
      <w:r w:rsidR="00C3051F" w:rsidRPr="004C78D8">
        <w:t>he third</w:t>
      </w:r>
      <w:r w:rsidR="00462337" w:rsidRPr="004C78D8">
        <w:t xml:space="preserve">, Sach (2012) </w:t>
      </w:r>
      <w:r w:rsidR="00462337" w:rsidRPr="004C78D8">
        <w:fldChar w:fldCharType="begin">
          <w:fldData xml:space="preserve">PEVuZE5vdGU+PENpdGU+PEF1dGhvcj5TYWNoPC9BdXRob3I+PFllYXI+MjAxMjwvWWVhcj48UmVj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</w:fldData>
        </w:fldChar>
      </w:r>
      <w:r w:rsidR="00513646" w:rsidRPr="004C78D8">
        <w:instrText xml:space="preserve"> ADDIN EN.CITE </w:instrText>
      </w:r>
      <w:r w:rsidR="00513646" w:rsidRPr="004C78D8">
        <w:fldChar w:fldCharType="begin">
          <w:fldData xml:space="preserve">PEVuZE5vdGU+PENpdGU+PEF1dGhvcj5TYWNoPC9BdXRob3I+PFllYXI+MjAxMjwvWWVhcj48UmVj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</w:fldData>
        </w:fldChar>
      </w:r>
      <w:r w:rsidR="00513646" w:rsidRPr="004C78D8">
        <w:instrText xml:space="preserve"> ADDIN EN.CITE.DATA </w:instrText>
      </w:r>
      <w:r w:rsidR="00513646" w:rsidRPr="004C78D8">
        <w:fldChar w:fldCharType="end"/>
      </w:r>
      <w:r w:rsidR="00462337" w:rsidRPr="004C78D8">
        <w:fldChar w:fldCharType="separate"/>
      </w:r>
      <w:r w:rsidR="00513646" w:rsidRPr="004C78D8">
        <w:rPr>
          <w:noProof/>
        </w:rPr>
        <w:t>[75]</w:t>
      </w:r>
      <w:r w:rsidR="00462337" w:rsidRPr="004C78D8">
        <w:fldChar w:fldCharType="end"/>
      </w:r>
      <w:r w:rsidR="00462337" w:rsidRPr="004C78D8">
        <w:t>,</w:t>
      </w:r>
      <w:r w:rsidR="00C3051F" w:rsidRPr="004C78D8">
        <w:t xml:space="preserve"> </w:t>
      </w:r>
      <w:r w:rsidR="007C600B" w:rsidRPr="004C78D8">
        <w:t>targeted</w:t>
      </w:r>
      <w:r w:rsidR="00C3051F" w:rsidRPr="004C78D8">
        <w:t xml:space="preserve"> </w:t>
      </w:r>
      <w:r w:rsidR="00FC3C3B" w:rsidRPr="004C78D8">
        <w:t>older</w:t>
      </w:r>
      <w:r w:rsidR="00C3051F" w:rsidRPr="004C78D8">
        <w:t xml:space="preserve"> persons </w:t>
      </w:r>
      <w:r w:rsidR="00462337" w:rsidRPr="004C78D8">
        <w:t>requiring an</w:t>
      </w:r>
      <w:r w:rsidR="00C3051F" w:rsidRPr="004C78D8">
        <w:t xml:space="preserve"> ambulance </w:t>
      </w:r>
      <w:r w:rsidR="007C600B" w:rsidRPr="004C78D8">
        <w:t>following a</w:t>
      </w:r>
      <w:r w:rsidR="00C3051F" w:rsidRPr="004C78D8">
        <w:t xml:space="preserve"> fall. </w:t>
      </w:r>
      <w:r w:rsidR="0058510F" w:rsidRPr="004C78D8">
        <w:t>To estimate the</w:t>
      </w:r>
      <w:r w:rsidR="00D62AA1" w:rsidRPr="004C78D8">
        <w:t xml:space="preserve"> </w:t>
      </w:r>
      <w:r w:rsidR="0058510F" w:rsidRPr="004C78D8">
        <w:t xml:space="preserve">district nursing </w:t>
      </w:r>
      <w:r w:rsidR="00C3051F" w:rsidRPr="004C78D8">
        <w:t xml:space="preserve">cost </w:t>
      </w:r>
      <w:r w:rsidR="00C3051F" w:rsidRPr="004C78D8">
        <w:rPr>
          <w:i/>
          <w:iCs/>
        </w:rPr>
        <w:t>directly</w:t>
      </w:r>
      <w:r w:rsidR="00C3051F" w:rsidRPr="004C78D8">
        <w:t xml:space="preserve"> attributable to falls</w:t>
      </w:r>
      <w:r w:rsidR="0058510F" w:rsidRPr="004C78D8">
        <w:t xml:space="preserve"> from </w:t>
      </w:r>
      <w:r w:rsidR="00462337" w:rsidRPr="004C78D8">
        <w:t>Sach (2012)</w:t>
      </w:r>
      <w:r w:rsidR="0058510F" w:rsidRPr="004C78D8">
        <w:t xml:space="preserve">, </w:t>
      </w:r>
      <w:r w:rsidR="00C3051F" w:rsidRPr="004C78D8">
        <w:t xml:space="preserve">the difference in the </w:t>
      </w:r>
      <w:r w:rsidR="00D62AA1" w:rsidRPr="004C78D8">
        <w:t xml:space="preserve">district nursing </w:t>
      </w:r>
      <w:r w:rsidR="00C3051F" w:rsidRPr="004C78D8">
        <w:t xml:space="preserve">cost between intervention and control </w:t>
      </w:r>
      <w:r w:rsidR="0058510F" w:rsidRPr="004C78D8">
        <w:t>groups</w:t>
      </w:r>
      <w:r w:rsidR="00C3051F" w:rsidRPr="004C78D8">
        <w:t xml:space="preserve"> </w:t>
      </w:r>
      <w:r w:rsidR="0058510F" w:rsidRPr="004C78D8">
        <w:t xml:space="preserve">was examined </w:t>
      </w:r>
      <w:r w:rsidR="00C3051F" w:rsidRPr="004C78D8">
        <w:t xml:space="preserve">since the </w:t>
      </w:r>
      <w:r w:rsidR="0058510F" w:rsidRPr="004C78D8">
        <w:t>intervention group</w:t>
      </w:r>
      <w:r w:rsidR="00C3051F" w:rsidRPr="004C78D8">
        <w:t xml:space="preserve"> experienced significantly </w:t>
      </w:r>
      <w:r w:rsidR="00343A49" w:rsidRPr="004C78D8">
        <w:t>lower</w:t>
      </w:r>
      <w:r w:rsidR="00C3051F" w:rsidRPr="004C78D8">
        <w:t xml:space="preserve"> number of falls. </w:t>
      </w:r>
      <w:r w:rsidR="0058510F" w:rsidRPr="004C78D8">
        <w:t>T</w:t>
      </w:r>
      <w:r w:rsidR="00D62AA1" w:rsidRPr="004C78D8">
        <w:t xml:space="preserve">he intervention </w:t>
      </w:r>
      <w:r w:rsidR="0058510F" w:rsidRPr="004C78D8">
        <w:t xml:space="preserve">group </w:t>
      </w:r>
      <w:r w:rsidR="00D62AA1" w:rsidRPr="004C78D8">
        <w:t xml:space="preserve">used on average 0.36 less hours of district nursing </w:t>
      </w:r>
      <w:r w:rsidR="0058510F" w:rsidRPr="004C78D8">
        <w:t>during the 12-month study at</w:t>
      </w:r>
      <w:r w:rsidR="00D62AA1" w:rsidRPr="004C78D8">
        <w:t xml:space="preserve"> £9.25 </w:t>
      </w:r>
      <w:r w:rsidR="0058510F" w:rsidRPr="004C78D8">
        <w:t xml:space="preserve">cost reduction </w:t>
      </w:r>
      <w:r w:rsidR="00D62AA1" w:rsidRPr="004C78D8">
        <w:t xml:space="preserve">per person. </w:t>
      </w:r>
      <w:r w:rsidR="0058510F" w:rsidRPr="004C78D8">
        <w:t xml:space="preserve">This amount was considerably smaller than the annual cost of district nursing estimated in Section </w:t>
      </w:r>
      <w:r w:rsidR="00CC53AC" w:rsidRPr="004C78D8">
        <w:t>5</w:t>
      </w:r>
      <w:r w:rsidR="0058510F" w:rsidRPr="004C78D8">
        <w:t>.</w:t>
      </w:r>
      <w:r w:rsidR="00CA75D2" w:rsidRPr="004C78D8">
        <w:t>2</w:t>
      </w:r>
      <w:r w:rsidR="0058510F" w:rsidRPr="004C78D8">
        <w:t>.3.</w:t>
      </w:r>
      <w:r w:rsidR="00935A0A" w:rsidRPr="004C78D8">
        <w:t>4</w:t>
      </w:r>
      <w:r w:rsidR="0058510F" w:rsidRPr="004C78D8">
        <w:t xml:space="preserve"> (£4,809.22), and </w:t>
      </w:r>
      <w:r w:rsidR="00D62AA1" w:rsidRPr="004C78D8">
        <w:t>the 95% confidence interval around the mean cost reduction was very wide (-£352.73 to £307.23)</w:t>
      </w:r>
      <w:r w:rsidR="0058510F" w:rsidRPr="004C78D8">
        <w:t>.</w:t>
      </w:r>
      <w:r w:rsidR="00B266B0" w:rsidRPr="004C78D8">
        <w:t xml:space="preserve"> </w:t>
      </w:r>
      <w:r w:rsidR="00EA7B19" w:rsidRPr="004C78D8">
        <w:t xml:space="preserve">Hence, falls </w:t>
      </w:r>
      <w:r w:rsidR="00462337" w:rsidRPr="004C78D8">
        <w:t xml:space="preserve">were assumed to </w:t>
      </w:r>
      <w:r w:rsidR="00EA7B19" w:rsidRPr="004C78D8">
        <w:t xml:space="preserve">incur community healthcare cost only via </w:t>
      </w:r>
      <w:r w:rsidR="0058510F" w:rsidRPr="004C78D8">
        <w:t xml:space="preserve">frailty progression, </w:t>
      </w:r>
      <w:r w:rsidR="00BB3FD0" w:rsidRPr="004C78D8">
        <w:t xml:space="preserve">and no costs were subtracted from </w:t>
      </w:r>
      <w:r w:rsidR="0058510F" w:rsidRPr="004C78D8">
        <w:t>the all-cause care</w:t>
      </w:r>
      <w:r w:rsidR="00BB3FD0" w:rsidRPr="004C78D8">
        <w:t xml:space="preserve"> cost in Section </w:t>
      </w:r>
      <w:r w:rsidR="00CC53AC" w:rsidRPr="004C78D8">
        <w:t>5</w:t>
      </w:r>
      <w:r w:rsidR="00BB3FD0" w:rsidRPr="004C78D8">
        <w:t>.</w:t>
      </w:r>
      <w:r w:rsidR="00CA75D2" w:rsidRPr="004C78D8">
        <w:t>2</w:t>
      </w:r>
      <w:r w:rsidR="00BB3FD0" w:rsidRPr="004C78D8">
        <w:t>.3.</w:t>
      </w:r>
      <w:r w:rsidR="00935A0A" w:rsidRPr="004C78D8">
        <w:t>4</w:t>
      </w:r>
      <w:r w:rsidR="00BB3FD0" w:rsidRPr="004C78D8">
        <w:t>.</w:t>
      </w:r>
    </w:p>
    <w:p w14:paraId="6B174F78" w14:textId="12BF02A1" w:rsidR="002A4021" w:rsidRPr="004C78D8" w:rsidRDefault="00CA75D2" w:rsidP="00FB7C1F">
      <w:pPr>
        <w:pStyle w:val="Heading5"/>
      </w:pPr>
      <w:r w:rsidRPr="004C78D8">
        <w:t>Societal</w:t>
      </w:r>
      <w:r w:rsidR="002A4021" w:rsidRPr="004C78D8">
        <w:t xml:space="preserve"> costs</w:t>
      </w:r>
    </w:p>
    <w:p w14:paraId="033E7465" w14:textId="696A7816" w:rsidR="00564B0D" w:rsidRPr="004C78D8" w:rsidRDefault="007E2F9E" w:rsidP="00FB7C1F">
      <w:r w:rsidRPr="004C78D8">
        <w:t>Sach (2012)</w:t>
      </w:r>
      <w:r w:rsidR="0058510F" w:rsidRPr="004C78D8">
        <w:t xml:space="preserve"> also </w:t>
      </w:r>
      <w:r w:rsidRPr="004C78D8">
        <w:t>reported</w:t>
      </w:r>
      <w:r w:rsidR="00E46265" w:rsidRPr="004C78D8">
        <w:t xml:space="preserve"> </w:t>
      </w:r>
      <w:r w:rsidR="00F54C61" w:rsidRPr="004C78D8">
        <w:t>costs of</w:t>
      </w:r>
      <w:r w:rsidR="0058510F" w:rsidRPr="004C78D8">
        <w:t xml:space="preserve"> </w:t>
      </w:r>
      <w:r w:rsidR="00E46265" w:rsidRPr="004C78D8">
        <w:t>short-term social care</w:t>
      </w:r>
      <w:r w:rsidR="00162F51" w:rsidRPr="004C78D8">
        <w:t xml:space="preserve"> (home care worker, day centre visits, meals on wheels, and special equipment)</w:t>
      </w:r>
      <w:r w:rsidR="00E46265" w:rsidRPr="004C78D8">
        <w:t xml:space="preserve">, OOP care </w:t>
      </w:r>
      <w:r w:rsidR="00162F51" w:rsidRPr="004C78D8">
        <w:t xml:space="preserve">(meals on wheels and home care workers), </w:t>
      </w:r>
      <w:r w:rsidR="00E46265" w:rsidRPr="004C78D8">
        <w:t>and informal care</w:t>
      </w:r>
      <w:r w:rsidRPr="004C78D8">
        <w:t xml:space="preserve"> </w:t>
      </w:r>
      <w:r w:rsidR="00162F51" w:rsidRPr="004C78D8">
        <w:t xml:space="preserve">(time opportunity cost) </w:t>
      </w:r>
      <w:r w:rsidRPr="004C78D8">
        <w:fldChar w:fldCharType="begin">
          <w:fldData xml:space="preserve">PEVuZE5vdGU+PENpdGU+PEF1dGhvcj5TYWNoPC9BdXRob3I+PFllYXI+MjAxMjwvWWVhcj48UmVj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</w:fldData>
        </w:fldChar>
      </w:r>
      <w:r w:rsidR="00513646" w:rsidRPr="004C78D8">
        <w:instrText xml:space="preserve"> ADDIN EN.CITE </w:instrText>
      </w:r>
      <w:r w:rsidR="00513646" w:rsidRPr="004C78D8">
        <w:fldChar w:fldCharType="begin">
          <w:fldData xml:space="preserve">PEVuZE5vdGU+PENpdGU+PEF1dGhvcj5TYWNoPC9BdXRob3I+PFllYXI+MjAxMjwvWWVhcj48UmVj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</w:fldData>
        </w:fldChar>
      </w:r>
      <w:r w:rsidR="00513646" w:rsidRPr="004C78D8">
        <w:instrText xml:space="preserve"> ADDIN EN.CITE.DATA </w:instrText>
      </w:r>
      <w:r w:rsidR="00513646" w:rsidRPr="004C78D8">
        <w:fldChar w:fldCharType="end"/>
      </w:r>
      <w:r w:rsidRPr="004C78D8">
        <w:fldChar w:fldCharType="separate"/>
      </w:r>
      <w:r w:rsidR="00513646" w:rsidRPr="004C78D8">
        <w:rPr>
          <w:noProof/>
        </w:rPr>
        <w:t>[75]</w:t>
      </w:r>
      <w:r w:rsidRPr="004C78D8">
        <w:fldChar w:fldCharType="end"/>
      </w:r>
      <w:r w:rsidR="00E46265" w:rsidRPr="004C78D8">
        <w:t xml:space="preserve">. </w:t>
      </w:r>
      <w:r w:rsidR="006D6B61" w:rsidRPr="004C78D8">
        <w:t>I</w:t>
      </w:r>
      <w:r w:rsidR="00162F51" w:rsidRPr="004C78D8">
        <w:t>nterestingly, the intervention group incurred</w:t>
      </w:r>
      <w:r w:rsidR="00E46265" w:rsidRPr="004C78D8">
        <w:t xml:space="preserve"> </w:t>
      </w:r>
      <w:r w:rsidR="00162F51" w:rsidRPr="004C78D8">
        <w:t xml:space="preserve">on average </w:t>
      </w:r>
      <w:r w:rsidR="00E46265" w:rsidRPr="004C78D8">
        <w:t xml:space="preserve">£381.58 </w:t>
      </w:r>
      <w:r w:rsidR="00E46265" w:rsidRPr="004C78D8">
        <w:rPr>
          <w:i/>
          <w:iCs/>
        </w:rPr>
        <w:t>more</w:t>
      </w:r>
      <w:r w:rsidR="00E46265" w:rsidRPr="004C78D8">
        <w:t xml:space="preserve"> per person for short-term social care</w:t>
      </w:r>
      <w:r w:rsidR="00162F51" w:rsidRPr="004C78D8">
        <w:t xml:space="preserve">, £132.66 </w:t>
      </w:r>
      <w:r w:rsidR="00162F51" w:rsidRPr="004C78D8">
        <w:rPr>
          <w:i/>
          <w:iCs/>
        </w:rPr>
        <w:t xml:space="preserve">more </w:t>
      </w:r>
      <w:r w:rsidR="00162F51" w:rsidRPr="004C78D8">
        <w:t xml:space="preserve">for OOP care and £1,303.71 </w:t>
      </w:r>
      <w:r w:rsidR="00162F51" w:rsidRPr="004C78D8">
        <w:rPr>
          <w:i/>
          <w:iCs/>
        </w:rPr>
        <w:t xml:space="preserve">more </w:t>
      </w:r>
      <w:r w:rsidR="00162F51" w:rsidRPr="004C78D8">
        <w:t>for informal care relative to the control group</w:t>
      </w:r>
      <w:r w:rsidR="000038D3" w:rsidRPr="004C78D8">
        <w:t xml:space="preserve">. </w:t>
      </w:r>
      <w:r w:rsidR="00162F51" w:rsidRPr="004C78D8">
        <w:t xml:space="preserve">A potential explanation is that the multifactorial intervention evaluated by the trial </w:t>
      </w:r>
      <w:r w:rsidR="00CA75D2" w:rsidRPr="004C78D8">
        <w:t>identified</w:t>
      </w:r>
      <w:r w:rsidR="00162F51" w:rsidRPr="004C78D8">
        <w:t xml:space="preserve"> previously unrecognised care needs and induced greater care provision. In the absence of evidence, these costs were not directly attributed to falls in the model; and hence no costs were subtracted from the all-cause estimates in Section </w:t>
      </w:r>
      <w:r w:rsidR="00CC53AC" w:rsidRPr="004C78D8">
        <w:t>5</w:t>
      </w:r>
      <w:r w:rsidR="00162F51" w:rsidRPr="004C78D8">
        <w:t>.</w:t>
      </w:r>
      <w:r w:rsidR="00CA75D2" w:rsidRPr="004C78D8">
        <w:t>2</w:t>
      </w:r>
      <w:r w:rsidR="00162F51" w:rsidRPr="004C78D8">
        <w:t>.3.</w:t>
      </w:r>
      <w:r w:rsidR="00935A0A" w:rsidRPr="004C78D8">
        <w:t>4</w:t>
      </w:r>
      <w:r w:rsidR="00162F51" w:rsidRPr="004C78D8">
        <w:t>.</w:t>
      </w:r>
    </w:p>
    <w:p w14:paraId="49229AFC" w14:textId="77777777" w:rsidR="00564B0D" w:rsidRPr="004C78D8" w:rsidRDefault="00564B0D" w:rsidP="00FB7C1F"/>
    <w:p w14:paraId="5169D735" w14:textId="348DD5CF" w:rsidR="00373C68" w:rsidRPr="004C78D8" w:rsidRDefault="00974C2C" w:rsidP="00FB7C1F">
      <w:pPr>
        <w:pStyle w:val="Heading3"/>
      </w:pPr>
      <w:bookmarkStart w:id="156" w:name="_Toc111630779"/>
      <w:r w:rsidRPr="004C78D8">
        <w:t>5</w:t>
      </w:r>
      <w:r w:rsidR="00373C68" w:rsidRPr="004C78D8">
        <w:t>.</w:t>
      </w:r>
      <w:r w:rsidR="00332ADA" w:rsidRPr="004C78D8">
        <w:t>2</w:t>
      </w:r>
      <w:r w:rsidR="00373C68" w:rsidRPr="004C78D8">
        <w:t>.</w:t>
      </w:r>
      <w:r w:rsidR="00480861" w:rsidRPr="004C78D8">
        <w:t>6</w:t>
      </w:r>
      <w:r w:rsidR="00373C68" w:rsidRPr="004C78D8">
        <w:t xml:space="preserve"> Dynamic transitions</w:t>
      </w:r>
      <w:bookmarkEnd w:id="156"/>
    </w:p>
    <w:p w14:paraId="46747B4C" w14:textId="49299F5C" w:rsidR="008E342F" w:rsidRPr="004C78D8" w:rsidRDefault="008E342F" w:rsidP="00FB7C1F">
      <w:r w:rsidRPr="004C78D8">
        <w:t>Following the incidence of some type of non-fatal falls</w:t>
      </w:r>
      <w:r w:rsidR="00723AF1" w:rsidRPr="004C78D8">
        <w:t xml:space="preserve"> (</w:t>
      </w:r>
      <w:r w:rsidRPr="004C78D8">
        <w:t>if any</w:t>
      </w:r>
      <w:r w:rsidR="00723AF1" w:rsidRPr="004C78D8">
        <w:t>)</w:t>
      </w:r>
      <w:r w:rsidRPr="004C78D8">
        <w:t xml:space="preserve">, individuals’ characteristics are updated for the next cycle. First, their frailty scores are updated (Section </w:t>
      </w:r>
      <w:r w:rsidR="00F82FF1" w:rsidRPr="004C78D8">
        <w:t>5</w:t>
      </w:r>
      <w:r w:rsidRPr="004C78D8">
        <w:t>.</w:t>
      </w:r>
      <w:r w:rsidR="00332ADA" w:rsidRPr="004C78D8">
        <w:t>2</w:t>
      </w:r>
      <w:r w:rsidRPr="004C78D8">
        <w:t xml:space="preserve">.6.1) according to the fall incidence type and current cycle characteristics. Second, </w:t>
      </w:r>
      <w:r w:rsidR="00E9626A" w:rsidRPr="004C78D8">
        <w:t xml:space="preserve">the risk and incidence of </w:t>
      </w:r>
      <w:r w:rsidR="00A06840" w:rsidRPr="004C78D8">
        <w:t>LTC</w:t>
      </w:r>
      <w:r w:rsidR="00E9626A" w:rsidRPr="004C78D8">
        <w:t xml:space="preserve"> admission are estimated (Section </w:t>
      </w:r>
      <w:r w:rsidR="00F82FF1" w:rsidRPr="004C78D8">
        <w:t>5</w:t>
      </w:r>
      <w:r w:rsidR="00E9626A" w:rsidRPr="004C78D8">
        <w:t>.</w:t>
      </w:r>
      <w:r w:rsidR="00332ADA" w:rsidRPr="004C78D8">
        <w:t>2</w:t>
      </w:r>
      <w:r w:rsidR="00E9626A" w:rsidRPr="004C78D8">
        <w:t xml:space="preserve">.6.2). If the current cycle is the final one, the model concludes at this point, and all individuals exit the model with or without the LTC admission. For non-admitted individuals in non-final cycles, their characteristics are updated for the next cycle (Section </w:t>
      </w:r>
      <w:r w:rsidR="00F82FF1" w:rsidRPr="004C78D8">
        <w:t>5</w:t>
      </w:r>
      <w:r w:rsidR="00E9626A" w:rsidRPr="004C78D8">
        <w:t>.</w:t>
      </w:r>
      <w:r w:rsidR="00332ADA" w:rsidRPr="004C78D8">
        <w:t>2</w:t>
      </w:r>
      <w:r w:rsidR="00E9626A" w:rsidRPr="004C78D8">
        <w:t>.6.3).</w:t>
      </w:r>
    </w:p>
    <w:p w14:paraId="73A11BFE" w14:textId="5CD36D4D" w:rsidR="0099108B" w:rsidRPr="004C78D8" w:rsidRDefault="00F82FF1" w:rsidP="00FB7C1F">
      <w:pPr>
        <w:pStyle w:val="Heading4"/>
      </w:pPr>
      <w:r w:rsidRPr="004C78D8">
        <w:t>5</w:t>
      </w:r>
      <w:r w:rsidR="00D56826" w:rsidRPr="004C78D8">
        <w:t>.</w:t>
      </w:r>
      <w:r w:rsidR="00332ADA" w:rsidRPr="004C78D8">
        <w:t>2</w:t>
      </w:r>
      <w:r w:rsidR="00D56826" w:rsidRPr="004C78D8">
        <w:t>.6.1 Frailty progression</w:t>
      </w:r>
    </w:p>
    <w:p w14:paraId="56DD2A71" w14:textId="35FEE32E" w:rsidR="00D56826" w:rsidRPr="004C78D8" w:rsidRDefault="00D56826" w:rsidP="00FB7C1F">
      <w:r w:rsidRPr="004C78D8">
        <w:t>Between ELSA Waves 4</w:t>
      </w:r>
      <w:r w:rsidR="009250D1" w:rsidRPr="004C78D8">
        <w:t>-</w:t>
      </w:r>
      <w:r w:rsidRPr="004C78D8">
        <w:t xml:space="preserve">5, the frailty score </w:t>
      </w:r>
      <w:r w:rsidR="00E553DB" w:rsidRPr="004C78D8">
        <w:t xml:space="preserve">(range 0-100) </w:t>
      </w:r>
      <w:r w:rsidRPr="004C78D8">
        <w:t>increased on average by 2.6</w:t>
      </w:r>
      <w:r w:rsidR="009250D1" w:rsidRPr="004C78D8">
        <w:t>0</w:t>
      </w:r>
      <w:r w:rsidRPr="004C78D8">
        <w:t xml:space="preserve"> points. If the rate of change is assumed to be constant over the two-year interim, this is equivalent to an annual change of 1.30 points. Table </w:t>
      </w:r>
      <w:r w:rsidR="00F82FF1" w:rsidRPr="004C78D8">
        <w:t>5</w:t>
      </w:r>
      <w:r w:rsidRPr="004C78D8">
        <w:t>.</w:t>
      </w:r>
      <w:r w:rsidR="00E553DB" w:rsidRPr="004C78D8">
        <w:t>4</w:t>
      </w:r>
      <w:r w:rsidR="00F82FF1" w:rsidRPr="004C78D8">
        <w:t>5</w:t>
      </w:r>
      <w:r w:rsidRPr="004C78D8">
        <w:t xml:space="preserve"> shows the coefficient estimates from the best-fit multivariate regression for (</w:t>
      </w:r>
      <w:r w:rsidR="00B902A8" w:rsidRPr="004C78D8">
        <w:t>two-year</w:t>
      </w:r>
      <w:r w:rsidRPr="004C78D8">
        <w:t>) change in frailty</w:t>
      </w:r>
      <w:r w:rsidR="00F82FF1" w:rsidRPr="004C78D8">
        <w:t>.</w:t>
      </w:r>
      <w:r w:rsidR="009250D1" w:rsidRPr="004C78D8">
        <w:t xml:space="preserve"> </w:t>
      </w:r>
      <w:r w:rsidRPr="004C78D8">
        <w:t xml:space="preserve">Table </w:t>
      </w:r>
      <w:r w:rsidR="00E553DB" w:rsidRPr="004C78D8">
        <w:t>E</w:t>
      </w:r>
      <w:r w:rsidR="00CA75D2" w:rsidRPr="004C78D8">
        <w:t>1</w:t>
      </w:r>
      <w:r w:rsidR="00F82FF1" w:rsidRPr="004C78D8">
        <w:t>2</w:t>
      </w:r>
      <w:r w:rsidRPr="004C78D8">
        <w:t xml:space="preserve"> </w:t>
      </w:r>
      <w:r w:rsidR="00A06840" w:rsidRPr="004C78D8">
        <w:t xml:space="preserve">in Appendix E </w:t>
      </w:r>
      <w:r w:rsidR="00F82FF1" w:rsidRPr="004C78D8">
        <w:t xml:space="preserve">shows the results of all </w:t>
      </w:r>
      <w:r w:rsidRPr="004C78D8">
        <w:t>model fit comparisons</w:t>
      </w:r>
      <w:r w:rsidR="00F82FF1" w:rsidRPr="004C78D8">
        <w:t xml:space="preserve"> for dynamic transitions</w:t>
      </w:r>
      <w:r w:rsidRPr="004C78D8">
        <w:t xml:space="preserve">. </w:t>
      </w:r>
    </w:p>
    <w:tbl>
      <w:tblPr>
        <w:tblStyle w:val="TableGrid"/>
        <w:tblW w:w="0" w:type="auto"/>
        <w:tblInd w:w="-5" w:type="dxa"/>
        <w:tblLook w:val="04A0" w:firstRow="1" w:lastRow="0" w:firstColumn="1" w:lastColumn="0" w:noHBand="0" w:noVBand="1"/>
      </w:tblPr>
      <w:tblGrid>
        <w:gridCol w:w="2689"/>
        <w:gridCol w:w="1842"/>
        <w:gridCol w:w="1701"/>
      </w:tblGrid>
      <w:tr w:rsidR="00D56826" w:rsidRPr="004C78D8" w14:paraId="316FC8FA" w14:textId="77777777" w:rsidTr="00E35893">
        <w:tc>
          <w:tcPr>
            <w:tcW w:w="6232" w:type="dxa"/>
            <w:gridSpan w:val="3"/>
          </w:tcPr>
          <w:p w14:paraId="7DB204D1" w14:textId="4CFA4DC2" w:rsidR="00D56826" w:rsidRPr="004C78D8" w:rsidRDefault="00D56826" w:rsidP="00FB7C1F">
            <w:pPr>
              <w:jc w:val="left"/>
            </w:pPr>
            <w:r w:rsidRPr="004C78D8">
              <w:rPr>
                <w:b/>
                <w:bCs/>
              </w:rPr>
              <w:t xml:space="preserve">Table </w:t>
            </w:r>
            <w:r w:rsidR="00F82FF1" w:rsidRPr="004C78D8">
              <w:rPr>
                <w:b/>
                <w:bCs/>
              </w:rPr>
              <w:t>5</w:t>
            </w:r>
            <w:r w:rsidR="00E553DB" w:rsidRPr="004C78D8">
              <w:rPr>
                <w:b/>
                <w:bCs/>
              </w:rPr>
              <w:t>.4</w:t>
            </w:r>
            <w:r w:rsidR="00F82FF1" w:rsidRPr="004C78D8">
              <w:rPr>
                <w:b/>
                <w:bCs/>
              </w:rPr>
              <w:t>5</w:t>
            </w:r>
            <w:r w:rsidRPr="004C78D8">
              <w:t xml:space="preserve"> Linear regression coefficients for </w:t>
            </w:r>
            <w:r w:rsidR="00B902A8" w:rsidRPr="004C78D8">
              <w:t>two-year</w:t>
            </w:r>
            <w:r w:rsidR="00BC1B33" w:rsidRPr="004C78D8">
              <w:t xml:space="preserve"> </w:t>
            </w:r>
            <w:r w:rsidRPr="004C78D8">
              <w:t>change in frailty (0-100) between ELSA Waves 4 and 5</w:t>
            </w:r>
            <w:r w:rsidR="00B902A8" w:rsidRPr="004C78D8">
              <w:t>.</w:t>
            </w:r>
          </w:p>
        </w:tc>
      </w:tr>
      <w:tr w:rsidR="00D56826" w:rsidRPr="004C78D8" w14:paraId="01F31181" w14:textId="77777777" w:rsidTr="00E35893">
        <w:tc>
          <w:tcPr>
            <w:tcW w:w="6232" w:type="dxa"/>
            <w:gridSpan w:val="3"/>
          </w:tcPr>
          <w:p w14:paraId="287DECD3" w14:textId="77777777" w:rsidR="00D56826" w:rsidRPr="004C78D8" w:rsidRDefault="00D56826" w:rsidP="00FB7C1F">
            <w:pPr>
              <w:jc w:val="left"/>
              <w:rPr>
                <w:b/>
                <w:bCs/>
                <w:i/>
                <w:iCs/>
                <w:sz w:val="20"/>
                <w:szCs w:val="20"/>
              </w:rPr>
            </w:pPr>
            <w:r w:rsidRPr="004C78D8">
              <w:rPr>
                <w:b/>
                <w:bCs/>
                <w:i/>
                <w:iCs/>
                <w:sz w:val="20"/>
                <w:szCs w:val="20"/>
              </w:rPr>
              <w:t>Dependent variable: Change in frailty (0-100) (N=6,205)</w:t>
            </w:r>
          </w:p>
        </w:tc>
      </w:tr>
      <w:tr w:rsidR="00D56826" w:rsidRPr="004C78D8" w14:paraId="1CCA728B" w14:textId="77777777" w:rsidTr="00E35893">
        <w:tc>
          <w:tcPr>
            <w:tcW w:w="2689" w:type="dxa"/>
            <w:tcBorders>
              <w:bottom w:val="single" w:sz="4" w:space="0" w:color="auto"/>
            </w:tcBorders>
          </w:tcPr>
          <w:p w14:paraId="64F333D7" w14:textId="77777777" w:rsidR="00D56826" w:rsidRPr="004C78D8" w:rsidRDefault="00D56826" w:rsidP="00FB7C1F">
            <w:pPr>
              <w:rPr>
                <w:b/>
                <w:bCs/>
                <w:sz w:val="20"/>
                <w:szCs w:val="20"/>
              </w:rPr>
            </w:pPr>
            <w:r w:rsidRPr="004C78D8">
              <w:rPr>
                <w:b/>
                <w:bCs/>
                <w:sz w:val="20"/>
                <w:szCs w:val="20"/>
              </w:rPr>
              <w:t>Explanatory variables</w:t>
            </w:r>
          </w:p>
        </w:tc>
        <w:tc>
          <w:tcPr>
            <w:tcW w:w="1842" w:type="dxa"/>
            <w:tcBorders>
              <w:bottom w:val="single" w:sz="4" w:space="0" w:color="auto"/>
            </w:tcBorders>
          </w:tcPr>
          <w:p w14:paraId="61189EDD" w14:textId="77777777" w:rsidR="00D56826" w:rsidRPr="004C78D8" w:rsidRDefault="00D56826" w:rsidP="00FB7C1F">
            <w:pPr>
              <w:jc w:val="center"/>
              <w:rPr>
                <w:b/>
                <w:bCs/>
                <w:sz w:val="20"/>
                <w:szCs w:val="20"/>
              </w:rPr>
            </w:pPr>
            <w:r w:rsidRPr="004C78D8">
              <w:rPr>
                <w:b/>
                <w:bCs/>
                <w:sz w:val="20"/>
                <w:szCs w:val="20"/>
              </w:rPr>
              <w:t>Coefficient (SE)</w:t>
            </w:r>
          </w:p>
        </w:tc>
        <w:tc>
          <w:tcPr>
            <w:tcW w:w="1701" w:type="dxa"/>
            <w:tcBorders>
              <w:bottom w:val="single" w:sz="4" w:space="0" w:color="auto"/>
            </w:tcBorders>
          </w:tcPr>
          <w:p w14:paraId="08937A60" w14:textId="77777777" w:rsidR="00D56826" w:rsidRPr="004C78D8" w:rsidRDefault="00D56826" w:rsidP="00FB7C1F">
            <w:pPr>
              <w:jc w:val="center"/>
              <w:rPr>
                <w:b/>
                <w:bCs/>
                <w:sz w:val="20"/>
                <w:szCs w:val="20"/>
              </w:rPr>
            </w:pPr>
            <w:r w:rsidRPr="004C78D8">
              <w:rPr>
                <w:b/>
                <w:bCs/>
                <w:sz w:val="20"/>
                <w:szCs w:val="20"/>
              </w:rPr>
              <w:t>P-value</w:t>
            </w:r>
          </w:p>
        </w:tc>
      </w:tr>
      <w:tr w:rsidR="00D56826" w:rsidRPr="004C78D8" w14:paraId="3F42205C" w14:textId="77777777" w:rsidTr="00E35893">
        <w:tc>
          <w:tcPr>
            <w:tcW w:w="2689" w:type="dxa"/>
            <w:tcBorders>
              <w:bottom w:val="nil"/>
            </w:tcBorders>
          </w:tcPr>
          <w:p w14:paraId="1D9904C8" w14:textId="77777777" w:rsidR="00D56826" w:rsidRPr="004C78D8" w:rsidRDefault="00D56826" w:rsidP="00FB7C1F">
            <w:pPr>
              <w:jc w:val="left"/>
              <w:rPr>
                <w:sz w:val="18"/>
                <w:szCs w:val="18"/>
              </w:rPr>
            </w:pPr>
            <w:r w:rsidRPr="004C78D8">
              <w:rPr>
                <w:sz w:val="18"/>
                <w:szCs w:val="18"/>
              </w:rPr>
              <w:t>Constant</w:t>
            </w:r>
          </w:p>
        </w:tc>
        <w:tc>
          <w:tcPr>
            <w:tcW w:w="1842" w:type="dxa"/>
            <w:tcBorders>
              <w:bottom w:val="nil"/>
            </w:tcBorders>
          </w:tcPr>
          <w:p w14:paraId="12592EAC" w14:textId="5CB6EEA0" w:rsidR="00D56826" w:rsidRPr="004C78D8" w:rsidRDefault="00D56826" w:rsidP="00FB7C1F">
            <w:pPr>
              <w:jc w:val="center"/>
              <w:rPr>
                <w:sz w:val="18"/>
                <w:szCs w:val="18"/>
              </w:rPr>
            </w:pPr>
            <w:r w:rsidRPr="004C78D8">
              <w:rPr>
                <w:sz w:val="18"/>
                <w:szCs w:val="18"/>
              </w:rPr>
              <w:t>-5.</w:t>
            </w:r>
            <w:r w:rsidR="00641F1B" w:rsidRPr="004C78D8">
              <w:rPr>
                <w:sz w:val="18"/>
                <w:szCs w:val="18"/>
              </w:rPr>
              <w:t>460</w:t>
            </w:r>
            <w:r w:rsidRPr="004C78D8">
              <w:rPr>
                <w:sz w:val="18"/>
                <w:szCs w:val="18"/>
              </w:rPr>
              <w:t xml:space="preserve"> (0.</w:t>
            </w:r>
            <w:r w:rsidR="00641F1B" w:rsidRPr="004C78D8">
              <w:rPr>
                <w:sz w:val="18"/>
                <w:szCs w:val="18"/>
              </w:rPr>
              <w:t>696</w:t>
            </w:r>
            <w:r w:rsidRPr="004C78D8">
              <w:rPr>
                <w:sz w:val="18"/>
                <w:szCs w:val="18"/>
              </w:rPr>
              <w:t>)</w:t>
            </w:r>
          </w:p>
        </w:tc>
        <w:tc>
          <w:tcPr>
            <w:tcW w:w="1701" w:type="dxa"/>
            <w:tcBorders>
              <w:bottom w:val="nil"/>
            </w:tcBorders>
          </w:tcPr>
          <w:p w14:paraId="026030F0" w14:textId="77777777" w:rsidR="00D56826" w:rsidRPr="004C78D8" w:rsidRDefault="00D56826" w:rsidP="00FB7C1F">
            <w:pPr>
              <w:jc w:val="center"/>
              <w:rPr>
                <w:sz w:val="18"/>
                <w:szCs w:val="18"/>
              </w:rPr>
            </w:pPr>
            <w:r w:rsidRPr="004C78D8">
              <w:rPr>
                <w:sz w:val="18"/>
                <w:szCs w:val="18"/>
              </w:rPr>
              <w:t>&lt;0.001</w:t>
            </w:r>
          </w:p>
        </w:tc>
      </w:tr>
      <w:tr w:rsidR="00D56826" w:rsidRPr="004C78D8" w14:paraId="2E7765F7" w14:textId="77777777" w:rsidTr="00E35893">
        <w:tc>
          <w:tcPr>
            <w:tcW w:w="2689" w:type="dxa"/>
            <w:tcBorders>
              <w:top w:val="nil"/>
              <w:bottom w:val="nil"/>
            </w:tcBorders>
          </w:tcPr>
          <w:p w14:paraId="66E0339A" w14:textId="77777777" w:rsidR="00D56826" w:rsidRPr="004C78D8" w:rsidRDefault="00D56826" w:rsidP="00FB7C1F">
            <w:pPr>
              <w:jc w:val="left"/>
              <w:rPr>
                <w:sz w:val="18"/>
                <w:szCs w:val="18"/>
              </w:rPr>
            </w:pPr>
            <w:r w:rsidRPr="004C78D8">
              <w:rPr>
                <w:sz w:val="18"/>
                <w:szCs w:val="18"/>
              </w:rPr>
              <w:t>Age W4</w:t>
            </w:r>
          </w:p>
        </w:tc>
        <w:tc>
          <w:tcPr>
            <w:tcW w:w="1842" w:type="dxa"/>
            <w:tcBorders>
              <w:top w:val="nil"/>
              <w:bottom w:val="nil"/>
            </w:tcBorders>
          </w:tcPr>
          <w:p w14:paraId="4228850B" w14:textId="5AFED19B" w:rsidR="00D56826" w:rsidRPr="004C78D8" w:rsidRDefault="00D56826" w:rsidP="00FB7C1F">
            <w:pPr>
              <w:jc w:val="center"/>
              <w:rPr>
                <w:sz w:val="18"/>
                <w:szCs w:val="18"/>
              </w:rPr>
            </w:pPr>
            <w:r w:rsidRPr="004C78D8">
              <w:rPr>
                <w:sz w:val="18"/>
                <w:szCs w:val="18"/>
              </w:rPr>
              <w:t>0.13</w:t>
            </w:r>
            <w:r w:rsidR="00641F1B" w:rsidRPr="004C78D8">
              <w:rPr>
                <w:sz w:val="18"/>
                <w:szCs w:val="18"/>
              </w:rPr>
              <w:t>4</w:t>
            </w:r>
            <w:r w:rsidRPr="004C78D8">
              <w:rPr>
                <w:sz w:val="18"/>
                <w:szCs w:val="18"/>
              </w:rPr>
              <w:t xml:space="preserve"> (0.010)</w:t>
            </w:r>
          </w:p>
        </w:tc>
        <w:tc>
          <w:tcPr>
            <w:tcW w:w="1701" w:type="dxa"/>
            <w:tcBorders>
              <w:top w:val="nil"/>
              <w:bottom w:val="nil"/>
            </w:tcBorders>
          </w:tcPr>
          <w:p w14:paraId="2784D8A1" w14:textId="77777777" w:rsidR="00D56826" w:rsidRPr="004C78D8" w:rsidRDefault="00D56826" w:rsidP="00FB7C1F">
            <w:pPr>
              <w:jc w:val="center"/>
              <w:rPr>
                <w:sz w:val="18"/>
                <w:szCs w:val="18"/>
              </w:rPr>
            </w:pPr>
            <w:r w:rsidRPr="004C78D8">
              <w:rPr>
                <w:sz w:val="18"/>
                <w:szCs w:val="18"/>
              </w:rPr>
              <w:t>&lt;0.001</w:t>
            </w:r>
          </w:p>
        </w:tc>
      </w:tr>
      <w:tr w:rsidR="00D56826" w:rsidRPr="004C78D8" w14:paraId="2DADA165" w14:textId="77777777" w:rsidTr="00E35893">
        <w:tc>
          <w:tcPr>
            <w:tcW w:w="2689" w:type="dxa"/>
            <w:tcBorders>
              <w:top w:val="nil"/>
              <w:bottom w:val="nil"/>
            </w:tcBorders>
          </w:tcPr>
          <w:p w14:paraId="358F8787" w14:textId="6257CD19" w:rsidR="00D56826" w:rsidRPr="004C78D8" w:rsidRDefault="00453412" w:rsidP="00FB7C1F">
            <w:pPr>
              <w:jc w:val="left"/>
              <w:rPr>
                <w:sz w:val="18"/>
                <w:szCs w:val="18"/>
              </w:rPr>
            </w:pPr>
            <w:r w:rsidRPr="004C78D8">
              <w:rPr>
                <w:sz w:val="18"/>
                <w:szCs w:val="18"/>
              </w:rPr>
              <w:t>SES</w:t>
            </w:r>
            <w:r w:rsidR="00D56826" w:rsidRPr="004C78D8">
              <w:rPr>
                <w:sz w:val="18"/>
                <w:szCs w:val="18"/>
              </w:rPr>
              <w:t xml:space="preserve"> (ref: Most privileged quartile)</w:t>
            </w:r>
          </w:p>
        </w:tc>
        <w:tc>
          <w:tcPr>
            <w:tcW w:w="1842" w:type="dxa"/>
            <w:tcBorders>
              <w:top w:val="nil"/>
              <w:bottom w:val="nil"/>
            </w:tcBorders>
          </w:tcPr>
          <w:p w14:paraId="5E4F14DE" w14:textId="77777777" w:rsidR="00D56826" w:rsidRPr="004C78D8" w:rsidRDefault="00D56826" w:rsidP="00FB7C1F">
            <w:pPr>
              <w:jc w:val="center"/>
              <w:rPr>
                <w:sz w:val="18"/>
                <w:szCs w:val="18"/>
              </w:rPr>
            </w:pPr>
          </w:p>
        </w:tc>
        <w:tc>
          <w:tcPr>
            <w:tcW w:w="1701" w:type="dxa"/>
            <w:tcBorders>
              <w:top w:val="nil"/>
              <w:bottom w:val="nil"/>
            </w:tcBorders>
          </w:tcPr>
          <w:p w14:paraId="1AE065C9" w14:textId="77777777" w:rsidR="00D56826" w:rsidRPr="004C78D8" w:rsidRDefault="00D56826" w:rsidP="00FB7C1F">
            <w:pPr>
              <w:jc w:val="center"/>
              <w:rPr>
                <w:sz w:val="18"/>
                <w:szCs w:val="18"/>
              </w:rPr>
            </w:pPr>
          </w:p>
        </w:tc>
      </w:tr>
      <w:tr w:rsidR="00D56826" w:rsidRPr="004C78D8" w14:paraId="26F46E9D" w14:textId="77777777" w:rsidTr="00E35893">
        <w:tc>
          <w:tcPr>
            <w:tcW w:w="2689" w:type="dxa"/>
            <w:tcBorders>
              <w:top w:val="nil"/>
              <w:bottom w:val="nil"/>
            </w:tcBorders>
          </w:tcPr>
          <w:p w14:paraId="79155D34" w14:textId="77777777" w:rsidR="00D56826" w:rsidRPr="004C78D8" w:rsidRDefault="00D56826" w:rsidP="00FB7C1F">
            <w:pPr>
              <w:jc w:val="right"/>
              <w:rPr>
                <w:sz w:val="18"/>
                <w:szCs w:val="18"/>
              </w:rPr>
            </w:pPr>
            <w:r w:rsidRPr="004C78D8">
              <w:rPr>
                <w:i/>
                <w:iCs/>
                <w:sz w:val="18"/>
                <w:szCs w:val="18"/>
              </w:rPr>
              <w:t>2</w:t>
            </w:r>
            <w:r w:rsidRPr="004C78D8">
              <w:rPr>
                <w:i/>
                <w:iCs/>
                <w:sz w:val="18"/>
                <w:szCs w:val="18"/>
                <w:vertAlign w:val="superscript"/>
              </w:rPr>
              <w:t>nd</w:t>
            </w:r>
            <w:r w:rsidRPr="004C78D8">
              <w:rPr>
                <w:i/>
                <w:iCs/>
                <w:sz w:val="18"/>
                <w:szCs w:val="18"/>
              </w:rPr>
              <w:t xml:space="preserve"> quartile</w:t>
            </w:r>
          </w:p>
        </w:tc>
        <w:tc>
          <w:tcPr>
            <w:tcW w:w="1842" w:type="dxa"/>
            <w:tcBorders>
              <w:top w:val="nil"/>
              <w:bottom w:val="nil"/>
            </w:tcBorders>
          </w:tcPr>
          <w:p w14:paraId="43A598F7" w14:textId="4C761B5F" w:rsidR="00D56826" w:rsidRPr="004C78D8" w:rsidRDefault="00D56826" w:rsidP="00FB7C1F">
            <w:pPr>
              <w:jc w:val="center"/>
              <w:rPr>
                <w:sz w:val="18"/>
                <w:szCs w:val="18"/>
              </w:rPr>
            </w:pPr>
            <w:r w:rsidRPr="004C78D8">
              <w:rPr>
                <w:sz w:val="18"/>
                <w:szCs w:val="18"/>
              </w:rPr>
              <w:t>0.0</w:t>
            </w:r>
            <w:r w:rsidR="00641F1B" w:rsidRPr="004C78D8">
              <w:rPr>
                <w:sz w:val="18"/>
                <w:szCs w:val="18"/>
              </w:rPr>
              <w:t>89</w:t>
            </w:r>
            <w:r w:rsidRPr="004C78D8">
              <w:rPr>
                <w:sz w:val="18"/>
                <w:szCs w:val="18"/>
              </w:rPr>
              <w:t xml:space="preserve"> (0.215)</w:t>
            </w:r>
          </w:p>
        </w:tc>
        <w:tc>
          <w:tcPr>
            <w:tcW w:w="1701" w:type="dxa"/>
            <w:tcBorders>
              <w:top w:val="nil"/>
              <w:bottom w:val="nil"/>
            </w:tcBorders>
          </w:tcPr>
          <w:p w14:paraId="42EA05FC" w14:textId="45A5EA10" w:rsidR="00D56826" w:rsidRPr="004C78D8" w:rsidRDefault="00D56826" w:rsidP="00FB7C1F">
            <w:pPr>
              <w:jc w:val="center"/>
              <w:rPr>
                <w:sz w:val="18"/>
                <w:szCs w:val="18"/>
              </w:rPr>
            </w:pPr>
            <w:r w:rsidRPr="004C78D8">
              <w:rPr>
                <w:sz w:val="18"/>
                <w:szCs w:val="18"/>
              </w:rPr>
              <w:t>0.</w:t>
            </w:r>
            <w:r w:rsidR="00641F1B" w:rsidRPr="004C78D8">
              <w:rPr>
                <w:sz w:val="18"/>
                <w:szCs w:val="18"/>
              </w:rPr>
              <w:t>680</w:t>
            </w:r>
          </w:p>
        </w:tc>
      </w:tr>
      <w:tr w:rsidR="00D56826" w:rsidRPr="004C78D8" w14:paraId="200EC8B5" w14:textId="77777777" w:rsidTr="00E35893">
        <w:tc>
          <w:tcPr>
            <w:tcW w:w="2689" w:type="dxa"/>
            <w:tcBorders>
              <w:top w:val="nil"/>
              <w:bottom w:val="nil"/>
            </w:tcBorders>
          </w:tcPr>
          <w:p w14:paraId="0A443D41" w14:textId="77777777" w:rsidR="00D56826" w:rsidRPr="004C78D8" w:rsidRDefault="00D56826" w:rsidP="00FB7C1F">
            <w:pPr>
              <w:jc w:val="right"/>
              <w:rPr>
                <w:sz w:val="18"/>
                <w:szCs w:val="18"/>
              </w:rPr>
            </w:pPr>
            <w:r w:rsidRPr="004C78D8">
              <w:rPr>
                <w:i/>
                <w:iCs/>
                <w:sz w:val="18"/>
                <w:szCs w:val="18"/>
              </w:rPr>
              <w:t>3</w:t>
            </w:r>
            <w:r w:rsidRPr="004C78D8">
              <w:rPr>
                <w:i/>
                <w:iCs/>
                <w:sz w:val="18"/>
                <w:szCs w:val="18"/>
                <w:vertAlign w:val="superscript"/>
              </w:rPr>
              <w:t>rd</w:t>
            </w:r>
            <w:r w:rsidRPr="004C78D8">
              <w:rPr>
                <w:i/>
                <w:iCs/>
                <w:sz w:val="18"/>
                <w:szCs w:val="18"/>
              </w:rPr>
              <w:t xml:space="preserve"> quartile</w:t>
            </w:r>
          </w:p>
        </w:tc>
        <w:tc>
          <w:tcPr>
            <w:tcW w:w="1842" w:type="dxa"/>
            <w:tcBorders>
              <w:top w:val="nil"/>
              <w:bottom w:val="nil"/>
            </w:tcBorders>
          </w:tcPr>
          <w:p w14:paraId="76EE8D46" w14:textId="7B014EB8" w:rsidR="00D56826" w:rsidRPr="004C78D8" w:rsidRDefault="00D56826" w:rsidP="00FB7C1F">
            <w:pPr>
              <w:jc w:val="center"/>
              <w:rPr>
                <w:sz w:val="18"/>
                <w:szCs w:val="18"/>
              </w:rPr>
            </w:pPr>
            <w:r w:rsidRPr="004C78D8">
              <w:rPr>
                <w:sz w:val="18"/>
                <w:szCs w:val="18"/>
              </w:rPr>
              <w:t>0.01</w:t>
            </w:r>
            <w:r w:rsidR="00641F1B" w:rsidRPr="004C78D8">
              <w:rPr>
                <w:sz w:val="18"/>
                <w:szCs w:val="18"/>
              </w:rPr>
              <w:t>1</w:t>
            </w:r>
            <w:r w:rsidRPr="004C78D8">
              <w:rPr>
                <w:sz w:val="18"/>
                <w:szCs w:val="18"/>
              </w:rPr>
              <w:t xml:space="preserve"> (0.18</w:t>
            </w:r>
            <w:r w:rsidR="00641F1B" w:rsidRPr="004C78D8">
              <w:rPr>
                <w:sz w:val="18"/>
                <w:szCs w:val="18"/>
              </w:rPr>
              <w:t>4</w:t>
            </w:r>
            <w:r w:rsidRPr="004C78D8">
              <w:rPr>
                <w:sz w:val="18"/>
                <w:szCs w:val="18"/>
              </w:rPr>
              <w:t>)</w:t>
            </w:r>
          </w:p>
        </w:tc>
        <w:tc>
          <w:tcPr>
            <w:tcW w:w="1701" w:type="dxa"/>
            <w:tcBorders>
              <w:top w:val="nil"/>
              <w:bottom w:val="nil"/>
            </w:tcBorders>
          </w:tcPr>
          <w:p w14:paraId="38AEAC25" w14:textId="35B7E884" w:rsidR="00D56826" w:rsidRPr="004C78D8" w:rsidRDefault="00D56826" w:rsidP="00FB7C1F">
            <w:pPr>
              <w:jc w:val="center"/>
              <w:rPr>
                <w:sz w:val="18"/>
                <w:szCs w:val="18"/>
              </w:rPr>
            </w:pPr>
            <w:r w:rsidRPr="004C78D8">
              <w:rPr>
                <w:sz w:val="18"/>
                <w:szCs w:val="18"/>
              </w:rPr>
              <w:t>0.9</w:t>
            </w:r>
            <w:r w:rsidR="00641F1B" w:rsidRPr="004C78D8">
              <w:rPr>
                <w:sz w:val="18"/>
                <w:szCs w:val="18"/>
              </w:rPr>
              <w:t>51</w:t>
            </w:r>
          </w:p>
        </w:tc>
      </w:tr>
      <w:tr w:rsidR="00D56826" w:rsidRPr="004C78D8" w14:paraId="580D2151" w14:textId="77777777" w:rsidTr="00E35893">
        <w:tc>
          <w:tcPr>
            <w:tcW w:w="2689" w:type="dxa"/>
            <w:tcBorders>
              <w:top w:val="nil"/>
              <w:bottom w:val="nil"/>
            </w:tcBorders>
          </w:tcPr>
          <w:p w14:paraId="7236833F" w14:textId="77777777" w:rsidR="00D56826" w:rsidRPr="004C78D8" w:rsidRDefault="00D56826" w:rsidP="00FB7C1F">
            <w:pPr>
              <w:jc w:val="right"/>
              <w:rPr>
                <w:sz w:val="18"/>
                <w:szCs w:val="18"/>
              </w:rPr>
            </w:pPr>
            <w:r w:rsidRPr="004C78D8">
              <w:rPr>
                <w:i/>
                <w:iCs/>
                <w:sz w:val="18"/>
                <w:szCs w:val="18"/>
              </w:rPr>
              <w:t>Most deprived quartile</w:t>
            </w:r>
          </w:p>
        </w:tc>
        <w:tc>
          <w:tcPr>
            <w:tcW w:w="1842" w:type="dxa"/>
            <w:tcBorders>
              <w:top w:val="nil"/>
              <w:bottom w:val="nil"/>
            </w:tcBorders>
          </w:tcPr>
          <w:p w14:paraId="3055EA45" w14:textId="41044AF8" w:rsidR="00D56826" w:rsidRPr="004C78D8" w:rsidRDefault="00D56826" w:rsidP="00FB7C1F">
            <w:pPr>
              <w:jc w:val="center"/>
              <w:rPr>
                <w:sz w:val="18"/>
                <w:szCs w:val="18"/>
              </w:rPr>
            </w:pPr>
            <w:r w:rsidRPr="004C78D8">
              <w:rPr>
                <w:sz w:val="18"/>
                <w:szCs w:val="18"/>
              </w:rPr>
              <w:t>0.</w:t>
            </w:r>
            <w:r w:rsidR="00641F1B" w:rsidRPr="004C78D8">
              <w:rPr>
                <w:sz w:val="18"/>
                <w:szCs w:val="18"/>
              </w:rPr>
              <w:t>701</w:t>
            </w:r>
            <w:r w:rsidRPr="004C78D8">
              <w:rPr>
                <w:sz w:val="18"/>
                <w:szCs w:val="18"/>
              </w:rPr>
              <w:t xml:space="preserve"> (0.21</w:t>
            </w:r>
            <w:r w:rsidR="00641F1B" w:rsidRPr="004C78D8">
              <w:rPr>
                <w:sz w:val="18"/>
                <w:szCs w:val="18"/>
              </w:rPr>
              <w:t>9</w:t>
            </w:r>
            <w:r w:rsidRPr="004C78D8">
              <w:rPr>
                <w:sz w:val="18"/>
                <w:szCs w:val="18"/>
              </w:rPr>
              <w:t>)</w:t>
            </w:r>
          </w:p>
        </w:tc>
        <w:tc>
          <w:tcPr>
            <w:tcW w:w="1701" w:type="dxa"/>
            <w:tcBorders>
              <w:top w:val="nil"/>
              <w:bottom w:val="nil"/>
            </w:tcBorders>
          </w:tcPr>
          <w:p w14:paraId="6B091F92" w14:textId="5AE93349" w:rsidR="00D56826" w:rsidRPr="004C78D8" w:rsidRDefault="00D56826" w:rsidP="00FB7C1F">
            <w:pPr>
              <w:jc w:val="center"/>
              <w:rPr>
                <w:sz w:val="18"/>
                <w:szCs w:val="18"/>
              </w:rPr>
            </w:pPr>
            <w:r w:rsidRPr="004C78D8">
              <w:rPr>
                <w:sz w:val="18"/>
                <w:szCs w:val="18"/>
              </w:rPr>
              <w:t>0.00</w:t>
            </w:r>
            <w:r w:rsidR="00641F1B" w:rsidRPr="004C78D8">
              <w:rPr>
                <w:sz w:val="18"/>
                <w:szCs w:val="18"/>
              </w:rPr>
              <w:t>1</w:t>
            </w:r>
          </w:p>
        </w:tc>
      </w:tr>
      <w:tr w:rsidR="00D56826" w:rsidRPr="004C78D8" w14:paraId="40E307ED" w14:textId="77777777" w:rsidTr="00E35893">
        <w:tc>
          <w:tcPr>
            <w:tcW w:w="2689" w:type="dxa"/>
            <w:tcBorders>
              <w:top w:val="nil"/>
              <w:bottom w:val="nil"/>
            </w:tcBorders>
          </w:tcPr>
          <w:p w14:paraId="0AC4153E" w14:textId="77777777" w:rsidR="00D56826" w:rsidRPr="004C78D8" w:rsidRDefault="00D56826" w:rsidP="00FB7C1F">
            <w:pPr>
              <w:jc w:val="left"/>
              <w:rPr>
                <w:sz w:val="18"/>
                <w:szCs w:val="18"/>
              </w:rPr>
            </w:pPr>
            <w:r w:rsidRPr="004C78D8">
              <w:rPr>
                <w:sz w:val="18"/>
                <w:szCs w:val="18"/>
              </w:rPr>
              <w:t>Falls incidence W5 (ref: No fall incidence)</w:t>
            </w:r>
          </w:p>
        </w:tc>
        <w:tc>
          <w:tcPr>
            <w:tcW w:w="1842" w:type="dxa"/>
            <w:tcBorders>
              <w:top w:val="nil"/>
              <w:bottom w:val="nil"/>
            </w:tcBorders>
          </w:tcPr>
          <w:p w14:paraId="1F6FA5D2" w14:textId="77777777" w:rsidR="00D56826" w:rsidRPr="004C78D8" w:rsidRDefault="00D56826" w:rsidP="00FB7C1F">
            <w:pPr>
              <w:jc w:val="center"/>
              <w:rPr>
                <w:sz w:val="18"/>
                <w:szCs w:val="18"/>
              </w:rPr>
            </w:pPr>
          </w:p>
        </w:tc>
        <w:tc>
          <w:tcPr>
            <w:tcW w:w="1701" w:type="dxa"/>
            <w:tcBorders>
              <w:top w:val="nil"/>
              <w:bottom w:val="nil"/>
            </w:tcBorders>
          </w:tcPr>
          <w:p w14:paraId="193928E8" w14:textId="77777777" w:rsidR="00D56826" w:rsidRPr="004C78D8" w:rsidRDefault="00D56826" w:rsidP="00FB7C1F">
            <w:pPr>
              <w:jc w:val="center"/>
              <w:rPr>
                <w:sz w:val="18"/>
                <w:szCs w:val="18"/>
              </w:rPr>
            </w:pPr>
          </w:p>
        </w:tc>
      </w:tr>
      <w:tr w:rsidR="00D56826" w:rsidRPr="004C78D8" w14:paraId="4A49DD60" w14:textId="77777777" w:rsidTr="00E35893">
        <w:tc>
          <w:tcPr>
            <w:tcW w:w="2689" w:type="dxa"/>
            <w:tcBorders>
              <w:top w:val="nil"/>
              <w:bottom w:val="nil"/>
            </w:tcBorders>
          </w:tcPr>
          <w:p w14:paraId="60B3D90D" w14:textId="77777777" w:rsidR="00D56826" w:rsidRPr="004C78D8" w:rsidRDefault="00D56826" w:rsidP="00FB7C1F">
            <w:pPr>
              <w:jc w:val="right"/>
              <w:rPr>
                <w:sz w:val="18"/>
                <w:szCs w:val="18"/>
              </w:rPr>
            </w:pPr>
            <w:r w:rsidRPr="004C78D8">
              <w:rPr>
                <w:i/>
                <w:iCs/>
                <w:sz w:val="18"/>
                <w:szCs w:val="18"/>
              </w:rPr>
              <w:t>Single non-MA fall</w:t>
            </w:r>
          </w:p>
        </w:tc>
        <w:tc>
          <w:tcPr>
            <w:tcW w:w="1842" w:type="dxa"/>
            <w:tcBorders>
              <w:top w:val="nil"/>
              <w:bottom w:val="nil"/>
            </w:tcBorders>
          </w:tcPr>
          <w:p w14:paraId="6E9AAC46" w14:textId="6242739D" w:rsidR="00D56826" w:rsidRPr="004C78D8" w:rsidRDefault="00D56826" w:rsidP="00FB7C1F">
            <w:pPr>
              <w:jc w:val="center"/>
              <w:rPr>
                <w:sz w:val="18"/>
                <w:szCs w:val="18"/>
              </w:rPr>
            </w:pPr>
            <w:r w:rsidRPr="004C78D8">
              <w:rPr>
                <w:sz w:val="18"/>
                <w:szCs w:val="18"/>
              </w:rPr>
              <w:t>0.6</w:t>
            </w:r>
            <w:r w:rsidR="00641F1B" w:rsidRPr="004C78D8">
              <w:rPr>
                <w:sz w:val="18"/>
                <w:szCs w:val="18"/>
              </w:rPr>
              <w:t>84</w:t>
            </w:r>
            <w:r w:rsidRPr="004C78D8">
              <w:rPr>
                <w:sz w:val="18"/>
                <w:szCs w:val="18"/>
              </w:rPr>
              <w:t xml:space="preserve"> (0.227)</w:t>
            </w:r>
          </w:p>
        </w:tc>
        <w:tc>
          <w:tcPr>
            <w:tcW w:w="1701" w:type="dxa"/>
            <w:tcBorders>
              <w:top w:val="nil"/>
              <w:bottom w:val="nil"/>
            </w:tcBorders>
          </w:tcPr>
          <w:p w14:paraId="3ECFF07E" w14:textId="77777777" w:rsidR="00D56826" w:rsidRPr="004C78D8" w:rsidRDefault="00D56826" w:rsidP="00FB7C1F">
            <w:pPr>
              <w:jc w:val="center"/>
              <w:rPr>
                <w:sz w:val="18"/>
                <w:szCs w:val="18"/>
              </w:rPr>
            </w:pPr>
            <w:r w:rsidRPr="004C78D8">
              <w:rPr>
                <w:sz w:val="18"/>
                <w:szCs w:val="18"/>
              </w:rPr>
              <w:t>0.003</w:t>
            </w:r>
          </w:p>
        </w:tc>
      </w:tr>
      <w:tr w:rsidR="00D56826" w:rsidRPr="004C78D8" w14:paraId="1339FCC4" w14:textId="77777777" w:rsidTr="00E35893">
        <w:tc>
          <w:tcPr>
            <w:tcW w:w="2689" w:type="dxa"/>
            <w:tcBorders>
              <w:top w:val="nil"/>
              <w:bottom w:val="nil"/>
            </w:tcBorders>
          </w:tcPr>
          <w:p w14:paraId="0EBE9048" w14:textId="77777777" w:rsidR="00D56826" w:rsidRPr="004C78D8" w:rsidRDefault="00D56826" w:rsidP="00FB7C1F">
            <w:pPr>
              <w:jc w:val="right"/>
              <w:rPr>
                <w:sz w:val="18"/>
                <w:szCs w:val="18"/>
              </w:rPr>
            </w:pPr>
            <w:r w:rsidRPr="004C78D8">
              <w:rPr>
                <w:i/>
                <w:iCs/>
                <w:sz w:val="18"/>
                <w:szCs w:val="18"/>
              </w:rPr>
              <w:t>Recurrent non-MA falls</w:t>
            </w:r>
          </w:p>
        </w:tc>
        <w:tc>
          <w:tcPr>
            <w:tcW w:w="1842" w:type="dxa"/>
            <w:tcBorders>
              <w:top w:val="nil"/>
              <w:bottom w:val="nil"/>
            </w:tcBorders>
          </w:tcPr>
          <w:p w14:paraId="3FB1DCEB" w14:textId="616A462D" w:rsidR="00D56826" w:rsidRPr="004C78D8" w:rsidRDefault="00D56826" w:rsidP="00FB7C1F">
            <w:pPr>
              <w:jc w:val="center"/>
              <w:rPr>
                <w:sz w:val="18"/>
                <w:szCs w:val="18"/>
              </w:rPr>
            </w:pPr>
            <w:r w:rsidRPr="004C78D8">
              <w:rPr>
                <w:sz w:val="18"/>
                <w:szCs w:val="18"/>
              </w:rPr>
              <w:t>2.3</w:t>
            </w:r>
            <w:r w:rsidR="00641F1B" w:rsidRPr="004C78D8">
              <w:rPr>
                <w:sz w:val="18"/>
                <w:szCs w:val="18"/>
              </w:rPr>
              <w:t>29</w:t>
            </w:r>
            <w:r w:rsidRPr="004C78D8">
              <w:rPr>
                <w:sz w:val="18"/>
                <w:szCs w:val="18"/>
              </w:rPr>
              <w:t xml:space="preserve"> (0.261)</w:t>
            </w:r>
          </w:p>
        </w:tc>
        <w:tc>
          <w:tcPr>
            <w:tcW w:w="1701" w:type="dxa"/>
            <w:tcBorders>
              <w:top w:val="nil"/>
              <w:bottom w:val="nil"/>
            </w:tcBorders>
          </w:tcPr>
          <w:p w14:paraId="2574F725" w14:textId="77777777" w:rsidR="00D56826" w:rsidRPr="004C78D8" w:rsidRDefault="00D56826" w:rsidP="00FB7C1F">
            <w:pPr>
              <w:jc w:val="center"/>
              <w:rPr>
                <w:sz w:val="18"/>
                <w:szCs w:val="18"/>
              </w:rPr>
            </w:pPr>
            <w:r w:rsidRPr="004C78D8">
              <w:rPr>
                <w:sz w:val="18"/>
                <w:szCs w:val="18"/>
              </w:rPr>
              <w:t>&lt;0.001</w:t>
            </w:r>
          </w:p>
        </w:tc>
      </w:tr>
      <w:tr w:rsidR="00D56826" w:rsidRPr="004C78D8" w14:paraId="5CF6DC93" w14:textId="77777777" w:rsidTr="00E35893">
        <w:tc>
          <w:tcPr>
            <w:tcW w:w="2689" w:type="dxa"/>
            <w:tcBorders>
              <w:top w:val="nil"/>
              <w:bottom w:val="nil"/>
            </w:tcBorders>
          </w:tcPr>
          <w:p w14:paraId="32A2B921" w14:textId="77777777" w:rsidR="00D56826" w:rsidRPr="004C78D8" w:rsidRDefault="00D56826" w:rsidP="00FB7C1F">
            <w:pPr>
              <w:jc w:val="right"/>
              <w:rPr>
                <w:sz w:val="18"/>
                <w:szCs w:val="18"/>
              </w:rPr>
            </w:pPr>
            <w:r w:rsidRPr="004C78D8">
              <w:rPr>
                <w:i/>
                <w:iCs/>
                <w:sz w:val="18"/>
                <w:szCs w:val="18"/>
              </w:rPr>
              <w:t>Single MA fall</w:t>
            </w:r>
          </w:p>
        </w:tc>
        <w:tc>
          <w:tcPr>
            <w:tcW w:w="1842" w:type="dxa"/>
            <w:tcBorders>
              <w:top w:val="nil"/>
              <w:bottom w:val="nil"/>
            </w:tcBorders>
          </w:tcPr>
          <w:p w14:paraId="27A4FD3C" w14:textId="2837861D" w:rsidR="00D56826" w:rsidRPr="004C78D8" w:rsidRDefault="00D56826" w:rsidP="00FB7C1F">
            <w:pPr>
              <w:jc w:val="center"/>
              <w:rPr>
                <w:sz w:val="18"/>
                <w:szCs w:val="18"/>
              </w:rPr>
            </w:pPr>
            <w:r w:rsidRPr="004C78D8">
              <w:rPr>
                <w:sz w:val="18"/>
                <w:szCs w:val="18"/>
              </w:rPr>
              <w:t>1.6</w:t>
            </w:r>
            <w:r w:rsidR="00641F1B" w:rsidRPr="004C78D8">
              <w:rPr>
                <w:sz w:val="18"/>
                <w:szCs w:val="18"/>
              </w:rPr>
              <w:t>48</w:t>
            </w:r>
            <w:r w:rsidRPr="004C78D8">
              <w:rPr>
                <w:sz w:val="18"/>
                <w:szCs w:val="18"/>
              </w:rPr>
              <w:t xml:space="preserve"> (0.3</w:t>
            </w:r>
            <w:r w:rsidR="00641F1B" w:rsidRPr="004C78D8">
              <w:rPr>
                <w:sz w:val="18"/>
                <w:szCs w:val="18"/>
              </w:rPr>
              <w:t>50</w:t>
            </w:r>
            <w:r w:rsidRPr="004C78D8">
              <w:rPr>
                <w:sz w:val="18"/>
                <w:szCs w:val="18"/>
              </w:rPr>
              <w:t>)</w:t>
            </w:r>
          </w:p>
        </w:tc>
        <w:tc>
          <w:tcPr>
            <w:tcW w:w="1701" w:type="dxa"/>
            <w:tcBorders>
              <w:top w:val="nil"/>
              <w:bottom w:val="nil"/>
            </w:tcBorders>
          </w:tcPr>
          <w:p w14:paraId="7F939CE4" w14:textId="77777777" w:rsidR="00D56826" w:rsidRPr="004C78D8" w:rsidRDefault="00D56826" w:rsidP="00FB7C1F">
            <w:pPr>
              <w:jc w:val="center"/>
              <w:rPr>
                <w:sz w:val="18"/>
                <w:szCs w:val="18"/>
              </w:rPr>
            </w:pPr>
            <w:r w:rsidRPr="004C78D8">
              <w:rPr>
                <w:sz w:val="18"/>
                <w:szCs w:val="18"/>
              </w:rPr>
              <w:t>&lt;0.001</w:t>
            </w:r>
          </w:p>
        </w:tc>
      </w:tr>
      <w:tr w:rsidR="00D56826" w:rsidRPr="004C78D8" w14:paraId="6928A5BC" w14:textId="77777777" w:rsidTr="00E35893">
        <w:tc>
          <w:tcPr>
            <w:tcW w:w="2689" w:type="dxa"/>
            <w:tcBorders>
              <w:top w:val="nil"/>
              <w:bottom w:val="nil"/>
            </w:tcBorders>
          </w:tcPr>
          <w:p w14:paraId="0578D616" w14:textId="77777777" w:rsidR="00D56826" w:rsidRPr="004C78D8" w:rsidRDefault="00D56826" w:rsidP="00FB7C1F">
            <w:pPr>
              <w:jc w:val="right"/>
              <w:rPr>
                <w:sz w:val="18"/>
                <w:szCs w:val="18"/>
              </w:rPr>
            </w:pPr>
            <w:r w:rsidRPr="004C78D8">
              <w:rPr>
                <w:i/>
                <w:iCs/>
                <w:sz w:val="18"/>
                <w:szCs w:val="18"/>
              </w:rPr>
              <w:t>Recurrent falls with MA</w:t>
            </w:r>
          </w:p>
        </w:tc>
        <w:tc>
          <w:tcPr>
            <w:tcW w:w="1842" w:type="dxa"/>
            <w:tcBorders>
              <w:top w:val="nil"/>
              <w:bottom w:val="nil"/>
            </w:tcBorders>
          </w:tcPr>
          <w:p w14:paraId="07B9C5F0" w14:textId="105A2C99" w:rsidR="00D56826" w:rsidRPr="004C78D8" w:rsidRDefault="00D56826" w:rsidP="00FB7C1F">
            <w:pPr>
              <w:jc w:val="center"/>
              <w:rPr>
                <w:sz w:val="18"/>
                <w:szCs w:val="18"/>
              </w:rPr>
            </w:pPr>
            <w:r w:rsidRPr="004C78D8">
              <w:rPr>
                <w:sz w:val="18"/>
                <w:szCs w:val="18"/>
              </w:rPr>
              <w:t>3.8</w:t>
            </w:r>
            <w:r w:rsidR="00641F1B" w:rsidRPr="004C78D8">
              <w:rPr>
                <w:sz w:val="18"/>
                <w:szCs w:val="18"/>
              </w:rPr>
              <w:t>70</w:t>
            </w:r>
            <w:r w:rsidRPr="004C78D8">
              <w:rPr>
                <w:sz w:val="18"/>
                <w:szCs w:val="18"/>
              </w:rPr>
              <w:t xml:space="preserve"> (0.41</w:t>
            </w:r>
            <w:r w:rsidR="00641F1B" w:rsidRPr="004C78D8">
              <w:rPr>
                <w:sz w:val="18"/>
                <w:szCs w:val="18"/>
              </w:rPr>
              <w:t>2</w:t>
            </w:r>
            <w:r w:rsidRPr="004C78D8">
              <w:rPr>
                <w:sz w:val="18"/>
                <w:szCs w:val="18"/>
              </w:rPr>
              <w:t>)</w:t>
            </w:r>
          </w:p>
        </w:tc>
        <w:tc>
          <w:tcPr>
            <w:tcW w:w="1701" w:type="dxa"/>
            <w:tcBorders>
              <w:top w:val="nil"/>
              <w:bottom w:val="nil"/>
            </w:tcBorders>
          </w:tcPr>
          <w:p w14:paraId="7CEB47A6" w14:textId="77777777" w:rsidR="00D56826" w:rsidRPr="004C78D8" w:rsidRDefault="00D56826" w:rsidP="00FB7C1F">
            <w:pPr>
              <w:jc w:val="center"/>
              <w:rPr>
                <w:sz w:val="18"/>
                <w:szCs w:val="18"/>
              </w:rPr>
            </w:pPr>
            <w:r w:rsidRPr="004C78D8">
              <w:rPr>
                <w:sz w:val="18"/>
                <w:szCs w:val="18"/>
              </w:rPr>
              <w:t>&lt;0.001</w:t>
            </w:r>
          </w:p>
        </w:tc>
      </w:tr>
      <w:tr w:rsidR="00D56826" w:rsidRPr="004C78D8" w14:paraId="41017AD3" w14:textId="77777777" w:rsidTr="00E35893">
        <w:tc>
          <w:tcPr>
            <w:tcW w:w="2689" w:type="dxa"/>
            <w:tcBorders>
              <w:top w:val="nil"/>
              <w:bottom w:val="nil"/>
            </w:tcBorders>
          </w:tcPr>
          <w:p w14:paraId="576B1601" w14:textId="77777777" w:rsidR="00D56826" w:rsidRPr="004C78D8" w:rsidRDefault="00D56826" w:rsidP="00FB7C1F">
            <w:pPr>
              <w:jc w:val="left"/>
              <w:rPr>
                <w:sz w:val="18"/>
                <w:szCs w:val="18"/>
              </w:rPr>
            </w:pPr>
            <w:r w:rsidRPr="004C78D8">
              <w:rPr>
                <w:sz w:val="18"/>
                <w:szCs w:val="18"/>
              </w:rPr>
              <w:t>Frailty W4 (0-100)</w:t>
            </w:r>
          </w:p>
        </w:tc>
        <w:tc>
          <w:tcPr>
            <w:tcW w:w="1842" w:type="dxa"/>
            <w:tcBorders>
              <w:top w:val="nil"/>
              <w:bottom w:val="nil"/>
            </w:tcBorders>
          </w:tcPr>
          <w:p w14:paraId="4238161B" w14:textId="5B8E8E25" w:rsidR="00D56826" w:rsidRPr="004C78D8" w:rsidRDefault="00D56826" w:rsidP="00FB7C1F">
            <w:pPr>
              <w:jc w:val="center"/>
              <w:rPr>
                <w:sz w:val="18"/>
                <w:szCs w:val="18"/>
              </w:rPr>
            </w:pPr>
            <w:r w:rsidRPr="004C78D8">
              <w:rPr>
                <w:sz w:val="18"/>
                <w:szCs w:val="18"/>
              </w:rPr>
              <w:t>-0.</w:t>
            </w:r>
            <w:r w:rsidR="00641F1B" w:rsidRPr="004C78D8">
              <w:rPr>
                <w:sz w:val="18"/>
                <w:szCs w:val="18"/>
              </w:rPr>
              <w:t>198</w:t>
            </w:r>
            <w:r w:rsidRPr="004C78D8">
              <w:rPr>
                <w:sz w:val="18"/>
                <w:szCs w:val="18"/>
              </w:rPr>
              <w:t xml:space="preserve"> (0.010)</w:t>
            </w:r>
          </w:p>
        </w:tc>
        <w:tc>
          <w:tcPr>
            <w:tcW w:w="1701" w:type="dxa"/>
            <w:tcBorders>
              <w:top w:val="nil"/>
              <w:bottom w:val="nil"/>
            </w:tcBorders>
          </w:tcPr>
          <w:p w14:paraId="7CB4D94E" w14:textId="77777777" w:rsidR="00D56826" w:rsidRPr="004C78D8" w:rsidRDefault="00D56826" w:rsidP="00FB7C1F">
            <w:pPr>
              <w:jc w:val="center"/>
              <w:rPr>
                <w:sz w:val="18"/>
                <w:szCs w:val="18"/>
              </w:rPr>
            </w:pPr>
            <w:r w:rsidRPr="004C78D8">
              <w:rPr>
                <w:sz w:val="18"/>
                <w:szCs w:val="18"/>
              </w:rPr>
              <w:t>&lt;0.001</w:t>
            </w:r>
          </w:p>
        </w:tc>
      </w:tr>
      <w:tr w:rsidR="00D56826" w:rsidRPr="004C78D8" w14:paraId="01BA4C57" w14:textId="77777777" w:rsidTr="00E35893">
        <w:tc>
          <w:tcPr>
            <w:tcW w:w="2689" w:type="dxa"/>
            <w:tcBorders>
              <w:top w:val="nil"/>
              <w:bottom w:val="nil"/>
            </w:tcBorders>
          </w:tcPr>
          <w:p w14:paraId="70D1C34C" w14:textId="77777777" w:rsidR="00D56826" w:rsidRPr="004C78D8" w:rsidRDefault="00D56826" w:rsidP="00FB7C1F">
            <w:pPr>
              <w:jc w:val="left"/>
              <w:rPr>
                <w:sz w:val="18"/>
                <w:szCs w:val="18"/>
              </w:rPr>
            </w:pPr>
            <w:r w:rsidRPr="004C78D8">
              <w:rPr>
                <w:sz w:val="18"/>
                <w:szCs w:val="18"/>
              </w:rPr>
              <w:t>High physical activity W4</w:t>
            </w:r>
          </w:p>
        </w:tc>
        <w:tc>
          <w:tcPr>
            <w:tcW w:w="1842" w:type="dxa"/>
            <w:tcBorders>
              <w:top w:val="nil"/>
              <w:bottom w:val="nil"/>
            </w:tcBorders>
          </w:tcPr>
          <w:p w14:paraId="3A3E21DC" w14:textId="68379697" w:rsidR="00D56826" w:rsidRPr="004C78D8" w:rsidRDefault="00D56826" w:rsidP="00FB7C1F">
            <w:pPr>
              <w:jc w:val="center"/>
              <w:rPr>
                <w:sz w:val="18"/>
                <w:szCs w:val="18"/>
              </w:rPr>
            </w:pPr>
            <w:r w:rsidRPr="004C78D8">
              <w:rPr>
                <w:sz w:val="18"/>
                <w:szCs w:val="18"/>
              </w:rPr>
              <w:t>-0.7</w:t>
            </w:r>
            <w:r w:rsidR="00641F1B" w:rsidRPr="004C78D8">
              <w:rPr>
                <w:sz w:val="18"/>
                <w:szCs w:val="18"/>
              </w:rPr>
              <w:t>30</w:t>
            </w:r>
            <w:r w:rsidRPr="004C78D8">
              <w:rPr>
                <w:sz w:val="18"/>
                <w:szCs w:val="18"/>
              </w:rPr>
              <w:t xml:space="preserve"> (0.19</w:t>
            </w:r>
            <w:r w:rsidR="00641F1B" w:rsidRPr="004C78D8">
              <w:rPr>
                <w:sz w:val="18"/>
                <w:szCs w:val="18"/>
              </w:rPr>
              <w:t>2</w:t>
            </w:r>
            <w:r w:rsidRPr="004C78D8">
              <w:rPr>
                <w:sz w:val="18"/>
                <w:szCs w:val="18"/>
              </w:rPr>
              <w:t>)</w:t>
            </w:r>
          </w:p>
        </w:tc>
        <w:tc>
          <w:tcPr>
            <w:tcW w:w="1701" w:type="dxa"/>
            <w:tcBorders>
              <w:top w:val="nil"/>
              <w:bottom w:val="nil"/>
            </w:tcBorders>
          </w:tcPr>
          <w:p w14:paraId="7CA5DA72" w14:textId="77777777" w:rsidR="00D56826" w:rsidRPr="004C78D8" w:rsidRDefault="00D56826" w:rsidP="00FB7C1F">
            <w:pPr>
              <w:jc w:val="center"/>
              <w:rPr>
                <w:sz w:val="18"/>
                <w:szCs w:val="18"/>
              </w:rPr>
            </w:pPr>
            <w:r w:rsidRPr="004C78D8">
              <w:rPr>
                <w:sz w:val="18"/>
                <w:szCs w:val="18"/>
              </w:rPr>
              <w:t>&lt;0.001</w:t>
            </w:r>
          </w:p>
        </w:tc>
      </w:tr>
      <w:tr w:rsidR="00D56826" w:rsidRPr="004C78D8" w14:paraId="3A9971A4" w14:textId="77777777" w:rsidTr="00E35893">
        <w:tc>
          <w:tcPr>
            <w:tcW w:w="2689" w:type="dxa"/>
            <w:tcBorders>
              <w:top w:val="nil"/>
              <w:bottom w:val="nil"/>
            </w:tcBorders>
          </w:tcPr>
          <w:p w14:paraId="630F6212" w14:textId="77777777" w:rsidR="00D56826" w:rsidRPr="004C78D8" w:rsidRDefault="00D56826" w:rsidP="00FB7C1F">
            <w:pPr>
              <w:jc w:val="left"/>
              <w:rPr>
                <w:sz w:val="18"/>
                <w:szCs w:val="18"/>
              </w:rPr>
            </w:pPr>
            <w:r w:rsidRPr="004C78D8">
              <w:rPr>
                <w:sz w:val="18"/>
                <w:szCs w:val="18"/>
              </w:rPr>
              <w:t>Cognitive impairment W4</w:t>
            </w:r>
          </w:p>
        </w:tc>
        <w:tc>
          <w:tcPr>
            <w:tcW w:w="1842" w:type="dxa"/>
            <w:tcBorders>
              <w:top w:val="nil"/>
              <w:bottom w:val="nil"/>
            </w:tcBorders>
          </w:tcPr>
          <w:p w14:paraId="60323CC8" w14:textId="65F4C6AE" w:rsidR="00D56826" w:rsidRPr="004C78D8" w:rsidRDefault="00D56826" w:rsidP="00FB7C1F">
            <w:pPr>
              <w:jc w:val="center"/>
              <w:rPr>
                <w:sz w:val="18"/>
                <w:szCs w:val="18"/>
              </w:rPr>
            </w:pPr>
            <w:r w:rsidRPr="004C78D8">
              <w:rPr>
                <w:sz w:val="18"/>
                <w:szCs w:val="18"/>
              </w:rPr>
              <w:t>0.</w:t>
            </w:r>
            <w:r w:rsidR="00641F1B" w:rsidRPr="004C78D8">
              <w:rPr>
                <w:sz w:val="18"/>
                <w:szCs w:val="18"/>
              </w:rPr>
              <w:t>620</w:t>
            </w:r>
            <w:r w:rsidRPr="004C78D8">
              <w:rPr>
                <w:sz w:val="18"/>
                <w:szCs w:val="18"/>
              </w:rPr>
              <w:t xml:space="preserve"> (0.18</w:t>
            </w:r>
            <w:r w:rsidR="00641F1B" w:rsidRPr="004C78D8">
              <w:rPr>
                <w:sz w:val="18"/>
                <w:szCs w:val="18"/>
              </w:rPr>
              <w:t>7</w:t>
            </w:r>
            <w:r w:rsidRPr="004C78D8">
              <w:rPr>
                <w:sz w:val="18"/>
                <w:szCs w:val="18"/>
              </w:rPr>
              <w:t>)</w:t>
            </w:r>
          </w:p>
        </w:tc>
        <w:tc>
          <w:tcPr>
            <w:tcW w:w="1701" w:type="dxa"/>
            <w:tcBorders>
              <w:top w:val="nil"/>
              <w:bottom w:val="nil"/>
            </w:tcBorders>
          </w:tcPr>
          <w:p w14:paraId="0252B940" w14:textId="7A76FD5D" w:rsidR="00D56826" w:rsidRPr="004C78D8" w:rsidRDefault="00D56826" w:rsidP="00FB7C1F">
            <w:pPr>
              <w:jc w:val="center"/>
              <w:rPr>
                <w:sz w:val="18"/>
                <w:szCs w:val="18"/>
              </w:rPr>
            </w:pPr>
            <w:r w:rsidRPr="004C78D8">
              <w:rPr>
                <w:sz w:val="18"/>
                <w:szCs w:val="18"/>
              </w:rPr>
              <w:t>0.001</w:t>
            </w:r>
          </w:p>
        </w:tc>
      </w:tr>
      <w:tr w:rsidR="00D56826" w:rsidRPr="004C78D8" w14:paraId="5E9C3E9C" w14:textId="77777777" w:rsidTr="00E35893">
        <w:tc>
          <w:tcPr>
            <w:tcW w:w="2689" w:type="dxa"/>
            <w:tcBorders>
              <w:top w:val="nil"/>
              <w:bottom w:val="nil"/>
            </w:tcBorders>
          </w:tcPr>
          <w:p w14:paraId="2BA96C8F" w14:textId="77777777" w:rsidR="00D56826" w:rsidRPr="004C78D8" w:rsidRDefault="00D56826" w:rsidP="00FB7C1F">
            <w:pPr>
              <w:jc w:val="left"/>
              <w:rPr>
                <w:sz w:val="18"/>
                <w:szCs w:val="18"/>
              </w:rPr>
            </w:pPr>
            <w:r w:rsidRPr="004C78D8">
              <w:rPr>
                <w:sz w:val="18"/>
                <w:szCs w:val="18"/>
              </w:rPr>
              <w:t>Social care receipt W4</w:t>
            </w:r>
          </w:p>
        </w:tc>
        <w:tc>
          <w:tcPr>
            <w:tcW w:w="1842" w:type="dxa"/>
            <w:tcBorders>
              <w:top w:val="nil"/>
              <w:bottom w:val="nil"/>
            </w:tcBorders>
          </w:tcPr>
          <w:p w14:paraId="1DB67B79" w14:textId="6960AE4F" w:rsidR="00D56826" w:rsidRPr="004C78D8" w:rsidRDefault="00D56826" w:rsidP="00FB7C1F">
            <w:pPr>
              <w:jc w:val="center"/>
              <w:rPr>
                <w:sz w:val="18"/>
                <w:szCs w:val="18"/>
              </w:rPr>
            </w:pPr>
            <w:r w:rsidRPr="004C78D8">
              <w:rPr>
                <w:sz w:val="18"/>
                <w:szCs w:val="18"/>
              </w:rPr>
              <w:t>2.</w:t>
            </w:r>
            <w:r w:rsidR="00641F1B" w:rsidRPr="004C78D8">
              <w:rPr>
                <w:sz w:val="18"/>
                <w:szCs w:val="18"/>
              </w:rPr>
              <w:t>643</w:t>
            </w:r>
            <w:r w:rsidRPr="004C78D8">
              <w:rPr>
                <w:sz w:val="18"/>
                <w:szCs w:val="18"/>
              </w:rPr>
              <w:t xml:space="preserve"> (0.589)</w:t>
            </w:r>
          </w:p>
        </w:tc>
        <w:tc>
          <w:tcPr>
            <w:tcW w:w="1701" w:type="dxa"/>
            <w:tcBorders>
              <w:top w:val="nil"/>
              <w:bottom w:val="nil"/>
            </w:tcBorders>
          </w:tcPr>
          <w:p w14:paraId="7CAB9C68" w14:textId="77777777" w:rsidR="00D56826" w:rsidRPr="004C78D8" w:rsidRDefault="00D56826" w:rsidP="00FB7C1F">
            <w:pPr>
              <w:jc w:val="center"/>
              <w:rPr>
                <w:sz w:val="18"/>
                <w:szCs w:val="18"/>
              </w:rPr>
            </w:pPr>
            <w:r w:rsidRPr="004C78D8">
              <w:rPr>
                <w:sz w:val="18"/>
                <w:szCs w:val="18"/>
              </w:rPr>
              <w:t>&lt;0.001</w:t>
            </w:r>
          </w:p>
        </w:tc>
      </w:tr>
      <w:tr w:rsidR="00D56826" w:rsidRPr="004C78D8" w14:paraId="7645563B" w14:textId="77777777" w:rsidTr="00E35893">
        <w:tc>
          <w:tcPr>
            <w:tcW w:w="2689" w:type="dxa"/>
            <w:tcBorders>
              <w:top w:val="nil"/>
              <w:bottom w:val="nil"/>
            </w:tcBorders>
          </w:tcPr>
          <w:p w14:paraId="2B1AD831" w14:textId="77777777" w:rsidR="00D56826" w:rsidRPr="004C78D8" w:rsidRDefault="00D56826" w:rsidP="00FB7C1F">
            <w:pPr>
              <w:jc w:val="left"/>
              <w:rPr>
                <w:sz w:val="18"/>
                <w:szCs w:val="18"/>
              </w:rPr>
            </w:pPr>
            <w:r w:rsidRPr="004C78D8">
              <w:rPr>
                <w:sz w:val="18"/>
                <w:szCs w:val="18"/>
              </w:rPr>
              <w:t>Informal care receipt W4</w:t>
            </w:r>
          </w:p>
        </w:tc>
        <w:tc>
          <w:tcPr>
            <w:tcW w:w="1842" w:type="dxa"/>
            <w:tcBorders>
              <w:top w:val="nil"/>
              <w:bottom w:val="nil"/>
            </w:tcBorders>
          </w:tcPr>
          <w:p w14:paraId="3FE48A65" w14:textId="78D48740" w:rsidR="00D56826" w:rsidRPr="004C78D8" w:rsidRDefault="00D56826" w:rsidP="00FB7C1F">
            <w:pPr>
              <w:jc w:val="center"/>
              <w:rPr>
                <w:sz w:val="18"/>
                <w:szCs w:val="18"/>
              </w:rPr>
            </w:pPr>
            <w:r w:rsidRPr="004C78D8">
              <w:rPr>
                <w:sz w:val="18"/>
                <w:szCs w:val="18"/>
              </w:rPr>
              <w:t>1.6</w:t>
            </w:r>
            <w:r w:rsidR="00641F1B" w:rsidRPr="004C78D8">
              <w:rPr>
                <w:sz w:val="18"/>
                <w:szCs w:val="18"/>
              </w:rPr>
              <w:t>12</w:t>
            </w:r>
            <w:r w:rsidRPr="004C78D8">
              <w:rPr>
                <w:sz w:val="18"/>
                <w:szCs w:val="18"/>
              </w:rPr>
              <w:t xml:space="preserve"> (0.202)</w:t>
            </w:r>
          </w:p>
        </w:tc>
        <w:tc>
          <w:tcPr>
            <w:tcW w:w="1701" w:type="dxa"/>
            <w:tcBorders>
              <w:top w:val="nil"/>
              <w:bottom w:val="nil"/>
            </w:tcBorders>
          </w:tcPr>
          <w:p w14:paraId="3D9E202E" w14:textId="77777777" w:rsidR="00D56826" w:rsidRPr="004C78D8" w:rsidRDefault="00D56826" w:rsidP="00FB7C1F">
            <w:pPr>
              <w:jc w:val="center"/>
              <w:rPr>
                <w:sz w:val="18"/>
                <w:szCs w:val="18"/>
              </w:rPr>
            </w:pPr>
            <w:r w:rsidRPr="004C78D8">
              <w:rPr>
                <w:sz w:val="18"/>
                <w:szCs w:val="18"/>
              </w:rPr>
              <w:t>&lt;0.001</w:t>
            </w:r>
          </w:p>
        </w:tc>
      </w:tr>
      <w:tr w:rsidR="00D56826" w:rsidRPr="004C78D8" w14:paraId="39513A30" w14:textId="77777777" w:rsidTr="00E35893">
        <w:tc>
          <w:tcPr>
            <w:tcW w:w="6232" w:type="dxa"/>
            <w:gridSpan w:val="3"/>
          </w:tcPr>
          <w:p w14:paraId="7CCF5733" w14:textId="5F8F8104" w:rsidR="00D56826" w:rsidRPr="004C78D8" w:rsidRDefault="00D10D5E" w:rsidP="00FB7C1F">
            <w:pPr>
              <w:rPr>
                <w:sz w:val="20"/>
                <w:szCs w:val="20"/>
              </w:rPr>
            </w:pPr>
            <w:r w:rsidRPr="004C78D8">
              <w:rPr>
                <w:b/>
                <w:bCs/>
                <w:sz w:val="18"/>
                <w:szCs w:val="18"/>
              </w:rPr>
              <w:t>Abbreviation</w:t>
            </w:r>
            <w:r w:rsidR="004F098C" w:rsidRPr="004C78D8">
              <w:rPr>
                <w:b/>
                <w:bCs/>
                <w:sz w:val="18"/>
                <w:szCs w:val="18"/>
              </w:rPr>
              <w:t xml:space="preserve">: </w:t>
            </w:r>
            <w:r w:rsidR="00D56826" w:rsidRPr="004C78D8">
              <w:rPr>
                <w:sz w:val="18"/>
                <w:szCs w:val="18"/>
              </w:rPr>
              <w:t xml:space="preserve">ELSA: English Longitudinal Study of Ageing; MA fall: fall requiring medical attention; Ref: reference; SE: standard error; </w:t>
            </w:r>
            <w:r w:rsidR="00453412" w:rsidRPr="004C78D8">
              <w:rPr>
                <w:sz w:val="18"/>
                <w:szCs w:val="18"/>
              </w:rPr>
              <w:t xml:space="preserve">SES: socioeconomic status; </w:t>
            </w:r>
            <w:r w:rsidR="00D56826" w:rsidRPr="004C78D8">
              <w:rPr>
                <w:sz w:val="18"/>
                <w:szCs w:val="18"/>
              </w:rPr>
              <w:t>W4: ELSA Wave 4; W5: ELSA Wave 5</w:t>
            </w:r>
          </w:p>
        </w:tc>
      </w:tr>
    </w:tbl>
    <w:p w14:paraId="7C32043F" w14:textId="77777777" w:rsidR="00D56826" w:rsidRPr="004C78D8" w:rsidRDefault="00D56826" w:rsidP="00FB7C1F"/>
    <w:p w14:paraId="25D9E9A9" w14:textId="4CB41105" w:rsidR="00D56826" w:rsidRPr="004C78D8" w:rsidRDefault="00D56826" w:rsidP="00FB7C1F">
      <w:r w:rsidRPr="004C78D8">
        <w:t xml:space="preserve">Older individuals were likelier to experience a higher increase in frailty. Those in the most deprived </w:t>
      </w:r>
      <w:r w:rsidR="00641F1B" w:rsidRPr="004C78D8">
        <w:t>SES</w:t>
      </w:r>
      <w:r w:rsidRPr="004C78D8">
        <w:t xml:space="preserve"> quartile were likelier </w:t>
      </w:r>
      <w:r w:rsidR="00DE7E45" w:rsidRPr="004C78D8">
        <w:t xml:space="preserve">to </w:t>
      </w:r>
      <w:r w:rsidRPr="004C78D8">
        <w:t xml:space="preserve">experience a higher increase relative to those in the most privileged quartile. Falls incidence of any type between Waves 4-5 had </w:t>
      </w:r>
      <w:r w:rsidR="00DE7E45" w:rsidRPr="004C78D8">
        <w:t xml:space="preserve">a </w:t>
      </w:r>
      <w:r w:rsidRPr="004C78D8">
        <w:t>significant impact on the frailty progression</w:t>
      </w:r>
      <w:r w:rsidR="00641F1B" w:rsidRPr="004C78D8">
        <w:t>; t</w:t>
      </w:r>
      <w:r w:rsidRPr="004C78D8">
        <w:t>hese associations capture the secondary</w:t>
      </w:r>
      <w:r w:rsidR="00DE7E45" w:rsidRPr="004C78D8">
        <w:t xml:space="preserve"> </w:t>
      </w:r>
      <w:r w:rsidRPr="004C78D8">
        <w:t xml:space="preserve">effects of falls. Frailer individuals </w:t>
      </w:r>
      <w:r w:rsidR="00DE7E45" w:rsidRPr="004C78D8">
        <w:t xml:space="preserve">at Wave 4 </w:t>
      </w:r>
      <w:r w:rsidRPr="004C78D8">
        <w:t>were less likely to experience a faster rate of frailty increase. High physical activity was associated with lower rate of frailty increas</w:t>
      </w:r>
      <w:r w:rsidR="00DE7E45" w:rsidRPr="004C78D8">
        <w:t xml:space="preserve">e, capturing the wider health benefits of exercise that habituates physical activity </w:t>
      </w:r>
      <w:r w:rsidR="00DE7E45" w:rsidRPr="004C78D8">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instrText xml:space="preserve"> ADDIN EN.CITE </w:instrText>
      </w:r>
      <w:r w:rsidR="00513646" w:rsidRPr="004C78D8">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instrText xml:space="preserve"> ADDIN EN.CITE.DATA </w:instrText>
      </w:r>
      <w:r w:rsidR="00513646" w:rsidRPr="004C78D8">
        <w:fldChar w:fldCharType="end"/>
      </w:r>
      <w:r w:rsidR="00DE7E45" w:rsidRPr="004C78D8">
        <w:fldChar w:fldCharType="separate"/>
      </w:r>
      <w:r w:rsidR="00513646" w:rsidRPr="004C78D8">
        <w:rPr>
          <w:noProof/>
        </w:rPr>
        <w:t>[135]</w:t>
      </w:r>
      <w:r w:rsidR="00DE7E45" w:rsidRPr="004C78D8">
        <w:fldChar w:fldCharType="end"/>
      </w:r>
      <w:r w:rsidRPr="004C78D8">
        <w:t xml:space="preserve">. </w:t>
      </w:r>
      <w:r w:rsidR="00DE7E45" w:rsidRPr="004C78D8">
        <w:t>C</w:t>
      </w:r>
      <w:r w:rsidRPr="004C78D8">
        <w:t xml:space="preserve">ognitive impairment was associated with higher rate. Interestingly, </w:t>
      </w:r>
      <w:r w:rsidR="00CD55E0" w:rsidRPr="004C78D8">
        <w:t>social and informal care receipts</w:t>
      </w:r>
      <w:r w:rsidRPr="004C78D8">
        <w:t xml:space="preserve"> were associated with higher rate of increase. This likely </w:t>
      </w:r>
      <w:r w:rsidR="00CD55E0" w:rsidRPr="004C78D8">
        <w:t xml:space="preserve">indicates </w:t>
      </w:r>
      <w:r w:rsidR="00DE7E45" w:rsidRPr="004C78D8">
        <w:t xml:space="preserve">the </w:t>
      </w:r>
      <w:r w:rsidRPr="004C78D8">
        <w:t xml:space="preserve">vulnerability of </w:t>
      </w:r>
      <w:r w:rsidR="00DE7E45" w:rsidRPr="004C78D8">
        <w:t>care recipients</w:t>
      </w:r>
      <w:r w:rsidRPr="004C78D8">
        <w:t xml:space="preserve"> </w:t>
      </w:r>
      <w:r w:rsidR="00F77340" w:rsidRPr="004C78D8">
        <w:t xml:space="preserve">that is </w:t>
      </w:r>
      <w:r w:rsidRPr="004C78D8">
        <w:t xml:space="preserve">not </w:t>
      </w:r>
      <w:r w:rsidR="00DE7E45" w:rsidRPr="004C78D8">
        <w:t>wholly</w:t>
      </w:r>
      <w:r w:rsidRPr="004C78D8">
        <w:t xml:space="preserve"> captured by </w:t>
      </w:r>
      <w:r w:rsidR="00CD55E0" w:rsidRPr="004C78D8">
        <w:t>frailty</w:t>
      </w:r>
      <w:r w:rsidRPr="004C78D8">
        <w:t>.</w:t>
      </w:r>
    </w:p>
    <w:p w14:paraId="33E5CD24" w14:textId="5CC5385C" w:rsidR="00D56826" w:rsidRPr="004C78D8" w:rsidRDefault="00D56826" w:rsidP="00FB7C1F">
      <w:r w:rsidRPr="004C78D8">
        <w:t>The estimated change in frailty was halved to obtain the annuali</w:t>
      </w:r>
      <w:r w:rsidR="00DE7E45" w:rsidRPr="004C78D8">
        <w:t>s</w:t>
      </w:r>
      <w:r w:rsidRPr="004C78D8">
        <w:t xml:space="preserve">ed rate. It was then used as </w:t>
      </w:r>
      <w:r w:rsidR="00DE7E45" w:rsidRPr="004C78D8">
        <w:t xml:space="preserve">an </w:t>
      </w:r>
      <w:r w:rsidRPr="004C78D8">
        <w:t>explanatory variable in other longitudinal estimations below. The annuali</w:t>
      </w:r>
      <w:r w:rsidR="00DE7E45" w:rsidRPr="004C78D8">
        <w:t>s</w:t>
      </w:r>
      <w:r w:rsidRPr="004C78D8">
        <w:t xml:space="preserve">ed change was also added to individuals’ pre-change frailty score to obtain </w:t>
      </w:r>
      <w:r w:rsidR="00F77340" w:rsidRPr="004C78D8">
        <w:t>the score used</w:t>
      </w:r>
      <w:r w:rsidRPr="004C78D8">
        <w:t xml:space="preserve"> </w:t>
      </w:r>
      <w:r w:rsidR="00F77340" w:rsidRPr="004C78D8">
        <w:t xml:space="preserve">in </w:t>
      </w:r>
      <w:r w:rsidRPr="004C78D8">
        <w:t xml:space="preserve">the next cycle. </w:t>
      </w:r>
    </w:p>
    <w:p w14:paraId="38121C33" w14:textId="3985F773" w:rsidR="00D56826" w:rsidRPr="004C78D8" w:rsidRDefault="00F82FF1" w:rsidP="00FB7C1F">
      <w:pPr>
        <w:pStyle w:val="Heading4"/>
      </w:pPr>
      <w:r w:rsidRPr="004C78D8">
        <w:t>5</w:t>
      </w:r>
      <w:r w:rsidR="00D56826" w:rsidRPr="004C78D8">
        <w:t>.</w:t>
      </w:r>
      <w:r w:rsidR="00332ADA" w:rsidRPr="004C78D8">
        <w:t>2</w:t>
      </w:r>
      <w:r w:rsidR="00D56826" w:rsidRPr="004C78D8">
        <w:t>.6.2 Long-term care admission</w:t>
      </w:r>
      <w:r w:rsidR="00E75C17" w:rsidRPr="004C78D8">
        <w:t xml:space="preserve"> and cost</w:t>
      </w:r>
    </w:p>
    <w:p w14:paraId="46A018C0" w14:textId="2802DFA5" w:rsidR="00D56826" w:rsidRPr="004C78D8" w:rsidRDefault="00D56826" w:rsidP="00FB7C1F">
      <w:r w:rsidRPr="004C78D8">
        <w:t xml:space="preserve">This section estimates the likelihood of </w:t>
      </w:r>
      <w:r w:rsidR="00C17D4B" w:rsidRPr="004C78D8">
        <w:t xml:space="preserve">surviving </w:t>
      </w:r>
      <w:r w:rsidRPr="004C78D8">
        <w:t xml:space="preserve">individuals entering </w:t>
      </w:r>
      <w:r w:rsidR="00C17D4B" w:rsidRPr="004C78D8">
        <w:t>LTC</w:t>
      </w:r>
      <w:r w:rsidRPr="004C78D8">
        <w:t xml:space="preserve">. </w:t>
      </w:r>
      <w:r w:rsidR="00C17D4B" w:rsidRPr="004C78D8">
        <w:t xml:space="preserve">Due to data limitations, </w:t>
      </w:r>
      <w:r w:rsidRPr="004C78D8">
        <w:t>the distinction is not made between fall-related and other-cause LTC admissions</w:t>
      </w:r>
      <w:r w:rsidR="009250D1" w:rsidRPr="004C78D8">
        <w:t>;</w:t>
      </w:r>
      <w:r w:rsidRPr="004C78D8">
        <w:t xml:space="preserve"> ELSA did not </w:t>
      </w:r>
      <w:r w:rsidR="00C17D4B" w:rsidRPr="004C78D8">
        <w:t>specify</w:t>
      </w:r>
      <w:r w:rsidRPr="004C78D8">
        <w:t xml:space="preserve"> </w:t>
      </w:r>
      <w:r w:rsidR="00C17D4B" w:rsidRPr="004C78D8">
        <w:t xml:space="preserve">the </w:t>
      </w:r>
      <w:r w:rsidRPr="004C78D8">
        <w:t xml:space="preserve">cause of LTC admission. Table </w:t>
      </w:r>
      <w:r w:rsidR="00F82FF1" w:rsidRPr="004C78D8">
        <w:t>5</w:t>
      </w:r>
      <w:r w:rsidRPr="004C78D8">
        <w:t>.</w:t>
      </w:r>
      <w:r w:rsidR="00D93ABA" w:rsidRPr="004C78D8">
        <w:t>4</w:t>
      </w:r>
      <w:r w:rsidR="00F82FF1" w:rsidRPr="004C78D8">
        <w:t>6</w:t>
      </w:r>
      <w:r w:rsidRPr="004C78D8">
        <w:t xml:space="preserve"> shows the coefficient estimates from the best-fit logistic regression </w:t>
      </w:r>
      <w:r w:rsidR="00983555" w:rsidRPr="004C78D8">
        <w:t>for the risk of LTC admission between ELSA Waves 4-5</w:t>
      </w:r>
      <w:r w:rsidRPr="004C78D8">
        <w:t xml:space="preserve">. </w:t>
      </w:r>
      <w:r w:rsidR="00983555" w:rsidRPr="004C78D8">
        <w:t>O</w:t>
      </w:r>
      <w:r w:rsidRPr="004C78D8">
        <w:t>lder individuals were likelier to enter LTC. Falls incidence between Waves 4-5 was in fact excluded from the best-fit model</w:t>
      </w:r>
      <w:r w:rsidR="00983555" w:rsidRPr="004C78D8">
        <w:t>, indicating a weak direct association between falls and LTC admission</w:t>
      </w:r>
      <w:r w:rsidRPr="004C78D8">
        <w:t xml:space="preserve">. </w:t>
      </w:r>
      <w:r w:rsidR="00E768E4" w:rsidRPr="004C78D8">
        <w:t>Change</w:t>
      </w:r>
      <w:r w:rsidRPr="004C78D8">
        <w:t xml:space="preserve"> in frailty was</w:t>
      </w:r>
      <w:r w:rsidR="00E768E4" w:rsidRPr="004C78D8">
        <w:t xml:space="preserve"> associated with admission risk</w:t>
      </w:r>
      <w:r w:rsidR="00983555" w:rsidRPr="004C78D8">
        <w:t>;</w:t>
      </w:r>
      <w:r w:rsidR="00E768E4" w:rsidRPr="004C78D8">
        <w:t xml:space="preserve"> falls </w:t>
      </w:r>
      <w:r w:rsidR="00983555" w:rsidRPr="004C78D8">
        <w:t xml:space="preserve">thus </w:t>
      </w:r>
      <w:r w:rsidR="00E768E4" w:rsidRPr="004C78D8">
        <w:t xml:space="preserve">raise the </w:t>
      </w:r>
      <w:r w:rsidR="00983555" w:rsidRPr="004C78D8">
        <w:t xml:space="preserve">admission </w:t>
      </w:r>
      <w:r w:rsidR="00E768E4" w:rsidRPr="004C78D8">
        <w:t>risk indirectly via frailty progression</w:t>
      </w:r>
      <w:r w:rsidRPr="004C78D8">
        <w:t>. Th</w:t>
      </w:r>
      <w:r w:rsidR="00983555" w:rsidRPr="004C78D8">
        <w:t>e</w:t>
      </w:r>
      <w:r w:rsidRPr="004C78D8">
        <w:t xml:space="preserve"> cognitive</w:t>
      </w:r>
      <w:r w:rsidR="00983555" w:rsidRPr="004C78D8">
        <w:t>ly</w:t>
      </w:r>
      <w:r w:rsidRPr="004C78D8">
        <w:t xml:space="preserve"> impair</w:t>
      </w:r>
      <w:r w:rsidR="00983555" w:rsidRPr="004C78D8">
        <w:t>ed</w:t>
      </w:r>
      <w:r w:rsidRPr="004C78D8">
        <w:t xml:space="preserve"> were likelier to require LTC. Interestingly, receipts of various forms of care in the community were associated with increased risk. </w:t>
      </w:r>
      <w:r w:rsidR="00983555" w:rsidRPr="004C78D8">
        <w:t xml:space="preserve">Care receipts are indicators of broader vulnerability that eventually requires </w:t>
      </w:r>
      <w:r w:rsidRPr="004C78D8">
        <w:t xml:space="preserve">permanent </w:t>
      </w:r>
      <w:r w:rsidR="00E768E4" w:rsidRPr="004C78D8">
        <w:t>institutionalisation</w:t>
      </w:r>
      <w:r w:rsidRPr="004C78D8">
        <w:t xml:space="preserve">. </w:t>
      </w:r>
    </w:p>
    <w:tbl>
      <w:tblPr>
        <w:tblStyle w:val="TableGrid"/>
        <w:tblW w:w="0" w:type="auto"/>
        <w:tblInd w:w="-5" w:type="dxa"/>
        <w:tblLook w:val="04A0" w:firstRow="1" w:lastRow="0" w:firstColumn="1" w:lastColumn="0" w:noHBand="0" w:noVBand="1"/>
      </w:tblPr>
      <w:tblGrid>
        <w:gridCol w:w="3256"/>
        <w:gridCol w:w="1842"/>
        <w:gridCol w:w="1560"/>
      </w:tblGrid>
      <w:tr w:rsidR="00D56826" w:rsidRPr="004C78D8" w14:paraId="332D5A34" w14:textId="77777777" w:rsidTr="00E35893">
        <w:tc>
          <w:tcPr>
            <w:tcW w:w="6658" w:type="dxa"/>
            <w:gridSpan w:val="3"/>
          </w:tcPr>
          <w:p w14:paraId="06E25040" w14:textId="7342A273" w:rsidR="00D56826" w:rsidRPr="004C78D8" w:rsidRDefault="00D56826" w:rsidP="00FB7C1F">
            <w:pPr>
              <w:jc w:val="left"/>
            </w:pPr>
            <w:r w:rsidRPr="004C78D8">
              <w:rPr>
                <w:b/>
                <w:bCs/>
              </w:rPr>
              <w:t xml:space="preserve">Table </w:t>
            </w:r>
            <w:r w:rsidR="00F82FF1" w:rsidRPr="004C78D8">
              <w:rPr>
                <w:b/>
                <w:bCs/>
              </w:rPr>
              <w:t>5</w:t>
            </w:r>
            <w:r w:rsidR="00D93ABA" w:rsidRPr="004C78D8">
              <w:rPr>
                <w:b/>
                <w:bCs/>
              </w:rPr>
              <w:t>.4</w:t>
            </w:r>
            <w:r w:rsidR="00F82FF1" w:rsidRPr="004C78D8">
              <w:rPr>
                <w:b/>
                <w:bCs/>
              </w:rPr>
              <w:t>6</w:t>
            </w:r>
            <w:r w:rsidRPr="004C78D8">
              <w:t xml:space="preserve"> Logistic regression coefficients for long-term care admission between ELSA Waves 4 and 5</w:t>
            </w:r>
            <w:r w:rsidR="001C65F6" w:rsidRPr="004C78D8">
              <w:t>.</w:t>
            </w:r>
          </w:p>
        </w:tc>
      </w:tr>
      <w:tr w:rsidR="00D56826" w:rsidRPr="004C78D8" w14:paraId="4F4535AD" w14:textId="77777777" w:rsidTr="00E35893">
        <w:tc>
          <w:tcPr>
            <w:tcW w:w="6658" w:type="dxa"/>
            <w:gridSpan w:val="3"/>
          </w:tcPr>
          <w:p w14:paraId="6DEA4425" w14:textId="77777777" w:rsidR="00D56826" w:rsidRPr="004C78D8" w:rsidRDefault="00D56826" w:rsidP="00FB7C1F">
            <w:pPr>
              <w:jc w:val="left"/>
              <w:rPr>
                <w:b/>
                <w:bCs/>
                <w:i/>
                <w:iCs/>
                <w:sz w:val="20"/>
                <w:szCs w:val="20"/>
              </w:rPr>
            </w:pPr>
            <w:r w:rsidRPr="004C78D8">
              <w:rPr>
                <w:b/>
                <w:bCs/>
                <w:i/>
                <w:iCs/>
                <w:sz w:val="20"/>
                <w:szCs w:val="20"/>
              </w:rPr>
              <w:t>Dependent variable: New LTC admission between ELSA Wave 4-5 (N=6,205)</w:t>
            </w:r>
          </w:p>
        </w:tc>
      </w:tr>
      <w:tr w:rsidR="00D56826" w:rsidRPr="004C78D8" w14:paraId="08A163BD" w14:textId="77777777" w:rsidTr="00E35893">
        <w:tc>
          <w:tcPr>
            <w:tcW w:w="3256" w:type="dxa"/>
            <w:tcBorders>
              <w:bottom w:val="single" w:sz="4" w:space="0" w:color="auto"/>
            </w:tcBorders>
          </w:tcPr>
          <w:p w14:paraId="2D291FF7" w14:textId="77777777" w:rsidR="00D56826" w:rsidRPr="004C78D8" w:rsidRDefault="00D56826" w:rsidP="00FB7C1F">
            <w:pPr>
              <w:rPr>
                <w:b/>
                <w:bCs/>
                <w:sz w:val="20"/>
                <w:szCs w:val="20"/>
              </w:rPr>
            </w:pPr>
            <w:r w:rsidRPr="004C78D8">
              <w:rPr>
                <w:b/>
                <w:bCs/>
                <w:sz w:val="20"/>
                <w:szCs w:val="20"/>
              </w:rPr>
              <w:t>Explanatory variables</w:t>
            </w:r>
          </w:p>
        </w:tc>
        <w:tc>
          <w:tcPr>
            <w:tcW w:w="1842" w:type="dxa"/>
            <w:tcBorders>
              <w:bottom w:val="single" w:sz="4" w:space="0" w:color="auto"/>
            </w:tcBorders>
          </w:tcPr>
          <w:p w14:paraId="1DBC12B6" w14:textId="77777777" w:rsidR="00D56826" w:rsidRPr="004C78D8" w:rsidRDefault="00D56826" w:rsidP="00FB7C1F">
            <w:pPr>
              <w:jc w:val="center"/>
              <w:rPr>
                <w:b/>
                <w:bCs/>
                <w:sz w:val="20"/>
                <w:szCs w:val="20"/>
              </w:rPr>
            </w:pPr>
            <w:r w:rsidRPr="004C78D8">
              <w:rPr>
                <w:b/>
                <w:bCs/>
                <w:sz w:val="20"/>
                <w:szCs w:val="20"/>
              </w:rPr>
              <w:t>Coefficient (SE)</w:t>
            </w:r>
          </w:p>
        </w:tc>
        <w:tc>
          <w:tcPr>
            <w:tcW w:w="1560" w:type="dxa"/>
            <w:tcBorders>
              <w:bottom w:val="single" w:sz="4" w:space="0" w:color="auto"/>
            </w:tcBorders>
          </w:tcPr>
          <w:p w14:paraId="53268AA3" w14:textId="77777777" w:rsidR="00D56826" w:rsidRPr="004C78D8" w:rsidRDefault="00D56826" w:rsidP="00FB7C1F">
            <w:pPr>
              <w:jc w:val="center"/>
              <w:rPr>
                <w:b/>
                <w:bCs/>
                <w:sz w:val="20"/>
                <w:szCs w:val="20"/>
              </w:rPr>
            </w:pPr>
            <w:r w:rsidRPr="004C78D8">
              <w:rPr>
                <w:b/>
                <w:bCs/>
                <w:sz w:val="20"/>
                <w:szCs w:val="20"/>
              </w:rPr>
              <w:t>P-value</w:t>
            </w:r>
          </w:p>
        </w:tc>
      </w:tr>
      <w:tr w:rsidR="00D56826" w:rsidRPr="004C78D8" w14:paraId="3F83F9EE" w14:textId="77777777" w:rsidTr="00E35893">
        <w:tc>
          <w:tcPr>
            <w:tcW w:w="3256" w:type="dxa"/>
            <w:tcBorders>
              <w:bottom w:val="nil"/>
            </w:tcBorders>
          </w:tcPr>
          <w:p w14:paraId="327BF8F1" w14:textId="77777777" w:rsidR="00D56826" w:rsidRPr="004C78D8" w:rsidRDefault="00D56826" w:rsidP="00FB7C1F">
            <w:pPr>
              <w:jc w:val="left"/>
              <w:rPr>
                <w:sz w:val="18"/>
                <w:szCs w:val="18"/>
              </w:rPr>
            </w:pPr>
            <w:r w:rsidRPr="004C78D8">
              <w:rPr>
                <w:sz w:val="18"/>
                <w:szCs w:val="18"/>
              </w:rPr>
              <w:t>Constant</w:t>
            </w:r>
          </w:p>
        </w:tc>
        <w:tc>
          <w:tcPr>
            <w:tcW w:w="1842" w:type="dxa"/>
            <w:tcBorders>
              <w:bottom w:val="nil"/>
            </w:tcBorders>
          </w:tcPr>
          <w:p w14:paraId="590A00A1" w14:textId="77777777" w:rsidR="00D56826" w:rsidRPr="004C78D8" w:rsidRDefault="00D56826" w:rsidP="00FB7C1F">
            <w:pPr>
              <w:jc w:val="center"/>
              <w:rPr>
                <w:sz w:val="18"/>
                <w:szCs w:val="18"/>
              </w:rPr>
            </w:pPr>
            <w:r w:rsidRPr="004C78D8">
              <w:rPr>
                <w:sz w:val="18"/>
                <w:szCs w:val="18"/>
              </w:rPr>
              <w:t>-15.281 (1.919)</w:t>
            </w:r>
          </w:p>
        </w:tc>
        <w:tc>
          <w:tcPr>
            <w:tcW w:w="1560" w:type="dxa"/>
            <w:tcBorders>
              <w:bottom w:val="nil"/>
            </w:tcBorders>
          </w:tcPr>
          <w:p w14:paraId="6FC6FA79" w14:textId="77777777" w:rsidR="00D56826" w:rsidRPr="004C78D8" w:rsidRDefault="00D56826" w:rsidP="00FB7C1F">
            <w:pPr>
              <w:jc w:val="center"/>
              <w:rPr>
                <w:sz w:val="18"/>
                <w:szCs w:val="18"/>
              </w:rPr>
            </w:pPr>
            <w:r w:rsidRPr="004C78D8">
              <w:rPr>
                <w:sz w:val="18"/>
                <w:szCs w:val="18"/>
              </w:rPr>
              <w:t>&lt;0.001</w:t>
            </w:r>
          </w:p>
        </w:tc>
      </w:tr>
      <w:tr w:rsidR="00D56826" w:rsidRPr="004C78D8" w14:paraId="024BEA96" w14:textId="77777777" w:rsidTr="00E35893">
        <w:tc>
          <w:tcPr>
            <w:tcW w:w="3256" w:type="dxa"/>
            <w:tcBorders>
              <w:top w:val="nil"/>
              <w:bottom w:val="nil"/>
            </w:tcBorders>
          </w:tcPr>
          <w:p w14:paraId="4517F09C" w14:textId="77777777" w:rsidR="00D56826" w:rsidRPr="004C78D8" w:rsidRDefault="00D56826" w:rsidP="00FB7C1F">
            <w:pPr>
              <w:jc w:val="left"/>
              <w:rPr>
                <w:sz w:val="18"/>
                <w:szCs w:val="18"/>
              </w:rPr>
            </w:pPr>
            <w:r w:rsidRPr="004C78D8">
              <w:rPr>
                <w:sz w:val="18"/>
                <w:szCs w:val="18"/>
              </w:rPr>
              <w:t>Age W4</w:t>
            </w:r>
          </w:p>
        </w:tc>
        <w:tc>
          <w:tcPr>
            <w:tcW w:w="1842" w:type="dxa"/>
            <w:tcBorders>
              <w:top w:val="nil"/>
              <w:bottom w:val="nil"/>
            </w:tcBorders>
          </w:tcPr>
          <w:p w14:paraId="42765FA5" w14:textId="77777777" w:rsidR="00D56826" w:rsidRPr="004C78D8" w:rsidRDefault="00D56826" w:rsidP="00FB7C1F">
            <w:pPr>
              <w:jc w:val="center"/>
              <w:rPr>
                <w:sz w:val="18"/>
                <w:szCs w:val="18"/>
              </w:rPr>
            </w:pPr>
            <w:r w:rsidRPr="004C78D8">
              <w:rPr>
                <w:sz w:val="18"/>
                <w:szCs w:val="18"/>
              </w:rPr>
              <w:t>0.107 (0.025)</w:t>
            </w:r>
          </w:p>
        </w:tc>
        <w:tc>
          <w:tcPr>
            <w:tcW w:w="1560" w:type="dxa"/>
            <w:tcBorders>
              <w:top w:val="nil"/>
              <w:bottom w:val="nil"/>
            </w:tcBorders>
          </w:tcPr>
          <w:p w14:paraId="52402803" w14:textId="77777777" w:rsidR="00D56826" w:rsidRPr="004C78D8" w:rsidRDefault="00D56826" w:rsidP="00FB7C1F">
            <w:pPr>
              <w:jc w:val="center"/>
              <w:rPr>
                <w:sz w:val="18"/>
                <w:szCs w:val="18"/>
              </w:rPr>
            </w:pPr>
            <w:r w:rsidRPr="004C78D8">
              <w:rPr>
                <w:sz w:val="18"/>
                <w:szCs w:val="18"/>
              </w:rPr>
              <w:t>&lt;0.001</w:t>
            </w:r>
          </w:p>
        </w:tc>
      </w:tr>
      <w:tr w:rsidR="00D56826" w:rsidRPr="004C78D8" w14:paraId="66AE80F0" w14:textId="77777777" w:rsidTr="00E35893">
        <w:tc>
          <w:tcPr>
            <w:tcW w:w="3256" w:type="dxa"/>
            <w:tcBorders>
              <w:top w:val="nil"/>
              <w:bottom w:val="nil"/>
            </w:tcBorders>
          </w:tcPr>
          <w:p w14:paraId="35733AC2" w14:textId="1A21C819" w:rsidR="00D56826" w:rsidRPr="004C78D8" w:rsidRDefault="00D56826" w:rsidP="00FB7C1F">
            <w:pPr>
              <w:jc w:val="left"/>
              <w:rPr>
                <w:sz w:val="18"/>
                <w:szCs w:val="18"/>
              </w:rPr>
            </w:pPr>
            <w:r w:rsidRPr="004C78D8">
              <w:rPr>
                <w:sz w:val="18"/>
                <w:szCs w:val="18"/>
              </w:rPr>
              <w:t>Change in frailty</w:t>
            </w:r>
            <w:r w:rsidR="00E545A9" w:rsidRPr="004C78D8">
              <w:rPr>
                <w:sz w:val="18"/>
                <w:szCs w:val="18"/>
                <w:vertAlign w:val="superscript"/>
              </w:rPr>
              <w:t>1</w:t>
            </w:r>
          </w:p>
        </w:tc>
        <w:tc>
          <w:tcPr>
            <w:tcW w:w="1842" w:type="dxa"/>
            <w:tcBorders>
              <w:top w:val="nil"/>
              <w:bottom w:val="nil"/>
            </w:tcBorders>
          </w:tcPr>
          <w:p w14:paraId="20A1FC26" w14:textId="77777777" w:rsidR="00D56826" w:rsidRPr="004C78D8" w:rsidRDefault="00D56826" w:rsidP="00FB7C1F">
            <w:pPr>
              <w:jc w:val="center"/>
              <w:rPr>
                <w:sz w:val="18"/>
                <w:szCs w:val="18"/>
              </w:rPr>
            </w:pPr>
            <w:r w:rsidRPr="004C78D8">
              <w:rPr>
                <w:sz w:val="18"/>
                <w:szCs w:val="18"/>
              </w:rPr>
              <w:t>0.061 (0.020)</w:t>
            </w:r>
          </w:p>
        </w:tc>
        <w:tc>
          <w:tcPr>
            <w:tcW w:w="1560" w:type="dxa"/>
            <w:tcBorders>
              <w:top w:val="nil"/>
              <w:bottom w:val="nil"/>
            </w:tcBorders>
          </w:tcPr>
          <w:p w14:paraId="0152F5DB" w14:textId="77777777" w:rsidR="00D56826" w:rsidRPr="004C78D8" w:rsidRDefault="00D56826" w:rsidP="00FB7C1F">
            <w:pPr>
              <w:jc w:val="center"/>
              <w:rPr>
                <w:sz w:val="18"/>
                <w:szCs w:val="18"/>
              </w:rPr>
            </w:pPr>
            <w:r w:rsidRPr="004C78D8">
              <w:rPr>
                <w:sz w:val="18"/>
                <w:szCs w:val="18"/>
              </w:rPr>
              <w:t>0.003</w:t>
            </w:r>
          </w:p>
        </w:tc>
      </w:tr>
      <w:tr w:rsidR="00D56826" w:rsidRPr="004C78D8" w14:paraId="6FB96F39" w14:textId="77777777" w:rsidTr="00E35893">
        <w:tc>
          <w:tcPr>
            <w:tcW w:w="3256" w:type="dxa"/>
            <w:tcBorders>
              <w:top w:val="nil"/>
              <w:bottom w:val="nil"/>
            </w:tcBorders>
          </w:tcPr>
          <w:p w14:paraId="4F9561BC" w14:textId="77777777" w:rsidR="00D56826" w:rsidRPr="004C78D8" w:rsidRDefault="00D56826" w:rsidP="00FB7C1F">
            <w:pPr>
              <w:jc w:val="left"/>
              <w:rPr>
                <w:sz w:val="18"/>
                <w:szCs w:val="18"/>
              </w:rPr>
            </w:pPr>
            <w:r w:rsidRPr="004C78D8">
              <w:rPr>
                <w:sz w:val="18"/>
                <w:szCs w:val="18"/>
              </w:rPr>
              <w:t>Cognitive impairment W4</w:t>
            </w:r>
          </w:p>
        </w:tc>
        <w:tc>
          <w:tcPr>
            <w:tcW w:w="1842" w:type="dxa"/>
            <w:tcBorders>
              <w:top w:val="nil"/>
              <w:bottom w:val="nil"/>
            </w:tcBorders>
          </w:tcPr>
          <w:p w14:paraId="30D359D7" w14:textId="77777777" w:rsidR="00D56826" w:rsidRPr="004C78D8" w:rsidRDefault="00D56826" w:rsidP="00FB7C1F">
            <w:pPr>
              <w:jc w:val="center"/>
              <w:rPr>
                <w:sz w:val="18"/>
                <w:szCs w:val="18"/>
              </w:rPr>
            </w:pPr>
            <w:r w:rsidRPr="004C78D8">
              <w:rPr>
                <w:sz w:val="18"/>
                <w:szCs w:val="18"/>
              </w:rPr>
              <w:t>1.736 (0.413)</w:t>
            </w:r>
          </w:p>
        </w:tc>
        <w:tc>
          <w:tcPr>
            <w:tcW w:w="1560" w:type="dxa"/>
            <w:tcBorders>
              <w:top w:val="nil"/>
              <w:bottom w:val="nil"/>
            </w:tcBorders>
          </w:tcPr>
          <w:p w14:paraId="372A6034" w14:textId="77777777" w:rsidR="00D56826" w:rsidRPr="004C78D8" w:rsidRDefault="00D56826" w:rsidP="00FB7C1F">
            <w:pPr>
              <w:jc w:val="center"/>
              <w:rPr>
                <w:sz w:val="18"/>
                <w:szCs w:val="18"/>
              </w:rPr>
            </w:pPr>
            <w:r w:rsidRPr="004C78D8">
              <w:rPr>
                <w:sz w:val="18"/>
                <w:szCs w:val="18"/>
              </w:rPr>
              <w:t>&lt;0.001</w:t>
            </w:r>
          </w:p>
        </w:tc>
      </w:tr>
      <w:tr w:rsidR="00D56826" w:rsidRPr="004C78D8" w14:paraId="7805DF5A" w14:textId="77777777" w:rsidTr="00E35893">
        <w:tc>
          <w:tcPr>
            <w:tcW w:w="3256" w:type="dxa"/>
            <w:tcBorders>
              <w:top w:val="nil"/>
              <w:bottom w:val="nil"/>
            </w:tcBorders>
          </w:tcPr>
          <w:p w14:paraId="37ECD0B9" w14:textId="77777777" w:rsidR="00D56826" w:rsidRPr="004C78D8" w:rsidRDefault="00D56826" w:rsidP="00FB7C1F">
            <w:pPr>
              <w:jc w:val="left"/>
              <w:rPr>
                <w:sz w:val="18"/>
                <w:szCs w:val="18"/>
              </w:rPr>
            </w:pPr>
            <w:r w:rsidRPr="004C78D8">
              <w:rPr>
                <w:sz w:val="18"/>
                <w:szCs w:val="18"/>
              </w:rPr>
              <w:t>Community healthcare receipt W4</w:t>
            </w:r>
          </w:p>
        </w:tc>
        <w:tc>
          <w:tcPr>
            <w:tcW w:w="1842" w:type="dxa"/>
            <w:tcBorders>
              <w:top w:val="nil"/>
              <w:bottom w:val="nil"/>
            </w:tcBorders>
          </w:tcPr>
          <w:p w14:paraId="13101C28" w14:textId="77777777" w:rsidR="00D56826" w:rsidRPr="004C78D8" w:rsidRDefault="00D56826" w:rsidP="00FB7C1F">
            <w:pPr>
              <w:jc w:val="center"/>
              <w:rPr>
                <w:sz w:val="18"/>
                <w:szCs w:val="18"/>
              </w:rPr>
            </w:pPr>
            <w:r w:rsidRPr="004C78D8">
              <w:rPr>
                <w:sz w:val="18"/>
                <w:szCs w:val="18"/>
              </w:rPr>
              <w:t>2.376 (0.822)</w:t>
            </w:r>
          </w:p>
        </w:tc>
        <w:tc>
          <w:tcPr>
            <w:tcW w:w="1560" w:type="dxa"/>
            <w:tcBorders>
              <w:top w:val="nil"/>
              <w:bottom w:val="nil"/>
            </w:tcBorders>
          </w:tcPr>
          <w:p w14:paraId="6C14E0ED" w14:textId="77777777" w:rsidR="00D56826" w:rsidRPr="004C78D8" w:rsidRDefault="00D56826" w:rsidP="00FB7C1F">
            <w:pPr>
              <w:jc w:val="center"/>
              <w:rPr>
                <w:sz w:val="18"/>
                <w:szCs w:val="18"/>
              </w:rPr>
            </w:pPr>
            <w:r w:rsidRPr="004C78D8">
              <w:rPr>
                <w:sz w:val="18"/>
                <w:szCs w:val="18"/>
              </w:rPr>
              <w:t>0.004</w:t>
            </w:r>
          </w:p>
        </w:tc>
      </w:tr>
      <w:tr w:rsidR="00D56826" w:rsidRPr="004C78D8" w14:paraId="2039E04E" w14:textId="77777777" w:rsidTr="00E35893">
        <w:tc>
          <w:tcPr>
            <w:tcW w:w="3256" w:type="dxa"/>
            <w:tcBorders>
              <w:top w:val="nil"/>
              <w:bottom w:val="nil"/>
            </w:tcBorders>
          </w:tcPr>
          <w:p w14:paraId="14567842" w14:textId="77777777" w:rsidR="00D56826" w:rsidRPr="004C78D8" w:rsidRDefault="00D56826" w:rsidP="00FB7C1F">
            <w:pPr>
              <w:jc w:val="left"/>
              <w:rPr>
                <w:sz w:val="18"/>
                <w:szCs w:val="18"/>
              </w:rPr>
            </w:pPr>
            <w:r w:rsidRPr="004C78D8">
              <w:rPr>
                <w:sz w:val="18"/>
                <w:szCs w:val="18"/>
              </w:rPr>
              <w:t>Social care receipt W4</w:t>
            </w:r>
          </w:p>
        </w:tc>
        <w:tc>
          <w:tcPr>
            <w:tcW w:w="1842" w:type="dxa"/>
            <w:tcBorders>
              <w:top w:val="nil"/>
              <w:bottom w:val="nil"/>
            </w:tcBorders>
          </w:tcPr>
          <w:p w14:paraId="5450397E" w14:textId="77777777" w:rsidR="00D56826" w:rsidRPr="004C78D8" w:rsidRDefault="00D56826" w:rsidP="00FB7C1F">
            <w:pPr>
              <w:jc w:val="center"/>
              <w:rPr>
                <w:sz w:val="18"/>
                <w:szCs w:val="18"/>
              </w:rPr>
            </w:pPr>
            <w:r w:rsidRPr="004C78D8">
              <w:rPr>
                <w:sz w:val="18"/>
                <w:szCs w:val="18"/>
              </w:rPr>
              <w:t>1.821 (0.408)</w:t>
            </w:r>
          </w:p>
        </w:tc>
        <w:tc>
          <w:tcPr>
            <w:tcW w:w="1560" w:type="dxa"/>
            <w:tcBorders>
              <w:top w:val="nil"/>
              <w:bottom w:val="nil"/>
            </w:tcBorders>
          </w:tcPr>
          <w:p w14:paraId="24BA757C" w14:textId="77777777" w:rsidR="00D56826" w:rsidRPr="004C78D8" w:rsidRDefault="00D56826" w:rsidP="00FB7C1F">
            <w:pPr>
              <w:jc w:val="center"/>
              <w:rPr>
                <w:sz w:val="18"/>
                <w:szCs w:val="18"/>
              </w:rPr>
            </w:pPr>
            <w:r w:rsidRPr="004C78D8">
              <w:rPr>
                <w:sz w:val="18"/>
                <w:szCs w:val="18"/>
              </w:rPr>
              <w:t>&lt;0.001</w:t>
            </w:r>
          </w:p>
        </w:tc>
      </w:tr>
      <w:tr w:rsidR="00D56826" w:rsidRPr="004C78D8" w14:paraId="12567F46" w14:textId="77777777" w:rsidTr="00E35893">
        <w:tc>
          <w:tcPr>
            <w:tcW w:w="3256" w:type="dxa"/>
            <w:tcBorders>
              <w:top w:val="nil"/>
              <w:bottom w:val="nil"/>
            </w:tcBorders>
          </w:tcPr>
          <w:p w14:paraId="675EC409" w14:textId="77777777" w:rsidR="00D56826" w:rsidRPr="004C78D8" w:rsidRDefault="00D56826" w:rsidP="00FB7C1F">
            <w:pPr>
              <w:jc w:val="left"/>
              <w:rPr>
                <w:sz w:val="18"/>
                <w:szCs w:val="18"/>
              </w:rPr>
            </w:pPr>
            <w:r w:rsidRPr="004C78D8">
              <w:rPr>
                <w:sz w:val="18"/>
                <w:szCs w:val="18"/>
              </w:rPr>
              <w:t>OOP care receipt W4</w:t>
            </w:r>
          </w:p>
        </w:tc>
        <w:tc>
          <w:tcPr>
            <w:tcW w:w="1842" w:type="dxa"/>
            <w:tcBorders>
              <w:top w:val="nil"/>
              <w:bottom w:val="nil"/>
            </w:tcBorders>
          </w:tcPr>
          <w:p w14:paraId="399373D9" w14:textId="77777777" w:rsidR="00D56826" w:rsidRPr="004C78D8" w:rsidRDefault="00D56826" w:rsidP="00FB7C1F">
            <w:pPr>
              <w:jc w:val="center"/>
              <w:rPr>
                <w:sz w:val="18"/>
                <w:szCs w:val="18"/>
              </w:rPr>
            </w:pPr>
            <w:r w:rsidRPr="004C78D8">
              <w:rPr>
                <w:sz w:val="18"/>
                <w:szCs w:val="18"/>
              </w:rPr>
              <w:t>1.000 (0.454)</w:t>
            </w:r>
          </w:p>
        </w:tc>
        <w:tc>
          <w:tcPr>
            <w:tcW w:w="1560" w:type="dxa"/>
            <w:tcBorders>
              <w:top w:val="nil"/>
              <w:bottom w:val="nil"/>
            </w:tcBorders>
          </w:tcPr>
          <w:p w14:paraId="68D018DB" w14:textId="77777777" w:rsidR="00D56826" w:rsidRPr="004C78D8" w:rsidRDefault="00D56826" w:rsidP="00FB7C1F">
            <w:pPr>
              <w:jc w:val="center"/>
              <w:rPr>
                <w:sz w:val="18"/>
                <w:szCs w:val="18"/>
              </w:rPr>
            </w:pPr>
            <w:r w:rsidRPr="004C78D8">
              <w:rPr>
                <w:sz w:val="18"/>
                <w:szCs w:val="18"/>
              </w:rPr>
              <w:t>0.028</w:t>
            </w:r>
          </w:p>
        </w:tc>
      </w:tr>
      <w:tr w:rsidR="00D56826" w:rsidRPr="004C78D8" w14:paraId="2C52743D" w14:textId="77777777" w:rsidTr="00E35893">
        <w:tc>
          <w:tcPr>
            <w:tcW w:w="3256" w:type="dxa"/>
            <w:tcBorders>
              <w:top w:val="nil"/>
              <w:bottom w:val="nil"/>
            </w:tcBorders>
          </w:tcPr>
          <w:p w14:paraId="1B5D619F" w14:textId="77777777" w:rsidR="00D56826" w:rsidRPr="004C78D8" w:rsidRDefault="00D56826" w:rsidP="00FB7C1F">
            <w:pPr>
              <w:jc w:val="left"/>
              <w:rPr>
                <w:sz w:val="18"/>
                <w:szCs w:val="18"/>
              </w:rPr>
            </w:pPr>
            <w:r w:rsidRPr="004C78D8">
              <w:rPr>
                <w:sz w:val="18"/>
                <w:szCs w:val="18"/>
              </w:rPr>
              <w:t>Informal care receipt W4</w:t>
            </w:r>
          </w:p>
        </w:tc>
        <w:tc>
          <w:tcPr>
            <w:tcW w:w="1842" w:type="dxa"/>
            <w:tcBorders>
              <w:top w:val="nil"/>
              <w:bottom w:val="nil"/>
            </w:tcBorders>
          </w:tcPr>
          <w:p w14:paraId="6876C549" w14:textId="77777777" w:rsidR="00D56826" w:rsidRPr="004C78D8" w:rsidRDefault="00D56826" w:rsidP="00FB7C1F">
            <w:pPr>
              <w:jc w:val="center"/>
              <w:rPr>
                <w:sz w:val="18"/>
                <w:szCs w:val="18"/>
              </w:rPr>
            </w:pPr>
            <w:r w:rsidRPr="004C78D8">
              <w:rPr>
                <w:sz w:val="18"/>
                <w:szCs w:val="18"/>
              </w:rPr>
              <w:t>1.302 (0.446)</w:t>
            </w:r>
          </w:p>
        </w:tc>
        <w:tc>
          <w:tcPr>
            <w:tcW w:w="1560" w:type="dxa"/>
            <w:tcBorders>
              <w:top w:val="nil"/>
              <w:bottom w:val="nil"/>
            </w:tcBorders>
          </w:tcPr>
          <w:p w14:paraId="2F7B6806" w14:textId="77777777" w:rsidR="00D56826" w:rsidRPr="004C78D8" w:rsidRDefault="00D56826" w:rsidP="00FB7C1F">
            <w:pPr>
              <w:jc w:val="center"/>
              <w:rPr>
                <w:sz w:val="18"/>
                <w:szCs w:val="18"/>
              </w:rPr>
            </w:pPr>
            <w:r w:rsidRPr="004C78D8">
              <w:rPr>
                <w:sz w:val="18"/>
                <w:szCs w:val="18"/>
              </w:rPr>
              <w:t>0.003</w:t>
            </w:r>
          </w:p>
        </w:tc>
      </w:tr>
      <w:tr w:rsidR="00D56826" w:rsidRPr="004C78D8" w14:paraId="1F7A163F" w14:textId="77777777" w:rsidTr="00E35893">
        <w:tc>
          <w:tcPr>
            <w:tcW w:w="6658" w:type="dxa"/>
            <w:gridSpan w:val="3"/>
          </w:tcPr>
          <w:p w14:paraId="2346861C" w14:textId="149130EB" w:rsidR="00E545A9" w:rsidRPr="004C78D8" w:rsidRDefault="00D10D5E" w:rsidP="00FB7C1F">
            <w:pPr>
              <w:rPr>
                <w:sz w:val="18"/>
                <w:szCs w:val="18"/>
              </w:rPr>
            </w:pPr>
            <w:r w:rsidRPr="004C78D8">
              <w:rPr>
                <w:b/>
                <w:bCs/>
                <w:sz w:val="18"/>
                <w:szCs w:val="18"/>
              </w:rPr>
              <w:t>Abbreviation</w:t>
            </w:r>
            <w:r w:rsidR="00E545A9" w:rsidRPr="004C78D8">
              <w:rPr>
                <w:b/>
                <w:bCs/>
                <w:sz w:val="18"/>
                <w:szCs w:val="18"/>
              </w:rPr>
              <w:t>:</w:t>
            </w:r>
            <w:r w:rsidR="00E545A9" w:rsidRPr="004C78D8">
              <w:rPr>
                <w:sz w:val="18"/>
                <w:szCs w:val="18"/>
              </w:rPr>
              <w:t xml:space="preserve"> ELSA: English Longitudinal Study of Ageing; LTC: long-term care; MA fall: fall requiring medical attention; </w:t>
            </w:r>
            <w:r w:rsidR="001C65F6" w:rsidRPr="004C78D8">
              <w:rPr>
                <w:sz w:val="18"/>
                <w:szCs w:val="18"/>
              </w:rPr>
              <w:t xml:space="preserve">OOP: out-of-pocket; </w:t>
            </w:r>
            <w:r w:rsidR="00E545A9" w:rsidRPr="004C78D8">
              <w:rPr>
                <w:sz w:val="18"/>
                <w:szCs w:val="18"/>
              </w:rPr>
              <w:t>Ref: reference; SE: standard error; W4: ELSA Wave 4; W5: ELSA Wave 5</w:t>
            </w:r>
            <w:r w:rsidR="001C65F6" w:rsidRPr="004C78D8">
              <w:rPr>
                <w:sz w:val="18"/>
                <w:szCs w:val="18"/>
              </w:rPr>
              <w:t>.</w:t>
            </w:r>
          </w:p>
          <w:p w14:paraId="6D2AD6AA" w14:textId="202F7DEE" w:rsidR="00D56826" w:rsidRPr="004C78D8" w:rsidRDefault="00E545A9" w:rsidP="00FB7C1F">
            <w:pPr>
              <w:rPr>
                <w:sz w:val="20"/>
                <w:szCs w:val="20"/>
              </w:rPr>
            </w:pPr>
            <w:r w:rsidRPr="004C78D8">
              <w:rPr>
                <w:sz w:val="18"/>
                <w:szCs w:val="18"/>
                <w:vertAlign w:val="superscript"/>
              </w:rPr>
              <w:t>1</w:t>
            </w:r>
            <w:r w:rsidR="00D56826" w:rsidRPr="004C78D8">
              <w:rPr>
                <w:sz w:val="18"/>
                <w:szCs w:val="18"/>
              </w:rPr>
              <w:t xml:space="preserve"> Covariate included in logistic regression is </w:t>
            </w:r>
            <w:r w:rsidR="00BC1B33" w:rsidRPr="004C78D8">
              <w:rPr>
                <w:sz w:val="18"/>
                <w:szCs w:val="18"/>
              </w:rPr>
              <w:t>two-year</w:t>
            </w:r>
            <w:r w:rsidR="00D56826" w:rsidRPr="004C78D8">
              <w:rPr>
                <w:sz w:val="18"/>
                <w:szCs w:val="18"/>
              </w:rPr>
              <w:t xml:space="preserve"> change in frailty measured in ELSA. In model simulation, annuali</w:t>
            </w:r>
            <w:r w:rsidR="00D93ABA" w:rsidRPr="004C78D8">
              <w:rPr>
                <w:sz w:val="18"/>
                <w:szCs w:val="18"/>
              </w:rPr>
              <w:t>s</w:t>
            </w:r>
            <w:r w:rsidR="00D56826" w:rsidRPr="004C78D8">
              <w:rPr>
                <w:sz w:val="18"/>
                <w:szCs w:val="18"/>
              </w:rPr>
              <w:t xml:space="preserve">ed change is used to predict dependent variable. </w:t>
            </w:r>
          </w:p>
        </w:tc>
      </w:tr>
    </w:tbl>
    <w:p w14:paraId="29B42450" w14:textId="77777777" w:rsidR="00D56826" w:rsidRPr="004C78D8" w:rsidRDefault="00D56826" w:rsidP="00FB7C1F">
      <w:r w:rsidRPr="004C78D8">
        <w:t xml:space="preserve"> </w:t>
      </w:r>
    </w:p>
    <w:p w14:paraId="7EE1D817" w14:textId="7F0F249E" w:rsidR="00D56826" w:rsidRPr="004C78D8" w:rsidRDefault="00D56826" w:rsidP="00FB7C1F">
      <w:r w:rsidRPr="004C78D8">
        <w:t xml:space="preserve">In applying the estimated </w:t>
      </w:r>
      <w:r w:rsidR="00983555" w:rsidRPr="004C78D8">
        <w:t xml:space="preserve">admission </w:t>
      </w:r>
      <w:r w:rsidRPr="004C78D8">
        <w:t xml:space="preserve">risk, the estimates were not halved </w:t>
      </w:r>
      <w:r w:rsidR="00DC6F06" w:rsidRPr="004C78D8">
        <w:t xml:space="preserve">for annualisation </w:t>
      </w:r>
      <w:r w:rsidRPr="004C78D8">
        <w:t xml:space="preserve">in the same way that change in frailty estimates were halved. Instead, estimated coefficients were applied to a </w:t>
      </w:r>
      <w:r w:rsidR="00B65C51" w:rsidRPr="004C78D8">
        <w:t>one</w:t>
      </w:r>
      <w:r w:rsidRPr="004C78D8">
        <w:t>-year increase in age and annuali</w:t>
      </w:r>
      <w:r w:rsidR="005642FA" w:rsidRPr="004C78D8">
        <w:t>s</w:t>
      </w:r>
      <w:r w:rsidRPr="004C78D8">
        <w:t>ed change in frailty to obtain a ‘quasi-annuali</w:t>
      </w:r>
      <w:r w:rsidR="005642FA" w:rsidRPr="004C78D8">
        <w:t>s</w:t>
      </w:r>
      <w:r w:rsidRPr="004C78D8">
        <w:t>ed’ risk of LTC admission. According to ELSA, 0.74% of the Wave 4 cohort aged 65</w:t>
      </w:r>
      <w:r w:rsidR="00B65C51" w:rsidRPr="004C78D8">
        <w:t>+</w:t>
      </w:r>
      <w:r w:rsidRPr="004C78D8">
        <w:t xml:space="preserve"> were newly admitted to </w:t>
      </w:r>
      <w:r w:rsidR="00B65C51" w:rsidRPr="004C78D8">
        <w:t>LTC</w:t>
      </w:r>
      <w:r w:rsidRPr="004C78D8">
        <w:t xml:space="preserve"> in the two years between Waves 4-5. This is equivalent to an annuali</w:t>
      </w:r>
      <w:r w:rsidR="005642FA" w:rsidRPr="004C78D8">
        <w:t>s</w:t>
      </w:r>
      <w:r w:rsidRPr="004C78D8">
        <w:t>ed risk of 0.37%, while the quasi-annuali</w:t>
      </w:r>
      <w:r w:rsidR="00B65C51" w:rsidRPr="004C78D8">
        <w:t>s</w:t>
      </w:r>
      <w:r w:rsidRPr="004C78D8">
        <w:t xml:space="preserve">ed risk would </w:t>
      </w:r>
      <w:r w:rsidR="00B65C51" w:rsidRPr="004C78D8">
        <w:t>lie</w:t>
      </w:r>
      <w:r w:rsidRPr="004C78D8">
        <w:t xml:space="preserve"> somewhere between. There are reasons to believe that the </w:t>
      </w:r>
      <w:r w:rsidR="00DC6F06" w:rsidRPr="004C78D8">
        <w:t xml:space="preserve">latter </w:t>
      </w:r>
      <w:r w:rsidRPr="004C78D8">
        <w:t xml:space="preserve">is a better estimate of the true LTC admission risk than the </w:t>
      </w:r>
      <w:r w:rsidR="00B902A8" w:rsidRPr="004C78D8">
        <w:t>two-year</w:t>
      </w:r>
      <w:r w:rsidRPr="004C78D8">
        <w:t xml:space="preserve"> risk or its annuali</w:t>
      </w:r>
      <w:r w:rsidR="005642FA" w:rsidRPr="004C78D8">
        <w:t>s</w:t>
      </w:r>
      <w:r w:rsidRPr="004C78D8">
        <w:t>ed version. First, given the high mortality rate in LTC</w:t>
      </w:r>
      <w:r w:rsidR="005642FA" w:rsidRPr="004C78D8">
        <w:t xml:space="preserve">, </w:t>
      </w:r>
      <w:r w:rsidRPr="004C78D8">
        <w:t xml:space="preserve">the true </w:t>
      </w:r>
      <w:r w:rsidR="00B902A8" w:rsidRPr="004C78D8">
        <w:t>two-year</w:t>
      </w:r>
      <w:r w:rsidRPr="004C78D8">
        <w:t xml:space="preserve"> (annual) risk is likely higher than 0.74% (0.37%) since there would have been LTC admissions between Waves 4-5 </w:t>
      </w:r>
      <w:r w:rsidR="00DC6F06" w:rsidRPr="004C78D8">
        <w:t>that are unobservable</w:t>
      </w:r>
      <w:r w:rsidRPr="004C78D8">
        <w:t xml:space="preserve"> due to participant deaths prior to Wave 5 follow-up. Secondly, it was </w:t>
      </w:r>
      <w:r w:rsidR="00192843" w:rsidRPr="004C78D8">
        <w:t>noted</w:t>
      </w:r>
      <w:r w:rsidRPr="004C78D8">
        <w:t xml:space="preserve"> in Section </w:t>
      </w:r>
      <w:r w:rsidR="00F82FF1" w:rsidRPr="004C78D8">
        <w:t>5</w:t>
      </w:r>
      <w:r w:rsidRPr="004C78D8">
        <w:t>.</w:t>
      </w:r>
      <w:r w:rsidR="00E75C17" w:rsidRPr="004C78D8">
        <w:t>2</w:t>
      </w:r>
      <w:r w:rsidRPr="004C78D8">
        <w:t xml:space="preserve">.2.1 that </w:t>
      </w:r>
      <w:r w:rsidR="005642FA" w:rsidRPr="004C78D8">
        <w:t>ELSA</w:t>
      </w:r>
      <w:r w:rsidRPr="004C78D8">
        <w:t xml:space="preserve"> underestimate</w:t>
      </w:r>
      <w:r w:rsidR="008D66CA" w:rsidRPr="004C78D8">
        <w:t>s</w:t>
      </w:r>
      <w:r w:rsidRPr="004C78D8">
        <w:t xml:space="preserve"> the prevalence of institutionali</w:t>
      </w:r>
      <w:r w:rsidR="005642FA" w:rsidRPr="004C78D8">
        <w:t>s</w:t>
      </w:r>
      <w:r w:rsidRPr="004C78D8">
        <w:t>ation. Thirdly, according to NHS Digital, there were 365 new requests</w:t>
      </w:r>
      <w:r w:rsidR="005642FA" w:rsidRPr="004C78D8">
        <w:t xml:space="preserve"> for Council-supported LTC admission</w:t>
      </w:r>
      <w:r w:rsidRPr="004C78D8">
        <w:t xml:space="preserve"> in 2018/19 </w:t>
      </w:r>
      <w:r w:rsidR="005642FA" w:rsidRPr="004C78D8">
        <w:t xml:space="preserve">in Sheffield </w:t>
      </w:r>
      <w:r w:rsidRPr="004C78D8">
        <w:t>for person</w:t>
      </w:r>
      <w:r w:rsidR="005642FA" w:rsidRPr="004C78D8">
        <w:t>s</w:t>
      </w:r>
      <w:r w:rsidRPr="004C78D8">
        <w:t xml:space="preserve"> aged 65</w:t>
      </w:r>
      <w:r w:rsidR="00B65C51" w:rsidRPr="004C78D8">
        <w:t xml:space="preserve">+ (sheet T11) </w:t>
      </w:r>
      <w:r w:rsidR="00B65C51" w:rsidRPr="004C78D8">
        <w:fldChar w:fldCharType="begin"/>
      </w:r>
      <w:r w:rsidR="00C630FC" w:rsidRPr="004C78D8">
        <w:instrText xml:space="preserve"> ADDIN EN.CITE &lt;EndNote&gt;&lt;Cite&gt;&lt;Author&gt;NHS Digital&lt;/Author&gt;&lt;Year&gt;2019&lt;/Year&gt;&lt;RecNum&gt;138&lt;/RecNum&gt;&lt;DisplayText&gt;[390]&lt;/DisplayText&gt;&lt;record&gt;&lt;rec-number&gt;138&lt;/rec-number&gt;&lt;foreign-keys&gt;&lt;key app="EN" db-id="tdtrdw9aepptzbefsat599syza29sxsd2wsp" timestamp="1599839856"&gt;138&lt;/key&gt;&lt;/foreign-keys&gt;&lt;ref-type name="Journal Article"&gt;17&lt;/ref-type&gt;&lt;contributors&gt;&lt;authors&gt;&lt;author&gt;NHS Digital,&lt;/author&gt;&lt;/authors&gt;&lt;/contributors&gt;&lt;titles&gt;&lt;title&gt;Adult Social Care Activity and Finance Report, England - 2018-19&lt;/title&gt;&lt;/titles&gt;&lt;dates&gt;&lt;year&gt;2019&lt;/year&gt;&lt;/dates&gt;&lt;urls&gt;&lt;/urls&gt;&lt;/record&gt;&lt;/Cite&gt;&lt;/EndNote&gt;</w:instrText>
      </w:r>
      <w:r w:rsidR="00B65C51" w:rsidRPr="004C78D8">
        <w:fldChar w:fldCharType="separate"/>
      </w:r>
      <w:r w:rsidR="00C630FC" w:rsidRPr="004C78D8">
        <w:rPr>
          <w:noProof/>
        </w:rPr>
        <w:t>[390]</w:t>
      </w:r>
      <w:r w:rsidR="00B65C51" w:rsidRPr="004C78D8">
        <w:fldChar w:fldCharType="end"/>
      </w:r>
      <w:r w:rsidR="00B65C51" w:rsidRPr="004C78D8">
        <w:t>; t</w:t>
      </w:r>
      <w:r w:rsidRPr="004C78D8">
        <w:t>his constitutes 0.4% of the population aged 65</w:t>
      </w:r>
      <w:r w:rsidR="00B65C51" w:rsidRPr="004C78D8">
        <w:t>+</w:t>
      </w:r>
      <w:r w:rsidRPr="004C78D8">
        <w:t xml:space="preserve">. As also noted in Section </w:t>
      </w:r>
      <w:r w:rsidR="00F82FF1" w:rsidRPr="004C78D8">
        <w:t>5</w:t>
      </w:r>
      <w:r w:rsidRPr="004C78D8">
        <w:t>.</w:t>
      </w:r>
      <w:r w:rsidR="00E75C17" w:rsidRPr="004C78D8">
        <w:t>2</w:t>
      </w:r>
      <w:r w:rsidRPr="004C78D8">
        <w:t>.2.1, publicly funded LTC admissions account for 56.4% of all LTC admissions if the public-private ratio observed for fall-related LTC admissions hold for other</w:t>
      </w:r>
      <w:r w:rsidR="005642FA" w:rsidRPr="004C78D8">
        <w:t xml:space="preserve"> </w:t>
      </w:r>
      <w:r w:rsidRPr="004C78D8">
        <w:t>cause</w:t>
      </w:r>
      <w:r w:rsidR="005642FA" w:rsidRPr="004C78D8">
        <w:t xml:space="preserve">s </w:t>
      </w:r>
      <w:r w:rsidR="005642FA" w:rsidRPr="004C78D8">
        <w:fldChar w:fldCharType="begin"/>
      </w:r>
      <w:r w:rsidR="00C630FC" w:rsidRPr="004C78D8">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005642FA" w:rsidRPr="004C78D8">
        <w:fldChar w:fldCharType="separate"/>
      </w:r>
      <w:r w:rsidR="00C630FC" w:rsidRPr="004C78D8">
        <w:rPr>
          <w:noProof/>
        </w:rPr>
        <w:t>[216]</w:t>
      </w:r>
      <w:r w:rsidR="005642FA" w:rsidRPr="004C78D8">
        <w:fldChar w:fldCharType="end"/>
      </w:r>
      <w:r w:rsidRPr="004C78D8">
        <w:t xml:space="preserve">. If so, </w:t>
      </w:r>
      <w:r w:rsidR="005642FA" w:rsidRPr="004C78D8">
        <w:t xml:space="preserve">new LTC admissions </w:t>
      </w:r>
      <w:r w:rsidRPr="004C78D8">
        <w:t>would account for around 0.6% of the population aged 65</w:t>
      </w:r>
      <w:r w:rsidR="005D2D39" w:rsidRPr="004C78D8">
        <w:t>+</w:t>
      </w:r>
      <w:r w:rsidRPr="004C78D8">
        <w:t>: i.e., close to the quasi-annuali</w:t>
      </w:r>
      <w:r w:rsidR="005642FA" w:rsidRPr="004C78D8">
        <w:t>s</w:t>
      </w:r>
      <w:r w:rsidRPr="004C78D8">
        <w:t>ed risk within the range 0.37-0.74%.</w:t>
      </w:r>
    </w:p>
    <w:p w14:paraId="392BF20D" w14:textId="43D35EAA" w:rsidR="00D56826" w:rsidRPr="004C78D8" w:rsidRDefault="00D56826" w:rsidP="00FB7C1F">
      <w:r w:rsidRPr="004C78D8">
        <w:t xml:space="preserve">In costing the LTC admission, the </w:t>
      </w:r>
      <w:r w:rsidR="001A7611" w:rsidRPr="004C78D8">
        <w:t>PHE</w:t>
      </w:r>
      <w:r w:rsidRPr="004C78D8">
        <w:t xml:space="preserve"> model divided the admissions into three categories </w:t>
      </w:r>
      <w:r w:rsidR="001A7611" w:rsidRPr="004C78D8">
        <w:fldChar w:fldCharType="begin"/>
      </w:r>
      <w:r w:rsidR="00C630FC" w:rsidRPr="004C78D8">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001A7611" w:rsidRPr="004C78D8">
        <w:fldChar w:fldCharType="separate"/>
      </w:r>
      <w:r w:rsidR="00C630FC" w:rsidRPr="004C78D8">
        <w:rPr>
          <w:noProof/>
        </w:rPr>
        <w:t>[216]</w:t>
      </w:r>
      <w:r w:rsidR="001A7611" w:rsidRPr="004C78D8">
        <w:fldChar w:fldCharType="end"/>
      </w:r>
      <w:r w:rsidRPr="004C78D8">
        <w:t xml:space="preserve">: </w:t>
      </w:r>
    </w:p>
    <w:p w14:paraId="65F1B4C3" w14:textId="10392361" w:rsidR="00D56826" w:rsidRPr="004C78D8" w:rsidRDefault="00D56826" w:rsidP="00FB7C1F">
      <w:pPr>
        <w:pStyle w:val="ListParagraph"/>
        <w:numPr>
          <w:ilvl w:val="0"/>
          <w:numId w:val="9"/>
        </w:numPr>
      </w:pPr>
      <w:r w:rsidRPr="004C78D8">
        <w:t>43.6% of LTC admissions are into private care homes and require no full-time nursing care</w:t>
      </w:r>
      <w:r w:rsidR="00746BD8" w:rsidRPr="004C78D8">
        <w:t xml:space="preserve"> funded by the NHS</w:t>
      </w:r>
      <w:r w:rsidRPr="004C78D8">
        <w:t>. All residential costs are self-funded</w:t>
      </w:r>
      <w:r w:rsidR="00746BD8" w:rsidRPr="004C78D8">
        <w:t xml:space="preserve"> since</w:t>
      </w:r>
      <w:r w:rsidRPr="004C78D8">
        <w:t xml:space="preserve"> </w:t>
      </w:r>
      <w:r w:rsidR="00746BD8" w:rsidRPr="004C78D8">
        <w:t>persons</w:t>
      </w:r>
      <w:r w:rsidRPr="004C78D8">
        <w:t xml:space="preserve"> in this category do not meet the </w:t>
      </w:r>
      <w:r w:rsidR="00746BD8" w:rsidRPr="004C78D8">
        <w:t>condition</w:t>
      </w:r>
      <w:r w:rsidRPr="004C78D8">
        <w:t xml:space="preserve"> for local authority financial support</w:t>
      </w:r>
      <w:r w:rsidR="00746BD8" w:rsidRPr="004C78D8">
        <w:t xml:space="preserve">: </w:t>
      </w:r>
      <w:r w:rsidRPr="004C78D8">
        <w:t>savings/capital of £23,250</w:t>
      </w:r>
      <w:r w:rsidR="00746BD8" w:rsidRPr="004C78D8">
        <w:t xml:space="preserve"> or less</w:t>
      </w:r>
      <w:r w:rsidRPr="004C78D8">
        <w:t xml:space="preserve"> </w:t>
      </w:r>
      <w:r w:rsidR="001A7611" w:rsidRPr="004C78D8">
        <w:fldChar w:fldCharType="begin"/>
      </w:r>
      <w:r w:rsidR="00C630FC" w:rsidRPr="004C78D8">
        <w:instrText xml:space="preserve"> ADDIN EN.CITE &lt;EndNote&gt;&lt;Cite&gt;&lt;Author&gt;Age UK&lt;/Author&gt;&lt;Year&gt;2020&lt;/Year&gt;&lt;RecNum&gt;146&lt;/RecNum&gt;&lt;DisplayText&gt;[404]&lt;/DisplayText&gt;&lt;record&gt;&lt;rec-number&gt;146&lt;/rec-number&gt;&lt;foreign-keys&gt;&lt;key app="EN" db-id="tdtrdw9aepptzbefsat599syza29sxsd2wsp" timestamp="1603311179"&gt;146&lt;/key&gt;&lt;/foreign-keys&gt;&lt;ref-type name="Web Page"&gt;12&lt;/ref-type&gt;&lt;contributors&gt;&lt;authors&gt;&lt;author&gt;Age UK,&lt;/author&gt;&lt;/authors&gt;&lt;/contributors&gt;&lt;titles&gt;&lt;title&gt;How much does care cost?&lt;/title&gt;&lt;/titles&gt;&lt;dates&gt;&lt;year&gt;2020&lt;/year&gt;&lt;/dates&gt;&lt;urls&gt;&lt;related-urls&gt;&lt;url&gt;https://www.ageuk.org.uk/information-advice/care/paying-for-care/local-care-costs/&lt;/url&gt;&lt;/related-urls&gt;&lt;/urls&gt;&lt;/record&gt;&lt;/Cite&gt;&lt;/EndNote&gt;</w:instrText>
      </w:r>
      <w:r w:rsidR="001A7611" w:rsidRPr="004C78D8">
        <w:fldChar w:fldCharType="separate"/>
      </w:r>
      <w:r w:rsidR="00C630FC" w:rsidRPr="004C78D8">
        <w:rPr>
          <w:noProof/>
        </w:rPr>
        <w:t>[404]</w:t>
      </w:r>
      <w:r w:rsidR="001A7611" w:rsidRPr="004C78D8">
        <w:fldChar w:fldCharType="end"/>
      </w:r>
      <w:r w:rsidRPr="004C78D8">
        <w:t xml:space="preserve">.  </w:t>
      </w:r>
    </w:p>
    <w:p w14:paraId="04B08718" w14:textId="34EB49EB" w:rsidR="00D56826" w:rsidRPr="004C78D8" w:rsidRDefault="00D56826" w:rsidP="00FB7C1F">
      <w:pPr>
        <w:pStyle w:val="ListParagraph"/>
        <w:numPr>
          <w:ilvl w:val="0"/>
          <w:numId w:val="9"/>
        </w:numPr>
      </w:pPr>
      <w:r w:rsidRPr="004C78D8">
        <w:t xml:space="preserve">40.8% of LTC admissions are into nursing homes </w:t>
      </w:r>
      <w:r w:rsidR="00746BD8" w:rsidRPr="004C78D8">
        <w:t>with</w:t>
      </w:r>
      <w:r w:rsidRPr="004C78D8">
        <w:t xml:space="preserve"> full-time nursing care</w:t>
      </w:r>
      <w:r w:rsidR="0016674C" w:rsidRPr="004C78D8">
        <w:t xml:space="preserve"> funded by the NHS</w:t>
      </w:r>
      <w:r w:rsidRPr="004C78D8">
        <w:t xml:space="preserve">. Residential costs are shared by private savings and local authority. The extent of local authority funding is determined by individual means. In England, individuals with savings below £14,250 would qualify for full funding. Those with savings between £14,250 and £23,250 would quality for partial funding </w:t>
      </w:r>
      <w:r w:rsidR="001A7611" w:rsidRPr="004C78D8">
        <w:fldChar w:fldCharType="begin"/>
      </w:r>
      <w:r w:rsidR="00C630FC" w:rsidRPr="004C78D8">
        <w:instrText xml:space="preserve"> ADDIN EN.CITE &lt;EndNote&gt;&lt;Cite&gt;&lt;Author&gt;Age UK&lt;/Author&gt;&lt;Year&gt;2020&lt;/Year&gt;&lt;RecNum&gt;146&lt;/RecNum&gt;&lt;DisplayText&gt;[404]&lt;/DisplayText&gt;&lt;record&gt;&lt;rec-number&gt;146&lt;/rec-number&gt;&lt;foreign-keys&gt;&lt;key app="EN" db-id="tdtrdw9aepptzbefsat599syza29sxsd2wsp" timestamp="1603311179"&gt;146&lt;/key&gt;&lt;/foreign-keys&gt;&lt;ref-type name="Web Page"&gt;12&lt;/ref-type&gt;&lt;contributors&gt;&lt;authors&gt;&lt;author&gt;Age UK,&lt;/author&gt;&lt;/authors&gt;&lt;/contributors&gt;&lt;titles&gt;&lt;title&gt;How much does care cost?&lt;/title&gt;&lt;/titles&gt;&lt;dates&gt;&lt;year&gt;2020&lt;/year&gt;&lt;/dates&gt;&lt;urls&gt;&lt;related-urls&gt;&lt;url&gt;https://www.ageuk.org.uk/information-advice/care/paying-for-care/local-care-costs/&lt;/url&gt;&lt;/related-urls&gt;&lt;/urls&gt;&lt;/record&gt;&lt;/Cite&gt;&lt;/EndNote&gt;</w:instrText>
      </w:r>
      <w:r w:rsidR="001A7611" w:rsidRPr="004C78D8">
        <w:fldChar w:fldCharType="separate"/>
      </w:r>
      <w:r w:rsidR="00C630FC" w:rsidRPr="004C78D8">
        <w:rPr>
          <w:noProof/>
        </w:rPr>
        <w:t>[404]</w:t>
      </w:r>
      <w:r w:rsidR="001A7611" w:rsidRPr="004C78D8">
        <w:fldChar w:fldCharType="end"/>
      </w:r>
      <w:r w:rsidRPr="004C78D8">
        <w:t xml:space="preserve">. The </w:t>
      </w:r>
      <w:r w:rsidR="001A7611" w:rsidRPr="004C78D8">
        <w:t>PHE</w:t>
      </w:r>
      <w:r w:rsidRPr="004C78D8">
        <w:t xml:space="preserve"> model used an estimate from literature that the average </w:t>
      </w:r>
      <w:r w:rsidR="0016674C" w:rsidRPr="004C78D8">
        <w:t xml:space="preserve">local authority </w:t>
      </w:r>
      <w:r w:rsidRPr="004C78D8">
        <w:t xml:space="preserve">share of </w:t>
      </w:r>
      <w:r w:rsidR="001A7611" w:rsidRPr="004C78D8">
        <w:t xml:space="preserve">the </w:t>
      </w:r>
      <w:r w:rsidRPr="004C78D8">
        <w:t xml:space="preserve">residential cost is two-thirds while the rest is borne by private expenditure </w:t>
      </w:r>
      <w:r w:rsidR="001A7611" w:rsidRPr="004C78D8">
        <w:fldChar w:fldCharType="begin"/>
      </w:r>
      <w:r w:rsidR="00C630FC" w:rsidRPr="004C78D8">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001A7611" w:rsidRPr="004C78D8">
        <w:fldChar w:fldCharType="separate"/>
      </w:r>
      <w:r w:rsidR="00C630FC" w:rsidRPr="004C78D8">
        <w:rPr>
          <w:noProof/>
        </w:rPr>
        <w:t>[216]</w:t>
      </w:r>
      <w:r w:rsidR="001A7611" w:rsidRPr="004C78D8">
        <w:fldChar w:fldCharType="end"/>
      </w:r>
      <w:r w:rsidRPr="004C78D8">
        <w:t xml:space="preserve">. </w:t>
      </w:r>
    </w:p>
    <w:p w14:paraId="033B4690" w14:textId="59C5A098" w:rsidR="00D56826" w:rsidRPr="004C78D8" w:rsidRDefault="00D56826" w:rsidP="00FB7C1F">
      <w:pPr>
        <w:pStyle w:val="ListParagraph"/>
        <w:numPr>
          <w:ilvl w:val="0"/>
          <w:numId w:val="9"/>
        </w:numPr>
      </w:pPr>
      <w:r w:rsidRPr="004C78D8">
        <w:t xml:space="preserve">15.6% of LTC admissions are into residential facilities and require no full-time nursing care. Residential costs are shared by private savings and local authority as for category (2). The </w:t>
      </w:r>
      <w:r w:rsidR="001A7611" w:rsidRPr="004C78D8">
        <w:t>PHE</w:t>
      </w:r>
      <w:r w:rsidRPr="004C78D8">
        <w:t xml:space="preserve"> model again assumed that the public sector incur</w:t>
      </w:r>
      <w:r w:rsidR="0016674C" w:rsidRPr="004C78D8">
        <w:t>s</w:t>
      </w:r>
      <w:r w:rsidRPr="004C78D8">
        <w:t xml:space="preserve"> two-thirds of the residential cost </w:t>
      </w:r>
      <w:r w:rsidR="001A7611" w:rsidRPr="004C78D8">
        <w:fldChar w:fldCharType="begin"/>
      </w:r>
      <w:r w:rsidR="00C630FC" w:rsidRPr="004C78D8">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001A7611" w:rsidRPr="004C78D8">
        <w:fldChar w:fldCharType="separate"/>
      </w:r>
      <w:r w:rsidR="00C630FC" w:rsidRPr="004C78D8">
        <w:rPr>
          <w:noProof/>
        </w:rPr>
        <w:t>[216]</w:t>
      </w:r>
      <w:r w:rsidR="001A7611" w:rsidRPr="004C78D8">
        <w:fldChar w:fldCharType="end"/>
      </w:r>
      <w:r w:rsidRPr="004C78D8">
        <w:t>.</w:t>
      </w:r>
    </w:p>
    <w:p w14:paraId="140EC78D" w14:textId="37AA0B1A" w:rsidR="00D56826" w:rsidRPr="004C78D8" w:rsidRDefault="00D56826" w:rsidP="00FB7C1F">
      <w:r w:rsidRPr="004C78D8">
        <w:t xml:space="preserve">In this model, category (1) </w:t>
      </w:r>
      <w:r w:rsidR="0016674C" w:rsidRPr="004C78D8">
        <w:t xml:space="preserve">admissions </w:t>
      </w:r>
      <w:r w:rsidRPr="004C78D8">
        <w:t xml:space="preserve">are assumed to occur only among those in the most </w:t>
      </w:r>
      <w:r w:rsidR="001C7E01" w:rsidRPr="004C78D8">
        <w:t xml:space="preserve">and the second most </w:t>
      </w:r>
      <w:r w:rsidRPr="004C78D8">
        <w:t xml:space="preserve">privileged </w:t>
      </w:r>
      <w:r w:rsidR="005D2D39" w:rsidRPr="004C78D8">
        <w:t>SES</w:t>
      </w:r>
      <w:r w:rsidRPr="004C78D8">
        <w:t xml:space="preserve"> quartiles. According to </w:t>
      </w:r>
      <w:r w:rsidR="00EE1F6B" w:rsidRPr="004C78D8">
        <w:t>ELSA</w:t>
      </w:r>
      <w:r w:rsidRPr="004C78D8">
        <w:t>, 52.5% of all new LTC admissions occurred among individuals in the</w:t>
      </w:r>
      <w:r w:rsidR="001C7E01" w:rsidRPr="004C78D8">
        <w:t xml:space="preserve">se </w:t>
      </w:r>
      <w:r w:rsidRPr="004C78D8">
        <w:t xml:space="preserve">quartiles which is a higher number of admissions than category (1) admissions alone (43.6% of all new admissions). Hence, </w:t>
      </w:r>
      <w:r w:rsidR="001C7E01" w:rsidRPr="004C78D8">
        <w:t>category (2)</w:t>
      </w:r>
      <w:r w:rsidRPr="004C78D8">
        <w:t xml:space="preserve"> admissions </w:t>
      </w:r>
      <w:r w:rsidR="001C7E01" w:rsidRPr="004C78D8">
        <w:t xml:space="preserve">were </w:t>
      </w:r>
      <w:r w:rsidRPr="004C78D8">
        <w:t xml:space="preserve">assumed to make up the </w:t>
      </w:r>
      <w:r w:rsidR="001C7E01" w:rsidRPr="004C78D8">
        <w:t>shortfall</w:t>
      </w:r>
      <w:r w:rsidRPr="004C78D8">
        <w:t xml:space="preserve">. If so, category (2) admissions account for 17.0% of all LTC admissions in the upper-half quartiles. </w:t>
      </w:r>
      <w:r w:rsidR="001378D4" w:rsidRPr="004C78D8">
        <w:t>Hence</w:t>
      </w:r>
      <w:r w:rsidRPr="004C78D8">
        <w:t xml:space="preserve">, in Table </w:t>
      </w:r>
      <w:r w:rsidR="00F82FF1" w:rsidRPr="004C78D8">
        <w:t>5</w:t>
      </w:r>
      <w:r w:rsidR="00C001EA" w:rsidRPr="004C78D8">
        <w:t>.4</w:t>
      </w:r>
      <w:r w:rsidR="00F82FF1" w:rsidRPr="004C78D8">
        <w:t>7</w:t>
      </w:r>
      <w:r w:rsidRPr="004C78D8">
        <w:t>, 17.0% of LTC residents in the 1</w:t>
      </w:r>
      <w:r w:rsidRPr="004C78D8">
        <w:rPr>
          <w:vertAlign w:val="superscript"/>
        </w:rPr>
        <w:t>st</w:t>
      </w:r>
      <w:r w:rsidRPr="004C78D8">
        <w:t xml:space="preserve"> and 2</w:t>
      </w:r>
      <w:r w:rsidRPr="004C78D8">
        <w:rPr>
          <w:vertAlign w:val="superscript"/>
        </w:rPr>
        <w:t>nd</w:t>
      </w:r>
      <w:r w:rsidRPr="004C78D8">
        <w:t xml:space="preserve"> </w:t>
      </w:r>
      <w:r w:rsidR="001378D4" w:rsidRPr="004C78D8">
        <w:t>SES</w:t>
      </w:r>
      <w:r w:rsidRPr="004C78D8">
        <w:t xml:space="preserve"> quartiles require </w:t>
      </w:r>
      <w:r w:rsidR="001378D4" w:rsidRPr="004C78D8">
        <w:t>NHS-funded</w:t>
      </w:r>
      <w:r w:rsidRPr="004C78D8">
        <w:t xml:space="preserve"> nursing care</w:t>
      </w:r>
      <w:r w:rsidR="001378D4" w:rsidRPr="004C78D8">
        <w:t xml:space="preserve"> under category (2) admission</w:t>
      </w:r>
      <w:r w:rsidRPr="004C78D8">
        <w:t xml:space="preserve">. For the other 83.0%, all residential care costs </w:t>
      </w:r>
      <w:r w:rsidR="002F2411" w:rsidRPr="004C78D8">
        <w:t>are</w:t>
      </w:r>
      <w:r w:rsidRPr="004C78D8">
        <w:t xml:space="preserve"> self-funded</w:t>
      </w:r>
      <w:r w:rsidR="001378D4" w:rsidRPr="004C78D8">
        <w:t xml:space="preserve"> and no nursing care costs are incurred.</w:t>
      </w:r>
    </w:p>
    <w:tbl>
      <w:tblPr>
        <w:tblStyle w:val="TableGrid"/>
        <w:tblW w:w="0" w:type="auto"/>
        <w:tblInd w:w="-5" w:type="dxa"/>
        <w:tblLook w:val="04A0" w:firstRow="1" w:lastRow="0" w:firstColumn="1" w:lastColumn="0" w:noHBand="0" w:noVBand="1"/>
      </w:tblPr>
      <w:tblGrid>
        <w:gridCol w:w="1546"/>
        <w:gridCol w:w="2106"/>
        <w:gridCol w:w="2297"/>
        <w:gridCol w:w="1843"/>
      </w:tblGrid>
      <w:tr w:rsidR="00D56826" w:rsidRPr="004C78D8" w14:paraId="1C7D8991" w14:textId="77777777" w:rsidTr="00E35893">
        <w:tc>
          <w:tcPr>
            <w:tcW w:w="7792" w:type="dxa"/>
            <w:gridSpan w:val="4"/>
          </w:tcPr>
          <w:p w14:paraId="160A1969" w14:textId="5E65937F" w:rsidR="00D56826" w:rsidRPr="004C78D8" w:rsidRDefault="00D56826" w:rsidP="00FB7C1F">
            <w:pPr>
              <w:jc w:val="left"/>
              <w:rPr>
                <w:b/>
                <w:bCs/>
                <w:sz w:val="20"/>
                <w:szCs w:val="20"/>
              </w:rPr>
            </w:pPr>
            <w:r w:rsidRPr="004C78D8">
              <w:rPr>
                <w:b/>
                <w:bCs/>
              </w:rPr>
              <w:t xml:space="preserve">Table </w:t>
            </w:r>
            <w:r w:rsidR="00F82FF1" w:rsidRPr="004C78D8">
              <w:rPr>
                <w:b/>
                <w:bCs/>
              </w:rPr>
              <w:t>5</w:t>
            </w:r>
            <w:r w:rsidR="00C001EA" w:rsidRPr="004C78D8">
              <w:rPr>
                <w:b/>
                <w:bCs/>
              </w:rPr>
              <w:t>.4</w:t>
            </w:r>
            <w:r w:rsidR="00F82FF1" w:rsidRPr="004C78D8">
              <w:rPr>
                <w:b/>
                <w:bCs/>
              </w:rPr>
              <w:t>7</w:t>
            </w:r>
            <w:r w:rsidRPr="004C78D8">
              <w:t xml:space="preserve"> Cost and health outcomes in long-term care admission</w:t>
            </w:r>
            <w:r w:rsidR="00EA70EF" w:rsidRPr="004C78D8">
              <w:t>.</w:t>
            </w:r>
          </w:p>
        </w:tc>
      </w:tr>
      <w:tr w:rsidR="00D56826" w:rsidRPr="004C78D8" w14:paraId="1863C008" w14:textId="77777777" w:rsidTr="00E35893">
        <w:tc>
          <w:tcPr>
            <w:tcW w:w="1546" w:type="dxa"/>
          </w:tcPr>
          <w:p w14:paraId="171350E7" w14:textId="77777777" w:rsidR="00D56826" w:rsidRPr="004C78D8" w:rsidRDefault="00D56826" w:rsidP="00FB7C1F">
            <w:pPr>
              <w:jc w:val="left"/>
              <w:rPr>
                <w:b/>
                <w:bCs/>
                <w:sz w:val="20"/>
                <w:szCs w:val="20"/>
              </w:rPr>
            </w:pPr>
            <w:r w:rsidRPr="004C78D8">
              <w:rPr>
                <w:b/>
                <w:bCs/>
                <w:sz w:val="20"/>
                <w:szCs w:val="20"/>
              </w:rPr>
              <w:t>Social quartile</w:t>
            </w:r>
          </w:p>
        </w:tc>
        <w:tc>
          <w:tcPr>
            <w:tcW w:w="2106" w:type="dxa"/>
          </w:tcPr>
          <w:p w14:paraId="5B135D7F" w14:textId="77777777" w:rsidR="00D56826" w:rsidRPr="004C78D8" w:rsidRDefault="00D56826" w:rsidP="00FB7C1F">
            <w:pPr>
              <w:jc w:val="left"/>
              <w:rPr>
                <w:b/>
                <w:bCs/>
                <w:sz w:val="20"/>
                <w:szCs w:val="20"/>
              </w:rPr>
            </w:pPr>
            <w:r w:rsidRPr="004C78D8">
              <w:rPr>
                <w:b/>
                <w:bCs/>
                <w:sz w:val="20"/>
                <w:szCs w:val="20"/>
              </w:rPr>
              <w:t>Publicly funded care component</w:t>
            </w:r>
          </w:p>
        </w:tc>
        <w:tc>
          <w:tcPr>
            <w:tcW w:w="2297" w:type="dxa"/>
          </w:tcPr>
          <w:p w14:paraId="10F6B817" w14:textId="77777777" w:rsidR="00D56826" w:rsidRPr="004C78D8" w:rsidRDefault="00D56826" w:rsidP="00FB7C1F">
            <w:pPr>
              <w:jc w:val="left"/>
              <w:rPr>
                <w:b/>
                <w:bCs/>
                <w:sz w:val="20"/>
                <w:szCs w:val="20"/>
              </w:rPr>
            </w:pPr>
            <w:r w:rsidRPr="004C78D8">
              <w:rPr>
                <w:b/>
                <w:bCs/>
                <w:sz w:val="20"/>
                <w:szCs w:val="20"/>
              </w:rPr>
              <w:t>Expected public sector (self-funded) cost</w:t>
            </w:r>
            <w:r w:rsidRPr="004C78D8">
              <w:rPr>
                <w:b/>
                <w:bCs/>
                <w:sz w:val="20"/>
                <w:szCs w:val="20"/>
                <w:vertAlign w:val="superscript"/>
              </w:rPr>
              <w:t>1</w:t>
            </w:r>
          </w:p>
        </w:tc>
        <w:tc>
          <w:tcPr>
            <w:tcW w:w="1843" w:type="dxa"/>
          </w:tcPr>
          <w:p w14:paraId="640113DC" w14:textId="77777777" w:rsidR="00D56826" w:rsidRPr="004C78D8" w:rsidRDefault="00D56826" w:rsidP="00FB7C1F">
            <w:pPr>
              <w:jc w:val="left"/>
              <w:rPr>
                <w:b/>
                <w:bCs/>
                <w:sz w:val="20"/>
                <w:szCs w:val="20"/>
              </w:rPr>
            </w:pPr>
            <w:r w:rsidRPr="004C78D8">
              <w:rPr>
                <w:b/>
                <w:bCs/>
                <w:sz w:val="20"/>
                <w:szCs w:val="20"/>
              </w:rPr>
              <w:t>Remaining QALY</w:t>
            </w:r>
            <w:r w:rsidRPr="004C78D8">
              <w:rPr>
                <w:b/>
                <w:bCs/>
                <w:sz w:val="20"/>
                <w:szCs w:val="20"/>
                <w:vertAlign w:val="superscript"/>
              </w:rPr>
              <w:t>2</w:t>
            </w:r>
          </w:p>
        </w:tc>
      </w:tr>
      <w:tr w:rsidR="00D56826" w:rsidRPr="004C78D8" w14:paraId="33A68F75" w14:textId="77777777" w:rsidTr="00E35893">
        <w:tc>
          <w:tcPr>
            <w:tcW w:w="1546" w:type="dxa"/>
          </w:tcPr>
          <w:p w14:paraId="45CAB5F8" w14:textId="77777777" w:rsidR="00D56826" w:rsidRPr="004C78D8" w:rsidRDefault="00D56826" w:rsidP="00FB7C1F">
            <w:pPr>
              <w:jc w:val="left"/>
              <w:rPr>
                <w:sz w:val="20"/>
                <w:szCs w:val="20"/>
              </w:rPr>
            </w:pPr>
            <w:r w:rsidRPr="004C78D8">
              <w:rPr>
                <w:sz w:val="20"/>
                <w:szCs w:val="20"/>
              </w:rPr>
              <w:t>Most privileged</w:t>
            </w:r>
          </w:p>
        </w:tc>
        <w:tc>
          <w:tcPr>
            <w:tcW w:w="2106" w:type="dxa"/>
          </w:tcPr>
          <w:p w14:paraId="0CB3B461" w14:textId="77777777" w:rsidR="00D56826" w:rsidRPr="004C78D8" w:rsidRDefault="00D56826" w:rsidP="00FB7C1F">
            <w:pPr>
              <w:jc w:val="left"/>
              <w:rPr>
                <w:sz w:val="20"/>
                <w:szCs w:val="20"/>
              </w:rPr>
            </w:pPr>
            <w:r w:rsidRPr="004C78D8">
              <w:rPr>
                <w:sz w:val="20"/>
                <w:szCs w:val="20"/>
              </w:rPr>
              <w:t>17.0% need NHS nursing care; 0% of residential care cost</w:t>
            </w:r>
          </w:p>
        </w:tc>
        <w:tc>
          <w:tcPr>
            <w:tcW w:w="2297" w:type="dxa"/>
          </w:tcPr>
          <w:p w14:paraId="651B9313" w14:textId="77777777" w:rsidR="00D56826" w:rsidRPr="004C78D8" w:rsidRDefault="00D56826" w:rsidP="00FB7C1F">
            <w:pPr>
              <w:jc w:val="left"/>
              <w:rPr>
                <w:sz w:val="20"/>
                <w:szCs w:val="20"/>
              </w:rPr>
            </w:pPr>
            <w:r w:rsidRPr="004C78D8">
              <w:rPr>
                <w:sz w:val="20"/>
                <w:szCs w:val="20"/>
              </w:rPr>
              <w:t>£2,809 (£81,138)</w:t>
            </w:r>
          </w:p>
        </w:tc>
        <w:tc>
          <w:tcPr>
            <w:tcW w:w="1843" w:type="dxa"/>
          </w:tcPr>
          <w:p w14:paraId="6DE635B0" w14:textId="77777777" w:rsidR="00D56826" w:rsidRPr="004C78D8" w:rsidRDefault="00D56826" w:rsidP="00FB7C1F">
            <w:pPr>
              <w:jc w:val="left"/>
              <w:rPr>
                <w:sz w:val="20"/>
                <w:szCs w:val="20"/>
              </w:rPr>
            </w:pPr>
            <w:r w:rsidRPr="004C78D8">
              <w:rPr>
                <w:sz w:val="20"/>
                <w:szCs w:val="20"/>
              </w:rPr>
              <w:t>0.958</w:t>
            </w:r>
          </w:p>
        </w:tc>
      </w:tr>
      <w:tr w:rsidR="00D56826" w:rsidRPr="004C78D8" w14:paraId="7FC8BCC7" w14:textId="77777777" w:rsidTr="00E35893">
        <w:tc>
          <w:tcPr>
            <w:tcW w:w="1546" w:type="dxa"/>
          </w:tcPr>
          <w:p w14:paraId="17DA5259" w14:textId="77777777" w:rsidR="00D56826" w:rsidRPr="004C78D8" w:rsidRDefault="00D56826" w:rsidP="00FB7C1F">
            <w:pPr>
              <w:jc w:val="left"/>
              <w:rPr>
                <w:sz w:val="20"/>
                <w:szCs w:val="20"/>
              </w:rPr>
            </w:pPr>
            <w:r w:rsidRPr="004C78D8">
              <w:rPr>
                <w:sz w:val="20"/>
                <w:szCs w:val="20"/>
              </w:rPr>
              <w:t>2</w:t>
            </w:r>
            <w:r w:rsidRPr="004C78D8">
              <w:rPr>
                <w:sz w:val="20"/>
                <w:szCs w:val="20"/>
                <w:vertAlign w:val="superscript"/>
              </w:rPr>
              <w:t>nd</w:t>
            </w:r>
            <w:r w:rsidRPr="004C78D8">
              <w:rPr>
                <w:sz w:val="20"/>
                <w:szCs w:val="20"/>
              </w:rPr>
              <w:t xml:space="preserve"> quartile</w:t>
            </w:r>
          </w:p>
        </w:tc>
        <w:tc>
          <w:tcPr>
            <w:tcW w:w="2106" w:type="dxa"/>
          </w:tcPr>
          <w:p w14:paraId="2D95E7D1" w14:textId="77777777" w:rsidR="00D56826" w:rsidRPr="004C78D8" w:rsidRDefault="00D56826" w:rsidP="00FB7C1F">
            <w:pPr>
              <w:jc w:val="left"/>
              <w:rPr>
                <w:sz w:val="20"/>
                <w:szCs w:val="20"/>
              </w:rPr>
            </w:pPr>
            <w:r w:rsidRPr="004C78D8">
              <w:rPr>
                <w:sz w:val="20"/>
                <w:szCs w:val="20"/>
              </w:rPr>
              <w:t>17.0% need NHS nursing care; 0% of residential care cost</w:t>
            </w:r>
          </w:p>
        </w:tc>
        <w:tc>
          <w:tcPr>
            <w:tcW w:w="2297" w:type="dxa"/>
          </w:tcPr>
          <w:p w14:paraId="6AEAFB57" w14:textId="77777777" w:rsidR="00D56826" w:rsidRPr="004C78D8" w:rsidRDefault="00D56826" w:rsidP="00FB7C1F">
            <w:pPr>
              <w:jc w:val="left"/>
              <w:rPr>
                <w:sz w:val="20"/>
                <w:szCs w:val="20"/>
              </w:rPr>
            </w:pPr>
            <w:r w:rsidRPr="004C78D8">
              <w:rPr>
                <w:sz w:val="20"/>
                <w:szCs w:val="20"/>
              </w:rPr>
              <w:t>£2,809 (£81,138)</w:t>
            </w:r>
          </w:p>
        </w:tc>
        <w:tc>
          <w:tcPr>
            <w:tcW w:w="1843" w:type="dxa"/>
          </w:tcPr>
          <w:p w14:paraId="53B91E35" w14:textId="77777777" w:rsidR="00D56826" w:rsidRPr="004C78D8" w:rsidRDefault="00D56826" w:rsidP="00FB7C1F">
            <w:pPr>
              <w:jc w:val="left"/>
              <w:rPr>
                <w:sz w:val="20"/>
                <w:szCs w:val="20"/>
              </w:rPr>
            </w:pPr>
            <w:r w:rsidRPr="004C78D8">
              <w:rPr>
                <w:sz w:val="20"/>
                <w:szCs w:val="20"/>
              </w:rPr>
              <w:t>0.958</w:t>
            </w:r>
          </w:p>
        </w:tc>
      </w:tr>
      <w:tr w:rsidR="00D56826" w:rsidRPr="004C78D8" w14:paraId="276EEE09" w14:textId="77777777" w:rsidTr="00E35893">
        <w:tc>
          <w:tcPr>
            <w:tcW w:w="1546" w:type="dxa"/>
          </w:tcPr>
          <w:p w14:paraId="52FF2337" w14:textId="77777777" w:rsidR="00D56826" w:rsidRPr="004C78D8" w:rsidRDefault="00D56826" w:rsidP="00FB7C1F">
            <w:pPr>
              <w:jc w:val="left"/>
              <w:rPr>
                <w:sz w:val="20"/>
                <w:szCs w:val="20"/>
              </w:rPr>
            </w:pPr>
            <w:r w:rsidRPr="004C78D8">
              <w:rPr>
                <w:sz w:val="20"/>
                <w:szCs w:val="20"/>
              </w:rPr>
              <w:t>3</w:t>
            </w:r>
            <w:r w:rsidRPr="004C78D8">
              <w:rPr>
                <w:sz w:val="20"/>
                <w:szCs w:val="20"/>
                <w:vertAlign w:val="superscript"/>
              </w:rPr>
              <w:t>rd</w:t>
            </w:r>
            <w:r w:rsidRPr="004C78D8">
              <w:rPr>
                <w:sz w:val="20"/>
                <w:szCs w:val="20"/>
              </w:rPr>
              <w:t xml:space="preserve"> quartile</w:t>
            </w:r>
          </w:p>
        </w:tc>
        <w:tc>
          <w:tcPr>
            <w:tcW w:w="2106" w:type="dxa"/>
          </w:tcPr>
          <w:p w14:paraId="20F6D7D0" w14:textId="77777777" w:rsidR="00D56826" w:rsidRPr="004C78D8" w:rsidRDefault="00D56826" w:rsidP="00FB7C1F">
            <w:pPr>
              <w:jc w:val="left"/>
              <w:rPr>
                <w:sz w:val="20"/>
                <w:szCs w:val="20"/>
              </w:rPr>
            </w:pPr>
            <w:r w:rsidRPr="004C78D8">
              <w:rPr>
                <w:sz w:val="20"/>
                <w:szCs w:val="20"/>
              </w:rPr>
              <w:t>67.2% need NHS nursing care; 50% of residential care cost</w:t>
            </w:r>
          </w:p>
        </w:tc>
        <w:tc>
          <w:tcPr>
            <w:tcW w:w="2297" w:type="dxa"/>
          </w:tcPr>
          <w:p w14:paraId="38C21071" w14:textId="77777777" w:rsidR="00D56826" w:rsidRPr="004C78D8" w:rsidRDefault="00D56826" w:rsidP="00FB7C1F">
            <w:pPr>
              <w:jc w:val="left"/>
              <w:rPr>
                <w:sz w:val="20"/>
                <w:szCs w:val="20"/>
              </w:rPr>
            </w:pPr>
            <w:r w:rsidRPr="004C78D8">
              <w:rPr>
                <w:sz w:val="20"/>
                <w:szCs w:val="20"/>
              </w:rPr>
              <w:t>£51,673 (£40,569)</w:t>
            </w:r>
          </w:p>
        </w:tc>
        <w:tc>
          <w:tcPr>
            <w:tcW w:w="1843" w:type="dxa"/>
          </w:tcPr>
          <w:p w14:paraId="07FD9CA4" w14:textId="77777777" w:rsidR="00D56826" w:rsidRPr="004C78D8" w:rsidRDefault="00D56826" w:rsidP="00FB7C1F">
            <w:pPr>
              <w:jc w:val="left"/>
              <w:rPr>
                <w:sz w:val="20"/>
                <w:szCs w:val="20"/>
              </w:rPr>
            </w:pPr>
            <w:r w:rsidRPr="004C78D8">
              <w:rPr>
                <w:sz w:val="20"/>
                <w:szCs w:val="20"/>
              </w:rPr>
              <w:t>0.958</w:t>
            </w:r>
          </w:p>
        </w:tc>
      </w:tr>
      <w:tr w:rsidR="00D56826" w:rsidRPr="004C78D8" w14:paraId="28549E1B" w14:textId="77777777" w:rsidTr="00E35893">
        <w:tc>
          <w:tcPr>
            <w:tcW w:w="1546" w:type="dxa"/>
          </w:tcPr>
          <w:p w14:paraId="65AE9A6C" w14:textId="77777777" w:rsidR="00D56826" w:rsidRPr="004C78D8" w:rsidRDefault="00D56826" w:rsidP="00FB7C1F">
            <w:pPr>
              <w:jc w:val="left"/>
              <w:rPr>
                <w:sz w:val="20"/>
                <w:szCs w:val="20"/>
              </w:rPr>
            </w:pPr>
            <w:r w:rsidRPr="004C78D8">
              <w:rPr>
                <w:sz w:val="20"/>
                <w:szCs w:val="20"/>
              </w:rPr>
              <w:t>Most deprived</w:t>
            </w:r>
          </w:p>
        </w:tc>
        <w:tc>
          <w:tcPr>
            <w:tcW w:w="2106" w:type="dxa"/>
          </w:tcPr>
          <w:p w14:paraId="76670230" w14:textId="77777777" w:rsidR="00D56826" w:rsidRPr="004C78D8" w:rsidRDefault="00D56826" w:rsidP="00FB7C1F">
            <w:pPr>
              <w:jc w:val="left"/>
              <w:rPr>
                <w:sz w:val="20"/>
                <w:szCs w:val="20"/>
              </w:rPr>
            </w:pPr>
            <w:r w:rsidRPr="004C78D8">
              <w:rPr>
                <w:sz w:val="20"/>
                <w:szCs w:val="20"/>
              </w:rPr>
              <w:t>67.2% need NHS nursing care; 100% of residential care cost</w:t>
            </w:r>
          </w:p>
        </w:tc>
        <w:tc>
          <w:tcPr>
            <w:tcW w:w="2297" w:type="dxa"/>
          </w:tcPr>
          <w:p w14:paraId="68CBED49" w14:textId="77777777" w:rsidR="00D56826" w:rsidRPr="004C78D8" w:rsidRDefault="00D56826" w:rsidP="00FB7C1F">
            <w:pPr>
              <w:jc w:val="left"/>
              <w:rPr>
                <w:sz w:val="20"/>
                <w:szCs w:val="20"/>
              </w:rPr>
            </w:pPr>
            <w:r w:rsidRPr="004C78D8">
              <w:rPr>
                <w:sz w:val="20"/>
                <w:szCs w:val="20"/>
              </w:rPr>
              <w:t>£92,242 (£0)</w:t>
            </w:r>
          </w:p>
        </w:tc>
        <w:tc>
          <w:tcPr>
            <w:tcW w:w="1843" w:type="dxa"/>
          </w:tcPr>
          <w:p w14:paraId="725B017A" w14:textId="77777777" w:rsidR="00D56826" w:rsidRPr="004C78D8" w:rsidRDefault="00D56826" w:rsidP="00FB7C1F">
            <w:pPr>
              <w:jc w:val="left"/>
              <w:rPr>
                <w:sz w:val="20"/>
                <w:szCs w:val="20"/>
              </w:rPr>
            </w:pPr>
            <w:r w:rsidRPr="004C78D8">
              <w:rPr>
                <w:sz w:val="20"/>
                <w:szCs w:val="20"/>
              </w:rPr>
              <w:t>0.958</w:t>
            </w:r>
          </w:p>
        </w:tc>
      </w:tr>
      <w:tr w:rsidR="00D56826" w:rsidRPr="004C78D8" w14:paraId="0F9511A5" w14:textId="77777777" w:rsidTr="00E35893">
        <w:tc>
          <w:tcPr>
            <w:tcW w:w="7792" w:type="dxa"/>
            <w:gridSpan w:val="4"/>
          </w:tcPr>
          <w:p w14:paraId="093CE590" w14:textId="2A134964" w:rsidR="00695892" w:rsidRPr="004C78D8" w:rsidRDefault="00D10D5E" w:rsidP="00FB7C1F">
            <w:pPr>
              <w:rPr>
                <w:sz w:val="18"/>
                <w:szCs w:val="18"/>
                <w:vertAlign w:val="superscript"/>
              </w:rPr>
            </w:pPr>
            <w:r w:rsidRPr="004C78D8">
              <w:rPr>
                <w:b/>
                <w:bCs/>
                <w:sz w:val="18"/>
                <w:szCs w:val="18"/>
              </w:rPr>
              <w:t>Abbreviation</w:t>
            </w:r>
            <w:r w:rsidR="00695892" w:rsidRPr="004C78D8">
              <w:rPr>
                <w:b/>
                <w:bCs/>
                <w:sz w:val="18"/>
                <w:szCs w:val="18"/>
              </w:rPr>
              <w:t xml:space="preserve">: </w:t>
            </w:r>
            <w:r w:rsidR="00695892" w:rsidRPr="004C78D8">
              <w:rPr>
                <w:sz w:val="18"/>
                <w:szCs w:val="18"/>
              </w:rPr>
              <w:t>ELSA: English Longitudinal Study of Ageing; LTC: long-term care; PW: per week; QALY: quality-adjusted life year</w:t>
            </w:r>
            <w:r w:rsidR="00695892" w:rsidRPr="004C78D8">
              <w:rPr>
                <w:sz w:val="18"/>
                <w:szCs w:val="18"/>
                <w:vertAlign w:val="superscript"/>
              </w:rPr>
              <w:t xml:space="preserve"> </w:t>
            </w:r>
          </w:p>
          <w:p w14:paraId="51424427" w14:textId="25A81585" w:rsidR="00D56826" w:rsidRPr="004C78D8" w:rsidRDefault="00D56826" w:rsidP="00FB7C1F">
            <w:pPr>
              <w:rPr>
                <w:sz w:val="18"/>
                <w:szCs w:val="18"/>
              </w:rPr>
            </w:pPr>
            <w:r w:rsidRPr="004C78D8">
              <w:rPr>
                <w:sz w:val="18"/>
                <w:szCs w:val="18"/>
                <w:vertAlign w:val="superscript"/>
              </w:rPr>
              <w:t>1</w:t>
            </w:r>
            <w:r w:rsidRPr="004C78D8">
              <w:rPr>
                <w:sz w:val="18"/>
                <w:szCs w:val="18"/>
              </w:rPr>
              <w:t xml:space="preserve"> As in the Public Health England model, the aggregate care cost in LTC is estimated under the assumption that the average life expectancy in LTC is 2.5 years or 130 weeks </w:t>
            </w:r>
            <w:r w:rsidR="00EE1F6B" w:rsidRPr="004C78D8">
              <w:rPr>
                <w:sz w:val="18"/>
                <w:szCs w:val="18"/>
              </w:rPr>
              <w:fldChar w:fldCharType="begin"/>
            </w:r>
            <w:r w:rsidR="00C630FC" w:rsidRPr="004C78D8">
              <w:rPr>
                <w:sz w:val="18"/>
                <w:szCs w:val="18"/>
              </w:rPr>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00EE1F6B" w:rsidRPr="004C78D8">
              <w:rPr>
                <w:sz w:val="18"/>
                <w:szCs w:val="18"/>
              </w:rPr>
              <w:fldChar w:fldCharType="separate"/>
            </w:r>
            <w:r w:rsidR="00C630FC" w:rsidRPr="004C78D8">
              <w:rPr>
                <w:noProof/>
                <w:sz w:val="18"/>
                <w:szCs w:val="18"/>
              </w:rPr>
              <w:t>[216]</w:t>
            </w:r>
            <w:r w:rsidR="00EE1F6B" w:rsidRPr="004C78D8">
              <w:rPr>
                <w:sz w:val="18"/>
                <w:szCs w:val="18"/>
              </w:rPr>
              <w:fldChar w:fldCharType="end"/>
            </w:r>
            <w:r w:rsidRPr="004C78D8">
              <w:rPr>
                <w:sz w:val="18"/>
                <w:szCs w:val="18"/>
              </w:rPr>
              <w:t>. The unit costs of nursing and residential care are also taken from Public Health England model: £127.11 per week for nursing care and £624.14 per week for residential care. The 2015/16 prices was updated to 2021/22 prices using the annual NHS pay and price inflation rate of 1.98% for nursing care and social care inflation rate of 2.13% for residential care</w:t>
            </w:r>
            <w:r w:rsidR="00EE1F6B" w:rsidRPr="004C78D8">
              <w:rPr>
                <w:sz w:val="18"/>
                <w:szCs w:val="18"/>
              </w:rPr>
              <w:t xml:space="preserve"> </w:t>
            </w:r>
            <w:r w:rsidR="00EE1F6B" w:rsidRPr="004C78D8">
              <w:rPr>
                <w:sz w:val="18"/>
                <w:szCs w:val="18"/>
              </w:rPr>
              <w:fldChar w:fldCharType="begin"/>
            </w:r>
            <w:r w:rsidR="00C630FC" w:rsidRPr="004C78D8">
              <w:rPr>
                <w:sz w:val="18"/>
                <w:szCs w:val="18"/>
              </w:rPr>
              <w:instrText xml:space="preserve"> ADDIN EN.CITE &lt;EndNote&gt;&lt;Cite&gt;&lt;Author&gt;Curtis&lt;/Author&gt;&lt;Year&gt;2019&lt;/Year&gt;&lt;RecNum&gt;135&lt;/RecNum&gt;&lt;DisplayText&gt;[401]&lt;/DisplayText&gt;&lt;record&gt;&lt;rec-number&gt;135&lt;/rec-number&gt;&lt;foreign-keys&gt;&lt;key app="EN" db-id="tdtrdw9aepptzbefsat599syza29sxsd2wsp" timestamp="1599643440"&gt;135&lt;/key&gt;&lt;/foreign-keys&gt;&lt;ref-type name="Book"&gt;6&lt;/ref-type&gt;&lt;contributors&gt;&lt;authors&gt;&lt;author&gt;Curtis, Lesley A&lt;/author&gt;&lt;author&gt;Burns, Amanda&lt;/author&gt;&lt;/authors&gt;&lt;secondary-authors&gt;&lt;author&gt;PSSRU, Kent, UK&lt;/author&gt;&lt;/secondary-authors&gt;&lt;/contributors&gt;&lt;titles&gt;&lt;title&gt;Unit costs of health and social care 2019&lt;/title&gt;&lt;/titles&gt;&lt;dates&gt;&lt;year&gt;2019&lt;/year&gt;&lt;/dates&gt;&lt;urls&gt;&lt;/urls&gt;&lt;/record&gt;&lt;/Cite&gt;&lt;/EndNote&gt;</w:instrText>
            </w:r>
            <w:r w:rsidR="00EE1F6B" w:rsidRPr="004C78D8">
              <w:rPr>
                <w:sz w:val="18"/>
                <w:szCs w:val="18"/>
              </w:rPr>
              <w:fldChar w:fldCharType="separate"/>
            </w:r>
            <w:r w:rsidR="00C630FC" w:rsidRPr="004C78D8">
              <w:rPr>
                <w:noProof/>
                <w:sz w:val="18"/>
                <w:szCs w:val="18"/>
              </w:rPr>
              <w:t>[401]</w:t>
            </w:r>
            <w:r w:rsidR="00EE1F6B" w:rsidRPr="004C78D8">
              <w:rPr>
                <w:sz w:val="18"/>
                <w:szCs w:val="18"/>
              </w:rPr>
              <w:fldChar w:fldCharType="end"/>
            </w:r>
            <w:r w:rsidRPr="004C78D8">
              <w:rPr>
                <w:sz w:val="18"/>
                <w:szCs w:val="18"/>
              </w:rPr>
              <w:t xml:space="preserve">.  </w:t>
            </w:r>
          </w:p>
          <w:p w14:paraId="30142325" w14:textId="79D860A6" w:rsidR="00D56826" w:rsidRPr="004C78D8" w:rsidRDefault="00D56826" w:rsidP="00FB7C1F">
            <w:pPr>
              <w:rPr>
                <w:sz w:val="18"/>
                <w:szCs w:val="18"/>
              </w:rPr>
            </w:pPr>
            <w:r w:rsidRPr="004C78D8">
              <w:rPr>
                <w:sz w:val="18"/>
                <w:szCs w:val="18"/>
                <w:vertAlign w:val="superscript"/>
              </w:rPr>
              <w:t>2</w:t>
            </w:r>
            <w:r w:rsidRPr="004C78D8">
              <w:rPr>
                <w:sz w:val="18"/>
                <w:szCs w:val="18"/>
              </w:rPr>
              <w:t xml:space="preserve"> The aggregate remaining QALY in LTC is estimated under the assumption that the average life expectancy in LTC is 2.5 years. The life-years are weighted by factor 0.383 which is the median EQ-5D of institutionali</w:t>
            </w:r>
            <w:r w:rsidR="00EE1F6B" w:rsidRPr="004C78D8">
              <w:rPr>
                <w:sz w:val="18"/>
                <w:szCs w:val="18"/>
              </w:rPr>
              <w:t>s</w:t>
            </w:r>
            <w:r w:rsidRPr="004C78D8">
              <w:rPr>
                <w:sz w:val="18"/>
                <w:szCs w:val="18"/>
              </w:rPr>
              <w:t xml:space="preserve">ed respondents in ELSA Wave 4 (see Section </w:t>
            </w:r>
            <w:r w:rsidR="00F82FF1" w:rsidRPr="004C78D8">
              <w:rPr>
                <w:sz w:val="18"/>
                <w:szCs w:val="18"/>
              </w:rPr>
              <w:t>5</w:t>
            </w:r>
            <w:r w:rsidRPr="004C78D8">
              <w:rPr>
                <w:sz w:val="18"/>
                <w:szCs w:val="18"/>
              </w:rPr>
              <w:t>.</w:t>
            </w:r>
            <w:r w:rsidR="00E75C17" w:rsidRPr="004C78D8">
              <w:rPr>
                <w:sz w:val="18"/>
                <w:szCs w:val="18"/>
              </w:rPr>
              <w:t>2</w:t>
            </w:r>
            <w:r w:rsidRPr="004C78D8">
              <w:rPr>
                <w:sz w:val="18"/>
                <w:szCs w:val="18"/>
              </w:rPr>
              <w:t xml:space="preserve">.3.1 for EQ-5D estimation). </w:t>
            </w:r>
          </w:p>
        </w:tc>
      </w:tr>
    </w:tbl>
    <w:p w14:paraId="64D29A31" w14:textId="77777777" w:rsidR="00D56826" w:rsidRPr="004C78D8" w:rsidRDefault="00D56826" w:rsidP="00FB7C1F">
      <w:r w:rsidRPr="004C78D8">
        <w:t xml:space="preserve"> </w:t>
      </w:r>
    </w:p>
    <w:p w14:paraId="7E722CED" w14:textId="6742A394" w:rsidR="00D56826" w:rsidRPr="004C78D8" w:rsidRDefault="00D56826" w:rsidP="00FB7C1F">
      <w:r w:rsidRPr="004C78D8">
        <w:t xml:space="preserve">According to the </w:t>
      </w:r>
      <w:r w:rsidR="002F2411" w:rsidRPr="004C78D8">
        <w:t>PHE</w:t>
      </w:r>
      <w:r w:rsidRPr="004C78D8">
        <w:t xml:space="preserve"> model, the cost of nursing care was £127.11 per week (in 2021/22 price), while the average length of stay at LTC (of all categories) was 2.5 years or 130 weeks. </w:t>
      </w:r>
      <w:r w:rsidR="002F2411" w:rsidRPr="004C78D8">
        <w:t>Hence</w:t>
      </w:r>
      <w:r w:rsidRPr="004C78D8">
        <w:t>, the expected total nursing care cost for 1</w:t>
      </w:r>
      <w:r w:rsidRPr="004C78D8">
        <w:rPr>
          <w:vertAlign w:val="superscript"/>
        </w:rPr>
        <w:t>st</w:t>
      </w:r>
      <w:r w:rsidRPr="004C78D8">
        <w:t xml:space="preserve"> and 2</w:t>
      </w:r>
      <w:r w:rsidRPr="004C78D8">
        <w:rPr>
          <w:vertAlign w:val="superscript"/>
        </w:rPr>
        <w:t>nd</w:t>
      </w:r>
      <w:r w:rsidRPr="004C78D8">
        <w:t xml:space="preserve"> social quartile individuals was £2,809 per person. For this subgroup, the total </w:t>
      </w:r>
      <w:r w:rsidR="002F2411" w:rsidRPr="004C78D8">
        <w:t xml:space="preserve">self-funded </w:t>
      </w:r>
      <w:r w:rsidRPr="004C78D8">
        <w:t xml:space="preserve">residential cost </w:t>
      </w:r>
      <w:r w:rsidR="002F2411" w:rsidRPr="004C78D8">
        <w:t xml:space="preserve">is </w:t>
      </w:r>
      <w:r w:rsidRPr="004C78D8">
        <w:t>£81,138 per person. ELSA data was used to obtain the median EQ-5D estimate of 0.383</w:t>
      </w:r>
      <w:r w:rsidR="002F2411" w:rsidRPr="004C78D8">
        <w:t xml:space="preserve"> among institutionalised </w:t>
      </w:r>
      <w:r w:rsidR="003C7844" w:rsidRPr="004C78D8">
        <w:t>persons</w:t>
      </w:r>
      <w:r w:rsidRPr="004C78D8">
        <w:t xml:space="preserve">. It was assumed that this EQ-5D value applied to all individuals regardless of </w:t>
      </w:r>
      <w:r w:rsidR="00D0627F" w:rsidRPr="004C78D8">
        <w:t>SES</w:t>
      </w:r>
      <w:r w:rsidRPr="004C78D8">
        <w:t xml:space="preserve"> and LTC</w:t>
      </w:r>
      <w:r w:rsidR="00D0627F" w:rsidRPr="004C78D8">
        <w:t xml:space="preserve"> category</w:t>
      </w:r>
      <w:r w:rsidRPr="004C78D8">
        <w:t xml:space="preserve">. Hence, given the average life expectancy of 2.5 years at LTC entry, the </w:t>
      </w:r>
      <w:r w:rsidR="002F2411" w:rsidRPr="004C78D8">
        <w:t xml:space="preserve">expected </w:t>
      </w:r>
      <w:r w:rsidRPr="004C78D8">
        <w:t xml:space="preserve">remaining QALY </w:t>
      </w:r>
      <w:r w:rsidR="002F2411" w:rsidRPr="004C78D8">
        <w:t>is</w:t>
      </w:r>
      <w:r w:rsidRPr="004C78D8">
        <w:t xml:space="preserve"> 0.958 for all individuals.</w:t>
      </w:r>
    </w:p>
    <w:p w14:paraId="1739E73C" w14:textId="65D65B09" w:rsidR="00D56826" w:rsidRPr="004C78D8" w:rsidRDefault="00D56826" w:rsidP="00FB7C1F">
      <w:r w:rsidRPr="004C78D8">
        <w:t>For individuals in the 3</w:t>
      </w:r>
      <w:r w:rsidRPr="004C78D8">
        <w:rPr>
          <w:vertAlign w:val="superscript"/>
        </w:rPr>
        <w:t>rd</w:t>
      </w:r>
      <w:r w:rsidRPr="004C78D8">
        <w:t xml:space="preserve"> and 4</w:t>
      </w:r>
      <w:r w:rsidRPr="004C78D8">
        <w:rPr>
          <w:vertAlign w:val="superscript"/>
        </w:rPr>
        <w:t>th</w:t>
      </w:r>
      <w:r w:rsidRPr="004C78D8">
        <w:t xml:space="preserve"> (‘bottom-half’) </w:t>
      </w:r>
      <w:r w:rsidR="004D7C8B" w:rsidRPr="004C78D8">
        <w:t>SES</w:t>
      </w:r>
      <w:r w:rsidRPr="004C78D8">
        <w:t xml:space="preserve"> quartiles, their LTC admissions are assumed to be of category (2) or (3), with varying level of public support for residential care cost. As mentioned, the </w:t>
      </w:r>
      <w:r w:rsidR="0027522E" w:rsidRPr="004C78D8">
        <w:t>PHE</w:t>
      </w:r>
      <w:r w:rsidRPr="004C78D8">
        <w:t xml:space="preserve"> model used the empirical finding that around two-thirds of the costs incurred by category (2) </w:t>
      </w:r>
      <w:r w:rsidR="00852A40" w:rsidRPr="004C78D8">
        <w:t>and</w:t>
      </w:r>
      <w:r w:rsidRPr="004C78D8">
        <w:t xml:space="preserve"> (3) </w:t>
      </w:r>
      <w:r w:rsidR="00852A40" w:rsidRPr="004C78D8">
        <w:t xml:space="preserve">admissions </w:t>
      </w:r>
      <w:r w:rsidRPr="004C78D8">
        <w:t>are borne by local authorities. According to ELSA, of all new LTC admissions that occurred for individuals in the bottom-half quartiles, those in the 3</w:t>
      </w:r>
      <w:r w:rsidRPr="004C78D8">
        <w:rPr>
          <w:vertAlign w:val="superscript"/>
        </w:rPr>
        <w:t>rd</w:t>
      </w:r>
      <w:r w:rsidRPr="004C78D8">
        <w:t xml:space="preserve"> </w:t>
      </w:r>
      <w:r w:rsidR="006F53CE" w:rsidRPr="004C78D8">
        <w:t xml:space="preserve">SES </w:t>
      </w:r>
      <w:r w:rsidRPr="004C78D8">
        <w:t>quartile accounted for around 70%, while those in the 4</w:t>
      </w:r>
      <w:r w:rsidRPr="004C78D8">
        <w:rPr>
          <w:vertAlign w:val="superscript"/>
        </w:rPr>
        <w:t>th</w:t>
      </w:r>
      <w:r w:rsidRPr="004C78D8">
        <w:t xml:space="preserve"> quartile accounted for the other 30%. If it is assumed that the local authorities on average supported 50% of the residential costs for those in the 3</w:t>
      </w:r>
      <w:r w:rsidRPr="004C78D8">
        <w:rPr>
          <w:vertAlign w:val="superscript"/>
        </w:rPr>
        <w:t>rd</w:t>
      </w:r>
      <w:r w:rsidRPr="004C78D8">
        <w:t xml:space="preserve"> quartile and 100% for those in the 4</w:t>
      </w:r>
      <w:r w:rsidRPr="004C78D8">
        <w:rPr>
          <w:vertAlign w:val="superscript"/>
        </w:rPr>
        <w:t>th</w:t>
      </w:r>
      <w:r w:rsidRPr="004C78D8">
        <w:t xml:space="preserve"> quartile, then the average level of public funding support is 65%, i.e., close to two-thirds. Based on the ELSA estimate that individuals in the bottom-half quartiles accounted for 47.5% of all new LTC admissions and on the assumption this subgroup accounted for all category (3) admissions and the remaining category (2) admissions not accounted by individuals in the upper-half quartiles, it can be calculated that 67.2% of admissions in the bottom-half quartiles are category (2)</w:t>
      </w:r>
      <w:r w:rsidR="0027522E" w:rsidRPr="004C78D8">
        <w:t xml:space="preserve">, </w:t>
      </w:r>
      <w:r w:rsidRPr="004C78D8">
        <w:t>while the other 32.8% are category (3). Under these assumptions, the expected cost of LTC stay borne by the public sector is £51,673 for those in the 3</w:t>
      </w:r>
      <w:r w:rsidRPr="004C78D8">
        <w:rPr>
          <w:vertAlign w:val="superscript"/>
        </w:rPr>
        <w:t>rd</w:t>
      </w:r>
      <w:r w:rsidRPr="004C78D8">
        <w:t xml:space="preserve"> quartile and £92,242 for the 4</w:t>
      </w:r>
      <w:r w:rsidRPr="004C78D8">
        <w:rPr>
          <w:vertAlign w:val="superscript"/>
        </w:rPr>
        <w:t>th</w:t>
      </w:r>
      <w:r w:rsidRPr="004C78D8">
        <w:t xml:space="preserve"> quartile. Those in the 3</w:t>
      </w:r>
      <w:r w:rsidRPr="004C78D8">
        <w:rPr>
          <w:vertAlign w:val="superscript"/>
        </w:rPr>
        <w:t>rd</w:t>
      </w:r>
      <w:r w:rsidRPr="004C78D8">
        <w:t xml:space="preserve"> social quartile would self-fund 50% of their residential costs amounting to £40,569.</w:t>
      </w:r>
    </w:p>
    <w:p w14:paraId="2CCF3453" w14:textId="7D00C79F" w:rsidR="00A34905" w:rsidRPr="004C78D8" w:rsidRDefault="00F82FF1" w:rsidP="00FB7C1F">
      <w:pPr>
        <w:pStyle w:val="Heading4"/>
      </w:pPr>
      <w:r w:rsidRPr="004C78D8">
        <w:t>5</w:t>
      </w:r>
      <w:r w:rsidR="00A34905" w:rsidRPr="004C78D8">
        <w:t>.</w:t>
      </w:r>
      <w:r w:rsidR="00332ADA" w:rsidRPr="004C78D8">
        <w:t>2</w:t>
      </w:r>
      <w:r w:rsidR="00A34905" w:rsidRPr="004C78D8">
        <w:t>.</w:t>
      </w:r>
      <w:r w:rsidR="00480861" w:rsidRPr="004C78D8">
        <w:t>6</w:t>
      </w:r>
      <w:r w:rsidR="00A34905" w:rsidRPr="004C78D8">
        <w:t>.</w:t>
      </w:r>
      <w:r w:rsidR="00B82943" w:rsidRPr="004C78D8">
        <w:t>3</w:t>
      </w:r>
      <w:r w:rsidR="00A34905" w:rsidRPr="004C78D8">
        <w:t xml:space="preserve"> </w:t>
      </w:r>
      <w:r w:rsidR="00B82943" w:rsidRPr="004C78D8">
        <w:t>Updated c</w:t>
      </w:r>
      <w:r w:rsidR="00D455F3" w:rsidRPr="004C78D8">
        <w:t>ovariate</w:t>
      </w:r>
      <w:r w:rsidR="00157AD7" w:rsidRPr="004C78D8">
        <w:t xml:space="preserve">s and </w:t>
      </w:r>
      <w:r w:rsidR="00B82943" w:rsidRPr="004C78D8">
        <w:t>outcomes</w:t>
      </w:r>
    </w:p>
    <w:p w14:paraId="647A4DC2" w14:textId="369E050E" w:rsidR="00745180" w:rsidRPr="004C78D8" w:rsidRDefault="00EA2A90" w:rsidP="00FB7C1F">
      <w:r w:rsidRPr="004C78D8">
        <w:t xml:space="preserve">The model incorporates several covariates that change over time. </w:t>
      </w:r>
      <w:r w:rsidR="00745180" w:rsidRPr="004C78D8">
        <w:t xml:space="preserve">Age and falls history change in certain patterns: age </w:t>
      </w:r>
      <w:r w:rsidR="00475175" w:rsidRPr="004C78D8">
        <w:t>increases</w:t>
      </w:r>
      <w:r w:rsidR="00745180" w:rsidRPr="004C78D8">
        <w:t xml:space="preserve"> by </w:t>
      </w:r>
      <w:r w:rsidR="00475175" w:rsidRPr="004C78D8">
        <w:t>one</w:t>
      </w:r>
      <w:r w:rsidR="00745180" w:rsidRPr="004C78D8">
        <w:t xml:space="preserve"> year, while falls incidence </w:t>
      </w:r>
      <w:r w:rsidR="00475175" w:rsidRPr="004C78D8">
        <w:t>for the</w:t>
      </w:r>
      <w:r w:rsidR="00745180" w:rsidRPr="004C78D8">
        <w:t xml:space="preserve"> cycle becomes falls history for the next. </w:t>
      </w:r>
      <w:r w:rsidR="00475175" w:rsidRPr="004C78D8">
        <w:t>F</w:t>
      </w:r>
      <w:r w:rsidR="00745180" w:rsidRPr="004C78D8">
        <w:t xml:space="preserve">railty progression has already been estimated above. Other covariates </w:t>
      </w:r>
      <w:r w:rsidR="00F37E98" w:rsidRPr="004C78D8">
        <w:t xml:space="preserve">and outcomes </w:t>
      </w:r>
      <w:r w:rsidR="00745180" w:rsidRPr="004C78D8">
        <w:t>which have significant ‘memories’ (</w:t>
      </w:r>
      <w:bookmarkStart w:id="157" w:name="_Hlk69754886"/>
      <w:r w:rsidR="00745180" w:rsidRPr="004C78D8">
        <w:t>i.e., where its current value strongly influences the value taken in the next cycle</w:t>
      </w:r>
      <w:bookmarkEnd w:id="157"/>
      <w:r w:rsidR="00745180" w:rsidRPr="004C78D8">
        <w:t xml:space="preserve">) should similarly be estimated prospectively using the longitudinal information contained in ELSA. </w:t>
      </w:r>
      <w:r w:rsidR="00004A2F" w:rsidRPr="004C78D8">
        <w:t>For</w:t>
      </w:r>
      <w:r w:rsidR="00745180" w:rsidRPr="004C78D8">
        <w:t xml:space="preserve"> illustration, this section reports the results of prospective estimation</w:t>
      </w:r>
      <w:r w:rsidR="006B76A7" w:rsidRPr="004C78D8">
        <w:t>s</w:t>
      </w:r>
      <w:r w:rsidR="00745180" w:rsidRPr="004C78D8">
        <w:t xml:space="preserve"> for: (i) high physical activity; (ii) self-referred exercise demand (under </w:t>
      </w:r>
      <w:r w:rsidR="00475175" w:rsidRPr="004C78D8">
        <w:t>RC</w:t>
      </w:r>
      <w:r w:rsidR="00745180" w:rsidRPr="004C78D8">
        <w:t>); and (iii) change in EQ-5D.</w:t>
      </w:r>
      <w:r w:rsidR="00004A2F" w:rsidRPr="004C78D8">
        <w:t xml:space="preserve"> Estimations for </w:t>
      </w:r>
      <w:r w:rsidR="00F37E98" w:rsidRPr="004C78D8">
        <w:t>the following</w:t>
      </w:r>
      <w:r w:rsidR="00004A2F" w:rsidRPr="004C78D8">
        <w:t xml:space="preserve"> covariates are presented in Appendix E (Tables </w:t>
      </w:r>
      <w:r w:rsidR="00F82FF1" w:rsidRPr="004C78D8">
        <w:t>E13</w:t>
      </w:r>
      <w:r w:rsidR="00004A2F" w:rsidRPr="004C78D8">
        <w:t>-E</w:t>
      </w:r>
      <w:r w:rsidR="00E75C17" w:rsidRPr="004C78D8">
        <w:t>2</w:t>
      </w:r>
      <w:r w:rsidR="00F82FF1" w:rsidRPr="004C78D8">
        <w:t>1</w:t>
      </w:r>
      <w:r w:rsidR="00004A2F" w:rsidRPr="004C78D8">
        <w:t>)</w:t>
      </w:r>
      <w:r w:rsidR="00F37E98" w:rsidRPr="004C78D8">
        <w:t xml:space="preserve">: (1) cognitive impairment; (2) abnormal gait and balance; (3) GP routine contact; (4) paid employment; (5) unpaid work status; </w:t>
      </w:r>
      <w:r w:rsidR="00A3617B" w:rsidRPr="004C78D8">
        <w:t xml:space="preserve">(6) change in CASP-19; </w:t>
      </w:r>
      <w:r w:rsidR="00F37E98" w:rsidRPr="004C78D8">
        <w:t>(</w:t>
      </w:r>
      <w:r w:rsidR="00A3617B" w:rsidRPr="004C78D8">
        <w:t>7</w:t>
      </w:r>
      <w:r w:rsidR="00F37E98" w:rsidRPr="004C78D8">
        <w:t>) out-of-pocket care receipt; and (</w:t>
      </w:r>
      <w:r w:rsidR="00A3617B" w:rsidRPr="004C78D8">
        <w:t>8</w:t>
      </w:r>
      <w:r w:rsidR="00F37E98" w:rsidRPr="004C78D8">
        <w:t xml:space="preserve">) informal care receipt. </w:t>
      </w:r>
      <w:r w:rsidR="00004A2F" w:rsidRPr="004C78D8">
        <w:t xml:space="preserve"> </w:t>
      </w:r>
    </w:p>
    <w:p w14:paraId="0411675A" w14:textId="6CD65C35" w:rsidR="00DE7E45" w:rsidRPr="004C78D8" w:rsidRDefault="00E553DB" w:rsidP="00FB7C1F">
      <w:r w:rsidRPr="004C78D8">
        <w:t xml:space="preserve">It would have been feasible to include Wave 5 variables already predicted by the model as explanatory variables in subsequent equations for other Wave 5 variables. However, this would create a strong linear association between Wave 4 and Wave 5 values of the same </w:t>
      </w:r>
      <w:r w:rsidR="00F97FB6" w:rsidRPr="004C78D8">
        <w:t>covariate</w:t>
      </w:r>
      <w:r w:rsidRPr="004C78D8">
        <w:t xml:space="preserve"> (i.e., those with significant ‘memories’) included as explanatory variables. The resulting multicollinearity may inflate the standard errors of the affected coefficients. Therefore, explanatory variable</w:t>
      </w:r>
      <w:r w:rsidR="00B14D46" w:rsidRPr="004C78D8">
        <w:t>s</w:t>
      </w:r>
      <w:r w:rsidRPr="004C78D8">
        <w:t xml:space="preserve"> </w:t>
      </w:r>
      <w:r w:rsidR="00B14D46" w:rsidRPr="004C78D8">
        <w:t>were</w:t>
      </w:r>
      <w:r w:rsidRPr="004C78D8">
        <w:t xml:space="preserve"> restricted to Wave 4 values</w:t>
      </w:r>
      <w:r w:rsidR="00B14D46" w:rsidRPr="004C78D8">
        <w:t xml:space="preserve"> (except for Waves 4-5 fall incidence and frailty change)</w:t>
      </w:r>
      <w:r w:rsidRPr="004C78D8">
        <w:t xml:space="preserve">. </w:t>
      </w:r>
      <w:r w:rsidR="00DE7E45" w:rsidRPr="004C78D8">
        <w:t xml:space="preserve">The two-year interim between Waves 4-5 may </w:t>
      </w:r>
      <w:r w:rsidR="008862EF" w:rsidRPr="004C78D8">
        <w:t>overestimate the</w:t>
      </w:r>
      <w:r w:rsidR="00DE7E45" w:rsidRPr="004C78D8">
        <w:t xml:space="preserve"> dynamic change </w:t>
      </w:r>
      <w:r w:rsidR="008862EF" w:rsidRPr="004C78D8">
        <w:t xml:space="preserve">occurring for </w:t>
      </w:r>
      <w:r w:rsidR="003A2BF2" w:rsidRPr="004C78D8">
        <w:t>the</w:t>
      </w:r>
      <w:r w:rsidR="008862EF" w:rsidRPr="004C78D8">
        <w:t xml:space="preserve"> one-year </w:t>
      </w:r>
      <w:r w:rsidR="003A2BF2" w:rsidRPr="004C78D8">
        <w:t>model cycle</w:t>
      </w:r>
      <w:r w:rsidR="00B14D46" w:rsidRPr="004C78D8">
        <w:t>.</w:t>
      </w:r>
      <w:r w:rsidR="00DE7E45" w:rsidRPr="004C78D8">
        <w:t xml:space="preserve"> </w:t>
      </w:r>
      <w:r w:rsidR="00B14D46" w:rsidRPr="004C78D8">
        <w:t>That said, assigning the estimated coefficients to modelled individuals with</w:t>
      </w:r>
      <w:r w:rsidR="00DE7E45" w:rsidRPr="004C78D8">
        <w:t xml:space="preserve"> </w:t>
      </w:r>
      <w:r w:rsidR="00DE7E45" w:rsidRPr="004C78D8">
        <w:rPr>
          <w:i/>
          <w:iCs/>
        </w:rPr>
        <w:t>annualised</w:t>
      </w:r>
      <w:r w:rsidR="00DE7E45" w:rsidRPr="004C78D8">
        <w:t xml:space="preserve"> frailty change </w:t>
      </w:r>
      <w:r w:rsidR="00B14D46" w:rsidRPr="004C78D8">
        <w:t>(a key explanatory variable for all prospective estimations)</w:t>
      </w:r>
      <w:r w:rsidR="00DE7E45" w:rsidRPr="004C78D8">
        <w:t xml:space="preserve"> </w:t>
      </w:r>
      <w:r w:rsidR="00B14D46" w:rsidRPr="004C78D8">
        <w:t>reduced the extent of overestimation</w:t>
      </w:r>
      <w:r w:rsidR="00DE7E45" w:rsidRPr="004C78D8">
        <w:t>.</w:t>
      </w:r>
    </w:p>
    <w:p w14:paraId="79859C7A" w14:textId="44C8B2FD" w:rsidR="00510E51" w:rsidRPr="004C78D8" w:rsidRDefault="00B475B7" w:rsidP="00FB7C1F">
      <w:pPr>
        <w:pStyle w:val="Heading5"/>
      </w:pPr>
      <w:r w:rsidRPr="004C78D8">
        <w:t>High physical activity</w:t>
      </w:r>
    </w:p>
    <w:p w14:paraId="62876F9F" w14:textId="2BCAE783" w:rsidR="004C1B78" w:rsidRPr="004C78D8" w:rsidRDefault="007142F9" w:rsidP="00FB7C1F">
      <w:r w:rsidRPr="004C78D8">
        <w:t>In</w:t>
      </w:r>
      <w:r w:rsidR="00BB2DFB" w:rsidRPr="004C78D8">
        <w:t xml:space="preserve"> ELSA, the proportion of the population engaged in high physical activity fell slightly from 17.3% in Wave 4 to 16.8%</w:t>
      </w:r>
      <w:r w:rsidR="00BB0293" w:rsidRPr="004C78D8">
        <w:t xml:space="preserve"> in Wave 5</w:t>
      </w:r>
      <w:r w:rsidR="00BB2DFB" w:rsidRPr="004C78D8">
        <w:t xml:space="preserve">. Table </w:t>
      </w:r>
      <w:r w:rsidR="00F82FF1" w:rsidRPr="004C78D8">
        <w:t>5</w:t>
      </w:r>
      <w:r w:rsidR="00C001EA" w:rsidRPr="004C78D8">
        <w:t>.4</w:t>
      </w:r>
      <w:r w:rsidR="00F82FF1" w:rsidRPr="004C78D8">
        <w:t>8</w:t>
      </w:r>
      <w:r w:rsidR="00BB2DFB" w:rsidRPr="004C78D8">
        <w:t xml:space="preserve"> shows the coefficient estimates from the best-fit logistic regression for high physical activity in Wave 5. </w:t>
      </w:r>
    </w:p>
    <w:tbl>
      <w:tblPr>
        <w:tblStyle w:val="TableGrid"/>
        <w:tblW w:w="0" w:type="auto"/>
        <w:tblInd w:w="-5" w:type="dxa"/>
        <w:tblLook w:val="04A0" w:firstRow="1" w:lastRow="0" w:firstColumn="1" w:lastColumn="0" w:noHBand="0" w:noVBand="1"/>
      </w:tblPr>
      <w:tblGrid>
        <w:gridCol w:w="2689"/>
        <w:gridCol w:w="1842"/>
        <w:gridCol w:w="1701"/>
      </w:tblGrid>
      <w:tr w:rsidR="00452F7E" w:rsidRPr="004C78D8" w14:paraId="18B3E4A8" w14:textId="77777777" w:rsidTr="00E35893">
        <w:tc>
          <w:tcPr>
            <w:tcW w:w="6232" w:type="dxa"/>
            <w:gridSpan w:val="3"/>
          </w:tcPr>
          <w:p w14:paraId="40F1D637" w14:textId="4BBF43E9" w:rsidR="00452F7E" w:rsidRPr="004C78D8" w:rsidRDefault="00452F7E" w:rsidP="00FB7C1F">
            <w:pPr>
              <w:jc w:val="left"/>
            </w:pPr>
            <w:r w:rsidRPr="004C78D8">
              <w:rPr>
                <w:b/>
                <w:bCs/>
              </w:rPr>
              <w:t xml:space="preserve">Table </w:t>
            </w:r>
            <w:r w:rsidR="00F82FF1" w:rsidRPr="004C78D8">
              <w:rPr>
                <w:b/>
                <w:bCs/>
              </w:rPr>
              <w:t>5</w:t>
            </w:r>
            <w:r w:rsidR="00C001EA" w:rsidRPr="004C78D8">
              <w:rPr>
                <w:b/>
                <w:bCs/>
              </w:rPr>
              <w:t>.4</w:t>
            </w:r>
            <w:r w:rsidR="00F82FF1" w:rsidRPr="004C78D8">
              <w:rPr>
                <w:b/>
                <w:bCs/>
              </w:rPr>
              <w:t>8</w:t>
            </w:r>
            <w:r w:rsidRPr="004C78D8">
              <w:t xml:space="preserve"> Logistic regression coefficients for high physical activity in ELSA Wave 5</w:t>
            </w:r>
            <w:r w:rsidR="007B563A" w:rsidRPr="004C78D8">
              <w:t>.</w:t>
            </w:r>
          </w:p>
        </w:tc>
      </w:tr>
      <w:tr w:rsidR="00452F7E" w:rsidRPr="004C78D8" w14:paraId="6C075F1B" w14:textId="77777777" w:rsidTr="00E35893">
        <w:tc>
          <w:tcPr>
            <w:tcW w:w="6232" w:type="dxa"/>
            <w:gridSpan w:val="3"/>
          </w:tcPr>
          <w:p w14:paraId="4857D15B" w14:textId="72FDAB0B" w:rsidR="00452F7E" w:rsidRPr="004C78D8" w:rsidRDefault="00452F7E" w:rsidP="00FB7C1F">
            <w:pPr>
              <w:jc w:val="left"/>
              <w:rPr>
                <w:b/>
                <w:bCs/>
                <w:i/>
                <w:iCs/>
                <w:sz w:val="20"/>
                <w:szCs w:val="20"/>
              </w:rPr>
            </w:pPr>
            <w:r w:rsidRPr="004C78D8">
              <w:rPr>
                <w:b/>
                <w:bCs/>
                <w:i/>
                <w:iCs/>
                <w:sz w:val="20"/>
                <w:szCs w:val="20"/>
              </w:rPr>
              <w:t>Dependent variable: High physical activity in Wave 5 (N=6,205)</w:t>
            </w:r>
          </w:p>
        </w:tc>
      </w:tr>
      <w:tr w:rsidR="00452F7E" w:rsidRPr="004C78D8" w14:paraId="2FD3DBFD" w14:textId="77777777" w:rsidTr="00E35893">
        <w:tc>
          <w:tcPr>
            <w:tcW w:w="2689" w:type="dxa"/>
            <w:tcBorders>
              <w:bottom w:val="single" w:sz="4" w:space="0" w:color="auto"/>
            </w:tcBorders>
          </w:tcPr>
          <w:p w14:paraId="71D880D9" w14:textId="77777777" w:rsidR="00452F7E" w:rsidRPr="004C78D8" w:rsidRDefault="00452F7E" w:rsidP="00FB7C1F">
            <w:pPr>
              <w:rPr>
                <w:b/>
                <w:bCs/>
                <w:sz w:val="20"/>
                <w:szCs w:val="20"/>
              </w:rPr>
            </w:pPr>
            <w:r w:rsidRPr="004C78D8">
              <w:rPr>
                <w:b/>
                <w:bCs/>
                <w:sz w:val="20"/>
                <w:szCs w:val="20"/>
              </w:rPr>
              <w:t>Explanatory variables</w:t>
            </w:r>
          </w:p>
        </w:tc>
        <w:tc>
          <w:tcPr>
            <w:tcW w:w="1842" w:type="dxa"/>
            <w:tcBorders>
              <w:bottom w:val="single" w:sz="4" w:space="0" w:color="auto"/>
            </w:tcBorders>
          </w:tcPr>
          <w:p w14:paraId="19D3F05B" w14:textId="77777777" w:rsidR="00452F7E" w:rsidRPr="004C78D8" w:rsidRDefault="00452F7E" w:rsidP="00FB7C1F">
            <w:pPr>
              <w:jc w:val="center"/>
              <w:rPr>
                <w:b/>
                <w:bCs/>
                <w:sz w:val="20"/>
                <w:szCs w:val="20"/>
              </w:rPr>
            </w:pPr>
            <w:r w:rsidRPr="004C78D8">
              <w:rPr>
                <w:b/>
                <w:bCs/>
                <w:sz w:val="20"/>
                <w:szCs w:val="20"/>
              </w:rPr>
              <w:t>Coefficient (SE)</w:t>
            </w:r>
          </w:p>
        </w:tc>
        <w:tc>
          <w:tcPr>
            <w:tcW w:w="1701" w:type="dxa"/>
            <w:tcBorders>
              <w:bottom w:val="single" w:sz="4" w:space="0" w:color="auto"/>
            </w:tcBorders>
          </w:tcPr>
          <w:p w14:paraId="72B89FB5" w14:textId="77777777" w:rsidR="00452F7E" w:rsidRPr="004C78D8" w:rsidRDefault="00452F7E" w:rsidP="00FB7C1F">
            <w:pPr>
              <w:jc w:val="center"/>
              <w:rPr>
                <w:b/>
                <w:bCs/>
                <w:sz w:val="20"/>
                <w:szCs w:val="20"/>
              </w:rPr>
            </w:pPr>
            <w:r w:rsidRPr="004C78D8">
              <w:rPr>
                <w:b/>
                <w:bCs/>
                <w:sz w:val="20"/>
                <w:szCs w:val="20"/>
              </w:rPr>
              <w:t>P-value</w:t>
            </w:r>
          </w:p>
        </w:tc>
      </w:tr>
      <w:tr w:rsidR="00452F7E" w:rsidRPr="004C78D8" w14:paraId="5BF14E8C" w14:textId="77777777" w:rsidTr="00E35893">
        <w:tc>
          <w:tcPr>
            <w:tcW w:w="2689" w:type="dxa"/>
            <w:tcBorders>
              <w:bottom w:val="nil"/>
            </w:tcBorders>
          </w:tcPr>
          <w:p w14:paraId="6DAB4EDA" w14:textId="77777777" w:rsidR="00452F7E" w:rsidRPr="004C78D8" w:rsidRDefault="00452F7E" w:rsidP="00FB7C1F">
            <w:pPr>
              <w:jc w:val="left"/>
              <w:rPr>
                <w:sz w:val="18"/>
                <w:szCs w:val="18"/>
              </w:rPr>
            </w:pPr>
            <w:r w:rsidRPr="004C78D8">
              <w:rPr>
                <w:sz w:val="18"/>
                <w:szCs w:val="18"/>
              </w:rPr>
              <w:t>Constant</w:t>
            </w:r>
          </w:p>
        </w:tc>
        <w:tc>
          <w:tcPr>
            <w:tcW w:w="1842" w:type="dxa"/>
            <w:tcBorders>
              <w:bottom w:val="nil"/>
            </w:tcBorders>
          </w:tcPr>
          <w:p w14:paraId="5FFCE825" w14:textId="6F5C0D0F" w:rsidR="00452F7E" w:rsidRPr="004C78D8" w:rsidRDefault="00CB6A65" w:rsidP="00FB7C1F">
            <w:pPr>
              <w:jc w:val="center"/>
              <w:rPr>
                <w:sz w:val="18"/>
                <w:szCs w:val="18"/>
              </w:rPr>
            </w:pPr>
            <w:r w:rsidRPr="004C78D8">
              <w:rPr>
                <w:sz w:val="18"/>
                <w:szCs w:val="18"/>
              </w:rPr>
              <w:t>2</w:t>
            </w:r>
            <w:r w:rsidR="00452F7E" w:rsidRPr="004C78D8">
              <w:rPr>
                <w:sz w:val="18"/>
                <w:szCs w:val="18"/>
              </w:rPr>
              <w:t>.</w:t>
            </w:r>
            <w:r w:rsidRPr="004C78D8">
              <w:rPr>
                <w:sz w:val="18"/>
                <w:szCs w:val="18"/>
              </w:rPr>
              <w:t>123</w:t>
            </w:r>
            <w:r w:rsidR="00452F7E" w:rsidRPr="004C78D8">
              <w:rPr>
                <w:sz w:val="18"/>
                <w:szCs w:val="18"/>
              </w:rPr>
              <w:t xml:space="preserve"> (0.</w:t>
            </w:r>
            <w:r w:rsidRPr="004C78D8">
              <w:rPr>
                <w:sz w:val="18"/>
                <w:szCs w:val="18"/>
              </w:rPr>
              <w:t>453</w:t>
            </w:r>
            <w:r w:rsidR="00452F7E" w:rsidRPr="004C78D8">
              <w:rPr>
                <w:sz w:val="18"/>
                <w:szCs w:val="18"/>
              </w:rPr>
              <w:t>)</w:t>
            </w:r>
          </w:p>
        </w:tc>
        <w:tc>
          <w:tcPr>
            <w:tcW w:w="1701" w:type="dxa"/>
            <w:tcBorders>
              <w:bottom w:val="nil"/>
            </w:tcBorders>
          </w:tcPr>
          <w:p w14:paraId="0462C377" w14:textId="77777777" w:rsidR="00452F7E" w:rsidRPr="004C78D8" w:rsidRDefault="00452F7E" w:rsidP="00FB7C1F">
            <w:pPr>
              <w:jc w:val="center"/>
              <w:rPr>
                <w:sz w:val="18"/>
                <w:szCs w:val="18"/>
              </w:rPr>
            </w:pPr>
            <w:r w:rsidRPr="004C78D8">
              <w:rPr>
                <w:sz w:val="18"/>
                <w:szCs w:val="18"/>
              </w:rPr>
              <w:t>&lt;0.001</w:t>
            </w:r>
          </w:p>
        </w:tc>
      </w:tr>
      <w:tr w:rsidR="00452F7E" w:rsidRPr="004C78D8" w14:paraId="29249CF8" w14:textId="77777777" w:rsidTr="00E35893">
        <w:tc>
          <w:tcPr>
            <w:tcW w:w="2689" w:type="dxa"/>
            <w:tcBorders>
              <w:top w:val="nil"/>
              <w:bottom w:val="nil"/>
            </w:tcBorders>
          </w:tcPr>
          <w:p w14:paraId="535F320A" w14:textId="77777777" w:rsidR="00452F7E" w:rsidRPr="004C78D8" w:rsidRDefault="00452F7E" w:rsidP="00FB7C1F">
            <w:pPr>
              <w:jc w:val="left"/>
              <w:rPr>
                <w:sz w:val="18"/>
                <w:szCs w:val="18"/>
              </w:rPr>
            </w:pPr>
            <w:r w:rsidRPr="004C78D8">
              <w:rPr>
                <w:sz w:val="18"/>
                <w:szCs w:val="18"/>
              </w:rPr>
              <w:t>Age W4</w:t>
            </w:r>
          </w:p>
        </w:tc>
        <w:tc>
          <w:tcPr>
            <w:tcW w:w="1842" w:type="dxa"/>
            <w:tcBorders>
              <w:top w:val="nil"/>
              <w:bottom w:val="nil"/>
            </w:tcBorders>
          </w:tcPr>
          <w:p w14:paraId="060F9A07" w14:textId="3738C10F" w:rsidR="00452F7E" w:rsidRPr="004C78D8" w:rsidRDefault="00CB6A65" w:rsidP="00FB7C1F">
            <w:pPr>
              <w:jc w:val="center"/>
              <w:rPr>
                <w:sz w:val="18"/>
                <w:szCs w:val="18"/>
              </w:rPr>
            </w:pPr>
            <w:r w:rsidRPr="004C78D8">
              <w:rPr>
                <w:sz w:val="18"/>
                <w:szCs w:val="18"/>
              </w:rPr>
              <w:t>-</w:t>
            </w:r>
            <w:r w:rsidR="00452F7E" w:rsidRPr="004C78D8">
              <w:rPr>
                <w:sz w:val="18"/>
                <w:szCs w:val="18"/>
              </w:rPr>
              <w:t>0.</w:t>
            </w:r>
            <w:r w:rsidRPr="004C78D8">
              <w:rPr>
                <w:sz w:val="18"/>
                <w:szCs w:val="18"/>
              </w:rPr>
              <w:t>047</w:t>
            </w:r>
            <w:r w:rsidR="00452F7E" w:rsidRPr="004C78D8">
              <w:rPr>
                <w:sz w:val="18"/>
                <w:szCs w:val="18"/>
              </w:rPr>
              <w:t xml:space="preserve"> (0.0</w:t>
            </w:r>
            <w:r w:rsidRPr="004C78D8">
              <w:rPr>
                <w:sz w:val="18"/>
                <w:szCs w:val="18"/>
              </w:rPr>
              <w:t>07</w:t>
            </w:r>
            <w:r w:rsidR="00452F7E" w:rsidRPr="004C78D8">
              <w:rPr>
                <w:sz w:val="18"/>
                <w:szCs w:val="18"/>
              </w:rPr>
              <w:t>)</w:t>
            </w:r>
          </w:p>
        </w:tc>
        <w:tc>
          <w:tcPr>
            <w:tcW w:w="1701" w:type="dxa"/>
            <w:tcBorders>
              <w:top w:val="nil"/>
              <w:bottom w:val="nil"/>
            </w:tcBorders>
          </w:tcPr>
          <w:p w14:paraId="1F94C3B4" w14:textId="77777777" w:rsidR="00452F7E" w:rsidRPr="004C78D8" w:rsidRDefault="00452F7E" w:rsidP="00FB7C1F">
            <w:pPr>
              <w:jc w:val="center"/>
              <w:rPr>
                <w:sz w:val="18"/>
                <w:szCs w:val="18"/>
              </w:rPr>
            </w:pPr>
            <w:r w:rsidRPr="004C78D8">
              <w:rPr>
                <w:sz w:val="18"/>
                <w:szCs w:val="18"/>
              </w:rPr>
              <w:t>&lt;0.001</w:t>
            </w:r>
          </w:p>
        </w:tc>
      </w:tr>
      <w:tr w:rsidR="00CB6A65" w:rsidRPr="004C78D8" w14:paraId="4FEF618F" w14:textId="77777777" w:rsidTr="00E35893">
        <w:tc>
          <w:tcPr>
            <w:tcW w:w="2689" w:type="dxa"/>
            <w:tcBorders>
              <w:top w:val="nil"/>
              <w:bottom w:val="nil"/>
            </w:tcBorders>
          </w:tcPr>
          <w:p w14:paraId="33D78E34" w14:textId="38512380" w:rsidR="00CB6A65" w:rsidRPr="004C78D8" w:rsidRDefault="00CB6A65" w:rsidP="00FB7C1F">
            <w:pPr>
              <w:jc w:val="left"/>
              <w:rPr>
                <w:sz w:val="18"/>
                <w:szCs w:val="18"/>
              </w:rPr>
            </w:pPr>
            <w:r w:rsidRPr="004C78D8">
              <w:rPr>
                <w:sz w:val="18"/>
                <w:szCs w:val="18"/>
              </w:rPr>
              <w:t>Female</w:t>
            </w:r>
          </w:p>
        </w:tc>
        <w:tc>
          <w:tcPr>
            <w:tcW w:w="1842" w:type="dxa"/>
            <w:tcBorders>
              <w:top w:val="nil"/>
              <w:bottom w:val="nil"/>
            </w:tcBorders>
          </w:tcPr>
          <w:p w14:paraId="6F77285F" w14:textId="4E92199E" w:rsidR="00CB6A65" w:rsidRPr="004C78D8" w:rsidRDefault="00CB6A65" w:rsidP="00FB7C1F">
            <w:pPr>
              <w:jc w:val="center"/>
              <w:rPr>
                <w:sz w:val="18"/>
                <w:szCs w:val="18"/>
              </w:rPr>
            </w:pPr>
            <w:r w:rsidRPr="004C78D8">
              <w:rPr>
                <w:sz w:val="18"/>
                <w:szCs w:val="18"/>
              </w:rPr>
              <w:t>-0.226 (0.079)</w:t>
            </w:r>
          </w:p>
        </w:tc>
        <w:tc>
          <w:tcPr>
            <w:tcW w:w="1701" w:type="dxa"/>
            <w:tcBorders>
              <w:top w:val="nil"/>
              <w:bottom w:val="nil"/>
            </w:tcBorders>
          </w:tcPr>
          <w:p w14:paraId="4954A94A" w14:textId="18B6C879" w:rsidR="00CB6A65" w:rsidRPr="004C78D8" w:rsidRDefault="00CB6A65" w:rsidP="00FB7C1F">
            <w:pPr>
              <w:jc w:val="center"/>
              <w:rPr>
                <w:sz w:val="18"/>
                <w:szCs w:val="18"/>
              </w:rPr>
            </w:pPr>
            <w:r w:rsidRPr="004C78D8">
              <w:rPr>
                <w:sz w:val="18"/>
                <w:szCs w:val="18"/>
              </w:rPr>
              <w:t>0.004</w:t>
            </w:r>
          </w:p>
        </w:tc>
      </w:tr>
      <w:tr w:rsidR="00452F7E" w:rsidRPr="004C78D8" w14:paraId="4F6C1D8E" w14:textId="77777777" w:rsidTr="00E35893">
        <w:tc>
          <w:tcPr>
            <w:tcW w:w="2689" w:type="dxa"/>
            <w:tcBorders>
              <w:top w:val="nil"/>
              <w:bottom w:val="nil"/>
            </w:tcBorders>
          </w:tcPr>
          <w:p w14:paraId="7CA6A1FE" w14:textId="72915211" w:rsidR="00452F7E" w:rsidRPr="004C78D8" w:rsidRDefault="006B6B8C" w:rsidP="00FB7C1F">
            <w:pPr>
              <w:jc w:val="left"/>
              <w:rPr>
                <w:sz w:val="18"/>
                <w:szCs w:val="18"/>
              </w:rPr>
            </w:pPr>
            <w:r w:rsidRPr="004C78D8">
              <w:rPr>
                <w:sz w:val="18"/>
                <w:szCs w:val="18"/>
              </w:rPr>
              <w:t>SES</w:t>
            </w:r>
            <w:r w:rsidR="00452F7E" w:rsidRPr="004C78D8">
              <w:rPr>
                <w:sz w:val="18"/>
                <w:szCs w:val="18"/>
              </w:rPr>
              <w:t xml:space="preserve"> (ref: Most privileged quartile)</w:t>
            </w:r>
          </w:p>
        </w:tc>
        <w:tc>
          <w:tcPr>
            <w:tcW w:w="1842" w:type="dxa"/>
            <w:tcBorders>
              <w:top w:val="nil"/>
              <w:bottom w:val="nil"/>
            </w:tcBorders>
          </w:tcPr>
          <w:p w14:paraId="1FA18D8E" w14:textId="77777777" w:rsidR="00452F7E" w:rsidRPr="004C78D8" w:rsidRDefault="00452F7E" w:rsidP="00FB7C1F">
            <w:pPr>
              <w:jc w:val="center"/>
              <w:rPr>
                <w:sz w:val="18"/>
                <w:szCs w:val="18"/>
              </w:rPr>
            </w:pPr>
          </w:p>
        </w:tc>
        <w:tc>
          <w:tcPr>
            <w:tcW w:w="1701" w:type="dxa"/>
            <w:tcBorders>
              <w:top w:val="nil"/>
              <w:bottom w:val="nil"/>
            </w:tcBorders>
          </w:tcPr>
          <w:p w14:paraId="13C032DE" w14:textId="77777777" w:rsidR="00452F7E" w:rsidRPr="004C78D8" w:rsidRDefault="00452F7E" w:rsidP="00FB7C1F">
            <w:pPr>
              <w:jc w:val="center"/>
              <w:rPr>
                <w:sz w:val="18"/>
                <w:szCs w:val="18"/>
              </w:rPr>
            </w:pPr>
          </w:p>
        </w:tc>
      </w:tr>
      <w:tr w:rsidR="00452F7E" w:rsidRPr="004C78D8" w14:paraId="3903D051" w14:textId="77777777" w:rsidTr="00E35893">
        <w:tc>
          <w:tcPr>
            <w:tcW w:w="2689" w:type="dxa"/>
            <w:tcBorders>
              <w:top w:val="nil"/>
              <w:bottom w:val="nil"/>
            </w:tcBorders>
          </w:tcPr>
          <w:p w14:paraId="01B69F31" w14:textId="77777777" w:rsidR="00452F7E" w:rsidRPr="004C78D8" w:rsidRDefault="00452F7E" w:rsidP="00FB7C1F">
            <w:pPr>
              <w:jc w:val="right"/>
              <w:rPr>
                <w:sz w:val="18"/>
                <w:szCs w:val="18"/>
              </w:rPr>
            </w:pPr>
            <w:r w:rsidRPr="004C78D8">
              <w:rPr>
                <w:i/>
                <w:iCs/>
                <w:sz w:val="18"/>
                <w:szCs w:val="18"/>
              </w:rPr>
              <w:t>2</w:t>
            </w:r>
            <w:r w:rsidRPr="004C78D8">
              <w:rPr>
                <w:i/>
                <w:iCs/>
                <w:sz w:val="18"/>
                <w:szCs w:val="18"/>
                <w:vertAlign w:val="superscript"/>
              </w:rPr>
              <w:t>nd</w:t>
            </w:r>
            <w:r w:rsidRPr="004C78D8">
              <w:rPr>
                <w:i/>
                <w:iCs/>
                <w:sz w:val="18"/>
                <w:szCs w:val="18"/>
              </w:rPr>
              <w:t xml:space="preserve"> quartile</w:t>
            </w:r>
          </w:p>
        </w:tc>
        <w:tc>
          <w:tcPr>
            <w:tcW w:w="1842" w:type="dxa"/>
            <w:tcBorders>
              <w:top w:val="nil"/>
              <w:bottom w:val="nil"/>
            </w:tcBorders>
          </w:tcPr>
          <w:p w14:paraId="5605BCAB" w14:textId="28FBEE19" w:rsidR="00452F7E" w:rsidRPr="004C78D8" w:rsidRDefault="00557C69" w:rsidP="00FB7C1F">
            <w:pPr>
              <w:jc w:val="center"/>
              <w:rPr>
                <w:sz w:val="18"/>
                <w:szCs w:val="18"/>
              </w:rPr>
            </w:pPr>
            <w:r w:rsidRPr="004C78D8">
              <w:rPr>
                <w:sz w:val="18"/>
                <w:szCs w:val="18"/>
              </w:rPr>
              <w:t>-</w:t>
            </w:r>
            <w:r w:rsidR="00452F7E" w:rsidRPr="004C78D8">
              <w:rPr>
                <w:sz w:val="18"/>
                <w:szCs w:val="18"/>
              </w:rPr>
              <w:t>0.0</w:t>
            </w:r>
            <w:r w:rsidRPr="004C78D8">
              <w:rPr>
                <w:sz w:val="18"/>
                <w:szCs w:val="18"/>
              </w:rPr>
              <w:t>65</w:t>
            </w:r>
            <w:r w:rsidR="00452F7E" w:rsidRPr="004C78D8">
              <w:rPr>
                <w:sz w:val="18"/>
                <w:szCs w:val="18"/>
              </w:rPr>
              <w:t xml:space="preserve"> (0.</w:t>
            </w:r>
            <w:r w:rsidRPr="004C78D8">
              <w:rPr>
                <w:sz w:val="18"/>
                <w:szCs w:val="18"/>
              </w:rPr>
              <w:t>110</w:t>
            </w:r>
            <w:r w:rsidR="00452F7E" w:rsidRPr="004C78D8">
              <w:rPr>
                <w:sz w:val="18"/>
                <w:szCs w:val="18"/>
              </w:rPr>
              <w:t>)</w:t>
            </w:r>
          </w:p>
        </w:tc>
        <w:tc>
          <w:tcPr>
            <w:tcW w:w="1701" w:type="dxa"/>
            <w:tcBorders>
              <w:top w:val="nil"/>
              <w:bottom w:val="nil"/>
            </w:tcBorders>
          </w:tcPr>
          <w:p w14:paraId="3523C9DC" w14:textId="1EB0B98C" w:rsidR="00452F7E" w:rsidRPr="004C78D8" w:rsidRDefault="00452F7E" w:rsidP="00FB7C1F">
            <w:pPr>
              <w:jc w:val="center"/>
              <w:rPr>
                <w:sz w:val="18"/>
                <w:szCs w:val="18"/>
              </w:rPr>
            </w:pPr>
            <w:r w:rsidRPr="004C78D8">
              <w:rPr>
                <w:sz w:val="18"/>
                <w:szCs w:val="18"/>
              </w:rPr>
              <w:t>0.</w:t>
            </w:r>
            <w:r w:rsidR="00557C69" w:rsidRPr="004C78D8">
              <w:rPr>
                <w:sz w:val="18"/>
                <w:szCs w:val="18"/>
              </w:rPr>
              <w:t>558</w:t>
            </w:r>
          </w:p>
        </w:tc>
      </w:tr>
      <w:tr w:rsidR="00452F7E" w:rsidRPr="004C78D8" w14:paraId="7FB6BF4F" w14:textId="77777777" w:rsidTr="00E35893">
        <w:tc>
          <w:tcPr>
            <w:tcW w:w="2689" w:type="dxa"/>
            <w:tcBorders>
              <w:top w:val="nil"/>
              <w:bottom w:val="nil"/>
            </w:tcBorders>
          </w:tcPr>
          <w:p w14:paraId="625B93A2" w14:textId="77777777" w:rsidR="00452F7E" w:rsidRPr="004C78D8" w:rsidRDefault="00452F7E" w:rsidP="00FB7C1F">
            <w:pPr>
              <w:jc w:val="right"/>
              <w:rPr>
                <w:sz w:val="18"/>
                <w:szCs w:val="18"/>
              </w:rPr>
            </w:pPr>
            <w:r w:rsidRPr="004C78D8">
              <w:rPr>
                <w:i/>
                <w:iCs/>
                <w:sz w:val="18"/>
                <w:szCs w:val="18"/>
              </w:rPr>
              <w:t>3</w:t>
            </w:r>
            <w:r w:rsidRPr="004C78D8">
              <w:rPr>
                <w:i/>
                <w:iCs/>
                <w:sz w:val="18"/>
                <w:szCs w:val="18"/>
                <w:vertAlign w:val="superscript"/>
              </w:rPr>
              <w:t>rd</w:t>
            </w:r>
            <w:r w:rsidRPr="004C78D8">
              <w:rPr>
                <w:i/>
                <w:iCs/>
                <w:sz w:val="18"/>
                <w:szCs w:val="18"/>
              </w:rPr>
              <w:t xml:space="preserve"> quartile</w:t>
            </w:r>
          </w:p>
        </w:tc>
        <w:tc>
          <w:tcPr>
            <w:tcW w:w="1842" w:type="dxa"/>
            <w:tcBorders>
              <w:top w:val="nil"/>
              <w:bottom w:val="nil"/>
            </w:tcBorders>
          </w:tcPr>
          <w:p w14:paraId="6E3B9061" w14:textId="5AA194E9" w:rsidR="00452F7E" w:rsidRPr="004C78D8" w:rsidRDefault="00557C69" w:rsidP="00FB7C1F">
            <w:pPr>
              <w:jc w:val="center"/>
              <w:rPr>
                <w:sz w:val="18"/>
                <w:szCs w:val="18"/>
              </w:rPr>
            </w:pPr>
            <w:r w:rsidRPr="004C78D8">
              <w:rPr>
                <w:sz w:val="18"/>
                <w:szCs w:val="18"/>
              </w:rPr>
              <w:t>-</w:t>
            </w:r>
            <w:r w:rsidR="00452F7E" w:rsidRPr="004C78D8">
              <w:rPr>
                <w:sz w:val="18"/>
                <w:szCs w:val="18"/>
              </w:rPr>
              <w:t>0.</w:t>
            </w:r>
            <w:r w:rsidRPr="004C78D8">
              <w:rPr>
                <w:sz w:val="18"/>
                <w:szCs w:val="18"/>
              </w:rPr>
              <w:t>188</w:t>
            </w:r>
            <w:r w:rsidR="00452F7E" w:rsidRPr="004C78D8">
              <w:rPr>
                <w:sz w:val="18"/>
                <w:szCs w:val="18"/>
              </w:rPr>
              <w:t xml:space="preserve"> (0.</w:t>
            </w:r>
            <w:r w:rsidRPr="004C78D8">
              <w:rPr>
                <w:sz w:val="18"/>
                <w:szCs w:val="18"/>
              </w:rPr>
              <w:t>096</w:t>
            </w:r>
            <w:r w:rsidR="00452F7E" w:rsidRPr="004C78D8">
              <w:rPr>
                <w:sz w:val="18"/>
                <w:szCs w:val="18"/>
              </w:rPr>
              <w:t>)</w:t>
            </w:r>
          </w:p>
        </w:tc>
        <w:tc>
          <w:tcPr>
            <w:tcW w:w="1701" w:type="dxa"/>
            <w:tcBorders>
              <w:top w:val="nil"/>
              <w:bottom w:val="nil"/>
            </w:tcBorders>
          </w:tcPr>
          <w:p w14:paraId="7E1ED3F8" w14:textId="0D1498DB" w:rsidR="00452F7E" w:rsidRPr="004C78D8" w:rsidRDefault="00452F7E" w:rsidP="00FB7C1F">
            <w:pPr>
              <w:jc w:val="center"/>
              <w:rPr>
                <w:sz w:val="18"/>
                <w:szCs w:val="18"/>
              </w:rPr>
            </w:pPr>
            <w:r w:rsidRPr="004C78D8">
              <w:rPr>
                <w:sz w:val="18"/>
                <w:szCs w:val="18"/>
              </w:rPr>
              <w:t>0.</w:t>
            </w:r>
            <w:r w:rsidR="00557C69" w:rsidRPr="004C78D8">
              <w:rPr>
                <w:sz w:val="18"/>
                <w:szCs w:val="18"/>
              </w:rPr>
              <w:t>051</w:t>
            </w:r>
          </w:p>
        </w:tc>
      </w:tr>
      <w:tr w:rsidR="00452F7E" w:rsidRPr="004C78D8" w14:paraId="1D139348" w14:textId="77777777" w:rsidTr="00E35893">
        <w:tc>
          <w:tcPr>
            <w:tcW w:w="2689" w:type="dxa"/>
            <w:tcBorders>
              <w:top w:val="nil"/>
              <w:bottom w:val="nil"/>
            </w:tcBorders>
          </w:tcPr>
          <w:p w14:paraId="20D64166" w14:textId="77777777" w:rsidR="00452F7E" w:rsidRPr="004C78D8" w:rsidRDefault="00452F7E" w:rsidP="00FB7C1F">
            <w:pPr>
              <w:jc w:val="right"/>
              <w:rPr>
                <w:sz w:val="18"/>
                <w:szCs w:val="18"/>
              </w:rPr>
            </w:pPr>
            <w:r w:rsidRPr="004C78D8">
              <w:rPr>
                <w:i/>
                <w:iCs/>
                <w:sz w:val="18"/>
                <w:szCs w:val="18"/>
              </w:rPr>
              <w:t>Most deprived quartile</w:t>
            </w:r>
          </w:p>
        </w:tc>
        <w:tc>
          <w:tcPr>
            <w:tcW w:w="1842" w:type="dxa"/>
            <w:tcBorders>
              <w:top w:val="nil"/>
              <w:bottom w:val="nil"/>
            </w:tcBorders>
          </w:tcPr>
          <w:p w14:paraId="569797BB" w14:textId="79473D9D" w:rsidR="00452F7E" w:rsidRPr="004C78D8" w:rsidRDefault="00557C69" w:rsidP="00FB7C1F">
            <w:pPr>
              <w:jc w:val="center"/>
              <w:rPr>
                <w:sz w:val="18"/>
                <w:szCs w:val="18"/>
              </w:rPr>
            </w:pPr>
            <w:r w:rsidRPr="004C78D8">
              <w:rPr>
                <w:sz w:val="18"/>
                <w:szCs w:val="18"/>
              </w:rPr>
              <w:t>-</w:t>
            </w:r>
            <w:r w:rsidR="00452F7E" w:rsidRPr="004C78D8">
              <w:rPr>
                <w:sz w:val="18"/>
                <w:szCs w:val="18"/>
              </w:rPr>
              <w:t>0.</w:t>
            </w:r>
            <w:r w:rsidRPr="004C78D8">
              <w:rPr>
                <w:sz w:val="18"/>
                <w:szCs w:val="18"/>
              </w:rPr>
              <w:t>455</w:t>
            </w:r>
            <w:r w:rsidR="00452F7E" w:rsidRPr="004C78D8">
              <w:rPr>
                <w:sz w:val="18"/>
                <w:szCs w:val="18"/>
              </w:rPr>
              <w:t xml:space="preserve"> (0.</w:t>
            </w:r>
            <w:r w:rsidRPr="004C78D8">
              <w:rPr>
                <w:sz w:val="18"/>
                <w:szCs w:val="18"/>
              </w:rPr>
              <w:t>130</w:t>
            </w:r>
            <w:r w:rsidR="00452F7E" w:rsidRPr="004C78D8">
              <w:rPr>
                <w:sz w:val="18"/>
                <w:szCs w:val="18"/>
              </w:rPr>
              <w:t>)</w:t>
            </w:r>
          </w:p>
        </w:tc>
        <w:tc>
          <w:tcPr>
            <w:tcW w:w="1701" w:type="dxa"/>
            <w:tcBorders>
              <w:top w:val="nil"/>
              <w:bottom w:val="nil"/>
            </w:tcBorders>
          </w:tcPr>
          <w:p w14:paraId="10A4CB2F" w14:textId="3CF3FFCF" w:rsidR="00452F7E" w:rsidRPr="004C78D8" w:rsidRDefault="00557C69" w:rsidP="00FB7C1F">
            <w:pPr>
              <w:jc w:val="center"/>
              <w:rPr>
                <w:sz w:val="18"/>
                <w:szCs w:val="18"/>
              </w:rPr>
            </w:pPr>
            <w:r w:rsidRPr="004C78D8">
              <w:rPr>
                <w:sz w:val="18"/>
                <w:szCs w:val="18"/>
              </w:rPr>
              <w:t>&lt;0.001</w:t>
            </w:r>
          </w:p>
        </w:tc>
      </w:tr>
      <w:tr w:rsidR="00452F7E" w:rsidRPr="004C78D8" w14:paraId="7A5F090E" w14:textId="77777777" w:rsidTr="00E35893">
        <w:tc>
          <w:tcPr>
            <w:tcW w:w="2689" w:type="dxa"/>
            <w:tcBorders>
              <w:top w:val="nil"/>
              <w:bottom w:val="nil"/>
            </w:tcBorders>
          </w:tcPr>
          <w:p w14:paraId="0C1AABFC" w14:textId="77777777" w:rsidR="00452F7E" w:rsidRPr="004C78D8" w:rsidRDefault="00452F7E" w:rsidP="00FB7C1F">
            <w:pPr>
              <w:jc w:val="left"/>
              <w:rPr>
                <w:sz w:val="18"/>
                <w:szCs w:val="18"/>
              </w:rPr>
            </w:pPr>
            <w:r w:rsidRPr="004C78D8">
              <w:rPr>
                <w:sz w:val="18"/>
                <w:szCs w:val="18"/>
              </w:rPr>
              <w:t>Frailty W4 (0-100)</w:t>
            </w:r>
          </w:p>
        </w:tc>
        <w:tc>
          <w:tcPr>
            <w:tcW w:w="1842" w:type="dxa"/>
            <w:tcBorders>
              <w:top w:val="nil"/>
              <w:bottom w:val="nil"/>
            </w:tcBorders>
          </w:tcPr>
          <w:p w14:paraId="76449BDD" w14:textId="02C7A34C" w:rsidR="00452F7E" w:rsidRPr="004C78D8" w:rsidRDefault="00452F7E" w:rsidP="00FB7C1F">
            <w:pPr>
              <w:jc w:val="center"/>
              <w:rPr>
                <w:sz w:val="18"/>
                <w:szCs w:val="18"/>
              </w:rPr>
            </w:pPr>
            <w:r w:rsidRPr="004C78D8">
              <w:rPr>
                <w:sz w:val="18"/>
                <w:szCs w:val="18"/>
              </w:rPr>
              <w:t>-0.</w:t>
            </w:r>
            <w:r w:rsidR="00557C69" w:rsidRPr="004C78D8">
              <w:rPr>
                <w:sz w:val="18"/>
                <w:szCs w:val="18"/>
              </w:rPr>
              <w:t>051</w:t>
            </w:r>
            <w:r w:rsidRPr="004C78D8">
              <w:rPr>
                <w:sz w:val="18"/>
                <w:szCs w:val="18"/>
              </w:rPr>
              <w:t xml:space="preserve"> (0.0</w:t>
            </w:r>
            <w:r w:rsidR="00557C69" w:rsidRPr="004C78D8">
              <w:rPr>
                <w:sz w:val="18"/>
                <w:szCs w:val="18"/>
              </w:rPr>
              <w:t>08</w:t>
            </w:r>
            <w:r w:rsidRPr="004C78D8">
              <w:rPr>
                <w:sz w:val="18"/>
                <w:szCs w:val="18"/>
              </w:rPr>
              <w:t>)</w:t>
            </w:r>
          </w:p>
        </w:tc>
        <w:tc>
          <w:tcPr>
            <w:tcW w:w="1701" w:type="dxa"/>
            <w:tcBorders>
              <w:top w:val="nil"/>
              <w:bottom w:val="nil"/>
            </w:tcBorders>
          </w:tcPr>
          <w:p w14:paraId="411C6BC4" w14:textId="77777777" w:rsidR="00452F7E" w:rsidRPr="004C78D8" w:rsidRDefault="00452F7E" w:rsidP="00FB7C1F">
            <w:pPr>
              <w:jc w:val="center"/>
              <w:rPr>
                <w:sz w:val="18"/>
                <w:szCs w:val="18"/>
              </w:rPr>
            </w:pPr>
            <w:r w:rsidRPr="004C78D8">
              <w:rPr>
                <w:sz w:val="18"/>
                <w:szCs w:val="18"/>
              </w:rPr>
              <w:t>&lt;0.001</w:t>
            </w:r>
          </w:p>
        </w:tc>
      </w:tr>
      <w:tr w:rsidR="00452F7E" w:rsidRPr="004C78D8" w14:paraId="7B63B174" w14:textId="77777777" w:rsidTr="00E35893">
        <w:tc>
          <w:tcPr>
            <w:tcW w:w="2689" w:type="dxa"/>
            <w:tcBorders>
              <w:top w:val="nil"/>
              <w:bottom w:val="nil"/>
            </w:tcBorders>
          </w:tcPr>
          <w:p w14:paraId="74697036" w14:textId="323B617B" w:rsidR="00452F7E" w:rsidRPr="004C78D8" w:rsidRDefault="00557C69" w:rsidP="00FB7C1F">
            <w:pPr>
              <w:jc w:val="left"/>
              <w:rPr>
                <w:sz w:val="18"/>
                <w:szCs w:val="18"/>
              </w:rPr>
            </w:pPr>
            <w:r w:rsidRPr="004C78D8">
              <w:rPr>
                <w:sz w:val="18"/>
                <w:szCs w:val="18"/>
              </w:rPr>
              <w:t>C</w:t>
            </w:r>
            <w:r w:rsidR="00452F7E" w:rsidRPr="004C78D8">
              <w:rPr>
                <w:sz w:val="18"/>
                <w:szCs w:val="18"/>
              </w:rPr>
              <w:t>hange in frailty</w:t>
            </w:r>
            <w:r w:rsidR="002E2CF3" w:rsidRPr="004C78D8">
              <w:rPr>
                <w:sz w:val="18"/>
                <w:szCs w:val="18"/>
                <w:vertAlign w:val="superscript"/>
              </w:rPr>
              <w:t>1</w:t>
            </w:r>
          </w:p>
        </w:tc>
        <w:tc>
          <w:tcPr>
            <w:tcW w:w="1842" w:type="dxa"/>
            <w:tcBorders>
              <w:top w:val="nil"/>
              <w:bottom w:val="nil"/>
            </w:tcBorders>
          </w:tcPr>
          <w:p w14:paraId="0C02C49A" w14:textId="36281CFA" w:rsidR="00452F7E" w:rsidRPr="004C78D8" w:rsidRDefault="00557C69" w:rsidP="00FB7C1F">
            <w:pPr>
              <w:jc w:val="center"/>
              <w:rPr>
                <w:sz w:val="18"/>
                <w:szCs w:val="18"/>
              </w:rPr>
            </w:pPr>
            <w:r w:rsidRPr="004C78D8">
              <w:rPr>
                <w:sz w:val="18"/>
                <w:szCs w:val="18"/>
              </w:rPr>
              <w:t>-0.070 (0.009)</w:t>
            </w:r>
          </w:p>
        </w:tc>
        <w:tc>
          <w:tcPr>
            <w:tcW w:w="1701" w:type="dxa"/>
            <w:tcBorders>
              <w:top w:val="nil"/>
              <w:bottom w:val="nil"/>
            </w:tcBorders>
          </w:tcPr>
          <w:p w14:paraId="613CFA85" w14:textId="328793BE" w:rsidR="00452F7E" w:rsidRPr="004C78D8" w:rsidRDefault="00557C69" w:rsidP="00FB7C1F">
            <w:pPr>
              <w:jc w:val="center"/>
              <w:rPr>
                <w:sz w:val="18"/>
                <w:szCs w:val="18"/>
              </w:rPr>
            </w:pPr>
            <w:r w:rsidRPr="004C78D8">
              <w:rPr>
                <w:sz w:val="18"/>
                <w:szCs w:val="18"/>
              </w:rPr>
              <w:t>&lt;0.001</w:t>
            </w:r>
          </w:p>
        </w:tc>
      </w:tr>
      <w:tr w:rsidR="00452F7E" w:rsidRPr="004C78D8" w14:paraId="0867EEAA" w14:textId="77777777" w:rsidTr="00E35893">
        <w:tc>
          <w:tcPr>
            <w:tcW w:w="2689" w:type="dxa"/>
            <w:tcBorders>
              <w:top w:val="nil"/>
              <w:bottom w:val="nil"/>
            </w:tcBorders>
          </w:tcPr>
          <w:p w14:paraId="2AEB4989" w14:textId="77777777" w:rsidR="00452F7E" w:rsidRPr="004C78D8" w:rsidRDefault="00452F7E" w:rsidP="00FB7C1F">
            <w:pPr>
              <w:jc w:val="left"/>
              <w:rPr>
                <w:sz w:val="18"/>
                <w:szCs w:val="18"/>
              </w:rPr>
            </w:pPr>
            <w:r w:rsidRPr="004C78D8">
              <w:rPr>
                <w:sz w:val="18"/>
                <w:szCs w:val="18"/>
              </w:rPr>
              <w:t>High physical activity W4</w:t>
            </w:r>
          </w:p>
        </w:tc>
        <w:tc>
          <w:tcPr>
            <w:tcW w:w="1842" w:type="dxa"/>
            <w:tcBorders>
              <w:top w:val="nil"/>
              <w:bottom w:val="nil"/>
            </w:tcBorders>
          </w:tcPr>
          <w:p w14:paraId="1F70D288" w14:textId="144141FF" w:rsidR="00452F7E" w:rsidRPr="004C78D8" w:rsidRDefault="00660F90" w:rsidP="00FB7C1F">
            <w:pPr>
              <w:jc w:val="center"/>
              <w:rPr>
                <w:sz w:val="18"/>
                <w:szCs w:val="18"/>
              </w:rPr>
            </w:pPr>
            <w:r w:rsidRPr="004C78D8">
              <w:rPr>
                <w:sz w:val="18"/>
                <w:szCs w:val="18"/>
              </w:rPr>
              <w:t>2</w:t>
            </w:r>
            <w:r w:rsidR="00452F7E" w:rsidRPr="004C78D8">
              <w:rPr>
                <w:sz w:val="18"/>
                <w:szCs w:val="18"/>
              </w:rPr>
              <w:t>.</w:t>
            </w:r>
            <w:r w:rsidRPr="004C78D8">
              <w:rPr>
                <w:sz w:val="18"/>
                <w:szCs w:val="18"/>
              </w:rPr>
              <w:t>029</w:t>
            </w:r>
            <w:r w:rsidR="00452F7E" w:rsidRPr="004C78D8">
              <w:rPr>
                <w:sz w:val="18"/>
                <w:szCs w:val="18"/>
              </w:rPr>
              <w:t xml:space="preserve"> (0.</w:t>
            </w:r>
            <w:r w:rsidRPr="004C78D8">
              <w:rPr>
                <w:sz w:val="18"/>
                <w:szCs w:val="18"/>
              </w:rPr>
              <w:t>082</w:t>
            </w:r>
            <w:r w:rsidR="00452F7E" w:rsidRPr="004C78D8">
              <w:rPr>
                <w:sz w:val="18"/>
                <w:szCs w:val="18"/>
              </w:rPr>
              <w:t>)</w:t>
            </w:r>
          </w:p>
        </w:tc>
        <w:tc>
          <w:tcPr>
            <w:tcW w:w="1701" w:type="dxa"/>
            <w:tcBorders>
              <w:top w:val="nil"/>
              <w:bottom w:val="nil"/>
            </w:tcBorders>
          </w:tcPr>
          <w:p w14:paraId="46496301" w14:textId="77777777" w:rsidR="00452F7E" w:rsidRPr="004C78D8" w:rsidRDefault="00452F7E" w:rsidP="00FB7C1F">
            <w:pPr>
              <w:jc w:val="center"/>
              <w:rPr>
                <w:sz w:val="18"/>
                <w:szCs w:val="18"/>
              </w:rPr>
            </w:pPr>
            <w:r w:rsidRPr="004C78D8">
              <w:rPr>
                <w:sz w:val="18"/>
                <w:szCs w:val="18"/>
              </w:rPr>
              <w:t>&lt;0.001</w:t>
            </w:r>
          </w:p>
        </w:tc>
      </w:tr>
      <w:tr w:rsidR="00452F7E" w:rsidRPr="004C78D8" w14:paraId="7B4711F3" w14:textId="77777777" w:rsidTr="00E35893">
        <w:tc>
          <w:tcPr>
            <w:tcW w:w="2689" w:type="dxa"/>
            <w:tcBorders>
              <w:top w:val="nil"/>
              <w:bottom w:val="nil"/>
            </w:tcBorders>
          </w:tcPr>
          <w:p w14:paraId="2CA4B23D" w14:textId="77777777" w:rsidR="00452F7E" w:rsidRPr="004C78D8" w:rsidRDefault="00452F7E" w:rsidP="00FB7C1F">
            <w:pPr>
              <w:jc w:val="left"/>
              <w:rPr>
                <w:sz w:val="18"/>
                <w:szCs w:val="18"/>
              </w:rPr>
            </w:pPr>
            <w:r w:rsidRPr="004C78D8">
              <w:rPr>
                <w:sz w:val="18"/>
                <w:szCs w:val="18"/>
              </w:rPr>
              <w:t>Informal care receipt W4</w:t>
            </w:r>
          </w:p>
        </w:tc>
        <w:tc>
          <w:tcPr>
            <w:tcW w:w="1842" w:type="dxa"/>
            <w:tcBorders>
              <w:top w:val="nil"/>
              <w:bottom w:val="nil"/>
            </w:tcBorders>
          </w:tcPr>
          <w:p w14:paraId="4556AB5F" w14:textId="1E8BE0BA" w:rsidR="00452F7E" w:rsidRPr="004C78D8" w:rsidRDefault="00660F90" w:rsidP="00FB7C1F">
            <w:pPr>
              <w:jc w:val="center"/>
              <w:rPr>
                <w:sz w:val="18"/>
                <w:szCs w:val="18"/>
              </w:rPr>
            </w:pPr>
            <w:r w:rsidRPr="004C78D8">
              <w:rPr>
                <w:sz w:val="18"/>
                <w:szCs w:val="18"/>
              </w:rPr>
              <w:t>-0</w:t>
            </w:r>
            <w:r w:rsidR="00452F7E" w:rsidRPr="004C78D8">
              <w:rPr>
                <w:sz w:val="18"/>
                <w:szCs w:val="18"/>
              </w:rPr>
              <w:t>.</w:t>
            </w:r>
            <w:r w:rsidRPr="004C78D8">
              <w:rPr>
                <w:sz w:val="18"/>
                <w:szCs w:val="18"/>
              </w:rPr>
              <w:t>444</w:t>
            </w:r>
            <w:r w:rsidR="00452F7E" w:rsidRPr="004C78D8">
              <w:rPr>
                <w:sz w:val="18"/>
                <w:szCs w:val="18"/>
              </w:rPr>
              <w:t xml:space="preserve"> (0.</w:t>
            </w:r>
            <w:r w:rsidRPr="004C78D8">
              <w:rPr>
                <w:sz w:val="18"/>
                <w:szCs w:val="18"/>
              </w:rPr>
              <w:t>142</w:t>
            </w:r>
            <w:r w:rsidR="00452F7E" w:rsidRPr="004C78D8">
              <w:rPr>
                <w:sz w:val="18"/>
                <w:szCs w:val="18"/>
              </w:rPr>
              <w:t>)</w:t>
            </w:r>
          </w:p>
        </w:tc>
        <w:tc>
          <w:tcPr>
            <w:tcW w:w="1701" w:type="dxa"/>
            <w:tcBorders>
              <w:top w:val="nil"/>
              <w:bottom w:val="nil"/>
            </w:tcBorders>
          </w:tcPr>
          <w:p w14:paraId="28F933DB" w14:textId="57BC79F2" w:rsidR="00452F7E" w:rsidRPr="004C78D8" w:rsidRDefault="00452F7E" w:rsidP="00FB7C1F">
            <w:pPr>
              <w:jc w:val="center"/>
              <w:rPr>
                <w:sz w:val="18"/>
                <w:szCs w:val="18"/>
              </w:rPr>
            </w:pPr>
            <w:r w:rsidRPr="004C78D8">
              <w:rPr>
                <w:sz w:val="18"/>
                <w:szCs w:val="18"/>
              </w:rPr>
              <w:t>0.00</w:t>
            </w:r>
            <w:r w:rsidR="00660F90" w:rsidRPr="004C78D8">
              <w:rPr>
                <w:sz w:val="18"/>
                <w:szCs w:val="18"/>
              </w:rPr>
              <w:t>2</w:t>
            </w:r>
          </w:p>
        </w:tc>
      </w:tr>
      <w:tr w:rsidR="00452F7E" w:rsidRPr="004C78D8" w14:paraId="618BF8E6" w14:textId="77777777" w:rsidTr="00E35893">
        <w:tc>
          <w:tcPr>
            <w:tcW w:w="6232" w:type="dxa"/>
            <w:gridSpan w:val="3"/>
          </w:tcPr>
          <w:p w14:paraId="7EB6C05C" w14:textId="5111F9E5" w:rsidR="002E2CF3" w:rsidRPr="004C78D8" w:rsidRDefault="00D10D5E" w:rsidP="00FB7C1F">
            <w:pPr>
              <w:rPr>
                <w:sz w:val="18"/>
                <w:szCs w:val="18"/>
              </w:rPr>
            </w:pPr>
            <w:r w:rsidRPr="004C78D8">
              <w:rPr>
                <w:b/>
                <w:bCs/>
                <w:sz w:val="18"/>
                <w:szCs w:val="18"/>
              </w:rPr>
              <w:t>Abbreviation</w:t>
            </w:r>
            <w:r w:rsidR="002E2CF3" w:rsidRPr="004C78D8">
              <w:rPr>
                <w:b/>
                <w:bCs/>
                <w:sz w:val="18"/>
                <w:szCs w:val="18"/>
              </w:rPr>
              <w:t>:</w:t>
            </w:r>
            <w:r w:rsidR="002E2CF3" w:rsidRPr="004C78D8">
              <w:rPr>
                <w:sz w:val="18"/>
                <w:szCs w:val="18"/>
              </w:rPr>
              <w:t xml:space="preserve"> ELSA: English Longitudinal Study of Ageing; Ref: reference; SE: standard error; </w:t>
            </w:r>
            <w:r w:rsidR="006B6B8C" w:rsidRPr="004C78D8">
              <w:rPr>
                <w:sz w:val="18"/>
                <w:szCs w:val="18"/>
              </w:rPr>
              <w:t xml:space="preserve">SES: socioeconomic status; </w:t>
            </w:r>
            <w:r w:rsidR="002E2CF3" w:rsidRPr="004C78D8">
              <w:rPr>
                <w:sz w:val="18"/>
                <w:szCs w:val="18"/>
              </w:rPr>
              <w:t>W4: ELSA Wave 4; W5: ELSA Wave 5</w:t>
            </w:r>
          </w:p>
          <w:p w14:paraId="6B381509" w14:textId="4193A3E2" w:rsidR="00452F7E" w:rsidRPr="004C78D8" w:rsidRDefault="002E2CF3" w:rsidP="00FB7C1F">
            <w:pPr>
              <w:rPr>
                <w:sz w:val="18"/>
                <w:szCs w:val="18"/>
              </w:rPr>
            </w:pPr>
            <w:r w:rsidRPr="004C78D8">
              <w:rPr>
                <w:sz w:val="18"/>
                <w:szCs w:val="18"/>
                <w:vertAlign w:val="superscript"/>
              </w:rPr>
              <w:t>1</w:t>
            </w:r>
            <w:r w:rsidR="00557C69" w:rsidRPr="004C78D8">
              <w:rPr>
                <w:sz w:val="18"/>
                <w:szCs w:val="18"/>
              </w:rPr>
              <w:t xml:space="preserve"> Covariate included in logistic regression is </w:t>
            </w:r>
            <w:r w:rsidR="00B902A8" w:rsidRPr="004C78D8">
              <w:rPr>
                <w:sz w:val="18"/>
                <w:szCs w:val="18"/>
              </w:rPr>
              <w:t>two-year</w:t>
            </w:r>
            <w:r w:rsidR="00557C69" w:rsidRPr="004C78D8">
              <w:rPr>
                <w:sz w:val="18"/>
                <w:szCs w:val="18"/>
              </w:rPr>
              <w:t xml:space="preserve"> change in frailty measured in ELSA. In model simulation, the annuali</w:t>
            </w:r>
            <w:r w:rsidR="00C001EA" w:rsidRPr="004C78D8">
              <w:rPr>
                <w:sz w:val="18"/>
                <w:szCs w:val="18"/>
              </w:rPr>
              <w:t>s</w:t>
            </w:r>
            <w:r w:rsidR="00557C69" w:rsidRPr="004C78D8">
              <w:rPr>
                <w:sz w:val="18"/>
                <w:szCs w:val="18"/>
              </w:rPr>
              <w:t xml:space="preserve">ed change in frailty is used instead to predict dependent variable. </w:t>
            </w:r>
          </w:p>
        </w:tc>
      </w:tr>
    </w:tbl>
    <w:p w14:paraId="1A4B02B4" w14:textId="77777777" w:rsidR="00837A4F" w:rsidRPr="004C78D8" w:rsidRDefault="00837A4F" w:rsidP="00FB7C1F"/>
    <w:p w14:paraId="723288B1" w14:textId="2581BD77" w:rsidR="00C04E9F" w:rsidRPr="004C78D8" w:rsidRDefault="008121C8" w:rsidP="00FB7C1F">
      <w:r w:rsidRPr="004C78D8">
        <w:t>Older</w:t>
      </w:r>
      <w:r w:rsidR="00DF0751" w:rsidRPr="004C78D8">
        <w:t xml:space="preserve"> age was associated with reduced probability of engaging in high physical activity. </w:t>
      </w:r>
      <w:r w:rsidR="00A16F04" w:rsidRPr="004C78D8">
        <w:t xml:space="preserve">Women were </w:t>
      </w:r>
      <w:r w:rsidR="002E5F09" w:rsidRPr="004C78D8">
        <w:t>l</w:t>
      </w:r>
      <w:r w:rsidR="00A16F04" w:rsidRPr="004C78D8">
        <w:t xml:space="preserve">ess likely to engage in high physical activity, as were those in the most deprived </w:t>
      </w:r>
      <w:r w:rsidR="003D61F1" w:rsidRPr="004C78D8">
        <w:t>SES</w:t>
      </w:r>
      <w:r w:rsidR="00A16F04" w:rsidRPr="004C78D8">
        <w:t xml:space="preserve"> quartile. Both </w:t>
      </w:r>
      <w:r w:rsidR="002E5F09" w:rsidRPr="004C78D8">
        <w:t xml:space="preserve">Wave 4 </w:t>
      </w:r>
      <w:r w:rsidR="00A16F04" w:rsidRPr="004C78D8">
        <w:t xml:space="preserve">frailty score and the change in frailty were associated with the probability. As expected, those who engaged in high physical activity in Wave 4 were likelier to be engaged in Wave 5. </w:t>
      </w:r>
      <w:r w:rsidR="002E5F09" w:rsidRPr="004C78D8">
        <w:t>I</w:t>
      </w:r>
      <w:r w:rsidR="00B83934" w:rsidRPr="004C78D8">
        <w:t>nformal care recipients were in vulnerable states that reduced their chance of engaging in high physical activity.</w:t>
      </w:r>
      <w:r w:rsidR="00BF651D" w:rsidRPr="004C78D8">
        <w:t xml:space="preserve"> </w:t>
      </w:r>
    </w:p>
    <w:p w14:paraId="52E7CDD1" w14:textId="3381D17C" w:rsidR="00223670" w:rsidRPr="004C78D8" w:rsidRDefault="00676A8B" w:rsidP="00FB7C1F">
      <w:pPr>
        <w:pStyle w:val="Heading5"/>
      </w:pPr>
      <w:r w:rsidRPr="004C78D8">
        <w:t xml:space="preserve">Self-referred exercise </w:t>
      </w:r>
      <w:r w:rsidR="00223670" w:rsidRPr="004C78D8">
        <w:t>demand</w:t>
      </w:r>
    </w:p>
    <w:p w14:paraId="519A5290" w14:textId="6AA06BA9" w:rsidR="009A6150" w:rsidRPr="004C78D8" w:rsidRDefault="000B3AEF" w:rsidP="00FB7C1F">
      <w:r w:rsidRPr="004C78D8">
        <w:t>Demand for self-referred exercise</w:t>
      </w:r>
      <w:r w:rsidR="00BB2539" w:rsidRPr="004C78D8">
        <w:t xml:space="preserve"> increased from 8.2% in Wave 4 to 10.6% in Wave 5. This may be attributed to </w:t>
      </w:r>
      <w:r w:rsidR="002F142C" w:rsidRPr="004C78D8">
        <w:t xml:space="preserve">the higher proportion of women in Wave 5 (since the cohort is </w:t>
      </w:r>
      <w:r w:rsidR="003D61F1" w:rsidRPr="004C78D8">
        <w:t>two</w:t>
      </w:r>
      <w:r w:rsidR="002F142C" w:rsidRPr="004C78D8">
        <w:t xml:space="preserve"> years older) who are likelier to attend exercise sessions</w:t>
      </w:r>
      <w:r w:rsidR="002E5F09" w:rsidRPr="004C78D8">
        <w:t xml:space="preserve">. </w:t>
      </w:r>
      <w:r w:rsidR="00DD4308" w:rsidRPr="004C78D8">
        <w:t xml:space="preserve">Table </w:t>
      </w:r>
      <w:r w:rsidR="00B05FF6" w:rsidRPr="004C78D8">
        <w:t>5</w:t>
      </w:r>
      <w:r w:rsidR="00DD4308" w:rsidRPr="004C78D8">
        <w:t>.</w:t>
      </w:r>
      <w:r w:rsidR="00B05FF6" w:rsidRPr="004C78D8">
        <w:t>49</w:t>
      </w:r>
      <w:r w:rsidR="00DD4308" w:rsidRPr="004C78D8">
        <w:t xml:space="preserve"> shows the coefficient estimates from the best-fit logistic regression for self-referred exercise demand.</w:t>
      </w:r>
    </w:p>
    <w:tbl>
      <w:tblPr>
        <w:tblStyle w:val="TableGrid"/>
        <w:tblW w:w="0" w:type="auto"/>
        <w:tblInd w:w="-5" w:type="dxa"/>
        <w:tblLook w:val="04A0" w:firstRow="1" w:lastRow="0" w:firstColumn="1" w:lastColumn="0" w:noHBand="0" w:noVBand="1"/>
      </w:tblPr>
      <w:tblGrid>
        <w:gridCol w:w="2689"/>
        <w:gridCol w:w="1842"/>
        <w:gridCol w:w="1701"/>
      </w:tblGrid>
      <w:tr w:rsidR="00633167" w:rsidRPr="004C78D8" w14:paraId="270570B7" w14:textId="77777777" w:rsidTr="00E35893">
        <w:tc>
          <w:tcPr>
            <w:tcW w:w="6232" w:type="dxa"/>
            <w:gridSpan w:val="3"/>
          </w:tcPr>
          <w:p w14:paraId="7B4BD3B3" w14:textId="1FB1BEAB" w:rsidR="00633167" w:rsidRPr="004C78D8" w:rsidRDefault="00633167" w:rsidP="00FB7C1F">
            <w:pPr>
              <w:jc w:val="left"/>
            </w:pPr>
            <w:r w:rsidRPr="004C78D8">
              <w:rPr>
                <w:b/>
                <w:bCs/>
              </w:rPr>
              <w:t xml:space="preserve">Table </w:t>
            </w:r>
            <w:r w:rsidR="00B05FF6" w:rsidRPr="004C78D8">
              <w:rPr>
                <w:b/>
                <w:bCs/>
              </w:rPr>
              <w:t>5</w:t>
            </w:r>
            <w:r w:rsidRPr="004C78D8">
              <w:rPr>
                <w:b/>
                <w:bCs/>
              </w:rPr>
              <w:t>.</w:t>
            </w:r>
            <w:r w:rsidR="00B05FF6" w:rsidRPr="004C78D8">
              <w:rPr>
                <w:b/>
                <w:bCs/>
              </w:rPr>
              <w:t>49</w:t>
            </w:r>
            <w:r w:rsidRPr="004C78D8">
              <w:t xml:space="preserve"> Logistic regression coefficients for self-referred exercise demand in ELSA Wave 5</w:t>
            </w:r>
            <w:r w:rsidR="003D61F1" w:rsidRPr="004C78D8">
              <w:t>.</w:t>
            </w:r>
          </w:p>
        </w:tc>
      </w:tr>
      <w:tr w:rsidR="00633167" w:rsidRPr="004C78D8" w14:paraId="28758C16" w14:textId="77777777" w:rsidTr="00E35893">
        <w:tc>
          <w:tcPr>
            <w:tcW w:w="6232" w:type="dxa"/>
            <w:gridSpan w:val="3"/>
          </w:tcPr>
          <w:p w14:paraId="16C1EB88" w14:textId="66E84999" w:rsidR="00633167" w:rsidRPr="004C78D8" w:rsidRDefault="00633167" w:rsidP="00FB7C1F">
            <w:pPr>
              <w:jc w:val="left"/>
              <w:rPr>
                <w:b/>
                <w:bCs/>
                <w:i/>
                <w:iCs/>
                <w:sz w:val="20"/>
                <w:szCs w:val="20"/>
              </w:rPr>
            </w:pPr>
            <w:r w:rsidRPr="004C78D8">
              <w:rPr>
                <w:b/>
                <w:bCs/>
                <w:i/>
                <w:iCs/>
                <w:sz w:val="20"/>
                <w:szCs w:val="20"/>
              </w:rPr>
              <w:t>Dependent variable: Self-referred exercise demand in Wave 5 (N=6,094)</w:t>
            </w:r>
          </w:p>
        </w:tc>
      </w:tr>
      <w:tr w:rsidR="00633167" w:rsidRPr="004C78D8" w14:paraId="64079464" w14:textId="77777777" w:rsidTr="00E35893">
        <w:tc>
          <w:tcPr>
            <w:tcW w:w="2689" w:type="dxa"/>
            <w:tcBorders>
              <w:bottom w:val="single" w:sz="4" w:space="0" w:color="auto"/>
            </w:tcBorders>
          </w:tcPr>
          <w:p w14:paraId="408BED00" w14:textId="77777777" w:rsidR="00633167" w:rsidRPr="004C78D8" w:rsidRDefault="00633167" w:rsidP="00FB7C1F">
            <w:pPr>
              <w:rPr>
                <w:b/>
                <w:bCs/>
                <w:sz w:val="20"/>
                <w:szCs w:val="20"/>
              </w:rPr>
            </w:pPr>
            <w:r w:rsidRPr="004C78D8">
              <w:rPr>
                <w:b/>
                <w:bCs/>
                <w:sz w:val="20"/>
                <w:szCs w:val="20"/>
              </w:rPr>
              <w:t>Explanatory variables</w:t>
            </w:r>
          </w:p>
        </w:tc>
        <w:tc>
          <w:tcPr>
            <w:tcW w:w="1842" w:type="dxa"/>
            <w:tcBorders>
              <w:bottom w:val="single" w:sz="4" w:space="0" w:color="auto"/>
            </w:tcBorders>
          </w:tcPr>
          <w:p w14:paraId="530FFE01" w14:textId="77777777" w:rsidR="00633167" w:rsidRPr="004C78D8" w:rsidRDefault="00633167" w:rsidP="00FB7C1F">
            <w:pPr>
              <w:jc w:val="center"/>
              <w:rPr>
                <w:b/>
                <w:bCs/>
                <w:sz w:val="20"/>
                <w:szCs w:val="20"/>
              </w:rPr>
            </w:pPr>
            <w:r w:rsidRPr="004C78D8">
              <w:rPr>
                <w:b/>
                <w:bCs/>
                <w:sz w:val="20"/>
                <w:szCs w:val="20"/>
              </w:rPr>
              <w:t>Coefficient (SE)</w:t>
            </w:r>
          </w:p>
        </w:tc>
        <w:tc>
          <w:tcPr>
            <w:tcW w:w="1701" w:type="dxa"/>
            <w:tcBorders>
              <w:bottom w:val="single" w:sz="4" w:space="0" w:color="auto"/>
            </w:tcBorders>
          </w:tcPr>
          <w:p w14:paraId="27904082" w14:textId="77777777" w:rsidR="00633167" w:rsidRPr="004C78D8" w:rsidRDefault="00633167" w:rsidP="00FB7C1F">
            <w:pPr>
              <w:jc w:val="center"/>
              <w:rPr>
                <w:b/>
                <w:bCs/>
                <w:sz w:val="20"/>
                <w:szCs w:val="20"/>
              </w:rPr>
            </w:pPr>
            <w:r w:rsidRPr="004C78D8">
              <w:rPr>
                <w:b/>
                <w:bCs/>
                <w:sz w:val="20"/>
                <w:szCs w:val="20"/>
              </w:rPr>
              <w:t>P-value</w:t>
            </w:r>
          </w:p>
        </w:tc>
      </w:tr>
      <w:tr w:rsidR="00633167" w:rsidRPr="004C78D8" w14:paraId="5E774641" w14:textId="77777777" w:rsidTr="00E35893">
        <w:tc>
          <w:tcPr>
            <w:tcW w:w="2689" w:type="dxa"/>
            <w:tcBorders>
              <w:bottom w:val="nil"/>
            </w:tcBorders>
          </w:tcPr>
          <w:p w14:paraId="11D4A004" w14:textId="77777777" w:rsidR="00633167" w:rsidRPr="004C78D8" w:rsidRDefault="00633167" w:rsidP="00FB7C1F">
            <w:pPr>
              <w:jc w:val="left"/>
              <w:rPr>
                <w:sz w:val="18"/>
                <w:szCs w:val="18"/>
              </w:rPr>
            </w:pPr>
            <w:r w:rsidRPr="004C78D8">
              <w:rPr>
                <w:sz w:val="18"/>
                <w:szCs w:val="18"/>
              </w:rPr>
              <w:t>Constant</w:t>
            </w:r>
          </w:p>
        </w:tc>
        <w:tc>
          <w:tcPr>
            <w:tcW w:w="1842" w:type="dxa"/>
            <w:tcBorders>
              <w:bottom w:val="nil"/>
            </w:tcBorders>
          </w:tcPr>
          <w:p w14:paraId="250B6B35" w14:textId="29344802" w:rsidR="00633167" w:rsidRPr="004C78D8" w:rsidRDefault="00633167" w:rsidP="00FB7C1F">
            <w:pPr>
              <w:jc w:val="center"/>
              <w:rPr>
                <w:sz w:val="18"/>
                <w:szCs w:val="18"/>
              </w:rPr>
            </w:pPr>
            <w:r w:rsidRPr="004C78D8">
              <w:rPr>
                <w:sz w:val="18"/>
                <w:szCs w:val="18"/>
              </w:rPr>
              <w:t>-3.211 (0.464)</w:t>
            </w:r>
          </w:p>
        </w:tc>
        <w:tc>
          <w:tcPr>
            <w:tcW w:w="1701" w:type="dxa"/>
            <w:tcBorders>
              <w:bottom w:val="nil"/>
            </w:tcBorders>
          </w:tcPr>
          <w:p w14:paraId="421C9B1C" w14:textId="77777777" w:rsidR="00633167" w:rsidRPr="004C78D8" w:rsidRDefault="00633167" w:rsidP="00FB7C1F">
            <w:pPr>
              <w:jc w:val="center"/>
              <w:rPr>
                <w:sz w:val="18"/>
                <w:szCs w:val="18"/>
              </w:rPr>
            </w:pPr>
            <w:r w:rsidRPr="004C78D8">
              <w:rPr>
                <w:sz w:val="18"/>
                <w:szCs w:val="18"/>
              </w:rPr>
              <w:t>&lt;0.001</w:t>
            </w:r>
          </w:p>
        </w:tc>
      </w:tr>
      <w:tr w:rsidR="00633167" w:rsidRPr="004C78D8" w14:paraId="433AC7EF" w14:textId="77777777" w:rsidTr="00E35893">
        <w:tc>
          <w:tcPr>
            <w:tcW w:w="2689" w:type="dxa"/>
            <w:tcBorders>
              <w:top w:val="nil"/>
              <w:bottom w:val="nil"/>
            </w:tcBorders>
          </w:tcPr>
          <w:p w14:paraId="20CF1796" w14:textId="77777777" w:rsidR="00633167" w:rsidRPr="004C78D8" w:rsidRDefault="00633167" w:rsidP="00FB7C1F">
            <w:pPr>
              <w:jc w:val="left"/>
              <w:rPr>
                <w:sz w:val="18"/>
                <w:szCs w:val="18"/>
              </w:rPr>
            </w:pPr>
            <w:r w:rsidRPr="004C78D8">
              <w:rPr>
                <w:sz w:val="18"/>
                <w:szCs w:val="18"/>
              </w:rPr>
              <w:t>Age W4</w:t>
            </w:r>
          </w:p>
        </w:tc>
        <w:tc>
          <w:tcPr>
            <w:tcW w:w="1842" w:type="dxa"/>
            <w:tcBorders>
              <w:top w:val="nil"/>
              <w:bottom w:val="nil"/>
            </w:tcBorders>
          </w:tcPr>
          <w:p w14:paraId="43C8A584" w14:textId="17642FD3" w:rsidR="00633167" w:rsidRPr="004C78D8" w:rsidRDefault="00633167" w:rsidP="00FB7C1F">
            <w:pPr>
              <w:jc w:val="center"/>
              <w:rPr>
                <w:sz w:val="18"/>
                <w:szCs w:val="18"/>
              </w:rPr>
            </w:pPr>
            <w:r w:rsidRPr="004C78D8">
              <w:rPr>
                <w:sz w:val="18"/>
                <w:szCs w:val="18"/>
              </w:rPr>
              <w:t>-0.017 (0.006)</w:t>
            </w:r>
          </w:p>
        </w:tc>
        <w:tc>
          <w:tcPr>
            <w:tcW w:w="1701" w:type="dxa"/>
            <w:tcBorders>
              <w:top w:val="nil"/>
              <w:bottom w:val="nil"/>
            </w:tcBorders>
          </w:tcPr>
          <w:p w14:paraId="0382927F" w14:textId="675292F5" w:rsidR="00633167" w:rsidRPr="004C78D8" w:rsidRDefault="00633167" w:rsidP="00FB7C1F">
            <w:pPr>
              <w:jc w:val="center"/>
              <w:rPr>
                <w:sz w:val="18"/>
                <w:szCs w:val="18"/>
              </w:rPr>
            </w:pPr>
            <w:r w:rsidRPr="004C78D8">
              <w:rPr>
                <w:sz w:val="18"/>
                <w:szCs w:val="18"/>
              </w:rPr>
              <w:t>0.010</w:t>
            </w:r>
          </w:p>
        </w:tc>
      </w:tr>
      <w:tr w:rsidR="00633167" w:rsidRPr="004C78D8" w14:paraId="769257E4" w14:textId="77777777" w:rsidTr="00E35893">
        <w:tc>
          <w:tcPr>
            <w:tcW w:w="2689" w:type="dxa"/>
            <w:tcBorders>
              <w:top w:val="nil"/>
              <w:bottom w:val="nil"/>
            </w:tcBorders>
          </w:tcPr>
          <w:p w14:paraId="35FC4D74" w14:textId="77777777" w:rsidR="00633167" w:rsidRPr="004C78D8" w:rsidRDefault="00633167" w:rsidP="00FB7C1F">
            <w:pPr>
              <w:jc w:val="left"/>
              <w:rPr>
                <w:sz w:val="18"/>
                <w:szCs w:val="18"/>
              </w:rPr>
            </w:pPr>
            <w:r w:rsidRPr="004C78D8">
              <w:rPr>
                <w:sz w:val="18"/>
                <w:szCs w:val="18"/>
              </w:rPr>
              <w:t>Female</w:t>
            </w:r>
          </w:p>
        </w:tc>
        <w:tc>
          <w:tcPr>
            <w:tcW w:w="1842" w:type="dxa"/>
            <w:tcBorders>
              <w:top w:val="nil"/>
              <w:bottom w:val="nil"/>
            </w:tcBorders>
          </w:tcPr>
          <w:p w14:paraId="2B34295E" w14:textId="13DC74EB" w:rsidR="00633167" w:rsidRPr="004C78D8" w:rsidRDefault="00633167" w:rsidP="00FB7C1F">
            <w:pPr>
              <w:jc w:val="center"/>
              <w:rPr>
                <w:sz w:val="18"/>
                <w:szCs w:val="18"/>
              </w:rPr>
            </w:pPr>
            <w:r w:rsidRPr="004C78D8">
              <w:rPr>
                <w:sz w:val="18"/>
                <w:szCs w:val="18"/>
              </w:rPr>
              <w:t>0.627 (0.096)</w:t>
            </w:r>
          </w:p>
        </w:tc>
        <w:tc>
          <w:tcPr>
            <w:tcW w:w="1701" w:type="dxa"/>
            <w:tcBorders>
              <w:top w:val="nil"/>
              <w:bottom w:val="nil"/>
            </w:tcBorders>
          </w:tcPr>
          <w:p w14:paraId="0B23C6E8" w14:textId="1749423E" w:rsidR="00633167" w:rsidRPr="004C78D8" w:rsidRDefault="00633167" w:rsidP="00FB7C1F">
            <w:pPr>
              <w:jc w:val="center"/>
              <w:rPr>
                <w:sz w:val="18"/>
                <w:szCs w:val="18"/>
              </w:rPr>
            </w:pPr>
            <w:r w:rsidRPr="004C78D8">
              <w:rPr>
                <w:sz w:val="18"/>
                <w:szCs w:val="18"/>
              </w:rPr>
              <w:t>&lt;0.001</w:t>
            </w:r>
          </w:p>
        </w:tc>
      </w:tr>
      <w:tr w:rsidR="00633167" w:rsidRPr="004C78D8" w14:paraId="421536B5" w14:textId="77777777" w:rsidTr="00E35893">
        <w:tc>
          <w:tcPr>
            <w:tcW w:w="2689" w:type="dxa"/>
            <w:tcBorders>
              <w:top w:val="nil"/>
              <w:bottom w:val="nil"/>
            </w:tcBorders>
          </w:tcPr>
          <w:p w14:paraId="6742CD12" w14:textId="77777777" w:rsidR="00633167" w:rsidRPr="004C78D8" w:rsidRDefault="00633167" w:rsidP="00FB7C1F">
            <w:pPr>
              <w:jc w:val="left"/>
              <w:rPr>
                <w:sz w:val="18"/>
                <w:szCs w:val="18"/>
              </w:rPr>
            </w:pPr>
            <w:r w:rsidRPr="004C78D8">
              <w:rPr>
                <w:sz w:val="18"/>
                <w:szCs w:val="18"/>
              </w:rPr>
              <w:t>Falls incidence W5 (ref: No fall incidence)</w:t>
            </w:r>
          </w:p>
        </w:tc>
        <w:tc>
          <w:tcPr>
            <w:tcW w:w="1842" w:type="dxa"/>
            <w:tcBorders>
              <w:top w:val="nil"/>
              <w:bottom w:val="nil"/>
            </w:tcBorders>
          </w:tcPr>
          <w:p w14:paraId="08C22680" w14:textId="77777777" w:rsidR="00633167" w:rsidRPr="004C78D8" w:rsidRDefault="00633167" w:rsidP="00FB7C1F">
            <w:pPr>
              <w:jc w:val="center"/>
              <w:rPr>
                <w:sz w:val="18"/>
                <w:szCs w:val="18"/>
              </w:rPr>
            </w:pPr>
          </w:p>
        </w:tc>
        <w:tc>
          <w:tcPr>
            <w:tcW w:w="1701" w:type="dxa"/>
            <w:tcBorders>
              <w:top w:val="nil"/>
              <w:bottom w:val="nil"/>
            </w:tcBorders>
          </w:tcPr>
          <w:p w14:paraId="1B4BB2C0" w14:textId="77777777" w:rsidR="00633167" w:rsidRPr="004C78D8" w:rsidRDefault="00633167" w:rsidP="00FB7C1F">
            <w:pPr>
              <w:jc w:val="center"/>
              <w:rPr>
                <w:sz w:val="18"/>
                <w:szCs w:val="18"/>
              </w:rPr>
            </w:pPr>
          </w:p>
        </w:tc>
      </w:tr>
      <w:tr w:rsidR="00633167" w:rsidRPr="004C78D8" w14:paraId="445D22FD" w14:textId="77777777" w:rsidTr="00E35893">
        <w:tc>
          <w:tcPr>
            <w:tcW w:w="2689" w:type="dxa"/>
            <w:tcBorders>
              <w:top w:val="nil"/>
              <w:bottom w:val="nil"/>
            </w:tcBorders>
          </w:tcPr>
          <w:p w14:paraId="42E0981E" w14:textId="77777777" w:rsidR="00633167" w:rsidRPr="004C78D8" w:rsidRDefault="00633167" w:rsidP="00FB7C1F">
            <w:pPr>
              <w:jc w:val="right"/>
              <w:rPr>
                <w:sz w:val="18"/>
                <w:szCs w:val="18"/>
              </w:rPr>
            </w:pPr>
            <w:r w:rsidRPr="004C78D8">
              <w:rPr>
                <w:i/>
                <w:iCs/>
                <w:sz w:val="18"/>
                <w:szCs w:val="18"/>
              </w:rPr>
              <w:t>Single non-MA fall</w:t>
            </w:r>
          </w:p>
        </w:tc>
        <w:tc>
          <w:tcPr>
            <w:tcW w:w="1842" w:type="dxa"/>
            <w:tcBorders>
              <w:top w:val="nil"/>
              <w:bottom w:val="nil"/>
            </w:tcBorders>
          </w:tcPr>
          <w:p w14:paraId="3D3892FC" w14:textId="7130F5E1" w:rsidR="00633167" w:rsidRPr="004C78D8" w:rsidRDefault="00633167" w:rsidP="00FB7C1F">
            <w:pPr>
              <w:jc w:val="center"/>
              <w:rPr>
                <w:sz w:val="18"/>
                <w:szCs w:val="18"/>
              </w:rPr>
            </w:pPr>
            <w:r w:rsidRPr="004C78D8">
              <w:rPr>
                <w:sz w:val="18"/>
                <w:szCs w:val="18"/>
              </w:rPr>
              <w:t>0.184 (0.137)</w:t>
            </w:r>
          </w:p>
        </w:tc>
        <w:tc>
          <w:tcPr>
            <w:tcW w:w="1701" w:type="dxa"/>
            <w:tcBorders>
              <w:top w:val="nil"/>
              <w:bottom w:val="nil"/>
            </w:tcBorders>
          </w:tcPr>
          <w:p w14:paraId="3E6BB074" w14:textId="33B52309" w:rsidR="00633167" w:rsidRPr="004C78D8" w:rsidRDefault="00633167" w:rsidP="00FB7C1F">
            <w:pPr>
              <w:jc w:val="center"/>
              <w:rPr>
                <w:sz w:val="18"/>
                <w:szCs w:val="18"/>
              </w:rPr>
            </w:pPr>
            <w:r w:rsidRPr="004C78D8">
              <w:rPr>
                <w:sz w:val="18"/>
                <w:szCs w:val="18"/>
              </w:rPr>
              <w:t>0.179</w:t>
            </w:r>
          </w:p>
        </w:tc>
      </w:tr>
      <w:tr w:rsidR="00633167" w:rsidRPr="004C78D8" w14:paraId="56923F56" w14:textId="77777777" w:rsidTr="00E35893">
        <w:tc>
          <w:tcPr>
            <w:tcW w:w="2689" w:type="dxa"/>
            <w:tcBorders>
              <w:top w:val="nil"/>
              <w:bottom w:val="nil"/>
            </w:tcBorders>
          </w:tcPr>
          <w:p w14:paraId="44141D60" w14:textId="77777777" w:rsidR="00633167" w:rsidRPr="004C78D8" w:rsidRDefault="00633167" w:rsidP="00FB7C1F">
            <w:pPr>
              <w:jc w:val="right"/>
              <w:rPr>
                <w:sz w:val="18"/>
                <w:szCs w:val="18"/>
              </w:rPr>
            </w:pPr>
            <w:r w:rsidRPr="004C78D8">
              <w:rPr>
                <w:i/>
                <w:iCs/>
                <w:sz w:val="18"/>
                <w:szCs w:val="18"/>
              </w:rPr>
              <w:t>Recurrent non-MA falls</w:t>
            </w:r>
          </w:p>
        </w:tc>
        <w:tc>
          <w:tcPr>
            <w:tcW w:w="1842" w:type="dxa"/>
            <w:tcBorders>
              <w:top w:val="nil"/>
              <w:bottom w:val="nil"/>
            </w:tcBorders>
          </w:tcPr>
          <w:p w14:paraId="52B7C111" w14:textId="4795CF88" w:rsidR="00633167" w:rsidRPr="004C78D8" w:rsidRDefault="00633167" w:rsidP="00FB7C1F">
            <w:pPr>
              <w:jc w:val="center"/>
              <w:rPr>
                <w:sz w:val="18"/>
                <w:szCs w:val="18"/>
              </w:rPr>
            </w:pPr>
            <w:r w:rsidRPr="004C78D8">
              <w:rPr>
                <w:sz w:val="18"/>
                <w:szCs w:val="18"/>
              </w:rPr>
              <w:t>0.264 (0.148)</w:t>
            </w:r>
          </w:p>
        </w:tc>
        <w:tc>
          <w:tcPr>
            <w:tcW w:w="1701" w:type="dxa"/>
            <w:tcBorders>
              <w:top w:val="nil"/>
              <w:bottom w:val="nil"/>
            </w:tcBorders>
          </w:tcPr>
          <w:p w14:paraId="6E76972B" w14:textId="472A91B1" w:rsidR="00633167" w:rsidRPr="004C78D8" w:rsidRDefault="00633167" w:rsidP="00FB7C1F">
            <w:pPr>
              <w:jc w:val="center"/>
              <w:rPr>
                <w:sz w:val="18"/>
                <w:szCs w:val="18"/>
              </w:rPr>
            </w:pPr>
            <w:r w:rsidRPr="004C78D8">
              <w:rPr>
                <w:sz w:val="18"/>
                <w:szCs w:val="18"/>
              </w:rPr>
              <w:t>0.075</w:t>
            </w:r>
          </w:p>
        </w:tc>
      </w:tr>
      <w:tr w:rsidR="00633167" w:rsidRPr="004C78D8" w14:paraId="50C2CDBE" w14:textId="77777777" w:rsidTr="00E35893">
        <w:tc>
          <w:tcPr>
            <w:tcW w:w="2689" w:type="dxa"/>
            <w:tcBorders>
              <w:top w:val="nil"/>
              <w:bottom w:val="nil"/>
            </w:tcBorders>
          </w:tcPr>
          <w:p w14:paraId="4394A3AE" w14:textId="77777777" w:rsidR="00633167" w:rsidRPr="004C78D8" w:rsidRDefault="00633167" w:rsidP="00FB7C1F">
            <w:pPr>
              <w:jc w:val="right"/>
              <w:rPr>
                <w:sz w:val="18"/>
                <w:szCs w:val="18"/>
              </w:rPr>
            </w:pPr>
            <w:r w:rsidRPr="004C78D8">
              <w:rPr>
                <w:i/>
                <w:iCs/>
                <w:sz w:val="18"/>
                <w:szCs w:val="18"/>
              </w:rPr>
              <w:t>Single MA fall</w:t>
            </w:r>
          </w:p>
        </w:tc>
        <w:tc>
          <w:tcPr>
            <w:tcW w:w="1842" w:type="dxa"/>
            <w:tcBorders>
              <w:top w:val="nil"/>
              <w:bottom w:val="nil"/>
            </w:tcBorders>
          </w:tcPr>
          <w:p w14:paraId="38581118" w14:textId="58DD14BD" w:rsidR="00633167" w:rsidRPr="004C78D8" w:rsidRDefault="00633167" w:rsidP="00FB7C1F">
            <w:pPr>
              <w:jc w:val="center"/>
              <w:rPr>
                <w:sz w:val="18"/>
                <w:szCs w:val="18"/>
              </w:rPr>
            </w:pPr>
            <w:r w:rsidRPr="004C78D8">
              <w:rPr>
                <w:sz w:val="18"/>
                <w:szCs w:val="18"/>
              </w:rPr>
              <w:t>0.371 (0.191)</w:t>
            </w:r>
          </w:p>
        </w:tc>
        <w:tc>
          <w:tcPr>
            <w:tcW w:w="1701" w:type="dxa"/>
            <w:tcBorders>
              <w:top w:val="nil"/>
              <w:bottom w:val="nil"/>
            </w:tcBorders>
          </w:tcPr>
          <w:p w14:paraId="2594991E" w14:textId="24FAB187" w:rsidR="00633167" w:rsidRPr="004C78D8" w:rsidRDefault="00633167" w:rsidP="00FB7C1F">
            <w:pPr>
              <w:jc w:val="center"/>
              <w:rPr>
                <w:sz w:val="18"/>
                <w:szCs w:val="18"/>
              </w:rPr>
            </w:pPr>
            <w:r w:rsidRPr="004C78D8">
              <w:rPr>
                <w:sz w:val="18"/>
                <w:szCs w:val="18"/>
              </w:rPr>
              <w:t>0.052</w:t>
            </w:r>
          </w:p>
        </w:tc>
      </w:tr>
      <w:tr w:rsidR="00633167" w:rsidRPr="004C78D8" w14:paraId="3CF83670" w14:textId="77777777" w:rsidTr="00E35893">
        <w:tc>
          <w:tcPr>
            <w:tcW w:w="2689" w:type="dxa"/>
            <w:tcBorders>
              <w:top w:val="nil"/>
              <w:bottom w:val="nil"/>
            </w:tcBorders>
          </w:tcPr>
          <w:p w14:paraId="5C5BD48E" w14:textId="77777777" w:rsidR="00633167" w:rsidRPr="004C78D8" w:rsidRDefault="00633167" w:rsidP="00FB7C1F">
            <w:pPr>
              <w:jc w:val="right"/>
              <w:rPr>
                <w:sz w:val="18"/>
                <w:szCs w:val="18"/>
              </w:rPr>
            </w:pPr>
            <w:r w:rsidRPr="004C78D8">
              <w:rPr>
                <w:i/>
                <w:iCs/>
                <w:sz w:val="18"/>
                <w:szCs w:val="18"/>
              </w:rPr>
              <w:t>Recurrent falls with MA</w:t>
            </w:r>
          </w:p>
        </w:tc>
        <w:tc>
          <w:tcPr>
            <w:tcW w:w="1842" w:type="dxa"/>
            <w:tcBorders>
              <w:top w:val="nil"/>
              <w:bottom w:val="nil"/>
            </w:tcBorders>
          </w:tcPr>
          <w:p w14:paraId="49F61FF4" w14:textId="51A7333E" w:rsidR="00633167" w:rsidRPr="004C78D8" w:rsidRDefault="00633167" w:rsidP="00FB7C1F">
            <w:pPr>
              <w:jc w:val="center"/>
              <w:rPr>
                <w:sz w:val="18"/>
                <w:szCs w:val="18"/>
              </w:rPr>
            </w:pPr>
            <w:r w:rsidRPr="004C78D8">
              <w:rPr>
                <w:sz w:val="18"/>
                <w:szCs w:val="18"/>
              </w:rPr>
              <w:t>0.490 (0.212)</w:t>
            </w:r>
          </w:p>
        </w:tc>
        <w:tc>
          <w:tcPr>
            <w:tcW w:w="1701" w:type="dxa"/>
            <w:tcBorders>
              <w:top w:val="nil"/>
              <w:bottom w:val="nil"/>
            </w:tcBorders>
          </w:tcPr>
          <w:p w14:paraId="0234C1B7" w14:textId="207CBE62" w:rsidR="00633167" w:rsidRPr="004C78D8" w:rsidRDefault="00633167" w:rsidP="00FB7C1F">
            <w:pPr>
              <w:jc w:val="center"/>
              <w:rPr>
                <w:sz w:val="18"/>
                <w:szCs w:val="18"/>
              </w:rPr>
            </w:pPr>
            <w:r w:rsidRPr="004C78D8">
              <w:rPr>
                <w:sz w:val="18"/>
                <w:szCs w:val="18"/>
              </w:rPr>
              <w:t>0.021</w:t>
            </w:r>
          </w:p>
        </w:tc>
      </w:tr>
      <w:tr w:rsidR="00633167" w:rsidRPr="004C78D8" w14:paraId="566C710C" w14:textId="77777777" w:rsidTr="00E35893">
        <w:tc>
          <w:tcPr>
            <w:tcW w:w="2689" w:type="dxa"/>
            <w:tcBorders>
              <w:top w:val="nil"/>
              <w:bottom w:val="nil"/>
            </w:tcBorders>
          </w:tcPr>
          <w:p w14:paraId="194D3FEF" w14:textId="77777777" w:rsidR="00633167" w:rsidRPr="004C78D8" w:rsidRDefault="00633167" w:rsidP="00FB7C1F">
            <w:pPr>
              <w:jc w:val="left"/>
              <w:rPr>
                <w:sz w:val="18"/>
                <w:szCs w:val="18"/>
              </w:rPr>
            </w:pPr>
            <w:r w:rsidRPr="004C78D8">
              <w:rPr>
                <w:sz w:val="18"/>
                <w:szCs w:val="18"/>
              </w:rPr>
              <w:t>Frailty W4 (0-100)</w:t>
            </w:r>
          </w:p>
        </w:tc>
        <w:tc>
          <w:tcPr>
            <w:tcW w:w="1842" w:type="dxa"/>
            <w:tcBorders>
              <w:top w:val="nil"/>
              <w:bottom w:val="nil"/>
            </w:tcBorders>
          </w:tcPr>
          <w:p w14:paraId="439A64C1" w14:textId="71177A8B" w:rsidR="00633167" w:rsidRPr="004C78D8" w:rsidRDefault="00633167" w:rsidP="00FB7C1F">
            <w:pPr>
              <w:jc w:val="center"/>
              <w:rPr>
                <w:sz w:val="18"/>
                <w:szCs w:val="18"/>
              </w:rPr>
            </w:pPr>
            <w:r w:rsidRPr="004C78D8">
              <w:rPr>
                <w:sz w:val="18"/>
                <w:szCs w:val="18"/>
              </w:rPr>
              <w:t>0.069 (0.015)</w:t>
            </w:r>
          </w:p>
        </w:tc>
        <w:tc>
          <w:tcPr>
            <w:tcW w:w="1701" w:type="dxa"/>
            <w:tcBorders>
              <w:top w:val="nil"/>
              <w:bottom w:val="nil"/>
            </w:tcBorders>
          </w:tcPr>
          <w:p w14:paraId="15180B0B" w14:textId="77777777" w:rsidR="00633167" w:rsidRPr="004C78D8" w:rsidRDefault="00633167" w:rsidP="00FB7C1F">
            <w:pPr>
              <w:jc w:val="center"/>
              <w:rPr>
                <w:sz w:val="18"/>
                <w:szCs w:val="18"/>
              </w:rPr>
            </w:pPr>
            <w:r w:rsidRPr="004C78D8">
              <w:rPr>
                <w:sz w:val="18"/>
                <w:szCs w:val="18"/>
              </w:rPr>
              <w:t>&lt;0.001</w:t>
            </w:r>
          </w:p>
        </w:tc>
      </w:tr>
      <w:tr w:rsidR="00633167" w:rsidRPr="004C78D8" w14:paraId="68152983" w14:textId="77777777" w:rsidTr="00E35893">
        <w:tc>
          <w:tcPr>
            <w:tcW w:w="2689" w:type="dxa"/>
            <w:tcBorders>
              <w:top w:val="nil"/>
              <w:bottom w:val="nil"/>
            </w:tcBorders>
          </w:tcPr>
          <w:p w14:paraId="1939C136" w14:textId="77777777" w:rsidR="00633167" w:rsidRPr="004C78D8" w:rsidRDefault="00633167" w:rsidP="00FB7C1F">
            <w:pPr>
              <w:jc w:val="left"/>
              <w:rPr>
                <w:sz w:val="18"/>
                <w:szCs w:val="18"/>
              </w:rPr>
            </w:pPr>
            <w:r w:rsidRPr="004C78D8">
              <w:rPr>
                <w:sz w:val="18"/>
                <w:szCs w:val="18"/>
              </w:rPr>
              <w:t>Frailty^2 W4</w:t>
            </w:r>
          </w:p>
        </w:tc>
        <w:tc>
          <w:tcPr>
            <w:tcW w:w="1842" w:type="dxa"/>
            <w:tcBorders>
              <w:top w:val="nil"/>
              <w:bottom w:val="nil"/>
            </w:tcBorders>
          </w:tcPr>
          <w:p w14:paraId="57B60504" w14:textId="254FC706" w:rsidR="00633167" w:rsidRPr="004C78D8" w:rsidRDefault="00633167" w:rsidP="00FB7C1F">
            <w:pPr>
              <w:jc w:val="center"/>
              <w:rPr>
                <w:sz w:val="18"/>
                <w:szCs w:val="18"/>
              </w:rPr>
            </w:pPr>
            <w:r w:rsidRPr="004C78D8">
              <w:rPr>
                <w:sz w:val="18"/>
                <w:szCs w:val="18"/>
              </w:rPr>
              <w:t>-0.0008 (0.0003)</w:t>
            </w:r>
          </w:p>
        </w:tc>
        <w:tc>
          <w:tcPr>
            <w:tcW w:w="1701" w:type="dxa"/>
            <w:tcBorders>
              <w:top w:val="nil"/>
              <w:bottom w:val="nil"/>
            </w:tcBorders>
          </w:tcPr>
          <w:p w14:paraId="7CEB4078" w14:textId="43A42A38" w:rsidR="00633167" w:rsidRPr="004C78D8" w:rsidRDefault="00633167" w:rsidP="00FB7C1F">
            <w:pPr>
              <w:jc w:val="center"/>
              <w:rPr>
                <w:sz w:val="18"/>
                <w:szCs w:val="18"/>
              </w:rPr>
            </w:pPr>
            <w:r w:rsidRPr="004C78D8">
              <w:rPr>
                <w:sz w:val="18"/>
                <w:szCs w:val="18"/>
              </w:rPr>
              <w:t>0.013</w:t>
            </w:r>
          </w:p>
        </w:tc>
      </w:tr>
      <w:tr w:rsidR="00633167" w:rsidRPr="004C78D8" w14:paraId="56383E69" w14:textId="77777777" w:rsidTr="00E35893">
        <w:tc>
          <w:tcPr>
            <w:tcW w:w="2689" w:type="dxa"/>
            <w:tcBorders>
              <w:top w:val="nil"/>
              <w:bottom w:val="nil"/>
            </w:tcBorders>
          </w:tcPr>
          <w:p w14:paraId="0EE6726A" w14:textId="1C0A0C19" w:rsidR="00633167" w:rsidRPr="004C78D8" w:rsidRDefault="00633167" w:rsidP="00FB7C1F">
            <w:pPr>
              <w:jc w:val="left"/>
              <w:rPr>
                <w:sz w:val="18"/>
                <w:szCs w:val="18"/>
              </w:rPr>
            </w:pPr>
            <w:r w:rsidRPr="004C78D8">
              <w:rPr>
                <w:sz w:val="18"/>
                <w:szCs w:val="18"/>
              </w:rPr>
              <w:t>Change in frailty</w:t>
            </w:r>
            <w:r w:rsidR="00AD296F" w:rsidRPr="004C78D8">
              <w:rPr>
                <w:sz w:val="18"/>
                <w:szCs w:val="18"/>
                <w:vertAlign w:val="superscript"/>
              </w:rPr>
              <w:t>1</w:t>
            </w:r>
          </w:p>
        </w:tc>
        <w:tc>
          <w:tcPr>
            <w:tcW w:w="1842" w:type="dxa"/>
            <w:tcBorders>
              <w:top w:val="nil"/>
              <w:bottom w:val="nil"/>
            </w:tcBorders>
          </w:tcPr>
          <w:p w14:paraId="39C00E98" w14:textId="0F7ABCED" w:rsidR="00633167" w:rsidRPr="004C78D8" w:rsidRDefault="00633167" w:rsidP="00FB7C1F">
            <w:pPr>
              <w:jc w:val="center"/>
              <w:rPr>
                <w:sz w:val="18"/>
                <w:szCs w:val="18"/>
              </w:rPr>
            </w:pPr>
            <w:r w:rsidRPr="004C78D8">
              <w:rPr>
                <w:sz w:val="18"/>
                <w:szCs w:val="18"/>
              </w:rPr>
              <w:t>0.040 (0.007)</w:t>
            </w:r>
          </w:p>
        </w:tc>
        <w:tc>
          <w:tcPr>
            <w:tcW w:w="1701" w:type="dxa"/>
            <w:tcBorders>
              <w:top w:val="nil"/>
              <w:bottom w:val="nil"/>
            </w:tcBorders>
          </w:tcPr>
          <w:p w14:paraId="17FCBF01" w14:textId="77777777" w:rsidR="00633167" w:rsidRPr="004C78D8" w:rsidRDefault="00633167" w:rsidP="00FB7C1F">
            <w:pPr>
              <w:jc w:val="center"/>
              <w:rPr>
                <w:sz w:val="18"/>
                <w:szCs w:val="18"/>
              </w:rPr>
            </w:pPr>
            <w:r w:rsidRPr="004C78D8">
              <w:rPr>
                <w:sz w:val="18"/>
                <w:szCs w:val="18"/>
              </w:rPr>
              <w:t>&lt;0.001</w:t>
            </w:r>
          </w:p>
        </w:tc>
      </w:tr>
      <w:tr w:rsidR="00633167" w:rsidRPr="004C78D8" w14:paraId="5E30EF09" w14:textId="77777777" w:rsidTr="00E35893">
        <w:tc>
          <w:tcPr>
            <w:tcW w:w="2689" w:type="dxa"/>
            <w:tcBorders>
              <w:top w:val="nil"/>
              <w:bottom w:val="nil"/>
            </w:tcBorders>
          </w:tcPr>
          <w:p w14:paraId="7D2D78AD" w14:textId="55C29DCB" w:rsidR="00633167" w:rsidRPr="004C78D8" w:rsidRDefault="00633167" w:rsidP="00FB7C1F">
            <w:pPr>
              <w:jc w:val="left"/>
              <w:rPr>
                <w:sz w:val="18"/>
                <w:szCs w:val="18"/>
              </w:rPr>
            </w:pPr>
            <w:r w:rsidRPr="004C78D8">
              <w:rPr>
                <w:sz w:val="18"/>
                <w:szCs w:val="18"/>
              </w:rPr>
              <w:t>High physical activity W4</w:t>
            </w:r>
          </w:p>
        </w:tc>
        <w:tc>
          <w:tcPr>
            <w:tcW w:w="1842" w:type="dxa"/>
            <w:tcBorders>
              <w:top w:val="nil"/>
              <w:bottom w:val="nil"/>
            </w:tcBorders>
          </w:tcPr>
          <w:p w14:paraId="547B75EA" w14:textId="3166F4CD" w:rsidR="00633167" w:rsidRPr="004C78D8" w:rsidRDefault="00633167" w:rsidP="00FB7C1F">
            <w:pPr>
              <w:jc w:val="center"/>
              <w:rPr>
                <w:sz w:val="18"/>
                <w:szCs w:val="18"/>
              </w:rPr>
            </w:pPr>
            <w:r w:rsidRPr="004C78D8">
              <w:rPr>
                <w:sz w:val="18"/>
                <w:szCs w:val="18"/>
              </w:rPr>
              <w:t>0.590 (0.115)</w:t>
            </w:r>
          </w:p>
        </w:tc>
        <w:tc>
          <w:tcPr>
            <w:tcW w:w="1701" w:type="dxa"/>
            <w:tcBorders>
              <w:top w:val="nil"/>
              <w:bottom w:val="nil"/>
            </w:tcBorders>
          </w:tcPr>
          <w:p w14:paraId="1F676F98" w14:textId="1327BDB6" w:rsidR="00633167" w:rsidRPr="004C78D8" w:rsidRDefault="00633167" w:rsidP="00FB7C1F">
            <w:pPr>
              <w:jc w:val="center"/>
              <w:rPr>
                <w:sz w:val="18"/>
                <w:szCs w:val="18"/>
              </w:rPr>
            </w:pPr>
            <w:r w:rsidRPr="004C78D8">
              <w:rPr>
                <w:sz w:val="18"/>
                <w:szCs w:val="18"/>
              </w:rPr>
              <w:t>&lt;0.001</w:t>
            </w:r>
          </w:p>
        </w:tc>
      </w:tr>
      <w:tr w:rsidR="00633167" w:rsidRPr="004C78D8" w14:paraId="4A1C4965" w14:textId="77777777" w:rsidTr="00E35893">
        <w:tc>
          <w:tcPr>
            <w:tcW w:w="2689" w:type="dxa"/>
            <w:tcBorders>
              <w:top w:val="nil"/>
              <w:bottom w:val="nil"/>
            </w:tcBorders>
          </w:tcPr>
          <w:p w14:paraId="5D9FA915" w14:textId="77777777" w:rsidR="00633167" w:rsidRPr="004C78D8" w:rsidRDefault="00633167" w:rsidP="00FB7C1F">
            <w:pPr>
              <w:jc w:val="left"/>
              <w:rPr>
                <w:sz w:val="18"/>
                <w:szCs w:val="18"/>
              </w:rPr>
            </w:pPr>
            <w:r w:rsidRPr="004C78D8">
              <w:rPr>
                <w:sz w:val="18"/>
                <w:szCs w:val="18"/>
              </w:rPr>
              <w:t>Abnormal gait/balance W4</w:t>
            </w:r>
          </w:p>
        </w:tc>
        <w:tc>
          <w:tcPr>
            <w:tcW w:w="1842" w:type="dxa"/>
            <w:tcBorders>
              <w:top w:val="nil"/>
              <w:bottom w:val="nil"/>
            </w:tcBorders>
          </w:tcPr>
          <w:p w14:paraId="51266C7C" w14:textId="251CDE8B" w:rsidR="00633167" w:rsidRPr="004C78D8" w:rsidRDefault="00633167" w:rsidP="00FB7C1F">
            <w:pPr>
              <w:jc w:val="center"/>
              <w:rPr>
                <w:sz w:val="18"/>
                <w:szCs w:val="18"/>
              </w:rPr>
            </w:pPr>
            <w:r w:rsidRPr="004C78D8">
              <w:rPr>
                <w:sz w:val="18"/>
                <w:szCs w:val="18"/>
              </w:rPr>
              <w:t>-0.253 (0.129)</w:t>
            </w:r>
          </w:p>
        </w:tc>
        <w:tc>
          <w:tcPr>
            <w:tcW w:w="1701" w:type="dxa"/>
            <w:tcBorders>
              <w:top w:val="nil"/>
              <w:bottom w:val="nil"/>
            </w:tcBorders>
          </w:tcPr>
          <w:p w14:paraId="4A1CB36D" w14:textId="16A08852" w:rsidR="00633167" w:rsidRPr="004C78D8" w:rsidRDefault="00633167" w:rsidP="00FB7C1F">
            <w:pPr>
              <w:jc w:val="center"/>
              <w:rPr>
                <w:sz w:val="18"/>
                <w:szCs w:val="18"/>
              </w:rPr>
            </w:pPr>
            <w:r w:rsidRPr="004C78D8">
              <w:rPr>
                <w:sz w:val="18"/>
                <w:szCs w:val="18"/>
              </w:rPr>
              <w:t>0.050</w:t>
            </w:r>
          </w:p>
        </w:tc>
      </w:tr>
      <w:tr w:rsidR="00633167" w:rsidRPr="004C78D8" w14:paraId="0E38A87F" w14:textId="77777777" w:rsidTr="00E35893">
        <w:tc>
          <w:tcPr>
            <w:tcW w:w="2689" w:type="dxa"/>
            <w:tcBorders>
              <w:top w:val="nil"/>
              <w:bottom w:val="nil"/>
            </w:tcBorders>
          </w:tcPr>
          <w:p w14:paraId="3A3877A4" w14:textId="5099240F" w:rsidR="00633167" w:rsidRPr="004C78D8" w:rsidRDefault="00633167" w:rsidP="00FB7C1F">
            <w:pPr>
              <w:jc w:val="left"/>
              <w:rPr>
                <w:sz w:val="18"/>
                <w:szCs w:val="18"/>
              </w:rPr>
            </w:pPr>
            <w:r w:rsidRPr="004C78D8">
              <w:rPr>
                <w:sz w:val="18"/>
                <w:szCs w:val="18"/>
              </w:rPr>
              <w:t>OOP care receipt W4</w:t>
            </w:r>
          </w:p>
        </w:tc>
        <w:tc>
          <w:tcPr>
            <w:tcW w:w="1842" w:type="dxa"/>
            <w:tcBorders>
              <w:top w:val="nil"/>
              <w:bottom w:val="nil"/>
            </w:tcBorders>
          </w:tcPr>
          <w:p w14:paraId="2352A127" w14:textId="1DBB5D1C" w:rsidR="00633167" w:rsidRPr="004C78D8" w:rsidRDefault="00633167" w:rsidP="00FB7C1F">
            <w:pPr>
              <w:jc w:val="center"/>
              <w:rPr>
                <w:sz w:val="18"/>
                <w:szCs w:val="18"/>
              </w:rPr>
            </w:pPr>
            <w:r w:rsidRPr="004C78D8">
              <w:rPr>
                <w:sz w:val="18"/>
                <w:szCs w:val="18"/>
              </w:rPr>
              <w:t>0.</w:t>
            </w:r>
            <w:r w:rsidR="00BC7752" w:rsidRPr="004C78D8">
              <w:rPr>
                <w:sz w:val="18"/>
                <w:szCs w:val="18"/>
              </w:rPr>
              <w:t>480</w:t>
            </w:r>
            <w:r w:rsidRPr="004C78D8">
              <w:rPr>
                <w:sz w:val="18"/>
                <w:szCs w:val="18"/>
              </w:rPr>
              <w:t xml:space="preserve"> (0.</w:t>
            </w:r>
            <w:r w:rsidR="00BC7752" w:rsidRPr="004C78D8">
              <w:rPr>
                <w:sz w:val="18"/>
                <w:szCs w:val="18"/>
              </w:rPr>
              <w:t>208</w:t>
            </w:r>
            <w:r w:rsidRPr="004C78D8">
              <w:rPr>
                <w:sz w:val="18"/>
                <w:szCs w:val="18"/>
              </w:rPr>
              <w:t>)</w:t>
            </w:r>
          </w:p>
        </w:tc>
        <w:tc>
          <w:tcPr>
            <w:tcW w:w="1701" w:type="dxa"/>
            <w:tcBorders>
              <w:top w:val="nil"/>
              <w:bottom w:val="nil"/>
            </w:tcBorders>
          </w:tcPr>
          <w:p w14:paraId="33FD0F17" w14:textId="2E716BEB" w:rsidR="00633167" w:rsidRPr="004C78D8" w:rsidRDefault="00633167" w:rsidP="00FB7C1F">
            <w:pPr>
              <w:jc w:val="center"/>
              <w:rPr>
                <w:sz w:val="18"/>
                <w:szCs w:val="18"/>
              </w:rPr>
            </w:pPr>
            <w:r w:rsidRPr="004C78D8">
              <w:rPr>
                <w:sz w:val="18"/>
                <w:szCs w:val="18"/>
              </w:rPr>
              <w:t>0.021</w:t>
            </w:r>
          </w:p>
        </w:tc>
      </w:tr>
      <w:tr w:rsidR="00633167" w:rsidRPr="004C78D8" w14:paraId="68769BB6" w14:textId="77777777" w:rsidTr="00E35893">
        <w:tc>
          <w:tcPr>
            <w:tcW w:w="2689" w:type="dxa"/>
            <w:tcBorders>
              <w:top w:val="nil"/>
              <w:bottom w:val="nil"/>
            </w:tcBorders>
          </w:tcPr>
          <w:p w14:paraId="2EA4BA06" w14:textId="0EACCE2B" w:rsidR="00633167" w:rsidRPr="004C78D8" w:rsidRDefault="00BC7752" w:rsidP="00FB7C1F">
            <w:pPr>
              <w:jc w:val="left"/>
              <w:rPr>
                <w:sz w:val="18"/>
                <w:szCs w:val="18"/>
              </w:rPr>
            </w:pPr>
            <w:r w:rsidRPr="004C78D8">
              <w:rPr>
                <w:sz w:val="18"/>
                <w:szCs w:val="18"/>
              </w:rPr>
              <w:t>Exercise</w:t>
            </w:r>
            <w:r w:rsidR="00633167" w:rsidRPr="004C78D8">
              <w:rPr>
                <w:sz w:val="18"/>
                <w:szCs w:val="18"/>
              </w:rPr>
              <w:t xml:space="preserve"> receipt W4</w:t>
            </w:r>
          </w:p>
        </w:tc>
        <w:tc>
          <w:tcPr>
            <w:tcW w:w="1842" w:type="dxa"/>
            <w:tcBorders>
              <w:top w:val="nil"/>
              <w:bottom w:val="nil"/>
            </w:tcBorders>
          </w:tcPr>
          <w:p w14:paraId="00814044" w14:textId="3BB8E128" w:rsidR="00633167" w:rsidRPr="004C78D8" w:rsidRDefault="00BC7752" w:rsidP="00FB7C1F">
            <w:pPr>
              <w:jc w:val="center"/>
              <w:rPr>
                <w:sz w:val="18"/>
                <w:szCs w:val="18"/>
              </w:rPr>
            </w:pPr>
            <w:r w:rsidRPr="004C78D8">
              <w:rPr>
                <w:sz w:val="18"/>
                <w:szCs w:val="18"/>
              </w:rPr>
              <w:t>1</w:t>
            </w:r>
            <w:r w:rsidR="00633167" w:rsidRPr="004C78D8">
              <w:rPr>
                <w:sz w:val="18"/>
                <w:szCs w:val="18"/>
              </w:rPr>
              <w:t>.</w:t>
            </w:r>
            <w:r w:rsidRPr="004C78D8">
              <w:rPr>
                <w:sz w:val="18"/>
                <w:szCs w:val="18"/>
              </w:rPr>
              <w:t>812</w:t>
            </w:r>
            <w:r w:rsidR="00633167" w:rsidRPr="004C78D8">
              <w:rPr>
                <w:sz w:val="18"/>
                <w:szCs w:val="18"/>
              </w:rPr>
              <w:t xml:space="preserve"> (0.1</w:t>
            </w:r>
            <w:r w:rsidRPr="004C78D8">
              <w:rPr>
                <w:sz w:val="18"/>
                <w:szCs w:val="18"/>
              </w:rPr>
              <w:t>07</w:t>
            </w:r>
            <w:r w:rsidR="00633167" w:rsidRPr="004C78D8">
              <w:rPr>
                <w:sz w:val="18"/>
                <w:szCs w:val="18"/>
              </w:rPr>
              <w:t>)</w:t>
            </w:r>
          </w:p>
        </w:tc>
        <w:tc>
          <w:tcPr>
            <w:tcW w:w="1701" w:type="dxa"/>
            <w:tcBorders>
              <w:top w:val="nil"/>
              <w:bottom w:val="nil"/>
            </w:tcBorders>
          </w:tcPr>
          <w:p w14:paraId="798B1A23" w14:textId="6BA0235B" w:rsidR="00633167" w:rsidRPr="004C78D8" w:rsidRDefault="00BC7752" w:rsidP="00FB7C1F">
            <w:pPr>
              <w:jc w:val="center"/>
              <w:rPr>
                <w:sz w:val="18"/>
                <w:szCs w:val="18"/>
              </w:rPr>
            </w:pPr>
            <w:r w:rsidRPr="004C78D8">
              <w:rPr>
                <w:sz w:val="18"/>
                <w:szCs w:val="18"/>
              </w:rPr>
              <w:t>&lt;0.001</w:t>
            </w:r>
          </w:p>
        </w:tc>
      </w:tr>
      <w:tr w:rsidR="00633167" w:rsidRPr="004C78D8" w14:paraId="34EF841A" w14:textId="77777777" w:rsidTr="00E35893">
        <w:tc>
          <w:tcPr>
            <w:tcW w:w="6232" w:type="dxa"/>
            <w:gridSpan w:val="3"/>
          </w:tcPr>
          <w:p w14:paraId="545A7405" w14:textId="3BD04994" w:rsidR="00AD296F" w:rsidRPr="004C78D8" w:rsidRDefault="00D10D5E" w:rsidP="00FB7C1F">
            <w:pPr>
              <w:rPr>
                <w:sz w:val="18"/>
                <w:szCs w:val="18"/>
              </w:rPr>
            </w:pPr>
            <w:r w:rsidRPr="004C78D8">
              <w:rPr>
                <w:b/>
                <w:bCs/>
                <w:sz w:val="18"/>
                <w:szCs w:val="18"/>
              </w:rPr>
              <w:t>Abbreviation</w:t>
            </w:r>
            <w:r w:rsidR="00AD296F" w:rsidRPr="004C78D8">
              <w:rPr>
                <w:b/>
                <w:bCs/>
                <w:sz w:val="18"/>
                <w:szCs w:val="18"/>
              </w:rPr>
              <w:t>:</w:t>
            </w:r>
            <w:r w:rsidR="00AD296F" w:rsidRPr="004C78D8">
              <w:rPr>
                <w:sz w:val="18"/>
                <w:szCs w:val="18"/>
              </w:rPr>
              <w:t xml:space="preserve"> ELSA: English Longitudinal Study of Ageing; MA fall: fall requiring medical attention; OOP: out-of-pocket; Ref: reference; SE: standard error; W4: ELSA Wave 4; W5: ELSA Wave 5</w:t>
            </w:r>
          </w:p>
          <w:p w14:paraId="7AD41326" w14:textId="2A51CB98" w:rsidR="00633167" w:rsidRPr="004C78D8" w:rsidRDefault="00AD296F" w:rsidP="00FB7C1F">
            <w:pPr>
              <w:rPr>
                <w:sz w:val="18"/>
                <w:szCs w:val="18"/>
              </w:rPr>
            </w:pPr>
            <w:r w:rsidRPr="004C78D8">
              <w:rPr>
                <w:sz w:val="18"/>
                <w:szCs w:val="18"/>
                <w:vertAlign w:val="superscript"/>
              </w:rPr>
              <w:t>1</w:t>
            </w:r>
            <w:r w:rsidR="00633167" w:rsidRPr="004C78D8">
              <w:rPr>
                <w:sz w:val="18"/>
                <w:szCs w:val="18"/>
              </w:rPr>
              <w:t xml:space="preserve"> Covariate included in logistic regression is </w:t>
            </w:r>
            <w:r w:rsidR="00B902A8" w:rsidRPr="004C78D8">
              <w:rPr>
                <w:sz w:val="18"/>
                <w:szCs w:val="18"/>
              </w:rPr>
              <w:t>two-year</w:t>
            </w:r>
            <w:r w:rsidR="00633167" w:rsidRPr="004C78D8">
              <w:rPr>
                <w:sz w:val="18"/>
                <w:szCs w:val="18"/>
              </w:rPr>
              <w:t xml:space="preserve"> change in frailty measured in ELSA. In model simulation, the annuali</w:t>
            </w:r>
            <w:r w:rsidR="00B77899" w:rsidRPr="004C78D8">
              <w:rPr>
                <w:sz w:val="18"/>
                <w:szCs w:val="18"/>
              </w:rPr>
              <w:t>s</w:t>
            </w:r>
            <w:r w:rsidR="00633167" w:rsidRPr="004C78D8">
              <w:rPr>
                <w:sz w:val="18"/>
                <w:szCs w:val="18"/>
              </w:rPr>
              <w:t xml:space="preserve">ed change in frailty is used instead to predict dependent variable. </w:t>
            </w:r>
          </w:p>
        </w:tc>
      </w:tr>
    </w:tbl>
    <w:p w14:paraId="3FF394FB" w14:textId="77777777" w:rsidR="009A6150" w:rsidRPr="004C78D8" w:rsidRDefault="009A6150" w:rsidP="00FB7C1F"/>
    <w:p w14:paraId="32CBF4FF" w14:textId="7684157F" w:rsidR="004722F6" w:rsidRPr="004C78D8" w:rsidRDefault="00FD0523" w:rsidP="00FB7C1F">
      <w:r w:rsidRPr="004C78D8">
        <w:t>Older age was associated with lower exercise</w:t>
      </w:r>
      <w:r w:rsidR="00B77899" w:rsidRPr="004C78D8">
        <w:t xml:space="preserve"> demand</w:t>
      </w:r>
      <w:r w:rsidRPr="004C78D8">
        <w:t xml:space="preserve">. </w:t>
      </w:r>
      <w:r w:rsidR="009F7CC3" w:rsidRPr="004C78D8">
        <w:t xml:space="preserve">Women were likelier to demand exercise. Falls incidence types appeared to induce demand, though only the coefficient for recurrent falls with one or more MA fall was statistically significant at 95% confidence level. </w:t>
      </w:r>
      <w:r w:rsidR="001F7771" w:rsidRPr="004C78D8">
        <w:t xml:space="preserve">There was a significant nonlinear association between baseline frailty and demand, while change in frailty was also significantly associated. As in cross-sectional analysis, those already engaged in high physical activity were likelier to demand exercise sessions. Those with abnormal gait/balance were less likely to demand exercise. Those </w:t>
      </w:r>
      <w:r w:rsidR="00B77899" w:rsidRPr="004C78D8">
        <w:t>receiving</w:t>
      </w:r>
      <w:r w:rsidR="001F7771" w:rsidRPr="004C78D8">
        <w:t xml:space="preserve"> OOP care were likelier to demand exercise</w:t>
      </w:r>
      <w:r w:rsidR="00B77899" w:rsidRPr="004C78D8">
        <w:t>, which may suggest that more socially privileged individuals demand self-referred exercise</w:t>
      </w:r>
      <w:r w:rsidR="001F7771" w:rsidRPr="004C78D8">
        <w:t xml:space="preserve">. Finally, those who received it in Wave 4 likelier to receive it again in Wave 5. </w:t>
      </w:r>
    </w:p>
    <w:p w14:paraId="1E9EB905" w14:textId="2E5B49AC" w:rsidR="00B475B7" w:rsidRPr="004C78D8" w:rsidRDefault="00223B39" w:rsidP="00FB7C1F">
      <w:pPr>
        <w:pStyle w:val="Heading5"/>
      </w:pPr>
      <w:r w:rsidRPr="004C78D8">
        <w:t>Change in EQ-5D</w:t>
      </w:r>
    </w:p>
    <w:p w14:paraId="1ABCAFC4" w14:textId="3B424037" w:rsidR="007B20D1" w:rsidRPr="004C78D8" w:rsidRDefault="00197799" w:rsidP="00FB7C1F">
      <w:r w:rsidRPr="004C78D8">
        <w:t>The average change in EQ-5D between ELSA Waves 4</w:t>
      </w:r>
      <w:r w:rsidR="002E5F09" w:rsidRPr="004C78D8">
        <w:t>-</w:t>
      </w:r>
      <w:r w:rsidRPr="004C78D8">
        <w:t>5 was -0.014 (</w:t>
      </w:r>
      <w:r w:rsidR="00C30141" w:rsidRPr="004C78D8">
        <w:t>95% CInt</w:t>
      </w:r>
      <w:r w:rsidRPr="004C78D8">
        <w:t xml:space="preserve">: -0.020 to -0.008). </w:t>
      </w:r>
      <w:r w:rsidR="0022408F" w:rsidRPr="004C78D8">
        <w:t xml:space="preserve">Table </w:t>
      </w:r>
      <w:r w:rsidR="00B05FF6" w:rsidRPr="004C78D8">
        <w:t>5</w:t>
      </w:r>
      <w:r w:rsidR="0022408F" w:rsidRPr="004C78D8">
        <w:t>.</w:t>
      </w:r>
      <w:r w:rsidR="00445530" w:rsidRPr="004C78D8">
        <w:t>5</w:t>
      </w:r>
      <w:r w:rsidR="00B05FF6" w:rsidRPr="004C78D8">
        <w:t>0</w:t>
      </w:r>
      <w:r w:rsidR="0022408F" w:rsidRPr="004C78D8">
        <w:t xml:space="preserve"> shows the coefficient estimates from the best-fit l</w:t>
      </w:r>
      <w:r w:rsidR="00AD1991" w:rsidRPr="004C78D8">
        <w:t>inear</w:t>
      </w:r>
      <w:r w:rsidR="0022408F" w:rsidRPr="004C78D8">
        <w:t xml:space="preserve"> regression for </w:t>
      </w:r>
      <w:r w:rsidR="001A15AE" w:rsidRPr="004C78D8">
        <w:t>between-wave EQ-5D change</w:t>
      </w:r>
      <w:r w:rsidR="0022408F" w:rsidRPr="004C78D8">
        <w:t>.</w:t>
      </w:r>
      <w:r w:rsidR="001A15AE" w:rsidRPr="004C78D8">
        <w:t xml:space="preserve"> </w:t>
      </w:r>
    </w:p>
    <w:tbl>
      <w:tblPr>
        <w:tblStyle w:val="TableGrid"/>
        <w:tblW w:w="0" w:type="auto"/>
        <w:tblInd w:w="-5" w:type="dxa"/>
        <w:tblLook w:val="04A0" w:firstRow="1" w:lastRow="0" w:firstColumn="1" w:lastColumn="0" w:noHBand="0" w:noVBand="1"/>
      </w:tblPr>
      <w:tblGrid>
        <w:gridCol w:w="2689"/>
        <w:gridCol w:w="1842"/>
        <w:gridCol w:w="1701"/>
      </w:tblGrid>
      <w:tr w:rsidR="00E30451" w:rsidRPr="004C78D8" w14:paraId="364DBC11" w14:textId="77777777" w:rsidTr="00E35893">
        <w:tc>
          <w:tcPr>
            <w:tcW w:w="6232" w:type="dxa"/>
            <w:gridSpan w:val="3"/>
          </w:tcPr>
          <w:p w14:paraId="51B20A9B" w14:textId="453BB12D" w:rsidR="00E30451" w:rsidRPr="004C78D8" w:rsidRDefault="00E30451" w:rsidP="00FB7C1F">
            <w:pPr>
              <w:jc w:val="left"/>
            </w:pPr>
            <w:r w:rsidRPr="004C78D8">
              <w:rPr>
                <w:b/>
                <w:bCs/>
              </w:rPr>
              <w:t xml:space="preserve">Table </w:t>
            </w:r>
            <w:r w:rsidR="00B05FF6" w:rsidRPr="004C78D8">
              <w:rPr>
                <w:b/>
                <w:bCs/>
              </w:rPr>
              <w:t>5</w:t>
            </w:r>
            <w:r w:rsidRPr="004C78D8">
              <w:rPr>
                <w:b/>
                <w:bCs/>
              </w:rPr>
              <w:t>.</w:t>
            </w:r>
            <w:r w:rsidR="00445530" w:rsidRPr="004C78D8">
              <w:rPr>
                <w:b/>
                <w:bCs/>
              </w:rPr>
              <w:t>5</w:t>
            </w:r>
            <w:r w:rsidR="00B05FF6" w:rsidRPr="004C78D8">
              <w:rPr>
                <w:b/>
                <w:bCs/>
              </w:rPr>
              <w:t>0</w:t>
            </w:r>
            <w:r w:rsidRPr="004C78D8">
              <w:t xml:space="preserve"> Linear regression coefficients for change in EQ-5D between ELSA Waves 4 and 5</w:t>
            </w:r>
            <w:r w:rsidR="003906DE" w:rsidRPr="004C78D8">
              <w:t>.</w:t>
            </w:r>
          </w:p>
        </w:tc>
      </w:tr>
      <w:tr w:rsidR="00E30451" w:rsidRPr="004C78D8" w14:paraId="04674C13" w14:textId="77777777" w:rsidTr="00E35893">
        <w:tc>
          <w:tcPr>
            <w:tcW w:w="6232" w:type="dxa"/>
            <w:gridSpan w:val="3"/>
          </w:tcPr>
          <w:p w14:paraId="5F34B742" w14:textId="3A5CB816" w:rsidR="00E30451" w:rsidRPr="004C78D8" w:rsidRDefault="00E30451" w:rsidP="00FB7C1F">
            <w:pPr>
              <w:jc w:val="left"/>
              <w:rPr>
                <w:b/>
                <w:bCs/>
                <w:i/>
                <w:iCs/>
                <w:sz w:val="20"/>
                <w:szCs w:val="20"/>
              </w:rPr>
            </w:pPr>
            <w:r w:rsidRPr="004C78D8">
              <w:rPr>
                <w:b/>
                <w:bCs/>
                <w:i/>
                <w:iCs/>
                <w:sz w:val="20"/>
                <w:szCs w:val="20"/>
              </w:rPr>
              <w:t>Dependent variable: Change in EQ-5D (N=6,205)</w:t>
            </w:r>
          </w:p>
        </w:tc>
      </w:tr>
      <w:tr w:rsidR="00E30451" w:rsidRPr="004C78D8" w14:paraId="028DFE2A" w14:textId="77777777" w:rsidTr="00E35893">
        <w:tc>
          <w:tcPr>
            <w:tcW w:w="2689" w:type="dxa"/>
            <w:tcBorders>
              <w:bottom w:val="single" w:sz="4" w:space="0" w:color="auto"/>
            </w:tcBorders>
          </w:tcPr>
          <w:p w14:paraId="09DE3A5D" w14:textId="77777777" w:rsidR="00E30451" w:rsidRPr="004C78D8" w:rsidRDefault="00E30451" w:rsidP="00FB7C1F">
            <w:pPr>
              <w:rPr>
                <w:b/>
                <w:bCs/>
                <w:sz w:val="20"/>
                <w:szCs w:val="20"/>
              </w:rPr>
            </w:pPr>
            <w:r w:rsidRPr="004C78D8">
              <w:rPr>
                <w:b/>
                <w:bCs/>
                <w:sz w:val="20"/>
                <w:szCs w:val="20"/>
              </w:rPr>
              <w:t>Explanatory variables</w:t>
            </w:r>
          </w:p>
        </w:tc>
        <w:tc>
          <w:tcPr>
            <w:tcW w:w="1842" w:type="dxa"/>
            <w:tcBorders>
              <w:bottom w:val="single" w:sz="4" w:space="0" w:color="auto"/>
            </w:tcBorders>
          </w:tcPr>
          <w:p w14:paraId="2D71C3E0" w14:textId="77777777" w:rsidR="00E30451" w:rsidRPr="004C78D8" w:rsidRDefault="00E30451" w:rsidP="00FB7C1F">
            <w:pPr>
              <w:jc w:val="center"/>
              <w:rPr>
                <w:b/>
                <w:bCs/>
                <w:sz w:val="20"/>
                <w:szCs w:val="20"/>
              </w:rPr>
            </w:pPr>
            <w:r w:rsidRPr="004C78D8">
              <w:rPr>
                <w:b/>
                <w:bCs/>
                <w:sz w:val="20"/>
                <w:szCs w:val="20"/>
              </w:rPr>
              <w:t>Coefficient (SE)</w:t>
            </w:r>
          </w:p>
        </w:tc>
        <w:tc>
          <w:tcPr>
            <w:tcW w:w="1701" w:type="dxa"/>
            <w:tcBorders>
              <w:bottom w:val="single" w:sz="4" w:space="0" w:color="auto"/>
            </w:tcBorders>
          </w:tcPr>
          <w:p w14:paraId="007423CC" w14:textId="77777777" w:rsidR="00E30451" w:rsidRPr="004C78D8" w:rsidRDefault="00E30451" w:rsidP="00FB7C1F">
            <w:pPr>
              <w:jc w:val="center"/>
              <w:rPr>
                <w:b/>
                <w:bCs/>
                <w:sz w:val="20"/>
                <w:szCs w:val="20"/>
              </w:rPr>
            </w:pPr>
            <w:r w:rsidRPr="004C78D8">
              <w:rPr>
                <w:b/>
                <w:bCs/>
                <w:sz w:val="20"/>
                <w:szCs w:val="20"/>
              </w:rPr>
              <w:t>P-value</w:t>
            </w:r>
          </w:p>
        </w:tc>
      </w:tr>
      <w:tr w:rsidR="00E30451" w:rsidRPr="004C78D8" w14:paraId="6B978FD3" w14:textId="77777777" w:rsidTr="00E35893">
        <w:tc>
          <w:tcPr>
            <w:tcW w:w="2689" w:type="dxa"/>
            <w:tcBorders>
              <w:bottom w:val="nil"/>
            </w:tcBorders>
          </w:tcPr>
          <w:p w14:paraId="1C5C3574" w14:textId="77777777" w:rsidR="00E30451" w:rsidRPr="004C78D8" w:rsidRDefault="00E30451" w:rsidP="00FB7C1F">
            <w:pPr>
              <w:jc w:val="left"/>
              <w:rPr>
                <w:sz w:val="18"/>
                <w:szCs w:val="18"/>
              </w:rPr>
            </w:pPr>
            <w:r w:rsidRPr="004C78D8">
              <w:rPr>
                <w:sz w:val="18"/>
                <w:szCs w:val="18"/>
              </w:rPr>
              <w:t>Constant</w:t>
            </w:r>
          </w:p>
        </w:tc>
        <w:tc>
          <w:tcPr>
            <w:tcW w:w="1842" w:type="dxa"/>
            <w:tcBorders>
              <w:bottom w:val="nil"/>
            </w:tcBorders>
          </w:tcPr>
          <w:p w14:paraId="187B57DA" w14:textId="1C366CAF" w:rsidR="00E30451" w:rsidRPr="004C78D8" w:rsidRDefault="00E30451" w:rsidP="00FB7C1F">
            <w:pPr>
              <w:jc w:val="center"/>
              <w:rPr>
                <w:sz w:val="18"/>
                <w:szCs w:val="18"/>
              </w:rPr>
            </w:pPr>
            <w:r w:rsidRPr="004C78D8">
              <w:rPr>
                <w:sz w:val="18"/>
                <w:szCs w:val="18"/>
              </w:rPr>
              <w:t>0.</w:t>
            </w:r>
            <w:r w:rsidR="000F3CFD" w:rsidRPr="004C78D8">
              <w:rPr>
                <w:sz w:val="18"/>
                <w:szCs w:val="18"/>
              </w:rPr>
              <w:t>500</w:t>
            </w:r>
            <w:r w:rsidRPr="004C78D8">
              <w:rPr>
                <w:sz w:val="18"/>
                <w:szCs w:val="18"/>
              </w:rPr>
              <w:t xml:space="preserve"> (0.02</w:t>
            </w:r>
            <w:r w:rsidR="000F3CFD" w:rsidRPr="004C78D8">
              <w:rPr>
                <w:sz w:val="18"/>
                <w:szCs w:val="18"/>
              </w:rPr>
              <w:t>5</w:t>
            </w:r>
            <w:r w:rsidRPr="004C78D8">
              <w:rPr>
                <w:sz w:val="18"/>
                <w:szCs w:val="18"/>
              </w:rPr>
              <w:t>)</w:t>
            </w:r>
          </w:p>
        </w:tc>
        <w:tc>
          <w:tcPr>
            <w:tcW w:w="1701" w:type="dxa"/>
            <w:tcBorders>
              <w:bottom w:val="nil"/>
            </w:tcBorders>
          </w:tcPr>
          <w:p w14:paraId="4EE613EF" w14:textId="77777777" w:rsidR="00E30451" w:rsidRPr="004C78D8" w:rsidRDefault="00E30451" w:rsidP="00FB7C1F">
            <w:pPr>
              <w:jc w:val="center"/>
              <w:rPr>
                <w:sz w:val="18"/>
                <w:szCs w:val="18"/>
              </w:rPr>
            </w:pPr>
            <w:r w:rsidRPr="004C78D8">
              <w:rPr>
                <w:sz w:val="18"/>
                <w:szCs w:val="18"/>
              </w:rPr>
              <w:t>&lt;0.001</w:t>
            </w:r>
          </w:p>
        </w:tc>
      </w:tr>
      <w:tr w:rsidR="00E30451" w:rsidRPr="004C78D8" w14:paraId="0C2F2C0D" w14:textId="77777777" w:rsidTr="00E35893">
        <w:tc>
          <w:tcPr>
            <w:tcW w:w="2689" w:type="dxa"/>
            <w:tcBorders>
              <w:top w:val="nil"/>
              <w:bottom w:val="nil"/>
            </w:tcBorders>
          </w:tcPr>
          <w:p w14:paraId="30758BA3" w14:textId="77777777" w:rsidR="00E30451" w:rsidRPr="004C78D8" w:rsidRDefault="00E30451" w:rsidP="00FB7C1F">
            <w:pPr>
              <w:jc w:val="left"/>
              <w:rPr>
                <w:sz w:val="18"/>
                <w:szCs w:val="18"/>
              </w:rPr>
            </w:pPr>
            <w:r w:rsidRPr="004C78D8">
              <w:rPr>
                <w:sz w:val="18"/>
                <w:szCs w:val="18"/>
              </w:rPr>
              <w:t>Age W4</w:t>
            </w:r>
          </w:p>
        </w:tc>
        <w:tc>
          <w:tcPr>
            <w:tcW w:w="1842" w:type="dxa"/>
            <w:tcBorders>
              <w:top w:val="nil"/>
              <w:bottom w:val="nil"/>
            </w:tcBorders>
          </w:tcPr>
          <w:p w14:paraId="287ABAF7" w14:textId="580E4167" w:rsidR="00E30451" w:rsidRPr="004C78D8" w:rsidRDefault="00E30451" w:rsidP="00FB7C1F">
            <w:pPr>
              <w:jc w:val="center"/>
              <w:rPr>
                <w:sz w:val="18"/>
                <w:szCs w:val="18"/>
              </w:rPr>
            </w:pPr>
            <w:r w:rsidRPr="004C78D8">
              <w:rPr>
                <w:sz w:val="18"/>
                <w:szCs w:val="18"/>
              </w:rPr>
              <w:t>0.002 (0.0003)</w:t>
            </w:r>
          </w:p>
        </w:tc>
        <w:tc>
          <w:tcPr>
            <w:tcW w:w="1701" w:type="dxa"/>
            <w:tcBorders>
              <w:top w:val="nil"/>
              <w:bottom w:val="nil"/>
            </w:tcBorders>
          </w:tcPr>
          <w:p w14:paraId="07636BE7" w14:textId="77777777" w:rsidR="00E30451" w:rsidRPr="004C78D8" w:rsidRDefault="00E30451" w:rsidP="00FB7C1F">
            <w:pPr>
              <w:jc w:val="center"/>
              <w:rPr>
                <w:sz w:val="18"/>
                <w:szCs w:val="18"/>
              </w:rPr>
            </w:pPr>
            <w:r w:rsidRPr="004C78D8">
              <w:rPr>
                <w:sz w:val="18"/>
                <w:szCs w:val="18"/>
              </w:rPr>
              <w:t>&lt;0.001</w:t>
            </w:r>
          </w:p>
        </w:tc>
      </w:tr>
      <w:tr w:rsidR="00E30451" w:rsidRPr="004C78D8" w14:paraId="45913F42" w14:textId="77777777" w:rsidTr="00E35893">
        <w:tc>
          <w:tcPr>
            <w:tcW w:w="2689" w:type="dxa"/>
            <w:tcBorders>
              <w:top w:val="nil"/>
              <w:bottom w:val="nil"/>
            </w:tcBorders>
          </w:tcPr>
          <w:p w14:paraId="676C2DC3" w14:textId="1D5B65CC" w:rsidR="00E30451" w:rsidRPr="004C78D8" w:rsidRDefault="00E30451" w:rsidP="00FB7C1F">
            <w:pPr>
              <w:jc w:val="left"/>
              <w:rPr>
                <w:sz w:val="18"/>
                <w:szCs w:val="18"/>
              </w:rPr>
            </w:pPr>
            <w:r w:rsidRPr="004C78D8">
              <w:rPr>
                <w:sz w:val="18"/>
                <w:szCs w:val="18"/>
              </w:rPr>
              <w:t>Female</w:t>
            </w:r>
          </w:p>
        </w:tc>
        <w:tc>
          <w:tcPr>
            <w:tcW w:w="1842" w:type="dxa"/>
            <w:tcBorders>
              <w:top w:val="nil"/>
              <w:bottom w:val="nil"/>
            </w:tcBorders>
          </w:tcPr>
          <w:p w14:paraId="3C248C0C" w14:textId="73A4AD19" w:rsidR="00E30451" w:rsidRPr="004C78D8" w:rsidRDefault="00E30451" w:rsidP="00FB7C1F">
            <w:pPr>
              <w:jc w:val="center"/>
              <w:rPr>
                <w:sz w:val="18"/>
                <w:szCs w:val="18"/>
              </w:rPr>
            </w:pPr>
            <w:r w:rsidRPr="004C78D8">
              <w:rPr>
                <w:sz w:val="18"/>
                <w:szCs w:val="18"/>
              </w:rPr>
              <w:t>-0.019 (0.005)</w:t>
            </w:r>
          </w:p>
        </w:tc>
        <w:tc>
          <w:tcPr>
            <w:tcW w:w="1701" w:type="dxa"/>
            <w:tcBorders>
              <w:top w:val="nil"/>
              <w:bottom w:val="nil"/>
            </w:tcBorders>
          </w:tcPr>
          <w:p w14:paraId="611D8C03" w14:textId="4A937900" w:rsidR="00E30451" w:rsidRPr="004C78D8" w:rsidRDefault="00E30451" w:rsidP="00FB7C1F">
            <w:pPr>
              <w:jc w:val="center"/>
              <w:rPr>
                <w:sz w:val="18"/>
                <w:szCs w:val="18"/>
              </w:rPr>
            </w:pPr>
            <w:r w:rsidRPr="004C78D8">
              <w:rPr>
                <w:sz w:val="18"/>
                <w:szCs w:val="18"/>
              </w:rPr>
              <w:t>&lt;0.001</w:t>
            </w:r>
          </w:p>
        </w:tc>
      </w:tr>
      <w:tr w:rsidR="00E30451" w:rsidRPr="004C78D8" w14:paraId="4602A8C1" w14:textId="77777777" w:rsidTr="00E35893">
        <w:tc>
          <w:tcPr>
            <w:tcW w:w="2689" w:type="dxa"/>
            <w:tcBorders>
              <w:top w:val="nil"/>
              <w:bottom w:val="nil"/>
            </w:tcBorders>
          </w:tcPr>
          <w:p w14:paraId="08B9ABDE" w14:textId="1907E3B4" w:rsidR="00E30451" w:rsidRPr="004C78D8" w:rsidRDefault="00550CDC" w:rsidP="00FB7C1F">
            <w:pPr>
              <w:jc w:val="left"/>
              <w:rPr>
                <w:sz w:val="18"/>
                <w:szCs w:val="18"/>
              </w:rPr>
            </w:pPr>
            <w:r w:rsidRPr="004C78D8">
              <w:rPr>
                <w:sz w:val="18"/>
                <w:szCs w:val="18"/>
              </w:rPr>
              <w:t>SES</w:t>
            </w:r>
            <w:r w:rsidR="00E30451" w:rsidRPr="004C78D8">
              <w:rPr>
                <w:sz w:val="18"/>
                <w:szCs w:val="18"/>
              </w:rPr>
              <w:t xml:space="preserve"> (ref: Most privileged quartile)</w:t>
            </w:r>
          </w:p>
        </w:tc>
        <w:tc>
          <w:tcPr>
            <w:tcW w:w="1842" w:type="dxa"/>
            <w:tcBorders>
              <w:top w:val="nil"/>
              <w:bottom w:val="nil"/>
            </w:tcBorders>
          </w:tcPr>
          <w:p w14:paraId="56031F84" w14:textId="77777777" w:rsidR="00E30451" w:rsidRPr="004C78D8" w:rsidRDefault="00E30451" w:rsidP="00FB7C1F">
            <w:pPr>
              <w:jc w:val="center"/>
              <w:rPr>
                <w:sz w:val="18"/>
                <w:szCs w:val="18"/>
              </w:rPr>
            </w:pPr>
          </w:p>
        </w:tc>
        <w:tc>
          <w:tcPr>
            <w:tcW w:w="1701" w:type="dxa"/>
            <w:tcBorders>
              <w:top w:val="nil"/>
              <w:bottom w:val="nil"/>
            </w:tcBorders>
          </w:tcPr>
          <w:p w14:paraId="50DCE9D0" w14:textId="77777777" w:rsidR="00E30451" w:rsidRPr="004C78D8" w:rsidRDefault="00E30451" w:rsidP="00FB7C1F">
            <w:pPr>
              <w:jc w:val="center"/>
              <w:rPr>
                <w:sz w:val="18"/>
                <w:szCs w:val="18"/>
              </w:rPr>
            </w:pPr>
          </w:p>
        </w:tc>
      </w:tr>
      <w:tr w:rsidR="00E30451" w:rsidRPr="004C78D8" w14:paraId="71A13B9D" w14:textId="77777777" w:rsidTr="00E35893">
        <w:tc>
          <w:tcPr>
            <w:tcW w:w="2689" w:type="dxa"/>
            <w:tcBorders>
              <w:top w:val="nil"/>
              <w:bottom w:val="nil"/>
            </w:tcBorders>
          </w:tcPr>
          <w:p w14:paraId="6F10C5EF" w14:textId="77777777" w:rsidR="00E30451" w:rsidRPr="004C78D8" w:rsidRDefault="00E30451" w:rsidP="00FB7C1F">
            <w:pPr>
              <w:jc w:val="right"/>
              <w:rPr>
                <w:sz w:val="18"/>
                <w:szCs w:val="18"/>
              </w:rPr>
            </w:pPr>
            <w:r w:rsidRPr="004C78D8">
              <w:rPr>
                <w:i/>
                <w:iCs/>
                <w:sz w:val="18"/>
                <w:szCs w:val="18"/>
              </w:rPr>
              <w:t>2</w:t>
            </w:r>
            <w:r w:rsidRPr="004C78D8">
              <w:rPr>
                <w:i/>
                <w:iCs/>
                <w:sz w:val="18"/>
                <w:szCs w:val="18"/>
                <w:vertAlign w:val="superscript"/>
              </w:rPr>
              <w:t>nd</w:t>
            </w:r>
            <w:r w:rsidRPr="004C78D8">
              <w:rPr>
                <w:i/>
                <w:iCs/>
                <w:sz w:val="18"/>
                <w:szCs w:val="18"/>
              </w:rPr>
              <w:t xml:space="preserve"> quartile</w:t>
            </w:r>
          </w:p>
        </w:tc>
        <w:tc>
          <w:tcPr>
            <w:tcW w:w="1842" w:type="dxa"/>
            <w:tcBorders>
              <w:top w:val="nil"/>
              <w:bottom w:val="nil"/>
            </w:tcBorders>
          </w:tcPr>
          <w:p w14:paraId="71864926" w14:textId="71194C28" w:rsidR="00E30451" w:rsidRPr="004C78D8" w:rsidRDefault="00E30451" w:rsidP="00FB7C1F">
            <w:pPr>
              <w:jc w:val="center"/>
              <w:rPr>
                <w:sz w:val="18"/>
                <w:szCs w:val="18"/>
              </w:rPr>
            </w:pPr>
            <w:r w:rsidRPr="004C78D8">
              <w:rPr>
                <w:sz w:val="18"/>
                <w:szCs w:val="18"/>
              </w:rPr>
              <w:t>-0.019 (0.007)</w:t>
            </w:r>
          </w:p>
        </w:tc>
        <w:tc>
          <w:tcPr>
            <w:tcW w:w="1701" w:type="dxa"/>
            <w:tcBorders>
              <w:top w:val="nil"/>
              <w:bottom w:val="nil"/>
            </w:tcBorders>
          </w:tcPr>
          <w:p w14:paraId="47B1233A" w14:textId="4DF8D131" w:rsidR="00E30451" w:rsidRPr="004C78D8" w:rsidRDefault="00E30451" w:rsidP="00FB7C1F">
            <w:pPr>
              <w:jc w:val="center"/>
              <w:rPr>
                <w:sz w:val="18"/>
                <w:szCs w:val="18"/>
              </w:rPr>
            </w:pPr>
            <w:r w:rsidRPr="004C78D8">
              <w:rPr>
                <w:sz w:val="18"/>
                <w:szCs w:val="18"/>
              </w:rPr>
              <w:t>0.008</w:t>
            </w:r>
          </w:p>
        </w:tc>
      </w:tr>
      <w:tr w:rsidR="00E30451" w:rsidRPr="004C78D8" w14:paraId="7FE605B4" w14:textId="77777777" w:rsidTr="00E35893">
        <w:tc>
          <w:tcPr>
            <w:tcW w:w="2689" w:type="dxa"/>
            <w:tcBorders>
              <w:top w:val="nil"/>
              <w:bottom w:val="nil"/>
            </w:tcBorders>
          </w:tcPr>
          <w:p w14:paraId="5178E42E" w14:textId="77777777" w:rsidR="00E30451" w:rsidRPr="004C78D8" w:rsidRDefault="00E30451" w:rsidP="00FB7C1F">
            <w:pPr>
              <w:jc w:val="right"/>
              <w:rPr>
                <w:sz w:val="18"/>
                <w:szCs w:val="18"/>
              </w:rPr>
            </w:pPr>
            <w:r w:rsidRPr="004C78D8">
              <w:rPr>
                <w:i/>
                <w:iCs/>
                <w:sz w:val="18"/>
                <w:szCs w:val="18"/>
              </w:rPr>
              <w:t>3</w:t>
            </w:r>
            <w:r w:rsidRPr="004C78D8">
              <w:rPr>
                <w:i/>
                <w:iCs/>
                <w:sz w:val="18"/>
                <w:szCs w:val="18"/>
                <w:vertAlign w:val="superscript"/>
              </w:rPr>
              <w:t>rd</w:t>
            </w:r>
            <w:r w:rsidRPr="004C78D8">
              <w:rPr>
                <w:i/>
                <w:iCs/>
                <w:sz w:val="18"/>
                <w:szCs w:val="18"/>
              </w:rPr>
              <w:t xml:space="preserve"> quartile</w:t>
            </w:r>
          </w:p>
        </w:tc>
        <w:tc>
          <w:tcPr>
            <w:tcW w:w="1842" w:type="dxa"/>
            <w:tcBorders>
              <w:top w:val="nil"/>
              <w:bottom w:val="nil"/>
            </w:tcBorders>
          </w:tcPr>
          <w:p w14:paraId="25D69327" w14:textId="299AF518" w:rsidR="00E30451" w:rsidRPr="004C78D8" w:rsidRDefault="00E30451" w:rsidP="00FB7C1F">
            <w:pPr>
              <w:jc w:val="center"/>
              <w:rPr>
                <w:sz w:val="18"/>
                <w:szCs w:val="18"/>
              </w:rPr>
            </w:pPr>
            <w:r w:rsidRPr="004C78D8">
              <w:rPr>
                <w:sz w:val="18"/>
                <w:szCs w:val="18"/>
              </w:rPr>
              <w:t>-0.00</w:t>
            </w:r>
            <w:r w:rsidR="000F3CFD" w:rsidRPr="004C78D8">
              <w:rPr>
                <w:sz w:val="18"/>
                <w:szCs w:val="18"/>
              </w:rPr>
              <w:t>9</w:t>
            </w:r>
            <w:r w:rsidRPr="004C78D8">
              <w:rPr>
                <w:sz w:val="18"/>
                <w:szCs w:val="18"/>
              </w:rPr>
              <w:t xml:space="preserve"> (0.006)</w:t>
            </w:r>
          </w:p>
        </w:tc>
        <w:tc>
          <w:tcPr>
            <w:tcW w:w="1701" w:type="dxa"/>
            <w:tcBorders>
              <w:top w:val="nil"/>
              <w:bottom w:val="nil"/>
            </w:tcBorders>
          </w:tcPr>
          <w:p w14:paraId="33D7FBDC" w14:textId="51388C22" w:rsidR="00E30451" w:rsidRPr="004C78D8" w:rsidRDefault="00E30451" w:rsidP="00FB7C1F">
            <w:pPr>
              <w:jc w:val="center"/>
              <w:rPr>
                <w:sz w:val="18"/>
                <w:szCs w:val="18"/>
              </w:rPr>
            </w:pPr>
            <w:r w:rsidRPr="004C78D8">
              <w:rPr>
                <w:sz w:val="18"/>
                <w:szCs w:val="18"/>
              </w:rPr>
              <w:t>0.1</w:t>
            </w:r>
            <w:r w:rsidR="000F3CFD" w:rsidRPr="004C78D8">
              <w:rPr>
                <w:sz w:val="18"/>
                <w:szCs w:val="18"/>
              </w:rPr>
              <w:t>62</w:t>
            </w:r>
          </w:p>
        </w:tc>
      </w:tr>
      <w:tr w:rsidR="00E30451" w:rsidRPr="004C78D8" w14:paraId="0CC0E941" w14:textId="77777777" w:rsidTr="00E35893">
        <w:tc>
          <w:tcPr>
            <w:tcW w:w="2689" w:type="dxa"/>
            <w:tcBorders>
              <w:top w:val="nil"/>
              <w:bottom w:val="nil"/>
            </w:tcBorders>
          </w:tcPr>
          <w:p w14:paraId="3675C1FA" w14:textId="77777777" w:rsidR="00E30451" w:rsidRPr="004C78D8" w:rsidRDefault="00E30451" w:rsidP="00FB7C1F">
            <w:pPr>
              <w:jc w:val="right"/>
              <w:rPr>
                <w:sz w:val="18"/>
                <w:szCs w:val="18"/>
              </w:rPr>
            </w:pPr>
            <w:r w:rsidRPr="004C78D8">
              <w:rPr>
                <w:i/>
                <w:iCs/>
                <w:sz w:val="18"/>
                <w:szCs w:val="18"/>
              </w:rPr>
              <w:t>Most deprived quartile</w:t>
            </w:r>
          </w:p>
        </w:tc>
        <w:tc>
          <w:tcPr>
            <w:tcW w:w="1842" w:type="dxa"/>
            <w:tcBorders>
              <w:top w:val="nil"/>
              <w:bottom w:val="nil"/>
            </w:tcBorders>
          </w:tcPr>
          <w:p w14:paraId="5E9F69C3" w14:textId="15214A23" w:rsidR="00E30451" w:rsidRPr="004C78D8" w:rsidRDefault="00E30451" w:rsidP="00FB7C1F">
            <w:pPr>
              <w:jc w:val="center"/>
              <w:rPr>
                <w:sz w:val="18"/>
                <w:szCs w:val="18"/>
              </w:rPr>
            </w:pPr>
            <w:r w:rsidRPr="004C78D8">
              <w:rPr>
                <w:sz w:val="18"/>
                <w:szCs w:val="18"/>
              </w:rPr>
              <w:t>-0.02</w:t>
            </w:r>
            <w:r w:rsidR="000F3CFD" w:rsidRPr="004C78D8">
              <w:rPr>
                <w:sz w:val="18"/>
                <w:szCs w:val="18"/>
              </w:rPr>
              <w:t>3</w:t>
            </w:r>
            <w:r w:rsidRPr="004C78D8">
              <w:rPr>
                <w:sz w:val="18"/>
                <w:szCs w:val="18"/>
              </w:rPr>
              <w:t xml:space="preserve"> (0.007)</w:t>
            </w:r>
          </w:p>
        </w:tc>
        <w:tc>
          <w:tcPr>
            <w:tcW w:w="1701" w:type="dxa"/>
            <w:tcBorders>
              <w:top w:val="nil"/>
              <w:bottom w:val="nil"/>
            </w:tcBorders>
          </w:tcPr>
          <w:p w14:paraId="24A944CB" w14:textId="7CCE4783" w:rsidR="00E30451" w:rsidRPr="004C78D8" w:rsidRDefault="00E30451" w:rsidP="00FB7C1F">
            <w:pPr>
              <w:jc w:val="center"/>
              <w:rPr>
                <w:sz w:val="18"/>
                <w:szCs w:val="18"/>
              </w:rPr>
            </w:pPr>
            <w:r w:rsidRPr="004C78D8">
              <w:rPr>
                <w:sz w:val="18"/>
                <w:szCs w:val="18"/>
              </w:rPr>
              <w:t>0.00</w:t>
            </w:r>
            <w:r w:rsidR="000F3CFD" w:rsidRPr="004C78D8">
              <w:rPr>
                <w:sz w:val="18"/>
                <w:szCs w:val="18"/>
              </w:rPr>
              <w:t>2</w:t>
            </w:r>
          </w:p>
        </w:tc>
      </w:tr>
      <w:tr w:rsidR="00E30451" w:rsidRPr="004C78D8" w14:paraId="171405B8" w14:textId="77777777" w:rsidTr="00E35893">
        <w:tc>
          <w:tcPr>
            <w:tcW w:w="2689" w:type="dxa"/>
            <w:tcBorders>
              <w:top w:val="nil"/>
              <w:bottom w:val="nil"/>
            </w:tcBorders>
          </w:tcPr>
          <w:p w14:paraId="5FC11D5B" w14:textId="77777777" w:rsidR="00E30451" w:rsidRPr="004C78D8" w:rsidRDefault="00E30451" w:rsidP="00FB7C1F">
            <w:pPr>
              <w:jc w:val="left"/>
              <w:rPr>
                <w:sz w:val="18"/>
                <w:szCs w:val="18"/>
              </w:rPr>
            </w:pPr>
            <w:r w:rsidRPr="004C78D8">
              <w:rPr>
                <w:sz w:val="18"/>
                <w:szCs w:val="18"/>
              </w:rPr>
              <w:t>Falls incidence W5 (ref: No fall incidence)</w:t>
            </w:r>
          </w:p>
        </w:tc>
        <w:tc>
          <w:tcPr>
            <w:tcW w:w="1842" w:type="dxa"/>
            <w:tcBorders>
              <w:top w:val="nil"/>
              <w:bottom w:val="nil"/>
            </w:tcBorders>
          </w:tcPr>
          <w:p w14:paraId="0E90157C" w14:textId="77777777" w:rsidR="00E30451" w:rsidRPr="004C78D8" w:rsidRDefault="00E30451" w:rsidP="00FB7C1F">
            <w:pPr>
              <w:jc w:val="center"/>
              <w:rPr>
                <w:sz w:val="18"/>
                <w:szCs w:val="18"/>
              </w:rPr>
            </w:pPr>
          </w:p>
        </w:tc>
        <w:tc>
          <w:tcPr>
            <w:tcW w:w="1701" w:type="dxa"/>
            <w:tcBorders>
              <w:top w:val="nil"/>
              <w:bottom w:val="nil"/>
            </w:tcBorders>
          </w:tcPr>
          <w:p w14:paraId="4894FF54" w14:textId="77777777" w:rsidR="00E30451" w:rsidRPr="004C78D8" w:rsidRDefault="00E30451" w:rsidP="00FB7C1F">
            <w:pPr>
              <w:jc w:val="center"/>
              <w:rPr>
                <w:sz w:val="18"/>
                <w:szCs w:val="18"/>
              </w:rPr>
            </w:pPr>
          </w:p>
        </w:tc>
      </w:tr>
      <w:tr w:rsidR="00E30451" w:rsidRPr="004C78D8" w14:paraId="760B7BB4" w14:textId="77777777" w:rsidTr="00E35893">
        <w:tc>
          <w:tcPr>
            <w:tcW w:w="2689" w:type="dxa"/>
            <w:tcBorders>
              <w:top w:val="nil"/>
              <w:bottom w:val="nil"/>
            </w:tcBorders>
          </w:tcPr>
          <w:p w14:paraId="762C3344" w14:textId="77777777" w:rsidR="00E30451" w:rsidRPr="004C78D8" w:rsidRDefault="00E30451" w:rsidP="00FB7C1F">
            <w:pPr>
              <w:jc w:val="right"/>
              <w:rPr>
                <w:sz w:val="18"/>
                <w:szCs w:val="18"/>
              </w:rPr>
            </w:pPr>
            <w:r w:rsidRPr="004C78D8">
              <w:rPr>
                <w:i/>
                <w:iCs/>
                <w:sz w:val="18"/>
                <w:szCs w:val="18"/>
              </w:rPr>
              <w:t>Single non-MA fall</w:t>
            </w:r>
          </w:p>
        </w:tc>
        <w:tc>
          <w:tcPr>
            <w:tcW w:w="1842" w:type="dxa"/>
            <w:tcBorders>
              <w:top w:val="nil"/>
              <w:bottom w:val="nil"/>
            </w:tcBorders>
          </w:tcPr>
          <w:p w14:paraId="18B7A63A" w14:textId="3B550D3A" w:rsidR="00E30451" w:rsidRPr="004C78D8" w:rsidRDefault="00E30451" w:rsidP="00FB7C1F">
            <w:pPr>
              <w:jc w:val="center"/>
              <w:rPr>
                <w:sz w:val="18"/>
                <w:szCs w:val="18"/>
              </w:rPr>
            </w:pPr>
            <w:r w:rsidRPr="004C78D8">
              <w:rPr>
                <w:sz w:val="18"/>
                <w:szCs w:val="18"/>
              </w:rPr>
              <w:t>-0.013 (0.008)</w:t>
            </w:r>
          </w:p>
        </w:tc>
        <w:tc>
          <w:tcPr>
            <w:tcW w:w="1701" w:type="dxa"/>
            <w:tcBorders>
              <w:top w:val="nil"/>
              <w:bottom w:val="nil"/>
            </w:tcBorders>
          </w:tcPr>
          <w:p w14:paraId="5870AF8C" w14:textId="1AF46FB5" w:rsidR="00E30451" w:rsidRPr="004C78D8" w:rsidRDefault="00E30451" w:rsidP="00FB7C1F">
            <w:pPr>
              <w:jc w:val="center"/>
              <w:rPr>
                <w:sz w:val="18"/>
                <w:szCs w:val="18"/>
              </w:rPr>
            </w:pPr>
            <w:r w:rsidRPr="004C78D8">
              <w:rPr>
                <w:sz w:val="18"/>
                <w:szCs w:val="18"/>
              </w:rPr>
              <w:t>0.0</w:t>
            </w:r>
            <w:r w:rsidR="000F3CFD" w:rsidRPr="004C78D8">
              <w:rPr>
                <w:sz w:val="18"/>
                <w:szCs w:val="18"/>
              </w:rPr>
              <w:t>81</w:t>
            </w:r>
          </w:p>
        </w:tc>
      </w:tr>
      <w:tr w:rsidR="00E30451" w:rsidRPr="004C78D8" w14:paraId="06440640" w14:textId="77777777" w:rsidTr="00E35893">
        <w:tc>
          <w:tcPr>
            <w:tcW w:w="2689" w:type="dxa"/>
            <w:tcBorders>
              <w:top w:val="nil"/>
              <w:bottom w:val="nil"/>
            </w:tcBorders>
          </w:tcPr>
          <w:p w14:paraId="31958D2C" w14:textId="77777777" w:rsidR="00E30451" w:rsidRPr="004C78D8" w:rsidRDefault="00E30451" w:rsidP="00FB7C1F">
            <w:pPr>
              <w:jc w:val="right"/>
              <w:rPr>
                <w:sz w:val="18"/>
                <w:szCs w:val="18"/>
              </w:rPr>
            </w:pPr>
            <w:r w:rsidRPr="004C78D8">
              <w:rPr>
                <w:i/>
                <w:iCs/>
                <w:sz w:val="18"/>
                <w:szCs w:val="18"/>
              </w:rPr>
              <w:t>Recurrent non-MA falls</w:t>
            </w:r>
          </w:p>
        </w:tc>
        <w:tc>
          <w:tcPr>
            <w:tcW w:w="1842" w:type="dxa"/>
            <w:tcBorders>
              <w:top w:val="nil"/>
              <w:bottom w:val="nil"/>
            </w:tcBorders>
          </w:tcPr>
          <w:p w14:paraId="5155904C" w14:textId="21937D36" w:rsidR="00E30451" w:rsidRPr="004C78D8" w:rsidRDefault="00E30451" w:rsidP="00FB7C1F">
            <w:pPr>
              <w:jc w:val="center"/>
              <w:rPr>
                <w:sz w:val="18"/>
                <w:szCs w:val="18"/>
              </w:rPr>
            </w:pPr>
            <w:r w:rsidRPr="004C78D8">
              <w:rPr>
                <w:sz w:val="18"/>
                <w:szCs w:val="18"/>
              </w:rPr>
              <w:t>-0.0</w:t>
            </w:r>
            <w:r w:rsidR="000F3CFD" w:rsidRPr="004C78D8">
              <w:rPr>
                <w:sz w:val="18"/>
                <w:szCs w:val="18"/>
              </w:rPr>
              <w:t>40</w:t>
            </w:r>
            <w:r w:rsidRPr="004C78D8">
              <w:rPr>
                <w:sz w:val="18"/>
                <w:szCs w:val="18"/>
              </w:rPr>
              <w:t xml:space="preserve"> (0.009)</w:t>
            </w:r>
          </w:p>
        </w:tc>
        <w:tc>
          <w:tcPr>
            <w:tcW w:w="1701" w:type="dxa"/>
            <w:tcBorders>
              <w:top w:val="nil"/>
              <w:bottom w:val="nil"/>
            </w:tcBorders>
          </w:tcPr>
          <w:p w14:paraId="5A8DA01B" w14:textId="77777777" w:rsidR="00E30451" w:rsidRPr="004C78D8" w:rsidRDefault="00E30451" w:rsidP="00FB7C1F">
            <w:pPr>
              <w:jc w:val="center"/>
              <w:rPr>
                <w:sz w:val="18"/>
                <w:szCs w:val="18"/>
              </w:rPr>
            </w:pPr>
            <w:r w:rsidRPr="004C78D8">
              <w:rPr>
                <w:sz w:val="18"/>
                <w:szCs w:val="18"/>
              </w:rPr>
              <w:t>&lt;0.001</w:t>
            </w:r>
          </w:p>
        </w:tc>
      </w:tr>
      <w:tr w:rsidR="00E30451" w:rsidRPr="004C78D8" w14:paraId="68EC500B" w14:textId="77777777" w:rsidTr="00E35893">
        <w:tc>
          <w:tcPr>
            <w:tcW w:w="2689" w:type="dxa"/>
            <w:tcBorders>
              <w:top w:val="nil"/>
              <w:bottom w:val="nil"/>
            </w:tcBorders>
          </w:tcPr>
          <w:p w14:paraId="7AB081F0" w14:textId="77777777" w:rsidR="00E30451" w:rsidRPr="004C78D8" w:rsidRDefault="00E30451" w:rsidP="00FB7C1F">
            <w:pPr>
              <w:jc w:val="right"/>
              <w:rPr>
                <w:sz w:val="18"/>
                <w:szCs w:val="18"/>
              </w:rPr>
            </w:pPr>
            <w:r w:rsidRPr="004C78D8">
              <w:rPr>
                <w:i/>
                <w:iCs/>
                <w:sz w:val="18"/>
                <w:szCs w:val="18"/>
              </w:rPr>
              <w:t>Single MA fall</w:t>
            </w:r>
          </w:p>
        </w:tc>
        <w:tc>
          <w:tcPr>
            <w:tcW w:w="1842" w:type="dxa"/>
            <w:tcBorders>
              <w:top w:val="nil"/>
              <w:bottom w:val="nil"/>
            </w:tcBorders>
          </w:tcPr>
          <w:p w14:paraId="6075D955" w14:textId="32539B2A" w:rsidR="00E30451" w:rsidRPr="004C78D8" w:rsidRDefault="00E30451" w:rsidP="00FB7C1F">
            <w:pPr>
              <w:jc w:val="center"/>
              <w:rPr>
                <w:sz w:val="18"/>
                <w:szCs w:val="18"/>
              </w:rPr>
            </w:pPr>
            <w:r w:rsidRPr="004C78D8">
              <w:rPr>
                <w:sz w:val="18"/>
                <w:szCs w:val="18"/>
              </w:rPr>
              <w:t>-0.022 (0.012)</w:t>
            </w:r>
          </w:p>
        </w:tc>
        <w:tc>
          <w:tcPr>
            <w:tcW w:w="1701" w:type="dxa"/>
            <w:tcBorders>
              <w:top w:val="nil"/>
              <w:bottom w:val="nil"/>
            </w:tcBorders>
          </w:tcPr>
          <w:p w14:paraId="241F898B" w14:textId="0F9077F3" w:rsidR="00E30451" w:rsidRPr="004C78D8" w:rsidRDefault="00E30451" w:rsidP="00FB7C1F">
            <w:pPr>
              <w:jc w:val="center"/>
              <w:rPr>
                <w:sz w:val="18"/>
                <w:szCs w:val="18"/>
              </w:rPr>
            </w:pPr>
            <w:r w:rsidRPr="004C78D8">
              <w:rPr>
                <w:sz w:val="18"/>
                <w:szCs w:val="18"/>
              </w:rPr>
              <w:t>0.05</w:t>
            </w:r>
            <w:r w:rsidR="000F3CFD" w:rsidRPr="004C78D8">
              <w:rPr>
                <w:sz w:val="18"/>
                <w:szCs w:val="18"/>
              </w:rPr>
              <w:t>6</w:t>
            </w:r>
          </w:p>
        </w:tc>
      </w:tr>
      <w:tr w:rsidR="00E30451" w:rsidRPr="004C78D8" w14:paraId="5F99D31C" w14:textId="77777777" w:rsidTr="00E35893">
        <w:tc>
          <w:tcPr>
            <w:tcW w:w="2689" w:type="dxa"/>
            <w:tcBorders>
              <w:top w:val="nil"/>
              <w:bottom w:val="nil"/>
            </w:tcBorders>
          </w:tcPr>
          <w:p w14:paraId="4CC798D3" w14:textId="77777777" w:rsidR="00E30451" w:rsidRPr="004C78D8" w:rsidRDefault="00E30451" w:rsidP="00FB7C1F">
            <w:pPr>
              <w:jc w:val="right"/>
              <w:rPr>
                <w:sz w:val="18"/>
                <w:szCs w:val="18"/>
              </w:rPr>
            </w:pPr>
            <w:r w:rsidRPr="004C78D8">
              <w:rPr>
                <w:i/>
                <w:iCs/>
                <w:sz w:val="18"/>
                <w:szCs w:val="18"/>
              </w:rPr>
              <w:t>Recurrent falls with MA</w:t>
            </w:r>
          </w:p>
        </w:tc>
        <w:tc>
          <w:tcPr>
            <w:tcW w:w="1842" w:type="dxa"/>
            <w:tcBorders>
              <w:top w:val="nil"/>
              <w:bottom w:val="nil"/>
            </w:tcBorders>
          </w:tcPr>
          <w:p w14:paraId="203EC6E6" w14:textId="1DCE2CF0" w:rsidR="00E30451" w:rsidRPr="004C78D8" w:rsidRDefault="00E30451" w:rsidP="00FB7C1F">
            <w:pPr>
              <w:jc w:val="center"/>
              <w:rPr>
                <w:sz w:val="18"/>
                <w:szCs w:val="18"/>
              </w:rPr>
            </w:pPr>
            <w:r w:rsidRPr="004C78D8">
              <w:rPr>
                <w:sz w:val="18"/>
                <w:szCs w:val="18"/>
              </w:rPr>
              <w:t>-0.0001 (0.014)</w:t>
            </w:r>
          </w:p>
        </w:tc>
        <w:tc>
          <w:tcPr>
            <w:tcW w:w="1701" w:type="dxa"/>
            <w:tcBorders>
              <w:top w:val="nil"/>
              <w:bottom w:val="nil"/>
            </w:tcBorders>
          </w:tcPr>
          <w:p w14:paraId="23611CC7" w14:textId="700470AB" w:rsidR="00E30451" w:rsidRPr="004C78D8" w:rsidRDefault="00E30451" w:rsidP="00FB7C1F">
            <w:pPr>
              <w:jc w:val="center"/>
              <w:rPr>
                <w:sz w:val="18"/>
                <w:szCs w:val="18"/>
              </w:rPr>
            </w:pPr>
            <w:r w:rsidRPr="004C78D8">
              <w:rPr>
                <w:sz w:val="18"/>
                <w:szCs w:val="18"/>
              </w:rPr>
              <w:t>0.9</w:t>
            </w:r>
            <w:r w:rsidR="000F3CFD" w:rsidRPr="004C78D8">
              <w:rPr>
                <w:sz w:val="18"/>
                <w:szCs w:val="18"/>
              </w:rPr>
              <w:t>43</w:t>
            </w:r>
          </w:p>
        </w:tc>
      </w:tr>
      <w:tr w:rsidR="00E30451" w:rsidRPr="004C78D8" w14:paraId="1C0B12BC" w14:textId="77777777" w:rsidTr="00E35893">
        <w:tc>
          <w:tcPr>
            <w:tcW w:w="2689" w:type="dxa"/>
            <w:tcBorders>
              <w:top w:val="nil"/>
              <w:bottom w:val="nil"/>
            </w:tcBorders>
          </w:tcPr>
          <w:p w14:paraId="2B44CAB1" w14:textId="77777777" w:rsidR="00E30451" w:rsidRPr="004C78D8" w:rsidRDefault="00E30451" w:rsidP="00FB7C1F">
            <w:pPr>
              <w:jc w:val="left"/>
              <w:rPr>
                <w:sz w:val="18"/>
                <w:szCs w:val="18"/>
              </w:rPr>
            </w:pPr>
            <w:r w:rsidRPr="004C78D8">
              <w:rPr>
                <w:sz w:val="18"/>
                <w:szCs w:val="18"/>
              </w:rPr>
              <w:t>Frailty W4 (0-100)</w:t>
            </w:r>
          </w:p>
        </w:tc>
        <w:tc>
          <w:tcPr>
            <w:tcW w:w="1842" w:type="dxa"/>
            <w:tcBorders>
              <w:top w:val="nil"/>
              <w:bottom w:val="nil"/>
            </w:tcBorders>
          </w:tcPr>
          <w:p w14:paraId="0920A2E6" w14:textId="581C58D4" w:rsidR="00E30451" w:rsidRPr="004C78D8" w:rsidRDefault="00E30451" w:rsidP="00FB7C1F">
            <w:pPr>
              <w:jc w:val="center"/>
              <w:rPr>
                <w:sz w:val="18"/>
                <w:szCs w:val="18"/>
              </w:rPr>
            </w:pPr>
            <w:r w:rsidRPr="004C78D8">
              <w:rPr>
                <w:sz w:val="18"/>
                <w:szCs w:val="18"/>
              </w:rPr>
              <w:t>-0.010 (0.0004)</w:t>
            </w:r>
          </w:p>
        </w:tc>
        <w:tc>
          <w:tcPr>
            <w:tcW w:w="1701" w:type="dxa"/>
            <w:tcBorders>
              <w:top w:val="nil"/>
              <w:bottom w:val="nil"/>
            </w:tcBorders>
          </w:tcPr>
          <w:p w14:paraId="441606AE" w14:textId="77777777" w:rsidR="00E30451" w:rsidRPr="004C78D8" w:rsidRDefault="00E30451" w:rsidP="00FB7C1F">
            <w:pPr>
              <w:jc w:val="center"/>
              <w:rPr>
                <w:sz w:val="18"/>
                <w:szCs w:val="18"/>
              </w:rPr>
            </w:pPr>
            <w:r w:rsidRPr="004C78D8">
              <w:rPr>
                <w:sz w:val="18"/>
                <w:szCs w:val="18"/>
              </w:rPr>
              <w:t>&lt;0.001</w:t>
            </w:r>
          </w:p>
        </w:tc>
      </w:tr>
      <w:tr w:rsidR="00E30451" w:rsidRPr="004C78D8" w14:paraId="71921959" w14:textId="77777777" w:rsidTr="00E35893">
        <w:tc>
          <w:tcPr>
            <w:tcW w:w="2689" w:type="dxa"/>
            <w:tcBorders>
              <w:top w:val="nil"/>
              <w:bottom w:val="nil"/>
            </w:tcBorders>
          </w:tcPr>
          <w:p w14:paraId="587E3D87" w14:textId="57D8512A" w:rsidR="00E30451" w:rsidRPr="004C78D8" w:rsidRDefault="00E30451" w:rsidP="00FB7C1F">
            <w:pPr>
              <w:jc w:val="left"/>
              <w:rPr>
                <w:sz w:val="18"/>
                <w:szCs w:val="18"/>
              </w:rPr>
            </w:pPr>
            <w:r w:rsidRPr="004C78D8">
              <w:rPr>
                <w:sz w:val="18"/>
                <w:szCs w:val="18"/>
              </w:rPr>
              <w:t>Change in frailty</w:t>
            </w:r>
            <w:r w:rsidR="009B7FEA" w:rsidRPr="004C78D8">
              <w:rPr>
                <w:sz w:val="18"/>
                <w:szCs w:val="18"/>
                <w:vertAlign w:val="superscript"/>
              </w:rPr>
              <w:t>1</w:t>
            </w:r>
          </w:p>
        </w:tc>
        <w:tc>
          <w:tcPr>
            <w:tcW w:w="1842" w:type="dxa"/>
            <w:tcBorders>
              <w:top w:val="nil"/>
              <w:bottom w:val="nil"/>
            </w:tcBorders>
          </w:tcPr>
          <w:p w14:paraId="7E0B4BAA" w14:textId="0CFCEC14" w:rsidR="00E30451" w:rsidRPr="004C78D8" w:rsidRDefault="00B05FBC" w:rsidP="00FB7C1F">
            <w:pPr>
              <w:jc w:val="center"/>
              <w:rPr>
                <w:sz w:val="18"/>
                <w:szCs w:val="18"/>
              </w:rPr>
            </w:pPr>
            <w:r w:rsidRPr="004C78D8">
              <w:rPr>
                <w:sz w:val="18"/>
                <w:szCs w:val="18"/>
              </w:rPr>
              <w:t>-0.014 (0.0004)</w:t>
            </w:r>
          </w:p>
        </w:tc>
        <w:tc>
          <w:tcPr>
            <w:tcW w:w="1701" w:type="dxa"/>
            <w:tcBorders>
              <w:top w:val="nil"/>
              <w:bottom w:val="nil"/>
            </w:tcBorders>
          </w:tcPr>
          <w:p w14:paraId="1262C0FB" w14:textId="28F3E007" w:rsidR="00E30451" w:rsidRPr="004C78D8" w:rsidRDefault="00B05FBC" w:rsidP="00FB7C1F">
            <w:pPr>
              <w:jc w:val="center"/>
              <w:rPr>
                <w:sz w:val="18"/>
                <w:szCs w:val="18"/>
              </w:rPr>
            </w:pPr>
            <w:r w:rsidRPr="004C78D8">
              <w:rPr>
                <w:sz w:val="18"/>
                <w:szCs w:val="18"/>
              </w:rPr>
              <w:t>&lt;0.001</w:t>
            </w:r>
          </w:p>
        </w:tc>
      </w:tr>
      <w:tr w:rsidR="00E30451" w:rsidRPr="004C78D8" w14:paraId="3DAFFD18" w14:textId="77777777" w:rsidTr="00E35893">
        <w:tc>
          <w:tcPr>
            <w:tcW w:w="2689" w:type="dxa"/>
            <w:tcBorders>
              <w:top w:val="nil"/>
              <w:bottom w:val="nil"/>
            </w:tcBorders>
          </w:tcPr>
          <w:p w14:paraId="6FDA81BF" w14:textId="0B31212C" w:rsidR="00E30451" w:rsidRPr="004C78D8" w:rsidRDefault="00B05FBC" w:rsidP="00FB7C1F">
            <w:pPr>
              <w:jc w:val="left"/>
              <w:rPr>
                <w:sz w:val="18"/>
                <w:szCs w:val="18"/>
              </w:rPr>
            </w:pPr>
            <w:r w:rsidRPr="004C78D8">
              <w:rPr>
                <w:sz w:val="18"/>
                <w:szCs w:val="18"/>
              </w:rPr>
              <w:t>Abnormal gait/balance</w:t>
            </w:r>
            <w:r w:rsidR="00E30451" w:rsidRPr="004C78D8">
              <w:rPr>
                <w:sz w:val="18"/>
                <w:szCs w:val="18"/>
              </w:rPr>
              <w:t xml:space="preserve"> W4</w:t>
            </w:r>
          </w:p>
        </w:tc>
        <w:tc>
          <w:tcPr>
            <w:tcW w:w="1842" w:type="dxa"/>
            <w:tcBorders>
              <w:top w:val="nil"/>
              <w:bottom w:val="nil"/>
            </w:tcBorders>
          </w:tcPr>
          <w:p w14:paraId="2CB07938" w14:textId="7D6C5923" w:rsidR="00E30451" w:rsidRPr="004C78D8" w:rsidRDefault="00E30451" w:rsidP="00FB7C1F">
            <w:pPr>
              <w:jc w:val="center"/>
              <w:rPr>
                <w:sz w:val="18"/>
                <w:szCs w:val="18"/>
              </w:rPr>
            </w:pPr>
            <w:r w:rsidRPr="004C78D8">
              <w:rPr>
                <w:sz w:val="18"/>
                <w:szCs w:val="18"/>
              </w:rPr>
              <w:t>-0.</w:t>
            </w:r>
            <w:r w:rsidR="00B05FBC" w:rsidRPr="004C78D8">
              <w:rPr>
                <w:sz w:val="18"/>
                <w:szCs w:val="18"/>
              </w:rPr>
              <w:t>01</w:t>
            </w:r>
            <w:r w:rsidR="000F3CFD" w:rsidRPr="004C78D8">
              <w:rPr>
                <w:sz w:val="18"/>
                <w:szCs w:val="18"/>
              </w:rPr>
              <w:t>7</w:t>
            </w:r>
            <w:r w:rsidRPr="004C78D8">
              <w:rPr>
                <w:sz w:val="18"/>
                <w:szCs w:val="18"/>
              </w:rPr>
              <w:t xml:space="preserve"> (0.</w:t>
            </w:r>
            <w:r w:rsidR="00B05FBC" w:rsidRPr="004C78D8">
              <w:rPr>
                <w:sz w:val="18"/>
                <w:szCs w:val="18"/>
              </w:rPr>
              <w:t>007</w:t>
            </w:r>
            <w:r w:rsidRPr="004C78D8">
              <w:rPr>
                <w:sz w:val="18"/>
                <w:szCs w:val="18"/>
              </w:rPr>
              <w:t>)</w:t>
            </w:r>
          </w:p>
        </w:tc>
        <w:tc>
          <w:tcPr>
            <w:tcW w:w="1701" w:type="dxa"/>
            <w:tcBorders>
              <w:top w:val="nil"/>
              <w:bottom w:val="nil"/>
            </w:tcBorders>
          </w:tcPr>
          <w:p w14:paraId="09272480" w14:textId="6600C4C2" w:rsidR="00E30451" w:rsidRPr="004C78D8" w:rsidRDefault="00E30451" w:rsidP="00FB7C1F">
            <w:pPr>
              <w:jc w:val="center"/>
              <w:rPr>
                <w:sz w:val="18"/>
                <w:szCs w:val="18"/>
              </w:rPr>
            </w:pPr>
            <w:r w:rsidRPr="004C78D8">
              <w:rPr>
                <w:sz w:val="18"/>
                <w:szCs w:val="18"/>
              </w:rPr>
              <w:t>0.0</w:t>
            </w:r>
            <w:r w:rsidR="000F3CFD" w:rsidRPr="004C78D8">
              <w:rPr>
                <w:sz w:val="18"/>
                <w:szCs w:val="18"/>
              </w:rPr>
              <w:t>16</w:t>
            </w:r>
          </w:p>
        </w:tc>
      </w:tr>
      <w:tr w:rsidR="00E30451" w:rsidRPr="004C78D8" w14:paraId="6AE3A1DA" w14:textId="77777777" w:rsidTr="00E35893">
        <w:tc>
          <w:tcPr>
            <w:tcW w:w="2689" w:type="dxa"/>
            <w:tcBorders>
              <w:top w:val="nil"/>
              <w:bottom w:val="nil"/>
            </w:tcBorders>
          </w:tcPr>
          <w:p w14:paraId="238D5D35" w14:textId="070DC71D" w:rsidR="00E30451" w:rsidRPr="004C78D8" w:rsidRDefault="00B05FBC" w:rsidP="00FB7C1F">
            <w:pPr>
              <w:jc w:val="left"/>
              <w:rPr>
                <w:sz w:val="18"/>
                <w:szCs w:val="18"/>
              </w:rPr>
            </w:pPr>
            <w:r w:rsidRPr="004C78D8">
              <w:rPr>
                <w:sz w:val="18"/>
                <w:szCs w:val="18"/>
              </w:rPr>
              <w:t>EQ-5D W4</w:t>
            </w:r>
          </w:p>
        </w:tc>
        <w:tc>
          <w:tcPr>
            <w:tcW w:w="1842" w:type="dxa"/>
            <w:tcBorders>
              <w:top w:val="nil"/>
              <w:bottom w:val="nil"/>
            </w:tcBorders>
          </w:tcPr>
          <w:p w14:paraId="013D8BC8" w14:textId="740D67F3" w:rsidR="00E30451" w:rsidRPr="004C78D8" w:rsidRDefault="00B05FBC" w:rsidP="00FB7C1F">
            <w:pPr>
              <w:jc w:val="center"/>
              <w:rPr>
                <w:sz w:val="18"/>
                <w:szCs w:val="18"/>
              </w:rPr>
            </w:pPr>
            <w:r w:rsidRPr="004C78D8">
              <w:rPr>
                <w:sz w:val="18"/>
                <w:szCs w:val="18"/>
              </w:rPr>
              <w:t>-</w:t>
            </w:r>
            <w:r w:rsidR="00E30451" w:rsidRPr="004C78D8">
              <w:rPr>
                <w:sz w:val="18"/>
                <w:szCs w:val="18"/>
              </w:rPr>
              <w:t>0.7</w:t>
            </w:r>
            <w:r w:rsidR="000F3CFD" w:rsidRPr="004C78D8">
              <w:rPr>
                <w:sz w:val="18"/>
                <w:szCs w:val="18"/>
              </w:rPr>
              <w:t>39</w:t>
            </w:r>
            <w:r w:rsidR="00E30451" w:rsidRPr="004C78D8">
              <w:rPr>
                <w:sz w:val="18"/>
                <w:szCs w:val="18"/>
              </w:rPr>
              <w:t xml:space="preserve"> (0.</w:t>
            </w:r>
            <w:r w:rsidRPr="004C78D8">
              <w:rPr>
                <w:sz w:val="18"/>
                <w:szCs w:val="18"/>
              </w:rPr>
              <w:t>034</w:t>
            </w:r>
            <w:r w:rsidR="00E30451" w:rsidRPr="004C78D8">
              <w:rPr>
                <w:sz w:val="18"/>
                <w:szCs w:val="18"/>
              </w:rPr>
              <w:t>)</w:t>
            </w:r>
          </w:p>
        </w:tc>
        <w:tc>
          <w:tcPr>
            <w:tcW w:w="1701" w:type="dxa"/>
            <w:tcBorders>
              <w:top w:val="nil"/>
              <w:bottom w:val="nil"/>
            </w:tcBorders>
          </w:tcPr>
          <w:p w14:paraId="31281CBF" w14:textId="77777777" w:rsidR="00E30451" w:rsidRPr="004C78D8" w:rsidRDefault="00E30451" w:rsidP="00FB7C1F">
            <w:pPr>
              <w:jc w:val="center"/>
              <w:rPr>
                <w:sz w:val="18"/>
                <w:szCs w:val="18"/>
              </w:rPr>
            </w:pPr>
            <w:r w:rsidRPr="004C78D8">
              <w:rPr>
                <w:sz w:val="18"/>
                <w:szCs w:val="18"/>
              </w:rPr>
              <w:t>&lt;0.001</w:t>
            </w:r>
          </w:p>
        </w:tc>
      </w:tr>
      <w:tr w:rsidR="00B05FBC" w:rsidRPr="004C78D8" w14:paraId="09C3A169" w14:textId="77777777" w:rsidTr="00E35893">
        <w:tc>
          <w:tcPr>
            <w:tcW w:w="2689" w:type="dxa"/>
            <w:tcBorders>
              <w:top w:val="nil"/>
              <w:bottom w:val="nil"/>
            </w:tcBorders>
          </w:tcPr>
          <w:p w14:paraId="2CA1BD50" w14:textId="58A52165" w:rsidR="00B05FBC" w:rsidRPr="004C78D8" w:rsidRDefault="00B05FBC" w:rsidP="00FB7C1F">
            <w:pPr>
              <w:jc w:val="left"/>
              <w:rPr>
                <w:sz w:val="18"/>
                <w:szCs w:val="18"/>
              </w:rPr>
            </w:pPr>
            <w:r w:rsidRPr="004C78D8">
              <w:rPr>
                <w:sz w:val="18"/>
                <w:szCs w:val="18"/>
              </w:rPr>
              <w:t>EQ-5D^2 W4</w:t>
            </w:r>
          </w:p>
        </w:tc>
        <w:tc>
          <w:tcPr>
            <w:tcW w:w="1842" w:type="dxa"/>
            <w:tcBorders>
              <w:top w:val="nil"/>
              <w:bottom w:val="nil"/>
            </w:tcBorders>
          </w:tcPr>
          <w:p w14:paraId="53E86A8C" w14:textId="47F17B84" w:rsidR="00B05FBC" w:rsidRPr="004C78D8" w:rsidRDefault="00B05FBC" w:rsidP="00FB7C1F">
            <w:pPr>
              <w:jc w:val="center"/>
              <w:rPr>
                <w:sz w:val="18"/>
                <w:szCs w:val="18"/>
              </w:rPr>
            </w:pPr>
            <w:r w:rsidRPr="004C78D8">
              <w:rPr>
                <w:sz w:val="18"/>
                <w:szCs w:val="18"/>
              </w:rPr>
              <w:t>0.13</w:t>
            </w:r>
            <w:r w:rsidR="000F3CFD" w:rsidRPr="004C78D8">
              <w:rPr>
                <w:sz w:val="18"/>
                <w:szCs w:val="18"/>
              </w:rPr>
              <w:t>6</w:t>
            </w:r>
            <w:r w:rsidRPr="004C78D8">
              <w:rPr>
                <w:sz w:val="18"/>
                <w:szCs w:val="18"/>
              </w:rPr>
              <w:t xml:space="preserve"> (0.029)</w:t>
            </w:r>
          </w:p>
        </w:tc>
        <w:tc>
          <w:tcPr>
            <w:tcW w:w="1701" w:type="dxa"/>
            <w:tcBorders>
              <w:top w:val="nil"/>
              <w:bottom w:val="nil"/>
            </w:tcBorders>
          </w:tcPr>
          <w:p w14:paraId="164C5773" w14:textId="17BBD9ED" w:rsidR="00B05FBC" w:rsidRPr="004C78D8" w:rsidRDefault="00B05FBC" w:rsidP="00FB7C1F">
            <w:pPr>
              <w:jc w:val="center"/>
              <w:rPr>
                <w:sz w:val="18"/>
                <w:szCs w:val="18"/>
              </w:rPr>
            </w:pPr>
            <w:r w:rsidRPr="004C78D8">
              <w:rPr>
                <w:sz w:val="18"/>
                <w:szCs w:val="18"/>
              </w:rPr>
              <w:t>&lt;0.001</w:t>
            </w:r>
          </w:p>
        </w:tc>
      </w:tr>
      <w:tr w:rsidR="00E30451" w:rsidRPr="004C78D8" w14:paraId="4727BB62" w14:textId="77777777" w:rsidTr="00E35893">
        <w:tc>
          <w:tcPr>
            <w:tcW w:w="6232" w:type="dxa"/>
            <w:gridSpan w:val="3"/>
          </w:tcPr>
          <w:p w14:paraId="74DCA3E6" w14:textId="37827692" w:rsidR="009B7FEA" w:rsidRPr="004C78D8" w:rsidRDefault="00D10D5E" w:rsidP="00FB7C1F">
            <w:pPr>
              <w:rPr>
                <w:sz w:val="18"/>
                <w:szCs w:val="18"/>
              </w:rPr>
            </w:pPr>
            <w:r w:rsidRPr="004C78D8">
              <w:rPr>
                <w:b/>
                <w:bCs/>
                <w:sz w:val="18"/>
                <w:szCs w:val="18"/>
              </w:rPr>
              <w:t>Abbreviation</w:t>
            </w:r>
            <w:r w:rsidR="009B7FEA" w:rsidRPr="004C78D8">
              <w:rPr>
                <w:b/>
                <w:bCs/>
                <w:sz w:val="18"/>
                <w:szCs w:val="18"/>
              </w:rPr>
              <w:t>:</w:t>
            </w:r>
            <w:r w:rsidR="009B7FEA" w:rsidRPr="004C78D8">
              <w:rPr>
                <w:sz w:val="18"/>
                <w:szCs w:val="18"/>
              </w:rPr>
              <w:t xml:space="preserve"> ELSA: English Longitudinal Study of Ageing; MA fall: fall requiring medical attention; Ref: reference; SE: standard error; </w:t>
            </w:r>
            <w:r w:rsidR="000F3CFD" w:rsidRPr="004C78D8">
              <w:rPr>
                <w:sz w:val="18"/>
                <w:szCs w:val="18"/>
              </w:rPr>
              <w:t xml:space="preserve">SES: socioeconomic status; </w:t>
            </w:r>
            <w:r w:rsidR="009B7FEA" w:rsidRPr="004C78D8">
              <w:rPr>
                <w:sz w:val="18"/>
                <w:szCs w:val="18"/>
              </w:rPr>
              <w:t>W4: ELSA Wave 4; W5: ELSA Wave 5</w:t>
            </w:r>
          </w:p>
          <w:p w14:paraId="6FFFE602" w14:textId="721F105D" w:rsidR="00E30451" w:rsidRPr="004C78D8" w:rsidRDefault="009B7FEA" w:rsidP="00FB7C1F">
            <w:pPr>
              <w:rPr>
                <w:sz w:val="18"/>
                <w:szCs w:val="18"/>
              </w:rPr>
            </w:pPr>
            <w:r w:rsidRPr="004C78D8">
              <w:rPr>
                <w:sz w:val="18"/>
                <w:szCs w:val="18"/>
                <w:vertAlign w:val="superscript"/>
              </w:rPr>
              <w:t>1</w:t>
            </w:r>
            <w:r w:rsidR="00E30451" w:rsidRPr="004C78D8">
              <w:rPr>
                <w:sz w:val="18"/>
                <w:szCs w:val="18"/>
              </w:rPr>
              <w:t xml:space="preserve"> Covariate included in logistic regression is </w:t>
            </w:r>
            <w:r w:rsidR="00B902A8" w:rsidRPr="004C78D8">
              <w:rPr>
                <w:sz w:val="18"/>
                <w:szCs w:val="18"/>
              </w:rPr>
              <w:t>two-year</w:t>
            </w:r>
            <w:r w:rsidR="00E30451" w:rsidRPr="004C78D8">
              <w:rPr>
                <w:sz w:val="18"/>
                <w:szCs w:val="18"/>
              </w:rPr>
              <w:t xml:space="preserve"> change in frailty measured in ELSA. In model simulation, the annualized change in frailty is used instead to predict dependent variable. </w:t>
            </w:r>
          </w:p>
        </w:tc>
      </w:tr>
    </w:tbl>
    <w:p w14:paraId="11BD6A34" w14:textId="36DCF97E" w:rsidR="005D1CF7" w:rsidRPr="004C78D8" w:rsidRDefault="005D1CF7" w:rsidP="00FB7C1F"/>
    <w:p w14:paraId="02BAAA76" w14:textId="1E08D41B" w:rsidR="00A1629B" w:rsidRPr="004C78D8" w:rsidRDefault="003A2722" w:rsidP="00FB7C1F">
      <w:r w:rsidRPr="004C78D8">
        <w:t xml:space="preserve">As found for </w:t>
      </w:r>
      <w:r w:rsidR="0065059C" w:rsidRPr="004C78D8">
        <w:t xml:space="preserve">the </w:t>
      </w:r>
      <w:r w:rsidRPr="004C78D8">
        <w:t xml:space="preserve">cross-sectional analysis </w:t>
      </w:r>
      <w:r w:rsidR="0065059C" w:rsidRPr="004C78D8">
        <w:t xml:space="preserve">of EQ-5D level </w:t>
      </w:r>
      <w:r w:rsidRPr="004C78D8">
        <w:t xml:space="preserve">in Table </w:t>
      </w:r>
      <w:r w:rsidR="00B05FF6" w:rsidRPr="004C78D8">
        <w:t>5</w:t>
      </w:r>
      <w:r w:rsidR="0065059C" w:rsidRPr="004C78D8">
        <w:t>.1</w:t>
      </w:r>
      <w:r w:rsidR="00445530" w:rsidRPr="004C78D8">
        <w:t>4</w:t>
      </w:r>
      <w:r w:rsidRPr="004C78D8">
        <w:t xml:space="preserve">, older age was in fact significantly associated with a </w:t>
      </w:r>
      <w:r w:rsidR="001333C2" w:rsidRPr="004C78D8">
        <w:rPr>
          <w:i/>
          <w:iCs/>
        </w:rPr>
        <w:t>higher</w:t>
      </w:r>
      <w:r w:rsidRPr="004C78D8">
        <w:rPr>
          <w:i/>
          <w:iCs/>
        </w:rPr>
        <w:t xml:space="preserve"> </w:t>
      </w:r>
      <w:r w:rsidRPr="004C78D8">
        <w:t xml:space="preserve">change in EQ-5D. </w:t>
      </w:r>
      <w:r w:rsidR="00193E59" w:rsidRPr="004C78D8">
        <w:t xml:space="preserve">Women were likelier to experience a </w:t>
      </w:r>
      <w:r w:rsidR="001333C2" w:rsidRPr="004C78D8">
        <w:t>lower</w:t>
      </w:r>
      <w:r w:rsidR="00193E59" w:rsidRPr="004C78D8">
        <w:t xml:space="preserve"> </w:t>
      </w:r>
      <w:r w:rsidR="00871E19" w:rsidRPr="004C78D8">
        <w:t xml:space="preserve">EQ-5D </w:t>
      </w:r>
      <w:r w:rsidR="001333C2" w:rsidRPr="004C78D8">
        <w:t>increase than men</w:t>
      </w:r>
      <w:r w:rsidR="00193E59" w:rsidRPr="004C78D8">
        <w:t xml:space="preserve">. </w:t>
      </w:r>
      <w:r w:rsidR="0065059C" w:rsidRPr="004C78D8">
        <w:t>Persons</w:t>
      </w:r>
      <w:r w:rsidR="00193E59" w:rsidRPr="004C78D8">
        <w:t xml:space="preserve"> in the second most privileged quartile and the most deprived quartile</w:t>
      </w:r>
      <w:r w:rsidR="001333C2" w:rsidRPr="004C78D8">
        <w:t xml:space="preserve"> </w:t>
      </w:r>
      <w:r w:rsidR="0065059C" w:rsidRPr="004C78D8">
        <w:t xml:space="preserve">were </w:t>
      </w:r>
      <w:r w:rsidR="00193E59" w:rsidRPr="004C78D8">
        <w:t xml:space="preserve">likelier to experience </w:t>
      </w:r>
      <w:r w:rsidR="001333C2" w:rsidRPr="004C78D8">
        <w:t>lower</w:t>
      </w:r>
      <w:r w:rsidR="00193E59" w:rsidRPr="004C78D8">
        <w:t xml:space="preserve"> EQ-5D change</w:t>
      </w:r>
      <w:r w:rsidR="001333C2" w:rsidRPr="004C78D8">
        <w:t xml:space="preserve"> than the most privileged</w:t>
      </w:r>
      <w:r w:rsidR="00193E59" w:rsidRPr="004C78D8">
        <w:t xml:space="preserve">. </w:t>
      </w:r>
      <w:r w:rsidR="001333C2" w:rsidRPr="004C78D8">
        <w:t>O</w:t>
      </w:r>
      <w:r w:rsidR="005165A5" w:rsidRPr="004C78D8">
        <w:t xml:space="preserve">nly the incidence of recurrent non-MA falls was significantly associated with </w:t>
      </w:r>
      <w:r w:rsidR="00193E59" w:rsidRPr="004C78D8">
        <w:t>a negative</w:t>
      </w:r>
      <w:r w:rsidR="005165A5" w:rsidRPr="004C78D8">
        <w:t xml:space="preserve"> EQ-5D change</w:t>
      </w:r>
      <w:r w:rsidR="0065059C" w:rsidRPr="004C78D8">
        <w:t xml:space="preserve"> due to the closer association between more serious fall types and frailty progression.</w:t>
      </w:r>
      <w:r w:rsidR="005165A5" w:rsidRPr="004C78D8">
        <w:t xml:space="preserve"> </w:t>
      </w:r>
      <w:r w:rsidR="00193E59" w:rsidRPr="004C78D8">
        <w:t xml:space="preserve">Both baseline frailty and </w:t>
      </w:r>
      <w:r w:rsidR="0065059C" w:rsidRPr="004C78D8">
        <w:t>rate of</w:t>
      </w:r>
      <w:r w:rsidR="00193E59" w:rsidRPr="004C78D8">
        <w:t xml:space="preserve"> frailty </w:t>
      </w:r>
      <w:r w:rsidR="0065059C" w:rsidRPr="004C78D8">
        <w:t>change</w:t>
      </w:r>
      <w:r w:rsidR="00193E59" w:rsidRPr="004C78D8">
        <w:t xml:space="preserve"> were associated with EQ-5D change. Abnormal gait/balance had </w:t>
      </w:r>
      <w:r w:rsidR="001333C2" w:rsidRPr="004C78D8">
        <w:t>a significant</w:t>
      </w:r>
      <w:r w:rsidR="00193E59" w:rsidRPr="004C78D8">
        <w:t xml:space="preserve"> effect on EQ-5D. There was a non-linear relationship between baseline EQ-5D and EQ-5D change. </w:t>
      </w:r>
    </w:p>
    <w:p w14:paraId="565C16FC" w14:textId="07EF0D0A" w:rsidR="001A15AE" w:rsidRPr="004C78D8" w:rsidRDefault="001333C2" w:rsidP="00FB7C1F">
      <w:r w:rsidRPr="004C78D8">
        <w:t>T</w:t>
      </w:r>
      <w:r w:rsidR="001A15AE" w:rsidRPr="004C78D8">
        <w:t>he estimated EQ-5D change</w:t>
      </w:r>
      <w:r w:rsidRPr="004C78D8">
        <w:t>s</w:t>
      </w:r>
      <w:r w:rsidR="001A15AE" w:rsidRPr="004C78D8">
        <w:t xml:space="preserve"> were not halved in the same way that </w:t>
      </w:r>
      <w:r w:rsidRPr="004C78D8">
        <w:t xml:space="preserve">the estimate </w:t>
      </w:r>
      <w:r w:rsidR="001A15AE" w:rsidRPr="004C78D8">
        <w:t xml:space="preserve">change in frailty </w:t>
      </w:r>
      <w:r w:rsidRPr="004C78D8">
        <w:t>was</w:t>
      </w:r>
      <w:r w:rsidR="001A15AE" w:rsidRPr="004C78D8">
        <w:t xml:space="preserve"> halved</w:t>
      </w:r>
      <w:r w:rsidR="005A796B" w:rsidRPr="004C78D8">
        <w:t xml:space="preserve"> for annuali</w:t>
      </w:r>
      <w:r w:rsidR="0065059C" w:rsidRPr="004C78D8">
        <w:t>s</w:t>
      </w:r>
      <w:r w:rsidR="005A796B" w:rsidRPr="004C78D8">
        <w:t>ation</w:t>
      </w:r>
      <w:r w:rsidR="001A15AE" w:rsidRPr="004C78D8">
        <w:t xml:space="preserve">. Instead, estimated coefficients were applied to a </w:t>
      </w:r>
      <w:r w:rsidR="000329AF" w:rsidRPr="004C78D8">
        <w:t>one</w:t>
      </w:r>
      <w:r w:rsidR="001A15AE" w:rsidRPr="004C78D8">
        <w:t>-year increase in age and annuali</w:t>
      </w:r>
      <w:r w:rsidR="0065059C" w:rsidRPr="004C78D8">
        <w:t>s</w:t>
      </w:r>
      <w:r w:rsidR="001A15AE" w:rsidRPr="004C78D8">
        <w:t>ed change in frailty to obtain a ‘quasi-annuali</w:t>
      </w:r>
      <w:r w:rsidR="000329AF" w:rsidRPr="004C78D8">
        <w:t>s</w:t>
      </w:r>
      <w:r w:rsidR="001A15AE" w:rsidRPr="004C78D8">
        <w:t xml:space="preserve">ed’ EQ-5D change. This assumes that the magnitudes of association between other covariates and EQ-5D change remain the same whether the period is annual or </w:t>
      </w:r>
      <w:r w:rsidR="00B902A8" w:rsidRPr="004C78D8">
        <w:t>two-year</w:t>
      </w:r>
      <w:r w:rsidR="001A15AE" w:rsidRPr="004C78D8">
        <w:t xml:space="preserve">. The </w:t>
      </w:r>
      <w:r w:rsidR="00D45087" w:rsidRPr="004C78D8">
        <w:t>change estimates were</w:t>
      </w:r>
      <w:r w:rsidR="001A15AE" w:rsidRPr="004C78D8">
        <w:t xml:space="preserve"> then added to </w:t>
      </w:r>
      <w:r w:rsidR="00D45087" w:rsidRPr="004C78D8">
        <w:t>individuals’</w:t>
      </w:r>
      <w:r w:rsidR="001A15AE" w:rsidRPr="004C78D8">
        <w:t xml:space="preserve"> EQ-5D value</w:t>
      </w:r>
      <w:r w:rsidR="00D45087" w:rsidRPr="004C78D8">
        <w:t>s</w:t>
      </w:r>
      <w:r w:rsidR="001A15AE" w:rsidRPr="004C78D8">
        <w:t xml:space="preserve"> to </w:t>
      </w:r>
      <w:r w:rsidR="00D45087" w:rsidRPr="004C78D8">
        <w:t>update them</w:t>
      </w:r>
      <w:r w:rsidR="001A15AE" w:rsidRPr="004C78D8">
        <w:t xml:space="preserve"> for the next cycle.</w:t>
      </w:r>
    </w:p>
    <w:p w14:paraId="288D37FD" w14:textId="48C26531" w:rsidR="00B475B7" w:rsidRPr="004C78D8" w:rsidRDefault="00B475B7" w:rsidP="00FB7C1F"/>
    <w:p w14:paraId="64B0E1D0" w14:textId="53BDD198" w:rsidR="000F1633" w:rsidRPr="004C78D8" w:rsidRDefault="00B05FF6" w:rsidP="00FB7C1F">
      <w:pPr>
        <w:pStyle w:val="Heading2"/>
      </w:pPr>
      <w:bookmarkStart w:id="158" w:name="_Toc93566886"/>
      <w:bookmarkStart w:id="159" w:name="_Toc111630780"/>
      <w:r w:rsidRPr="004C78D8">
        <w:t>5</w:t>
      </w:r>
      <w:r w:rsidR="000F1633" w:rsidRPr="004C78D8">
        <w:t>.</w:t>
      </w:r>
      <w:r w:rsidR="00332ADA" w:rsidRPr="004C78D8">
        <w:t>3</w:t>
      </w:r>
      <w:r w:rsidR="000F1633" w:rsidRPr="004C78D8">
        <w:t xml:space="preserve"> Model validation</w:t>
      </w:r>
      <w:bookmarkEnd w:id="158"/>
      <w:bookmarkEnd w:id="159"/>
    </w:p>
    <w:p w14:paraId="592746CA" w14:textId="43168F1F" w:rsidR="00720ABF" w:rsidRPr="004C78D8" w:rsidRDefault="00720ABF" w:rsidP="00FB7C1F">
      <w:r w:rsidRPr="004C78D8">
        <w:t xml:space="preserve">According to the 2012 International Society for Pharmacoeconomics and Outcomes Research (ISPOR) guideline on model validation </w:t>
      </w:r>
      <w:r w:rsidRPr="004C78D8">
        <w:fldChar w:fldCharType="begin"/>
      </w:r>
      <w:r w:rsidR="00BB47BA" w:rsidRPr="004C78D8">
        <w:instrText xml:space="preserve"> ADDIN EN.CITE &lt;EndNote&gt;&lt;Cite&gt;&lt;Author&gt;Eddy&lt;/Author&gt;&lt;Year&gt;2012&lt;/Year&gt;&lt;RecNum&gt;360&lt;/RecNum&gt;&lt;DisplayText&gt;[173]&lt;/DisplayText&gt;&lt;record&gt;&lt;rec-number&gt;360&lt;/rec-number&gt;&lt;foreign-keys&gt;&lt;key app="EN" db-id="tdtrdw9aepptzbefsat599syza29sxsd2wsp" timestamp="1612218136"&gt;360&lt;/key&gt;&lt;/foreign-keys&gt;&lt;ref-type name="Journal Article"&gt;17&lt;/ref-type&gt;&lt;contributors&gt;&lt;authors&gt;&lt;author&gt;Eddy, David M&lt;/author&gt;&lt;author&gt;Hollingworth, William&lt;/author&gt;&lt;author&gt;Caro, J Jaime&lt;/author&gt;&lt;author&gt;Tsevat, Joel&lt;/author&gt;&lt;author&gt;McDonald, Kathryn M&lt;/author&gt;&lt;author&gt;Wong, John B&lt;/author&gt;&lt;/authors&gt;&lt;/contributors&gt;&lt;titles&gt;&lt;title&gt;Model transparency and validation: a report of the ISPOR-SMDM Modeling Good Research Practices Task Force–7&lt;/title&gt;&lt;secondary-title&gt;Medical Decision Making&lt;/secondary-title&gt;&lt;/titles&gt;&lt;periodical&gt;&lt;full-title&gt;Medical Decision Making&lt;/full-title&gt;&lt;/periodical&gt;&lt;pages&gt;733-743&lt;/pages&gt;&lt;volume&gt;32&lt;/volume&gt;&lt;number&gt;5&lt;/number&gt;&lt;dates&gt;&lt;year&gt;2012&lt;/year&gt;&lt;/dates&gt;&lt;isbn&gt;0272-989X&lt;/isbn&gt;&lt;urls&gt;&lt;/urls&gt;&lt;/record&gt;&lt;/Cite&gt;&lt;/EndNote&gt;</w:instrText>
      </w:r>
      <w:r w:rsidRPr="004C78D8">
        <w:fldChar w:fldCharType="separate"/>
      </w:r>
      <w:r w:rsidR="00BB47BA" w:rsidRPr="004C78D8">
        <w:rPr>
          <w:noProof/>
        </w:rPr>
        <w:t>[173]</w:t>
      </w:r>
      <w:r w:rsidRPr="004C78D8">
        <w:fldChar w:fldCharType="end"/>
      </w:r>
      <w:r w:rsidRPr="004C78D8">
        <w:t xml:space="preserve">, recommended validation practices include the assessments of face, internal, external and cross validities. This section explores three validities of the parameterised falls prevention model: face (Section </w:t>
      </w:r>
      <w:r w:rsidR="00B05FF6" w:rsidRPr="004C78D8">
        <w:t>5</w:t>
      </w:r>
      <w:r w:rsidRPr="004C78D8">
        <w:t>.</w:t>
      </w:r>
      <w:r w:rsidR="00332ADA" w:rsidRPr="004C78D8">
        <w:t>3</w:t>
      </w:r>
      <w:r w:rsidRPr="004C78D8">
        <w:t xml:space="preserve">.1); internal (Section </w:t>
      </w:r>
      <w:r w:rsidR="00B05FF6" w:rsidRPr="004C78D8">
        <w:t>5</w:t>
      </w:r>
      <w:r w:rsidRPr="004C78D8">
        <w:t>.</w:t>
      </w:r>
      <w:r w:rsidR="00332ADA" w:rsidRPr="004C78D8">
        <w:t>3</w:t>
      </w:r>
      <w:r w:rsidRPr="004C78D8">
        <w:t xml:space="preserve">.2); and external (Section </w:t>
      </w:r>
      <w:r w:rsidR="00B05FF6" w:rsidRPr="004C78D8">
        <w:t>5</w:t>
      </w:r>
      <w:r w:rsidRPr="004C78D8">
        <w:t>.</w:t>
      </w:r>
      <w:r w:rsidR="00332ADA" w:rsidRPr="004C78D8">
        <w:t>3</w:t>
      </w:r>
      <w:r w:rsidRPr="004C78D8">
        <w:t xml:space="preserve">.3). Cross validity is assessed in Chapter </w:t>
      </w:r>
      <w:r w:rsidR="00B05FF6" w:rsidRPr="004C78D8">
        <w:t>6</w:t>
      </w:r>
      <w:r w:rsidRPr="004C78D8">
        <w:t xml:space="preserve"> where results are compared to those of previous models. </w:t>
      </w:r>
    </w:p>
    <w:p w14:paraId="52D396A9" w14:textId="537D68F5" w:rsidR="00720ABF" w:rsidRPr="004C78D8" w:rsidRDefault="00B05FF6" w:rsidP="00FB7C1F">
      <w:pPr>
        <w:pStyle w:val="Heading3"/>
      </w:pPr>
      <w:bookmarkStart w:id="160" w:name="_Toc111630781"/>
      <w:r w:rsidRPr="004C78D8">
        <w:t>5</w:t>
      </w:r>
      <w:r w:rsidR="00720ABF" w:rsidRPr="004C78D8">
        <w:t>.</w:t>
      </w:r>
      <w:r w:rsidR="00332ADA" w:rsidRPr="004C78D8">
        <w:t>3</w:t>
      </w:r>
      <w:r w:rsidR="00720ABF" w:rsidRPr="004C78D8">
        <w:t>.1 Face validity</w:t>
      </w:r>
      <w:bookmarkEnd w:id="160"/>
    </w:p>
    <w:p w14:paraId="1A47C516" w14:textId="2E1473AF" w:rsidR="00720ABF" w:rsidRPr="004C78D8" w:rsidRDefault="00720ABF" w:rsidP="00FB7C1F">
      <w:r w:rsidRPr="004C78D8">
        <w:t xml:space="preserve">Face validity assessment involves expert assessment of model structure/assumptions, data sources, problem formulation (e.g., model interventions and outcomes), and results </w:t>
      </w:r>
      <w:r w:rsidRPr="004C78D8">
        <w:fldChar w:fldCharType="begin"/>
      </w:r>
      <w:r w:rsidR="00BB47BA" w:rsidRPr="004C78D8">
        <w:instrText xml:space="preserve"> ADDIN EN.CITE &lt;EndNote&gt;&lt;Cite&gt;&lt;Author&gt;Eddy&lt;/Author&gt;&lt;Year&gt;2012&lt;/Year&gt;&lt;RecNum&gt;360&lt;/RecNum&gt;&lt;DisplayText&gt;[173]&lt;/DisplayText&gt;&lt;record&gt;&lt;rec-number&gt;360&lt;/rec-number&gt;&lt;foreign-keys&gt;&lt;key app="EN" db-id="tdtrdw9aepptzbefsat599syza29sxsd2wsp" timestamp="1612218136"&gt;360&lt;/key&gt;&lt;/foreign-keys&gt;&lt;ref-type name="Journal Article"&gt;17&lt;/ref-type&gt;&lt;contributors&gt;&lt;authors&gt;&lt;author&gt;Eddy, David M&lt;/author&gt;&lt;author&gt;Hollingworth, William&lt;/author&gt;&lt;author&gt;Caro, J Jaime&lt;/author&gt;&lt;author&gt;Tsevat, Joel&lt;/author&gt;&lt;author&gt;McDonald, Kathryn M&lt;/author&gt;&lt;author&gt;Wong, John B&lt;/author&gt;&lt;/authors&gt;&lt;/contributors&gt;&lt;titles&gt;&lt;title&gt;Model transparency and validation: a report of the ISPOR-SMDM Modeling Good Research Practices Task Force–7&lt;/title&gt;&lt;secondary-title&gt;Medical Decision Making&lt;/secondary-title&gt;&lt;/titles&gt;&lt;periodical&gt;&lt;full-title&gt;Medical Decision Making&lt;/full-title&gt;&lt;/periodical&gt;&lt;pages&gt;733-743&lt;/pages&gt;&lt;volume&gt;32&lt;/volume&gt;&lt;number&gt;5&lt;/number&gt;&lt;dates&gt;&lt;year&gt;2012&lt;/year&gt;&lt;/dates&gt;&lt;isbn&gt;0272-989X&lt;/isbn&gt;&lt;urls&gt;&lt;/urls&gt;&lt;/record&gt;&lt;/Cite&gt;&lt;/EndNote&gt;</w:instrText>
      </w:r>
      <w:r w:rsidRPr="004C78D8">
        <w:fldChar w:fldCharType="separate"/>
      </w:r>
      <w:r w:rsidR="00BB47BA" w:rsidRPr="004C78D8">
        <w:rPr>
          <w:noProof/>
        </w:rPr>
        <w:t>[173]</w:t>
      </w:r>
      <w:r w:rsidRPr="004C78D8">
        <w:fldChar w:fldCharType="end"/>
      </w:r>
      <w:r w:rsidRPr="004C78D8">
        <w:t xml:space="preserve">. The validator should be independent from the model development and decision-making. In this study, these model aspects were presented to three independent health economic expert modellers in May 2021. </w:t>
      </w:r>
      <w:r w:rsidR="00A86171" w:rsidRPr="004C78D8">
        <w:t>T</w:t>
      </w:r>
      <w:r w:rsidRPr="004C78D8">
        <w:t xml:space="preserve">he PhD researcher gave an hour-long presentation on the evaluation framework, model overview (Figure </w:t>
      </w:r>
      <w:r w:rsidR="00B05FF6" w:rsidRPr="004C78D8">
        <w:t>5</w:t>
      </w:r>
      <w:r w:rsidRPr="004C78D8">
        <w:t xml:space="preserve">.1), key parameterisation methods (Section </w:t>
      </w:r>
      <w:r w:rsidR="00B05FF6" w:rsidRPr="004C78D8">
        <w:t>5</w:t>
      </w:r>
      <w:r w:rsidRPr="004C78D8">
        <w:t>.</w:t>
      </w:r>
      <w:r w:rsidR="002C16AA" w:rsidRPr="004C78D8">
        <w:t>2</w:t>
      </w:r>
      <w:r w:rsidRPr="004C78D8">
        <w:t>)</w:t>
      </w:r>
      <w:r w:rsidR="00A86171" w:rsidRPr="004C78D8">
        <w:t>,</w:t>
      </w:r>
      <w:r w:rsidRPr="004C78D8">
        <w:t xml:space="preserve"> and preliminary base case resul</w:t>
      </w:r>
      <w:r w:rsidR="006C4D57" w:rsidRPr="004C78D8">
        <w:t xml:space="preserve">ts. </w:t>
      </w:r>
      <w:r w:rsidRPr="004C78D8">
        <w:t xml:space="preserve">Section </w:t>
      </w:r>
      <w:r w:rsidR="00B05FF6" w:rsidRPr="004C78D8">
        <w:t>5</w:t>
      </w:r>
      <w:r w:rsidRPr="004C78D8">
        <w:t>.</w:t>
      </w:r>
      <w:r w:rsidR="002C16AA" w:rsidRPr="004C78D8">
        <w:t>2</w:t>
      </w:r>
      <w:r w:rsidRPr="004C78D8">
        <w:t xml:space="preserve"> was subsequently reviewed by the </w:t>
      </w:r>
      <w:r w:rsidR="00A86171" w:rsidRPr="004C78D8">
        <w:t xml:space="preserve">expert </w:t>
      </w:r>
      <w:r w:rsidRPr="004C78D8">
        <w:t xml:space="preserve">modellers and both oral and written feedback was received. </w:t>
      </w:r>
    </w:p>
    <w:p w14:paraId="4E60A1DA" w14:textId="584CAF3B" w:rsidR="00720ABF" w:rsidRPr="004C78D8" w:rsidRDefault="00720ABF" w:rsidP="00FB7C1F">
      <w:r w:rsidRPr="004C78D8">
        <w:t xml:space="preserve">The two most substantive issues raised by modellers were: (i) whether annually incoming cohorts are necessary; and (ii) whether more locally sourced and individual-level data are available for all-cause healthcare costs (Table </w:t>
      </w:r>
      <w:r w:rsidR="00B05FF6" w:rsidRPr="004C78D8">
        <w:t>5</w:t>
      </w:r>
      <w:r w:rsidRPr="004C78D8">
        <w:t>.1</w:t>
      </w:r>
      <w:r w:rsidR="002C16AA" w:rsidRPr="004C78D8">
        <w:t>8</w:t>
      </w:r>
      <w:r w:rsidRPr="004C78D8">
        <w:t xml:space="preserve">). Written responses were given to the issues before the face validity was confirmed. First, incoming cohorts are necessary to accurately characterise the resource and cost implications for decision-makers overseeing a geographically defined jurisdiction (rather than a specific cohort), which is the case for Sheffield CCG and </w:t>
      </w:r>
      <w:r w:rsidR="000C50DD" w:rsidRPr="004C78D8">
        <w:t>SCC</w:t>
      </w:r>
      <w:r w:rsidRPr="004C78D8">
        <w:t xml:space="preserve">. Second, </w:t>
      </w:r>
      <w:r w:rsidR="006C4D57" w:rsidRPr="004C78D8">
        <w:t>it was acknowledged that there may be nontrivial variation in parameters between national and local settings; the use of nationally representative ELSA data may hence produce locally non-</w:t>
      </w:r>
      <w:r w:rsidR="002C16AA" w:rsidRPr="004C78D8">
        <w:t>transferable</w:t>
      </w:r>
      <w:r w:rsidR="006C4D57" w:rsidRPr="004C78D8">
        <w:t xml:space="preserve"> results. </w:t>
      </w:r>
      <w:r w:rsidR="00B3174F" w:rsidRPr="004C78D8">
        <w:t xml:space="preserve">But </w:t>
      </w:r>
      <w:r w:rsidRPr="004C78D8">
        <w:t xml:space="preserve">the PhD researcher explained </w:t>
      </w:r>
      <w:r w:rsidR="00B3174F" w:rsidRPr="004C78D8">
        <w:t xml:space="preserve">the current unavailability of CCG routine data and how the use of ELSA had been discussed and approved by </w:t>
      </w:r>
      <w:r w:rsidR="000C50DD" w:rsidRPr="004C78D8">
        <w:t>stakeholders</w:t>
      </w:r>
      <w:r w:rsidR="006C3AE7" w:rsidRPr="004C78D8">
        <w:t xml:space="preserve"> (Section </w:t>
      </w:r>
      <w:r w:rsidR="00B05FF6" w:rsidRPr="004C78D8">
        <w:t>5</w:t>
      </w:r>
      <w:r w:rsidR="006C3AE7" w:rsidRPr="004C78D8">
        <w:t>.</w:t>
      </w:r>
      <w:r w:rsidR="001F06E3" w:rsidRPr="004C78D8">
        <w:t>2</w:t>
      </w:r>
      <w:r w:rsidR="006C3AE7" w:rsidRPr="004C78D8">
        <w:t>.1.</w:t>
      </w:r>
      <w:r w:rsidR="001705FE" w:rsidRPr="004C78D8">
        <w:t>4</w:t>
      </w:r>
      <w:r w:rsidR="006C3AE7" w:rsidRPr="004C78D8">
        <w:t>)</w:t>
      </w:r>
      <w:r w:rsidR="00B3174F" w:rsidRPr="004C78D8">
        <w:t>. T</w:t>
      </w:r>
      <w:r w:rsidRPr="004C78D8">
        <w:t>his was accepted as a methodological caveat.</w:t>
      </w:r>
    </w:p>
    <w:p w14:paraId="6C2DFF42" w14:textId="10EB57C2" w:rsidR="00720ABF" w:rsidRPr="004C78D8" w:rsidRDefault="00B05FF6" w:rsidP="00FB7C1F">
      <w:pPr>
        <w:pStyle w:val="Heading3"/>
      </w:pPr>
      <w:bookmarkStart w:id="161" w:name="_Toc111630782"/>
      <w:r w:rsidRPr="004C78D8">
        <w:t>5</w:t>
      </w:r>
      <w:r w:rsidR="00720ABF" w:rsidRPr="004C78D8">
        <w:t>.</w:t>
      </w:r>
      <w:r w:rsidR="00332ADA" w:rsidRPr="004C78D8">
        <w:t>3</w:t>
      </w:r>
      <w:r w:rsidR="00720ABF" w:rsidRPr="004C78D8">
        <w:t>.2 Internal validity</w:t>
      </w:r>
      <w:bookmarkEnd w:id="161"/>
    </w:p>
    <w:p w14:paraId="3BA689BA" w14:textId="4E12A263" w:rsidR="00720ABF" w:rsidRPr="004C78D8" w:rsidRDefault="00720ABF" w:rsidP="00FB7C1F">
      <w:r w:rsidRPr="004C78D8">
        <w:t xml:space="preserve">Internal validity assessment concerns the accuracy of coding and its consistency with the model’s specifications </w:t>
      </w:r>
      <w:r w:rsidRPr="004C78D8">
        <w:fldChar w:fldCharType="begin"/>
      </w:r>
      <w:r w:rsidR="00BB47BA" w:rsidRPr="004C78D8">
        <w:instrText xml:space="preserve"> ADDIN EN.CITE &lt;EndNote&gt;&lt;Cite&gt;&lt;Author&gt;Eddy&lt;/Author&gt;&lt;Year&gt;2012&lt;/Year&gt;&lt;RecNum&gt;360&lt;/RecNum&gt;&lt;DisplayText&gt;[173]&lt;/DisplayText&gt;&lt;record&gt;&lt;rec-number&gt;360&lt;/rec-number&gt;&lt;foreign-keys&gt;&lt;key app="EN" db-id="tdtrdw9aepptzbefsat599syza29sxsd2wsp" timestamp="1612218136"&gt;360&lt;/key&gt;&lt;/foreign-keys&gt;&lt;ref-type name="Journal Article"&gt;17&lt;/ref-type&gt;&lt;contributors&gt;&lt;authors&gt;&lt;author&gt;Eddy, David M&lt;/author&gt;&lt;author&gt;Hollingworth, William&lt;/author&gt;&lt;author&gt;Caro, J Jaime&lt;/author&gt;&lt;author&gt;Tsevat, Joel&lt;/author&gt;&lt;author&gt;McDonald, Kathryn M&lt;/author&gt;&lt;author&gt;Wong, John B&lt;/author&gt;&lt;/authors&gt;&lt;/contributors&gt;&lt;titles&gt;&lt;title&gt;Model transparency and validation: a report of the ISPOR-SMDM Modeling Good Research Practices Task Force–7&lt;/title&gt;&lt;secondary-title&gt;Medical Decision Making&lt;/secondary-title&gt;&lt;/titles&gt;&lt;periodical&gt;&lt;full-title&gt;Medical Decision Making&lt;/full-title&gt;&lt;/periodical&gt;&lt;pages&gt;733-743&lt;/pages&gt;&lt;volume&gt;32&lt;/volume&gt;&lt;number&gt;5&lt;/number&gt;&lt;dates&gt;&lt;year&gt;2012&lt;/year&gt;&lt;/dates&gt;&lt;isbn&gt;0272-989X&lt;/isbn&gt;&lt;urls&gt;&lt;/urls&gt;&lt;/record&gt;&lt;/Cite&gt;&lt;/EndNote&gt;</w:instrText>
      </w:r>
      <w:r w:rsidRPr="004C78D8">
        <w:fldChar w:fldCharType="separate"/>
      </w:r>
      <w:r w:rsidR="00BB47BA" w:rsidRPr="004C78D8">
        <w:rPr>
          <w:noProof/>
        </w:rPr>
        <w:t>[173]</w:t>
      </w:r>
      <w:r w:rsidRPr="004C78D8">
        <w:fldChar w:fldCharType="end"/>
      </w:r>
      <w:r w:rsidRPr="004C78D8">
        <w:t xml:space="preserve">. For transparency, this study kept the complete documentation of the Simul8 Visual Logic and </w:t>
      </w:r>
      <w:r w:rsidR="001705FE" w:rsidRPr="004C78D8">
        <w:t>features</w:t>
      </w:r>
      <w:r w:rsidRPr="004C78D8">
        <w:t xml:space="preserve"> alongside written explanations of their purpose (Appendix E). The assessments were independently conducted by another researcher proficient in Simul8 coding. First, each line of model code was verified. Second, coding outputs generated onto an Excel spreadsheet were verified: e.g., prevalence rates of baseline covariates including cognitive impairment should match the rates reported in ELSA. Third, simulation stop commands were placed at activity entry points to ensure that only eligible simulated entities enter</w:t>
      </w:r>
      <w:r w:rsidR="001705FE" w:rsidRPr="004C78D8">
        <w:t>ed</w:t>
      </w:r>
      <w:r w:rsidRPr="004C78D8">
        <w:t>. Finally, several scenario analyses verif</w:t>
      </w:r>
      <w:r w:rsidR="0062440B" w:rsidRPr="004C78D8">
        <w:t>ied</w:t>
      </w:r>
      <w:r w:rsidRPr="004C78D8">
        <w:t xml:space="preserve"> whether model outcomes varied in a credible fashion in response to parameter changes: e.g., impact of increasing the baseline prevalence of cognitive impairment on other baseline covariates, comorbidity care costs, EQ-5D, productivity and GP routine contact. After these steps, the model</w:t>
      </w:r>
      <w:r w:rsidR="00656C92" w:rsidRPr="004C78D8">
        <w:t>’s</w:t>
      </w:r>
      <w:r w:rsidRPr="004C78D8">
        <w:t xml:space="preserve"> internal validity was confirmed.</w:t>
      </w:r>
    </w:p>
    <w:p w14:paraId="7EFE7D0F" w14:textId="2C9E0B61" w:rsidR="00720ABF" w:rsidRPr="004C78D8" w:rsidRDefault="00B05FF6" w:rsidP="00FB7C1F">
      <w:pPr>
        <w:pStyle w:val="Heading3"/>
      </w:pPr>
      <w:bookmarkStart w:id="162" w:name="_Toc111630783"/>
      <w:r w:rsidRPr="004C78D8">
        <w:t>5</w:t>
      </w:r>
      <w:r w:rsidR="00720ABF" w:rsidRPr="004C78D8">
        <w:t>.</w:t>
      </w:r>
      <w:r w:rsidR="00332ADA" w:rsidRPr="004C78D8">
        <w:t>3</w:t>
      </w:r>
      <w:r w:rsidR="00720ABF" w:rsidRPr="004C78D8">
        <w:t>.3 External validity</w:t>
      </w:r>
      <w:bookmarkEnd w:id="162"/>
      <w:r w:rsidR="00720ABF" w:rsidRPr="004C78D8">
        <w:t xml:space="preserve"> </w:t>
      </w:r>
    </w:p>
    <w:p w14:paraId="04109626" w14:textId="17CDB526" w:rsidR="00720ABF" w:rsidRPr="004C78D8" w:rsidRDefault="00720ABF" w:rsidP="00FB7C1F">
      <w:r w:rsidRPr="004C78D8">
        <w:t xml:space="preserve">External validity assessment involves the comparison of simulated model outcomes to real-world data </w:t>
      </w:r>
      <w:r w:rsidRPr="004C78D8">
        <w:fldChar w:fldCharType="begin"/>
      </w:r>
      <w:r w:rsidR="00BB47BA" w:rsidRPr="004C78D8">
        <w:instrText xml:space="preserve"> ADDIN EN.CITE &lt;EndNote&gt;&lt;Cite&gt;&lt;Author&gt;Eddy&lt;/Author&gt;&lt;Year&gt;2012&lt;/Year&gt;&lt;RecNum&gt;360&lt;/RecNum&gt;&lt;DisplayText&gt;[173]&lt;/DisplayText&gt;&lt;record&gt;&lt;rec-number&gt;360&lt;/rec-number&gt;&lt;foreign-keys&gt;&lt;key app="EN" db-id="tdtrdw9aepptzbefsat599syza29sxsd2wsp" timestamp="1612218136"&gt;360&lt;/key&gt;&lt;/foreign-keys&gt;&lt;ref-type name="Journal Article"&gt;17&lt;/ref-type&gt;&lt;contributors&gt;&lt;authors&gt;&lt;author&gt;Eddy, David M&lt;/author&gt;&lt;author&gt;Hollingworth, William&lt;/author&gt;&lt;author&gt;Caro, J Jaime&lt;/author&gt;&lt;author&gt;Tsevat, Joel&lt;/author&gt;&lt;author&gt;McDonald, Kathryn M&lt;/author&gt;&lt;author&gt;Wong, John B&lt;/author&gt;&lt;/authors&gt;&lt;/contributors&gt;&lt;titles&gt;&lt;title&gt;Model transparency and validation: a report of the ISPOR-SMDM Modeling Good Research Practices Task Force–7&lt;/title&gt;&lt;secondary-title&gt;Medical Decision Making&lt;/secondary-title&gt;&lt;/titles&gt;&lt;periodical&gt;&lt;full-title&gt;Medical Decision Making&lt;/full-title&gt;&lt;/periodical&gt;&lt;pages&gt;733-743&lt;/pages&gt;&lt;volume&gt;32&lt;/volume&gt;&lt;number&gt;5&lt;/number&gt;&lt;dates&gt;&lt;year&gt;2012&lt;/year&gt;&lt;/dates&gt;&lt;isbn&gt;0272-989X&lt;/isbn&gt;&lt;urls&gt;&lt;/urls&gt;&lt;/record&gt;&lt;/Cite&gt;&lt;/EndNote&gt;</w:instrText>
      </w:r>
      <w:r w:rsidRPr="004C78D8">
        <w:fldChar w:fldCharType="separate"/>
      </w:r>
      <w:r w:rsidR="00BB47BA" w:rsidRPr="004C78D8">
        <w:rPr>
          <w:noProof/>
        </w:rPr>
        <w:t>[173]</w:t>
      </w:r>
      <w:r w:rsidRPr="004C78D8">
        <w:fldChar w:fldCharType="end"/>
      </w:r>
      <w:r w:rsidRPr="004C78D8">
        <w:t xml:space="preserve">. </w:t>
      </w:r>
      <w:r w:rsidR="00B05FF6" w:rsidRPr="004C78D8">
        <w:t xml:space="preserve">Four </w:t>
      </w:r>
      <w:r w:rsidRPr="004C78D8">
        <w:t xml:space="preserve">outcomes were used for validation: (1) annual falls incidence after 20 model cycles; (2) annual all-cause healthcare cost after 20 model cycles; </w:t>
      </w:r>
      <w:r w:rsidR="00A7327D" w:rsidRPr="004C78D8">
        <w:t xml:space="preserve">(3) </w:t>
      </w:r>
      <w:r w:rsidR="00B3174F" w:rsidRPr="004C78D8">
        <w:t xml:space="preserve">total </w:t>
      </w:r>
      <w:r w:rsidR="00A7327D" w:rsidRPr="004C78D8">
        <w:t xml:space="preserve">fall-related healthcare cost; </w:t>
      </w:r>
      <w:r w:rsidRPr="004C78D8">
        <w:t>and (</w:t>
      </w:r>
      <w:r w:rsidR="00A7327D" w:rsidRPr="004C78D8">
        <w:t>4</w:t>
      </w:r>
      <w:r w:rsidRPr="004C78D8">
        <w:t>) life expectancy at age 65. The outcomes were chosen because they are central to the final evaluation outcomes and because comparable external data exist (e.g., UK-based RCTs for falls incidence). For (1)</w:t>
      </w:r>
      <w:r w:rsidR="00A7327D" w:rsidRPr="004C78D8">
        <w:t>-(</w:t>
      </w:r>
      <w:r w:rsidR="00784D82" w:rsidRPr="004C78D8">
        <w:t>2</w:t>
      </w:r>
      <w:r w:rsidR="00A7327D" w:rsidRPr="004C78D8">
        <w:t>)</w:t>
      </w:r>
      <w:r w:rsidRPr="004C78D8">
        <w:t>, 20 model cycles were incorporated to allow for long-term dynamic progressions of variables within the model; in the case of less credible dynamic trajectories, the deviations between model and external data would increase with the number of cycles.</w:t>
      </w:r>
      <w:r w:rsidR="001705FE" w:rsidRPr="004C78D8">
        <w:t xml:space="preserve"> Twenty rather than 40 cycles also created a balanced mix between initial and incoming cohorts.</w:t>
      </w:r>
    </w:p>
    <w:p w14:paraId="0B5CE049" w14:textId="48C848B8" w:rsidR="00720ABF" w:rsidRPr="004C78D8" w:rsidRDefault="00720ABF" w:rsidP="00FB7C1F">
      <w:r w:rsidRPr="004C78D8">
        <w:t xml:space="preserve">Concerning (1), the second column of Table </w:t>
      </w:r>
      <w:r w:rsidR="00B05FF6" w:rsidRPr="004C78D8">
        <w:t>5</w:t>
      </w:r>
      <w:r w:rsidR="006A6545" w:rsidRPr="004C78D8">
        <w:t>.</w:t>
      </w:r>
      <w:r w:rsidR="00935A0A" w:rsidRPr="004C78D8">
        <w:t>5</w:t>
      </w:r>
      <w:r w:rsidR="00B05FF6" w:rsidRPr="004C78D8">
        <w:t>1</w:t>
      </w:r>
      <w:r w:rsidRPr="004C78D8">
        <w:t xml:space="preserve"> describes the characteristics (falls history, cognitive status</w:t>
      </w:r>
      <w:r w:rsidR="00656C92" w:rsidRPr="004C78D8">
        <w:t>,</w:t>
      </w:r>
      <w:r w:rsidRPr="004C78D8">
        <w:t xml:space="preserve"> and mean age) of control groups of several UK-based RCTs. </w:t>
      </w:r>
      <w:r w:rsidR="00656C92" w:rsidRPr="004C78D8">
        <w:t>C</w:t>
      </w:r>
      <w:r w:rsidRPr="004C78D8">
        <w:t>omparable model subgroup</w:t>
      </w:r>
      <w:r w:rsidR="00656C92" w:rsidRPr="004C78D8">
        <w:t>s</w:t>
      </w:r>
      <w:r w:rsidRPr="004C78D8">
        <w:t xml:space="preserve"> in the 20</w:t>
      </w:r>
      <w:r w:rsidRPr="004C78D8">
        <w:rPr>
          <w:vertAlign w:val="superscript"/>
        </w:rPr>
        <w:t>th</w:t>
      </w:r>
      <w:r w:rsidRPr="004C78D8">
        <w:t xml:space="preserve"> cycle </w:t>
      </w:r>
      <w:r w:rsidR="0009522A" w:rsidRPr="004C78D8">
        <w:t xml:space="preserve">of UC </w:t>
      </w:r>
      <w:r w:rsidRPr="004C78D8">
        <w:t>w</w:t>
      </w:r>
      <w:r w:rsidR="00656C92" w:rsidRPr="004C78D8">
        <w:t>ere then</w:t>
      </w:r>
      <w:r w:rsidRPr="004C78D8">
        <w:t xml:space="preserve"> identified. The model closely tracked the RCT incidence rates or underpredicted them which would generate a conservative cost-effectiveness estimate of </w:t>
      </w:r>
      <w:r w:rsidR="005F05A2" w:rsidRPr="004C78D8">
        <w:t>RC</w:t>
      </w:r>
      <w:r w:rsidRPr="004C78D8">
        <w:t xml:space="preserve"> versus </w:t>
      </w:r>
      <w:r w:rsidR="005F05A2" w:rsidRPr="004C78D8">
        <w:t>UC</w:t>
      </w:r>
      <w:r w:rsidRPr="004C78D8">
        <w:t>.</w:t>
      </w:r>
    </w:p>
    <w:tbl>
      <w:tblPr>
        <w:tblStyle w:val="TableGrid"/>
        <w:tblW w:w="5000" w:type="pct"/>
        <w:tblLook w:val="04A0" w:firstRow="1" w:lastRow="0" w:firstColumn="1" w:lastColumn="0" w:noHBand="0" w:noVBand="1"/>
      </w:tblPr>
      <w:tblGrid>
        <w:gridCol w:w="425"/>
        <w:gridCol w:w="2577"/>
        <w:gridCol w:w="1003"/>
        <w:gridCol w:w="3579"/>
        <w:gridCol w:w="716"/>
        <w:gridCol w:w="716"/>
      </w:tblGrid>
      <w:tr w:rsidR="00720ABF" w:rsidRPr="004C78D8" w14:paraId="15469CC8" w14:textId="77777777" w:rsidTr="00E35893">
        <w:tc>
          <w:tcPr>
            <w:tcW w:w="5000" w:type="pct"/>
            <w:gridSpan w:val="6"/>
          </w:tcPr>
          <w:p w14:paraId="05151801" w14:textId="36156EEA" w:rsidR="00720ABF" w:rsidRPr="004C78D8" w:rsidRDefault="00720ABF" w:rsidP="00FB7C1F">
            <w:pPr>
              <w:jc w:val="left"/>
            </w:pPr>
            <w:r w:rsidRPr="004C78D8">
              <w:rPr>
                <w:b/>
                <w:bCs/>
              </w:rPr>
              <w:t xml:space="preserve">Table </w:t>
            </w:r>
            <w:r w:rsidR="002131FC" w:rsidRPr="004C78D8">
              <w:rPr>
                <w:b/>
                <w:bCs/>
              </w:rPr>
              <w:t>5</w:t>
            </w:r>
            <w:r w:rsidR="006A6545" w:rsidRPr="004C78D8">
              <w:rPr>
                <w:b/>
                <w:bCs/>
              </w:rPr>
              <w:t>.</w:t>
            </w:r>
            <w:r w:rsidR="00935A0A" w:rsidRPr="004C78D8">
              <w:rPr>
                <w:b/>
                <w:bCs/>
              </w:rPr>
              <w:t>5</w:t>
            </w:r>
            <w:r w:rsidR="002131FC" w:rsidRPr="004C78D8">
              <w:rPr>
                <w:b/>
                <w:bCs/>
              </w:rPr>
              <w:t>1</w:t>
            </w:r>
            <w:r w:rsidRPr="004C78D8">
              <w:t xml:space="preserve"> Comparison of falls incidence rates between model simulation and UK falls prevention randomised controlled trial data</w:t>
            </w:r>
            <w:r w:rsidR="005F05A2" w:rsidRPr="004C78D8">
              <w:t>.</w:t>
            </w:r>
          </w:p>
        </w:tc>
      </w:tr>
      <w:tr w:rsidR="00720ABF" w:rsidRPr="004C78D8" w14:paraId="60BE8CCA" w14:textId="77777777" w:rsidTr="00E35893">
        <w:tc>
          <w:tcPr>
            <w:tcW w:w="236" w:type="pct"/>
            <w:vMerge w:val="restart"/>
          </w:tcPr>
          <w:p w14:paraId="50F963E5" w14:textId="77777777" w:rsidR="00720ABF" w:rsidRPr="004C78D8" w:rsidRDefault="00720ABF" w:rsidP="00FB7C1F">
            <w:pPr>
              <w:jc w:val="left"/>
              <w:rPr>
                <w:b/>
                <w:bCs/>
                <w:sz w:val="20"/>
                <w:szCs w:val="20"/>
              </w:rPr>
            </w:pPr>
            <w:r w:rsidRPr="004C78D8">
              <w:rPr>
                <w:b/>
                <w:bCs/>
                <w:sz w:val="18"/>
                <w:szCs w:val="18"/>
              </w:rPr>
              <w:t>#</w:t>
            </w:r>
          </w:p>
        </w:tc>
        <w:tc>
          <w:tcPr>
            <w:tcW w:w="1429" w:type="pct"/>
            <w:vMerge w:val="restart"/>
            <w:vAlign w:val="bottom"/>
          </w:tcPr>
          <w:p w14:paraId="0A7A2DB9" w14:textId="77777777" w:rsidR="00720ABF" w:rsidRPr="004C78D8" w:rsidRDefault="00720ABF" w:rsidP="00FB7C1F">
            <w:pPr>
              <w:jc w:val="left"/>
              <w:rPr>
                <w:b/>
                <w:bCs/>
                <w:sz w:val="18"/>
                <w:szCs w:val="18"/>
              </w:rPr>
            </w:pPr>
            <w:r w:rsidRPr="004C78D8">
              <w:rPr>
                <w:b/>
                <w:bCs/>
                <w:sz w:val="18"/>
                <w:szCs w:val="18"/>
              </w:rPr>
              <w:t>RCT control group characteristics</w:t>
            </w:r>
          </w:p>
        </w:tc>
        <w:tc>
          <w:tcPr>
            <w:tcW w:w="556" w:type="pct"/>
            <w:vMerge w:val="restart"/>
            <w:vAlign w:val="bottom"/>
          </w:tcPr>
          <w:p w14:paraId="0C38CA68" w14:textId="77777777" w:rsidR="00720ABF" w:rsidRPr="004C78D8" w:rsidRDefault="00720ABF" w:rsidP="00FB7C1F">
            <w:pPr>
              <w:jc w:val="left"/>
              <w:rPr>
                <w:b/>
                <w:bCs/>
                <w:sz w:val="18"/>
                <w:szCs w:val="18"/>
              </w:rPr>
            </w:pPr>
            <w:r w:rsidRPr="004C78D8">
              <w:rPr>
                <w:b/>
                <w:bCs/>
                <w:sz w:val="18"/>
                <w:szCs w:val="18"/>
              </w:rPr>
              <w:t>Reference</w:t>
            </w:r>
          </w:p>
        </w:tc>
        <w:tc>
          <w:tcPr>
            <w:tcW w:w="1985" w:type="pct"/>
            <w:vMerge w:val="restart"/>
            <w:vAlign w:val="bottom"/>
          </w:tcPr>
          <w:p w14:paraId="79B9B418" w14:textId="77777777" w:rsidR="00720ABF" w:rsidRPr="004C78D8" w:rsidRDefault="00720ABF" w:rsidP="00FB7C1F">
            <w:pPr>
              <w:jc w:val="left"/>
              <w:rPr>
                <w:b/>
                <w:bCs/>
                <w:sz w:val="18"/>
                <w:szCs w:val="18"/>
              </w:rPr>
            </w:pPr>
            <w:r w:rsidRPr="004C78D8">
              <w:rPr>
                <w:b/>
                <w:bCs/>
                <w:sz w:val="18"/>
                <w:szCs w:val="18"/>
              </w:rPr>
              <w:t>Model subgroup under usual care</w:t>
            </w:r>
          </w:p>
        </w:tc>
        <w:tc>
          <w:tcPr>
            <w:tcW w:w="794" w:type="pct"/>
            <w:gridSpan w:val="2"/>
          </w:tcPr>
          <w:p w14:paraId="643F0563" w14:textId="77777777" w:rsidR="00720ABF" w:rsidRPr="004C78D8" w:rsidRDefault="00720ABF" w:rsidP="00FB7C1F">
            <w:pPr>
              <w:jc w:val="center"/>
              <w:rPr>
                <w:b/>
                <w:bCs/>
                <w:sz w:val="18"/>
                <w:szCs w:val="18"/>
              </w:rPr>
            </w:pPr>
            <w:r w:rsidRPr="004C78D8">
              <w:rPr>
                <w:b/>
                <w:bCs/>
                <w:sz w:val="18"/>
                <w:szCs w:val="18"/>
              </w:rPr>
              <w:t>Falls incidence</w:t>
            </w:r>
          </w:p>
        </w:tc>
      </w:tr>
      <w:tr w:rsidR="00720ABF" w:rsidRPr="004C78D8" w14:paraId="5062CE0A" w14:textId="77777777" w:rsidTr="00E35893">
        <w:tc>
          <w:tcPr>
            <w:tcW w:w="236" w:type="pct"/>
            <w:vMerge/>
          </w:tcPr>
          <w:p w14:paraId="092C1BD2" w14:textId="77777777" w:rsidR="00720ABF" w:rsidRPr="004C78D8" w:rsidRDefault="00720ABF" w:rsidP="00FB7C1F">
            <w:pPr>
              <w:jc w:val="left"/>
              <w:rPr>
                <w:b/>
                <w:bCs/>
                <w:sz w:val="20"/>
                <w:szCs w:val="20"/>
              </w:rPr>
            </w:pPr>
          </w:p>
        </w:tc>
        <w:tc>
          <w:tcPr>
            <w:tcW w:w="1429" w:type="pct"/>
            <w:vMerge/>
          </w:tcPr>
          <w:p w14:paraId="7C33F31E" w14:textId="77777777" w:rsidR="00720ABF" w:rsidRPr="004C78D8" w:rsidRDefault="00720ABF" w:rsidP="00FB7C1F">
            <w:pPr>
              <w:jc w:val="left"/>
              <w:rPr>
                <w:b/>
                <w:bCs/>
                <w:sz w:val="18"/>
                <w:szCs w:val="18"/>
              </w:rPr>
            </w:pPr>
          </w:p>
        </w:tc>
        <w:tc>
          <w:tcPr>
            <w:tcW w:w="556" w:type="pct"/>
            <w:vMerge/>
          </w:tcPr>
          <w:p w14:paraId="7002D010" w14:textId="77777777" w:rsidR="00720ABF" w:rsidRPr="004C78D8" w:rsidRDefault="00720ABF" w:rsidP="00FB7C1F">
            <w:pPr>
              <w:jc w:val="left"/>
              <w:rPr>
                <w:b/>
                <w:bCs/>
                <w:sz w:val="18"/>
                <w:szCs w:val="18"/>
              </w:rPr>
            </w:pPr>
          </w:p>
        </w:tc>
        <w:tc>
          <w:tcPr>
            <w:tcW w:w="1985" w:type="pct"/>
            <w:vMerge/>
          </w:tcPr>
          <w:p w14:paraId="36F4F3EB" w14:textId="77777777" w:rsidR="00720ABF" w:rsidRPr="004C78D8" w:rsidRDefault="00720ABF" w:rsidP="00FB7C1F">
            <w:pPr>
              <w:jc w:val="left"/>
              <w:rPr>
                <w:b/>
                <w:bCs/>
                <w:sz w:val="18"/>
                <w:szCs w:val="18"/>
              </w:rPr>
            </w:pPr>
          </w:p>
        </w:tc>
        <w:tc>
          <w:tcPr>
            <w:tcW w:w="397" w:type="pct"/>
          </w:tcPr>
          <w:p w14:paraId="6E3E4CD2" w14:textId="77777777" w:rsidR="00720ABF" w:rsidRPr="004C78D8" w:rsidRDefault="00720ABF" w:rsidP="00FB7C1F">
            <w:pPr>
              <w:jc w:val="center"/>
              <w:rPr>
                <w:b/>
                <w:bCs/>
                <w:sz w:val="18"/>
                <w:szCs w:val="18"/>
              </w:rPr>
            </w:pPr>
            <w:r w:rsidRPr="004C78D8">
              <w:rPr>
                <w:b/>
                <w:bCs/>
                <w:sz w:val="18"/>
                <w:szCs w:val="18"/>
              </w:rPr>
              <w:t>RCT</w:t>
            </w:r>
            <w:r w:rsidRPr="004C78D8">
              <w:rPr>
                <w:b/>
                <w:bCs/>
                <w:sz w:val="18"/>
                <w:szCs w:val="18"/>
                <w:vertAlign w:val="superscript"/>
              </w:rPr>
              <w:t>1</w:t>
            </w:r>
          </w:p>
        </w:tc>
        <w:tc>
          <w:tcPr>
            <w:tcW w:w="397" w:type="pct"/>
          </w:tcPr>
          <w:p w14:paraId="6715F4F2" w14:textId="77777777" w:rsidR="00720ABF" w:rsidRPr="004C78D8" w:rsidRDefault="00720ABF" w:rsidP="00FB7C1F">
            <w:pPr>
              <w:jc w:val="center"/>
              <w:rPr>
                <w:b/>
                <w:bCs/>
                <w:sz w:val="18"/>
                <w:szCs w:val="18"/>
              </w:rPr>
            </w:pPr>
            <w:r w:rsidRPr="004C78D8">
              <w:rPr>
                <w:b/>
                <w:bCs/>
                <w:sz w:val="18"/>
                <w:szCs w:val="18"/>
              </w:rPr>
              <w:t>Model</w:t>
            </w:r>
          </w:p>
        </w:tc>
      </w:tr>
      <w:tr w:rsidR="00720ABF" w:rsidRPr="004C78D8" w14:paraId="52031FDE" w14:textId="77777777" w:rsidTr="00E35893">
        <w:tc>
          <w:tcPr>
            <w:tcW w:w="236" w:type="pct"/>
          </w:tcPr>
          <w:p w14:paraId="79874593" w14:textId="77777777" w:rsidR="00720ABF" w:rsidRPr="004C78D8" w:rsidRDefault="00720ABF" w:rsidP="00FB7C1F">
            <w:pPr>
              <w:jc w:val="left"/>
              <w:rPr>
                <w:sz w:val="18"/>
                <w:szCs w:val="18"/>
              </w:rPr>
            </w:pPr>
            <w:r w:rsidRPr="004C78D8">
              <w:rPr>
                <w:sz w:val="18"/>
                <w:szCs w:val="18"/>
              </w:rPr>
              <w:t>1</w:t>
            </w:r>
          </w:p>
        </w:tc>
        <w:tc>
          <w:tcPr>
            <w:tcW w:w="1429" w:type="pct"/>
          </w:tcPr>
          <w:p w14:paraId="5585007A" w14:textId="77777777" w:rsidR="00720ABF" w:rsidRPr="004C78D8" w:rsidRDefault="00720ABF" w:rsidP="00FB7C1F">
            <w:pPr>
              <w:jc w:val="left"/>
              <w:rPr>
                <w:sz w:val="18"/>
                <w:szCs w:val="18"/>
              </w:rPr>
            </w:pPr>
            <w:r w:rsidRPr="004C78D8">
              <w:rPr>
                <w:sz w:val="18"/>
                <w:szCs w:val="18"/>
              </w:rPr>
              <w:t>MA falls history; cognitively intact; mean age 78</w:t>
            </w:r>
          </w:p>
        </w:tc>
        <w:tc>
          <w:tcPr>
            <w:tcW w:w="556" w:type="pct"/>
          </w:tcPr>
          <w:p w14:paraId="6A702DB2" w14:textId="1068565C" w:rsidR="00720ABF" w:rsidRPr="004C78D8" w:rsidRDefault="00720ABF" w:rsidP="00FB7C1F">
            <w:pPr>
              <w:jc w:val="left"/>
              <w:rPr>
                <w:sz w:val="18"/>
                <w:szCs w:val="18"/>
              </w:rPr>
            </w:pPr>
            <w:r w:rsidRPr="004C78D8">
              <w:rPr>
                <w:sz w:val="18"/>
                <w:szCs w:val="18"/>
              </w:rPr>
              <w:fldChar w:fldCharType="begin"/>
            </w:r>
            <w:r w:rsidR="00513646" w:rsidRPr="004C78D8">
              <w:rPr>
                <w:sz w:val="18"/>
                <w:szCs w:val="18"/>
              </w:rPr>
              <w:instrText xml:space="preserve"> ADDIN EN.CITE &lt;EndNote&gt;&lt;Cite&gt;&lt;Author&gt;Close&lt;/Author&gt;&lt;Year&gt;1999&lt;/Year&gt;&lt;RecNum&gt;513&lt;/RecNum&gt;&lt;DisplayText&gt;[62]&lt;/DisplayText&gt;&lt;record&gt;&lt;rec-number&gt;513&lt;/rec-number&gt;&lt;foreign-keys&gt;&lt;key app="EN" db-id="tdtrdw9aepptzbefsat599syza29sxsd2wsp" timestamp="1617903389"&gt;513&lt;/key&gt;&lt;/foreign-keys&gt;&lt;ref-type name="Journal Article"&gt;17&lt;/ref-type&gt;&lt;contributors&gt;&lt;authors&gt;&lt;author&gt;Close, J.&lt;/author&gt;&lt;author&gt;Ellis, M.&lt;/author&gt;&lt;author&gt;Hooper, R.&lt;/author&gt;&lt;author&gt;Glucksman, E.&lt;/author&gt;&lt;author&gt;Jackson, S.&lt;/author&gt;&lt;author&gt;Swift, C.&lt;/author&gt;&lt;/authors&gt;&lt;/contributors&gt;&lt;auth-address&gt;Department of Health Care of the Elderly, Guy&amp;apos;s King&amp;apos;s, and St Thomas&amp;apos; School of Medicine, King&amp;apos;s College Hospital, London, UK. jacqueline.close@kcl.ac.uk&lt;/auth-address&gt;&lt;titles&gt;&lt;title&gt;Prevention of falls in the elderly trial (PROFET): a randomised controlled trial&lt;/title&gt;&lt;secondary-title&gt;Lancet&lt;/secondary-title&gt;&lt;/titles&gt;&lt;periodical&gt;&lt;full-title&gt;Lancet&lt;/full-title&gt;&lt;/periodical&gt;&lt;pages&gt;93-7&lt;/pages&gt;&lt;volume&gt;353&lt;/volume&gt;&lt;number&gt;9147&lt;/number&gt;&lt;keywords&gt;&lt;keyword&gt;Accidental Falls/*prevention &amp;amp; control&lt;/keyword&gt;&lt;keyword&gt;Activities of Daily Living/classification&lt;/keyword&gt;&lt;keyword&gt;Aged&lt;/keyword&gt;&lt;keyword&gt;Aged, 80 and over&lt;/keyword&gt;&lt;keyword&gt;Female&lt;/keyword&gt;&lt;keyword&gt;*Frail Elderly&lt;/keyword&gt;&lt;keyword&gt;Geriatric Assessment&lt;/keyword&gt;&lt;keyword&gt;Humans&lt;/keyword&gt;&lt;keyword&gt;Male&lt;/keyword&gt;&lt;keyword&gt;Occupational Therapy&lt;/keyword&gt;&lt;keyword&gt;*Patient Care Team&lt;/keyword&gt;&lt;keyword&gt;Recurrence&lt;/keyword&gt;&lt;keyword&gt;Referral and Consultation&lt;/keyword&gt;&lt;keyword&gt;Treatment Outcome&lt;/keyword&gt;&lt;/keywords&gt;&lt;dates&gt;&lt;year&gt;1999&lt;/year&gt;&lt;pub-dates&gt;&lt;date&gt;Jan 9&lt;/date&gt;&lt;/pub-dates&gt;&lt;/dates&gt;&lt;isbn&gt;0140-6736 (Print)&amp;#xD;0140-6736 (Linking)&lt;/isbn&gt;&lt;accession-num&gt;10023893&lt;/accession-num&gt;&lt;urls&gt;&lt;related-urls&gt;&lt;url&gt;https://www.ncbi.nlm.nih.gov/pubmed/10023893&lt;/url&gt;&lt;/related-urls&gt;&lt;/urls&gt;&lt;electronic-resource-num&gt;10.1016/S0140-6736(98)06119-4&lt;/electronic-resource-num&gt;&lt;/record&gt;&lt;/Cite&gt;&lt;/EndNote&gt;</w:instrText>
            </w:r>
            <w:r w:rsidRPr="004C78D8">
              <w:rPr>
                <w:sz w:val="18"/>
                <w:szCs w:val="18"/>
              </w:rPr>
              <w:fldChar w:fldCharType="separate"/>
            </w:r>
            <w:r w:rsidR="00513646" w:rsidRPr="004C78D8">
              <w:rPr>
                <w:noProof/>
                <w:sz w:val="18"/>
                <w:szCs w:val="18"/>
              </w:rPr>
              <w:t>[62]</w:t>
            </w:r>
            <w:r w:rsidRPr="004C78D8">
              <w:rPr>
                <w:sz w:val="18"/>
                <w:szCs w:val="18"/>
              </w:rPr>
              <w:fldChar w:fldCharType="end"/>
            </w:r>
          </w:p>
        </w:tc>
        <w:tc>
          <w:tcPr>
            <w:tcW w:w="1985" w:type="pct"/>
          </w:tcPr>
          <w:p w14:paraId="6C95FCA6" w14:textId="77777777" w:rsidR="00720ABF" w:rsidRPr="004C78D8" w:rsidRDefault="00720ABF" w:rsidP="00FB7C1F">
            <w:pPr>
              <w:jc w:val="left"/>
              <w:rPr>
                <w:sz w:val="18"/>
                <w:szCs w:val="18"/>
              </w:rPr>
            </w:pPr>
            <w:r w:rsidRPr="004C78D8">
              <w:rPr>
                <w:sz w:val="18"/>
                <w:szCs w:val="18"/>
              </w:rPr>
              <w:t>Cohort 2 in 20</w:t>
            </w:r>
            <w:r w:rsidRPr="004C78D8">
              <w:rPr>
                <w:sz w:val="18"/>
                <w:szCs w:val="18"/>
                <w:vertAlign w:val="superscript"/>
              </w:rPr>
              <w:t>th</w:t>
            </w:r>
            <w:r w:rsidRPr="004C78D8">
              <w:rPr>
                <w:sz w:val="18"/>
                <w:szCs w:val="18"/>
              </w:rPr>
              <w:t xml:space="preserve"> model cycle with MA falls history; cognitively intact; mean age 78</w:t>
            </w:r>
          </w:p>
        </w:tc>
        <w:tc>
          <w:tcPr>
            <w:tcW w:w="397" w:type="pct"/>
          </w:tcPr>
          <w:p w14:paraId="510A573A" w14:textId="77777777" w:rsidR="00720ABF" w:rsidRPr="004C78D8" w:rsidRDefault="00720ABF" w:rsidP="00FB7C1F">
            <w:pPr>
              <w:jc w:val="center"/>
              <w:rPr>
                <w:sz w:val="18"/>
                <w:szCs w:val="18"/>
              </w:rPr>
            </w:pPr>
            <w:r w:rsidRPr="004C78D8">
              <w:rPr>
                <w:sz w:val="18"/>
                <w:szCs w:val="18"/>
              </w:rPr>
              <w:t>52.0%</w:t>
            </w:r>
          </w:p>
        </w:tc>
        <w:tc>
          <w:tcPr>
            <w:tcW w:w="397" w:type="pct"/>
          </w:tcPr>
          <w:p w14:paraId="14C12DB4" w14:textId="77777777" w:rsidR="00720ABF" w:rsidRPr="004C78D8" w:rsidRDefault="00720ABF" w:rsidP="00FB7C1F">
            <w:pPr>
              <w:jc w:val="center"/>
              <w:rPr>
                <w:sz w:val="18"/>
                <w:szCs w:val="18"/>
              </w:rPr>
            </w:pPr>
            <w:r w:rsidRPr="004C78D8">
              <w:rPr>
                <w:sz w:val="18"/>
                <w:szCs w:val="18"/>
              </w:rPr>
              <w:t>55.1%</w:t>
            </w:r>
          </w:p>
        </w:tc>
      </w:tr>
      <w:tr w:rsidR="00720ABF" w:rsidRPr="004C78D8" w14:paraId="41B1074E" w14:textId="77777777" w:rsidTr="00E35893">
        <w:tc>
          <w:tcPr>
            <w:tcW w:w="236" w:type="pct"/>
          </w:tcPr>
          <w:p w14:paraId="5CEA5A71" w14:textId="77777777" w:rsidR="00720ABF" w:rsidRPr="004C78D8" w:rsidRDefault="00720ABF" w:rsidP="00FB7C1F">
            <w:pPr>
              <w:jc w:val="left"/>
              <w:rPr>
                <w:sz w:val="18"/>
                <w:szCs w:val="18"/>
              </w:rPr>
            </w:pPr>
            <w:r w:rsidRPr="004C78D8">
              <w:rPr>
                <w:sz w:val="18"/>
                <w:szCs w:val="18"/>
              </w:rPr>
              <w:t>2</w:t>
            </w:r>
          </w:p>
        </w:tc>
        <w:tc>
          <w:tcPr>
            <w:tcW w:w="1429" w:type="pct"/>
          </w:tcPr>
          <w:p w14:paraId="259C963E" w14:textId="77777777" w:rsidR="00720ABF" w:rsidRPr="004C78D8" w:rsidRDefault="00720ABF" w:rsidP="00FB7C1F">
            <w:pPr>
              <w:jc w:val="left"/>
              <w:rPr>
                <w:sz w:val="18"/>
                <w:szCs w:val="18"/>
              </w:rPr>
            </w:pPr>
            <w:r w:rsidRPr="004C78D8">
              <w:rPr>
                <w:sz w:val="18"/>
                <w:szCs w:val="18"/>
              </w:rPr>
              <w:t>Recurrent non-MA or MA falls history; cognitively intact; mean age 73</w:t>
            </w:r>
          </w:p>
        </w:tc>
        <w:tc>
          <w:tcPr>
            <w:tcW w:w="556" w:type="pct"/>
          </w:tcPr>
          <w:p w14:paraId="033C7F4D" w14:textId="1AD500A2" w:rsidR="00720ABF" w:rsidRPr="004C78D8" w:rsidRDefault="00720ABF" w:rsidP="00FB7C1F">
            <w:pPr>
              <w:jc w:val="left"/>
              <w:rPr>
                <w:sz w:val="18"/>
                <w:szCs w:val="18"/>
              </w:rPr>
            </w:pPr>
            <w:r w:rsidRPr="004C78D8">
              <w:rPr>
                <w:sz w:val="18"/>
                <w:szCs w:val="18"/>
              </w:rPr>
              <w:fldChar w:fldCharType="begin"/>
            </w:r>
            <w:r w:rsidR="00513646" w:rsidRPr="004C78D8">
              <w:rPr>
                <w:sz w:val="18"/>
                <w:szCs w:val="18"/>
              </w:rPr>
              <w:instrText xml:space="preserve"> ADDIN EN.CITE &lt;EndNote&gt;&lt;Cite&gt;&lt;Author&gt;Skelton&lt;/Author&gt;&lt;Year&gt;2005&lt;/Year&gt;&lt;RecNum&gt;481&lt;/RecNum&gt;&lt;DisplayText&gt;[136]&lt;/DisplayText&gt;&lt;record&gt;&lt;rec-number&gt;481&lt;/rec-number&gt;&lt;foreign-keys&gt;&lt;key app="EN" db-id="tdtrdw9aepptzbefsat599syza29sxsd2wsp" timestamp="1616578116"&gt;481&lt;/key&gt;&lt;/foreign-keys&gt;&lt;ref-type name="Journal Article"&gt;17&lt;/ref-type&gt;&lt;contributors&gt;&lt;authors&gt;&lt;author&gt;Skelton, Dawn&lt;/author&gt;&lt;author&gt;Dinan, Susie&lt;/author&gt;&lt;author&gt;Campbell, Malcolm&lt;/author&gt;&lt;author&gt;Rutherford, Olga&lt;/author&gt;&lt;/authors&gt;&lt;/contributors&gt;&lt;titles&gt;&lt;title&gt;Tailored group exercise (Falls Management Exercise—FaME) reduces falls in community-dwelling older frequent fallers (an RCT)&lt;/title&gt;&lt;secondary-title&gt;Age and ageing&lt;/secondary-title&gt;&lt;/titles&gt;&lt;periodical&gt;&lt;full-title&gt;Age and ageing&lt;/full-title&gt;&lt;/periodical&gt;&lt;pages&gt;636-639&lt;/pages&gt;&lt;volume&gt;34&lt;/volume&gt;&lt;number&gt;6&lt;/number&gt;&lt;dates&gt;&lt;year&gt;2005&lt;/year&gt;&lt;/dates&gt;&lt;isbn&gt;1468-2834&lt;/isbn&gt;&lt;urls&gt;&lt;/urls&gt;&lt;/record&gt;&lt;/Cite&gt;&lt;/EndNote&gt;</w:instrText>
            </w:r>
            <w:r w:rsidRPr="004C78D8">
              <w:rPr>
                <w:sz w:val="18"/>
                <w:szCs w:val="18"/>
              </w:rPr>
              <w:fldChar w:fldCharType="separate"/>
            </w:r>
            <w:r w:rsidR="00513646" w:rsidRPr="004C78D8">
              <w:rPr>
                <w:noProof/>
                <w:sz w:val="18"/>
                <w:szCs w:val="18"/>
              </w:rPr>
              <w:t>[136]</w:t>
            </w:r>
            <w:r w:rsidRPr="004C78D8">
              <w:rPr>
                <w:sz w:val="18"/>
                <w:szCs w:val="18"/>
              </w:rPr>
              <w:fldChar w:fldCharType="end"/>
            </w:r>
          </w:p>
        </w:tc>
        <w:tc>
          <w:tcPr>
            <w:tcW w:w="1985" w:type="pct"/>
          </w:tcPr>
          <w:p w14:paraId="42EC57FB" w14:textId="77777777" w:rsidR="00720ABF" w:rsidRPr="004C78D8" w:rsidRDefault="00720ABF" w:rsidP="00FB7C1F">
            <w:pPr>
              <w:jc w:val="left"/>
              <w:rPr>
                <w:sz w:val="18"/>
                <w:szCs w:val="18"/>
              </w:rPr>
            </w:pPr>
            <w:r w:rsidRPr="004C78D8">
              <w:rPr>
                <w:sz w:val="18"/>
                <w:szCs w:val="18"/>
              </w:rPr>
              <w:t>Cohort 7 in 20</w:t>
            </w:r>
            <w:r w:rsidRPr="004C78D8">
              <w:rPr>
                <w:sz w:val="18"/>
                <w:szCs w:val="18"/>
                <w:vertAlign w:val="superscript"/>
              </w:rPr>
              <w:t>th</w:t>
            </w:r>
            <w:r w:rsidRPr="004C78D8">
              <w:rPr>
                <w:sz w:val="18"/>
                <w:szCs w:val="18"/>
              </w:rPr>
              <w:t xml:space="preserve"> model cycle with recurrent non-MA or MA falls history; cognitively intact; mean age 73</w:t>
            </w:r>
          </w:p>
        </w:tc>
        <w:tc>
          <w:tcPr>
            <w:tcW w:w="397" w:type="pct"/>
          </w:tcPr>
          <w:p w14:paraId="7FF81C10" w14:textId="77777777" w:rsidR="00720ABF" w:rsidRPr="004C78D8" w:rsidRDefault="00720ABF" w:rsidP="00FB7C1F">
            <w:pPr>
              <w:jc w:val="center"/>
              <w:rPr>
                <w:sz w:val="18"/>
                <w:szCs w:val="18"/>
              </w:rPr>
            </w:pPr>
            <w:r w:rsidRPr="004C78D8">
              <w:rPr>
                <w:sz w:val="18"/>
                <w:szCs w:val="18"/>
              </w:rPr>
              <w:t>85.1%</w:t>
            </w:r>
          </w:p>
        </w:tc>
        <w:tc>
          <w:tcPr>
            <w:tcW w:w="397" w:type="pct"/>
          </w:tcPr>
          <w:p w14:paraId="6C598786" w14:textId="77777777" w:rsidR="00720ABF" w:rsidRPr="004C78D8" w:rsidRDefault="00720ABF" w:rsidP="00FB7C1F">
            <w:pPr>
              <w:jc w:val="center"/>
              <w:rPr>
                <w:sz w:val="18"/>
                <w:szCs w:val="18"/>
              </w:rPr>
            </w:pPr>
            <w:r w:rsidRPr="004C78D8">
              <w:rPr>
                <w:sz w:val="18"/>
                <w:szCs w:val="18"/>
              </w:rPr>
              <w:t>53.4%</w:t>
            </w:r>
          </w:p>
        </w:tc>
      </w:tr>
      <w:tr w:rsidR="00720ABF" w:rsidRPr="004C78D8" w14:paraId="584DBA52" w14:textId="77777777" w:rsidTr="00E35893">
        <w:tc>
          <w:tcPr>
            <w:tcW w:w="236" w:type="pct"/>
          </w:tcPr>
          <w:p w14:paraId="3F721D44" w14:textId="77777777" w:rsidR="00720ABF" w:rsidRPr="004C78D8" w:rsidRDefault="00720ABF" w:rsidP="00FB7C1F">
            <w:pPr>
              <w:jc w:val="left"/>
              <w:rPr>
                <w:sz w:val="18"/>
                <w:szCs w:val="18"/>
              </w:rPr>
            </w:pPr>
            <w:r w:rsidRPr="004C78D8">
              <w:rPr>
                <w:sz w:val="18"/>
                <w:szCs w:val="18"/>
              </w:rPr>
              <w:t>3</w:t>
            </w:r>
          </w:p>
        </w:tc>
        <w:tc>
          <w:tcPr>
            <w:tcW w:w="1429" w:type="pct"/>
          </w:tcPr>
          <w:p w14:paraId="17D9A30E" w14:textId="77777777" w:rsidR="00720ABF" w:rsidRPr="004C78D8" w:rsidRDefault="00720ABF" w:rsidP="00FB7C1F">
            <w:pPr>
              <w:jc w:val="left"/>
              <w:rPr>
                <w:sz w:val="18"/>
                <w:szCs w:val="18"/>
              </w:rPr>
            </w:pPr>
            <w:r w:rsidRPr="004C78D8">
              <w:rPr>
                <w:sz w:val="18"/>
                <w:szCs w:val="18"/>
              </w:rPr>
              <w:t>Non-MA falls history; cognitively intact; mean age 83</w:t>
            </w:r>
          </w:p>
        </w:tc>
        <w:tc>
          <w:tcPr>
            <w:tcW w:w="556" w:type="pct"/>
          </w:tcPr>
          <w:p w14:paraId="13511267" w14:textId="18ED5652" w:rsidR="00720ABF" w:rsidRPr="004C78D8" w:rsidRDefault="00720ABF"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&lt;EndNote&gt;&lt;Cite&gt;&lt;Author&gt;Spice&lt;/Author&gt;&lt;Year&gt;2009&lt;/Year&gt;&lt;RecNum&gt;515&lt;/RecNum&gt;&lt;DisplayText&gt;[385]&lt;/DisplayText&gt;&lt;record&gt;&lt;rec-number&gt;515&lt;/rec-number&gt;&lt;foreign-keys&gt;&lt;key app="EN" db-id="tdtrdw9aepptzbefsat599syza29sxsd2wsp" timestamp="1617909863"&gt;515&lt;/key&gt;&lt;/foreign-keys&gt;&lt;ref-type name="Journal Article"&gt;17&lt;/ref-type&gt;&lt;contributors&gt;&lt;authors&gt;&lt;author&gt;Spice, Claire L&lt;/author&gt;&lt;author&gt;Morotti, Wendy&lt;/author&gt;&lt;author&gt;George, Steve&lt;/author&gt;&lt;author&gt;Dent, Thomas HS&lt;/author&gt;&lt;author&gt;Rose, Jim&lt;/author&gt;&lt;author&gt;Harris, Scott&lt;/author&gt;&lt;author&gt;Gordon, Christopher J&lt;/author&gt;&lt;/authors&gt;&lt;/contributors&gt;&lt;titles&gt;&lt;title&gt;The Winchester falls project: a randomised controlled trial of secondary prevention of falls in older people&lt;/title&gt;&lt;secondary-title&gt;Age and ageing&lt;/secondary-title&gt;&lt;/titles&gt;&lt;periodical&gt;&lt;full-title&gt;Age and ageing&lt;/full-title&gt;&lt;/periodical&gt;&lt;pages&gt;33-40&lt;/pages&gt;&lt;volume&gt;38&lt;/volume&gt;&lt;number&gt;1&lt;/number&gt;&lt;dates&gt;&lt;year&gt;2009&lt;/year&gt;&lt;/dates&gt;&lt;isbn&gt;1468-2834&lt;/isbn&gt;&lt;urls&gt;&lt;/urls&gt;&lt;/record&gt;&lt;/Cite&gt;&lt;/EndNote&gt;</w:instrText>
            </w:r>
            <w:r w:rsidRPr="004C78D8">
              <w:rPr>
                <w:sz w:val="18"/>
                <w:szCs w:val="18"/>
              </w:rPr>
              <w:fldChar w:fldCharType="separate"/>
            </w:r>
            <w:r w:rsidR="00C630FC" w:rsidRPr="004C78D8">
              <w:rPr>
                <w:noProof/>
                <w:sz w:val="18"/>
                <w:szCs w:val="18"/>
              </w:rPr>
              <w:t>[385]</w:t>
            </w:r>
            <w:r w:rsidRPr="004C78D8">
              <w:rPr>
                <w:sz w:val="18"/>
                <w:szCs w:val="18"/>
              </w:rPr>
              <w:fldChar w:fldCharType="end"/>
            </w:r>
          </w:p>
        </w:tc>
        <w:tc>
          <w:tcPr>
            <w:tcW w:w="1985" w:type="pct"/>
          </w:tcPr>
          <w:p w14:paraId="283BA361" w14:textId="77777777" w:rsidR="00720ABF" w:rsidRPr="004C78D8" w:rsidRDefault="00720ABF" w:rsidP="00FB7C1F">
            <w:pPr>
              <w:jc w:val="left"/>
              <w:rPr>
                <w:sz w:val="18"/>
                <w:szCs w:val="18"/>
              </w:rPr>
            </w:pPr>
            <w:r w:rsidRPr="004C78D8">
              <w:rPr>
                <w:sz w:val="18"/>
                <w:szCs w:val="18"/>
              </w:rPr>
              <w:t>Cohort 1 in 20</w:t>
            </w:r>
            <w:r w:rsidRPr="004C78D8">
              <w:rPr>
                <w:sz w:val="18"/>
                <w:szCs w:val="18"/>
                <w:vertAlign w:val="superscript"/>
              </w:rPr>
              <w:t>th</w:t>
            </w:r>
            <w:r w:rsidRPr="004C78D8">
              <w:rPr>
                <w:sz w:val="18"/>
                <w:szCs w:val="18"/>
              </w:rPr>
              <w:t xml:space="preserve"> model cycle with non-MA falls history; cognitively intact; mean age 83</w:t>
            </w:r>
          </w:p>
        </w:tc>
        <w:tc>
          <w:tcPr>
            <w:tcW w:w="397" w:type="pct"/>
          </w:tcPr>
          <w:p w14:paraId="12F78F4A" w14:textId="77777777" w:rsidR="00720ABF" w:rsidRPr="004C78D8" w:rsidRDefault="00720ABF" w:rsidP="00FB7C1F">
            <w:pPr>
              <w:jc w:val="center"/>
              <w:rPr>
                <w:sz w:val="18"/>
                <w:szCs w:val="18"/>
              </w:rPr>
            </w:pPr>
            <w:r w:rsidRPr="004C78D8">
              <w:rPr>
                <w:sz w:val="18"/>
                <w:szCs w:val="18"/>
              </w:rPr>
              <w:t>82.4%</w:t>
            </w:r>
          </w:p>
        </w:tc>
        <w:tc>
          <w:tcPr>
            <w:tcW w:w="397" w:type="pct"/>
          </w:tcPr>
          <w:p w14:paraId="3E40D590" w14:textId="77777777" w:rsidR="00720ABF" w:rsidRPr="004C78D8" w:rsidRDefault="00720ABF" w:rsidP="00FB7C1F">
            <w:pPr>
              <w:jc w:val="center"/>
              <w:rPr>
                <w:sz w:val="18"/>
                <w:szCs w:val="18"/>
              </w:rPr>
            </w:pPr>
            <w:r w:rsidRPr="004C78D8">
              <w:rPr>
                <w:sz w:val="18"/>
                <w:szCs w:val="18"/>
              </w:rPr>
              <w:t>67.1%</w:t>
            </w:r>
          </w:p>
        </w:tc>
      </w:tr>
      <w:tr w:rsidR="00720ABF" w:rsidRPr="004C78D8" w14:paraId="6AB96BFB" w14:textId="77777777" w:rsidTr="00E35893">
        <w:tc>
          <w:tcPr>
            <w:tcW w:w="236" w:type="pct"/>
          </w:tcPr>
          <w:p w14:paraId="38F1C0CB" w14:textId="77777777" w:rsidR="00720ABF" w:rsidRPr="004C78D8" w:rsidRDefault="00720ABF" w:rsidP="00FB7C1F">
            <w:pPr>
              <w:jc w:val="left"/>
              <w:rPr>
                <w:sz w:val="18"/>
                <w:szCs w:val="18"/>
              </w:rPr>
            </w:pPr>
            <w:r w:rsidRPr="004C78D8">
              <w:rPr>
                <w:sz w:val="18"/>
                <w:szCs w:val="18"/>
              </w:rPr>
              <w:t>4</w:t>
            </w:r>
          </w:p>
        </w:tc>
        <w:tc>
          <w:tcPr>
            <w:tcW w:w="1429" w:type="pct"/>
          </w:tcPr>
          <w:p w14:paraId="2D7DFFE4" w14:textId="77777777" w:rsidR="00720ABF" w:rsidRPr="004C78D8" w:rsidRDefault="00720ABF" w:rsidP="00FB7C1F">
            <w:pPr>
              <w:jc w:val="left"/>
              <w:rPr>
                <w:sz w:val="18"/>
                <w:szCs w:val="18"/>
              </w:rPr>
            </w:pPr>
            <w:r w:rsidRPr="004C78D8">
              <w:rPr>
                <w:sz w:val="18"/>
                <w:szCs w:val="18"/>
              </w:rPr>
              <w:t>All falls histories; cognitively intact; mean age 78</w:t>
            </w:r>
          </w:p>
        </w:tc>
        <w:tc>
          <w:tcPr>
            <w:tcW w:w="556" w:type="pct"/>
          </w:tcPr>
          <w:p w14:paraId="55CEA6FE" w14:textId="69B1DBCF" w:rsidR="00720ABF" w:rsidRPr="004C78D8" w:rsidRDefault="00720ABF" w:rsidP="00FB7C1F">
            <w:pPr>
              <w:jc w:val="left"/>
              <w:rPr>
                <w:sz w:val="18"/>
                <w:szCs w:val="18"/>
              </w:rPr>
            </w:pPr>
            <w:r w:rsidRPr="004C78D8">
              <w:rPr>
                <w:sz w:val="18"/>
                <w:szCs w:val="18"/>
              </w:rPr>
              <w:fldChar w:fldCharType="begin"/>
            </w:r>
            <w:r w:rsidR="00513646" w:rsidRPr="004C78D8">
              <w:rPr>
                <w:sz w:val="18"/>
                <w:szCs w:val="18"/>
              </w:rPr>
              <w:instrText xml:space="preserve"> ADDIN EN.CITE &lt;EndNote&gt;&lt;Cite&gt;&lt;Author&gt;Conroy&lt;/Author&gt;&lt;Year&gt;2010&lt;/Year&gt;&lt;RecNum&gt;162&lt;/RecNum&gt;&lt;DisplayText&gt;[25]&lt;/DisplayText&gt;&lt;record&gt;&lt;rec-number&gt;162&lt;/rec-number&gt;&lt;foreign-keys&gt;&lt;key app="EN" db-id="tdtrdw9aepptzbefsat599syza29sxsd2wsp" timestamp="1609258180"&gt;162&lt;/key&gt;&lt;/foreign-keys&gt;&lt;ref-type name="Journal Article"&gt;17&lt;/ref-type&gt;&lt;contributors&gt;&lt;authors&gt;&lt;author&gt;Conroy, Simon&lt;/author&gt;&lt;author&gt;Kendrick, Denise&lt;/author&gt;&lt;author&gt;Harwood, Rowan&lt;/author&gt;&lt;author&gt;Gladman, John&lt;/author&gt;&lt;author&gt;Coupland, Carol&lt;/author&gt;&lt;author&gt;Sach, Tracey&lt;/author&gt;&lt;author&gt;Drummond, Avril&lt;/author&gt;&lt;author&gt;Youde, Jane&lt;/author&gt;&lt;author&gt;Edmans, Judi&lt;/author&gt;&lt;author&gt;Masud, Tahir&lt;/author&gt;&lt;/authors&gt;&lt;/contributors&gt;&lt;titles&gt;&lt;title&gt;A multicentre randomised controlled trial of day hospital-based falls prevention programme for a screened population of community-dwelling older people at high risk of falls&lt;/title&gt;&lt;secondary-title&gt;Age and Ageing&lt;/secondary-title&gt;&lt;/titles&gt;&lt;periodical&gt;&lt;full-title&gt;Age and ageing&lt;/full-title&gt;&lt;/periodical&gt;&lt;pages&gt;704-710&lt;/pages&gt;&lt;volume&gt;39&lt;/volume&gt;&lt;number&gt;6&lt;/number&gt;&lt;dates&gt;&lt;year&gt;2010&lt;/year&gt;&lt;/dates&gt;&lt;isbn&gt;1468-2834&lt;/isbn&gt;&lt;urls&gt;&lt;/urls&gt;&lt;/record&gt;&lt;/Cite&gt;&lt;/EndNote&gt;</w:instrText>
            </w:r>
            <w:r w:rsidRPr="004C78D8">
              <w:rPr>
                <w:sz w:val="18"/>
                <w:szCs w:val="18"/>
              </w:rPr>
              <w:fldChar w:fldCharType="separate"/>
            </w:r>
            <w:r w:rsidR="00513646" w:rsidRPr="004C78D8">
              <w:rPr>
                <w:noProof/>
                <w:sz w:val="18"/>
                <w:szCs w:val="18"/>
              </w:rPr>
              <w:t>[25]</w:t>
            </w:r>
            <w:r w:rsidRPr="004C78D8">
              <w:rPr>
                <w:sz w:val="18"/>
                <w:szCs w:val="18"/>
              </w:rPr>
              <w:fldChar w:fldCharType="end"/>
            </w:r>
          </w:p>
        </w:tc>
        <w:tc>
          <w:tcPr>
            <w:tcW w:w="1985" w:type="pct"/>
          </w:tcPr>
          <w:p w14:paraId="73E93DF4" w14:textId="77777777" w:rsidR="00720ABF" w:rsidRPr="004C78D8" w:rsidRDefault="00720ABF" w:rsidP="00FB7C1F">
            <w:pPr>
              <w:jc w:val="left"/>
              <w:rPr>
                <w:sz w:val="18"/>
                <w:szCs w:val="18"/>
              </w:rPr>
            </w:pPr>
            <w:r w:rsidRPr="004C78D8">
              <w:rPr>
                <w:sz w:val="18"/>
                <w:szCs w:val="18"/>
              </w:rPr>
              <w:t>Cohort 2 in 20</w:t>
            </w:r>
            <w:r w:rsidRPr="004C78D8">
              <w:rPr>
                <w:sz w:val="18"/>
                <w:szCs w:val="18"/>
                <w:vertAlign w:val="superscript"/>
              </w:rPr>
              <w:t>th</w:t>
            </w:r>
            <w:r w:rsidRPr="004C78D8">
              <w:rPr>
                <w:sz w:val="18"/>
                <w:szCs w:val="18"/>
              </w:rPr>
              <w:t xml:space="preserve"> model cycle; cognitively intact; mean age 78 </w:t>
            </w:r>
          </w:p>
        </w:tc>
        <w:tc>
          <w:tcPr>
            <w:tcW w:w="397" w:type="pct"/>
          </w:tcPr>
          <w:p w14:paraId="55FAB81E" w14:textId="77777777" w:rsidR="00720ABF" w:rsidRPr="004C78D8" w:rsidRDefault="00720ABF" w:rsidP="00FB7C1F">
            <w:pPr>
              <w:jc w:val="center"/>
              <w:rPr>
                <w:sz w:val="18"/>
                <w:szCs w:val="18"/>
              </w:rPr>
            </w:pPr>
            <w:r w:rsidRPr="004C78D8">
              <w:rPr>
                <w:sz w:val="18"/>
                <w:szCs w:val="18"/>
              </w:rPr>
              <w:t>52.9%</w:t>
            </w:r>
          </w:p>
        </w:tc>
        <w:tc>
          <w:tcPr>
            <w:tcW w:w="397" w:type="pct"/>
          </w:tcPr>
          <w:p w14:paraId="0E76481E" w14:textId="77777777" w:rsidR="00720ABF" w:rsidRPr="004C78D8" w:rsidRDefault="00720ABF" w:rsidP="00FB7C1F">
            <w:pPr>
              <w:jc w:val="center"/>
              <w:rPr>
                <w:sz w:val="18"/>
                <w:szCs w:val="18"/>
              </w:rPr>
            </w:pPr>
            <w:r w:rsidRPr="004C78D8">
              <w:rPr>
                <w:sz w:val="18"/>
                <w:szCs w:val="18"/>
              </w:rPr>
              <w:t>40.8%</w:t>
            </w:r>
          </w:p>
        </w:tc>
      </w:tr>
      <w:tr w:rsidR="00720ABF" w:rsidRPr="004C78D8" w14:paraId="2D813D7C" w14:textId="77777777" w:rsidTr="00E35893">
        <w:tc>
          <w:tcPr>
            <w:tcW w:w="236" w:type="pct"/>
          </w:tcPr>
          <w:p w14:paraId="66706827" w14:textId="77777777" w:rsidR="00720ABF" w:rsidRPr="004C78D8" w:rsidRDefault="00720ABF" w:rsidP="00FB7C1F">
            <w:pPr>
              <w:jc w:val="left"/>
              <w:rPr>
                <w:sz w:val="18"/>
                <w:szCs w:val="18"/>
              </w:rPr>
            </w:pPr>
            <w:r w:rsidRPr="004C78D8">
              <w:rPr>
                <w:sz w:val="18"/>
                <w:szCs w:val="18"/>
              </w:rPr>
              <w:t>5</w:t>
            </w:r>
          </w:p>
        </w:tc>
        <w:tc>
          <w:tcPr>
            <w:tcW w:w="1429" w:type="pct"/>
          </w:tcPr>
          <w:p w14:paraId="0158968F" w14:textId="77777777" w:rsidR="00720ABF" w:rsidRPr="004C78D8" w:rsidRDefault="00720ABF" w:rsidP="00FB7C1F">
            <w:pPr>
              <w:jc w:val="left"/>
              <w:rPr>
                <w:sz w:val="18"/>
                <w:szCs w:val="18"/>
              </w:rPr>
            </w:pPr>
            <w:r w:rsidRPr="004C78D8">
              <w:rPr>
                <w:sz w:val="18"/>
                <w:szCs w:val="18"/>
              </w:rPr>
              <w:t>No recurrent non-MA or MA falls history; cognitively intact; mean age 73</w:t>
            </w:r>
          </w:p>
        </w:tc>
        <w:tc>
          <w:tcPr>
            <w:tcW w:w="556" w:type="pct"/>
          </w:tcPr>
          <w:p w14:paraId="3E949F20" w14:textId="6F2D2329" w:rsidR="00720ABF" w:rsidRPr="004C78D8" w:rsidRDefault="00720ABF" w:rsidP="00FB7C1F">
            <w:pPr>
              <w:jc w:val="left"/>
              <w:rPr>
                <w:sz w:val="18"/>
                <w:szCs w:val="18"/>
              </w:rPr>
            </w:pPr>
            <w:r w:rsidRPr="004C78D8">
              <w:rPr>
                <w:sz w:val="18"/>
                <w:szCs w:val="18"/>
              </w:rPr>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rPr>
                <w:sz w:val="18"/>
                <w:szCs w:val="18"/>
              </w:rPr>
              <w:instrText xml:space="preserve"> ADDIN EN.CITE </w:instrText>
            </w:r>
            <w:r w:rsidR="00513646" w:rsidRPr="004C78D8">
              <w:rPr>
                <w:sz w:val="18"/>
                <w:szCs w:val="18"/>
              </w:rPr>
              <w:fldChar w:fldCharType="begin">
                <w:fldData xml:space="preserve">PEVuZE5vdGU+PENpdGU+PEF1dGhvcj5JbGlmZmU8L0F1dGhvcj48WWVhcj4yMDE0PC9ZZWFyPjxS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</w:fldData>
              </w:fldChar>
            </w:r>
            <w:r w:rsidR="00513646" w:rsidRPr="004C78D8">
              <w:rPr>
                <w:sz w:val="18"/>
                <w:szCs w:val="18"/>
              </w:rPr>
              <w:instrText xml:space="preserve"> ADDIN EN.CITE.DATA </w:instrText>
            </w:r>
            <w:r w:rsidR="00513646" w:rsidRPr="004C78D8">
              <w:rPr>
                <w:sz w:val="18"/>
                <w:szCs w:val="18"/>
              </w:rPr>
            </w:r>
            <w:r w:rsidR="00513646" w:rsidRPr="004C78D8">
              <w:rPr>
                <w:sz w:val="18"/>
                <w:szCs w:val="18"/>
              </w:rPr>
              <w:fldChar w:fldCharType="end"/>
            </w:r>
            <w:r w:rsidRPr="004C78D8">
              <w:rPr>
                <w:sz w:val="18"/>
                <w:szCs w:val="18"/>
              </w:rPr>
            </w:r>
            <w:r w:rsidRPr="004C78D8">
              <w:rPr>
                <w:sz w:val="18"/>
                <w:szCs w:val="18"/>
              </w:rPr>
              <w:fldChar w:fldCharType="separate"/>
            </w:r>
            <w:r w:rsidR="00513646" w:rsidRPr="004C78D8">
              <w:rPr>
                <w:noProof/>
                <w:sz w:val="18"/>
                <w:szCs w:val="18"/>
              </w:rPr>
              <w:t>[135]</w:t>
            </w:r>
            <w:r w:rsidRPr="004C78D8">
              <w:rPr>
                <w:sz w:val="18"/>
                <w:szCs w:val="18"/>
              </w:rPr>
              <w:fldChar w:fldCharType="end"/>
            </w:r>
          </w:p>
        </w:tc>
        <w:tc>
          <w:tcPr>
            <w:tcW w:w="1985" w:type="pct"/>
          </w:tcPr>
          <w:p w14:paraId="66A96AC9" w14:textId="77777777" w:rsidR="00720ABF" w:rsidRPr="004C78D8" w:rsidRDefault="00720ABF" w:rsidP="00FB7C1F">
            <w:pPr>
              <w:jc w:val="left"/>
              <w:rPr>
                <w:sz w:val="18"/>
                <w:szCs w:val="18"/>
              </w:rPr>
            </w:pPr>
            <w:r w:rsidRPr="004C78D8">
              <w:rPr>
                <w:sz w:val="18"/>
                <w:szCs w:val="18"/>
              </w:rPr>
              <w:t>Cohort 7 in 20</w:t>
            </w:r>
            <w:r w:rsidRPr="004C78D8">
              <w:rPr>
                <w:sz w:val="18"/>
                <w:szCs w:val="18"/>
                <w:vertAlign w:val="superscript"/>
              </w:rPr>
              <w:t>th</w:t>
            </w:r>
            <w:r w:rsidRPr="004C78D8">
              <w:rPr>
                <w:sz w:val="18"/>
                <w:szCs w:val="18"/>
              </w:rPr>
              <w:t xml:space="preserve"> model cycle without recurrent non-MA or MA falls history; cognitively intact; mean age 73</w:t>
            </w:r>
          </w:p>
        </w:tc>
        <w:tc>
          <w:tcPr>
            <w:tcW w:w="397" w:type="pct"/>
          </w:tcPr>
          <w:p w14:paraId="0C72965C" w14:textId="77777777" w:rsidR="00720ABF" w:rsidRPr="004C78D8" w:rsidRDefault="00720ABF" w:rsidP="00FB7C1F">
            <w:pPr>
              <w:jc w:val="center"/>
              <w:rPr>
                <w:sz w:val="18"/>
                <w:szCs w:val="18"/>
              </w:rPr>
            </w:pPr>
            <w:r w:rsidRPr="004C78D8">
              <w:rPr>
                <w:sz w:val="18"/>
                <w:szCs w:val="18"/>
              </w:rPr>
              <w:t>31.2%</w:t>
            </w:r>
          </w:p>
        </w:tc>
        <w:tc>
          <w:tcPr>
            <w:tcW w:w="397" w:type="pct"/>
          </w:tcPr>
          <w:p w14:paraId="22FF0C22" w14:textId="77777777" w:rsidR="00720ABF" w:rsidRPr="004C78D8" w:rsidRDefault="00720ABF" w:rsidP="00FB7C1F">
            <w:pPr>
              <w:jc w:val="center"/>
              <w:rPr>
                <w:sz w:val="18"/>
                <w:szCs w:val="18"/>
              </w:rPr>
            </w:pPr>
            <w:r w:rsidRPr="004C78D8">
              <w:rPr>
                <w:sz w:val="18"/>
                <w:szCs w:val="18"/>
              </w:rPr>
              <w:t>34.2%</w:t>
            </w:r>
          </w:p>
        </w:tc>
      </w:tr>
      <w:tr w:rsidR="00720ABF" w:rsidRPr="004C78D8" w14:paraId="0B87F486" w14:textId="77777777" w:rsidTr="00E35893">
        <w:tc>
          <w:tcPr>
            <w:tcW w:w="236" w:type="pct"/>
          </w:tcPr>
          <w:p w14:paraId="52207C50" w14:textId="77777777" w:rsidR="00720ABF" w:rsidRPr="004C78D8" w:rsidRDefault="00720ABF" w:rsidP="00FB7C1F">
            <w:pPr>
              <w:jc w:val="left"/>
              <w:rPr>
                <w:sz w:val="18"/>
                <w:szCs w:val="18"/>
              </w:rPr>
            </w:pPr>
            <w:r w:rsidRPr="004C78D8">
              <w:rPr>
                <w:sz w:val="18"/>
                <w:szCs w:val="18"/>
              </w:rPr>
              <w:t>6</w:t>
            </w:r>
          </w:p>
        </w:tc>
        <w:tc>
          <w:tcPr>
            <w:tcW w:w="1429" w:type="pct"/>
          </w:tcPr>
          <w:p w14:paraId="434DE0BB" w14:textId="77777777" w:rsidR="00720ABF" w:rsidRPr="004C78D8" w:rsidRDefault="00720ABF" w:rsidP="00FB7C1F">
            <w:pPr>
              <w:jc w:val="left"/>
              <w:rPr>
                <w:sz w:val="18"/>
                <w:szCs w:val="18"/>
              </w:rPr>
            </w:pPr>
            <w:r w:rsidRPr="004C78D8">
              <w:rPr>
                <w:sz w:val="18"/>
                <w:szCs w:val="18"/>
              </w:rPr>
              <w:t>MA falls history; cognitively impaired; mean age 84</w:t>
            </w:r>
          </w:p>
        </w:tc>
        <w:tc>
          <w:tcPr>
            <w:tcW w:w="556" w:type="pct"/>
          </w:tcPr>
          <w:p w14:paraId="1DB32D58" w14:textId="73F567DF" w:rsidR="00720ABF" w:rsidRPr="004C78D8" w:rsidRDefault="00720ABF"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&lt;EndNote&gt;&lt;Cite&gt;&lt;Author&gt;Shaw&lt;/Author&gt;&lt;Year&gt;2003&lt;/Year&gt;&lt;RecNum&gt;514&lt;/RecNum&gt;&lt;DisplayText&gt;[384]&lt;/DisplayText&gt;&lt;record&gt;&lt;rec-number&gt;514&lt;/rec-number&gt;&lt;foreign-keys&gt;&lt;key app="EN" db-id="tdtrdw9aepptzbefsat599syza29sxsd2wsp" timestamp="1617903616"&gt;514&lt;/key&gt;&lt;/foreign-keys&gt;&lt;ref-type name="Journal Article"&gt;17&lt;/ref-type&gt;&lt;contributors&gt;&lt;authors&gt;&lt;author&gt;Shaw, Fiona E&lt;/author&gt;&lt;author&gt;Bond, John&lt;/author&gt;&lt;author&gt;Richardson, David A&lt;/author&gt;&lt;author&gt;Dawson, Pamela&lt;/author&gt;&lt;author&gt;Steen, I Nicholas&lt;/author&gt;&lt;author&gt;McKeith, Ian G&lt;/author&gt;&lt;author&gt;Kenny, Rose Anne&lt;/author&gt;&lt;/authors&gt;&lt;/contributors&gt;&lt;titles&gt;&lt;title&gt;Multifactorial intervention after a fall in older people with cognitive impairment and dementia presenting to the accident and emergency department: randomised controlled trial&lt;/title&gt;&lt;secondary-title&gt;BMJ: British medical journal&lt;/secondary-title&gt;&lt;/titles&gt;&lt;periodical&gt;&lt;full-title&gt;BMJ: British medical journal&lt;/full-title&gt;&lt;/periodical&gt;&lt;pages&gt;73&lt;/pages&gt;&lt;volume&gt;326&lt;/volume&gt;&lt;number&gt;7380&lt;/number&gt;&lt;dates&gt;&lt;year&gt;2003&lt;/year&gt;&lt;/dates&gt;&lt;urls&gt;&lt;/urls&gt;&lt;/record&gt;&lt;/Cite&gt;&lt;/EndNote&gt;</w:instrText>
            </w:r>
            <w:r w:rsidRPr="004C78D8">
              <w:rPr>
                <w:sz w:val="18"/>
                <w:szCs w:val="18"/>
              </w:rPr>
              <w:fldChar w:fldCharType="separate"/>
            </w:r>
            <w:r w:rsidR="00C630FC" w:rsidRPr="004C78D8">
              <w:rPr>
                <w:noProof/>
                <w:sz w:val="18"/>
                <w:szCs w:val="18"/>
              </w:rPr>
              <w:t>[384]</w:t>
            </w:r>
            <w:r w:rsidRPr="004C78D8">
              <w:rPr>
                <w:sz w:val="18"/>
                <w:szCs w:val="18"/>
              </w:rPr>
              <w:fldChar w:fldCharType="end"/>
            </w:r>
          </w:p>
        </w:tc>
        <w:tc>
          <w:tcPr>
            <w:tcW w:w="1985" w:type="pct"/>
          </w:tcPr>
          <w:p w14:paraId="7DDF406A" w14:textId="77777777" w:rsidR="00720ABF" w:rsidRPr="004C78D8" w:rsidRDefault="00720ABF" w:rsidP="00FB7C1F">
            <w:pPr>
              <w:jc w:val="left"/>
              <w:rPr>
                <w:sz w:val="18"/>
                <w:szCs w:val="18"/>
              </w:rPr>
            </w:pPr>
            <w:r w:rsidRPr="004C78D8">
              <w:rPr>
                <w:sz w:val="18"/>
                <w:szCs w:val="18"/>
              </w:rPr>
              <w:t>Cohort 1 in 20</w:t>
            </w:r>
            <w:r w:rsidRPr="004C78D8">
              <w:rPr>
                <w:sz w:val="18"/>
                <w:szCs w:val="18"/>
                <w:vertAlign w:val="superscript"/>
              </w:rPr>
              <w:t>th</w:t>
            </w:r>
            <w:r w:rsidRPr="004C78D8">
              <w:rPr>
                <w:sz w:val="18"/>
                <w:szCs w:val="18"/>
              </w:rPr>
              <w:t xml:space="preserve"> model cycle with MA falls history; cognitively impaired; mean age 85</w:t>
            </w:r>
          </w:p>
        </w:tc>
        <w:tc>
          <w:tcPr>
            <w:tcW w:w="397" w:type="pct"/>
          </w:tcPr>
          <w:p w14:paraId="78B70C3A" w14:textId="77777777" w:rsidR="00720ABF" w:rsidRPr="004C78D8" w:rsidRDefault="00720ABF" w:rsidP="00FB7C1F">
            <w:pPr>
              <w:jc w:val="center"/>
              <w:rPr>
                <w:sz w:val="18"/>
                <w:szCs w:val="18"/>
              </w:rPr>
            </w:pPr>
            <w:r w:rsidRPr="004C78D8">
              <w:rPr>
                <w:sz w:val="18"/>
                <w:szCs w:val="18"/>
              </w:rPr>
              <w:t>79.9%</w:t>
            </w:r>
          </w:p>
        </w:tc>
        <w:tc>
          <w:tcPr>
            <w:tcW w:w="397" w:type="pct"/>
          </w:tcPr>
          <w:p w14:paraId="215D18AA" w14:textId="77777777" w:rsidR="00720ABF" w:rsidRPr="004C78D8" w:rsidRDefault="00720ABF" w:rsidP="00FB7C1F">
            <w:pPr>
              <w:jc w:val="center"/>
              <w:rPr>
                <w:sz w:val="18"/>
                <w:szCs w:val="18"/>
              </w:rPr>
            </w:pPr>
            <w:r w:rsidRPr="004C78D8">
              <w:rPr>
                <w:sz w:val="18"/>
                <w:szCs w:val="18"/>
              </w:rPr>
              <w:t>60.5%</w:t>
            </w:r>
          </w:p>
        </w:tc>
      </w:tr>
      <w:tr w:rsidR="00720ABF" w:rsidRPr="004C78D8" w14:paraId="4CF22303" w14:textId="77777777" w:rsidTr="00E35893">
        <w:tc>
          <w:tcPr>
            <w:tcW w:w="236" w:type="pct"/>
          </w:tcPr>
          <w:p w14:paraId="79BC6615" w14:textId="77777777" w:rsidR="00720ABF" w:rsidRPr="004C78D8" w:rsidRDefault="00720ABF" w:rsidP="00FB7C1F">
            <w:pPr>
              <w:jc w:val="left"/>
              <w:rPr>
                <w:sz w:val="18"/>
                <w:szCs w:val="18"/>
              </w:rPr>
            </w:pPr>
            <w:r w:rsidRPr="004C78D8">
              <w:rPr>
                <w:sz w:val="18"/>
                <w:szCs w:val="18"/>
              </w:rPr>
              <w:t>7</w:t>
            </w:r>
          </w:p>
        </w:tc>
        <w:tc>
          <w:tcPr>
            <w:tcW w:w="1429" w:type="pct"/>
          </w:tcPr>
          <w:p w14:paraId="4BA536AE" w14:textId="77777777" w:rsidR="00720ABF" w:rsidRPr="004C78D8" w:rsidRDefault="00720ABF" w:rsidP="00FB7C1F">
            <w:pPr>
              <w:jc w:val="left"/>
              <w:rPr>
                <w:sz w:val="18"/>
                <w:szCs w:val="18"/>
              </w:rPr>
            </w:pPr>
            <w:r w:rsidRPr="004C78D8">
              <w:rPr>
                <w:sz w:val="18"/>
                <w:szCs w:val="18"/>
              </w:rPr>
              <w:t>All falls histories; cognitively impaired; mean age 78</w:t>
            </w:r>
          </w:p>
        </w:tc>
        <w:tc>
          <w:tcPr>
            <w:tcW w:w="556" w:type="pct"/>
          </w:tcPr>
          <w:p w14:paraId="1C2F7F37" w14:textId="62F3A845" w:rsidR="00720ABF" w:rsidRPr="004C78D8" w:rsidRDefault="00720ABF"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&lt;EndNote&gt;&lt;Cite&gt;&lt;Author&gt;Nyman&lt;/Author&gt;&lt;Year&gt;2019&lt;/Year&gt;&lt;RecNum&gt;281&lt;/RecNum&gt;&lt;DisplayText&gt;[235]&lt;/DisplayText&gt;&lt;record&gt;&lt;rec-number&gt;281&lt;/rec-number&gt;&lt;foreign-keys&gt;&lt;key app="EN" db-id="tdtrdw9aepptzbefsat599syza29sxsd2wsp" timestamp="1611699160"&gt;281&lt;/key&gt;&lt;/foreign-keys&gt;&lt;ref-type name="Journal Article"&gt;17&lt;/ref-type&gt;&lt;contributors&gt;&lt;authors&gt;&lt;author&gt;Nyman, Samuel R&lt;/author&gt;&lt;author&gt;Ingram, Wendy&lt;/author&gt;&lt;author&gt;Sanders, Jeanette&lt;/author&gt;&lt;author&gt;Thomas, Peter W&lt;/author&gt;&lt;author&gt;Thomas, Sarah&lt;/author&gt;&lt;author&gt;Vassallo, Michael&lt;/author&gt;&lt;author&gt;Raftery, James&lt;/author&gt;&lt;author&gt;Bibi, Iram&lt;/author&gt;&lt;author&gt;Barrado-Martín, Yolanda&lt;/author&gt;&lt;/authors&gt;&lt;/contributors&gt;&lt;titles&gt;&lt;title&gt;Randomised controlled trial of the effect of Tai Chi on postural balance of people with dementia&lt;/title&gt;&lt;secondary-title&gt;Clinical interventions in aging&lt;/secondary-title&gt;&lt;/titles&gt;&lt;periodical&gt;&lt;full-title&gt;Clin Interv Aging&lt;/full-title&gt;&lt;abbr-1&gt;Clinical interventions in aging&lt;/abbr-1&gt;&lt;/periodical&gt;&lt;pages&gt;2017&lt;/pages&gt;&lt;volume&gt;14&lt;/volume&gt;&lt;dates&gt;&lt;year&gt;2019&lt;/year&gt;&lt;/dates&gt;&lt;urls&gt;&lt;/urls&gt;&lt;/record&gt;&lt;/Cite&gt;&lt;/EndNote&gt;</w:instrText>
            </w:r>
            <w:r w:rsidRPr="004C78D8">
              <w:rPr>
                <w:sz w:val="18"/>
                <w:szCs w:val="18"/>
              </w:rPr>
              <w:fldChar w:fldCharType="separate"/>
            </w:r>
            <w:r w:rsidR="00C630FC" w:rsidRPr="004C78D8">
              <w:rPr>
                <w:noProof/>
                <w:sz w:val="18"/>
                <w:szCs w:val="18"/>
              </w:rPr>
              <w:t>[235]</w:t>
            </w:r>
            <w:r w:rsidRPr="004C78D8">
              <w:rPr>
                <w:sz w:val="18"/>
                <w:szCs w:val="18"/>
              </w:rPr>
              <w:fldChar w:fldCharType="end"/>
            </w:r>
          </w:p>
        </w:tc>
        <w:tc>
          <w:tcPr>
            <w:tcW w:w="1985" w:type="pct"/>
          </w:tcPr>
          <w:p w14:paraId="653017D3" w14:textId="77777777" w:rsidR="00720ABF" w:rsidRPr="004C78D8" w:rsidRDefault="00720ABF" w:rsidP="00FB7C1F">
            <w:pPr>
              <w:jc w:val="left"/>
              <w:rPr>
                <w:sz w:val="18"/>
                <w:szCs w:val="18"/>
              </w:rPr>
            </w:pPr>
            <w:r w:rsidRPr="004C78D8">
              <w:rPr>
                <w:sz w:val="18"/>
                <w:szCs w:val="18"/>
              </w:rPr>
              <w:t>Cohort 2 in 20</w:t>
            </w:r>
            <w:r w:rsidRPr="004C78D8">
              <w:rPr>
                <w:sz w:val="18"/>
                <w:szCs w:val="18"/>
                <w:vertAlign w:val="superscript"/>
              </w:rPr>
              <w:t>th</w:t>
            </w:r>
            <w:r w:rsidRPr="004C78D8">
              <w:rPr>
                <w:sz w:val="18"/>
                <w:szCs w:val="18"/>
              </w:rPr>
              <w:t xml:space="preserve"> model cycle; cognitively impaired; mean age 78</w:t>
            </w:r>
          </w:p>
        </w:tc>
        <w:tc>
          <w:tcPr>
            <w:tcW w:w="397" w:type="pct"/>
          </w:tcPr>
          <w:p w14:paraId="010EF85C" w14:textId="77777777" w:rsidR="00720ABF" w:rsidRPr="004C78D8" w:rsidRDefault="00720ABF" w:rsidP="00FB7C1F">
            <w:pPr>
              <w:jc w:val="center"/>
              <w:rPr>
                <w:sz w:val="18"/>
                <w:szCs w:val="18"/>
              </w:rPr>
            </w:pPr>
            <w:r w:rsidRPr="004C78D8">
              <w:rPr>
                <w:sz w:val="18"/>
                <w:szCs w:val="18"/>
              </w:rPr>
              <w:t>47.0%</w:t>
            </w:r>
          </w:p>
        </w:tc>
        <w:tc>
          <w:tcPr>
            <w:tcW w:w="397" w:type="pct"/>
          </w:tcPr>
          <w:p w14:paraId="365A9AD1" w14:textId="77777777" w:rsidR="00720ABF" w:rsidRPr="004C78D8" w:rsidRDefault="00720ABF" w:rsidP="00FB7C1F">
            <w:pPr>
              <w:jc w:val="center"/>
              <w:rPr>
                <w:sz w:val="18"/>
                <w:szCs w:val="18"/>
              </w:rPr>
            </w:pPr>
            <w:r w:rsidRPr="004C78D8">
              <w:rPr>
                <w:sz w:val="18"/>
                <w:szCs w:val="18"/>
              </w:rPr>
              <w:t>42.0%</w:t>
            </w:r>
          </w:p>
        </w:tc>
      </w:tr>
      <w:tr w:rsidR="00720ABF" w:rsidRPr="004C78D8" w14:paraId="05A827E6" w14:textId="77777777" w:rsidTr="00E35893">
        <w:tc>
          <w:tcPr>
            <w:tcW w:w="5000" w:type="pct"/>
            <w:gridSpan w:val="6"/>
          </w:tcPr>
          <w:p w14:paraId="0035FC4A" w14:textId="4B9B6EFA" w:rsidR="00720ABF" w:rsidRPr="004C78D8" w:rsidRDefault="00D10D5E" w:rsidP="00FB7C1F">
            <w:pPr>
              <w:jc w:val="left"/>
              <w:rPr>
                <w:sz w:val="18"/>
                <w:szCs w:val="18"/>
              </w:rPr>
            </w:pPr>
            <w:r w:rsidRPr="004C78D8">
              <w:rPr>
                <w:b/>
                <w:bCs/>
                <w:sz w:val="18"/>
                <w:szCs w:val="18"/>
              </w:rPr>
              <w:t>Abbreviation</w:t>
            </w:r>
            <w:r w:rsidR="00720ABF" w:rsidRPr="004C78D8">
              <w:rPr>
                <w:b/>
                <w:bCs/>
                <w:sz w:val="18"/>
                <w:szCs w:val="18"/>
              </w:rPr>
              <w:t>:</w:t>
            </w:r>
            <w:r w:rsidR="00720ABF" w:rsidRPr="004C78D8">
              <w:rPr>
                <w:sz w:val="18"/>
                <w:szCs w:val="18"/>
              </w:rPr>
              <w:t xml:space="preserve"> MA fall: fall requiring medical attention; RCT: randomised controlled trial</w:t>
            </w:r>
          </w:p>
          <w:p w14:paraId="321C6053" w14:textId="77777777" w:rsidR="00720ABF" w:rsidRPr="004C78D8" w:rsidRDefault="00720ABF" w:rsidP="00FB7C1F">
            <w:pPr>
              <w:jc w:val="left"/>
              <w:rPr>
                <w:sz w:val="20"/>
                <w:szCs w:val="20"/>
              </w:rPr>
            </w:pPr>
            <w:r w:rsidRPr="004C78D8">
              <w:rPr>
                <w:sz w:val="18"/>
                <w:szCs w:val="18"/>
                <w:vertAlign w:val="superscript"/>
              </w:rPr>
              <w:t>1</w:t>
            </w:r>
            <w:r w:rsidRPr="004C78D8">
              <w:rPr>
                <w:sz w:val="18"/>
                <w:szCs w:val="18"/>
              </w:rPr>
              <w:t xml:space="preserve"> Falls data for the control group were recorded prospectively at high frequency (e.g., weekly).</w:t>
            </w:r>
          </w:p>
        </w:tc>
      </w:tr>
    </w:tbl>
    <w:p w14:paraId="1F0F58F4" w14:textId="77777777" w:rsidR="00720ABF" w:rsidRPr="004C78D8" w:rsidRDefault="00720ABF" w:rsidP="00FB7C1F"/>
    <w:p w14:paraId="7D8E165B" w14:textId="62BA59D6" w:rsidR="007F03CE" w:rsidRPr="004C78D8" w:rsidRDefault="00720ABF" w:rsidP="00FB7C1F">
      <w:r w:rsidRPr="004C78D8">
        <w:t xml:space="preserve">Concerning (2), Hazra and colleagues reported the average annual all-cause cost of primary and secondary healthcare in the UK for persons aged 80+ </w:t>
      </w:r>
      <w:r w:rsidRPr="004C78D8">
        <w:fldChar w:fldCharType="begin"/>
      </w:r>
      <w:r w:rsidR="00C630FC" w:rsidRPr="004C78D8">
        <w:instrText xml:space="preserve"> ADDIN EN.CITE &lt;EndNote&gt;&lt;Cite&gt;&lt;Author&gt;Hazra&lt;/Author&gt;&lt;Year&gt;2018&lt;/Year&gt;&lt;RecNum&gt;688&lt;/RecNum&gt;&lt;DisplayText&gt;[258]&lt;/DisplayText&gt;&lt;record&gt;&lt;rec-number&gt;688&lt;/rec-number&gt;&lt;foreign-keys&gt;&lt;key app="EN" db-id="tdtrdw9aepptzbefsat599syza29sxsd2wsp" timestamp="1629310484"&gt;688&lt;/key&gt;&lt;/foreign-keys&gt;&lt;ref-type name="Journal Article"&gt;17&lt;/ref-type&gt;&lt;contributors&gt;&lt;authors&gt;&lt;author&gt;Hazra, Nisha C&lt;/author&gt;&lt;author&gt;Rudisill, Caroline&lt;/author&gt;&lt;author&gt;Gulliford, Martin C&lt;/author&gt;&lt;/authors&gt;&lt;/contributors&gt;&lt;titles&gt;&lt;title&gt;Determinants of health care costs in the senior elderly: age, comorbidity, impairment, or proximity to death?&lt;/title&gt;&lt;secondary-title&gt;The European Journal of Health Economics&lt;/secondary-title&gt;&lt;/titles&gt;&lt;periodical&gt;&lt;full-title&gt;The European Journal of Health Economics&lt;/full-title&gt;&lt;/periodical&gt;&lt;pages&gt;831-842&lt;/pages&gt;&lt;volume&gt;19&lt;/volume&gt;&lt;number&gt;6&lt;/number&gt;&lt;dates&gt;&lt;year&gt;2018&lt;/year&gt;&lt;/dates&gt;&lt;isbn&gt;1618-7601&lt;/isbn&gt;&lt;urls&gt;&lt;/urls&gt;&lt;/record&gt;&lt;/Cite&gt;&lt;/EndNote&gt;</w:instrText>
      </w:r>
      <w:r w:rsidRPr="004C78D8">
        <w:fldChar w:fldCharType="separate"/>
      </w:r>
      <w:r w:rsidR="00C630FC" w:rsidRPr="004C78D8">
        <w:rPr>
          <w:noProof/>
        </w:rPr>
        <w:t>[258]</w:t>
      </w:r>
      <w:r w:rsidRPr="004C78D8">
        <w:fldChar w:fldCharType="end"/>
      </w:r>
      <w:r w:rsidRPr="004C78D8">
        <w:t>. Inflated to 2021/22 prices, the costs were £4,115 per person for ages 80-84, £4,609 for age 85-89 and £4,475 for ages 90+ years. The corresponding model predictions for the 20</w:t>
      </w:r>
      <w:r w:rsidRPr="004C78D8">
        <w:rPr>
          <w:vertAlign w:val="superscript"/>
        </w:rPr>
        <w:t>th</w:t>
      </w:r>
      <w:r w:rsidRPr="004C78D8">
        <w:t xml:space="preserve"> cycle (fall-related and comorbidity primary and secondary healthcare cost without discounting) were £4,</w:t>
      </w:r>
      <w:r w:rsidR="00062EE4" w:rsidRPr="004C78D8">
        <w:t>137</w:t>
      </w:r>
      <w:r w:rsidRPr="004C78D8">
        <w:t>, £4,</w:t>
      </w:r>
      <w:r w:rsidR="00992563" w:rsidRPr="004C78D8">
        <w:t>390</w:t>
      </w:r>
      <w:r w:rsidRPr="004C78D8">
        <w:t xml:space="preserve"> and £4,</w:t>
      </w:r>
      <w:r w:rsidR="00BD5A58" w:rsidRPr="004C78D8">
        <w:t>977</w:t>
      </w:r>
      <w:r w:rsidRPr="004C78D8">
        <w:t>. Hence, the model underpredicted the healthcare costs for those aged 8</w:t>
      </w:r>
      <w:r w:rsidR="00956BE0" w:rsidRPr="004C78D8">
        <w:t>5</w:t>
      </w:r>
      <w:r w:rsidRPr="004C78D8">
        <w:t xml:space="preserve">-89 and overpredicted them </w:t>
      </w:r>
      <w:r w:rsidR="00956BE0" w:rsidRPr="004C78D8">
        <w:t xml:space="preserve">by around 10% </w:t>
      </w:r>
      <w:r w:rsidRPr="004C78D8">
        <w:t>for those aged 90+. The total annual healthcare cost (for primary, secondary, community and NHS-funded nursing home care) for the model population aged 60+ in the 20</w:t>
      </w:r>
      <w:r w:rsidRPr="004C78D8">
        <w:rPr>
          <w:vertAlign w:val="superscript"/>
        </w:rPr>
        <w:t>th</w:t>
      </w:r>
      <w:r w:rsidRPr="004C78D8">
        <w:t xml:space="preserve"> cycle was around £</w:t>
      </w:r>
      <w:r w:rsidR="00292BC1" w:rsidRPr="004C78D8">
        <w:t>431</w:t>
      </w:r>
      <w:r w:rsidRPr="004C78D8">
        <w:t xml:space="preserve"> million, which is around half of the £800 million annual budget of Sheffield CCG (personal communication with PHP). This figure, whilst plausible, is hard to verify since the CCG spending decisions are not delineated by age groups.</w:t>
      </w:r>
    </w:p>
    <w:p w14:paraId="2AD45D89" w14:textId="2D5A6437" w:rsidR="00720ABF" w:rsidRPr="004C78D8" w:rsidRDefault="003C2ACF" w:rsidP="00FB7C1F">
      <w:r w:rsidRPr="004C78D8">
        <w:t xml:space="preserve">Concerning (3), the PHE model had used </w:t>
      </w:r>
      <w:r w:rsidR="00DA0E9B" w:rsidRPr="004C78D8">
        <w:t>HES data</w:t>
      </w:r>
      <w:r w:rsidRPr="004C78D8">
        <w:t xml:space="preserve"> to estimate the primary and secondary healthcare costs of falls which </w:t>
      </w:r>
      <w:r w:rsidR="00423796" w:rsidRPr="004C78D8">
        <w:t>were deemed</w:t>
      </w:r>
      <w:r w:rsidRPr="004C78D8">
        <w:t xml:space="preserve"> representative of UK </w:t>
      </w:r>
      <w:r w:rsidR="00423796" w:rsidRPr="004C78D8">
        <w:t xml:space="preserve">local </w:t>
      </w:r>
      <w:r w:rsidRPr="004C78D8">
        <w:t xml:space="preserve">health economies </w:t>
      </w:r>
      <w:r w:rsidR="00423796" w:rsidRPr="004C78D8">
        <w:t xml:space="preserve">by the model’s Steering Group </w:t>
      </w:r>
      <w:r w:rsidRPr="004C78D8">
        <w:fldChar w:fldCharType="begin"/>
      </w:r>
      <w:r w:rsidR="00C630FC" w:rsidRPr="004C78D8">
        <w:instrText xml:space="preserve"> ADDIN EN.CITE &lt;EndNote&gt;&lt;Cite&gt;&lt;Author&gt;Public Health England&lt;/Author&gt;&lt;Year&gt;2018&lt;/Year&gt;&lt;RecNum&gt;305&lt;/RecNum&gt;&lt;DisplayText&gt;[216]&lt;/DisplayText&gt;&lt;record&gt;&lt;rec-number&gt;305&lt;/rec-number&gt;&lt;foreign-keys&gt;&lt;key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Pr="004C78D8">
        <w:fldChar w:fldCharType="separate"/>
      </w:r>
      <w:r w:rsidR="00C630FC" w:rsidRPr="004C78D8">
        <w:rPr>
          <w:noProof/>
        </w:rPr>
        <w:t>[216]</w:t>
      </w:r>
      <w:r w:rsidRPr="004C78D8">
        <w:fldChar w:fldCharType="end"/>
      </w:r>
      <w:r w:rsidR="00423796" w:rsidRPr="004C78D8">
        <w:t>.</w:t>
      </w:r>
      <w:r w:rsidRPr="004C78D8">
        <w:t xml:space="preserve"> </w:t>
      </w:r>
      <w:r w:rsidR="00784D82" w:rsidRPr="004C78D8">
        <w:t>For Sheffield, the PHE model predicted a two-year fall-related primary and secondary healthcare cost of £7.9 million for 6,300 persons aged 65+</w:t>
      </w:r>
      <w:r w:rsidR="005B6FF5" w:rsidRPr="004C78D8">
        <w:t xml:space="preserve"> under usual care</w:t>
      </w:r>
      <w:r w:rsidR="00784D82" w:rsidRPr="004C78D8">
        <w:t xml:space="preserve">. The latter </w:t>
      </w:r>
      <w:r w:rsidR="005B6FF5" w:rsidRPr="004C78D8">
        <w:t xml:space="preserve">were a subgroup (20%) of fallers who would take up the prescribed exercise if offered; the fallers in turn comprised 34% of the Sheffield population aged 65+. Halving the £7.9 million to obtain the one-year cost and using the ELSA prevalence of falls among those aged 60-64, the estimated annual cost for Sheffield population aged 60+ was around £23.1 million. In comparison, the </w:t>
      </w:r>
      <w:r w:rsidR="00E135CA" w:rsidRPr="004C78D8">
        <w:t xml:space="preserve">current </w:t>
      </w:r>
      <w:r w:rsidR="005B6FF5" w:rsidRPr="004C78D8">
        <w:t>model predicted total primary and secondary healthcare cost of £20.3 million in the first model cycle</w:t>
      </w:r>
      <w:r w:rsidR="00EC5981" w:rsidRPr="004C78D8">
        <w:t xml:space="preserve"> when the model population size is similar to that in the PHE model</w:t>
      </w:r>
      <w:r w:rsidR="005B6FF5" w:rsidRPr="004C78D8">
        <w:t xml:space="preserve">. </w:t>
      </w:r>
      <w:r w:rsidR="00590D96" w:rsidRPr="004C78D8">
        <w:t xml:space="preserve">Over the 40-year horizon under </w:t>
      </w:r>
      <w:r w:rsidR="00DA0E9B" w:rsidRPr="004C78D8">
        <w:t>UC</w:t>
      </w:r>
      <w:r w:rsidR="00590D96" w:rsidRPr="004C78D8">
        <w:t>, the total discounted fall-related healthcare cost amounted to £65</w:t>
      </w:r>
      <w:r w:rsidR="006E748D" w:rsidRPr="004C78D8">
        <w:t>8</w:t>
      </w:r>
      <w:r w:rsidR="00590D96" w:rsidRPr="004C78D8">
        <w:t>.</w:t>
      </w:r>
      <w:r w:rsidR="006E748D" w:rsidRPr="004C78D8">
        <w:t>5</w:t>
      </w:r>
      <w:r w:rsidR="00590D96" w:rsidRPr="004C78D8">
        <w:t xml:space="preserve"> million out of £10,0</w:t>
      </w:r>
      <w:r w:rsidR="006E748D" w:rsidRPr="004C78D8">
        <w:t>58</w:t>
      </w:r>
      <w:r w:rsidR="00590D96" w:rsidRPr="004C78D8">
        <w:t xml:space="preserve"> million all-cause public sector cost, or </w:t>
      </w:r>
      <w:r w:rsidR="00157481" w:rsidRPr="004C78D8">
        <w:t>6.5%.</w:t>
      </w:r>
      <w:r w:rsidR="004E19C5" w:rsidRPr="004C78D8">
        <w:t xml:space="preserve"> It is difficult to verify this proportion, but it can be noted that according to </w:t>
      </w:r>
      <w:r w:rsidR="00DA0E9B" w:rsidRPr="004C78D8">
        <w:t>G</w:t>
      </w:r>
      <w:r w:rsidR="001F175C" w:rsidRPr="004C78D8">
        <w:t>BD</w:t>
      </w:r>
      <w:r w:rsidR="00DA0E9B" w:rsidRPr="004C78D8">
        <w:t xml:space="preserve"> 2019</w:t>
      </w:r>
      <w:r w:rsidR="004E19C5" w:rsidRPr="004C78D8">
        <w:t>, falls contributed 6.23% of total years lived with disability in England in 2019</w:t>
      </w:r>
      <w:r w:rsidR="0046548E" w:rsidRPr="004C78D8">
        <w:t xml:space="preserve"> for those aged 70+</w:t>
      </w:r>
      <w:r w:rsidR="004E19C5" w:rsidRPr="004C78D8">
        <w:t xml:space="preserve"> </w:t>
      </w:r>
      <w:r w:rsidR="004E19C5" w:rsidRPr="004C78D8">
        <w:fldChar w:fldCharType="begin"/>
      </w:r>
      <w:r w:rsidR="00C630FC" w:rsidRPr="004C78D8">
        <w:instrText xml:space="preserve"> ADDIN EN.CITE &lt;EndNote&gt;&lt;Cite&gt;&lt;Author&gt;Institute for Health Metrics and Evaluation&lt;/Author&gt;&lt;Year&gt;2020&lt;/Year&gt;&lt;RecNum&gt;155&lt;/RecNum&gt;&lt;DisplayText&gt;[408]&lt;/DisplayText&gt;&lt;record&gt;&lt;rec-number&gt;155&lt;/rec-number&gt;&lt;foreign-keys&gt;&lt;key app="EN" db-id="tdtrdw9aepptzbefsat599syza29sxsd2wsp" timestamp="1605523009"&gt;155&lt;/key&gt;&lt;/foreign-keys&gt;&lt;ref-type name="Web Page"&gt;12&lt;/ref-type&gt;&lt;contributors&gt;&lt;authors&gt;&lt;author&gt;Institute for Health Metrics and Evaluation,&lt;/author&gt;&lt;/authors&gt;&lt;/contributors&gt;&lt;titles&gt;&lt;title&gt;GBD Compare Data Visualization&lt;/title&gt;&lt;/titles&gt;&lt;pages&gt;Available from http://vizhub.healthdata.org/gbd-compare&lt;/pages&gt;&lt;number&gt;Accessed 2020.11.16&lt;/number&gt;&lt;dates&gt;&lt;year&gt;2020&lt;/year&gt;&lt;/dates&gt;&lt;pub-location&gt;Seattle, WA: IHME, University of Washington&lt;/pub-location&gt;&lt;urls&gt;&lt;/urls&gt;&lt;/record&gt;&lt;/Cite&gt;&lt;/EndNote&gt;</w:instrText>
      </w:r>
      <w:r w:rsidR="004E19C5" w:rsidRPr="004C78D8">
        <w:fldChar w:fldCharType="separate"/>
      </w:r>
      <w:r w:rsidR="00C630FC" w:rsidRPr="004C78D8">
        <w:rPr>
          <w:noProof/>
        </w:rPr>
        <w:t>[408]</w:t>
      </w:r>
      <w:r w:rsidR="004E19C5" w:rsidRPr="004C78D8">
        <w:fldChar w:fldCharType="end"/>
      </w:r>
      <w:r w:rsidR="004E19C5" w:rsidRPr="004C78D8">
        <w:t>. If healthcare costs</w:t>
      </w:r>
      <w:r w:rsidR="00A65A3D" w:rsidRPr="004C78D8">
        <w:t xml:space="preserve"> are proportional to the disability burden, </w:t>
      </w:r>
      <w:r w:rsidR="00FF47C1" w:rsidRPr="004C78D8">
        <w:t>the proportion of 6.5% is a high yet plausible figure</w:t>
      </w:r>
      <w:r w:rsidR="00A65A3D" w:rsidRPr="004C78D8">
        <w:t>.</w:t>
      </w:r>
    </w:p>
    <w:p w14:paraId="301522E4" w14:textId="6F4CE5F0" w:rsidR="00720ABF" w:rsidRPr="004C78D8" w:rsidRDefault="00720ABF" w:rsidP="00FB7C1F">
      <w:r w:rsidRPr="004C78D8">
        <w:t>Concerning (</w:t>
      </w:r>
      <w:r w:rsidR="007F03CE" w:rsidRPr="004C78D8">
        <w:t>4</w:t>
      </w:r>
      <w:r w:rsidRPr="004C78D8">
        <w:t>), the average life expectancy for those aged 65 at model baseline was 16.8 years for men and 18.7 for women</w:t>
      </w:r>
      <w:r w:rsidR="00B71720" w:rsidRPr="004C78D8">
        <w:t xml:space="preserve"> (including the average 2.5 years spent in LTC for those admitted)</w:t>
      </w:r>
      <w:r w:rsidRPr="004C78D8">
        <w:t xml:space="preserve">. By comparison, the ONS estimates using 2017-19 data were 18.8 years for men and 21.1 for women </w:t>
      </w:r>
      <w:r w:rsidRPr="004C78D8">
        <w:fldChar w:fldCharType="begin"/>
      </w:r>
      <w:r w:rsidR="00C630FC" w:rsidRPr="004C78D8">
        <w:instrText xml:space="preserve"> ADDIN EN.CITE &lt;EndNote&gt;&lt;Cite&gt;&lt;Author&gt;Office for National Statistics&lt;/Author&gt;&lt;Year&gt;2020&lt;/Year&gt;&lt;RecNum&gt;689&lt;/RecNum&gt;&lt;DisplayText&gt;[413]&lt;/DisplayText&gt;&lt;record&gt;&lt;rec-number&gt;689&lt;/rec-number&gt;&lt;foreign-keys&gt;&lt;key app="EN" db-id="tdtrdw9aepptzbefsat599syza29sxsd2wsp" timestamp="1629315252"&gt;689&lt;/key&gt;&lt;/foreign-keys&gt;&lt;ref-type name="Web Page"&gt;12&lt;/ref-type&gt;&lt;contributors&gt;&lt;authors&gt;&lt;author&gt;Office for National Statistics,&lt;/author&gt;&lt;/authors&gt;&lt;secondary-authors&gt;&lt;author&gt;Office for National Statistics&lt;/author&gt;&lt;/secondary-authors&gt;&lt;/contributors&gt;&lt;titles&gt;&lt;title&gt;National life tables - life expectancy in the UK: 2017 to 2019&lt;/title&gt;&lt;/titles&gt;&lt;dates&gt;&lt;year&gt;2020&lt;/year&gt;&lt;pub-dates&gt;&lt;date&gt;24 September 2020&lt;/date&gt;&lt;/pub-dates&gt;&lt;/dates&gt;&lt;urls&gt;&lt;related-urls&gt;&lt;url&gt;https://www.ons.gov.uk/peoplepopulationandcommunity/birthsdeathsandmarriages/lifeexpectancies/bulletins/nationallifetablesunitedkingdom/2017to2019&lt;/url&gt;&lt;/related-urls&gt;&lt;/urls&gt;&lt;/record&gt;&lt;/Cite&gt;&lt;/EndNote&gt;</w:instrText>
      </w:r>
      <w:r w:rsidRPr="004C78D8">
        <w:fldChar w:fldCharType="separate"/>
      </w:r>
      <w:r w:rsidR="00C630FC" w:rsidRPr="004C78D8">
        <w:rPr>
          <w:noProof/>
        </w:rPr>
        <w:t>[413]</w:t>
      </w:r>
      <w:r w:rsidRPr="004C78D8">
        <w:fldChar w:fldCharType="end"/>
      </w:r>
      <w:r w:rsidRPr="004C78D8">
        <w:t xml:space="preserve">. Hence, the model underpredicts the life expectancy by around two years. This could be partly attributed to the use of ELSA Wave 4 (year 2008) data; between 2008 and 2019 the life expectancy from age 65 improved by around one year for men and women </w:t>
      </w:r>
      <w:r w:rsidRPr="004C78D8">
        <w:fldChar w:fldCharType="begin"/>
      </w:r>
      <w:r w:rsidR="00C630FC" w:rsidRPr="004C78D8">
        <w:instrText xml:space="preserve"> ADDIN EN.CITE &lt;EndNote&gt;&lt;Cite&gt;&lt;Author&gt;Office for National Statistics&lt;/Author&gt;&lt;Year&gt;2020&lt;/Year&gt;&lt;RecNum&gt;689&lt;/RecNum&gt;&lt;DisplayText&gt;[413]&lt;/DisplayText&gt;&lt;record&gt;&lt;rec-number&gt;689&lt;/rec-number&gt;&lt;foreign-keys&gt;&lt;key app="EN" db-id="tdtrdw9aepptzbefsat599syza29sxsd2wsp" timestamp="1629315252"&gt;689&lt;/key&gt;&lt;/foreign-keys&gt;&lt;ref-type name="Web Page"&gt;12&lt;/ref-type&gt;&lt;contributors&gt;&lt;authors&gt;&lt;author&gt;Office for National Statistics,&lt;/author&gt;&lt;/authors&gt;&lt;secondary-authors&gt;&lt;author&gt;Office for National Statistics&lt;/author&gt;&lt;/secondary-authors&gt;&lt;/contributors&gt;&lt;titles&gt;&lt;title&gt;National life tables - life expectancy in the UK: 2017 to 2019&lt;/title&gt;&lt;/titles&gt;&lt;dates&gt;&lt;year&gt;2020&lt;/year&gt;&lt;pub-dates&gt;&lt;date&gt;24 September 2020&lt;/date&gt;&lt;/pub-dates&gt;&lt;/dates&gt;&lt;urls&gt;&lt;related-urls&gt;&lt;url&gt;https://www.ons.gov.uk/peoplepopulationandcommunity/birthsdeathsandmarriages/lifeexpectancies/bulletins/nationallifetablesunitedkingdom/2017to2019&lt;/url&gt;&lt;/related-urls&gt;&lt;/urls&gt;&lt;/record&gt;&lt;/Cite&gt;&lt;/EndNote&gt;</w:instrText>
      </w:r>
      <w:r w:rsidRPr="004C78D8">
        <w:fldChar w:fldCharType="separate"/>
      </w:r>
      <w:r w:rsidR="00C630FC" w:rsidRPr="004C78D8">
        <w:rPr>
          <w:noProof/>
        </w:rPr>
        <w:t>[413]</w:t>
      </w:r>
      <w:r w:rsidRPr="004C78D8">
        <w:fldChar w:fldCharType="end"/>
      </w:r>
      <w:r w:rsidRPr="004C78D8">
        <w:t xml:space="preserve">. Nevertheless, the discrepancy motivates the analysis of an alternative scenario </w:t>
      </w:r>
      <w:r w:rsidR="003232AF" w:rsidRPr="004C78D8">
        <w:t>involving</w:t>
      </w:r>
      <w:r w:rsidRPr="004C78D8">
        <w:t xml:space="preserve"> mortality risks to assess the</w:t>
      </w:r>
      <w:r w:rsidR="003232AF" w:rsidRPr="004C78D8">
        <w:t>ir</w:t>
      </w:r>
      <w:r w:rsidRPr="004C78D8">
        <w:t xml:space="preserve"> impact on outcomes (see Section </w:t>
      </w:r>
      <w:r w:rsidR="002131FC" w:rsidRPr="004C78D8">
        <w:t>5</w:t>
      </w:r>
      <w:r w:rsidR="00572C6D" w:rsidRPr="004C78D8">
        <w:t>.</w:t>
      </w:r>
      <w:r w:rsidR="00DD2F27" w:rsidRPr="004C78D8">
        <w:t>4</w:t>
      </w:r>
      <w:r w:rsidR="00572C6D" w:rsidRPr="004C78D8">
        <w:t>.</w:t>
      </w:r>
      <w:r w:rsidR="00DD2F27" w:rsidRPr="004C78D8">
        <w:t>2.</w:t>
      </w:r>
      <w:r w:rsidR="001F175C" w:rsidRPr="004C78D8">
        <w:t>2</w:t>
      </w:r>
      <w:r w:rsidRPr="004C78D8">
        <w:t>).</w:t>
      </w:r>
    </w:p>
    <w:p w14:paraId="144A89F2" w14:textId="648DA442" w:rsidR="000F1633" w:rsidRPr="004C78D8" w:rsidRDefault="000F1633" w:rsidP="00FB7C1F"/>
    <w:p w14:paraId="28E37170" w14:textId="741E2DB5" w:rsidR="00FC6CDF" w:rsidRPr="004C78D8" w:rsidRDefault="002131FC" w:rsidP="00FB7C1F">
      <w:pPr>
        <w:pStyle w:val="Heading2"/>
      </w:pPr>
      <w:bookmarkStart w:id="163" w:name="_Toc93566887"/>
      <w:bookmarkStart w:id="164" w:name="_Toc111630784"/>
      <w:r w:rsidRPr="004C78D8">
        <w:t>5</w:t>
      </w:r>
      <w:r w:rsidR="006153C0" w:rsidRPr="004C78D8">
        <w:t>.</w:t>
      </w:r>
      <w:r w:rsidR="00332ADA" w:rsidRPr="004C78D8">
        <w:t>4</w:t>
      </w:r>
      <w:r w:rsidR="006153C0" w:rsidRPr="004C78D8">
        <w:t xml:space="preserve"> Model evaluation methods</w:t>
      </w:r>
      <w:bookmarkEnd w:id="163"/>
      <w:bookmarkEnd w:id="164"/>
    </w:p>
    <w:p w14:paraId="2126879F" w14:textId="0F227DE0" w:rsidR="0071590E" w:rsidRPr="004C78D8" w:rsidRDefault="00487292" w:rsidP="00FB7C1F">
      <w:r w:rsidRPr="004C78D8">
        <w:t xml:space="preserve">The model evaluation methods are grouped </w:t>
      </w:r>
      <w:r w:rsidR="00975242" w:rsidRPr="004C78D8">
        <w:t>under</w:t>
      </w:r>
      <w:r w:rsidRPr="004C78D8">
        <w:t xml:space="preserve"> </w:t>
      </w:r>
      <w:r w:rsidR="007468D2" w:rsidRPr="004C78D8">
        <w:t xml:space="preserve">two </w:t>
      </w:r>
      <w:r w:rsidRPr="004C78D8">
        <w:t xml:space="preserve">categories: base case </w:t>
      </w:r>
      <w:r w:rsidR="0002555D" w:rsidRPr="004C78D8">
        <w:t>comparison between RC and UC, including related subgroup, sensitivity</w:t>
      </w:r>
      <w:r w:rsidR="007468D2" w:rsidRPr="004C78D8">
        <w:t>,</w:t>
      </w:r>
      <w:r w:rsidR="0002555D" w:rsidRPr="004C78D8">
        <w:t xml:space="preserve"> and scenario analyses </w:t>
      </w:r>
      <w:r w:rsidRPr="004C78D8">
        <w:t xml:space="preserve">(Section </w:t>
      </w:r>
      <w:r w:rsidR="002131FC" w:rsidRPr="004C78D8">
        <w:t>5</w:t>
      </w:r>
      <w:r w:rsidRPr="004C78D8">
        <w:t>.</w:t>
      </w:r>
      <w:r w:rsidR="00332ADA" w:rsidRPr="004C78D8">
        <w:t>4</w:t>
      </w:r>
      <w:r w:rsidRPr="004C78D8">
        <w:t>.1)</w:t>
      </w:r>
      <w:r w:rsidR="004565E6" w:rsidRPr="004C78D8">
        <w:t xml:space="preserve">; </w:t>
      </w:r>
      <w:r w:rsidR="00BF0EB2" w:rsidRPr="004C78D8">
        <w:t xml:space="preserve">and </w:t>
      </w:r>
      <w:r w:rsidR="009D7799" w:rsidRPr="004C78D8">
        <w:t>evaluation</w:t>
      </w:r>
      <w:r w:rsidR="0002555D" w:rsidRPr="004C78D8">
        <w:t xml:space="preserve"> of </w:t>
      </w:r>
      <w:r w:rsidR="00480DED" w:rsidRPr="004C78D8">
        <w:t xml:space="preserve">alternative falls prevention intervention </w:t>
      </w:r>
      <w:r w:rsidR="00464FB9" w:rsidRPr="004C78D8">
        <w:t>scenarios/</w:t>
      </w:r>
      <w:r w:rsidR="009D7799" w:rsidRPr="004C78D8">
        <w:t>strategies, followed by</w:t>
      </w:r>
      <w:r w:rsidR="0002555D" w:rsidRPr="004C78D8">
        <w:t xml:space="preserve"> commissioning recommendation</w:t>
      </w:r>
      <w:r w:rsidR="007468D2" w:rsidRPr="004C78D8">
        <w:t>s</w:t>
      </w:r>
      <w:r w:rsidR="009D7799" w:rsidRPr="004C78D8">
        <w:t xml:space="preserve"> based on their comparisons</w:t>
      </w:r>
      <w:r w:rsidRPr="004C78D8">
        <w:t xml:space="preserve"> (Section </w:t>
      </w:r>
      <w:r w:rsidR="002131FC" w:rsidRPr="004C78D8">
        <w:t>5</w:t>
      </w:r>
      <w:r w:rsidRPr="004C78D8">
        <w:t>.</w:t>
      </w:r>
      <w:r w:rsidR="00332ADA" w:rsidRPr="004C78D8">
        <w:t>4</w:t>
      </w:r>
      <w:r w:rsidRPr="004C78D8">
        <w:t>.</w:t>
      </w:r>
      <w:r w:rsidR="0002555D" w:rsidRPr="004C78D8">
        <w:t>2</w:t>
      </w:r>
      <w:r w:rsidRPr="004C78D8">
        <w:t>).</w:t>
      </w:r>
    </w:p>
    <w:p w14:paraId="73C68B61" w14:textId="77A49102" w:rsidR="006153C0" w:rsidRPr="004C78D8" w:rsidRDefault="006C2F00" w:rsidP="00FB7C1F">
      <w:pPr>
        <w:pStyle w:val="Heading3"/>
      </w:pPr>
      <w:bookmarkStart w:id="165" w:name="_Toc111630785"/>
      <w:r w:rsidRPr="004C78D8">
        <w:t>5</w:t>
      </w:r>
      <w:r w:rsidR="006153C0" w:rsidRPr="004C78D8">
        <w:t>.</w:t>
      </w:r>
      <w:r w:rsidR="00332ADA" w:rsidRPr="004C78D8">
        <w:t>4</w:t>
      </w:r>
      <w:r w:rsidR="006153C0" w:rsidRPr="004C78D8">
        <w:t xml:space="preserve">.1 Base case </w:t>
      </w:r>
      <w:r w:rsidR="007468D2" w:rsidRPr="004C78D8">
        <w:t>comparison</w:t>
      </w:r>
      <w:bookmarkEnd w:id="165"/>
    </w:p>
    <w:p w14:paraId="51C8D711" w14:textId="5BF60934" w:rsidR="007C680B" w:rsidRPr="004C78D8" w:rsidRDefault="000702B1" w:rsidP="00FB7C1F">
      <w:r w:rsidRPr="004C78D8">
        <w:t>This section describes the</w:t>
      </w:r>
      <w:r w:rsidR="00524179" w:rsidRPr="004C78D8">
        <w:t xml:space="preserve"> methods for </w:t>
      </w:r>
      <w:r w:rsidR="0011633A" w:rsidRPr="004C78D8">
        <w:t xml:space="preserve">the </w:t>
      </w:r>
      <w:r w:rsidR="00524179" w:rsidRPr="004C78D8">
        <w:t xml:space="preserve">base case </w:t>
      </w:r>
      <w:r w:rsidR="007468D2" w:rsidRPr="004C78D8">
        <w:t>comparison between RC and UC</w:t>
      </w:r>
      <w:r w:rsidR="00524179" w:rsidRPr="004C78D8">
        <w:t xml:space="preserve">, </w:t>
      </w:r>
      <w:r w:rsidRPr="004C78D8">
        <w:t>commencing with</w:t>
      </w:r>
      <w:r w:rsidR="00524179" w:rsidRPr="004C78D8">
        <w:t xml:space="preserve"> the evaluation framework </w:t>
      </w:r>
      <w:r w:rsidR="006F7BB2" w:rsidRPr="004C78D8">
        <w:t xml:space="preserve">and outcomes </w:t>
      </w:r>
      <w:r w:rsidR="00524179" w:rsidRPr="004C78D8">
        <w:t xml:space="preserve">(Section </w:t>
      </w:r>
      <w:r w:rsidR="00480DED" w:rsidRPr="004C78D8">
        <w:t>5</w:t>
      </w:r>
      <w:r w:rsidR="00524179" w:rsidRPr="004C78D8">
        <w:t>.</w:t>
      </w:r>
      <w:r w:rsidR="00332ADA" w:rsidRPr="004C78D8">
        <w:t>4</w:t>
      </w:r>
      <w:r w:rsidR="00524179" w:rsidRPr="004C78D8">
        <w:t xml:space="preserve">.1.1), </w:t>
      </w:r>
      <w:r w:rsidR="00032FF3" w:rsidRPr="004C78D8">
        <w:t>then</w:t>
      </w:r>
      <w:r w:rsidR="00524179" w:rsidRPr="004C78D8">
        <w:t xml:space="preserve"> the </w:t>
      </w:r>
      <w:r w:rsidR="00032FF3" w:rsidRPr="004C78D8">
        <w:t>methods for handling first-order uncertainty</w:t>
      </w:r>
      <w:r w:rsidR="00524179" w:rsidRPr="004C78D8">
        <w:t xml:space="preserve"> </w:t>
      </w:r>
      <w:r w:rsidR="00032FF3" w:rsidRPr="004C78D8">
        <w:t xml:space="preserve">from variations in simulated experiences </w:t>
      </w:r>
      <w:r w:rsidR="00524179" w:rsidRPr="004C78D8">
        <w:t xml:space="preserve">(Section </w:t>
      </w:r>
      <w:r w:rsidR="00480DED" w:rsidRPr="004C78D8">
        <w:t>5</w:t>
      </w:r>
      <w:r w:rsidR="00524179" w:rsidRPr="004C78D8">
        <w:t>.</w:t>
      </w:r>
      <w:r w:rsidR="00332ADA" w:rsidRPr="004C78D8">
        <w:t>4</w:t>
      </w:r>
      <w:r w:rsidR="00524179" w:rsidRPr="004C78D8">
        <w:t xml:space="preserve">.1.2). Methods for </w:t>
      </w:r>
      <w:r w:rsidR="007468D2" w:rsidRPr="004C78D8">
        <w:t xml:space="preserve">sensitivity analyses </w:t>
      </w:r>
      <w:r w:rsidRPr="004C78D8">
        <w:t>assessing</w:t>
      </w:r>
      <w:r w:rsidR="00A374CC" w:rsidRPr="004C78D8">
        <w:t xml:space="preserve"> parameter </w:t>
      </w:r>
      <w:r w:rsidR="00032FF3" w:rsidRPr="004C78D8">
        <w:t xml:space="preserve">(second-order) </w:t>
      </w:r>
      <w:r w:rsidR="00A374CC" w:rsidRPr="004C78D8">
        <w:t xml:space="preserve">uncertainty </w:t>
      </w:r>
      <w:r w:rsidR="008E309A" w:rsidRPr="004C78D8">
        <w:t xml:space="preserve">– probabilistic </w:t>
      </w:r>
      <w:r w:rsidR="00A374CC" w:rsidRPr="004C78D8">
        <w:t xml:space="preserve">(Section </w:t>
      </w:r>
      <w:r w:rsidR="00480DED" w:rsidRPr="004C78D8">
        <w:t>5</w:t>
      </w:r>
      <w:r w:rsidR="00A374CC" w:rsidRPr="004C78D8">
        <w:t>.</w:t>
      </w:r>
      <w:r w:rsidR="00332ADA" w:rsidRPr="004C78D8">
        <w:t>4</w:t>
      </w:r>
      <w:r w:rsidR="00A374CC" w:rsidRPr="004C78D8">
        <w:t xml:space="preserve">.1.3) </w:t>
      </w:r>
      <w:r w:rsidR="008E309A" w:rsidRPr="004C78D8">
        <w:t xml:space="preserve">and deterministic (Section </w:t>
      </w:r>
      <w:r w:rsidR="00480DED" w:rsidRPr="004C78D8">
        <w:t>5</w:t>
      </w:r>
      <w:r w:rsidR="008E309A" w:rsidRPr="004C78D8">
        <w:t xml:space="preserve">.4.1.4) – </w:t>
      </w:r>
      <w:r w:rsidR="007468D2" w:rsidRPr="004C78D8">
        <w:t xml:space="preserve">are described. Subgroup analysis plans are outlined (Section 5.4.1.5), embedded within which is the method for distributional cost-effectiveness analysis (DCEA) to </w:t>
      </w:r>
      <w:r w:rsidR="008E309A" w:rsidRPr="004C78D8">
        <w:t>assess the joint efficiency</w:t>
      </w:r>
      <w:r w:rsidR="003F1AA2" w:rsidRPr="004C78D8">
        <w:t>-</w:t>
      </w:r>
      <w:r w:rsidR="008E309A" w:rsidRPr="004C78D8">
        <w:t xml:space="preserve">equity </w:t>
      </w:r>
      <w:r w:rsidR="003F1AA2" w:rsidRPr="004C78D8">
        <w:t xml:space="preserve">result of base case comparison </w:t>
      </w:r>
      <w:r w:rsidR="008E309A" w:rsidRPr="004C78D8">
        <w:t xml:space="preserve">(Section </w:t>
      </w:r>
      <w:r w:rsidR="00480DED" w:rsidRPr="004C78D8">
        <w:t>5</w:t>
      </w:r>
      <w:r w:rsidR="008E309A" w:rsidRPr="004C78D8">
        <w:t>.4.1.6).</w:t>
      </w:r>
      <w:r w:rsidR="003F1AA2" w:rsidRPr="004C78D8">
        <w:t xml:space="preserve"> Scenarios concerning changes to key evaluation framework and falls epidemiology features are evaluated to assess their impact on the </w:t>
      </w:r>
      <w:r w:rsidR="0028203D" w:rsidRPr="004C78D8">
        <w:t xml:space="preserve">base case </w:t>
      </w:r>
      <w:r w:rsidR="003F1AA2" w:rsidRPr="004C78D8">
        <w:t>results (Section 5.4.1.7).</w:t>
      </w:r>
    </w:p>
    <w:p w14:paraId="2162EF0A" w14:textId="08CC054F" w:rsidR="007C680B" w:rsidRPr="004C78D8" w:rsidRDefault="006206A1" w:rsidP="00FB7C1F">
      <w:pPr>
        <w:pStyle w:val="Heading4"/>
      </w:pPr>
      <w:r w:rsidRPr="004C78D8">
        <w:t>5</w:t>
      </w:r>
      <w:r w:rsidR="007C680B" w:rsidRPr="004C78D8">
        <w:t>.</w:t>
      </w:r>
      <w:r w:rsidR="00332ADA" w:rsidRPr="004C78D8">
        <w:t>4</w:t>
      </w:r>
      <w:r w:rsidR="007C680B" w:rsidRPr="004C78D8">
        <w:t xml:space="preserve">.1.1 </w:t>
      </w:r>
      <w:r w:rsidR="00524179" w:rsidRPr="004C78D8">
        <w:t>Evaluation</w:t>
      </w:r>
      <w:r w:rsidR="007C680B" w:rsidRPr="004C78D8">
        <w:t xml:space="preserve"> framework</w:t>
      </w:r>
      <w:r w:rsidR="00625921" w:rsidRPr="004C78D8">
        <w:t xml:space="preserve"> and outcomes</w:t>
      </w:r>
    </w:p>
    <w:p w14:paraId="22DDF0B1" w14:textId="15F44D04" w:rsidR="006153C0" w:rsidRPr="004C78D8" w:rsidRDefault="006153C0" w:rsidP="00FB7C1F">
      <w:r w:rsidRPr="004C78D8">
        <w:t>The types of analysis, perspectives</w:t>
      </w:r>
      <w:r w:rsidR="006F7BB2" w:rsidRPr="004C78D8">
        <w:t>,</w:t>
      </w:r>
      <w:r w:rsidRPr="004C78D8">
        <w:t xml:space="preserve"> and time horizons were already </w:t>
      </w:r>
      <w:r w:rsidR="006F7BB2" w:rsidRPr="004C78D8">
        <w:t>not</w:t>
      </w:r>
      <w:r w:rsidRPr="004C78D8">
        <w:t xml:space="preserve">ed in Section </w:t>
      </w:r>
      <w:r w:rsidR="006206A1" w:rsidRPr="004C78D8">
        <w:t>5</w:t>
      </w:r>
      <w:r w:rsidRPr="004C78D8">
        <w:t>.</w:t>
      </w:r>
      <w:r w:rsidR="00747D55" w:rsidRPr="004C78D8">
        <w:t>2</w:t>
      </w:r>
      <w:r w:rsidRPr="004C78D8">
        <w:t xml:space="preserve">.1.2. In brief, the </w:t>
      </w:r>
      <w:r w:rsidR="001B1687" w:rsidRPr="004C78D8">
        <w:t xml:space="preserve">primary evaluation framework is CUA under </w:t>
      </w:r>
      <w:r w:rsidR="009E20EA" w:rsidRPr="004C78D8">
        <w:t xml:space="preserve">the </w:t>
      </w:r>
      <w:r w:rsidR="001B1687" w:rsidRPr="004C78D8">
        <w:t xml:space="preserve">societal perspective and 40-year horizon. The secondary </w:t>
      </w:r>
      <w:r w:rsidRPr="004C78D8">
        <w:t xml:space="preserve">evaluation framework is ROI under the public sector perspective and five-year horizon. All cost and health outcomes </w:t>
      </w:r>
      <w:r w:rsidR="005C2472" w:rsidRPr="004C78D8">
        <w:t>we</w:t>
      </w:r>
      <w:r w:rsidRPr="004C78D8">
        <w:t xml:space="preserve">re discounted at an annual rate of 3.5%. </w:t>
      </w:r>
      <w:r w:rsidR="00D30D38" w:rsidRPr="004C78D8">
        <w:t>D</w:t>
      </w:r>
      <w:r w:rsidRPr="004C78D8">
        <w:t xml:space="preserve">istinction </w:t>
      </w:r>
      <w:r w:rsidR="005C2472" w:rsidRPr="004C78D8">
        <w:t>wa</w:t>
      </w:r>
      <w:r w:rsidRPr="004C78D8">
        <w:t xml:space="preserve">s made between all-cause and fall-related economic consequences as recommended by the expert guideline </w:t>
      </w:r>
      <w:r w:rsidRPr="004C78D8">
        <w:fldChar w:fldCharType="begin"/>
      </w:r>
      <w:r w:rsidR="00513646" w:rsidRPr="004C78D8">
        <w:instrText xml:space="preserve"> ADDIN EN.CITE &lt;EndNote&gt;&lt;Cite&gt;&lt;Author&gt;Davis&lt;/Author&gt;&lt;Year&gt;2011&lt;/Year&gt;&lt;RecNum&gt;286&lt;/RecNum&gt;&lt;DisplayText&gt;[105]&lt;/DisplayText&gt;&lt;record&gt;&lt;rec-number&gt;286&lt;/rec-number&gt;&lt;foreign-keys&gt;&lt;key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Pr="004C78D8">
        <w:fldChar w:fldCharType="separate"/>
      </w:r>
      <w:r w:rsidR="00513646" w:rsidRPr="004C78D8">
        <w:rPr>
          <w:noProof/>
        </w:rPr>
        <w:t>[105]</w:t>
      </w:r>
      <w:r w:rsidRPr="004C78D8">
        <w:fldChar w:fldCharType="end"/>
      </w:r>
      <w:r w:rsidRPr="004C78D8">
        <w:t xml:space="preserve">. </w:t>
      </w:r>
    </w:p>
    <w:p w14:paraId="24CF3FC2" w14:textId="3BA2CF81" w:rsidR="005B2B3E" w:rsidRPr="004C78D8" w:rsidRDefault="006153C0" w:rsidP="00FB7C1F">
      <w:r w:rsidRPr="004C78D8">
        <w:t xml:space="preserve">For the societal CUA, outcomes generated outside the public sector </w:t>
      </w:r>
      <w:r w:rsidR="006C47F7" w:rsidRPr="004C78D8">
        <w:t>– productivity, OOP care expenditure, informal caregiver burden</w:t>
      </w:r>
      <w:r w:rsidR="006F7BB2" w:rsidRPr="004C78D8">
        <w:t>,</w:t>
      </w:r>
      <w:r w:rsidR="006C47F7" w:rsidRPr="004C78D8">
        <w:t xml:space="preserve"> and corresponding intervention costs (e.g., private co-payment) –</w:t>
      </w:r>
      <w:r w:rsidRPr="004C78D8">
        <w:t xml:space="preserve"> </w:t>
      </w:r>
      <w:r w:rsidR="005C2472" w:rsidRPr="004C78D8">
        <w:t>we</w:t>
      </w:r>
      <w:r w:rsidRPr="004C78D8">
        <w:t>re converted to net QALY equivalent using the £60,000 per QALY gain</w:t>
      </w:r>
      <w:r w:rsidR="00C84BD6" w:rsidRPr="004C78D8">
        <w:t>ed</w:t>
      </w:r>
      <w:r w:rsidRPr="004C78D8">
        <w:t xml:space="preserve"> cost-effectiveness threshold </w:t>
      </w:r>
      <w:r w:rsidRPr="004C78D8">
        <w:fldChar w:fldCharType="begin"/>
      </w:r>
      <w:r w:rsidR="00513646" w:rsidRPr="004C78D8">
        <w:instrText xml:space="preserve"> ADDIN EN.CITE &lt;EndNote&gt;&lt;Cite&gt;&lt;Author&gt;Tong&lt;/Author&gt;&lt;Year&gt;2017&lt;/Year&gt;&lt;RecNum&gt;432&lt;/RecNum&gt;&lt;DisplayText&gt;[161]&lt;/DisplayText&gt;&lt;record&gt;&lt;rec-number&gt;432&lt;/rec-number&gt;&lt;foreign-keys&gt;&lt;key app="EN" db-id="tdtrdw9aepptzbefsat599syza29sxsd2wsp" timestamp="1616415999"&gt;432&lt;/key&gt;&lt;/foreign-keys&gt;&lt;ref-type name="Thesis"&gt;32&lt;/ref-type&gt;&lt;contributors&gt;&lt;authors&gt;&lt;author&gt;Tong, Thaison&lt;/author&gt;&lt;/authors&gt;&lt;/contributors&gt;&lt;titles&gt;&lt;title&gt;Broadening the perspective of economic evaluation in health care - A case study in dementia care in the UK&lt;/title&gt;&lt;/titles&gt;&lt;dates&gt;&lt;year&gt;2017&lt;/year&gt;&lt;/dates&gt;&lt;publisher&gt;University of Sheffield&lt;/publisher&gt;&lt;urls&gt;&lt;/urls&gt;&lt;/record&gt;&lt;/Cite&gt;&lt;/EndNote&gt;</w:instrText>
      </w:r>
      <w:r w:rsidRPr="004C78D8">
        <w:fldChar w:fldCharType="separate"/>
      </w:r>
      <w:r w:rsidR="00513646" w:rsidRPr="004C78D8">
        <w:rPr>
          <w:noProof/>
        </w:rPr>
        <w:t>[161]</w:t>
      </w:r>
      <w:r w:rsidRPr="004C78D8">
        <w:fldChar w:fldCharType="end"/>
      </w:r>
      <w:r w:rsidRPr="004C78D8">
        <w:t xml:space="preserve">, and then combined with public sector outcomes to derive the societal ICER. </w:t>
      </w:r>
    </w:p>
    <w:p w14:paraId="5CC0CD18" w14:textId="3D14A8D7" w:rsidR="005F7FEF" w:rsidRPr="004C78D8" w:rsidRDefault="005F7FEF" w:rsidP="00FB7C1F">
      <w:r w:rsidRPr="004C78D8">
        <w:t xml:space="preserve">Moreover, several wider outcomes, grouped under two categories, </w:t>
      </w:r>
      <w:r w:rsidR="005C2472" w:rsidRPr="004C78D8">
        <w:t>we</w:t>
      </w:r>
      <w:r w:rsidRPr="004C78D8">
        <w:t xml:space="preserve">re reported: </w:t>
      </w:r>
    </w:p>
    <w:p w14:paraId="6B8900AF" w14:textId="49D35D0D" w:rsidR="005F7FEF" w:rsidRPr="004C78D8" w:rsidRDefault="005F7FEF" w:rsidP="00FB7C1F">
      <w:pPr>
        <w:pStyle w:val="ListParagraph"/>
        <w:numPr>
          <w:ilvl w:val="0"/>
          <w:numId w:val="12"/>
        </w:numPr>
      </w:pPr>
      <w:r w:rsidRPr="004C78D8">
        <w:t xml:space="preserve">Clinical and wellbeing endpoints for </w:t>
      </w:r>
      <w:r w:rsidR="00664812" w:rsidRPr="004C78D8">
        <w:t xml:space="preserve">the </w:t>
      </w:r>
      <w:r w:rsidRPr="004C78D8">
        <w:t>whole target population (n=385,192):</w:t>
      </w:r>
    </w:p>
    <w:p w14:paraId="01EC3A28" w14:textId="6ECF88F9" w:rsidR="005F7FEF" w:rsidRPr="004C78D8" w:rsidRDefault="005F7FEF" w:rsidP="00FB7C1F">
      <w:pPr>
        <w:pStyle w:val="ListParagraph"/>
        <w:numPr>
          <w:ilvl w:val="1"/>
          <w:numId w:val="28"/>
        </w:numPr>
      </w:pPr>
      <w:r w:rsidRPr="004C78D8">
        <w:t xml:space="preserve">Number of fallers and person-years of fall experience of different fall types as recommended by the expert guideline </w:t>
      </w:r>
      <w:r w:rsidRPr="004C78D8">
        <w:fldChar w:fldCharType="begin"/>
      </w:r>
      <w:r w:rsidR="00513646" w:rsidRPr="004C78D8">
        <w:instrText xml:space="preserve"> ADDIN EN.CITE &lt;EndNote&gt;&lt;Cite&gt;&lt;Author&gt;Davis&lt;/Author&gt;&lt;Year&gt;2011&lt;/Year&gt;&lt;RecNum&gt;286&lt;/RecNum&gt;&lt;DisplayText&gt;[105]&lt;/DisplayText&gt;&lt;record&gt;&lt;rec-number&gt;286&lt;/rec-number&gt;&lt;foreign-keys&gt;&lt;key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Pr="004C78D8">
        <w:fldChar w:fldCharType="separate"/>
      </w:r>
      <w:r w:rsidR="00513646" w:rsidRPr="004C78D8">
        <w:rPr>
          <w:noProof/>
        </w:rPr>
        <w:t>[105]</w:t>
      </w:r>
      <w:r w:rsidRPr="004C78D8">
        <w:fldChar w:fldCharType="end"/>
      </w:r>
      <w:r w:rsidRPr="004C78D8">
        <w:t>;</w:t>
      </w:r>
    </w:p>
    <w:p w14:paraId="5E7FB851" w14:textId="77777777" w:rsidR="005F7FEF" w:rsidRPr="004C78D8" w:rsidRDefault="005F7FEF" w:rsidP="00FB7C1F">
      <w:pPr>
        <w:pStyle w:val="ListParagraph"/>
        <w:numPr>
          <w:ilvl w:val="1"/>
          <w:numId w:val="28"/>
        </w:numPr>
      </w:pPr>
      <w:r w:rsidRPr="004C78D8">
        <w:t xml:space="preserve">Number of other-cause mortalities; </w:t>
      </w:r>
    </w:p>
    <w:p w14:paraId="64CEE693" w14:textId="4CA59D21" w:rsidR="005F7FEF" w:rsidRPr="004C78D8" w:rsidRDefault="005F7FEF" w:rsidP="00FB7C1F">
      <w:pPr>
        <w:pStyle w:val="ListParagraph"/>
        <w:numPr>
          <w:ilvl w:val="1"/>
          <w:numId w:val="28"/>
        </w:numPr>
      </w:pPr>
      <w:r w:rsidRPr="004C78D8">
        <w:t>Number of LTC admissions;</w:t>
      </w:r>
    </w:p>
    <w:p w14:paraId="70707C80" w14:textId="69CB11C5" w:rsidR="005F7FEF" w:rsidRPr="004C78D8" w:rsidRDefault="005F7FEF" w:rsidP="00FB7C1F">
      <w:pPr>
        <w:pStyle w:val="ListParagraph"/>
        <w:numPr>
          <w:ilvl w:val="1"/>
          <w:numId w:val="28"/>
        </w:numPr>
      </w:pPr>
      <w:r w:rsidRPr="004C78D8">
        <w:t>Aggregate CASP-adjusted life years (CALYs) as a measure of social wellbeing; and</w:t>
      </w:r>
    </w:p>
    <w:p w14:paraId="2665384E" w14:textId="77777777" w:rsidR="005F7FEF" w:rsidRPr="004C78D8" w:rsidRDefault="005F7FEF" w:rsidP="00FB7C1F">
      <w:pPr>
        <w:pStyle w:val="ListParagraph"/>
        <w:numPr>
          <w:ilvl w:val="1"/>
          <w:numId w:val="28"/>
        </w:numPr>
      </w:pPr>
      <w:r w:rsidRPr="004C78D8">
        <w:t>Number of person-years of social participation via volunteering and self-referred intervention uptake as a measure of community empowerment.</w:t>
      </w:r>
    </w:p>
    <w:p w14:paraId="142DE147" w14:textId="77777777" w:rsidR="005F7FEF" w:rsidRPr="004C78D8" w:rsidRDefault="005F7FEF" w:rsidP="00FB7C1F">
      <w:pPr>
        <w:pStyle w:val="ListParagraph"/>
        <w:numPr>
          <w:ilvl w:val="0"/>
          <w:numId w:val="12"/>
        </w:numPr>
      </w:pPr>
      <w:r w:rsidRPr="004C78D8">
        <w:t>Individual-level lifetime outcomes tracked for a single group aged 65 at model baseline (n=5,399) who are all deceased or LTC admitted by the final model cycle:</w:t>
      </w:r>
    </w:p>
    <w:p w14:paraId="3F282B92" w14:textId="14329FB7" w:rsidR="005F7FEF" w:rsidRPr="004C78D8" w:rsidRDefault="005F7FEF" w:rsidP="00FB7C1F">
      <w:pPr>
        <w:pStyle w:val="ListParagraph"/>
        <w:numPr>
          <w:ilvl w:val="1"/>
          <w:numId w:val="27"/>
        </w:numPr>
      </w:pPr>
      <w:r w:rsidRPr="004C78D8">
        <w:t xml:space="preserve">Number of persons achieving ‘fair health-related innings’ </w:t>
      </w:r>
      <w:r w:rsidRPr="004C78D8">
        <w:fldChar w:fldCharType="begin"/>
      </w:r>
      <w:r w:rsidR="00C630FC" w:rsidRPr="004C78D8">
        <w:instrText xml:space="preserve"> ADDIN EN.CITE &lt;EndNote&gt;&lt;Cite&gt;&lt;Author&gt;Williams&lt;/Author&gt;&lt;Year&gt;1997&lt;/Year&gt;&lt;RecNum&gt;521&lt;/RecNum&gt;&lt;DisplayText&gt;[232]&lt;/DisplayText&gt;&lt;record&gt;&lt;rec-number&gt;521&lt;/rec-number&gt;&lt;foreign-keys&gt;&lt;key app="EN" db-id="tdtrdw9aepptzbefsat599syza29sxsd2wsp" timestamp="1618153077"&gt;521&lt;/key&gt;&lt;/foreign-keys&gt;&lt;ref-type name="Journal Article"&gt;17&lt;/ref-type&gt;&lt;contributors&gt;&lt;authors&gt;&lt;author&gt;Williams, Alan&lt;/author&gt;&lt;/authors&gt;&lt;/contributors&gt;&lt;titles&gt;&lt;title&gt;Intergenerational equity: an exploration of the ‘fair innings’ argument&lt;/title&gt;&lt;secondary-title&gt;Health economics&lt;/secondary-title&gt;&lt;/titles&gt;&lt;periodical&gt;&lt;full-title&gt;Health economics&lt;/full-title&gt;&lt;/periodical&gt;&lt;pages&gt;117-132&lt;/pages&gt;&lt;volume&gt;6&lt;/volume&gt;&lt;number&gt;2&lt;/number&gt;&lt;dates&gt;&lt;year&gt;1997&lt;/year&gt;&lt;/dates&gt;&lt;isbn&gt;1057-9230&lt;/isbn&gt;&lt;urls&gt;&lt;/urls&gt;&lt;/record&gt;&lt;/Cite&gt;&lt;/EndNote&gt;</w:instrText>
      </w:r>
      <w:r w:rsidRPr="004C78D8">
        <w:fldChar w:fldCharType="separate"/>
      </w:r>
      <w:r w:rsidR="00C630FC" w:rsidRPr="004C78D8">
        <w:rPr>
          <w:noProof/>
        </w:rPr>
        <w:t>[232]</w:t>
      </w:r>
      <w:r w:rsidRPr="004C78D8">
        <w:fldChar w:fldCharType="end"/>
      </w:r>
      <w:r w:rsidRPr="004C78D8">
        <w:t xml:space="preserve"> – defined as 60% of the median lifetime QALY for this group under </w:t>
      </w:r>
      <w:r w:rsidR="00664812" w:rsidRPr="004C78D8">
        <w:t>UC</w:t>
      </w:r>
      <w:r w:rsidRPr="004C78D8">
        <w:t xml:space="preserve"> (the 60% of median threshold parallels the income poverty definition </w:t>
      </w:r>
      <w:r w:rsidRPr="004C78D8">
        <w:fldChar w:fldCharType="begin"/>
      </w:r>
      <w:r w:rsidR="00C630FC" w:rsidRPr="004C78D8">
        <w:instrText xml:space="preserve"> ADDIN EN.CITE &lt;EndNote&gt;&lt;Cite&gt;&lt;Author&gt;UK Parliament&lt;/Author&gt;&lt;Year&gt;2021&lt;/Year&gt;&lt;RecNum&gt;690&lt;/RecNum&gt;&lt;DisplayText&gt;[414]&lt;/DisplayText&gt;&lt;record&gt;&lt;rec-number&gt;690&lt;/rec-number&gt;&lt;foreign-keys&gt;&lt;key app="EN" db-id="tdtrdw9aepptzbefsat599syza29sxsd2wsp" timestamp="1629364550"&gt;690&lt;/key&gt;&lt;/foreign-keys&gt;&lt;ref-type name="Web Page"&gt;12&lt;/ref-type&gt;&lt;contributors&gt;&lt;authors&gt;&lt;author&gt;UK Parliament,&lt;/author&gt;&lt;/authors&gt;&lt;/contributors&gt;&lt;titles&gt;&lt;title&gt;How do we measure poverty?&lt;/title&gt;&lt;secondary-title&gt;Research Briefing: Poverty in the UK: Statistics&lt;/secondary-title&gt;&lt;/titles&gt;&lt;dates&gt;&lt;year&gt;2021&lt;/year&gt;&lt;/dates&gt;&lt;urls&gt;&lt;related-urls&gt;&lt;url&gt;https://commonslibrary.parliament.uk/research-briefings/sn07096/&lt;/url&gt;&lt;/related-urls&gt;&lt;/urls&gt;&lt;/record&gt;&lt;/Cite&gt;&lt;/EndNote&gt;</w:instrText>
      </w:r>
      <w:r w:rsidRPr="004C78D8">
        <w:fldChar w:fldCharType="separate"/>
      </w:r>
      <w:r w:rsidR="00C630FC" w:rsidRPr="004C78D8">
        <w:rPr>
          <w:noProof/>
        </w:rPr>
        <w:t>[414]</w:t>
      </w:r>
      <w:r w:rsidRPr="004C78D8">
        <w:fldChar w:fldCharType="end"/>
      </w:r>
      <w:r w:rsidRPr="004C78D8">
        <w:t>);</w:t>
      </w:r>
    </w:p>
    <w:p w14:paraId="031C6486" w14:textId="6A7C5E7A" w:rsidR="005F7FEF" w:rsidRPr="004C78D8" w:rsidRDefault="005F7FEF" w:rsidP="00FB7C1F">
      <w:pPr>
        <w:pStyle w:val="ListParagraph"/>
        <w:numPr>
          <w:ilvl w:val="1"/>
          <w:numId w:val="27"/>
        </w:numPr>
      </w:pPr>
      <w:r w:rsidRPr="004C78D8">
        <w:t xml:space="preserve">Number of persons achieving ‘fair wellbeing-related innings’ – defined as 60% of the median lifetime CALY for this group under </w:t>
      </w:r>
      <w:r w:rsidR="00664812" w:rsidRPr="004C78D8">
        <w:t>UC</w:t>
      </w:r>
      <w:r w:rsidRPr="004C78D8">
        <w:t>;</w:t>
      </w:r>
    </w:p>
    <w:p w14:paraId="73490C0B" w14:textId="28AA5B47" w:rsidR="005F7FEF" w:rsidRPr="004C78D8" w:rsidRDefault="005F7FEF" w:rsidP="00FB7C1F">
      <w:pPr>
        <w:pStyle w:val="ListParagraph"/>
        <w:numPr>
          <w:ilvl w:val="1"/>
          <w:numId w:val="27"/>
        </w:numPr>
      </w:pPr>
      <w:r w:rsidRPr="004C78D8">
        <w:t>Number of persons achieving ‘productive ageing’ – defined as participating in paid or unpaid work for at least ten years</w:t>
      </w:r>
      <w:r w:rsidR="00664812" w:rsidRPr="004C78D8">
        <w:t xml:space="preserve"> from age 65</w:t>
      </w:r>
      <w:r w:rsidRPr="004C78D8">
        <w:t>;</w:t>
      </w:r>
    </w:p>
    <w:p w14:paraId="545FF802" w14:textId="583B5776" w:rsidR="005F7FEF" w:rsidRPr="004C78D8" w:rsidRDefault="005F7FEF" w:rsidP="00FB7C1F">
      <w:pPr>
        <w:pStyle w:val="ListParagraph"/>
        <w:numPr>
          <w:ilvl w:val="1"/>
          <w:numId w:val="27"/>
        </w:numPr>
      </w:pPr>
      <w:r w:rsidRPr="004C78D8">
        <w:t>Number of persons in the 3</w:t>
      </w:r>
      <w:r w:rsidRPr="004C78D8">
        <w:rPr>
          <w:vertAlign w:val="superscript"/>
        </w:rPr>
        <w:t>rd</w:t>
      </w:r>
      <w:r w:rsidRPr="004C78D8">
        <w:t xml:space="preserve"> and 4</w:t>
      </w:r>
      <w:r w:rsidRPr="004C78D8">
        <w:rPr>
          <w:vertAlign w:val="superscript"/>
        </w:rPr>
        <w:t>th</w:t>
      </w:r>
      <w:r w:rsidRPr="004C78D8">
        <w:t xml:space="preserve"> SES quartiles experiencing ‘catastrophic’ private expenditure (including OOP care expenditure and intervention co-payment) – defined as accumulated expenditure exceeding 40% of individuals’ capacity to pay </w:t>
      </w:r>
      <w:r w:rsidRPr="004C78D8">
        <w:fldChar w:fldCharType="begin"/>
      </w:r>
      <w:r w:rsidR="00C630FC" w:rsidRPr="004C78D8">
        <w:instrText xml:space="preserve"> ADDIN EN.CITE &lt;EndNote&gt;&lt;Cite&gt;&lt;Author&gt;Pandey&lt;/Author&gt;&lt;Year&gt;2018&lt;/Year&gt;&lt;RecNum&gt;691&lt;/RecNum&gt;&lt;DisplayText&gt;[415]&lt;/DisplayText&gt;&lt;record&gt;&lt;rec-number&gt;691&lt;/rec-number&gt;&lt;foreign-keys&gt;&lt;key app="EN" db-id="tdtrdw9aepptzbefsat599syza29sxsd2wsp" timestamp="1629365187"&gt;691&lt;/key&gt;&lt;/foreign-keys&gt;&lt;ref-type name="Journal Article"&gt;17&lt;/ref-type&gt;&lt;contributors&gt;&lt;authors&gt;&lt;author&gt;Pandey, Anamika&lt;/author&gt;&lt;author&gt;Ploubidis, George B&lt;/author&gt;&lt;author&gt;Clarke, Lynda&lt;/author&gt;&lt;author&gt;Dandona, Lalit&lt;/author&gt;&lt;/authors&gt;&lt;/contributors&gt;&lt;titles&gt;&lt;title&gt;Trends in catastrophic health expenditure in India: 1993 to 2014&lt;/title&gt;&lt;secondary-title&gt;Bulletin of the World Health Organization&lt;/secondary-title&gt;&lt;/titles&gt;&lt;periodical&gt;&lt;full-title&gt;Bulletin of the World Health Organization&lt;/full-title&gt;&lt;/periodical&gt;&lt;pages&gt;18&lt;/pages&gt;&lt;volume&gt;96&lt;/volume&gt;&lt;number&gt;1&lt;/number&gt;&lt;dates&gt;&lt;year&gt;2018&lt;/year&gt;&lt;/dates&gt;&lt;urls&gt;&lt;/urls&gt;&lt;/record&gt;&lt;/Cite&gt;&lt;/EndNote&gt;</w:instrText>
      </w:r>
      <w:r w:rsidRPr="004C78D8">
        <w:fldChar w:fldCharType="separate"/>
      </w:r>
      <w:r w:rsidR="00C630FC" w:rsidRPr="004C78D8">
        <w:rPr>
          <w:noProof/>
        </w:rPr>
        <w:t>[415]</w:t>
      </w:r>
      <w:r w:rsidRPr="004C78D8">
        <w:fldChar w:fldCharType="end"/>
      </w:r>
      <w:r w:rsidRPr="004C78D8">
        <w:t>, equivalent to £9,300 for 3</w:t>
      </w:r>
      <w:r w:rsidRPr="004C78D8">
        <w:rPr>
          <w:vertAlign w:val="superscript"/>
        </w:rPr>
        <w:t>rd</w:t>
      </w:r>
      <w:r w:rsidRPr="004C78D8">
        <w:t xml:space="preserve"> quartile individuals and £5,700 for 4</w:t>
      </w:r>
      <w:r w:rsidRPr="004C78D8">
        <w:rPr>
          <w:vertAlign w:val="superscript"/>
        </w:rPr>
        <w:t>th</w:t>
      </w:r>
      <w:r w:rsidRPr="004C78D8">
        <w:t xml:space="preserve"> if they are assumed to have savings of £23,250 and £14,250 respectively (i.e., levels determining LTC public assistance in Section </w:t>
      </w:r>
      <w:r w:rsidR="006206A1" w:rsidRPr="004C78D8">
        <w:t>5</w:t>
      </w:r>
      <w:r w:rsidRPr="004C78D8">
        <w:t>.</w:t>
      </w:r>
      <w:r w:rsidR="00664812" w:rsidRPr="004C78D8">
        <w:t>2</w:t>
      </w:r>
      <w:r w:rsidRPr="004C78D8">
        <w:t>.6.2); and</w:t>
      </w:r>
    </w:p>
    <w:p w14:paraId="00BA58CB" w14:textId="77777777" w:rsidR="005F7FEF" w:rsidRPr="004C78D8" w:rsidRDefault="005F7FEF" w:rsidP="00FB7C1F">
      <w:pPr>
        <w:pStyle w:val="ListParagraph"/>
        <w:numPr>
          <w:ilvl w:val="1"/>
          <w:numId w:val="27"/>
        </w:numPr>
      </w:pPr>
      <w:r w:rsidRPr="004C78D8">
        <w:t>Number of persons whose informal caregiver(s) experience ‘excessive’ care burden – defined as accumulated value of informal caregiving exceeding £85,025 which is five times the annual income earned at the national living wage.</w:t>
      </w:r>
    </w:p>
    <w:p w14:paraId="24E062A4" w14:textId="77972EDE" w:rsidR="000702B1" w:rsidRPr="004C78D8" w:rsidRDefault="006206A1" w:rsidP="00FB7C1F">
      <w:pPr>
        <w:pStyle w:val="Heading4"/>
      </w:pPr>
      <w:r w:rsidRPr="004C78D8">
        <w:t>5</w:t>
      </w:r>
      <w:r w:rsidR="000702B1" w:rsidRPr="004C78D8">
        <w:t>.</w:t>
      </w:r>
      <w:r w:rsidR="00332ADA" w:rsidRPr="004C78D8">
        <w:t>4</w:t>
      </w:r>
      <w:r w:rsidR="000702B1" w:rsidRPr="004C78D8">
        <w:t>.1.2 Deterministic outcomes</w:t>
      </w:r>
      <w:r w:rsidR="004C366C" w:rsidRPr="004C78D8">
        <w:t xml:space="preserve"> with first-order uncertainty</w:t>
      </w:r>
    </w:p>
    <w:p w14:paraId="3AE1C2AF" w14:textId="2B69A2CE" w:rsidR="004C366C" w:rsidRPr="004C78D8" w:rsidRDefault="00243F9F" w:rsidP="00FB7C1F">
      <w:r w:rsidRPr="004C78D8">
        <w:t xml:space="preserve">In individual-level models, first-order uncertainty arises from variability in the simulated experiences between individuals </w:t>
      </w:r>
      <w:r w:rsidRPr="004C78D8">
        <w:fldChar w:fldCharType="begin"/>
      </w:r>
      <w:r w:rsidR="00C630FC" w:rsidRPr="004C78D8">
        <w:instrText xml:space="preserve"> ADDIN EN.CITE &lt;EndNote&gt;&lt;Cite&gt;&lt;Author&gt;Davis&lt;/Author&gt;&lt;Year&gt;2014&lt;/Year&gt;&lt;RecNum&gt;770&lt;/RecNum&gt;&lt;DisplayText&gt;[416]&lt;/DisplayText&gt;&lt;record&gt;&lt;rec-number&gt;770&lt;/rec-number&gt;&lt;foreign-keys&gt;&lt;key app="EN" db-id="tdtrdw9aepptzbefsat599syza29sxsd2wsp" timestamp="1637608426"&gt;770&lt;/key&gt;&lt;/foreign-keys&gt;&lt;ref-type name="Journal Article"&gt;17&lt;/ref-type&gt;&lt;contributors&gt;&lt;authors&gt;&lt;author&gt;Davis, Sarah&lt;/author&gt;&lt;author&gt;Stevenson, Matt&lt;/author&gt;&lt;author&gt;Tappenden, Paul&lt;/author&gt;&lt;author&gt;Wailoo, Allan&lt;/author&gt;&lt;/authors&gt;&lt;/contributors&gt;&lt;titles&gt;&lt;title&gt;NICE DSU Technical Support Document 15: cost-effectiveness modelling using patient-level simulation&lt;/title&gt;&lt;secondary-title&gt;Rep BY Decis Support UNIT&lt;/secondary-title&gt;&lt;/titles&gt;&lt;periodical&gt;&lt;full-title&gt;Rep BY Decis Support UNIT&lt;/full-title&gt;&lt;/periodical&gt;&lt;dates&gt;&lt;year&gt;2014&lt;/year&gt;&lt;/dates&gt;&lt;urls&gt;&lt;/urls&gt;&lt;/record&gt;&lt;/Cite&gt;&lt;/EndNote&gt;</w:instrText>
      </w:r>
      <w:r w:rsidRPr="004C78D8">
        <w:fldChar w:fldCharType="separate"/>
      </w:r>
      <w:r w:rsidR="00C630FC" w:rsidRPr="004C78D8">
        <w:rPr>
          <w:noProof/>
        </w:rPr>
        <w:t>[416]</w:t>
      </w:r>
      <w:r w:rsidRPr="004C78D8">
        <w:fldChar w:fldCharType="end"/>
      </w:r>
      <w:r w:rsidRPr="004C78D8">
        <w:t xml:space="preserve">. </w:t>
      </w:r>
      <w:r w:rsidR="005F7FEF" w:rsidRPr="004C78D8">
        <w:t>T</w:t>
      </w:r>
      <w:r w:rsidRPr="004C78D8">
        <w:t>he model account</w:t>
      </w:r>
      <w:r w:rsidR="005C2472" w:rsidRPr="004C78D8">
        <w:t>ed</w:t>
      </w:r>
      <w:r w:rsidRPr="004C78D8">
        <w:t xml:space="preserve"> for this type of uncertainty by re-running </w:t>
      </w:r>
      <w:r w:rsidR="00665FE3" w:rsidRPr="004C78D8">
        <w:t xml:space="preserve">each </w:t>
      </w:r>
      <w:r w:rsidRPr="004C78D8">
        <w:t>analys</w:t>
      </w:r>
      <w:r w:rsidR="00665FE3" w:rsidRPr="004C78D8">
        <w:t>is</w:t>
      </w:r>
      <w:r w:rsidRPr="004C78D8">
        <w:t xml:space="preserve"> with </w:t>
      </w:r>
      <w:r w:rsidR="00665FE3" w:rsidRPr="004C78D8">
        <w:t>20</w:t>
      </w:r>
      <w:r w:rsidRPr="004C78D8">
        <w:t xml:space="preserve"> random number seeds and </w:t>
      </w:r>
      <w:r w:rsidR="00AF378C" w:rsidRPr="004C78D8">
        <w:t>reporting</w:t>
      </w:r>
      <w:r w:rsidRPr="004C78D8">
        <w:t xml:space="preserve"> the average outcome across </w:t>
      </w:r>
      <w:r w:rsidR="00AF378C" w:rsidRPr="004C78D8">
        <w:t xml:space="preserve">the </w:t>
      </w:r>
      <w:r w:rsidRPr="004C78D8">
        <w:t>runs</w:t>
      </w:r>
      <w:r w:rsidR="00AF378C" w:rsidRPr="004C78D8">
        <w:t xml:space="preserve">. </w:t>
      </w:r>
      <w:r w:rsidR="00DB1DF8" w:rsidRPr="004C78D8">
        <w:t>The number of 20 was chosen due to constraints on the computational time imposed by the number of base case and scenario analyses. Overall</w:t>
      </w:r>
      <w:r w:rsidR="005F7FEF" w:rsidRPr="004C78D8">
        <w:t>, t</w:t>
      </w:r>
      <w:r w:rsidR="00AF378C" w:rsidRPr="004C78D8">
        <w:t xml:space="preserve">he deterministic </w:t>
      </w:r>
      <w:r w:rsidR="005F7FEF" w:rsidRPr="004C78D8">
        <w:t xml:space="preserve">model </w:t>
      </w:r>
      <w:r w:rsidR="00AF378C" w:rsidRPr="004C78D8">
        <w:t>outcomes (as opposed to probabilistic outcomes) incorporate</w:t>
      </w:r>
      <w:r w:rsidR="005C2472" w:rsidRPr="004C78D8">
        <w:t>d</w:t>
      </w:r>
      <w:r w:rsidR="00AF378C" w:rsidRPr="004C78D8">
        <w:t xml:space="preserve"> </w:t>
      </w:r>
      <w:r w:rsidR="00625921" w:rsidRPr="004C78D8">
        <w:t xml:space="preserve">the impact of </w:t>
      </w:r>
      <w:r w:rsidR="00AF378C" w:rsidRPr="004C78D8">
        <w:t xml:space="preserve">first-order uncertainty. </w:t>
      </w:r>
    </w:p>
    <w:p w14:paraId="31F10394" w14:textId="62532225" w:rsidR="006153C0" w:rsidRPr="004C78D8" w:rsidRDefault="006206A1" w:rsidP="00FB7C1F">
      <w:pPr>
        <w:pStyle w:val="Heading4"/>
      </w:pPr>
      <w:r w:rsidRPr="004C78D8">
        <w:t>5</w:t>
      </w:r>
      <w:r w:rsidR="006153C0" w:rsidRPr="004C78D8">
        <w:t>.</w:t>
      </w:r>
      <w:r w:rsidR="00332ADA" w:rsidRPr="004C78D8">
        <w:t>4</w:t>
      </w:r>
      <w:r w:rsidR="006153C0" w:rsidRPr="004C78D8">
        <w:t>.</w:t>
      </w:r>
      <w:r w:rsidR="000702B1" w:rsidRPr="004C78D8">
        <w:t>1.</w:t>
      </w:r>
      <w:r w:rsidR="006153C0" w:rsidRPr="004C78D8">
        <w:t xml:space="preserve">3 </w:t>
      </w:r>
      <w:r w:rsidR="00137D86" w:rsidRPr="004C78D8">
        <w:t>Probabilistic sensitivity analysis</w:t>
      </w:r>
    </w:p>
    <w:p w14:paraId="5A4965EC" w14:textId="2B0CD646" w:rsidR="00A9052A" w:rsidRPr="004C78D8" w:rsidRDefault="00E006DC" w:rsidP="00FB7C1F">
      <w:r w:rsidRPr="004C78D8">
        <w:t>Parameter, or second-order, uncertainty arises from</w:t>
      </w:r>
      <w:r w:rsidR="006153C0" w:rsidRPr="004C78D8">
        <w:t xml:space="preserve"> sampling error</w:t>
      </w:r>
      <w:r w:rsidR="0075213F" w:rsidRPr="004C78D8">
        <w:t>s</w:t>
      </w:r>
      <w:r w:rsidR="006153C0" w:rsidRPr="004C78D8">
        <w:t xml:space="preserve"> </w:t>
      </w:r>
      <w:r w:rsidR="0075213F" w:rsidRPr="004C78D8">
        <w:t>associated with</w:t>
      </w:r>
      <w:r w:rsidRPr="004C78D8">
        <w:t xml:space="preserve"> the parameter point estimates used in analysis </w:t>
      </w:r>
      <w:r w:rsidRPr="004C78D8">
        <w:fldChar w:fldCharType="begin"/>
      </w:r>
      <w:r w:rsidR="00C630FC" w:rsidRPr="004C78D8">
        <w:instrText xml:space="preserve"> ADDIN EN.CITE &lt;EndNote&gt;&lt;Cite&gt;&lt;Author&gt;Drummond&lt;/Author&gt;&lt;Year&gt;2015&lt;/Year&gt;&lt;RecNum&gt;2&lt;/RecNum&gt;&lt;DisplayText&gt;[145, 416]&lt;/DisplayText&gt;&lt;record&gt;&lt;rec-number&gt;2&lt;/rec-number&gt;&lt;foreign-keys&gt;&lt;key app="EN" db-id="tdtrdw9aepptzbefsat599syza29sxsd2wsp" timestamp="1596571149"&gt;2&lt;/key&gt;&lt;/foreign-keys&gt;&lt;ref-type name="Book"&gt;6&lt;/ref-type&gt;&lt;contributors&gt;&lt;authors&gt;&lt;author&gt;Drummond, Michael F&lt;/author&gt;&lt;author&gt;Sculpher, Mark J&lt;/author&gt;&lt;author&gt;Claxton, Karl&lt;/author&gt;&lt;author&gt;Stoddart, Greg L&lt;/author&gt;&lt;author&gt;Torrance, George W&lt;/author&gt;&lt;/authors&gt;&lt;/contributors&gt;&lt;titles&gt;&lt;title&gt;Methods for the economic evaluation of health care programmes&lt;/title&gt;&lt;/titles&gt;&lt;dates&gt;&lt;year&gt;2015&lt;/year&gt;&lt;/dates&gt;&lt;publisher&gt;Oxford university press&lt;/publisher&gt;&lt;isbn&gt;0191643580&lt;/isbn&gt;&lt;urls&gt;&lt;/urls&gt;&lt;/record&gt;&lt;/Cite&gt;&lt;Cite&gt;&lt;Author&gt;Davis&lt;/Author&gt;&lt;Year&gt;2014&lt;/Year&gt;&lt;RecNum&gt;770&lt;/RecNum&gt;&lt;record&gt;&lt;rec-number&gt;770&lt;/rec-number&gt;&lt;foreign-keys&gt;&lt;key app="EN" db-id="tdtrdw9aepptzbefsat599syza29sxsd2wsp" timestamp="1637608426"&gt;770&lt;/key&gt;&lt;/foreign-keys&gt;&lt;ref-type name="Journal Article"&gt;17&lt;/ref-type&gt;&lt;contributors&gt;&lt;authors&gt;&lt;author&gt;Davis, Sarah&lt;/author&gt;&lt;author&gt;Stevenson, Matt&lt;/author&gt;&lt;author&gt;Tappenden, Paul&lt;/author&gt;&lt;author&gt;Wailoo, Allan&lt;/author&gt;&lt;/authors&gt;&lt;/contributors&gt;&lt;titles&gt;&lt;title&gt;NICE DSU Technical Support Document 15: cost-effectiveness modelling using patient-level simulation&lt;/title&gt;&lt;secondary-title&gt;Rep BY Decis Support UNIT&lt;/secondary-title&gt;&lt;/titles&gt;&lt;periodical&gt;&lt;full-title&gt;Rep BY Decis Support UNIT&lt;/full-title&gt;&lt;/periodical&gt;&lt;dates&gt;&lt;year&gt;2014&lt;/year&gt;&lt;/dates&gt;&lt;urls&gt;&lt;/urls&gt;&lt;/record&gt;&lt;/Cite&gt;&lt;/EndNote&gt;</w:instrText>
      </w:r>
      <w:r w:rsidRPr="004C78D8">
        <w:fldChar w:fldCharType="separate"/>
      </w:r>
      <w:r w:rsidR="00C630FC" w:rsidRPr="004C78D8">
        <w:rPr>
          <w:noProof/>
        </w:rPr>
        <w:t>[145, 416]</w:t>
      </w:r>
      <w:r w:rsidRPr="004C78D8">
        <w:fldChar w:fldCharType="end"/>
      </w:r>
      <w:r w:rsidRPr="004C78D8">
        <w:t xml:space="preserve">. </w:t>
      </w:r>
      <w:r w:rsidR="00A9052A" w:rsidRPr="004C78D8">
        <w:t>P</w:t>
      </w:r>
      <w:r w:rsidR="006153C0" w:rsidRPr="004C78D8">
        <w:t>robabilistic sensitivity analys</w:t>
      </w:r>
      <w:r w:rsidR="00A9052A" w:rsidRPr="004C78D8">
        <w:t>i</w:t>
      </w:r>
      <w:r w:rsidR="006153C0" w:rsidRPr="004C78D8">
        <w:t xml:space="preserve">s (PSA) </w:t>
      </w:r>
      <w:r w:rsidRPr="004C78D8">
        <w:t xml:space="preserve">can be used to assess the </w:t>
      </w:r>
      <w:r w:rsidR="00A9052A" w:rsidRPr="004C78D8">
        <w:t xml:space="preserve">joint </w:t>
      </w:r>
      <w:r w:rsidRPr="004C78D8">
        <w:t xml:space="preserve">impact of </w:t>
      </w:r>
      <w:r w:rsidR="00A9052A" w:rsidRPr="004C78D8">
        <w:t>second-order</w:t>
      </w:r>
      <w:r w:rsidRPr="004C78D8">
        <w:t xml:space="preserve"> uncertaint</w:t>
      </w:r>
      <w:r w:rsidR="00A9052A" w:rsidRPr="004C78D8">
        <w:t>ies</w:t>
      </w:r>
      <w:r w:rsidRPr="004C78D8">
        <w:t xml:space="preserve"> </w:t>
      </w:r>
      <w:r w:rsidR="00A9052A" w:rsidRPr="004C78D8">
        <w:t xml:space="preserve">of all incorporated parameters on outcomes </w:t>
      </w:r>
      <w:r w:rsidR="006153C0" w:rsidRPr="004C78D8">
        <w:fldChar w:fldCharType="begin"/>
      </w:r>
      <w:r w:rsidR="00513646" w:rsidRPr="004C78D8">
        <w:instrText xml:space="preserve"> ADDIN EN.CITE &lt;EndNote&gt;&lt;Cite&gt;&lt;Author&gt;Drummond&lt;/Author&gt;&lt;Year&gt;2015&lt;/Year&gt;&lt;RecNum&gt;2&lt;/RecNum&gt;&lt;DisplayText&gt;[145]&lt;/DisplayText&gt;&lt;record&gt;&lt;rec-number&gt;2&lt;/rec-number&gt;&lt;foreign-keys&gt;&lt;key app="EN" db-id="tdtrdw9aepptzbefsat599syza29sxsd2wsp" timestamp="1596571149"&gt;2&lt;/key&gt;&lt;/foreign-keys&gt;&lt;ref-type name="Book"&gt;6&lt;/ref-type&gt;&lt;contributors&gt;&lt;authors&gt;&lt;author&gt;Drummond, Michael F&lt;/author&gt;&lt;author&gt;Sculpher, Mark J&lt;/author&gt;&lt;author&gt;Claxton, Karl&lt;/author&gt;&lt;author&gt;Stoddart, Greg L&lt;/author&gt;&lt;author&gt;Torrance, George W&lt;/author&gt;&lt;/authors&gt;&lt;/contributors&gt;&lt;titles&gt;&lt;title&gt;Methods for the economic evaluation of health care programmes&lt;/title&gt;&lt;/titles&gt;&lt;dates&gt;&lt;year&gt;2015&lt;/year&gt;&lt;/dates&gt;&lt;publisher&gt;Oxford university press&lt;/publisher&gt;&lt;isbn&gt;0191643580&lt;/isbn&gt;&lt;urls&gt;&lt;/urls&gt;&lt;/record&gt;&lt;/Cite&gt;&lt;/EndNote&gt;</w:instrText>
      </w:r>
      <w:r w:rsidR="006153C0" w:rsidRPr="004C78D8">
        <w:fldChar w:fldCharType="separate"/>
      </w:r>
      <w:r w:rsidR="00513646" w:rsidRPr="004C78D8">
        <w:rPr>
          <w:noProof/>
        </w:rPr>
        <w:t>[145]</w:t>
      </w:r>
      <w:r w:rsidR="006153C0" w:rsidRPr="004C78D8">
        <w:fldChar w:fldCharType="end"/>
      </w:r>
      <w:r w:rsidR="006153C0" w:rsidRPr="004C78D8">
        <w:t xml:space="preserve">. </w:t>
      </w:r>
      <w:r w:rsidR="00A9052A" w:rsidRPr="004C78D8">
        <w:t xml:space="preserve">Therefore, for the primary evaluation framework (40-year CUA under the societal perspective), PSA </w:t>
      </w:r>
      <w:r w:rsidR="0091342F" w:rsidRPr="004C78D8">
        <w:t xml:space="preserve">outcomes </w:t>
      </w:r>
      <w:r w:rsidR="008036CE" w:rsidRPr="004C78D8">
        <w:t>we</w:t>
      </w:r>
      <w:r w:rsidR="00A9052A" w:rsidRPr="004C78D8">
        <w:t xml:space="preserve">re presented as the main result. PSA </w:t>
      </w:r>
      <w:r w:rsidR="009A6F3C" w:rsidRPr="004C78D8">
        <w:t>wa</w:t>
      </w:r>
      <w:r w:rsidR="00A9052A" w:rsidRPr="004C78D8">
        <w:t xml:space="preserve">s conducted on the random number seed </w:t>
      </w:r>
      <w:r w:rsidR="00665FE3" w:rsidRPr="004C78D8">
        <w:t xml:space="preserve">(‘base seed’) </w:t>
      </w:r>
      <w:r w:rsidR="00054CB2" w:rsidRPr="004C78D8">
        <w:t>that closely</w:t>
      </w:r>
      <w:r w:rsidR="00A9052A" w:rsidRPr="004C78D8">
        <w:t xml:space="preserve"> approach</w:t>
      </w:r>
      <w:r w:rsidR="00054CB2" w:rsidRPr="004C78D8">
        <w:t>e</w:t>
      </w:r>
      <w:r w:rsidR="00665FE3" w:rsidRPr="004C78D8">
        <w:t>d</w:t>
      </w:r>
      <w:r w:rsidR="00A9052A" w:rsidRPr="004C78D8">
        <w:t xml:space="preserve"> the </w:t>
      </w:r>
      <w:r w:rsidR="00665FE3" w:rsidRPr="004C78D8">
        <w:t>20</w:t>
      </w:r>
      <w:r w:rsidR="00A9052A" w:rsidRPr="004C78D8">
        <w:t>-run average</w:t>
      </w:r>
      <w:r w:rsidR="00054CB2" w:rsidRPr="004C78D8">
        <w:t>.</w:t>
      </w:r>
    </w:p>
    <w:p w14:paraId="7AD9F3D2" w14:textId="619E9AB9" w:rsidR="003F0440" w:rsidRPr="004C78D8" w:rsidRDefault="006153C0" w:rsidP="00FB7C1F">
      <w:r w:rsidRPr="004C78D8">
        <w:t xml:space="preserve">For </w:t>
      </w:r>
      <w:r w:rsidR="007E3B50" w:rsidRPr="004C78D8">
        <w:t>the multivariate linear and logistic regressions</w:t>
      </w:r>
      <w:r w:rsidRPr="004C78D8">
        <w:t>, estimates were randomly sampled from</w:t>
      </w:r>
      <w:r w:rsidR="00A27BC3" w:rsidRPr="004C78D8">
        <w:t xml:space="preserve"> the</w:t>
      </w:r>
      <w:r w:rsidRPr="004C78D8">
        <w:t xml:space="preserve"> joint Normal distribution that had the point estimates reported in </w:t>
      </w:r>
      <w:r w:rsidR="003C2A38" w:rsidRPr="004C78D8">
        <w:t xml:space="preserve">Section </w:t>
      </w:r>
      <w:r w:rsidR="006206A1" w:rsidRPr="004C78D8">
        <w:t>5</w:t>
      </w:r>
      <w:r w:rsidR="003C2A38" w:rsidRPr="004C78D8">
        <w:t>.</w:t>
      </w:r>
      <w:r w:rsidR="00665FE3" w:rsidRPr="004C78D8">
        <w:t>2</w:t>
      </w:r>
      <w:r w:rsidRPr="004C78D8">
        <w:t xml:space="preserve"> tables as mean values and the estimated variance-covariance matrices as measures of variability</w:t>
      </w:r>
      <w:r w:rsidR="000673DF" w:rsidRPr="004C78D8">
        <w:t xml:space="preserve"> (Tables </w:t>
      </w:r>
      <w:r w:rsidR="006206A1" w:rsidRPr="004C78D8">
        <w:t>E22</w:t>
      </w:r>
      <w:r w:rsidR="00665FE3" w:rsidRPr="004C78D8">
        <w:t>.1</w:t>
      </w:r>
      <w:r w:rsidR="000673DF" w:rsidRPr="004C78D8">
        <w:t>-</w:t>
      </w:r>
      <w:r w:rsidR="006206A1" w:rsidRPr="004C78D8">
        <w:t>E24</w:t>
      </w:r>
      <w:r w:rsidR="00665FE3" w:rsidRPr="004C78D8">
        <w:t>.14</w:t>
      </w:r>
      <w:r w:rsidR="008036CE" w:rsidRPr="004C78D8">
        <w:t>,</w:t>
      </w:r>
      <w:r w:rsidR="000673DF" w:rsidRPr="004C78D8">
        <w:t xml:space="preserve"> Appendix E). </w:t>
      </w:r>
    </w:p>
    <w:p w14:paraId="0ABEE47A" w14:textId="70B2B431" w:rsidR="006153C0" w:rsidRPr="004C78D8" w:rsidRDefault="006153C0" w:rsidP="00FB7C1F">
      <w:r w:rsidRPr="004C78D8">
        <w:t xml:space="preserve">For </w:t>
      </w:r>
      <w:r w:rsidR="007E3B50" w:rsidRPr="004C78D8">
        <w:t>the remaining parameters</w:t>
      </w:r>
      <w:r w:rsidRPr="004C78D8">
        <w:t xml:space="preserve">, Table </w:t>
      </w:r>
      <w:r w:rsidR="006206A1" w:rsidRPr="004C78D8">
        <w:t>5</w:t>
      </w:r>
      <w:r w:rsidR="003C2A38" w:rsidRPr="004C78D8">
        <w:t>.5</w:t>
      </w:r>
      <w:r w:rsidR="006206A1" w:rsidRPr="004C78D8">
        <w:t>2</w:t>
      </w:r>
      <w:r w:rsidRPr="004C78D8">
        <w:t xml:space="preserve"> shows their distributional assumptions. Parameters constrained to be positive were assigned Gamma distributions, while those constrained to lie between zero and one </w:t>
      </w:r>
      <w:r w:rsidR="00A27BC3" w:rsidRPr="004C78D8">
        <w:t xml:space="preserve">were assigned </w:t>
      </w:r>
      <w:r w:rsidRPr="004C78D8">
        <w:t xml:space="preserve">Beta distributions </w:t>
      </w:r>
      <w:r w:rsidRPr="004C78D8">
        <w:fldChar w:fldCharType="begin"/>
      </w:r>
      <w:r w:rsidR="00C630FC" w:rsidRPr="004C78D8">
        <w:instrText xml:space="preserve"> ADDIN EN.CITE &lt;EndNote&gt;&lt;Cite&gt;&lt;Author&gt;Briggs&lt;/Author&gt;&lt;Year&gt;2002&lt;/Year&gt;&lt;RecNum&gt;694&lt;/RecNum&gt;&lt;DisplayText&gt;[417]&lt;/DisplayText&gt;&lt;record&gt;&lt;rec-number&gt;694&lt;/rec-number&gt;&lt;foreign-keys&gt;&lt;key app="EN" db-id="tdtrdw9aepptzbefsat599syza29sxsd2wsp" timestamp="1630763813"&gt;694&lt;/key&gt;&lt;/foreign-keys&gt;&lt;ref-type name="Journal Article"&gt;17&lt;/ref-type&gt;&lt;contributors&gt;&lt;authors&gt;&lt;author&gt;Briggs, Andrew H&lt;/author&gt;&lt;author&gt;Goeree, Ron&lt;/author&gt;&lt;author&gt;Blackhouse, Gord&lt;/author&gt;&lt;author&gt;O’Brien, Bernie J&lt;/author&gt;&lt;/authors&gt;&lt;/contributors&gt;&lt;titles&gt;&lt;title&gt;Probabilistic analysis of cost-effectiveness models: choosing between treatment strategies for gastroesophageal reflux disease&lt;/title&gt;&lt;secondary-title&gt;Medical decision making&lt;/secondary-title&gt;&lt;/titles&gt;&lt;periodical&gt;&lt;full-title&gt;Medical Decision Making&lt;/full-title&gt;&lt;/periodical&gt;&lt;pages&gt;290-308&lt;/pages&gt;&lt;volume&gt;22&lt;/volume&gt;&lt;number&gt;4&lt;/number&gt;&lt;dates&gt;&lt;year&gt;2002&lt;/year&gt;&lt;/dates&gt;&lt;isbn&gt;0272-989X&lt;/isbn&gt;&lt;urls&gt;&lt;/urls&gt;&lt;/record&gt;&lt;/Cite&gt;&lt;/EndNote&gt;</w:instrText>
      </w:r>
      <w:r w:rsidRPr="004C78D8">
        <w:fldChar w:fldCharType="separate"/>
      </w:r>
      <w:r w:rsidR="00C630FC" w:rsidRPr="004C78D8">
        <w:rPr>
          <w:noProof/>
        </w:rPr>
        <w:t>[417]</w:t>
      </w:r>
      <w:r w:rsidRPr="004C78D8">
        <w:fldChar w:fldCharType="end"/>
      </w:r>
      <w:r w:rsidR="007E3B50" w:rsidRPr="004C78D8">
        <w:t>.</w:t>
      </w:r>
      <w:r w:rsidRPr="004C78D8">
        <w:t xml:space="preserve"> </w:t>
      </w:r>
      <w:r w:rsidR="007E3B50" w:rsidRPr="004C78D8">
        <w:t>I</w:t>
      </w:r>
      <w:r w:rsidRPr="004C78D8">
        <w:t xml:space="preserve">ntervention efficacy RRs were assigned lognormal distributions </w:t>
      </w:r>
      <w:r w:rsidRPr="004C78D8">
        <w:fldChar w:fldCharType="begin"/>
      </w:r>
      <w:r w:rsidR="00C630FC" w:rsidRPr="004C78D8">
        <w:instrText xml:space="preserve"> ADDIN EN.CITE &lt;EndNote&gt;&lt;Cite&gt;&lt;Author&gt;Briggs&lt;/Author&gt;&lt;Year&gt;2012&lt;/Year&gt;&lt;RecNum&gt;539&lt;/RecNum&gt;&lt;DisplayText&gt;[371]&lt;/DisplayText&gt;&lt;record&gt;&lt;rec-number&gt;539&lt;/rec-number&gt;&lt;foreign-keys&gt;&lt;key app="EN" db-id="tdtrdw9aepptzbefsat599syza29sxsd2wsp" timestamp="1618583276"&gt;539&lt;/key&gt;&lt;/foreign-keys&gt;&lt;ref-type name="Journal Article"&gt;17&lt;/ref-type&gt;&lt;contributors&gt;&lt;authors&gt;&lt;author&gt;Briggs, Andrew H&lt;/author&gt;&lt;author&gt;Weinstein, Milton C&lt;/author&gt;&lt;author&gt;Fenwick, Elisabeth AL&lt;/author&gt;&lt;author&gt;Karnon, Jonathan&lt;/author&gt;&lt;author&gt;Sculpher, Mark J&lt;/author&gt;&lt;author&gt;Paltiel, A David&lt;/author&gt;&lt;/authors&gt;&lt;/contributors&gt;&lt;titles&gt;&lt;title&gt;Model parameter estimation and uncertainty analysis: a report of the ISPOR-SMDM Modeling Good Research Practices Task Force Working Group–6&lt;/title&gt;&lt;secondary-title&gt;Medical decision making&lt;/secondary-title&gt;&lt;/titles&gt;&lt;periodical&gt;&lt;full-title&gt;Medical Decision Making&lt;/full-title&gt;&lt;/periodical&gt;&lt;pages&gt;722-732&lt;/pages&gt;&lt;volume&gt;32&lt;/volume&gt;&lt;number&gt;5&lt;/number&gt;&lt;dates&gt;&lt;year&gt;2012&lt;/year&gt;&lt;/dates&gt;&lt;isbn&gt;0272-989X&lt;/isbn&gt;&lt;urls&gt;&lt;/urls&gt;&lt;/record&gt;&lt;/Cite&gt;&lt;/EndNote&gt;</w:instrText>
      </w:r>
      <w:r w:rsidRPr="004C78D8">
        <w:fldChar w:fldCharType="separate"/>
      </w:r>
      <w:r w:rsidR="00C630FC" w:rsidRPr="004C78D8">
        <w:rPr>
          <w:noProof/>
        </w:rPr>
        <w:t>[371]</w:t>
      </w:r>
      <w:r w:rsidRPr="004C78D8">
        <w:fldChar w:fldCharType="end"/>
      </w:r>
      <w:r w:rsidRPr="004C78D8">
        <w:t xml:space="preserve">. The standard error (SE) expressed the extent of sampling-related uncertainty around a point estimate. Hence, the relative magnitude of SE as a proportion of the mean/point estimate was obtained from existing models identified in Chapter </w:t>
      </w:r>
      <w:r w:rsidR="000A085C" w:rsidRPr="004C78D8">
        <w:t>4</w:t>
      </w:r>
      <w:r w:rsidRPr="004C78D8">
        <w:t xml:space="preserve">. For example, Sach (2007) reported </w:t>
      </w:r>
      <w:r w:rsidR="00600556" w:rsidRPr="004C78D8">
        <w:t>the</w:t>
      </w:r>
      <w:r w:rsidRPr="004C78D8">
        <w:t xml:space="preserve"> standard deviation of </w:t>
      </w:r>
      <w:r w:rsidR="005C2472" w:rsidRPr="004C78D8">
        <w:t xml:space="preserve">the </w:t>
      </w:r>
      <w:r w:rsidRPr="004C78D8">
        <w:t>annual cost of district nursing (i.e., community healthcare)</w:t>
      </w:r>
      <w:r w:rsidR="00600556" w:rsidRPr="004C78D8">
        <w:t xml:space="preserve">, from which the SE could be derived </w:t>
      </w:r>
      <w:r w:rsidR="00600556" w:rsidRPr="004C78D8">
        <w:fldChar w:fldCharType="begin"/>
      </w:r>
      <w:r w:rsidR="00C630FC" w:rsidRPr="004C78D8">
        <w:instrText xml:space="preserve"> ADDIN EN.CITE &lt;EndNote&gt;&lt;Cite&gt;&lt;Author&gt;Sach&lt;/Author&gt;&lt;Year&gt;2007&lt;/Year&gt;&lt;RecNum&gt;354&lt;/RecNum&gt;&lt;DisplayText&gt;[349]&lt;/DisplayText&gt;&lt;record&gt;&lt;rec-number&gt;354&lt;/rec-number&gt;&lt;foreign-keys&gt;&lt;key app="EN" db-id="tdtrdw9aepptzbefsat599syza29sxsd2wsp" timestamp="1612212070"&gt;354&lt;/key&gt;&lt;/foreign-keys&gt;&lt;ref-type name="Journal Article"&gt;17&lt;/ref-type&gt;&lt;contributors&gt;&lt;authors&gt;&lt;author&gt;Sach, T. H.&lt;/author&gt;&lt;author&gt;Foss, A. J.&lt;/author&gt;&lt;author&gt;Gregson, R. M.&lt;/author&gt;&lt;author&gt;Zaman, A.&lt;/author&gt;&lt;author&gt;Osborn, F.&lt;/author&gt;&lt;author&gt;Masud, T.&lt;/author&gt;&lt;author&gt;Harwood, R. H.&lt;/author&gt;&lt;/authors&gt;&lt;/contributors&gt;&lt;auth-address&gt;School of Chemical Sciences and Pharmacy, University of East Anglia, Norwich NR4 7TJ, UK. T.Sach@uea.ac.uk&lt;/auth-address&gt;&lt;titles&gt;&lt;title&gt;Falls and health status in elderly women following first eye cataract surgery: an economic evaluation conducted alongside a randomised controlled trial&lt;/title&gt;&lt;secondary-title&gt;Br J Ophthalmol&lt;/secondary-title&gt;&lt;/titles&gt;&lt;periodical&gt;&lt;full-title&gt;Br J Ophthalmol&lt;/full-title&gt;&lt;/periodical&gt;&lt;pages&gt;1675-9&lt;/pages&gt;&lt;volume&gt;91&lt;/volume&gt;&lt;number&gt;12&lt;/number&gt;&lt;keywords&gt;&lt;keyword&gt;*Accidental Falls/prevention &amp;amp; control&lt;/keyword&gt;&lt;keyword&gt;Aged&lt;/keyword&gt;&lt;keyword&gt;Cataract/physiopathology&lt;/keyword&gt;&lt;keyword&gt;Cataract Extraction/*economics&lt;/keyword&gt;&lt;keyword&gt;Cost-Benefit Analysis&lt;/keyword&gt;&lt;keyword&gt;Female&lt;/keyword&gt;&lt;keyword&gt;Health Care Costs&lt;/keyword&gt;&lt;keyword&gt;*Health Status&lt;/keyword&gt;&lt;keyword&gt;Humans&lt;/keyword&gt;&lt;keyword&gt;Models, Economic&lt;/keyword&gt;&lt;keyword&gt;Postoperative Period&lt;/keyword&gt;&lt;keyword&gt;Quality-Adjusted Life Years&lt;/keyword&gt;&lt;keyword&gt;Visual Acuity&lt;/keyword&gt;&lt;/keywords&gt;&lt;dates&gt;&lt;year&gt;2007&lt;/year&gt;&lt;pub-dates&gt;&lt;date&gt;Dec&lt;/date&gt;&lt;/pub-dates&gt;&lt;/dates&gt;&lt;isbn&gt;1468-2079 (Electronic)&amp;#xD;0007-1161 (Linking)&lt;/isbn&gt;&lt;accession-num&gt;17585002&lt;/accession-num&gt;&lt;urls&gt;&lt;related-urls&gt;&lt;url&gt;https://www.ncbi.nlm.nih.gov/pubmed/17585002&lt;/url&gt;&lt;/related-urls&gt;&lt;/urls&gt;&lt;custom2&gt;PMC2095519&lt;/custom2&gt;&lt;electronic-resource-num&gt;10.1136/bjo.2007.118687&lt;/electronic-resource-num&gt;&lt;/record&gt;&lt;/Cite&gt;&lt;/EndNote&gt;</w:instrText>
      </w:r>
      <w:r w:rsidR="00600556" w:rsidRPr="004C78D8">
        <w:fldChar w:fldCharType="separate"/>
      </w:r>
      <w:r w:rsidR="00C630FC" w:rsidRPr="004C78D8">
        <w:rPr>
          <w:noProof/>
        </w:rPr>
        <w:t>[349]</w:t>
      </w:r>
      <w:r w:rsidR="00600556" w:rsidRPr="004C78D8">
        <w:fldChar w:fldCharType="end"/>
      </w:r>
      <w:r w:rsidR="00600556" w:rsidRPr="004C78D8">
        <w:t>; this SE</w:t>
      </w:r>
      <w:r w:rsidRPr="004C78D8">
        <w:t xml:space="preserve"> was 8.2% of the mean cost </w:t>
      </w:r>
      <w:r w:rsidR="00600556" w:rsidRPr="004C78D8">
        <w:t>of district nursing</w:t>
      </w:r>
      <w:r w:rsidRPr="004C78D8">
        <w:t xml:space="preserve">. The SE/mean proportion of 8.2% corresponded to </w:t>
      </w:r>
      <w:r w:rsidR="007E3B50" w:rsidRPr="004C78D8">
        <w:t xml:space="preserve">the </w:t>
      </w:r>
      <w:r w:rsidRPr="004C78D8">
        <w:t xml:space="preserve">shape parameter </w:t>
      </w:r>
      <w:r w:rsidRPr="004C78D8">
        <w:rPr>
          <w:i/>
          <w:iCs/>
        </w:rPr>
        <w:t>k</w:t>
      </w:r>
      <w:r w:rsidRPr="004C78D8">
        <w:t xml:space="preserve"> of value 148.7 for the Gamma distribution. As far as possible, such literature-based information w</w:t>
      </w:r>
      <w:r w:rsidR="005C2472" w:rsidRPr="004C78D8">
        <w:t>as</w:t>
      </w:r>
      <w:r w:rsidRPr="004C78D8">
        <w:t xml:space="preserve"> used to estimate the shape parameters of Gamma and Beta distributions</w:t>
      </w:r>
      <w:r w:rsidR="007E3B50" w:rsidRPr="004C78D8">
        <w:t>.</w:t>
      </w:r>
      <w:r w:rsidRPr="004C78D8">
        <w:t xml:space="preserve"> SEs for efficacy RRs were obtained directly from RCTs. In several cases, the best available information were assumptions made by previous models: e.g., Franklin (2019) assumed that SE for Gamma-distributed LTC cost was 10% of </w:t>
      </w:r>
      <w:r w:rsidR="005C2472" w:rsidRPr="004C78D8">
        <w:t xml:space="preserve">the </w:t>
      </w:r>
      <w:r w:rsidRPr="004C78D8">
        <w:t xml:space="preserve">mean </w:t>
      </w:r>
      <w:r w:rsidRPr="004C78D8">
        <w:fldChar w:fldCharType="begin"/>
      </w:r>
      <w:r w:rsidR="00C630FC" w:rsidRPr="004C78D8">
        <w:instrText xml:space="preserve"> ADDIN EN.CITE &lt;EndNote&gt;&lt;Cite&gt;&lt;Author&gt;Franklin&lt;/Author&gt;&lt;Year&gt;2019&lt;/Year&gt;&lt;RecNum&gt;395&lt;/RecNum&gt;&lt;DisplayText&gt;[363]&lt;/DisplayText&gt;&lt;record&gt;&lt;rec-number&gt;395&lt;/rec-number&gt;&lt;foreign-keys&gt;&lt;key app="EN" db-id="tdtrdw9aepptzbefsat599syza29sxsd2wsp" timestamp="1612694614"&gt;395&lt;/key&gt;&lt;/foreign-keys&gt;&lt;ref-type name="Journal Article"&gt;17&lt;/ref-type&gt;&lt;contributors&gt;&lt;authors&gt;&lt;author&gt;Franklin, Matthew&lt;/author&gt;&lt;author&gt;Hunter, Rachael Maree&lt;/author&gt;&lt;/authors&gt;&lt;/contributors&gt;&lt;titles&gt;&lt;title&gt;A modelling-based economic evaluation of primary-care-based fall-risk screening followed by fall-prevention intervention: a cohort-based Markov model stratified by older age groups&lt;/title&gt;&lt;secondary-title&gt;Age and ageing&lt;/secondary-title&gt;&lt;/titles&gt;&lt;periodical&gt;&lt;full-title&gt;Age and ageing&lt;/full-title&gt;&lt;/periodical&gt;&lt;dates&gt;&lt;year&gt;2019&lt;/year&gt;&lt;/dates&gt;&lt;urls&gt;&lt;/urls&gt;&lt;/record&gt;&lt;/Cite&gt;&lt;/EndNote&gt;</w:instrText>
      </w:r>
      <w:r w:rsidRPr="004C78D8">
        <w:fldChar w:fldCharType="separate"/>
      </w:r>
      <w:r w:rsidR="00C630FC" w:rsidRPr="004C78D8">
        <w:rPr>
          <w:noProof/>
        </w:rPr>
        <w:t>[363]</w:t>
      </w:r>
      <w:r w:rsidRPr="004C78D8">
        <w:fldChar w:fldCharType="end"/>
      </w:r>
      <w:r w:rsidRPr="004C78D8">
        <w:t xml:space="preserve">. </w:t>
      </w:r>
    </w:p>
    <w:tbl>
      <w:tblPr>
        <w:tblStyle w:val="TableGrid"/>
        <w:tblW w:w="5000" w:type="pct"/>
        <w:tblLook w:val="04A0" w:firstRow="1" w:lastRow="0" w:firstColumn="1" w:lastColumn="0" w:noHBand="0" w:noVBand="1"/>
      </w:tblPr>
      <w:tblGrid>
        <w:gridCol w:w="417"/>
        <w:gridCol w:w="3534"/>
        <w:gridCol w:w="1419"/>
        <w:gridCol w:w="2544"/>
        <w:gridCol w:w="1102"/>
      </w:tblGrid>
      <w:tr w:rsidR="006153C0" w:rsidRPr="004C78D8" w14:paraId="0AE61FA3" w14:textId="77777777" w:rsidTr="00E35893">
        <w:tc>
          <w:tcPr>
            <w:tcW w:w="5000" w:type="pct"/>
            <w:gridSpan w:val="5"/>
          </w:tcPr>
          <w:p w14:paraId="584FDD35" w14:textId="2B4D1FCA" w:rsidR="006153C0" w:rsidRPr="004C78D8" w:rsidRDefault="006153C0" w:rsidP="00FB7C1F">
            <w:pPr>
              <w:jc w:val="left"/>
              <w:rPr>
                <w:b/>
                <w:bCs/>
              </w:rPr>
            </w:pPr>
            <w:r w:rsidRPr="004C78D8">
              <w:rPr>
                <w:b/>
                <w:bCs/>
              </w:rPr>
              <w:t xml:space="preserve">Table </w:t>
            </w:r>
            <w:r w:rsidR="006206A1" w:rsidRPr="004C78D8">
              <w:rPr>
                <w:b/>
                <w:bCs/>
              </w:rPr>
              <w:t>5</w:t>
            </w:r>
            <w:r w:rsidR="003C2A38" w:rsidRPr="004C78D8">
              <w:rPr>
                <w:b/>
                <w:bCs/>
              </w:rPr>
              <w:t>.5</w:t>
            </w:r>
            <w:r w:rsidR="006206A1" w:rsidRPr="004C78D8">
              <w:rPr>
                <w:b/>
                <w:bCs/>
              </w:rPr>
              <w:t>2</w:t>
            </w:r>
            <w:r w:rsidRPr="004C78D8">
              <w:t xml:space="preserve"> Parameter distributions used for probabilistic sensitivity analysis</w:t>
            </w:r>
            <w:r w:rsidR="00E34037" w:rsidRPr="004C78D8">
              <w:t>.</w:t>
            </w:r>
          </w:p>
        </w:tc>
      </w:tr>
      <w:tr w:rsidR="006153C0" w:rsidRPr="004C78D8" w14:paraId="4794F63F" w14:textId="77777777" w:rsidTr="00E35893">
        <w:tc>
          <w:tcPr>
            <w:tcW w:w="231" w:type="pct"/>
          </w:tcPr>
          <w:p w14:paraId="39585A7A" w14:textId="77777777" w:rsidR="006153C0" w:rsidRPr="004C78D8" w:rsidRDefault="006153C0" w:rsidP="00FB7C1F">
            <w:pPr>
              <w:jc w:val="left"/>
              <w:rPr>
                <w:b/>
                <w:bCs/>
                <w:sz w:val="20"/>
                <w:szCs w:val="20"/>
              </w:rPr>
            </w:pPr>
            <w:r w:rsidRPr="004C78D8">
              <w:rPr>
                <w:b/>
                <w:bCs/>
                <w:sz w:val="20"/>
                <w:szCs w:val="20"/>
              </w:rPr>
              <w:t>#</w:t>
            </w:r>
          </w:p>
        </w:tc>
        <w:tc>
          <w:tcPr>
            <w:tcW w:w="1960" w:type="pct"/>
          </w:tcPr>
          <w:p w14:paraId="0D93BEE2" w14:textId="77777777" w:rsidR="006153C0" w:rsidRPr="004C78D8" w:rsidRDefault="006153C0" w:rsidP="00FB7C1F">
            <w:pPr>
              <w:jc w:val="left"/>
              <w:rPr>
                <w:b/>
                <w:bCs/>
                <w:sz w:val="20"/>
                <w:szCs w:val="20"/>
              </w:rPr>
            </w:pPr>
            <w:r w:rsidRPr="004C78D8">
              <w:rPr>
                <w:b/>
                <w:bCs/>
                <w:sz w:val="20"/>
                <w:szCs w:val="20"/>
              </w:rPr>
              <w:t>Parameter</w:t>
            </w:r>
          </w:p>
        </w:tc>
        <w:tc>
          <w:tcPr>
            <w:tcW w:w="787" w:type="pct"/>
          </w:tcPr>
          <w:p w14:paraId="780E9F4B" w14:textId="77777777" w:rsidR="006153C0" w:rsidRPr="004C78D8" w:rsidRDefault="006153C0" w:rsidP="00FB7C1F">
            <w:pPr>
              <w:jc w:val="left"/>
              <w:rPr>
                <w:b/>
                <w:bCs/>
                <w:sz w:val="20"/>
                <w:szCs w:val="20"/>
              </w:rPr>
            </w:pPr>
            <w:r w:rsidRPr="004C78D8">
              <w:rPr>
                <w:b/>
                <w:bCs/>
                <w:sz w:val="20"/>
                <w:szCs w:val="20"/>
              </w:rPr>
              <w:t>Mean</w:t>
            </w:r>
          </w:p>
        </w:tc>
        <w:tc>
          <w:tcPr>
            <w:tcW w:w="1411" w:type="pct"/>
          </w:tcPr>
          <w:p w14:paraId="6401ED1D" w14:textId="77777777" w:rsidR="006153C0" w:rsidRPr="004C78D8" w:rsidRDefault="006153C0" w:rsidP="00FB7C1F">
            <w:pPr>
              <w:jc w:val="left"/>
              <w:rPr>
                <w:b/>
                <w:bCs/>
                <w:sz w:val="20"/>
                <w:szCs w:val="20"/>
              </w:rPr>
            </w:pPr>
            <w:r w:rsidRPr="004C78D8">
              <w:rPr>
                <w:b/>
                <w:bCs/>
                <w:sz w:val="20"/>
                <w:szCs w:val="20"/>
              </w:rPr>
              <w:t>Distribution</w:t>
            </w:r>
          </w:p>
        </w:tc>
        <w:tc>
          <w:tcPr>
            <w:tcW w:w="610" w:type="pct"/>
          </w:tcPr>
          <w:p w14:paraId="38F26EE4" w14:textId="77777777" w:rsidR="006153C0" w:rsidRPr="004C78D8" w:rsidRDefault="006153C0" w:rsidP="00FB7C1F">
            <w:pPr>
              <w:jc w:val="left"/>
              <w:rPr>
                <w:b/>
                <w:bCs/>
                <w:sz w:val="20"/>
                <w:szCs w:val="20"/>
              </w:rPr>
            </w:pPr>
            <w:r w:rsidRPr="004C78D8">
              <w:rPr>
                <w:b/>
                <w:bCs/>
                <w:sz w:val="20"/>
                <w:szCs w:val="20"/>
              </w:rPr>
              <w:t>Reference</w:t>
            </w:r>
          </w:p>
        </w:tc>
      </w:tr>
      <w:tr w:rsidR="006153C0" w:rsidRPr="004C78D8" w14:paraId="79383495" w14:textId="77777777" w:rsidTr="00E35893">
        <w:tc>
          <w:tcPr>
            <w:tcW w:w="5000" w:type="pct"/>
            <w:gridSpan w:val="5"/>
            <w:tcBorders>
              <w:bottom w:val="single" w:sz="4" w:space="0" w:color="auto"/>
            </w:tcBorders>
          </w:tcPr>
          <w:p w14:paraId="38B7AB6D" w14:textId="77777777" w:rsidR="006153C0" w:rsidRPr="004C78D8" w:rsidRDefault="006153C0" w:rsidP="00FB7C1F">
            <w:pPr>
              <w:jc w:val="left"/>
              <w:rPr>
                <w:b/>
                <w:bCs/>
                <w:i/>
                <w:iCs/>
                <w:sz w:val="20"/>
                <w:szCs w:val="20"/>
              </w:rPr>
            </w:pPr>
            <w:r w:rsidRPr="004C78D8">
              <w:rPr>
                <w:b/>
                <w:bCs/>
                <w:i/>
                <w:iCs/>
                <w:sz w:val="20"/>
                <w:szCs w:val="20"/>
              </w:rPr>
              <w:t>Values and costs</w:t>
            </w:r>
          </w:p>
        </w:tc>
      </w:tr>
      <w:tr w:rsidR="006153C0" w:rsidRPr="004C78D8" w14:paraId="6D33E377" w14:textId="77777777" w:rsidTr="00E35893">
        <w:tc>
          <w:tcPr>
            <w:tcW w:w="231" w:type="pct"/>
            <w:tcBorders>
              <w:bottom w:val="nil"/>
            </w:tcBorders>
          </w:tcPr>
          <w:p w14:paraId="7C463CF9" w14:textId="77777777" w:rsidR="006153C0" w:rsidRPr="004C78D8" w:rsidRDefault="006153C0" w:rsidP="00FB7C1F">
            <w:pPr>
              <w:jc w:val="left"/>
              <w:rPr>
                <w:sz w:val="18"/>
                <w:szCs w:val="18"/>
              </w:rPr>
            </w:pPr>
            <w:r w:rsidRPr="004C78D8">
              <w:rPr>
                <w:sz w:val="18"/>
                <w:szCs w:val="18"/>
              </w:rPr>
              <w:t>1</w:t>
            </w:r>
          </w:p>
        </w:tc>
        <w:tc>
          <w:tcPr>
            <w:tcW w:w="1960" w:type="pct"/>
            <w:tcBorders>
              <w:bottom w:val="nil"/>
            </w:tcBorders>
          </w:tcPr>
          <w:p w14:paraId="2D9E1E9C" w14:textId="77777777" w:rsidR="006153C0" w:rsidRPr="004C78D8" w:rsidRDefault="006153C0" w:rsidP="00FB7C1F">
            <w:pPr>
              <w:jc w:val="left"/>
              <w:rPr>
                <w:sz w:val="18"/>
                <w:szCs w:val="18"/>
              </w:rPr>
            </w:pPr>
            <w:r w:rsidRPr="004C78D8">
              <w:rPr>
                <w:sz w:val="18"/>
                <w:szCs w:val="18"/>
              </w:rPr>
              <w:t>Monetary value of being in paid employment</w:t>
            </w:r>
          </w:p>
        </w:tc>
        <w:tc>
          <w:tcPr>
            <w:tcW w:w="787" w:type="pct"/>
            <w:tcBorders>
              <w:bottom w:val="nil"/>
            </w:tcBorders>
          </w:tcPr>
          <w:p w14:paraId="26090DC8" w14:textId="77777777" w:rsidR="006153C0" w:rsidRPr="004C78D8" w:rsidRDefault="006153C0" w:rsidP="00FB7C1F">
            <w:pPr>
              <w:jc w:val="left"/>
              <w:rPr>
                <w:sz w:val="18"/>
                <w:szCs w:val="18"/>
              </w:rPr>
            </w:pPr>
            <w:r w:rsidRPr="004C78D8">
              <w:rPr>
                <w:sz w:val="18"/>
                <w:szCs w:val="18"/>
              </w:rPr>
              <w:t>£24,192</w:t>
            </w:r>
          </w:p>
        </w:tc>
        <w:tc>
          <w:tcPr>
            <w:tcW w:w="1411" w:type="pct"/>
            <w:tcBorders>
              <w:bottom w:val="nil"/>
            </w:tcBorders>
          </w:tcPr>
          <w:p w14:paraId="44627398" w14:textId="77777777" w:rsidR="006153C0" w:rsidRPr="00972766" w:rsidRDefault="006153C0" w:rsidP="00FB7C1F">
            <w:pPr>
              <w:jc w:val="left"/>
              <w:rPr>
                <w:sz w:val="18"/>
                <w:szCs w:val="18"/>
                <w:lang w:val="sv-SE"/>
              </w:rPr>
            </w:pPr>
            <w:r w:rsidRPr="00972766">
              <w:rPr>
                <w:sz w:val="18"/>
                <w:szCs w:val="18"/>
                <w:lang w:val="sv-SE"/>
              </w:rPr>
              <w:t>Gamma (</w:t>
            </w:r>
            <w:r w:rsidRPr="00972766">
              <w:rPr>
                <w:i/>
                <w:iCs/>
                <w:sz w:val="18"/>
                <w:szCs w:val="18"/>
                <w:lang w:val="sv-SE"/>
              </w:rPr>
              <w:t>k</w:t>
            </w:r>
            <w:r w:rsidRPr="00972766">
              <w:rPr>
                <w:sz w:val="18"/>
                <w:szCs w:val="18"/>
                <w:lang w:val="sv-SE"/>
              </w:rPr>
              <w:t xml:space="preserve"> =26.6; </w:t>
            </w:r>
            <w:r w:rsidRPr="004C78D8">
              <w:rPr>
                <w:rFonts w:cs="Times New Roman"/>
                <w:sz w:val="18"/>
                <w:szCs w:val="18"/>
              </w:rPr>
              <w:t>ϑ</w:t>
            </w:r>
            <w:r w:rsidRPr="00972766">
              <w:rPr>
                <w:sz w:val="18"/>
                <w:szCs w:val="18"/>
                <w:lang w:val="sv-SE"/>
              </w:rPr>
              <w:t xml:space="preserve"> =Mean/</w:t>
            </w:r>
            <w:r w:rsidRPr="00972766">
              <w:rPr>
                <w:i/>
                <w:iCs/>
                <w:sz w:val="18"/>
                <w:szCs w:val="18"/>
                <w:lang w:val="sv-SE"/>
              </w:rPr>
              <w:t>k</w:t>
            </w:r>
            <w:r w:rsidRPr="00972766">
              <w:rPr>
                <w:sz w:val="18"/>
                <w:szCs w:val="18"/>
                <w:lang w:val="sv-SE"/>
              </w:rPr>
              <w:t>)</w:t>
            </w:r>
            <w:r w:rsidRPr="00972766">
              <w:rPr>
                <w:sz w:val="18"/>
                <w:szCs w:val="18"/>
                <w:vertAlign w:val="superscript"/>
                <w:lang w:val="sv-SE"/>
              </w:rPr>
              <w:t>1,2</w:t>
            </w:r>
            <w:r w:rsidRPr="00972766">
              <w:rPr>
                <w:sz w:val="18"/>
                <w:szCs w:val="18"/>
                <w:lang w:val="sv-SE"/>
              </w:rPr>
              <w:t xml:space="preserve"> </w:t>
            </w:r>
          </w:p>
        </w:tc>
        <w:tc>
          <w:tcPr>
            <w:tcW w:w="610" w:type="pct"/>
            <w:tcBorders>
              <w:bottom w:val="nil"/>
            </w:tcBorders>
          </w:tcPr>
          <w:p w14:paraId="0FF96211" w14:textId="7CCC8E5A" w:rsidR="006153C0" w:rsidRPr="004C78D8" w:rsidRDefault="006153C0"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&lt;EndNote&gt;&lt;Cite&gt;&lt;Author&gt;Sach&lt;/Author&gt;&lt;Year&gt;2007&lt;/Year&gt;&lt;RecNum&gt;354&lt;/RecNum&gt;&lt;DisplayText&gt;[349]&lt;/DisplayText&gt;&lt;record&gt;&lt;rec-number&gt;354&lt;/rec-number&gt;&lt;foreign-keys&gt;&lt;key app="EN" db-id="tdtrdw9aepptzbefsat599syza29sxsd2wsp" timestamp="1612212070"&gt;354&lt;/key&gt;&lt;/foreign-keys&gt;&lt;ref-type name="Journal Article"&gt;17&lt;/ref-type&gt;&lt;contributors&gt;&lt;authors&gt;&lt;author&gt;Sach, T. H.&lt;/author&gt;&lt;author&gt;Foss, A. J.&lt;/author&gt;&lt;author&gt;Gregson, R. M.&lt;/author&gt;&lt;author&gt;Zaman, A.&lt;/author&gt;&lt;author&gt;Osborn, F.&lt;/author&gt;&lt;author&gt;Masud, T.&lt;/author&gt;&lt;author&gt;Harwood, R. H.&lt;/author&gt;&lt;/authors&gt;&lt;/contributors&gt;&lt;auth-address&gt;School of Chemical Sciences and Pharmacy, University of East Anglia, Norwich NR4 7TJ, UK. T.Sach@uea.ac.uk&lt;/auth-address&gt;&lt;titles&gt;&lt;title&gt;Falls and health status in elderly women following first eye cataract surgery: an economic evaluation conducted alongside a randomised controlled trial&lt;/title&gt;&lt;secondary-title&gt;Br J Ophthalmol&lt;/secondary-title&gt;&lt;/titles&gt;&lt;periodical&gt;&lt;full-title&gt;Br J Ophthalmol&lt;/full-title&gt;&lt;/periodical&gt;&lt;pages&gt;1675-9&lt;/pages&gt;&lt;volume&gt;91&lt;/volume&gt;&lt;number&gt;12&lt;/number&gt;&lt;keywords&gt;&lt;keyword&gt;*Accidental Falls/prevention &amp;amp; control&lt;/keyword&gt;&lt;keyword&gt;Aged&lt;/keyword&gt;&lt;keyword&gt;Cataract/physiopathology&lt;/keyword&gt;&lt;keyword&gt;Cataract Extraction/*economics&lt;/keyword&gt;&lt;keyword&gt;Cost-Benefit Analysis&lt;/keyword&gt;&lt;keyword&gt;Female&lt;/keyword&gt;&lt;keyword&gt;Health Care Costs&lt;/keyword&gt;&lt;keyword&gt;*Health Status&lt;/keyword&gt;&lt;keyword&gt;Humans&lt;/keyword&gt;&lt;keyword&gt;Models, Economic&lt;/keyword&gt;&lt;keyword&gt;Postoperative Period&lt;/keyword&gt;&lt;keyword&gt;Quality-Adjusted Life Years&lt;/keyword&gt;&lt;keyword&gt;Visual Acuity&lt;/keyword&gt;&lt;/keywords&gt;&lt;dates&gt;&lt;year&gt;2007&lt;/year&gt;&lt;pub-dates&gt;&lt;date&gt;Dec&lt;/date&gt;&lt;/pub-dates&gt;&lt;/dates&gt;&lt;isbn&gt;1468-2079 (Electronic)&amp;#xD;0007-1161 (Linking)&lt;/isbn&gt;&lt;accession-num&gt;17585002&lt;/accession-num&gt;&lt;urls&gt;&lt;related-urls&gt;&lt;url&gt;https://www.ncbi.nlm.nih.gov/pubmed/17585002&lt;/url&gt;&lt;/related-urls&gt;&lt;/urls&gt;&lt;custom2&gt;PMC2095519&lt;/custom2&gt;&lt;electronic-resource-num&gt;10.1136/bjo.2007.118687&lt;/electronic-resource-num&gt;&lt;/record&gt;&lt;/Cite&gt;&lt;/EndNote&gt;</w:instrText>
            </w:r>
            <w:r w:rsidRPr="004C78D8">
              <w:rPr>
                <w:sz w:val="18"/>
                <w:szCs w:val="18"/>
              </w:rPr>
              <w:fldChar w:fldCharType="separate"/>
            </w:r>
            <w:r w:rsidR="00C630FC" w:rsidRPr="004C78D8">
              <w:rPr>
                <w:noProof/>
                <w:sz w:val="18"/>
                <w:szCs w:val="18"/>
              </w:rPr>
              <w:t>[349]</w:t>
            </w:r>
            <w:r w:rsidRPr="004C78D8">
              <w:rPr>
                <w:sz w:val="18"/>
                <w:szCs w:val="18"/>
              </w:rPr>
              <w:fldChar w:fldCharType="end"/>
            </w:r>
          </w:p>
        </w:tc>
      </w:tr>
      <w:tr w:rsidR="006153C0" w:rsidRPr="004C78D8" w14:paraId="124FDF41" w14:textId="77777777" w:rsidTr="00E35893">
        <w:tc>
          <w:tcPr>
            <w:tcW w:w="231" w:type="pct"/>
            <w:tcBorders>
              <w:top w:val="nil"/>
              <w:bottom w:val="nil"/>
            </w:tcBorders>
          </w:tcPr>
          <w:p w14:paraId="7AAA3C65" w14:textId="77777777" w:rsidR="006153C0" w:rsidRPr="004C78D8" w:rsidRDefault="006153C0" w:rsidP="00FB7C1F">
            <w:pPr>
              <w:jc w:val="left"/>
              <w:rPr>
                <w:sz w:val="18"/>
                <w:szCs w:val="18"/>
              </w:rPr>
            </w:pPr>
            <w:r w:rsidRPr="004C78D8">
              <w:rPr>
                <w:sz w:val="18"/>
                <w:szCs w:val="18"/>
              </w:rPr>
              <w:t>2</w:t>
            </w:r>
          </w:p>
        </w:tc>
        <w:tc>
          <w:tcPr>
            <w:tcW w:w="1960" w:type="pct"/>
            <w:tcBorders>
              <w:top w:val="nil"/>
              <w:bottom w:val="nil"/>
            </w:tcBorders>
          </w:tcPr>
          <w:p w14:paraId="6FDBEBBE" w14:textId="77777777" w:rsidR="006153C0" w:rsidRPr="004C78D8" w:rsidRDefault="006153C0" w:rsidP="00FB7C1F">
            <w:pPr>
              <w:jc w:val="left"/>
              <w:rPr>
                <w:sz w:val="18"/>
                <w:szCs w:val="18"/>
              </w:rPr>
            </w:pPr>
            <w:r w:rsidRPr="004C78D8">
              <w:rPr>
                <w:sz w:val="18"/>
                <w:szCs w:val="18"/>
              </w:rPr>
              <w:t>Monetary value of engaging in unpaid work</w:t>
            </w:r>
          </w:p>
        </w:tc>
        <w:tc>
          <w:tcPr>
            <w:tcW w:w="787" w:type="pct"/>
            <w:tcBorders>
              <w:top w:val="nil"/>
              <w:bottom w:val="nil"/>
            </w:tcBorders>
          </w:tcPr>
          <w:p w14:paraId="62EFDE5E" w14:textId="77777777" w:rsidR="006153C0" w:rsidRPr="004C78D8" w:rsidRDefault="006153C0" w:rsidP="00FB7C1F">
            <w:pPr>
              <w:jc w:val="left"/>
              <w:rPr>
                <w:sz w:val="18"/>
                <w:szCs w:val="18"/>
              </w:rPr>
            </w:pPr>
            <w:r w:rsidRPr="004C78D8">
              <w:rPr>
                <w:sz w:val="18"/>
                <w:szCs w:val="18"/>
              </w:rPr>
              <w:t>£5,097</w:t>
            </w:r>
          </w:p>
        </w:tc>
        <w:tc>
          <w:tcPr>
            <w:tcW w:w="1411" w:type="pct"/>
            <w:tcBorders>
              <w:top w:val="nil"/>
              <w:bottom w:val="nil"/>
            </w:tcBorders>
          </w:tcPr>
          <w:p w14:paraId="2732B037" w14:textId="77777777" w:rsidR="006153C0" w:rsidRPr="00972766" w:rsidRDefault="006153C0" w:rsidP="00FB7C1F">
            <w:pPr>
              <w:jc w:val="left"/>
              <w:rPr>
                <w:sz w:val="18"/>
                <w:szCs w:val="18"/>
                <w:lang w:val="sv-SE"/>
              </w:rPr>
            </w:pPr>
            <w:r w:rsidRPr="00972766">
              <w:rPr>
                <w:sz w:val="18"/>
                <w:szCs w:val="18"/>
                <w:lang w:val="sv-SE"/>
              </w:rPr>
              <w:t>Gamma (</w:t>
            </w:r>
            <w:r w:rsidRPr="00972766">
              <w:rPr>
                <w:i/>
                <w:iCs/>
                <w:sz w:val="18"/>
                <w:szCs w:val="18"/>
                <w:lang w:val="sv-SE"/>
              </w:rPr>
              <w:t>k</w:t>
            </w:r>
            <w:r w:rsidRPr="00972766">
              <w:rPr>
                <w:sz w:val="18"/>
                <w:szCs w:val="18"/>
                <w:lang w:val="sv-SE"/>
              </w:rPr>
              <w:t xml:space="preserve"> =26.6; </w:t>
            </w:r>
            <w:r w:rsidRPr="004C78D8">
              <w:rPr>
                <w:rFonts w:cs="Times New Roman"/>
                <w:sz w:val="18"/>
                <w:szCs w:val="18"/>
              </w:rPr>
              <w:t>ϑ</w:t>
            </w:r>
            <w:r w:rsidRPr="00972766">
              <w:rPr>
                <w:sz w:val="18"/>
                <w:szCs w:val="18"/>
                <w:lang w:val="sv-SE"/>
              </w:rPr>
              <w:t xml:space="preserve"> =Mean/</w:t>
            </w:r>
            <w:r w:rsidRPr="00972766">
              <w:rPr>
                <w:i/>
                <w:iCs/>
                <w:sz w:val="18"/>
                <w:szCs w:val="18"/>
                <w:lang w:val="sv-SE"/>
              </w:rPr>
              <w:t>k</w:t>
            </w:r>
            <w:r w:rsidRPr="00972766">
              <w:rPr>
                <w:sz w:val="18"/>
                <w:szCs w:val="18"/>
                <w:lang w:val="sv-SE"/>
              </w:rPr>
              <w:t>)</w:t>
            </w:r>
            <w:r w:rsidRPr="00972766">
              <w:rPr>
                <w:sz w:val="18"/>
                <w:szCs w:val="18"/>
                <w:vertAlign w:val="superscript"/>
                <w:lang w:val="sv-SE"/>
              </w:rPr>
              <w:t>2</w:t>
            </w:r>
          </w:p>
        </w:tc>
        <w:tc>
          <w:tcPr>
            <w:tcW w:w="610" w:type="pct"/>
            <w:tcBorders>
              <w:top w:val="nil"/>
              <w:bottom w:val="nil"/>
            </w:tcBorders>
          </w:tcPr>
          <w:p w14:paraId="5E9EEF51" w14:textId="5783CDF1" w:rsidR="006153C0" w:rsidRPr="004C78D8" w:rsidRDefault="006153C0"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&lt;EndNote&gt;&lt;Cite&gt;&lt;Author&gt;Sach&lt;/Author&gt;&lt;Year&gt;2007&lt;/Year&gt;&lt;RecNum&gt;354&lt;/RecNum&gt;&lt;DisplayText&gt;[349]&lt;/DisplayText&gt;&lt;record&gt;&lt;rec-number&gt;354&lt;/rec-number&gt;&lt;foreign-keys&gt;&lt;key app="EN" db-id="tdtrdw9aepptzbefsat599syza29sxsd2wsp" timestamp="1612212070"&gt;354&lt;/key&gt;&lt;/foreign-keys&gt;&lt;ref-type name="Journal Article"&gt;17&lt;/ref-type&gt;&lt;contributors&gt;&lt;authors&gt;&lt;author&gt;Sach, T. H.&lt;/author&gt;&lt;author&gt;Foss, A. J.&lt;/author&gt;&lt;author&gt;Gregson, R. M.&lt;/author&gt;&lt;author&gt;Zaman, A.&lt;/author&gt;&lt;author&gt;Osborn, F.&lt;/author&gt;&lt;author&gt;Masud, T.&lt;/author&gt;&lt;author&gt;Harwood, R. H.&lt;/author&gt;&lt;/authors&gt;&lt;/contributors&gt;&lt;auth-address&gt;School of Chemical Sciences and Pharmacy, University of East Anglia, Norwich NR4 7TJ, UK. T.Sach@uea.ac.uk&lt;/auth-address&gt;&lt;titles&gt;&lt;title&gt;Falls and health status in elderly women following first eye cataract surgery: an economic evaluation conducted alongside a randomised controlled trial&lt;/title&gt;&lt;secondary-title&gt;Br J Ophthalmol&lt;/secondary-title&gt;&lt;/titles&gt;&lt;periodical&gt;&lt;full-title&gt;Br J Ophthalmol&lt;/full-title&gt;&lt;/periodical&gt;&lt;pages&gt;1675-9&lt;/pages&gt;&lt;volume&gt;91&lt;/volume&gt;&lt;number&gt;12&lt;/number&gt;&lt;keywords&gt;&lt;keyword&gt;*Accidental Falls/prevention &amp;amp; control&lt;/keyword&gt;&lt;keyword&gt;Aged&lt;/keyword&gt;&lt;keyword&gt;Cataract/physiopathology&lt;/keyword&gt;&lt;keyword&gt;Cataract Extraction/*economics&lt;/keyword&gt;&lt;keyword&gt;Cost-Benefit Analysis&lt;/keyword&gt;&lt;keyword&gt;Female&lt;/keyword&gt;&lt;keyword&gt;Health Care Costs&lt;/keyword&gt;&lt;keyword&gt;*Health Status&lt;/keyword&gt;&lt;keyword&gt;Humans&lt;/keyword&gt;&lt;keyword&gt;Models, Economic&lt;/keyword&gt;&lt;keyword&gt;Postoperative Period&lt;/keyword&gt;&lt;keyword&gt;Quality-Adjusted Life Years&lt;/keyword&gt;&lt;keyword&gt;Visual Acuity&lt;/keyword&gt;&lt;/keywords&gt;&lt;dates&gt;&lt;year&gt;2007&lt;/year&gt;&lt;pub-dates&gt;&lt;date&gt;Dec&lt;/date&gt;&lt;/pub-dates&gt;&lt;/dates&gt;&lt;isbn&gt;1468-2079 (Electronic)&amp;#xD;0007-1161 (Linking)&lt;/isbn&gt;&lt;accession-num&gt;17585002&lt;/accession-num&gt;&lt;urls&gt;&lt;related-urls&gt;&lt;url&gt;https://www.ncbi.nlm.nih.gov/pubmed/17585002&lt;/url&gt;&lt;/related-urls&gt;&lt;/urls&gt;&lt;custom2&gt;PMC2095519&lt;/custom2&gt;&lt;electronic-resource-num&gt;10.1136/bjo.2007.118687&lt;/electronic-resource-num&gt;&lt;/record&gt;&lt;/Cite&gt;&lt;/EndNote&gt;</w:instrText>
            </w:r>
            <w:r w:rsidRPr="004C78D8">
              <w:rPr>
                <w:sz w:val="18"/>
                <w:szCs w:val="18"/>
              </w:rPr>
              <w:fldChar w:fldCharType="separate"/>
            </w:r>
            <w:r w:rsidR="00C630FC" w:rsidRPr="004C78D8">
              <w:rPr>
                <w:noProof/>
                <w:sz w:val="18"/>
                <w:szCs w:val="18"/>
              </w:rPr>
              <w:t>[349]</w:t>
            </w:r>
            <w:r w:rsidRPr="004C78D8">
              <w:rPr>
                <w:sz w:val="18"/>
                <w:szCs w:val="18"/>
              </w:rPr>
              <w:fldChar w:fldCharType="end"/>
            </w:r>
          </w:p>
        </w:tc>
      </w:tr>
      <w:tr w:rsidR="006153C0" w:rsidRPr="004C78D8" w14:paraId="5C1D49BB" w14:textId="77777777" w:rsidTr="00E35893">
        <w:tc>
          <w:tcPr>
            <w:tcW w:w="231" w:type="pct"/>
            <w:tcBorders>
              <w:top w:val="nil"/>
              <w:bottom w:val="nil"/>
            </w:tcBorders>
          </w:tcPr>
          <w:p w14:paraId="1D347883" w14:textId="77777777" w:rsidR="006153C0" w:rsidRPr="004C78D8" w:rsidRDefault="006153C0" w:rsidP="00FB7C1F">
            <w:pPr>
              <w:jc w:val="left"/>
              <w:rPr>
                <w:sz w:val="18"/>
                <w:szCs w:val="18"/>
              </w:rPr>
            </w:pPr>
            <w:r w:rsidRPr="004C78D8">
              <w:rPr>
                <w:sz w:val="18"/>
                <w:szCs w:val="18"/>
              </w:rPr>
              <w:t>3</w:t>
            </w:r>
          </w:p>
        </w:tc>
        <w:tc>
          <w:tcPr>
            <w:tcW w:w="1960" w:type="pct"/>
            <w:tcBorders>
              <w:top w:val="nil"/>
              <w:bottom w:val="nil"/>
            </w:tcBorders>
          </w:tcPr>
          <w:p w14:paraId="01000067" w14:textId="77777777" w:rsidR="006153C0" w:rsidRPr="004C78D8" w:rsidRDefault="006153C0" w:rsidP="00FB7C1F">
            <w:pPr>
              <w:jc w:val="left"/>
              <w:rPr>
                <w:sz w:val="18"/>
                <w:szCs w:val="18"/>
              </w:rPr>
            </w:pPr>
            <w:r w:rsidRPr="004C78D8">
              <w:rPr>
                <w:sz w:val="18"/>
                <w:szCs w:val="18"/>
              </w:rPr>
              <w:t>Comorbidity primary and secondary healthcare costs by frailty category</w:t>
            </w:r>
          </w:p>
        </w:tc>
        <w:tc>
          <w:tcPr>
            <w:tcW w:w="787" w:type="pct"/>
            <w:tcBorders>
              <w:top w:val="nil"/>
              <w:bottom w:val="nil"/>
            </w:tcBorders>
          </w:tcPr>
          <w:p w14:paraId="781C157A" w14:textId="48C941ED" w:rsidR="006153C0" w:rsidRPr="004C78D8" w:rsidRDefault="006153C0" w:rsidP="00FB7C1F">
            <w:pPr>
              <w:jc w:val="left"/>
              <w:rPr>
                <w:sz w:val="18"/>
                <w:szCs w:val="18"/>
              </w:rPr>
            </w:pPr>
            <w:r w:rsidRPr="004C78D8">
              <w:rPr>
                <w:sz w:val="18"/>
                <w:szCs w:val="18"/>
              </w:rPr>
              <w:t xml:space="preserve">See Table </w:t>
            </w:r>
            <w:r w:rsidR="006206A1" w:rsidRPr="004C78D8">
              <w:rPr>
                <w:sz w:val="18"/>
                <w:szCs w:val="18"/>
              </w:rPr>
              <w:t>5</w:t>
            </w:r>
            <w:r w:rsidRPr="004C78D8">
              <w:rPr>
                <w:sz w:val="18"/>
                <w:szCs w:val="18"/>
              </w:rPr>
              <w:t>.1</w:t>
            </w:r>
            <w:r w:rsidR="00600556" w:rsidRPr="004C78D8">
              <w:rPr>
                <w:sz w:val="18"/>
                <w:szCs w:val="18"/>
              </w:rPr>
              <w:t>8</w:t>
            </w:r>
          </w:p>
        </w:tc>
        <w:tc>
          <w:tcPr>
            <w:tcW w:w="1411" w:type="pct"/>
            <w:tcBorders>
              <w:top w:val="nil"/>
              <w:bottom w:val="nil"/>
            </w:tcBorders>
          </w:tcPr>
          <w:p w14:paraId="6870F403" w14:textId="77777777" w:rsidR="006153C0" w:rsidRPr="00972766" w:rsidRDefault="006153C0" w:rsidP="00FB7C1F">
            <w:pPr>
              <w:jc w:val="left"/>
              <w:rPr>
                <w:sz w:val="18"/>
                <w:szCs w:val="18"/>
                <w:lang w:val="sv-SE"/>
              </w:rPr>
            </w:pPr>
            <w:r w:rsidRPr="00972766">
              <w:rPr>
                <w:sz w:val="18"/>
                <w:szCs w:val="18"/>
                <w:lang w:val="sv-SE"/>
              </w:rPr>
              <w:t>Gamma (</w:t>
            </w:r>
            <w:r w:rsidRPr="00972766">
              <w:rPr>
                <w:i/>
                <w:iCs/>
                <w:sz w:val="18"/>
                <w:szCs w:val="18"/>
                <w:lang w:val="sv-SE"/>
              </w:rPr>
              <w:t>k</w:t>
            </w:r>
            <w:r w:rsidRPr="00972766">
              <w:rPr>
                <w:sz w:val="18"/>
                <w:szCs w:val="18"/>
                <w:lang w:val="sv-SE"/>
              </w:rPr>
              <w:t xml:space="preserve"> =82.6; </w:t>
            </w:r>
            <w:r w:rsidRPr="004C78D8">
              <w:rPr>
                <w:rFonts w:cs="Times New Roman"/>
                <w:sz w:val="18"/>
                <w:szCs w:val="18"/>
              </w:rPr>
              <w:t>ϑ</w:t>
            </w:r>
            <w:r w:rsidRPr="00972766">
              <w:rPr>
                <w:sz w:val="18"/>
                <w:szCs w:val="18"/>
                <w:lang w:val="sv-SE"/>
              </w:rPr>
              <w:t xml:space="preserve"> =Mean/</w:t>
            </w:r>
            <w:r w:rsidRPr="00972766">
              <w:rPr>
                <w:i/>
                <w:iCs/>
                <w:sz w:val="18"/>
                <w:szCs w:val="18"/>
                <w:lang w:val="sv-SE"/>
              </w:rPr>
              <w:t>k</w:t>
            </w:r>
            <w:r w:rsidRPr="00972766">
              <w:rPr>
                <w:sz w:val="18"/>
                <w:szCs w:val="18"/>
                <w:lang w:val="sv-SE"/>
              </w:rPr>
              <w:t>)</w:t>
            </w:r>
          </w:p>
        </w:tc>
        <w:tc>
          <w:tcPr>
            <w:tcW w:w="610" w:type="pct"/>
            <w:tcBorders>
              <w:top w:val="nil"/>
              <w:bottom w:val="nil"/>
            </w:tcBorders>
          </w:tcPr>
          <w:p w14:paraId="504E04DC" w14:textId="57487C0E" w:rsidR="006153C0" w:rsidRPr="004C78D8" w:rsidRDefault="006153C0"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&lt;EndNote&gt;&lt;Cite&gt;&lt;Author&gt;Sach&lt;/Author&gt;&lt;Year&gt;2007&lt;/Year&gt;&lt;RecNum&gt;354&lt;/RecNum&gt;&lt;DisplayText&gt;[349]&lt;/DisplayText&gt;&lt;record&gt;&lt;rec-number&gt;354&lt;/rec-number&gt;&lt;foreign-keys&gt;&lt;key app="EN" db-id="tdtrdw9aepptzbefsat599syza29sxsd2wsp" timestamp="1612212070"&gt;354&lt;/key&gt;&lt;/foreign-keys&gt;&lt;ref-type name="Journal Article"&gt;17&lt;/ref-type&gt;&lt;contributors&gt;&lt;authors&gt;&lt;author&gt;Sach, T. H.&lt;/author&gt;&lt;author&gt;Foss, A. J.&lt;/author&gt;&lt;author&gt;Gregson, R. M.&lt;/author&gt;&lt;author&gt;Zaman, A.&lt;/author&gt;&lt;author&gt;Osborn, F.&lt;/author&gt;&lt;author&gt;Masud, T.&lt;/author&gt;&lt;author&gt;Harwood, R. H.&lt;/author&gt;&lt;/authors&gt;&lt;/contributors&gt;&lt;auth-address&gt;School of Chemical Sciences and Pharmacy, University of East Anglia, Norwich NR4 7TJ, UK. T.Sach@uea.ac.uk&lt;/auth-address&gt;&lt;titles&gt;&lt;title&gt;Falls and health status in elderly women following first eye cataract surgery: an economic evaluation conducted alongside a randomised controlled trial&lt;/title&gt;&lt;secondary-title&gt;Br J Ophthalmol&lt;/secondary-title&gt;&lt;/titles&gt;&lt;periodical&gt;&lt;full-title&gt;Br J Ophthalmol&lt;/full-title&gt;&lt;/periodical&gt;&lt;pages&gt;1675-9&lt;/pages&gt;&lt;volume&gt;91&lt;/volume&gt;&lt;number&gt;12&lt;/number&gt;&lt;keywords&gt;&lt;keyword&gt;*Accidental Falls/prevention &amp;amp; control&lt;/keyword&gt;&lt;keyword&gt;Aged&lt;/keyword&gt;&lt;keyword&gt;Cataract/physiopathology&lt;/keyword&gt;&lt;keyword&gt;Cataract Extraction/*economics&lt;/keyword&gt;&lt;keyword&gt;Cost-Benefit Analysis&lt;/keyword&gt;&lt;keyword&gt;Female&lt;/keyword&gt;&lt;keyword&gt;Health Care Costs&lt;/keyword&gt;&lt;keyword&gt;*Health Status&lt;/keyword&gt;&lt;keyword&gt;Humans&lt;/keyword&gt;&lt;keyword&gt;Models, Economic&lt;/keyword&gt;&lt;keyword&gt;Postoperative Period&lt;/keyword&gt;&lt;keyword&gt;Quality-Adjusted Life Years&lt;/keyword&gt;&lt;keyword&gt;Visual Acuity&lt;/keyword&gt;&lt;/keywords&gt;&lt;dates&gt;&lt;year&gt;2007&lt;/year&gt;&lt;pub-dates&gt;&lt;date&gt;Dec&lt;/date&gt;&lt;/pub-dates&gt;&lt;/dates&gt;&lt;isbn&gt;1468-2079 (Electronic)&amp;#xD;0007-1161 (Linking)&lt;/isbn&gt;&lt;accession-num&gt;17585002&lt;/accession-num&gt;&lt;urls&gt;&lt;related-urls&gt;&lt;url&gt;https://www.ncbi.nlm.nih.gov/pubmed/17585002&lt;/url&gt;&lt;/related-urls&gt;&lt;/urls&gt;&lt;custom2&gt;PMC2095519&lt;/custom2&gt;&lt;electronic-resource-num&gt;10.1136/bjo.2007.118687&lt;/electronic-resource-num&gt;&lt;/record&gt;&lt;/Cite&gt;&lt;/EndNote&gt;</w:instrText>
            </w:r>
            <w:r w:rsidRPr="004C78D8">
              <w:rPr>
                <w:sz w:val="18"/>
                <w:szCs w:val="18"/>
              </w:rPr>
              <w:fldChar w:fldCharType="separate"/>
            </w:r>
            <w:r w:rsidR="00C630FC" w:rsidRPr="004C78D8">
              <w:rPr>
                <w:noProof/>
                <w:sz w:val="18"/>
                <w:szCs w:val="18"/>
              </w:rPr>
              <w:t>[349]</w:t>
            </w:r>
            <w:r w:rsidRPr="004C78D8">
              <w:rPr>
                <w:sz w:val="18"/>
                <w:szCs w:val="18"/>
              </w:rPr>
              <w:fldChar w:fldCharType="end"/>
            </w:r>
          </w:p>
        </w:tc>
      </w:tr>
      <w:tr w:rsidR="006153C0" w:rsidRPr="004C78D8" w14:paraId="7F3E7A5D" w14:textId="77777777" w:rsidTr="00E35893">
        <w:tc>
          <w:tcPr>
            <w:tcW w:w="231" w:type="pct"/>
            <w:tcBorders>
              <w:top w:val="nil"/>
              <w:bottom w:val="nil"/>
            </w:tcBorders>
          </w:tcPr>
          <w:p w14:paraId="6AA274A8" w14:textId="77777777" w:rsidR="006153C0" w:rsidRPr="004C78D8" w:rsidRDefault="006153C0" w:rsidP="00FB7C1F">
            <w:pPr>
              <w:jc w:val="left"/>
              <w:rPr>
                <w:sz w:val="18"/>
                <w:szCs w:val="18"/>
              </w:rPr>
            </w:pPr>
            <w:r w:rsidRPr="004C78D8">
              <w:rPr>
                <w:sz w:val="18"/>
                <w:szCs w:val="18"/>
              </w:rPr>
              <w:t>4</w:t>
            </w:r>
          </w:p>
        </w:tc>
        <w:tc>
          <w:tcPr>
            <w:tcW w:w="1960" w:type="pct"/>
            <w:tcBorders>
              <w:top w:val="nil"/>
              <w:bottom w:val="nil"/>
            </w:tcBorders>
          </w:tcPr>
          <w:p w14:paraId="7562362E" w14:textId="77777777" w:rsidR="006153C0" w:rsidRPr="004C78D8" w:rsidRDefault="006153C0" w:rsidP="00FB7C1F">
            <w:pPr>
              <w:jc w:val="left"/>
              <w:rPr>
                <w:sz w:val="18"/>
                <w:szCs w:val="18"/>
              </w:rPr>
            </w:pPr>
            <w:r w:rsidRPr="004C78D8">
              <w:rPr>
                <w:sz w:val="18"/>
                <w:szCs w:val="18"/>
              </w:rPr>
              <w:t>Community healthcare cost</w:t>
            </w:r>
          </w:p>
        </w:tc>
        <w:tc>
          <w:tcPr>
            <w:tcW w:w="787" w:type="pct"/>
            <w:tcBorders>
              <w:top w:val="nil"/>
              <w:bottom w:val="nil"/>
            </w:tcBorders>
          </w:tcPr>
          <w:p w14:paraId="53C58B28" w14:textId="77777777" w:rsidR="006153C0" w:rsidRPr="004C78D8" w:rsidRDefault="006153C0" w:rsidP="00FB7C1F">
            <w:pPr>
              <w:jc w:val="left"/>
              <w:rPr>
                <w:sz w:val="18"/>
                <w:szCs w:val="18"/>
              </w:rPr>
            </w:pPr>
            <w:r w:rsidRPr="004C78D8">
              <w:rPr>
                <w:sz w:val="18"/>
                <w:szCs w:val="18"/>
              </w:rPr>
              <w:t>£4,809.22</w:t>
            </w:r>
          </w:p>
        </w:tc>
        <w:tc>
          <w:tcPr>
            <w:tcW w:w="1411" w:type="pct"/>
            <w:tcBorders>
              <w:top w:val="nil"/>
              <w:bottom w:val="nil"/>
            </w:tcBorders>
          </w:tcPr>
          <w:p w14:paraId="5C784E87" w14:textId="77777777" w:rsidR="006153C0" w:rsidRPr="00972766" w:rsidRDefault="006153C0" w:rsidP="00FB7C1F">
            <w:pPr>
              <w:jc w:val="left"/>
              <w:rPr>
                <w:sz w:val="18"/>
                <w:szCs w:val="18"/>
                <w:lang w:val="sv-SE"/>
              </w:rPr>
            </w:pPr>
            <w:r w:rsidRPr="00972766">
              <w:rPr>
                <w:sz w:val="18"/>
                <w:szCs w:val="18"/>
                <w:lang w:val="sv-SE"/>
              </w:rPr>
              <w:t>Gamma (</w:t>
            </w:r>
            <w:r w:rsidRPr="00972766">
              <w:rPr>
                <w:i/>
                <w:iCs/>
                <w:sz w:val="18"/>
                <w:szCs w:val="18"/>
                <w:lang w:val="sv-SE"/>
              </w:rPr>
              <w:t>k</w:t>
            </w:r>
            <w:r w:rsidRPr="00972766">
              <w:rPr>
                <w:sz w:val="18"/>
                <w:szCs w:val="18"/>
                <w:lang w:val="sv-SE"/>
              </w:rPr>
              <w:t xml:space="preserve"> =148.7; </w:t>
            </w:r>
            <w:r w:rsidRPr="004C78D8">
              <w:rPr>
                <w:rFonts w:cs="Times New Roman"/>
                <w:sz w:val="18"/>
                <w:szCs w:val="18"/>
              </w:rPr>
              <w:t>ϑ</w:t>
            </w:r>
            <w:r w:rsidRPr="00972766">
              <w:rPr>
                <w:sz w:val="18"/>
                <w:szCs w:val="18"/>
                <w:lang w:val="sv-SE"/>
              </w:rPr>
              <w:t xml:space="preserve"> =Mean/</w:t>
            </w:r>
            <w:r w:rsidRPr="00972766">
              <w:rPr>
                <w:i/>
                <w:iCs/>
                <w:sz w:val="18"/>
                <w:szCs w:val="18"/>
                <w:lang w:val="sv-SE"/>
              </w:rPr>
              <w:t>k</w:t>
            </w:r>
            <w:r w:rsidRPr="00972766">
              <w:rPr>
                <w:sz w:val="18"/>
                <w:szCs w:val="18"/>
                <w:lang w:val="sv-SE"/>
              </w:rPr>
              <w:t>)</w:t>
            </w:r>
          </w:p>
        </w:tc>
        <w:tc>
          <w:tcPr>
            <w:tcW w:w="610" w:type="pct"/>
            <w:tcBorders>
              <w:top w:val="nil"/>
              <w:bottom w:val="nil"/>
            </w:tcBorders>
          </w:tcPr>
          <w:p w14:paraId="0E697873" w14:textId="742C4DAE" w:rsidR="006153C0" w:rsidRPr="004C78D8" w:rsidRDefault="006153C0"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&lt;EndNote&gt;&lt;Cite&gt;&lt;Author&gt;Sach&lt;/Author&gt;&lt;Year&gt;2007&lt;/Year&gt;&lt;RecNum&gt;354&lt;/RecNum&gt;&lt;DisplayText&gt;[349]&lt;/DisplayText&gt;&lt;record&gt;&lt;rec-number&gt;354&lt;/rec-number&gt;&lt;foreign-keys&gt;&lt;key app="EN" db-id="tdtrdw9aepptzbefsat599syza29sxsd2wsp" timestamp="1612212070"&gt;354&lt;/key&gt;&lt;/foreign-keys&gt;&lt;ref-type name="Journal Article"&gt;17&lt;/ref-type&gt;&lt;contributors&gt;&lt;authors&gt;&lt;author&gt;Sach, T. H.&lt;/author&gt;&lt;author&gt;Foss, A. J.&lt;/author&gt;&lt;author&gt;Gregson, R. M.&lt;/author&gt;&lt;author&gt;Zaman, A.&lt;/author&gt;&lt;author&gt;Osborn, F.&lt;/author&gt;&lt;author&gt;Masud, T.&lt;/author&gt;&lt;author&gt;Harwood, R. H.&lt;/author&gt;&lt;/authors&gt;&lt;/contributors&gt;&lt;auth-address&gt;School of Chemical Sciences and Pharmacy, University of East Anglia, Norwich NR4 7TJ, UK. T.Sach@uea.ac.uk&lt;/auth-address&gt;&lt;titles&gt;&lt;title&gt;Falls and health status in elderly women following first eye cataract surgery: an economic evaluation conducted alongside a randomised controlled trial&lt;/title&gt;&lt;secondary-title&gt;Br J Ophthalmol&lt;/secondary-title&gt;&lt;/titles&gt;&lt;periodical&gt;&lt;full-title&gt;Br J Ophthalmol&lt;/full-title&gt;&lt;/periodical&gt;&lt;pages&gt;1675-9&lt;/pages&gt;&lt;volume&gt;91&lt;/volume&gt;&lt;number&gt;12&lt;/number&gt;&lt;keywords&gt;&lt;keyword&gt;*Accidental Falls/prevention &amp;amp; control&lt;/keyword&gt;&lt;keyword&gt;Aged&lt;/keyword&gt;&lt;keyword&gt;Cataract/physiopathology&lt;/keyword&gt;&lt;keyword&gt;Cataract Extraction/*economics&lt;/keyword&gt;&lt;keyword&gt;Cost-Benefit Analysis&lt;/keyword&gt;&lt;keyword&gt;Female&lt;/keyword&gt;&lt;keyword&gt;Health Care Costs&lt;/keyword&gt;&lt;keyword&gt;*Health Status&lt;/keyword&gt;&lt;keyword&gt;Humans&lt;/keyword&gt;&lt;keyword&gt;Models, Economic&lt;/keyword&gt;&lt;keyword&gt;Postoperative Period&lt;/keyword&gt;&lt;keyword&gt;Quality-Adjusted Life Years&lt;/keyword&gt;&lt;keyword&gt;Visual Acuity&lt;/keyword&gt;&lt;/keywords&gt;&lt;dates&gt;&lt;year&gt;2007&lt;/year&gt;&lt;pub-dates&gt;&lt;date&gt;Dec&lt;/date&gt;&lt;/pub-dates&gt;&lt;/dates&gt;&lt;isbn&gt;1468-2079 (Electronic)&amp;#xD;0007-1161 (Linking)&lt;/isbn&gt;&lt;accession-num&gt;17585002&lt;/accession-num&gt;&lt;urls&gt;&lt;related-urls&gt;&lt;url&gt;https://www.ncbi.nlm.nih.gov/pubmed/17585002&lt;/url&gt;&lt;/related-urls&gt;&lt;/urls&gt;&lt;custom2&gt;PMC2095519&lt;/custom2&gt;&lt;electronic-resource-num&gt;10.1136/bjo.2007.118687&lt;/electronic-resource-num&gt;&lt;/record&gt;&lt;/Cite&gt;&lt;/EndNote&gt;</w:instrText>
            </w:r>
            <w:r w:rsidRPr="004C78D8">
              <w:rPr>
                <w:sz w:val="18"/>
                <w:szCs w:val="18"/>
              </w:rPr>
              <w:fldChar w:fldCharType="separate"/>
            </w:r>
            <w:r w:rsidR="00C630FC" w:rsidRPr="004C78D8">
              <w:rPr>
                <w:noProof/>
                <w:sz w:val="18"/>
                <w:szCs w:val="18"/>
              </w:rPr>
              <w:t>[349]</w:t>
            </w:r>
            <w:r w:rsidRPr="004C78D8">
              <w:rPr>
                <w:sz w:val="18"/>
                <w:szCs w:val="18"/>
              </w:rPr>
              <w:fldChar w:fldCharType="end"/>
            </w:r>
          </w:p>
        </w:tc>
      </w:tr>
      <w:tr w:rsidR="006153C0" w:rsidRPr="004C78D8" w14:paraId="2F78556B" w14:textId="77777777" w:rsidTr="00E35893">
        <w:tc>
          <w:tcPr>
            <w:tcW w:w="231" w:type="pct"/>
            <w:tcBorders>
              <w:top w:val="nil"/>
              <w:bottom w:val="nil"/>
            </w:tcBorders>
          </w:tcPr>
          <w:p w14:paraId="1AE93088" w14:textId="77777777" w:rsidR="006153C0" w:rsidRPr="004C78D8" w:rsidRDefault="006153C0" w:rsidP="00FB7C1F">
            <w:pPr>
              <w:jc w:val="left"/>
              <w:rPr>
                <w:sz w:val="18"/>
                <w:szCs w:val="18"/>
              </w:rPr>
            </w:pPr>
            <w:r w:rsidRPr="004C78D8">
              <w:rPr>
                <w:sz w:val="18"/>
                <w:szCs w:val="18"/>
              </w:rPr>
              <w:t>5</w:t>
            </w:r>
          </w:p>
        </w:tc>
        <w:tc>
          <w:tcPr>
            <w:tcW w:w="1960" w:type="pct"/>
            <w:tcBorders>
              <w:top w:val="nil"/>
              <w:bottom w:val="nil"/>
            </w:tcBorders>
          </w:tcPr>
          <w:p w14:paraId="7EF796DC" w14:textId="77777777" w:rsidR="006153C0" w:rsidRPr="004C78D8" w:rsidRDefault="006153C0" w:rsidP="00FB7C1F">
            <w:pPr>
              <w:jc w:val="left"/>
              <w:rPr>
                <w:sz w:val="18"/>
                <w:szCs w:val="18"/>
              </w:rPr>
            </w:pPr>
            <w:r w:rsidRPr="004C78D8">
              <w:rPr>
                <w:sz w:val="18"/>
                <w:szCs w:val="18"/>
              </w:rPr>
              <w:t>Short-term social care cost by frailty category and cognitive status</w:t>
            </w:r>
          </w:p>
        </w:tc>
        <w:tc>
          <w:tcPr>
            <w:tcW w:w="787" w:type="pct"/>
            <w:tcBorders>
              <w:top w:val="nil"/>
              <w:bottom w:val="nil"/>
            </w:tcBorders>
          </w:tcPr>
          <w:p w14:paraId="7B6384BB" w14:textId="6BF30E1E" w:rsidR="006153C0" w:rsidRPr="004C78D8" w:rsidRDefault="006153C0" w:rsidP="00FB7C1F">
            <w:pPr>
              <w:jc w:val="left"/>
              <w:rPr>
                <w:sz w:val="18"/>
                <w:szCs w:val="18"/>
              </w:rPr>
            </w:pPr>
            <w:r w:rsidRPr="004C78D8">
              <w:rPr>
                <w:sz w:val="18"/>
                <w:szCs w:val="18"/>
              </w:rPr>
              <w:t xml:space="preserve">See Table </w:t>
            </w:r>
            <w:r w:rsidR="006206A1" w:rsidRPr="004C78D8">
              <w:rPr>
                <w:sz w:val="18"/>
                <w:szCs w:val="18"/>
              </w:rPr>
              <w:t>5</w:t>
            </w:r>
            <w:r w:rsidRPr="004C78D8">
              <w:rPr>
                <w:sz w:val="18"/>
                <w:szCs w:val="18"/>
              </w:rPr>
              <w:t>.1</w:t>
            </w:r>
            <w:r w:rsidR="00600556" w:rsidRPr="004C78D8">
              <w:rPr>
                <w:sz w:val="18"/>
                <w:szCs w:val="18"/>
              </w:rPr>
              <w:t>9</w:t>
            </w:r>
          </w:p>
        </w:tc>
        <w:tc>
          <w:tcPr>
            <w:tcW w:w="1411" w:type="pct"/>
            <w:tcBorders>
              <w:top w:val="nil"/>
              <w:bottom w:val="nil"/>
            </w:tcBorders>
          </w:tcPr>
          <w:p w14:paraId="33E8023B" w14:textId="77777777" w:rsidR="006153C0" w:rsidRPr="00972766" w:rsidRDefault="006153C0" w:rsidP="00FB7C1F">
            <w:pPr>
              <w:jc w:val="left"/>
              <w:rPr>
                <w:sz w:val="18"/>
                <w:szCs w:val="18"/>
                <w:lang w:val="sv-SE"/>
              </w:rPr>
            </w:pPr>
            <w:r w:rsidRPr="00972766">
              <w:rPr>
                <w:sz w:val="18"/>
                <w:szCs w:val="18"/>
                <w:lang w:val="sv-SE"/>
              </w:rPr>
              <w:t>Gamma (</w:t>
            </w:r>
            <w:r w:rsidRPr="00972766">
              <w:rPr>
                <w:i/>
                <w:iCs/>
                <w:sz w:val="18"/>
                <w:szCs w:val="18"/>
                <w:lang w:val="sv-SE"/>
              </w:rPr>
              <w:t>k</w:t>
            </w:r>
            <w:r w:rsidRPr="00972766">
              <w:rPr>
                <w:sz w:val="18"/>
                <w:szCs w:val="18"/>
                <w:lang w:val="sv-SE"/>
              </w:rPr>
              <w:t xml:space="preserve"> =9.6; </w:t>
            </w:r>
            <w:r w:rsidRPr="004C78D8">
              <w:rPr>
                <w:rFonts w:cs="Times New Roman"/>
                <w:sz w:val="18"/>
                <w:szCs w:val="18"/>
              </w:rPr>
              <w:t>ϑ</w:t>
            </w:r>
            <w:r w:rsidRPr="00972766">
              <w:rPr>
                <w:sz w:val="18"/>
                <w:szCs w:val="18"/>
                <w:lang w:val="sv-SE"/>
              </w:rPr>
              <w:t xml:space="preserve"> =Mean/</w:t>
            </w:r>
            <w:r w:rsidRPr="00972766">
              <w:rPr>
                <w:i/>
                <w:iCs/>
                <w:sz w:val="18"/>
                <w:szCs w:val="18"/>
                <w:lang w:val="sv-SE"/>
              </w:rPr>
              <w:t>k</w:t>
            </w:r>
            <w:r w:rsidRPr="00972766">
              <w:rPr>
                <w:sz w:val="18"/>
                <w:szCs w:val="18"/>
                <w:lang w:val="sv-SE"/>
              </w:rPr>
              <w:t>)</w:t>
            </w:r>
          </w:p>
        </w:tc>
        <w:tc>
          <w:tcPr>
            <w:tcW w:w="610" w:type="pct"/>
            <w:tcBorders>
              <w:top w:val="nil"/>
              <w:bottom w:val="nil"/>
            </w:tcBorders>
          </w:tcPr>
          <w:p w14:paraId="66AA547E" w14:textId="4C3C609A" w:rsidR="006153C0" w:rsidRPr="004C78D8" w:rsidRDefault="006153C0"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&lt;EndNote&gt;&lt;Cite&gt;&lt;Author&gt;Sach&lt;/Author&gt;&lt;Year&gt;2007&lt;/Year&gt;&lt;RecNum&gt;354&lt;/RecNum&gt;&lt;DisplayText&gt;[349]&lt;/DisplayText&gt;&lt;record&gt;&lt;rec-number&gt;354&lt;/rec-number&gt;&lt;foreign-keys&gt;&lt;key app="EN" db-id="tdtrdw9aepptzbefsat599syza29sxsd2wsp" timestamp="1612212070"&gt;354&lt;/key&gt;&lt;/foreign-keys&gt;&lt;ref-type name="Journal Article"&gt;17&lt;/ref-type&gt;&lt;contributors&gt;&lt;authors&gt;&lt;author&gt;Sach, T. H.&lt;/author&gt;&lt;author&gt;Foss, A. J.&lt;/author&gt;&lt;author&gt;Gregson, R. M.&lt;/author&gt;&lt;author&gt;Zaman, A.&lt;/author&gt;&lt;author&gt;Osborn, F.&lt;/author&gt;&lt;author&gt;Masud, T.&lt;/author&gt;&lt;author&gt;Harwood, R. H.&lt;/author&gt;&lt;/authors&gt;&lt;/contributors&gt;&lt;auth-address&gt;School of Chemical Sciences and Pharmacy, University of East Anglia, Norwich NR4 7TJ, UK. T.Sach@uea.ac.uk&lt;/auth-address&gt;&lt;titles&gt;&lt;title&gt;Falls and health status in elderly women following first eye cataract surgery: an economic evaluation conducted alongside a randomised controlled trial&lt;/title&gt;&lt;secondary-title&gt;Br J Ophthalmol&lt;/secondary-title&gt;&lt;/titles&gt;&lt;periodical&gt;&lt;full-title&gt;Br J Ophthalmol&lt;/full-title&gt;&lt;/periodical&gt;&lt;pages&gt;1675-9&lt;/pages&gt;&lt;volume&gt;91&lt;/volume&gt;&lt;number&gt;12&lt;/number&gt;&lt;keywords&gt;&lt;keyword&gt;*Accidental Falls/prevention &amp;amp; control&lt;/keyword&gt;&lt;keyword&gt;Aged&lt;/keyword&gt;&lt;keyword&gt;Cataract/physiopathology&lt;/keyword&gt;&lt;keyword&gt;Cataract Extraction/*economics&lt;/keyword&gt;&lt;keyword&gt;Cost-Benefit Analysis&lt;/keyword&gt;&lt;keyword&gt;Female&lt;/keyword&gt;&lt;keyword&gt;Health Care Costs&lt;/keyword&gt;&lt;keyword&gt;*Health Status&lt;/keyword&gt;&lt;keyword&gt;Humans&lt;/keyword&gt;&lt;keyword&gt;Models, Economic&lt;/keyword&gt;&lt;keyword&gt;Postoperative Period&lt;/keyword&gt;&lt;keyword&gt;Quality-Adjusted Life Years&lt;/keyword&gt;&lt;keyword&gt;Visual Acuity&lt;/keyword&gt;&lt;/keywords&gt;&lt;dates&gt;&lt;year&gt;2007&lt;/year&gt;&lt;pub-dates&gt;&lt;date&gt;Dec&lt;/date&gt;&lt;/pub-dates&gt;&lt;/dates&gt;&lt;isbn&gt;1468-2079 (Electronic)&amp;#xD;0007-1161 (Linking)&lt;/isbn&gt;&lt;accession-num&gt;17585002&lt;/accession-num&gt;&lt;urls&gt;&lt;related-urls&gt;&lt;url&gt;https://www.ncbi.nlm.nih.gov/pubmed/17585002&lt;/url&gt;&lt;/related-urls&gt;&lt;/urls&gt;&lt;custom2&gt;PMC2095519&lt;/custom2&gt;&lt;electronic-resource-num&gt;10.1136/bjo.2007.118687&lt;/electronic-resource-num&gt;&lt;/record&gt;&lt;/Cite&gt;&lt;/EndNote&gt;</w:instrText>
            </w:r>
            <w:r w:rsidRPr="004C78D8">
              <w:rPr>
                <w:sz w:val="18"/>
                <w:szCs w:val="18"/>
              </w:rPr>
              <w:fldChar w:fldCharType="separate"/>
            </w:r>
            <w:r w:rsidR="00C630FC" w:rsidRPr="004C78D8">
              <w:rPr>
                <w:noProof/>
                <w:sz w:val="18"/>
                <w:szCs w:val="18"/>
              </w:rPr>
              <w:t>[349]</w:t>
            </w:r>
            <w:r w:rsidRPr="004C78D8">
              <w:rPr>
                <w:sz w:val="18"/>
                <w:szCs w:val="18"/>
              </w:rPr>
              <w:fldChar w:fldCharType="end"/>
            </w:r>
          </w:p>
        </w:tc>
      </w:tr>
      <w:tr w:rsidR="006153C0" w:rsidRPr="004C78D8" w14:paraId="13683B87" w14:textId="77777777" w:rsidTr="00E35893">
        <w:tc>
          <w:tcPr>
            <w:tcW w:w="231" w:type="pct"/>
            <w:tcBorders>
              <w:top w:val="nil"/>
              <w:bottom w:val="nil"/>
            </w:tcBorders>
          </w:tcPr>
          <w:p w14:paraId="3671B613" w14:textId="77777777" w:rsidR="006153C0" w:rsidRPr="004C78D8" w:rsidRDefault="006153C0" w:rsidP="00FB7C1F">
            <w:pPr>
              <w:jc w:val="left"/>
              <w:rPr>
                <w:sz w:val="18"/>
                <w:szCs w:val="18"/>
              </w:rPr>
            </w:pPr>
            <w:r w:rsidRPr="004C78D8">
              <w:rPr>
                <w:sz w:val="18"/>
                <w:szCs w:val="18"/>
              </w:rPr>
              <w:t>6</w:t>
            </w:r>
          </w:p>
        </w:tc>
        <w:tc>
          <w:tcPr>
            <w:tcW w:w="1960" w:type="pct"/>
            <w:tcBorders>
              <w:top w:val="nil"/>
              <w:bottom w:val="nil"/>
            </w:tcBorders>
          </w:tcPr>
          <w:p w14:paraId="4362C654" w14:textId="77777777" w:rsidR="006153C0" w:rsidRPr="004C78D8" w:rsidRDefault="006153C0" w:rsidP="00FB7C1F">
            <w:pPr>
              <w:jc w:val="left"/>
              <w:rPr>
                <w:sz w:val="18"/>
                <w:szCs w:val="18"/>
              </w:rPr>
            </w:pPr>
            <w:r w:rsidRPr="004C78D8">
              <w:rPr>
                <w:sz w:val="18"/>
                <w:szCs w:val="18"/>
              </w:rPr>
              <w:t>OOP care cost by frailty and SES categories</w:t>
            </w:r>
          </w:p>
        </w:tc>
        <w:tc>
          <w:tcPr>
            <w:tcW w:w="787" w:type="pct"/>
            <w:tcBorders>
              <w:top w:val="nil"/>
              <w:bottom w:val="nil"/>
            </w:tcBorders>
          </w:tcPr>
          <w:p w14:paraId="3F5F4CAC" w14:textId="667179C0" w:rsidR="006153C0" w:rsidRPr="004C78D8" w:rsidRDefault="006153C0" w:rsidP="00FB7C1F">
            <w:pPr>
              <w:jc w:val="left"/>
              <w:rPr>
                <w:sz w:val="18"/>
                <w:szCs w:val="18"/>
              </w:rPr>
            </w:pPr>
            <w:r w:rsidRPr="004C78D8">
              <w:rPr>
                <w:sz w:val="18"/>
                <w:szCs w:val="18"/>
              </w:rPr>
              <w:t xml:space="preserve">See Table </w:t>
            </w:r>
            <w:r w:rsidR="006206A1" w:rsidRPr="004C78D8">
              <w:rPr>
                <w:sz w:val="18"/>
                <w:szCs w:val="18"/>
              </w:rPr>
              <w:t>5</w:t>
            </w:r>
            <w:r w:rsidRPr="004C78D8">
              <w:rPr>
                <w:sz w:val="18"/>
                <w:szCs w:val="18"/>
              </w:rPr>
              <w:t>.</w:t>
            </w:r>
            <w:r w:rsidR="00600556" w:rsidRPr="004C78D8">
              <w:rPr>
                <w:sz w:val="18"/>
                <w:szCs w:val="18"/>
              </w:rPr>
              <w:t>21</w:t>
            </w:r>
          </w:p>
        </w:tc>
        <w:tc>
          <w:tcPr>
            <w:tcW w:w="1411" w:type="pct"/>
            <w:tcBorders>
              <w:top w:val="nil"/>
              <w:bottom w:val="nil"/>
            </w:tcBorders>
          </w:tcPr>
          <w:p w14:paraId="460D3940" w14:textId="77777777" w:rsidR="006153C0" w:rsidRPr="00972766" w:rsidRDefault="006153C0" w:rsidP="00FB7C1F">
            <w:pPr>
              <w:jc w:val="left"/>
              <w:rPr>
                <w:sz w:val="18"/>
                <w:szCs w:val="18"/>
                <w:lang w:val="sv-SE"/>
              </w:rPr>
            </w:pPr>
            <w:r w:rsidRPr="00972766">
              <w:rPr>
                <w:sz w:val="18"/>
                <w:szCs w:val="18"/>
                <w:lang w:val="sv-SE"/>
              </w:rPr>
              <w:t>Gamma (</w:t>
            </w:r>
            <w:r w:rsidRPr="00972766">
              <w:rPr>
                <w:i/>
                <w:iCs/>
                <w:sz w:val="18"/>
                <w:szCs w:val="18"/>
                <w:lang w:val="sv-SE"/>
              </w:rPr>
              <w:t>k</w:t>
            </w:r>
            <w:r w:rsidRPr="00972766">
              <w:rPr>
                <w:sz w:val="18"/>
                <w:szCs w:val="18"/>
                <w:lang w:val="sv-SE"/>
              </w:rPr>
              <w:t xml:space="preserve"> =26.6; </w:t>
            </w:r>
            <w:r w:rsidRPr="004C78D8">
              <w:rPr>
                <w:rFonts w:cs="Times New Roman"/>
                <w:sz w:val="18"/>
                <w:szCs w:val="18"/>
              </w:rPr>
              <w:t>ϑ</w:t>
            </w:r>
            <w:r w:rsidRPr="00972766">
              <w:rPr>
                <w:sz w:val="18"/>
                <w:szCs w:val="18"/>
                <w:lang w:val="sv-SE"/>
              </w:rPr>
              <w:t xml:space="preserve"> =Mean/</w:t>
            </w:r>
            <w:r w:rsidRPr="00972766">
              <w:rPr>
                <w:i/>
                <w:iCs/>
                <w:sz w:val="18"/>
                <w:szCs w:val="18"/>
                <w:lang w:val="sv-SE"/>
              </w:rPr>
              <w:t>k</w:t>
            </w:r>
            <w:r w:rsidRPr="00972766">
              <w:rPr>
                <w:sz w:val="18"/>
                <w:szCs w:val="18"/>
                <w:lang w:val="sv-SE"/>
              </w:rPr>
              <w:t>)</w:t>
            </w:r>
          </w:p>
        </w:tc>
        <w:tc>
          <w:tcPr>
            <w:tcW w:w="610" w:type="pct"/>
            <w:tcBorders>
              <w:top w:val="nil"/>
              <w:bottom w:val="nil"/>
            </w:tcBorders>
          </w:tcPr>
          <w:p w14:paraId="045A3321" w14:textId="7610731E" w:rsidR="006153C0" w:rsidRPr="004C78D8" w:rsidRDefault="006153C0"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&lt;EndNote&gt;&lt;Cite&gt;&lt;Author&gt;Sach&lt;/Author&gt;&lt;Year&gt;2007&lt;/Year&gt;&lt;RecNum&gt;354&lt;/RecNum&gt;&lt;DisplayText&gt;[349]&lt;/DisplayText&gt;&lt;record&gt;&lt;rec-number&gt;354&lt;/rec-number&gt;&lt;foreign-keys&gt;&lt;key app="EN" db-id="tdtrdw9aepptzbefsat599syza29sxsd2wsp" timestamp="1612212070"&gt;354&lt;/key&gt;&lt;/foreign-keys&gt;&lt;ref-type name="Journal Article"&gt;17&lt;/ref-type&gt;&lt;contributors&gt;&lt;authors&gt;&lt;author&gt;Sach, T. H.&lt;/author&gt;&lt;author&gt;Foss, A. J.&lt;/author&gt;&lt;author&gt;Gregson, R. M.&lt;/author&gt;&lt;author&gt;Zaman, A.&lt;/author&gt;&lt;author&gt;Osborn, F.&lt;/author&gt;&lt;author&gt;Masud, T.&lt;/author&gt;&lt;author&gt;Harwood, R. H.&lt;/author&gt;&lt;/authors&gt;&lt;/contributors&gt;&lt;auth-address&gt;School of Chemical Sciences and Pharmacy, University of East Anglia, Norwich NR4 7TJ, UK. T.Sach@uea.ac.uk&lt;/auth-address&gt;&lt;titles&gt;&lt;title&gt;Falls and health status in elderly women following first eye cataract surgery: an economic evaluation conducted alongside a randomised controlled trial&lt;/title&gt;&lt;secondary-title&gt;Br J Ophthalmol&lt;/secondary-title&gt;&lt;/titles&gt;&lt;periodical&gt;&lt;full-title&gt;Br J Ophthalmol&lt;/full-title&gt;&lt;/periodical&gt;&lt;pages&gt;1675-9&lt;/pages&gt;&lt;volume&gt;91&lt;/volume&gt;&lt;number&gt;12&lt;/number&gt;&lt;keywords&gt;&lt;keyword&gt;*Accidental Falls/prevention &amp;amp; control&lt;/keyword&gt;&lt;keyword&gt;Aged&lt;/keyword&gt;&lt;keyword&gt;Cataract/physiopathology&lt;/keyword&gt;&lt;keyword&gt;Cataract Extraction/*economics&lt;/keyword&gt;&lt;keyword&gt;Cost-Benefit Analysis&lt;/keyword&gt;&lt;keyword&gt;Female&lt;/keyword&gt;&lt;keyword&gt;Health Care Costs&lt;/keyword&gt;&lt;keyword&gt;*Health Status&lt;/keyword&gt;&lt;keyword&gt;Humans&lt;/keyword&gt;&lt;keyword&gt;Models, Economic&lt;/keyword&gt;&lt;keyword&gt;Postoperative Period&lt;/keyword&gt;&lt;keyword&gt;Quality-Adjusted Life Years&lt;/keyword&gt;&lt;keyword&gt;Visual Acuity&lt;/keyword&gt;&lt;/keywords&gt;&lt;dates&gt;&lt;year&gt;2007&lt;/year&gt;&lt;pub-dates&gt;&lt;date&gt;Dec&lt;/date&gt;&lt;/pub-dates&gt;&lt;/dates&gt;&lt;isbn&gt;1468-2079 (Electronic)&amp;#xD;0007-1161 (Linking)&lt;/isbn&gt;&lt;accession-num&gt;17585002&lt;/accession-num&gt;&lt;urls&gt;&lt;related-urls&gt;&lt;url&gt;https://www.ncbi.nlm.nih.gov/pubmed/17585002&lt;/url&gt;&lt;/related-urls&gt;&lt;/urls&gt;&lt;custom2&gt;PMC2095519&lt;/custom2&gt;&lt;electronic-resource-num&gt;10.1136/bjo.2007.118687&lt;/electronic-resource-num&gt;&lt;/record&gt;&lt;/Cite&gt;&lt;/EndNote&gt;</w:instrText>
            </w:r>
            <w:r w:rsidRPr="004C78D8">
              <w:rPr>
                <w:sz w:val="18"/>
                <w:szCs w:val="18"/>
              </w:rPr>
              <w:fldChar w:fldCharType="separate"/>
            </w:r>
            <w:r w:rsidR="00C630FC" w:rsidRPr="004C78D8">
              <w:rPr>
                <w:noProof/>
                <w:sz w:val="18"/>
                <w:szCs w:val="18"/>
              </w:rPr>
              <w:t>[349]</w:t>
            </w:r>
            <w:r w:rsidRPr="004C78D8">
              <w:rPr>
                <w:sz w:val="18"/>
                <w:szCs w:val="18"/>
              </w:rPr>
              <w:fldChar w:fldCharType="end"/>
            </w:r>
          </w:p>
        </w:tc>
      </w:tr>
      <w:tr w:rsidR="006153C0" w:rsidRPr="004C78D8" w14:paraId="463DEEEA" w14:textId="77777777" w:rsidTr="00E35893">
        <w:tc>
          <w:tcPr>
            <w:tcW w:w="231" w:type="pct"/>
            <w:tcBorders>
              <w:top w:val="nil"/>
              <w:bottom w:val="nil"/>
            </w:tcBorders>
          </w:tcPr>
          <w:p w14:paraId="20C068E9" w14:textId="77777777" w:rsidR="006153C0" w:rsidRPr="004C78D8" w:rsidRDefault="006153C0" w:rsidP="00FB7C1F">
            <w:pPr>
              <w:jc w:val="left"/>
              <w:rPr>
                <w:sz w:val="18"/>
                <w:szCs w:val="18"/>
              </w:rPr>
            </w:pPr>
            <w:r w:rsidRPr="004C78D8">
              <w:rPr>
                <w:sz w:val="18"/>
                <w:szCs w:val="18"/>
              </w:rPr>
              <w:t>7</w:t>
            </w:r>
          </w:p>
        </w:tc>
        <w:tc>
          <w:tcPr>
            <w:tcW w:w="1960" w:type="pct"/>
            <w:tcBorders>
              <w:top w:val="nil"/>
              <w:bottom w:val="nil"/>
            </w:tcBorders>
          </w:tcPr>
          <w:p w14:paraId="10857555" w14:textId="77777777" w:rsidR="006153C0" w:rsidRPr="004C78D8" w:rsidRDefault="006153C0" w:rsidP="00FB7C1F">
            <w:pPr>
              <w:jc w:val="left"/>
              <w:rPr>
                <w:sz w:val="18"/>
                <w:szCs w:val="18"/>
              </w:rPr>
            </w:pPr>
            <w:r w:rsidRPr="004C78D8">
              <w:rPr>
                <w:sz w:val="18"/>
                <w:szCs w:val="18"/>
              </w:rPr>
              <w:t>Informal care cost by single vs. multiple needs</w:t>
            </w:r>
          </w:p>
        </w:tc>
        <w:tc>
          <w:tcPr>
            <w:tcW w:w="787" w:type="pct"/>
            <w:tcBorders>
              <w:top w:val="nil"/>
              <w:bottom w:val="nil"/>
            </w:tcBorders>
          </w:tcPr>
          <w:p w14:paraId="6AF30AAE" w14:textId="2A58A779" w:rsidR="006153C0" w:rsidRPr="004C78D8" w:rsidRDefault="006153C0" w:rsidP="00FB7C1F">
            <w:pPr>
              <w:jc w:val="left"/>
              <w:rPr>
                <w:sz w:val="18"/>
                <w:szCs w:val="18"/>
              </w:rPr>
            </w:pPr>
            <w:r w:rsidRPr="004C78D8">
              <w:rPr>
                <w:sz w:val="18"/>
                <w:szCs w:val="18"/>
              </w:rPr>
              <w:t xml:space="preserve">See Table </w:t>
            </w:r>
            <w:r w:rsidR="006206A1" w:rsidRPr="004C78D8">
              <w:rPr>
                <w:sz w:val="18"/>
                <w:szCs w:val="18"/>
              </w:rPr>
              <w:t>5</w:t>
            </w:r>
            <w:r w:rsidRPr="004C78D8">
              <w:rPr>
                <w:sz w:val="18"/>
                <w:szCs w:val="18"/>
              </w:rPr>
              <w:t>.2</w:t>
            </w:r>
            <w:r w:rsidR="00600556" w:rsidRPr="004C78D8">
              <w:rPr>
                <w:sz w:val="18"/>
                <w:szCs w:val="18"/>
              </w:rPr>
              <w:t>4</w:t>
            </w:r>
          </w:p>
        </w:tc>
        <w:tc>
          <w:tcPr>
            <w:tcW w:w="1411" w:type="pct"/>
            <w:tcBorders>
              <w:top w:val="nil"/>
              <w:bottom w:val="nil"/>
            </w:tcBorders>
          </w:tcPr>
          <w:p w14:paraId="08ED9606" w14:textId="77777777" w:rsidR="006153C0" w:rsidRPr="00972766" w:rsidRDefault="006153C0" w:rsidP="00FB7C1F">
            <w:pPr>
              <w:jc w:val="left"/>
              <w:rPr>
                <w:sz w:val="18"/>
                <w:szCs w:val="18"/>
                <w:lang w:val="sv-SE"/>
              </w:rPr>
            </w:pPr>
            <w:r w:rsidRPr="00972766">
              <w:rPr>
                <w:sz w:val="18"/>
                <w:szCs w:val="18"/>
                <w:lang w:val="sv-SE"/>
              </w:rPr>
              <w:t>Gamma (</w:t>
            </w:r>
            <w:r w:rsidRPr="00972766">
              <w:rPr>
                <w:i/>
                <w:iCs/>
                <w:sz w:val="18"/>
                <w:szCs w:val="18"/>
                <w:lang w:val="sv-SE"/>
              </w:rPr>
              <w:t>k</w:t>
            </w:r>
            <w:r w:rsidRPr="00972766">
              <w:rPr>
                <w:sz w:val="18"/>
                <w:szCs w:val="18"/>
                <w:lang w:val="sv-SE"/>
              </w:rPr>
              <w:t xml:space="preserve"> =26.6; </w:t>
            </w:r>
            <w:r w:rsidRPr="004C78D8">
              <w:rPr>
                <w:rFonts w:cs="Times New Roman"/>
                <w:sz w:val="18"/>
                <w:szCs w:val="18"/>
              </w:rPr>
              <w:t>ϑ</w:t>
            </w:r>
            <w:r w:rsidRPr="00972766">
              <w:rPr>
                <w:sz w:val="18"/>
                <w:szCs w:val="18"/>
                <w:lang w:val="sv-SE"/>
              </w:rPr>
              <w:t xml:space="preserve"> =Mean/</w:t>
            </w:r>
            <w:r w:rsidRPr="00972766">
              <w:rPr>
                <w:i/>
                <w:iCs/>
                <w:sz w:val="18"/>
                <w:szCs w:val="18"/>
                <w:lang w:val="sv-SE"/>
              </w:rPr>
              <w:t>k</w:t>
            </w:r>
            <w:r w:rsidRPr="00972766">
              <w:rPr>
                <w:sz w:val="18"/>
                <w:szCs w:val="18"/>
                <w:lang w:val="sv-SE"/>
              </w:rPr>
              <w:t>)</w:t>
            </w:r>
          </w:p>
        </w:tc>
        <w:tc>
          <w:tcPr>
            <w:tcW w:w="610" w:type="pct"/>
            <w:tcBorders>
              <w:top w:val="nil"/>
              <w:bottom w:val="nil"/>
            </w:tcBorders>
          </w:tcPr>
          <w:p w14:paraId="1DA10B5F" w14:textId="03DFA12D" w:rsidR="006153C0" w:rsidRPr="004C78D8" w:rsidRDefault="006153C0"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&lt;EndNote&gt;&lt;Cite&gt;&lt;Author&gt;Sach&lt;/Author&gt;&lt;Year&gt;2007&lt;/Year&gt;&lt;RecNum&gt;354&lt;/RecNum&gt;&lt;DisplayText&gt;[349]&lt;/DisplayText&gt;&lt;record&gt;&lt;rec-number&gt;354&lt;/rec-number&gt;&lt;foreign-keys&gt;&lt;key app="EN" db-id="tdtrdw9aepptzbefsat599syza29sxsd2wsp" timestamp="1612212070"&gt;354&lt;/key&gt;&lt;/foreign-keys&gt;&lt;ref-type name="Journal Article"&gt;17&lt;/ref-type&gt;&lt;contributors&gt;&lt;authors&gt;&lt;author&gt;Sach, T. H.&lt;/author&gt;&lt;author&gt;Foss, A. J.&lt;/author&gt;&lt;author&gt;Gregson, R. M.&lt;/author&gt;&lt;author&gt;Zaman, A.&lt;/author&gt;&lt;author&gt;Osborn, F.&lt;/author&gt;&lt;author&gt;Masud, T.&lt;/author&gt;&lt;author&gt;Harwood, R. H.&lt;/author&gt;&lt;/authors&gt;&lt;/contributors&gt;&lt;auth-address&gt;School of Chemical Sciences and Pharmacy, University of East Anglia, Norwich NR4 7TJ, UK. T.Sach@uea.ac.uk&lt;/auth-address&gt;&lt;titles&gt;&lt;title&gt;Falls and health status in elderly women following first eye cataract surgery: an economic evaluation conducted alongside a randomised controlled trial&lt;/title&gt;&lt;secondary-title&gt;Br J Ophthalmol&lt;/secondary-title&gt;&lt;/titles&gt;&lt;periodical&gt;&lt;full-title&gt;Br J Ophthalmol&lt;/full-title&gt;&lt;/periodical&gt;&lt;pages&gt;1675-9&lt;/pages&gt;&lt;volume&gt;91&lt;/volume&gt;&lt;number&gt;12&lt;/number&gt;&lt;keywords&gt;&lt;keyword&gt;*Accidental Falls/prevention &amp;amp; control&lt;/keyword&gt;&lt;keyword&gt;Aged&lt;/keyword&gt;&lt;keyword&gt;Cataract/physiopathology&lt;/keyword&gt;&lt;keyword&gt;Cataract Extraction/*economics&lt;/keyword&gt;&lt;keyword&gt;Cost-Benefit Analysis&lt;/keyword&gt;&lt;keyword&gt;Female&lt;/keyword&gt;&lt;keyword&gt;Health Care Costs&lt;/keyword&gt;&lt;keyword&gt;*Health Status&lt;/keyword&gt;&lt;keyword&gt;Humans&lt;/keyword&gt;&lt;keyword&gt;Models, Economic&lt;/keyword&gt;&lt;keyword&gt;Postoperative Period&lt;/keyword&gt;&lt;keyword&gt;Quality-Adjusted Life Years&lt;/keyword&gt;&lt;keyword&gt;Visual Acuity&lt;/keyword&gt;&lt;/keywords&gt;&lt;dates&gt;&lt;year&gt;2007&lt;/year&gt;&lt;pub-dates&gt;&lt;date&gt;Dec&lt;/date&gt;&lt;/pub-dates&gt;&lt;/dates&gt;&lt;isbn&gt;1468-2079 (Electronic)&amp;#xD;0007-1161 (Linking)&lt;/isbn&gt;&lt;accession-num&gt;17585002&lt;/accession-num&gt;&lt;urls&gt;&lt;related-urls&gt;&lt;url&gt;https://www.ncbi.nlm.nih.gov/pubmed/17585002&lt;/url&gt;&lt;/related-urls&gt;&lt;/urls&gt;&lt;custom2&gt;PMC2095519&lt;/custom2&gt;&lt;electronic-resource-num&gt;10.1136/bjo.2007.118687&lt;/electronic-resource-num&gt;&lt;/record&gt;&lt;/Cite&gt;&lt;/EndNote&gt;</w:instrText>
            </w:r>
            <w:r w:rsidRPr="004C78D8">
              <w:rPr>
                <w:sz w:val="18"/>
                <w:szCs w:val="18"/>
              </w:rPr>
              <w:fldChar w:fldCharType="separate"/>
            </w:r>
            <w:r w:rsidR="00C630FC" w:rsidRPr="004C78D8">
              <w:rPr>
                <w:noProof/>
                <w:sz w:val="18"/>
                <w:szCs w:val="18"/>
              </w:rPr>
              <w:t>[349]</w:t>
            </w:r>
            <w:r w:rsidRPr="004C78D8">
              <w:rPr>
                <w:sz w:val="18"/>
                <w:szCs w:val="18"/>
              </w:rPr>
              <w:fldChar w:fldCharType="end"/>
            </w:r>
          </w:p>
        </w:tc>
      </w:tr>
      <w:tr w:rsidR="006153C0" w:rsidRPr="004C78D8" w14:paraId="246EEE9E" w14:textId="77777777" w:rsidTr="00E35893">
        <w:tc>
          <w:tcPr>
            <w:tcW w:w="231" w:type="pct"/>
            <w:tcBorders>
              <w:top w:val="nil"/>
              <w:bottom w:val="nil"/>
            </w:tcBorders>
          </w:tcPr>
          <w:p w14:paraId="510351B6" w14:textId="77777777" w:rsidR="006153C0" w:rsidRPr="004C78D8" w:rsidRDefault="006153C0" w:rsidP="00FB7C1F">
            <w:pPr>
              <w:jc w:val="left"/>
              <w:rPr>
                <w:sz w:val="18"/>
                <w:szCs w:val="18"/>
              </w:rPr>
            </w:pPr>
            <w:r w:rsidRPr="004C78D8">
              <w:rPr>
                <w:sz w:val="18"/>
                <w:szCs w:val="18"/>
              </w:rPr>
              <w:t>8</w:t>
            </w:r>
          </w:p>
        </w:tc>
        <w:tc>
          <w:tcPr>
            <w:tcW w:w="1960" w:type="pct"/>
            <w:tcBorders>
              <w:top w:val="nil"/>
              <w:bottom w:val="nil"/>
            </w:tcBorders>
          </w:tcPr>
          <w:p w14:paraId="076290A2" w14:textId="77777777" w:rsidR="006153C0" w:rsidRPr="004C78D8" w:rsidRDefault="006153C0" w:rsidP="00FB7C1F">
            <w:pPr>
              <w:jc w:val="left"/>
              <w:rPr>
                <w:sz w:val="18"/>
                <w:szCs w:val="18"/>
              </w:rPr>
            </w:pPr>
            <w:r w:rsidRPr="004C78D8">
              <w:rPr>
                <w:sz w:val="18"/>
                <w:szCs w:val="18"/>
              </w:rPr>
              <w:t>Public sector cost in final year of life by cause</w:t>
            </w:r>
          </w:p>
        </w:tc>
        <w:tc>
          <w:tcPr>
            <w:tcW w:w="787" w:type="pct"/>
            <w:tcBorders>
              <w:top w:val="nil"/>
              <w:bottom w:val="nil"/>
            </w:tcBorders>
          </w:tcPr>
          <w:p w14:paraId="6B533E56" w14:textId="580DEEE1" w:rsidR="006153C0" w:rsidRPr="004C78D8" w:rsidRDefault="006153C0" w:rsidP="00FB7C1F">
            <w:pPr>
              <w:jc w:val="left"/>
              <w:rPr>
                <w:sz w:val="18"/>
                <w:szCs w:val="18"/>
              </w:rPr>
            </w:pPr>
            <w:r w:rsidRPr="004C78D8">
              <w:rPr>
                <w:sz w:val="18"/>
                <w:szCs w:val="18"/>
              </w:rPr>
              <w:t xml:space="preserve">See Table </w:t>
            </w:r>
            <w:r w:rsidR="006206A1" w:rsidRPr="004C78D8">
              <w:rPr>
                <w:sz w:val="18"/>
                <w:szCs w:val="18"/>
              </w:rPr>
              <w:t>5</w:t>
            </w:r>
            <w:r w:rsidRPr="004C78D8">
              <w:rPr>
                <w:sz w:val="18"/>
                <w:szCs w:val="18"/>
              </w:rPr>
              <w:t>.3</w:t>
            </w:r>
            <w:r w:rsidR="006206A1" w:rsidRPr="004C78D8">
              <w:rPr>
                <w:sz w:val="18"/>
                <w:szCs w:val="18"/>
              </w:rPr>
              <w:t>7</w:t>
            </w:r>
          </w:p>
        </w:tc>
        <w:tc>
          <w:tcPr>
            <w:tcW w:w="1411" w:type="pct"/>
            <w:tcBorders>
              <w:top w:val="nil"/>
              <w:bottom w:val="nil"/>
            </w:tcBorders>
          </w:tcPr>
          <w:p w14:paraId="738B5EE0" w14:textId="77777777" w:rsidR="006153C0" w:rsidRPr="00972766" w:rsidRDefault="006153C0" w:rsidP="00FB7C1F">
            <w:pPr>
              <w:jc w:val="left"/>
              <w:rPr>
                <w:sz w:val="18"/>
                <w:szCs w:val="18"/>
                <w:lang w:val="sv-SE"/>
              </w:rPr>
            </w:pPr>
            <w:r w:rsidRPr="00972766">
              <w:rPr>
                <w:sz w:val="18"/>
                <w:szCs w:val="18"/>
                <w:lang w:val="sv-SE"/>
              </w:rPr>
              <w:t>Gamma (</w:t>
            </w:r>
            <w:r w:rsidRPr="00972766">
              <w:rPr>
                <w:i/>
                <w:iCs/>
                <w:sz w:val="18"/>
                <w:szCs w:val="18"/>
                <w:lang w:val="sv-SE"/>
              </w:rPr>
              <w:t>k</w:t>
            </w:r>
            <w:r w:rsidRPr="00972766">
              <w:rPr>
                <w:sz w:val="18"/>
                <w:szCs w:val="18"/>
                <w:lang w:val="sv-SE"/>
              </w:rPr>
              <w:t xml:space="preserve"> =49.6; </w:t>
            </w:r>
            <w:r w:rsidRPr="004C78D8">
              <w:rPr>
                <w:rFonts w:cs="Times New Roman"/>
                <w:sz w:val="18"/>
                <w:szCs w:val="18"/>
              </w:rPr>
              <w:t>ϑ</w:t>
            </w:r>
            <w:r w:rsidRPr="00972766">
              <w:rPr>
                <w:sz w:val="18"/>
                <w:szCs w:val="18"/>
                <w:lang w:val="sv-SE"/>
              </w:rPr>
              <w:t xml:space="preserve"> =Mean/</w:t>
            </w:r>
            <w:r w:rsidRPr="00972766">
              <w:rPr>
                <w:i/>
                <w:iCs/>
                <w:sz w:val="18"/>
                <w:szCs w:val="18"/>
                <w:lang w:val="sv-SE"/>
              </w:rPr>
              <w:t>k</w:t>
            </w:r>
            <w:r w:rsidRPr="00972766">
              <w:rPr>
                <w:sz w:val="18"/>
                <w:szCs w:val="18"/>
                <w:lang w:val="sv-SE"/>
              </w:rPr>
              <w:t>)</w:t>
            </w:r>
          </w:p>
        </w:tc>
        <w:tc>
          <w:tcPr>
            <w:tcW w:w="610" w:type="pct"/>
            <w:tcBorders>
              <w:top w:val="nil"/>
              <w:bottom w:val="nil"/>
            </w:tcBorders>
          </w:tcPr>
          <w:p w14:paraId="44C3BE79" w14:textId="5C58770F" w:rsidR="006153C0" w:rsidRPr="004C78D8" w:rsidRDefault="006153C0"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&lt;EndNote&gt;&lt;Cite&gt;&lt;Author&gt;Franklin&lt;/Author&gt;&lt;Year&gt;2019&lt;/Year&gt;&lt;RecNum&gt;395&lt;/RecNum&gt;&lt;DisplayText&gt;[363]&lt;/DisplayText&gt;&lt;record&gt;&lt;rec-number&gt;395&lt;/rec-number&gt;&lt;foreign-keys&gt;&lt;key app="EN" db-id="tdtrdw9aepptzbefsat599syza29sxsd2wsp" timestamp="1612694614"&gt;395&lt;/key&gt;&lt;/foreign-keys&gt;&lt;ref-type name="Journal Article"&gt;17&lt;/ref-type&gt;&lt;contributors&gt;&lt;authors&gt;&lt;author&gt;Franklin, Matthew&lt;/author&gt;&lt;author&gt;Hunter, Rachael Maree&lt;/author&gt;&lt;/authors&gt;&lt;/contributors&gt;&lt;titles&gt;&lt;title&gt;A modelling-based economic evaluation of primary-care-based fall-risk screening followed by fall-prevention intervention: a cohort-based Markov model stratified by older age groups&lt;/title&gt;&lt;secondary-title&gt;Age and ageing&lt;/secondary-title&gt;&lt;/titles&gt;&lt;periodical&gt;&lt;full-title&gt;Age and ageing&lt;/full-title&gt;&lt;/periodical&gt;&lt;dates&gt;&lt;year&gt;2019&lt;/year&gt;&lt;/dates&gt;&lt;urls&gt;&lt;/urls&gt;&lt;/record&gt;&lt;/Cite&gt;&lt;/EndNote&gt;</w:instrText>
            </w:r>
            <w:r w:rsidRPr="004C78D8">
              <w:rPr>
                <w:sz w:val="18"/>
                <w:szCs w:val="18"/>
              </w:rPr>
              <w:fldChar w:fldCharType="separate"/>
            </w:r>
            <w:r w:rsidR="00C630FC" w:rsidRPr="004C78D8">
              <w:rPr>
                <w:noProof/>
                <w:sz w:val="18"/>
                <w:szCs w:val="18"/>
              </w:rPr>
              <w:t>[363]</w:t>
            </w:r>
            <w:r w:rsidRPr="004C78D8">
              <w:rPr>
                <w:sz w:val="18"/>
                <w:szCs w:val="18"/>
              </w:rPr>
              <w:fldChar w:fldCharType="end"/>
            </w:r>
          </w:p>
        </w:tc>
      </w:tr>
      <w:tr w:rsidR="006153C0" w:rsidRPr="004C78D8" w14:paraId="565BCDA0" w14:textId="77777777" w:rsidTr="00E35893">
        <w:tc>
          <w:tcPr>
            <w:tcW w:w="231" w:type="pct"/>
            <w:tcBorders>
              <w:top w:val="nil"/>
              <w:bottom w:val="nil"/>
            </w:tcBorders>
          </w:tcPr>
          <w:p w14:paraId="4EC4E1E3" w14:textId="77777777" w:rsidR="006153C0" w:rsidRPr="004C78D8" w:rsidRDefault="006153C0" w:rsidP="00FB7C1F">
            <w:pPr>
              <w:jc w:val="left"/>
              <w:rPr>
                <w:sz w:val="18"/>
                <w:szCs w:val="18"/>
              </w:rPr>
            </w:pPr>
            <w:r w:rsidRPr="004C78D8">
              <w:rPr>
                <w:sz w:val="18"/>
                <w:szCs w:val="18"/>
              </w:rPr>
              <w:t>9</w:t>
            </w:r>
          </w:p>
        </w:tc>
        <w:tc>
          <w:tcPr>
            <w:tcW w:w="1960" w:type="pct"/>
            <w:tcBorders>
              <w:top w:val="nil"/>
              <w:bottom w:val="nil"/>
            </w:tcBorders>
          </w:tcPr>
          <w:p w14:paraId="721AAE09" w14:textId="77777777" w:rsidR="006153C0" w:rsidRPr="004C78D8" w:rsidRDefault="006153C0" w:rsidP="00FB7C1F">
            <w:pPr>
              <w:jc w:val="left"/>
              <w:rPr>
                <w:sz w:val="18"/>
                <w:szCs w:val="18"/>
              </w:rPr>
            </w:pPr>
            <w:r w:rsidRPr="004C78D8">
              <w:rPr>
                <w:sz w:val="18"/>
                <w:szCs w:val="18"/>
              </w:rPr>
              <w:t>Acute QALY loss by fall type</w:t>
            </w:r>
          </w:p>
        </w:tc>
        <w:tc>
          <w:tcPr>
            <w:tcW w:w="787" w:type="pct"/>
            <w:tcBorders>
              <w:top w:val="nil"/>
              <w:bottom w:val="nil"/>
            </w:tcBorders>
          </w:tcPr>
          <w:p w14:paraId="049370AE" w14:textId="63225FF6" w:rsidR="006153C0" w:rsidRPr="004C78D8" w:rsidRDefault="006153C0" w:rsidP="00FB7C1F">
            <w:pPr>
              <w:jc w:val="left"/>
              <w:rPr>
                <w:sz w:val="18"/>
                <w:szCs w:val="18"/>
              </w:rPr>
            </w:pPr>
            <w:r w:rsidRPr="004C78D8">
              <w:rPr>
                <w:sz w:val="18"/>
                <w:szCs w:val="18"/>
              </w:rPr>
              <w:t xml:space="preserve">See Table </w:t>
            </w:r>
            <w:r w:rsidR="006206A1" w:rsidRPr="004C78D8">
              <w:rPr>
                <w:sz w:val="18"/>
                <w:szCs w:val="18"/>
              </w:rPr>
              <w:t>5</w:t>
            </w:r>
            <w:r w:rsidRPr="004C78D8">
              <w:rPr>
                <w:sz w:val="18"/>
                <w:szCs w:val="18"/>
              </w:rPr>
              <w:t>.4</w:t>
            </w:r>
            <w:r w:rsidR="006206A1" w:rsidRPr="004C78D8">
              <w:rPr>
                <w:sz w:val="18"/>
                <w:szCs w:val="18"/>
              </w:rPr>
              <w:t>3</w:t>
            </w:r>
          </w:p>
        </w:tc>
        <w:tc>
          <w:tcPr>
            <w:tcW w:w="1411" w:type="pct"/>
            <w:tcBorders>
              <w:top w:val="nil"/>
              <w:bottom w:val="nil"/>
            </w:tcBorders>
          </w:tcPr>
          <w:p w14:paraId="27567BC9" w14:textId="77777777" w:rsidR="006153C0" w:rsidRPr="004C78D8" w:rsidRDefault="006153C0" w:rsidP="00FB7C1F">
            <w:pPr>
              <w:jc w:val="left"/>
              <w:rPr>
                <w:sz w:val="18"/>
                <w:szCs w:val="18"/>
              </w:rPr>
            </w:pPr>
            <w:r w:rsidRPr="004C78D8">
              <w:rPr>
                <w:sz w:val="18"/>
                <w:szCs w:val="18"/>
              </w:rPr>
              <w:t>Beta (</w:t>
            </w:r>
            <w:r w:rsidRPr="004C78D8">
              <w:rPr>
                <w:rFonts w:cs="Times New Roman"/>
                <w:sz w:val="18"/>
                <w:szCs w:val="18"/>
              </w:rPr>
              <w:t>α</w:t>
            </w:r>
            <w:r w:rsidRPr="004C78D8">
              <w:rPr>
                <w:sz w:val="18"/>
                <w:szCs w:val="18"/>
              </w:rPr>
              <w:t xml:space="preserve"> for SE around 17% of mean; </w:t>
            </w:r>
            <w:r w:rsidRPr="004C78D8">
              <w:rPr>
                <w:rFonts w:cs="Times New Roman"/>
                <w:sz w:val="18"/>
                <w:szCs w:val="18"/>
              </w:rPr>
              <w:t>β</w:t>
            </w:r>
            <w:r w:rsidRPr="004C78D8">
              <w:rPr>
                <w:sz w:val="18"/>
                <w:szCs w:val="18"/>
              </w:rPr>
              <w:t xml:space="preserve"> derived)</w:t>
            </w:r>
            <w:r w:rsidRPr="004C78D8">
              <w:rPr>
                <w:sz w:val="18"/>
                <w:szCs w:val="18"/>
                <w:vertAlign w:val="superscript"/>
              </w:rPr>
              <w:t>3,4</w:t>
            </w:r>
          </w:p>
        </w:tc>
        <w:tc>
          <w:tcPr>
            <w:tcW w:w="610" w:type="pct"/>
            <w:tcBorders>
              <w:top w:val="nil"/>
              <w:bottom w:val="nil"/>
            </w:tcBorders>
          </w:tcPr>
          <w:p w14:paraId="3BD786D1" w14:textId="29B4E6D4" w:rsidR="006153C0" w:rsidRPr="004C78D8" w:rsidRDefault="006153C0" w:rsidP="00FB7C1F">
            <w:pPr>
              <w:jc w:val="left"/>
              <w:rPr>
                <w:sz w:val="18"/>
                <w:szCs w:val="18"/>
              </w:rPr>
            </w:pPr>
            <w:r w:rsidRPr="004C78D8">
              <w:rPr>
                <w:sz w:val="18"/>
                <w:szCs w:val="18"/>
              </w:rPr>
              <w:fldChar w:fldCharType="begin">
                <w:fldData xml:space="preserve">PEVuZE5vdGU+PENpdGU+PEF1dGhvcj5MZWU8L0F1dGhvcj48WWVhcj4yMDEzPC9ZZWFyPjxSZWNO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</w:fldData>
              </w:fldChar>
            </w:r>
            <w:r w:rsidR="00C630FC" w:rsidRPr="004C78D8">
              <w:rPr>
                <w:sz w:val="18"/>
                <w:szCs w:val="18"/>
              </w:rPr>
              <w:instrText xml:space="preserve"> ADDIN EN.CITE </w:instrText>
            </w:r>
            <w:r w:rsidR="00C630FC" w:rsidRPr="004C78D8">
              <w:rPr>
                <w:sz w:val="18"/>
                <w:szCs w:val="18"/>
              </w:rPr>
              <w:fldChar w:fldCharType="begin">
                <w:fldData xml:space="preserve">PEVuZE5vdGU+PENpdGU+PEF1dGhvcj5MZWU8L0F1dGhvcj48WWVhcj4yMDEzPC9ZZWFyPjxSZWNO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</w:fldData>
              </w:fldChar>
            </w:r>
            <w:r w:rsidR="00C630FC" w:rsidRPr="004C78D8">
              <w:rPr>
                <w:sz w:val="18"/>
                <w:szCs w:val="18"/>
              </w:rPr>
              <w:instrText xml:space="preserve"> ADDIN EN.CITE.DATA </w:instrText>
            </w:r>
            <w:r w:rsidR="00C630FC" w:rsidRPr="004C78D8">
              <w:rPr>
                <w:sz w:val="18"/>
                <w:szCs w:val="18"/>
              </w:rPr>
            </w:r>
            <w:r w:rsidR="00C630FC" w:rsidRPr="004C78D8">
              <w:rPr>
                <w:sz w:val="18"/>
                <w:szCs w:val="18"/>
              </w:rPr>
              <w:fldChar w:fldCharType="end"/>
            </w:r>
            <w:r w:rsidRPr="004C78D8">
              <w:rPr>
                <w:sz w:val="18"/>
                <w:szCs w:val="18"/>
              </w:rPr>
            </w:r>
            <w:r w:rsidRPr="004C78D8">
              <w:rPr>
                <w:sz w:val="18"/>
                <w:szCs w:val="18"/>
              </w:rPr>
              <w:fldChar w:fldCharType="separate"/>
            </w:r>
            <w:r w:rsidR="00C630FC" w:rsidRPr="004C78D8">
              <w:rPr>
                <w:noProof/>
                <w:sz w:val="18"/>
                <w:szCs w:val="18"/>
              </w:rPr>
              <w:t>[365]</w:t>
            </w:r>
            <w:r w:rsidRPr="004C78D8">
              <w:rPr>
                <w:sz w:val="18"/>
                <w:szCs w:val="18"/>
              </w:rPr>
              <w:fldChar w:fldCharType="end"/>
            </w:r>
          </w:p>
        </w:tc>
      </w:tr>
      <w:tr w:rsidR="006153C0" w:rsidRPr="004C78D8" w14:paraId="07F9C726" w14:textId="77777777" w:rsidTr="00E35893">
        <w:trPr>
          <w:trHeight w:val="125"/>
        </w:trPr>
        <w:tc>
          <w:tcPr>
            <w:tcW w:w="231" w:type="pct"/>
            <w:tcBorders>
              <w:top w:val="nil"/>
              <w:bottom w:val="nil"/>
            </w:tcBorders>
          </w:tcPr>
          <w:p w14:paraId="1AEC5AD4" w14:textId="77777777" w:rsidR="006153C0" w:rsidRPr="004C78D8" w:rsidRDefault="006153C0" w:rsidP="00FB7C1F">
            <w:pPr>
              <w:jc w:val="left"/>
              <w:rPr>
                <w:sz w:val="18"/>
                <w:szCs w:val="18"/>
              </w:rPr>
            </w:pPr>
            <w:r w:rsidRPr="004C78D8">
              <w:rPr>
                <w:sz w:val="18"/>
                <w:szCs w:val="18"/>
              </w:rPr>
              <w:t>10</w:t>
            </w:r>
          </w:p>
        </w:tc>
        <w:tc>
          <w:tcPr>
            <w:tcW w:w="1960" w:type="pct"/>
            <w:tcBorders>
              <w:top w:val="nil"/>
              <w:bottom w:val="nil"/>
            </w:tcBorders>
          </w:tcPr>
          <w:p w14:paraId="78653979" w14:textId="77777777" w:rsidR="006153C0" w:rsidRPr="004C78D8" w:rsidRDefault="006153C0" w:rsidP="00FB7C1F">
            <w:pPr>
              <w:jc w:val="left"/>
              <w:rPr>
                <w:sz w:val="18"/>
                <w:szCs w:val="18"/>
              </w:rPr>
            </w:pPr>
            <w:r w:rsidRPr="004C78D8">
              <w:rPr>
                <w:sz w:val="18"/>
                <w:szCs w:val="18"/>
              </w:rPr>
              <w:t>Healthcare cost of MA falls by type</w:t>
            </w:r>
          </w:p>
        </w:tc>
        <w:tc>
          <w:tcPr>
            <w:tcW w:w="787" w:type="pct"/>
            <w:tcBorders>
              <w:top w:val="nil"/>
              <w:bottom w:val="nil"/>
            </w:tcBorders>
          </w:tcPr>
          <w:p w14:paraId="5E5ADB94" w14:textId="761461E9" w:rsidR="006153C0" w:rsidRPr="004C78D8" w:rsidRDefault="006153C0" w:rsidP="00FB7C1F">
            <w:pPr>
              <w:jc w:val="left"/>
              <w:rPr>
                <w:sz w:val="18"/>
                <w:szCs w:val="18"/>
              </w:rPr>
            </w:pPr>
            <w:r w:rsidRPr="004C78D8">
              <w:rPr>
                <w:sz w:val="18"/>
                <w:szCs w:val="18"/>
              </w:rPr>
              <w:t xml:space="preserve">See Table </w:t>
            </w:r>
            <w:r w:rsidR="006206A1" w:rsidRPr="004C78D8">
              <w:rPr>
                <w:sz w:val="18"/>
                <w:szCs w:val="18"/>
              </w:rPr>
              <w:t>5</w:t>
            </w:r>
            <w:r w:rsidRPr="004C78D8">
              <w:rPr>
                <w:sz w:val="18"/>
                <w:szCs w:val="18"/>
              </w:rPr>
              <w:t>.4</w:t>
            </w:r>
            <w:r w:rsidR="006206A1" w:rsidRPr="004C78D8">
              <w:rPr>
                <w:sz w:val="18"/>
                <w:szCs w:val="18"/>
              </w:rPr>
              <w:t>4</w:t>
            </w:r>
          </w:p>
        </w:tc>
        <w:tc>
          <w:tcPr>
            <w:tcW w:w="1411" w:type="pct"/>
            <w:tcBorders>
              <w:top w:val="nil"/>
              <w:bottom w:val="nil"/>
            </w:tcBorders>
          </w:tcPr>
          <w:p w14:paraId="5EA6AA16" w14:textId="77777777" w:rsidR="006153C0" w:rsidRPr="00972766" w:rsidRDefault="006153C0" w:rsidP="00FB7C1F">
            <w:pPr>
              <w:jc w:val="left"/>
              <w:rPr>
                <w:sz w:val="18"/>
                <w:szCs w:val="18"/>
                <w:lang w:val="sv-SE"/>
              </w:rPr>
            </w:pPr>
            <w:r w:rsidRPr="00972766">
              <w:rPr>
                <w:sz w:val="18"/>
                <w:szCs w:val="18"/>
                <w:lang w:val="sv-SE"/>
              </w:rPr>
              <w:t>Gamma (</w:t>
            </w:r>
            <w:r w:rsidRPr="00972766">
              <w:rPr>
                <w:i/>
                <w:iCs/>
                <w:sz w:val="18"/>
                <w:szCs w:val="18"/>
                <w:lang w:val="sv-SE"/>
              </w:rPr>
              <w:t>k</w:t>
            </w:r>
            <w:r w:rsidRPr="00972766">
              <w:rPr>
                <w:sz w:val="18"/>
                <w:szCs w:val="18"/>
                <w:lang w:val="sv-SE"/>
              </w:rPr>
              <w:t xml:space="preserve"> =25; </w:t>
            </w:r>
            <w:r w:rsidRPr="004C78D8">
              <w:rPr>
                <w:rFonts w:cs="Times New Roman"/>
                <w:sz w:val="18"/>
                <w:szCs w:val="18"/>
              </w:rPr>
              <w:t>ϑ</w:t>
            </w:r>
            <w:r w:rsidRPr="00972766">
              <w:rPr>
                <w:sz w:val="18"/>
                <w:szCs w:val="18"/>
                <w:lang w:val="sv-SE"/>
              </w:rPr>
              <w:t xml:space="preserve"> =Mean/</w:t>
            </w:r>
            <w:r w:rsidRPr="00972766">
              <w:rPr>
                <w:i/>
                <w:iCs/>
                <w:sz w:val="18"/>
                <w:szCs w:val="18"/>
                <w:lang w:val="sv-SE"/>
              </w:rPr>
              <w:t>k</w:t>
            </w:r>
            <w:r w:rsidRPr="00972766">
              <w:rPr>
                <w:sz w:val="18"/>
                <w:szCs w:val="18"/>
                <w:lang w:val="sv-SE"/>
              </w:rPr>
              <w:t>)</w:t>
            </w:r>
          </w:p>
        </w:tc>
        <w:tc>
          <w:tcPr>
            <w:tcW w:w="610" w:type="pct"/>
            <w:tcBorders>
              <w:top w:val="nil"/>
              <w:bottom w:val="nil"/>
            </w:tcBorders>
          </w:tcPr>
          <w:p w14:paraId="3AD7E85B" w14:textId="4474E081" w:rsidR="006153C0" w:rsidRPr="004C78D8" w:rsidRDefault="006153C0" w:rsidP="00FB7C1F">
            <w:pPr>
              <w:jc w:val="left"/>
              <w:rPr>
                <w:sz w:val="18"/>
                <w:szCs w:val="18"/>
              </w:rPr>
            </w:pPr>
            <w:r w:rsidRPr="004C78D8">
              <w:rPr>
                <w:sz w:val="18"/>
                <w:szCs w:val="18"/>
              </w:rPr>
              <w:fldChar w:fldCharType="begin">
                <w:fldData xml:space="preserve">PEVuZE5vdGU+PENpdGU+PEF1dGhvcj5IaXJzdDwvQXV0aG9yPjxZZWFyPjIwMTY8L1llYXI+PFJl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==
</w:fldData>
              </w:fldChar>
            </w:r>
            <w:r w:rsidR="00C630FC" w:rsidRPr="004C78D8">
              <w:rPr>
                <w:sz w:val="18"/>
                <w:szCs w:val="18"/>
              </w:rPr>
              <w:instrText xml:space="preserve"> ADDIN EN.CITE </w:instrText>
            </w:r>
            <w:r w:rsidR="00C630FC" w:rsidRPr="004C78D8">
              <w:rPr>
                <w:sz w:val="18"/>
                <w:szCs w:val="18"/>
              </w:rPr>
              <w:fldChar w:fldCharType="begin">
                <w:fldData xml:space="preserve">PEVuZE5vdGU+PENpdGU+PEF1dGhvcj5IaXJzdDwvQXV0aG9yPjxZZWFyPjIwMTY8L1llYXI+PFJl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==
</w:fldData>
              </w:fldChar>
            </w:r>
            <w:r w:rsidR="00C630FC" w:rsidRPr="004C78D8">
              <w:rPr>
                <w:sz w:val="18"/>
                <w:szCs w:val="18"/>
              </w:rPr>
              <w:instrText xml:space="preserve"> ADDIN EN.CITE.DATA </w:instrText>
            </w:r>
            <w:r w:rsidR="00C630FC" w:rsidRPr="004C78D8">
              <w:rPr>
                <w:sz w:val="18"/>
                <w:szCs w:val="18"/>
              </w:rPr>
            </w:r>
            <w:r w:rsidR="00C630FC" w:rsidRPr="004C78D8">
              <w:rPr>
                <w:sz w:val="18"/>
                <w:szCs w:val="18"/>
              </w:rPr>
              <w:fldChar w:fldCharType="end"/>
            </w:r>
            <w:r w:rsidRPr="004C78D8">
              <w:rPr>
                <w:sz w:val="18"/>
                <w:szCs w:val="18"/>
              </w:rPr>
            </w:r>
            <w:r w:rsidRPr="004C78D8">
              <w:rPr>
                <w:sz w:val="18"/>
                <w:szCs w:val="18"/>
              </w:rPr>
              <w:fldChar w:fldCharType="separate"/>
            </w:r>
            <w:r w:rsidR="00C630FC" w:rsidRPr="004C78D8">
              <w:rPr>
                <w:noProof/>
                <w:sz w:val="18"/>
                <w:szCs w:val="18"/>
              </w:rPr>
              <w:t>[345]</w:t>
            </w:r>
            <w:r w:rsidRPr="004C78D8">
              <w:rPr>
                <w:sz w:val="18"/>
                <w:szCs w:val="18"/>
              </w:rPr>
              <w:fldChar w:fldCharType="end"/>
            </w:r>
          </w:p>
        </w:tc>
      </w:tr>
      <w:tr w:rsidR="006153C0" w:rsidRPr="004C78D8" w14:paraId="631EA757" w14:textId="77777777" w:rsidTr="00E35893">
        <w:tc>
          <w:tcPr>
            <w:tcW w:w="231" w:type="pct"/>
            <w:tcBorders>
              <w:top w:val="nil"/>
              <w:bottom w:val="nil"/>
            </w:tcBorders>
          </w:tcPr>
          <w:p w14:paraId="1459B95A" w14:textId="77777777" w:rsidR="006153C0" w:rsidRPr="004C78D8" w:rsidRDefault="006153C0" w:rsidP="00FB7C1F">
            <w:pPr>
              <w:jc w:val="left"/>
              <w:rPr>
                <w:sz w:val="18"/>
                <w:szCs w:val="18"/>
              </w:rPr>
            </w:pPr>
            <w:r w:rsidRPr="004C78D8">
              <w:rPr>
                <w:sz w:val="18"/>
                <w:szCs w:val="18"/>
              </w:rPr>
              <w:t>11</w:t>
            </w:r>
          </w:p>
        </w:tc>
        <w:tc>
          <w:tcPr>
            <w:tcW w:w="1960" w:type="pct"/>
            <w:tcBorders>
              <w:top w:val="nil"/>
              <w:bottom w:val="nil"/>
            </w:tcBorders>
          </w:tcPr>
          <w:p w14:paraId="51285C2E" w14:textId="77777777" w:rsidR="006153C0" w:rsidRPr="004C78D8" w:rsidRDefault="006153C0" w:rsidP="00FB7C1F">
            <w:pPr>
              <w:jc w:val="left"/>
              <w:rPr>
                <w:sz w:val="18"/>
                <w:szCs w:val="18"/>
              </w:rPr>
            </w:pPr>
            <w:r w:rsidRPr="004C78D8">
              <w:rPr>
                <w:sz w:val="18"/>
                <w:szCs w:val="18"/>
              </w:rPr>
              <w:t>Long-term care cost by sector and SES</w:t>
            </w:r>
          </w:p>
        </w:tc>
        <w:tc>
          <w:tcPr>
            <w:tcW w:w="787" w:type="pct"/>
            <w:tcBorders>
              <w:top w:val="nil"/>
              <w:bottom w:val="nil"/>
            </w:tcBorders>
          </w:tcPr>
          <w:p w14:paraId="14652A2E" w14:textId="3A10D471" w:rsidR="006153C0" w:rsidRPr="004C78D8" w:rsidRDefault="006153C0" w:rsidP="00FB7C1F">
            <w:pPr>
              <w:jc w:val="left"/>
              <w:rPr>
                <w:sz w:val="18"/>
                <w:szCs w:val="18"/>
              </w:rPr>
            </w:pPr>
            <w:r w:rsidRPr="004C78D8">
              <w:rPr>
                <w:sz w:val="18"/>
                <w:szCs w:val="18"/>
              </w:rPr>
              <w:t xml:space="preserve">See Table </w:t>
            </w:r>
            <w:r w:rsidR="006206A1" w:rsidRPr="004C78D8">
              <w:rPr>
                <w:sz w:val="18"/>
                <w:szCs w:val="18"/>
              </w:rPr>
              <w:t>5</w:t>
            </w:r>
            <w:r w:rsidRPr="004C78D8">
              <w:rPr>
                <w:sz w:val="18"/>
                <w:szCs w:val="18"/>
              </w:rPr>
              <w:t>.4</w:t>
            </w:r>
            <w:r w:rsidR="006206A1" w:rsidRPr="004C78D8">
              <w:rPr>
                <w:sz w:val="18"/>
                <w:szCs w:val="18"/>
              </w:rPr>
              <w:t>7</w:t>
            </w:r>
          </w:p>
        </w:tc>
        <w:tc>
          <w:tcPr>
            <w:tcW w:w="1411" w:type="pct"/>
            <w:tcBorders>
              <w:top w:val="nil"/>
              <w:bottom w:val="nil"/>
            </w:tcBorders>
          </w:tcPr>
          <w:p w14:paraId="080FD58B" w14:textId="77777777" w:rsidR="006153C0" w:rsidRPr="004C78D8" w:rsidRDefault="006153C0" w:rsidP="00FB7C1F">
            <w:pPr>
              <w:jc w:val="left"/>
              <w:rPr>
                <w:sz w:val="18"/>
                <w:szCs w:val="18"/>
              </w:rPr>
            </w:pPr>
            <w:r w:rsidRPr="004C78D8">
              <w:rPr>
                <w:sz w:val="18"/>
                <w:szCs w:val="18"/>
              </w:rPr>
              <w:t>Public sector cost: Gamma (</w:t>
            </w:r>
            <w:r w:rsidRPr="004C78D8">
              <w:rPr>
                <w:i/>
                <w:iCs/>
                <w:sz w:val="18"/>
                <w:szCs w:val="18"/>
              </w:rPr>
              <w:t>k</w:t>
            </w:r>
            <w:r w:rsidRPr="004C78D8">
              <w:rPr>
                <w:sz w:val="18"/>
                <w:szCs w:val="18"/>
              </w:rPr>
              <w:t xml:space="preserve"> =100; </w:t>
            </w:r>
            <w:r w:rsidRPr="004C78D8">
              <w:rPr>
                <w:rFonts w:cs="Times New Roman"/>
                <w:sz w:val="18"/>
                <w:szCs w:val="18"/>
              </w:rPr>
              <w:t>ϑ</w:t>
            </w:r>
            <w:r w:rsidRPr="004C78D8">
              <w:rPr>
                <w:sz w:val="18"/>
                <w:szCs w:val="18"/>
              </w:rPr>
              <w:t xml:space="preserve"> =Mean/</w:t>
            </w:r>
            <w:r w:rsidRPr="004C78D8">
              <w:rPr>
                <w:i/>
                <w:iCs/>
                <w:sz w:val="18"/>
                <w:szCs w:val="18"/>
              </w:rPr>
              <w:t>k</w:t>
            </w:r>
            <w:r w:rsidRPr="004C78D8">
              <w:rPr>
                <w:sz w:val="18"/>
                <w:szCs w:val="18"/>
              </w:rPr>
              <w:t>); Societal cost: Gamma (</w:t>
            </w:r>
            <w:r w:rsidRPr="004C78D8">
              <w:rPr>
                <w:i/>
                <w:iCs/>
                <w:sz w:val="18"/>
                <w:szCs w:val="18"/>
              </w:rPr>
              <w:t>k</w:t>
            </w:r>
            <w:r w:rsidRPr="004C78D8">
              <w:rPr>
                <w:sz w:val="18"/>
                <w:szCs w:val="18"/>
              </w:rPr>
              <w:t xml:space="preserve"> =26.6; </w:t>
            </w:r>
            <w:r w:rsidRPr="004C78D8">
              <w:rPr>
                <w:rFonts w:cs="Times New Roman"/>
                <w:sz w:val="18"/>
                <w:szCs w:val="18"/>
              </w:rPr>
              <w:t>ϑ</w:t>
            </w:r>
            <w:r w:rsidRPr="004C78D8">
              <w:rPr>
                <w:sz w:val="18"/>
                <w:szCs w:val="18"/>
              </w:rPr>
              <w:t xml:space="preserve"> =Mean/</w:t>
            </w:r>
            <w:r w:rsidRPr="004C78D8">
              <w:rPr>
                <w:i/>
                <w:iCs/>
                <w:sz w:val="18"/>
                <w:szCs w:val="18"/>
              </w:rPr>
              <w:t>k</w:t>
            </w:r>
            <w:r w:rsidRPr="004C78D8">
              <w:rPr>
                <w:sz w:val="18"/>
                <w:szCs w:val="18"/>
              </w:rPr>
              <w:t>)</w:t>
            </w:r>
          </w:p>
        </w:tc>
        <w:tc>
          <w:tcPr>
            <w:tcW w:w="610" w:type="pct"/>
            <w:tcBorders>
              <w:top w:val="nil"/>
              <w:bottom w:val="nil"/>
            </w:tcBorders>
          </w:tcPr>
          <w:p w14:paraId="627FFD20" w14:textId="24538B8C" w:rsidR="006153C0" w:rsidRPr="004C78D8" w:rsidRDefault="006153C0" w:rsidP="00FB7C1F">
            <w:pPr>
              <w:jc w:val="left"/>
              <w:rPr>
                <w:sz w:val="18"/>
                <w:szCs w:val="18"/>
              </w:rPr>
            </w:pPr>
            <w:r w:rsidRPr="004C78D8">
              <w:rPr>
                <w:sz w:val="18"/>
                <w:szCs w:val="18"/>
              </w:rPr>
              <w:fldChar w:fldCharType="begin">
                <w:fldData xml:space="preserve">PEVuZE5vdGU+PENpdGU+PEF1dGhvcj5GcmFua2xpbjwvQXV0aG9yPjxZZWFyPjIwMTk8L1llYXI+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==
</w:fldData>
              </w:fldChar>
            </w:r>
            <w:r w:rsidR="00C630FC" w:rsidRPr="004C78D8">
              <w:rPr>
                <w:sz w:val="18"/>
                <w:szCs w:val="18"/>
              </w:rPr>
              <w:instrText xml:space="preserve"> ADDIN EN.CITE </w:instrText>
            </w:r>
            <w:r w:rsidR="00C630FC" w:rsidRPr="004C78D8">
              <w:rPr>
                <w:sz w:val="18"/>
                <w:szCs w:val="18"/>
              </w:rPr>
              <w:fldChar w:fldCharType="begin">
                <w:fldData xml:space="preserve">PEVuZE5vdGU+PENpdGU+PEF1dGhvcj5GcmFua2xpbjwvQXV0aG9yPjxZZWFyPjIwMTk8L1llYXI+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==
</w:fldData>
              </w:fldChar>
            </w:r>
            <w:r w:rsidR="00C630FC" w:rsidRPr="004C78D8">
              <w:rPr>
                <w:sz w:val="18"/>
                <w:szCs w:val="18"/>
              </w:rPr>
              <w:instrText xml:space="preserve"> ADDIN EN.CITE.DATA </w:instrText>
            </w:r>
            <w:r w:rsidR="00C630FC" w:rsidRPr="004C78D8">
              <w:rPr>
                <w:sz w:val="18"/>
                <w:szCs w:val="18"/>
              </w:rPr>
            </w:r>
            <w:r w:rsidR="00C630FC" w:rsidRPr="004C78D8">
              <w:rPr>
                <w:sz w:val="18"/>
                <w:szCs w:val="18"/>
              </w:rPr>
              <w:fldChar w:fldCharType="end"/>
            </w:r>
            <w:r w:rsidRPr="004C78D8">
              <w:rPr>
                <w:sz w:val="18"/>
                <w:szCs w:val="18"/>
              </w:rPr>
            </w:r>
            <w:r w:rsidRPr="004C78D8">
              <w:rPr>
                <w:sz w:val="18"/>
                <w:szCs w:val="18"/>
              </w:rPr>
              <w:fldChar w:fldCharType="separate"/>
            </w:r>
            <w:r w:rsidR="00C630FC" w:rsidRPr="004C78D8">
              <w:rPr>
                <w:noProof/>
                <w:sz w:val="18"/>
                <w:szCs w:val="18"/>
              </w:rPr>
              <w:t>[349, 363]</w:t>
            </w:r>
            <w:r w:rsidRPr="004C78D8">
              <w:rPr>
                <w:sz w:val="18"/>
                <w:szCs w:val="18"/>
              </w:rPr>
              <w:fldChar w:fldCharType="end"/>
            </w:r>
          </w:p>
        </w:tc>
      </w:tr>
      <w:tr w:rsidR="006153C0" w:rsidRPr="004C78D8" w14:paraId="244EB505" w14:textId="77777777" w:rsidTr="00E35893">
        <w:tc>
          <w:tcPr>
            <w:tcW w:w="231" w:type="pct"/>
            <w:tcBorders>
              <w:top w:val="nil"/>
              <w:bottom w:val="nil"/>
            </w:tcBorders>
          </w:tcPr>
          <w:p w14:paraId="2A0691F8" w14:textId="77777777" w:rsidR="006153C0" w:rsidRPr="004C78D8" w:rsidRDefault="006153C0" w:rsidP="00FB7C1F">
            <w:pPr>
              <w:jc w:val="left"/>
              <w:rPr>
                <w:sz w:val="18"/>
                <w:szCs w:val="18"/>
              </w:rPr>
            </w:pPr>
            <w:r w:rsidRPr="004C78D8">
              <w:rPr>
                <w:sz w:val="18"/>
                <w:szCs w:val="18"/>
              </w:rPr>
              <w:t>12</w:t>
            </w:r>
          </w:p>
        </w:tc>
        <w:tc>
          <w:tcPr>
            <w:tcW w:w="1960" w:type="pct"/>
            <w:tcBorders>
              <w:top w:val="nil"/>
              <w:bottom w:val="nil"/>
            </w:tcBorders>
          </w:tcPr>
          <w:p w14:paraId="591A9702" w14:textId="77777777" w:rsidR="006153C0" w:rsidRPr="004C78D8" w:rsidRDefault="006153C0" w:rsidP="00FB7C1F">
            <w:pPr>
              <w:jc w:val="left"/>
              <w:rPr>
                <w:sz w:val="18"/>
                <w:szCs w:val="18"/>
              </w:rPr>
            </w:pPr>
            <w:r w:rsidRPr="004C78D8">
              <w:rPr>
                <w:sz w:val="18"/>
                <w:szCs w:val="18"/>
              </w:rPr>
              <w:t>Long-term care remaining QALY</w:t>
            </w:r>
          </w:p>
        </w:tc>
        <w:tc>
          <w:tcPr>
            <w:tcW w:w="787" w:type="pct"/>
            <w:tcBorders>
              <w:top w:val="nil"/>
              <w:bottom w:val="nil"/>
            </w:tcBorders>
          </w:tcPr>
          <w:p w14:paraId="6C1FFF3E" w14:textId="77777777" w:rsidR="006153C0" w:rsidRPr="004C78D8" w:rsidRDefault="006153C0" w:rsidP="00FB7C1F">
            <w:pPr>
              <w:jc w:val="left"/>
              <w:rPr>
                <w:sz w:val="18"/>
                <w:szCs w:val="18"/>
              </w:rPr>
            </w:pPr>
            <w:r w:rsidRPr="004C78D8">
              <w:rPr>
                <w:sz w:val="18"/>
                <w:szCs w:val="18"/>
              </w:rPr>
              <w:t>0.958</w:t>
            </w:r>
          </w:p>
        </w:tc>
        <w:tc>
          <w:tcPr>
            <w:tcW w:w="1411" w:type="pct"/>
            <w:tcBorders>
              <w:top w:val="nil"/>
              <w:bottom w:val="nil"/>
            </w:tcBorders>
          </w:tcPr>
          <w:p w14:paraId="228FCD5C" w14:textId="77777777" w:rsidR="006153C0" w:rsidRPr="00972766" w:rsidRDefault="006153C0" w:rsidP="00FB7C1F">
            <w:pPr>
              <w:jc w:val="left"/>
              <w:rPr>
                <w:sz w:val="18"/>
                <w:szCs w:val="18"/>
                <w:lang w:val="sv-SE"/>
              </w:rPr>
            </w:pPr>
            <w:r w:rsidRPr="00972766">
              <w:rPr>
                <w:sz w:val="18"/>
                <w:szCs w:val="18"/>
                <w:lang w:val="sv-SE"/>
              </w:rPr>
              <w:t>Gamma (</w:t>
            </w:r>
            <w:r w:rsidRPr="00972766">
              <w:rPr>
                <w:i/>
                <w:iCs/>
                <w:sz w:val="18"/>
                <w:szCs w:val="18"/>
                <w:lang w:val="sv-SE"/>
              </w:rPr>
              <w:t>k</w:t>
            </w:r>
            <w:r w:rsidRPr="00972766">
              <w:rPr>
                <w:sz w:val="18"/>
                <w:szCs w:val="18"/>
                <w:lang w:val="sv-SE"/>
              </w:rPr>
              <w:t xml:space="preserve"> =50.3; </w:t>
            </w:r>
            <w:r w:rsidRPr="004C78D8">
              <w:rPr>
                <w:rFonts w:cs="Times New Roman"/>
                <w:sz w:val="18"/>
                <w:szCs w:val="18"/>
              </w:rPr>
              <w:t>ϑ</w:t>
            </w:r>
            <w:r w:rsidRPr="00972766">
              <w:rPr>
                <w:sz w:val="18"/>
                <w:szCs w:val="18"/>
                <w:lang w:val="sv-SE"/>
              </w:rPr>
              <w:t xml:space="preserve"> =Mean/</w:t>
            </w:r>
            <w:r w:rsidRPr="00972766">
              <w:rPr>
                <w:i/>
                <w:iCs/>
                <w:sz w:val="18"/>
                <w:szCs w:val="18"/>
                <w:lang w:val="sv-SE"/>
              </w:rPr>
              <w:t>k</w:t>
            </w:r>
            <w:r w:rsidRPr="00972766">
              <w:rPr>
                <w:sz w:val="18"/>
                <w:szCs w:val="18"/>
                <w:lang w:val="sv-SE"/>
              </w:rPr>
              <w:t>)</w:t>
            </w:r>
          </w:p>
        </w:tc>
        <w:tc>
          <w:tcPr>
            <w:tcW w:w="610" w:type="pct"/>
            <w:tcBorders>
              <w:top w:val="nil"/>
              <w:bottom w:val="nil"/>
            </w:tcBorders>
          </w:tcPr>
          <w:p w14:paraId="01C60231" w14:textId="27BEDE04" w:rsidR="006153C0" w:rsidRPr="004C78D8" w:rsidRDefault="006153C0"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&lt;EndNote&gt;&lt;Cite&gt;&lt;Author&gt;Franklin&lt;/Author&gt;&lt;Year&gt;2019&lt;/Year&gt;&lt;RecNum&gt;395&lt;/RecNum&gt;&lt;DisplayText&gt;[363]&lt;/DisplayText&gt;&lt;record&gt;&lt;rec-number&gt;395&lt;/rec-number&gt;&lt;foreign-keys&gt;&lt;key app="EN" db-id="tdtrdw9aepptzbefsat599syza29sxsd2wsp" timestamp="1612694614"&gt;395&lt;/key&gt;&lt;/foreign-keys&gt;&lt;ref-type name="Journal Article"&gt;17&lt;/ref-type&gt;&lt;contributors&gt;&lt;authors&gt;&lt;author&gt;Franklin, Matthew&lt;/author&gt;&lt;author&gt;Hunter, Rachael Maree&lt;/author&gt;&lt;/authors&gt;&lt;/contributors&gt;&lt;titles&gt;&lt;title&gt;A modelling-based economic evaluation of primary-care-based fall-risk screening followed by fall-prevention intervention: a cohort-based Markov model stratified by older age groups&lt;/title&gt;&lt;secondary-title&gt;Age and ageing&lt;/secondary-title&gt;&lt;/titles&gt;&lt;periodical&gt;&lt;full-title&gt;Age and ageing&lt;/full-title&gt;&lt;/periodical&gt;&lt;dates&gt;&lt;year&gt;2019&lt;/year&gt;&lt;/dates&gt;&lt;urls&gt;&lt;/urls&gt;&lt;/record&gt;&lt;/Cite&gt;&lt;/EndNote&gt;</w:instrText>
            </w:r>
            <w:r w:rsidRPr="004C78D8">
              <w:rPr>
                <w:sz w:val="18"/>
                <w:szCs w:val="18"/>
              </w:rPr>
              <w:fldChar w:fldCharType="separate"/>
            </w:r>
            <w:r w:rsidR="00C630FC" w:rsidRPr="004C78D8">
              <w:rPr>
                <w:noProof/>
                <w:sz w:val="18"/>
                <w:szCs w:val="18"/>
              </w:rPr>
              <w:t>[363]</w:t>
            </w:r>
            <w:r w:rsidRPr="004C78D8">
              <w:rPr>
                <w:sz w:val="18"/>
                <w:szCs w:val="18"/>
              </w:rPr>
              <w:fldChar w:fldCharType="end"/>
            </w:r>
          </w:p>
        </w:tc>
      </w:tr>
      <w:tr w:rsidR="006153C0" w:rsidRPr="004C78D8" w14:paraId="189C315A" w14:textId="77777777" w:rsidTr="00E35893">
        <w:tc>
          <w:tcPr>
            <w:tcW w:w="5000" w:type="pct"/>
            <w:gridSpan w:val="5"/>
            <w:tcBorders>
              <w:bottom w:val="single" w:sz="4" w:space="0" w:color="auto"/>
            </w:tcBorders>
          </w:tcPr>
          <w:p w14:paraId="7A834287" w14:textId="77777777" w:rsidR="006153C0" w:rsidRPr="004C78D8" w:rsidRDefault="006153C0" w:rsidP="00FB7C1F">
            <w:pPr>
              <w:jc w:val="left"/>
              <w:rPr>
                <w:b/>
                <w:bCs/>
                <w:i/>
                <w:iCs/>
                <w:sz w:val="20"/>
                <w:szCs w:val="20"/>
              </w:rPr>
            </w:pPr>
            <w:r w:rsidRPr="004C78D8">
              <w:rPr>
                <w:b/>
                <w:bCs/>
                <w:i/>
                <w:iCs/>
                <w:sz w:val="20"/>
                <w:szCs w:val="20"/>
              </w:rPr>
              <w:t>Probabilities</w:t>
            </w:r>
          </w:p>
        </w:tc>
      </w:tr>
      <w:tr w:rsidR="006153C0" w:rsidRPr="004C78D8" w14:paraId="2441A659" w14:textId="77777777" w:rsidTr="00E35893">
        <w:tc>
          <w:tcPr>
            <w:tcW w:w="231" w:type="pct"/>
            <w:tcBorders>
              <w:bottom w:val="nil"/>
            </w:tcBorders>
          </w:tcPr>
          <w:p w14:paraId="3B1E0A5C" w14:textId="77777777" w:rsidR="006153C0" w:rsidRPr="004C78D8" w:rsidRDefault="006153C0" w:rsidP="00FB7C1F">
            <w:pPr>
              <w:jc w:val="left"/>
              <w:rPr>
                <w:sz w:val="18"/>
                <w:szCs w:val="18"/>
              </w:rPr>
            </w:pPr>
            <w:r w:rsidRPr="004C78D8">
              <w:rPr>
                <w:sz w:val="18"/>
                <w:szCs w:val="18"/>
              </w:rPr>
              <w:t>1</w:t>
            </w:r>
          </w:p>
        </w:tc>
        <w:tc>
          <w:tcPr>
            <w:tcW w:w="1960" w:type="pct"/>
            <w:tcBorders>
              <w:bottom w:val="nil"/>
            </w:tcBorders>
          </w:tcPr>
          <w:p w14:paraId="0A803BE6" w14:textId="77777777" w:rsidR="006153C0" w:rsidRPr="004C78D8" w:rsidRDefault="006153C0" w:rsidP="00FB7C1F">
            <w:pPr>
              <w:jc w:val="left"/>
              <w:rPr>
                <w:sz w:val="18"/>
                <w:szCs w:val="18"/>
              </w:rPr>
            </w:pPr>
            <w:r w:rsidRPr="004C78D8">
              <w:rPr>
                <w:sz w:val="18"/>
                <w:szCs w:val="18"/>
              </w:rPr>
              <w:t>Probability of accessing community healthcare by frailty category and cognitive status</w:t>
            </w:r>
          </w:p>
        </w:tc>
        <w:tc>
          <w:tcPr>
            <w:tcW w:w="787" w:type="pct"/>
            <w:tcBorders>
              <w:bottom w:val="nil"/>
            </w:tcBorders>
          </w:tcPr>
          <w:p w14:paraId="74869D2D" w14:textId="32B2D236" w:rsidR="006153C0" w:rsidRPr="004C78D8" w:rsidRDefault="006153C0" w:rsidP="00FB7C1F">
            <w:pPr>
              <w:jc w:val="left"/>
              <w:rPr>
                <w:sz w:val="18"/>
                <w:szCs w:val="18"/>
              </w:rPr>
            </w:pPr>
            <w:r w:rsidRPr="004C78D8">
              <w:rPr>
                <w:sz w:val="18"/>
                <w:szCs w:val="18"/>
              </w:rPr>
              <w:t xml:space="preserve">0.62% - 9.05% (see Section </w:t>
            </w:r>
            <w:r w:rsidR="006206A1" w:rsidRPr="004C78D8">
              <w:rPr>
                <w:sz w:val="18"/>
                <w:szCs w:val="18"/>
              </w:rPr>
              <w:t>5</w:t>
            </w:r>
            <w:r w:rsidRPr="004C78D8">
              <w:rPr>
                <w:sz w:val="18"/>
                <w:szCs w:val="18"/>
              </w:rPr>
              <w:t>.</w:t>
            </w:r>
            <w:r w:rsidR="00D91C28" w:rsidRPr="004C78D8">
              <w:rPr>
                <w:sz w:val="18"/>
                <w:szCs w:val="18"/>
              </w:rPr>
              <w:t>2</w:t>
            </w:r>
            <w:r w:rsidRPr="004C78D8">
              <w:rPr>
                <w:sz w:val="18"/>
                <w:szCs w:val="18"/>
              </w:rPr>
              <w:t>.3.</w:t>
            </w:r>
            <w:r w:rsidR="00310480" w:rsidRPr="004C78D8">
              <w:rPr>
                <w:sz w:val="18"/>
                <w:szCs w:val="18"/>
              </w:rPr>
              <w:t>4</w:t>
            </w:r>
            <w:r w:rsidRPr="004C78D8">
              <w:rPr>
                <w:sz w:val="18"/>
                <w:szCs w:val="18"/>
              </w:rPr>
              <w:t>)</w:t>
            </w:r>
          </w:p>
        </w:tc>
        <w:tc>
          <w:tcPr>
            <w:tcW w:w="1411" w:type="pct"/>
            <w:tcBorders>
              <w:bottom w:val="nil"/>
            </w:tcBorders>
          </w:tcPr>
          <w:p w14:paraId="6B48B125" w14:textId="77777777" w:rsidR="006153C0" w:rsidRPr="004C78D8" w:rsidRDefault="006153C0" w:rsidP="00FB7C1F">
            <w:pPr>
              <w:jc w:val="left"/>
              <w:rPr>
                <w:sz w:val="18"/>
                <w:szCs w:val="18"/>
              </w:rPr>
            </w:pPr>
            <w:r w:rsidRPr="004C78D8">
              <w:rPr>
                <w:sz w:val="18"/>
                <w:szCs w:val="18"/>
              </w:rPr>
              <w:t>Beta (</w:t>
            </w:r>
            <w:r w:rsidRPr="004C78D8">
              <w:rPr>
                <w:rFonts w:cs="Times New Roman"/>
                <w:sz w:val="18"/>
                <w:szCs w:val="18"/>
              </w:rPr>
              <w:t>α</w:t>
            </w:r>
            <w:r w:rsidRPr="004C78D8">
              <w:rPr>
                <w:sz w:val="18"/>
                <w:szCs w:val="18"/>
              </w:rPr>
              <w:t xml:space="preserve"> for SE around 10% of mean; </w:t>
            </w:r>
            <w:r w:rsidRPr="004C78D8">
              <w:rPr>
                <w:rFonts w:cs="Times New Roman"/>
                <w:sz w:val="18"/>
                <w:szCs w:val="18"/>
              </w:rPr>
              <w:t>β</w:t>
            </w:r>
            <w:r w:rsidRPr="004C78D8">
              <w:rPr>
                <w:sz w:val="18"/>
                <w:szCs w:val="18"/>
              </w:rPr>
              <w:t xml:space="preserve"> derived)</w:t>
            </w:r>
            <w:r w:rsidRPr="004C78D8">
              <w:rPr>
                <w:sz w:val="18"/>
                <w:szCs w:val="18"/>
                <w:vertAlign w:val="superscript"/>
              </w:rPr>
              <w:t>3</w:t>
            </w:r>
          </w:p>
        </w:tc>
        <w:tc>
          <w:tcPr>
            <w:tcW w:w="610" w:type="pct"/>
            <w:tcBorders>
              <w:bottom w:val="nil"/>
            </w:tcBorders>
          </w:tcPr>
          <w:p w14:paraId="5EC0C490" w14:textId="77777777" w:rsidR="006153C0" w:rsidRPr="004C78D8" w:rsidRDefault="006153C0" w:rsidP="00FB7C1F">
            <w:pPr>
              <w:jc w:val="left"/>
              <w:rPr>
                <w:sz w:val="18"/>
                <w:szCs w:val="18"/>
              </w:rPr>
            </w:pPr>
            <w:r w:rsidRPr="004C78D8">
              <w:rPr>
                <w:sz w:val="18"/>
                <w:szCs w:val="18"/>
              </w:rPr>
              <w:t>Assumption</w:t>
            </w:r>
          </w:p>
        </w:tc>
      </w:tr>
      <w:tr w:rsidR="006153C0" w:rsidRPr="004C78D8" w14:paraId="48C896B4" w14:textId="77777777" w:rsidTr="00E35893">
        <w:tc>
          <w:tcPr>
            <w:tcW w:w="231" w:type="pct"/>
            <w:tcBorders>
              <w:top w:val="nil"/>
              <w:bottom w:val="nil"/>
            </w:tcBorders>
          </w:tcPr>
          <w:p w14:paraId="05977C9A" w14:textId="77777777" w:rsidR="006153C0" w:rsidRPr="004C78D8" w:rsidRDefault="006153C0" w:rsidP="00FB7C1F">
            <w:pPr>
              <w:jc w:val="left"/>
              <w:rPr>
                <w:sz w:val="18"/>
                <w:szCs w:val="18"/>
              </w:rPr>
            </w:pPr>
            <w:r w:rsidRPr="004C78D8">
              <w:rPr>
                <w:sz w:val="18"/>
                <w:szCs w:val="18"/>
              </w:rPr>
              <w:t>2</w:t>
            </w:r>
          </w:p>
        </w:tc>
        <w:tc>
          <w:tcPr>
            <w:tcW w:w="1960" w:type="pct"/>
            <w:tcBorders>
              <w:top w:val="nil"/>
              <w:bottom w:val="nil"/>
            </w:tcBorders>
          </w:tcPr>
          <w:p w14:paraId="1F93D260" w14:textId="77777777" w:rsidR="006153C0" w:rsidRPr="004C78D8" w:rsidRDefault="006153C0" w:rsidP="00FB7C1F">
            <w:pPr>
              <w:jc w:val="left"/>
              <w:rPr>
                <w:sz w:val="18"/>
                <w:szCs w:val="18"/>
              </w:rPr>
            </w:pPr>
            <w:r w:rsidRPr="004C78D8">
              <w:rPr>
                <w:sz w:val="18"/>
                <w:szCs w:val="18"/>
              </w:rPr>
              <w:t>Probability of accessing short-term social care by frailty category and cognitive status</w:t>
            </w:r>
          </w:p>
        </w:tc>
        <w:tc>
          <w:tcPr>
            <w:tcW w:w="787" w:type="pct"/>
            <w:tcBorders>
              <w:top w:val="nil"/>
              <w:bottom w:val="nil"/>
            </w:tcBorders>
          </w:tcPr>
          <w:p w14:paraId="04FA69B9" w14:textId="11372F52" w:rsidR="006153C0" w:rsidRPr="004C78D8" w:rsidRDefault="006153C0" w:rsidP="00FB7C1F">
            <w:pPr>
              <w:jc w:val="left"/>
              <w:rPr>
                <w:sz w:val="18"/>
                <w:szCs w:val="18"/>
              </w:rPr>
            </w:pPr>
            <w:r w:rsidRPr="004C78D8">
              <w:rPr>
                <w:sz w:val="18"/>
                <w:szCs w:val="18"/>
              </w:rPr>
              <w:t xml:space="preserve">5.37% - 30.65% (see Section </w:t>
            </w:r>
            <w:r w:rsidR="006206A1" w:rsidRPr="004C78D8">
              <w:rPr>
                <w:sz w:val="18"/>
                <w:szCs w:val="18"/>
              </w:rPr>
              <w:t>5</w:t>
            </w:r>
            <w:r w:rsidRPr="004C78D8">
              <w:rPr>
                <w:sz w:val="18"/>
                <w:szCs w:val="18"/>
              </w:rPr>
              <w:t>.</w:t>
            </w:r>
            <w:r w:rsidR="00D91C28" w:rsidRPr="004C78D8">
              <w:rPr>
                <w:sz w:val="18"/>
                <w:szCs w:val="18"/>
              </w:rPr>
              <w:t>2</w:t>
            </w:r>
            <w:r w:rsidRPr="004C78D8">
              <w:rPr>
                <w:sz w:val="18"/>
                <w:szCs w:val="18"/>
              </w:rPr>
              <w:t>.3.</w:t>
            </w:r>
            <w:r w:rsidR="00310480" w:rsidRPr="004C78D8">
              <w:rPr>
                <w:sz w:val="18"/>
                <w:szCs w:val="18"/>
              </w:rPr>
              <w:t>4)</w:t>
            </w:r>
          </w:p>
        </w:tc>
        <w:tc>
          <w:tcPr>
            <w:tcW w:w="1411" w:type="pct"/>
            <w:tcBorders>
              <w:top w:val="nil"/>
              <w:bottom w:val="nil"/>
            </w:tcBorders>
          </w:tcPr>
          <w:p w14:paraId="15B67E34" w14:textId="77777777" w:rsidR="006153C0" w:rsidRPr="004C78D8" w:rsidRDefault="006153C0" w:rsidP="00FB7C1F">
            <w:pPr>
              <w:jc w:val="left"/>
              <w:rPr>
                <w:sz w:val="18"/>
                <w:szCs w:val="18"/>
              </w:rPr>
            </w:pPr>
            <w:r w:rsidRPr="004C78D8">
              <w:rPr>
                <w:sz w:val="18"/>
                <w:szCs w:val="18"/>
              </w:rPr>
              <w:t>Beta (</w:t>
            </w:r>
            <w:r w:rsidRPr="004C78D8">
              <w:rPr>
                <w:rFonts w:cs="Times New Roman"/>
                <w:sz w:val="18"/>
                <w:szCs w:val="18"/>
              </w:rPr>
              <w:t>α</w:t>
            </w:r>
            <w:r w:rsidRPr="004C78D8">
              <w:rPr>
                <w:sz w:val="18"/>
                <w:szCs w:val="18"/>
              </w:rPr>
              <w:t xml:space="preserve"> for SE around 10% of mean; </w:t>
            </w:r>
            <w:r w:rsidRPr="004C78D8">
              <w:rPr>
                <w:rFonts w:cs="Times New Roman"/>
                <w:sz w:val="18"/>
                <w:szCs w:val="18"/>
              </w:rPr>
              <w:t>β</w:t>
            </w:r>
            <w:r w:rsidRPr="004C78D8">
              <w:rPr>
                <w:sz w:val="18"/>
                <w:szCs w:val="18"/>
              </w:rPr>
              <w:t xml:space="preserve"> derived)</w:t>
            </w:r>
          </w:p>
        </w:tc>
        <w:tc>
          <w:tcPr>
            <w:tcW w:w="610" w:type="pct"/>
            <w:tcBorders>
              <w:top w:val="nil"/>
              <w:bottom w:val="nil"/>
            </w:tcBorders>
          </w:tcPr>
          <w:p w14:paraId="151459E0" w14:textId="77777777" w:rsidR="006153C0" w:rsidRPr="004C78D8" w:rsidRDefault="006153C0" w:rsidP="00FB7C1F">
            <w:pPr>
              <w:jc w:val="left"/>
              <w:rPr>
                <w:sz w:val="18"/>
                <w:szCs w:val="18"/>
              </w:rPr>
            </w:pPr>
            <w:r w:rsidRPr="004C78D8">
              <w:rPr>
                <w:sz w:val="18"/>
                <w:szCs w:val="18"/>
              </w:rPr>
              <w:t>Assumption</w:t>
            </w:r>
          </w:p>
        </w:tc>
      </w:tr>
      <w:tr w:rsidR="006153C0" w:rsidRPr="004C78D8" w14:paraId="394887EB" w14:textId="77777777" w:rsidTr="00E35893">
        <w:tc>
          <w:tcPr>
            <w:tcW w:w="231" w:type="pct"/>
            <w:tcBorders>
              <w:top w:val="nil"/>
              <w:bottom w:val="nil"/>
            </w:tcBorders>
          </w:tcPr>
          <w:p w14:paraId="524A574C" w14:textId="77777777" w:rsidR="006153C0" w:rsidRPr="004C78D8" w:rsidRDefault="006153C0" w:rsidP="00FB7C1F">
            <w:pPr>
              <w:jc w:val="left"/>
              <w:rPr>
                <w:sz w:val="18"/>
                <w:szCs w:val="18"/>
              </w:rPr>
            </w:pPr>
            <w:r w:rsidRPr="004C78D8">
              <w:rPr>
                <w:sz w:val="18"/>
                <w:szCs w:val="18"/>
              </w:rPr>
              <w:t>3</w:t>
            </w:r>
          </w:p>
        </w:tc>
        <w:tc>
          <w:tcPr>
            <w:tcW w:w="1960" w:type="pct"/>
            <w:tcBorders>
              <w:top w:val="nil"/>
              <w:bottom w:val="nil"/>
            </w:tcBorders>
          </w:tcPr>
          <w:p w14:paraId="0903EBA2" w14:textId="77777777" w:rsidR="006153C0" w:rsidRPr="004C78D8" w:rsidRDefault="006153C0" w:rsidP="00FB7C1F">
            <w:pPr>
              <w:jc w:val="left"/>
              <w:rPr>
                <w:sz w:val="18"/>
                <w:szCs w:val="18"/>
              </w:rPr>
            </w:pPr>
            <w:r w:rsidRPr="004C78D8">
              <w:rPr>
                <w:sz w:val="18"/>
                <w:szCs w:val="18"/>
              </w:rPr>
              <w:t>Risk of recurrent MA fall</w:t>
            </w:r>
          </w:p>
        </w:tc>
        <w:tc>
          <w:tcPr>
            <w:tcW w:w="787" w:type="pct"/>
            <w:tcBorders>
              <w:top w:val="nil"/>
              <w:bottom w:val="nil"/>
            </w:tcBorders>
          </w:tcPr>
          <w:p w14:paraId="76736457" w14:textId="77777777" w:rsidR="006153C0" w:rsidRPr="004C78D8" w:rsidRDefault="006153C0" w:rsidP="00FB7C1F">
            <w:pPr>
              <w:jc w:val="left"/>
              <w:rPr>
                <w:sz w:val="18"/>
                <w:szCs w:val="18"/>
              </w:rPr>
            </w:pPr>
            <w:r w:rsidRPr="004C78D8">
              <w:rPr>
                <w:sz w:val="18"/>
                <w:szCs w:val="18"/>
              </w:rPr>
              <w:t>42.6%</w:t>
            </w:r>
          </w:p>
        </w:tc>
        <w:tc>
          <w:tcPr>
            <w:tcW w:w="1411" w:type="pct"/>
            <w:tcBorders>
              <w:top w:val="nil"/>
              <w:bottom w:val="nil"/>
            </w:tcBorders>
          </w:tcPr>
          <w:p w14:paraId="43DD4A2D" w14:textId="77777777" w:rsidR="006153C0" w:rsidRPr="004C78D8" w:rsidRDefault="006153C0" w:rsidP="00FB7C1F">
            <w:pPr>
              <w:jc w:val="left"/>
              <w:rPr>
                <w:sz w:val="18"/>
                <w:szCs w:val="18"/>
              </w:rPr>
            </w:pPr>
            <w:r w:rsidRPr="004C78D8">
              <w:rPr>
                <w:sz w:val="18"/>
                <w:szCs w:val="18"/>
              </w:rPr>
              <w:t>Beta (</w:t>
            </w:r>
            <w:r w:rsidRPr="004C78D8">
              <w:rPr>
                <w:rFonts w:cs="Times New Roman"/>
                <w:sz w:val="18"/>
                <w:szCs w:val="18"/>
              </w:rPr>
              <w:t>α</w:t>
            </w:r>
            <w:r w:rsidRPr="004C78D8">
              <w:rPr>
                <w:sz w:val="18"/>
                <w:szCs w:val="18"/>
              </w:rPr>
              <w:t xml:space="preserve"> =1.8 for SE around 11% of mean; </w:t>
            </w:r>
            <w:r w:rsidRPr="004C78D8">
              <w:rPr>
                <w:rFonts w:cs="Times New Roman"/>
                <w:sz w:val="18"/>
                <w:szCs w:val="18"/>
              </w:rPr>
              <w:t>β</w:t>
            </w:r>
            <w:r w:rsidRPr="004C78D8">
              <w:rPr>
                <w:sz w:val="18"/>
                <w:szCs w:val="18"/>
              </w:rPr>
              <w:t xml:space="preserve"> derived)</w:t>
            </w:r>
          </w:p>
        </w:tc>
        <w:tc>
          <w:tcPr>
            <w:tcW w:w="610" w:type="pct"/>
            <w:tcBorders>
              <w:top w:val="nil"/>
              <w:bottom w:val="nil"/>
            </w:tcBorders>
          </w:tcPr>
          <w:p w14:paraId="1B7381D5" w14:textId="1A90E83B" w:rsidR="006153C0" w:rsidRPr="004C78D8" w:rsidRDefault="006153C0"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&lt;EndNote&gt;&lt;Cite&gt;&lt;Author&gt;Franklin&lt;/Author&gt;&lt;Year&gt;2019&lt;/Year&gt;&lt;RecNum&gt;395&lt;/RecNum&gt;&lt;DisplayText&gt;[363]&lt;/DisplayText&gt;&lt;record&gt;&lt;rec-number&gt;395&lt;/rec-number&gt;&lt;foreign-keys&gt;&lt;key app="EN" db-id="tdtrdw9aepptzbefsat599syza29sxsd2wsp" timestamp="1612694614"&gt;395&lt;/key&gt;&lt;/foreign-keys&gt;&lt;ref-type name="Journal Article"&gt;17&lt;/ref-type&gt;&lt;contributors&gt;&lt;authors&gt;&lt;author&gt;Franklin, Matthew&lt;/author&gt;&lt;author&gt;Hunter, Rachael Maree&lt;/author&gt;&lt;/authors&gt;&lt;/contributors&gt;&lt;titles&gt;&lt;title&gt;A modelling-based economic evaluation of primary-care-based fall-risk screening followed by fall-prevention intervention: a cohort-based Markov model stratified by older age groups&lt;/title&gt;&lt;secondary-title&gt;Age and ageing&lt;/secondary-title&gt;&lt;/titles&gt;&lt;periodical&gt;&lt;full-title&gt;Age and ageing&lt;/full-title&gt;&lt;/periodical&gt;&lt;dates&gt;&lt;year&gt;2019&lt;/year&gt;&lt;/dates&gt;&lt;urls&gt;&lt;/urls&gt;&lt;/record&gt;&lt;/Cite&gt;&lt;/EndNote&gt;</w:instrText>
            </w:r>
            <w:r w:rsidRPr="004C78D8">
              <w:rPr>
                <w:sz w:val="18"/>
                <w:szCs w:val="18"/>
              </w:rPr>
              <w:fldChar w:fldCharType="separate"/>
            </w:r>
            <w:r w:rsidR="00C630FC" w:rsidRPr="004C78D8">
              <w:rPr>
                <w:noProof/>
                <w:sz w:val="18"/>
                <w:szCs w:val="18"/>
              </w:rPr>
              <w:t>[363]</w:t>
            </w:r>
            <w:r w:rsidRPr="004C78D8">
              <w:rPr>
                <w:sz w:val="18"/>
                <w:szCs w:val="18"/>
              </w:rPr>
              <w:fldChar w:fldCharType="end"/>
            </w:r>
          </w:p>
        </w:tc>
      </w:tr>
      <w:tr w:rsidR="006153C0" w:rsidRPr="004C78D8" w14:paraId="6D5D0080" w14:textId="77777777" w:rsidTr="00E35893">
        <w:tc>
          <w:tcPr>
            <w:tcW w:w="231" w:type="pct"/>
            <w:tcBorders>
              <w:top w:val="nil"/>
              <w:bottom w:val="nil"/>
            </w:tcBorders>
          </w:tcPr>
          <w:p w14:paraId="2E931D69" w14:textId="77777777" w:rsidR="006153C0" w:rsidRPr="004C78D8" w:rsidRDefault="006153C0" w:rsidP="00FB7C1F">
            <w:pPr>
              <w:jc w:val="left"/>
              <w:rPr>
                <w:sz w:val="18"/>
                <w:szCs w:val="18"/>
              </w:rPr>
            </w:pPr>
            <w:r w:rsidRPr="004C78D8">
              <w:rPr>
                <w:sz w:val="18"/>
                <w:szCs w:val="18"/>
              </w:rPr>
              <w:t>4</w:t>
            </w:r>
          </w:p>
        </w:tc>
        <w:tc>
          <w:tcPr>
            <w:tcW w:w="1960" w:type="pct"/>
            <w:tcBorders>
              <w:top w:val="nil"/>
              <w:bottom w:val="nil"/>
            </w:tcBorders>
          </w:tcPr>
          <w:p w14:paraId="5CDC1338" w14:textId="77777777" w:rsidR="006153C0" w:rsidRPr="004C78D8" w:rsidRDefault="006153C0" w:rsidP="00FB7C1F">
            <w:pPr>
              <w:jc w:val="left"/>
              <w:rPr>
                <w:sz w:val="18"/>
                <w:szCs w:val="18"/>
              </w:rPr>
            </w:pPr>
            <w:r w:rsidRPr="004C78D8">
              <w:rPr>
                <w:sz w:val="18"/>
                <w:szCs w:val="18"/>
              </w:rPr>
              <w:t>Probability of MA fall requiring hospitalisation by frailty category</w:t>
            </w:r>
          </w:p>
        </w:tc>
        <w:tc>
          <w:tcPr>
            <w:tcW w:w="787" w:type="pct"/>
            <w:tcBorders>
              <w:top w:val="nil"/>
              <w:bottom w:val="nil"/>
            </w:tcBorders>
          </w:tcPr>
          <w:p w14:paraId="01DA2F87" w14:textId="0D1F1E21" w:rsidR="006153C0" w:rsidRPr="004C78D8" w:rsidRDefault="006153C0" w:rsidP="00FB7C1F">
            <w:pPr>
              <w:jc w:val="left"/>
              <w:rPr>
                <w:sz w:val="18"/>
                <w:szCs w:val="18"/>
              </w:rPr>
            </w:pPr>
            <w:r w:rsidRPr="004C78D8">
              <w:rPr>
                <w:sz w:val="18"/>
                <w:szCs w:val="18"/>
              </w:rPr>
              <w:t xml:space="preserve">9.6% - 72.7% (see Section </w:t>
            </w:r>
            <w:r w:rsidR="006206A1" w:rsidRPr="004C78D8">
              <w:rPr>
                <w:sz w:val="18"/>
                <w:szCs w:val="18"/>
              </w:rPr>
              <w:t>5</w:t>
            </w:r>
            <w:r w:rsidRPr="004C78D8">
              <w:rPr>
                <w:sz w:val="18"/>
                <w:szCs w:val="18"/>
              </w:rPr>
              <w:t>.</w:t>
            </w:r>
            <w:r w:rsidR="00D91C28" w:rsidRPr="004C78D8">
              <w:rPr>
                <w:sz w:val="18"/>
                <w:szCs w:val="18"/>
              </w:rPr>
              <w:t>2</w:t>
            </w:r>
            <w:r w:rsidRPr="004C78D8">
              <w:rPr>
                <w:sz w:val="18"/>
                <w:szCs w:val="18"/>
              </w:rPr>
              <w:t>.5.2)</w:t>
            </w:r>
          </w:p>
        </w:tc>
        <w:tc>
          <w:tcPr>
            <w:tcW w:w="1411" w:type="pct"/>
            <w:tcBorders>
              <w:top w:val="nil"/>
              <w:bottom w:val="nil"/>
            </w:tcBorders>
          </w:tcPr>
          <w:p w14:paraId="2A5DFBE7" w14:textId="77777777" w:rsidR="006153C0" w:rsidRPr="004C78D8" w:rsidRDefault="006153C0" w:rsidP="00FB7C1F">
            <w:pPr>
              <w:jc w:val="left"/>
              <w:rPr>
                <w:sz w:val="18"/>
                <w:szCs w:val="18"/>
              </w:rPr>
            </w:pPr>
            <w:r w:rsidRPr="004C78D8">
              <w:rPr>
                <w:sz w:val="18"/>
                <w:szCs w:val="18"/>
              </w:rPr>
              <w:t>Beta (</w:t>
            </w:r>
            <w:r w:rsidRPr="004C78D8">
              <w:rPr>
                <w:rFonts w:cs="Times New Roman"/>
                <w:sz w:val="18"/>
                <w:szCs w:val="18"/>
              </w:rPr>
              <w:t>α</w:t>
            </w:r>
            <w:r w:rsidRPr="004C78D8">
              <w:rPr>
                <w:sz w:val="18"/>
                <w:szCs w:val="18"/>
              </w:rPr>
              <w:t xml:space="preserve"> for SE around 16% of mean; </w:t>
            </w:r>
            <w:r w:rsidRPr="004C78D8">
              <w:rPr>
                <w:rFonts w:cs="Times New Roman"/>
                <w:sz w:val="18"/>
                <w:szCs w:val="18"/>
              </w:rPr>
              <w:t>β</w:t>
            </w:r>
            <w:r w:rsidRPr="004C78D8">
              <w:rPr>
                <w:sz w:val="18"/>
                <w:szCs w:val="18"/>
              </w:rPr>
              <w:t xml:space="preserve"> derived)</w:t>
            </w:r>
          </w:p>
        </w:tc>
        <w:tc>
          <w:tcPr>
            <w:tcW w:w="610" w:type="pct"/>
            <w:tcBorders>
              <w:top w:val="nil"/>
              <w:bottom w:val="nil"/>
            </w:tcBorders>
          </w:tcPr>
          <w:p w14:paraId="729586B0" w14:textId="657BEE0A" w:rsidR="006153C0" w:rsidRPr="004C78D8" w:rsidRDefault="006153C0" w:rsidP="00FB7C1F">
            <w:pPr>
              <w:jc w:val="left"/>
              <w:rPr>
                <w:sz w:val="18"/>
                <w:szCs w:val="18"/>
              </w:rPr>
            </w:pPr>
            <w:r w:rsidRPr="004C78D8">
              <w:rPr>
                <w:sz w:val="18"/>
                <w:szCs w:val="18"/>
              </w:rPr>
              <w:fldChar w:fldCharType="begin">
                <w:fldData xml:space="preserve">PEVuZE5vdGU+PENpdGU+PEF1dGhvcj5NY0xlYW48L0F1dGhvcj48WWVhcj4yMDE1PC9ZZWFyPjxS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</w:fldData>
              </w:fldChar>
            </w:r>
            <w:r w:rsidR="00C630FC" w:rsidRPr="004C78D8">
              <w:rPr>
                <w:sz w:val="18"/>
                <w:szCs w:val="18"/>
              </w:rPr>
              <w:instrText xml:space="preserve"> ADDIN EN.CITE </w:instrText>
            </w:r>
            <w:r w:rsidR="00C630FC" w:rsidRPr="004C78D8">
              <w:rPr>
                <w:sz w:val="18"/>
                <w:szCs w:val="18"/>
              </w:rPr>
              <w:fldChar w:fldCharType="begin">
                <w:fldData xml:space="preserve">PEVuZE5vdGU+PENpdGU+PEF1dGhvcj5NY0xlYW48L0F1dGhvcj48WWVhcj4yMDE1PC9ZZWFyPjxS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</w:fldData>
              </w:fldChar>
            </w:r>
            <w:r w:rsidR="00C630FC" w:rsidRPr="004C78D8">
              <w:rPr>
                <w:sz w:val="18"/>
                <w:szCs w:val="18"/>
              </w:rPr>
              <w:instrText xml:space="preserve"> ADDIN EN.CITE.DATA </w:instrText>
            </w:r>
            <w:r w:rsidR="00C630FC" w:rsidRPr="004C78D8">
              <w:rPr>
                <w:sz w:val="18"/>
                <w:szCs w:val="18"/>
              </w:rPr>
            </w:r>
            <w:r w:rsidR="00C630FC" w:rsidRPr="004C78D8">
              <w:rPr>
                <w:sz w:val="18"/>
                <w:szCs w:val="18"/>
              </w:rPr>
              <w:fldChar w:fldCharType="end"/>
            </w:r>
            <w:r w:rsidRPr="004C78D8">
              <w:rPr>
                <w:sz w:val="18"/>
                <w:szCs w:val="18"/>
              </w:rPr>
            </w:r>
            <w:r w:rsidRPr="004C78D8">
              <w:rPr>
                <w:sz w:val="18"/>
                <w:szCs w:val="18"/>
              </w:rPr>
              <w:fldChar w:fldCharType="separate"/>
            </w:r>
            <w:r w:rsidR="00C630FC" w:rsidRPr="004C78D8">
              <w:rPr>
                <w:noProof/>
                <w:sz w:val="18"/>
                <w:szCs w:val="18"/>
              </w:rPr>
              <w:t>[355]</w:t>
            </w:r>
            <w:r w:rsidRPr="004C78D8">
              <w:rPr>
                <w:sz w:val="18"/>
                <w:szCs w:val="18"/>
              </w:rPr>
              <w:fldChar w:fldCharType="end"/>
            </w:r>
          </w:p>
        </w:tc>
      </w:tr>
      <w:tr w:rsidR="006153C0" w:rsidRPr="004C78D8" w14:paraId="4224D2FC" w14:textId="77777777" w:rsidTr="00E35893">
        <w:tc>
          <w:tcPr>
            <w:tcW w:w="5000" w:type="pct"/>
            <w:gridSpan w:val="5"/>
            <w:tcBorders>
              <w:bottom w:val="single" w:sz="4" w:space="0" w:color="auto"/>
            </w:tcBorders>
          </w:tcPr>
          <w:p w14:paraId="23E9245D" w14:textId="77777777" w:rsidR="006153C0" w:rsidRPr="004C78D8" w:rsidRDefault="006153C0" w:rsidP="00FB7C1F">
            <w:pPr>
              <w:jc w:val="left"/>
              <w:rPr>
                <w:b/>
                <w:bCs/>
                <w:i/>
                <w:iCs/>
                <w:sz w:val="20"/>
                <w:szCs w:val="20"/>
              </w:rPr>
            </w:pPr>
            <w:r w:rsidRPr="004C78D8">
              <w:rPr>
                <w:b/>
                <w:bCs/>
                <w:i/>
                <w:iCs/>
                <w:sz w:val="20"/>
                <w:szCs w:val="20"/>
              </w:rPr>
              <w:t>Intervention access, cost and efficacy</w:t>
            </w:r>
          </w:p>
        </w:tc>
      </w:tr>
      <w:tr w:rsidR="006153C0" w:rsidRPr="004C78D8" w14:paraId="741C16EF" w14:textId="77777777" w:rsidTr="00E35893">
        <w:tc>
          <w:tcPr>
            <w:tcW w:w="231" w:type="pct"/>
            <w:tcBorders>
              <w:bottom w:val="nil"/>
            </w:tcBorders>
          </w:tcPr>
          <w:p w14:paraId="19BEE72A" w14:textId="77777777" w:rsidR="006153C0" w:rsidRPr="004C78D8" w:rsidRDefault="006153C0" w:rsidP="00FB7C1F">
            <w:pPr>
              <w:jc w:val="left"/>
              <w:rPr>
                <w:sz w:val="18"/>
                <w:szCs w:val="18"/>
              </w:rPr>
            </w:pPr>
            <w:r w:rsidRPr="004C78D8">
              <w:rPr>
                <w:sz w:val="18"/>
                <w:szCs w:val="18"/>
              </w:rPr>
              <w:t>1</w:t>
            </w:r>
          </w:p>
        </w:tc>
        <w:tc>
          <w:tcPr>
            <w:tcW w:w="1960" w:type="pct"/>
            <w:tcBorders>
              <w:bottom w:val="nil"/>
            </w:tcBorders>
          </w:tcPr>
          <w:p w14:paraId="4BB6F306" w14:textId="77777777" w:rsidR="006153C0" w:rsidRPr="004C78D8" w:rsidRDefault="006153C0" w:rsidP="00FB7C1F">
            <w:pPr>
              <w:jc w:val="left"/>
              <w:rPr>
                <w:sz w:val="20"/>
                <w:szCs w:val="20"/>
              </w:rPr>
            </w:pPr>
            <w:r w:rsidRPr="004C78D8">
              <w:rPr>
                <w:sz w:val="18"/>
                <w:szCs w:val="18"/>
              </w:rPr>
              <w:t>Probability of accessing reactive intervention under usual care by frailty category</w:t>
            </w:r>
          </w:p>
        </w:tc>
        <w:tc>
          <w:tcPr>
            <w:tcW w:w="787" w:type="pct"/>
            <w:tcBorders>
              <w:bottom w:val="nil"/>
            </w:tcBorders>
          </w:tcPr>
          <w:p w14:paraId="449612EF" w14:textId="7DD39A72" w:rsidR="006153C0" w:rsidRPr="004C78D8" w:rsidRDefault="006153C0" w:rsidP="00FB7C1F">
            <w:pPr>
              <w:jc w:val="left"/>
              <w:rPr>
                <w:sz w:val="20"/>
                <w:szCs w:val="20"/>
              </w:rPr>
            </w:pPr>
            <w:r w:rsidRPr="004C78D8">
              <w:rPr>
                <w:sz w:val="18"/>
                <w:szCs w:val="18"/>
              </w:rPr>
              <w:t xml:space="preserve">9.58% - 72.73% (see Table </w:t>
            </w:r>
            <w:r w:rsidR="006206A1" w:rsidRPr="004C78D8">
              <w:rPr>
                <w:sz w:val="18"/>
                <w:szCs w:val="18"/>
              </w:rPr>
              <w:t>5</w:t>
            </w:r>
            <w:r w:rsidRPr="004C78D8">
              <w:rPr>
                <w:sz w:val="18"/>
                <w:szCs w:val="18"/>
              </w:rPr>
              <w:t>.2</w:t>
            </w:r>
            <w:r w:rsidR="00D91C28" w:rsidRPr="004C78D8">
              <w:rPr>
                <w:sz w:val="18"/>
                <w:szCs w:val="18"/>
              </w:rPr>
              <w:t>6</w:t>
            </w:r>
            <w:r w:rsidRPr="004C78D8">
              <w:rPr>
                <w:sz w:val="18"/>
                <w:szCs w:val="18"/>
              </w:rPr>
              <w:t>)</w:t>
            </w:r>
          </w:p>
        </w:tc>
        <w:tc>
          <w:tcPr>
            <w:tcW w:w="1411" w:type="pct"/>
            <w:tcBorders>
              <w:bottom w:val="nil"/>
            </w:tcBorders>
          </w:tcPr>
          <w:p w14:paraId="4C6127ED" w14:textId="77777777" w:rsidR="006153C0" w:rsidRPr="004C78D8" w:rsidRDefault="006153C0" w:rsidP="00FB7C1F">
            <w:pPr>
              <w:jc w:val="left"/>
              <w:rPr>
                <w:sz w:val="20"/>
                <w:szCs w:val="20"/>
              </w:rPr>
            </w:pPr>
            <w:r w:rsidRPr="004C78D8">
              <w:rPr>
                <w:sz w:val="18"/>
                <w:szCs w:val="18"/>
              </w:rPr>
              <w:t>Beta (</w:t>
            </w:r>
            <w:r w:rsidRPr="004C78D8">
              <w:rPr>
                <w:rFonts w:cs="Times New Roman"/>
                <w:sz w:val="18"/>
                <w:szCs w:val="18"/>
              </w:rPr>
              <w:t>α</w:t>
            </w:r>
            <w:r w:rsidRPr="004C78D8">
              <w:rPr>
                <w:sz w:val="18"/>
                <w:szCs w:val="18"/>
              </w:rPr>
              <w:t xml:space="preserve"> for SE around 16% of mean; </w:t>
            </w:r>
            <w:r w:rsidRPr="004C78D8">
              <w:rPr>
                <w:rFonts w:cs="Times New Roman"/>
                <w:sz w:val="18"/>
                <w:szCs w:val="18"/>
              </w:rPr>
              <w:t>β</w:t>
            </w:r>
            <w:r w:rsidRPr="004C78D8">
              <w:rPr>
                <w:sz w:val="18"/>
                <w:szCs w:val="18"/>
              </w:rPr>
              <w:t xml:space="preserve"> derived)</w:t>
            </w:r>
            <w:r w:rsidRPr="004C78D8">
              <w:rPr>
                <w:sz w:val="18"/>
                <w:szCs w:val="18"/>
                <w:vertAlign w:val="superscript"/>
              </w:rPr>
              <w:t>3</w:t>
            </w:r>
          </w:p>
        </w:tc>
        <w:tc>
          <w:tcPr>
            <w:tcW w:w="610" w:type="pct"/>
            <w:tcBorders>
              <w:bottom w:val="nil"/>
            </w:tcBorders>
          </w:tcPr>
          <w:p w14:paraId="4645856A" w14:textId="54C9362F" w:rsidR="006153C0" w:rsidRPr="004C78D8" w:rsidRDefault="006153C0" w:rsidP="00FB7C1F">
            <w:pPr>
              <w:jc w:val="left"/>
              <w:rPr>
                <w:sz w:val="18"/>
                <w:szCs w:val="18"/>
              </w:rPr>
            </w:pPr>
            <w:r w:rsidRPr="004C78D8">
              <w:rPr>
                <w:sz w:val="18"/>
                <w:szCs w:val="18"/>
              </w:rPr>
              <w:fldChar w:fldCharType="begin">
                <w:fldData xml:space="preserve">PEVuZE5vdGU+PENpdGU+PEF1dGhvcj5NY0xlYW48L0F1dGhvcj48WWVhcj4yMDE1PC9ZZWFyPjxS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</w:fldData>
              </w:fldChar>
            </w:r>
            <w:r w:rsidR="00C630FC" w:rsidRPr="004C78D8">
              <w:rPr>
                <w:sz w:val="18"/>
                <w:szCs w:val="18"/>
              </w:rPr>
              <w:instrText xml:space="preserve"> ADDIN EN.CITE </w:instrText>
            </w:r>
            <w:r w:rsidR="00C630FC" w:rsidRPr="004C78D8">
              <w:rPr>
                <w:sz w:val="18"/>
                <w:szCs w:val="18"/>
              </w:rPr>
              <w:fldChar w:fldCharType="begin">
                <w:fldData xml:space="preserve">PEVuZE5vdGU+PENpdGU+PEF1dGhvcj5NY0xlYW48L0F1dGhvcj48WWVhcj4yMDE1PC9ZZWFyPjxS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</w:fldData>
              </w:fldChar>
            </w:r>
            <w:r w:rsidR="00C630FC" w:rsidRPr="004C78D8">
              <w:rPr>
                <w:sz w:val="18"/>
                <w:szCs w:val="18"/>
              </w:rPr>
              <w:instrText xml:space="preserve"> ADDIN EN.CITE.DATA </w:instrText>
            </w:r>
            <w:r w:rsidR="00C630FC" w:rsidRPr="004C78D8">
              <w:rPr>
                <w:sz w:val="18"/>
                <w:szCs w:val="18"/>
              </w:rPr>
            </w:r>
            <w:r w:rsidR="00C630FC" w:rsidRPr="004C78D8">
              <w:rPr>
                <w:sz w:val="18"/>
                <w:szCs w:val="18"/>
              </w:rPr>
              <w:fldChar w:fldCharType="end"/>
            </w:r>
            <w:r w:rsidRPr="004C78D8">
              <w:rPr>
                <w:sz w:val="18"/>
                <w:szCs w:val="18"/>
              </w:rPr>
            </w:r>
            <w:r w:rsidRPr="004C78D8">
              <w:rPr>
                <w:sz w:val="18"/>
                <w:szCs w:val="18"/>
              </w:rPr>
              <w:fldChar w:fldCharType="separate"/>
            </w:r>
            <w:r w:rsidR="00C630FC" w:rsidRPr="004C78D8">
              <w:rPr>
                <w:noProof/>
                <w:sz w:val="18"/>
                <w:szCs w:val="18"/>
              </w:rPr>
              <w:t>[355]</w:t>
            </w:r>
            <w:r w:rsidRPr="004C78D8">
              <w:rPr>
                <w:sz w:val="18"/>
                <w:szCs w:val="18"/>
              </w:rPr>
              <w:fldChar w:fldCharType="end"/>
            </w:r>
          </w:p>
        </w:tc>
      </w:tr>
      <w:tr w:rsidR="006153C0" w:rsidRPr="004C78D8" w14:paraId="4393B8A6" w14:textId="77777777" w:rsidTr="00E35893">
        <w:tc>
          <w:tcPr>
            <w:tcW w:w="231" w:type="pct"/>
            <w:tcBorders>
              <w:top w:val="nil"/>
              <w:bottom w:val="nil"/>
            </w:tcBorders>
          </w:tcPr>
          <w:p w14:paraId="74A8D073" w14:textId="77777777" w:rsidR="006153C0" w:rsidRPr="004C78D8" w:rsidRDefault="006153C0" w:rsidP="00FB7C1F">
            <w:pPr>
              <w:jc w:val="left"/>
              <w:rPr>
                <w:sz w:val="18"/>
                <w:szCs w:val="18"/>
              </w:rPr>
            </w:pPr>
            <w:r w:rsidRPr="004C78D8">
              <w:rPr>
                <w:sz w:val="18"/>
                <w:szCs w:val="18"/>
              </w:rPr>
              <w:t>2</w:t>
            </w:r>
          </w:p>
        </w:tc>
        <w:tc>
          <w:tcPr>
            <w:tcW w:w="1960" w:type="pct"/>
            <w:tcBorders>
              <w:top w:val="nil"/>
              <w:bottom w:val="nil"/>
            </w:tcBorders>
          </w:tcPr>
          <w:p w14:paraId="0B51AEE9" w14:textId="77777777" w:rsidR="006153C0" w:rsidRPr="004C78D8" w:rsidRDefault="006153C0" w:rsidP="00FB7C1F">
            <w:pPr>
              <w:jc w:val="left"/>
              <w:rPr>
                <w:sz w:val="20"/>
                <w:szCs w:val="20"/>
              </w:rPr>
            </w:pPr>
            <w:r w:rsidRPr="004C78D8">
              <w:rPr>
                <w:sz w:val="18"/>
                <w:szCs w:val="18"/>
              </w:rPr>
              <w:t>Demand rate for reactive intervention under recommended care by cognitive status</w:t>
            </w:r>
          </w:p>
        </w:tc>
        <w:tc>
          <w:tcPr>
            <w:tcW w:w="787" w:type="pct"/>
            <w:tcBorders>
              <w:top w:val="nil"/>
              <w:bottom w:val="nil"/>
            </w:tcBorders>
          </w:tcPr>
          <w:p w14:paraId="57AFE01C" w14:textId="39D90C0A" w:rsidR="006153C0" w:rsidRPr="004C78D8" w:rsidRDefault="006153C0" w:rsidP="00FB7C1F">
            <w:pPr>
              <w:jc w:val="left"/>
              <w:rPr>
                <w:sz w:val="20"/>
                <w:szCs w:val="20"/>
              </w:rPr>
            </w:pPr>
            <w:r w:rsidRPr="004C78D8">
              <w:rPr>
                <w:sz w:val="18"/>
                <w:szCs w:val="18"/>
              </w:rPr>
              <w:t xml:space="preserve">53.8%, 49.6% (see Table </w:t>
            </w:r>
            <w:r w:rsidR="006206A1" w:rsidRPr="004C78D8">
              <w:rPr>
                <w:sz w:val="18"/>
                <w:szCs w:val="18"/>
              </w:rPr>
              <w:t>5</w:t>
            </w:r>
            <w:r w:rsidRPr="004C78D8">
              <w:rPr>
                <w:sz w:val="18"/>
                <w:szCs w:val="18"/>
              </w:rPr>
              <w:t>.2</w:t>
            </w:r>
            <w:r w:rsidR="00D91C28" w:rsidRPr="004C78D8">
              <w:rPr>
                <w:sz w:val="18"/>
                <w:szCs w:val="18"/>
              </w:rPr>
              <w:t>6</w:t>
            </w:r>
            <w:r w:rsidRPr="004C78D8">
              <w:rPr>
                <w:sz w:val="18"/>
                <w:szCs w:val="18"/>
              </w:rPr>
              <w:t>)</w:t>
            </w:r>
          </w:p>
        </w:tc>
        <w:tc>
          <w:tcPr>
            <w:tcW w:w="1411" w:type="pct"/>
            <w:tcBorders>
              <w:top w:val="nil"/>
              <w:bottom w:val="nil"/>
            </w:tcBorders>
          </w:tcPr>
          <w:p w14:paraId="1135663F" w14:textId="77777777" w:rsidR="006153C0" w:rsidRPr="004C78D8" w:rsidRDefault="006153C0" w:rsidP="00FB7C1F">
            <w:pPr>
              <w:jc w:val="left"/>
              <w:rPr>
                <w:sz w:val="20"/>
                <w:szCs w:val="20"/>
              </w:rPr>
            </w:pPr>
            <w:r w:rsidRPr="004C78D8">
              <w:rPr>
                <w:sz w:val="18"/>
                <w:szCs w:val="18"/>
              </w:rPr>
              <w:t>Beta (</w:t>
            </w:r>
            <w:r w:rsidRPr="004C78D8">
              <w:rPr>
                <w:rFonts w:cs="Times New Roman"/>
                <w:sz w:val="18"/>
                <w:szCs w:val="18"/>
              </w:rPr>
              <w:t>α</w:t>
            </w:r>
            <w:r w:rsidRPr="004C78D8">
              <w:rPr>
                <w:sz w:val="18"/>
                <w:szCs w:val="18"/>
              </w:rPr>
              <w:t xml:space="preserve"> for SE around 10% of mean; </w:t>
            </w:r>
            <w:r w:rsidRPr="004C78D8">
              <w:rPr>
                <w:rFonts w:cs="Times New Roman"/>
                <w:sz w:val="18"/>
                <w:szCs w:val="18"/>
              </w:rPr>
              <w:t>β</w:t>
            </w:r>
            <w:r w:rsidRPr="004C78D8">
              <w:rPr>
                <w:sz w:val="18"/>
                <w:szCs w:val="18"/>
              </w:rPr>
              <w:t xml:space="preserve"> derived)</w:t>
            </w:r>
          </w:p>
        </w:tc>
        <w:tc>
          <w:tcPr>
            <w:tcW w:w="610" w:type="pct"/>
            <w:tcBorders>
              <w:top w:val="nil"/>
              <w:bottom w:val="nil"/>
            </w:tcBorders>
          </w:tcPr>
          <w:p w14:paraId="48A02AB8" w14:textId="60248E09" w:rsidR="006153C0" w:rsidRPr="004C78D8" w:rsidRDefault="006153C0" w:rsidP="00FB7C1F">
            <w:pPr>
              <w:jc w:val="left"/>
              <w:rPr>
                <w:sz w:val="18"/>
                <w:szCs w:val="18"/>
              </w:rPr>
            </w:pPr>
            <w:r w:rsidRPr="004C78D8">
              <w:rPr>
                <w:sz w:val="18"/>
                <w:szCs w:val="18"/>
              </w:rPr>
              <w:fldChar w:fldCharType="begin">
                <w:fldData xml:space="preserve">PEVuZE5vdGU+PENpdGU+PEF1dGhvcj5EZXZlcmFsbDwvQXV0aG9yPjxZZWFyPjIwMTg8L1llYXI+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=
</w:fldData>
              </w:fldChar>
            </w:r>
            <w:r w:rsidR="00C630FC" w:rsidRPr="004C78D8">
              <w:rPr>
                <w:sz w:val="18"/>
                <w:szCs w:val="18"/>
              </w:rPr>
              <w:instrText xml:space="preserve"> ADDIN EN.CITE </w:instrText>
            </w:r>
            <w:r w:rsidR="00C630FC" w:rsidRPr="004C78D8">
              <w:rPr>
                <w:sz w:val="18"/>
                <w:szCs w:val="18"/>
              </w:rPr>
              <w:fldChar w:fldCharType="begin">
                <w:fldData xml:space="preserve">PEVuZE5vdGU+PENpdGU+PEF1dGhvcj5EZXZlcmFsbDwvQXV0aG9yPjxZZWFyPjIwMTg8L1llYXI+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=
</w:fldData>
              </w:fldChar>
            </w:r>
            <w:r w:rsidR="00C630FC" w:rsidRPr="004C78D8">
              <w:rPr>
                <w:sz w:val="18"/>
                <w:szCs w:val="18"/>
              </w:rPr>
              <w:instrText xml:space="preserve"> ADDIN EN.CITE.DATA </w:instrText>
            </w:r>
            <w:r w:rsidR="00C630FC" w:rsidRPr="004C78D8">
              <w:rPr>
                <w:sz w:val="18"/>
                <w:szCs w:val="18"/>
              </w:rPr>
            </w:r>
            <w:r w:rsidR="00C630FC" w:rsidRPr="004C78D8">
              <w:rPr>
                <w:sz w:val="18"/>
                <w:szCs w:val="18"/>
              </w:rPr>
              <w:fldChar w:fldCharType="end"/>
            </w:r>
            <w:r w:rsidRPr="004C78D8">
              <w:rPr>
                <w:sz w:val="18"/>
                <w:szCs w:val="18"/>
              </w:rPr>
            </w:r>
            <w:r w:rsidRPr="004C78D8">
              <w:rPr>
                <w:sz w:val="18"/>
                <w:szCs w:val="18"/>
              </w:rPr>
              <w:fldChar w:fldCharType="separate"/>
            </w:r>
            <w:r w:rsidR="00C630FC" w:rsidRPr="004C78D8">
              <w:rPr>
                <w:noProof/>
                <w:sz w:val="18"/>
                <w:szCs w:val="18"/>
              </w:rPr>
              <w:t>[361]</w:t>
            </w:r>
            <w:r w:rsidRPr="004C78D8">
              <w:rPr>
                <w:sz w:val="18"/>
                <w:szCs w:val="18"/>
              </w:rPr>
              <w:fldChar w:fldCharType="end"/>
            </w:r>
          </w:p>
        </w:tc>
      </w:tr>
      <w:tr w:rsidR="006153C0" w:rsidRPr="004C78D8" w14:paraId="582965A3" w14:textId="77777777" w:rsidTr="00E35893">
        <w:tc>
          <w:tcPr>
            <w:tcW w:w="231" w:type="pct"/>
            <w:tcBorders>
              <w:top w:val="nil"/>
              <w:bottom w:val="nil"/>
            </w:tcBorders>
          </w:tcPr>
          <w:p w14:paraId="151F900C" w14:textId="77777777" w:rsidR="006153C0" w:rsidRPr="004C78D8" w:rsidRDefault="006153C0" w:rsidP="00FB7C1F">
            <w:pPr>
              <w:jc w:val="left"/>
              <w:rPr>
                <w:sz w:val="18"/>
                <w:szCs w:val="18"/>
              </w:rPr>
            </w:pPr>
            <w:r w:rsidRPr="004C78D8">
              <w:rPr>
                <w:sz w:val="18"/>
                <w:szCs w:val="18"/>
              </w:rPr>
              <w:t>3</w:t>
            </w:r>
          </w:p>
        </w:tc>
        <w:tc>
          <w:tcPr>
            <w:tcW w:w="1960" w:type="pct"/>
            <w:tcBorders>
              <w:top w:val="nil"/>
              <w:bottom w:val="nil"/>
            </w:tcBorders>
          </w:tcPr>
          <w:p w14:paraId="76E5EABB" w14:textId="77777777" w:rsidR="006153C0" w:rsidRPr="004C78D8" w:rsidRDefault="006153C0" w:rsidP="00FB7C1F">
            <w:pPr>
              <w:jc w:val="left"/>
              <w:rPr>
                <w:sz w:val="18"/>
                <w:szCs w:val="18"/>
              </w:rPr>
            </w:pPr>
            <w:r w:rsidRPr="004C78D8">
              <w:rPr>
                <w:sz w:val="18"/>
                <w:szCs w:val="18"/>
              </w:rPr>
              <w:t>Proportion accessing bi-disciplinary (rather than multidisciplinary) reactive intervention</w:t>
            </w:r>
          </w:p>
        </w:tc>
        <w:tc>
          <w:tcPr>
            <w:tcW w:w="787" w:type="pct"/>
            <w:tcBorders>
              <w:top w:val="nil"/>
              <w:bottom w:val="nil"/>
            </w:tcBorders>
          </w:tcPr>
          <w:p w14:paraId="6D6B07FC" w14:textId="77777777" w:rsidR="006153C0" w:rsidRPr="004C78D8" w:rsidRDefault="006153C0" w:rsidP="00FB7C1F">
            <w:pPr>
              <w:jc w:val="left"/>
              <w:rPr>
                <w:sz w:val="18"/>
                <w:szCs w:val="18"/>
              </w:rPr>
            </w:pPr>
            <w:r w:rsidRPr="004C78D8">
              <w:rPr>
                <w:sz w:val="18"/>
                <w:szCs w:val="18"/>
              </w:rPr>
              <w:t>75%</w:t>
            </w:r>
          </w:p>
        </w:tc>
        <w:tc>
          <w:tcPr>
            <w:tcW w:w="1411" w:type="pct"/>
            <w:tcBorders>
              <w:top w:val="nil"/>
              <w:bottom w:val="nil"/>
            </w:tcBorders>
          </w:tcPr>
          <w:p w14:paraId="3E1E38B9" w14:textId="77777777" w:rsidR="006153C0" w:rsidRPr="004C78D8" w:rsidRDefault="006153C0" w:rsidP="00FB7C1F">
            <w:pPr>
              <w:jc w:val="left"/>
              <w:rPr>
                <w:sz w:val="18"/>
                <w:szCs w:val="18"/>
              </w:rPr>
            </w:pPr>
            <w:r w:rsidRPr="004C78D8">
              <w:rPr>
                <w:sz w:val="18"/>
                <w:szCs w:val="18"/>
              </w:rPr>
              <w:t>Beta (</w:t>
            </w:r>
            <w:r w:rsidRPr="004C78D8">
              <w:rPr>
                <w:rFonts w:cs="Times New Roman"/>
                <w:sz w:val="18"/>
                <w:szCs w:val="18"/>
              </w:rPr>
              <w:t>α</w:t>
            </w:r>
            <w:r w:rsidRPr="004C78D8">
              <w:rPr>
                <w:sz w:val="18"/>
                <w:szCs w:val="18"/>
              </w:rPr>
              <w:t xml:space="preserve"> =1.2 for SE around 10% of mean; </w:t>
            </w:r>
            <w:r w:rsidRPr="004C78D8">
              <w:rPr>
                <w:rFonts w:cs="Times New Roman"/>
                <w:sz w:val="18"/>
                <w:szCs w:val="18"/>
              </w:rPr>
              <w:t>β</w:t>
            </w:r>
            <w:r w:rsidRPr="004C78D8">
              <w:rPr>
                <w:sz w:val="18"/>
                <w:szCs w:val="18"/>
              </w:rPr>
              <w:t xml:space="preserve"> derived)</w:t>
            </w:r>
          </w:p>
        </w:tc>
        <w:tc>
          <w:tcPr>
            <w:tcW w:w="610" w:type="pct"/>
            <w:tcBorders>
              <w:top w:val="nil"/>
              <w:bottom w:val="nil"/>
            </w:tcBorders>
          </w:tcPr>
          <w:p w14:paraId="2872D385" w14:textId="77777777" w:rsidR="006153C0" w:rsidRPr="004C78D8" w:rsidRDefault="006153C0" w:rsidP="00FB7C1F">
            <w:pPr>
              <w:jc w:val="left"/>
              <w:rPr>
                <w:sz w:val="18"/>
                <w:szCs w:val="18"/>
              </w:rPr>
            </w:pPr>
            <w:r w:rsidRPr="004C78D8">
              <w:rPr>
                <w:sz w:val="18"/>
                <w:szCs w:val="18"/>
              </w:rPr>
              <w:t>Assumption</w:t>
            </w:r>
          </w:p>
        </w:tc>
      </w:tr>
      <w:tr w:rsidR="006153C0" w:rsidRPr="004C78D8" w14:paraId="02AC0F8A" w14:textId="77777777" w:rsidTr="00E35893">
        <w:tc>
          <w:tcPr>
            <w:tcW w:w="231" w:type="pct"/>
            <w:tcBorders>
              <w:top w:val="nil"/>
              <w:bottom w:val="nil"/>
            </w:tcBorders>
          </w:tcPr>
          <w:p w14:paraId="472D13A1" w14:textId="77777777" w:rsidR="006153C0" w:rsidRPr="004C78D8" w:rsidRDefault="006153C0" w:rsidP="00FB7C1F">
            <w:pPr>
              <w:jc w:val="left"/>
              <w:rPr>
                <w:sz w:val="18"/>
                <w:szCs w:val="18"/>
              </w:rPr>
            </w:pPr>
            <w:r w:rsidRPr="004C78D8">
              <w:rPr>
                <w:sz w:val="18"/>
                <w:szCs w:val="18"/>
              </w:rPr>
              <w:t>4</w:t>
            </w:r>
          </w:p>
        </w:tc>
        <w:tc>
          <w:tcPr>
            <w:tcW w:w="1960" w:type="pct"/>
            <w:tcBorders>
              <w:top w:val="nil"/>
              <w:bottom w:val="nil"/>
            </w:tcBorders>
          </w:tcPr>
          <w:p w14:paraId="2756D32B" w14:textId="77777777" w:rsidR="006153C0" w:rsidRPr="004C78D8" w:rsidRDefault="006153C0" w:rsidP="00FB7C1F">
            <w:pPr>
              <w:jc w:val="left"/>
              <w:rPr>
                <w:sz w:val="20"/>
                <w:szCs w:val="20"/>
              </w:rPr>
            </w:pPr>
            <w:r w:rsidRPr="004C78D8">
              <w:rPr>
                <w:sz w:val="18"/>
                <w:szCs w:val="18"/>
              </w:rPr>
              <w:t>Probability of accessing falls risk screening under usual care by frailty category</w:t>
            </w:r>
          </w:p>
        </w:tc>
        <w:tc>
          <w:tcPr>
            <w:tcW w:w="787" w:type="pct"/>
            <w:tcBorders>
              <w:top w:val="nil"/>
              <w:bottom w:val="nil"/>
            </w:tcBorders>
          </w:tcPr>
          <w:p w14:paraId="48EFDDA1" w14:textId="56AFA297" w:rsidR="006153C0" w:rsidRPr="004C78D8" w:rsidRDefault="006153C0" w:rsidP="00FB7C1F">
            <w:pPr>
              <w:jc w:val="left"/>
              <w:rPr>
                <w:sz w:val="20"/>
                <w:szCs w:val="20"/>
              </w:rPr>
            </w:pPr>
            <w:r w:rsidRPr="004C78D8">
              <w:rPr>
                <w:sz w:val="18"/>
                <w:szCs w:val="18"/>
              </w:rPr>
              <w:t xml:space="preserve">23.9% - 43.9% (see Table </w:t>
            </w:r>
            <w:r w:rsidR="006206A1" w:rsidRPr="004C78D8">
              <w:rPr>
                <w:sz w:val="18"/>
                <w:szCs w:val="18"/>
              </w:rPr>
              <w:t>5</w:t>
            </w:r>
            <w:r w:rsidRPr="004C78D8">
              <w:rPr>
                <w:sz w:val="18"/>
                <w:szCs w:val="18"/>
              </w:rPr>
              <w:t>.2</w:t>
            </w:r>
            <w:r w:rsidR="00D91C28" w:rsidRPr="004C78D8">
              <w:rPr>
                <w:sz w:val="18"/>
                <w:szCs w:val="18"/>
              </w:rPr>
              <w:t>7</w:t>
            </w:r>
            <w:r w:rsidRPr="004C78D8">
              <w:rPr>
                <w:sz w:val="18"/>
                <w:szCs w:val="18"/>
              </w:rPr>
              <w:t>)</w:t>
            </w:r>
          </w:p>
        </w:tc>
        <w:tc>
          <w:tcPr>
            <w:tcW w:w="1411" w:type="pct"/>
            <w:tcBorders>
              <w:top w:val="nil"/>
              <w:bottom w:val="nil"/>
            </w:tcBorders>
          </w:tcPr>
          <w:p w14:paraId="35164E7E" w14:textId="77777777" w:rsidR="006153C0" w:rsidRPr="004C78D8" w:rsidRDefault="006153C0" w:rsidP="00FB7C1F">
            <w:pPr>
              <w:jc w:val="left"/>
              <w:rPr>
                <w:sz w:val="20"/>
                <w:szCs w:val="20"/>
              </w:rPr>
            </w:pPr>
            <w:r w:rsidRPr="004C78D8">
              <w:rPr>
                <w:sz w:val="18"/>
                <w:szCs w:val="18"/>
              </w:rPr>
              <w:t>Beta (</w:t>
            </w:r>
            <w:r w:rsidRPr="004C78D8">
              <w:rPr>
                <w:rFonts w:cs="Times New Roman"/>
                <w:sz w:val="18"/>
                <w:szCs w:val="18"/>
              </w:rPr>
              <w:t>α</w:t>
            </w:r>
            <w:r w:rsidRPr="004C78D8">
              <w:rPr>
                <w:sz w:val="18"/>
                <w:szCs w:val="18"/>
              </w:rPr>
              <w:t xml:space="preserve"> for SE around 10% of mean; </w:t>
            </w:r>
            <w:r w:rsidRPr="004C78D8">
              <w:rPr>
                <w:rFonts w:cs="Times New Roman"/>
                <w:sz w:val="18"/>
                <w:szCs w:val="18"/>
              </w:rPr>
              <w:t>β</w:t>
            </w:r>
            <w:r w:rsidRPr="004C78D8">
              <w:rPr>
                <w:sz w:val="18"/>
                <w:szCs w:val="18"/>
              </w:rPr>
              <w:t xml:space="preserve"> derived)</w:t>
            </w:r>
          </w:p>
        </w:tc>
        <w:tc>
          <w:tcPr>
            <w:tcW w:w="610" w:type="pct"/>
            <w:tcBorders>
              <w:top w:val="nil"/>
              <w:bottom w:val="nil"/>
            </w:tcBorders>
          </w:tcPr>
          <w:p w14:paraId="33CE0BEB" w14:textId="77777777" w:rsidR="006153C0" w:rsidRPr="004C78D8" w:rsidRDefault="006153C0" w:rsidP="00FB7C1F">
            <w:pPr>
              <w:jc w:val="left"/>
              <w:rPr>
                <w:sz w:val="18"/>
                <w:szCs w:val="18"/>
              </w:rPr>
            </w:pPr>
            <w:r w:rsidRPr="004C78D8">
              <w:rPr>
                <w:sz w:val="18"/>
                <w:szCs w:val="18"/>
              </w:rPr>
              <w:t>Assumption</w:t>
            </w:r>
          </w:p>
        </w:tc>
      </w:tr>
      <w:tr w:rsidR="006153C0" w:rsidRPr="004C78D8" w14:paraId="50A3EA61" w14:textId="77777777" w:rsidTr="00E35893">
        <w:tc>
          <w:tcPr>
            <w:tcW w:w="231" w:type="pct"/>
            <w:tcBorders>
              <w:top w:val="nil"/>
              <w:bottom w:val="nil"/>
            </w:tcBorders>
          </w:tcPr>
          <w:p w14:paraId="1DDCDA75" w14:textId="77777777" w:rsidR="006153C0" w:rsidRPr="004C78D8" w:rsidRDefault="006153C0" w:rsidP="00FB7C1F">
            <w:pPr>
              <w:jc w:val="left"/>
              <w:rPr>
                <w:sz w:val="18"/>
                <w:szCs w:val="18"/>
              </w:rPr>
            </w:pPr>
            <w:r w:rsidRPr="004C78D8">
              <w:rPr>
                <w:sz w:val="18"/>
                <w:szCs w:val="18"/>
              </w:rPr>
              <w:t>5</w:t>
            </w:r>
          </w:p>
        </w:tc>
        <w:tc>
          <w:tcPr>
            <w:tcW w:w="1960" w:type="pct"/>
            <w:tcBorders>
              <w:top w:val="nil"/>
              <w:bottom w:val="nil"/>
            </w:tcBorders>
          </w:tcPr>
          <w:p w14:paraId="3CB56C42" w14:textId="77777777" w:rsidR="006153C0" w:rsidRPr="004C78D8" w:rsidRDefault="006153C0" w:rsidP="00FB7C1F">
            <w:pPr>
              <w:jc w:val="left"/>
              <w:rPr>
                <w:sz w:val="20"/>
                <w:szCs w:val="20"/>
              </w:rPr>
            </w:pPr>
            <w:r w:rsidRPr="004C78D8">
              <w:rPr>
                <w:sz w:val="18"/>
                <w:szCs w:val="18"/>
              </w:rPr>
              <w:t>Probability of accessing proactive intervention under usual care by frailty category</w:t>
            </w:r>
          </w:p>
        </w:tc>
        <w:tc>
          <w:tcPr>
            <w:tcW w:w="787" w:type="pct"/>
            <w:tcBorders>
              <w:top w:val="nil"/>
              <w:bottom w:val="nil"/>
            </w:tcBorders>
          </w:tcPr>
          <w:p w14:paraId="170701D6" w14:textId="2AFD5538" w:rsidR="006153C0" w:rsidRPr="004C78D8" w:rsidRDefault="006153C0" w:rsidP="00FB7C1F">
            <w:pPr>
              <w:jc w:val="left"/>
              <w:rPr>
                <w:sz w:val="20"/>
                <w:szCs w:val="20"/>
              </w:rPr>
            </w:pPr>
            <w:r w:rsidRPr="004C78D8">
              <w:rPr>
                <w:sz w:val="18"/>
                <w:szCs w:val="18"/>
              </w:rPr>
              <w:t xml:space="preserve">10.9% - 100% (see Table </w:t>
            </w:r>
            <w:r w:rsidR="006206A1" w:rsidRPr="004C78D8">
              <w:rPr>
                <w:sz w:val="18"/>
                <w:szCs w:val="18"/>
              </w:rPr>
              <w:t>5</w:t>
            </w:r>
            <w:r w:rsidRPr="004C78D8">
              <w:rPr>
                <w:sz w:val="18"/>
                <w:szCs w:val="18"/>
              </w:rPr>
              <w:t>.2</w:t>
            </w:r>
            <w:r w:rsidR="00D91C28" w:rsidRPr="004C78D8">
              <w:rPr>
                <w:sz w:val="18"/>
                <w:szCs w:val="18"/>
              </w:rPr>
              <w:t>7</w:t>
            </w:r>
            <w:r w:rsidRPr="004C78D8">
              <w:rPr>
                <w:sz w:val="18"/>
                <w:szCs w:val="18"/>
              </w:rPr>
              <w:t>)</w:t>
            </w:r>
          </w:p>
        </w:tc>
        <w:tc>
          <w:tcPr>
            <w:tcW w:w="1411" w:type="pct"/>
            <w:tcBorders>
              <w:top w:val="nil"/>
              <w:bottom w:val="nil"/>
            </w:tcBorders>
          </w:tcPr>
          <w:p w14:paraId="02DE2AC4" w14:textId="77777777" w:rsidR="006153C0" w:rsidRPr="004C78D8" w:rsidRDefault="006153C0" w:rsidP="00FB7C1F">
            <w:pPr>
              <w:jc w:val="left"/>
              <w:rPr>
                <w:sz w:val="20"/>
                <w:szCs w:val="20"/>
              </w:rPr>
            </w:pPr>
            <w:r w:rsidRPr="004C78D8">
              <w:rPr>
                <w:sz w:val="18"/>
                <w:szCs w:val="18"/>
              </w:rPr>
              <w:t>Beta (</w:t>
            </w:r>
            <w:r w:rsidRPr="004C78D8">
              <w:rPr>
                <w:rFonts w:cs="Times New Roman"/>
                <w:sz w:val="18"/>
                <w:szCs w:val="18"/>
              </w:rPr>
              <w:t>α</w:t>
            </w:r>
            <w:r w:rsidRPr="004C78D8">
              <w:rPr>
                <w:sz w:val="18"/>
                <w:szCs w:val="18"/>
              </w:rPr>
              <w:t xml:space="preserve"> for SE around 10% of mean; </w:t>
            </w:r>
            <w:r w:rsidRPr="004C78D8">
              <w:rPr>
                <w:rFonts w:cs="Times New Roman"/>
                <w:sz w:val="18"/>
                <w:szCs w:val="18"/>
              </w:rPr>
              <w:t>β</w:t>
            </w:r>
            <w:r w:rsidRPr="004C78D8">
              <w:rPr>
                <w:sz w:val="18"/>
                <w:szCs w:val="18"/>
              </w:rPr>
              <w:t xml:space="preserve"> derived)</w:t>
            </w:r>
          </w:p>
        </w:tc>
        <w:tc>
          <w:tcPr>
            <w:tcW w:w="610" w:type="pct"/>
            <w:tcBorders>
              <w:top w:val="nil"/>
              <w:bottom w:val="nil"/>
            </w:tcBorders>
          </w:tcPr>
          <w:p w14:paraId="201B4146" w14:textId="77777777" w:rsidR="006153C0" w:rsidRPr="004C78D8" w:rsidRDefault="006153C0" w:rsidP="00FB7C1F">
            <w:pPr>
              <w:jc w:val="left"/>
              <w:rPr>
                <w:sz w:val="18"/>
                <w:szCs w:val="18"/>
              </w:rPr>
            </w:pPr>
            <w:r w:rsidRPr="004C78D8">
              <w:rPr>
                <w:sz w:val="18"/>
                <w:szCs w:val="18"/>
              </w:rPr>
              <w:t>Assumption</w:t>
            </w:r>
          </w:p>
        </w:tc>
      </w:tr>
      <w:tr w:rsidR="006153C0" w:rsidRPr="004C78D8" w14:paraId="705C84C3" w14:textId="77777777" w:rsidTr="00E35893">
        <w:tc>
          <w:tcPr>
            <w:tcW w:w="231" w:type="pct"/>
            <w:tcBorders>
              <w:top w:val="nil"/>
              <w:bottom w:val="nil"/>
            </w:tcBorders>
          </w:tcPr>
          <w:p w14:paraId="3B6374D0" w14:textId="77777777" w:rsidR="006153C0" w:rsidRPr="004C78D8" w:rsidRDefault="006153C0" w:rsidP="00FB7C1F">
            <w:pPr>
              <w:jc w:val="left"/>
              <w:rPr>
                <w:sz w:val="18"/>
                <w:szCs w:val="18"/>
              </w:rPr>
            </w:pPr>
            <w:r w:rsidRPr="004C78D8">
              <w:rPr>
                <w:sz w:val="18"/>
                <w:szCs w:val="18"/>
              </w:rPr>
              <w:t>6</w:t>
            </w:r>
          </w:p>
        </w:tc>
        <w:tc>
          <w:tcPr>
            <w:tcW w:w="1960" w:type="pct"/>
            <w:tcBorders>
              <w:top w:val="nil"/>
              <w:bottom w:val="nil"/>
            </w:tcBorders>
          </w:tcPr>
          <w:p w14:paraId="718526C7" w14:textId="77777777" w:rsidR="006153C0" w:rsidRPr="004C78D8" w:rsidRDefault="006153C0" w:rsidP="00FB7C1F">
            <w:pPr>
              <w:jc w:val="left"/>
              <w:rPr>
                <w:sz w:val="20"/>
                <w:szCs w:val="20"/>
              </w:rPr>
            </w:pPr>
            <w:r w:rsidRPr="004C78D8">
              <w:rPr>
                <w:sz w:val="18"/>
                <w:szCs w:val="18"/>
              </w:rPr>
              <w:t>Demand rate for proactive intervention under recommended care by cognitive status</w:t>
            </w:r>
          </w:p>
        </w:tc>
        <w:tc>
          <w:tcPr>
            <w:tcW w:w="787" w:type="pct"/>
            <w:tcBorders>
              <w:top w:val="nil"/>
              <w:bottom w:val="nil"/>
            </w:tcBorders>
          </w:tcPr>
          <w:p w14:paraId="1C2D8A9E" w14:textId="53BB216E" w:rsidR="006153C0" w:rsidRPr="004C78D8" w:rsidRDefault="006153C0" w:rsidP="00FB7C1F">
            <w:pPr>
              <w:jc w:val="left"/>
              <w:rPr>
                <w:sz w:val="20"/>
                <w:szCs w:val="20"/>
              </w:rPr>
            </w:pPr>
            <w:r w:rsidRPr="004C78D8">
              <w:rPr>
                <w:sz w:val="18"/>
                <w:szCs w:val="18"/>
              </w:rPr>
              <w:t xml:space="preserve">82.4%, 44.5% (see Table </w:t>
            </w:r>
            <w:r w:rsidR="006206A1" w:rsidRPr="004C78D8">
              <w:rPr>
                <w:sz w:val="18"/>
                <w:szCs w:val="18"/>
              </w:rPr>
              <w:t>5</w:t>
            </w:r>
            <w:r w:rsidRPr="004C78D8">
              <w:rPr>
                <w:sz w:val="18"/>
                <w:szCs w:val="18"/>
              </w:rPr>
              <w:t>.2</w:t>
            </w:r>
            <w:r w:rsidR="00D91C28" w:rsidRPr="004C78D8">
              <w:rPr>
                <w:sz w:val="18"/>
                <w:szCs w:val="18"/>
              </w:rPr>
              <w:t>7</w:t>
            </w:r>
            <w:r w:rsidRPr="004C78D8">
              <w:rPr>
                <w:sz w:val="18"/>
                <w:szCs w:val="18"/>
              </w:rPr>
              <w:t>)</w:t>
            </w:r>
          </w:p>
        </w:tc>
        <w:tc>
          <w:tcPr>
            <w:tcW w:w="1411" w:type="pct"/>
            <w:tcBorders>
              <w:top w:val="nil"/>
              <w:bottom w:val="nil"/>
            </w:tcBorders>
          </w:tcPr>
          <w:p w14:paraId="1A2B9FA6" w14:textId="77777777" w:rsidR="006153C0" w:rsidRPr="004C78D8" w:rsidRDefault="006153C0" w:rsidP="00FB7C1F">
            <w:pPr>
              <w:jc w:val="left"/>
              <w:rPr>
                <w:sz w:val="20"/>
                <w:szCs w:val="20"/>
              </w:rPr>
            </w:pPr>
            <w:r w:rsidRPr="004C78D8">
              <w:rPr>
                <w:sz w:val="18"/>
                <w:szCs w:val="18"/>
              </w:rPr>
              <w:t>Beta (</w:t>
            </w:r>
            <w:r w:rsidRPr="004C78D8">
              <w:rPr>
                <w:rFonts w:cs="Times New Roman"/>
                <w:sz w:val="18"/>
                <w:szCs w:val="18"/>
              </w:rPr>
              <w:t>α</w:t>
            </w:r>
            <w:r w:rsidRPr="004C78D8">
              <w:rPr>
                <w:sz w:val="18"/>
                <w:szCs w:val="18"/>
              </w:rPr>
              <w:t xml:space="preserve"> for SE around 10% of mean; </w:t>
            </w:r>
            <w:r w:rsidRPr="004C78D8">
              <w:rPr>
                <w:rFonts w:cs="Times New Roman"/>
                <w:sz w:val="18"/>
                <w:szCs w:val="18"/>
              </w:rPr>
              <w:t>β</w:t>
            </w:r>
            <w:r w:rsidRPr="004C78D8">
              <w:rPr>
                <w:sz w:val="18"/>
                <w:szCs w:val="18"/>
              </w:rPr>
              <w:t xml:space="preserve"> derived)</w:t>
            </w:r>
          </w:p>
        </w:tc>
        <w:tc>
          <w:tcPr>
            <w:tcW w:w="610" w:type="pct"/>
            <w:tcBorders>
              <w:top w:val="nil"/>
              <w:bottom w:val="nil"/>
            </w:tcBorders>
          </w:tcPr>
          <w:p w14:paraId="16986B63" w14:textId="1DB74D53" w:rsidR="006153C0" w:rsidRPr="004C78D8" w:rsidRDefault="006153C0" w:rsidP="00FB7C1F">
            <w:pPr>
              <w:jc w:val="left"/>
              <w:rPr>
                <w:sz w:val="18"/>
                <w:szCs w:val="18"/>
              </w:rPr>
            </w:pPr>
            <w:r w:rsidRPr="004C78D8">
              <w:rPr>
                <w:sz w:val="18"/>
                <w:szCs w:val="18"/>
              </w:rPr>
              <w:fldChar w:fldCharType="begin">
                <w:fldData xml:space="preserve">PEVuZE5vdGU+PENpdGU+PEF1dGhvcj5EZXZlcmFsbDwvQXV0aG9yPjxZZWFyPjIwMTg8L1llYXI+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=
</w:fldData>
              </w:fldChar>
            </w:r>
            <w:r w:rsidR="00C630FC" w:rsidRPr="004C78D8">
              <w:rPr>
                <w:sz w:val="18"/>
                <w:szCs w:val="18"/>
              </w:rPr>
              <w:instrText xml:space="preserve"> ADDIN EN.CITE </w:instrText>
            </w:r>
            <w:r w:rsidR="00C630FC" w:rsidRPr="004C78D8">
              <w:rPr>
                <w:sz w:val="18"/>
                <w:szCs w:val="18"/>
              </w:rPr>
              <w:fldChar w:fldCharType="begin">
                <w:fldData xml:space="preserve">PEVuZE5vdGU+PENpdGU+PEF1dGhvcj5EZXZlcmFsbDwvQXV0aG9yPjxZZWFyPjIwMTg8L1llYXI+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=
</w:fldData>
              </w:fldChar>
            </w:r>
            <w:r w:rsidR="00C630FC" w:rsidRPr="004C78D8">
              <w:rPr>
                <w:sz w:val="18"/>
                <w:szCs w:val="18"/>
              </w:rPr>
              <w:instrText xml:space="preserve"> ADDIN EN.CITE.DATA </w:instrText>
            </w:r>
            <w:r w:rsidR="00C630FC" w:rsidRPr="004C78D8">
              <w:rPr>
                <w:sz w:val="18"/>
                <w:szCs w:val="18"/>
              </w:rPr>
            </w:r>
            <w:r w:rsidR="00C630FC" w:rsidRPr="004C78D8">
              <w:rPr>
                <w:sz w:val="18"/>
                <w:szCs w:val="18"/>
              </w:rPr>
              <w:fldChar w:fldCharType="end"/>
            </w:r>
            <w:r w:rsidRPr="004C78D8">
              <w:rPr>
                <w:sz w:val="18"/>
                <w:szCs w:val="18"/>
              </w:rPr>
            </w:r>
            <w:r w:rsidRPr="004C78D8">
              <w:rPr>
                <w:sz w:val="18"/>
                <w:szCs w:val="18"/>
              </w:rPr>
              <w:fldChar w:fldCharType="separate"/>
            </w:r>
            <w:r w:rsidR="00C630FC" w:rsidRPr="004C78D8">
              <w:rPr>
                <w:noProof/>
                <w:sz w:val="18"/>
                <w:szCs w:val="18"/>
              </w:rPr>
              <w:t>[361]</w:t>
            </w:r>
            <w:r w:rsidRPr="004C78D8">
              <w:rPr>
                <w:sz w:val="18"/>
                <w:szCs w:val="18"/>
              </w:rPr>
              <w:fldChar w:fldCharType="end"/>
            </w:r>
          </w:p>
        </w:tc>
      </w:tr>
      <w:tr w:rsidR="006153C0" w:rsidRPr="004C78D8" w14:paraId="4510A589" w14:textId="77777777" w:rsidTr="00E35893">
        <w:tc>
          <w:tcPr>
            <w:tcW w:w="231" w:type="pct"/>
            <w:tcBorders>
              <w:top w:val="nil"/>
              <w:bottom w:val="nil"/>
            </w:tcBorders>
          </w:tcPr>
          <w:p w14:paraId="285E17D7" w14:textId="77777777" w:rsidR="006153C0" w:rsidRPr="004C78D8" w:rsidRDefault="006153C0" w:rsidP="00FB7C1F">
            <w:pPr>
              <w:jc w:val="left"/>
              <w:rPr>
                <w:sz w:val="18"/>
                <w:szCs w:val="18"/>
              </w:rPr>
            </w:pPr>
            <w:r w:rsidRPr="004C78D8">
              <w:rPr>
                <w:sz w:val="18"/>
                <w:szCs w:val="18"/>
              </w:rPr>
              <w:t>7</w:t>
            </w:r>
          </w:p>
        </w:tc>
        <w:tc>
          <w:tcPr>
            <w:tcW w:w="1960" w:type="pct"/>
            <w:tcBorders>
              <w:top w:val="nil"/>
              <w:bottom w:val="nil"/>
            </w:tcBorders>
          </w:tcPr>
          <w:p w14:paraId="3CC55545" w14:textId="77777777" w:rsidR="006153C0" w:rsidRPr="004C78D8" w:rsidRDefault="006153C0" w:rsidP="00FB7C1F">
            <w:pPr>
              <w:jc w:val="left"/>
              <w:rPr>
                <w:sz w:val="18"/>
                <w:szCs w:val="18"/>
              </w:rPr>
            </w:pPr>
            <w:r w:rsidRPr="004C78D8">
              <w:rPr>
                <w:sz w:val="18"/>
                <w:szCs w:val="18"/>
              </w:rPr>
              <w:t>Per-participant (variable) costs of multifactorial interventions</w:t>
            </w:r>
          </w:p>
        </w:tc>
        <w:tc>
          <w:tcPr>
            <w:tcW w:w="787" w:type="pct"/>
            <w:tcBorders>
              <w:top w:val="nil"/>
              <w:bottom w:val="nil"/>
            </w:tcBorders>
          </w:tcPr>
          <w:p w14:paraId="7964FA73" w14:textId="4CFE5BDE" w:rsidR="006153C0" w:rsidRPr="004C78D8" w:rsidRDefault="006153C0" w:rsidP="00FB7C1F">
            <w:pPr>
              <w:jc w:val="left"/>
              <w:rPr>
                <w:sz w:val="18"/>
                <w:szCs w:val="18"/>
              </w:rPr>
            </w:pPr>
            <w:r w:rsidRPr="004C78D8">
              <w:rPr>
                <w:sz w:val="18"/>
                <w:szCs w:val="18"/>
              </w:rPr>
              <w:t xml:space="preserve">See Table </w:t>
            </w:r>
            <w:r w:rsidR="006206A1" w:rsidRPr="004C78D8">
              <w:rPr>
                <w:sz w:val="18"/>
                <w:szCs w:val="18"/>
              </w:rPr>
              <w:t>5</w:t>
            </w:r>
            <w:r w:rsidRPr="004C78D8">
              <w:rPr>
                <w:sz w:val="18"/>
                <w:szCs w:val="18"/>
              </w:rPr>
              <w:t>.</w:t>
            </w:r>
            <w:r w:rsidR="00310480" w:rsidRPr="004C78D8">
              <w:rPr>
                <w:sz w:val="18"/>
                <w:szCs w:val="18"/>
              </w:rPr>
              <w:t>3</w:t>
            </w:r>
            <w:r w:rsidR="00D91C28" w:rsidRPr="004C78D8">
              <w:rPr>
                <w:sz w:val="18"/>
                <w:szCs w:val="18"/>
              </w:rPr>
              <w:t>2</w:t>
            </w:r>
          </w:p>
        </w:tc>
        <w:tc>
          <w:tcPr>
            <w:tcW w:w="1411" w:type="pct"/>
            <w:tcBorders>
              <w:top w:val="nil"/>
              <w:bottom w:val="nil"/>
            </w:tcBorders>
          </w:tcPr>
          <w:p w14:paraId="31E90B6F" w14:textId="77777777" w:rsidR="006153C0" w:rsidRPr="004C78D8" w:rsidRDefault="006153C0" w:rsidP="00FB7C1F">
            <w:pPr>
              <w:jc w:val="left"/>
              <w:rPr>
                <w:sz w:val="18"/>
                <w:szCs w:val="18"/>
              </w:rPr>
            </w:pPr>
            <w:r w:rsidRPr="004C78D8">
              <w:rPr>
                <w:sz w:val="18"/>
                <w:szCs w:val="18"/>
              </w:rPr>
              <w:t>Public sector cost: Gamma (</w:t>
            </w:r>
            <w:r w:rsidRPr="004C78D8">
              <w:rPr>
                <w:i/>
                <w:iCs/>
                <w:sz w:val="18"/>
                <w:szCs w:val="18"/>
              </w:rPr>
              <w:t>k</w:t>
            </w:r>
            <w:r w:rsidRPr="004C78D8">
              <w:rPr>
                <w:sz w:val="18"/>
                <w:szCs w:val="18"/>
              </w:rPr>
              <w:t xml:space="preserve"> =100; </w:t>
            </w:r>
            <w:r w:rsidRPr="004C78D8">
              <w:rPr>
                <w:rFonts w:cs="Times New Roman"/>
                <w:sz w:val="18"/>
                <w:szCs w:val="18"/>
              </w:rPr>
              <w:t>ϑ</w:t>
            </w:r>
            <w:r w:rsidRPr="004C78D8">
              <w:rPr>
                <w:sz w:val="18"/>
                <w:szCs w:val="18"/>
              </w:rPr>
              <w:t xml:space="preserve"> =Mean/</w:t>
            </w:r>
            <w:r w:rsidRPr="004C78D8">
              <w:rPr>
                <w:i/>
                <w:iCs/>
                <w:sz w:val="18"/>
                <w:szCs w:val="18"/>
              </w:rPr>
              <w:t>k</w:t>
            </w:r>
            <w:r w:rsidRPr="004C78D8">
              <w:rPr>
                <w:sz w:val="18"/>
                <w:szCs w:val="18"/>
              </w:rPr>
              <w:t>); Societal cost: Gamma (</w:t>
            </w:r>
            <w:r w:rsidRPr="004C78D8">
              <w:rPr>
                <w:i/>
                <w:iCs/>
                <w:sz w:val="18"/>
                <w:szCs w:val="18"/>
              </w:rPr>
              <w:t>k</w:t>
            </w:r>
            <w:r w:rsidRPr="004C78D8">
              <w:rPr>
                <w:sz w:val="18"/>
                <w:szCs w:val="18"/>
              </w:rPr>
              <w:t xml:space="preserve"> =25; </w:t>
            </w:r>
            <w:r w:rsidRPr="004C78D8">
              <w:rPr>
                <w:rFonts w:cs="Times New Roman"/>
                <w:sz w:val="18"/>
                <w:szCs w:val="18"/>
              </w:rPr>
              <w:t>ϑ</w:t>
            </w:r>
            <w:r w:rsidRPr="004C78D8">
              <w:rPr>
                <w:sz w:val="18"/>
                <w:szCs w:val="18"/>
              </w:rPr>
              <w:t xml:space="preserve"> =Mean/</w:t>
            </w:r>
            <w:r w:rsidRPr="004C78D8">
              <w:rPr>
                <w:i/>
                <w:iCs/>
                <w:sz w:val="18"/>
                <w:szCs w:val="18"/>
              </w:rPr>
              <w:t>k</w:t>
            </w:r>
            <w:r w:rsidRPr="004C78D8">
              <w:rPr>
                <w:sz w:val="18"/>
                <w:szCs w:val="18"/>
              </w:rPr>
              <w:t>)</w:t>
            </w:r>
          </w:p>
        </w:tc>
        <w:tc>
          <w:tcPr>
            <w:tcW w:w="610" w:type="pct"/>
            <w:tcBorders>
              <w:top w:val="nil"/>
              <w:bottom w:val="nil"/>
            </w:tcBorders>
          </w:tcPr>
          <w:p w14:paraId="54686C54" w14:textId="5C65E90C" w:rsidR="006153C0" w:rsidRPr="004C78D8" w:rsidRDefault="006153C0"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&lt;EndNote&gt;&lt;Cite&gt;&lt;Author&gt;Franklin&lt;/Author&gt;&lt;Year&gt;2019&lt;/Year&gt;&lt;RecNum&gt;395&lt;/RecNum&gt;&lt;DisplayText&gt;[337, 363]&lt;/DisplayText&gt;&lt;record&gt;&lt;rec-number&gt;395&lt;/rec-number&gt;&lt;foreign-keys&gt;&lt;key app="EN" db-id="tdtrdw9aepptzbefsat599syza29sxsd2wsp" timestamp="1612694614"&gt;395&lt;/key&gt;&lt;/foreign-keys&gt;&lt;ref-type name="Journal Article"&gt;17&lt;/ref-type&gt;&lt;contributors&gt;&lt;authors&gt;&lt;author&gt;Franklin, Matthew&lt;/author&gt;&lt;author&gt;Hunter, Rachael Maree&lt;/author&gt;&lt;/authors&gt;&lt;/contributors&gt;&lt;titles&gt;&lt;title&gt;A modelling-based economic evaluation of primary-care-based fall-risk screening followed by fall-prevention intervention: a cohort-based Markov model stratified by older age groups&lt;/title&gt;&lt;secondary-title&gt;Age and ageing&lt;/secondary-title&gt;&lt;/titles&gt;&lt;periodical&gt;&lt;full-title&gt;Age and ageing&lt;/full-title&gt;&lt;/periodical&gt;&lt;dates&gt;&lt;year&gt;2019&lt;/year&gt;&lt;/dates&gt;&lt;urls&gt;&lt;/urls&gt;&lt;/record&gt;&lt;/Cite&gt;&lt;Cite&gt;&lt;Author&gt;Boyd&lt;/Author&gt;&lt;Year&gt;2020&lt;/Year&gt;&lt;RecNum&gt;95&lt;/RecNum&gt;&lt;record&gt;&lt;rec-number&gt;95&lt;/rec-number&gt;&lt;foreign-keys&gt;&lt;key app="EN" db-id="tdtrdw9aepptzbefsat599syza29sxsd2wsp" timestamp="1598190990"&gt;95&lt;/key&gt;&lt;/foreign-keys&gt;&lt;ref-type name="Journal Article"&gt;17&lt;/ref-type&gt;&lt;contributors&gt;&lt;authors&gt;&lt;author&gt;Boyd, Matt&lt;/author&gt;&lt;author&gt;Kvizhinadze, Giorgi&lt;/author&gt;&lt;author&gt;Kho, Adeline&lt;/author&gt;&lt;author&gt;Wilson, Graham&lt;/author&gt;&lt;author&gt;Wilson, Nick&lt;/author&gt;&lt;/authors&gt;&lt;/contributors&gt;&lt;titles&gt;&lt;title&gt;Cataract surgery for falls prevention and improving vision: modelling the health gain, health system costs and cost-effectiveness in a high-income country&lt;/title&gt;&lt;secondary-title&gt;Injury prevention&lt;/secondary-title&gt;&lt;/titles&gt;&lt;periodical&gt;&lt;full-title&gt;Injury prevention&lt;/full-title&gt;&lt;/periodical&gt;&lt;pages&gt;302-309&lt;/pages&gt;&lt;volume&gt;26&lt;/volume&gt;&lt;number&gt;4&lt;/number&gt;&lt;dates&gt;&lt;year&gt;2020&lt;/year&gt;&lt;/dates&gt;&lt;isbn&gt;1353-8047&lt;/isbn&gt;&lt;urls&gt;&lt;/urls&gt;&lt;/record&gt;&lt;/Cite&gt;&lt;/EndNote&gt;</w:instrText>
            </w:r>
            <w:r w:rsidRPr="004C78D8">
              <w:rPr>
                <w:sz w:val="18"/>
                <w:szCs w:val="18"/>
              </w:rPr>
              <w:fldChar w:fldCharType="separate"/>
            </w:r>
            <w:r w:rsidR="00C630FC" w:rsidRPr="004C78D8">
              <w:rPr>
                <w:noProof/>
                <w:sz w:val="18"/>
                <w:szCs w:val="18"/>
              </w:rPr>
              <w:t>[337, 363]</w:t>
            </w:r>
            <w:r w:rsidRPr="004C78D8">
              <w:rPr>
                <w:sz w:val="18"/>
                <w:szCs w:val="18"/>
              </w:rPr>
              <w:fldChar w:fldCharType="end"/>
            </w:r>
          </w:p>
        </w:tc>
      </w:tr>
      <w:tr w:rsidR="006153C0" w:rsidRPr="004C78D8" w14:paraId="45647F14" w14:textId="77777777" w:rsidTr="00E35893">
        <w:tc>
          <w:tcPr>
            <w:tcW w:w="231" w:type="pct"/>
            <w:tcBorders>
              <w:top w:val="nil"/>
              <w:bottom w:val="nil"/>
            </w:tcBorders>
          </w:tcPr>
          <w:p w14:paraId="2AAB5C80" w14:textId="77777777" w:rsidR="006153C0" w:rsidRPr="004C78D8" w:rsidRDefault="006153C0" w:rsidP="00FB7C1F">
            <w:pPr>
              <w:jc w:val="left"/>
              <w:rPr>
                <w:sz w:val="18"/>
                <w:szCs w:val="18"/>
              </w:rPr>
            </w:pPr>
            <w:r w:rsidRPr="004C78D8">
              <w:rPr>
                <w:sz w:val="18"/>
                <w:szCs w:val="18"/>
              </w:rPr>
              <w:t>8</w:t>
            </w:r>
          </w:p>
        </w:tc>
        <w:tc>
          <w:tcPr>
            <w:tcW w:w="1960" w:type="pct"/>
            <w:tcBorders>
              <w:top w:val="nil"/>
              <w:bottom w:val="nil"/>
            </w:tcBorders>
          </w:tcPr>
          <w:p w14:paraId="0B086B47" w14:textId="77777777" w:rsidR="006153C0" w:rsidRPr="004C78D8" w:rsidRDefault="006153C0" w:rsidP="00FB7C1F">
            <w:pPr>
              <w:jc w:val="left"/>
              <w:rPr>
                <w:sz w:val="18"/>
                <w:szCs w:val="18"/>
              </w:rPr>
            </w:pPr>
            <w:r w:rsidRPr="004C78D8">
              <w:rPr>
                <w:sz w:val="18"/>
                <w:szCs w:val="18"/>
              </w:rPr>
              <w:t>Fixed cost of operating falls clinic</w:t>
            </w:r>
          </w:p>
        </w:tc>
        <w:tc>
          <w:tcPr>
            <w:tcW w:w="787" w:type="pct"/>
            <w:tcBorders>
              <w:top w:val="nil"/>
              <w:bottom w:val="nil"/>
            </w:tcBorders>
          </w:tcPr>
          <w:p w14:paraId="5D082EED" w14:textId="5517247F" w:rsidR="006153C0" w:rsidRPr="004C78D8" w:rsidRDefault="006153C0" w:rsidP="00FB7C1F">
            <w:pPr>
              <w:jc w:val="left"/>
              <w:rPr>
                <w:sz w:val="18"/>
                <w:szCs w:val="18"/>
              </w:rPr>
            </w:pPr>
            <w:r w:rsidRPr="004C78D8">
              <w:rPr>
                <w:sz w:val="18"/>
                <w:szCs w:val="18"/>
              </w:rPr>
              <w:t xml:space="preserve">See Table </w:t>
            </w:r>
            <w:r w:rsidR="006206A1" w:rsidRPr="004C78D8">
              <w:rPr>
                <w:sz w:val="18"/>
                <w:szCs w:val="18"/>
              </w:rPr>
              <w:t>5</w:t>
            </w:r>
            <w:r w:rsidRPr="004C78D8">
              <w:rPr>
                <w:sz w:val="18"/>
                <w:szCs w:val="18"/>
              </w:rPr>
              <w:t>.</w:t>
            </w:r>
            <w:r w:rsidR="00310480" w:rsidRPr="004C78D8">
              <w:rPr>
                <w:sz w:val="18"/>
                <w:szCs w:val="18"/>
              </w:rPr>
              <w:t>3</w:t>
            </w:r>
            <w:r w:rsidR="00D91C28" w:rsidRPr="004C78D8">
              <w:rPr>
                <w:sz w:val="18"/>
                <w:szCs w:val="18"/>
              </w:rPr>
              <w:t>2</w:t>
            </w:r>
          </w:p>
        </w:tc>
        <w:tc>
          <w:tcPr>
            <w:tcW w:w="1411" w:type="pct"/>
            <w:tcBorders>
              <w:top w:val="nil"/>
              <w:bottom w:val="nil"/>
            </w:tcBorders>
          </w:tcPr>
          <w:p w14:paraId="1DFD136A" w14:textId="77777777" w:rsidR="006153C0" w:rsidRPr="00972766" w:rsidRDefault="006153C0" w:rsidP="00FB7C1F">
            <w:pPr>
              <w:jc w:val="left"/>
              <w:rPr>
                <w:sz w:val="18"/>
                <w:szCs w:val="18"/>
                <w:lang w:val="sv-SE"/>
              </w:rPr>
            </w:pPr>
            <w:r w:rsidRPr="00972766">
              <w:rPr>
                <w:sz w:val="18"/>
                <w:szCs w:val="18"/>
                <w:lang w:val="sv-SE"/>
              </w:rPr>
              <w:t>Gamma (</w:t>
            </w:r>
            <w:r w:rsidRPr="00972766">
              <w:rPr>
                <w:i/>
                <w:iCs/>
                <w:sz w:val="18"/>
                <w:szCs w:val="18"/>
                <w:lang w:val="sv-SE"/>
              </w:rPr>
              <w:t>k</w:t>
            </w:r>
            <w:r w:rsidRPr="00972766">
              <w:rPr>
                <w:sz w:val="18"/>
                <w:szCs w:val="18"/>
                <w:lang w:val="sv-SE"/>
              </w:rPr>
              <w:t xml:space="preserve"> =100; </w:t>
            </w:r>
            <w:r w:rsidRPr="004C78D8">
              <w:rPr>
                <w:rFonts w:cs="Times New Roman"/>
                <w:sz w:val="18"/>
                <w:szCs w:val="18"/>
              </w:rPr>
              <w:t>ϑ</w:t>
            </w:r>
            <w:r w:rsidRPr="00972766">
              <w:rPr>
                <w:sz w:val="18"/>
                <w:szCs w:val="18"/>
                <w:lang w:val="sv-SE"/>
              </w:rPr>
              <w:t xml:space="preserve"> =Mean/</w:t>
            </w:r>
            <w:r w:rsidRPr="00972766">
              <w:rPr>
                <w:i/>
                <w:iCs/>
                <w:sz w:val="18"/>
                <w:szCs w:val="18"/>
                <w:lang w:val="sv-SE"/>
              </w:rPr>
              <w:t>k</w:t>
            </w:r>
            <w:r w:rsidRPr="00972766">
              <w:rPr>
                <w:sz w:val="18"/>
                <w:szCs w:val="18"/>
                <w:lang w:val="sv-SE"/>
              </w:rPr>
              <w:t>)</w:t>
            </w:r>
          </w:p>
        </w:tc>
        <w:tc>
          <w:tcPr>
            <w:tcW w:w="610" w:type="pct"/>
            <w:tcBorders>
              <w:top w:val="nil"/>
              <w:bottom w:val="nil"/>
            </w:tcBorders>
          </w:tcPr>
          <w:p w14:paraId="10DE90C5" w14:textId="77D0DB44" w:rsidR="006153C0" w:rsidRPr="004C78D8" w:rsidRDefault="006153C0"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&lt;EndNote&gt;&lt;Cite&gt;&lt;Author&gt;Franklin&lt;/Author&gt;&lt;Year&gt;2019&lt;/Year&gt;&lt;RecNum&gt;395&lt;/RecNum&gt;&lt;DisplayText&gt;[337, 363]&lt;/DisplayText&gt;&lt;record&gt;&lt;rec-number&gt;395&lt;/rec-number&gt;&lt;foreign-keys&gt;&lt;key app="EN" db-id="tdtrdw9aepptzbefsat599syza29sxsd2wsp" timestamp="1612694614"&gt;395&lt;/key&gt;&lt;/foreign-keys&gt;&lt;ref-type name="Journal Article"&gt;17&lt;/ref-type&gt;&lt;contributors&gt;&lt;authors&gt;&lt;author&gt;Franklin, Matthew&lt;/author&gt;&lt;author&gt;Hunter, Rachael Maree&lt;/author&gt;&lt;/authors&gt;&lt;/contributors&gt;&lt;titles&gt;&lt;title&gt;A modelling-based economic evaluation of primary-care-based fall-risk screening followed by fall-prevention intervention: a cohort-based Markov model stratified by older age groups&lt;/title&gt;&lt;secondary-title&gt;Age and ageing&lt;/secondary-title&gt;&lt;/titles&gt;&lt;periodical&gt;&lt;full-title&gt;Age and ageing&lt;/full-title&gt;&lt;/periodical&gt;&lt;dates&gt;&lt;year&gt;2019&lt;/year&gt;&lt;/dates&gt;&lt;urls&gt;&lt;/urls&gt;&lt;/record&gt;&lt;/Cite&gt;&lt;Cite&gt;&lt;Author&gt;Boyd&lt;/Author&gt;&lt;Year&gt;2020&lt;/Year&gt;&lt;RecNum&gt;95&lt;/RecNum&gt;&lt;record&gt;&lt;rec-number&gt;95&lt;/rec-number&gt;&lt;foreign-keys&gt;&lt;key app="EN" db-id="tdtrdw9aepptzbefsat599syza29sxsd2wsp" timestamp="1598190990"&gt;95&lt;/key&gt;&lt;/foreign-keys&gt;&lt;ref-type name="Journal Article"&gt;17&lt;/ref-type&gt;&lt;contributors&gt;&lt;authors&gt;&lt;author&gt;Boyd, Matt&lt;/author&gt;&lt;author&gt;Kvizhinadze, Giorgi&lt;/author&gt;&lt;author&gt;Kho, Adeline&lt;/author&gt;&lt;author&gt;Wilson, Graham&lt;/author&gt;&lt;author&gt;Wilson, Nick&lt;/author&gt;&lt;/authors&gt;&lt;/contributors&gt;&lt;titles&gt;&lt;title&gt;Cataract surgery for falls prevention and improving vision: modelling the health gain, health system costs and cost-effectiveness in a high-income country&lt;/title&gt;&lt;secondary-title&gt;Injury prevention&lt;/secondary-title&gt;&lt;/titles&gt;&lt;periodical&gt;&lt;full-title&gt;Injury prevention&lt;/full-title&gt;&lt;/periodical&gt;&lt;pages&gt;302-309&lt;/pages&gt;&lt;volume&gt;26&lt;/volume&gt;&lt;number&gt;4&lt;/number&gt;&lt;dates&gt;&lt;year&gt;2020&lt;/year&gt;&lt;/dates&gt;&lt;isbn&gt;1353-8047&lt;/isbn&gt;&lt;urls&gt;&lt;/urls&gt;&lt;/record&gt;&lt;/Cite&gt;&lt;/EndNote&gt;</w:instrText>
            </w:r>
            <w:r w:rsidRPr="004C78D8">
              <w:rPr>
                <w:sz w:val="18"/>
                <w:szCs w:val="18"/>
              </w:rPr>
              <w:fldChar w:fldCharType="separate"/>
            </w:r>
            <w:r w:rsidR="00C630FC" w:rsidRPr="004C78D8">
              <w:rPr>
                <w:noProof/>
                <w:sz w:val="18"/>
                <w:szCs w:val="18"/>
              </w:rPr>
              <w:t>[337, 363]</w:t>
            </w:r>
            <w:r w:rsidRPr="004C78D8">
              <w:rPr>
                <w:sz w:val="18"/>
                <w:szCs w:val="18"/>
              </w:rPr>
              <w:fldChar w:fldCharType="end"/>
            </w:r>
          </w:p>
        </w:tc>
      </w:tr>
      <w:tr w:rsidR="006153C0" w:rsidRPr="004C78D8" w14:paraId="26F24598" w14:textId="77777777" w:rsidTr="00E35893">
        <w:tc>
          <w:tcPr>
            <w:tcW w:w="231" w:type="pct"/>
            <w:tcBorders>
              <w:top w:val="nil"/>
              <w:bottom w:val="nil"/>
            </w:tcBorders>
          </w:tcPr>
          <w:p w14:paraId="3B6BEDDE" w14:textId="77777777" w:rsidR="006153C0" w:rsidRPr="004C78D8" w:rsidRDefault="006153C0" w:rsidP="00FB7C1F">
            <w:pPr>
              <w:jc w:val="left"/>
              <w:rPr>
                <w:sz w:val="18"/>
                <w:szCs w:val="18"/>
              </w:rPr>
            </w:pPr>
            <w:r w:rsidRPr="004C78D8">
              <w:rPr>
                <w:sz w:val="18"/>
                <w:szCs w:val="18"/>
              </w:rPr>
              <w:t>9</w:t>
            </w:r>
          </w:p>
        </w:tc>
        <w:tc>
          <w:tcPr>
            <w:tcW w:w="1960" w:type="pct"/>
            <w:tcBorders>
              <w:top w:val="nil"/>
              <w:bottom w:val="nil"/>
            </w:tcBorders>
          </w:tcPr>
          <w:p w14:paraId="3691420E" w14:textId="77777777" w:rsidR="006153C0" w:rsidRPr="004C78D8" w:rsidRDefault="006153C0" w:rsidP="00FB7C1F">
            <w:pPr>
              <w:jc w:val="left"/>
              <w:rPr>
                <w:sz w:val="18"/>
                <w:szCs w:val="18"/>
              </w:rPr>
            </w:pPr>
            <w:r w:rsidRPr="004C78D8">
              <w:rPr>
                <w:sz w:val="18"/>
                <w:szCs w:val="18"/>
              </w:rPr>
              <w:t>Per-participant (variable) costs of self-referred interventions</w:t>
            </w:r>
          </w:p>
        </w:tc>
        <w:tc>
          <w:tcPr>
            <w:tcW w:w="787" w:type="pct"/>
            <w:tcBorders>
              <w:top w:val="nil"/>
              <w:bottom w:val="nil"/>
            </w:tcBorders>
          </w:tcPr>
          <w:p w14:paraId="7D9FD5D8" w14:textId="73DFF599" w:rsidR="006153C0" w:rsidRPr="004C78D8" w:rsidRDefault="006153C0" w:rsidP="00FB7C1F">
            <w:pPr>
              <w:jc w:val="left"/>
              <w:rPr>
                <w:sz w:val="18"/>
                <w:szCs w:val="18"/>
              </w:rPr>
            </w:pPr>
            <w:r w:rsidRPr="004C78D8">
              <w:rPr>
                <w:sz w:val="18"/>
                <w:szCs w:val="18"/>
              </w:rPr>
              <w:t xml:space="preserve">See Table </w:t>
            </w:r>
            <w:r w:rsidR="006206A1" w:rsidRPr="004C78D8">
              <w:rPr>
                <w:sz w:val="18"/>
                <w:szCs w:val="18"/>
              </w:rPr>
              <w:t>5</w:t>
            </w:r>
            <w:r w:rsidRPr="004C78D8">
              <w:rPr>
                <w:sz w:val="18"/>
                <w:szCs w:val="18"/>
              </w:rPr>
              <w:t>.3</w:t>
            </w:r>
            <w:r w:rsidR="00D91C28" w:rsidRPr="004C78D8">
              <w:rPr>
                <w:sz w:val="18"/>
                <w:szCs w:val="18"/>
              </w:rPr>
              <w:t>4</w:t>
            </w:r>
          </w:p>
        </w:tc>
        <w:tc>
          <w:tcPr>
            <w:tcW w:w="1411" w:type="pct"/>
            <w:tcBorders>
              <w:top w:val="nil"/>
              <w:bottom w:val="nil"/>
            </w:tcBorders>
          </w:tcPr>
          <w:p w14:paraId="77DBB999" w14:textId="77777777" w:rsidR="006153C0" w:rsidRPr="004C78D8" w:rsidRDefault="006153C0" w:rsidP="00FB7C1F">
            <w:pPr>
              <w:jc w:val="left"/>
              <w:rPr>
                <w:sz w:val="18"/>
                <w:szCs w:val="18"/>
              </w:rPr>
            </w:pPr>
            <w:r w:rsidRPr="004C78D8">
              <w:rPr>
                <w:sz w:val="18"/>
                <w:szCs w:val="18"/>
              </w:rPr>
              <w:t>Public sector cost: Gamma (</w:t>
            </w:r>
            <w:r w:rsidRPr="004C78D8">
              <w:rPr>
                <w:i/>
                <w:iCs/>
                <w:sz w:val="18"/>
                <w:szCs w:val="18"/>
              </w:rPr>
              <w:t>k</w:t>
            </w:r>
            <w:r w:rsidRPr="004C78D8">
              <w:rPr>
                <w:sz w:val="18"/>
                <w:szCs w:val="18"/>
              </w:rPr>
              <w:t xml:space="preserve"> =100; </w:t>
            </w:r>
            <w:r w:rsidRPr="004C78D8">
              <w:rPr>
                <w:rFonts w:cs="Times New Roman"/>
                <w:sz w:val="18"/>
                <w:szCs w:val="18"/>
              </w:rPr>
              <w:t>ϑ</w:t>
            </w:r>
            <w:r w:rsidRPr="004C78D8">
              <w:rPr>
                <w:sz w:val="18"/>
                <w:szCs w:val="18"/>
              </w:rPr>
              <w:t xml:space="preserve"> =Mean/</w:t>
            </w:r>
            <w:r w:rsidRPr="004C78D8">
              <w:rPr>
                <w:i/>
                <w:iCs/>
                <w:sz w:val="18"/>
                <w:szCs w:val="18"/>
              </w:rPr>
              <w:t>k</w:t>
            </w:r>
            <w:r w:rsidRPr="004C78D8">
              <w:rPr>
                <w:sz w:val="18"/>
                <w:szCs w:val="18"/>
              </w:rPr>
              <w:t>); Societal cost: Gamma (</w:t>
            </w:r>
            <w:r w:rsidRPr="004C78D8">
              <w:rPr>
                <w:i/>
                <w:iCs/>
                <w:sz w:val="18"/>
                <w:szCs w:val="18"/>
              </w:rPr>
              <w:t>k</w:t>
            </w:r>
            <w:r w:rsidRPr="004C78D8">
              <w:rPr>
                <w:sz w:val="18"/>
                <w:szCs w:val="18"/>
              </w:rPr>
              <w:t xml:space="preserve"> =25; </w:t>
            </w:r>
            <w:r w:rsidRPr="004C78D8">
              <w:rPr>
                <w:rFonts w:cs="Times New Roman"/>
                <w:sz w:val="18"/>
                <w:szCs w:val="18"/>
              </w:rPr>
              <w:t>ϑ</w:t>
            </w:r>
            <w:r w:rsidRPr="004C78D8">
              <w:rPr>
                <w:sz w:val="18"/>
                <w:szCs w:val="18"/>
              </w:rPr>
              <w:t xml:space="preserve"> =Mean/</w:t>
            </w:r>
            <w:r w:rsidRPr="004C78D8">
              <w:rPr>
                <w:i/>
                <w:iCs/>
                <w:sz w:val="18"/>
                <w:szCs w:val="18"/>
              </w:rPr>
              <w:t>k</w:t>
            </w:r>
            <w:r w:rsidRPr="004C78D8">
              <w:rPr>
                <w:sz w:val="18"/>
                <w:szCs w:val="18"/>
              </w:rPr>
              <w:t>)</w:t>
            </w:r>
          </w:p>
        </w:tc>
        <w:tc>
          <w:tcPr>
            <w:tcW w:w="610" w:type="pct"/>
            <w:tcBorders>
              <w:top w:val="nil"/>
              <w:bottom w:val="nil"/>
            </w:tcBorders>
          </w:tcPr>
          <w:p w14:paraId="436C25C8" w14:textId="7CFABC8E" w:rsidR="006153C0" w:rsidRPr="004C78D8" w:rsidRDefault="006153C0" w:rsidP="00FB7C1F">
            <w:pPr>
              <w:jc w:val="left"/>
              <w:rPr>
                <w:sz w:val="18"/>
                <w:szCs w:val="18"/>
              </w:rPr>
            </w:pPr>
            <w:r w:rsidRPr="004C78D8">
              <w:rPr>
                <w:sz w:val="18"/>
                <w:szCs w:val="18"/>
              </w:rPr>
              <w:fldChar w:fldCharType="begin"/>
            </w:r>
            <w:r w:rsidR="00C630FC" w:rsidRPr="004C78D8">
              <w:rPr>
                <w:sz w:val="18"/>
                <w:szCs w:val="18"/>
              </w:rPr>
              <w:instrText xml:space="preserve"> ADDIN EN.CITE &lt;EndNote&gt;&lt;Cite&gt;&lt;Author&gt;Franklin&lt;/Author&gt;&lt;Year&gt;2019&lt;/Year&gt;&lt;RecNum&gt;395&lt;/RecNum&gt;&lt;DisplayText&gt;[337, 363]&lt;/DisplayText&gt;&lt;record&gt;&lt;rec-number&gt;395&lt;/rec-number&gt;&lt;foreign-keys&gt;&lt;key app="EN" db-id="tdtrdw9aepptzbefsat599syza29sxsd2wsp" timestamp="1612694614"&gt;395&lt;/key&gt;&lt;/foreign-keys&gt;&lt;ref-type name="Journal Article"&gt;17&lt;/ref-type&gt;&lt;contributors&gt;&lt;authors&gt;&lt;author&gt;Franklin, Matthew&lt;/author&gt;&lt;author&gt;Hunter, Rachael Maree&lt;/author&gt;&lt;/authors&gt;&lt;/contributors&gt;&lt;titles&gt;&lt;title&gt;A modelling-based economic evaluation of primary-care-based fall-risk screening followed by fall-prevention intervention: a cohort-based Markov model stratified by older age groups&lt;/title&gt;&lt;secondary-title&gt;Age and ageing&lt;/secondary-title&gt;&lt;/titles&gt;&lt;periodical&gt;&lt;full-title&gt;Age and ageing&lt;/full-title&gt;&lt;/periodical&gt;&lt;dates&gt;&lt;year&gt;2019&lt;/year&gt;&lt;/dates&gt;&lt;urls&gt;&lt;/urls&gt;&lt;/record&gt;&lt;/Cite&gt;&lt;Cite&gt;&lt;Author&gt;Boyd&lt;/Author&gt;&lt;Year&gt;2020&lt;/Year&gt;&lt;RecNum&gt;95&lt;/RecNum&gt;&lt;record&gt;&lt;rec-number&gt;95&lt;/rec-number&gt;&lt;foreign-keys&gt;&lt;key app="EN" db-id="tdtrdw9aepptzbefsat599syza29sxsd2wsp" timestamp="1598190990"&gt;95&lt;/key&gt;&lt;/foreign-keys&gt;&lt;ref-type name="Journal Article"&gt;17&lt;/ref-type&gt;&lt;contributors&gt;&lt;authors&gt;&lt;author&gt;Boyd, Matt&lt;/author&gt;&lt;author&gt;Kvizhinadze, Giorgi&lt;/author&gt;&lt;author&gt;Kho, Adeline&lt;/author&gt;&lt;author&gt;Wilson, Graham&lt;/author&gt;&lt;author&gt;Wilson, Nick&lt;/author&gt;&lt;/authors&gt;&lt;/contributors&gt;&lt;titles&gt;&lt;title&gt;Cataract surgery for falls prevention and improving vision: modelling the health gain, health system costs and cost-effectiveness in a high-income country&lt;/title&gt;&lt;secondary-title&gt;Injury prevention&lt;/secondary-title&gt;&lt;/titles&gt;&lt;periodical&gt;&lt;full-title&gt;Injury prevention&lt;/full-title&gt;&lt;/periodical&gt;&lt;pages&gt;302-309&lt;/pages&gt;&lt;volume&gt;26&lt;/volume&gt;&lt;number&gt;4&lt;/number&gt;&lt;dates&gt;&lt;year&gt;2020&lt;/year&gt;&lt;/dates&gt;&lt;isbn&gt;1353-8047&lt;/isbn&gt;&lt;urls&gt;&lt;/urls&gt;&lt;/record&gt;&lt;/Cite&gt;&lt;/EndNote&gt;</w:instrText>
            </w:r>
            <w:r w:rsidRPr="004C78D8">
              <w:rPr>
                <w:sz w:val="18"/>
                <w:szCs w:val="18"/>
              </w:rPr>
              <w:fldChar w:fldCharType="separate"/>
            </w:r>
            <w:r w:rsidR="00C630FC" w:rsidRPr="004C78D8">
              <w:rPr>
                <w:noProof/>
                <w:sz w:val="18"/>
                <w:szCs w:val="18"/>
              </w:rPr>
              <w:t>[337, 363]</w:t>
            </w:r>
            <w:r w:rsidRPr="004C78D8">
              <w:rPr>
                <w:sz w:val="18"/>
                <w:szCs w:val="18"/>
              </w:rPr>
              <w:fldChar w:fldCharType="end"/>
            </w:r>
          </w:p>
        </w:tc>
      </w:tr>
      <w:tr w:rsidR="006153C0" w:rsidRPr="004C78D8" w14:paraId="0B92D3FA" w14:textId="77777777" w:rsidTr="00E35893">
        <w:tc>
          <w:tcPr>
            <w:tcW w:w="231" w:type="pct"/>
            <w:tcBorders>
              <w:top w:val="nil"/>
            </w:tcBorders>
          </w:tcPr>
          <w:p w14:paraId="3764AD30" w14:textId="77777777" w:rsidR="006153C0" w:rsidRPr="004C78D8" w:rsidRDefault="006153C0" w:rsidP="00FB7C1F">
            <w:pPr>
              <w:jc w:val="left"/>
              <w:rPr>
                <w:sz w:val="18"/>
                <w:szCs w:val="18"/>
              </w:rPr>
            </w:pPr>
            <w:r w:rsidRPr="004C78D8">
              <w:rPr>
                <w:sz w:val="18"/>
                <w:szCs w:val="18"/>
              </w:rPr>
              <w:t>10</w:t>
            </w:r>
          </w:p>
        </w:tc>
        <w:tc>
          <w:tcPr>
            <w:tcW w:w="1960" w:type="pct"/>
            <w:tcBorders>
              <w:top w:val="nil"/>
            </w:tcBorders>
          </w:tcPr>
          <w:p w14:paraId="2C54E387" w14:textId="77777777" w:rsidR="006153C0" w:rsidRPr="004C78D8" w:rsidRDefault="006153C0" w:rsidP="00FB7C1F">
            <w:pPr>
              <w:jc w:val="left"/>
              <w:rPr>
                <w:sz w:val="18"/>
                <w:szCs w:val="18"/>
              </w:rPr>
            </w:pPr>
            <w:r w:rsidRPr="004C78D8">
              <w:rPr>
                <w:sz w:val="18"/>
                <w:szCs w:val="18"/>
              </w:rPr>
              <w:t>Intervention efficacies</w:t>
            </w:r>
          </w:p>
        </w:tc>
        <w:tc>
          <w:tcPr>
            <w:tcW w:w="787" w:type="pct"/>
            <w:tcBorders>
              <w:top w:val="nil"/>
            </w:tcBorders>
          </w:tcPr>
          <w:p w14:paraId="4FA98AC2" w14:textId="71DDEA23" w:rsidR="006153C0" w:rsidRPr="004C78D8" w:rsidRDefault="006153C0" w:rsidP="00FB7C1F">
            <w:pPr>
              <w:jc w:val="left"/>
              <w:rPr>
                <w:sz w:val="18"/>
                <w:szCs w:val="18"/>
              </w:rPr>
            </w:pPr>
            <w:r w:rsidRPr="004C78D8">
              <w:rPr>
                <w:sz w:val="18"/>
                <w:szCs w:val="18"/>
              </w:rPr>
              <w:t xml:space="preserve">See Table </w:t>
            </w:r>
            <w:r w:rsidR="006206A1" w:rsidRPr="004C78D8">
              <w:rPr>
                <w:sz w:val="18"/>
                <w:szCs w:val="18"/>
              </w:rPr>
              <w:t>5</w:t>
            </w:r>
            <w:r w:rsidRPr="004C78D8">
              <w:rPr>
                <w:sz w:val="18"/>
                <w:szCs w:val="18"/>
              </w:rPr>
              <w:t>.3</w:t>
            </w:r>
            <w:r w:rsidR="00D91C28" w:rsidRPr="004C78D8">
              <w:rPr>
                <w:sz w:val="18"/>
                <w:szCs w:val="18"/>
              </w:rPr>
              <w:t>5</w:t>
            </w:r>
          </w:p>
        </w:tc>
        <w:tc>
          <w:tcPr>
            <w:tcW w:w="1411" w:type="pct"/>
            <w:tcBorders>
              <w:top w:val="nil"/>
            </w:tcBorders>
          </w:tcPr>
          <w:p w14:paraId="363D10B7" w14:textId="1AB6B4B2" w:rsidR="006153C0" w:rsidRPr="004C78D8" w:rsidRDefault="006153C0" w:rsidP="00FB7C1F">
            <w:pPr>
              <w:jc w:val="left"/>
              <w:rPr>
                <w:sz w:val="18"/>
                <w:szCs w:val="18"/>
              </w:rPr>
            </w:pPr>
            <w:r w:rsidRPr="004C78D8">
              <w:rPr>
                <w:sz w:val="18"/>
                <w:szCs w:val="18"/>
              </w:rPr>
              <w:t xml:space="preserve">Lognormal (SE as reported by RCT or derived from </w:t>
            </w:r>
            <w:r w:rsidR="00C30141" w:rsidRPr="004C78D8">
              <w:rPr>
                <w:sz w:val="18"/>
                <w:szCs w:val="18"/>
              </w:rPr>
              <w:t>95% CInt</w:t>
            </w:r>
            <w:r w:rsidRPr="004C78D8">
              <w:rPr>
                <w:sz w:val="18"/>
                <w:szCs w:val="18"/>
              </w:rPr>
              <w:t>)</w:t>
            </w:r>
          </w:p>
        </w:tc>
        <w:tc>
          <w:tcPr>
            <w:tcW w:w="610" w:type="pct"/>
            <w:tcBorders>
              <w:top w:val="nil"/>
            </w:tcBorders>
          </w:tcPr>
          <w:p w14:paraId="5FB706F5" w14:textId="696C2EC8" w:rsidR="006153C0" w:rsidRPr="004C78D8" w:rsidRDefault="006153C0" w:rsidP="00FB7C1F">
            <w:pPr>
              <w:jc w:val="left"/>
              <w:rPr>
                <w:sz w:val="18"/>
                <w:szCs w:val="18"/>
              </w:rPr>
            </w:pPr>
            <w:r w:rsidRPr="004C78D8">
              <w:rPr>
                <w:sz w:val="18"/>
                <w:szCs w:val="18"/>
              </w:rPr>
              <w:t xml:space="preserve">See Table </w:t>
            </w:r>
            <w:r w:rsidR="006206A1" w:rsidRPr="004C78D8">
              <w:rPr>
                <w:sz w:val="18"/>
                <w:szCs w:val="18"/>
              </w:rPr>
              <w:t>5</w:t>
            </w:r>
            <w:r w:rsidRPr="004C78D8">
              <w:rPr>
                <w:sz w:val="18"/>
                <w:szCs w:val="18"/>
              </w:rPr>
              <w:t>.3</w:t>
            </w:r>
            <w:r w:rsidR="00D91C28" w:rsidRPr="004C78D8">
              <w:rPr>
                <w:sz w:val="18"/>
                <w:szCs w:val="18"/>
              </w:rPr>
              <w:t>5</w:t>
            </w:r>
          </w:p>
        </w:tc>
      </w:tr>
      <w:tr w:rsidR="006153C0" w:rsidRPr="004C78D8" w14:paraId="634AD6E5" w14:textId="77777777" w:rsidTr="00E35893">
        <w:tc>
          <w:tcPr>
            <w:tcW w:w="5000" w:type="pct"/>
            <w:gridSpan w:val="5"/>
          </w:tcPr>
          <w:p w14:paraId="1ADAD1AC" w14:textId="6972C045" w:rsidR="006153C0" w:rsidRPr="004C78D8" w:rsidRDefault="00D10D5E" w:rsidP="00FB7C1F">
            <w:pPr>
              <w:rPr>
                <w:rFonts w:cs="Times New Roman"/>
                <w:sz w:val="18"/>
                <w:szCs w:val="18"/>
              </w:rPr>
            </w:pPr>
            <w:r w:rsidRPr="004C78D8">
              <w:rPr>
                <w:rFonts w:cs="Times New Roman"/>
                <w:b/>
                <w:bCs/>
                <w:sz w:val="18"/>
                <w:szCs w:val="18"/>
              </w:rPr>
              <w:t>Abbreviation</w:t>
            </w:r>
            <w:r w:rsidR="006153C0" w:rsidRPr="004C78D8">
              <w:rPr>
                <w:rFonts w:cs="Times New Roman"/>
                <w:b/>
                <w:bCs/>
                <w:sz w:val="18"/>
                <w:szCs w:val="18"/>
              </w:rPr>
              <w:t>:</w:t>
            </w:r>
            <w:r w:rsidR="006153C0" w:rsidRPr="004C78D8">
              <w:rPr>
                <w:rFonts w:cs="Times New Roman"/>
                <w:sz w:val="18"/>
                <w:szCs w:val="18"/>
              </w:rPr>
              <w:t xml:space="preserve"> CI</w:t>
            </w:r>
            <w:r w:rsidR="00D91C28" w:rsidRPr="004C78D8">
              <w:rPr>
                <w:rFonts w:cs="Times New Roman"/>
                <w:sz w:val="18"/>
                <w:szCs w:val="18"/>
              </w:rPr>
              <w:t>nt</w:t>
            </w:r>
            <w:r w:rsidR="006153C0" w:rsidRPr="004C78D8">
              <w:rPr>
                <w:rFonts w:cs="Times New Roman"/>
                <w:sz w:val="18"/>
                <w:szCs w:val="18"/>
              </w:rPr>
              <w:t>: confidence interval; MA fall: fall requiring medical attention; OOP: out-of-pocket; QALY: quality-adjusted life year; RCT: randomised controlled trial; SE: standard error; SES: socioeconomic status</w:t>
            </w:r>
          </w:p>
          <w:p w14:paraId="57AA81A2" w14:textId="77777777" w:rsidR="006153C0" w:rsidRPr="004C78D8" w:rsidRDefault="006153C0" w:rsidP="00FB7C1F">
            <w:pPr>
              <w:rPr>
                <w:rFonts w:cs="Times New Roman"/>
                <w:sz w:val="18"/>
                <w:szCs w:val="18"/>
              </w:rPr>
            </w:pPr>
            <w:r w:rsidRPr="004C78D8">
              <w:rPr>
                <w:sz w:val="18"/>
                <w:szCs w:val="18"/>
                <w:vertAlign w:val="superscript"/>
              </w:rPr>
              <w:t>1</w:t>
            </w:r>
            <w:r w:rsidRPr="004C78D8">
              <w:rPr>
                <w:sz w:val="18"/>
                <w:szCs w:val="18"/>
              </w:rPr>
              <w:t xml:space="preserve"> </w:t>
            </w:r>
            <w:r w:rsidRPr="004C78D8">
              <w:rPr>
                <w:i/>
                <w:iCs/>
                <w:sz w:val="18"/>
                <w:szCs w:val="18"/>
              </w:rPr>
              <w:t xml:space="preserve">k </w:t>
            </w:r>
            <w:r w:rsidRPr="004C78D8">
              <w:rPr>
                <w:sz w:val="18"/>
                <w:szCs w:val="18"/>
              </w:rPr>
              <w:t xml:space="preserve">is the shape parameter, and its smaller value means greater skew for the Gamma distribution; </w:t>
            </w:r>
            <w:r w:rsidRPr="004C78D8">
              <w:rPr>
                <w:rFonts w:cs="Times New Roman"/>
                <w:sz w:val="18"/>
                <w:szCs w:val="18"/>
              </w:rPr>
              <w:t>ϑ is the scale parameter.</w:t>
            </w:r>
          </w:p>
          <w:p w14:paraId="433C0F00" w14:textId="73C56727" w:rsidR="006153C0" w:rsidRPr="004C78D8" w:rsidRDefault="006153C0" w:rsidP="00FB7C1F">
            <w:pPr>
              <w:rPr>
                <w:rFonts w:cs="Times New Roman"/>
                <w:sz w:val="18"/>
                <w:szCs w:val="18"/>
              </w:rPr>
            </w:pPr>
            <w:r w:rsidRPr="004C78D8">
              <w:rPr>
                <w:rFonts w:cs="Times New Roman"/>
                <w:sz w:val="18"/>
                <w:szCs w:val="18"/>
                <w:vertAlign w:val="superscript"/>
              </w:rPr>
              <w:t>2</w:t>
            </w:r>
            <w:r w:rsidRPr="004C78D8">
              <w:rPr>
                <w:rFonts w:cs="Times New Roman"/>
                <w:sz w:val="18"/>
                <w:szCs w:val="18"/>
              </w:rPr>
              <w:t xml:space="preserve"> No distributional information was found for productivity values. Since Sach (2007)’s informal caregiving cost was estimated using human capital approach </w:t>
            </w:r>
            <w:r w:rsidRPr="004C78D8">
              <w:rPr>
                <w:rFonts w:cs="Times New Roman"/>
                <w:sz w:val="18"/>
                <w:szCs w:val="18"/>
              </w:rPr>
              <w:fldChar w:fldCharType="begin"/>
            </w:r>
            <w:r w:rsidR="00C630FC" w:rsidRPr="004C78D8">
              <w:rPr>
                <w:rFonts w:cs="Times New Roman"/>
                <w:sz w:val="18"/>
                <w:szCs w:val="18"/>
              </w:rPr>
              <w:instrText xml:space="preserve"> ADDIN EN.CITE &lt;EndNote&gt;&lt;Cite&gt;&lt;Author&gt;Sach&lt;/Author&gt;&lt;Year&gt;2007&lt;/Year&gt;&lt;RecNum&gt;354&lt;/RecNum&gt;&lt;DisplayText&gt;[349]&lt;/DisplayText&gt;&lt;record&gt;&lt;rec-number&gt;354&lt;/rec-number&gt;&lt;foreign-keys&gt;&lt;key app="EN" db-id="tdtrdw9aepptzbefsat599syza29sxsd2wsp" timestamp="1612212070"&gt;354&lt;/key&gt;&lt;/foreign-keys&gt;&lt;ref-type name="Journal Article"&gt;17&lt;/ref-type&gt;&lt;contributors&gt;&lt;authors&gt;&lt;author&gt;Sach, T. H.&lt;/author&gt;&lt;author&gt;Foss, A. J.&lt;/author&gt;&lt;author&gt;Gregson, R. M.&lt;/author&gt;&lt;author&gt;Zaman, A.&lt;/author&gt;&lt;author&gt;Osborn, F.&lt;/author&gt;&lt;author&gt;Masud, T.&lt;/author&gt;&lt;author&gt;Harwood, R. H.&lt;/author&gt;&lt;/authors&gt;&lt;/contributors&gt;&lt;auth-address&gt;School of Chemical Sciences and Pharmacy, University of East Anglia, Norwich NR4 7TJ, UK. T.Sach@uea.ac.uk&lt;/auth-address&gt;&lt;titles&gt;&lt;title&gt;Falls and health status in elderly women following first eye cataract surgery: an economic evaluation conducted alongside a randomised controlled trial&lt;/title&gt;&lt;secondary-title&gt;Br J Ophthalmol&lt;/secondary-title&gt;&lt;/titles&gt;&lt;periodical&gt;&lt;full-title&gt;Br J Ophthalmol&lt;/full-title&gt;&lt;/periodical&gt;&lt;pages&gt;1675-9&lt;/pages&gt;&lt;volume&gt;91&lt;/volume&gt;&lt;number&gt;12&lt;/number&gt;&lt;keywords&gt;&lt;keyword&gt;*Accidental Falls/prevention &amp;amp; control&lt;/keyword&gt;&lt;keyword&gt;Aged&lt;/keyword&gt;&lt;keyword&gt;Cataract/physiopathology&lt;/keyword&gt;&lt;keyword&gt;Cataract Extraction/*economics&lt;/keyword&gt;&lt;keyword&gt;Cost-Benefit Analysis&lt;/keyword&gt;&lt;keyword&gt;Female&lt;/keyword&gt;&lt;keyword&gt;Health Care Costs&lt;/keyword&gt;&lt;keyword&gt;*Health Status&lt;/keyword&gt;&lt;keyword&gt;Humans&lt;/keyword&gt;&lt;keyword&gt;Models, Economic&lt;/keyword&gt;&lt;keyword&gt;Postoperative Period&lt;/keyword&gt;&lt;keyword&gt;Quality-Adjusted Life Years&lt;/keyword&gt;&lt;keyword&gt;Visual Acuity&lt;/keyword&gt;&lt;/keywords&gt;&lt;dates&gt;&lt;year&gt;2007&lt;/year&gt;&lt;pub-dates&gt;&lt;date&gt;Dec&lt;/date&gt;&lt;/pub-dates&gt;&lt;/dates&gt;&lt;isbn&gt;1468-2079 (Electronic)&amp;#xD;0007-1161 (Linking)&lt;/isbn&gt;&lt;accession-num&gt;17585002&lt;/accession-num&gt;&lt;urls&gt;&lt;related-urls&gt;&lt;url&gt;https://www.ncbi.nlm.nih.gov/pubmed/17585002&lt;/url&gt;&lt;/related-urls&gt;&lt;/urls&gt;&lt;custom2&gt;PMC2095519&lt;/custom2&gt;&lt;electronic-resource-num&gt;10.1136/bjo.2007.118687&lt;/electronic-resource-num&gt;&lt;/record&gt;&lt;/Cite&gt;&lt;/EndNote&gt;</w:instrText>
            </w:r>
            <w:r w:rsidRPr="004C78D8">
              <w:rPr>
                <w:rFonts w:cs="Times New Roman"/>
                <w:sz w:val="18"/>
                <w:szCs w:val="18"/>
              </w:rPr>
              <w:fldChar w:fldCharType="separate"/>
            </w:r>
            <w:r w:rsidR="00C630FC" w:rsidRPr="004C78D8">
              <w:rPr>
                <w:rFonts w:cs="Times New Roman"/>
                <w:noProof/>
                <w:sz w:val="18"/>
                <w:szCs w:val="18"/>
              </w:rPr>
              <w:t>[349]</w:t>
            </w:r>
            <w:r w:rsidRPr="004C78D8">
              <w:rPr>
                <w:rFonts w:cs="Times New Roman"/>
                <w:sz w:val="18"/>
                <w:szCs w:val="18"/>
              </w:rPr>
              <w:fldChar w:fldCharType="end"/>
            </w:r>
            <w:r w:rsidRPr="004C78D8">
              <w:rPr>
                <w:rFonts w:cs="Times New Roman"/>
                <w:sz w:val="18"/>
                <w:szCs w:val="18"/>
              </w:rPr>
              <w:t xml:space="preserve">, its distributional information was assumed to apply to productivity. </w:t>
            </w:r>
          </w:p>
          <w:p w14:paraId="72184318" w14:textId="77777777" w:rsidR="006153C0" w:rsidRPr="004C78D8" w:rsidRDefault="006153C0" w:rsidP="00FB7C1F">
            <w:pPr>
              <w:rPr>
                <w:rFonts w:cs="Times New Roman"/>
                <w:sz w:val="18"/>
                <w:szCs w:val="18"/>
              </w:rPr>
            </w:pPr>
            <w:r w:rsidRPr="004C78D8">
              <w:rPr>
                <w:rFonts w:cs="Times New Roman"/>
                <w:sz w:val="18"/>
                <w:szCs w:val="18"/>
                <w:vertAlign w:val="superscript"/>
              </w:rPr>
              <w:t>3</w:t>
            </w:r>
            <w:r w:rsidRPr="004C78D8">
              <w:rPr>
                <w:rFonts w:cs="Times New Roman"/>
                <w:sz w:val="18"/>
                <w:szCs w:val="18"/>
              </w:rPr>
              <w:t xml:space="preserve"> Both α and β are positive shape parameters; </w:t>
            </w:r>
            <m:oMath>
              <m:r>
                <w:rPr>
                  <w:rFonts w:ascii="Cambria Math" w:hAnsi="Cambria Math" w:cs="Times New Roman"/>
                  <w:sz w:val="18"/>
                  <w:szCs w:val="18"/>
                </w:rPr>
                <m:t xml:space="preserve">β= </m:t>
              </m:r>
              <m:f>
                <m:fPr>
                  <m:type m:val="lin"/>
                  <m:ctrlPr>
                    <w:rPr>
                      <w:rFonts w:ascii="Cambria Math" w:hAnsi="Cambria Math" w:cs="Times New Roman"/>
                      <w:i/>
                      <w:sz w:val="18"/>
                      <w:szCs w:val="18"/>
                    </w:rPr>
                  </m:ctrlPr>
                </m:fPr>
                <m:num>
                  <m:r>
                    <w:rPr>
                      <w:rFonts w:ascii="Cambria Math" w:hAnsi="Cambria Math" w:cs="Times New Roman"/>
                      <w:sz w:val="18"/>
                      <w:szCs w:val="18"/>
                    </w:rPr>
                    <m:t>(α-α*Mean)</m:t>
                  </m:r>
                </m:num>
                <m:den>
                  <m:r>
                    <w:rPr>
                      <w:rFonts w:ascii="Cambria Math" w:hAnsi="Cambria Math" w:cs="Times New Roman"/>
                      <w:sz w:val="18"/>
                      <w:szCs w:val="18"/>
                    </w:rPr>
                    <m:t>Mean</m:t>
                  </m:r>
                </m:den>
              </m:f>
            </m:oMath>
            <w:r w:rsidRPr="004C78D8">
              <w:rPr>
                <w:rFonts w:cs="Times New Roman"/>
                <w:sz w:val="18"/>
                <w:szCs w:val="18"/>
              </w:rPr>
              <w:t xml:space="preserve">. </w:t>
            </w:r>
          </w:p>
          <w:p w14:paraId="27D2F697" w14:textId="1DB47450" w:rsidR="006153C0" w:rsidRPr="004C78D8" w:rsidRDefault="006153C0" w:rsidP="00FB7C1F">
            <w:pPr>
              <w:rPr>
                <w:rFonts w:cs="Times New Roman"/>
                <w:b/>
                <w:bCs/>
                <w:sz w:val="18"/>
                <w:szCs w:val="18"/>
              </w:rPr>
            </w:pPr>
            <w:r w:rsidRPr="004C78D8">
              <w:rPr>
                <w:rFonts w:cs="Times New Roman"/>
                <w:sz w:val="18"/>
                <w:szCs w:val="18"/>
                <w:vertAlign w:val="superscript"/>
              </w:rPr>
              <w:t>4</w:t>
            </w:r>
            <w:r w:rsidRPr="004C78D8">
              <w:rPr>
                <w:rFonts w:cs="Times New Roman"/>
                <w:sz w:val="18"/>
                <w:szCs w:val="18"/>
              </w:rPr>
              <w:t xml:space="preserve"> According to Lee (2013) </w:t>
            </w:r>
            <w:r w:rsidRPr="004C78D8">
              <w:rPr>
                <w:rFonts w:cs="Times New Roman"/>
                <w:sz w:val="18"/>
                <w:szCs w:val="18"/>
              </w:rPr>
              <w:fldChar w:fldCharType="begin">
                <w:fldData xml:space="preserve">PEVuZE5vdGU+PENpdGU+PEF1dGhvcj5MZWU8L0F1dGhvcj48WWVhcj4yMDEzPC9ZZWFyPjxSZWNO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</w:fldData>
              </w:fldChar>
            </w:r>
            <w:r w:rsidR="00C630FC" w:rsidRPr="004C78D8">
              <w:rPr>
                <w:rFonts w:cs="Times New Roman"/>
                <w:sz w:val="18"/>
                <w:szCs w:val="18"/>
              </w:rPr>
              <w:instrText xml:space="preserve"> ADDIN EN.CITE </w:instrText>
            </w:r>
            <w:r w:rsidR="00C630FC" w:rsidRPr="004C78D8">
              <w:rPr>
                <w:rFonts w:cs="Times New Roman"/>
                <w:sz w:val="18"/>
                <w:szCs w:val="18"/>
              </w:rPr>
              <w:fldChar w:fldCharType="begin">
                <w:fldData xml:space="preserve">PEVuZE5vdGU+PENpdGU+PEF1dGhvcj5MZWU8L0F1dGhvcj48WWVhcj4yMDEzPC9ZZWFyPjxSZWNO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</w:fldData>
              </w:fldChar>
            </w:r>
            <w:r w:rsidR="00C630FC" w:rsidRPr="004C78D8">
              <w:rPr>
                <w:rFonts w:cs="Times New Roman"/>
                <w:sz w:val="18"/>
                <w:szCs w:val="18"/>
              </w:rPr>
              <w:instrText xml:space="preserve"> ADDIN EN.CITE.DATA </w:instrText>
            </w:r>
            <w:r w:rsidR="00C630FC" w:rsidRPr="004C78D8">
              <w:rPr>
                <w:rFonts w:cs="Times New Roman"/>
                <w:sz w:val="18"/>
                <w:szCs w:val="18"/>
              </w:rPr>
            </w:r>
            <w:r w:rsidR="00C630FC" w:rsidRPr="004C78D8">
              <w:rPr>
                <w:rFonts w:cs="Times New Roman"/>
                <w:sz w:val="18"/>
                <w:szCs w:val="18"/>
              </w:rPr>
              <w:fldChar w:fldCharType="end"/>
            </w:r>
            <w:r w:rsidRPr="004C78D8">
              <w:rPr>
                <w:rFonts w:cs="Times New Roman"/>
                <w:sz w:val="18"/>
                <w:szCs w:val="18"/>
              </w:rPr>
            </w:r>
            <w:r w:rsidRPr="004C78D8">
              <w:rPr>
                <w:rFonts w:cs="Times New Roman"/>
                <w:sz w:val="18"/>
                <w:szCs w:val="18"/>
              </w:rPr>
              <w:fldChar w:fldCharType="separate"/>
            </w:r>
            <w:r w:rsidR="00C630FC" w:rsidRPr="004C78D8">
              <w:rPr>
                <w:rFonts w:cs="Times New Roman"/>
                <w:noProof/>
                <w:sz w:val="18"/>
                <w:szCs w:val="18"/>
              </w:rPr>
              <w:t>[365]</w:t>
            </w:r>
            <w:r w:rsidRPr="004C78D8">
              <w:rPr>
                <w:rFonts w:cs="Times New Roman"/>
                <w:sz w:val="18"/>
                <w:szCs w:val="18"/>
              </w:rPr>
              <w:fldChar w:fldCharType="end"/>
            </w:r>
            <w:r w:rsidRPr="004C78D8">
              <w:rPr>
                <w:rFonts w:cs="Times New Roman"/>
                <w:sz w:val="18"/>
                <w:szCs w:val="18"/>
              </w:rPr>
              <w:t xml:space="preserve">, the SE of utility decrement for MA fall was 17.1% of the mean value. Hence, α was set (and β subsequently derived) such that this SE to mean percentage is realised for all fall types. </w:t>
            </w:r>
          </w:p>
        </w:tc>
      </w:tr>
    </w:tbl>
    <w:p w14:paraId="4922F971" w14:textId="77777777" w:rsidR="006153C0" w:rsidRPr="004C78D8" w:rsidRDefault="006153C0" w:rsidP="00FB7C1F"/>
    <w:p w14:paraId="5DC82D41" w14:textId="2408F08B" w:rsidR="006153C0" w:rsidRPr="004C78D8" w:rsidRDefault="005C2472" w:rsidP="00FB7C1F">
      <w:r w:rsidRPr="004C78D8">
        <w:t>One thousand model runs were performed</w:t>
      </w:r>
      <w:r w:rsidR="004B78F8" w:rsidRPr="004C78D8">
        <w:t xml:space="preserve"> after verifying that the average PSA outcomes stabilised at a lower number of runs.</w:t>
      </w:r>
      <w:r w:rsidRPr="004C78D8">
        <w:t xml:space="preserve"> </w:t>
      </w:r>
      <w:r w:rsidR="004B78F8" w:rsidRPr="004C78D8">
        <w:t>F</w:t>
      </w:r>
      <w:r w:rsidR="006153C0" w:rsidRPr="004C78D8">
        <w:t xml:space="preserve">or each run, </w:t>
      </w:r>
      <w:r w:rsidRPr="004C78D8">
        <w:t xml:space="preserve">a </w:t>
      </w:r>
      <w:r w:rsidR="006153C0" w:rsidRPr="004C78D8">
        <w:t xml:space="preserve">point estimate of each parameter </w:t>
      </w:r>
      <w:r w:rsidR="00715790" w:rsidRPr="004C78D8">
        <w:t>wa</w:t>
      </w:r>
      <w:r w:rsidR="006153C0" w:rsidRPr="004C78D8">
        <w:t xml:space="preserve">s randomly drawn from the parameter distribution using Monte Carlo simulation. Evaluation outcomes </w:t>
      </w:r>
      <w:r w:rsidR="00715790" w:rsidRPr="004C78D8">
        <w:t>we</w:t>
      </w:r>
      <w:r w:rsidR="006153C0" w:rsidRPr="004C78D8">
        <w:t xml:space="preserve">re computed for each run and stored. </w:t>
      </w:r>
      <w:r w:rsidR="00715790" w:rsidRPr="004C78D8">
        <w:t>T</w:t>
      </w:r>
      <w:r w:rsidR="006153C0" w:rsidRPr="004C78D8">
        <w:t xml:space="preserve">he incremental cost and societal QALY estimates </w:t>
      </w:r>
      <w:r w:rsidR="00715790" w:rsidRPr="004C78D8">
        <w:t>we</w:t>
      </w:r>
      <w:r w:rsidR="006153C0" w:rsidRPr="004C78D8">
        <w:t xml:space="preserve">re plotted on a scatter graph. The percentage of model runs in which </w:t>
      </w:r>
      <w:r w:rsidRPr="004C78D8">
        <w:t>RC</w:t>
      </w:r>
      <w:r w:rsidR="006153C0" w:rsidRPr="004C78D8">
        <w:t xml:space="preserve"> is cost-effective relative to </w:t>
      </w:r>
      <w:r w:rsidRPr="004C78D8">
        <w:t>UC</w:t>
      </w:r>
      <w:r w:rsidR="006153C0" w:rsidRPr="004C78D8">
        <w:t xml:space="preserve"> at the £30,000 per QALY gained threshold </w:t>
      </w:r>
      <w:r w:rsidRPr="004C78D8">
        <w:t>wa</w:t>
      </w:r>
      <w:r w:rsidR="006153C0" w:rsidRPr="004C78D8">
        <w:t xml:space="preserve">s reported. How this percentage varies by threshold level </w:t>
      </w:r>
      <w:r w:rsidR="009A6F3C" w:rsidRPr="004C78D8">
        <w:t>wa</w:t>
      </w:r>
      <w:r w:rsidR="006153C0" w:rsidRPr="004C78D8">
        <w:t xml:space="preserve">s explored by plotting the cost-effectiveness acceptability curve (CEAC). </w:t>
      </w:r>
    </w:p>
    <w:p w14:paraId="0249BCC8" w14:textId="0600DBF1" w:rsidR="00137D86" w:rsidRPr="004C78D8" w:rsidRDefault="006206A1" w:rsidP="00FB7C1F">
      <w:pPr>
        <w:pStyle w:val="Heading4"/>
      </w:pPr>
      <w:r w:rsidRPr="004C78D8">
        <w:t>5</w:t>
      </w:r>
      <w:r w:rsidR="00137D86" w:rsidRPr="004C78D8">
        <w:t>.</w:t>
      </w:r>
      <w:r w:rsidR="00332ADA" w:rsidRPr="004C78D8">
        <w:t>4</w:t>
      </w:r>
      <w:r w:rsidR="00137D86" w:rsidRPr="004C78D8">
        <w:t>.1.4 Deterministic sensitivity analysis</w:t>
      </w:r>
    </w:p>
    <w:p w14:paraId="35BAE719" w14:textId="6D2CCB14" w:rsidR="001E1194" w:rsidRPr="004C78D8" w:rsidRDefault="008854D3" w:rsidP="00FB7C1F">
      <w:r w:rsidRPr="004C78D8">
        <w:t xml:space="preserve">Deterministic sensitivity analysis (DSA) was used to understand the largest drivers of model results. </w:t>
      </w:r>
      <w:r w:rsidR="00032FF3" w:rsidRPr="004C78D8">
        <w:t>E</w:t>
      </w:r>
      <w:r w:rsidRPr="004C78D8">
        <w:t>ach parameter was altered to their 2.5</w:t>
      </w:r>
      <w:r w:rsidRPr="004C78D8">
        <w:rPr>
          <w:vertAlign w:val="superscript"/>
        </w:rPr>
        <w:t>th</w:t>
      </w:r>
      <w:r w:rsidRPr="004C78D8">
        <w:t xml:space="preserve"> or 97.5</w:t>
      </w:r>
      <w:r w:rsidRPr="004C78D8">
        <w:rPr>
          <w:vertAlign w:val="superscript"/>
        </w:rPr>
        <w:t>th</w:t>
      </w:r>
      <w:r w:rsidRPr="004C78D8">
        <w:t xml:space="preserve"> centile values drawn from the distributions assigned for PSA whilst other parameters were kept at their mean values.</w:t>
      </w:r>
      <w:r w:rsidR="00C02DE5" w:rsidRPr="004C78D8">
        <w:t xml:space="preserve"> </w:t>
      </w:r>
      <w:r w:rsidRPr="004C78D8">
        <w:t>Single parameter changes can also be employed in case of major non-linearity under parameter uncertainty, whereby the average outcome under PSA is substantially different from the deterministic outcome. In this case, each parameter would be altered to their 2.5</w:t>
      </w:r>
      <w:r w:rsidRPr="004C78D8">
        <w:rPr>
          <w:vertAlign w:val="superscript"/>
        </w:rPr>
        <w:t>th</w:t>
      </w:r>
      <w:r w:rsidRPr="004C78D8">
        <w:t xml:space="preserve"> or 97.5</w:t>
      </w:r>
      <w:r w:rsidRPr="004C78D8">
        <w:rPr>
          <w:vertAlign w:val="superscript"/>
        </w:rPr>
        <w:t>th</w:t>
      </w:r>
      <w:r w:rsidRPr="004C78D8">
        <w:t xml:space="preserve"> centile values whilst all other parameters are jointly varied under PSA.</w:t>
      </w:r>
    </w:p>
    <w:p w14:paraId="23D9EEBC" w14:textId="6A025F0D" w:rsidR="00524179" w:rsidRPr="004C78D8" w:rsidRDefault="006206A1" w:rsidP="00FB7C1F">
      <w:pPr>
        <w:pStyle w:val="Heading4"/>
      </w:pPr>
      <w:r w:rsidRPr="004C78D8">
        <w:t>5</w:t>
      </w:r>
      <w:r w:rsidR="00524179" w:rsidRPr="004C78D8">
        <w:t>.</w:t>
      </w:r>
      <w:r w:rsidR="00332ADA" w:rsidRPr="004C78D8">
        <w:t>4</w:t>
      </w:r>
      <w:r w:rsidR="00524179" w:rsidRPr="004C78D8">
        <w:t>.</w:t>
      </w:r>
      <w:r w:rsidR="000702B1" w:rsidRPr="004C78D8">
        <w:t>1.</w:t>
      </w:r>
      <w:r w:rsidR="00137D86" w:rsidRPr="004C78D8">
        <w:t>5</w:t>
      </w:r>
      <w:r w:rsidR="00524179" w:rsidRPr="004C78D8">
        <w:t xml:space="preserve"> Subgroup analysis</w:t>
      </w:r>
    </w:p>
    <w:p w14:paraId="7AA869DA" w14:textId="013CBCCC" w:rsidR="00524179" w:rsidRPr="004C78D8" w:rsidRDefault="00524179" w:rsidP="00FB7C1F">
      <w:r w:rsidRPr="004C78D8">
        <w:t>For subgroup analyses</w:t>
      </w:r>
      <w:r w:rsidR="00D078AA" w:rsidRPr="004C78D8">
        <w:t xml:space="preserve"> under the base case analysis</w:t>
      </w:r>
      <w:r w:rsidRPr="004C78D8">
        <w:t xml:space="preserve">, the following </w:t>
      </w:r>
      <w:r w:rsidR="005056A1" w:rsidRPr="004C78D8">
        <w:t xml:space="preserve">delineating characteristics </w:t>
      </w:r>
      <w:r w:rsidR="003A120E" w:rsidRPr="004C78D8">
        <w:t>we</w:t>
      </w:r>
      <w:r w:rsidRPr="004C78D8">
        <w:t>re considered: (a) initial cohort aged 60+ at baseline vs. new entry cohorts aged 60 at model entry; (b) five-year age group at entry; (c) sex; (d) SES quartile; (e) frailty category a</w:t>
      </w:r>
      <w:r w:rsidR="003A120E" w:rsidRPr="004C78D8">
        <w:t>t</w:t>
      </w:r>
      <w:r w:rsidRPr="004C78D8">
        <w:t xml:space="preserve"> entry; (f) physical activity status at entry; (g) cognitive status at entry; (h) fear of falling status at entry; (i) gait/balance status at entry; and (j) falls history type at entry.</w:t>
      </w:r>
      <w:r w:rsidR="00D078AA" w:rsidRPr="004C78D8">
        <w:t xml:space="preserve"> Further heterogeneity in model outcomes was explored under targeting strategies as alternative intervention scenarios (see Section </w:t>
      </w:r>
      <w:r w:rsidR="006206A1" w:rsidRPr="004C78D8">
        <w:t>5</w:t>
      </w:r>
      <w:r w:rsidR="00D078AA" w:rsidRPr="004C78D8">
        <w:t>.4.2.3).</w:t>
      </w:r>
      <w:r w:rsidRPr="004C78D8">
        <w:t xml:space="preserve"> </w:t>
      </w:r>
    </w:p>
    <w:p w14:paraId="3FADC9DE" w14:textId="1223811B" w:rsidR="00D078AA" w:rsidRPr="004C78D8" w:rsidRDefault="006206A1" w:rsidP="00FB7C1F">
      <w:pPr>
        <w:pStyle w:val="Heading4"/>
      </w:pPr>
      <w:r w:rsidRPr="004C78D8">
        <w:t>5</w:t>
      </w:r>
      <w:r w:rsidR="00D078AA" w:rsidRPr="004C78D8">
        <w:t>.4.1.6 Distributional cost-effectiveness analysis</w:t>
      </w:r>
    </w:p>
    <w:p w14:paraId="1E20D33B" w14:textId="2D62932F" w:rsidR="00B91098" w:rsidRPr="004C78D8" w:rsidRDefault="00527B22" w:rsidP="00FB7C1F">
      <w:r w:rsidRPr="004C78D8">
        <w:t xml:space="preserve">Outcome differences across two </w:t>
      </w:r>
      <w:r w:rsidR="00D078AA" w:rsidRPr="004C78D8">
        <w:t xml:space="preserve">subgroup </w:t>
      </w:r>
      <w:r w:rsidR="0036508C" w:rsidRPr="004C78D8">
        <w:t xml:space="preserve">characteristics </w:t>
      </w:r>
      <w:r w:rsidRPr="004C78D8">
        <w:t xml:space="preserve">were deemed ‘unfair’: SES quartile and frailty category at entry. </w:t>
      </w:r>
      <w:r w:rsidR="001E02D4" w:rsidRPr="004C78D8">
        <w:t>DCEA</w:t>
      </w:r>
      <w:r w:rsidRPr="004C78D8">
        <w:t xml:space="preserve"> was used to jointly consider the efficiency and equity impacts of </w:t>
      </w:r>
      <w:r w:rsidR="007A2552" w:rsidRPr="004C78D8">
        <w:t>RC relative to UC</w:t>
      </w:r>
      <w:r w:rsidR="007F4E0A" w:rsidRPr="004C78D8">
        <w:t xml:space="preserve"> </w:t>
      </w:r>
      <w:r w:rsidR="007F4E0A" w:rsidRPr="004C78D8">
        <w:fldChar w:fldCharType="begin"/>
      </w:r>
      <w:r w:rsidR="00513646" w:rsidRPr="004C78D8">
        <w:instrText xml:space="preserve"> ADDIN EN.CITE &lt;EndNote&gt;&lt;Cite&gt;&lt;Author&gt;Asaria&lt;/Author&gt;&lt;Year&gt;2016&lt;/Year&gt;&lt;RecNum&gt;361&lt;/RecNum&gt;&lt;DisplayText&gt;[109]&lt;/DisplayText&gt;&lt;record&gt;&lt;rec-number&gt;361&lt;/rec-number&gt;&lt;foreign-keys&gt;&lt;key app="EN" db-id="tdtrdw9aepptzbefsat599syza29sxsd2wsp" timestamp="1612265402"&gt;361&lt;/key&gt;&lt;/foreign-keys&gt;&lt;ref-type name="Journal Article"&gt;17&lt;/ref-type&gt;&lt;contributors&gt;&lt;authors&gt;&lt;author&gt;Asaria, Miqdad&lt;/author&gt;&lt;author&gt;Griffin, Susan&lt;/author&gt;&lt;author&gt;Cookson, Richard&lt;/author&gt;&lt;/authors&gt;&lt;/contributors&gt;&lt;titles&gt;&lt;title&gt;Distributional Cost-Effectiveness Analysis: A Tutorial&lt;/title&gt;&lt;secondary-title&gt;Medical decision making&lt;/secondary-title&gt;&lt;/titles&gt;&lt;periodical&gt;&lt;full-title&gt;Medical Decision Making&lt;/full-title&gt;&lt;/periodical&gt;&lt;pages&gt;8-19&lt;/pages&gt;&lt;volume&gt;36&lt;/volume&gt;&lt;number&gt;1&lt;/number&gt;&lt;keywords&gt;&lt;keyword&gt;cost-effectiveness analysis&lt;/keyword&gt;&lt;keyword&gt;economic evaluation&lt;/keyword&gt;&lt;keyword&gt;efficiency&lt;/keyword&gt;&lt;keyword&gt;equality&lt;/keyword&gt;&lt;keyword&gt;equity&lt;/keyword&gt;&lt;keyword&gt;fairness&lt;/keyword&gt;&lt;keyword&gt;health distribution&lt;/keyword&gt;&lt;keyword&gt;health inequality&lt;/keyword&gt;&lt;keyword&gt;inequality measures&lt;/keyword&gt;&lt;keyword&gt;opportunity cost&lt;/keyword&gt;&lt;keyword&gt;social value judgments&lt;/keyword&gt;&lt;keyword&gt;social welfare functions&lt;/keyword&gt;&lt;keyword&gt;tradeoff&lt;/keyword&gt;&lt;/keywords&gt;&lt;dates&gt;&lt;year&gt;2016&lt;/year&gt;&lt;pub-dates&gt;&lt;date&gt;1/1&lt;/date&gt;&lt;/pub-dates&gt;&lt;/dates&gt;&lt;isbn&gt;0272-989X&lt;/isbn&gt;&lt;work-type&gt;Article&lt;/work-type&gt;&lt;urls&gt;&lt;related-urls&gt;&lt;url&gt;http://www.scopus.com/inward/record.url?scp=84950117843&amp;amp;partnerID=8YFLogxK&lt;/url&gt;&lt;/related-urls&gt;&lt;/urls&gt;&lt;electronic-resource-num&gt;10.1177/0272989X15583266&lt;/electronic-resource-num&gt;&lt;/record&gt;&lt;/Cite&gt;&lt;/EndNote&gt;</w:instrText>
      </w:r>
      <w:r w:rsidR="007F4E0A" w:rsidRPr="004C78D8">
        <w:fldChar w:fldCharType="separate"/>
      </w:r>
      <w:r w:rsidR="00513646" w:rsidRPr="004C78D8">
        <w:rPr>
          <w:noProof/>
        </w:rPr>
        <w:t>[109]</w:t>
      </w:r>
      <w:r w:rsidR="007F4E0A" w:rsidRPr="004C78D8">
        <w:fldChar w:fldCharType="end"/>
      </w:r>
      <w:r w:rsidRPr="004C78D8">
        <w:t xml:space="preserve">, where equity is defined as reducing the relative or absolute outcome gap across SES quartiles and frailty categories. Here, the outcome of interest is </w:t>
      </w:r>
      <w:r w:rsidR="00EA76C8" w:rsidRPr="004C78D8">
        <w:t xml:space="preserve">the </w:t>
      </w:r>
      <w:r w:rsidR="00B91098" w:rsidRPr="004C78D8">
        <w:t xml:space="preserve">per-capita </w:t>
      </w:r>
      <w:r w:rsidRPr="004C78D8">
        <w:t xml:space="preserve">societal </w:t>
      </w:r>
      <w:r w:rsidR="00423ECD" w:rsidRPr="004C78D8">
        <w:t xml:space="preserve">net </w:t>
      </w:r>
      <w:r w:rsidRPr="004C78D8">
        <w:t>health</w:t>
      </w:r>
      <w:r w:rsidR="00423ECD" w:rsidRPr="004C78D8">
        <w:t xml:space="preserve"> benefit (NHB) – i.e., QALY plus QALY-equivalent of net societal gains</w:t>
      </w:r>
      <w:r w:rsidR="00EA76C8" w:rsidRPr="004C78D8">
        <w:t>,</w:t>
      </w:r>
      <w:r w:rsidRPr="004C78D8">
        <w:t xml:space="preserve"> net resource opportunity cost</w:t>
      </w:r>
      <w:r w:rsidR="00997110" w:rsidRPr="004C78D8">
        <w:t xml:space="preserve"> translated to QALY equivalent using the cost-effectiveness threshold</w:t>
      </w:r>
      <w:r w:rsidR="00423ECD" w:rsidRPr="004C78D8">
        <w:t xml:space="preserve"> – </w:t>
      </w:r>
      <w:r w:rsidR="00EA76C8" w:rsidRPr="004C78D8">
        <w:t>that accrue</w:t>
      </w:r>
      <w:r w:rsidRPr="004C78D8">
        <w:t xml:space="preserve"> to each subgroup</w:t>
      </w:r>
      <w:r w:rsidR="00EA76C8" w:rsidRPr="004C78D8">
        <w:t xml:space="preserve">. </w:t>
      </w:r>
    </w:p>
    <w:p w14:paraId="5A55C4C2" w14:textId="7B12995B" w:rsidR="00B91098" w:rsidRPr="004C78D8" w:rsidRDefault="00527B22" w:rsidP="00FB7C1F">
      <w:r w:rsidRPr="004C78D8">
        <w:t xml:space="preserve">The equally distributed equivalent (EDE) level of </w:t>
      </w:r>
      <w:r w:rsidR="00423ECD" w:rsidRPr="004C78D8">
        <w:t xml:space="preserve">societal NHB </w:t>
      </w:r>
      <w:r w:rsidRPr="004C78D8">
        <w:t xml:space="preserve">is calculated for each </w:t>
      </w:r>
      <w:r w:rsidR="00B91098" w:rsidRPr="004C78D8">
        <w:t xml:space="preserve">intervention </w:t>
      </w:r>
      <w:r w:rsidR="009426D6" w:rsidRPr="004C78D8">
        <w:t xml:space="preserve">strategy </w:t>
      </w:r>
      <w:r w:rsidR="00D078AA" w:rsidRPr="004C78D8">
        <w:t>(e.g., UC, RC)</w:t>
      </w:r>
      <w:r w:rsidR="00B91098" w:rsidRPr="004C78D8">
        <w:t xml:space="preserve"> using the following formulae (1) and (2) for relative and absolute inequality aversion, respectively </w:t>
      </w:r>
      <w:r w:rsidR="00B91098" w:rsidRPr="004C78D8">
        <w:fldChar w:fldCharType="begin"/>
      </w:r>
      <w:r w:rsidR="00B91098" w:rsidRPr="004C78D8">
        <w:instrText xml:space="preserve"> ADDIN EN.CITE &lt;EndNote&gt;&lt;Cite&gt;&lt;Author&gt;Asaria&lt;/Author&gt;&lt;Year&gt;2016&lt;/Year&gt;&lt;RecNum&gt;361&lt;/RecNum&gt;&lt;DisplayText&gt;[109]&lt;/DisplayText&gt;&lt;record&gt;&lt;rec-number&gt;361&lt;/rec-number&gt;&lt;foreign-keys&gt;&lt;key app="EN" db-id="tdtrdw9aepptzbefsat599syza29sxsd2wsp" timestamp="1612265402"&gt;361&lt;/key&gt;&lt;/foreign-keys&gt;&lt;ref-type name="Journal Article"&gt;17&lt;/ref-type&gt;&lt;contributors&gt;&lt;authors&gt;&lt;author&gt;Asaria, Miqdad&lt;/author&gt;&lt;author&gt;Griffin, Susan&lt;/author&gt;&lt;author&gt;Cookson, Richard&lt;/author&gt;&lt;/authors&gt;&lt;/contributors&gt;&lt;titles&gt;&lt;title&gt;Distributional Cost-Effectiveness Analysis: A Tutorial&lt;/title&gt;&lt;secondary-title&gt;Medical decision making&lt;/secondary-title&gt;&lt;/titles&gt;&lt;periodical&gt;&lt;full-title&gt;Medical Decision Making&lt;/full-title&gt;&lt;/periodical&gt;&lt;pages&gt;8-19&lt;/pages&gt;&lt;volume&gt;36&lt;/volume&gt;&lt;number&gt;1&lt;/number&gt;&lt;keywords&gt;&lt;keyword&gt;cost-effectiveness analysis&lt;/keyword&gt;&lt;keyword&gt;economic evaluation&lt;/keyword&gt;&lt;keyword&gt;efficiency&lt;/keyword&gt;&lt;keyword&gt;equality&lt;/keyword&gt;&lt;keyword&gt;equity&lt;/keyword&gt;&lt;keyword&gt;fairness&lt;/keyword&gt;&lt;keyword&gt;health distribution&lt;/keyword&gt;&lt;keyword&gt;health inequality&lt;/keyword&gt;&lt;keyword&gt;inequality measures&lt;/keyword&gt;&lt;keyword&gt;opportunity cost&lt;/keyword&gt;&lt;keyword&gt;social value judgments&lt;/keyword&gt;&lt;keyword&gt;social welfare functions&lt;/keyword&gt;&lt;keyword&gt;tradeoff&lt;/keyword&gt;&lt;/keywords&gt;&lt;dates&gt;&lt;year&gt;2016&lt;/year&gt;&lt;pub-dates&gt;&lt;date&gt;1/1&lt;/date&gt;&lt;/pub-dates&gt;&lt;/dates&gt;&lt;isbn&gt;0272-989X&lt;/isbn&gt;&lt;work-type&gt;Article&lt;/work-type&gt;&lt;urls&gt;&lt;related-urls&gt;&lt;url&gt;http://www.scopus.com/inward/record.url?scp=84950117843&amp;amp;partnerID=8YFLogxK&lt;/url&gt;&lt;/related-urls&gt;&lt;/urls&gt;&lt;electronic-resource-num&gt;10.1177/0272989X15583266&lt;/electronic-resource-num&gt;&lt;/record&gt;&lt;/Cite&gt;&lt;/EndNote&gt;</w:instrText>
      </w:r>
      <w:r w:rsidR="00B91098" w:rsidRPr="004C78D8">
        <w:fldChar w:fldCharType="separate"/>
      </w:r>
      <w:r w:rsidR="00B91098" w:rsidRPr="004C78D8">
        <w:rPr>
          <w:noProof/>
        </w:rPr>
        <w:t>[109]</w:t>
      </w:r>
      <w:r w:rsidR="00B91098" w:rsidRPr="004C78D8">
        <w:fldChar w:fldCharType="end"/>
      </w:r>
      <w:r w:rsidR="00B91098" w:rsidRPr="004C78D8">
        <w:t>:</w:t>
      </w:r>
      <w:r w:rsidRPr="004C78D8">
        <w:t xml:space="preserve"> </w:t>
      </w:r>
    </w:p>
    <w:p w14:paraId="15D42479" w14:textId="79B0A2B7" w:rsidR="00F060E7" w:rsidRPr="00972766" w:rsidRDefault="00000000" w:rsidP="00FB7C1F">
      <m:oMathPara>
        <m:oMath>
          <m:sSubSup>
            <m:sSubSupPr>
              <m:ctrlPr>
                <w:rPr>
                  <w:rFonts w:ascii="Cambria Math" w:hAnsi="Cambria Math"/>
                  <w:i/>
                </w:rPr>
              </m:ctrlPr>
            </m:sSubSupPr>
            <m:e>
              <m:r>
                <w:rPr>
                  <w:rFonts w:ascii="Cambria Math" w:hAnsi="Cambria Math"/>
                </w:rPr>
                <m:t>NHB</m:t>
              </m:r>
            </m:e>
            <m:sub>
              <m:r>
                <w:rPr>
                  <w:rFonts w:ascii="Cambria Math" w:hAnsi="Cambria Math"/>
                </w:rPr>
                <m:t>ede</m:t>
              </m:r>
            </m:sub>
            <m:sup>
              <m:r>
                <w:rPr>
                  <w:rFonts w:ascii="Cambria Math" w:hAnsi="Cambria Math"/>
                </w:rPr>
                <m:t>Rel</m:t>
              </m:r>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NHB</m:t>
                                  </m:r>
                                </m:e>
                                <m:sub>
                                  <m:r>
                                    <w:rPr>
                                      <w:rFonts w:ascii="Cambria Math" w:hAnsi="Cambria Math"/>
                                    </w:rPr>
                                    <m:t>i</m:t>
                                  </m:r>
                                </m:sub>
                              </m:sSub>
                            </m:e>
                          </m:d>
                        </m:e>
                        <m:sup>
                          <m:r>
                            <w:rPr>
                              <w:rFonts w:ascii="Cambria Math" w:hAnsi="Cambria Math"/>
                            </w:rPr>
                            <m:t>1-ε</m:t>
                          </m:r>
                        </m:sup>
                      </m:sSup>
                    </m:e>
                  </m:nary>
                </m:e>
              </m:d>
            </m:e>
            <m:sup>
              <m:f>
                <m:fPr>
                  <m:ctrlPr>
                    <w:rPr>
                      <w:rFonts w:ascii="Cambria Math" w:hAnsi="Cambria Math"/>
                      <w:i/>
                    </w:rPr>
                  </m:ctrlPr>
                </m:fPr>
                <m:num>
                  <m:r>
                    <w:rPr>
                      <w:rFonts w:ascii="Cambria Math" w:hAnsi="Cambria Math"/>
                    </w:rPr>
                    <m:t>1</m:t>
                  </m:r>
                </m:num>
                <m:den>
                  <m:r>
                    <w:rPr>
                      <w:rFonts w:ascii="Cambria Math" w:hAnsi="Cambria Math"/>
                    </w:rPr>
                    <m:t>1-ε</m:t>
                  </m:r>
                </m:den>
              </m:f>
            </m:sup>
          </m:sSup>
          <m:r>
            <w:rPr>
              <w:rFonts w:ascii="Cambria Math" w:hAnsi="Cambria Math"/>
            </w:rPr>
            <m:t xml:space="preserve">          </m:t>
          </m:r>
          <m:d>
            <m:dPr>
              <m:ctrlPr>
                <w:rPr>
                  <w:rFonts w:ascii="Cambria Math" w:hAnsi="Cambria Math"/>
                  <w:i/>
                </w:rPr>
              </m:ctrlPr>
            </m:dPr>
            <m:e>
              <m:r>
                <w:rPr>
                  <w:rFonts w:ascii="Cambria Math" w:hAnsi="Cambria Math"/>
                </w:rPr>
                <m:t>1</m:t>
              </m:r>
            </m:e>
          </m:d>
        </m:oMath>
      </m:oMathPara>
    </w:p>
    <w:p w14:paraId="3DACCA9E" w14:textId="69C56173" w:rsidR="00B91098" w:rsidRPr="004C78D8" w:rsidRDefault="00000000" w:rsidP="00FB7C1F">
      <m:oMathPara>
        <m:oMath>
          <m:sSubSup>
            <m:sSubSupPr>
              <m:ctrlPr>
                <w:rPr>
                  <w:rFonts w:ascii="Cambria Math" w:hAnsi="Cambria Math"/>
                  <w:i/>
                </w:rPr>
              </m:ctrlPr>
            </m:sSubSupPr>
            <m:e>
              <m:r>
                <w:rPr>
                  <w:rFonts w:ascii="Cambria Math" w:hAnsi="Cambria Math"/>
                </w:rPr>
                <m:t>NHB</m:t>
              </m:r>
            </m:e>
            <m:sub>
              <m:r>
                <w:rPr>
                  <w:rFonts w:ascii="Cambria Math" w:hAnsi="Cambria Math"/>
                </w:rPr>
                <m:t>ede</m:t>
              </m:r>
            </m:sub>
            <m:sup>
              <m:r>
                <w:rPr>
                  <w:rFonts w:ascii="Cambria Math" w:hAnsi="Cambria Math"/>
                </w:rPr>
                <m:t>Abs</m:t>
              </m:r>
            </m:sup>
          </m:sSub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α</m:t>
                  </m:r>
                </m:den>
              </m:f>
            </m:e>
          </m:d>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r>
                            <w:rPr>
                              <w:rFonts w:ascii="Cambria Math" w:hAnsi="Cambria Math"/>
                            </w:rPr>
                            <m:t>e</m:t>
                          </m:r>
                        </m:e>
                        <m:sup>
                          <m:r>
                            <w:rPr>
                              <w:rFonts w:ascii="Cambria Math" w:hAnsi="Cambria Math"/>
                            </w:rPr>
                            <m:t>-α</m:t>
                          </m:r>
                          <m:sSub>
                            <m:sSubPr>
                              <m:ctrlPr>
                                <w:rPr>
                                  <w:rFonts w:ascii="Cambria Math" w:hAnsi="Cambria Math"/>
                                  <w:i/>
                                </w:rPr>
                              </m:ctrlPr>
                            </m:sSubPr>
                            <m:e>
                              <m:r>
                                <w:rPr>
                                  <w:rFonts w:ascii="Cambria Math" w:hAnsi="Cambria Math"/>
                                </w:rPr>
                                <m:t>NHB</m:t>
                              </m:r>
                            </m:e>
                            <m:sub>
                              <m:r>
                                <w:rPr>
                                  <w:rFonts w:ascii="Cambria Math" w:hAnsi="Cambria Math"/>
                                </w:rPr>
                                <m:t>i</m:t>
                              </m:r>
                            </m:sub>
                          </m:sSub>
                        </m:sup>
                      </m:sSup>
                    </m:e>
                  </m:nary>
                </m:e>
              </m:d>
            </m:e>
          </m:func>
          <m:r>
            <w:rPr>
              <w:rFonts w:ascii="Cambria Math" w:hAnsi="Cambria Math"/>
            </w:rPr>
            <m:t xml:space="preserve">          (2) </m:t>
          </m:r>
        </m:oMath>
      </m:oMathPara>
    </w:p>
    <w:p w14:paraId="2D6FE218" w14:textId="13922EF9" w:rsidR="008E24F6" w:rsidRPr="004C78D8" w:rsidRDefault="008E24F6" w:rsidP="00FB7C1F">
      <w:pPr>
        <w:rPr>
          <w:rFonts w:cs="Times New Roman"/>
        </w:rPr>
      </w:pPr>
      <w:r w:rsidRPr="00972766">
        <w:rPr>
          <w:i/>
          <w:iCs/>
        </w:rPr>
        <w:t>NHB</w:t>
      </w:r>
      <w:r w:rsidRPr="00972766">
        <w:rPr>
          <w:i/>
          <w:iCs/>
          <w:vertAlign w:val="subscript"/>
        </w:rPr>
        <w:t>i</w:t>
      </w:r>
      <w:r w:rsidRPr="004C78D8">
        <w:t xml:space="preserve"> </w:t>
      </w:r>
      <w:r w:rsidR="009426D6" w:rsidRPr="004C78D8">
        <w:t>i</w:t>
      </w:r>
      <w:r w:rsidRPr="004C78D8">
        <w:t xml:space="preserve">s the per-capita societal NHB for subgroup </w:t>
      </w:r>
      <w:r w:rsidRPr="00972766">
        <w:rPr>
          <w:i/>
          <w:iCs/>
        </w:rPr>
        <w:t>i</w:t>
      </w:r>
      <w:r w:rsidRPr="004C78D8">
        <w:t xml:space="preserve"> </w:t>
      </w:r>
      <w:r w:rsidR="009426D6" w:rsidRPr="004C78D8">
        <w:t xml:space="preserve">amongst </w:t>
      </w:r>
      <w:r w:rsidR="009426D6" w:rsidRPr="00972766">
        <w:rPr>
          <w:i/>
          <w:iCs/>
        </w:rPr>
        <w:t>n</w:t>
      </w:r>
      <w:r w:rsidR="009426D6" w:rsidRPr="004C78D8">
        <w:t xml:space="preserve"> = 4 subgroups for both SES and frailty category.</w:t>
      </w:r>
      <w:r w:rsidRPr="004C78D8">
        <w:t xml:space="preserve"> Atkinson index </w:t>
      </w:r>
      <w:r w:rsidRPr="00972766">
        <w:rPr>
          <w:rFonts w:cs="Times New Roman"/>
          <w:i/>
          <w:iCs/>
        </w:rPr>
        <w:t>ε</w:t>
      </w:r>
      <w:r w:rsidRPr="004C78D8">
        <w:t xml:space="preserve"> and Kolm index </w:t>
      </w:r>
      <w:r w:rsidRPr="00972766">
        <w:rPr>
          <w:rFonts w:cs="Times New Roman"/>
          <w:i/>
          <w:iCs/>
        </w:rPr>
        <w:t>α</w:t>
      </w:r>
      <w:r w:rsidRPr="004C78D8">
        <w:rPr>
          <w:rFonts w:cs="Times New Roman"/>
        </w:rPr>
        <w:t xml:space="preserve"> depict the strength of relative and absolute inequality aversions, respectively</w:t>
      </w:r>
      <w:r w:rsidR="007A7B3E" w:rsidRPr="004C78D8">
        <w:rPr>
          <w:rFonts w:cs="Times New Roman"/>
        </w:rPr>
        <w:t>, where higher value</w:t>
      </w:r>
      <w:r w:rsidR="00A46151">
        <w:rPr>
          <w:rFonts w:cs="Times New Roman"/>
        </w:rPr>
        <w:t>s</w:t>
      </w:r>
      <w:r w:rsidR="007A7B3E" w:rsidRPr="004C78D8">
        <w:rPr>
          <w:rFonts w:cs="Times New Roman"/>
        </w:rPr>
        <w:t xml:space="preserve"> denote greater aversion</w:t>
      </w:r>
      <w:r w:rsidRPr="004C78D8">
        <w:rPr>
          <w:rFonts w:cs="Times New Roman"/>
        </w:rPr>
        <w:t xml:space="preserve">. A stylised example </w:t>
      </w:r>
      <w:r w:rsidR="009426D6" w:rsidRPr="004C78D8">
        <w:rPr>
          <w:rFonts w:cs="Times New Roman"/>
        </w:rPr>
        <w:t xml:space="preserve">in </w:t>
      </w:r>
      <w:r w:rsidR="004078BB" w:rsidRPr="004C78D8">
        <w:rPr>
          <w:rFonts w:cs="Times New Roman"/>
        </w:rPr>
        <w:t>conducting DCEA</w:t>
      </w:r>
      <w:r w:rsidR="009426D6" w:rsidRPr="004C78D8">
        <w:rPr>
          <w:rFonts w:cs="Times New Roman"/>
        </w:rPr>
        <w:t xml:space="preserve"> </w:t>
      </w:r>
      <w:r w:rsidRPr="004C78D8">
        <w:rPr>
          <w:rFonts w:cs="Times New Roman"/>
        </w:rPr>
        <w:t xml:space="preserve">is </w:t>
      </w:r>
      <w:r w:rsidR="009426D6" w:rsidRPr="004C78D8">
        <w:rPr>
          <w:rFonts w:cs="Times New Roman"/>
        </w:rPr>
        <w:t>shown</w:t>
      </w:r>
      <w:r w:rsidRPr="004C78D8">
        <w:rPr>
          <w:rFonts w:cs="Times New Roman"/>
        </w:rPr>
        <w:t xml:space="preserve"> in Table 5.53.</w:t>
      </w:r>
      <w:r w:rsidR="00E56962" w:rsidRPr="004C78D8">
        <w:rPr>
          <w:rFonts w:cs="Times New Roman"/>
        </w:rPr>
        <w:t xml:space="preserve"> </w:t>
      </w:r>
    </w:p>
    <w:tbl>
      <w:tblPr>
        <w:tblStyle w:val="TableGrid"/>
        <w:tblW w:w="0" w:type="auto"/>
        <w:tblInd w:w="-5" w:type="dxa"/>
        <w:tblLook w:val="04A0" w:firstRow="1" w:lastRow="0" w:firstColumn="1" w:lastColumn="0" w:noHBand="0" w:noVBand="1"/>
      </w:tblPr>
      <w:tblGrid>
        <w:gridCol w:w="3345"/>
        <w:gridCol w:w="1852"/>
        <w:gridCol w:w="1932"/>
        <w:gridCol w:w="1779"/>
      </w:tblGrid>
      <w:tr w:rsidR="009426D6" w:rsidRPr="004C78D8" w14:paraId="6BD7E66D" w14:textId="77777777" w:rsidTr="00E35893">
        <w:tc>
          <w:tcPr>
            <w:tcW w:w="8908" w:type="dxa"/>
            <w:gridSpan w:val="4"/>
          </w:tcPr>
          <w:p w14:paraId="44FAFD65" w14:textId="5568C3B1" w:rsidR="009426D6" w:rsidRPr="004C78D8" w:rsidRDefault="009426D6" w:rsidP="00FB7C1F">
            <w:pPr>
              <w:rPr>
                <w:b/>
                <w:bCs/>
              </w:rPr>
            </w:pPr>
            <w:r w:rsidRPr="004C78D8">
              <w:rPr>
                <w:b/>
                <w:bCs/>
              </w:rPr>
              <w:t>Table 5.53</w:t>
            </w:r>
            <w:r w:rsidRPr="004C78D8">
              <w:t xml:space="preserve"> Stylised example of distributional cost-effectiveness analysis.</w:t>
            </w:r>
          </w:p>
        </w:tc>
      </w:tr>
      <w:tr w:rsidR="009426D6" w:rsidRPr="004C78D8" w14:paraId="36A4D6F0" w14:textId="77777777" w:rsidTr="00E35893">
        <w:tc>
          <w:tcPr>
            <w:tcW w:w="3345" w:type="dxa"/>
            <w:tcBorders>
              <w:bottom w:val="single" w:sz="4" w:space="0" w:color="auto"/>
            </w:tcBorders>
          </w:tcPr>
          <w:p w14:paraId="54AFE286" w14:textId="77777777" w:rsidR="009426D6" w:rsidRPr="004C78D8" w:rsidRDefault="009426D6" w:rsidP="00FB7C1F">
            <w:pPr>
              <w:jc w:val="left"/>
              <w:rPr>
                <w:b/>
                <w:bCs/>
                <w:sz w:val="20"/>
                <w:szCs w:val="20"/>
              </w:rPr>
            </w:pPr>
            <w:r w:rsidRPr="004C78D8">
              <w:rPr>
                <w:b/>
                <w:bCs/>
                <w:sz w:val="20"/>
                <w:szCs w:val="20"/>
              </w:rPr>
              <w:t>Inequality aversion indices</w:t>
            </w:r>
          </w:p>
        </w:tc>
        <w:tc>
          <w:tcPr>
            <w:tcW w:w="1852" w:type="dxa"/>
            <w:tcBorders>
              <w:bottom w:val="single" w:sz="4" w:space="0" w:color="auto"/>
            </w:tcBorders>
          </w:tcPr>
          <w:p w14:paraId="7A92237D" w14:textId="0EB7FB2E" w:rsidR="009426D6" w:rsidRPr="004C78D8" w:rsidRDefault="009426D6" w:rsidP="00972766">
            <w:pPr>
              <w:jc w:val="center"/>
              <w:rPr>
                <w:b/>
                <w:bCs/>
                <w:sz w:val="20"/>
                <w:szCs w:val="20"/>
              </w:rPr>
            </w:pPr>
            <w:r w:rsidRPr="004C78D8">
              <w:rPr>
                <w:b/>
                <w:bCs/>
                <w:sz w:val="20"/>
                <w:szCs w:val="20"/>
              </w:rPr>
              <w:t>Strategy A</w:t>
            </w:r>
          </w:p>
        </w:tc>
        <w:tc>
          <w:tcPr>
            <w:tcW w:w="1932" w:type="dxa"/>
            <w:tcBorders>
              <w:bottom w:val="single" w:sz="4" w:space="0" w:color="auto"/>
            </w:tcBorders>
          </w:tcPr>
          <w:p w14:paraId="5368796E" w14:textId="3241314D" w:rsidR="009426D6" w:rsidRPr="004C78D8" w:rsidRDefault="009426D6" w:rsidP="00972766">
            <w:pPr>
              <w:jc w:val="center"/>
              <w:rPr>
                <w:b/>
                <w:bCs/>
                <w:sz w:val="20"/>
                <w:szCs w:val="20"/>
              </w:rPr>
            </w:pPr>
            <w:r w:rsidRPr="004C78D8">
              <w:rPr>
                <w:b/>
                <w:bCs/>
                <w:sz w:val="20"/>
                <w:szCs w:val="20"/>
              </w:rPr>
              <w:t>Strategy B</w:t>
            </w:r>
          </w:p>
        </w:tc>
        <w:tc>
          <w:tcPr>
            <w:tcW w:w="1779" w:type="dxa"/>
            <w:tcBorders>
              <w:bottom w:val="single" w:sz="4" w:space="0" w:color="auto"/>
            </w:tcBorders>
          </w:tcPr>
          <w:p w14:paraId="6A075716" w14:textId="3DEE4B0C" w:rsidR="009426D6" w:rsidRPr="004C78D8" w:rsidRDefault="009426D6" w:rsidP="00972766">
            <w:pPr>
              <w:jc w:val="center"/>
              <w:rPr>
                <w:b/>
                <w:bCs/>
                <w:sz w:val="20"/>
                <w:szCs w:val="20"/>
              </w:rPr>
            </w:pPr>
            <w:r w:rsidRPr="004C78D8">
              <w:rPr>
                <w:b/>
                <w:bCs/>
                <w:sz w:val="20"/>
                <w:szCs w:val="20"/>
              </w:rPr>
              <w:t>Incremental (B-A)</w:t>
            </w:r>
          </w:p>
        </w:tc>
      </w:tr>
      <w:tr w:rsidR="009426D6" w:rsidRPr="004C78D8" w14:paraId="051EDF78" w14:textId="77777777" w:rsidTr="00E35893">
        <w:tc>
          <w:tcPr>
            <w:tcW w:w="3345" w:type="dxa"/>
            <w:tcBorders>
              <w:bottom w:val="nil"/>
            </w:tcBorders>
          </w:tcPr>
          <w:p w14:paraId="6CD676E6" w14:textId="042B3E7A" w:rsidR="009426D6" w:rsidRPr="004C78D8" w:rsidRDefault="009426D6" w:rsidP="00FB7C1F">
            <w:pPr>
              <w:jc w:val="left"/>
              <w:rPr>
                <w:sz w:val="20"/>
                <w:szCs w:val="20"/>
              </w:rPr>
            </w:pPr>
            <w:r w:rsidRPr="004C78D8">
              <w:rPr>
                <w:sz w:val="20"/>
                <w:szCs w:val="20"/>
              </w:rPr>
              <w:t>Societal mean NHB (no inequality aversion mean)</w:t>
            </w:r>
          </w:p>
        </w:tc>
        <w:tc>
          <w:tcPr>
            <w:tcW w:w="1852" w:type="dxa"/>
            <w:tcBorders>
              <w:bottom w:val="nil"/>
            </w:tcBorders>
          </w:tcPr>
          <w:p w14:paraId="7A9C3ADB" w14:textId="5D1898EE" w:rsidR="009426D6" w:rsidRPr="00972766" w:rsidRDefault="009426D6" w:rsidP="00972766">
            <w:pPr>
              <w:jc w:val="center"/>
              <w:rPr>
                <w:sz w:val="20"/>
                <w:szCs w:val="20"/>
              </w:rPr>
            </w:pPr>
            <w:r w:rsidRPr="00972766">
              <w:rPr>
                <w:sz w:val="20"/>
                <w:szCs w:val="20"/>
              </w:rPr>
              <w:t>4.0</w:t>
            </w:r>
            <w:r w:rsidR="00173819" w:rsidRPr="004C78D8">
              <w:rPr>
                <w:sz w:val="20"/>
                <w:szCs w:val="20"/>
              </w:rPr>
              <w:t>0</w:t>
            </w:r>
          </w:p>
        </w:tc>
        <w:tc>
          <w:tcPr>
            <w:tcW w:w="1932" w:type="dxa"/>
            <w:tcBorders>
              <w:bottom w:val="nil"/>
            </w:tcBorders>
          </w:tcPr>
          <w:p w14:paraId="568AD393" w14:textId="130DB889" w:rsidR="009426D6" w:rsidRPr="00972766" w:rsidRDefault="009426D6" w:rsidP="00972766">
            <w:pPr>
              <w:jc w:val="center"/>
              <w:rPr>
                <w:sz w:val="20"/>
                <w:szCs w:val="20"/>
              </w:rPr>
            </w:pPr>
            <w:r w:rsidRPr="00972766">
              <w:rPr>
                <w:sz w:val="20"/>
                <w:szCs w:val="20"/>
              </w:rPr>
              <w:t>4.2</w:t>
            </w:r>
            <w:r w:rsidR="00173819" w:rsidRPr="004C78D8">
              <w:rPr>
                <w:sz w:val="20"/>
                <w:szCs w:val="20"/>
              </w:rPr>
              <w:t>5</w:t>
            </w:r>
          </w:p>
        </w:tc>
        <w:tc>
          <w:tcPr>
            <w:tcW w:w="1779" w:type="dxa"/>
            <w:tcBorders>
              <w:bottom w:val="nil"/>
            </w:tcBorders>
          </w:tcPr>
          <w:p w14:paraId="26E39D86" w14:textId="71441FDE" w:rsidR="009426D6" w:rsidRPr="00972766" w:rsidRDefault="009426D6" w:rsidP="00972766">
            <w:pPr>
              <w:jc w:val="center"/>
              <w:rPr>
                <w:sz w:val="20"/>
                <w:szCs w:val="20"/>
              </w:rPr>
            </w:pPr>
            <w:r w:rsidRPr="00972766">
              <w:rPr>
                <w:sz w:val="20"/>
                <w:szCs w:val="20"/>
              </w:rPr>
              <w:t>0.2</w:t>
            </w:r>
            <w:r w:rsidR="00173819" w:rsidRPr="004C78D8">
              <w:rPr>
                <w:sz w:val="20"/>
                <w:szCs w:val="20"/>
              </w:rPr>
              <w:t>5</w:t>
            </w:r>
          </w:p>
        </w:tc>
      </w:tr>
      <w:tr w:rsidR="007C1BA9" w:rsidRPr="004C78D8" w14:paraId="11F8E22B" w14:textId="77777777" w:rsidTr="00E35893">
        <w:tc>
          <w:tcPr>
            <w:tcW w:w="3345" w:type="dxa"/>
            <w:tcBorders>
              <w:bottom w:val="nil"/>
            </w:tcBorders>
          </w:tcPr>
          <w:p w14:paraId="0C6FC481" w14:textId="3FB68E92" w:rsidR="007C1BA9" w:rsidRPr="004C78D8" w:rsidRDefault="007C1BA9" w:rsidP="00FB7C1F">
            <w:pPr>
              <w:jc w:val="left"/>
              <w:rPr>
                <w:sz w:val="20"/>
                <w:szCs w:val="20"/>
              </w:rPr>
            </w:pPr>
            <w:r w:rsidRPr="004C78D8">
              <w:rPr>
                <w:sz w:val="20"/>
                <w:szCs w:val="20"/>
              </w:rPr>
              <w:t>Societal Atkinson EDE NHB (</w:t>
            </w:r>
            <w:r w:rsidRPr="004C78D8">
              <w:rPr>
                <w:rFonts w:cs="Times New Roman"/>
                <w:sz w:val="20"/>
                <w:szCs w:val="20"/>
              </w:rPr>
              <w:t>ε</w:t>
            </w:r>
            <w:r w:rsidRPr="004C78D8">
              <w:rPr>
                <w:sz w:val="20"/>
                <w:szCs w:val="20"/>
              </w:rPr>
              <w:t>=0)</w:t>
            </w:r>
          </w:p>
        </w:tc>
        <w:tc>
          <w:tcPr>
            <w:tcW w:w="1852" w:type="dxa"/>
            <w:tcBorders>
              <w:bottom w:val="nil"/>
            </w:tcBorders>
          </w:tcPr>
          <w:p w14:paraId="36D24E66" w14:textId="5FC645B9" w:rsidR="007C1BA9" w:rsidRPr="00972766" w:rsidRDefault="007C1BA9" w:rsidP="00972766">
            <w:pPr>
              <w:jc w:val="center"/>
              <w:rPr>
                <w:sz w:val="20"/>
                <w:szCs w:val="20"/>
              </w:rPr>
            </w:pPr>
            <w:r w:rsidRPr="004C78D8">
              <w:rPr>
                <w:sz w:val="20"/>
                <w:szCs w:val="20"/>
              </w:rPr>
              <w:t>4.0</w:t>
            </w:r>
            <w:r w:rsidR="00173819" w:rsidRPr="004C78D8">
              <w:rPr>
                <w:sz w:val="20"/>
                <w:szCs w:val="20"/>
              </w:rPr>
              <w:t>0</w:t>
            </w:r>
          </w:p>
        </w:tc>
        <w:tc>
          <w:tcPr>
            <w:tcW w:w="1932" w:type="dxa"/>
            <w:tcBorders>
              <w:bottom w:val="nil"/>
            </w:tcBorders>
          </w:tcPr>
          <w:p w14:paraId="3D16681C" w14:textId="6AC3F4D6" w:rsidR="007C1BA9" w:rsidRPr="00972766" w:rsidRDefault="007C1BA9" w:rsidP="00972766">
            <w:pPr>
              <w:jc w:val="center"/>
              <w:rPr>
                <w:sz w:val="20"/>
                <w:szCs w:val="20"/>
              </w:rPr>
            </w:pPr>
            <w:r w:rsidRPr="004C78D8">
              <w:rPr>
                <w:sz w:val="20"/>
                <w:szCs w:val="20"/>
              </w:rPr>
              <w:t>4.2</w:t>
            </w:r>
            <w:r w:rsidR="00173819" w:rsidRPr="004C78D8">
              <w:rPr>
                <w:sz w:val="20"/>
                <w:szCs w:val="20"/>
              </w:rPr>
              <w:t>5</w:t>
            </w:r>
          </w:p>
        </w:tc>
        <w:tc>
          <w:tcPr>
            <w:tcW w:w="1779" w:type="dxa"/>
            <w:tcBorders>
              <w:bottom w:val="nil"/>
            </w:tcBorders>
          </w:tcPr>
          <w:p w14:paraId="1FA4D7D6" w14:textId="3D9642E2" w:rsidR="007C1BA9" w:rsidRPr="00972766" w:rsidRDefault="007C1BA9" w:rsidP="00972766">
            <w:pPr>
              <w:jc w:val="center"/>
              <w:rPr>
                <w:sz w:val="20"/>
                <w:szCs w:val="20"/>
              </w:rPr>
            </w:pPr>
            <w:r w:rsidRPr="004C78D8">
              <w:rPr>
                <w:sz w:val="20"/>
                <w:szCs w:val="20"/>
              </w:rPr>
              <w:t>0.2</w:t>
            </w:r>
            <w:r w:rsidR="00173819" w:rsidRPr="004C78D8">
              <w:rPr>
                <w:sz w:val="20"/>
                <w:szCs w:val="20"/>
              </w:rPr>
              <w:t>5</w:t>
            </w:r>
          </w:p>
        </w:tc>
      </w:tr>
      <w:tr w:rsidR="007C1BA9" w:rsidRPr="004C78D8" w14:paraId="21228041" w14:textId="77777777" w:rsidTr="00E35893">
        <w:tc>
          <w:tcPr>
            <w:tcW w:w="3345" w:type="dxa"/>
            <w:tcBorders>
              <w:top w:val="nil"/>
              <w:bottom w:val="nil"/>
            </w:tcBorders>
          </w:tcPr>
          <w:p w14:paraId="4F55DC1F" w14:textId="7A345011" w:rsidR="007C1BA9" w:rsidRPr="004C78D8" w:rsidRDefault="007C1BA9" w:rsidP="00FB7C1F">
            <w:pPr>
              <w:jc w:val="left"/>
              <w:rPr>
                <w:sz w:val="20"/>
                <w:szCs w:val="20"/>
              </w:rPr>
            </w:pPr>
            <w:r w:rsidRPr="004C78D8">
              <w:rPr>
                <w:sz w:val="20"/>
                <w:szCs w:val="20"/>
              </w:rPr>
              <w:t>Societal Atkinson EDE NHB (</w:t>
            </w:r>
            <w:r w:rsidRPr="004C78D8">
              <w:rPr>
                <w:rFonts w:cs="Times New Roman"/>
                <w:sz w:val="20"/>
                <w:szCs w:val="20"/>
              </w:rPr>
              <w:t>ε</w:t>
            </w:r>
            <w:r w:rsidRPr="004C78D8">
              <w:rPr>
                <w:sz w:val="20"/>
                <w:szCs w:val="20"/>
              </w:rPr>
              <w:t>=3)</w:t>
            </w:r>
          </w:p>
        </w:tc>
        <w:tc>
          <w:tcPr>
            <w:tcW w:w="1852" w:type="dxa"/>
            <w:tcBorders>
              <w:top w:val="nil"/>
              <w:bottom w:val="nil"/>
            </w:tcBorders>
          </w:tcPr>
          <w:p w14:paraId="2BEA6422" w14:textId="0773296D" w:rsidR="007C1BA9" w:rsidRPr="004C78D8" w:rsidRDefault="007C1BA9" w:rsidP="00FB7C1F">
            <w:pPr>
              <w:jc w:val="center"/>
              <w:rPr>
                <w:sz w:val="20"/>
                <w:szCs w:val="20"/>
              </w:rPr>
            </w:pPr>
            <w:r w:rsidRPr="004C78D8">
              <w:rPr>
                <w:sz w:val="20"/>
                <w:szCs w:val="20"/>
              </w:rPr>
              <w:t>3.9</w:t>
            </w:r>
            <w:r w:rsidR="00173819" w:rsidRPr="004C78D8">
              <w:rPr>
                <w:sz w:val="20"/>
                <w:szCs w:val="20"/>
              </w:rPr>
              <w:t>0</w:t>
            </w:r>
          </w:p>
        </w:tc>
        <w:tc>
          <w:tcPr>
            <w:tcW w:w="1932" w:type="dxa"/>
            <w:tcBorders>
              <w:top w:val="nil"/>
              <w:bottom w:val="nil"/>
            </w:tcBorders>
          </w:tcPr>
          <w:p w14:paraId="5A104225" w14:textId="64A61B30" w:rsidR="007C1BA9" w:rsidRPr="004C78D8" w:rsidRDefault="007C1BA9" w:rsidP="00FB7C1F">
            <w:pPr>
              <w:jc w:val="center"/>
              <w:rPr>
                <w:sz w:val="20"/>
                <w:szCs w:val="20"/>
              </w:rPr>
            </w:pPr>
            <w:r w:rsidRPr="004C78D8">
              <w:rPr>
                <w:sz w:val="20"/>
                <w:szCs w:val="20"/>
              </w:rPr>
              <w:t>4.</w:t>
            </w:r>
            <w:r w:rsidR="00173819" w:rsidRPr="004C78D8">
              <w:rPr>
                <w:sz w:val="20"/>
                <w:szCs w:val="20"/>
              </w:rPr>
              <w:t>10</w:t>
            </w:r>
          </w:p>
        </w:tc>
        <w:tc>
          <w:tcPr>
            <w:tcW w:w="1779" w:type="dxa"/>
            <w:tcBorders>
              <w:top w:val="nil"/>
              <w:bottom w:val="nil"/>
            </w:tcBorders>
          </w:tcPr>
          <w:p w14:paraId="3CC65E75" w14:textId="07CCC5D8" w:rsidR="007C1BA9" w:rsidRPr="004C78D8" w:rsidRDefault="007C1BA9" w:rsidP="00FB7C1F">
            <w:pPr>
              <w:jc w:val="center"/>
              <w:rPr>
                <w:sz w:val="20"/>
                <w:szCs w:val="20"/>
              </w:rPr>
            </w:pPr>
            <w:r w:rsidRPr="004C78D8">
              <w:rPr>
                <w:sz w:val="20"/>
                <w:szCs w:val="20"/>
              </w:rPr>
              <w:t>0.</w:t>
            </w:r>
            <w:r w:rsidR="00173819" w:rsidRPr="004C78D8">
              <w:rPr>
                <w:sz w:val="20"/>
                <w:szCs w:val="20"/>
              </w:rPr>
              <w:t>20</w:t>
            </w:r>
          </w:p>
        </w:tc>
      </w:tr>
      <w:tr w:rsidR="007C1BA9" w:rsidRPr="004C78D8" w14:paraId="3DDF746B" w14:textId="77777777" w:rsidTr="00E35893">
        <w:tc>
          <w:tcPr>
            <w:tcW w:w="3345" w:type="dxa"/>
            <w:tcBorders>
              <w:top w:val="nil"/>
              <w:bottom w:val="nil"/>
            </w:tcBorders>
          </w:tcPr>
          <w:p w14:paraId="140952A8" w14:textId="77777777" w:rsidR="007C1BA9" w:rsidRPr="004C78D8" w:rsidRDefault="007C1BA9" w:rsidP="00FB7C1F">
            <w:pPr>
              <w:jc w:val="left"/>
              <w:rPr>
                <w:sz w:val="20"/>
                <w:szCs w:val="20"/>
              </w:rPr>
            </w:pPr>
            <w:r w:rsidRPr="004C78D8">
              <w:rPr>
                <w:sz w:val="20"/>
                <w:szCs w:val="20"/>
              </w:rPr>
              <w:t>Societal Atkinson EDE NHB (</w:t>
            </w:r>
            <w:r w:rsidRPr="004C78D8">
              <w:rPr>
                <w:rFonts w:cs="Times New Roman"/>
                <w:sz w:val="20"/>
                <w:szCs w:val="20"/>
              </w:rPr>
              <w:t>ε</w:t>
            </w:r>
            <w:r w:rsidRPr="004C78D8">
              <w:rPr>
                <w:sz w:val="20"/>
                <w:szCs w:val="20"/>
              </w:rPr>
              <w:t>=5)</w:t>
            </w:r>
          </w:p>
        </w:tc>
        <w:tc>
          <w:tcPr>
            <w:tcW w:w="1852" w:type="dxa"/>
            <w:tcBorders>
              <w:top w:val="nil"/>
              <w:bottom w:val="nil"/>
            </w:tcBorders>
          </w:tcPr>
          <w:p w14:paraId="44B4B200" w14:textId="6BB2137E" w:rsidR="007C1BA9" w:rsidRPr="00972766" w:rsidRDefault="007C1BA9" w:rsidP="00972766">
            <w:pPr>
              <w:jc w:val="center"/>
              <w:rPr>
                <w:sz w:val="20"/>
                <w:szCs w:val="20"/>
              </w:rPr>
            </w:pPr>
            <w:r w:rsidRPr="00972766">
              <w:rPr>
                <w:sz w:val="20"/>
                <w:szCs w:val="20"/>
              </w:rPr>
              <w:t>3.7</w:t>
            </w:r>
            <w:r w:rsidR="00173819" w:rsidRPr="004C78D8">
              <w:rPr>
                <w:sz w:val="20"/>
                <w:szCs w:val="20"/>
              </w:rPr>
              <w:t>0</w:t>
            </w:r>
          </w:p>
        </w:tc>
        <w:tc>
          <w:tcPr>
            <w:tcW w:w="1932" w:type="dxa"/>
            <w:tcBorders>
              <w:top w:val="nil"/>
              <w:bottom w:val="nil"/>
            </w:tcBorders>
          </w:tcPr>
          <w:p w14:paraId="631D81F7" w14:textId="78213F52" w:rsidR="007C1BA9" w:rsidRPr="00972766" w:rsidRDefault="007C1BA9" w:rsidP="00972766">
            <w:pPr>
              <w:jc w:val="center"/>
              <w:rPr>
                <w:sz w:val="20"/>
                <w:szCs w:val="20"/>
              </w:rPr>
            </w:pPr>
            <w:r w:rsidRPr="00972766">
              <w:rPr>
                <w:sz w:val="20"/>
                <w:szCs w:val="20"/>
              </w:rPr>
              <w:t>3.8</w:t>
            </w:r>
            <w:r w:rsidR="00173819" w:rsidRPr="004C78D8">
              <w:rPr>
                <w:sz w:val="20"/>
                <w:szCs w:val="20"/>
              </w:rPr>
              <w:t>0</w:t>
            </w:r>
          </w:p>
        </w:tc>
        <w:tc>
          <w:tcPr>
            <w:tcW w:w="1779" w:type="dxa"/>
            <w:tcBorders>
              <w:top w:val="nil"/>
              <w:bottom w:val="nil"/>
            </w:tcBorders>
          </w:tcPr>
          <w:p w14:paraId="7E0FC402" w14:textId="262F00F7" w:rsidR="007C1BA9" w:rsidRPr="00972766" w:rsidRDefault="007C1BA9" w:rsidP="00972766">
            <w:pPr>
              <w:jc w:val="center"/>
              <w:rPr>
                <w:sz w:val="20"/>
                <w:szCs w:val="20"/>
              </w:rPr>
            </w:pPr>
            <w:r w:rsidRPr="00972766">
              <w:rPr>
                <w:sz w:val="20"/>
                <w:szCs w:val="20"/>
              </w:rPr>
              <w:t>0.1</w:t>
            </w:r>
            <w:r w:rsidR="00173819" w:rsidRPr="004C78D8">
              <w:rPr>
                <w:sz w:val="20"/>
                <w:szCs w:val="20"/>
              </w:rPr>
              <w:t>0</w:t>
            </w:r>
          </w:p>
        </w:tc>
      </w:tr>
      <w:tr w:rsidR="007C1BA9" w:rsidRPr="004C78D8" w14:paraId="1D0373F8" w14:textId="77777777" w:rsidTr="00E35893">
        <w:tc>
          <w:tcPr>
            <w:tcW w:w="3345" w:type="dxa"/>
            <w:tcBorders>
              <w:top w:val="nil"/>
              <w:bottom w:val="nil"/>
            </w:tcBorders>
          </w:tcPr>
          <w:p w14:paraId="4081F1BB" w14:textId="77777777" w:rsidR="007C1BA9" w:rsidRPr="004C78D8" w:rsidRDefault="007C1BA9" w:rsidP="00FB7C1F">
            <w:pPr>
              <w:jc w:val="left"/>
              <w:rPr>
                <w:sz w:val="20"/>
                <w:szCs w:val="20"/>
              </w:rPr>
            </w:pPr>
            <w:r w:rsidRPr="004C78D8">
              <w:rPr>
                <w:sz w:val="20"/>
                <w:szCs w:val="20"/>
              </w:rPr>
              <w:t>Societal Atkinson EDE NHB (</w:t>
            </w:r>
            <w:r w:rsidRPr="004C78D8">
              <w:rPr>
                <w:rFonts w:cs="Times New Roman"/>
                <w:sz w:val="20"/>
                <w:szCs w:val="20"/>
              </w:rPr>
              <w:t>ε</w:t>
            </w:r>
            <w:r w:rsidRPr="004C78D8">
              <w:rPr>
                <w:sz w:val="20"/>
                <w:szCs w:val="20"/>
              </w:rPr>
              <w:t>=11)</w:t>
            </w:r>
          </w:p>
        </w:tc>
        <w:tc>
          <w:tcPr>
            <w:tcW w:w="1852" w:type="dxa"/>
            <w:tcBorders>
              <w:top w:val="nil"/>
              <w:bottom w:val="nil"/>
            </w:tcBorders>
          </w:tcPr>
          <w:p w14:paraId="54236A00" w14:textId="5156F82A" w:rsidR="007C1BA9" w:rsidRPr="00972766" w:rsidRDefault="007C1BA9" w:rsidP="00972766">
            <w:pPr>
              <w:jc w:val="center"/>
              <w:rPr>
                <w:sz w:val="20"/>
                <w:szCs w:val="20"/>
              </w:rPr>
            </w:pPr>
            <w:r w:rsidRPr="00972766">
              <w:rPr>
                <w:sz w:val="20"/>
                <w:szCs w:val="20"/>
              </w:rPr>
              <w:t>3.3</w:t>
            </w:r>
            <w:r w:rsidR="00173819" w:rsidRPr="004C78D8">
              <w:rPr>
                <w:sz w:val="20"/>
                <w:szCs w:val="20"/>
              </w:rPr>
              <w:t>0</w:t>
            </w:r>
          </w:p>
        </w:tc>
        <w:tc>
          <w:tcPr>
            <w:tcW w:w="1932" w:type="dxa"/>
            <w:tcBorders>
              <w:top w:val="nil"/>
              <w:bottom w:val="nil"/>
            </w:tcBorders>
          </w:tcPr>
          <w:p w14:paraId="6DA65E62" w14:textId="601BDD31" w:rsidR="007C1BA9" w:rsidRPr="00972766" w:rsidRDefault="007C1BA9" w:rsidP="00972766">
            <w:pPr>
              <w:jc w:val="center"/>
              <w:rPr>
                <w:sz w:val="20"/>
                <w:szCs w:val="20"/>
              </w:rPr>
            </w:pPr>
            <w:r w:rsidRPr="00972766">
              <w:rPr>
                <w:sz w:val="20"/>
                <w:szCs w:val="20"/>
              </w:rPr>
              <w:t>3.3</w:t>
            </w:r>
            <w:r w:rsidR="00173819" w:rsidRPr="004C78D8">
              <w:rPr>
                <w:sz w:val="20"/>
                <w:szCs w:val="20"/>
              </w:rPr>
              <w:t>0</w:t>
            </w:r>
          </w:p>
        </w:tc>
        <w:tc>
          <w:tcPr>
            <w:tcW w:w="1779" w:type="dxa"/>
            <w:tcBorders>
              <w:top w:val="nil"/>
              <w:bottom w:val="nil"/>
            </w:tcBorders>
          </w:tcPr>
          <w:p w14:paraId="227FD462" w14:textId="58F5EA74" w:rsidR="007C1BA9" w:rsidRPr="00972766" w:rsidRDefault="007C1BA9" w:rsidP="00972766">
            <w:pPr>
              <w:jc w:val="center"/>
              <w:rPr>
                <w:sz w:val="20"/>
                <w:szCs w:val="20"/>
              </w:rPr>
            </w:pPr>
            <w:r w:rsidRPr="00972766">
              <w:rPr>
                <w:sz w:val="20"/>
                <w:szCs w:val="20"/>
              </w:rPr>
              <w:t>0</w:t>
            </w:r>
          </w:p>
        </w:tc>
      </w:tr>
      <w:tr w:rsidR="007C1BA9" w:rsidRPr="004C78D8" w14:paraId="2F4A865F" w14:textId="77777777" w:rsidTr="00E35893">
        <w:tc>
          <w:tcPr>
            <w:tcW w:w="3345" w:type="dxa"/>
            <w:tcBorders>
              <w:top w:val="nil"/>
              <w:bottom w:val="nil"/>
            </w:tcBorders>
          </w:tcPr>
          <w:p w14:paraId="59A0CA13" w14:textId="09BABC71" w:rsidR="007C1BA9" w:rsidRPr="004C78D8" w:rsidRDefault="007C1BA9" w:rsidP="00FB7C1F">
            <w:pPr>
              <w:jc w:val="left"/>
              <w:rPr>
                <w:sz w:val="20"/>
                <w:szCs w:val="20"/>
              </w:rPr>
            </w:pPr>
            <w:r w:rsidRPr="004C78D8">
              <w:rPr>
                <w:sz w:val="20"/>
                <w:szCs w:val="20"/>
              </w:rPr>
              <w:t>Societal Atkinson EDE NHB (</w:t>
            </w:r>
            <w:r w:rsidRPr="004C78D8">
              <w:rPr>
                <w:rFonts w:cs="Times New Roman"/>
                <w:sz w:val="20"/>
                <w:szCs w:val="20"/>
              </w:rPr>
              <w:t>ε</w:t>
            </w:r>
            <w:r w:rsidRPr="004C78D8">
              <w:rPr>
                <w:sz w:val="20"/>
                <w:szCs w:val="20"/>
              </w:rPr>
              <w:t>=12)</w:t>
            </w:r>
          </w:p>
        </w:tc>
        <w:tc>
          <w:tcPr>
            <w:tcW w:w="1852" w:type="dxa"/>
            <w:tcBorders>
              <w:top w:val="nil"/>
              <w:bottom w:val="nil"/>
            </w:tcBorders>
          </w:tcPr>
          <w:p w14:paraId="08751BCA" w14:textId="0D86C21D" w:rsidR="007C1BA9" w:rsidRPr="00972766" w:rsidRDefault="007C1BA9" w:rsidP="00972766">
            <w:pPr>
              <w:jc w:val="center"/>
              <w:rPr>
                <w:sz w:val="20"/>
                <w:szCs w:val="20"/>
              </w:rPr>
            </w:pPr>
            <w:r w:rsidRPr="00972766">
              <w:rPr>
                <w:sz w:val="20"/>
                <w:szCs w:val="20"/>
              </w:rPr>
              <w:t>3.2</w:t>
            </w:r>
            <w:r w:rsidR="00173819" w:rsidRPr="004C78D8">
              <w:rPr>
                <w:sz w:val="20"/>
                <w:szCs w:val="20"/>
              </w:rPr>
              <w:t>0</w:t>
            </w:r>
          </w:p>
        </w:tc>
        <w:tc>
          <w:tcPr>
            <w:tcW w:w="1932" w:type="dxa"/>
            <w:tcBorders>
              <w:top w:val="nil"/>
              <w:bottom w:val="nil"/>
            </w:tcBorders>
          </w:tcPr>
          <w:p w14:paraId="0FB7C28B" w14:textId="2825F7C6" w:rsidR="007C1BA9" w:rsidRPr="00972766" w:rsidRDefault="007C1BA9" w:rsidP="00972766">
            <w:pPr>
              <w:jc w:val="center"/>
              <w:rPr>
                <w:sz w:val="20"/>
                <w:szCs w:val="20"/>
              </w:rPr>
            </w:pPr>
            <w:r w:rsidRPr="00972766">
              <w:rPr>
                <w:sz w:val="20"/>
                <w:szCs w:val="20"/>
              </w:rPr>
              <w:t>3.1</w:t>
            </w:r>
            <w:r w:rsidR="00173819" w:rsidRPr="004C78D8">
              <w:rPr>
                <w:sz w:val="20"/>
                <w:szCs w:val="20"/>
              </w:rPr>
              <w:t>0</w:t>
            </w:r>
          </w:p>
        </w:tc>
        <w:tc>
          <w:tcPr>
            <w:tcW w:w="1779" w:type="dxa"/>
            <w:tcBorders>
              <w:top w:val="nil"/>
              <w:bottom w:val="nil"/>
            </w:tcBorders>
          </w:tcPr>
          <w:p w14:paraId="17AEFDC7" w14:textId="7AB73B8C" w:rsidR="007C1BA9" w:rsidRPr="00972766" w:rsidRDefault="007C1BA9" w:rsidP="00972766">
            <w:pPr>
              <w:jc w:val="center"/>
              <w:rPr>
                <w:sz w:val="20"/>
                <w:szCs w:val="20"/>
              </w:rPr>
            </w:pPr>
            <w:r w:rsidRPr="00972766">
              <w:rPr>
                <w:sz w:val="20"/>
                <w:szCs w:val="20"/>
              </w:rPr>
              <w:t>-0.1</w:t>
            </w:r>
            <w:r w:rsidR="00173819" w:rsidRPr="004C78D8">
              <w:rPr>
                <w:sz w:val="20"/>
                <w:szCs w:val="20"/>
              </w:rPr>
              <w:t>0</w:t>
            </w:r>
          </w:p>
        </w:tc>
      </w:tr>
      <w:tr w:rsidR="007C1BA9" w:rsidRPr="004C78D8" w14:paraId="0182066F" w14:textId="77777777" w:rsidTr="00E35893">
        <w:tc>
          <w:tcPr>
            <w:tcW w:w="3345" w:type="dxa"/>
            <w:tcBorders>
              <w:top w:val="nil"/>
              <w:bottom w:val="single" w:sz="4" w:space="0" w:color="auto"/>
            </w:tcBorders>
          </w:tcPr>
          <w:p w14:paraId="2884A5B2" w14:textId="77777777" w:rsidR="007C1BA9" w:rsidRPr="004C78D8" w:rsidRDefault="007C1BA9" w:rsidP="00FB7C1F">
            <w:pPr>
              <w:jc w:val="left"/>
              <w:rPr>
                <w:sz w:val="20"/>
                <w:szCs w:val="20"/>
              </w:rPr>
            </w:pPr>
            <w:r w:rsidRPr="004C78D8">
              <w:rPr>
                <w:sz w:val="20"/>
                <w:szCs w:val="20"/>
              </w:rPr>
              <w:t>Societal Atkinson EDE NHB (</w:t>
            </w:r>
            <w:r w:rsidRPr="004C78D8">
              <w:rPr>
                <w:rFonts w:cs="Times New Roman"/>
                <w:sz w:val="20"/>
                <w:szCs w:val="20"/>
              </w:rPr>
              <w:t>ε</w:t>
            </w:r>
            <w:r w:rsidRPr="004C78D8">
              <w:rPr>
                <w:sz w:val="20"/>
                <w:szCs w:val="20"/>
              </w:rPr>
              <w:t>=30)</w:t>
            </w:r>
          </w:p>
        </w:tc>
        <w:tc>
          <w:tcPr>
            <w:tcW w:w="1852" w:type="dxa"/>
            <w:tcBorders>
              <w:top w:val="nil"/>
              <w:bottom w:val="single" w:sz="4" w:space="0" w:color="auto"/>
            </w:tcBorders>
          </w:tcPr>
          <w:p w14:paraId="03D564C6" w14:textId="4A790D23" w:rsidR="007C1BA9" w:rsidRPr="00972766" w:rsidRDefault="007C1BA9" w:rsidP="00972766">
            <w:pPr>
              <w:jc w:val="center"/>
              <w:rPr>
                <w:sz w:val="20"/>
                <w:szCs w:val="20"/>
              </w:rPr>
            </w:pPr>
            <w:r w:rsidRPr="00972766">
              <w:rPr>
                <w:sz w:val="20"/>
                <w:szCs w:val="20"/>
              </w:rPr>
              <w:t>3.1</w:t>
            </w:r>
            <w:r w:rsidR="00173819" w:rsidRPr="004C78D8">
              <w:rPr>
                <w:sz w:val="20"/>
                <w:szCs w:val="20"/>
              </w:rPr>
              <w:t>0</w:t>
            </w:r>
          </w:p>
        </w:tc>
        <w:tc>
          <w:tcPr>
            <w:tcW w:w="1932" w:type="dxa"/>
            <w:tcBorders>
              <w:top w:val="nil"/>
              <w:bottom w:val="single" w:sz="4" w:space="0" w:color="auto"/>
            </w:tcBorders>
          </w:tcPr>
          <w:p w14:paraId="2C87C1DE" w14:textId="1A2EC128" w:rsidR="007C1BA9" w:rsidRPr="00972766" w:rsidRDefault="007C1BA9" w:rsidP="00972766">
            <w:pPr>
              <w:jc w:val="center"/>
              <w:rPr>
                <w:sz w:val="20"/>
                <w:szCs w:val="20"/>
              </w:rPr>
            </w:pPr>
            <w:r w:rsidRPr="00972766">
              <w:rPr>
                <w:sz w:val="20"/>
                <w:szCs w:val="20"/>
              </w:rPr>
              <w:t>2.9</w:t>
            </w:r>
            <w:r w:rsidR="00173819" w:rsidRPr="004C78D8">
              <w:rPr>
                <w:sz w:val="20"/>
                <w:szCs w:val="20"/>
              </w:rPr>
              <w:t>0</w:t>
            </w:r>
          </w:p>
        </w:tc>
        <w:tc>
          <w:tcPr>
            <w:tcW w:w="1779" w:type="dxa"/>
            <w:tcBorders>
              <w:top w:val="nil"/>
              <w:bottom w:val="single" w:sz="4" w:space="0" w:color="auto"/>
            </w:tcBorders>
          </w:tcPr>
          <w:p w14:paraId="6F25357E" w14:textId="62216347" w:rsidR="007C1BA9" w:rsidRPr="00972766" w:rsidRDefault="007C1BA9" w:rsidP="00972766">
            <w:pPr>
              <w:jc w:val="center"/>
              <w:rPr>
                <w:sz w:val="20"/>
                <w:szCs w:val="20"/>
              </w:rPr>
            </w:pPr>
            <w:r w:rsidRPr="00972766">
              <w:rPr>
                <w:sz w:val="20"/>
                <w:szCs w:val="20"/>
              </w:rPr>
              <w:t>-0.2</w:t>
            </w:r>
            <w:r w:rsidR="00173819" w:rsidRPr="004C78D8">
              <w:rPr>
                <w:sz w:val="20"/>
                <w:szCs w:val="20"/>
              </w:rPr>
              <w:t>0</w:t>
            </w:r>
          </w:p>
        </w:tc>
      </w:tr>
      <w:tr w:rsidR="007C1BA9" w:rsidRPr="004C78D8" w14:paraId="37E09CDE" w14:textId="77777777" w:rsidTr="00E35893">
        <w:tc>
          <w:tcPr>
            <w:tcW w:w="3345" w:type="dxa"/>
            <w:tcBorders>
              <w:bottom w:val="nil"/>
            </w:tcBorders>
          </w:tcPr>
          <w:p w14:paraId="743D73EA" w14:textId="2A59D662" w:rsidR="007C1BA9" w:rsidRPr="004C78D8" w:rsidRDefault="007C1BA9" w:rsidP="00FB7C1F">
            <w:pPr>
              <w:jc w:val="left"/>
              <w:rPr>
                <w:sz w:val="20"/>
                <w:szCs w:val="20"/>
              </w:rPr>
            </w:pPr>
            <w:r w:rsidRPr="004C78D8">
              <w:rPr>
                <w:sz w:val="20"/>
                <w:szCs w:val="20"/>
              </w:rPr>
              <w:t>Societal Kolm EDE NHB (</w:t>
            </w:r>
            <w:r w:rsidRPr="004C78D8">
              <w:rPr>
                <w:rFonts w:cs="Times New Roman"/>
                <w:sz w:val="20"/>
                <w:szCs w:val="20"/>
              </w:rPr>
              <w:t>α</w:t>
            </w:r>
            <w:r w:rsidRPr="004C78D8">
              <w:rPr>
                <w:sz w:val="20"/>
                <w:szCs w:val="20"/>
              </w:rPr>
              <w:t>=0.025)</w:t>
            </w:r>
          </w:p>
        </w:tc>
        <w:tc>
          <w:tcPr>
            <w:tcW w:w="1852" w:type="dxa"/>
            <w:tcBorders>
              <w:bottom w:val="nil"/>
            </w:tcBorders>
          </w:tcPr>
          <w:p w14:paraId="7494BC8F" w14:textId="4F3EC8EE" w:rsidR="007C1BA9" w:rsidRPr="00972766" w:rsidRDefault="007C1BA9" w:rsidP="00972766">
            <w:pPr>
              <w:jc w:val="center"/>
              <w:rPr>
                <w:sz w:val="20"/>
                <w:szCs w:val="20"/>
              </w:rPr>
            </w:pPr>
            <w:r w:rsidRPr="00972766">
              <w:rPr>
                <w:sz w:val="20"/>
                <w:szCs w:val="20"/>
              </w:rPr>
              <w:t>3.9</w:t>
            </w:r>
            <w:r w:rsidR="00173819" w:rsidRPr="004C78D8">
              <w:rPr>
                <w:sz w:val="20"/>
                <w:szCs w:val="20"/>
              </w:rPr>
              <w:t>0</w:t>
            </w:r>
          </w:p>
        </w:tc>
        <w:tc>
          <w:tcPr>
            <w:tcW w:w="1932" w:type="dxa"/>
            <w:tcBorders>
              <w:bottom w:val="nil"/>
            </w:tcBorders>
          </w:tcPr>
          <w:p w14:paraId="0912BC8E" w14:textId="0D6A663E" w:rsidR="007C1BA9" w:rsidRPr="00972766" w:rsidRDefault="007C1BA9" w:rsidP="00972766">
            <w:pPr>
              <w:jc w:val="center"/>
              <w:rPr>
                <w:sz w:val="20"/>
                <w:szCs w:val="20"/>
              </w:rPr>
            </w:pPr>
            <w:r w:rsidRPr="00972766">
              <w:rPr>
                <w:sz w:val="20"/>
                <w:szCs w:val="20"/>
              </w:rPr>
              <w:t>4.</w:t>
            </w:r>
            <w:r w:rsidR="00173819" w:rsidRPr="004C78D8">
              <w:rPr>
                <w:sz w:val="20"/>
                <w:szCs w:val="20"/>
              </w:rPr>
              <w:t>10</w:t>
            </w:r>
          </w:p>
        </w:tc>
        <w:tc>
          <w:tcPr>
            <w:tcW w:w="1779" w:type="dxa"/>
            <w:tcBorders>
              <w:bottom w:val="nil"/>
            </w:tcBorders>
          </w:tcPr>
          <w:p w14:paraId="2ED837C7" w14:textId="69ADF82A" w:rsidR="007C1BA9" w:rsidRPr="00972766" w:rsidRDefault="007C1BA9" w:rsidP="00972766">
            <w:pPr>
              <w:jc w:val="center"/>
              <w:rPr>
                <w:sz w:val="20"/>
                <w:szCs w:val="20"/>
              </w:rPr>
            </w:pPr>
            <w:r w:rsidRPr="00972766">
              <w:rPr>
                <w:sz w:val="20"/>
                <w:szCs w:val="20"/>
              </w:rPr>
              <w:t>0.</w:t>
            </w:r>
            <w:r w:rsidR="00173819" w:rsidRPr="004C78D8">
              <w:rPr>
                <w:sz w:val="20"/>
                <w:szCs w:val="20"/>
              </w:rPr>
              <w:t>20</w:t>
            </w:r>
          </w:p>
        </w:tc>
      </w:tr>
      <w:tr w:rsidR="007C1BA9" w:rsidRPr="004C78D8" w14:paraId="0F75D94D" w14:textId="77777777" w:rsidTr="00E35893">
        <w:tc>
          <w:tcPr>
            <w:tcW w:w="3345" w:type="dxa"/>
            <w:tcBorders>
              <w:top w:val="nil"/>
              <w:bottom w:val="nil"/>
            </w:tcBorders>
          </w:tcPr>
          <w:p w14:paraId="3EEEC6BE" w14:textId="77777777" w:rsidR="007C1BA9" w:rsidRPr="004C78D8" w:rsidRDefault="007C1BA9" w:rsidP="00FB7C1F">
            <w:pPr>
              <w:jc w:val="left"/>
              <w:rPr>
                <w:sz w:val="20"/>
                <w:szCs w:val="20"/>
              </w:rPr>
            </w:pPr>
            <w:r w:rsidRPr="004C78D8">
              <w:rPr>
                <w:sz w:val="20"/>
                <w:szCs w:val="20"/>
              </w:rPr>
              <w:t>Societal Kolm EDE NHB (</w:t>
            </w:r>
            <w:r w:rsidRPr="004C78D8">
              <w:rPr>
                <w:rFonts w:cs="Times New Roman"/>
                <w:sz w:val="20"/>
                <w:szCs w:val="20"/>
              </w:rPr>
              <w:t>α</w:t>
            </w:r>
            <w:r w:rsidRPr="004C78D8">
              <w:rPr>
                <w:sz w:val="20"/>
                <w:szCs w:val="20"/>
              </w:rPr>
              <w:t>=0.05)</w:t>
            </w:r>
          </w:p>
        </w:tc>
        <w:tc>
          <w:tcPr>
            <w:tcW w:w="1852" w:type="dxa"/>
            <w:tcBorders>
              <w:top w:val="nil"/>
              <w:bottom w:val="nil"/>
            </w:tcBorders>
          </w:tcPr>
          <w:p w14:paraId="694B358C" w14:textId="057BDE79" w:rsidR="007C1BA9" w:rsidRPr="00972766" w:rsidRDefault="007C1BA9" w:rsidP="00972766">
            <w:pPr>
              <w:jc w:val="center"/>
              <w:rPr>
                <w:sz w:val="20"/>
                <w:szCs w:val="20"/>
              </w:rPr>
            </w:pPr>
            <w:r w:rsidRPr="00972766">
              <w:rPr>
                <w:sz w:val="20"/>
                <w:szCs w:val="20"/>
              </w:rPr>
              <w:t>3.8</w:t>
            </w:r>
            <w:r w:rsidR="00173819" w:rsidRPr="004C78D8">
              <w:rPr>
                <w:sz w:val="20"/>
                <w:szCs w:val="20"/>
              </w:rPr>
              <w:t>0</w:t>
            </w:r>
          </w:p>
        </w:tc>
        <w:tc>
          <w:tcPr>
            <w:tcW w:w="1932" w:type="dxa"/>
            <w:tcBorders>
              <w:top w:val="nil"/>
              <w:bottom w:val="nil"/>
            </w:tcBorders>
          </w:tcPr>
          <w:p w14:paraId="0552237D" w14:textId="0CED2042" w:rsidR="007C1BA9" w:rsidRPr="00972766" w:rsidRDefault="007C1BA9" w:rsidP="00972766">
            <w:pPr>
              <w:jc w:val="center"/>
              <w:rPr>
                <w:sz w:val="20"/>
                <w:szCs w:val="20"/>
              </w:rPr>
            </w:pPr>
            <w:r w:rsidRPr="00972766">
              <w:rPr>
                <w:sz w:val="20"/>
                <w:szCs w:val="20"/>
              </w:rPr>
              <w:t>3.9</w:t>
            </w:r>
            <w:r w:rsidR="00173819" w:rsidRPr="004C78D8">
              <w:rPr>
                <w:sz w:val="20"/>
                <w:szCs w:val="20"/>
              </w:rPr>
              <w:t>0</w:t>
            </w:r>
          </w:p>
        </w:tc>
        <w:tc>
          <w:tcPr>
            <w:tcW w:w="1779" w:type="dxa"/>
            <w:tcBorders>
              <w:top w:val="nil"/>
              <w:bottom w:val="nil"/>
            </w:tcBorders>
          </w:tcPr>
          <w:p w14:paraId="3B282DE7" w14:textId="4C92C741" w:rsidR="007C1BA9" w:rsidRPr="00972766" w:rsidRDefault="007C1BA9" w:rsidP="00972766">
            <w:pPr>
              <w:jc w:val="center"/>
              <w:rPr>
                <w:sz w:val="20"/>
                <w:szCs w:val="20"/>
              </w:rPr>
            </w:pPr>
            <w:r w:rsidRPr="00972766">
              <w:rPr>
                <w:sz w:val="20"/>
                <w:szCs w:val="20"/>
              </w:rPr>
              <w:t>0.1</w:t>
            </w:r>
            <w:r w:rsidR="00173819" w:rsidRPr="004C78D8">
              <w:rPr>
                <w:sz w:val="20"/>
                <w:szCs w:val="20"/>
              </w:rPr>
              <w:t>0</w:t>
            </w:r>
          </w:p>
        </w:tc>
      </w:tr>
      <w:tr w:rsidR="007C1BA9" w:rsidRPr="004C78D8" w14:paraId="16227BF1" w14:textId="77777777" w:rsidTr="00E35893">
        <w:tc>
          <w:tcPr>
            <w:tcW w:w="3345" w:type="dxa"/>
            <w:tcBorders>
              <w:top w:val="nil"/>
              <w:bottom w:val="nil"/>
            </w:tcBorders>
          </w:tcPr>
          <w:p w14:paraId="371E2568" w14:textId="77777777" w:rsidR="007C1BA9" w:rsidRPr="004C78D8" w:rsidRDefault="007C1BA9" w:rsidP="00FB7C1F">
            <w:pPr>
              <w:jc w:val="left"/>
              <w:rPr>
                <w:sz w:val="20"/>
                <w:szCs w:val="20"/>
              </w:rPr>
            </w:pPr>
            <w:r w:rsidRPr="004C78D8">
              <w:rPr>
                <w:sz w:val="20"/>
                <w:szCs w:val="20"/>
              </w:rPr>
              <w:t>Societal Kolm EDE NHB (</w:t>
            </w:r>
            <w:r w:rsidRPr="004C78D8">
              <w:rPr>
                <w:rFonts w:cs="Times New Roman"/>
                <w:sz w:val="20"/>
                <w:szCs w:val="20"/>
              </w:rPr>
              <w:t>α</w:t>
            </w:r>
            <w:r w:rsidRPr="004C78D8">
              <w:rPr>
                <w:sz w:val="20"/>
                <w:szCs w:val="20"/>
              </w:rPr>
              <w:t>=0.15)</w:t>
            </w:r>
          </w:p>
        </w:tc>
        <w:tc>
          <w:tcPr>
            <w:tcW w:w="1852" w:type="dxa"/>
            <w:tcBorders>
              <w:top w:val="nil"/>
              <w:bottom w:val="nil"/>
            </w:tcBorders>
          </w:tcPr>
          <w:p w14:paraId="1A8DD6BB" w14:textId="61FA0490" w:rsidR="007C1BA9" w:rsidRPr="00972766" w:rsidRDefault="007C1BA9" w:rsidP="00972766">
            <w:pPr>
              <w:jc w:val="center"/>
              <w:rPr>
                <w:sz w:val="20"/>
                <w:szCs w:val="20"/>
              </w:rPr>
            </w:pPr>
            <w:r w:rsidRPr="00972766">
              <w:rPr>
                <w:sz w:val="20"/>
                <w:szCs w:val="20"/>
              </w:rPr>
              <w:t>3.7</w:t>
            </w:r>
            <w:r w:rsidR="00173819" w:rsidRPr="004C78D8">
              <w:rPr>
                <w:sz w:val="20"/>
                <w:szCs w:val="20"/>
              </w:rPr>
              <w:t>0</w:t>
            </w:r>
          </w:p>
        </w:tc>
        <w:tc>
          <w:tcPr>
            <w:tcW w:w="1932" w:type="dxa"/>
            <w:tcBorders>
              <w:top w:val="nil"/>
              <w:bottom w:val="nil"/>
            </w:tcBorders>
          </w:tcPr>
          <w:p w14:paraId="4E739681" w14:textId="2FF243C8" w:rsidR="007C1BA9" w:rsidRPr="00972766" w:rsidRDefault="007C1BA9" w:rsidP="00972766">
            <w:pPr>
              <w:jc w:val="center"/>
              <w:rPr>
                <w:sz w:val="20"/>
                <w:szCs w:val="20"/>
              </w:rPr>
            </w:pPr>
            <w:r w:rsidRPr="00972766">
              <w:rPr>
                <w:sz w:val="20"/>
                <w:szCs w:val="20"/>
              </w:rPr>
              <w:t>3.7</w:t>
            </w:r>
            <w:r w:rsidR="00173819" w:rsidRPr="004C78D8">
              <w:rPr>
                <w:sz w:val="20"/>
                <w:szCs w:val="20"/>
              </w:rPr>
              <w:t>0</w:t>
            </w:r>
          </w:p>
        </w:tc>
        <w:tc>
          <w:tcPr>
            <w:tcW w:w="1779" w:type="dxa"/>
            <w:tcBorders>
              <w:top w:val="nil"/>
              <w:bottom w:val="nil"/>
            </w:tcBorders>
          </w:tcPr>
          <w:p w14:paraId="4361B325" w14:textId="4BEA8637" w:rsidR="007C1BA9" w:rsidRPr="00972766" w:rsidRDefault="007C1BA9" w:rsidP="00972766">
            <w:pPr>
              <w:jc w:val="center"/>
              <w:rPr>
                <w:sz w:val="20"/>
                <w:szCs w:val="20"/>
              </w:rPr>
            </w:pPr>
            <w:r w:rsidRPr="00972766">
              <w:rPr>
                <w:sz w:val="20"/>
                <w:szCs w:val="20"/>
              </w:rPr>
              <w:t>0</w:t>
            </w:r>
          </w:p>
        </w:tc>
      </w:tr>
      <w:tr w:rsidR="007C1BA9" w:rsidRPr="004C78D8" w14:paraId="1F2BB31C" w14:textId="77777777" w:rsidTr="00972766">
        <w:tc>
          <w:tcPr>
            <w:tcW w:w="3345" w:type="dxa"/>
            <w:tcBorders>
              <w:top w:val="nil"/>
              <w:bottom w:val="single" w:sz="4" w:space="0" w:color="auto"/>
            </w:tcBorders>
          </w:tcPr>
          <w:p w14:paraId="43F99CCD" w14:textId="77777777" w:rsidR="007C1BA9" w:rsidRPr="004C78D8" w:rsidRDefault="007C1BA9" w:rsidP="00FB7C1F">
            <w:pPr>
              <w:jc w:val="left"/>
              <w:rPr>
                <w:sz w:val="20"/>
                <w:szCs w:val="20"/>
              </w:rPr>
            </w:pPr>
            <w:r w:rsidRPr="004C78D8">
              <w:rPr>
                <w:sz w:val="20"/>
                <w:szCs w:val="20"/>
              </w:rPr>
              <w:t>Societal Kolm EDE NHB (</w:t>
            </w:r>
            <w:r w:rsidRPr="004C78D8">
              <w:rPr>
                <w:rFonts w:cs="Times New Roman"/>
                <w:sz w:val="20"/>
                <w:szCs w:val="20"/>
              </w:rPr>
              <w:t>α</w:t>
            </w:r>
            <w:r w:rsidRPr="004C78D8">
              <w:rPr>
                <w:sz w:val="20"/>
                <w:szCs w:val="20"/>
              </w:rPr>
              <w:t>=0.5)</w:t>
            </w:r>
          </w:p>
        </w:tc>
        <w:tc>
          <w:tcPr>
            <w:tcW w:w="1852" w:type="dxa"/>
            <w:tcBorders>
              <w:top w:val="nil"/>
              <w:bottom w:val="single" w:sz="4" w:space="0" w:color="auto"/>
            </w:tcBorders>
          </w:tcPr>
          <w:p w14:paraId="5A012C8D" w14:textId="688A7F6F" w:rsidR="007C1BA9" w:rsidRPr="00972766" w:rsidRDefault="007C1BA9" w:rsidP="00972766">
            <w:pPr>
              <w:jc w:val="center"/>
              <w:rPr>
                <w:sz w:val="20"/>
                <w:szCs w:val="20"/>
              </w:rPr>
            </w:pPr>
            <w:r w:rsidRPr="00972766">
              <w:rPr>
                <w:sz w:val="20"/>
                <w:szCs w:val="20"/>
              </w:rPr>
              <w:t>3.5</w:t>
            </w:r>
            <w:r w:rsidR="00173819" w:rsidRPr="004C78D8">
              <w:rPr>
                <w:sz w:val="20"/>
                <w:szCs w:val="20"/>
              </w:rPr>
              <w:t>0</w:t>
            </w:r>
          </w:p>
        </w:tc>
        <w:tc>
          <w:tcPr>
            <w:tcW w:w="1932" w:type="dxa"/>
            <w:tcBorders>
              <w:top w:val="nil"/>
              <w:bottom w:val="single" w:sz="4" w:space="0" w:color="auto"/>
            </w:tcBorders>
          </w:tcPr>
          <w:p w14:paraId="7A171362" w14:textId="5AA77991" w:rsidR="007C1BA9" w:rsidRPr="00972766" w:rsidRDefault="007C1BA9" w:rsidP="00972766">
            <w:pPr>
              <w:jc w:val="center"/>
              <w:rPr>
                <w:sz w:val="20"/>
                <w:szCs w:val="20"/>
              </w:rPr>
            </w:pPr>
            <w:r w:rsidRPr="00972766">
              <w:rPr>
                <w:sz w:val="20"/>
                <w:szCs w:val="20"/>
              </w:rPr>
              <w:t>3.4</w:t>
            </w:r>
            <w:r w:rsidR="00173819" w:rsidRPr="004C78D8">
              <w:rPr>
                <w:sz w:val="20"/>
                <w:szCs w:val="20"/>
              </w:rPr>
              <w:t>0</w:t>
            </w:r>
          </w:p>
        </w:tc>
        <w:tc>
          <w:tcPr>
            <w:tcW w:w="1779" w:type="dxa"/>
            <w:tcBorders>
              <w:top w:val="nil"/>
              <w:bottom w:val="single" w:sz="4" w:space="0" w:color="auto"/>
            </w:tcBorders>
          </w:tcPr>
          <w:p w14:paraId="624F8199" w14:textId="2CB57339" w:rsidR="007C1BA9" w:rsidRPr="00972766" w:rsidRDefault="007C1BA9" w:rsidP="00972766">
            <w:pPr>
              <w:jc w:val="center"/>
              <w:rPr>
                <w:sz w:val="20"/>
                <w:szCs w:val="20"/>
              </w:rPr>
            </w:pPr>
            <w:r w:rsidRPr="00972766">
              <w:rPr>
                <w:sz w:val="20"/>
                <w:szCs w:val="20"/>
              </w:rPr>
              <w:t>-0.1</w:t>
            </w:r>
            <w:r w:rsidR="00173819" w:rsidRPr="004C78D8">
              <w:rPr>
                <w:sz w:val="20"/>
                <w:szCs w:val="20"/>
              </w:rPr>
              <w:t>0</w:t>
            </w:r>
          </w:p>
        </w:tc>
      </w:tr>
      <w:tr w:rsidR="00E84F64" w:rsidRPr="004C78D8" w14:paraId="5ABB09BD" w14:textId="77777777" w:rsidTr="00972766">
        <w:tc>
          <w:tcPr>
            <w:tcW w:w="8908" w:type="dxa"/>
            <w:gridSpan w:val="4"/>
            <w:tcBorders>
              <w:top w:val="single" w:sz="4" w:space="0" w:color="auto"/>
            </w:tcBorders>
          </w:tcPr>
          <w:p w14:paraId="58C36308" w14:textId="2D78ED7C" w:rsidR="00E84F64" w:rsidRPr="00972766" w:rsidRDefault="00E84F64" w:rsidP="00972766">
            <w:pPr>
              <w:jc w:val="left"/>
              <w:rPr>
                <w:sz w:val="18"/>
                <w:szCs w:val="18"/>
              </w:rPr>
            </w:pPr>
            <w:r w:rsidRPr="00972766">
              <w:rPr>
                <w:b/>
                <w:bCs/>
                <w:sz w:val="18"/>
                <w:szCs w:val="18"/>
              </w:rPr>
              <w:t>Abbreviation:</w:t>
            </w:r>
            <w:r w:rsidRPr="00972766">
              <w:rPr>
                <w:sz w:val="18"/>
                <w:szCs w:val="18"/>
              </w:rPr>
              <w:t xml:space="preserve"> EDE: equally distributed equivalent; NHB: net health benefit</w:t>
            </w:r>
          </w:p>
        </w:tc>
      </w:tr>
    </w:tbl>
    <w:p w14:paraId="2C69CB29" w14:textId="58AE2FE2" w:rsidR="00B91098" w:rsidRPr="004C78D8" w:rsidRDefault="008E24F6" w:rsidP="00FB7C1F">
      <w:r w:rsidRPr="004C78D8">
        <w:rPr>
          <w:rFonts w:cs="Times New Roman"/>
        </w:rPr>
        <w:t xml:space="preserve"> </w:t>
      </w:r>
    </w:p>
    <w:p w14:paraId="6640753B" w14:textId="75379046" w:rsidR="00AC1145" w:rsidRPr="004C78D8" w:rsidRDefault="00E56962" w:rsidP="00FB7C1F">
      <w:pPr>
        <w:rPr>
          <w:rFonts w:cs="Times New Roman"/>
        </w:rPr>
      </w:pPr>
      <w:r w:rsidRPr="004C78D8">
        <w:rPr>
          <w:rFonts w:cs="Times New Roman"/>
        </w:rPr>
        <w:t xml:space="preserve">Taking a simple average of the per-capita societal NHBs of subgroups </w:t>
      </w:r>
      <w:r w:rsidR="009A4DDD" w:rsidRPr="004C78D8">
        <w:rPr>
          <w:rFonts w:cs="Times New Roman"/>
        </w:rPr>
        <w:t xml:space="preserve">(e.g., SES quartiles) </w:t>
      </w:r>
      <w:r w:rsidRPr="004C78D8">
        <w:rPr>
          <w:rFonts w:cs="Times New Roman"/>
        </w:rPr>
        <w:t>produces a societal mean NHB of 4.0</w:t>
      </w:r>
      <w:r w:rsidR="00173819" w:rsidRPr="004C78D8">
        <w:rPr>
          <w:rFonts w:cs="Times New Roman"/>
        </w:rPr>
        <w:t>0</w:t>
      </w:r>
      <w:r w:rsidRPr="004C78D8">
        <w:rPr>
          <w:rFonts w:cs="Times New Roman"/>
        </w:rPr>
        <w:t xml:space="preserve"> under strategy A and 4.2</w:t>
      </w:r>
      <w:r w:rsidR="00173819" w:rsidRPr="004C78D8">
        <w:rPr>
          <w:rFonts w:cs="Times New Roman"/>
        </w:rPr>
        <w:t>5</w:t>
      </w:r>
      <w:r w:rsidRPr="004C78D8">
        <w:rPr>
          <w:rFonts w:cs="Times New Roman"/>
        </w:rPr>
        <w:t xml:space="preserve"> under strategy B. </w:t>
      </w:r>
      <w:r w:rsidR="00F407AF" w:rsidRPr="004C78D8">
        <w:rPr>
          <w:rFonts w:cs="Times New Roman"/>
        </w:rPr>
        <w:t>These are strategy-specific outcomes under no inequality aversion</w:t>
      </w:r>
      <w:r w:rsidR="007C1BA9" w:rsidRPr="004C78D8">
        <w:rPr>
          <w:rFonts w:cs="Times New Roman"/>
        </w:rPr>
        <w:t xml:space="preserve"> (or Atkinson index</w:t>
      </w:r>
      <w:r w:rsidR="007C1BA9" w:rsidRPr="00972766">
        <w:rPr>
          <w:rFonts w:cs="Times New Roman"/>
          <w:sz w:val="24"/>
          <w:szCs w:val="24"/>
        </w:rPr>
        <w:t xml:space="preserve"> </w:t>
      </w:r>
      <w:r w:rsidR="007C1BA9" w:rsidRPr="00972766">
        <w:rPr>
          <w:rFonts w:cs="Times New Roman"/>
        </w:rPr>
        <w:t>ε</w:t>
      </w:r>
      <w:r w:rsidR="007C1BA9" w:rsidRPr="00972766">
        <w:t>=0)</w:t>
      </w:r>
      <w:r w:rsidR="00F407AF" w:rsidRPr="004C78D8">
        <w:rPr>
          <w:rFonts w:cs="Times New Roman"/>
        </w:rPr>
        <w:t xml:space="preserve">. </w:t>
      </w:r>
      <w:r w:rsidR="00AC1145" w:rsidRPr="004C78D8">
        <w:rPr>
          <w:rFonts w:cs="Times New Roman"/>
        </w:rPr>
        <w:t>They generate an incremental outcome of 0.2</w:t>
      </w:r>
      <w:r w:rsidR="009A4DDD" w:rsidRPr="004C78D8">
        <w:rPr>
          <w:rFonts w:cs="Times New Roman"/>
        </w:rPr>
        <w:t>5</w:t>
      </w:r>
      <w:r w:rsidR="00AC1145" w:rsidRPr="004C78D8">
        <w:rPr>
          <w:rFonts w:cs="Times New Roman"/>
        </w:rPr>
        <w:t xml:space="preserve">: i.e., strategy B is cost-effective relative to strategy A, producing </w:t>
      </w:r>
      <w:r w:rsidR="00392054" w:rsidRPr="004C78D8">
        <w:rPr>
          <w:rFonts w:cs="Times New Roman"/>
        </w:rPr>
        <w:t xml:space="preserve">an </w:t>
      </w:r>
      <w:r w:rsidR="00AC1145" w:rsidRPr="004C78D8">
        <w:rPr>
          <w:rFonts w:cs="Times New Roman"/>
        </w:rPr>
        <w:t>additional 0.2</w:t>
      </w:r>
      <w:r w:rsidR="009A4DDD" w:rsidRPr="004C78D8">
        <w:rPr>
          <w:rFonts w:cs="Times New Roman"/>
        </w:rPr>
        <w:t>5</w:t>
      </w:r>
      <w:r w:rsidR="00AC1145" w:rsidRPr="004C78D8">
        <w:rPr>
          <w:rFonts w:cs="Times New Roman"/>
        </w:rPr>
        <w:t xml:space="preserve"> societal NHB per capita (averaged across </w:t>
      </w:r>
      <w:r w:rsidR="009A4DDD" w:rsidRPr="004C78D8">
        <w:rPr>
          <w:rFonts w:cs="Times New Roman"/>
        </w:rPr>
        <w:t>SES quartiles</w:t>
      </w:r>
      <w:r w:rsidR="00AC1145" w:rsidRPr="004C78D8">
        <w:rPr>
          <w:rFonts w:cs="Times New Roman"/>
        </w:rPr>
        <w:t xml:space="preserve">). </w:t>
      </w:r>
      <w:r w:rsidR="00392054" w:rsidRPr="004C78D8">
        <w:rPr>
          <w:rFonts w:cs="Times New Roman"/>
        </w:rPr>
        <w:t xml:space="preserve">This amount is referred </w:t>
      </w:r>
      <w:r w:rsidR="00E45690" w:rsidRPr="004C78D8">
        <w:rPr>
          <w:rFonts w:cs="Times New Roman"/>
        </w:rPr>
        <w:t xml:space="preserve">henceforth </w:t>
      </w:r>
      <w:r w:rsidR="00392054" w:rsidRPr="004C78D8">
        <w:rPr>
          <w:rFonts w:cs="Times New Roman"/>
        </w:rPr>
        <w:t xml:space="preserve">as the ‘incremental no-aversion mean’. </w:t>
      </w:r>
      <w:r w:rsidR="00AC1145" w:rsidRPr="004C78D8">
        <w:rPr>
          <w:rFonts w:cs="Times New Roman"/>
        </w:rPr>
        <w:t>The decision-maker interested in efficiency alone would choose B over A.</w:t>
      </w:r>
    </w:p>
    <w:p w14:paraId="1764A39E" w14:textId="3BA2B9D2" w:rsidR="003E4271" w:rsidRPr="004C78D8" w:rsidRDefault="00AC1145" w:rsidP="00FB7C1F">
      <w:pPr>
        <w:rPr>
          <w:rFonts w:cs="Times New Roman"/>
        </w:rPr>
      </w:pPr>
      <w:r w:rsidRPr="004C78D8">
        <w:rPr>
          <w:rFonts w:cs="Times New Roman"/>
        </w:rPr>
        <w:t>Now s</w:t>
      </w:r>
      <w:r w:rsidR="00F407AF" w:rsidRPr="004C78D8">
        <w:rPr>
          <w:rFonts w:cs="Times New Roman"/>
        </w:rPr>
        <w:t xml:space="preserve">uppose there exist unequal distributions of per-capita societal NHBs </w:t>
      </w:r>
      <w:r w:rsidR="00760768" w:rsidRPr="004C78D8">
        <w:rPr>
          <w:rFonts w:cs="Times New Roman"/>
        </w:rPr>
        <w:t>SES quartiles</w:t>
      </w:r>
      <w:r w:rsidRPr="004C78D8">
        <w:rPr>
          <w:rFonts w:cs="Times New Roman"/>
        </w:rPr>
        <w:t xml:space="preserve"> </w:t>
      </w:r>
      <w:r w:rsidR="00F407AF" w:rsidRPr="004C78D8">
        <w:rPr>
          <w:rFonts w:cs="Times New Roman"/>
        </w:rPr>
        <w:t>under both strategies</w:t>
      </w:r>
      <w:r w:rsidR="007C1BA9" w:rsidRPr="004C78D8">
        <w:rPr>
          <w:rFonts w:cs="Times New Roman"/>
        </w:rPr>
        <w:t xml:space="preserve">. Under </w:t>
      </w:r>
      <w:r w:rsidR="00696D11" w:rsidRPr="004C78D8">
        <w:rPr>
          <w:rFonts w:cs="Times New Roman"/>
        </w:rPr>
        <w:t xml:space="preserve">any </w:t>
      </w:r>
      <w:r w:rsidR="007C1BA9" w:rsidRPr="004C78D8">
        <w:rPr>
          <w:rFonts w:cs="Times New Roman"/>
        </w:rPr>
        <w:t xml:space="preserve">inequality aversion </w:t>
      </w:r>
      <w:r w:rsidR="00696D11" w:rsidRPr="004C78D8">
        <w:rPr>
          <w:rFonts w:cs="Times New Roman"/>
        </w:rPr>
        <w:t xml:space="preserve">parameter </w:t>
      </w:r>
      <w:r w:rsidR="00F830BF" w:rsidRPr="004C78D8">
        <w:rPr>
          <w:rFonts w:cs="Times New Roman"/>
        </w:rPr>
        <w:t xml:space="preserve">ε or α </w:t>
      </w:r>
      <w:r w:rsidR="00696D11" w:rsidRPr="004C78D8">
        <w:rPr>
          <w:rFonts w:cs="Times New Roman"/>
        </w:rPr>
        <w:t>above zero</w:t>
      </w:r>
      <w:r w:rsidR="007C1BA9" w:rsidRPr="004C78D8">
        <w:rPr>
          <w:rFonts w:cs="Times New Roman"/>
        </w:rPr>
        <w:t xml:space="preserve">, this results in EDE levels of societal NHB which are </w:t>
      </w:r>
      <w:r w:rsidR="003E4271" w:rsidRPr="004C78D8">
        <w:rPr>
          <w:rFonts w:cs="Times New Roman"/>
        </w:rPr>
        <w:t xml:space="preserve">always </w:t>
      </w:r>
      <w:r w:rsidR="007C1BA9" w:rsidRPr="00972766">
        <w:rPr>
          <w:rFonts w:cs="Times New Roman"/>
          <w:i/>
          <w:iCs/>
        </w:rPr>
        <w:t>below</w:t>
      </w:r>
      <w:r w:rsidR="007C1BA9" w:rsidRPr="004C78D8">
        <w:rPr>
          <w:rFonts w:cs="Times New Roman"/>
        </w:rPr>
        <w:t xml:space="preserve"> the societal mean NHB for both strategies</w:t>
      </w:r>
      <w:r w:rsidR="00F830BF" w:rsidRPr="004C78D8">
        <w:rPr>
          <w:rFonts w:cs="Times New Roman"/>
        </w:rPr>
        <w:t xml:space="preserve"> and falling further as the inequality aversion parameter increases</w:t>
      </w:r>
      <w:r w:rsidR="007C1BA9" w:rsidRPr="004C78D8">
        <w:rPr>
          <w:rFonts w:cs="Times New Roman"/>
        </w:rPr>
        <w:t xml:space="preserve">. Suppose also that strategy B </w:t>
      </w:r>
      <w:r w:rsidR="007C1BA9" w:rsidRPr="00972766">
        <w:rPr>
          <w:rFonts w:cs="Times New Roman"/>
          <w:i/>
          <w:iCs/>
        </w:rPr>
        <w:t>worsens</w:t>
      </w:r>
      <w:r w:rsidR="007C1BA9" w:rsidRPr="004C78D8">
        <w:rPr>
          <w:rFonts w:cs="Times New Roman"/>
        </w:rPr>
        <w:t xml:space="preserve"> the inequality relative to A. This results in the EDE level falling below the societal mean NHB at a faster rate under strategy B than A as the inequality aversion parameter increase</w:t>
      </w:r>
      <w:r w:rsidR="00F830BF" w:rsidRPr="004C78D8">
        <w:rPr>
          <w:rFonts w:cs="Times New Roman"/>
        </w:rPr>
        <w:t>s</w:t>
      </w:r>
      <w:r w:rsidR="003E4271" w:rsidRPr="004C78D8">
        <w:rPr>
          <w:rFonts w:cs="Times New Roman"/>
        </w:rPr>
        <w:t>: e.g., from 4.0</w:t>
      </w:r>
      <w:r w:rsidR="00F830BF" w:rsidRPr="004C78D8">
        <w:rPr>
          <w:rFonts w:cs="Times New Roman"/>
        </w:rPr>
        <w:t>0</w:t>
      </w:r>
      <w:r w:rsidR="003E4271" w:rsidRPr="004C78D8">
        <w:rPr>
          <w:rFonts w:cs="Times New Roman"/>
        </w:rPr>
        <w:t xml:space="preserve"> to 3.3</w:t>
      </w:r>
      <w:r w:rsidR="00F830BF" w:rsidRPr="004C78D8">
        <w:rPr>
          <w:rFonts w:cs="Times New Roman"/>
        </w:rPr>
        <w:t>0</w:t>
      </w:r>
      <w:r w:rsidR="003E4271" w:rsidRPr="004C78D8">
        <w:rPr>
          <w:rFonts w:cs="Times New Roman"/>
        </w:rPr>
        <w:t xml:space="preserve"> at ε = 11 under strategy A </w:t>
      </w:r>
      <w:r w:rsidR="00EA4962" w:rsidRPr="004C78D8">
        <w:rPr>
          <w:rFonts w:cs="Times New Roman"/>
        </w:rPr>
        <w:t>(decline of 0.70) compared to</w:t>
      </w:r>
      <w:r w:rsidR="003E4271" w:rsidRPr="004C78D8">
        <w:rPr>
          <w:rFonts w:cs="Times New Roman"/>
        </w:rPr>
        <w:t xml:space="preserve"> from 4.2</w:t>
      </w:r>
      <w:r w:rsidR="00F830BF" w:rsidRPr="004C78D8">
        <w:rPr>
          <w:rFonts w:cs="Times New Roman"/>
        </w:rPr>
        <w:t>5</w:t>
      </w:r>
      <w:r w:rsidR="003E4271" w:rsidRPr="004C78D8">
        <w:rPr>
          <w:rFonts w:cs="Times New Roman"/>
        </w:rPr>
        <w:t xml:space="preserve"> to 3.</w:t>
      </w:r>
      <w:r w:rsidR="00EA4962" w:rsidRPr="004C78D8">
        <w:rPr>
          <w:rFonts w:cs="Times New Roman"/>
        </w:rPr>
        <w:t>3</w:t>
      </w:r>
      <w:r w:rsidR="00F830BF" w:rsidRPr="004C78D8">
        <w:rPr>
          <w:rFonts w:cs="Times New Roman"/>
        </w:rPr>
        <w:t>0</w:t>
      </w:r>
      <w:r w:rsidR="003E4271" w:rsidRPr="004C78D8">
        <w:rPr>
          <w:rFonts w:cs="Times New Roman"/>
        </w:rPr>
        <w:t xml:space="preserve"> under strategy B</w:t>
      </w:r>
      <w:r w:rsidR="00EA4962" w:rsidRPr="004C78D8">
        <w:rPr>
          <w:rFonts w:cs="Times New Roman"/>
        </w:rPr>
        <w:t xml:space="preserve"> (decline of 0.95)</w:t>
      </w:r>
      <w:r w:rsidR="003E4271" w:rsidRPr="004C78D8">
        <w:rPr>
          <w:rFonts w:cs="Times New Roman"/>
        </w:rPr>
        <w:t xml:space="preserve">. </w:t>
      </w:r>
      <w:r w:rsidR="007C1BA9" w:rsidRPr="004C78D8">
        <w:rPr>
          <w:rFonts w:cs="Times New Roman"/>
        </w:rPr>
        <w:t xml:space="preserve"> </w:t>
      </w:r>
    </w:p>
    <w:p w14:paraId="08AFB5FD" w14:textId="6A6F11DF" w:rsidR="00E56962" w:rsidRPr="004C78D8" w:rsidRDefault="008A297A" w:rsidP="00FB7C1F">
      <w:pPr>
        <w:rPr>
          <w:rFonts w:cs="Times New Roman"/>
        </w:rPr>
      </w:pPr>
      <w:r w:rsidRPr="004C78D8">
        <w:rPr>
          <w:rFonts w:cs="Times New Roman"/>
        </w:rPr>
        <w:t>This also means that t</w:t>
      </w:r>
      <w:r w:rsidR="00696D11" w:rsidRPr="004C78D8">
        <w:rPr>
          <w:rFonts w:cs="Times New Roman"/>
        </w:rPr>
        <w:t xml:space="preserve">he </w:t>
      </w:r>
      <w:r w:rsidR="00696D11" w:rsidRPr="00972766">
        <w:rPr>
          <w:rFonts w:cs="Times New Roman"/>
          <w:i/>
          <w:iCs/>
        </w:rPr>
        <w:t>incremental</w:t>
      </w:r>
      <w:r w:rsidR="00696D11" w:rsidRPr="004C78D8">
        <w:rPr>
          <w:rFonts w:cs="Times New Roman"/>
        </w:rPr>
        <w:t xml:space="preserve"> EDE level of NHB in the last column (referred henceforth as EDE INHB)</w:t>
      </w:r>
      <w:r w:rsidR="007C1BA9" w:rsidRPr="004C78D8">
        <w:rPr>
          <w:rFonts w:cs="Times New Roman"/>
        </w:rPr>
        <w:t xml:space="preserve"> </w:t>
      </w:r>
      <w:r w:rsidRPr="004C78D8">
        <w:rPr>
          <w:rFonts w:cs="Times New Roman"/>
        </w:rPr>
        <w:t>falls below the incremental no-aversion mean of 0.2</w:t>
      </w:r>
      <w:r w:rsidR="00EA4962" w:rsidRPr="004C78D8">
        <w:rPr>
          <w:rFonts w:cs="Times New Roman"/>
        </w:rPr>
        <w:t>5</w:t>
      </w:r>
      <w:r w:rsidRPr="004C78D8">
        <w:rPr>
          <w:rFonts w:cs="Times New Roman"/>
        </w:rPr>
        <w:t xml:space="preserve"> as the inequality aversion parameters ε and α increase. The EDE INHB reaches zero at</w:t>
      </w:r>
      <w:r w:rsidR="00696D11" w:rsidRPr="004C78D8">
        <w:rPr>
          <w:rFonts w:cs="Times New Roman"/>
        </w:rPr>
        <w:t xml:space="preserve"> ε =</w:t>
      </w:r>
      <w:r w:rsidR="00E56962" w:rsidRPr="004C78D8">
        <w:rPr>
          <w:rFonts w:cs="Times New Roman"/>
        </w:rPr>
        <w:t xml:space="preserve"> </w:t>
      </w:r>
      <w:r w:rsidR="00696D11" w:rsidRPr="004C78D8">
        <w:rPr>
          <w:rFonts w:cs="Times New Roman"/>
        </w:rPr>
        <w:t xml:space="preserve">11 and α = 0.15. </w:t>
      </w:r>
      <w:r w:rsidR="00F72A24" w:rsidRPr="004C78D8">
        <w:rPr>
          <w:rFonts w:cs="Times New Roman"/>
        </w:rPr>
        <w:t xml:space="preserve">At any higher aversion levels, the decision-maker would choose strategy A over B due to the equity loss, despite the efficiency </w:t>
      </w:r>
      <w:r w:rsidR="00EA4962" w:rsidRPr="004C78D8">
        <w:rPr>
          <w:rFonts w:cs="Times New Roman"/>
        </w:rPr>
        <w:t>gain from</w:t>
      </w:r>
      <w:r w:rsidR="00F72A24" w:rsidRPr="004C78D8">
        <w:rPr>
          <w:rFonts w:cs="Times New Roman"/>
        </w:rPr>
        <w:t xml:space="preserve"> B. At lower aversion levels, B would </w:t>
      </w:r>
      <w:r w:rsidRPr="004C78D8">
        <w:rPr>
          <w:rFonts w:cs="Times New Roman"/>
        </w:rPr>
        <w:t xml:space="preserve">still </w:t>
      </w:r>
      <w:r w:rsidR="00F72A24" w:rsidRPr="004C78D8">
        <w:rPr>
          <w:rFonts w:cs="Times New Roman"/>
        </w:rPr>
        <w:t xml:space="preserve">be chosen despite the equity-efficiency trade-off. </w:t>
      </w:r>
    </w:p>
    <w:p w14:paraId="598D6014" w14:textId="2216A630" w:rsidR="00F4298E" w:rsidRPr="004C78D8" w:rsidRDefault="00F72A24" w:rsidP="00FB7C1F">
      <w:pPr>
        <w:rPr>
          <w:rFonts w:cs="Times New Roman"/>
        </w:rPr>
      </w:pPr>
      <w:r w:rsidRPr="004C78D8">
        <w:rPr>
          <w:rFonts w:cs="Times New Roman"/>
        </w:rPr>
        <w:t xml:space="preserve">Another possibility is that strategy B in fact </w:t>
      </w:r>
      <w:r w:rsidR="008A297A" w:rsidRPr="004C78D8">
        <w:rPr>
          <w:rFonts w:cs="Times New Roman"/>
          <w:i/>
          <w:iCs/>
        </w:rPr>
        <w:t>reduces</w:t>
      </w:r>
      <w:r w:rsidRPr="004C78D8">
        <w:rPr>
          <w:rFonts w:cs="Times New Roman"/>
        </w:rPr>
        <w:t xml:space="preserve"> SES-delineated inequality relative to A, as well as improving efficiency</w:t>
      </w:r>
      <w:r w:rsidR="00CB459F" w:rsidRPr="004C78D8">
        <w:rPr>
          <w:rFonts w:cs="Times New Roman"/>
        </w:rPr>
        <w:t>;</w:t>
      </w:r>
      <w:r w:rsidR="00EA4962" w:rsidRPr="004C78D8">
        <w:rPr>
          <w:rFonts w:cs="Times New Roman"/>
        </w:rPr>
        <w:t xml:space="preserve"> i.e., </w:t>
      </w:r>
      <w:r w:rsidR="00CB459F" w:rsidRPr="004C78D8">
        <w:rPr>
          <w:rFonts w:cs="Times New Roman"/>
        </w:rPr>
        <w:t>there is no</w:t>
      </w:r>
      <w:r w:rsidRPr="004C78D8">
        <w:rPr>
          <w:rFonts w:cs="Times New Roman"/>
        </w:rPr>
        <w:t xml:space="preserve"> equity-efficiency trade-off</w:t>
      </w:r>
      <w:r w:rsidR="00EA4962" w:rsidRPr="004C78D8">
        <w:rPr>
          <w:rFonts w:cs="Times New Roman"/>
        </w:rPr>
        <w:t>. This would</w:t>
      </w:r>
      <w:r w:rsidRPr="004C78D8">
        <w:rPr>
          <w:rFonts w:cs="Times New Roman"/>
        </w:rPr>
        <w:t xml:space="preserve"> be characterised by EDE INHBs being </w:t>
      </w:r>
      <w:r w:rsidRPr="00972766">
        <w:rPr>
          <w:rFonts w:cs="Times New Roman"/>
          <w:i/>
          <w:iCs/>
        </w:rPr>
        <w:t>higher</w:t>
      </w:r>
      <w:r w:rsidRPr="004C78D8">
        <w:rPr>
          <w:rFonts w:cs="Times New Roman"/>
        </w:rPr>
        <w:t xml:space="preserve"> than the incremental no-aversion mean</w:t>
      </w:r>
      <w:r w:rsidR="008A297A" w:rsidRPr="004C78D8">
        <w:rPr>
          <w:rFonts w:cs="Times New Roman"/>
        </w:rPr>
        <w:t xml:space="preserve"> across the spectrum of inequality aversion parameters</w:t>
      </w:r>
      <w:r w:rsidRPr="004C78D8">
        <w:rPr>
          <w:rFonts w:cs="Times New Roman"/>
        </w:rPr>
        <w:t>.</w:t>
      </w:r>
      <w:r w:rsidR="008544A9" w:rsidRPr="004C78D8">
        <w:rPr>
          <w:rFonts w:cs="Times New Roman"/>
        </w:rPr>
        <w:t xml:space="preserve"> </w:t>
      </w:r>
      <w:r w:rsidR="00F4298E" w:rsidRPr="004C78D8">
        <w:rPr>
          <w:rFonts w:cs="Times New Roman"/>
        </w:rPr>
        <w:t xml:space="preserve">Hence, when both the incremental no-aversion mean and the EDE INHB are above zero, a ratio </w:t>
      </w:r>
      <w:r w:rsidR="00373289" w:rsidRPr="004C78D8">
        <w:rPr>
          <w:rFonts w:cs="Times New Roman"/>
        </w:rPr>
        <w:t xml:space="preserve">or proportion </w:t>
      </w:r>
      <w:r w:rsidR="00F4298E" w:rsidRPr="004C78D8">
        <w:rPr>
          <w:rFonts w:cs="Times New Roman"/>
        </w:rPr>
        <w:t xml:space="preserve">of EDE INHB relative to incremental no-aversion mean </w:t>
      </w:r>
      <w:r w:rsidR="00CB459F" w:rsidRPr="004C78D8">
        <w:rPr>
          <w:rFonts w:cs="Times New Roman"/>
        </w:rPr>
        <w:t xml:space="preserve">can indicate the presence/absence of the trade-off: a proportion </w:t>
      </w:r>
      <w:r w:rsidR="00F4298E" w:rsidRPr="004C78D8">
        <w:rPr>
          <w:rFonts w:cs="Times New Roman"/>
        </w:rPr>
        <w:t xml:space="preserve">higher than one indicates </w:t>
      </w:r>
      <w:r w:rsidR="00CB459F" w:rsidRPr="004C78D8">
        <w:rPr>
          <w:rFonts w:cs="Times New Roman"/>
        </w:rPr>
        <w:t>its</w:t>
      </w:r>
      <w:r w:rsidR="00F4298E" w:rsidRPr="004C78D8">
        <w:rPr>
          <w:rFonts w:cs="Times New Roman"/>
        </w:rPr>
        <w:t xml:space="preserve"> absence</w:t>
      </w:r>
      <w:r w:rsidR="00E84F64" w:rsidRPr="004C78D8">
        <w:rPr>
          <w:rFonts w:cs="Times New Roman"/>
        </w:rPr>
        <w:t xml:space="preserve"> and</w:t>
      </w:r>
      <w:r w:rsidR="00F4298E" w:rsidRPr="004C78D8">
        <w:rPr>
          <w:rFonts w:cs="Times New Roman"/>
        </w:rPr>
        <w:t xml:space="preserve"> below one </w:t>
      </w:r>
      <w:r w:rsidR="00373289" w:rsidRPr="004C78D8">
        <w:rPr>
          <w:rFonts w:cs="Times New Roman"/>
        </w:rPr>
        <w:t>its presence</w:t>
      </w:r>
      <w:r w:rsidR="00E84F64" w:rsidRPr="004C78D8">
        <w:rPr>
          <w:rFonts w:cs="Times New Roman"/>
        </w:rPr>
        <w:t>. Moreover,</w:t>
      </w:r>
      <w:r w:rsidR="00CB459F" w:rsidRPr="004C78D8">
        <w:rPr>
          <w:rFonts w:cs="Times New Roman"/>
        </w:rPr>
        <w:t xml:space="preserve"> a greater magnitude of equity gain or loss produces</w:t>
      </w:r>
      <w:r w:rsidR="00DB49A4" w:rsidRPr="004C78D8">
        <w:rPr>
          <w:rFonts w:cs="Times New Roman"/>
        </w:rPr>
        <w:t xml:space="preserve"> </w:t>
      </w:r>
      <w:r w:rsidR="00CB459F" w:rsidRPr="004C78D8">
        <w:rPr>
          <w:rFonts w:cs="Times New Roman"/>
        </w:rPr>
        <w:t xml:space="preserve">a proportion further </w:t>
      </w:r>
      <w:r w:rsidR="00DB49A4" w:rsidRPr="004C78D8">
        <w:rPr>
          <w:rFonts w:cs="Times New Roman"/>
        </w:rPr>
        <w:t>above or below one</w:t>
      </w:r>
      <w:r w:rsidR="00CB459F" w:rsidRPr="004C78D8">
        <w:rPr>
          <w:rFonts w:cs="Times New Roman"/>
        </w:rPr>
        <w:t>,</w:t>
      </w:r>
      <w:r w:rsidR="00DB49A4" w:rsidRPr="004C78D8">
        <w:rPr>
          <w:rFonts w:cs="Times New Roman"/>
        </w:rPr>
        <w:t xml:space="preserve"> </w:t>
      </w:r>
      <w:r w:rsidR="00CB459F" w:rsidRPr="004C78D8">
        <w:rPr>
          <w:rFonts w:cs="Times New Roman"/>
        </w:rPr>
        <w:t>respectively</w:t>
      </w:r>
      <w:r w:rsidR="00DB49A4" w:rsidRPr="004C78D8">
        <w:rPr>
          <w:rFonts w:cs="Times New Roman"/>
        </w:rPr>
        <w:t>.</w:t>
      </w:r>
    </w:p>
    <w:p w14:paraId="7009ACC9" w14:textId="2282209C" w:rsidR="00473996" w:rsidRPr="004C78D8" w:rsidRDefault="007A2552" w:rsidP="00FB7C1F">
      <w:r w:rsidRPr="004C78D8">
        <w:t xml:space="preserve">DCEA was </w:t>
      </w:r>
      <w:r w:rsidR="00682473" w:rsidRPr="004C78D8">
        <w:t xml:space="preserve">also </w:t>
      </w:r>
      <w:r w:rsidR="00DD13E2" w:rsidRPr="004C78D8">
        <w:t xml:space="preserve">applied </w:t>
      </w:r>
      <w:r w:rsidR="00682473" w:rsidRPr="004C78D8">
        <w:t xml:space="preserve">to scenario analyses around </w:t>
      </w:r>
      <w:r w:rsidR="00DD13E2" w:rsidRPr="004C78D8">
        <w:t xml:space="preserve">evaluation framework and falls epidemiology </w:t>
      </w:r>
      <w:r w:rsidR="00682473" w:rsidRPr="004C78D8">
        <w:t>features</w:t>
      </w:r>
      <w:r w:rsidR="00DD13E2" w:rsidRPr="004C78D8">
        <w:t xml:space="preserve"> and alternative falls prevention strateg</w:t>
      </w:r>
      <w:r w:rsidR="00682473" w:rsidRPr="004C78D8">
        <w:t>ies, with a particular focus on</w:t>
      </w:r>
      <w:r w:rsidRPr="004C78D8">
        <w:t xml:space="preserve"> SES-delineated health ineq</w:t>
      </w:r>
      <w:r w:rsidR="00DD13E2" w:rsidRPr="004C78D8">
        <w:t>uality</w:t>
      </w:r>
      <w:r w:rsidRPr="004C78D8">
        <w:t xml:space="preserve">. </w:t>
      </w:r>
      <w:r w:rsidR="00F1537E" w:rsidRPr="004C78D8">
        <w:t xml:space="preserve">In the absence of </w:t>
      </w:r>
      <w:r w:rsidRPr="004C78D8">
        <w:t xml:space="preserve">Atkinson and Kolm </w:t>
      </w:r>
      <w:r w:rsidR="00F1537E" w:rsidRPr="004C78D8">
        <w:t xml:space="preserve">index estimates representing the </w:t>
      </w:r>
      <w:r w:rsidRPr="004C78D8">
        <w:t xml:space="preserve">inequality aversion levels </w:t>
      </w:r>
      <w:r w:rsidR="00F1537E" w:rsidRPr="004C78D8">
        <w:t>of Sheffield decision-makers, b</w:t>
      </w:r>
      <w:r w:rsidR="00473996" w:rsidRPr="004C78D8">
        <w:t xml:space="preserve">oth indices were </w:t>
      </w:r>
      <w:r w:rsidR="00682473" w:rsidRPr="004C78D8">
        <w:t xml:space="preserve">set </w:t>
      </w:r>
      <w:r w:rsidRPr="004C78D8">
        <w:t xml:space="preserve">by default </w:t>
      </w:r>
      <w:r w:rsidR="00473996" w:rsidRPr="004C78D8">
        <w:t xml:space="preserve">at </w:t>
      </w:r>
      <w:r w:rsidR="00F1537E" w:rsidRPr="004C78D8">
        <w:t xml:space="preserve">the top end of the ranges explored in the DCEA tutorial </w:t>
      </w:r>
      <w:r w:rsidR="00F1537E" w:rsidRPr="004C78D8">
        <w:fldChar w:fldCharType="begin"/>
      </w:r>
      <w:r w:rsidR="00513646" w:rsidRPr="004C78D8">
        <w:instrText xml:space="preserve"> ADDIN EN.CITE &lt;EndNote&gt;&lt;Cite&gt;&lt;Author&gt;Asaria&lt;/Author&gt;&lt;Year&gt;2016&lt;/Year&gt;&lt;RecNum&gt;361&lt;/RecNum&gt;&lt;DisplayText&gt;[109]&lt;/DisplayText&gt;&lt;record&gt;&lt;rec-number&gt;361&lt;/rec-number&gt;&lt;foreign-keys&gt;&lt;key app="EN" db-id="tdtrdw9aepptzbefsat599syza29sxsd2wsp" timestamp="1612265402"&gt;361&lt;/key&gt;&lt;/foreign-keys&gt;&lt;ref-type name="Journal Article"&gt;17&lt;/ref-type&gt;&lt;contributors&gt;&lt;authors&gt;&lt;author&gt;Asaria, Miqdad&lt;/author&gt;&lt;author&gt;Griffin, Susan&lt;/author&gt;&lt;author&gt;Cookson, Richard&lt;/author&gt;&lt;/authors&gt;&lt;/contributors&gt;&lt;titles&gt;&lt;title&gt;Distributional Cost-Effectiveness Analysis: A Tutorial&lt;/title&gt;&lt;secondary-title&gt;Medical decision making&lt;/secondary-title&gt;&lt;/titles&gt;&lt;periodical&gt;&lt;full-title&gt;Medical Decision Making&lt;/full-title&gt;&lt;/periodical&gt;&lt;pages&gt;8-19&lt;/pages&gt;&lt;volume&gt;36&lt;/volume&gt;&lt;number&gt;1&lt;/number&gt;&lt;keywords&gt;&lt;keyword&gt;cost-effectiveness analysis&lt;/keyword&gt;&lt;keyword&gt;economic evaluation&lt;/keyword&gt;&lt;keyword&gt;efficiency&lt;/keyword&gt;&lt;keyword&gt;equality&lt;/keyword&gt;&lt;keyword&gt;equity&lt;/keyword&gt;&lt;keyword&gt;fairness&lt;/keyword&gt;&lt;keyword&gt;health distribution&lt;/keyword&gt;&lt;keyword&gt;health inequality&lt;/keyword&gt;&lt;keyword&gt;inequality measures&lt;/keyword&gt;&lt;keyword&gt;opportunity cost&lt;/keyword&gt;&lt;keyword&gt;social value judgments&lt;/keyword&gt;&lt;keyword&gt;social welfare functions&lt;/keyword&gt;&lt;keyword&gt;tradeoff&lt;/keyword&gt;&lt;/keywords&gt;&lt;dates&gt;&lt;year&gt;2016&lt;/year&gt;&lt;pub-dates&gt;&lt;date&gt;1/1&lt;/date&gt;&lt;/pub-dates&gt;&lt;/dates&gt;&lt;isbn&gt;0272-989X&lt;/isbn&gt;&lt;work-type&gt;Article&lt;/work-type&gt;&lt;urls&gt;&lt;related-urls&gt;&lt;url&gt;http://www.scopus.com/inward/record.url?scp=84950117843&amp;amp;partnerID=8YFLogxK&lt;/url&gt;&lt;/related-urls&gt;&lt;/urls&gt;&lt;electronic-resource-num&gt;10.1177/0272989X15583266&lt;/electronic-resource-num&gt;&lt;/record&gt;&lt;/Cite&gt;&lt;/EndNote&gt;</w:instrText>
      </w:r>
      <w:r w:rsidR="00F1537E" w:rsidRPr="004C78D8">
        <w:fldChar w:fldCharType="separate"/>
      </w:r>
      <w:r w:rsidR="00513646" w:rsidRPr="004C78D8">
        <w:rPr>
          <w:noProof/>
        </w:rPr>
        <w:t>[109]</w:t>
      </w:r>
      <w:r w:rsidR="00F1537E" w:rsidRPr="004C78D8">
        <w:fldChar w:fldCharType="end"/>
      </w:r>
      <w:r w:rsidR="00F1537E" w:rsidRPr="004C78D8">
        <w:t xml:space="preserve">, namely Atkinson </w:t>
      </w:r>
      <w:r w:rsidR="00F1537E" w:rsidRPr="004C78D8">
        <w:rPr>
          <w:rFonts w:cs="Times New Roman"/>
        </w:rPr>
        <w:t>ε</w:t>
      </w:r>
      <w:r w:rsidR="00F1537E" w:rsidRPr="004C78D8">
        <w:t xml:space="preserve"> = 30 and Kolm </w:t>
      </w:r>
      <w:r w:rsidR="00F1537E" w:rsidRPr="004C78D8">
        <w:rPr>
          <w:rFonts w:cs="Times New Roman"/>
        </w:rPr>
        <w:t>α</w:t>
      </w:r>
      <w:r w:rsidR="00F1537E" w:rsidRPr="004C78D8">
        <w:t xml:space="preserve"> = 0.5</w:t>
      </w:r>
      <w:r w:rsidRPr="004C78D8">
        <w:t>, when interpreting the joint equity-efficiency impact</w:t>
      </w:r>
      <w:r w:rsidR="00F1537E" w:rsidRPr="004C78D8">
        <w:t>.</w:t>
      </w:r>
      <w:r w:rsidR="009322BA" w:rsidRPr="004C78D8">
        <w:t xml:space="preserve"> This approach </w:t>
      </w:r>
      <w:r w:rsidR="00B93B9C" w:rsidRPr="004C78D8">
        <w:t>estimates</w:t>
      </w:r>
      <w:r w:rsidR="009322BA" w:rsidRPr="004C78D8">
        <w:t xml:space="preserve"> the maximum potential change in outcomes and decisions </w:t>
      </w:r>
      <w:r w:rsidR="001A5EEB" w:rsidRPr="004C78D8">
        <w:t>under the joint consideration of equity and efficiency</w:t>
      </w:r>
      <w:r w:rsidR="009322BA" w:rsidRPr="004C78D8">
        <w:t>.</w:t>
      </w:r>
      <w:r w:rsidR="00682473" w:rsidRPr="004C78D8">
        <w:t xml:space="preserve"> That said, outcomes under different indices are also presented graphically.</w:t>
      </w:r>
    </w:p>
    <w:p w14:paraId="722F0409" w14:textId="029EC033" w:rsidR="006153C0" w:rsidRPr="004C78D8" w:rsidRDefault="00273196" w:rsidP="00FB7C1F">
      <w:pPr>
        <w:pStyle w:val="Heading4"/>
      </w:pPr>
      <w:r w:rsidRPr="004C78D8">
        <w:t>5</w:t>
      </w:r>
      <w:r w:rsidR="00572C6D" w:rsidRPr="004C78D8">
        <w:t>.</w:t>
      </w:r>
      <w:r w:rsidR="00332ADA" w:rsidRPr="004C78D8">
        <w:t>4</w:t>
      </w:r>
      <w:r w:rsidR="00572C6D" w:rsidRPr="004C78D8">
        <w:t>.</w:t>
      </w:r>
      <w:r w:rsidRPr="004C78D8">
        <w:t>1</w:t>
      </w:r>
      <w:r w:rsidR="00572C6D" w:rsidRPr="004C78D8">
        <w:t>.</w:t>
      </w:r>
      <w:r w:rsidRPr="004C78D8">
        <w:t xml:space="preserve">7 </w:t>
      </w:r>
      <w:r w:rsidR="008775E4" w:rsidRPr="004C78D8">
        <w:t>Evaluation framework</w:t>
      </w:r>
      <w:r w:rsidR="00572C6D" w:rsidRPr="004C78D8">
        <w:t xml:space="preserve"> </w:t>
      </w:r>
      <w:r w:rsidRPr="004C78D8">
        <w:t xml:space="preserve">and falls epidemiology </w:t>
      </w:r>
      <w:r w:rsidR="00572C6D" w:rsidRPr="004C78D8">
        <w:t>scenarios</w:t>
      </w:r>
    </w:p>
    <w:p w14:paraId="23C75081" w14:textId="1416AE14" w:rsidR="00033903" w:rsidRPr="004C78D8" w:rsidRDefault="001A7193" w:rsidP="00FB7C1F">
      <w:r w:rsidRPr="004C78D8">
        <w:t>The t</w:t>
      </w:r>
      <w:r w:rsidR="007B0C7B" w:rsidRPr="004C78D8">
        <w:t xml:space="preserve">wo evaluation framework scenarios </w:t>
      </w:r>
      <w:r w:rsidRPr="004C78D8">
        <w:t xml:space="preserve">most frequently </w:t>
      </w:r>
      <w:r w:rsidR="007B0C7B" w:rsidRPr="004C78D8">
        <w:t xml:space="preserve">considered by previous models were variations in time horizon and discount rates (Table </w:t>
      </w:r>
      <w:r w:rsidR="00611CCC" w:rsidRPr="004C78D8">
        <w:t>D8 in Appendix D</w:t>
      </w:r>
      <w:r w:rsidR="007B0C7B" w:rsidRPr="004C78D8">
        <w:t xml:space="preserve">). </w:t>
      </w:r>
      <w:r w:rsidR="00DF17F8" w:rsidRPr="004C78D8">
        <w:t>Model</w:t>
      </w:r>
      <w:r w:rsidR="007B0C7B" w:rsidRPr="004C78D8">
        <w:t xml:space="preserve"> outcomes </w:t>
      </w:r>
      <w:r w:rsidR="00611CCC" w:rsidRPr="004C78D8">
        <w:t>we</w:t>
      </w:r>
      <w:r w:rsidR="007B0C7B" w:rsidRPr="004C78D8">
        <w:t xml:space="preserve">re hence explored under </w:t>
      </w:r>
      <w:r w:rsidR="00EE1929" w:rsidRPr="004C78D8">
        <w:t xml:space="preserve">5-, </w:t>
      </w:r>
      <w:r w:rsidR="007B0C7B" w:rsidRPr="004C78D8">
        <w:t>10-</w:t>
      </w:r>
      <w:r w:rsidRPr="004C78D8">
        <w:t>, 15-, 20-</w:t>
      </w:r>
      <w:r w:rsidR="007B0C7B" w:rsidRPr="004C78D8">
        <w:t xml:space="preserve"> and </w:t>
      </w:r>
      <w:r w:rsidRPr="004C78D8">
        <w:t>3</w:t>
      </w:r>
      <w:r w:rsidR="007B0C7B" w:rsidRPr="004C78D8">
        <w:t xml:space="preserve">0-year horizons and under discount rates of 0% and 6%. </w:t>
      </w:r>
    </w:p>
    <w:p w14:paraId="4CAF5AE7" w14:textId="283BA994" w:rsidR="00437B39" w:rsidRPr="004C78D8" w:rsidRDefault="00437B39" w:rsidP="00FB7C1F">
      <w:r w:rsidRPr="004C78D8">
        <w:t xml:space="preserve">The following </w:t>
      </w:r>
      <w:r w:rsidR="001A7193" w:rsidRPr="004C78D8">
        <w:t>four</w:t>
      </w:r>
      <w:r w:rsidR="00DE492A" w:rsidRPr="004C78D8">
        <w:t xml:space="preserve"> </w:t>
      </w:r>
      <w:r w:rsidRPr="004C78D8">
        <w:t xml:space="preserve">falls epidemiology scenarios </w:t>
      </w:r>
      <w:r w:rsidR="001A5EEB" w:rsidRPr="004C78D8">
        <w:t>we</w:t>
      </w:r>
      <w:r w:rsidRPr="004C78D8">
        <w:t>re explored:</w:t>
      </w:r>
    </w:p>
    <w:p w14:paraId="260DB1A9" w14:textId="32B2E550" w:rsidR="00437B39" w:rsidRPr="004C78D8" w:rsidRDefault="00611917" w:rsidP="00FB7C1F">
      <w:r w:rsidRPr="004C78D8">
        <w:t xml:space="preserve">(1) </w:t>
      </w:r>
      <w:r w:rsidR="00D642ED" w:rsidRPr="004C78D8">
        <w:rPr>
          <w:i/>
          <w:iCs/>
        </w:rPr>
        <w:t>Removing the falls-frailty feedback loop</w:t>
      </w:r>
      <w:r w:rsidR="001A7193" w:rsidRPr="004C78D8">
        <w:t xml:space="preserve">. </w:t>
      </w:r>
      <w:r w:rsidR="00927FD6" w:rsidRPr="004C78D8">
        <w:t>Here,</w:t>
      </w:r>
      <w:r w:rsidR="00437B39" w:rsidRPr="004C78D8">
        <w:t xml:space="preserve"> the link between falls and frailty </w:t>
      </w:r>
      <w:r w:rsidR="00611CCC" w:rsidRPr="004C78D8">
        <w:t>wa</w:t>
      </w:r>
      <w:r w:rsidR="00927FD6" w:rsidRPr="004C78D8">
        <w:t xml:space="preserve">s removed </w:t>
      </w:r>
      <w:r w:rsidR="00437B39" w:rsidRPr="004C78D8">
        <w:t xml:space="preserve">in </w:t>
      </w:r>
      <w:r w:rsidR="00927FD6" w:rsidRPr="004C78D8">
        <w:t xml:space="preserve">the </w:t>
      </w:r>
      <w:r w:rsidR="00437B39" w:rsidRPr="004C78D8">
        <w:t xml:space="preserve">dynamic frailty progression. This </w:t>
      </w:r>
      <w:r w:rsidR="00611CCC" w:rsidRPr="004C78D8">
        <w:t>wa</w:t>
      </w:r>
      <w:r w:rsidR="00437B39" w:rsidRPr="004C78D8">
        <w:t xml:space="preserve">s done by re-estimating the multivariate linear regression for change in frailty in Table </w:t>
      </w:r>
      <w:r w:rsidR="001E02D4" w:rsidRPr="004C78D8">
        <w:t>5</w:t>
      </w:r>
      <w:r w:rsidR="00437B39" w:rsidRPr="004C78D8">
        <w:t>.4</w:t>
      </w:r>
      <w:r w:rsidR="001E02D4" w:rsidRPr="004C78D8">
        <w:t>5</w:t>
      </w:r>
      <w:r w:rsidR="00437B39" w:rsidRPr="004C78D8">
        <w:t xml:space="preserve"> without categorial falls incidence as an explanatory variable. </w:t>
      </w:r>
      <w:r w:rsidR="00D06964" w:rsidRPr="004C78D8">
        <w:t>The scenario remove</w:t>
      </w:r>
      <w:r w:rsidR="00611CCC" w:rsidRPr="004C78D8">
        <w:t>d</w:t>
      </w:r>
      <w:r w:rsidR="00D06964" w:rsidRPr="004C78D8">
        <w:t xml:space="preserve"> the secondary effects of falls </w:t>
      </w:r>
      <w:r w:rsidR="00E91596" w:rsidRPr="004C78D8">
        <w:t xml:space="preserve">on model outcomes </w:t>
      </w:r>
      <w:r w:rsidR="00D06964" w:rsidRPr="004C78D8">
        <w:t xml:space="preserve">via frailty. </w:t>
      </w:r>
    </w:p>
    <w:p w14:paraId="7E0AC345" w14:textId="4C0533A3" w:rsidR="00C35121" w:rsidRPr="004C78D8" w:rsidRDefault="009454EA" w:rsidP="00FB7C1F">
      <w:r w:rsidRPr="004C78D8">
        <w:t>(2)</w:t>
      </w:r>
      <w:r w:rsidRPr="004C78D8">
        <w:rPr>
          <w:i/>
          <w:iCs/>
        </w:rPr>
        <w:t xml:space="preserve"> </w:t>
      </w:r>
      <w:r w:rsidR="001A7193" w:rsidRPr="004C78D8">
        <w:rPr>
          <w:i/>
          <w:iCs/>
        </w:rPr>
        <w:t>F</w:t>
      </w:r>
      <w:r w:rsidR="00D642ED" w:rsidRPr="004C78D8">
        <w:rPr>
          <w:i/>
          <w:iCs/>
        </w:rPr>
        <w:t xml:space="preserve">railty </w:t>
      </w:r>
      <w:r w:rsidR="00C576A9" w:rsidRPr="004C78D8">
        <w:rPr>
          <w:i/>
          <w:iCs/>
        </w:rPr>
        <w:t>reduction</w:t>
      </w:r>
      <w:r w:rsidR="001A7193" w:rsidRPr="004C78D8">
        <w:t>.</w:t>
      </w:r>
      <w:r w:rsidR="00D642ED" w:rsidRPr="004C78D8">
        <w:t xml:space="preserve"> </w:t>
      </w:r>
      <w:r w:rsidR="00D06964" w:rsidRPr="004C78D8">
        <w:t>This scenario encompasse</w:t>
      </w:r>
      <w:r w:rsidR="00611CCC" w:rsidRPr="004C78D8">
        <w:t>d</w:t>
      </w:r>
      <w:r w:rsidR="00D06964" w:rsidRPr="004C78D8">
        <w:t xml:space="preserve"> two sub-scenarios where individuals’ f</w:t>
      </w:r>
      <w:r w:rsidR="001A7193" w:rsidRPr="004C78D8">
        <w:t xml:space="preserve">railty </w:t>
      </w:r>
      <w:r w:rsidR="00D06964" w:rsidRPr="004C78D8">
        <w:t xml:space="preserve">levels </w:t>
      </w:r>
      <w:r w:rsidR="00611CCC" w:rsidRPr="004C78D8">
        <w:t>we</w:t>
      </w:r>
      <w:r w:rsidR="001A7193" w:rsidRPr="004C78D8">
        <w:t xml:space="preserve">re reduced </w:t>
      </w:r>
      <w:r w:rsidR="00D06964" w:rsidRPr="004C78D8">
        <w:t>at different junctures</w:t>
      </w:r>
      <w:r w:rsidR="001A7193" w:rsidRPr="004C78D8">
        <w:t xml:space="preserve">: (i) initial frailty levels </w:t>
      </w:r>
      <w:r w:rsidR="00D06964" w:rsidRPr="004C78D8">
        <w:t xml:space="preserve">reduced by 20% </w:t>
      </w:r>
      <w:r w:rsidR="001A7193" w:rsidRPr="004C78D8">
        <w:t xml:space="preserve">at model entry; and (ii) the rate of frailty progression </w:t>
      </w:r>
      <w:r w:rsidR="00D06964" w:rsidRPr="004C78D8">
        <w:t>between cycles reduced by 20%</w:t>
      </w:r>
      <w:r w:rsidR="001A7193" w:rsidRPr="004C78D8">
        <w:t xml:space="preserve">. </w:t>
      </w:r>
      <w:r w:rsidR="00D06964" w:rsidRPr="004C78D8">
        <w:t>Sub-scenario</w:t>
      </w:r>
      <w:r w:rsidR="006364CA" w:rsidRPr="004C78D8">
        <w:t xml:space="preserve"> (i) reduce</w:t>
      </w:r>
      <w:r w:rsidR="00611CCC" w:rsidRPr="004C78D8">
        <w:t>d</w:t>
      </w:r>
      <w:r w:rsidR="006364CA" w:rsidRPr="004C78D8">
        <w:t xml:space="preserve"> individuals’ </w:t>
      </w:r>
      <w:r w:rsidR="00D06964" w:rsidRPr="004C78D8">
        <w:t xml:space="preserve">epidemiological </w:t>
      </w:r>
      <w:r w:rsidR="006364CA" w:rsidRPr="004C78D8">
        <w:t xml:space="preserve">risk factors (e.g., cognitive impairment, abnormal gait/balance) </w:t>
      </w:r>
      <w:r w:rsidR="00D06964" w:rsidRPr="004C78D8">
        <w:t xml:space="preserve">at model entry and </w:t>
      </w:r>
      <w:r w:rsidR="00BB10EB" w:rsidRPr="004C78D8">
        <w:t xml:space="preserve">may </w:t>
      </w:r>
      <w:r w:rsidR="00D06964" w:rsidRPr="004C78D8">
        <w:t>correspond to earlier life morbidity prevention, an important strategy for improving geriatric health (Section 1.3.2.</w:t>
      </w:r>
      <w:r w:rsidR="001A5EEB" w:rsidRPr="004C78D8">
        <w:t>3</w:t>
      </w:r>
      <w:r w:rsidR="00D06964" w:rsidRPr="004C78D8">
        <w:t>)</w:t>
      </w:r>
      <w:r w:rsidR="006364CA" w:rsidRPr="004C78D8">
        <w:t xml:space="preserve">. </w:t>
      </w:r>
      <w:r w:rsidR="00D06964" w:rsidRPr="004C78D8">
        <w:t>Sub-scenario</w:t>
      </w:r>
      <w:r w:rsidR="006364CA" w:rsidRPr="004C78D8">
        <w:t xml:space="preserve"> (ii) </w:t>
      </w:r>
      <w:r w:rsidR="00D06964" w:rsidRPr="004C78D8">
        <w:t>alter</w:t>
      </w:r>
      <w:r w:rsidR="00611CCC" w:rsidRPr="004C78D8">
        <w:t>ed</w:t>
      </w:r>
      <w:r w:rsidR="00D06964" w:rsidRPr="004C78D8">
        <w:t xml:space="preserve"> the epidemiological transition during old age and </w:t>
      </w:r>
      <w:r w:rsidR="00BB10EB" w:rsidRPr="004C78D8">
        <w:t>may</w:t>
      </w:r>
      <w:r w:rsidR="00D06964" w:rsidRPr="004C78D8">
        <w:t xml:space="preserve"> correspond to the combined effects of other geriatric public health interventions</w:t>
      </w:r>
      <w:r w:rsidR="006364CA" w:rsidRPr="004C78D8">
        <w:t xml:space="preserve">. </w:t>
      </w:r>
      <w:r w:rsidR="00C0689D" w:rsidRPr="004C78D8">
        <w:t>Overall, this scenario explore</w:t>
      </w:r>
      <w:r w:rsidR="00611CCC" w:rsidRPr="004C78D8">
        <w:t>d</w:t>
      </w:r>
      <w:r w:rsidR="00C0689D" w:rsidRPr="004C78D8">
        <w:t xml:space="preserve"> whether and how falls prevention </w:t>
      </w:r>
      <w:r w:rsidR="001A5EEB" w:rsidRPr="004C78D8">
        <w:t>integrates</w:t>
      </w:r>
      <w:r w:rsidR="00C0689D" w:rsidRPr="004C78D8">
        <w:t xml:space="preserve"> with </w:t>
      </w:r>
      <w:r w:rsidR="001A5EEB" w:rsidRPr="004C78D8">
        <w:t xml:space="preserve">other </w:t>
      </w:r>
      <w:r w:rsidR="0000764A" w:rsidRPr="004C78D8">
        <w:t xml:space="preserve">life-course and </w:t>
      </w:r>
      <w:r w:rsidR="001A5EEB" w:rsidRPr="004C78D8">
        <w:t>geriatric prevention</w:t>
      </w:r>
      <w:r w:rsidR="0000764A" w:rsidRPr="004C78D8">
        <w:t>s</w:t>
      </w:r>
      <w:r w:rsidR="001A5EEB" w:rsidRPr="004C78D8">
        <w:t xml:space="preserve"> that generate </w:t>
      </w:r>
      <w:r w:rsidR="00C0689D" w:rsidRPr="004C78D8">
        <w:t>epidemiological changes.</w:t>
      </w:r>
      <w:r w:rsidR="008247C3" w:rsidRPr="004C78D8">
        <w:t xml:space="preserve"> </w:t>
      </w:r>
    </w:p>
    <w:p w14:paraId="5B2D2B4A" w14:textId="1413F3D3" w:rsidR="006364CA" w:rsidRPr="004C78D8" w:rsidRDefault="000D6EAA" w:rsidP="00FB7C1F">
      <w:r w:rsidRPr="004C78D8">
        <w:t xml:space="preserve">(3) </w:t>
      </w:r>
      <w:r w:rsidR="006364CA" w:rsidRPr="004C78D8">
        <w:rPr>
          <w:i/>
          <w:iCs/>
        </w:rPr>
        <w:t>Higher life expectancy</w:t>
      </w:r>
      <w:r w:rsidR="00E613C2" w:rsidRPr="004C78D8">
        <w:t>. O</w:t>
      </w:r>
      <w:r w:rsidR="00236705" w:rsidRPr="004C78D8">
        <w:t>ther-cause mortality risks across all subgroups (age, sex</w:t>
      </w:r>
      <w:r w:rsidR="0000764A" w:rsidRPr="004C78D8">
        <w:t>,</w:t>
      </w:r>
      <w:r w:rsidR="00236705" w:rsidRPr="004C78D8">
        <w:t xml:space="preserve"> and frailty category) </w:t>
      </w:r>
      <w:r w:rsidR="00611CCC" w:rsidRPr="004C78D8">
        <w:t>we</w:t>
      </w:r>
      <w:r w:rsidR="00236705" w:rsidRPr="004C78D8">
        <w:t>re reduced by 20%</w:t>
      </w:r>
      <w:r w:rsidR="00E613C2" w:rsidRPr="004C78D8">
        <w:t xml:space="preserve"> to generate the higher life expectancy</w:t>
      </w:r>
      <w:r w:rsidR="00236705" w:rsidRPr="004C78D8">
        <w:t xml:space="preserve">. This </w:t>
      </w:r>
      <w:r w:rsidR="00E613C2" w:rsidRPr="004C78D8">
        <w:t>addresse</w:t>
      </w:r>
      <w:r w:rsidR="00611CCC" w:rsidRPr="004C78D8">
        <w:t>d</w:t>
      </w:r>
      <w:r w:rsidR="00E613C2" w:rsidRPr="004C78D8">
        <w:t xml:space="preserve"> the concern that the model underpredicts the life expectancy (Section </w:t>
      </w:r>
      <w:r w:rsidR="001E02D4" w:rsidRPr="004C78D8">
        <w:t>5</w:t>
      </w:r>
      <w:r w:rsidR="00E613C2" w:rsidRPr="004C78D8">
        <w:t>.</w:t>
      </w:r>
      <w:r w:rsidR="00FA7062" w:rsidRPr="004C78D8">
        <w:t>3</w:t>
      </w:r>
      <w:r w:rsidR="00E613C2" w:rsidRPr="004C78D8">
        <w:t xml:space="preserve">.3) while exploring the impact of </w:t>
      </w:r>
      <w:r w:rsidR="00324CEB" w:rsidRPr="004C78D8">
        <w:t xml:space="preserve">a </w:t>
      </w:r>
      <w:r w:rsidR="00E613C2" w:rsidRPr="004C78D8">
        <w:t>continued rise in life expectancy among older populations.</w:t>
      </w:r>
    </w:p>
    <w:p w14:paraId="3B2C41F7" w14:textId="7DA7A8C2" w:rsidR="00572C6D" w:rsidRPr="004C78D8" w:rsidRDefault="00223906" w:rsidP="00FB7C1F">
      <w:r w:rsidRPr="004C78D8">
        <w:t xml:space="preserve">(4) </w:t>
      </w:r>
      <w:r w:rsidR="006364CA" w:rsidRPr="004C78D8">
        <w:rPr>
          <w:i/>
          <w:iCs/>
        </w:rPr>
        <w:t>Reduc</w:t>
      </w:r>
      <w:r w:rsidR="00855EC7" w:rsidRPr="004C78D8">
        <w:rPr>
          <w:i/>
          <w:iCs/>
        </w:rPr>
        <w:t>tion in</w:t>
      </w:r>
      <w:r w:rsidR="006364CA" w:rsidRPr="004C78D8">
        <w:rPr>
          <w:i/>
          <w:iCs/>
        </w:rPr>
        <w:t xml:space="preserve"> other-cause mortality risk gap across frailty categories</w:t>
      </w:r>
      <w:r w:rsidR="006364CA" w:rsidRPr="004C78D8">
        <w:t>.</w:t>
      </w:r>
      <w:r w:rsidR="00962B2A" w:rsidRPr="004C78D8">
        <w:t xml:space="preserve"> </w:t>
      </w:r>
      <w:r w:rsidR="00855EC7" w:rsidRPr="004C78D8">
        <w:t xml:space="preserve">The mortality hazard ratios delineated by frailty category </w:t>
      </w:r>
      <w:r w:rsidR="00611CCC" w:rsidRPr="004C78D8">
        <w:t>we</w:t>
      </w:r>
      <w:r w:rsidR="00855EC7" w:rsidRPr="004C78D8">
        <w:t xml:space="preserve">re reduced by </w:t>
      </w:r>
      <w:r w:rsidR="00236705" w:rsidRPr="004C78D8">
        <w:t>20%</w:t>
      </w:r>
      <w:r w:rsidR="00BB10EB" w:rsidRPr="004C78D8">
        <w:t>. T</w:t>
      </w:r>
      <w:r w:rsidR="00236705" w:rsidRPr="004C78D8">
        <w:t>his d</w:t>
      </w:r>
      <w:r w:rsidR="00611CCC" w:rsidRPr="004C78D8">
        <w:t>id</w:t>
      </w:r>
      <w:r w:rsidR="00236705" w:rsidRPr="004C78D8">
        <w:t xml:space="preserve"> not alter the average mortality risk but </w:t>
      </w:r>
      <w:r w:rsidR="00855EC7" w:rsidRPr="004C78D8">
        <w:t>its</w:t>
      </w:r>
      <w:r w:rsidR="00236705" w:rsidRPr="004C78D8">
        <w:t xml:space="preserve"> gradient across frailty</w:t>
      </w:r>
      <w:r w:rsidR="00855EC7" w:rsidRPr="004C78D8">
        <w:t xml:space="preserve"> category</w:t>
      </w:r>
      <w:r w:rsidR="00611CCC" w:rsidRPr="004C78D8">
        <w:t>; it</w:t>
      </w:r>
      <w:r w:rsidR="00236705" w:rsidRPr="004C78D8">
        <w:t xml:space="preserve"> </w:t>
      </w:r>
      <w:r w:rsidR="00611CCC" w:rsidRPr="004C78D8">
        <w:t>would</w:t>
      </w:r>
      <w:r w:rsidR="00BB10EB" w:rsidRPr="004C78D8">
        <w:t xml:space="preserve"> </w:t>
      </w:r>
      <w:r w:rsidR="00855EC7" w:rsidRPr="004C78D8">
        <w:t xml:space="preserve">correspond </w:t>
      </w:r>
      <w:r w:rsidR="00236705" w:rsidRPr="004C78D8">
        <w:t xml:space="preserve">to </w:t>
      </w:r>
      <w:r w:rsidR="00855EC7" w:rsidRPr="004C78D8">
        <w:t>improved general</w:t>
      </w:r>
      <w:r w:rsidR="00236705" w:rsidRPr="004C78D8">
        <w:t xml:space="preserve"> care for frail</w:t>
      </w:r>
      <w:r w:rsidR="00855EC7" w:rsidRPr="004C78D8">
        <w:t>er</w:t>
      </w:r>
      <w:r w:rsidR="00236705" w:rsidRPr="004C78D8">
        <w:t xml:space="preserve"> individuals. </w:t>
      </w:r>
      <w:r w:rsidR="00BB10EB" w:rsidRPr="004C78D8">
        <w:t>Moreover, it r</w:t>
      </w:r>
      <w:r w:rsidR="00962B2A" w:rsidRPr="004C78D8">
        <w:t>educe</w:t>
      </w:r>
      <w:r w:rsidR="00FE1260" w:rsidRPr="004C78D8">
        <w:t>d</w:t>
      </w:r>
      <w:r w:rsidR="00962B2A" w:rsidRPr="004C78D8">
        <w:t xml:space="preserve"> the life expectancy differential </w:t>
      </w:r>
      <w:r w:rsidR="00BB10EB" w:rsidRPr="004C78D8">
        <w:t>across subgroups, a key</w:t>
      </w:r>
      <w:r w:rsidR="00962B2A" w:rsidRPr="004C78D8">
        <w:t xml:space="preserve"> source of disadvantage for frailer subgroups</w:t>
      </w:r>
      <w:r w:rsidR="00BB10EB" w:rsidRPr="004C78D8">
        <w:t xml:space="preserve"> (and socially vulnerable subgroups containing high proportions of frailer individuals)</w:t>
      </w:r>
      <w:r w:rsidR="00962B2A" w:rsidRPr="004C78D8">
        <w:t xml:space="preserve">. </w:t>
      </w:r>
      <w:r w:rsidR="00655CC2" w:rsidRPr="004C78D8">
        <w:t>Therefore, the equity impact of th</w:t>
      </w:r>
      <w:r w:rsidR="00BB495B" w:rsidRPr="004C78D8">
        <w:t>is</w:t>
      </w:r>
      <w:r w:rsidR="00655CC2" w:rsidRPr="004C78D8">
        <w:t xml:space="preserve"> epidemiological change is of interest.</w:t>
      </w:r>
    </w:p>
    <w:p w14:paraId="1BAE3E5A" w14:textId="77777777" w:rsidR="0028203D" w:rsidRPr="004C78D8" w:rsidRDefault="0028203D" w:rsidP="00FB7C1F">
      <w:pPr>
        <w:pStyle w:val="Heading3"/>
      </w:pPr>
      <w:bookmarkStart w:id="166" w:name="_Toc111630786"/>
      <w:r w:rsidRPr="004C78D8">
        <w:t>5.4.2 Alternative falls prevention strategies and commissioning recommendations</w:t>
      </w:r>
      <w:bookmarkEnd w:id="166"/>
    </w:p>
    <w:p w14:paraId="069ACBE7" w14:textId="4B4F52C7" w:rsidR="0028203D" w:rsidRPr="004C78D8" w:rsidRDefault="0089645A" w:rsidP="00FB7C1F">
      <w:r w:rsidRPr="004C78D8">
        <w:t>Potential alternative intervention scenarios/strategies informed by t</w:t>
      </w:r>
      <w:r w:rsidR="0028203D" w:rsidRPr="004C78D8">
        <w:t xml:space="preserve">he conceptual model in </w:t>
      </w:r>
      <w:r w:rsidR="00D30B66" w:rsidRPr="004C78D8">
        <w:t>Section 3.7.4</w:t>
      </w:r>
      <w:r w:rsidR="0028203D" w:rsidRPr="004C78D8">
        <w:t xml:space="preserve"> and practices of previous models (Section 4.5.4.3) </w:t>
      </w:r>
      <w:r w:rsidRPr="004C78D8">
        <w:t xml:space="preserve">are described </w:t>
      </w:r>
      <w:r w:rsidR="0028203D" w:rsidRPr="004C78D8">
        <w:t>(Section 5.4.2.1).</w:t>
      </w:r>
      <w:r w:rsidRPr="004C78D8">
        <w:t xml:space="preserve"> </w:t>
      </w:r>
      <w:r w:rsidR="00D30B66" w:rsidRPr="004C78D8">
        <w:t>Plan for conducting a</w:t>
      </w:r>
      <w:r w:rsidRPr="004C78D8">
        <w:t xml:space="preserve"> full comparison of intervention strategies </w:t>
      </w:r>
      <w:r w:rsidR="00D30B66" w:rsidRPr="004C78D8">
        <w:t xml:space="preserve">and formulating </w:t>
      </w:r>
      <w:r w:rsidRPr="004C78D8">
        <w:t xml:space="preserve">commissioning recommendations </w:t>
      </w:r>
      <w:r w:rsidR="00D30B66" w:rsidRPr="004C78D8">
        <w:t>is outlined</w:t>
      </w:r>
      <w:r w:rsidRPr="004C78D8">
        <w:t xml:space="preserve"> (Section 5.4.2.2).</w:t>
      </w:r>
    </w:p>
    <w:p w14:paraId="6E2190DA" w14:textId="5318FE0C" w:rsidR="00572C6D" w:rsidRPr="004C78D8" w:rsidRDefault="0028203D" w:rsidP="00FB7C1F">
      <w:pPr>
        <w:pStyle w:val="Heading4"/>
      </w:pPr>
      <w:r w:rsidRPr="004C78D8">
        <w:t>5</w:t>
      </w:r>
      <w:r w:rsidR="00572C6D" w:rsidRPr="004C78D8">
        <w:t>.</w:t>
      </w:r>
      <w:r w:rsidR="00332ADA" w:rsidRPr="004C78D8">
        <w:t>4</w:t>
      </w:r>
      <w:r w:rsidR="00572C6D" w:rsidRPr="004C78D8">
        <w:t>.</w:t>
      </w:r>
      <w:r w:rsidR="00FD11B7" w:rsidRPr="004C78D8">
        <w:t>2</w:t>
      </w:r>
      <w:r w:rsidR="00572C6D" w:rsidRPr="004C78D8">
        <w:t>.</w:t>
      </w:r>
      <w:r w:rsidRPr="004C78D8">
        <w:t xml:space="preserve">1 </w:t>
      </w:r>
      <w:r w:rsidR="00572C6D" w:rsidRPr="004C78D8">
        <w:t>Falls prevention intervention scenarios</w:t>
      </w:r>
    </w:p>
    <w:p w14:paraId="49AA0216" w14:textId="6B597E4A" w:rsidR="006A0AB4" w:rsidRPr="004C78D8" w:rsidRDefault="00D806BC" w:rsidP="00FB7C1F">
      <w:r w:rsidRPr="004C78D8">
        <w:t xml:space="preserve">The following </w:t>
      </w:r>
      <w:r w:rsidR="004C2FE1" w:rsidRPr="004C78D8">
        <w:t>five</w:t>
      </w:r>
      <w:r w:rsidRPr="004C78D8">
        <w:t xml:space="preserve"> falls prevention intervention scenarios </w:t>
      </w:r>
      <w:r w:rsidR="00FA7062" w:rsidRPr="004C78D8">
        <w:t>we</w:t>
      </w:r>
      <w:r w:rsidRPr="004C78D8">
        <w:t>re explored:</w:t>
      </w:r>
    </w:p>
    <w:p w14:paraId="05E5879E" w14:textId="7E99C43D" w:rsidR="0093449E" w:rsidRPr="004C78D8" w:rsidRDefault="00203BCF" w:rsidP="00FB7C1F">
      <w:r w:rsidRPr="004C78D8">
        <w:t>(</w:t>
      </w:r>
      <w:r w:rsidR="004C2FE1" w:rsidRPr="004C78D8">
        <w:t>1</w:t>
      </w:r>
      <w:r w:rsidRPr="004C78D8">
        <w:t xml:space="preserve">) </w:t>
      </w:r>
      <w:r w:rsidR="00992961" w:rsidRPr="004C78D8">
        <w:rPr>
          <w:i/>
          <w:iCs/>
        </w:rPr>
        <w:t>Pathway c</w:t>
      </w:r>
      <w:r w:rsidR="00065505" w:rsidRPr="004C78D8">
        <w:rPr>
          <w:i/>
          <w:iCs/>
        </w:rPr>
        <w:t>ontributions</w:t>
      </w:r>
      <w:r w:rsidR="00992961" w:rsidRPr="004C78D8">
        <w:t>.</w:t>
      </w:r>
      <w:r w:rsidR="00065505" w:rsidRPr="004C78D8">
        <w:t xml:space="preserve"> </w:t>
      </w:r>
      <w:r w:rsidR="00992961" w:rsidRPr="004C78D8">
        <w:t xml:space="preserve">The cost-effectiveness and wider benefits of individual pathways within </w:t>
      </w:r>
      <w:r w:rsidR="00FE1260" w:rsidRPr="004C78D8">
        <w:t>RC</w:t>
      </w:r>
      <w:r w:rsidR="00992961" w:rsidRPr="004C78D8">
        <w:t xml:space="preserve"> – reactive, proactive, and self-referred – as well as combinations of two pathways </w:t>
      </w:r>
      <w:r w:rsidR="00FE1260" w:rsidRPr="004C78D8">
        <w:t>were</w:t>
      </w:r>
      <w:r w:rsidR="00992961" w:rsidRPr="004C78D8">
        <w:t xml:space="preserve"> explored</w:t>
      </w:r>
      <w:r w:rsidR="00236705" w:rsidRPr="004C78D8">
        <w:t xml:space="preserve">. </w:t>
      </w:r>
      <w:r w:rsidR="00992961" w:rsidRPr="004C78D8">
        <w:t>This would inform which specific pathway(s) should be prioritised.</w:t>
      </w:r>
    </w:p>
    <w:p w14:paraId="24CB4FEE" w14:textId="00D700A8" w:rsidR="0096106B" w:rsidRPr="004C78D8" w:rsidRDefault="00203BCF" w:rsidP="00FB7C1F">
      <w:r w:rsidRPr="004C78D8">
        <w:t>(</w:t>
      </w:r>
      <w:r w:rsidR="004C2FE1" w:rsidRPr="004C78D8">
        <w:t>2</w:t>
      </w:r>
      <w:r w:rsidRPr="004C78D8">
        <w:t>)</w:t>
      </w:r>
      <w:r w:rsidRPr="004C78D8">
        <w:rPr>
          <w:i/>
          <w:iCs/>
        </w:rPr>
        <w:t xml:space="preserve"> </w:t>
      </w:r>
      <w:r w:rsidR="00566832" w:rsidRPr="004C78D8">
        <w:rPr>
          <w:i/>
          <w:iCs/>
        </w:rPr>
        <w:t>Capacity constraints and targeting</w:t>
      </w:r>
      <w:r w:rsidR="0096106B" w:rsidRPr="004C78D8">
        <w:t xml:space="preserve">. There are concerns over the capacity implications of </w:t>
      </w:r>
      <w:r w:rsidR="00FE1260" w:rsidRPr="004C78D8">
        <w:t>RC</w:t>
      </w:r>
      <w:r w:rsidR="0096106B" w:rsidRPr="004C78D8">
        <w:t xml:space="preserve">. As noted, </w:t>
      </w:r>
      <w:r w:rsidR="00FE1260" w:rsidRPr="004C78D8">
        <w:t xml:space="preserve">RC requires </w:t>
      </w:r>
      <w:r w:rsidR="0096106B" w:rsidRPr="004C78D8">
        <w:t>seven falls clinics for 21,000 clients per year</w:t>
      </w:r>
      <w:r w:rsidR="00FE1260" w:rsidRPr="004C78D8">
        <w:t xml:space="preserve"> (Section </w:t>
      </w:r>
      <w:r w:rsidR="00D30B66" w:rsidRPr="004C78D8">
        <w:t>5</w:t>
      </w:r>
      <w:r w:rsidR="00FE1260" w:rsidRPr="004C78D8">
        <w:t>.</w:t>
      </w:r>
      <w:r w:rsidR="00FA7062" w:rsidRPr="004C78D8">
        <w:t>2</w:t>
      </w:r>
      <w:r w:rsidR="00FE1260" w:rsidRPr="004C78D8">
        <w:t>.4.3)</w:t>
      </w:r>
      <w:r w:rsidR="0096106B" w:rsidRPr="004C78D8">
        <w:t>. But it may be that no new venues and staff can be found besides the current falls clinic and two teaching hospitals in Sheffield. If so, a more feasible annual clinic client flow under ‘constrained recommended care’ (CRC) is 9,000, equivalent to operating the three venues full-time. This encompasses client flow</w:t>
      </w:r>
      <w:r w:rsidR="00BA3942" w:rsidRPr="004C78D8">
        <w:t>s</w:t>
      </w:r>
      <w:r w:rsidR="0096106B" w:rsidRPr="004C78D8">
        <w:t xml:space="preserve"> from the reactive pathway (cognitively intact clients not receiving the bi-disciplinary intervention and cognitively impaired clients) and the proactive pathway (cognitively intact persons referred as high falls risk). </w:t>
      </w:r>
      <w:r w:rsidR="00BA3942" w:rsidRPr="004C78D8">
        <w:t>No constraint is assumed for bi-disciplinary reactive intervention for cognitively intact clients. A</w:t>
      </w:r>
      <w:r w:rsidR="0096106B" w:rsidRPr="004C78D8">
        <w:t xml:space="preserve"> potential limit to annual self-referred client number is 2,000, equivalent to operating 100 exercise sessions c</w:t>
      </w:r>
      <w:r w:rsidR="00BA3942" w:rsidRPr="004C78D8">
        <w:t xml:space="preserve">oncurrently </w:t>
      </w:r>
      <w:r w:rsidR="0096106B" w:rsidRPr="004C78D8">
        <w:t xml:space="preserve">with 20 clients per session (according to personal communication with Dance to Health operator). Cognitively impaired clients referred to Tai Chi under the proactive pathway would face a similar venue constraint. It is assumed that this is limited to 500 clients per year. </w:t>
      </w:r>
    </w:p>
    <w:p w14:paraId="2617EDFC" w14:textId="38575CD0" w:rsidR="00203BCF" w:rsidRPr="004C78D8" w:rsidRDefault="00203BCF" w:rsidP="00FB7C1F">
      <w:r w:rsidRPr="004C78D8">
        <w:t xml:space="preserve">Given the constraints, different targeting/rationing strategies </w:t>
      </w:r>
      <w:r w:rsidR="00D30B66" w:rsidRPr="004C78D8">
        <w:t xml:space="preserve">are </w:t>
      </w:r>
      <w:r w:rsidRPr="004C78D8">
        <w:t>evaluated that determine the access to falls clinic and proactive Tai Chi: (1) random allocation; (2) no repeated intervention for clients with intervention history; (3) targeting the moderately and severely frail; and (4) targeting based on the predicted falls risk. For (</w:t>
      </w:r>
      <w:r w:rsidR="000B1DAB" w:rsidRPr="004C78D8">
        <w:t>3</w:t>
      </w:r>
      <w:r w:rsidRPr="004C78D8">
        <w:t xml:space="preserve">)-(4), the targeting mechanisms </w:t>
      </w:r>
      <w:r w:rsidR="00D30B66" w:rsidRPr="004C78D8">
        <w:t xml:space="preserve">are </w:t>
      </w:r>
      <w:r w:rsidRPr="004C78D8">
        <w:t xml:space="preserve">added to the existing falls risk screening process at GP contact. </w:t>
      </w:r>
      <w:r w:rsidR="000B1DAB" w:rsidRPr="004C78D8">
        <w:t xml:space="preserve">The </w:t>
      </w:r>
      <w:r w:rsidR="00AD5E19" w:rsidRPr="004C78D8">
        <w:t xml:space="preserve">mechanisms </w:t>
      </w:r>
      <w:r w:rsidR="00D30B66" w:rsidRPr="004C78D8">
        <w:t xml:space="preserve">are </w:t>
      </w:r>
      <w:r w:rsidR="000B1DAB" w:rsidRPr="004C78D8">
        <w:t xml:space="preserve">assumed to incur the same per-capita cost as the </w:t>
      </w:r>
      <w:r w:rsidR="00AD5E19" w:rsidRPr="004C78D8">
        <w:t xml:space="preserve">GP </w:t>
      </w:r>
      <w:r w:rsidR="000B1DAB" w:rsidRPr="004C78D8">
        <w:t>screening</w:t>
      </w:r>
      <w:r w:rsidR="00F1499E" w:rsidRPr="004C78D8">
        <w:t xml:space="preserve">. </w:t>
      </w:r>
      <w:r w:rsidR="00AD5E19" w:rsidRPr="004C78D8">
        <w:t>Targeting under</w:t>
      </w:r>
      <w:r w:rsidRPr="004C78D8">
        <w:t xml:space="preserve"> the self-referred pathway </w:t>
      </w:r>
      <w:r w:rsidR="00D30B66" w:rsidRPr="004C78D8">
        <w:t xml:space="preserve">is </w:t>
      </w:r>
      <w:r w:rsidRPr="004C78D8">
        <w:t>assumed infeasible since the pathway relies on voluntary participation rather than professional screening and referral.</w:t>
      </w:r>
    </w:p>
    <w:p w14:paraId="20F08D46" w14:textId="7624C963" w:rsidR="00203BCF" w:rsidRPr="004C78D8" w:rsidRDefault="00AC4564" w:rsidP="00FB7C1F">
      <w:r w:rsidRPr="004C78D8">
        <w:t>(</w:t>
      </w:r>
      <w:r w:rsidR="004C2FE1" w:rsidRPr="004C78D8">
        <w:t>3</w:t>
      </w:r>
      <w:r w:rsidRPr="004C78D8">
        <w:t xml:space="preserve">) </w:t>
      </w:r>
      <w:r w:rsidRPr="004C78D8">
        <w:rPr>
          <w:i/>
          <w:iCs/>
        </w:rPr>
        <w:t>Economic value of community contributions</w:t>
      </w:r>
      <w:r w:rsidRPr="004C78D8">
        <w:t xml:space="preserve">. Community assets play a key role in implementing geriatric public health interventions and their involvement </w:t>
      </w:r>
      <w:r w:rsidR="00C05E17" w:rsidRPr="004C78D8">
        <w:t>wa</w:t>
      </w:r>
      <w:r w:rsidRPr="004C78D8">
        <w:t>s envisaged in Sheffield’s AS&amp;R scheme. Value of implementation analyses can evaluate</w:t>
      </w:r>
      <w:r w:rsidR="00203BCF" w:rsidRPr="004C78D8">
        <w:t xml:space="preserve"> the economic value of hypothetical community involvement schemes</w:t>
      </w:r>
      <w:r w:rsidR="00F1499E" w:rsidRPr="004C78D8">
        <w:t xml:space="preserve">. </w:t>
      </w:r>
      <w:r w:rsidR="002D5BEE" w:rsidRPr="004C78D8">
        <w:t xml:space="preserve">The QTUG pathway in Sheffield involved community organisations in falls risk screening (Section 3.7.1.2), while the qualitative research participants in Chapter 2 described the importance of community marketing in raising demand for self-referred exercise. </w:t>
      </w:r>
      <w:r w:rsidR="004B7E81" w:rsidRPr="004C78D8">
        <w:t xml:space="preserve">Hence, additional investments in these two implementation areas </w:t>
      </w:r>
      <w:r w:rsidR="00D30B66" w:rsidRPr="004C78D8">
        <w:t xml:space="preserve">are </w:t>
      </w:r>
      <w:r w:rsidR="004B7E81" w:rsidRPr="004C78D8">
        <w:t>evaluated under three scenarios</w:t>
      </w:r>
      <w:r w:rsidR="00203BCF" w:rsidRPr="004C78D8">
        <w:t xml:space="preserve">: (a) community falls risk screening to initiate the proactive pathway for 50% of persons not receiving GP contact; (b) </w:t>
      </w:r>
      <w:r w:rsidR="004B7E81" w:rsidRPr="004C78D8">
        <w:t>community falls risk screening for persons in 3</w:t>
      </w:r>
      <w:r w:rsidR="004B7E81" w:rsidRPr="004C78D8">
        <w:rPr>
          <w:vertAlign w:val="superscript"/>
        </w:rPr>
        <w:t>rd</w:t>
      </w:r>
      <w:r w:rsidR="004B7E81" w:rsidRPr="004C78D8">
        <w:t xml:space="preserve"> and 4</w:t>
      </w:r>
      <w:r w:rsidR="004B7E81" w:rsidRPr="004C78D8">
        <w:rPr>
          <w:vertAlign w:val="superscript"/>
        </w:rPr>
        <w:t>th</w:t>
      </w:r>
      <w:r w:rsidR="004B7E81" w:rsidRPr="004C78D8">
        <w:t xml:space="preserve"> SES quartiles not receiving GP contact</w:t>
      </w:r>
      <w:r w:rsidR="00203BCF" w:rsidRPr="004C78D8">
        <w:t>; and (c) increasing demand for self-referred intervention by 20%. The willingness to pay</w:t>
      </w:r>
      <w:r w:rsidR="002D5BEE" w:rsidRPr="004C78D8">
        <w:t xml:space="preserve"> </w:t>
      </w:r>
      <w:r w:rsidR="00203BCF" w:rsidRPr="004C78D8">
        <w:t xml:space="preserve">for each scheme </w:t>
      </w:r>
      <w:r w:rsidR="00D30B66" w:rsidRPr="004C78D8">
        <w:t xml:space="preserve">is </w:t>
      </w:r>
      <w:r w:rsidR="00203BCF" w:rsidRPr="004C78D8">
        <w:t xml:space="preserve">estimated by comparing the efficiency outcomes to </w:t>
      </w:r>
      <w:r w:rsidR="00C05E17" w:rsidRPr="004C78D8">
        <w:t xml:space="preserve">the most favourable </w:t>
      </w:r>
      <w:r w:rsidR="00203BCF" w:rsidRPr="004C78D8">
        <w:t>CRC scenario.</w:t>
      </w:r>
    </w:p>
    <w:p w14:paraId="6213ADBA" w14:textId="667B265E" w:rsidR="00203BCF" w:rsidRPr="004C78D8" w:rsidRDefault="00507AEC" w:rsidP="00FB7C1F">
      <w:r w:rsidRPr="004C78D8">
        <w:t>(</w:t>
      </w:r>
      <w:r w:rsidR="004C2FE1" w:rsidRPr="004C78D8">
        <w:t>4</w:t>
      </w:r>
      <w:r w:rsidRPr="004C78D8">
        <w:t xml:space="preserve">) </w:t>
      </w:r>
      <w:r w:rsidRPr="004C78D8">
        <w:rPr>
          <w:i/>
          <w:iCs/>
        </w:rPr>
        <w:t>Double jeopardy problem</w:t>
      </w:r>
      <w:r w:rsidRPr="004C78D8">
        <w:t>. This scenario explore</w:t>
      </w:r>
      <w:r w:rsidR="002D3173" w:rsidRPr="004C78D8">
        <w:t>d</w:t>
      </w:r>
      <w:r w:rsidRPr="004C78D8">
        <w:t xml:space="preserve"> the impact of a double jeopardy problem where societal intervention costs (time opportunity cost, private co-payment</w:t>
      </w:r>
      <w:r w:rsidR="002D5BEE" w:rsidRPr="004C78D8">
        <w:t>,</w:t>
      </w:r>
      <w:r w:rsidRPr="004C78D8">
        <w:t xml:space="preserve"> and informal caregiver time opportunity cost) reduce the intervention demands of those in the 3</w:t>
      </w:r>
      <w:r w:rsidRPr="004C78D8">
        <w:rPr>
          <w:vertAlign w:val="superscript"/>
        </w:rPr>
        <w:t>rd</w:t>
      </w:r>
      <w:r w:rsidRPr="004C78D8">
        <w:t xml:space="preserve"> and 4</w:t>
      </w:r>
      <w:r w:rsidRPr="004C78D8">
        <w:rPr>
          <w:vertAlign w:val="superscript"/>
        </w:rPr>
        <w:t>th</w:t>
      </w:r>
      <w:r w:rsidRPr="004C78D8">
        <w:t xml:space="preserve"> SES quartiles and thereby further disadvantage these vulnerable subgroups. A </w:t>
      </w:r>
      <w:r w:rsidR="004B31DE" w:rsidRPr="004C78D8">
        <w:t>follow-up</w:t>
      </w:r>
      <w:r w:rsidRPr="004C78D8">
        <w:t xml:space="preserve"> scenario </w:t>
      </w:r>
      <w:r w:rsidR="00D30B66" w:rsidRPr="004C78D8">
        <w:t xml:space="preserve">is </w:t>
      </w:r>
      <w:r w:rsidRPr="004C78D8">
        <w:t>where the</w:t>
      </w:r>
      <w:r w:rsidR="004B31DE" w:rsidRPr="004C78D8">
        <w:t>ir</w:t>
      </w:r>
      <w:r w:rsidRPr="004C78D8">
        <w:t xml:space="preserve"> demands are restored after the societal intervention costs for the 3</w:t>
      </w:r>
      <w:r w:rsidRPr="004C78D8">
        <w:rPr>
          <w:vertAlign w:val="superscript"/>
        </w:rPr>
        <w:t>rd</w:t>
      </w:r>
      <w:r w:rsidRPr="004C78D8">
        <w:t xml:space="preserve"> and 4</w:t>
      </w:r>
      <w:r w:rsidRPr="004C78D8">
        <w:rPr>
          <w:vertAlign w:val="superscript"/>
        </w:rPr>
        <w:t>th</w:t>
      </w:r>
      <w:r w:rsidRPr="004C78D8">
        <w:t xml:space="preserve"> SES quartiles are covered by the public sector.</w:t>
      </w:r>
      <w:r w:rsidR="0064718C" w:rsidRPr="004C78D8">
        <w:t xml:space="preserve"> Thus, </w:t>
      </w:r>
      <w:r w:rsidR="00456A10" w:rsidRPr="004C78D8">
        <w:t xml:space="preserve">this scenario </w:t>
      </w:r>
      <w:r w:rsidR="00D30B66" w:rsidRPr="004C78D8">
        <w:t xml:space="preserve">explores </w:t>
      </w:r>
      <w:r w:rsidR="00456A10" w:rsidRPr="004C78D8">
        <w:t xml:space="preserve">the integration between falls prevention and further </w:t>
      </w:r>
      <w:r w:rsidR="0064718C" w:rsidRPr="004C78D8">
        <w:t xml:space="preserve">public policies designed to remove extrinsic barriers to vulnerable older persons’ health promotion. </w:t>
      </w:r>
    </w:p>
    <w:p w14:paraId="0CC256CA" w14:textId="14BFE454" w:rsidR="00C075DB" w:rsidRPr="004C78D8" w:rsidRDefault="00C075DB" w:rsidP="00FB7C1F">
      <w:r w:rsidRPr="004C78D8">
        <w:t>(</w:t>
      </w:r>
      <w:r w:rsidR="004C2FE1" w:rsidRPr="004C78D8">
        <w:t>5</w:t>
      </w:r>
      <w:r w:rsidRPr="004C78D8">
        <w:t xml:space="preserve">) </w:t>
      </w:r>
      <w:r w:rsidRPr="004C78D8">
        <w:rPr>
          <w:i/>
          <w:iCs/>
        </w:rPr>
        <w:t>Environmental intervention</w:t>
      </w:r>
      <w:r w:rsidRPr="004C78D8">
        <w:t>. The qualitative data in Chapter 2 highlighted the key influences of public environments on falls risk and prevention</w:t>
      </w:r>
      <w:r w:rsidR="007B3B19" w:rsidRPr="004C78D8">
        <w:t>. U</w:t>
      </w:r>
      <w:r w:rsidRPr="004C78D8">
        <w:t xml:space="preserve">nsafe public environments have high levels of falls hazards, while age-friendly environments can promote physical activity. Two previous models showed that combined multifactorial and environmental interventions are highly cost-effective </w:t>
      </w:r>
      <w:r w:rsidRPr="004C78D8">
        <w:fldChar w:fldCharType="begin">
          <w:fldData xml:space="preserve">PEVuZE5vdGU+PENpdGU+PEF1dGhvcj5CZWFyZDwvQXV0aG9yPjxZZWFyPjIwMDY8L1llYXI+PFJl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==
</w:fldData>
        </w:fldChar>
      </w:r>
      <w:r w:rsidR="00513646" w:rsidRPr="004C78D8">
        <w:instrText xml:space="preserve"> ADDIN EN.CITE </w:instrText>
      </w:r>
      <w:r w:rsidR="00513646" w:rsidRPr="004C78D8">
        <w:fldChar w:fldCharType="begin">
          <w:fldData xml:space="preserve">PEVuZE5vdGU+PENpdGU+PEF1dGhvcj5CZWFyZDwvQXV0aG9yPjxZZWFyPjIwMDY8L1llYXI+PFJl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==
</w:fldData>
        </w:fldChar>
      </w:r>
      <w:r w:rsidR="00513646" w:rsidRPr="004C78D8">
        <w:instrText xml:space="preserve"> ADDIN EN.CITE.DATA </w:instrText>
      </w:r>
      <w:r w:rsidR="00513646" w:rsidRPr="004C78D8">
        <w:fldChar w:fldCharType="end"/>
      </w:r>
      <w:r w:rsidRPr="004C78D8">
        <w:fldChar w:fldCharType="separate"/>
      </w:r>
      <w:r w:rsidR="00513646" w:rsidRPr="004C78D8">
        <w:rPr>
          <w:noProof/>
        </w:rPr>
        <w:t>[127, 128]</w:t>
      </w:r>
      <w:r w:rsidRPr="004C78D8">
        <w:fldChar w:fldCharType="end"/>
      </w:r>
      <w:r w:rsidRPr="004C78D8">
        <w:t xml:space="preserve">, but did not investigate the interactions between the components. </w:t>
      </w:r>
      <w:r w:rsidR="007B3B19" w:rsidRPr="004C78D8">
        <w:t>It is possible that highly successful environmental interventions make professional-led interventions less cost-effective or redundant. Hence, investigation of the synergy between environmental and clinical interventions is warranted.</w:t>
      </w:r>
    </w:p>
    <w:p w14:paraId="3B6FF569" w14:textId="32C0BBB7" w:rsidR="00A54267" w:rsidRPr="004C78D8" w:rsidRDefault="00273196" w:rsidP="00972766">
      <w:pPr>
        <w:pStyle w:val="Heading4"/>
      </w:pPr>
      <w:r w:rsidRPr="004C78D8">
        <w:t>5</w:t>
      </w:r>
      <w:r w:rsidR="00A54267" w:rsidRPr="004C78D8">
        <w:t>.4.</w:t>
      </w:r>
      <w:r w:rsidRPr="004C78D8">
        <w:t xml:space="preserve">2.2 </w:t>
      </w:r>
      <w:r w:rsidR="007A18C3" w:rsidRPr="004C78D8">
        <w:t>Strategy comparison and commissioning recommendations</w:t>
      </w:r>
    </w:p>
    <w:p w14:paraId="603756A2" w14:textId="26EE36F8" w:rsidR="0096106B" w:rsidRPr="004C78D8" w:rsidRDefault="007A0C33" w:rsidP="00FB7C1F">
      <w:r w:rsidRPr="004C78D8">
        <w:t xml:space="preserve">The intervention scenario analyses will </w:t>
      </w:r>
      <w:r w:rsidR="00456A10" w:rsidRPr="004C78D8">
        <w:t xml:space="preserve">be followed by </w:t>
      </w:r>
      <w:r w:rsidR="00393F5B" w:rsidRPr="004C78D8">
        <w:t xml:space="preserve">a full </w:t>
      </w:r>
      <w:r w:rsidRPr="004C78D8">
        <w:t>compari</w:t>
      </w:r>
      <w:r w:rsidR="00456A10" w:rsidRPr="004C78D8">
        <w:t>son</w:t>
      </w:r>
      <w:r w:rsidRPr="004C78D8">
        <w:t xml:space="preserve"> </w:t>
      </w:r>
      <w:r w:rsidR="00456A10" w:rsidRPr="004C78D8">
        <w:t xml:space="preserve">of all </w:t>
      </w:r>
      <w:r w:rsidRPr="004C78D8">
        <w:t xml:space="preserve">intervention strategies </w:t>
      </w:r>
      <w:r w:rsidR="00456A10" w:rsidRPr="004C78D8">
        <w:t>(including RC)</w:t>
      </w:r>
      <w:r w:rsidR="00A54267" w:rsidRPr="004C78D8">
        <w:t xml:space="preserve"> under both 40-year societal CUA and five-year public sector ROI. Optimal intervention strategies and associated commissioning recommendations will be formulated based on efficiency, equity</w:t>
      </w:r>
      <w:r w:rsidR="00DD13E2" w:rsidRPr="004C78D8">
        <w:t xml:space="preserve"> (i.e., results of DCEA)</w:t>
      </w:r>
      <w:r w:rsidR="00A54267" w:rsidRPr="004C78D8">
        <w:t>, aggregate impact</w:t>
      </w:r>
      <w:r w:rsidR="00393F5B" w:rsidRPr="004C78D8">
        <w:t xml:space="preserve"> on budget</w:t>
      </w:r>
      <w:r w:rsidR="00A54267" w:rsidRPr="004C78D8">
        <w:t xml:space="preserve">, </w:t>
      </w:r>
      <w:r w:rsidR="006B5774" w:rsidRPr="004C78D8">
        <w:t xml:space="preserve">feasibility (e.g., of environmental modifications), and </w:t>
      </w:r>
      <w:r w:rsidR="00A54267" w:rsidRPr="004C78D8">
        <w:t xml:space="preserve">wider individual-level outcomes. </w:t>
      </w:r>
      <w:r w:rsidR="00273196" w:rsidRPr="004C78D8">
        <w:t>‘</w:t>
      </w:r>
      <w:r w:rsidR="003871B0" w:rsidRPr="004C78D8">
        <w:t>No intervention</w:t>
      </w:r>
      <w:r w:rsidR="00273196" w:rsidRPr="004C78D8">
        <w:t>’</w:t>
      </w:r>
      <w:r w:rsidR="003871B0" w:rsidRPr="004C78D8">
        <w:t xml:space="preserve"> (i.e., withdrawal of UC) was not considered as a strategy option based on the Sheffield falls specialist geriatrician’s opinion that the current therapy-based services are considered as routine care regardless of cost-effectiveness (Document 9 in Appendix </w:t>
      </w:r>
      <w:r w:rsidR="00273196" w:rsidRPr="004C78D8">
        <w:t>B</w:t>
      </w:r>
      <w:r w:rsidR="003871B0" w:rsidRPr="004C78D8">
        <w:t>).</w:t>
      </w:r>
    </w:p>
    <w:p w14:paraId="26286F86" w14:textId="77777777" w:rsidR="006B5774" w:rsidRPr="004C78D8" w:rsidRDefault="006B5774" w:rsidP="00FB7C1F"/>
    <w:p w14:paraId="753F9694" w14:textId="1BBF999E" w:rsidR="00FB510F" w:rsidRPr="004C78D8" w:rsidRDefault="00273196" w:rsidP="00FB7C1F">
      <w:pPr>
        <w:pStyle w:val="Heading2"/>
      </w:pPr>
      <w:bookmarkStart w:id="167" w:name="_Toc93566888"/>
      <w:bookmarkStart w:id="168" w:name="_Toc111630787"/>
      <w:r w:rsidRPr="004C78D8">
        <w:t>5</w:t>
      </w:r>
      <w:r w:rsidR="00710A92" w:rsidRPr="004C78D8">
        <w:t>.</w:t>
      </w:r>
      <w:r w:rsidR="00332ADA" w:rsidRPr="004C78D8">
        <w:t>5</w:t>
      </w:r>
      <w:r w:rsidR="00710A92" w:rsidRPr="004C78D8">
        <w:t xml:space="preserve"> Chapter summary</w:t>
      </w:r>
      <w:bookmarkStart w:id="169" w:name="_Hlk71271396"/>
      <w:bookmarkEnd w:id="167"/>
      <w:bookmarkEnd w:id="168"/>
    </w:p>
    <w:p w14:paraId="76FE0C3C" w14:textId="555456C3" w:rsidR="00206A93" w:rsidRPr="004C78D8" w:rsidRDefault="00DA3948" w:rsidP="00FB7C1F">
      <w:r w:rsidRPr="004C78D8">
        <w:t xml:space="preserve">This chapter </w:t>
      </w:r>
      <w:r w:rsidR="004F707F" w:rsidRPr="004C78D8">
        <w:t>parameterised</w:t>
      </w:r>
      <w:r w:rsidRPr="004C78D8">
        <w:t xml:space="preserve"> the </w:t>
      </w:r>
      <w:r w:rsidR="004F707F" w:rsidRPr="004C78D8">
        <w:t xml:space="preserve">final </w:t>
      </w:r>
      <w:r w:rsidRPr="004C78D8">
        <w:t>implemented falls prevention model</w:t>
      </w:r>
      <w:r w:rsidR="004F707F" w:rsidRPr="004C78D8">
        <w:t xml:space="preserve">, validated it, and set out the methods for its analysis in Chapter </w:t>
      </w:r>
      <w:r w:rsidR="000A085C" w:rsidRPr="004C78D8">
        <w:t>6</w:t>
      </w:r>
      <w:r w:rsidRPr="004C78D8">
        <w:t xml:space="preserve">. </w:t>
      </w:r>
      <w:r w:rsidR="004F707F" w:rsidRPr="004C78D8">
        <w:t>Methodological s</w:t>
      </w:r>
      <w:r w:rsidR="00332790" w:rsidRPr="004C78D8">
        <w:t>trengths and l</w:t>
      </w:r>
      <w:r w:rsidRPr="004C78D8">
        <w:t>imitations of th</w:t>
      </w:r>
      <w:r w:rsidR="00103758" w:rsidRPr="004C78D8">
        <w:t>e</w:t>
      </w:r>
      <w:r w:rsidRPr="004C78D8">
        <w:t xml:space="preserve"> model</w:t>
      </w:r>
      <w:r w:rsidR="00103758" w:rsidRPr="004C78D8">
        <w:t xml:space="preserve"> </w:t>
      </w:r>
      <w:r w:rsidR="004F707F" w:rsidRPr="004C78D8">
        <w:t>will be</w:t>
      </w:r>
      <w:r w:rsidR="00963349" w:rsidRPr="004C78D8">
        <w:t xml:space="preserve"> discussed in Chapter </w:t>
      </w:r>
      <w:r w:rsidR="000A085C" w:rsidRPr="004C78D8">
        <w:t xml:space="preserve">6 </w:t>
      </w:r>
      <w:r w:rsidR="00963349" w:rsidRPr="004C78D8">
        <w:t xml:space="preserve">after </w:t>
      </w:r>
      <w:r w:rsidRPr="004C78D8">
        <w:t xml:space="preserve">the </w:t>
      </w:r>
      <w:r w:rsidR="00963349" w:rsidRPr="004C78D8">
        <w:t xml:space="preserve">model results are presented. </w:t>
      </w:r>
      <w:r w:rsidR="00206A93" w:rsidRPr="004C78D8">
        <w:br w:type="page"/>
      </w:r>
    </w:p>
    <w:p w14:paraId="010D7A2D" w14:textId="1F9149DD" w:rsidR="002A3214" w:rsidRPr="004C78D8" w:rsidRDefault="002A3214" w:rsidP="00FB7C1F">
      <w:pPr>
        <w:pStyle w:val="Heading1"/>
      </w:pPr>
      <w:bookmarkStart w:id="170" w:name="_Toc93566889"/>
      <w:bookmarkStart w:id="171" w:name="_Toc111630788"/>
      <w:bookmarkEnd w:id="169"/>
      <w:r w:rsidRPr="004C78D8">
        <w:t xml:space="preserve">Chapter </w:t>
      </w:r>
      <w:r w:rsidR="00393F5B" w:rsidRPr="004C78D8">
        <w:t>6</w:t>
      </w:r>
      <w:r w:rsidRPr="004C78D8">
        <w:t>. Falls Prevention Economic Model Results</w:t>
      </w:r>
      <w:bookmarkEnd w:id="170"/>
      <w:bookmarkEnd w:id="171"/>
    </w:p>
    <w:p w14:paraId="195D8028" w14:textId="2CD3CF21" w:rsidR="002A3214" w:rsidRPr="004C78D8" w:rsidRDefault="002A3214" w:rsidP="00FB7C1F"/>
    <w:p w14:paraId="54BDEE6B" w14:textId="2324BCE1" w:rsidR="00A94922" w:rsidRPr="004C78D8" w:rsidRDefault="00393F5B" w:rsidP="00FB7C1F">
      <w:pPr>
        <w:pStyle w:val="Heading2"/>
      </w:pPr>
      <w:bookmarkStart w:id="172" w:name="_Toc93566890"/>
      <w:bookmarkStart w:id="173" w:name="_Toc111630789"/>
      <w:r w:rsidRPr="004C78D8">
        <w:t>6</w:t>
      </w:r>
      <w:r w:rsidR="00A94922" w:rsidRPr="004C78D8">
        <w:t>.1 Chapter outline</w:t>
      </w:r>
      <w:bookmarkEnd w:id="172"/>
      <w:bookmarkEnd w:id="173"/>
    </w:p>
    <w:p w14:paraId="3EFC5F9F" w14:textId="27970259" w:rsidR="002E3C9A" w:rsidRPr="004C78D8" w:rsidRDefault="002E3C9A" w:rsidP="00FB7C1F">
      <w:r w:rsidRPr="004C78D8">
        <w:t xml:space="preserve">This chapter presents the results of the falls prevention model </w:t>
      </w:r>
      <w:r w:rsidR="00393F5B" w:rsidRPr="004C78D8">
        <w:t>analysis</w:t>
      </w:r>
      <w:r w:rsidR="000B10E1" w:rsidRPr="004C78D8">
        <w:t xml:space="preserve"> </w:t>
      </w:r>
      <w:r w:rsidR="000531AE" w:rsidRPr="004C78D8">
        <w:t>then</w:t>
      </w:r>
      <w:r w:rsidR="000B10E1" w:rsidRPr="004C78D8">
        <w:t xml:space="preserve"> critically apprais</w:t>
      </w:r>
      <w:r w:rsidR="000531AE" w:rsidRPr="004C78D8">
        <w:t>es</w:t>
      </w:r>
      <w:r w:rsidR="000B10E1" w:rsidRPr="004C78D8">
        <w:t xml:space="preserve"> the model’s strengths and limitations</w:t>
      </w:r>
      <w:r w:rsidR="00393F5B" w:rsidRPr="004C78D8">
        <w:t xml:space="preserve">. Section 6.2 presents the </w:t>
      </w:r>
      <w:r w:rsidRPr="004C78D8">
        <w:t xml:space="preserve">base case </w:t>
      </w:r>
      <w:r w:rsidR="00393F5B" w:rsidRPr="004C78D8">
        <w:t>comparison results that assess the performance of RC</w:t>
      </w:r>
      <w:r w:rsidR="000531AE" w:rsidRPr="004C78D8">
        <w:t xml:space="preserve"> (</w:t>
      </w:r>
      <w:r w:rsidR="00393F5B" w:rsidRPr="004C78D8">
        <w:t>representing the strategy recommended by UK guidelines</w:t>
      </w:r>
      <w:r w:rsidR="000531AE" w:rsidRPr="004C78D8">
        <w:t>)</w:t>
      </w:r>
      <w:r w:rsidR="00393F5B" w:rsidRPr="004C78D8">
        <w:t xml:space="preserve"> relative to UC </w:t>
      </w:r>
      <w:r w:rsidR="000531AE" w:rsidRPr="004C78D8">
        <w:t>(</w:t>
      </w:r>
      <w:r w:rsidR="00393F5B" w:rsidRPr="004C78D8">
        <w:t>representing the current practice in Sheffield</w:t>
      </w:r>
      <w:r w:rsidR="000531AE" w:rsidRPr="004C78D8">
        <w:t>)</w:t>
      </w:r>
      <w:r w:rsidR="00393F5B" w:rsidRPr="004C78D8">
        <w:t xml:space="preserve">. </w:t>
      </w:r>
      <w:r w:rsidR="000531AE" w:rsidRPr="004C78D8">
        <w:t>The section includes the results of</w:t>
      </w:r>
      <w:r w:rsidR="000B10E1" w:rsidRPr="004C78D8">
        <w:t xml:space="preserve"> subgroup, sensitivity, and scenario analyses </w:t>
      </w:r>
      <w:r w:rsidR="000531AE" w:rsidRPr="004C78D8">
        <w:t xml:space="preserve">conducted around the base case comparison </w:t>
      </w:r>
      <w:r w:rsidR="000B10E1" w:rsidRPr="004C78D8">
        <w:t>for robustness.</w:t>
      </w:r>
      <w:r w:rsidR="000531AE" w:rsidRPr="004C78D8">
        <w:t xml:space="preserve"> Section 6.3 presents the </w:t>
      </w:r>
      <w:r w:rsidR="009C155F" w:rsidRPr="004C78D8">
        <w:t xml:space="preserve">evaluation results for alternative falls prevention strategies, followed by the results of a full comparison of all strategies including RC. It concludes with commissioning recommendations based on the full comparison. </w:t>
      </w:r>
      <w:r w:rsidR="00206A93" w:rsidRPr="00972766">
        <w:t xml:space="preserve">Section </w:t>
      </w:r>
      <w:r w:rsidR="009C155F" w:rsidRPr="00972766">
        <w:t>6</w:t>
      </w:r>
      <w:r w:rsidR="00206A93" w:rsidRPr="00972766">
        <w:t>.</w:t>
      </w:r>
      <w:r w:rsidR="009C155F" w:rsidRPr="00972766">
        <w:t>4</w:t>
      </w:r>
      <w:r w:rsidR="00206A93" w:rsidRPr="004C78D8">
        <w:t xml:space="preserve"> discusses</w:t>
      </w:r>
      <w:r w:rsidR="00B97ABA" w:rsidRPr="004C78D8">
        <w:t xml:space="preserve"> the </w:t>
      </w:r>
      <w:r w:rsidR="00206A93" w:rsidRPr="004C78D8">
        <w:t xml:space="preserve">implications of model </w:t>
      </w:r>
      <w:r w:rsidR="00B97ABA" w:rsidRPr="004C78D8">
        <w:t>results</w:t>
      </w:r>
      <w:r w:rsidR="009C155F" w:rsidRPr="004C78D8">
        <w:t xml:space="preserve">, including a comparison between the model’s commissioning recommendations and those derived from previous models identified by the systematic review in Chapter 4. The </w:t>
      </w:r>
      <w:r w:rsidR="007F2AF3" w:rsidRPr="004C78D8">
        <w:t>section also discusses</w:t>
      </w:r>
      <w:r w:rsidR="00B97ABA" w:rsidRPr="004C78D8">
        <w:t xml:space="preserve"> </w:t>
      </w:r>
      <w:r w:rsidR="00206A93" w:rsidRPr="004C78D8">
        <w:t xml:space="preserve">the </w:t>
      </w:r>
      <w:r w:rsidR="00B97ABA" w:rsidRPr="004C78D8">
        <w:t>model</w:t>
      </w:r>
      <w:r w:rsidR="009C155F" w:rsidRPr="004C78D8">
        <w:t>’s</w:t>
      </w:r>
      <w:r w:rsidR="00B97ABA" w:rsidRPr="004C78D8">
        <w:t xml:space="preserve"> strengths and limitations. </w:t>
      </w:r>
      <w:r w:rsidR="00B97ABA" w:rsidRPr="00972766">
        <w:t xml:space="preserve">Section </w:t>
      </w:r>
      <w:r w:rsidR="007F2AF3" w:rsidRPr="00972766">
        <w:t>6</w:t>
      </w:r>
      <w:r w:rsidR="00B97ABA" w:rsidRPr="00972766">
        <w:t>.</w:t>
      </w:r>
      <w:r w:rsidR="007F2AF3" w:rsidRPr="00972766">
        <w:t>5</w:t>
      </w:r>
      <w:r w:rsidR="00B97ABA" w:rsidRPr="004C78D8">
        <w:t xml:space="preserve"> </w:t>
      </w:r>
      <w:r w:rsidR="006B5774" w:rsidRPr="004C78D8">
        <w:t>concludes</w:t>
      </w:r>
      <w:r w:rsidR="007C64C5">
        <w:t xml:space="preserve"> the chapter</w:t>
      </w:r>
      <w:r w:rsidR="00B97ABA" w:rsidRPr="004C78D8">
        <w:t xml:space="preserve">. </w:t>
      </w:r>
    </w:p>
    <w:p w14:paraId="26B1E96E" w14:textId="0161B0C9" w:rsidR="00422EB6" w:rsidRPr="004C78D8" w:rsidRDefault="00422EB6" w:rsidP="00FB7C1F"/>
    <w:p w14:paraId="4D00A3C9" w14:textId="02744ABE" w:rsidR="005E2A98" w:rsidRPr="004C78D8" w:rsidRDefault="002F6E10" w:rsidP="00FB7C1F">
      <w:pPr>
        <w:pStyle w:val="Heading2"/>
      </w:pPr>
      <w:bookmarkStart w:id="174" w:name="_Toc93566891"/>
      <w:bookmarkStart w:id="175" w:name="_Toc111630790"/>
      <w:r w:rsidRPr="004C78D8">
        <w:t>6</w:t>
      </w:r>
      <w:r w:rsidR="005E2A98" w:rsidRPr="004C78D8">
        <w:t>.</w:t>
      </w:r>
      <w:r w:rsidR="00710A92" w:rsidRPr="004C78D8">
        <w:t>2</w:t>
      </w:r>
      <w:r w:rsidR="005E2A98" w:rsidRPr="004C78D8">
        <w:t xml:space="preserve"> Base case </w:t>
      </w:r>
      <w:r w:rsidRPr="004C78D8">
        <w:t xml:space="preserve">comparison </w:t>
      </w:r>
      <w:r w:rsidR="00460A5E" w:rsidRPr="004C78D8">
        <w:t>results</w:t>
      </w:r>
      <w:bookmarkEnd w:id="174"/>
      <w:bookmarkEnd w:id="175"/>
    </w:p>
    <w:p w14:paraId="64E0FE15" w14:textId="762B585B" w:rsidR="005E2A98" w:rsidRPr="004C78D8" w:rsidRDefault="008D4A2F" w:rsidP="00FB7C1F">
      <w:r w:rsidRPr="004C78D8">
        <w:t xml:space="preserve">For </w:t>
      </w:r>
      <w:r w:rsidR="00C52D6A" w:rsidRPr="004C78D8">
        <w:t xml:space="preserve">the </w:t>
      </w:r>
      <w:r w:rsidRPr="004C78D8">
        <w:t xml:space="preserve">base case </w:t>
      </w:r>
      <w:r w:rsidR="00C52D6A" w:rsidRPr="004C78D8">
        <w:t>comparison</w:t>
      </w:r>
      <w:r w:rsidRPr="004C78D8">
        <w:t>, deterministic outcomes that incorporate first-order uncertainty are presented (</w:t>
      </w:r>
      <w:r w:rsidRPr="00972766">
        <w:t xml:space="preserve">Section </w:t>
      </w:r>
      <w:r w:rsidR="00C52D6A" w:rsidRPr="00972766">
        <w:t>6</w:t>
      </w:r>
      <w:r w:rsidRPr="00972766">
        <w:t>.2.1</w:t>
      </w:r>
      <w:r w:rsidRPr="004C78D8">
        <w:t>), followed by assessment of the impact of parameter uncertainty</w:t>
      </w:r>
      <w:r w:rsidR="004A6A0A" w:rsidRPr="004C78D8">
        <w:t xml:space="preserve"> using probabilistic</w:t>
      </w:r>
      <w:r w:rsidRPr="004C78D8">
        <w:t xml:space="preserve"> </w:t>
      </w:r>
      <w:r w:rsidR="004A6A0A" w:rsidRPr="004C78D8">
        <w:t xml:space="preserve">sensitivity analysis </w:t>
      </w:r>
      <w:r w:rsidRPr="004C78D8">
        <w:t>(</w:t>
      </w:r>
      <w:r w:rsidRPr="00972766">
        <w:t xml:space="preserve">Section </w:t>
      </w:r>
      <w:r w:rsidR="00C52D6A" w:rsidRPr="00972766">
        <w:t>6</w:t>
      </w:r>
      <w:r w:rsidRPr="00972766">
        <w:t>.2.2</w:t>
      </w:r>
      <w:r w:rsidRPr="004C78D8">
        <w:t xml:space="preserve">) and </w:t>
      </w:r>
      <w:r w:rsidR="004A6A0A" w:rsidRPr="004C78D8">
        <w:t>deterministic sensitivity analysis (</w:t>
      </w:r>
      <w:r w:rsidR="004A6A0A" w:rsidRPr="00972766">
        <w:t xml:space="preserve">Section </w:t>
      </w:r>
      <w:r w:rsidR="00C52D6A" w:rsidRPr="00972766">
        <w:t>6</w:t>
      </w:r>
      <w:r w:rsidR="004A6A0A" w:rsidRPr="00972766">
        <w:t>.2.3</w:t>
      </w:r>
      <w:r w:rsidR="004A6A0A" w:rsidRPr="004C78D8">
        <w:t xml:space="preserve">). The </w:t>
      </w:r>
      <w:r w:rsidRPr="004C78D8">
        <w:t xml:space="preserve">subgroup results </w:t>
      </w:r>
      <w:r w:rsidR="004A6A0A" w:rsidRPr="004C78D8">
        <w:t>are then presented</w:t>
      </w:r>
      <w:r w:rsidR="00C52D6A" w:rsidRPr="004C78D8">
        <w:t>, including the results of DCEA delineated by SES quartile and frailty category</w:t>
      </w:r>
      <w:r w:rsidR="004A6A0A" w:rsidRPr="004C78D8">
        <w:t xml:space="preserve"> </w:t>
      </w:r>
      <w:r w:rsidRPr="004C78D8">
        <w:t>(</w:t>
      </w:r>
      <w:r w:rsidRPr="00972766">
        <w:t xml:space="preserve">Section </w:t>
      </w:r>
      <w:r w:rsidR="00C52D6A" w:rsidRPr="00972766">
        <w:t>6</w:t>
      </w:r>
      <w:r w:rsidRPr="00972766">
        <w:t>.2.</w:t>
      </w:r>
      <w:r w:rsidR="004A6A0A" w:rsidRPr="00972766">
        <w:t>4</w:t>
      </w:r>
      <w:r w:rsidRPr="004C78D8">
        <w:t xml:space="preserve">). </w:t>
      </w:r>
      <w:r w:rsidR="00C52D6A" w:rsidRPr="004C78D8">
        <w:t>Results from scenario analyses around evaluation framework and falls epidemiology features are then reported (Section 6.2.5).</w:t>
      </w:r>
    </w:p>
    <w:p w14:paraId="39FD22AE" w14:textId="77E97F76" w:rsidR="00460A5E" w:rsidRPr="004C78D8" w:rsidRDefault="00D83071" w:rsidP="00FB7C1F">
      <w:pPr>
        <w:pStyle w:val="Heading3"/>
      </w:pPr>
      <w:bookmarkStart w:id="176" w:name="_Toc111630791"/>
      <w:r w:rsidRPr="004C78D8">
        <w:t>6.2</w:t>
      </w:r>
      <w:r w:rsidR="00460A5E" w:rsidRPr="004C78D8">
        <w:t>.1 Deterministic outcomes with first-order uncertainty</w:t>
      </w:r>
      <w:bookmarkEnd w:id="176"/>
    </w:p>
    <w:p w14:paraId="65FE1C67" w14:textId="2AEFF517" w:rsidR="00460A5E" w:rsidRPr="004C78D8" w:rsidRDefault="008D4A2F" w:rsidP="00FB7C1F">
      <w:r w:rsidRPr="004C78D8">
        <w:t xml:space="preserve">Deterministic outcomes are presented </w:t>
      </w:r>
      <w:r w:rsidR="009B467D" w:rsidRPr="004C78D8">
        <w:t>as follows</w:t>
      </w:r>
      <w:r w:rsidRPr="004C78D8">
        <w:t xml:space="preserve">: </w:t>
      </w:r>
      <w:r w:rsidR="0064517B" w:rsidRPr="004C78D8">
        <w:t>societal</w:t>
      </w:r>
      <w:r w:rsidR="009B467D" w:rsidRPr="004C78D8">
        <w:t xml:space="preserve"> </w:t>
      </w:r>
      <w:r w:rsidRPr="004C78D8">
        <w:t xml:space="preserve">CUA </w:t>
      </w:r>
      <w:r w:rsidR="0064517B" w:rsidRPr="004C78D8">
        <w:t xml:space="preserve">outcomes </w:t>
      </w:r>
      <w:r w:rsidRPr="004C78D8">
        <w:t xml:space="preserve">over 40-year horizon (Section </w:t>
      </w:r>
      <w:r w:rsidR="00D83071" w:rsidRPr="004C78D8">
        <w:t>6</w:t>
      </w:r>
      <w:r w:rsidRPr="004C78D8">
        <w:t>.2.1.1)</w:t>
      </w:r>
      <w:r w:rsidR="0064517B" w:rsidRPr="004C78D8">
        <w:t>,</w:t>
      </w:r>
      <w:r w:rsidRPr="004C78D8">
        <w:t xml:space="preserve"> </w:t>
      </w:r>
      <w:r w:rsidR="0064517B" w:rsidRPr="004C78D8">
        <w:t>and</w:t>
      </w:r>
      <w:r w:rsidRPr="004C78D8">
        <w:t xml:space="preserve"> wider outcomes (Section </w:t>
      </w:r>
      <w:r w:rsidR="00F820CE" w:rsidRPr="004C78D8">
        <w:t>6</w:t>
      </w:r>
      <w:r w:rsidRPr="004C78D8">
        <w:t xml:space="preserve">.2.1.2); and </w:t>
      </w:r>
      <w:r w:rsidR="0064517B" w:rsidRPr="004C78D8">
        <w:t xml:space="preserve">public sector </w:t>
      </w:r>
      <w:r w:rsidRPr="004C78D8">
        <w:t xml:space="preserve">ROI </w:t>
      </w:r>
      <w:r w:rsidR="0064517B" w:rsidRPr="004C78D8">
        <w:t>outcomes</w:t>
      </w:r>
      <w:r w:rsidRPr="004C78D8">
        <w:t xml:space="preserve"> over five-year horizon (Section </w:t>
      </w:r>
      <w:r w:rsidR="00F820CE" w:rsidRPr="004C78D8">
        <w:t>6</w:t>
      </w:r>
      <w:r w:rsidRPr="004C78D8">
        <w:t>.2.1.3).</w:t>
      </w:r>
    </w:p>
    <w:p w14:paraId="49E1C221" w14:textId="529A2E2C" w:rsidR="00012AFA" w:rsidRPr="004C78D8" w:rsidRDefault="00F820CE" w:rsidP="00FB7C1F">
      <w:pPr>
        <w:pStyle w:val="Heading4"/>
      </w:pPr>
      <w:r w:rsidRPr="004C78D8">
        <w:t>6</w:t>
      </w:r>
      <w:r w:rsidR="00A2140D" w:rsidRPr="004C78D8">
        <w:t>.2.</w:t>
      </w:r>
      <w:r w:rsidR="00460A5E" w:rsidRPr="004C78D8">
        <w:t>1.</w:t>
      </w:r>
      <w:r w:rsidR="00EF4126" w:rsidRPr="004C78D8">
        <w:t>1</w:t>
      </w:r>
      <w:r w:rsidR="00A2140D" w:rsidRPr="004C78D8">
        <w:t xml:space="preserve"> Cost-utility analysis</w:t>
      </w:r>
      <w:r w:rsidR="004E1A16" w:rsidRPr="004C78D8">
        <w:t xml:space="preserve"> under</w:t>
      </w:r>
      <w:r w:rsidR="00EC2C44" w:rsidRPr="004C78D8">
        <w:t xml:space="preserve"> societal perspective</w:t>
      </w:r>
      <w:r w:rsidR="004E1A16" w:rsidRPr="004C78D8">
        <w:t xml:space="preserve"> and</w:t>
      </w:r>
      <w:r w:rsidR="00EC2C44" w:rsidRPr="004C78D8">
        <w:t xml:space="preserve"> 40-year horizon</w:t>
      </w:r>
    </w:p>
    <w:p w14:paraId="62ED3AF4" w14:textId="7FEA3E60" w:rsidR="00A2140D" w:rsidRPr="004C78D8" w:rsidRDefault="009F18A2" w:rsidP="00FB7C1F">
      <w:r w:rsidRPr="004C78D8">
        <w:t xml:space="preserve">Table </w:t>
      </w:r>
      <w:r w:rsidR="00F820CE" w:rsidRPr="004C78D8">
        <w:t>6</w:t>
      </w:r>
      <w:r w:rsidRPr="004C78D8">
        <w:t>.</w:t>
      </w:r>
      <w:r w:rsidR="00EF4126" w:rsidRPr="004C78D8">
        <w:t>1</w:t>
      </w:r>
      <w:r w:rsidRPr="004C78D8">
        <w:t xml:space="preserve"> presents the </w:t>
      </w:r>
      <w:r w:rsidR="0064517B" w:rsidRPr="004C78D8">
        <w:t xml:space="preserve">societal </w:t>
      </w:r>
      <w:r w:rsidRPr="004C78D8">
        <w:t xml:space="preserve">CUA outcomes over </w:t>
      </w:r>
      <w:r w:rsidR="00EC34F4" w:rsidRPr="004C78D8">
        <w:t>40</w:t>
      </w:r>
      <w:r w:rsidRPr="004C78D8">
        <w:t>-year horizon.</w:t>
      </w:r>
      <w:r w:rsidR="00681B42" w:rsidRPr="004C78D8">
        <w:t xml:space="preserve"> </w:t>
      </w:r>
      <w:r w:rsidR="00C30BF0" w:rsidRPr="004C78D8">
        <w:t>The total target population size over the horizon was 385,192</w:t>
      </w:r>
      <w:r w:rsidR="007C64C5">
        <w:t xml:space="preserve"> individuals</w:t>
      </w:r>
      <w:r w:rsidR="00C30BF0" w:rsidRPr="004C78D8">
        <w:t xml:space="preserve">. </w:t>
      </w:r>
      <w:r w:rsidR="004102A5" w:rsidRPr="004C78D8">
        <w:t xml:space="preserve">To account for first-order uncertainty, all outcomes </w:t>
      </w:r>
      <w:r w:rsidR="00271E96" w:rsidRPr="004C78D8">
        <w:t>we</w:t>
      </w:r>
      <w:r w:rsidR="004102A5" w:rsidRPr="004C78D8">
        <w:t>re average</w:t>
      </w:r>
      <w:r w:rsidR="00271E96" w:rsidRPr="004C78D8">
        <w:t>d</w:t>
      </w:r>
      <w:r w:rsidR="004102A5" w:rsidRPr="004C78D8">
        <w:t xml:space="preserve"> across 20 model trial runs with different random number seeds. </w:t>
      </w:r>
    </w:p>
    <w:tbl>
      <w:tblPr>
        <w:tblStyle w:val="TableGrid"/>
        <w:tblW w:w="5000" w:type="pct"/>
        <w:tblLook w:val="04A0" w:firstRow="1" w:lastRow="0" w:firstColumn="1" w:lastColumn="0" w:noHBand="0" w:noVBand="1"/>
      </w:tblPr>
      <w:tblGrid>
        <w:gridCol w:w="2813"/>
        <w:gridCol w:w="1854"/>
        <w:gridCol w:w="1994"/>
        <w:gridCol w:w="2355"/>
      </w:tblGrid>
      <w:tr w:rsidR="007D2F4E" w:rsidRPr="004C78D8" w14:paraId="26724A61" w14:textId="77777777" w:rsidTr="00E35893">
        <w:tc>
          <w:tcPr>
            <w:tcW w:w="5000" w:type="pct"/>
            <w:gridSpan w:val="4"/>
          </w:tcPr>
          <w:p w14:paraId="776630FD" w14:textId="5867D465" w:rsidR="007D2F4E" w:rsidRPr="004C78D8" w:rsidRDefault="007D2F4E" w:rsidP="00FB7C1F">
            <w:pPr>
              <w:jc w:val="left"/>
            </w:pPr>
            <w:r w:rsidRPr="004C78D8">
              <w:rPr>
                <w:b/>
                <w:bCs/>
              </w:rPr>
              <w:t xml:space="preserve">Table </w:t>
            </w:r>
            <w:r w:rsidR="00F820CE" w:rsidRPr="004C78D8">
              <w:rPr>
                <w:b/>
                <w:bCs/>
              </w:rPr>
              <w:t>6</w:t>
            </w:r>
            <w:r w:rsidRPr="004C78D8">
              <w:rPr>
                <w:b/>
                <w:bCs/>
              </w:rPr>
              <w:t>.</w:t>
            </w:r>
            <w:r w:rsidR="00EF4126" w:rsidRPr="004C78D8">
              <w:rPr>
                <w:b/>
                <w:bCs/>
              </w:rPr>
              <w:t>1</w:t>
            </w:r>
            <w:r w:rsidRPr="004C78D8">
              <w:t xml:space="preserve"> </w:t>
            </w:r>
            <w:r w:rsidR="00B9407D" w:rsidRPr="004C78D8">
              <w:t>Base case cost-utility analysis under</w:t>
            </w:r>
            <w:r w:rsidRPr="004C78D8">
              <w:t xml:space="preserve"> </w:t>
            </w:r>
            <w:r w:rsidR="00A318CB" w:rsidRPr="004C78D8">
              <w:t>societal</w:t>
            </w:r>
            <w:r w:rsidRPr="004C78D8">
              <w:t xml:space="preserve"> perspective </w:t>
            </w:r>
            <w:r w:rsidR="00B9407D" w:rsidRPr="004C78D8">
              <w:t>and</w:t>
            </w:r>
            <w:r w:rsidRPr="004C78D8">
              <w:t xml:space="preserve"> </w:t>
            </w:r>
            <w:r w:rsidR="00A318CB" w:rsidRPr="004C78D8">
              <w:t>40</w:t>
            </w:r>
            <w:r w:rsidRPr="004C78D8">
              <w:t>-year horizon</w:t>
            </w:r>
            <w:r w:rsidR="008A0699" w:rsidRPr="004C78D8">
              <w:t>: deterministic outcomes with first-order uncertainty</w:t>
            </w:r>
            <w:r w:rsidR="005442DA" w:rsidRPr="004C78D8">
              <w:t>.</w:t>
            </w:r>
          </w:p>
        </w:tc>
      </w:tr>
      <w:tr w:rsidR="007D2F4E" w:rsidRPr="004C78D8" w14:paraId="2EDAA2DF" w14:textId="77777777" w:rsidTr="00E35893">
        <w:tc>
          <w:tcPr>
            <w:tcW w:w="1560" w:type="pct"/>
            <w:tcBorders>
              <w:bottom w:val="single" w:sz="4" w:space="0" w:color="auto"/>
            </w:tcBorders>
          </w:tcPr>
          <w:p w14:paraId="099C3772" w14:textId="228D6B22" w:rsidR="007D2F4E" w:rsidRPr="004C78D8" w:rsidRDefault="00073D56" w:rsidP="00FB7C1F">
            <w:pPr>
              <w:jc w:val="left"/>
              <w:rPr>
                <w:sz w:val="20"/>
                <w:szCs w:val="20"/>
              </w:rPr>
            </w:pPr>
            <w:r w:rsidRPr="004C78D8">
              <w:rPr>
                <w:sz w:val="20"/>
                <w:szCs w:val="20"/>
              </w:rPr>
              <w:t>N=385,192</w:t>
            </w:r>
          </w:p>
        </w:tc>
        <w:tc>
          <w:tcPr>
            <w:tcW w:w="1028" w:type="pct"/>
            <w:tcBorders>
              <w:bottom w:val="single" w:sz="4" w:space="0" w:color="auto"/>
            </w:tcBorders>
          </w:tcPr>
          <w:p w14:paraId="4907B979" w14:textId="77777777" w:rsidR="007D2F4E" w:rsidRPr="004C78D8" w:rsidRDefault="007D2F4E" w:rsidP="00FB7C1F">
            <w:pPr>
              <w:jc w:val="left"/>
              <w:rPr>
                <w:b/>
                <w:bCs/>
                <w:sz w:val="20"/>
                <w:szCs w:val="20"/>
              </w:rPr>
            </w:pPr>
            <w:r w:rsidRPr="004C78D8">
              <w:rPr>
                <w:b/>
                <w:bCs/>
                <w:sz w:val="20"/>
                <w:szCs w:val="20"/>
              </w:rPr>
              <w:t>Usual care</w:t>
            </w:r>
          </w:p>
        </w:tc>
        <w:tc>
          <w:tcPr>
            <w:tcW w:w="1106" w:type="pct"/>
            <w:tcBorders>
              <w:bottom w:val="single" w:sz="4" w:space="0" w:color="auto"/>
            </w:tcBorders>
          </w:tcPr>
          <w:p w14:paraId="4863457A" w14:textId="77777777" w:rsidR="007D2F4E" w:rsidRPr="004C78D8" w:rsidRDefault="007D2F4E" w:rsidP="00FB7C1F">
            <w:pPr>
              <w:jc w:val="left"/>
              <w:rPr>
                <w:b/>
                <w:bCs/>
                <w:sz w:val="20"/>
                <w:szCs w:val="20"/>
              </w:rPr>
            </w:pPr>
            <w:r w:rsidRPr="004C78D8">
              <w:rPr>
                <w:b/>
                <w:bCs/>
                <w:sz w:val="20"/>
                <w:szCs w:val="20"/>
              </w:rPr>
              <w:t>Recommended care</w:t>
            </w:r>
          </w:p>
        </w:tc>
        <w:tc>
          <w:tcPr>
            <w:tcW w:w="1306" w:type="pct"/>
            <w:tcBorders>
              <w:bottom w:val="single" w:sz="4" w:space="0" w:color="auto"/>
            </w:tcBorders>
          </w:tcPr>
          <w:p w14:paraId="236D3017" w14:textId="77777777" w:rsidR="007D2F4E" w:rsidRPr="004C78D8" w:rsidRDefault="007D2F4E" w:rsidP="00FB7C1F">
            <w:pPr>
              <w:jc w:val="left"/>
              <w:rPr>
                <w:b/>
                <w:bCs/>
                <w:sz w:val="20"/>
                <w:szCs w:val="20"/>
              </w:rPr>
            </w:pPr>
            <w:r w:rsidRPr="004C78D8">
              <w:rPr>
                <w:b/>
                <w:bCs/>
                <w:sz w:val="20"/>
                <w:szCs w:val="20"/>
              </w:rPr>
              <w:t>Incremental</w:t>
            </w:r>
          </w:p>
        </w:tc>
      </w:tr>
      <w:tr w:rsidR="008614A5" w:rsidRPr="004C78D8" w14:paraId="1F8D9444" w14:textId="77777777" w:rsidTr="00E35893">
        <w:tc>
          <w:tcPr>
            <w:tcW w:w="5000" w:type="pct"/>
            <w:gridSpan w:val="4"/>
            <w:tcBorders>
              <w:bottom w:val="nil"/>
            </w:tcBorders>
          </w:tcPr>
          <w:p w14:paraId="00C1A2C2" w14:textId="35F9454E" w:rsidR="008614A5" w:rsidRPr="004C78D8" w:rsidRDefault="008614A5" w:rsidP="00FB7C1F">
            <w:pPr>
              <w:jc w:val="left"/>
              <w:rPr>
                <w:b/>
                <w:bCs/>
                <w:sz w:val="20"/>
                <w:szCs w:val="20"/>
              </w:rPr>
            </w:pPr>
            <w:r w:rsidRPr="004C78D8">
              <w:rPr>
                <w:b/>
                <w:bCs/>
                <w:sz w:val="20"/>
                <w:szCs w:val="20"/>
              </w:rPr>
              <w:t>Public sector outcomes</w:t>
            </w:r>
            <w:r w:rsidR="00450FED" w:rsidRPr="004C78D8">
              <w:rPr>
                <w:b/>
                <w:bCs/>
                <w:sz w:val="20"/>
                <w:szCs w:val="20"/>
                <w:vertAlign w:val="superscript"/>
              </w:rPr>
              <w:t>1</w:t>
            </w:r>
          </w:p>
        </w:tc>
      </w:tr>
      <w:tr w:rsidR="007D2F4E" w:rsidRPr="004C78D8" w14:paraId="650890EA" w14:textId="77777777" w:rsidTr="00E35893">
        <w:tc>
          <w:tcPr>
            <w:tcW w:w="1560" w:type="pct"/>
            <w:tcBorders>
              <w:bottom w:val="nil"/>
            </w:tcBorders>
          </w:tcPr>
          <w:p w14:paraId="14A7078D" w14:textId="3B04C72E" w:rsidR="007D2F4E" w:rsidRPr="004C78D8" w:rsidRDefault="008614A5" w:rsidP="00FB7C1F">
            <w:pPr>
              <w:jc w:val="left"/>
              <w:rPr>
                <w:sz w:val="18"/>
                <w:szCs w:val="18"/>
              </w:rPr>
            </w:pPr>
            <w:r w:rsidRPr="004C78D8">
              <w:rPr>
                <w:sz w:val="18"/>
                <w:szCs w:val="18"/>
              </w:rPr>
              <w:t>Public sector</w:t>
            </w:r>
            <w:r w:rsidR="007D2F4E" w:rsidRPr="004C78D8">
              <w:rPr>
                <w:sz w:val="18"/>
                <w:szCs w:val="18"/>
              </w:rPr>
              <w:t xml:space="preserve"> cost</w:t>
            </w:r>
            <w:r w:rsidRPr="004C78D8">
              <w:rPr>
                <w:sz w:val="18"/>
                <w:szCs w:val="18"/>
              </w:rPr>
              <w:t>s</w:t>
            </w:r>
          </w:p>
        </w:tc>
        <w:tc>
          <w:tcPr>
            <w:tcW w:w="1028" w:type="pct"/>
            <w:tcBorders>
              <w:bottom w:val="nil"/>
            </w:tcBorders>
          </w:tcPr>
          <w:p w14:paraId="66D96B16" w14:textId="77777777" w:rsidR="007D2F4E" w:rsidRPr="004C78D8" w:rsidRDefault="007D2F4E" w:rsidP="00FB7C1F">
            <w:pPr>
              <w:jc w:val="left"/>
              <w:rPr>
                <w:sz w:val="18"/>
                <w:szCs w:val="18"/>
              </w:rPr>
            </w:pPr>
          </w:p>
        </w:tc>
        <w:tc>
          <w:tcPr>
            <w:tcW w:w="1106" w:type="pct"/>
            <w:tcBorders>
              <w:bottom w:val="nil"/>
            </w:tcBorders>
          </w:tcPr>
          <w:p w14:paraId="3DEE140B" w14:textId="77777777" w:rsidR="007D2F4E" w:rsidRPr="004C78D8" w:rsidRDefault="007D2F4E" w:rsidP="00FB7C1F">
            <w:pPr>
              <w:jc w:val="left"/>
              <w:rPr>
                <w:sz w:val="18"/>
                <w:szCs w:val="18"/>
              </w:rPr>
            </w:pPr>
          </w:p>
        </w:tc>
        <w:tc>
          <w:tcPr>
            <w:tcW w:w="1306" w:type="pct"/>
            <w:tcBorders>
              <w:bottom w:val="nil"/>
            </w:tcBorders>
          </w:tcPr>
          <w:p w14:paraId="7183B6CB" w14:textId="77777777" w:rsidR="007D2F4E" w:rsidRPr="004C78D8" w:rsidRDefault="007D2F4E" w:rsidP="00FB7C1F">
            <w:pPr>
              <w:jc w:val="left"/>
              <w:rPr>
                <w:sz w:val="18"/>
                <w:szCs w:val="18"/>
              </w:rPr>
            </w:pPr>
          </w:p>
        </w:tc>
      </w:tr>
      <w:tr w:rsidR="007D2F4E" w:rsidRPr="004C78D8" w14:paraId="6EE26D44" w14:textId="77777777" w:rsidTr="00E35893">
        <w:tc>
          <w:tcPr>
            <w:tcW w:w="1560" w:type="pct"/>
            <w:tcBorders>
              <w:top w:val="nil"/>
              <w:bottom w:val="nil"/>
            </w:tcBorders>
          </w:tcPr>
          <w:p w14:paraId="14AC54ED" w14:textId="1F2048CF" w:rsidR="007D2F4E" w:rsidRPr="004C78D8" w:rsidRDefault="007D2F4E" w:rsidP="00FB7C1F">
            <w:pPr>
              <w:jc w:val="right"/>
              <w:rPr>
                <w:i/>
                <w:iCs/>
                <w:sz w:val="18"/>
                <w:szCs w:val="18"/>
              </w:rPr>
            </w:pPr>
            <w:r w:rsidRPr="004C78D8">
              <w:rPr>
                <w:i/>
                <w:iCs/>
                <w:sz w:val="18"/>
                <w:szCs w:val="18"/>
              </w:rPr>
              <w:t>(1) All-cause public sector economic costs</w:t>
            </w:r>
            <w:r w:rsidR="00E07D22" w:rsidRPr="004C78D8">
              <w:rPr>
                <w:i/>
                <w:iCs/>
                <w:sz w:val="18"/>
                <w:szCs w:val="18"/>
                <w:vertAlign w:val="superscript"/>
              </w:rPr>
              <w:t>2</w:t>
            </w:r>
          </w:p>
        </w:tc>
        <w:tc>
          <w:tcPr>
            <w:tcW w:w="1028" w:type="pct"/>
            <w:tcBorders>
              <w:top w:val="nil"/>
              <w:bottom w:val="nil"/>
            </w:tcBorders>
          </w:tcPr>
          <w:p w14:paraId="3242BB80" w14:textId="36F75A97" w:rsidR="007D2F4E" w:rsidRPr="004C78D8" w:rsidRDefault="000E2F69" w:rsidP="00FB7C1F">
            <w:pPr>
              <w:jc w:val="left"/>
              <w:rPr>
                <w:sz w:val="18"/>
                <w:szCs w:val="18"/>
              </w:rPr>
            </w:pPr>
            <w:r w:rsidRPr="004C78D8">
              <w:rPr>
                <w:sz w:val="18"/>
                <w:szCs w:val="18"/>
              </w:rPr>
              <w:t>£10,054,093,186</w:t>
            </w:r>
          </w:p>
        </w:tc>
        <w:tc>
          <w:tcPr>
            <w:tcW w:w="1106" w:type="pct"/>
            <w:tcBorders>
              <w:top w:val="nil"/>
              <w:bottom w:val="nil"/>
            </w:tcBorders>
          </w:tcPr>
          <w:p w14:paraId="451FE834" w14:textId="19C5F8CD" w:rsidR="007D2F4E" w:rsidRPr="004C78D8" w:rsidRDefault="000E2F69" w:rsidP="00FB7C1F">
            <w:pPr>
              <w:jc w:val="left"/>
              <w:rPr>
                <w:sz w:val="18"/>
                <w:szCs w:val="18"/>
              </w:rPr>
            </w:pPr>
            <w:r w:rsidRPr="004C78D8">
              <w:rPr>
                <w:sz w:val="18"/>
                <w:szCs w:val="18"/>
              </w:rPr>
              <w:t>£9,926,870,581</w:t>
            </w:r>
          </w:p>
        </w:tc>
        <w:tc>
          <w:tcPr>
            <w:tcW w:w="1306" w:type="pct"/>
            <w:tcBorders>
              <w:top w:val="nil"/>
              <w:bottom w:val="nil"/>
            </w:tcBorders>
          </w:tcPr>
          <w:p w14:paraId="741BF066" w14:textId="45AD1A1A" w:rsidR="007D2F4E" w:rsidRPr="004C78D8" w:rsidRDefault="005A4868" w:rsidP="00FB7C1F">
            <w:pPr>
              <w:jc w:val="left"/>
              <w:rPr>
                <w:sz w:val="18"/>
                <w:szCs w:val="18"/>
              </w:rPr>
            </w:pPr>
            <w:r w:rsidRPr="004C78D8">
              <w:rPr>
                <w:sz w:val="18"/>
                <w:szCs w:val="18"/>
              </w:rPr>
              <w:t>-£127,222,605</w:t>
            </w:r>
          </w:p>
        </w:tc>
      </w:tr>
      <w:tr w:rsidR="007D2F4E" w:rsidRPr="004C78D8" w14:paraId="3B3B4F69" w14:textId="77777777" w:rsidTr="00E35893">
        <w:tc>
          <w:tcPr>
            <w:tcW w:w="1560" w:type="pct"/>
            <w:tcBorders>
              <w:top w:val="nil"/>
              <w:bottom w:val="nil"/>
            </w:tcBorders>
          </w:tcPr>
          <w:p w14:paraId="7F86BF69" w14:textId="77777777" w:rsidR="007D2F4E" w:rsidRPr="004C78D8" w:rsidRDefault="007D2F4E" w:rsidP="00FB7C1F">
            <w:pPr>
              <w:jc w:val="right"/>
              <w:rPr>
                <w:i/>
                <w:iCs/>
                <w:sz w:val="18"/>
                <w:szCs w:val="18"/>
              </w:rPr>
            </w:pPr>
            <w:r w:rsidRPr="004C78D8">
              <w:rPr>
                <w:i/>
                <w:iCs/>
                <w:sz w:val="18"/>
                <w:szCs w:val="18"/>
              </w:rPr>
              <w:t>(2) Fall-related primary and secondary healthcare costs</w:t>
            </w:r>
          </w:p>
        </w:tc>
        <w:tc>
          <w:tcPr>
            <w:tcW w:w="1028" w:type="pct"/>
            <w:tcBorders>
              <w:top w:val="nil"/>
              <w:bottom w:val="nil"/>
            </w:tcBorders>
          </w:tcPr>
          <w:p w14:paraId="6F6A2D22" w14:textId="11CDEC4E" w:rsidR="007D2F4E" w:rsidRPr="004C78D8" w:rsidRDefault="000E2F69" w:rsidP="00FB7C1F">
            <w:pPr>
              <w:jc w:val="left"/>
              <w:rPr>
                <w:sz w:val="18"/>
                <w:szCs w:val="18"/>
              </w:rPr>
            </w:pPr>
            <w:r w:rsidRPr="004C78D8">
              <w:rPr>
                <w:sz w:val="18"/>
                <w:szCs w:val="18"/>
              </w:rPr>
              <w:t>£658,423,877</w:t>
            </w:r>
          </w:p>
        </w:tc>
        <w:tc>
          <w:tcPr>
            <w:tcW w:w="1106" w:type="pct"/>
            <w:tcBorders>
              <w:top w:val="nil"/>
              <w:bottom w:val="nil"/>
            </w:tcBorders>
          </w:tcPr>
          <w:p w14:paraId="57525348" w14:textId="6D62FACF" w:rsidR="007D2F4E" w:rsidRPr="004C78D8" w:rsidRDefault="000E2F69" w:rsidP="00FB7C1F">
            <w:pPr>
              <w:jc w:val="left"/>
              <w:rPr>
                <w:sz w:val="18"/>
                <w:szCs w:val="18"/>
              </w:rPr>
            </w:pPr>
            <w:r w:rsidRPr="004C78D8">
              <w:rPr>
                <w:sz w:val="18"/>
                <w:szCs w:val="18"/>
              </w:rPr>
              <w:t>£553,040,517</w:t>
            </w:r>
          </w:p>
        </w:tc>
        <w:tc>
          <w:tcPr>
            <w:tcW w:w="1306" w:type="pct"/>
            <w:tcBorders>
              <w:top w:val="nil"/>
              <w:bottom w:val="nil"/>
            </w:tcBorders>
          </w:tcPr>
          <w:p w14:paraId="0C51DA95" w14:textId="6A0BBC72" w:rsidR="007D2F4E" w:rsidRPr="004C78D8" w:rsidRDefault="005A4868" w:rsidP="00FB7C1F">
            <w:pPr>
              <w:jc w:val="left"/>
              <w:rPr>
                <w:sz w:val="18"/>
                <w:szCs w:val="18"/>
              </w:rPr>
            </w:pPr>
            <w:r w:rsidRPr="004C78D8">
              <w:rPr>
                <w:sz w:val="18"/>
                <w:szCs w:val="18"/>
              </w:rPr>
              <w:t>-£105,383,360</w:t>
            </w:r>
          </w:p>
        </w:tc>
      </w:tr>
      <w:tr w:rsidR="007D2F4E" w:rsidRPr="004C78D8" w14:paraId="00190B26" w14:textId="77777777" w:rsidTr="00E35893">
        <w:tc>
          <w:tcPr>
            <w:tcW w:w="1560" w:type="pct"/>
            <w:tcBorders>
              <w:top w:val="nil"/>
              <w:bottom w:val="nil"/>
            </w:tcBorders>
          </w:tcPr>
          <w:p w14:paraId="6D623B58" w14:textId="77777777" w:rsidR="007D2F4E" w:rsidRPr="004C78D8" w:rsidRDefault="007D2F4E" w:rsidP="00FB7C1F">
            <w:pPr>
              <w:jc w:val="right"/>
              <w:rPr>
                <w:i/>
                <w:iCs/>
                <w:sz w:val="18"/>
                <w:szCs w:val="18"/>
              </w:rPr>
            </w:pPr>
            <w:r w:rsidRPr="004C78D8">
              <w:rPr>
                <w:i/>
                <w:iCs/>
                <w:sz w:val="18"/>
                <w:szCs w:val="18"/>
              </w:rPr>
              <w:t>Public sector intervention costs</w:t>
            </w:r>
          </w:p>
        </w:tc>
        <w:tc>
          <w:tcPr>
            <w:tcW w:w="1028" w:type="pct"/>
            <w:tcBorders>
              <w:top w:val="nil"/>
              <w:bottom w:val="nil"/>
            </w:tcBorders>
          </w:tcPr>
          <w:p w14:paraId="6C8B94C1" w14:textId="6B1AE1A7" w:rsidR="007D2F4E" w:rsidRPr="004C78D8" w:rsidRDefault="000E2F69" w:rsidP="00FB7C1F">
            <w:pPr>
              <w:jc w:val="left"/>
              <w:rPr>
                <w:sz w:val="18"/>
                <w:szCs w:val="18"/>
              </w:rPr>
            </w:pPr>
            <w:r w:rsidRPr="004C78D8">
              <w:rPr>
                <w:sz w:val="18"/>
                <w:szCs w:val="18"/>
              </w:rPr>
              <w:t>£35,382,108</w:t>
            </w:r>
          </w:p>
        </w:tc>
        <w:tc>
          <w:tcPr>
            <w:tcW w:w="1106" w:type="pct"/>
            <w:tcBorders>
              <w:top w:val="nil"/>
              <w:bottom w:val="nil"/>
            </w:tcBorders>
          </w:tcPr>
          <w:p w14:paraId="41D69EA2" w14:textId="5E2DFE0C" w:rsidR="007D2F4E" w:rsidRPr="004C78D8" w:rsidRDefault="000E2F69" w:rsidP="00FB7C1F">
            <w:pPr>
              <w:jc w:val="left"/>
              <w:rPr>
                <w:sz w:val="18"/>
                <w:szCs w:val="18"/>
              </w:rPr>
            </w:pPr>
            <w:r w:rsidRPr="004C78D8">
              <w:rPr>
                <w:sz w:val="18"/>
                <w:szCs w:val="18"/>
              </w:rPr>
              <w:t>£432,377,703</w:t>
            </w:r>
          </w:p>
        </w:tc>
        <w:tc>
          <w:tcPr>
            <w:tcW w:w="1306" w:type="pct"/>
            <w:tcBorders>
              <w:top w:val="nil"/>
              <w:bottom w:val="nil"/>
            </w:tcBorders>
          </w:tcPr>
          <w:p w14:paraId="619083B1" w14:textId="7ACC10AB" w:rsidR="007D2F4E" w:rsidRPr="004C78D8" w:rsidRDefault="005A4868" w:rsidP="00FB7C1F">
            <w:pPr>
              <w:jc w:val="left"/>
              <w:rPr>
                <w:sz w:val="18"/>
                <w:szCs w:val="18"/>
              </w:rPr>
            </w:pPr>
            <w:r w:rsidRPr="004C78D8">
              <w:rPr>
                <w:sz w:val="18"/>
                <w:szCs w:val="18"/>
              </w:rPr>
              <w:t>£396,995,595</w:t>
            </w:r>
          </w:p>
        </w:tc>
      </w:tr>
      <w:tr w:rsidR="007D2F4E" w:rsidRPr="004C78D8" w14:paraId="51292153" w14:textId="77777777" w:rsidTr="00E35893">
        <w:tc>
          <w:tcPr>
            <w:tcW w:w="1560" w:type="pct"/>
            <w:tcBorders>
              <w:top w:val="nil"/>
              <w:bottom w:val="nil"/>
            </w:tcBorders>
          </w:tcPr>
          <w:p w14:paraId="5BCD6F38" w14:textId="05C2C046" w:rsidR="007D2F4E" w:rsidRPr="004C78D8" w:rsidRDefault="007D2F4E" w:rsidP="00FB7C1F">
            <w:pPr>
              <w:jc w:val="right"/>
              <w:rPr>
                <w:i/>
                <w:iCs/>
                <w:sz w:val="18"/>
                <w:szCs w:val="18"/>
              </w:rPr>
            </w:pPr>
            <w:r w:rsidRPr="004C78D8">
              <w:rPr>
                <w:i/>
                <w:iCs/>
                <w:sz w:val="18"/>
                <w:szCs w:val="18"/>
              </w:rPr>
              <w:t xml:space="preserve">Net </w:t>
            </w:r>
            <w:r w:rsidR="0046075D" w:rsidRPr="004C78D8">
              <w:rPr>
                <w:i/>
                <w:iCs/>
                <w:sz w:val="18"/>
                <w:szCs w:val="18"/>
              </w:rPr>
              <w:t xml:space="preserve">incremental </w:t>
            </w:r>
            <w:r w:rsidRPr="004C78D8">
              <w:rPr>
                <w:i/>
                <w:iCs/>
                <w:sz w:val="18"/>
                <w:szCs w:val="18"/>
              </w:rPr>
              <w:t>cost with (1)</w:t>
            </w:r>
          </w:p>
        </w:tc>
        <w:tc>
          <w:tcPr>
            <w:tcW w:w="1028" w:type="pct"/>
            <w:tcBorders>
              <w:top w:val="nil"/>
              <w:bottom w:val="nil"/>
            </w:tcBorders>
          </w:tcPr>
          <w:p w14:paraId="73309CF2" w14:textId="77777777" w:rsidR="007D2F4E" w:rsidRPr="004C78D8" w:rsidRDefault="007D2F4E" w:rsidP="00FB7C1F">
            <w:pPr>
              <w:jc w:val="left"/>
              <w:rPr>
                <w:sz w:val="18"/>
                <w:szCs w:val="18"/>
              </w:rPr>
            </w:pPr>
          </w:p>
        </w:tc>
        <w:tc>
          <w:tcPr>
            <w:tcW w:w="1106" w:type="pct"/>
            <w:tcBorders>
              <w:top w:val="nil"/>
              <w:bottom w:val="nil"/>
            </w:tcBorders>
          </w:tcPr>
          <w:p w14:paraId="2B01E315" w14:textId="77777777" w:rsidR="007D2F4E" w:rsidRPr="004C78D8" w:rsidRDefault="007D2F4E" w:rsidP="00FB7C1F">
            <w:pPr>
              <w:jc w:val="left"/>
              <w:rPr>
                <w:sz w:val="18"/>
                <w:szCs w:val="18"/>
              </w:rPr>
            </w:pPr>
          </w:p>
        </w:tc>
        <w:tc>
          <w:tcPr>
            <w:tcW w:w="1306" w:type="pct"/>
            <w:tcBorders>
              <w:top w:val="nil"/>
              <w:bottom w:val="nil"/>
            </w:tcBorders>
          </w:tcPr>
          <w:p w14:paraId="02715727" w14:textId="336AE397" w:rsidR="007D2F4E" w:rsidRPr="004C78D8" w:rsidRDefault="005A4868" w:rsidP="00FB7C1F">
            <w:pPr>
              <w:jc w:val="left"/>
              <w:rPr>
                <w:sz w:val="18"/>
                <w:szCs w:val="18"/>
              </w:rPr>
            </w:pPr>
            <w:r w:rsidRPr="004C78D8">
              <w:rPr>
                <w:sz w:val="18"/>
                <w:szCs w:val="18"/>
              </w:rPr>
              <w:t>£269,772,990</w:t>
            </w:r>
          </w:p>
        </w:tc>
      </w:tr>
      <w:tr w:rsidR="007D2F4E" w:rsidRPr="004C78D8" w14:paraId="422387A7" w14:textId="77777777" w:rsidTr="00E35893">
        <w:tc>
          <w:tcPr>
            <w:tcW w:w="1560" w:type="pct"/>
            <w:tcBorders>
              <w:top w:val="nil"/>
              <w:bottom w:val="nil"/>
            </w:tcBorders>
          </w:tcPr>
          <w:p w14:paraId="31F042CD" w14:textId="658E6267" w:rsidR="007D2F4E" w:rsidRPr="004C78D8" w:rsidRDefault="007D2F4E" w:rsidP="00FB7C1F">
            <w:pPr>
              <w:jc w:val="right"/>
              <w:rPr>
                <w:i/>
                <w:iCs/>
                <w:sz w:val="18"/>
                <w:szCs w:val="18"/>
              </w:rPr>
            </w:pPr>
            <w:r w:rsidRPr="004C78D8">
              <w:rPr>
                <w:i/>
                <w:iCs/>
                <w:sz w:val="18"/>
                <w:szCs w:val="18"/>
              </w:rPr>
              <w:t xml:space="preserve">Net </w:t>
            </w:r>
            <w:r w:rsidR="0046075D" w:rsidRPr="004C78D8">
              <w:rPr>
                <w:i/>
                <w:iCs/>
                <w:sz w:val="18"/>
                <w:szCs w:val="18"/>
              </w:rPr>
              <w:t xml:space="preserve">incremental </w:t>
            </w:r>
            <w:r w:rsidRPr="004C78D8">
              <w:rPr>
                <w:i/>
                <w:iCs/>
                <w:sz w:val="18"/>
                <w:szCs w:val="18"/>
              </w:rPr>
              <w:t>cost with (2)</w:t>
            </w:r>
          </w:p>
        </w:tc>
        <w:tc>
          <w:tcPr>
            <w:tcW w:w="1028" w:type="pct"/>
            <w:tcBorders>
              <w:top w:val="nil"/>
              <w:bottom w:val="nil"/>
            </w:tcBorders>
          </w:tcPr>
          <w:p w14:paraId="693F6E30" w14:textId="77777777" w:rsidR="007D2F4E" w:rsidRPr="004C78D8" w:rsidRDefault="007D2F4E" w:rsidP="00FB7C1F">
            <w:pPr>
              <w:jc w:val="left"/>
              <w:rPr>
                <w:sz w:val="18"/>
                <w:szCs w:val="18"/>
              </w:rPr>
            </w:pPr>
          </w:p>
        </w:tc>
        <w:tc>
          <w:tcPr>
            <w:tcW w:w="1106" w:type="pct"/>
            <w:tcBorders>
              <w:top w:val="nil"/>
              <w:bottom w:val="nil"/>
            </w:tcBorders>
          </w:tcPr>
          <w:p w14:paraId="41731EB9" w14:textId="77777777" w:rsidR="007D2F4E" w:rsidRPr="004C78D8" w:rsidRDefault="007D2F4E" w:rsidP="00FB7C1F">
            <w:pPr>
              <w:jc w:val="left"/>
              <w:rPr>
                <w:sz w:val="18"/>
                <w:szCs w:val="18"/>
              </w:rPr>
            </w:pPr>
          </w:p>
        </w:tc>
        <w:tc>
          <w:tcPr>
            <w:tcW w:w="1306" w:type="pct"/>
            <w:tcBorders>
              <w:top w:val="nil"/>
              <w:bottom w:val="nil"/>
            </w:tcBorders>
          </w:tcPr>
          <w:p w14:paraId="786E7FA3" w14:textId="1EE42A60" w:rsidR="007D2F4E" w:rsidRPr="004C78D8" w:rsidRDefault="005A4868" w:rsidP="00FB7C1F">
            <w:pPr>
              <w:jc w:val="left"/>
              <w:rPr>
                <w:sz w:val="18"/>
                <w:szCs w:val="18"/>
              </w:rPr>
            </w:pPr>
            <w:r w:rsidRPr="004C78D8">
              <w:rPr>
                <w:sz w:val="18"/>
                <w:szCs w:val="18"/>
              </w:rPr>
              <w:t>£291,612,235</w:t>
            </w:r>
          </w:p>
        </w:tc>
      </w:tr>
      <w:tr w:rsidR="007D2F4E" w:rsidRPr="004C78D8" w14:paraId="0099369F" w14:textId="77777777" w:rsidTr="00E35893">
        <w:tc>
          <w:tcPr>
            <w:tcW w:w="1560" w:type="pct"/>
            <w:tcBorders>
              <w:top w:val="nil"/>
              <w:bottom w:val="single" w:sz="4" w:space="0" w:color="auto"/>
            </w:tcBorders>
          </w:tcPr>
          <w:p w14:paraId="6817D9D2" w14:textId="2DBB45BD" w:rsidR="007D2F4E" w:rsidRPr="004C78D8" w:rsidRDefault="0046075D" w:rsidP="00FB7C1F">
            <w:pPr>
              <w:jc w:val="left"/>
              <w:rPr>
                <w:sz w:val="18"/>
                <w:szCs w:val="18"/>
              </w:rPr>
            </w:pPr>
            <w:r w:rsidRPr="004C78D8">
              <w:rPr>
                <w:sz w:val="18"/>
                <w:szCs w:val="18"/>
              </w:rPr>
              <w:t>QALY</w:t>
            </w:r>
          </w:p>
        </w:tc>
        <w:tc>
          <w:tcPr>
            <w:tcW w:w="1028" w:type="pct"/>
            <w:tcBorders>
              <w:top w:val="nil"/>
              <w:bottom w:val="single" w:sz="4" w:space="0" w:color="auto"/>
            </w:tcBorders>
          </w:tcPr>
          <w:p w14:paraId="760C4A6B" w14:textId="22169101" w:rsidR="007D2F4E" w:rsidRPr="004C78D8" w:rsidRDefault="0025668B" w:rsidP="00FB7C1F">
            <w:pPr>
              <w:jc w:val="left"/>
              <w:rPr>
                <w:sz w:val="18"/>
                <w:szCs w:val="18"/>
              </w:rPr>
            </w:pPr>
            <w:r w:rsidRPr="004C78D8">
              <w:rPr>
                <w:sz w:val="18"/>
                <w:szCs w:val="18"/>
              </w:rPr>
              <w:t>2,08</w:t>
            </w:r>
            <w:r w:rsidR="00E71FB5" w:rsidRPr="004C78D8">
              <w:rPr>
                <w:sz w:val="18"/>
                <w:szCs w:val="18"/>
              </w:rPr>
              <w:t>6</w:t>
            </w:r>
            <w:r w:rsidRPr="004C78D8">
              <w:rPr>
                <w:sz w:val="18"/>
                <w:szCs w:val="18"/>
              </w:rPr>
              <w:t>,</w:t>
            </w:r>
            <w:r w:rsidR="004339D5" w:rsidRPr="004C78D8">
              <w:rPr>
                <w:sz w:val="18"/>
                <w:szCs w:val="18"/>
              </w:rPr>
              <w:t>9</w:t>
            </w:r>
            <w:r w:rsidR="000E2F69" w:rsidRPr="004C78D8">
              <w:rPr>
                <w:sz w:val="18"/>
                <w:szCs w:val="18"/>
              </w:rPr>
              <w:t>25</w:t>
            </w:r>
          </w:p>
        </w:tc>
        <w:tc>
          <w:tcPr>
            <w:tcW w:w="1106" w:type="pct"/>
            <w:tcBorders>
              <w:top w:val="nil"/>
              <w:bottom w:val="single" w:sz="4" w:space="0" w:color="auto"/>
            </w:tcBorders>
          </w:tcPr>
          <w:p w14:paraId="508FD1BF" w14:textId="3AD1D9A0" w:rsidR="007D2F4E" w:rsidRPr="004C78D8" w:rsidRDefault="004339D5" w:rsidP="00FB7C1F">
            <w:pPr>
              <w:jc w:val="left"/>
              <w:rPr>
                <w:sz w:val="18"/>
                <w:szCs w:val="18"/>
              </w:rPr>
            </w:pPr>
            <w:r w:rsidRPr="004C78D8">
              <w:rPr>
                <w:sz w:val="18"/>
                <w:szCs w:val="18"/>
              </w:rPr>
              <w:t>2,106,</w:t>
            </w:r>
            <w:r w:rsidR="000E2F69" w:rsidRPr="004C78D8">
              <w:rPr>
                <w:sz w:val="18"/>
                <w:szCs w:val="18"/>
              </w:rPr>
              <w:t>495</w:t>
            </w:r>
          </w:p>
        </w:tc>
        <w:tc>
          <w:tcPr>
            <w:tcW w:w="1306" w:type="pct"/>
            <w:tcBorders>
              <w:top w:val="nil"/>
              <w:bottom w:val="single" w:sz="4" w:space="0" w:color="auto"/>
            </w:tcBorders>
          </w:tcPr>
          <w:p w14:paraId="386E755D" w14:textId="569E1FDC" w:rsidR="007D2F4E" w:rsidRPr="004C78D8" w:rsidRDefault="004339D5" w:rsidP="00FB7C1F">
            <w:pPr>
              <w:jc w:val="left"/>
              <w:rPr>
                <w:sz w:val="18"/>
                <w:szCs w:val="18"/>
              </w:rPr>
            </w:pPr>
            <w:r w:rsidRPr="004C78D8">
              <w:rPr>
                <w:sz w:val="18"/>
                <w:szCs w:val="18"/>
              </w:rPr>
              <w:t>19</w:t>
            </w:r>
            <w:r w:rsidR="0025668B" w:rsidRPr="004C78D8">
              <w:rPr>
                <w:sz w:val="18"/>
                <w:szCs w:val="18"/>
              </w:rPr>
              <w:t>,</w:t>
            </w:r>
            <w:r w:rsidR="005A4868" w:rsidRPr="004C78D8">
              <w:rPr>
                <w:sz w:val="18"/>
                <w:szCs w:val="18"/>
              </w:rPr>
              <w:t>570</w:t>
            </w:r>
          </w:p>
        </w:tc>
      </w:tr>
      <w:tr w:rsidR="00FC68F1" w:rsidRPr="004C78D8" w14:paraId="62E9ACA5" w14:textId="77777777" w:rsidTr="00E35893">
        <w:tc>
          <w:tcPr>
            <w:tcW w:w="1560" w:type="pct"/>
            <w:tcBorders>
              <w:top w:val="single" w:sz="4" w:space="0" w:color="auto"/>
              <w:bottom w:val="nil"/>
            </w:tcBorders>
          </w:tcPr>
          <w:p w14:paraId="211D4AB5" w14:textId="4E07BF7A" w:rsidR="00FC68F1" w:rsidRPr="004C78D8" w:rsidRDefault="00FC68F1" w:rsidP="00FB7C1F">
            <w:pPr>
              <w:jc w:val="left"/>
              <w:rPr>
                <w:sz w:val="18"/>
                <w:szCs w:val="18"/>
              </w:rPr>
            </w:pPr>
            <w:r w:rsidRPr="004C78D8">
              <w:rPr>
                <w:sz w:val="18"/>
                <w:szCs w:val="18"/>
              </w:rPr>
              <w:t>Public sector ICER using net incremental cost with (1)</w:t>
            </w:r>
          </w:p>
        </w:tc>
        <w:tc>
          <w:tcPr>
            <w:tcW w:w="1028" w:type="pct"/>
            <w:tcBorders>
              <w:top w:val="single" w:sz="4" w:space="0" w:color="auto"/>
              <w:bottom w:val="nil"/>
              <w:right w:val="nil"/>
            </w:tcBorders>
          </w:tcPr>
          <w:p w14:paraId="7BC7C0B1" w14:textId="77777777" w:rsidR="00FC68F1" w:rsidRPr="004C78D8" w:rsidRDefault="00FC68F1" w:rsidP="00FB7C1F">
            <w:pPr>
              <w:jc w:val="left"/>
              <w:rPr>
                <w:sz w:val="18"/>
                <w:szCs w:val="18"/>
              </w:rPr>
            </w:pPr>
          </w:p>
        </w:tc>
        <w:tc>
          <w:tcPr>
            <w:tcW w:w="1106" w:type="pct"/>
            <w:tcBorders>
              <w:top w:val="single" w:sz="4" w:space="0" w:color="auto"/>
              <w:left w:val="nil"/>
              <w:bottom w:val="nil"/>
            </w:tcBorders>
          </w:tcPr>
          <w:p w14:paraId="39383652" w14:textId="77777777" w:rsidR="00FC68F1" w:rsidRPr="004C78D8" w:rsidRDefault="00FC68F1" w:rsidP="00FB7C1F">
            <w:pPr>
              <w:jc w:val="left"/>
              <w:rPr>
                <w:sz w:val="18"/>
                <w:szCs w:val="18"/>
              </w:rPr>
            </w:pPr>
          </w:p>
        </w:tc>
        <w:tc>
          <w:tcPr>
            <w:tcW w:w="1306" w:type="pct"/>
            <w:tcBorders>
              <w:top w:val="single" w:sz="4" w:space="0" w:color="auto"/>
              <w:bottom w:val="nil"/>
            </w:tcBorders>
          </w:tcPr>
          <w:p w14:paraId="3C88B08C" w14:textId="5BB01CA4" w:rsidR="00FC68F1" w:rsidRPr="004C78D8" w:rsidRDefault="00DC7E68" w:rsidP="00FB7C1F">
            <w:pPr>
              <w:jc w:val="left"/>
              <w:rPr>
                <w:sz w:val="18"/>
                <w:szCs w:val="18"/>
              </w:rPr>
            </w:pPr>
            <w:r w:rsidRPr="004C78D8">
              <w:rPr>
                <w:sz w:val="18"/>
                <w:szCs w:val="18"/>
              </w:rPr>
              <w:t>£</w:t>
            </w:r>
            <w:r w:rsidR="00363159" w:rsidRPr="004C78D8">
              <w:rPr>
                <w:sz w:val="18"/>
                <w:szCs w:val="18"/>
              </w:rPr>
              <w:t>1</w:t>
            </w:r>
            <w:r w:rsidR="003D7E0D" w:rsidRPr="004C78D8">
              <w:rPr>
                <w:sz w:val="18"/>
                <w:szCs w:val="18"/>
              </w:rPr>
              <w:t>3</w:t>
            </w:r>
            <w:r w:rsidRPr="004C78D8">
              <w:rPr>
                <w:sz w:val="18"/>
                <w:szCs w:val="18"/>
              </w:rPr>
              <w:t>,</w:t>
            </w:r>
            <w:r w:rsidR="005A4868" w:rsidRPr="004C78D8">
              <w:rPr>
                <w:sz w:val="18"/>
                <w:szCs w:val="18"/>
              </w:rPr>
              <w:t>785</w:t>
            </w:r>
            <w:r w:rsidRPr="004C78D8">
              <w:rPr>
                <w:sz w:val="18"/>
                <w:szCs w:val="18"/>
              </w:rPr>
              <w:t xml:space="preserve"> per QALY gain</w:t>
            </w:r>
            <w:r w:rsidR="00C84BD6" w:rsidRPr="004C78D8">
              <w:rPr>
                <w:sz w:val="18"/>
                <w:szCs w:val="18"/>
              </w:rPr>
              <w:t>ed</w:t>
            </w:r>
          </w:p>
        </w:tc>
      </w:tr>
      <w:tr w:rsidR="00FC68F1" w:rsidRPr="004C78D8" w14:paraId="25634379" w14:textId="77777777" w:rsidTr="00E35893">
        <w:tc>
          <w:tcPr>
            <w:tcW w:w="1560" w:type="pct"/>
            <w:tcBorders>
              <w:top w:val="nil"/>
              <w:bottom w:val="single" w:sz="4" w:space="0" w:color="auto"/>
            </w:tcBorders>
          </w:tcPr>
          <w:p w14:paraId="78AA9DC0" w14:textId="23A95F49" w:rsidR="00FC68F1" w:rsidRPr="004C78D8" w:rsidRDefault="00FC68F1" w:rsidP="00FB7C1F">
            <w:pPr>
              <w:jc w:val="left"/>
              <w:rPr>
                <w:i/>
                <w:iCs/>
                <w:sz w:val="18"/>
                <w:szCs w:val="18"/>
              </w:rPr>
            </w:pPr>
            <w:r w:rsidRPr="004C78D8">
              <w:rPr>
                <w:sz w:val="18"/>
                <w:szCs w:val="18"/>
              </w:rPr>
              <w:t>Public sector ICER using net incremental cost with (2)</w:t>
            </w:r>
          </w:p>
        </w:tc>
        <w:tc>
          <w:tcPr>
            <w:tcW w:w="1028" w:type="pct"/>
            <w:tcBorders>
              <w:top w:val="nil"/>
              <w:bottom w:val="single" w:sz="4" w:space="0" w:color="auto"/>
              <w:right w:val="nil"/>
            </w:tcBorders>
          </w:tcPr>
          <w:p w14:paraId="4472BC25" w14:textId="77777777" w:rsidR="00FC68F1" w:rsidRPr="004C78D8" w:rsidRDefault="00FC68F1" w:rsidP="00FB7C1F">
            <w:pPr>
              <w:jc w:val="left"/>
              <w:rPr>
                <w:sz w:val="18"/>
                <w:szCs w:val="18"/>
              </w:rPr>
            </w:pPr>
          </w:p>
        </w:tc>
        <w:tc>
          <w:tcPr>
            <w:tcW w:w="1106" w:type="pct"/>
            <w:tcBorders>
              <w:top w:val="nil"/>
              <w:left w:val="nil"/>
              <w:bottom w:val="single" w:sz="4" w:space="0" w:color="auto"/>
            </w:tcBorders>
          </w:tcPr>
          <w:p w14:paraId="00A8B8C7" w14:textId="77777777" w:rsidR="00FC68F1" w:rsidRPr="004C78D8" w:rsidRDefault="00FC68F1" w:rsidP="00FB7C1F">
            <w:pPr>
              <w:jc w:val="left"/>
              <w:rPr>
                <w:sz w:val="18"/>
                <w:szCs w:val="18"/>
              </w:rPr>
            </w:pPr>
          </w:p>
        </w:tc>
        <w:tc>
          <w:tcPr>
            <w:tcW w:w="1306" w:type="pct"/>
            <w:tcBorders>
              <w:top w:val="nil"/>
              <w:bottom w:val="single" w:sz="4" w:space="0" w:color="auto"/>
            </w:tcBorders>
          </w:tcPr>
          <w:p w14:paraId="63C55BE5" w14:textId="5536CEB3" w:rsidR="00FC68F1" w:rsidRPr="004C78D8" w:rsidRDefault="00DC7E68" w:rsidP="00FB7C1F">
            <w:pPr>
              <w:jc w:val="left"/>
              <w:rPr>
                <w:sz w:val="18"/>
                <w:szCs w:val="18"/>
              </w:rPr>
            </w:pPr>
            <w:r w:rsidRPr="004C78D8">
              <w:rPr>
                <w:sz w:val="18"/>
                <w:szCs w:val="18"/>
              </w:rPr>
              <w:t>£</w:t>
            </w:r>
            <w:r w:rsidR="00363159" w:rsidRPr="004C78D8">
              <w:rPr>
                <w:sz w:val="18"/>
                <w:szCs w:val="18"/>
              </w:rPr>
              <w:t>1</w:t>
            </w:r>
            <w:r w:rsidR="005A4868" w:rsidRPr="004C78D8">
              <w:rPr>
                <w:sz w:val="18"/>
                <w:szCs w:val="18"/>
              </w:rPr>
              <w:t>4</w:t>
            </w:r>
            <w:r w:rsidRPr="004C78D8">
              <w:rPr>
                <w:sz w:val="18"/>
                <w:szCs w:val="18"/>
              </w:rPr>
              <w:t>,</w:t>
            </w:r>
            <w:r w:rsidR="005A4868" w:rsidRPr="004C78D8">
              <w:rPr>
                <w:sz w:val="18"/>
                <w:szCs w:val="18"/>
              </w:rPr>
              <w:t>901</w:t>
            </w:r>
            <w:r w:rsidRPr="004C78D8">
              <w:rPr>
                <w:sz w:val="18"/>
                <w:szCs w:val="18"/>
              </w:rPr>
              <w:t xml:space="preserve"> per QALY gain</w:t>
            </w:r>
            <w:r w:rsidR="00C84BD6" w:rsidRPr="004C78D8">
              <w:rPr>
                <w:sz w:val="18"/>
                <w:szCs w:val="18"/>
              </w:rPr>
              <w:t>ed</w:t>
            </w:r>
          </w:p>
        </w:tc>
      </w:tr>
      <w:tr w:rsidR="008614A5" w:rsidRPr="004C78D8" w14:paraId="7365B142" w14:textId="77777777" w:rsidTr="00E35893">
        <w:tc>
          <w:tcPr>
            <w:tcW w:w="5000" w:type="pct"/>
            <w:gridSpan w:val="4"/>
            <w:tcBorders>
              <w:top w:val="single" w:sz="4" w:space="0" w:color="auto"/>
              <w:bottom w:val="single" w:sz="4" w:space="0" w:color="auto"/>
            </w:tcBorders>
          </w:tcPr>
          <w:p w14:paraId="067937FE" w14:textId="30F7F277" w:rsidR="008614A5" w:rsidRPr="004C78D8" w:rsidRDefault="008614A5" w:rsidP="00FB7C1F">
            <w:pPr>
              <w:jc w:val="left"/>
              <w:rPr>
                <w:b/>
                <w:bCs/>
                <w:sz w:val="20"/>
                <w:szCs w:val="20"/>
              </w:rPr>
            </w:pPr>
            <w:r w:rsidRPr="004C78D8">
              <w:rPr>
                <w:b/>
                <w:bCs/>
                <w:sz w:val="20"/>
                <w:szCs w:val="20"/>
              </w:rPr>
              <w:t>Societal outcomes</w:t>
            </w:r>
          </w:p>
        </w:tc>
      </w:tr>
      <w:tr w:rsidR="008614A5" w:rsidRPr="004C78D8" w14:paraId="37371457" w14:textId="77777777" w:rsidTr="00E35893">
        <w:tc>
          <w:tcPr>
            <w:tcW w:w="1560" w:type="pct"/>
            <w:tcBorders>
              <w:top w:val="single" w:sz="4" w:space="0" w:color="auto"/>
              <w:bottom w:val="nil"/>
            </w:tcBorders>
          </w:tcPr>
          <w:p w14:paraId="20C38915" w14:textId="6D1576D8" w:rsidR="008614A5" w:rsidRPr="004C78D8" w:rsidRDefault="008614A5" w:rsidP="00FB7C1F">
            <w:pPr>
              <w:jc w:val="left"/>
              <w:rPr>
                <w:sz w:val="18"/>
                <w:szCs w:val="18"/>
              </w:rPr>
            </w:pPr>
            <w:r w:rsidRPr="004C78D8">
              <w:rPr>
                <w:sz w:val="18"/>
                <w:szCs w:val="18"/>
              </w:rPr>
              <w:t>Productivity</w:t>
            </w:r>
          </w:p>
        </w:tc>
        <w:tc>
          <w:tcPr>
            <w:tcW w:w="1028" w:type="pct"/>
            <w:tcBorders>
              <w:top w:val="single" w:sz="4" w:space="0" w:color="auto"/>
              <w:bottom w:val="nil"/>
            </w:tcBorders>
          </w:tcPr>
          <w:p w14:paraId="086EB988" w14:textId="77777777" w:rsidR="008614A5" w:rsidRPr="004C78D8" w:rsidRDefault="008614A5" w:rsidP="00FB7C1F">
            <w:pPr>
              <w:jc w:val="left"/>
              <w:rPr>
                <w:sz w:val="18"/>
                <w:szCs w:val="18"/>
              </w:rPr>
            </w:pPr>
          </w:p>
        </w:tc>
        <w:tc>
          <w:tcPr>
            <w:tcW w:w="1106" w:type="pct"/>
            <w:tcBorders>
              <w:top w:val="single" w:sz="4" w:space="0" w:color="auto"/>
              <w:bottom w:val="nil"/>
            </w:tcBorders>
          </w:tcPr>
          <w:p w14:paraId="1AD05426" w14:textId="77777777" w:rsidR="008614A5" w:rsidRPr="004C78D8" w:rsidRDefault="008614A5" w:rsidP="00FB7C1F">
            <w:pPr>
              <w:jc w:val="left"/>
              <w:rPr>
                <w:sz w:val="18"/>
                <w:szCs w:val="18"/>
              </w:rPr>
            </w:pPr>
          </w:p>
        </w:tc>
        <w:tc>
          <w:tcPr>
            <w:tcW w:w="1306" w:type="pct"/>
            <w:tcBorders>
              <w:top w:val="single" w:sz="4" w:space="0" w:color="auto"/>
              <w:bottom w:val="nil"/>
            </w:tcBorders>
          </w:tcPr>
          <w:p w14:paraId="4539030E" w14:textId="77777777" w:rsidR="008614A5" w:rsidRPr="004C78D8" w:rsidRDefault="008614A5" w:rsidP="00FB7C1F">
            <w:pPr>
              <w:jc w:val="left"/>
              <w:rPr>
                <w:sz w:val="18"/>
                <w:szCs w:val="18"/>
              </w:rPr>
            </w:pPr>
          </w:p>
        </w:tc>
      </w:tr>
      <w:tr w:rsidR="007D2F4E" w:rsidRPr="004C78D8" w14:paraId="307440FC" w14:textId="77777777" w:rsidTr="00E35893">
        <w:tc>
          <w:tcPr>
            <w:tcW w:w="1560" w:type="pct"/>
            <w:tcBorders>
              <w:top w:val="nil"/>
              <w:bottom w:val="nil"/>
            </w:tcBorders>
          </w:tcPr>
          <w:p w14:paraId="382C1BCE" w14:textId="78C73141" w:rsidR="007D2F4E" w:rsidRPr="004C78D8" w:rsidRDefault="00B1466E" w:rsidP="00FB7C1F">
            <w:pPr>
              <w:jc w:val="right"/>
              <w:rPr>
                <w:i/>
                <w:iCs/>
                <w:sz w:val="18"/>
                <w:szCs w:val="18"/>
              </w:rPr>
            </w:pPr>
            <w:r w:rsidRPr="004C78D8">
              <w:rPr>
                <w:i/>
                <w:iCs/>
                <w:sz w:val="18"/>
                <w:szCs w:val="18"/>
              </w:rPr>
              <w:t>P</w:t>
            </w:r>
            <w:r w:rsidR="008614A5" w:rsidRPr="004C78D8">
              <w:rPr>
                <w:i/>
                <w:iCs/>
                <w:sz w:val="18"/>
                <w:szCs w:val="18"/>
              </w:rPr>
              <w:t>roductivity</w:t>
            </w:r>
            <w:r w:rsidRPr="004C78D8">
              <w:rPr>
                <w:i/>
                <w:iCs/>
                <w:sz w:val="18"/>
                <w:szCs w:val="18"/>
              </w:rPr>
              <w:t xml:space="preserve"> value</w:t>
            </w:r>
            <w:r w:rsidR="00E07D22" w:rsidRPr="004C78D8">
              <w:rPr>
                <w:i/>
                <w:iCs/>
                <w:sz w:val="18"/>
                <w:szCs w:val="18"/>
                <w:vertAlign w:val="superscript"/>
              </w:rPr>
              <w:t>3</w:t>
            </w:r>
          </w:p>
        </w:tc>
        <w:tc>
          <w:tcPr>
            <w:tcW w:w="1028" w:type="pct"/>
            <w:tcBorders>
              <w:top w:val="nil"/>
              <w:bottom w:val="nil"/>
            </w:tcBorders>
          </w:tcPr>
          <w:p w14:paraId="0F336CB4" w14:textId="3BFDD233" w:rsidR="007D2F4E" w:rsidRPr="004C78D8" w:rsidRDefault="00E54CC0" w:rsidP="00FB7C1F">
            <w:pPr>
              <w:jc w:val="left"/>
              <w:rPr>
                <w:sz w:val="18"/>
                <w:szCs w:val="18"/>
              </w:rPr>
            </w:pPr>
            <w:r w:rsidRPr="004C78D8">
              <w:rPr>
                <w:sz w:val="18"/>
                <w:szCs w:val="18"/>
              </w:rPr>
              <w:t>£12,898,045,513</w:t>
            </w:r>
          </w:p>
        </w:tc>
        <w:tc>
          <w:tcPr>
            <w:tcW w:w="1106" w:type="pct"/>
            <w:tcBorders>
              <w:top w:val="nil"/>
              <w:bottom w:val="nil"/>
            </w:tcBorders>
          </w:tcPr>
          <w:p w14:paraId="42DDF814" w14:textId="435FC665" w:rsidR="007D2F4E" w:rsidRPr="004C78D8" w:rsidRDefault="00E54CC0" w:rsidP="00FB7C1F">
            <w:pPr>
              <w:jc w:val="left"/>
              <w:rPr>
                <w:sz w:val="18"/>
                <w:szCs w:val="18"/>
              </w:rPr>
            </w:pPr>
            <w:r w:rsidRPr="004C78D8">
              <w:rPr>
                <w:sz w:val="18"/>
                <w:szCs w:val="18"/>
              </w:rPr>
              <w:t>£12,950,951,021</w:t>
            </w:r>
          </w:p>
        </w:tc>
        <w:tc>
          <w:tcPr>
            <w:tcW w:w="1306" w:type="pct"/>
            <w:tcBorders>
              <w:top w:val="nil"/>
              <w:bottom w:val="nil"/>
            </w:tcBorders>
          </w:tcPr>
          <w:p w14:paraId="5882E411" w14:textId="1F760AB3" w:rsidR="007D2F4E" w:rsidRPr="004C78D8" w:rsidRDefault="005A4868" w:rsidP="00FB7C1F">
            <w:pPr>
              <w:jc w:val="left"/>
              <w:rPr>
                <w:sz w:val="18"/>
                <w:szCs w:val="18"/>
              </w:rPr>
            </w:pPr>
            <w:r w:rsidRPr="004C78D8">
              <w:rPr>
                <w:sz w:val="18"/>
                <w:szCs w:val="18"/>
              </w:rPr>
              <w:t>£52,905,508</w:t>
            </w:r>
          </w:p>
        </w:tc>
      </w:tr>
      <w:tr w:rsidR="007D2F4E" w:rsidRPr="004C78D8" w14:paraId="2FFBBCCA" w14:textId="77777777" w:rsidTr="00E35893">
        <w:tc>
          <w:tcPr>
            <w:tcW w:w="1560" w:type="pct"/>
            <w:tcBorders>
              <w:top w:val="nil"/>
              <w:bottom w:val="nil"/>
            </w:tcBorders>
          </w:tcPr>
          <w:p w14:paraId="76EDD118" w14:textId="6B98D192" w:rsidR="007D2F4E" w:rsidRPr="004C78D8" w:rsidRDefault="008614A5" w:rsidP="00FB7C1F">
            <w:pPr>
              <w:jc w:val="right"/>
              <w:rPr>
                <w:i/>
                <w:iCs/>
                <w:sz w:val="18"/>
                <w:szCs w:val="18"/>
              </w:rPr>
            </w:pPr>
            <w:r w:rsidRPr="004C78D8">
              <w:rPr>
                <w:i/>
                <w:iCs/>
                <w:sz w:val="18"/>
                <w:szCs w:val="18"/>
              </w:rPr>
              <w:t>Intervention TOC</w:t>
            </w:r>
          </w:p>
        </w:tc>
        <w:tc>
          <w:tcPr>
            <w:tcW w:w="1028" w:type="pct"/>
            <w:tcBorders>
              <w:top w:val="nil"/>
              <w:bottom w:val="single" w:sz="4" w:space="0" w:color="auto"/>
            </w:tcBorders>
          </w:tcPr>
          <w:p w14:paraId="1C7B85D9" w14:textId="5C7DF083" w:rsidR="007D2F4E" w:rsidRPr="004C78D8" w:rsidRDefault="00E54CC0" w:rsidP="00FB7C1F">
            <w:pPr>
              <w:jc w:val="left"/>
              <w:rPr>
                <w:sz w:val="18"/>
                <w:szCs w:val="18"/>
              </w:rPr>
            </w:pPr>
            <w:r w:rsidRPr="004C78D8">
              <w:rPr>
                <w:sz w:val="18"/>
                <w:szCs w:val="18"/>
              </w:rPr>
              <w:t>£1,246,430</w:t>
            </w:r>
          </w:p>
        </w:tc>
        <w:tc>
          <w:tcPr>
            <w:tcW w:w="1106" w:type="pct"/>
            <w:tcBorders>
              <w:top w:val="nil"/>
              <w:bottom w:val="single" w:sz="4" w:space="0" w:color="auto"/>
            </w:tcBorders>
          </w:tcPr>
          <w:p w14:paraId="49CAA0AF" w14:textId="0C9943AF" w:rsidR="007D2F4E" w:rsidRPr="004C78D8" w:rsidRDefault="00E54CC0" w:rsidP="00FB7C1F">
            <w:pPr>
              <w:jc w:val="left"/>
              <w:rPr>
                <w:sz w:val="18"/>
                <w:szCs w:val="18"/>
              </w:rPr>
            </w:pPr>
            <w:r w:rsidRPr="004C78D8">
              <w:rPr>
                <w:sz w:val="18"/>
                <w:szCs w:val="18"/>
              </w:rPr>
              <w:t>£42,481,862</w:t>
            </w:r>
          </w:p>
        </w:tc>
        <w:tc>
          <w:tcPr>
            <w:tcW w:w="1306" w:type="pct"/>
            <w:tcBorders>
              <w:top w:val="nil"/>
              <w:bottom w:val="single" w:sz="4" w:space="0" w:color="auto"/>
            </w:tcBorders>
          </w:tcPr>
          <w:p w14:paraId="7D834505" w14:textId="3A10AFB4" w:rsidR="007D2F4E" w:rsidRPr="004C78D8" w:rsidRDefault="005A4868" w:rsidP="00FB7C1F">
            <w:pPr>
              <w:jc w:val="left"/>
              <w:rPr>
                <w:sz w:val="18"/>
                <w:szCs w:val="18"/>
              </w:rPr>
            </w:pPr>
            <w:r w:rsidRPr="004C78D8">
              <w:rPr>
                <w:sz w:val="18"/>
                <w:szCs w:val="18"/>
              </w:rPr>
              <w:t>£41,235,432</w:t>
            </w:r>
          </w:p>
        </w:tc>
      </w:tr>
      <w:tr w:rsidR="008614A5" w:rsidRPr="004C78D8" w14:paraId="06954B8B" w14:textId="77777777" w:rsidTr="00E35893">
        <w:tc>
          <w:tcPr>
            <w:tcW w:w="1560" w:type="pct"/>
            <w:tcBorders>
              <w:top w:val="nil"/>
              <w:bottom w:val="nil"/>
            </w:tcBorders>
          </w:tcPr>
          <w:p w14:paraId="0AD525A0" w14:textId="4BFDE06C" w:rsidR="008614A5" w:rsidRPr="004C78D8" w:rsidRDefault="008614A5" w:rsidP="00FB7C1F">
            <w:pPr>
              <w:jc w:val="right"/>
              <w:rPr>
                <w:i/>
                <w:iCs/>
                <w:sz w:val="18"/>
                <w:szCs w:val="18"/>
              </w:rPr>
            </w:pPr>
            <w:r w:rsidRPr="004C78D8">
              <w:rPr>
                <w:i/>
                <w:iCs/>
                <w:sz w:val="18"/>
                <w:szCs w:val="18"/>
              </w:rPr>
              <w:t>Net productivity gain</w:t>
            </w:r>
          </w:p>
        </w:tc>
        <w:tc>
          <w:tcPr>
            <w:tcW w:w="1028" w:type="pct"/>
            <w:tcBorders>
              <w:top w:val="single" w:sz="4" w:space="0" w:color="auto"/>
              <w:bottom w:val="nil"/>
              <w:right w:val="nil"/>
            </w:tcBorders>
          </w:tcPr>
          <w:p w14:paraId="2E112CFD" w14:textId="77777777" w:rsidR="008614A5" w:rsidRPr="004C78D8" w:rsidRDefault="008614A5" w:rsidP="00FB7C1F">
            <w:pPr>
              <w:jc w:val="left"/>
              <w:rPr>
                <w:sz w:val="18"/>
                <w:szCs w:val="18"/>
              </w:rPr>
            </w:pPr>
          </w:p>
        </w:tc>
        <w:tc>
          <w:tcPr>
            <w:tcW w:w="1106" w:type="pct"/>
            <w:tcBorders>
              <w:top w:val="single" w:sz="4" w:space="0" w:color="auto"/>
              <w:left w:val="nil"/>
              <w:bottom w:val="nil"/>
            </w:tcBorders>
          </w:tcPr>
          <w:p w14:paraId="63F7B2C9" w14:textId="77777777" w:rsidR="008614A5" w:rsidRPr="004C78D8" w:rsidRDefault="008614A5" w:rsidP="00FB7C1F">
            <w:pPr>
              <w:jc w:val="left"/>
              <w:rPr>
                <w:sz w:val="18"/>
                <w:szCs w:val="18"/>
              </w:rPr>
            </w:pPr>
          </w:p>
        </w:tc>
        <w:tc>
          <w:tcPr>
            <w:tcW w:w="1306" w:type="pct"/>
            <w:tcBorders>
              <w:top w:val="single" w:sz="4" w:space="0" w:color="auto"/>
              <w:bottom w:val="nil"/>
            </w:tcBorders>
          </w:tcPr>
          <w:p w14:paraId="3092B0CC" w14:textId="0C33E335" w:rsidR="008614A5" w:rsidRPr="004C78D8" w:rsidRDefault="005A4868" w:rsidP="00FB7C1F">
            <w:pPr>
              <w:jc w:val="left"/>
              <w:rPr>
                <w:sz w:val="18"/>
                <w:szCs w:val="18"/>
              </w:rPr>
            </w:pPr>
            <w:r w:rsidRPr="004C78D8">
              <w:rPr>
                <w:sz w:val="18"/>
                <w:szCs w:val="18"/>
              </w:rPr>
              <w:t>£11,670,076</w:t>
            </w:r>
          </w:p>
        </w:tc>
      </w:tr>
      <w:tr w:rsidR="008614A5" w:rsidRPr="004C78D8" w14:paraId="448D2594" w14:textId="77777777" w:rsidTr="00E35893">
        <w:tc>
          <w:tcPr>
            <w:tcW w:w="1560" w:type="pct"/>
            <w:tcBorders>
              <w:top w:val="nil"/>
              <w:bottom w:val="single" w:sz="4" w:space="0" w:color="auto"/>
            </w:tcBorders>
          </w:tcPr>
          <w:p w14:paraId="4C5CDAA6" w14:textId="1E09A8CE" w:rsidR="008614A5" w:rsidRPr="004C78D8" w:rsidRDefault="008614A5" w:rsidP="00FB7C1F">
            <w:pPr>
              <w:jc w:val="right"/>
              <w:rPr>
                <w:i/>
                <w:iCs/>
                <w:sz w:val="18"/>
                <w:szCs w:val="18"/>
              </w:rPr>
            </w:pPr>
            <w:r w:rsidRPr="004C78D8">
              <w:rPr>
                <w:i/>
                <w:iCs/>
                <w:sz w:val="18"/>
                <w:szCs w:val="18"/>
              </w:rPr>
              <w:t>Net productivity gain, QALY equivalent</w:t>
            </w:r>
          </w:p>
        </w:tc>
        <w:tc>
          <w:tcPr>
            <w:tcW w:w="1028" w:type="pct"/>
            <w:tcBorders>
              <w:top w:val="nil"/>
              <w:bottom w:val="single" w:sz="4" w:space="0" w:color="auto"/>
              <w:right w:val="nil"/>
            </w:tcBorders>
          </w:tcPr>
          <w:p w14:paraId="213CE82D" w14:textId="77777777" w:rsidR="008614A5" w:rsidRPr="004C78D8" w:rsidRDefault="008614A5" w:rsidP="00FB7C1F">
            <w:pPr>
              <w:jc w:val="left"/>
              <w:rPr>
                <w:sz w:val="18"/>
                <w:szCs w:val="18"/>
              </w:rPr>
            </w:pPr>
          </w:p>
        </w:tc>
        <w:tc>
          <w:tcPr>
            <w:tcW w:w="1106" w:type="pct"/>
            <w:tcBorders>
              <w:top w:val="nil"/>
              <w:left w:val="nil"/>
              <w:bottom w:val="single" w:sz="4" w:space="0" w:color="auto"/>
            </w:tcBorders>
          </w:tcPr>
          <w:p w14:paraId="38A3BFF8" w14:textId="77777777" w:rsidR="008614A5" w:rsidRPr="004C78D8" w:rsidRDefault="008614A5" w:rsidP="00FB7C1F">
            <w:pPr>
              <w:jc w:val="left"/>
              <w:rPr>
                <w:sz w:val="18"/>
                <w:szCs w:val="18"/>
              </w:rPr>
            </w:pPr>
          </w:p>
        </w:tc>
        <w:tc>
          <w:tcPr>
            <w:tcW w:w="1306" w:type="pct"/>
            <w:tcBorders>
              <w:top w:val="nil"/>
              <w:bottom w:val="single" w:sz="4" w:space="0" w:color="auto"/>
            </w:tcBorders>
          </w:tcPr>
          <w:p w14:paraId="7D085AB7" w14:textId="790AD96C" w:rsidR="008614A5" w:rsidRPr="004C78D8" w:rsidRDefault="005A4868" w:rsidP="00FB7C1F">
            <w:pPr>
              <w:jc w:val="left"/>
              <w:rPr>
                <w:sz w:val="18"/>
                <w:szCs w:val="18"/>
              </w:rPr>
            </w:pPr>
            <w:r w:rsidRPr="004C78D8">
              <w:rPr>
                <w:sz w:val="18"/>
                <w:szCs w:val="18"/>
              </w:rPr>
              <w:t>195</w:t>
            </w:r>
            <w:r w:rsidR="0073725B" w:rsidRPr="004C78D8">
              <w:rPr>
                <w:sz w:val="18"/>
                <w:szCs w:val="18"/>
              </w:rPr>
              <w:t xml:space="preserve"> QALYs</w:t>
            </w:r>
          </w:p>
        </w:tc>
      </w:tr>
      <w:tr w:rsidR="008614A5" w:rsidRPr="004C78D8" w14:paraId="5FD1C476" w14:textId="77777777" w:rsidTr="00E35893">
        <w:tc>
          <w:tcPr>
            <w:tcW w:w="1560" w:type="pct"/>
            <w:tcBorders>
              <w:top w:val="single" w:sz="4" w:space="0" w:color="auto"/>
              <w:bottom w:val="nil"/>
            </w:tcBorders>
          </w:tcPr>
          <w:p w14:paraId="67D74C76" w14:textId="2AA0978C" w:rsidR="008614A5" w:rsidRPr="004C78D8" w:rsidRDefault="008614A5" w:rsidP="00FB7C1F">
            <w:pPr>
              <w:jc w:val="left"/>
              <w:rPr>
                <w:sz w:val="18"/>
                <w:szCs w:val="18"/>
              </w:rPr>
            </w:pPr>
            <w:r w:rsidRPr="004C78D8">
              <w:rPr>
                <w:sz w:val="18"/>
                <w:szCs w:val="18"/>
              </w:rPr>
              <w:t>Personal finance</w:t>
            </w:r>
          </w:p>
        </w:tc>
        <w:tc>
          <w:tcPr>
            <w:tcW w:w="1028" w:type="pct"/>
            <w:tcBorders>
              <w:top w:val="single" w:sz="4" w:space="0" w:color="auto"/>
              <w:bottom w:val="nil"/>
            </w:tcBorders>
          </w:tcPr>
          <w:p w14:paraId="499D2827" w14:textId="77777777" w:rsidR="008614A5" w:rsidRPr="004C78D8" w:rsidRDefault="008614A5" w:rsidP="00FB7C1F">
            <w:pPr>
              <w:jc w:val="left"/>
              <w:rPr>
                <w:sz w:val="18"/>
                <w:szCs w:val="18"/>
              </w:rPr>
            </w:pPr>
          </w:p>
        </w:tc>
        <w:tc>
          <w:tcPr>
            <w:tcW w:w="1106" w:type="pct"/>
            <w:tcBorders>
              <w:top w:val="single" w:sz="4" w:space="0" w:color="auto"/>
              <w:bottom w:val="nil"/>
            </w:tcBorders>
          </w:tcPr>
          <w:p w14:paraId="2D1A3F7A" w14:textId="77777777" w:rsidR="008614A5" w:rsidRPr="004C78D8" w:rsidRDefault="008614A5" w:rsidP="00FB7C1F">
            <w:pPr>
              <w:jc w:val="left"/>
              <w:rPr>
                <w:sz w:val="18"/>
                <w:szCs w:val="18"/>
              </w:rPr>
            </w:pPr>
          </w:p>
        </w:tc>
        <w:tc>
          <w:tcPr>
            <w:tcW w:w="1306" w:type="pct"/>
            <w:tcBorders>
              <w:top w:val="single" w:sz="4" w:space="0" w:color="auto"/>
              <w:bottom w:val="nil"/>
            </w:tcBorders>
          </w:tcPr>
          <w:p w14:paraId="630206F5" w14:textId="77777777" w:rsidR="008614A5" w:rsidRPr="004C78D8" w:rsidRDefault="008614A5" w:rsidP="00FB7C1F">
            <w:pPr>
              <w:jc w:val="left"/>
              <w:rPr>
                <w:sz w:val="18"/>
                <w:szCs w:val="18"/>
              </w:rPr>
            </w:pPr>
          </w:p>
        </w:tc>
      </w:tr>
      <w:tr w:rsidR="008614A5" w:rsidRPr="004C78D8" w14:paraId="7CC75A89" w14:textId="77777777" w:rsidTr="00E35893">
        <w:tc>
          <w:tcPr>
            <w:tcW w:w="1560" w:type="pct"/>
            <w:tcBorders>
              <w:top w:val="nil"/>
              <w:bottom w:val="nil"/>
            </w:tcBorders>
          </w:tcPr>
          <w:p w14:paraId="5F75DD1B" w14:textId="418E6E06" w:rsidR="008614A5" w:rsidRPr="004C78D8" w:rsidRDefault="008614A5" w:rsidP="00FB7C1F">
            <w:pPr>
              <w:jc w:val="right"/>
              <w:rPr>
                <w:i/>
                <w:iCs/>
                <w:sz w:val="18"/>
                <w:szCs w:val="18"/>
              </w:rPr>
            </w:pPr>
            <w:r w:rsidRPr="004C78D8">
              <w:rPr>
                <w:i/>
                <w:iCs/>
                <w:sz w:val="18"/>
                <w:szCs w:val="18"/>
              </w:rPr>
              <w:t>OOP care expenditure</w:t>
            </w:r>
            <w:r w:rsidR="00E07D22" w:rsidRPr="004C78D8">
              <w:rPr>
                <w:i/>
                <w:iCs/>
                <w:sz w:val="18"/>
                <w:szCs w:val="18"/>
                <w:vertAlign w:val="superscript"/>
              </w:rPr>
              <w:t>4</w:t>
            </w:r>
          </w:p>
        </w:tc>
        <w:tc>
          <w:tcPr>
            <w:tcW w:w="1028" w:type="pct"/>
            <w:tcBorders>
              <w:top w:val="nil"/>
              <w:bottom w:val="nil"/>
            </w:tcBorders>
          </w:tcPr>
          <w:p w14:paraId="47B036AA" w14:textId="11455019" w:rsidR="008614A5" w:rsidRPr="004C78D8" w:rsidRDefault="00E54CC0" w:rsidP="00FB7C1F">
            <w:pPr>
              <w:jc w:val="left"/>
              <w:rPr>
                <w:sz w:val="18"/>
                <w:szCs w:val="18"/>
              </w:rPr>
            </w:pPr>
            <w:r w:rsidRPr="004C78D8">
              <w:rPr>
                <w:sz w:val="18"/>
                <w:szCs w:val="18"/>
              </w:rPr>
              <w:t>£2,459,655,286</w:t>
            </w:r>
          </w:p>
        </w:tc>
        <w:tc>
          <w:tcPr>
            <w:tcW w:w="1106" w:type="pct"/>
            <w:tcBorders>
              <w:top w:val="nil"/>
              <w:bottom w:val="nil"/>
            </w:tcBorders>
          </w:tcPr>
          <w:p w14:paraId="4E2DFA23" w14:textId="5CEA9CE6" w:rsidR="008614A5" w:rsidRPr="004C78D8" w:rsidRDefault="00E54CC0" w:rsidP="00FB7C1F">
            <w:pPr>
              <w:jc w:val="left"/>
              <w:rPr>
                <w:sz w:val="18"/>
                <w:szCs w:val="18"/>
              </w:rPr>
            </w:pPr>
            <w:r w:rsidRPr="004C78D8">
              <w:rPr>
                <w:sz w:val="18"/>
                <w:szCs w:val="18"/>
              </w:rPr>
              <w:t>£2,416,466,801</w:t>
            </w:r>
          </w:p>
        </w:tc>
        <w:tc>
          <w:tcPr>
            <w:tcW w:w="1306" w:type="pct"/>
            <w:tcBorders>
              <w:top w:val="nil"/>
              <w:bottom w:val="nil"/>
            </w:tcBorders>
          </w:tcPr>
          <w:p w14:paraId="54E1FD83" w14:textId="71E3C14B" w:rsidR="008614A5" w:rsidRPr="004C78D8" w:rsidRDefault="005A4868" w:rsidP="00FB7C1F">
            <w:pPr>
              <w:jc w:val="left"/>
              <w:rPr>
                <w:sz w:val="18"/>
                <w:szCs w:val="18"/>
              </w:rPr>
            </w:pPr>
            <w:r w:rsidRPr="004C78D8">
              <w:rPr>
                <w:sz w:val="18"/>
                <w:szCs w:val="18"/>
              </w:rPr>
              <w:t>-£43,188,485</w:t>
            </w:r>
          </w:p>
        </w:tc>
      </w:tr>
      <w:tr w:rsidR="008614A5" w:rsidRPr="004C78D8" w14:paraId="391F997B" w14:textId="77777777" w:rsidTr="00E35893">
        <w:tc>
          <w:tcPr>
            <w:tcW w:w="1560" w:type="pct"/>
            <w:tcBorders>
              <w:top w:val="nil"/>
              <w:bottom w:val="nil"/>
            </w:tcBorders>
          </w:tcPr>
          <w:p w14:paraId="3256D799" w14:textId="7B3E4E41" w:rsidR="008614A5" w:rsidRPr="004C78D8" w:rsidRDefault="008614A5" w:rsidP="00FB7C1F">
            <w:pPr>
              <w:jc w:val="right"/>
              <w:rPr>
                <w:i/>
                <w:iCs/>
                <w:sz w:val="18"/>
                <w:szCs w:val="18"/>
              </w:rPr>
            </w:pPr>
            <w:r w:rsidRPr="004C78D8">
              <w:rPr>
                <w:i/>
                <w:iCs/>
                <w:sz w:val="18"/>
                <w:szCs w:val="18"/>
              </w:rPr>
              <w:t>Intervention private co-payment</w:t>
            </w:r>
          </w:p>
        </w:tc>
        <w:tc>
          <w:tcPr>
            <w:tcW w:w="1028" w:type="pct"/>
            <w:tcBorders>
              <w:top w:val="nil"/>
              <w:bottom w:val="single" w:sz="4" w:space="0" w:color="auto"/>
            </w:tcBorders>
          </w:tcPr>
          <w:p w14:paraId="4899D156" w14:textId="290E8C3E" w:rsidR="008614A5" w:rsidRPr="004C78D8" w:rsidRDefault="00E54CC0" w:rsidP="00FB7C1F">
            <w:pPr>
              <w:jc w:val="left"/>
              <w:rPr>
                <w:sz w:val="18"/>
                <w:szCs w:val="18"/>
              </w:rPr>
            </w:pPr>
            <w:r w:rsidRPr="004C78D8">
              <w:rPr>
                <w:sz w:val="18"/>
                <w:szCs w:val="18"/>
              </w:rPr>
              <w:t>£9,206,557</w:t>
            </w:r>
          </w:p>
        </w:tc>
        <w:tc>
          <w:tcPr>
            <w:tcW w:w="1106" w:type="pct"/>
            <w:tcBorders>
              <w:top w:val="nil"/>
              <w:bottom w:val="single" w:sz="4" w:space="0" w:color="auto"/>
            </w:tcBorders>
          </w:tcPr>
          <w:p w14:paraId="5000B864" w14:textId="5F0236D7" w:rsidR="008614A5" w:rsidRPr="004C78D8" w:rsidRDefault="00E54CC0" w:rsidP="00FB7C1F">
            <w:pPr>
              <w:jc w:val="left"/>
              <w:rPr>
                <w:sz w:val="18"/>
                <w:szCs w:val="18"/>
              </w:rPr>
            </w:pPr>
            <w:r w:rsidRPr="004C78D8">
              <w:rPr>
                <w:sz w:val="18"/>
                <w:szCs w:val="18"/>
              </w:rPr>
              <w:t>£76,117,768</w:t>
            </w:r>
          </w:p>
        </w:tc>
        <w:tc>
          <w:tcPr>
            <w:tcW w:w="1306" w:type="pct"/>
            <w:tcBorders>
              <w:top w:val="nil"/>
              <w:bottom w:val="single" w:sz="4" w:space="0" w:color="auto"/>
            </w:tcBorders>
          </w:tcPr>
          <w:p w14:paraId="46AEC099" w14:textId="38281A5E" w:rsidR="008614A5" w:rsidRPr="004C78D8" w:rsidRDefault="005A4868" w:rsidP="00FB7C1F">
            <w:pPr>
              <w:jc w:val="left"/>
              <w:rPr>
                <w:sz w:val="18"/>
                <w:szCs w:val="18"/>
              </w:rPr>
            </w:pPr>
            <w:r w:rsidRPr="004C78D8">
              <w:rPr>
                <w:sz w:val="18"/>
                <w:szCs w:val="18"/>
              </w:rPr>
              <w:t>£66,911,211</w:t>
            </w:r>
          </w:p>
        </w:tc>
      </w:tr>
      <w:tr w:rsidR="008614A5" w:rsidRPr="004C78D8" w14:paraId="43E155F7" w14:textId="77777777" w:rsidTr="00E35893">
        <w:tc>
          <w:tcPr>
            <w:tcW w:w="1560" w:type="pct"/>
            <w:tcBorders>
              <w:top w:val="nil"/>
              <w:bottom w:val="nil"/>
            </w:tcBorders>
          </w:tcPr>
          <w:p w14:paraId="06AF8051" w14:textId="0ECAA4E0" w:rsidR="008614A5" w:rsidRPr="004C78D8" w:rsidRDefault="008614A5" w:rsidP="00FB7C1F">
            <w:pPr>
              <w:jc w:val="right"/>
              <w:rPr>
                <w:i/>
                <w:iCs/>
                <w:sz w:val="18"/>
                <w:szCs w:val="18"/>
              </w:rPr>
            </w:pPr>
            <w:r w:rsidRPr="004C78D8">
              <w:rPr>
                <w:i/>
                <w:iCs/>
                <w:sz w:val="18"/>
                <w:szCs w:val="18"/>
              </w:rPr>
              <w:t xml:space="preserve">Net personal finance </w:t>
            </w:r>
            <w:r w:rsidR="00E54D98" w:rsidRPr="004C78D8">
              <w:rPr>
                <w:i/>
                <w:iCs/>
                <w:sz w:val="18"/>
                <w:szCs w:val="18"/>
              </w:rPr>
              <w:t>cost</w:t>
            </w:r>
          </w:p>
        </w:tc>
        <w:tc>
          <w:tcPr>
            <w:tcW w:w="1028" w:type="pct"/>
            <w:tcBorders>
              <w:top w:val="single" w:sz="4" w:space="0" w:color="auto"/>
              <w:bottom w:val="nil"/>
              <w:right w:val="nil"/>
            </w:tcBorders>
          </w:tcPr>
          <w:p w14:paraId="15DA50E9" w14:textId="77777777" w:rsidR="008614A5" w:rsidRPr="004C78D8" w:rsidRDefault="008614A5" w:rsidP="00FB7C1F">
            <w:pPr>
              <w:jc w:val="left"/>
              <w:rPr>
                <w:sz w:val="18"/>
                <w:szCs w:val="18"/>
              </w:rPr>
            </w:pPr>
          </w:p>
        </w:tc>
        <w:tc>
          <w:tcPr>
            <w:tcW w:w="1106" w:type="pct"/>
            <w:tcBorders>
              <w:top w:val="single" w:sz="4" w:space="0" w:color="auto"/>
              <w:left w:val="nil"/>
              <w:bottom w:val="nil"/>
            </w:tcBorders>
          </w:tcPr>
          <w:p w14:paraId="735EB7EF" w14:textId="77777777" w:rsidR="008614A5" w:rsidRPr="004C78D8" w:rsidRDefault="008614A5" w:rsidP="00FB7C1F">
            <w:pPr>
              <w:jc w:val="left"/>
              <w:rPr>
                <w:sz w:val="18"/>
                <w:szCs w:val="18"/>
              </w:rPr>
            </w:pPr>
          </w:p>
        </w:tc>
        <w:tc>
          <w:tcPr>
            <w:tcW w:w="1306" w:type="pct"/>
            <w:tcBorders>
              <w:top w:val="single" w:sz="4" w:space="0" w:color="auto"/>
              <w:bottom w:val="nil"/>
            </w:tcBorders>
          </w:tcPr>
          <w:p w14:paraId="13C33BFF" w14:textId="25DBCEC0" w:rsidR="008614A5" w:rsidRPr="004C78D8" w:rsidRDefault="005A4868" w:rsidP="00FB7C1F">
            <w:pPr>
              <w:jc w:val="left"/>
              <w:rPr>
                <w:sz w:val="18"/>
                <w:szCs w:val="18"/>
              </w:rPr>
            </w:pPr>
            <w:r w:rsidRPr="004C78D8">
              <w:rPr>
                <w:sz w:val="18"/>
                <w:szCs w:val="18"/>
              </w:rPr>
              <w:t>£23,722,726</w:t>
            </w:r>
          </w:p>
        </w:tc>
      </w:tr>
      <w:tr w:rsidR="008614A5" w:rsidRPr="004C78D8" w14:paraId="746FC0EB" w14:textId="77777777" w:rsidTr="00E35893">
        <w:tc>
          <w:tcPr>
            <w:tcW w:w="1560" w:type="pct"/>
            <w:tcBorders>
              <w:top w:val="nil"/>
              <w:bottom w:val="single" w:sz="4" w:space="0" w:color="auto"/>
            </w:tcBorders>
          </w:tcPr>
          <w:p w14:paraId="40618699" w14:textId="09010FFD" w:rsidR="008614A5" w:rsidRPr="004C78D8" w:rsidRDefault="008614A5" w:rsidP="00FB7C1F">
            <w:pPr>
              <w:jc w:val="right"/>
              <w:rPr>
                <w:i/>
                <w:iCs/>
                <w:sz w:val="18"/>
                <w:szCs w:val="18"/>
              </w:rPr>
            </w:pPr>
            <w:r w:rsidRPr="004C78D8">
              <w:rPr>
                <w:i/>
                <w:iCs/>
                <w:sz w:val="18"/>
                <w:szCs w:val="18"/>
              </w:rPr>
              <w:t xml:space="preserve">Net personal finance </w:t>
            </w:r>
            <w:r w:rsidR="00E54D98" w:rsidRPr="004C78D8">
              <w:rPr>
                <w:i/>
                <w:iCs/>
                <w:sz w:val="18"/>
                <w:szCs w:val="18"/>
              </w:rPr>
              <w:t>cost</w:t>
            </w:r>
            <w:r w:rsidRPr="004C78D8">
              <w:rPr>
                <w:i/>
                <w:iCs/>
                <w:sz w:val="18"/>
                <w:szCs w:val="18"/>
              </w:rPr>
              <w:t>, QALY equivalent</w:t>
            </w:r>
          </w:p>
        </w:tc>
        <w:tc>
          <w:tcPr>
            <w:tcW w:w="1028" w:type="pct"/>
            <w:tcBorders>
              <w:top w:val="nil"/>
              <w:bottom w:val="single" w:sz="4" w:space="0" w:color="auto"/>
              <w:right w:val="nil"/>
            </w:tcBorders>
          </w:tcPr>
          <w:p w14:paraId="7875793D" w14:textId="77777777" w:rsidR="008614A5" w:rsidRPr="004C78D8" w:rsidRDefault="008614A5" w:rsidP="00FB7C1F">
            <w:pPr>
              <w:jc w:val="left"/>
              <w:rPr>
                <w:sz w:val="18"/>
                <w:szCs w:val="18"/>
              </w:rPr>
            </w:pPr>
          </w:p>
        </w:tc>
        <w:tc>
          <w:tcPr>
            <w:tcW w:w="1106" w:type="pct"/>
            <w:tcBorders>
              <w:top w:val="nil"/>
              <w:left w:val="nil"/>
              <w:bottom w:val="single" w:sz="4" w:space="0" w:color="auto"/>
            </w:tcBorders>
          </w:tcPr>
          <w:p w14:paraId="4DB91B4F" w14:textId="77777777" w:rsidR="008614A5" w:rsidRPr="004C78D8" w:rsidRDefault="008614A5" w:rsidP="00FB7C1F">
            <w:pPr>
              <w:jc w:val="left"/>
              <w:rPr>
                <w:sz w:val="18"/>
                <w:szCs w:val="18"/>
              </w:rPr>
            </w:pPr>
          </w:p>
        </w:tc>
        <w:tc>
          <w:tcPr>
            <w:tcW w:w="1306" w:type="pct"/>
            <w:tcBorders>
              <w:top w:val="nil"/>
              <w:bottom w:val="single" w:sz="4" w:space="0" w:color="auto"/>
            </w:tcBorders>
          </w:tcPr>
          <w:p w14:paraId="5159932B" w14:textId="3E2B7A21" w:rsidR="008614A5" w:rsidRPr="004C78D8" w:rsidRDefault="00E54D98" w:rsidP="00FB7C1F">
            <w:pPr>
              <w:jc w:val="left"/>
              <w:rPr>
                <w:sz w:val="18"/>
                <w:szCs w:val="18"/>
              </w:rPr>
            </w:pPr>
            <w:r w:rsidRPr="004C78D8">
              <w:rPr>
                <w:sz w:val="18"/>
                <w:szCs w:val="18"/>
              </w:rPr>
              <w:t>-</w:t>
            </w:r>
            <w:r w:rsidR="005A4868" w:rsidRPr="004C78D8">
              <w:rPr>
                <w:sz w:val="18"/>
                <w:szCs w:val="18"/>
              </w:rPr>
              <w:t>395</w:t>
            </w:r>
            <w:r w:rsidRPr="004C78D8">
              <w:rPr>
                <w:sz w:val="18"/>
                <w:szCs w:val="18"/>
              </w:rPr>
              <w:t xml:space="preserve"> QALYs</w:t>
            </w:r>
          </w:p>
        </w:tc>
      </w:tr>
      <w:tr w:rsidR="008614A5" w:rsidRPr="004C78D8" w14:paraId="41A63F74" w14:textId="77777777" w:rsidTr="00E35893">
        <w:tc>
          <w:tcPr>
            <w:tcW w:w="1560" w:type="pct"/>
            <w:tcBorders>
              <w:top w:val="single" w:sz="4" w:space="0" w:color="auto"/>
              <w:bottom w:val="nil"/>
            </w:tcBorders>
          </w:tcPr>
          <w:p w14:paraId="2043C0FB" w14:textId="20D73B95" w:rsidR="008614A5" w:rsidRPr="004C78D8" w:rsidRDefault="00065B58" w:rsidP="00FB7C1F">
            <w:pPr>
              <w:jc w:val="left"/>
              <w:rPr>
                <w:sz w:val="18"/>
                <w:szCs w:val="18"/>
              </w:rPr>
            </w:pPr>
            <w:r w:rsidRPr="004C78D8">
              <w:rPr>
                <w:sz w:val="18"/>
                <w:szCs w:val="18"/>
              </w:rPr>
              <w:t>Informal caregiver burden</w:t>
            </w:r>
          </w:p>
        </w:tc>
        <w:tc>
          <w:tcPr>
            <w:tcW w:w="1028" w:type="pct"/>
            <w:tcBorders>
              <w:top w:val="single" w:sz="4" w:space="0" w:color="auto"/>
              <w:bottom w:val="nil"/>
            </w:tcBorders>
          </w:tcPr>
          <w:p w14:paraId="624F1FA5" w14:textId="77777777" w:rsidR="008614A5" w:rsidRPr="004C78D8" w:rsidRDefault="008614A5" w:rsidP="00FB7C1F">
            <w:pPr>
              <w:jc w:val="left"/>
              <w:rPr>
                <w:sz w:val="18"/>
                <w:szCs w:val="18"/>
              </w:rPr>
            </w:pPr>
          </w:p>
        </w:tc>
        <w:tc>
          <w:tcPr>
            <w:tcW w:w="1106" w:type="pct"/>
            <w:tcBorders>
              <w:top w:val="single" w:sz="4" w:space="0" w:color="auto"/>
              <w:bottom w:val="nil"/>
            </w:tcBorders>
          </w:tcPr>
          <w:p w14:paraId="107DDB34" w14:textId="77777777" w:rsidR="008614A5" w:rsidRPr="004C78D8" w:rsidRDefault="008614A5" w:rsidP="00FB7C1F">
            <w:pPr>
              <w:jc w:val="left"/>
              <w:rPr>
                <w:sz w:val="18"/>
                <w:szCs w:val="18"/>
              </w:rPr>
            </w:pPr>
          </w:p>
        </w:tc>
        <w:tc>
          <w:tcPr>
            <w:tcW w:w="1306" w:type="pct"/>
            <w:tcBorders>
              <w:top w:val="single" w:sz="4" w:space="0" w:color="auto"/>
              <w:bottom w:val="nil"/>
            </w:tcBorders>
          </w:tcPr>
          <w:p w14:paraId="474F20B3" w14:textId="77777777" w:rsidR="008614A5" w:rsidRPr="004C78D8" w:rsidRDefault="008614A5" w:rsidP="00FB7C1F">
            <w:pPr>
              <w:jc w:val="left"/>
              <w:rPr>
                <w:sz w:val="18"/>
                <w:szCs w:val="18"/>
              </w:rPr>
            </w:pPr>
          </w:p>
        </w:tc>
      </w:tr>
      <w:tr w:rsidR="008614A5" w:rsidRPr="004C78D8" w14:paraId="495293D9" w14:textId="77777777" w:rsidTr="00E35893">
        <w:tc>
          <w:tcPr>
            <w:tcW w:w="1560" w:type="pct"/>
            <w:tcBorders>
              <w:top w:val="nil"/>
              <w:bottom w:val="nil"/>
            </w:tcBorders>
          </w:tcPr>
          <w:p w14:paraId="42275E46" w14:textId="397BD6CE" w:rsidR="008614A5" w:rsidRPr="004C78D8" w:rsidRDefault="00065B58" w:rsidP="00FB7C1F">
            <w:pPr>
              <w:jc w:val="right"/>
              <w:rPr>
                <w:i/>
                <w:iCs/>
                <w:sz w:val="18"/>
                <w:szCs w:val="18"/>
              </w:rPr>
            </w:pPr>
            <w:r w:rsidRPr="004C78D8">
              <w:rPr>
                <w:i/>
                <w:iCs/>
                <w:sz w:val="18"/>
                <w:szCs w:val="18"/>
              </w:rPr>
              <w:t>Informal caregiving cost</w:t>
            </w:r>
          </w:p>
        </w:tc>
        <w:tc>
          <w:tcPr>
            <w:tcW w:w="1028" w:type="pct"/>
            <w:tcBorders>
              <w:top w:val="nil"/>
              <w:bottom w:val="nil"/>
            </w:tcBorders>
          </w:tcPr>
          <w:p w14:paraId="7B588E46" w14:textId="0F1F6944" w:rsidR="008614A5" w:rsidRPr="004C78D8" w:rsidRDefault="00E54CC0" w:rsidP="00FB7C1F">
            <w:pPr>
              <w:jc w:val="left"/>
              <w:rPr>
                <w:sz w:val="18"/>
                <w:szCs w:val="18"/>
              </w:rPr>
            </w:pPr>
            <w:r w:rsidRPr="004C78D8">
              <w:rPr>
                <w:sz w:val="18"/>
                <w:szCs w:val="18"/>
              </w:rPr>
              <w:t>£14,792,446,041</w:t>
            </w:r>
          </w:p>
        </w:tc>
        <w:tc>
          <w:tcPr>
            <w:tcW w:w="1106" w:type="pct"/>
            <w:tcBorders>
              <w:top w:val="nil"/>
              <w:bottom w:val="nil"/>
            </w:tcBorders>
          </w:tcPr>
          <w:p w14:paraId="0F571462" w14:textId="2C1295DE" w:rsidR="008614A5" w:rsidRPr="004C78D8" w:rsidRDefault="00E54CC0" w:rsidP="00FB7C1F">
            <w:pPr>
              <w:jc w:val="left"/>
              <w:rPr>
                <w:sz w:val="18"/>
                <w:szCs w:val="18"/>
              </w:rPr>
            </w:pPr>
            <w:r w:rsidRPr="004C78D8">
              <w:rPr>
                <w:sz w:val="18"/>
                <w:szCs w:val="18"/>
              </w:rPr>
              <w:t>£14,646,146,819</w:t>
            </w:r>
          </w:p>
        </w:tc>
        <w:tc>
          <w:tcPr>
            <w:tcW w:w="1306" w:type="pct"/>
            <w:tcBorders>
              <w:top w:val="nil"/>
              <w:bottom w:val="nil"/>
            </w:tcBorders>
          </w:tcPr>
          <w:p w14:paraId="1AB5BE4F" w14:textId="507472D2" w:rsidR="008614A5" w:rsidRPr="004C78D8" w:rsidRDefault="005A4868" w:rsidP="00FB7C1F">
            <w:pPr>
              <w:jc w:val="left"/>
              <w:rPr>
                <w:sz w:val="18"/>
                <w:szCs w:val="18"/>
              </w:rPr>
            </w:pPr>
            <w:r w:rsidRPr="004C78D8">
              <w:rPr>
                <w:sz w:val="18"/>
                <w:szCs w:val="18"/>
              </w:rPr>
              <w:t>-£146,299,222</w:t>
            </w:r>
          </w:p>
        </w:tc>
      </w:tr>
      <w:tr w:rsidR="00065B58" w:rsidRPr="004C78D8" w14:paraId="137D8199" w14:textId="77777777" w:rsidTr="00E35893">
        <w:tc>
          <w:tcPr>
            <w:tcW w:w="1560" w:type="pct"/>
            <w:tcBorders>
              <w:top w:val="nil"/>
              <w:bottom w:val="nil"/>
            </w:tcBorders>
          </w:tcPr>
          <w:p w14:paraId="49BEB5C8" w14:textId="6258B758" w:rsidR="00065B58" w:rsidRPr="004C78D8" w:rsidRDefault="003A43AC" w:rsidP="00FB7C1F">
            <w:pPr>
              <w:jc w:val="right"/>
              <w:rPr>
                <w:i/>
                <w:iCs/>
                <w:sz w:val="18"/>
                <w:szCs w:val="18"/>
              </w:rPr>
            </w:pPr>
            <w:r w:rsidRPr="004C78D8">
              <w:rPr>
                <w:i/>
                <w:iCs/>
                <w:sz w:val="18"/>
                <w:szCs w:val="18"/>
              </w:rPr>
              <w:t>Intervention caregiver TOC</w:t>
            </w:r>
          </w:p>
        </w:tc>
        <w:tc>
          <w:tcPr>
            <w:tcW w:w="1028" w:type="pct"/>
            <w:tcBorders>
              <w:top w:val="nil"/>
              <w:bottom w:val="single" w:sz="4" w:space="0" w:color="auto"/>
            </w:tcBorders>
          </w:tcPr>
          <w:p w14:paraId="34508662" w14:textId="4184FBA4" w:rsidR="00065B58" w:rsidRPr="004C78D8" w:rsidRDefault="00E54CC0" w:rsidP="00FB7C1F">
            <w:pPr>
              <w:jc w:val="left"/>
              <w:rPr>
                <w:sz w:val="18"/>
                <w:szCs w:val="18"/>
              </w:rPr>
            </w:pPr>
            <w:r w:rsidRPr="004C78D8">
              <w:rPr>
                <w:sz w:val="18"/>
                <w:szCs w:val="18"/>
              </w:rPr>
              <w:t>£354,099</w:t>
            </w:r>
          </w:p>
        </w:tc>
        <w:tc>
          <w:tcPr>
            <w:tcW w:w="1106" w:type="pct"/>
            <w:tcBorders>
              <w:top w:val="nil"/>
              <w:bottom w:val="single" w:sz="4" w:space="0" w:color="auto"/>
            </w:tcBorders>
          </w:tcPr>
          <w:p w14:paraId="10403772" w14:textId="71D6C203" w:rsidR="00065B58" w:rsidRPr="004C78D8" w:rsidRDefault="00E54CC0" w:rsidP="00FB7C1F">
            <w:pPr>
              <w:jc w:val="left"/>
              <w:rPr>
                <w:sz w:val="18"/>
                <w:szCs w:val="18"/>
              </w:rPr>
            </w:pPr>
            <w:r w:rsidRPr="004C78D8">
              <w:rPr>
                <w:sz w:val="18"/>
                <w:szCs w:val="18"/>
              </w:rPr>
              <w:t>£51,827,969</w:t>
            </w:r>
          </w:p>
        </w:tc>
        <w:tc>
          <w:tcPr>
            <w:tcW w:w="1306" w:type="pct"/>
            <w:tcBorders>
              <w:top w:val="nil"/>
              <w:bottom w:val="single" w:sz="4" w:space="0" w:color="auto"/>
            </w:tcBorders>
          </w:tcPr>
          <w:p w14:paraId="0A9BBBBA" w14:textId="0CE698A2" w:rsidR="00065B58" w:rsidRPr="004C78D8" w:rsidRDefault="005A4868" w:rsidP="00FB7C1F">
            <w:pPr>
              <w:jc w:val="left"/>
              <w:rPr>
                <w:sz w:val="18"/>
                <w:szCs w:val="18"/>
              </w:rPr>
            </w:pPr>
            <w:r w:rsidRPr="004C78D8">
              <w:rPr>
                <w:sz w:val="18"/>
                <w:szCs w:val="18"/>
              </w:rPr>
              <w:t>£51,473,870</w:t>
            </w:r>
          </w:p>
        </w:tc>
      </w:tr>
      <w:tr w:rsidR="008614A5" w:rsidRPr="004C78D8" w14:paraId="2CF41641" w14:textId="77777777" w:rsidTr="00E35893">
        <w:tc>
          <w:tcPr>
            <w:tcW w:w="1560" w:type="pct"/>
            <w:tcBorders>
              <w:top w:val="nil"/>
              <w:bottom w:val="nil"/>
            </w:tcBorders>
          </w:tcPr>
          <w:p w14:paraId="04621CDE" w14:textId="421983C8" w:rsidR="008614A5" w:rsidRPr="004C78D8" w:rsidRDefault="003A43AC" w:rsidP="00FB7C1F">
            <w:pPr>
              <w:jc w:val="right"/>
              <w:rPr>
                <w:i/>
                <w:iCs/>
                <w:sz w:val="18"/>
                <w:szCs w:val="18"/>
              </w:rPr>
            </w:pPr>
            <w:r w:rsidRPr="004C78D8">
              <w:rPr>
                <w:i/>
                <w:iCs/>
                <w:sz w:val="18"/>
                <w:szCs w:val="18"/>
              </w:rPr>
              <w:t xml:space="preserve">Net informal caregiver </w:t>
            </w:r>
            <w:r w:rsidR="00E54D98" w:rsidRPr="004C78D8">
              <w:rPr>
                <w:i/>
                <w:iCs/>
                <w:sz w:val="18"/>
                <w:szCs w:val="18"/>
              </w:rPr>
              <w:t>cost</w:t>
            </w:r>
          </w:p>
        </w:tc>
        <w:tc>
          <w:tcPr>
            <w:tcW w:w="1028" w:type="pct"/>
            <w:tcBorders>
              <w:top w:val="single" w:sz="4" w:space="0" w:color="auto"/>
              <w:bottom w:val="nil"/>
              <w:right w:val="nil"/>
            </w:tcBorders>
          </w:tcPr>
          <w:p w14:paraId="42FA149D" w14:textId="77777777" w:rsidR="008614A5" w:rsidRPr="004C78D8" w:rsidRDefault="008614A5" w:rsidP="00FB7C1F">
            <w:pPr>
              <w:jc w:val="left"/>
              <w:rPr>
                <w:sz w:val="18"/>
                <w:szCs w:val="18"/>
              </w:rPr>
            </w:pPr>
          </w:p>
        </w:tc>
        <w:tc>
          <w:tcPr>
            <w:tcW w:w="1106" w:type="pct"/>
            <w:tcBorders>
              <w:top w:val="single" w:sz="4" w:space="0" w:color="auto"/>
              <w:left w:val="nil"/>
              <w:bottom w:val="nil"/>
            </w:tcBorders>
          </w:tcPr>
          <w:p w14:paraId="0EF5AC12" w14:textId="77777777" w:rsidR="008614A5" w:rsidRPr="004C78D8" w:rsidRDefault="008614A5" w:rsidP="00FB7C1F">
            <w:pPr>
              <w:jc w:val="left"/>
              <w:rPr>
                <w:sz w:val="18"/>
                <w:szCs w:val="18"/>
              </w:rPr>
            </w:pPr>
          </w:p>
        </w:tc>
        <w:tc>
          <w:tcPr>
            <w:tcW w:w="1306" w:type="pct"/>
            <w:tcBorders>
              <w:top w:val="single" w:sz="4" w:space="0" w:color="auto"/>
              <w:bottom w:val="nil"/>
            </w:tcBorders>
          </w:tcPr>
          <w:p w14:paraId="01D6EAA3" w14:textId="13C01041" w:rsidR="008614A5" w:rsidRPr="004C78D8" w:rsidRDefault="005A4868" w:rsidP="00FB7C1F">
            <w:pPr>
              <w:jc w:val="left"/>
              <w:rPr>
                <w:sz w:val="18"/>
                <w:szCs w:val="18"/>
              </w:rPr>
            </w:pPr>
            <w:r w:rsidRPr="004C78D8">
              <w:rPr>
                <w:sz w:val="18"/>
                <w:szCs w:val="18"/>
              </w:rPr>
              <w:t>-£94,825,352</w:t>
            </w:r>
          </w:p>
        </w:tc>
      </w:tr>
      <w:tr w:rsidR="007D2F4E" w:rsidRPr="004C78D8" w14:paraId="3828696A" w14:textId="77777777" w:rsidTr="00E35893">
        <w:tc>
          <w:tcPr>
            <w:tcW w:w="1560" w:type="pct"/>
            <w:tcBorders>
              <w:top w:val="nil"/>
            </w:tcBorders>
          </w:tcPr>
          <w:p w14:paraId="6786617B" w14:textId="0A70D5E8" w:rsidR="007D2F4E" w:rsidRPr="004C78D8" w:rsidRDefault="003A43AC" w:rsidP="00FB7C1F">
            <w:pPr>
              <w:jc w:val="right"/>
              <w:rPr>
                <w:i/>
                <w:iCs/>
                <w:sz w:val="18"/>
                <w:szCs w:val="18"/>
              </w:rPr>
            </w:pPr>
            <w:r w:rsidRPr="004C78D8">
              <w:rPr>
                <w:i/>
                <w:iCs/>
                <w:sz w:val="18"/>
                <w:szCs w:val="18"/>
              </w:rPr>
              <w:t xml:space="preserve">Net informal caregiver </w:t>
            </w:r>
            <w:r w:rsidR="00E54D98" w:rsidRPr="004C78D8">
              <w:rPr>
                <w:i/>
                <w:iCs/>
                <w:sz w:val="18"/>
                <w:szCs w:val="18"/>
              </w:rPr>
              <w:t>cost</w:t>
            </w:r>
            <w:r w:rsidRPr="004C78D8">
              <w:rPr>
                <w:i/>
                <w:iCs/>
                <w:sz w:val="18"/>
                <w:szCs w:val="18"/>
              </w:rPr>
              <w:t>, QALY equivalent</w:t>
            </w:r>
          </w:p>
        </w:tc>
        <w:tc>
          <w:tcPr>
            <w:tcW w:w="1028" w:type="pct"/>
            <w:tcBorders>
              <w:top w:val="nil"/>
              <w:bottom w:val="single" w:sz="4" w:space="0" w:color="auto"/>
              <w:right w:val="nil"/>
            </w:tcBorders>
          </w:tcPr>
          <w:p w14:paraId="29568C31" w14:textId="77777777" w:rsidR="007D2F4E" w:rsidRPr="004C78D8" w:rsidRDefault="007D2F4E" w:rsidP="00FB7C1F">
            <w:pPr>
              <w:jc w:val="left"/>
              <w:rPr>
                <w:sz w:val="18"/>
                <w:szCs w:val="18"/>
              </w:rPr>
            </w:pPr>
          </w:p>
        </w:tc>
        <w:tc>
          <w:tcPr>
            <w:tcW w:w="1106" w:type="pct"/>
            <w:tcBorders>
              <w:top w:val="nil"/>
              <w:left w:val="nil"/>
              <w:bottom w:val="single" w:sz="4" w:space="0" w:color="auto"/>
            </w:tcBorders>
          </w:tcPr>
          <w:p w14:paraId="784D0BD7" w14:textId="77777777" w:rsidR="007D2F4E" w:rsidRPr="004C78D8" w:rsidRDefault="007D2F4E" w:rsidP="00FB7C1F">
            <w:pPr>
              <w:jc w:val="left"/>
              <w:rPr>
                <w:sz w:val="18"/>
                <w:szCs w:val="18"/>
              </w:rPr>
            </w:pPr>
          </w:p>
        </w:tc>
        <w:tc>
          <w:tcPr>
            <w:tcW w:w="1306" w:type="pct"/>
            <w:tcBorders>
              <w:top w:val="nil"/>
            </w:tcBorders>
          </w:tcPr>
          <w:p w14:paraId="3ECC215B" w14:textId="050167E1" w:rsidR="007D2F4E" w:rsidRPr="004C78D8" w:rsidRDefault="00E54D98" w:rsidP="00FB7C1F">
            <w:pPr>
              <w:jc w:val="left"/>
              <w:rPr>
                <w:sz w:val="18"/>
                <w:szCs w:val="18"/>
              </w:rPr>
            </w:pPr>
            <w:r w:rsidRPr="004C78D8">
              <w:rPr>
                <w:sz w:val="18"/>
                <w:szCs w:val="18"/>
              </w:rPr>
              <w:t>1,</w:t>
            </w:r>
            <w:r w:rsidR="000401B0" w:rsidRPr="004C78D8">
              <w:rPr>
                <w:sz w:val="18"/>
                <w:szCs w:val="18"/>
              </w:rPr>
              <w:t>5</w:t>
            </w:r>
            <w:r w:rsidR="00E54CC0" w:rsidRPr="004C78D8">
              <w:rPr>
                <w:sz w:val="18"/>
                <w:szCs w:val="18"/>
              </w:rPr>
              <w:t>8</w:t>
            </w:r>
            <w:r w:rsidR="005A4868" w:rsidRPr="004C78D8">
              <w:rPr>
                <w:sz w:val="18"/>
                <w:szCs w:val="18"/>
              </w:rPr>
              <w:t>0</w:t>
            </w:r>
            <w:r w:rsidRPr="004C78D8">
              <w:rPr>
                <w:sz w:val="18"/>
                <w:szCs w:val="18"/>
              </w:rPr>
              <w:t xml:space="preserve"> QALYs</w:t>
            </w:r>
          </w:p>
        </w:tc>
      </w:tr>
      <w:tr w:rsidR="00C54E5F" w:rsidRPr="004C78D8" w14:paraId="43D6EC11" w14:textId="77777777" w:rsidTr="00E35893">
        <w:tc>
          <w:tcPr>
            <w:tcW w:w="1560" w:type="pct"/>
            <w:tcBorders>
              <w:top w:val="nil"/>
              <w:bottom w:val="single" w:sz="4" w:space="0" w:color="auto"/>
            </w:tcBorders>
          </w:tcPr>
          <w:p w14:paraId="4A7AC7EE" w14:textId="60356E25" w:rsidR="00C54E5F" w:rsidRPr="004C78D8" w:rsidRDefault="00C54E5F" w:rsidP="00FB7C1F">
            <w:pPr>
              <w:jc w:val="left"/>
              <w:rPr>
                <w:sz w:val="18"/>
                <w:szCs w:val="18"/>
              </w:rPr>
            </w:pPr>
            <w:r w:rsidRPr="004C78D8">
              <w:rPr>
                <w:sz w:val="18"/>
                <w:szCs w:val="18"/>
              </w:rPr>
              <w:t>Societal gain</w:t>
            </w:r>
            <w:r w:rsidR="00E54D98" w:rsidRPr="004C78D8">
              <w:rPr>
                <w:sz w:val="18"/>
                <w:szCs w:val="18"/>
              </w:rPr>
              <w:t>, QALY equivalent</w:t>
            </w:r>
          </w:p>
        </w:tc>
        <w:tc>
          <w:tcPr>
            <w:tcW w:w="1028" w:type="pct"/>
            <w:tcBorders>
              <w:top w:val="single" w:sz="4" w:space="0" w:color="auto"/>
              <w:bottom w:val="single" w:sz="4" w:space="0" w:color="auto"/>
              <w:right w:val="nil"/>
            </w:tcBorders>
          </w:tcPr>
          <w:p w14:paraId="6354D3B8" w14:textId="77777777" w:rsidR="00C54E5F" w:rsidRPr="004C78D8" w:rsidRDefault="00C54E5F" w:rsidP="00FB7C1F">
            <w:pPr>
              <w:jc w:val="left"/>
              <w:rPr>
                <w:sz w:val="18"/>
                <w:szCs w:val="18"/>
              </w:rPr>
            </w:pPr>
          </w:p>
        </w:tc>
        <w:tc>
          <w:tcPr>
            <w:tcW w:w="1106" w:type="pct"/>
            <w:tcBorders>
              <w:top w:val="single" w:sz="4" w:space="0" w:color="auto"/>
              <w:left w:val="nil"/>
              <w:bottom w:val="single" w:sz="4" w:space="0" w:color="auto"/>
            </w:tcBorders>
          </w:tcPr>
          <w:p w14:paraId="484B2704" w14:textId="77777777" w:rsidR="00C54E5F" w:rsidRPr="004C78D8" w:rsidRDefault="00C54E5F" w:rsidP="00FB7C1F">
            <w:pPr>
              <w:jc w:val="left"/>
              <w:rPr>
                <w:sz w:val="18"/>
                <w:szCs w:val="18"/>
              </w:rPr>
            </w:pPr>
          </w:p>
        </w:tc>
        <w:tc>
          <w:tcPr>
            <w:tcW w:w="1306" w:type="pct"/>
            <w:tcBorders>
              <w:top w:val="nil"/>
              <w:bottom w:val="single" w:sz="4" w:space="0" w:color="auto"/>
            </w:tcBorders>
          </w:tcPr>
          <w:p w14:paraId="062490E2" w14:textId="41D2DEF0" w:rsidR="00C54E5F" w:rsidRPr="004C78D8" w:rsidRDefault="000401B0" w:rsidP="00FB7C1F">
            <w:pPr>
              <w:jc w:val="left"/>
              <w:rPr>
                <w:sz w:val="18"/>
                <w:szCs w:val="18"/>
              </w:rPr>
            </w:pPr>
            <w:r w:rsidRPr="004C78D8">
              <w:rPr>
                <w:sz w:val="18"/>
                <w:szCs w:val="18"/>
              </w:rPr>
              <w:t>1,3</w:t>
            </w:r>
            <w:r w:rsidR="005A4868" w:rsidRPr="004C78D8">
              <w:rPr>
                <w:sz w:val="18"/>
                <w:szCs w:val="18"/>
              </w:rPr>
              <w:t>80</w:t>
            </w:r>
            <w:r w:rsidR="00E54D98" w:rsidRPr="004C78D8">
              <w:rPr>
                <w:sz w:val="18"/>
                <w:szCs w:val="18"/>
              </w:rPr>
              <w:t xml:space="preserve"> QALYs</w:t>
            </w:r>
          </w:p>
        </w:tc>
      </w:tr>
      <w:tr w:rsidR="007D2F4E" w:rsidRPr="004C78D8" w14:paraId="1E86E3AE" w14:textId="77777777" w:rsidTr="00E35893">
        <w:tc>
          <w:tcPr>
            <w:tcW w:w="1560" w:type="pct"/>
            <w:tcBorders>
              <w:top w:val="single" w:sz="4" w:space="0" w:color="auto"/>
              <w:bottom w:val="nil"/>
            </w:tcBorders>
          </w:tcPr>
          <w:p w14:paraId="0160DAAF" w14:textId="385C3800" w:rsidR="007D2F4E" w:rsidRPr="004C78D8" w:rsidRDefault="00FC68F1" w:rsidP="00FB7C1F">
            <w:pPr>
              <w:jc w:val="left"/>
              <w:rPr>
                <w:sz w:val="20"/>
                <w:szCs w:val="20"/>
              </w:rPr>
            </w:pPr>
            <w:r w:rsidRPr="004C78D8">
              <w:rPr>
                <w:b/>
                <w:bCs/>
                <w:sz w:val="20"/>
                <w:szCs w:val="20"/>
              </w:rPr>
              <w:t xml:space="preserve">Societal ICER </w:t>
            </w:r>
            <w:r w:rsidR="007B3B19" w:rsidRPr="004C78D8">
              <w:rPr>
                <w:b/>
                <w:bCs/>
                <w:sz w:val="20"/>
                <w:szCs w:val="20"/>
              </w:rPr>
              <w:t>using</w:t>
            </w:r>
            <w:r w:rsidRPr="004C78D8">
              <w:rPr>
                <w:b/>
                <w:bCs/>
                <w:sz w:val="20"/>
                <w:szCs w:val="20"/>
              </w:rPr>
              <w:t xml:space="preserve"> (1)</w:t>
            </w:r>
          </w:p>
        </w:tc>
        <w:tc>
          <w:tcPr>
            <w:tcW w:w="1028" w:type="pct"/>
            <w:tcBorders>
              <w:top w:val="single" w:sz="4" w:space="0" w:color="auto"/>
              <w:bottom w:val="nil"/>
              <w:right w:val="nil"/>
            </w:tcBorders>
          </w:tcPr>
          <w:p w14:paraId="7BB21083" w14:textId="77777777" w:rsidR="007D2F4E" w:rsidRPr="004C78D8" w:rsidRDefault="007D2F4E" w:rsidP="00FB7C1F">
            <w:pPr>
              <w:jc w:val="left"/>
              <w:rPr>
                <w:sz w:val="20"/>
                <w:szCs w:val="20"/>
              </w:rPr>
            </w:pPr>
          </w:p>
        </w:tc>
        <w:tc>
          <w:tcPr>
            <w:tcW w:w="1106" w:type="pct"/>
            <w:tcBorders>
              <w:top w:val="single" w:sz="4" w:space="0" w:color="auto"/>
              <w:left w:val="nil"/>
              <w:bottom w:val="nil"/>
            </w:tcBorders>
          </w:tcPr>
          <w:p w14:paraId="7930607B" w14:textId="77777777" w:rsidR="007D2F4E" w:rsidRPr="004C78D8" w:rsidRDefault="007D2F4E" w:rsidP="00FB7C1F">
            <w:pPr>
              <w:jc w:val="left"/>
              <w:rPr>
                <w:sz w:val="20"/>
                <w:szCs w:val="20"/>
              </w:rPr>
            </w:pPr>
          </w:p>
        </w:tc>
        <w:tc>
          <w:tcPr>
            <w:tcW w:w="1306" w:type="pct"/>
            <w:tcBorders>
              <w:top w:val="single" w:sz="4" w:space="0" w:color="auto"/>
              <w:bottom w:val="nil"/>
            </w:tcBorders>
          </w:tcPr>
          <w:p w14:paraId="4FF253D5" w14:textId="5FBCE433" w:rsidR="007D2F4E" w:rsidRPr="004C78D8" w:rsidRDefault="00E54D98" w:rsidP="00FB7C1F">
            <w:pPr>
              <w:jc w:val="left"/>
              <w:rPr>
                <w:b/>
                <w:bCs/>
                <w:sz w:val="20"/>
                <w:szCs w:val="20"/>
              </w:rPr>
            </w:pPr>
            <w:r w:rsidRPr="004C78D8">
              <w:rPr>
                <w:b/>
                <w:bCs/>
                <w:sz w:val="20"/>
                <w:szCs w:val="20"/>
              </w:rPr>
              <w:t>£</w:t>
            </w:r>
            <w:r w:rsidR="000F6275" w:rsidRPr="004C78D8">
              <w:rPr>
                <w:b/>
                <w:bCs/>
                <w:sz w:val="20"/>
                <w:szCs w:val="20"/>
              </w:rPr>
              <w:t>1</w:t>
            </w:r>
            <w:r w:rsidR="00E54CC0" w:rsidRPr="004C78D8">
              <w:rPr>
                <w:b/>
                <w:bCs/>
                <w:sz w:val="20"/>
                <w:szCs w:val="20"/>
              </w:rPr>
              <w:t>2</w:t>
            </w:r>
            <w:r w:rsidRPr="004C78D8">
              <w:rPr>
                <w:b/>
                <w:bCs/>
                <w:sz w:val="20"/>
                <w:szCs w:val="20"/>
              </w:rPr>
              <w:t>,</w:t>
            </w:r>
            <w:r w:rsidR="005A4868" w:rsidRPr="004C78D8">
              <w:rPr>
                <w:b/>
                <w:bCs/>
                <w:sz w:val="20"/>
                <w:szCs w:val="20"/>
              </w:rPr>
              <w:t>877</w:t>
            </w:r>
            <w:r w:rsidRPr="004C78D8">
              <w:rPr>
                <w:b/>
                <w:bCs/>
                <w:sz w:val="20"/>
                <w:szCs w:val="20"/>
              </w:rPr>
              <w:t xml:space="preserve"> </w:t>
            </w:r>
            <w:r w:rsidRPr="00972766">
              <w:rPr>
                <w:b/>
                <w:bCs/>
                <w:sz w:val="18"/>
                <w:szCs w:val="18"/>
              </w:rPr>
              <w:t>per QALY gain</w:t>
            </w:r>
            <w:r w:rsidR="00C84BD6" w:rsidRPr="00972766">
              <w:rPr>
                <w:b/>
                <w:bCs/>
                <w:sz w:val="18"/>
                <w:szCs w:val="18"/>
              </w:rPr>
              <w:t>ed</w:t>
            </w:r>
          </w:p>
        </w:tc>
      </w:tr>
      <w:tr w:rsidR="007D2F4E" w:rsidRPr="004C78D8" w14:paraId="3E43F984" w14:textId="77777777" w:rsidTr="00E35893">
        <w:tc>
          <w:tcPr>
            <w:tcW w:w="1560" w:type="pct"/>
            <w:tcBorders>
              <w:top w:val="nil"/>
              <w:bottom w:val="nil"/>
            </w:tcBorders>
          </w:tcPr>
          <w:p w14:paraId="37D940C2" w14:textId="68364D9D" w:rsidR="007D2F4E" w:rsidRPr="004C78D8" w:rsidRDefault="00FC68F1" w:rsidP="00FB7C1F">
            <w:pPr>
              <w:jc w:val="left"/>
              <w:rPr>
                <w:sz w:val="20"/>
                <w:szCs w:val="20"/>
              </w:rPr>
            </w:pPr>
            <w:r w:rsidRPr="004C78D8">
              <w:rPr>
                <w:b/>
                <w:bCs/>
                <w:sz w:val="20"/>
                <w:szCs w:val="20"/>
              </w:rPr>
              <w:t xml:space="preserve">Societal ICER </w:t>
            </w:r>
            <w:r w:rsidR="007B3B19" w:rsidRPr="004C78D8">
              <w:rPr>
                <w:b/>
                <w:bCs/>
                <w:sz w:val="20"/>
                <w:szCs w:val="20"/>
              </w:rPr>
              <w:t xml:space="preserve">using </w:t>
            </w:r>
            <w:r w:rsidRPr="004C78D8">
              <w:rPr>
                <w:b/>
                <w:bCs/>
                <w:sz w:val="20"/>
                <w:szCs w:val="20"/>
              </w:rPr>
              <w:t>(2)</w:t>
            </w:r>
          </w:p>
        </w:tc>
        <w:tc>
          <w:tcPr>
            <w:tcW w:w="1028" w:type="pct"/>
            <w:tcBorders>
              <w:top w:val="nil"/>
              <w:bottom w:val="nil"/>
              <w:right w:val="nil"/>
            </w:tcBorders>
          </w:tcPr>
          <w:p w14:paraId="2496354F" w14:textId="77777777" w:rsidR="007D2F4E" w:rsidRPr="004C78D8" w:rsidRDefault="007D2F4E" w:rsidP="00FB7C1F">
            <w:pPr>
              <w:jc w:val="left"/>
              <w:rPr>
                <w:sz w:val="20"/>
                <w:szCs w:val="20"/>
              </w:rPr>
            </w:pPr>
          </w:p>
        </w:tc>
        <w:tc>
          <w:tcPr>
            <w:tcW w:w="1106" w:type="pct"/>
            <w:tcBorders>
              <w:top w:val="nil"/>
              <w:left w:val="nil"/>
              <w:bottom w:val="nil"/>
            </w:tcBorders>
          </w:tcPr>
          <w:p w14:paraId="3187E194" w14:textId="77777777" w:rsidR="007D2F4E" w:rsidRPr="004C78D8" w:rsidRDefault="007D2F4E" w:rsidP="00FB7C1F">
            <w:pPr>
              <w:jc w:val="left"/>
              <w:rPr>
                <w:sz w:val="20"/>
                <w:szCs w:val="20"/>
              </w:rPr>
            </w:pPr>
          </w:p>
        </w:tc>
        <w:tc>
          <w:tcPr>
            <w:tcW w:w="1306" w:type="pct"/>
            <w:tcBorders>
              <w:top w:val="nil"/>
              <w:bottom w:val="nil"/>
            </w:tcBorders>
          </w:tcPr>
          <w:p w14:paraId="44E5C85A" w14:textId="5C24C09B" w:rsidR="007D2F4E" w:rsidRPr="004C78D8" w:rsidRDefault="00E54D98" w:rsidP="00FB7C1F">
            <w:pPr>
              <w:jc w:val="left"/>
              <w:rPr>
                <w:b/>
                <w:bCs/>
                <w:sz w:val="20"/>
                <w:szCs w:val="20"/>
              </w:rPr>
            </w:pPr>
            <w:r w:rsidRPr="004C78D8">
              <w:rPr>
                <w:b/>
                <w:bCs/>
                <w:sz w:val="20"/>
                <w:szCs w:val="20"/>
              </w:rPr>
              <w:t>£</w:t>
            </w:r>
            <w:r w:rsidR="000F6275" w:rsidRPr="004C78D8">
              <w:rPr>
                <w:b/>
                <w:bCs/>
                <w:sz w:val="20"/>
                <w:szCs w:val="20"/>
              </w:rPr>
              <w:t>1</w:t>
            </w:r>
            <w:r w:rsidR="005A4868" w:rsidRPr="004C78D8">
              <w:rPr>
                <w:b/>
                <w:bCs/>
                <w:sz w:val="20"/>
                <w:szCs w:val="20"/>
              </w:rPr>
              <w:t>3</w:t>
            </w:r>
            <w:r w:rsidRPr="004C78D8">
              <w:rPr>
                <w:b/>
                <w:bCs/>
                <w:sz w:val="20"/>
                <w:szCs w:val="20"/>
              </w:rPr>
              <w:t>,</w:t>
            </w:r>
            <w:r w:rsidR="005A4868" w:rsidRPr="004C78D8">
              <w:rPr>
                <w:b/>
                <w:bCs/>
                <w:sz w:val="20"/>
                <w:szCs w:val="20"/>
              </w:rPr>
              <w:t>920</w:t>
            </w:r>
            <w:r w:rsidRPr="004C78D8">
              <w:rPr>
                <w:b/>
                <w:bCs/>
                <w:sz w:val="20"/>
                <w:szCs w:val="20"/>
              </w:rPr>
              <w:t xml:space="preserve"> </w:t>
            </w:r>
            <w:r w:rsidRPr="00972766">
              <w:rPr>
                <w:b/>
                <w:bCs/>
                <w:sz w:val="18"/>
                <w:szCs w:val="18"/>
              </w:rPr>
              <w:t>per QALY gain</w:t>
            </w:r>
            <w:r w:rsidR="00C84BD6" w:rsidRPr="00972766">
              <w:rPr>
                <w:b/>
                <w:bCs/>
                <w:sz w:val="18"/>
                <w:szCs w:val="18"/>
              </w:rPr>
              <w:t>ed</w:t>
            </w:r>
          </w:p>
        </w:tc>
      </w:tr>
      <w:tr w:rsidR="00421A4A" w:rsidRPr="004C78D8" w14:paraId="351B3B66" w14:textId="77777777" w:rsidTr="00E35893">
        <w:tc>
          <w:tcPr>
            <w:tcW w:w="1560" w:type="pct"/>
            <w:tcBorders>
              <w:top w:val="nil"/>
              <w:bottom w:val="nil"/>
            </w:tcBorders>
          </w:tcPr>
          <w:p w14:paraId="03AFB2D1" w14:textId="29C7E450" w:rsidR="00421A4A" w:rsidRPr="004C78D8" w:rsidRDefault="00421A4A" w:rsidP="00FB7C1F">
            <w:pPr>
              <w:jc w:val="left"/>
              <w:rPr>
                <w:b/>
                <w:bCs/>
                <w:sz w:val="20"/>
                <w:szCs w:val="20"/>
              </w:rPr>
            </w:pPr>
            <w:r w:rsidRPr="004C78D8">
              <w:rPr>
                <w:b/>
                <w:bCs/>
                <w:sz w:val="20"/>
                <w:szCs w:val="20"/>
              </w:rPr>
              <w:t xml:space="preserve">Societal INMB </w:t>
            </w:r>
            <w:r w:rsidR="007B3B19" w:rsidRPr="004C78D8">
              <w:rPr>
                <w:b/>
                <w:bCs/>
                <w:sz w:val="20"/>
                <w:szCs w:val="20"/>
              </w:rPr>
              <w:t>using</w:t>
            </w:r>
            <w:r w:rsidRPr="004C78D8">
              <w:rPr>
                <w:b/>
                <w:bCs/>
                <w:sz w:val="20"/>
                <w:szCs w:val="20"/>
              </w:rPr>
              <w:t xml:space="preserve"> (1)</w:t>
            </w:r>
            <w:r w:rsidR="00E07D22" w:rsidRPr="004C78D8">
              <w:rPr>
                <w:b/>
                <w:bCs/>
                <w:sz w:val="20"/>
                <w:szCs w:val="20"/>
                <w:vertAlign w:val="superscript"/>
              </w:rPr>
              <w:t>5</w:t>
            </w:r>
          </w:p>
        </w:tc>
        <w:tc>
          <w:tcPr>
            <w:tcW w:w="1028" w:type="pct"/>
            <w:tcBorders>
              <w:top w:val="nil"/>
              <w:bottom w:val="nil"/>
              <w:right w:val="nil"/>
            </w:tcBorders>
          </w:tcPr>
          <w:p w14:paraId="066BBF37" w14:textId="77777777" w:rsidR="00421A4A" w:rsidRPr="004C78D8" w:rsidRDefault="00421A4A" w:rsidP="00FB7C1F">
            <w:pPr>
              <w:jc w:val="left"/>
              <w:rPr>
                <w:sz w:val="20"/>
                <w:szCs w:val="20"/>
              </w:rPr>
            </w:pPr>
          </w:p>
        </w:tc>
        <w:tc>
          <w:tcPr>
            <w:tcW w:w="1106" w:type="pct"/>
            <w:tcBorders>
              <w:top w:val="nil"/>
              <w:left w:val="nil"/>
              <w:bottom w:val="nil"/>
            </w:tcBorders>
          </w:tcPr>
          <w:p w14:paraId="6E9358CD" w14:textId="77777777" w:rsidR="00421A4A" w:rsidRPr="004C78D8" w:rsidRDefault="00421A4A" w:rsidP="00FB7C1F">
            <w:pPr>
              <w:jc w:val="left"/>
              <w:rPr>
                <w:sz w:val="20"/>
                <w:szCs w:val="20"/>
              </w:rPr>
            </w:pPr>
          </w:p>
        </w:tc>
        <w:tc>
          <w:tcPr>
            <w:tcW w:w="1306" w:type="pct"/>
            <w:tcBorders>
              <w:top w:val="nil"/>
              <w:bottom w:val="nil"/>
            </w:tcBorders>
          </w:tcPr>
          <w:p w14:paraId="25C296AD" w14:textId="3D706B83" w:rsidR="00421A4A" w:rsidRPr="004C78D8" w:rsidRDefault="00421A4A" w:rsidP="00FB7C1F">
            <w:pPr>
              <w:jc w:val="left"/>
              <w:rPr>
                <w:b/>
                <w:bCs/>
                <w:sz w:val="20"/>
                <w:szCs w:val="20"/>
              </w:rPr>
            </w:pPr>
            <w:r w:rsidRPr="004C78D8">
              <w:rPr>
                <w:b/>
                <w:bCs/>
                <w:sz w:val="20"/>
                <w:szCs w:val="20"/>
              </w:rPr>
              <w:t>£3</w:t>
            </w:r>
            <w:r w:rsidR="000330CB" w:rsidRPr="004C78D8">
              <w:rPr>
                <w:b/>
                <w:bCs/>
                <w:sz w:val="20"/>
                <w:szCs w:val="20"/>
              </w:rPr>
              <w:t>5</w:t>
            </w:r>
            <w:r w:rsidR="005A4868" w:rsidRPr="004C78D8">
              <w:rPr>
                <w:b/>
                <w:bCs/>
                <w:sz w:val="20"/>
                <w:szCs w:val="20"/>
              </w:rPr>
              <w:t>8</w:t>
            </w:r>
            <w:r w:rsidRPr="004C78D8">
              <w:rPr>
                <w:b/>
                <w:bCs/>
                <w:sz w:val="20"/>
                <w:szCs w:val="20"/>
              </w:rPr>
              <w:t>,</w:t>
            </w:r>
            <w:r w:rsidR="005A4868" w:rsidRPr="004C78D8">
              <w:rPr>
                <w:b/>
                <w:bCs/>
                <w:sz w:val="20"/>
                <w:szCs w:val="20"/>
              </w:rPr>
              <w:t>708</w:t>
            </w:r>
            <w:r w:rsidRPr="004C78D8">
              <w:rPr>
                <w:b/>
                <w:bCs/>
                <w:sz w:val="20"/>
                <w:szCs w:val="20"/>
              </w:rPr>
              <w:t>,</w:t>
            </w:r>
            <w:r w:rsidR="005A4868" w:rsidRPr="004C78D8">
              <w:rPr>
                <w:b/>
                <w:bCs/>
                <w:sz w:val="20"/>
                <w:szCs w:val="20"/>
              </w:rPr>
              <w:t>621</w:t>
            </w:r>
          </w:p>
        </w:tc>
      </w:tr>
      <w:tr w:rsidR="00421A4A" w:rsidRPr="004C78D8" w14:paraId="606C2E17" w14:textId="77777777" w:rsidTr="00E35893">
        <w:tc>
          <w:tcPr>
            <w:tcW w:w="1560" w:type="pct"/>
            <w:tcBorders>
              <w:top w:val="nil"/>
            </w:tcBorders>
          </w:tcPr>
          <w:p w14:paraId="4A6CAD61" w14:textId="55484B14" w:rsidR="00421A4A" w:rsidRPr="004C78D8" w:rsidRDefault="00421A4A" w:rsidP="00FB7C1F">
            <w:pPr>
              <w:jc w:val="left"/>
              <w:rPr>
                <w:b/>
                <w:bCs/>
                <w:sz w:val="20"/>
                <w:szCs w:val="20"/>
              </w:rPr>
            </w:pPr>
            <w:r w:rsidRPr="004C78D8">
              <w:rPr>
                <w:b/>
                <w:bCs/>
                <w:sz w:val="20"/>
                <w:szCs w:val="20"/>
              </w:rPr>
              <w:t xml:space="preserve">Societal INMB </w:t>
            </w:r>
            <w:r w:rsidR="007B3B19" w:rsidRPr="004C78D8">
              <w:rPr>
                <w:b/>
                <w:bCs/>
                <w:sz w:val="20"/>
                <w:szCs w:val="20"/>
              </w:rPr>
              <w:t xml:space="preserve">using </w:t>
            </w:r>
            <w:r w:rsidRPr="004C78D8">
              <w:rPr>
                <w:b/>
                <w:bCs/>
                <w:sz w:val="20"/>
                <w:szCs w:val="20"/>
              </w:rPr>
              <w:t>(2)</w:t>
            </w:r>
          </w:p>
        </w:tc>
        <w:tc>
          <w:tcPr>
            <w:tcW w:w="1028" w:type="pct"/>
            <w:tcBorders>
              <w:top w:val="nil"/>
              <w:right w:val="nil"/>
            </w:tcBorders>
          </w:tcPr>
          <w:p w14:paraId="4644443F" w14:textId="77777777" w:rsidR="00421A4A" w:rsidRPr="004C78D8" w:rsidRDefault="00421A4A" w:rsidP="00FB7C1F">
            <w:pPr>
              <w:jc w:val="left"/>
              <w:rPr>
                <w:sz w:val="20"/>
                <w:szCs w:val="20"/>
              </w:rPr>
            </w:pPr>
          </w:p>
        </w:tc>
        <w:tc>
          <w:tcPr>
            <w:tcW w:w="1106" w:type="pct"/>
            <w:tcBorders>
              <w:top w:val="nil"/>
              <w:left w:val="nil"/>
            </w:tcBorders>
          </w:tcPr>
          <w:p w14:paraId="43FAEED7" w14:textId="77777777" w:rsidR="00421A4A" w:rsidRPr="004C78D8" w:rsidRDefault="00421A4A" w:rsidP="00FB7C1F">
            <w:pPr>
              <w:jc w:val="left"/>
              <w:rPr>
                <w:sz w:val="20"/>
                <w:szCs w:val="20"/>
              </w:rPr>
            </w:pPr>
          </w:p>
        </w:tc>
        <w:tc>
          <w:tcPr>
            <w:tcW w:w="1306" w:type="pct"/>
            <w:tcBorders>
              <w:top w:val="nil"/>
            </w:tcBorders>
          </w:tcPr>
          <w:p w14:paraId="0CA992AA" w14:textId="100B4C13" w:rsidR="00421A4A" w:rsidRPr="004C78D8" w:rsidRDefault="00421A4A" w:rsidP="00FB7C1F">
            <w:pPr>
              <w:jc w:val="left"/>
              <w:rPr>
                <w:b/>
                <w:bCs/>
                <w:sz w:val="20"/>
                <w:szCs w:val="20"/>
              </w:rPr>
            </w:pPr>
            <w:r w:rsidRPr="004C78D8">
              <w:rPr>
                <w:b/>
                <w:bCs/>
                <w:sz w:val="20"/>
                <w:szCs w:val="20"/>
              </w:rPr>
              <w:t>£3</w:t>
            </w:r>
            <w:r w:rsidR="00E54CC0" w:rsidRPr="004C78D8">
              <w:rPr>
                <w:b/>
                <w:bCs/>
                <w:sz w:val="20"/>
                <w:szCs w:val="20"/>
              </w:rPr>
              <w:t>3</w:t>
            </w:r>
            <w:r w:rsidR="005A4868" w:rsidRPr="004C78D8">
              <w:rPr>
                <w:b/>
                <w:bCs/>
                <w:sz w:val="20"/>
                <w:szCs w:val="20"/>
              </w:rPr>
              <w:t>6</w:t>
            </w:r>
            <w:r w:rsidRPr="004C78D8">
              <w:rPr>
                <w:b/>
                <w:bCs/>
                <w:sz w:val="20"/>
                <w:szCs w:val="20"/>
              </w:rPr>
              <w:t>,</w:t>
            </w:r>
            <w:r w:rsidR="005A4868" w:rsidRPr="004C78D8">
              <w:rPr>
                <w:b/>
                <w:bCs/>
                <w:sz w:val="20"/>
                <w:szCs w:val="20"/>
              </w:rPr>
              <w:t>869</w:t>
            </w:r>
            <w:r w:rsidRPr="004C78D8">
              <w:rPr>
                <w:b/>
                <w:bCs/>
                <w:sz w:val="20"/>
                <w:szCs w:val="20"/>
              </w:rPr>
              <w:t>,</w:t>
            </w:r>
            <w:r w:rsidR="005A4868" w:rsidRPr="004C78D8">
              <w:rPr>
                <w:b/>
                <w:bCs/>
                <w:sz w:val="20"/>
                <w:szCs w:val="20"/>
              </w:rPr>
              <w:t>376</w:t>
            </w:r>
          </w:p>
        </w:tc>
      </w:tr>
      <w:tr w:rsidR="007D2F4E" w:rsidRPr="004C78D8" w14:paraId="064E3EB2" w14:textId="77777777" w:rsidTr="00E35893">
        <w:tc>
          <w:tcPr>
            <w:tcW w:w="5000" w:type="pct"/>
            <w:gridSpan w:val="4"/>
          </w:tcPr>
          <w:p w14:paraId="50C8081B" w14:textId="3C9020F2" w:rsidR="007D2F4E" w:rsidRPr="004C78D8" w:rsidRDefault="00D10D5E" w:rsidP="00FB7C1F">
            <w:pPr>
              <w:rPr>
                <w:sz w:val="18"/>
                <w:szCs w:val="18"/>
              </w:rPr>
            </w:pPr>
            <w:r w:rsidRPr="004C78D8">
              <w:rPr>
                <w:b/>
                <w:bCs/>
                <w:sz w:val="18"/>
                <w:szCs w:val="18"/>
              </w:rPr>
              <w:t>Abbreviation</w:t>
            </w:r>
            <w:r w:rsidR="007D2F4E" w:rsidRPr="004C78D8">
              <w:rPr>
                <w:b/>
                <w:bCs/>
                <w:sz w:val="18"/>
                <w:szCs w:val="18"/>
              </w:rPr>
              <w:t>:</w:t>
            </w:r>
            <w:r w:rsidR="007D2F4E" w:rsidRPr="004C78D8">
              <w:rPr>
                <w:sz w:val="18"/>
                <w:szCs w:val="18"/>
              </w:rPr>
              <w:t xml:space="preserve"> </w:t>
            </w:r>
            <w:r w:rsidR="00A800D0" w:rsidRPr="004C78D8">
              <w:rPr>
                <w:sz w:val="18"/>
                <w:szCs w:val="18"/>
              </w:rPr>
              <w:t xml:space="preserve">ICER: incremental cost-effectiveness ratio; </w:t>
            </w:r>
            <w:r w:rsidR="00756B3A" w:rsidRPr="004C78D8">
              <w:rPr>
                <w:sz w:val="18"/>
                <w:szCs w:val="18"/>
              </w:rPr>
              <w:t xml:space="preserve">INMB: incremental net monetary benefit; </w:t>
            </w:r>
            <w:r w:rsidR="00EE2B6D" w:rsidRPr="004C78D8">
              <w:rPr>
                <w:sz w:val="18"/>
                <w:szCs w:val="18"/>
              </w:rPr>
              <w:t xml:space="preserve">LTC: long-term care; </w:t>
            </w:r>
            <w:r w:rsidR="00C54E5F" w:rsidRPr="004C78D8">
              <w:rPr>
                <w:sz w:val="18"/>
                <w:szCs w:val="18"/>
              </w:rPr>
              <w:t xml:space="preserve">OOP: out-of-pocket; </w:t>
            </w:r>
            <w:r w:rsidR="0046075D" w:rsidRPr="004C78D8">
              <w:rPr>
                <w:sz w:val="18"/>
                <w:szCs w:val="18"/>
              </w:rPr>
              <w:t xml:space="preserve">QALY: quality-adjusted life year; </w:t>
            </w:r>
            <w:r w:rsidR="008614A5" w:rsidRPr="004C78D8">
              <w:rPr>
                <w:sz w:val="18"/>
                <w:szCs w:val="18"/>
              </w:rPr>
              <w:t>TOC: time opportunity cost</w:t>
            </w:r>
          </w:p>
          <w:p w14:paraId="63C5D9EE" w14:textId="0763A209" w:rsidR="00450FED" w:rsidRPr="004C78D8" w:rsidRDefault="00450FED" w:rsidP="00FB7C1F">
            <w:pPr>
              <w:rPr>
                <w:sz w:val="18"/>
                <w:szCs w:val="18"/>
              </w:rPr>
            </w:pPr>
            <w:r w:rsidRPr="004C78D8">
              <w:rPr>
                <w:sz w:val="18"/>
                <w:szCs w:val="18"/>
                <w:vertAlign w:val="superscript"/>
              </w:rPr>
              <w:t>1</w:t>
            </w:r>
            <w:r w:rsidRPr="004C78D8">
              <w:rPr>
                <w:sz w:val="18"/>
                <w:szCs w:val="18"/>
              </w:rPr>
              <w:t xml:space="preserve"> All outcomes </w:t>
            </w:r>
            <w:r w:rsidR="0005639C" w:rsidRPr="004C78D8">
              <w:rPr>
                <w:sz w:val="18"/>
                <w:szCs w:val="18"/>
              </w:rPr>
              <w:t>we</w:t>
            </w:r>
            <w:r w:rsidRPr="004C78D8">
              <w:rPr>
                <w:sz w:val="18"/>
                <w:szCs w:val="18"/>
              </w:rPr>
              <w:t>re average</w:t>
            </w:r>
            <w:r w:rsidR="0005639C" w:rsidRPr="004C78D8">
              <w:rPr>
                <w:sz w:val="18"/>
                <w:szCs w:val="18"/>
              </w:rPr>
              <w:t>d</w:t>
            </w:r>
            <w:r w:rsidRPr="004C78D8">
              <w:rPr>
                <w:sz w:val="18"/>
                <w:szCs w:val="18"/>
              </w:rPr>
              <w:t xml:space="preserve"> across 20 model trial runs with different random number seeds.</w:t>
            </w:r>
          </w:p>
          <w:p w14:paraId="005E2CF9" w14:textId="1C20410E" w:rsidR="007D2F4E" w:rsidRPr="004C78D8" w:rsidRDefault="00E07D22" w:rsidP="00FB7C1F">
            <w:pPr>
              <w:rPr>
                <w:sz w:val="18"/>
                <w:szCs w:val="18"/>
              </w:rPr>
            </w:pPr>
            <w:r w:rsidRPr="004C78D8">
              <w:rPr>
                <w:sz w:val="18"/>
                <w:szCs w:val="18"/>
                <w:vertAlign w:val="superscript"/>
              </w:rPr>
              <w:t>2</w:t>
            </w:r>
            <w:r w:rsidR="007D2F4E" w:rsidRPr="004C78D8">
              <w:rPr>
                <w:sz w:val="18"/>
                <w:szCs w:val="18"/>
              </w:rPr>
              <w:t xml:space="preserve"> Includes costs of fall-related primary and secondary healthcare, comorbidity primary and secondary healthcare, cost of dying, community healthcare, short-term social care</w:t>
            </w:r>
            <w:r w:rsidR="0039238C" w:rsidRPr="004C78D8">
              <w:rPr>
                <w:sz w:val="18"/>
                <w:szCs w:val="18"/>
              </w:rPr>
              <w:t>, and</w:t>
            </w:r>
            <w:r w:rsidR="007D2F4E" w:rsidRPr="004C78D8">
              <w:rPr>
                <w:sz w:val="18"/>
                <w:szCs w:val="18"/>
              </w:rPr>
              <w:t xml:space="preserve"> all-cause long-term care</w:t>
            </w:r>
            <w:r w:rsidR="009D3CC1" w:rsidRPr="004C78D8">
              <w:rPr>
                <w:sz w:val="18"/>
                <w:szCs w:val="18"/>
              </w:rPr>
              <w:t xml:space="preserve"> funded by the public sector</w:t>
            </w:r>
            <w:r w:rsidR="00EE2B6D" w:rsidRPr="004C78D8">
              <w:rPr>
                <w:sz w:val="18"/>
                <w:szCs w:val="18"/>
              </w:rPr>
              <w:t>.</w:t>
            </w:r>
          </w:p>
          <w:p w14:paraId="3E607341" w14:textId="087BEF92" w:rsidR="007E3E4B" w:rsidRPr="004C78D8" w:rsidRDefault="00E07D22" w:rsidP="00FB7C1F">
            <w:pPr>
              <w:rPr>
                <w:sz w:val="18"/>
                <w:szCs w:val="18"/>
              </w:rPr>
            </w:pPr>
            <w:r w:rsidRPr="004C78D8">
              <w:rPr>
                <w:sz w:val="18"/>
                <w:szCs w:val="18"/>
                <w:vertAlign w:val="superscript"/>
              </w:rPr>
              <w:t>3</w:t>
            </w:r>
            <w:r w:rsidR="007E3E4B" w:rsidRPr="004C78D8">
              <w:rPr>
                <w:sz w:val="18"/>
                <w:szCs w:val="18"/>
              </w:rPr>
              <w:t xml:space="preserve"> Includes paid employment and unpaid work/volunteering.</w:t>
            </w:r>
          </w:p>
          <w:p w14:paraId="032F8E7C" w14:textId="13A63667" w:rsidR="00EE2B6D" w:rsidRPr="004C78D8" w:rsidRDefault="00E07D22" w:rsidP="00FB7C1F">
            <w:pPr>
              <w:rPr>
                <w:sz w:val="18"/>
                <w:szCs w:val="18"/>
              </w:rPr>
            </w:pPr>
            <w:r w:rsidRPr="004C78D8">
              <w:rPr>
                <w:sz w:val="18"/>
                <w:szCs w:val="18"/>
                <w:vertAlign w:val="superscript"/>
              </w:rPr>
              <w:t>4</w:t>
            </w:r>
            <w:r w:rsidR="00EE2B6D" w:rsidRPr="004C78D8">
              <w:rPr>
                <w:sz w:val="18"/>
                <w:szCs w:val="18"/>
              </w:rPr>
              <w:t xml:space="preserve"> Includes OOP care expenditure and privately incurred LTC cost.</w:t>
            </w:r>
          </w:p>
          <w:p w14:paraId="24EBD4C5" w14:textId="3FD6B47A" w:rsidR="00611757" w:rsidRPr="004C78D8" w:rsidRDefault="00E07D22" w:rsidP="00FB7C1F">
            <w:pPr>
              <w:rPr>
                <w:sz w:val="18"/>
                <w:szCs w:val="18"/>
              </w:rPr>
            </w:pPr>
            <w:r w:rsidRPr="004C78D8">
              <w:rPr>
                <w:sz w:val="18"/>
                <w:szCs w:val="18"/>
                <w:vertAlign w:val="superscript"/>
              </w:rPr>
              <w:t>5</w:t>
            </w:r>
            <w:r w:rsidR="00611757" w:rsidRPr="004C78D8">
              <w:rPr>
                <w:sz w:val="18"/>
                <w:szCs w:val="18"/>
              </w:rPr>
              <w:t xml:space="preserve"> Incremental net monetary benefits are estimated using the cost-effectiveness threshold of £30,000 per QALY gain</w:t>
            </w:r>
            <w:r w:rsidR="00C84BD6" w:rsidRPr="004C78D8">
              <w:rPr>
                <w:sz w:val="18"/>
                <w:szCs w:val="18"/>
              </w:rPr>
              <w:t>ed</w:t>
            </w:r>
            <w:r w:rsidR="00611757" w:rsidRPr="004C78D8">
              <w:rPr>
                <w:sz w:val="18"/>
                <w:szCs w:val="18"/>
              </w:rPr>
              <w:t>.</w:t>
            </w:r>
          </w:p>
        </w:tc>
      </w:tr>
    </w:tbl>
    <w:p w14:paraId="6F3A828C" w14:textId="77777777" w:rsidR="009F18A2" w:rsidRPr="004C78D8" w:rsidRDefault="009F18A2" w:rsidP="00FB7C1F"/>
    <w:p w14:paraId="283D0AC2" w14:textId="5D388E04" w:rsidR="005F5DE2" w:rsidRPr="004C78D8" w:rsidRDefault="005F5DE2" w:rsidP="00FB7C1F">
      <w:r w:rsidRPr="004C78D8">
        <w:t xml:space="preserve">Over the 40-year horizon, the all-cause public sector care costs reduced by </w:t>
      </w:r>
      <w:r w:rsidR="00906716" w:rsidRPr="004C78D8">
        <w:t>RC</w:t>
      </w:r>
      <w:r w:rsidRPr="004C78D8">
        <w:t xml:space="preserve"> relative to </w:t>
      </w:r>
      <w:r w:rsidR="00906716" w:rsidRPr="004C78D8">
        <w:t>UC</w:t>
      </w:r>
      <w:r w:rsidRPr="004C78D8">
        <w:t xml:space="preserve"> amounted to £</w:t>
      </w:r>
      <w:r w:rsidR="00370735" w:rsidRPr="004C78D8">
        <w:t>1</w:t>
      </w:r>
      <w:r w:rsidR="000725DC" w:rsidRPr="004C78D8">
        <w:t>2</w:t>
      </w:r>
      <w:r w:rsidR="005A4868" w:rsidRPr="004C78D8">
        <w:t>7</w:t>
      </w:r>
      <w:r w:rsidRPr="004C78D8">
        <w:t>.</w:t>
      </w:r>
      <w:r w:rsidR="005A4868" w:rsidRPr="004C78D8">
        <w:t>2</w:t>
      </w:r>
      <w:r w:rsidRPr="004C78D8">
        <w:t xml:space="preserve"> million, and the fall-related primary and secondary healthcare costs £</w:t>
      </w:r>
      <w:r w:rsidR="00370735" w:rsidRPr="004C78D8">
        <w:t>10</w:t>
      </w:r>
      <w:r w:rsidR="002D598B" w:rsidRPr="004C78D8">
        <w:t>5</w:t>
      </w:r>
      <w:r w:rsidRPr="004C78D8">
        <w:t>.</w:t>
      </w:r>
      <w:r w:rsidR="005A4868" w:rsidRPr="004C78D8">
        <w:t>4</w:t>
      </w:r>
      <w:r w:rsidRPr="004C78D8">
        <w:t xml:space="preserve"> million. </w:t>
      </w:r>
      <w:r w:rsidR="009931B6" w:rsidRPr="004C78D8">
        <w:t>The additional intervention cost amounted to £</w:t>
      </w:r>
      <w:r w:rsidR="00587D1E" w:rsidRPr="004C78D8">
        <w:t>39</w:t>
      </w:r>
      <w:r w:rsidR="008C71F2" w:rsidRPr="004C78D8">
        <w:t>7</w:t>
      </w:r>
      <w:r w:rsidR="009931B6" w:rsidRPr="004C78D8">
        <w:t>.</w:t>
      </w:r>
      <w:r w:rsidR="008C71F2" w:rsidRPr="004C78D8">
        <w:t>0</w:t>
      </w:r>
      <w:r w:rsidR="009931B6" w:rsidRPr="004C78D8">
        <w:t xml:space="preserve"> million, generating net incremental public sector costs of £</w:t>
      </w:r>
      <w:r w:rsidR="00587D1E" w:rsidRPr="004C78D8">
        <w:t>26</w:t>
      </w:r>
      <w:r w:rsidR="005A4868" w:rsidRPr="004C78D8">
        <w:t>9</w:t>
      </w:r>
      <w:r w:rsidR="009931B6" w:rsidRPr="004C78D8">
        <w:t>.</w:t>
      </w:r>
      <w:r w:rsidR="005A4868" w:rsidRPr="004C78D8">
        <w:t>8</w:t>
      </w:r>
      <w:r w:rsidR="009931B6" w:rsidRPr="004C78D8">
        <w:t xml:space="preserve"> million and £</w:t>
      </w:r>
      <w:r w:rsidR="00587D1E" w:rsidRPr="004C78D8">
        <w:t>29</w:t>
      </w:r>
      <w:r w:rsidR="007F0C15" w:rsidRPr="004C78D8">
        <w:t>1</w:t>
      </w:r>
      <w:r w:rsidR="009931B6" w:rsidRPr="004C78D8">
        <w:t>.</w:t>
      </w:r>
      <w:r w:rsidR="005A4868" w:rsidRPr="004C78D8">
        <w:t>6</w:t>
      </w:r>
      <w:r w:rsidR="009931B6" w:rsidRPr="004C78D8">
        <w:t xml:space="preserve"> million when all-cause care costs and fall-related costs were used as cost outcomes, respectively. </w:t>
      </w:r>
      <w:r w:rsidR="00F8064C" w:rsidRPr="004C78D8">
        <w:t xml:space="preserve">RC generated </w:t>
      </w:r>
      <w:r w:rsidR="007F0C15" w:rsidRPr="004C78D8">
        <w:t>19</w:t>
      </w:r>
      <w:r w:rsidR="00F8064C" w:rsidRPr="004C78D8">
        <w:t>,</w:t>
      </w:r>
      <w:r w:rsidR="005A4868" w:rsidRPr="004C78D8">
        <w:t>570</w:t>
      </w:r>
      <w:r w:rsidR="00F8064C" w:rsidRPr="004C78D8">
        <w:t xml:space="preserve"> additional QALYs relative to UC. Hence, the </w:t>
      </w:r>
      <w:r w:rsidR="001A031C" w:rsidRPr="004C78D8">
        <w:t xml:space="preserve">public sector </w:t>
      </w:r>
      <w:r w:rsidR="00F8064C" w:rsidRPr="004C78D8">
        <w:t>ICERs were £</w:t>
      </w:r>
      <w:r w:rsidR="00D20427" w:rsidRPr="004C78D8">
        <w:t>1</w:t>
      </w:r>
      <w:r w:rsidR="0097557D" w:rsidRPr="004C78D8">
        <w:t>3</w:t>
      </w:r>
      <w:r w:rsidR="00F8064C" w:rsidRPr="004C78D8">
        <w:t>,</w:t>
      </w:r>
      <w:r w:rsidR="005A4868" w:rsidRPr="004C78D8">
        <w:t>785</w:t>
      </w:r>
      <w:r w:rsidR="00F8064C" w:rsidRPr="004C78D8">
        <w:t xml:space="preserve"> and £</w:t>
      </w:r>
      <w:r w:rsidR="00D20427" w:rsidRPr="004C78D8">
        <w:t>1</w:t>
      </w:r>
      <w:r w:rsidR="005A4868" w:rsidRPr="004C78D8">
        <w:t>4</w:t>
      </w:r>
      <w:r w:rsidR="00F8064C" w:rsidRPr="004C78D8">
        <w:t>,</w:t>
      </w:r>
      <w:r w:rsidR="005A4868" w:rsidRPr="004C78D8">
        <w:t>901</w:t>
      </w:r>
      <w:r w:rsidR="00F8064C" w:rsidRPr="004C78D8">
        <w:t xml:space="preserve"> per QALY gain</w:t>
      </w:r>
      <w:r w:rsidR="00C84BD6" w:rsidRPr="004C78D8">
        <w:t>ed</w:t>
      </w:r>
      <w:r w:rsidR="00F8064C" w:rsidRPr="004C78D8">
        <w:t xml:space="preserve"> when all-cause care costs and fall-related costs were used as cost outcomes, respectively. </w:t>
      </w:r>
    </w:p>
    <w:p w14:paraId="71755630" w14:textId="224C19B5" w:rsidR="00127517" w:rsidRPr="004C78D8" w:rsidRDefault="00F8064C" w:rsidP="00FB7C1F">
      <w:r w:rsidRPr="004C78D8">
        <w:t xml:space="preserve">Regarding societal outcomes, RC raised </w:t>
      </w:r>
      <w:r w:rsidR="00AE6AC0" w:rsidRPr="004C78D8">
        <w:t>the total</w:t>
      </w:r>
      <w:r w:rsidRPr="004C78D8">
        <w:t xml:space="preserve"> productivity value by £</w:t>
      </w:r>
      <w:r w:rsidR="007F0C15" w:rsidRPr="004C78D8">
        <w:t>5</w:t>
      </w:r>
      <w:r w:rsidR="008A2107" w:rsidRPr="004C78D8">
        <w:t>2</w:t>
      </w:r>
      <w:r w:rsidRPr="004C78D8">
        <w:t>.</w:t>
      </w:r>
      <w:r w:rsidR="008A2107" w:rsidRPr="004C78D8">
        <w:t>9</w:t>
      </w:r>
      <w:r w:rsidRPr="004C78D8">
        <w:t xml:space="preserve"> million</w:t>
      </w:r>
      <w:r w:rsidR="000725DC" w:rsidRPr="004C78D8">
        <w:t xml:space="preserve">; </w:t>
      </w:r>
      <w:r w:rsidRPr="004C78D8">
        <w:t xml:space="preserve">the </w:t>
      </w:r>
      <w:r w:rsidR="00AE6AC0" w:rsidRPr="004C78D8">
        <w:t>additional</w:t>
      </w:r>
      <w:r w:rsidRPr="004C78D8">
        <w:t xml:space="preserve"> intervention time opportunity cost (TOC) under RC relative to UC </w:t>
      </w:r>
      <w:r w:rsidR="00416A6E" w:rsidRPr="004C78D8">
        <w:t xml:space="preserve">was </w:t>
      </w:r>
      <w:r w:rsidRPr="004C78D8">
        <w:t>worth £</w:t>
      </w:r>
      <w:r w:rsidR="00990B23" w:rsidRPr="004C78D8">
        <w:t>4</w:t>
      </w:r>
      <w:r w:rsidR="000725DC" w:rsidRPr="004C78D8">
        <w:t>1</w:t>
      </w:r>
      <w:r w:rsidRPr="004C78D8">
        <w:t>.</w:t>
      </w:r>
      <w:r w:rsidR="007F0C15" w:rsidRPr="004C78D8">
        <w:t>2</w:t>
      </w:r>
      <w:r w:rsidRPr="004C78D8">
        <w:t xml:space="preserve"> million. Hence, </w:t>
      </w:r>
      <w:r w:rsidR="0097557D" w:rsidRPr="004C78D8">
        <w:t xml:space="preserve">there was a </w:t>
      </w:r>
      <w:r w:rsidRPr="004C78D8">
        <w:t xml:space="preserve">net productivity </w:t>
      </w:r>
      <w:r w:rsidR="007F0C15" w:rsidRPr="004C78D8">
        <w:t>gain</w:t>
      </w:r>
      <w:r w:rsidR="0097557D" w:rsidRPr="004C78D8">
        <w:t xml:space="preserve"> of</w:t>
      </w:r>
      <w:r w:rsidRPr="004C78D8">
        <w:t xml:space="preserve"> £</w:t>
      </w:r>
      <w:r w:rsidR="00BA3F1F" w:rsidRPr="004C78D8">
        <w:t>1</w:t>
      </w:r>
      <w:r w:rsidR="008A2107" w:rsidRPr="004C78D8">
        <w:t>1</w:t>
      </w:r>
      <w:r w:rsidR="0097557D" w:rsidRPr="004C78D8">
        <w:t>.</w:t>
      </w:r>
      <w:r w:rsidR="008A2107" w:rsidRPr="004C78D8">
        <w:t>7</w:t>
      </w:r>
      <w:r w:rsidRPr="004C78D8">
        <w:t xml:space="preserve"> million which was equivalent to </w:t>
      </w:r>
      <w:r w:rsidR="008A2107" w:rsidRPr="004C78D8">
        <w:t>195</w:t>
      </w:r>
      <w:r w:rsidRPr="004C78D8">
        <w:t xml:space="preserve"> QALYs using the societal cost-effectiveness threshold of £60,000 per QALY gain</w:t>
      </w:r>
      <w:r w:rsidR="000A0C62" w:rsidRPr="004C78D8">
        <w:t>ed</w:t>
      </w:r>
      <w:r w:rsidRPr="004C78D8">
        <w:t xml:space="preserve">. </w:t>
      </w:r>
      <w:r w:rsidR="00B15028" w:rsidRPr="004C78D8">
        <w:t>RC reduced OOP care expenditure by £</w:t>
      </w:r>
      <w:r w:rsidR="00990B23" w:rsidRPr="004C78D8">
        <w:t>4</w:t>
      </w:r>
      <w:r w:rsidR="008A2107" w:rsidRPr="004C78D8">
        <w:t>3</w:t>
      </w:r>
      <w:r w:rsidR="00B15028" w:rsidRPr="004C78D8">
        <w:t>.</w:t>
      </w:r>
      <w:r w:rsidR="008A2107" w:rsidRPr="004C78D8">
        <w:t>2</w:t>
      </w:r>
      <w:r w:rsidR="00B15028" w:rsidRPr="004C78D8">
        <w:t xml:space="preserve"> </w:t>
      </w:r>
      <w:r w:rsidR="000725DC" w:rsidRPr="004C78D8">
        <w:t>million but</w:t>
      </w:r>
      <w:r w:rsidR="00B15028" w:rsidRPr="004C78D8">
        <w:t xml:space="preserve"> </w:t>
      </w:r>
      <w:r w:rsidR="000725DC" w:rsidRPr="004C78D8">
        <w:t xml:space="preserve">this was outweighed by </w:t>
      </w:r>
      <w:r w:rsidR="00B15028" w:rsidRPr="004C78D8">
        <w:t>additional intervention private co-payment of £</w:t>
      </w:r>
      <w:r w:rsidR="00AE6AC0" w:rsidRPr="004C78D8">
        <w:t>6</w:t>
      </w:r>
      <w:r w:rsidR="004B13D6" w:rsidRPr="004C78D8">
        <w:t>6</w:t>
      </w:r>
      <w:r w:rsidR="00B15028" w:rsidRPr="004C78D8">
        <w:t>.</w:t>
      </w:r>
      <w:r w:rsidR="004B13D6" w:rsidRPr="004C78D8">
        <w:t>9</w:t>
      </w:r>
      <w:r w:rsidR="00B15028" w:rsidRPr="004C78D8">
        <w:t xml:space="preserve"> million relative to UC</w:t>
      </w:r>
      <w:r w:rsidR="00416A6E" w:rsidRPr="004C78D8">
        <w:t>;</w:t>
      </w:r>
      <w:r w:rsidR="00B15028" w:rsidRPr="004C78D8">
        <w:t xml:space="preserve"> the net personal finance impact was negative at £</w:t>
      </w:r>
      <w:r w:rsidR="0097557D" w:rsidRPr="004C78D8">
        <w:t>2</w:t>
      </w:r>
      <w:r w:rsidR="008A2107" w:rsidRPr="004C78D8">
        <w:t>3</w:t>
      </w:r>
      <w:r w:rsidR="00B15028" w:rsidRPr="004C78D8">
        <w:t>.</w:t>
      </w:r>
      <w:r w:rsidR="008A2107" w:rsidRPr="004C78D8">
        <w:t>7</w:t>
      </w:r>
      <w:r w:rsidR="00B15028" w:rsidRPr="004C78D8">
        <w:t xml:space="preserve"> million, equivalent to </w:t>
      </w:r>
      <w:r w:rsidR="008A2107" w:rsidRPr="004C78D8">
        <w:t>395</w:t>
      </w:r>
      <w:r w:rsidR="00B15028" w:rsidRPr="004C78D8">
        <w:t xml:space="preserve"> QALY</w:t>
      </w:r>
      <w:r w:rsidR="007C64C5">
        <w:t>s</w:t>
      </w:r>
      <w:r w:rsidR="0049178F" w:rsidRPr="004C78D8">
        <w:t xml:space="preserve"> los</w:t>
      </w:r>
      <w:r w:rsidR="007C64C5">
        <w:t>t</w:t>
      </w:r>
      <w:r w:rsidR="00B15028" w:rsidRPr="004C78D8">
        <w:t>. By contrast, RC produced a net positive reduction in informal caregiver cost worth £</w:t>
      </w:r>
      <w:r w:rsidR="004B13D6" w:rsidRPr="004C78D8">
        <w:t>9</w:t>
      </w:r>
      <w:r w:rsidR="008A2107" w:rsidRPr="004C78D8">
        <w:t>4</w:t>
      </w:r>
      <w:r w:rsidR="00B15028" w:rsidRPr="004C78D8">
        <w:t>.</w:t>
      </w:r>
      <w:r w:rsidR="008A2107" w:rsidRPr="004C78D8">
        <w:t>8</w:t>
      </w:r>
      <w:r w:rsidR="00B15028" w:rsidRPr="004C78D8">
        <w:t xml:space="preserve"> million, equivalent to gain of 1,</w:t>
      </w:r>
      <w:r w:rsidR="004B13D6" w:rsidRPr="004C78D8">
        <w:t>5</w:t>
      </w:r>
      <w:r w:rsidR="00BA3F1F" w:rsidRPr="004C78D8">
        <w:t>8</w:t>
      </w:r>
      <w:r w:rsidR="008A2107" w:rsidRPr="004C78D8">
        <w:t>0</w:t>
      </w:r>
      <w:r w:rsidR="00B15028" w:rsidRPr="004C78D8">
        <w:t xml:space="preserve"> QALYs. The overall net societal outcome amounted to </w:t>
      </w:r>
      <w:r w:rsidR="004B13D6" w:rsidRPr="004C78D8">
        <w:t>1,3</w:t>
      </w:r>
      <w:r w:rsidR="008A2107" w:rsidRPr="004C78D8">
        <w:t>80</w:t>
      </w:r>
      <w:r w:rsidR="00B15028" w:rsidRPr="004C78D8">
        <w:t xml:space="preserve"> QALY</w:t>
      </w:r>
      <w:r w:rsidR="007C64C5">
        <w:t>s</w:t>
      </w:r>
      <w:r w:rsidR="00AF0689" w:rsidRPr="004C78D8">
        <w:t xml:space="preserve"> gain</w:t>
      </w:r>
      <w:r w:rsidR="007C64C5">
        <w:t>ed</w:t>
      </w:r>
      <w:r w:rsidR="00B15028" w:rsidRPr="004C78D8">
        <w:t xml:space="preserve">. Accounting for this </w:t>
      </w:r>
      <w:r w:rsidR="00416A6E" w:rsidRPr="004C78D8">
        <w:t>generated</w:t>
      </w:r>
      <w:r w:rsidR="00B15028" w:rsidRPr="004C78D8">
        <w:t xml:space="preserve"> </w:t>
      </w:r>
      <w:r w:rsidR="00962D47" w:rsidRPr="004C78D8">
        <w:t xml:space="preserve">societal </w:t>
      </w:r>
      <w:r w:rsidR="00B15028" w:rsidRPr="004C78D8">
        <w:t>ICERs of £</w:t>
      </w:r>
      <w:r w:rsidR="00962D47" w:rsidRPr="004C78D8">
        <w:t>1</w:t>
      </w:r>
      <w:r w:rsidR="00BA3F1F" w:rsidRPr="004C78D8">
        <w:t>2</w:t>
      </w:r>
      <w:r w:rsidR="00B15028" w:rsidRPr="004C78D8">
        <w:t>,</w:t>
      </w:r>
      <w:r w:rsidR="008A2107" w:rsidRPr="004C78D8">
        <w:t>877</w:t>
      </w:r>
      <w:r w:rsidR="00B15028" w:rsidRPr="004C78D8">
        <w:t xml:space="preserve"> and £</w:t>
      </w:r>
      <w:r w:rsidR="00962D47" w:rsidRPr="004C78D8">
        <w:t>1</w:t>
      </w:r>
      <w:r w:rsidR="008A2107" w:rsidRPr="004C78D8">
        <w:t>3</w:t>
      </w:r>
      <w:r w:rsidR="00B15028" w:rsidRPr="004C78D8">
        <w:t>,</w:t>
      </w:r>
      <w:r w:rsidR="008A2107" w:rsidRPr="004C78D8">
        <w:t>920</w:t>
      </w:r>
      <w:r w:rsidR="00B15028" w:rsidRPr="004C78D8">
        <w:t xml:space="preserve"> per QALY gain</w:t>
      </w:r>
      <w:r w:rsidR="000A0C62" w:rsidRPr="004C78D8">
        <w:t>ed</w:t>
      </w:r>
      <w:r w:rsidR="00B15028" w:rsidRPr="004C78D8">
        <w:t xml:space="preserve"> </w:t>
      </w:r>
      <w:r w:rsidR="00416A6E" w:rsidRPr="004C78D8">
        <w:t>with</w:t>
      </w:r>
      <w:r w:rsidR="00B15028" w:rsidRPr="004C78D8">
        <w:t xml:space="preserve"> all-cause care costs and fall-related costs, respectively.</w:t>
      </w:r>
      <w:r w:rsidR="00962D47" w:rsidRPr="004C78D8">
        <w:t xml:space="preserve"> </w:t>
      </w:r>
    </w:p>
    <w:p w14:paraId="3E22FCAD" w14:textId="7D65370D" w:rsidR="00AA2983" w:rsidRPr="004C78D8" w:rsidRDefault="00962D47" w:rsidP="00FB7C1F">
      <w:r w:rsidRPr="004C78D8">
        <w:t>Therefore, RC is cost-effective relative to UC over the 40-year horizon under public sector and societal perspectives</w:t>
      </w:r>
      <w:r w:rsidR="00AE6AC0" w:rsidRPr="004C78D8">
        <w:t xml:space="preserve"> if the NICE cost-effectiveness threshold of £30,000 per QALY gain</w:t>
      </w:r>
      <w:r w:rsidR="000A0C62" w:rsidRPr="004C78D8">
        <w:t>ed</w:t>
      </w:r>
      <w:r w:rsidR="00AE6AC0" w:rsidRPr="004C78D8">
        <w:t xml:space="preserve"> is adopted.</w:t>
      </w:r>
      <w:r w:rsidRPr="004C78D8">
        <w:t xml:space="preserve"> </w:t>
      </w:r>
      <w:r w:rsidR="00D773E9" w:rsidRPr="004C78D8">
        <w:t>Under this threshold, t</w:t>
      </w:r>
      <w:r w:rsidR="00200FDA" w:rsidRPr="004C78D8">
        <w:t>he total societal INMB of RC relative to UC was around £3</w:t>
      </w:r>
      <w:r w:rsidR="004B13D6" w:rsidRPr="004C78D8">
        <w:t>5</w:t>
      </w:r>
      <w:r w:rsidR="008A2107" w:rsidRPr="004C78D8">
        <w:t>8</w:t>
      </w:r>
      <w:r w:rsidR="00200FDA" w:rsidRPr="004C78D8">
        <w:t>.</w:t>
      </w:r>
      <w:r w:rsidR="008A2107" w:rsidRPr="004C78D8">
        <w:t>7</w:t>
      </w:r>
      <w:r w:rsidR="00200FDA" w:rsidRPr="004C78D8">
        <w:t xml:space="preserve"> million</w:t>
      </w:r>
      <w:r w:rsidR="004206B1" w:rsidRPr="004C78D8">
        <w:t xml:space="preserve"> when all-cause costs were </w:t>
      </w:r>
      <w:r w:rsidR="00127517" w:rsidRPr="004C78D8">
        <w:t xml:space="preserve">considered. </w:t>
      </w:r>
      <w:r w:rsidR="0000463C" w:rsidRPr="004C78D8">
        <w:t>In health</w:t>
      </w:r>
      <w:r w:rsidR="007C57A5" w:rsidRPr="004C78D8">
        <w:t>-equivalent</w:t>
      </w:r>
      <w:r w:rsidR="0000463C" w:rsidRPr="004C78D8">
        <w:t xml:space="preserve"> terms, the INHB was 1</w:t>
      </w:r>
      <w:r w:rsidR="004B13D6" w:rsidRPr="004C78D8">
        <w:t>1</w:t>
      </w:r>
      <w:r w:rsidR="0000463C" w:rsidRPr="004C78D8">
        <w:t>,</w:t>
      </w:r>
      <w:r w:rsidR="008A2107" w:rsidRPr="004C78D8">
        <w:t>957</w:t>
      </w:r>
      <w:r w:rsidR="0000463C" w:rsidRPr="004C78D8">
        <w:t xml:space="preserve"> QALYs. </w:t>
      </w:r>
      <w:r w:rsidR="00127517" w:rsidRPr="004C78D8">
        <w:t>This was</w:t>
      </w:r>
      <w:r w:rsidR="00200FDA" w:rsidRPr="004C78D8">
        <w:t xml:space="preserve"> equivalent to £</w:t>
      </w:r>
      <w:r w:rsidR="007D5062" w:rsidRPr="004C78D8">
        <w:t>9</w:t>
      </w:r>
      <w:r w:rsidR="008A2107" w:rsidRPr="004C78D8">
        <w:t>32</w:t>
      </w:r>
      <w:r w:rsidR="00200FDA" w:rsidRPr="004C78D8">
        <w:t>.</w:t>
      </w:r>
      <w:r w:rsidR="008A2107" w:rsidRPr="004C78D8">
        <w:t>3</w:t>
      </w:r>
      <w:r w:rsidR="00200FDA" w:rsidRPr="004C78D8">
        <w:t xml:space="preserve"> INMB </w:t>
      </w:r>
      <w:r w:rsidR="0000463C" w:rsidRPr="004C78D8">
        <w:t>and 0.03</w:t>
      </w:r>
      <w:r w:rsidR="00FA1FDD" w:rsidRPr="004C78D8">
        <w:t>1</w:t>
      </w:r>
      <w:r w:rsidR="00A8165E" w:rsidRPr="004C78D8">
        <w:t xml:space="preserve"> </w:t>
      </w:r>
      <w:r w:rsidR="0000463C" w:rsidRPr="004C78D8">
        <w:t xml:space="preserve">INHB </w:t>
      </w:r>
      <w:r w:rsidR="00200FDA" w:rsidRPr="004C78D8">
        <w:t>per person.</w:t>
      </w:r>
      <w:r w:rsidR="00C30BF0" w:rsidRPr="004C78D8">
        <w:t xml:space="preserve"> The outcome variation</w:t>
      </w:r>
      <w:r w:rsidR="001D3CE2" w:rsidRPr="004C78D8">
        <w:t>s</w:t>
      </w:r>
      <w:r w:rsidR="00C30BF0" w:rsidRPr="004C78D8">
        <w:t xml:space="preserve"> across trial runs w</w:t>
      </w:r>
      <w:r w:rsidR="001D3CE2" w:rsidRPr="004C78D8">
        <w:t>ere</w:t>
      </w:r>
      <w:r w:rsidR="00C30BF0" w:rsidRPr="004C78D8">
        <w:t xml:space="preserve"> modest, with </w:t>
      </w:r>
      <w:r w:rsidR="00907873" w:rsidRPr="004C78D8">
        <w:t>the lowest</w:t>
      </w:r>
      <w:r w:rsidR="00C30BF0" w:rsidRPr="004C78D8">
        <w:t xml:space="preserve"> societal ICER </w:t>
      </w:r>
      <w:r w:rsidR="00907873" w:rsidRPr="004C78D8">
        <w:t>(</w:t>
      </w:r>
      <w:r w:rsidR="00C30BF0" w:rsidRPr="004C78D8">
        <w:t xml:space="preserve">accounting for all-cause </w:t>
      </w:r>
      <w:r w:rsidR="00E57CFF" w:rsidRPr="004C78D8">
        <w:t xml:space="preserve">care </w:t>
      </w:r>
      <w:r w:rsidR="00C30BF0" w:rsidRPr="004C78D8">
        <w:t>costs</w:t>
      </w:r>
      <w:r w:rsidR="00907873" w:rsidRPr="004C78D8">
        <w:t>)</w:t>
      </w:r>
      <w:r w:rsidR="00C30BF0" w:rsidRPr="004C78D8">
        <w:t xml:space="preserve"> </w:t>
      </w:r>
      <w:r w:rsidR="00E57CFF" w:rsidRPr="004C78D8">
        <w:t>of £12,084 per QALY gain</w:t>
      </w:r>
      <w:r w:rsidR="000A0C62" w:rsidRPr="004C78D8">
        <w:t>ed</w:t>
      </w:r>
      <w:r w:rsidR="00E57CFF" w:rsidRPr="004C78D8">
        <w:t xml:space="preserve"> and </w:t>
      </w:r>
      <w:r w:rsidR="00907873" w:rsidRPr="004C78D8">
        <w:t>the highest</w:t>
      </w:r>
      <w:r w:rsidR="00E57CFF" w:rsidRPr="004C78D8">
        <w:t xml:space="preserve"> of £15,</w:t>
      </w:r>
      <w:r w:rsidR="00FA1FDD" w:rsidRPr="004C78D8">
        <w:t>19</w:t>
      </w:r>
      <w:r w:rsidR="00E57CFF" w:rsidRPr="004C78D8">
        <w:t>6 per QALY gain</w:t>
      </w:r>
      <w:r w:rsidR="000A0C62" w:rsidRPr="004C78D8">
        <w:t>ed</w:t>
      </w:r>
      <w:r w:rsidR="00E57CFF" w:rsidRPr="004C78D8">
        <w:t>, and standard deviation of £6</w:t>
      </w:r>
      <w:r w:rsidR="00FA1FDD" w:rsidRPr="004C78D8">
        <w:t>55</w:t>
      </w:r>
      <w:r w:rsidR="00E57CFF" w:rsidRPr="004C78D8">
        <w:t>.</w:t>
      </w:r>
    </w:p>
    <w:p w14:paraId="3DF81477" w14:textId="5C8307A0" w:rsidR="00F8064C" w:rsidRPr="004C78D8" w:rsidRDefault="00F820CE" w:rsidP="00FB7C1F">
      <w:pPr>
        <w:pStyle w:val="Heading4"/>
      </w:pPr>
      <w:r w:rsidRPr="004C78D8">
        <w:t>6</w:t>
      </w:r>
      <w:r w:rsidR="00AA2983" w:rsidRPr="004C78D8">
        <w:t>.2.</w:t>
      </w:r>
      <w:r w:rsidR="00460A5E" w:rsidRPr="004C78D8">
        <w:t>1.</w:t>
      </w:r>
      <w:r w:rsidR="00EF4126" w:rsidRPr="004C78D8">
        <w:t>2</w:t>
      </w:r>
      <w:r w:rsidR="00AA2983" w:rsidRPr="004C78D8">
        <w:t xml:space="preserve"> Wider outcomes under societal perspective</w:t>
      </w:r>
      <w:r w:rsidR="00B15028" w:rsidRPr="004C78D8">
        <w:t xml:space="preserve"> </w:t>
      </w:r>
    </w:p>
    <w:p w14:paraId="40FB71C9" w14:textId="29C85AEB" w:rsidR="008A35A6" w:rsidRPr="004C78D8" w:rsidRDefault="008A35A6" w:rsidP="00FB7C1F">
      <w:r w:rsidRPr="004C78D8">
        <w:t xml:space="preserve">This section presents the wider outcomes from the base case 40-year societal </w:t>
      </w:r>
      <w:r w:rsidR="00136B83" w:rsidRPr="004C78D8">
        <w:t>analysis</w:t>
      </w:r>
      <w:r w:rsidRPr="004C78D8">
        <w:t xml:space="preserve">. </w:t>
      </w:r>
      <w:r w:rsidR="005D356C" w:rsidRPr="004C78D8">
        <w:t xml:space="preserve">Figure </w:t>
      </w:r>
      <w:r w:rsidR="001E3474" w:rsidRPr="004C78D8">
        <w:t>6</w:t>
      </w:r>
      <w:r w:rsidR="005D356C" w:rsidRPr="004C78D8">
        <w:t xml:space="preserve">.1 shows the number and percentage change in the person-years of non-fatal fall episode by </w:t>
      </w:r>
      <w:r w:rsidR="00540DD2" w:rsidRPr="004C78D8">
        <w:t xml:space="preserve">fall </w:t>
      </w:r>
      <w:r w:rsidR="005D356C" w:rsidRPr="004C78D8">
        <w:t>type under</w:t>
      </w:r>
      <w:r w:rsidR="00903403" w:rsidRPr="004C78D8">
        <w:t xml:space="preserve"> the</w:t>
      </w:r>
      <w:r w:rsidR="005D356C" w:rsidRPr="004C78D8">
        <w:t xml:space="preserve"> base case analysis</w:t>
      </w:r>
      <w:r w:rsidR="0038207C" w:rsidRPr="004C78D8">
        <w:t xml:space="preserve"> (average</w:t>
      </w:r>
      <w:r w:rsidR="00F36B76" w:rsidRPr="004C78D8">
        <w:t>d</w:t>
      </w:r>
      <w:r w:rsidR="0038207C" w:rsidRPr="004C78D8">
        <w:t xml:space="preserve"> across 20 trial runs)</w:t>
      </w:r>
      <w:r w:rsidR="005D356C" w:rsidRPr="004C78D8">
        <w:t xml:space="preserve">. </w:t>
      </w:r>
      <w:r w:rsidR="002D0849" w:rsidRPr="004C78D8">
        <w:t>Episodes of recurrent falls experienced the largest decrease of 1</w:t>
      </w:r>
      <w:r w:rsidR="002B28BA" w:rsidRPr="004C78D8">
        <w:t>8</w:t>
      </w:r>
      <w:r w:rsidR="002D0849" w:rsidRPr="004C78D8">
        <w:t>.</w:t>
      </w:r>
      <w:r w:rsidR="00C30BF0" w:rsidRPr="004C78D8">
        <w:t>3</w:t>
      </w:r>
      <w:r w:rsidR="002D0849" w:rsidRPr="004C78D8">
        <w:t>%, followed by the 1</w:t>
      </w:r>
      <w:r w:rsidR="002B28BA" w:rsidRPr="004C78D8">
        <w:t>4</w:t>
      </w:r>
      <w:r w:rsidR="002D0849" w:rsidRPr="004C78D8">
        <w:t>.</w:t>
      </w:r>
      <w:r w:rsidR="00C30BF0" w:rsidRPr="004C78D8">
        <w:t>7</w:t>
      </w:r>
      <w:r w:rsidR="002D0849" w:rsidRPr="004C78D8">
        <w:t xml:space="preserve">% decrease in the number of hospitalised fall episodes. </w:t>
      </w:r>
    </w:p>
    <w:p w14:paraId="406E49B3" w14:textId="43954EDD" w:rsidR="003C1D8E" w:rsidRPr="004C78D8" w:rsidRDefault="00CD2936" w:rsidP="00FB7C1F">
      <w:r w:rsidRPr="004C78D8">
        <w:rPr>
          <w:noProof/>
          <w:lang w:eastAsia="en-GB"/>
        </w:rPr>
        <w:drawing>
          <wp:inline distT="0" distB="0" distL="0" distR="0" wp14:anchorId="51FF45E2" wp14:editId="13526230">
            <wp:extent cx="5731510" cy="3820795"/>
            <wp:effectExtent l="0" t="0" r="2540" b="8255"/>
            <wp:docPr id="1" name="Chart 1">
              <a:extLst xmlns:a="http://schemas.openxmlformats.org/drawingml/2006/main">
                <a:ext uri="{FF2B5EF4-FFF2-40B4-BE49-F238E27FC236}">
                  <a16:creationId xmlns:a16="http://schemas.microsoft.com/office/drawing/2014/main" id="{BB914D99-81A9-4F35-A6A5-CAA861F01B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86EF66" w14:textId="0654C264" w:rsidR="003C1D8E" w:rsidRPr="004C78D8" w:rsidRDefault="003C1D8E" w:rsidP="00FB7C1F">
      <w:r w:rsidRPr="004C78D8">
        <w:rPr>
          <w:b/>
          <w:bCs/>
        </w:rPr>
        <w:t xml:space="preserve">Figure </w:t>
      </w:r>
      <w:r w:rsidR="001E3474" w:rsidRPr="004C78D8">
        <w:rPr>
          <w:b/>
          <w:bCs/>
        </w:rPr>
        <w:t>6</w:t>
      </w:r>
      <w:r w:rsidRPr="004C78D8">
        <w:rPr>
          <w:b/>
          <w:bCs/>
        </w:rPr>
        <w:t>.1</w:t>
      </w:r>
      <w:r w:rsidRPr="004C78D8">
        <w:t xml:space="preserve"> Number and change in person-years of </w:t>
      </w:r>
      <w:r w:rsidR="004C36F9" w:rsidRPr="004C78D8">
        <w:t xml:space="preserve">non-fatal </w:t>
      </w:r>
      <w:r w:rsidRPr="004C78D8">
        <w:t xml:space="preserve">fall episode by type under base case analysis. </w:t>
      </w:r>
      <w:r w:rsidR="00D10D5E" w:rsidRPr="004C78D8">
        <w:rPr>
          <w:b/>
          <w:bCs/>
        </w:rPr>
        <w:t>Abbreviation</w:t>
      </w:r>
      <w:r w:rsidRPr="004C78D8">
        <w:rPr>
          <w:b/>
          <w:bCs/>
        </w:rPr>
        <w:t>:</w:t>
      </w:r>
      <w:r w:rsidRPr="004C78D8">
        <w:t xml:space="preserve"> MA fall: fall requiring medical attention.</w:t>
      </w:r>
    </w:p>
    <w:p w14:paraId="1957A776" w14:textId="58C42379" w:rsidR="002D0B38" w:rsidRPr="004C78D8" w:rsidRDefault="002D0B38" w:rsidP="00FB7C1F">
      <w:r w:rsidRPr="004C78D8">
        <w:t>The reduction in the number of fatal falls was</w:t>
      </w:r>
      <w:r w:rsidR="00CD3344" w:rsidRPr="004C78D8">
        <w:t xml:space="preserve"> </w:t>
      </w:r>
      <w:r w:rsidRPr="004C78D8">
        <w:t>limited, decreasing from 2,1</w:t>
      </w:r>
      <w:r w:rsidR="00CD3344" w:rsidRPr="004C78D8">
        <w:t>83</w:t>
      </w:r>
      <w:r w:rsidRPr="004C78D8">
        <w:t xml:space="preserve"> in UC to 2,1</w:t>
      </w:r>
      <w:r w:rsidR="00CD3344" w:rsidRPr="004C78D8">
        <w:t>74</w:t>
      </w:r>
      <w:r w:rsidRPr="004C78D8">
        <w:t xml:space="preserve"> in RC, constituting a 0.</w:t>
      </w:r>
      <w:r w:rsidR="0024351E" w:rsidRPr="004C78D8">
        <w:t>4</w:t>
      </w:r>
      <w:r w:rsidRPr="004C78D8">
        <w:t xml:space="preserve">% </w:t>
      </w:r>
      <w:r w:rsidR="00BD086A" w:rsidRPr="004C78D8">
        <w:t>reduction</w:t>
      </w:r>
      <w:r w:rsidRPr="004C78D8">
        <w:t xml:space="preserve">. The number of other-cause </w:t>
      </w:r>
      <w:r w:rsidR="007C64C5">
        <w:t xml:space="preserve">deaths </w:t>
      </w:r>
      <w:r w:rsidR="0024351E" w:rsidRPr="004C78D8">
        <w:t xml:space="preserve">decreased </w:t>
      </w:r>
      <w:r w:rsidR="005F0B35" w:rsidRPr="004C78D8">
        <w:t>from 19</w:t>
      </w:r>
      <w:r w:rsidR="0024351E" w:rsidRPr="004C78D8">
        <w:t>8</w:t>
      </w:r>
      <w:r w:rsidR="005F0B35" w:rsidRPr="004C78D8">
        <w:t>,</w:t>
      </w:r>
      <w:r w:rsidR="00CD3344" w:rsidRPr="004C78D8">
        <w:t>072</w:t>
      </w:r>
      <w:r w:rsidR="005F0B35" w:rsidRPr="004C78D8">
        <w:t xml:space="preserve"> in UC to 19</w:t>
      </w:r>
      <w:r w:rsidR="00CD3344" w:rsidRPr="004C78D8">
        <w:t>7</w:t>
      </w:r>
      <w:r w:rsidR="005F0B35" w:rsidRPr="004C78D8">
        <w:t>,</w:t>
      </w:r>
      <w:r w:rsidR="00CD3344" w:rsidRPr="004C78D8">
        <w:t>720</w:t>
      </w:r>
      <w:r w:rsidR="005F0B35" w:rsidRPr="004C78D8">
        <w:t xml:space="preserve"> in RC (0.</w:t>
      </w:r>
      <w:r w:rsidR="0024351E" w:rsidRPr="004C78D8">
        <w:t>2</w:t>
      </w:r>
      <w:r w:rsidR="005F0B35" w:rsidRPr="004C78D8">
        <w:t xml:space="preserve">% </w:t>
      </w:r>
      <w:r w:rsidR="00BD086A" w:rsidRPr="004C78D8">
        <w:t>reduction</w:t>
      </w:r>
      <w:r w:rsidR="005F0B35" w:rsidRPr="004C78D8">
        <w:t>)</w:t>
      </w:r>
      <w:r w:rsidR="00BD086A" w:rsidRPr="004C78D8">
        <w:t>, while the number of LTC admissions decreased from 51,</w:t>
      </w:r>
      <w:r w:rsidR="00CD3344" w:rsidRPr="004C78D8">
        <w:t>701</w:t>
      </w:r>
      <w:r w:rsidR="00BD086A" w:rsidRPr="004C78D8">
        <w:t xml:space="preserve"> to 5</w:t>
      </w:r>
      <w:r w:rsidR="00CD3344" w:rsidRPr="004C78D8">
        <w:t>1</w:t>
      </w:r>
      <w:r w:rsidR="00BD086A" w:rsidRPr="004C78D8">
        <w:t>,</w:t>
      </w:r>
      <w:r w:rsidR="00CD3344" w:rsidRPr="004C78D8">
        <w:t>134</w:t>
      </w:r>
      <w:r w:rsidR="00BD086A" w:rsidRPr="004C78D8">
        <w:t xml:space="preserve"> (1.</w:t>
      </w:r>
      <w:r w:rsidR="00CD3344" w:rsidRPr="004C78D8">
        <w:t>1</w:t>
      </w:r>
      <w:r w:rsidR="00BD086A" w:rsidRPr="004C78D8">
        <w:t>% reduction)</w:t>
      </w:r>
      <w:r w:rsidR="00B1403F" w:rsidRPr="004C78D8">
        <w:t>.</w:t>
      </w:r>
      <w:r w:rsidR="005F0B35" w:rsidRPr="004C78D8">
        <w:t xml:space="preserve"> </w:t>
      </w:r>
      <w:r w:rsidR="00150D05" w:rsidRPr="004C78D8">
        <w:t xml:space="preserve">Regarding social wellbeing, the aggregate CASP-adjusted life year (CALY) </w:t>
      </w:r>
      <w:r w:rsidR="007C64C5">
        <w:t xml:space="preserve">gains </w:t>
      </w:r>
      <w:r w:rsidR="00150D05" w:rsidRPr="004C78D8">
        <w:t>increased from 2,04</w:t>
      </w:r>
      <w:r w:rsidR="00B97F9F" w:rsidRPr="004C78D8">
        <w:t>6</w:t>
      </w:r>
      <w:r w:rsidR="00150D05" w:rsidRPr="004C78D8">
        <w:t>,</w:t>
      </w:r>
      <w:r w:rsidR="00CD3344" w:rsidRPr="004C78D8">
        <w:t>85</w:t>
      </w:r>
      <w:r w:rsidR="00BC76C2" w:rsidRPr="004C78D8">
        <w:t>7</w:t>
      </w:r>
      <w:r w:rsidR="00150D05" w:rsidRPr="004C78D8">
        <w:t xml:space="preserve"> in UC to 2,05</w:t>
      </w:r>
      <w:r w:rsidR="00C14D84" w:rsidRPr="004C78D8">
        <w:t>8</w:t>
      </w:r>
      <w:r w:rsidR="00150D05" w:rsidRPr="004C78D8">
        <w:t>,</w:t>
      </w:r>
      <w:r w:rsidR="00C14D84" w:rsidRPr="004C78D8">
        <w:t>829</w:t>
      </w:r>
      <w:r w:rsidR="006C2B89" w:rsidRPr="004C78D8">
        <w:t xml:space="preserve"> in RC</w:t>
      </w:r>
      <w:r w:rsidR="00BC76C2" w:rsidRPr="004C78D8">
        <w:t xml:space="preserve"> (</w:t>
      </w:r>
      <w:r w:rsidR="00150D05" w:rsidRPr="004C78D8">
        <w:t>0.</w:t>
      </w:r>
      <w:r w:rsidR="00B97F9F" w:rsidRPr="004C78D8">
        <w:t>6</w:t>
      </w:r>
      <w:r w:rsidR="00150D05" w:rsidRPr="004C78D8">
        <w:t>% increase</w:t>
      </w:r>
      <w:r w:rsidR="00BC76C2" w:rsidRPr="004C78D8">
        <w:t>)</w:t>
      </w:r>
      <w:r w:rsidR="00150D05" w:rsidRPr="004C78D8">
        <w:t>.</w:t>
      </w:r>
      <w:r w:rsidR="006C2B89" w:rsidRPr="004C78D8">
        <w:t xml:space="preserve"> Regarding social mobilisation, there were 1,4</w:t>
      </w:r>
      <w:r w:rsidR="00BC76C2" w:rsidRPr="004C78D8">
        <w:t>5</w:t>
      </w:r>
      <w:r w:rsidR="00C14D84" w:rsidRPr="004C78D8">
        <w:t>4</w:t>
      </w:r>
      <w:r w:rsidR="006C2B89" w:rsidRPr="004C78D8">
        <w:t>,</w:t>
      </w:r>
      <w:r w:rsidR="00C14D84" w:rsidRPr="004C78D8">
        <w:t>734</w:t>
      </w:r>
      <w:r w:rsidR="006C2B89" w:rsidRPr="004C78D8">
        <w:t xml:space="preserve"> person-years of participation in volunteering and/or self-referred intervention in UC, which increased to 1,9</w:t>
      </w:r>
      <w:r w:rsidR="00BC76C2" w:rsidRPr="004C78D8">
        <w:t>7</w:t>
      </w:r>
      <w:r w:rsidR="00C14D84" w:rsidRPr="004C78D8">
        <w:t>4</w:t>
      </w:r>
      <w:r w:rsidR="006C2B89" w:rsidRPr="004C78D8">
        <w:t>,</w:t>
      </w:r>
      <w:r w:rsidR="00C14D84" w:rsidRPr="004C78D8">
        <w:t>535</w:t>
      </w:r>
      <w:r w:rsidR="006C2B89" w:rsidRPr="004C78D8">
        <w:t xml:space="preserve"> person-years in RC (3</w:t>
      </w:r>
      <w:r w:rsidR="00B97F9F" w:rsidRPr="004C78D8">
        <w:t>5</w:t>
      </w:r>
      <w:r w:rsidR="006C2B89" w:rsidRPr="004C78D8">
        <w:t>.</w:t>
      </w:r>
      <w:r w:rsidR="00BC76C2" w:rsidRPr="004C78D8">
        <w:t>7</w:t>
      </w:r>
      <w:r w:rsidR="006C2B89" w:rsidRPr="004C78D8">
        <w:t>% increase). The person-years of participation among those in the 3</w:t>
      </w:r>
      <w:r w:rsidR="006C2B89" w:rsidRPr="004C78D8">
        <w:rPr>
          <w:vertAlign w:val="superscript"/>
        </w:rPr>
        <w:t>rd</w:t>
      </w:r>
      <w:r w:rsidR="006C2B89" w:rsidRPr="004C78D8">
        <w:t xml:space="preserve"> and 4</w:t>
      </w:r>
      <w:r w:rsidR="006C2B89" w:rsidRPr="004C78D8">
        <w:rPr>
          <w:vertAlign w:val="superscript"/>
        </w:rPr>
        <w:t>th</w:t>
      </w:r>
      <w:r w:rsidR="006C2B89" w:rsidRPr="004C78D8">
        <w:t xml:space="preserve"> SES quartiles increased from 61</w:t>
      </w:r>
      <w:r w:rsidR="00C14D84" w:rsidRPr="004C78D8">
        <w:t>1</w:t>
      </w:r>
      <w:r w:rsidR="006C2B89" w:rsidRPr="004C78D8">
        <w:t>,</w:t>
      </w:r>
      <w:r w:rsidR="00C14D84" w:rsidRPr="004C78D8">
        <w:t>610</w:t>
      </w:r>
      <w:r w:rsidR="006C2B89" w:rsidRPr="004C78D8">
        <w:t xml:space="preserve"> to 8</w:t>
      </w:r>
      <w:r w:rsidR="00C14D84" w:rsidRPr="004C78D8">
        <w:t>58</w:t>
      </w:r>
      <w:r w:rsidR="006C2B89" w:rsidRPr="004C78D8">
        <w:t>,</w:t>
      </w:r>
      <w:r w:rsidR="00C14D84" w:rsidRPr="004C78D8">
        <w:t>335</w:t>
      </w:r>
      <w:r w:rsidR="006C2B89" w:rsidRPr="004C78D8">
        <w:t xml:space="preserve"> (</w:t>
      </w:r>
      <w:r w:rsidR="00BC76C2" w:rsidRPr="004C78D8">
        <w:t>40</w:t>
      </w:r>
      <w:r w:rsidR="006C2B89" w:rsidRPr="004C78D8">
        <w:t>.</w:t>
      </w:r>
      <w:r w:rsidR="00BC76C2" w:rsidRPr="004C78D8">
        <w:t>3</w:t>
      </w:r>
      <w:r w:rsidR="006C2B89" w:rsidRPr="004C78D8">
        <w:t xml:space="preserve">% increase), showing that the participatory benefit </w:t>
      </w:r>
      <w:r w:rsidR="00887D1F" w:rsidRPr="004C78D8">
        <w:t xml:space="preserve">of RC relative to UC </w:t>
      </w:r>
      <w:r w:rsidR="006C2B89" w:rsidRPr="004C78D8">
        <w:t xml:space="preserve">is </w:t>
      </w:r>
      <w:r w:rsidR="00D541A9" w:rsidRPr="004C78D8">
        <w:t xml:space="preserve">proportionally </w:t>
      </w:r>
      <w:r w:rsidR="006C2B89" w:rsidRPr="004C78D8">
        <w:t xml:space="preserve">higher among the socially </w:t>
      </w:r>
      <w:r w:rsidR="00D541A9" w:rsidRPr="004C78D8">
        <w:t>deprived</w:t>
      </w:r>
      <w:r w:rsidR="006C2B89" w:rsidRPr="004C78D8">
        <w:t xml:space="preserve">. </w:t>
      </w:r>
    </w:p>
    <w:p w14:paraId="69D3F5A7" w14:textId="7791C992" w:rsidR="0019556D" w:rsidRPr="004C78D8" w:rsidRDefault="00E857EE" w:rsidP="00FB7C1F">
      <w:r w:rsidRPr="004C78D8">
        <w:t xml:space="preserve">Table </w:t>
      </w:r>
      <w:r w:rsidR="001E3474" w:rsidRPr="004C78D8">
        <w:t>6</w:t>
      </w:r>
      <w:r w:rsidRPr="004C78D8">
        <w:t xml:space="preserve">.2 compares the individual-level lifetime outcomes between UC and RC for the group aged 65 at model baseline (n=5,399). </w:t>
      </w:r>
      <w:r w:rsidR="00A66035" w:rsidRPr="004C78D8">
        <w:t>Overall, changes in individual-level lifetime outcomes had modest magnitudes. T</w:t>
      </w:r>
      <w:r w:rsidR="005A290A" w:rsidRPr="004C78D8">
        <w:t>he number</w:t>
      </w:r>
      <w:r w:rsidR="00A66035" w:rsidRPr="004C78D8">
        <w:t>s</w:t>
      </w:r>
      <w:r w:rsidR="005A290A" w:rsidRPr="004C78D8">
        <w:t xml:space="preserve"> of persons achieving health</w:t>
      </w:r>
      <w:r w:rsidR="00505F35" w:rsidRPr="004C78D8">
        <w:t>-</w:t>
      </w:r>
      <w:r w:rsidR="005A290A" w:rsidRPr="004C78D8">
        <w:t xml:space="preserve"> </w:t>
      </w:r>
      <w:r w:rsidR="00A66035" w:rsidRPr="004C78D8">
        <w:t>and</w:t>
      </w:r>
      <w:r w:rsidR="005A290A" w:rsidRPr="004C78D8">
        <w:t xml:space="preserve"> wellbeing-related ‘fair innings’</w:t>
      </w:r>
      <w:r w:rsidR="00505F35" w:rsidRPr="004C78D8">
        <w:t xml:space="preserve"> in RC relative to UC</w:t>
      </w:r>
      <w:r w:rsidR="00A66035" w:rsidRPr="004C78D8">
        <w:t xml:space="preserve"> increased by 0.8% and 0.5% respectively</w:t>
      </w:r>
      <w:r w:rsidR="005A290A" w:rsidRPr="004C78D8">
        <w:t xml:space="preserve">. </w:t>
      </w:r>
      <w:r w:rsidR="003904DE" w:rsidRPr="004C78D8">
        <w:t xml:space="preserve">The number of persons achieving productive ageing saw the </w:t>
      </w:r>
      <w:r w:rsidR="00A66035" w:rsidRPr="004C78D8">
        <w:t>largest</w:t>
      </w:r>
      <w:r w:rsidR="003904DE" w:rsidRPr="004C78D8">
        <w:t xml:space="preserve"> change, increasing by </w:t>
      </w:r>
      <w:r w:rsidR="00A66035" w:rsidRPr="004C78D8">
        <w:t>2</w:t>
      </w:r>
      <w:r w:rsidR="003904DE" w:rsidRPr="004C78D8">
        <w:t>.</w:t>
      </w:r>
      <w:r w:rsidR="00A66035" w:rsidRPr="004C78D8">
        <w:t>7</w:t>
      </w:r>
      <w:r w:rsidR="003904DE" w:rsidRPr="004C78D8">
        <w:t xml:space="preserve">%. The number of persons </w:t>
      </w:r>
      <w:r w:rsidR="000D7768" w:rsidRPr="004C78D8">
        <w:t>in the 3</w:t>
      </w:r>
      <w:r w:rsidR="000D7768" w:rsidRPr="004C78D8">
        <w:rPr>
          <w:vertAlign w:val="superscript"/>
        </w:rPr>
        <w:t>rd</w:t>
      </w:r>
      <w:r w:rsidR="000D7768" w:rsidRPr="004C78D8">
        <w:t xml:space="preserve"> and 4</w:t>
      </w:r>
      <w:r w:rsidR="000D7768" w:rsidRPr="004C78D8">
        <w:rPr>
          <w:vertAlign w:val="superscript"/>
        </w:rPr>
        <w:t>th</w:t>
      </w:r>
      <w:r w:rsidR="000D7768" w:rsidRPr="004C78D8">
        <w:t xml:space="preserve"> SES quartiles </w:t>
      </w:r>
      <w:r w:rsidR="003904DE" w:rsidRPr="004C78D8">
        <w:t xml:space="preserve">experiencing </w:t>
      </w:r>
      <w:r w:rsidR="000D7768" w:rsidRPr="004C78D8">
        <w:t xml:space="preserve">catastrophic private expenditure </w:t>
      </w:r>
      <w:r w:rsidR="000D7768" w:rsidRPr="004C78D8">
        <w:rPr>
          <w:i/>
          <w:iCs/>
        </w:rPr>
        <w:t>increased</w:t>
      </w:r>
      <w:r w:rsidR="000D7768" w:rsidRPr="004C78D8">
        <w:t xml:space="preserve"> by </w:t>
      </w:r>
      <w:r w:rsidR="00A66035" w:rsidRPr="004C78D8">
        <w:t>1</w:t>
      </w:r>
      <w:r w:rsidR="000D7768" w:rsidRPr="004C78D8">
        <w:t>.</w:t>
      </w:r>
      <w:r w:rsidR="00A66035" w:rsidRPr="004C78D8">
        <w:t>8</w:t>
      </w:r>
      <w:r w:rsidR="000D7768" w:rsidRPr="004C78D8">
        <w:t>%</w:t>
      </w:r>
      <w:r w:rsidR="00581BCC" w:rsidRPr="004C78D8">
        <w:t>. But</w:t>
      </w:r>
      <w:r w:rsidR="00A66035" w:rsidRPr="004C78D8">
        <w:t xml:space="preserve"> the number declined</w:t>
      </w:r>
      <w:r w:rsidR="000D7768" w:rsidRPr="004C78D8">
        <w:t xml:space="preserve"> by </w:t>
      </w:r>
      <w:r w:rsidR="00A66035" w:rsidRPr="004C78D8">
        <w:t>0</w:t>
      </w:r>
      <w:r w:rsidR="000D7768" w:rsidRPr="004C78D8">
        <w:t>.</w:t>
      </w:r>
      <w:r w:rsidR="00A66035" w:rsidRPr="004C78D8">
        <w:t>9</w:t>
      </w:r>
      <w:r w:rsidR="000D7768" w:rsidRPr="004C78D8">
        <w:t>% when intervention private co-payments were excluded</w:t>
      </w:r>
      <w:r w:rsidR="00581BCC" w:rsidRPr="004C78D8">
        <w:t>, implying the net increase in the catastrophic expenditure incidence can be attributed to co-payments.</w:t>
      </w:r>
      <w:r w:rsidR="000D7768" w:rsidRPr="004C78D8">
        <w:t xml:space="preserve"> </w:t>
      </w:r>
      <w:r w:rsidR="00A66035" w:rsidRPr="004C78D8">
        <w:t xml:space="preserve">This suggests that </w:t>
      </w:r>
      <w:r w:rsidR="00581BCC" w:rsidRPr="004C78D8">
        <w:t>RC should be supplemented by policies reducing the co-payments of the socially vulnerable groups.</w:t>
      </w:r>
      <w:r w:rsidR="00A66035" w:rsidRPr="004C78D8">
        <w:t xml:space="preserve"> T</w:t>
      </w:r>
      <w:r w:rsidR="000D7768" w:rsidRPr="004C78D8">
        <w:t xml:space="preserve">he incidence of </w:t>
      </w:r>
      <w:r w:rsidR="003904DE" w:rsidRPr="004C78D8">
        <w:t xml:space="preserve">excessive informal caregiver burden </w:t>
      </w:r>
      <w:r w:rsidR="00A66035" w:rsidRPr="004C78D8">
        <w:t xml:space="preserve">declined slightly </w:t>
      </w:r>
      <w:r w:rsidR="003904DE" w:rsidRPr="004C78D8">
        <w:t>by 0.</w:t>
      </w:r>
      <w:r w:rsidR="00581BCC" w:rsidRPr="004C78D8">
        <w:t>8</w:t>
      </w:r>
      <w:r w:rsidR="003904DE" w:rsidRPr="004C78D8">
        <w:t>%.</w:t>
      </w:r>
      <w:r w:rsidR="00447F03" w:rsidRPr="004C78D8">
        <w:t xml:space="preserve"> </w:t>
      </w:r>
    </w:p>
    <w:tbl>
      <w:tblPr>
        <w:tblStyle w:val="TableGrid"/>
        <w:tblW w:w="5000" w:type="pct"/>
        <w:tblLook w:val="04A0" w:firstRow="1" w:lastRow="0" w:firstColumn="1" w:lastColumn="0" w:noHBand="0" w:noVBand="1"/>
      </w:tblPr>
      <w:tblGrid>
        <w:gridCol w:w="4503"/>
        <w:gridCol w:w="1417"/>
        <w:gridCol w:w="1576"/>
        <w:gridCol w:w="1520"/>
      </w:tblGrid>
      <w:tr w:rsidR="002D668E" w:rsidRPr="004C78D8" w14:paraId="2632CEF9" w14:textId="77777777" w:rsidTr="00E35893">
        <w:tc>
          <w:tcPr>
            <w:tcW w:w="5000" w:type="pct"/>
            <w:gridSpan w:val="4"/>
          </w:tcPr>
          <w:p w14:paraId="2F568B82" w14:textId="2EEEE678" w:rsidR="002D668E" w:rsidRPr="004C78D8" w:rsidRDefault="002D668E" w:rsidP="00FB7C1F">
            <w:r w:rsidRPr="004C78D8">
              <w:rPr>
                <w:b/>
                <w:bCs/>
              </w:rPr>
              <w:t xml:space="preserve">Table </w:t>
            </w:r>
            <w:r w:rsidR="001E3474" w:rsidRPr="004C78D8">
              <w:rPr>
                <w:b/>
                <w:bCs/>
              </w:rPr>
              <w:t>6</w:t>
            </w:r>
            <w:r w:rsidRPr="004C78D8">
              <w:rPr>
                <w:b/>
                <w:bCs/>
              </w:rPr>
              <w:t>.</w:t>
            </w:r>
            <w:r w:rsidR="00EF4126" w:rsidRPr="004C78D8">
              <w:rPr>
                <w:b/>
                <w:bCs/>
              </w:rPr>
              <w:t>2</w:t>
            </w:r>
            <w:r w:rsidRPr="004C78D8">
              <w:t xml:space="preserve"> </w:t>
            </w:r>
            <w:r w:rsidR="0059746D" w:rsidRPr="004C78D8">
              <w:t xml:space="preserve">Comparison of </w:t>
            </w:r>
            <w:r w:rsidR="000C2CAB" w:rsidRPr="004C78D8">
              <w:t>individual-level lifetime</w:t>
            </w:r>
            <w:r w:rsidRPr="004C78D8">
              <w:t xml:space="preserve"> outcomes </w:t>
            </w:r>
            <w:r w:rsidR="000C2CAB" w:rsidRPr="004C78D8">
              <w:t xml:space="preserve">for the group aged 65 at baseline </w:t>
            </w:r>
            <w:r w:rsidR="00B773E2" w:rsidRPr="004C78D8">
              <w:t xml:space="preserve">(n=5,399) </w:t>
            </w:r>
            <w:r w:rsidR="000C2CAB" w:rsidRPr="004C78D8">
              <w:t xml:space="preserve">under </w:t>
            </w:r>
            <w:r w:rsidR="00A12360" w:rsidRPr="004C78D8">
              <w:t xml:space="preserve">the </w:t>
            </w:r>
            <w:r w:rsidR="00C14D84" w:rsidRPr="004C78D8">
              <w:t xml:space="preserve">base case </w:t>
            </w:r>
            <w:r w:rsidR="00A12360" w:rsidRPr="004C78D8">
              <w:t xml:space="preserve">40-year </w:t>
            </w:r>
            <w:r w:rsidR="009C6554" w:rsidRPr="004C78D8">
              <w:t>societal</w:t>
            </w:r>
            <w:r w:rsidR="0059746D" w:rsidRPr="004C78D8">
              <w:t xml:space="preserve"> </w:t>
            </w:r>
            <w:r w:rsidR="00C14D84" w:rsidRPr="004C78D8">
              <w:t xml:space="preserve">cost-utility </w:t>
            </w:r>
            <w:r w:rsidR="0059746D" w:rsidRPr="004C78D8">
              <w:t>analysis</w:t>
            </w:r>
            <w:r w:rsidRPr="004C78D8">
              <w:t>.</w:t>
            </w:r>
          </w:p>
        </w:tc>
      </w:tr>
      <w:tr w:rsidR="002D668E" w:rsidRPr="004C78D8" w14:paraId="478AFF1B" w14:textId="77777777" w:rsidTr="00E35893">
        <w:tc>
          <w:tcPr>
            <w:tcW w:w="2497" w:type="pct"/>
            <w:tcBorders>
              <w:bottom w:val="single" w:sz="4" w:space="0" w:color="auto"/>
            </w:tcBorders>
          </w:tcPr>
          <w:p w14:paraId="063AEAA5" w14:textId="222B610C" w:rsidR="002D668E" w:rsidRPr="004C78D8" w:rsidRDefault="002E2354" w:rsidP="00FB7C1F">
            <w:pPr>
              <w:jc w:val="left"/>
              <w:rPr>
                <w:b/>
                <w:bCs/>
                <w:sz w:val="20"/>
                <w:szCs w:val="20"/>
              </w:rPr>
            </w:pPr>
            <w:r w:rsidRPr="004C78D8">
              <w:rPr>
                <w:b/>
                <w:bCs/>
                <w:sz w:val="20"/>
                <w:szCs w:val="20"/>
              </w:rPr>
              <w:t>O</w:t>
            </w:r>
            <w:r w:rsidR="002D668E" w:rsidRPr="004C78D8">
              <w:rPr>
                <w:b/>
                <w:bCs/>
                <w:sz w:val="20"/>
                <w:szCs w:val="20"/>
              </w:rPr>
              <w:t>utcomes</w:t>
            </w:r>
            <w:r w:rsidR="00C14D84" w:rsidRPr="004C78D8">
              <w:rPr>
                <w:b/>
                <w:bCs/>
                <w:sz w:val="20"/>
                <w:szCs w:val="20"/>
                <w:vertAlign w:val="superscript"/>
              </w:rPr>
              <w:t>1</w:t>
            </w:r>
            <w:r w:rsidR="008B1E69" w:rsidRPr="004C78D8">
              <w:rPr>
                <w:b/>
                <w:bCs/>
                <w:sz w:val="20"/>
                <w:szCs w:val="20"/>
                <w:vertAlign w:val="superscript"/>
              </w:rPr>
              <w:t>,2</w:t>
            </w:r>
          </w:p>
        </w:tc>
        <w:tc>
          <w:tcPr>
            <w:tcW w:w="786" w:type="pct"/>
            <w:tcBorders>
              <w:bottom w:val="single" w:sz="4" w:space="0" w:color="auto"/>
            </w:tcBorders>
          </w:tcPr>
          <w:p w14:paraId="1D487AA9" w14:textId="5C153865" w:rsidR="002D668E" w:rsidRPr="004C78D8" w:rsidRDefault="002D668E" w:rsidP="00FB7C1F">
            <w:pPr>
              <w:jc w:val="left"/>
              <w:rPr>
                <w:b/>
                <w:bCs/>
                <w:sz w:val="20"/>
                <w:szCs w:val="20"/>
              </w:rPr>
            </w:pPr>
            <w:r w:rsidRPr="004C78D8">
              <w:rPr>
                <w:b/>
                <w:bCs/>
                <w:sz w:val="20"/>
                <w:szCs w:val="20"/>
              </w:rPr>
              <w:t>Usual care</w:t>
            </w:r>
          </w:p>
        </w:tc>
        <w:tc>
          <w:tcPr>
            <w:tcW w:w="874" w:type="pct"/>
            <w:tcBorders>
              <w:bottom w:val="single" w:sz="4" w:space="0" w:color="auto"/>
            </w:tcBorders>
          </w:tcPr>
          <w:p w14:paraId="00965A26" w14:textId="3BDB23C8" w:rsidR="002D668E" w:rsidRPr="004C78D8" w:rsidRDefault="002D668E" w:rsidP="00FB7C1F">
            <w:pPr>
              <w:jc w:val="left"/>
              <w:rPr>
                <w:b/>
                <w:bCs/>
                <w:sz w:val="20"/>
                <w:szCs w:val="20"/>
              </w:rPr>
            </w:pPr>
            <w:r w:rsidRPr="004C78D8">
              <w:rPr>
                <w:b/>
                <w:bCs/>
                <w:sz w:val="20"/>
                <w:szCs w:val="20"/>
              </w:rPr>
              <w:t>Recommended care</w:t>
            </w:r>
          </w:p>
        </w:tc>
        <w:tc>
          <w:tcPr>
            <w:tcW w:w="843" w:type="pct"/>
            <w:tcBorders>
              <w:bottom w:val="single" w:sz="4" w:space="0" w:color="auto"/>
            </w:tcBorders>
          </w:tcPr>
          <w:p w14:paraId="230D127D" w14:textId="0012773D" w:rsidR="002D668E" w:rsidRPr="004C78D8" w:rsidRDefault="002D668E" w:rsidP="00FB7C1F">
            <w:pPr>
              <w:jc w:val="left"/>
              <w:rPr>
                <w:b/>
                <w:bCs/>
                <w:sz w:val="20"/>
                <w:szCs w:val="20"/>
              </w:rPr>
            </w:pPr>
            <w:r w:rsidRPr="004C78D8">
              <w:rPr>
                <w:b/>
                <w:bCs/>
                <w:sz w:val="20"/>
                <w:szCs w:val="20"/>
              </w:rPr>
              <w:t>Incremental</w:t>
            </w:r>
            <w:r w:rsidR="009C02E4" w:rsidRPr="004C78D8">
              <w:rPr>
                <w:b/>
                <w:bCs/>
                <w:sz w:val="20"/>
                <w:szCs w:val="20"/>
              </w:rPr>
              <w:t xml:space="preserve"> (% change)</w:t>
            </w:r>
          </w:p>
        </w:tc>
      </w:tr>
      <w:tr w:rsidR="001828BF" w:rsidRPr="004C78D8" w14:paraId="246CCDDC" w14:textId="77777777" w:rsidTr="00E35893">
        <w:tc>
          <w:tcPr>
            <w:tcW w:w="2497" w:type="pct"/>
            <w:tcBorders>
              <w:bottom w:val="nil"/>
            </w:tcBorders>
          </w:tcPr>
          <w:p w14:paraId="4669900C" w14:textId="573A205F" w:rsidR="001828BF" w:rsidRPr="004C78D8" w:rsidRDefault="001828BF" w:rsidP="00FB7C1F">
            <w:pPr>
              <w:jc w:val="left"/>
              <w:rPr>
                <w:sz w:val="20"/>
                <w:szCs w:val="20"/>
              </w:rPr>
            </w:pPr>
            <w:r w:rsidRPr="004C78D8">
              <w:rPr>
                <w:sz w:val="20"/>
                <w:szCs w:val="20"/>
              </w:rPr>
              <w:t>Persons achieving ‘fair health-related innings’</w:t>
            </w:r>
            <w:r w:rsidR="008B1E69" w:rsidRPr="004C78D8">
              <w:rPr>
                <w:sz w:val="20"/>
                <w:szCs w:val="20"/>
                <w:vertAlign w:val="superscript"/>
              </w:rPr>
              <w:t>3</w:t>
            </w:r>
          </w:p>
        </w:tc>
        <w:tc>
          <w:tcPr>
            <w:tcW w:w="786" w:type="pct"/>
            <w:tcBorders>
              <w:bottom w:val="nil"/>
            </w:tcBorders>
          </w:tcPr>
          <w:p w14:paraId="5AC7EB1C" w14:textId="0D828DB5" w:rsidR="001828BF" w:rsidRPr="004C78D8" w:rsidRDefault="001828BF" w:rsidP="00FB7C1F">
            <w:pPr>
              <w:jc w:val="left"/>
              <w:rPr>
                <w:sz w:val="20"/>
                <w:szCs w:val="20"/>
              </w:rPr>
            </w:pPr>
            <w:r w:rsidRPr="004C78D8">
              <w:rPr>
                <w:sz w:val="20"/>
                <w:szCs w:val="20"/>
              </w:rPr>
              <w:t>4,</w:t>
            </w:r>
            <w:r w:rsidR="009A0D70" w:rsidRPr="004C78D8">
              <w:rPr>
                <w:sz w:val="20"/>
                <w:szCs w:val="20"/>
              </w:rPr>
              <w:t>4</w:t>
            </w:r>
            <w:r w:rsidR="00247A40" w:rsidRPr="004C78D8">
              <w:rPr>
                <w:sz w:val="20"/>
                <w:szCs w:val="20"/>
              </w:rPr>
              <w:t>15</w:t>
            </w:r>
          </w:p>
        </w:tc>
        <w:tc>
          <w:tcPr>
            <w:tcW w:w="874" w:type="pct"/>
            <w:tcBorders>
              <w:bottom w:val="nil"/>
            </w:tcBorders>
          </w:tcPr>
          <w:p w14:paraId="429372CE" w14:textId="7A3E82C3" w:rsidR="001828BF" w:rsidRPr="004C78D8" w:rsidRDefault="00B612A1" w:rsidP="00FB7C1F">
            <w:pPr>
              <w:jc w:val="left"/>
              <w:rPr>
                <w:sz w:val="20"/>
                <w:szCs w:val="20"/>
              </w:rPr>
            </w:pPr>
            <w:r w:rsidRPr="004C78D8">
              <w:rPr>
                <w:sz w:val="20"/>
                <w:szCs w:val="20"/>
              </w:rPr>
              <w:t>4,</w:t>
            </w:r>
            <w:r w:rsidR="009A0D70" w:rsidRPr="004C78D8">
              <w:rPr>
                <w:sz w:val="20"/>
                <w:szCs w:val="20"/>
              </w:rPr>
              <w:t>4</w:t>
            </w:r>
            <w:r w:rsidR="00E12A29" w:rsidRPr="004C78D8">
              <w:rPr>
                <w:sz w:val="20"/>
                <w:szCs w:val="20"/>
              </w:rPr>
              <w:t>50</w:t>
            </w:r>
          </w:p>
        </w:tc>
        <w:tc>
          <w:tcPr>
            <w:tcW w:w="843" w:type="pct"/>
            <w:tcBorders>
              <w:bottom w:val="nil"/>
            </w:tcBorders>
          </w:tcPr>
          <w:p w14:paraId="2DA81650" w14:textId="2C1655DC" w:rsidR="001828BF" w:rsidRPr="004C78D8" w:rsidRDefault="006D6BA0" w:rsidP="00FB7C1F">
            <w:pPr>
              <w:jc w:val="left"/>
              <w:rPr>
                <w:sz w:val="20"/>
                <w:szCs w:val="20"/>
              </w:rPr>
            </w:pPr>
            <w:r w:rsidRPr="004C78D8">
              <w:rPr>
                <w:sz w:val="20"/>
                <w:szCs w:val="20"/>
              </w:rPr>
              <w:t>35</w:t>
            </w:r>
            <w:r w:rsidR="001828BF" w:rsidRPr="004C78D8">
              <w:rPr>
                <w:sz w:val="20"/>
                <w:szCs w:val="20"/>
              </w:rPr>
              <w:t xml:space="preserve"> (</w:t>
            </w:r>
            <w:r w:rsidR="00247A40" w:rsidRPr="004C78D8">
              <w:rPr>
                <w:sz w:val="20"/>
                <w:szCs w:val="20"/>
              </w:rPr>
              <w:t>0</w:t>
            </w:r>
            <w:r w:rsidR="00507C32" w:rsidRPr="004C78D8">
              <w:rPr>
                <w:sz w:val="20"/>
                <w:szCs w:val="20"/>
              </w:rPr>
              <w:t>.</w:t>
            </w:r>
            <w:r w:rsidR="00247A40" w:rsidRPr="004C78D8">
              <w:rPr>
                <w:sz w:val="20"/>
                <w:szCs w:val="20"/>
              </w:rPr>
              <w:t>8</w:t>
            </w:r>
            <w:r w:rsidR="001828BF" w:rsidRPr="004C78D8">
              <w:rPr>
                <w:sz w:val="20"/>
                <w:szCs w:val="20"/>
              </w:rPr>
              <w:t>)</w:t>
            </w:r>
          </w:p>
        </w:tc>
      </w:tr>
      <w:tr w:rsidR="001828BF" w:rsidRPr="004C78D8" w14:paraId="085D116F" w14:textId="77777777" w:rsidTr="00E35893">
        <w:tc>
          <w:tcPr>
            <w:tcW w:w="2497" w:type="pct"/>
            <w:tcBorders>
              <w:top w:val="nil"/>
              <w:bottom w:val="nil"/>
            </w:tcBorders>
          </w:tcPr>
          <w:p w14:paraId="6D91EB39" w14:textId="43581FC0" w:rsidR="001828BF" w:rsidRPr="004C78D8" w:rsidRDefault="001828BF" w:rsidP="00FB7C1F">
            <w:pPr>
              <w:jc w:val="left"/>
              <w:rPr>
                <w:sz w:val="20"/>
                <w:szCs w:val="20"/>
              </w:rPr>
            </w:pPr>
            <w:r w:rsidRPr="004C78D8">
              <w:rPr>
                <w:sz w:val="20"/>
                <w:szCs w:val="20"/>
              </w:rPr>
              <w:t>Persons achieving ‘fair wellbeing-related innings’</w:t>
            </w:r>
            <w:r w:rsidR="008B1E69" w:rsidRPr="004C78D8">
              <w:rPr>
                <w:sz w:val="20"/>
                <w:szCs w:val="20"/>
                <w:vertAlign w:val="superscript"/>
              </w:rPr>
              <w:t>4</w:t>
            </w:r>
          </w:p>
        </w:tc>
        <w:tc>
          <w:tcPr>
            <w:tcW w:w="786" w:type="pct"/>
            <w:tcBorders>
              <w:top w:val="nil"/>
              <w:bottom w:val="nil"/>
            </w:tcBorders>
          </w:tcPr>
          <w:p w14:paraId="11F9E724" w14:textId="55BFBE16" w:rsidR="001828BF" w:rsidRPr="004C78D8" w:rsidRDefault="001828BF" w:rsidP="00FB7C1F">
            <w:pPr>
              <w:jc w:val="left"/>
              <w:rPr>
                <w:sz w:val="20"/>
                <w:szCs w:val="20"/>
              </w:rPr>
            </w:pPr>
            <w:r w:rsidRPr="004C78D8">
              <w:rPr>
                <w:sz w:val="20"/>
                <w:szCs w:val="20"/>
              </w:rPr>
              <w:t>4,</w:t>
            </w:r>
            <w:r w:rsidR="009A0D70" w:rsidRPr="004C78D8">
              <w:rPr>
                <w:sz w:val="20"/>
                <w:szCs w:val="20"/>
              </w:rPr>
              <w:t>48</w:t>
            </w:r>
            <w:r w:rsidR="00247A40" w:rsidRPr="004C78D8">
              <w:rPr>
                <w:sz w:val="20"/>
                <w:szCs w:val="20"/>
              </w:rPr>
              <w:t>2</w:t>
            </w:r>
          </w:p>
        </w:tc>
        <w:tc>
          <w:tcPr>
            <w:tcW w:w="874" w:type="pct"/>
            <w:tcBorders>
              <w:top w:val="nil"/>
              <w:bottom w:val="nil"/>
            </w:tcBorders>
          </w:tcPr>
          <w:p w14:paraId="3B250640" w14:textId="79AE6FBE" w:rsidR="001828BF" w:rsidRPr="004C78D8" w:rsidRDefault="001828BF" w:rsidP="00FB7C1F">
            <w:pPr>
              <w:jc w:val="left"/>
              <w:rPr>
                <w:sz w:val="20"/>
                <w:szCs w:val="20"/>
              </w:rPr>
            </w:pPr>
            <w:r w:rsidRPr="004C78D8">
              <w:rPr>
                <w:sz w:val="20"/>
                <w:szCs w:val="20"/>
              </w:rPr>
              <w:t>4,</w:t>
            </w:r>
            <w:r w:rsidR="00F86E8E" w:rsidRPr="004C78D8">
              <w:rPr>
                <w:sz w:val="20"/>
                <w:szCs w:val="20"/>
              </w:rPr>
              <w:t>5</w:t>
            </w:r>
            <w:r w:rsidR="00E12A29" w:rsidRPr="004C78D8">
              <w:rPr>
                <w:sz w:val="20"/>
                <w:szCs w:val="20"/>
              </w:rPr>
              <w:t>04</w:t>
            </w:r>
          </w:p>
        </w:tc>
        <w:tc>
          <w:tcPr>
            <w:tcW w:w="843" w:type="pct"/>
            <w:tcBorders>
              <w:top w:val="nil"/>
              <w:bottom w:val="nil"/>
            </w:tcBorders>
          </w:tcPr>
          <w:p w14:paraId="166DAB9B" w14:textId="338ECCD7" w:rsidR="001828BF" w:rsidRPr="004C78D8" w:rsidRDefault="006D6BA0" w:rsidP="00FB7C1F">
            <w:pPr>
              <w:jc w:val="left"/>
              <w:rPr>
                <w:sz w:val="20"/>
                <w:szCs w:val="20"/>
              </w:rPr>
            </w:pPr>
            <w:r w:rsidRPr="004C78D8">
              <w:rPr>
                <w:sz w:val="20"/>
                <w:szCs w:val="20"/>
              </w:rPr>
              <w:t>22</w:t>
            </w:r>
            <w:r w:rsidR="001828BF" w:rsidRPr="004C78D8">
              <w:rPr>
                <w:sz w:val="20"/>
                <w:szCs w:val="20"/>
              </w:rPr>
              <w:t xml:space="preserve"> (</w:t>
            </w:r>
            <w:r w:rsidRPr="004C78D8">
              <w:rPr>
                <w:sz w:val="20"/>
                <w:szCs w:val="20"/>
              </w:rPr>
              <w:t>0.5</w:t>
            </w:r>
            <w:r w:rsidR="001828BF" w:rsidRPr="004C78D8">
              <w:rPr>
                <w:sz w:val="20"/>
                <w:szCs w:val="20"/>
              </w:rPr>
              <w:t>)</w:t>
            </w:r>
          </w:p>
        </w:tc>
      </w:tr>
      <w:tr w:rsidR="001828BF" w:rsidRPr="004C78D8" w14:paraId="2B846D24" w14:textId="77777777" w:rsidTr="00E35893">
        <w:tc>
          <w:tcPr>
            <w:tcW w:w="2497" w:type="pct"/>
            <w:tcBorders>
              <w:top w:val="nil"/>
              <w:bottom w:val="nil"/>
            </w:tcBorders>
          </w:tcPr>
          <w:p w14:paraId="37328B8C" w14:textId="3688112F" w:rsidR="001828BF" w:rsidRPr="004C78D8" w:rsidRDefault="001828BF" w:rsidP="00FB7C1F">
            <w:pPr>
              <w:jc w:val="left"/>
              <w:rPr>
                <w:sz w:val="20"/>
                <w:szCs w:val="20"/>
              </w:rPr>
            </w:pPr>
            <w:r w:rsidRPr="004C78D8">
              <w:rPr>
                <w:sz w:val="20"/>
                <w:szCs w:val="20"/>
              </w:rPr>
              <w:t>Persons achieving ‘productive ageing’</w:t>
            </w:r>
            <w:r w:rsidR="008B1E69" w:rsidRPr="004C78D8">
              <w:rPr>
                <w:sz w:val="20"/>
                <w:szCs w:val="20"/>
                <w:vertAlign w:val="superscript"/>
              </w:rPr>
              <w:t>5</w:t>
            </w:r>
          </w:p>
        </w:tc>
        <w:tc>
          <w:tcPr>
            <w:tcW w:w="786" w:type="pct"/>
            <w:tcBorders>
              <w:top w:val="nil"/>
              <w:bottom w:val="nil"/>
            </w:tcBorders>
          </w:tcPr>
          <w:p w14:paraId="29204491" w14:textId="60666044" w:rsidR="001828BF" w:rsidRPr="004C78D8" w:rsidRDefault="00247A40" w:rsidP="00FB7C1F">
            <w:pPr>
              <w:jc w:val="left"/>
              <w:rPr>
                <w:sz w:val="20"/>
                <w:szCs w:val="20"/>
              </w:rPr>
            </w:pPr>
            <w:r w:rsidRPr="004C78D8">
              <w:rPr>
                <w:sz w:val="20"/>
                <w:szCs w:val="20"/>
              </w:rPr>
              <w:t>622</w:t>
            </w:r>
          </w:p>
        </w:tc>
        <w:tc>
          <w:tcPr>
            <w:tcW w:w="874" w:type="pct"/>
            <w:tcBorders>
              <w:top w:val="nil"/>
              <w:bottom w:val="nil"/>
            </w:tcBorders>
          </w:tcPr>
          <w:p w14:paraId="55F325D2" w14:textId="29F1E520" w:rsidR="001828BF" w:rsidRPr="004C78D8" w:rsidRDefault="00507C32" w:rsidP="00FB7C1F">
            <w:pPr>
              <w:jc w:val="left"/>
              <w:rPr>
                <w:sz w:val="20"/>
                <w:szCs w:val="20"/>
              </w:rPr>
            </w:pPr>
            <w:r w:rsidRPr="004C78D8">
              <w:rPr>
                <w:sz w:val="20"/>
                <w:szCs w:val="20"/>
              </w:rPr>
              <w:t>6</w:t>
            </w:r>
            <w:r w:rsidR="00E12A29" w:rsidRPr="004C78D8">
              <w:rPr>
                <w:sz w:val="20"/>
                <w:szCs w:val="20"/>
              </w:rPr>
              <w:t>39</w:t>
            </w:r>
          </w:p>
        </w:tc>
        <w:tc>
          <w:tcPr>
            <w:tcW w:w="843" w:type="pct"/>
            <w:tcBorders>
              <w:top w:val="nil"/>
              <w:bottom w:val="nil"/>
            </w:tcBorders>
          </w:tcPr>
          <w:p w14:paraId="6BFEDD80" w14:textId="49D1FAC5" w:rsidR="001828BF" w:rsidRPr="004C78D8" w:rsidRDefault="006D6BA0" w:rsidP="00FB7C1F">
            <w:pPr>
              <w:jc w:val="left"/>
              <w:rPr>
                <w:sz w:val="20"/>
                <w:szCs w:val="20"/>
              </w:rPr>
            </w:pPr>
            <w:r w:rsidRPr="004C78D8">
              <w:rPr>
                <w:sz w:val="20"/>
                <w:szCs w:val="20"/>
              </w:rPr>
              <w:t>17</w:t>
            </w:r>
            <w:r w:rsidR="001828BF" w:rsidRPr="004C78D8">
              <w:rPr>
                <w:sz w:val="20"/>
                <w:szCs w:val="20"/>
              </w:rPr>
              <w:t xml:space="preserve"> (</w:t>
            </w:r>
            <w:r w:rsidRPr="004C78D8">
              <w:rPr>
                <w:sz w:val="20"/>
                <w:szCs w:val="20"/>
              </w:rPr>
              <w:t>2</w:t>
            </w:r>
            <w:r w:rsidR="00F86E8E" w:rsidRPr="004C78D8">
              <w:rPr>
                <w:sz w:val="20"/>
                <w:szCs w:val="20"/>
              </w:rPr>
              <w:t>.</w:t>
            </w:r>
            <w:r w:rsidRPr="004C78D8">
              <w:rPr>
                <w:sz w:val="20"/>
                <w:szCs w:val="20"/>
              </w:rPr>
              <w:t>7</w:t>
            </w:r>
            <w:r w:rsidR="001828BF" w:rsidRPr="004C78D8">
              <w:rPr>
                <w:sz w:val="20"/>
                <w:szCs w:val="20"/>
              </w:rPr>
              <w:t>)</w:t>
            </w:r>
          </w:p>
        </w:tc>
      </w:tr>
      <w:tr w:rsidR="001828BF" w:rsidRPr="004C78D8" w14:paraId="18812BC1" w14:textId="77777777" w:rsidTr="00E35893">
        <w:tc>
          <w:tcPr>
            <w:tcW w:w="2497" w:type="pct"/>
            <w:tcBorders>
              <w:top w:val="nil"/>
              <w:bottom w:val="nil"/>
            </w:tcBorders>
          </w:tcPr>
          <w:p w14:paraId="64B9B498" w14:textId="58CF5940" w:rsidR="001828BF" w:rsidRPr="004C78D8" w:rsidRDefault="001828BF" w:rsidP="00FB7C1F">
            <w:pPr>
              <w:jc w:val="left"/>
              <w:rPr>
                <w:sz w:val="20"/>
                <w:szCs w:val="20"/>
              </w:rPr>
            </w:pPr>
            <w:r w:rsidRPr="004C78D8">
              <w:rPr>
                <w:sz w:val="20"/>
                <w:szCs w:val="20"/>
              </w:rPr>
              <w:t>Catastrophic private expenditure</w:t>
            </w:r>
            <w:r w:rsidR="00F86E8E" w:rsidRPr="004C78D8">
              <w:rPr>
                <w:sz w:val="20"/>
                <w:szCs w:val="20"/>
              </w:rPr>
              <w:t xml:space="preserve"> (CPE)</w:t>
            </w:r>
            <w:r w:rsidR="008B1E69" w:rsidRPr="004C78D8">
              <w:rPr>
                <w:sz w:val="20"/>
                <w:szCs w:val="20"/>
                <w:vertAlign w:val="superscript"/>
              </w:rPr>
              <w:t>6</w:t>
            </w:r>
          </w:p>
        </w:tc>
        <w:tc>
          <w:tcPr>
            <w:tcW w:w="786" w:type="pct"/>
            <w:tcBorders>
              <w:top w:val="nil"/>
              <w:bottom w:val="nil"/>
            </w:tcBorders>
          </w:tcPr>
          <w:p w14:paraId="43521C49" w14:textId="77777777" w:rsidR="001828BF" w:rsidRPr="004C78D8" w:rsidRDefault="001828BF" w:rsidP="00FB7C1F">
            <w:pPr>
              <w:jc w:val="left"/>
              <w:rPr>
                <w:sz w:val="20"/>
                <w:szCs w:val="20"/>
              </w:rPr>
            </w:pPr>
          </w:p>
        </w:tc>
        <w:tc>
          <w:tcPr>
            <w:tcW w:w="874" w:type="pct"/>
            <w:tcBorders>
              <w:top w:val="nil"/>
              <w:bottom w:val="nil"/>
            </w:tcBorders>
          </w:tcPr>
          <w:p w14:paraId="4013FA08" w14:textId="77777777" w:rsidR="001828BF" w:rsidRPr="004C78D8" w:rsidRDefault="001828BF" w:rsidP="00FB7C1F">
            <w:pPr>
              <w:jc w:val="left"/>
              <w:rPr>
                <w:sz w:val="20"/>
                <w:szCs w:val="20"/>
              </w:rPr>
            </w:pPr>
          </w:p>
        </w:tc>
        <w:tc>
          <w:tcPr>
            <w:tcW w:w="843" w:type="pct"/>
            <w:tcBorders>
              <w:top w:val="nil"/>
              <w:bottom w:val="nil"/>
            </w:tcBorders>
          </w:tcPr>
          <w:p w14:paraId="596BD2C1" w14:textId="77777777" w:rsidR="001828BF" w:rsidRPr="004C78D8" w:rsidRDefault="001828BF" w:rsidP="00FB7C1F">
            <w:pPr>
              <w:jc w:val="left"/>
              <w:rPr>
                <w:sz w:val="20"/>
                <w:szCs w:val="20"/>
              </w:rPr>
            </w:pPr>
          </w:p>
        </w:tc>
      </w:tr>
      <w:tr w:rsidR="001828BF" w:rsidRPr="004C78D8" w14:paraId="5B8BCA36" w14:textId="77777777" w:rsidTr="00E35893">
        <w:tc>
          <w:tcPr>
            <w:tcW w:w="2497" w:type="pct"/>
            <w:tcBorders>
              <w:top w:val="nil"/>
              <w:bottom w:val="nil"/>
            </w:tcBorders>
          </w:tcPr>
          <w:p w14:paraId="316F042C" w14:textId="053CD3FB" w:rsidR="001828BF" w:rsidRPr="004C78D8" w:rsidRDefault="001828BF" w:rsidP="00FB7C1F">
            <w:pPr>
              <w:jc w:val="right"/>
              <w:rPr>
                <w:i/>
                <w:iCs/>
                <w:sz w:val="20"/>
                <w:szCs w:val="20"/>
              </w:rPr>
            </w:pPr>
            <w:r w:rsidRPr="004C78D8">
              <w:rPr>
                <w:i/>
                <w:iCs/>
                <w:sz w:val="20"/>
                <w:szCs w:val="20"/>
              </w:rPr>
              <w:t>Persons experiencing</w:t>
            </w:r>
            <w:r w:rsidR="00F86E8E" w:rsidRPr="004C78D8">
              <w:rPr>
                <w:i/>
                <w:iCs/>
                <w:sz w:val="20"/>
                <w:szCs w:val="20"/>
              </w:rPr>
              <w:t xml:space="preserve"> CPE</w:t>
            </w:r>
            <w:r w:rsidRPr="004C78D8">
              <w:rPr>
                <w:i/>
                <w:iCs/>
                <w:sz w:val="20"/>
                <w:szCs w:val="20"/>
              </w:rPr>
              <w:t xml:space="preserve"> </w:t>
            </w:r>
          </w:p>
        </w:tc>
        <w:tc>
          <w:tcPr>
            <w:tcW w:w="786" w:type="pct"/>
            <w:tcBorders>
              <w:top w:val="nil"/>
              <w:bottom w:val="nil"/>
            </w:tcBorders>
          </w:tcPr>
          <w:p w14:paraId="0AFFDD83" w14:textId="24891341" w:rsidR="001828BF" w:rsidRPr="004C78D8" w:rsidRDefault="001828BF" w:rsidP="00FB7C1F">
            <w:pPr>
              <w:jc w:val="left"/>
              <w:rPr>
                <w:sz w:val="20"/>
                <w:szCs w:val="20"/>
              </w:rPr>
            </w:pPr>
            <w:r w:rsidRPr="004C78D8">
              <w:rPr>
                <w:sz w:val="20"/>
                <w:szCs w:val="20"/>
              </w:rPr>
              <w:t>5</w:t>
            </w:r>
            <w:r w:rsidR="00E12A29" w:rsidRPr="004C78D8">
              <w:rPr>
                <w:sz w:val="20"/>
                <w:szCs w:val="20"/>
              </w:rPr>
              <w:t>53</w:t>
            </w:r>
          </w:p>
        </w:tc>
        <w:tc>
          <w:tcPr>
            <w:tcW w:w="874" w:type="pct"/>
            <w:tcBorders>
              <w:top w:val="nil"/>
              <w:bottom w:val="nil"/>
            </w:tcBorders>
          </w:tcPr>
          <w:p w14:paraId="14E18FAF" w14:textId="5789367A" w:rsidR="001828BF" w:rsidRPr="004C78D8" w:rsidRDefault="00B612A1" w:rsidP="00FB7C1F">
            <w:pPr>
              <w:jc w:val="left"/>
              <w:rPr>
                <w:sz w:val="20"/>
                <w:szCs w:val="20"/>
              </w:rPr>
            </w:pPr>
            <w:r w:rsidRPr="004C78D8">
              <w:rPr>
                <w:sz w:val="20"/>
                <w:szCs w:val="20"/>
              </w:rPr>
              <w:t>5</w:t>
            </w:r>
            <w:r w:rsidR="00E12A29" w:rsidRPr="004C78D8">
              <w:rPr>
                <w:sz w:val="20"/>
                <w:szCs w:val="20"/>
              </w:rPr>
              <w:t>63</w:t>
            </w:r>
          </w:p>
        </w:tc>
        <w:tc>
          <w:tcPr>
            <w:tcW w:w="843" w:type="pct"/>
            <w:tcBorders>
              <w:top w:val="nil"/>
              <w:bottom w:val="nil"/>
            </w:tcBorders>
          </w:tcPr>
          <w:p w14:paraId="2C51DCAE" w14:textId="6C86B80B" w:rsidR="001828BF" w:rsidRPr="004C78D8" w:rsidRDefault="006D6BA0" w:rsidP="00FB7C1F">
            <w:pPr>
              <w:jc w:val="left"/>
              <w:rPr>
                <w:sz w:val="20"/>
                <w:szCs w:val="20"/>
              </w:rPr>
            </w:pPr>
            <w:r w:rsidRPr="004C78D8">
              <w:rPr>
                <w:sz w:val="20"/>
                <w:szCs w:val="20"/>
              </w:rPr>
              <w:t>1</w:t>
            </w:r>
            <w:r w:rsidR="009A0D70" w:rsidRPr="004C78D8">
              <w:rPr>
                <w:sz w:val="20"/>
                <w:szCs w:val="20"/>
              </w:rPr>
              <w:t>0</w:t>
            </w:r>
            <w:r w:rsidR="001828BF" w:rsidRPr="004C78D8">
              <w:rPr>
                <w:sz w:val="20"/>
                <w:szCs w:val="20"/>
              </w:rPr>
              <w:t xml:space="preserve"> (</w:t>
            </w:r>
            <w:r w:rsidRPr="004C78D8">
              <w:rPr>
                <w:sz w:val="20"/>
                <w:szCs w:val="20"/>
              </w:rPr>
              <w:t>1</w:t>
            </w:r>
            <w:r w:rsidR="008D14CD" w:rsidRPr="004C78D8">
              <w:rPr>
                <w:sz w:val="20"/>
                <w:szCs w:val="20"/>
              </w:rPr>
              <w:t>.</w:t>
            </w:r>
            <w:r w:rsidRPr="004C78D8">
              <w:rPr>
                <w:sz w:val="20"/>
                <w:szCs w:val="20"/>
              </w:rPr>
              <w:t>8</w:t>
            </w:r>
            <w:r w:rsidR="001828BF" w:rsidRPr="004C78D8">
              <w:rPr>
                <w:sz w:val="20"/>
                <w:szCs w:val="20"/>
              </w:rPr>
              <w:t>)</w:t>
            </w:r>
          </w:p>
        </w:tc>
      </w:tr>
      <w:tr w:rsidR="001828BF" w:rsidRPr="004C78D8" w14:paraId="52CB4EB8" w14:textId="77777777" w:rsidTr="00E35893">
        <w:tc>
          <w:tcPr>
            <w:tcW w:w="2497" w:type="pct"/>
            <w:tcBorders>
              <w:top w:val="nil"/>
              <w:bottom w:val="nil"/>
            </w:tcBorders>
          </w:tcPr>
          <w:p w14:paraId="23DCF57B" w14:textId="5DA4BCB8" w:rsidR="001828BF" w:rsidRPr="004C78D8" w:rsidRDefault="001828BF" w:rsidP="00FB7C1F">
            <w:pPr>
              <w:jc w:val="right"/>
              <w:rPr>
                <w:i/>
                <w:iCs/>
                <w:sz w:val="20"/>
                <w:szCs w:val="20"/>
              </w:rPr>
            </w:pPr>
            <w:r w:rsidRPr="004C78D8">
              <w:rPr>
                <w:i/>
                <w:iCs/>
                <w:sz w:val="20"/>
                <w:szCs w:val="20"/>
              </w:rPr>
              <w:t xml:space="preserve">Persons experiencing </w:t>
            </w:r>
            <w:r w:rsidR="00F86E8E" w:rsidRPr="004C78D8">
              <w:rPr>
                <w:i/>
                <w:iCs/>
                <w:sz w:val="20"/>
                <w:szCs w:val="20"/>
              </w:rPr>
              <w:t xml:space="preserve">CPE, </w:t>
            </w:r>
            <w:r w:rsidRPr="004C78D8">
              <w:rPr>
                <w:i/>
                <w:iCs/>
                <w:sz w:val="20"/>
                <w:szCs w:val="20"/>
              </w:rPr>
              <w:t>excluding intervention private co-payment</w:t>
            </w:r>
          </w:p>
        </w:tc>
        <w:tc>
          <w:tcPr>
            <w:tcW w:w="786" w:type="pct"/>
            <w:tcBorders>
              <w:top w:val="nil"/>
              <w:bottom w:val="nil"/>
            </w:tcBorders>
          </w:tcPr>
          <w:p w14:paraId="6EC22D59" w14:textId="778695FE" w:rsidR="001828BF" w:rsidRPr="004C78D8" w:rsidRDefault="001828BF" w:rsidP="00FB7C1F">
            <w:pPr>
              <w:jc w:val="left"/>
              <w:rPr>
                <w:sz w:val="20"/>
                <w:szCs w:val="20"/>
              </w:rPr>
            </w:pPr>
            <w:r w:rsidRPr="004C78D8">
              <w:rPr>
                <w:sz w:val="20"/>
                <w:szCs w:val="20"/>
              </w:rPr>
              <w:t>5</w:t>
            </w:r>
            <w:r w:rsidR="00E12A29" w:rsidRPr="004C78D8">
              <w:rPr>
                <w:sz w:val="20"/>
                <w:szCs w:val="20"/>
              </w:rPr>
              <w:t>50</w:t>
            </w:r>
          </w:p>
        </w:tc>
        <w:tc>
          <w:tcPr>
            <w:tcW w:w="874" w:type="pct"/>
            <w:tcBorders>
              <w:top w:val="nil"/>
              <w:bottom w:val="nil"/>
            </w:tcBorders>
          </w:tcPr>
          <w:p w14:paraId="2A529BFB" w14:textId="2DA35E28" w:rsidR="001828BF" w:rsidRPr="004C78D8" w:rsidRDefault="00B612A1" w:rsidP="00FB7C1F">
            <w:pPr>
              <w:jc w:val="left"/>
              <w:rPr>
                <w:sz w:val="20"/>
                <w:szCs w:val="20"/>
              </w:rPr>
            </w:pPr>
            <w:r w:rsidRPr="004C78D8">
              <w:rPr>
                <w:sz w:val="20"/>
                <w:szCs w:val="20"/>
              </w:rPr>
              <w:t>5</w:t>
            </w:r>
            <w:r w:rsidR="00E12A29" w:rsidRPr="004C78D8">
              <w:rPr>
                <w:sz w:val="20"/>
                <w:szCs w:val="20"/>
              </w:rPr>
              <w:t>45</w:t>
            </w:r>
          </w:p>
        </w:tc>
        <w:tc>
          <w:tcPr>
            <w:tcW w:w="843" w:type="pct"/>
            <w:tcBorders>
              <w:top w:val="nil"/>
              <w:bottom w:val="nil"/>
            </w:tcBorders>
          </w:tcPr>
          <w:p w14:paraId="3E36AE59" w14:textId="58296A2C" w:rsidR="001828BF" w:rsidRPr="004C78D8" w:rsidRDefault="006D6BA0" w:rsidP="00FB7C1F">
            <w:pPr>
              <w:jc w:val="left"/>
              <w:rPr>
                <w:sz w:val="20"/>
                <w:szCs w:val="20"/>
              </w:rPr>
            </w:pPr>
            <w:r w:rsidRPr="004C78D8">
              <w:rPr>
                <w:sz w:val="20"/>
                <w:szCs w:val="20"/>
              </w:rPr>
              <w:t>-5</w:t>
            </w:r>
            <w:r w:rsidR="001828BF" w:rsidRPr="004C78D8">
              <w:rPr>
                <w:sz w:val="20"/>
                <w:szCs w:val="20"/>
              </w:rPr>
              <w:t xml:space="preserve"> (</w:t>
            </w:r>
            <w:r w:rsidRPr="004C78D8">
              <w:rPr>
                <w:sz w:val="20"/>
                <w:szCs w:val="20"/>
              </w:rPr>
              <w:t>-0</w:t>
            </w:r>
            <w:r w:rsidR="00B612A1" w:rsidRPr="004C78D8">
              <w:rPr>
                <w:sz w:val="20"/>
                <w:szCs w:val="20"/>
              </w:rPr>
              <w:t>.</w:t>
            </w:r>
            <w:r w:rsidRPr="004C78D8">
              <w:rPr>
                <w:sz w:val="20"/>
                <w:szCs w:val="20"/>
              </w:rPr>
              <w:t>9</w:t>
            </w:r>
            <w:r w:rsidR="001828BF" w:rsidRPr="004C78D8">
              <w:rPr>
                <w:sz w:val="20"/>
                <w:szCs w:val="20"/>
              </w:rPr>
              <w:t>)</w:t>
            </w:r>
          </w:p>
        </w:tc>
      </w:tr>
      <w:tr w:rsidR="001828BF" w:rsidRPr="004C78D8" w14:paraId="25F7B291" w14:textId="77777777" w:rsidTr="00E35893">
        <w:tc>
          <w:tcPr>
            <w:tcW w:w="2497" w:type="pct"/>
            <w:tcBorders>
              <w:top w:val="nil"/>
              <w:bottom w:val="nil"/>
            </w:tcBorders>
          </w:tcPr>
          <w:p w14:paraId="1CD97301" w14:textId="7D23362A" w:rsidR="001828BF" w:rsidRPr="004C78D8" w:rsidRDefault="001828BF" w:rsidP="00FB7C1F">
            <w:pPr>
              <w:jc w:val="left"/>
              <w:rPr>
                <w:sz w:val="20"/>
                <w:szCs w:val="20"/>
              </w:rPr>
            </w:pPr>
            <w:r w:rsidRPr="004C78D8">
              <w:rPr>
                <w:sz w:val="20"/>
                <w:szCs w:val="20"/>
              </w:rPr>
              <w:t>Excessive informal care burden</w:t>
            </w:r>
            <w:r w:rsidR="008B1E69" w:rsidRPr="004C78D8">
              <w:rPr>
                <w:sz w:val="20"/>
                <w:szCs w:val="20"/>
                <w:vertAlign w:val="superscript"/>
              </w:rPr>
              <w:t>7</w:t>
            </w:r>
          </w:p>
        </w:tc>
        <w:tc>
          <w:tcPr>
            <w:tcW w:w="786" w:type="pct"/>
            <w:tcBorders>
              <w:top w:val="nil"/>
              <w:bottom w:val="nil"/>
            </w:tcBorders>
          </w:tcPr>
          <w:p w14:paraId="5D1DAABA" w14:textId="7BE22F07" w:rsidR="001828BF" w:rsidRPr="004C78D8" w:rsidRDefault="001828BF" w:rsidP="00FB7C1F">
            <w:pPr>
              <w:jc w:val="left"/>
              <w:rPr>
                <w:sz w:val="20"/>
                <w:szCs w:val="20"/>
              </w:rPr>
            </w:pPr>
          </w:p>
        </w:tc>
        <w:tc>
          <w:tcPr>
            <w:tcW w:w="874" w:type="pct"/>
            <w:tcBorders>
              <w:top w:val="nil"/>
              <w:bottom w:val="nil"/>
            </w:tcBorders>
          </w:tcPr>
          <w:p w14:paraId="562B98B5" w14:textId="1F903F89" w:rsidR="001828BF" w:rsidRPr="004C78D8" w:rsidRDefault="001828BF" w:rsidP="00FB7C1F">
            <w:pPr>
              <w:jc w:val="left"/>
              <w:rPr>
                <w:sz w:val="20"/>
                <w:szCs w:val="20"/>
              </w:rPr>
            </w:pPr>
          </w:p>
        </w:tc>
        <w:tc>
          <w:tcPr>
            <w:tcW w:w="843" w:type="pct"/>
            <w:tcBorders>
              <w:top w:val="nil"/>
              <w:bottom w:val="nil"/>
            </w:tcBorders>
          </w:tcPr>
          <w:p w14:paraId="618E2A40" w14:textId="41A98641" w:rsidR="001828BF" w:rsidRPr="004C78D8" w:rsidRDefault="001828BF" w:rsidP="00FB7C1F">
            <w:pPr>
              <w:jc w:val="left"/>
              <w:rPr>
                <w:sz w:val="20"/>
                <w:szCs w:val="20"/>
              </w:rPr>
            </w:pPr>
          </w:p>
        </w:tc>
      </w:tr>
      <w:tr w:rsidR="001828BF" w:rsidRPr="004C78D8" w14:paraId="1C8EF9FE" w14:textId="77777777" w:rsidTr="00E35893">
        <w:tc>
          <w:tcPr>
            <w:tcW w:w="2497" w:type="pct"/>
            <w:tcBorders>
              <w:top w:val="nil"/>
              <w:bottom w:val="nil"/>
            </w:tcBorders>
          </w:tcPr>
          <w:p w14:paraId="5BC4C138" w14:textId="6C69CA42" w:rsidR="001828BF" w:rsidRPr="004C78D8" w:rsidRDefault="001828BF" w:rsidP="00FB7C1F">
            <w:pPr>
              <w:jc w:val="right"/>
              <w:rPr>
                <w:sz w:val="20"/>
                <w:szCs w:val="20"/>
              </w:rPr>
            </w:pPr>
            <w:r w:rsidRPr="004C78D8">
              <w:rPr>
                <w:i/>
                <w:iCs/>
                <w:sz w:val="20"/>
                <w:szCs w:val="20"/>
              </w:rPr>
              <w:t>Persons experiencing</w:t>
            </w:r>
            <w:r w:rsidR="00F86E8E" w:rsidRPr="004C78D8">
              <w:rPr>
                <w:i/>
                <w:iCs/>
                <w:sz w:val="20"/>
                <w:szCs w:val="20"/>
              </w:rPr>
              <w:t xml:space="preserve"> excess</w:t>
            </w:r>
            <w:r w:rsidR="002E70A4" w:rsidRPr="004C78D8">
              <w:rPr>
                <w:i/>
                <w:iCs/>
                <w:sz w:val="20"/>
                <w:szCs w:val="20"/>
              </w:rPr>
              <w:t xml:space="preserve">ive </w:t>
            </w:r>
            <w:r w:rsidR="00D36E6A" w:rsidRPr="004C78D8">
              <w:rPr>
                <w:i/>
                <w:iCs/>
                <w:sz w:val="20"/>
                <w:szCs w:val="20"/>
              </w:rPr>
              <w:t xml:space="preserve">informal </w:t>
            </w:r>
            <w:r w:rsidR="0081257A" w:rsidRPr="004C78D8">
              <w:rPr>
                <w:i/>
                <w:iCs/>
                <w:sz w:val="20"/>
                <w:szCs w:val="20"/>
              </w:rPr>
              <w:t xml:space="preserve">care </w:t>
            </w:r>
            <w:r w:rsidR="002E70A4" w:rsidRPr="004C78D8">
              <w:rPr>
                <w:i/>
                <w:iCs/>
                <w:sz w:val="20"/>
                <w:szCs w:val="20"/>
              </w:rPr>
              <w:t>burden</w:t>
            </w:r>
            <w:r w:rsidRPr="004C78D8">
              <w:rPr>
                <w:i/>
                <w:iCs/>
                <w:sz w:val="20"/>
                <w:szCs w:val="20"/>
              </w:rPr>
              <w:t xml:space="preserve"> </w:t>
            </w:r>
          </w:p>
        </w:tc>
        <w:tc>
          <w:tcPr>
            <w:tcW w:w="786" w:type="pct"/>
            <w:tcBorders>
              <w:top w:val="nil"/>
              <w:bottom w:val="nil"/>
            </w:tcBorders>
          </w:tcPr>
          <w:p w14:paraId="2635782F" w14:textId="1F05CEEF" w:rsidR="001828BF" w:rsidRPr="004C78D8" w:rsidRDefault="00E06C4B" w:rsidP="00FB7C1F">
            <w:pPr>
              <w:jc w:val="left"/>
              <w:rPr>
                <w:sz w:val="20"/>
                <w:szCs w:val="20"/>
              </w:rPr>
            </w:pPr>
            <w:r w:rsidRPr="004C78D8">
              <w:rPr>
                <w:sz w:val="20"/>
                <w:szCs w:val="20"/>
              </w:rPr>
              <w:t>1</w:t>
            </w:r>
            <w:r w:rsidR="001828BF" w:rsidRPr="004C78D8">
              <w:rPr>
                <w:sz w:val="20"/>
                <w:szCs w:val="20"/>
              </w:rPr>
              <w:t>,</w:t>
            </w:r>
            <w:r w:rsidR="008D14CD" w:rsidRPr="004C78D8">
              <w:rPr>
                <w:sz w:val="20"/>
                <w:szCs w:val="20"/>
              </w:rPr>
              <w:t>7</w:t>
            </w:r>
            <w:r w:rsidR="00E12A29" w:rsidRPr="004C78D8">
              <w:rPr>
                <w:sz w:val="20"/>
                <w:szCs w:val="20"/>
              </w:rPr>
              <w:t>53</w:t>
            </w:r>
          </w:p>
        </w:tc>
        <w:tc>
          <w:tcPr>
            <w:tcW w:w="874" w:type="pct"/>
            <w:tcBorders>
              <w:top w:val="nil"/>
              <w:bottom w:val="nil"/>
            </w:tcBorders>
          </w:tcPr>
          <w:p w14:paraId="6C5059B2" w14:textId="7C5E7FEB" w:rsidR="001828BF" w:rsidRPr="004C78D8" w:rsidRDefault="00E06C4B" w:rsidP="00FB7C1F">
            <w:pPr>
              <w:jc w:val="left"/>
              <w:rPr>
                <w:sz w:val="20"/>
                <w:szCs w:val="20"/>
              </w:rPr>
            </w:pPr>
            <w:r w:rsidRPr="004C78D8">
              <w:rPr>
                <w:sz w:val="20"/>
                <w:szCs w:val="20"/>
              </w:rPr>
              <w:t>1</w:t>
            </w:r>
            <w:r w:rsidR="001828BF" w:rsidRPr="004C78D8">
              <w:rPr>
                <w:sz w:val="20"/>
                <w:szCs w:val="20"/>
              </w:rPr>
              <w:t>,</w:t>
            </w:r>
            <w:r w:rsidR="00B612A1" w:rsidRPr="004C78D8">
              <w:rPr>
                <w:sz w:val="20"/>
                <w:szCs w:val="20"/>
              </w:rPr>
              <w:t>7</w:t>
            </w:r>
            <w:r w:rsidR="00E12A29" w:rsidRPr="004C78D8">
              <w:rPr>
                <w:sz w:val="20"/>
                <w:szCs w:val="20"/>
              </w:rPr>
              <w:t>38</w:t>
            </w:r>
          </w:p>
        </w:tc>
        <w:tc>
          <w:tcPr>
            <w:tcW w:w="843" w:type="pct"/>
            <w:tcBorders>
              <w:top w:val="nil"/>
              <w:bottom w:val="nil"/>
            </w:tcBorders>
          </w:tcPr>
          <w:p w14:paraId="618DEB76" w14:textId="2D35F71C" w:rsidR="001828BF" w:rsidRPr="004C78D8" w:rsidRDefault="006D6BA0" w:rsidP="00FB7C1F">
            <w:pPr>
              <w:jc w:val="left"/>
              <w:rPr>
                <w:sz w:val="20"/>
                <w:szCs w:val="20"/>
              </w:rPr>
            </w:pPr>
            <w:r w:rsidRPr="004C78D8">
              <w:rPr>
                <w:sz w:val="20"/>
                <w:szCs w:val="20"/>
              </w:rPr>
              <w:t>-</w:t>
            </w:r>
            <w:r w:rsidR="009A0D70" w:rsidRPr="004C78D8">
              <w:rPr>
                <w:sz w:val="20"/>
                <w:szCs w:val="20"/>
              </w:rPr>
              <w:t>1</w:t>
            </w:r>
            <w:r w:rsidRPr="004C78D8">
              <w:rPr>
                <w:sz w:val="20"/>
                <w:szCs w:val="20"/>
              </w:rPr>
              <w:t>4</w:t>
            </w:r>
            <w:r w:rsidR="001828BF" w:rsidRPr="004C78D8">
              <w:rPr>
                <w:sz w:val="20"/>
                <w:szCs w:val="20"/>
              </w:rPr>
              <w:t xml:space="preserve"> (</w:t>
            </w:r>
            <w:r w:rsidRPr="004C78D8">
              <w:rPr>
                <w:sz w:val="20"/>
                <w:szCs w:val="20"/>
              </w:rPr>
              <w:t>-</w:t>
            </w:r>
            <w:r w:rsidR="00507C32" w:rsidRPr="004C78D8">
              <w:rPr>
                <w:sz w:val="20"/>
                <w:szCs w:val="20"/>
              </w:rPr>
              <w:t>0</w:t>
            </w:r>
            <w:r w:rsidR="008D14CD" w:rsidRPr="004C78D8">
              <w:rPr>
                <w:sz w:val="20"/>
                <w:szCs w:val="20"/>
              </w:rPr>
              <w:t>.</w:t>
            </w:r>
            <w:r w:rsidRPr="004C78D8">
              <w:rPr>
                <w:sz w:val="20"/>
                <w:szCs w:val="20"/>
              </w:rPr>
              <w:t>8</w:t>
            </w:r>
            <w:r w:rsidR="001828BF" w:rsidRPr="004C78D8">
              <w:rPr>
                <w:sz w:val="20"/>
                <w:szCs w:val="20"/>
              </w:rPr>
              <w:t>)</w:t>
            </w:r>
          </w:p>
        </w:tc>
      </w:tr>
      <w:tr w:rsidR="001828BF" w:rsidRPr="004C78D8" w14:paraId="386638CA" w14:textId="77777777" w:rsidTr="00E35893">
        <w:tc>
          <w:tcPr>
            <w:tcW w:w="2497" w:type="pct"/>
            <w:tcBorders>
              <w:top w:val="nil"/>
              <w:bottom w:val="nil"/>
            </w:tcBorders>
          </w:tcPr>
          <w:p w14:paraId="3BE47F8D" w14:textId="73416A43" w:rsidR="001828BF" w:rsidRPr="004C78D8" w:rsidRDefault="001828BF" w:rsidP="00FB7C1F">
            <w:pPr>
              <w:jc w:val="right"/>
              <w:rPr>
                <w:sz w:val="20"/>
                <w:szCs w:val="20"/>
              </w:rPr>
            </w:pPr>
            <w:r w:rsidRPr="004C78D8">
              <w:rPr>
                <w:i/>
                <w:iCs/>
                <w:sz w:val="20"/>
                <w:szCs w:val="20"/>
              </w:rPr>
              <w:t xml:space="preserve">Persons experiencing </w:t>
            </w:r>
            <w:r w:rsidR="00F86E8E" w:rsidRPr="004C78D8">
              <w:rPr>
                <w:i/>
                <w:iCs/>
                <w:sz w:val="20"/>
                <w:szCs w:val="20"/>
              </w:rPr>
              <w:t>excess</w:t>
            </w:r>
            <w:r w:rsidR="002E70A4" w:rsidRPr="004C78D8">
              <w:rPr>
                <w:i/>
                <w:iCs/>
                <w:sz w:val="20"/>
                <w:szCs w:val="20"/>
              </w:rPr>
              <w:t xml:space="preserve">ive </w:t>
            </w:r>
            <w:r w:rsidR="00D36E6A" w:rsidRPr="004C78D8">
              <w:rPr>
                <w:i/>
                <w:iCs/>
                <w:sz w:val="20"/>
                <w:szCs w:val="20"/>
              </w:rPr>
              <w:t xml:space="preserve">informal </w:t>
            </w:r>
            <w:r w:rsidR="0081257A" w:rsidRPr="004C78D8">
              <w:rPr>
                <w:i/>
                <w:iCs/>
                <w:sz w:val="20"/>
                <w:szCs w:val="20"/>
              </w:rPr>
              <w:t xml:space="preserve">care </w:t>
            </w:r>
            <w:r w:rsidR="002E70A4" w:rsidRPr="004C78D8">
              <w:rPr>
                <w:i/>
                <w:iCs/>
                <w:sz w:val="20"/>
                <w:szCs w:val="20"/>
              </w:rPr>
              <w:t>burden</w:t>
            </w:r>
            <w:r w:rsidR="00F86E8E" w:rsidRPr="004C78D8">
              <w:rPr>
                <w:i/>
                <w:iCs/>
                <w:sz w:val="20"/>
                <w:szCs w:val="20"/>
              </w:rPr>
              <w:t xml:space="preserve"> </w:t>
            </w:r>
            <w:r w:rsidRPr="004C78D8">
              <w:rPr>
                <w:i/>
                <w:iCs/>
                <w:sz w:val="20"/>
                <w:szCs w:val="20"/>
              </w:rPr>
              <w:t xml:space="preserve">(excluding intervention caregiver </w:t>
            </w:r>
            <w:r w:rsidR="002E70A4" w:rsidRPr="004C78D8">
              <w:rPr>
                <w:i/>
                <w:iCs/>
                <w:sz w:val="20"/>
                <w:szCs w:val="20"/>
              </w:rPr>
              <w:t>TOC</w:t>
            </w:r>
            <w:r w:rsidRPr="004C78D8">
              <w:rPr>
                <w:i/>
                <w:iCs/>
                <w:sz w:val="20"/>
                <w:szCs w:val="20"/>
              </w:rPr>
              <w:t>)</w:t>
            </w:r>
          </w:p>
        </w:tc>
        <w:tc>
          <w:tcPr>
            <w:tcW w:w="786" w:type="pct"/>
            <w:tcBorders>
              <w:top w:val="nil"/>
              <w:bottom w:val="nil"/>
            </w:tcBorders>
          </w:tcPr>
          <w:p w14:paraId="47FE1AB1" w14:textId="0F3496C7" w:rsidR="001828BF" w:rsidRPr="004C78D8" w:rsidRDefault="00615FFC" w:rsidP="00FB7C1F">
            <w:pPr>
              <w:jc w:val="left"/>
              <w:rPr>
                <w:sz w:val="20"/>
                <w:szCs w:val="20"/>
              </w:rPr>
            </w:pPr>
            <w:r w:rsidRPr="004C78D8">
              <w:rPr>
                <w:sz w:val="20"/>
                <w:szCs w:val="20"/>
              </w:rPr>
              <w:t>1</w:t>
            </w:r>
            <w:r w:rsidR="001828BF" w:rsidRPr="004C78D8">
              <w:rPr>
                <w:sz w:val="20"/>
                <w:szCs w:val="20"/>
              </w:rPr>
              <w:t>,</w:t>
            </w:r>
            <w:r w:rsidR="008D14CD" w:rsidRPr="004C78D8">
              <w:rPr>
                <w:sz w:val="20"/>
                <w:szCs w:val="20"/>
              </w:rPr>
              <w:t>7</w:t>
            </w:r>
            <w:r w:rsidR="00E12A29" w:rsidRPr="004C78D8">
              <w:rPr>
                <w:sz w:val="20"/>
                <w:szCs w:val="20"/>
              </w:rPr>
              <w:t>53</w:t>
            </w:r>
          </w:p>
        </w:tc>
        <w:tc>
          <w:tcPr>
            <w:tcW w:w="874" w:type="pct"/>
            <w:tcBorders>
              <w:top w:val="nil"/>
              <w:bottom w:val="nil"/>
            </w:tcBorders>
          </w:tcPr>
          <w:p w14:paraId="7A52C34D" w14:textId="6A4C0032" w:rsidR="001828BF" w:rsidRPr="004C78D8" w:rsidRDefault="00615FFC" w:rsidP="00FB7C1F">
            <w:pPr>
              <w:jc w:val="left"/>
              <w:rPr>
                <w:sz w:val="20"/>
                <w:szCs w:val="20"/>
              </w:rPr>
            </w:pPr>
            <w:r w:rsidRPr="004C78D8">
              <w:rPr>
                <w:sz w:val="20"/>
                <w:szCs w:val="20"/>
              </w:rPr>
              <w:t>1</w:t>
            </w:r>
            <w:r w:rsidR="001828BF" w:rsidRPr="004C78D8">
              <w:rPr>
                <w:sz w:val="20"/>
                <w:szCs w:val="20"/>
              </w:rPr>
              <w:t>,</w:t>
            </w:r>
            <w:r w:rsidR="00B612A1" w:rsidRPr="004C78D8">
              <w:rPr>
                <w:sz w:val="20"/>
                <w:szCs w:val="20"/>
              </w:rPr>
              <w:t>7</w:t>
            </w:r>
            <w:r w:rsidR="00E12A29" w:rsidRPr="004C78D8">
              <w:rPr>
                <w:sz w:val="20"/>
                <w:szCs w:val="20"/>
              </w:rPr>
              <w:t>29</w:t>
            </w:r>
          </w:p>
        </w:tc>
        <w:tc>
          <w:tcPr>
            <w:tcW w:w="843" w:type="pct"/>
            <w:tcBorders>
              <w:top w:val="nil"/>
              <w:bottom w:val="nil"/>
            </w:tcBorders>
          </w:tcPr>
          <w:p w14:paraId="541B5A5B" w14:textId="433ABCEC" w:rsidR="001828BF" w:rsidRPr="004C78D8" w:rsidRDefault="006D6BA0" w:rsidP="00FB7C1F">
            <w:pPr>
              <w:jc w:val="left"/>
              <w:rPr>
                <w:sz w:val="20"/>
                <w:szCs w:val="20"/>
              </w:rPr>
            </w:pPr>
            <w:r w:rsidRPr="004C78D8">
              <w:rPr>
                <w:sz w:val="20"/>
                <w:szCs w:val="20"/>
              </w:rPr>
              <w:t>-24</w:t>
            </w:r>
            <w:r w:rsidR="001828BF" w:rsidRPr="004C78D8">
              <w:rPr>
                <w:sz w:val="20"/>
                <w:szCs w:val="20"/>
              </w:rPr>
              <w:t xml:space="preserve"> (</w:t>
            </w:r>
            <w:r w:rsidRPr="004C78D8">
              <w:rPr>
                <w:sz w:val="20"/>
                <w:szCs w:val="20"/>
              </w:rPr>
              <w:t>-1</w:t>
            </w:r>
            <w:r w:rsidR="00B612A1" w:rsidRPr="004C78D8">
              <w:rPr>
                <w:sz w:val="20"/>
                <w:szCs w:val="20"/>
              </w:rPr>
              <w:t>.</w:t>
            </w:r>
            <w:r w:rsidRPr="004C78D8">
              <w:rPr>
                <w:sz w:val="20"/>
                <w:szCs w:val="20"/>
              </w:rPr>
              <w:t>4</w:t>
            </w:r>
            <w:r w:rsidR="001828BF" w:rsidRPr="004C78D8">
              <w:rPr>
                <w:sz w:val="20"/>
                <w:szCs w:val="20"/>
              </w:rPr>
              <w:t>)</w:t>
            </w:r>
          </w:p>
        </w:tc>
      </w:tr>
      <w:tr w:rsidR="001828BF" w:rsidRPr="004C78D8" w14:paraId="61B3A371" w14:textId="77777777" w:rsidTr="00E35893">
        <w:tc>
          <w:tcPr>
            <w:tcW w:w="5000" w:type="pct"/>
            <w:gridSpan w:val="4"/>
          </w:tcPr>
          <w:p w14:paraId="66E9A1CC" w14:textId="2F7CBC6D" w:rsidR="001828BF" w:rsidRPr="004C78D8" w:rsidRDefault="00D10D5E" w:rsidP="00FB7C1F">
            <w:pPr>
              <w:rPr>
                <w:sz w:val="18"/>
                <w:szCs w:val="18"/>
              </w:rPr>
            </w:pPr>
            <w:r w:rsidRPr="004C78D8">
              <w:rPr>
                <w:b/>
                <w:bCs/>
                <w:sz w:val="18"/>
                <w:szCs w:val="18"/>
              </w:rPr>
              <w:t>Abbreviation</w:t>
            </w:r>
            <w:r w:rsidR="001828BF" w:rsidRPr="004C78D8">
              <w:rPr>
                <w:b/>
                <w:bCs/>
                <w:sz w:val="18"/>
                <w:szCs w:val="18"/>
              </w:rPr>
              <w:t>:</w:t>
            </w:r>
            <w:r w:rsidR="001828BF" w:rsidRPr="004C78D8">
              <w:rPr>
                <w:sz w:val="18"/>
                <w:szCs w:val="18"/>
              </w:rPr>
              <w:t xml:space="preserve"> CALY: CASP-adjusted life year; LTC: long-term care; MA fall: fall requiring medical attention; OOP: out-of-pocket; QALY: quality-adjusted life year; SES: socioeconomic status</w:t>
            </w:r>
            <w:r w:rsidR="009D515B" w:rsidRPr="004C78D8">
              <w:rPr>
                <w:sz w:val="18"/>
                <w:szCs w:val="18"/>
              </w:rPr>
              <w:t>; TOC: time opportunity cost.</w:t>
            </w:r>
          </w:p>
          <w:p w14:paraId="5F556063" w14:textId="51FB0B97" w:rsidR="008B1E69" w:rsidRPr="004C78D8" w:rsidRDefault="008B1E69" w:rsidP="00FB7C1F">
            <w:pPr>
              <w:rPr>
                <w:sz w:val="18"/>
                <w:szCs w:val="18"/>
              </w:rPr>
            </w:pPr>
            <w:r w:rsidRPr="004C78D8">
              <w:rPr>
                <w:sz w:val="18"/>
                <w:szCs w:val="18"/>
                <w:vertAlign w:val="superscript"/>
              </w:rPr>
              <w:t>1</w:t>
            </w:r>
            <w:r w:rsidRPr="004C78D8">
              <w:rPr>
                <w:sz w:val="18"/>
                <w:szCs w:val="18"/>
              </w:rPr>
              <w:t xml:space="preserve"> All outcomes were averaged across 20 model trial runs with different random number seeds.</w:t>
            </w:r>
          </w:p>
          <w:p w14:paraId="3C97034E" w14:textId="24112278" w:rsidR="001828BF" w:rsidRPr="004C78D8" w:rsidRDefault="008B1E69" w:rsidP="00FB7C1F">
            <w:pPr>
              <w:rPr>
                <w:sz w:val="18"/>
                <w:szCs w:val="18"/>
              </w:rPr>
            </w:pPr>
            <w:r w:rsidRPr="004C78D8">
              <w:rPr>
                <w:sz w:val="18"/>
                <w:szCs w:val="18"/>
                <w:vertAlign w:val="superscript"/>
              </w:rPr>
              <w:t>2</w:t>
            </w:r>
            <w:r w:rsidR="001828BF" w:rsidRPr="004C78D8">
              <w:rPr>
                <w:sz w:val="18"/>
                <w:szCs w:val="18"/>
              </w:rPr>
              <w:t xml:space="preserve"> Comparison was restricted to those aged 65 at first model cycle to track their lifetime outcomes (all persons were deceased or LTC admitted by the 40</w:t>
            </w:r>
            <w:r w:rsidR="001828BF" w:rsidRPr="004C78D8">
              <w:rPr>
                <w:sz w:val="18"/>
                <w:szCs w:val="18"/>
                <w:vertAlign w:val="superscript"/>
              </w:rPr>
              <w:t>th</w:t>
            </w:r>
            <w:r w:rsidR="001828BF" w:rsidRPr="004C78D8">
              <w:rPr>
                <w:sz w:val="18"/>
                <w:szCs w:val="18"/>
              </w:rPr>
              <w:t xml:space="preserve"> model cycle under both usual care and recommended care scenarios).</w:t>
            </w:r>
          </w:p>
          <w:p w14:paraId="793658D9" w14:textId="5BF0045A" w:rsidR="001828BF" w:rsidRPr="004C78D8" w:rsidRDefault="008B1E69" w:rsidP="00FB7C1F">
            <w:pPr>
              <w:rPr>
                <w:sz w:val="18"/>
                <w:szCs w:val="18"/>
              </w:rPr>
            </w:pPr>
            <w:r w:rsidRPr="004C78D8">
              <w:rPr>
                <w:sz w:val="18"/>
                <w:szCs w:val="18"/>
                <w:vertAlign w:val="superscript"/>
              </w:rPr>
              <w:t>3</w:t>
            </w:r>
            <w:r w:rsidR="001828BF" w:rsidRPr="004C78D8">
              <w:rPr>
                <w:sz w:val="18"/>
                <w:szCs w:val="18"/>
              </w:rPr>
              <w:t xml:space="preserve"> ‘Fair health-related innings’ is defined as 60% of the median lifetime QALY calculated from those aged 65 at baseline under usual care, which was 5.5</w:t>
            </w:r>
            <w:r w:rsidR="00AA3897" w:rsidRPr="004C78D8">
              <w:rPr>
                <w:sz w:val="18"/>
                <w:szCs w:val="18"/>
              </w:rPr>
              <w:t>77</w:t>
            </w:r>
            <w:r w:rsidR="001828BF" w:rsidRPr="004C78D8">
              <w:rPr>
                <w:sz w:val="18"/>
                <w:szCs w:val="18"/>
              </w:rPr>
              <w:t>.</w:t>
            </w:r>
          </w:p>
          <w:p w14:paraId="31CF14A4" w14:textId="3D02C2BE" w:rsidR="001828BF" w:rsidRPr="004C78D8" w:rsidRDefault="008B1E69" w:rsidP="00FB7C1F">
            <w:pPr>
              <w:rPr>
                <w:sz w:val="18"/>
                <w:szCs w:val="18"/>
              </w:rPr>
            </w:pPr>
            <w:r w:rsidRPr="004C78D8">
              <w:rPr>
                <w:sz w:val="18"/>
                <w:szCs w:val="18"/>
                <w:vertAlign w:val="superscript"/>
              </w:rPr>
              <w:t>4</w:t>
            </w:r>
            <w:r w:rsidR="001828BF" w:rsidRPr="004C78D8">
              <w:rPr>
                <w:sz w:val="18"/>
                <w:szCs w:val="18"/>
              </w:rPr>
              <w:t xml:space="preserve"> ‘Fair wellbeing-related innings’ is defined as 60% of the median lifetime CALY calculated from those aged 65 at baseline under usual care, which was 5.5</w:t>
            </w:r>
            <w:r w:rsidR="00AA3897" w:rsidRPr="004C78D8">
              <w:rPr>
                <w:sz w:val="18"/>
                <w:szCs w:val="18"/>
              </w:rPr>
              <w:t>59</w:t>
            </w:r>
            <w:r w:rsidR="001828BF" w:rsidRPr="004C78D8">
              <w:rPr>
                <w:sz w:val="18"/>
                <w:szCs w:val="18"/>
              </w:rPr>
              <w:t xml:space="preserve">. </w:t>
            </w:r>
          </w:p>
          <w:p w14:paraId="08F7F78D" w14:textId="70E3876D" w:rsidR="001828BF" w:rsidRPr="004C78D8" w:rsidRDefault="008B1E69" w:rsidP="00FB7C1F">
            <w:pPr>
              <w:rPr>
                <w:sz w:val="18"/>
                <w:szCs w:val="18"/>
              </w:rPr>
            </w:pPr>
            <w:r w:rsidRPr="004C78D8">
              <w:rPr>
                <w:sz w:val="18"/>
                <w:szCs w:val="18"/>
                <w:vertAlign w:val="superscript"/>
              </w:rPr>
              <w:t>5</w:t>
            </w:r>
            <w:r w:rsidR="001828BF" w:rsidRPr="004C78D8">
              <w:rPr>
                <w:sz w:val="18"/>
                <w:szCs w:val="18"/>
              </w:rPr>
              <w:t xml:space="preserve"> ‘Productive ageing</w:t>
            </w:r>
            <w:r w:rsidR="000C3307" w:rsidRPr="004C78D8">
              <w:rPr>
                <w:sz w:val="18"/>
                <w:szCs w:val="18"/>
              </w:rPr>
              <w:t>’</w:t>
            </w:r>
            <w:r w:rsidR="001828BF" w:rsidRPr="004C78D8">
              <w:rPr>
                <w:sz w:val="18"/>
                <w:szCs w:val="18"/>
              </w:rPr>
              <w:t xml:space="preserve"> is defined as participating in paid or unpaid work for at least ten years</w:t>
            </w:r>
            <w:r w:rsidR="000C3307" w:rsidRPr="004C78D8">
              <w:rPr>
                <w:sz w:val="18"/>
                <w:szCs w:val="18"/>
              </w:rPr>
              <w:t xml:space="preserve"> from age 65</w:t>
            </w:r>
            <w:r w:rsidR="001828BF" w:rsidRPr="004C78D8">
              <w:rPr>
                <w:sz w:val="18"/>
                <w:szCs w:val="18"/>
              </w:rPr>
              <w:t>.</w:t>
            </w:r>
          </w:p>
          <w:p w14:paraId="1805F84C" w14:textId="7210A36D" w:rsidR="001828BF" w:rsidRPr="004C78D8" w:rsidRDefault="008B1E69" w:rsidP="00FB7C1F">
            <w:pPr>
              <w:rPr>
                <w:sz w:val="18"/>
                <w:szCs w:val="18"/>
              </w:rPr>
            </w:pPr>
            <w:r w:rsidRPr="004C78D8">
              <w:rPr>
                <w:sz w:val="18"/>
                <w:szCs w:val="18"/>
                <w:vertAlign w:val="superscript"/>
              </w:rPr>
              <w:t>6</w:t>
            </w:r>
            <w:r w:rsidR="001828BF" w:rsidRPr="004C78D8">
              <w:rPr>
                <w:sz w:val="18"/>
                <w:szCs w:val="18"/>
              </w:rPr>
              <w:t xml:space="preserve"> Private expenditure includes OOP care expenditure, private LTC cost and intervention private co-payments. </w:t>
            </w:r>
            <w:r w:rsidR="000C3307" w:rsidRPr="004C78D8">
              <w:rPr>
                <w:sz w:val="18"/>
                <w:szCs w:val="18"/>
              </w:rPr>
              <w:t>‘</w:t>
            </w:r>
            <w:r w:rsidR="001828BF" w:rsidRPr="004C78D8">
              <w:rPr>
                <w:sz w:val="18"/>
                <w:szCs w:val="18"/>
              </w:rPr>
              <w:t>Catastrophic expenditure</w:t>
            </w:r>
            <w:r w:rsidR="000C3307" w:rsidRPr="004C78D8">
              <w:rPr>
                <w:sz w:val="18"/>
                <w:szCs w:val="18"/>
              </w:rPr>
              <w:t>’</w:t>
            </w:r>
            <w:r w:rsidR="001828BF" w:rsidRPr="004C78D8">
              <w:rPr>
                <w:sz w:val="18"/>
                <w:szCs w:val="18"/>
              </w:rPr>
              <w:t xml:space="preserve"> is defined as lifetime expenditure exceeding 40% of individuals’ capacity to pay, equivalent to £9,300 for 3</w:t>
            </w:r>
            <w:r w:rsidR="001828BF" w:rsidRPr="004C78D8">
              <w:rPr>
                <w:sz w:val="18"/>
                <w:szCs w:val="18"/>
                <w:vertAlign w:val="superscript"/>
              </w:rPr>
              <w:t>rd</w:t>
            </w:r>
            <w:r w:rsidR="001828BF" w:rsidRPr="004C78D8">
              <w:rPr>
                <w:sz w:val="18"/>
                <w:szCs w:val="18"/>
              </w:rPr>
              <w:t xml:space="preserve"> SES quartile individuals and £5,700 for 4</w:t>
            </w:r>
            <w:r w:rsidR="001828BF" w:rsidRPr="004C78D8">
              <w:rPr>
                <w:sz w:val="18"/>
                <w:szCs w:val="18"/>
                <w:vertAlign w:val="superscript"/>
              </w:rPr>
              <w:t>th</w:t>
            </w:r>
            <w:r w:rsidR="001828BF" w:rsidRPr="004C78D8">
              <w:rPr>
                <w:sz w:val="18"/>
                <w:szCs w:val="18"/>
              </w:rPr>
              <w:t xml:space="preserve"> if they are assumed to have savings of £23,250 and £14,250 respectively.</w:t>
            </w:r>
          </w:p>
          <w:p w14:paraId="735A13B9" w14:textId="1E0C49F6" w:rsidR="001828BF" w:rsidRPr="004C78D8" w:rsidRDefault="008B1E69" w:rsidP="00FB7C1F">
            <w:pPr>
              <w:rPr>
                <w:sz w:val="18"/>
                <w:szCs w:val="18"/>
              </w:rPr>
            </w:pPr>
            <w:r w:rsidRPr="004C78D8">
              <w:rPr>
                <w:sz w:val="18"/>
                <w:szCs w:val="18"/>
                <w:vertAlign w:val="superscript"/>
              </w:rPr>
              <w:t>7</w:t>
            </w:r>
            <w:r w:rsidR="001828BF" w:rsidRPr="004C78D8">
              <w:rPr>
                <w:sz w:val="18"/>
                <w:szCs w:val="18"/>
              </w:rPr>
              <w:t xml:space="preserve"> </w:t>
            </w:r>
            <w:r w:rsidR="000C3307" w:rsidRPr="004C78D8">
              <w:rPr>
                <w:sz w:val="18"/>
                <w:szCs w:val="18"/>
              </w:rPr>
              <w:t>‘</w:t>
            </w:r>
            <w:r w:rsidR="001828BF" w:rsidRPr="004C78D8">
              <w:rPr>
                <w:sz w:val="18"/>
                <w:szCs w:val="18"/>
              </w:rPr>
              <w:t>Excessive informal care burden</w:t>
            </w:r>
            <w:r w:rsidR="000C3307" w:rsidRPr="004C78D8">
              <w:rPr>
                <w:sz w:val="18"/>
                <w:szCs w:val="18"/>
              </w:rPr>
              <w:t>’</w:t>
            </w:r>
            <w:r w:rsidR="001828BF" w:rsidRPr="004C78D8">
              <w:rPr>
                <w:sz w:val="18"/>
                <w:szCs w:val="18"/>
              </w:rPr>
              <w:t xml:space="preserve"> is defined as lifetime value of informal caregiving exceeding £85,025 which is </w:t>
            </w:r>
            <w:r w:rsidR="000C3307" w:rsidRPr="004C78D8">
              <w:rPr>
                <w:sz w:val="18"/>
                <w:szCs w:val="18"/>
              </w:rPr>
              <w:t xml:space="preserve">five times </w:t>
            </w:r>
            <w:r w:rsidR="001828BF" w:rsidRPr="004C78D8">
              <w:rPr>
                <w:sz w:val="18"/>
                <w:szCs w:val="18"/>
              </w:rPr>
              <w:t>the annual income earned at the national living wage. The burden includes informal caregiving cost and intervention time opportunity cost incurred by informal caregiver.</w:t>
            </w:r>
          </w:p>
        </w:tc>
      </w:tr>
    </w:tbl>
    <w:p w14:paraId="2FFD7B91" w14:textId="77777777" w:rsidR="002D668E" w:rsidRPr="004C78D8" w:rsidRDefault="002D668E" w:rsidP="00FB7C1F"/>
    <w:p w14:paraId="03E45D0E" w14:textId="587E16F7" w:rsidR="00EF4126" w:rsidRPr="004C78D8" w:rsidRDefault="001E3474" w:rsidP="00FB7C1F">
      <w:pPr>
        <w:pStyle w:val="Heading4"/>
      </w:pPr>
      <w:r w:rsidRPr="004C78D8">
        <w:t>6</w:t>
      </w:r>
      <w:r w:rsidR="00EF4126" w:rsidRPr="004C78D8">
        <w:t>.2.</w:t>
      </w:r>
      <w:r w:rsidR="00460A5E" w:rsidRPr="004C78D8">
        <w:t>1.</w:t>
      </w:r>
      <w:r w:rsidR="00EF4126" w:rsidRPr="004C78D8">
        <w:t>3 Return on investment</w:t>
      </w:r>
      <w:r w:rsidR="00D86D72" w:rsidRPr="004C78D8">
        <w:t xml:space="preserve"> under</w:t>
      </w:r>
      <w:r w:rsidR="00EF4126" w:rsidRPr="004C78D8">
        <w:t xml:space="preserve"> public sector perspective</w:t>
      </w:r>
      <w:r w:rsidR="00D86D72" w:rsidRPr="004C78D8">
        <w:t xml:space="preserve"> and</w:t>
      </w:r>
      <w:r w:rsidR="00EF4126" w:rsidRPr="004C78D8">
        <w:t xml:space="preserve"> five-year horizon</w:t>
      </w:r>
    </w:p>
    <w:p w14:paraId="6AD283F4" w14:textId="7843EF33" w:rsidR="00EF4126" w:rsidRPr="004C78D8" w:rsidRDefault="00EF4126" w:rsidP="00FB7C1F">
      <w:r w:rsidRPr="004C78D8">
        <w:t xml:space="preserve">Table </w:t>
      </w:r>
      <w:r w:rsidR="001E3474" w:rsidRPr="004C78D8">
        <w:t>6</w:t>
      </w:r>
      <w:r w:rsidRPr="004C78D8">
        <w:t xml:space="preserve">.3 presents the </w:t>
      </w:r>
      <w:r w:rsidR="00CC0383" w:rsidRPr="004C78D8">
        <w:t xml:space="preserve">public sector </w:t>
      </w:r>
      <w:r w:rsidRPr="004C78D8">
        <w:t>ROI outcomes over five-year horizon. The total target population size over the horizon was 152,138.</w:t>
      </w:r>
    </w:p>
    <w:tbl>
      <w:tblPr>
        <w:tblStyle w:val="TableGrid"/>
        <w:tblW w:w="5000" w:type="pct"/>
        <w:tblLook w:val="04A0" w:firstRow="1" w:lastRow="0" w:firstColumn="1" w:lastColumn="0" w:noHBand="0" w:noVBand="1"/>
      </w:tblPr>
      <w:tblGrid>
        <w:gridCol w:w="3233"/>
        <w:gridCol w:w="1993"/>
        <w:gridCol w:w="1994"/>
        <w:gridCol w:w="1796"/>
      </w:tblGrid>
      <w:tr w:rsidR="00EF4126" w:rsidRPr="004C78D8" w14:paraId="596416B4" w14:textId="77777777" w:rsidTr="00E35893">
        <w:tc>
          <w:tcPr>
            <w:tcW w:w="5000" w:type="pct"/>
            <w:gridSpan w:val="4"/>
          </w:tcPr>
          <w:p w14:paraId="291D0561" w14:textId="613C5FD3" w:rsidR="00EF4126" w:rsidRPr="004C78D8" w:rsidRDefault="00EF4126" w:rsidP="00FB7C1F">
            <w:pPr>
              <w:jc w:val="left"/>
            </w:pPr>
            <w:r w:rsidRPr="004C78D8">
              <w:rPr>
                <w:b/>
                <w:bCs/>
              </w:rPr>
              <w:t xml:space="preserve">Table </w:t>
            </w:r>
            <w:r w:rsidR="001E3474" w:rsidRPr="004C78D8">
              <w:rPr>
                <w:b/>
                <w:bCs/>
              </w:rPr>
              <w:t>6</w:t>
            </w:r>
            <w:r w:rsidRPr="004C78D8">
              <w:rPr>
                <w:b/>
                <w:bCs/>
              </w:rPr>
              <w:t>.3</w:t>
            </w:r>
            <w:r w:rsidRPr="004C78D8">
              <w:t xml:space="preserve"> Base case return on investment </w:t>
            </w:r>
            <w:r w:rsidR="00284905" w:rsidRPr="004C78D8">
              <w:t>under</w:t>
            </w:r>
            <w:r w:rsidRPr="004C78D8">
              <w:t xml:space="preserve"> public sector perspective </w:t>
            </w:r>
            <w:r w:rsidR="00284905" w:rsidRPr="004C78D8">
              <w:t>and</w:t>
            </w:r>
            <w:r w:rsidRPr="004C78D8">
              <w:t xml:space="preserve"> five-year horizon.</w:t>
            </w:r>
          </w:p>
        </w:tc>
      </w:tr>
      <w:tr w:rsidR="00EF4126" w:rsidRPr="004C78D8" w14:paraId="40A6D216" w14:textId="77777777" w:rsidTr="00E35893">
        <w:tc>
          <w:tcPr>
            <w:tcW w:w="1793" w:type="pct"/>
            <w:tcBorders>
              <w:bottom w:val="single" w:sz="4" w:space="0" w:color="auto"/>
            </w:tcBorders>
          </w:tcPr>
          <w:p w14:paraId="6FC7E7A1" w14:textId="77777777" w:rsidR="00EF4126" w:rsidRPr="004C78D8" w:rsidRDefault="00EF4126" w:rsidP="00FB7C1F">
            <w:pPr>
              <w:jc w:val="left"/>
              <w:rPr>
                <w:sz w:val="20"/>
                <w:szCs w:val="20"/>
              </w:rPr>
            </w:pPr>
            <w:r w:rsidRPr="004C78D8">
              <w:rPr>
                <w:sz w:val="20"/>
                <w:szCs w:val="20"/>
              </w:rPr>
              <w:t>N=152,138</w:t>
            </w:r>
          </w:p>
        </w:tc>
        <w:tc>
          <w:tcPr>
            <w:tcW w:w="1105" w:type="pct"/>
            <w:tcBorders>
              <w:bottom w:val="single" w:sz="4" w:space="0" w:color="auto"/>
            </w:tcBorders>
          </w:tcPr>
          <w:p w14:paraId="630E0F6F" w14:textId="77777777" w:rsidR="00EF4126" w:rsidRPr="004C78D8" w:rsidRDefault="00EF4126" w:rsidP="00FB7C1F">
            <w:pPr>
              <w:jc w:val="left"/>
              <w:rPr>
                <w:b/>
                <w:bCs/>
                <w:sz w:val="20"/>
                <w:szCs w:val="20"/>
              </w:rPr>
            </w:pPr>
            <w:r w:rsidRPr="004C78D8">
              <w:rPr>
                <w:b/>
                <w:bCs/>
                <w:sz w:val="20"/>
                <w:szCs w:val="20"/>
              </w:rPr>
              <w:t>Usual care</w:t>
            </w:r>
          </w:p>
        </w:tc>
        <w:tc>
          <w:tcPr>
            <w:tcW w:w="1106" w:type="pct"/>
            <w:tcBorders>
              <w:bottom w:val="single" w:sz="4" w:space="0" w:color="auto"/>
            </w:tcBorders>
          </w:tcPr>
          <w:p w14:paraId="2D731095" w14:textId="77777777" w:rsidR="00EF4126" w:rsidRPr="004C78D8" w:rsidRDefault="00EF4126" w:rsidP="00FB7C1F">
            <w:pPr>
              <w:jc w:val="left"/>
              <w:rPr>
                <w:b/>
                <w:bCs/>
                <w:sz w:val="20"/>
                <w:szCs w:val="20"/>
              </w:rPr>
            </w:pPr>
            <w:r w:rsidRPr="004C78D8">
              <w:rPr>
                <w:b/>
                <w:bCs/>
                <w:sz w:val="20"/>
                <w:szCs w:val="20"/>
              </w:rPr>
              <w:t>Recommended care</w:t>
            </w:r>
          </w:p>
        </w:tc>
        <w:tc>
          <w:tcPr>
            <w:tcW w:w="996" w:type="pct"/>
            <w:tcBorders>
              <w:bottom w:val="single" w:sz="4" w:space="0" w:color="auto"/>
            </w:tcBorders>
          </w:tcPr>
          <w:p w14:paraId="324FF640" w14:textId="77777777" w:rsidR="00EF4126" w:rsidRPr="004C78D8" w:rsidRDefault="00EF4126" w:rsidP="00FB7C1F">
            <w:pPr>
              <w:jc w:val="left"/>
              <w:rPr>
                <w:b/>
                <w:bCs/>
                <w:sz w:val="20"/>
                <w:szCs w:val="20"/>
              </w:rPr>
            </w:pPr>
            <w:r w:rsidRPr="004C78D8">
              <w:rPr>
                <w:b/>
                <w:bCs/>
                <w:sz w:val="20"/>
                <w:szCs w:val="20"/>
              </w:rPr>
              <w:t>Incremental</w:t>
            </w:r>
          </w:p>
        </w:tc>
      </w:tr>
      <w:tr w:rsidR="00EF4126" w:rsidRPr="004C78D8" w14:paraId="207B058F" w14:textId="77777777" w:rsidTr="00E35893">
        <w:tc>
          <w:tcPr>
            <w:tcW w:w="1793" w:type="pct"/>
            <w:tcBorders>
              <w:bottom w:val="nil"/>
            </w:tcBorders>
          </w:tcPr>
          <w:p w14:paraId="5AD671DA" w14:textId="6CB86A28" w:rsidR="00EF4126" w:rsidRPr="004C78D8" w:rsidRDefault="00EF4126" w:rsidP="00FB7C1F">
            <w:pPr>
              <w:jc w:val="left"/>
              <w:rPr>
                <w:b/>
                <w:bCs/>
                <w:i/>
                <w:iCs/>
                <w:sz w:val="20"/>
                <w:szCs w:val="20"/>
              </w:rPr>
            </w:pPr>
            <w:r w:rsidRPr="004C78D8">
              <w:rPr>
                <w:b/>
                <w:bCs/>
                <w:i/>
                <w:iCs/>
                <w:sz w:val="20"/>
                <w:szCs w:val="20"/>
              </w:rPr>
              <w:t>Total cost outcomes</w:t>
            </w:r>
            <w:r w:rsidR="00E40FC7" w:rsidRPr="004C78D8">
              <w:rPr>
                <w:b/>
                <w:bCs/>
                <w:i/>
                <w:iCs/>
                <w:sz w:val="20"/>
                <w:szCs w:val="20"/>
                <w:vertAlign w:val="superscript"/>
              </w:rPr>
              <w:t>1</w:t>
            </w:r>
          </w:p>
        </w:tc>
        <w:tc>
          <w:tcPr>
            <w:tcW w:w="1105" w:type="pct"/>
            <w:tcBorders>
              <w:bottom w:val="nil"/>
            </w:tcBorders>
          </w:tcPr>
          <w:p w14:paraId="6FDAAC8E" w14:textId="77777777" w:rsidR="00EF4126" w:rsidRPr="004C78D8" w:rsidRDefault="00EF4126" w:rsidP="00FB7C1F">
            <w:pPr>
              <w:jc w:val="left"/>
              <w:rPr>
                <w:sz w:val="20"/>
                <w:szCs w:val="20"/>
              </w:rPr>
            </w:pPr>
          </w:p>
        </w:tc>
        <w:tc>
          <w:tcPr>
            <w:tcW w:w="1106" w:type="pct"/>
            <w:tcBorders>
              <w:bottom w:val="nil"/>
            </w:tcBorders>
          </w:tcPr>
          <w:p w14:paraId="331AC729" w14:textId="77777777" w:rsidR="00EF4126" w:rsidRPr="004C78D8" w:rsidRDefault="00EF4126" w:rsidP="00FB7C1F">
            <w:pPr>
              <w:jc w:val="left"/>
              <w:rPr>
                <w:sz w:val="20"/>
                <w:szCs w:val="20"/>
              </w:rPr>
            </w:pPr>
          </w:p>
        </w:tc>
        <w:tc>
          <w:tcPr>
            <w:tcW w:w="996" w:type="pct"/>
            <w:tcBorders>
              <w:bottom w:val="nil"/>
            </w:tcBorders>
          </w:tcPr>
          <w:p w14:paraId="2557483D" w14:textId="77777777" w:rsidR="00EF4126" w:rsidRPr="004C78D8" w:rsidRDefault="00EF4126" w:rsidP="00FB7C1F">
            <w:pPr>
              <w:jc w:val="left"/>
              <w:rPr>
                <w:sz w:val="20"/>
                <w:szCs w:val="20"/>
              </w:rPr>
            </w:pPr>
          </w:p>
        </w:tc>
      </w:tr>
      <w:tr w:rsidR="00EF4126" w:rsidRPr="004C78D8" w14:paraId="3E4EF8AB" w14:textId="77777777" w:rsidTr="00E35893">
        <w:tc>
          <w:tcPr>
            <w:tcW w:w="1793" w:type="pct"/>
            <w:tcBorders>
              <w:top w:val="nil"/>
              <w:bottom w:val="nil"/>
            </w:tcBorders>
          </w:tcPr>
          <w:p w14:paraId="2A90F7AC" w14:textId="598EB81D" w:rsidR="00EF4126" w:rsidRPr="004C78D8" w:rsidRDefault="00EF4126" w:rsidP="00FB7C1F">
            <w:pPr>
              <w:jc w:val="left"/>
              <w:rPr>
                <w:sz w:val="20"/>
                <w:szCs w:val="20"/>
              </w:rPr>
            </w:pPr>
            <w:r w:rsidRPr="004C78D8">
              <w:rPr>
                <w:sz w:val="20"/>
                <w:szCs w:val="20"/>
              </w:rPr>
              <w:t>(1) All-cause public sector care costs</w:t>
            </w:r>
            <w:r w:rsidR="00E40FC7" w:rsidRPr="004C78D8">
              <w:rPr>
                <w:sz w:val="20"/>
                <w:szCs w:val="20"/>
                <w:vertAlign w:val="superscript"/>
              </w:rPr>
              <w:t>2</w:t>
            </w:r>
          </w:p>
        </w:tc>
        <w:tc>
          <w:tcPr>
            <w:tcW w:w="1105" w:type="pct"/>
            <w:tcBorders>
              <w:top w:val="nil"/>
              <w:bottom w:val="nil"/>
            </w:tcBorders>
          </w:tcPr>
          <w:p w14:paraId="167A4838" w14:textId="7F89C5F6" w:rsidR="00EF4126" w:rsidRPr="004C78D8" w:rsidRDefault="00A8367E" w:rsidP="00FB7C1F">
            <w:pPr>
              <w:jc w:val="left"/>
              <w:rPr>
                <w:sz w:val="20"/>
                <w:szCs w:val="20"/>
              </w:rPr>
            </w:pPr>
            <w:r w:rsidRPr="004C78D8">
              <w:rPr>
                <w:sz w:val="20"/>
                <w:szCs w:val="20"/>
              </w:rPr>
              <w:t>£1,849,611,631</w:t>
            </w:r>
          </w:p>
        </w:tc>
        <w:tc>
          <w:tcPr>
            <w:tcW w:w="1106" w:type="pct"/>
            <w:tcBorders>
              <w:top w:val="nil"/>
              <w:bottom w:val="nil"/>
            </w:tcBorders>
          </w:tcPr>
          <w:p w14:paraId="6C3151CD" w14:textId="1B4227E2" w:rsidR="00EF4126" w:rsidRPr="004C78D8" w:rsidRDefault="00F973F1" w:rsidP="00FB7C1F">
            <w:pPr>
              <w:jc w:val="left"/>
              <w:rPr>
                <w:sz w:val="20"/>
                <w:szCs w:val="20"/>
              </w:rPr>
            </w:pPr>
            <w:r w:rsidRPr="004C78D8">
              <w:rPr>
                <w:sz w:val="20"/>
                <w:szCs w:val="20"/>
              </w:rPr>
              <w:t>£1,829,897,263</w:t>
            </w:r>
          </w:p>
        </w:tc>
        <w:tc>
          <w:tcPr>
            <w:tcW w:w="996" w:type="pct"/>
            <w:tcBorders>
              <w:top w:val="nil"/>
              <w:bottom w:val="nil"/>
            </w:tcBorders>
          </w:tcPr>
          <w:p w14:paraId="3B1C0DEC" w14:textId="6CB9D47A" w:rsidR="00EF4126" w:rsidRPr="004C78D8" w:rsidRDefault="00F973F1" w:rsidP="00FB7C1F">
            <w:pPr>
              <w:jc w:val="left"/>
              <w:rPr>
                <w:sz w:val="20"/>
                <w:szCs w:val="20"/>
              </w:rPr>
            </w:pPr>
            <w:r w:rsidRPr="004C78D8">
              <w:rPr>
                <w:sz w:val="20"/>
                <w:szCs w:val="20"/>
              </w:rPr>
              <w:t>-£19,714,368</w:t>
            </w:r>
          </w:p>
        </w:tc>
      </w:tr>
      <w:tr w:rsidR="00EF4126" w:rsidRPr="004C78D8" w14:paraId="557424C0" w14:textId="77777777" w:rsidTr="00E35893">
        <w:tc>
          <w:tcPr>
            <w:tcW w:w="1793" w:type="pct"/>
            <w:tcBorders>
              <w:top w:val="nil"/>
              <w:bottom w:val="nil"/>
            </w:tcBorders>
          </w:tcPr>
          <w:p w14:paraId="76A67B1B" w14:textId="77777777" w:rsidR="00EF4126" w:rsidRPr="004C78D8" w:rsidRDefault="00EF4126" w:rsidP="00FB7C1F">
            <w:pPr>
              <w:jc w:val="left"/>
              <w:rPr>
                <w:sz w:val="20"/>
                <w:szCs w:val="20"/>
              </w:rPr>
            </w:pPr>
            <w:r w:rsidRPr="004C78D8">
              <w:rPr>
                <w:sz w:val="20"/>
                <w:szCs w:val="20"/>
              </w:rPr>
              <w:t>(2) Fall-related primary and secondary healthcare costs</w:t>
            </w:r>
          </w:p>
        </w:tc>
        <w:tc>
          <w:tcPr>
            <w:tcW w:w="1105" w:type="pct"/>
            <w:tcBorders>
              <w:top w:val="nil"/>
              <w:bottom w:val="nil"/>
            </w:tcBorders>
          </w:tcPr>
          <w:p w14:paraId="6BCDA37B" w14:textId="31F294DF" w:rsidR="00EF4126" w:rsidRPr="004C78D8" w:rsidRDefault="00A8367E" w:rsidP="00FB7C1F">
            <w:pPr>
              <w:jc w:val="left"/>
              <w:rPr>
                <w:sz w:val="20"/>
                <w:szCs w:val="20"/>
              </w:rPr>
            </w:pPr>
            <w:r w:rsidRPr="004C78D8">
              <w:rPr>
                <w:sz w:val="20"/>
                <w:szCs w:val="20"/>
              </w:rPr>
              <w:t>£101,303,106</w:t>
            </w:r>
          </w:p>
        </w:tc>
        <w:tc>
          <w:tcPr>
            <w:tcW w:w="1106" w:type="pct"/>
            <w:tcBorders>
              <w:top w:val="nil"/>
              <w:bottom w:val="nil"/>
            </w:tcBorders>
          </w:tcPr>
          <w:p w14:paraId="4B059C72" w14:textId="32644A99" w:rsidR="00EF4126" w:rsidRPr="004C78D8" w:rsidRDefault="00F973F1" w:rsidP="00FB7C1F">
            <w:pPr>
              <w:jc w:val="left"/>
              <w:rPr>
                <w:sz w:val="20"/>
                <w:szCs w:val="20"/>
              </w:rPr>
            </w:pPr>
            <w:r w:rsidRPr="004C78D8">
              <w:rPr>
                <w:sz w:val="20"/>
                <w:szCs w:val="20"/>
              </w:rPr>
              <w:t>£85,069,262</w:t>
            </w:r>
          </w:p>
        </w:tc>
        <w:tc>
          <w:tcPr>
            <w:tcW w:w="996" w:type="pct"/>
            <w:tcBorders>
              <w:top w:val="nil"/>
              <w:bottom w:val="nil"/>
            </w:tcBorders>
          </w:tcPr>
          <w:p w14:paraId="314F9782" w14:textId="3B341796" w:rsidR="00EF4126" w:rsidRPr="004C78D8" w:rsidRDefault="00F973F1" w:rsidP="00FB7C1F">
            <w:pPr>
              <w:jc w:val="left"/>
              <w:rPr>
                <w:sz w:val="20"/>
                <w:szCs w:val="20"/>
              </w:rPr>
            </w:pPr>
            <w:r w:rsidRPr="004C78D8">
              <w:rPr>
                <w:sz w:val="20"/>
                <w:szCs w:val="20"/>
              </w:rPr>
              <w:t>-£16,233,844</w:t>
            </w:r>
          </w:p>
        </w:tc>
      </w:tr>
      <w:tr w:rsidR="00EF4126" w:rsidRPr="004C78D8" w14:paraId="157579E0" w14:textId="77777777" w:rsidTr="00E35893">
        <w:tc>
          <w:tcPr>
            <w:tcW w:w="1793" w:type="pct"/>
            <w:tcBorders>
              <w:top w:val="nil"/>
              <w:bottom w:val="single" w:sz="4" w:space="0" w:color="auto"/>
            </w:tcBorders>
          </w:tcPr>
          <w:p w14:paraId="63B2C160" w14:textId="77777777" w:rsidR="00EF4126" w:rsidRPr="004C78D8" w:rsidRDefault="00EF4126" w:rsidP="00FB7C1F">
            <w:pPr>
              <w:jc w:val="left"/>
              <w:rPr>
                <w:sz w:val="20"/>
                <w:szCs w:val="20"/>
              </w:rPr>
            </w:pPr>
            <w:r w:rsidRPr="004C78D8">
              <w:rPr>
                <w:sz w:val="20"/>
                <w:szCs w:val="20"/>
              </w:rPr>
              <w:t>Public sector intervention costs</w:t>
            </w:r>
          </w:p>
        </w:tc>
        <w:tc>
          <w:tcPr>
            <w:tcW w:w="1105" w:type="pct"/>
            <w:tcBorders>
              <w:top w:val="nil"/>
              <w:bottom w:val="single" w:sz="4" w:space="0" w:color="auto"/>
            </w:tcBorders>
          </w:tcPr>
          <w:p w14:paraId="5BB161BB" w14:textId="152BFD65" w:rsidR="00EF4126" w:rsidRPr="004C78D8" w:rsidRDefault="00A8367E" w:rsidP="00FB7C1F">
            <w:pPr>
              <w:jc w:val="left"/>
              <w:rPr>
                <w:sz w:val="20"/>
                <w:szCs w:val="20"/>
              </w:rPr>
            </w:pPr>
            <w:r w:rsidRPr="004C78D8">
              <w:rPr>
                <w:sz w:val="20"/>
                <w:szCs w:val="20"/>
              </w:rPr>
              <w:t>£6,516,944</w:t>
            </w:r>
          </w:p>
        </w:tc>
        <w:tc>
          <w:tcPr>
            <w:tcW w:w="1106" w:type="pct"/>
            <w:tcBorders>
              <w:top w:val="nil"/>
              <w:bottom w:val="single" w:sz="4" w:space="0" w:color="auto"/>
            </w:tcBorders>
          </w:tcPr>
          <w:p w14:paraId="3EFF2551" w14:textId="77BA2A97" w:rsidR="00EF4126" w:rsidRPr="004C78D8" w:rsidRDefault="00F973F1" w:rsidP="00FB7C1F">
            <w:pPr>
              <w:jc w:val="left"/>
              <w:rPr>
                <w:sz w:val="20"/>
                <w:szCs w:val="20"/>
              </w:rPr>
            </w:pPr>
            <w:r w:rsidRPr="004C78D8">
              <w:rPr>
                <w:sz w:val="20"/>
                <w:szCs w:val="20"/>
              </w:rPr>
              <w:t>£89,739,906</w:t>
            </w:r>
          </w:p>
        </w:tc>
        <w:tc>
          <w:tcPr>
            <w:tcW w:w="996" w:type="pct"/>
            <w:tcBorders>
              <w:top w:val="nil"/>
              <w:bottom w:val="single" w:sz="4" w:space="0" w:color="auto"/>
            </w:tcBorders>
          </w:tcPr>
          <w:p w14:paraId="5D475ADB" w14:textId="70423B98" w:rsidR="00EF4126" w:rsidRPr="004C78D8" w:rsidRDefault="00F973F1" w:rsidP="00FB7C1F">
            <w:pPr>
              <w:jc w:val="left"/>
              <w:rPr>
                <w:sz w:val="20"/>
                <w:szCs w:val="20"/>
              </w:rPr>
            </w:pPr>
            <w:r w:rsidRPr="004C78D8">
              <w:rPr>
                <w:sz w:val="20"/>
                <w:szCs w:val="20"/>
              </w:rPr>
              <w:t>£83,222,962</w:t>
            </w:r>
          </w:p>
        </w:tc>
      </w:tr>
      <w:tr w:rsidR="00EF4126" w:rsidRPr="004C78D8" w14:paraId="44B9A4E2" w14:textId="77777777" w:rsidTr="00E35893">
        <w:tc>
          <w:tcPr>
            <w:tcW w:w="1793" w:type="pct"/>
            <w:tcBorders>
              <w:top w:val="single" w:sz="4" w:space="0" w:color="auto"/>
            </w:tcBorders>
          </w:tcPr>
          <w:p w14:paraId="56D13295" w14:textId="73F00ED8" w:rsidR="00EF4126" w:rsidRPr="004C78D8" w:rsidRDefault="00EF4126" w:rsidP="00FB7C1F">
            <w:pPr>
              <w:jc w:val="left"/>
              <w:rPr>
                <w:b/>
                <w:bCs/>
                <w:sz w:val="20"/>
                <w:szCs w:val="20"/>
              </w:rPr>
            </w:pPr>
            <w:r w:rsidRPr="004C78D8">
              <w:rPr>
                <w:b/>
                <w:bCs/>
                <w:sz w:val="20"/>
                <w:szCs w:val="20"/>
              </w:rPr>
              <w:t>ROI using net cost w</w:t>
            </w:r>
            <w:r w:rsidR="007B3B19" w:rsidRPr="004C78D8">
              <w:rPr>
                <w:b/>
                <w:bCs/>
                <w:sz w:val="20"/>
                <w:szCs w:val="20"/>
              </w:rPr>
              <w:t>ith</w:t>
            </w:r>
            <w:r w:rsidRPr="004C78D8">
              <w:rPr>
                <w:b/>
                <w:bCs/>
                <w:sz w:val="20"/>
                <w:szCs w:val="20"/>
              </w:rPr>
              <w:t xml:space="preserve"> (1)</w:t>
            </w:r>
          </w:p>
        </w:tc>
        <w:tc>
          <w:tcPr>
            <w:tcW w:w="1105" w:type="pct"/>
            <w:tcBorders>
              <w:top w:val="single" w:sz="4" w:space="0" w:color="auto"/>
              <w:bottom w:val="nil"/>
              <w:right w:val="nil"/>
            </w:tcBorders>
          </w:tcPr>
          <w:p w14:paraId="328E5E6A" w14:textId="77777777" w:rsidR="00EF4126" w:rsidRPr="004C78D8" w:rsidRDefault="00EF4126" w:rsidP="00FB7C1F">
            <w:pPr>
              <w:jc w:val="left"/>
              <w:rPr>
                <w:sz w:val="20"/>
                <w:szCs w:val="20"/>
              </w:rPr>
            </w:pPr>
          </w:p>
        </w:tc>
        <w:tc>
          <w:tcPr>
            <w:tcW w:w="1106" w:type="pct"/>
            <w:tcBorders>
              <w:top w:val="single" w:sz="4" w:space="0" w:color="auto"/>
              <w:left w:val="nil"/>
              <w:bottom w:val="nil"/>
            </w:tcBorders>
          </w:tcPr>
          <w:p w14:paraId="1AC8CBA5" w14:textId="77777777" w:rsidR="00EF4126" w:rsidRPr="004C78D8" w:rsidRDefault="00EF4126" w:rsidP="00FB7C1F">
            <w:pPr>
              <w:jc w:val="left"/>
              <w:rPr>
                <w:sz w:val="20"/>
                <w:szCs w:val="20"/>
              </w:rPr>
            </w:pPr>
          </w:p>
        </w:tc>
        <w:tc>
          <w:tcPr>
            <w:tcW w:w="996" w:type="pct"/>
            <w:tcBorders>
              <w:top w:val="single" w:sz="4" w:space="0" w:color="auto"/>
            </w:tcBorders>
          </w:tcPr>
          <w:p w14:paraId="24394931" w14:textId="6F20A09D" w:rsidR="00EF4126" w:rsidRPr="004C78D8" w:rsidRDefault="00EF4126" w:rsidP="00FB7C1F">
            <w:pPr>
              <w:jc w:val="left"/>
              <w:rPr>
                <w:sz w:val="20"/>
                <w:szCs w:val="20"/>
              </w:rPr>
            </w:pPr>
            <w:r w:rsidRPr="004C78D8">
              <w:rPr>
                <w:sz w:val="20"/>
                <w:szCs w:val="20"/>
              </w:rPr>
              <w:t>(£) 1:0.</w:t>
            </w:r>
            <w:r w:rsidR="0037088C" w:rsidRPr="004C78D8">
              <w:rPr>
                <w:sz w:val="20"/>
                <w:szCs w:val="20"/>
              </w:rPr>
              <w:t>2</w:t>
            </w:r>
            <w:r w:rsidR="008D5A11" w:rsidRPr="004C78D8">
              <w:rPr>
                <w:sz w:val="20"/>
                <w:szCs w:val="20"/>
              </w:rPr>
              <w:t>4</w:t>
            </w:r>
          </w:p>
        </w:tc>
      </w:tr>
      <w:tr w:rsidR="00EF4126" w:rsidRPr="004C78D8" w14:paraId="20368A29" w14:textId="77777777" w:rsidTr="00E35893">
        <w:tc>
          <w:tcPr>
            <w:tcW w:w="1793" w:type="pct"/>
            <w:tcBorders>
              <w:top w:val="nil"/>
            </w:tcBorders>
          </w:tcPr>
          <w:p w14:paraId="20F741E7" w14:textId="77777777" w:rsidR="00EF4126" w:rsidRPr="004C78D8" w:rsidRDefault="00EF4126" w:rsidP="00FB7C1F">
            <w:pPr>
              <w:jc w:val="left"/>
              <w:rPr>
                <w:b/>
                <w:bCs/>
                <w:sz w:val="20"/>
                <w:szCs w:val="20"/>
              </w:rPr>
            </w:pPr>
            <w:r w:rsidRPr="004C78D8">
              <w:rPr>
                <w:b/>
                <w:bCs/>
                <w:sz w:val="20"/>
                <w:szCs w:val="20"/>
              </w:rPr>
              <w:t>ROI using net cost with (2)</w:t>
            </w:r>
          </w:p>
        </w:tc>
        <w:tc>
          <w:tcPr>
            <w:tcW w:w="1105" w:type="pct"/>
            <w:tcBorders>
              <w:top w:val="nil"/>
              <w:right w:val="nil"/>
            </w:tcBorders>
          </w:tcPr>
          <w:p w14:paraId="48A7FF8D" w14:textId="77777777" w:rsidR="00EF4126" w:rsidRPr="004C78D8" w:rsidRDefault="00EF4126" w:rsidP="00FB7C1F">
            <w:pPr>
              <w:jc w:val="left"/>
              <w:rPr>
                <w:sz w:val="20"/>
                <w:szCs w:val="20"/>
              </w:rPr>
            </w:pPr>
          </w:p>
        </w:tc>
        <w:tc>
          <w:tcPr>
            <w:tcW w:w="1106" w:type="pct"/>
            <w:tcBorders>
              <w:top w:val="nil"/>
              <w:left w:val="nil"/>
            </w:tcBorders>
          </w:tcPr>
          <w:p w14:paraId="7003ACBF" w14:textId="77777777" w:rsidR="00EF4126" w:rsidRPr="004C78D8" w:rsidRDefault="00EF4126" w:rsidP="00FB7C1F">
            <w:pPr>
              <w:jc w:val="left"/>
              <w:rPr>
                <w:sz w:val="20"/>
                <w:szCs w:val="20"/>
              </w:rPr>
            </w:pPr>
          </w:p>
        </w:tc>
        <w:tc>
          <w:tcPr>
            <w:tcW w:w="996" w:type="pct"/>
            <w:tcBorders>
              <w:top w:val="nil"/>
            </w:tcBorders>
          </w:tcPr>
          <w:p w14:paraId="58070423" w14:textId="2F2B8850" w:rsidR="00EF4126" w:rsidRPr="004C78D8" w:rsidRDefault="00EF4126" w:rsidP="00FB7C1F">
            <w:pPr>
              <w:jc w:val="left"/>
              <w:rPr>
                <w:sz w:val="20"/>
                <w:szCs w:val="20"/>
              </w:rPr>
            </w:pPr>
            <w:r w:rsidRPr="004C78D8">
              <w:rPr>
                <w:sz w:val="20"/>
                <w:szCs w:val="20"/>
              </w:rPr>
              <w:t>(£) 1:0.</w:t>
            </w:r>
            <w:r w:rsidR="00F973F1" w:rsidRPr="004C78D8">
              <w:rPr>
                <w:sz w:val="20"/>
                <w:szCs w:val="20"/>
              </w:rPr>
              <w:t>20</w:t>
            </w:r>
          </w:p>
        </w:tc>
      </w:tr>
      <w:tr w:rsidR="00EF4126" w:rsidRPr="004C78D8" w14:paraId="2C8CE3E3" w14:textId="77777777" w:rsidTr="00E35893">
        <w:tc>
          <w:tcPr>
            <w:tcW w:w="5000" w:type="pct"/>
            <w:gridSpan w:val="4"/>
          </w:tcPr>
          <w:p w14:paraId="675EF965" w14:textId="533A0846" w:rsidR="00EF4126" w:rsidRPr="004C78D8" w:rsidRDefault="00D10D5E" w:rsidP="00FB7C1F">
            <w:pPr>
              <w:jc w:val="left"/>
              <w:rPr>
                <w:sz w:val="18"/>
                <w:szCs w:val="18"/>
              </w:rPr>
            </w:pPr>
            <w:r w:rsidRPr="004C78D8">
              <w:rPr>
                <w:b/>
                <w:bCs/>
                <w:sz w:val="18"/>
                <w:szCs w:val="18"/>
              </w:rPr>
              <w:t>Abbreviation</w:t>
            </w:r>
            <w:r w:rsidR="00EF4126" w:rsidRPr="004C78D8">
              <w:rPr>
                <w:b/>
                <w:bCs/>
                <w:sz w:val="18"/>
                <w:szCs w:val="18"/>
              </w:rPr>
              <w:t>:</w:t>
            </w:r>
            <w:r w:rsidR="00EF4126" w:rsidRPr="004C78D8">
              <w:rPr>
                <w:sz w:val="18"/>
                <w:szCs w:val="18"/>
              </w:rPr>
              <w:t xml:space="preserve"> ROI: return on investment</w:t>
            </w:r>
          </w:p>
          <w:p w14:paraId="745C5A2A" w14:textId="2F4EB89D" w:rsidR="00E40FC7" w:rsidRPr="004C78D8" w:rsidRDefault="00E40FC7" w:rsidP="00FB7C1F">
            <w:pPr>
              <w:jc w:val="left"/>
              <w:rPr>
                <w:sz w:val="18"/>
                <w:szCs w:val="18"/>
              </w:rPr>
            </w:pPr>
            <w:r w:rsidRPr="004C78D8">
              <w:rPr>
                <w:sz w:val="18"/>
                <w:szCs w:val="18"/>
                <w:vertAlign w:val="superscript"/>
              </w:rPr>
              <w:t>1</w:t>
            </w:r>
            <w:r w:rsidRPr="004C78D8">
              <w:rPr>
                <w:sz w:val="18"/>
                <w:szCs w:val="18"/>
              </w:rPr>
              <w:t xml:space="preserve"> All outcomes were averaged across 20 model trial runs with different random number seeds.</w:t>
            </w:r>
          </w:p>
          <w:p w14:paraId="419281DD" w14:textId="65D3577F" w:rsidR="00EF4126" w:rsidRPr="004C78D8" w:rsidRDefault="00E40FC7" w:rsidP="00FB7C1F">
            <w:pPr>
              <w:rPr>
                <w:sz w:val="18"/>
                <w:szCs w:val="18"/>
              </w:rPr>
            </w:pPr>
            <w:r w:rsidRPr="004C78D8">
              <w:rPr>
                <w:sz w:val="18"/>
                <w:szCs w:val="18"/>
                <w:vertAlign w:val="superscript"/>
              </w:rPr>
              <w:t>2</w:t>
            </w:r>
            <w:r w:rsidR="00EF4126" w:rsidRPr="004C78D8">
              <w:rPr>
                <w:sz w:val="18"/>
                <w:szCs w:val="18"/>
              </w:rPr>
              <w:t xml:space="preserve"> Includes costs of fall-related primary and secondary healthcare, comorbidity primary and secondary healthcare, cost of dying, community healthcare, short-term social care, all-cause long-term care</w:t>
            </w:r>
          </w:p>
        </w:tc>
      </w:tr>
    </w:tbl>
    <w:p w14:paraId="340F44D2" w14:textId="77777777" w:rsidR="00EF4126" w:rsidRPr="004C78D8" w:rsidRDefault="00EF4126" w:rsidP="00FB7C1F"/>
    <w:p w14:paraId="39440BFB" w14:textId="0C00D4E5" w:rsidR="00C53CE3" w:rsidRPr="004C78D8" w:rsidRDefault="00B016F4" w:rsidP="00FB7C1F">
      <w:r w:rsidRPr="004C78D8">
        <w:t>The public sector intervention cost was higher by £8</w:t>
      </w:r>
      <w:r w:rsidR="00D71B62" w:rsidRPr="004C78D8">
        <w:t>3</w:t>
      </w:r>
      <w:r w:rsidRPr="004C78D8">
        <w:t>.</w:t>
      </w:r>
      <w:r w:rsidR="00F973F1" w:rsidRPr="004C78D8">
        <w:t>2</w:t>
      </w:r>
      <w:r w:rsidRPr="004C78D8">
        <w:t xml:space="preserve"> million under RC relative to UC. This investment generated all-cause care cost saving of £</w:t>
      </w:r>
      <w:r w:rsidR="00F253CA" w:rsidRPr="004C78D8">
        <w:t>1</w:t>
      </w:r>
      <w:r w:rsidR="00F973F1" w:rsidRPr="004C78D8">
        <w:t>9</w:t>
      </w:r>
      <w:r w:rsidRPr="004C78D8">
        <w:t>.</w:t>
      </w:r>
      <w:r w:rsidR="00F973F1" w:rsidRPr="004C78D8">
        <w:t>7</w:t>
      </w:r>
      <w:r w:rsidRPr="004C78D8">
        <w:t xml:space="preserve"> million and fall-related healthcare cost saving of £1</w:t>
      </w:r>
      <w:r w:rsidR="00F973F1" w:rsidRPr="004C78D8">
        <w:t>6</w:t>
      </w:r>
      <w:r w:rsidRPr="004C78D8">
        <w:t>.</w:t>
      </w:r>
      <w:r w:rsidR="00F973F1" w:rsidRPr="004C78D8">
        <w:t>2</w:t>
      </w:r>
      <w:r w:rsidRPr="004C78D8">
        <w:t xml:space="preserve"> million. The</w:t>
      </w:r>
      <w:r w:rsidR="00EF4126" w:rsidRPr="004C78D8">
        <w:t xml:space="preserve"> ROI </w:t>
      </w:r>
      <w:r w:rsidRPr="004C78D8">
        <w:t xml:space="preserve">was hence </w:t>
      </w:r>
      <w:r w:rsidR="00B91AA1" w:rsidRPr="004C78D8">
        <w:t xml:space="preserve">around </w:t>
      </w:r>
      <w:r w:rsidR="00EF4126" w:rsidRPr="004C78D8">
        <w:t>1:0.</w:t>
      </w:r>
      <w:r w:rsidR="0037088C" w:rsidRPr="004C78D8">
        <w:t>2</w:t>
      </w:r>
      <w:r w:rsidR="00F973F1" w:rsidRPr="004C78D8">
        <w:t>4</w:t>
      </w:r>
      <w:r w:rsidRPr="004C78D8">
        <w:t xml:space="preserve"> </w:t>
      </w:r>
      <w:r w:rsidR="00B91AA1" w:rsidRPr="004C78D8">
        <w:t xml:space="preserve">when savings in terms of </w:t>
      </w:r>
      <w:r w:rsidRPr="004C78D8">
        <w:t xml:space="preserve">all-cause care </w:t>
      </w:r>
      <w:r w:rsidR="00B91AA1" w:rsidRPr="004C78D8">
        <w:t xml:space="preserve">costs </w:t>
      </w:r>
      <w:r w:rsidR="0037088C" w:rsidRPr="004C78D8">
        <w:t>were considered and 1:0.</w:t>
      </w:r>
      <w:r w:rsidR="00F973F1" w:rsidRPr="004C78D8">
        <w:t>20</w:t>
      </w:r>
      <w:r w:rsidR="0037088C" w:rsidRPr="004C78D8">
        <w:t xml:space="preserve"> when </w:t>
      </w:r>
      <w:r w:rsidRPr="004C78D8">
        <w:t xml:space="preserve">only fall-related healthcare </w:t>
      </w:r>
      <w:r w:rsidR="00B91AA1" w:rsidRPr="004C78D8">
        <w:t>costs</w:t>
      </w:r>
      <w:r w:rsidR="0037088C" w:rsidRPr="004C78D8">
        <w:t xml:space="preserve"> were</w:t>
      </w:r>
      <w:r w:rsidR="00F973F1" w:rsidRPr="004C78D8">
        <w:t xml:space="preserve">; in other words, for every £1 spent on RC from initial UC, 24p and 20p would be returned depending on the costs considered. </w:t>
      </w:r>
      <w:r w:rsidR="00EF4126" w:rsidRPr="004C78D8">
        <w:t xml:space="preserve">Therefore, </w:t>
      </w:r>
      <w:r w:rsidR="00EE1929" w:rsidRPr="004C78D8">
        <w:t>RC</w:t>
      </w:r>
      <w:r w:rsidR="00EF4126" w:rsidRPr="004C78D8">
        <w:t xml:space="preserve"> does not produce a </w:t>
      </w:r>
      <w:r w:rsidR="00254837" w:rsidRPr="004C78D8">
        <w:t>break-even</w:t>
      </w:r>
      <w:r w:rsidR="00EF4126" w:rsidRPr="004C78D8">
        <w:t xml:space="preserve"> </w:t>
      </w:r>
      <w:r w:rsidR="00EE1929" w:rsidRPr="004C78D8">
        <w:t xml:space="preserve">public sector </w:t>
      </w:r>
      <w:r w:rsidR="00EF4126" w:rsidRPr="004C78D8">
        <w:t xml:space="preserve">financial return relative to UC over </w:t>
      </w:r>
      <w:r w:rsidR="00CC0383" w:rsidRPr="004C78D8">
        <w:t>five years</w:t>
      </w:r>
      <w:r w:rsidR="00EF4126" w:rsidRPr="004C78D8">
        <w:t xml:space="preserve">. </w:t>
      </w:r>
    </w:p>
    <w:p w14:paraId="5A92AC72" w14:textId="64351BDC" w:rsidR="00460A5E" w:rsidRPr="004C78D8" w:rsidRDefault="001E3474" w:rsidP="00FB7C1F">
      <w:pPr>
        <w:pStyle w:val="Heading3"/>
      </w:pPr>
      <w:bookmarkStart w:id="177" w:name="_Toc111630792"/>
      <w:r w:rsidRPr="004C78D8">
        <w:t>6</w:t>
      </w:r>
      <w:r w:rsidR="00460A5E" w:rsidRPr="004C78D8">
        <w:t>.2.2 Probabilistic sensitivity analysis</w:t>
      </w:r>
      <w:bookmarkEnd w:id="177"/>
    </w:p>
    <w:p w14:paraId="1F082724" w14:textId="35B6552C" w:rsidR="00740CA8" w:rsidRPr="004C78D8" w:rsidRDefault="004E739D" w:rsidP="00FB7C1F">
      <w:r w:rsidRPr="004C78D8">
        <w:t xml:space="preserve">This section conducts PSA to assess the joint impact of uncertainty around all major model parameters, specifically the impact on 40-year societal CUA. To isolate the impact of second-order parameter uncertainty, PSA was conducted on the ‘base’ trial </w:t>
      </w:r>
      <w:r w:rsidR="00EE1929" w:rsidRPr="004C78D8">
        <w:t xml:space="preserve">run </w:t>
      </w:r>
      <w:r w:rsidRPr="004C78D8">
        <w:t>(i.e., random number seed) that produced societal 40-year CUA outcomes closest to the average of the 20 trials.</w:t>
      </w:r>
      <w:r w:rsidR="00987BCF" w:rsidRPr="004C78D8">
        <w:t xml:space="preserve"> The </w:t>
      </w:r>
      <w:r w:rsidR="004B78F8" w:rsidRPr="004C78D8">
        <w:t>average societal ICER (considering all-cause costs) stabilised after around 600 PSA runs (see Figure F1 in Appendix F), thus justifying the conduct of 1,000 PSA runs</w:t>
      </w:r>
      <w:r w:rsidR="00E62A4E" w:rsidRPr="004C78D8">
        <w:t xml:space="preserve"> in total</w:t>
      </w:r>
      <w:r w:rsidR="004B78F8" w:rsidRPr="004C78D8">
        <w:t>.</w:t>
      </w:r>
      <w:r w:rsidR="00740CA8" w:rsidRPr="004C78D8">
        <w:t xml:space="preserve"> </w:t>
      </w:r>
    </w:p>
    <w:p w14:paraId="74EC909B" w14:textId="485D591C" w:rsidR="004E739D" w:rsidRPr="004C78D8" w:rsidRDefault="00740CA8" w:rsidP="00FB7C1F">
      <w:r w:rsidRPr="004C78D8">
        <w:t xml:space="preserve">Table </w:t>
      </w:r>
      <w:r w:rsidR="0057571B" w:rsidRPr="004C78D8">
        <w:t>6</w:t>
      </w:r>
      <w:r w:rsidRPr="004C78D8">
        <w:t>.4 shows the PSA results.</w:t>
      </w:r>
      <w:r w:rsidR="00D106BA" w:rsidRPr="004C78D8">
        <w:t xml:space="preserve"> Relative to the deterministic outcomes in Table </w:t>
      </w:r>
      <w:r w:rsidR="0057571B" w:rsidRPr="004C78D8">
        <w:t>6</w:t>
      </w:r>
      <w:r w:rsidR="00D106BA" w:rsidRPr="004C78D8">
        <w:t xml:space="preserve">.1, there was a decrease in the net societal gain </w:t>
      </w:r>
      <w:r w:rsidR="000B3631" w:rsidRPr="004C78D8">
        <w:t xml:space="preserve">equivalent to around 500 QALYs </w:t>
      </w:r>
      <w:r w:rsidR="00D106BA" w:rsidRPr="004C78D8">
        <w:t xml:space="preserve">and a net loss in productivity. The jack-knife mean, used to account for bias in </w:t>
      </w:r>
      <w:r w:rsidR="000B3631" w:rsidRPr="004C78D8">
        <w:t xml:space="preserve">averaging ratios </w:t>
      </w:r>
      <w:r w:rsidR="000B3631" w:rsidRPr="004C78D8">
        <w:fldChar w:fldCharType="begin"/>
      </w:r>
      <w:r w:rsidR="00C630FC" w:rsidRPr="004C78D8">
        <w:instrText xml:space="preserve"> ADDIN EN.CITE &lt;EndNote&gt;&lt;Cite&gt;&lt;Author&gt;Law&lt;/Author&gt;&lt;Year&gt;2015&lt;/Year&gt;&lt;RecNum&gt;793&lt;/RecNum&gt;&lt;DisplayText&gt;[418]&lt;/DisplayText&gt;&lt;record&gt;&lt;rec-number&gt;793&lt;/rec-number&gt;&lt;foreign-keys&gt;&lt;key app="EN" db-id="tdtrdw9aepptzbefsat599syza29sxsd2wsp" timestamp="1643647782"&gt;793&lt;/key&gt;&lt;/foreign-keys&gt;&lt;ref-type name="Book"&gt;6&lt;/ref-type&gt;&lt;contributors&gt;&lt;authors&gt;&lt;author&gt;Law, Averill M&lt;/author&gt;&lt;/authors&gt;&lt;/contributors&gt;&lt;titles&gt;&lt;title&gt;Simulation Modelling and Analysis&lt;/title&gt;&lt;/titles&gt;&lt;edition&gt;5th Edition&lt;/edition&gt;&lt;dates&gt;&lt;year&gt;2015&lt;/year&gt;&lt;/dates&gt;&lt;publisher&gt;McGraw-Hill Education&lt;/publisher&gt;&lt;isbn&gt;978-0-07-340132-4&lt;/isbn&gt;&lt;urls&gt;&lt;/urls&gt;&lt;/record&gt;&lt;/Cite&gt;&lt;/EndNote&gt;</w:instrText>
      </w:r>
      <w:r w:rsidR="000B3631" w:rsidRPr="004C78D8">
        <w:fldChar w:fldCharType="separate"/>
      </w:r>
      <w:r w:rsidR="00C630FC" w:rsidRPr="004C78D8">
        <w:rPr>
          <w:noProof/>
        </w:rPr>
        <w:t>[418]</w:t>
      </w:r>
      <w:r w:rsidR="000B3631" w:rsidRPr="004C78D8">
        <w:fldChar w:fldCharType="end"/>
      </w:r>
      <w:r w:rsidR="000B3631" w:rsidRPr="004C78D8">
        <w:t xml:space="preserve">, of societal ICER considering all-cause costs was £14,067 (95% </w:t>
      </w:r>
      <w:r w:rsidR="00F91CFC" w:rsidRPr="004C78D8">
        <w:t>uncertainty</w:t>
      </w:r>
      <w:r w:rsidR="000B3631" w:rsidRPr="004C78D8">
        <w:t xml:space="preserve"> interval: £12,011 to £15,923) per QALY gain</w:t>
      </w:r>
      <w:r w:rsidR="000A0C62" w:rsidRPr="004C78D8">
        <w:t>ed</w:t>
      </w:r>
      <w:r w:rsidR="000B3631" w:rsidRPr="004C78D8">
        <w:t>.</w:t>
      </w:r>
    </w:p>
    <w:tbl>
      <w:tblPr>
        <w:tblStyle w:val="TableGrid"/>
        <w:tblW w:w="5000" w:type="pct"/>
        <w:tblLook w:val="04A0" w:firstRow="1" w:lastRow="0" w:firstColumn="1" w:lastColumn="0" w:noHBand="0" w:noVBand="1"/>
      </w:tblPr>
      <w:tblGrid>
        <w:gridCol w:w="2676"/>
        <w:gridCol w:w="1859"/>
        <w:gridCol w:w="1993"/>
        <w:gridCol w:w="2488"/>
      </w:tblGrid>
      <w:tr w:rsidR="00740CA8" w:rsidRPr="004C78D8" w14:paraId="6DD17E24" w14:textId="77777777" w:rsidTr="00E35893">
        <w:tc>
          <w:tcPr>
            <w:tcW w:w="5000" w:type="pct"/>
            <w:gridSpan w:val="4"/>
          </w:tcPr>
          <w:p w14:paraId="578393FF" w14:textId="40306C2D" w:rsidR="00740CA8" w:rsidRPr="004C78D8" w:rsidRDefault="00740CA8" w:rsidP="00FB7C1F">
            <w:pPr>
              <w:jc w:val="left"/>
            </w:pPr>
            <w:r w:rsidRPr="004C78D8">
              <w:rPr>
                <w:b/>
                <w:bCs/>
              </w:rPr>
              <w:t xml:space="preserve">Table </w:t>
            </w:r>
            <w:r w:rsidR="0057571B" w:rsidRPr="004C78D8">
              <w:rPr>
                <w:b/>
                <w:bCs/>
              </w:rPr>
              <w:t>6</w:t>
            </w:r>
            <w:r w:rsidRPr="004C78D8">
              <w:rPr>
                <w:b/>
                <w:bCs/>
              </w:rPr>
              <w:t>.4</w:t>
            </w:r>
            <w:r w:rsidRPr="004C78D8">
              <w:t xml:space="preserve"> Probabilistic outcomes of base case 40-year societal cost-utility analysis.</w:t>
            </w:r>
          </w:p>
        </w:tc>
      </w:tr>
      <w:tr w:rsidR="00740CA8" w:rsidRPr="004C78D8" w14:paraId="39CABBE7" w14:textId="77777777" w:rsidTr="00E35893">
        <w:tc>
          <w:tcPr>
            <w:tcW w:w="1484" w:type="pct"/>
            <w:tcBorders>
              <w:bottom w:val="single" w:sz="4" w:space="0" w:color="auto"/>
            </w:tcBorders>
          </w:tcPr>
          <w:p w14:paraId="18E1297C" w14:textId="77777777" w:rsidR="00740CA8" w:rsidRPr="004C78D8" w:rsidRDefault="00740CA8" w:rsidP="00FB7C1F">
            <w:pPr>
              <w:jc w:val="left"/>
              <w:rPr>
                <w:sz w:val="20"/>
                <w:szCs w:val="20"/>
              </w:rPr>
            </w:pPr>
            <w:r w:rsidRPr="004C78D8">
              <w:rPr>
                <w:sz w:val="20"/>
                <w:szCs w:val="20"/>
              </w:rPr>
              <w:t>N=385,192</w:t>
            </w:r>
          </w:p>
        </w:tc>
        <w:tc>
          <w:tcPr>
            <w:tcW w:w="1031" w:type="pct"/>
            <w:tcBorders>
              <w:bottom w:val="single" w:sz="4" w:space="0" w:color="auto"/>
            </w:tcBorders>
          </w:tcPr>
          <w:p w14:paraId="11013E03" w14:textId="77777777" w:rsidR="00740CA8" w:rsidRPr="004C78D8" w:rsidRDefault="00740CA8" w:rsidP="00FB7C1F">
            <w:pPr>
              <w:jc w:val="left"/>
              <w:rPr>
                <w:b/>
                <w:bCs/>
                <w:sz w:val="20"/>
                <w:szCs w:val="20"/>
              </w:rPr>
            </w:pPr>
            <w:r w:rsidRPr="004C78D8">
              <w:rPr>
                <w:b/>
                <w:bCs/>
                <w:sz w:val="20"/>
                <w:szCs w:val="20"/>
              </w:rPr>
              <w:t>Usual care</w:t>
            </w:r>
          </w:p>
        </w:tc>
        <w:tc>
          <w:tcPr>
            <w:tcW w:w="1105" w:type="pct"/>
            <w:tcBorders>
              <w:bottom w:val="single" w:sz="4" w:space="0" w:color="auto"/>
            </w:tcBorders>
          </w:tcPr>
          <w:p w14:paraId="77B4A2E6" w14:textId="77777777" w:rsidR="00740CA8" w:rsidRPr="004C78D8" w:rsidRDefault="00740CA8" w:rsidP="00FB7C1F">
            <w:pPr>
              <w:jc w:val="left"/>
              <w:rPr>
                <w:b/>
                <w:bCs/>
                <w:sz w:val="20"/>
                <w:szCs w:val="20"/>
              </w:rPr>
            </w:pPr>
            <w:r w:rsidRPr="004C78D8">
              <w:rPr>
                <w:b/>
                <w:bCs/>
                <w:sz w:val="20"/>
                <w:szCs w:val="20"/>
              </w:rPr>
              <w:t>Recommended care</w:t>
            </w:r>
          </w:p>
        </w:tc>
        <w:tc>
          <w:tcPr>
            <w:tcW w:w="1380" w:type="pct"/>
            <w:tcBorders>
              <w:bottom w:val="single" w:sz="4" w:space="0" w:color="auto"/>
            </w:tcBorders>
          </w:tcPr>
          <w:p w14:paraId="67DA3907" w14:textId="77777777" w:rsidR="00740CA8" w:rsidRPr="004C78D8" w:rsidRDefault="00740CA8" w:rsidP="00FB7C1F">
            <w:pPr>
              <w:jc w:val="left"/>
              <w:rPr>
                <w:b/>
                <w:bCs/>
                <w:sz w:val="20"/>
                <w:szCs w:val="20"/>
              </w:rPr>
            </w:pPr>
            <w:r w:rsidRPr="004C78D8">
              <w:rPr>
                <w:b/>
                <w:bCs/>
                <w:sz w:val="20"/>
                <w:szCs w:val="20"/>
              </w:rPr>
              <w:t>Incremental</w:t>
            </w:r>
          </w:p>
        </w:tc>
      </w:tr>
      <w:tr w:rsidR="00740CA8" w:rsidRPr="004C78D8" w14:paraId="64033420" w14:textId="77777777" w:rsidTr="00E35893">
        <w:tc>
          <w:tcPr>
            <w:tcW w:w="1484" w:type="pct"/>
            <w:tcBorders>
              <w:bottom w:val="nil"/>
            </w:tcBorders>
          </w:tcPr>
          <w:p w14:paraId="31975826" w14:textId="77777777" w:rsidR="00740CA8" w:rsidRPr="004C78D8" w:rsidRDefault="00740CA8" w:rsidP="00FB7C1F">
            <w:pPr>
              <w:jc w:val="left"/>
              <w:rPr>
                <w:sz w:val="18"/>
                <w:szCs w:val="18"/>
              </w:rPr>
            </w:pPr>
            <w:r w:rsidRPr="004C78D8">
              <w:rPr>
                <w:sz w:val="18"/>
                <w:szCs w:val="18"/>
              </w:rPr>
              <w:t>Public sector costs</w:t>
            </w:r>
            <w:r w:rsidRPr="004C78D8">
              <w:rPr>
                <w:sz w:val="18"/>
                <w:szCs w:val="18"/>
                <w:vertAlign w:val="superscript"/>
              </w:rPr>
              <w:t>1</w:t>
            </w:r>
          </w:p>
        </w:tc>
        <w:tc>
          <w:tcPr>
            <w:tcW w:w="1031" w:type="pct"/>
            <w:tcBorders>
              <w:bottom w:val="nil"/>
            </w:tcBorders>
          </w:tcPr>
          <w:p w14:paraId="161D6B5F" w14:textId="0DE93B3F" w:rsidR="00740CA8" w:rsidRPr="004C78D8" w:rsidRDefault="000201D7" w:rsidP="00FB7C1F">
            <w:pPr>
              <w:jc w:val="left"/>
              <w:rPr>
                <w:sz w:val="18"/>
                <w:szCs w:val="18"/>
              </w:rPr>
            </w:pPr>
            <w:r w:rsidRPr="004C78D8">
              <w:rPr>
                <w:sz w:val="18"/>
                <w:szCs w:val="18"/>
              </w:rPr>
              <w:t>Mean (SE)</w:t>
            </w:r>
          </w:p>
        </w:tc>
        <w:tc>
          <w:tcPr>
            <w:tcW w:w="1105" w:type="pct"/>
            <w:tcBorders>
              <w:bottom w:val="nil"/>
            </w:tcBorders>
          </w:tcPr>
          <w:p w14:paraId="01ACCC85" w14:textId="15D8812D" w:rsidR="00740CA8" w:rsidRPr="004C78D8" w:rsidRDefault="000201D7" w:rsidP="00FB7C1F">
            <w:pPr>
              <w:jc w:val="left"/>
              <w:rPr>
                <w:sz w:val="18"/>
                <w:szCs w:val="18"/>
              </w:rPr>
            </w:pPr>
            <w:r w:rsidRPr="004C78D8">
              <w:rPr>
                <w:sz w:val="18"/>
                <w:szCs w:val="18"/>
              </w:rPr>
              <w:t>Mean (SE)</w:t>
            </w:r>
          </w:p>
        </w:tc>
        <w:tc>
          <w:tcPr>
            <w:tcW w:w="1380" w:type="pct"/>
            <w:tcBorders>
              <w:bottom w:val="nil"/>
            </w:tcBorders>
          </w:tcPr>
          <w:p w14:paraId="5D2EB5D9" w14:textId="2DE05E56" w:rsidR="00740CA8" w:rsidRPr="004C78D8" w:rsidRDefault="000201D7" w:rsidP="00FB7C1F">
            <w:pPr>
              <w:jc w:val="left"/>
              <w:rPr>
                <w:sz w:val="18"/>
                <w:szCs w:val="18"/>
              </w:rPr>
            </w:pPr>
            <w:r w:rsidRPr="004C78D8">
              <w:rPr>
                <w:sz w:val="18"/>
                <w:szCs w:val="18"/>
              </w:rPr>
              <w:t>Mean (SE)</w:t>
            </w:r>
          </w:p>
        </w:tc>
      </w:tr>
      <w:tr w:rsidR="00740CA8" w:rsidRPr="004C78D8" w14:paraId="1A5A36FB" w14:textId="77777777" w:rsidTr="00E35893">
        <w:tc>
          <w:tcPr>
            <w:tcW w:w="1484" w:type="pct"/>
            <w:tcBorders>
              <w:top w:val="nil"/>
              <w:bottom w:val="nil"/>
            </w:tcBorders>
          </w:tcPr>
          <w:p w14:paraId="69F3AEDA" w14:textId="77777777" w:rsidR="00740CA8" w:rsidRPr="004C78D8" w:rsidRDefault="00740CA8" w:rsidP="00FB7C1F">
            <w:pPr>
              <w:jc w:val="right"/>
              <w:rPr>
                <w:i/>
                <w:iCs/>
                <w:sz w:val="18"/>
                <w:szCs w:val="18"/>
              </w:rPr>
            </w:pPr>
            <w:r w:rsidRPr="004C78D8">
              <w:rPr>
                <w:i/>
                <w:iCs/>
                <w:sz w:val="18"/>
                <w:szCs w:val="18"/>
              </w:rPr>
              <w:t>(1) All-cause public sector costs</w:t>
            </w:r>
            <w:r w:rsidRPr="004C78D8">
              <w:rPr>
                <w:i/>
                <w:iCs/>
                <w:sz w:val="18"/>
                <w:szCs w:val="18"/>
                <w:vertAlign w:val="superscript"/>
              </w:rPr>
              <w:t>2</w:t>
            </w:r>
          </w:p>
        </w:tc>
        <w:tc>
          <w:tcPr>
            <w:tcW w:w="1031" w:type="pct"/>
            <w:tcBorders>
              <w:top w:val="nil"/>
              <w:bottom w:val="nil"/>
            </w:tcBorders>
          </w:tcPr>
          <w:p w14:paraId="4487CB5E" w14:textId="1C49BF19" w:rsidR="00740CA8" w:rsidRPr="004C78D8" w:rsidRDefault="00306D23" w:rsidP="00FB7C1F">
            <w:pPr>
              <w:jc w:val="left"/>
              <w:rPr>
                <w:sz w:val="18"/>
                <w:szCs w:val="18"/>
              </w:rPr>
            </w:pPr>
            <w:r w:rsidRPr="004C78D8">
              <w:rPr>
                <w:sz w:val="18"/>
                <w:szCs w:val="18"/>
              </w:rPr>
              <w:t>£10,060,099,947 (£99,415,713)</w:t>
            </w:r>
          </w:p>
        </w:tc>
        <w:tc>
          <w:tcPr>
            <w:tcW w:w="1105" w:type="pct"/>
            <w:tcBorders>
              <w:top w:val="nil"/>
              <w:bottom w:val="nil"/>
            </w:tcBorders>
          </w:tcPr>
          <w:p w14:paraId="665CE773" w14:textId="77777777" w:rsidR="00740CA8" w:rsidRPr="004C78D8" w:rsidRDefault="00306D23" w:rsidP="00FB7C1F">
            <w:pPr>
              <w:jc w:val="left"/>
              <w:rPr>
                <w:sz w:val="18"/>
                <w:szCs w:val="18"/>
              </w:rPr>
            </w:pPr>
            <w:r w:rsidRPr="004C78D8">
              <w:rPr>
                <w:sz w:val="18"/>
                <w:szCs w:val="18"/>
              </w:rPr>
              <w:t>£9,936,609,337</w:t>
            </w:r>
          </w:p>
          <w:p w14:paraId="2891BDC0" w14:textId="42926095" w:rsidR="00306D23" w:rsidRPr="004C78D8" w:rsidRDefault="00306D23" w:rsidP="00FB7C1F">
            <w:pPr>
              <w:jc w:val="left"/>
              <w:rPr>
                <w:sz w:val="18"/>
                <w:szCs w:val="18"/>
              </w:rPr>
            </w:pPr>
            <w:r w:rsidRPr="004C78D8">
              <w:rPr>
                <w:sz w:val="18"/>
                <w:szCs w:val="18"/>
              </w:rPr>
              <w:t>(£98,628,205)</w:t>
            </w:r>
          </w:p>
        </w:tc>
        <w:tc>
          <w:tcPr>
            <w:tcW w:w="1380" w:type="pct"/>
            <w:tcBorders>
              <w:top w:val="nil"/>
              <w:bottom w:val="nil"/>
            </w:tcBorders>
          </w:tcPr>
          <w:p w14:paraId="059395CA" w14:textId="77777777" w:rsidR="00740CA8" w:rsidRPr="004C78D8" w:rsidRDefault="003D75B8" w:rsidP="00FB7C1F">
            <w:pPr>
              <w:jc w:val="left"/>
              <w:rPr>
                <w:sz w:val="18"/>
                <w:szCs w:val="18"/>
              </w:rPr>
            </w:pPr>
            <w:r w:rsidRPr="004C78D8">
              <w:rPr>
                <w:sz w:val="18"/>
                <w:szCs w:val="18"/>
              </w:rPr>
              <w:t>-£123,490,610</w:t>
            </w:r>
          </w:p>
          <w:p w14:paraId="7A29381A" w14:textId="5A1C03B9" w:rsidR="003D75B8" w:rsidRPr="004C78D8" w:rsidRDefault="003D75B8" w:rsidP="00FB7C1F">
            <w:pPr>
              <w:jc w:val="left"/>
              <w:rPr>
                <w:sz w:val="18"/>
                <w:szCs w:val="18"/>
              </w:rPr>
            </w:pPr>
            <w:r w:rsidRPr="004C78D8">
              <w:rPr>
                <w:sz w:val="18"/>
                <w:szCs w:val="18"/>
              </w:rPr>
              <w:t>(£5,909,603)</w:t>
            </w:r>
          </w:p>
        </w:tc>
      </w:tr>
      <w:tr w:rsidR="00740CA8" w:rsidRPr="004C78D8" w14:paraId="76B55BBF" w14:textId="77777777" w:rsidTr="00E35893">
        <w:tc>
          <w:tcPr>
            <w:tcW w:w="1484" w:type="pct"/>
            <w:tcBorders>
              <w:top w:val="nil"/>
              <w:bottom w:val="nil"/>
            </w:tcBorders>
          </w:tcPr>
          <w:p w14:paraId="11FC06A4" w14:textId="77777777" w:rsidR="00740CA8" w:rsidRPr="004C78D8" w:rsidRDefault="00740CA8" w:rsidP="00FB7C1F">
            <w:pPr>
              <w:jc w:val="right"/>
              <w:rPr>
                <w:i/>
                <w:iCs/>
                <w:sz w:val="18"/>
                <w:szCs w:val="18"/>
              </w:rPr>
            </w:pPr>
            <w:r w:rsidRPr="004C78D8">
              <w:rPr>
                <w:i/>
                <w:iCs/>
                <w:sz w:val="18"/>
                <w:szCs w:val="18"/>
              </w:rPr>
              <w:t>(2) Fall-related healthcare costs</w:t>
            </w:r>
          </w:p>
        </w:tc>
        <w:tc>
          <w:tcPr>
            <w:tcW w:w="1031" w:type="pct"/>
            <w:tcBorders>
              <w:top w:val="nil"/>
              <w:bottom w:val="nil"/>
            </w:tcBorders>
          </w:tcPr>
          <w:p w14:paraId="5C0FF08A" w14:textId="77777777" w:rsidR="00740CA8" w:rsidRPr="004C78D8" w:rsidRDefault="00306D23" w:rsidP="00FB7C1F">
            <w:pPr>
              <w:jc w:val="left"/>
              <w:rPr>
                <w:sz w:val="18"/>
                <w:szCs w:val="18"/>
              </w:rPr>
            </w:pPr>
            <w:r w:rsidRPr="004C78D8">
              <w:rPr>
                <w:sz w:val="18"/>
                <w:szCs w:val="18"/>
              </w:rPr>
              <w:t>£663,114,733</w:t>
            </w:r>
          </w:p>
          <w:p w14:paraId="0C9771B0" w14:textId="68660590" w:rsidR="00306D23" w:rsidRPr="004C78D8" w:rsidRDefault="00306D23" w:rsidP="00FB7C1F">
            <w:pPr>
              <w:jc w:val="left"/>
              <w:rPr>
                <w:sz w:val="18"/>
                <w:szCs w:val="18"/>
              </w:rPr>
            </w:pPr>
            <w:r w:rsidRPr="004C78D8">
              <w:rPr>
                <w:sz w:val="18"/>
                <w:szCs w:val="18"/>
              </w:rPr>
              <w:t>(£28,095,762)</w:t>
            </w:r>
          </w:p>
        </w:tc>
        <w:tc>
          <w:tcPr>
            <w:tcW w:w="1105" w:type="pct"/>
            <w:tcBorders>
              <w:top w:val="nil"/>
              <w:bottom w:val="nil"/>
            </w:tcBorders>
          </w:tcPr>
          <w:p w14:paraId="0FBFEE2A" w14:textId="77777777" w:rsidR="00740CA8" w:rsidRPr="004C78D8" w:rsidRDefault="00306D23" w:rsidP="00FB7C1F">
            <w:pPr>
              <w:jc w:val="left"/>
              <w:rPr>
                <w:sz w:val="18"/>
                <w:szCs w:val="18"/>
              </w:rPr>
            </w:pPr>
            <w:r w:rsidRPr="004C78D8">
              <w:rPr>
                <w:sz w:val="18"/>
                <w:szCs w:val="18"/>
              </w:rPr>
              <w:t>£560,737,568</w:t>
            </w:r>
          </w:p>
          <w:p w14:paraId="28F11194" w14:textId="6022FD3F" w:rsidR="00306D23" w:rsidRPr="004C78D8" w:rsidRDefault="00306D23" w:rsidP="00FB7C1F">
            <w:pPr>
              <w:jc w:val="left"/>
              <w:rPr>
                <w:sz w:val="18"/>
                <w:szCs w:val="18"/>
              </w:rPr>
            </w:pPr>
            <w:r w:rsidRPr="004C78D8">
              <w:rPr>
                <w:sz w:val="18"/>
                <w:szCs w:val="18"/>
              </w:rPr>
              <w:t>(£23,700,572)</w:t>
            </w:r>
          </w:p>
        </w:tc>
        <w:tc>
          <w:tcPr>
            <w:tcW w:w="1380" w:type="pct"/>
            <w:tcBorders>
              <w:top w:val="nil"/>
              <w:bottom w:val="nil"/>
            </w:tcBorders>
          </w:tcPr>
          <w:p w14:paraId="51073916" w14:textId="77777777" w:rsidR="00740CA8" w:rsidRPr="004C78D8" w:rsidRDefault="00EA001C" w:rsidP="00FB7C1F">
            <w:pPr>
              <w:jc w:val="left"/>
              <w:rPr>
                <w:sz w:val="18"/>
                <w:szCs w:val="18"/>
              </w:rPr>
            </w:pPr>
            <w:r w:rsidRPr="004C78D8">
              <w:rPr>
                <w:sz w:val="18"/>
                <w:szCs w:val="18"/>
              </w:rPr>
              <w:t>-£102,377,165</w:t>
            </w:r>
          </w:p>
          <w:p w14:paraId="433C2DC9" w14:textId="74554E44" w:rsidR="00EA001C" w:rsidRPr="004C78D8" w:rsidRDefault="00EA001C" w:rsidP="00FB7C1F">
            <w:pPr>
              <w:jc w:val="left"/>
              <w:rPr>
                <w:sz w:val="18"/>
                <w:szCs w:val="18"/>
              </w:rPr>
            </w:pPr>
            <w:r w:rsidRPr="004C78D8">
              <w:rPr>
                <w:sz w:val="18"/>
                <w:szCs w:val="18"/>
              </w:rPr>
              <w:t>(£5,504,016)</w:t>
            </w:r>
          </w:p>
        </w:tc>
      </w:tr>
      <w:tr w:rsidR="00740CA8" w:rsidRPr="004C78D8" w14:paraId="46316DBB" w14:textId="77777777" w:rsidTr="00E35893">
        <w:tc>
          <w:tcPr>
            <w:tcW w:w="1484" w:type="pct"/>
            <w:tcBorders>
              <w:top w:val="nil"/>
              <w:bottom w:val="nil"/>
            </w:tcBorders>
          </w:tcPr>
          <w:p w14:paraId="268DA586" w14:textId="77777777" w:rsidR="00740CA8" w:rsidRPr="004C78D8" w:rsidRDefault="00740CA8" w:rsidP="00FB7C1F">
            <w:pPr>
              <w:jc w:val="right"/>
              <w:rPr>
                <w:i/>
                <w:iCs/>
                <w:sz w:val="18"/>
                <w:szCs w:val="18"/>
              </w:rPr>
            </w:pPr>
            <w:r w:rsidRPr="004C78D8">
              <w:rPr>
                <w:i/>
                <w:iCs/>
                <w:sz w:val="18"/>
                <w:szCs w:val="18"/>
              </w:rPr>
              <w:t>Public sector intervention costs</w:t>
            </w:r>
          </w:p>
        </w:tc>
        <w:tc>
          <w:tcPr>
            <w:tcW w:w="1031" w:type="pct"/>
            <w:tcBorders>
              <w:top w:val="nil"/>
              <w:bottom w:val="nil"/>
            </w:tcBorders>
          </w:tcPr>
          <w:p w14:paraId="493B32B1" w14:textId="77777777" w:rsidR="00740CA8" w:rsidRPr="004C78D8" w:rsidRDefault="00306D23" w:rsidP="00FB7C1F">
            <w:pPr>
              <w:jc w:val="left"/>
              <w:rPr>
                <w:sz w:val="18"/>
                <w:szCs w:val="18"/>
              </w:rPr>
            </w:pPr>
            <w:r w:rsidRPr="004C78D8">
              <w:rPr>
                <w:sz w:val="18"/>
                <w:szCs w:val="18"/>
              </w:rPr>
              <w:t>£33,992,444</w:t>
            </w:r>
          </w:p>
          <w:p w14:paraId="2313D854" w14:textId="5C2157CE" w:rsidR="00306D23" w:rsidRPr="004C78D8" w:rsidRDefault="00306D23" w:rsidP="00FB7C1F">
            <w:pPr>
              <w:jc w:val="left"/>
              <w:rPr>
                <w:sz w:val="18"/>
                <w:szCs w:val="18"/>
              </w:rPr>
            </w:pPr>
            <w:r w:rsidRPr="004C78D8">
              <w:rPr>
                <w:sz w:val="18"/>
                <w:szCs w:val="18"/>
              </w:rPr>
              <w:t>(£2,186,958)</w:t>
            </w:r>
          </w:p>
        </w:tc>
        <w:tc>
          <w:tcPr>
            <w:tcW w:w="1105" w:type="pct"/>
            <w:tcBorders>
              <w:top w:val="nil"/>
              <w:bottom w:val="nil"/>
            </w:tcBorders>
          </w:tcPr>
          <w:p w14:paraId="226EF2C3" w14:textId="77777777" w:rsidR="00740CA8" w:rsidRPr="004C78D8" w:rsidRDefault="00306D23" w:rsidP="00FB7C1F">
            <w:pPr>
              <w:jc w:val="left"/>
              <w:rPr>
                <w:sz w:val="18"/>
                <w:szCs w:val="18"/>
              </w:rPr>
            </w:pPr>
            <w:r w:rsidRPr="004C78D8">
              <w:rPr>
                <w:sz w:val="18"/>
                <w:szCs w:val="18"/>
              </w:rPr>
              <w:t>£430,663,194</w:t>
            </w:r>
          </w:p>
          <w:p w14:paraId="4B5ECF67" w14:textId="7285DFD6" w:rsidR="00306D23" w:rsidRPr="004C78D8" w:rsidRDefault="00306D23" w:rsidP="00FB7C1F">
            <w:pPr>
              <w:jc w:val="left"/>
              <w:rPr>
                <w:sz w:val="18"/>
                <w:szCs w:val="18"/>
              </w:rPr>
            </w:pPr>
            <w:r w:rsidRPr="004C78D8">
              <w:rPr>
                <w:sz w:val="18"/>
                <w:szCs w:val="18"/>
              </w:rPr>
              <w:t>(£8,281,037)</w:t>
            </w:r>
          </w:p>
        </w:tc>
        <w:tc>
          <w:tcPr>
            <w:tcW w:w="1380" w:type="pct"/>
            <w:tcBorders>
              <w:top w:val="nil"/>
              <w:bottom w:val="nil"/>
            </w:tcBorders>
          </w:tcPr>
          <w:p w14:paraId="1F298FD2" w14:textId="77777777" w:rsidR="00740CA8" w:rsidRPr="004C78D8" w:rsidRDefault="00EA001C" w:rsidP="00FB7C1F">
            <w:pPr>
              <w:jc w:val="left"/>
              <w:rPr>
                <w:sz w:val="18"/>
                <w:szCs w:val="18"/>
              </w:rPr>
            </w:pPr>
            <w:r w:rsidRPr="004C78D8">
              <w:rPr>
                <w:sz w:val="18"/>
                <w:szCs w:val="18"/>
              </w:rPr>
              <w:t>£396,670,750</w:t>
            </w:r>
          </w:p>
          <w:p w14:paraId="0F4787CD" w14:textId="0E4ED8D0" w:rsidR="00EA001C" w:rsidRPr="004C78D8" w:rsidRDefault="00EA001C" w:rsidP="00FB7C1F">
            <w:pPr>
              <w:jc w:val="left"/>
              <w:rPr>
                <w:sz w:val="18"/>
                <w:szCs w:val="18"/>
              </w:rPr>
            </w:pPr>
            <w:r w:rsidRPr="004C78D8">
              <w:rPr>
                <w:sz w:val="18"/>
                <w:szCs w:val="18"/>
              </w:rPr>
              <w:t>(£7,888,734)</w:t>
            </w:r>
          </w:p>
        </w:tc>
      </w:tr>
      <w:tr w:rsidR="00740CA8" w:rsidRPr="004C78D8" w14:paraId="4C191621" w14:textId="77777777" w:rsidTr="00E35893">
        <w:tc>
          <w:tcPr>
            <w:tcW w:w="1484" w:type="pct"/>
            <w:tcBorders>
              <w:top w:val="nil"/>
              <w:bottom w:val="nil"/>
            </w:tcBorders>
          </w:tcPr>
          <w:p w14:paraId="714B89DB" w14:textId="77777777" w:rsidR="00740CA8" w:rsidRPr="004C78D8" w:rsidRDefault="00740CA8" w:rsidP="00FB7C1F">
            <w:pPr>
              <w:jc w:val="left"/>
              <w:rPr>
                <w:sz w:val="18"/>
                <w:szCs w:val="18"/>
              </w:rPr>
            </w:pPr>
            <w:r w:rsidRPr="004C78D8">
              <w:rPr>
                <w:sz w:val="18"/>
                <w:szCs w:val="18"/>
              </w:rPr>
              <w:t>QALY</w:t>
            </w:r>
          </w:p>
        </w:tc>
        <w:tc>
          <w:tcPr>
            <w:tcW w:w="1031" w:type="pct"/>
            <w:tcBorders>
              <w:top w:val="nil"/>
              <w:bottom w:val="nil"/>
            </w:tcBorders>
          </w:tcPr>
          <w:p w14:paraId="59D2E0A3" w14:textId="77777777" w:rsidR="00740CA8" w:rsidRPr="004C78D8" w:rsidRDefault="00740CA8" w:rsidP="00FB7C1F">
            <w:pPr>
              <w:jc w:val="left"/>
              <w:rPr>
                <w:sz w:val="18"/>
                <w:szCs w:val="18"/>
              </w:rPr>
            </w:pPr>
            <w:r w:rsidRPr="004C78D8">
              <w:rPr>
                <w:sz w:val="18"/>
                <w:szCs w:val="18"/>
              </w:rPr>
              <w:t>2,0</w:t>
            </w:r>
            <w:r w:rsidR="00306D23" w:rsidRPr="004C78D8">
              <w:rPr>
                <w:sz w:val="18"/>
                <w:szCs w:val="18"/>
              </w:rPr>
              <w:t>91</w:t>
            </w:r>
            <w:r w:rsidRPr="004C78D8">
              <w:rPr>
                <w:sz w:val="18"/>
                <w:szCs w:val="18"/>
              </w:rPr>
              <w:t>,</w:t>
            </w:r>
            <w:r w:rsidR="00306D23" w:rsidRPr="004C78D8">
              <w:rPr>
                <w:sz w:val="18"/>
                <w:szCs w:val="18"/>
              </w:rPr>
              <w:t>707</w:t>
            </w:r>
          </w:p>
          <w:p w14:paraId="79F4781D" w14:textId="684D49CB" w:rsidR="00306D23" w:rsidRPr="004C78D8" w:rsidRDefault="00306D23" w:rsidP="00FB7C1F">
            <w:pPr>
              <w:jc w:val="left"/>
              <w:rPr>
                <w:sz w:val="18"/>
                <w:szCs w:val="18"/>
              </w:rPr>
            </w:pPr>
            <w:r w:rsidRPr="004C78D8">
              <w:rPr>
                <w:sz w:val="18"/>
                <w:szCs w:val="18"/>
              </w:rPr>
              <w:t>(10,224)</w:t>
            </w:r>
          </w:p>
        </w:tc>
        <w:tc>
          <w:tcPr>
            <w:tcW w:w="1105" w:type="pct"/>
            <w:tcBorders>
              <w:top w:val="nil"/>
              <w:bottom w:val="nil"/>
            </w:tcBorders>
          </w:tcPr>
          <w:p w14:paraId="7BDE14FC" w14:textId="77777777" w:rsidR="00740CA8" w:rsidRPr="004C78D8" w:rsidRDefault="00740CA8" w:rsidP="00FB7C1F">
            <w:pPr>
              <w:jc w:val="left"/>
              <w:rPr>
                <w:sz w:val="18"/>
                <w:szCs w:val="18"/>
              </w:rPr>
            </w:pPr>
            <w:r w:rsidRPr="004C78D8">
              <w:rPr>
                <w:sz w:val="18"/>
                <w:szCs w:val="18"/>
              </w:rPr>
              <w:t>2,</w:t>
            </w:r>
            <w:r w:rsidR="00306D23" w:rsidRPr="004C78D8">
              <w:rPr>
                <w:sz w:val="18"/>
                <w:szCs w:val="18"/>
              </w:rPr>
              <w:t>110</w:t>
            </w:r>
            <w:r w:rsidRPr="004C78D8">
              <w:rPr>
                <w:sz w:val="18"/>
                <w:szCs w:val="18"/>
              </w:rPr>
              <w:t>,</w:t>
            </w:r>
            <w:r w:rsidR="00306D23" w:rsidRPr="004C78D8">
              <w:rPr>
                <w:sz w:val="18"/>
                <w:szCs w:val="18"/>
              </w:rPr>
              <w:t>653</w:t>
            </w:r>
          </w:p>
          <w:p w14:paraId="32B0DD8F" w14:textId="695EA7C1" w:rsidR="00306D23" w:rsidRPr="004C78D8" w:rsidRDefault="00306D23" w:rsidP="00FB7C1F">
            <w:pPr>
              <w:jc w:val="left"/>
              <w:rPr>
                <w:sz w:val="18"/>
                <w:szCs w:val="18"/>
              </w:rPr>
            </w:pPr>
            <w:r w:rsidRPr="004C78D8">
              <w:rPr>
                <w:sz w:val="18"/>
                <w:szCs w:val="18"/>
              </w:rPr>
              <w:t>(10,238)</w:t>
            </w:r>
          </w:p>
        </w:tc>
        <w:tc>
          <w:tcPr>
            <w:tcW w:w="1380" w:type="pct"/>
            <w:tcBorders>
              <w:top w:val="nil"/>
              <w:bottom w:val="nil"/>
            </w:tcBorders>
          </w:tcPr>
          <w:p w14:paraId="57B0FF48" w14:textId="77777777" w:rsidR="00740CA8" w:rsidRPr="004C78D8" w:rsidRDefault="00EA001C" w:rsidP="00FB7C1F">
            <w:pPr>
              <w:jc w:val="left"/>
              <w:rPr>
                <w:sz w:val="18"/>
                <w:szCs w:val="18"/>
              </w:rPr>
            </w:pPr>
            <w:r w:rsidRPr="004C78D8">
              <w:rPr>
                <w:sz w:val="18"/>
                <w:szCs w:val="18"/>
              </w:rPr>
              <w:t>18</w:t>
            </w:r>
            <w:r w:rsidR="00740CA8" w:rsidRPr="004C78D8">
              <w:rPr>
                <w:sz w:val="18"/>
                <w:szCs w:val="18"/>
              </w:rPr>
              <w:t>,</w:t>
            </w:r>
            <w:r w:rsidRPr="004C78D8">
              <w:rPr>
                <w:sz w:val="18"/>
                <w:szCs w:val="18"/>
              </w:rPr>
              <w:t>946</w:t>
            </w:r>
          </w:p>
          <w:p w14:paraId="46307584" w14:textId="4F5E8B89" w:rsidR="00EA001C" w:rsidRPr="004C78D8" w:rsidRDefault="00EA001C" w:rsidP="00FB7C1F">
            <w:pPr>
              <w:jc w:val="left"/>
              <w:rPr>
                <w:sz w:val="18"/>
                <w:szCs w:val="18"/>
              </w:rPr>
            </w:pPr>
            <w:r w:rsidRPr="004C78D8">
              <w:rPr>
                <w:sz w:val="18"/>
                <w:szCs w:val="18"/>
              </w:rPr>
              <w:t>(499)</w:t>
            </w:r>
          </w:p>
        </w:tc>
      </w:tr>
      <w:tr w:rsidR="00740CA8" w:rsidRPr="004C78D8" w14:paraId="2BA613E7" w14:textId="77777777" w:rsidTr="00E35893">
        <w:tc>
          <w:tcPr>
            <w:tcW w:w="1484" w:type="pct"/>
            <w:tcBorders>
              <w:top w:val="nil"/>
              <w:bottom w:val="nil"/>
            </w:tcBorders>
          </w:tcPr>
          <w:p w14:paraId="7972CD45" w14:textId="77777777" w:rsidR="00740CA8" w:rsidRPr="004C78D8" w:rsidRDefault="00740CA8" w:rsidP="00FB7C1F">
            <w:pPr>
              <w:jc w:val="left"/>
              <w:rPr>
                <w:sz w:val="18"/>
                <w:szCs w:val="18"/>
              </w:rPr>
            </w:pPr>
            <w:r w:rsidRPr="004C78D8">
              <w:rPr>
                <w:sz w:val="18"/>
                <w:szCs w:val="18"/>
              </w:rPr>
              <w:t>Societal outcomes</w:t>
            </w:r>
          </w:p>
        </w:tc>
        <w:tc>
          <w:tcPr>
            <w:tcW w:w="1031" w:type="pct"/>
            <w:tcBorders>
              <w:top w:val="nil"/>
              <w:bottom w:val="nil"/>
            </w:tcBorders>
          </w:tcPr>
          <w:p w14:paraId="4439D5BD" w14:textId="77777777" w:rsidR="00740CA8" w:rsidRPr="004C78D8" w:rsidRDefault="00740CA8" w:rsidP="00FB7C1F">
            <w:pPr>
              <w:jc w:val="left"/>
              <w:rPr>
                <w:sz w:val="18"/>
                <w:szCs w:val="18"/>
              </w:rPr>
            </w:pPr>
          </w:p>
        </w:tc>
        <w:tc>
          <w:tcPr>
            <w:tcW w:w="1105" w:type="pct"/>
            <w:tcBorders>
              <w:top w:val="nil"/>
              <w:bottom w:val="nil"/>
            </w:tcBorders>
          </w:tcPr>
          <w:p w14:paraId="79C98F4B" w14:textId="77777777" w:rsidR="00740CA8" w:rsidRPr="004C78D8" w:rsidRDefault="00740CA8" w:rsidP="00FB7C1F">
            <w:pPr>
              <w:jc w:val="left"/>
              <w:rPr>
                <w:sz w:val="18"/>
                <w:szCs w:val="18"/>
              </w:rPr>
            </w:pPr>
          </w:p>
        </w:tc>
        <w:tc>
          <w:tcPr>
            <w:tcW w:w="1380" w:type="pct"/>
            <w:tcBorders>
              <w:top w:val="nil"/>
              <w:bottom w:val="nil"/>
            </w:tcBorders>
          </w:tcPr>
          <w:p w14:paraId="448B3611" w14:textId="77777777" w:rsidR="00740CA8" w:rsidRPr="004C78D8" w:rsidRDefault="00740CA8" w:rsidP="00FB7C1F">
            <w:pPr>
              <w:jc w:val="left"/>
              <w:rPr>
                <w:sz w:val="18"/>
                <w:szCs w:val="18"/>
              </w:rPr>
            </w:pPr>
          </w:p>
        </w:tc>
      </w:tr>
      <w:tr w:rsidR="00740CA8" w:rsidRPr="004C78D8" w14:paraId="646804DF" w14:textId="77777777" w:rsidTr="00E35893">
        <w:tc>
          <w:tcPr>
            <w:tcW w:w="1484" w:type="pct"/>
            <w:tcBorders>
              <w:top w:val="nil"/>
              <w:bottom w:val="nil"/>
            </w:tcBorders>
          </w:tcPr>
          <w:p w14:paraId="1D5643B6" w14:textId="77777777" w:rsidR="00740CA8" w:rsidRPr="004C78D8" w:rsidRDefault="00740CA8" w:rsidP="00FB7C1F">
            <w:pPr>
              <w:jc w:val="right"/>
              <w:rPr>
                <w:i/>
                <w:iCs/>
                <w:sz w:val="18"/>
                <w:szCs w:val="18"/>
              </w:rPr>
            </w:pPr>
            <w:r w:rsidRPr="004C78D8">
              <w:rPr>
                <w:i/>
                <w:iCs/>
                <w:sz w:val="18"/>
                <w:szCs w:val="18"/>
              </w:rPr>
              <w:t>Net productivity</w:t>
            </w:r>
            <w:r w:rsidRPr="004C78D8">
              <w:rPr>
                <w:i/>
                <w:iCs/>
                <w:sz w:val="18"/>
                <w:szCs w:val="18"/>
                <w:vertAlign w:val="superscript"/>
              </w:rPr>
              <w:t>3</w:t>
            </w:r>
          </w:p>
        </w:tc>
        <w:tc>
          <w:tcPr>
            <w:tcW w:w="1031" w:type="pct"/>
            <w:tcBorders>
              <w:top w:val="nil"/>
              <w:bottom w:val="nil"/>
            </w:tcBorders>
          </w:tcPr>
          <w:p w14:paraId="117058D7" w14:textId="77777777" w:rsidR="00740CA8" w:rsidRPr="004C78D8" w:rsidRDefault="00740CA8" w:rsidP="00FB7C1F">
            <w:pPr>
              <w:jc w:val="left"/>
              <w:rPr>
                <w:sz w:val="18"/>
                <w:szCs w:val="18"/>
              </w:rPr>
            </w:pPr>
          </w:p>
        </w:tc>
        <w:tc>
          <w:tcPr>
            <w:tcW w:w="1105" w:type="pct"/>
            <w:tcBorders>
              <w:top w:val="nil"/>
              <w:bottom w:val="nil"/>
            </w:tcBorders>
          </w:tcPr>
          <w:p w14:paraId="1E0CDAAB" w14:textId="77777777" w:rsidR="00740CA8" w:rsidRPr="004C78D8" w:rsidRDefault="00740CA8" w:rsidP="00FB7C1F">
            <w:pPr>
              <w:jc w:val="left"/>
              <w:rPr>
                <w:sz w:val="18"/>
                <w:szCs w:val="18"/>
              </w:rPr>
            </w:pPr>
          </w:p>
        </w:tc>
        <w:tc>
          <w:tcPr>
            <w:tcW w:w="1380" w:type="pct"/>
            <w:tcBorders>
              <w:top w:val="nil"/>
              <w:bottom w:val="nil"/>
            </w:tcBorders>
          </w:tcPr>
          <w:p w14:paraId="5B0331C7" w14:textId="77777777" w:rsidR="00740CA8" w:rsidRPr="004C78D8" w:rsidRDefault="00A40A1B" w:rsidP="00FB7C1F">
            <w:pPr>
              <w:jc w:val="left"/>
              <w:rPr>
                <w:sz w:val="18"/>
                <w:szCs w:val="18"/>
              </w:rPr>
            </w:pPr>
            <w:r w:rsidRPr="004C78D8">
              <w:rPr>
                <w:sz w:val="18"/>
                <w:szCs w:val="18"/>
              </w:rPr>
              <w:t>-£2,072,031</w:t>
            </w:r>
          </w:p>
          <w:p w14:paraId="6E2D8C30" w14:textId="7367F447" w:rsidR="00A40A1B" w:rsidRPr="004C78D8" w:rsidRDefault="00A40A1B" w:rsidP="00FB7C1F">
            <w:pPr>
              <w:jc w:val="left"/>
              <w:rPr>
                <w:sz w:val="18"/>
                <w:szCs w:val="18"/>
              </w:rPr>
            </w:pPr>
            <w:r w:rsidRPr="004C78D8">
              <w:rPr>
                <w:sz w:val="18"/>
                <w:szCs w:val="18"/>
              </w:rPr>
              <w:t>(£1,327,648)</w:t>
            </w:r>
          </w:p>
        </w:tc>
      </w:tr>
      <w:tr w:rsidR="00740CA8" w:rsidRPr="004C78D8" w14:paraId="1BB50064" w14:textId="77777777" w:rsidTr="00E35893">
        <w:tc>
          <w:tcPr>
            <w:tcW w:w="1484" w:type="pct"/>
            <w:tcBorders>
              <w:top w:val="nil"/>
              <w:bottom w:val="nil"/>
            </w:tcBorders>
          </w:tcPr>
          <w:p w14:paraId="058FCD89" w14:textId="77777777" w:rsidR="00740CA8" w:rsidRPr="004C78D8" w:rsidRDefault="00740CA8" w:rsidP="00FB7C1F">
            <w:pPr>
              <w:jc w:val="right"/>
              <w:rPr>
                <w:i/>
                <w:iCs/>
                <w:sz w:val="18"/>
                <w:szCs w:val="18"/>
              </w:rPr>
            </w:pPr>
            <w:r w:rsidRPr="004C78D8">
              <w:rPr>
                <w:i/>
                <w:iCs/>
                <w:sz w:val="18"/>
                <w:szCs w:val="18"/>
              </w:rPr>
              <w:t>Net private expenditure</w:t>
            </w:r>
            <w:r w:rsidRPr="004C78D8">
              <w:rPr>
                <w:i/>
                <w:iCs/>
                <w:sz w:val="18"/>
                <w:szCs w:val="18"/>
                <w:vertAlign w:val="superscript"/>
              </w:rPr>
              <w:t>4</w:t>
            </w:r>
          </w:p>
        </w:tc>
        <w:tc>
          <w:tcPr>
            <w:tcW w:w="1031" w:type="pct"/>
            <w:tcBorders>
              <w:top w:val="nil"/>
              <w:bottom w:val="nil"/>
            </w:tcBorders>
          </w:tcPr>
          <w:p w14:paraId="78CCB12C" w14:textId="77777777" w:rsidR="00740CA8" w:rsidRPr="004C78D8" w:rsidRDefault="00740CA8" w:rsidP="00FB7C1F">
            <w:pPr>
              <w:jc w:val="left"/>
              <w:rPr>
                <w:sz w:val="18"/>
                <w:szCs w:val="18"/>
              </w:rPr>
            </w:pPr>
          </w:p>
        </w:tc>
        <w:tc>
          <w:tcPr>
            <w:tcW w:w="1105" w:type="pct"/>
            <w:tcBorders>
              <w:top w:val="nil"/>
              <w:bottom w:val="nil"/>
            </w:tcBorders>
          </w:tcPr>
          <w:p w14:paraId="5FB5CBDC" w14:textId="77777777" w:rsidR="00740CA8" w:rsidRPr="004C78D8" w:rsidRDefault="00740CA8" w:rsidP="00FB7C1F">
            <w:pPr>
              <w:jc w:val="left"/>
              <w:rPr>
                <w:sz w:val="18"/>
                <w:szCs w:val="18"/>
              </w:rPr>
            </w:pPr>
          </w:p>
        </w:tc>
        <w:tc>
          <w:tcPr>
            <w:tcW w:w="1380" w:type="pct"/>
            <w:tcBorders>
              <w:top w:val="nil"/>
              <w:bottom w:val="nil"/>
            </w:tcBorders>
          </w:tcPr>
          <w:p w14:paraId="6DFC1821" w14:textId="77777777" w:rsidR="00740CA8" w:rsidRPr="004C78D8" w:rsidRDefault="00A40A1B" w:rsidP="00FB7C1F">
            <w:pPr>
              <w:jc w:val="left"/>
              <w:rPr>
                <w:sz w:val="18"/>
                <w:szCs w:val="18"/>
              </w:rPr>
            </w:pPr>
            <w:r w:rsidRPr="004C78D8">
              <w:rPr>
                <w:sz w:val="18"/>
                <w:szCs w:val="18"/>
              </w:rPr>
              <w:t>£21,821,270</w:t>
            </w:r>
          </w:p>
          <w:p w14:paraId="5C5A9FE5" w14:textId="360E5839" w:rsidR="00A40A1B" w:rsidRPr="004C78D8" w:rsidRDefault="00A40A1B" w:rsidP="00FB7C1F">
            <w:pPr>
              <w:jc w:val="left"/>
              <w:rPr>
                <w:sz w:val="18"/>
                <w:szCs w:val="18"/>
              </w:rPr>
            </w:pPr>
            <w:r w:rsidRPr="004C78D8">
              <w:rPr>
                <w:sz w:val="18"/>
                <w:szCs w:val="18"/>
              </w:rPr>
              <w:t>(£1,543,638)</w:t>
            </w:r>
          </w:p>
        </w:tc>
      </w:tr>
      <w:tr w:rsidR="00740CA8" w:rsidRPr="004C78D8" w14:paraId="7DFB1A6E" w14:textId="77777777" w:rsidTr="00E35893">
        <w:tc>
          <w:tcPr>
            <w:tcW w:w="1484" w:type="pct"/>
            <w:tcBorders>
              <w:top w:val="nil"/>
              <w:bottom w:val="nil"/>
            </w:tcBorders>
          </w:tcPr>
          <w:p w14:paraId="09DCBAE6" w14:textId="77777777" w:rsidR="00740CA8" w:rsidRPr="004C78D8" w:rsidRDefault="00740CA8" w:rsidP="00FB7C1F">
            <w:pPr>
              <w:jc w:val="right"/>
              <w:rPr>
                <w:i/>
                <w:iCs/>
                <w:sz w:val="18"/>
                <w:szCs w:val="18"/>
              </w:rPr>
            </w:pPr>
            <w:r w:rsidRPr="004C78D8">
              <w:rPr>
                <w:i/>
                <w:iCs/>
                <w:sz w:val="18"/>
                <w:szCs w:val="18"/>
              </w:rPr>
              <w:t>Net informal caregiving cost</w:t>
            </w:r>
            <w:r w:rsidRPr="004C78D8">
              <w:rPr>
                <w:i/>
                <w:iCs/>
                <w:sz w:val="18"/>
                <w:szCs w:val="18"/>
                <w:vertAlign w:val="superscript"/>
              </w:rPr>
              <w:t>5</w:t>
            </w:r>
          </w:p>
        </w:tc>
        <w:tc>
          <w:tcPr>
            <w:tcW w:w="1031" w:type="pct"/>
            <w:tcBorders>
              <w:top w:val="nil"/>
              <w:bottom w:val="nil"/>
            </w:tcBorders>
          </w:tcPr>
          <w:p w14:paraId="73FAB05D" w14:textId="77777777" w:rsidR="00740CA8" w:rsidRPr="004C78D8" w:rsidRDefault="00740CA8" w:rsidP="00FB7C1F">
            <w:pPr>
              <w:jc w:val="left"/>
              <w:rPr>
                <w:sz w:val="18"/>
                <w:szCs w:val="18"/>
              </w:rPr>
            </w:pPr>
          </w:p>
        </w:tc>
        <w:tc>
          <w:tcPr>
            <w:tcW w:w="1105" w:type="pct"/>
            <w:tcBorders>
              <w:top w:val="nil"/>
              <w:bottom w:val="nil"/>
            </w:tcBorders>
          </w:tcPr>
          <w:p w14:paraId="734CE36E" w14:textId="77777777" w:rsidR="00740CA8" w:rsidRPr="004C78D8" w:rsidRDefault="00740CA8" w:rsidP="00FB7C1F">
            <w:pPr>
              <w:jc w:val="left"/>
              <w:rPr>
                <w:sz w:val="18"/>
                <w:szCs w:val="18"/>
              </w:rPr>
            </w:pPr>
          </w:p>
        </w:tc>
        <w:tc>
          <w:tcPr>
            <w:tcW w:w="1380" w:type="pct"/>
            <w:tcBorders>
              <w:top w:val="nil"/>
              <w:bottom w:val="nil"/>
            </w:tcBorders>
          </w:tcPr>
          <w:p w14:paraId="54C6C738" w14:textId="77777777" w:rsidR="00740CA8" w:rsidRPr="004C78D8" w:rsidRDefault="00787377" w:rsidP="00FB7C1F">
            <w:pPr>
              <w:jc w:val="left"/>
              <w:rPr>
                <w:sz w:val="18"/>
                <w:szCs w:val="18"/>
              </w:rPr>
            </w:pPr>
            <w:r w:rsidRPr="004C78D8">
              <w:rPr>
                <w:sz w:val="18"/>
                <w:szCs w:val="18"/>
              </w:rPr>
              <w:t>-£87,984,465</w:t>
            </w:r>
          </w:p>
          <w:p w14:paraId="67BDF8B5" w14:textId="7FD71849" w:rsidR="00787377" w:rsidRPr="004C78D8" w:rsidRDefault="00787377" w:rsidP="00FB7C1F">
            <w:pPr>
              <w:jc w:val="left"/>
              <w:rPr>
                <w:sz w:val="18"/>
                <w:szCs w:val="18"/>
              </w:rPr>
            </w:pPr>
            <w:r w:rsidRPr="004C78D8">
              <w:rPr>
                <w:sz w:val="18"/>
                <w:szCs w:val="18"/>
              </w:rPr>
              <w:t>(£8,660,865)</w:t>
            </w:r>
          </w:p>
        </w:tc>
      </w:tr>
      <w:tr w:rsidR="00740CA8" w:rsidRPr="004C78D8" w14:paraId="4C29B5AF" w14:textId="77777777" w:rsidTr="00E35893">
        <w:tc>
          <w:tcPr>
            <w:tcW w:w="1484" w:type="pct"/>
            <w:tcBorders>
              <w:top w:val="nil"/>
              <w:bottom w:val="single" w:sz="4" w:space="0" w:color="auto"/>
            </w:tcBorders>
          </w:tcPr>
          <w:p w14:paraId="2531F6A2" w14:textId="77777777" w:rsidR="00740CA8" w:rsidRPr="004C78D8" w:rsidRDefault="00740CA8" w:rsidP="00FB7C1F">
            <w:pPr>
              <w:jc w:val="left"/>
              <w:rPr>
                <w:sz w:val="18"/>
                <w:szCs w:val="18"/>
              </w:rPr>
            </w:pPr>
            <w:r w:rsidRPr="004C78D8">
              <w:rPr>
                <w:sz w:val="18"/>
                <w:szCs w:val="18"/>
              </w:rPr>
              <w:t>Societal gain, QALY equivalent</w:t>
            </w:r>
          </w:p>
        </w:tc>
        <w:tc>
          <w:tcPr>
            <w:tcW w:w="1031" w:type="pct"/>
            <w:tcBorders>
              <w:top w:val="nil"/>
              <w:bottom w:val="single" w:sz="4" w:space="0" w:color="auto"/>
              <w:right w:val="single" w:sz="4" w:space="0" w:color="auto"/>
            </w:tcBorders>
          </w:tcPr>
          <w:p w14:paraId="08CF6452" w14:textId="77777777" w:rsidR="00740CA8" w:rsidRPr="004C78D8" w:rsidRDefault="00740CA8" w:rsidP="00FB7C1F">
            <w:pPr>
              <w:jc w:val="left"/>
              <w:rPr>
                <w:sz w:val="18"/>
                <w:szCs w:val="18"/>
              </w:rPr>
            </w:pPr>
          </w:p>
        </w:tc>
        <w:tc>
          <w:tcPr>
            <w:tcW w:w="1105" w:type="pct"/>
            <w:tcBorders>
              <w:top w:val="nil"/>
              <w:left w:val="single" w:sz="4" w:space="0" w:color="auto"/>
              <w:bottom w:val="single" w:sz="4" w:space="0" w:color="auto"/>
            </w:tcBorders>
          </w:tcPr>
          <w:p w14:paraId="17484B80" w14:textId="77777777" w:rsidR="00740CA8" w:rsidRPr="004C78D8" w:rsidRDefault="00740CA8" w:rsidP="00FB7C1F">
            <w:pPr>
              <w:jc w:val="left"/>
              <w:rPr>
                <w:sz w:val="18"/>
                <w:szCs w:val="18"/>
              </w:rPr>
            </w:pPr>
          </w:p>
        </w:tc>
        <w:tc>
          <w:tcPr>
            <w:tcW w:w="1380" w:type="pct"/>
            <w:tcBorders>
              <w:top w:val="nil"/>
              <w:bottom w:val="single" w:sz="4" w:space="0" w:color="auto"/>
            </w:tcBorders>
          </w:tcPr>
          <w:p w14:paraId="4B851955" w14:textId="6E7ED3CE" w:rsidR="00740CA8" w:rsidRPr="004C78D8" w:rsidRDefault="00740CA8" w:rsidP="00FB7C1F">
            <w:pPr>
              <w:jc w:val="left"/>
              <w:rPr>
                <w:sz w:val="18"/>
                <w:szCs w:val="18"/>
              </w:rPr>
            </w:pPr>
            <w:r w:rsidRPr="004C78D8">
              <w:rPr>
                <w:sz w:val="18"/>
                <w:szCs w:val="18"/>
              </w:rPr>
              <w:t>1,</w:t>
            </w:r>
            <w:r w:rsidR="00787377" w:rsidRPr="004C78D8">
              <w:rPr>
                <w:sz w:val="18"/>
                <w:szCs w:val="18"/>
              </w:rPr>
              <w:t>068</w:t>
            </w:r>
            <w:r w:rsidRPr="004C78D8">
              <w:rPr>
                <w:sz w:val="18"/>
                <w:szCs w:val="18"/>
              </w:rPr>
              <w:t xml:space="preserve"> QALYs</w:t>
            </w:r>
          </w:p>
        </w:tc>
      </w:tr>
      <w:tr w:rsidR="008B1563" w:rsidRPr="004C78D8" w14:paraId="1E212089" w14:textId="77777777" w:rsidTr="00E35893">
        <w:tc>
          <w:tcPr>
            <w:tcW w:w="1484" w:type="pct"/>
            <w:tcBorders>
              <w:top w:val="single" w:sz="4" w:space="0" w:color="auto"/>
              <w:bottom w:val="nil"/>
            </w:tcBorders>
          </w:tcPr>
          <w:p w14:paraId="7F04782E" w14:textId="77777777" w:rsidR="008B1563" w:rsidRPr="004C78D8" w:rsidRDefault="008B1563" w:rsidP="00FB7C1F">
            <w:pPr>
              <w:jc w:val="left"/>
              <w:rPr>
                <w:b/>
                <w:bCs/>
                <w:sz w:val="18"/>
                <w:szCs w:val="18"/>
              </w:rPr>
            </w:pPr>
          </w:p>
        </w:tc>
        <w:tc>
          <w:tcPr>
            <w:tcW w:w="1031" w:type="pct"/>
            <w:tcBorders>
              <w:top w:val="single" w:sz="4" w:space="0" w:color="auto"/>
              <w:bottom w:val="nil"/>
              <w:right w:val="nil"/>
            </w:tcBorders>
          </w:tcPr>
          <w:p w14:paraId="69837AD0" w14:textId="77777777" w:rsidR="008B1563" w:rsidRPr="004C78D8" w:rsidRDefault="008B1563" w:rsidP="00FB7C1F">
            <w:pPr>
              <w:jc w:val="left"/>
              <w:rPr>
                <w:sz w:val="18"/>
                <w:szCs w:val="18"/>
              </w:rPr>
            </w:pPr>
          </w:p>
        </w:tc>
        <w:tc>
          <w:tcPr>
            <w:tcW w:w="1105" w:type="pct"/>
            <w:tcBorders>
              <w:top w:val="single" w:sz="4" w:space="0" w:color="auto"/>
              <w:left w:val="nil"/>
              <w:bottom w:val="nil"/>
            </w:tcBorders>
          </w:tcPr>
          <w:p w14:paraId="740B725F" w14:textId="77777777" w:rsidR="008B1563" w:rsidRPr="004C78D8" w:rsidRDefault="008B1563" w:rsidP="00FB7C1F">
            <w:pPr>
              <w:jc w:val="left"/>
              <w:rPr>
                <w:sz w:val="18"/>
                <w:szCs w:val="18"/>
              </w:rPr>
            </w:pPr>
          </w:p>
        </w:tc>
        <w:tc>
          <w:tcPr>
            <w:tcW w:w="1380" w:type="pct"/>
            <w:tcBorders>
              <w:top w:val="single" w:sz="4" w:space="0" w:color="auto"/>
              <w:bottom w:val="nil"/>
            </w:tcBorders>
          </w:tcPr>
          <w:p w14:paraId="762FAD88" w14:textId="154D2568" w:rsidR="008B1563" w:rsidRPr="004C78D8" w:rsidRDefault="008B1563" w:rsidP="00FB7C1F">
            <w:pPr>
              <w:jc w:val="left"/>
              <w:rPr>
                <w:b/>
                <w:bCs/>
                <w:sz w:val="18"/>
                <w:szCs w:val="18"/>
              </w:rPr>
            </w:pPr>
            <w:r w:rsidRPr="004C78D8">
              <w:rPr>
                <w:b/>
                <w:bCs/>
                <w:sz w:val="18"/>
                <w:szCs w:val="18"/>
              </w:rPr>
              <w:t xml:space="preserve">Jack-knife mean (95% </w:t>
            </w:r>
            <w:r w:rsidR="008E4891" w:rsidRPr="004C78D8">
              <w:rPr>
                <w:b/>
                <w:bCs/>
                <w:sz w:val="18"/>
                <w:szCs w:val="18"/>
              </w:rPr>
              <w:t>UI</w:t>
            </w:r>
            <w:r w:rsidRPr="004C78D8">
              <w:rPr>
                <w:b/>
                <w:bCs/>
                <w:sz w:val="18"/>
                <w:szCs w:val="18"/>
              </w:rPr>
              <w:t>)</w:t>
            </w:r>
            <w:r w:rsidRPr="004C78D8">
              <w:rPr>
                <w:b/>
                <w:bCs/>
                <w:sz w:val="18"/>
                <w:szCs w:val="18"/>
                <w:vertAlign w:val="superscript"/>
              </w:rPr>
              <w:t>6</w:t>
            </w:r>
          </w:p>
        </w:tc>
      </w:tr>
      <w:tr w:rsidR="00740CA8" w:rsidRPr="004C78D8" w14:paraId="62C8A4AF" w14:textId="77777777" w:rsidTr="00E35893">
        <w:tc>
          <w:tcPr>
            <w:tcW w:w="1484" w:type="pct"/>
            <w:tcBorders>
              <w:top w:val="nil"/>
              <w:bottom w:val="nil"/>
            </w:tcBorders>
          </w:tcPr>
          <w:p w14:paraId="772BD250" w14:textId="1E450003" w:rsidR="00740CA8" w:rsidRPr="004C78D8" w:rsidRDefault="00740CA8" w:rsidP="00FB7C1F">
            <w:pPr>
              <w:jc w:val="left"/>
              <w:rPr>
                <w:sz w:val="18"/>
                <w:szCs w:val="18"/>
              </w:rPr>
            </w:pPr>
            <w:r w:rsidRPr="004C78D8">
              <w:rPr>
                <w:b/>
                <w:bCs/>
                <w:sz w:val="18"/>
                <w:szCs w:val="18"/>
              </w:rPr>
              <w:t>Societal ICER using (1)</w:t>
            </w:r>
            <w:r w:rsidR="00D916D2" w:rsidRPr="004C78D8">
              <w:rPr>
                <w:b/>
                <w:bCs/>
                <w:sz w:val="18"/>
                <w:szCs w:val="18"/>
                <w:vertAlign w:val="superscript"/>
              </w:rPr>
              <w:t>7</w:t>
            </w:r>
          </w:p>
        </w:tc>
        <w:tc>
          <w:tcPr>
            <w:tcW w:w="1031" w:type="pct"/>
            <w:tcBorders>
              <w:top w:val="nil"/>
              <w:bottom w:val="nil"/>
              <w:right w:val="nil"/>
            </w:tcBorders>
          </w:tcPr>
          <w:p w14:paraId="67303BCC" w14:textId="77777777" w:rsidR="00740CA8" w:rsidRPr="004C78D8" w:rsidRDefault="00740CA8" w:rsidP="00FB7C1F">
            <w:pPr>
              <w:jc w:val="left"/>
              <w:rPr>
                <w:sz w:val="18"/>
                <w:szCs w:val="18"/>
              </w:rPr>
            </w:pPr>
          </w:p>
        </w:tc>
        <w:tc>
          <w:tcPr>
            <w:tcW w:w="1105" w:type="pct"/>
            <w:tcBorders>
              <w:top w:val="nil"/>
              <w:left w:val="nil"/>
              <w:bottom w:val="nil"/>
            </w:tcBorders>
          </w:tcPr>
          <w:p w14:paraId="40730150" w14:textId="77777777" w:rsidR="00740CA8" w:rsidRPr="004C78D8" w:rsidRDefault="00740CA8" w:rsidP="00FB7C1F">
            <w:pPr>
              <w:jc w:val="left"/>
              <w:rPr>
                <w:sz w:val="18"/>
                <w:szCs w:val="18"/>
              </w:rPr>
            </w:pPr>
          </w:p>
        </w:tc>
        <w:tc>
          <w:tcPr>
            <w:tcW w:w="1380" w:type="pct"/>
            <w:tcBorders>
              <w:top w:val="nil"/>
              <w:bottom w:val="nil"/>
            </w:tcBorders>
          </w:tcPr>
          <w:p w14:paraId="521B6CBF" w14:textId="2F505E67" w:rsidR="00740CA8" w:rsidRPr="004C78D8" w:rsidRDefault="00740CA8" w:rsidP="00FB7C1F">
            <w:pPr>
              <w:jc w:val="left"/>
              <w:rPr>
                <w:sz w:val="18"/>
                <w:szCs w:val="18"/>
              </w:rPr>
            </w:pPr>
            <w:r w:rsidRPr="004C78D8">
              <w:rPr>
                <w:sz w:val="18"/>
                <w:szCs w:val="18"/>
              </w:rPr>
              <w:t>£</w:t>
            </w:r>
            <w:r w:rsidR="008B1563" w:rsidRPr="004C78D8">
              <w:rPr>
                <w:sz w:val="18"/>
                <w:szCs w:val="18"/>
              </w:rPr>
              <w:t>14</w:t>
            </w:r>
            <w:r w:rsidRPr="004C78D8">
              <w:rPr>
                <w:sz w:val="18"/>
                <w:szCs w:val="18"/>
              </w:rPr>
              <w:t>,</w:t>
            </w:r>
            <w:r w:rsidR="008B1563" w:rsidRPr="004C78D8">
              <w:rPr>
                <w:sz w:val="18"/>
                <w:szCs w:val="18"/>
              </w:rPr>
              <w:t>067</w:t>
            </w:r>
            <w:r w:rsidRPr="004C78D8">
              <w:rPr>
                <w:sz w:val="18"/>
                <w:szCs w:val="18"/>
              </w:rPr>
              <w:t xml:space="preserve"> per QALY gain</w:t>
            </w:r>
            <w:r w:rsidR="000A0C62" w:rsidRPr="004C78D8">
              <w:rPr>
                <w:sz w:val="18"/>
                <w:szCs w:val="18"/>
              </w:rPr>
              <w:t>ed</w:t>
            </w:r>
          </w:p>
          <w:p w14:paraId="17062BBD" w14:textId="7BF314C5" w:rsidR="008B1563" w:rsidRPr="004C78D8" w:rsidRDefault="008B1563" w:rsidP="00FB7C1F">
            <w:pPr>
              <w:jc w:val="left"/>
              <w:rPr>
                <w:sz w:val="18"/>
                <w:szCs w:val="18"/>
              </w:rPr>
            </w:pPr>
            <w:r w:rsidRPr="004C78D8">
              <w:rPr>
                <w:sz w:val="18"/>
                <w:szCs w:val="18"/>
              </w:rPr>
              <w:t>(£12,011 - £15,</w:t>
            </w:r>
            <w:r w:rsidR="00DE482D" w:rsidRPr="004C78D8">
              <w:rPr>
                <w:sz w:val="18"/>
                <w:szCs w:val="18"/>
              </w:rPr>
              <w:t>923)</w:t>
            </w:r>
          </w:p>
        </w:tc>
      </w:tr>
      <w:tr w:rsidR="00740CA8" w:rsidRPr="004C78D8" w14:paraId="18C6F8F9" w14:textId="77777777" w:rsidTr="00E35893">
        <w:tc>
          <w:tcPr>
            <w:tcW w:w="1484" w:type="pct"/>
            <w:tcBorders>
              <w:top w:val="nil"/>
              <w:bottom w:val="nil"/>
            </w:tcBorders>
          </w:tcPr>
          <w:p w14:paraId="4662C22A" w14:textId="77777777" w:rsidR="00740CA8" w:rsidRPr="004C78D8" w:rsidRDefault="00740CA8" w:rsidP="00FB7C1F">
            <w:pPr>
              <w:jc w:val="left"/>
              <w:rPr>
                <w:sz w:val="18"/>
                <w:szCs w:val="18"/>
              </w:rPr>
            </w:pPr>
            <w:r w:rsidRPr="004C78D8">
              <w:rPr>
                <w:b/>
                <w:bCs/>
                <w:sz w:val="18"/>
                <w:szCs w:val="18"/>
              </w:rPr>
              <w:t>Societal ICER using (2)</w:t>
            </w:r>
          </w:p>
        </w:tc>
        <w:tc>
          <w:tcPr>
            <w:tcW w:w="1031" w:type="pct"/>
            <w:tcBorders>
              <w:top w:val="nil"/>
              <w:bottom w:val="nil"/>
              <w:right w:val="nil"/>
            </w:tcBorders>
          </w:tcPr>
          <w:p w14:paraId="55BF9102" w14:textId="77777777" w:rsidR="00740CA8" w:rsidRPr="004C78D8" w:rsidRDefault="00740CA8" w:rsidP="00FB7C1F">
            <w:pPr>
              <w:jc w:val="left"/>
              <w:rPr>
                <w:sz w:val="18"/>
                <w:szCs w:val="18"/>
              </w:rPr>
            </w:pPr>
          </w:p>
        </w:tc>
        <w:tc>
          <w:tcPr>
            <w:tcW w:w="1105" w:type="pct"/>
            <w:tcBorders>
              <w:top w:val="nil"/>
              <w:left w:val="nil"/>
              <w:bottom w:val="nil"/>
            </w:tcBorders>
          </w:tcPr>
          <w:p w14:paraId="312AEC12" w14:textId="77777777" w:rsidR="00740CA8" w:rsidRPr="004C78D8" w:rsidRDefault="00740CA8" w:rsidP="00FB7C1F">
            <w:pPr>
              <w:jc w:val="left"/>
              <w:rPr>
                <w:sz w:val="18"/>
                <w:szCs w:val="18"/>
              </w:rPr>
            </w:pPr>
          </w:p>
        </w:tc>
        <w:tc>
          <w:tcPr>
            <w:tcW w:w="1380" w:type="pct"/>
            <w:tcBorders>
              <w:top w:val="nil"/>
              <w:bottom w:val="nil"/>
            </w:tcBorders>
          </w:tcPr>
          <w:p w14:paraId="4703D268" w14:textId="4173A418" w:rsidR="00740CA8" w:rsidRPr="004C78D8" w:rsidRDefault="00740CA8" w:rsidP="00FB7C1F">
            <w:pPr>
              <w:jc w:val="left"/>
              <w:rPr>
                <w:sz w:val="18"/>
                <w:szCs w:val="18"/>
              </w:rPr>
            </w:pPr>
            <w:r w:rsidRPr="004C78D8">
              <w:rPr>
                <w:sz w:val="18"/>
                <w:szCs w:val="18"/>
              </w:rPr>
              <w:t>£</w:t>
            </w:r>
            <w:r w:rsidR="00DE482D" w:rsidRPr="004C78D8">
              <w:rPr>
                <w:sz w:val="18"/>
                <w:szCs w:val="18"/>
              </w:rPr>
              <w:t>15</w:t>
            </w:r>
            <w:r w:rsidRPr="004C78D8">
              <w:rPr>
                <w:sz w:val="18"/>
                <w:szCs w:val="18"/>
              </w:rPr>
              <w:t>,</w:t>
            </w:r>
            <w:r w:rsidR="00DE482D" w:rsidRPr="004C78D8">
              <w:rPr>
                <w:sz w:val="18"/>
                <w:szCs w:val="18"/>
              </w:rPr>
              <w:t>149</w:t>
            </w:r>
            <w:r w:rsidRPr="004C78D8">
              <w:rPr>
                <w:sz w:val="18"/>
                <w:szCs w:val="18"/>
              </w:rPr>
              <w:t xml:space="preserve"> per QALY gain</w:t>
            </w:r>
            <w:r w:rsidR="000A0C62" w:rsidRPr="004C78D8">
              <w:rPr>
                <w:sz w:val="18"/>
                <w:szCs w:val="18"/>
              </w:rPr>
              <w:t>ed</w:t>
            </w:r>
          </w:p>
          <w:p w14:paraId="56AF290F" w14:textId="6D0DE0A5" w:rsidR="00DE482D" w:rsidRPr="004C78D8" w:rsidRDefault="00DE482D" w:rsidP="00FB7C1F">
            <w:pPr>
              <w:jc w:val="left"/>
              <w:rPr>
                <w:sz w:val="18"/>
                <w:szCs w:val="18"/>
              </w:rPr>
            </w:pPr>
            <w:r w:rsidRPr="004C78D8">
              <w:rPr>
                <w:sz w:val="18"/>
                <w:szCs w:val="18"/>
              </w:rPr>
              <w:t>(£13,193 - £17,006)</w:t>
            </w:r>
          </w:p>
        </w:tc>
      </w:tr>
      <w:tr w:rsidR="008E4891" w:rsidRPr="004C78D8" w14:paraId="710BC2B9" w14:textId="77777777" w:rsidTr="00E35893">
        <w:tc>
          <w:tcPr>
            <w:tcW w:w="1484" w:type="pct"/>
            <w:tcBorders>
              <w:top w:val="nil"/>
              <w:bottom w:val="nil"/>
            </w:tcBorders>
          </w:tcPr>
          <w:p w14:paraId="7071165E" w14:textId="77777777" w:rsidR="008E4891" w:rsidRPr="004C78D8" w:rsidRDefault="008E4891" w:rsidP="00FB7C1F">
            <w:pPr>
              <w:jc w:val="left"/>
              <w:rPr>
                <w:b/>
                <w:bCs/>
                <w:sz w:val="18"/>
                <w:szCs w:val="18"/>
              </w:rPr>
            </w:pPr>
          </w:p>
        </w:tc>
        <w:tc>
          <w:tcPr>
            <w:tcW w:w="1031" w:type="pct"/>
            <w:tcBorders>
              <w:top w:val="nil"/>
              <w:bottom w:val="nil"/>
              <w:right w:val="nil"/>
            </w:tcBorders>
          </w:tcPr>
          <w:p w14:paraId="3D74195F" w14:textId="77777777" w:rsidR="008E4891" w:rsidRPr="004C78D8" w:rsidRDefault="008E4891" w:rsidP="00FB7C1F">
            <w:pPr>
              <w:jc w:val="left"/>
              <w:rPr>
                <w:sz w:val="18"/>
                <w:szCs w:val="18"/>
              </w:rPr>
            </w:pPr>
          </w:p>
        </w:tc>
        <w:tc>
          <w:tcPr>
            <w:tcW w:w="1105" w:type="pct"/>
            <w:tcBorders>
              <w:top w:val="nil"/>
              <w:left w:val="nil"/>
              <w:bottom w:val="nil"/>
            </w:tcBorders>
          </w:tcPr>
          <w:p w14:paraId="29FE29DB" w14:textId="77777777" w:rsidR="008E4891" w:rsidRPr="004C78D8" w:rsidRDefault="008E4891" w:rsidP="00FB7C1F">
            <w:pPr>
              <w:jc w:val="left"/>
              <w:rPr>
                <w:sz w:val="18"/>
                <w:szCs w:val="18"/>
              </w:rPr>
            </w:pPr>
          </w:p>
        </w:tc>
        <w:tc>
          <w:tcPr>
            <w:tcW w:w="1380" w:type="pct"/>
            <w:tcBorders>
              <w:top w:val="nil"/>
              <w:bottom w:val="nil"/>
            </w:tcBorders>
          </w:tcPr>
          <w:p w14:paraId="16986FF5" w14:textId="5E2B2D72" w:rsidR="008E4891" w:rsidRPr="004C78D8" w:rsidRDefault="008E4891" w:rsidP="00FB7C1F">
            <w:pPr>
              <w:jc w:val="left"/>
              <w:rPr>
                <w:b/>
                <w:bCs/>
                <w:sz w:val="18"/>
                <w:szCs w:val="18"/>
              </w:rPr>
            </w:pPr>
            <w:r w:rsidRPr="004C78D8">
              <w:rPr>
                <w:b/>
                <w:bCs/>
                <w:sz w:val="18"/>
                <w:szCs w:val="18"/>
              </w:rPr>
              <w:t>Mean (95% UI)</w:t>
            </w:r>
            <w:r w:rsidR="00120584" w:rsidRPr="004C78D8">
              <w:rPr>
                <w:b/>
                <w:bCs/>
                <w:sz w:val="18"/>
                <w:szCs w:val="18"/>
                <w:vertAlign w:val="superscript"/>
              </w:rPr>
              <w:t>8</w:t>
            </w:r>
          </w:p>
        </w:tc>
      </w:tr>
      <w:tr w:rsidR="00740CA8" w:rsidRPr="004C78D8" w14:paraId="7C432927" w14:textId="77777777" w:rsidTr="00E35893">
        <w:tc>
          <w:tcPr>
            <w:tcW w:w="1484" w:type="pct"/>
            <w:tcBorders>
              <w:top w:val="nil"/>
              <w:bottom w:val="nil"/>
            </w:tcBorders>
          </w:tcPr>
          <w:p w14:paraId="244A17BD" w14:textId="73E51761" w:rsidR="00740CA8" w:rsidRPr="004C78D8" w:rsidRDefault="00740CA8" w:rsidP="00FB7C1F">
            <w:pPr>
              <w:jc w:val="left"/>
              <w:rPr>
                <w:b/>
                <w:bCs/>
                <w:sz w:val="18"/>
                <w:szCs w:val="18"/>
              </w:rPr>
            </w:pPr>
            <w:r w:rsidRPr="004C78D8">
              <w:rPr>
                <w:b/>
                <w:bCs/>
                <w:sz w:val="18"/>
                <w:szCs w:val="18"/>
              </w:rPr>
              <w:t>Societal INMB using (1)</w:t>
            </w:r>
          </w:p>
        </w:tc>
        <w:tc>
          <w:tcPr>
            <w:tcW w:w="1031" w:type="pct"/>
            <w:tcBorders>
              <w:top w:val="nil"/>
              <w:bottom w:val="nil"/>
              <w:right w:val="nil"/>
            </w:tcBorders>
          </w:tcPr>
          <w:p w14:paraId="497D78BD" w14:textId="77777777" w:rsidR="00740CA8" w:rsidRPr="004C78D8" w:rsidRDefault="00740CA8" w:rsidP="00FB7C1F">
            <w:pPr>
              <w:jc w:val="left"/>
              <w:rPr>
                <w:sz w:val="18"/>
                <w:szCs w:val="18"/>
              </w:rPr>
            </w:pPr>
          </w:p>
        </w:tc>
        <w:tc>
          <w:tcPr>
            <w:tcW w:w="1105" w:type="pct"/>
            <w:tcBorders>
              <w:top w:val="nil"/>
              <w:left w:val="nil"/>
              <w:bottom w:val="nil"/>
            </w:tcBorders>
          </w:tcPr>
          <w:p w14:paraId="6D8DC4A6" w14:textId="77777777" w:rsidR="00740CA8" w:rsidRPr="004C78D8" w:rsidRDefault="00740CA8" w:rsidP="00FB7C1F">
            <w:pPr>
              <w:jc w:val="left"/>
              <w:rPr>
                <w:sz w:val="18"/>
                <w:szCs w:val="18"/>
              </w:rPr>
            </w:pPr>
          </w:p>
        </w:tc>
        <w:tc>
          <w:tcPr>
            <w:tcW w:w="1380" w:type="pct"/>
            <w:tcBorders>
              <w:top w:val="nil"/>
              <w:bottom w:val="nil"/>
            </w:tcBorders>
          </w:tcPr>
          <w:p w14:paraId="2E967D5B" w14:textId="77777777" w:rsidR="00740CA8" w:rsidRPr="004C78D8" w:rsidRDefault="00740CA8" w:rsidP="00FB7C1F">
            <w:pPr>
              <w:jc w:val="left"/>
              <w:rPr>
                <w:sz w:val="18"/>
                <w:szCs w:val="18"/>
              </w:rPr>
            </w:pPr>
            <w:r w:rsidRPr="004C78D8">
              <w:rPr>
                <w:sz w:val="18"/>
                <w:szCs w:val="18"/>
              </w:rPr>
              <w:t>£</w:t>
            </w:r>
            <w:r w:rsidR="00D27CF0" w:rsidRPr="004C78D8">
              <w:rPr>
                <w:sz w:val="18"/>
                <w:szCs w:val="18"/>
              </w:rPr>
              <w:t>327</w:t>
            </w:r>
            <w:r w:rsidRPr="004C78D8">
              <w:rPr>
                <w:sz w:val="18"/>
                <w:szCs w:val="18"/>
              </w:rPr>
              <w:t>,</w:t>
            </w:r>
            <w:r w:rsidR="00D27CF0" w:rsidRPr="004C78D8">
              <w:rPr>
                <w:sz w:val="18"/>
                <w:szCs w:val="18"/>
              </w:rPr>
              <w:t>260</w:t>
            </w:r>
            <w:r w:rsidRPr="004C78D8">
              <w:rPr>
                <w:sz w:val="18"/>
                <w:szCs w:val="18"/>
              </w:rPr>
              <w:t>,</w:t>
            </w:r>
            <w:r w:rsidR="00D27CF0" w:rsidRPr="004C78D8">
              <w:rPr>
                <w:sz w:val="18"/>
                <w:szCs w:val="18"/>
              </w:rPr>
              <w:t xml:space="preserve">886 </w:t>
            </w:r>
          </w:p>
          <w:p w14:paraId="72BDF3E9" w14:textId="2C4B5645" w:rsidR="00D27CF0" w:rsidRPr="004C78D8" w:rsidRDefault="00D27CF0" w:rsidP="00FB7C1F">
            <w:pPr>
              <w:jc w:val="left"/>
              <w:rPr>
                <w:sz w:val="18"/>
                <w:szCs w:val="18"/>
              </w:rPr>
            </w:pPr>
            <w:r w:rsidRPr="004C78D8">
              <w:rPr>
                <w:sz w:val="18"/>
                <w:szCs w:val="18"/>
              </w:rPr>
              <w:t>(£286,031,713 - £368,490,059)</w:t>
            </w:r>
          </w:p>
        </w:tc>
      </w:tr>
      <w:tr w:rsidR="00740CA8" w:rsidRPr="004C78D8" w14:paraId="76470D23" w14:textId="77777777" w:rsidTr="00E35893">
        <w:tc>
          <w:tcPr>
            <w:tcW w:w="1484" w:type="pct"/>
            <w:tcBorders>
              <w:top w:val="nil"/>
              <w:bottom w:val="single" w:sz="4" w:space="0" w:color="auto"/>
            </w:tcBorders>
          </w:tcPr>
          <w:p w14:paraId="378EB295" w14:textId="77777777" w:rsidR="00740CA8" w:rsidRPr="004C78D8" w:rsidRDefault="00740CA8" w:rsidP="00FB7C1F">
            <w:pPr>
              <w:jc w:val="left"/>
              <w:rPr>
                <w:b/>
                <w:bCs/>
                <w:sz w:val="18"/>
                <w:szCs w:val="18"/>
              </w:rPr>
            </w:pPr>
            <w:r w:rsidRPr="004C78D8">
              <w:rPr>
                <w:b/>
                <w:bCs/>
                <w:sz w:val="18"/>
                <w:szCs w:val="18"/>
              </w:rPr>
              <w:t>Societal INMB using (2)</w:t>
            </w:r>
          </w:p>
        </w:tc>
        <w:tc>
          <w:tcPr>
            <w:tcW w:w="1031" w:type="pct"/>
            <w:tcBorders>
              <w:top w:val="nil"/>
              <w:bottom w:val="single" w:sz="4" w:space="0" w:color="auto"/>
              <w:right w:val="nil"/>
            </w:tcBorders>
          </w:tcPr>
          <w:p w14:paraId="7865C9E1" w14:textId="77777777" w:rsidR="00740CA8" w:rsidRPr="004C78D8" w:rsidRDefault="00740CA8" w:rsidP="00FB7C1F">
            <w:pPr>
              <w:jc w:val="left"/>
              <w:rPr>
                <w:sz w:val="18"/>
                <w:szCs w:val="18"/>
              </w:rPr>
            </w:pPr>
          </w:p>
        </w:tc>
        <w:tc>
          <w:tcPr>
            <w:tcW w:w="1105" w:type="pct"/>
            <w:tcBorders>
              <w:top w:val="nil"/>
              <w:left w:val="nil"/>
              <w:bottom w:val="single" w:sz="4" w:space="0" w:color="auto"/>
            </w:tcBorders>
          </w:tcPr>
          <w:p w14:paraId="73FEAF13" w14:textId="77777777" w:rsidR="00740CA8" w:rsidRPr="004C78D8" w:rsidRDefault="00740CA8" w:rsidP="00FB7C1F">
            <w:pPr>
              <w:jc w:val="left"/>
              <w:rPr>
                <w:sz w:val="18"/>
                <w:szCs w:val="18"/>
              </w:rPr>
            </w:pPr>
          </w:p>
        </w:tc>
        <w:tc>
          <w:tcPr>
            <w:tcW w:w="1380" w:type="pct"/>
            <w:tcBorders>
              <w:top w:val="nil"/>
              <w:bottom w:val="single" w:sz="4" w:space="0" w:color="auto"/>
            </w:tcBorders>
          </w:tcPr>
          <w:p w14:paraId="0989A989" w14:textId="77777777" w:rsidR="00740CA8" w:rsidRPr="004C78D8" w:rsidRDefault="00740CA8" w:rsidP="00FB7C1F">
            <w:pPr>
              <w:jc w:val="left"/>
              <w:rPr>
                <w:sz w:val="18"/>
                <w:szCs w:val="18"/>
              </w:rPr>
            </w:pPr>
            <w:r w:rsidRPr="004C78D8">
              <w:rPr>
                <w:sz w:val="18"/>
                <w:szCs w:val="18"/>
              </w:rPr>
              <w:t>£</w:t>
            </w:r>
            <w:r w:rsidR="00D27CF0" w:rsidRPr="004C78D8">
              <w:rPr>
                <w:sz w:val="18"/>
                <w:szCs w:val="18"/>
              </w:rPr>
              <w:t>295</w:t>
            </w:r>
            <w:r w:rsidRPr="004C78D8">
              <w:rPr>
                <w:sz w:val="18"/>
                <w:szCs w:val="18"/>
              </w:rPr>
              <w:t>,</w:t>
            </w:r>
            <w:r w:rsidR="00D27CF0" w:rsidRPr="004C78D8">
              <w:rPr>
                <w:sz w:val="18"/>
                <w:szCs w:val="18"/>
              </w:rPr>
              <w:t>215</w:t>
            </w:r>
            <w:r w:rsidRPr="004C78D8">
              <w:rPr>
                <w:sz w:val="18"/>
                <w:szCs w:val="18"/>
              </w:rPr>
              <w:t>,</w:t>
            </w:r>
            <w:r w:rsidR="00D27CF0" w:rsidRPr="004C78D8">
              <w:rPr>
                <w:sz w:val="18"/>
                <w:szCs w:val="18"/>
              </w:rPr>
              <w:t>304</w:t>
            </w:r>
          </w:p>
          <w:p w14:paraId="0C8F734D" w14:textId="24BECFD7" w:rsidR="00D27CF0" w:rsidRPr="004C78D8" w:rsidRDefault="00D27CF0" w:rsidP="00FB7C1F">
            <w:pPr>
              <w:jc w:val="left"/>
              <w:rPr>
                <w:sz w:val="18"/>
                <w:szCs w:val="18"/>
              </w:rPr>
            </w:pPr>
            <w:r w:rsidRPr="004C78D8">
              <w:rPr>
                <w:sz w:val="18"/>
                <w:szCs w:val="18"/>
              </w:rPr>
              <w:t>(£261,690,664 - £328,739,943)</w:t>
            </w:r>
          </w:p>
        </w:tc>
      </w:tr>
      <w:tr w:rsidR="00740CA8" w:rsidRPr="004C78D8" w14:paraId="1158C9D3" w14:textId="77777777" w:rsidTr="00E35893">
        <w:tc>
          <w:tcPr>
            <w:tcW w:w="5000" w:type="pct"/>
            <w:gridSpan w:val="4"/>
          </w:tcPr>
          <w:p w14:paraId="1ECFF273" w14:textId="7ABE25CC" w:rsidR="00740CA8" w:rsidRPr="004C78D8" w:rsidRDefault="00740CA8" w:rsidP="00FB7C1F">
            <w:pPr>
              <w:rPr>
                <w:sz w:val="18"/>
                <w:szCs w:val="18"/>
              </w:rPr>
            </w:pPr>
            <w:r w:rsidRPr="004C78D8">
              <w:rPr>
                <w:b/>
                <w:bCs/>
                <w:sz w:val="18"/>
                <w:szCs w:val="18"/>
              </w:rPr>
              <w:t>Abbreviation:</w:t>
            </w:r>
            <w:r w:rsidRPr="004C78D8">
              <w:rPr>
                <w:sz w:val="18"/>
                <w:szCs w:val="18"/>
              </w:rPr>
              <w:t xml:space="preserve"> ICER: incremental cost-effectiveness ratio; INMB: incremental net monetary benefit; LTC: long-term care; OOP: out-of-pocket; QALY: quality-adjusted life year</w:t>
            </w:r>
            <w:r w:rsidR="000201D7" w:rsidRPr="004C78D8">
              <w:rPr>
                <w:sz w:val="18"/>
                <w:szCs w:val="18"/>
              </w:rPr>
              <w:t>; SE: standard error</w:t>
            </w:r>
            <w:r w:rsidR="008E4891" w:rsidRPr="004C78D8">
              <w:rPr>
                <w:sz w:val="18"/>
                <w:szCs w:val="18"/>
              </w:rPr>
              <w:t>; UI: uncertainty interval</w:t>
            </w:r>
            <w:r w:rsidRPr="004C78D8">
              <w:rPr>
                <w:sz w:val="18"/>
                <w:szCs w:val="18"/>
              </w:rPr>
              <w:t>.</w:t>
            </w:r>
          </w:p>
          <w:p w14:paraId="2A94EDA3" w14:textId="77777777" w:rsidR="00740CA8" w:rsidRPr="004C78D8" w:rsidRDefault="00740CA8" w:rsidP="00FB7C1F">
            <w:pPr>
              <w:rPr>
                <w:sz w:val="18"/>
                <w:szCs w:val="18"/>
              </w:rPr>
            </w:pPr>
            <w:r w:rsidRPr="004C78D8">
              <w:rPr>
                <w:sz w:val="18"/>
                <w:szCs w:val="18"/>
                <w:vertAlign w:val="superscript"/>
              </w:rPr>
              <w:t>1</w:t>
            </w:r>
            <w:r w:rsidRPr="004C78D8">
              <w:rPr>
                <w:sz w:val="18"/>
                <w:szCs w:val="18"/>
              </w:rPr>
              <w:t xml:space="preserve"> All outcomes were averaged across 20 model trial runs with different random number seeds.</w:t>
            </w:r>
          </w:p>
          <w:p w14:paraId="2E6D411C" w14:textId="77777777" w:rsidR="00740CA8" w:rsidRPr="004C78D8" w:rsidRDefault="00740CA8" w:rsidP="00FB7C1F">
            <w:pPr>
              <w:rPr>
                <w:sz w:val="18"/>
                <w:szCs w:val="18"/>
              </w:rPr>
            </w:pPr>
            <w:r w:rsidRPr="004C78D8">
              <w:rPr>
                <w:sz w:val="18"/>
                <w:szCs w:val="18"/>
                <w:vertAlign w:val="superscript"/>
              </w:rPr>
              <w:t>2</w:t>
            </w:r>
            <w:r w:rsidRPr="004C78D8">
              <w:rPr>
                <w:sz w:val="18"/>
                <w:szCs w:val="18"/>
              </w:rPr>
              <w:t xml:space="preserve"> Includes costs of fall-related primary and secondary healthcare, comorbidity primary and secondary healthcare, cost of dying, community healthcare, short-term social care, all-cause long-term care.</w:t>
            </w:r>
          </w:p>
          <w:p w14:paraId="3067A02C" w14:textId="77777777" w:rsidR="00740CA8" w:rsidRPr="004C78D8" w:rsidRDefault="00740CA8" w:rsidP="00FB7C1F">
            <w:pPr>
              <w:rPr>
                <w:sz w:val="18"/>
                <w:szCs w:val="18"/>
              </w:rPr>
            </w:pPr>
            <w:r w:rsidRPr="004C78D8">
              <w:rPr>
                <w:sz w:val="18"/>
                <w:szCs w:val="18"/>
                <w:vertAlign w:val="superscript"/>
              </w:rPr>
              <w:t>3</w:t>
            </w:r>
            <w:r w:rsidRPr="004C78D8">
              <w:rPr>
                <w:sz w:val="18"/>
                <w:szCs w:val="18"/>
              </w:rPr>
              <w:t xml:space="preserve"> Includes values of paid and unpaid employment minus intervention time opportunity costs. </w:t>
            </w:r>
          </w:p>
          <w:p w14:paraId="12787906" w14:textId="77777777" w:rsidR="00740CA8" w:rsidRPr="004C78D8" w:rsidRDefault="00740CA8" w:rsidP="00FB7C1F">
            <w:pPr>
              <w:rPr>
                <w:sz w:val="18"/>
                <w:szCs w:val="18"/>
              </w:rPr>
            </w:pPr>
            <w:r w:rsidRPr="004C78D8">
              <w:rPr>
                <w:sz w:val="18"/>
                <w:szCs w:val="18"/>
                <w:vertAlign w:val="superscript"/>
              </w:rPr>
              <w:t>4</w:t>
            </w:r>
            <w:r w:rsidRPr="004C78D8">
              <w:rPr>
                <w:sz w:val="18"/>
                <w:szCs w:val="18"/>
              </w:rPr>
              <w:t xml:space="preserve"> Includes OOP care expenditure and privately incurred LTC cost minus intervention private co-payments.</w:t>
            </w:r>
          </w:p>
          <w:p w14:paraId="32C7A822" w14:textId="171EDDC8" w:rsidR="00740CA8" w:rsidRPr="004C78D8" w:rsidRDefault="00740CA8" w:rsidP="00FB7C1F">
            <w:pPr>
              <w:rPr>
                <w:sz w:val="18"/>
                <w:szCs w:val="18"/>
              </w:rPr>
            </w:pPr>
            <w:r w:rsidRPr="004C78D8">
              <w:rPr>
                <w:sz w:val="18"/>
                <w:szCs w:val="18"/>
                <w:vertAlign w:val="superscript"/>
              </w:rPr>
              <w:t>5</w:t>
            </w:r>
            <w:r w:rsidRPr="004C78D8">
              <w:rPr>
                <w:sz w:val="18"/>
                <w:szCs w:val="18"/>
              </w:rPr>
              <w:t xml:space="preserve"> Includes informal caregiver burden/cost minus intervention caregiver time opportunity costs.</w:t>
            </w:r>
          </w:p>
          <w:p w14:paraId="162EF309" w14:textId="7E9A7050" w:rsidR="00D916D2" w:rsidRPr="004C78D8" w:rsidRDefault="00D916D2" w:rsidP="00FB7C1F">
            <w:pPr>
              <w:rPr>
                <w:sz w:val="18"/>
                <w:szCs w:val="18"/>
              </w:rPr>
            </w:pPr>
            <w:r w:rsidRPr="004C78D8">
              <w:rPr>
                <w:sz w:val="18"/>
                <w:szCs w:val="18"/>
                <w:vertAlign w:val="superscript"/>
              </w:rPr>
              <w:t>6</w:t>
            </w:r>
            <w:r w:rsidRPr="004C78D8">
              <w:rPr>
                <w:sz w:val="18"/>
                <w:szCs w:val="18"/>
              </w:rPr>
              <w:t xml:space="preserve"> ICERs are computed using the jack-knife method to avoid bias associated with ratios</w:t>
            </w:r>
            <w:r w:rsidR="00181E3A" w:rsidRPr="004C78D8">
              <w:rPr>
                <w:sz w:val="18"/>
                <w:szCs w:val="18"/>
              </w:rPr>
              <w:t xml:space="preserve"> (p. 550)</w:t>
            </w:r>
            <w:r w:rsidRPr="004C78D8">
              <w:rPr>
                <w:sz w:val="18"/>
                <w:szCs w:val="18"/>
              </w:rPr>
              <w:t xml:space="preserve"> </w:t>
            </w:r>
            <w:r w:rsidRPr="004C78D8">
              <w:rPr>
                <w:sz w:val="18"/>
                <w:szCs w:val="18"/>
              </w:rPr>
              <w:fldChar w:fldCharType="begin"/>
            </w:r>
            <w:r w:rsidR="00C630FC" w:rsidRPr="004C78D8">
              <w:rPr>
                <w:sz w:val="18"/>
                <w:szCs w:val="18"/>
              </w:rPr>
              <w:instrText xml:space="preserve"> ADDIN EN.CITE &lt;EndNote&gt;&lt;Cite&gt;&lt;Author&gt;Law&lt;/Author&gt;&lt;Year&gt;2015&lt;/Year&gt;&lt;RecNum&gt;793&lt;/RecNum&gt;&lt;DisplayText&gt;[418]&lt;/DisplayText&gt;&lt;record&gt;&lt;rec-number&gt;793&lt;/rec-number&gt;&lt;foreign-keys&gt;&lt;key app="EN" db-id="tdtrdw9aepptzbefsat599syza29sxsd2wsp" timestamp="1643647782"&gt;793&lt;/key&gt;&lt;/foreign-keys&gt;&lt;ref-type name="Book"&gt;6&lt;/ref-type&gt;&lt;contributors&gt;&lt;authors&gt;&lt;author&gt;Law, Averill M&lt;/author&gt;&lt;/authors&gt;&lt;/contributors&gt;&lt;titles&gt;&lt;title&gt;Simulation Modelling and Analysis&lt;/title&gt;&lt;/titles&gt;&lt;edition&gt;5th Edition&lt;/edition&gt;&lt;dates&gt;&lt;year&gt;2015&lt;/year&gt;&lt;/dates&gt;&lt;publisher&gt;McGraw-Hill Education&lt;/publisher&gt;&lt;isbn&gt;978-0-07-340132-4&lt;/isbn&gt;&lt;urls&gt;&lt;/urls&gt;&lt;/record&gt;&lt;/Cite&gt;&lt;/EndNote&gt;</w:instrText>
            </w:r>
            <w:r w:rsidRPr="004C78D8">
              <w:rPr>
                <w:sz w:val="18"/>
                <w:szCs w:val="18"/>
              </w:rPr>
              <w:fldChar w:fldCharType="separate"/>
            </w:r>
            <w:r w:rsidR="00C630FC" w:rsidRPr="004C78D8">
              <w:rPr>
                <w:noProof/>
                <w:sz w:val="18"/>
                <w:szCs w:val="18"/>
              </w:rPr>
              <w:t>[418]</w:t>
            </w:r>
            <w:r w:rsidRPr="004C78D8">
              <w:rPr>
                <w:sz w:val="18"/>
                <w:szCs w:val="18"/>
              </w:rPr>
              <w:fldChar w:fldCharType="end"/>
            </w:r>
            <w:r w:rsidR="00423506" w:rsidRPr="004C78D8">
              <w:rPr>
                <w:sz w:val="18"/>
                <w:szCs w:val="18"/>
              </w:rPr>
              <w:t>.</w:t>
            </w:r>
          </w:p>
          <w:p w14:paraId="0B1BB76B" w14:textId="72A464E9" w:rsidR="00120584" w:rsidRPr="004C78D8" w:rsidRDefault="00D916D2" w:rsidP="00FB7C1F">
            <w:pPr>
              <w:rPr>
                <w:sz w:val="18"/>
                <w:szCs w:val="18"/>
              </w:rPr>
            </w:pPr>
            <w:r w:rsidRPr="004C78D8">
              <w:rPr>
                <w:sz w:val="18"/>
                <w:szCs w:val="18"/>
                <w:vertAlign w:val="superscript"/>
              </w:rPr>
              <w:t>7</w:t>
            </w:r>
            <w:r w:rsidR="00740CA8" w:rsidRPr="004C78D8">
              <w:rPr>
                <w:sz w:val="18"/>
                <w:szCs w:val="18"/>
              </w:rPr>
              <w:t xml:space="preserve"> The </w:t>
            </w:r>
            <w:r w:rsidR="00DE482D" w:rsidRPr="004C78D8">
              <w:rPr>
                <w:sz w:val="18"/>
                <w:szCs w:val="18"/>
              </w:rPr>
              <w:t xml:space="preserve">jack-knife means for </w:t>
            </w:r>
            <w:r w:rsidR="00740CA8" w:rsidRPr="004C78D8">
              <w:rPr>
                <w:sz w:val="18"/>
                <w:szCs w:val="18"/>
              </w:rPr>
              <w:t>public sector ICERs are £</w:t>
            </w:r>
            <w:r w:rsidR="00DE482D" w:rsidRPr="004C78D8">
              <w:rPr>
                <w:sz w:val="18"/>
                <w:szCs w:val="18"/>
              </w:rPr>
              <w:t>15</w:t>
            </w:r>
            <w:r w:rsidR="00740CA8" w:rsidRPr="004C78D8">
              <w:rPr>
                <w:sz w:val="18"/>
                <w:szCs w:val="18"/>
              </w:rPr>
              <w:t>,</w:t>
            </w:r>
            <w:r w:rsidR="00DE482D" w:rsidRPr="004C78D8">
              <w:rPr>
                <w:sz w:val="18"/>
                <w:szCs w:val="18"/>
              </w:rPr>
              <w:t>367</w:t>
            </w:r>
            <w:r w:rsidR="00740CA8" w:rsidRPr="004C78D8">
              <w:rPr>
                <w:sz w:val="18"/>
                <w:szCs w:val="18"/>
              </w:rPr>
              <w:t xml:space="preserve"> per QALY gain</w:t>
            </w:r>
            <w:r w:rsidR="000A0C62" w:rsidRPr="004C78D8">
              <w:rPr>
                <w:sz w:val="18"/>
                <w:szCs w:val="18"/>
              </w:rPr>
              <w:t>ed</w:t>
            </w:r>
            <w:r w:rsidR="00740CA8" w:rsidRPr="004C78D8">
              <w:rPr>
                <w:sz w:val="18"/>
                <w:szCs w:val="18"/>
              </w:rPr>
              <w:t xml:space="preserve"> using (1) and £</w:t>
            </w:r>
            <w:r w:rsidR="008E4891" w:rsidRPr="004C78D8">
              <w:rPr>
                <w:sz w:val="18"/>
                <w:szCs w:val="18"/>
              </w:rPr>
              <w:t>15</w:t>
            </w:r>
            <w:r w:rsidR="00740CA8" w:rsidRPr="004C78D8">
              <w:rPr>
                <w:sz w:val="18"/>
                <w:szCs w:val="18"/>
              </w:rPr>
              <w:t>,8</w:t>
            </w:r>
            <w:r w:rsidR="008E4891" w:rsidRPr="004C78D8">
              <w:rPr>
                <w:sz w:val="18"/>
                <w:szCs w:val="18"/>
              </w:rPr>
              <w:t>29</w:t>
            </w:r>
            <w:r w:rsidR="00740CA8" w:rsidRPr="004C78D8">
              <w:rPr>
                <w:sz w:val="18"/>
                <w:szCs w:val="18"/>
              </w:rPr>
              <w:t xml:space="preserve"> using (2).</w:t>
            </w:r>
          </w:p>
          <w:p w14:paraId="35B2399B" w14:textId="4A48D722" w:rsidR="00740CA8" w:rsidRPr="004C78D8" w:rsidRDefault="00D916D2" w:rsidP="00FB7C1F">
            <w:pPr>
              <w:rPr>
                <w:sz w:val="18"/>
                <w:szCs w:val="18"/>
              </w:rPr>
            </w:pPr>
            <w:r w:rsidRPr="004C78D8">
              <w:rPr>
                <w:sz w:val="18"/>
                <w:szCs w:val="18"/>
                <w:vertAlign w:val="superscript"/>
              </w:rPr>
              <w:t>8</w:t>
            </w:r>
            <w:r w:rsidR="00740CA8" w:rsidRPr="004C78D8">
              <w:rPr>
                <w:sz w:val="18"/>
                <w:szCs w:val="18"/>
              </w:rPr>
              <w:t xml:space="preserve"> </w:t>
            </w:r>
            <w:r w:rsidR="00120584" w:rsidRPr="004C78D8">
              <w:rPr>
                <w:sz w:val="18"/>
                <w:szCs w:val="18"/>
              </w:rPr>
              <w:t>The i</w:t>
            </w:r>
            <w:r w:rsidR="00740CA8" w:rsidRPr="004C78D8">
              <w:rPr>
                <w:sz w:val="18"/>
                <w:szCs w:val="18"/>
              </w:rPr>
              <w:t xml:space="preserve">ncremental net monetary benefits </w:t>
            </w:r>
            <w:r w:rsidR="00120584" w:rsidRPr="004C78D8">
              <w:rPr>
                <w:sz w:val="18"/>
                <w:szCs w:val="18"/>
              </w:rPr>
              <w:t>we</w:t>
            </w:r>
            <w:r w:rsidR="00740CA8" w:rsidRPr="004C78D8">
              <w:rPr>
                <w:sz w:val="18"/>
                <w:szCs w:val="18"/>
              </w:rPr>
              <w:t xml:space="preserve">re estimated </w:t>
            </w:r>
            <w:r w:rsidR="00551F7A" w:rsidRPr="004C78D8">
              <w:rPr>
                <w:sz w:val="18"/>
                <w:szCs w:val="18"/>
              </w:rPr>
              <w:t xml:space="preserve">from the incremental outcomes rather than from jack-knife method </w:t>
            </w:r>
            <w:r w:rsidR="00740CA8" w:rsidRPr="004C78D8">
              <w:rPr>
                <w:sz w:val="18"/>
                <w:szCs w:val="18"/>
              </w:rPr>
              <w:t>using the cost-effectiveness threshold of £30,000 per QALY gain</w:t>
            </w:r>
            <w:r w:rsidR="000A0C62" w:rsidRPr="004C78D8">
              <w:rPr>
                <w:sz w:val="18"/>
                <w:szCs w:val="18"/>
              </w:rPr>
              <w:t>ed</w:t>
            </w:r>
            <w:r w:rsidR="00740CA8" w:rsidRPr="004C78D8">
              <w:rPr>
                <w:sz w:val="18"/>
                <w:szCs w:val="18"/>
              </w:rPr>
              <w:t>.</w:t>
            </w:r>
          </w:p>
        </w:tc>
      </w:tr>
    </w:tbl>
    <w:p w14:paraId="6B4C383F" w14:textId="77777777" w:rsidR="00740CA8" w:rsidRPr="004C78D8" w:rsidRDefault="00740CA8" w:rsidP="00FB7C1F"/>
    <w:p w14:paraId="37E19E91" w14:textId="1CB2CE7F" w:rsidR="00460A5E" w:rsidRPr="004C78D8" w:rsidRDefault="00FB49F2" w:rsidP="00FB7C1F">
      <w:r w:rsidRPr="004C78D8">
        <w:t xml:space="preserve">Figure </w:t>
      </w:r>
      <w:r w:rsidR="0057571B" w:rsidRPr="004C78D8">
        <w:t>6</w:t>
      </w:r>
      <w:r w:rsidRPr="004C78D8">
        <w:t xml:space="preserve">.2 shows the scatter plot of </w:t>
      </w:r>
      <w:r w:rsidR="00CF28D5" w:rsidRPr="004C78D8">
        <w:t xml:space="preserve">outcomes – incremental societal QALY and incremental public sector </w:t>
      </w:r>
      <w:r w:rsidR="00D85BE3" w:rsidRPr="004C78D8">
        <w:t xml:space="preserve">all-cause </w:t>
      </w:r>
      <w:r w:rsidR="00CF28D5" w:rsidRPr="004C78D8">
        <w:t xml:space="preserve">cost of RC relative to UC – of the </w:t>
      </w:r>
      <w:r w:rsidR="00766D9A" w:rsidRPr="004C78D8">
        <w:t xml:space="preserve">1,000 </w:t>
      </w:r>
      <w:r w:rsidRPr="004C78D8">
        <w:t>probabilistic runs.</w:t>
      </w:r>
      <w:r w:rsidR="0038586E" w:rsidRPr="004C78D8">
        <w:t xml:space="preserve"> </w:t>
      </w:r>
      <w:r w:rsidR="004F064D" w:rsidRPr="004C78D8">
        <w:t>See Figure F</w:t>
      </w:r>
      <w:r w:rsidR="00766D9A" w:rsidRPr="004C78D8">
        <w:t>2</w:t>
      </w:r>
      <w:r w:rsidR="004F064D" w:rsidRPr="004C78D8">
        <w:t xml:space="preserve"> for the corresponding scatter plot under the public sector perspective. </w:t>
      </w:r>
      <w:r w:rsidR="0080111D" w:rsidRPr="004C78D8">
        <w:t xml:space="preserve">The scatter points for the probabilistic runs were </w:t>
      </w:r>
      <w:r w:rsidR="00985C94" w:rsidRPr="004C78D8">
        <w:t xml:space="preserve">uniformly placed in the north-east quadrant of the incremental QALY-cost graph and </w:t>
      </w:r>
      <w:r w:rsidR="0080111D" w:rsidRPr="004C78D8">
        <w:t xml:space="preserve">centred around the base seed run. </w:t>
      </w:r>
      <w:r w:rsidR="007B380D" w:rsidRPr="004C78D8">
        <w:t xml:space="preserve">All points lay below the line </w:t>
      </w:r>
      <w:r w:rsidR="00F020E2" w:rsidRPr="004C78D8">
        <w:t>for</w:t>
      </w:r>
      <w:r w:rsidR="007B380D" w:rsidRPr="004C78D8">
        <w:t xml:space="preserve"> the £30,000 per QALY gain</w:t>
      </w:r>
      <w:r w:rsidR="000A0C62" w:rsidRPr="004C78D8">
        <w:t>ed</w:t>
      </w:r>
      <w:r w:rsidR="007B380D" w:rsidRPr="004C78D8">
        <w:t xml:space="preserve"> cost-effectiveness threshold, while a minority of runs lay above the line for the £20,000 per QALY </w:t>
      </w:r>
      <w:r w:rsidR="000A0C62" w:rsidRPr="004C78D8">
        <w:t xml:space="preserve">gained </w:t>
      </w:r>
      <w:r w:rsidR="007B380D" w:rsidRPr="004C78D8">
        <w:t xml:space="preserve">threshold. </w:t>
      </w:r>
    </w:p>
    <w:p w14:paraId="1C386C4C" w14:textId="7094A2E8" w:rsidR="005624E7" w:rsidRPr="004C78D8" w:rsidRDefault="00A1003D" w:rsidP="00FB7C1F">
      <w:r w:rsidRPr="004C78D8">
        <w:rPr>
          <w:noProof/>
          <w:lang w:eastAsia="en-GB"/>
        </w:rPr>
        <mc:AlternateContent>
          <mc:Choice Requires="wps">
            <w:drawing>
              <wp:anchor distT="0" distB="0" distL="114300" distR="114300" simplePos="0" relativeHeight="251661312" behindDoc="0" locked="0" layoutInCell="1" allowOverlap="1" wp14:anchorId="27C0364D" wp14:editId="56B172F9">
                <wp:simplePos x="0" y="0"/>
                <wp:positionH relativeFrom="column">
                  <wp:posOffset>3632200</wp:posOffset>
                </wp:positionH>
                <wp:positionV relativeFrom="paragraph">
                  <wp:posOffset>19050</wp:posOffset>
                </wp:positionV>
                <wp:extent cx="889000" cy="54102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0" cy="541020"/>
                        </a:xfrm>
                        <a:prstGeom prst="rect">
                          <a:avLst/>
                        </a:prstGeom>
                        <a:noFill/>
                        <a:ln w="6350">
                          <a:noFill/>
                        </a:ln>
                      </wps:spPr>
                      <wps:txbx>
                        <w:txbxContent>
                          <w:p w14:paraId="7DB184B9" w14:textId="7421500E" w:rsidR="001407C3" w:rsidRPr="001407C3" w:rsidRDefault="001407C3" w:rsidP="001407C3">
                            <w:pPr>
                              <w:jc w:val="left"/>
                              <w:rPr>
                                <w:color w:val="FF0000"/>
                                <w:sz w:val="16"/>
                                <w:szCs w:val="16"/>
                              </w:rPr>
                            </w:pPr>
                            <w:r w:rsidRPr="001407C3">
                              <w:rPr>
                                <w:color w:val="FF0000"/>
                                <w:sz w:val="16"/>
                                <w:szCs w:val="16"/>
                              </w:rPr>
                              <w:t>Threshold: £20,000 per QALY gain</w:t>
                            </w:r>
                            <w:r w:rsidR="00F76D66">
                              <w:rPr>
                                <w:color w:val="FF0000"/>
                                <w:sz w:val="16"/>
                                <w:szCs w:val="16"/>
                              </w:rPr>
                              <w: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0364D" id="_x0000_t202" coordsize="21600,21600" o:spt="202" path="m,l,21600r21600,l21600,xe">
                <v:stroke joinstyle="miter"/>
                <v:path gradientshapeok="t" o:connecttype="rect"/>
              </v:shapetype>
              <v:shape id="Text Box 25" o:spid="_x0000_s1063" type="#_x0000_t202" style="position:absolute;left:0;text-align:left;margin-left:286pt;margin-top:1.5pt;width:70pt;height:4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" filled="f" stroked="f" strokeweight=".5pt">
                <v:textbox>
                  <w:txbxContent>
                    <w:p w14:paraId="7DB184B9" w14:textId="7421500E" w:rsidR="001407C3" w:rsidRPr="001407C3" w:rsidRDefault="001407C3" w:rsidP="001407C3">
                      <w:pPr>
                        <w:jc w:val="left"/>
                        <w:rPr>
                          <w:color w:val="FF0000"/>
                          <w:sz w:val="16"/>
                          <w:szCs w:val="16"/>
                        </w:rPr>
                      </w:pPr>
                      <w:r w:rsidRPr="001407C3">
                        <w:rPr>
                          <w:color w:val="FF0000"/>
                          <w:sz w:val="16"/>
                          <w:szCs w:val="16"/>
                        </w:rPr>
                        <w:t>Threshold: £20,000 per QALY gain</w:t>
                      </w:r>
                      <w:r w:rsidR="00F76D66">
                        <w:rPr>
                          <w:color w:val="FF0000"/>
                          <w:sz w:val="16"/>
                          <w:szCs w:val="16"/>
                        </w:rPr>
                        <w:t>ed</w:t>
                      </w:r>
                    </w:p>
                  </w:txbxContent>
                </v:textbox>
              </v:shape>
            </w:pict>
          </mc:Fallback>
        </mc:AlternateContent>
      </w:r>
      <w:r w:rsidRPr="004C78D8">
        <w:rPr>
          <w:noProof/>
          <w:lang w:eastAsia="en-GB"/>
        </w:rPr>
        <mc:AlternateContent>
          <mc:Choice Requires="wps">
            <w:drawing>
              <wp:anchor distT="0" distB="0" distL="114300" distR="114300" simplePos="0" relativeHeight="251659264" behindDoc="0" locked="0" layoutInCell="1" allowOverlap="1" wp14:anchorId="5181AAD0" wp14:editId="52F0E60F">
                <wp:simplePos x="0" y="0"/>
                <wp:positionH relativeFrom="column">
                  <wp:posOffset>1695450</wp:posOffset>
                </wp:positionH>
                <wp:positionV relativeFrom="paragraph">
                  <wp:posOffset>12700</wp:posOffset>
                </wp:positionV>
                <wp:extent cx="820420" cy="54102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0420" cy="541020"/>
                        </a:xfrm>
                        <a:prstGeom prst="rect">
                          <a:avLst/>
                        </a:prstGeom>
                        <a:noFill/>
                        <a:ln w="6350">
                          <a:noFill/>
                        </a:ln>
                      </wps:spPr>
                      <wps:txbx>
                        <w:txbxContent>
                          <w:p w14:paraId="2ADC7D19" w14:textId="25C995D1" w:rsidR="001407C3" w:rsidRPr="001407C3" w:rsidRDefault="001407C3" w:rsidP="001407C3">
                            <w:pPr>
                              <w:jc w:val="left"/>
                              <w:rPr>
                                <w:color w:val="FF0000"/>
                                <w:sz w:val="16"/>
                                <w:szCs w:val="16"/>
                              </w:rPr>
                            </w:pPr>
                            <w:r w:rsidRPr="001407C3">
                              <w:rPr>
                                <w:color w:val="FF0000"/>
                                <w:sz w:val="16"/>
                                <w:szCs w:val="16"/>
                              </w:rPr>
                              <w:t>Threshold: £30,000 per QALY gain</w:t>
                            </w:r>
                            <w:r w:rsidR="00F76D66">
                              <w:rPr>
                                <w:color w:val="FF0000"/>
                                <w:sz w:val="16"/>
                                <w:szCs w:val="16"/>
                              </w:rPr>
                              <w: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1AAD0" id="Text Box 22" o:spid="_x0000_s1064" type="#_x0000_t202" style="position:absolute;left:0;text-align:left;margin-left:133.5pt;margin-top:1pt;width:64.6pt;height:4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" filled="f" stroked="f" strokeweight=".5pt">
                <v:textbox>
                  <w:txbxContent>
                    <w:p w14:paraId="2ADC7D19" w14:textId="25C995D1" w:rsidR="001407C3" w:rsidRPr="001407C3" w:rsidRDefault="001407C3" w:rsidP="001407C3">
                      <w:pPr>
                        <w:jc w:val="left"/>
                        <w:rPr>
                          <w:color w:val="FF0000"/>
                          <w:sz w:val="16"/>
                          <w:szCs w:val="16"/>
                        </w:rPr>
                      </w:pPr>
                      <w:r w:rsidRPr="001407C3">
                        <w:rPr>
                          <w:color w:val="FF0000"/>
                          <w:sz w:val="16"/>
                          <w:szCs w:val="16"/>
                        </w:rPr>
                        <w:t>Threshold: £30,000 per QALY gain</w:t>
                      </w:r>
                      <w:r w:rsidR="00F76D66">
                        <w:rPr>
                          <w:color w:val="FF0000"/>
                          <w:sz w:val="16"/>
                          <w:szCs w:val="16"/>
                        </w:rPr>
                        <w:t>ed</w:t>
                      </w:r>
                    </w:p>
                  </w:txbxContent>
                </v:textbox>
              </v:shape>
            </w:pict>
          </mc:Fallback>
        </mc:AlternateContent>
      </w:r>
      <w:r w:rsidR="005624E7" w:rsidRPr="004C78D8">
        <w:rPr>
          <w:noProof/>
          <w:lang w:eastAsia="en-GB"/>
        </w:rPr>
        <w:drawing>
          <wp:inline distT="0" distB="0" distL="0" distR="0" wp14:anchorId="3B3B572F" wp14:editId="406EE13D">
            <wp:extent cx="5731510" cy="2830983"/>
            <wp:effectExtent l="0" t="0" r="2540" b="7620"/>
            <wp:docPr id="19" name="Chart 19">
              <a:extLst xmlns:a="http://schemas.openxmlformats.org/drawingml/2006/main">
                <a:ext uri="{FF2B5EF4-FFF2-40B4-BE49-F238E27FC236}">
                  <a16:creationId xmlns:a16="http://schemas.microsoft.com/office/drawing/2014/main" id="{8A6BF8F7-76CC-4007-8044-0B6EF920AD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49D2363" w14:textId="12A890F1" w:rsidR="00497D5F" w:rsidRPr="004C78D8" w:rsidRDefault="003B2723" w:rsidP="00FB7C1F">
      <w:bookmarkStart w:id="178" w:name="_Hlk89108361"/>
      <w:r w:rsidRPr="004C78D8">
        <w:rPr>
          <w:b/>
          <w:bCs/>
        </w:rPr>
        <w:t xml:space="preserve">Figure </w:t>
      </w:r>
      <w:r w:rsidR="0057571B" w:rsidRPr="004C78D8">
        <w:rPr>
          <w:b/>
          <w:bCs/>
        </w:rPr>
        <w:t>6</w:t>
      </w:r>
      <w:r w:rsidR="00587993" w:rsidRPr="004C78D8">
        <w:rPr>
          <w:b/>
          <w:bCs/>
        </w:rPr>
        <w:t>.2</w:t>
      </w:r>
      <w:r w:rsidR="00587993" w:rsidRPr="004C78D8">
        <w:t xml:space="preserve"> Scatter plot </w:t>
      </w:r>
      <w:r w:rsidR="0073455A" w:rsidRPr="004C78D8">
        <w:t xml:space="preserve">of </w:t>
      </w:r>
      <w:r w:rsidR="00587993" w:rsidRPr="004C78D8">
        <w:t xml:space="preserve">probabilistic sensitivity analysis </w:t>
      </w:r>
      <w:r w:rsidR="0073455A" w:rsidRPr="004C78D8">
        <w:t>result for base case cost-utility analysis under societal perspective and 40-year horizon</w:t>
      </w:r>
      <w:r w:rsidR="00587993" w:rsidRPr="004C78D8">
        <w:t xml:space="preserve">. </w:t>
      </w:r>
      <w:r w:rsidR="0073455A" w:rsidRPr="004C78D8">
        <w:rPr>
          <w:b/>
          <w:bCs/>
        </w:rPr>
        <w:t>Abbreviation:</w:t>
      </w:r>
      <w:r w:rsidR="0073455A" w:rsidRPr="004C78D8">
        <w:t xml:space="preserve"> QALY: quality-adjusted life year.</w:t>
      </w:r>
    </w:p>
    <w:p w14:paraId="6C037B09" w14:textId="302D5E8E" w:rsidR="00393DEF" w:rsidRPr="004C78D8" w:rsidRDefault="00FA0265" w:rsidP="00FB7C1F">
      <w:bookmarkStart w:id="179" w:name="_Hlk89108300"/>
      <w:bookmarkEnd w:id="178"/>
      <w:r w:rsidRPr="004C78D8">
        <w:t xml:space="preserve">Figure </w:t>
      </w:r>
      <w:r w:rsidR="0057571B" w:rsidRPr="004C78D8">
        <w:t>6</w:t>
      </w:r>
      <w:r w:rsidRPr="004C78D8">
        <w:t>.3 shows the CEAC for the base case societal 40-year CUA. The probability of RC being cost-effective relative to UC crossed 50% at cost-effectiveness threshold of £13,700 per QALY gain</w:t>
      </w:r>
      <w:r w:rsidR="000A0C62" w:rsidRPr="004C78D8">
        <w:t>ed</w:t>
      </w:r>
      <w:r w:rsidRPr="004C78D8">
        <w:t xml:space="preserve">. </w:t>
      </w:r>
      <w:bookmarkEnd w:id="179"/>
      <w:r w:rsidRPr="004C78D8">
        <w:t>It was 93.4% at the threshold of £20,000 per QALY gain</w:t>
      </w:r>
      <w:r w:rsidR="000A0C62" w:rsidRPr="004C78D8">
        <w:t>ed</w:t>
      </w:r>
      <w:r w:rsidRPr="004C78D8">
        <w:t xml:space="preserve"> and 100% at £30,000 per QALY gain</w:t>
      </w:r>
      <w:r w:rsidR="000A0C62" w:rsidRPr="004C78D8">
        <w:t>ed</w:t>
      </w:r>
      <w:r w:rsidRPr="004C78D8">
        <w:t xml:space="preserve">. </w:t>
      </w:r>
      <w:r w:rsidR="004F064D" w:rsidRPr="004C78D8">
        <w:t>See Figure F</w:t>
      </w:r>
      <w:r w:rsidR="00BB286A" w:rsidRPr="004C78D8">
        <w:t>3</w:t>
      </w:r>
      <w:r w:rsidR="004F064D" w:rsidRPr="004C78D8">
        <w:t xml:space="preserve"> for the corresponding results under the public sector perspective.</w:t>
      </w:r>
    </w:p>
    <w:p w14:paraId="7D9AA89B" w14:textId="672AC8F5" w:rsidR="00906493" w:rsidRPr="004C78D8" w:rsidRDefault="00C62831" w:rsidP="00FB7C1F">
      <w:r w:rsidRPr="004C78D8">
        <w:rPr>
          <w:noProof/>
          <w:lang w:eastAsia="en-GB"/>
        </w:rPr>
        <w:drawing>
          <wp:inline distT="0" distB="0" distL="0" distR="0" wp14:anchorId="6F6C3D09" wp14:editId="536D75F0">
            <wp:extent cx="5676900" cy="2654300"/>
            <wp:effectExtent l="0" t="0" r="0" b="12700"/>
            <wp:docPr id="18" name="Chart 18">
              <a:extLst xmlns:a="http://schemas.openxmlformats.org/drawingml/2006/main">
                <a:ext uri="{FF2B5EF4-FFF2-40B4-BE49-F238E27FC236}">
                  <a16:creationId xmlns:a16="http://schemas.microsoft.com/office/drawing/2014/main" id="{BF56495D-058F-43C1-BB53-C6459CCB33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199DD51" w14:textId="00237280" w:rsidR="004535A4" w:rsidRPr="004C78D8" w:rsidRDefault="004535A4" w:rsidP="00FB7C1F">
      <w:bookmarkStart w:id="180" w:name="_Hlk89108396"/>
      <w:r w:rsidRPr="004C78D8">
        <w:rPr>
          <w:b/>
          <w:bCs/>
        </w:rPr>
        <w:t xml:space="preserve">Figure </w:t>
      </w:r>
      <w:r w:rsidR="0057571B" w:rsidRPr="004C78D8">
        <w:rPr>
          <w:b/>
          <w:bCs/>
        </w:rPr>
        <w:t>6</w:t>
      </w:r>
      <w:r w:rsidRPr="004C78D8">
        <w:rPr>
          <w:b/>
          <w:bCs/>
        </w:rPr>
        <w:t>.3</w:t>
      </w:r>
      <w:r w:rsidRPr="004C78D8">
        <w:t xml:space="preserve"> Cost-effectiveness acceptability curve </w:t>
      </w:r>
      <w:r w:rsidR="00081A53" w:rsidRPr="004C78D8">
        <w:t xml:space="preserve">for base case cost-utility analysis under societal perspective and 40-year horizon. </w:t>
      </w:r>
      <w:r w:rsidR="00081A53" w:rsidRPr="004C78D8">
        <w:rPr>
          <w:b/>
          <w:bCs/>
        </w:rPr>
        <w:t>Abbreviation:</w:t>
      </w:r>
      <w:r w:rsidR="00081A53" w:rsidRPr="004C78D8">
        <w:t xml:space="preserve"> QALY: quality-adjusted life year; RC: recommended care; UC: usual care.</w:t>
      </w:r>
      <w:bookmarkEnd w:id="180"/>
    </w:p>
    <w:p w14:paraId="33E8E49A" w14:textId="7B90D28F" w:rsidR="00D507CD" w:rsidRPr="004C78D8" w:rsidRDefault="0057571B" w:rsidP="00FB7C1F">
      <w:pPr>
        <w:pStyle w:val="Heading3"/>
      </w:pPr>
      <w:bookmarkStart w:id="181" w:name="_Toc111630793"/>
      <w:r w:rsidRPr="004C78D8">
        <w:t>6</w:t>
      </w:r>
      <w:r w:rsidR="00D507CD" w:rsidRPr="004C78D8">
        <w:t>.</w:t>
      </w:r>
      <w:r w:rsidR="00460A5E" w:rsidRPr="004C78D8">
        <w:t>2.</w:t>
      </w:r>
      <w:r w:rsidR="004E739D" w:rsidRPr="004C78D8">
        <w:t>3</w:t>
      </w:r>
      <w:r w:rsidR="00D507CD" w:rsidRPr="004C78D8">
        <w:t xml:space="preserve"> Deterministic sensitivity analysis</w:t>
      </w:r>
      <w:bookmarkEnd w:id="181"/>
    </w:p>
    <w:p w14:paraId="7033692C" w14:textId="27B9EFD1" w:rsidR="00D85BE3" w:rsidRPr="004C78D8" w:rsidRDefault="00D85BE3" w:rsidP="00FB7C1F">
      <w:r w:rsidRPr="004C78D8">
        <w:t xml:space="preserve">As </w:t>
      </w:r>
      <w:r w:rsidR="00F020E2" w:rsidRPr="004C78D8">
        <w:t>not</w:t>
      </w:r>
      <w:r w:rsidRPr="004C78D8">
        <w:t xml:space="preserve">ed, the </w:t>
      </w:r>
      <w:r w:rsidR="00305FED" w:rsidRPr="004C78D8">
        <w:t xml:space="preserve">jack-knife </w:t>
      </w:r>
      <w:r w:rsidRPr="004C78D8">
        <w:t xml:space="preserve">mean societal ICER across the probabilistic runs was £14,067 (95% </w:t>
      </w:r>
      <w:r w:rsidR="00F020E2" w:rsidRPr="004C78D8">
        <w:t>uncertainty</w:t>
      </w:r>
      <w:r w:rsidRPr="004C78D8">
        <w:t xml:space="preserve"> interval: £1</w:t>
      </w:r>
      <w:r w:rsidR="00DA5FBE" w:rsidRPr="004C78D8">
        <w:t>2</w:t>
      </w:r>
      <w:r w:rsidRPr="004C78D8">
        <w:t>,</w:t>
      </w:r>
      <w:r w:rsidR="00DA5FBE" w:rsidRPr="004C78D8">
        <w:t>0</w:t>
      </w:r>
      <w:r w:rsidRPr="004C78D8">
        <w:t>11 to £1</w:t>
      </w:r>
      <w:r w:rsidR="00DA5FBE" w:rsidRPr="004C78D8">
        <w:t>5</w:t>
      </w:r>
      <w:r w:rsidRPr="004C78D8">
        <w:t>,</w:t>
      </w:r>
      <w:r w:rsidR="00DA5FBE" w:rsidRPr="004C78D8">
        <w:t>9</w:t>
      </w:r>
      <w:r w:rsidRPr="004C78D8">
        <w:t>23) per QALY gain</w:t>
      </w:r>
      <w:r w:rsidR="000A0C62" w:rsidRPr="004C78D8">
        <w:t>ed</w:t>
      </w:r>
      <w:r w:rsidR="00305FED" w:rsidRPr="004C78D8">
        <w:t xml:space="preserve">; in comparison, the deterministic base seed run produced a </w:t>
      </w:r>
      <w:r w:rsidR="00E40B3E" w:rsidRPr="004C78D8">
        <w:t>s</w:t>
      </w:r>
      <w:r w:rsidR="00305FED" w:rsidRPr="004C78D8">
        <w:t>ocietal ICER of £12,800 per QALY gain</w:t>
      </w:r>
      <w:r w:rsidR="000A0C62" w:rsidRPr="004C78D8">
        <w:t>ed</w:t>
      </w:r>
      <w:r w:rsidR="00305FED" w:rsidRPr="004C78D8">
        <w:t xml:space="preserve">. </w:t>
      </w:r>
      <w:r w:rsidR="006004C4" w:rsidRPr="004C78D8">
        <w:t xml:space="preserve">The latter was lower but </w:t>
      </w:r>
      <w:r w:rsidR="00BD1CBF" w:rsidRPr="004C78D8">
        <w:t>lied</w:t>
      </w:r>
      <w:r w:rsidR="006004C4" w:rsidRPr="004C78D8">
        <w:t xml:space="preserve"> within </w:t>
      </w:r>
      <w:r w:rsidR="00BD1CBF" w:rsidRPr="004C78D8">
        <w:t>the</w:t>
      </w:r>
      <w:r w:rsidR="006004C4" w:rsidRPr="004C78D8">
        <w:t xml:space="preserve"> 95% </w:t>
      </w:r>
      <w:r w:rsidR="00BD1CBF" w:rsidRPr="004C78D8">
        <w:t>uncert</w:t>
      </w:r>
      <w:r w:rsidR="00EB237C" w:rsidRPr="004C78D8">
        <w:t>ainty</w:t>
      </w:r>
      <w:r w:rsidR="006004C4" w:rsidRPr="004C78D8">
        <w:t xml:space="preserve"> interval. Thus, the level of non-linearity in the joint impact of parameter variations was deemed low</w:t>
      </w:r>
      <w:r w:rsidR="00EB237C" w:rsidRPr="004C78D8">
        <w:t>.</w:t>
      </w:r>
      <w:r w:rsidR="006004C4" w:rsidRPr="004C78D8">
        <w:t xml:space="preserve"> </w:t>
      </w:r>
      <w:r w:rsidR="00EB237C" w:rsidRPr="004C78D8">
        <w:t>T</w:t>
      </w:r>
      <w:r w:rsidR="00E40B3E" w:rsidRPr="004C78D8">
        <w:t xml:space="preserve">he deterministic alterations to individual parameters </w:t>
      </w:r>
      <w:r w:rsidR="000C65C5" w:rsidRPr="004C78D8">
        <w:t xml:space="preserve">hence </w:t>
      </w:r>
      <w:r w:rsidR="00E40B3E" w:rsidRPr="004C78D8">
        <w:t xml:space="preserve">proceeded without jointly varying all other parameters. </w:t>
      </w:r>
      <w:r w:rsidR="004E739D" w:rsidRPr="004C78D8">
        <w:t>DSA was conducted on the base trial run</w:t>
      </w:r>
      <w:r w:rsidR="00EB237C" w:rsidRPr="004C78D8">
        <w:t xml:space="preserve"> as in PSA</w:t>
      </w:r>
      <w:r w:rsidR="004E739D" w:rsidRPr="004C78D8">
        <w:t>.</w:t>
      </w:r>
    </w:p>
    <w:p w14:paraId="0896BAD2" w14:textId="3A32FF04" w:rsidR="00D507CD" w:rsidRPr="004C78D8" w:rsidRDefault="00D507CD" w:rsidP="00FB7C1F">
      <w:r w:rsidRPr="004C78D8">
        <w:t xml:space="preserve">Table </w:t>
      </w:r>
      <w:r w:rsidR="00537CA8" w:rsidRPr="004C78D8">
        <w:t>6</w:t>
      </w:r>
      <w:r w:rsidRPr="004C78D8">
        <w:t>.</w:t>
      </w:r>
      <w:r w:rsidR="009A7FEF" w:rsidRPr="004C78D8">
        <w:t>5</w:t>
      </w:r>
      <w:r w:rsidRPr="004C78D8">
        <w:t xml:space="preserve"> shows the societal and public sector ICERs (considering all-cause costs) of variables with the top 20 highest impact on the base case societal ICER (there were 71 variables in total). The first column lists the variables in decreasing order of impact on the base case societal ICER, while the final column reports the rankings of the variables in terms of their impact on the base case public sector ICER. There was a close overlap in the top 20 variables that affected the societal and public sector ICERs. </w:t>
      </w:r>
    </w:p>
    <w:tbl>
      <w:tblPr>
        <w:tblStyle w:val="TableGrid"/>
        <w:tblW w:w="5000" w:type="pct"/>
        <w:tblLook w:val="04A0" w:firstRow="1" w:lastRow="0" w:firstColumn="1" w:lastColumn="0" w:noHBand="0" w:noVBand="1"/>
      </w:tblPr>
      <w:tblGrid>
        <w:gridCol w:w="2120"/>
        <w:gridCol w:w="1417"/>
        <w:gridCol w:w="1419"/>
        <w:gridCol w:w="1417"/>
        <w:gridCol w:w="1419"/>
        <w:gridCol w:w="1224"/>
      </w:tblGrid>
      <w:tr w:rsidR="00D507CD" w:rsidRPr="004C78D8" w14:paraId="53A6A0DC" w14:textId="77777777" w:rsidTr="00E35893">
        <w:tc>
          <w:tcPr>
            <w:tcW w:w="5000" w:type="pct"/>
            <w:gridSpan w:val="6"/>
          </w:tcPr>
          <w:p w14:paraId="1989B9B9" w14:textId="516DFFBD" w:rsidR="00D507CD" w:rsidRPr="004C78D8" w:rsidRDefault="00D507CD" w:rsidP="00FB7C1F">
            <w:r w:rsidRPr="004C78D8">
              <w:rPr>
                <w:b/>
                <w:bCs/>
              </w:rPr>
              <w:t xml:space="preserve">Table </w:t>
            </w:r>
            <w:r w:rsidR="00537CA8" w:rsidRPr="004C78D8">
              <w:rPr>
                <w:b/>
                <w:bCs/>
              </w:rPr>
              <w:t>6</w:t>
            </w:r>
            <w:r w:rsidRPr="004C78D8">
              <w:rPr>
                <w:b/>
                <w:bCs/>
              </w:rPr>
              <w:t>.</w:t>
            </w:r>
            <w:r w:rsidR="00E66ACC" w:rsidRPr="004C78D8">
              <w:rPr>
                <w:b/>
                <w:bCs/>
              </w:rPr>
              <w:t>5</w:t>
            </w:r>
            <w:r w:rsidRPr="004C78D8">
              <w:t xml:space="preserve"> </w:t>
            </w:r>
            <w:r w:rsidR="00E66ACC" w:rsidRPr="004C78D8">
              <w:t>D</w:t>
            </w:r>
            <w:r w:rsidRPr="004C78D8">
              <w:t>eterministic sensitivity analysis</w:t>
            </w:r>
            <w:r w:rsidR="00E66ACC" w:rsidRPr="004C78D8">
              <w:t xml:space="preserve"> results</w:t>
            </w:r>
            <w:r w:rsidRPr="004C78D8">
              <w:t>: parameters with top 20 highest impact on incremental cost-effectiveness ratio considering all-cause costs over 40-year horizon.</w:t>
            </w:r>
          </w:p>
        </w:tc>
      </w:tr>
      <w:tr w:rsidR="00D507CD" w:rsidRPr="004C78D8" w14:paraId="64E9480B" w14:textId="77777777" w:rsidTr="00E35893">
        <w:tc>
          <w:tcPr>
            <w:tcW w:w="1175" w:type="pct"/>
            <w:vMerge w:val="restart"/>
            <w:vAlign w:val="bottom"/>
          </w:tcPr>
          <w:p w14:paraId="3A75E9AB" w14:textId="77777777" w:rsidR="00D507CD" w:rsidRPr="004C78D8" w:rsidRDefault="00D507CD" w:rsidP="00FB7C1F">
            <w:pPr>
              <w:jc w:val="left"/>
              <w:rPr>
                <w:b/>
                <w:bCs/>
                <w:sz w:val="20"/>
                <w:szCs w:val="20"/>
              </w:rPr>
            </w:pPr>
            <w:r w:rsidRPr="004C78D8">
              <w:rPr>
                <w:b/>
                <w:bCs/>
                <w:sz w:val="18"/>
                <w:szCs w:val="18"/>
              </w:rPr>
              <w:t>Variable, by impact ranking on societal ICER</w:t>
            </w:r>
          </w:p>
        </w:tc>
        <w:tc>
          <w:tcPr>
            <w:tcW w:w="1573" w:type="pct"/>
            <w:gridSpan w:val="2"/>
          </w:tcPr>
          <w:p w14:paraId="5892257A" w14:textId="405AD5DA" w:rsidR="00D507CD" w:rsidRPr="004C78D8" w:rsidRDefault="00D507CD" w:rsidP="00FB7C1F">
            <w:pPr>
              <w:jc w:val="center"/>
              <w:rPr>
                <w:b/>
                <w:bCs/>
                <w:sz w:val="18"/>
                <w:szCs w:val="18"/>
              </w:rPr>
            </w:pPr>
            <w:r w:rsidRPr="004C78D8">
              <w:rPr>
                <w:b/>
                <w:bCs/>
                <w:sz w:val="18"/>
                <w:szCs w:val="18"/>
              </w:rPr>
              <w:t>Societal ICER [£ per QALY gain</w:t>
            </w:r>
            <w:r w:rsidR="000A0C62" w:rsidRPr="004C78D8">
              <w:rPr>
                <w:b/>
                <w:bCs/>
                <w:sz w:val="18"/>
                <w:szCs w:val="18"/>
              </w:rPr>
              <w:t>ed</w:t>
            </w:r>
            <w:r w:rsidRPr="004C78D8">
              <w:rPr>
                <w:b/>
                <w:bCs/>
                <w:sz w:val="18"/>
                <w:szCs w:val="18"/>
              </w:rPr>
              <w:t>]</w:t>
            </w:r>
          </w:p>
        </w:tc>
        <w:tc>
          <w:tcPr>
            <w:tcW w:w="1573" w:type="pct"/>
            <w:gridSpan w:val="2"/>
          </w:tcPr>
          <w:p w14:paraId="79B4A9C9" w14:textId="6F9F7817" w:rsidR="00D507CD" w:rsidRPr="004C78D8" w:rsidRDefault="00D507CD" w:rsidP="00FB7C1F">
            <w:pPr>
              <w:jc w:val="center"/>
              <w:rPr>
                <w:b/>
                <w:bCs/>
                <w:sz w:val="18"/>
                <w:szCs w:val="18"/>
              </w:rPr>
            </w:pPr>
            <w:r w:rsidRPr="004C78D8">
              <w:rPr>
                <w:b/>
                <w:bCs/>
                <w:sz w:val="18"/>
                <w:szCs w:val="18"/>
              </w:rPr>
              <w:t>Public sector ICER [£ per QALY gain</w:t>
            </w:r>
            <w:r w:rsidR="000A0C62" w:rsidRPr="004C78D8">
              <w:rPr>
                <w:b/>
                <w:bCs/>
                <w:sz w:val="18"/>
                <w:szCs w:val="18"/>
              </w:rPr>
              <w:t>ed</w:t>
            </w:r>
            <w:r w:rsidRPr="004C78D8">
              <w:rPr>
                <w:b/>
                <w:bCs/>
                <w:sz w:val="18"/>
                <w:szCs w:val="18"/>
              </w:rPr>
              <w:t>]</w:t>
            </w:r>
          </w:p>
        </w:tc>
        <w:tc>
          <w:tcPr>
            <w:tcW w:w="679" w:type="pct"/>
            <w:vMerge w:val="restart"/>
            <w:vAlign w:val="bottom"/>
          </w:tcPr>
          <w:p w14:paraId="22E27683" w14:textId="2FE7C929" w:rsidR="00D507CD" w:rsidRPr="004C78D8" w:rsidRDefault="00D507CD" w:rsidP="00FB7C1F">
            <w:pPr>
              <w:jc w:val="left"/>
              <w:rPr>
                <w:b/>
                <w:bCs/>
                <w:sz w:val="20"/>
                <w:szCs w:val="20"/>
              </w:rPr>
            </w:pPr>
            <w:r w:rsidRPr="004C78D8">
              <w:rPr>
                <w:b/>
                <w:bCs/>
                <w:sz w:val="18"/>
                <w:szCs w:val="18"/>
              </w:rPr>
              <w:t xml:space="preserve">Impact ranking on </w:t>
            </w:r>
            <w:r w:rsidR="001272CC" w:rsidRPr="004C78D8">
              <w:rPr>
                <w:b/>
                <w:bCs/>
                <w:sz w:val="18"/>
                <w:szCs w:val="18"/>
              </w:rPr>
              <w:t>public sector</w:t>
            </w:r>
            <w:r w:rsidRPr="004C78D8">
              <w:rPr>
                <w:b/>
                <w:bCs/>
                <w:sz w:val="18"/>
                <w:szCs w:val="18"/>
              </w:rPr>
              <w:t xml:space="preserve"> ICER</w:t>
            </w:r>
          </w:p>
        </w:tc>
      </w:tr>
      <w:tr w:rsidR="00D507CD" w:rsidRPr="004C78D8" w14:paraId="60BF2929" w14:textId="77777777" w:rsidTr="00E35893">
        <w:tc>
          <w:tcPr>
            <w:tcW w:w="1175" w:type="pct"/>
            <w:vMerge/>
            <w:tcBorders>
              <w:bottom w:val="single" w:sz="4" w:space="0" w:color="auto"/>
            </w:tcBorders>
          </w:tcPr>
          <w:p w14:paraId="647DC0A2" w14:textId="77777777" w:rsidR="00D507CD" w:rsidRPr="004C78D8" w:rsidRDefault="00D507CD" w:rsidP="00FB7C1F">
            <w:pPr>
              <w:jc w:val="left"/>
              <w:rPr>
                <w:sz w:val="18"/>
                <w:szCs w:val="18"/>
              </w:rPr>
            </w:pPr>
          </w:p>
        </w:tc>
        <w:tc>
          <w:tcPr>
            <w:tcW w:w="786" w:type="pct"/>
            <w:tcBorders>
              <w:bottom w:val="single" w:sz="4" w:space="0" w:color="auto"/>
            </w:tcBorders>
          </w:tcPr>
          <w:p w14:paraId="4754039B" w14:textId="77777777" w:rsidR="00D507CD" w:rsidRPr="004C78D8" w:rsidRDefault="00D507CD" w:rsidP="00FB7C1F">
            <w:pPr>
              <w:jc w:val="left"/>
              <w:rPr>
                <w:sz w:val="18"/>
                <w:szCs w:val="18"/>
              </w:rPr>
            </w:pPr>
            <w:r w:rsidRPr="004C78D8">
              <w:rPr>
                <w:sz w:val="18"/>
                <w:szCs w:val="18"/>
              </w:rPr>
              <w:t>Low parameter value</w:t>
            </w:r>
          </w:p>
        </w:tc>
        <w:tc>
          <w:tcPr>
            <w:tcW w:w="787" w:type="pct"/>
            <w:tcBorders>
              <w:bottom w:val="single" w:sz="4" w:space="0" w:color="auto"/>
            </w:tcBorders>
          </w:tcPr>
          <w:p w14:paraId="7D1B3BB4" w14:textId="77777777" w:rsidR="00D507CD" w:rsidRPr="004C78D8" w:rsidRDefault="00D507CD" w:rsidP="00FB7C1F">
            <w:pPr>
              <w:jc w:val="left"/>
              <w:rPr>
                <w:sz w:val="18"/>
                <w:szCs w:val="18"/>
              </w:rPr>
            </w:pPr>
            <w:r w:rsidRPr="004C78D8">
              <w:rPr>
                <w:sz w:val="18"/>
                <w:szCs w:val="18"/>
              </w:rPr>
              <w:t>High parameter value</w:t>
            </w:r>
          </w:p>
        </w:tc>
        <w:tc>
          <w:tcPr>
            <w:tcW w:w="786" w:type="pct"/>
            <w:tcBorders>
              <w:bottom w:val="single" w:sz="4" w:space="0" w:color="auto"/>
            </w:tcBorders>
          </w:tcPr>
          <w:p w14:paraId="18CE65E6" w14:textId="77777777" w:rsidR="00D507CD" w:rsidRPr="004C78D8" w:rsidRDefault="00D507CD" w:rsidP="00FB7C1F">
            <w:pPr>
              <w:jc w:val="left"/>
              <w:rPr>
                <w:sz w:val="18"/>
                <w:szCs w:val="18"/>
              </w:rPr>
            </w:pPr>
            <w:r w:rsidRPr="004C78D8">
              <w:rPr>
                <w:sz w:val="18"/>
                <w:szCs w:val="18"/>
              </w:rPr>
              <w:t>Low parameter value</w:t>
            </w:r>
          </w:p>
        </w:tc>
        <w:tc>
          <w:tcPr>
            <w:tcW w:w="787" w:type="pct"/>
            <w:tcBorders>
              <w:bottom w:val="single" w:sz="4" w:space="0" w:color="auto"/>
            </w:tcBorders>
          </w:tcPr>
          <w:p w14:paraId="4127E59F" w14:textId="77777777" w:rsidR="00D507CD" w:rsidRPr="004C78D8" w:rsidRDefault="00D507CD" w:rsidP="00FB7C1F">
            <w:pPr>
              <w:jc w:val="left"/>
              <w:rPr>
                <w:sz w:val="18"/>
                <w:szCs w:val="18"/>
              </w:rPr>
            </w:pPr>
            <w:r w:rsidRPr="004C78D8">
              <w:rPr>
                <w:sz w:val="18"/>
                <w:szCs w:val="18"/>
              </w:rPr>
              <w:t>High parameter value</w:t>
            </w:r>
          </w:p>
        </w:tc>
        <w:tc>
          <w:tcPr>
            <w:tcW w:w="679" w:type="pct"/>
            <w:vMerge/>
            <w:tcBorders>
              <w:bottom w:val="single" w:sz="4" w:space="0" w:color="auto"/>
            </w:tcBorders>
          </w:tcPr>
          <w:p w14:paraId="32A0E007" w14:textId="77777777" w:rsidR="00D507CD" w:rsidRPr="004C78D8" w:rsidRDefault="00D507CD" w:rsidP="00FB7C1F">
            <w:pPr>
              <w:jc w:val="left"/>
              <w:rPr>
                <w:sz w:val="18"/>
                <w:szCs w:val="18"/>
              </w:rPr>
            </w:pPr>
          </w:p>
        </w:tc>
      </w:tr>
      <w:tr w:rsidR="006C2ED0" w:rsidRPr="004C78D8" w14:paraId="33987C93" w14:textId="77777777" w:rsidTr="00E35893">
        <w:tc>
          <w:tcPr>
            <w:tcW w:w="1175" w:type="pct"/>
            <w:tcBorders>
              <w:bottom w:val="nil"/>
            </w:tcBorders>
          </w:tcPr>
          <w:p w14:paraId="5F34C364" w14:textId="4D6B94E8" w:rsidR="006C2ED0" w:rsidRPr="004C78D8" w:rsidRDefault="006C2ED0" w:rsidP="00FB7C1F">
            <w:pPr>
              <w:jc w:val="left"/>
              <w:rPr>
                <w:i/>
                <w:iCs/>
                <w:sz w:val="18"/>
                <w:szCs w:val="18"/>
              </w:rPr>
            </w:pPr>
            <w:r w:rsidRPr="004C78D8">
              <w:rPr>
                <w:i/>
                <w:iCs/>
                <w:sz w:val="18"/>
                <w:szCs w:val="18"/>
              </w:rPr>
              <w:t>Base case</w:t>
            </w:r>
          </w:p>
        </w:tc>
        <w:tc>
          <w:tcPr>
            <w:tcW w:w="786" w:type="pct"/>
            <w:tcBorders>
              <w:bottom w:val="nil"/>
            </w:tcBorders>
          </w:tcPr>
          <w:p w14:paraId="0638B15E" w14:textId="70BFB8ED" w:rsidR="006C2ED0" w:rsidRPr="004C78D8" w:rsidRDefault="00A15CEA" w:rsidP="00FB7C1F">
            <w:pPr>
              <w:jc w:val="left"/>
              <w:rPr>
                <w:i/>
                <w:iCs/>
                <w:sz w:val="18"/>
                <w:szCs w:val="18"/>
              </w:rPr>
            </w:pPr>
            <w:r w:rsidRPr="004C78D8">
              <w:rPr>
                <w:i/>
                <w:iCs/>
                <w:sz w:val="18"/>
                <w:szCs w:val="18"/>
              </w:rPr>
              <w:t>12,800</w:t>
            </w:r>
          </w:p>
        </w:tc>
        <w:tc>
          <w:tcPr>
            <w:tcW w:w="787" w:type="pct"/>
            <w:tcBorders>
              <w:bottom w:val="nil"/>
            </w:tcBorders>
          </w:tcPr>
          <w:p w14:paraId="47F9150D" w14:textId="0A93B234" w:rsidR="006C2ED0" w:rsidRPr="004C78D8" w:rsidRDefault="00A15CEA" w:rsidP="00FB7C1F">
            <w:pPr>
              <w:jc w:val="left"/>
              <w:rPr>
                <w:i/>
                <w:iCs/>
                <w:sz w:val="18"/>
                <w:szCs w:val="18"/>
              </w:rPr>
            </w:pPr>
            <w:r w:rsidRPr="004C78D8">
              <w:rPr>
                <w:i/>
                <w:iCs/>
                <w:sz w:val="18"/>
                <w:szCs w:val="18"/>
              </w:rPr>
              <w:t>12,800</w:t>
            </w:r>
          </w:p>
        </w:tc>
        <w:tc>
          <w:tcPr>
            <w:tcW w:w="786" w:type="pct"/>
            <w:tcBorders>
              <w:bottom w:val="nil"/>
            </w:tcBorders>
          </w:tcPr>
          <w:p w14:paraId="39A96C83" w14:textId="06EC3B4E" w:rsidR="006C2ED0" w:rsidRPr="004C78D8" w:rsidRDefault="00A15CEA" w:rsidP="00FB7C1F">
            <w:pPr>
              <w:jc w:val="left"/>
              <w:rPr>
                <w:i/>
                <w:iCs/>
                <w:sz w:val="18"/>
                <w:szCs w:val="18"/>
              </w:rPr>
            </w:pPr>
            <w:r w:rsidRPr="004C78D8">
              <w:rPr>
                <w:i/>
                <w:iCs/>
                <w:sz w:val="18"/>
                <w:szCs w:val="18"/>
              </w:rPr>
              <w:t>13,897</w:t>
            </w:r>
          </w:p>
        </w:tc>
        <w:tc>
          <w:tcPr>
            <w:tcW w:w="787" w:type="pct"/>
            <w:tcBorders>
              <w:bottom w:val="nil"/>
            </w:tcBorders>
          </w:tcPr>
          <w:p w14:paraId="33B4C0CC" w14:textId="5CADB11D" w:rsidR="006C2ED0" w:rsidRPr="004C78D8" w:rsidRDefault="00A15CEA" w:rsidP="00FB7C1F">
            <w:pPr>
              <w:jc w:val="left"/>
              <w:rPr>
                <w:i/>
                <w:iCs/>
                <w:sz w:val="18"/>
                <w:szCs w:val="18"/>
              </w:rPr>
            </w:pPr>
            <w:r w:rsidRPr="004C78D8">
              <w:rPr>
                <w:i/>
                <w:iCs/>
                <w:sz w:val="18"/>
                <w:szCs w:val="18"/>
              </w:rPr>
              <w:t>13,897</w:t>
            </w:r>
          </w:p>
        </w:tc>
        <w:tc>
          <w:tcPr>
            <w:tcW w:w="679" w:type="pct"/>
            <w:tcBorders>
              <w:bottom w:val="nil"/>
            </w:tcBorders>
          </w:tcPr>
          <w:p w14:paraId="38551878" w14:textId="77777777" w:rsidR="006C2ED0" w:rsidRPr="004C78D8" w:rsidRDefault="006C2ED0" w:rsidP="00FB7C1F">
            <w:pPr>
              <w:jc w:val="left"/>
              <w:rPr>
                <w:sz w:val="18"/>
                <w:szCs w:val="18"/>
              </w:rPr>
            </w:pPr>
          </w:p>
        </w:tc>
      </w:tr>
      <w:tr w:rsidR="00D507CD" w:rsidRPr="004C78D8" w14:paraId="601061D7" w14:textId="77777777" w:rsidTr="00E35893">
        <w:tc>
          <w:tcPr>
            <w:tcW w:w="1175" w:type="pct"/>
            <w:tcBorders>
              <w:top w:val="nil"/>
              <w:bottom w:val="nil"/>
            </w:tcBorders>
          </w:tcPr>
          <w:p w14:paraId="209AE1B6" w14:textId="77777777" w:rsidR="00D507CD" w:rsidRPr="004C78D8" w:rsidRDefault="00D507CD" w:rsidP="00FB7C1F">
            <w:pPr>
              <w:jc w:val="left"/>
              <w:rPr>
                <w:sz w:val="18"/>
                <w:szCs w:val="18"/>
              </w:rPr>
            </w:pPr>
            <w:r w:rsidRPr="004C78D8">
              <w:rPr>
                <w:sz w:val="18"/>
                <w:szCs w:val="18"/>
              </w:rPr>
              <w:t>(1) Risk of any fall</w:t>
            </w:r>
          </w:p>
        </w:tc>
        <w:tc>
          <w:tcPr>
            <w:tcW w:w="786" w:type="pct"/>
            <w:tcBorders>
              <w:top w:val="nil"/>
              <w:left w:val="nil"/>
              <w:bottom w:val="nil"/>
              <w:right w:val="single" w:sz="4" w:space="0" w:color="auto"/>
            </w:tcBorders>
            <w:shd w:val="clear" w:color="auto" w:fill="auto"/>
          </w:tcPr>
          <w:p w14:paraId="70D1D875" w14:textId="21D15FA1" w:rsidR="00D507CD" w:rsidRPr="004C78D8" w:rsidRDefault="00D507CD" w:rsidP="00FB7C1F">
            <w:pPr>
              <w:jc w:val="left"/>
              <w:rPr>
                <w:rFonts w:cs="Times New Roman"/>
                <w:sz w:val="18"/>
                <w:szCs w:val="18"/>
              </w:rPr>
            </w:pPr>
            <w:r w:rsidRPr="004C78D8">
              <w:rPr>
                <w:rFonts w:cs="Times New Roman"/>
                <w:color w:val="000000"/>
                <w:sz w:val="18"/>
                <w:szCs w:val="18"/>
              </w:rPr>
              <w:t>39,156</w:t>
            </w:r>
          </w:p>
        </w:tc>
        <w:tc>
          <w:tcPr>
            <w:tcW w:w="787" w:type="pct"/>
            <w:tcBorders>
              <w:top w:val="nil"/>
              <w:left w:val="single" w:sz="4" w:space="0" w:color="auto"/>
              <w:bottom w:val="nil"/>
              <w:right w:val="single" w:sz="4" w:space="0" w:color="auto"/>
            </w:tcBorders>
            <w:shd w:val="clear" w:color="auto" w:fill="auto"/>
          </w:tcPr>
          <w:p w14:paraId="3D69FC70" w14:textId="4F6ED286" w:rsidR="00D507CD" w:rsidRPr="004C78D8" w:rsidRDefault="00D507CD" w:rsidP="00FB7C1F">
            <w:pPr>
              <w:jc w:val="left"/>
              <w:rPr>
                <w:rFonts w:cs="Times New Roman"/>
                <w:sz w:val="18"/>
                <w:szCs w:val="18"/>
              </w:rPr>
            </w:pPr>
            <w:r w:rsidRPr="004C78D8">
              <w:rPr>
                <w:rFonts w:cs="Times New Roman"/>
                <w:color w:val="000000"/>
                <w:sz w:val="18"/>
                <w:szCs w:val="18"/>
              </w:rPr>
              <w:t>5,242</w:t>
            </w:r>
          </w:p>
        </w:tc>
        <w:tc>
          <w:tcPr>
            <w:tcW w:w="786" w:type="pct"/>
            <w:tcBorders>
              <w:top w:val="nil"/>
              <w:left w:val="single" w:sz="4" w:space="0" w:color="auto"/>
              <w:bottom w:val="nil"/>
              <w:right w:val="single" w:sz="4" w:space="0" w:color="auto"/>
            </w:tcBorders>
            <w:shd w:val="clear" w:color="auto" w:fill="auto"/>
          </w:tcPr>
          <w:p w14:paraId="260618F3" w14:textId="600F869A" w:rsidR="00D507CD" w:rsidRPr="004C78D8" w:rsidRDefault="00D507CD" w:rsidP="00FB7C1F">
            <w:pPr>
              <w:jc w:val="left"/>
              <w:rPr>
                <w:rFonts w:cs="Times New Roman"/>
                <w:sz w:val="18"/>
                <w:szCs w:val="18"/>
              </w:rPr>
            </w:pPr>
            <w:r w:rsidRPr="004C78D8">
              <w:rPr>
                <w:rFonts w:cs="Times New Roman"/>
                <w:color w:val="000000"/>
                <w:sz w:val="18"/>
                <w:szCs w:val="18"/>
              </w:rPr>
              <w:t>34,071</w:t>
            </w:r>
          </w:p>
        </w:tc>
        <w:tc>
          <w:tcPr>
            <w:tcW w:w="787" w:type="pct"/>
            <w:tcBorders>
              <w:top w:val="nil"/>
              <w:left w:val="single" w:sz="4" w:space="0" w:color="auto"/>
              <w:bottom w:val="nil"/>
              <w:right w:val="single" w:sz="4" w:space="0" w:color="auto"/>
            </w:tcBorders>
            <w:shd w:val="clear" w:color="auto" w:fill="auto"/>
          </w:tcPr>
          <w:p w14:paraId="52F7E7F6" w14:textId="4F975461" w:rsidR="00D507CD" w:rsidRPr="004C78D8" w:rsidRDefault="00D507CD" w:rsidP="00FB7C1F">
            <w:pPr>
              <w:jc w:val="left"/>
              <w:rPr>
                <w:rFonts w:cs="Times New Roman"/>
                <w:sz w:val="18"/>
                <w:szCs w:val="18"/>
              </w:rPr>
            </w:pPr>
            <w:r w:rsidRPr="004C78D8">
              <w:rPr>
                <w:rFonts w:cs="Times New Roman"/>
                <w:color w:val="000000"/>
                <w:sz w:val="18"/>
                <w:szCs w:val="18"/>
              </w:rPr>
              <w:t>5,831</w:t>
            </w:r>
          </w:p>
        </w:tc>
        <w:tc>
          <w:tcPr>
            <w:tcW w:w="679" w:type="pct"/>
            <w:tcBorders>
              <w:top w:val="nil"/>
              <w:left w:val="single" w:sz="4" w:space="0" w:color="auto"/>
              <w:bottom w:val="nil"/>
              <w:right w:val="single" w:sz="4" w:space="0" w:color="auto"/>
            </w:tcBorders>
            <w:shd w:val="clear" w:color="auto" w:fill="auto"/>
          </w:tcPr>
          <w:p w14:paraId="0B8A9F5D" w14:textId="77777777" w:rsidR="00D507CD" w:rsidRPr="004C78D8" w:rsidRDefault="00D507CD" w:rsidP="00FB7C1F">
            <w:pPr>
              <w:jc w:val="left"/>
              <w:rPr>
                <w:rFonts w:cs="Times New Roman"/>
                <w:sz w:val="18"/>
                <w:szCs w:val="18"/>
              </w:rPr>
            </w:pPr>
            <w:r w:rsidRPr="004C78D8">
              <w:rPr>
                <w:rFonts w:cs="Times New Roman"/>
                <w:color w:val="000000"/>
                <w:sz w:val="18"/>
                <w:szCs w:val="18"/>
              </w:rPr>
              <w:t>1</w:t>
            </w:r>
          </w:p>
        </w:tc>
      </w:tr>
      <w:tr w:rsidR="00D507CD" w:rsidRPr="004C78D8" w14:paraId="67FC122D" w14:textId="77777777" w:rsidTr="00E35893">
        <w:tc>
          <w:tcPr>
            <w:tcW w:w="1175" w:type="pct"/>
            <w:tcBorders>
              <w:top w:val="nil"/>
              <w:bottom w:val="nil"/>
            </w:tcBorders>
          </w:tcPr>
          <w:p w14:paraId="6F8651A4" w14:textId="77777777" w:rsidR="00D507CD" w:rsidRPr="004C78D8" w:rsidRDefault="00D507CD" w:rsidP="00FB7C1F">
            <w:pPr>
              <w:jc w:val="left"/>
              <w:rPr>
                <w:sz w:val="18"/>
                <w:szCs w:val="18"/>
              </w:rPr>
            </w:pPr>
            <w:r w:rsidRPr="004C78D8">
              <w:rPr>
                <w:sz w:val="18"/>
                <w:szCs w:val="18"/>
              </w:rPr>
              <w:t>(2) Risk of MA fall given recurrent falls</w:t>
            </w:r>
          </w:p>
        </w:tc>
        <w:tc>
          <w:tcPr>
            <w:tcW w:w="786" w:type="pct"/>
            <w:tcBorders>
              <w:top w:val="nil"/>
              <w:left w:val="nil"/>
              <w:bottom w:val="nil"/>
              <w:right w:val="single" w:sz="4" w:space="0" w:color="auto"/>
            </w:tcBorders>
            <w:shd w:val="clear" w:color="auto" w:fill="auto"/>
          </w:tcPr>
          <w:p w14:paraId="0EF6E6EF" w14:textId="6F39A906" w:rsidR="00D507CD" w:rsidRPr="004C78D8" w:rsidRDefault="00D507CD" w:rsidP="00FB7C1F">
            <w:pPr>
              <w:jc w:val="left"/>
              <w:rPr>
                <w:rFonts w:cs="Times New Roman"/>
                <w:sz w:val="18"/>
                <w:szCs w:val="18"/>
              </w:rPr>
            </w:pPr>
            <w:r w:rsidRPr="004C78D8">
              <w:rPr>
                <w:rFonts w:cs="Times New Roman"/>
                <w:color w:val="000000"/>
                <w:sz w:val="18"/>
                <w:szCs w:val="18"/>
              </w:rPr>
              <w:t>21,893</w:t>
            </w:r>
          </w:p>
        </w:tc>
        <w:tc>
          <w:tcPr>
            <w:tcW w:w="787" w:type="pct"/>
            <w:tcBorders>
              <w:top w:val="nil"/>
              <w:left w:val="single" w:sz="4" w:space="0" w:color="auto"/>
              <w:bottom w:val="nil"/>
              <w:right w:val="single" w:sz="4" w:space="0" w:color="auto"/>
            </w:tcBorders>
            <w:shd w:val="clear" w:color="auto" w:fill="auto"/>
          </w:tcPr>
          <w:p w14:paraId="31061719" w14:textId="1E421118" w:rsidR="00D507CD" w:rsidRPr="004C78D8" w:rsidRDefault="001272CC" w:rsidP="00FB7C1F">
            <w:pPr>
              <w:jc w:val="left"/>
              <w:rPr>
                <w:rFonts w:cs="Times New Roman"/>
                <w:sz w:val="18"/>
                <w:szCs w:val="18"/>
              </w:rPr>
            </w:pPr>
            <w:r w:rsidRPr="004C78D8">
              <w:rPr>
                <w:rFonts w:cs="Times New Roman"/>
                <w:color w:val="000000"/>
                <w:sz w:val="18"/>
                <w:szCs w:val="18"/>
              </w:rPr>
              <w:t>RC dominates</w:t>
            </w:r>
          </w:p>
        </w:tc>
        <w:tc>
          <w:tcPr>
            <w:tcW w:w="786" w:type="pct"/>
            <w:tcBorders>
              <w:top w:val="nil"/>
              <w:left w:val="single" w:sz="4" w:space="0" w:color="auto"/>
              <w:bottom w:val="nil"/>
              <w:right w:val="single" w:sz="4" w:space="0" w:color="auto"/>
            </w:tcBorders>
            <w:shd w:val="clear" w:color="auto" w:fill="auto"/>
          </w:tcPr>
          <w:p w14:paraId="51B0DD5E" w14:textId="30693963" w:rsidR="00D507CD" w:rsidRPr="004C78D8" w:rsidRDefault="00D507CD" w:rsidP="00FB7C1F">
            <w:pPr>
              <w:jc w:val="left"/>
              <w:rPr>
                <w:rFonts w:cs="Times New Roman"/>
                <w:sz w:val="18"/>
                <w:szCs w:val="18"/>
              </w:rPr>
            </w:pPr>
            <w:r w:rsidRPr="004C78D8">
              <w:rPr>
                <w:rFonts w:cs="Times New Roman"/>
                <w:color w:val="000000"/>
                <w:sz w:val="18"/>
                <w:szCs w:val="18"/>
              </w:rPr>
              <w:t>23,434</w:t>
            </w:r>
          </w:p>
        </w:tc>
        <w:tc>
          <w:tcPr>
            <w:tcW w:w="787" w:type="pct"/>
            <w:tcBorders>
              <w:top w:val="nil"/>
              <w:left w:val="single" w:sz="4" w:space="0" w:color="auto"/>
              <w:bottom w:val="nil"/>
              <w:right w:val="single" w:sz="4" w:space="0" w:color="auto"/>
            </w:tcBorders>
            <w:shd w:val="clear" w:color="auto" w:fill="auto"/>
          </w:tcPr>
          <w:p w14:paraId="09293D56" w14:textId="35865F0E" w:rsidR="00D507CD" w:rsidRPr="004C78D8" w:rsidRDefault="001272CC" w:rsidP="00FB7C1F">
            <w:pPr>
              <w:jc w:val="left"/>
              <w:rPr>
                <w:rFonts w:cs="Times New Roman"/>
                <w:sz w:val="18"/>
                <w:szCs w:val="18"/>
              </w:rPr>
            </w:pPr>
            <w:r w:rsidRPr="004C78D8">
              <w:rPr>
                <w:rFonts w:cs="Times New Roman"/>
                <w:sz w:val="18"/>
                <w:szCs w:val="18"/>
              </w:rPr>
              <w:t>RC dominates</w:t>
            </w:r>
          </w:p>
        </w:tc>
        <w:tc>
          <w:tcPr>
            <w:tcW w:w="679" w:type="pct"/>
            <w:tcBorders>
              <w:top w:val="nil"/>
              <w:left w:val="single" w:sz="4" w:space="0" w:color="auto"/>
              <w:bottom w:val="nil"/>
              <w:right w:val="single" w:sz="4" w:space="0" w:color="auto"/>
            </w:tcBorders>
            <w:shd w:val="clear" w:color="auto" w:fill="auto"/>
          </w:tcPr>
          <w:p w14:paraId="0E22CC16" w14:textId="77777777" w:rsidR="00D507CD" w:rsidRPr="004C78D8" w:rsidRDefault="00D507CD" w:rsidP="00FB7C1F">
            <w:pPr>
              <w:jc w:val="left"/>
              <w:rPr>
                <w:rFonts w:cs="Times New Roman"/>
                <w:sz w:val="18"/>
                <w:szCs w:val="18"/>
              </w:rPr>
            </w:pPr>
            <w:r w:rsidRPr="004C78D8">
              <w:rPr>
                <w:rFonts w:cs="Times New Roman"/>
                <w:color w:val="000000"/>
                <w:sz w:val="18"/>
                <w:szCs w:val="18"/>
              </w:rPr>
              <w:t>2</w:t>
            </w:r>
          </w:p>
        </w:tc>
      </w:tr>
      <w:tr w:rsidR="00D507CD" w:rsidRPr="004C78D8" w14:paraId="34C71DAD" w14:textId="77777777" w:rsidTr="00E35893">
        <w:tc>
          <w:tcPr>
            <w:tcW w:w="1175" w:type="pct"/>
            <w:tcBorders>
              <w:top w:val="nil"/>
              <w:bottom w:val="nil"/>
            </w:tcBorders>
          </w:tcPr>
          <w:p w14:paraId="4C522C4D" w14:textId="77777777" w:rsidR="00D507CD" w:rsidRPr="004C78D8" w:rsidRDefault="00D507CD" w:rsidP="00FB7C1F">
            <w:pPr>
              <w:jc w:val="left"/>
              <w:rPr>
                <w:sz w:val="18"/>
                <w:szCs w:val="18"/>
              </w:rPr>
            </w:pPr>
            <w:r w:rsidRPr="004C78D8">
              <w:rPr>
                <w:sz w:val="18"/>
                <w:szCs w:val="18"/>
              </w:rPr>
              <w:t>(3) Risk of recurrent falls given any fall</w:t>
            </w:r>
          </w:p>
        </w:tc>
        <w:tc>
          <w:tcPr>
            <w:tcW w:w="786" w:type="pct"/>
            <w:tcBorders>
              <w:top w:val="nil"/>
              <w:left w:val="nil"/>
              <w:bottom w:val="nil"/>
              <w:right w:val="single" w:sz="4" w:space="0" w:color="auto"/>
            </w:tcBorders>
            <w:shd w:val="clear" w:color="auto" w:fill="auto"/>
          </w:tcPr>
          <w:p w14:paraId="077A6BA7" w14:textId="16A39274" w:rsidR="00D507CD" w:rsidRPr="004C78D8" w:rsidRDefault="00D507CD" w:rsidP="00FB7C1F">
            <w:pPr>
              <w:jc w:val="left"/>
              <w:rPr>
                <w:rFonts w:cs="Times New Roman"/>
                <w:sz w:val="18"/>
                <w:szCs w:val="18"/>
              </w:rPr>
            </w:pPr>
            <w:r w:rsidRPr="004C78D8">
              <w:rPr>
                <w:rFonts w:cs="Times New Roman"/>
                <w:color w:val="000000"/>
                <w:sz w:val="18"/>
                <w:szCs w:val="18"/>
              </w:rPr>
              <w:t>25,766</w:t>
            </w:r>
          </w:p>
        </w:tc>
        <w:tc>
          <w:tcPr>
            <w:tcW w:w="787" w:type="pct"/>
            <w:tcBorders>
              <w:top w:val="nil"/>
              <w:left w:val="single" w:sz="4" w:space="0" w:color="auto"/>
              <w:bottom w:val="nil"/>
              <w:right w:val="single" w:sz="4" w:space="0" w:color="auto"/>
            </w:tcBorders>
            <w:shd w:val="clear" w:color="auto" w:fill="auto"/>
          </w:tcPr>
          <w:p w14:paraId="7E80ABCC" w14:textId="655786ED" w:rsidR="00D507CD" w:rsidRPr="004C78D8" w:rsidRDefault="00D507CD" w:rsidP="00FB7C1F">
            <w:pPr>
              <w:jc w:val="left"/>
              <w:rPr>
                <w:rFonts w:cs="Times New Roman"/>
                <w:sz w:val="18"/>
                <w:szCs w:val="18"/>
              </w:rPr>
            </w:pPr>
            <w:r w:rsidRPr="004C78D8">
              <w:rPr>
                <w:rFonts w:cs="Times New Roman"/>
                <w:color w:val="000000"/>
                <w:sz w:val="18"/>
                <w:szCs w:val="18"/>
              </w:rPr>
              <w:t>8,988</w:t>
            </w:r>
          </w:p>
        </w:tc>
        <w:tc>
          <w:tcPr>
            <w:tcW w:w="786" w:type="pct"/>
            <w:tcBorders>
              <w:top w:val="nil"/>
              <w:left w:val="single" w:sz="4" w:space="0" w:color="auto"/>
              <w:bottom w:val="nil"/>
              <w:right w:val="single" w:sz="4" w:space="0" w:color="auto"/>
            </w:tcBorders>
            <w:shd w:val="clear" w:color="auto" w:fill="auto"/>
          </w:tcPr>
          <w:p w14:paraId="294BB1EA" w14:textId="08FDACD0" w:rsidR="00D507CD" w:rsidRPr="004C78D8" w:rsidRDefault="00D507CD" w:rsidP="00FB7C1F">
            <w:pPr>
              <w:jc w:val="left"/>
              <w:rPr>
                <w:rFonts w:cs="Times New Roman"/>
                <w:sz w:val="18"/>
                <w:szCs w:val="18"/>
              </w:rPr>
            </w:pPr>
            <w:r w:rsidRPr="004C78D8">
              <w:rPr>
                <w:rFonts w:cs="Times New Roman"/>
                <w:color w:val="000000"/>
                <w:sz w:val="18"/>
                <w:szCs w:val="18"/>
              </w:rPr>
              <w:t>24,159</w:t>
            </w:r>
          </w:p>
        </w:tc>
        <w:tc>
          <w:tcPr>
            <w:tcW w:w="787" w:type="pct"/>
            <w:tcBorders>
              <w:top w:val="nil"/>
              <w:left w:val="single" w:sz="4" w:space="0" w:color="auto"/>
              <w:bottom w:val="nil"/>
              <w:right w:val="single" w:sz="4" w:space="0" w:color="auto"/>
            </w:tcBorders>
            <w:shd w:val="clear" w:color="auto" w:fill="auto"/>
          </w:tcPr>
          <w:p w14:paraId="57F51AC6" w14:textId="6AA28742" w:rsidR="00D507CD" w:rsidRPr="004C78D8" w:rsidRDefault="00D507CD" w:rsidP="00FB7C1F">
            <w:pPr>
              <w:jc w:val="left"/>
              <w:rPr>
                <w:rFonts w:cs="Times New Roman"/>
                <w:sz w:val="18"/>
                <w:szCs w:val="18"/>
              </w:rPr>
            </w:pPr>
            <w:r w:rsidRPr="004C78D8">
              <w:rPr>
                <w:rFonts w:cs="Times New Roman"/>
                <w:color w:val="000000"/>
                <w:sz w:val="18"/>
                <w:szCs w:val="18"/>
              </w:rPr>
              <w:t>9,849</w:t>
            </w:r>
          </w:p>
        </w:tc>
        <w:tc>
          <w:tcPr>
            <w:tcW w:w="679" w:type="pct"/>
            <w:tcBorders>
              <w:top w:val="nil"/>
              <w:left w:val="single" w:sz="4" w:space="0" w:color="auto"/>
              <w:bottom w:val="nil"/>
              <w:right w:val="single" w:sz="4" w:space="0" w:color="auto"/>
            </w:tcBorders>
            <w:shd w:val="clear" w:color="auto" w:fill="auto"/>
          </w:tcPr>
          <w:p w14:paraId="711103AE" w14:textId="77777777" w:rsidR="00D507CD" w:rsidRPr="004C78D8" w:rsidRDefault="00D507CD" w:rsidP="00FB7C1F">
            <w:pPr>
              <w:jc w:val="left"/>
              <w:rPr>
                <w:rFonts w:cs="Times New Roman"/>
                <w:sz w:val="18"/>
                <w:szCs w:val="18"/>
              </w:rPr>
            </w:pPr>
            <w:r w:rsidRPr="004C78D8">
              <w:rPr>
                <w:rFonts w:cs="Times New Roman"/>
                <w:color w:val="000000"/>
                <w:sz w:val="18"/>
                <w:szCs w:val="18"/>
              </w:rPr>
              <w:t>3</w:t>
            </w:r>
          </w:p>
        </w:tc>
      </w:tr>
      <w:tr w:rsidR="00D507CD" w:rsidRPr="004C78D8" w14:paraId="76094953" w14:textId="77777777" w:rsidTr="00E35893">
        <w:tc>
          <w:tcPr>
            <w:tcW w:w="1175" w:type="pct"/>
            <w:tcBorders>
              <w:top w:val="nil"/>
              <w:bottom w:val="nil"/>
            </w:tcBorders>
          </w:tcPr>
          <w:p w14:paraId="55CA4C3D" w14:textId="77777777" w:rsidR="00D507CD" w:rsidRPr="004C78D8" w:rsidRDefault="00D507CD" w:rsidP="00FB7C1F">
            <w:pPr>
              <w:jc w:val="left"/>
              <w:rPr>
                <w:sz w:val="18"/>
                <w:szCs w:val="18"/>
              </w:rPr>
            </w:pPr>
            <w:r w:rsidRPr="004C78D8">
              <w:rPr>
                <w:sz w:val="18"/>
                <w:szCs w:val="18"/>
              </w:rPr>
              <w:t>(4) Dynamic probability of GP routine contact</w:t>
            </w:r>
          </w:p>
        </w:tc>
        <w:tc>
          <w:tcPr>
            <w:tcW w:w="786" w:type="pct"/>
            <w:tcBorders>
              <w:top w:val="nil"/>
              <w:left w:val="nil"/>
              <w:bottom w:val="nil"/>
              <w:right w:val="single" w:sz="4" w:space="0" w:color="auto"/>
            </w:tcBorders>
            <w:shd w:val="clear" w:color="auto" w:fill="auto"/>
          </w:tcPr>
          <w:p w14:paraId="4CDBAA8F" w14:textId="0EE1E96A" w:rsidR="00D507CD" w:rsidRPr="004C78D8" w:rsidRDefault="00D507CD" w:rsidP="00FB7C1F">
            <w:pPr>
              <w:jc w:val="left"/>
              <w:rPr>
                <w:rFonts w:cs="Times New Roman"/>
                <w:sz w:val="18"/>
                <w:szCs w:val="18"/>
              </w:rPr>
            </w:pPr>
            <w:r w:rsidRPr="004C78D8">
              <w:rPr>
                <w:rFonts w:cs="Times New Roman"/>
                <w:color w:val="000000"/>
                <w:sz w:val="18"/>
                <w:szCs w:val="18"/>
              </w:rPr>
              <w:t>4,637</w:t>
            </w:r>
          </w:p>
        </w:tc>
        <w:tc>
          <w:tcPr>
            <w:tcW w:w="787" w:type="pct"/>
            <w:tcBorders>
              <w:top w:val="nil"/>
              <w:left w:val="single" w:sz="4" w:space="0" w:color="auto"/>
              <w:bottom w:val="nil"/>
              <w:right w:val="single" w:sz="4" w:space="0" w:color="auto"/>
            </w:tcBorders>
            <w:shd w:val="clear" w:color="auto" w:fill="auto"/>
          </w:tcPr>
          <w:p w14:paraId="222B0718" w14:textId="6BD47D0B" w:rsidR="00D507CD" w:rsidRPr="004C78D8" w:rsidRDefault="00D507CD" w:rsidP="00FB7C1F">
            <w:pPr>
              <w:jc w:val="left"/>
              <w:rPr>
                <w:rFonts w:cs="Times New Roman"/>
                <w:sz w:val="18"/>
                <w:szCs w:val="18"/>
              </w:rPr>
            </w:pPr>
            <w:r w:rsidRPr="004C78D8">
              <w:rPr>
                <w:rFonts w:cs="Times New Roman"/>
                <w:color w:val="000000"/>
                <w:sz w:val="18"/>
                <w:szCs w:val="18"/>
              </w:rPr>
              <w:t>14,537</w:t>
            </w:r>
          </w:p>
        </w:tc>
        <w:tc>
          <w:tcPr>
            <w:tcW w:w="786" w:type="pct"/>
            <w:tcBorders>
              <w:top w:val="nil"/>
              <w:left w:val="single" w:sz="4" w:space="0" w:color="auto"/>
              <w:bottom w:val="nil"/>
              <w:right w:val="single" w:sz="4" w:space="0" w:color="auto"/>
            </w:tcBorders>
            <w:shd w:val="clear" w:color="auto" w:fill="auto"/>
          </w:tcPr>
          <w:p w14:paraId="67BBE0B5" w14:textId="18C6B49D" w:rsidR="00D507CD" w:rsidRPr="004C78D8" w:rsidRDefault="00D507CD" w:rsidP="00FB7C1F">
            <w:pPr>
              <w:jc w:val="left"/>
              <w:rPr>
                <w:rFonts w:cs="Times New Roman"/>
                <w:sz w:val="18"/>
                <w:szCs w:val="18"/>
              </w:rPr>
            </w:pPr>
            <w:r w:rsidRPr="004C78D8">
              <w:rPr>
                <w:rFonts w:cs="Times New Roman"/>
                <w:color w:val="000000"/>
                <w:sz w:val="18"/>
                <w:szCs w:val="18"/>
              </w:rPr>
              <w:t>5,162</w:t>
            </w:r>
          </w:p>
        </w:tc>
        <w:tc>
          <w:tcPr>
            <w:tcW w:w="787" w:type="pct"/>
            <w:tcBorders>
              <w:top w:val="nil"/>
              <w:left w:val="single" w:sz="4" w:space="0" w:color="auto"/>
              <w:bottom w:val="nil"/>
              <w:right w:val="single" w:sz="4" w:space="0" w:color="auto"/>
            </w:tcBorders>
            <w:shd w:val="clear" w:color="auto" w:fill="auto"/>
          </w:tcPr>
          <w:p w14:paraId="2DA87A6A" w14:textId="1E2AA778" w:rsidR="00D507CD" w:rsidRPr="004C78D8" w:rsidRDefault="00D507CD" w:rsidP="00FB7C1F">
            <w:pPr>
              <w:jc w:val="left"/>
              <w:rPr>
                <w:rFonts w:cs="Times New Roman"/>
                <w:sz w:val="18"/>
                <w:szCs w:val="18"/>
              </w:rPr>
            </w:pPr>
            <w:r w:rsidRPr="004C78D8">
              <w:rPr>
                <w:rFonts w:cs="Times New Roman"/>
                <w:color w:val="000000"/>
                <w:sz w:val="18"/>
                <w:szCs w:val="18"/>
              </w:rPr>
              <w:t>15,108</w:t>
            </w:r>
          </w:p>
        </w:tc>
        <w:tc>
          <w:tcPr>
            <w:tcW w:w="679" w:type="pct"/>
            <w:tcBorders>
              <w:top w:val="nil"/>
              <w:left w:val="single" w:sz="4" w:space="0" w:color="auto"/>
              <w:bottom w:val="nil"/>
              <w:right w:val="single" w:sz="4" w:space="0" w:color="auto"/>
            </w:tcBorders>
            <w:shd w:val="clear" w:color="auto" w:fill="auto"/>
          </w:tcPr>
          <w:p w14:paraId="336CF53F" w14:textId="77777777" w:rsidR="00D507CD" w:rsidRPr="004C78D8" w:rsidRDefault="00D507CD" w:rsidP="00FB7C1F">
            <w:pPr>
              <w:jc w:val="left"/>
              <w:rPr>
                <w:rFonts w:cs="Times New Roman"/>
                <w:sz w:val="18"/>
                <w:szCs w:val="18"/>
              </w:rPr>
            </w:pPr>
            <w:r w:rsidRPr="004C78D8">
              <w:rPr>
                <w:rFonts w:cs="Times New Roman"/>
                <w:color w:val="000000"/>
                <w:sz w:val="18"/>
                <w:szCs w:val="18"/>
              </w:rPr>
              <w:t>4</w:t>
            </w:r>
          </w:p>
        </w:tc>
      </w:tr>
      <w:tr w:rsidR="00D507CD" w:rsidRPr="004C78D8" w14:paraId="3CE8B1F0" w14:textId="77777777" w:rsidTr="00E35893">
        <w:tc>
          <w:tcPr>
            <w:tcW w:w="1175" w:type="pct"/>
            <w:tcBorders>
              <w:top w:val="nil"/>
              <w:bottom w:val="nil"/>
            </w:tcBorders>
          </w:tcPr>
          <w:p w14:paraId="5D4EF461" w14:textId="77777777" w:rsidR="00D507CD" w:rsidRPr="004C78D8" w:rsidRDefault="00D507CD" w:rsidP="00FB7C1F">
            <w:pPr>
              <w:jc w:val="left"/>
              <w:rPr>
                <w:sz w:val="18"/>
                <w:szCs w:val="18"/>
              </w:rPr>
            </w:pPr>
            <w:r w:rsidRPr="004C78D8">
              <w:rPr>
                <w:sz w:val="18"/>
                <w:szCs w:val="18"/>
              </w:rPr>
              <w:t>(5) Proactive int. demand under RC</w:t>
            </w:r>
          </w:p>
        </w:tc>
        <w:tc>
          <w:tcPr>
            <w:tcW w:w="786" w:type="pct"/>
            <w:tcBorders>
              <w:top w:val="nil"/>
              <w:left w:val="nil"/>
              <w:bottom w:val="nil"/>
              <w:right w:val="single" w:sz="4" w:space="0" w:color="auto"/>
            </w:tcBorders>
            <w:shd w:val="clear" w:color="auto" w:fill="auto"/>
          </w:tcPr>
          <w:p w14:paraId="39021790" w14:textId="1030B4EC" w:rsidR="00D507CD" w:rsidRPr="004C78D8" w:rsidRDefault="00D507CD" w:rsidP="00FB7C1F">
            <w:pPr>
              <w:jc w:val="left"/>
              <w:rPr>
                <w:rFonts w:cs="Times New Roman"/>
                <w:sz w:val="18"/>
                <w:szCs w:val="18"/>
              </w:rPr>
            </w:pPr>
            <w:r w:rsidRPr="004C78D8">
              <w:rPr>
                <w:rFonts w:cs="Times New Roman"/>
                <w:color w:val="000000"/>
                <w:sz w:val="18"/>
                <w:szCs w:val="18"/>
              </w:rPr>
              <w:t>6,552</w:t>
            </w:r>
          </w:p>
        </w:tc>
        <w:tc>
          <w:tcPr>
            <w:tcW w:w="787" w:type="pct"/>
            <w:tcBorders>
              <w:top w:val="nil"/>
              <w:left w:val="single" w:sz="4" w:space="0" w:color="auto"/>
              <w:bottom w:val="nil"/>
              <w:right w:val="single" w:sz="4" w:space="0" w:color="auto"/>
            </w:tcBorders>
            <w:shd w:val="clear" w:color="auto" w:fill="auto"/>
          </w:tcPr>
          <w:p w14:paraId="204EBF7D" w14:textId="30B33960" w:rsidR="00D507CD" w:rsidRPr="004C78D8" w:rsidRDefault="00D507CD" w:rsidP="00FB7C1F">
            <w:pPr>
              <w:jc w:val="left"/>
              <w:rPr>
                <w:rFonts w:cs="Times New Roman"/>
                <w:sz w:val="18"/>
                <w:szCs w:val="18"/>
              </w:rPr>
            </w:pPr>
            <w:r w:rsidRPr="004C78D8">
              <w:rPr>
                <w:rFonts w:cs="Times New Roman"/>
                <w:color w:val="000000"/>
                <w:sz w:val="18"/>
                <w:szCs w:val="18"/>
              </w:rPr>
              <w:t>13,485</w:t>
            </w:r>
          </w:p>
        </w:tc>
        <w:tc>
          <w:tcPr>
            <w:tcW w:w="786" w:type="pct"/>
            <w:tcBorders>
              <w:top w:val="nil"/>
              <w:left w:val="single" w:sz="4" w:space="0" w:color="auto"/>
              <w:bottom w:val="nil"/>
              <w:right w:val="single" w:sz="4" w:space="0" w:color="auto"/>
            </w:tcBorders>
            <w:shd w:val="clear" w:color="auto" w:fill="auto"/>
          </w:tcPr>
          <w:p w14:paraId="0814DF87" w14:textId="55EEAC88" w:rsidR="00D507CD" w:rsidRPr="004C78D8" w:rsidRDefault="00D507CD" w:rsidP="00FB7C1F">
            <w:pPr>
              <w:jc w:val="left"/>
              <w:rPr>
                <w:rFonts w:cs="Times New Roman"/>
                <w:sz w:val="18"/>
                <w:szCs w:val="18"/>
              </w:rPr>
            </w:pPr>
            <w:r w:rsidRPr="004C78D8">
              <w:rPr>
                <w:rFonts w:cs="Times New Roman"/>
                <w:color w:val="000000"/>
                <w:sz w:val="18"/>
                <w:szCs w:val="18"/>
              </w:rPr>
              <w:t>7,025</w:t>
            </w:r>
          </w:p>
        </w:tc>
        <w:tc>
          <w:tcPr>
            <w:tcW w:w="787" w:type="pct"/>
            <w:tcBorders>
              <w:top w:val="nil"/>
              <w:left w:val="single" w:sz="4" w:space="0" w:color="auto"/>
              <w:bottom w:val="nil"/>
              <w:right w:val="single" w:sz="4" w:space="0" w:color="auto"/>
            </w:tcBorders>
            <w:shd w:val="clear" w:color="auto" w:fill="auto"/>
          </w:tcPr>
          <w:p w14:paraId="23CFEB9A" w14:textId="055F6FE8" w:rsidR="00D507CD" w:rsidRPr="004C78D8" w:rsidRDefault="00D507CD" w:rsidP="00FB7C1F">
            <w:pPr>
              <w:jc w:val="left"/>
              <w:rPr>
                <w:rFonts w:cs="Times New Roman"/>
                <w:sz w:val="18"/>
                <w:szCs w:val="18"/>
              </w:rPr>
            </w:pPr>
            <w:r w:rsidRPr="004C78D8">
              <w:rPr>
                <w:rFonts w:cs="Times New Roman"/>
                <w:color w:val="000000"/>
                <w:sz w:val="18"/>
                <w:szCs w:val="18"/>
              </w:rPr>
              <w:t>14,278</w:t>
            </w:r>
          </w:p>
        </w:tc>
        <w:tc>
          <w:tcPr>
            <w:tcW w:w="679" w:type="pct"/>
            <w:tcBorders>
              <w:top w:val="nil"/>
              <w:left w:val="single" w:sz="4" w:space="0" w:color="auto"/>
              <w:bottom w:val="nil"/>
              <w:right w:val="single" w:sz="4" w:space="0" w:color="auto"/>
            </w:tcBorders>
            <w:shd w:val="clear" w:color="auto" w:fill="auto"/>
          </w:tcPr>
          <w:p w14:paraId="7A8E3734" w14:textId="77777777" w:rsidR="00D507CD" w:rsidRPr="004C78D8" w:rsidRDefault="00D507CD" w:rsidP="00FB7C1F">
            <w:pPr>
              <w:jc w:val="left"/>
              <w:rPr>
                <w:rFonts w:cs="Times New Roman"/>
                <w:sz w:val="18"/>
                <w:szCs w:val="18"/>
              </w:rPr>
            </w:pPr>
            <w:r w:rsidRPr="004C78D8">
              <w:rPr>
                <w:rFonts w:cs="Times New Roman"/>
                <w:color w:val="000000"/>
                <w:sz w:val="18"/>
                <w:szCs w:val="18"/>
              </w:rPr>
              <w:t>5</w:t>
            </w:r>
          </w:p>
        </w:tc>
      </w:tr>
      <w:tr w:rsidR="00D507CD" w:rsidRPr="004C78D8" w14:paraId="28DAA15F" w14:textId="77777777" w:rsidTr="00E35893">
        <w:tc>
          <w:tcPr>
            <w:tcW w:w="1175" w:type="pct"/>
            <w:tcBorders>
              <w:top w:val="nil"/>
              <w:bottom w:val="nil"/>
            </w:tcBorders>
          </w:tcPr>
          <w:p w14:paraId="45FF1B54" w14:textId="77777777" w:rsidR="00D507CD" w:rsidRPr="004C78D8" w:rsidRDefault="00D507CD" w:rsidP="00FB7C1F">
            <w:pPr>
              <w:jc w:val="left"/>
              <w:rPr>
                <w:sz w:val="18"/>
                <w:szCs w:val="18"/>
              </w:rPr>
            </w:pPr>
            <w:r w:rsidRPr="004C78D8">
              <w:rPr>
                <w:sz w:val="18"/>
                <w:szCs w:val="18"/>
              </w:rPr>
              <w:t>(6) QALY loss from non-MA single/recurrent fall</w:t>
            </w:r>
          </w:p>
        </w:tc>
        <w:tc>
          <w:tcPr>
            <w:tcW w:w="786" w:type="pct"/>
            <w:tcBorders>
              <w:top w:val="nil"/>
              <w:left w:val="nil"/>
              <w:bottom w:val="nil"/>
              <w:right w:val="single" w:sz="4" w:space="0" w:color="auto"/>
            </w:tcBorders>
            <w:shd w:val="clear" w:color="auto" w:fill="auto"/>
          </w:tcPr>
          <w:p w14:paraId="66C848DE" w14:textId="5AB46826" w:rsidR="00D507CD" w:rsidRPr="004C78D8" w:rsidRDefault="00D507CD" w:rsidP="00FB7C1F">
            <w:pPr>
              <w:jc w:val="left"/>
              <w:rPr>
                <w:rFonts w:cs="Times New Roman"/>
                <w:sz w:val="18"/>
                <w:szCs w:val="18"/>
              </w:rPr>
            </w:pPr>
            <w:r w:rsidRPr="004C78D8">
              <w:rPr>
                <w:rFonts w:cs="Times New Roman"/>
                <w:color w:val="000000"/>
                <w:sz w:val="18"/>
                <w:szCs w:val="18"/>
              </w:rPr>
              <w:t>14,116</w:t>
            </w:r>
          </w:p>
        </w:tc>
        <w:tc>
          <w:tcPr>
            <w:tcW w:w="787" w:type="pct"/>
            <w:tcBorders>
              <w:top w:val="nil"/>
              <w:left w:val="single" w:sz="4" w:space="0" w:color="auto"/>
              <w:bottom w:val="nil"/>
              <w:right w:val="single" w:sz="4" w:space="0" w:color="auto"/>
            </w:tcBorders>
            <w:shd w:val="clear" w:color="auto" w:fill="auto"/>
          </w:tcPr>
          <w:p w14:paraId="2CA0674F" w14:textId="021CBD85" w:rsidR="00D507CD" w:rsidRPr="004C78D8" w:rsidRDefault="00D507CD" w:rsidP="00FB7C1F">
            <w:pPr>
              <w:jc w:val="left"/>
              <w:rPr>
                <w:rFonts w:cs="Times New Roman"/>
                <w:sz w:val="18"/>
                <w:szCs w:val="18"/>
              </w:rPr>
            </w:pPr>
            <w:r w:rsidRPr="004C78D8">
              <w:rPr>
                <w:rFonts w:cs="Times New Roman"/>
                <w:color w:val="000000"/>
                <w:sz w:val="18"/>
                <w:szCs w:val="18"/>
              </w:rPr>
              <w:t>7,720</w:t>
            </w:r>
          </w:p>
        </w:tc>
        <w:tc>
          <w:tcPr>
            <w:tcW w:w="786" w:type="pct"/>
            <w:tcBorders>
              <w:top w:val="nil"/>
              <w:left w:val="single" w:sz="4" w:space="0" w:color="auto"/>
              <w:bottom w:val="nil"/>
              <w:right w:val="single" w:sz="4" w:space="0" w:color="auto"/>
            </w:tcBorders>
            <w:shd w:val="clear" w:color="auto" w:fill="auto"/>
          </w:tcPr>
          <w:p w14:paraId="20A80271" w14:textId="0A285319" w:rsidR="00D507CD" w:rsidRPr="004C78D8" w:rsidRDefault="00D507CD" w:rsidP="00FB7C1F">
            <w:pPr>
              <w:jc w:val="left"/>
              <w:rPr>
                <w:rFonts w:cs="Times New Roman"/>
                <w:sz w:val="18"/>
                <w:szCs w:val="18"/>
              </w:rPr>
            </w:pPr>
            <w:r w:rsidRPr="004C78D8">
              <w:rPr>
                <w:rFonts w:cs="Times New Roman"/>
                <w:color w:val="000000"/>
                <w:sz w:val="18"/>
                <w:szCs w:val="18"/>
              </w:rPr>
              <w:t>14,836</w:t>
            </w:r>
          </w:p>
        </w:tc>
        <w:tc>
          <w:tcPr>
            <w:tcW w:w="787" w:type="pct"/>
            <w:tcBorders>
              <w:top w:val="nil"/>
              <w:left w:val="single" w:sz="4" w:space="0" w:color="auto"/>
              <w:bottom w:val="nil"/>
              <w:right w:val="single" w:sz="4" w:space="0" w:color="auto"/>
            </w:tcBorders>
            <w:shd w:val="clear" w:color="auto" w:fill="auto"/>
          </w:tcPr>
          <w:p w14:paraId="68725A20" w14:textId="31681EED" w:rsidR="00D507CD" w:rsidRPr="004C78D8" w:rsidRDefault="00D507CD" w:rsidP="00FB7C1F">
            <w:pPr>
              <w:jc w:val="left"/>
              <w:rPr>
                <w:rFonts w:cs="Times New Roman"/>
                <w:sz w:val="18"/>
                <w:szCs w:val="18"/>
              </w:rPr>
            </w:pPr>
            <w:r w:rsidRPr="004C78D8">
              <w:rPr>
                <w:rFonts w:cs="Times New Roman"/>
                <w:color w:val="000000"/>
                <w:sz w:val="18"/>
                <w:szCs w:val="18"/>
              </w:rPr>
              <w:t>7,931</w:t>
            </w:r>
          </w:p>
        </w:tc>
        <w:tc>
          <w:tcPr>
            <w:tcW w:w="679" w:type="pct"/>
            <w:tcBorders>
              <w:top w:val="nil"/>
              <w:left w:val="single" w:sz="4" w:space="0" w:color="auto"/>
              <w:bottom w:val="nil"/>
              <w:right w:val="single" w:sz="4" w:space="0" w:color="auto"/>
            </w:tcBorders>
            <w:shd w:val="clear" w:color="auto" w:fill="auto"/>
          </w:tcPr>
          <w:p w14:paraId="05F87CDB" w14:textId="77777777" w:rsidR="00D507CD" w:rsidRPr="004C78D8" w:rsidRDefault="00D507CD" w:rsidP="00FB7C1F">
            <w:pPr>
              <w:jc w:val="left"/>
              <w:rPr>
                <w:rFonts w:cs="Times New Roman"/>
                <w:sz w:val="18"/>
                <w:szCs w:val="18"/>
              </w:rPr>
            </w:pPr>
            <w:r w:rsidRPr="004C78D8">
              <w:rPr>
                <w:rFonts w:cs="Times New Roman"/>
                <w:color w:val="000000"/>
                <w:sz w:val="18"/>
                <w:szCs w:val="18"/>
              </w:rPr>
              <w:t>6</w:t>
            </w:r>
          </w:p>
        </w:tc>
      </w:tr>
      <w:tr w:rsidR="00D507CD" w:rsidRPr="004C78D8" w14:paraId="07791B62" w14:textId="77777777" w:rsidTr="00E35893">
        <w:tc>
          <w:tcPr>
            <w:tcW w:w="1175" w:type="pct"/>
            <w:tcBorders>
              <w:top w:val="nil"/>
              <w:bottom w:val="nil"/>
            </w:tcBorders>
          </w:tcPr>
          <w:p w14:paraId="666D7BBF" w14:textId="77777777" w:rsidR="00D507CD" w:rsidRPr="004C78D8" w:rsidRDefault="00D507CD" w:rsidP="00FB7C1F">
            <w:pPr>
              <w:jc w:val="left"/>
              <w:rPr>
                <w:sz w:val="18"/>
                <w:szCs w:val="18"/>
              </w:rPr>
            </w:pPr>
            <w:r w:rsidRPr="004C78D8">
              <w:rPr>
                <w:sz w:val="18"/>
                <w:szCs w:val="18"/>
              </w:rPr>
              <w:t>(7) Dynamic probability of self-referred int. demand under RC</w:t>
            </w:r>
          </w:p>
        </w:tc>
        <w:tc>
          <w:tcPr>
            <w:tcW w:w="786" w:type="pct"/>
            <w:tcBorders>
              <w:top w:val="nil"/>
              <w:left w:val="nil"/>
              <w:bottom w:val="nil"/>
              <w:right w:val="single" w:sz="4" w:space="0" w:color="auto"/>
            </w:tcBorders>
            <w:shd w:val="clear" w:color="auto" w:fill="auto"/>
          </w:tcPr>
          <w:p w14:paraId="11313E1C" w14:textId="01CAE837" w:rsidR="00D507CD" w:rsidRPr="004C78D8" w:rsidRDefault="00D507CD" w:rsidP="00FB7C1F">
            <w:pPr>
              <w:jc w:val="left"/>
              <w:rPr>
                <w:rFonts w:cs="Times New Roman"/>
                <w:sz w:val="18"/>
                <w:szCs w:val="18"/>
              </w:rPr>
            </w:pPr>
            <w:r w:rsidRPr="004C78D8">
              <w:rPr>
                <w:rFonts w:cs="Times New Roman"/>
                <w:color w:val="000000"/>
                <w:sz w:val="18"/>
                <w:szCs w:val="18"/>
              </w:rPr>
              <w:t>16,145</w:t>
            </w:r>
          </w:p>
        </w:tc>
        <w:tc>
          <w:tcPr>
            <w:tcW w:w="787" w:type="pct"/>
            <w:tcBorders>
              <w:top w:val="nil"/>
              <w:left w:val="single" w:sz="4" w:space="0" w:color="auto"/>
              <w:bottom w:val="nil"/>
              <w:right w:val="single" w:sz="4" w:space="0" w:color="auto"/>
            </w:tcBorders>
            <w:shd w:val="clear" w:color="auto" w:fill="auto"/>
          </w:tcPr>
          <w:p w14:paraId="292864FB" w14:textId="1A298A06" w:rsidR="00D507CD" w:rsidRPr="004C78D8" w:rsidRDefault="00D507CD" w:rsidP="00FB7C1F">
            <w:pPr>
              <w:jc w:val="left"/>
              <w:rPr>
                <w:rFonts w:cs="Times New Roman"/>
                <w:sz w:val="18"/>
                <w:szCs w:val="18"/>
              </w:rPr>
            </w:pPr>
            <w:r w:rsidRPr="004C78D8">
              <w:rPr>
                <w:rFonts w:cs="Times New Roman"/>
                <w:color w:val="000000"/>
                <w:sz w:val="18"/>
                <w:szCs w:val="18"/>
              </w:rPr>
              <w:t>10,015</w:t>
            </w:r>
          </w:p>
        </w:tc>
        <w:tc>
          <w:tcPr>
            <w:tcW w:w="786" w:type="pct"/>
            <w:tcBorders>
              <w:top w:val="nil"/>
              <w:left w:val="single" w:sz="4" w:space="0" w:color="auto"/>
              <w:bottom w:val="nil"/>
              <w:right w:val="single" w:sz="4" w:space="0" w:color="auto"/>
            </w:tcBorders>
            <w:shd w:val="clear" w:color="auto" w:fill="auto"/>
          </w:tcPr>
          <w:p w14:paraId="0DB6BC7D" w14:textId="0226D987" w:rsidR="00D507CD" w:rsidRPr="004C78D8" w:rsidRDefault="00D507CD" w:rsidP="00FB7C1F">
            <w:pPr>
              <w:jc w:val="left"/>
              <w:rPr>
                <w:rFonts w:cs="Times New Roman"/>
                <w:sz w:val="18"/>
                <w:szCs w:val="18"/>
              </w:rPr>
            </w:pPr>
            <w:r w:rsidRPr="004C78D8">
              <w:rPr>
                <w:rFonts w:cs="Times New Roman"/>
                <w:color w:val="000000"/>
                <w:sz w:val="18"/>
                <w:szCs w:val="18"/>
              </w:rPr>
              <w:t>16,168</w:t>
            </w:r>
          </w:p>
        </w:tc>
        <w:tc>
          <w:tcPr>
            <w:tcW w:w="787" w:type="pct"/>
            <w:tcBorders>
              <w:top w:val="nil"/>
              <w:left w:val="single" w:sz="4" w:space="0" w:color="auto"/>
              <w:bottom w:val="nil"/>
              <w:right w:val="single" w:sz="4" w:space="0" w:color="auto"/>
            </w:tcBorders>
            <w:shd w:val="clear" w:color="auto" w:fill="auto"/>
          </w:tcPr>
          <w:p w14:paraId="3669CFF1" w14:textId="0610E153" w:rsidR="00D507CD" w:rsidRPr="004C78D8" w:rsidRDefault="00D507CD" w:rsidP="00FB7C1F">
            <w:pPr>
              <w:jc w:val="left"/>
              <w:rPr>
                <w:rFonts w:cs="Times New Roman"/>
                <w:sz w:val="18"/>
                <w:szCs w:val="18"/>
              </w:rPr>
            </w:pPr>
            <w:r w:rsidRPr="004C78D8">
              <w:rPr>
                <w:rFonts w:cs="Times New Roman"/>
                <w:color w:val="000000"/>
                <w:sz w:val="18"/>
                <w:szCs w:val="18"/>
              </w:rPr>
              <w:t>10,571</w:t>
            </w:r>
          </w:p>
        </w:tc>
        <w:tc>
          <w:tcPr>
            <w:tcW w:w="679" w:type="pct"/>
            <w:tcBorders>
              <w:top w:val="nil"/>
              <w:left w:val="single" w:sz="4" w:space="0" w:color="auto"/>
              <w:bottom w:val="nil"/>
              <w:right w:val="single" w:sz="4" w:space="0" w:color="auto"/>
            </w:tcBorders>
            <w:shd w:val="clear" w:color="auto" w:fill="auto"/>
          </w:tcPr>
          <w:p w14:paraId="145B23CD" w14:textId="77777777" w:rsidR="00D507CD" w:rsidRPr="004C78D8" w:rsidRDefault="00D507CD" w:rsidP="00FB7C1F">
            <w:pPr>
              <w:jc w:val="left"/>
              <w:rPr>
                <w:rFonts w:cs="Times New Roman"/>
                <w:sz w:val="18"/>
                <w:szCs w:val="18"/>
              </w:rPr>
            </w:pPr>
            <w:r w:rsidRPr="004C78D8">
              <w:rPr>
                <w:rFonts w:cs="Times New Roman"/>
                <w:color w:val="000000"/>
                <w:sz w:val="18"/>
                <w:szCs w:val="18"/>
              </w:rPr>
              <w:t>7</w:t>
            </w:r>
          </w:p>
        </w:tc>
      </w:tr>
      <w:tr w:rsidR="00D507CD" w:rsidRPr="004C78D8" w14:paraId="234BDF0D" w14:textId="77777777" w:rsidTr="00E35893">
        <w:tc>
          <w:tcPr>
            <w:tcW w:w="1175" w:type="pct"/>
            <w:tcBorders>
              <w:top w:val="nil"/>
              <w:bottom w:val="nil"/>
            </w:tcBorders>
          </w:tcPr>
          <w:p w14:paraId="4C1C4303" w14:textId="77777777" w:rsidR="00D507CD" w:rsidRPr="004C78D8" w:rsidRDefault="00D507CD" w:rsidP="00FB7C1F">
            <w:pPr>
              <w:jc w:val="left"/>
              <w:rPr>
                <w:sz w:val="18"/>
                <w:szCs w:val="18"/>
              </w:rPr>
            </w:pPr>
            <w:r w:rsidRPr="004C78D8">
              <w:rPr>
                <w:sz w:val="18"/>
                <w:szCs w:val="18"/>
              </w:rPr>
              <w:t>(8) Dynamic risk of LTC admission</w:t>
            </w:r>
          </w:p>
        </w:tc>
        <w:tc>
          <w:tcPr>
            <w:tcW w:w="786" w:type="pct"/>
            <w:tcBorders>
              <w:top w:val="nil"/>
              <w:left w:val="nil"/>
              <w:bottom w:val="nil"/>
              <w:right w:val="single" w:sz="4" w:space="0" w:color="auto"/>
            </w:tcBorders>
            <w:shd w:val="clear" w:color="auto" w:fill="auto"/>
          </w:tcPr>
          <w:p w14:paraId="73439DB5" w14:textId="66D18213" w:rsidR="00D507CD" w:rsidRPr="004C78D8" w:rsidRDefault="00D507CD" w:rsidP="00FB7C1F">
            <w:pPr>
              <w:jc w:val="left"/>
              <w:rPr>
                <w:rFonts w:cs="Times New Roman"/>
                <w:sz w:val="18"/>
                <w:szCs w:val="18"/>
              </w:rPr>
            </w:pPr>
            <w:r w:rsidRPr="004C78D8">
              <w:rPr>
                <w:rFonts w:cs="Times New Roman"/>
                <w:color w:val="000000"/>
                <w:sz w:val="18"/>
                <w:szCs w:val="18"/>
              </w:rPr>
              <w:t>11,547</w:t>
            </w:r>
          </w:p>
        </w:tc>
        <w:tc>
          <w:tcPr>
            <w:tcW w:w="787" w:type="pct"/>
            <w:tcBorders>
              <w:top w:val="nil"/>
              <w:left w:val="single" w:sz="4" w:space="0" w:color="auto"/>
              <w:bottom w:val="nil"/>
              <w:right w:val="single" w:sz="4" w:space="0" w:color="auto"/>
            </w:tcBorders>
            <w:shd w:val="clear" w:color="auto" w:fill="auto"/>
          </w:tcPr>
          <w:p w14:paraId="04061DDF" w14:textId="22F52C3C" w:rsidR="00D507CD" w:rsidRPr="004C78D8" w:rsidRDefault="00D507CD" w:rsidP="00FB7C1F">
            <w:pPr>
              <w:jc w:val="left"/>
              <w:rPr>
                <w:rFonts w:cs="Times New Roman"/>
                <w:sz w:val="18"/>
                <w:szCs w:val="18"/>
              </w:rPr>
            </w:pPr>
            <w:r w:rsidRPr="004C78D8">
              <w:rPr>
                <w:rFonts w:cs="Times New Roman"/>
                <w:color w:val="000000"/>
                <w:sz w:val="18"/>
                <w:szCs w:val="18"/>
              </w:rPr>
              <w:t>16,235</w:t>
            </w:r>
          </w:p>
        </w:tc>
        <w:tc>
          <w:tcPr>
            <w:tcW w:w="786" w:type="pct"/>
            <w:tcBorders>
              <w:top w:val="nil"/>
              <w:left w:val="single" w:sz="4" w:space="0" w:color="auto"/>
              <w:bottom w:val="nil"/>
              <w:right w:val="single" w:sz="4" w:space="0" w:color="auto"/>
            </w:tcBorders>
            <w:shd w:val="clear" w:color="auto" w:fill="auto"/>
          </w:tcPr>
          <w:p w14:paraId="79B4A3E3" w14:textId="2B0921D1" w:rsidR="00D507CD" w:rsidRPr="004C78D8" w:rsidRDefault="00D507CD" w:rsidP="00FB7C1F">
            <w:pPr>
              <w:jc w:val="left"/>
              <w:rPr>
                <w:rFonts w:cs="Times New Roman"/>
                <w:sz w:val="18"/>
                <w:szCs w:val="18"/>
              </w:rPr>
            </w:pPr>
            <w:r w:rsidRPr="004C78D8">
              <w:rPr>
                <w:rFonts w:cs="Times New Roman"/>
                <w:color w:val="000000"/>
                <w:sz w:val="18"/>
                <w:szCs w:val="18"/>
              </w:rPr>
              <w:t>12,577</w:t>
            </w:r>
          </w:p>
        </w:tc>
        <w:tc>
          <w:tcPr>
            <w:tcW w:w="787" w:type="pct"/>
            <w:tcBorders>
              <w:top w:val="nil"/>
              <w:left w:val="single" w:sz="4" w:space="0" w:color="auto"/>
              <w:bottom w:val="nil"/>
              <w:right w:val="single" w:sz="4" w:space="0" w:color="auto"/>
            </w:tcBorders>
            <w:shd w:val="clear" w:color="auto" w:fill="auto"/>
          </w:tcPr>
          <w:p w14:paraId="22003E4B" w14:textId="1BDA5666" w:rsidR="00D507CD" w:rsidRPr="004C78D8" w:rsidRDefault="00D507CD" w:rsidP="00FB7C1F">
            <w:pPr>
              <w:jc w:val="left"/>
              <w:rPr>
                <w:rFonts w:cs="Times New Roman"/>
                <w:sz w:val="18"/>
                <w:szCs w:val="18"/>
              </w:rPr>
            </w:pPr>
            <w:r w:rsidRPr="004C78D8">
              <w:rPr>
                <w:rFonts w:cs="Times New Roman"/>
                <w:color w:val="000000"/>
                <w:sz w:val="18"/>
                <w:szCs w:val="18"/>
              </w:rPr>
              <w:t>17,557</w:t>
            </w:r>
          </w:p>
        </w:tc>
        <w:tc>
          <w:tcPr>
            <w:tcW w:w="679" w:type="pct"/>
            <w:tcBorders>
              <w:top w:val="nil"/>
              <w:left w:val="single" w:sz="4" w:space="0" w:color="auto"/>
              <w:bottom w:val="nil"/>
              <w:right w:val="single" w:sz="4" w:space="0" w:color="auto"/>
            </w:tcBorders>
            <w:shd w:val="clear" w:color="auto" w:fill="auto"/>
          </w:tcPr>
          <w:p w14:paraId="7E627C6A" w14:textId="77777777" w:rsidR="00D507CD" w:rsidRPr="004C78D8" w:rsidRDefault="00D507CD" w:rsidP="00FB7C1F">
            <w:pPr>
              <w:jc w:val="left"/>
              <w:rPr>
                <w:rFonts w:cs="Times New Roman"/>
                <w:sz w:val="18"/>
                <w:szCs w:val="18"/>
              </w:rPr>
            </w:pPr>
            <w:r w:rsidRPr="004C78D8">
              <w:rPr>
                <w:rFonts w:cs="Times New Roman"/>
                <w:color w:val="000000"/>
                <w:sz w:val="18"/>
                <w:szCs w:val="18"/>
              </w:rPr>
              <w:t>8</w:t>
            </w:r>
          </w:p>
        </w:tc>
      </w:tr>
      <w:tr w:rsidR="00D507CD" w:rsidRPr="004C78D8" w14:paraId="5D323FB7" w14:textId="77777777" w:rsidTr="00E35893">
        <w:tc>
          <w:tcPr>
            <w:tcW w:w="1175" w:type="pct"/>
            <w:tcBorders>
              <w:top w:val="nil"/>
              <w:bottom w:val="nil"/>
            </w:tcBorders>
          </w:tcPr>
          <w:p w14:paraId="30B8C8F8" w14:textId="77777777" w:rsidR="00D507CD" w:rsidRPr="004C78D8" w:rsidRDefault="00D507CD" w:rsidP="00FB7C1F">
            <w:pPr>
              <w:jc w:val="left"/>
              <w:rPr>
                <w:sz w:val="18"/>
                <w:szCs w:val="18"/>
              </w:rPr>
            </w:pPr>
            <w:r w:rsidRPr="004C78D8">
              <w:rPr>
                <w:sz w:val="18"/>
                <w:szCs w:val="18"/>
              </w:rPr>
              <w:t>(9) Dynamic risk of cognitive impairment</w:t>
            </w:r>
          </w:p>
        </w:tc>
        <w:tc>
          <w:tcPr>
            <w:tcW w:w="786" w:type="pct"/>
            <w:tcBorders>
              <w:top w:val="nil"/>
              <w:left w:val="nil"/>
              <w:bottom w:val="nil"/>
              <w:right w:val="single" w:sz="4" w:space="0" w:color="auto"/>
            </w:tcBorders>
            <w:shd w:val="clear" w:color="auto" w:fill="auto"/>
          </w:tcPr>
          <w:p w14:paraId="3C02A45E" w14:textId="14EAE2D1" w:rsidR="00D507CD" w:rsidRPr="004C78D8" w:rsidRDefault="00D507CD" w:rsidP="00FB7C1F">
            <w:pPr>
              <w:jc w:val="left"/>
              <w:rPr>
                <w:rFonts w:cs="Times New Roman"/>
                <w:sz w:val="18"/>
                <w:szCs w:val="18"/>
              </w:rPr>
            </w:pPr>
            <w:r w:rsidRPr="004C78D8">
              <w:rPr>
                <w:rFonts w:cs="Times New Roman"/>
                <w:color w:val="000000"/>
                <w:sz w:val="18"/>
                <w:szCs w:val="18"/>
              </w:rPr>
              <w:t>10,877</w:t>
            </w:r>
          </w:p>
        </w:tc>
        <w:tc>
          <w:tcPr>
            <w:tcW w:w="787" w:type="pct"/>
            <w:tcBorders>
              <w:top w:val="nil"/>
              <w:left w:val="single" w:sz="4" w:space="0" w:color="auto"/>
              <w:bottom w:val="nil"/>
              <w:right w:val="single" w:sz="4" w:space="0" w:color="auto"/>
            </w:tcBorders>
            <w:shd w:val="clear" w:color="auto" w:fill="auto"/>
          </w:tcPr>
          <w:p w14:paraId="4C686E8F" w14:textId="61B97606" w:rsidR="00D507CD" w:rsidRPr="004C78D8" w:rsidRDefault="00D507CD" w:rsidP="00FB7C1F">
            <w:pPr>
              <w:jc w:val="left"/>
              <w:rPr>
                <w:rFonts w:cs="Times New Roman"/>
                <w:sz w:val="18"/>
                <w:szCs w:val="18"/>
              </w:rPr>
            </w:pPr>
            <w:r w:rsidRPr="004C78D8">
              <w:rPr>
                <w:rFonts w:cs="Times New Roman"/>
                <w:color w:val="000000"/>
                <w:sz w:val="18"/>
                <w:szCs w:val="18"/>
              </w:rPr>
              <w:t>15,548</w:t>
            </w:r>
          </w:p>
        </w:tc>
        <w:tc>
          <w:tcPr>
            <w:tcW w:w="786" w:type="pct"/>
            <w:tcBorders>
              <w:top w:val="nil"/>
              <w:left w:val="single" w:sz="4" w:space="0" w:color="auto"/>
              <w:bottom w:val="nil"/>
              <w:right w:val="single" w:sz="4" w:space="0" w:color="auto"/>
            </w:tcBorders>
            <w:shd w:val="clear" w:color="auto" w:fill="auto"/>
          </w:tcPr>
          <w:p w14:paraId="5D663791" w14:textId="3CDCA720" w:rsidR="00D507CD" w:rsidRPr="004C78D8" w:rsidRDefault="00D507CD" w:rsidP="00FB7C1F">
            <w:pPr>
              <w:jc w:val="left"/>
              <w:rPr>
                <w:rFonts w:cs="Times New Roman"/>
                <w:sz w:val="18"/>
                <w:szCs w:val="18"/>
              </w:rPr>
            </w:pPr>
            <w:r w:rsidRPr="004C78D8">
              <w:rPr>
                <w:rFonts w:cs="Times New Roman"/>
                <w:color w:val="000000"/>
                <w:sz w:val="18"/>
                <w:szCs w:val="18"/>
              </w:rPr>
              <w:t>11,910</w:t>
            </w:r>
          </w:p>
        </w:tc>
        <w:tc>
          <w:tcPr>
            <w:tcW w:w="787" w:type="pct"/>
            <w:tcBorders>
              <w:top w:val="nil"/>
              <w:left w:val="single" w:sz="4" w:space="0" w:color="auto"/>
              <w:bottom w:val="nil"/>
              <w:right w:val="single" w:sz="4" w:space="0" w:color="auto"/>
            </w:tcBorders>
            <w:shd w:val="clear" w:color="auto" w:fill="auto"/>
          </w:tcPr>
          <w:p w14:paraId="356EAACA" w14:textId="69BCF89D" w:rsidR="00D507CD" w:rsidRPr="004C78D8" w:rsidRDefault="00D507CD" w:rsidP="00FB7C1F">
            <w:pPr>
              <w:jc w:val="left"/>
              <w:rPr>
                <w:rFonts w:cs="Times New Roman"/>
                <w:sz w:val="18"/>
                <w:szCs w:val="18"/>
              </w:rPr>
            </w:pPr>
            <w:r w:rsidRPr="004C78D8">
              <w:rPr>
                <w:rFonts w:cs="Times New Roman"/>
                <w:color w:val="000000"/>
                <w:sz w:val="18"/>
                <w:szCs w:val="18"/>
              </w:rPr>
              <w:t>15,677</w:t>
            </w:r>
          </w:p>
        </w:tc>
        <w:tc>
          <w:tcPr>
            <w:tcW w:w="679" w:type="pct"/>
            <w:tcBorders>
              <w:top w:val="nil"/>
              <w:left w:val="single" w:sz="4" w:space="0" w:color="auto"/>
              <w:bottom w:val="nil"/>
              <w:right w:val="single" w:sz="4" w:space="0" w:color="auto"/>
            </w:tcBorders>
            <w:shd w:val="clear" w:color="auto" w:fill="auto"/>
          </w:tcPr>
          <w:p w14:paraId="719ADD8C" w14:textId="77777777" w:rsidR="00D507CD" w:rsidRPr="004C78D8" w:rsidRDefault="00D507CD" w:rsidP="00FB7C1F">
            <w:pPr>
              <w:jc w:val="left"/>
              <w:rPr>
                <w:rFonts w:cs="Times New Roman"/>
                <w:sz w:val="18"/>
                <w:szCs w:val="18"/>
              </w:rPr>
            </w:pPr>
            <w:r w:rsidRPr="004C78D8">
              <w:rPr>
                <w:rFonts w:cs="Times New Roman"/>
                <w:color w:val="000000"/>
                <w:sz w:val="18"/>
                <w:szCs w:val="18"/>
              </w:rPr>
              <w:t>12</w:t>
            </w:r>
          </w:p>
        </w:tc>
      </w:tr>
      <w:tr w:rsidR="00D507CD" w:rsidRPr="004C78D8" w14:paraId="7027F8FC" w14:textId="77777777" w:rsidTr="00E35893">
        <w:tc>
          <w:tcPr>
            <w:tcW w:w="1175" w:type="pct"/>
            <w:tcBorders>
              <w:top w:val="nil"/>
              <w:bottom w:val="nil"/>
            </w:tcBorders>
          </w:tcPr>
          <w:p w14:paraId="6BC3330F" w14:textId="77777777" w:rsidR="00D507CD" w:rsidRPr="004C78D8" w:rsidRDefault="00D507CD" w:rsidP="00FB7C1F">
            <w:pPr>
              <w:jc w:val="left"/>
              <w:rPr>
                <w:sz w:val="18"/>
                <w:szCs w:val="18"/>
              </w:rPr>
            </w:pPr>
            <w:r w:rsidRPr="004C78D8">
              <w:rPr>
                <w:sz w:val="18"/>
                <w:szCs w:val="18"/>
              </w:rPr>
              <w:t>(10) Risk of recurrent MA fall</w:t>
            </w:r>
          </w:p>
        </w:tc>
        <w:tc>
          <w:tcPr>
            <w:tcW w:w="786" w:type="pct"/>
            <w:tcBorders>
              <w:top w:val="nil"/>
              <w:left w:val="nil"/>
              <w:bottom w:val="nil"/>
              <w:right w:val="single" w:sz="4" w:space="0" w:color="auto"/>
            </w:tcBorders>
            <w:shd w:val="clear" w:color="auto" w:fill="auto"/>
          </w:tcPr>
          <w:p w14:paraId="3A8AAFA6" w14:textId="3F356936" w:rsidR="00D507CD" w:rsidRPr="004C78D8" w:rsidRDefault="00D507CD" w:rsidP="00FB7C1F">
            <w:pPr>
              <w:jc w:val="left"/>
              <w:rPr>
                <w:rFonts w:cs="Times New Roman"/>
                <w:sz w:val="18"/>
                <w:szCs w:val="18"/>
              </w:rPr>
            </w:pPr>
            <w:r w:rsidRPr="004C78D8">
              <w:rPr>
                <w:rFonts w:cs="Times New Roman"/>
                <w:color w:val="000000"/>
                <w:sz w:val="18"/>
                <w:szCs w:val="18"/>
              </w:rPr>
              <w:t>14,530</w:t>
            </w:r>
          </w:p>
        </w:tc>
        <w:tc>
          <w:tcPr>
            <w:tcW w:w="787" w:type="pct"/>
            <w:tcBorders>
              <w:top w:val="nil"/>
              <w:left w:val="single" w:sz="4" w:space="0" w:color="auto"/>
              <w:bottom w:val="nil"/>
              <w:right w:val="single" w:sz="4" w:space="0" w:color="auto"/>
            </w:tcBorders>
            <w:shd w:val="clear" w:color="auto" w:fill="auto"/>
          </w:tcPr>
          <w:p w14:paraId="75814E0A" w14:textId="1EDB6B8A" w:rsidR="00D507CD" w:rsidRPr="004C78D8" w:rsidRDefault="00D507CD" w:rsidP="00FB7C1F">
            <w:pPr>
              <w:jc w:val="left"/>
              <w:rPr>
                <w:rFonts w:cs="Times New Roman"/>
                <w:sz w:val="18"/>
                <w:szCs w:val="18"/>
              </w:rPr>
            </w:pPr>
            <w:r w:rsidRPr="004C78D8">
              <w:rPr>
                <w:rFonts w:cs="Times New Roman"/>
                <w:color w:val="000000"/>
                <w:sz w:val="18"/>
                <w:szCs w:val="18"/>
              </w:rPr>
              <w:t>10,613</w:t>
            </w:r>
          </w:p>
        </w:tc>
        <w:tc>
          <w:tcPr>
            <w:tcW w:w="786" w:type="pct"/>
            <w:tcBorders>
              <w:top w:val="nil"/>
              <w:left w:val="single" w:sz="4" w:space="0" w:color="auto"/>
              <w:bottom w:val="nil"/>
              <w:right w:val="single" w:sz="4" w:space="0" w:color="auto"/>
            </w:tcBorders>
            <w:shd w:val="clear" w:color="auto" w:fill="auto"/>
          </w:tcPr>
          <w:p w14:paraId="7C9BD48F" w14:textId="1F1622E0" w:rsidR="00D507CD" w:rsidRPr="004C78D8" w:rsidRDefault="00D507CD" w:rsidP="00FB7C1F">
            <w:pPr>
              <w:jc w:val="left"/>
              <w:rPr>
                <w:rFonts w:cs="Times New Roman"/>
                <w:sz w:val="18"/>
                <w:szCs w:val="18"/>
              </w:rPr>
            </w:pPr>
            <w:r w:rsidRPr="004C78D8">
              <w:rPr>
                <w:rFonts w:cs="Times New Roman"/>
                <w:color w:val="000000"/>
                <w:sz w:val="18"/>
                <w:szCs w:val="18"/>
              </w:rPr>
              <w:t>15,215</w:t>
            </w:r>
          </w:p>
        </w:tc>
        <w:tc>
          <w:tcPr>
            <w:tcW w:w="787" w:type="pct"/>
            <w:tcBorders>
              <w:top w:val="nil"/>
              <w:left w:val="single" w:sz="4" w:space="0" w:color="auto"/>
              <w:bottom w:val="nil"/>
              <w:right w:val="single" w:sz="4" w:space="0" w:color="auto"/>
            </w:tcBorders>
            <w:shd w:val="clear" w:color="auto" w:fill="auto"/>
          </w:tcPr>
          <w:p w14:paraId="013666C4" w14:textId="6375004A" w:rsidR="00D507CD" w:rsidRPr="004C78D8" w:rsidRDefault="00D507CD" w:rsidP="00FB7C1F">
            <w:pPr>
              <w:jc w:val="left"/>
              <w:rPr>
                <w:rFonts w:cs="Times New Roman"/>
                <w:sz w:val="18"/>
                <w:szCs w:val="18"/>
              </w:rPr>
            </w:pPr>
            <w:r w:rsidRPr="004C78D8">
              <w:rPr>
                <w:rFonts w:cs="Times New Roman"/>
                <w:color w:val="000000"/>
                <w:sz w:val="18"/>
                <w:szCs w:val="18"/>
              </w:rPr>
              <w:t>11,08</w:t>
            </w:r>
            <w:r w:rsidR="00203656" w:rsidRPr="004C78D8">
              <w:rPr>
                <w:rFonts w:cs="Times New Roman"/>
                <w:color w:val="000000"/>
                <w:sz w:val="18"/>
                <w:szCs w:val="18"/>
              </w:rPr>
              <w:t>7</w:t>
            </w:r>
          </w:p>
        </w:tc>
        <w:tc>
          <w:tcPr>
            <w:tcW w:w="679" w:type="pct"/>
            <w:tcBorders>
              <w:top w:val="nil"/>
              <w:left w:val="single" w:sz="4" w:space="0" w:color="auto"/>
              <w:bottom w:val="nil"/>
              <w:right w:val="single" w:sz="4" w:space="0" w:color="auto"/>
            </w:tcBorders>
            <w:shd w:val="clear" w:color="auto" w:fill="auto"/>
          </w:tcPr>
          <w:p w14:paraId="1F112793" w14:textId="77777777" w:rsidR="00D507CD" w:rsidRPr="004C78D8" w:rsidRDefault="00D507CD" w:rsidP="00FB7C1F">
            <w:pPr>
              <w:jc w:val="left"/>
              <w:rPr>
                <w:rFonts w:cs="Times New Roman"/>
                <w:sz w:val="18"/>
                <w:szCs w:val="18"/>
              </w:rPr>
            </w:pPr>
            <w:r w:rsidRPr="004C78D8">
              <w:rPr>
                <w:rFonts w:cs="Times New Roman"/>
                <w:color w:val="000000"/>
                <w:sz w:val="18"/>
                <w:szCs w:val="18"/>
              </w:rPr>
              <w:t>9</w:t>
            </w:r>
          </w:p>
        </w:tc>
      </w:tr>
      <w:tr w:rsidR="00D507CD" w:rsidRPr="004C78D8" w14:paraId="54D41310" w14:textId="77777777" w:rsidTr="00E35893">
        <w:tc>
          <w:tcPr>
            <w:tcW w:w="1175" w:type="pct"/>
            <w:tcBorders>
              <w:top w:val="nil"/>
              <w:bottom w:val="nil"/>
            </w:tcBorders>
          </w:tcPr>
          <w:p w14:paraId="4887C4EF" w14:textId="77777777" w:rsidR="00D507CD" w:rsidRPr="004C78D8" w:rsidRDefault="00D507CD" w:rsidP="00FB7C1F">
            <w:pPr>
              <w:jc w:val="left"/>
              <w:rPr>
                <w:sz w:val="18"/>
                <w:szCs w:val="18"/>
              </w:rPr>
            </w:pPr>
            <w:r w:rsidRPr="004C78D8">
              <w:rPr>
                <w:sz w:val="18"/>
                <w:szCs w:val="18"/>
              </w:rPr>
              <w:t>(11) Healthcare cost of hospitalised MA fall</w:t>
            </w:r>
          </w:p>
        </w:tc>
        <w:tc>
          <w:tcPr>
            <w:tcW w:w="786" w:type="pct"/>
            <w:tcBorders>
              <w:top w:val="nil"/>
              <w:left w:val="nil"/>
              <w:bottom w:val="nil"/>
              <w:right w:val="single" w:sz="4" w:space="0" w:color="auto"/>
            </w:tcBorders>
            <w:shd w:val="clear" w:color="auto" w:fill="auto"/>
          </w:tcPr>
          <w:p w14:paraId="1B9ADDEB" w14:textId="05F82706" w:rsidR="00D507CD" w:rsidRPr="004C78D8" w:rsidRDefault="00D507CD" w:rsidP="00FB7C1F">
            <w:pPr>
              <w:jc w:val="left"/>
              <w:rPr>
                <w:rFonts w:cs="Times New Roman"/>
                <w:sz w:val="18"/>
                <w:szCs w:val="18"/>
              </w:rPr>
            </w:pPr>
            <w:r w:rsidRPr="004C78D8">
              <w:rPr>
                <w:rFonts w:cs="Times New Roman"/>
                <w:color w:val="000000"/>
                <w:sz w:val="18"/>
                <w:szCs w:val="18"/>
              </w:rPr>
              <w:t>14,545</w:t>
            </w:r>
          </w:p>
        </w:tc>
        <w:tc>
          <w:tcPr>
            <w:tcW w:w="787" w:type="pct"/>
            <w:tcBorders>
              <w:top w:val="nil"/>
              <w:left w:val="single" w:sz="4" w:space="0" w:color="auto"/>
              <w:bottom w:val="nil"/>
              <w:right w:val="single" w:sz="4" w:space="0" w:color="auto"/>
            </w:tcBorders>
            <w:shd w:val="clear" w:color="auto" w:fill="auto"/>
          </w:tcPr>
          <w:p w14:paraId="1F4032BA" w14:textId="7DFB9473" w:rsidR="00D507CD" w:rsidRPr="004C78D8" w:rsidRDefault="00D507CD" w:rsidP="00FB7C1F">
            <w:pPr>
              <w:jc w:val="left"/>
              <w:rPr>
                <w:rFonts w:cs="Times New Roman"/>
                <w:sz w:val="18"/>
                <w:szCs w:val="18"/>
              </w:rPr>
            </w:pPr>
            <w:r w:rsidRPr="004C78D8">
              <w:rPr>
                <w:rFonts w:cs="Times New Roman"/>
                <w:color w:val="000000"/>
                <w:sz w:val="18"/>
                <w:szCs w:val="18"/>
              </w:rPr>
              <w:t>10,802</w:t>
            </w:r>
          </w:p>
        </w:tc>
        <w:tc>
          <w:tcPr>
            <w:tcW w:w="786" w:type="pct"/>
            <w:tcBorders>
              <w:top w:val="nil"/>
              <w:left w:val="single" w:sz="4" w:space="0" w:color="auto"/>
              <w:bottom w:val="nil"/>
              <w:right w:val="single" w:sz="4" w:space="0" w:color="auto"/>
            </w:tcBorders>
            <w:shd w:val="clear" w:color="auto" w:fill="auto"/>
          </w:tcPr>
          <w:p w14:paraId="7CE6BF71" w14:textId="3335755D" w:rsidR="00D507CD" w:rsidRPr="004C78D8" w:rsidRDefault="00D507CD" w:rsidP="00FB7C1F">
            <w:pPr>
              <w:jc w:val="left"/>
              <w:rPr>
                <w:rFonts w:cs="Times New Roman"/>
                <w:sz w:val="18"/>
                <w:szCs w:val="18"/>
              </w:rPr>
            </w:pPr>
            <w:r w:rsidRPr="004C78D8">
              <w:rPr>
                <w:rFonts w:cs="Times New Roman"/>
                <w:color w:val="000000"/>
                <w:sz w:val="18"/>
                <w:szCs w:val="18"/>
              </w:rPr>
              <w:t>15,215</w:t>
            </w:r>
          </w:p>
        </w:tc>
        <w:tc>
          <w:tcPr>
            <w:tcW w:w="787" w:type="pct"/>
            <w:tcBorders>
              <w:top w:val="nil"/>
              <w:left w:val="single" w:sz="4" w:space="0" w:color="auto"/>
              <w:bottom w:val="nil"/>
              <w:right w:val="single" w:sz="4" w:space="0" w:color="auto"/>
            </w:tcBorders>
            <w:shd w:val="clear" w:color="auto" w:fill="auto"/>
          </w:tcPr>
          <w:p w14:paraId="3B4B42E5" w14:textId="4393AC0E" w:rsidR="00D507CD" w:rsidRPr="004C78D8" w:rsidRDefault="00D507CD" w:rsidP="00FB7C1F">
            <w:pPr>
              <w:jc w:val="left"/>
              <w:rPr>
                <w:rFonts w:cs="Times New Roman"/>
                <w:sz w:val="18"/>
                <w:szCs w:val="18"/>
              </w:rPr>
            </w:pPr>
            <w:r w:rsidRPr="004C78D8">
              <w:rPr>
                <w:rFonts w:cs="Times New Roman"/>
                <w:color w:val="000000"/>
                <w:sz w:val="18"/>
                <w:szCs w:val="18"/>
              </w:rPr>
              <w:t>11,300</w:t>
            </w:r>
          </w:p>
        </w:tc>
        <w:tc>
          <w:tcPr>
            <w:tcW w:w="679" w:type="pct"/>
            <w:tcBorders>
              <w:top w:val="nil"/>
              <w:left w:val="single" w:sz="4" w:space="0" w:color="auto"/>
              <w:bottom w:val="nil"/>
              <w:right w:val="single" w:sz="4" w:space="0" w:color="auto"/>
            </w:tcBorders>
            <w:shd w:val="clear" w:color="auto" w:fill="auto"/>
          </w:tcPr>
          <w:p w14:paraId="515213F2" w14:textId="77777777" w:rsidR="00D507CD" w:rsidRPr="004C78D8" w:rsidRDefault="00D507CD" w:rsidP="00FB7C1F">
            <w:pPr>
              <w:jc w:val="left"/>
              <w:rPr>
                <w:rFonts w:cs="Times New Roman"/>
                <w:sz w:val="18"/>
                <w:szCs w:val="18"/>
              </w:rPr>
            </w:pPr>
            <w:r w:rsidRPr="004C78D8">
              <w:rPr>
                <w:rFonts w:cs="Times New Roman"/>
                <w:color w:val="000000"/>
                <w:sz w:val="18"/>
                <w:szCs w:val="18"/>
              </w:rPr>
              <w:t>10</w:t>
            </w:r>
          </w:p>
        </w:tc>
      </w:tr>
      <w:tr w:rsidR="00D507CD" w:rsidRPr="004C78D8" w14:paraId="06FE248E" w14:textId="77777777" w:rsidTr="00E35893">
        <w:tc>
          <w:tcPr>
            <w:tcW w:w="1175" w:type="pct"/>
            <w:tcBorders>
              <w:top w:val="nil"/>
              <w:bottom w:val="nil"/>
            </w:tcBorders>
          </w:tcPr>
          <w:p w14:paraId="66EC3915" w14:textId="77777777" w:rsidR="00D507CD" w:rsidRPr="004C78D8" w:rsidRDefault="00D507CD" w:rsidP="00FB7C1F">
            <w:pPr>
              <w:jc w:val="left"/>
              <w:rPr>
                <w:sz w:val="18"/>
                <w:szCs w:val="18"/>
              </w:rPr>
            </w:pPr>
            <w:r w:rsidRPr="004C78D8">
              <w:rPr>
                <w:sz w:val="18"/>
                <w:szCs w:val="18"/>
              </w:rPr>
              <w:t>(12) Initial risk of abnormal gait/balance</w:t>
            </w:r>
          </w:p>
        </w:tc>
        <w:tc>
          <w:tcPr>
            <w:tcW w:w="786" w:type="pct"/>
            <w:tcBorders>
              <w:top w:val="nil"/>
              <w:left w:val="nil"/>
              <w:bottom w:val="nil"/>
              <w:right w:val="single" w:sz="4" w:space="0" w:color="auto"/>
            </w:tcBorders>
            <w:shd w:val="clear" w:color="auto" w:fill="auto"/>
          </w:tcPr>
          <w:p w14:paraId="0F56C687" w14:textId="47D7EC8B" w:rsidR="00D507CD" w:rsidRPr="004C78D8" w:rsidRDefault="00D507CD" w:rsidP="00FB7C1F">
            <w:pPr>
              <w:jc w:val="left"/>
              <w:rPr>
                <w:rFonts w:cs="Times New Roman"/>
                <w:sz w:val="18"/>
                <w:szCs w:val="18"/>
              </w:rPr>
            </w:pPr>
            <w:r w:rsidRPr="004C78D8">
              <w:rPr>
                <w:rFonts w:cs="Times New Roman"/>
                <w:color w:val="000000"/>
                <w:sz w:val="18"/>
                <w:szCs w:val="18"/>
              </w:rPr>
              <w:t>13,708</w:t>
            </w:r>
          </w:p>
        </w:tc>
        <w:tc>
          <w:tcPr>
            <w:tcW w:w="787" w:type="pct"/>
            <w:tcBorders>
              <w:top w:val="nil"/>
              <w:left w:val="single" w:sz="4" w:space="0" w:color="auto"/>
              <w:bottom w:val="nil"/>
              <w:right w:val="single" w:sz="4" w:space="0" w:color="auto"/>
            </w:tcBorders>
            <w:shd w:val="clear" w:color="auto" w:fill="auto"/>
          </w:tcPr>
          <w:p w14:paraId="0F0AF21A" w14:textId="4CBA1DEA" w:rsidR="00D507CD" w:rsidRPr="004C78D8" w:rsidRDefault="00D507CD" w:rsidP="00FB7C1F">
            <w:pPr>
              <w:jc w:val="left"/>
              <w:rPr>
                <w:rFonts w:cs="Times New Roman"/>
                <w:sz w:val="18"/>
                <w:szCs w:val="18"/>
              </w:rPr>
            </w:pPr>
            <w:r w:rsidRPr="004C78D8">
              <w:rPr>
                <w:rFonts w:cs="Times New Roman"/>
                <w:color w:val="000000"/>
                <w:sz w:val="18"/>
                <w:szCs w:val="18"/>
              </w:rPr>
              <w:t>15,340</w:t>
            </w:r>
          </w:p>
        </w:tc>
        <w:tc>
          <w:tcPr>
            <w:tcW w:w="786" w:type="pct"/>
            <w:tcBorders>
              <w:top w:val="nil"/>
              <w:left w:val="single" w:sz="4" w:space="0" w:color="auto"/>
              <w:bottom w:val="nil"/>
              <w:right w:val="single" w:sz="4" w:space="0" w:color="auto"/>
            </w:tcBorders>
            <w:shd w:val="clear" w:color="auto" w:fill="auto"/>
          </w:tcPr>
          <w:p w14:paraId="31F686BE" w14:textId="6EA7ED34" w:rsidR="00D507CD" w:rsidRPr="004C78D8" w:rsidRDefault="00D507CD" w:rsidP="00FB7C1F">
            <w:pPr>
              <w:jc w:val="left"/>
              <w:rPr>
                <w:rFonts w:cs="Times New Roman"/>
                <w:sz w:val="18"/>
                <w:szCs w:val="18"/>
              </w:rPr>
            </w:pPr>
            <w:r w:rsidRPr="004C78D8">
              <w:rPr>
                <w:rFonts w:cs="Times New Roman"/>
                <w:color w:val="000000"/>
                <w:sz w:val="18"/>
                <w:szCs w:val="18"/>
              </w:rPr>
              <w:t>14,221</w:t>
            </w:r>
          </w:p>
        </w:tc>
        <w:tc>
          <w:tcPr>
            <w:tcW w:w="787" w:type="pct"/>
            <w:tcBorders>
              <w:top w:val="nil"/>
              <w:left w:val="single" w:sz="4" w:space="0" w:color="auto"/>
              <w:bottom w:val="nil"/>
              <w:right w:val="single" w:sz="4" w:space="0" w:color="auto"/>
            </w:tcBorders>
            <w:shd w:val="clear" w:color="auto" w:fill="auto"/>
          </w:tcPr>
          <w:p w14:paraId="599C02CF" w14:textId="4B581911" w:rsidR="00D507CD" w:rsidRPr="004C78D8" w:rsidRDefault="00D507CD" w:rsidP="00FB7C1F">
            <w:pPr>
              <w:jc w:val="left"/>
              <w:rPr>
                <w:rFonts w:cs="Times New Roman"/>
                <w:sz w:val="18"/>
                <w:szCs w:val="18"/>
              </w:rPr>
            </w:pPr>
            <w:r w:rsidRPr="004C78D8">
              <w:rPr>
                <w:rFonts w:cs="Times New Roman"/>
                <w:color w:val="000000"/>
                <w:sz w:val="18"/>
                <w:szCs w:val="18"/>
              </w:rPr>
              <w:t>15,829</w:t>
            </w:r>
          </w:p>
        </w:tc>
        <w:tc>
          <w:tcPr>
            <w:tcW w:w="679" w:type="pct"/>
            <w:tcBorders>
              <w:top w:val="nil"/>
              <w:left w:val="single" w:sz="4" w:space="0" w:color="auto"/>
              <w:bottom w:val="nil"/>
              <w:right w:val="single" w:sz="4" w:space="0" w:color="auto"/>
            </w:tcBorders>
            <w:shd w:val="clear" w:color="auto" w:fill="auto"/>
          </w:tcPr>
          <w:p w14:paraId="5124AC98" w14:textId="77777777" w:rsidR="00D507CD" w:rsidRPr="004C78D8" w:rsidRDefault="00D507CD" w:rsidP="00FB7C1F">
            <w:pPr>
              <w:jc w:val="left"/>
              <w:rPr>
                <w:rFonts w:cs="Times New Roman"/>
                <w:sz w:val="18"/>
                <w:szCs w:val="18"/>
              </w:rPr>
            </w:pPr>
            <w:r w:rsidRPr="004C78D8">
              <w:rPr>
                <w:rFonts w:cs="Times New Roman"/>
                <w:color w:val="000000"/>
                <w:sz w:val="18"/>
                <w:szCs w:val="18"/>
              </w:rPr>
              <w:t>14</w:t>
            </w:r>
          </w:p>
        </w:tc>
      </w:tr>
      <w:tr w:rsidR="00D507CD" w:rsidRPr="004C78D8" w14:paraId="06A626D7" w14:textId="77777777" w:rsidTr="00E35893">
        <w:tc>
          <w:tcPr>
            <w:tcW w:w="1175" w:type="pct"/>
            <w:tcBorders>
              <w:top w:val="nil"/>
              <w:bottom w:val="nil"/>
            </w:tcBorders>
          </w:tcPr>
          <w:p w14:paraId="5ECD0D30" w14:textId="77777777" w:rsidR="00D507CD" w:rsidRPr="004C78D8" w:rsidRDefault="00D507CD" w:rsidP="00FB7C1F">
            <w:pPr>
              <w:jc w:val="left"/>
              <w:rPr>
                <w:sz w:val="18"/>
                <w:szCs w:val="18"/>
              </w:rPr>
            </w:pPr>
            <w:r w:rsidRPr="004C78D8">
              <w:rPr>
                <w:sz w:val="18"/>
                <w:szCs w:val="18"/>
              </w:rPr>
              <w:t>(13) Initial probability of self-referred int. demand under RC</w:t>
            </w:r>
          </w:p>
        </w:tc>
        <w:tc>
          <w:tcPr>
            <w:tcW w:w="786" w:type="pct"/>
            <w:tcBorders>
              <w:top w:val="nil"/>
              <w:left w:val="nil"/>
              <w:bottom w:val="nil"/>
              <w:right w:val="single" w:sz="4" w:space="0" w:color="auto"/>
            </w:tcBorders>
            <w:shd w:val="clear" w:color="auto" w:fill="auto"/>
          </w:tcPr>
          <w:p w14:paraId="7B7FCDB7" w14:textId="2C299B34" w:rsidR="00D507CD" w:rsidRPr="004C78D8" w:rsidRDefault="00D507CD" w:rsidP="00FB7C1F">
            <w:pPr>
              <w:jc w:val="left"/>
              <w:rPr>
                <w:rFonts w:cs="Times New Roman"/>
                <w:sz w:val="18"/>
                <w:szCs w:val="18"/>
              </w:rPr>
            </w:pPr>
            <w:r w:rsidRPr="004C78D8">
              <w:rPr>
                <w:rFonts w:cs="Times New Roman"/>
                <w:color w:val="000000"/>
                <w:sz w:val="18"/>
                <w:szCs w:val="18"/>
              </w:rPr>
              <w:t>14,093</w:t>
            </w:r>
          </w:p>
        </w:tc>
        <w:tc>
          <w:tcPr>
            <w:tcW w:w="787" w:type="pct"/>
            <w:tcBorders>
              <w:top w:val="nil"/>
              <w:left w:val="single" w:sz="4" w:space="0" w:color="auto"/>
              <w:bottom w:val="nil"/>
              <w:right w:val="single" w:sz="4" w:space="0" w:color="auto"/>
            </w:tcBorders>
            <w:shd w:val="clear" w:color="auto" w:fill="auto"/>
          </w:tcPr>
          <w:p w14:paraId="7103D92B" w14:textId="6384CB86" w:rsidR="00D507CD" w:rsidRPr="004C78D8" w:rsidRDefault="00D507CD" w:rsidP="00FB7C1F">
            <w:pPr>
              <w:jc w:val="left"/>
              <w:rPr>
                <w:rFonts w:cs="Times New Roman"/>
                <w:sz w:val="18"/>
                <w:szCs w:val="18"/>
              </w:rPr>
            </w:pPr>
            <w:r w:rsidRPr="004C78D8">
              <w:rPr>
                <w:rFonts w:cs="Times New Roman"/>
                <w:color w:val="000000"/>
                <w:sz w:val="18"/>
                <w:szCs w:val="18"/>
              </w:rPr>
              <w:t>10,717</w:t>
            </w:r>
          </w:p>
        </w:tc>
        <w:tc>
          <w:tcPr>
            <w:tcW w:w="786" w:type="pct"/>
            <w:tcBorders>
              <w:top w:val="nil"/>
              <w:left w:val="single" w:sz="4" w:space="0" w:color="auto"/>
              <w:bottom w:val="nil"/>
              <w:right w:val="single" w:sz="4" w:space="0" w:color="auto"/>
            </w:tcBorders>
            <w:shd w:val="clear" w:color="auto" w:fill="auto"/>
          </w:tcPr>
          <w:p w14:paraId="3BAF31D8" w14:textId="1DAB91BD" w:rsidR="00D507CD" w:rsidRPr="004C78D8" w:rsidRDefault="00D507CD" w:rsidP="00FB7C1F">
            <w:pPr>
              <w:jc w:val="left"/>
              <w:rPr>
                <w:rFonts w:cs="Times New Roman"/>
                <w:sz w:val="18"/>
                <w:szCs w:val="18"/>
              </w:rPr>
            </w:pPr>
            <w:r w:rsidRPr="004C78D8">
              <w:rPr>
                <w:rFonts w:cs="Times New Roman"/>
                <w:color w:val="000000"/>
                <w:sz w:val="18"/>
                <w:szCs w:val="18"/>
              </w:rPr>
              <w:t>13,845</w:t>
            </w:r>
          </w:p>
        </w:tc>
        <w:tc>
          <w:tcPr>
            <w:tcW w:w="787" w:type="pct"/>
            <w:tcBorders>
              <w:top w:val="nil"/>
              <w:left w:val="single" w:sz="4" w:space="0" w:color="auto"/>
              <w:bottom w:val="nil"/>
              <w:right w:val="single" w:sz="4" w:space="0" w:color="auto"/>
            </w:tcBorders>
            <w:shd w:val="clear" w:color="auto" w:fill="auto"/>
          </w:tcPr>
          <w:p w14:paraId="4B18029C" w14:textId="05669ACA" w:rsidR="00D507CD" w:rsidRPr="004C78D8" w:rsidRDefault="00D507CD" w:rsidP="00FB7C1F">
            <w:pPr>
              <w:jc w:val="left"/>
              <w:rPr>
                <w:rFonts w:cs="Times New Roman"/>
                <w:sz w:val="18"/>
                <w:szCs w:val="18"/>
              </w:rPr>
            </w:pPr>
            <w:r w:rsidRPr="004C78D8">
              <w:rPr>
                <w:rFonts w:cs="Times New Roman"/>
                <w:color w:val="000000"/>
                <w:sz w:val="18"/>
                <w:szCs w:val="18"/>
              </w:rPr>
              <w:t>11,619</w:t>
            </w:r>
          </w:p>
        </w:tc>
        <w:tc>
          <w:tcPr>
            <w:tcW w:w="679" w:type="pct"/>
            <w:tcBorders>
              <w:top w:val="nil"/>
              <w:left w:val="single" w:sz="4" w:space="0" w:color="auto"/>
              <w:bottom w:val="nil"/>
              <w:right w:val="single" w:sz="4" w:space="0" w:color="auto"/>
            </w:tcBorders>
            <w:shd w:val="clear" w:color="auto" w:fill="auto"/>
          </w:tcPr>
          <w:p w14:paraId="7328FE06" w14:textId="77777777" w:rsidR="00D507CD" w:rsidRPr="004C78D8" w:rsidRDefault="00D507CD" w:rsidP="00FB7C1F">
            <w:pPr>
              <w:jc w:val="left"/>
              <w:rPr>
                <w:rFonts w:cs="Times New Roman"/>
                <w:sz w:val="18"/>
                <w:szCs w:val="18"/>
              </w:rPr>
            </w:pPr>
            <w:r w:rsidRPr="004C78D8">
              <w:rPr>
                <w:rFonts w:cs="Times New Roman"/>
                <w:color w:val="000000"/>
                <w:sz w:val="18"/>
                <w:szCs w:val="18"/>
              </w:rPr>
              <w:t>22</w:t>
            </w:r>
          </w:p>
        </w:tc>
      </w:tr>
      <w:tr w:rsidR="00D507CD" w:rsidRPr="004C78D8" w14:paraId="356086F1" w14:textId="77777777" w:rsidTr="00E35893">
        <w:tc>
          <w:tcPr>
            <w:tcW w:w="1175" w:type="pct"/>
            <w:tcBorders>
              <w:top w:val="nil"/>
              <w:bottom w:val="nil"/>
            </w:tcBorders>
          </w:tcPr>
          <w:p w14:paraId="2F2CC6EB" w14:textId="77777777" w:rsidR="00D507CD" w:rsidRPr="004C78D8" w:rsidRDefault="00D507CD" w:rsidP="00FB7C1F">
            <w:pPr>
              <w:jc w:val="left"/>
              <w:rPr>
                <w:sz w:val="18"/>
                <w:szCs w:val="18"/>
              </w:rPr>
            </w:pPr>
            <w:r w:rsidRPr="004C78D8">
              <w:rPr>
                <w:sz w:val="18"/>
                <w:szCs w:val="18"/>
              </w:rPr>
              <w:t>(14) QALY loss from hospitalised MA fall</w:t>
            </w:r>
          </w:p>
        </w:tc>
        <w:tc>
          <w:tcPr>
            <w:tcW w:w="786" w:type="pct"/>
            <w:tcBorders>
              <w:top w:val="nil"/>
              <w:left w:val="nil"/>
              <w:bottom w:val="nil"/>
              <w:right w:val="single" w:sz="4" w:space="0" w:color="auto"/>
            </w:tcBorders>
            <w:shd w:val="clear" w:color="auto" w:fill="auto"/>
          </w:tcPr>
          <w:p w14:paraId="63D803C7" w14:textId="3212643A" w:rsidR="00D507CD" w:rsidRPr="004C78D8" w:rsidRDefault="00D507CD" w:rsidP="00FB7C1F">
            <w:pPr>
              <w:jc w:val="left"/>
              <w:rPr>
                <w:rFonts w:cs="Times New Roman"/>
                <w:sz w:val="18"/>
                <w:szCs w:val="18"/>
              </w:rPr>
            </w:pPr>
            <w:r w:rsidRPr="004C78D8">
              <w:rPr>
                <w:rFonts w:cs="Times New Roman"/>
                <w:color w:val="000000"/>
                <w:sz w:val="18"/>
                <w:szCs w:val="18"/>
              </w:rPr>
              <w:t>14,185</w:t>
            </w:r>
          </w:p>
        </w:tc>
        <w:tc>
          <w:tcPr>
            <w:tcW w:w="787" w:type="pct"/>
            <w:tcBorders>
              <w:top w:val="nil"/>
              <w:left w:val="single" w:sz="4" w:space="0" w:color="auto"/>
              <w:bottom w:val="nil"/>
              <w:right w:val="single" w:sz="4" w:space="0" w:color="auto"/>
            </w:tcBorders>
            <w:shd w:val="clear" w:color="auto" w:fill="auto"/>
          </w:tcPr>
          <w:p w14:paraId="7115E466" w14:textId="6708078E" w:rsidR="00D507CD" w:rsidRPr="004C78D8" w:rsidRDefault="00D507CD" w:rsidP="00FB7C1F">
            <w:pPr>
              <w:jc w:val="left"/>
              <w:rPr>
                <w:rFonts w:cs="Times New Roman"/>
                <w:sz w:val="18"/>
                <w:szCs w:val="18"/>
              </w:rPr>
            </w:pPr>
            <w:r w:rsidRPr="004C78D8">
              <w:rPr>
                <w:rFonts w:cs="Times New Roman"/>
                <w:color w:val="000000"/>
                <w:sz w:val="18"/>
                <w:szCs w:val="18"/>
              </w:rPr>
              <w:t>10,849</w:t>
            </w:r>
          </w:p>
        </w:tc>
        <w:tc>
          <w:tcPr>
            <w:tcW w:w="786" w:type="pct"/>
            <w:tcBorders>
              <w:top w:val="nil"/>
              <w:left w:val="single" w:sz="4" w:space="0" w:color="auto"/>
              <w:bottom w:val="nil"/>
              <w:right w:val="single" w:sz="4" w:space="0" w:color="auto"/>
            </w:tcBorders>
            <w:shd w:val="clear" w:color="auto" w:fill="auto"/>
          </w:tcPr>
          <w:p w14:paraId="6FE8079A" w14:textId="17426FCE" w:rsidR="00D507CD" w:rsidRPr="004C78D8" w:rsidRDefault="00D507CD" w:rsidP="00FB7C1F">
            <w:pPr>
              <w:jc w:val="left"/>
              <w:rPr>
                <w:rFonts w:cs="Times New Roman"/>
                <w:sz w:val="18"/>
                <w:szCs w:val="18"/>
              </w:rPr>
            </w:pPr>
            <w:r w:rsidRPr="004C78D8">
              <w:rPr>
                <w:rFonts w:cs="Times New Roman"/>
                <w:color w:val="000000"/>
                <w:sz w:val="18"/>
                <w:szCs w:val="18"/>
              </w:rPr>
              <w:t>14,912</w:t>
            </w:r>
          </w:p>
        </w:tc>
        <w:tc>
          <w:tcPr>
            <w:tcW w:w="787" w:type="pct"/>
            <w:tcBorders>
              <w:top w:val="nil"/>
              <w:left w:val="single" w:sz="4" w:space="0" w:color="auto"/>
              <w:bottom w:val="nil"/>
              <w:right w:val="single" w:sz="4" w:space="0" w:color="auto"/>
            </w:tcBorders>
            <w:shd w:val="clear" w:color="auto" w:fill="auto"/>
          </w:tcPr>
          <w:p w14:paraId="3378842D" w14:textId="6CDF5F58" w:rsidR="00D507CD" w:rsidRPr="004C78D8" w:rsidRDefault="00D507CD" w:rsidP="00FB7C1F">
            <w:pPr>
              <w:jc w:val="left"/>
              <w:rPr>
                <w:rFonts w:cs="Times New Roman"/>
                <w:sz w:val="18"/>
                <w:szCs w:val="18"/>
              </w:rPr>
            </w:pPr>
            <w:r w:rsidRPr="004C78D8">
              <w:rPr>
                <w:rFonts w:cs="Times New Roman"/>
                <w:color w:val="000000"/>
                <w:sz w:val="18"/>
                <w:szCs w:val="18"/>
              </w:rPr>
              <w:t>11,270</w:t>
            </w:r>
          </w:p>
        </w:tc>
        <w:tc>
          <w:tcPr>
            <w:tcW w:w="679" w:type="pct"/>
            <w:tcBorders>
              <w:top w:val="nil"/>
              <w:left w:val="single" w:sz="4" w:space="0" w:color="auto"/>
              <w:bottom w:val="nil"/>
              <w:right w:val="single" w:sz="4" w:space="0" w:color="auto"/>
            </w:tcBorders>
            <w:shd w:val="clear" w:color="auto" w:fill="auto"/>
          </w:tcPr>
          <w:p w14:paraId="3173751C" w14:textId="77777777" w:rsidR="00D507CD" w:rsidRPr="004C78D8" w:rsidRDefault="00D507CD" w:rsidP="00FB7C1F">
            <w:pPr>
              <w:jc w:val="left"/>
              <w:rPr>
                <w:rFonts w:cs="Times New Roman"/>
                <w:sz w:val="18"/>
                <w:szCs w:val="18"/>
              </w:rPr>
            </w:pPr>
            <w:r w:rsidRPr="004C78D8">
              <w:rPr>
                <w:rFonts w:cs="Times New Roman"/>
                <w:color w:val="000000"/>
                <w:sz w:val="18"/>
                <w:szCs w:val="18"/>
              </w:rPr>
              <w:t>13</w:t>
            </w:r>
          </w:p>
        </w:tc>
      </w:tr>
      <w:tr w:rsidR="00D507CD" w:rsidRPr="004C78D8" w14:paraId="42E9F4E1" w14:textId="77777777" w:rsidTr="00E35893">
        <w:tc>
          <w:tcPr>
            <w:tcW w:w="1175" w:type="pct"/>
            <w:tcBorders>
              <w:top w:val="nil"/>
              <w:bottom w:val="nil"/>
            </w:tcBorders>
          </w:tcPr>
          <w:p w14:paraId="5325A83C" w14:textId="77777777" w:rsidR="00D507CD" w:rsidRPr="004C78D8" w:rsidRDefault="00D507CD" w:rsidP="00FB7C1F">
            <w:pPr>
              <w:jc w:val="left"/>
              <w:rPr>
                <w:sz w:val="18"/>
                <w:szCs w:val="18"/>
              </w:rPr>
            </w:pPr>
            <w:r w:rsidRPr="004C78D8">
              <w:rPr>
                <w:sz w:val="18"/>
                <w:szCs w:val="18"/>
              </w:rPr>
              <w:t>(15) Falls clinic fixed cost under RC</w:t>
            </w:r>
          </w:p>
        </w:tc>
        <w:tc>
          <w:tcPr>
            <w:tcW w:w="786" w:type="pct"/>
            <w:tcBorders>
              <w:top w:val="nil"/>
              <w:left w:val="nil"/>
              <w:bottom w:val="nil"/>
              <w:right w:val="single" w:sz="4" w:space="0" w:color="auto"/>
            </w:tcBorders>
            <w:shd w:val="clear" w:color="auto" w:fill="auto"/>
          </w:tcPr>
          <w:p w14:paraId="66B3FA15" w14:textId="6B39CDF5" w:rsidR="00D507CD" w:rsidRPr="004C78D8" w:rsidRDefault="00D507CD" w:rsidP="00FB7C1F">
            <w:pPr>
              <w:jc w:val="left"/>
              <w:rPr>
                <w:rFonts w:cs="Times New Roman"/>
                <w:sz w:val="18"/>
                <w:szCs w:val="18"/>
              </w:rPr>
            </w:pPr>
            <w:r w:rsidRPr="004C78D8">
              <w:rPr>
                <w:rFonts w:cs="Times New Roman"/>
                <w:color w:val="000000"/>
                <w:sz w:val="18"/>
                <w:szCs w:val="18"/>
              </w:rPr>
              <w:t>11,307</w:t>
            </w:r>
          </w:p>
        </w:tc>
        <w:tc>
          <w:tcPr>
            <w:tcW w:w="787" w:type="pct"/>
            <w:tcBorders>
              <w:top w:val="nil"/>
              <w:left w:val="single" w:sz="4" w:space="0" w:color="auto"/>
              <w:bottom w:val="nil"/>
              <w:right w:val="single" w:sz="4" w:space="0" w:color="auto"/>
            </w:tcBorders>
            <w:shd w:val="clear" w:color="auto" w:fill="auto"/>
          </w:tcPr>
          <w:p w14:paraId="218DF43D" w14:textId="7A15FCE7" w:rsidR="00D507CD" w:rsidRPr="004C78D8" w:rsidRDefault="00D507CD" w:rsidP="00FB7C1F">
            <w:pPr>
              <w:jc w:val="left"/>
              <w:rPr>
                <w:rFonts w:cs="Times New Roman"/>
                <w:sz w:val="18"/>
                <w:szCs w:val="18"/>
              </w:rPr>
            </w:pPr>
            <w:r w:rsidRPr="004C78D8">
              <w:rPr>
                <w:rFonts w:cs="Times New Roman"/>
                <w:color w:val="000000"/>
                <w:sz w:val="18"/>
                <w:szCs w:val="18"/>
              </w:rPr>
              <w:t>14,374</w:t>
            </w:r>
          </w:p>
        </w:tc>
        <w:tc>
          <w:tcPr>
            <w:tcW w:w="786" w:type="pct"/>
            <w:tcBorders>
              <w:top w:val="nil"/>
              <w:left w:val="single" w:sz="4" w:space="0" w:color="auto"/>
              <w:bottom w:val="nil"/>
              <w:right w:val="single" w:sz="4" w:space="0" w:color="auto"/>
            </w:tcBorders>
            <w:shd w:val="clear" w:color="auto" w:fill="auto"/>
          </w:tcPr>
          <w:p w14:paraId="5DDF7E42" w14:textId="7C144EA2" w:rsidR="00D507CD" w:rsidRPr="004C78D8" w:rsidRDefault="00D507CD" w:rsidP="00FB7C1F">
            <w:pPr>
              <w:jc w:val="left"/>
              <w:rPr>
                <w:rFonts w:cs="Times New Roman"/>
                <w:sz w:val="18"/>
                <w:szCs w:val="18"/>
              </w:rPr>
            </w:pPr>
            <w:r w:rsidRPr="004C78D8">
              <w:rPr>
                <w:rFonts w:cs="Times New Roman"/>
                <w:color w:val="000000"/>
                <w:sz w:val="18"/>
                <w:szCs w:val="18"/>
              </w:rPr>
              <w:t xml:space="preserve">11,828 </w:t>
            </w:r>
          </w:p>
        </w:tc>
        <w:tc>
          <w:tcPr>
            <w:tcW w:w="787" w:type="pct"/>
            <w:tcBorders>
              <w:top w:val="nil"/>
              <w:left w:val="single" w:sz="4" w:space="0" w:color="auto"/>
              <w:bottom w:val="nil"/>
              <w:right w:val="single" w:sz="4" w:space="0" w:color="auto"/>
            </w:tcBorders>
            <w:shd w:val="clear" w:color="auto" w:fill="auto"/>
          </w:tcPr>
          <w:p w14:paraId="61FB895C" w14:textId="67333367" w:rsidR="00D507CD" w:rsidRPr="004C78D8" w:rsidRDefault="00D507CD" w:rsidP="00FB7C1F">
            <w:pPr>
              <w:jc w:val="left"/>
              <w:rPr>
                <w:rFonts w:cs="Times New Roman"/>
                <w:sz w:val="18"/>
                <w:szCs w:val="18"/>
              </w:rPr>
            </w:pPr>
            <w:r w:rsidRPr="004C78D8">
              <w:rPr>
                <w:rFonts w:cs="Times New Roman"/>
                <w:color w:val="000000"/>
                <w:sz w:val="18"/>
                <w:szCs w:val="18"/>
              </w:rPr>
              <w:t>15,036</w:t>
            </w:r>
          </w:p>
        </w:tc>
        <w:tc>
          <w:tcPr>
            <w:tcW w:w="679" w:type="pct"/>
            <w:tcBorders>
              <w:top w:val="nil"/>
              <w:left w:val="single" w:sz="4" w:space="0" w:color="auto"/>
              <w:bottom w:val="nil"/>
              <w:right w:val="single" w:sz="4" w:space="0" w:color="auto"/>
            </w:tcBorders>
            <w:shd w:val="clear" w:color="auto" w:fill="auto"/>
          </w:tcPr>
          <w:p w14:paraId="09D17108" w14:textId="77777777" w:rsidR="00D507CD" w:rsidRPr="004C78D8" w:rsidRDefault="00D507CD" w:rsidP="00FB7C1F">
            <w:pPr>
              <w:jc w:val="left"/>
              <w:rPr>
                <w:rFonts w:cs="Times New Roman"/>
                <w:sz w:val="18"/>
                <w:szCs w:val="18"/>
              </w:rPr>
            </w:pPr>
            <w:r w:rsidRPr="004C78D8">
              <w:rPr>
                <w:rFonts w:cs="Times New Roman"/>
                <w:color w:val="000000"/>
                <w:sz w:val="18"/>
                <w:szCs w:val="18"/>
              </w:rPr>
              <w:t>15</w:t>
            </w:r>
          </w:p>
        </w:tc>
      </w:tr>
      <w:tr w:rsidR="00D507CD" w:rsidRPr="004C78D8" w14:paraId="4975E4E8" w14:textId="77777777" w:rsidTr="00E35893">
        <w:tc>
          <w:tcPr>
            <w:tcW w:w="1175" w:type="pct"/>
            <w:tcBorders>
              <w:top w:val="nil"/>
              <w:bottom w:val="nil"/>
            </w:tcBorders>
          </w:tcPr>
          <w:p w14:paraId="246445B0" w14:textId="77777777" w:rsidR="00D507CD" w:rsidRPr="004C78D8" w:rsidRDefault="00D507CD" w:rsidP="00FB7C1F">
            <w:pPr>
              <w:jc w:val="left"/>
              <w:rPr>
                <w:sz w:val="18"/>
                <w:szCs w:val="18"/>
              </w:rPr>
            </w:pPr>
            <w:r w:rsidRPr="004C78D8">
              <w:rPr>
                <w:sz w:val="18"/>
                <w:szCs w:val="18"/>
              </w:rPr>
              <w:t>(16) Risk of MA fall given single fall</w:t>
            </w:r>
          </w:p>
        </w:tc>
        <w:tc>
          <w:tcPr>
            <w:tcW w:w="786" w:type="pct"/>
            <w:tcBorders>
              <w:top w:val="nil"/>
              <w:left w:val="nil"/>
              <w:bottom w:val="nil"/>
              <w:right w:val="single" w:sz="4" w:space="0" w:color="auto"/>
            </w:tcBorders>
            <w:shd w:val="clear" w:color="auto" w:fill="auto"/>
          </w:tcPr>
          <w:p w14:paraId="35D244A2" w14:textId="1AEE1DBA" w:rsidR="00D507CD" w:rsidRPr="004C78D8" w:rsidRDefault="00D507CD" w:rsidP="00FB7C1F">
            <w:pPr>
              <w:jc w:val="left"/>
              <w:rPr>
                <w:rFonts w:cs="Times New Roman"/>
                <w:sz w:val="18"/>
                <w:szCs w:val="18"/>
              </w:rPr>
            </w:pPr>
            <w:r w:rsidRPr="004C78D8">
              <w:rPr>
                <w:rFonts w:cs="Times New Roman"/>
                <w:color w:val="000000"/>
                <w:sz w:val="18"/>
                <w:szCs w:val="18"/>
              </w:rPr>
              <w:t>11,715</w:t>
            </w:r>
          </w:p>
        </w:tc>
        <w:tc>
          <w:tcPr>
            <w:tcW w:w="787" w:type="pct"/>
            <w:tcBorders>
              <w:top w:val="nil"/>
              <w:left w:val="single" w:sz="4" w:space="0" w:color="auto"/>
              <w:bottom w:val="nil"/>
              <w:right w:val="single" w:sz="4" w:space="0" w:color="auto"/>
            </w:tcBorders>
            <w:shd w:val="clear" w:color="auto" w:fill="auto"/>
          </w:tcPr>
          <w:p w14:paraId="5E9FD091" w14:textId="043118E2" w:rsidR="00D507CD" w:rsidRPr="004C78D8" w:rsidRDefault="00D507CD" w:rsidP="00FB7C1F">
            <w:pPr>
              <w:jc w:val="left"/>
              <w:rPr>
                <w:rFonts w:cs="Times New Roman"/>
                <w:sz w:val="18"/>
                <w:szCs w:val="18"/>
              </w:rPr>
            </w:pPr>
            <w:r w:rsidRPr="004C78D8">
              <w:rPr>
                <w:rFonts w:cs="Times New Roman"/>
                <w:color w:val="000000"/>
                <w:sz w:val="18"/>
                <w:szCs w:val="18"/>
              </w:rPr>
              <w:t xml:space="preserve">14,770 </w:t>
            </w:r>
          </w:p>
        </w:tc>
        <w:tc>
          <w:tcPr>
            <w:tcW w:w="786" w:type="pct"/>
            <w:tcBorders>
              <w:top w:val="nil"/>
              <w:left w:val="single" w:sz="4" w:space="0" w:color="auto"/>
              <w:bottom w:val="nil"/>
              <w:right w:val="single" w:sz="4" w:space="0" w:color="auto"/>
            </w:tcBorders>
            <w:shd w:val="clear" w:color="auto" w:fill="auto"/>
          </w:tcPr>
          <w:p w14:paraId="34114316" w14:textId="7031BA03" w:rsidR="00D507CD" w:rsidRPr="004C78D8" w:rsidRDefault="00D507CD" w:rsidP="00FB7C1F">
            <w:pPr>
              <w:jc w:val="left"/>
              <w:rPr>
                <w:rFonts w:cs="Times New Roman"/>
                <w:sz w:val="18"/>
                <w:szCs w:val="18"/>
              </w:rPr>
            </w:pPr>
            <w:r w:rsidRPr="004C78D8">
              <w:rPr>
                <w:rFonts w:cs="Times New Roman"/>
                <w:color w:val="000000"/>
                <w:sz w:val="18"/>
                <w:szCs w:val="18"/>
              </w:rPr>
              <w:t>12,587</w:t>
            </w:r>
          </w:p>
        </w:tc>
        <w:tc>
          <w:tcPr>
            <w:tcW w:w="787" w:type="pct"/>
            <w:tcBorders>
              <w:top w:val="nil"/>
              <w:left w:val="single" w:sz="4" w:space="0" w:color="auto"/>
              <w:bottom w:val="nil"/>
              <w:right w:val="single" w:sz="4" w:space="0" w:color="auto"/>
            </w:tcBorders>
            <w:shd w:val="clear" w:color="auto" w:fill="auto"/>
          </w:tcPr>
          <w:p w14:paraId="154778DD" w14:textId="3FF0EDB2" w:rsidR="00D507CD" w:rsidRPr="004C78D8" w:rsidRDefault="00D507CD" w:rsidP="00FB7C1F">
            <w:pPr>
              <w:jc w:val="left"/>
              <w:rPr>
                <w:rFonts w:cs="Times New Roman"/>
                <w:sz w:val="18"/>
                <w:szCs w:val="18"/>
              </w:rPr>
            </w:pPr>
            <w:r w:rsidRPr="004C78D8">
              <w:rPr>
                <w:rFonts w:cs="Times New Roman"/>
                <w:color w:val="000000"/>
                <w:sz w:val="18"/>
                <w:szCs w:val="18"/>
              </w:rPr>
              <w:t>16,377</w:t>
            </w:r>
          </w:p>
        </w:tc>
        <w:tc>
          <w:tcPr>
            <w:tcW w:w="679" w:type="pct"/>
            <w:tcBorders>
              <w:top w:val="nil"/>
              <w:left w:val="single" w:sz="4" w:space="0" w:color="auto"/>
              <w:bottom w:val="nil"/>
              <w:right w:val="single" w:sz="4" w:space="0" w:color="auto"/>
            </w:tcBorders>
            <w:shd w:val="clear" w:color="auto" w:fill="auto"/>
          </w:tcPr>
          <w:p w14:paraId="71F46FE7" w14:textId="77777777" w:rsidR="00D507CD" w:rsidRPr="004C78D8" w:rsidRDefault="00D507CD" w:rsidP="00FB7C1F">
            <w:pPr>
              <w:jc w:val="left"/>
              <w:rPr>
                <w:rFonts w:cs="Times New Roman"/>
                <w:sz w:val="18"/>
                <w:szCs w:val="18"/>
              </w:rPr>
            </w:pPr>
            <w:r w:rsidRPr="004C78D8">
              <w:rPr>
                <w:rFonts w:cs="Times New Roman"/>
                <w:color w:val="000000"/>
                <w:sz w:val="18"/>
                <w:szCs w:val="18"/>
              </w:rPr>
              <w:t>11</w:t>
            </w:r>
          </w:p>
        </w:tc>
      </w:tr>
      <w:tr w:rsidR="00D507CD" w:rsidRPr="004C78D8" w14:paraId="0347F771" w14:textId="77777777" w:rsidTr="00E35893">
        <w:tc>
          <w:tcPr>
            <w:tcW w:w="1175" w:type="pct"/>
            <w:tcBorders>
              <w:top w:val="nil"/>
              <w:bottom w:val="nil"/>
            </w:tcBorders>
          </w:tcPr>
          <w:p w14:paraId="4ADB7903" w14:textId="77777777" w:rsidR="00D507CD" w:rsidRPr="004C78D8" w:rsidRDefault="00D507CD" w:rsidP="00FB7C1F">
            <w:pPr>
              <w:jc w:val="left"/>
              <w:rPr>
                <w:sz w:val="18"/>
                <w:szCs w:val="18"/>
              </w:rPr>
            </w:pPr>
            <w:r w:rsidRPr="004C78D8">
              <w:rPr>
                <w:sz w:val="18"/>
                <w:szCs w:val="18"/>
              </w:rPr>
              <w:t>(17) Dynamic probability of high physical activity</w:t>
            </w:r>
          </w:p>
        </w:tc>
        <w:tc>
          <w:tcPr>
            <w:tcW w:w="786" w:type="pct"/>
            <w:tcBorders>
              <w:top w:val="nil"/>
              <w:left w:val="nil"/>
              <w:bottom w:val="nil"/>
              <w:right w:val="single" w:sz="4" w:space="0" w:color="auto"/>
            </w:tcBorders>
            <w:shd w:val="clear" w:color="auto" w:fill="auto"/>
          </w:tcPr>
          <w:p w14:paraId="60BE5509" w14:textId="22D298AA" w:rsidR="00D507CD" w:rsidRPr="004C78D8" w:rsidRDefault="00D507CD" w:rsidP="00FB7C1F">
            <w:pPr>
              <w:jc w:val="left"/>
              <w:rPr>
                <w:rFonts w:cs="Times New Roman"/>
                <w:sz w:val="18"/>
                <w:szCs w:val="18"/>
              </w:rPr>
            </w:pPr>
            <w:r w:rsidRPr="004C78D8">
              <w:rPr>
                <w:rFonts w:cs="Times New Roman"/>
                <w:color w:val="000000"/>
                <w:sz w:val="18"/>
                <w:szCs w:val="18"/>
              </w:rPr>
              <w:t>15,297</w:t>
            </w:r>
          </w:p>
        </w:tc>
        <w:tc>
          <w:tcPr>
            <w:tcW w:w="787" w:type="pct"/>
            <w:tcBorders>
              <w:top w:val="nil"/>
              <w:left w:val="single" w:sz="4" w:space="0" w:color="auto"/>
              <w:bottom w:val="nil"/>
              <w:right w:val="single" w:sz="4" w:space="0" w:color="auto"/>
            </w:tcBorders>
            <w:shd w:val="clear" w:color="auto" w:fill="auto"/>
          </w:tcPr>
          <w:p w14:paraId="00D11829" w14:textId="0AE4DF28" w:rsidR="00D507CD" w:rsidRPr="004C78D8" w:rsidRDefault="00D507CD" w:rsidP="00FB7C1F">
            <w:pPr>
              <w:jc w:val="left"/>
              <w:rPr>
                <w:rFonts w:cs="Times New Roman"/>
                <w:sz w:val="18"/>
                <w:szCs w:val="18"/>
              </w:rPr>
            </w:pPr>
            <w:r w:rsidRPr="004C78D8">
              <w:rPr>
                <w:rFonts w:cs="Times New Roman"/>
                <w:color w:val="000000"/>
                <w:sz w:val="18"/>
                <w:szCs w:val="18"/>
              </w:rPr>
              <w:t>12,245</w:t>
            </w:r>
          </w:p>
        </w:tc>
        <w:tc>
          <w:tcPr>
            <w:tcW w:w="786" w:type="pct"/>
            <w:tcBorders>
              <w:top w:val="nil"/>
              <w:left w:val="single" w:sz="4" w:space="0" w:color="auto"/>
              <w:bottom w:val="nil"/>
              <w:right w:val="single" w:sz="4" w:space="0" w:color="auto"/>
            </w:tcBorders>
            <w:shd w:val="clear" w:color="auto" w:fill="auto"/>
          </w:tcPr>
          <w:p w14:paraId="709880DC" w14:textId="08AEB6CF" w:rsidR="00D507CD" w:rsidRPr="004C78D8" w:rsidRDefault="00D507CD" w:rsidP="00FB7C1F">
            <w:pPr>
              <w:jc w:val="left"/>
              <w:rPr>
                <w:rFonts w:cs="Times New Roman"/>
                <w:sz w:val="18"/>
                <w:szCs w:val="18"/>
              </w:rPr>
            </w:pPr>
            <w:r w:rsidRPr="004C78D8">
              <w:rPr>
                <w:rFonts w:cs="Times New Roman"/>
                <w:color w:val="000000"/>
                <w:sz w:val="18"/>
                <w:szCs w:val="18"/>
              </w:rPr>
              <w:t>15,287</w:t>
            </w:r>
          </w:p>
        </w:tc>
        <w:tc>
          <w:tcPr>
            <w:tcW w:w="787" w:type="pct"/>
            <w:tcBorders>
              <w:top w:val="nil"/>
              <w:left w:val="single" w:sz="4" w:space="0" w:color="auto"/>
              <w:bottom w:val="nil"/>
              <w:right w:val="single" w:sz="4" w:space="0" w:color="auto"/>
            </w:tcBorders>
            <w:shd w:val="clear" w:color="auto" w:fill="auto"/>
          </w:tcPr>
          <w:p w14:paraId="259458F5" w14:textId="77F47CFC" w:rsidR="00D507CD" w:rsidRPr="004C78D8" w:rsidRDefault="00D507CD" w:rsidP="00FB7C1F">
            <w:pPr>
              <w:jc w:val="left"/>
              <w:rPr>
                <w:rFonts w:cs="Times New Roman"/>
                <w:sz w:val="18"/>
                <w:szCs w:val="18"/>
              </w:rPr>
            </w:pPr>
            <w:r w:rsidRPr="004C78D8">
              <w:rPr>
                <w:rFonts w:cs="Times New Roman"/>
                <w:color w:val="000000"/>
                <w:sz w:val="18"/>
                <w:szCs w:val="18"/>
              </w:rPr>
              <w:t>13,044</w:t>
            </w:r>
          </w:p>
        </w:tc>
        <w:tc>
          <w:tcPr>
            <w:tcW w:w="679" w:type="pct"/>
            <w:tcBorders>
              <w:top w:val="nil"/>
              <w:left w:val="single" w:sz="4" w:space="0" w:color="auto"/>
              <w:bottom w:val="nil"/>
              <w:right w:val="single" w:sz="4" w:space="0" w:color="auto"/>
            </w:tcBorders>
            <w:shd w:val="clear" w:color="auto" w:fill="auto"/>
          </w:tcPr>
          <w:p w14:paraId="472576B6" w14:textId="77777777" w:rsidR="00D507CD" w:rsidRPr="004C78D8" w:rsidRDefault="00D507CD" w:rsidP="00FB7C1F">
            <w:pPr>
              <w:jc w:val="left"/>
              <w:rPr>
                <w:rFonts w:cs="Times New Roman"/>
                <w:sz w:val="18"/>
                <w:szCs w:val="18"/>
              </w:rPr>
            </w:pPr>
            <w:r w:rsidRPr="004C78D8">
              <w:rPr>
                <w:rFonts w:cs="Times New Roman"/>
                <w:color w:val="000000"/>
                <w:sz w:val="18"/>
                <w:szCs w:val="18"/>
              </w:rPr>
              <w:t>21</w:t>
            </w:r>
          </w:p>
        </w:tc>
      </w:tr>
      <w:tr w:rsidR="00D507CD" w:rsidRPr="004C78D8" w14:paraId="04E5F6D9" w14:textId="77777777" w:rsidTr="00E35893">
        <w:tc>
          <w:tcPr>
            <w:tcW w:w="1175" w:type="pct"/>
            <w:tcBorders>
              <w:top w:val="nil"/>
              <w:bottom w:val="nil"/>
            </w:tcBorders>
          </w:tcPr>
          <w:p w14:paraId="7AEC5CEC" w14:textId="77777777" w:rsidR="00D507CD" w:rsidRPr="004C78D8" w:rsidRDefault="00D507CD" w:rsidP="00FB7C1F">
            <w:pPr>
              <w:jc w:val="left"/>
              <w:rPr>
                <w:sz w:val="18"/>
                <w:szCs w:val="18"/>
              </w:rPr>
            </w:pPr>
            <w:r w:rsidRPr="004C78D8">
              <w:rPr>
                <w:sz w:val="18"/>
                <w:szCs w:val="18"/>
              </w:rPr>
              <w:t>(18) Proactive int. PS variable costs under RC</w:t>
            </w:r>
          </w:p>
        </w:tc>
        <w:tc>
          <w:tcPr>
            <w:tcW w:w="786" w:type="pct"/>
            <w:tcBorders>
              <w:top w:val="nil"/>
              <w:left w:val="nil"/>
              <w:bottom w:val="nil"/>
              <w:right w:val="single" w:sz="4" w:space="0" w:color="auto"/>
            </w:tcBorders>
            <w:shd w:val="clear" w:color="auto" w:fill="auto"/>
          </w:tcPr>
          <w:p w14:paraId="58B5D6C0" w14:textId="566CAF23" w:rsidR="00D507CD" w:rsidRPr="004C78D8" w:rsidRDefault="00D507CD" w:rsidP="00FB7C1F">
            <w:pPr>
              <w:jc w:val="left"/>
              <w:rPr>
                <w:rFonts w:cs="Times New Roman"/>
                <w:sz w:val="18"/>
                <w:szCs w:val="18"/>
              </w:rPr>
            </w:pPr>
            <w:r w:rsidRPr="004C78D8">
              <w:rPr>
                <w:rFonts w:cs="Times New Roman"/>
                <w:color w:val="000000"/>
                <w:sz w:val="18"/>
                <w:szCs w:val="18"/>
              </w:rPr>
              <w:t>11,399</w:t>
            </w:r>
          </w:p>
        </w:tc>
        <w:tc>
          <w:tcPr>
            <w:tcW w:w="787" w:type="pct"/>
            <w:tcBorders>
              <w:top w:val="nil"/>
              <w:left w:val="single" w:sz="4" w:space="0" w:color="auto"/>
              <w:bottom w:val="nil"/>
              <w:right w:val="single" w:sz="4" w:space="0" w:color="auto"/>
            </w:tcBorders>
            <w:shd w:val="clear" w:color="auto" w:fill="auto"/>
          </w:tcPr>
          <w:p w14:paraId="52FC6ED2" w14:textId="4A5EAB46" w:rsidR="00D507CD" w:rsidRPr="004C78D8" w:rsidRDefault="00D507CD" w:rsidP="00FB7C1F">
            <w:pPr>
              <w:jc w:val="left"/>
              <w:rPr>
                <w:rFonts w:cs="Times New Roman"/>
                <w:sz w:val="18"/>
                <w:szCs w:val="18"/>
              </w:rPr>
            </w:pPr>
            <w:r w:rsidRPr="004C78D8">
              <w:rPr>
                <w:rFonts w:cs="Times New Roman"/>
                <w:color w:val="000000"/>
                <w:sz w:val="18"/>
                <w:szCs w:val="18"/>
              </w:rPr>
              <w:t xml:space="preserve">14,277 </w:t>
            </w:r>
          </w:p>
        </w:tc>
        <w:tc>
          <w:tcPr>
            <w:tcW w:w="786" w:type="pct"/>
            <w:tcBorders>
              <w:top w:val="nil"/>
              <w:left w:val="single" w:sz="4" w:space="0" w:color="auto"/>
              <w:bottom w:val="nil"/>
              <w:right w:val="single" w:sz="4" w:space="0" w:color="auto"/>
            </w:tcBorders>
            <w:shd w:val="clear" w:color="auto" w:fill="auto"/>
          </w:tcPr>
          <w:p w14:paraId="39345DC8" w14:textId="3305A1BD" w:rsidR="00D507CD" w:rsidRPr="004C78D8" w:rsidRDefault="00D507CD" w:rsidP="00FB7C1F">
            <w:pPr>
              <w:jc w:val="left"/>
              <w:rPr>
                <w:rFonts w:cs="Times New Roman"/>
                <w:sz w:val="18"/>
                <w:szCs w:val="18"/>
              </w:rPr>
            </w:pPr>
            <w:r w:rsidRPr="004C78D8">
              <w:rPr>
                <w:rFonts w:cs="Times New Roman"/>
                <w:color w:val="000000"/>
                <w:sz w:val="18"/>
                <w:szCs w:val="18"/>
              </w:rPr>
              <w:t>11,924</w:t>
            </w:r>
          </w:p>
        </w:tc>
        <w:tc>
          <w:tcPr>
            <w:tcW w:w="787" w:type="pct"/>
            <w:tcBorders>
              <w:top w:val="nil"/>
              <w:left w:val="single" w:sz="4" w:space="0" w:color="auto"/>
              <w:bottom w:val="nil"/>
              <w:right w:val="single" w:sz="4" w:space="0" w:color="auto"/>
            </w:tcBorders>
            <w:shd w:val="clear" w:color="auto" w:fill="auto"/>
          </w:tcPr>
          <w:p w14:paraId="28FEA649" w14:textId="7B8CA131" w:rsidR="00D507CD" w:rsidRPr="004C78D8" w:rsidRDefault="00D507CD" w:rsidP="00FB7C1F">
            <w:pPr>
              <w:jc w:val="left"/>
              <w:rPr>
                <w:rFonts w:cs="Times New Roman"/>
                <w:sz w:val="18"/>
                <w:szCs w:val="18"/>
              </w:rPr>
            </w:pPr>
            <w:r w:rsidRPr="004C78D8">
              <w:rPr>
                <w:rFonts w:cs="Times New Roman"/>
                <w:color w:val="000000"/>
                <w:sz w:val="18"/>
                <w:szCs w:val="18"/>
              </w:rPr>
              <w:t>14,935</w:t>
            </w:r>
          </w:p>
        </w:tc>
        <w:tc>
          <w:tcPr>
            <w:tcW w:w="679" w:type="pct"/>
            <w:tcBorders>
              <w:top w:val="nil"/>
              <w:left w:val="single" w:sz="4" w:space="0" w:color="auto"/>
              <w:bottom w:val="nil"/>
              <w:right w:val="single" w:sz="4" w:space="0" w:color="auto"/>
            </w:tcBorders>
            <w:shd w:val="clear" w:color="auto" w:fill="auto"/>
          </w:tcPr>
          <w:p w14:paraId="4C3E162F" w14:textId="77777777" w:rsidR="00D507CD" w:rsidRPr="004C78D8" w:rsidRDefault="00D507CD" w:rsidP="00FB7C1F">
            <w:pPr>
              <w:jc w:val="left"/>
              <w:rPr>
                <w:rFonts w:cs="Times New Roman"/>
                <w:sz w:val="18"/>
                <w:szCs w:val="18"/>
              </w:rPr>
            </w:pPr>
            <w:r w:rsidRPr="004C78D8">
              <w:rPr>
                <w:rFonts w:cs="Times New Roman"/>
                <w:color w:val="000000"/>
                <w:sz w:val="18"/>
                <w:szCs w:val="18"/>
              </w:rPr>
              <w:t>16</w:t>
            </w:r>
          </w:p>
        </w:tc>
      </w:tr>
      <w:tr w:rsidR="00D507CD" w:rsidRPr="004C78D8" w14:paraId="0D62180A" w14:textId="77777777" w:rsidTr="00E35893">
        <w:tc>
          <w:tcPr>
            <w:tcW w:w="1175" w:type="pct"/>
            <w:tcBorders>
              <w:top w:val="nil"/>
              <w:bottom w:val="nil"/>
            </w:tcBorders>
          </w:tcPr>
          <w:p w14:paraId="053B9A48" w14:textId="77777777" w:rsidR="00D507CD" w:rsidRPr="004C78D8" w:rsidRDefault="00D507CD" w:rsidP="00FB7C1F">
            <w:pPr>
              <w:jc w:val="left"/>
              <w:rPr>
                <w:sz w:val="18"/>
                <w:szCs w:val="18"/>
              </w:rPr>
            </w:pPr>
            <w:r w:rsidRPr="004C78D8">
              <w:rPr>
                <w:sz w:val="18"/>
                <w:szCs w:val="18"/>
              </w:rPr>
              <w:t>(19) RRs for proactive int. under RC</w:t>
            </w:r>
          </w:p>
        </w:tc>
        <w:tc>
          <w:tcPr>
            <w:tcW w:w="786" w:type="pct"/>
            <w:tcBorders>
              <w:top w:val="nil"/>
              <w:left w:val="nil"/>
              <w:bottom w:val="nil"/>
              <w:right w:val="single" w:sz="4" w:space="0" w:color="auto"/>
            </w:tcBorders>
            <w:shd w:val="clear" w:color="auto" w:fill="auto"/>
          </w:tcPr>
          <w:p w14:paraId="5A9A7F84" w14:textId="7D9E2883" w:rsidR="00D507CD" w:rsidRPr="004C78D8" w:rsidRDefault="00D507CD" w:rsidP="00FB7C1F">
            <w:pPr>
              <w:jc w:val="left"/>
              <w:rPr>
                <w:rFonts w:cs="Times New Roman"/>
                <w:sz w:val="18"/>
                <w:szCs w:val="18"/>
              </w:rPr>
            </w:pPr>
            <w:r w:rsidRPr="004C78D8">
              <w:rPr>
                <w:rFonts w:cs="Times New Roman"/>
                <w:color w:val="000000"/>
                <w:sz w:val="18"/>
                <w:szCs w:val="18"/>
              </w:rPr>
              <w:t>11,727</w:t>
            </w:r>
          </w:p>
        </w:tc>
        <w:tc>
          <w:tcPr>
            <w:tcW w:w="787" w:type="pct"/>
            <w:tcBorders>
              <w:top w:val="nil"/>
              <w:left w:val="single" w:sz="4" w:space="0" w:color="auto"/>
              <w:bottom w:val="nil"/>
              <w:right w:val="single" w:sz="4" w:space="0" w:color="auto"/>
            </w:tcBorders>
            <w:shd w:val="clear" w:color="auto" w:fill="auto"/>
          </w:tcPr>
          <w:p w14:paraId="741AD01A" w14:textId="0BCF545F" w:rsidR="00D507CD" w:rsidRPr="004C78D8" w:rsidRDefault="00D507CD" w:rsidP="00FB7C1F">
            <w:pPr>
              <w:jc w:val="left"/>
              <w:rPr>
                <w:rFonts w:cs="Times New Roman"/>
                <w:sz w:val="18"/>
                <w:szCs w:val="18"/>
              </w:rPr>
            </w:pPr>
            <w:r w:rsidRPr="004C78D8">
              <w:rPr>
                <w:rFonts w:cs="Times New Roman"/>
                <w:color w:val="000000"/>
                <w:sz w:val="18"/>
                <w:szCs w:val="18"/>
              </w:rPr>
              <w:t>14,460</w:t>
            </w:r>
          </w:p>
        </w:tc>
        <w:tc>
          <w:tcPr>
            <w:tcW w:w="786" w:type="pct"/>
            <w:tcBorders>
              <w:top w:val="nil"/>
              <w:left w:val="single" w:sz="4" w:space="0" w:color="auto"/>
              <w:bottom w:val="nil"/>
              <w:right w:val="single" w:sz="4" w:space="0" w:color="auto"/>
            </w:tcBorders>
            <w:shd w:val="clear" w:color="auto" w:fill="auto"/>
          </w:tcPr>
          <w:p w14:paraId="43AE7DE4" w14:textId="35725743" w:rsidR="00D507CD" w:rsidRPr="004C78D8" w:rsidRDefault="00D507CD" w:rsidP="00FB7C1F">
            <w:pPr>
              <w:jc w:val="left"/>
              <w:rPr>
                <w:rFonts w:cs="Times New Roman"/>
                <w:sz w:val="18"/>
                <w:szCs w:val="18"/>
              </w:rPr>
            </w:pPr>
            <w:r w:rsidRPr="004C78D8">
              <w:rPr>
                <w:rFonts w:cs="Times New Roman"/>
                <w:color w:val="000000"/>
                <w:sz w:val="18"/>
                <w:szCs w:val="18"/>
              </w:rPr>
              <w:t>12,309</w:t>
            </w:r>
          </w:p>
        </w:tc>
        <w:tc>
          <w:tcPr>
            <w:tcW w:w="787" w:type="pct"/>
            <w:tcBorders>
              <w:top w:val="nil"/>
              <w:left w:val="single" w:sz="4" w:space="0" w:color="auto"/>
              <w:bottom w:val="nil"/>
              <w:right w:val="single" w:sz="4" w:space="0" w:color="auto"/>
            </w:tcBorders>
            <w:shd w:val="clear" w:color="auto" w:fill="auto"/>
          </w:tcPr>
          <w:p w14:paraId="182064D4" w14:textId="054CE81A" w:rsidR="00D507CD" w:rsidRPr="004C78D8" w:rsidRDefault="00D507CD" w:rsidP="00FB7C1F">
            <w:pPr>
              <w:jc w:val="left"/>
              <w:rPr>
                <w:rFonts w:cs="Times New Roman"/>
                <w:sz w:val="18"/>
                <w:szCs w:val="18"/>
              </w:rPr>
            </w:pPr>
            <w:r w:rsidRPr="004C78D8">
              <w:rPr>
                <w:rFonts w:cs="Times New Roman"/>
                <w:color w:val="000000"/>
                <w:sz w:val="18"/>
                <w:szCs w:val="18"/>
              </w:rPr>
              <w:t>15,221</w:t>
            </w:r>
          </w:p>
        </w:tc>
        <w:tc>
          <w:tcPr>
            <w:tcW w:w="679" w:type="pct"/>
            <w:tcBorders>
              <w:top w:val="nil"/>
              <w:left w:val="single" w:sz="4" w:space="0" w:color="auto"/>
              <w:bottom w:val="nil"/>
              <w:right w:val="single" w:sz="4" w:space="0" w:color="auto"/>
            </w:tcBorders>
            <w:shd w:val="clear" w:color="auto" w:fill="auto"/>
          </w:tcPr>
          <w:p w14:paraId="2DC8DA0E" w14:textId="77777777" w:rsidR="00D507CD" w:rsidRPr="004C78D8" w:rsidRDefault="00D507CD" w:rsidP="00FB7C1F">
            <w:pPr>
              <w:jc w:val="left"/>
              <w:rPr>
                <w:rFonts w:cs="Times New Roman"/>
                <w:sz w:val="18"/>
                <w:szCs w:val="18"/>
              </w:rPr>
            </w:pPr>
            <w:r w:rsidRPr="004C78D8">
              <w:rPr>
                <w:rFonts w:cs="Times New Roman"/>
                <w:color w:val="000000"/>
                <w:sz w:val="18"/>
                <w:szCs w:val="18"/>
              </w:rPr>
              <w:t>17</w:t>
            </w:r>
          </w:p>
        </w:tc>
      </w:tr>
      <w:tr w:rsidR="00D507CD" w:rsidRPr="004C78D8" w14:paraId="395A2926" w14:textId="77777777" w:rsidTr="00E35893">
        <w:tc>
          <w:tcPr>
            <w:tcW w:w="1175" w:type="pct"/>
            <w:tcBorders>
              <w:top w:val="nil"/>
            </w:tcBorders>
          </w:tcPr>
          <w:p w14:paraId="07410004" w14:textId="77777777" w:rsidR="00D507CD" w:rsidRPr="004C78D8" w:rsidRDefault="00D507CD" w:rsidP="00FB7C1F">
            <w:pPr>
              <w:jc w:val="left"/>
              <w:rPr>
                <w:sz w:val="18"/>
                <w:szCs w:val="18"/>
              </w:rPr>
            </w:pPr>
            <w:r w:rsidRPr="004C78D8">
              <w:rPr>
                <w:sz w:val="18"/>
                <w:szCs w:val="18"/>
              </w:rPr>
              <w:t>(20) Dynamic change in EQ-5D values</w:t>
            </w:r>
          </w:p>
        </w:tc>
        <w:tc>
          <w:tcPr>
            <w:tcW w:w="786" w:type="pct"/>
            <w:tcBorders>
              <w:top w:val="nil"/>
              <w:left w:val="nil"/>
              <w:bottom w:val="single" w:sz="4" w:space="0" w:color="auto"/>
              <w:right w:val="single" w:sz="4" w:space="0" w:color="auto"/>
            </w:tcBorders>
            <w:shd w:val="clear" w:color="auto" w:fill="auto"/>
          </w:tcPr>
          <w:p w14:paraId="63AA5EC3" w14:textId="5892E21E" w:rsidR="00D507CD" w:rsidRPr="004C78D8" w:rsidRDefault="00D507CD" w:rsidP="00FB7C1F">
            <w:pPr>
              <w:jc w:val="left"/>
              <w:rPr>
                <w:rFonts w:cs="Times New Roman"/>
                <w:sz w:val="18"/>
                <w:szCs w:val="18"/>
              </w:rPr>
            </w:pPr>
            <w:r w:rsidRPr="004C78D8">
              <w:rPr>
                <w:rFonts w:cs="Times New Roman"/>
                <w:color w:val="000000"/>
                <w:sz w:val="18"/>
                <w:szCs w:val="18"/>
              </w:rPr>
              <w:t>13,985</w:t>
            </w:r>
          </w:p>
        </w:tc>
        <w:tc>
          <w:tcPr>
            <w:tcW w:w="787" w:type="pct"/>
            <w:tcBorders>
              <w:top w:val="nil"/>
              <w:left w:val="single" w:sz="4" w:space="0" w:color="auto"/>
              <w:bottom w:val="single" w:sz="4" w:space="0" w:color="auto"/>
              <w:right w:val="single" w:sz="4" w:space="0" w:color="auto"/>
            </w:tcBorders>
            <w:shd w:val="clear" w:color="auto" w:fill="auto"/>
          </w:tcPr>
          <w:p w14:paraId="1A02395B" w14:textId="4E65A18F" w:rsidR="00D507CD" w:rsidRPr="004C78D8" w:rsidRDefault="00D507CD" w:rsidP="00FB7C1F">
            <w:pPr>
              <w:jc w:val="left"/>
              <w:rPr>
                <w:rFonts w:cs="Times New Roman"/>
                <w:sz w:val="18"/>
                <w:szCs w:val="18"/>
              </w:rPr>
            </w:pPr>
            <w:r w:rsidRPr="004C78D8">
              <w:rPr>
                <w:rFonts w:cs="Times New Roman"/>
                <w:color w:val="000000"/>
                <w:sz w:val="18"/>
                <w:szCs w:val="18"/>
              </w:rPr>
              <w:t>11,596</w:t>
            </w:r>
          </w:p>
        </w:tc>
        <w:tc>
          <w:tcPr>
            <w:tcW w:w="786" w:type="pct"/>
            <w:tcBorders>
              <w:top w:val="nil"/>
              <w:left w:val="single" w:sz="4" w:space="0" w:color="auto"/>
              <w:bottom w:val="single" w:sz="4" w:space="0" w:color="auto"/>
              <w:right w:val="single" w:sz="4" w:space="0" w:color="auto"/>
            </w:tcBorders>
            <w:shd w:val="clear" w:color="auto" w:fill="auto"/>
          </w:tcPr>
          <w:p w14:paraId="625F1BB8" w14:textId="65BE9F5C" w:rsidR="00D507CD" w:rsidRPr="004C78D8" w:rsidRDefault="00D507CD" w:rsidP="00FB7C1F">
            <w:pPr>
              <w:jc w:val="left"/>
              <w:rPr>
                <w:rFonts w:cs="Times New Roman"/>
                <w:sz w:val="18"/>
                <w:szCs w:val="18"/>
              </w:rPr>
            </w:pPr>
            <w:r w:rsidRPr="004C78D8">
              <w:rPr>
                <w:rFonts w:cs="Times New Roman"/>
                <w:color w:val="000000"/>
                <w:sz w:val="18"/>
                <w:szCs w:val="18"/>
              </w:rPr>
              <w:t>14,692</w:t>
            </w:r>
          </w:p>
        </w:tc>
        <w:tc>
          <w:tcPr>
            <w:tcW w:w="787" w:type="pct"/>
            <w:tcBorders>
              <w:top w:val="nil"/>
              <w:left w:val="single" w:sz="4" w:space="0" w:color="auto"/>
              <w:bottom w:val="single" w:sz="4" w:space="0" w:color="auto"/>
              <w:right w:val="single" w:sz="4" w:space="0" w:color="auto"/>
            </w:tcBorders>
            <w:shd w:val="clear" w:color="auto" w:fill="auto"/>
          </w:tcPr>
          <w:p w14:paraId="75B73C81" w14:textId="20761C51" w:rsidR="00D507CD" w:rsidRPr="004C78D8" w:rsidRDefault="00D507CD" w:rsidP="00FB7C1F">
            <w:pPr>
              <w:jc w:val="left"/>
              <w:rPr>
                <w:rFonts w:cs="Times New Roman"/>
                <w:sz w:val="18"/>
                <w:szCs w:val="18"/>
              </w:rPr>
            </w:pPr>
            <w:r w:rsidRPr="004C78D8">
              <w:rPr>
                <w:rFonts w:cs="Times New Roman"/>
                <w:color w:val="000000"/>
                <w:sz w:val="18"/>
                <w:szCs w:val="18"/>
              </w:rPr>
              <w:t>12,078</w:t>
            </w:r>
          </w:p>
        </w:tc>
        <w:tc>
          <w:tcPr>
            <w:tcW w:w="679" w:type="pct"/>
            <w:tcBorders>
              <w:top w:val="nil"/>
              <w:left w:val="single" w:sz="4" w:space="0" w:color="auto"/>
              <w:bottom w:val="nil"/>
              <w:right w:val="single" w:sz="4" w:space="0" w:color="auto"/>
            </w:tcBorders>
            <w:shd w:val="clear" w:color="auto" w:fill="auto"/>
          </w:tcPr>
          <w:p w14:paraId="119918D4" w14:textId="77777777" w:rsidR="00D507CD" w:rsidRPr="004C78D8" w:rsidRDefault="00D507CD" w:rsidP="00FB7C1F">
            <w:pPr>
              <w:jc w:val="left"/>
              <w:rPr>
                <w:rFonts w:cs="Times New Roman"/>
                <w:sz w:val="18"/>
                <w:szCs w:val="18"/>
              </w:rPr>
            </w:pPr>
            <w:r w:rsidRPr="004C78D8">
              <w:rPr>
                <w:rFonts w:cs="Times New Roman"/>
                <w:color w:val="000000"/>
                <w:sz w:val="18"/>
                <w:szCs w:val="18"/>
              </w:rPr>
              <w:t>18</w:t>
            </w:r>
          </w:p>
        </w:tc>
      </w:tr>
      <w:tr w:rsidR="00D507CD" w:rsidRPr="004C78D8" w14:paraId="51A62567" w14:textId="77777777" w:rsidTr="00E35893">
        <w:tc>
          <w:tcPr>
            <w:tcW w:w="5000" w:type="pct"/>
            <w:gridSpan w:val="6"/>
          </w:tcPr>
          <w:p w14:paraId="0775EA32" w14:textId="4D6FFBCF" w:rsidR="00D507CD" w:rsidRPr="004C78D8" w:rsidRDefault="00D507CD" w:rsidP="00FB7C1F">
            <w:pPr>
              <w:rPr>
                <w:sz w:val="18"/>
                <w:szCs w:val="18"/>
              </w:rPr>
            </w:pPr>
            <w:r w:rsidRPr="004C78D8">
              <w:rPr>
                <w:b/>
                <w:bCs/>
                <w:sz w:val="18"/>
                <w:szCs w:val="18"/>
              </w:rPr>
              <w:t>Abbreviation:</w:t>
            </w:r>
            <w:r w:rsidRPr="004C78D8">
              <w:rPr>
                <w:sz w:val="18"/>
                <w:szCs w:val="18"/>
              </w:rPr>
              <w:t xml:space="preserve"> AC: all-cause; ICER: incremental cost-effectiveness ratio; int.: intervention; LTC: long-term care; MA fall: fall requiring medical attention; QALY: quality-adjusted life year; RC: recommended care; RR: relative risk; PS: public sector</w:t>
            </w:r>
            <w:r w:rsidR="00A15CEA" w:rsidRPr="004C78D8">
              <w:rPr>
                <w:sz w:val="18"/>
                <w:szCs w:val="18"/>
              </w:rPr>
              <w:t>.</w:t>
            </w:r>
          </w:p>
        </w:tc>
      </w:tr>
    </w:tbl>
    <w:p w14:paraId="6DF5C4D2" w14:textId="77777777" w:rsidR="00D507CD" w:rsidRPr="004C78D8" w:rsidRDefault="00D507CD" w:rsidP="00FB7C1F"/>
    <w:p w14:paraId="088C956B" w14:textId="7BE3EBAB" w:rsidR="00D507CD" w:rsidRPr="004C78D8" w:rsidRDefault="00D507CD" w:rsidP="00FB7C1F">
      <w:r w:rsidRPr="004C78D8">
        <w:t xml:space="preserve">All types of falls risks </w:t>
      </w:r>
      <w:r w:rsidR="0072035C" w:rsidRPr="004C78D8">
        <w:t xml:space="preserve">were </w:t>
      </w:r>
      <w:r w:rsidRPr="004C78D8">
        <w:t>in the top 20 impactful variables. Lower risks of falls reduced the extent of economic and health loss averted through falls prevention and thereby increased the societal and public sector ICERs (except for the risk of MA fall given single fall</w:t>
      </w:r>
      <w:r w:rsidR="00363EEA" w:rsidRPr="004C78D8">
        <w:t>,</w:t>
      </w:r>
      <w:r w:rsidRPr="004C78D8">
        <w:t xml:space="preserve"> ranked 16</w:t>
      </w:r>
      <w:r w:rsidRPr="004C78D8">
        <w:rPr>
          <w:vertAlign w:val="superscript"/>
        </w:rPr>
        <w:t>th</w:t>
      </w:r>
      <w:r w:rsidRPr="004C78D8">
        <w:t>). The dynamic probability of accessing the GP in the next cycle ranked 4</w:t>
      </w:r>
      <w:r w:rsidRPr="004C78D8">
        <w:rPr>
          <w:vertAlign w:val="superscript"/>
        </w:rPr>
        <w:t>th</w:t>
      </w:r>
      <w:r w:rsidRPr="004C78D8">
        <w:t xml:space="preserve"> in terms of impact which was higher than all other intervention access parameters (e.g., proactive intervention demand 5</w:t>
      </w:r>
      <w:r w:rsidRPr="004C78D8">
        <w:rPr>
          <w:vertAlign w:val="superscript"/>
        </w:rPr>
        <w:t>th</w:t>
      </w:r>
      <w:r w:rsidRPr="004C78D8">
        <w:t xml:space="preserve">). Interestingly, </w:t>
      </w:r>
      <w:r w:rsidR="0017080C">
        <w:t xml:space="preserve">the </w:t>
      </w:r>
      <w:r w:rsidRPr="004C78D8">
        <w:t>QALY loss from non-MA single/recurrent fall</w:t>
      </w:r>
      <w:r w:rsidR="0072035C" w:rsidRPr="004C78D8">
        <w:t>s</w:t>
      </w:r>
      <w:r w:rsidRPr="004C78D8">
        <w:t xml:space="preserve"> (6</w:t>
      </w:r>
      <w:r w:rsidRPr="004C78D8">
        <w:rPr>
          <w:vertAlign w:val="superscript"/>
        </w:rPr>
        <w:t>th</w:t>
      </w:r>
      <w:r w:rsidRPr="004C78D8">
        <w:t>) had a greater impact on ICERs than that from hospitalised MA fall</w:t>
      </w:r>
      <w:r w:rsidR="0072035C" w:rsidRPr="004C78D8">
        <w:t>s</w:t>
      </w:r>
      <w:r w:rsidRPr="004C78D8">
        <w:t xml:space="preserve"> (14</w:t>
      </w:r>
      <w:r w:rsidRPr="004C78D8">
        <w:rPr>
          <w:vertAlign w:val="superscript"/>
        </w:rPr>
        <w:t>th</w:t>
      </w:r>
      <w:r w:rsidRPr="004C78D8">
        <w:t>), while that from non-hospitalised MA fall</w:t>
      </w:r>
      <w:r w:rsidR="0072035C" w:rsidRPr="004C78D8">
        <w:t>s</w:t>
      </w:r>
      <w:r w:rsidRPr="004C78D8">
        <w:t xml:space="preserve"> ranked 25</w:t>
      </w:r>
      <w:r w:rsidRPr="004C78D8">
        <w:rPr>
          <w:vertAlign w:val="superscript"/>
        </w:rPr>
        <w:t>th</w:t>
      </w:r>
      <w:r w:rsidRPr="004C78D8">
        <w:t>. The dynamic risk of developing cognitive impairment was the epidemiological factor with the largest impact</w:t>
      </w:r>
      <w:r w:rsidR="00752314" w:rsidRPr="004C78D8">
        <w:t xml:space="preserve"> (9</w:t>
      </w:r>
      <w:r w:rsidR="00752314" w:rsidRPr="004C78D8">
        <w:rPr>
          <w:vertAlign w:val="superscript"/>
        </w:rPr>
        <w:t>th</w:t>
      </w:r>
      <w:r w:rsidR="00752314" w:rsidRPr="004C78D8">
        <w:t>)</w:t>
      </w:r>
      <w:r w:rsidRPr="004C78D8">
        <w:t xml:space="preserve">. Amongst intervention cost and efficacy parameters, those for the proactive pathway </w:t>
      </w:r>
      <w:r w:rsidR="00F22C95" w:rsidRPr="004C78D8">
        <w:t xml:space="preserve">had the largest impacts on ICERs </w:t>
      </w:r>
      <w:r w:rsidRPr="004C78D8">
        <w:t>(falls clinic cost 15</w:t>
      </w:r>
      <w:r w:rsidRPr="004C78D8">
        <w:rPr>
          <w:vertAlign w:val="superscript"/>
        </w:rPr>
        <w:t>th</w:t>
      </w:r>
      <w:r w:rsidRPr="004C78D8">
        <w:t>, public sector variable costs 18</w:t>
      </w:r>
      <w:r w:rsidRPr="004C78D8">
        <w:rPr>
          <w:vertAlign w:val="superscript"/>
        </w:rPr>
        <w:t>th</w:t>
      </w:r>
      <w:r w:rsidRPr="004C78D8">
        <w:t>, and RRs 19</w:t>
      </w:r>
      <w:r w:rsidRPr="004C78D8">
        <w:rPr>
          <w:vertAlign w:val="superscript"/>
        </w:rPr>
        <w:t>th</w:t>
      </w:r>
      <w:r w:rsidRPr="004C78D8">
        <w:t>).</w:t>
      </w:r>
    </w:p>
    <w:p w14:paraId="387B99E8" w14:textId="77777777" w:rsidR="00A97497" w:rsidRPr="004C78D8" w:rsidRDefault="00A97497" w:rsidP="00FB7C1F"/>
    <w:p w14:paraId="14D971A9" w14:textId="7E8C48D8" w:rsidR="00994DF3" w:rsidRPr="004C78D8" w:rsidRDefault="0057571B" w:rsidP="00FB7C1F">
      <w:pPr>
        <w:pStyle w:val="Heading3"/>
      </w:pPr>
      <w:bookmarkStart w:id="182" w:name="_Toc111630794"/>
      <w:r w:rsidRPr="004C78D8">
        <w:t>6</w:t>
      </w:r>
      <w:r w:rsidR="00A2140D" w:rsidRPr="004C78D8">
        <w:t>.</w:t>
      </w:r>
      <w:r w:rsidR="00D507CD" w:rsidRPr="004C78D8">
        <w:t>2.</w:t>
      </w:r>
      <w:r w:rsidR="00C52A0E" w:rsidRPr="004C78D8">
        <w:t>4</w:t>
      </w:r>
      <w:r w:rsidR="00A2140D" w:rsidRPr="004C78D8">
        <w:t xml:space="preserve"> </w:t>
      </w:r>
      <w:r w:rsidR="00D507CD" w:rsidRPr="004C78D8">
        <w:t>Subgroup analysis</w:t>
      </w:r>
      <w:bookmarkEnd w:id="182"/>
    </w:p>
    <w:p w14:paraId="1934C943" w14:textId="7D5F37C5" w:rsidR="00012AFA" w:rsidRPr="004C78D8" w:rsidRDefault="00C52AB0" w:rsidP="00FB7C1F">
      <w:r w:rsidRPr="004C78D8">
        <w:t xml:space="preserve">Section </w:t>
      </w:r>
      <w:r w:rsidR="0057571B" w:rsidRPr="004C78D8">
        <w:t>6</w:t>
      </w:r>
      <w:r w:rsidRPr="004C78D8">
        <w:t xml:space="preserve">.2.4.1 reports the </w:t>
      </w:r>
      <w:r w:rsidR="00537CA8" w:rsidRPr="004C78D8">
        <w:t xml:space="preserve">subgroup </w:t>
      </w:r>
      <w:r w:rsidR="00EE26CE" w:rsidRPr="004C78D8">
        <w:t xml:space="preserve">outcomes </w:t>
      </w:r>
      <w:r w:rsidR="00537CA8" w:rsidRPr="004C78D8">
        <w:t>for the base case comparison.</w:t>
      </w:r>
      <w:r w:rsidRPr="004C78D8">
        <w:t xml:space="preserve"> </w:t>
      </w:r>
      <w:r w:rsidR="00537CA8" w:rsidRPr="004C78D8">
        <w:t xml:space="preserve">In </w:t>
      </w:r>
      <w:r w:rsidR="000926CA" w:rsidRPr="004C78D8">
        <w:t xml:space="preserve">the interest of </w:t>
      </w:r>
      <w:r w:rsidR="009A7FEF" w:rsidRPr="004C78D8">
        <w:t>conciseness</w:t>
      </w:r>
      <w:r w:rsidR="000926CA" w:rsidRPr="004C78D8">
        <w:t xml:space="preserve">, only the 40-year societal CUA outcomes are reported. </w:t>
      </w:r>
      <w:r w:rsidR="009A7FEF" w:rsidRPr="004C78D8">
        <w:t xml:space="preserve">The five-year public sector ROI outcomes delineated by SES quartile </w:t>
      </w:r>
      <w:r w:rsidRPr="004C78D8">
        <w:t xml:space="preserve">are reported for all intervention strategies in </w:t>
      </w:r>
      <w:r w:rsidRPr="00972766">
        <w:t xml:space="preserve">Section </w:t>
      </w:r>
      <w:r w:rsidR="00537CA8" w:rsidRPr="00972766">
        <w:t>6</w:t>
      </w:r>
      <w:r w:rsidRPr="00972766">
        <w:t>.</w:t>
      </w:r>
      <w:r w:rsidR="00537CA8" w:rsidRPr="00972766">
        <w:t>3.2</w:t>
      </w:r>
      <w:r w:rsidRPr="00972766">
        <w:t>.2</w:t>
      </w:r>
      <w:r w:rsidRPr="004C78D8">
        <w:t xml:space="preserve">. Section </w:t>
      </w:r>
      <w:r w:rsidR="00537CA8" w:rsidRPr="004C78D8">
        <w:t>6</w:t>
      </w:r>
      <w:r w:rsidRPr="004C78D8">
        <w:t>.2.4.2 explores t</w:t>
      </w:r>
      <w:r w:rsidR="000926CA" w:rsidRPr="004C78D8">
        <w:t xml:space="preserve">he </w:t>
      </w:r>
      <w:r w:rsidR="0016319B" w:rsidRPr="004C78D8">
        <w:t>variation</w:t>
      </w:r>
      <w:r w:rsidR="000926CA" w:rsidRPr="004C78D8">
        <w:t xml:space="preserve"> in the intervention user</w:t>
      </w:r>
      <w:r w:rsidR="00E92B25" w:rsidRPr="004C78D8">
        <w:t xml:space="preserve"> profiles</w:t>
      </w:r>
      <w:r w:rsidR="000926CA" w:rsidRPr="004C78D8">
        <w:t xml:space="preserve"> </w:t>
      </w:r>
      <w:r w:rsidR="00E92B25" w:rsidRPr="004C78D8">
        <w:t>across pathways</w:t>
      </w:r>
      <w:r w:rsidR="00EE26CE" w:rsidRPr="004C78D8">
        <w:t xml:space="preserve">. </w:t>
      </w:r>
    </w:p>
    <w:p w14:paraId="71C4CD56" w14:textId="48EB8B42" w:rsidR="00012AFA" w:rsidRPr="004C78D8" w:rsidRDefault="00537CA8" w:rsidP="00FB7C1F">
      <w:pPr>
        <w:pStyle w:val="Heading4"/>
      </w:pPr>
      <w:r w:rsidRPr="004C78D8">
        <w:t>6</w:t>
      </w:r>
      <w:r w:rsidR="00D41A77" w:rsidRPr="004C78D8">
        <w:t>.</w:t>
      </w:r>
      <w:r w:rsidR="00460A5E" w:rsidRPr="004C78D8">
        <w:t>2.</w:t>
      </w:r>
      <w:r w:rsidR="00C52A0E" w:rsidRPr="004C78D8">
        <w:t>4</w:t>
      </w:r>
      <w:r w:rsidR="00A2140D" w:rsidRPr="004C78D8">
        <w:t>.1</w:t>
      </w:r>
      <w:r w:rsidR="00012AFA" w:rsidRPr="004C78D8">
        <w:t xml:space="preserve"> </w:t>
      </w:r>
      <w:r w:rsidR="00460A5E" w:rsidRPr="004C78D8">
        <w:t>Cost-utility analysis outcomes by subgroup</w:t>
      </w:r>
    </w:p>
    <w:p w14:paraId="26BF4030" w14:textId="59C1EDB9" w:rsidR="00621CF1" w:rsidRPr="004C78D8" w:rsidRDefault="00621CF1" w:rsidP="00FB7C1F">
      <w:r w:rsidRPr="004C78D8">
        <w:t xml:space="preserve">Subgroup </w:t>
      </w:r>
      <w:r w:rsidR="00537CA8" w:rsidRPr="004C78D8">
        <w:t>analyses were conducted</w:t>
      </w:r>
      <w:r w:rsidRPr="004C78D8">
        <w:t xml:space="preserve"> by the following </w:t>
      </w:r>
      <w:r w:rsidR="00CF2967" w:rsidRPr="004C78D8">
        <w:t>characteristics</w:t>
      </w:r>
      <w:r w:rsidRPr="004C78D8">
        <w:t xml:space="preserve">: initial vs. new entry cohort; age group at model entry; sex; </w:t>
      </w:r>
      <w:r w:rsidR="007F29AC" w:rsidRPr="004C78D8">
        <w:t>SES</w:t>
      </w:r>
      <w:r w:rsidR="00E92B25" w:rsidRPr="004C78D8">
        <w:t xml:space="preserve"> </w:t>
      </w:r>
      <w:r w:rsidR="00B46176" w:rsidRPr="004C78D8">
        <w:t>quartile</w:t>
      </w:r>
      <w:r w:rsidRPr="004C78D8">
        <w:t xml:space="preserve">; frailty category </w:t>
      </w:r>
      <w:r w:rsidR="00B46176" w:rsidRPr="004C78D8">
        <w:t>at model entry</w:t>
      </w:r>
      <w:r w:rsidRPr="004C78D8">
        <w:t xml:space="preserve">; </w:t>
      </w:r>
      <w:r w:rsidR="000E685C" w:rsidRPr="004C78D8">
        <w:t>and other covariates at model entry</w:t>
      </w:r>
      <w:r w:rsidR="006020AB" w:rsidRPr="004C78D8">
        <w:t>.</w:t>
      </w:r>
      <w:r w:rsidR="005705F9" w:rsidRPr="004C78D8">
        <w:t xml:space="preserve"> Outcomes were averaged across 20 trial runs.</w:t>
      </w:r>
    </w:p>
    <w:p w14:paraId="1A94472F" w14:textId="73F704A9" w:rsidR="006020AB" w:rsidRPr="004C78D8" w:rsidRDefault="006020AB" w:rsidP="00FB7C1F">
      <w:pPr>
        <w:pStyle w:val="Heading5"/>
      </w:pPr>
      <w:r w:rsidRPr="004C78D8">
        <w:t>Outcomes by cohort</w:t>
      </w:r>
    </w:p>
    <w:p w14:paraId="4FE89233" w14:textId="7B6645A7" w:rsidR="005705F9" w:rsidRPr="004C78D8" w:rsidRDefault="005705F9" w:rsidP="00FB7C1F">
      <w:bookmarkStart w:id="183" w:name="_Hlk111214883"/>
      <w:r w:rsidRPr="00972766">
        <w:t xml:space="preserve">Table </w:t>
      </w:r>
      <w:r w:rsidR="004B23B3" w:rsidRPr="00972766">
        <w:t>F1</w:t>
      </w:r>
      <w:r w:rsidR="004B23B3" w:rsidRPr="004C78D8">
        <w:t xml:space="preserve"> in Appendix F</w:t>
      </w:r>
      <w:r w:rsidRPr="004C78D8">
        <w:t xml:space="preserve"> shows the subgroup outcomes for the initial cohort aged 60+ at baseline and for the new cohorts entering as 60-year-olds at subsequent cycles. </w:t>
      </w:r>
      <w:bookmarkEnd w:id="183"/>
      <w:r w:rsidRPr="004C78D8">
        <w:t>The societal ICERs were higher for the new cohorts</w:t>
      </w:r>
      <w:r w:rsidR="0033626E" w:rsidRPr="004C78D8">
        <w:t xml:space="preserve"> (£13,918 vs. £11,619 per QALY gained, considering all-cause costs)</w:t>
      </w:r>
      <w:r w:rsidRPr="004C78D8">
        <w:t>, but these remained below the commonly accepted thresholds of cost-effectiveness (e.g., £20,000 to £30,000 per QALY gain</w:t>
      </w:r>
      <w:r w:rsidR="000A0C62" w:rsidRPr="004C78D8">
        <w:t>ed</w:t>
      </w:r>
      <w:r w:rsidRPr="004C78D8">
        <w:t>). The per-capita societal gain was higher for the new cohorts</w:t>
      </w:r>
      <w:r w:rsidR="0033626E" w:rsidRPr="004C78D8">
        <w:t xml:space="preserve"> (1,199 vs. 181 QALYs)</w:t>
      </w:r>
      <w:r w:rsidRPr="004C78D8">
        <w:t xml:space="preserve">, particularly due to the marked reduction in informal caregiving costs. Overall, accounting for the needs of older persons who newly become eligible during the intervention horizon </w:t>
      </w:r>
      <w:r w:rsidR="00731319" w:rsidRPr="004C78D8">
        <w:t xml:space="preserve">determines the intervention use over time but </w:t>
      </w:r>
      <w:r w:rsidRPr="004C78D8">
        <w:t xml:space="preserve">does not </w:t>
      </w:r>
      <w:r w:rsidR="00731319" w:rsidRPr="004C78D8">
        <w:t xml:space="preserve">majorly </w:t>
      </w:r>
      <w:r w:rsidRPr="004C78D8">
        <w:t>affect the cost-effectiveness profile of RC relative to UC.</w:t>
      </w:r>
      <w:r w:rsidR="00731319" w:rsidRPr="004C78D8">
        <w:t xml:space="preserve"> </w:t>
      </w:r>
    </w:p>
    <w:p w14:paraId="3F5AFDBC" w14:textId="5356EF22" w:rsidR="00771882" w:rsidRPr="004C78D8" w:rsidRDefault="00D87E6B" w:rsidP="00FB7C1F">
      <w:pPr>
        <w:pStyle w:val="Heading5"/>
      </w:pPr>
      <w:r w:rsidRPr="004C78D8">
        <w:t xml:space="preserve">Outcomes by </w:t>
      </w:r>
      <w:r w:rsidR="00771882" w:rsidRPr="004C78D8">
        <w:t>age group</w:t>
      </w:r>
      <w:r w:rsidRPr="004C78D8">
        <w:t xml:space="preserve"> at model entry</w:t>
      </w:r>
    </w:p>
    <w:p w14:paraId="0C16804E" w14:textId="5DAA3CA4" w:rsidR="005705F9" w:rsidRPr="004C78D8" w:rsidRDefault="005705F9" w:rsidP="00FB7C1F">
      <w:bookmarkStart w:id="184" w:name="_Hlk111215299"/>
      <w:r w:rsidRPr="00972766">
        <w:t xml:space="preserve">Table </w:t>
      </w:r>
      <w:r w:rsidR="0033626E" w:rsidRPr="00972766">
        <w:t>F2</w:t>
      </w:r>
      <w:r w:rsidRPr="004C78D8">
        <w:t xml:space="preserve"> shows the subgroup outcomes by five-year age group at model entry</w:t>
      </w:r>
      <w:r w:rsidR="00BC6813" w:rsidRPr="004C78D8">
        <w:t xml:space="preserve">. </w:t>
      </w:r>
      <w:bookmarkEnd w:id="184"/>
      <w:r w:rsidR="00BC6813" w:rsidRPr="004C78D8">
        <w:t>For the subgroup aged 60-64 at</w:t>
      </w:r>
      <w:r w:rsidR="00B369AB" w:rsidRPr="004C78D8">
        <w:t xml:space="preserve"> </w:t>
      </w:r>
      <w:r w:rsidR="00BC6813" w:rsidRPr="004C78D8">
        <w:t xml:space="preserve">entry, results for only the initial cohort members were evaluated since later cohorts (aged 60 at entry) spent varying </w:t>
      </w:r>
      <w:r w:rsidR="00A30314" w:rsidRPr="004C78D8">
        <w:t xml:space="preserve">durations in the model. </w:t>
      </w:r>
      <w:r w:rsidRPr="004C78D8">
        <w:t>The societal ICERs for RC relative to UC were below the commonly accepted threshold of £30,000 per QALY gain</w:t>
      </w:r>
      <w:r w:rsidR="009F4A79" w:rsidRPr="004C78D8">
        <w:t>ed</w:t>
      </w:r>
      <w:r w:rsidRPr="004C78D8">
        <w:t xml:space="preserve"> except for those aged 90+ when considering fall-related costs only</w:t>
      </w:r>
      <w:r w:rsidR="00660F38" w:rsidRPr="004C78D8">
        <w:t xml:space="preserve"> (£31,681 per QALY gained)</w:t>
      </w:r>
      <w:r w:rsidRPr="004C78D8">
        <w:t xml:space="preserve">. The cost-effectiveness profile improved with younger age at entry. </w:t>
      </w:r>
      <w:r w:rsidR="008C5A45" w:rsidRPr="004C78D8">
        <w:t>The</w:t>
      </w:r>
      <w:r w:rsidRPr="004C78D8">
        <w:t xml:space="preserve"> </w:t>
      </w:r>
      <w:r w:rsidR="00891A0D" w:rsidRPr="004C78D8">
        <w:t xml:space="preserve">net </w:t>
      </w:r>
      <w:r w:rsidRPr="004C78D8">
        <w:t xml:space="preserve">societal gains were concentrated among those aged 60-64. Those aged 70+ incurred net societal loss, while those aged 85+ experienced net productivity loss, net private expenditure increase, and net informal caregiving cost increase. This should motivate supplementary policies to reduce these societal costs; improved intervention attributes (e.g., convenient location, attention on caregiver experience) could contribute. In all, </w:t>
      </w:r>
      <w:r w:rsidR="0017080C">
        <w:t xml:space="preserve">the </w:t>
      </w:r>
      <w:r w:rsidRPr="004C78D8">
        <w:t xml:space="preserve">inclusion of younger subgroups in the target population is critical for improving the overall cost-effectiveness of RC relative to UC. </w:t>
      </w:r>
    </w:p>
    <w:p w14:paraId="7C0DA0D4" w14:textId="72394659" w:rsidR="00771882" w:rsidRPr="004C78D8" w:rsidRDefault="00D87E6B" w:rsidP="00FB7C1F">
      <w:pPr>
        <w:pStyle w:val="Heading5"/>
      </w:pPr>
      <w:r w:rsidRPr="004C78D8">
        <w:t xml:space="preserve">Outcomes by </w:t>
      </w:r>
      <w:r w:rsidR="00771882" w:rsidRPr="004C78D8">
        <w:t>sex</w:t>
      </w:r>
    </w:p>
    <w:p w14:paraId="53EFC527" w14:textId="1D71D1BE" w:rsidR="00D87E6B" w:rsidRPr="004C78D8" w:rsidRDefault="005705F9" w:rsidP="00FB7C1F">
      <w:bookmarkStart w:id="185" w:name="_Hlk111216965"/>
      <w:r w:rsidRPr="00972766">
        <w:t xml:space="preserve">Table </w:t>
      </w:r>
      <w:r w:rsidR="003C5EC6" w:rsidRPr="00972766">
        <w:t>F3</w:t>
      </w:r>
      <w:r w:rsidRPr="004C78D8">
        <w:t xml:space="preserve"> shows the subgroup outcomes by sex. </w:t>
      </w:r>
      <w:bookmarkEnd w:id="185"/>
      <w:r w:rsidRPr="004C78D8">
        <w:t>There was a marked difference in the cost-effectiveness outcomes across sex, with men’s societal ICERs nearly double those of women</w:t>
      </w:r>
      <w:r w:rsidR="003C5EC6" w:rsidRPr="004C78D8">
        <w:t xml:space="preserve"> (£18,641 vs. £9,659 per QALY gained, considering all-cause costs)</w:t>
      </w:r>
      <w:r w:rsidRPr="004C78D8">
        <w:t>. The latter generated much greater all-cause and fall-related care cost savings and societal gains per capita. Hence, RC is particularly cost-effective for women and raises female societal contributions.</w:t>
      </w:r>
    </w:p>
    <w:p w14:paraId="48A3D6F3" w14:textId="597C3E19" w:rsidR="00012AFA" w:rsidRPr="004C78D8" w:rsidRDefault="005E3742" w:rsidP="00FB7C1F">
      <w:pPr>
        <w:pStyle w:val="Heading5"/>
      </w:pPr>
      <w:r w:rsidRPr="004C78D8">
        <w:t>Outcomes by socioeconomic status</w:t>
      </w:r>
    </w:p>
    <w:p w14:paraId="27602944" w14:textId="51B42F28" w:rsidR="008944B3" w:rsidRPr="004C78D8" w:rsidRDefault="005705F9" w:rsidP="00FB7C1F">
      <w:bookmarkStart w:id="186" w:name="_Hlk111217129"/>
      <w:r w:rsidRPr="004C78D8">
        <w:t xml:space="preserve">Table </w:t>
      </w:r>
      <w:r w:rsidR="003C5EC6" w:rsidRPr="004C78D8">
        <w:t>F4</w:t>
      </w:r>
      <w:r w:rsidRPr="004C78D8">
        <w:t xml:space="preserve"> shows the subgroup outcomes by SES quartile. </w:t>
      </w:r>
      <w:bookmarkEnd w:id="186"/>
      <w:r w:rsidRPr="004C78D8">
        <w:t xml:space="preserve">The trends in the societal ICERs across the quartiles were non-linear, with the lowest ICER (considering all-cause costs) for the most deprived </w:t>
      </w:r>
      <w:r w:rsidR="008C5A45" w:rsidRPr="004C78D8">
        <w:t>4</w:t>
      </w:r>
      <w:r w:rsidR="008C5A45" w:rsidRPr="004C78D8">
        <w:rPr>
          <w:vertAlign w:val="superscript"/>
        </w:rPr>
        <w:t>th</w:t>
      </w:r>
      <w:r w:rsidR="008C5A45" w:rsidRPr="004C78D8">
        <w:t xml:space="preserve"> </w:t>
      </w:r>
      <w:r w:rsidRPr="004C78D8">
        <w:t xml:space="preserve">quartile </w:t>
      </w:r>
      <w:r w:rsidR="003C5EC6" w:rsidRPr="004C78D8">
        <w:t xml:space="preserve">(£11,844 per QALY gained) </w:t>
      </w:r>
      <w:r w:rsidRPr="004C78D8">
        <w:t>and highest for the 2</w:t>
      </w:r>
      <w:r w:rsidRPr="004C78D8">
        <w:rPr>
          <w:vertAlign w:val="superscript"/>
        </w:rPr>
        <w:t>nd</w:t>
      </w:r>
      <w:r w:rsidRPr="004C78D8">
        <w:t xml:space="preserve"> quartile</w:t>
      </w:r>
      <w:r w:rsidR="003C5EC6" w:rsidRPr="004C78D8">
        <w:t xml:space="preserve"> (£14,450 per QALY gained)</w:t>
      </w:r>
      <w:r w:rsidRPr="004C78D8">
        <w:t>. By contrast, the per-capita net societal gain was lowest for the 4</w:t>
      </w:r>
      <w:r w:rsidRPr="004C78D8">
        <w:rPr>
          <w:vertAlign w:val="superscript"/>
        </w:rPr>
        <w:t>th</w:t>
      </w:r>
      <w:r w:rsidRPr="004C78D8">
        <w:t xml:space="preserve"> </w:t>
      </w:r>
      <w:r w:rsidR="003C5EC6" w:rsidRPr="004C78D8">
        <w:t>(</w:t>
      </w:r>
      <w:r w:rsidR="00D048F2" w:rsidRPr="004C78D8">
        <w:t>0.0005</w:t>
      </w:r>
      <w:r w:rsidR="003C5EC6" w:rsidRPr="004C78D8">
        <w:t xml:space="preserve"> QALYs) </w:t>
      </w:r>
      <w:r w:rsidRPr="004C78D8">
        <w:t>and highest for the 1</w:t>
      </w:r>
      <w:r w:rsidRPr="004C78D8">
        <w:rPr>
          <w:vertAlign w:val="superscript"/>
        </w:rPr>
        <w:t>st</w:t>
      </w:r>
      <w:r w:rsidR="003C5EC6" w:rsidRPr="004C78D8">
        <w:t xml:space="preserve"> (</w:t>
      </w:r>
      <w:r w:rsidR="00D048F2" w:rsidRPr="004C78D8">
        <w:t>0.0058</w:t>
      </w:r>
      <w:r w:rsidR="003C5EC6" w:rsidRPr="004C78D8">
        <w:t xml:space="preserve"> QALYs).</w:t>
      </w:r>
      <w:r w:rsidRPr="004C78D8">
        <w:t xml:space="preserve"> For the 3</w:t>
      </w:r>
      <w:r w:rsidRPr="004C78D8">
        <w:rPr>
          <w:vertAlign w:val="superscript"/>
        </w:rPr>
        <w:t>rd</w:t>
      </w:r>
      <w:r w:rsidRPr="004C78D8">
        <w:t xml:space="preserve"> and 4</w:t>
      </w:r>
      <w:r w:rsidRPr="004C78D8">
        <w:rPr>
          <w:vertAlign w:val="superscript"/>
        </w:rPr>
        <w:t>th</w:t>
      </w:r>
      <w:r w:rsidRPr="004C78D8">
        <w:t xml:space="preserve"> quartiles, there were marked increases in net private expenditure, driven mostly by intervention private co-payments. This should motivate schemes to reduce the co-payments; otherwise, they </w:t>
      </w:r>
      <w:r w:rsidR="008C5A45" w:rsidRPr="004C78D8">
        <w:t xml:space="preserve">would </w:t>
      </w:r>
      <w:r w:rsidRPr="004C78D8">
        <w:t xml:space="preserve">increase the number of persons experiencing catastrophic private care expenditure, as </w:t>
      </w:r>
      <w:r w:rsidR="00CF24FA" w:rsidRPr="004C78D8">
        <w:t xml:space="preserve">already </w:t>
      </w:r>
      <w:r w:rsidRPr="004C78D8">
        <w:t xml:space="preserve">shown in Table </w:t>
      </w:r>
      <w:r w:rsidR="00D048F2" w:rsidRPr="004C78D8">
        <w:t>6</w:t>
      </w:r>
      <w:r w:rsidRPr="004C78D8">
        <w:t>.2.</w:t>
      </w:r>
    </w:p>
    <w:p w14:paraId="264EE14A" w14:textId="7858BA8B" w:rsidR="004F7766" w:rsidRPr="004C78D8" w:rsidRDefault="002D1577" w:rsidP="00FB7C1F">
      <w:r w:rsidRPr="004C78D8">
        <w:t xml:space="preserve">Figure </w:t>
      </w:r>
      <w:r w:rsidR="00D048F2" w:rsidRPr="004C78D8">
        <w:t>6</w:t>
      </w:r>
      <w:r w:rsidRPr="004C78D8">
        <w:t>.4 shows the per-capita incremental health gain metrics delineated by SES quartiles for the base case analysis. The societal and public sector INHBs incorporate the health opportunity cost of resource use when all-cause costs are considered; the latter excludes the net societal gain. The 4</w:t>
      </w:r>
      <w:r w:rsidRPr="004C78D8">
        <w:rPr>
          <w:vertAlign w:val="superscript"/>
        </w:rPr>
        <w:t>th</w:t>
      </w:r>
      <w:r w:rsidRPr="004C78D8">
        <w:t xml:space="preserve"> quartile enjoyed the most favourable outcome across all metrics; that said, the per-capita societal INHBs were near identical for the 1</w:t>
      </w:r>
      <w:r w:rsidRPr="004C78D8">
        <w:rPr>
          <w:vertAlign w:val="superscript"/>
        </w:rPr>
        <w:t>st</w:t>
      </w:r>
      <w:r w:rsidRPr="004C78D8">
        <w:t xml:space="preserve"> and 4</w:t>
      </w:r>
      <w:r w:rsidRPr="004C78D8">
        <w:rPr>
          <w:vertAlign w:val="superscript"/>
        </w:rPr>
        <w:t>th</w:t>
      </w:r>
      <w:r w:rsidRPr="004C78D8">
        <w:t xml:space="preserve"> quartiles</w:t>
      </w:r>
      <w:r w:rsidR="00C516DD" w:rsidRPr="004C78D8">
        <w:t>.</w:t>
      </w:r>
      <w:r w:rsidRPr="004C78D8">
        <w:t xml:space="preserve"> </w:t>
      </w:r>
      <w:r w:rsidR="00C516DD" w:rsidRPr="004C78D8">
        <w:t>T</w:t>
      </w:r>
      <w:r w:rsidRPr="004C78D8">
        <w:t xml:space="preserve">his </w:t>
      </w:r>
      <w:r w:rsidR="00C516DD" w:rsidRPr="004C78D8">
        <w:t>differs from the</w:t>
      </w:r>
      <w:r w:rsidRPr="004C78D8">
        <w:t xml:space="preserve"> societal ICER</w:t>
      </w:r>
      <w:r w:rsidR="00C516DD" w:rsidRPr="004C78D8">
        <w:t xml:space="preserve"> gradient</w:t>
      </w:r>
      <w:r w:rsidRPr="004C78D8">
        <w:t xml:space="preserve"> in Table </w:t>
      </w:r>
      <w:r w:rsidR="007A5CEE" w:rsidRPr="004C78D8">
        <w:t>F4</w:t>
      </w:r>
      <w:r w:rsidRPr="004C78D8">
        <w:t xml:space="preserve"> </w:t>
      </w:r>
      <w:r w:rsidR="00C516DD" w:rsidRPr="004C78D8">
        <w:t xml:space="preserve">which </w:t>
      </w:r>
      <w:r w:rsidR="00410E33" w:rsidRPr="004C78D8">
        <w:t>was</w:t>
      </w:r>
      <w:r w:rsidR="00C516DD" w:rsidRPr="004C78D8">
        <w:t xml:space="preserve"> lowest for th</w:t>
      </w:r>
      <w:r w:rsidRPr="004C78D8">
        <w:t>e 4</w:t>
      </w:r>
      <w:r w:rsidRPr="004C78D8">
        <w:rPr>
          <w:vertAlign w:val="superscript"/>
        </w:rPr>
        <w:t>th</w:t>
      </w:r>
      <w:r w:rsidRPr="004C78D8">
        <w:t xml:space="preserve"> quartile </w:t>
      </w:r>
      <w:r w:rsidR="00C516DD" w:rsidRPr="004C78D8">
        <w:t>and highest for</w:t>
      </w:r>
      <w:r w:rsidRPr="004C78D8">
        <w:t xml:space="preserve"> the 1</w:t>
      </w:r>
      <w:r w:rsidRPr="004C78D8">
        <w:rPr>
          <w:vertAlign w:val="superscript"/>
        </w:rPr>
        <w:t>st</w:t>
      </w:r>
      <w:r w:rsidRPr="004C78D8">
        <w:t>.</w:t>
      </w:r>
    </w:p>
    <w:p w14:paraId="34D61450" w14:textId="42924239" w:rsidR="0016428F" w:rsidRPr="004C78D8" w:rsidRDefault="002D1577" w:rsidP="00FB7C1F">
      <w:r w:rsidRPr="004C78D8">
        <w:rPr>
          <w:noProof/>
          <w:lang w:eastAsia="en-GB"/>
        </w:rPr>
        <w:drawing>
          <wp:inline distT="0" distB="0" distL="0" distR="0" wp14:anchorId="00036AC3" wp14:editId="0998ED47">
            <wp:extent cx="5731510" cy="3953510"/>
            <wp:effectExtent l="0" t="0" r="2540" b="8890"/>
            <wp:docPr id="8" name="Chart 8">
              <a:extLst xmlns:a="http://schemas.openxmlformats.org/drawingml/2006/main">
                <a:ext uri="{FF2B5EF4-FFF2-40B4-BE49-F238E27FC236}">
                  <a16:creationId xmlns:a16="http://schemas.microsoft.com/office/drawing/2014/main" id="{319BC278-3ACA-43F5-958F-DCD900AA2A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93C4563" w14:textId="7EF96A37" w:rsidR="0016428F" w:rsidRPr="004C78D8" w:rsidRDefault="0016428F" w:rsidP="00FB7C1F">
      <w:r w:rsidRPr="004C78D8">
        <w:rPr>
          <w:b/>
          <w:bCs/>
        </w:rPr>
        <w:t xml:space="preserve">Figure </w:t>
      </w:r>
      <w:r w:rsidR="00D048F2" w:rsidRPr="004C78D8">
        <w:rPr>
          <w:b/>
          <w:bCs/>
        </w:rPr>
        <w:t>6</w:t>
      </w:r>
      <w:r w:rsidRPr="004C78D8">
        <w:rPr>
          <w:b/>
          <w:bCs/>
        </w:rPr>
        <w:t>.</w:t>
      </w:r>
      <w:r w:rsidR="00170EC4" w:rsidRPr="004C78D8">
        <w:rPr>
          <w:b/>
          <w:bCs/>
        </w:rPr>
        <w:t>4</w:t>
      </w:r>
      <w:r w:rsidRPr="004C78D8">
        <w:t xml:space="preserve"> </w:t>
      </w:r>
      <w:r w:rsidR="00F8630D" w:rsidRPr="004C78D8">
        <w:t>Incremental health gain per capita by SES quartile of recommended care relative to usual care</w:t>
      </w:r>
      <w:r w:rsidRPr="004C78D8">
        <w:t xml:space="preserve"> </w:t>
      </w:r>
      <w:r w:rsidR="00F8630D" w:rsidRPr="004C78D8">
        <w:t>considering all-cause costs and cost-effectiveness threshold of £30,000 per QALY gain</w:t>
      </w:r>
      <w:r w:rsidR="009F4A79" w:rsidRPr="004C78D8">
        <w:t>ed</w:t>
      </w:r>
      <w:r w:rsidRPr="004C78D8">
        <w:t xml:space="preserve">. </w:t>
      </w:r>
      <w:r w:rsidR="00D10D5E" w:rsidRPr="004C78D8">
        <w:rPr>
          <w:b/>
          <w:bCs/>
        </w:rPr>
        <w:t>Abbreviation</w:t>
      </w:r>
      <w:r w:rsidRPr="004C78D8">
        <w:rPr>
          <w:b/>
          <w:bCs/>
        </w:rPr>
        <w:t>:</w:t>
      </w:r>
      <w:r w:rsidRPr="004C78D8">
        <w:t xml:space="preserve"> I</w:t>
      </w:r>
      <w:r w:rsidR="00F8630D" w:rsidRPr="004C78D8">
        <w:t>NHB</w:t>
      </w:r>
      <w:r w:rsidRPr="004C78D8">
        <w:t xml:space="preserve">: incremental </w:t>
      </w:r>
      <w:r w:rsidR="00F8630D" w:rsidRPr="004C78D8">
        <w:t>net health benefit</w:t>
      </w:r>
      <w:r w:rsidRPr="004C78D8">
        <w:t>; QALY: quality-adjusted life year; SES: socioeconomic status.</w:t>
      </w:r>
    </w:p>
    <w:p w14:paraId="35637C85" w14:textId="6C4C48E0" w:rsidR="0063599F" w:rsidRPr="004C78D8" w:rsidRDefault="002D1577" w:rsidP="00FB7C1F">
      <w:r w:rsidRPr="004C78D8">
        <w:t xml:space="preserve">Table </w:t>
      </w:r>
      <w:r w:rsidR="007A5CEE" w:rsidRPr="004C78D8">
        <w:t>6</w:t>
      </w:r>
      <w:r w:rsidRPr="004C78D8">
        <w:t>.</w:t>
      </w:r>
      <w:r w:rsidR="007A5CEE" w:rsidRPr="004C78D8">
        <w:t>6</w:t>
      </w:r>
      <w:r w:rsidRPr="004C78D8">
        <w:t xml:space="preserve"> reports the </w:t>
      </w:r>
      <w:r w:rsidR="007A5CEE" w:rsidRPr="004C78D8">
        <w:t xml:space="preserve">results of DCEA delineated by SES quartile. It shows the </w:t>
      </w:r>
      <w:r w:rsidRPr="004C78D8">
        <w:t>EDE level</w:t>
      </w:r>
      <w:r w:rsidR="00A969EC" w:rsidRPr="004C78D8">
        <w:t>s</w:t>
      </w:r>
      <w:r w:rsidRPr="004C78D8">
        <w:t xml:space="preserve"> of </w:t>
      </w:r>
      <w:r w:rsidR="00A969EC" w:rsidRPr="004C78D8">
        <w:t xml:space="preserve">NHB </w:t>
      </w:r>
      <w:r w:rsidRPr="004C78D8">
        <w:t xml:space="preserve">for UC and RC under various relative and absolute inequality aversion indices (Atkinson </w:t>
      </w:r>
      <w:r w:rsidRPr="004C78D8">
        <w:rPr>
          <w:rFonts w:cs="Times New Roman"/>
        </w:rPr>
        <w:t>ε</w:t>
      </w:r>
      <w:r w:rsidRPr="004C78D8">
        <w:rPr>
          <w:sz w:val="24"/>
          <w:szCs w:val="24"/>
        </w:rPr>
        <w:t xml:space="preserve"> </w:t>
      </w:r>
      <w:r w:rsidRPr="004C78D8">
        <w:t xml:space="preserve">and Kolm </w:t>
      </w:r>
      <w:r w:rsidRPr="004C78D8">
        <w:rPr>
          <w:rFonts w:cs="Times New Roman"/>
        </w:rPr>
        <w:t>α</w:t>
      </w:r>
      <w:r w:rsidRPr="004C78D8">
        <w:t xml:space="preserve">, respectively) and where health differences across SES quartiles are deemed inequitable. </w:t>
      </w:r>
      <w:r w:rsidR="00A969EC" w:rsidRPr="004C78D8">
        <w:t xml:space="preserve">As </w:t>
      </w:r>
      <w:r w:rsidR="007A5CEE" w:rsidRPr="004C78D8">
        <w:t xml:space="preserve">in the stylised example in Section 5.4.1.6, </w:t>
      </w:r>
      <w:r w:rsidR="00A969EC" w:rsidRPr="004C78D8">
        <w:t>the societal EDE NHB</w:t>
      </w:r>
      <w:r w:rsidR="007A5CEE" w:rsidRPr="004C78D8">
        <w:t>s</w:t>
      </w:r>
      <w:r w:rsidR="00A969EC" w:rsidRPr="004C78D8">
        <w:t xml:space="preserve"> </w:t>
      </w:r>
      <w:r w:rsidR="007A5CEE" w:rsidRPr="004C78D8">
        <w:t xml:space="preserve">for both UC and RC </w:t>
      </w:r>
      <w:r w:rsidR="00A969EC" w:rsidRPr="004C78D8">
        <w:t xml:space="preserve">decline relative to the </w:t>
      </w:r>
      <w:r w:rsidR="007A5CEE" w:rsidRPr="004C78D8">
        <w:t>no inequality aversion mean as the aversion parameters increase</w:t>
      </w:r>
      <w:r w:rsidR="00A969EC" w:rsidRPr="004C78D8">
        <w:t>.</w:t>
      </w:r>
    </w:p>
    <w:tbl>
      <w:tblPr>
        <w:tblStyle w:val="TableGrid"/>
        <w:tblW w:w="5000" w:type="pct"/>
        <w:tblLook w:val="04A0" w:firstRow="1" w:lastRow="0" w:firstColumn="1" w:lastColumn="0" w:noHBand="0" w:noVBand="1"/>
      </w:tblPr>
      <w:tblGrid>
        <w:gridCol w:w="3381"/>
        <w:gridCol w:w="1868"/>
        <w:gridCol w:w="1967"/>
        <w:gridCol w:w="1800"/>
      </w:tblGrid>
      <w:tr w:rsidR="00807997" w:rsidRPr="004C78D8" w14:paraId="5610E6A6" w14:textId="6558672B" w:rsidTr="00E35893">
        <w:tc>
          <w:tcPr>
            <w:tcW w:w="5000" w:type="pct"/>
            <w:gridSpan w:val="4"/>
          </w:tcPr>
          <w:p w14:paraId="0B7ACE5E" w14:textId="7303574A" w:rsidR="00807997" w:rsidRPr="004C78D8" w:rsidRDefault="00807997" w:rsidP="00FB7C1F">
            <w:pPr>
              <w:rPr>
                <w:b/>
                <w:bCs/>
              </w:rPr>
            </w:pPr>
            <w:r w:rsidRPr="004C78D8">
              <w:rPr>
                <w:b/>
                <w:bCs/>
              </w:rPr>
              <w:t xml:space="preserve">Table </w:t>
            </w:r>
            <w:r w:rsidR="007A5CEE" w:rsidRPr="004C78D8">
              <w:rPr>
                <w:b/>
                <w:bCs/>
              </w:rPr>
              <w:t>6</w:t>
            </w:r>
            <w:r w:rsidRPr="004C78D8">
              <w:rPr>
                <w:b/>
                <w:bCs/>
              </w:rPr>
              <w:t>.</w:t>
            </w:r>
            <w:r w:rsidR="007A5CEE" w:rsidRPr="004C78D8">
              <w:rPr>
                <w:b/>
                <w:bCs/>
              </w:rPr>
              <w:t>6</w:t>
            </w:r>
            <w:r w:rsidRPr="004C78D8">
              <w:t xml:space="preserve"> Equally distributed equivalent </w:t>
            </w:r>
            <w:r w:rsidR="00A43938" w:rsidRPr="004C78D8">
              <w:t>net health benefit</w:t>
            </w:r>
            <w:r w:rsidRPr="004C78D8">
              <w:t xml:space="preserve"> across SES quartiles for </w:t>
            </w:r>
            <w:r w:rsidR="00011E48" w:rsidRPr="004C78D8">
              <w:t>base case comparison</w:t>
            </w:r>
            <w:r w:rsidRPr="004C78D8">
              <w:t>.</w:t>
            </w:r>
          </w:p>
        </w:tc>
      </w:tr>
      <w:tr w:rsidR="00807997" w:rsidRPr="004C78D8" w14:paraId="75A41894" w14:textId="014B954A" w:rsidTr="00E35893">
        <w:tc>
          <w:tcPr>
            <w:tcW w:w="1875" w:type="pct"/>
            <w:tcBorders>
              <w:bottom w:val="single" w:sz="4" w:space="0" w:color="auto"/>
            </w:tcBorders>
          </w:tcPr>
          <w:p w14:paraId="5B49DE4D" w14:textId="3C932553" w:rsidR="00807997" w:rsidRPr="004C78D8" w:rsidRDefault="00807997" w:rsidP="00FB7C1F">
            <w:pPr>
              <w:jc w:val="left"/>
              <w:rPr>
                <w:b/>
                <w:bCs/>
                <w:sz w:val="20"/>
                <w:szCs w:val="20"/>
              </w:rPr>
            </w:pPr>
            <w:r w:rsidRPr="004C78D8">
              <w:rPr>
                <w:b/>
                <w:bCs/>
                <w:sz w:val="20"/>
                <w:szCs w:val="20"/>
              </w:rPr>
              <w:t>Inequality aversion indices</w:t>
            </w:r>
          </w:p>
        </w:tc>
        <w:tc>
          <w:tcPr>
            <w:tcW w:w="1036" w:type="pct"/>
            <w:tcBorders>
              <w:bottom w:val="single" w:sz="4" w:space="0" w:color="auto"/>
            </w:tcBorders>
          </w:tcPr>
          <w:p w14:paraId="3BE212A8" w14:textId="075F48B2" w:rsidR="00807997" w:rsidRPr="004C78D8" w:rsidRDefault="00807997" w:rsidP="00FB7C1F">
            <w:pPr>
              <w:jc w:val="left"/>
              <w:rPr>
                <w:b/>
                <w:bCs/>
                <w:sz w:val="20"/>
                <w:szCs w:val="20"/>
              </w:rPr>
            </w:pPr>
            <w:r w:rsidRPr="004C78D8">
              <w:rPr>
                <w:b/>
                <w:bCs/>
                <w:sz w:val="20"/>
                <w:szCs w:val="20"/>
              </w:rPr>
              <w:t>Usual care</w:t>
            </w:r>
          </w:p>
        </w:tc>
        <w:tc>
          <w:tcPr>
            <w:tcW w:w="1091" w:type="pct"/>
            <w:tcBorders>
              <w:bottom w:val="single" w:sz="4" w:space="0" w:color="auto"/>
            </w:tcBorders>
          </w:tcPr>
          <w:p w14:paraId="6AF289F9" w14:textId="66D49932" w:rsidR="00807997" w:rsidRPr="004C78D8" w:rsidRDefault="00807997" w:rsidP="00FB7C1F">
            <w:pPr>
              <w:jc w:val="left"/>
              <w:rPr>
                <w:b/>
                <w:bCs/>
                <w:sz w:val="20"/>
                <w:szCs w:val="20"/>
              </w:rPr>
            </w:pPr>
            <w:r w:rsidRPr="004C78D8">
              <w:rPr>
                <w:b/>
                <w:bCs/>
                <w:sz w:val="20"/>
                <w:szCs w:val="20"/>
              </w:rPr>
              <w:t>Recommended care</w:t>
            </w:r>
          </w:p>
        </w:tc>
        <w:tc>
          <w:tcPr>
            <w:tcW w:w="998" w:type="pct"/>
            <w:tcBorders>
              <w:bottom w:val="single" w:sz="4" w:space="0" w:color="auto"/>
            </w:tcBorders>
          </w:tcPr>
          <w:p w14:paraId="4BAAE0A5" w14:textId="0A1DC0DD" w:rsidR="00807997" w:rsidRPr="004C78D8" w:rsidRDefault="00807997" w:rsidP="00FB7C1F">
            <w:pPr>
              <w:jc w:val="left"/>
              <w:rPr>
                <w:b/>
                <w:bCs/>
                <w:sz w:val="20"/>
                <w:szCs w:val="20"/>
              </w:rPr>
            </w:pPr>
            <w:r w:rsidRPr="004C78D8">
              <w:rPr>
                <w:b/>
                <w:bCs/>
                <w:sz w:val="20"/>
                <w:szCs w:val="20"/>
              </w:rPr>
              <w:t>Incremental</w:t>
            </w:r>
          </w:p>
        </w:tc>
      </w:tr>
      <w:tr w:rsidR="00AB6B85" w:rsidRPr="004C78D8" w14:paraId="519946DF" w14:textId="77777777" w:rsidTr="00E35893">
        <w:tc>
          <w:tcPr>
            <w:tcW w:w="1875" w:type="pct"/>
            <w:tcBorders>
              <w:bottom w:val="nil"/>
            </w:tcBorders>
          </w:tcPr>
          <w:p w14:paraId="17FA6CBB" w14:textId="69173540" w:rsidR="00AB6B85" w:rsidRPr="004C78D8" w:rsidRDefault="00AB6B85" w:rsidP="00FB7C1F">
            <w:pPr>
              <w:jc w:val="left"/>
              <w:rPr>
                <w:sz w:val="20"/>
                <w:szCs w:val="20"/>
              </w:rPr>
            </w:pPr>
            <w:r w:rsidRPr="004C78D8">
              <w:rPr>
                <w:sz w:val="20"/>
                <w:szCs w:val="20"/>
              </w:rPr>
              <w:t xml:space="preserve">Societal </w:t>
            </w:r>
            <w:r w:rsidR="00871485" w:rsidRPr="004C78D8">
              <w:rPr>
                <w:sz w:val="20"/>
                <w:szCs w:val="20"/>
              </w:rPr>
              <w:t xml:space="preserve">mean </w:t>
            </w:r>
            <w:r w:rsidRPr="004C78D8">
              <w:rPr>
                <w:sz w:val="20"/>
                <w:szCs w:val="20"/>
              </w:rPr>
              <w:t>NHB (no inequality aversion</w:t>
            </w:r>
            <w:r w:rsidR="004B667E" w:rsidRPr="004C78D8">
              <w:rPr>
                <w:sz w:val="20"/>
                <w:szCs w:val="20"/>
              </w:rPr>
              <w:t xml:space="preserve"> mean</w:t>
            </w:r>
            <w:r w:rsidRPr="004C78D8">
              <w:rPr>
                <w:sz w:val="20"/>
                <w:szCs w:val="20"/>
              </w:rPr>
              <w:t>)</w:t>
            </w:r>
            <w:r w:rsidRPr="004C78D8">
              <w:rPr>
                <w:sz w:val="20"/>
                <w:szCs w:val="20"/>
                <w:vertAlign w:val="superscript"/>
              </w:rPr>
              <w:t>1</w:t>
            </w:r>
          </w:p>
        </w:tc>
        <w:tc>
          <w:tcPr>
            <w:tcW w:w="1036" w:type="pct"/>
            <w:tcBorders>
              <w:bottom w:val="nil"/>
            </w:tcBorders>
          </w:tcPr>
          <w:p w14:paraId="7D2A0451" w14:textId="5D265BAA" w:rsidR="00AB6B85" w:rsidRPr="004C78D8" w:rsidRDefault="00AB6B85" w:rsidP="00FB7C1F">
            <w:pPr>
              <w:jc w:val="left"/>
              <w:rPr>
                <w:sz w:val="18"/>
                <w:szCs w:val="18"/>
              </w:rPr>
            </w:pPr>
            <w:r w:rsidRPr="004C78D8">
              <w:rPr>
                <w:sz w:val="18"/>
                <w:szCs w:val="18"/>
              </w:rPr>
              <w:t>4.1774</w:t>
            </w:r>
          </w:p>
        </w:tc>
        <w:tc>
          <w:tcPr>
            <w:tcW w:w="1091" w:type="pct"/>
            <w:tcBorders>
              <w:bottom w:val="nil"/>
            </w:tcBorders>
          </w:tcPr>
          <w:p w14:paraId="4FF49514" w14:textId="239767D8" w:rsidR="00AB6B85" w:rsidRPr="004C78D8" w:rsidRDefault="00AB6B85" w:rsidP="00FB7C1F">
            <w:pPr>
              <w:jc w:val="left"/>
              <w:rPr>
                <w:sz w:val="18"/>
                <w:szCs w:val="18"/>
              </w:rPr>
            </w:pPr>
            <w:r w:rsidRPr="004C78D8">
              <w:rPr>
                <w:sz w:val="18"/>
                <w:szCs w:val="18"/>
              </w:rPr>
              <w:t>4.2081</w:t>
            </w:r>
          </w:p>
        </w:tc>
        <w:tc>
          <w:tcPr>
            <w:tcW w:w="998" w:type="pct"/>
            <w:tcBorders>
              <w:bottom w:val="nil"/>
            </w:tcBorders>
          </w:tcPr>
          <w:p w14:paraId="750811A1" w14:textId="02779035" w:rsidR="00AB6B85" w:rsidRPr="004C78D8" w:rsidRDefault="00AB6B85" w:rsidP="00FB7C1F">
            <w:pPr>
              <w:jc w:val="left"/>
              <w:rPr>
                <w:sz w:val="18"/>
                <w:szCs w:val="18"/>
              </w:rPr>
            </w:pPr>
            <w:r w:rsidRPr="004C78D8">
              <w:rPr>
                <w:sz w:val="18"/>
                <w:szCs w:val="18"/>
              </w:rPr>
              <w:t>0.0307</w:t>
            </w:r>
          </w:p>
        </w:tc>
      </w:tr>
      <w:tr w:rsidR="00AB6B85" w:rsidRPr="004C78D8" w14:paraId="03043B19" w14:textId="4F4EB3B0" w:rsidTr="00E35893">
        <w:tc>
          <w:tcPr>
            <w:tcW w:w="1875" w:type="pct"/>
            <w:tcBorders>
              <w:bottom w:val="nil"/>
            </w:tcBorders>
          </w:tcPr>
          <w:p w14:paraId="5E4978B9" w14:textId="709F330A" w:rsidR="00AB6B85" w:rsidRPr="004C78D8" w:rsidRDefault="009021B4" w:rsidP="00FB7C1F">
            <w:pPr>
              <w:jc w:val="left"/>
              <w:rPr>
                <w:sz w:val="20"/>
                <w:szCs w:val="20"/>
              </w:rPr>
            </w:pPr>
            <w:r w:rsidRPr="004C78D8">
              <w:rPr>
                <w:sz w:val="20"/>
                <w:szCs w:val="20"/>
              </w:rPr>
              <w:t xml:space="preserve">Societal </w:t>
            </w:r>
            <w:r w:rsidR="00AB6B85" w:rsidRPr="004C78D8">
              <w:rPr>
                <w:sz w:val="20"/>
                <w:szCs w:val="20"/>
              </w:rPr>
              <w:t>Atkinson EDE NHB (</w:t>
            </w:r>
            <w:r w:rsidR="00AB6B85" w:rsidRPr="004C78D8">
              <w:rPr>
                <w:rFonts w:cs="Times New Roman"/>
                <w:sz w:val="20"/>
                <w:szCs w:val="20"/>
              </w:rPr>
              <w:t>ε</w:t>
            </w:r>
            <w:r w:rsidR="00AB6B85" w:rsidRPr="004C78D8">
              <w:rPr>
                <w:sz w:val="20"/>
                <w:szCs w:val="20"/>
              </w:rPr>
              <w:t>=3)</w:t>
            </w:r>
            <w:r w:rsidR="003B0A93" w:rsidRPr="004C78D8">
              <w:rPr>
                <w:sz w:val="20"/>
                <w:szCs w:val="20"/>
                <w:vertAlign w:val="superscript"/>
              </w:rPr>
              <w:t>2</w:t>
            </w:r>
          </w:p>
        </w:tc>
        <w:tc>
          <w:tcPr>
            <w:tcW w:w="1036" w:type="pct"/>
            <w:tcBorders>
              <w:bottom w:val="nil"/>
            </w:tcBorders>
          </w:tcPr>
          <w:p w14:paraId="43A930AA" w14:textId="2A666A5F" w:rsidR="00AB6B85" w:rsidRPr="004C78D8" w:rsidRDefault="00AB6B85" w:rsidP="00FB7C1F">
            <w:pPr>
              <w:jc w:val="left"/>
              <w:rPr>
                <w:sz w:val="18"/>
                <w:szCs w:val="18"/>
              </w:rPr>
            </w:pPr>
            <w:r w:rsidRPr="004C78D8">
              <w:rPr>
                <w:sz w:val="18"/>
                <w:szCs w:val="18"/>
              </w:rPr>
              <w:t>3.9184</w:t>
            </w:r>
          </w:p>
        </w:tc>
        <w:tc>
          <w:tcPr>
            <w:tcW w:w="1091" w:type="pct"/>
            <w:tcBorders>
              <w:bottom w:val="nil"/>
            </w:tcBorders>
          </w:tcPr>
          <w:p w14:paraId="4CBCD355" w14:textId="70CA60F3" w:rsidR="00AB6B85" w:rsidRPr="004C78D8" w:rsidRDefault="00AB6B85" w:rsidP="00FB7C1F">
            <w:pPr>
              <w:jc w:val="left"/>
              <w:rPr>
                <w:sz w:val="18"/>
                <w:szCs w:val="18"/>
              </w:rPr>
            </w:pPr>
            <w:r w:rsidRPr="004C78D8">
              <w:rPr>
                <w:sz w:val="18"/>
                <w:szCs w:val="18"/>
              </w:rPr>
              <w:t>3.9521</w:t>
            </w:r>
          </w:p>
        </w:tc>
        <w:tc>
          <w:tcPr>
            <w:tcW w:w="998" w:type="pct"/>
            <w:tcBorders>
              <w:bottom w:val="nil"/>
            </w:tcBorders>
          </w:tcPr>
          <w:p w14:paraId="19505430" w14:textId="67919981" w:rsidR="00AB6B85" w:rsidRPr="004C78D8" w:rsidRDefault="00AB6B85" w:rsidP="00FB7C1F">
            <w:pPr>
              <w:jc w:val="left"/>
              <w:rPr>
                <w:sz w:val="18"/>
                <w:szCs w:val="18"/>
              </w:rPr>
            </w:pPr>
            <w:r w:rsidRPr="004C78D8">
              <w:rPr>
                <w:sz w:val="18"/>
                <w:szCs w:val="18"/>
              </w:rPr>
              <w:t>0.0337</w:t>
            </w:r>
          </w:p>
        </w:tc>
      </w:tr>
      <w:tr w:rsidR="00AB6B85" w:rsidRPr="004C78D8" w14:paraId="0FFF9811" w14:textId="77777777" w:rsidTr="00E35893">
        <w:tc>
          <w:tcPr>
            <w:tcW w:w="1875" w:type="pct"/>
            <w:tcBorders>
              <w:top w:val="nil"/>
              <w:bottom w:val="nil"/>
            </w:tcBorders>
          </w:tcPr>
          <w:p w14:paraId="1571A259" w14:textId="1C432DDB" w:rsidR="00AB6B85" w:rsidRPr="004C78D8" w:rsidRDefault="009021B4" w:rsidP="00FB7C1F">
            <w:pPr>
              <w:jc w:val="left"/>
              <w:rPr>
                <w:sz w:val="20"/>
                <w:szCs w:val="20"/>
              </w:rPr>
            </w:pPr>
            <w:r w:rsidRPr="004C78D8">
              <w:rPr>
                <w:sz w:val="20"/>
                <w:szCs w:val="20"/>
              </w:rPr>
              <w:t xml:space="preserve">Societal </w:t>
            </w:r>
            <w:r w:rsidR="00AB6B85" w:rsidRPr="004C78D8">
              <w:rPr>
                <w:sz w:val="20"/>
                <w:szCs w:val="20"/>
              </w:rPr>
              <w:t>Atkinson EDE NHB (</w:t>
            </w:r>
            <w:r w:rsidR="00AB6B85" w:rsidRPr="004C78D8">
              <w:rPr>
                <w:rFonts w:cs="Times New Roman"/>
                <w:sz w:val="20"/>
                <w:szCs w:val="20"/>
              </w:rPr>
              <w:t>ε</w:t>
            </w:r>
            <w:r w:rsidR="00AB6B85" w:rsidRPr="004C78D8">
              <w:rPr>
                <w:sz w:val="20"/>
                <w:szCs w:val="20"/>
              </w:rPr>
              <w:t>=5)</w:t>
            </w:r>
          </w:p>
        </w:tc>
        <w:tc>
          <w:tcPr>
            <w:tcW w:w="1036" w:type="pct"/>
            <w:tcBorders>
              <w:top w:val="nil"/>
              <w:bottom w:val="nil"/>
            </w:tcBorders>
          </w:tcPr>
          <w:p w14:paraId="436DE455" w14:textId="212A74A0" w:rsidR="00AB6B85" w:rsidRPr="004C78D8" w:rsidRDefault="00AB6B85" w:rsidP="00FB7C1F">
            <w:pPr>
              <w:jc w:val="left"/>
              <w:rPr>
                <w:sz w:val="18"/>
                <w:szCs w:val="18"/>
              </w:rPr>
            </w:pPr>
            <w:r w:rsidRPr="004C78D8">
              <w:rPr>
                <w:sz w:val="18"/>
                <w:szCs w:val="18"/>
              </w:rPr>
              <w:t>3.7365</w:t>
            </w:r>
          </w:p>
        </w:tc>
        <w:tc>
          <w:tcPr>
            <w:tcW w:w="1091" w:type="pct"/>
            <w:tcBorders>
              <w:top w:val="nil"/>
              <w:bottom w:val="nil"/>
            </w:tcBorders>
          </w:tcPr>
          <w:p w14:paraId="69DD6CF7" w14:textId="59AD3521" w:rsidR="00AB6B85" w:rsidRPr="004C78D8" w:rsidRDefault="00AB6B85" w:rsidP="00FB7C1F">
            <w:pPr>
              <w:jc w:val="left"/>
              <w:rPr>
                <w:sz w:val="18"/>
                <w:szCs w:val="18"/>
              </w:rPr>
            </w:pPr>
            <w:r w:rsidRPr="004C78D8">
              <w:rPr>
                <w:sz w:val="18"/>
                <w:szCs w:val="18"/>
              </w:rPr>
              <w:t>3.7722</w:t>
            </w:r>
          </w:p>
        </w:tc>
        <w:tc>
          <w:tcPr>
            <w:tcW w:w="998" w:type="pct"/>
            <w:tcBorders>
              <w:top w:val="nil"/>
              <w:bottom w:val="nil"/>
            </w:tcBorders>
          </w:tcPr>
          <w:p w14:paraId="6EAA22A2" w14:textId="6BC4D194" w:rsidR="00AB6B85" w:rsidRPr="004C78D8" w:rsidRDefault="00AB6B85" w:rsidP="00FB7C1F">
            <w:pPr>
              <w:jc w:val="left"/>
              <w:rPr>
                <w:sz w:val="18"/>
                <w:szCs w:val="18"/>
              </w:rPr>
            </w:pPr>
            <w:r w:rsidRPr="004C78D8">
              <w:rPr>
                <w:sz w:val="18"/>
                <w:szCs w:val="18"/>
              </w:rPr>
              <w:t>0.0357</w:t>
            </w:r>
          </w:p>
        </w:tc>
      </w:tr>
      <w:tr w:rsidR="00AB6B85" w:rsidRPr="004C78D8" w14:paraId="7A402E62" w14:textId="39BA6278" w:rsidTr="00E35893">
        <w:tc>
          <w:tcPr>
            <w:tcW w:w="1875" w:type="pct"/>
            <w:tcBorders>
              <w:top w:val="nil"/>
              <w:bottom w:val="nil"/>
            </w:tcBorders>
          </w:tcPr>
          <w:p w14:paraId="616D54BB" w14:textId="345F16C1" w:rsidR="00AB6B85" w:rsidRPr="004C78D8" w:rsidRDefault="009021B4" w:rsidP="00FB7C1F">
            <w:pPr>
              <w:jc w:val="left"/>
              <w:rPr>
                <w:sz w:val="20"/>
                <w:szCs w:val="20"/>
              </w:rPr>
            </w:pPr>
            <w:r w:rsidRPr="004C78D8">
              <w:rPr>
                <w:sz w:val="20"/>
                <w:szCs w:val="20"/>
              </w:rPr>
              <w:t xml:space="preserve">Societal </w:t>
            </w:r>
            <w:r w:rsidR="00AB6B85" w:rsidRPr="004C78D8">
              <w:rPr>
                <w:sz w:val="20"/>
                <w:szCs w:val="20"/>
              </w:rPr>
              <w:t>Atkinson EDE NHB (</w:t>
            </w:r>
            <w:bookmarkStart w:id="187" w:name="_Hlk85311054"/>
            <w:r w:rsidR="00AB6B85" w:rsidRPr="004C78D8">
              <w:rPr>
                <w:rFonts w:cs="Times New Roman"/>
                <w:sz w:val="20"/>
                <w:szCs w:val="20"/>
              </w:rPr>
              <w:t>ε</w:t>
            </w:r>
            <w:bookmarkEnd w:id="187"/>
            <w:r w:rsidR="00AB6B85" w:rsidRPr="004C78D8">
              <w:rPr>
                <w:sz w:val="20"/>
                <w:szCs w:val="20"/>
              </w:rPr>
              <w:t>=11)</w:t>
            </w:r>
          </w:p>
        </w:tc>
        <w:tc>
          <w:tcPr>
            <w:tcW w:w="1036" w:type="pct"/>
            <w:tcBorders>
              <w:top w:val="nil"/>
              <w:bottom w:val="nil"/>
            </w:tcBorders>
          </w:tcPr>
          <w:p w14:paraId="3A586F63" w14:textId="3723B715" w:rsidR="00AB6B85" w:rsidRPr="004C78D8" w:rsidRDefault="00AB6B85" w:rsidP="00FB7C1F">
            <w:pPr>
              <w:jc w:val="left"/>
              <w:rPr>
                <w:sz w:val="18"/>
                <w:szCs w:val="18"/>
              </w:rPr>
            </w:pPr>
            <w:r w:rsidRPr="004C78D8">
              <w:rPr>
                <w:sz w:val="18"/>
                <w:szCs w:val="18"/>
              </w:rPr>
              <w:t>3.3627</w:t>
            </w:r>
          </w:p>
        </w:tc>
        <w:tc>
          <w:tcPr>
            <w:tcW w:w="1091" w:type="pct"/>
            <w:tcBorders>
              <w:top w:val="nil"/>
              <w:bottom w:val="nil"/>
            </w:tcBorders>
          </w:tcPr>
          <w:p w14:paraId="6DB6008E" w14:textId="7F8CBAAE" w:rsidR="00AB6B85" w:rsidRPr="004C78D8" w:rsidRDefault="00AB6B85" w:rsidP="00FB7C1F">
            <w:pPr>
              <w:jc w:val="left"/>
              <w:rPr>
                <w:sz w:val="18"/>
                <w:szCs w:val="18"/>
              </w:rPr>
            </w:pPr>
            <w:r w:rsidRPr="004C78D8">
              <w:rPr>
                <w:sz w:val="18"/>
                <w:szCs w:val="18"/>
              </w:rPr>
              <w:t>3.3994</w:t>
            </w:r>
          </w:p>
        </w:tc>
        <w:tc>
          <w:tcPr>
            <w:tcW w:w="998" w:type="pct"/>
            <w:tcBorders>
              <w:top w:val="nil"/>
              <w:bottom w:val="nil"/>
            </w:tcBorders>
          </w:tcPr>
          <w:p w14:paraId="3E6075CD" w14:textId="1497B4C7" w:rsidR="00AB6B85" w:rsidRPr="004C78D8" w:rsidRDefault="00AB6B85" w:rsidP="00FB7C1F">
            <w:pPr>
              <w:jc w:val="left"/>
              <w:rPr>
                <w:sz w:val="18"/>
                <w:szCs w:val="18"/>
              </w:rPr>
            </w:pPr>
            <w:r w:rsidRPr="004C78D8">
              <w:rPr>
                <w:sz w:val="18"/>
                <w:szCs w:val="18"/>
              </w:rPr>
              <w:t>0.0367</w:t>
            </w:r>
          </w:p>
        </w:tc>
      </w:tr>
      <w:tr w:rsidR="00AB6B85" w:rsidRPr="004C78D8" w14:paraId="2D3F4465" w14:textId="15941C02" w:rsidTr="00E35893">
        <w:tc>
          <w:tcPr>
            <w:tcW w:w="1875" w:type="pct"/>
            <w:tcBorders>
              <w:top w:val="nil"/>
              <w:bottom w:val="single" w:sz="4" w:space="0" w:color="auto"/>
            </w:tcBorders>
          </w:tcPr>
          <w:p w14:paraId="05627973" w14:textId="6AD3D482" w:rsidR="00AB6B85" w:rsidRPr="004C78D8" w:rsidRDefault="009021B4" w:rsidP="00FB7C1F">
            <w:pPr>
              <w:jc w:val="left"/>
              <w:rPr>
                <w:sz w:val="20"/>
                <w:szCs w:val="20"/>
              </w:rPr>
            </w:pPr>
            <w:r w:rsidRPr="004C78D8">
              <w:rPr>
                <w:sz w:val="20"/>
                <w:szCs w:val="20"/>
              </w:rPr>
              <w:t xml:space="preserve">Societal </w:t>
            </w:r>
            <w:r w:rsidR="00AB6B85" w:rsidRPr="004C78D8">
              <w:rPr>
                <w:sz w:val="20"/>
                <w:szCs w:val="20"/>
              </w:rPr>
              <w:t>Atkinson EDE NHB (</w:t>
            </w:r>
            <w:r w:rsidR="00AB6B85" w:rsidRPr="004C78D8">
              <w:rPr>
                <w:rFonts w:cs="Times New Roman"/>
                <w:sz w:val="20"/>
                <w:szCs w:val="20"/>
              </w:rPr>
              <w:t>ε</w:t>
            </w:r>
            <w:r w:rsidR="00AB6B85" w:rsidRPr="004C78D8">
              <w:rPr>
                <w:sz w:val="20"/>
                <w:szCs w:val="20"/>
              </w:rPr>
              <w:t>=30)</w:t>
            </w:r>
          </w:p>
        </w:tc>
        <w:tc>
          <w:tcPr>
            <w:tcW w:w="1036" w:type="pct"/>
            <w:tcBorders>
              <w:top w:val="nil"/>
              <w:bottom w:val="single" w:sz="4" w:space="0" w:color="auto"/>
            </w:tcBorders>
          </w:tcPr>
          <w:p w14:paraId="2DD9E5FA" w14:textId="53666ABC" w:rsidR="00AB6B85" w:rsidRPr="004C78D8" w:rsidRDefault="00AB6B85" w:rsidP="00FB7C1F">
            <w:pPr>
              <w:jc w:val="left"/>
              <w:rPr>
                <w:sz w:val="18"/>
                <w:szCs w:val="18"/>
              </w:rPr>
            </w:pPr>
            <w:r w:rsidRPr="004C78D8">
              <w:rPr>
                <w:sz w:val="18"/>
                <w:szCs w:val="18"/>
              </w:rPr>
              <w:t>3.0846</w:t>
            </w:r>
          </w:p>
        </w:tc>
        <w:tc>
          <w:tcPr>
            <w:tcW w:w="1091" w:type="pct"/>
            <w:tcBorders>
              <w:top w:val="nil"/>
              <w:bottom w:val="single" w:sz="4" w:space="0" w:color="auto"/>
            </w:tcBorders>
          </w:tcPr>
          <w:p w14:paraId="1B588050" w14:textId="3C4F267C" w:rsidR="00AB6B85" w:rsidRPr="004C78D8" w:rsidRDefault="00AB6B85" w:rsidP="00FB7C1F">
            <w:pPr>
              <w:jc w:val="left"/>
              <w:rPr>
                <w:sz w:val="18"/>
                <w:szCs w:val="18"/>
              </w:rPr>
            </w:pPr>
            <w:r w:rsidRPr="004C78D8">
              <w:rPr>
                <w:sz w:val="18"/>
                <w:szCs w:val="18"/>
              </w:rPr>
              <w:t>3.1189</w:t>
            </w:r>
          </w:p>
        </w:tc>
        <w:tc>
          <w:tcPr>
            <w:tcW w:w="998" w:type="pct"/>
            <w:tcBorders>
              <w:top w:val="nil"/>
              <w:bottom w:val="single" w:sz="4" w:space="0" w:color="auto"/>
            </w:tcBorders>
          </w:tcPr>
          <w:p w14:paraId="6E0326BB" w14:textId="4163162F" w:rsidR="00AB6B85" w:rsidRPr="004C78D8" w:rsidRDefault="00AB6B85" w:rsidP="00FB7C1F">
            <w:pPr>
              <w:jc w:val="left"/>
              <w:rPr>
                <w:sz w:val="18"/>
                <w:szCs w:val="18"/>
              </w:rPr>
            </w:pPr>
            <w:r w:rsidRPr="004C78D8">
              <w:rPr>
                <w:sz w:val="18"/>
                <w:szCs w:val="18"/>
              </w:rPr>
              <w:t>0.0343</w:t>
            </w:r>
          </w:p>
        </w:tc>
      </w:tr>
      <w:tr w:rsidR="00AB6B85" w:rsidRPr="004C78D8" w14:paraId="62F9A417" w14:textId="77777777" w:rsidTr="00E35893">
        <w:tc>
          <w:tcPr>
            <w:tcW w:w="1875" w:type="pct"/>
            <w:tcBorders>
              <w:bottom w:val="nil"/>
            </w:tcBorders>
          </w:tcPr>
          <w:p w14:paraId="0EB0C8A6" w14:textId="38E00218" w:rsidR="00AB6B85" w:rsidRPr="004C78D8" w:rsidRDefault="009021B4" w:rsidP="00FB7C1F">
            <w:pPr>
              <w:jc w:val="left"/>
              <w:rPr>
                <w:sz w:val="20"/>
                <w:szCs w:val="20"/>
              </w:rPr>
            </w:pPr>
            <w:r w:rsidRPr="004C78D8">
              <w:rPr>
                <w:sz w:val="20"/>
                <w:szCs w:val="20"/>
              </w:rPr>
              <w:t xml:space="preserve">Societal </w:t>
            </w:r>
            <w:r w:rsidR="00AB6B85" w:rsidRPr="004C78D8">
              <w:rPr>
                <w:sz w:val="20"/>
                <w:szCs w:val="20"/>
              </w:rPr>
              <w:t>Kolm EDE NHB (</w:t>
            </w:r>
            <w:r w:rsidR="00AB6B85" w:rsidRPr="004C78D8">
              <w:rPr>
                <w:rFonts w:cs="Times New Roman"/>
                <w:sz w:val="20"/>
                <w:szCs w:val="20"/>
              </w:rPr>
              <w:t>α</w:t>
            </w:r>
            <w:r w:rsidR="00AB6B85" w:rsidRPr="004C78D8">
              <w:rPr>
                <w:sz w:val="20"/>
                <w:szCs w:val="20"/>
              </w:rPr>
              <w:t>=0.025)</w:t>
            </w:r>
            <w:r w:rsidR="003B0A93" w:rsidRPr="004C78D8">
              <w:rPr>
                <w:sz w:val="20"/>
                <w:szCs w:val="20"/>
                <w:vertAlign w:val="superscript"/>
              </w:rPr>
              <w:t>3</w:t>
            </w:r>
          </w:p>
        </w:tc>
        <w:tc>
          <w:tcPr>
            <w:tcW w:w="1036" w:type="pct"/>
            <w:tcBorders>
              <w:bottom w:val="nil"/>
            </w:tcBorders>
          </w:tcPr>
          <w:p w14:paraId="2F0E40CD" w14:textId="2ADE84A9" w:rsidR="00AB6B85" w:rsidRPr="004C78D8" w:rsidRDefault="00AB6B85" w:rsidP="00FB7C1F">
            <w:pPr>
              <w:jc w:val="left"/>
              <w:rPr>
                <w:sz w:val="18"/>
                <w:szCs w:val="18"/>
              </w:rPr>
            </w:pPr>
            <w:r w:rsidRPr="004C78D8">
              <w:rPr>
                <w:sz w:val="18"/>
                <w:szCs w:val="18"/>
              </w:rPr>
              <w:t>4.1698</w:t>
            </w:r>
          </w:p>
        </w:tc>
        <w:tc>
          <w:tcPr>
            <w:tcW w:w="1091" w:type="pct"/>
            <w:tcBorders>
              <w:bottom w:val="nil"/>
            </w:tcBorders>
          </w:tcPr>
          <w:p w14:paraId="50D8D0AA" w14:textId="0C9585F3" w:rsidR="00AB6B85" w:rsidRPr="004C78D8" w:rsidRDefault="00AB6B85" w:rsidP="00FB7C1F">
            <w:pPr>
              <w:jc w:val="left"/>
              <w:rPr>
                <w:sz w:val="18"/>
                <w:szCs w:val="18"/>
              </w:rPr>
            </w:pPr>
            <w:r w:rsidRPr="004C78D8">
              <w:rPr>
                <w:sz w:val="18"/>
                <w:szCs w:val="18"/>
              </w:rPr>
              <w:t>4.2005</w:t>
            </w:r>
          </w:p>
        </w:tc>
        <w:tc>
          <w:tcPr>
            <w:tcW w:w="998" w:type="pct"/>
            <w:tcBorders>
              <w:bottom w:val="nil"/>
            </w:tcBorders>
          </w:tcPr>
          <w:p w14:paraId="28C9DB95" w14:textId="46C309D4" w:rsidR="00AB6B85" w:rsidRPr="004C78D8" w:rsidRDefault="00AB6B85" w:rsidP="00FB7C1F">
            <w:pPr>
              <w:jc w:val="left"/>
              <w:rPr>
                <w:sz w:val="18"/>
                <w:szCs w:val="18"/>
              </w:rPr>
            </w:pPr>
            <w:r w:rsidRPr="004C78D8">
              <w:rPr>
                <w:sz w:val="18"/>
                <w:szCs w:val="18"/>
              </w:rPr>
              <w:t>0.0307</w:t>
            </w:r>
          </w:p>
        </w:tc>
      </w:tr>
      <w:tr w:rsidR="00AB6B85" w:rsidRPr="004C78D8" w14:paraId="6081632C" w14:textId="77777777" w:rsidTr="00E35893">
        <w:tc>
          <w:tcPr>
            <w:tcW w:w="1875" w:type="pct"/>
            <w:tcBorders>
              <w:top w:val="nil"/>
              <w:bottom w:val="nil"/>
            </w:tcBorders>
          </w:tcPr>
          <w:p w14:paraId="694741BC" w14:textId="2FB81AF8" w:rsidR="00AB6B85" w:rsidRPr="004C78D8" w:rsidRDefault="009021B4" w:rsidP="00FB7C1F">
            <w:pPr>
              <w:jc w:val="left"/>
              <w:rPr>
                <w:sz w:val="20"/>
                <w:szCs w:val="20"/>
              </w:rPr>
            </w:pPr>
            <w:r w:rsidRPr="004C78D8">
              <w:rPr>
                <w:sz w:val="20"/>
                <w:szCs w:val="20"/>
              </w:rPr>
              <w:t xml:space="preserve">Societal </w:t>
            </w:r>
            <w:r w:rsidR="00AB6B85" w:rsidRPr="004C78D8">
              <w:rPr>
                <w:sz w:val="20"/>
                <w:szCs w:val="20"/>
              </w:rPr>
              <w:t>Kolm EDE NHB (</w:t>
            </w:r>
            <w:r w:rsidR="00AB6B85" w:rsidRPr="004C78D8">
              <w:rPr>
                <w:rFonts w:cs="Times New Roman"/>
                <w:sz w:val="20"/>
                <w:szCs w:val="20"/>
              </w:rPr>
              <w:t>α</w:t>
            </w:r>
            <w:r w:rsidR="00AB6B85" w:rsidRPr="004C78D8">
              <w:rPr>
                <w:sz w:val="20"/>
                <w:szCs w:val="20"/>
              </w:rPr>
              <w:t>=0.05)</w:t>
            </w:r>
          </w:p>
        </w:tc>
        <w:tc>
          <w:tcPr>
            <w:tcW w:w="1036" w:type="pct"/>
            <w:tcBorders>
              <w:top w:val="nil"/>
              <w:bottom w:val="nil"/>
            </w:tcBorders>
          </w:tcPr>
          <w:p w14:paraId="6DB1A90E" w14:textId="6C485979" w:rsidR="00AB6B85" w:rsidRPr="004C78D8" w:rsidRDefault="00AB6B85" w:rsidP="00FB7C1F">
            <w:pPr>
              <w:jc w:val="left"/>
              <w:rPr>
                <w:sz w:val="18"/>
                <w:szCs w:val="18"/>
              </w:rPr>
            </w:pPr>
            <w:r w:rsidRPr="004C78D8">
              <w:rPr>
                <w:sz w:val="18"/>
                <w:szCs w:val="18"/>
              </w:rPr>
              <w:t>4.1622</w:t>
            </w:r>
          </w:p>
        </w:tc>
        <w:tc>
          <w:tcPr>
            <w:tcW w:w="1091" w:type="pct"/>
            <w:tcBorders>
              <w:top w:val="nil"/>
              <w:bottom w:val="nil"/>
            </w:tcBorders>
          </w:tcPr>
          <w:p w14:paraId="53AF5D2B" w14:textId="699DD577" w:rsidR="00AB6B85" w:rsidRPr="004C78D8" w:rsidRDefault="00AB6B85" w:rsidP="00FB7C1F">
            <w:pPr>
              <w:jc w:val="left"/>
              <w:rPr>
                <w:sz w:val="18"/>
                <w:szCs w:val="18"/>
              </w:rPr>
            </w:pPr>
            <w:r w:rsidRPr="004C78D8">
              <w:rPr>
                <w:sz w:val="18"/>
                <w:szCs w:val="18"/>
              </w:rPr>
              <w:t>4.1929</w:t>
            </w:r>
          </w:p>
        </w:tc>
        <w:tc>
          <w:tcPr>
            <w:tcW w:w="998" w:type="pct"/>
            <w:tcBorders>
              <w:top w:val="nil"/>
              <w:bottom w:val="nil"/>
            </w:tcBorders>
          </w:tcPr>
          <w:p w14:paraId="099627CC" w14:textId="640B554D" w:rsidR="00AB6B85" w:rsidRPr="004C78D8" w:rsidRDefault="00AB6B85" w:rsidP="00FB7C1F">
            <w:pPr>
              <w:jc w:val="left"/>
              <w:rPr>
                <w:sz w:val="18"/>
                <w:szCs w:val="18"/>
              </w:rPr>
            </w:pPr>
            <w:r w:rsidRPr="004C78D8">
              <w:rPr>
                <w:sz w:val="18"/>
                <w:szCs w:val="18"/>
              </w:rPr>
              <w:t>0.0307</w:t>
            </w:r>
          </w:p>
        </w:tc>
      </w:tr>
      <w:tr w:rsidR="00AB6B85" w:rsidRPr="004C78D8" w14:paraId="0AD3A7BB" w14:textId="77777777" w:rsidTr="00E35893">
        <w:tc>
          <w:tcPr>
            <w:tcW w:w="1875" w:type="pct"/>
            <w:tcBorders>
              <w:top w:val="nil"/>
              <w:bottom w:val="nil"/>
            </w:tcBorders>
          </w:tcPr>
          <w:p w14:paraId="40556F7D" w14:textId="05227DF0" w:rsidR="00AB6B85" w:rsidRPr="004C78D8" w:rsidRDefault="009021B4" w:rsidP="00FB7C1F">
            <w:pPr>
              <w:jc w:val="left"/>
              <w:rPr>
                <w:sz w:val="20"/>
                <w:szCs w:val="20"/>
              </w:rPr>
            </w:pPr>
            <w:r w:rsidRPr="004C78D8">
              <w:rPr>
                <w:sz w:val="20"/>
                <w:szCs w:val="20"/>
              </w:rPr>
              <w:t xml:space="preserve">Societal </w:t>
            </w:r>
            <w:r w:rsidR="00AB6B85" w:rsidRPr="004C78D8">
              <w:rPr>
                <w:sz w:val="20"/>
                <w:szCs w:val="20"/>
              </w:rPr>
              <w:t>Kolm EDE NHB (</w:t>
            </w:r>
            <w:r w:rsidR="00AB6B85" w:rsidRPr="004C78D8">
              <w:rPr>
                <w:rFonts w:cs="Times New Roman"/>
                <w:sz w:val="20"/>
                <w:szCs w:val="20"/>
              </w:rPr>
              <w:t>α</w:t>
            </w:r>
            <w:r w:rsidR="00AB6B85" w:rsidRPr="004C78D8">
              <w:rPr>
                <w:sz w:val="20"/>
                <w:szCs w:val="20"/>
              </w:rPr>
              <w:t>=0.15)</w:t>
            </w:r>
          </w:p>
        </w:tc>
        <w:tc>
          <w:tcPr>
            <w:tcW w:w="1036" w:type="pct"/>
            <w:tcBorders>
              <w:top w:val="nil"/>
              <w:bottom w:val="nil"/>
            </w:tcBorders>
          </w:tcPr>
          <w:p w14:paraId="28A2F523" w14:textId="5F83844E" w:rsidR="00AB6B85" w:rsidRPr="004C78D8" w:rsidRDefault="00AB6B85" w:rsidP="00FB7C1F">
            <w:pPr>
              <w:jc w:val="left"/>
              <w:rPr>
                <w:sz w:val="18"/>
                <w:szCs w:val="18"/>
              </w:rPr>
            </w:pPr>
            <w:r w:rsidRPr="004C78D8">
              <w:rPr>
                <w:sz w:val="18"/>
                <w:szCs w:val="18"/>
              </w:rPr>
              <w:t>4.1311</w:t>
            </w:r>
          </w:p>
        </w:tc>
        <w:tc>
          <w:tcPr>
            <w:tcW w:w="1091" w:type="pct"/>
            <w:tcBorders>
              <w:top w:val="nil"/>
              <w:bottom w:val="nil"/>
            </w:tcBorders>
          </w:tcPr>
          <w:p w14:paraId="0EA31AAE" w14:textId="2F187D81" w:rsidR="00AB6B85" w:rsidRPr="004C78D8" w:rsidRDefault="00AB6B85" w:rsidP="00FB7C1F">
            <w:pPr>
              <w:jc w:val="left"/>
              <w:rPr>
                <w:sz w:val="18"/>
                <w:szCs w:val="18"/>
              </w:rPr>
            </w:pPr>
            <w:r w:rsidRPr="004C78D8">
              <w:rPr>
                <w:sz w:val="18"/>
                <w:szCs w:val="18"/>
              </w:rPr>
              <w:t>4.1618</w:t>
            </w:r>
          </w:p>
        </w:tc>
        <w:tc>
          <w:tcPr>
            <w:tcW w:w="998" w:type="pct"/>
            <w:tcBorders>
              <w:top w:val="nil"/>
              <w:bottom w:val="nil"/>
            </w:tcBorders>
          </w:tcPr>
          <w:p w14:paraId="22434C52" w14:textId="0E71C317" w:rsidR="00AB6B85" w:rsidRPr="004C78D8" w:rsidRDefault="00AB6B85" w:rsidP="00FB7C1F">
            <w:pPr>
              <w:jc w:val="left"/>
              <w:rPr>
                <w:sz w:val="18"/>
                <w:szCs w:val="18"/>
              </w:rPr>
            </w:pPr>
            <w:r w:rsidRPr="004C78D8">
              <w:rPr>
                <w:sz w:val="18"/>
                <w:szCs w:val="18"/>
              </w:rPr>
              <w:t>0.0308</w:t>
            </w:r>
          </w:p>
        </w:tc>
      </w:tr>
      <w:tr w:rsidR="00AB6B85" w:rsidRPr="004C78D8" w14:paraId="413A686A" w14:textId="09F1C202" w:rsidTr="00E35893">
        <w:tc>
          <w:tcPr>
            <w:tcW w:w="1875" w:type="pct"/>
            <w:tcBorders>
              <w:top w:val="nil"/>
            </w:tcBorders>
          </w:tcPr>
          <w:p w14:paraId="0B406DE6" w14:textId="2DB9FCB0" w:rsidR="00AB6B85" w:rsidRPr="004C78D8" w:rsidRDefault="009021B4" w:rsidP="00FB7C1F">
            <w:pPr>
              <w:jc w:val="left"/>
              <w:rPr>
                <w:sz w:val="20"/>
                <w:szCs w:val="20"/>
              </w:rPr>
            </w:pPr>
            <w:r w:rsidRPr="004C78D8">
              <w:rPr>
                <w:sz w:val="20"/>
                <w:szCs w:val="20"/>
              </w:rPr>
              <w:t xml:space="preserve">Societal </w:t>
            </w:r>
            <w:r w:rsidR="00AB6B85" w:rsidRPr="004C78D8">
              <w:rPr>
                <w:sz w:val="20"/>
                <w:szCs w:val="20"/>
              </w:rPr>
              <w:t>Kolm EDE NHB (</w:t>
            </w:r>
            <w:r w:rsidR="00AB6B85" w:rsidRPr="004C78D8">
              <w:rPr>
                <w:rFonts w:cs="Times New Roman"/>
                <w:sz w:val="20"/>
                <w:szCs w:val="20"/>
              </w:rPr>
              <w:t>α</w:t>
            </w:r>
            <w:r w:rsidR="00AB6B85" w:rsidRPr="004C78D8">
              <w:rPr>
                <w:sz w:val="20"/>
                <w:szCs w:val="20"/>
              </w:rPr>
              <w:t>=0.5)</w:t>
            </w:r>
          </w:p>
        </w:tc>
        <w:tc>
          <w:tcPr>
            <w:tcW w:w="1036" w:type="pct"/>
            <w:tcBorders>
              <w:top w:val="nil"/>
            </w:tcBorders>
          </w:tcPr>
          <w:p w14:paraId="41C4D39E" w14:textId="7FEF997D" w:rsidR="00AB6B85" w:rsidRPr="004C78D8" w:rsidRDefault="00AB6B85" w:rsidP="00FB7C1F">
            <w:pPr>
              <w:jc w:val="left"/>
              <w:rPr>
                <w:sz w:val="18"/>
                <w:szCs w:val="18"/>
              </w:rPr>
            </w:pPr>
            <w:r w:rsidRPr="004C78D8">
              <w:rPr>
                <w:sz w:val="18"/>
                <w:szCs w:val="18"/>
              </w:rPr>
              <w:t>4.0167</w:t>
            </w:r>
          </w:p>
        </w:tc>
        <w:tc>
          <w:tcPr>
            <w:tcW w:w="1091" w:type="pct"/>
            <w:tcBorders>
              <w:top w:val="nil"/>
            </w:tcBorders>
          </w:tcPr>
          <w:p w14:paraId="36F71DAE" w14:textId="2B47945A" w:rsidR="00AB6B85" w:rsidRPr="004C78D8" w:rsidRDefault="00AB6B85" w:rsidP="00FB7C1F">
            <w:pPr>
              <w:jc w:val="left"/>
              <w:rPr>
                <w:sz w:val="18"/>
                <w:szCs w:val="18"/>
              </w:rPr>
            </w:pPr>
            <w:r w:rsidRPr="004C78D8">
              <w:rPr>
                <w:sz w:val="18"/>
                <w:szCs w:val="18"/>
              </w:rPr>
              <w:t>4.0478</w:t>
            </w:r>
          </w:p>
        </w:tc>
        <w:tc>
          <w:tcPr>
            <w:tcW w:w="998" w:type="pct"/>
            <w:tcBorders>
              <w:top w:val="nil"/>
            </w:tcBorders>
          </w:tcPr>
          <w:p w14:paraId="1AAC73C3" w14:textId="17506099" w:rsidR="00AB6B85" w:rsidRPr="004C78D8" w:rsidRDefault="00AB6B85" w:rsidP="00FB7C1F">
            <w:pPr>
              <w:jc w:val="left"/>
              <w:rPr>
                <w:sz w:val="18"/>
                <w:szCs w:val="18"/>
              </w:rPr>
            </w:pPr>
            <w:r w:rsidRPr="004C78D8">
              <w:rPr>
                <w:sz w:val="18"/>
                <w:szCs w:val="18"/>
              </w:rPr>
              <w:t>0.0311</w:t>
            </w:r>
          </w:p>
        </w:tc>
      </w:tr>
      <w:tr w:rsidR="00AB6B85" w:rsidRPr="004C78D8" w14:paraId="3057AD07" w14:textId="64E1B9AF" w:rsidTr="00E35893">
        <w:tc>
          <w:tcPr>
            <w:tcW w:w="5000" w:type="pct"/>
            <w:gridSpan w:val="4"/>
          </w:tcPr>
          <w:p w14:paraId="13A4F00B" w14:textId="4848D579" w:rsidR="00AB6B85" w:rsidRPr="004C78D8" w:rsidRDefault="00AB6B85" w:rsidP="00FB7C1F">
            <w:pPr>
              <w:rPr>
                <w:sz w:val="18"/>
                <w:szCs w:val="18"/>
              </w:rPr>
            </w:pPr>
            <w:r w:rsidRPr="004C78D8">
              <w:rPr>
                <w:b/>
                <w:bCs/>
                <w:sz w:val="18"/>
                <w:szCs w:val="18"/>
              </w:rPr>
              <w:t>Abbreviation:</w:t>
            </w:r>
            <w:r w:rsidRPr="004C78D8">
              <w:rPr>
                <w:sz w:val="18"/>
                <w:szCs w:val="18"/>
              </w:rPr>
              <w:t xml:space="preserve"> EDE: equally distributed equivalent; NHB: net health benefit; QALY: quality-adjusted life year; SES: socioeconomic status</w:t>
            </w:r>
          </w:p>
          <w:p w14:paraId="39999E87" w14:textId="7EA0E8ED" w:rsidR="00AB6B85" w:rsidRPr="004C78D8" w:rsidRDefault="00AB6B85" w:rsidP="00FB7C1F">
            <w:pPr>
              <w:rPr>
                <w:sz w:val="18"/>
                <w:szCs w:val="18"/>
              </w:rPr>
            </w:pPr>
            <w:r w:rsidRPr="004C78D8">
              <w:rPr>
                <w:sz w:val="18"/>
                <w:szCs w:val="18"/>
                <w:vertAlign w:val="superscript"/>
              </w:rPr>
              <w:t>1</w:t>
            </w:r>
            <w:r w:rsidRPr="004C78D8">
              <w:rPr>
                <w:sz w:val="18"/>
                <w:szCs w:val="18"/>
              </w:rPr>
              <w:t xml:space="preserve"> The societal NHB incorporates QALY gain and QALY-equivalent net societal gain minus public sector opportunity costs</w:t>
            </w:r>
            <w:r w:rsidR="004B667E" w:rsidRPr="004C78D8">
              <w:rPr>
                <w:sz w:val="18"/>
                <w:szCs w:val="18"/>
              </w:rPr>
              <w:t xml:space="preserve"> (translated to QALY-equivalent using cost-effectiveness threshold of £30,000 per QALY gain</w:t>
            </w:r>
            <w:r w:rsidR="009F4A79" w:rsidRPr="004C78D8">
              <w:rPr>
                <w:sz w:val="18"/>
                <w:szCs w:val="18"/>
              </w:rPr>
              <w:t>ed</w:t>
            </w:r>
            <w:r w:rsidR="004B667E" w:rsidRPr="004C78D8">
              <w:rPr>
                <w:sz w:val="18"/>
                <w:szCs w:val="18"/>
              </w:rPr>
              <w:t>)</w:t>
            </w:r>
            <w:r w:rsidRPr="004C78D8">
              <w:rPr>
                <w:sz w:val="18"/>
                <w:szCs w:val="18"/>
              </w:rPr>
              <w:t xml:space="preserve"> </w:t>
            </w:r>
            <w:r w:rsidR="004B667E" w:rsidRPr="004C78D8">
              <w:rPr>
                <w:sz w:val="18"/>
                <w:szCs w:val="18"/>
              </w:rPr>
              <w:t>for each</w:t>
            </w:r>
            <w:r w:rsidRPr="004C78D8">
              <w:rPr>
                <w:sz w:val="18"/>
                <w:szCs w:val="18"/>
              </w:rPr>
              <w:t xml:space="preserve"> SES quartile. To account for the differing sizes of SES subgroups, per-capita (i.e., average) societal NHBs were computed for each subgroup. The unweighted mean of the subgroup averages was then computed, effectively treating the subgroups as of equal size. When the Atkinson ε relative inequality aversion parameter is set to zero, the Atkinson EDE NHB equals the NHB </w:t>
            </w:r>
            <w:r w:rsidRPr="004C78D8">
              <w:rPr>
                <w:sz w:val="18"/>
                <w:szCs w:val="18"/>
              </w:rPr>
              <w:fldChar w:fldCharType="begin"/>
            </w:r>
            <w:r w:rsidR="00513646" w:rsidRPr="004C78D8">
              <w:rPr>
                <w:sz w:val="18"/>
                <w:szCs w:val="18"/>
              </w:rPr>
              <w:instrText xml:space="preserve"> ADDIN EN.CITE &lt;EndNote&gt;&lt;Cite&gt;&lt;Author&gt;Asaria&lt;/Author&gt;&lt;Year&gt;2016&lt;/Year&gt;&lt;RecNum&gt;361&lt;/RecNum&gt;&lt;DisplayText&gt;[109]&lt;/DisplayText&gt;&lt;record&gt;&lt;rec-number&gt;361&lt;/rec-number&gt;&lt;foreign-keys&gt;&lt;key app="EN" db-id="tdtrdw9aepptzbefsat599syza29sxsd2wsp" timestamp="1612265402"&gt;361&lt;/key&gt;&lt;/foreign-keys&gt;&lt;ref-type name="Journal Article"&gt;17&lt;/ref-type&gt;&lt;contributors&gt;&lt;authors&gt;&lt;author&gt;Asaria, Miqdad&lt;/author&gt;&lt;author&gt;Griffin, Susan&lt;/author&gt;&lt;author&gt;Cookson, Richard&lt;/author&gt;&lt;/authors&gt;&lt;/contributors&gt;&lt;titles&gt;&lt;title&gt;Distributional Cost-Effectiveness Analysis: A Tutorial&lt;/title&gt;&lt;secondary-title&gt;Medical decision making&lt;/secondary-title&gt;&lt;/titles&gt;&lt;periodical&gt;&lt;full-title&gt;Medical Decision Making&lt;/full-title&gt;&lt;/periodical&gt;&lt;pages&gt;8-19&lt;/pages&gt;&lt;volume&gt;36&lt;/volume&gt;&lt;number&gt;1&lt;/number&gt;&lt;keywords&gt;&lt;keyword&gt;cost-effectiveness analysis&lt;/keyword&gt;&lt;keyword&gt;economic evaluation&lt;/keyword&gt;&lt;keyword&gt;efficiency&lt;/keyword&gt;&lt;keyword&gt;equality&lt;/keyword&gt;&lt;keyword&gt;equity&lt;/keyword&gt;&lt;keyword&gt;fairness&lt;/keyword&gt;&lt;keyword&gt;health distribution&lt;/keyword&gt;&lt;keyword&gt;health inequality&lt;/keyword&gt;&lt;keyword&gt;inequality measures&lt;/keyword&gt;&lt;keyword&gt;opportunity cost&lt;/keyword&gt;&lt;keyword&gt;social value judgments&lt;/keyword&gt;&lt;keyword&gt;social welfare functions&lt;/keyword&gt;&lt;keyword&gt;tradeoff&lt;/keyword&gt;&lt;/keywords&gt;&lt;dates&gt;&lt;year&gt;2016&lt;/year&gt;&lt;pub-dates&gt;&lt;date&gt;1/1&lt;/date&gt;&lt;/pub-dates&gt;&lt;/dates&gt;&lt;isbn&gt;0272-989X&lt;/isbn&gt;&lt;work-type&gt;Article&lt;/work-type&gt;&lt;urls&gt;&lt;related-urls&gt;&lt;url&gt;http://www.scopus.com/inward/record.url?scp=84950117843&amp;amp;partnerID=8YFLogxK&lt;/url&gt;&lt;/related-urls&gt;&lt;/urls&gt;&lt;electronic-resource-num&gt;10.1177/0272989X15583266&lt;/electronic-resource-num&gt;&lt;/record&gt;&lt;/Cite&gt;&lt;/EndNote&gt;</w:instrText>
            </w:r>
            <w:r w:rsidRPr="004C78D8">
              <w:rPr>
                <w:sz w:val="18"/>
                <w:szCs w:val="18"/>
              </w:rPr>
              <w:fldChar w:fldCharType="separate"/>
            </w:r>
            <w:r w:rsidR="00513646" w:rsidRPr="004C78D8">
              <w:rPr>
                <w:noProof/>
                <w:sz w:val="18"/>
                <w:szCs w:val="18"/>
              </w:rPr>
              <w:t>[109]</w:t>
            </w:r>
            <w:r w:rsidRPr="004C78D8">
              <w:rPr>
                <w:sz w:val="18"/>
                <w:szCs w:val="18"/>
              </w:rPr>
              <w:fldChar w:fldCharType="end"/>
            </w:r>
            <w:r w:rsidRPr="004C78D8">
              <w:rPr>
                <w:sz w:val="18"/>
                <w:szCs w:val="18"/>
              </w:rPr>
              <w:t>.</w:t>
            </w:r>
          </w:p>
          <w:p w14:paraId="5563744A" w14:textId="2DA7BEBC" w:rsidR="00AB6B85" w:rsidRPr="004C78D8" w:rsidRDefault="003B0A93" w:rsidP="00FB7C1F">
            <w:pPr>
              <w:rPr>
                <w:sz w:val="18"/>
                <w:szCs w:val="18"/>
              </w:rPr>
            </w:pPr>
            <w:r w:rsidRPr="004C78D8">
              <w:rPr>
                <w:sz w:val="18"/>
                <w:szCs w:val="18"/>
                <w:vertAlign w:val="superscript"/>
              </w:rPr>
              <w:t>2</w:t>
            </w:r>
            <w:r w:rsidR="00AB6B85" w:rsidRPr="004C78D8">
              <w:rPr>
                <w:sz w:val="18"/>
                <w:szCs w:val="18"/>
              </w:rPr>
              <w:t xml:space="preserve"> Atkinson index evaluates the distribution of health in terms of relative inequality </w:t>
            </w:r>
            <w:r w:rsidR="00AB6B85" w:rsidRPr="004C78D8">
              <w:rPr>
                <w:sz w:val="18"/>
                <w:szCs w:val="18"/>
              </w:rPr>
              <w:fldChar w:fldCharType="begin"/>
            </w:r>
            <w:r w:rsidR="00513646" w:rsidRPr="004C78D8">
              <w:rPr>
                <w:sz w:val="18"/>
                <w:szCs w:val="18"/>
              </w:rPr>
              <w:instrText xml:space="preserve"> ADDIN EN.CITE &lt;EndNote&gt;&lt;Cite&gt;&lt;Author&gt;Asaria&lt;/Author&gt;&lt;Year&gt;2016&lt;/Year&gt;&lt;RecNum&gt;361&lt;/RecNum&gt;&lt;DisplayText&gt;[109]&lt;/DisplayText&gt;&lt;record&gt;&lt;rec-number&gt;361&lt;/rec-number&gt;&lt;foreign-keys&gt;&lt;key app="EN" db-id="tdtrdw9aepptzbefsat599syza29sxsd2wsp" timestamp="1612265402"&gt;361&lt;/key&gt;&lt;/foreign-keys&gt;&lt;ref-type name="Journal Article"&gt;17&lt;/ref-type&gt;&lt;contributors&gt;&lt;authors&gt;&lt;author&gt;Asaria, Miqdad&lt;/author&gt;&lt;author&gt;Griffin, Susan&lt;/author&gt;&lt;author&gt;Cookson, Richard&lt;/author&gt;&lt;/authors&gt;&lt;/contributors&gt;&lt;titles&gt;&lt;title&gt;Distributional Cost-Effectiveness Analysis: A Tutorial&lt;/title&gt;&lt;secondary-title&gt;Medical decision making&lt;/secondary-title&gt;&lt;/titles&gt;&lt;periodical&gt;&lt;full-title&gt;Medical Decision Making&lt;/full-title&gt;&lt;/periodical&gt;&lt;pages&gt;8-19&lt;/pages&gt;&lt;volume&gt;36&lt;/volume&gt;&lt;number&gt;1&lt;/number&gt;&lt;keywords&gt;&lt;keyword&gt;cost-effectiveness analysis&lt;/keyword&gt;&lt;keyword&gt;economic evaluation&lt;/keyword&gt;&lt;keyword&gt;efficiency&lt;/keyword&gt;&lt;keyword&gt;equality&lt;/keyword&gt;&lt;keyword&gt;equity&lt;/keyword&gt;&lt;keyword&gt;fairness&lt;/keyword&gt;&lt;keyword&gt;health distribution&lt;/keyword&gt;&lt;keyword&gt;health inequality&lt;/keyword&gt;&lt;keyword&gt;inequality measures&lt;/keyword&gt;&lt;keyword&gt;opportunity cost&lt;/keyword&gt;&lt;keyword&gt;social value judgments&lt;/keyword&gt;&lt;keyword&gt;social welfare functions&lt;/keyword&gt;&lt;keyword&gt;tradeoff&lt;/keyword&gt;&lt;/keywords&gt;&lt;dates&gt;&lt;year&gt;2016&lt;/year&gt;&lt;pub-dates&gt;&lt;date&gt;1/1&lt;/date&gt;&lt;/pub-dates&gt;&lt;/dates&gt;&lt;isbn&gt;0272-989X&lt;/isbn&gt;&lt;work-type&gt;Article&lt;/work-type&gt;&lt;urls&gt;&lt;related-urls&gt;&lt;url&gt;http://www.scopus.com/inward/record.url?scp=84950117843&amp;amp;partnerID=8YFLogxK&lt;/url&gt;&lt;/related-urls&gt;&lt;/urls&gt;&lt;electronic-resource-num&gt;10.1177/0272989X15583266&lt;/electronic-resource-num&gt;&lt;/record&gt;&lt;/Cite&gt;&lt;/EndNote&gt;</w:instrText>
            </w:r>
            <w:r w:rsidR="00AB6B85" w:rsidRPr="004C78D8">
              <w:rPr>
                <w:sz w:val="18"/>
                <w:szCs w:val="18"/>
              </w:rPr>
              <w:fldChar w:fldCharType="separate"/>
            </w:r>
            <w:r w:rsidR="00513646" w:rsidRPr="004C78D8">
              <w:rPr>
                <w:noProof/>
                <w:sz w:val="18"/>
                <w:szCs w:val="18"/>
              </w:rPr>
              <w:t>[109]</w:t>
            </w:r>
            <w:r w:rsidR="00AB6B85" w:rsidRPr="004C78D8">
              <w:rPr>
                <w:sz w:val="18"/>
                <w:szCs w:val="18"/>
              </w:rPr>
              <w:fldChar w:fldCharType="end"/>
            </w:r>
            <w:r w:rsidR="00AB6B85" w:rsidRPr="004C78D8">
              <w:rPr>
                <w:sz w:val="18"/>
                <w:szCs w:val="18"/>
              </w:rPr>
              <w:t>.</w:t>
            </w:r>
          </w:p>
          <w:p w14:paraId="429D511B" w14:textId="62142BDA" w:rsidR="00AB6B85" w:rsidRPr="004C78D8" w:rsidRDefault="003B0A93" w:rsidP="00FB7C1F">
            <w:pPr>
              <w:rPr>
                <w:b/>
                <w:bCs/>
                <w:sz w:val="18"/>
                <w:szCs w:val="18"/>
              </w:rPr>
            </w:pPr>
            <w:r w:rsidRPr="004C78D8">
              <w:rPr>
                <w:sz w:val="18"/>
                <w:szCs w:val="18"/>
                <w:vertAlign w:val="superscript"/>
              </w:rPr>
              <w:t>3</w:t>
            </w:r>
            <w:r w:rsidR="00AB6B85" w:rsidRPr="004C78D8">
              <w:rPr>
                <w:sz w:val="18"/>
                <w:szCs w:val="18"/>
              </w:rPr>
              <w:t xml:space="preserve"> Kolm index evaluates the distribution of health in terms of absolute inequality </w:t>
            </w:r>
            <w:r w:rsidR="00AB6B85" w:rsidRPr="004C78D8">
              <w:rPr>
                <w:sz w:val="18"/>
                <w:szCs w:val="18"/>
              </w:rPr>
              <w:fldChar w:fldCharType="begin"/>
            </w:r>
            <w:r w:rsidR="00513646" w:rsidRPr="004C78D8">
              <w:rPr>
                <w:sz w:val="18"/>
                <w:szCs w:val="18"/>
              </w:rPr>
              <w:instrText xml:space="preserve"> ADDIN EN.CITE &lt;EndNote&gt;&lt;Cite&gt;&lt;Author&gt;Asaria&lt;/Author&gt;&lt;Year&gt;2016&lt;/Year&gt;&lt;RecNum&gt;361&lt;/RecNum&gt;&lt;DisplayText&gt;[109]&lt;/DisplayText&gt;&lt;record&gt;&lt;rec-number&gt;361&lt;/rec-number&gt;&lt;foreign-keys&gt;&lt;key app="EN" db-id="tdtrdw9aepptzbefsat599syza29sxsd2wsp" timestamp="1612265402"&gt;361&lt;/key&gt;&lt;/foreign-keys&gt;&lt;ref-type name="Journal Article"&gt;17&lt;/ref-type&gt;&lt;contributors&gt;&lt;authors&gt;&lt;author&gt;Asaria, Miqdad&lt;/author&gt;&lt;author&gt;Griffin, Susan&lt;/author&gt;&lt;author&gt;Cookson, Richard&lt;/author&gt;&lt;/authors&gt;&lt;/contributors&gt;&lt;titles&gt;&lt;title&gt;Distributional Cost-Effectiveness Analysis: A Tutorial&lt;/title&gt;&lt;secondary-title&gt;Medical decision making&lt;/secondary-title&gt;&lt;/titles&gt;&lt;periodical&gt;&lt;full-title&gt;Medical Decision Making&lt;/full-title&gt;&lt;/periodical&gt;&lt;pages&gt;8-19&lt;/pages&gt;&lt;volume&gt;36&lt;/volume&gt;&lt;number&gt;1&lt;/number&gt;&lt;keywords&gt;&lt;keyword&gt;cost-effectiveness analysis&lt;/keyword&gt;&lt;keyword&gt;economic evaluation&lt;/keyword&gt;&lt;keyword&gt;efficiency&lt;/keyword&gt;&lt;keyword&gt;equality&lt;/keyword&gt;&lt;keyword&gt;equity&lt;/keyword&gt;&lt;keyword&gt;fairness&lt;/keyword&gt;&lt;keyword&gt;health distribution&lt;/keyword&gt;&lt;keyword&gt;health inequality&lt;/keyword&gt;&lt;keyword&gt;inequality measures&lt;/keyword&gt;&lt;keyword&gt;opportunity cost&lt;/keyword&gt;&lt;keyword&gt;social value judgments&lt;/keyword&gt;&lt;keyword&gt;social welfare functions&lt;/keyword&gt;&lt;keyword&gt;tradeoff&lt;/keyword&gt;&lt;/keywords&gt;&lt;dates&gt;&lt;year&gt;2016&lt;/year&gt;&lt;pub-dates&gt;&lt;date&gt;1/1&lt;/date&gt;&lt;/pub-dates&gt;&lt;/dates&gt;&lt;isbn&gt;0272-989X&lt;/isbn&gt;&lt;work-type&gt;Article&lt;/work-type&gt;&lt;urls&gt;&lt;related-urls&gt;&lt;url&gt;http://www.scopus.com/inward/record.url?scp=84950117843&amp;amp;partnerID=8YFLogxK&lt;/url&gt;&lt;/related-urls&gt;&lt;/urls&gt;&lt;electronic-resource-num&gt;10.1177/0272989X15583266&lt;/electronic-resource-num&gt;&lt;/record&gt;&lt;/Cite&gt;&lt;/EndNote&gt;</w:instrText>
            </w:r>
            <w:r w:rsidR="00AB6B85" w:rsidRPr="004C78D8">
              <w:rPr>
                <w:sz w:val="18"/>
                <w:szCs w:val="18"/>
              </w:rPr>
              <w:fldChar w:fldCharType="separate"/>
            </w:r>
            <w:r w:rsidR="00513646" w:rsidRPr="004C78D8">
              <w:rPr>
                <w:noProof/>
                <w:sz w:val="18"/>
                <w:szCs w:val="18"/>
              </w:rPr>
              <w:t>[109]</w:t>
            </w:r>
            <w:r w:rsidR="00AB6B85" w:rsidRPr="004C78D8">
              <w:rPr>
                <w:sz w:val="18"/>
                <w:szCs w:val="18"/>
              </w:rPr>
              <w:fldChar w:fldCharType="end"/>
            </w:r>
            <w:r w:rsidR="00AB6B85" w:rsidRPr="004C78D8">
              <w:rPr>
                <w:sz w:val="18"/>
                <w:szCs w:val="18"/>
              </w:rPr>
              <w:t>.</w:t>
            </w:r>
          </w:p>
        </w:tc>
      </w:tr>
    </w:tbl>
    <w:p w14:paraId="20B9B7CD" w14:textId="2C575319" w:rsidR="0063599F" w:rsidRPr="004C78D8" w:rsidRDefault="0063599F" w:rsidP="00FB7C1F"/>
    <w:p w14:paraId="33A6D425" w14:textId="7948C639" w:rsidR="00821C8B" w:rsidRPr="004C78D8" w:rsidRDefault="004B667E" w:rsidP="00FB7C1F">
      <w:r w:rsidRPr="004C78D8">
        <w:t>Regarding incremental outcomes, the positive incremental no-aversion mean of 0.0307 shows that RC is cost-effective relative to UC at the £30,000 per QALY gain</w:t>
      </w:r>
      <w:r w:rsidR="009F4A79" w:rsidRPr="004C78D8">
        <w:t>ed</w:t>
      </w:r>
      <w:r w:rsidRPr="004C78D8">
        <w:t xml:space="preserve"> threshold. Moreover</w:t>
      </w:r>
      <w:r w:rsidR="002D1577" w:rsidRPr="004C78D8">
        <w:t>, the incremental EDE</w:t>
      </w:r>
      <w:r w:rsidR="003B0A93" w:rsidRPr="004C78D8">
        <w:t xml:space="preserve"> NHB</w:t>
      </w:r>
      <w:r w:rsidR="002D1577" w:rsidRPr="004C78D8">
        <w:t xml:space="preserve">s </w:t>
      </w:r>
      <w:r w:rsidR="003B0A93" w:rsidRPr="004C78D8">
        <w:t xml:space="preserve">(EDE INHBs) </w:t>
      </w:r>
      <w:r w:rsidR="002D1577" w:rsidRPr="004C78D8">
        <w:t>of RC relative to UC (e.g., 0.03</w:t>
      </w:r>
      <w:r w:rsidR="003B0A93" w:rsidRPr="004C78D8">
        <w:t>43</w:t>
      </w:r>
      <w:r w:rsidR="002D1577" w:rsidRPr="004C78D8">
        <w:t xml:space="preserve"> when Atkinson</w:t>
      </w:r>
      <w:r w:rsidR="002D1577" w:rsidRPr="004C78D8">
        <w:rPr>
          <w:sz w:val="24"/>
          <w:szCs w:val="24"/>
        </w:rPr>
        <w:t xml:space="preserve"> </w:t>
      </w:r>
      <w:r w:rsidR="002D1577" w:rsidRPr="004C78D8">
        <w:rPr>
          <w:rFonts w:cs="Times New Roman"/>
        </w:rPr>
        <w:t>ε</w:t>
      </w:r>
      <w:r w:rsidR="002D1577" w:rsidRPr="004C78D8">
        <w:t>=3</w:t>
      </w:r>
      <w:r w:rsidR="003B0A93" w:rsidRPr="004C78D8">
        <w:t>0</w:t>
      </w:r>
      <w:r w:rsidR="002735CE" w:rsidRPr="004C78D8">
        <w:t xml:space="preserve"> and</w:t>
      </w:r>
      <w:r w:rsidR="00A969EC" w:rsidRPr="004C78D8">
        <w:t xml:space="preserve"> 0.0311 when Kolm </w:t>
      </w:r>
      <w:r w:rsidR="00A969EC" w:rsidRPr="004C78D8">
        <w:rPr>
          <w:rFonts w:cs="Times New Roman"/>
        </w:rPr>
        <w:t>α</w:t>
      </w:r>
      <w:r w:rsidR="00A969EC" w:rsidRPr="004C78D8">
        <w:t>=0.5</w:t>
      </w:r>
      <w:r w:rsidR="002D1577" w:rsidRPr="004C78D8">
        <w:t xml:space="preserve">) </w:t>
      </w:r>
      <w:r w:rsidR="00580B3F" w:rsidRPr="004C78D8">
        <w:t>remain higher</w:t>
      </w:r>
      <w:r w:rsidR="002D1577" w:rsidRPr="004C78D8">
        <w:t xml:space="preserve"> than the incremental </w:t>
      </w:r>
      <w:r w:rsidR="00CC3EF1" w:rsidRPr="004C78D8">
        <w:t xml:space="preserve">no-aversion </w:t>
      </w:r>
      <w:r w:rsidR="002D1577" w:rsidRPr="004C78D8">
        <w:t>mean (0.0307)</w:t>
      </w:r>
      <w:r w:rsidR="00580B3F" w:rsidRPr="004C78D8">
        <w:t xml:space="preserve"> across </w:t>
      </w:r>
      <w:r w:rsidR="00A37296" w:rsidRPr="004C78D8">
        <w:t xml:space="preserve">the ranges of </w:t>
      </w:r>
      <w:r w:rsidR="00580B3F" w:rsidRPr="004C78D8">
        <w:t>relative and absolute inequality aversion parameters</w:t>
      </w:r>
      <w:r w:rsidR="002D1577" w:rsidRPr="004C78D8">
        <w:t xml:space="preserve">. This shows that RC </w:t>
      </w:r>
      <w:r w:rsidRPr="004C78D8">
        <w:t>also improved equity</w:t>
      </w:r>
      <w:r w:rsidR="002D1577" w:rsidRPr="004C78D8">
        <w:t xml:space="preserve"> relative to UC.</w:t>
      </w:r>
      <w:r w:rsidR="008D503A" w:rsidRPr="004C78D8">
        <w:t xml:space="preserve"> </w:t>
      </w:r>
      <w:r w:rsidR="00194A06" w:rsidRPr="004C78D8">
        <w:t xml:space="preserve">Figures F4(a) and (b) show the change in EDE INHBs across the </w:t>
      </w:r>
      <w:r w:rsidR="008D167B" w:rsidRPr="004C78D8">
        <w:t xml:space="preserve">ranges </w:t>
      </w:r>
      <w:r w:rsidR="00194A06" w:rsidRPr="004C78D8">
        <w:t xml:space="preserve">of relative and absolute inequality aversion parameters. </w:t>
      </w:r>
      <w:r w:rsidR="00821C8B" w:rsidRPr="004C78D8">
        <w:t xml:space="preserve">Overall, there is </w:t>
      </w:r>
      <w:r w:rsidR="003B2D56" w:rsidRPr="004C78D8">
        <w:t>some</w:t>
      </w:r>
      <w:r w:rsidR="00821C8B" w:rsidRPr="004C78D8">
        <w:t xml:space="preserve"> evidence </w:t>
      </w:r>
      <w:r w:rsidR="003B2D56" w:rsidRPr="004C78D8">
        <w:t xml:space="preserve">that RC improved both efficiency and </w:t>
      </w:r>
      <w:r w:rsidR="00821C8B" w:rsidRPr="004C78D8">
        <w:t>SES-delineated equity</w:t>
      </w:r>
      <w:r w:rsidR="003B2D56" w:rsidRPr="004C78D8">
        <w:t xml:space="preserve"> relative to UC</w:t>
      </w:r>
      <w:r w:rsidR="00821C8B" w:rsidRPr="004C78D8">
        <w:t xml:space="preserve">. </w:t>
      </w:r>
      <w:r w:rsidR="00194A06" w:rsidRPr="004C78D8">
        <w:t xml:space="preserve">The equity improvement was experienced in terms of </w:t>
      </w:r>
      <w:r w:rsidR="000748F7" w:rsidRPr="004C78D8">
        <w:t xml:space="preserve">reductions in </w:t>
      </w:r>
      <w:r w:rsidR="00194A06" w:rsidRPr="004C78D8">
        <w:t>both relative and absolute inequalit</w:t>
      </w:r>
      <w:r w:rsidR="00461CD3" w:rsidRPr="004C78D8">
        <w:t>ies</w:t>
      </w:r>
      <w:r w:rsidR="00194A06" w:rsidRPr="004C78D8">
        <w:t xml:space="preserve"> </w:t>
      </w:r>
      <w:r w:rsidR="000748F7" w:rsidRPr="004C78D8">
        <w:t>in societal NHBs</w:t>
      </w:r>
      <w:r w:rsidR="00194A06" w:rsidRPr="004C78D8">
        <w:t>.</w:t>
      </w:r>
    </w:p>
    <w:p w14:paraId="0A15C7AE" w14:textId="3F44BD4C" w:rsidR="00012AFA" w:rsidRPr="004C78D8" w:rsidRDefault="00E614C0" w:rsidP="00FB7C1F">
      <w:pPr>
        <w:pStyle w:val="Heading5"/>
      </w:pPr>
      <w:r w:rsidRPr="004C78D8">
        <w:t xml:space="preserve">Outcomes by </w:t>
      </w:r>
      <w:r w:rsidR="00012AFA" w:rsidRPr="004C78D8">
        <w:t>frailty categor</w:t>
      </w:r>
      <w:r w:rsidRPr="004C78D8">
        <w:t>y</w:t>
      </w:r>
      <w:r w:rsidR="00974D05" w:rsidRPr="004C78D8">
        <w:t xml:space="preserve"> at model entry</w:t>
      </w:r>
    </w:p>
    <w:p w14:paraId="0C283711" w14:textId="1F2944D4" w:rsidR="00E614C0" w:rsidRPr="004C78D8" w:rsidRDefault="008605FC" w:rsidP="00FB7C1F">
      <w:bookmarkStart w:id="188" w:name="_Hlk111220528"/>
      <w:r w:rsidRPr="004C78D8">
        <w:t xml:space="preserve">Table </w:t>
      </w:r>
      <w:r w:rsidR="00CF71D8" w:rsidRPr="004C78D8">
        <w:t>F5</w:t>
      </w:r>
      <w:r w:rsidRPr="004C78D8">
        <w:t xml:space="preserve"> shows the subgroup outcomes by frailty category at model entry.</w:t>
      </w:r>
      <w:r w:rsidR="006E39FE" w:rsidRPr="004C78D8">
        <w:t xml:space="preserve"> </w:t>
      </w:r>
      <w:bookmarkEnd w:id="188"/>
      <w:r w:rsidR="00896FA2" w:rsidRPr="004C78D8">
        <w:t xml:space="preserve">RC was cost-effective relative to UC across all initial frailty categories. </w:t>
      </w:r>
      <w:r w:rsidR="006E39FE" w:rsidRPr="004C78D8">
        <w:t>The societal ICER</w:t>
      </w:r>
      <w:r w:rsidR="00C808EF" w:rsidRPr="004C78D8">
        <w:t>s</w:t>
      </w:r>
      <w:r w:rsidR="006E39FE" w:rsidRPr="004C78D8">
        <w:t xml:space="preserve"> </w:t>
      </w:r>
      <w:r w:rsidR="00C808EF" w:rsidRPr="004C78D8">
        <w:t>were lowest</w:t>
      </w:r>
      <w:r w:rsidR="006F0F75" w:rsidRPr="004C78D8">
        <w:t xml:space="preserve"> for the </w:t>
      </w:r>
      <w:r w:rsidR="00C808EF" w:rsidRPr="004C78D8">
        <w:t>moderate</w:t>
      </w:r>
      <w:r w:rsidR="006F0F75" w:rsidRPr="004C78D8">
        <w:t xml:space="preserve"> frailty category</w:t>
      </w:r>
      <w:r w:rsidR="00896FA2" w:rsidRPr="004C78D8">
        <w:t xml:space="preserve"> and highest for the </w:t>
      </w:r>
      <w:r w:rsidR="007812F1" w:rsidRPr="004C78D8">
        <w:t>severe category</w:t>
      </w:r>
      <w:r w:rsidR="00CF71D8" w:rsidRPr="004C78D8">
        <w:t xml:space="preserve"> (£9,017 and £14,959 per QALY gained, respectively)</w:t>
      </w:r>
      <w:r w:rsidR="00896FA2" w:rsidRPr="004C78D8">
        <w:t xml:space="preserve">. </w:t>
      </w:r>
      <w:r w:rsidR="004954A6" w:rsidRPr="004C78D8">
        <w:t xml:space="preserve">The societal gains were </w:t>
      </w:r>
      <w:r w:rsidR="007812F1" w:rsidRPr="004C78D8">
        <w:t xml:space="preserve">concentrated among those initially fit and </w:t>
      </w:r>
      <w:r w:rsidR="00E74689" w:rsidRPr="004C78D8">
        <w:t xml:space="preserve">net </w:t>
      </w:r>
      <w:r w:rsidR="007812F1" w:rsidRPr="004C78D8">
        <w:t>negative</w:t>
      </w:r>
      <w:r w:rsidR="004954A6" w:rsidRPr="004C78D8">
        <w:t xml:space="preserve"> for </w:t>
      </w:r>
      <w:r w:rsidR="007812F1" w:rsidRPr="004C78D8">
        <w:t>the severe category</w:t>
      </w:r>
      <w:r w:rsidR="00E74689" w:rsidRPr="004C78D8">
        <w:t xml:space="preserve">. </w:t>
      </w:r>
      <w:r w:rsidR="00BA2587" w:rsidRPr="004C78D8">
        <w:t>The latter experienced a net increase in informal caregiving cost</w:t>
      </w:r>
      <w:r w:rsidR="00DB2E19" w:rsidRPr="004C78D8">
        <w:t xml:space="preserve">, </w:t>
      </w:r>
      <w:r w:rsidR="002D2B99" w:rsidRPr="004C78D8">
        <w:t xml:space="preserve">mainly </w:t>
      </w:r>
      <w:r w:rsidR="00DB2E19" w:rsidRPr="004C78D8">
        <w:t>due to the greater prevalence of cognitively impaired persons in this category who require</w:t>
      </w:r>
      <w:r w:rsidR="002E5AC8" w:rsidRPr="004C78D8">
        <w:t>d</w:t>
      </w:r>
      <w:r w:rsidR="00DB2E19" w:rsidRPr="004C78D8">
        <w:t xml:space="preserve"> informal caregiver accompaniment at interventions</w:t>
      </w:r>
      <w:r w:rsidR="00BA2587" w:rsidRPr="004C78D8">
        <w:t>.</w:t>
      </w:r>
    </w:p>
    <w:p w14:paraId="18E5AE33" w14:textId="6A781652" w:rsidR="0033465D" w:rsidRPr="004C78D8" w:rsidRDefault="0033465D" w:rsidP="00FB7C1F">
      <w:r w:rsidRPr="004C78D8">
        <w:t xml:space="preserve">Figure </w:t>
      </w:r>
      <w:r w:rsidR="00CF71D8" w:rsidRPr="004C78D8">
        <w:t>6</w:t>
      </w:r>
      <w:r w:rsidRPr="004C78D8">
        <w:t>.</w:t>
      </w:r>
      <w:r w:rsidR="002841CE" w:rsidRPr="004C78D8">
        <w:t>5</w:t>
      </w:r>
      <w:r w:rsidRPr="004C78D8">
        <w:t xml:space="preserve"> shows the </w:t>
      </w:r>
      <w:r w:rsidR="009875CE" w:rsidRPr="004C78D8">
        <w:t xml:space="preserve">per-capita </w:t>
      </w:r>
      <w:r w:rsidRPr="004C78D8">
        <w:t>incremental health gain metrics delineated by initial frailty category. The moderate</w:t>
      </w:r>
      <w:r w:rsidR="00177ED8" w:rsidRPr="004C78D8">
        <w:t>ly</w:t>
      </w:r>
      <w:r w:rsidRPr="004C78D8">
        <w:t xml:space="preserve"> frail enjoyed the </w:t>
      </w:r>
      <w:r w:rsidR="00FF53F9" w:rsidRPr="004C78D8">
        <w:t xml:space="preserve">highest per-capita health gains by all metrics, followed by the </w:t>
      </w:r>
      <w:r w:rsidR="00177ED8" w:rsidRPr="004C78D8">
        <w:t>mildly</w:t>
      </w:r>
      <w:r w:rsidR="00FF53F9" w:rsidRPr="004C78D8">
        <w:t xml:space="preserve"> frail</w:t>
      </w:r>
      <w:r w:rsidR="00177ED8" w:rsidRPr="004C78D8">
        <w:t>. The severely frail had higher gains than the fit in terms of public sector INHB and incremental QALY but not in terms of societal INHB that incorporated the net societal gain.</w:t>
      </w:r>
      <w:r w:rsidR="00FF53F9" w:rsidRPr="004C78D8">
        <w:t xml:space="preserve"> </w:t>
      </w:r>
    </w:p>
    <w:p w14:paraId="2A14194B" w14:textId="224DE8F3" w:rsidR="0033465D" w:rsidRPr="004C78D8" w:rsidRDefault="0022432E" w:rsidP="00FB7C1F">
      <w:r w:rsidRPr="004C78D8">
        <w:rPr>
          <w:noProof/>
          <w:lang w:eastAsia="en-GB"/>
        </w:rPr>
        <w:drawing>
          <wp:inline distT="0" distB="0" distL="0" distR="0" wp14:anchorId="21EE769D" wp14:editId="3A9B2B0C">
            <wp:extent cx="5731510" cy="3953510"/>
            <wp:effectExtent l="0" t="0" r="2540" b="8890"/>
            <wp:docPr id="17" name="Chart 17">
              <a:extLst xmlns:a="http://schemas.openxmlformats.org/drawingml/2006/main">
                <a:ext uri="{FF2B5EF4-FFF2-40B4-BE49-F238E27FC236}">
                  <a16:creationId xmlns:a16="http://schemas.microsoft.com/office/drawing/2014/main" id="{319BC278-3ACA-43F5-958F-DCD900AA2A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CADBCA0" w14:textId="1BFD4752" w:rsidR="0033465D" w:rsidRPr="004C78D8" w:rsidRDefault="0033465D" w:rsidP="00FB7C1F">
      <w:r w:rsidRPr="004C78D8">
        <w:rPr>
          <w:b/>
          <w:bCs/>
        </w:rPr>
        <w:t xml:space="preserve">Figure </w:t>
      </w:r>
      <w:r w:rsidR="00CF71D8" w:rsidRPr="004C78D8">
        <w:rPr>
          <w:b/>
          <w:bCs/>
        </w:rPr>
        <w:t>6</w:t>
      </w:r>
      <w:r w:rsidRPr="004C78D8">
        <w:rPr>
          <w:b/>
          <w:bCs/>
        </w:rPr>
        <w:t>.</w:t>
      </w:r>
      <w:r w:rsidR="002841CE" w:rsidRPr="004C78D8">
        <w:rPr>
          <w:b/>
          <w:bCs/>
        </w:rPr>
        <w:t>5</w:t>
      </w:r>
      <w:r w:rsidRPr="004C78D8">
        <w:t xml:space="preserve"> Incremental health gain per capita by initial frailty category of recommended care relative to usual care considering all-cause costs and cost-effectiveness threshold of £30,000 per QALY gain</w:t>
      </w:r>
      <w:r w:rsidR="009F4A79" w:rsidRPr="004C78D8">
        <w:t>ed</w:t>
      </w:r>
      <w:r w:rsidRPr="004C78D8">
        <w:t xml:space="preserve">. </w:t>
      </w:r>
      <w:r w:rsidR="00D10D5E" w:rsidRPr="004C78D8">
        <w:rPr>
          <w:b/>
          <w:bCs/>
        </w:rPr>
        <w:t>Abbreviation</w:t>
      </w:r>
      <w:r w:rsidRPr="004C78D8">
        <w:rPr>
          <w:b/>
          <w:bCs/>
        </w:rPr>
        <w:t>:</w:t>
      </w:r>
      <w:r w:rsidRPr="004C78D8">
        <w:t xml:space="preserve"> INHB: incremental net health benefit; QALY: quality-adjusted life year; SES: socioeconomic status.</w:t>
      </w:r>
    </w:p>
    <w:p w14:paraId="097FFC4E" w14:textId="28C1C8FF" w:rsidR="00960A62" w:rsidRPr="004C78D8" w:rsidRDefault="00960A62" w:rsidP="00FB7C1F">
      <w:r w:rsidRPr="004C78D8">
        <w:t xml:space="preserve">Table </w:t>
      </w:r>
      <w:r w:rsidR="00CF71D8" w:rsidRPr="004C78D8">
        <w:t>6</w:t>
      </w:r>
      <w:r w:rsidRPr="004C78D8">
        <w:t>.</w:t>
      </w:r>
      <w:r w:rsidR="00CF71D8" w:rsidRPr="004C78D8">
        <w:t>7</w:t>
      </w:r>
      <w:r w:rsidRPr="004C78D8">
        <w:t xml:space="preserve"> </w:t>
      </w:r>
      <w:r w:rsidR="008F2D1F" w:rsidRPr="004C78D8">
        <w:t xml:space="preserve">reports the </w:t>
      </w:r>
      <w:r w:rsidR="008C0DD9" w:rsidRPr="004C78D8">
        <w:t>EDE</w:t>
      </w:r>
      <w:r w:rsidR="008F2D1F" w:rsidRPr="004C78D8">
        <w:t xml:space="preserve"> </w:t>
      </w:r>
      <w:r w:rsidR="002841CE" w:rsidRPr="004C78D8">
        <w:t>NHBs</w:t>
      </w:r>
      <w:r w:rsidR="008F2D1F" w:rsidRPr="004C78D8">
        <w:t xml:space="preserve"> for UC and RC where health differences across frailty categories are deemed inequitable.</w:t>
      </w:r>
      <w:r w:rsidR="00614979" w:rsidRPr="004C78D8">
        <w:t xml:space="preserve"> </w:t>
      </w:r>
      <w:r w:rsidR="002841CE" w:rsidRPr="004C78D8">
        <w:t>The EDE INHBs</w:t>
      </w:r>
      <w:r w:rsidR="00614979" w:rsidRPr="004C78D8">
        <w:t xml:space="preserve"> of RC relative to UC remain</w:t>
      </w:r>
      <w:r w:rsidR="0038499F" w:rsidRPr="004C78D8">
        <w:t>ed</w:t>
      </w:r>
      <w:r w:rsidR="00614979" w:rsidRPr="004C78D8">
        <w:t xml:space="preserve"> above zero for diverse relative and absolute inequality aversion parameters</w:t>
      </w:r>
      <w:r w:rsidR="00ED2AB7" w:rsidRPr="004C78D8">
        <w:t>;</w:t>
      </w:r>
      <w:r w:rsidR="00614979" w:rsidRPr="004C78D8">
        <w:t xml:space="preserve"> </w:t>
      </w:r>
      <w:r w:rsidR="00ED2AB7" w:rsidRPr="004C78D8">
        <w:t>hence,</w:t>
      </w:r>
      <w:r w:rsidR="00614979" w:rsidRPr="004C78D8">
        <w:t xml:space="preserve"> RC is to be preferred over UC </w:t>
      </w:r>
      <w:r w:rsidR="0038499F" w:rsidRPr="004C78D8">
        <w:t>when efficiency and</w:t>
      </w:r>
      <w:r w:rsidR="00614979" w:rsidRPr="004C78D8">
        <w:t xml:space="preserve"> frailty-delineated equity </w:t>
      </w:r>
      <w:r w:rsidR="0038499F" w:rsidRPr="004C78D8">
        <w:t>are considered jointly</w:t>
      </w:r>
      <w:r w:rsidR="00614979" w:rsidRPr="004C78D8">
        <w:t xml:space="preserve">. </w:t>
      </w:r>
      <w:r w:rsidR="0017080C">
        <w:t>However,</w:t>
      </w:r>
      <w:r w:rsidR="0017080C" w:rsidRPr="004C78D8">
        <w:t xml:space="preserve"> </w:t>
      </w:r>
      <w:r w:rsidR="0038499F" w:rsidRPr="004C78D8">
        <w:t xml:space="preserve">the Kolm EDE </w:t>
      </w:r>
      <w:r w:rsidR="002841CE" w:rsidRPr="004C78D8">
        <w:t xml:space="preserve">INHB (e.g., 0.0277 at </w:t>
      </w:r>
      <w:r w:rsidR="002841CE" w:rsidRPr="004C78D8">
        <w:rPr>
          <w:rFonts w:cs="Times New Roman"/>
        </w:rPr>
        <w:t>α</w:t>
      </w:r>
      <w:r w:rsidR="002841CE" w:rsidRPr="004C78D8">
        <w:t xml:space="preserve">=0.5) </w:t>
      </w:r>
      <w:r w:rsidR="0038499F" w:rsidRPr="004C78D8">
        <w:t xml:space="preserve">remained below </w:t>
      </w:r>
      <w:r w:rsidR="00EC736A" w:rsidRPr="004C78D8">
        <w:t>the incremental no-aversion mean (0.0325), suggesting that the absolute inequality worsened. Therefore, there is some evidence of an equity-efficiency trade-off in implementing RC</w:t>
      </w:r>
      <w:r w:rsidR="003F4DE4" w:rsidRPr="004C78D8">
        <w:t xml:space="preserve">. </w:t>
      </w:r>
      <w:r w:rsidR="008C0DD9" w:rsidRPr="004C78D8">
        <w:t xml:space="preserve"> </w:t>
      </w:r>
    </w:p>
    <w:tbl>
      <w:tblPr>
        <w:tblStyle w:val="TableGrid"/>
        <w:tblW w:w="5000" w:type="pct"/>
        <w:tblLook w:val="04A0" w:firstRow="1" w:lastRow="0" w:firstColumn="1" w:lastColumn="0" w:noHBand="0" w:noVBand="1"/>
      </w:tblPr>
      <w:tblGrid>
        <w:gridCol w:w="3243"/>
        <w:gridCol w:w="1819"/>
        <w:gridCol w:w="1978"/>
        <w:gridCol w:w="1976"/>
      </w:tblGrid>
      <w:tr w:rsidR="00960A62" w:rsidRPr="004C78D8" w14:paraId="0FF81D1B" w14:textId="77777777" w:rsidTr="00E35893">
        <w:tc>
          <w:tcPr>
            <w:tcW w:w="5000" w:type="pct"/>
            <w:gridSpan w:val="4"/>
          </w:tcPr>
          <w:p w14:paraId="03633515" w14:textId="20856BA0" w:rsidR="00960A62" w:rsidRPr="004C78D8" w:rsidRDefault="00960A62" w:rsidP="00FB7C1F">
            <w:pPr>
              <w:rPr>
                <w:b/>
                <w:bCs/>
              </w:rPr>
            </w:pPr>
            <w:r w:rsidRPr="004C78D8">
              <w:rPr>
                <w:b/>
                <w:bCs/>
              </w:rPr>
              <w:t xml:space="preserve">Table </w:t>
            </w:r>
            <w:r w:rsidR="00CF71D8" w:rsidRPr="004C78D8">
              <w:rPr>
                <w:b/>
                <w:bCs/>
              </w:rPr>
              <w:t>6</w:t>
            </w:r>
            <w:r w:rsidRPr="004C78D8">
              <w:rPr>
                <w:b/>
                <w:bCs/>
              </w:rPr>
              <w:t>.</w:t>
            </w:r>
            <w:r w:rsidR="00CF71D8" w:rsidRPr="004C78D8">
              <w:rPr>
                <w:b/>
                <w:bCs/>
              </w:rPr>
              <w:t>7</w:t>
            </w:r>
            <w:r w:rsidRPr="004C78D8">
              <w:t xml:space="preserve"> Equally distributed equivalent </w:t>
            </w:r>
            <w:r w:rsidR="002841CE" w:rsidRPr="004C78D8">
              <w:t>net health benefit</w:t>
            </w:r>
            <w:r w:rsidRPr="004C78D8">
              <w:t xml:space="preserve"> across initial frailty categories for </w:t>
            </w:r>
            <w:r w:rsidR="00EE331E" w:rsidRPr="004C78D8">
              <w:t>base case comparison</w:t>
            </w:r>
            <w:r w:rsidRPr="004C78D8">
              <w:t>.</w:t>
            </w:r>
          </w:p>
        </w:tc>
      </w:tr>
      <w:tr w:rsidR="00960A62" w:rsidRPr="004C78D8" w14:paraId="428C6842" w14:textId="77777777" w:rsidTr="00E35893">
        <w:tc>
          <w:tcPr>
            <w:tcW w:w="1798" w:type="pct"/>
            <w:tcBorders>
              <w:bottom w:val="single" w:sz="4" w:space="0" w:color="auto"/>
            </w:tcBorders>
          </w:tcPr>
          <w:p w14:paraId="3C814A4F" w14:textId="77777777" w:rsidR="00960A62" w:rsidRPr="004C78D8" w:rsidRDefault="00960A62" w:rsidP="00FB7C1F">
            <w:pPr>
              <w:jc w:val="left"/>
              <w:rPr>
                <w:b/>
                <w:bCs/>
                <w:sz w:val="20"/>
                <w:szCs w:val="20"/>
              </w:rPr>
            </w:pPr>
            <w:r w:rsidRPr="004C78D8">
              <w:rPr>
                <w:b/>
                <w:bCs/>
                <w:sz w:val="20"/>
                <w:szCs w:val="20"/>
              </w:rPr>
              <w:t>Inequality aversion indices</w:t>
            </w:r>
          </w:p>
        </w:tc>
        <w:tc>
          <w:tcPr>
            <w:tcW w:w="1009" w:type="pct"/>
            <w:tcBorders>
              <w:bottom w:val="single" w:sz="4" w:space="0" w:color="auto"/>
            </w:tcBorders>
          </w:tcPr>
          <w:p w14:paraId="470C86B3" w14:textId="77777777" w:rsidR="00960A62" w:rsidRPr="004C78D8" w:rsidRDefault="00960A62" w:rsidP="00FB7C1F">
            <w:pPr>
              <w:jc w:val="left"/>
              <w:rPr>
                <w:b/>
                <w:bCs/>
                <w:sz w:val="20"/>
                <w:szCs w:val="20"/>
              </w:rPr>
            </w:pPr>
            <w:r w:rsidRPr="004C78D8">
              <w:rPr>
                <w:b/>
                <w:bCs/>
                <w:sz w:val="20"/>
                <w:szCs w:val="20"/>
              </w:rPr>
              <w:t>Usual care</w:t>
            </w:r>
          </w:p>
        </w:tc>
        <w:tc>
          <w:tcPr>
            <w:tcW w:w="1097" w:type="pct"/>
            <w:tcBorders>
              <w:bottom w:val="single" w:sz="4" w:space="0" w:color="auto"/>
            </w:tcBorders>
          </w:tcPr>
          <w:p w14:paraId="46985E3D" w14:textId="77777777" w:rsidR="00960A62" w:rsidRPr="004C78D8" w:rsidRDefault="00960A62" w:rsidP="00FB7C1F">
            <w:pPr>
              <w:jc w:val="left"/>
              <w:rPr>
                <w:b/>
                <w:bCs/>
                <w:sz w:val="20"/>
                <w:szCs w:val="20"/>
              </w:rPr>
            </w:pPr>
            <w:r w:rsidRPr="004C78D8">
              <w:rPr>
                <w:b/>
                <w:bCs/>
                <w:sz w:val="20"/>
                <w:szCs w:val="20"/>
              </w:rPr>
              <w:t>Recommended care</w:t>
            </w:r>
          </w:p>
        </w:tc>
        <w:tc>
          <w:tcPr>
            <w:tcW w:w="1095" w:type="pct"/>
            <w:tcBorders>
              <w:bottom w:val="single" w:sz="4" w:space="0" w:color="auto"/>
            </w:tcBorders>
          </w:tcPr>
          <w:p w14:paraId="5E642280" w14:textId="77777777" w:rsidR="00960A62" w:rsidRPr="004C78D8" w:rsidRDefault="00960A62" w:rsidP="00FB7C1F">
            <w:pPr>
              <w:jc w:val="left"/>
              <w:rPr>
                <w:b/>
                <w:bCs/>
                <w:sz w:val="20"/>
                <w:szCs w:val="20"/>
              </w:rPr>
            </w:pPr>
            <w:r w:rsidRPr="004C78D8">
              <w:rPr>
                <w:b/>
                <w:bCs/>
                <w:sz w:val="20"/>
                <w:szCs w:val="20"/>
              </w:rPr>
              <w:t>Incremental</w:t>
            </w:r>
          </w:p>
        </w:tc>
      </w:tr>
      <w:tr w:rsidR="00952887" w:rsidRPr="004C78D8" w14:paraId="40ED1AB4" w14:textId="77777777" w:rsidTr="00E35893">
        <w:tc>
          <w:tcPr>
            <w:tcW w:w="1798" w:type="pct"/>
            <w:tcBorders>
              <w:bottom w:val="nil"/>
            </w:tcBorders>
          </w:tcPr>
          <w:p w14:paraId="0C156904" w14:textId="14786701" w:rsidR="00952887" w:rsidRPr="004C78D8" w:rsidRDefault="00952887" w:rsidP="00FB7C1F">
            <w:pPr>
              <w:jc w:val="left"/>
              <w:rPr>
                <w:sz w:val="20"/>
                <w:szCs w:val="20"/>
              </w:rPr>
            </w:pPr>
            <w:r w:rsidRPr="004C78D8">
              <w:rPr>
                <w:sz w:val="20"/>
                <w:szCs w:val="20"/>
              </w:rPr>
              <w:t>Societal mean NHB (no inequality aversion mean)</w:t>
            </w:r>
            <w:r w:rsidRPr="004C78D8">
              <w:rPr>
                <w:sz w:val="20"/>
                <w:szCs w:val="20"/>
                <w:vertAlign w:val="superscript"/>
              </w:rPr>
              <w:t>1</w:t>
            </w:r>
          </w:p>
        </w:tc>
        <w:tc>
          <w:tcPr>
            <w:tcW w:w="1009" w:type="pct"/>
            <w:tcBorders>
              <w:bottom w:val="nil"/>
            </w:tcBorders>
          </w:tcPr>
          <w:p w14:paraId="2C6A6E09" w14:textId="1C649FE8" w:rsidR="00952887" w:rsidRPr="004C78D8" w:rsidRDefault="00952887" w:rsidP="00FB7C1F">
            <w:pPr>
              <w:jc w:val="left"/>
              <w:rPr>
                <w:sz w:val="18"/>
                <w:szCs w:val="18"/>
              </w:rPr>
            </w:pPr>
            <w:r w:rsidRPr="004C78D8">
              <w:rPr>
                <w:sz w:val="18"/>
                <w:szCs w:val="18"/>
              </w:rPr>
              <w:t>2.0433</w:t>
            </w:r>
          </w:p>
        </w:tc>
        <w:tc>
          <w:tcPr>
            <w:tcW w:w="1097" w:type="pct"/>
            <w:tcBorders>
              <w:bottom w:val="nil"/>
            </w:tcBorders>
          </w:tcPr>
          <w:p w14:paraId="0A0C0FDD" w14:textId="5B574193" w:rsidR="00952887" w:rsidRPr="004C78D8" w:rsidRDefault="00952887" w:rsidP="00FB7C1F">
            <w:pPr>
              <w:jc w:val="left"/>
              <w:rPr>
                <w:sz w:val="18"/>
                <w:szCs w:val="18"/>
              </w:rPr>
            </w:pPr>
            <w:r w:rsidRPr="004C78D8">
              <w:rPr>
                <w:sz w:val="18"/>
                <w:szCs w:val="18"/>
              </w:rPr>
              <w:t>2.0758</w:t>
            </w:r>
          </w:p>
        </w:tc>
        <w:tc>
          <w:tcPr>
            <w:tcW w:w="1095" w:type="pct"/>
            <w:tcBorders>
              <w:bottom w:val="nil"/>
            </w:tcBorders>
          </w:tcPr>
          <w:p w14:paraId="0BC9346E" w14:textId="3D7B8A61" w:rsidR="00952887" w:rsidRPr="004C78D8" w:rsidRDefault="00952887" w:rsidP="00FB7C1F">
            <w:pPr>
              <w:jc w:val="left"/>
              <w:rPr>
                <w:sz w:val="18"/>
                <w:szCs w:val="18"/>
              </w:rPr>
            </w:pPr>
            <w:r w:rsidRPr="004C78D8">
              <w:rPr>
                <w:sz w:val="18"/>
                <w:szCs w:val="18"/>
              </w:rPr>
              <w:t>0.0325</w:t>
            </w:r>
          </w:p>
        </w:tc>
      </w:tr>
      <w:tr w:rsidR="00952887" w:rsidRPr="004C78D8" w14:paraId="27DD32E5" w14:textId="77777777" w:rsidTr="00E35893">
        <w:tc>
          <w:tcPr>
            <w:tcW w:w="1798" w:type="pct"/>
            <w:tcBorders>
              <w:bottom w:val="nil"/>
            </w:tcBorders>
          </w:tcPr>
          <w:p w14:paraId="220F5EB0" w14:textId="252C0E97" w:rsidR="00952887" w:rsidRPr="004C78D8" w:rsidRDefault="00952887" w:rsidP="00FB7C1F">
            <w:pPr>
              <w:jc w:val="left"/>
              <w:rPr>
                <w:sz w:val="20"/>
                <w:szCs w:val="20"/>
              </w:rPr>
            </w:pPr>
            <w:r w:rsidRPr="004C78D8">
              <w:rPr>
                <w:sz w:val="20"/>
                <w:szCs w:val="20"/>
              </w:rPr>
              <w:t>Societal Atkinson EDE NHB (</w:t>
            </w:r>
            <w:r w:rsidRPr="004C78D8">
              <w:rPr>
                <w:rFonts w:cs="Times New Roman"/>
                <w:sz w:val="20"/>
                <w:szCs w:val="20"/>
              </w:rPr>
              <w:t>ε</w:t>
            </w:r>
            <w:r w:rsidRPr="004C78D8">
              <w:rPr>
                <w:sz w:val="20"/>
                <w:szCs w:val="20"/>
              </w:rPr>
              <w:t>=3)</w:t>
            </w:r>
            <w:r w:rsidRPr="004C78D8">
              <w:rPr>
                <w:sz w:val="20"/>
                <w:szCs w:val="20"/>
                <w:vertAlign w:val="superscript"/>
              </w:rPr>
              <w:t>2</w:t>
            </w:r>
          </w:p>
        </w:tc>
        <w:tc>
          <w:tcPr>
            <w:tcW w:w="1009" w:type="pct"/>
            <w:tcBorders>
              <w:bottom w:val="nil"/>
            </w:tcBorders>
          </w:tcPr>
          <w:p w14:paraId="42B04840" w14:textId="62496665" w:rsidR="00952887" w:rsidRPr="004C78D8" w:rsidRDefault="00952887" w:rsidP="00FB7C1F">
            <w:pPr>
              <w:jc w:val="left"/>
              <w:rPr>
                <w:sz w:val="18"/>
                <w:szCs w:val="18"/>
              </w:rPr>
            </w:pPr>
            <w:r w:rsidRPr="004C78D8">
              <w:rPr>
                <w:sz w:val="18"/>
                <w:szCs w:val="18"/>
              </w:rPr>
              <w:t>1.0719</w:t>
            </w:r>
          </w:p>
        </w:tc>
        <w:tc>
          <w:tcPr>
            <w:tcW w:w="1097" w:type="pct"/>
            <w:tcBorders>
              <w:bottom w:val="nil"/>
            </w:tcBorders>
          </w:tcPr>
          <w:p w14:paraId="7FD08F92" w14:textId="3E790FDA" w:rsidR="00952887" w:rsidRPr="004C78D8" w:rsidRDefault="00952887" w:rsidP="00FB7C1F">
            <w:pPr>
              <w:jc w:val="left"/>
              <w:rPr>
                <w:sz w:val="18"/>
                <w:szCs w:val="18"/>
              </w:rPr>
            </w:pPr>
            <w:r w:rsidRPr="004C78D8">
              <w:rPr>
                <w:sz w:val="18"/>
                <w:szCs w:val="18"/>
              </w:rPr>
              <w:t>1.1207</w:t>
            </w:r>
          </w:p>
        </w:tc>
        <w:tc>
          <w:tcPr>
            <w:tcW w:w="1095" w:type="pct"/>
            <w:tcBorders>
              <w:bottom w:val="nil"/>
            </w:tcBorders>
          </w:tcPr>
          <w:p w14:paraId="7F20C973" w14:textId="54C6A021" w:rsidR="00952887" w:rsidRPr="004C78D8" w:rsidRDefault="00952887" w:rsidP="00FB7C1F">
            <w:pPr>
              <w:jc w:val="left"/>
              <w:rPr>
                <w:sz w:val="18"/>
                <w:szCs w:val="18"/>
              </w:rPr>
            </w:pPr>
            <w:r w:rsidRPr="004C78D8">
              <w:rPr>
                <w:sz w:val="18"/>
                <w:szCs w:val="18"/>
              </w:rPr>
              <w:t>0.0488</w:t>
            </w:r>
          </w:p>
        </w:tc>
      </w:tr>
      <w:tr w:rsidR="00952887" w:rsidRPr="004C78D8" w14:paraId="5E97FA1D" w14:textId="77777777" w:rsidTr="00E35893">
        <w:tc>
          <w:tcPr>
            <w:tcW w:w="1798" w:type="pct"/>
            <w:tcBorders>
              <w:top w:val="nil"/>
              <w:bottom w:val="nil"/>
            </w:tcBorders>
          </w:tcPr>
          <w:p w14:paraId="6BF6473E" w14:textId="62CED170" w:rsidR="00952887" w:rsidRPr="004C78D8" w:rsidRDefault="00952887" w:rsidP="00FB7C1F">
            <w:pPr>
              <w:jc w:val="left"/>
              <w:rPr>
                <w:sz w:val="20"/>
                <w:szCs w:val="20"/>
              </w:rPr>
            </w:pPr>
            <w:r w:rsidRPr="004C78D8">
              <w:rPr>
                <w:sz w:val="20"/>
                <w:szCs w:val="20"/>
              </w:rPr>
              <w:t>Societal Atkinson EDE NHB (</w:t>
            </w:r>
            <w:r w:rsidRPr="004C78D8">
              <w:rPr>
                <w:rFonts w:cs="Times New Roman"/>
                <w:sz w:val="20"/>
                <w:szCs w:val="20"/>
              </w:rPr>
              <w:t>ε</w:t>
            </w:r>
            <w:r w:rsidRPr="004C78D8">
              <w:rPr>
                <w:sz w:val="20"/>
                <w:szCs w:val="20"/>
              </w:rPr>
              <w:t>=5)</w:t>
            </w:r>
          </w:p>
        </w:tc>
        <w:tc>
          <w:tcPr>
            <w:tcW w:w="1009" w:type="pct"/>
            <w:tcBorders>
              <w:top w:val="nil"/>
              <w:bottom w:val="nil"/>
            </w:tcBorders>
          </w:tcPr>
          <w:p w14:paraId="6217FD5F" w14:textId="65FC9333" w:rsidR="00952887" w:rsidRPr="004C78D8" w:rsidRDefault="00952887" w:rsidP="00FB7C1F">
            <w:pPr>
              <w:jc w:val="left"/>
              <w:rPr>
                <w:sz w:val="18"/>
                <w:szCs w:val="18"/>
              </w:rPr>
            </w:pPr>
            <w:r w:rsidRPr="004C78D8">
              <w:rPr>
                <w:sz w:val="18"/>
                <w:szCs w:val="18"/>
              </w:rPr>
              <w:t>0.8671</w:t>
            </w:r>
          </w:p>
        </w:tc>
        <w:tc>
          <w:tcPr>
            <w:tcW w:w="1097" w:type="pct"/>
            <w:tcBorders>
              <w:top w:val="nil"/>
              <w:bottom w:val="nil"/>
            </w:tcBorders>
          </w:tcPr>
          <w:p w14:paraId="4D601C6C" w14:textId="5570EF6E" w:rsidR="00952887" w:rsidRPr="004C78D8" w:rsidRDefault="00952887" w:rsidP="00FB7C1F">
            <w:pPr>
              <w:jc w:val="left"/>
              <w:rPr>
                <w:sz w:val="18"/>
                <w:szCs w:val="18"/>
              </w:rPr>
            </w:pPr>
            <w:r w:rsidRPr="004C78D8">
              <w:rPr>
                <w:sz w:val="18"/>
                <w:szCs w:val="18"/>
              </w:rPr>
              <w:t>0.9195</w:t>
            </w:r>
          </w:p>
        </w:tc>
        <w:tc>
          <w:tcPr>
            <w:tcW w:w="1095" w:type="pct"/>
            <w:tcBorders>
              <w:top w:val="nil"/>
              <w:bottom w:val="nil"/>
            </w:tcBorders>
          </w:tcPr>
          <w:p w14:paraId="7B2F3F2F" w14:textId="13B5B453" w:rsidR="00952887" w:rsidRPr="004C78D8" w:rsidRDefault="00952887" w:rsidP="00FB7C1F">
            <w:pPr>
              <w:jc w:val="left"/>
              <w:rPr>
                <w:sz w:val="18"/>
                <w:szCs w:val="18"/>
              </w:rPr>
            </w:pPr>
            <w:r w:rsidRPr="004C78D8">
              <w:rPr>
                <w:sz w:val="18"/>
                <w:szCs w:val="18"/>
              </w:rPr>
              <w:t>0.0524</w:t>
            </w:r>
          </w:p>
        </w:tc>
      </w:tr>
      <w:tr w:rsidR="00952887" w:rsidRPr="004C78D8" w14:paraId="3402B332" w14:textId="77777777" w:rsidTr="00E35893">
        <w:tc>
          <w:tcPr>
            <w:tcW w:w="1798" w:type="pct"/>
            <w:tcBorders>
              <w:top w:val="nil"/>
              <w:bottom w:val="nil"/>
            </w:tcBorders>
          </w:tcPr>
          <w:p w14:paraId="0763171C" w14:textId="11E19A37" w:rsidR="00952887" w:rsidRPr="004C78D8" w:rsidRDefault="00952887" w:rsidP="00FB7C1F">
            <w:pPr>
              <w:jc w:val="left"/>
              <w:rPr>
                <w:sz w:val="20"/>
                <w:szCs w:val="20"/>
              </w:rPr>
            </w:pPr>
            <w:r w:rsidRPr="004C78D8">
              <w:rPr>
                <w:sz w:val="20"/>
                <w:szCs w:val="20"/>
              </w:rPr>
              <w:t>Societal Atkinson EDE NHB (</w:t>
            </w:r>
            <w:r w:rsidRPr="004C78D8">
              <w:rPr>
                <w:rFonts w:cs="Times New Roman"/>
                <w:sz w:val="20"/>
                <w:szCs w:val="20"/>
              </w:rPr>
              <w:t>ε</w:t>
            </w:r>
            <w:r w:rsidRPr="004C78D8">
              <w:rPr>
                <w:sz w:val="20"/>
                <w:szCs w:val="20"/>
              </w:rPr>
              <w:t>=11)</w:t>
            </w:r>
          </w:p>
        </w:tc>
        <w:tc>
          <w:tcPr>
            <w:tcW w:w="1009" w:type="pct"/>
            <w:tcBorders>
              <w:top w:val="nil"/>
              <w:bottom w:val="nil"/>
            </w:tcBorders>
          </w:tcPr>
          <w:p w14:paraId="7F7A4836" w14:textId="79378A5E" w:rsidR="00952887" w:rsidRPr="004C78D8" w:rsidRDefault="00952887" w:rsidP="00FB7C1F">
            <w:pPr>
              <w:jc w:val="left"/>
              <w:rPr>
                <w:sz w:val="18"/>
                <w:szCs w:val="18"/>
              </w:rPr>
            </w:pPr>
            <w:r w:rsidRPr="004C78D8">
              <w:rPr>
                <w:sz w:val="18"/>
                <w:szCs w:val="18"/>
              </w:rPr>
              <w:t>0.7223</w:t>
            </w:r>
          </w:p>
        </w:tc>
        <w:tc>
          <w:tcPr>
            <w:tcW w:w="1097" w:type="pct"/>
            <w:tcBorders>
              <w:top w:val="nil"/>
              <w:bottom w:val="nil"/>
            </w:tcBorders>
          </w:tcPr>
          <w:p w14:paraId="113144EB" w14:textId="1F933299" w:rsidR="00952887" w:rsidRPr="004C78D8" w:rsidRDefault="00952887" w:rsidP="00FB7C1F">
            <w:pPr>
              <w:jc w:val="left"/>
              <w:rPr>
                <w:sz w:val="18"/>
                <w:szCs w:val="18"/>
              </w:rPr>
            </w:pPr>
            <w:r w:rsidRPr="004C78D8">
              <w:rPr>
                <w:sz w:val="18"/>
                <w:szCs w:val="18"/>
              </w:rPr>
              <w:t>0.7731</w:t>
            </w:r>
          </w:p>
        </w:tc>
        <w:tc>
          <w:tcPr>
            <w:tcW w:w="1095" w:type="pct"/>
            <w:tcBorders>
              <w:top w:val="nil"/>
              <w:bottom w:val="nil"/>
            </w:tcBorders>
          </w:tcPr>
          <w:p w14:paraId="2A2DA43E" w14:textId="2F203EA8" w:rsidR="00952887" w:rsidRPr="004C78D8" w:rsidRDefault="00952887" w:rsidP="00FB7C1F">
            <w:pPr>
              <w:jc w:val="left"/>
              <w:rPr>
                <w:sz w:val="18"/>
                <w:szCs w:val="18"/>
              </w:rPr>
            </w:pPr>
            <w:r w:rsidRPr="004C78D8">
              <w:rPr>
                <w:sz w:val="18"/>
                <w:szCs w:val="18"/>
              </w:rPr>
              <w:t>0.0508</w:t>
            </w:r>
          </w:p>
        </w:tc>
      </w:tr>
      <w:tr w:rsidR="00952887" w:rsidRPr="004C78D8" w14:paraId="6BEAE68E" w14:textId="77777777" w:rsidTr="00E35893">
        <w:tc>
          <w:tcPr>
            <w:tcW w:w="1798" w:type="pct"/>
            <w:tcBorders>
              <w:top w:val="nil"/>
              <w:bottom w:val="single" w:sz="4" w:space="0" w:color="auto"/>
            </w:tcBorders>
          </w:tcPr>
          <w:p w14:paraId="66A14261" w14:textId="0B625C0B" w:rsidR="00952887" w:rsidRPr="004C78D8" w:rsidRDefault="00952887" w:rsidP="00FB7C1F">
            <w:pPr>
              <w:jc w:val="left"/>
              <w:rPr>
                <w:sz w:val="20"/>
                <w:szCs w:val="20"/>
              </w:rPr>
            </w:pPr>
            <w:r w:rsidRPr="004C78D8">
              <w:rPr>
                <w:sz w:val="20"/>
                <w:szCs w:val="20"/>
              </w:rPr>
              <w:t>Societal Atkinson EDE NHB (</w:t>
            </w:r>
            <w:r w:rsidRPr="004C78D8">
              <w:rPr>
                <w:rFonts w:cs="Times New Roman"/>
                <w:sz w:val="20"/>
                <w:szCs w:val="20"/>
              </w:rPr>
              <w:t>ε</w:t>
            </w:r>
            <w:r w:rsidRPr="004C78D8">
              <w:rPr>
                <w:sz w:val="20"/>
                <w:szCs w:val="20"/>
              </w:rPr>
              <w:t>=30)</w:t>
            </w:r>
          </w:p>
        </w:tc>
        <w:tc>
          <w:tcPr>
            <w:tcW w:w="1009" w:type="pct"/>
            <w:tcBorders>
              <w:top w:val="nil"/>
              <w:bottom w:val="single" w:sz="4" w:space="0" w:color="auto"/>
            </w:tcBorders>
          </w:tcPr>
          <w:p w14:paraId="537C6C70" w14:textId="039F7EE8" w:rsidR="00952887" w:rsidRPr="004C78D8" w:rsidRDefault="00952887" w:rsidP="00FB7C1F">
            <w:pPr>
              <w:jc w:val="left"/>
              <w:rPr>
                <w:sz w:val="18"/>
                <w:szCs w:val="18"/>
              </w:rPr>
            </w:pPr>
            <w:r w:rsidRPr="004C78D8">
              <w:rPr>
                <w:sz w:val="18"/>
                <w:szCs w:val="18"/>
              </w:rPr>
              <w:t>0.6598</w:t>
            </w:r>
          </w:p>
        </w:tc>
        <w:tc>
          <w:tcPr>
            <w:tcW w:w="1097" w:type="pct"/>
            <w:tcBorders>
              <w:top w:val="nil"/>
              <w:bottom w:val="single" w:sz="4" w:space="0" w:color="auto"/>
            </w:tcBorders>
          </w:tcPr>
          <w:p w14:paraId="6758DF6C" w14:textId="4ED8F2A8" w:rsidR="00952887" w:rsidRPr="004C78D8" w:rsidRDefault="00952887" w:rsidP="00FB7C1F">
            <w:pPr>
              <w:jc w:val="left"/>
              <w:rPr>
                <w:sz w:val="18"/>
                <w:szCs w:val="18"/>
              </w:rPr>
            </w:pPr>
            <w:r w:rsidRPr="004C78D8">
              <w:rPr>
                <w:sz w:val="18"/>
                <w:szCs w:val="18"/>
              </w:rPr>
              <w:t>0.7066</w:t>
            </w:r>
          </w:p>
        </w:tc>
        <w:tc>
          <w:tcPr>
            <w:tcW w:w="1095" w:type="pct"/>
            <w:tcBorders>
              <w:top w:val="nil"/>
              <w:bottom w:val="single" w:sz="4" w:space="0" w:color="auto"/>
            </w:tcBorders>
          </w:tcPr>
          <w:p w14:paraId="57803129" w14:textId="3FA7B462" w:rsidR="00952887" w:rsidRPr="004C78D8" w:rsidRDefault="00952887" w:rsidP="00FB7C1F">
            <w:pPr>
              <w:jc w:val="left"/>
              <w:rPr>
                <w:sz w:val="18"/>
                <w:szCs w:val="18"/>
              </w:rPr>
            </w:pPr>
            <w:r w:rsidRPr="004C78D8">
              <w:rPr>
                <w:sz w:val="18"/>
                <w:szCs w:val="18"/>
              </w:rPr>
              <w:t>0.0468</w:t>
            </w:r>
          </w:p>
        </w:tc>
      </w:tr>
      <w:tr w:rsidR="00952887" w:rsidRPr="004C78D8" w14:paraId="2822328F" w14:textId="77777777" w:rsidTr="00E35893">
        <w:tc>
          <w:tcPr>
            <w:tcW w:w="1798" w:type="pct"/>
            <w:tcBorders>
              <w:bottom w:val="nil"/>
            </w:tcBorders>
          </w:tcPr>
          <w:p w14:paraId="2D9BCEAC" w14:textId="42C2C3DA" w:rsidR="00952887" w:rsidRPr="004C78D8" w:rsidRDefault="00952887" w:rsidP="00FB7C1F">
            <w:pPr>
              <w:jc w:val="left"/>
              <w:rPr>
                <w:sz w:val="20"/>
                <w:szCs w:val="20"/>
              </w:rPr>
            </w:pPr>
            <w:r w:rsidRPr="004C78D8">
              <w:rPr>
                <w:sz w:val="20"/>
                <w:szCs w:val="20"/>
              </w:rPr>
              <w:t>Societal Kolm EDE NHB (</w:t>
            </w:r>
            <w:r w:rsidRPr="004C78D8">
              <w:rPr>
                <w:rFonts w:cs="Times New Roman"/>
                <w:sz w:val="20"/>
                <w:szCs w:val="20"/>
              </w:rPr>
              <w:t>α</w:t>
            </w:r>
            <w:r w:rsidRPr="004C78D8">
              <w:rPr>
                <w:sz w:val="20"/>
                <w:szCs w:val="20"/>
              </w:rPr>
              <w:t>=0.025)</w:t>
            </w:r>
            <w:r w:rsidRPr="004C78D8">
              <w:rPr>
                <w:sz w:val="20"/>
                <w:szCs w:val="20"/>
                <w:vertAlign w:val="superscript"/>
              </w:rPr>
              <w:t>3</w:t>
            </w:r>
          </w:p>
        </w:tc>
        <w:tc>
          <w:tcPr>
            <w:tcW w:w="1009" w:type="pct"/>
            <w:tcBorders>
              <w:bottom w:val="nil"/>
            </w:tcBorders>
          </w:tcPr>
          <w:p w14:paraId="4D546457" w14:textId="17632054" w:rsidR="00952887" w:rsidRPr="004C78D8" w:rsidRDefault="00952887" w:rsidP="00FB7C1F">
            <w:pPr>
              <w:jc w:val="left"/>
              <w:rPr>
                <w:sz w:val="18"/>
                <w:szCs w:val="18"/>
              </w:rPr>
            </w:pPr>
            <w:r w:rsidRPr="004C78D8">
              <w:rPr>
                <w:sz w:val="18"/>
                <w:szCs w:val="18"/>
              </w:rPr>
              <w:t>1.9660</w:t>
            </w:r>
          </w:p>
        </w:tc>
        <w:tc>
          <w:tcPr>
            <w:tcW w:w="1097" w:type="pct"/>
            <w:tcBorders>
              <w:bottom w:val="nil"/>
            </w:tcBorders>
          </w:tcPr>
          <w:p w14:paraId="399A3EDD" w14:textId="152BFB94" w:rsidR="00952887" w:rsidRPr="004C78D8" w:rsidRDefault="00952887" w:rsidP="00FB7C1F">
            <w:pPr>
              <w:jc w:val="left"/>
              <w:rPr>
                <w:sz w:val="18"/>
                <w:szCs w:val="18"/>
              </w:rPr>
            </w:pPr>
            <w:r w:rsidRPr="004C78D8">
              <w:rPr>
                <w:sz w:val="18"/>
                <w:szCs w:val="18"/>
              </w:rPr>
              <w:t>1.9984</w:t>
            </w:r>
          </w:p>
        </w:tc>
        <w:tc>
          <w:tcPr>
            <w:tcW w:w="1095" w:type="pct"/>
            <w:tcBorders>
              <w:bottom w:val="nil"/>
            </w:tcBorders>
          </w:tcPr>
          <w:p w14:paraId="6D6A7548" w14:textId="34A83E8C" w:rsidR="00952887" w:rsidRPr="004C78D8" w:rsidRDefault="00952887" w:rsidP="00FB7C1F">
            <w:pPr>
              <w:jc w:val="left"/>
              <w:rPr>
                <w:sz w:val="18"/>
                <w:szCs w:val="18"/>
              </w:rPr>
            </w:pPr>
            <w:r w:rsidRPr="004C78D8">
              <w:rPr>
                <w:sz w:val="18"/>
                <w:szCs w:val="18"/>
              </w:rPr>
              <w:t>0.0324</w:t>
            </w:r>
          </w:p>
        </w:tc>
      </w:tr>
      <w:tr w:rsidR="00952887" w:rsidRPr="004C78D8" w14:paraId="2CC2C725" w14:textId="77777777" w:rsidTr="00E35893">
        <w:tc>
          <w:tcPr>
            <w:tcW w:w="1798" w:type="pct"/>
            <w:tcBorders>
              <w:top w:val="nil"/>
              <w:bottom w:val="nil"/>
            </w:tcBorders>
          </w:tcPr>
          <w:p w14:paraId="42FA64E7" w14:textId="7031802D" w:rsidR="00952887" w:rsidRPr="004C78D8" w:rsidRDefault="00952887" w:rsidP="00FB7C1F">
            <w:pPr>
              <w:jc w:val="left"/>
              <w:rPr>
                <w:sz w:val="20"/>
                <w:szCs w:val="20"/>
              </w:rPr>
            </w:pPr>
            <w:r w:rsidRPr="004C78D8">
              <w:rPr>
                <w:sz w:val="20"/>
                <w:szCs w:val="20"/>
              </w:rPr>
              <w:t>Societal Kolm EDE NHB (</w:t>
            </w:r>
            <w:r w:rsidRPr="004C78D8">
              <w:rPr>
                <w:rFonts w:cs="Times New Roman"/>
                <w:sz w:val="20"/>
                <w:szCs w:val="20"/>
              </w:rPr>
              <w:t>α</w:t>
            </w:r>
            <w:r w:rsidRPr="004C78D8">
              <w:rPr>
                <w:sz w:val="20"/>
                <w:szCs w:val="20"/>
              </w:rPr>
              <w:t>=0.05)</w:t>
            </w:r>
          </w:p>
        </w:tc>
        <w:tc>
          <w:tcPr>
            <w:tcW w:w="1009" w:type="pct"/>
            <w:tcBorders>
              <w:top w:val="nil"/>
              <w:bottom w:val="nil"/>
            </w:tcBorders>
          </w:tcPr>
          <w:p w14:paraId="1AFDBA4D" w14:textId="6586B3A4" w:rsidR="00952887" w:rsidRPr="004C78D8" w:rsidRDefault="00952887" w:rsidP="00FB7C1F">
            <w:pPr>
              <w:jc w:val="left"/>
              <w:rPr>
                <w:sz w:val="18"/>
                <w:szCs w:val="18"/>
              </w:rPr>
            </w:pPr>
            <w:r w:rsidRPr="004C78D8">
              <w:rPr>
                <w:sz w:val="18"/>
                <w:szCs w:val="18"/>
              </w:rPr>
              <w:t>1.8894</w:t>
            </w:r>
          </w:p>
        </w:tc>
        <w:tc>
          <w:tcPr>
            <w:tcW w:w="1097" w:type="pct"/>
            <w:tcBorders>
              <w:top w:val="nil"/>
              <w:bottom w:val="nil"/>
            </w:tcBorders>
          </w:tcPr>
          <w:p w14:paraId="12E0E149" w14:textId="1A1416B0" w:rsidR="00952887" w:rsidRPr="004C78D8" w:rsidRDefault="00952887" w:rsidP="00FB7C1F">
            <w:pPr>
              <w:jc w:val="left"/>
              <w:rPr>
                <w:sz w:val="18"/>
                <w:szCs w:val="18"/>
              </w:rPr>
            </w:pPr>
            <w:r w:rsidRPr="004C78D8">
              <w:rPr>
                <w:sz w:val="18"/>
                <w:szCs w:val="18"/>
              </w:rPr>
              <w:t>1.9217</w:t>
            </w:r>
          </w:p>
        </w:tc>
        <w:tc>
          <w:tcPr>
            <w:tcW w:w="1095" w:type="pct"/>
            <w:tcBorders>
              <w:top w:val="nil"/>
              <w:bottom w:val="nil"/>
            </w:tcBorders>
          </w:tcPr>
          <w:p w14:paraId="582F61AB" w14:textId="236FEBF7" w:rsidR="00952887" w:rsidRPr="004C78D8" w:rsidRDefault="00952887" w:rsidP="00FB7C1F">
            <w:pPr>
              <w:jc w:val="left"/>
              <w:rPr>
                <w:sz w:val="18"/>
                <w:szCs w:val="18"/>
              </w:rPr>
            </w:pPr>
            <w:r w:rsidRPr="004C78D8">
              <w:rPr>
                <w:sz w:val="18"/>
                <w:szCs w:val="18"/>
              </w:rPr>
              <w:t>0.0323</w:t>
            </w:r>
          </w:p>
        </w:tc>
      </w:tr>
      <w:tr w:rsidR="00952887" w:rsidRPr="004C78D8" w14:paraId="3378729D" w14:textId="77777777" w:rsidTr="00E35893">
        <w:tc>
          <w:tcPr>
            <w:tcW w:w="1798" w:type="pct"/>
            <w:tcBorders>
              <w:top w:val="nil"/>
              <w:bottom w:val="nil"/>
            </w:tcBorders>
          </w:tcPr>
          <w:p w14:paraId="475EB11B" w14:textId="0258338B" w:rsidR="00952887" w:rsidRPr="004C78D8" w:rsidRDefault="00952887" w:rsidP="00FB7C1F">
            <w:pPr>
              <w:jc w:val="left"/>
              <w:rPr>
                <w:sz w:val="20"/>
                <w:szCs w:val="20"/>
              </w:rPr>
            </w:pPr>
            <w:r w:rsidRPr="004C78D8">
              <w:rPr>
                <w:sz w:val="20"/>
                <w:szCs w:val="20"/>
              </w:rPr>
              <w:t>Societal Kolm EDE NHB (</w:t>
            </w:r>
            <w:r w:rsidRPr="004C78D8">
              <w:rPr>
                <w:rFonts w:cs="Times New Roman"/>
                <w:sz w:val="20"/>
                <w:szCs w:val="20"/>
              </w:rPr>
              <w:t>α</w:t>
            </w:r>
            <w:r w:rsidRPr="004C78D8">
              <w:rPr>
                <w:sz w:val="20"/>
                <w:szCs w:val="20"/>
              </w:rPr>
              <w:t>=0.15)</w:t>
            </w:r>
          </w:p>
        </w:tc>
        <w:tc>
          <w:tcPr>
            <w:tcW w:w="1009" w:type="pct"/>
            <w:tcBorders>
              <w:top w:val="nil"/>
              <w:bottom w:val="nil"/>
            </w:tcBorders>
          </w:tcPr>
          <w:p w14:paraId="16BD2A69" w14:textId="5838D00C" w:rsidR="00952887" w:rsidRPr="004C78D8" w:rsidRDefault="00952887" w:rsidP="00FB7C1F">
            <w:pPr>
              <w:jc w:val="left"/>
              <w:rPr>
                <w:sz w:val="18"/>
                <w:szCs w:val="18"/>
              </w:rPr>
            </w:pPr>
            <w:r w:rsidRPr="004C78D8">
              <w:rPr>
                <w:sz w:val="18"/>
                <w:szCs w:val="18"/>
              </w:rPr>
              <w:t>1.5924</w:t>
            </w:r>
          </w:p>
        </w:tc>
        <w:tc>
          <w:tcPr>
            <w:tcW w:w="1097" w:type="pct"/>
            <w:tcBorders>
              <w:top w:val="nil"/>
              <w:bottom w:val="nil"/>
            </w:tcBorders>
          </w:tcPr>
          <w:p w14:paraId="7210AA33" w14:textId="6D4E696C" w:rsidR="00952887" w:rsidRPr="004C78D8" w:rsidRDefault="00952887" w:rsidP="00FB7C1F">
            <w:pPr>
              <w:jc w:val="left"/>
              <w:rPr>
                <w:sz w:val="18"/>
                <w:szCs w:val="18"/>
              </w:rPr>
            </w:pPr>
            <w:r w:rsidRPr="004C78D8">
              <w:rPr>
                <w:sz w:val="18"/>
                <w:szCs w:val="18"/>
              </w:rPr>
              <w:t>1.6240</w:t>
            </w:r>
          </w:p>
        </w:tc>
        <w:tc>
          <w:tcPr>
            <w:tcW w:w="1095" w:type="pct"/>
            <w:tcBorders>
              <w:top w:val="nil"/>
              <w:bottom w:val="nil"/>
            </w:tcBorders>
          </w:tcPr>
          <w:p w14:paraId="045E5F3E" w14:textId="45AA2156" w:rsidR="00952887" w:rsidRPr="004C78D8" w:rsidRDefault="00952887" w:rsidP="00FB7C1F">
            <w:pPr>
              <w:jc w:val="left"/>
              <w:rPr>
                <w:sz w:val="18"/>
                <w:szCs w:val="18"/>
              </w:rPr>
            </w:pPr>
            <w:r w:rsidRPr="004C78D8">
              <w:rPr>
                <w:sz w:val="18"/>
                <w:szCs w:val="18"/>
              </w:rPr>
              <w:t>0.0316</w:t>
            </w:r>
          </w:p>
        </w:tc>
      </w:tr>
      <w:tr w:rsidR="00952887" w:rsidRPr="004C78D8" w14:paraId="63F533F7" w14:textId="77777777" w:rsidTr="00E35893">
        <w:tc>
          <w:tcPr>
            <w:tcW w:w="1798" w:type="pct"/>
            <w:tcBorders>
              <w:top w:val="nil"/>
            </w:tcBorders>
          </w:tcPr>
          <w:p w14:paraId="2ED1C781" w14:textId="705A2EC3" w:rsidR="00952887" w:rsidRPr="004C78D8" w:rsidRDefault="00952887" w:rsidP="00FB7C1F">
            <w:pPr>
              <w:jc w:val="left"/>
              <w:rPr>
                <w:sz w:val="20"/>
                <w:szCs w:val="20"/>
              </w:rPr>
            </w:pPr>
            <w:r w:rsidRPr="004C78D8">
              <w:rPr>
                <w:sz w:val="20"/>
                <w:szCs w:val="20"/>
              </w:rPr>
              <w:t>Societal Kolm EDE NHB (</w:t>
            </w:r>
            <w:r w:rsidRPr="004C78D8">
              <w:rPr>
                <w:rFonts w:cs="Times New Roman"/>
                <w:sz w:val="20"/>
                <w:szCs w:val="20"/>
              </w:rPr>
              <w:t>α</w:t>
            </w:r>
            <w:r w:rsidRPr="004C78D8">
              <w:rPr>
                <w:sz w:val="20"/>
                <w:szCs w:val="20"/>
              </w:rPr>
              <w:t>=0.5)</w:t>
            </w:r>
          </w:p>
        </w:tc>
        <w:tc>
          <w:tcPr>
            <w:tcW w:w="1009" w:type="pct"/>
            <w:tcBorders>
              <w:top w:val="nil"/>
            </w:tcBorders>
          </w:tcPr>
          <w:p w14:paraId="40DF6ADE" w14:textId="4015D570" w:rsidR="00952887" w:rsidRPr="004C78D8" w:rsidRDefault="00952887" w:rsidP="00FB7C1F">
            <w:pPr>
              <w:jc w:val="left"/>
              <w:rPr>
                <w:sz w:val="18"/>
                <w:szCs w:val="18"/>
              </w:rPr>
            </w:pPr>
            <w:r w:rsidRPr="004C78D8">
              <w:rPr>
                <w:sz w:val="18"/>
                <w:szCs w:val="18"/>
              </w:rPr>
              <w:t>0.7622</w:t>
            </w:r>
          </w:p>
        </w:tc>
        <w:tc>
          <w:tcPr>
            <w:tcW w:w="1097" w:type="pct"/>
            <w:tcBorders>
              <w:top w:val="nil"/>
            </w:tcBorders>
          </w:tcPr>
          <w:p w14:paraId="561399AB" w14:textId="333A9F36" w:rsidR="00952887" w:rsidRPr="004C78D8" w:rsidRDefault="00952887" w:rsidP="00FB7C1F">
            <w:pPr>
              <w:jc w:val="left"/>
              <w:rPr>
                <w:sz w:val="18"/>
                <w:szCs w:val="18"/>
              </w:rPr>
            </w:pPr>
            <w:r w:rsidRPr="004C78D8">
              <w:rPr>
                <w:sz w:val="18"/>
                <w:szCs w:val="18"/>
              </w:rPr>
              <w:t>0.7899</w:t>
            </w:r>
          </w:p>
        </w:tc>
        <w:tc>
          <w:tcPr>
            <w:tcW w:w="1095" w:type="pct"/>
            <w:tcBorders>
              <w:top w:val="nil"/>
            </w:tcBorders>
          </w:tcPr>
          <w:p w14:paraId="48FB18DA" w14:textId="16780382" w:rsidR="00952887" w:rsidRPr="004C78D8" w:rsidRDefault="00952887" w:rsidP="00FB7C1F">
            <w:pPr>
              <w:jc w:val="left"/>
              <w:rPr>
                <w:sz w:val="18"/>
                <w:szCs w:val="18"/>
              </w:rPr>
            </w:pPr>
            <w:r w:rsidRPr="004C78D8">
              <w:rPr>
                <w:sz w:val="18"/>
                <w:szCs w:val="18"/>
              </w:rPr>
              <w:t>0.0277</w:t>
            </w:r>
          </w:p>
        </w:tc>
      </w:tr>
      <w:tr w:rsidR="00952887" w:rsidRPr="004C78D8" w14:paraId="0D035288" w14:textId="77777777" w:rsidTr="00E35893">
        <w:tc>
          <w:tcPr>
            <w:tcW w:w="5000" w:type="pct"/>
            <w:gridSpan w:val="4"/>
          </w:tcPr>
          <w:p w14:paraId="27A903CF" w14:textId="77777777" w:rsidR="00952887" w:rsidRPr="004C78D8" w:rsidRDefault="00952887" w:rsidP="00FB7C1F">
            <w:pPr>
              <w:rPr>
                <w:sz w:val="18"/>
                <w:szCs w:val="18"/>
              </w:rPr>
            </w:pPr>
            <w:r w:rsidRPr="004C78D8">
              <w:rPr>
                <w:b/>
                <w:bCs/>
                <w:sz w:val="18"/>
                <w:szCs w:val="18"/>
              </w:rPr>
              <w:t>Abbreviation:</w:t>
            </w:r>
            <w:r w:rsidRPr="004C78D8">
              <w:rPr>
                <w:sz w:val="18"/>
                <w:szCs w:val="18"/>
              </w:rPr>
              <w:t xml:space="preserve"> EDE: equally distributed equivalent; NHB: net health benefit; QALY: quality-adjusted life year; SES: socioeconomic status</w:t>
            </w:r>
          </w:p>
          <w:p w14:paraId="1A03F19F" w14:textId="6B204C5D" w:rsidR="00952887" w:rsidRPr="004C78D8" w:rsidRDefault="00952887" w:rsidP="00FB7C1F">
            <w:pPr>
              <w:rPr>
                <w:sz w:val="18"/>
                <w:szCs w:val="18"/>
              </w:rPr>
            </w:pPr>
            <w:r w:rsidRPr="004C78D8">
              <w:rPr>
                <w:sz w:val="18"/>
                <w:szCs w:val="18"/>
                <w:vertAlign w:val="superscript"/>
              </w:rPr>
              <w:t>1</w:t>
            </w:r>
            <w:r w:rsidRPr="004C78D8">
              <w:rPr>
                <w:sz w:val="18"/>
                <w:szCs w:val="18"/>
              </w:rPr>
              <w:t xml:space="preserve"> The societal NHB incorporates QALY gain and QALY-equivalent net societal gain minus public sector opportunity costs (translated to QALY-equivalent using cost-effectiveness threshold of £30,000 per QALY gain</w:t>
            </w:r>
            <w:r w:rsidR="009F4A79" w:rsidRPr="004C78D8">
              <w:rPr>
                <w:sz w:val="18"/>
                <w:szCs w:val="18"/>
              </w:rPr>
              <w:t>ed</w:t>
            </w:r>
            <w:r w:rsidRPr="004C78D8">
              <w:rPr>
                <w:sz w:val="18"/>
                <w:szCs w:val="18"/>
              </w:rPr>
              <w:t xml:space="preserve">) for each SES quartile. To account for the differing sizes of SES subgroups, per-capita (i.e., average) societal NHBs were computed for each subgroup. The unweighted mean of the subgroup averages was then computed, effectively treating the subgroups as of equal size. When the Atkinson ε relative inequality aversion parameter is set to zero, the Atkinson EDE NHB equals the NHB </w:t>
            </w:r>
            <w:r w:rsidRPr="004C78D8">
              <w:rPr>
                <w:sz w:val="18"/>
                <w:szCs w:val="18"/>
              </w:rPr>
              <w:fldChar w:fldCharType="begin"/>
            </w:r>
            <w:r w:rsidR="00513646" w:rsidRPr="004C78D8">
              <w:rPr>
                <w:sz w:val="18"/>
                <w:szCs w:val="18"/>
              </w:rPr>
              <w:instrText xml:space="preserve"> ADDIN EN.CITE &lt;EndNote&gt;&lt;Cite&gt;&lt;Author&gt;Asaria&lt;/Author&gt;&lt;Year&gt;2016&lt;/Year&gt;&lt;RecNum&gt;361&lt;/RecNum&gt;&lt;DisplayText&gt;[109]&lt;/DisplayText&gt;&lt;record&gt;&lt;rec-number&gt;361&lt;/rec-number&gt;&lt;foreign-keys&gt;&lt;key app="EN" db-id="tdtrdw9aepptzbefsat599syza29sxsd2wsp" timestamp="1612265402"&gt;361&lt;/key&gt;&lt;/foreign-keys&gt;&lt;ref-type name="Journal Article"&gt;17&lt;/ref-type&gt;&lt;contributors&gt;&lt;authors&gt;&lt;author&gt;Asaria, Miqdad&lt;/author&gt;&lt;author&gt;Griffin, Susan&lt;/author&gt;&lt;author&gt;Cookson, Richard&lt;/author&gt;&lt;/authors&gt;&lt;/contributors&gt;&lt;titles&gt;&lt;title&gt;Distributional Cost-Effectiveness Analysis: A Tutorial&lt;/title&gt;&lt;secondary-title&gt;Medical decision making&lt;/secondary-title&gt;&lt;/titles&gt;&lt;periodical&gt;&lt;full-title&gt;Medical Decision Making&lt;/full-title&gt;&lt;/periodical&gt;&lt;pages&gt;8-19&lt;/pages&gt;&lt;volume&gt;36&lt;/volume&gt;&lt;number&gt;1&lt;/number&gt;&lt;keywords&gt;&lt;keyword&gt;cost-effectiveness analysis&lt;/keyword&gt;&lt;keyword&gt;economic evaluation&lt;/keyword&gt;&lt;keyword&gt;efficiency&lt;/keyword&gt;&lt;keyword&gt;equality&lt;/keyword&gt;&lt;keyword&gt;equity&lt;/keyword&gt;&lt;keyword&gt;fairness&lt;/keyword&gt;&lt;keyword&gt;health distribution&lt;/keyword&gt;&lt;keyword&gt;health inequality&lt;/keyword&gt;&lt;keyword&gt;inequality measures&lt;/keyword&gt;&lt;keyword&gt;opportunity cost&lt;/keyword&gt;&lt;keyword&gt;social value judgments&lt;/keyword&gt;&lt;keyword&gt;social welfare functions&lt;/keyword&gt;&lt;keyword&gt;tradeoff&lt;/keyword&gt;&lt;/keywords&gt;&lt;dates&gt;&lt;year&gt;2016&lt;/year&gt;&lt;pub-dates&gt;&lt;date&gt;1/1&lt;/date&gt;&lt;/pub-dates&gt;&lt;/dates&gt;&lt;isbn&gt;0272-989X&lt;/isbn&gt;&lt;work-type&gt;Article&lt;/work-type&gt;&lt;urls&gt;&lt;related-urls&gt;&lt;url&gt;http://www.scopus.com/inward/record.url?scp=84950117843&amp;amp;partnerID=8YFLogxK&lt;/url&gt;&lt;/related-urls&gt;&lt;/urls&gt;&lt;electronic-resource-num&gt;10.1177/0272989X15583266&lt;/electronic-resource-num&gt;&lt;/record&gt;&lt;/Cite&gt;&lt;/EndNote&gt;</w:instrText>
            </w:r>
            <w:r w:rsidRPr="004C78D8">
              <w:rPr>
                <w:sz w:val="18"/>
                <w:szCs w:val="18"/>
              </w:rPr>
              <w:fldChar w:fldCharType="separate"/>
            </w:r>
            <w:r w:rsidR="00513646" w:rsidRPr="004C78D8">
              <w:rPr>
                <w:noProof/>
                <w:sz w:val="18"/>
                <w:szCs w:val="18"/>
              </w:rPr>
              <w:t>[109]</w:t>
            </w:r>
            <w:r w:rsidRPr="004C78D8">
              <w:rPr>
                <w:sz w:val="18"/>
                <w:szCs w:val="18"/>
              </w:rPr>
              <w:fldChar w:fldCharType="end"/>
            </w:r>
            <w:r w:rsidRPr="004C78D8">
              <w:rPr>
                <w:sz w:val="18"/>
                <w:szCs w:val="18"/>
              </w:rPr>
              <w:t>.</w:t>
            </w:r>
          </w:p>
          <w:p w14:paraId="245916F0" w14:textId="76740659" w:rsidR="00952887" w:rsidRPr="004C78D8" w:rsidRDefault="00952887" w:rsidP="00FB7C1F">
            <w:pPr>
              <w:rPr>
                <w:sz w:val="18"/>
                <w:szCs w:val="18"/>
              </w:rPr>
            </w:pPr>
            <w:r w:rsidRPr="004C78D8">
              <w:rPr>
                <w:sz w:val="18"/>
                <w:szCs w:val="18"/>
                <w:vertAlign w:val="superscript"/>
              </w:rPr>
              <w:t>2</w:t>
            </w:r>
            <w:r w:rsidRPr="004C78D8">
              <w:rPr>
                <w:sz w:val="18"/>
                <w:szCs w:val="18"/>
              </w:rPr>
              <w:t xml:space="preserve"> Atkinson index evaluates the distribution of health in terms of relative inequality </w:t>
            </w:r>
            <w:r w:rsidRPr="004C78D8">
              <w:rPr>
                <w:sz w:val="18"/>
                <w:szCs w:val="18"/>
              </w:rPr>
              <w:fldChar w:fldCharType="begin"/>
            </w:r>
            <w:r w:rsidR="00513646" w:rsidRPr="004C78D8">
              <w:rPr>
                <w:sz w:val="18"/>
                <w:szCs w:val="18"/>
              </w:rPr>
              <w:instrText xml:space="preserve"> ADDIN EN.CITE &lt;EndNote&gt;&lt;Cite&gt;&lt;Author&gt;Asaria&lt;/Author&gt;&lt;Year&gt;2016&lt;/Year&gt;&lt;RecNum&gt;361&lt;/RecNum&gt;&lt;DisplayText&gt;[109]&lt;/DisplayText&gt;&lt;record&gt;&lt;rec-number&gt;361&lt;/rec-number&gt;&lt;foreign-keys&gt;&lt;key app="EN" db-id="tdtrdw9aepptzbefsat599syza29sxsd2wsp" timestamp="1612265402"&gt;361&lt;/key&gt;&lt;/foreign-keys&gt;&lt;ref-type name="Journal Article"&gt;17&lt;/ref-type&gt;&lt;contributors&gt;&lt;authors&gt;&lt;author&gt;Asaria, Miqdad&lt;/author&gt;&lt;author&gt;Griffin, Susan&lt;/author&gt;&lt;author&gt;Cookson, Richard&lt;/author&gt;&lt;/authors&gt;&lt;/contributors&gt;&lt;titles&gt;&lt;title&gt;Distributional Cost-Effectiveness Analysis: A Tutorial&lt;/title&gt;&lt;secondary-title&gt;Medical decision making&lt;/secondary-title&gt;&lt;/titles&gt;&lt;periodical&gt;&lt;full-title&gt;Medical Decision Making&lt;/full-title&gt;&lt;/periodical&gt;&lt;pages&gt;8-19&lt;/pages&gt;&lt;volume&gt;36&lt;/volume&gt;&lt;number&gt;1&lt;/number&gt;&lt;keywords&gt;&lt;keyword&gt;cost-effectiveness analysis&lt;/keyword&gt;&lt;keyword&gt;economic evaluation&lt;/keyword&gt;&lt;keyword&gt;efficiency&lt;/keyword&gt;&lt;keyword&gt;equality&lt;/keyword&gt;&lt;keyword&gt;equity&lt;/keyword&gt;&lt;keyword&gt;fairness&lt;/keyword&gt;&lt;keyword&gt;health distribution&lt;/keyword&gt;&lt;keyword&gt;health inequality&lt;/keyword&gt;&lt;keyword&gt;inequality measures&lt;/keyword&gt;&lt;keyword&gt;opportunity cost&lt;/keyword&gt;&lt;keyword&gt;social value judgments&lt;/keyword&gt;&lt;keyword&gt;social welfare functions&lt;/keyword&gt;&lt;keyword&gt;tradeoff&lt;/keyword&gt;&lt;/keywords&gt;&lt;dates&gt;&lt;year&gt;2016&lt;/year&gt;&lt;pub-dates&gt;&lt;date&gt;1/1&lt;/date&gt;&lt;/pub-dates&gt;&lt;/dates&gt;&lt;isbn&gt;0272-989X&lt;/isbn&gt;&lt;work-type&gt;Article&lt;/work-type&gt;&lt;urls&gt;&lt;related-urls&gt;&lt;url&gt;http://www.scopus.com/inward/record.url?scp=84950117843&amp;amp;partnerID=8YFLogxK&lt;/url&gt;&lt;/related-urls&gt;&lt;/urls&gt;&lt;electronic-resource-num&gt;10.1177/0272989X15583266&lt;/electronic-resource-num&gt;&lt;/record&gt;&lt;/Cite&gt;&lt;/EndNote&gt;</w:instrText>
            </w:r>
            <w:r w:rsidRPr="004C78D8">
              <w:rPr>
                <w:sz w:val="18"/>
                <w:szCs w:val="18"/>
              </w:rPr>
              <w:fldChar w:fldCharType="separate"/>
            </w:r>
            <w:r w:rsidR="00513646" w:rsidRPr="004C78D8">
              <w:rPr>
                <w:noProof/>
                <w:sz w:val="18"/>
                <w:szCs w:val="18"/>
              </w:rPr>
              <w:t>[109]</w:t>
            </w:r>
            <w:r w:rsidRPr="004C78D8">
              <w:rPr>
                <w:sz w:val="18"/>
                <w:szCs w:val="18"/>
              </w:rPr>
              <w:fldChar w:fldCharType="end"/>
            </w:r>
            <w:r w:rsidRPr="004C78D8">
              <w:rPr>
                <w:sz w:val="18"/>
                <w:szCs w:val="18"/>
              </w:rPr>
              <w:t>.</w:t>
            </w:r>
          </w:p>
          <w:p w14:paraId="42B3F679" w14:textId="3B609929" w:rsidR="00952887" w:rsidRPr="004C78D8" w:rsidRDefault="00952887" w:rsidP="00FB7C1F">
            <w:pPr>
              <w:rPr>
                <w:b/>
                <w:bCs/>
                <w:sz w:val="18"/>
                <w:szCs w:val="18"/>
              </w:rPr>
            </w:pPr>
            <w:r w:rsidRPr="004C78D8">
              <w:rPr>
                <w:sz w:val="18"/>
                <w:szCs w:val="18"/>
                <w:vertAlign w:val="superscript"/>
              </w:rPr>
              <w:t>3</w:t>
            </w:r>
            <w:r w:rsidRPr="004C78D8">
              <w:rPr>
                <w:sz w:val="18"/>
                <w:szCs w:val="18"/>
              </w:rPr>
              <w:t xml:space="preserve"> Kolm index evaluates the distribution of health in terms of absolute inequality </w:t>
            </w:r>
            <w:r w:rsidRPr="004C78D8">
              <w:rPr>
                <w:sz w:val="18"/>
                <w:szCs w:val="18"/>
              </w:rPr>
              <w:fldChar w:fldCharType="begin"/>
            </w:r>
            <w:r w:rsidR="00513646" w:rsidRPr="004C78D8">
              <w:rPr>
                <w:sz w:val="18"/>
                <w:szCs w:val="18"/>
              </w:rPr>
              <w:instrText xml:space="preserve"> ADDIN EN.CITE &lt;EndNote&gt;&lt;Cite&gt;&lt;Author&gt;Asaria&lt;/Author&gt;&lt;Year&gt;2016&lt;/Year&gt;&lt;RecNum&gt;361&lt;/RecNum&gt;&lt;DisplayText&gt;[109]&lt;/DisplayText&gt;&lt;record&gt;&lt;rec-number&gt;361&lt;/rec-number&gt;&lt;foreign-keys&gt;&lt;key app="EN" db-id="tdtrdw9aepptzbefsat599syza29sxsd2wsp" timestamp="1612265402"&gt;361&lt;/key&gt;&lt;/foreign-keys&gt;&lt;ref-type name="Journal Article"&gt;17&lt;/ref-type&gt;&lt;contributors&gt;&lt;authors&gt;&lt;author&gt;Asaria, Miqdad&lt;/author&gt;&lt;author&gt;Griffin, Susan&lt;/author&gt;&lt;author&gt;Cookson, Richard&lt;/author&gt;&lt;/authors&gt;&lt;/contributors&gt;&lt;titles&gt;&lt;title&gt;Distributional Cost-Effectiveness Analysis: A Tutorial&lt;/title&gt;&lt;secondary-title&gt;Medical decision making&lt;/secondary-title&gt;&lt;/titles&gt;&lt;periodical&gt;&lt;full-title&gt;Medical Decision Making&lt;/full-title&gt;&lt;/periodical&gt;&lt;pages&gt;8-19&lt;/pages&gt;&lt;volume&gt;36&lt;/volume&gt;&lt;number&gt;1&lt;/number&gt;&lt;keywords&gt;&lt;keyword&gt;cost-effectiveness analysis&lt;/keyword&gt;&lt;keyword&gt;economic evaluation&lt;/keyword&gt;&lt;keyword&gt;efficiency&lt;/keyword&gt;&lt;keyword&gt;equality&lt;/keyword&gt;&lt;keyword&gt;equity&lt;/keyword&gt;&lt;keyword&gt;fairness&lt;/keyword&gt;&lt;keyword&gt;health distribution&lt;/keyword&gt;&lt;keyword&gt;health inequality&lt;/keyword&gt;&lt;keyword&gt;inequality measures&lt;/keyword&gt;&lt;keyword&gt;opportunity cost&lt;/keyword&gt;&lt;keyword&gt;social value judgments&lt;/keyword&gt;&lt;keyword&gt;social welfare functions&lt;/keyword&gt;&lt;keyword&gt;tradeoff&lt;/keyword&gt;&lt;/keywords&gt;&lt;dates&gt;&lt;year&gt;2016&lt;/year&gt;&lt;pub-dates&gt;&lt;date&gt;1/1&lt;/date&gt;&lt;/pub-dates&gt;&lt;/dates&gt;&lt;isbn&gt;0272-989X&lt;/isbn&gt;&lt;work-type&gt;Article&lt;/work-type&gt;&lt;urls&gt;&lt;related-urls&gt;&lt;url&gt;http://www.scopus.com/inward/record.url?scp=84950117843&amp;amp;partnerID=8YFLogxK&lt;/url&gt;&lt;/related-urls&gt;&lt;/urls&gt;&lt;electronic-resource-num&gt;10.1177/0272989X15583266&lt;/electronic-resource-num&gt;&lt;/record&gt;&lt;/Cite&gt;&lt;/EndNote&gt;</w:instrText>
            </w:r>
            <w:r w:rsidRPr="004C78D8">
              <w:rPr>
                <w:sz w:val="18"/>
                <w:szCs w:val="18"/>
              </w:rPr>
              <w:fldChar w:fldCharType="separate"/>
            </w:r>
            <w:r w:rsidR="00513646" w:rsidRPr="004C78D8">
              <w:rPr>
                <w:noProof/>
                <w:sz w:val="18"/>
                <w:szCs w:val="18"/>
              </w:rPr>
              <w:t>[109]</w:t>
            </w:r>
            <w:r w:rsidRPr="004C78D8">
              <w:rPr>
                <w:sz w:val="18"/>
                <w:szCs w:val="18"/>
              </w:rPr>
              <w:fldChar w:fldCharType="end"/>
            </w:r>
            <w:r w:rsidRPr="004C78D8">
              <w:rPr>
                <w:sz w:val="18"/>
                <w:szCs w:val="18"/>
              </w:rPr>
              <w:t>.</w:t>
            </w:r>
          </w:p>
        </w:tc>
      </w:tr>
    </w:tbl>
    <w:p w14:paraId="5D110D86" w14:textId="77777777" w:rsidR="00D70338" w:rsidRPr="004C78D8" w:rsidRDefault="00D70338" w:rsidP="00FB7C1F"/>
    <w:p w14:paraId="14E46DFF" w14:textId="40456B9D" w:rsidR="002648AD" w:rsidRPr="004C78D8" w:rsidRDefault="00E614C0" w:rsidP="00FB7C1F">
      <w:pPr>
        <w:pStyle w:val="Heading5"/>
      </w:pPr>
      <w:r w:rsidRPr="004C78D8">
        <w:t>Outcomes b</w:t>
      </w:r>
      <w:r w:rsidR="002648AD" w:rsidRPr="004C78D8">
        <w:t xml:space="preserve">y </w:t>
      </w:r>
      <w:r w:rsidR="00FC3E60" w:rsidRPr="004C78D8">
        <w:t>other covariates at model entry</w:t>
      </w:r>
    </w:p>
    <w:p w14:paraId="18E9D125" w14:textId="7E0972A5" w:rsidR="004943E1" w:rsidRPr="004C78D8" w:rsidRDefault="005027EC" w:rsidP="00FB7C1F">
      <w:r w:rsidRPr="004C78D8">
        <w:t>The results of further subgroup analyses are presented in Appendix F: Table F</w:t>
      </w:r>
      <w:r w:rsidR="00EE331E" w:rsidRPr="004C78D8">
        <w:t xml:space="preserve">6 </w:t>
      </w:r>
      <w:r w:rsidRPr="004C78D8">
        <w:t>for outcomes by initial physical activity status; Table F</w:t>
      </w:r>
      <w:r w:rsidR="00EE331E" w:rsidRPr="004C78D8">
        <w:t xml:space="preserve">7 </w:t>
      </w:r>
      <w:r w:rsidRPr="004C78D8">
        <w:t>by initial cognitive status; Table F</w:t>
      </w:r>
      <w:r w:rsidR="00EE331E" w:rsidRPr="004C78D8">
        <w:t xml:space="preserve">8 </w:t>
      </w:r>
      <w:r w:rsidRPr="004C78D8">
        <w:t>by initial fear of falling status; Table F</w:t>
      </w:r>
      <w:r w:rsidR="00EE331E" w:rsidRPr="004C78D8">
        <w:t xml:space="preserve">9 </w:t>
      </w:r>
      <w:r w:rsidRPr="004C78D8">
        <w:t>by initial gait/balance status</w:t>
      </w:r>
      <w:r w:rsidR="005D5468" w:rsidRPr="004C78D8">
        <w:t>; Table F</w:t>
      </w:r>
      <w:r w:rsidR="00EE331E" w:rsidRPr="004C78D8">
        <w:t>10</w:t>
      </w:r>
      <w:r w:rsidR="005D5468" w:rsidRPr="004C78D8">
        <w:t xml:space="preserve"> by initial falls history type.</w:t>
      </w:r>
      <w:r w:rsidRPr="004C78D8">
        <w:t xml:space="preserve"> </w:t>
      </w:r>
    </w:p>
    <w:p w14:paraId="01ED136E" w14:textId="634365F5" w:rsidR="00130201" w:rsidRPr="004C78D8" w:rsidRDefault="00081C5E" w:rsidP="00FB7C1F">
      <w:r w:rsidRPr="004C78D8">
        <w:t>For the subgroups delineated by initial physical activity, t</w:t>
      </w:r>
      <w:r w:rsidR="00130201" w:rsidRPr="004C78D8">
        <w:t xml:space="preserve">he societal ICERs </w:t>
      </w:r>
      <w:r w:rsidR="00D677C5" w:rsidRPr="004C78D8">
        <w:t>ranged between £12,</w:t>
      </w:r>
      <w:r w:rsidR="00635AC6" w:rsidRPr="004C78D8">
        <w:t>570</w:t>
      </w:r>
      <w:r w:rsidR="00D677C5" w:rsidRPr="004C78D8">
        <w:t xml:space="preserve"> and £1</w:t>
      </w:r>
      <w:r w:rsidR="00635AC6" w:rsidRPr="004C78D8">
        <w:t>4</w:t>
      </w:r>
      <w:r w:rsidR="00D677C5" w:rsidRPr="004C78D8">
        <w:t>,</w:t>
      </w:r>
      <w:r w:rsidR="00635AC6" w:rsidRPr="004C78D8">
        <w:t>145</w:t>
      </w:r>
      <w:r w:rsidR="00D677C5" w:rsidRPr="004C78D8">
        <w:t xml:space="preserve"> per QALY gain</w:t>
      </w:r>
      <w:r w:rsidR="009F4A79" w:rsidRPr="004C78D8">
        <w:t>ed</w:t>
      </w:r>
      <w:r w:rsidR="00D677C5" w:rsidRPr="004C78D8">
        <w:t xml:space="preserve"> and hence </w:t>
      </w:r>
      <w:r w:rsidR="00130201" w:rsidRPr="004C78D8">
        <w:t xml:space="preserve">were </w:t>
      </w:r>
      <w:r w:rsidR="004B658C" w:rsidRPr="004C78D8">
        <w:t xml:space="preserve">below </w:t>
      </w:r>
      <w:r w:rsidR="00635AC6" w:rsidRPr="004C78D8">
        <w:t>the commonly accepted thresholds of cost-effectiveness</w:t>
      </w:r>
      <w:r w:rsidR="004B658C" w:rsidRPr="004C78D8">
        <w:t xml:space="preserve">. </w:t>
      </w:r>
      <w:r w:rsidR="00635AC6" w:rsidRPr="004C78D8">
        <w:t xml:space="preserve">The similar ICERs </w:t>
      </w:r>
      <w:r w:rsidR="004B658C" w:rsidRPr="004C78D8">
        <w:t>suggest</w:t>
      </w:r>
      <w:r w:rsidR="00635AC6" w:rsidRPr="004C78D8">
        <w:t>ed</w:t>
      </w:r>
      <w:r w:rsidR="004B658C" w:rsidRPr="004C78D8">
        <w:t xml:space="preserve"> that </w:t>
      </w:r>
      <w:r w:rsidR="00635AC6" w:rsidRPr="004C78D8">
        <w:t>those without high physical activity</w:t>
      </w:r>
      <w:r w:rsidR="004B658C" w:rsidRPr="004C78D8">
        <w:t xml:space="preserve"> </w:t>
      </w:r>
      <w:r w:rsidR="00635AC6" w:rsidRPr="004C78D8">
        <w:t xml:space="preserve">at entry were </w:t>
      </w:r>
      <w:r w:rsidR="004B658C" w:rsidRPr="004C78D8">
        <w:t xml:space="preserve">not </w:t>
      </w:r>
      <w:r w:rsidR="00635AC6" w:rsidRPr="004C78D8">
        <w:t xml:space="preserve">significantly </w:t>
      </w:r>
      <w:r w:rsidR="004B658C" w:rsidRPr="004C78D8">
        <w:t xml:space="preserve">disadvantaged </w:t>
      </w:r>
      <w:r w:rsidR="00B9396E" w:rsidRPr="004C78D8">
        <w:t>by</w:t>
      </w:r>
      <w:r w:rsidR="004B658C" w:rsidRPr="004C78D8">
        <w:t xml:space="preserve"> RC. </w:t>
      </w:r>
      <w:r w:rsidR="00B92B57" w:rsidRPr="004C78D8">
        <w:t>It also suggest</w:t>
      </w:r>
      <w:r w:rsidR="00635AC6" w:rsidRPr="004C78D8">
        <w:t>ed</w:t>
      </w:r>
      <w:r w:rsidR="00B92B57" w:rsidRPr="004C78D8">
        <w:t xml:space="preserve"> that </w:t>
      </w:r>
      <w:r w:rsidR="005406B3" w:rsidRPr="004C78D8">
        <w:t>RC</w:t>
      </w:r>
      <w:r w:rsidR="00B92B57" w:rsidRPr="004C78D8">
        <w:t xml:space="preserve"> can be supplemented by earlier</w:t>
      </w:r>
      <w:r w:rsidR="005406B3" w:rsidRPr="004C78D8">
        <w:t>-</w:t>
      </w:r>
      <w:r w:rsidR="00B92B57" w:rsidRPr="004C78D8">
        <w:t xml:space="preserve">life physical activity promotion without having a major impact on the cost-effectiveness of </w:t>
      </w:r>
      <w:r w:rsidR="005406B3" w:rsidRPr="004C78D8">
        <w:t>RC</w:t>
      </w:r>
      <w:r w:rsidR="00A73830" w:rsidRPr="004C78D8">
        <w:t xml:space="preserve"> vs. UC</w:t>
      </w:r>
      <w:r w:rsidR="00B92B57" w:rsidRPr="004C78D8">
        <w:t>.</w:t>
      </w:r>
    </w:p>
    <w:p w14:paraId="05A295B4" w14:textId="12FB7662" w:rsidR="001A2F97" w:rsidRPr="004C78D8" w:rsidRDefault="001A2F97" w:rsidP="00FB7C1F">
      <w:r w:rsidRPr="004C78D8">
        <w:t xml:space="preserve">The societal ICERs </w:t>
      </w:r>
      <w:r w:rsidR="00BF7F5E" w:rsidRPr="004C78D8">
        <w:t xml:space="preserve">delineated by initial cognitive status were higher for </w:t>
      </w:r>
      <w:r w:rsidR="007A44F4" w:rsidRPr="004C78D8">
        <w:t xml:space="preserve">the cognitively </w:t>
      </w:r>
      <w:r w:rsidR="00BF7F5E" w:rsidRPr="004C78D8">
        <w:t>impaired</w:t>
      </w:r>
      <w:r w:rsidR="007A44F4" w:rsidRPr="004C78D8">
        <w:t xml:space="preserve"> </w:t>
      </w:r>
      <w:r w:rsidR="00B9396E" w:rsidRPr="004C78D8">
        <w:t>than</w:t>
      </w:r>
      <w:r w:rsidR="007A44F4" w:rsidRPr="004C78D8">
        <w:t xml:space="preserve"> </w:t>
      </w:r>
      <w:r w:rsidR="00BF7F5E" w:rsidRPr="004C78D8">
        <w:t>intact, but they ranged between £12,</w:t>
      </w:r>
      <w:r w:rsidR="00150B91" w:rsidRPr="004C78D8">
        <w:t>571</w:t>
      </w:r>
      <w:r w:rsidR="00BF7F5E" w:rsidRPr="004C78D8">
        <w:t xml:space="preserve"> and £1</w:t>
      </w:r>
      <w:r w:rsidR="00150B91" w:rsidRPr="004C78D8">
        <w:t>5</w:t>
      </w:r>
      <w:r w:rsidR="00BF7F5E" w:rsidRPr="004C78D8">
        <w:t>,</w:t>
      </w:r>
      <w:r w:rsidR="00150B91" w:rsidRPr="004C78D8">
        <w:t>786</w:t>
      </w:r>
      <w:r w:rsidR="00BF7F5E" w:rsidRPr="004C78D8">
        <w:t xml:space="preserve"> per QALY gain</w:t>
      </w:r>
      <w:r w:rsidR="009F4A79" w:rsidRPr="004C78D8">
        <w:t>ed</w:t>
      </w:r>
      <w:r w:rsidR="00BF7F5E" w:rsidRPr="004C78D8">
        <w:t xml:space="preserve"> and hence were below </w:t>
      </w:r>
      <w:r w:rsidR="00150B91" w:rsidRPr="004C78D8">
        <w:t>the commonly accepted thresholds of cost-effectiveness</w:t>
      </w:r>
      <w:r w:rsidR="00BF7F5E" w:rsidRPr="004C78D8">
        <w:t>.</w:t>
      </w:r>
      <w:r w:rsidR="007A44F4" w:rsidRPr="004C78D8">
        <w:t xml:space="preserve"> </w:t>
      </w:r>
      <w:r w:rsidR="00D677C5" w:rsidRPr="004C78D8">
        <w:t>The per-capita QALY gain</w:t>
      </w:r>
      <w:r w:rsidR="00150B91" w:rsidRPr="004C78D8">
        <w:t>s</w:t>
      </w:r>
      <w:r w:rsidR="00D677C5" w:rsidRPr="004C78D8">
        <w:t xml:space="preserve"> w</w:t>
      </w:r>
      <w:r w:rsidR="00150B91" w:rsidRPr="004C78D8">
        <w:t>ere</w:t>
      </w:r>
      <w:r w:rsidR="00D677C5" w:rsidRPr="004C78D8">
        <w:t xml:space="preserve"> </w:t>
      </w:r>
      <w:r w:rsidR="00BF7F5E" w:rsidRPr="004C78D8">
        <w:t xml:space="preserve">in fact </w:t>
      </w:r>
      <w:r w:rsidR="00150B91" w:rsidRPr="004C78D8">
        <w:t>comparable across</w:t>
      </w:r>
      <w:r w:rsidR="00D677C5" w:rsidRPr="004C78D8">
        <w:t xml:space="preserve"> </w:t>
      </w:r>
      <w:r w:rsidR="00150B91" w:rsidRPr="004C78D8">
        <w:t xml:space="preserve">initial </w:t>
      </w:r>
      <w:r w:rsidR="00D677C5" w:rsidRPr="004C78D8">
        <w:t>cognitive</w:t>
      </w:r>
      <w:r w:rsidR="00150B91" w:rsidRPr="004C78D8">
        <w:t xml:space="preserve"> status</w:t>
      </w:r>
      <w:r w:rsidR="00D677C5" w:rsidRPr="004C78D8">
        <w:t xml:space="preserve"> (0.05</w:t>
      </w:r>
      <w:r w:rsidR="00150B91" w:rsidRPr="004C78D8">
        <w:t>1</w:t>
      </w:r>
      <w:r w:rsidR="00D677C5" w:rsidRPr="004C78D8">
        <w:t xml:space="preserve"> </w:t>
      </w:r>
      <w:r w:rsidR="00150B91" w:rsidRPr="004C78D8">
        <w:t xml:space="preserve">for intact </w:t>
      </w:r>
      <w:r w:rsidR="00D677C5" w:rsidRPr="004C78D8">
        <w:t>vs. 0.0</w:t>
      </w:r>
      <w:r w:rsidR="00150B91" w:rsidRPr="004C78D8">
        <w:t>47 for impaired</w:t>
      </w:r>
      <w:r w:rsidR="00D677C5" w:rsidRPr="004C78D8">
        <w:t xml:space="preserve">). </w:t>
      </w:r>
      <w:r w:rsidR="00150B91" w:rsidRPr="004C78D8">
        <w:t>By contrast, t</w:t>
      </w:r>
      <w:r w:rsidR="007A44F4" w:rsidRPr="004C78D8">
        <w:t>he s</w:t>
      </w:r>
      <w:r w:rsidR="002D39DD" w:rsidRPr="004C78D8">
        <w:t xml:space="preserve">ocietal gains were </w:t>
      </w:r>
      <w:r w:rsidR="00150B91" w:rsidRPr="004C78D8">
        <w:t>concentrated among</w:t>
      </w:r>
      <w:r w:rsidR="002D39DD" w:rsidRPr="004C78D8">
        <w:t xml:space="preserve"> </w:t>
      </w:r>
      <w:r w:rsidR="00BF7F5E" w:rsidRPr="004C78D8">
        <w:t>the intact</w:t>
      </w:r>
      <w:r w:rsidR="002D39DD" w:rsidRPr="004C78D8">
        <w:t xml:space="preserve">. </w:t>
      </w:r>
      <w:r w:rsidR="007A44F4" w:rsidRPr="004C78D8">
        <w:t>In all</w:t>
      </w:r>
      <w:r w:rsidR="0070665B" w:rsidRPr="004C78D8">
        <w:t xml:space="preserve">, </w:t>
      </w:r>
      <w:r w:rsidR="007A44F4" w:rsidRPr="004C78D8">
        <w:t xml:space="preserve">RC remains cost-effective relative to UC </w:t>
      </w:r>
      <w:r w:rsidR="00D677C5" w:rsidRPr="004C78D8">
        <w:t xml:space="preserve">across initial cognitive status </w:t>
      </w:r>
      <w:r w:rsidR="00150B91" w:rsidRPr="004C78D8">
        <w:t>but increases the gap in societal benefits between subgroups</w:t>
      </w:r>
      <w:r w:rsidR="00D677C5" w:rsidRPr="004C78D8">
        <w:t>.</w:t>
      </w:r>
      <w:r w:rsidR="0070665B" w:rsidRPr="004C78D8">
        <w:t xml:space="preserve"> </w:t>
      </w:r>
    </w:p>
    <w:p w14:paraId="522BBB06" w14:textId="3D63E553" w:rsidR="00B924B6" w:rsidRPr="004C78D8" w:rsidRDefault="00A6277F" w:rsidP="00FB7C1F">
      <w:r w:rsidRPr="004C78D8">
        <w:t>The societal ICERs ranged between £</w:t>
      </w:r>
      <w:r w:rsidR="0085742D" w:rsidRPr="004C78D8">
        <w:t>9</w:t>
      </w:r>
      <w:r w:rsidRPr="004C78D8">
        <w:t>,</w:t>
      </w:r>
      <w:r w:rsidR="0085742D" w:rsidRPr="004C78D8">
        <w:t>940</w:t>
      </w:r>
      <w:r w:rsidRPr="004C78D8">
        <w:t xml:space="preserve"> and £1</w:t>
      </w:r>
      <w:r w:rsidR="00267948" w:rsidRPr="004C78D8">
        <w:t>4</w:t>
      </w:r>
      <w:r w:rsidRPr="004C78D8">
        <w:t>,</w:t>
      </w:r>
      <w:r w:rsidR="0085742D" w:rsidRPr="004C78D8">
        <w:t>098</w:t>
      </w:r>
      <w:r w:rsidRPr="004C78D8">
        <w:t xml:space="preserve"> per QALY gain</w:t>
      </w:r>
      <w:r w:rsidR="009F4A79" w:rsidRPr="004C78D8">
        <w:t>ed</w:t>
      </w:r>
      <w:r w:rsidRPr="004C78D8">
        <w:t xml:space="preserve"> for subgroups delineated by </w:t>
      </w:r>
      <w:r w:rsidR="00EA2045" w:rsidRPr="004C78D8">
        <w:t>initial</w:t>
      </w:r>
      <w:r w:rsidR="003C6021" w:rsidRPr="004C78D8">
        <w:t xml:space="preserve"> fear of falling. </w:t>
      </w:r>
      <w:r w:rsidRPr="004C78D8">
        <w:t xml:space="preserve">They were </w:t>
      </w:r>
      <w:r w:rsidR="00267948" w:rsidRPr="004C78D8">
        <w:t xml:space="preserve">markedly lower for those with initial fear than those without; </w:t>
      </w:r>
      <w:r w:rsidRPr="004C78D8">
        <w:t>the per-capita QALY gain was likewise higher for those with fear</w:t>
      </w:r>
      <w:r w:rsidR="00267948" w:rsidRPr="004C78D8">
        <w:t xml:space="preserve"> (0.0</w:t>
      </w:r>
      <w:r w:rsidR="0085742D" w:rsidRPr="004C78D8">
        <w:t>69</w:t>
      </w:r>
      <w:r w:rsidR="00267948" w:rsidRPr="004C78D8">
        <w:t xml:space="preserve"> vs. 0.05</w:t>
      </w:r>
      <w:r w:rsidR="0085742D" w:rsidRPr="004C78D8">
        <w:t>0</w:t>
      </w:r>
      <w:r w:rsidR="00267948" w:rsidRPr="004C78D8">
        <w:t>)</w:t>
      </w:r>
      <w:r w:rsidRPr="004C78D8">
        <w:t xml:space="preserve">. </w:t>
      </w:r>
      <w:r w:rsidR="0085742D" w:rsidRPr="004C78D8">
        <w:t>T</w:t>
      </w:r>
      <w:r w:rsidR="00267948" w:rsidRPr="004C78D8">
        <w:t>he</w:t>
      </w:r>
      <w:r w:rsidR="003A4ABA" w:rsidRPr="004C78D8">
        <w:t xml:space="preserve"> </w:t>
      </w:r>
      <w:r w:rsidR="00763A9B" w:rsidRPr="004C78D8">
        <w:t>societal gain</w:t>
      </w:r>
      <w:r w:rsidR="00267948" w:rsidRPr="004C78D8">
        <w:t>s</w:t>
      </w:r>
      <w:r w:rsidR="00763A9B" w:rsidRPr="004C78D8">
        <w:t xml:space="preserve"> </w:t>
      </w:r>
      <w:r w:rsidR="00267948" w:rsidRPr="004C78D8">
        <w:t>were</w:t>
      </w:r>
      <w:r w:rsidR="00763A9B" w:rsidRPr="004C78D8">
        <w:t xml:space="preserve"> net negative for those with fear and net positive for those without. </w:t>
      </w:r>
      <w:r w:rsidRPr="004C78D8">
        <w:t>Therefore</w:t>
      </w:r>
      <w:r w:rsidR="00EF2F64" w:rsidRPr="004C78D8">
        <w:t xml:space="preserve">, RC </w:t>
      </w:r>
      <w:r w:rsidR="009E61B5" w:rsidRPr="004C78D8">
        <w:t>is</w:t>
      </w:r>
      <w:r w:rsidRPr="004C78D8">
        <w:t xml:space="preserve"> cost-effective relative to UC across initial fear of falling status </w:t>
      </w:r>
      <w:r w:rsidR="009E61B5" w:rsidRPr="004C78D8">
        <w:t>and particularly favours those with initial fear of falling</w:t>
      </w:r>
      <w:r w:rsidR="00EF2F64" w:rsidRPr="004C78D8">
        <w:t xml:space="preserve">. </w:t>
      </w:r>
    </w:p>
    <w:p w14:paraId="5F28AD8A" w14:textId="7F0E8E95" w:rsidR="00F56072" w:rsidRPr="004C78D8" w:rsidRDefault="00BB2820" w:rsidP="00FB7C1F">
      <w:r w:rsidRPr="004C78D8">
        <w:t>The societal ICERs ranged between £1</w:t>
      </w:r>
      <w:r w:rsidR="00813884" w:rsidRPr="004C78D8">
        <w:t>2</w:t>
      </w:r>
      <w:r w:rsidRPr="004C78D8">
        <w:t>,2</w:t>
      </w:r>
      <w:r w:rsidR="00813884" w:rsidRPr="004C78D8">
        <w:t>4</w:t>
      </w:r>
      <w:r w:rsidRPr="004C78D8">
        <w:t>8 and £14,</w:t>
      </w:r>
      <w:r w:rsidR="00813884" w:rsidRPr="004C78D8">
        <w:t>276</w:t>
      </w:r>
      <w:r w:rsidRPr="004C78D8">
        <w:t xml:space="preserve"> per QALY gain</w:t>
      </w:r>
      <w:r w:rsidR="009F4A79" w:rsidRPr="004C78D8">
        <w:t>ed</w:t>
      </w:r>
      <w:r w:rsidRPr="004C78D8">
        <w:t xml:space="preserve"> for subgroups delineated by initial gait/balance. </w:t>
      </w:r>
      <w:r w:rsidR="003A4ABA" w:rsidRPr="004C78D8">
        <w:t>The</w:t>
      </w:r>
      <w:r w:rsidR="00813884" w:rsidRPr="004C78D8">
        <w:t xml:space="preserve"> societal ICER considering all-cause care costs</w:t>
      </w:r>
      <w:r w:rsidR="003A4ABA" w:rsidRPr="004C78D8">
        <w:t xml:space="preserve"> w</w:t>
      </w:r>
      <w:r w:rsidR="00813884" w:rsidRPr="004C78D8">
        <w:t>as</w:t>
      </w:r>
      <w:r w:rsidR="003A4ABA" w:rsidRPr="004C78D8">
        <w:t xml:space="preserve"> </w:t>
      </w:r>
      <w:r w:rsidRPr="004C78D8">
        <w:t>low</w:t>
      </w:r>
      <w:r w:rsidR="003A4ABA" w:rsidRPr="004C78D8">
        <w:t>er for those with initial abnormal gait/balance</w:t>
      </w:r>
      <w:r w:rsidRPr="004C78D8">
        <w:t xml:space="preserve">, </w:t>
      </w:r>
      <w:r w:rsidR="00813884" w:rsidRPr="004C78D8">
        <w:t>suggesting that</w:t>
      </w:r>
      <w:r w:rsidRPr="004C78D8">
        <w:t xml:space="preserve"> prioritising those with abnormal gait/balance under the proactive pathway of RC is a cost-effective strategy</w:t>
      </w:r>
      <w:r w:rsidR="00813884" w:rsidRPr="004C78D8">
        <w:t xml:space="preserve">. </w:t>
      </w:r>
    </w:p>
    <w:p w14:paraId="20701C1C" w14:textId="5D00FBC0" w:rsidR="00741DF9" w:rsidRPr="004C78D8" w:rsidRDefault="003503CF" w:rsidP="00FB7C1F">
      <w:r w:rsidRPr="004C78D8">
        <w:t>T</w:t>
      </w:r>
      <w:r w:rsidR="003A4ABA" w:rsidRPr="004C78D8">
        <w:t xml:space="preserve">here were </w:t>
      </w:r>
      <w:r w:rsidR="00813884" w:rsidRPr="004C78D8">
        <w:t>noticeable</w:t>
      </w:r>
      <w:r w:rsidR="003A4ABA" w:rsidRPr="004C78D8">
        <w:t xml:space="preserve"> </w:t>
      </w:r>
      <w:r w:rsidR="00813884" w:rsidRPr="004C78D8">
        <w:t>variations</w:t>
      </w:r>
      <w:r w:rsidR="003A4ABA" w:rsidRPr="004C78D8">
        <w:t xml:space="preserve"> in the societal ICERs across initial fall history types. Those with histories of recurrent non-MA falls or recurrent falls with one or more MA fall had markedly lower ICERs than those with </w:t>
      </w:r>
      <w:r w:rsidR="00813884" w:rsidRPr="004C78D8">
        <w:t>other falls history types</w:t>
      </w:r>
      <w:r w:rsidR="003A4ABA" w:rsidRPr="004C78D8">
        <w:t xml:space="preserve">. </w:t>
      </w:r>
      <w:r w:rsidR="00DA3295" w:rsidRPr="004C78D8">
        <w:t>T</w:t>
      </w:r>
      <w:r w:rsidR="00417C13" w:rsidRPr="004C78D8">
        <w:t>h</w:t>
      </w:r>
      <w:r w:rsidR="00CF72AF" w:rsidRPr="004C78D8">
        <w:t>ese</w:t>
      </w:r>
      <w:r w:rsidR="00417C13" w:rsidRPr="004C78D8">
        <w:t xml:space="preserve"> suggest that prioritising those with falls history under the reactive and proactive pathways </w:t>
      </w:r>
      <w:r w:rsidR="00DA3295" w:rsidRPr="004C78D8">
        <w:t xml:space="preserve">of RC </w:t>
      </w:r>
      <w:r w:rsidR="00417C13" w:rsidRPr="004C78D8">
        <w:t xml:space="preserve">is a </w:t>
      </w:r>
      <w:r w:rsidR="00DA3295" w:rsidRPr="004C78D8">
        <w:t xml:space="preserve">highly </w:t>
      </w:r>
      <w:r w:rsidR="00417C13" w:rsidRPr="004C78D8">
        <w:t xml:space="preserve">cost-effective strategy. </w:t>
      </w:r>
      <w:r w:rsidR="00245514" w:rsidRPr="004C78D8">
        <w:t>The societal gains were net positive for all subgroups, though concentrated among those without initial falls history.</w:t>
      </w:r>
    </w:p>
    <w:p w14:paraId="56073135" w14:textId="4B800DBD" w:rsidR="002648AD" w:rsidRPr="004C78D8" w:rsidRDefault="00EE331E" w:rsidP="00FB7C1F">
      <w:pPr>
        <w:pStyle w:val="Heading4"/>
      </w:pPr>
      <w:r w:rsidRPr="004C78D8">
        <w:t>6</w:t>
      </w:r>
      <w:r w:rsidR="002648AD" w:rsidRPr="004C78D8">
        <w:t>.</w:t>
      </w:r>
      <w:r w:rsidR="00460A5E" w:rsidRPr="004C78D8">
        <w:t>2.</w:t>
      </w:r>
      <w:r w:rsidR="00C52A0E" w:rsidRPr="004C78D8">
        <w:t>4</w:t>
      </w:r>
      <w:r w:rsidR="002648AD" w:rsidRPr="004C78D8">
        <w:t xml:space="preserve">.2 </w:t>
      </w:r>
      <w:r w:rsidR="001C782C" w:rsidRPr="004C78D8">
        <w:t>Intervention</w:t>
      </w:r>
      <w:r w:rsidR="002648AD" w:rsidRPr="004C78D8">
        <w:t xml:space="preserve"> </w:t>
      </w:r>
      <w:r w:rsidR="001C782C" w:rsidRPr="004C78D8">
        <w:t>use</w:t>
      </w:r>
      <w:r w:rsidR="00CB2076" w:rsidRPr="004C78D8">
        <w:t xml:space="preserve">r profile </w:t>
      </w:r>
      <w:r w:rsidR="001C782C" w:rsidRPr="004C78D8">
        <w:t>by pathway</w:t>
      </w:r>
    </w:p>
    <w:p w14:paraId="7E21B37C" w14:textId="23C12894" w:rsidR="002648AD" w:rsidRPr="004C78D8" w:rsidRDefault="00837E34" w:rsidP="00FB7C1F">
      <w:r w:rsidRPr="004C78D8">
        <w:t xml:space="preserve">This section explores the </w:t>
      </w:r>
      <w:r w:rsidR="00955DB8" w:rsidRPr="004C78D8">
        <w:t>variation</w:t>
      </w:r>
      <w:r w:rsidRPr="004C78D8">
        <w:t xml:space="preserve"> in the intervention user profile by pathway. </w:t>
      </w:r>
      <w:bookmarkStart w:id="189" w:name="_Hlk111225308"/>
      <w:r w:rsidR="00EE18A0" w:rsidRPr="004C78D8">
        <w:t xml:space="preserve">Table </w:t>
      </w:r>
      <w:r w:rsidR="00F301D3" w:rsidRPr="004C78D8">
        <w:t>F11</w:t>
      </w:r>
      <w:r w:rsidR="006C2D89" w:rsidRPr="004C78D8">
        <w:t xml:space="preserve"> </w:t>
      </w:r>
      <w:r w:rsidR="00EE18A0" w:rsidRPr="004C78D8">
        <w:t>describe</w:t>
      </w:r>
      <w:r w:rsidR="00B456F7" w:rsidRPr="004C78D8">
        <w:t>s</w:t>
      </w:r>
      <w:r w:rsidR="00EE18A0" w:rsidRPr="004C78D8">
        <w:t xml:space="preserve"> the characteristics of intervention users by pathway</w:t>
      </w:r>
      <w:r w:rsidR="003F3AB2" w:rsidRPr="004C78D8">
        <w:t xml:space="preserve"> </w:t>
      </w:r>
      <w:r w:rsidR="00BB412A" w:rsidRPr="004C78D8">
        <w:t>under UC and RC</w:t>
      </w:r>
      <w:r w:rsidR="003F3AB2" w:rsidRPr="004C78D8">
        <w:t xml:space="preserve"> over the 40-year horizon</w:t>
      </w:r>
      <w:r w:rsidR="00EE18A0" w:rsidRPr="004C78D8">
        <w:t xml:space="preserve">. </w:t>
      </w:r>
      <w:bookmarkEnd w:id="189"/>
      <w:r w:rsidR="00A03977" w:rsidRPr="004C78D8">
        <w:t>The total person-years of intervention use across all pathways increased by over tenfold from 159,</w:t>
      </w:r>
      <w:r w:rsidR="00955DB8" w:rsidRPr="004C78D8">
        <w:t>169</w:t>
      </w:r>
      <w:r w:rsidR="00A03977" w:rsidRPr="004C78D8">
        <w:t xml:space="preserve"> </w:t>
      </w:r>
      <w:r w:rsidR="00BB7A50" w:rsidRPr="004C78D8">
        <w:t xml:space="preserve">under UC </w:t>
      </w:r>
      <w:r w:rsidR="00A03977" w:rsidRPr="004C78D8">
        <w:t>to 1,71</w:t>
      </w:r>
      <w:r w:rsidR="00955DB8" w:rsidRPr="004C78D8">
        <w:t>0</w:t>
      </w:r>
      <w:r w:rsidR="00A03977" w:rsidRPr="004C78D8">
        <w:t>,</w:t>
      </w:r>
      <w:r w:rsidR="00955DB8" w:rsidRPr="004C78D8">
        <w:t>424</w:t>
      </w:r>
      <w:r w:rsidR="00BB7A50" w:rsidRPr="004C78D8">
        <w:t xml:space="preserve"> under RC</w:t>
      </w:r>
      <w:r w:rsidR="00A03977" w:rsidRPr="004C78D8">
        <w:t xml:space="preserve">; the annual average </w:t>
      </w:r>
      <w:r w:rsidR="00D40F96" w:rsidRPr="004C78D8">
        <w:t>usage</w:t>
      </w:r>
      <w:r w:rsidR="00A03977" w:rsidRPr="004C78D8">
        <w:t xml:space="preserve"> increased from 3,9</w:t>
      </w:r>
      <w:r w:rsidR="00955DB8" w:rsidRPr="004C78D8">
        <w:t>79</w:t>
      </w:r>
      <w:r w:rsidR="00A03977" w:rsidRPr="004C78D8">
        <w:t xml:space="preserve"> to 42,</w:t>
      </w:r>
      <w:r w:rsidR="00955DB8" w:rsidRPr="004C78D8">
        <w:t>761</w:t>
      </w:r>
      <w:r w:rsidR="00A03977" w:rsidRPr="004C78D8">
        <w:t>.</w:t>
      </w:r>
      <w:r w:rsidR="000C4723" w:rsidRPr="004C78D8">
        <w:t xml:space="preserve"> The self-referred pathway experienced the largest </w:t>
      </w:r>
      <w:r w:rsidR="007F5549" w:rsidRPr="004C78D8">
        <w:t>proportional</w:t>
      </w:r>
      <w:r w:rsidR="00935F7E" w:rsidRPr="004C78D8">
        <w:t xml:space="preserve"> expansion, increasing 2</w:t>
      </w:r>
      <w:r w:rsidR="00241D36" w:rsidRPr="004C78D8">
        <w:t>72</w:t>
      </w:r>
      <w:r w:rsidR="00935F7E" w:rsidRPr="004C78D8">
        <w:t>-fold from 4</w:t>
      </w:r>
      <w:r w:rsidR="00955DB8" w:rsidRPr="004C78D8">
        <w:t>7</w:t>
      </w:r>
      <w:r w:rsidR="00935F7E" w:rsidRPr="004C78D8">
        <w:t xml:space="preserve"> users per year to 12,</w:t>
      </w:r>
      <w:r w:rsidR="00955DB8" w:rsidRPr="004C78D8">
        <w:t>793</w:t>
      </w:r>
      <w:r w:rsidR="00935F7E" w:rsidRPr="004C78D8">
        <w:t>. The proactive pathway use increased around 18-fold from 1,5</w:t>
      </w:r>
      <w:r w:rsidR="00795B61" w:rsidRPr="004C78D8">
        <w:t>1</w:t>
      </w:r>
      <w:r w:rsidR="00733C09" w:rsidRPr="004C78D8">
        <w:t>7</w:t>
      </w:r>
      <w:r w:rsidR="00935F7E" w:rsidRPr="004C78D8">
        <w:t xml:space="preserve"> users per year to 26,9</w:t>
      </w:r>
      <w:r w:rsidR="00733C09" w:rsidRPr="004C78D8">
        <w:t>2</w:t>
      </w:r>
      <w:r w:rsidR="00795B61" w:rsidRPr="004C78D8">
        <w:t>8</w:t>
      </w:r>
      <w:r w:rsidR="00935F7E" w:rsidRPr="004C78D8">
        <w:t xml:space="preserve">. </w:t>
      </w:r>
      <w:r w:rsidR="004778D2" w:rsidRPr="004C78D8">
        <w:t>U</w:t>
      </w:r>
      <w:r w:rsidR="00BB7A50" w:rsidRPr="004C78D8">
        <w:t xml:space="preserve">nder RC, </w:t>
      </w:r>
      <w:r w:rsidR="004778D2" w:rsidRPr="004C78D8">
        <w:t>there were 21,131 annual falls clinic</w:t>
      </w:r>
      <w:r w:rsidR="00E766B6" w:rsidRPr="004C78D8">
        <w:t xml:space="preserve"> clients</w:t>
      </w:r>
      <w:r w:rsidR="004778D2" w:rsidRPr="004C78D8">
        <w:t xml:space="preserve">, consistent with the total capacity of seven clinics and 3,000 clients per clinic. This number encompassed </w:t>
      </w:r>
      <w:r w:rsidR="00BB7A50" w:rsidRPr="004C78D8">
        <w:t xml:space="preserve">a mix of reactive and proactive </w:t>
      </w:r>
      <w:r w:rsidR="004778D2" w:rsidRPr="004C78D8">
        <w:t>clients.</w:t>
      </w:r>
    </w:p>
    <w:p w14:paraId="290E2726" w14:textId="091ECE8B" w:rsidR="0039372A" w:rsidRPr="004C78D8" w:rsidRDefault="00F33372" w:rsidP="00FB7C1F">
      <w:r w:rsidRPr="004C78D8">
        <w:t xml:space="preserve">Comparing the characteristics of reactive pathway users between UC and RC, the proportions of users in their sixties and in the fit and mild frailty categories </w:t>
      </w:r>
      <w:r w:rsidR="004B5EC1" w:rsidRPr="004C78D8">
        <w:t>we</w:t>
      </w:r>
      <w:r w:rsidRPr="004C78D8">
        <w:t xml:space="preserve">re </w:t>
      </w:r>
      <w:r w:rsidR="00733C09" w:rsidRPr="004C78D8">
        <w:t xml:space="preserve">markedly </w:t>
      </w:r>
      <w:r w:rsidRPr="004C78D8">
        <w:t>higher under RC than UC: e.g., 1</w:t>
      </w:r>
      <w:r w:rsidR="00E02525" w:rsidRPr="004C78D8">
        <w:t>4</w:t>
      </w:r>
      <w:r w:rsidRPr="004C78D8">
        <w:t>.</w:t>
      </w:r>
      <w:r w:rsidR="00E02525" w:rsidRPr="004C78D8">
        <w:t>9</w:t>
      </w:r>
      <w:r w:rsidRPr="004C78D8">
        <w:t>% of reactive pathway users were aged 60-64 at use under RC compared to 8.</w:t>
      </w:r>
      <w:r w:rsidR="00733C09" w:rsidRPr="004C78D8">
        <w:t>1</w:t>
      </w:r>
      <w:r w:rsidRPr="004C78D8">
        <w:t xml:space="preserve">% under UC. </w:t>
      </w:r>
      <w:r w:rsidR="001A5594" w:rsidRPr="004C78D8">
        <w:t>The proportions delineated by sex and SES quartile were similar between UC and RC</w:t>
      </w:r>
      <w:r w:rsidR="0039372A" w:rsidRPr="004C78D8">
        <w:t>, though the proportion of users in the 4</w:t>
      </w:r>
      <w:r w:rsidR="0039372A" w:rsidRPr="004C78D8">
        <w:rPr>
          <w:vertAlign w:val="superscript"/>
        </w:rPr>
        <w:t>th</w:t>
      </w:r>
      <w:r w:rsidR="0039372A" w:rsidRPr="004C78D8">
        <w:t xml:space="preserve"> SES quartile declined from 1</w:t>
      </w:r>
      <w:r w:rsidR="00733C09" w:rsidRPr="004C78D8">
        <w:t>9</w:t>
      </w:r>
      <w:r w:rsidR="0039372A" w:rsidRPr="004C78D8">
        <w:t>.</w:t>
      </w:r>
      <w:r w:rsidR="00733C09" w:rsidRPr="004C78D8">
        <w:t>0</w:t>
      </w:r>
      <w:r w:rsidR="0039372A" w:rsidRPr="004C78D8">
        <w:t xml:space="preserve">% </w:t>
      </w:r>
      <w:r w:rsidR="004B5EC1" w:rsidRPr="004C78D8">
        <w:t xml:space="preserve">in UC </w:t>
      </w:r>
      <w:r w:rsidR="0039372A" w:rsidRPr="004C78D8">
        <w:t>to 16.</w:t>
      </w:r>
      <w:r w:rsidR="00E02525" w:rsidRPr="004C78D8">
        <w:t>7</w:t>
      </w:r>
      <w:r w:rsidR="0039372A" w:rsidRPr="004C78D8">
        <w:t>%</w:t>
      </w:r>
      <w:r w:rsidR="004B5EC1" w:rsidRPr="004C78D8">
        <w:t xml:space="preserve"> in RC</w:t>
      </w:r>
      <w:r w:rsidR="001A5594" w:rsidRPr="004C78D8">
        <w:t xml:space="preserve">. The proportion of users who are cognitively impaired declined under RC relative to UC, though their absolute number increased. </w:t>
      </w:r>
    </w:p>
    <w:p w14:paraId="24370C8C" w14:textId="5A13177B" w:rsidR="004E1CB3" w:rsidRPr="004C78D8" w:rsidRDefault="0039372A" w:rsidP="00FB7C1F">
      <w:r w:rsidRPr="004C78D8">
        <w:t>For the proactive pathway, there was a</w:t>
      </w:r>
      <w:r w:rsidR="00E31C30" w:rsidRPr="004C78D8">
        <w:t>n</w:t>
      </w:r>
      <w:r w:rsidRPr="004C78D8">
        <w:t xml:space="preserve"> increase in the proportion of users in the fit and mild frailty categories under RC than UC.</w:t>
      </w:r>
      <w:r w:rsidR="008B5367" w:rsidRPr="004C78D8">
        <w:t xml:space="preserve"> The proportion of male users increased from 40.</w:t>
      </w:r>
      <w:r w:rsidR="00062A63" w:rsidRPr="004C78D8">
        <w:t>1</w:t>
      </w:r>
      <w:r w:rsidR="008B5367" w:rsidRPr="004C78D8">
        <w:t>% under UC to 4</w:t>
      </w:r>
      <w:r w:rsidR="00062A63" w:rsidRPr="004C78D8">
        <w:t>5</w:t>
      </w:r>
      <w:r w:rsidR="008B5367" w:rsidRPr="004C78D8">
        <w:t>.</w:t>
      </w:r>
      <w:r w:rsidR="00062A63" w:rsidRPr="004C78D8">
        <w:t>9</w:t>
      </w:r>
      <w:r w:rsidR="008B5367" w:rsidRPr="004C78D8">
        <w:t xml:space="preserve">% under RC. The proportions by SES quartiles remained constant </w:t>
      </w:r>
      <w:r w:rsidR="00366213" w:rsidRPr="004C78D8">
        <w:t xml:space="preserve">across UC and RC, though </w:t>
      </w:r>
      <w:r w:rsidR="008B5367" w:rsidRPr="004C78D8">
        <w:t xml:space="preserve">with a </w:t>
      </w:r>
      <w:r w:rsidR="004E1CB3" w:rsidRPr="004C78D8">
        <w:t xml:space="preserve">slight </w:t>
      </w:r>
      <w:r w:rsidR="008B5367" w:rsidRPr="004C78D8">
        <w:t>decline in the proportion of users in the 4</w:t>
      </w:r>
      <w:r w:rsidR="008B5367" w:rsidRPr="004C78D8">
        <w:rPr>
          <w:vertAlign w:val="superscript"/>
        </w:rPr>
        <w:t>th</w:t>
      </w:r>
      <w:r w:rsidR="008B5367" w:rsidRPr="004C78D8">
        <w:t xml:space="preserve"> SES quartile.</w:t>
      </w:r>
      <w:r w:rsidR="001E56B5" w:rsidRPr="004C78D8">
        <w:t xml:space="preserve"> Cognitively impaired persons were ineligible for proactive intervention under UC; by contrast, they made up 26.</w:t>
      </w:r>
      <w:r w:rsidR="00062A63" w:rsidRPr="004C78D8">
        <w:t>8</w:t>
      </w:r>
      <w:r w:rsidR="001E56B5" w:rsidRPr="004C78D8">
        <w:t xml:space="preserve">% of proactive intervention users under RC. </w:t>
      </w:r>
      <w:r w:rsidR="0048759A" w:rsidRPr="004C78D8">
        <w:t>Due to the use of abnormal gait/balance as a criterion of proactive referral, the proportion of users with this characteristic increased from 6</w:t>
      </w:r>
      <w:r w:rsidR="00733C09" w:rsidRPr="004C78D8">
        <w:t>2</w:t>
      </w:r>
      <w:r w:rsidR="0048759A" w:rsidRPr="004C78D8">
        <w:t>.</w:t>
      </w:r>
      <w:r w:rsidR="00733C09" w:rsidRPr="004C78D8">
        <w:t>1</w:t>
      </w:r>
      <w:r w:rsidR="0048759A" w:rsidRPr="004C78D8">
        <w:t>% under UC to 79.</w:t>
      </w:r>
      <w:r w:rsidR="00733C09" w:rsidRPr="004C78D8">
        <w:t>8</w:t>
      </w:r>
      <w:r w:rsidR="0048759A" w:rsidRPr="004C78D8">
        <w:t xml:space="preserve">% under RC. </w:t>
      </w:r>
    </w:p>
    <w:p w14:paraId="65CE52B1" w14:textId="4EBAED97" w:rsidR="003C5927" w:rsidRPr="004C78D8" w:rsidRDefault="004E1CB3" w:rsidP="00FB7C1F">
      <w:r w:rsidRPr="004C78D8">
        <w:t>For the self-referred pathway, the simple assumption used to characterise its access under UC resulted in less credible access patterns: e.g., 100% of users were from the 1</w:t>
      </w:r>
      <w:r w:rsidRPr="004C78D8">
        <w:rPr>
          <w:vertAlign w:val="superscript"/>
        </w:rPr>
        <w:t>st</w:t>
      </w:r>
      <w:r w:rsidRPr="004C78D8">
        <w:t xml:space="preserve"> SES quartile. But the very small number of users under UC likely minimises </w:t>
      </w:r>
      <w:r w:rsidR="00027F13" w:rsidRPr="004C78D8">
        <w:t>its</w:t>
      </w:r>
      <w:r w:rsidRPr="004C78D8">
        <w:t xml:space="preserve"> impact on results.</w:t>
      </w:r>
      <w:r w:rsidR="00B52998" w:rsidRPr="004C78D8">
        <w:t xml:space="preserve"> The ELSA-derived access pattern for RC is more credible. Comparing this pattern to those of reactive and proactive pathways under RC, the self-referred pathway users </w:t>
      </w:r>
      <w:r w:rsidR="00403DDD" w:rsidRPr="004C78D8">
        <w:t>we</w:t>
      </w:r>
      <w:r w:rsidR="00B52998" w:rsidRPr="004C78D8">
        <w:t>re younger (e.g., 4</w:t>
      </w:r>
      <w:r w:rsidR="000F3A15" w:rsidRPr="004C78D8">
        <w:t>5</w:t>
      </w:r>
      <w:r w:rsidR="00B52998" w:rsidRPr="004C78D8">
        <w:t>.</w:t>
      </w:r>
      <w:r w:rsidR="000F3A15" w:rsidRPr="004C78D8">
        <w:t>0</w:t>
      </w:r>
      <w:r w:rsidR="00B52998" w:rsidRPr="004C78D8">
        <w:t>% aged 60-69 compared to 29.</w:t>
      </w:r>
      <w:r w:rsidR="00837E34" w:rsidRPr="004C78D8">
        <w:t>1</w:t>
      </w:r>
      <w:r w:rsidR="00B52998" w:rsidRPr="004C78D8">
        <w:t>% in reactive and 3</w:t>
      </w:r>
      <w:r w:rsidR="00837E34" w:rsidRPr="004C78D8">
        <w:t>3</w:t>
      </w:r>
      <w:r w:rsidR="00B52998" w:rsidRPr="004C78D8">
        <w:t>.</w:t>
      </w:r>
      <w:r w:rsidR="00837E34" w:rsidRPr="004C78D8">
        <w:t>0</w:t>
      </w:r>
      <w:r w:rsidR="00B52998" w:rsidRPr="004C78D8">
        <w:t>% in proactive pathways), ha</w:t>
      </w:r>
      <w:r w:rsidR="00403DDD" w:rsidRPr="004C78D8">
        <w:t>d</w:t>
      </w:r>
      <w:r w:rsidR="00B52998" w:rsidRPr="004C78D8">
        <w:t xml:space="preserve"> higher proportion of women, </w:t>
      </w:r>
      <w:r w:rsidR="00403DDD" w:rsidRPr="004C78D8">
        <w:t xml:space="preserve">were </w:t>
      </w:r>
      <w:r w:rsidR="00B52998" w:rsidRPr="004C78D8">
        <w:t>less frail (e.g., 70.</w:t>
      </w:r>
      <w:r w:rsidR="000F3A15" w:rsidRPr="004C78D8">
        <w:t>9</w:t>
      </w:r>
      <w:r w:rsidR="00B52998" w:rsidRPr="004C78D8">
        <w:t>% in fit or mild frailty categories compared to 5</w:t>
      </w:r>
      <w:r w:rsidR="00837E34" w:rsidRPr="004C78D8">
        <w:t>2</w:t>
      </w:r>
      <w:r w:rsidR="00B52998" w:rsidRPr="004C78D8">
        <w:t>.</w:t>
      </w:r>
      <w:r w:rsidR="000F3A15" w:rsidRPr="004C78D8">
        <w:t>3</w:t>
      </w:r>
      <w:r w:rsidR="00B52998" w:rsidRPr="004C78D8">
        <w:t>% in reactive and 6</w:t>
      </w:r>
      <w:r w:rsidR="00837E34" w:rsidRPr="004C78D8">
        <w:t>5</w:t>
      </w:r>
      <w:r w:rsidR="00B52998" w:rsidRPr="004C78D8">
        <w:t>.</w:t>
      </w:r>
      <w:r w:rsidR="00837E34" w:rsidRPr="004C78D8">
        <w:t>2</w:t>
      </w:r>
      <w:r w:rsidR="00B52998" w:rsidRPr="004C78D8">
        <w:t xml:space="preserve">% in proactive), </w:t>
      </w:r>
      <w:r w:rsidR="00EB5EE7" w:rsidRPr="004C78D8">
        <w:t xml:space="preserve">and </w:t>
      </w:r>
      <w:r w:rsidR="00B52998" w:rsidRPr="004C78D8">
        <w:t>ha</w:t>
      </w:r>
      <w:r w:rsidR="00403DDD" w:rsidRPr="004C78D8">
        <w:t>d</w:t>
      </w:r>
      <w:r w:rsidR="00B52998" w:rsidRPr="004C78D8">
        <w:t xml:space="preserve"> higher proportions of persons with high physical activity, intact cognitive status, no fear of falling, no abnormal gait/balance and no falls history. </w:t>
      </w:r>
      <w:r w:rsidR="00A664FD" w:rsidRPr="004C78D8">
        <w:t>T</w:t>
      </w:r>
      <w:r w:rsidR="00403DDD" w:rsidRPr="004C78D8">
        <w:t xml:space="preserve">he </w:t>
      </w:r>
      <w:r w:rsidR="00A664FD" w:rsidRPr="004C78D8">
        <w:t>SES</w:t>
      </w:r>
      <w:r w:rsidR="00EB5EE7" w:rsidRPr="004C78D8">
        <w:t xml:space="preserve"> of users was similar across pathways: 52.</w:t>
      </w:r>
      <w:r w:rsidR="000F3A15" w:rsidRPr="004C78D8">
        <w:t>7</w:t>
      </w:r>
      <w:r w:rsidR="00EB5EE7" w:rsidRPr="004C78D8">
        <w:t>% of self-referred users were in the 1</w:t>
      </w:r>
      <w:r w:rsidR="00EB5EE7" w:rsidRPr="004C78D8">
        <w:rPr>
          <w:vertAlign w:val="superscript"/>
        </w:rPr>
        <w:t>st</w:t>
      </w:r>
      <w:r w:rsidR="00EB5EE7" w:rsidRPr="004C78D8">
        <w:t xml:space="preserve"> and 2</w:t>
      </w:r>
      <w:r w:rsidR="00EB5EE7" w:rsidRPr="004C78D8">
        <w:rPr>
          <w:vertAlign w:val="superscript"/>
        </w:rPr>
        <w:t>nd</w:t>
      </w:r>
      <w:r w:rsidR="00EB5EE7" w:rsidRPr="004C78D8">
        <w:t xml:space="preserve"> SES quartiles compared to 51.</w:t>
      </w:r>
      <w:r w:rsidR="000F3A15" w:rsidRPr="004C78D8">
        <w:t>3</w:t>
      </w:r>
      <w:r w:rsidR="00EB5EE7" w:rsidRPr="004C78D8">
        <w:t>% of reactive and 50.</w:t>
      </w:r>
      <w:r w:rsidR="000F3A15" w:rsidRPr="004C78D8">
        <w:t>5</w:t>
      </w:r>
      <w:r w:rsidR="00EB5EE7" w:rsidRPr="004C78D8">
        <w:t>% of proactive.</w:t>
      </w:r>
    </w:p>
    <w:p w14:paraId="4471C142" w14:textId="679EEDB3" w:rsidR="00D507CD" w:rsidRPr="004C78D8" w:rsidRDefault="00D507CD" w:rsidP="00FB7C1F"/>
    <w:p w14:paraId="2EC60484" w14:textId="0F8D4215" w:rsidR="00454F0A" w:rsidRPr="004C78D8" w:rsidRDefault="00A97497" w:rsidP="00972766">
      <w:pPr>
        <w:pStyle w:val="Heading3"/>
      </w:pPr>
      <w:bookmarkStart w:id="190" w:name="_Toc111630795"/>
      <w:r w:rsidRPr="004C78D8">
        <w:t>6.2.5 Evaluation framework and falls epidemiology scenarios</w:t>
      </w:r>
      <w:bookmarkEnd w:id="190"/>
    </w:p>
    <w:p w14:paraId="2DEC9238" w14:textId="4BBD7D49" w:rsidR="006B773F" w:rsidRPr="004C78D8" w:rsidRDefault="00A664FD" w:rsidP="00FB7C1F">
      <w:r w:rsidRPr="004C78D8">
        <w:t>T</w:t>
      </w:r>
      <w:r w:rsidR="00A769F2" w:rsidRPr="004C78D8">
        <w:t xml:space="preserve">he scenarios </w:t>
      </w:r>
      <w:r w:rsidR="00A97497" w:rsidRPr="004C78D8">
        <w:t xml:space="preserve">regarding key evaluation framework and falls epidemiology features </w:t>
      </w:r>
      <w:r w:rsidR="005158A0" w:rsidRPr="004C78D8">
        <w:t>were informed by the conceptual model</w:t>
      </w:r>
      <w:r w:rsidR="00A97497" w:rsidRPr="004C78D8">
        <w:t xml:space="preserve"> and are applied to the base case comparison.</w:t>
      </w:r>
      <w:r w:rsidR="005158A0" w:rsidRPr="004C78D8">
        <w:t xml:space="preserve"> </w:t>
      </w:r>
      <w:r w:rsidR="00343648" w:rsidRPr="004C78D8">
        <w:t xml:space="preserve">In the interest of space, </w:t>
      </w:r>
      <w:r w:rsidR="00832C5C" w:rsidRPr="004C78D8">
        <w:t>this section focus</w:t>
      </w:r>
      <w:r w:rsidR="00DA397C" w:rsidRPr="004C78D8">
        <w:t>es</w:t>
      </w:r>
      <w:r w:rsidR="00832C5C" w:rsidRPr="004C78D8">
        <w:t xml:space="preserve"> on the 40-year societal CUA outcomes. </w:t>
      </w:r>
      <w:r w:rsidR="00151BEB" w:rsidRPr="004C78D8">
        <w:t>Results from two types of evaluation framework scenarios are presented: changes to time horizon (</w:t>
      </w:r>
      <w:r w:rsidR="00151BEB" w:rsidRPr="00972766">
        <w:t xml:space="preserve">Section </w:t>
      </w:r>
      <w:r w:rsidR="00A97497" w:rsidRPr="00972766">
        <w:t>6</w:t>
      </w:r>
      <w:r w:rsidR="00151BEB" w:rsidRPr="00972766">
        <w:t>.</w:t>
      </w:r>
      <w:r w:rsidR="00A97497" w:rsidRPr="00972766">
        <w:t>2</w:t>
      </w:r>
      <w:r w:rsidR="00151BEB" w:rsidRPr="00972766">
        <w:t>.</w:t>
      </w:r>
      <w:r w:rsidR="00A97497" w:rsidRPr="00972766">
        <w:t>5</w:t>
      </w:r>
      <w:r w:rsidR="00151BEB" w:rsidRPr="00972766">
        <w:t>.1</w:t>
      </w:r>
      <w:r w:rsidR="00151BEB" w:rsidRPr="004C78D8">
        <w:t>); and changes to discount rates (</w:t>
      </w:r>
      <w:r w:rsidR="00151BEB" w:rsidRPr="00972766">
        <w:t xml:space="preserve">Section </w:t>
      </w:r>
      <w:r w:rsidR="00A97497" w:rsidRPr="00972766">
        <w:t>6</w:t>
      </w:r>
      <w:r w:rsidR="00151BEB" w:rsidRPr="00972766">
        <w:t>.</w:t>
      </w:r>
      <w:r w:rsidR="00A97497" w:rsidRPr="00972766">
        <w:t>2</w:t>
      </w:r>
      <w:r w:rsidR="00151BEB" w:rsidRPr="00972766">
        <w:t>.</w:t>
      </w:r>
      <w:r w:rsidR="00A97497" w:rsidRPr="00972766">
        <w:t>5</w:t>
      </w:r>
      <w:r w:rsidR="00151BEB" w:rsidRPr="00972766">
        <w:t>.2</w:t>
      </w:r>
      <w:r w:rsidR="00151BEB" w:rsidRPr="004C78D8">
        <w:t>).</w:t>
      </w:r>
      <w:r w:rsidR="006B773F" w:rsidRPr="004C78D8">
        <w:t xml:space="preserve"> These are followed by results from falls epidemiology scenarios: removing the falls-frailty feedback loop (</w:t>
      </w:r>
      <w:r w:rsidR="006B773F" w:rsidRPr="00972766">
        <w:t>Section 6.2.5.3</w:t>
      </w:r>
      <w:r w:rsidR="006B773F" w:rsidRPr="004C78D8">
        <w:t>); frailty reduction (</w:t>
      </w:r>
      <w:r w:rsidR="006B773F" w:rsidRPr="00972766">
        <w:t xml:space="preserve">Section </w:t>
      </w:r>
      <w:r w:rsidR="00CA6700" w:rsidRPr="00972766">
        <w:t>6</w:t>
      </w:r>
      <w:r w:rsidR="006B773F" w:rsidRPr="00972766">
        <w:t>.</w:t>
      </w:r>
      <w:r w:rsidR="00CA6700" w:rsidRPr="00972766">
        <w:t>2</w:t>
      </w:r>
      <w:r w:rsidR="006B773F" w:rsidRPr="00972766">
        <w:t>.</w:t>
      </w:r>
      <w:r w:rsidR="00CA6700" w:rsidRPr="00972766">
        <w:t>5</w:t>
      </w:r>
      <w:r w:rsidR="006B773F" w:rsidRPr="00972766">
        <w:t>.</w:t>
      </w:r>
      <w:r w:rsidR="00CA6700" w:rsidRPr="004C78D8">
        <w:t>4</w:t>
      </w:r>
      <w:r w:rsidR="006B773F" w:rsidRPr="004C78D8">
        <w:t>); higher life expectancy (</w:t>
      </w:r>
      <w:r w:rsidR="006B773F" w:rsidRPr="00972766">
        <w:t xml:space="preserve">Section </w:t>
      </w:r>
      <w:r w:rsidR="00CA6700" w:rsidRPr="00972766">
        <w:t>6</w:t>
      </w:r>
      <w:r w:rsidR="006B773F" w:rsidRPr="00972766">
        <w:t>.</w:t>
      </w:r>
      <w:r w:rsidR="00CA6700" w:rsidRPr="00972766">
        <w:t>2</w:t>
      </w:r>
      <w:r w:rsidR="006B773F" w:rsidRPr="00972766">
        <w:t>.</w:t>
      </w:r>
      <w:r w:rsidR="00CA6700" w:rsidRPr="00972766">
        <w:t>5</w:t>
      </w:r>
      <w:r w:rsidR="006B773F" w:rsidRPr="00972766">
        <w:t>.</w:t>
      </w:r>
      <w:r w:rsidR="00CA6700" w:rsidRPr="00972766">
        <w:t>5</w:t>
      </w:r>
      <w:r w:rsidR="006B773F" w:rsidRPr="004C78D8">
        <w:t>); and reduced other-cause mortality risk gap between frailty categories (</w:t>
      </w:r>
      <w:r w:rsidR="006B773F" w:rsidRPr="00972766">
        <w:t xml:space="preserve">Section </w:t>
      </w:r>
      <w:r w:rsidR="00CA6700" w:rsidRPr="00972766">
        <w:t>6</w:t>
      </w:r>
      <w:r w:rsidR="006B773F" w:rsidRPr="00972766">
        <w:t>.</w:t>
      </w:r>
      <w:r w:rsidR="00CA6700" w:rsidRPr="00972766">
        <w:t>2</w:t>
      </w:r>
      <w:r w:rsidR="006B773F" w:rsidRPr="00972766">
        <w:t>.</w:t>
      </w:r>
      <w:r w:rsidR="00CA6700" w:rsidRPr="00972766">
        <w:t>5</w:t>
      </w:r>
      <w:r w:rsidR="006B773F" w:rsidRPr="00972766">
        <w:t>.</w:t>
      </w:r>
      <w:r w:rsidR="00CA6700" w:rsidRPr="00972766">
        <w:t>6</w:t>
      </w:r>
      <w:r w:rsidR="006B773F" w:rsidRPr="004C78D8">
        <w:t>).</w:t>
      </w:r>
    </w:p>
    <w:p w14:paraId="55864F72" w14:textId="5A174891" w:rsidR="007F087E" w:rsidRPr="004C78D8" w:rsidRDefault="006B773F" w:rsidP="00FB7C1F">
      <w:pPr>
        <w:pStyle w:val="Heading4"/>
      </w:pPr>
      <w:r w:rsidRPr="004C78D8">
        <w:t>6</w:t>
      </w:r>
      <w:r w:rsidR="007F087E" w:rsidRPr="004C78D8">
        <w:t>.</w:t>
      </w:r>
      <w:r w:rsidRPr="004C78D8">
        <w:t>2</w:t>
      </w:r>
      <w:r w:rsidR="007F087E" w:rsidRPr="004C78D8">
        <w:t>.</w:t>
      </w:r>
      <w:r w:rsidRPr="004C78D8">
        <w:t>5</w:t>
      </w:r>
      <w:r w:rsidR="007F087E" w:rsidRPr="004C78D8">
        <w:t>.1 Chang</w:t>
      </w:r>
      <w:r w:rsidR="006C1A20" w:rsidRPr="004C78D8">
        <w:t>es to</w:t>
      </w:r>
      <w:r w:rsidR="007F087E" w:rsidRPr="004C78D8">
        <w:t xml:space="preserve"> time horizon</w:t>
      </w:r>
    </w:p>
    <w:p w14:paraId="5B461B31" w14:textId="1009D9CF" w:rsidR="007F087E" w:rsidRPr="004C78D8" w:rsidRDefault="00277293" w:rsidP="00FB7C1F">
      <w:r w:rsidRPr="00972766">
        <w:t xml:space="preserve">Table </w:t>
      </w:r>
      <w:r w:rsidR="00B85487" w:rsidRPr="00972766">
        <w:t>F</w:t>
      </w:r>
      <w:r w:rsidR="00CA6700" w:rsidRPr="00972766">
        <w:t>12</w:t>
      </w:r>
      <w:r w:rsidR="00B85487" w:rsidRPr="004C78D8">
        <w:t xml:space="preserve"> </w:t>
      </w:r>
      <w:r w:rsidRPr="004C78D8">
        <w:t xml:space="preserve">presents </w:t>
      </w:r>
      <w:bookmarkStart w:id="191" w:name="_Hlk89799850"/>
      <w:r w:rsidRPr="004C78D8">
        <w:t xml:space="preserve">the societal CUA outcomes </w:t>
      </w:r>
      <w:r w:rsidR="00D03FEF" w:rsidRPr="004C78D8">
        <w:t xml:space="preserve">comparing RC to UC </w:t>
      </w:r>
      <w:r w:rsidRPr="004C78D8">
        <w:t xml:space="preserve">under the time horizons of </w:t>
      </w:r>
      <w:r w:rsidR="007B5551" w:rsidRPr="004C78D8">
        <w:t xml:space="preserve">five, </w:t>
      </w:r>
      <w:r w:rsidRPr="004C78D8">
        <w:t>10</w:t>
      </w:r>
      <w:r w:rsidR="000B7130" w:rsidRPr="004C78D8">
        <w:t xml:space="preserve">, 15, 20 and 30 </w:t>
      </w:r>
      <w:r w:rsidRPr="004C78D8">
        <w:t>years</w:t>
      </w:r>
      <w:r w:rsidR="00B85487" w:rsidRPr="004C78D8">
        <w:t>.</w:t>
      </w:r>
      <w:r w:rsidR="008A55F9" w:rsidRPr="004C78D8">
        <w:t xml:space="preserve"> </w:t>
      </w:r>
      <w:bookmarkEnd w:id="191"/>
      <w:r w:rsidR="00506412" w:rsidRPr="004C78D8">
        <w:t xml:space="preserve">Figure </w:t>
      </w:r>
      <w:r w:rsidR="00CA6700" w:rsidRPr="004C78D8">
        <w:t>6</w:t>
      </w:r>
      <w:r w:rsidR="00506412" w:rsidRPr="004C78D8">
        <w:t>.</w:t>
      </w:r>
      <w:r w:rsidR="00906E0F" w:rsidRPr="004C78D8">
        <w:t>6</w:t>
      </w:r>
      <w:r w:rsidR="00506412" w:rsidRPr="004C78D8">
        <w:t xml:space="preserve"> shows the societal and public sector ICERs (considering all-cause costs) across time horizon range from five to 40 years. </w:t>
      </w:r>
      <w:r w:rsidR="008A55F9" w:rsidRPr="004C78D8">
        <w:t xml:space="preserve">There is a </w:t>
      </w:r>
      <w:r w:rsidR="00506412" w:rsidRPr="004C78D8">
        <w:t>non-linear</w:t>
      </w:r>
      <w:r w:rsidR="008A55F9" w:rsidRPr="004C78D8">
        <w:t xml:space="preserve"> </w:t>
      </w:r>
      <w:r w:rsidR="00506412" w:rsidRPr="004C78D8">
        <w:t>decline in the</w:t>
      </w:r>
      <w:r w:rsidR="008A55F9" w:rsidRPr="004C78D8">
        <w:t xml:space="preserve"> ICERs </w:t>
      </w:r>
      <w:r w:rsidR="00506412" w:rsidRPr="004C78D8">
        <w:t>under both perspectives as the horizon increases</w:t>
      </w:r>
      <w:r w:rsidR="008A55F9" w:rsidRPr="004C78D8">
        <w:t xml:space="preserve">. </w:t>
      </w:r>
      <w:r w:rsidR="00506412" w:rsidRPr="004C78D8">
        <w:t xml:space="preserve">There were net societal losses under five- and 10-year horizons such that the societal ICERs were higher than the public sector ICERs. </w:t>
      </w:r>
      <w:r w:rsidR="008A55F9" w:rsidRPr="004C78D8">
        <w:t>The threshold of £30,000 per QALY gain</w:t>
      </w:r>
      <w:r w:rsidR="009F4A79" w:rsidRPr="004C78D8">
        <w:t>ed</w:t>
      </w:r>
      <w:r w:rsidR="008A55F9" w:rsidRPr="004C78D8">
        <w:t xml:space="preserve"> is crossed between </w:t>
      </w:r>
      <w:r w:rsidR="007B5551" w:rsidRPr="004C78D8">
        <w:t xml:space="preserve">five- and </w:t>
      </w:r>
      <w:r w:rsidR="008A55F9" w:rsidRPr="004C78D8">
        <w:t>10-year horizons</w:t>
      </w:r>
      <w:r w:rsidR="007B5551" w:rsidRPr="004C78D8">
        <w:t xml:space="preserve"> (</w:t>
      </w:r>
      <w:r w:rsidR="0094712C" w:rsidRPr="004C78D8">
        <w:t>though not if only fall-related costs are considered</w:t>
      </w:r>
      <w:r w:rsidR="007B5551" w:rsidRPr="004C78D8">
        <w:t>)</w:t>
      </w:r>
      <w:r w:rsidR="008A55F9" w:rsidRPr="004C78D8">
        <w:t xml:space="preserve">. </w:t>
      </w:r>
      <w:r w:rsidR="00D03FEF" w:rsidRPr="004C78D8">
        <w:t xml:space="preserve">From </w:t>
      </w:r>
      <w:r w:rsidR="004A6A6C" w:rsidRPr="004C78D8">
        <w:t>the aggregate societal INMBs</w:t>
      </w:r>
      <w:r w:rsidR="0094712C" w:rsidRPr="004C78D8">
        <w:t xml:space="preserve"> in </w:t>
      </w:r>
      <w:r w:rsidR="0094712C" w:rsidRPr="00972766">
        <w:t>Table F</w:t>
      </w:r>
      <w:r w:rsidR="00DC38AF" w:rsidRPr="00972766">
        <w:t>12</w:t>
      </w:r>
      <w:r w:rsidR="004A6A6C" w:rsidRPr="004C78D8">
        <w:t>,</w:t>
      </w:r>
      <w:r w:rsidR="00D03FEF" w:rsidRPr="004C78D8">
        <w:t xml:space="preserve"> the additional amount that can be spent by the decision-maker to enable a longer horizon </w:t>
      </w:r>
      <w:r w:rsidR="00565C6F" w:rsidRPr="004C78D8">
        <w:t>(e.g., establishing new training centres to secure long-term supply of professional</w:t>
      </w:r>
      <w:r w:rsidR="0094712C" w:rsidRPr="004C78D8">
        <w:t>s</w:t>
      </w:r>
      <w:r w:rsidR="00565C6F" w:rsidRPr="004C78D8">
        <w:t>) can be estimated. Hence, £</w:t>
      </w:r>
      <w:r w:rsidR="00754158" w:rsidRPr="004C78D8">
        <w:t>110</w:t>
      </w:r>
      <w:r w:rsidR="00565C6F" w:rsidRPr="004C78D8">
        <w:t>.</w:t>
      </w:r>
      <w:r w:rsidR="00754158" w:rsidRPr="004C78D8">
        <w:t>9</w:t>
      </w:r>
      <w:r w:rsidR="00565C6F" w:rsidRPr="004C78D8">
        <w:t xml:space="preserve"> million</w:t>
      </w:r>
      <w:r w:rsidR="00C67B57" w:rsidRPr="004C78D8">
        <w:t xml:space="preserve"> </w:t>
      </w:r>
      <w:r w:rsidR="00565C6F" w:rsidRPr="004C78D8">
        <w:t xml:space="preserve">may be spent to extend the horizon </w:t>
      </w:r>
      <w:r w:rsidR="00C67B57" w:rsidRPr="004C78D8">
        <w:t xml:space="preserve">from </w:t>
      </w:r>
      <w:r w:rsidR="00754158" w:rsidRPr="004C78D8">
        <w:t>five</w:t>
      </w:r>
      <w:r w:rsidR="00C67B57" w:rsidRPr="004C78D8">
        <w:t xml:space="preserve"> to 15 years </w:t>
      </w:r>
      <w:r w:rsidR="00565C6F" w:rsidRPr="004C78D8">
        <w:t xml:space="preserve">and </w:t>
      </w:r>
      <w:r w:rsidR="004C76B4" w:rsidRPr="004C78D8">
        <w:t xml:space="preserve">the RC would </w:t>
      </w:r>
      <w:r w:rsidR="00565C6F" w:rsidRPr="004C78D8">
        <w:t xml:space="preserve">remain cost-effective </w:t>
      </w:r>
      <w:r w:rsidR="004C76B4" w:rsidRPr="004C78D8">
        <w:t xml:space="preserve">relative to UC </w:t>
      </w:r>
      <w:r w:rsidR="00565C6F" w:rsidRPr="004C78D8">
        <w:t>under the £30,000 per QALY gain</w:t>
      </w:r>
      <w:r w:rsidR="009F4A79" w:rsidRPr="004C78D8">
        <w:t>ed</w:t>
      </w:r>
      <w:r w:rsidR="00565C6F" w:rsidRPr="004C78D8">
        <w:t xml:space="preserve"> threshold. </w:t>
      </w:r>
    </w:p>
    <w:p w14:paraId="04CDFF39" w14:textId="6D9B8F0B" w:rsidR="00506412" w:rsidRPr="004C78D8" w:rsidRDefault="001941C1" w:rsidP="00FB7C1F">
      <w:r w:rsidRPr="004C78D8">
        <w:rPr>
          <w:noProof/>
          <w:lang w:eastAsia="en-GB"/>
        </w:rPr>
        <w:drawing>
          <wp:inline distT="0" distB="0" distL="0" distR="0" wp14:anchorId="03CB863F" wp14:editId="20095344">
            <wp:extent cx="5731510" cy="3820795"/>
            <wp:effectExtent l="0" t="0" r="2540" b="8255"/>
            <wp:docPr id="2" name="Chart 2">
              <a:extLst xmlns:a="http://schemas.openxmlformats.org/drawingml/2006/main">
                <a:ext uri="{FF2B5EF4-FFF2-40B4-BE49-F238E27FC236}">
                  <a16:creationId xmlns:a16="http://schemas.microsoft.com/office/drawing/2014/main" id="{C00A0744-64A1-4AF3-BFBE-FB6FF0FA0F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4B00B50" w14:textId="64F58787" w:rsidR="00506412" w:rsidRPr="004C78D8" w:rsidRDefault="0094712C" w:rsidP="00FB7C1F">
      <w:r w:rsidRPr="004C78D8">
        <w:rPr>
          <w:b/>
          <w:bCs/>
        </w:rPr>
        <w:t xml:space="preserve">Figure </w:t>
      </w:r>
      <w:r w:rsidR="00DC38AF" w:rsidRPr="004C78D8">
        <w:rPr>
          <w:b/>
          <w:bCs/>
        </w:rPr>
        <w:t>6</w:t>
      </w:r>
      <w:r w:rsidRPr="004C78D8">
        <w:rPr>
          <w:b/>
          <w:bCs/>
        </w:rPr>
        <w:t>.</w:t>
      </w:r>
      <w:r w:rsidR="00906E0F" w:rsidRPr="004C78D8">
        <w:rPr>
          <w:b/>
          <w:bCs/>
        </w:rPr>
        <w:t>6</w:t>
      </w:r>
      <w:r w:rsidRPr="004C78D8">
        <w:t xml:space="preserve"> Societal and public sector incremental cost-effectiveness ratios by time horizon. </w:t>
      </w:r>
      <w:r w:rsidRPr="004C78D8">
        <w:rPr>
          <w:b/>
          <w:bCs/>
        </w:rPr>
        <w:t>Abbreviation:</w:t>
      </w:r>
      <w:r w:rsidRPr="004C78D8">
        <w:t xml:space="preserve"> ICER: incremental cost-effectiveness ratio; QALY: quality-adjusted life year.</w:t>
      </w:r>
    </w:p>
    <w:p w14:paraId="1998DD95" w14:textId="26BE97AC" w:rsidR="00506412" w:rsidRPr="004C78D8" w:rsidRDefault="00506412" w:rsidP="00FB7C1F">
      <w:r w:rsidRPr="004C78D8">
        <w:t>Another consideration is the equity implication of differing time horizons.</w:t>
      </w:r>
      <w:r w:rsidR="00146918" w:rsidRPr="004C78D8">
        <w:t xml:space="preserve"> Figure F</w:t>
      </w:r>
      <w:r w:rsidR="008561FB" w:rsidRPr="004C78D8">
        <w:t>5</w:t>
      </w:r>
      <w:r w:rsidR="00DC38AF" w:rsidRPr="004C78D8">
        <w:t xml:space="preserve"> </w:t>
      </w:r>
      <w:r w:rsidR="00146918" w:rsidRPr="004C78D8">
        <w:t>shows the societal INHBs for all-cause costs delineated by SES quartiles under five- to 40-year horizons. The ‘U-shape</w:t>
      </w:r>
      <w:r w:rsidR="003F18A0" w:rsidRPr="004C78D8">
        <w:t>d</w:t>
      </w:r>
      <w:r w:rsidR="00146918" w:rsidRPr="004C78D8">
        <w:t>’ SES gradient</w:t>
      </w:r>
      <w:r w:rsidR="003F18A0" w:rsidRPr="004C78D8">
        <w:t>s</w:t>
      </w:r>
      <w:r w:rsidR="00146918" w:rsidRPr="004C78D8">
        <w:t xml:space="preserve"> </w:t>
      </w:r>
      <w:r w:rsidR="003F18A0" w:rsidRPr="004C78D8">
        <w:t xml:space="preserve">were </w:t>
      </w:r>
      <w:r w:rsidR="00146918" w:rsidRPr="004C78D8">
        <w:t xml:space="preserve">present for </w:t>
      </w:r>
      <w:r w:rsidR="005F0E51" w:rsidRPr="004C78D8">
        <w:t>all</w:t>
      </w:r>
      <w:r w:rsidR="00146918" w:rsidRPr="004C78D8">
        <w:t xml:space="preserve"> time horizons. Figure </w:t>
      </w:r>
      <w:r w:rsidR="00DC38AF" w:rsidRPr="004C78D8">
        <w:t>6</w:t>
      </w:r>
      <w:r w:rsidR="00146918" w:rsidRPr="004C78D8">
        <w:t>.</w:t>
      </w:r>
      <w:r w:rsidR="008561FB" w:rsidRPr="004C78D8">
        <w:t>7</w:t>
      </w:r>
      <w:r w:rsidR="00146918" w:rsidRPr="004C78D8">
        <w:t xml:space="preserve"> </w:t>
      </w:r>
      <w:r w:rsidR="002C7E4F" w:rsidRPr="004C78D8">
        <w:t xml:space="preserve">shows the societal </w:t>
      </w:r>
      <w:r w:rsidR="007155E7" w:rsidRPr="004C78D8">
        <w:t xml:space="preserve">EDE </w:t>
      </w:r>
      <w:r w:rsidR="002C7E4F" w:rsidRPr="004C78D8">
        <w:t xml:space="preserve">INHBs per capita under (i) no inequality aversion, (ii) high relative inequality aversion </w:t>
      </w:r>
      <w:r w:rsidR="00AC364D" w:rsidRPr="004C78D8">
        <w:t xml:space="preserve">(Atkinson </w:t>
      </w:r>
      <w:r w:rsidR="00AC364D" w:rsidRPr="004C78D8">
        <w:rPr>
          <w:rFonts w:cs="Times New Roman"/>
        </w:rPr>
        <w:t>ε</w:t>
      </w:r>
      <w:r w:rsidR="00AC364D" w:rsidRPr="004C78D8">
        <w:t xml:space="preserve">=30), and (iii) high absolute inequality aversion (Kolm </w:t>
      </w:r>
      <w:r w:rsidR="00AC364D" w:rsidRPr="004C78D8">
        <w:rPr>
          <w:rFonts w:cs="Times New Roman"/>
        </w:rPr>
        <w:t>α</w:t>
      </w:r>
      <w:r w:rsidR="00AC364D" w:rsidRPr="004C78D8">
        <w:t>=0.5)</w:t>
      </w:r>
      <w:r w:rsidR="0082439E" w:rsidRPr="004C78D8">
        <w:t>; INHB difference across SES quartiles is deemed unfair</w:t>
      </w:r>
      <w:r w:rsidR="00AC364D" w:rsidRPr="004C78D8">
        <w:t xml:space="preserve">. </w:t>
      </w:r>
      <w:r w:rsidR="007C2386" w:rsidRPr="004C78D8">
        <w:t>T</w:t>
      </w:r>
      <w:r w:rsidR="0082439E" w:rsidRPr="004C78D8">
        <w:t xml:space="preserve">he </w:t>
      </w:r>
      <w:r w:rsidR="00807CAF" w:rsidRPr="004C78D8">
        <w:t xml:space="preserve">incremental </w:t>
      </w:r>
      <w:r w:rsidR="0082439E" w:rsidRPr="004C78D8">
        <w:t>EDE INHB</w:t>
      </w:r>
      <w:r w:rsidR="007C2386" w:rsidRPr="004C78D8">
        <w:t>s</w:t>
      </w:r>
      <w:r w:rsidR="0082439E" w:rsidRPr="004C78D8">
        <w:t xml:space="preserve"> </w:t>
      </w:r>
      <w:r w:rsidR="00BA4B18" w:rsidRPr="004C78D8">
        <w:t xml:space="preserve">of </w:t>
      </w:r>
      <w:r w:rsidR="0082439E" w:rsidRPr="004C78D8">
        <w:t xml:space="preserve">(ii) </w:t>
      </w:r>
      <w:r w:rsidR="007C2386" w:rsidRPr="004C78D8">
        <w:t>and</w:t>
      </w:r>
      <w:r w:rsidR="0082439E" w:rsidRPr="004C78D8">
        <w:t xml:space="preserve"> (iii) </w:t>
      </w:r>
      <w:r w:rsidR="007C2386" w:rsidRPr="004C78D8">
        <w:t>were</w:t>
      </w:r>
      <w:r w:rsidR="0082439E" w:rsidRPr="004C78D8">
        <w:t xml:space="preserve"> </w:t>
      </w:r>
      <w:r w:rsidR="007C2386" w:rsidRPr="004C78D8">
        <w:t xml:space="preserve">consistently </w:t>
      </w:r>
      <w:r w:rsidR="0082439E" w:rsidRPr="004C78D8">
        <w:t xml:space="preserve">above </w:t>
      </w:r>
      <w:r w:rsidR="00685EB1" w:rsidRPr="004C78D8">
        <w:t xml:space="preserve">incremental </w:t>
      </w:r>
      <w:r w:rsidR="0082439E" w:rsidRPr="004C78D8">
        <w:t xml:space="preserve">no-aversion mean </w:t>
      </w:r>
      <w:r w:rsidR="00BA4B18" w:rsidRPr="004C78D8">
        <w:t>of</w:t>
      </w:r>
      <w:r w:rsidR="0082439E" w:rsidRPr="004C78D8">
        <w:t xml:space="preserve"> (i), </w:t>
      </w:r>
      <w:r w:rsidR="007C2386" w:rsidRPr="004C78D8">
        <w:t>meaning</w:t>
      </w:r>
      <w:r w:rsidR="0082439E" w:rsidRPr="004C78D8">
        <w:t xml:space="preserve"> that RC improved SES-delineated equity </w:t>
      </w:r>
      <w:r w:rsidR="00052DD2" w:rsidRPr="004C78D8">
        <w:t>vs.</w:t>
      </w:r>
      <w:r w:rsidR="0082439E" w:rsidRPr="004C78D8">
        <w:t xml:space="preserve"> UC under </w:t>
      </w:r>
      <w:r w:rsidR="007C2386" w:rsidRPr="004C78D8">
        <w:t>all</w:t>
      </w:r>
      <w:r w:rsidR="0082439E" w:rsidRPr="004C78D8">
        <w:t xml:space="preserve"> time horizon</w:t>
      </w:r>
      <w:r w:rsidR="007C2386" w:rsidRPr="004C78D8">
        <w:t>s.</w:t>
      </w:r>
      <w:r w:rsidR="00D134A2" w:rsidRPr="004C78D8">
        <w:t xml:space="preserve"> </w:t>
      </w:r>
    </w:p>
    <w:p w14:paraId="33694C30" w14:textId="21942652" w:rsidR="002C7E4F" w:rsidRPr="004C78D8" w:rsidRDefault="006B31FC" w:rsidP="00FB7C1F">
      <w:r w:rsidRPr="004C78D8">
        <w:rPr>
          <w:noProof/>
          <w:lang w:eastAsia="en-GB"/>
        </w:rPr>
        <w:drawing>
          <wp:inline distT="0" distB="0" distL="0" distR="0" wp14:anchorId="4B8EDCF3" wp14:editId="4E315C60">
            <wp:extent cx="5731510" cy="3820795"/>
            <wp:effectExtent l="0" t="0" r="2540" b="8255"/>
            <wp:docPr id="6" name="Chart 6">
              <a:extLst xmlns:a="http://schemas.openxmlformats.org/drawingml/2006/main">
                <a:ext uri="{FF2B5EF4-FFF2-40B4-BE49-F238E27FC236}">
                  <a16:creationId xmlns:a16="http://schemas.microsoft.com/office/drawing/2014/main" id="{C00A0744-64A1-4AF3-BFBE-FB6FF0FA0F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4B04507" w14:textId="78CD7759" w:rsidR="00D652E6" w:rsidRPr="004C78D8" w:rsidRDefault="000A40E8" w:rsidP="00FB7C1F">
      <w:r w:rsidRPr="004C78D8">
        <w:rPr>
          <w:b/>
          <w:bCs/>
        </w:rPr>
        <w:t xml:space="preserve">Figure </w:t>
      </w:r>
      <w:r w:rsidR="00DC38AF" w:rsidRPr="004C78D8">
        <w:rPr>
          <w:b/>
          <w:bCs/>
        </w:rPr>
        <w:t>6</w:t>
      </w:r>
      <w:r w:rsidRPr="004C78D8">
        <w:rPr>
          <w:b/>
          <w:bCs/>
        </w:rPr>
        <w:t>.</w:t>
      </w:r>
      <w:r w:rsidR="008561FB" w:rsidRPr="004C78D8">
        <w:rPr>
          <w:b/>
          <w:bCs/>
        </w:rPr>
        <w:t>7</w:t>
      </w:r>
      <w:r w:rsidRPr="004C78D8">
        <w:t xml:space="preserve"> </w:t>
      </w:r>
      <w:r w:rsidR="0082439E" w:rsidRPr="004C78D8">
        <w:t xml:space="preserve">SES-delineated equity analysis: </w:t>
      </w:r>
      <w:r w:rsidR="003F18A0" w:rsidRPr="004C78D8">
        <w:t xml:space="preserve">incremental </w:t>
      </w:r>
      <w:r w:rsidRPr="004C78D8">
        <w:t xml:space="preserve">societal </w:t>
      </w:r>
      <w:r w:rsidR="008561FB" w:rsidRPr="004C78D8">
        <w:t xml:space="preserve">EDE </w:t>
      </w:r>
      <w:r w:rsidRPr="004C78D8">
        <w:t xml:space="preserve">INHBs by inequality aversion level and time horizon. </w:t>
      </w:r>
      <w:r w:rsidRPr="004C78D8">
        <w:rPr>
          <w:b/>
          <w:bCs/>
        </w:rPr>
        <w:t>Abbreviation:</w:t>
      </w:r>
      <w:r w:rsidRPr="004C78D8">
        <w:t xml:space="preserve"> EDE: equally distributed equivalent; INHB: incremental net health benefit; QALY: quality-adjusted life year</w:t>
      </w:r>
      <w:r w:rsidR="0082439E" w:rsidRPr="004C78D8">
        <w:t>; SES: socioeconomic status</w:t>
      </w:r>
      <w:r w:rsidRPr="004C78D8">
        <w:t xml:space="preserve">. </w:t>
      </w:r>
    </w:p>
    <w:p w14:paraId="64678175" w14:textId="3DCDD3AB" w:rsidR="000C7536" w:rsidRPr="004C78D8" w:rsidRDefault="007E6B28" w:rsidP="00FB7C1F">
      <w:r w:rsidRPr="004C78D8">
        <w:t>In discussing model time horizons, a distinction can be made between evaluation and intervention horizon</w:t>
      </w:r>
      <w:r w:rsidR="001A5126" w:rsidRPr="004C78D8">
        <w:t>s</w:t>
      </w:r>
      <w:r w:rsidRPr="004C78D8">
        <w:t>. In the above analyses, these two horizons were equal</w:t>
      </w:r>
      <w:r w:rsidR="008055EC" w:rsidRPr="004C78D8">
        <w:t xml:space="preserve"> at five to 40 years</w:t>
      </w:r>
      <w:r w:rsidRPr="004C78D8">
        <w:t xml:space="preserve">. Hence, under the base case analysis, evaluation was conducted for 40 years while the interventions operated for the same period. The 40-year horizon corresponded to a lifetime horizon for the initial cohort but not for the new </w:t>
      </w:r>
      <w:r w:rsidR="00986CE9" w:rsidRPr="004C78D8">
        <w:t>incoming</w:t>
      </w:r>
      <w:r w:rsidRPr="004C78D8">
        <w:t xml:space="preserve"> cohorts. </w:t>
      </w:r>
      <w:r w:rsidR="008055EC" w:rsidRPr="004C78D8">
        <w:t>To understand the impact of this methodological feature, a further analysis was conducted with 80-year evaluation horizon and 40-year intervention horizon. This allows the same 40-year exposure to the interventions as the base case while tracking the lifetime outcomes of all cohorts.</w:t>
      </w:r>
      <w:r w:rsidR="00517AF5" w:rsidRPr="004C78D8">
        <w:t xml:space="preserve"> </w:t>
      </w:r>
    </w:p>
    <w:p w14:paraId="5F0A64D1" w14:textId="6DB24B1D" w:rsidR="007E6B28" w:rsidRPr="004C78D8" w:rsidRDefault="00517AF5" w:rsidP="00FB7C1F">
      <w:r w:rsidRPr="004C78D8">
        <w:t>The result of this analysis is shown in Table F</w:t>
      </w:r>
      <w:r w:rsidR="00521064" w:rsidRPr="004C78D8">
        <w:t>13</w:t>
      </w:r>
      <w:r w:rsidR="000C7536" w:rsidRPr="004C78D8">
        <w:t>. The societal ICER considering all-cause costs was £11,871 per QALY gain</w:t>
      </w:r>
      <w:r w:rsidR="004C6405" w:rsidRPr="004C78D8">
        <w:t>ed</w:t>
      </w:r>
      <w:r w:rsidR="000C7536" w:rsidRPr="004C78D8">
        <w:t>, lower but comparable to the base case ICER of £12,877 per QALY gain</w:t>
      </w:r>
      <w:r w:rsidR="004C6405" w:rsidRPr="004C78D8">
        <w:t>ed</w:t>
      </w:r>
      <w:r w:rsidR="000C7536" w:rsidRPr="004C78D8">
        <w:t xml:space="preserve">. </w:t>
      </w:r>
      <w:r w:rsidR="006C7DE2" w:rsidRPr="004C78D8">
        <w:t xml:space="preserve">The proportional sizes of EDE INHBs relative to incremental no-aversion mean were 1.1411 and 1.0206 </w:t>
      </w:r>
      <w:r w:rsidR="000B096E" w:rsidRPr="004C78D8">
        <w:t xml:space="preserve">(measuring the strength of equity impact) </w:t>
      </w:r>
      <w:r w:rsidR="006C7DE2" w:rsidRPr="004C78D8">
        <w:t>under relative and absolute inequality aversion</w:t>
      </w:r>
      <w:r w:rsidR="00521064" w:rsidRPr="004C78D8">
        <w:t xml:space="preserve"> parameters of </w:t>
      </w:r>
      <w:r w:rsidR="00521064" w:rsidRPr="004C78D8">
        <w:rPr>
          <w:rFonts w:cs="Times New Roman"/>
        </w:rPr>
        <w:t>ε</w:t>
      </w:r>
      <w:r w:rsidR="00521064" w:rsidRPr="004C78D8">
        <w:t xml:space="preserve">=30 and </w:t>
      </w:r>
      <w:r w:rsidR="00521064" w:rsidRPr="004C78D8">
        <w:rPr>
          <w:rFonts w:cs="Times New Roman"/>
        </w:rPr>
        <w:t>α</w:t>
      </w:r>
      <w:r w:rsidR="00521064" w:rsidRPr="004C78D8">
        <w:t>=0.5</w:t>
      </w:r>
      <w:r w:rsidR="006C7DE2" w:rsidRPr="004C78D8">
        <w:t xml:space="preserve">, respectively. These were higher but comparable to the base case proportions </w:t>
      </w:r>
      <w:r w:rsidR="00521064" w:rsidRPr="004C78D8">
        <w:t>of 1.11</w:t>
      </w:r>
      <w:r w:rsidR="000B096E" w:rsidRPr="004C78D8">
        <w:t>69</w:t>
      </w:r>
      <w:r w:rsidR="00521064" w:rsidRPr="004C78D8">
        <w:t xml:space="preserve"> and 1.01</w:t>
      </w:r>
      <w:r w:rsidR="000B096E" w:rsidRPr="004C78D8">
        <w:t>21</w:t>
      </w:r>
      <w:r w:rsidR="006C7DE2" w:rsidRPr="004C78D8">
        <w:t xml:space="preserve">. Overall, </w:t>
      </w:r>
      <w:r w:rsidR="001430B7" w:rsidRPr="004C78D8">
        <w:t xml:space="preserve">the tracking of </w:t>
      </w:r>
      <w:r w:rsidR="007C354E" w:rsidRPr="004C78D8">
        <w:t>all</w:t>
      </w:r>
      <w:r w:rsidR="001430B7" w:rsidRPr="004C78D8">
        <w:t xml:space="preserve"> cohorts’ lifetime outcomes did not have a major impact on outcomes</w:t>
      </w:r>
      <w:r w:rsidR="00C52A4B" w:rsidRPr="004C78D8">
        <w:t>, likely</w:t>
      </w:r>
      <w:r w:rsidR="001430B7" w:rsidRPr="004C78D8">
        <w:t xml:space="preserve"> due to the lack of access to RC after the 40</w:t>
      </w:r>
      <w:r w:rsidR="001430B7" w:rsidRPr="004C78D8">
        <w:rPr>
          <w:vertAlign w:val="superscript"/>
        </w:rPr>
        <w:t>th</w:t>
      </w:r>
      <w:r w:rsidR="001430B7" w:rsidRPr="004C78D8">
        <w:t xml:space="preserve"> year. </w:t>
      </w:r>
    </w:p>
    <w:p w14:paraId="0E307CDE" w14:textId="3ABF80F6" w:rsidR="00A7178C" w:rsidRPr="004C78D8" w:rsidRDefault="001F5E57" w:rsidP="00FB7C1F">
      <w:r w:rsidRPr="004C78D8">
        <w:t>I</w:t>
      </w:r>
      <w:r w:rsidR="00A7178C" w:rsidRPr="004C78D8">
        <w:t xml:space="preserve">f the intervention horizon was also extended to 80 years so that all incoming cohorts faced 80-year evaluation </w:t>
      </w:r>
      <w:r w:rsidR="00A7178C" w:rsidRPr="004C78D8">
        <w:rPr>
          <w:i/>
          <w:iCs/>
        </w:rPr>
        <w:t>and</w:t>
      </w:r>
      <w:r w:rsidR="00A7178C" w:rsidRPr="004C78D8">
        <w:t xml:space="preserve"> intervention horizons, </w:t>
      </w:r>
      <w:r w:rsidR="0097460B" w:rsidRPr="004C78D8">
        <w:t>the</w:t>
      </w:r>
      <w:r w:rsidR="00CA552D" w:rsidRPr="004C78D8">
        <w:t>re would be more substantial improvements to the</w:t>
      </w:r>
      <w:r w:rsidR="0097460B" w:rsidRPr="004C78D8">
        <w:t xml:space="preserve"> outcomes. It would likely approach the outcomes reported in Table </w:t>
      </w:r>
      <w:r w:rsidR="00521064" w:rsidRPr="004C78D8">
        <w:t>F2</w:t>
      </w:r>
      <w:r w:rsidR="0097460B" w:rsidRPr="004C78D8">
        <w:t xml:space="preserve"> for the subgroup aged 60-64 at entry</w:t>
      </w:r>
      <w:r w:rsidRPr="004C78D8">
        <w:t>:</w:t>
      </w:r>
      <w:r w:rsidR="0097460B" w:rsidRPr="004C78D8">
        <w:t xml:space="preserve"> </w:t>
      </w:r>
      <w:r w:rsidRPr="004C78D8">
        <w:t>t</w:t>
      </w:r>
      <w:r w:rsidR="0097460B" w:rsidRPr="004C78D8">
        <w:t>he societal ICER considering all-cause costs for this subgroup was £9,085 per QALY gain</w:t>
      </w:r>
      <w:r w:rsidR="004C6405" w:rsidRPr="004C78D8">
        <w:t>ed</w:t>
      </w:r>
      <w:r w:rsidR="0097460B" w:rsidRPr="004C78D8">
        <w:t xml:space="preserve">. </w:t>
      </w:r>
    </w:p>
    <w:p w14:paraId="064790E0" w14:textId="7B7DDCA9" w:rsidR="007F087E" w:rsidRPr="004C78D8" w:rsidRDefault="00521064" w:rsidP="00FB7C1F">
      <w:pPr>
        <w:pStyle w:val="Heading4"/>
      </w:pPr>
      <w:r w:rsidRPr="004C78D8">
        <w:t>6</w:t>
      </w:r>
      <w:r w:rsidR="007F087E" w:rsidRPr="004C78D8">
        <w:t>.</w:t>
      </w:r>
      <w:r w:rsidRPr="004C78D8">
        <w:t>2</w:t>
      </w:r>
      <w:r w:rsidR="007F087E" w:rsidRPr="004C78D8">
        <w:t>.</w:t>
      </w:r>
      <w:r w:rsidRPr="004C78D8">
        <w:t>5</w:t>
      </w:r>
      <w:r w:rsidR="007F087E" w:rsidRPr="004C78D8">
        <w:t>.2 Change</w:t>
      </w:r>
      <w:r w:rsidR="006C1A20" w:rsidRPr="004C78D8">
        <w:t>s to</w:t>
      </w:r>
      <w:r w:rsidR="007F087E" w:rsidRPr="004C78D8">
        <w:t xml:space="preserve"> discount rates</w:t>
      </w:r>
    </w:p>
    <w:p w14:paraId="0A83410F" w14:textId="4E66DAE5" w:rsidR="00C10AD3" w:rsidRPr="004C78D8" w:rsidRDefault="00C10AD3" w:rsidP="00FB7C1F">
      <w:bookmarkStart w:id="192" w:name="_Hlk111229317"/>
      <w:r w:rsidRPr="004C78D8">
        <w:t xml:space="preserve">Table </w:t>
      </w:r>
      <w:r w:rsidR="00415261" w:rsidRPr="004C78D8">
        <w:t>F14</w:t>
      </w:r>
      <w:r w:rsidRPr="004C78D8">
        <w:t xml:space="preserve"> presents the 40-year societal CUA outcomes under the discount rates of 0% and 6% for both health and cost outcomes. </w:t>
      </w:r>
      <w:bookmarkEnd w:id="192"/>
      <w:r w:rsidR="00AE4D8D" w:rsidRPr="004C78D8">
        <w:t xml:space="preserve">The rate variations had large impacts on the present values of costs and outcomes </w:t>
      </w:r>
      <w:r w:rsidR="00B9051F" w:rsidRPr="004C78D8">
        <w:t xml:space="preserve">(e.g., total societal INMB increased from £356.3 million under 3.5% discount rates to £841.4 million under 0%) </w:t>
      </w:r>
      <w:r w:rsidR="00AE4D8D" w:rsidRPr="004C78D8">
        <w:t xml:space="preserve">but a moderate impact on the societal ICERs. </w:t>
      </w:r>
    </w:p>
    <w:p w14:paraId="28D8A1AD" w14:textId="21A7084A" w:rsidR="00560035" w:rsidRPr="004C78D8" w:rsidRDefault="009742DE" w:rsidP="00FB7C1F">
      <w:r w:rsidRPr="004C78D8">
        <w:t xml:space="preserve">The </w:t>
      </w:r>
      <w:r w:rsidR="003F18A0" w:rsidRPr="004C78D8">
        <w:t xml:space="preserve">U-shaped </w:t>
      </w:r>
      <w:r w:rsidRPr="004C78D8">
        <w:t xml:space="preserve">SES gradients in societal </w:t>
      </w:r>
      <w:r w:rsidR="00017B40" w:rsidRPr="004C78D8">
        <w:t xml:space="preserve">per-capita </w:t>
      </w:r>
      <w:r w:rsidRPr="004C78D8">
        <w:t xml:space="preserve">INHBs </w:t>
      </w:r>
      <w:r w:rsidR="003F18A0" w:rsidRPr="004C78D8">
        <w:t>were similar</w:t>
      </w:r>
      <w:r w:rsidR="00017B40" w:rsidRPr="004C78D8">
        <w:t xml:space="preserve"> across discount rate scenarios</w:t>
      </w:r>
      <w:r w:rsidRPr="004C78D8">
        <w:t xml:space="preserve"> (Figure F</w:t>
      </w:r>
      <w:r w:rsidR="00BA4B18" w:rsidRPr="004C78D8">
        <w:t>6</w:t>
      </w:r>
      <w:r w:rsidRPr="004C78D8">
        <w:t>)</w:t>
      </w:r>
      <w:r w:rsidR="00017B40" w:rsidRPr="004C78D8">
        <w:t>, though the 4</w:t>
      </w:r>
      <w:r w:rsidR="00017B40" w:rsidRPr="004C78D8">
        <w:rPr>
          <w:vertAlign w:val="superscript"/>
        </w:rPr>
        <w:t>th</w:t>
      </w:r>
      <w:r w:rsidR="00017B40" w:rsidRPr="004C78D8">
        <w:t xml:space="preserve"> SES quartile derived greater per-capita INHBs than the 1</w:t>
      </w:r>
      <w:r w:rsidR="00017B40" w:rsidRPr="004C78D8">
        <w:rPr>
          <w:vertAlign w:val="superscript"/>
        </w:rPr>
        <w:t>st</w:t>
      </w:r>
      <w:r w:rsidR="00017B40" w:rsidRPr="004C78D8">
        <w:t xml:space="preserve"> under 0% discount rates. </w:t>
      </w:r>
      <w:r w:rsidRPr="004C78D8">
        <w:t xml:space="preserve">For 0% discount rates, the EDE INHBs of RC </w:t>
      </w:r>
      <w:r w:rsidR="005F2A37" w:rsidRPr="004C78D8">
        <w:t>vs.</w:t>
      </w:r>
      <w:r w:rsidRPr="004C78D8">
        <w:t xml:space="preserve"> UC were 0.0799 and 0.0730 under Atkinson </w:t>
      </w:r>
      <w:r w:rsidRPr="004C78D8">
        <w:rPr>
          <w:rFonts w:cs="Times New Roman"/>
        </w:rPr>
        <w:t>ε</w:t>
      </w:r>
      <w:r w:rsidRPr="004C78D8">
        <w:t xml:space="preserve">=30 and Kolm </w:t>
      </w:r>
      <w:r w:rsidRPr="004C78D8">
        <w:rPr>
          <w:rFonts w:cs="Times New Roman"/>
        </w:rPr>
        <w:t>α</w:t>
      </w:r>
      <w:r w:rsidRPr="004C78D8">
        <w:t>=0.5, respectively. These were higher than the incremental no-aversion mean of 0.0710</w:t>
      </w:r>
      <w:r w:rsidR="000D6C9E" w:rsidRPr="004C78D8">
        <w:t xml:space="preserve">, </w:t>
      </w:r>
      <w:r w:rsidR="006B224A" w:rsidRPr="004C78D8">
        <w:t xml:space="preserve">implying </w:t>
      </w:r>
      <w:r w:rsidR="005A1435" w:rsidRPr="004C78D8">
        <w:t xml:space="preserve">joint </w:t>
      </w:r>
      <w:r w:rsidR="006B224A" w:rsidRPr="004C78D8">
        <w:t>improvements in equity and efficiency</w:t>
      </w:r>
      <w:r w:rsidR="000D6C9E" w:rsidRPr="004C78D8">
        <w:t>. The</w:t>
      </w:r>
      <w:r w:rsidR="005A1435" w:rsidRPr="004C78D8">
        <w:t xml:space="preserve"> proportions between EDE INHB and incremental no-aversion mean </w:t>
      </w:r>
      <w:r w:rsidR="000D6C9E" w:rsidRPr="004C78D8">
        <w:t>were</w:t>
      </w:r>
      <w:r w:rsidR="005A1435" w:rsidRPr="004C78D8">
        <w:t xml:space="preserve"> 1.1254 and 1.0282, respectively</w:t>
      </w:r>
      <w:r w:rsidR="006B224A" w:rsidRPr="004C78D8">
        <w:t xml:space="preserve">. The </w:t>
      </w:r>
      <w:r w:rsidR="005A1435" w:rsidRPr="004C78D8">
        <w:t>corresponding</w:t>
      </w:r>
      <w:r w:rsidR="006B224A" w:rsidRPr="004C78D8">
        <w:t xml:space="preserve"> figures for 6% discount rates were 0.0189, 0.0172 and 0.0170</w:t>
      </w:r>
      <w:r w:rsidR="005A1435" w:rsidRPr="004C78D8">
        <w:t>, with proportions of 1.1118 and 1.0118</w:t>
      </w:r>
      <w:r w:rsidR="006B224A" w:rsidRPr="004C78D8">
        <w:t xml:space="preserve">. </w:t>
      </w:r>
      <w:r w:rsidR="000B096E" w:rsidRPr="004C78D8">
        <w:t>T</w:t>
      </w:r>
      <w:r w:rsidR="005A1435" w:rsidRPr="004C78D8">
        <w:t xml:space="preserve">he proportions were 1.1169 and 1.0121 for the base case. Hence, </w:t>
      </w:r>
      <w:r w:rsidR="000D6C9E" w:rsidRPr="004C78D8">
        <w:t xml:space="preserve">compared to the base case, </w:t>
      </w:r>
      <w:r w:rsidR="005A1435" w:rsidRPr="004C78D8">
        <w:t xml:space="preserve">the equity </w:t>
      </w:r>
      <w:r w:rsidR="000B096E" w:rsidRPr="004C78D8">
        <w:t>gain increased</w:t>
      </w:r>
      <w:r w:rsidR="000D6C9E" w:rsidRPr="004C78D8">
        <w:t xml:space="preserve"> under 0% discount rate and </w:t>
      </w:r>
      <w:r w:rsidR="000B096E" w:rsidRPr="004C78D8">
        <w:t xml:space="preserve">decreased </w:t>
      </w:r>
      <w:r w:rsidR="000D6C9E" w:rsidRPr="004C78D8">
        <w:t>under 6%. Nevertheless</w:t>
      </w:r>
      <w:r w:rsidR="006B224A" w:rsidRPr="004C78D8">
        <w:t xml:space="preserve">, the dual equity-efficiency improvements </w:t>
      </w:r>
      <w:r w:rsidR="000D6C9E" w:rsidRPr="004C78D8">
        <w:t xml:space="preserve">of RC relative to UC </w:t>
      </w:r>
      <w:r w:rsidR="006B224A" w:rsidRPr="004C78D8">
        <w:t xml:space="preserve">were maintained under both discount rate scenarios. </w:t>
      </w:r>
    </w:p>
    <w:p w14:paraId="6E4BA996" w14:textId="15DD9F14" w:rsidR="007F087E" w:rsidRPr="004C78D8" w:rsidRDefault="000B096E" w:rsidP="00FB7C1F">
      <w:pPr>
        <w:pStyle w:val="Heading4"/>
      </w:pPr>
      <w:r w:rsidRPr="004C78D8">
        <w:t>6</w:t>
      </w:r>
      <w:r w:rsidR="007F087E" w:rsidRPr="004C78D8">
        <w:t>.</w:t>
      </w:r>
      <w:r w:rsidRPr="004C78D8">
        <w:t>2</w:t>
      </w:r>
      <w:r w:rsidR="007F087E" w:rsidRPr="004C78D8">
        <w:t>.</w:t>
      </w:r>
      <w:r w:rsidRPr="004C78D8">
        <w:t>5</w:t>
      </w:r>
      <w:r w:rsidR="007F087E" w:rsidRPr="004C78D8">
        <w:t>.</w:t>
      </w:r>
      <w:r w:rsidRPr="004C78D8">
        <w:t xml:space="preserve">3 </w:t>
      </w:r>
      <w:r w:rsidR="007F087E" w:rsidRPr="004C78D8">
        <w:t>Removing the falls-frailty feedback loop</w:t>
      </w:r>
    </w:p>
    <w:p w14:paraId="6F6F7A96" w14:textId="0FB22365" w:rsidR="009C4807" w:rsidRPr="004C78D8" w:rsidRDefault="00C10AD3" w:rsidP="00FB7C1F">
      <w:bookmarkStart w:id="193" w:name="_Hlk111230959"/>
      <w:r w:rsidRPr="004C78D8">
        <w:t xml:space="preserve">Table </w:t>
      </w:r>
      <w:r w:rsidR="00EC25A4" w:rsidRPr="004C78D8">
        <w:t>F15</w:t>
      </w:r>
      <w:r w:rsidRPr="004C78D8">
        <w:t xml:space="preserve"> shows the 40-year societal CUA outcomes </w:t>
      </w:r>
      <w:r w:rsidR="004A77AF" w:rsidRPr="004C78D8">
        <w:t>after the falls-frailty feedback loop is removed</w:t>
      </w:r>
      <w:r w:rsidR="00FA5016" w:rsidRPr="004C78D8">
        <w:t>.</w:t>
      </w:r>
      <w:r w:rsidR="00114F54" w:rsidRPr="004C78D8">
        <w:t xml:space="preserve"> </w:t>
      </w:r>
      <w:bookmarkEnd w:id="193"/>
      <w:r w:rsidR="00114F54" w:rsidRPr="004C78D8">
        <w:t xml:space="preserve">The impact </w:t>
      </w:r>
      <w:r w:rsidR="00274057" w:rsidRPr="004C78D8">
        <w:t>was</w:t>
      </w:r>
      <w:r w:rsidR="00114F54" w:rsidRPr="004C78D8">
        <w:t xml:space="preserve"> </w:t>
      </w:r>
      <w:r w:rsidR="00F66C9C" w:rsidRPr="004C78D8">
        <w:t>large</w:t>
      </w:r>
      <w:r w:rsidR="00114F54" w:rsidRPr="004C78D8">
        <w:t xml:space="preserve">, with societal and public sector ICERs increasing above the </w:t>
      </w:r>
      <w:r w:rsidR="004C0A5E" w:rsidRPr="004C78D8">
        <w:t xml:space="preserve">commonly accepted threshold of </w:t>
      </w:r>
      <w:r w:rsidR="00114F54" w:rsidRPr="004C78D8">
        <w:t>£30,000 per QALY gain</w:t>
      </w:r>
      <w:r w:rsidR="004C6405" w:rsidRPr="004C78D8">
        <w:t>ed</w:t>
      </w:r>
      <w:r w:rsidR="00114F54" w:rsidRPr="004C78D8">
        <w:t xml:space="preserve">. The QALY gain saw </w:t>
      </w:r>
      <w:r w:rsidR="004C0A5E" w:rsidRPr="004C78D8">
        <w:t>the most</w:t>
      </w:r>
      <w:r w:rsidR="00114F54" w:rsidRPr="004C78D8">
        <w:t xml:space="preserve"> significant decline from </w:t>
      </w:r>
      <w:r w:rsidR="00585EDF" w:rsidRPr="004C78D8">
        <w:t>19</w:t>
      </w:r>
      <w:r w:rsidR="00114F54" w:rsidRPr="004C78D8">
        <w:t>,</w:t>
      </w:r>
      <w:r w:rsidR="00585EDF" w:rsidRPr="004C78D8">
        <w:t>570</w:t>
      </w:r>
      <w:r w:rsidR="00114F54" w:rsidRPr="004C78D8">
        <w:t xml:space="preserve"> gain under base case to </w:t>
      </w:r>
      <w:r w:rsidR="00F66C9C" w:rsidRPr="004C78D8">
        <w:t>6</w:t>
      </w:r>
      <w:r w:rsidR="00114F54" w:rsidRPr="004C78D8">
        <w:t>,</w:t>
      </w:r>
      <w:r w:rsidR="00585EDF" w:rsidRPr="004C78D8">
        <w:t>895</w:t>
      </w:r>
      <w:r w:rsidR="00114F54" w:rsidRPr="004C78D8">
        <w:t xml:space="preserve">. </w:t>
      </w:r>
      <w:r w:rsidR="007F3D44" w:rsidRPr="004C78D8">
        <w:t xml:space="preserve">The majority of QALY gain from RC </w:t>
      </w:r>
      <w:r w:rsidR="00663AC0" w:rsidRPr="004C78D8">
        <w:t>vs.</w:t>
      </w:r>
      <w:r w:rsidR="007F3D44" w:rsidRPr="004C78D8">
        <w:t xml:space="preserve"> UC can thus be attributed to the </w:t>
      </w:r>
      <w:r w:rsidR="006F3511" w:rsidRPr="004C78D8">
        <w:t xml:space="preserve">prevention of </w:t>
      </w:r>
      <w:r w:rsidR="007F3D44" w:rsidRPr="004C78D8">
        <w:t xml:space="preserve">secondary effects </w:t>
      </w:r>
      <w:r w:rsidR="004C0A5E" w:rsidRPr="004C78D8">
        <w:t xml:space="preserve">of falls </w:t>
      </w:r>
      <w:r w:rsidR="007F3D44" w:rsidRPr="004C78D8">
        <w:t xml:space="preserve">via frailty progression. </w:t>
      </w:r>
      <w:r w:rsidR="006F3511" w:rsidRPr="004C78D8">
        <w:t xml:space="preserve">The societal outcomes likewise saw a significant shift from net gain </w:t>
      </w:r>
      <w:r w:rsidR="00280EFF" w:rsidRPr="004C78D8">
        <w:t xml:space="preserve">of </w:t>
      </w:r>
      <w:r w:rsidR="00585EDF" w:rsidRPr="004C78D8">
        <w:t>1,380</w:t>
      </w:r>
      <w:r w:rsidR="00280EFF" w:rsidRPr="004C78D8">
        <w:t xml:space="preserve"> QALYs </w:t>
      </w:r>
      <w:r w:rsidR="006F3511" w:rsidRPr="004C78D8">
        <w:t>to net loss</w:t>
      </w:r>
      <w:r w:rsidR="00280EFF" w:rsidRPr="004C78D8">
        <w:t xml:space="preserve"> of </w:t>
      </w:r>
      <w:r w:rsidR="00F66C9C" w:rsidRPr="004C78D8">
        <w:t>1,</w:t>
      </w:r>
      <w:r w:rsidR="00585EDF" w:rsidRPr="004C78D8">
        <w:t>587</w:t>
      </w:r>
      <w:r w:rsidR="006F3511" w:rsidRPr="004C78D8">
        <w:t xml:space="preserve">. </w:t>
      </w:r>
    </w:p>
    <w:p w14:paraId="03DE3083" w14:textId="6C898705" w:rsidR="00454F0A" w:rsidRPr="004C78D8" w:rsidRDefault="00AD695C" w:rsidP="00FB7C1F">
      <w:r w:rsidRPr="004C78D8">
        <w:t xml:space="preserve">Figure </w:t>
      </w:r>
      <w:r w:rsidR="00EC25A4" w:rsidRPr="004C78D8">
        <w:t>6</w:t>
      </w:r>
      <w:r w:rsidRPr="004C78D8">
        <w:t>.</w:t>
      </w:r>
      <w:r w:rsidR="00687B90" w:rsidRPr="004C78D8">
        <w:t>8</w:t>
      </w:r>
      <w:r w:rsidRPr="004C78D8">
        <w:t xml:space="preserve"> </w:t>
      </w:r>
      <w:r w:rsidR="008162B9" w:rsidRPr="004C78D8">
        <w:t>compares</w:t>
      </w:r>
      <w:r w:rsidRPr="004C78D8">
        <w:t xml:space="preserve"> the </w:t>
      </w:r>
      <w:r w:rsidR="008162B9" w:rsidRPr="004C78D8">
        <w:t xml:space="preserve">societal </w:t>
      </w:r>
      <w:r w:rsidR="00A84204" w:rsidRPr="004C78D8">
        <w:t xml:space="preserve">per-capita </w:t>
      </w:r>
      <w:r w:rsidR="008162B9" w:rsidRPr="004C78D8">
        <w:t>I</w:t>
      </w:r>
      <w:r w:rsidR="00560035" w:rsidRPr="004C78D8">
        <w:t>NHB</w:t>
      </w:r>
      <w:r w:rsidR="008162B9" w:rsidRPr="004C78D8">
        <w:t xml:space="preserve">s (considering all-cause costs) delineated by </w:t>
      </w:r>
      <w:r w:rsidRPr="004C78D8">
        <w:t xml:space="preserve">SES quartile </w:t>
      </w:r>
      <w:r w:rsidR="008162B9" w:rsidRPr="004C78D8">
        <w:t>in base case and in this scenario</w:t>
      </w:r>
      <w:r w:rsidRPr="004C78D8">
        <w:t xml:space="preserve">. </w:t>
      </w:r>
      <w:r w:rsidR="00583437" w:rsidRPr="004C78D8">
        <w:t>T</w:t>
      </w:r>
      <w:r w:rsidR="00120969" w:rsidRPr="004C78D8">
        <w:t xml:space="preserve">he </w:t>
      </w:r>
      <w:r w:rsidR="00DF7289" w:rsidRPr="004C78D8">
        <w:t>U-shaped</w:t>
      </w:r>
      <w:r w:rsidR="00120969" w:rsidRPr="004C78D8">
        <w:t xml:space="preserve"> SES gradient in the I</w:t>
      </w:r>
      <w:r w:rsidR="00583437" w:rsidRPr="004C78D8">
        <w:t>NHB</w:t>
      </w:r>
      <w:r w:rsidR="00120969" w:rsidRPr="004C78D8">
        <w:t>s disappears</w:t>
      </w:r>
      <w:r w:rsidR="00DF7289" w:rsidRPr="004C78D8">
        <w:t xml:space="preserve"> under the latter</w:t>
      </w:r>
      <w:r w:rsidR="00ED2C3A" w:rsidRPr="004C78D8">
        <w:t>; the 4</w:t>
      </w:r>
      <w:r w:rsidR="00ED2C3A" w:rsidRPr="004C78D8">
        <w:rPr>
          <w:vertAlign w:val="superscript"/>
        </w:rPr>
        <w:t>th</w:t>
      </w:r>
      <w:r w:rsidR="00ED2C3A" w:rsidRPr="004C78D8">
        <w:t xml:space="preserve"> quartile now derives the lowest INHBs</w:t>
      </w:r>
      <w:r w:rsidR="00120969" w:rsidRPr="004C78D8">
        <w:t>.</w:t>
      </w:r>
      <w:r w:rsidR="004C5894" w:rsidRPr="004C78D8">
        <w:t xml:space="preserve"> </w:t>
      </w:r>
      <w:r w:rsidR="00ED2C3A" w:rsidRPr="004C78D8">
        <w:t xml:space="preserve">The </w:t>
      </w:r>
      <w:r w:rsidR="00687B90" w:rsidRPr="004C78D8">
        <w:t>societal</w:t>
      </w:r>
      <w:r w:rsidR="00ED2C3A" w:rsidRPr="004C78D8">
        <w:t xml:space="preserve"> EDE INHBs were -0.015 and -0.013 under Atkinson </w:t>
      </w:r>
      <w:r w:rsidR="00ED2C3A" w:rsidRPr="004C78D8">
        <w:rPr>
          <w:rFonts w:cs="Times New Roman"/>
        </w:rPr>
        <w:t>ε</w:t>
      </w:r>
      <w:r w:rsidR="00ED2C3A" w:rsidRPr="004C78D8">
        <w:t xml:space="preserve">=30 and Kolm </w:t>
      </w:r>
      <w:r w:rsidR="00ED2C3A" w:rsidRPr="004C78D8">
        <w:rPr>
          <w:rFonts w:cs="Times New Roman"/>
        </w:rPr>
        <w:t>α</w:t>
      </w:r>
      <w:r w:rsidR="00ED2C3A" w:rsidRPr="004C78D8">
        <w:t xml:space="preserve">=0.5, </w:t>
      </w:r>
      <w:r w:rsidR="003507FA" w:rsidRPr="004C78D8">
        <w:t xml:space="preserve">respectively, </w:t>
      </w:r>
      <w:r w:rsidR="00ED2C3A" w:rsidRPr="004C78D8">
        <w:t xml:space="preserve">which were lower than the incremental no-aversion mean of -0.012. This confirms that RC worsened health inequity </w:t>
      </w:r>
      <w:r w:rsidR="00456835" w:rsidRPr="004C78D8">
        <w:t>vs.</w:t>
      </w:r>
      <w:r w:rsidR="00ED2C3A" w:rsidRPr="004C78D8">
        <w:t xml:space="preserve"> UC. Overall</w:t>
      </w:r>
      <w:r w:rsidR="006B12D7" w:rsidRPr="004C78D8">
        <w:t>,</w:t>
      </w:r>
      <w:r w:rsidR="00820C4E" w:rsidRPr="004C78D8">
        <w:t xml:space="preserve"> </w:t>
      </w:r>
      <w:r w:rsidR="006B12D7" w:rsidRPr="004C78D8">
        <w:t xml:space="preserve">the </w:t>
      </w:r>
      <w:r w:rsidR="00820C4E" w:rsidRPr="004C78D8">
        <w:t xml:space="preserve">falls-frailty feedback </w:t>
      </w:r>
      <w:r w:rsidR="006B12D7" w:rsidRPr="004C78D8">
        <w:t xml:space="preserve">is a key causal mechanism </w:t>
      </w:r>
      <w:r w:rsidR="00583437" w:rsidRPr="004C78D8">
        <w:t>for</w:t>
      </w:r>
      <w:r w:rsidR="006B12D7" w:rsidRPr="004C78D8">
        <w:t xml:space="preserve"> the</w:t>
      </w:r>
      <w:r w:rsidR="00820C4E" w:rsidRPr="004C78D8">
        <w:t xml:space="preserve"> </w:t>
      </w:r>
      <w:r w:rsidR="00687B90" w:rsidRPr="004C78D8">
        <w:t xml:space="preserve">efficient and </w:t>
      </w:r>
      <w:r w:rsidR="00820C4E" w:rsidRPr="004C78D8">
        <w:t>equitable impact</w:t>
      </w:r>
      <w:r w:rsidR="00687B90" w:rsidRPr="004C78D8">
        <w:t>s</w:t>
      </w:r>
      <w:r w:rsidR="00820C4E" w:rsidRPr="004C78D8">
        <w:t xml:space="preserve"> of RC</w:t>
      </w:r>
      <w:r w:rsidR="00687B90" w:rsidRPr="004C78D8">
        <w:t xml:space="preserve"> </w:t>
      </w:r>
      <w:r w:rsidR="00CA5218" w:rsidRPr="004C78D8">
        <w:t>vs.</w:t>
      </w:r>
      <w:r w:rsidR="00687B90" w:rsidRPr="004C78D8">
        <w:t xml:space="preserve"> UC</w:t>
      </w:r>
      <w:r w:rsidR="006B12D7" w:rsidRPr="004C78D8">
        <w:t>.</w:t>
      </w:r>
    </w:p>
    <w:p w14:paraId="794FC533" w14:textId="24BA3780" w:rsidR="00AD695C" w:rsidRPr="004C78D8" w:rsidRDefault="005F551F" w:rsidP="00FB7C1F">
      <w:r w:rsidRPr="004C78D8">
        <w:rPr>
          <w:noProof/>
          <w:lang w:eastAsia="en-GB"/>
        </w:rPr>
        <w:drawing>
          <wp:inline distT="0" distB="0" distL="0" distR="0" wp14:anchorId="4D377DB2" wp14:editId="6E0090C1">
            <wp:extent cx="5731510" cy="3953510"/>
            <wp:effectExtent l="0" t="0" r="2540" b="8890"/>
            <wp:docPr id="23" name="Chart 23">
              <a:extLst xmlns:a="http://schemas.openxmlformats.org/drawingml/2006/main">
                <a:ext uri="{FF2B5EF4-FFF2-40B4-BE49-F238E27FC236}">
                  <a16:creationId xmlns:a16="http://schemas.microsoft.com/office/drawing/2014/main" id="{319BC278-3ACA-43F5-958F-DCD900AA2A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241FD50" w14:textId="730DAA0C" w:rsidR="00AD695C" w:rsidRPr="004C78D8" w:rsidRDefault="00AD695C" w:rsidP="00FB7C1F">
      <w:r w:rsidRPr="004C78D8">
        <w:rPr>
          <w:b/>
          <w:bCs/>
        </w:rPr>
        <w:t xml:space="preserve">Figure </w:t>
      </w:r>
      <w:r w:rsidR="00EC25A4" w:rsidRPr="004C78D8">
        <w:rPr>
          <w:b/>
          <w:bCs/>
        </w:rPr>
        <w:t>6</w:t>
      </w:r>
      <w:r w:rsidRPr="004C78D8">
        <w:rPr>
          <w:b/>
          <w:bCs/>
        </w:rPr>
        <w:t>.</w:t>
      </w:r>
      <w:r w:rsidR="00687B90" w:rsidRPr="004C78D8">
        <w:rPr>
          <w:b/>
          <w:bCs/>
        </w:rPr>
        <w:t>8</w:t>
      </w:r>
      <w:r w:rsidRPr="004C78D8">
        <w:t xml:space="preserve"> </w:t>
      </w:r>
      <w:r w:rsidR="00B81920" w:rsidRPr="004C78D8">
        <w:t>S</w:t>
      </w:r>
      <w:r w:rsidRPr="004C78D8">
        <w:t xml:space="preserve">ocietal </w:t>
      </w:r>
      <w:r w:rsidR="00CA2911" w:rsidRPr="004C78D8">
        <w:t>per-capita INHBs</w:t>
      </w:r>
      <w:r w:rsidRPr="004C78D8">
        <w:t xml:space="preserve"> for all-cause care costs by SES quartile </w:t>
      </w:r>
      <w:r w:rsidR="00B81920" w:rsidRPr="004C78D8">
        <w:t xml:space="preserve">in base case and in </w:t>
      </w:r>
      <w:r w:rsidRPr="004C78D8">
        <w:t xml:space="preserve">falls-frailty feedback </w:t>
      </w:r>
      <w:r w:rsidR="00B81920" w:rsidRPr="004C78D8">
        <w:t xml:space="preserve">removal </w:t>
      </w:r>
      <w:r w:rsidR="00596C0E" w:rsidRPr="004C78D8">
        <w:t>scenario</w:t>
      </w:r>
      <w:r w:rsidRPr="004C78D8">
        <w:t xml:space="preserve">. </w:t>
      </w:r>
      <w:r w:rsidR="00D10D5E" w:rsidRPr="004C78D8">
        <w:rPr>
          <w:b/>
          <w:bCs/>
        </w:rPr>
        <w:t>Abbreviation</w:t>
      </w:r>
      <w:r w:rsidRPr="004C78D8">
        <w:rPr>
          <w:b/>
          <w:bCs/>
        </w:rPr>
        <w:t>:</w:t>
      </w:r>
      <w:r w:rsidRPr="004C78D8">
        <w:t xml:space="preserve"> I</w:t>
      </w:r>
      <w:r w:rsidR="00CA2911" w:rsidRPr="004C78D8">
        <w:t>NHB</w:t>
      </w:r>
      <w:r w:rsidRPr="004C78D8">
        <w:t xml:space="preserve">: incremental </w:t>
      </w:r>
      <w:r w:rsidR="00CA2911" w:rsidRPr="004C78D8">
        <w:t>net health benefit</w:t>
      </w:r>
      <w:r w:rsidRPr="004C78D8">
        <w:t>; QALY: quality-adjusted life year; SES: socioeconomic status.</w:t>
      </w:r>
    </w:p>
    <w:p w14:paraId="7721A5D9" w14:textId="03898064" w:rsidR="007F087E" w:rsidRPr="004C78D8" w:rsidRDefault="00EF4C94" w:rsidP="00FB7C1F">
      <w:pPr>
        <w:pStyle w:val="Heading4"/>
      </w:pPr>
      <w:r w:rsidRPr="004C78D8">
        <w:t>6</w:t>
      </w:r>
      <w:r w:rsidR="007F087E" w:rsidRPr="004C78D8">
        <w:t>.</w:t>
      </w:r>
      <w:r w:rsidRPr="004C78D8">
        <w:t>2</w:t>
      </w:r>
      <w:r w:rsidR="007F087E" w:rsidRPr="004C78D8">
        <w:t>.</w:t>
      </w:r>
      <w:r w:rsidRPr="004C78D8">
        <w:t>5</w:t>
      </w:r>
      <w:r w:rsidR="007F087E" w:rsidRPr="004C78D8">
        <w:t>.</w:t>
      </w:r>
      <w:r w:rsidRPr="004C78D8">
        <w:t xml:space="preserve">4 </w:t>
      </w:r>
      <w:r w:rsidR="00F419D5" w:rsidRPr="004C78D8">
        <w:t>F</w:t>
      </w:r>
      <w:r w:rsidR="007F087E" w:rsidRPr="004C78D8">
        <w:t xml:space="preserve">railty </w:t>
      </w:r>
      <w:r w:rsidR="00F9099F" w:rsidRPr="004C78D8">
        <w:t>reduction</w:t>
      </w:r>
    </w:p>
    <w:p w14:paraId="383BA3B8" w14:textId="59621240" w:rsidR="007F087E" w:rsidRPr="004C78D8" w:rsidRDefault="00F419D5" w:rsidP="00FB7C1F">
      <w:bookmarkStart w:id="194" w:name="_Hlk111231326"/>
      <w:r w:rsidRPr="004C78D8">
        <w:t xml:space="preserve">Table </w:t>
      </w:r>
      <w:r w:rsidR="00FA5D29" w:rsidRPr="004C78D8">
        <w:t>F16</w:t>
      </w:r>
      <w:r w:rsidRPr="004C78D8">
        <w:t xml:space="preserve"> shows the </w:t>
      </w:r>
      <w:r w:rsidR="001F33CB" w:rsidRPr="004C78D8">
        <w:t xml:space="preserve">40-year societal CUA outcomes under scenarios of </w:t>
      </w:r>
      <w:r w:rsidRPr="004C78D8">
        <w:t xml:space="preserve">20% </w:t>
      </w:r>
      <w:r w:rsidR="001F33CB" w:rsidRPr="004C78D8">
        <w:t xml:space="preserve">reduction in: </w:t>
      </w:r>
      <w:r w:rsidRPr="004C78D8">
        <w:t>(i) initial frailty levels at model entry</w:t>
      </w:r>
      <w:r w:rsidR="001F33CB" w:rsidRPr="004C78D8">
        <w:t>;</w:t>
      </w:r>
      <w:r w:rsidRPr="004C78D8">
        <w:t xml:space="preserve"> and (ii) the rate of frailty progression during model simulation. </w:t>
      </w:r>
      <w:bookmarkEnd w:id="194"/>
      <w:r w:rsidR="001F33CB" w:rsidRPr="004C78D8">
        <w:t>Under (i), the</w:t>
      </w:r>
      <w:r w:rsidR="00592BC5" w:rsidRPr="004C78D8">
        <w:t xml:space="preserve"> initial cohort aged 60+ and subsequent cohorts aged 60 entered the model with much improved health status: </w:t>
      </w:r>
      <w:r w:rsidR="001F33CB" w:rsidRPr="004C78D8">
        <w:t xml:space="preserve">e.g., </w:t>
      </w:r>
      <w:r w:rsidR="004C7561" w:rsidRPr="004C78D8">
        <w:t xml:space="preserve">the prevalence of high physical activity </w:t>
      </w:r>
      <w:r w:rsidR="001F33CB" w:rsidRPr="004C78D8">
        <w:t xml:space="preserve">in the initial cohort </w:t>
      </w:r>
      <w:r w:rsidR="00592BC5" w:rsidRPr="004C78D8">
        <w:t xml:space="preserve">was </w:t>
      </w:r>
      <w:r w:rsidR="004C7561" w:rsidRPr="004C78D8">
        <w:t>33.9%</w:t>
      </w:r>
      <w:r w:rsidR="00592BC5" w:rsidRPr="004C78D8">
        <w:t xml:space="preserve"> vs. 16.2% under base case</w:t>
      </w:r>
      <w:r w:rsidR="004C7561" w:rsidRPr="004C78D8">
        <w:t>.</w:t>
      </w:r>
      <w:r w:rsidR="00592BC5" w:rsidRPr="004C78D8">
        <w:t xml:space="preserve"> </w:t>
      </w:r>
      <w:r w:rsidR="001F33CB" w:rsidRPr="004C78D8">
        <w:t>Under both scenarios, t</w:t>
      </w:r>
      <w:r w:rsidR="00592BC5" w:rsidRPr="004C78D8">
        <w:t xml:space="preserve">he societal and public sector ICERs </w:t>
      </w:r>
      <w:r w:rsidR="00103544" w:rsidRPr="004C78D8">
        <w:t xml:space="preserve">increased relative to base case but remained below the </w:t>
      </w:r>
      <w:r w:rsidR="00C76567" w:rsidRPr="004C78D8">
        <w:t xml:space="preserve">commonly accepted </w:t>
      </w:r>
      <w:r w:rsidR="00103544" w:rsidRPr="004C78D8">
        <w:t>threshold of £30,000 per QALY gain</w:t>
      </w:r>
      <w:r w:rsidR="004C6405" w:rsidRPr="004C78D8">
        <w:t>ed</w:t>
      </w:r>
      <w:r w:rsidR="00592BC5" w:rsidRPr="004C78D8">
        <w:t xml:space="preserve">. </w:t>
      </w:r>
    </w:p>
    <w:p w14:paraId="0F1D7CCE" w14:textId="698B5F55" w:rsidR="0019059C" w:rsidRPr="004C78D8" w:rsidRDefault="00387788" w:rsidP="00FB7C1F">
      <w:bookmarkStart w:id="195" w:name="_Hlk93513921"/>
      <w:r w:rsidRPr="004C78D8">
        <w:t xml:space="preserve">Figure </w:t>
      </w:r>
      <w:r w:rsidR="007D4646" w:rsidRPr="004C78D8">
        <w:t>F7</w:t>
      </w:r>
      <w:r w:rsidR="00FA5D29" w:rsidRPr="004C78D8">
        <w:t xml:space="preserve"> </w:t>
      </w:r>
      <w:r w:rsidRPr="004C78D8">
        <w:t xml:space="preserve">compares the societal </w:t>
      </w:r>
      <w:r w:rsidR="00E85CBB" w:rsidRPr="004C78D8">
        <w:t>per-capita INHB</w:t>
      </w:r>
      <w:r w:rsidRPr="004C78D8">
        <w:t xml:space="preserve">s (considering all-cause costs) delineated by SES quartile in base case and the two scenarios. </w:t>
      </w:r>
      <w:bookmarkEnd w:id="195"/>
      <w:r w:rsidRPr="004C78D8">
        <w:t xml:space="preserve">The </w:t>
      </w:r>
      <w:r w:rsidR="003507FA" w:rsidRPr="004C78D8">
        <w:t>U-shaped</w:t>
      </w:r>
      <w:r w:rsidRPr="004C78D8">
        <w:t xml:space="preserve"> gradient is apparent </w:t>
      </w:r>
      <w:r w:rsidR="003507FA" w:rsidRPr="004C78D8">
        <w:t xml:space="preserve">in all. </w:t>
      </w:r>
      <w:r w:rsidR="0019059C" w:rsidRPr="004C78D8">
        <w:t xml:space="preserve">Table </w:t>
      </w:r>
      <w:r w:rsidR="00971FE5" w:rsidRPr="004C78D8">
        <w:t>6</w:t>
      </w:r>
      <w:r w:rsidR="0019059C" w:rsidRPr="004C78D8">
        <w:t>.</w:t>
      </w:r>
      <w:r w:rsidR="00F24D7D" w:rsidRPr="004C78D8">
        <w:t>8</w:t>
      </w:r>
      <w:r w:rsidR="001424C3" w:rsidRPr="004C78D8">
        <w:t xml:space="preserve"> shows the SES-delineated societal EDE INHBs of RC </w:t>
      </w:r>
      <w:r w:rsidR="00566E9F" w:rsidRPr="004C78D8">
        <w:t>vs.</w:t>
      </w:r>
      <w:r w:rsidR="001424C3" w:rsidRPr="004C78D8">
        <w:t xml:space="preserve"> UC under the two scenarios.</w:t>
      </w:r>
      <w:r w:rsidR="00484D0E" w:rsidRPr="004C78D8">
        <w:t xml:space="preserve"> Compared to </w:t>
      </w:r>
      <w:r w:rsidR="00361DA7">
        <w:t xml:space="preserve">the </w:t>
      </w:r>
      <w:r w:rsidR="00484D0E" w:rsidRPr="004C78D8">
        <w:t xml:space="preserve">base case, initial frailty reduction magnified the equity improvement of RC </w:t>
      </w:r>
      <w:r w:rsidR="00566E9F" w:rsidRPr="004C78D8">
        <w:t>vs.</w:t>
      </w:r>
      <w:r w:rsidR="00484D0E" w:rsidRPr="004C78D8">
        <w:t xml:space="preserve"> UC, while frailty progression rate reduction dampened it. Nevertheless, the dual equity-efficiency improvements of RC </w:t>
      </w:r>
      <w:r w:rsidR="00566E9F" w:rsidRPr="004C78D8">
        <w:t>vs.</w:t>
      </w:r>
      <w:r w:rsidR="00484D0E" w:rsidRPr="004C78D8">
        <w:t xml:space="preserve"> UC were maintained under the two scenarios. There is hence scope for integration between RC and frailty reduction </w:t>
      </w:r>
      <w:r w:rsidR="00971FE5" w:rsidRPr="004C78D8">
        <w:t xml:space="preserve">both </w:t>
      </w:r>
      <w:r w:rsidR="00484D0E" w:rsidRPr="004C78D8">
        <w:t xml:space="preserve">at earlier life stages </w:t>
      </w:r>
      <w:r w:rsidR="00971FE5" w:rsidRPr="004C78D8">
        <w:t xml:space="preserve">and </w:t>
      </w:r>
      <w:r w:rsidR="00484D0E" w:rsidRPr="004C78D8">
        <w:t>contemporaneously in old age.</w:t>
      </w:r>
    </w:p>
    <w:tbl>
      <w:tblPr>
        <w:tblStyle w:val="TableGrid"/>
        <w:tblW w:w="5000" w:type="pct"/>
        <w:tblLook w:val="04A0" w:firstRow="1" w:lastRow="0" w:firstColumn="1" w:lastColumn="0" w:noHBand="0" w:noVBand="1"/>
      </w:tblPr>
      <w:tblGrid>
        <w:gridCol w:w="3108"/>
        <w:gridCol w:w="1969"/>
        <w:gridCol w:w="1975"/>
        <w:gridCol w:w="1964"/>
      </w:tblGrid>
      <w:tr w:rsidR="007D4646" w:rsidRPr="004C78D8" w14:paraId="733B86DA" w14:textId="77777777" w:rsidTr="00E35893">
        <w:tc>
          <w:tcPr>
            <w:tcW w:w="5000" w:type="pct"/>
            <w:gridSpan w:val="4"/>
          </w:tcPr>
          <w:p w14:paraId="35395340" w14:textId="64F7D1A0" w:rsidR="007D4646" w:rsidRPr="004C78D8" w:rsidRDefault="007D4646" w:rsidP="00FB7C1F">
            <w:r w:rsidRPr="004C78D8">
              <w:rPr>
                <w:b/>
                <w:bCs/>
              </w:rPr>
              <w:t xml:space="preserve">Table </w:t>
            </w:r>
            <w:r w:rsidR="00971FE5" w:rsidRPr="004C78D8">
              <w:rPr>
                <w:b/>
                <w:bCs/>
              </w:rPr>
              <w:t>6</w:t>
            </w:r>
            <w:r w:rsidRPr="004C78D8">
              <w:rPr>
                <w:b/>
                <w:bCs/>
              </w:rPr>
              <w:t>.</w:t>
            </w:r>
            <w:r w:rsidR="00F24D7D" w:rsidRPr="004C78D8">
              <w:rPr>
                <w:b/>
                <w:bCs/>
              </w:rPr>
              <w:t>8</w:t>
            </w:r>
            <w:r w:rsidRPr="004C78D8">
              <w:t xml:space="preserve"> SES-delineated EDE INHBs for recommended care relative to usual care under two frailty reduction scenarios.</w:t>
            </w:r>
          </w:p>
        </w:tc>
      </w:tr>
      <w:tr w:rsidR="007D4646" w:rsidRPr="004C78D8" w14:paraId="2399D74F" w14:textId="77777777" w:rsidTr="00E35893">
        <w:tc>
          <w:tcPr>
            <w:tcW w:w="1724" w:type="pct"/>
            <w:vAlign w:val="bottom"/>
          </w:tcPr>
          <w:p w14:paraId="79D04F28" w14:textId="77777777" w:rsidR="007D4646" w:rsidRPr="004C78D8" w:rsidRDefault="007D4646" w:rsidP="00FB7C1F">
            <w:pPr>
              <w:jc w:val="left"/>
              <w:rPr>
                <w:b/>
                <w:bCs/>
                <w:sz w:val="20"/>
                <w:szCs w:val="20"/>
              </w:rPr>
            </w:pPr>
          </w:p>
        </w:tc>
        <w:tc>
          <w:tcPr>
            <w:tcW w:w="3276" w:type="pct"/>
            <w:gridSpan w:val="3"/>
          </w:tcPr>
          <w:p w14:paraId="7DFB0FCB" w14:textId="68013EB7" w:rsidR="007D4646" w:rsidRPr="004C78D8" w:rsidRDefault="007D4646" w:rsidP="00FB7C1F">
            <w:pPr>
              <w:jc w:val="center"/>
              <w:rPr>
                <w:b/>
                <w:bCs/>
                <w:sz w:val="20"/>
                <w:szCs w:val="20"/>
              </w:rPr>
            </w:pPr>
            <w:r w:rsidRPr="004C78D8">
              <w:rPr>
                <w:b/>
                <w:bCs/>
                <w:sz w:val="20"/>
                <w:szCs w:val="20"/>
              </w:rPr>
              <w:t>RC vs. UC</w:t>
            </w:r>
          </w:p>
        </w:tc>
      </w:tr>
      <w:tr w:rsidR="007D4646" w:rsidRPr="004C78D8" w14:paraId="79FA89D0" w14:textId="77777777" w:rsidTr="00E35893">
        <w:tc>
          <w:tcPr>
            <w:tcW w:w="1724" w:type="pct"/>
            <w:vAlign w:val="bottom"/>
          </w:tcPr>
          <w:p w14:paraId="4DB159C6" w14:textId="77777777" w:rsidR="007D4646" w:rsidRPr="004C78D8" w:rsidRDefault="007D4646" w:rsidP="00FB7C1F">
            <w:pPr>
              <w:jc w:val="left"/>
              <w:rPr>
                <w:b/>
                <w:bCs/>
                <w:sz w:val="20"/>
                <w:szCs w:val="20"/>
              </w:rPr>
            </w:pPr>
            <w:r w:rsidRPr="004C78D8">
              <w:rPr>
                <w:b/>
                <w:bCs/>
                <w:sz w:val="20"/>
                <w:szCs w:val="20"/>
              </w:rPr>
              <w:t>Societal INHB</w:t>
            </w:r>
            <w:r w:rsidRPr="004C78D8">
              <w:rPr>
                <w:b/>
                <w:bCs/>
                <w:sz w:val="20"/>
                <w:szCs w:val="20"/>
                <w:vertAlign w:val="superscript"/>
              </w:rPr>
              <w:t>1</w:t>
            </w:r>
          </w:p>
        </w:tc>
        <w:tc>
          <w:tcPr>
            <w:tcW w:w="1092" w:type="pct"/>
            <w:vAlign w:val="bottom"/>
          </w:tcPr>
          <w:p w14:paraId="27CDCF15" w14:textId="2C8E215C" w:rsidR="007D4646" w:rsidRPr="004C78D8" w:rsidRDefault="00B7008E" w:rsidP="00FB7C1F">
            <w:pPr>
              <w:jc w:val="left"/>
              <w:rPr>
                <w:b/>
                <w:bCs/>
                <w:sz w:val="20"/>
                <w:szCs w:val="20"/>
              </w:rPr>
            </w:pPr>
            <w:r w:rsidRPr="004C78D8">
              <w:rPr>
                <w:b/>
                <w:bCs/>
                <w:sz w:val="20"/>
                <w:szCs w:val="20"/>
              </w:rPr>
              <w:t>Initial frailty reduction</w:t>
            </w:r>
          </w:p>
        </w:tc>
        <w:tc>
          <w:tcPr>
            <w:tcW w:w="1095" w:type="pct"/>
            <w:vAlign w:val="bottom"/>
          </w:tcPr>
          <w:p w14:paraId="1D8E1D6A" w14:textId="5D8E0835" w:rsidR="007D4646" w:rsidRPr="004C78D8" w:rsidRDefault="00B7008E" w:rsidP="00FB7C1F">
            <w:pPr>
              <w:jc w:val="left"/>
              <w:rPr>
                <w:b/>
                <w:bCs/>
                <w:sz w:val="20"/>
                <w:szCs w:val="20"/>
              </w:rPr>
            </w:pPr>
            <w:r w:rsidRPr="004C78D8">
              <w:rPr>
                <w:b/>
                <w:bCs/>
                <w:sz w:val="20"/>
                <w:szCs w:val="20"/>
              </w:rPr>
              <w:t>Frailty progression rate reduction</w:t>
            </w:r>
          </w:p>
        </w:tc>
        <w:tc>
          <w:tcPr>
            <w:tcW w:w="1089" w:type="pct"/>
            <w:vAlign w:val="bottom"/>
          </w:tcPr>
          <w:p w14:paraId="700B3B9B" w14:textId="05D1E794" w:rsidR="007D4646" w:rsidRPr="004C78D8" w:rsidRDefault="00B7008E" w:rsidP="00FB7C1F">
            <w:pPr>
              <w:jc w:val="left"/>
              <w:rPr>
                <w:b/>
                <w:bCs/>
                <w:sz w:val="20"/>
                <w:szCs w:val="20"/>
              </w:rPr>
            </w:pPr>
            <w:r w:rsidRPr="004C78D8">
              <w:rPr>
                <w:b/>
                <w:bCs/>
                <w:sz w:val="20"/>
                <w:szCs w:val="20"/>
              </w:rPr>
              <w:t>Base case</w:t>
            </w:r>
          </w:p>
        </w:tc>
      </w:tr>
      <w:tr w:rsidR="00B7008E" w:rsidRPr="004C78D8" w14:paraId="3B4A99E1" w14:textId="77777777" w:rsidTr="00E35893">
        <w:tc>
          <w:tcPr>
            <w:tcW w:w="1724" w:type="pct"/>
            <w:tcBorders>
              <w:bottom w:val="single" w:sz="4" w:space="0" w:color="auto"/>
            </w:tcBorders>
          </w:tcPr>
          <w:p w14:paraId="1B85EEF8" w14:textId="77777777" w:rsidR="00B7008E" w:rsidRPr="004C78D8" w:rsidRDefault="00B7008E" w:rsidP="00FB7C1F">
            <w:pPr>
              <w:jc w:val="left"/>
              <w:rPr>
                <w:sz w:val="20"/>
                <w:szCs w:val="20"/>
              </w:rPr>
            </w:pPr>
            <w:r w:rsidRPr="004C78D8">
              <w:rPr>
                <w:sz w:val="20"/>
                <w:szCs w:val="20"/>
              </w:rPr>
              <w:t>(1) Incremental no-aversion mean</w:t>
            </w:r>
            <w:r w:rsidRPr="004C78D8">
              <w:rPr>
                <w:sz w:val="20"/>
                <w:szCs w:val="20"/>
                <w:vertAlign w:val="superscript"/>
              </w:rPr>
              <w:t>2</w:t>
            </w:r>
          </w:p>
        </w:tc>
        <w:tc>
          <w:tcPr>
            <w:tcW w:w="1092" w:type="pct"/>
            <w:tcBorders>
              <w:bottom w:val="single" w:sz="4" w:space="0" w:color="auto"/>
            </w:tcBorders>
          </w:tcPr>
          <w:p w14:paraId="7C2D640D" w14:textId="3714C764" w:rsidR="00B7008E" w:rsidRPr="004C78D8" w:rsidRDefault="00B7008E" w:rsidP="00FB7C1F">
            <w:pPr>
              <w:jc w:val="left"/>
              <w:rPr>
                <w:sz w:val="20"/>
                <w:szCs w:val="20"/>
              </w:rPr>
            </w:pPr>
            <w:r w:rsidRPr="004C78D8">
              <w:rPr>
                <w:sz w:val="20"/>
                <w:szCs w:val="20"/>
              </w:rPr>
              <w:t>0.0276</w:t>
            </w:r>
          </w:p>
        </w:tc>
        <w:tc>
          <w:tcPr>
            <w:tcW w:w="1095" w:type="pct"/>
            <w:tcBorders>
              <w:bottom w:val="single" w:sz="4" w:space="0" w:color="auto"/>
            </w:tcBorders>
          </w:tcPr>
          <w:p w14:paraId="74643D42" w14:textId="492A177F" w:rsidR="00B7008E" w:rsidRPr="004C78D8" w:rsidRDefault="00B7008E" w:rsidP="00FB7C1F">
            <w:pPr>
              <w:jc w:val="left"/>
              <w:rPr>
                <w:sz w:val="20"/>
                <w:szCs w:val="20"/>
              </w:rPr>
            </w:pPr>
            <w:r w:rsidRPr="004C78D8">
              <w:rPr>
                <w:sz w:val="20"/>
                <w:szCs w:val="20"/>
              </w:rPr>
              <w:t>0.0225</w:t>
            </w:r>
          </w:p>
        </w:tc>
        <w:tc>
          <w:tcPr>
            <w:tcW w:w="1089" w:type="pct"/>
            <w:tcBorders>
              <w:bottom w:val="single" w:sz="4" w:space="0" w:color="auto"/>
            </w:tcBorders>
          </w:tcPr>
          <w:p w14:paraId="448EF49A" w14:textId="20E01519" w:rsidR="00B7008E" w:rsidRPr="004C78D8" w:rsidRDefault="00B7008E" w:rsidP="00FB7C1F">
            <w:pPr>
              <w:jc w:val="left"/>
              <w:rPr>
                <w:sz w:val="20"/>
                <w:szCs w:val="20"/>
              </w:rPr>
            </w:pPr>
            <w:r w:rsidRPr="004C78D8">
              <w:rPr>
                <w:sz w:val="20"/>
                <w:szCs w:val="20"/>
              </w:rPr>
              <w:t>0.0307</w:t>
            </w:r>
          </w:p>
        </w:tc>
      </w:tr>
      <w:tr w:rsidR="00B7008E" w:rsidRPr="004C78D8" w14:paraId="2F36C1FC" w14:textId="77777777" w:rsidTr="00E35893">
        <w:tc>
          <w:tcPr>
            <w:tcW w:w="1724" w:type="pct"/>
            <w:tcBorders>
              <w:bottom w:val="nil"/>
            </w:tcBorders>
          </w:tcPr>
          <w:p w14:paraId="37FE0FBA" w14:textId="77777777" w:rsidR="00B7008E" w:rsidRPr="004C78D8" w:rsidRDefault="00B7008E" w:rsidP="00FB7C1F">
            <w:pPr>
              <w:jc w:val="left"/>
              <w:rPr>
                <w:sz w:val="20"/>
                <w:szCs w:val="20"/>
              </w:rPr>
            </w:pPr>
            <w:r w:rsidRPr="004C78D8">
              <w:rPr>
                <w:sz w:val="20"/>
                <w:szCs w:val="20"/>
              </w:rPr>
              <w:t>(2) Atkinson EDE INHB (</w:t>
            </w:r>
            <w:r w:rsidRPr="004C78D8">
              <w:rPr>
                <w:rFonts w:cs="Times New Roman"/>
                <w:sz w:val="20"/>
                <w:szCs w:val="20"/>
              </w:rPr>
              <w:t>ε</w:t>
            </w:r>
            <w:r w:rsidRPr="004C78D8">
              <w:rPr>
                <w:sz w:val="20"/>
                <w:szCs w:val="20"/>
              </w:rPr>
              <w:t>=30)</w:t>
            </w:r>
          </w:p>
        </w:tc>
        <w:tc>
          <w:tcPr>
            <w:tcW w:w="1092" w:type="pct"/>
            <w:tcBorders>
              <w:bottom w:val="nil"/>
            </w:tcBorders>
          </w:tcPr>
          <w:p w14:paraId="28AE14E2" w14:textId="15E01D18" w:rsidR="00B7008E" w:rsidRPr="004C78D8" w:rsidRDefault="00B7008E" w:rsidP="00FB7C1F">
            <w:pPr>
              <w:jc w:val="left"/>
              <w:rPr>
                <w:sz w:val="20"/>
                <w:szCs w:val="20"/>
              </w:rPr>
            </w:pPr>
            <w:r w:rsidRPr="004C78D8">
              <w:rPr>
                <w:sz w:val="20"/>
                <w:szCs w:val="20"/>
              </w:rPr>
              <w:t>0.0312</w:t>
            </w:r>
          </w:p>
        </w:tc>
        <w:tc>
          <w:tcPr>
            <w:tcW w:w="1095" w:type="pct"/>
            <w:tcBorders>
              <w:bottom w:val="nil"/>
            </w:tcBorders>
          </w:tcPr>
          <w:p w14:paraId="3963F26D" w14:textId="5A496921" w:rsidR="00B7008E" w:rsidRPr="004C78D8" w:rsidRDefault="00B7008E" w:rsidP="00FB7C1F">
            <w:pPr>
              <w:jc w:val="left"/>
              <w:rPr>
                <w:sz w:val="20"/>
                <w:szCs w:val="20"/>
              </w:rPr>
            </w:pPr>
            <w:r w:rsidRPr="004C78D8">
              <w:rPr>
                <w:sz w:val="20"/>
                <w:szCs w:val="20"/>
              </w:rPr>
              <w:t>0.0241</w:t>
            </w:r>
          </w:p>
        </w:tc>
        <w:tc>
          <w:tcPr>
            <w:tcW w:w="1089" w:type="pct"/>
            <w:tcBorders>
              <w:bottom w:val="nil"/>
            </w:tcBorders>
          </w:tcPr>
          <w:p w14:paraId="4A580EA6" w14:textId="4F6FD8F8" w:rsidR="00B7008E" w:rsidRPr="004C78D8" w:rsidRDefault="00B7008E" w:rsidP="00FB7C1F">
            <w:pPr>
              <w:jc w:val="left"/>
              <w:rPr>
                <w:sz w:val="20"/>
                <w:szCs w:val="20"/>
              </w:rPr>
            </w:pPr>
            <w:r w:rsidRPr="004C78D8">
              <w:rPr>
                <w:sz w:val="20"/>
                <w:szCs w:val="20"/>
              </w:rPr>
              <w:t>0.0343</w:t>
            </w:r>
          </w:p>
        </w:tc>
      </w:tr>
      <w:tr w:rsidR="00B7008E" w:rsidRPr="004C78D8" w14:paraId="3E9F4DE3" w14:textId="77777777" w:rsidTr="00E35893">
        <w:tc>
          <w:tcPr>
            <w:tcW w:w="1724" w:type="pct"/>
            <w:tcBorders>
              <w:top w:val="nil"/>
              <w:bottom w:val="single" w:sz="4" w:space="0" w:color="auto"/>
            </w:tcBorders>
          </w:tcPr>
          <w:p w14:paraId="62BCA58E" w14:textId="77777777" w:rsidR="00B7008E" w:rsidRPr="004C78D8" w:rsidRDefault="00B7008E" w:rsidP="00FB7C1F">
            <w:pPr>
              <w:jc w:val="right"/>
              <w:rPr>
                <w:i/>
                <w:iCs/>
                <w:sz w:val="20"/>
                <w:szCs w:val="20"/>
              </w:rPr>
            </w:pPr>
            <w:r w:rsidRPr="004C78D8">
              <w:rPr>
                <w:i/>
                <w:iCs/>
                <w:sz w:val="20"/>
                <w:szCs w:val="20"/>
              </w:rPr>
              <w:t>Proportion of (2) relative to (1)</w:t>
            </w:r>
          </w:p>
        </w:tc>
        <w:tc>
          <w:tcPr>
            <w:tcW w:w="1092" w:type="pct"/>
            <w:tcBorders>
              <w:top w:val="nil"/>
              <w:bottom w:val="single" w:sz="4" w:space="0" w:color="auto"/>
            </w:tcBorders>
          </w:tcPr>
          <w:p w14:paraId="7A281D96" w14:textId="21D2F896" w:rsidR="00B7008E" w:rsidRPr="004C78D8" w:rsidRDefault="00B7008E" w:rsidP="00FB7C1F">
            <w:pPr>
              <w:jc w:val="left"/>
              <w:rPr>
                <w:i/>
                <w:iCs/>
                <w:sz w:val="20"/>
                <w:szCs w:val="20"/>
              </w:rPr>
            </w:pPr>
            <w:r w:rsidRPr="004C78D8">
              <w:rPr>
                <w:i/>
                <w:iCs/>
                <w:sz w:val="20"/>
                <w:szCs w:val="20"/>
              </w:rPr>
              <w:t>1.1304</w:t>
            </w:r>
          </w:p>
        </w:tc>
        <w:tc>
          <w:tcPr>
            <w:tcW w:w="1095" w:type="pct"/>
            <w:tcBorders>
              <w:top w:val="nil"/>
              <w:bottom w:val="single" w:sz="4" w:space="0" w:color="auto"/>
            </w:tcBorders>
          </w:tcPr>
          <w:p w14:paraId="7003FDFF" w14:textId="3B36EA51" w:rsidR="00B7008E" w:rsidRPr="004C78D8" w:rsidRDefault="00B7008E" w:rsidP="00FB7C1F">
            <w:pPr>
              <w:jc w:val="left"/>
              <w:rPr>
                <w:i/>
                <w:iCs/>
                <w:sz w:val="20"/>
                <w:szCs w:val="20"/>
              </w:rPr>
            </w:pPr>
            <w:r w:rsidRPr="004C78D8">
              <w:rPr>
                <w:i/>
                <w:iCs/>
                <w:sz w:val="20"/>
                <w:szCs w:val="20"/>
              </w:rPr>
              <w:t>1.0684</w:t>
            </w:r>
          </w:p>
        </w:tc>
        <w:tc>
          <w:tcPr>
            <w:tcW w:w="1089" w:type="pct"/>
            <w:tcBorders>
              <w:top w:val="nil"/>
              <w:bottom w:val="single" w:sz="4" w:space="0" w:color="auto"/>
            </w:tcBorders>
          </w:tcPr>
          <w:p w14:paraId="64341F3D" w14:textId="027AECF9" w:rsidR="00B7008E" w:rsidRPr="004C78D8" w:rsidRDefault="00B7008E" w:rsidP="00FB7C1F">
            <w:pPr>
              <w:jc w:val="left"/>
              <w:rPr>
                <w:i/>
                <w:iCs/>
                <w:sz w:val="20"/>
                <w:szCs w:val="20"/>
              </w:rPr>
            </w:pPr>
            <w:r w:rsidRPr="004C78D8">
              <w:rPr>
                <w:i/>
                <w:iCs/>
                <w:sz w:val="20"/>
                <w:szCs w:val="20"/>
              </w:rPr>
              <w:t>1.1169</w:t>
            </w:r>
          </w:p>
        </w:tc>
      </w:tr>
      <w:tr w:rsidR="00B7008E" w:rsidRPr="004C78D8" w14:paraId="1EF5521A" w14:textId="77777777" w:rsidTr="00E35893">
        <w:tc>
          <w:tcPr>
            <w:tcW w:w="1724" w:type="pct"/>
            <w:tcBorders>
              <w:bottom w:val="nil"/>
            </w:tcBorders>
          </w:tcPr>
          <w:p w14:paraId="007BD86F" w14:textId="77777777" w:rsidR="00B7008E" w:rsidRPr="004C78D8" w:rsidRDefault="00B7008E" w:rsidP="00FB7C1F">
            <w:pPr>
              <w:jc w:val="left"/>
              <w:rPr>
                <w:sz w:val="20"/>
                <w:szCs w:val="20"/>
              </w:rPr>
            </w:pPr>
            <w:r w:rsidRPr="004C78D8">
              <w:rPr>
                <w:sz w:val="20"/>
                <w:szCs w:val="20"/>
              </w:rPr>
              <w:t>(3) Kolm EDE INHB (</w:t>
            </w:r>
            <w:r w:rsidRPr="004C78D8">
              <w:rPr>
                <w:rFonts w:cs="Times New Roman"/>
                <w:sz w:val="20"/>
                <w:szCs w:val="20"/>
              </w:rPr>
              <w:t>α</w:t>
            </w:r>
            <w:r w:rsidRPr="004C78D8">
              <w:rPr>
                <w:sz w:val="20"/>
                <w:szCs w:val="20"/>
              </w:rPr>
              <w:t>=0.5)</w:t>
            </w:r>
          </w:p>
        </w:tc>
        <w:tc>
          <w:tcPr>
            <w:tcW w:w="1092" w:type="pct"/>
            <w:tcBorders>
              <w:bottom w:val="nil"/>
            </w:tcBorders>
          </w:tcPr>
          <w:p w14:paraId="2A2ABB12" w14:textId="560FB848" w:rsidR="00B7008E" w:rsidRPr="004C78D8" w:rsidRDefault="00B7008E" w:rsidP="00FB7C1F">
            <w:pPr>
              <w:jc w:val="left"/>
              <w:rPr>
                <w:sz w:val="20"/>
                <w:szCs w:val="20"/>
              </w:rPr>
            </w:pPr>
            <w:r w:rsidRPr="004C78D8">
              <w:rPr>
                <w:sz w:val="20"/>
                <w:szCs w:val="20"/>
              </w:rPr>
              <w:t>0.0281</w:t>
            </w:r>
          </w:p>
        </w:tc>
        <w:tc>
          <w:tcPr>
            <w:tcW w:w="1095" w:type="pct"/>
            <w:tcBorders>
              <w:bottom w:val="nil"/>
            </w:tcBorders>
          </w:tcPr>
          <w:p w14:paraId="4457637A" w14:textId="71362F8A" w:rsidR="00B7008E" w:rsidRPr="004C78D8" w:rsidRDefault="00B7008E" w:rsidP="00FB7C1F">
            <w:pPr>
              <w:jc w:val="left"/>
              <w:rPr>
                <w:sz w:val="20"/>
                <w:szCs w:val="20"/>
              </w:rPr>
            </w:pPr>
            <w:r w:rsidRPr="004C78D8">
              <w:rPr>
                <w:sz w:val="20"/>
                <w:szCs w:val="20"/>
              </w:rPr>
              <w:t>0.0225</w:t>
            </w:r>
          </w:p>
        </w:tc>
        <w:tc>
          <w:tcPr>
            <w:tcW w:w="1089" w:type="pct"/>
            <w:tcBorders>
              <w:bottom w:val="nil"/>
            </w:tcBorders>
          </w:tcPr>
          <w:p w14:paraId="67901EAA" w14:textId="30DD565E" w:rsidR="00B7008E" w:rsidRPr="004C78D8" w:rsidRDefault="00B7008E" w:rsidP="00FB7C1F">
            <w:pPr>
              <w:jc w:val="left"/>
              <w:rPr>
                <w:sz w:val="20"/>
                <w:szCs w:val="20"/>
              </w:rPr>
            </w:pPr>
            <w:r w:rsidRPr="004C78D8">
              <w:rPr>
                <w:sz w:val="20"/>
                <w:szCs w:val="20"/>
              </w:rPr>
              <w:t>0.0311</w:t>
            </w:r>
          </w:p>
        </w:tc>
      </w:tr>
      <w:tr w:rsidR="00B7008E" w:rsidRPr="004C78D8" w14:paraId="164C3110" w14:textId="77777777" w:rsidTr="00E35893">
        <w:tc>
          <w:tcPr>
            <w:tcW w:w="1724" w:type="pct"/>
            <w:tcBorders>
              <w:top w:val="nil"/>
            </w:tcBorders>
          </w:tcPr>
          <w:p w14:paraId="445B69F7" w14:textId="77777777" w:rsidR="00B7008E" w:rsidRPr="004C78D8" w:rsidRDefault="00B7008E" w:rsidP="00FB7C1F">
            <w:pPr>
              <w:jc w:val="right"/>
              <w:rPr>
                <w:i/>
                <w:iCs/>
                <w:sz w:val="20"/>
                <w:szCs w:val="20"/>
              </w:rPr>
            </w:pPr>
            <w:r w:rsidRPr="004C78D8">
              <w:rPr>
                <w:i/>
                <w:iCs/>
                <w:sz w:val="20"/>
                <w:szCs w:val="20"/>
              </w:rPr>
              <w:t>Proportion of (3) relative to (1)</w:t>
            </w:r>
          </w:p>
        </w:tc>
        <w:tc>
          <w:tcPr>
            <w:tcW w:w="1092" w:type="pct"/>
            <w:tcBorders>
              <w:top w:val="nil"/>
            </w:tcBorders>
          </w:tcPr>
          <w:p w14:paraId="01FCFD41" w14:textId="5D157BFC" w:rsidR="00B7008E" w:rsidRPr="004C78D8" w:rsidRDefault="00B7008E" w:rsidP="00FB7C1F">
            <w:pPr>
              <w:jc w:val="left"/>
              <w:rPr>
                <w:i/>
                <w:iCs/>
                <w:sz w:val="20"/>
                <w:szCs w:val="20"/>
              </w:rPr>
            </w:pPr>
            <w:r w:rsidRPr="004C78D8">
              <w:rPr>
                <w:i/>
                <w:iCs/>
                <w:sz w:val="20"/>
                <w:szCs w:val="20"/>
              </w:rPr>
              <w:t>1.0181</w:t>
            </w:r>
          </w:p>
        </w:tc>
        <w:tc>
          <w:tcPr>
            <w:tcW w:w="1095" w:type="pct"/>
            <w:tcBorders>
              <w:top w:val="nil"/>
            </w:tcBorders>
          </w:tcPr>
          <w:p w14:paraId="618C55E4" w14:textId="57AFB42F" w:rsidR="00B7008E" w:rsidRPr="004C78D8" w:rsidRDefault="00B7008E" w:rsidP="00FB7C1F">
            <w:pPr>
              <w:jc w:val="left"/>
              <w:rPr>
                <w:i/>
                <w:iCs/>
                <w:sz w:val="20"/>
                <w:szCs w:val="20"/>
              </w:rPr>
            </w:pPr>
            <w:r w:rsidRPr="004C78D8">
              <w:rPr>
                <w:i/>
                <w:iCs/>
                <w:sz w:val="20"/>
                <w:szCs w:val="20"/>
              </w:rPr>
              <w:t>1.0004</w:t>
            </w:r>
          </w:p>
        </w:tc>
        <w:tc>
          <w:tcPr>
            <w:tcW w:w="1089" w:type="pct"/>
            <w:tcBorders>
              <w:top w:val="nil"/>
            </w:tcBorders>
          </w:tcPr>
          <w:p w14:paraId="5FC7FD45" w14:textId="63D8D349" w:rsidR="00B7008E" w:rsidRPr="004C78D8" w:rsidRDefault="00B7008E" w:rsidP="00FB7C1F">
            <w:pPr>
              <w:jc w:val="left"/>
              <w:rPr>
                <w:i/>
                <w:iCs/>
                <w:sz w:val="20"/>
                <w:szCs w:val="20"/>
              </w:rPr>
            </w:pPr>
            <w:r w:rsidRPr="004C78D8">
              <w:rPr>
                <w:i/>
                <w:iCs/>
                <w:sz w:val="20"/>
                <w:szCs w:val="20"/>
              </w:rPr>
              <w:t>1.0121</w:t>
            </w:r>
          </w:p>
        </w:tc>
      </w:tr>
      <w:tr w:rsidR="007D4646" w:rsidRPr="004C78D8" w14:paraId="6405C232" w14:textId="77777777" w:rsidTr="00E35893">
        <w:tc>
          <w:tcPr>
            <w:tcW w:w="5000" w:type="pct"/>
            <w:gridSpan w:val="4"/>
          </w:tcPr>
          <w:p w14:paraId="0402E2FF" w14:textId="5E6C0554" w:rsidR="007D4646" w:rsidRPr="004C78D8" w:rsidRDefault="007D4646" w:rsidP="00FB7C1F">
            <w:pPr>
              <w:rPr>
                <w:sz w:val="18"/>
                <w:szCs w:val="18"/>
              </w:rPr>
            </w:pPr>
            <w:r w:rsidRPr="004C78D8">
              <w:rPr>
                <w:b/>
                <w:bCs/>
                <w:sz w:val="18"/>
                <w:szCs w:val="18"/>
              </w:rPr>
              <w:t>Abbreviation:</w:t>
            </w:r>
            <w:r w:rsidRPr="004C78D8">
              <w:rPr>
                <w:sz w:val="18"/>
                <w:szCs w:val="18"/>
              </w:rPr>
              <w:t xml:space="preserve"> EDE: equally distributed equivalent; INHB: incremental net health benefit; QALY: quality-adjusted life year; RC: recommended care; SES: socioeconomic status; UC: usual care.</w:t>
            </w:r>
          </w:p>
          <w:p w14:paraId="7DCAFC3E" w14:textId="2FFC863B" w:rsidR="007D4646" w:rsidRPr="004C78D8" w:rsidRDefault="007D4646" w:rsidP="00FB7C1F">
            <w:pPr>
              <w:rPr>
                <w:sz w:val="18"/>
                <w:szCs w:val="18"/>
              </w:rPr>
            </w:pPr>
            <w:r w:rsidRPr="004C78D8">
              <w:rPr>
                <w:sz w:val="18"/>
                <w:szCs w:val="18"/>
                <w:vertAlign w:val="superscript"/>
              </w:rPr>
              <w:t>1</w:t>
            </w:r>
            <w:r w:rsidRPr="004C78D8">
              <w:rPr>
                <w:sz w:val="18"/>
                <w:szCs w:val="18"/>
              </w:rPr>
              <w:t xml:space="preserve"> The societal NHB incorporates QALY gain and QALY-equivalent net societal gain minus public sector opportunity costs (translated to QALY-equivalent using cost-effectiveness threshold of £30,000 per QALY gain</w:t>
            </w:r>
            <w:r w:rsidR="004C6405" w:rsidRPr="004C78D8">
              <w:rPr>
                <w:sz w:val="18"/>
                <w:szCs w:val="18"/>
              </w:rPr>
              <w:t>ed</w:t>
            </w:r>
            <w:r w:rsidRPr="004C78D8">
              <w:rPr>
                <w:sz w:val="18"/>
                <w:szCs w:val="18"/>
              </w:rPr>
              <w:t>) for each SES quartile. The incremental NHB (INHB) is measured relative to UC.</w:t>
            </w:r>
          </w:p>
          <w:p w14:paraId="6F3BCBC9" w14:textId="0D98D123" w:rsidR="007D4646" w:rsidRPr="004C78D8" w:rsidRDefault="007D4646" w:rsidP="00FB7C1F">
            <w:pPr>
              <w:rPr>
                <w:sz w:val="18"/>
                <w:szCs w:val="18"/>
              </w:rPr>
            </w:pPr>
            <w:r w:rsidRPr="004C78D8">
              <w:rPr>
                <w:sz w:val="18"/>
                <w:szCs w:val="18"/>
                <w:vertAlign w:val="superscript"/>
              </w:rPr>
              <w:t>2</w:t>
            </w:r>
            <w:r w:rsidRPr="004C78D8">
              <w:rPr>
                <w:sz w:val="18"/>
                <w:szCs w:val="18"/>
              </w:rPr>
              <w:t xml:space="preserve"> This is the EDE INHB when Atkinson </w:t>
            </w:r>
            <w:r w:rsidRPr="004C78D8">
              <w:rPr>
                <w:rFonts w:cs="Times New Roman"/>
                <w:sz w:val="18"/>
                <w:szCs w:val="18"/>
              </w:rPr>
              <w:t>ε</w:t>
            </w:r>
            <w:r w:rsidRPr="004C78D8">
              <w:rPr>
                <w:sz w:val="18"/>
                <w:szCs w:val="18"/>
              </w:rPr>
              <w:t xml:space="preserve">=0 </w:t>
            </w:r>
            <w:r w:rsidRPr="004C78D8">
              <w:rPr>
                <w:sz w:val="18"/>
                <w:szCs w:val="18"/>
              </w:rPr>
              <w:fldChar w:fldCharType="begin"/>
            </w:r>
            <w:r w:rsidR="00513646" w:rsidRPr="004C78D8">
              <w:rPr>
                <w:sz w:val="18"/>
                <w:szCs w:val="18"/>
              </w:rPr>
              <w:instrText xml:space="preserve"> ADDIN EN.CITE &lt;EndNote&gt;&lt;Cite&gt;&lt;Author&gt;Asaria&lt;/Author&gt;&lt;Year&gt;2016&lt;/Year&gt;&lt;RecNum&gt;361&lt;/RecNum&gt;&lt;DisplayText&gt;[109]&lt;/DisplayText&gt;&lt;record&gt;&lt;rec-number&gt;361&lt;/rec-number&gt;&lt;foreign-keys&gt;&lt;key app="EN" db-id="tdtrdw9aepptzbefsat599syza29sxsd2wsp" timestamp="1612265402"&gt;361&lt;/key&gt;&lt;/foreign-keys&gt;&lt;ref-type name="Journal Article"&gt;17&lt;/ref-type&gt;&lt;contributors&gt;&lt;authors&gt;&lt;author&gt;Asaria, Miqdad&lt;/author&gt;&lt;author&gt;Griffin, Susan&lt;/author&gt;&lt;author&gt;Cookson, Richard&lt;/author&gt;&lt;/authors&gt;&lt;/contributors&gt;&lt;titles&gt;&lt;title&gt;Distributional Cost-Effectiveness Analysis: A Tutorial&lt;/title&gt;&lt;secondary-title&gt;Medical decision making&lt;/secondary-title&gt;&lt;/titles&gt;&lt;periodical&gt;&lt;full-title&gt;Medical Decision Making&lt;/full-title&gt;&lt;/periodical&gt;&lt;pages&gt;8-19&lt;/pages&gt;&lt;volume&gt;36&lt;/volume&gt;&lt;number&gt;1&lt;/number&gt;&lt;keywords&gt;&lt;keyword&gt;cost-effectiveness analysis&lt;/keyword&gt;&lt;keyword&gt;economic evaluation&lt;/keyword&gt;&lt;keyword&gt;efficiency&lt;/keyword&gt;&lt;keyword&gt;equality&lt;/keyword&gt;&lt;keyword&gt;equity&lt;/keyword&gt;&lt;keyword&gt;fairness&lt;/keyword&gt;&lt;keyword&gt;health distribution&lt;/keyword&gt;&lt;keyword&gt;health inequality&lt;/keyword&gt;&lt;keyword&gt;inequality measures&lt;/keyword&gt;&lt;keyword&gt;opportunity cost&lt;/keyword&gt;&lt;keyword&gt;social value judgments&lt;/keyword&gt;&lt;keyword&gt;social welfare functions&lt;/keyword&gt;&lt;keyword&gt;tradeoff&lt;/keyword&gt;&lt;/keywords&gt;&lt;dates&gt;&lt;year&gt;2016&lt;/year&gt;&lt;pub-dates&gt;&lt;date&gt;1/1&lt;/date&gt;&lt;/pub-dates&gt;&lt;/dates&gt;&lt;isbn&gt;0272-989X&lt;/isbn&gt;&lt;work-type&gt;Article&lt;/work-type&gt;&lt;urls&gt;&lt;related-urls&gt;&lt;url&gt;http://www.scopus.com/inward/record.url?scp=84950117843&amp;amp;partnerID=8YFLogxK&lt;/url&gt;&lt;/related-urls&gt;&lt;/urls&gt;&lt;electronic-resource-num&gt;10.1177/0272989X15583266&lt;/electronic-resource-num&gt;&lt;/record&gt;&lt;/Cite&gt;&lt;/EndNote&gt;</w:instrText>
            </w:r>
            <w:r w:rsidRPr="004C78D8">
              <w:rPr>
                <w:sz w:val="18"/>
                <w:szCs w:val="18"/>
              </w:rPr>
              <w:fldChar w:fldCharType="separate"/>
            </w:r>
            <w:r w:rsidR="00513646" w:rsidRPr="004C78D8">
              <w:rPr>
                <w:noProof/>
                <w:sz w:val="18"/>
                <w:szCs w:val="18"/>
              </w:rPr>
              <w:t>[109]</w:t>
            </w:r>
            <w:r w:rsidRPr="004C78D8">
              <w:rPr>
                <w:sz w:val="18"/>
                <w:szCs w:val="18"/>
              </w:rPr>
              <w:fldChar w:fldCharType="end"/>
            </w:r>
            <w:r w:rsidRPr="004C78D8">
              <w:rPr>
                <w:sz w:val="18"/>
                <w:szCs w:val="18"/>
              </w:rPr>
              <w:t>.</w:t>
            </w:r>
          </w:p>
        </w:tc>
      </w:tr>
    </w:tbl>
    <w:p w14:paraId="6FAC0499" w14:textId="77777777" w:rsidR="007D4646" w:rsidRPr="004C78D8" w:rsidRDefault="007D4646" w:rsidP="00FB7C1F"/>
    <w:p w14:paraId="0E7E7C58" w14:textId="0EF5D5A5" w:rsidR="007E17F1" w:rsidRPr="004C78D8" w:rsidRDefault="00EF4C94" w:rsidP="00FB7C1F">
      <w:pPr>
        <w:pStyle w:val="Heading4"/>
      </w:pPr>
      <w:r w:rsidRPr="004C78D8">
        <w:t>6</w:t>
      </w:r>
      <w:r w:rsidR="007E17F1" w:rsidRPr="004C78D8">
        <w:t>.</w:t>
      </w:r>
      <w:r w:rsidRPr="004C78D8">
        <w:t>2</w:t>
      </w:r>
      <w:r w:rsidR="007E17F1" w:rsidRPr="004C78D8">
        <w:t>.</w:t>
      </w:r>
      <w:r w:rsidRPr="004C78D8">
        <w:t>5</w:t>
      </w:r>
      <w:r w:rsidR="007E17F1" w:rsidRPr="004C78D8">
        <w:t>.</w:t>
      </w:r>
      <w:r w:rsidRPr="004C78D8">
        <w:t xml:space="preserve">5 </w:t>
      </w:r>
      <w:r w:rsidR="007E17F1" w:rsidRPr="004C78D8">
        <w:t>Higher life expectancy</w:t>
      </w:r>
    </w:p>
    <w:p w14:paraId="75BDA50E" w14:textId="56986D83" w:rsidR="00F52578" w:rsidRPr="004C78D8" w:rsidRDefault="009A015E" w:rsidP="00FB7C1F">
      <w:r w:rsidRPr="004C78D8">
        <w:t xml:space="preserve">Table F17 shows the 40-year societal CUA outcomes when other-cause mortality risks were reduced by 20%. </w:t>
      </w:r>
      <w:r w:rsidR="00F52578" w:rsidRPr="004C78D8">
        <w:t>Compared to base case, the societal and public sector ICERs were all lower due to the higher total QALY gain</w:t>
      </w:r>
      <w:r w:rsidR="00361DA7">
        <w:t>s</w:t>
      </w:r>
      <w:r w:rsidR="00F52578" w:rsidRPr="004C78D8">
        <w:t xml:space="preserve"> and public sector cost savings, though the net societal gain was lower. Therefore, policies improving the geriatric life expectancy complement RC, improving its cost-effectiveness </w:t>
      </w:r>
      <w:r w:rsidR="00566E9F" w:rsidRPr="004C78D8">
        <w:t>vs.</w:t>
      </w:r>
      <w:r w:rsidR="00F52578" w:rsidRPr="004C78D8">
        <w:t xml:space="preserve"> UC. </w:t>
      </w:r>
      <w:r w:rsidR="001E244F" w:rsidRPr="004C78D8">
        <w:t xml:space="preserve">The lower life expectancy generated by the model relative to the ONS data (Section </w:t>
      </w:r>
      <w:r w:rsidR="00BF60D9" w:rsidRPr="004C78D8">
        <w:t>5</w:t>
      </w:r>
      <w:r w:rsidR="001E244F" w:rsidRPr="004C78D8">
        <w:t>.3.3) hence produce</w:t>
      </w:r>
      <w:r w:rsidR="00B01535" w:rsidRPr="004C78D8">
        <w:t>d</w:t>
      </w:r>
      <w:r w:rsidR="001E244F" w:rsidRPr="004C78D8">
        <w:t xml:space="preserve"> a conservative estimate of cost-effectiveness.</w:t>
      </w:r>
    </w:p>
    <w:p w14:paraId="2222612F" w14:textId="46822943" w:rsidR="00C60715" w:rsidRPr="004C78D8" w:rsidRDefault="00F52578" w:rsidP="00FB7C1F">
      <w:r w:rsidRPr="004C78D8">
        <w:t xml:space="preserve">Figure </w:t>
      </w:r>
      <w:r w:rsidR="00C60715" w:rsidRPr="004C78D8">
        <w:t>F8</w:t>
      </w:r>
      <w:r w:rsidR="00971FE5" w:rsidRPr="004C78D8">
        <w:t xml:space="preserve"> </w:t>
      </w:r>
      <w:r w:rsidRPr="004C78D8">
        <w:t xml:space="preserve">shows the SES gradient to the societal INHBs under the scenario and base case. </w:t>
      </w:r>
      <w:r w:rsidR="00162334" w:rsidRPr="004C78D8">
        <w:t>Relative to base case, the SES gradient was more pro-poor under the scenario, with the 3</w:t>
      </w:r>
      <w:r w:rsidR="00162334" w:rsidRPr="004C78D8">
        <w:rPr>
          <w:vertAlign w:val="superscript"/>
        </w:rPr>
        <w:t>rd</w:t>
      </w:r>
      <w:r w:rsidR="00162334" w:rsidRPr="004C78D8">
        <w:t xml:space="preserve"> and 4</w:t>
      </w:r>
      <w:r w:rsidR="00162334" w:rsidRPr="004C78D8">
        <w:rPr>
          <w:vertAlign w:val="superscript"/>
        </w:rPr>
        <w:t>th</w:t>
      </w:r>
      <w:r w:rsidR="00162334" w:rsidRPr="004C78D8">
        <w:t xml:space="preserve"> quartiles now deriving greater per-capita INHBs than the 1</w:t>
      </w:r>
      <w:r w:rsidR="00162334" w:rsidRPr="004C78D8">
        <w:rPr>
          <w:vertAlign w:val="superscript"/>
        </w:rPr>
        <w:t>st</w:t>
      </w:r>
      <w:r w:rsidR="00162334" w:rsidRPr="004C78D8">
        <w:t>. Interestingly, the 1</w:t>
      </w:r>
      <w:r w:rsidR="00162334" w:rsidRPr="004C78D8">
        <w:rPr>
          <w:vertAlign w:val="superscript"/>
        </w:rPr>
        <w:t>st</w:t>
      </w:r>
      <w:r w:rsidR="00162334" w:rsidRPr="004C78D8">
        <w:t xml:space="preserve"> quartile derived less INHBs under the scenario than the base case due to the lower net societal gain for the quartile (571 vs. 769 QALYs)</w:t>
      </w:r>
      <w:r w:rsidR="001F1B30" w:rsidRPr="004C78D8">
        <w:t xml:space="preserve">. </w:t>
      </w:r>
    </w:p>
    <w:p w14:paraId="4F4E7E39" w14:textId="07FA90BC" w:rsidR="009408FF" w:rsidRPr="004C78D8" w:rsidRDefault="001F1B30" w:rsidP="00FB7C1F">
      <w:r w:rsidRPr="004C78D8">
        <w:t xml:space="preserve">For the </w:t>
      </w:r>
      <w:r w:rsidR="00C60715" w:rsidRPr="004C78D8">
        <w:t xml:space="preserve">higher life expectancy </w:t>
      </w:r>
      <w:r w:rsidRPr="004C78D8">
        <w:t xml:space="preserve">scenario, the EDE INHBs were 0.0376 and 0.0336 under Atkinson </w:t>
      </w:r>
      <w:r w:rsidRPr="004C78D8">
        <w:rPr>
          <w:rFonts w:cs="Times New Roman"/>
        </w:rPr>
        <w:t>ε</w:t>
      </w:r>
      <w:r w:rsidRPr="004C78D8">
        <w:t xml:space="preserve">=30 and Kolm </w:t>
      </w:r>
      <w:r w:rsidRPr="004C78D8">
        <w:rPr>
          <w:rFonts w:cs="Times New Roman"/>
        </w:rPr>
        <w:t>α</w:t>
      </w:r>
      <w:r w:rsidRPr="004C78D8">
        <w:t xml:space="preserve">=0.5, respectively, which were higher than the incremental no-aversion mean of 0.0328. The </w:t>
      </w:r>
      <w:r w:rsidR="003617E9" w:rsidRPr="004C78D8">
        <w:t>proportion</w:t>
      </w:r>
      <w:r w:rsidR="00C60715" w:rsidRPr="004C78D8">
        <w:t>s</w:t>
      </w:r>
      <w:r w:rsidR="003617E9" w:rsidRPr="004C78D8">
        <w:t xml:space="preserve"> of</w:t>
      </w:r>
      <w:r w:rsidRPr="004C78D8">
        <w:t xml:space="preserve"> the EDE INHBs </w:t>
      </w:r>
      <w:r w:rsidR="003617E9" w:rsidRPr="004C78D8">
        <w:t>relative to the latter</w:t>
      </w:r>
      <w:r w:rsidRPr="004C78D8">
        <w:t xml:space="preserve"> were </w:t>
      </w:r>
      <w:r w:rsidR="003617E9" w:rsidRPr="004C78D8">
        <w:t>1</w:t>
      </w:r>
      <w:r w:rsidRPr="004C78D8">
        <w:t>.</w:t>
      </w:r>
      <w:r w:rsidR="003617E9" w:rsidRPr="004C78D8">
        <w:t>1483</w:t>
      </w:r>
      <w:r w:rsidRPr="004C78D8">
        <w:t xml:space="preserve"> and </w:t>
      </w:r>
      <w:r w:rsidR="003617E9" w:rsidRPr="004C78D8">
        <w:t>1</w:t>
      </w:r>
      <w:r w:rsidRPr="004C78D8">
        <w:t>.</w:t>
      </w:r>
      <w:r w:rsidR="003617E9" w:rsidRPr="004C78D8">
        <w:t>0249</w:t>
      </w:r>
      <w:r w:rsidRPr="004C78D8">
        <w:t xml:space="preserve"> respectively, which </w:t>
      </w:r>
      <w:r w:rsidR="003617E9" w:rsidRPr="004C78D8">
        <w:t>we</w:t>
      </w:r>
      <w:r w:rsidRPr="004C78D8">
        <w:t xml:space="preserve">re higher than the </w:t>
      </w:r>
      <w:r w:rsidR="003617E9" w:rsidRPr="004C78D8">
        <w:t>proportions</w:t>
      </w:r>
      <w:r w:rsidRPr="004C78D8">
        <w:t xml:space="preserve"> under the base case (</w:t>
      </w:r>
      <w:r w:rsidR="003617E9" w:rsidRPr="004C78D8">
        <w:t>1</w:t>
      </w:r>
      <w:r w:rsidRPr="004C78D8">
        <w:t>.</w:t>
      </w:r>
      <w:r w:rsidR="003617E9" w:rsidRPr="004C78D8">
        <w:t>1169</w:t>
      </w:r>
      <w:r w:rsidRPr="004C78D8">
        <w:t xml:space="preserve"> and </w:t>
      </w:r>
      <w:r w:rsidR="003617E9" w:rsidRPr="004C78D8">
        <w:t>1</w:t>
      </w:r>
      <w:r w:rsidRPr="004C78D8">
        <w:t>.</w:t>
      </w:r>
      <w:r w:rsidR="003617E9" w:rsidRPr="004C78D8">
        <w:t>0121</w:t>
      </w:r>
      <w:r w:rsidRPr="004C78D8">
        <w:t xml:space="preserve">). Hence, the higher life expectancy magnified the equity improvement of RC.  </w:t>
      </w:r>
    </w:p>
    <w:p w14:paraId="792D0C77" w14:textId="72AC6140" w:rsidR="00F11247" w:rsidRPr="004C78D8" w:rsidRDefault="00EF4C94" w:rsidP="00FB7C1F">
      <w:pPr>
        <w:pStyle w:val="Heading4"/>
      </w:pPr>
      <w:r w:rsidRPr="004C78D8">
        <w:t>6</w:t>
      </w:r>
      <w:r w:rsidR="007F087E" w:rsidRPr="004C78D8">
        <w:t>.</w:t>
      </w:r>
      <w:r w:rsidRPr="004C78D8">
        <w:t>2</w:t>
      </w:r>
      <w:r w:rsidR="007F087E" w:rsidRPr="004C78D8">
        <w:t>.</w:t>
      </w:r>
      <w:r w:rsidRPr="004C78D8">
        <w:t>5</w:t>
      </w:r>
      <w:r w:rsidR="007F087E" w:rsidRPr="004C78D8">
        <w:t>.</w:t>
      </w:r>
      <w:r w:rsidRPr="004C78D8">
        <w:t xml:space="preserve">6 </w:t>
      </w:r>
      <w:r w:rsidR="00385F93" w:rsidRPr="004C78D8">
        <w:t xml:space="preserve">Reduced </w:t>
      </w:r>
      <w:r w:rsidR="00174DE5" w:rsidRPr="004C78D8">
        <w:t xml:space="preserve">other-cause </w:t>
      </w:r>
      <w:r w:rsidR="00385F93" w:rsidRPr="004C78D8">
        <w:t>mortality risk gap between frailty categories</w:t>
      </w:r>
    </w:p>
    <w:p w14:paraId="378033D5" w14:textId="79DD2A6F" w:rsidR="00491843" w:rsidRPr="004C78D8" w:rsidRDefault="00FD4ADB" w:rsidP="00FB7C1F">
      <w:bookmarkStart w:id="196" w:name="_Hlk111232384"/>
      <w:r w:rsidRPr="004C78D8">
        <w:t xml:space="preserve">Table </w:t>
      </w:r>
      <w:r w:rsidR="009A015E" w:rsidRPr="004C78D8">
        <w:t>F18</w:t>
      </w:r>
      <w:r w:rsidRPr="004C78D8">
        <w:t xml:space="preserve"> shows the 40-year societal CUA outcomes from scenario with 20% reduction in the hazard ratios across frailty categories (relative to the fit category) for the other-cause mortality risk. </w:t>
      </w:r>
      <w:bookmarkEnd w:id="196"/>
      <w:r w:rsidR="008643F3" w:rsidRPr="004C78D8">
        <w:t>U</w:t>
      </w:r>
      <w:r w:rsidR="00A80435" w:rsidRPr="004C78D8">
        <w:t xml:space="preserve">nder UC in base case, the gap in life expectancy from age 60 between those who are initially fit and those who </w:t>
      </w:r>
      <w:r w:rsidR="0079348B" w:rsidRPr="004C78D8">
        <w:t>are</w:t>
      </w:r>
      <w:r w:rsidR="00A80435" w:rsidRPr="004C78D8">
        <w:t xml:space="preserve"> severe</w:t>
      </w:r>
      <w:r w:rsidR="0079348B" w:rsidRPr="004C78D8">
        <w:t>ly</w:t>
      </w:r>
      <w:r w:rsidR="00A80435" w:rsidRPr="004C78D8">
        <w:t xml:space="preserve"> frail is 6.4 years</w:t>
      </w:r>
      <w:r w:rsidR="008643F3" w:rsidRPr="004C78D8">
        <w:t>; this gap is reduced to 4.8 years under the scenario</w:t>
      </w:r>
      <w:r w:rsidR="00A80435" w:rsidRPr="004C78D8">
        <w:t xml:space="preserve">. </w:t>
      </w:r>
      <w:r w:rsidR="00235F38" w:rsidRPr="004C78D8">
        <w:t>There were modest increases in the societal ICERs relative to base case</w:t>
      </w:r>
      <w:r w:rsidR="00C07776" w:rsidRPr="004C78D8">
        <w:t>; RC remain</w:t>
      </w:r>
      <w:r w:rsidR="00235F38" w:rsidRPr="004C78D8">
        <w:t>ed</w:t>
      </w:r>
      <w:r w:rsidR="00C07776" w:rsidRPr="004C78D8">
        <w:t xml:space="preserve"> cost-effective </w:t>
      </w:r>
      <w:r w:rsidR="00105EBA" w:rsidRPr="004C78D8">
        <w:t>vs.</w:t>
      </w:r>
      <w:r w:rsidR="00C07776" w:rsidRPr="004C78D8">
        <w:t xml:space="preserve"> UC. </w:t>
      </w:r>
      <w:r w:rsidR="003C7919" w:rsidRPr="004C78D8">
        <w:t>T</w:t>
      </w:r>
      <w:r w:rsidR="009254AC" w:rsidRPr="004C78D8">
        <w:t>he</w:t>
      </w:r>
      <w:r w:rsidR="00235F38" w:rsidRPr="004C78D8">
        <w:t xml:space="preserve">re was a modest decrease in the net societal gain from 1,380 to 1,197 QALYs, </w:t>
      </w:r>
      <w:r w:rsidR="008D6E62" w:rsidRPr="004C78D8">
        <w:t>primarily due to the lower net productivity gain among</w:t>
      </w:r>
      <w:r w:rsidR="00407D7F" w:rsidRPr="004C78D8">
        <w:t xml:space="preserve"> frailer persons </w:t>
      </w:r>
      <w:r w:rsidR="008D6E62" w:rsidRPr="004C78D8">
        <w:t>with</w:t>
      </w:r>
      <w:r w:rsidR="00DE2640" w:rsidRPr="004C78D8">
        <w:t xml:space="preserve"> extended life years</w:t>
      </w:r>
      <w:r w:rsidR="00407D7F" w:rsidRPr="004C78D8">
        <w:t xml:space="preserve">. </w:t>
      </w:r>
      <w:r w:rsidR="009254AC" w:rsidRPr="004C78D8">
        <w:t xml:space="preserve"> </w:t>
      </w:r>
    </w:p>
    <w:p w14:paraId="203E107A" w14:textId="10958394" w:rsidR="009C19BB" w:rsidRPr="004C78D8" w:rsidRDefault="00C07776" w:rsidP="00FB7C1F">
      <w:bookmarkStart w:id="197" w:name="_Hlk85115252"/>
      <w:r w:rsidRPr="004C78D8">
        <w:t xml:space="preserve">Figure </w:t>
      </w:r>
      <w:r w:rsidR="00C56DDA" w:rsidRPr="004C78D8">
        <w:t>F9</w:t>
      </w:r>
      <w:r w:rsidR="00C67C48" w:rsidRPr="004C78D8">
        <w:t xml:space="preserve"> </w:t>
      </w:r>
      <w:r w:rsidRPr="004C78D8">
        <w:t xml:space="preserve">compares the societal </w:t>
      </w:r>
      <w:r w:rsidR="00B80A1D" w:rsidRPr="004C78D8">
        <w:t xml:space="preserve">per-capita </w:t>
      </w:r>
      <w:r w:rsidRPr="004C78D8">
        <w:t>I</w:t>
      </w:r>
      <w:r w:rsidR="00B80A1D" w:rsidRPr="004C78D8">
        <w:t>NHB</w:t>
      </w:r>
      <w:r w:rsidRPr="004C78D8">
        <w:t xml:space="preserve">s delineated by initial frailty category in base case and the scenario. </w:t>
      </w:r>
      <w:bookmarkEnd w:id="197"/>
      <w:r w:rsidR="00F06F68" w:rsidRPr="004C78D8">
        <w:t>Despite t</w:t>
      </w:r>
      <w:r w:rsidR="00837981" w:rsidRPr="004C78D8">
        <w:t xml:space="preserve">he reduction in the life expectancy differential between </w:t>
      </w:r>
      <w:r w:rsidR="009446C2" w:rsidRPr="004C78D8">
        <w:t xml:space="preserve">frailty </w:t>
      </w:r>
      <w:r w:rsidR="00837981" w:rsidRPr="004C78D8">
        <w:t>subgroups</w:t>
      </w:r>
      <w:r w:rsidR="00F06F68" w:rsidRPr="004C78D8">
        <w:t xml:space="preserve">, the frailty gradient to the INHBs </w:t>
      </w:r>
      <w:r w:rsidR="009C19BB" w:rsidRPr="004C78D8">
        <w:t xml:space="preserve">remained similar </w:t>
      </w:r>
      <w:r w:rsidR="00105EBA" w:rsidRPr="004C78D8">
        <w:t xml:space="preserve">between </w:t>
      </w:r>
      <w:r w:rsidR="009C19BB" w:rsidRPr="004C78D8">
        <w:t>base case and scenario</w:t>
      </w:r>
      <w:r w:rsidR="00F06F68" w:rsidRPr="004C78D8">
        <w:t>.</w:t>
      </w:r>
      <w:r w:rsidR="00837981" w:rsidRPr="004C78D8">
        <w:t xml:space="preserve"> </w:t>
      </w:r>
      <w:r w:rsidR="009C19BB" w:rsidRPr="004C78D8">
        <w:t xml:space="preserve">For the </w:t>
      </w:r>
      <w:r w:rsidR="00105EBA" w:rsidRPr="004C78D8">
        <w:t>latter</w:t>
      </w:r>
      <w:r w:rsidR="009C19BB" w:rsidRPr="004C78D8">
        <w:t xml:space="preserve">, the EDE INHBs were 0.0436 and 0.0269 under Atkinson </w:t>
      </w:r>
      <w:r w:rsidR="009C19BB" w:rsidRPr="004C78D8">
        <w:rPr>
          <w:rFonts w:cs="Times New Roman"/>
        </w:rPr>
        <w:t>ε</w:t>
      </w:r>
      <w:r w:rsidR="009C19BB" w:rsidRPr="004C78D8">
        <w:t xml:space="preserve">=30 and Kolm </w:t>
      </w:r>
      <w:r w:rsidR="009C19BB" w:rsidRPr="004C78D8">
        <w:rPr>
          <w:rFonts w:cs="Times New Roman"/>
        </w:rPr>
        <w:t>α</w:t>
      </w:r>
      <w:r w:rsidR="009C19BB" w:rsidRPr="004C78D8">
        <w:t xml:space="preserve">=0.5, respectively, while the incremental no-aversion mean was 0.0314. Hence, </w:t>
      </w:r>
      <w:r w:rsidR="00F961DD" w:rsidRPr="004C78D8">
        <w:t xml:space="preserve">as in the base case, </w:t>
      </w:r>
      <w:r w:rsidR="009C19BB" w:rsidRPr="004C78D8">
        <w:t xml:space="preserve">RC improved equity </w:t>
      </w:r>
      <w:r w:rsidR="00F961DD" w:rsidRPr="004C78D8">
        <w:t>relative to UC in terms of relative but not absolute societal INHB inequality</w:t>
      </w:r>
      <w:r w:rsidR="00573AA7" w:rsidRPr="004C78D8">
        <w:t xml:space="preserve"> (Table </w:t>
      </w:r>
      <w:r w:rsidR="00C67C48" w:rsidRPr="004C78D8">
        <w:t>6</w:t>
      </w:r>
      <w:r w:rsidR="00573AA7" w:rsidRPr="004C78D8">
        <w:t>.</w:t>
      </w:r>
      <w:r w:rsidR="00C67C48" w:rsidRPr="004C78D8">
        <w:t>7</w:t>
      </w:r>
      <w:r w:rsidR="00573AA7" w:rsidRPr="004C78D8">
        <w:t>)</w:t>
      </w:r>
      <w:r w:rsidR="00F961DD" w:rsidRPr="004C78D8">
        <w:t xml:space="preserve">. </w:t>
      </w:r>
      <w:r w:rsidR="009C19BB" w:rsidRPr="004C78D8">
        <w:t xml:space="preserve">The </w:t>
      </w:r>
      <w:r w:rsidR="003617E9" w:rsidRPr="004C78D8">
        <w:t>proportion</w:t>
      </w:r>
      <w:r w:rsidR="001917C1" w:rsidRPr="004C78D8">
        <w:t>al size</w:t>
      </w:r>
      <w:r w:rsidR="003617E9" w:rsidRPr="004C78D8">
        <w:t xml:space="preserve"> of </w:t>
      </w:r>
      <w:r w:rsidR="001917C1" w:rsidRPr="004C78D8">
        <w:t xml:space="preserve">the </w:t>
      </w:r>
      <w:r w:rsidR="003617E9" w:rsidRPr="004C78D8">
        <w:t>EDE INHBs relative to</w:t>
      </w:r>
      <w:r w:rsidR="009C19BB" w:rsidRPr="004C78D8">
        <w:t xml:space="preserve"> </w:t>
      </w:r>
      <w:r w:rsidR="00F961DD" w:rsidRPr="004C78D8">
        <w:t>incremental no-aversion mean</w:t>
      </w:r>
      <w:r w:rsidR="009C19BB" w:rsidRPr="004C78D8">
        <w:t xml:space="preserve"> were </w:t>
      </w:r>
      <w:r w:rsidR="003617E9" w:rsidRPr="004C78D8">
        <w:t>1</w:t>
      </w:r>
      <w:r w:rsidR="009C19BB" w:rsidRPr="004C78D8">
        <w:t>.</w:t>
      </w:r>
      <w:r w:rsidR="00142CC1" w:rsidRPr="004C78D8">
        <w:t>3870</w:t>
      </w:r>
      <w:r w:rsidR="009C19BB" w:rsidRPr="004C78D8">
        <w:t xml:space="preserve"> and 0.</w:t>
      </w:r>
      <w:r w:rsidR="00142CC1" w:rsidRPr="004C78D8">
        <w:t>8560</w:t>
      </w:r>
      <w:r w:rsidR="009C19BB" w:rsidRPr="004C78D8">
        <w:t xml:space="preserve"> respectively</w:t>
      </w:r>
      <w:r w:rsidR="00F961DD" w:rsidRPr="004C78D8">
        <w:t xml:space="preserve">; the corresponding figures under base case were </w:t>
      </w:r>
      <w:r w:rsidR="00142CC1" w:rsidRPr="004C78D8">
        <w:t>1</w:t>
      </w:r>
      <w:r w:rsidR="00F961DD" w:rsidRPr="004C78D8">
        <w:t>.</w:t>
      </w:r>
      <w:r w:rsidR="00142CC1" w:rsidRPr="004C78D8">
        <w:t>4385</w:t>
      </w:r>
      <w:r w:rsidR="00F961DD" w:rsidRPr="004C78D8">
        <w:t xml:space="preserve"> and 0.</w:t>
      </w:r>
      <w:r w:rsidR="00142CC1" w:rsidRPr="004C78D8">
        <w:t>8519</w:t>
      </w:r>
      <w:r w:rsidR="00F961DD" w:rsidRPr="004C78D8">
        <w:t xml:space="preserve">. Thus, the </w:t>
      </w:r>
      <w:r w:rsidR="00573AA7" w:rsidRPr="004C78D8">
        <w:t xml:space="preserve">mortality risk gap </w:t>
      </w:r>
      <w:r w:rsidR="00F961DD" w:rsidRPr="004C78D8">
        <w:t xml:space="preserve">reduction did not </w:t>
      </w:r>
      <w:r w:rsidR="00573AA7" w:rsidRPr="004C78D8">
        <w:t>improve</w:t>
      </w:r>
      <w:r w:rsidR="00F961DD" w:rsidRPr="004C78D8">
        <w:t xml:space="preserve"> </w:t>
      </w:r>
      <w:r w:rsidR="00573AA7" w:rsidRPr="004C78D8">
        <w:t>the</w:t>
      </w:r>
      <w:r w:rsidR="00D70E8A" w:rsidRPr="004C78D8">
        <w:t xml:space="preserve"> frailty-delineated</w:t>
      </w:r>
      <w:r w:rsidR="00F961DD" w:rsidRPr="004C78D8">
        <w:t xml:space="preserve"> equity </w:t>
      </w:r>
      <w:r w:rsidR="00573AA7" w:rsidRPr="004C78D8">
        <w:t>gains</w:t>
      </w:r>
      <w:r w:rsidR="00D70E8A" w:rsidRPr="004C78D8">
        <w:t>.</w:t>
      </w:r>
    </w:p>
    <w:p w14:paraId="11B54D80" w14:textId="52E57D7C" w:rsidR="0078777D" w:rsidRPr="004C78D8" w:rsidRDefault="00462348" w:rsidP="00FB7C1F">
      <w:r w:rsidRPr="004C78D8">
        <w:t>Figure F</w:t>
      </w:r>
      <w:r w:rsidR="000E54B2" w:rsidRPr="004C78D8">
        <w:t>10</w:t>
      </w:r>
      <w:r w:rsidR="00C67C48" w:rsidRPr="004C78D8">
        <w:t xml:space="preserve"> </w:t>
      </w:r>
      <w:r w:rsidRPr="004C78D8">
        <w:t xml:space="preserve">shows the social </w:t>
      </w:r>
      <w:r w:rsidR="00FD4DEE" w:rsidRPr="004C78D8">
        <w:t>per-capita INHB</w:t>
      </w:r>
      <w:r w:rsidRPr="004C78D8">
        <w:t xml:space="preserve">s delineated by SES quartile. </w:t>
      </w:r>
      <w:r w:rsidR="00A17DAC" w:rsidRPr="004C78D8">
        <w:t xml:space="preserve">For the scenario, the EDE INHBs were 0.0327 and 0.0300 under Atkinson </w:t>
      </w:r>
      <w:r w:rsidR="00A17DAC" w:rsidRPr="004C78D8">
        <w:rPr>
          <w:rFonts w:cs="Times New Roman"/>
        </w:rPr>
        <w:t>ε</w:t>
      </w:r>
      <w:r w:rsidR="00A17DAC" w:rsidRPr="004C78D8">
        <w:t xml:space="preserve">=30 and Kolm </w:t>
      </w:r>
      <w:r w:rsidR="00A17DAC" w:rsidRPr="004C78D8">
        <w:rPr>
          <w:rFonts w:cs="Times New Roman"/>
        </w:rPr>
        <w:t>α</w:t>
      </w:r>
      <w:r w:rsidR="00A17DAC" w:rsidRPr="004C78D8">
        <w:t xml:space="preserve">=0.5, respectively, while the incremental no-aversion mean was 0.0294. The </w:t>
      </w:r>
      <w:r w:rsidR="001917C1" w:rsidRPr="004C78D8">
        <w:t>proportional size of the</w:t>
      </w:r>
      <w:r w:rsidR="00A17DAC" w:rsidRPr="004C78D8">
        <w:t xml:space="preserve"> EDE INHBs </w:t>
      </w:r>
      <w:r w:rsidR="001917C1" w:rsidRPr="004C78D8">
        <w:t xml:space="preserve">relative to the latter </w:t>
      </w:r>
      <w:r w:rsidR="00A17DAC" w:rsidRPr="004C78D8">
        <w:t xml:space="preserve">were </w:t>
      </w:r>
      <w:r w:rsidR="001917C1" w:rsidRPr="004C78D8">
        <w:t>1</w:t>
      </w:r>
      <w:r w:rsidR="00A17DAC" w:rsidRPr="004C78D8">
        <w:t>.</w:t>
      </w:r>
      <w:r w:rsidR="003D5633" w:rsidRPr="004C78D8">
        <w:t>1115</w:t>
      </w:r>
      <w:r w:rsidR="00A17DAC" w:rsidRPr="004C78D8">
        <w:t xml:space="preserve"> and </w:t>
      </w:r>
      <w:r w:rsidR="001917C1" w:rsidRPr="004C78D8">
        <w:t>1</w:t>
      </w:r>
      <w:r w:rsidR="00A17DAC" w:rsidRPr="004C78D8">
        <w:t>.</w:t>
      </w:r>
      <w:r w:rsidR="003D5633" w:rsidRPr="004C78D8">
        <w:t>0192</w:t>
      </w:r>
      <w:r w:rsidR="00A17DAC" w:rsidRPr="004C78D8">
        <w:t xml:space="preserve">, respectively. In comparison, the </w:t>
      </w:r>
      <w:r w:rsidR="000E54B2" w:rsidRPr="004C78D8">
        <w:t>proportions</w:t>
      </w:r>
      <w:r w:rsidR="00A17DAC" w:rsidRPr="004C78D8">
        <w:t xml:space="preserve"> were </w:t>
      </w:r>
      <w:r w:rsidR="003D5633" w:rsidRPr="004C78D8">
        <w:t>1</w:t>
      </w:r>
      <w:r w:rsidR="00A17DAC" w:rsidRPr="004C78D8">
        <w:t>.</w:t>
      </w:r>
      <w:r w:rsidR="003D5633" w:rsidRPr="004C78D8">
        <w:t>1169</w:t>
      </w:r>
      <w:r w:rsidR="00A17DAC" w:rsidRPr="004C78D8">
        <w:t xml:space="preserve"> and </w:t>
      </w:r>
      <w:r w:rsidR="003D5633" w:rsidRPr="004C78D8">
        <w:t>1</w:t>
      </w:r>
      <w:r w:rsidR="00A17DAC" w:rsidRPr="004C78D8">
        <w:t>.</w:t>
      </w:r>
      <w:r w:rsidR="003D5633" w:rsidRPr="004C78D8">
        <w:t>0121</w:t>
      </w:r>
      <w:r w:rsidR="00A17DAC" w:rsidRPr="004C78D8">
        <w:t xml:space="preserve"> under the base case. Hence, relative to base case, this scenario magnifie</w:t>
      </w:r>
      <w:r w:rsidR="003D5633" w:rsidRPr="004C78D8">
        <w:t>d</w:t>
      </w:r>
      <w:r w:rsidR="00A17DAC" w:rsidRPr="004C78D8">
        <w:t xml:space="preserve"> the equity improvement in terms of absolute SES-delineated inequality but not in terms of relative inequality.</w:t>
      </w:r>
      <w:r w:rsidR="0092193B" w:rsidRPr="004C78D8">
        <w:t xml:space="preserve"> The corresponding </w:t>
      </w:r>
      <w:r w:rsidR="000E54B2" w:rsidRPr="004C78D8">
        <w:t>proportions</w:t>
      </w:r>
      <w:r w:rsidR="0092193B" w:rsidRPr="004C78D8">
        <w:t xml:space="preserve"> were </w:t>
      </w:r>
      <w:r w:rsidR="000B1DAB" w:rsidRPr="004C78D8">
        <w:t xml:space="preserve">1.1483 and 1.0249 </w:t>
      </w:r>
      <w:r w:rsidR="0092193B" w:rsidRPr="004C78D8">
        <w:t>under the higher life expectancy scenario above</w:t>
      </w:r>
      <w:r w:rsidR="00CD04A9" w:rsidRPr="004C78D8">
        <w:t>.</w:t>
      </w:r>
      <w:r w:rsidR="0092193B" w:rsidRPr="004C78D8">
        <w:t xml:space="preserve"> </w:t>
      </w:r>
      <w:r w:rsidR="00CD04A9" w:rsidRPr="004C78D8">
        <w:t>T</w:t>
      </w:r>
      <w:r w:rsidR="0092193B" w:rsidRPr="004C78D8">
        <w:t xml:space="preserve">hus, </w:t>
      </w:r>
      <w:r w:rsidR="00CD04A9" w:rsidRPr="004C78D8">
        <w:t>life expectancy increases for the whole population</w:t>
      </w:r>
      <w:r w:rsidR="0092193B" w:rsidRPr="004C78D8">
        <w:t xml:space="preserve"> brought greater equity improvements</w:t>
      </w:r>
      <w:r w:rsidR="00D6739C" w:rsidRPr="004C78D8">
        <w:t xml:space="preserve"> </w:t>
      </w:r>
      <w:r w:rsidR="0092193B" w:rsidRPr="004C78D8">
        <w:t xml:space="preserve">than </w:t>
      </w:r>
      <w:r w:rsidR="00CD04A9" w:rsidRPr="004C78D8">
        <w:t>the narrowing of mortality risk</w:t>
      </w:r>
      <w:r w:rsidR="00563AE4" w:rsidRPr="004C78D8">
        <w:t xml:space="preserve"> gap </w:t>
      </w:r>
      <w:r w:rsidR="00D6739C" w:rsidRPr="004C78D8">
        <w:t>across frailty categories</w:t>
      </w:r>
      <w:r w:rsidR="0092193B" w:rsidRPr="004C78D8">
        <w:t xml:space="preserve">. </w:t>
      </w:r>
      <w:r w:rsidR="00D6739C" w:rsidRPr="004C78D8">
        <w:t>This finding should be considered by d</w:t>
      </w:r>
      <w:r w:rsidR="00CD04A9" w:rsidRPr="004C78D8">
        <w:t xml:space="preserve">ecision-makers </w:t>
      </w:r>
      <w:r w:rsidR="00D6739C" w:rsidRPr="004C78D8">
        <w:t xml:space="preserve">seeking to integrate falls prevention with </w:t>
      </w:r>
      <w:r w:rsidR="00F702E7" w:rsidRPr="004C78D8">
        <w:t>wider</w:t>
      </w:r>
      <w:r w:rsidR="00D6739C" w:rsidRPr="004C78D8">
        <w:t xml:space="preserve"> life-extending geriatric public health </w:t>
      </w:r>
      <w:r w:rsidR="002B2CC5" w:rsidRPr="004C78D8">
        <w:t>strategies</w:t>
      </w:r>
      <w:r w:rsidR="00563AE4" w:rsidRPr="004C78D8">
        <w:t>.</w:t>
      </w:r>
    </w:p>
    <w:p w14:paraId="420687FD" w14:textId="74EBB616" w:rsidR="00CD04A9" w:rsidRPr="004C78D8" w:rsidRDefault="00CD04A9" w:rsidP="00FB7C1F">
      <w:r w:rsidRPr="004C78D8">
        <w:t xml:space="preserve"> </w:t>
      </w:r>
    </w:p>
    <w:p w14:paraId="5FE4115B" w14:textId="7AA3D06E" w:rsidR="00FD4DEE" w:rsidRPr="004C78D8" w:rsidRDefault="0078777D" w:rsidP="00972766">
      <w:pPr>
        <w:pStyle w:val="Heading3"/>
      </w:pPr>
      <w:bookmarkStart w:id="198" w:name="_Toc111630796"/>
      <w:r w:rsidRPr="004C78D8">
        <w:t>6.2.6 Summary of results under base case comparison</w:t>
      </w:r>
      <w:bookmarkEnd w:id="198"/>
    </w:p>
    <w:p w14:paraId="00BE64F0" w14:textId="1147103A" w:rsidR="0062462A" w:rsidRPr="004C78D8" w:rsidRDefault="0062462A" w:rsidP="00FB7C1F">
      <w:r w:rsidRPr="004C78D8">
        <w:t xml:space="preserve">Under the 40-year societal CUA, </w:t>
      </w:r>
      <w:r w:rsidR="00B41F25" w:rsidRPr="004C78D8">
        <w:t>RC ha</w:t>
      </w:r>
      <w:r w:rsidRPr="004C78D8">
        <w:t>d</w:t>
      </w:r>
      <w:r w:rsidR="00B41F25" w:rsidRPr="004C78D8">
        <w:t xml:space="preserve"> </w:t>
      </w:r>
      <w:r w:rsidR="00361DA7">
        <w:t xml:space="preserve">a </w:t>
      </w:r>
      <w:r w:rsidR="00B41F25" w:rsidRPr="004C78D8">
        <w:t>93.4% probability of being cost-effective relative to UC at the cost-effectiveness threshold of £20,000 per QALY gained and 100% at £30,000 per QALY gained. It increase</w:t>
      </w:r>
      <w:r w:rsidRPr="004C78D8">
        <w:t>d</w:t>
      </w:r>
      <w:r w:rsidR="00B41F25" w:rsidRPr="004C78D8">
        <w:t xml:space="preserve"> productivity and reduce</w:t>
      </w:r>
      <w:r w:rsidRPr="004C78D8">
        <w:t>d</w:t>
      </w:r>
      <w:r w:rsidR="00B41F25" w:rsidRPr="004C78D8">
        <w:t xml:space="preserve"> private care expenditure and informal caregiv</w:t>
      </w:r>
      <w:r w:rsidRPr="004C78D8">
        <w:t>ing cost</w:t>
      </w:r>
      <w:r w:rsidR="00B41F25" w:rsidRPr="004C78D8">
        <w:t xml:space="preserve">, but the productivity gain and the private expenditure reduction </w:t>
      </w:r>
      <w:r w:rsidRPr="004C78D8">
        <w:t>we</w:t>
      </w:r>
      <w:r w:rsidR="00B41F25" w:rsidRPr="004C78D8">
        <w:t xml:space="preserve">re outstripped by </w:t>
      </w:r>
      <w:r w:rsidRPr="004C78D8">
        <w:t xml:space="preserve">increases in </w:t>
      </w:r>
      <w:r w:rsidR="00B41F25" w:rsidRPr="004C78D8">
        <w:t>intervention time opportunity costs and co-payments</w:t>
      </w:r>
      <w:r w:rsidRPr="004C78D8">
        <w:t>, respectively</w:t>
      </w:r>
      <w:r w:rsidR="00B41F25" w:rsidRPr="004C78D8">
        <w:t xml:space="preserve">. There was no equity-efficiency trade-off in terms of relative and absolute inequality delineated by SES quartile. </w:t>
      </w:r>
      <w:r w:rsidR="00F860B6" w:rsidRPr="004C78D8">
        <w:t>The epidemiological scenarios showed that falls prevention is highly integrative with other geriatric public health interventions that reduce baseline and contemporaneous frailty and improve life expectancy.</w:t>
      </w:r>
    </w:p>
    <w:p w14:paraId="459F16F2" w14:textId="5F697EA9" w:rsidR="0078777D" w:rsidRPr="004C78D8" w:rsidRDefault="00E54406" w:rsidP="00FB7C1F">
      <w:r>
        <w:t>However,</w:t>
      </w:r>
      <w:r w:rsidR="00F860B6" w:rsidRPr="004C78D8">
        <w:t xml:space="preserve"> gains</w:t>
      </w:r>
      <w:r w:rsidR="0062462A" w:rsidRPr="004C78D8">
        <w:t xml:space="preserve"> in terms of individual-level lifetime outcomes</w:t>
      </w:r>
      <w:r w:rsidR="00F860B6" w:rsidRPr="004C78D8">
        <w:t xml:space="preserve"> were more muted and no positive financial return was feasible under the five-year public sector perspective. Even under the 40-year societal CUA, a 10-year time horizon </w:t>
      </w:r>
      <w:r w:rsidR="00BF7608" w:rsidRPr="004C78D8">
        <w:t>wa</w:t>
      </w:r>
      <w:r w:rsidR="00F860B6" w:rsidRPr="004C78D8">
        <w:t xml:space="preserve">s required </w:t>
      </w:r>
      <w:r w:rsidR="00BF7608" w:rsidRPr="004C78D8">
        <w:t>to be cost-effective</w:t>
      </w:r>
      <w:r w:rsidR="00F860B6" w:rsidRPr="004C78D8">
        <w:t xml:space="preserve"> under the £30,000 per QALY gained</w:t>
      </w:r>
      <w:r w:rsidR="00BF7608" w:rsidRPr="004C78D8">
        <w:t xml:space="preserve"> threshold</w:t>
      </w:r>
      <w:r w:rsidR="00C825D4" w:rsidRPr="004C78D8">
        <w:t>. ICER increased with initial age and crossed the £30,000 per QALY gained threshold for those aged 90+. This suggests that younger age groups should be included to cross-subsidise RC for older peers.</w:t>
      </w:r>
    </w:p>
    <w:p w14:paraId="5F74231E" w14:textId="77777777" w:rsidR="0078777D" w:rsidRPr="004C78D8" w:rsidRDefault="0078777D" w:rsidP="00FB7C1F">
      <w:r w:rsidRPr="004C78D8">
        <w:br w:type="page"/>
      </w:r>
    </w:p>
    <w:p w14:paraId="5685F794" w14:textId="7BFFC0A7" w:rsidR="00454F0A" w:rsidRPr="004C78D8" w:rsidRDefault="00971FE5" w:rsidP="00972766">
      <w:pPr>
        <w:pStyle w:val="Heading2"/>
      </w:pPr>
      <w:bookmarkStart w:id="199" w:name="_Toc111630797"/>
      <w:r w:rsidRPr="004C78D8">
        <w:t>6</w:t>
      </w:r>
      <w:r w:rsidR="00454F0A" w:rsidRPr="004C78D8">
        <w:t>.</w:t>
      </w:r>
      <w:r w:rsidR="003A3D4E" w:rsidRPr="004C78D8">
        <w:t>3</w:t>
      </w:r>
      <w:r w:rsidR="00454F0A" w:rsidRPr="004C78D8">
        <w:t xml:space="preserve"> </w:t>
      </w:r>
      <w:r w:rsidRPr="004C78D8">
        <w:t xml:space="preserve">Alternative falls </w:t>
      </w:r>
      <w:r w:rsidR="00454F0A" w:rsidRPr="004C78D8">
        <w:t xml:space="preserve">prevention </w:t>
      </w:r>
      <w:r w:rsidRPr="004C78D8">
        <w:t>strategies and commissioning recommendations</w:t>
      </w:r>
      <w:bookmarkEnd w:id="199"/>
    </w:p>
    <w:p w14:paraId="12EB093A" w14:textId="0836D8EF" w:rsidR="006C71EE" w:rsidRPr="004C78D8" w:rsidRDefault="006C71EE" w:rsidP="00FB7C1F">
      <w:r w:rsidRPr="004C78D8">
        <w:t xml:space="preserve">Falls prevention </w:t>
      </w:r>
      <w:r w:rsidR="000B7CC5" w:rsidRPr="004C78D8">
        <w:t>intervention</w:t>
      </w:r>
      <w:r w:rsidR="00A23FE6" w:rsidRPr="004C78D8">
        <w:t xml:space="preserve"> scenarios </w:t>
      </w:r>
      <w:r w:rsidRPr="004C78D8">
        <w:t xml:space="preserve">described in Section 5.4.2.1 are first evaluated individually (Section 6.3.1), followed by a full comparison (Section 6.3.2). The latter informs the commissioning recommendations subsequently formulated (Section 6.3.3). </w:t>
      </w:r>
    </w:p>
    <w:p w14:paraId="79473B75" w14:textId="242D55C4" w:rsidR="00971FE5" w:rsidRPr="004C78D8" w:rsidRDefault="00971FE5" w:rsidP="00FB7C1F">
      <w:pPr>
        <w:pStyle w:val="Heading3"/>
      </w:pPr>
      <w:bookmarkStart w:id="200" w:name="_Toc111630798"/>
      <w:r w:rsidRPr="004C78D8">
        <w:t>6.3.1 Evaluation of alternative falls prevention strategies</w:t>
      </w:r>
      <w:bookmarkEnd w:id="200"/>
    </w:p>
    <w:p w14:paraId="77FBEF5F" w14:textId="71BDC631" w:rsidR="006C71EE" w:rsidRPr="004C78D8" w:rsidRDefault="006C71EE" w:rsidP="00FB7C1F">
      <w:r w:rsidRPr="004C78D8">
        <w:t xml:space="preserve">Evaluation of individual scenarios are presented as follows: </w:t>
      </w:r>
      <w:r w:rsidRPr="004C78D8">
        <w:t>estimating the contributions of individual pathways (</w:t>
      </w:r>
      <w:r w:rsidRPr="00972766">
        <w:t>Section 6.3.1.1</w:t>
      </w:r>
      <w:r w:rsidRPr="004C78D8">
        <w:t>); incorporating capacity constraints to RC with different targeting strategies (</w:t>
      </w:r>
      <w:r w:rsidRPr="00972766">
        <w:t>Section 6.3.1.2</w:t>
      </w:r>
      <w:r w:rsidRPr="004C78D8">
        <w:t>); value of implementation analyses of community contributions (</w:t>
      </w:r>
      <w:r w:rsidRPr="00972766">
        <w:t>Section 6.3.1.3</w:t>
      </w:r>
      <w:r w:rsidRPr="004C78D8">
        <w:t>); estimating the impact of removing the double jeopardy problem (</w:t>
      </w:r>
      <w:r w:rsidRPr="00972766">
        <w:t>Section 6.3.1.4</w:t>
      </w:r>
      <w:r w:rsidRPr="004C78D8">
        <w:t>); and incorporating supplementary environmental interventions to RC (</w:t>
      </w:r>
      <w:r w:rsidRPr="00972766">
        <w:t>Section 6.3.1.5</w:t>
      </w:r>
      <w:r w:rsidRPr="004C78D8">
        <w:t>).</w:t>
      </w:r>
    </w:p>
    <w:p w14:paraId="33D44E54" w14:textId="365F8774" w:rsidR="003C5927" w:rsidRPr="004C78D8" w:rsidRDefault="0030130F" w:rsidP="00FB7C1F">
      <w:pPr>
        <w:pStyle w:val="Heading4"/>
      </w:pPr>
      <w:r w:rsidRPr="004C78D8">
        <w:t>6</w:t>
      </w:r>
      <w:r w:rsidR="003C5927" w:rsidRPr="004C78D8">
        <w:t>.</w:t>
      </w:r>
      <w:r w:rsidR="00D507CD" w:rsidRPr="004C78D8">
        <w:t>3</w:t>
      </w:r>
      <w:r w:rsidR="003C5927" w:rsidRPr="004C78D8">
        <w:t>.</w:t>
      </w:r>
      <w:r w:rsidRPr="004C78D8">
        <w:t>1</w:t>
      </w:r>
      <w:r w:rsidR="003C5927" w:rsidRPr="004C78D8">
        <w:t>.</w:t>
      </w:r>
      <w:r w:rsidR="00D507CD" w:rsidRPr="004C78D8">
        <w:t>1</w:t>
      </w:r>
      <w:r w:rsidR="003C5927" w:rsidRPr="004C78D8">
        <w:t xml:space="preserve"> </w:t>
      </w:r>
      <w:r w:rsidR="008272F1" w:rsidRPr="004C78D8">
        <w:t>Pathway contributions</w:t>
      </w:r>
    </w:p>
    <w:p w14:paraId="2BA4E33A" w14:textId="77777777" w:rsidR="00895D6D" w:rsidRPr="004C78D8" w:rsidRDefault="00895D6D" w:rsidP="00FB7C1F">
      <w:r w:rsidRPr="004C78D8">
        <w:t>This section explores the contributions relative to UC of: (i) individual pathways in their respective RC configurations; and (ii) combinations of two pathways in their respective RC configurations.</w:t>
      </w:r>
    </w:p>
    <w:p w14:paraId="5A0064C8" w14:textId="572FAF56" w:rsidR="00895D6D" w:rsidRPr="004C78D8" w:rsidRDefault="00895D6D" w:rsidP="00FB7C1F">
      <w:pPr>
        <w:pStyle w:val="Heading5"/>
      </w:pPr>
      <w:r w:rsidRPr="004C78D8">
        <w:t xml:space="preserve">Individual pathways </w:t>
      </w:r>
    </w:p>
    <w:p w14:paraId="41EA35EC" w14:textId="46734BE8" w:rsidR="00067E20" w:rsidRPr="004C78D8" w:rsidRDefault="00771618" w:rsidP="00FB7C1F">
      <w:bookmarkStart w:id="201" w:name="_Hlk111277647"/>
      <w:r w:rsidRPr="004C78D8">
        <w:t xml:space="preserve">Table </w:t>
      </w:r>
      <w:r w:rsidR="00C92417" w:rsidRPr="004C78D8">
        <w:t>F19</w:t>
      </w:r>
      <w:r w:rsidRPr="004C78D8">
        <w:t xml:space="preserve"> shows the cost-effectiveness of the contributions of individual pathways </w:t>
      </w:r>
      <w:r w:rsidR="00895D6D" w:rsidRPr="004C78D8">
        <w:t>in their RC configurations</w:t>
      </w:r>
      <w:r w:rsidRPr="004C78D8">
        <w:t xml:space="preserve"> </w:t>
      </w:r>
      <w:r w:rsidR="005620F4" w:rsidRPr="004C78D8">
        <w:t>vs.</w:t>
      </w:r>
      <w:r w:rsidRPr="004C78D8">
        <w:t xml:space="preserve"> UC. </w:t>
      </w:r>
      <w:bookmarkEnd w:id="201"/>
      <w:r w:rsidR="00AD7A50" w:rsidRPr="004C78D8">
        <w:t xml:space="preserve">It also reports the </w:t>
      </w:r>
      <w:r w:rsidR="005620F4" w:rsidRPr="004C78D8">
        <w:t xml:space="preserve">total </w:t>
      </w:r>
      <w:r w:rsidR="00AD7A50" w:rsidRPr="004C78D8">
        <w:t>intervention users by pathway</w:t>
      </w:r>
      <w:r w:rsidR="005620F4" w:rsidRPr="004C78D8">
        <w:t xml:space="preserve"> over 40 years</w:t>
      </w:r>
      <w:r w:rsidR="00AD7A50" w:rsidRPr="004C78D8">
        <w:t xml:space="preserve">. </w:t>
      </w:r>
      <w:r w:rsidR="0083743D" w:rsidRPr="004C78D8">
        <w:t xml:space="preserve">The reactive pathway </w:t>
      </w:r>
      <w:r w:rsidR="00A52766" w:rsidRPr="004C78D8">
        <w:t>produced the lowest</w:t>
      </w:r>
      <w:r w:rsidR="0083743D" w:rsidRPr="004C78D8">
        <w:t xml:space="preserve"> societal ICER (considering all-cause costs) of £</w:t>
      </w:r>
      <w:r w:rsidR="0025135C" w:rsidRPr="004C78D8">
        <w:t>1</w:t>
      </w:r>
      <w:r w:rsidR="0083743D" w:rsidRPr="004C78D8">
        <w:t>,</w:t>
      </w:r>
      <w:r w:rsidR="0025135C" w:rsidRPr="004C78D8">
        <w:t>937</w:t>
      </w:r>
      <w:r w:rsidR="0083743D" w:rsidRPr="004C78D8">
        <w:t xml:space="preserve"> per QALY gain</w:t>
      </w:r>
      <w:r w:rsidR="004C6405" w:rsidRPr="004C78D8">
        <w:t>ed</w:t>
      </w:r>
      <w:r w:rsidR="0083743D" w:rsidRPr="004C78D8">
        <w:t>, followed by the self-referred pathway with £</w:t>
      </w:r>
      <w:r w:rsidR="00974419" w:rsidRPr="004C78D8">
        <w:t>4</w:t>
      </w:r>
      <w:r w:rsidR="0083743D" w:rsidRPr="004C78D8">
        <w:t>,</w:t>
      </w:r>
      <w:r w:rsidR="00974419" w:rsidRPr="004C78D8">
        <w:t>818</w:t>
      </w:r>
      <w:r w:rsidR="0083743D" w:rsidRPr="004C78D8">
        <w:t xml:space="preserve"> per QALY gain</w:t>
      </w:r>
      <w:r w:rsidR="004C6405" w:rsidRPr="004C78D8">
        <w:t>ed</w:t>
      </w:r>
      <w:r w:rsidR="0083743D" w:rsidRPr="004C78D8">
        <w:t xml:space="preserve">. </w:t>
      </w:r>
      <w:r w:rsidR="00A52766" w:rsidRPr="004C78D8">
        <w:t xml:space="preserve">But the latter produced </w:t>
      </w:r>
      <w:r w:rsidR="00EA5F4E" w:rsidRPr="004C78D8">
        <w:t>a much</w:t>
      </w:r>
      <w:r w:rsidR="00A52766" w:rsidRPr="004C78D8">
        <w:t xml:space="preserve"> higher aggregate INMB of £</w:t>
      </w:r>
      <w:r w:rsidR="00974419" w:rsidRPr="004C78D8">
        <w:t>255</w:t>
      </w:r>
      <w:r w:rsidR="00A52766" w:rsidRPr="004C78D8">
        <w:t>.</w:t>
      </w:r>
      <w:r w:rsidR="00974419" w:rsidRPr="004C78D8">
        <w:t>3</w:t>
      </w:r>
      <w:r w:rsidR="00A52766" w:rsidRPr="004C78D8">
        <w:t xml:space="preserve"> million </w:t>
      </w:r>
      <w:r w:rsidR="00EA5F4E" w:rsidRPr="004C78D8">
        <w:t>vs.</w:t>
      </w:r>
      <w:r w:rsidR="00A52766" w:rsidRPr="004C78D8">
        <w:t xml:space="preserve"> £</w:t>
      </w:r>
      <w:r w:rsidR="0025135C" w:rsidRPr="004C78D8">
        <w:t>79</w:t>
      </w:r>
      <w:r w:rsidR="00A52766" w:rsidRPr="004C78D8">
        <w:t>.2 million for the reactive pathway. The proactive pathway produced the highest societal ICER</w:t>
      </w:r>
      <w:r w:rsidR="00C92417" w:rsidRPr="004C78D8">
        <w:t xml:space="preserve"> of £20,622 per QALY gained</w:t>
      </w:r>
      <w:r w:rsidR="0083743D" w:rsidRPr="004C78D8">
        <w:t xml:space="preserve">. </w:t>
      </w:r>
      <w:r w:rsidR="00F82A70" w:rsidRPr="004C78D8">
        <w:t>There w</w:t>
      </w:r>
      <w:r w:rsidR="00662AB8" w:rsidRPr="004C78D8">
        <w:t xml:space="preserve">ere </w:t>
      </w:r>
      <w:r w:rsidR="00F82A70" w:rsidRPr="004C78D8">
        <w:t>diminishing return</w:t>
      </w:r>
      <w:r w:rsidR="00662AB8" w:rsidRPr="004C78D8">
        <w:t>s</w:t>
      </w:r>
      <w:r w:rsidR="00F82A70" w:rsidRPr="004C78D8">
        <w:t xml:space="preserve"> to pathway addition, whereby the sum of the societal INMBs of pathway</w:t>
      </w:r>
      <w:r w:rsidR="00662AB8" w:rsidRPr="004C78D8">
        <w:t>s</w:t>
      </w:r>
      <w:r w:rsidR="00F82A70" w:rsidRPr="004C78D8">
        <w:t xml:space="preserve"> (£440.2 million) was greater than the base case level (£358.7 million). </w:t>
      </w:r>
      <w:r w:rsidR="00CE5572" w:rsidRPr="004C78D8">
        <w:t>This is likely due to t</w:t>
      </w:r>
      <w:r w:rsidR="00F82A70" w:rsidRPr="004C78D8">
        <w:t xml:space="preserve">he reduction in falls risk from one pathway </w:t>
      </w:r>
      <w:r w:rsidR="00CE5572" w:rsidRPr="004C78D8">
        <w:t>reducing</w:t>
      </w:r>
      <w:r w:rsidR="00F82A70" w:rsidRPr="004C78D8">
        <w:t xml:space="preserve"> the cost-effectiveness of other</w:t>
      </w:r>
      <w:r w:rsidR="00CE5572" w:rsidRPr="004C78D8">
        <w:t>s</w:t>
      </w:r>
      <w:r w:rsidR="00D04595" w:rsidRPr="004C78D8">
        <w:t>.</w:t>
      </w:r>
    </w:p>
    <w:p w14:paraId="706A82D0" w14:textId="39211B0A" w:rsidR="00095AA4" w:rsidRPr="004C78D8" w:rsidRDefault="003C71B3" w:rsidP="00FB7C1F">
      <w:r w:rsidRPr="004C78D8">
        <w:t xml:space="preserve">Figure </w:t>
      </w:r>
      <w:r w:rsidR="00C92417" w:rsidRPr="004C78D8">
        <w:t>6</w:t>
      </w:r>
      <w:r w:rsidR="00095AA4" w:rsidRPr="004C78D8">
        <w:t>.</w:t>
      </w:r>
      <w:r w:rsidR="00CE5572" w:rsidRPr="004C78D8">
        <w:t>9</w:t>
      </w:r>
      <w:r w:rsidR="007055C3" w:rsidRPr="004C78D8">
        <w:t xml:space="preserve"> </w:t>
      </w:r>
      <w:r w:rsidRPr="004C78D8">
        <w:t xml:space="preserve">shows the SES gradients to the societal </w:t>
      </w:r>
      <w:r w:rsidR="000D787B" w:rsidRPr="004C78D8">
        <w:t xml:space="preserve">per-capita INHBs </w:t>
      </w:r>
      <w:r w:rsidRPr="004C78D8">
        <w:t xml:space="preserve">(considering all-cause costs) of individual pathways </w:t>
      </w:r>
      <w:r w:rsidR="005A4496" w:rsidRPr="004C78D8">
        <w:t>vs.</w:t>
      </w:r>
      <w:r w:rsidRPr="004C78D8">
        <w:t xml:space="preserve"> UC. </w:t>
      </w:r>
      <w:r w:rsidR="00DA3E44" w:rsidRPr="004C78D8">
        <w:t>The proactive pathway was the most pro-poor option, with the 4</w:t>
      </w:r>
      <w:r w:rsidR="00DA3E44" w:rsidRPr="004C78D8">
        <w:rPr>
          <w:vertAlign w:val="superscript"/>
        </w:rPr>
        <w:t>th</w:t>
      </w:r>
      <w:r w:rsidR="00DA3E44" w:rsidRPr="004C78D8">
        <w:t xml:space="preserve"> SES quartile deriving the greatest per-capita INHB. The self-referred pathway was the least pro-poor option, with the 4</w:t>
      </w:r>
      <w:r w:rsidR="00DA3E44" w:rsidRPr="004C78D8">
        <w:rPr>
          <w:vertAlign w:val="superscript"/>
        </w:rPr>
        <w:t>th</w:t>
      </w:r>
      <w:r w:rsidR="00DA3E44" w:rsidRPr="004C78D8">
        <w:t xml:space="preserve"> quartile deriving the smallest per-capita INHB. </w:t>
      </w:r>
    </w:p>
    <w:p w14:paraId="6C40413A" w14:textId="0C076CE4" w:rsidR="00095AA4" w:rsidRPr="004C78D8" w:rsidRDefault="00095AA4" w:rsidP="00FB7C1F">
      <w:r w:rsidRPr="004C78D8">
        <w:rPr>
          <w:noProof/>
          <w:lang w:eastAsia="en-GB"/>
        </w:rPr>
        <w:drawing>
          <wp:inline distT="0" distB="0" distL="0" distR="0" wp14:anchorId="13E91241" wp14:editId="7AF5D374">
            <wp:extent cx="5731510" cy="3953510"/>
            <wp:effectExtent l="0" t="0" r="2540" b="8890"/>
            <wp:docPr id="24" name="Chart 24">
              <a:extLst xmlns:a="http://schemas.openxmlformats.org/drawingml/2006/main">
                <a:ext uri="{FF2B5EF4-FFF2-40B4-BE49-F238E27FC236}">
                  <a16:creationId xmlns:a16="http://schemas.microsoft.com/office/drawing/2014/main" id="{319BC278-3ACA-43F5-958F-DCD900AA2A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6BC3461" w14:textId="46172972" w:rsidR="00095AA4" w:rsidRPr="004C78D8" w:rsidRDefault="00095AA4" w:rsidP="00FB7C1F">
      <w:r w:rsidRPr="004C78D8">
        <w:rPr>
          <w:b/>
          <w:bCs/>
        </w:rPr>
        <w:t xml:space="preserve">Figure </w:t>
      </w:r>
      <w:r w:rsidR="0096707E" w:rsidRPr="004C78D8">
        <w:rPr>
          <w:b/>
          <w:bCs/>
        </w:rPr>
        <w:t>6</w:t>
      </w:r>
      <w:r w:rsidRPr="004C78D8">
        <w:rPr>
          <w:b/>
          <w:bCs/>
        </w:rPr>
        <w:t>.</w:t>
      </w:r>
      <w:r w:rsidR="00CE5572" w:rsidRPr="004C78D8">
        <w:rPr>
          <w:b/>
          <w:bCs/>
        </w:rPr>
        <w:t>9</w:t>
      </w:r>
      <w:r w:rsidRPr="004C78D8">
        <w:t xml:space="preserve"> Societal per-capita INHBs for all-cause care costs by SES quartile in individual pathway implementation scenarios. </w:t>
      </w:r>
      <w:r w:rsidRPr="004C78D8">
        <w:rPr>
          <w:b/>
          <w:bCs/>
        </w:rPr>
        <w:t>Abbreviation:</w:t>
      </w:r>
      <w:r w:rsidRPr="004C78D8">
        <w:t xml:space="preserve"> INHB: incremental net health benefit; QALY: quality-adjusted life year; SES: socioeconomic status</w:t>
      </w:r>
    </w:p>
    <w:p w14:paraId="4023CE01" w14:textId="2CADEAFF" w:rsidR="00177C21" w:rsidRPr="004C78D8" w:rsidRDefault="004A2C63" w:rsidP="00FB7C1F">
      <w:r w:rsidRPr="004C78D8">
        <w:t xml:space="preserve">Table </w:t>
      </w:r>
      <w:r w:rsidR="003B00AA" w:rsidRPr="004C78D8">
        <w:t>6</w:t>
      </w:r>
      <w:r w:rsidRPr="004C78D8">
        <w:t>.</w:t>
      </w:r>
      <w:r w:rsidR="003B00AA" w:rsidRPr="004C78D8">
        <w:t>9</w:t>
      </w:r>
      <w:r w:rsidRPr="004C78D8">
        <w:t xml:space="preserve"> compares </w:t>
      </w:r>
      <w:r w:rsidR="00B82FAE" w:rsidRPr="004C78D8">
        <w:t xml:space="preserve">the </w:t>
      </w:r>
      <w:r w:rsidR="009D19EE" w:rsidRPr="004C78D8">
        <w:t>EDE INHBs</w:t>
      </w:r>
      <w:r w:rsidRPr="004C78D8">
        <w:t xml:space="preserve"> </w:t>
      </w:r>
      <w:r w:rsidR="00177C21" w:rsidRPr="004C78D8">
        <w:t>of</w:t>
      </w:r>
      <w:r w:rsidRPr="004C78D8">
        <w:t xml:space="preserve"> pathways </w:t>
      </w:r>
      <w:r w:rsidR="00336767" w:rsidRPr="004C78D8">
        <w:t>vs.</w:t>
      </w:r>
      <w:r w:rsidR="00177C21" w:rsidRPr="004C78D8">
        <w:t xml:space="preserve"> UC under high </w:t>
      </w:r>
      <w:r w:rsidRPr="004C78D8">
        <w:t xml:space="preserve">relative </w:t>
      </w:r>
      <w:r w:rsidR="00177C21" w:rsidRPr="004C78D8">
        <w:t>and</w:t>
      </w:r>
      <w:r w:rsidRPr="004C78D8">
        <w:t xml:space="preserve"> absolute inequality aversion</w:t>
      </w:r>
      <w:r w:rsidR="00177C21" w:rsidRPr="004C78D8">
        <w:t>s</w:t>
      </w:r>
      <w:r w:rsidRPr="004C78D8">
        <w:t xml:space="preserve">. </w:t>
      </w:r>
      <w:r w:rsidR="00854C11" w:rsidRPr="004C78D8">
        <w:t>All pathways produce</w:t>
      </w:r>
      <w:r w:rsidR="009D19EE" w:rsidRPr="004C78D8">
        <w:t>d</w:t>
      </w:r>
      <w:r w:rsidR="00854C11" w:rsidRPr="004C78D8">
        <w:t xml:space="preserve"> positive EDE INHBs relative to UC, meaning that they are preferable to UC under joint </w:t>
      </w:r>
      <w:r w:rsidR="009D19EE" w:rsidRPr="004C78D8">
        <w:t xml:space="preserve">equity-efficiency </w:t>
      </w:r>
      <w:r w:rsidR="00854C11" w:rsidRPr="004C78D8">
        <w:t xml:space="preserve">consideration. </w:t>
      </w:r>
      <w:r w:rsidR="0029100F" w:rsidRPr="004C78D8">
        <w:t>T</w:t>
      </w:r>
      <w:r w:rsidR="00854C11" w:rsidRPr="004C78D8">
        <w:t xml:space="preserve">he proactive pathway improved </w:t>
      </w:r>
      <w:r w:rsidR="009D19EE" w:rsidRPr="004C78D8">
        <w:t xml:space="preserve">both </w:t>
      </w:r>
      <w:r w:rsidR="00854C11" w:rsidRPr="004C78D8">
        <w:t>equity and efficiency</w:t>
      </w:r>
      <w:r w:rsidR="009D19EE" w:rsidRPr="004C78D8">
        <w:t>;</w:t>
      </w:r>
      <w:r w:rsidR="00854C11" w:rsidRPr="004C78D8">
        <w:t xml:space="preserve"> the reactive improved equity in terms of absolute but not </w:t>
      </w:r>
      <w:r w:rsidR="00FE0120" w:rsidRPr="004C78D8">
        <w:t>relative inequality</w:t>
      </w:r>
      <w:r w:rsidR="009D19EE" w:rsidRPr="004C78D8">
        <w:t>;</w:t>
      </w:r>
      <w:r w:rsidR="00FE0120" w:rsidRPr="004C78D8">
        <w:t xml:space="preserve"> </w:t>
      </w:r>
      <w:r w:rsidR="0029100F" w:rsidRPr="004C78D8">
        <w:t>while</w:t>
      </w:r>
      <w:r w:rsidR="00FE0120" w:rsidRPr="004C78D8">
        <w:t xml:space="preserve"> the self-referred improved equity in terms of relative but not absolute. </w:t>
      </w:r>
      <w:r w:rsidR="009D19EE" w:rsidRPr="004C78D8">
        <w:t>Nevertheless,</w:t>
      </w:r>
      <w:r w:rsidR="00FE0120" w:rsidRPr="004C78D8">
        <w:t xml:space="preserve"> under both Atkinson </w:t>
      </w:r>
      <w:r w:rsidR="00FE0120" w:rsidRPr="004C78D8">
        <w:rPr>
          <w:rFonts w:cs="Times New Roman"/>
        </w:rPr>
        <w:t>ε</w:t>
      </w:r>
      <w:r w:rsidR="00FE0120" w:rsidRPr="004C78D8">
        <w:t xml:space="preserve">=30 and Kolm </w:t>
      </w:r>
      <w:r w:rsidR="00FE0120" w:rsidRPr="004C78D8">
        <w:rPr>
          <w:rFonts w:cs="Times New Roman"/>
        </w:rPr>
        <w:t>α</w:t>
      </w:r>
      <w:r w:rsidR="00FE0120" w:rsidRPr="004C78D8">
        <w:t xml:space="preserve">=0.5, the self-referred pathway generated </w:t>
      </w:r>
      <w:r w:rsidR="009D19EE" w:rsidRPr="004C78D8">
        <w:t>higher</w:t>
      </w:r>
      <w:r w:rsidR="00FE0120" w:rsidRPr="004C78D8">
        <w:t xml:space="preserve"> </w:t>
      </w:r>
      <w:r w:rsidR="009D19EE" w:rsidRPr="004C78D8">
        <w:t>EDE</w:t>
      </w:r>
      <w:r w:rsidR="00FE0120" w:rsidRPr="004C78D8">
        <w:t xml:space="preserve"> </w:t>
      </w:r>
      <w:r w:rsidR="009D19EE" w:rsidRPr="004C78D8">
        <w:t>INHBs</w:t>
      </w:r>
      <w:r w:rsidR="00FE0120" w:rsidRPr="004C78D8">
        <w:t xml:space="preserve"> </w:t>
      </w:r>
      <w:r w:rsidR="009D19EE" w:rsidRPr="004C78D8">
        <w:t>than other</w:t>
      </w:r>
      <w:r w:rsidR="00BD3C88" w:rsidRPr="004C78D8">
        <w:t>s</w:t>
      </w:r>
      <w:r w:rsidR="00FE0120" w:rsidRPr="004C78D8">
        <w:t xml:space="preserve">. </w:t>
      </w:r>
    </w:p>
    <w:tbl>
      <w:tblPr>
        <w:tblStyle w:val="TableGrid"/>
        <w:tblW w:w="5000" w:type="pct"/>
        <w:tblLook w:val="04A0" w:firstRow="1" w:lastRow="0" w:firstColumn="1" w:lastColumn="0" w:noHBand="0" w:noVBand="1"/>
      </w:tblPr>
      <w:tblGrid>
        <w:gridCol w:w="3109"/>
        <w:gridCol w:w="1969"/>
        <w:gridCol w:w="1969"/>
        <w:gridCol w:w="1969"/>
      </w:tblGrid>
      <w:tr w:rsidR="00177C21" w:rsidRPr="004C78D8" w14:paraId="6667AE86" w14:textId="77777777" w:rsidTr="00E35893">
        <w:tc>
          <w:tcPr>
            <w:tcW w:w="5000" w:type="pct"/>
            <w:gridSpan w:val="4"/>
          </w:tcPr>
          <w:p w14:paraId="1E5CBA66" w14:textId="3DA14723" w:rsidR="00177C21" w:rsidRPr="004C78D8" w:rsidRDefault="00177C21" w:rsidP="00FB7C1F">
            <w:r w:rsidRPr="004C78D8">
              <w:rPr>
                <w:b/>
                <w:bCs/>
              </w:rPr>
              <w:t xml:space="preserve">Table </w:t>
            </w:r>
            <w:r w:rsidR="003B00AA" w:rsidRPr="004C78D8">
              <w:rPr>
                <w:b/>
                <w:bCs/>
              </w:rPr>
              <w:t>6</w:t>
            </w:r>
            <w:r w:rsidRPr="004C78D8">
              <w:rPr>
                <w:b/>
                <w:bCs/>
              </w:rPr>
              <w:t>.</w:t>
            </w:r>
            <w:r w:rsidR="003B00AA" w:rsidRPr="004C78D8">
              <w:rPr>
                <w:b/>
                <w:bCs/>
              </w:rPr>
              <w:t>9</w:t>
            </w:r>
            <w:r w:rsidRPr="004C78D8">
              <w:t xml:space="preserve"> </w:t>
            </w:r>
            <w:r w:rsidR="00B06218" w:rsidRPr="004C78D8">
              <w:t>SES-delineated EDE INHBs</w:t>
            </w:r>
            <w:r w:rsidR="00097BFA" w:rsidRPr="004C78D8">
              <w:t xml:space="preserve"> </w:t>
            </w:r>
            <w:r w:rsidR="000C3BDC" w:rsidRPr="004C78D8">
              <w:t xml:space="preserve">for individual </w:t>
            </w:r>
            <w:r w:rsidR="00B06218" w:rsidRPr="004C78D8">
              <w:t xml:space="preserve">prevention </w:t>
            </w:r>
            <w:r w:rsidR="000C3BDC" w:rsidRPr="004C78D8">
              <w:t>pathways relative to usual care.</w:t>
            </w:r>
          </w:p>
        </w:tc>
      </w:tr>
      <w:tr w:rsidR="00177C21" w:rsidRPr="004C78D8" w14:paraId="74295806" w14:textId="77777777" w:rsidTr="00E35893">
        <w:tc>
          <w:tcPr>
            <w:tcW w:w="1724" w:type="pct"/>
            <w:vAlign w:val="bottom"/>
          </w:tcPr>
          <w:p w14:paraId="1584DE29" w14:textId="7E774010" w:rsidR="00177C21" w:rsidRPr="004C78D8" w:rsidRDefault="000C3BDC" w:rsidP="00FB7C1F">
            <w:pPr>
              <w:jc w:val="left"/>
              <w:rPr>
                <w:b/>
                <w:bCs/>
                <w:sz w:val="20"/>
                <w:szCs w:val="20"/>
              </w:rPr>
            </w:pPr>
            <w:r w:rsidRPr="004C78D8">
              <w:rPr>
                <w:b/>
                <w:bCs/>
                <w:sz w:val="20"/>
                <w:szCs w:val="20"/>
              </w:rPr>
              <w:t xml:space="preserve">Societal </w:t>
            </w:r>
            <w:r w:rsidR="006307BD" w:rsidRPr="004C78D8">
              <w:rPr>
                <w:b/>
                <w:bCs/>
                <w:sz w:val="20"/>
                <w:szCs w:val="20"/>
              </w:rPr>
              <w:t>INHB</w:t>
            </w:r>
            <w:r w:rsidR="00097BFA" w:rsidRPr="004C78D8">
              <w:rPr>
                <w:b/>
                <w:bCs/>
                <w:sz w:val="20"/>
                <w:szCs w:val="20"/>
                <w:vertAlign w:val="superscript"/>
              </w:rPr>
              <w:t>1</w:t>
            </w:r>
          </w:p>
        </w:tc>
        <w:tc>
          <w:tcPr>
            <w:tcW w:w="1092" w:type="pct"/>
          </w:tcPr>
          <w:p w14:paraId="254B8305" w14:textId="5FD8A618" w:rsidR="00177C21" w:rsidRPr="004C78D8" w:rsidRDefault="000C3BDC" w:rsidP="00FB7C1F">
            <w:pPr>
              <w:jc w:val="left"/>
              <w:rPr>
                <w:b/>
                <w:bCs/>
                <w:sz w:val="20"/>
                <w:szCs w:val="20"/>
              </w:rPr>
            </w:pPr>
            <w:r w:rsidRPr="004C78D8">
              <w:rPr>
                <w:b/>
                <w:bCs/>
                <w:sz w:val="20"/>
                <w:szCs w:val="20"/>
              </w:rPr>
              <w:t>Reactive pathway vs. UC</w:t>
            </w:r>
          </w:p>
        </w:tc>
        <w:tc>
          <w:tcPr>
            <w:tcW w:w="1092" w:type="pct"/>
          </w:tcPr>
          <w:p w14:paraId="5CEE0C2A" w14:textId="5E8FBF1F" w:rsidR="00177C21" w:rsidRPr="004C78D8" w:rsidRDefault="000C3BDC" w:rsidP="00FB7C1F">
            <w:pPr>
              <w:jc w:val="left"/>
              <w:rPr>
                <w:b/>
                <w:bCs/>
                <w:sz w:val="20"/>
                <w:szCs w:val="20"/>
              </w:rPr>
            </w:pPr>
            <w:r w:rsidRPr="004C78D8">
              <w:rPr>
                <w:b/>
                <w:bCs/>
                <w:sz w:val="20"/>
                <w:szCs w:val="20"/>
              </w:rPr>
              <w:t>Proactive pathway vs. UC</w:t>
            </w:r>
          </w:p>
        </w:tc>
        <w:tc>
          <w:tcPr>
            <w:tcW w:w="1092" w:type="pct"/>
          </w:tcPr>
          <w:p w14:paraId="33558DB0" w14:textId="6C4887F5" w:rsidR="00177C21" w:rsidRPr="004C78D8" w:rsidRDefault="000C3BDC" w:rsidP="00FB7C1F">
            <w:pPr>
              <w:jc w:val="left"/>
              <w:rPr>
                <w:b/>
                <w:bCs/>
                <w:sz w:val="20"/>
                <w:szCs w:val="20"/>
              </w:rPr>
            </w:pPr>
            <w:r w:rsidRPr="004C78D8">
              <w:rPr>
                <w:b/>
                <w:bCs/>
                <w:sz w:val="20"/>
                <w:szCs w:val="20"/>
              </w:rPr>
              <w:t>Self-referred pathway vs. UC</w:t>
            </w:r>
          </w:p>
        </w:tc>
      </w:tr>
      <w:tr w:rsidR="00177C21" w:rsidRPr="004C78D8" w14:paraId="62E861F6" w14:textId="77777777" w:rsidTr="00E35893">
        <w:tc>
          <w:tcPr>
            <w:tcW w:w="1724" w:type="pct"/>
            <w:tcBorders>
              <w:bottom w:val="single" w:sz="4" w:space="0" w:color="auto"/>
            </w:tcBorders>
          </w:tcPr>
          <w:p w14:paraId="329F31DB" w14:textId="35D42EEB" w:rsidR="00177C21" w:rsidRPr="004C78D8" w:rsidRDefault="00097BFA" w:rsidP="00FB7C1F">
            <w:pPr>
              <w:jc w:val="left"/>
              <w:rPr>
                <w:sz w:val="20"/>
                <w:szCs w:val="20"/>
              </w:rPr>
            </w:pPr>
            <w:r w:rsidRPr="004C78D8">
              <w:rPr>
                <w:sz w:val="20"/>
                <w:szCs w:val="20"/>
              </w:rPr>
              <w:t xml:space="preserve">(1) </w:t>
            </w:r>
            <w:r w:rsidR="006307BD" w:rsidRPr="004C78D8">
              <w:rPr>
                <w:sz w:val="20"/>
                <w:szCs w:val="20"/>
              </w:rPr>
              <w:t>Incremental no-aversion mean</w:t>
            </w:r>
            <w:r w:rsidRPr="004C78D8">
              <w:rPr>
                <w:sz w:val="20"/>
                <w:szCs w:val="20"/>
                <w:vertAlign w:val="superscript"/>
              </w:rPr>
              <w:t>2</w:t>
            </w:r>
          </w:p>
        </w:tc>
        <w:tc>
          <w:tcPr>
            <w:tcW w:w="1092" w:type="pct"/>
            <w:tcBorders>
              <w:bottom w:val="single" w:sz="4" w:space="0" w:color="auto"/>
            </w:tcBorders>
          </w:tcPr>
          <w:p w14:paraId="20487CF8" w14:textId="4824D297" w:rsidR="00177C21" w:rsidRPr="004C78D8" w:rsidRDefault="00FA6919" w:rsidP="00FB7C1F">
            <w:pPr>
              <w:jc w:val="left"/>
              <w:rPr>
                <w:sz w:val="20"/>
                <w:szCs w:val="20"/>
              </w:rPr>
            </w:pPr>
            <w:r w:rsidRPr="004C78D8">
              <w:rPr>
                <w:sz w:val="20"/>
                <w:szCs w:val="20"/>
              </w:rPr>
              <w:t>0.0072</w:t>
            </w:r>
          </w:p>
        </w:tc>
        <w:tc>
          <w:tcPr>
            <w:tcW w:w="1092" w:type="pct"/>
            <w:tcBorders>
              <w:bottom w:val="single" w:sz="4" w:space="0" w:color="auto"/>
            </w:tcBorders>
          </w:tcPr>
          <w:p w14:paraId="17EF0AD7" w14:textId="2C530266" w:rsidR="00177C21" w:rsidRPr="004C78D8" w:rsidRDefault="00EC5F88" w:rsidP="00FB7C1F">
            <w:pPr>
              <w:jc w:val="left"/>
              <w:rPr>
                <w:sz w:val="20"/>
                <w:szCs w:val="20"/>
              </w:rPr>
            </w:pPr>
            <w:r w:rsidRPr="004C78D8">
              <w:rPr>
                <w:sz w:val="20"/>
                <w:szCs w:val="20"/>
              </w:rPr>
              <w:t>0.0096</w:t>
            </w:r>
          </w:p>
        </w:tc>
        <w:tc>
          <w:tcPr>
            <w:tcW w:w="1092" w:type="pct"/>
            <w:tcBorders>
              <w:bottom w:val="single" w:sz="4" w:space="0" w:color="auto"/>
            </w:tcBorders>
          </w:tcPr>
          <w:p w14:paraId="487F9E4A" w14:textId="2F1B731D" w:rsidR="00177C21" w:rsidRPr="004C78D8" w:rsidRDefault="00EC5F88" w:rsidP="00FB7C1F">
            <w:pPr>
              <w:jc w:val="left"/>
              <w:rPr>
                <w:sz w:val="20"/>
                <w:szCs w:val="20"/>
              </w:rPr>
            </w:pPr>
            <w:r w:rsidRPr="004C78D8">
              <w:rPr>
                <w:sz w:val="20"/>
                <w:szCs w:val="20"/>
              </w:rPr>
              <w:t>0.0221</w:t>
            </w:r>
          </w:p>
        </w:tc>
      </w:tr>
      <w:tr w:rsidR="000C3BDC" w:rsidRPr="004C78D8" w14:paraId="6958572B" w14:textId="77777777" w:rsidTr="00E35893">
        <w:tc>
          <w:tcPr>
            <w:tcW w:w="1724" w:type="pct"/>
            <w:tcBorders>
              <w:bottom w:val="nil"/>
            </w:tcBorders>
          </w:tcPr>
          <w:p w14:paraId="63A44B62" w14:textId="6A7CB802" w:rsidR="000C3BDC" w:rsidRPr="004C78D8" w:rsidRDefault="00FA6919" w:rsidP="00FB7C1F">
            <w:pPr>
              <w:jc w:val="left"/>
              <w:rPr>
                <w:sz w:val="20"/>
                <w:szCs w:val="20"/>
              </w:rPr>
            </w:pPr>
            <w:r w:rsidRPr="004C78D8">
              <w:rPr>
                <w:sz w:val="20"/>
                <w:szCs w:val="20"/>
              </w:rPr>
              <w:t xml:space="preserve">(2) </w:t>
            </w:r>
            <w:r w:rsidR="00097BFA" w:rsidRPr="004C78D8">
              <w:rPr>
                <w:sz w:val="20"/>
                <w:szCs w:val="20"/>
              </w:rPr>
              <w:t xml:space="preserve">Atkinson EDE </w:t>
            </w:r>
            <w:r w:rsidR="00B06218" w:rsidRPr="004C78D8">
              <w:rPr>
                <w:sz w:val="20"/>
                <w:szCs w:val="20"/>
              </w:rPr>
              <w:t xml:space="preserve">INHB </w:t>
            </w:r>
            <w:r w:rsidR="00097BFA" w:rsidRPr="004C78D8">
              <w:rPr>
                <w:sz w:val="20"/>
                <w:szCs w:val="20"/>
              </w:rPr>
              <w:t>(</w:t>
            </w:r>
            <w:r w:rsidR="00097BFA" w:rsidRPr="004C78D8">
              <w:rPr>
                <w:rFonts w:cs="Times New Roman"/>
                <w:sz w:val="20"/>
                <w:szCs w:val="20"/>
              </w:rPr>
              <w:t>ε</w:t>
            </w:r>
            <w:r w:rsidR="00097BFA" w:rsidRPr="004C78D8">
              <w:rPr>
                <w:sz w:val="20"/>
                <w:szCs w:val="20"/>
              </w:rPr>
              <w:t>=30)</w:t>
            </w:r>
          </w:p>
        </w:tc>
        <w:tc>
          <w:tcPr>
            <w:tcW w:w="1092" w:type="pct"/>
            <w:tcBorders>
              <w:bottom w:val="nil"/>
            </w:tcBorders>
          </w:tcPr>
          <w:p w14:paraId="30ECD7BA" w14:textId="7D024C12" w:rsidR="000C3BDC" w:rsidRPr="004C78D8" w:rsidRDefault="00FA6919" w:rsidP="00FB7C1F">
            <w:pPr>
              <w:jc w:val="left"/>
              <w:rPr>
                <w:sz w:val="20"/>
                <w:szCs w:val="20"/>
              </w:rPr>
            </w:pPr>
            <w:r w:rsidRPr="004C78D8">
              <w:rPr>
                <w:sz w:val="20"/>
                <w:szCs w:val="20"/>
              </w:rPr>
              <w:t>0.0068</w:t>
            </w:r>
          </w:p>
        </w:tc>
        <w:tc>
          <w:tcPr>
            <w:tcW w:w="1092" w:type="pct"/>
            <w:tcBorders>
              <w:bottom w:val="nil"/>
            </w:tcBorders>
          </w:tcPr>
          <w:p w14:paraId="091CCE58" w14:textId="4145671D" w:rsidR="000C3BDC" w:rsidRPr="004C78D8" w:rsidRDefault="00EC5F88" w:rsidP="00FB7C1F">
            <w:pPr>
              <w:jc w:val="left"/>
              <w:rPr>
                <w:sz w:val="20"/>
                <w:szCs w:val="20"/>
              </w:rPr>
            </w:pPr>
            <w:r w:rsidRPr="004C78D8">
              <w:rPr>
                <w:sz w:val="20"/>
                <w:szCs w:val="20"/>
              </w:rPr>
              <w:t>0.0121</w:t>
            </w:r>
          </w:p>
        </w:tc>
        <w:tc>
          <w:tcPr>
            <w:tcW w:w="1092" w:type="pct"/>
            <w:tcBorders>
              <w:bottom w:val="nil"/>
            </w:tcBorders>
          </w:tcPr>
          <w:p w14:paraId="3124BC4B" w14:textId="2242EA40" w:rsidR="000C3BDC" w:rsidRPr="004C78D8" w:rsidRDefault="00EC5F88" w:rsidP="00FB7C1F">
            <w:pPr>
              <w:jc w:val="left"/>
              <w:rPr>
                <w:sz w:val="20"/>
                <w:szCs w:val="20"/>
              </w:rPr>
            </w:pPr>
            <w:r w:rsidRPr="004C78D8">
              <w:rPr>
                <w:sz w:val="20"/>
                <w:szCs w:val="20"/>
              </w:rPr>
              <w:t>0.0223</w:t>
            </w:r>
          </w:p>
        </w:tc>
      </w:tr>
      <w:tr w:rsidR="00FA6919" w:rsidRPr="004C78D8" w14:paraId="7CD58DC2" w14:textId="77777777" w:rsidTr="00E35893">
        <w:tc>
          <w:tcPr>
            <w:tcW w:w="1724" w:type="pct"/>
            <w:tcBorders>
              <w:top w:val="nil"/>
              <w:bottom w:val="single" w:sz="4" w:space="0" w:color="auto"/>
            </w:tcBorders>
          </w:tcPr>
          <w:p w14:paraId="2FD1F04E" w14:textId="77B588D8" w:rsidR="00FA6919" w:rsidRPr="004C78D8" w:rsidRDefault="00FA6919" w:rsidP="00FB7C1F">
            <w:pPr>
              <w:jc w:val="right"/>
              <w:rPr>
                <w:i/>
                <w:iCs/>
                <w:sz w:val="20"/>
                <w:szCs w:val="20"/>
              </w:rPr>
            </w:pPr>
            <w:r w:rsidRPr="004C78D8">
              <w:rPr>
                <w:i/>
                <w:iCs/>
                <w:sz w:val="20"/>
                <w:szCs w:val="20"/>
              </w:rPr>
              <w:t>Proportion of (2) relative to (1)</w:t>
            </w:r>
          </w:p>
        </w:tc>
        <w:tc>
          <w:tcPr>
            <w:tcW w:w="1092" w:type="pct"/>
            <w:tcBorders>
              <w:top w:val="nil"/>
              <w:bottom w:val="single" w:sz="4" w:space="0" w:color="auto"/>
            </w:tcBorders>
          </w:tcPr>
          <w:p w14:paraId="23FCB6F5" w14:textId="6BE94056" w:rsidR="00FA6919" w:rsidRPr="004C78D8" w:rsidRDefault="00FA6919" w:rsidP="00FB7C1F">
            <w:pPr>
              <w:jc w:val="left"/>
              <w:rPr>
                <w:i/>
                <w:iCs/>
                <w:sz w:val="20"/>
                <w:szCs w:val="20"/>
              </w:rPr>
            </w:pPr>
            <w:r w:rsidRPr="004C78D8">
              <w:rPr>
                <w:i/>
                <w:iCs/>
                <w:sz w:val="20"/>
                <w:szCs w:val="20"/>
              </w:rPr>
              <w:t>0.947</w:t>
            </w:r>
            <w:r w:rsidR="00EC5F88" w:rsidRPr="004C78D8">
              <w:rPr>
                <w:i/>
                <w:iCs/>
                <w:sz w:val="20"/>
                <w:szCs w:val="20"/>
              </w:rPr>
              <w:t>1</w:t>
            </w:r>
          </w:p>
        </w:tc>
        <w:tc>
          <w:tcPr>
            <w:tcW w:w="1092" w:type="pct"/>
            <w:tcBorders>
              <w:top w:val="nil"/>
              <w:bottom w:val="single" w:sz="4" w:space="0" w:color="auto"/>
            </w:tcBorders>
          </w:tcPr>
          <w:p w14:paraId="31038795" w14:textId="6E9D212E" w:rsidR="00FA6919" w:rsidRPr="004C78D8" w:rsidRDefault="00EC5F88" w:rsidP="00FB7C1F">
            <w:pPr>
              <w:jc w:val="left"/>
              <w:rPr>
                <w:i/>
                <w:iCs/>
                <w:sz w:val="20"/>
                <w:szCs w:val="20"/>
              </w:rPr>
            </w:pPr>
            <w:r w:rsidRPr="004C78D8">
              <w:rPr>
                <w:i/>
                <w:iCs/>
                <w:sz w:val="20"/>
                <w:szCs w:val="20"/>
              </w:rPr>
              <w:t>1.2659</w:t>
            </w:r>
          </w:p>
        </w:tc>
        <w:tc>
          <w:tcPr>
            <w:tcW w:w="1092" w:type="pct"/>
            <w:tcBorders>
              <w:top w:val="nil"/>
              <w:bottom w:val="single" w:sz="4" w:space="0" w:color="auto"/>
            </w:tcBorders>
          </w:tcPr>
          <w:p w14:paraId="6F7529E8" w14:textId="44098ECE" w:rsidR="00FA6919" w:rsidRPr="004C78D8" w:rsidRDefault="00EC5F88" w:rsidP="00FB7C1F">
            <w:pPr>
              <w:jc w:val="left"/>
              <w:rPr>
                <w:i/>
                <w:iCs/>
                <w:sz w:val="20"/>
                <w:szCs w:val="20"/>
              </w:rPr>
            </w:pPr>
            <w:r w:rsidRPr="004C78D8">
              <w:rPr>
                <w:i/>
                <w:iCs/>
                <w:sz w:val="20"/>
                <w:szCs w:val="20"/>
              </w:rPr>
              <w:t>1.0085</w:t>
            </w:r>
          </w:p>
        </w:tc>
      </w:tr>
      <w:tr w:rsidR="00177C21" w:rsidRPr="004C78D8" w14:paraId="64D30DFB" w14:textId="77777777" w:rsidTr="00E35893">
        <w:tc>
          <w:tcPr>
            <w:tcW w:w="1724" w:type="pct"/>
            <w:tcBorders>
              <w:bottom w:val="nil"/>
            </w:tcBorders>
          </w:tcPr>
          <w:p w14:paraId="0802F57C" w14:textId="6E503682" w:rsidR="00177C21" w:rsidRPr="004C78D8" w:rsidRDefault="00FA6919" w:rsidP="00FB7C1F">
            <w:pPr>
              <w:jc w:val="left"/>
              <w:rPr>
                <w:sz w:val="20"/>
                <w:szCs w:val="20"/>
              </w:rPr>
            </w:pPr>
            <w:r w:rsidRPr="004C78D8">
              <w:rPr>
                <w:sz w:val="20"/>
                <w:szCs w:val="20"/>
              </w:rPr>
              <w:t xml:space="preserve">(3) </w:t>
            </w:r>
            <w:r w:rsidR="00097BFA" w:rsidRPr="004C78D8">
              <w:rPr>
                <w:sz w:val="20"/>
                <w:szCs w:val="20"/>
              </w:rPr>
              <w:t xml:space="preserve">Kolm EDE </w:t>
            </w:r>
            <w:r w:rsidR="00B06218" w:rsidRPr="004C78D8">
              <w:rPr>
                <w:sz w:val="20"/>
                <w:szCs w:val="20"/>
              </w:rPr>
              <w:t xml:space="preserve">INHB </w:t>
            </w:r>
            <w:r w:rsidR="00097BFA" w:rsidRPr="004C78D8">
              <w:rPr>
                <w:sz w:val="20"/>
                <w:szCs w:val="20"/>
              </w:rPr>
              <w:t>(</w:t>
            </w:r>
            <w:r w:rsidR="00097BFA" w:rsidRPr="004C78D8">
              <w:rPr>
                <w:rFonts w:cs="Times New Roman"/>
                <w:sz w:val="20"/>
                <w:szCs w:val="20"/>
              </w:rPr>
              <w:t>α</w:t>
            </w:r>
            <w:r w:rsidR="00097BFA" w:rsidRPr="004C78D8">
              <w:rPr>
                <w:sz w:val="20"/>
                <w:szCs w:val="20"/>
              </w:rPr>
              <w:t>=0.5)</w:t>
            </w:r>
          </w:p>
        </w:tc>
        <w:tc>
          <w:tcPr>
            <w:tcW w:w="1092" w:type="pct"/>
            <w:tcBorders>
              <w:bottom w:val="nil"/>
            </w:tcBorders>
          </w:tcPr>
          <w:p w14:paraId="749044B9" w14:textId="188D88FC" w:rsidR="00177C21" w:rsidRPr="004C78D8" w:rsidRDefault="00EC5F88" w:rsidP="00FB7C1F">
            <w:pPr>
              <w:jc w:val="left"/>
              <w:rPr>
                <w:sz w:val="20"/>
                <w:szCs w:val="20"/>
              </w:rPr>
            </w:pPr>
            <w:r w:rsidRPr="004C78D8">
              <w:rPr>
                <w:sz w:val="20"/>
                <w:szCs w:val="20"/>
              </w:rPr>
              <w:t>0.0072</w:t>
            </w:r>
          </w:p>
        </w:tc>
        <w:tc>
          <w:tcPr>
            <w:tcW w:w="1092" w:type="pct"/>
            <w:tcBorders>
              <w:bottom w:val="nil"/>
            </w:tcBorders>
          </w:tcPr>
          <w:p w14:paraId="5DA973A0" w14:textId="5F4B5E6B" w:rsidR="00177C21" w:rsidRPr="004C78D8" w:rsidRDefault="00EC5F88" w:rsidP="00FB7C1F">
            <w:pPr>
              <w:jc w:val="left"/>
              <w:rPr>
                <w:sz w:val="20"/>
                <w:szCs w:val="20"/>
              </w:rPr>
            </w:pPr>
            <w:r w:rsidRPr="004C78D8">
              <w:rPr>
                <w:sz w:val="20"/>
                <w:szCs w:val="20"/>
              </w:rPr>
              <w:t>0.0101</w:t>
            </w:r>
          </w:p>
        </w:tc>
        <w:tc>
          <w:tcPr>
            <w:tcW w:w="1092" w:type="pct"/>
            <w:tcBorders>
              <w:bottom w:val="nil"/>
            </w:tcBorders>
          </w:tcPr>
          <w:p w14:paraId="48C5BC3B" w14:textId="0872935E" w:rsidR="00177C21" w:rsidRPr="004C78D8" w:rsidRDefault="00EC5F88" w:rsidP="00FB7C1F">
            <w:pPr>
              <w:jc w:val="left"/>
              <w:rPr>
                <w:sz w:val="20"/>
                <w:szCs w:val="20"/>
              </w:rPr>
            </w:pPr>
            <w:r w:rsidRPr="004C78D8">
              <w:rPr>
                <w:sz w:val="20"/>
                <w:szCs w:val="20"/>
              </w:rPr>
              <w:t>0.0219</w:t>
            </w:r>
          </w:p>
        </w:tc>
      </w:tr>
      <w:tr w:rsidR="00FA6919" w:rsidRPr="004C78D8" w14:paraId="23C28A2C" w14:textId="77777777" w:rsidTr="00E35893">
        <w:tc>
          <w:tcPr>
            <w:tcW w:w="1724" w:type="pct"/>
            <w:tcBorders>
              <w:top w:val="nil"/>
            </w:tcBorders>
          </w:tcPr>
          <w:p w14:paraId="47C77E2A" w14:textId="2B692521" w:rsidR="00FA6919" w:rsidRPr="004C78D8" w:rsidRDefault="00FA6919" w:rsidP="00FB7C1F">
            <w:pPr>
              <w:jc w:val="right"/>
              <w:rPr>
                <w:i/>
                <w:iCs/>
                <w:sz w:val="20"/>
                <w:szCs w:val="20"/>
              </w:rPr>
            </w:pPr>
            <w:r w:rsidRPr="004C78D8">
              <w:rPr>
                <w:i/>
                <w:iCs/>
                <w:sz w:val="20"/>
                <w:szCs w:val="20"/>
              </w:rPr>
              <w:t>Proportion of (</w:t>
            </w:r>
            <w:r w:rsidR="00854C11" w:rsidRPr="004C78D8">
              <w:rPr>
                <w:i/>
                <w:iCs/>
                <w:sz w:val="20"/>
                <w:szCs w:val="20"/>
              </w:rPr>
              <w:t>3</w:t>
            </w:r>
            <w:r w:rsidRPr="004C78D8">
              <w:rPr>
                <w:i/>
                <w:iCs/>
                <w:sz w:val="20"/>
                <w:szCs w:val="20"/>
              </w:rPr>
              <w:t>) relative to (1)</w:t>
            </w:r>
          </w:p>
        </w:tc>
        <w:tc>
          <w:tcPr>
            <w:tcW w:w="1092" w:type="pct"/>
            <w:tcBorders>
              <w:top w:val="nil"/>
            </w:tcBorders>
          </w:tcPr>
          <w:p w14:paraId="4B3FF0A4" w14:textId="6E5621B8" w:rsidR="00FA6919" w:rsidRPr="004C78D8" w:rsidRDefault="00EC5F88" w:rsidP="00FB7C1F">
            <w:pPr>
              <w:jc w:val="left"/>
              <w:rPr>
                <w:i/>
                <w:iCs/>
                <w:sz w:val="20"/>
                <w:szCs w:val="20"/>
              </w:rPr>
            </w:pPr>
            <w:r w:rsidRPr="004C78D8">
              <w:rPr>
                <w:i/>
                <w:iCs/>
                <w:sz w:val="20"/>
                <w:szCs w:val="20"/>
              </w:rPr>
              <w:t>1.0022</w:t>
            </w:r>
          </w:p>
        </w:tc>
        <w:tc>
          <w:tcPr>
            <w:tcW w:w="1092" w:type="pct"/>
            <w:tcBorders>
              <w:top w:val="nil"/>
            </w:tcBorders>
          </w:tcPr>
          <w:p w14:paraId="6EFFA62E" w14:textId="04C0CA37" w:rsidR="00FA6919" w:rsidRPr="004C78D8" w:rsidRDefault="00EC5F88" w:rsidP="00FB7C1F">
            <w:pPr>
              <w:jc w:val="left"/>
              <w:rPr>
                <w:i/>
                <w:iCs/>
                <w:sz w:val="20"/>
                <w:szCs w:val="20"/>
              </w:rPr>
            </w:pPr>
            <w:r w:rsidRPr="004C78D8">
              <w:rPr>
                <w:i/>
                <w:iCs/>
                <w:sz w:val="20"/>
                <w:szCs w:val="20"/>
              </w:rPr>
              <w:t>1.0550</w:t>
            </w:r>
          </w:p>
        </w:tc>
        <w:tc>
          <w:tcPr>
            <w:tcW w:w="1092" w:type="pct"/>
            <w:tcBorders>
              <w:top w:val="nil"/>
            </w:tcBorders>
          </w:tcPr>
          <w:p w14:paraId="60973469" w14:textId="4257BEA7" w:rsidR="00FA6919" w:rsidRPr="004C78D8" w:rsidRDefault="00EC5F88" w:rsidP="00FB7C1F">
            <w:pPr>
              <w:jc w:val="left"/>
              <w:rPr>
                <w:i/>
                <w:iCs/>
                <w:sz w:val="20"/>
                <w:szCs w:val="20"/>
              </w:rPr>
            </w:pPr>
            <w:r w:rsidRPr="004C78D8">
              <w:rPr>
                <w:i/>
                <w:iCs/>
                <w:sz w:val="20"/>
                <w:szCs w:val="20"/>
              </w:rPr>
              <w:t>0.9898</w:t>
            </w:r>
          </w:p>
        </w:tc>
      </w:tr>
      <w:tr w:rsidR="00FA6919" w:rsidRPr="004C78D8" w14:paraId="23581EF3" w14:textId="77777777" w:rsidTr="00E35893">
        <w:tc>
          <w:tcPr>
            <w:tcW w:w="5000" w:type="pct"/>
            <w:gridSpan w:val="4"/>
          </w:tcPr>
          <w:p w14:paraId="2B540189" w14:textId="38EB3E5F" w:rsidR="00FA6919" w:rsidRPr="004C78D8" w:rsidRDefault="00FA6919" w:rsidP="00FB7C1F">
            <w:pPr>
              <w:rPr>
                <w:sz w:val="18"/>
                <w:szCs w:val="18"/>
              </w:rPr>
            </w:pPr>
            <w:r w:rsidRPr="004C78D8">
              <w:rPr>
                <w:b/>
                <w:bCs/>
                <w:sz w:val="18"/>
                <w:szCs w:val="18"/>
              </w:rPr>
              <w:t>Abbreviation:</w:t>
            </w:r>
            <w:r w:rsidRPr="004C78D8">
              <w:rPr>
                <w:sz w:val="18"/>
                <w:szCs w:val="18"/>
              </w:rPr>
              <w:t xml:space="preserve"> EDE: equally distributed equivalent; </w:t>
            </w:r>
            <w:r w:rsidR="00827F6C" w:rsidRPr="004C78D8">
              <w:rPr>
                <w:sz w:val="18"/>
                <w:szCs w:val="18"/>
              </w:rPr>
              <w:t xml:space="preserve">INHB: incremental net health benefit; </w:t>
            </w:r>
            <w:r w:rsidRPr="004C78D8">
              <w:rPr>
                <w:sz w:val="18"/>
                <w:szCs w:val="18"/>
              </w:rPr>
              <w:t>QALY: quality-adjusted life year; SES: socioeconomic status; UC: usual care.</w:t>
            </w:r>
          </w:p>
          <w:p w14:paraId="23F6641F" w14:textId="36DA61F2" w:rsidR="00FA6919" w:rsidRPr="004C78D8" w:rsidRDefault="00FA6919" w:rsidP="00FB7C1F">
            <w:pPr>
              <w:rPr>
                <w:sz w:val="18"/>
                <w:szCs w:val="18"/>
              </w:rPr>
            </w:pPr>
            <w:r w:rsidRPr="004C78D8">
              <w:rPr>
                <w:sz w:val="18"/>
                <w:szCs w:val="18"/>
                <w:vertAlign w:val="superscript"/>
              </w:rPr>
              <w:t>1</w:t>
            </w:r>
            <w:r w:rsidRPr="004C78D8">
              <w:rPr>
                <w:sz w:val="18"/>
                <w:szCs w:val="18"/>
              </w:rPr>
              <w:t xml:space="preserve"> </w:t>
            </w:r>
            <w:r w:rsidR="009B3934" w:rsidRPr="004C78D8">
              <w:rPr>
                <w:sz w:val="18"/>
                <w:szCs w:val="18"/>
              </w:rPr>
              <w:t>The societal NHB incorporates QALY gain and QALY-equivalent net societal gain minus public sector opportunity costs (translated to QALY-equivalent using cost-effectiveness threshold of £30,000 per QALY gain</w:t>
            </w:r>
            <w:r w:rsidR="004C6405" w:rsidRPr="004C78D8">
              <w:rPr>
                <w:sz w:val="18"/>
                <w:szCs w:val="18"/>
              </w:rPr>
              <w:t>ed</w:t>
            </w:r>
            <w:r w:rsidR="009B3934" w:rsidRPr="004C78D8">
              <w:rPr>
                <w:sz w:val="18"/>
                <w:szCs w:val="18"/>
              </w:rPr>
              <w:t xml:space="preserve">) for each SES quartile. </w:t>
            </w:r>
            <w:r w:rsidRPr="004C78D8">
              <w:rPr>
                <w:sz w:val="18"/>
                <w:szCs w:val="18"/>
              </w:rPr>
              <w:t xml:space="preserve">The </w:t>
            </w:r>
            <w:r w:rsidR="009B3934" w:rsidRPr="004C78D8">
              <w:rPr>
                <w:sz w:val="18"/>
                <w:szCs w:val="18"/>
              </w:rPr>
              <w:t xml:space="preserve">incremental NHB (INHB) is measured </w:t>
            </w:r>
            <w:r w:rsidRPr="004C78D8">
              <w:rPr>
                <w:sz w:val="18"/>
                <w:szCs w:val="18"/>
              </w:rPr>
              <w:t>relative to UC</w:t>
            </w:r>
            <w:r w:rsidR="00DF7F5E" w:rsidRPr="004C78D8">
              <w:rPr>
                <w:sz w:val="18"/>
                <w:szCs w:val="18"/>
              </w:rPr>
              <w:t>.</w:t>
            </w:r>
          </w:p>
          <w:p w14:paraId="7657DA21" w14:textId="0CA240A8" w:rsidR="00827F6C" w:rsidRPr="004C78D8" w:rsidRDefault="00FA6919" w:rsidP="00FB7C1F">
            <w:pPr>
              <w:rPr>
                <w:sz w:val="18"/>
                <w:szCs w:val="18"/>
              </w:rPr>
            </w:pPr>
            <w:r w:rsidRPr="004C78D8">
              <w:rPr>
                <w:sz w:val="18"/>
                <w:szCs w:val="18"/>
                <w:vertAlign w:val="superscript"/>
              </w:rPr>
              <w:t>2</w:t>
            </w:r>
            <w:r w:rsidRPr="004C78D8">
              <w:rPr>
                <w:sz w:val="18"/>
                <w:szCs w:val="18"/>
              </w:rPr>
              <w:t xml:space="preserve"> This is the EDE </w:t>
            </w:r>
            <w:r w:rsidR="009B3934" w:rsidRPr="004C78D8">
              <w:rPr>
                <w:sz w:val="18"/>
                <w:szCs w:val="18"/>
              </w:rPr>
              <w:t xml:space="preserve">INHB </w:t>
            </w:r>
            <w:r w:rsidRPr="004C78D8">
              <w:rPr>
                <w:sz w:val="18"/>
                <w:szCs w:val="18"/>
              </w:rPr>
              <w:t xml:space="preserve">when Atkinson </w:t>
            </w:r>
            <w:r w:rsidRPr="004C78D8">
              <w:rPr>
                <w:rFonts w:cs="Times New Roman"/>
                <w:sz w:val="18"/>
                <w:szCs w:val="18"/>
              </w:rPr>
              <w:t>ε</w:t>
            </w:r>
            <w:r w:rsidRPr="004C78D8">
              <w:rPr>
                <w:sz w:val="18"/>
                <w:szCs w:val="18"/>
              </w:rPr>
              <w:t>=0</w:t>
            </w:r>
            <w:r w:rsidR="00DF7F5E" w:rsidRPr="004C78D8">
              <w:rPr>
                <w:sz w:val="18"/>
                <w:szCs w:val="18"/>
              </w:rPr>
              <w:t xml:space="preserve"> </w:t>
            </w:r>
            <w:r w:rsidR="00DF7F5E" w:rsidRPr="004C78D8">
              <w:rPr>
                <w:sz w:val="18"/>
                <w:szCs w:val="18"/>
              </w:rPr>
              <w:fldChar w:fldCharType="begin"/>
            </w:r>
            <w:r w:rsidR="00513646" w:rsidRPr="004C78D8">
              <w:rPr>
                <w:sz w:val="18"/>
                <w:szCs w:val="18"/>
              </w:rPr>
              <w:instrText xml:space="preserve"> ADDIN EN.CITE &lt;EndNote&gt;&lt;Cite&gt;&lt;Author&gt;Asaria&lt;/Author&gt;&lt;Year&gt;2016&lt;/Year&gt;&lt;RecNum&gt;361&lt;/RecNum&gt;&lt;DisplayText&gt;[109]&lt;/DisplayText&gt;&lt;record&gt;&lt;rec-number&gt;361&lt;/rec-number&gt;&lt;foreign-keys&gt;&lt;key app="EN" db-id="tdtrdw9aepptzbefsat599syza29sxsd2wsp" timestamp="1612265402"&gt;361&lt;/key&gt;&lt;/foreign-keys&gt;&lt;ref-type name="Journal Article"&gt;17&lt;/ref-type&gt;&lt;contributors&gt;&lt;authors&gt;&lt;author&gt;Asaria, Miqdad&lt;/author&gt;&lt;author&gt;Griffin, Susan&lt;/author&gt;&lt;author&gt;Cookson, Richard&lt;/author&gt;&lt;/authors&gt;&lt;/contributors&gt;&lt;titles&gt;&lt;title&gt;Distributional Cost-Effectiveness Analysis: A Tutorial&lt;/title&gt;&lt;secondary-title&gt;Medical decision making&lt;/secondary-title&gt;&lt;/titles&gt;&lt;periodical&gt;&lt;full-title&gt;Medical Decision Making&lt;/full-title&gt;&lt;/periodical&gt;&lt;pages&gt;8-19&lt;/pages&gt;&lt;volume&gt;36&lt;/volume&gt;&lt;number&gt;1&lt;/number&gt;&lt;keywords&gt;&lt;keyword&gt;cost-effectiveness analysis&lt;/keyword&gt;&lt;keyword&gt;economic evaluation&lt;/keyword&gt;&lt;keyword&gt;efficiency&lt;/keyword&gt;&lt;keyword&gt;equality&lt;/keyword&gt;&lt;keyword&gt;equity&lt;/keyword&gt;&lt;keyword&gt;fairness&lt;/keyword&gt;&lt;keyword&gt;health distribution&lt;/keyword&gt;&lt;keyword&gt;health inequality&lt;/keyword&gt;&lt;keyword&gt;inequality measures&lt;/keyword&gt;&lt;keyword&gt;opportunity cost&lt;/keyword&gt;&lt;keyword&gt;social value judgments&lt;/keyword&gt;&lt;keyword&gt;social welfare functions&lt;/keyword&gt;&lt;keyword&gt;tradeoff&lt;/keyword&gt;&lt;/keywords&gt;&lt;dates&gt;&lt;year&gt;2016&lt;/year&gt;&lt;pub-dates&gt;&lt;date&gt;1/1&lt;/date&gt;&lt;/pub-dates&gt;&lt;/dates&gt;&lt;isbn&gt;0272-989X&lt;/isbn&gt;&lt;work-type&gt;Article&lt;/work-type&gt;&lt;urls&gt;&lt;related-urls&gt;&lt;url&gt;http://www.scopus.com/inward/record.url?scp=84950117843&amp;amp;partnerID=8YFLogxK&lt;/url&gt;&lt;/related-urls&gt;&lt;/urls&gt;&lt;electronic-resource-num&gt;10.1177/0272989X15583266&lt;/electronic-resource-num&gt;&lt;/record&gt;&lt;/Cite&gt;&lt;/EndNote&gt;</w:instrText>
            </w:r>
            <w:r w:rsidR="00DF7F5E" w:rsidRPr="004C78D8">
              <w:rPr>
                <w:sz w:val="18"/>
                <w:szCs w:val="18"/>
              </w:rPr>
              <w:fldChar w:fldCharType="separate"/>
            </w:r>
            <w:r w:rsidR="00513646" w:rsidRPr="004C78D8">
              <w:rPr>
                <w:noProof/>
                <w:sz w:val="18"/>
                <w:szCs w:val="18"/>
              </w:rPr>
              <w:t>[109]</w:t>
            </w:r>
            <w:r w:rsidR="00DF7F5E" w:rsidRPr="004C78D8">
              <w:rPr>
                <w:sz w:val="18"/>
                <w:szCs w:val="18"/>
              </w:rPr>
              <w:fldChar w:fldCharType="end"/>
            </w:r>
            <w:r w:rsidR="00DF7F5E" w:rsidRPr="004C78D8">
              <w:rPr>
                <w:sz w:val="18"/>
                <w:szCs w:val="18"/>
              </w:rPr>
              <w:t>.</w:t>
            </w:r>
          </w:p>
        </w:tc>
      </w:tr>
    </w:tbl>
    <w:p w14:paraId="2E22BBC6" w14:textId="77777777" w:rsidR="009D68D2" w:rsidRPr="004C78D8" w:rsidRDefault="009D68D2" w:rsidP="00FB7C1F"/>
    <w:p w14:paraId="0BAA39F6" w14:textId="16B8587A" w:rsidR="00C04FB8" w:rsidRPr="004C78D8" w:rsidRDefault="00C04FB8" w:rsidP="00FB7C1F">
      <w:pPr>
        <w:pStyle w:val="Heading5"/>
      </w:pPr>
      <w:r w:rsidRPr="004C78D8">
        <w:t>Combinations of two pathways</w:t>
      </w:r>
    </w:p>
    <w:p w14:paraId="286F8478" w14:textId="35DCA14C" w:rsidR="004F51B4" w:rsidRPr="004C78D8" w:rsidRDefault="004F51B4" w:rsidP="00FB7C1F">
      <w:bookmarkStart w:id="202" w:name="_Hlk111278991"/>
      <w:r w:rsidRPr="004C78D8">
        <w:t xml:space="preserve">Table </w:t>
      </w:r>
      <w:r w:rsidR="00BD3C88" w:rsidRPr="004C78D8">
        <w:t>F20</w:t>
      </w:r>
      <w:r w:rsidRPr="004C78D8">
        <w:t xml:space="preserve"> shows the cost-effectiveness of </w:t>
      </w:r>
      <w:r w:rsidR="00814F78" w:rsidRPr="004C78D8">
        <w:t xml:space="preserve">the </w:t>
      </w:r>
      <w:r w:rsidRPr="004C78D8">
        <w:t xml:space="preserve">combinations of two pathways </w:t>
      </w:r>
      <w:r w:rsidR="00C04FB8" w:rsidRPr="004C78D8">
        <w:t xml:space="preserve">in their RC configurations </w:t>
      </w:r>
      <w:r w:rsidR="00E221FB" w:rsidRPr="004C78D8">
        <w:t>vs.</w:t>
      </w:r>
      <w:r w:rsidRPr="004C78D8">
        <w:t xml:space="preserve"> UC.</w:t>
      </w:r>
      <w:r w:rsidR="0070515E" w:rsidRPr="004C78D8">
        <w:t xml:space="preserve"> </w:t>
      </w:r>
      <w:bookmarkEnd w:id="202"/>
      <w:r w:rsidR="0070515E" w:rsidRPr="004C78D8">
        <w:t xml:space="preserve">The combination of reactive and self-referred pathways </w:t>
      </w:r>
      <w:r w:rsidR="00BC0F86" w:rsidRPr="004C78D8">
        <w:t xml:space="preserve">produced the lowest societal ICER </w:t>
      </w:r>
      <w:r w:rsidR="00BD3C88" w:rsidRPr="004C78D8">
        <w:t xml:space="preserve">(£4,270 per QALY gained, considering all-cause costs) </w:t>
      </w:r>
      <w:r w:rsidR="00BC0F86" w:rsidRPr="004C78D8">
        <w:t xml:space="preserve">and the highest aggregate societal INMB </w:t>
      </w:r>
      <w:r w:rsidR="009E165F" w:rsidRPr="004C78D8">
        <w:t xml:space="preserve">(£329.0 million) </w:t>
      </w:r>
      <w:r w:rsidR="00321B6C" w:rsidRPr="004C78D8">
        <w:t>despite having the lowest number of users</w:t>
      </w:r>
      <w:r w:rsidR="00037D4C" w:rsidRPr="004C78D8">
        <w:t>; the latter nearly reached the level under the base case (£358.7 million).</w:t>
      </w:r>
      <w:r w:rsidR="00BC0F86" w:rsidRPr="004C78D8">
        <w:t xml:space="preserve"> Moreover, i</w:t>
      </w:r>
      <w:r w:rsidR="00880C07" w:rsidRPr="004C78D8">
        <w:t>ts net societal gain of 1,</w:t>
      </w:r>
      <w:r w:rsidR="00037D4C" w:rsidRPr="004C78D8">
        <w:t>457</w:t>
      </w:r>
      <w:r w:rsidR="00880C07" w:rsidRPr="004C78D8">
        <w:t xml:space="preserve"> QALYs was greater than that under the base case (</w:t>
      </w:r>
      <w:r w:rsidR="00037D4C" w:rsidRPr="004C78D8">
        <w:t>1,380</w:t>
      </w:r>
      <w:r w:rsidR="00880C07" w:rsidRPr="004C78D8">
        <w:t xml:space="preserve"> QALYs). </w:t>
      </w:r>
      <w:r w:rsidR="009E165F" w:rsidRPr="004C78D8">
        <w:t xml:space="preserve">Adding the proactive pathway to this configuration would have yielded small additional INMB and a </w:t>
      </w:r>
      <w:r w:rsidR="009E165F" w:rsidRPr="004C78D8">
        <w:rPr>
          <w:i/>
          <w:iCs/>
        </w:rPr>
        <w:t>loss</w:t>
      </w:r>
      <w:r w:rsidR="009E165F" w:rsidRPr="004C78D8">
        <w:t xml:space="preserve"> in net societal gain, showing evidence of diminishing return. </w:t>
      </w:r>
    </w:p>
    <w:p w14:paraId="1B9100C5" w14:textId="7C38F23C" w:rsidR="006E6703" w:rsidRPr="004C78D8" w:rsidRDefault="0001558D" w:rsidP="00FB7C1F">
      <w:r w:rsidRPr="004C78D8">
        <w:t xml:space="preserve">Figure </w:t>
      </w:r>
      <w:r w:rsidR="0029100F" w:rsidRPr="004C78D8">
        <w:t>F</w:t>
      </w:r>
      <w:r w:rsidR="00C17E93" w:rsidRPr="004C78D8">
        <w:t>11</w:t>
      </w:r>
      <w:r w:rsidR="00BD3C88" w:rsidRPr="004C78D8">
        <w:t xml:space="preserve"> </w:t>
      </w:r>
      <w:r w:rsidRPr="004C78D8">
        <w:t xml:space="preserve">shows the SES gradients to the societal </w:t>
      </w:r>
      <w:r w:rsidR="008E5208" w:rsidRPr="004C78D8">
        <w:t>per-capita INHB</w:t>
      </w:r>
      <w:r w:rsidRPr="004C78D8">
        <w:t xml:space="preserve">s (considering all-cause costs) of pathway combinations </w:t>
      </w:r>
      <w:r w:rsidR="00F4171F" w:rsidRPr="004C78D8">
        <w:t>vs.</w:t>
      </w:r>
      <w:r w:rsidRPr="004C78D8">
        <w:t xml:space="preserve"> UC.</w:t>
      </w:r>
      <w:r w:rsidR="007F572B" w:rsidRPr="004C78D8">
        <w:t xml:space="preserve"> </w:t>
      </w:r>
      <w:r w:rsidR="0029100F" w:rsidRPr="004C78D8">
        <w:t xml:space="preserve">Combinations with the self-referred pathway produced less pro-poor gradients that the one without. </w:t>
      </w:r>
      <w:r w:rsidR="00AB6850" w:rsidRPr="004C78D8">
        <w:t xml:space="preserve">Table </w:t>
      </w:r>
      <w:r w:rsidR="004239A6" w:rsidRPr="004C78D8">
        <w:t>6</w:t>
      </w:r>
      <w:r w:rsidR="00AB6850" w:rsidRPr="004C78D8">
        <w:t>.</w:t>
      </w:r>
      <w:r w:rsidR="004239A6" w:rsidRPr="004C78D8">
        <w:t>10</w:t>
      </w:r>
      <w:r w:rsidR="00B82FAE" w:rsidRPr="004C78D8">
        <w:t xml:space="preserve"> </w:t>
      </w:r>
      <w:r w:rsidR="0029100F" w:rsidRPr="004C78D8">
        <w:t xml:space="preserve">compares the </w:t>
      </w:r>
      <w:r w:rsidR="00E35EE8" w:rsidRPr="004C78D8">
        <w:t>EDE INHBs</w:t>
      </w:r>
      <w:r w:rsidR="0029100F" w:rsidRPr="004C78D8">
        <w:t xml:space="preserve"> of </w:t>
      </w:r>
      <w:r w:rsidR="00E35EE8" w:rsidRPr="004C78D8">
        <w:t>pathway combinations</w:t>
      </w:r>
      <w:r w:rsidR="0029100F" w:rsidRPr="004C78D8">
        <w:t xml:space="preserve"> relative to UC under high relative and absolute inequality aversions.</w:t>
      </w:r>
      <w:r w:rsidR="00B27CFF" w:rsidRPr="004C78D8">
        <w:t xml:space="preserve"> All three combinations improved efficiency and equity in terms of relative inequality, but only the reactive</w:t>
      </w:r>
      <w:r w:rsidR="00E35EE8" w:rsidRPr="004C78D8">
        <w:t>-</w:t>
      </w:r>
      <w:r w:rsidR="00B27CFF" w:rsidRPr="004C78D8">
        <w:t>proactive combination improved equity in terms of absolute inequality. Nevertheless, the reactive</w:t>
      </w:r>
      <w:r w:rsidR="00E35EE8" w:rsidRPr="004C78D8">
        <w:t>-</w:t>
      </w:r>
      <w:r w:rsidR="00B27CFF" w:rsidRPr="004C78D8">
        <w:t xml:space="preserve">self-referred combination generated the highest EDE </w:t>
      </w:r>
      <w:r w:rsidR="00E35EE8" w:rsidRPr="004C78D8">
        <w:t xml:space="preserve">INHB </w:t>
      </w:r>
      <w:r w:rsidR="00B27CFF" w:rsidRPr="004C78D8">
        <w:t xml:space="preserve">under both Atkinson </w:t>
      </w:r>
      <w:r w:rsidR="00B27CFF" w:rsidRPr="004C78D8">
        <w:rPr>
          <w:rFonts w:cs="Times New Roman"/>
        </w:rPr>
        <w:t>ε</w:t>
      </w:r>
      <w:r w:rsidR="00B27CFF" w:rsidRPr="004C78D8">
        <w:t xml:space="preserve">=30 and Kolm </w:t>
      </w:r>
      <w:r w:rsidR="00B27CFF" w:rsidRPr="004C78D8">
        <w:rPr>
          <w:rFonts w:cs="Times New Roman"/>
        </w:rPr>
        <w:t>α</w:t>
      </w:r>
      <w:r w:rsidR="00B27CFF" w:rsidRPr="004C78D8">
        <w:t>=0.5</w:t>
      </w:r>
      <w:r w:rsidR="00E35EE8" w:rsidRPr="004C78D8">
        <w:t xml:space="preserve"> compared to other</w:t>
      </w:r>
      <w:r w:rsidR="004239A6" w:rsidRPr="004C78D8">
        <w:t>s</w:t>
      </w:r>
      <w:r w:rsidR="00B27CFF" w:rsidRPr="004C78D8">
        <w:t>.</w:t>
      </w:r>
    </w:p>
    <w:tbl>
      <w:tblPr>
        <w:tblStyle w:val="TableGrid"/>
        <w:tblW w:w="5000" w:type="pct"/>
        <w:tblLook w:val="04A0" w:firstRow="1" w:lastRow="0" w:firstColumn="1" w:lastColumn="0" w:noHBand="0" w:noVBand="1"/>
      </w:tblPr>
      <w:tblGrid>
        <w:gridCol w:w="3107"/>
        <w:gridCol w:w="1985"/>
        <w:gridCol w:w="1906"/>
        <w:gridCol w:w="2018"/>
      </w:tblGrid>
      <w:tr w:rsidR="0029100F" w:rsidRPr="004C78D8" w14:paraId="1BC71671" w14:textId="77777777" w:rsidTr="00E35893">
        <w:tc>
          <w:tcPr>
            <w:tcW w:w="5000" w:type="pct"/>
            <w:gridSpan w:val="4"/>
          </w:tcPr>
          <w:p w14:paraId="3579C6A9" w14:textId="7C419C80" w:rsidR="0029100F" w:rsidRPr="004C78D8" w:rsidRDefault="0029100F" w:rsidP="00FB7C1F">
            <w:r w:rsidRPr="004C78D8">
              <w:rPr>
                <w:b/>
                <w:bCs/>
              </w:rPr>
              <w:t xml:space="preserve">Table </w:t>
            </w:r>
            <w:r w:rsidR="004239A6" w:rsidRPr="004C78D8">
              <w:rPr>
                <w:b/>
                <w:bCs/>
              </w:rPr>
              <w:t>6</w:t>
            </w:r>
            <w:r w:rsidRPr="004C78D8">
              <w:rPr>
                <w:b/>
                <w:bCs/>
              </w:rPr>
              <w:t>.</w:t>
            </w:r>
            <w:r w:rsidR="004239A6" w:rsidRPr="004C78D8">
              <w:rPr>
                <w:b/>
                <w:bCs/>
              </w:rPr>
              <w:t>10</w:t>
            </w:r>
            <w:r w:rsidRPr="004C78D8">
              <w:t xml:space="preserve"> </w:t>
            </w:r>
            <w:r w:rsidR="00C17E93" w:rsidRPr="004C78D8">
              <w:t>SES-delineated EDE INHBs for combinations of two prevention pathways relative to usual care.</w:t>
            </w:r>
          </w:p>
        </w:tc>
      </w:tr>
      <w:tr w:rsidR="00C17E93" w:rsidRPr="004C78D8" w14:paraId="71E78189" w14:textId="77777777" w:rsidTr="00E35893">
        <w:tc>
          <w:tcPr>
            <w:tcW w:w="1723" w:type="pct"/>
            <w:vAlign w:val="bottom"/>
          </w:tcPr>
          <w:p w14:paraId="3FB4A6BF" w14:textId="34E45493" w:rsidR="00C17E93" w:rsidRPr="004C78D8" w:rsidRDefault="00C17E93" w:rsidP="00FB7C1F">
            <w:pPr>
              <w:jc w:val="left"/>
              <w:rPr>
                <w:b/>
                <w:bCs/>
                <w:sz w:val="20"/>
                <w:szCs w:val="20"/>
              </w:rPr>
            </w:pPr>
            <w:r w:rsidRPr="004C78D8">
              <w:rPr>
                <w:b/>
                <w:bCs/>
                <w:sz w:val="20"/>
                <w:szCs w:val="20"/>
              </w:rPr>
              <w:t>Societal INHB</w:t>
            </w:r>
            <w:r w:rsidRPr="004C78D8">
              <w:rPr>
                <w:b/>
                <w:bCs/>
                <w:sz w:val="20"/>
                <w:szCs w:val="20"/>
                <w:vertAlign w:val="superscript"/>
              </w:rPr>
              <w:t>1</w:t>
            </w:r>
          </w:p>
        </w:tc>
        <w:tc>
          <w:tcPr>
            <w:tcW w:w="1101" w:type="pct"/>
            <w:vAlign w:val="bottom"/>
          </w:tcPr>
          <w:p w14:paraId="106DC1FC" w14:textId="76DEF32F" w:rsidR="00C17E93" w:rsidRPr="004C78D8" w:rsidRDefault="00C17E93" w:rsidP="00FB7C1F">
            <w:pPr>
              <w:jc w:val="left"/>
              <w:rPr>
                <w:b/>
                <w:bCs/>
                <w:sz w:val="20"/>
                <w:szCs w:val="20"/>
              </w:rPr>
            </w:pPr>
            <w:r w:rsidRPr="004C78D8">
              <w:rPr>
                <w:b/>
                <w:bCs/>
                <w:sz w:val="20"/>
                <w:szCs w:val="20"/>
              </w:rPr>
              <w:t>Reactive</w:t>
            </w:r>
            <w:r w:rsidR="00E35EE8" w:rsidRPr="004C78D8">
              <w:rPr>
                <w:b/>
                <w:bCs/>
                <w:sz w:val="20"/>
                <w:szCs w:val="20"/>
              </w:rPr>
              <w:t>-</w:t>
            </w:r>
            <w:r w:rsidRPr="004C78D8">
              <w:rPr>
                <w:b/>
                <w:bCs/>
                <w:sz w:val="20"/>
                <w:szCs w:val="20"/>
              </w:rPr>
              <w:t>Proactive pathways vs. UC</w:t>
            </w:r>
          </w:p>
        </w:tc>
        <w:tc>
          <w:tcPr>
            <w:tcW w:w="1057" w:type="pct"/>
            <w:vAlign w:val="bottom"/>
          </w:tcPr>
          <w:p w14:paraId="5DB796CB" w14:textId="2275ED95" w:rsidR="00C17E93" w:rsidRPr="004C78D8" w:rsidRDefault="00C17E93" w:rsidP="00FB7C1F">
            <w:pPr>
              <w:jc w:val="left"/>
              <w:rPr>
                <w:b/>
                <w:bCs/>
                <w:sz w:val="20"/>
                <w:szCs w:val="20"/>
              </w:rPr>
            </w:pPr>
            <w:r w:rsidRPr="004C78D8">
              <w:rPr>
                <w:b/>
                <w:bCs/>
                <w:sz w:val="20"/>
                <w:szCs w:val="20"/>
              </w:rPr>
              <w:t>Reactive</w:t>
            </w:r>
            <w:r w:rsidR="00E35EE8" w:rsidRPr="004C78D8">
              <w:rPr>
                <w:b/>
                <w:bCs/>
                <w:sz w:val="20"/>
                <w:szCs w:val="20"/>
              </w:rPr>
              <w:t>-</w:t>
            </w:r>
            <w:r w:rsidRPr="004C78D8">
              <w:rPr>
                <w:b/>
                <w:bCs/>
                <w:sz w:val="20"/>
                <w:szCs w:val="20"/>
              </w:rPr>
              <w:t>Self-referred pathways vs. UC</w:t>
            </w:r>
          </w:p>
        </w:tc>
        <w:tc>
          <w:tcPr>
            <w:tcW w:w="1119" w:type="pct"/>
            <w:vAlign w:val="bottom"/>
          </w:tcPr>
          <w:p w14:paraId="6720D710" w14:textId="38171DC3" w:rsidR="00C17E93" w:rsidRPr="004C78D8" w:rsidRDefault="00C17E93" w:rsidP="00FB7C1F">
            <w:pPr>
              <w:jc w:val="left"/>
              <w:rPr>
                <w:b/>
                <w:bCs/>
                <w:sz w:val="20"/>
                <w:szCs w:val="20"/>
              </w:rPr>
            </w:pPr>
            <w:r w:rsidRPr="004C78D8">
              <w:rPr>
                <w:b/>
                <w:bCs/>
                <w:sz w:val="20"/>
                <w:szCs w:val="20"/>
              </w:rPr>
              <w:t>Proactive</w:t>
            </w:r>
            <w:r w:rsidR="00E35EE8" w:rsidRPr="004C78D8">
              <w:rPr>
                <w:b/>
                <w:bCs/>
                <w:sz w:val="20"/>
                <w:szCs w:val="20"/>
              </w:rPr>
              <w:t>-</w:t>
            </w:r>
            <w:r w:rsidRPr="004C78D8">
              <w:rPr>
                <w:b/>
                <w:bCs/>
                <w:sz w:val="20"/>
                <w:szCs w:val="20"/>
              </w:rPr>
              <w:t>Self-referred pathways vs. UC</w:t>
            </w:r>
          </w:p>
        </w:tc>
      </w:tr>
      <w:tr w:rsidR="00C17E93" w:rsidRPr="004C78D8" w14:paraId="063D7A42" w14:textId="77777777" w:rsidTr="00E35893">
        <w:tc>
          <w:tcPr>
            <w:tcW w:w="1723" w:type="pct"/>
            <w:tcBorders>
              <w:bottom w:val="single" w:sz="4" w:space="0" w:color="auto"/>
            </w:tcBorders>
          </w:tcPr>
          <w:p w14:paraId="59616738" w14:textId="68695917" w:rsidR="00C17E93" w:rsidRPr="004C78D8" w:rsidRDefault="00C17E93" w:rsidP="00FB7C1F">
            <w:pPr>
              <w:jc w:val="left"/>
              <w:rPr>
                <w:sz w:val="20"/>
                <w:szCs w:val="20"/>
              </w:rPr>
            </w:pPr>
            <w:r w:rsidRPr="004C78D8">
              <w:rPr>
                <w:sz w:val="20"/>
                <w:szCs w:val="20"/>
              </w:rPr>
              <w:t>(1) Incremental no-aversion mean</w:t>
            </w:r>
            <w:r w:rsidRPr="004C78D8">
              <w:rPr>
                <w:sz w:val="20"/>
                <w:szCs w:val="20"/>
                <w:vertAlign w:val="superscript"/>
              </w:rPr>
              <w:t>2</w:t>
            </w:r>
          </w:p>
        </w:tc>
        <w:tc>
          <w:tcPr>
            <w:tcW w:w="1101" w:type="pct"/>
            <w:tcBorders>
              <w:bottom w:val="single" w:sz="4" w:space="0" w:color="auto"/>
            </w:tcBorders>
          </w:tcPr>
          <w:p w14:paraId="08C1B254" w14:textId="0DF8AA78" w:rsidR="00C17E93" w:rsidRPr="004C78D8" w:rsidRDefault="00C17E93" w:rsidP="00FB7C1F">
            <w:pPr>
              <w:jc w:val="left"/>
              <w:rPr>
                <w:sz w:val="20"/>
                <w:szCs w:val="20"/>
              </w:rPr>
            </w:pPr>
            <w:r w:rsidRPr="004C78D8">
              <w:rPr>
                <w:sz w:val="20"/>
                <w:szCs w:val="20"/>
              </w:rPr>
              <w:t>0.0151</w:t>
            </w:r>
          </w:p>
        </w:tc>
        <w:tc>
          <w:tcPr>
            <w:tcW w:w="1057" w:type="pct"/>
            <w:tcBorders>
              <w:bottom w:val="single" w:sz="4" w:space="0" w:color="auto"/>
            </w:tcBorders>
          </w:tcPr>
          <w:p w14:paraId="09E2F1F9" w14:textId="490EF348" w:rsidR="00C17E93" w:rsidRPr="004C78D8" w:rsidRDefault="00C17E93" w:rsidP="00FB7C1F">
            <w:pPr>
              <w:jc w:val="left"/>
              <w:rPr>
                <w:sz w:val="20"/>
                <w:szCs w:val="20"/>
              </w:rPr>
            </w:pPr>
            <w:r w:rsidRPr="004C78D8">
              <w:rPr>
                <w:sz w:val="20"/>
                <w:szCs w:val="20"/>
              </w:rPr>
              <w:t>0.0282</w:t>
            </w:r>
          </w:p>
        </w:tc>
        <w:tc>
          <w:tcPr>
            <w:tcW w:w="1119" w:type="pct"/>
            <w:tcBorders>
              <w:bottom w:val="single" w:sz="4" w:space="0" w:color="auto"/>
            </w:tcBorders>
          </w:tcPr>
          <w:p w14:paraId="62698C6F" w14:textId="0ED049BD" w:rsidR="00C17E93" w:rsidRPr="004C78D8" w:rsidRDefault="00C17E93" w:rsidP="00FB7C1F">
            <w:pPr>
              <w:jc w:val="left"/>
              <w:rPr>
                <w:sz w:val="20"/>
                <w:szCs w:val="20"/>
              </w:rPr>
            </w:pPr>
            <w:r w:rsidRPr="004C78D8">
              <w:rPr>
                <w:sz w:val="20"/>
                <w:szCs w:val="20"/>
              </w:rPr>
              <w:t>0.0258</w:t>
            </w:r>
          </w:p>
        </w:tc>
      </w:tr>
      <w:tr w:rsidR="00C17E93" w:rsidRPr="004C78D8" w14:paraId="75325651" w14:textId="77777777" w:rsidTr="00E35893">
        <w:tc>
          <w:tcPr>
            <w:tcW w:w="1723" w:type="pct"/>
            <w:tcBorders>
              <w:bottom w:val="nil"/>
            </w:tcBorders>
          </w:tcPr>
          <w:p w14:paraId="7F87FA15" w14:textId="08B5D329" w:rsidR="00C17E93" w:rsidRPr="004C78D8" w:rsidRDefault="00C17E93" w:rsidP="00FB7C1F">
            <w:pPr>
              <w:jc w:val="left"/>
              <w:rPr>
                <w:sz w:val="20"/>
                <w:szCs w:val="20"/>
              </w:rPr>
            </w:pPr>
            <w:r w:rsidRPr="004C78D8">
              <w:rPr>
                <w:sz w:val="20"/>
                <w:szCs w:val="20"/>
              </w:rPr>
              <w:t>(2) Atkinson EDE INHB (</w:t>
            </w:r>
            <w:r w:rsidRPr="004C78D8">
              <w:rPr>
                <w:rFonts w:cs="Times New Roman"/>
                <w:sz w:val="20"/>
                <w:szCs w:val="20"/>
              </w:rPr>
              <w:t>ε</w:t>
            </w:r>
            <w:r w:rsidRPr="004C78D8">
              <w:rPr>
                <w:sz w:val="20"/>
                <w:szCs w:val="20"/>
              </w:rPr>
              <w:t>=30)</w:t>
            </w:r>
          </w:p>
        </w:tc>
        <w:tc>
          <w:tcPr>
            <w:tcW w:w="1101" w:type="pct"/>
            <w:tcBorders>
              <w:bottom w:val="nil"/>
            </w:tcBorders>
          </w:tcPr>
          <w:p w14:paraId="1E91FC1B" w14:textId="5092138D" w:rsidR="00C17E93" w:rsidRPr="004C78D8" w:rsidRDefault="00C17E93" w:rsidP="00FB7C1F">
            <w:pPr>
              <w:jc w:val="left"/>
              <w:rPr>
                <w:sz w:val="20"/>
                <w:szCs w:val="20"/>
              </w:rPr>
            </w:pPr>
            <w:r w:rsidRPr="004C78D8">
              <w:rPr>
                <w:sz w:val="20"/>
                <w:szCs w:val="20"/>
              </w:rPr>
              <w:t>0.0188</w:t>
            </w:r>
          </w:p>
        </w:tc>
        <w:tc>
          <w:tcPr>
            <w:tcW w:w="1057" w:type="pct"/>
            <w:tcBorders>
              <w:bottom w:val="nil"/>
            </w:tcBorders>
          </w:tcPr>
          <w:p w14:paraId="618150AD" w14:textId="74A451E1" w:rsidR="00C17E93" w:rsidRPr="004C78D8" w:rsidRDefault="00C17E93" w:rsidP="00FB7C1F">
            <w:pPr>
              <w:jc w:val="left"/>
              <w:rPr>
                <w:sz w:val="20"/>
                <w:szCs w:val="20"/>
              </w:rPr>
            </w:pPr>
            <w:r w:rsidRPr="004C78D8">
              <w:rPr>
                <w:sz w:val="20"/>
                <w:szCs w:val="20"/>
              </w:rPr>
              <w:t>0.0284</w:t>
            </w:r>
          </w:p>
        </w:tc>
        <w:tc>
          <w:tcPr>
            <w:tcW w:w="1119" w:type="pct"/>
            <w:tcBorders>
              <w:bottom w:val="nil"/>
            </w:tcBorders>
          </w:tcPr>
          <w:p w14:paraId="3900F7E1" w14:textId="6E8ACC8A" w:rsidR="00C17E93" w:rsidRPr="004C78D8" w:rsidRDefault="00C17E93" w:rsidP="00FB7C1F">
            <w:pPr>
              <w:jc w:val="left"/>
              <w:rPr>
                <w:sz w:val="20"/>
                <w:szCs w:val="20"/>
              </w:rPr>
            </w:pPr>
            <w:r w:rsidRPr="004C78D8">
              <w:rPr>
                <w:sz w:val="20"/>
                <w:szCs w:val="20"/>
              </w:rPr>
              <w:t>0.0259</w:t>
            </w:r>
          </w:p>
        </w:tc>
      </w:tr>
      <w:tr w:rsidR="00C17E93" w:rsidRPr="004C78D8" w14:paraId="31AF9ADD" w14:textId="77777777" w:rsidTr="00E35893">
        <w:tc>
          <w:tcPr>
            <w:tcW w:w="1723" w:type="pct"/>
            <w:tcBorders>
              <w:top w:val="nil"/>
              <w:bottom w:val="single" w:sz="4" w:space="0" w:color="auto"/>
            </w:tcBorders>
          </w:tcPr>
          <w:p w14:paraId="27264AA0" w14:textId="3E002C03" w:rsidR="00C17E93" w:rsidRPr="004C78D8" w:rsidRDefault="00C17E93" w:rsidP="00FB7C1F">
            <w:pPr>
              <w:jc w:val="right"/>
              <w:rPr>
                <w:i/>
                <w:iCs/>
                <w:sz w:val="20"/>
                <w:szCs w:val="20"/>
              </w:rPr>
            </w:pPr>
            <w:r w:rsidRPr="004C78D8">
              <w:rPr>
                <w:i/>
                <w:iCs/>
                <w:sz w:val="20"/>
                <w:szCs w:val="20"/>
              </w:rPr>
              <w:t>Proportion of (2) relative to (1)</w:t>
            </w:r>
          </w:p>
        </w:tc>
        <w:tc>
          <w:tcPr>
            <w:tcW w:w="1101" w:type="pct"/>
            <w:tcBorders>
              <w:top w:val="nil"/>
              <w:bottom w:val="single" w:sz="4" w:space="0" w:color="auto"/>
            </w:tcBorders>
          </w:tcPr>
          <w:p w14:paraId="0309B6DE" w14:textId="5705177B" w:rsidR="00C17E93" w:rsidRPr="004C78D8" w:rsidRDefault="00C17E93" w:rsidP="00FB7C1F">
            <w:pPr>
              <w:jc w:val="left"/>
              <w:rPr>
                <w:i/>
                <w:iCs/>
                <w:sz w:val="20"/>
                <w:szCs w:val="20"/>
              </w:rPr>
            </w:pPr>
            <w:r w:rsidRPr="004C78D8">
              <w:rPr>
                <w:i/>
                <w:iCs/>
                <w:sz w:val="20"/>
                <w:szCs w:val="20"/>
              </w:rPr>
              <w:t>1.2446</w:t>
            </w:r>
          </w:p>
        </w:tc>
        <w:tc>
          <w:tcPr>
            <w:tcW w:w="1057" w:type="pct"/>
            <w:tcBorders>
              <w:top w:val="nil"/>
              <w:bottom w:val="single" w:sz="4" w:space="0" w:color="auto"/>
            </w:tcBorders>
          </w:tcPr>
          <w:p w14:paraId="26B914DA" w14:textId="7CE057B7" w:rsidR="00C17E93" w:rsidRPr="004C78D8" w:rsidRDefault="00C17E93" w:rsidP="00FB7C1F">
            <w:pPr>
              <w:jc w:val="left"/>
              <w:rPr>
                <w:i/>
                <w:iCs/>
                <w:sz w:val="20"/>
                <w:szCs w:val="20"/>
              </w:rPr>
            </w:pPr>
            <w:r w:rsidRPr="004C78D8">
              <w:rPr>
                <w:i/>
                <w:iCs/>
                <w:sz w:val="20"/>
                <w:szCs w:val="20"/>
              </w:rPr>
              <w:t>1.0056</w:t>
            </w:r>
          </w:p>
        </w:tc>
        <w:tc>
          <w:tcPr>
            <w:tcW w:w="1119" w:type="pct"/>
            <w:tcBorders>
              <w:top w:val="nil"/>
              <w:bottom w:val="single" w:sz="4" w:space="0" w:color="auto"/>
            </w:tcBorders>
          </w:tcPr>
          <w:p w14:paraId="2561BD80" w14:textId="486F5D43" w:rsidR="00C17E93" w:rsidRPr="004C78D8" w:rsidRDefault="00C17E93" w:rsidP="00FB7C1F">
            <w:pPr>
              <w:jc w:val="left"/>
              <w:rPr>
                <w:i/>
                <w:iCs/>
                <w:sz w:val="20"/>
                <w:szCs w:val="20"/>
              </w:rPr>
            </w:pPr>
            <w:r w:rsidRPr="004C78D8">
              <w:rPr>
                <w:i/>
                <w:iCs/>
                <w:sz w:val="20"/>
                <w:szCs w:val="20"/>
              </w:rPr>
              <w:t>1.0047</w:t>
            </w:r>
          </w:p>
        </w:tc>
      </w:tr>
      <w:tr w:rsidR="00C17E93" w:rsidRPr="004C78D8" w14:paraId="2B8A9EB1" w14:textId="77777777" w:rsidTr="00E35893">
        <w:tc>
          <w:tcPr>
            <w:tcW w:w="1723" w:type="pct"/>
            <w:tcBorders>
              <w:bottom w:val="nil"/>
            </w:tcBorders>
          </w:tcPr>
          <w:p w14:paraId="38D4CF13" w14:textId="09257892" w:rsidR="00C17E93" w:rsidRPr="004C78D8" w:rsidRDefault="00C17E93" w:rsidP="00FB7C1F">
            <w:pPr>
              <w:jc w:val="left"/>
              <w:rPr>
                <w:sz w:val="20"/>
                <w:szCs w:val="20"/>
              </w:rPr>
            </w:pPr>
            <w:r w:rsidRPr="004C78D8">
              <w:rPr>
                <w:sz w:val="20"/>
                <w:szCs w:val="20"/>
              </w:rPr>
              <w:t>(3) Kolm EDE INHB (</w:t>
            </w:r>
            <w:r w:rsidRPr="004C78D8">
              <w:rPr>
                <w:rFonts w:cs="Times New Roman"/>
                <w:sz w:val="20"/>
                <w:szCs w:val="20"/>
              </w:rPr>
              <w:t>α</w:t>
            </w:r>
            <w:r w:rsidRPr="004C78D8">
              <w:rPr>
                <w:sz w:val="20"/>
                <w:szCs w:val="20"/>
              </w:rPr>
              <w:t>=0.5)</w:t>
            </w:r>
          </w:p>
        </w:tc>
        <w:tc>
          <w:tcPr>
            <w:tcW w:w="1101" w:type="pct"/>
            <w:tcBorders>
              <w:bottom w:val="nil"/>
            </w:tcBorders>
          </w:tcPr>
          <w:p w14:paraId="5718EDFB" w14:textId="081E571A" w:rsidR="00C17E93" w:rsidRPr="004C78D8" w:rsidRDefault="00C17E93" w:rsidP="00FB7C1F">
            <w:pPr>
              <w:jc w:val="left"/>
              <w:rPr>
                <w:sz w:val="20"/>
                <w:szCs w:val="20"/>
              </w:rPr>
            </w:pPr>
            <w:r w:rsidRPr="004C78D8">
              <w:rPr>
                <w:sz w:val="20"/>
                <w:szCs w:val="20"/>
              </w:rPr>
              <w:t>0.0159</w:t>
            </w:r>
          </w:p>
        </w:tc>
        <w:tc>
          <w:tcPr>
            <w:tcW w:w="1057" w:type="pct"/>
            <w:tcBorders>
              <w:bottom w:val="nil"/>
            </w:tcBorders>
          </w:tcPr>
          <w:p w14:paraId="726EAD77" w14:textId="4F3DA45A" w:rsidR="00C17E93" w:rsidRPr="004C78D8" w:rsidRDefault="00C17E93" w:rsidP="00FB7C1F">
            <w:pPr>
              <w:jc w:val="left"/>
              <w:rPr>
                <w:sz w:val="20"/>
                <w:szCs w:val="20"/>
              </w:rPr>
            </w:pPr>
            <w:r w:rsidRPr="004C78D8">
              <w:rPr>
                <w:sz w:val="20"/>
                <w:szCs w:val="20"/>
              </w:rPr>
              <w:t>0.0280</w:t>
            </w:r>
          </w:p>
        </w:tc>
        <w:tc>
          <w:tcPr>
            <w:tcW w:w="1119" w:type="pct"/>
            <w:tcBorders>
              <w:bottom w:val="nil"/>
            </w:tcBorders>
          </w:tcPr>
          <w:p w14:paraId="1B01B507" w14:textId="2FCEEBE3" w:rsidR="00C17E93" w:rsidRPr="004C78D8" w:rsidRDefault="00C17E93" w:rsidP="00FB7C1F">
            <w:pPr>
              <w:jc w:val="left"/>
              <w:rPr>
                <w:sz w:val="20"/>
                <w:szCs w:val="20"/>
              </w:rPr>
            </w:pPr>
            <w:r w:rsidRPr="004C78D8">
              <w:rPr>
                <w:sz w:val="20"/>
                <w:szCs w:val="20"/>
              </w:rPr>
              <w:t>0.0256</w:t>
            </w:r>
          </w:p>
        </w:tc>
      </w:tr>
      <w:tr w:rsidR="00C17E93" w:rsidRPr="004C78D8" w14:paraId="4630FB7A" w14:textId="77777777" w:rsidTr="00E35893">
        <w:tc>
          <w:tcPr>
            <w:tcW w:w="1723" w:type="pct"/>
            <w:tcBorders>
              <w:top w:val="nil"/>
            </w:tcBorders>
          </w:tcPr>
          <w:p w14:paraId="7FF6BB46" w14:textId="78721835" w:rsidR="00C17E93" w:rsidRPr="004C78D8" w:rsidRDefault="00C17E93" w:rsidP="00FB7C1F">
            <w:pPr>
              <w:jc w:val="right"/>
              <w:rPr>
                <w:i/>
                <w:iCs/>
                <w:sz w:val="20"/>
                <w:szCs w:val="20"/>
              </w:rPr>
            </w:pPr>
            <w:r w:rsidRPr="004C78D8">
              <w:rPr>
                <w:i/>
                <w:iCs/>
                <w:sz w:val="20"/>
                <w:szCs w:val="20"/>
              </w:rPr>
              <w:t>Proportion of (3) relative to (1)</w:t>
            </w:r>
          </w:p>
        </w:tc>
        <w:tc>
          <w:tcPr>
            <w:tcW w:w="1101" w:type="pct"/>
            <w:tcBorders>
              <w:top w:val="nil"/>
            </w:tcBorders>
          </w:tcPr>
          <w:p w14:paraId="377B5781" w14:textId="463DC13D" w:rsidR="00C17E93" w:rsidRPr="004C78D8" w:rsidRDefault="00C17E93" w:rsidP="00FB7C1F">
            <w:pPr>
              <w:jc w:val="left"/>
              <w:rPr>
                <w:i/>
                <w:iCs/>
                <w:sz w:val="20"/>
                <w:szCs w:val="20"/>
              </w:rPr>
            </w:pPr>
            <w:r w:rsidRPr="004C78D8">
              <w:rPr>
                <w:i/>
                <w:iCs/>
                <w:sz w:val="20"/>
                <w:szCs w:val="20"/>
              </w:rPr>
              <w:t>1.0526</w:t>
            </w:r>
          </w:p>
        </w:tc>
        <w:tc>
          <w:tcPr>
            <w:tcW w:w="1057" w:type="pct"/>
            <w:tcBorders>
              <w:top w:val="nil"/>
            </w:tcBorders>
          </w:tcPr>
          <w:p w14:paraId="11D8B912" w14:textId="56479C7A" w:rsidR="00C17E93" w:rsidRPr="004C78D8" w:rsidRDefault="00C17E93" w:rsidP="00FB7C1F">
            <w:pPr>
              <w:jc w:val="left"/>
              <w:rPr>
                <w:i/>
                <w:iCs/>
                <w:sz w:val="20"/>
                <w:szCs w:val="20"/>
              </w:rPr>
            </w:pPr>
            <w:r w:rsidRPr="004C78D8">
              <w:rPr>
                <w:i/>
                <w:iCs/>
                <w:sz w:val="20"/>
                <w:szCs w:val="20"/>
              </w:rPr>
              <w:t>0.9918</w:t>
            </w:r>
          </w:p>
        </w:tc>
        <w:tc>
          <w:tcPr>
            <w:tcW w:w="1119" w:type="pct"/>
            <w:tcBorders>
              <w:top w:val="nil"/>
            </w:tcBorders>
          </w:tcPr>
          <w:p w14:paraId="4240ACC6" w14:textId="3EC5EA3C" w:rsidR="00C17E93" w:rsidRPr="004C78D8" w:rsidRDefault="00C17E93" w:rsidP="00FB7C1F">
            <w:pPr>
              <w:jc w:val="left"/>
              <w:rPr>
                <w:i/>
                <w:iCs/>
                <w:sz w:val="20"/>
                <w:szCs w:val="20"/>
              </w:rPr>
            </w:pPr>
            <w:r w:rsidRPr="004C78D8">
              <w:rPr>
                <w:i/>
                <w:iCs/>
                <w:sz w:val="20"/>
                <w:szCs w:val="20"/>
              </w:rPr>
              <w:t>0.9943</w:t>
            </w:r>
          </w:p>
        </w:tc>
      </w:tr>
      <w:tr w:rsidR="0029100F" w:rsidRPr="004C78D8" w14:paraId="0C66588A" w14:textId="77777777" w:rsidTr="00E35893">
        <w:tc>
          <w:tcPr>
            <w:tcW w:w="5000" w:type="pct"/>
            <w:gridSpan w:val="4"/>
          </w:tcPr>
          <w:p w14:paraId="67D899FB" w14:textId="77777777" w:rsidR="00C17E93" w:rsidRPr="004C78D8" w:rsidRDefault="00C17E93" w:rsidP="00FB7C1F">
            <w:pPr>
              <w:rPr>
                <w:sz w:val="18"/>
                <w:szCs w:val="18"/>
              </w:rPr>
            </w:pPr>
            <w:r w:rsidRPr="004C78D8">
              <w:rPr>
                <w:b/>
                <w:bCs/>
                <w:sz w:val="18"/>
                <w:szCs w:val="18"/>
              </w:rPr>
              <w:t>Abbreviation:</w:t>
            </w:r>
            <w:r w:rsidRPr="004C78D8">
              <w:rPr>
                <w:sz w:val="18"/>
                <w:szCs w:val="18"/>
              </w:rPr>
              <w:t xml:space="preserve"> EDE: equally distributed equivalent; INHB: incremental net health benefit; QALY: quality-adjusted life year; SES: socioeconomic status; UC: usual care.</w:t>
            </w:r>
          </w:p>
          <w:p w14:paraId="7B9830CF" w14:textId="05F8C717" w:rsidR="00C17E93" w:rsidRPr="004C78D8" w:rsidRDefault="00C17E93" w:rsidP="00FB7C1F">
            <w:pPr>
              <w:rPr>
                <w:sz w:val="18"/>
                <w:szCs w:val="18"/>
              </w:rPr>
            </w:pPr>
            <w:r w:rsidRPr="004C78D8">
              <w:rPr>
                <w:sz w:val="18"/>
                <w:szCs w:val="18"/>
                <w:vertAlign w:val="superscript"/>
              </w:rPr>
              <w:t>1</w:t>
            </w:r>
            <w:r w:rsidRPr="004C78D8">
              <w:rPr>
                <w:sz w:val="18"/>
                <w:szCs w:val="18"/>
              </w:rPr>
              <w:t xml:space="preserve"> The societal NHB incorporates QALY gain and QALY-equivalent net societal gain minus public sector opportunity costs (translated to QALY-equivalent using cost-effectiveness threshold of £30,000 per QALY gain</w:t>
            </w:r>
            <w:r w:rsidR="004C6405" w:rsidRPr="004C78D8">
              <w:rPr>
                <w:sz w:val="18"/>
                <w:szCs w:val="18"/>
              </w:rPr>
              <w:t>ed</w:t>
            </w:r>
            <w:r w:rsidRPr="004C78D8">
              <w:rPr>
                <w:sz w:val="18"/>
                <w:szCs w:val="18"/>
              </w:rPr>
              <w:t>) for each SES quartile. The incremental NHB (INHB) is measured relative to UC.</w:t>
            </w:r>
          </w:p>
          <w:p w14:paraId="1AD8DB6B" w14:textId="5B4C3E05" w:rsidR="00827F6C" w:rsidRPr="004C78D8" w:rsidRDefault="00C17E93" w:rsidP="00FB7C1F">
            <w:pPr>
              <w:rPr>
                <w:sz w:val="18"/>
                <w:szCs w:val="18"/>
              </w:rPr>
            </w:pPr>
            <w:r w:rsidRPr="004C78D8">
              <w:rPr>
                <w:sz w:val="18"/>
                <w:szCs w:val="18"/>
                <w:vertAlign w:val="superscript"/>
              </w:rPr>
              <w:t>2</w:t>
            </w:r>
            <w:r w:rsidRPr="004C78D8">
              <w:rPr>
                <w:sz w:val="18"/>
                <w:szCs w:val="18"/>
              </w:rPr>
              <w:t xml:space="preserve"> This is the EDE INHB when Atkinson </w:t>
            </w:r>
            <w:r w:rsidRPr="004C78D8">
              <w:rPr>
                <w:rFonts w:cs="Times New Roman"/>
                <w:sz w:val="18"/>
                <w:szCs w:val="18"/>
              </w:rPr>
              <w:t>ε</w:t>
            </w:r>
            <w:r w:rsidRPr="004C78D8">
              <w:rPr>
                <w:sz w:val="18"/>
                <w:szCs w:val="18"/>
              </w:rPr>
              <w:t xml:space="preserve">=0 </w:t>
            </w:r>
            <w:r w:rsidRPr="004C78D8">
              <w:rPr>
                <w:sz w:val="18"/>
                <w:szCs w:val="18"/>
              </w:rPr>
              <w:fldChar w:fldCharType="begin"/>
            </w:r>
            <w:r w:rsidR="00513646" w:rsidRPr="004C78D8">
              <w:rPr>
                <w:sz w:val="18"/>
                <w:szCs w:val="18"/>
              </w:rPr>
              <w:instrText xml:space="preserve"> ADDIN EN.CITE &lt;EndNote&gt;&lt;Cite&gt;&lt;Author&gt;Asaria&lt;/Author&gt;&lt;Year&gt;2016&lt;/Year&gt;&lt;RecNum&gt;361&lt;/RecNum&gt;&lt;DisplayText&gt;[109]&lt;/DisplayText&gt;&lt;record&gt;&lt;rec-number&gt;361&lt;/rec-number&gt;&lt;foreign-keys&gt;&lt;key app="EN" db-id="tdtrdw9aepptzbefsat599syza29sxsd2wsp" timestamp="1612265402"&gt;361&lt;/key&gt;&lt;/foreign-keys&gt;&lt;ref-type name="Journal Article"&gt;17&lt;/ref-type&gt;&lt;contributors&gt;&lt;authors&gt;&lt;author&gt;Asaria, Miqdad&lt;/author&gt;&lt;author&gt;Griffin, Susan&lt;/author&gt;&lt;author&gt;Cookson, Richard&lt;/author&gt;&lt;/authors&gt;&lt;/contributors&gt;&lt;titles&gt;&lt;title&gt;Distributional Cost-Effectiveness Analysis: A Tutorial&lt;/title&gt;&lt;secondary-title&gt;Medical decision making&lt;/secondary-title&gt;&lt;/titles&gt;&lt;periodical&gt;&lt;full-title&gt;Medical Decision Making&lt;/full-title&gt;&lt;/periodical&gt;&lt;pages&gt;8-19&lt;/pages&gt;&lt;volume&gt;36&lt;/volume&gt;&lt;number&gt;1&lt;/number&gt;&lt;keywords&gt;&lt;keyword&gt;cost-effectiveness analysis&lt;/keyword&gt;&lt;keyword&gt;economic evaluation&lt;/keyword&gt;&lt;keyword&gt;efficiency&lt;/keyword&gt;&lt;keyword&gt;equality&lt;/keyword&gt;&lt;keyword&gt;equity&lt;/keyword&gt;&lt;keyword&gt;fairness&lt;/keyword&gt;&lt;keyword&gt;health distribution&lt;/keyword&gt;&lt;keyword&gt;health inequality&lt;/keyword&gt;&lt;keyword&gt;inequality measures&lt;/keyword&gt;&lt;keyword&gt;opportunity cost&lt;/keyword&gt;&lt;keyword&gt;social value judgments&lt;/keyword&gt;&lt;keyword&gt;social welfare functions&lt;/keyword&gt;&lt;keyword&gt;tradeoff&lt;/keyword&gt;&lt;/keywords&gt;&lt;dates&gt;&lt;year&gt;2016&lt;/year&gt;&lt;pub-dates&gt;&lt;date&gt;1/1&lt;/date&gt;&lt;/pub-dates&gt;&lt;/dates&gt;&lt;isbn&gt;0272-989X&lt;/isbn&gt;&lt;work-type&gt;Article&lt;/work-type&gt;&lt;urls&gt;&lt;related-urls&gt;&lt;url&gt;http://www.scopus.com/inward/record.url?scp=84950117843&amp;amp;partnerID=8YFLogxK&lt;/url&gt;&lt;/related-urls&gt;&lt;/urls&gt;&lt;electronic-resource-num&gt;10.1177/0272989X15583266&lt;/electronic-resource-num&gt;&lt;/record&gt;&lt;/Cite&gt;&lt;/EndNote&gt;</w:instrText>
            </w:r>
            <w:r w:rsidRPr="004C78D8">
              <w:rPr>
                <w:sz w:val="18"/>
                <w:szCs w:val="18"/>
              </w:rPr>
              <w:fldChar w:fldCharType="separate"/>
            </w:r>
            <w:r w:rsidR="00513646" w:rsidRPr="004C78D8">
              <w:rPr>
                <w:noProof/>
                <w:sz w:val="18"/>
                <w:szCs w:val="18"/>
              </w:rPr>
              <w:t>[109]</w:t>
            </w:r>
            <w:r w:rsidRPr="004C78D8">
              <w:rPr>
                <w:sz w:val="18"/>
                <w:szCs w:val="18"/>
              </w:rPr>
              <w:fldChar w:fldCharType="end"/>
            </w:r>
            <w:r w:rsidRPr="004C78D8">
              <w:rPr>
                <w:sz w:val="18"/>
                <w:szCs w:val="18"/>
              </w:rPr>
              <w:t>.</w:t>
            </w:r>
          </w:p>
        </w:tc>
      </w:tr>
    </w:tbl>
    <w:p w14:paraId="22C84CA8" w14:textId="7931930F" w:rsidR="0029100F" w:rsidRPr="004C78D8" w:rsidRDefault="0029100F" w:rsidP="00FB7C1F"/>
    <w:p w14:paraId="4C4F4915" w14:textId="20A6B9C7" w:rsidR="005D09DE" w:rsidRPr="004C78D8" w:rsidRDefault="004239A6" w:rsidP="00FB7C1F">
      <w:pPr>
        <w:pStyle w:val="Heading4"/>
      </w:pPr>
      <w:r w:rsidRPr="004C78D8">
        <w:t>6</w:t>
      </w:r>
      <w:r w:rsidR="005D09DE" w:rsidRPr="004C78D8">
        <w:t>.</w:t>
      </w:r>
      <w:r w:rsidR="00D507CD" w:rsidRPr="004C78D8">
        <w:t>3</w:t>
      </w:r>
      <w:r w:rsidR="005D09DE" w:rsidRPr="004C78D8">
        <w:t>.</w:t>
      </w:r>
      <w:r w:rsidRPr="004C78D8">
        <w:t>1</w:t>
      </w:r>
      <w:r w:rsidR="005D09DE" w:rsidRPr="004C78D8">
        <w:t>.</w:t>
      </w:r>
      <w:r w:rsidR="002055BD" w:rsidRPr="004C78D8">
        <w:t>2</w:t>
      </w:r>
      <w:r w:rsidR="005D09DE" w:rsidRPr="004C78D8">
        <w:t xml:space="preserve"> Capacity constraint and targeting strategies</w:t>
      </w:r>
    </w:p>
    <w:p w14:paraId="0C362C55" w14:textId="261AE157" w:rsidR="002C0C0C" w:rsidRPr="004C78D8" w:rsidRDefault="008A30A9" w:rsidP="00FB7C1F">
      <w:r w:rsidRPr="004C78D8">
        <w:t xml:space="preserve">Table </w:t>
      </w:r>
      <w:r w:rsidR="00C11FB0" w:rsidRPr="004C78D8">
        <w:t>6</w:t>
      </w:r>
      <w:r w:rsidRPr="004C78D8">
        <w:t>.</w:t>
      </w:r>
      <w:r w:rsidR="00C11FB0" w:rsidRPr="004C78D8">
        <w:t>11</w:t>
      </w:r>
      <w:r w:rsidRPr="004C78D8">
        <w:t xml:space="preserve"> </w:t>
      </w:r>
      <w:r w:rsidR="009E4AC6" w:rsidRPr="004C78D8">
        <w:t>shows</w:t>
      </w:r>
      <w:r w:rsidRPr="004C78D8">
        <w:t xml:space="preserve"> the result</w:t>
      </w:r>
      <w:r w:rsidR="009E4AC6" w:rsidRPr="004C78D8">
        <w:t>s</w:t>
      </w:r>
      <w:r w:rsidRPr="004C78D8">
        <w:t xml:space="preserve"> of 40-year societal CUA where </w:t>
      </w:r>
      <w:r w:rsidR="009E4AC6" w:rsidRPr="004C78D8">
        <w:t xml:space="preserve">different targeting/allocation mechanisms under </w:t>
      </w:r>
      <w:r w:rsidR="00057A99" w:rsidRPr="004C78D8">
        <w:t>constrained recommended care (</w:t>
      </w:r>
      <w:r w:rsidRPr="004C78D8">
        <w:t>CRC</w:t>
      </w:r>
      <w:r w:rsidR="00057A99" w:rsidRPr="004C78D8">
        <w:t>)</w:t>
      </w:r>
      <w:r w:rsidRPr="004C78D8">
        <w:t xml:space="preserve"> </w:t>
      </w:r>
      <w:r w:rsidR="009E4AC6" w:rsidRPr="004C78D8">
        <w:t>are</w:t>
      </w:r>
      <w:r w:rsidRPr="004C78D8">
        <w:t xml:space="preserve"> compared to UC. </w:t>
      </w:r>
      <w:r w:rsidR="00E1333D" w:rsidRPr="004C78D8">
        <w:t>The annual intervention use figures show that the capacity constraints were binding in all cases except for falls clinic use under scenario (2). In (4), the predicted falls risk level at which persons were referred to intervention (</w:t>
      </w:r>
      <w:r w:rsidR="00E1333D" w:rsidRPr="004C78D8">
        <w:rPr>
          <w:rFonts w:cs="Times New Roman"/>
        </w:rPr>
        <w:t>≥</w:t>
      </w:r>
      <w:r w:rsidR="00E1333D" w:rsidRPr="004C78D8">
        <w:t xml:space="preserve">60%) was deliberately set such that the falls clinic use remained just below the 9,000 annual capacity. </w:t>
      </w:r>
    </w:p>
    <w:tbl>
      <w:tblPr>
        <w:tblStyle w:val="TableGrid"/>
        <w:tblW w:w="5000" w:type="pct"/>
        <w:tblLook w:val="04A0" w:firstRow="1" w:lastRow="0" w:firstColumn="1" w:lastColumn="0" w:noHBand="0" w:noVBand="1"/>
      </w:tblPr>
      <w:tblGrid>
        <w:gridCol w:w="2147"/>
        <w:gridCol w:w="1715"/>
        <w:gridCol w:w="1720"/>
        <w:gridCol w:w="1717"/>
        <w:gridCol w:w="1717"/>
      </w:tblGrid>
      <w:tr w:rsidR="00B5076E" w:rsidRPr="004C78D8" w14:paraId="1935F87A" w14:textId="77777777" w:rsidTr="00E35893">
        <w:tc>
          <w:tcPr>
            <w:tcW w:w="5000" w:type="pct"/>
            <w:gridSpan w:val="5"/>
          </w:tcPr>
          <w:p w14:paraId="56691ACC" w14:textId="4FF33D4F" w:rsidR="00B5076E" w:rsidRPr="004C78D8" w:rsidRDefault="00B5076E" w:rsidP="00FB7C1F">
            <w:pPr>
              <w:jc w:val="left"/>
            </w:pPr>
            <w:r w:rsidRPr="004C78D8">
              <w:rPr>
                <w:b/>
                <w:bCs/>
              </w:rPr>
              <w:t xml:space="preserve">Table </w:t>
            </w:r>
            <w:r w:rsidR="00C11FB0" w:rsidRPr="004C78D8">
              <w:rPr>
                <w:b/>
                <w:bCs/>
              </w:rPr>
              <w:t>6</w:t>
            </w:r>
            <w:r w:rsidRPr="004C78D8">
              <w:rPr>
                <w:b/>
                <w:bCs/>
              </w:rPr>
              <w:t>.</w:t>
            </w:r>
            <w:r w:rsidR="00C11FB0" w:rsidRPr="004C78D8">
              <w:rPr>
                <w:b/>
                <w:bCs/>
              </w:rPr>
              <w:t>11</w:t>
            </w:r>
            <w:r w:rsidRPr="004C78D8">
              <w:t xml:space="preserve"> Scenarios of constrained recommended care with different targeting strategies </w:t>
            </w:r>
            <w:r w:rsidR="00885746" w:rsidRPr="004C78D8">
              <w:t>relative to</w:t>
            </w:r>
            <w:r w:rsidRPr="004C78D8">
              <w:t xml:space="preserve"> usual care for 40-year societal cost-utility analysis.</w:t>
            </w:r>
          </w:p>
        </w:tc>
      </w:tr>
      <w:tr w:rsidR="00B5076E" w:rsidRPr="004C78D8" w14:paraId="6F135E7B" w14:textId="77777777" w:rsidTr="00E35893">
        <w:trPr>
          <w:trHeight w:val="173"/>
        </w:trPr>
        <w:tc>
          <w:tcPr>
            <w:tcW w:w="1191" w:type="pct"/>
            <w:vMerge w:val="restart"/>
            <w:vAlign w:val="bottom"/>
          </w:tcPr>
          <w:p w14:paraId="69C9A802" w14:textId="3BBF7BC7" w:rsidR="00B5076E" w:rsidRPr="004C78D8" w:rsidRDefault="00B5076E" w:rsidP="00FB7C1F">
            <w:pPr>
              <w:jc w:val="left"/>
              <w:rPr>
                <w:sz w:val="20"/>
                <w:szCs w:val="20"/>
              </w:rPr>
            </w:pPr>
            <w:r w:rsidRPr="004C78D8">
              <w:rPr>
                <w:sz w:val="20"/>
                <w:szCs w:val="20"/>
              </w:rPr>
              <w:t>N=385,192</w:t>
            </w:r>
          </w:p>
        </w:tc>
        <w:tc>
          <w:tcPr>
            <w:tcW w:w="3809" w:type="pct"/>
            <w:gridSpan w:val="4"/>
          </w:tcPr>
          <w:p w14:paraId="3EF24379" w14:textId="471FED9D" w:rsidR="00B5076E" w:rsidRPr="004C78D8" w:rsidRDefault="00B5076E" w:rsidP="00FB7C1F">
            <w:pPr>
              <w:jc w:val="center"/>
              <w:rPr>
                <w:b/>
                <w:bCs/>
                <w:sz w:val="20"/>
                <w:szCs w:val="20"/>
              </w:rPr>
            </w:pPr>
            <w:r w:rsidRPr="004C78D8">
              <w:rPr>
                <w:b/>
                <w:bCs/>
                <w:sz w:val="20"/>
                <w:szCs w:val="20"/>
              </w:rPr>
              <w:t>Targeting/allocation strategies under constrained recommended care</w:t>
            </w:r>
          </w:p>
        </w:tc>
      </w:tr>
      <w:tr w:rsidR="00B5076E" w:rsidRPr="004C78D8" w14:paraId="4C705120" w14:textId="77777777" w:rsidTr="00E35893">
        <w:trPr>
          <w:trHeight w:val="456"/>
        </w:trPr>
        <w:tc>
          <w:tcPr>
            <w:tcW w:w="1191" w:type="pct"/>
            <w:vMerge/>
            <w:vAlign w:val="bottom"/>
          </w:tcPr>
          <w:p w14:paraId="468A172B" w14:textId="4EE82AD1" w:rsidR="00B5076E" w:rsidRPr="004C78D8" w:rsidRDefault="00B5076E" w:rsidP="00FB7C1F">
            <w:pPr>
              <w:jc w:val="left"/>
              <w:rPr>
                <w:sz w:val="20"/>
                <w:szCs w:val="20"/>
              </w:rPr>
            </w:pPr>
          </w:p>
        </w:tc>
        <w:tc>
          <w:tcPr>
            <w:tcW w:w="951" w:type="pct"/>
            <w:vAlign w:val="bottom"/>
          </w:tcPr>
          <w:p w14:paraId="28580616" w14:textId="1A3754A8" w:rsidR="00B5076E" w:rsidRPr="004C78D8" w:rsidRDefault="00E1333D" w:rsidP="00FB7C1F">
            <w:pPr>
              <w:jc w:val="left"/>
              <w:rPr>
                <w:b/>
                <w:bCs/>
                <w:sz w:val="20"/>
                <w:szCs w:val="20"/>
              </w:rPr>
            </w:pPr>
            <w:r w:rsidRPr="004C78D8">
              <w:rPr>
                <w:b/>
                <w:bCs/>
                <w:sz w:val="20"/>
                <w:szCs w:val="20"/>
              </w:rPr>
              <w:t xml:space="preserve">(1) </w:t>
            </w:r>
            <w:r w:rsidR="00B5076E" w:rsidRPr="004C78D8">
              <w:rPr>
                <w:b/>
                <w:bCs/>
                <w:sz w:val="20"/>
                <w:szCs w:val="20"/>
              </w:rPr>
              <w:t>Random allocation</w:t>
            </w:r>
          </w:p>
        </w:tc>
        <w:tc>
          <w:tcPr>
            <w:tcW w:w="954" w:type="pct"/>
            <w:vAlign w:val="bottom"/>
          </w:tcPr>
          <w:p w14:paraId="53EE4209" w14:textId="78A5EC8E" w:rsidR="00B5076E" w:rsidRPr="004C78D8" w:rsidRDefault="00E1333D" w:rsidP="00FB7C1F">
            <w:pPr>
              <w:jc w:val="left"/>
              <w:rPr>
                <w:b/>
                <w:bCs/>
                <w:sz w:val="20"/>
                <w:szCs w:val="20"/>
              </w:rPr>
            </w:pPr>
            <w:r w:rsidRPr="004C78D8">
              <w:rPr>
                <w:b/>
                <w:bCs/>
                <w:sz w:val="20"/>
                <w:szCs w:val="20"/>
              </w:rPr>
              <w:t xml:space="preserve">(2) </w:t>
            </w:r>
            <w:r w:rsidR="00B5076E" w:rsidRPr="004C78D8">
              <w:rPr>
                <w:b/>
                <w:bCs/>
                <w:sz w:val="20"/>
                <w:szCs w:val="20"/>
              </w:rPr>
              <w:t>No repeated intervention</w:t>
            </w:r>
          </w:p>
        </w:tc>
        <w:tc>
          <w:tcPr>
            <w:tcW w:w="952" w:type="pct"/>
            <w:vAlign w:val="bottom"/>
          </w:tcPr>
          <w:p w14:paraId="73ABE51F" w14:textId="7BF3D964" w:rsidR="00B5076E" w:rsidRPr="004C78D8" w:rsidRDefault="00E1333D" w:rsidP="00FB7C1F">
            <w:pPr>
              <w:jc w:val="left"/>
              <w:rPr>
                <w:b/>
                <w:bCs/>
                <w:sz w:val="20"/>
                <w:szCs w:val="20"/>
              </w:rPr>
            </w:pPr>
            <w:r w:rsidRPr="004C78D8">
              <w:rPr>
                <w:b/>
                <w:bCs/>
                <w:sz w:val="20"/>
                <w:szCs w:val="20"/>
              </w:rPr>
              <w:t xml:space="preserve">(3) </w:t>
            </w:r>
            <w:r w:rsidR="00B5076E" w:rsidRPr="004C78D8">
              <w:rPr>
                <w:b/>
                <w:bCs/>
                <w:sz w:val="20"/>
                <w:szCs w:val="20"/>
              </w:rPr>
              <w:t>Target moderate &amp; severe frailty</w:t>
            </w:r>
          </w:p>
        </w:tc>
        <w:tc>
          <w:tcPr>
            <w:tcW w:w="953" w:type="pct"/>
            <w:vAlign w:val="bottom"/>
          </w:tcPr>
          <w:p w14:paraId="3AA7A4F6" w14:textId="4740DCF8" w:rsidR="00B5076E" w:rsidRPr="004C78D8" w:rsidRDefault="00E1333D" w:rsidP="00FB7C1F">
            <w:pPr>
              <w:jc w:val="left"/>
              <w:rPr>
                <w:b/>
                <w:bCs/>
                <w:sz w:val="20"/>
                <w:szCs w:val="20"/>
              </w:rPr>
            </w:pPr>
            <w:r w:rsidRPr="004C78D8">
              <w:rPr>
                <w:b/>
                <w:bCs/>
                <w:sz w:val="20"/>
                <w:szCs w:val="20"/>
              </w:rPr>
              <w:t xml:space="preserve">(4) </w:t>
            </w:r>
            <w:r w:rsidR="00B5076E" w:rsidRPr="004C78D8">
              <w:rPr>
                <w:b/>
                <w:bCs/>
                <w:sz w:val="20"/>
                <w:szCs w:val="20"/>
              </w:rPr>
              <w:t>Target highest predicted falls risk (</w:t>
            </w:r>
            <w:r w:rsidR="00B5076E" w:rsidRPr="004C78D8">
              <w:rPr>
                <w:rFonts w:cs="Times New Roman"/>
                <w:b/>
                <w:bCs/>
                <w:sz w:val="20"/>
                <w:szCs w:val="20"/>
              </w:rPr>
              <w:t>≥</w:t>
            </w:r>
            <w:r w:rsidR="00B5076E" w:rsidRPr="004C78D8">
              <w:rPr>
                <w:b/>
                <w:bCs/>
                <w:sz w:val="20"/>
                <w:szCs w:val="20"/>
              </w:rPr>
              <w:t>60%)</w:t>
            </w:r>
          </w:p>
        </w:tc>
      </w:tr>
      <w:tr w:rsidR="00B5076E" w:rsidRPr="004C78D8" w14:paraId="2AEBA6A6" w14:textId="77777777" w:rsidTr="00E35893">
        <w:tc>
          <w:tcPr>
            <w:tcW w:w="1191" w:type="pct"/>
            <w:tcBorders>
              <w:bottom w:val="nil"/>
            </w:tcBorders>
          </w:tcPr>
          <w:p w14:paraId="181C2684" w14:textId="01ECA732" w:rsidR="00B5076E" w:rsidRPr="004C78D8" w:rsidRDefault="008C2A11" w:rsidP="00FB7C1F">
            <w:pPr>
              <w:jc w:val="left"/>
              <w:rPr>
                <w:sz w:val="18"/>
                <w:szCs w:val="18"/>
              </w:rPr>
            </w:pPr>
            <w:r w:rsidRPr="004C78D8">
              <w:rPr>
                <w:sz w:val="18"/>
                <w:szCs w:val="18"/>
              </w:rPr>
              <w:t xml:space="preserve">Constrained </w:t>
            </w:r>
            <w:r w:rsidR="00904D2E" w:rsidRPr="004C78D8">
              <w:rPr>
                <w:sz w:val="18"/>
                <w:szCs w:val="18"/>
              </w:rPr>
              <w:t>service</w:t>
            </w:r>
            <w:r w:rsidR="00B5076E" w:rsidRPr="004C78D8">
              <w:rPr>
                <w:sz w:val="18"/>
                <w:szCs w:val="18"/>
              </w:rPr>
              <w:t xml:space="preserve"> </w:t>
            </w:r>
            <w:r w:rsidR="009E4AC6" w:rsidRPr="004C78D8">
              <w:rPr>
                <w:sz w:val="18"/>
                <w:szCs w:val="18"/>
              </w:rPr>
              <w:t>annual use</w:t>
            </w:r>
            <w:r w:rsidR="00B5076E" w:rsidRPr="004C78D8">
              <w:rPr>
                <w:sz w:val="18"/>
                <w:szCs w:val="18"/>
                <w:vertAlign w:val="superscript"/>
              </w:rPr>
              <w:t>1</w:t>
            </w:r>
            <w:r w:rsidR="0010500A" w:rsidRPr="004C78D8">
              <w:rPr>
                <w:sz w:val="18"/>
                <w:szCs w:val="18"/>
                <w:vertAlign w:val="superscript"/>
              </w:rPr>
              <w:t>,2</w:t>
            </w:r>
          </w:p>
        </w:tc>
        <w:tc>
          <w:tcPr>
            <w:tcW w:w="951" w:type="pct"/>
            <w:tcBorders>
              <w:bottom w:val="nil"/>
            </w:tcBorders>
          </w:tcPr>
          <w:p w14:paraId="0AFE60E3" w14:textId="77777777" w:rsidR="00B5076E" w:rsidRPr="004C78D8" w:rsidRDefault="00B5076E" w:rsidP="00FB7C1F">
            <w:pPr>
              <w:jc w:val="left"/>
              <w:rPr>
                <w:sz w:val="18"/>
                <w:szCs w:val="18"/>
              </w:rPr>
            </w:pPr>
          </w:p>
        </w:tc>
        <w:tc>
          <w:tcPr>
            <w:tcW w:w="954" w:type="pct"/>
            <w:tcBorders>
              <w:bottom w:val="nil"/>
            </w:tcBorders>
          </w:tcPr>
          <w:p w14:paraId="5BD7A128" w14:textId="77777777" w:rsidR="00B5076E" w:rsidRPr="004C78D8" w:rsidRDefault="00B5076E" w:rsidP="00FB7C1F">
            <w:pPr>
              <w:jc w:val="left"/>
              <w:rPr>
                <w:sz w:val="18"/>
                <w:szCs w:val="18"/>
              </w:rPr>
            </w:pPr>
          </w:p>
        </w:tc>
        <w:tc>
          <w:tcPr>
            <w:tcW w:w="952" w:type="pct"/>
            <w:tcBorders>
              <w:bottom w:val="nil"/>
            </w:tcBorders>
          </w:tcPr>
          <w:p w14:paraId="250A5999" w14:textId="77777777" w:rsidR="00B5076E" w:rsidRPr="004C78D8" w:rsidRDefault="00B5076E" w:rsidP="00FB7C1F">
            <w:pPr>
              <w:jc w:val="left"/>
              <w:rPr>
                <w:sz w:val="18"/>
                <w:szCs w:val="18"/>
              </w:rPr>
            </w:pPr>
          </w:p>
        </w:tc>
        <w:tc>
          <w:tcPr>
            <w:tcW w:w="953" w:type="pct"/>
            <w:tcBorders>
              <w:bottom w:val="nil"/>
            </w:tcBorders>
          </w:tcPr>
          <w:p w14:paraId="7A4E5A50" w14:textId="2481DD0F" w:rsidR="00B5076E" w:rsidRPr="004C78D8" w:rsidRDefault="00B5076E" w:rsidP="00FB7C1F">
            <w:pPr>
              <w:jc w:val="left"/>
              <w:rPr>
                <w:sz w:val="18"/>
                <w:szCs w:val="18"/>
              </w:rPr>
            </w:pPr>
          </w:p>
        </w:tc>
      </w:tr>
      <w:tr w:rsidR="00B5076E" w:rsidRPr="004C78D8" w14:paraId="459B9564" w14:textId="77777777" w:rsidTr="00E35893">
        <w:tc>
          <w:tcPr>
            <w:tcW w:w="1191" w:type="pct"/>
            <w:tcBorders>
              <w:top w:val="nil"/>
              <w:bottom w:val="nil"/>
            </w:tcBorders>
          </w:tcPr>
          <w:p w14:paraId="4F401433" w14:textId="2A84AD8C" w:rsidR="00B5076E" w:rsidRPr="004C78D8" w:rsidRDefault="009E4AC6" w:rsidP="00FB7C1F">
            <w:pPr>
              <w:jc w:val="right"/>
              <w:rPr>
                <w:sz w:val="18"/>
                <w:szCs w:val="18"/>
              </w:rPr>
            </w:pPr>
            <w:r w:rsidRPr="004C78D8">
              <w:rPr>
                <w:i/>
                <w:iCs/>
                <w:sz w:val="18"/>
                <w:szCs w:val="18"/>
              </w:rPr>
              <w:t>Falls clinic</w:t>
            </w:r>
          </w:p>
        </w:tc>
        <w:tc>
          <w:tcPr>
            <w:tcW w:w="951" w:type="pct"/>
            <w:tcBorders>
              <w:top w:val="nil"/>
              <w:bottom w:val="nil"/>
            </w:tcBorders>
          </w:tcPr>
          <w:p w14:paraId="6853BBB2" w14:textId="4C50693E" w:rsidR="00B5076E" w:rsidRPr="004C78D8" w:rsidRDefault="00277FCB" w:rsidP="00FB7C1F">
            <w:pPr>
              <w:jc w:val="left"/>
              <w:rPr>
                <w:sz w:val="18"/>
                <w:szCs w:val="18"/>
              </w:rPr>
            </w:pPr>
            <w:r w:rsidRPr="004C78D8">
              <w:rPr>
                <w:sz w:val="18"/>
                <w:szCs w:val="18"/>
              </w:rPr>
              <w:t>9,000</w:t>
            </w:r>
          </w:p>
        </w:tc>
        <w:tc>
          <w:tcPr>
            <w:tcW w:w="954" w:type="pct"/>
            <w:tcBorders>
              <w:top w:val="nil"/>
              <w:bottom w:val="nil"/>
            </w:tcBorders>
          </w:tcPr>
          <w:p w14:paraId="6F548D54" w14:textId="572BBED5" w:rsidR="00B5076E" w:rsidRPr="004C78D8" w:rsidRDefault="00277FCB" w:rsidP="00FB7C1F">
            <w:pPr>
              <w:jc w:val="left"/>
              <w:rPr>
                <w:sz w:val="18"/>
                <w:szCs w:val="18"/>
              </w:rPr>
            </w:pPr>
            <w:r w:rsidRPr="004C78D8">
              <w:rPr>
                <w:sz w:val="18"/>
                <w:szCs w:val="18"/>
              </w:rPr>
              <w:t>7,</w:t>
            </w:r>
            <w:r w:rsidR="00697862" w:rsidRPr="004C78D8">
              <w:rPr>
                <w:sz w:val="18"/>
                <w:szCs w:val="18"/>
              </w:rPr>
              <w:t>332</w:t>
            </w:r>
          </w:p>
        </w:tc>
        <w:tc>
          <w:tcPr>
            <w:tcW w:w="952" w:type="pct"/>
            <w:tcBorders>
              <w:top w:val="nil"/>
              <w:bottom w:val="nil"/>
            </w:tcBorders>
          </w:tcPr>
          <w:p w14:paraId="68B8BC4E" w14:textId="7E7DCC53" w:rsidR="00B5076E" w:rsidRPr="004C78D8" w:rsidRDefault="00277FCB" w:rsidP="00FB7C1F">
            <w:pPr>
              <w:jc w:val="left"/>
              <w:rPr>
                <w:sz w:val="18"/>
                <w:szCs w:val="18"/>
              </w:rPr>
            </w:pPr>
            <w:r w:rsidRPr="004C78D8">
              <w:rPr>
                <w:sz w:val="18"/>
                <w:szCs w:val="18"/>
              </w:rPr>
              <w:t>9,000</w:t>
            </w:r>
          </w:p>
        </w:tc>
        <w:tc>
          <w:tcPr>
            <w:tcW w:w="953" w:type="pct"/>
            <w:tcBorders>
              <w:top w:val="nil"/>
              <w:bottom w:val="nil"/>
            </w:tcBorders>
          </w:tcPr>
          <w:p w14:paraId="19BEBE6A" w14:textId="4EFFEB78" w:rsidR="00B5076E" w:rsidRPr="004C78D8" w:rsidRDefault="00277FCB" w:rsidP="00FB7C1F">
            <w:pPr>
              <w:jc w:val="left"/>
              <w:rPr>
                <w:sz w:val="18"/>
                <w:szCs w:val="18"/>
              </w:rPr>
            </w:pPr>
            <w:r w:rsidRPr="004C78D8">
              <w:rPr>
                <w:sz w:val="18"/>
                <w:szCs w:val="18"/>
              </w:rPr>
              <w:t>8,9</w:t>
            </w:r>
            <w:r w:rsidR="00CE18C6" w:rsidRPr="004C78D8">
              <w:rPr>
                <w:sz w:val="18"/>
                <w:szCs w:val="18"/>
              </w:rPr>
              <w:t>62</w:t>
            </w:r>
          </w:p>
        </w:tc>
      </w:tr>
      <w:tr w:rsidR="009E4AC6" w:rsidRPr="004C78D8" w14:paraId="5EE5D53B" w14:textId="77777777" w:rsidTr="00E35893">
        <w:tc>
          <w:tcPr>
            <w:tcW w:w="1191" w:type="pct"/>
            <w:tcBorders>
              <w:top w:val="nil"/>
              <w:bottom w:val="nil"/>
            </w:tcBorders>
          </w:tcPr>
          <w:p w14:paraId="45C9048B" w14:textId="17D50B4E" w:rsidR="009E4AC6" w:rsidRPr="004C78D8" w:rsidRDefault="009E4AC6" w:rsidP="00FB7C1F">
            <w:pPr>
              <w:jc w:val="right"/>
              <w:rPr>
                <w:i/>
                <w:iCs/>
                <w:sz w:val="18"/>
                <w:szCs w:val="18"/>
              </w:rPr>
            </w:pPr>
            <w:r w:rsidRPr="004C78D8">
              <w:rPr>
                <w:i/>
                <w:iCs/>
                <w:sz w:val="18"/>
                <w:szCs w:val="18"/>
              </w:rPr>
              <w:t>Proactive Tai Chi</w:t>
            </w:r>
          </w:p>
        </w:tc>
        <w:tc>
          <w:tcPr>
            <w:tcW w:w="951" w:type="pct"/>
            <w:tcBorders>
              <w:top w:val="nil"/>
              <w:bottom w:val="nil"/>
            </w:tcBorders>
          </w:tcPr>
          <w:p w14:paraId="4BC03105" w14:textId="28D796D6" w:rsidR="009E4AC6" w:rsidRPr="004C78D8" w:rsidRDefault="00277FCB" w:rsidP="00FB7C1F">
            <w:pPr>
              <w:jc w:val="left"/>
              <w:rPr>
                <w:sz w:val="18"/>
                <w:szCs w:val="18"/>
              </w:rPr>
            </w:pPr>
            <w:r w:rsidRPr="004C78D8">
              <w:rPr>
                <w:sz w:val="18"/>
                <w:szCs w:val="18"/>
              </w:rPr>
              <w:t>500</w:t>
            </w:r>
          </w:p>
        </w:tc>
        <w:tc>
          <w:tcPr>
            <w:tcW w:w="954" w:type="pct"/>
            <w:tcBorders>
              <w:top w:val="nil"/>
              <w:bottom w:val="nil"/>
            </w:tcBorders>
          </w:tcPr>
          <w:p w14:paraId="27257591" w14:textId="00A03073" w:rsidR="009E4AC6" w:rsidRPr="004C78D8" w:rsidRDefault="00277FCB" w:rsidP="00FB7C1F">
            <w:pPr>
              <w:jc w:val="left"/>
              <w:rPr>
                <w:sz w:val="18"/>
                <w:szCs w:val="18"/>
              </w:rPr>
            </w:pPr>
            <w:r w:rsidRPr="004C78D8">
              <w:rPr>
                <w:sz w:val="18"/>
                <w:szCs w:val="18"/>
              </w:rPr>
              <w:t>500</w:t>
            </w:r>
          </w:p>
        </w:tc>
        <w:tc>
          <w:tcPr>
            <w:tcW w:w="952" w:type="pct"/>
            <w:tcBorders>
              <w:top w:val="nil"/>
              <w:bottom w:val="nil"/>
            </w:tcBorders>
          </w:tcPr>
          <w:p w14:paraId="631C12F7" w14:textId="451D4954" w:rsidR="009E4AC6" w:rsidRPr="004C78D8" w:rsidRDefault="00277FCB" w:rsidP="00FB7C1F">
            <w:pPr>
              <w:jc w:val="left"/>
              <w:rPr>
                <w:sz w:val="18"/>
                <w:szCs w:val="18"/>
              </w:rPr>
            </w:pPr>
            <w:r w:rsidRPr="004C78D8">
              <w:rPr>
                <w:sz w:val="18"/>
                <w:szCs w:val="18"/>
              </w:rPr>
              <w:t>500</w:t>
            </w:r>
          </w:p>
        </w:tc>
        <w:tc>
          <w:tcPr>
            <w:tcW w:w="953" w:type="pct"/>
            <w:tcBorders>
              <w:top w:val="nil"/>
              <w:bottom w:val="nil"/>
            </w:tcBorders>
          </w:tcPr>
          <w:p w14:paraId="47107F06" w14:textId="5773AF72" w:rsidR="009E4AC6" w:rsidRPr="004C78D8" w:rsidRDefault="00277FCB" w:rsidP="00FB7C1F">
            <w:pPr>
              <w:jc w:val="left"/>
              <w:rPr>
                <w:sz w:val="18"/>
                <w:szCs w:val="18"/>
              </w:rPr>
            </w:pPr>
            <w:r w:rsidRPr="004C78D8">
              <w:rPr>
                <w:sz w:val="18"/>
                <w:szCs w:val="18"/>
              </w:rPr>
              <w:t>500</w:t>
            </w:r>
          </w:p>
        </w:tc>
      </w:tr>
      <w:tr w:rsidR="00B5076E" w:rsidRPr="004C78D8" w14:paraId="215FD76E" w14:textId="77777777" w:rsidTr="00E35893">
        <w:tc>
          <w:tcPr>
            <w:tcW w:w="1191" w:type="pct"/>
            <w:tcBorders>
              <w:top w:val="nil"/>
              <w:bottom w:val="nil"/>
            </w:tcBorders>
          </w:tcPr>
          <w:p w14:paraId="7CBEEF99" w14:textId="4AA0A05F" w:rsidR="00B5076E" w:rsidRPr="004C78D8" w:rsidRDefault="00B5076E" w:rsidP="00FB7C1F">
            <w:pPr>
              <w:jc w:val="right"/>
              <w:rPr>
                <w:sz w:val="18"/>
                <w:szCs w:val="18"/>
              </w:rPr>
            </w:pPr>
            <w:r w:rsidRPr="004C78D8">
              <w:rPr>
                <w:i/>
                <w:iCs/>
                <w:sz w:val="18"/>
                <w:szCs w:val="18"/>
              </w:rPr>
              <w:t xml:space="preserve">Self-referred </w:t>
            </w:r>
            <w:r w:rsidR="009E4AC6" w:rsidRPr="004C78D8">
              <w:rPr>
                <w:i/>
                <w:iCs/>
                <w:sz w:val="18"/>
                <w:szCs w:val="18"/>
              </w:rPr>
              <w:t>interventions</w:t>
            </w:r>
          </w:p>
        </w:tc>
        <w:tc>
          <w:tcPr>
            <w:tcW w:w="951" w:type="pct"/>
            <w:tcBorders>
              <w:top w:val="nil"/>
              <w:bottom w:val="nil"/>
            </w:tcBorders>
          </w:tcPr>
          <w:p w14:paraId="43FAAB5B" w14:textId="5149DBD3" w:rsidR="00B5076E" w:rsidRPr="004C78D8" w:rsidRDefault="00277FCB" w:rsidP="00FB7C1F">
            <w:pPr>
              <w:jc w:val="left"/>
              <w:rPr>
                <w:sz w:val="18"/>
                <w:szCs w:val="18"/>
              </w:rPr>
            </w:pPr>
            <w:r w:rsidRPr="004C78D8">
              <w:rPr>
                <w:sz w:val="18"/>
                <w:szCs w:val="18"/>
              </w:rPr>
              <w:t>2,000</w:t>
            </w:r>
          </w:p>
        </w:tc>
        <w:tc>
          <w:tcPr>
            <w:tcW w:w="954" w:type="pct"/>
            <w:tcBorders>
              <w:top w:val="nil"/>
              <w:bottom w:val="nil"/>
            </w:tcBorders>
          </w:tcPr>
          <w:p w14:paraId="028C95C2" w14:textId="427B7F3B" w:rsidR="00B5076E" w:rsidRPr="004C78D8" w:rsidRDefault="00277FCB" w:rsidP="00FB7C1F">
            <w:pPr>
              <w:jc w:val="left"/>
              <w:rPr>
                <w:sz w:val="18"/>
                <w:szCs w:val="18"/>
              </w:rPr>
            </w:pPr>
            <w:r w:rsidRPr="004C78D8">
              <w:rPr>
                <w:sz w:val="18"/>
                <w:szCs w:val="18"/>
              </w:rPr>
              <w:t>2,000</w:t>
            </w:r>
          </w:p>
        </w:tc>
        <w:tc>
          <w:tcPr>
            <w:tcW w:w="952" w:type="pct"/>
            <w:tcBorders>
              <w:top w:val="nil"/>
              <w:bottom w:val="nil"/>
            </w:tcBorders>
          </w:tcPr>
          <w:p w14:paraId="7CBDAF8D" w14:textId="16CCE55C" w:rsidR="00B5076E" w:rsidRPr="004C78D8" w:rsidRDefault="00277FCB" w:rsidP="00FB7C1F">
            <w:pPr>
              <w:jc w:val="left"/>
              <w:rPr>
                <w:sz w:val="18"/>
                <w:szCs w:val="18"/>
              </w:rPr>
            </w:pPr>
            <w:r w:rsidRPr="004C78D8">
              <w:rPr>
                <w:sz w:val="18"/>
                <w:szCs w:val="18"/>
              </w:rPr>
              <w:t>2,000</w:t>
            </w:r>
          </w:p>
        </w:tc>
        <w:tc>
          <w:tcPr>
            <w:tcW w:w="953" w:type="pct"/>
            <w:tcBorders>
              <w:top w:val="nil"/>
              <w:bottom w:val="nil"/>
            </w:tcBorders>
          </w:tcPr>
          <w:p w14:paraId="6659E2D4" w14:textId="4D87B59D" w:rsidR="00B5076E" w:rsidRPr="004C78D8" w:rsidRDefault="00277FCB" w:rsidP="00FB7C1F">
            <w:pPr>
              <w:jc w:val="left"/>
              <w:rPr>
                <w:sz w:val="18"/>
                <w:szCs w:val="18"/>
              </w:rPr>
            </w:pPr>
            <w:r w:rsidRPr="004C78D8">
              <w:rPr>
                <w:sz w:val="18"/>
                <w:szCs w:val="18"/>
              </w:rPr>
              <w:t>2,000</w:t>
            </w:r>
          </w:p>
        </w:tc>
      </w:tr>
      <w:tr w:rsidR="00FD09A5" w:rsidRPr="004C78D8" w14:paraId="00FB557F" w14:textId="77777777" w:rsidTr="00E35893">
        <w:tc>
          <w:tcPr>
            <w:tcW w:w="1191" w:type="pct"/>
            <w:tcBorders>
              <w:top w:val="nil"/>
              <w:bottom w:val="nil"/>
            </w:tcBorders>
          </w:tcPr>
          <w:p w14:paraId="5CEA9107" w14:textId="1CF687B3" w:rsidR="00FD09A5" w:rsidRPr="004C78D8" w:rsidRDefault="00FD09A5" w:rsidP="00FB7C1F">
            <w:pPr>
              <w:jc w:val="left"/>
              <w:rPr>
                <w:sz w:val="18"/>
                <w:szCs w:val="18"/>
              </w:rPr>
            </w:pPr>
            <w:r w:rsidRPr="004C78D8">
              <w:rPr>
                <w:sz w:val="18"/>
                <w:szCs w:val="18"/>
              </w:rPr>
              <w:t>Pathway annual use</w:t>
            </w:r>
            <w:r w:rsidR="008C2A11" w:rsidRPr="004C78D8">
              <w:rPr>
                <w:sz w:val="18"/>
                <w:szCs w:val="18"/>
                <w:vertAlign w:val="superscript"/>
              </w:rPr>
              <w:t>3</w:t>
            </w:r>
          </w:p>
        </w:tc>
        <w:tc>
          <w:tcPr>
            <w:tcW w:w="951" w:type="pct"/>
            <w:tcBorders>
              <w:top w:val="nil"/>
              <w:bottom w:val="nil"/>
            </w:tcBorders>
          </w:tcPr>
          <w:p w14:paraId="2DCAA0F2" w14:textId="77777777" w:rsidR="00FD09A5" w:rsidRPr="004C78D8" w:rsidRDefault="00FD09A5" w:rsidP="00FB7C1F">
            <w:pPr>
              <w:jc w:val="left"/>
              <w:rPr>
                <w:sz w:val="18"/>
                <w:szCs w:val="18"/>
              </w:rPr>
            </w:pPr>
          </w:p>
        </w:tc>
        <w:tc>
          <w:tcPr>
            <w:tcW w:w="954" w:type="pct"/>
            <w:tcBorders>
              <w:top w:val="nil"/>
              <w:bottom w:val="nil"/>
            </w:tcBorders>
          </w:tcPr>
          <w:p w14:paraId="518D30DD" w14:textId="77777777" w:rsidR="00FD09A5" w:rsidRPr="004C78D8" w:rsidRDefault="00FD09A5" w:rsidP="00FB7C1F">
            <w:pPr>
              <w:jc w:val="left"/>
              <w:rPr>
                <w:sz w:val="18"/>
                <w:szCs w:val="18"/>
              </w:rPr>
            </w:pPr>
          </w:p>
        </w:tc>
        <w:tc>
          <w:tcPr>
            <w:tcW w:w="952" w:type="pct"/>
            <w:tcBorders>
              <w:top w:val="nil"/>
              <w:bottom w:val="nil"/>
            </w:tcBorders>
          </w:tcPr>
          <w:p w14:paraId="30987D08" w14:textId="77777777" w:rsidR="00FD09A5" w:rsidRPr="004C78D8" w:rsidRDefault="00FD09A5" w:rsidP="00FB7C1F">
            <w:pPr>
              <w:jc w:val="left"/>
              <w:rPr>
                <w:sz w:val="18"/>
                <w:szCs w:val="18"/>
              </w:rPr>
            </w:pPr>
          </w:p>
        </w:tc>
        <w:tc>
          <w:tcPr>
            <w:tcW w:w="953" w:type="pct"/>
            <w:tcBorders>
              <w:top w:val="nil"/>
              <w:bottom w:val="nil"/>
            </w:tcBorders>
          </w:tcPr>
          <w:p w14:paraId="65016137" w14:textId="77777777" w:rsidR="00FD09A5" w:rsidRPr="004C78D8" w:rsidRDefault="00FD09A5" w:rsidP="00FB7C1F">
            <w:pPr>
              <w:jc w:val="left"/>
              <w:rPr>
                <w:sz w:val="18"/>
                <w:szCs w:val="18"/>
              </w:rPr>
            </w:pPr>
          </w:p>
        </w:tc>
      </w:tr>
      <w:tr w:rsidR="00FD09A5" w:rsidRPr="004C78D8" w14:paraId="360BDE49" w14:textId="77777777" w:rsidTr="00E35893">
        <w:tc>
          <w:tcPr>
            <w:tcW w:w="1191" w:type="pct"/>
            <w:tcBorders>
              <w:top w:val="nil"/>
              <w:bottom w:val="nil"/>
            </w:tcBorders>
          </w:tcPr>
          <w:p w14:paraId="0B46751A" w14:textId="2B805B17" w:rsidR="00FD09A5" w:rsidRPr="004C78D8" w:rsidRDefault="00FD09A5" w:rsidP="00FB7C1F">
            <w:pPr>
              <w:jc w:val="right"/>
              <w:rPr>
                <w:i/>
                <w:iCs/>
                <w:sz w:val="18"/>
                <w:szCs w:val="18"/>
              </w:rPr>
            </w:pPr>
            <w:r w:rsidRPr="004C78D8">
              <w:rPr>
                <w:i/>
                <w:iCs/>
                <w:sz w:val="18"/>
                <w:szCs w:val="18"/>
              </w:rPr>
              <w:t>Reactive</w:t>
            </w:r>
          </w:p>
        </w:tc>
        <w:tc>
          <w:tcPr>
            <w:tcW w:w="951" w:type="pct"/>
            <w:tcBorders>
              <w:top w:val="nil"/>
              <w:bottom w:val="nil"/>
            </w:tcBorders>
          </w:tcPr>
          <w:p w14:paraId="29071C8C" w14:textId="527AF854" w:rsidR="00FD09A5" w:rsidRPr="004C78D8" w:rsidRDefault="008C2A11" w:rsidP="00FB7C1F">
            <w:pPr>
              <w:jc w:val="left"/>
              <w:rPr>
                <w:sz w:val="18"/>
                <w:szCs w:val="18"/>
              </w:rPr>
            </w:pPr>
            <w:r w:rsidRPr="004C78D8">
              <w:rPr>
                <w:sz w:val="18"/>
                <w:szCs w:val="18"/>
              </w:rPr>
              <w:t>3,182</w:t>
            </w:r>
          </w:p>
        </w:tc>
        <w:tc>
          <w:tcPr>
            <w:tcW w:w="954" w:type="pct"/>
            <w:tcBorders>
              <w:top w:val="nil"/>
              <w:bottom w:val="nil"/>
            </w:tcBorders>
          </w:tcPr>
          <w:p w14:paraId="10DEDFE2" w14:textId="15BA3514" w:rsidR="00FD09A5" w:rsidRPr="004C78D8" w:rsidRDefault="00697862" w:rsidP="00FB7C1F">
            <w:pPr>
              <w:jc w:val="left"/>
              <w:rPr>
                <w:sz w:val="18"/>
                <w:szCs w:val="18"/>
              </w:rPr>
            </w:pPr>
            <w:r w:rsidRPr="004C78D8">
              <w:rPr>
                <w:sz w:val="18"/>
                <w:szCs w:val="18"/>
              </w:rPr>
              <w:t>2,577</w:t>
            </w:r>
          </w:p>
        </w:tc>
        <w:tc>
          <w:tcPr>
            <w:tcW w:w="952" w:type="pct"/>
            <w:tcBorders>
              <w:top w:val="nil"/>
              <w:bottom w:val="nil"/>
            </w:tcBorders>
          </w:tcPr>
          <w:p w14:paraId="513F9D58" w14:textId="4EE28661" w:rsidR="00FD09A5" w:rsidRPr="004C78D8" w:rsidRDefault="00BF1D13" w:rsidP="00FB7C1F">
            <w:pPr>
              <w:jc w:val="left"/>
              <w:rPr>
                <w:sz w:val="18"/>
                <w:szCs w:val="18"/>
              </w:rPr>
            </w:pPr>
            <w:r w:rsidRPr="004C78D8">
              <w:rPr>
                <w:sz w:val="18"/>
                <w:szCs w:val="18"/>
              </w:rPr>
              <w:t>3,227</w:t>
            </w:r>
          </w:p>
        </w:tc>
        <w:tc>
          <w:tcPr>
            <w:tcW w:w="953" w:type="pct"/>
            <w:tcBorders>
              <w:top w:val="nil"/>
              <w:bottom w:val="nil"/>
            </w:tcBorders>
          </w:tcPr>
          <w:p w14:paraId="1084144F" w14:textId="63168600" w:rsidR="00FD09A5" w:rsidRPr="004C78D8" w:rsidRDefault="00CE18C6" w:rsidP="00FB7C1F">
            <w:pPr>
              <w:jc w:val="left"/>
              <w:rPr>
                <w:sz w:val="18"/>
                <w:szCs w:val="18"/>
              </w:rPr>
            </w:pPr>
            <w:r w:rsidRPr="004C78D8">
              <w:rPr>
                <w:sz w:val="18"/>
                <w:szCs w:val="18"/>
              </w:rPr>
              <w:t>2,969</w:t>
            </w:r>
          </w:p>
        </w:tc>
      </w:tr>
      <w:tr w:rsidR="00FD09A5" w:rsidRPr="004C78D8" w14:paraId="0928F24D" w14:textId="77777777" w:rsidTr="00E35893">
        <w:tc>
          <w:tcPr>
            <w:tcW w:w="1191" w:type="pct"/>
            <w:tcBorders>
              <w:top w:val="nil"/>
              <w:bottom w:val="nil"/>
            </w:tcBorders>
          </w:tcPr>
          <w:p w14:paraId="1722469A" w14:textId="67CDB06B" w:rsidR="00FD09A5" w:rsidRPr="004C78D8" w:rsidRDefault="00FD09A5" w:rsidP="00FB7C1F">
            <w:pPr>
              <w:jc w:val="right"/>
              <w:rPr>
                <w:i/>
                <w:iCs/>
                <w:sz w:val="18"/>
                <w:szCs w:val="18"/>
              </w:rPr>
            </w:pPr>
            <w:r w:rsidRPr="004C78D8">
              <w:rPr>
                <w:i/>
                <w:iCs/>
                <w:sz w:val="18"/>
                <w:szCs w:val="18"/>
              </w:rPr>
              <w:t>Proactive</w:t>
            </w:r>
          </w:p>
        </w:tc>
        <w:tc>
          <w:tcPr>
            <w:tcW w:w="951" w:type="pct"/>
            <w:tcBorders>
              <w:top w:val="nil"/>
              <w:bottom w:val="nil"/>
            </w:tcBorders>
          </w:tcPr>
          <w:p w14:paraId="18FB2F6E" w14:textId="3BA1A0B1" w:rsidR="00FD09A5" w:rsidRPr="004C78D8" w:rsidRDefault="008C2A11" w:rsidP="00FB7C1F">
            <w:pPr>
              <w:jc w:val="left"/>
              <w:rPr>
                <w:sz w:val="18"/>
                <w:szCs w:val="18"/>
              </w:rPr>
            </w:pPr>
            <w:r w:rsidRPr="004C78D8">
              <w:rPr>
                <w:sz w:val="18"/>
                <w:szCs w:val="18"/>
              </w:rPr>
              <w:t>8,047</w:t>
            </w:r>
          </w:p>
        </w:tc>
        <w:tc>
          <w:tcPr>
            <w:tcW w:w="954" w:type="pct"/>
            <w:tcBorders>
              <w:top w:val="nil"/>
              <w:bottom w:val="nil"/>
            </w:tcBorders>
          </w:tcPr>
          <w:p w14:paraId="77574C40" w14:textId="646C44AC" w:rsidR="00FD09A5" w:rsidRPr="004C78D8" w:rsidRDefault="00697862" w:rsidP="00FB7C1F">
            <w:pPr>
              <w:jc w:val="left"/>
              <w:rPr>
                <w:sz w:val="18"/>
                <w:szCs w:val="18"/>
              </w:rPr>
            </w:pPr>
            <w:r w:rsidRPr="004C78D8">
              <w:rPr>
                <w:sz w:val="18"/>
                <w:szCs w:val="18"/>
              </w:rPr>
              <w:t>6,994</w:t>
            </w:r>
          </w:p>
        </w:tc>
        <w:tc>
          <w:tcPr>
            <w:tcW w:w="952" w:type="pct"/>
            <w:tcBorders>
              <w:top w:val="nil"/>
              <w:bottom w:val="nil"/>
            </w:tcBorders>
          </w:tcPr>
          <w:p w14:paraId="6B15236A" w14:textId="38AD2C40" w:rsidR="00FD09A5" w:rsidRPr="004C78D8" w:rsidRDefault="00BF1D13" w:rsidP="00FB7C1F">
            <w:pPr>
              <w:jc w:val="left"/>
              <w:rPr>
                <w:sz w:val="18"/>
                <w:szCs w:val="18"/>
              </w:rPr>
            </w:pPr>
            <w:r w:rsidRPr="004C78D8">
              <w:rPr>
                <w:sz w:val="18"/>
                <w:szCs w:val="18"/>
              </w:rPr>
              <w:t>7,995</w:t>
            </w:r>
          </w:p>
        </w:tc>
        <w:tc>
          <w:tcPr>
            <w:tcW w:w="953" w:type="pct"/>
            <w:tcBorders>
              <w:top w:val="nil"/>
              <w:bottom w:val="nil"/>
            </w:tcBorders>
          </w:tcPr>
          <w:p w14:paraId="24FC9691" w14:textId="690E6D63" w:rsidR="00FD09A5" w:rsidRPr="004C78D8" w:rsidRDefault="00CE18C6" w:rsidP="00FB7C1F">
            <w:pPr>
              <w:jc w:val="left"/>
              <w:rPr>
                <w:sz w:val="18"/>
                <w:szCs w:val="18"/>
              </w:rPr>
            </w:pPr>
            <w:r w:rsidRPr="004C78D8">
              <w:rPr>
                <w:sz w:val="18"/>
                <w:szCs w:val="18"/>
              </w:rPr>
              <w:t>8,198</w:t>
            </w:r>
          </w:p>
        </w:tc>
      </w:tr>
      <w:tr w:rsidR="00FD09A5" w:rsidRPr="004C78D8" w14:paraId="17BFA755" w14:textId="77777777" w:rsidTr="00E35893">
        <w:tc>
          <w:tcPr>
            <w:tcW w:w="1191" w:type="pct"/>
            <w:tcBorders>
              <w:top w:val="nil"/>
              <w:bottom w:val="nil"/>
            </w:tcBorders>
          </w:tcPr>
          <w:p w14:paraId="32429B01" w14:textId="6C11EC28" w:rsidR="00FD09A5" w:rsidRPr="004C78D8" w:rsidRDefault="00FD09A5" w:rsidP="00FB7C1F">
            <w:pPr>
              <w:jc w:val="right"/>
              <w:rPr>
                <w:i/>
                <w:iCs/>
                <w:sz w:val="18"/>
                <w:szCs w:val="18"/>
              </w:rPr>
            </w:pPr>
            <w:r w:rsidRPr="004C78D8">
              <w:rPr>
                <w:i/>
                <w:iCs/>
                <w:sz w:val="18"/>
                <w:szCs w:val="18"/>
              </w:rPr>
              <w:t>Self-referred</w:t>
            </w:r>
          </w:p>
        </w:tc>
        <w:tc>
          <w:tcPr>
            <w:tcW w:w="951" w:type="pct"/>
            <w:tcBorders>
              <w:top w:val="nil"/>
              <w:bottom w:val="nil"/>
            </w:tcBorders>
          </w:tcPr>
          <w:p w14:paraId="404151AD" w14:textId="3CCC4D21" w:rsidR="00FD09A5" w:rsidRPr="004C78D8" w:rsidRDefault="008C2A11" w:rsidP="00FB7C1F">
            <w:pPr>
              <w:jc w:val="left"/>
              <w:rPr>
                <w:sz w:val="18"/>
                <w:szCs w:val="18"/>
              </w:rPr>
            </w:pPr>
            <w:r w:rsidRPr="004C78D8">
              <w:rPr>
                <w:sz w:val="18"/>
                <w:szCs w:val="18"/>
              </w:rPr>
              <w:t>2,000</w:t>
            </w:r>
          </w:p>
        </w:tc>
        <w:tc>
          <w:tcPr>
            <w:tcW w:w="954" w:type="pct"/>
            <w:tcBorders>
              <w:top w:val="nil"/>
              <w:bottom w:val="nil"/>
            </w:tcBorders>
          </w:tcPr>
          <w:p w14:paraId="24E72B4C" w14:textId="7BBE3BEC" w:rsidR="00FD09A5" w:rsidRPr="004C78D8" w:rsidRDefault="00697862" w:rsidP="00FB7C1F">
            <w:pPr>
              <w:jc w:val="left"/>
              <w:rPr>
                <w:sz w:val="18"/>
                <w:szCs w:val="18"/>
              </w:rPr>
            </w:pPr>
            <w:r w:rsidRPr="004C78D8">
              <w:rPr>
                <w:sz w:val="18"/>
                <w:szCs w:val="18"/>
              </w:rPr>
              <w:t>2,000</w:t>
            </w:r>
          </w:p>
        </w:tc>
        <w:tc>
          <w:tcPr>
            <w:tcW w:w="952" w:type="pct"/>
            <w:tcBorders>
              <w:top w:val="nil"/>
              <w:bottom w:val="nil"/>
            </w:tcBorders>
          </w:tcPr>
          <w:p w14:paraId="5374C718" w14:textId="3C5ADBD6" w:rsidR="00FD09A5" w:rsidRPr="004C78D8" w:rsidRDefault="00BF1D13" w:rsidP="00FB7C1F">
            <w:pPr>
              <w:jc w:val="left"/>
              <w:rPr>
                <w:sz w:val="18"/>
                <w:szCs w:val="18"/>
              </w:rPr>
            </w:pPr>
            <w:r w:rsidRPr="004C78D8">
              <w:rPr>
                <w:sz w:val="18"/>
                <w:szCs w:val="18"/>
              </w:rPr>
              <w:t>2,000</w:t>
            </w:r>
          </w:p>
        </w:tc>
        <w:tc>
          <w:tcPr>
            <w:tcW w:w="953" w:type="pct"/>
            <w:tcBorders>
              <w:top w:val="nil"/>
              <w:bottom w:val="nil"/>
            </w:tcBorders>
          </w:tcPr>
          <w:p w14:paraId="4206BE4F" w14:textId="69F1692E" w:rsidR="00FD09A5" w:rsidRPr="004C78D8" w:rsidRDefault="00CE18C6" w:rsidP="00FB7C1F">
            <w:pPr>
              <w:jc w:val="left"/>
              <w:rPr>
                <w:sz w:val="18"/>
                <w:szCs w:val="18"/>
              </w:rPr>
            </w:pPr>
            <w:r w:rsidRPr="004C78D8">
              <w:rPr>
                <w:sz w:val="18"/>
                <w:szCs w:val="18"/>
              </w:rPr>
              <w:t>2,000</w:t>
            </w:r>
          </w:p>
        </w:tc>
      </w:tr>
      <w:tr w:rsidR="00B5076E" w:rsidRPr="004C78D8" w14:paraId="2471D3DD" w14:textId="77777777" w:rsidTr="00E35893">
        <w:tc>
          <w:tcPr>
            <w:tcW w:w="1191" w:type="pct"/>
            <w:tcBorders>
              <w:top w:val="nil"/>
              <w:bottom w:val="single" w:sz="4" w:space="0" w:color="auto"/>
            </w:tcBorders>
          </w:tcPr>
          <w:p w14:paraId="74D85D77" w14:textId="77777777" w:rsidR="00B5076E" w:rsidRPr="004C78D8" w:rsidRDefault="00B5076E" w:rsidP="00FB7C1F">
            <w:pPr>
              <w:jc w:val="left"/>
              <w:rPr>
                <w:sz w:val="18"/>
                <w:szCs w:val="18"/>
              </w:rPr>
            </w:pPr>
            <w:r w:rsidRPr="004C78D8">
              <w:rPr>
                <w:sz w:val="18"/>
                <w:szCs w:val="18"/>
              </w:rPr>
              <w:t>Total</w:t>
            </w:r>
          </w:p>
        </w:tc>
        <w:tc>
          <w:tcPr>
            <w:tcW w:w="951" w:type="pct"/>
            <w:tcBorders>
              <w:top w:val="nil"/>
              <w:bottom w:val="single" w:sz="4" w:space="0" w:color="auto"/>
            </w:tcBorders>
          </w:tcPr>
          <w:p w14:paraId="2B869B83" w14:textId="26AECD59" w:rsidR="00B5076E" w:rsidRPr="004C78D8" w:rsidRDefault="005648DF" w:rsidP="00FB7C1F">
            <w:pPr>
              <w:jc w:val="left"/>
              <w:rPr>
                <w:sz w:val="18"/>
                <w:szCs w:val="18"/>
              </w:rPr>
            </w:pPr>
            <w:r w:rsidRPr="004C78D8">
              <w:rPr>
                <w:sz w:val="18"/>
                <w:szCs w:val="18"/>
              </w:rPr>
              <w:t>13,2</w:t>
            </w:r>
            <w:r w:rsidR="008C2A11" w:rsidRPr="004C78D8">
              <w:rPr>
                <w:sz w:val="18"/>
                <w:szCs w:val="18"/>
              </w:rPr>
              <w:t>29</w:t>
            </w:r>
          </w:p>
        </w:tc>
        <w:tc>
          <w:tcPr>
            <w:tcW w:w="954" w:type="pct"/>
            <w:tcBorders>
              <w:top w:val="nil"/>
              <w:bottom w:val="single" w:sz="4" w:space="0" w:color="auto"/>
            </w:tcBorders>
          </w:tcPr>
          <w:p w14:paraId="6608BF0A" w14:textId="36BBE6F4" w:rsidR="00B5076E" w:rsidRPr="004C78D8" w:rsidRDefault="005648DF" w:rsidP="00FB7C1F">
            <w:pPr>
              <w:jc w:val="left"/>
              <w:rPr>
                <w:sz w:val="18"/>
                <w:szCs w:val="18"/>
              </w:rPr>
            </w:pPr>
            <w:r w:rsidRPr="004C78D8">
              <w:rPr>
                <w:sz w:val="18"/>
                <w:szCs w:val="18"/>
              </w:rPr>
              <w:t>11,</w:t>
            </w:r>
            <w:r w:rsidR="00697862" w:rsidRPr="004C78D8">
              <w:rPr>
                <w:sz w:val="18"/>
                <w:szCs w:val="18"/>
              </w:rPr>
              <w:t>571</w:t>
            </w:r>
          </w:p>
        </w:tc>
        <w:tc>
          <w:tcPr>
            <w:tcW w:w="952" w:type="pct"/>
            <w:tcBorders>
              <w:top w:val="nil"/>
              <w:bottom w:val="single" w:sz="4" w:space="0" w:color="auto"/>
            </w:tcBorders>
          </w:tcPr>
          <w:p w14:paraId="1422E46B" w14:textId="19946344" w:rsidR="00B5076E" w:rsidRPr="004C78D8" w:rsidRDefault="005648DF" w:rsidP="00FB7C1F">
            <w:pPr>
              <w:jc w:val="left"/>
              <w:rPr>
                <w:sz w:val="18"/>
                <w:szCs w:val="18"/>
              </w:rPr>
            </w:pPr>
            <w:r w:rsidRPr="004C78D8">
              <w:rPr>
                <w:sz w:val="18"/>
                <w:szCs w:val="18"/>
              </w:rPr>
              <w:t>13,248</w:t>
            </w:r>
          </w:p>
        </w:tc>
        <w:tc>
          <w:tcPr>
            <w:tcW w:w="953" w:type="pct"/>
            <w:tcBorders>
              <w:top w:val="nil"/>
              <w:bottom w:val="single" w:sz="4" w:space="0" w:color="auto"/>
            </w:tcBorders>
          </w:tcPr>
          <w:p w14:paraId="7895C34A" w14:textId="2B630655" w:rsidR="00B5076E" w:rsidRPr="004C78D8" w:rsidRDefault="005648DF" w:rsidP="00FB7C1F">
            <w:pPr>
              <w:jc w:val="left"/>
              <w:rPr>
                <w:sz w:val="18"/>
                <w:szCs w:val="18"/>
              </w:rPr>
            </w:pPr>
            <w:r w:rsidRPr="004C78D8">
              <w:rPr>
                <w:sz w:val="18"/>
                <w:szCs w:val="18"/>
              </w:rPr>
              <w:t>13,1</w:t>
            </w:r>
            <w:r w:rsidR="00CE18C6" w:rsidRPr="004C78D8">
              <w:rPr>
                <w:sz w:val="18"/>
                <w:szCs w:val="18"/>
              </w:rPr>
              <w:t>67</w:t>
            </w:r>
          </w:p>
        </w:tc>
      </w:tr>
      <w:tr w:rsidR="00B5076E" w:rsidRPr="004C78D8" w14:paraId="0FB05996" w14:textId="77777777" w:rsidTr="00E35893">
        <w:tc>
          <w:tcPr>
            <w:tcW w:w="1191" w:type="pct"/>
            <w:tcBorders>
              <w:top w:val="single" w:sz="4" w:space="0" w:color="auto"/>
              <w:bottom w:val="nil"/>
            </w:tcBorders>
          </w:tcPr>
          <w:p w14:paraId="6F6E215D" w14:textId="77777777" w:rsidR="00B5076E" w:rsidRPr="004C78D8" w:rsidRDefault="00B5076E" w:rsidP="00FB7C1F">
            <w:pPr>
              <w:jc w:val="right"/>
              <w:rPr>
                <w:i/>
                <w:iCs/>
                <w:sz w:val="18"/>
                <w:szCs w:val="18"/>
              </w:rPr>
            </w:pPr>
          </w:p>
        </w:tc>
        <w:tc>
          <w:tcPr>
            <w:tcW w:w="3809" w:type="pct"/>
            <w:gridSpan w:val="4"/>
            <w:tcBorders>
              <w:top w:val="nil"/>
              <w:bottom w:val="single" w:sz="4" w:space="0" w:color="auto"/>
            </w:tcBorders>
          </w:tcPr>
          <w:p w14:paraId="6A59BCE4" w14:textId="19A19BAA" w:rsidR="00B5076E" w:rsidRPr="004C78D8" w:rsidRDefault="00B5076E" w:rsidP="00FB7C1F">
            <w:pPr>
              <w:jc w:val="center"/>
              <w:rPr>
                <w:b/>
                <w:bCs/>
                <w:sz w:val="18"/>
                <w:szCs w:val="18"/>
              </w:rPr>
            </w:pPr>
            <w:r w:rsidRPr="004C78D8">
              <w:rPr>
                <w:b/>
                <w:bCs/>
                <w:sz w:val="20"/>
                <w:szCs w:val="20"/>
              </w:rPr>
              <w:t>Incremental outcomes relative to usual care</w:t>
            </w:r>
          </w:p>
        </w:tc>
      </w:tr>
      <w:tr w:rsidR="00B5076E" w:rsidRPr="004C78D8" w14:paraId="3972E57D" w14:textId="77777777" w:rsidTr="00E35893">
        <w:tc>
          <w:tcPr>
            <w:tcW w:w="1191" w:type="pct"/>
            <w:tcBorders>
              <w:top w:val="nil"/>
              <w:bottom w:val="nil"/>
            </w:tcBorders>
          </w:tcPr>
          <w:p w14:paraId="3DD98101" w14:textId="46A6D914" w:rsidR="00B5076E" w:rsidRPr="004C78D8" w:rsidRDefault="00B5076E" w:rsidP="00FB7C1F">
            <w:pPr>
              <w:jc w:val="left"/>
              <w:rPr>
                <w:sz w:val="18"/>
                <w:szCs w:val="18"/>
              </w:rPr>
            </w:pPr>
            <w:r w:rsidRPr="004C78D8">
              <w:rPr>
                <w:sz w:val="18"/>
                <w:szCs w:val="18"/>
              </w:rPr>
              <w:t>Public sector costs</w:t>
            </w:r>
          </w:p>
        </w:tc>
        <w:tc>
          <w:tcPr>
            <w:tcW w:w="951" w:type="pct"/>
            <w:tcBorders>
              <w:top w:val="single" w:sz="4" w:space="0" w:color="auto"/>
              <w:bottom w:val="nil"/>
            </w:tcBorders>
          </w:tcPr>
          <w:p w14:paraId="5C36D449" w14:textId="77777777" w:rsidR="00B5076E" w:rsidRPr="004C78D8" w:rsidRDefault="00B5076E" w:rsidP="00FB7C1F">
            <w:pPr>
              <w:jc w:val="left"/>
              <w:rPr>
                <w:sz w:val="18"/>
                <w:szCs w:val="18"/>
              </w:rPr>
            </w:pPr>
          </w:p>
        </w:tc>
        <w:tc>
          <w:tcPr>
            <w:tcW w:w="954" w:type="pct"/>
            <w:tcBorders>
              <w:top w:val="single" w:sz="4" w:space="0" w:color="auto"/>
              <w:bottom w:val="nil"/>
            </w:tcBorders>
          </w:tcPr>
          <w:p w14:paraId="3E7AD4F4" w14:textId="77777777" w:rsidR="00B5076E" w:rsidRPr="004C78D8" w:rsidRDefault="00B5076E" w:rsidP="00FB7C1F">
            <w:pPr>
              <w:jc w:val="left"/>
              <w:rPr>
                <w:sz w:val="18"/>
                <w:szCs w:val="18"/>
              </w:rPr>
            </w:pPr>
          </w:p>
        </w:tc>
        <w:tc>
          <w:tcPr>
            <w:tcW w:w="952" w:type="pct"/>
            <w:tcBorders>
              <w:top w:val="single" w:sz="4" w:space="0" w:color="auto"/>
              <w:bottom w:val="nil"/>
            </w:tcBorders>
          </w:tcPr>
          <w:p w14:paraId="2678E3F5" w14:textId="77777777" w:rsidR="00B5076E" w:rsidRPr="004C78D8" w:rsidRDefault="00B5076E" w:rsidP="00FB7C1F">
            <w:pPr>
              <w:jc w:val="left"/>
              <w:rPr>
                <w:sz w:val="18"/>
                <w:szCs w:val="18"/>
              </w:rPr>
            </w:pPr>
          </w:p>
        </w:tc>
        <w:tc>
          <w:tcPr>
            <w:tcW w:w="953" w:type="pct"/>
            <w:tcBorders>
              <w:top w:val="single" w:sz="4" w:space="0" w:color="auto"/>
              <w:bottom w:val="nil"/>
            </w:tcBorders>
          </w:tcPr>
          <w:p w14:paraId="094865B7" w14:textId="38300D3E" w:rsidR="00B5076E" w:rsidRPr="004C78D8" w:rsidRDefault="00B5076E" w:rsidP="00FB7C1F">
            <w:pPr>
              <w:jc w:val="left"/>
              <w:rPr>
                <w:sz w:val="18"/>
                <w:szCs w:val="18"/>
              </w:rPr>
            </w:pPr>
          </w:p>
        </w:tc>
      </w:tr>
      <w:tr w:rsidR="00B5076E" w:rsidRPr="004C78D8" w14:paraId="171AAFEE" w14:textId="77777777" w:rsidTr="00E35893">
        <w:tc>
          <w:tcPr>
            <w:tcW w:w="1191" w:type="pct"/>
            <w:tcBorders>
              <w:top w:val="nil"/>
              <w:bottom w:val="nil"/>
            </w:tcBorders>
          </w:tcPr>
          <w:p w14:paraId="07DAB53F" w14:textId="3A9D1873" w:rsidR="00B5076E" w:rsidRPr="004C78D8" w:rsidRDefault="00B5076E" w:rsidP="00FB7C1F">
            <w:pPr>
              <w:jc w:val="right"/>
              <w:rPr>
                <w:i/>
                <w:iCs/>
                <w:sz w:val="18"/>
                <w:szCs w:val="18"/>
              </w:rPr>
            </w:pPr>
            <w:r w:rsidRPr="004C78D8">
              <w:rPr>
                <w:i/>
                <w:iCs/>
                <w:sz w:val="18"/>
                <w:szCs w:val="18"/>
              </w:rPr>
              <w:t xml:space="preserve">(1) All-cause </w:t>
            </w:r>
            <w:r w:rsidR="009E4AC6" w:rsidRPr="004C78D8">
              <w:rPr>
                <w:i/>
                <w:iCs/>
                <w:sz w:val="18"/>
                <w:szCs w:val="18"/>
              </w:rPr>
              <w:t>PS</w:t>
            </w:r>
            <w:r w:rsidRPr="004C78D8">
              <w:rPr>
                <w:i/>
                <w:iCs/>
                <w:sz w:val="18"/>
                <w:szCs w:val="18"/>
              </w:rPr>
              <w:t xml:space="preserve"> costs</w:t>
            </w:r>
            <w:r w:rsidR="008C2A11" w:rsidRPr="004C78D8">
              <w:rPr>
                <w:i/>
                <w:iCs/>
                <w:sz w:val="18"/>
                <w:szCs w:val="18"/>
                <w:vertAlign w:val="superscript"/>
              </w:rPr>
              <w:t>4</w:t>
            </w:r>
          </w:p>
        </w:tc>
        <w:tc>
          <w:tcPr>
            <w:tcW w:w="951" w:type="pct"/>
            <w:tcBorders>
              <w:top w:val="nil"/>
              <w:bottom w:val="nil"/>
            </w:tcBorders>
          </w:tcPr>
          <w:p w14:paraId="6C67D447" w14:textId="50EDFB4C" w:rsidR="00B5076E" w:rsidRPr="004C78D8" w:rsidRDefault="00DF644E" w:rsidP="00FB7C1F">
            <w:pPr>
              <w:jc w:val="left"/>
              <w:rPr>
                <w:sz w:val="18"/>
                <w:szCs w:val="18"/>
              </w:rPr>
            </w:pPr>
            <w:r w:rsidRPr="004C78D8">
              <w:rPr>
                <w:sz w:val="18"/>
                <w:szCs w:val="18"/>
              </w:rPr>
              <w:t>-£57,066,208</w:t>
            </w:r>
          </w:p>
        </w:tc>
        <w:tc>
          <w:tcPr>
            <w:tcW w:w="954" w:type="pct"/>
            <w:tcBorders>
              <w:top w:val="nil"/>
              <w:bottom w:val="nil"/>
            </w:tcBorders>
          </w:tcPr>
          <w:p w14:paraId="66478FF1" w14:textId="18977525" w:rsidR="00B5076E" w:rsidRPr="004C78D8" w:rsidRDefault="00697862" w:rsidP="00FB7C1F">
            <w:pPr>
              <w:jc w:val="left"/>
              <w:rPr>
                <w:sz w:val="18"/>
                <w:szCs w:val="18"/>
              </w:rPr>
            </w:pPr>
            <w:r w:rsidRPr="004C78D8">
              <w:rPr>
                <w:sz w:val="18"/>
                <w:szCs w:val="18"/>
              </w:rPr>
              <w:t>-£43,622,063</w:t>
            </w:r>
          </w:p>
        </w:tc>
        <w:tc>
          <w:tcPr>
            <w:tcW w:w="952" w:type="pct"/>
            <w:tcBorders>
              <w:top w:val="nil"/>
              <w:bottom w:val="nil"/>
            </w:tcBorders>
          </w:tcPr>
          <w:p w14:paraId="27BF6A46" w14:textId="46D835AA" w:rsidR="00B5076E" w:rsidRPr="004C78D8" w:rsidRDefault="00BF1D13" w:rsidP="00FB7C1F">
            <w:pPr>
              <w:jc w:val="left"/>
              <w:rPr>
                <w:sz w:val="18"/>
                <w:szCs w:val="18"/>
              </w:rPr>
            </w:pPr>
            <w:r w:rsidRPr="004C78D8">
              <w:rPr>
                <w:sz w:val="18"/>
                <w:szCs w:val="18"/>
              </w:rPr>
              <w:t>-£61,839,683</w:t>
            </w:r>
          </w:p>
        </w:tc>
        <w:tc>
          <w:tcPr>
            <w:tcW w:w="953" w:type="pct"/>
            <w:tcBorders>
              <w:top w:val="nil"/>
              <w:bottom w:val="nil"/>
            </w:tcBorders>
          </w:tcPr>
          <w:p w14:paraId="6269FCF8" w14:textId="5A92B240" w:rsidR="00B5076E" w:rsidRPr="004C78D8" w:rsidRDefault="00CE18C6" w:rsidP="00FB7C1F">
            <w:pPr>
              <w:jc w:val="left"/>
              <w:rPr>
                <w:sz w:val="18"/>
                <w:szCs w:val="18"/>
              </w:rPr>
            </w:pPr>
            <w:r w:rsidRPr="004C78D8">
              <w:rPr>
                <w:sz w:val="18"/>
                <w:szCs w:val="18"/>
              </w:rPr>
              <w:t>-£69,811,771</w:t>
            </w:r>
          </w:p>
        </w:tc>
      </w:tr>
      <w:tr w:rsidR="00B5076E" w:rsidRPr="004C78D8" w14:paraId="08AA5252" w14:textId="77777777" w:rsidTr="00E35893">
        <w:tc>
          <w:tcPr>
            <w:tcW w:w="1191" w:type="pct"/>
            <w:tcBorders>
              <w:top w:val="nil"/>
              <w:bottom w:val="nil"/>
            </w:tcBorders>
          </w:tcPr>
          <w:p w14:paraId="75DBFE45" w14:textId="7AAAB7A1" w:rsidR="00B5076E" w:rsidRPr="004C78D8" w:rsidRDefault="00B5076E" w:rsidP="00FB7C1F">
            <w:pPr>
              <w:jc w:val="right"/>
              <w:rPr>
                <w:i/>
                <w:iCs/>
                <w:sz w:val="18"/>
                <w:szCs w:val="18"/>
              </w:rPr>
            </w:pPr>
            <w:r w:rsidRPr="004C78D8">
              <w:rPr>
                <w:i/>
                <w:iCs/>
                <w:sz w:val="18"/>
                <w:szCs w:val="18"/>
              </w:rPr>
              <w:t xml:space="preserve">(2) Fall-related </w:t>
            </w:r>
            <w:r w:rsidR="009E4AC6" w:rsidRPr="004C78D8">
              <w:rPr>
                <w:i/>
                <w:iCs/>
                <w:sz w:val="18"/>
                <w:szCs w:val="18"/>
              </w:rPr>
              <w:t>HC</w:t>
            </w:r>
            <w:r w:rsidRPr="004C78D8">
              <w:rPr>
                <w:i/>
                <w:iCs/>
                <w:sz w:val="18"/>
                <w:szCs w:val="18"/>
              </w:rPr>
              <w:t xml:space="preserve"> costs</w:t>
            </w:r>
          </w:p>
        </w:tc>
        <w:tc>
          <w:tcPr>
            <w:tcW w:w="951" w:type="pct"/>
            <w:tcBorders>
              <w:top w:val="nil"/>
              <w:bottom w:val="nil"/>
            </w:tcBorders>
          </w:tcPr>
          <w:p w14:paraId="13B6A1D8" w14:textId="6BE13081" w:rsidR="00B5076E" w:rsidRPr="004C78D8" w:rsidRDefault="00DF644E" w:rsidP="00FB7C1F">
            <w:pPr>
              <w:jc w:val="left"/>
              <w:rPr>
                <w:sz w:val="18"/>
                <w:szCs w:val="18"/>
              </w:rPr>
            </w:pPr>
            <w:r w:rsidRPr="004C78D8">
              <w:rPr>
                <w:sz w:val="18"/>
                <w:szCs w:val="18"/>
              </w:rPr>
              <w:t>-£49,696,650</w:t>
            </w:r>
          </w:p>
        </w:tc>
        <w:tc>
          <w:tcPr>
            <w:tcW w:w="954" w:type="pct"/>
            <w:tcBorders>
              <w:top w:val="nil"/>
              <w:bottom w:val="nil"/>
            </w:tcBorders>
          </w:tcPr>
          <w:p w14:paraId="606B89D9" w14:textId="7FA72C74" w:rsidR="00B5076E" w:rsidRPr="004C78D8" w:rsidRDefault="00697862" w:rsidP="00FB7C1F">
            <w:pPr>
              <w:jc w:val="left"/>
              <w:rPr>
                <w:sz w:val="18"/>
                <w:szCs w:val="18"/>
              </w:rPr>
            </w:pPr>
            <w:r w:rsidRPr="004C78D8">
              <w:rPr>
                <w:sz w:val="18"/>
                <w:szCs w:val="18"/>
              </w:rPr>
              <w:t>-£36,752,916</w:t>
            </w:r>
          </w:p>
        </w:tc>
        <w:tc>
          <w:tcPr>
            <w:tcW w:w="952" w:type="pct"/>
            <w:tcBorders>
              <w:top w:val="nil"/>
              <w:bottom w:val="nil"/>
            </w:tcBorders>
          </w:tcPr>
          <w:p w14:paraId="037B7B19" w14:textId="43835652" w:rsidR="00B5076E" w:rsidRPr="004C78D8" w:rsidRDefault="00BF1D13" w:rsidP="00FB7C1F">
            <w:pPr>
              <w:jc w:val="left"/>
              <w:rPr>
                <w:sz w:val="18"/>
                <w:szCs w:val="18"/>
              </w:rPr>
            </w:pPr>
            <w:r w:rsidRPr="004C78D8">
              <w:rPr>
                <w:sz w:val="18"/>
                <w:szCs w:val="18"/>
              </w:rPr>
              <w:t>-£58,952,362</w:t>
            </w:r>
          </w:p>
        </w:tc>
        <w:tc>
          <w:tcPr>
            <w:tcW w:w="953" w:type="pct"/>
            <w:tcBorders>
              <w:top w:val="nil"/>
              <w:bottom w:val="nil"/>
            </w:tcBorders>
          </w:tcPr>
          <w:p w14:paraId="18943462" w14:textId="38050489" w:rsidR="00B5076E" w:rsidRPr="004C78D8" w:rsidRDefault="00CE18C6" w:rsidP="00FB7C1F">
            <w:pPr>
              <w:jc w:val="left"/>
              <w:rPr>
                <w:sz w:val="18"/>
                <w:szCs w:val="18"/>
              </w:rPr>
            </w:pPr>
            <w:r w:rsidRPr="004C78D8">
              <w:rPr>
                <w:sz w:val="18"/>
                <w:szCs w:val="18"/>
              </w:rPr>
              <w:t>-£61,888,647</w:t>
            </w:r>
          </w:p>
        </w:tc>
      </w:tr>
      <w:tr w:rsidR="00B5076E" w:rsidRPr="004C78D8" w14:paraId="3EB5A690" w14:textId="77777777" w:rsidTr="00E35893">
        <w:tc>
          <w:tcPr>
            <w:tcW w:w="1191" w:type="pct"/>
            <w:tcBorders>
              <w:top w:val="nil"/>
              <w:bottom w:val="nil"/>
            </w:tcBorders>
          </w:tcPr>
          <w:p w14:paraId="0924C88B" w14:textId="768201BC" w:rsidR="00B5076E" w:rsidRPr="004C78D8" w:rsidRDefault="009E4AC6" w:rsidP="00FB7C1F">
            <w:pPr>
              <w:jc w:val="right"/>
              <w:rPr>
                <w:i/>
                <w:iCs/>
                <w:sz w:val="18"/>
                <w:szCs w:val="18"/>
              </w:rPr>
            </w:pPr>
            <w:r w:rsidRPr="004C78D8">
              <w:rPr>
                <w:i/>
                <w:iCs/>
                <w:sz w:val="18"/>
                <w:szCs w:val="18"/>
              </w:rPr>
              <w:t>PS</w:t>
            </w:r>
            <w:r w:rsidR="00B5076E" w:rsidRPr="004C78D8">
              <w:rPr>
                <w:i/>
                <w:iCs/>
                <w:sz w:val="18"/>
                <w:szCs w:val="18"/>
              </w:rPr>
              <w:t xml:space="preserve"> intervention costs</w:t>
            </w:r>
          </w:p>
        </w:tc>
        <w:tc>
          <w:tcPr>
            <w:tcW w:w="951" w:type="pct"/>
            <w:tcBorders>
              <w:top w:val="nil"/>
              <w:bottom w:val="nil"/>
            </w:tcBorders>
          </w:tcPr>
          <w:p w14:paraId="632E2B2D" w14:textId="4B5695D6" w:rsidR="00B5076E" w:rsidRPr="004C78D8" w:rsidRDefault="00DF644E" w:rsidP="00FB7C1F">
            <w:pPr>
              <w:jc w:val="left"/>
              <w:rPr>
                <w:sz w:val="18"/>
                <w:szCs w:val="18"/>
              </w:rPr>
            </w:pPr>
            <w:r w:rsidRPr="004C78D8">
              <w:rPr>
                <w:sz w:val="18"/>
                <w:szCs w:val="18"/>
              </w:rPr>
              <w:t>£137,393,185</w:t>
            </w:r>
          </w:p>
        </w:tc>
        <w:tc>
          <w:tcPr>
            <w:tcW w:w="954" w:type="pct"/>
            <w:tcBorders>
              <w:top w:val="nil"/>
              <w:bottom w:val="nil"/>
            </w:tcBorders>
          </w:tcPr>
          <w:p w14:paraId="7D3B3D67" w14:textId="1453CC85" w:rsidR="00B5076E" w:rsidRPr="004C78D8" w:rsidRDefault="00DC4C41" w:rsidP="00FB7C1F">
            <w:pPr>
              <w:jc w:val="left"/>
              <w:rPr>
                <w:sz w:val="18"/>
                <w:szCs w:val="18"/>
              </w:rPr>
            </w:pPr>
            <w:r w:rsidRPr="004C78D8">
              <w:rPr>
                <w:sz w:val="18"/>
                <w:szCs w:val="18"/>
              </w:rPr>
              <w:t>£150,625,685</w:t>
            </w:r>
          </w:p>
        </w:tc>
        <w:tc>
          <w:tcPr>
            <w:tcW w:w="952" w:type="pct"/>
            <w:tcBorders>
              <w:top w:val="nil"/>
              <w:bottom w:val="nil"/>
            </w:tcBorders>
          </w:tcPr>
          <w:p w14:paraId="0DF223CB" w14:textId="7557FF04" w:rsidR="00B5076E" w:rsidRPr="004C78D8" w:rsidRDefault="00BE6DC5" w:rsidP="00FB7C1F">
            <w:pPr>
              <w:jc w:val="left"/>
              <w:rPr>
                <w:sz w:val="18"/>
                <w:szCs w:val="18"/>
              </w:rPr>
            </w:pPr>
            <w:r w:rsidRPr="004C78D8">
              <w:rPr>
                <w:sz w:val="18"/>
                <w:szCs w:val="18"/>
              </w:rPr>
              <w:t>£145,246,289</w:t>
            </w:r>
          </w:p>
        </w:tc>
        <w:tc>
          <w:tcPr>
            <w:tcW w:w="953" w:type="pct"/>
            <w:tcBorders>
              <w:top w:val="nil"/>
              <w:bottom w:val="nil"/>
            </w:tcBorders>
          </w:tcPr>
          <w:p w14:paraId="64AF9360" w14:textId="359C9245" w:rsidR="00B5076E" w:rsidRPr="004C78D8" w:rsidRDefault="00BE6DC5" w:rsidP="00FB7C1F">
            <w:pPr>
              <w:jc w:val="left"/>
              <w:rPr>
                <w:sz w:val="18"/>
                <w:szCs w:val="18"/>
              </w:rPr>
            </w:pPr>
            <w:r w:rsidRPr="004C78D8">
              <w:rPr>
                <w:sz w:val="18"/>
                <w:szCs w:val="18"/>
              </w:rPr>
              <w:t>£147,222,044</w:t>
            </w:r>
          </w:p>
        </w:tc>
      </w:tr>
      <w:tr w:rsidR="00B5076E" w:rsidRPr="004C78D8" w14:paraId="4C4ED7F1" w14:textId="77777777" w:rsidTr="00E35893">
        <w:tc>
          <w:tcPr>
            <w:tcW w:w="1191" w:type="pct"/>
            <w:tcBorders>
              <w:top w:val="nil"/>
              <w:bottom w:val="nil"/>
            </w:tcBorders>
          </w:tcPr>
          <w:p w14:paraId="59C3B03D" w14:textId="77777777" w:rsidR="00B5076E" w:rsidRPr="004C78D8" w:rsidRDefault="00B5076E" w:rsidP="00FB7C1F">
            <w:pPr>
              <w:jc w:val="left"/>
              <w:rPr>
                <w:sz w:val="18"/>
                <w:szCs w:val="18"/>
              </w:rPr>
            </w:pPr>
            <w:r w:rsidRPr="004C78D8">
              <w:rPr>
                <w:sz w:val="18"/>
                <w:szCs w:val="18"/>
              </w:rPr>
              <w:t>QALY</w:t>
            </w:r>
          </w:p>
        </w:tc>
        <w:tc>
          <w:tcPr>
            <w:tcW w:w="951" w:type="pct"/>
            <w:tcBorders>
              <w:top w:val="nil"/>
              <w:bottom w:val="nil"/>
            </w:tcBorders>
          </w:tcPr>
          <w:p w14:paraId="434CEA67" w14:textId="2E49343B" w:rsidR="00B5076E" w:rsidRPr="004C78D8" w:rsidRDefault="00CC6358" w:rsidP="00FB7C1F">
            <w:pPr>
              <w:jc w:val="left"/>
              <w:rPr>
                <w:sz w:val="18"/>
                <w:szCs w:val="18"/>
              </w:rPr>
            </w:pPr>
            <w:r w:rsidRPr="004C78D8">
              <w:rPr>
                <w:sz w:val="18"/>
                <w:szCs w:val="18"/>
              </w:rPr>
              <w:t>5,</w:t>
            </w:r>
            <w:r w:rsidR="00DF644E" w:rsidRPr="004C78D8">
              <w:rPr>
                <w:sz w:val="18"/>
                <w:szCs w:val="18"/>
              </w:rPr>
              <w:t>994</w:t>
            </w:r>
          </w:p>
        </w:tc>
        <w:tc>
          <w:tcPr>
            <w:tcW w:w="954" w:type="pct"/>
            <w:tcBorders>
              <w:top w:val="nil"/>
              <w:bottom w:val="nil"/>
            </w:tcBorders>
          </w:tcPr>
          <w:p w14:paraId="78C94DE0" w14:textId="75DE6786" w:rsidR="00B5076E" w:rsidRPr="004C78D8" w:rsidRDefault="00697862" w:rsidP="00FB7C1F">
            <w:pPr>
              <w:jc w:val="left"/>
              <w:rPr>
                <w:sz w:val="18"/>
                <w:szCs w:val="18"/>
              </w:rPr>
            </w:pPr>
            <w:r w:rsidRPr="004C78D8">
              <w:rPr>
                <w:sz w:val="18"/>
                <w:szCs w:val="18"/>
              </w:rPr>
              <w:t>6</w:t>
            </w:r>
            <w:r w:rsidR="00732196" w:rsidRPr="004C78D8">
              <w:rPr>
                <w:sz w:val="18"/>
                <w:szCs w:val="18"/>
              </w:rPr>
              <w:t>,</w:t>
            </w:r>
            <w:r w:rsidRPr="004C78D8">
              <w:rPr>
                <w:sz w:val="18"/>
                <w:szCs w:val="18"/>
              </w:rPr>
              <w:t>041</w:t>
            </w:r>
          </w:p>
        </w:tc>
        <w:tc>
          <w:tcPr>
            <w:tcW w:w="952" w:type="pct"/>
            <w:tcBorders>
              <w:top w:val="nil"/>
              <w:bottom w:val="nil"/>
            </w:tcBorders>
          </w:tcPr>
          <w:p w14:paraId="3664C253" w14:textId="25FC4083" w:rsidR="00B5076E" w:rsidRPr="004C78D8" w:rsidRDefault="00732196" w:rsidP="00FB7C1F">
            <w:pPr>
              <w:jc w:val="left"/>
              <w:rPr>
                <w:sz w:val="18"/>
                <w:szCs w:val="18"/>
              </w:rPr>
            </w:pPr>
            <w:r w:rsidRPr="004C78D8">
              <w:rPr>
                <w:sz w:val="18"/>
                <w:szCs w:val="18"/>
              </w:rPr>
              <w:t>6,</w:t>
            </w:r>
            <w:r w:rsidR="00BF1D13" w:rsidRPr="004C78D8">
              <w:rPr>
                <w:sz w:val="18"/>
                <w:szCs w:val="18"/>
              </w:rPr>
              <w:t>311</w:t>
            </w:r>
          </w:p>
        </w:tc>
        <w:tc>
          <w:tcPr>
            <w:tcW w:w="953" w:type="pct"/>
            <w:tcBorders>
              <w:top w:val="nil"/>
              <w:bottom w:val="nil"/>
            </w:tcBorders>
          </w:tcPr>
          <w:p w14:paraId="5DBD901F" w14:textId="52EC5CBD" w:rsidR="00B5076E" w:rsidRPr="004C78D8" w:rsidRDefault="00CE18C6" w:rsidP="00FB7C1F">
            <w:pPr>
              <w:jc w:val="left"/>
              <w:rPr>
                <w:sz w:val="18"/>
                <w:szCs w:val="18"/>
              </w:rPr>
            </w:pPr>
            <w:r w:rsidRPr="004C78D8">
              <w:rPr>
                <w:sz w:val="18"/>
                <w:szCs w:val="18"/>
              </w:rPr>
              <w:t>8</w:t>
            </w:r>
            <w:r w:rsidR="00232924" w:rsidRPr="004C78D8">
              <w:rPr>
                <w:sz w:val="18"/>
                <w:szCs w:val="18"/>
              </w:rPr>
              <w:t>,</w:t>
            </w:r>
            <w:r w:rsidRPr="004C78D8">
              <w:rPr>
                <w:sz w:val="18"/>
                <w:szCs w:val="18"/>
              </w:rPr>
              <w:t>644</w:t>
            </w:r>
          </w:p>
        </w:tc>
      </w:tr>
      <w:tr w:rsidR="00B5076E" w:rsidRPr="004C78D8" w14:paraId="1F379F0A" w14:textId="77777777" w:rsidTr="00E35893">
        <w:tc>
          <w:tcPr>
            <w:tcW w:w="1191" w:type="pct"/>
            <w:tcBorders>
              <w:top w:val="nil"/>
              <w:bottom w:val="nil"/>
            </w:tcBorders>
          </w:tcPr>
          <w:p w14:paraId="07BF1ADC" w14:textId="77777777" w:rsidR="00B5076E" w:rsidRPr="004C78D8" w:rsidRDefault="00B5076E" w:rsidP="00FB7C1F">
            <w:pPr>
              <w:jc w:val="left"/>
              <w:rPr>
                <w:sz w:val="18"/>
                <w:szCs w:val="18"/>
              </w:rPr>
            </w:pPr>
            <w:r w:rsidRPr="004C78D8">
              <w:rPr>
                <w:sz w:val="18"/>
                <w:szCs w:val="18"/>
              </w:rPr>
              <w:t>Societal outcomes</w:t>
            </w:r>
          </w:p>
        </w:tc>
        <w:tc>
          <w:tcPr>
            <w:tcW w:w="951" w:type="pct"/>
            <w:tcBorders>
              <w:top w:val="nil"/>
              <w:bottom w:val="nil"/>
            </w:tcBorders>
          </w:tcPr>
          <w:p w14:paraId="49762963" w14:textId="77777777" w:rsidR="00B5076E" w:rsidRPr="004C78D8" w:rsidRDefault="00B5076E" w:rsidP="00FB7C1F">
            <w:pPr>
              <w:jc w:val="left"/>
              <w:rPr>
                <w:sz w:val="18"/>
                <w:szCs w:val="18"/>
              </w:rPr>
            </w:pPr>
          </w:p>
        </w:tc>
        <w:tc>
          <w:tcPr>
            <w:tcW w:w="954" w:type="pct"/>
            <w:tcBorders>
              <w:top w:val="nil"/>
              <w:bottom w:val="nil"/>
            </w:tcBorders>
          </w:tcPr>
          <w:p w14:paraId="551E8F09" w14:textId="77777777" w:rsidR="00B5076E" w:rsidRPr="004C78D8" w:rsidRDefault="00B5076E" w:rsidP="00FB7C1F">
            <w:pPr>
              <w:jc w:val="left"/>
              <w:rPr>
                <w:sz w:val="18"/>
                <w:szCs w:val="18"/>
              </w:rPr>
            </w:pPr>
          </w:p>
        </w:tc>
        <w:tc>
          <w:tcPr>
            <w:tcW w:w="952" w:type="pct"/>
            <w:tcBorders>
              <w:top w:val="nil"/>
              <w:bottom w:val="nil"/>
            </w:tcBorders>
          </w:tcPr>
          <w:p w14:paraId="0A9A386E" w14:textId="77777777" w:rsidR="00B5076E" w:rsidRPr="004C78D8" w:rsidRDefault="00B5076E" w:rsidP="00FB7C1F">
            <w:pPr>
              <w:jc w:val="left"/>
              <w:rPr>
                <w:sz w:val="18"/>
                <w:szCs w:val="18"/>
              </w:rPr>
            </w:pPr>
          </w:p>
        </w:tc>
        <w:tc>
          <w:tcPr>
            <w:tcW w:w="953" w:type="pct"/>
            <w:tcBorders>
              <w:top w:val="nil"/>
              <w:bottom w:val="nil"/>
            </w:tcBorders>
          </w:tcPr>
          <w:p w14:paraId="10621E78" w14:textId="527FC44A" w:rsidR="00B5076E" w:rsidRPr="004C78D8" w:rsidRDefault="00B5076E" w:rsidP="00FB7C1F">
            <w:pPr>
              <w:jc w:val="left"/>
              <w:rPr>
                <w:sz w:val="18"/>
                <w:szCs w:val="18"/>
              </w:rPr>
            </w:pPr>
          </w:p>
        </w:tc>
      </w:tr>
      <w:tr w:rsidR="00B5076E" w:rsidRPr="004C78D8" w14:paraId="16A6F13A" w14:textId="77777777" w:rsidTr="00E35893">
        <w:tc>
          <w:tcPr>
            <w:tcW w:w="1191" w:type="pct"/>
            <w:tcBorders>
              <w:top w:val="nil"/>
              <w:bottom w:val="nil"/>
            </w:tcBorders>
          </w:tcPr>
          <w:p w14:paraId="33DCF403" w14:textId="51407A99" w:rsidR="00B5076E" w:rsidRPr="004C78D8" w:rsidRDefault="00B5076E" w:rsidP="00FB7C1F">
            <w:pPr>
              <w:jc w:val="right"/>
              <w:rPr>
                <w:i/>
                <w:iCs/>
                <w:sz w:val="18"/>
                <w:szCs w:val="18"/>
              </w:rPr>
            </w:pPr>
            <w:r w:rsidRPr="004C78D8">
              <w:rPr>
                <w:i/>
                <w:iCs/>
                <w:sz w:val="18"/>
                <w:szCs w:val="18"/>
              </w:rPr>
              <w:t>Net productivity</w:t>
            </w:r>
            <w:r w:rsidR="008C2A11" w:rsidRPr="004C78D8">
              <w:rPr>
                <w:i/>
                <w:iCs/>
                <w:sz w:val="18"/>
                <w:szCs w:val="18"/>
                <w:vertAlign w:val="superscript"/>
              </w:rPr>
              <w:t>5</w:t>
            </w:r>
          </w:p>
        </w:tc>
        <w:tc>
          <w:tcPr>
            <w:tcW w:w="951" w:type="pct"/>
            <w:tcBorders>
              <w:top w:val="nil"/>
              <w:bottom w:val="nil"/>
            </w:tcBorders>
          </w:tcPr>
          <w:p w14:paraId="3E89E577" w14:textId="7E9C8538" w:rsidR="00B5076E" w:rsidRPr="004C78D8" w:rsidRDefault="00DF644E" w:rsidP="00FB7C1F">
            <w:pPr>
              <w:jc w:val="left"/>
              <w:rPr>
                <w:sz w:val="18"/>
                <w:szCs w:val="18"/>
              </w:rPr>
            </w:pPr>
            <w:r w:rsidRPr="004C78D8">
              <w:rPr>
                <w:sz w:val="18"/>
                <w:szCs w:val="18"/>
              </w:rPr>
              <w:t>£12,264,692</w:t>
            </w:r>
          </w:p>
        </w:tc>
        <w:tc>
          <w:tcPr>
            <w:tcW w:w="954" w:type="pct"/>
            <w:tcBorders>
              <w:top w:val="nil"/>
              <w:bottom w:val="nil"/>
            </w:tcBorders>
          </w:tcPr>
          <w:p w14:paraId="4B34DFEB" w14:textId="7943C0DF" w:rsidR="00B5076E" w:rsidRPr="004C78D8" w:rsidRDefault="00697862" w:rsidP="00FB7C1F">
            <w:pPr>
              <w:jc w:val="left"/>
              <w:rPr>
                <w:sz w:val="18"/>
                <w:szCs w:val="18"/>
              </w:rPr>
            </w:pPr>
            <w:r w:rsidRPr="004C78D8">
              <w:rPr>
                <w:sz w:val="18"/>
                <w:szCs w:val="18"/>
              </w:rPr>
              <w:t>£12,872,752</w:t>
            </w:r>
          </w:p>
        </w:tc>
        <w:tc>
          <w:tcPr>
            <w:tcW w:w="952" w:type="pct"/>
            <w:tcBorders>
              <w:top w:val="nil"/>
              <w:bottom w:val="nil"/>
            </w:tcBorders>
          </w:tcPr>
          <w:p w14:paraId="4355C05F" w14:textId="76C62ED6" w:rsidR="00B5076E" w:rsidRPr="004C78D8" w:rsidRDefault="00BF1D13" w:rsidP="00FB7C1F">
            <w:pPr>
              <w:jc w:val="left"/>
              <w:rPr>
                <w:sz w:val="18"/>
                <w:szCs w:val="18"/>
              </w:rPr>
            </w:pPr>
            <w:r w:rsidRPr="004C78D8">
              <w:rPr>
                <w:sz w:val="18"/>
                <w:szCs w:val="18"/>
              </w:rPr>
              <w:t>£11,764,657</w:t>
            </w:r>
          </w:p>
        </w:tc>
        <w:tc>
          <w:tcPr>
            <w:tcW w:w="953" w:type="pct"/>
            <w:tcBorders>
              <w:top w:val="nil"/>
              <w:bottom w:val="nil"/>
            </w:tcBorders>
          </w:tcPr>
          <w:p w14:paraId="467F2478" w14:textId="1CD7FC7D" w:rsidR="00B5076E" w:rsidRPr="004C78D8" w:rsidRDefault="00CE18C6" w:rsidP="00FB7C1F">
            <w:pPr>
              <w:jc w:val="left"/>
              <w:rPr>
                <w:sz w:val="18"/>
                <w:szCs w:val="18"/>
              </w:rPr>
            </w:pPr>
            <w:r w:rsidRPr="004C78D8">
              <w:rPr>
                <w:sz w:val="18"/>
                <w:szCs w:val="18"/>
              </w:rPr>
              <w:t>£21,733,042</w:t>
            </w:r>
          </w:p>
        </w:tc>
      </w:tr>
      <w:tr w:rsidR="00B5076E" w:rsidRPr="004C78D8" w14:paraId="2B4CC30A" w14:textId="77777777" w:rsidTr="00E35893">
        <w:trPr>
          <w:trHeight w:val="80"/>
        </w:trPr>
        <w:tc>
          <w:tcPr>
            <w:tcW w:w="1191" w:type="pct"/>
            <w:tcBorders>
              <w:top w:val="nil"/>
              <w:bottom w:val="nil"/>
            </w:tcBorders>
          </w:tcPr>
          <w:p w14:paraId="1D810B8C" w14:textId="3632098C" w:rsidR="00B5076E" w:rsidRPr="004C78D8" w:rsidRDefault="00B5076E" w:rsidP="00FB7C1F">
            <w:pPr>
              <w:jc w:val="right"/>
              <w:rPr>
                <w:i/>
                <w:iCs/>
                <w:sz w:val="18"/>
                <w:szCs w:val="18"/>
              </w:rPr>
            </w:pPr>
            <w:r w:rsidRPr="004C78D8">
              <w:rPr>
                <w:i/>
                <w:iCs/>
                <w:sz w:val="18"/>
                <w:szCs w:val="18"/>
              </w:rPr>
              <w:t>Net private expenditure</w:t>
            </w:r>
            <w:r w:rsidR="008C2A11" w:rsidRPr="004C78D8">
              <w:rPr>
                <w:i/>
                <w:iCs/>
                <w:sz w:val="18"/>
                <w:szCs w:val="18"/>
                <w:vertAlign w:val="superscript"/>
              </w:rPr>
              <w:t>6</w:t>
            </w:r>
          </w:p>
        </w:tc>
        <w:tc>
          <w:tcPr>
            <w:tcW w:w="951" w:type="pct"/>
            <w:tcBorders>
              <w:top w:val="nil"/>
              <w:bottom w:val="nil"/>
            </w:tcBorders>
          </w:tcPr>
          <w:p w14:paraId="7AA4CCA7" w14:textId="053F8972" w:rsidR="00B5076E" w:rsidRPr="004C78D8" w:rsidRDefault="00DF644E" w:rsidP="00FB7C1F">
            <w:pPr>
              <w:jc w:val="left"/>
              <w:rPr>
                <w:sz w:val="18"/>
                <w:szCs w:val="18"/>
              </w:rPr>
            </w:pPr>
            <w:r w:rsidRPr="004C78D8">
              <w:rPr>
                <w:sz w:val="18"/>
                <w:szCs w:val="18"/>
              </w:rPr>
              <w:t>£5,143,640</w:t>
            </w:r>
          </w:p>
        </w:tc>
        <w:tc>
          <w:tcPr>
            <w:tcW w:w="954" w:type="pct"/>
            <w:tcBorders>
              <w:top w:val="nil"/>
              <w:bottom w:val="nil"/>
            </w:tcBorders>
          </w:tcPr>
          <w:p w14:paraId="1F4C17DC" w14:textId="7786F646" w:rsidR="00B5076E" w:rsidRPr="004C78D8" w:rsidRDefault="00697862" w:rsidP="00FB7C1F">
            <w:pPr>
              <w:jc w:val="left"/>
              <w:rPr>
                <w:sz w:val="18"/>
                <w:szCs w:val="18"/>
              </w:rPr>
            </w:pPr>
            <w:r w:rsidRPr="004C78D8">
              <w:rPr>
                <w:sz w:val="18"/>
                <w:szCs w:val="18"/>
              </w:rPr>
              <w:t>£12,275,670</w:t>
            </w:r>
          </w:p>
        </w:tc>
        <w:tc>
          <w:tcPr>
            <w:tcW w:w="952" w:type="pct"/>
            <w:tcBorders>
              <w:top w:val="nil"/>
              <w:bottom w:val="nil"/>
            </w:tcBorders>
          </w:tcPr>
          <w:p w14:paraId="67CFFAC7" w14:textId="4E0CF741" w:rsidR="00B5076E" w:rsidRPr="004C78D8" w:rsidRDefault="00BF1D13" w:rsidP="00FB7C1F">
            <w:pPr>
              <w:jc w:val="left"/>
              <w:rPr>
                <w:sz w:val="18"/>
                <w:szCs w:val="18"/>
              </w:rPr>
            </w:pPr>
            <w:r w:rsidRPr="004C78D8">
              <w:rPr>
                <w:sz w:val="18"/>
                <w:szCs w:val="18"/>
              </w:rPr>
              <w:t>£2,241,392</w:t>
            </w:r>
          </w:p>
        </w:tc>
        <w:tc>
          <w:tcPr>
            <w:tcW w:w="953" w:type="pct"/>
            <w:tcBorders>
              <w:top w:val="nil"/>
              <w:bottom w:val="nil"/>
            </w:tcBorders>
          </w:tcPr>
          <w:p w14:paraId="453C09B2" w14:textId="3F0AE1C6" w:rsidR="00B5076E" w:rsidRPr="004C78D8" w:rsidRDefault="00CE18C6" w:rsidP="00FB7C1F">
            <w:pPr>
              <w:jc w:val="left"/>
              <w:rPr>
                <w:sz w:val="18"/>
                <w:szCs w:val="18"/>
              </w:rPr>
            </w:pPr>
            <w:r w:rsidRPr="004C78D8">
              <w:rPr>
                <w:sz w:val="18"/>
                <w:szCs w:val="18"/>
              </w:rPr>
              <w:t>£3,137,833</w:t>
            </w:r>
          </w:p>
        </w:tc>
      </w:tr>
      <w:tr w:rsidR="00B5076E" w:rsidRPr="004C78D8" w14:paraId="76718F00" w14:textId="77777777" w:rsidTr="00E35893">
        <w:tc>
          <w:tcPr>
            <w:tcW w:w="1191" w:type="pct"/>
            <w:tcBorders>
              <w:top w:val="nil"/>
              <w:bottom w:val="nil"/>
            </w:tcBorders>
          </w:tcPr>
          <w:p w14:paraId="3AE31426" w14:textId="31A99042" w:rsidR="00B5076E" w:rsidRPr="004C78D8" w:rsidRDefault="00B5076E" w:rsidP="00FB7C1F">
            <w:pPr>
              <w:jc w:val="right"/>
              <w:rPr>
                <w:i/>
                <w:iCs/>
                <w:sz w:val="18"/>
                <w:szCs w:val="18"/>
              </w:rPr>
            </w:pPr>
            <w:r w:rsidRPr="004C78D8">
              <w:rPr>
                <w:i/>
                <w:iCs/>
                <w:sz w:val="18"/>
                <w:szCs w:val="18"/>
              </w:rPr>
              <w:t>Net informal care cost</w:t>
            </w:r>
            <w:r w:rsidR="008C2A11" w:rsidRPr="004C78D8">
              <w:rPr>
                <w:i/>
                <w:iCs/>
                <w:sz w:val="18"/>
                <w:szCs w:val="18"/>
                <w:vertAlign w:val="superscript"/>
              </w:rPr>
              <w:t>7</w:t>
            </w:r>
          </w:p>
        </w:tc>
        <w:tc>
          <w:tcPr>
            <w:tcW w:w="951" w:type="pct"/>
            <w:tcBorders>
              <w:top w:val="nil"/>
              <w:bottom w:val="nil"/>
            </w:tcBorders>
          </w:tcPr>
          <w:p w14:paraId="3488D484" w14:textId="6C67EA93" w:rsidR="00B5076E" w:rsidRPr="004C78D8" w:rsidRDefault="00DF644E" w:rsidP="00FB7C1F">
            <w:pPr>
              <w:jc w:val="left"/>
              <w:rPr>
                <w:sz w:val="18"/>
                <w:szCs w:val="18"/>
              </w:rPr>
            </w:pPr>
            <w:r w:rsidRPr="004C78D8">
              <w:rPr>
                <w:sz w:val="18"/>
                <w:szCs w:val="18"/>
              </w:rPr>
              <w:t>-£21,891,439</w:t>
            </w:r>
          </w:p>
        </w:tc>
        <w:tc>
          <w:tcPr>
            <w:tcW w:w="954" w:type="pct"/>
            <w:tcBorders>
              <w:top w:val="nil"/>
              <w:bottom w:val="nil"/>
            </w:tcBorders>
          </w:tcPr>
          <w:p w14:paraId="004D9636" w14:textId="6B370334" w:rsidR="00B5076E" w:rsidRPr="004C78D8" w:rsidRDefault="00697862" w:rsidP="00FB7C1F">
            <w:pPr>
              <w:jc w:val="left"/>
              <w:rPr>
                <w:sz w:val="18"/>
                <w:szCs w:val="18"/>
              </w:rPr>
            </w:pPr>
            <w:r w:rsidRPr="004C78D8">
              <w:rPr>
                <w:sz w:val="18"/>
                <w:szCs w:val="18"/>
              </w:rPr>
              <w:t>-£40,304,980</w:t>
            </w:r>
          </w:p>
        </w:tc>
        <w:tc>
          <w:tcPr>
            <w:tcW w:w="952" w:type="pct"/>
            <w:tcBorders>
              <w:top w:val="nil"/>
              <w:bottom w:val="nil"/>
            </w:tcBorders>
          </w:tcPr>
          <w:p w14:paraId="652556EF" w14:textId="2C53838D" w:rsidR="00B5076E" w:rsidRPr="004C78D8" w:rsidRDefault="00BF1D13" w:rsidP="00FB7C1F">
            <w:pPr>
              <w:jc w:val="left"/>
              <w:rPr>
                <w:sz w:val="18"/>
                <w:szCs w:val="18"/>
              </w:rPr>
            </w:pPr>
            <w:r w:rsidRPr="004C78D8">
              <w:rPr>
                <w:sz w:val="18"/>
                <w:szCs w:val="18"/>
              </w:rPr>
              <w:t>-£15,241,467</w:t>
            </w:r>
          </w:p>
        </w:tc>
        <w:tc>
          <w:tcPr>
            <w:tcW w:w="953" w:type="pct"/>
            <w:tcBorders>
              <w:top w:val="nil"/>
              <w:bottom w:val="nil"/>
            </w:tcBorders>
          </w:tcPr>
          <w:p w14:paraId="3B884951" w14:textId="447291BF" w:rsidR="00B5076E" w:rsidRPr="004C78D8" w:rsidRDefault="00CE18C6" w:rsidP="00FB7C1F">
            <w:pPr>
              <w:jc w:val="left"/>
              <w:rPr>
                <w:sz w:val="18"/>
                <w:szCs w:val="18"/>
              </w:rPr>
            </w:pPr>
            <w:r w:rsidRPr="004C78D8">
              <w:rPr>
                <w:sz w:val="18"/>
                <w:szCs w:val="18"/>
              </w:rPr>
              <w:t>-£45,646,938</w:t>
            </w:r>
          </w:p>
        </w:tc>
      </w:tr>
      <w:tr w:rsidR="00B5076E" w:rsidRPr="004C78D8" w14:paraId="2923DCCB" w14:textId="77777777" w:rsidTr="00E35893">
        <w:tc>
          <w:tcPr>
            <w:tcW w:w="1191" w:type="pct"/>
            <w:tcBorders>
              <w:top w:val="nil"/>
              <w:bottom w:val="single" w:sz="4" w:space="0" w:color="auto"/>
            </w:tcBorders>
          </w:tcPr>
          <w:p w14:paraId="7D87F4C6" w14:textId="77777777" w:rsidR="00B5076E" w:rsidRPr="004C78D8" w:rsidRDefault="00B5076E" w:rsidP="00FB7C1F">
            <w:pPr>
              <w:jc w:val="left"/>
              <w:rPr>
                <w:sz w:val="18"/>
                <w:szCs w:val="18"/>
              </w:rPr>
            </w:pPr>
            <w:r w:rsidRPr="004C78D8">
              <w:rPr>
                <w:sz w:val="18"/>
                <w:szCs w:val="18"/>
              </w:rPr>
              <w:t>Societal gain, QALY equivalent</w:t>
            </w:r>
          </w:p>
        </w:tc>
        <w:tc>
          <w:tcPr>
            <w:tcW w:w="951" w:type="pct"/>
            <w:tcBorders>
              <w:top w:val="nil"/>
              <w:bottom w:val="single" w:sz="4" w:space="0" w:color="auto"/>
              <w:right w:val="single" w:sz="4" w:space="0" w:color="auto"/>
            </w:tcBorders>
          </w:tcPr>
          <w:p w14:paraId="63C640D8" w14:textId="4D0485CD" w:rsidR="00B5076E" w:rsidRPr="004C78D8" w:rsidRDefault="00DF644E" w:rsidP="00FB7C1F">
            <w:pPr>
              <w:jc w:val="left"/>
              <w:rPr>
                <w:sz w:val="18"/>
                <w:szCs w:val="18"/>
              </w:rPr>
            </w:pPr>
            <w:r w:rsidRPr="004C78D8">
              <w:rPr>
                <w:sz w:val="18"/>
                <w:szCs w:val="18"/>
              </w:rPr>
              <w:t>484</w:t>
            </w:r>
            <w:r w:rsidR="00732196" w:rsidRPr="004C78D8">
              <w:rPr>
                <w:sz w:val="18"/>
                <w:szCs w:val="18"/>
              </w:rPr>
              <w:t xml:space="preserve"> QALYs</w:t>
            </w:r>
          </w:p>
        </w:tc>
        <w:tc>
          <w:tcPr>
            <w:tcW w:w="954" w:type="pct"/>
            <w:tcBorders>
              <w:top w:val="nil"/>
              <w:left w:val="single" w:sz="4" w:space="0" w:color="auto"/>
              <w:bottom w:val="single" w:sz="4" w:space="0" w:color="auto"/>
            </w:tcBorders>
          </w:tcPr>
          <w:p w14:paraId="47B2947B" w14:textId="68676611" w:rsidR="00B5076E" w:rsidRPr="004C78D8" w:rsidRDefault="00697862" w:rsidP="00FB7C1F">
            <w:pPr>
              <w:jc w:val="left"/>
              <w:rPr>
                <w:sz w:val="18"/>
                <w:szCs w:val="18"/>
              </w:rPr>
            </w:pPr>
            <w:r w:rsidRPr="004C78D8">
              <w:rPr>
                <w:sz w:val="18"/>
                <w:szCs w:val="18"/>
              </w:rPr>
              <w:t>682</w:t>
            </w:r>
            <w:r w:rsidR="00732196" w:rsidRPr="004C78D8">
              <w:rPr>
                <w:sz w:val="18"/>
                <w:szCs w:val="18"/>
              </w:rPr>
              <w:t xml:space="preserve"> QALYs</w:t>
            </w:r>
          </w:p>
        </w:tc>
        <w:tc>
          <w:tcPr>
            <w:tcW w:w="952" w:type="pct"/>
            <w:tcBorders>
              <w:top w:val="nil"/>
              <w:bottom w:val="single" w:sz="4" w:space="0" w:color="auto"/>
            </w:tcBorders>
          </w:tcPr>
          <w:p w14:paraId="5AB90999" w14:textId="77EDBCB2" w:rsidR="00B5076E" w:rsidRPr="004C78D8" w:rsidRDefault="00BF1D13" w:rsidP="00FB7C1F">
            <w:pPr>
              <w:jc w:val="left"/>
              <w:rPr>
                <w:sz w:val="18"/>
                <w:szCs w:val="18"/>
              </w:rPr>
            </w:pPr>
            <w:r w:rsidRPr="004C78D8">
              <w:rPr>
                <w:sz w:val="18"/>
                <w:szCs w:val="18"/>
              </w:rPr>
              <w:t>413</w:t>
            </w:r>
            <w:r w:rsidR="00732196" w:rsidRPr="004C78D8">
              <w:rPr>
                <w:sz w:val="18"/>
                <w:szCs w:val="18"/>
              </w:rPr>
              <w:t xml:space="preserve"> QALYs</w:t>
            </w:r>
          </w:p>
        </w:tc>
        <w:tc>
          <w:tcPr>
            <w:tcW w:w="953" w:type="pct"/>
            <w:tcBorders>
              <w:top w:val="nil"/>
              <w:bottom w:val="single" w:sz="4" w:space="0" w:color="auto"/>
            </w:tcBorders>
          </w:tcPr>
          <w:p w14:paraId="28F70FBF" w14:textId="38FD614F" w:rsidR="00B5076E" w:rsidRPr="004C78D8" w:rsidRDefault="00CE18C6" w:rsidP="00FB7C1F">
            <w:pPr>
              <w:jc w:val="left"/>
              <w:rPr>
                <w:sz w:val="18"/>
                <w:szCs w:val="18"/>
              </w:rPr>
            </w:pPr>
            <w:r w:rsidRPr="004C78D8">
              <w:rPr>
                <w:sz w:val="18"/>
                <w:szCs w:val="18"/>
              </w:rPr>
              <w:t>1,071</w:t>
            </w:r>
            <w:r w:rsidR="00232924" w:rsidRPr="004C78D8">
              <w:rPr>
                <w:sz w:val="18"/>
                <w:szCs w:val="18"/>
              </w:rPr>
              <w:t xml:space="preserve"> QALYs</w:t>
            </w:r>
          </w:p>
        </w:tc>
      </w:tr>
      <w:tr w:rsidR="00DD2FB3" w:rsidRPr="004C78D8" w14:paraId="5C3A680C" w14:textId="77777777" w:rsidTr="00E35893">
        <w:tc>
          <w:tcPr>
            <w:tcW w:w="1191" w:type="pct"/>
            <w:tcBorders>
              <w:top w:val="single" w:sz="4" w:space="0" w:color="auto"/>
              <w:bottom w:val="nil"/>
            </w:tcBorders>
          </w:tcPr>
          <w:p w14:paraId="5FDA1962" w14:textId="77777777" w:rsidR="00DD2FB3" w:rsidRPr="004C78D8" w:rsidRDefault="00DD2FB3" w:rsidP="00FB7C1F">
            <w:pPr>
              <w:jc w:val="left"/>
              <w:rPr>
                <w:sz w:val="18"/>
                <w:szCs w:val="18"/>
              </w:rPr>
            </w:pPr>
            <w:r w:rsidRPr="004C78D8">
              <w:rPr>
                <w:sz w:val="18"/>
                <w:szCs w:val="18"/>
              </w:rPr>
              <w:t>Societal ICER using (1)</w:t>
            </w:r>
          </w:p>
        </w:tc>
        <w:tc>
          <w:tcPr>
            <w:tcW w:w="951" w:type="pct"/>
            <w:tcBorders>
              <w:top w:val="single" w:sz="4" w:space="0" w:color="auto"/>
              <w:bottom w:val="nil"/>
              <w:right w:val="single" w:sz="4" w:space="0" w:color="auto"/>
            </w:tcBorders>
          </w:tcPr>
          <w:p w14:paraId="4D0CA2F0" w14:textId="5DAE11F6" w:rsidR="00DD2FB3" w:rsidRPr="004C78D8" w:rsidRDefault="00DD2FB3" w:rsidP="00FB7C1F">
            <w:pPr>
              <w:jc w:val="left"/>
              <w:rPr>
                <w:sz w:val="18"/>
                <w:szCs w:val="18"/>
              </w:rPr>
            </w:pPr>
            <w:r w:rsidRPr="004C78D8">
              <w:rPr>
                <w:sz w:val="18"/>
                <w:szCs w:val="18"/>
              </w:rPr>
              <w:t>£1</w:t>
            </w:r>
            <w:r w:rsidR="00DF644E" w:rsidRPr="004C78D8">
              <w:rPr>
                <w:sz w:val="18"/>
                <w:szCs w:val="18"/>
              </w:rPr>
              <w:t>2</w:t>
            </w:r>
            <w:r w:rsidRPr="004C78D8">
              <w:rPr>
                <w:sz w:val="18"/>
                <w:szCs w:val="18"/>
              </w:rPr>
              <w:t>,</w:t>
            </w:r>
            <w:r w:rsidR="00DF644E" w:rsidRPr="004C78D8">
              <w:rPr>
                <w:sz w:val="18"/>
                <w:szCs w:val="18"/>
              </w:rPr>
              <w:t>401</w:t>
            </w:r>
            <w:r w:rsidRPr="004C78D8">
              <w:rPr>
                <w:sz w:val="18"/>
                <w:szCs w:val="18"/>
              </w:rPr>
              <w:t xml:space="preserve"> per QALY</w:t>
            </w:r>
            <w:r w:rsidR="00300461" w:rsidRPr="004C78D8">
              <w:rPr>
                <w:sz w:val="18"/>
                <w:szCs w:val="18"/>
              </w:rPr>
              <w:t xml:space="preserve"> gained</w:t>
            </w:r>
            <w:r w:rsidR="008C2A11" w:rsidRPr="004C78D8">
              <w:rPr>
                <w:sz w:val="18"/>
                <w:szCs w:val="18"/>
                <w:vertAlign w:val="superscript"/>
              </w:rPr>
              <w:t>8</w:t>
            </w:r>
          </w:p>
        </w:tc>
        <w:tc>
          <w:tcPr>
            <w:tcW w:w="954" w:type="pct"/>
            <w:tcBorders>
              <w:top w:val="single" w:sz="4" w:space="0" w:color="auto"/>
              <w:left w:val="single" w:sz="4" w:space="0" w:color="auto"/>
              <w:bottom w:val="nil"/>
            </w:tcBorders>
          </w:tcPr>
          <w:p w14:paraId="78D39EF6" w14:textId="57EF381D" w:rsidR="00DD2FB3" w:rsidRPr="004C78D8" w:rsidRDefault="00DD2FB3" w:rsidP="00FB7C1F">
            <w:pPr>
              <w:jc w:val="left"/>
              <w:rPr>
                <w:sz w:val="18"/>
                <w:szCs w:val="18"/>
              </w:rPr>
            </w:pPr>
            <w:r w:rsidRPr="004C78D8">
              <w:rPr>
                <w:sz w:val="18"/>
                <w:szCs w:val="18"/>
              </w:rPr>
              <w:t>£</w:t>
            </w:r>
            <w:r w:rsidR="00732196" w:rsidRPr="004C78D8">
              <w:rPr>
                <w:sz w:val="18"/>
                <w:szCs w:val="18"/>
              </w:rPr>
              <w:t>1</w:t>
            </w:r>
            <w:r w:rsidR="00DC4C41" w:rsidRPr="004C78D8">
              <w:rPr>
                <w:sz w:val="18"/>
                <w:szCs w:val="18"/>
              </w:rPr>
              <w:t>5</w:t>
            </w:r>
            <w:r w:rsidRPr="004C78D8">
              <w:rPr>
                <w:sz w:val="18"/>
                <w:szCs w:val="18"/>
              </w:rPr>
              <w:t>,</w:t>
            </w:r>
            <w:r w:rsidR="00732196" w:rsidRPr="004C78D8">
              <w:rPr>
                <w:sz w:val="18"/>
                <w:szCs w:val="18"/>
              </w:rPr>
              <w:t>9</w:t>
            </w:r>
            <w:r w:rsidR="00DC4C41" w:rsidRPr="004C78D8">
              <w:rPr>
                <w:sz w:val="18"/>
                <w:szCs w:val="18"/>
              </w:rPr>
              <w:t>17</w:t>
            </w:r>
            <w:r w:rsidRPr="004C78D8">
              <w:rPr>
                <w:sz w:val="18"/>
                <w:szCs w:val="18"/>
              </w:rPr>
              <w:t xml:space="preserve"> per QALY</w:t>
            </w:r>
            <w:r w:rsidR="008C2A11" w:rsidRPr="004C78D8">
              <w:rPr>
                <w:sz w:val="18"/>
                <w:szCs w:val="18"/>
                <w:vertAlign w:val="superscript"/>
              </w:rPr>
              <w:t>9</w:t>
            </w:r>
          </w:p>
        </w:tc>
        <w:tc>
          <w:tcPr>
            <w:tcW w:w="952" w:type="pct"/>
            <w:tcBorders>
              <w:top w:val="single" w:sz="4" w:space="0" w:color="auto"/>
              <w:bottom w:val="nil"/>
            </w:tcBorders>
          </w:tcPr>
          <w:p w14:paraId="59506654" w14:textId="0DCF36D0" w:rsidR="00DD2FB3" w:rsidRPr="004C78D8" w:rsidRDefault="00DD2FB3" w:rsidP="00FB7C1F">
            <w:pPr>
              <w:jc w:val="left"/>
              <w:rPr>
                <w:sz w:val="18"/>
                <w:szCs w:val="18"/>
              </w:rPr>
            </w:pPr>
            <w:r w:rsidRPr="004C78D8">
              <w:rPr>
                <w:sz w:val="18"/>
                <w:szCs w:val="18"/>
              </w:rPr>
              <w:t>£1</w:t>
            </w:r>
            <w:r w:rsidR="00BE6DC5" w:rsidRPr="004C78D8">
              <w:rPr>
                <w:sz w:val="18"/>
                <w:szCs w:val="18"/>
              </w:rPr>
              <w:t>2</w:t>
            </w:r>
            <w:r w:rsidRPr="004C78D8">
              <w:rPr>
                <w:sz w:val="18"/>
                <w:szCs w:val="18"/>
              </w:rPr>
              <w:t>,</w:t>
            </w:r>
            <w:r w:rsidR="00BE6DC5" w:rsidRPr="004C78D8">
              <w:rPr>
                <w:sz w:val="18"/>
                <w:szCs w:val="18"/>
              </w:rPr>
              <w:t>405</w:t>
            </w:r>
            <w:r w:rsidRPr="004C78D8">
              <w:rPr>
                <w:sz w:val="18"/>
                <w:szCs w:val="18"/>
              </w:rPr>
              <w:t xml:space="preserve"> per QALY</w:t>
            </w:r>
            <w:r w:rsidR="00300461" w:rsidRPr="004C78D8">
              <w:rPr>
                <w:sz w:val="18"/>
                <w:szCs w:val="18"/>
              </w:rPr>
              <w:t xml:space="preserve"> gained</w:t>
            </w:r>
            <w:r w:rsidR="008C2A11" w:rsidRPr="004C78D8">
              <w:rPr>
                <w:sz w:val="18"/>
                <w:szCs w:val="18"/>
                <w:vertAlign w:val="superscript"/>
              </w:rPr>
              <w:t>10</w:t>
            </w:r>
          </w:p>
        </w:tc>
        <w:tc>
          <w:tcPr>
            <w:tcW w:w="953" w:type="pct"/>
            <w:tcBorders>
              <w:top w:val="single" w:sz="4" w:space="0" w:color="auto"/>
              <w:bottom w:val="nil"/>
            </w:tcBorders>
          </w:tcPr>
          <w:p w14:paraId="69863209" w14:textId="03DD80FB" w:rsidR="00DD2FB3" w:rsidRPr="004C78D8" w:rsidRDefault="00DD2FB3" w:rsidP="00FB7C1F">
            <w:pPr>
              <w:jc w:val="left"/>
              <w:rPr>
                <w:sz w:val="18"/>
                <w:szCs w:val="18"/>
              </w:rPr>
            </w:pPr>
            <w:r w:rsidRPr="004C78D8">
              <w:rPr>
                <w:sz w:val="18"/>
                <w:szCs w:val="18"/>
              </w:rPr>
              <w:t>£</w:t>
            </w:r>
            <w:r w:rsidR="00A84552" w:rsidRPr="004C78D8">
              <w:rPr>
                <w:sz w:val="18"/>
                <w:szCs w:val="18"/>
              </w:rPr>
              <w:t>7</w:t>
            </w:r>
            <w:r w:rsidRPr="004C78D8">
              <w:rPr>
                <w:sz w:val="18"/>
                <w:szCs w:val="18"/>
              </w:rPr>
              <w:t>,</w:t>
            </w:r>
            <w:r w:rsidR="00BE6DC5" w:rsidRPr="004C78D8">
              <w:rPr>
                <w:sz w:val="18"/>
                <w:szCs w:val="18"/>
              </w:rPr>
              <w:t>969</w:t>
            </w:r>
            <w:r w:rsidRPr="004C78D8">
              <w:rPr>
                <w:sz w:val="18"/>
                <w:szCs w:val="18"/>
              </w:rPr>
              <w:t xml:space="preserve"> per QALY</w:t>
            </w:r>
            <w:r w:rsidR="00300461" w:rsidRPr="004C78D8">
              <w:rPr>
                <w:sz w:val="18"/>
                <w:szCs w:val="18"/>
              </w:rPr>
              <w:t xml:space="preserve"> gained</w:t>
            </w:r>
            <w:r w:rsidR="0010500A" w:rsidRPr="004C78D8">
              <w:rPr>
                <w:sz w:val="18"/>
                <w:szCs w:val="18"/>
                <w:vertAlign w:val="superscript"/>
              </w:rPr>
              <w:t>1</w:t>
            </w:r>
            <w:r w:rsidR="008C2A11" w:rsidRPr="004C78D8">
              <w:rPr>
                <w:sz w:val="18"/>
                <w:szCs w:val="18"/>
                <w:vertAlign w:val="superscript"/>
              </w:rPr>
              <w:t>1</w:t>
            </w:r>
          </w:p>
        </w:tc>
      </w:tr>
      <w:tr w:rsidR="00DD2FB3" w:rsidRPr="004C78D8" w14:paraId="4B1EE044" w14:textId="77777777" w:rsidTr="00E35893">
        <w:tc>
          <w:tcPr>
            <w:tcW w:w="1191" w:type="pct"/>
            <w:tcBorders>
              <w:top w:val="nil"/>
              <w:bottom w:val="nil"/>
            </w:tcBorders>
          </w:tcPr>
          <w:p w14:paraId="47B679F6" w14:textId="77777777" w:rsidR="00DD2FB3" w:rsidRPr="004C78D8" w:rsidRDefault="00DD2FB3" w:rsidP="00FB7C1F">
            <w:pPr>
              <w:jc w:val="left"/>
              <w:rPr>
                <w:sz w:val="18"/>
                <w:szCs w:val="18"/>
              </w:rPr>
            </w:pPr>
            <w:r w:rsidRPr="004C78D8">
              <w:rPr>
                <w:sz w:val="18"/>
                <w:szCs w:val="18"/>
              </w:rPr>
              <w:t>Societal ICER using (2)</w:t>
            </w:r>
          </w:p>
        </w:tc>
        <w:tc>
          <w:tcPr>
            <w:tcW w:w="951" w:type="pct"/>
            <w:tcBorders>
              <w:top w:val="nil"/>
              <w:bottom w:val="nil"/>
              <w:right w:val="single" w:sz="4" w:space="0" w:color="auto"/>
            </w:tcBorders>
          </w:tcPr>
          <w:p w14:paraId="3E71B7E5" w14:textId="31AFBE36" w:rsidR="00DD2FB3" w:rsidRPr="004C78D8" w:rsidRDefault="00DD2FB3" w:rsidP="00FB7C1F">
            <w:pPr>
              <w:jc w:val="left"/>
              <w:rPr>
                <w:sz w:val="18"/>
                <w:szCs w:val="18"/>
              </w:rPr>
            </w:pPr>
            <w:r w:rsidRPr="004C78D8">
              <w:rPr>
                <w:sz w:val="18"/>
                <w:szCs w:val="18"/>
              </w:rPr>
              <w:t>£1</w:t>
            </w:r>
            <w:r w:rsidR="00DF644E" w:rsidRPr="004C78D8">
              <w:rPr>
                <w:sz w:val="18"/>
                <w:szCs w:val="18"/>
              </w:rPr>
              <w:t>3</w:t>
            </w:r>
            <w:r w:rsidRPr="004C78D8">
              <w:rPr>
                <w:sz w:val="18"/>
                <w:szCs w:val="18"/>
              </w:rPr>
              <w:t>,</w:t>
            </w:r>
            <w:r w:rsidR="00DF644E" w:rsidRPr="004C78D8">
              <w:rPr>
                <w:sz w:val="18"/>
                <w:szCs w:val="18"/>
              </w:rPr>
              <w:t>539</w:t>
            </w:r>
            <w:r w:rsidRPr="004C78D8">
              <w:rPr>
                <w:sz w:val="18"/>
                <w:szCs w:val="18"/>
              </w:rPr>
              <w:t xml:space="preserve"> per QALY</w:t>
            </w:r>
            <w:r w:rsidR="00300461" w:rsidRPr="004C78D8">
              <w:rPr>
                <w:sz w:val="18"/>
                <w:szCs w:val="18"/>
              </w:rPr>
              <w:t xml:space="preserve"> gained</w:t>
            </w:r>
          </w:p>
        </w:tc>
        <w:tc>
          <w:tcPr>
            <w:tcW w:w="954" w:type="pct"/>
            <w:tcBorders>
              <w:top w:val="nil"/>
              <w:left w:val="single" w:sz="4" w:space="0" w:color="auto"/>
              <w:bottom w:val="nil"/>
            </w:tcBorders>
          </w:tcPr>
          <w:p w14:paraId="2BA8AAC1" w14:textId="465FC179" w:rsidR="00DD2FB3" w:rsidRPr="004C78D8" w:rsidRDefault="00DD2FB3" w:rsidP="00FB7C1F">
            <w:pPr>
              <w:jc w:val="left"/>
              <w:rPr>
                <w:sz w:val="18"/>
                <w:szCs w:val="18"/>
              </w:rPr>
            </w:pPr>
            <w:r w:rsidRPr="004C78D8">
              <w:rPr>
                <w:sz w:val="18"/>
                <w:szCs w:val="18"/>
              </w:rPr>
              <w:t>£</w:t>
            </w:r>
            <w:r w:rsidR="00732196" w:rsidRPr="004C78D8">
              <w:rPr>
                <w:sz w:val="18"/>
                <w:szCs w:val="18"/>
              </w:rPr>
              <w:t>1</w:t>
            </w:r>
            <w:r w:rsidR="00DC4C41" w:rsidRPr="004C78D8">
              <w:rPr>
                <w:sz w:val="18"/>
                <w:szCs w:val="18"/>
              </w:rPr>
              <w:t>6</w:t>
            </w:r>
            <w:r w:rsidRPr="004C78D8">
              <w:rPr>
                <w:sz w:val="18"/>
                <w:szCs w:val="18"/>
              </w:rPr>
              <w:t>,</w:t>
            </w:r>
            <w:r w:rsidR="00697862" w:rsidRPr="004C78D8">
              <w:rPr>
                <w:sz w:val="18"/>
                <w:szCs w:val="18"/>
              </w:rPr>
              <w:t>9</w:t>
            </w:r>
            <w:r w:rsidR="00DC4C41" w:rsidRPr="004C78D8">
              <w:rPr>
                <w:sz w:val="18"/>
                <w:szCs w:val="18"/>
              </w:rPr>
              <w:t>39</w:t>
            </w:r>
            <w:r w:rsidRPr="004C78D8">
              <w:rPr>
                <w:sz w:val="18"/>
                <w:szCs w:val="18"/>
              </w:rPr>
              <w:t xml:space="preserve"> per QALY</w:t>
            </w:r>
            <w:r w:rsidR="00300461" w:rsidRPr="004C78D8">
              <w:rPr>
                <w:sz w:val="18"/>
                <w:szCs w:val="18"/>
              </w:rPr>
              <w:t xml:space="preserve"> gained</w:t>
            </w:r>
          </w:p>
        </w:tc>
        <w:tc>
          <w:tcPr>
            <w:tcW w:w="952" w:type="pct"/>
            <w:tcBorders>
              <w:top w:val="nil"/>
              <w:bottom w:val="nil"/>
            </w:tcBorders>
          </w:tcPr>
          <w:p w14:paraId="532C0F47" w14:textId="62AF71B6" w:rsidR="00DD2FB3" w:rsidRPr="004C78D8" w:rsidRDefault="00DD2FB3" w:rsidP="00FB7C1F">
            <w:pPr>
              <w:jc w:val="left"/>
              <w:rPr>
                <w:sz w:val="18"/>
                <w:szCs w:val="18"/>
              </w:rPr>
            </w:pPr>
            <w:r w:rsidRPr="004C78D8">
              <w:rPr>
                <w:sz w:val="18"/>
                <w:szCs w:val="18"/>
              </w:rPr>
              <w:t>£1</w:t>
            </w:r>
            <w:r w:rsidR="00BE6DC5" w:rsidRPr="004C78D8">
              <w:rPr>
                <w:sz w:val="18"/>
                <w:szCs w:val="18"/>
              </w:rPr>
              <w:t>2</w:t>
            </w:r>
            <w:r w:rsidRPr="004C78D8">
              <w:rPr>
                <w:sz w:val="18"/>
                <w:szCs w:val="18"/>
              </w:rPr>
              <w:t>,</w:t>
            </w:r>
            <w:r w:rsidR="00BE6DC5" w:rsidRPr="004C78D8">
              <w:rPr>
                <w:sz w:val="18"/>
                <w:szCs w:val="18"/>
              </w:rPr>
              <w:t>834</w:t>
            </w:r>
            <w:r w:rsidRPr="004C78D8">
              <w:rPr>
                <w:sz w:val="18"/>
                <w:szCs w:val="18"/>
              </w:rPr>
              <w:t xml:space="preserve"> per QALY</w:t>
            </w:r>
            <w:r w:rsidR="00300461" w:rsidRPr="004C78D8">
              <w:rPr>
                <w:sz w:val="18"/>
                <w:szCs w:val="18"/>
              </w:rPr>
              <w:t xml:space="preserve"> gained</w:t>
            </w:r>
          </w:p>
        </w:tc>
        <w:tc>
          <w:tcPr>
            <w:tcW w:w="953" w:type="pct"/>
            <w:tcBorders>
              <w:top w:val="nil"/>
              <w:bottom w:val="nil"/>
            </w:tcBorders>
          </w:tcPr>
          <w:p w14:paraId="00AB6A6F" w14:textId="68E83724" w:rsidR="00DD2FB3" w:rsidRPr="004C78D8" w:rsidRDefault="00DD2FB3" w:rsidP="00FB7C1F">
            <w:pPr>
              <w:jc w:val="left"/>
              <w:rPr>
                <w:sz w:val="18"/>
                <w:szCs w:val="18"/>
              </w:rPr>
            </w:pPr>
            <w:r w:rsidRPr="004C78D8">
              <w:rPr>
                <w:sz w:val="18"/>
                <w:szCs w:val="18"/>
              </w:rPr>
              <w:t>£</w:t>
            </w:r>
            <w:r w:rsidR="00BE6DC5" w:rsidRPr="004C78D8">
              <w:rPr>
                <w:sz w:val="18"/>
                <w:szCs w:val="18"/>
              </w:rPr>
              <w:t>8</w:t>
            </w:r>
            <w:r w:rsidRPr="004C78D8">
              <w:rPr>
                <w:sz w:val="18"/>
                <w:szCs w:val="18"/>
              </w:rPr>
              <w:t>,</w:t>
            </w:r>
            <w:r w:rsidR="00BE6DC5" w:rsidRPr="004C78D8">
              <w:rPr>
                <w:sz w:val="18"/>
                <w:szCs w:val="18"/>
              </w:rPr>
              <w:t>784</w:t>
            </w:r>
            <w:r w:rsidRPr="004C78D8">
              <w:rPr>
                <w:sz w:val="18"/>
                <w:szCs w:val="18"/>
              </w:rPr>
              <w:t xml:space="preserve"> per QALY</w:t>
            </w:r>
            <w:r w:rsidR="00300461" w:rsidRPr="004C78D8">
              <w:rPr>
                <w:sz w:val="18"/>
                <w:szCs w:val="18"/>
              </w:rPr>
              <w:t xml:space="preserve"> gained</w:t>
            </w:r>
          </w:p>
        </w:tc>
      </w:tr>
      <w:tr w:rsidR="00DD2FB3" w:rsidRPr="004C78D8" w14:paraId="25C02B22" w14:textId="77777777" w:rsidTr="00E35893">
        <w:tc>
          <w:tcPr>
            <w:tcW w:w="1191" w:type="pct"/>
            <w:tcBorders>
              <w:top w:val="nil"/>
              <w:bottom w:val="nil"/>
            </w:tcBorders>
          </w:tcPr>
          <w:p w14:paraId="7A8E7687" w14:textId="4C4634E4" w:rsidR="00DD2FB3" w:rsidRPr="004C78D8" w:rsidRDefault="00DD2FB3" w:rsidP="00FB7C1F">
            <w:pPr>
              <w:jc w:val="left"/>
              <w:rPr>
                <w:sz w:val="18"/>
                <w:szCs w:val="18"/>
              </w:rPr>
            </w:pPr>
            <w:r w:rsidRPr="004C78D8">
              <w:rPr>
                <w:sz w:val="18"/>
                <w:szCs w:val="18"/>
              </w:rPr>
              <w:t>Societal INMB using (1)</w:t>
            </w:r>
            <w:r w:rsidRPr="004C78D8">
              <w:rPr>
                <w:sz w:val="18"/>
                <w:szCs w:val="18"/>
                <w:vertAlign w:val="superscript"/>
              </w:rPr>
              <w:t>1</w:t>
            </w:r>
            <w:r w:rsidR="00DF644E" w:rsidRPr="004C78D8">
              <w:rPr>
                <w:sz w:val="18"/>
                <w:szCs w:val="18"/>
                <w:vertAlign w:val="superscript"/>
              </w:rPr>
              <w:t>2</w:t>
            </w:r>
          </w:p>
        </w:tc>
        <w:tc>
          <w:tcPr>
            <w:tcW w:w="951" w:type="pct"/>
            <w:tcBorders>
              <w:top w:val="nil"/>
              <w:bottom w:val="nil"/>
              <w:right w:val="single" w:sz="4" w:space="0" w:color="auto"/>
            </w:tcBorders>
          </w:tcPr>
          <w:p w14:paraId="46661EF1" w14:textId="61C6CD3B" w:rsidR="00DD2FB3" w:rsidRPr="004C78D8" w:rsidRDefault="00732196" w:rsidP="00FB7C1F">
            <w:pPr>
              <w:jc w:val="left"/>
              <w:rPr>
                <w:sz w:val="18"/>
                <w:szCs w:val="18"/>
              </w:rPr>
            </w:pPr>
            <w:r w:rsidRPr="004C78D8">
              <w:rPr>
                <w:sz w:val="18"/>
                <w:szCs w:val="18"/>
              </w:rPr>
              <w:t>£</w:t>
            </w:r>
            <w:r w:rsidR="00DF644E" w:rsidRPr="004C78D8">
              <w:rPr>
                <w:sz w:val="18"/>
                <w:szCs w:val="18"/>
              </w:rPr>
              <w:t>113</w:t>
            </w:r>
            <w:r w:rsidRPr="004C78D8">
              <w:rPr>
                <w:sz w:val="18"/>
                <w:szCs w:val="18"/>
              </w:rPr>
              <w:t>,</w:t>
            </w:r>
            <w:r w:rsidR="00DF644E" w:rsidRPr="004C78D8">
              <w:rPr>
                <w:sz w:val="18"/>
                <w:szCs w:val="18"/>
              </w:rPr>
              <w:t>990</w:t>
            </w:r>
            <w:r w:rsidRPr="004C78D8">
              <w:rPr>
                <w:sz w:val="18"/>
                <w:szCs w:val="18"/>
              </w:rPr>
              <w:t>,7</w:t>
            </w:r>
            <w:r w:rsidR="00DF644E" w:rsidRPr="004C78D8">
              <w:rPr>
                <w:sz w:val="18"/>
                <w:szCs w:val="18"/>
              </w:rPr>
              <w:t>48</w:t>
            </w:r>
          </w:p>
        </w:tc>
        <w:tc>
          <w:tcPr>
            <w:tcW w:w="954" w:type="pct"/>
            <w:tcBorders>
              <w:top w:val="nil"/>
              <w:left w:val="single" w:sz="4" w:space="0" w:color="auto"/>
              <w:bottom w:val="nil"/>
            </w:tcBorders>
          </w:tcPr>
          <w:p w14:paraId="56BDCDCE" w14:textId="38A479C9" w:rsidR="00DD2FB3" w:rsidRPr="004C78D8" w:rsidRDefault="00732196" w:rsidP="00FB7C1F">
            <w:pPr>
              <w:jc w:val="left"/>
              <w:rPr>
                <w:sz w:val="18"/>
                <w:szCs w:val="18"/>
              </w:rPr>
            </w:pPr>
            <w:r w:rsidRPr="004C78D8">
              <w:rPr>
                <w:sz w:val="18"/>
                <w:szCs w:val="18"/>
              </w:rPr>
              <w:t>£</w:t>
            </w:r>
            <w:r w:rsidR="00DC4C41" w:rsidRPr="004C78D8">
              <w:rPr>
                <w:sz w:val="18"/>
                <w:szCs w:val="18"/>
              </w:rPr>
              <w:t>94</w:t>
            </w:r>
            <w:r w:rsidRPr="004C78D8">
              <w:rPr>
                <w:sz w:val="18"/>
                <w:szCs w:val="18"/>
              </w:rPr>
              <w:t>,</w:t>
            </w:r>
            <w:r w:rsidR="00DC4C41" w:rsidRPr="004C78D8">
              <w:rPr>
                <w:sz w:val="18"/>
                <w:szCs w:val="18"/>
              </w:rPr>
              <w:t>669</w:t>
            </w:r>
            <w:r w:rsidRPr="004C78D8">
              <w:rPr>
                <w:sz w:val="18"/>
                <w:szCs w:val="18"/>
              </w:rPr>
              <w:t>,</w:t>
            </w:r>
            <w:r w:rsidR="00DC4C41" w:rsidRPr="004C78D8">
              <w:rPr>
                <w:sz w:val="18"/>
                <w:szCs w:val="18"/>
              </w:rPr>
              <w:t>816</w:t>
            </w:r>
          </w:p>
        </w:tc>
        <w:tc>
          <w:tcPr>
            <w:tcW w:w="952" w:type="pct"/>
            <w:tcBorders>
              <w:top w:val="nil"/>
              <w:bottom w:val="nil"/>
            </w:tcBorders>
          </w:tcPr>
          <w:p w14:paraId="7450CF3F" w14:textId="33105321" w:rsidR="00DD2FB3" w:rsidRPr="004C78D8" w:rsidRDefault="00216BDA" w:rsidP="00FB7C1F">
            <w:pPr>
              <w:jc w:val="left"/>
              <w:rPr>
                <w:sz w:val="18"/>
                <w:szCs w:val="18"/>
              </w:rPr>
            </w:pPr>
            <w:r w:rsidRPr="004C78D8">
              <w:rPr>
                <w:sz w:val="18"/>
                <w:szCs w:val="18"/>
              </w:rPr>
              <w:t>£</w:t>
            </w:r>
            <w:r w:rsidR="00BF1D13" w:rsidRPr="004C78D8">
              <w:rPr>
                <w:sz w:val="18"/>
                <w:szCs w:val="18"/>
              </w:rPr>
              <w:t>1</w:t>
            </w:r>
            <w:r w:rsidR="00BE6DC5" w:rsidRPr="004C78D8">
              <w:rPr>
                <w:sz w:val="18"/>
                <w:szCs w:val="18"/>
              </w:rPr>
              <w:t>18</w:t>
            </w:r>
            <w:r w:rsidRPr="004C78D8">
              <w:rPr>
                <w:sz w:val="18"/>
                <w:szCs w:val="18"/>
              </w:rPr>
              <w:t>,</w:t>
            </w:r>
            <w:r w:rsidR="00BE6DC5" w:rsidRPr="004C78D8">
              <w:rPr>
                <w:sz w:val="18"/>
                <w:szCs w:val="18"/>
              </w:rPr>
              <w:t>309</w:t>
            </w:r>
            <w:r w:rsidRPr="004C78D8">
              <w:rPr>
                <w:sz w:val="18"/>
                <w:szCs w:val="18"/>
              </w:rPr>
              <w:t>,</w:t>
            </w:r>
            <w:r w:rsidR="00BE6DC5" w:rsidRPr="004C78D8">
              <w:rPr>
                <w:sz w:val="18"/>
                <w:szCs w:val="18"/>
              </w:rPr>
              <w:t>448</w:t>
            </w:r>
          </w:p>
        </w:tc>
        <w:tc>
          <w:tcPr>
            <w:tcW w:w="953" w:type="pct"/>
            <w:tcBorders>
              <w:top w:val="nil"/>
              <w:bottom w:val="nil"/>
            </w:tcBorders>
          </w:tcPr>
          <w:p w14:paraId="4A8D31E6" w14:textId="5967A1AA" w:rsidR="00DD2FB3" w:rsidRPr="004C78D8" w:rsidRDefault="00A84552" w:rsidP="00FB7C1F">
            <w:pPr>
              <w:jc w:val="left"/>
              <w:rPr>
                <w:sz w:val="18"/>
                <w:szCs w:val="18"/>
              </w:rPr>
            </w:pPr>
            <w:r w:rsidRPr="004C78D8">
              <w:rPr>
                <w:sz w:val="18"/>
                <w:szCs w:val="18"/>
              </w:rPr>
              <w:t>£</w:t>
            </w:r>
            <w:r w:rsidR="00CE18C6" w:rsidRPr="004C78D8">
              <w:rPr>
                <w:sz w:val="18"/>
                <w:szCs w:val="18"/>
              </w:rPr>
              <w:t>2</w:t>
            </w:r>
            <w:r w:rsidR="00BE6DC5" w:rsidRPr="004C78D8">
              <w:rPr>
                <w:sz w:val="18"/>
                <w:szCs w:val="18"/>
              </w:rPr>
              <w:t>14</w:t>
            </w:r>
            <w:r w:rsidRPr="004C78D8">
              <w:rPr>
                <w:sz w:val="18"/>
                <w:szCs w:val="18"/>
              </w:rPr>
              <w:t>,</w:t>
            </w:r>
            <w:r w:rsidR="00BE6DC5" w:rsidRPr="004C78D8">
              <w:rPr>
                <w:sz w:val="18"/>
                <w:szCs w:val="18"/>
              </w:rPr>
              <w:t>019</w:t>
            </w:r>
            <w:r w:rsidRPr="004C78D8">
              <w:rPr>
                <w:sz w:val="18"/>
                <w:szCs w:val="18"/>
              </w:rPr>
              <w:t>,</w:t>
            </w:r>
            <w:r w:rsidR="00BE6DC5" w:rsidRPr="004C78D8">
              <w:rPr>
                <w:sz w:val="18"/>
                <w:szCs w:val="18"/>
              </w:rPr>
              <w:t>285</w:t>
            </w:r>
          </w:p>
        </w:tc>
      </w:tr>
      <w:tr w:rsidR="00DD2FB3" w:rsidRPr="004C78D8" w14:paraId="4818B29A" w14:textId="77777777" w:rsidTr="00E35893">
        <w:tc>
          <w:tcPr>
            <w:tcW w:w="1191" w:type="pct"/>
            <w:tcBorders>
              <w:top w:val="nil"/>
              <w:bottom w:val="single" w:sz="4" w:space="0" w:color="auto"/>
            </w:tcBorders>
          </w:tcPr>
          <w:p w14:paraId="58438460" w14:textId="77777777" w:rsidR="00DD2FB3" w:rsidRPr="004C78D8" w:rsidRDefault="00DD2FB3" w:rsidP="00FB7C1F">
            <w:pPr>
              <w:jc w:val="left"/>
              <w:rPr>
                <w:sz w:val="18"/>
                <w:szCs w:val="18"/>
              </w:rPr>
            </w:pPr>
            <w:r w:rsidRPr="004C78D8">
              <w:rPr>
                <w:sz w:val="18"/>
                <w:szCs w:val="18"/>
              </w:rPr>
              <w:t>Societal INMB using (2)</w:t>
            </w:r>
          </w:p>
        </w:tc>
        <w:tc>
          <w:tcPr>
            <w:tcW w:w="951" w:type="pct"/>
            <w:tcBorders>
              <w:top w:val="nil"/>
              <w:bottom w:val="single" w:sz="4" w:space="0" w:color="auto"/>
              <w:right w:val="single" w:sz="4" w:space="0" w:color="auto"/>
            </w:tcBorders>
          </w:tcPr>
          <w:p w14:paraId="313A4C97" w14:textId="5A7DD2D7" w:rsidR="00DD2FB3" w:rsidRPr="004C78D8" w:rsidRDefault="00732196" w:rsidP="00FB7C1F">
            <w:pPr>
              <w:jc w:val="left"/>
              <w:rPr>
                <w:sz w:val="18"/>
                <w:szCs w:val="18"/>
              </w:rPr>
            </w:pPr>
            <w:r w:rsidRPr="004C78D8">
              <w:rPr>
                <w:sz w:val="18"/>
                <w:szCs w:val="18"/>
              </w:rPr>
              <w:t>£</w:t>
            </w:r>
            <w:r w:rsidR="00DF644E" w:rsidRPr="004C78D8">
              <w:rPr>
                <w:sz w:val="18"/>
                <w:szCs w:val="18"/>
              </w:rPr>
              <w:t>106</w:t>
            </w:r>
            <w:r w:rsidRPr="004C78D8">
              <w:rPr>
                <w:sz w:val="18"/>
                <w:szCs w:val="18"/>
              </w:rPr>
              <w:t>,</w:t>
            </w:r>
            <w:r w:rsidR="00DF644E" w:rsidRPr="004C78D8">
              <w:rPr>
                <w:sz w:val="18"/>
                <w:szCs w:val="18"/>
              </w:rPr>
              <w:t>621</w:t>
            </w:r>
            <w:r w:rsidRPr="004C78D8">
              <w:rPr>
                <w:sz w:val="18"/>
                <w:szCs w:val="18"/>
              </w:rPr>
              <w:t>,</w:t>
            </w:r>
            <w:r w:rsidR="00DF644E" w:rsidRPr="004C78D8">
              <w:rPr>
                <w:sz w:val="18"/>
                <w:szCs w:val="18"/>
              </w:rPr>
              <w:t>191</w:t>
            </w:r>
          </w:p>
        </w:tc>
        <w:tc>
          <w:tcPr>
            <w:tcW w:w="954" w:type="pct"/>
            <w:tcBorders>
              <w:top w:val="nil"/>
              <w:left w:val="single" w:sz="4" w:space="0" w:color="auto"/>
              <w:bottom w:val="single" w:sz="4" w:space="0" w:color="auto"/>
            </w:tcBorders>
          </w:tcPr>
          <w:p w14:paraId="2498FE0C" w14:textId="1E60D96F" w:rsidR="00DD2FB3" w:rsidRPr="004C78D8" w:rsidRDefault="00732196" w:rsidP="00FB7C1F">
            <w:pPr>
              <w:jc w:val="left"/>
              <w:rPr>
                <w:sz w:val="18"/>
                <w:szCs w:val="18"/>
              </w:rPr>
            </w:pPr>
            <w:r w:rsidRPr="004C78D8">
              <w:rPr>
                <w:sz w:val="18"/>
                <w:szCs w:val="18"/>
              </w:rPr>
              <w:t>£</w:t>
            </w:r>
            <w:r w:rsidR="00DC4C41" w:rsidRPr="004C78D8">
              <w:rPr>
                <w:sz w:val="18"/>
                <w:szCs w:val="18"/>
              </w:rPr>
              <w:t>87</w:t>
            </w:r>
            <w:r w:rsidRPr="004C78D8">
              <w:rPr>
                <w:sz w:val="18"/>
                <w:szCs w:val="18"/>
              </w:rPr>
              <w:t>,</w:t>
            </w:r>
            <w:r w:rsidR="00DC4C41" w:rsidRPr="004C78D8">
              <w:rPr>
                <w:sz w:val="18"/>
                <w:szCs w:val="18"/>
              </w:rPr>
              <w:t>800</w:t>
            </w:r>
            <w:r w:rsidRPr="004C78D8">
              <w:rPr>
                <w:sz w:val="18"/>
                <w:szCs w:val="18"/>
              </w:rPr>
              <w:t>,</w:t>
            </w:r>
            <w:r w:rsidR="00DC4C41" w:rsidRPr="004C78D8">
              <w:rPr>
                <w:sz w:val="18"/>
                <w:szCs w:val="18"/>
              </w:rPr>
              <w:t>668</w:t>
            </w:r>
          </w:p>
        </w:tc>
        <w:tc>
          <w:tcPr>
            <w:tcW w:w="952" w:type="pct"/>
            <w:tcBorders>
              <w:top w:val="nil"/>
              <w:bottom w:val="single" w:sz="4" w:space="0" w:color="auto"/>
            </w:tcBorders>
          </w:tcPr>
          <w:p w14:paraId="31D0344C" w14:textId="19D4C1D0" w:rsidR="00DD2FB3" w:rsidRPr="004C78D8" w:rsidRDefault="00216BDA" w:rsidP="00FB7C1F">
            <w:pPr>
              <w:jc w:val="left"/>
              <w:rPr>
                <w:sz w:val="18"/>
                <w:szCs w:val="18"/>
              </w:rPr>
            </w:pPr>
            <w:r w:rsidRPr="004C78D8">
              <w:rPr>
                <w:sz w:val="18"/>
                <w:szCs w:val="18"/>
              </w:rPr>
              <w:t>£</w:t>
            </w:r>
            <w:r w:rsidR="00BF1D13" w:rsidRPr="004C78D8">
              <w:rPr>
                <w:sz w:val="18"/>
                <w:szCs w:val="18"/>
              </w:rPr>
              <w:t>1</w:t>
            </w:r>
            <w:r w:rsidR="00BE6DC5" w:rsidRPr="004C78D8">
              <w:rPr>
                <w:sz w:val="18"/>
                <w:szCs w:val="18"/>
              </w:rPr>
              <w:t>15</w:t>
            </w:r>
            <w:r w:rsidRPr="004C78D8">
              <w:rPr>
                <w:sz w:val="18"/>
                <w:szCs w:val="18"/>
              </w:rPr>
              <w:t>,</w:t>
            </w:r>
            <w:r w:rsidR="00BE6DC5" w:rsidRPr="004C78D8">
              <w:rPr>
                <w:sz w:val="18"/>
                <w:szCs w:val="18"/>
              </w:rPr>
              <w:t>422</w:t>
            </w:r>
            <w:r w:rsidRPr="004C78D8">
              <w:rPr>
                <w:sz w:val="18"/>
                <w:szCs w:val="18"/>
              </w:rPr>
              <w:t>,</w:t>
            </w:r>
            <w:r w:rsidR="00BE6DC5" w:rsidRPr="004C78D8">
              <w:rPr>
                <w:sz w:val="18"/>
                <w:szCs w:val="18"/>
              </w:rPr>
              <w:t>127</w:t>
            </w:r>
          </w:p>
        </w:tc>
        <w:tc>
          <w:tcPr>
            <w:tcW w:w="953" w:type="pct"/>
            <w:tcBorders>
              <w:top w:val="nil"/>
              <w:bottom w:val="single" w:sz="4" w:space="0" w:color="auto"/>
            </w:tcBorders>
          </w:tcPr>
          <w:p w14:paraId="1C56C6E3" w14:textId="343780FA" w:rsidR="00DD2FB3" w:rsidRPr="004C78D8" w:rsidRDefault="00A84552" w:rsidP="00FB7C1F">
            <w:pPr>
              <w:jc w:val="left"/>
              <w:rPr>
                <w:sz w:val="18"/>
                <w:szCs w:val="18"/>
              </w:rPr>
            </w:pPr>
            <w:r w:rsidRPr="004C78D8">
              <w:rPr>
                <w:sz w:val="18"/>
                <w:szCs w:val="18"/>
              </w:rPr>
              <w:t>£</w:t>
            </w:r>
            <w:r w:rsidR="00CE18C6" w:rsidRPr="004C78D8">
              <w:rPr>
                <w:sz w:val="18"/>
                <w:szCs w:val="18"/>
              </w:rPr>
              <w:t>2</w:t>
            </w:r>
            <w:r w:rsidR="00BE6DC5" w:rsidRPr="004C78D8">
              <w:rPr>
                <w:sz w:val="18"/>
                <w:szCs w:val="18"/>
              </w:rPr>
              <w:t>06</w:t>
            </w:r>
            <w:r w:rsidRPr="004C78D8">
              <w:rPr>
                <w:sz w:val="18"/>
                <w:szCs w:val="18"/>
              </w:rPr>
              <w:t>,</w:t>
            </w:r>
            <w:r w:rsidR="00BE6DC5" w:rsidRPr="004C78D8">
              <w:rPr>
                <w:sz w:val="18"/>
                <w:szCs w:val="18"/>
              </w:rPr>
              <w:t>096</w:t>
            </w:r>
            <w:r w:rsidRPr="004C78D8">
              <w:rPr>
                <w:sz w:val="18"/>
                <w:szCs w:val="18"/>
              </w:rPr>
              <w:t>,</w:t>
            </w:r>
            <w:r w:rsidR="00BE6DC5" w:rsidRPr="004C78D8">
              <w:rPr>
                <w:sz w:val="18"/>
                <w:szCs w:val="18"/>
              </w:rPr>
              <w:t>160</w:t>
            </w:r>
          </w:p>
        </w:tc>
      </w:tr>
      <w:tr w:rsidR="00DD2FB3" w:rsidRPr="004C78D8" w14:paraId="669D0951" w14:textId="77777777" w:rsidTr="00E35893">
        <w:tc>
          <w:tcPr>
            <w:tcW w:w="5000" w:type="pct"/>
            <w:gridSpan w:val="5"/>
          </w:tcPr>
          <w:p w14:paraId="7688AA5D" w14:textId="7FA49F2C" w:rsidR="00DD2FB3" w:rsidRPr="004C78D8" w:rsidRDefault="00D10D5E" w:rsidP="00FB7C1F">
            <w:pPr>
              <w:rPr>
                <w:sz w:val="18"/>
                <w:szCs w:val="18"/>
              </w:rPr>
            </w:pPr>
            <w:r w:rsidRPr="004C78D8">
              <w:rPr>
                <w:b/>
                <w:bCs/>
                <w:sz w:val="18"/>
                <w:szCs w:val="18"/>
              </w:rPr>
              <w:t>Abbreviation</w:t>
            </w:r>
            <w:r w:rsidR="00DD2FB3" w:rsidRPr="004C78D8">
              <w:rPr>
                <w:b/>
                <w:bCs/>
                <w:sz w:val="18"/>
                <w:szCs w:val="18"/>
              </w:rPr>
              <w:t>:</w:t>
            </w:r>
            <w:r w:rsidR="00DD2FB3" w:rsidRPr="004C78D8">
              <w:rPr>
                <w:sz w:val="18"/>
                <w:szCs w:val="18"/>
              </w:rPr>
              <w:t xml:space="preserve"> HC: healthcare; ICER: incremental cost-effectiveness ratio; INMB: incremental net monetary benefit; LTC: long-term care; OOP: out-of-pocket; PS: public sector</w:t>
            </w:r>
            <w:r w:rsidR="00AB71A5" w:rsidRPr="004C78D8">
              <w:rPr>
                <w:sz w:val="18"/>
                <w:szCs w:val="18"/>
              </w:rPr>
              <w:t>; QALY: quality-adjusted life year</w:t>
            </w:r>
            <w:r w:rsidR="00645527" w:rsidRPr="004C78D8">
              <w:rPr>
                <w:sz w:val="18"/>
                <w:szCs w:val="18"/>
              </w:rPr>
              <w:t>.</w:t>
            </w:r>
          </w:p>
          <w:p w14:paraId="0CD3A058" w14:textId="0CC96C72" w:rsidR="0010500A" w:rsidRPr="004C78D8" w:rsidRDefault="0010500A" w:rsidP="00FB7C1F">
            <w:pPr>
              <w:rPr>
                <w:sz w:val="18"/>
                <w:szCs w:val="18"/>
              </w:rPr>
            </w:pPr>
            <w:r w:rsidRPr="004C78D8">
              <w:rPr>
                <w:sz w:val="18"/>
                <w:szCs w:val="18"/>
                <w:vertAlign w:val="superscript"/>
              </w:rPr>
              <w:t>1</w:t>
            </w:r>
            <w:r w:rsidRPr="004C78D8">
              <w:rPr>
                <w:sz w:val="18"/>
                <w:szCs w:val="18"/>
              </w:rPr>
              <w:t xml:space="preserve"> All outcomes were averaged across 20 model trial runs with different random number seeds.</w:t>
            </w:r>
          </w:p>
          <w:p w14:paraId="73FCAB9E" w14:textId="38C09FD1" w:rsidR="00DD2FB3" w:rsidRPr="004C78D8" w:rsidRDefault="0010500A" w:rsidP="00FB7C1F">
            <w:pPr>
              <w:rPr>
                <w:sz w:val="18"/>
                <w:szCs w:val="18"/>
              </w:rPr>
            </w:pPr>
            <w:r w:rsidRPr="004C78D8">
              <w:rPr>
                <w:sz w:val="18"/>
                <w:szCs w:val="18"/>
                <w:vertAlign w:val="superscript"/>
              </w:rPr>
              <w:t>2</w:t>
            </w:r>
            <w:r w:rsidR="00DD2FB3" w:rsidRPr="004C78D8">
              <w:rPr>
                <w:sz w:val="18"/>
                <w:szCs w:val="18"/>
              </w:rPr>
              <w:t xml:space="preserve"> </w:t>
            </w:r>
            <w:r w:rsidR="006A0C52" w:rsidRPr="004C78D8">
              <w:rPr>
                <w:sz w:val="18"/>
                <w:szCs w:val="18"/>
              </w:rPr>
              <w:t>Intervention annual uses under recommended care are 21,13</w:t>
            </w:r>
            <w:r w:rsidR="008C2A11" w:rsidRPr="004C78D8">
              <w:rPr>
                <w:sz w:val="18"/>
                <w:szCs w:val="18"/>
              </w:rPr>
              <w:t>1</w:t>
            </w:r>
            <w:r w:rsidR="006A0C52" w:rsidRPr="004C78D8">
              <w:rPr>
                <w:sz w:val="18"/>
                <w:szCs w:val="18"/>
              </w:rPr>
              <w:t>, 7,225 and 12,</w:t>
            </w:r>
            <w:r w:rsidR="008C2A11" w:rsidRPr="004C78D8">
              <w:rPr>
                <w:sz w:val="18"/>
                <w:szCs w:val="18"/>
              </w:rPr>
              <w:t>793</w:t>
            </w:r>
            <w:r w:rsidR="006A0C52" w:rsidRPr="004C78D8">
              <w:rPr>
                <w:sz w:val="18"/>
                <w:szCs w:val="18"/>
              </w:rPr>
              <w:t xml:space="preserve"> for bi-disciplinary reactive intervention, falls clinic, proactive Tai Chi and self-referred intervention, respectively</w:t>
            </w:r>
            <w:r w:rsidR="00DD2FB3" w:rsidRPr="004C78D8">
              <w:rPr>
                <w:sz w:val="18"/>
                <w:szCs w:val="18"/>
              </w:rPr>
              <w:t>.</w:t>
            </w:r>
          </w:p>
          <w:p w14:paraId="50BFDAD5" w14:textId="4B5D5131" w:rsidR="008C2A11" w:rsidRPr="004C78D8" w:rsidRDefault="008C2A11" w:rsidP="00FB7C1F">
            <w:pPr>
              <w:rPr>
                <w:sz w:val="18"/>
                <w:szCs w:val="18"/>
              </w:rPr>
            </w:pPr>
            <w:r w:rsidRPr="004C78D8">
              <w:rPr>
                <w:sz w:val="18"/>
                <w:szCs w:val="18"/>
                <w:vertAlign w:val="superscript"/>
              </w:rPr>
              <w:t>3</w:t>
            </w:r>
            <w:r w:rsidRPr="004C78D8">
              <w:rPr>
                <w:sz w:val="18"/>
                <w:szCs w:val="18"/>
              </w:rPr>
              <w:t xml:space="preserve"> Pathway annual uses under recommended care are 3,040, 26,928, 12,793 and 42,761 for reactive, proactive and self-referred pathways and the total, respectively (see Table </w:t>
            </w:r>
            <w:r w:rsidR="00C11FB0" w:rsidRPr="004C78D8">
              <w:rPr>
                <w:sz w:val="18"/>
                <w:szCs w:val="18"/>
              </w:rPr>
              <w:t>F11</w:t>
            </w:r>
            <w:r w:rsidRPr="004C78D8">
              <w:rPr>
                <w:sz w:val="18"/>
                <w:szCs w:val="18"/>
              </w:rPr>
              <w:t>).</w:t>
            </w:r>
          </w:p>
          <w:p w14:paraId="3F50B3BA" w14:textId="277B740F" w:rsidR="00DD2FB3" w:rsidRPr="004C78D8" w:rsidRDefault="008C2A11" w:rsidP="00FB7C1F">
            <w:pPr>
              <w:rPr>
                <w:sz w:val="18"/>
                <w:szCs w:val="18"/>
              </w:rPr>
            </w:pPr>
            <w:r w:rsidRPr="004C78D8">
              <w:rPr>
                <w:sz w:val="18"/>
                <w:szCs w:val="18"/>
                <w:vertAlign w:val="superscript"/>
              </w:rPr>
              <w:t>4</w:t>
            </w:r>
            <w:r w:rsidR="00DD2FB3" w:rsidRPr="004C78D8">
              <w:rPr>
                <w:sz w:val="18"/>
                <w:szCs w:val="18"/>
              </w:rPr>
              <w:t xml:space="preserve"> Includes costs of fall-related primary and secondary healthcare, comorbidity primary and secondary healthcare, cost of dying, community healthcare, short-term social care, all-cause long-term care.</w:t>
            </w:r>
          </w:p>
          <w:p w14:paraId="160BACA2" w14:textId="5BF3678A" w:rsidR="00DD2FB3" w:rsidRPr="004C78D8" w:rsidRDefault="008C2A11" w:rsidP="00FB7C1F">
            <w:pPr>
              <w:rPr>
                <w:sz w:val="18"/>
                <w:szCs w:val="18"/>
              </w:rPr>
            </w:pPr>
            <w:r w:rsidRPr="004C78D8">
              <w:rPr>
                <w:sz w:val="18"/>
                <w:szCs w:val="18"/>
                <w:vertAlign w:val="superscript"/>
              </w:rPr>
              <w:t>5</w:t>
            </w:r>
            <w:r w:rsidR="00DD2FB3" w:rsidRPr="004C78D8">
              <w:rPr>
                <w:sz w:val="18"/>
                <w:szCs w:val="18"/>
              </w:rPr>
              <w:t xml:space="preserve"> Includes values of paid and unpaid employment minus intervention time opportunity costs. </w:t>
            </w:r>
          </w:p>
          <w:p w14:paraId="58EA6FF5" w14:textId="3000FB94" w:rsidR="00DD2FB3" w:rsidRPr="004C78D8" w:rsidRDefault="008C2A11" w:rsidP="00FB7C1F">
            <w:pPr>
              <w:rPr>
                <w:sz w:val="18"/>
                <w:szCs w:val="18"/>
              </w:rPr>
            </w:pPr>
            <w:r w:rsidRPr="004C78D8">
              <w:rPr>
                <w:sz w:val="18"/>
                <w:szCs w:val="18"/>
                <w:vertAlign w:val="superscript"/>
              </w:rPr>
              <w:t>6</w:t>
            </w:r>
            <w:r w:rsidR="00DD2FB3" w:rsidRPr="004C78D8">
              <w:rPr>
                <w:sz w:val="18"/>
                <w:szCs w:val="18"/>
              </w:rPr>
              <w:t xml:space="preserve"> Includes OOP care expenditure and privately incurred LTC cost minus intervention private co-payments.</w:t>
            </w:r>
          </w:p>
          <w:p w14:paraId="34D5F12E" w14:textId="549A9C6B" w:rsidR="00DD2FB3" w:rsidRPr="004C78D8" w:rsidRDefault="008C2A11" w:rsidP="00FB7C1F">
            <w:pPr>
              <w:rPr>
                <w:sz w:val="18"/>
                <w:szCs w:val="18"/>
              </w:rPr>
            </w:pPr>
            <w:r w:rsidRPr="004C78D8">
              <w:rPr>
                <w:sz w:val="18"/>
                <w:szCs w:val="18"/>
                <w:vertAlign w:val="superscript"/>
              </w:rPr>
              <w:t>7</w:t>
            </w:r>
            <w:r w:rsidR="00DD2FB3" w:rsidRPr="004C78D8">
              <w:rPr>
                <w:sz w:val="18"/>
                <w:szCs w:val="18"/>
              </w:rPr>
              <w:t xml:space="preserve"> Includes informal caregiver burden/cost minus intervention caregiver time opportunity costs.</w:t>
            </w:r>
          </w:p>
          <w:p w14:paraId="0E925020" w14:textId="16C8E66C" w:rsidR="00DD2FB3" w:rsidRPr="004C78D8" w:rsidRDefault="008C2A11" w:rsidP="00FB7C1F">
            <w:pPr>
              <w:rPr>
                <w:sz w:val="18"/>
                <w:szCs w:val="18"/>
              </w:rPr>
            </w:pPr>
            <w:r w:rsidRPr="004C78D8">
              <w:rPr>
                <w:sz w:val="18"/>
                <w:szCs w:val="18"/>
                <w:vertAlign w:val="superscript"/>
              </w:rPr>
              <w:t>8</w:t>
            </w:r>
            <w:r w:rsidR="00DD2FB3" w:rsidRPr="004C78D8">
              <w:rPr>
                <w:sz w:val="18"/>
                <w:szCs w:val="18"/>
              </w:rPr>
              <w:t xml:space="preserve"> The public sector ICERs are £1</w:t>
            </w:r>
            <w:r w:rsidR="00732196" w:rsidRPr="004C78D8">
              <w:rPr>
                <w:sz w:val="18"/>
                <w:szCs w:val="18"/>
              </w:rPr>
              <w:t>3</w:t>
            </w:r>
            <w:r w:rsidR="00DD2FB3" w:rsidRPr="004C78D8">
              <w:rPr>
                <w:sz w:val="18"/>
                <w:szCs w:val="18"/>
              </w:rPr>
              <w:t>,</w:t>
            </w:r>
            <w:r w:rsidR="00DF644E" w:rsidRPr="004C78D8">
              <w:rPr>
                <w:sz w:val="18"/>
                <w:szCs w:val="18"/>
              </w:rPr>
              <w:t>402</w:t>
            </w:r>
            <w:r w:rsidR="00DD2FB3" w:rsidRPr="004C78D8">
              <w:rPr>
                <w:sz w:val="18"/>
                <w:szCs w:val="18"/>
              </w:rPr>
              <w:t xml:space="preserve"> per QALY gain</w:t>
            </w:r>
            <w:r w:rsidR="00A64995" w:rsidRPr="004C78D8">
              <w:rPr>
                <w:sz w:val="18"/>
                <w:szCs w:val="18"/>
              </w:rPr>
              <w:t>ed</w:t>
            </w:r>
            <w:r w:rsidR="00DD2FB3" w:rsidRPr="004C78D8">
              <w:rPr>
                <w:sz w:val="18"/>
                <w:szCs w:val="18"/>
              </w:rPr>
              <w:t xml:space="preserve"> using (1) and £1</w:t>
            </w:r>
            <w:r w:rsidR="00DF644E" w:rsidRPr="004C78D8">
              <w:rPr>
                <w:sz w:val="18"/>
                <w:szCs w:val="18"/>
              </w:rPr>
              <w:t>4</w:t>
            </w:r>
            <w:r w:rsidR="00DD2FB3" w:rsidRPr="004C78D8">
              <w:rPr>
                <w:sz w:val="18"/>
                <w:szCs w:val="18"/>
              </w:rPr>
              <w:t>,</w:t>
            </w:r>
            <w:r w:rsidR="00DF644E" w:rsidRPr="004C78D8">
              <w:rPr>
                <w:sz w:val="18"/>
                <w:szCs w:val="18"/>
              </w:rPr>
              <w:t>631</w:t>
            </w:r>
            <w:r w:rsidR="00DD2FB3" w:rsidRPr="004C78D8">
              <w:rPr>
                <w:sz w:val="18"/>
                <w:szCs w:val="18"/>
              </w:rPr>
              <w:t xml:space="preserve"> using (2).</w:t>
            </w:r>
          </w:p>
          <w:p w14:paraId="1E188A02" w14:textId="3717B42E" w:rsidR="00DD2FB3" w:rsidRPr="004C78D8" w:rsidRDefault="008C2A11" w:rsidP="00FB7C1F">
            <w:pPr>
              <w:rPr>
                <w:sz w:val="18"/>
                <w:szCs w:val="18"/>
              </w:rPr>
            </w:pPr>
            <w:r w:rsidRPr="004C78D8">
              <w:rPr>
                <w:sz w:val="18"/>
                <w:szCs w:val="18"/>
                <w:vertAlign w:val="superscript"/>
              </w:rPr>
              <w:t>9</w:t>
            </w:r>
            <w:r w:rsidR="00DD2FB3" w:rsidRPr="004C78D8">
              <w:rPr>
                <w:sz w:val="18"/>
                <w:szCs w:val="18"/>
              </w:rPr>
              <w:t xml:space="preserve"> The public sector ICERs are £</w:t>
            </w:r>
            <w:r w:rsidR="00732196" w:rsidRPr="004C78D8">
              <w:rPr>
                <w:sz w:val="18"/>
                <w:szCs w:val="18"/>
              </w:rPr>
              <w:t>1</w:t>
            </w:r>
            <w:r w:rsidR="00DC4C41" w:rsidRPr="004C78D8">
              <w:rPr>
                <w:sz w:val="18"/>
                <w:szCs w:val="18"/>
              </w:rPr>
              <w:t>7</w:t>
            </w:r>
            <w:r w:rsidR="00DD2FB3" w:rsidRPr="004C78D8">
              <w:rPr>
                <w:sz w:val="18"/>
                <w:szCs w:val="18"/>
              </w:rPr>
              <w:t>,</w:t>
            </w:r>
            <w:r w:rsidR="00DC4C41" w:rsidRPr="004C78D8">
              <w:rPr>
                <w:sz w:val="18"/>
                <w:szCs w:val="18"/>
              </w:rPr>
              <w:t>714</w:t>
            </w:r>
            <w:r w:rsidR="00DD2FB3" w:rsidRPr="004C78D8">
              <w:rPr>
                <w:sz w:val="18"/>
                <w:szCs w:val="18"/>
              </w:rPr>
              <w:t xml:space="preserve"> per QALY gain</w:t>
            </w:r>
            <w:r w:rsidR="00A64995" w:rsidRPr="004C78D8">
              <w:rPr>
                <w:sz w:val="18"/>
                <w:szCs w:val="18"/>
              </w:rPr>
              <w:t>ed</w:t>
            </w:r>
            <w:r w:rsidR="00DD2FB3" w:rsidRPr="004C78D8">
              <w:rPr>
                <w:sz w:val="18"/>
                <w:szCs w:val="18"/>
              </w:rPr>
              <w:t xml:space="preserve"> using (1) and £</w:t>
            </w:r>
            <w:r w:rsidR="00732196" w:rsidRPr="004C78D8">
              <w:rPr>
                <w:sz w:val="18"/>
                <w:szCs w:val="18"/>
              </w:rPr>
              <w:t>1</w:t>
            </w:r>
            <w:r w:rsidR="00DC4C41" w:rsidRPr="004C78D8">
              <w:rPr>
                <w:sz w:val="18"/>
                <w:szCs w:val="18"/>
              </w:rPr>
              <w:t>8</w:t>
            </w:r>
            <w:r w:rsidR="00DD2FB3" w:rsidRPr="004C78D8">
              <w:rPr>
                <w:sz w:val="18"/>
                <w:szCs w:val="18"/>
              </w:rPr>
              <w:t>,</w:t>
            </w:r>
            <w:r w:rsidR="00DC4C41" w:rsidRPr="004C78D8">
              <w:rPr>
                <w:sz w:val="18"/>
                <w:szCs w:val="18"/>
              </w:rPr>
              <w:t>851</w:t>
            </w:r>
            <w:r w:rsidR="00DD2FB3" w:rsidRPr="004C78D8">
              <w:rPr>
                <w:sz w:val="18"/>
                <w:szCs w:val="18"/>
              </w:rPr>
              <w:t xml:space="preserve"> using (2).</w:t>
            </w:r>
          </w:p>
          <w:p w14:paraId="2E7332EA" w14:textId="465D6736" w:rsidR="00DD2FB3" w:rsidRPr="004C78D8" w:rsidRDefault="008C2A11" w:rsidP="00FB7C1F">
            <w:pPr>
              <w:rPr>
                <w:sz w:val="18"/>
                <w:szCs w:val="18"/>
              </w:rPr>
            </w:pPr>
            <w:r w:rsidRPr="004C78D8">
              <w:rPr>
                <w:sz w:val="18"/>
                <w:szCs w:val="18"/>
                <w:vertAlign w:val="superscript"/>
              </w:rPr>
              <w:t>10</w:t>
            </w:r>
            <w:r w:rsidR="00DD2FB3" w:rsidRPr="004C78D8">
              <w:rPr>
                <w:sz w:val="18"/>
                <w:szCs w:val="18"/>
              </w:rPr>
              <w:t xml:space="preserve"> The public sector ICERs are £1</w:t>
            </w:r>
            <w:r w:rsidR="00BE6DC5" w:rsidRPr="004C78D8">
              <w:rPr>
                <w:sz w:val="18"/>
                <w:szCs w:val="18"/>
              </w:rPr>
              <w:t>3</w:t>
            </w:r>
            <w:r w:rsidR="00DD2FB3" w:rsidRPr="004C78D8">
              <w:rPr>
                <w:sz w:val="18"/>
                <w:szCs w:val="18"/>
              </w:rPr>
              <w:t>,</w:t>
            </w:r>
            <w:r w:rsidR="00BE6DC5" w:rsidRPr="004C78D8">
              <w:rPr>
                <w:sz w:val="18"/>
                <w:szCs w:val="18"/>
              </w:rPr>
              <w:t>216</w:t>
            </w:r>
            <w:r w:rsidR="00DD2FB3" w:rsidRPr="004C78D8">
              <w:rPr>
                <w:sz w:val="18"/>
                <w:szCs w:val="18"/>
              </w:rPr>
              <w:t xml:space="preserve"> per QALY gain</w:t>
            </w:r>
            <w:r w:rsidR="00A64995" w:rsidRPr="004C78D8">
              <w:rPr>
                <w:sz w:val="18"/>
                <w:szCs w:val="18"/>
              </w:rPr>
              <w:t>ed</w:t>
            </w:r>
            <w:r w:rsidR="00DD2FB3" w:rsidRPr="004C78D8">
              <w:rPr>
                <w:sz w:val="18"/>
                <w:szCs w:val="18"/>
              </w:rPr>
              <w:t xml:space="preserve"> using (1) and £1</w:t>
            </w:r>
            <w:r w:rsidR="00BE6DC5" w:rsidRPr="004C78D8">
              <w:rPr>
                <w:sz w:val="18"/>
                <w:szCs w:val="18"/>
              </w:rPr>
              <w:t>3</w:t>
            </w:r>
            <w:r w:rsidR="00DD2FB3" w:rsidRPr="004C78D8">
              <w:rPr>
                <w:sz w:val="18"/>
                <w:szCs w:val="18"/>
              </w:rPr>
              <w:t>,</w:t>
            </w:r>
            <w:r w:rsidR="00BE6DC5" w:rsidRPr="004C78D8">
              <w:rPr>
                <w:sz w:val="18"/>
                <w:szCs w:val="18"/>
              </w:rPr>
              <w:t>673</w:t>
            </w:r>
            <w:r w:rsidR="00DD2FB3" w:rsidRPr="004C78D8">
              <w:rPr>
                <w:sz w:val="18"/>
                <w:szCs w:val="18"/>
              </w:rPr>
              <w:t xml:space="preserve"> using (2).</w:t>
            </w:r>
          </w:p>
          <w:p w14:paraId="7D77770F" w14:textId="33E74FBC" w:rsidR="00DD2FB3" w:rsidRPr="004C78D8" w:rsidRDefault="0010500A" w:rsidP="00FB7C1F">
            <w:pPr>
              <w:rPr>
                <w:sz w:val="18"/>
                <w:szCs w:val="18"/>
              </w:rPr>
            </w:pPr>
            <w:r w:rsidRPr="004C78D8">
              <w:rPr>
                <w:sz w:val="18"/>
                <w:szCs w:val="18"/>
                <w:vertAlign w:val="superscript"/>
              </w:rPr>
              <w:t>1</w:t>
            </w:r>
            <w:r w:rsidR="008C2A11" w:rsidRPr="004C78D8">
              <w:rPr>
                <w:sz w:val="18"/>
                <w:szCs w:val="18"/>
                <w:vertAlign w:val="superscript"/>
              </w:rPr>
              <w:t>1</w:t>
            </w:r>
            <w:r w:rsidR="00DD2FB3" w:rsidRPr="004C78D8">
              <w:rPr>
                <w:sz w:val="18"/>
                <w:szCs w:val="18"/>
              </w:rPr>
              <w:t xml:space="preserve"> The public sector ICERs are £</w:t>
            </w:r>
            <w:r w:rsidR="00BE6DC5" w:rsidRPr="004C78D8">
              <w:rPr>
                <w:sz w:val="18"/>
                <w:szCs w:val="18"/>
              </w:rPr>
              <w:t>8</w:t>
            </w:r>
            <w:r w:rsidR="00DD2FB3" w:rsidRPr="004C78D8">
              <w:rPr>
                <w:sz w:val="18"/>
                <w:szCs w:val="18"/>
              </w:rPr>
              <w:t>,</w:t>
            </w:r>
            <w:r w:rsidR="00CE18C6" w:rsidRPr="004C78D8">
              <w:rPr>
                <w:sz w:val="18"/>
                <w:szCs w:val="18"/>
              </w:rPr>
              <w:t>9</w:t>
            </w:r>
            <w:r w:rsidR="00BE6DC5" w:rsidRPr="004C78D8">
              <w:rPr>
                <w:sz w:val="18"/>
                <w:szCs w:val="18"/>
              </w:rPr>
              <w:t>56</w:t>
            </w:r>
            <w:r w:rsidR="00DD2FB3" w:rsidRPr="004C78D8">
              <w:rPr>
                <w:sz w:val="18"/>
                <w:szCs w:val="18"/>
              </w:rPr>
              <w:t xml:space="preserve"> per QALY gain</w:t>
            </w:r>
            <w:r w:rsidR="00A64995" w:rsidRPr="004C78D8">
              <w:rPr>
                <w:sz w:val="18"/>
                <w:szCs w:val="18"/>
              </w:rPr>
              <w:t>ed</w:t>
            </w:r>
            <w:r w:rsidR="00DD2FB3" w:rsidRPr="004C78D8">
              <w:rPr>
                <w:sz w:val="18"/>
                <w:szCs w:val="18"/>
              </w:rPr>
              <w:t xml:space="preserve"> using (1) and £</w:t>
            </w:r>
            <w:r w:rsidR="00BE6DC5" w:rsidRPr="004C78D8">
              <w:rPr>
                <w:sz w:val="18"/>
                <w:szCs w:val="18"/>
              </w:rPr>
              <w:t>9</w:t>
            </w:r>
            <w:r w:rsidR="00DD2FB3" w:rsidRPr="004C78D8">
              <w:rPr>
                <w:sz w:val="18"/>
                <w:szCs w:val="18"/>
              </w:rPr>
              <w:t>,</w:t>
            </w:r>
            <w:r w:rsidR="00CE18C6" w:rsidRPr="004C78D8">
              <w:rPr>
                <w:sz w:val="18"/>
                <w:szCs w:val="18"/>
              </w:rPr>
              <w:t>87</w:t>
            </w:r>
            <w:r w:rsidR="00BE6DC5" w:rsidRPr="004C78D8">
              <w:rPr>
                <w:sz w:val="18"/>
                <w:szCs w:val="18"/>
              </w:rPr>
              <w:t>2</w:t>
            </w:r>
            <w:r w:rsidR="00DD2FB3" w:rsidRPr="004C78D8">
              <w:rPr>
                <w:sz w:val="18"/>
                <w:szCs w:val="18"/>
              </w:rPr>
              <w:t xml:space="preserve"> using (2).</w:t>
            </w:r>
          </w:p>
          <w:p w14:paraId="1474F9BA" w14:textId="07BC82AF" w:rsidR="00DD2FB3" w:rsidRPr="004C78D8" w:rsidRDefault="00DD2FB3" w:rsidP="00FB7C1F">
            <w:pPr>
              <w:rPr>
                <w:sz w:val="18"/>
                <w:szCs w:val="18"/>
              </w:rPr>
            </w:pPr>
            <w:r w:rsidRPr="004C78D8">
              <w:rPr>
                <w:sz w:val="18"/>
                <w:szCs w:val="18"/>
                <w:vertAlign w:val="superscript"/>
              </w:rPr>
              <w:t>1</w:t>
            </w:r>
            <w:r w:rsidR="008C2A11" w:rsidRPr="004C78D8">
              <w:rPr>
                <w:sz w:val="18"/>
                <w:szCs w:val="18"/>
                <w:vertAlign w:val="superscript"/>
              </w:rPr>
              <w:t>2</w:t>
            </w:r>
            <w:r w:rsidRPr="004C78D8">
              <w:rPr>
                <w:sz w:val="18"/>
                <w:szCs w:val="18"/>
              </w:rPr>
              <w:t xml:space="preserve"> Incremental net monetary benefits are estimated using the cost-effectiveness threshold of £30,000 per QALY gain</w:t>
            </w:r>
            <w:r w:rsidR="00A64995" w:rsidRPr="004C78D8">
              <w:rPr>
                <w:sz w:val="18"/>
                <w:szCs w:val="18"/>
              </w:rPr>
              <w:t>ed</w:t>
            </w:r>
            <w:r w:rsidRPr="004C78D8">
              <w:rPr>
                <w:sz w:val="18"/>
                <w:szCs w:val="18"/>
              </w:rPr>
              <w:t>.</w:t>
            </w:r>
          </w:p>
        </w:tc>
      </w:tr>
    </w:tbl>
    <w:p w14:paraId="128D6BB1" w14:textId="77777777" w:rsidR="002645A3" w:rsidRPr="004C78D8" w:rsidRDefault="002645A3" w:rsidP="00FB7C1F"/>
    <w:p w14:paraId="506A7049" w14:textId="21890CCA" w:rsidR="00BE2B4A" w:rsidRPr="004C78D8" w:rsidRDefault="00331879" w:rsidP="00FB7C1F">
      <w:r w:rsidRPr="004C78D8">
        <w:t>R</w:t>
      </w:r>
      <w:r w:rsidR="00BE2B4A" w:rsidRPr="004C78D8">
        <w:t xml:space="preserve">andom allocation </w:t>
      </w:r>
      <w:r w:rsidRPr="004C78D8">
        <w:t xml:space="preserve">in (1) </w:t>
      </w:r>
      <w:r w:rsidR="00BE2B4A" w:rsidRPr="004C78D8">
        <w:t>produced ICERs comparable to those under base case; thus, capacity constraints in themselves had little impact on cost-effectiveness</w:t>
      </w:r>
      <w:r w:rsidR="00057A99" w:rsidRPr="004C78D8">
        <w:t xml:space="preserve"> beyond reducing the aggregate INMB</w:t>
      </w:r>
      <w:r w:rsidR="00BE2B4A" w:rsidRPr="004C78D8">
        <w:t xml:space="preserve">. </w:t>
      </w:r>
      <w:r w:rsidR="00B321FA" w:rsidRPr="004C78D8">
        <w:t>N</w:t>
      </w:r>
      <w:r w:rsidR="00BE2B4A" w:rsidRPr="004C78D8">
        <w:t xml:space="preserve">o repeated intervention provision </w:t>
      </w:r>
      <w:r w:rsidR="00B321FA" w:rsidRPr="004C78D8">
        <w:t xml:space="preserve">in (2) </w:t>
      </w:r>
      <w:r w:rsidR="00BE2B4A" w:rsidRPr="004C78D8">
        <w:t xml:space="preserve">produced higher ICERs than (1), mainly because the under-utilisation of the third falls clinic raised the per-capita intervention cost. Frailty targeting in (3) </w:t>
      </w:r>
      <w:r w:rsidR="00BE6DC5" w:rsidRPr="004C78D8">
        <w:t>also produced ICERs comparable to the base case</w:t>
      </w:r>
      <w:r w:rsidR="005B1979" w:rsidRPr="004C78D8">
        <w:t>. T</w:t>
      </w:r>
      <w:r w:rsidR="00BE2B4A" w:rsidRPr="004C78D8">
        <w:t xml:space="preserve">he most significant </w:t>
      </w:r>
      <w:r w:rsidR="005B1979" w:rsidRPr="004C78D8">
        <w:t>change in cost-effectiveness</w:t>
      </w:r>
      <w:r w:rsidR="00BE2B4A" w:rsidRPr="004C78D8">
        <w:t xml:space="preserve"> was produced by falls risk targeting in (4).</w:t>
      </w:r>
      <w:r w:rsidR="00961561" w:rsidRPr="004C78D8">
        <w:t xml:space="preserve"> This significantly reduced the ICER relative to base case</w:t>
      </w:r>
      <w:r w:rsidR="008C68C6" w:rsidRPr="004C78D8">
        <w:t>.</w:t>
      </w:r>
    </w:p>
    <w:p w14:paraId="72B08F85" w14:textId="498D952E" w:rsidR="00097FDB" w:rsidRPr="004C78D8" w:rsidRDefault="002B6255" w:rsidP="00FB7C1F">
      <w:r w:rsidRPr="004C78D8">
        <w:t xml:space="preserve">The constraints significantly </w:t>
      </w:r>
      <w:r w:rsidR="00097FDB" w:rsidRPr="004C78D8">
        <w:t>reduced</w:t>
      </w:r>
      <w:r w:rsidRPr="004C78D8">
        <w:t xml:space="preserve"> the aggregate </w:t>
      </w:r>
      <w:r w:rsidR="00D44305" w:rsidRPr="004C78D8">
        <w:t xml:space="preserve">societal </w:t>
      </w:r>
      <w:r w:rsidRPr="004C78D8">
        <w:t xml:space="preserve">INMB </w:t>
      </w:r>
      <w:r w:rsidR="00D44305" w:rsidRPr="004C78D8">
        <w:t xml:space="preserve">(considering all-cause costs) </w:t>
      </w:r>
      <w:r w:rsidRPr="004C78D8">
        <w:t>from £3</w:t>
      </w:r>
      <w:r w:rsidR="00D44305" w:rsidRPr="004C78D8">
        <w:t>58</w:t>
      </w:r>
      <w:r w:rsidRPr="004C78D8">
        <w:t>.7 million under base case to £</w:t>
      </w:r>
      <w:r w:rsidR="008D7558" w:rsidRPr="004C78D8">
        <w:t>2</w:t>
      </w:r>
      <w:r w:rsidR="005B1979" w:rsidRPr="004C78D8">
        <w:t>14</w:t>
      </w:r>
      <w:r w:rsidRPr="004C78D8">
        <w:t>.</w:t>
      </w:r>
      <w:r w:rsidR="005B1979" w:rsidRPr="004C78D8">
        <w:t>0</w:t>
      </w:r>
      <w:r w:rsidRPr="004C78D8">
        <w:t xml:space="preserve"> million under (4); but the INMB per intervention user increased from £</w:t>
      </w:r>
      <w:r w:rsidR="008D7558" w:rsidRPr="004C78D8">
        <w:t>210</w:t>
      </w:r>
      <w:r w:rsidRPr="004C78D8">
        <w:t xml:space="preserve"> in base case to £</w:t>
      </w:r>
      <w:r w:rsidR="008D7558" w:rsidRPr="004C78D8">
        <w:t>4</w:t>
      </w:r>
      <w:r w:rsidR="005B1979" w:rsidRPr="004C78D8">
        <w:t>06</w:t>
      </w:r>
      <w:r w:rsidRPr="004C78D8">
        <w:t xml:space="preserve"> in (4).</w:t>
      </w:r>
      <w:r w:rsidR="002E587C" w:rsidRPr="004C78D8">
        <w:t xml:space="preserve"> </w:t>
      </w:r>
      <w:r w:rsidR="008D7558" w:rsidRPr="004C78D8">
        <w:t>Comparing the INMBs across targeting scenarios allow</w:t>
      </w:r>
      <w:r w:rsidR="002963CE" w:rsidRPr="004C78D8">
        <w:t>ed</w:t>
      </w:r>
      <w:r w:rsidR="008D7558" w:rsidRPr="004C78D8">
        <w:t xml:space="preserve"> the estimation of decision-maker’s</w:t>
      </w:r>
      <w:r w:rsidR="002963CE" w:rsidRPr="004C78D8">
        <w:t xml:space="preserve"> </w:t>
      </w:r>
      <w:r w:rsidR="008D7558" w:rsidRPr="004C78D8">
        <w:t>WTP for the</w:t>
      </w:r>
      <w:r w:rsidR="009835CF" w:rsidRPr="004C78D8">
        <w:t xml:space="preserve"> </w:t>
      </w:r>
      <w:r w:rsidR="008D7558" w:rsidRPr="004C78D8">
        <w:t>targeting tool</w:t>
      </w:r>
      <w:r w:rsidR="009835CF" w:rsidRPr="004C78D8">
        <w:t>s: for example, the additional societal INMB (considering all-cause costs) of £10</w:t>
      </w:r>
      <w:r w:rsidR="005B1979" w:rsidRPr="004C78D8">
        <w:t>0</w:t>
      </w:r>
      <w:r w:rsidR="009835CF" w:rsidRPr="004C78D8">
        <w:t>.</w:t>
      </w:r>
      <w:r w:rsidR="005B1979" w:rsidRPr="004C78D8">
        <w:t>0</w:t>
      </w:r>
      <w:r w:rsidR="009835CF" w:rsidRPr="004C78D8">
        <w:t xml:space="preserve"> million for</w:t>
      </w:r>
      <w:r w:rsidR="002963CE" w:rsidRPr="004C78D8">
        <w:t xml:space="preserve"> </w:t>
      </w:r>
      <w:r w:rsidR="009835CF" w:rsidRPr="004C78D8">
        <w:t xml:space="preserve">(4) relative to (1) </w:t>
      </w:r>
      <w:r w:rsidR="002963CE" w:rsidRPr="004C78D8">
        <w:t>wa</w:t>
      </w:r>
      <w:r w:rsidR="009835CF" w:rsidRPr="004C78D8">
        <w:t xml:space="preserve">s the maximum amount that can be invested in multivariate falls risk </w:t>
      </w:r>
      <w:r w:rsidR="002963CE" w:rsidRPr="004C78D8">
        <w:t>targeting</w:t>
      </w:r>
      <w:r w:rsidR="009835CF" w:rsidRPr="004C78D8">
        <w:t xml:space="preserve"> system under the £30,000 per QALY gain</w:t>
      </w:r>
      <w:r w:rsidR="00A64995" w:rsidRPr="004C78D8">
        <w:t>ed</w:t>
      </w:r>
      <w:r w:rsidR="009835CF" w:rsidRPr="004C78D8">
        <w:t xml:space="preserve"> threshold</w:t>
      </w:r>
      <w:r w:rsidR="005B1979" w:rsidRPr="004C78D8">
        <w:t xml:space="preserve"> </w:t>
      </w:r>
      <w:r w:rsidR="005B1979" w:rsidRPr="004C78D8">
        <w:rPr>
          <w:i/>
          <w:iCs/>
        </w:rPr>
        <w:t>after</w:t>
      </w:r>
      <w:r w:rsidR="005B1979" w:rsidRPr="004C78D8">
        <w:t xml:space="preserve"> accounting for the </w:t>
      </w:r>
      <w:r w:rsidR="00092E3C" w:rsidRPr="004C78D8">
        <w:t xml:space="preserve">per-capita </w:t>
      </w:r>
      <w:r w:rsidR="002963CE" w:rsidRPr="004C78D8">
        <w:t>targeting</w:t>
      </w:r>
      <w:r w:rsidR="005B1979" w:rsidRPr="004C78D8">
        <w:t xml:space="preserve"> cost</w:t>
      </w:r>
      <w:r w:rsidR="009835CF" w:rsidRPr="004C78D8">
        <w:t xml:space="preserve">. </w:t>
      </w:r>
      <w:r w:rsidR="005B1979" w:rsidRPr="004C78D8">
        <w:t xml:space="preserve">Hence, the amount can cover any </w:t>
      </w:r>
      <w:r w:rsidR="00D91018" w:rsidRPr="004C78D8">
        <w:t xml:space="preserve">additional </w:t>
      </w:r>
      <w:r w:rsidR="005B1979" w:rsidRPr="004C78D8">
        <w:t xml:space="preserve">costs involved in the system </w:t>
      </w:r>
      <w:r w:rsidR="00D91018" w:rsidRPr="004C78D8">
        <w:t>set-up</w:t>
      </w:r>
      <w:r w:rsidR="005B1979" w:rsidRPr="004C78D8">
        <w:t xml:space="preserve">. </w:t>
      </w:r>
    </w:p>
    <w:p w14:paraId="2897A9EE" w14:textId="45CC2A56" w:rsidR="00F8452A" w:rsidRPr="004C78D8" w:rsidRDefault="008556C9" w:rsidP="00FB7C1F">
      <w:r w:rsidRPr="004C78D8">
        <w:t>Figure F</w:t>
      </w:r>
      <w:r w:rsidR="001F2E23" w:rsidRPr="004C78D8">
        <w:t>12</w:t>
      </w:r>
      <w:r w:rsidR="00C11FB0" w:rsidRPr="004C78D8">
        <w:t xml:space="preserve"> </w:t>
      </w:r>
      <w:r w:rsidRPr="004C78D8">
        <w:t xml:space="preserve">shows the </w:t>
      </w:r>
      <w:r w:rsidR="00B03AB9" w:rsidRPr="004C78D8">
        <w:t xml:space="preserve">SES gradients </w:t>
      </w:r>
      <w:r w:rsidR="00097FDB" w:rsidRPr="004C78D8">
        <w:t xml:space="preserve">to </w:t>
      </w:r>
      <w:r w:rsidRPr="004C78D8">
        <w:t>societal per-capita INHBs (considering all-cause costs) under the scenarios</w:t>
      </w:r>
      <w:r w:rsidR="00B03AB9" w:rsidRPr="004C78D8">
        <w:t xml:space="preserve">. </w:t>
      </w:r>
      <w:r w:rsidR="000D196B" w:rsidRPr="004C78D8">
        <w:t xml:space="preserve">Table </w:t>
      </w:r>
      <w:r w:rsidR="00C11FB0" w:rsidRPr="004C78D8">
        <w:t>6</w:t>
      </w:r>
      <w:r w:rsidR="000D196B" w:rsidRPr="004C78D8">
        <w:t>.</w:t>
      </w:r>
      <w:r w:rsidR="00C11FB0" w:rsidRPr="004C78D8">
        <w:t>12</w:t>
      </w:r>
      <w:r w:rsidR="000D196B" w:rsidRPr="004C78D8">
        <w:t xml:space="preserve"> </w:t>
      </w:r>
      <w:r w:rsidR="00F8452A" w:rsidRPr="004C78D8">
        <w:t xml:space="preserve">compares the </w:t>
      </w:r>
      <w:r w:rsidR="0056368A" w:rsidRPr="004C78D8">
        <w:t>EDE INHBs</w:t>
      </w:r>
      <w:r w:rsidR="00F8452A" w:rsidRPr="004C78D8">
        <w:t xml:space="preserve"> of the targeting strategies relative to UC under high relative and absolute inequality aversions. </w:t>
      </w:r>
      <w:r w:rsidR="003B72A5" w:rsidRPr="004C78D8">
        <w:t>All strategies improved both equity and efficiency. Scenario (4) had the highest proportional increases in EDE</w:t>
      </w:r>
      <w:r w:rsidR="0056368A" w:rsidRPr="004C78D8">
        <w:t xml:space="preserve"> INHB</w:t>
      </w:r>
      <w:r w:rsidR="003B72A5" w:rsidRPr="004C78D8">
        <w:t xml:space="preserve">s relative to incremental no-aversion mean </w:t>
      </w:r>
      <w:r w:rsidR="0056368A" w:rsidRPr="004C78D8">
        <w:t>under</w:t>
      </w:r>
      <w:r w:rsidR="003B72A5" w:rsidRPr="004C78D8">
        <w:t xml:space="preserve"> both relative and absolute inequalit</w:t>
      </w:r>
      <w:r w:rsidR="0056368A" w:rsidRPr="004C78D8">
        <w:t>y aversions.</w:t>
      </w:r>
    </w:p>
    <w:tbl>
      <w:tblPr>
        <w:tblStyle w:val="TableGrid"/>
        <w:tblW w:w="5000" w:type="pct"/>
        <w:tblLook w:val="04A0" w:firstRow="1" w:lastRow="0" w:firstColumn="1" w:lastColumn="0" w:noHBand="0" w:noVBand="1"/>
      </w:tblPr>
      <w:tblGrid>
        <w:gridCol w:w="3235"/>
        <w:gridCol w:w="1443"/>
        <w:gridCol w:w="1450"/>
        <w:gridCol w:w="1444"/>
        <w:gridCol w:w="1444"/>
      </w:tblGrid>
      <w:tr w:rsidR="00EE064C" w:rsidRPr="004C78D8" w14:paraId="385A73AC" w14:textId="77777777" w:rsidTr="00E35893">
        <w:tc>
          <w:tcPr>
            <w:tcW w:w="5000" w:type="pct"/>
            <w:gridSpan w:val="5"/>
          </w:tcPr>
          <w:p w14:paraId="19D5C104" w14:textId="1F577853" w:rsidR="00EE064C" w:rsidRPr="004C78D8" w:rsidRDefault="00EE064C" w:rsidP="00FB7C1F">
            <w:pPr>
              <w:jc w:val="left"/>
            </w:pPr>
            <w:r w:rsidRPr="004C78D8">
              <w:rPr>
                <w:b/>
                <w:bCs/>
              </w:rPr>
              <w:t xml:space="preserve">Table </w:t>
            </w:r>
            <w:r w:rsidR="00C11FB0" w:rsidRPr="004C78D8">
              <w:rPr>
                <w:b/>
                <w:bCs/>
              </w:rPr>
              <w:t>6</w:t>
            </w:r>
            <w:r w:rsidRPr="004C78D8">
              <w:rPr>
                <w:b/>
                <w:bCs/>
              </w:rPr>
              <w:t>.</w:t>
            </w:r>
            <w:r w:rsidR="00C11FB0" w:rsidRPr="004C78D8">
              <w:rPr>
                <w:b/>
                <w:bCs/>
              </w:rPr>
              <w:t>12</w:t>
            </w:r>
            <w:r w:rsidRPr="004C78D8">
              <w:t xml:space="preserve"> </w:t>
            </w:r>
            <w:r w:rsidR="00885746" w:rsidRPr="004C78D8">
              <w:t>SES-delineated EDE INHBs for targeting strategies under constrained recommended care relative to usual care.</w:t>
            </w:r>
          </w:p>
        </w:tc>
      </w:tr>
      <w:tr w:rsidR="00057A99" w:rsidRPr="004C78D8" w14:paraId="2245D65C" w14:textId="77777777" w:rsidTr="00E35893">
        <w:tc>
          <w:tcPr>
            <w:tcW w:w="1794" w:type="pct"/>
            <w:vAlign w:val="bottom"/>
          </w:tcPr>
          <w:p w14:paraId="01145053" w14:textId="228F58D2" w:rsidR="00057A99" w:rsidRPr="004C78D8" w:rsidRDefault="00057A99" w:rsidP="00FB7C1F">
            <w:pPr>
              <w:jc w:val="left"/>
              <w:rPr>
                <w:b/>
                <w:bCs/>
                <w:sz w:val="20"/>
                <w:szCs w:val="20"/>
              </w:rPr>
            </w:pPr>
            <w:r w:rsidRPr="004C78D8">
              <w:rPr>
                <w:b/>
                <w:bCs/>
                <w:sz w:val="20"/>
                <w:szCs w:val="20"/>
              </w:rPr>
              <w:t>Societal INHB</w:t>
            </w:r>
            <w:r w:rsidRPr="004C78D8">
              <w:rPr>
                <w:b/>
                <w:bCs/>
                <w:sz w:val="20"/>
                <w:szCs w:val="20"/>
                <w:vertAlign w:val="superscript"/>
              </w:rPr>
              <w:t>1</w:t>
            </w:r>
          </w:p>
        </w:tc>
        <w:tc>
          <w:tcPr>
            <w:tcW w:w="800" w:type="pct"/>
            <w:vAlign w:val="bottom"/>
          </w:tcPr>
          <w:p w14:paraId="035A3488" w14:textId="0A8F256A" w:rsidR="00057A99" w:rsidRPr="004C78D8" w:rsidRDefault="00057A99" w:rsidP="00FB7C1F">
            <w:pPr>
              <w:jc w:val="left"/>
              <w:rPr>
                <w:b/>
                <w:bCs/>
                <w:sz w:val="18"/>
                <w:szCs w:val="18"/>
              </w:rPr>
            </w:pPr>
            <w:r w:rsidRPr="004C78D8">
              <w:rPr>
                <w:b/>
                <w:bCs/>
                <w:sz w:val="18"/>
                <w:szCs w:val="18"/>
              </w:rPr>
              <w:t>(1) Random allocation vs. UC</w:t>
            </w:r>
          </w:p>
        </w:tc>
        <w:tc>
          <w:tcPr>
            <w:tcW w:w="804" w:type="pct"/>
            <w:vAlign w:val="bottom"/>
          </w:tcPr>
          <w:p w14:paraId="369DF79C" w14:textId="1D9E29DC" w:rsidR="00057A99" w:rsidRPr="004C78D8" w:rsidRDefault="00057A99" w:rsidP="00FB7C1F">
            <w:pPr>
              <w:jc w:val="left"/>
              <w:rPr>
                <w:b/>
                <w:bCs/>
                <w:sz w:val="18"/>
                <w:szCs w:val="18"/>
              </w:rPr>
            </w:pPr>
            <w:r w:rsidRPr="004C78D8">
              <w:rPr>
                <w:b/>
                <w:bCs/>
                <w:sz w:val="18"/>
                <w:szCs w:val="18"/>
              </w:rPr>
              <w:t>(2) No repeated intervention vs. UC</w:t>
            </w:r>
          </w:p>
        </w:tc>
        <w:tc>
          <w:tcPr>
            <w:tcW w:w="801" w:type="pct"/>
            <w:vAlign w:val="bottom"/>
          </w:tcPr>
          <w:p w14:paraId="3C209858" w14:textId="36FE00C3" w:rsidR="00057A99" w:rsidRPr="004C78D8" w:rsidRDefault="00057A99" w:rsidP="00FB7C1F">
            <w:pPr>
              <w:jc w:val="left"/>
              <w:rPr>
                <w:b/>
                <w:bCs/>
                <w:sz w:val="18"/>
                <w:szCs w:val="18"/>
              </w:rPr>
            </w:pPr>
            <w:r w:rsidRPr="004C78D8">
              <w:rPr>
                <w:b/>
                <w:bCs/>
                <w:sz w:val="18"/>
                <w:szCs w:val="18"/>
              </w:rPr>
              <w:t>(3) Targeting frailty vs. UC</w:t>
            </w:r>
          </w:p>
        </w:tc>
        <w:tc>
          <w:tcPr>
            <w:tcW w:w="801" w:type="pct"/>
            <w:vAlign w:val="bottom"/>
          </w:tcPr>
          <w:p w14:paraId="6530F578" w14:textId="0B820948" w:rsidR="00057A99" w:rsidRPr="004C78D8" w:rsidRDefault="00057A99" w:rsidP="00FB7C1F">
            <w:pPr>
              <w:jc w:val="left"/>
              <w:rPr>
                <w:b/>
                <w:bCs/>
                <w:sz w:val="18"/>
                <w:szCs w:val="18"/>
              </w:rPr>
            </w:pPr>
            <w:r w:rsidRPr="004C78D8">
              <w:rPr>
                <w:b/>
                <w:bCs/>
                <w:sz w:val="18"/>
                <w:szCs w:val="18"/>
              </w:rPr>
              <w:t>(4) Targeting falls risk vs. UC</w:t>
            </w:r>
          </w:p>
        </w:tc>
      </w:tr>
      <w:tr w:rsidR="00057A99" w:rsidRPr="004C78D8" w14:paraId="0788BB03" w14:textId="77777777" w:rsidTr="00E35893">
        <w:tc>
          <w:tcPr>
            <w:tcW w:w="1794" w:type="pct"/>
            <w:tcBorders>
              <w:bottom w:val="single" w:sz="4" w:space="0" w:color="auto"/>
            </w:tcBorders>
          </w:tcPr>
          <w:p w14:paraId="6C3D521F" w14:textId="27B44106" w:rsidR="00057A99" w:rsidRPr="004C78D8" w:rsidRDefault="00057A99" w:rsidP="00FB7C1F">
            <w:pPr>
              <w:jc w:val="left"/>
              <w:rPr>
                <w:sz w:val="20"/>
                <w:szCs w:val="20"/>
              </w:rPr>
            </w:pPr>
            <w:r w:rsidRPr="004C78D8">
              <w:rPr>
                <w:sz w:val="20"/>
                <w:szCs w:val="20"/>
              </w:rPr>
              <w:t>(1) Incremental no-aversion mean</w:t>
            </w:r>
            <w:r w:rsidRPr="004C78D8">
              <w:rPr>
                <w:sz w:val="20"/>
                <w:szCs w:val="20"/>
                <w:vertAlign w:val="superscript"/>
              </w:rPr>
              <w:t>2</w:t>
            </w:r>
          </w:p>
        </w:tc>
        <w:tc>
          <w:tcPr>
            <w:tcW w:w="800" w:type="pct"/>
            <w:tcBorders>
              <w:bottom w:val="single" w:sz="4" w:space="0" w:color="auto"/>
            </w:tcBorders>
          </w:tcPr>
          <w:p w14:paraId="07847324" w14:textId="558814AA" w:rsidR="00057A99" w:rsidRPr="004C78D8" w:rsidRDefault="00057A99" w:rsidP="00FB7C1F">
            <w:pPr>
              <w:jc w:val="left"/>
              <w:rPr>
                <w:sz w:val="20"/>
                <w:szCs w:val="20"/>
              </w:rPr>
            </w:pPr>
            <w:r w:rsidRPr="004C78D8">
              <w:rPr>
                <w:sz w:val="20"/>
                <w:szCs w:val="20"/>
              </w:rPr>
              <w:t>0.0103</w:t>
            </w:r>
          </w:p>
        </w:tc>
        <w:tc>
          <w:tcPr>
            <w:tcW w:w="804" w:type="pct"/>
            <w:tcBorders>
              <w:bottom w:val="single" w:sz="4" w:space="0" w:color="auto"/>
            </w:tcBorders>
          </w:tcPr>
          <w:p w14:paraId="7F41D390" w14:textId="0917B39A" w:rsidR="00057A99" w:rsidRPr="004C78D8" w:rsidRDefault="00057A99" w:rsidP="00FB7C1F">
            <w:pPr>
              <w:jc w:val="left"/>
              <w:rPr>
                <w:sz w:val="20"/>
                <w:szCs w:val="20"/>
              </w:rPr>
            </w:pPr>
            <w:r w:rsidRPr="004C78D8">
              <w:rPr>
                <w:sz w:val="20"/>
                <w:szCs w:val="20"/>
              </w:rPr>
              <w:t>0.0086</w:t>
            </w:r>
          </w:p>
        </w:tc>
        <w:tc>
          <w:tcPr>
            <w:tcW w:w="801" w:type="pct"/>
            <w:tcBorders>
              <w:bottom w:val="single" w:sz="4" w:space="0" w:color="auto"/>
            </w:tcBorders>
          </w:tcPr>
          <w:p w14:paraId="7FFA0608" w14:textId="6621B4C1" w:rsidR="00057A99" w:rsidRPr="004C78D8" w:rsidRDefault="00057A99" w:rsidP="00FB7C1F">
            <w:pPr>
              <w:jc w:val="left"/>
              <w:rPr>
                <w:sz w:val="20"/>
                <w:szCs w:val="20"/>
              </w:rPr>
            </w:pPr>
            <w:r w:rsidRPr="004C78D8">
              <w:rPr>
                <w:sz w:val="20"/>
                <w:szCs w:val="20"/>
              </w:rPr>
              <w:t>0.0108</w:t>
            </w:r>
          </w:p>
        </w:tc>
        <w:tc>
          <w:tcPr>
            <w:tcW w:w="801" w:type="pct"/>
            <w:tcBorders>
              <w:bottom w:val="single" w:sz="4" w:space="0" w:color="auto"/>
            </w:tcBorders>
          </w:tcPr>
          <w:p w14:paraId="1B5E30F4" w14:textId="4AC27817" w:rsidR="00057A99" w:rsidRPr="004C78D8" w:rsidRDefault="00057A99" w:rsidP="00FB7C1F">
            <w:pPr>
              <w:jc w:val="left"/>
              <w:rPr>
                <w:sz w:val="20"/>
                <w:szCs w:val="20"/>
              </w:rPr>
            </w:pPr>
            <w:r w:rsidRPr="004C78D8">
              <w:rPr>
                <w:sz w:val="20"/>
                <w:szCs w:val="20"/>
              </w:rPr>
              <w:t>0.0191</w:t>
            </w:r>
          </w:p>
        </w:tc>
      </w:tr>
      <w:tr w:rsidR="00057A99" w:rsidRPr="004C78D8" w14:paraId="4A54C82C" w14:textId="77777777" w:rsidTr="00E35893">
        <w:tc>
          <w:tcPr>
            <w:tcW w:w="1794" w:type="pct"/>
            <w:tcBorders>
              <w:bottom w:val="nil"/>
            </w:tcBorders>
          </w:tcPr>
          <w:p w14:paraId="237B28AD" w14:textId="3505890C" w:rsidR="00057A99" w:rsidRPr="004C78D8" w:rsidRDefault="00057A99" w:rsidP="00FB7C1F">
            <w:pPr>
              <w:jc w:val="left"/>
              <w:rPr>
                <w:sz w:val="20"/>
                <w:szCs w:val="20"/>
              </w:rPr>
            </w:pPr>
            <w:r w:rsidRPr="004C78D8">
              <w:rPr>
                <w:sz w:val="20"/>
                <w:szCs w:val="20"/>
              </w:rPr>
              <w:t>(2) Atkinson EDE INHB (</w:t>
            </w:r>
            <w:r w:rsidRPr="004C78D8">
              <w:rPr>
                <w:rFonts w:cs="Times New Roman"/>
                <w:sz w:val="20"/>
                <w:szCs w:val="20"/>
              </w:rPr>
              <w:t>ε</w:t>
            </w:r>
            <w:r w:rsidRPr="004C78D8">
              <w:rPr>
                <w:sz w:val="20"/>
                <w:szCs w:val="20"/>
              </w:rPr>
              <w:t>=30)</w:t>
            </w:r>
          </w:p>
        </w:tc>
        <w:tc>
          <w:tcPr>
            <w:tcW w:w="800" w:type="pct"/>
            <w:tcBorders>
              <w:bottom w:val="nil"/>
            </w:tcBorders>
          </w:tcPr>
          <w:p w14:paraId="46D42C5F" w14:textId="2DF9BA6D" w:rsidR="00057A99" w:rsidRPr="004C78D8" w:rsidRDefault="00057A99" w:rsidP="00FB7C1F">
            <w:pPr>
              <w:jc w:val="left"/>
              <w:rPr>
                <w:sz w:val="20"/>
                <w:szCs w:val="20"/>
              </w:rPr>
            </w:pPr>
            <w:r w:rsidRPr="004C78D8">
              <w:rPr>
                <w:sz w:val="20"/>
                <w:szCs w:val="20"/>
              </w:rPr>
              <w:t>0.0110</w:t>
            </w:r>
          </w:p>
        </w:tc>
        <w:tc>
          <w:tcPr>
            <w:tcW w:w="804" w:type="pct"/>
            <w:tcBorders>
              <w:bottom w:val="nil"/>
            </w:tcBorders>
          </w:tcPr>
          <w:p w14:paraId="54B702D7" w14:textId="30E28DA1" w:rsidR="00057A99" w:rsidRPr="004C78D8" w:rsidRDefault="00057A99" w:rsidP="00FB7C1F">
            <w:pPr>
              <w:jc w:val="left"/>
              <w:rPr>
                <w:sz w:val="20"/>
                <w:szCs w:val="20"/>
              </w:rPr>
            </w:pPr>
            <w:r w:rsidRPr="004C78D8">
              <w:rPr>
                <w:sz w:val="20"/>
                <w:szCs w:val="20"/>
              </w:rPr>
              <w:t>0.0092</w:t>
            </w:r>
          </w:p>
        </w:tc>
        <w:tc>
          <w:tcPr>
            <w:tcW w:w="801" w:type="pct"/>
            <w:tcBorders>
              <w:bottom w:val="nil"/>
            </w:tcBorders>
          </w:tcPr>
          <w:p w14:paraId="139FC258" w14:textId="3C4AA98A" w:rsidR="00057A99" w:rsidRPr="004C78D8" w:rsidRDefault="00057A99" w:rsidP="00FB7C1F">
            <w:pPr>
              <w:jc w:val="left"/>
              <w:rPr>
                <w:sz w:val="20"/>
                <w:szCs w:val="20"/>
              </w:rPr>
            </w:pPr>
            <w:r w:rsidRPr="004C78D8">
              <w:rPr>
                <w:sz w:val="20"/>
                <w:szCs w:val="20"/>
              </w:rPr>
              <w:t>0.0122</w:t>
            </w:r>
          </w:p>
        </w:tc>
        <w:tc>
          <w:tcPr>
            <w:tcW w:w="801" w:type="pct"/>
            <w:tcBorders>
              <w:bottom w:val="nil"/>
            </w:tcBorders>
          </w:tcPr>
          <w:p w14:paraId="0BF4D324" w14:textId="65617F48" w:rsidR="00057A99" w:rsidRPr="004C78D8" w:rsidRDefault="00057A99" w:rsidP="00FB7C1F">
            <w:pPr>
              <w:jc w:val="left"/>
              <w:rPr>
                <w:sz w:val="20"/>
                <w:szCs w:val="20"/>
              </w:rPr>
            </w:pPr>
            <w:r w:rsidRPr="004C78D8">
              <w:rPr>
                <w:sz w:val="20"/>
                <w:szCs w:val="20"/>
              </w:rPr>
              <w:t>0.0221</w:t>
            </w:r>
          </w:p>
        </w:tc>
      </w:tr>
      <w:tr w:rsidR="00057A99" w:rsidRPr="004C78D8" w14:paraId="30F48194" w14:textId="77777777" w:rsidTr="00E35893">
        <w:tc>
          <w:tcPr>
            <w:tcW w:w="1794" w:type="pct"/>
            <w:tcBorders>
              <w:top w:val="nil"/>
              <w:bottom w:val="single" w:sz="4" w:space="0" w:color="auto"/>
            </w:tcBorders>
          </w:tcPr>
          <w:p w14:paraId="31900D63" w14:textId="08942BB5" w:rsidR="00057A99" w:rsidRPr="004C78D8" w:rsidRDefault="00057A99" w:rsidP="00FB7C1F">
            <w:pPr>
              <w:jc w:val="right"/>
              <w:rPr>
                <w:i/>
                <w:iCs/>
                <w:sz w:val="20"/>
                <w:szCs w:val="20"/>
              </w:rPr>
            </w:pPr>
            <w:r w:rsidRPr="004C78D8">
              <w:rPr>
                <w:i/>
                <w:iCs/>
                <w:sz w:val="20"/>
                <w:szCs w:val="20"/>
              </w:rPr>
              <w:t>Proportion of (2) relative to (1)</w:t>
            </w:r>
          </w:p>
        </w:tc>
        <w:tc>
          <w:tcPr>
            <w:tcW w:w="800" w:type="pct"/>
            <w:tcBorders>
              <w:top w:val="nil"/>
              <w:bottom w:val="single" w:sz="4" w:space="0" w:color="auto"/>
            </w:tcBorders>
          </w:tcPr>
          <w:p w14:paraId="7E5E5ACA" w14:textId="2266B398" w:rsidR="00057A99" w:rsidRPr="004C78D8" w:rsidRDefault="00057A99" w:rsidP="00FB7C1F">
            <w:pPr>
              <w:jc w:val="left"/>
              <w:rPr>
                <w:i/>
                <w:iCs/>
                <w:sz w:val="20"/>
                <w:szCs w:val="20"/>
              </w:rPr>
            </w:pPr>
            <w:r w:rsidRPr="004C78D8">
              <w:rPr>
                <w:i/>
                <w:iCs/>
                <w:sz w:val="20"/>
                <w:szCs w:val="20"/>
              </w:rPr>
              <w:t>1.0643</w:t>
            </w:r>
          </w:p>
        </w:tc>
        <w:tc>
          <w:tcPr>
            <w:tcW w:w="804" w:type="pct"/>
            <w:tcBorders>
              <w:top w:val="nil"/>
              <w:bottom w:val="single" w:sz="4" w:space="0" w:color="auto"/>
            </w:tcBorders>
          </w:tcPr>
          <w:p w14:paraId="04CDF0B2" w14:textId="7F2CB99E" w:rsidR="00057A99" w:rsidRPr="004C78D8" w:rsidRDefault="00057A99" w:rsidP="00FB7C1F">
            <w:pPr>
              <w:jc w:val="left"/>
              <w:rPr>
                <w:i/>
                <w:iCs/>
                <w:sz w:val="20"/>
                <w:szCs w:val="20"/>
              </w:rPr>
            </w:pPr>
            <w:r w:rsidRPr="004C78D8">
              <w:rPr>
                <w:i/>
                <w:iCs/>
                <w:sz w:val="20"/>
                <w:szCs w:val="20"/>
              </w:rPr>
              <w:t>1.0774</w:t>
            </w:r>
          </w:p>
        </w:tc>
        <w:tc>
          <w:tcPr>
            <w:tcW w:w="801" w:type="pct"/>
            <w:tcBorders>
              <w:top w:val="nil"/>
              <w:bottom w:val="single" w:sz="4" w:space="0" w:color="auto"/>
            </w:tcBorders>
          </w:tcPr>
          <w:p w14:paraId="62C9DCA1" w14:textId="450745C1" w:rsidR="00057A99" w:rsidRPr="004C78D8" w:rsidRDefault="00057A99" w:rsidP="00FB7C1F">
            <w:pPr>
              <w:jc w:val="left"/>
              <w:rPr>
                <w:i/>
                <w:iCs/>
                <w:sz w:val="20"/>
                <w:szCs w:val="20"/>
              </w:rPr>
            </w:pPr>
            <w:r w:rsidRPr="004C78D8">
              <w:rPr>
                <w:i/>
                <w:iCs/>
                <w:sz w:val="20"/>
                <w:szCs w:val="20"/>
              </w:rPr>
              <w:t>1.1297</w:t>
            </w:r>
          </w:p>
        </w:tc>
        <w:tc>
          <w:tcPr>
            <w:tcW w:w="801" w:type="pct"/>
            <w:tcBorders>
              <w:top w:val="nil"/>
              <w:bottom w:val="single" w:sz="4" w:space="0" w:color="auto"/>
            </w:tcBorders>
          </w:tcPr>
          <w:p w14:paraId="6B979322" w14:textId="2FFA1C42" w:rsidR="00057A99" w:rsidRPr="004C78D8" w:rsidRDefault="00057A99" w:rsidP="00FB7C1F">
            <w:pPr>
              <w:jc w:val="left"/>
              <w:rPr>
                <w:i/>
                <w:iCs/>
                <w:sz w:val="20"/>
                <w:szCs w:val="20"/>
              </w:rPr>
            </w:pPr>
            <w:r w:rsidRPr="004C78D8">
              <w:rPr>
                <w:i/>
                <w:iCs/>
                <w:sz w:val="20"/>
                <w:szCs w:val="20"/>
              </w:rPr>
              <w:t>1.1604</w:t>
            </w:r>
          </w:p>
        </w:tc>
      </w:tr>
      <w:tr w:rsidR="00057A99" w:rsidRPr="004C78D8" w14:paraId="2DF110AE" w14:textId="77777777" w:rsidTr="00E35893">
        <w:tc>
          <w:tcPr>
            <w:tcW w:w="1794" w:type="pct"/>
            <w:tcBorders>
              <w:bottom w:val="nil"/>
            </w:tcBorders>
          </w:tcPr>
          <w:p w14:paraId="2F1BD8EB" w14:textId="151CA851" w:rsidR="00057A99" w:rsidRPr="004C78D8" w:rsidRDefault="00057A99" w:rsidP="00FB7C1F">
            <w:pPr>
              <w:jc w:val="left"/>
              <w:rPr>
                <w:sz w:val="20"/>
                <w:szCs w:val="20"/>
              </w:rPr>
            </w:pPr>
            <w:r w:rsidRPr="004C78D8">
              <w:rPr>
                <w:sz w:val="20"/>
                <w:szCs w:val="20"/>
              </w:rPr>
              <w:t>(3) Kolm EDE INHB (</w:t>
            </w:r>
            <w:r w:rsidRPr="004C78D8">
              <w:rPr>
                <w:rFonts w:cs="Times New Roman"/>
                <w:sz w:val="20"/>
                <w:szCs w:val="20"/>
              </w:rPr>
              <w:t>α</w:t>
            </w:r>
            <w:r w:rsidRPr="004C78D8">
              <w:rPr>
                <w:sz w:val="20"/>
                <w:szCs w:val="20"/>
              </w:rPr>
              <w:t>=0.5)</w:t>
            </w:r>
          </w:p>
        </w:tc>
        <w:tc>
          <w:tcPr>
            <w:tcW w:w="800" w:type="pct"/>
            <w:tcBorders>
              <w:bottom w:val="nil"/>
            </w:tcBorders>
          </w:tcPr>
          <w:p w14:paraId="5A5D7427" w14:textId="1849960D" w:rsidR="00057A99" w:rsidRPr="004C78D8" w:rsidRDefault="00057A99" w:rsidP="00FB7C1F">
            <w:pPr>
              <w:jc w:val="left"/>
              <w:rPr>
                <w:sz w:val="20"/>
                <w:szCs w:val="20"/>
              </w:rPr>
            </w:pPr>
            <w:r w:rsidRPr="004C78D8">
              <w:rPr>
                <w:sz w:val="20"/>
                <w:szCs w:val="20"/>
              </w:rPr>
              <w:t>0.0104</w:t>
            </w:r>
          </w:p>
        </w:tc>
        <w:tc>
          <w:tcPr>
            <w:tcW w:w="804" w:type="pct"/>
            <w:tcBorders>
              <w:bottom w:val="nil"/>
            </w:tcBorders>
          </w:tcPr>
          <w:p w14:paraId="4E3DF2A1" w14:textId="3A1BAA1D" w:rsidR="00057A99" w:rsidRPr="004C78D8" w:rsidRDefault="00057A99" w:rsidP="00FB7C1F">
            <w:pPr>
              <w:jc w:val="left"/>
              <w:rPr>
                <w:sz w:val="20"/>
                <w:szCs w:val="20"/>
              </w:rPr>
            </w:pPr>
            <w:r w:rsidRPr="004C78D8">
              <w:rPr>
                <w:sz w:val="20"/>
                <w:szCs w:val="20"/>
              </w:rPr>
              <w:t>0.0087</w:t>
            </w:r>
          </w:p>
        </w:tc>
        <w:tc>
          <w:tcPr>
            <w:tcW w:w="801" w:type="pct"/>
            <w:tcBorders>
              <w:bottom w:val="nil"/>
            </w:tcBorders>
          </w:tcPr>
          <w:p w14:paraId="32E99B08" w14:textId="3DB159BD" w:rsidR="00057A99" w:rsidRPr="004C78D8" w:rsidRDefault="00057A99" w:rsidP="00FB7C1F">
            <w:pPr>
              <w:jc w:val="left"/>
              <w:rPr>
                <w:sz w:val="20"/>
                <w:szCs w:val="20"/>
              </w:rPr>
            </w:pPr>
            <w:r w:rsidRPr="004C78D8">
              <w:rPr>
                <w:sz w:val="20"/>
                <w:szCs w:val="20"/>
              </w:rPr>
              <w:t>0.0111</w:t>
            </w:r>
          </w:p>
        </w:tc>
        <w:tc>
          <w:tcPr>
            <w:tcW w:w="801" w:type="pct"/>
            <w:tcBorders>
              <w:bottom w:val="nil"/>
            </w:tcBorders>
          </w:tcPr>
          <w:p w14:paraId="3991EAFF" w14:textId="172C1B2C" w:rsidR="00057A99" w:rsidRPr="004C78D8" w:rsidRDefault="00057A99" w:rsidP="00FB7C1F">
            <w:pPr>
              <w:jc w:val="left"/>
              <w:rPr>
                <w:sz w:val="20"/>
                <w:szCs w:val="20"/>
              </w:rPr>
            </w:pPr>
            <w:r w:rsidRPr="004C78D8">
              <w:rPr>
                <w:sz w:val="20"/>
                <w:szCs w:val="20"/>
              </w:rPr>
              <w:t>0.0197</w:t>
            </w:r>
          </w:p>
        </w:tc>
      </w:tr>
      <w:tr w:rsidR="00057A99" w:rsidRPr="004C78D8" w14:paraId="2E716232" w14:textId="77777777" w:rsidTr="00E35893">
        <w:tc>
          <w:tcPr>
            <w:tcW w:w="1794" w:type="pct"/>
            <w:tcBorders>
              <w:top w:val="nil"/>
            </w:tcBorders>
          </w:tcPr>
          <w:p w14:paraId="1419A719" w14:textId="39FC2D80" w:rsidR="00057A99" w:rsidRPr="004C78D8" w:rsidRDefault="00057A99" w:rsidP="00FB7C1F">
            <w:pPr>
              <w:jc w:val="right"/>
              <w:rPr>
                <w:i/>
                <w:iCs/>
                <w:sz w:val="20"/>
                <w:szCs w:val="20"/>
              </w:rPr>
            </w:pPr>
            <w:r w:rsidRPr="004C78D8">
              <w:rPr>
                <w:i/>
                <w:iCs/>
                <w:sz w:val="20"/>
                <w:szCs w:val="20"/>
              </w:rPr>
              <w:t>Proportion of (3) relative to (1)</w:t>
            </w:r>
          </w:p>
        </w:tc>
        <w:tc>
          <w:tcPr>
            <w:tcW w:w="800" w:type="pct"/>
            <w:tcBorders>
              <w:top w:val="nil"/>
            </w:tcBorders>
          </w:tcPr>
          <w:p w14:paraId="372C334A" w14:textId="4115F6C6" w:rsidR="00057A99" w:rsidRPr="004C78D8" w:rsidRDefault="00057A99" w:rsidP="00FB7C1F">
            <w:pPr>
              <w:jc w:val="left"/>
              <w:rPr>
                <w:i/>
                <w:iCs/>
                <w:sz w:val="20"/>
                <w:szCs w:val="20"/>
              </w:rPr>
            </w:pPr>
            <w:r w:rsidRPr="004C78D8">
              <w:rPr>
                <w:i/>
                <w:iCs/>
                <w:sz w:val="20"/>
                <w:szCs w:val="20"/>
              </w:rPr>
              <w:t>1.0067</w:t>
            </w:r>
          </w:p>
        </w:tc>
        <w:tc>
          <w:tcPr>
            <w:tcW w:w="804" w:type="pct"/>
            <w:tcBorders>
              <w:top w:val="nil"/>
            </w:tcBorders>
          </w:tcPr>
          <w:p w14:paraId="35B8631E" w14:textId="4212417A" w:rsidR="00057A99" w:rsidRPr="004C78D8" w:rsidRDefault="00057A99" w:rsidP="00FB7C1F">
            <w:pPr>
              <w:jc w:val="left"/>
              <w:rPr>
                <w:i/>
                <w:iCs/>
                <w:sz w:val="20"/>
                <w:szCs w:val="20"/>
              </w:rPr>
            </w:pPr>
            <w:r w:rsidRPr="004C78D8">
              <w:rPr>
                <w:i/>
                <w:iCs/>
                <w:sz w:val="20"/>
                <w:szCs w:val="20"/>
              </w:rPr>
              <w:t>1.0167</w:t>
            </w:r>
          </w:p>
        </w:tc>
        <w:tc>
          <w:tcPr>
            <w:tcW w:w="801" w:type="pct"/>
            <w:tcBorders>
              <w:top w:val="nil"/>
            </w:tcBorders>
          </w:tcPr>
          <w:p w14:paraId="179E25D3" w14:textId="39C62EDB" w:rsidR="00057A99" w:rsidRPr="004C78D8" w:rsidRDefault="00057A99" w:rsidP="00FB7C1F">
            <w:pPr>
              <w:jc w:val="left"/>
              <w:rPr>
                <w:i/>
                <w:iCs/>
                <w:sz w:val="20"/>
                <w:szCs w:val="20"/>
              </w:rPr>
            </w:pPr>
            <w:r w:rsidRPr="004C78D8">
              <w:rPr>
                <w:i/>
                <w:iCs/>
                <w:sz w:val="20"/>
                <w:szCs w:val="20"/>
              </w:rPr>
              <w:t>1.0314</w:t>
            </w:r>
          </w:p>
        </w:tc>
        <w:tc>
          <w:tcPr>
            <w:tcW w:w="801" w:type="pct"/>
            <w:tcBorders>
              <w:top w:val="nil"/>
            </w:tcBorders>
          </w:tcPr>
          <w:p w14:paraId="7DBF4971" w14:textId="38D24480" w:rsidR="00057A99" w:rsidRPr="004C78D8" w:rsidRDefault="00057A99" w:rsidP="00FB7C1F">
            <w:pPr>
              <w:jc w:val="left"/>
              <w:rPr>
                <w:i/>
                <w:iCs/>
                <w:sz w:val="20"/>
                <w:szCs w:val="20"/>
              </w:rPr>
            </w:pPr>
            <w:r w:rsidRPr="004C78D8">
              <w:rPr>
                <w:i/>
                <w:iCs/>
                <w:sz w:val="20"/>
                <w:szCs w:val="20"/>
              </w:rPr>
              <w:t>1.0339</w:t>
            </w:r>
          </w:p>
        </w:tc>
      </w:tr>
      <w:tr w:rsidR="00EE064C" w:rsidRPr="004C78D8" w14:paraId="3A883F3E" w14:textId="77777777" w:rsidTr="00E35893">
        <w:tc>
          <w:tcPr>
            <w:tcW w:w="5000" w:type="pct"/>
            <w:gridSpan w:val="5"/>
          </w:tcPr>
          <w:p w14:paraId="58340C8E" w14:textId="77777777" w:rsidR="00057A99" w:rsidRPr="004C78D8" w:rsidRDefault="00057A99" w:rsidP="00FB7C1F">
            <w:pPr>
              <w:rPr>
                <w:sz w:val="18"/>
                <w:szCs w:val="18"/>
              </w:rPr>
            </w:pPr>
            <w:r w:rsidRPr="004C78D8">
              <w:rPr>
                <w:b/>
                <w:bCs/>
                <w:sz w:val="18"/>
                <w:szCs w:val="18"/>
              </w:rPr>
              <w:t>Abbreviation:</w:t>
            </w:r>
            <w:r w:rsidRPr="004C78D8">
              <w:rPr>
                <w:sz w:val="18"/>
                <w:szCs w:val="18"/>
              </w:rPr>
              <w:t xml:space="preserve"> EDE: equally distributed equivalent; INHB: incremental net health benefit; QALY: quality-adjusted life year; SES: socioeconomic status; UC: usual care.</w:t>
            </w:r>
          </w:p>
          <w:p w14:paraId="5FD28F68" w14:textId="4C6F914A" w:rsidR="00057A99" w:rsidRPr="004C78D8" w:rsidRDefault="00057A99" w:rsidP="00FB7C1F">
            <w:pPr>
              <w:rPr>
                <w:sz w:val="18"/>
                <w:szCs w:val="18"/>
              </w:rPr>
            </w:pPr>
            <w:r w:rsidRPr="004C78D8">
              <w:rPr>
                <w:sz w:val="18"/>
                <w:szCs w:val="18"/>
                <w:vertAlign w:val="superscript"/>
              </w:rPr>
              <w:t>1</w:t>
            </w:r>
            <w:r w:rsidRPr="004C78D8">
              <w:rPr>
                <w:sz w:val="18"/>
                <w:szCs w:val="18"/>
              </w:rPr>
              <w:t xml:space="preserve"> The societal NHB incorporates QALY gain and QALY-equivalent net societal gain minus public sector opportunity costs (translated to QALY-equivalent using cost-effectiveness threshold of £30,000 per QALY gain</w:t>
            </w:r>
            <w:r w:rsidR="00A64995" w:rsidRPr="004C78D8">
              <w:rPr>
                <w:sz w:val="18"/>
                <w:szCs w:val="18"/>
              </w:rPr>
              <w:t>ed</w:t>
            </w:r>
            <w:r w:rsidRPr="004C78D8">
              <w:rPr>
                <w:sz w:val="18"/>
                <w:szCs w:val="18"/>
              </w:rPr>
              <w:t>) for each SES quartile. The incremental NHB (INHB) is measured relative to UC.</w:t>
            </w:r>
          </w:p>
          <w:p w14:paraId="007F9BCA" w14:textId="6B7C7AB0" w:rsidR="00827F6C" w:rsidRPr="004C78D8" w:rsidRDefault="00057A99" w:rsidP="00FB7C1F">
            <w:pPr>
              <w:rPr>
                <w:sz w:val="18"/>
                <w:szCs w:val="18"/>
              </w:rPr>
            </w:pPr>
            <w:r w:rsidRPr="004C78D8">
              <w:rPr>
                <w:sz w:val="18"/>
                <w:szCs w:val="18"/>
                <w:vertAlign w:val="superscript"/>
              </w:rPr>
              <w:t>2</w:t>
            </w:r>
            <w:r w:rsidRPr="004C78D8">
              <w:rPr>
                <w:sz w:val="18"/>
                <w:szCs w:val="18"/>
              </w:rPr>
              <w:t xml:space="preserve"> This is the EDE INHB when Atkinson </w:t>
            </w:r>
            <w:r w:rsidRPr="004C78D8">
              <w:rPr>
                <w:rFonts w:cs="Times New Roman"/>
                <w:sz w:val="18"/>
                <w:szCs w:val="18"/>
              </w:rPr>
              <w:t>ε</w:t>
            </w:r>
            <w:r w:rsidRPr="004C78D8">
              <w:rPr>
                <w:sz w:val="18"/>
                <w:szCs w:val="18"/>
              </w:rPr>
              <w:t xml:space="preserve">=0 </w:t>
            </w:r>
            <w:r w:rsidRPr="004C78D8">
              <w:rPr>
                <w:sz w:val="18"/>
                <w:szCs w:val="18"/>
              </w:rPr>
              <w:fldChar w:fldCharType="begin"/>
            </w:r>
            <w:r w:rsidR="00513646" w:rsidRPr="004C78D8">
              <w:rPr>
                <w:sz w:val="18"/>
                <w:szCs w:val="18"/>
              </w:rPr>
              <w:instrText xml:space="preserve"> ADDIN EN.CITE &lt;EndNote&gt;&lt;Cite&gt;&lt;Author&gt;Asaria&lt;/Author&gt;&lt;Year&gt;2016&lt;/Year&gt;&lt;RecNum&gt;361&lt;/RecNum&gt;&lt;DisplayText&gt;[109]&lt;/DisplayText&gt;&lt;record&gt;&lt;rec-number&gt;361&lt;/rec-number&gt;&lt;foreign-keys&gt;&lt;key app="EN" db-id="tdtrdw9aepptzbefsat599syza29sxsd2wsp" timestamp="1612265402"&gt;361&lt;/key&gt;&lt;/foreign-keys&gt;&lt;ref-type name="Journal Article"&gt;17&lt;/ref-type&gt;&lt;contributors&gt;&lt;authors&gt;&lt;author&gt;Asaria, Miqdad&lt;/author&gt;&lt;author&gt;Griffin, Susan&lt;/author&gt;&lt;author&gt;Cookson, Richard&lt;/author&gt;&lt;/authors&gt;&lt;/contributors&gt;&lt;titles&gt;&lt;title&gt;Distributional Cost-Effectiveness Analysis: A Tutorial&lt;/title&gt;&lt;secondary-title&gt;Medical decision making&lt;/secondary-title&gt;&lt;/titles&gt;&lt;periodical&gt;&lt;full-title&gt;Medical Decision Making&lt;/full-title&gt;&lt;/periodical&gt;&lt;pages&gt;8-19&lt;/pages&gt;&lt;volume&gt;36&lt;/volume&gt;&lt;number&gt;1&lt;/number&gt;&lt;keywords&gt;&lt;keyword&gt;cost-effectiveness analysis&lt;/keyword&gt;&lt;keyword&gt;economic evaluation&lt;/keyword&gt;&lt;keyword&gt;efficiency&lt;/keyword&gt;&lt;keyword&gt;equality&lt;/keyword&gt;&lt;keyword&gt;equity&lt;/keyword&gt;&lt;keyword&gt;fairness&lt;/keyword&gt;&lt;keyword&gt;health distribution&lt;/keyword&gt;&lt;keyword&gt;health inequality&lt;/keyword&gt;&lt;keyword&gt;inequality measures&lt;/keyword&gt;&lt;keyword&gt;opportunity cost&lt;/keyword&gt;&lt;keyword&gt;social value judgments&lt;/keyword&gt;&lt;keyword&gt;social welfare functions&lt;/keyword&gt;&lt;keyword&gt;tradeoff&lt;/keyword&gt;&lt;/keywords&gt;&lt;dates&gt;&lt;year&gt;2016&lt;/year&gt;&lt;pub-dates&gt;&lt;date&gt;1/1&lt;/date&gt;&lt;/pub-dates&gt;&lt;/dates&gt;&lt;isbn&gt;0272-989X&lt;/isbn&gt;&lt;work-type&gt;Article&lt;/work-type&gt;&lt;urls&gt;&lt;related-urls&gt;&lt;url&gt;http://www.scopus.com/inward/record.url?scp=84950117843&amp;amp;partnerID=8YFLogxK&lt;/url&gt;&lt;/related-urls&gt;&lt;/urls&gt;&lt;electronic-resource-num&gt;10.1177/0272989X15583266&lt;/electronic-resource-num&gt;&lt;/record&gt;&lt;/Cite&gt;&lt;/EndNote&gt;</w:instrText>
            </w:r>
            <w:r w:rsidRPr="004C78D8">
              <w:rPr>
                <w:sz w:val="18"/>
                <w:szCs w:val="18"/>
              </w:rPr>
              <w:fldChar w:fldCharType="separate"/>
            </w:r>
            <w:r w:rsidR="00513646" w:rsidRPr="004C78D8">
              <w:rPr>
                <w:noProof/>
                <w:sz w:val="18"/>
                <w:szCs w:val="18"/>
              </w:rPr>
              <w:t>[109]</w:t>
            </w:r>
            <w:r w:rsidRPr="004C78D8">
              <w:rPr>
                <w:sz w:val="18"/>
                <w:szCs w:val="18"/>
              </w:rPr>
              <w:fldChar w:fldCharType="end"/>
            </w:r>
            <w:r w:rsidRPr="004C78D8">
              <w:rPr>
                <w:sz w:val="18"/>
                <w:szCs w:val="18"/>
              </w:rPr>
              <w:t>.</w:t>
            </w:r>
          </w:p>
        </w:tc>
      </w:tr>
    </w:tbl>
    <w:p w14:paraId="752F3614" w14:textId="02767455" w:rsidR="008556C9" w:rsidRPr="004C78D8" w:rsidRDefault="008556C9" w:rsidP="00FB7C1F"/>
    <w:p w14:paraId="5D4AFDF3" w14:textId="6975565A" w:rsidR="003201FE" w:rsidRPr="004C78D8" w:rsidRDefault="00C11FB0" w:rsidP="00FB7C1F">
      <w:pPr>
        <w:pStyle w:val="Heading4"/>
      </w:pPr>
      <w:r w:rsidRPr="004C78D8">
        <w:t>6</w:t>
      </w:r>
      <w:r w:rsidR="003201FE" w:rsidRPr="004C78D8">
        <w:t>.</w:t>
      </w:r>
      <w:r w:rsidR="002055BD" w:rsidRPr="004C78D8">
        <w:t>3</w:t>
      </w:r>
      <w:r w:rsidR="003201FE" w:rsidRPr="004C78D8">
        <w:t>.</w:t>
      </w:r>
      <w:r w:rsidRPr="004C78D8">
        <w:t>1</w:t>
      </w:r>
      <w:r w:rsidR="003201FE" w:rsidRPr="004C78D8">
        <w:t>.</w:t>
      </w:r>
      <w:r w:rsidR="002055BD" w:rsidRPr="004C78D8">
        <w:t>3</w:t>
      </w:r>
      <w:r w:rsidR="003201FE" w:rsidRPr="004C78D8">
        <w:t xml:space="preserve"> Economic value of community contributions</w:t>
      </w:r>
    </w:p>
    <w:p w14:paraId="1ADF503A" w14:textId="1AC9B75E" w:rsidR="003201FE" w:rsidRPr="004C78D8" w:rsidRDefault="003201FE" w:rsidP="00FB7C1F">
      <w:r w:rsidRPr="004C78D8">
        <w:t xml:space="preserve">Table </w:t>
      </w:r>
      <w:r w:rsidR="00C11FB0" w:rsidRPr="004C78D8">
        <w:t>6</w:t>
      </w:r>
      <w:r w:rsidRPr="004C78D8">
        <w:t>.</w:t>
      </w:r>
      <w:r w:rsidR="00C11FB0" w:rsidRPr="004C78D8">
        <w:t>13</w:t>
      </w:r>
      <w:r w:rsidRPr="004C78D8">
        <w:t xml:space="preserve"> shows the </w:t>
      </w:r>
      <w:r w:rsidR="00C4081B" w:rsidRPr="004C78D8">
        <w:t xml:space="preserve">intervention use figures and the </w:t>
      </w:r>
      <w:r w:rsidRPr="004C78D8">
        <w:t xml:space="preserve">cost-effectiveness </w:t>
      </w:r>
      <w:r w:rsidR="00E05EB7" w:rsidRPr="004C78D8">
        <w:t>vs.</w:t>
      </w:r>
      <w:r w:rsidRPr="004C78D8">
        <w:t xml:space="preserve"> </w:t>
      </w:r>
      <w:r w:rsidR="008A5FED" w:rsidRPr="004C78D8">
        <w:t>C</w:t>
      </w:r>
      <w:r w:rsidRPr="004C78D8">
        <w:t xml:space="preserve">RC </w:t>
      </w:r>
      <w:r w:rsidR="008A5FED" w:rsidRPr="004C78D8">
        <w:t xml:space="preserve">scenario (4) </w:t>
      </w:r>
      <w:r w:rsidRPr="004C78D8">
        <w:t xml:space="preserve">of </w:t>
      </w:r>
      <w:r w:rsidR="008A5FED" w:rsidRPr="004C78D8">
        <w:t xml:space="preserve">three </w:t>
      </w:r>
      <w:r w:rsidRPr="004C78D8">
        <w:t xml:space="preserve">community </w:t>
      </w:r>
      <w:r w:rsidR="008D2BFC" w:rsidRPr="004C78D8">
        <w:t xml:space="preserve">involvement </w:t>
      </w:r>
      <w:r w:rsidRPr="004C78D8">
        <w:t>schemes</w:t>
      </w:r>
      <w:r w:rsidR="00C4081B" w:rsidRPr="004C78D8">
        <w:t xml:space="preserve"> that supplement CRC scenario (4)</w:t>
      </w:r>
      <w:r w:rsidR="00203BCF" w:rsidRPr="004C78D8">
        <w:t>: (a) community falls risk screening (</w:t>
      </w:r>
      <w:r w:rsidR="00E66839" w:rsidRPr="004C78D8">
        <w:t>for</w:t>
      </w:r>
      <w:r w:rsidR="00203BCF" w:rsidRPr="004C78D8">
        <w:t xml:space="preserve"> the proactive pathway) for 50% of persons not receiving GP contact; (b) </w:t>
      </w:r>
      <w:r w:rsidR="00D3001E" w:rsidRPr="004C78D8">
        <w:t>community falls risk screening for persons in 3</w:t>
      </w:r>
      <w:r w:rsidR="00D3001E" w:rsidRPr="004C78D8">
        <w:rPr>
          <w:vertAlign w:val="superscript"/>
        </w:rPr>
        <w:t>rd</w:t>
      </w:r>
      <w:r w:rsidR="00D3001E" w:rsidRPr="004C78D8">
        <w:t xml:space="preserve"> and 4</w:t>
      </w:r>
      <w:r w:rsidR="00D3001E" w:rsidRPr="004C78D8">
        <w:rPr>
          <w:vertAlign w:val="superscript"/>
        </w:rPr>
        <w:t>th</w:t>
      </w:r>
      <w:r w:rsidR="00D3001E" w:rsidRPr="004C78D8">
        <w:t xml:space="preserve"> SES quartiles not receiving GP contact</w:t>
      </w:r>
      <w:r w:rsidR="00203BCF" w:rsidRPr="004C78D8">
        <w:t>; and (c) increasing demand for self-referred intervention by 20%</w:t>
      </w:r>
      <w:r w:rsidRPr="004C78D8">
        <w:t xml:space="preserve">. </w:t>
      </w:r>
      <w:r w:rsidR="00D3001E" w:rsidRPr="004C78D8">
        <w:t xml:space="preserve">The per-capita cost of community screening was assumed to be the same as that at GP contact (£10.83). The marketing cost for (c) was incorporated in the per-participant cost of self-referred exercise (Table </w:t>
      </w:r>
      <w:r w:rsidR="00C11FB0" w:rsidRPr="004C78D8">
        <w:t>5</w:t>
      </w:r>
      <w:r w:rsidR="00D3001E" w:rsidRPr="004C78D8">
        <w:t>.3</w:t>
      </w:r>
      <w:r w:rsidR="00AD5E4A" w:rsidRPr="004C78D8">
        <w:t>4</w:t>
      </w:r>
      <w:r w:rsidR="00D3001E" w:rsidRPr="004C78D8">
        <w:t xml:space="preserve">). </w:t>
      </w:r>
      <w:r w:rsidR="00AA0DA8" w:rsidRPr="004C78D8">
        <w:t>Schemes (a) and (b) resulted in community organisations conducting 6.7% and 6.0% of the total annual screenings</w:t>
      </w:r>
      <w:r w:rsidR="00E05EB7" w:rsidRPr="004C78D8">
        <w:t>, respectively</w:t>
      </w:r>
      <w:r w:rsidR="00AA0DA8" w:rsidRPr="004C78D8">
        <w:t xml:space="preserve">. Due to </w:t>
      </w:r>
      <w:r w:rsidR="00EB351A" w:rsidRPr="004C78D8">
        <w:t xml:space="preserve">binding </w:t>
      </w:r>
      <w:r w:rsidR="00AA0DA8" w:rsidRPr="004C78D8">
        <w:t xml:space="preserve">capacity constraints, there were no major changes to </w:t>
      </w:r>
      <w:r w:rsidR="00687710" w:rsidRPr="004C78D8">
        <w:t xml:space="preserve">pathway annual use rates </w:t>
      </w:r>
      <w:r w:rsidR="00EB351A" w:rsidRPr="004C78D8">
        <w:t>under</w:t>
      </w:r>
      <w:r w:rsidR="00687710" w:rsidRPr="004C78D8">
        <w:t xml:space="preserve"> all schemes.</w:t>
      </w:r>
    </w:p>
    <w:tbl>
      <w:tblPr>
        <w:tblStyle w:val="TableGrid"/>
        <w:tblW w:w="5000" w:type="pct"/>
        <w:tblLook w:val="04A0" w:firstRow="1" w:lastRow="0" w:firstColumn="1" w:lastColumn="0" w:noHBand="0" w:noVBand="1"/>
      </w:tblPr>
      <w:tblGrid>
        <w:gridCol w:w="2683"/>
        <w:gridCol w:w="2126"/>
        <w:gridCol w:w="2094"/>
        <w:gridCol w:w="2113"/>
      </w:tblGrid>
      <w:tr w:rsidR="003201FE" w:rsidRPr="004C78D8" w14:paraId="453C1B02" w14:textId="77777777" w:rsidTr="00801973">
        <w:tc>
          <w:tcPr>
            <w:tcW w:w="5000" w:type="pct"/>
            <w:gridSpan w:val="4"/>
          </w:tcPr>
          <w:p w14:paraId="04156E7B" w14:textId="7456CC1D" w:rsidR="003201FE" w:rsidRPr="004C78D8" w:rsidRDefault="003201FE" w:rsidP="00FB7C1F">
            <w:r w:rsidRPr="004C78D8">
              <w:rPr>
                <w:b/>
                <w:bCs/>
              </w:rPr>
              <w:t xml:space="preserve">Table </w:t>
            </w:r>
            <w:r w:rsidR="002955E2" w:rsidRPr="004C78D8">
              <w:rPr>
                <w:b/>
                <w:bCs/>
              </w:rPr>
              <w:t>6</w:t>
            </w:r>
            <w:r w:rsidRPr="004C78D8">
              <w:rPr>
                <w:b/>
                <w:bCs/>
              </w:rPr>
              <w:t>.</w:t>
            </w:r>
            <w:r w:rsidR="002955E2" w:rsidRPr="004C78D8">
              <w:rPr>
                <w:b/>
                <w:bCs/>
              </w:rPr>
              <w:t>13</w:t>
            </w:r>
            <w:r w:rsidRPr="004C78D8">
              <w:t xml:space="preserve"> </w:t>
            </w:r>
            <w:r w:rsidR="00F61B92" w:rsidRPr="004C78D8">
              <w:t xml:space="preserve">Economic value of community </w:t>
            </w:r>
            <w:r w:rsidR="008A5FED" w:rsidRPr="004C78D8">
              <w:t>involvement schemes</w:t>
            </w:r>
            <w:r w:rsidR="00F61B92" w:rsidRPr="004C78D8">
              <w:t xml:space="preserve"> </w:t>
            </w:r>
            <w:r w:rsidR="00FA2717" w:rsidRPr="004C78D8">
              <w:t>supplementing</w:t>
            </w:r>
            <w:r w:rsidR="00F61B92" w:rsidRPr="004C78D8">
              <w:t xml:space="preserve"> </w:t>
            </w:r>
            <w:r w:rsidR="00FA2717" w:rsidRPr="004C78D8">
              <w:t>constrained recommended care</w:t>
            </w:r>
            <w:r w:rsidRPr="004C78D8">
              <w:t xml:space="preserve"> </w:t>
            </w:r>
            <w:r w:rsidR="00FA2717" w:rsidRPr="004C78D8">
              <w:t xml:space="preserve">with falls risk targeting </w:t>
            </w:r>
            <w:r w:rsidRPr="004C78D8">
              <w:t>under 40-year societal cost-utility analysis.</w:t>
            </w:r>
          </w:p>
        </w:tc>
      </w:tr>
      <w:tr w:rsidR="003201FE" w:rsidRPr="004C78D8" w14:paraId="2BC85D7C" w14:textId="77777777" w:rsidTr="00801973">
        <w:trPr>
          <w:trHeight w:val="240"/>
        </w:trPr>
        <w:tc>
          <w:tcPr>
            <w:tcW w:w="1488" w:type="pct"/>
            <w:vAlign w:val="bottom"/>
          </w:tcPr>
          <w:p w14:paraId="2DE4E9A7" w14:textId="77777777" w:rsidR="003201FE" w:rsidRPr="004C78D8" w:rsidRDefault="003201FE" w:rsidP="00FB7C1F">
            <w:pPr>
              <w:jc w:val="left"/>
              <w:rPr>
                <w:sz w:val="20"/>
                <w:szCs w:val="20"/>
              </w:rPr>
            </w:pPr>
            <w:r w:rsidRPr="004C78D8">
              <w:rPr>
                <w:sz w:val="20"/>
                <w:szCs w:val="20"/>
              </w:rPr>
              <w:t>N=385,192</w:t>
            </w:r>
          </w:p>
        </w:tc>
        <w:tc>
          <w:tcPr>
            <w:tcW w:w="1179" w:type="pct"/>
            <w:tcBorders>
              <w:bottom w:val="single" w:sz="4" w:space="0" w:color="auto"/>
            </w:tcBorders>
          </w:tcPr>
          <w:p w14:paraId="41E481E9" w14:textId="2E06BC4D" w:rsidR="003201FE" w:rsidRPr="004C78D8" w:rsidRDefault="00F61B92" w:rsidP="00FB7C1F">
            <w:pPr>
              <w:jc w:val="left"/>
              <w:rPr>
                <w:b/>
                <w:bCs/>
                <w:sz w:val="18"/>
                <w:szCs w:val="18"/>
              </w:rPr>
            </w:pPr>
            <w:r w:rsidRPr="004C78D8">
              <w:rPr>
                <w:b/>
                <w:bCs/>
                <w:sz w:val="18"/>
                <w:szCs w:val="18"/>
              </w:rPr>
              <w:t>(a) Community falls risk screening</w:t>
            </w:r>
            <w:r w:rsidR="00EA07D4" w:rsidRPr="004C78D8">
              <w:rPr>
                <w:b/>
                <w:bCs/>
                <w:sz w:val="18"/>
                <w:szCs w:val="18"/>
              </w:rPr>
              <w:t xml:space="preserve"> for 50% without GP contact</w:t>
            </w:r>
          </w:p>
        </w:tc>
        <w:tc>
          <w:tcPr>
            <w:tcW w:w="1161" w:type="pct"/>
            <w:tcBorders>
              <w:bottom w:val="single" w:sz="4" w:space="0" w:color="auto"/>
            </w:tcBorders>
          </w:tcPr>
          <w:p w14:paraId="7658A41A" w14:textId="114D9DAE" w:rsidR="003201FE" w:rsidRPr="004C78D8" w:rsidRDefault="00F61B92" w:rsidP="00FB7C1F">
            <w:pPr>
              <w:jc w:val="left"/>
              <w:rPr>
                <w:b/>
                <w:bCs/>
                <w:sz w:val="18"/>
                <w:szCs w:val="18"/>
              </w:rPr>
            </w:pPr>
            <w:r w:rsidRPr="004C78D8">
              <w:rPr>
                <w:b/>
                <w:bCs/>
                <w:sz w:val="18"/>
                <w:szCs w:val="18"/>
              </w:rPr>
              <w:t xml:space="preserve">(b) </w:t>
            </w:r>
            <w:r w:rsidR="00D3001E" w:rsidRPr="004C78D8">
              <w:rPr>
                <w:b/>
                <w:bCs/>
                <w:sz w:val="18"/>
                <w:szCs w:val="18"/>
              </w:rPr>
              <w:t>Community falls risk screening for 3</w:t>
            </w:r>
            <w:r w:rsidR="00D3001E" w:rsidRPr="004C78D8">
              <w:rPr>
                <w:b/>
                <w:bCs/>
                <w:sz w:val="18"/>
                <w:szCs w:val="18"/>
                <w:vertAlign w:val="superscript"/>
              </w:rPr>
              <w:t>rd</w:t>
            </w:r>
            <w:r w:rsidR="00D3001E" w:rsidRPr="004C78D8">
              <w:rPr>
                <w:b/>
                <w:bCs/>
                <w:sz w:val="18"/>
                <w:szCs w:val="18"/>
              </w:rPr>
              <w:t xml:space="preserve"> and 4</w:t>
            </w:r>
            <w:r w:rsidR="00D3001E" w:rsidRPr="004C78D8">
              <w:rPr>
                <w:b/>
                <w:bCs/>
                <w:sz w:val="18"/>
                <w:szCs w:val="18"/>
                <w:vertAlign w:val="superscript"/>
              </w:rPr>
              <w:t>th</w:t>
            </w:r>
            <w:r w:rsidR="00D3001E" w:rsidRPr="004C78D8">
              <w:rPr>
                <w:b/>
                <w:bCs/>
                <w:sz w:val="18"/>
                <w:szCs w:val="18"/>
              </w:rPr>
              <w:t xml:space="preserve"> SES quartiles without GP contact</w:t>
            </w:r>
          </w:p>
        </w:tc>
        <w:tc>
          <w:tcPr>
            <w:tcW w:w="1171" w:type="pct"/>
            <w:tcBorders>
              <w:bottom w:val="single" w:sz="4" w:space="0" w:color="auto"/>
            </w:tcBorders>
          </w:tcPr>
          <w:p w14:paraId="419C7F31" w14:textId="035D8A4A" w:rsidR="003201FE" w:rsidRPr="004C78D8" w:rsidRDefault="00F61B92" w:rsidP="00FB7C1F">
            <w:pPr>
              <w:jc w:val="left"/>
              <w:rPr>
                <w:b/>
                <w:bCs/>
                <w:sz w:val="18"/>
                <w:szCs w:val="18"/>
              </w:rPr>
            </w:pPr>
            <w:r w:rsidRPr="004C78D8">
              <w:rPr>
                <w:b/>
                <w:bCs/>
                <w:sz w:val="18"/>
                <w:szCs w:val="18"/>
              </w:rPr>
              <w:t>(c) 20% increase in self-referred intervention demand</w:t>
            </w:r>
          </w:p>
        </w:tc>
      </w:tr>
      <w:tr w:rsidR="003170F8" w:rsidRPr="004C78D8" w14:paraId="3527D194" w14:textId="77777777" w:rsidTr="00801973">
        <w:tc>
          <w:tcPr>
            <w:tcW w:w="1488" w:type="pct"/>
            <w:tcBorders>
              <w:top w:val="nil"/>
              <w:bottom w:val="nil"/>
            </w:tcBorders>
          </w:tcPr>
          <w:p w14:paraId="0E636A0F" w14:textId="447EDA0B" w:rsidR="003170F8" w:rsidRPr="004C78D8" w:rsidRDefault="003170F8" w:rsidP="00FB7C1F">
            <w:pPr>
              <w:jc w:val="left"/>
              <w:rPr>
                <w:i/>
                <w:iCs/>
                <w:sz w:val="18"/>
                <w:szCs w:val="18"/>
              </w:rPr>
            </w:pPr>
            <w:r w:rsidRPr="004C78D8">
              <w:rPr>
                <w:sz w:val="18"/>
                <w:szCs w:val="18"/>
              </w:rPr>
              <w:t xml:space="preserve">Constrained </w:t>
            </w:r>
            <w:r w:rsidR="00904D2E" w:rsidRPr="004C78D8">
              <w:rPr>
                <w:sz w:val="18"/>
                <w:szCs w:val="18"/>
              </w:rPr>
              <w:t>service</w:t>
            </w:r>
            <w:r w:rsidRPr="004C78D8">
              <w:rPr>
                <w:sz w:val="18"/>
                <w:szCs w:val="18"/>
              </w:rPr>
              <w:t xml:space="preserve"> annual use</w:t>
            </w:r>
            <w:r w:rsidRPr="004C78D8">
              <w:rPr>
                <w:sz w:val="18"/>
                <w:szCs w:val="18"/>
                <w:vertAlign w:val="superscript"/>
              </w:rPr>
              <w:t>1</w:t>
            </w:r>
          </w:p>
        </w:tc>
        <w:tc>
          <w:tcPr>
            <w:tcW w:w="1179" w:type="pct"/>
            <w:tcBorders>
              <w:top w:val="single" w:sz="4" w:space="0" w:color="auto"/>
              <w:bottom w:val="nil"/>
            </w:tcBorders>
          </w:tcPr>
          <w:p w14:paraId="16E876E0" w14:textId="77777777" w:rsidR="003170F8" w:rsidRPr="004C78D8" w:rsidRDefault="003170F8" w:rsidP="00FB7C1F">
            <w:pPr>
              <w:jc w:val="left"/>
              <w:rPr>
                <w:sz w:val="18"/>
                <w:szCs w:val="18"/>
              </w:rPr>
            </w:pPr>
          </w:p>
        </w:tc>
        <w:tc>
          <w:tcPr>
            <w:tcW w:w="1161" w:type="pct"/>
            <w:tcBorders>
              <w:top w:val="single" w:sz="4" w:space="0" w:color="auto"/>
              <w:bottom w:val="nil"/>
            </w:tcBorders>
          </w:tcPr>
          <w:p w14:paraId="6F253668" w14:textId="77777777" w:rsidR="003170F8" w:rsidRPr="004C78D8" w:rsidRDefault="003170F8" w:rsidP="00FB7C1F">
            <w:pPr>
              <w:jc w:val="left"/>
              <w:rPr>
                <w:sz w:val="18"/>
                <w:szCs w:val="18"/>
              </w:rPr>
            </w:pPr>
          </w:p>
        </w:tc>
        <w:tc>
          <w:tcPr>
            <w:tcW w:w="1171" w:type="pct"/>
            <w:tcBorders>
              <w:top w:val="single" w:sz="4" w:space="0" w:color="auto"/>
              <w:bottom w:val="nil"/>
            </w:tcBorders>
          </w:tcPr>
          <w:p w14:paraId="01A5151E" w14:textId="77777777" w:rsidR="003170F8" w:rsidRPr="004C78D8" w:rsidRDefault="003170F8" w:rsidP="00FB7C1F">
            <w:pPr>
              <w:jc w:val="left"/>
              <w:rPr>
                <w:sz w:val="18"/>
                <w:szCs w:val="18"/>
              </w:rPr>
            </w:pPr>
          </w:p>
        </w:tc>
      </w:tr>
      <w:tr w:rsidR="00904D2E" w:rsidRPr="004C78D8" w14:paraId="6A33A7B3" w14:textId="77777777" w:rsidTr="00801973">
        <w:tc>
          <w:tcPr>
            <w:tcW w:w="1488" w:type="pct"/>
            <w:tcBorders>
              <w:top w:val="nil"/>
              <w:bottom w:val="nil"/>
            </w:tcBorders>
          </w:tcPr>
          <w:p w14:paraId="09B29D1E" w14:textId="34EB69D0" w:rsidR="00904D2E" w:rsidRPr="004C78D8" w:rsidRDefault="00904D2E" w:rsidP="00FB7C1F">
            <w:pPr>
              <w:jc w:val="right"/>
              <w:rPr>
                <w:sz w:val="18"/>
                <w:szCs w:val="18"/>
              </w:rPr>
            </w:pPr>
            <w:r w:rsidRPr="004C78D8">
              <w:rPr>
                <w:i/>
                <w:iCs/>
                <w:sz w:val="18"/>
                <w:szCs w:val="18"/>
              </w:rPr>
              <w:t>Falls clinic</w:t>
            </w:r>
          </w:p>
        </w:tc>
        <w:tc>
          <w:tcPr>
            <w:tcW w:w="1179" w:type="pct"/>
            <w:tcBorders>
              <w:top w:val="nil"/>
              <w:bottom w:val="nil"/>
            </w:tcBorders>
          </w:tcPr>
          <w:p w14:paraId="244236A8" w14:textId="4540E3BB" w:rsidR="00904D2E" w:rsidRPr="004C78D8" w:rsidRDefault="00904D2E" w:rsidP="00FB7C1F">
            <w:pPr>
              <w:jc w:val="left"/>
              <w:rPr>
                <w:sz w:val="18"/>
                <w:szCs w:val="18"/>
              </w:rPr>
            </w:pPr>
            <w:r w:rsidRPr="004C78D8">
              <w:rPr>
                <w:sz w:val="18"/>
                <w:szCs w:val="18"/>
              </w:rPr>
              <w:t>9,000</w:t>
            </w:r>
          </w:p>
        </w:tc>
        <w:tc>
          <w:tcPr>
            <w:tcW w:w="1161" w:type="pct"/>
            <w:tcBorders>
              <w:top w:val="nil"/>
              <w:bottom w:val="nil"/>
            </w:tcBorders>
          </w:tcPr>
          <w:p w14:paraId="1B378BB2" w14:textId="7B45DB52" w:rsidR="00904D2E" w:rsidRPr="004C78D8" w:rsidRDefault="00904D2E" w:rsidP="00FB7C1F">
            <w:pPr>
              <w:jc w:val="left"/>
              <w:rPr>
                <w:sz w:val="18"/>
                <w:szCs w:val="18"/>
              </w:rPr>
            </w:pPr>
            <w:r w:rsidRPr="004C78D8">
              <w:rPr>
                <w:sz w:val="18"/>
                <w:szCs w:val="18"/>
              </w:rPr>
              <w:t>9,000</w:t>
            </w:r>
          </w:p>
        </w:tc>
        <w:tc>
          <w:tcPr>
            <w:tcW w:w="1171" w:type="pct"/>
            <w:tcBorders>
              <w:top w:val="nil"/>
              <w:bottom w:val="nil"/>
            </w:tcBorders>
          </w:tcPr>
          <w:p w14:paraId="3CF6FC23" w14:textId="12460C22" w:rsidR="00904D2E" w:rsidRPr="004C78D8" w:rsidRDefault="00904D2E" w:rsidP="00FB7C1F">
            <w:pPr>
              <w:jc w:val="left"/>
              <w:rPr>
                <w:sz w:val="18"/>
                <w:szCs w:val="18"/>
              </w:rPr>
            </w:pPr>
            <w:r w:rsidRPr="004C78D8">
              <w:rPr>
                <w:sz w:val="18"/>
                <w:szCs w:val="18"/>
              </w:rPr>
              <w:t>8,985</w:t>
            </w:r>
          </w:p>
        </w:tc>
      </w:tr>
      <w:tr w:rsidR="00904D2E" w:rsidRPr="004C78D8" w14:paraId="3193CE9D" w14:textId="77777777" w:rsidTr="00801973">
        <w:tc>
          <w:tcPr>
            <w:tcW w:w="1488" w:type="pct"/>
            <w:tcBorders>
              <w:top w:val="nil"/>
              <w:bottom w:val="nil"/>
            </w:tcBorders>
          </w:tcPr>
          <w:p w14:paraId="5BB49FBF" w14:textId="46471B7E" w:rsidR="00904D2E" w:rsidRPr="004C78D8" w:rsidRDefault="00904D2E" w:rsidP="00FB7C1F">
            <w:pPr>
              <w:jc w:val="right"/>
              <w:rPr>
                <w:sz w:val="18"/>
                <w:szCs w:val="18"/>
              </w:rPr>
            </w:pPr>
            <w:r w:rsidRPr="004C78D8">
              <w:rPr>
                <w:i/>
                <w:iCs/>
                <w:sz w:val="18"/>
                <w:szCs w:val="18"/>
              </w:rPr>
              <w:t>Proactive Tai Chi</w:t>
            </w:r>
          </w:p>
        </w:tc>
        <w:tc>
          <w:tcPr>
            <w:tcW w:w="1179" w:type="pct"/>
            <w:tcBorders>
              <w:top w:val="nil"/>
              <w:bottom w:val="nil"/>
            </w:tcBorders>
          </w:tcPr>
          <w:p w14:paraId="3B613E66" w14:textId="0C2712FC" w:rsidR="00904D2E" w:rsidRPr="004C78D8" w:rsidRDefault="00904D2E" w:rsidP="00FB7C1F">
            <w:pPr>
              <w:jc w:val="left"/>
              <w:rPr>
                <w:sz w:val="18"/>
                <w:szCs w:val="18"/>
              </w:rPr>
            </w:pPr>
            <w:r w:rsidRPr="004C78D8">
              <w:rPr>
                <w:sz w:val="18"/>
                <w:szCs w:val="18"/>
              </w:rPr>
              <w:t>500</w:t>
            </w:r>
          </w:p>
        </w:tc>
        <w:tc>
          <w:tcPr>
            <w:tcW w:w="1161" w:type="pct"/>
            <w:tcBorders>
              <w:top w:val="nil"/>
              <w:bottom w:val="nil"/>
            </w:tcBorders>
          </w:tcPr>
          <w:p w14:paraId="1CA3AAFF" w14:textId="41FBDFA9" w:rsidR="00904D2E" w:rsidRPr="004C78D8" w:rsidRDefault="00904D2E" w:rsidP="00FB7C1F">
            <w:pPr>
              <w:jc w:val="left"/>
              <w:rPr>
                <w:sz w:val="18"/>
                <w:szCs w:val="18"/>
              </w:rPr>
            </w:pPr>
            <w:r w:rsidRPr="004C78D8">
              <w:rPr>
                <w:sz w:val="18"/>
                <w:szCs w:val="18"/>
              </w:rPr>
              <w:t>500</w:t>
            </w:r>
          </w:p>
        </w:tc>
        <w:tc>
          <w:tcPr>
            <w:tcW w:w="1171" w:type="pct"/>
            <w:tcBorders>
              <w:top w:val="nil"/>
              <w:bottom w:val="nil"/>
            </w:tcBorders>
          </w:tcPr>
          <w:p w14:paraId="4DE3A73E" w14:textId="4B7E122F" w:rsidR="00904D2E" w:rsidRPr="004C78D8" w:rsidRDefault="00904D2E" w:rsidP="00FB7C1F">
            <w:pPr>
              <w:jc w:val="left"/>
              <w:rPr>
                <w:sz w:val="18"/>
                <w:szCs w:val="18"/>
              </w:rPr>
            </w:pPr>
            <w:r w:rsidRPr="004C78D8">
              <w:rPr>
                <w:sz w:val="18"/>
                <w:szCs w:val="18"/>
              </w:rPr>
              <w:t>500</w:t>
            </w:r>
          </w:p>
        </w:tc>
      </w:tr>
      <w:tr w:rsidR="00904D2E" w:rsidRPr="004C78D8" w14:paraId="5351F158" w14:textId="77777777" w:rsidTr="00801973">
        <w:tc>
          <w:tcPr>
            <w:tcW w:w="1488" w:type="pct"/>
            <w:tcBorders>
              <w:top w:val="nil"/>
              <w:bottom w:val="nil"/>
            </w:tcBorders>
          </w:tcPr>
          <w:p w14:paraId="18886876" w14:textId="30F67CD4" w:rsidR="00904D2E" w:rsidRPr="004C78D8" w:rsidRDefault="00904D2E" w:rsidP="00FB7C1F">
            <w:pPr>
              <w:jc w:val="right"/>
              <w:rPr>
                <w:sz w:val="18"/>
                <w:szCs w:val="18"/>
              </w:rPr>
            </w:pPr>
            <w:r w:rsidRPr="004C78D8">
              <w:rPr>
                <w:i/>
                <w:iCs/>
                <w:sz w:val="18"/>
                <w:szCs w:val="18"/>
              </w:rPr>
              <w:t>Self-referred interventions</w:t>
            </w:r>
          </w:p>
        </w:tc>
        <w:tc>
          <w:tcPr>
            <w:tcW w:w="1179" w:type="pct"/>
            <w:tcBorders>
              <w:top w:val="nil"/>
              <w:bottom w:val="nil"/>
            </w:tcBorders>
          </w:tcPr>
          <w:p w14:paraId="441C2B18" w14:textId="6885F509" w:rsidR="00904D2E" w:rsidRPr="004C78D8" w:rsidRDefault="00904D2E" w:rsidP="00FB7C1F">
            <w:pPr>
              <w:jc w:val="left"/>
              <w:rPr>
                <w:sz w:val="18"/>
                <w:szCs w:val="18"/>
              </w:rPr>
            </w:pPr>
            <w:r w:rsidRPr="004C78D8">
              <w:rPr>
                <w:sz w:val="18"/>
                <w:szCs w:val="18"/>
              </w:rPr>
              <w:t>2,000</w:t>
            </w:r>
          </w:p>
        </w:tc>
        <w:tc>
          <w:tcPr>
            <w:tcW w:w="1161" w:type="pct"/>
            <w:tcBorders>
              <w:top w:val="nil"/>
              <w:bottom w:val="nil"/>
            </w:tcBorders>
          </w:tcPr>
          <w:p w14:paraId="07AE025A" w14:textId="76C039F9" w:rsidR="00904D2E" w:rsidRPr="004C78D8" w:rsidRDefault="00904D2E" w:rsidP="00FB7C1F">
            <w:pPr>
              <w:jc w:val="left"/>
              <w:rPr>
                <w:sz w:val="18"/>
                <w:szCs w:val="18"/>
              </w:rPr>
            </w:pPr>
            <w:r w:rsidRPr="004C78D8">
              <w:rPr>
                <w:sz w:val="18"/>
                <w:szCs w:val="18"/>
              </w:rPr>
              <w:t>2,000</w:t>
            </w:r>
          </w:p>
        </w:tc>
        <w:tc>
          <w:tcPr>
            <w:tcW w:w="1171" w:type="pct"/>
            <w:tcBorders>
              <w:top w:val="nil"/>
              <w:bottom w:val="nil"/>
            </w:tcBorders>
          </w:tcPr>
          <w:p w14:paraId="399CE6E0" w14:textId="3E8C7655" w:rsidR="00904D2E" w:rsidRPr="004C78D8" w:rsidRDefault="00904D2E" w:rsidP="00FB7C1F">
            <w:pPr>
              <w:jc w:val="left"/>
              <w:rPr>
                <w:sz w:val="18"/>
                <w:szCs w:val="18"/>
              </w:rPr>
            </w:pPr>
            <w:r w:rsidRPr="004C78D8">
              <w:rPr>
                <w:sz w:val="18"/>
                <w:szCs w:val="18"/>
              </w:rPr>
              <w:t>2,000</w:t>
            </w:r>
          </w:p>
        </w:tc>
      </w:tr>
      <w:tr w:rsidR="00904D2E" w:rsidRPr="004C78D8" w14:paraId="46F1549E" w14:textId="77777777" w:rsidTr="00801973">
        <w:tc>
          <w:tcPr>
            <w:tcW w:w="1488" w:type="pct"/>
            <w:tcBorders>
              <w:top w:val="nil"/>
              <w:bottom w:val="nil"/>
            </w:tcBorders>
          </w:tcPr>
          <w:p w14:paraId="044467EC" w14:textId="011E4F71" w:rsidR="00904D2E" w:rsidRPr="004C78D8" w:rsidRDefault="00904D2E" w:rsidP="00FB7C1F">
            <w:pPr>
              <w:jc w:val="left"/>
              <w:rPr>
                <w:sz w:val="18"/>
                <w:szCs w:val="18"/>
              </w:rPr>
            </w:pPr>
            <w:r w:rsidRPr="004C78D8">
              <w:rPr>
                <w:sz w:val="18"/>
                <w:szCs w:val="18"/>
              </w:rPr>
              <w:t>Pathway annual use</w:t>
            </w:r>
          </w:p>
        </w:tc>
        <w:tc>
          <w:tcPr>
            <w:tcW w:w="1179" w:type="pct"/>
            <w:tcBorders>
              <w:top w:val="nil"/>
              <w:bottom w:val="nil"/>
            </w:tcBorders>
          </w:tcPr>
          <w:p w14:paraId="4F5380A1" w14:textId="77777777" w:rsidR="00904D2E" w:rsidRPr="004C78D8" w:rsidRDefault="00904D2E" w:rsidP="00FB7C1F">
            <w:pPr>
              <w:jc w:val="left"/>
              <w:rPr>
                <w:sz w:val="18"/>
                <w:szCs w:val="18"/>
              </w:rPr>
            </w:pPr>
          </w:p>
        </w:tc>
        <w:tc>
          <w:tcPr>
            <w:tcW w:w="1161" w:type="pct"/>
            <w:tcBorders>
              <w:top w:val="nil"/>
              <w:bottom w:val="nil"/>
            </w:tcBorders>
          </w:tcPr>
          <w:p w14:paraId="517A8DA8" w14:textId="77777777" w:rsidR="00904D2E" w:rsidRPr="004C78D8" w:rsidRDefault="00904D2E" w:rsidP="00FB7C1F">
            <w:pPr>
              <w:jc w:val="left"/>
              <w:rPr>
                <w:sz w:val="18"/>
                <w:szCs w:val="18"/>
              </w:rPr>
            </w:pPr>
          </w:p>
        </w:tc>
        <w:tc>
          <w:tcPr>
            <w:tcW w:w="1171" w:type="pct"/>
            <w:tcBorders>
              <w:top w:val="nil"/>
              <w:bottom w:val="nil"/>
            </w:tcBorders>
          </w:tcPr>
          <w:p w14:paraId="659958D2" w14:textId="77777777" w:rsidR="00904D2E" w:rsidRPr="004C78D8" w:rsidRDefault="00904D2E" w:rsidP="00FB7C1F">
            <w:pPr>
              <w:jc w:val="left"/>
              <w:rPr>
                <w:sz w:val="18"/>
                <w:szCs w:val="18"/>
              </w:rPr>
            </w:pPr>
          </w:p>
        </w:tc>
      </w:tr>
      <w:tr w:rsidR="00904D2E" w:rsidRPr="004C78D8" w14:paraId="62BCFBC2" w14:textId="77777777" w:rsidTr="00801973">
        <w:tc>
          <w:tcPr>
            <w:tcW w:w="1488" w:type="pct"/>
            <w:tcBorders>
              <w:top w:val="nil"/>
              <w:bottom w:val="nil"/>
            </w:tcBorders>
          </w:tcPr>
          <w:p w14:paraId="25F8027E" w14:textId="05442F44" w:rsidR="00904D2E" w:rsidRPr="004C78D8" w:rsidRDefault="00904D2E" w:rsidP="00FB7C1F">
            <w:pPr>
              <w:jc w:val="right"/>
              <w:rPr>
                <w:sz w:val="18"/>
                <w:szCs w:val="18"/>
              </w:rPr>
            </w:pPr>
            <w:r w:rsidRPr="004C78D8">
              <w:rPr>
                <w:i/>
                <w:iCs/>
                <w:sz w:val="18"/>
                <w:szCs w:val="18"/>
              </w:rPr>
              <w:t>Reactive</w:t>
            </w:r>
          </w:p>
        </w:tc>
        <w:tc>
          <w:tcPr>
            <w:tcW w:w="1179" w:type="pct"/>
            <w:tcBorders>
              <w:top w:val="nil"/>
              <w:bottom w:val="nil"/>
            </w:tcBorders>
          </w:tcPr>
          <w:p w14:paraId="3684626F" w14:textId="25E2A3FB" w:rsidR="00904D2E" w:rsidRPr="004C78D8" w:rsidRDefault="00153250" w:rsidP="00FB7C1F">
            <w:pPr>
              <w:jc w:val="left"/>
              <w:rPr>
                <w:sz w:val="18"/>
                <w:szCs w:val="18"/>
              </w:rPr>
            </w:pPr>
            <w:r w:rsidRPr="004C78D8">
              <w:rPr>
                <w:sz w:val="18"/>
                <w:szCs w:val="18"/>
              </w:rPr>
              <w:t>2,965</w:t>
            </w:r>
          </w:p>
        </w:tc>
        <w:tc>
          <w:tcPr>
            <w:tcW w:w="1161" w:type="pct"/>
            <w:tcBorders>
              <w:top w:val="nil"/>
              <w:bottom w:val="nil"/>
            </w:tcBorders>
          </w:tcPr>
          <w:p w14:paraId="0FC0FAD1" w14:textId="2E826B7D" w:rsidR="00904D2E" w:rsidRPr="004C78D8" w:rsidRDefault="00C84670" w:rsidP="00FB7C1F">
            <w:pPr>
              <w:jc w:val="left"/>
              <w:rPr>
                <w:sz w:val="18"/>
                <w:szCs w:val="18"/>
              </w:rPr>
            </w:pPr>
            <w:r w:rsidRPr="004C78D8">
              <w:rPr>
                <w:sz w:val="18"/>
                <w:szCs w:val="18"/>
              </w:rPr>
              <w:t>2,955</w:t>
            </w:r>
          </w:p>
        </w:tc>
        <w:tc>
          <w:tcPr>
            <w:tcW w:w="1171" w:type="pct"/>
            <w:tcBorders>
              <w:top w:val="nil"/>
              <w:bottom w:val="nil"/>
            </w:tcBorders>
          </w:tcPr>
          <w:p w14:paraId="7962EA21" w14:textId="477E2C7C" w:rsidR="00904D2E" w:rsidRPr="004C78D8" w:rsidRDefault="00904D2E" w:rsidP="00FB7C1F">
            <w:pPr>
              <w:jc w:val="left"/>
              <w:rPr>
                <w:sz w:val="18"/>
                <w:szCs w:val="18"/>
              </w:rPr>
            </w:pPr>
            <w:r w:rsidRPr="004C78D8">
              <w:rPr>
                <w:sz w:val="18"/>
                <w:szCs w:val="18"/>
              </w:rPr>
              <w:t>2,972</w:t>
            </w:r>
          </w:p>
        </w:tc>
      </w:tr>
      <w:tr w:rsidR="00904D2E" w:rsidRPr="004C78D8" w14:paraId="0EE146DC" w14:textId="77777777" w:rsidTr="00801973">
        <w:tc>
          <w:tcPr>
            <w:tcW w:w="1488" w:type="pct"/>
            <w:tcBorders>
              <w:top w:val="nil"/>
              <w:bottom w:val="nil"/>
            </w:tcBorders>
          </w:tcPr>
          <w:p w14:paraId="0F053D6E" w14:textId="23D5F36F" w:rsidR="00904D2E" w:rsidRPr="004C78D8" w:rsidRDefault="00904D2E" w:rsidP="00FB7C1F">
            <w:pPr>
              <w:jc w:val="right"/>
              <w:rPr>
                <w:sz w:val="18"/>
                <w:szCs w:val="18"/>
              </w:rPr>
            </w:pPr>
            <w:r w:rsidRPr="004C78D8">
              <w:rPr>
                <w:i/>
                <w:iCs/>
                <w:sz w:val="18"/>
                <w:szCs w:val="18"/>
              </w:rPr>
              <w:t>Proactive</w:t>
            </w:r>
          </w:p>
        </w:tc>
        <w:tc>
          <w:tcPr>
            <w:tcW w:w="1179" w:type="pct"/>
            <w:tcBorders>
              <w:top w:val="nil"/>
              <w:bottom w:val="nil"/>
            </w:tcBorders>
          </w:tcPr>
          <w:p w14:paraId="571252E4" w14:textId="53BB0181" w:rsidR="00904D2E" w:rsidRPr="004C78D8" w:rsidRDefault="00153250" w:rsidP="00FB7C1F">
            <w:pPr>
              <w:jc w:val="left"/>
              <w:rPr>
                <w:sz w:val="18"/>
                <w:szCs w:val="18"/>
              </w:rPr>
            </w:pPr>
            <w:r w:rsidRPr="004C78D8">
              <w:rPr>
                <w:sz w:val="18"/>
                <w:szCs w:val="18"/>
              </w:rPr>
              <w:t>8,241</w:t>
            </w:r>
          </w:p>
        </w:tc>
        <w:tc>
          <w:tcPr>
            <w:tcW w:w="1161" w:type="pct"/>
            <w:tcBorders>
              <w:top w:val="nil"/>
              <w:bottom w:val="nil"/>
            </w:tcBorders>
          </w:tcPr>
          <w:p w14:paraId="7502DBED" w14:textId="38534E0C" w:rsidR="00904D2E" w:rsidRPr="004C78D8" w:rsidRDefault="00C84670" w:rsidP="00FB7C1F">
            <w:pPr>
              <w:jc w:val="left"/>
              <w:rPr>
                <w:sz w:val="18"/>
                <w:szCs w:val="18"/>
              </w:rPr>
            </w:pPr>
            <w:r w:rsidRPr="004C78D8">
              <w:rPr>
                <w:sz w:val="18"/>
                <w:szCs w:val="18"/>
              </w:rPr>
              <w:t>8,245</w:t>
            </w:r>
          </w:p>
        </w:tc>
        <w:tc>
          <w:tcPr>
            <w:tcW w:w="1171" w:type="pct"/>
            <w:tcBorders>
              <w:top w:val="nil"/>
              <w:bottom w:val="nil"/>
            </w:tcBorders>
          </w:tcPr>
          <w:p w14:paraId="09BC10E8" w14:textId="40E1850D" w:rsidR="00904D2E" w:rsidRPr="004C78D8" w:rsidRDefault="00C84670" w:rsidP="00FB7C1F">
            <w:pPr>
              <w:jc w:val="left"/>
              <w:rPr>
                <w:sz w:val="18"/>
                <w:szCs w:val="18"/>
              </w:rPr>
            </w:pPr>
            <w:r w:rsidRPr="004C78D8">
              <w:rPr>
                <w:sz w:val="18"/>
                <w:szCs w:val="18"/>
              </w:rPr>
              <w:t>8,217</w:t>
            </w:r>
          </w:p>
        </w:tc>
      </w:tr>
      <w:tr w:rsidR="00904D2E" w:rsidRPr="004C78D8" w14:paraId="51C1A28C" w14:textId="77777777" w:rsidTr="00801973">
        <w:tc>
          <w:tcPr>
            <w:tcW w:w="1488" w:type="pct"/>
            <w:tcBorders>
              <w:top w:val="nil"/>
              <w:bottom w:val="nil"/>
            </w:tcBorders>
          </w:tcPr>
          <w:p w14:paraId="4F356558" w14:textId="61E8B7D9" w:rsidR="00904D2E" w:rsidRPr="004C78D8" w:rsidRDefault="00904D2E" w:rsidP="00FB7C1F">
            <w:pPr>
              <w:jc w:val="right"/>
              <w:rPr>
                <w:sz w:val="18"/>
                <w:szCs w:val="18"/>
              </w:rPr>
            </w:pPr>
            <w:r w:rsidRPr="004C78D8">
              <w:rPr>
                <w:i/>
                <w:iCs/>
                <w:sz w:val="18"/>
                <w:szCs w:val="18"/>
              </w:rPr>
              <w:t>Self-referred</w:t>
            </w:r>
          </w:p>
        </w:tc>
        <w:tc>
          <w:tcPr>
            <w:tcW w:w="1179" w:type="pct"/>
            <w:tcBorders>
              <w:top w:val="nil"/>
              <w:bottom w:val="nil"/>
            </w:tcBorders>
          </w:tcPr>
          <w:p w14:paraId="4E7DB82F" w14:textId="448F1DE7" w:rsidR="00904D2E" w:rsidRPr="004C78D8" w:rsidRDefault="00153250" w:rsidP="00FB7C1F">
            <w:pPr>
              <w:jc w:val="left"/>
              <w:rPr>
                <w:sz w:val="18"/>
                <w:szCs w:val="18"/>
              </w:rPr>
            </w:pPr>
            <w:r w:rsidRPr="004C78D8">
              <w:rPr>
                <w:sz w:val="18"/>
                <w:szCs w:val="18"/>
              </w:rPr>
              <w:t>2,000</w:t>
            </w:r>
          </w:p>
        </w:tc>
        <w:tc>
          <w:tcPr>
            <w:tcW w:w="1161" w:type="pct"/>
            <w:tcBorders>
              <w:top w:val="nil"/>
              <w:bottom w:val="nil"/>
            </w:tcBorders>
          </w:tcPr>
          <w:p w14:paraId="480FCD66" w14:textId="3F510DC2" w:rsidR="00904D2E" w:rsidRPr="004C78D8" w:rsidRDefault="00C84670" w:rsidP="00FB7C1F">
            <w:pPr>
              <w:jc w:val="left"/>
              <w:rPr>
                <w:sz w:val="18"/>
                <w:szCs w:val="18"/>
              </w:rPr>
            </w:pPr>
            <w:r w:rsidRPr="004C78D8">
              <w:rPr>
                <w:sz w:val="18"/>
                <w:szCs w:val="18"/>
              </w:rPr>
              <w:t>2,000</w:t>
            </w:r>
          </w:p>
        </w:tc>
        <w:tc>
          <w:tcPr>
            <w:tcW w:w="1171" w:type="pct"/>
            <w:tcBorders>
              <w:top w:val="nil"/>
              <w:bottom w:val="nil"/>
            </w:tcBorders>
          </w:tcPr>
          <w:p w14:paraId="2147923B" w14:textId="10BCE41F" w:rsidR="00904D2E" w:rsidRPr="004C78D8" w:rsidRDefault="00C84670" w:rsidP="00FB7C1F">
            <w:pPr>
              <w:jc w:val="left"/>
              <w:rPr>
                <w:sz w:val="18"/>
                <w:szCs w:val="18"/>
              </w:rPr>
            </w:pPr>
            <w:r w:rsidRPr="004C78D8">
              <w:rPr>
                <w:sz w:val="18"/>
                <w:szCs w:val="18"/>
              </w:rPr>
              <w:t>2,000</w:t>
            </w:r>
          </w:p>
        </w:tc>
      </w:tr>
      <w:tr w:rsidR="00904D2E" w:rsidRPr="004C78D8" w14:paraId="12C5131A" w14:textId="77777777" w:rsidTr="00801973">
        <w:tc>
          <w:tcPr>
            <w:tcW w:w="1488" w:type="pct"/>
            <w:tcBorders>
              <w:top w:val="nil"/>
              <w:bottom w:val="nil"/>
            </w:tcBorders>
          </w:tcPr>
          <w:p w14:paraId="7E0C7920" w14:textId="37E1E775" w:rsidR="00904D2E" w:rsidRPr="004C78D8" w:rsidRDefault="00904D2E" w:rsidP="00FB7C1F">
            <w:pPr>
              <w:jc w:val="left"/>
              <w:rPr>
                <w:sz w:val="18"/>
                <w:szCs w:val="18"/>
              </w:rPr>
            </w:pPr>
            <w:r w:rsidRPr="004C78D8">
              <w:rPr>
                <w:sz w:val="18"/>
                <w:szCs w:val="18"/>
              </w:rPr>
              <w:t>Total</w:t>
            </w:r>
          </w:p>
        </w:tc>
        <w:tc>
          <w:tcPr>
            <w:tcW w:w="1179" w:type="pct"/>
            <w:tcBorders>
              <w:top w:val="nil"/>
              <w:bottom w:val="nil"/>
            </w:tcBorders>
          </w:tcPr>
          <w:p w14:paraId="3F8FBAC2" w14:textId="77777777" w:rsidR="00904D2E" w:rsidRPr="004C78D8" w:rsidRDefault="00904D2E" w:rsidP="00FB7C1F">
            <w:pPr>
              <w:jc w:val="left"/>
              <w:rPr>
                <w:sz w:val="18"/>
                <w:szCs w:val="18"/>
              </w:rPr>
            </w:pPr>
          </w:p>
        </w:tc>
        <w:tc>
          <w:tcPr>
            <w:tcW w:w="1161" w:type="pct"/>
            <w:tcBorders>
              <w:top w:val="nil"/>
              <w:bottom w:val="nil"/>
            </w:tcBorders>
          </w:tcPr>
          <w:p w14:paraId="07FC8151" w14:textId="77777777" w:rsidR="00904D2E" w:rsidRPr="004C78D8" w:rsidRDefault="00904D2E" w:rsidP="00FB7C1F">
            <w:pPr>
              <w:jc w:val="left"/>
              <w:rPr>
                <w:sz w:val="18"/>
                <w:szCs w:val="18"/>
              </w:rPr>
            </w:pPr>
          </w:p>
        </w:tc>
        <w:tc>
          <w:tcPr>
            <w:tcW w:w="1171" w:type="pct"/>
            <w:tcBorders>
              <w:top w:val="nil"/>
              <w:bottom w:val="nil"/>
            </w:tcBorders>
          </w:tcPr>
          <w:p w14:paraId="7CF9B5EC" w14:textId="77777777" w:rsidR="00904D2E" w:rsidRPr="004C78D8" w:rsidRDefault="00904D2E" w:rsidP="00FB7C1F">
            <w:pPr>
              <w:jc w:val="left"/>
              <w:rPr>
                <w:sz w:val="18"/>
                <w:szCs w:val="18"/>
              </w:rPr>
            </w:pPr>
          </w:p>
        </w:tc>
      </w:tr>
      <w:tr w:rsidR="00904D2E" w:rsidRPr="004C78D8" w14:paraId="017DB834" w14:textId="77777777" w:rsidTr="00801973">
        <w:tc>
          <w:tcPr>
            <w:tcW w:w="1488" w:type="pct"/>
            <w:tcBorders>
              <w:top w:val="nil"/>
              <w:bottom w:val="nil"/>
            </w:tcBorders>
          </w:tcPr>
          <w:p w14:paraId="0BFE29CA" w14:textId="5BC71DC5" w:rsidR="00904D2E" w:rsidRPr="004C78D8" w:rsidRDefault="00904D2E" w:rsidP="00FB7C1F">
            <w:pPr>
              <w:jc w:val="left"/>
              <w:rPr>
                <w:sz w:val="18"/>
                <w:szCs w:val="18"/>
              </w:rPr>
            </w:pPr>
            <w:r w:rsidRPr="004C78D8">
              <w:rPr>
                <w:sz w:val="18"/>
                <w:szCs w:val="18"/>
              </w:rPr>
              <w:t>Annual screening count</w:t>
            </w:r>
          </w:p>
        </w:tc>
        <w:tc>
          <w:tcPr>
            <w:tcW w:w="1179" w:type="pct"/>
            <w:tcBorders>
              <w:top w:val="nil"/>
              <w:bottom w:val="nil"/>
            </w:tcBorders>
          </w:tcPr>
          <w:p w14:paraId="3095E08F" w14:textId="77777777" w:rsidR="00904D2E" w:rsidRPr="004C78D8" w:rsidRDefault="00904D2E" w:rsidP="00FB7C1F">
            <w:pPr>
              <w:jc w:val="left"/>
              <w:rPr>
                <w:sz w:val="18"/>
                <w:szCs w:val="18"/>
              </w:rPr>
            </w:pPr>
          </w:p>
        </w:tc>
        <w:tc>
          <w:tcPr>
            <w:tcW w:w="1161" w:type="pct"/>
            <w:tcBorders>
              <w:top w:val="nil"/>
              <w:bottom w:val="nil"/>
            </w:tcBorders>
          </w:tcPr>
          <w:p w14:paraId="00D48DF1" w14:textId="77777777" w:rsidR="00904D2E" w:rsidRPr="004C78D8" w:rsidRDefault="00904D2E" w:rsidP="00FB7C1F">
            <w:pPr>
              <w:jc w:val="left"/>
              <w:rPr>
                <w:sz w:val="18"/>
                <w:szCs w:val="18"/>
              </w:rPr>
            </w:pPr>
          </w:p>
        </w:tc>
        <w:tc>
          <w:tcPr>
            <w:tcW w:w="1171" w:type="pct"/>
            <w:tcBorders>
              <w:top w:val="nil"/>
              <w:bottom w:val="nil"/>
            </w:tcBorders>
          </w:tcPr>
          <w:p w14:paraId="75560EAB" w14:textId="77777777" w:rsidR="00904D2E" w:rsidRPr="004C78D8" w:rsidRDefault="00904D2E" w:rsidP="00FB7C1F">
            <w:pPr>
              <w:jc w:val="left"/>
              <w:rPr>
                <w:sz w:val="18"/>
                <w:szCs w:val="18"/>
              </w:rPr>
            </w:pPr>
          </w:p>
        </w:tc>
      </w:tr>
      <w:tr w:rsidR="00904D2E" w:rsidRPr="004C78D8" w14:paraId="5352AF96" w14:textId="77777777" w:rsidTr="00801973">
        <w:tc>
          <w:tcPr>
            <w:tcW w:w="1488" w:type="pct"/>
            <w:tcBorders>
              <w:top w:val="nil"/>
              <w:bottom w:val="nil"/>
            </w:tcBorders>
          </w:tcPr>
          <w:p w14:paraId="06E0149B" w14:textId="3E3CC3AF" w:rsidR="00904D2E" w:rsidRPr="004C78D8" w:rsidRDefault="00904D2E" w:rsidP="00FB7C1F">
            <w:pPr>
              <w:jc w:val="right"/>
              <w:rPr>
                <w:i/>
                <w:iCs/>
                <w:sz w:val="18"/>
                <w:szCs w:val="18"/>
              </w:rPr>
            </w:pPr>
            <w:r w:rsidRPr="004C78D8">
              <w:rPr>
                <w:i/>
                <w:iCs/>
                <w:sz w:val="18"/>
                <w:szCs w:val="18"/>
              </w:rPr>
              <w:t>GP routine contact</w:t>
            </w:r>
          </w:p>
        </w:tc>
        <w:tc>
          <w:tcPr>
            <w:tcW w:w="1179" w:type="pct"/>
            <w:tcBorders>
              <w:top w:val="nil"/>
              <w:bottom w:val="nil"/>
            </w:tcBorders>
          </w:tcPr>
          <w:p w14:paraId="5D8338D3" w14:textId="0B2F4887" w:rsidR="00904D2E" w:rsidRPr="004C78D8" w:rsidRDefault="00AA0DA8" w:rsidP="00FB7C1F">
            <w:pPr>
              <w:jc w:val="left"/>
              <w:rPr>
                <w:sz w:val="18"/>
                <w:szCs w:val="18"/>
              </w:rPr>
            </w:pPr>
            <w:r w:rsidRPr="004C78D8">
              <w:rPr>
                <w:sz w:val="18"/>
                <w:szCs w:val="18"/>
              </w:rPr>
              <w:t>117,726</w:t>
            </w:r>
          </w:p>
        </w:tc>
        <w:tc>
          <w:tcPr>
            <w:tcW w:w="1161" w:type="pct"/>
            <w:tcBorders>
              <w:top w:val="nil"/>
              <w:bottom w:val="nil"/>
            </w:tcBorders>
          </w:tcPr>
          <w:p w14:paraId="0E27F18A" w14:textId="12C72506" w:rsidR="00904D2E" w:rsidRPr="004C78D8" w:rsidRDefault="00AA0DA8" w:rsidP="00FB7C1F">
            <w:pPr>
              <w:jc w:val="left"/>
              <w:rPr>
                <w:sz w:val="18"/>
                <w:szCs w:val="18"/>
              </w:rPr>
            </w:pPr>
            <w:r w:rsidRPr="004C78D8">
              <w:rPr>
                <w:sz w:val="18"/>
                <w:szCs w:val="18"/>
              </w:rPr>
              <w:t>117,715</w:t>
            </w:r>
          </w:p>
        </w:tc>
        <w:tc>
          <w:tcPr>
            <w:tcW w:w="1171" w:type="pct"/>
            <w:tcBorders>
              <w:top w:val="nil"/>
              <w:bottom w:val="nil"/>
            </w:tcBorders>
          </w:tcPr>
          <w:p w14:paraId="2D69EA6A" w14:textId="40861E46" w:rsidR="00904D2E" w:rsidRPr="004C78D8" w:rsidRDefault="00AA0DA8" w:rsidP="00FB7C1F">
            <w:pPr>
              <w:jc w:val="left"/>
              <w:rPr>
                <w:sz w:val="18"/>
                <w:szCs w:val="18"/>
              </w:rPr>
            </w:pPr>
            <w:r w:rsidRPr="004C78D8">
              <w:rPr>
                <w:sz w:val="18"/>
                <w:szCs w:val="18"/>
              </w:rPr>
              <w:t>117,638</w:t>
            </w:r>
          </w:p>
        </w:tc>
      </w:tr>
      <w:tr w:rsidR="00904D2E" w:rsidRPr="004C78D8" w14:paraId="27F8C47B" w14:textId="77777777" w:rsidTr="00801973">
        <w:tc>
          <w:tcPr>
            <w:tcW w:w="1488" w:type="pct"/>
            <w:tcBorders>
              <w:top w:val="nil"/>
              <w:bottom w:val="nil"/>
            </w:tcBorders>
          </w:tcPr>
          <w:p w14:paraId="078C0CD6" w14:textId="06834C78" w:rsidR="00904D2E" w:rsidRPr="004C78D8" w:rsidRDefault="00904D2E" w:rsidP="00FB7C1F">
            <w:pPr>
              <w:jc w:val="right"/>
              <w:rPr>
                <w:i/>
                <w:iCs/>
                <w:sz w:val="18"/>
                <w:szCs w:val="18"/>
              </w:rPr>
            </w:pPr>
            <w:r w:rsidRPr="004C78D8">
              <w:rPr>
                <w:i/>
                <w:iCs/>
                <w:sz w:val="18"/>
                <w:szCs w:val="18"/>
              </w:rPr>
              <w:t>Community screening</w:t>
            </w:r>
          </w:p>
        </w:tc>
        <w:tc>
          <w:tcPr>
            <w:tcW w:w="1179" w:type="pct"/>
            <w:tcBorders>
              <w:top w:val="nil"/>
              <w:bottom w:val="nil"/>
            </w:tcBorders>
          </w:tcPr>
          <w:p w14:paraId="22D51083" w14:textId="13EB5A1B" w:rsidR="00904D2E" w:rsidRPr="004C78D8" w:rsidRDefault="00AA0DA8" w:rsidP="00FB7C1F">
            <w:pPr>
              <w:jc w:val="left"/>
              <w:rPr>
                <w:sz w:val="18"/>
                <w:szCs w:val="18"/>
              </w:rPr>
            </w:pPr>
            <w:r w:rsidRPr="004C78D8">
              <w:rPr>
                <w:sz w:val="18"/>
                <w:szCs w:val="18"/>
              </w:rPr>
              <w:t>8,512</w:t>
            </w:r>
          </w:p>
        </w:tc>
        <w:tc>
          <w:tcPr>
            <w:tcW w:w="1161" w:type="pct"/>
            <w:tcBorders>
              <w:top w:val="nil"/>
              <w:bottom w:val="nil"/>
            </w:tcBorders>
          </w:tcPr>
          <w:p w14:paraId="62E72FDA" w14:textId="7325AC18" w:rsidR="00904D2E" w:rsidRPr="004C78D8" w:rsidRDefault="00AA0DA8" w:rsidP="00FB7C1F">
            <w:pPr>
              <w:jc w:val="left"/>
              <w:rPr>
                <w:sz w:val="18"/>
                <w:szCs w:val="18"/>
              </w:rPr>
            </w:pPr>
            <w:r w:rsidRPr="004C78D8">
              <w:rPr>
                <w:sz w:val="18"/>
                <w:szCs w:val="18"/>
              </w:rPr>
              <w:t>7,490</w:t>
            </w:r>
          </w:p>
        </w:tc>
        <w:tc>
          <w:tcPr>
            <w:tcW w:w="1171" w:type="pct"/>
            <w:tcBorders>
              <w:top w:val="nil"/>
              <w:bottom w:val="nil"/>
            </w:tcBorders>
          </w:tcPr>
          <w:p w14:paraId="5A23BC39" w14:textId="761946DF" w:rsidR="00904D2E" w:rsidRPr="004C78D8" w:rsidRDefault="00904D2E" w:rsidP="00FB7C1F">
            <w:pPr>
              <w:jc w:val="left"/>
              <w:rPr>
                <w:sz w:val="18"/>
                <w:szCs w:val="18"/>
              </w:rPr>
            </w:pPr>
            <w:r w:rsidRPr="004C78D8">
              <w:rPr>
                <w:sz w:val="18"/>
                <w:szCs w:val="18"/>
              </w:rPr>
              <w:t>0</w:t>
            </w:r>
          </w:p>
        </w:tc>
      </w:tr>
      <w:tr w:rsidR="00904D2E" w:rsidRPr="004C78D8" w14:paraId="561322D1" w14:textId="77777777" w:rsidTr="00801973">
        <w:tc>
          <w:tcPr>
            <w:tcW w:w="1488" w:type="pct"/>
            <w:tcBorders>
              <w:top w:val="nil"/>
              <w:bottom w:val="nil"/>
            </w:tcBorders>
          </w:tcPr>
          <w:p w14:paraId="12618072" w14:textId="77777777" w:rsidR="00904D2E" w:rsidRPr="004C78D8" w:rsidRDefault="00904D2E" w:rsidP="00FB7C1F">
            <w:pPr>
              <w:jc w:val="left"/>
              <w:rPr>
                <w:sz w:val="18"/>
                <w:szCs w:val="18"/>
              </w:rPr>
            </w:pPr>
          </w:p>
        </w:tc>
        <w:tc>
          <w:tcPr>
            <w:tcW w:w="3512" w:type="pct"/>
            <w:gridSpan w:val="3"/>
            <w:tcBorders>
              <w:top w:val="single" w:sz="4" w:space="0" w:color="auto"/>
              <w:bottom w:val="nil"/>
            </w:tcBorders>
          </w:tcPr>
          <w:p w14:paraId="57D9B575" w14:textId="09978177" w:rsidR="00904D2E" w:rsidRPr="004C78D8" w:rsidRDefault="00904D2E" w:rsidP="00FB7C1F">
            <w:pPr>
              <w:jc w:val="center"/>
              <w:rPr>
                <w:sz w:val="18"/>
                <w:szCs w:val="18"/>
              </w:rPr>
            </w:pPr>
            <w:r w:rsidRPr="004C78D8">
              <w:rPr>
                <w:b/>
                <w:bCs/>
                <w:sz w:val="20"/>
                <w:szCs w:val="20"/>
              </w:rPr>
              <w:t>Incremental outcomes relative to constrained recommended care with falls risk targeting (CRC scenario (4))</w:t>
            </w:r>
          </w:p>
        </w:tc>
      </w:tr>
      <w:tr w:rsidR="00904D2E" w:rsidRPr="004C78D8" w14:paraId="50D60CCA" w14:textId="77777777" w:rsidTr="00801973">
        <w:tc>
          <w:tcPr>
            <w:tcW w:w="1488" w:type="pct"/>
            <w:tcBorders>
              <w:top w:val="nil"/>
              <w:bottom w:val="nil"/>
            </w:tcBorders>
          </w:tcPr>
          <w:p w14:paraId="3E7C940D" w14:textId="3B4BC806" w:rsidR="00904D2E" w:rsidRPr="004C78D8" w:rsidRDefault="00904D2E" w:rsidP="00FB7C1F">
            <w:pPr>
              <w:jc w:val="left"/>
              <w:rPr>
                <w:sz w:val="18"/>
                <w:szCs w:val="18"/>
              </w:rPr>
            </w:pPr>
            <w:r w:rsidRPr="004C78D8">
              <w:rPr>
                <w:sz w:val="18"/>
                <w:szCs w:val="18"/>
              </w:rPr>
              <w:t>Public sector costs</w:t>
            </w:r>
          </w:p>
        </w:tc>
        <w:tc>
          <w:tcPr>
            <w:tcW w:w="1179" w:type="pct"/>
            <w:tcBorders>
              <w:top w:val="single" w:sz="4" w:space="0" w:color="auto"/>
              <w:bottom w:val="nil"/>
            </w:tcBorders>
          </w:tcPr>
          <w:p w14:paraId="4C488FF6" w14:textId="77777777" w:rsidR="00904D2E" w:rsidRPr="004C78D8" w:rsidRDefault="00904D2E" w:rsidP="00FB7C1F">
            <w:pPr>
              <w:jc w:val="left"/>
              <w:rPr>
                <w:sz w:val="18"/>
                <w:szCs w:val="18"/>
              </w:rPr>
            </w:pPr>
          </w:p>
        </w:tc>
        <w:tc>
          <w:tcPr>
            <w:tcW w:w="1161" w:type="pct"/>
            <w:tcBorders>
              <w:top w:val="single" w:sz="4" w:space="0" w:color="auto"/>
              <w:bottom w:val="nil"/>
            </w:tcBorders>
          </w:tcPr>
          <w:p w14:paraId="16C7B706" w14:textId="77777777" w:rsidR="00904D2E" w:rsidRPr="004C78D8" w:rsidRDefault="00904D2E" w:rsidP="00FB7C1F">
            <w:pPr>
              <w:jc w:val="left"/>
              <w:rPr>
                <w:sz w:val="18"/>
                <w:szCs w:val="18"/>
              </w:rPr>
            </w:pPr>
          </w:p>
        </w:tc>
        <w:tc>
          <w:tcPr>
            <w:tcW w:w="1171" w:type="pct"/>
            <w:tcBorders>
              <w:top w:val="single" w:sz="4" w:space="0" w:color="auto"/>
              <w:bottom w:val="nil"/>
            </w:tcBorders>
          </w:tcPr>
          <w:p w14:paraId="06C50ED1" w14:textId="77777777" w:rsidR="00904D2E" w:rsidRPr="004C78D8" w:rsidRDefault="00904D2E" w:rsidP="00FB7C1F">
            <w:pPr>
              <w:jc w:val="left"/>
              <w:rPr>
                <w:sz w:val="18"/>
                <w:szCs w:val="18"/>
              </w:rPr>
            </w:pPr>
          </w:p>
        </w:tc>
      </w:tr>
      <w:tr w:rsidR="00904D2E" w:rsidRPr="004C78D8" w14:paraId="10D0009B" w14:textId="77777777" w:rsidTr="00801973">
        <w:tc>
          <w:tcPr>
            <w:tcW w:w="1488" w:type="pct"/>
            <w:tcBorders>
              <w:top w:val="nil"/>
              <w:bottom w:val="nil"/>
            </w:tcBorders>
          </w:tcPr>
          <w:p w14:paraId="3EB5894F" w14:textId="0E337268" w:rsidR="00904D2E" w:rsidRPr="004C78D8" w:rsidRDefault="00904D2E" w:rsidP="00FB7C1F">
            <w:pPr>
              <w:jc w:val="right"/>
              <w:rPr>
                <w:i/>
                <w:iCs/>
                <w:sz w:val="18"/>
                <w:szCs w:val="18"/>
              </w:rPr>
            </w:pPr>
            <w:r w:rsidRPr="004C78D8">
              <w:rPr>
                <w:i/>
                <w:iCs/>
                <w:sz w:val="18"/>
                <w:szCs w:val="18"/>
              </w:rPr>
              <w:t>(1) All-cause public sector costs</w:t>
            </w:r>
            <w:r w:rsidRPr="004C78D8">
              <w:rPr>
                <w:i/>
                <w:iCs/>
                <w:sz w:val="18"/>
                <w:szCs w:val="18"/>
                <w:vertAlign w:val="superscript"/>
              </w:rPr>
              <w:t>2</w:t>
            </w:r>
          </w:p>
        </w:tc>
        <w:tc>
          <w:tcPr>
            <w:tcW w:w="1179" w:type="pct"/>
            <w:tcBorders>
              <w:top w:val="nil"/>
              <w:bottom w:val="nil"/>
            </w:tcBorders>
          </w:tcPr>
          <w:p w14:paraId="55617311" w14:textId="425113CD" w:rsidR="00904D2E" w:rsidRPr="004C78D8" w:rsidRDefault="00904D2E" w:rsidP="00FB7C1F">
            <w:pPr>
              <w:jc w:val="left"/>
              <w:rPr>
                <w:sz w:val="18"/>
                <w:szCs w:val="18"/>
              </w:rPr>
            </w:pPr>
            <w:r w:rsidRPr="004C78D8">
              <w:rPr>
                <w:sz w:val="18"/>
                <w:szCs w:val="18"/>
              </w:rPr>
              <w:t>-£882,213</w:t>
            </w:r>
          </w:p>
        </w:tc>
        <w:tc>
          <w:tcPr>
            <w:tcW w:w="1161" w:type="pct"/>
            <w:tcBorders>
              <w:top w:val="nil"/>
              <w:bottom w:val="nil"/>
            </w:tcBorders>
          </w:tcPr>
          <w:p w14:paraId="16882513" w14:textId="309A2BC5" w:rsidR="00904D2E" w:rsidRPr="004C78D8" w:rsidRDefault="00904D2E" w:rsidP="00FB7C1F">
            <w:pPr>
              <w:jc w:val="left"/>
              <w:rPr>
                <w:sz w:val="18"/>
                <w:szCs w:val="18"/>
              </w:rPr>
            </w:pPr>
            <w:r w:rsidRPr="004C78D8">
              <w:rPr>
                <w:sz w:val="18"/>
                <w:szCs w:val="18"/>
              </w:rPr>
              <w:t>-£4,548,389</w:t>
            </w:r>
          </w:p>
        </w:tc>
        <w:tc>
          <w:tcPr>
            <w:tcW w:w="1171" w:type="pct"/>
            <w:tcBorders>
              <w:top w:val="nil"/>
              <w:bottom w:val="nil"/>
            </w:tcBorders>
          </w:tcPr>
          <w:p w14:paraId="000311D6" w14:textId="71E54AD7" w:rsidR="00904D2E" w:rsidRPr="004C78D8" w:rsidRDefault="00904D2E" w:rsidP="00FB7C1F">
            <w:pPr>
              <w:jc w:val="left"/>
              <w:rPr>
                <w:sz w:val="18"/>
                <w:szCs w:val="18"/>
              </w:rPr>
            </w:pPr>
            <w:r w:rsidRPr="004C78D8">
              <w:rPr>
                <w:sz w:val="18"/>
                <w:szCs w:val="18"/>
              </w:rPr>
              <w:t>£1,438,692</w:t>
            </w:r>
          </w:p>
        </w:tc>
      </w:tr>
      <w:tr w:rsidR="00904D2E" w:rsidRPr="004C78D8" w14:paraId="6B024E41" w14:textId="77777777" w:rsidTr="00801973">
        <w:tc>
          <w:tcPr>
            <w:tcW w:w="1488" w:type="pct"/>
            <w:tcBorders>
              <w:top w:val="nil"/>
              <w:bottom w:val="nil"/>
            </w:tcBorders>
          </w:tcPr>
          <w:p w14:paraId="16B40730" w14:textId="77777777" w:rsidR="00904D2E" w:rsidRPr="004C78D8" w:rsidRDefault="00904D2E" w:rsidP="00FB7C1F">
            <w:pPr>
              <w:jc w:val="right"/>
              <w:rPr>
                <w:i/>
                <w:iCs/>
                <w:sz w:val="18"/>
                <w:szCs w:val="18"/>
              </w:rPr>
            </w:pPr>
            <w:r w:rsidRPr="004C78D8">
              <w:rPr>
                <w:i/>
                <w:iCs/>
                <w:sz w:val="18"/>
                <w:szCs w:val="18"/>
              </w:rPr>
              <w:t>(2) Fall-related healthcare costs</w:t>
            </w:r>
          </w:p>
        </w:tc>
        <w:tc>
          <w:tcPr>
            <w:tcW w:w="1179" w:type="pct"/>
            <w:tcBorders>
              <w:top w:val="nil"/>
              <w:bottom w:val="nil"/>
            </w:tcBorders>
          </w:tcPr>
          <w:p w14:paraId="13848BAD" w14:textId="38D47FD9" w:rsidR="00904D2E" w:rsidRPr="004C78D8" w:rsidRDefault="00904D2E" w:rsidP="00FB7C1F">
            <w:pPr>
              <w:jc w:val="left"/>
              <w:rPr>
                <w:sz w:val="18"/>
                <w:szCs w:val="18"/>
              </w:rPr>
            </w:pPr>
            <w:r w:rsidRPr="004C78D8">
              <w:rPr>
                <w:sz w:val="18"/>
                <w:szCs w:val="18"/>
              </w:rPr>
              <w:t>-£1,807,139</w:t>
            </w:r>
          </w:p>
        </w:tc>
        <w:tc>
          <w:tcPr>
            <w:tcW w:w="1161" w:type="pct"/>
            <w:tcBorders>
              <w:top w:val="nil"/>
              <w:bottom w:val="nil"/>
            </w:tcBorders>
          </w:tcPr>
          <w:p w14:paraId="5EEF35C3" w14:textId="01B835CA" w:rsidR="00904D2E" w:rsidRPr="004C78D8" w:rsidRDefault="00904D2E" w:rsidP="00FB7C1F">
            <w:pPr>
              <w:jc w:val="left"/>
              <w:rPr>
                <w:sz w:val="18"/>
                <w:szCs w:val="18"/>
              </w:rPr>
            </w:pPr>
            <w:r w:rsidRPr="004C78D8">
              <w:rPr>
                <w:sz w:val="18"/>
                <w:szCs w:val="18"/>
              </w:rPr>
              <w:t>-£1,424,989</w:t>
            </w:r>
          </w:p>
        </w:tc>
        <w:tc>
          <w:tcPr>
            <w:tcW w:w="1171" w:type="pct"/>
            <w:tcBorders>
              <w:top w:val="nil"/>
              <w:bottom w:val="nil"/>
            </w:tcBorders>
          </w:tcPr>
          <w:p w14:paraId="19EE6E18" w14:textId="74FB5E7A" w:rsidR="00904D2E" w:rsidRPr="004C78D8" w:rsidRDefault="00904D2E" w:rsidP="00FB7C1F">
            <w:pPr>
              <w:jc w:val="left"/>
              <w:rPr>
                <w:sz w:val="18"/>
                <w:szCs w:val="18"/>
              </w:rPr>
            </w:pPr>
            <w:r w:rsidRPr="004C78D8">
              <w:rPr>
                <w:sz w:val="18"/>
                <w:szCs w:val="18"/>
              </w:rPr>
              <w:t>-£854,358</w:t>
            </w:r>
          </w:p>
        </w:tc>
      </w:tr>
      <w:tr w:rsidR="00904D2E" w:rsidRPr="004C78D8" w14:paraId="52A8596F" w14:textId="77777777" w:rsidTr="00801973">
        <w:tc>
          <w:tcPr>
            <w:tcW w:w="1488" w:type="pct"/>
            <w:tcBorders>
              <w:top w:val="nil"/>
              <w:bottom w:val="nil"/>
            </w:tcBorders>
          </w:tcPr>
          <w:p w14:paraId="52811503" w14:textId="77777777" w:rsidR="00904D2E" w:rsidRPr="004C78D8" w:rsidRDefault="00904D2E" w:rsidP="00FB7C1F">
            <w:pPr>
              <w:jc w:val="right"/>
              <w:rPr>
                <w:i/>
                <w:iCs/>
                <w:sz w:val="18"/>
                <w:szCs w:val="18"/>
              </w:rPr>
            </w:pPr>
            <w:r w:rsidRPr="004C78D8">
              <w:rPr>
                <w:i/>
                <w:iCs/>
                <w:sz w:val="18"/>
                <w:szCs w:val="18"/>
              </w:rPr>
              <w:t>Public sector intervention costs</w:t>
            </w:r>
          </w:p>
        </w:tc>
        <w:tc>
          <w:tcPr>
            <w:tcW w:w="1179" w:type="pct"/>
            <w:tcBorders>
              <w:top w:val="nil"/>
              <w:bottom w:val="nil"/>
            </w:tcBorders>
          </w:tcPr>
          <w:p w14:paraId="3D10089B" w14:textId="4163CC5F" w:rsidR="00904D2E" w:rsidRPr="004C78D8" w:rsidRDefault="00904D2E" w:rsidP="00FB7C1F">
            <w:pPr>
              <w:jc w:val="left"/>
              <w:rPr>
                <w:sz w:val="18"/>
                <w:szCs w:val="18"/>
              </w:rPr>
            </w:pPr>
            <w:r w:rsidRPr="004C78D8">
              <w:rPr>
                <w:sz w:val="18"/>
                <w:szCs w:val="18"/>
              </w:rPr>
              <w:t>£3,080,746</w:t>
            </w:r>
          </w:p>
        </w:tc>
        <w:tc>
          <w:tcPr>
            <w:tcW w:w="1161" w:type="pct"/>
            <w:tcBorders>
              <w:top w:val="nil"/>
              <w:bottom w:val="nil"/>
            </w:tcBorders>
          </w:tcPr>
          <w:p w14:paraId="2B26E718" w14:textId="294974A6" w:rsidR="00904D2E" w:rsidRPr="004C78D8" w:rsidRDefault="00904D2E" w:rsidP="00FB7C1F">
            <w:pPr>
              <w:jc w:val="left"/>
              <w:rPr>
                <w:sz w:val="18"/>
                <w:szCs w:val="18"/>
              </w:rPr>
            </w:pPr>
            <w:r w:rsidRPr="004C78D8">
              <w:rPr>
                <w:sz w:val="18"/>
                <w:szCs w:val="18"/>
              </w:rPr>
              <w:t>£2,677,635</w:t>
            </w:r>
          </w:p>
        </w:tc>
        <w:tc>
          <w:tcPr>
            <w:tcW w:w="1171" w:type="pct"/>
            <w:tcBorders>
              <w:top w:val="nil"/>
              <w:bottom w:val="nil"/>
            </w:tcBorders>
          </w:tcPr>
          <w:p w14:paraId="0E7C53D2" w14:textId="50C203E6" w:rsidR="00904D2E" w:rsidRPr="004C78D8" w:rsidRDefault="00904D2E" w:rsidP="00FB7C1F">
            <w:pPr>
              <w:jc w:val="left"/>
              <w:rPr>
                <w:sz w:val="18"/>
                <w:szCs w:val="18"/>
              </w:rPr>
            </w:pPr>
            <w:r w:rsidRPr="004C78D8">
              <w:rPr>
                <w:sz w:val="18"/>
                <w:szCs w:val="18"/>
              </w:rPr>
              <w:t>£19,146</w:t>
            </w:r>
          </w:p>
        </w:tc>
      </w:tr>
      <w:tr w:rsidR="00904D2E" w:rsidRPr="004C78D8" w14:paraId="30C0A701" w14:textId="77777777" w:rsidTr="00801973">
        <w:tc>
          <w:tcPr>
            <w:tcW w:w="1488" w:type="pct"/>
            <w:tcBorders>
              <w:top w:val="nil"/>
              <w:bottom w:val="nil"/>
            </w:tcBorders>
          </w:tcPr>
          <w:p w14:paraId="1F7BCF5E" w14:textId="77777777" w:rsidR="00904D2E" w:rsidRPr="004C78D8" w:rsidRDefault="00904D2E" w:rsidP="00FB7C1F">
            <w:pPr>
              <w:jc w:val="left"/>
              <w:rPr>
                <w:sz w:val="18"/>
                <w:szCs w:val="18"/>
              </w:rPr>
            </w:pPr>
            <w:r w:rsidRPr="004C78D8">
              <w:rPr>
                <w:sz w:val="18"/>
                <w:szCs w:val="18"/>
              </w:rPr>
              <w:t>QALY</w:t>
            </w:r>
          </w:p>
        </w:tc>
        <w:tc>
          <w:tcPr>
            <w:tcW w:w="1179" w:type="pct"/>
            <w:tcBorders>
              <w:top w:val="nil"/>
              <w:bottom w:val="nil"/>
            </w:tcBorders>
          </w:tcPr>
          <w:p w14:paraId="6BCF0D08" w14:textId="5EFB296C" w:rsidR="00904D2E" w:rsidRPr="004C78D8" w:rsidRDefault="00904D2E" w:rsidP="00FB7C1F">
            <w:pPr>
              <w:jc w:val="left"/>
              <w:rPr>
                <w:sz w:val="18"/>
                <w:szCs w:val="18"/>
              </w:rPr>
            </w:pPr>
            <w:r w:rsidRPr="004C78D8">
              <w:rPr>
                <w:sz w:val="18"/>
                <w:szCs w:val="18"/>
              </w:rPr>
              <w:t>430</w:t>
            </w:r>
          </w:p>
        </w:tc>
        <w:tc>
          <w:tcPr>
            <w:tcW w:w="1161" w:type="pct"/>
            <w:tcBorders>
              <w:top w:val="nil"/>
              <w:bottom w:val="nil"/>
            </w:tcBorders>
          </w:tcPr>
          <w:p w14:paraId="0133DB7B" w14:textId="1839B69A" w:rsidR="00904D2E" w:rsidRPr="004C78D8" w:rsidRDefault="00904D2E" w:rsidP="00FB7C1F">
            <w:pPr>
              <w:jc w:val="left"/>
              <w:rPr>
                <w:sz w:val="18"/>
                <w:szCs w:val="18"/>
              </w:rPr>
            </w:pPr>
            <w:r w:rsidRPr="004C78D8">
              <w:rPr>
                <w:sz w:val="18"/>
                <w:szCs w:val="18"/>
              </w:rPr>
              <w:t>235</w:t>
            </w:r>
          </w:p>
        </w:tc>
        <w:tc>
          <w:tcPr>
            <w:tcW w:w="1171" w:type="pct"/>
            <w:tcBorders>
              <w:top w:val="nil"/>
              <w:bottom w:val="nil"/>
            </w:tcBorders>
          </w:tcPr>
          <w:p w14:paraId="3D779CA1" w14:textId="6A86740A" w:rsidR="00904D2E" w:rsidRPr="004C78D8" w:rsidRDefault="00904D2E" w:rsidP="00FB7C1F">
            <w:pPr>
              <w:jc w:val="left"/>
              <w:rPr>
                <w:sz w:val="18"/>
                <w:szCs w:val="18"/>
              </w:rPr>
            </w:pPr>
            <w:r w:rsidRPr="004C78D8">
              <w:rPr>
                <w:sz w:val="18"/>
                <w:szCs w:val="18"/>
              </w:rPr>
              <w:t>-93</w:t>
            </w:r>
          </w:p>
        </w:tc>
      </w:tr>
      <w:tr w:rsidR="00904D2E" w:rsidRPr="004C78D8" w14:paraId="5CB27220" w14:textId="77777777" w:rsidTr="00801973">
        <w:tc>
          <w:tcPr>
            <w:tcW w:w="1488" w:type="pct"/>
            <w:tcBorders>
              <w:top w:val="nil"/>
              <w:bottom w:val="nil"/>
            </w:tcBorders>
          </w:tcPr>
          <w:p w14:paraId="69D3A07C" w14:textId="77777777" w:rsidR="00904D2E" w:rsidRPr="004C78D8" w:rsidRDefault="00904D2E" w:rsidP="00FB7C1F">
            <w:pPr>
              <w:jc w:val="left"/>
              <w:rPr>
                <w:sz w:val="18"/>
                <w:szCs w:val="18"/>
              </w:rPr>
            </w:pPr>
            <w:r w:rsidRPr="004C78D8">
              <w:rPr>
                <w:sz w:val="18"/>
                <w:szCs w:val="18"/>
              </w:rPr>
              <w:t>Societal outcomes</w:t>
            </w:r>
          </w:p>
        </w:tc>
        <w:tc>
          <w:tcPr>
            <w:tcW w:w="1179" w:type="pct"/>
            <w:tcBorders>
              <w:top w:val="nil"/>
              <w:bottom w:val="nil"/>
            </w:tcBorders>
          </w:tcPr>
          <w:p w14:paraId="76C0AE0E" w14:textId="70E37474" w:rsidR="00904D2E" w:rsidRPr="004C78D8" w:rsidRDefault="00904D2E" w:rsidP="00FB7C1F">
            <w:pPr>
              <w:jc w:val="left"/>
              <w:rPr>
                <w:sz w:val="18"/>
                <w:szCs w:val="18"/>
              </w:rPr>
            </w:pPr>
          </w:p>
        </w:tc>
        <w:tc>
          <w:tcPr>
            <w:tcW w:w="1161" w:type="pct"/>
            <w:tcBorders>
              <w:top w:val="nil"/>
              <w:bottom w:val="nil"/>
            </w:tcBorders>
          </w:tcPr>
          <w:p w14:paraId="58E23656" w14:textId="77777777" w:rsidR="00904D2E" w:rsidRPr="004C78D8" w:rsidRDefault="00904D2E" w:rsidP="00FB7C1F">
            <w:pPr>
              <w:jc w:val="left"/>
              <w:rPr>
                <w:sz w:val="18"/>
                <w:szCs w:val="18"/>
              </w:rPr>
            </w:pPr>
          </w:p>
        </w:tc>
        <w:tc>
          <w:tcPr>
            <w:tcW w:w="1171" w:type="pct"/>
            <w:tcBorders>
              <w:top w:val="nil"/>
              <w:bottom w:val="nil"/>
            </w:tcBorders>
          </w:tcPr>
          <w:p w14:paraId="794B66C4" w14:textId="77777777" w:rsidR="00904D2E" w:rsidRPr="004C78D8" w:rsidRDefault="00904D2E" w:rsidP="00FB7C1F">
            <w:pPr>
              <w:jc w:val="left"/>
              <w:rPr>
                <w:sz w:val="18"/>
                <w:szCs w:val="18"/>
              </w:rPr>
            </w:pPr>
          </w:p>
        </w:tc>
      </w:tr>
      <w:tr w:rsidR="00904D2E" w:rsidRPr="004C78D8" w14:paraId="59FFC421" w14:textId="77777777" w:rsidTr="00801973">
        <w:tc>
          <w:tcPr>
            <w:tcW w:w="1488" w:type="pct"/>
            <w:tcBorders>
              <w:top w:val="nil"/>
              <w:bottom w:val="nil"/>
            </w:tcBorders>
          </w:tcPr>
          <w:p w14:paraId="44D11875" w14:textId="580C4DC6" w:rsidR="00904D2E" w:rsidRPr="004C78D8" w:rsidRDefault="00904D2E" w:rsidP="00FB7C1F">
            <w:pPr>
              <w:jc w:val="right"/>
              <w:rPr>
                <w:i/>
                <w:iCs/>
                <w:sz w:val="18"/>
                <w:szCs w:val="18"/>
              </w:rPr>
            </w:pPr>
            <w:r w:rsidRPr="004C78D8">
              <w:rPr>
                <w:i/>
                <w:iCs/>
                <w:sz w:val="18"/>
                <w:szCs w:val="18"/>
              </w:rPr>
              <w:t>Net productivity</w:t>
            </w:r>
            <w:r w:rsidRPr="004C78D8">
              <w:rPr>
                <w:i/>
                <w:iCs/>
                <w:sz w:val="18"/>
                <w:szCs w:val="18"/>
                <w:vertAlign w:val="superscript"/>
              </w:rPr>
              <w:t>3</w:t>
            </w:r>
          </w:p>
        </w:tc>
        <w:tc>
          <w:tcPr>
            <w:tcW w:w="1179" w:type="pct"/>
            <w:tcBorders>
              <w:top w:val="nil"/>
              <w:bottom w:val="nil"/>
            </w:tcBorders>
          </w:tcPr>
          <w:p w14:paraId="24A40A63" w14:textId="7D6A2B87" w:rsidR="00904D2E" w:rsidRPr="004C78D8" w:rsidRDefault="00904D2E" w:rsidP="00FB7C1F">
            <w:pPr>
              <w:jc w:val="left"/>
              <w:rPr>
                <w:sz w:val="18"/>
                <w:szCs w:val="18"/>
              </w:rPr>
            </w:pPr>
            <w:r w:rsidRPr="004C78D8">
              <w:rPr>
                <w:sz w:val="18"/>
                <w:szCs w:val="18"/>
              </w:rPr>
              <w:t>-£1,499,589</w:t>
            </w:r>
          </w:p>
        </w:tc>
        <w:tc>
          <w:tcPr>
            <w:tcW w:w="1161" w:type="pct"/>
            <w:tcBorders>
              <w:top w:val="nil"/>
              <w:bottom w:val="nil"/>
            </w:tcBorders>
          </w:tcPr>
          <w:p w14:paraId="442F2F30" w14:textId="7F7655C4" w:rsidR="00904D2E" w:rsidRPr="004C78D8" w:rsidRDefault="00904D2E" w:rsidP="00FB7C1F">
            <w:pPr>
              <w:jc w:val="left"/>
              <w:rPr>
                <w:sz w:val="18"/>
                <w:szCs w:val="18"/>
              </w:rPr>
            </w:pPr>
            <w:r w:rsidRPr="004C78D8">
              <w:rPr>
                <w:sz w:val="18"/>
                <w:szCs w:val="18"/>
              </w:rPr>
              <w:t>-£1,226,249</w:t>
            </w:r>
          </w:p>
        </w:tc>
        <w:tc>
          <w:tcPr>
            <w:tcW w:w="1171" w:type="pct"/>
            <w:tcBorders>
              <w:top w:val="nil"/>
              <w:bottom w:val="nil"/>
            </w:tcBorders>
          </w:tcPr>
          <w:p w14:paraId="61321941" w14:textId="78412C92" w:rsidR="00904D2E" w:rsidRPr="004C78D8" w:rsidRDefault="00904D2E" w:rsidP="00FB7C1F">
            <w:pPr>
              <w:jc w:val="left"/>
              <w:rPr>
                <w:sz w:val="18"/>
                <w:szCs w:val="18"/>
              </w:rPr>
            </w:pPr>
            <w:r w:rsidRPr="004C78D8">
              <w:rPr>
                <w:sz w:val="18"/>
                <w:szCs w:val="18"/>
              </w:rPr>
              <w:t>-£6,194,390</w:t>
            </w:r>
          </w:p>
        </w:tc>
      </w:tr>
      <w:tr w:rsidR="00904D2E" w:rsidRPr="004C78D8" w14:paraId="7AC662E7" w14:textId="77777777" w:rsidTr="00801973">
        <w:trPr>
          <w:trHeight w:val="80"/>
        </w:trPr>
        <w:tc>
          <w:tcPr>
            <w:tcW w:w="1488" w:type="pct"/>
            <w:tcBorders>
              <w:top w:val="nil"/>
              <w:bottom w:val="nil"/>
            </w:tcBorders>
          </w:tcPr>
          <w:p w14:paraId="441406F2" w14:textId="76825334" w:rsidR="00904D2E" w:rsidRPr="004C78D8" w:rsidRDefault="00904D2E" w:rsidP="00FB7C1F">
            <w:pPr>
              <w:jc w:val="right"/>
              <w:rPr>
                <w:i/>
                <w:iCs/>
                <w:sz w:val="18"/>
                <w:szCs w:val="18"/>
              </w:rPr>
            </w:pPr>
            <w:r w:rsidRPr="004C78D8">
              <w:rPr>
                <w:i/>
                <w:iCs/>
                <w:sz w:val="18"/>
                <w:szCs w:val="18"/>
              </w:rPr>
              <w:t>Net private expenditure</w:t>
            </w:r>
            <w:r w:rsidRPr="004C78D8">
              <w:rPr>
                <w:i/>
                <w:iCs/>
                <w:sz w:val="18"/>
                <w:szCs w:val="18"/>
                <w:vertAlign w:val="superscript"/>
              </w:rPr>
              <w:t>4</w:t>
            </w:r>
          </w:p>
        </w:tc>
        <w:tc>
          <w:tcPr>
            <w:tcW w:w="1179" w:type="pct"/>
            <w:tcBorders>
              <w:top w:val="nil"/>
              <w:bottom w:val="nil"/>
            </w:tcBorders>
          </w:tcPr>
          <w:p w14:paraId="4F5B4D67" w14:textId="4E4B08F2" w:rsidR="00904D2E" w:rsidRPr="004C78D8" w:rsidRDefault="00904D2E" w:rsidP="00FB7C1F">
            <w:pPr>
              <w:jc w:val="left"/>
              <w:rPr>
                <w:sz w:val="18"/>
                <w:szCs w:val="18"/>
              </w:rPr>
            </w:pPr>
            <w:r w:rsidRPr="004C78D8">
              <w:rPr>
                <w:sz w:val="18"/>
                <w:szCs w:val="18"/>
              </w:rPr>
              <w:t>-£3,137,032</w:t>
            </w:r>
          </w:p>
        </w:tc>
        <w:tc>
          <w:tcPr>
            <w:tcW w:w="1161" w:type="pct"/>
            <w:tcBorders>
              <w:top w:val="nil"/>
              <w:bottom w:val="nil"/>
            </w:tcBorders>
          </w:tcPr>
          <w:p w14:paraId="7CB539F0" w14:textId="78913ED4" w:rsidR="00904D2E" w:rsidRPr="004C78D8" w:rsidRDefault="00904D2E" w:rsidP="00FB7C1F">
            <w:pPr>
              <w:jc w:val="left"/>
              <w:rPr>
                <w:sz w:val="18"/>
                <w:szCs w:val="18"/>
              </w:rPr>
            </w:pPr>
            <w:r w:rsidRPr="004C78D8">
              <w:rPr>
                <w:sz w:val="18"/>
                <w:szCs w:val="18"/>
              </w:rPr>
              <w:t>£193,387</w:t>
            </w:r>
          </w:p>
        </w:tc>
        <w:tc>
          <w:tcPr>
            <w:tcW w:w="1171" w:type="pct"/>
            <w:tcBorders>
              <w:top w:val="nil"/>
              <w:bottom w:val="nil"/>
            </w:tcBorders>
          </w:tcPr>
          <w:p w14:paraId="4F7C9E01" w14:textId="6FBFABD2" w:rsidR="00904D2E" w:rsidRPr="004C78D8" w:rsidRDefault="00904D2E" w:rsidP="00FB7C1F">
            <w:pPr>
              <w:jc w:val="left"/>
              <w:rPr>
                <w:sz w:val="18"/>
                <w:szCs w:val="18"/>
              </w:rPr>
            </w:pPr>
            <w:r w:rsidRPr="004C78D8">
              <w:rPr>
                <w:sz w:val="18"/>
                <w:szCs w:val="18"/>
              </w:rPr>
              <w:t>-£3,380,540</w:t>
            </w:r>
          </w:p>
        </w:tc>
      </w:tr>
      <w:tr w:rsidR="00904D2E" w:rsidRPr="004C78D8" w14:paraId="7A73E3AA" w14:textId="77777777" w:rsidTr="00801973">
        <w:tc>
          <w:tcPr>
            <w:tcW w:w="1488" w:type="pct"/>
            <w:tcBorders>
              <w:top w:val="nil"/>
              <w:bottom w:val="nil"/>
            </w:tcBorders>
          </w:tcPr>
          <w:p w14:paraId="27CD3041" w14:textId="38CD4F4B" w:rsidR="00904D2E" w:rsidRPr="004C78D8" w:rsidRDefault="00904D2E" w:rsidP="00FB7C1F">
            <w:pPr>
              <w:jc w:val="right"/>
              <w:rPr>
                <w:i/>
                <w:iCs/>
                <w:sz w:val="18"/>
                <w:szCs w:val="18"/>
              </w:rPr>
            </w:pPr>
            <w:r w:rsidRPr="004C78D8">
              <w:rPr>
                <w:i/>
                <w:iCs/>
                <w:sz w:val="18"/>
                <w:szCs w:val="18"/>
              </w:rPr>
              <w:t>Net informal caregiving cost</w:t>
            </w:r>
            <w:r w:rsidRPr="004C78D8">
              <w:rPr>
                <w:i/>
                <w:iCs/>
                <w:sz w:val="18"/>
                <w:szCs w:val="18"/>
                <w:vertAlign w:val="superscript"/>
              </w:rPr>
              <w:t>5</w:t>
            </w:r>
          </w:p>
        </w:tc>
        <w:tc>
          <w:tcPr>
            <w:tcW w:w="1179" w:type="pct"/>
            <w:tcBorders>
              <w:top w:val="nil"/>
              <w:bottom w:val="nil"/>
            </w:tcBorders>
          </w:tcPr>
          <w:p w14:paraId="05C0FCAB" w14:textId="430C54A2" w:rsidR="00904D2E" w:rsidRPr="004C78D8" w:rsidRDefault="00904D2E" w:rsidP="00FB7C1F">
            <w:pPr>
              <w:jc w:val="left"/>
              <w:rPr>
                <w:sz w:val="18"/>
                <w:szCs w:val="18"/>
              </w:rPr>
            </w:pPr>
            <w:r w:rsidRPr="004C78D8">
              <w:rPr>
                <w:sz w:val="18"/>
                <w:szCs w:val="18"/>
              </w:rPr>
              <w:t>£4,237,719</w:t>
            </w:r>
          </w:p>
        </w:tc>
        <w:tc>
          <w:tcPr>
            <w:tcW w:w="1161" w:type="pct"/>
            <w:tcBorders>
              <w:top w:val="nil"/>
              <w:bottom w:val="nil"/>
            </w:tcBorders>
          </w:tcPr>
          <w:p w14:paraId="57A9D16F" w14:textId="332450C4" w:rsidR="00904D2E" w:rsidRPr="004C78D8" w:rsidRDefault="00904D2E" w:rsidP="00FB7C1F">
            <w:pPr>
              <w:jc w:val="left"/>
              <w:rPr>
                <w:sz w:val="18"/>
                <w:szCs w:val="18"/>
              </w:rPr>
            </w:pPr>
            <w:r w:rsidRPr="004C78D8">
              <w:rPr>
                <w:sz w:val="18"/>
                <w:szCs w:val="18"/>
              </w:rPr>
              <w:t>-£7,712,359</w:t>
            </w:r>
          </w:p>
        </w:tc>
        <w:tc>
          <w:tcPr>
            <w:tcW w:w="1171" w:type="pct"/>
            <w:tcBorders>
              <w:top w:val="nil"/>
              <w:bottom w:val="nil"/>
            </w:tcBorders>
          </w:tcPr>
          <w:p w14:paraId="28D47AB3" w14:textId="23436E94" w:rsidR="00904D2E" w:rsidRPr="004C78D8" w:rsidRDefault="00904D2E" w:rsidP="00FB7C1F">
            <w:pPr>
              <w:jc w:val="left"/>
              <w:rPr>
                <w:sz w:val="18"/>
                <w:szCs w:val="18"/>
              </w:rPr>
            </w:pPr>
            <w:r w:rsidRPr="004C78D8">
              <w:rPr>
                <w:sz w:val="18"/>
                <w:szCs w:val="18"/>
              </w:rPr>
              <w:t>-£1,409,700</w:t>
            </w:r>
          </w:p>
        </w:tc>
      </w:tr>
      <w:tr w:rsidR="00904D2E" w:rsidRPr="004C78D8" w14:paraId="5D1961B1" w14:textId="77777777" w:rsidTr="00801973">
        <w:tc>
          <w:tcPr>
            <w:tcW w:w="1488" w:type="pct"/>
            <w:tcBorders>
              <w:top w:val="nil"/>
              <w:bottom w:val="single" w:sz="4" w:space="0" w:color="auto"/>
            </w:tcBorders>
          </w:tcPr>
          <w:p w14:paraId="4AF1EB44" w14:textId="77777777" w:rsidR="00904D2E" w:rsidRPr="004C78D8" w:rsidRDefault="00904D2E" w:rsidP="00FB7C1F">
            <w:pPr>
              <w:jc w:val="left"/>
              <w:rPr>
                <w:sz w:val="18"/>
                <w:szCs w:val="18"/>
              </w:rPr>
            </w:pPr>
            <w:r w:rsidRPr="004C78D8">
              <w:rPr>
                <w:sz w:val="18"/>
                <w:szCs w:val="18"/>
              </w:rPr>
              <w:t>Societal gain, QALY equivalent</w:t>
            </w:r>
          </w:p>
        </w:tc>
        <w:tc>
          <w:tcPr>
            <w:tcW w:w="1179" w:type="pct"/>
            <w:tcBorders>
              <w:top w:val="nil"/>
              <w:bottom w:val="single" w:sz="4" w:space="0" w:color="auto"/>
              <w:right w:val="single" w:sz="4" w:space="0" w:color="auto"/>
            </w:tcBorders>
          </w:tcPr>
          <w:p w14:paraId="3DDB68F1" w14:textId="581925F6" w:rsidR="00904D2E" w:rsidRPr="004C78D8" w:rsidRDefault="00904D2E" w:rsidP="00FB7C1F">
            <w:pPr>
              <w:jc w:val="left"/>
              <w:rPr>
                <w:sz w:val="18"/>
                <w:szCs w:val="18"/>
              </w:rPr>
            </w:pPr>
            <w:r w:rsidRPr="004C78D8">
              <w:rPr>
                <w:sz w:val="18"/>
                <w:szCs w:val="18"/>
              </w:rPr>
              <w:t>-43 QALYs</w:t>
            </w:r>
          </w:p>
        </w:tc>
        <w:tc>
          <w:tcPr>
            <w:tcW w:w="1161" w:type="pct"/>
            <w:tcBorders>
              <w:top w:val="nil"/>
              <w:left w:val="single" w:sz="4" w:space="0" w:color="auto"/>
              <w:bottom w:val="single" w:sz="4" w:space="0" w:color="auto"/>
            </w:tcBorders>
          </w:tcPr>
          <w:p w14:paraId="2555CC34" w14:textId="21587F62" w:rsidR="00904D2E" w:rsidRPr="004C78D8" w:rsidRDefault="00904D2E" w:rsidP="00FB7C1F">
            <w:pPr>
              <w:jc w:val="left"/>
              <w:rPr>
                <w:sz w:val="18"/>
                <w:szCs w:val="18"/>
              </w:rPr>
            </w:pPr>
            <w:r w:rsidRPr="004C78D8">
              <w:rPr>
                <w:sz w:val="18"/>
                <w:szCs w:val="18"/>
              </w:rPr>
              <w:t>105 QALYs</w:t>
            </w:r>
          </w:p>
        </w:tc>
        <w:tc>
          <w:tcPr>
            <w:tcW w:w="1171" w:type="pct"/>
            <w:tcBorders>
              <w:top w:val="nil"/>
              <w:bottom w:val="single" w:sz="4" w:space="0" w:color="auto"/>
            </w:tcBorders>
          </w:tcPr>
          <w:p w14:paraId="6787BAE2" w14:textId="515E334E" w:rsidR="00904D2E" w:rsidRPr="004C78D8" w:rsidRDefault="00904D2E" w:rsidP="00FB7C1F">
            <w:pPr>
              <w:jc w:val="left"/>
              <w:rPr>
                <w:sz w:val="18"/>
                <w:szCs w:val="18"/>
              </w:rPr>
            </w:pPr>
            <w:r w:rsidRPr="004C78D8">
              <w:rPr>
                <w:sz w:val="18"/>
                <w:szCs w:val="18"/>
              </w:rPr>
              <w:t>-23 QALYs</w:t>
            </w:r>
          </w:p>
        </w:tc>
      </w:tr>
      <w:tr w:rsidR="00904D2E" w:rsidRPr="004C78D8" w14:paraId="39813E76" w14:textId="77777777" w:rsidTr="00801973">
        <w:tc>
          <w:tcPr>
            <w:tcW w:w="1488" w:type="pct"/>
            <w:tcBorders>
              <w:top w:val="single" w:sz="4" w:space="0" w:color="auto"/>
              <w:bottom w:val="nil"/>
            </w:tcBorders>
          </w:tcPr>
          <w:p w14:paraId="31C5AB3A" w14:textId="77777777" w:rsidR="00904D2E" w:rsidRPr="004C78D8" w:rsidRDefault="00904D2E" w:rsidP="00FB7C1F">
            <w:pPr>
              <w:jc w:val="left"/>
              <w:rPr>
                <w:sz w:val="18"/>
                <w:szCs w:val="18"/>
              </w:rPr>
            </w:pPr>
            <w:r w:rsidRPr="004C78D8">
              <w:rPr>
                <w:sz w:val="18"/>
                <w:szCs w:val="18"/>
              </w:rPr>
              <w:t>Societal ICER using (1)</w:t>
            </w:r>
          </w:p>
        </w:tc>
        <w:tc>
          <w:tcPr>
            <w:tcW w:w="1179" w:type="pct"/>
            <w:tcBorders>
              <w:top w:val="single" w:sz="4" w:space="0" w:color="auto"/>
              <w:bottom w:val="nil"/>
              <w:right w:val="single" w:sz="4" w:space="0" w:color="auto"/>
            </w:tcBorders>
          </w:tcPr>
          <w:p w14:paraId="0746A771" w14:textId="33CA8750" w:rsidR="00904D2E" w:rsidRPr="004C78D8" w:rsidRDefault="00904D2E" w:rsidP="00FB7C1F">
            <w:pPr>
              <w:jc w:val="left"/>
              <w:rPr>
                <w:sz w:val="18"/>
                <w:szCs w:val="18"/>
              </w:rPr>
            </w:pPr>
            <w:r w:rsidRPr="004C78D8">
              <w:rPr>
                <w:sz w:val="18"/>
                <w:szCs w:val="18"/>
              </w:rPr>
              <w:t>£5,690 per QALY gain</w:t>
            </w:r>
            <w:r w:rsidR="00A64995" w:rsidRPr="004C78D8">
              <w:rPr>
                <w:sz w:val="18"/>
                <w:szCs w:val="18"/>
              </w:rPr>
              <w:t>ed</w:t>
            </w:r>
            <w:r w:rsidRPr="004C78D8">
              <w:rPr>
                <w:sz w:val="18"/>
                <w:szCs w:val="18"/>
                <w:vertAlign w:val="superscript"/>
              </w:rPr>
              <w:t>6</w:t>
            </w:r>
          </w:p>
        </w:tc>
        <w:tc>
          <w:tcPr>
            <w:tcW w:w="1161" w:type="pct"/>
            <w:tcBorders>
              <w:top w:val="single" w:sz="4" w:space="0" w:color="auto"/>
              <w:left w:val="single" w:sz="4" w:space="0" w:color="auto"/>
              <w:bottom w:val="nil"/>
            </w:tcBorders>
          </w:tcPr>
          <w:p w14:paraId="3C924596" w14:textId="44B07D6E" w:rsidR="00904D2E" w:rsidRPr="004C78D8" w:rsidRDefault="00904D2E" w:rsidP="00FB7C1F">
            <w:pPr>
              <w:jc w:val="left"/>
              <w:rPr>
                <w:sz w:val="18"/>
                <w:szCs w:val="18"/>
              </w:rPr>
            </w:pPr>
            <w:r w:rsidRPr="004C78D8">
              <w:rPr>
                <w:sz w:val="18"/>
                <w:szCs w:val="18"/>
              </w:rPr>
              <w:t>Dominated comparator</w:t>
            </w:r>
            <w:r w:rsidRPr="004C78D8">
              <w:rPr>
                <w:sz w:val="18"/>
                <w:szCs w:val="18"/>
                <w:vertAlign w:val="superscript"/>
              </w:rPr>
              <w:t>7,8</w:t>
            </w:r>
          </w:p>
        </w:tc>
        <w:tc>
          <w:tcPr>
            <w:tcW w:w="1171" w:type="pct"/>
            <w:tcBorders>
              <w:top w:val="single" w:sz="4" w:space="0" w:color="auto"/>
              <w:bottom w:val="nil"/>
            </w:tcBorders>
          </w:tcPr>
          <w:p w14:paraId="5284536C" w14:textId="1D80DEC8" w:rsidR="00904D2E" w:rsidRPr="004C78D8" w:rsidRDefault="00904D2E" w:rsidP="00FB7C1F">
            <w:pPr>
              <w:jc w:val="left"/>
              <w:rPr>
                <w:sz w:val="18"/>
                <w:szCs w:val="18"/>
              </w:rPr>
            </w:pPr>
            <w:r w:rsidRPr="004C78D8">
              <w:rPr>
                <w:sz w:val="18"/>
                <w:szCs w:val="18"/>
              </w:rPr>
              <w:t>Dominated by comparator</w:t>
            </w:r>
            <w:r w:rsidRPr="004C78D8">
              <w:rPr>
                <w:sz w:val="18"/>
                <w:szCs w:val="18"/>
                <w:vertAlign w:val="superscript"/>
              </w:rPr>
              <w:t>9,10</w:t>
            </w:r>
          </w:p>
        </w:tc>
      </w:tr>
      <w:tr w:rsidR="00904D2E" w:rsidRPr="004C78D8" w14:paraId="45DF98A2" w14:textId="77777777" w:rsidTr="00801973">
        <w:tc>
          <w:tcPr>
            <w:tcW w:w="1488" w:type="pct"/>
            <w:tcBorders>
              <w:top w:val="nil"/>
              <w:bottom w:val="nil"/>
            </w:tcBorders>
          </w:tcPr>
          <w:p w14:paraId="2E4601BF" w14:textId="77777777" w:rsidR="00904D2E" w:rsidRPr="004C78D8" w:rsidRDefault="00904D2E" w:rsidP="00FB7C1F">
            <w:pPr>
              <w:jc w:val="left"/>
              <w:rPr>
                <w:sz w:val="18"/>
                <w:szCs w:val="18"/>
              </w:rPr>
            </w:pPr>
            <w:r w:rsidRPr="004C78D8">
              <w:rPr>
                <w:sz w:val="18"/>
                <w:szCs w:val="18"/>
              </w:rPr>
              <w:t>Societal ICER using (2)</w:t>
            </w:r>
          </w:p>
        </w:tc>
        <w:tc>
          <w:tcPr>
            <w:tcW w:w="1179" w:type="pct"/>
            <w:tcBorders>
              <w:top w:val="nil"/>
              <w:bottom w:val="nil"/>
              <w:right w:val="single" w:sz="4" w:space="0" w:color="auto"/>
            </w:tcBorders>
          </w:tcPr>
          <w:p w14:paraId="4EBDBDCC" w14:textId="32B05FD7" w:rsidR="00904D2E" w:rsidRPr="004C78D8" w:rsidRDefault="00904D2E" w:rsidP="00FB7C1F">
            <w:pPr>
              <w:jc w:val="left"/>
              <w:rPr>
                <w:sz w:val="18"/>
                <w:szCs w:val="18"/>
              </w:rPr>
            </w:pPr>
            <w:r w:rsidRPr="004C78D8">
              <w:rPr>
                <w:sz w:val="18"/>
                <w:szCs w:val="18"/>
              </w:rPr>
              <w:t>£3,296 per QALY gain</w:t>
            </w:r>
            <w:r w:rsidR="00A64995" w:rsidRPr="004C78D8">
              <w:rPr>
                <w:sz w:val="18"/>
                <w:szCs w:val="18"/>
              </w:rPr>
              <w:t>ed</w:t>
            </w:r>
          </w:p>
        </w:tc>
        <w:tc>
          <w:tcPr>
            <w:tcW w:w="1161" w:type="pct"/>
            <w:tcBorders>
              <w:top w:val="nil"/>
              <w:left w:val="single" w:sz="4" w:space="0" w:color="auto"/>
              <w:bottom w:val="nil"/>
            </w:tcBorders>
          </w:tcPr>
          <w:p w14:paraId="60272AE7" w14:textId="2B6F3FA6" w:rsidR="00904D2E" w:rsidRPr="004C78D8" w:rsidRDefault="00904D2E" w:rsidP="00FB7C1F">
            <w:pPr>
              <w:jc w:val="left"/>
              <w:rPr>
                <w:sz w:val="18"/>
                <w:szCs w:val="18"/>
              </w:rPr>
            </w:pPr>
            <w:r w:rsidRPr="004C78D8">
              <w:rPr>
                <w:sz w:val="18"/>
                <w:szCs w:val="18"/>
              </w:rPr>
              <w:t>£3,681 per QALY gain</w:t>
            </w:r>
            <w:r w:rsidR="00A64995" w:rsidRPr="004C78D8">
              <w:rPr>
                <w:sz w:val="18"/>
                <w:szCs w:val="18"/>
              </w:rPr>
              <w:t>ed</w:t>
            </w:r>
          </w:p>
        </w:tc>
        <w:tc>
          <w:tcPr>
            <w:tcW w:w="1171" w:type="pct"/>
            <w:tcBorders>
              <w:top w:val="nil"/>
              <w:bottom w:val="nil"/>
            </w:tcBorders>
          </w:tcPr>
          <w:p w14:paraId="59A5BA0E" w14:textId="373F6A90" w:rsidR="00904D2E" w:rsidRPr="004C78D8" w:rsidRDefault="00904D2E" w:rsidP="00FB7C1F">
            <w:pPr>
              <w:jc w:val="left"/>
              <w:rPr>
                <w:sz w:val="18"/>
                <w:szCs w:val="18"/>
              </w:rPr>
            </w:pPr>
            <w:r w:rsidRPr="004C78D8">
              <w:rPr>
                <w:sz w:val="18"/>
                <w:szCs w:val="18"/>
              </w:rPr>
              <w:t xml:space="preserve">£7,167 </w:t>
            </w:r>
            <w:r w:rsidRPr="00972766">
              <w:rPr>
                <w:sz w:val="16"/>
                <w:szCs w:val="16"/>
              </w:rPr>
              <w:t>per QALY gain</w:t>
            </w:r>
            <w:r w:rsidR="00A64995" w:rsidRPr="00972766">
              <w:rPr>
                <w:sz w:val="16"/>
                <w:szCs w:val="16"/>
              </w:rPr>
              <w:t>ed</w:t>
            </w:r>
            <w:r w:rsidRPr="004C78D8">
              <w:rPr>
                <w:sz w:val="18"/>
                <w:szCs w:val="18"/>
                <w:vertAlign w:val="superscript"/>
              </w:rPr>
              <w:t>11</w:t>
            </w:r>
          </w:p>
        </w:tc>
      </w:tr>
      <w:tr w:rsidR="00904D2E" w:rsidRPr="004C78D8" w14:paraId="1A0CCCD0" w14:textId="77777777" w:rsidTr="00801973">
        <w:tc>
          <w:tcPr>
            <w:tcW w:w="1488" w:type="pct"/>
            <w:tcBorders>
              <w:top w:val="nil"/>
              <w:bottom w:val="nil"/>
            </w:tcBorders>
          </w:tcPr>
          <w:p w14:paraId="2DEF47C2" w14:textId="6AFD20A1" w:rsidR="00904D2E" w:rsidRPr="004C78D8" w:rsidRDefault="00904D2E" w:rsidP="00FB7C1F">
            <w:pPr>
              <w:jc w:val="left"/>
              <w:rPr>
                <w:sz w:val="18"/>
                <w:szCs w:val="18"/>
              </w:rPr>
            </w:pPr>
            <w:r w:rsidRPr="004C78D8">
              <w:rPr>
                <w:sz w:val="18"/>
                <w:szCs w:val="18"/>
              </w:rPr>
              <w:t>Societal INMB using (1)</w:t>
            </w:r>
            <w:r w:rsidRPr="004C78D8">
              <w:rPr>
                <w:sz w:val="18"/>
                <w:szCs w:val="18"/>
                <w:vertAlign w:val="superscript"/>
              </w:rPr>
              <w:t>12</w:t>
            </w:r>
          </w:p>
        </w:tc>
        <w:tc>
          <w:tcPr>
            <w:tcW w:w="1179" w:type="pct"/>
            <w:tcBorders>
              <w:top w:val="nil"/>
              <w:bottom w:val="nil"/>
              <w:right w:val="single" w:sz="4" w:space="0" w:color="auto"/>
            </w:tcBorders>
          </w:tcPr>
          <w:p w14:paraId="4FA0AD33" w14:textId="458D8B29" w:rsidR="00904D2E" w:rsidRPr="004C78D8" w:rsidRDefault="00904D2E" w:rsidP="00FB7C1F">
            <w:pPr>
              <w:jc w:val="left"/>
              <w:rPr>
                <w:sz w:val="18"/>
                <w:szCs w:val="18"/>
              </w:rPr>
            </w:pPr>
            <w:r w:rsidRPr="004C78D8">
              <w:rPr>
                <w:sz w:val="18"/>
                <w:szCs w:val="18"/>
              </w:rPr>
              <w:t>£9,393,141</w:t>
            </w:r>
          </w:p>
        </w:tc>
        <w:tc>
          <w:tcPr>
            <w:tcW w:w="1161" w:type="pct"/>
            <w:tcBorders>
              <w:top w:val="nil"/>
              <w:left w:val="single" w:sz="4" w:space="0" w:color="auto"/>
              <w:bottom w:val="nil"/>
            </w:tcBorders>
          </w:tcPr>
          <w:p w14:paraId="6221618E" w14:textId="12A73CFF" w:rsidR="00904D2E" w:rsidRPr="004C78D8" w:rsidRDefault="00904D2E" w:rsidP="00FB7C1F">
            <w:pPr>
              <w:jc w:val="left"/>
              <w:rPr>
                <w:sz w:val="18"/>
                <w:szCs w:val="18"/>
              </w:rPr>
            </w:pPr>
            <w:r w:rsidRPr="004C78D8">
              <w:rPr>
                <w:sz w:val="18"/>
                <w:szCs w:val="18"/>
              </w:rPr>
              <w:t>£12,078,855</w:t>
            </w:r>
          </w:p>
        </w:tc>
        <w:tc>
          <w:tcPr>
            <w:tcW w:w="1171" w:type="pct"/>
            <w:tcBorders>
              <w:top w:val="nil"/>
              <w:bottom w:val="nil"/>
            </w:tcBorders>
          </w:tcPr>
          <w:p w14:paraId="35A8713C" w14:textId="533E5ADD" w:rsidR="00904D2E" w:rsidRPr="004C78D8" w:rsidRDefault="00904D2E" w:rsidP="00FB7C1F">
            <w:pPr>
              <w:jc w:val="left"/>
              <w:rPr>
                <w:sz w:val="18"/>
                <w:szCs w:val="18"/>
              </w:rPr>
            </w:pPr>
            <w:r w:rsidRPr="004C78D8">
              <w:rPr>
                <w:sz w:val="18"/>
                <w:szCs w:val="18"/>
              </w:rPr>
              <w:t>-£4,953,702</w:t>
            </w:r>
          </w:p>
        </w:tc>
      </w:tr>
      <w:tr w:rsidR="00904D2E" w:rsidRPr="004C78D8" w14:paraId="3C3CA18D" w14:textId="77777777" w:rsidTr="00801973">
        <w:tc>
          <w:tcPr>
            <w:tcW w:w="1488" w:type="pct"/>
            <w:tcBorders>
              <w:top w:val="nil"/>
              <w:bottom w:val="single" w:sz="4" w:space="0" w:color="auto"/>
            </w:tcBorders>
          </w:tcPr>
          <w:p w14:paraId="7819FC02" w14:textId="77777777" w:rsidR="00904D2E" w:rsidRPr="004C78D8" w:rsidRDefault="00904D2E" w:rsidP="00FB7C1F">
            <w:pPr>
              <w:jc w:val="left"/>
              <w:rPr>
                <w:sz w:val="18"/>
                <w:szCs w:val="18"/>
              </w:rPr>
            </w:pPr>
            <w:r w:rsidRPr="004C78D8">
              <w:rPr>
                <w:sz w:val="18"/>
                <w:szCs w:val="18"/>
              </w:rPr>
              <w:t>Societal INMB using (2)</w:t>
            </w:r>
          </w:p>
        </w:tc>
        <w:tc>
          <w:tcPr>
            <w:tcW w:w="1179" w:type="pct"/>
            <w:tcBorders>
              <w:top w:val="nil"/>
              <w:bottom w:val="single" w:sz="4" w:space="0" w:color="auto"/>
              <w:right w:val="single" w:sz="4" w:space="0" w:color="auto"/>
            </w:tcBorders>
          </w:tcPr>
          <w:p w14:paraId="17E5DEA0" w14:textId="32026F92" w:rsidR="00904D2E" w:rsidRPr="004C78D8" w:rsidRDefault="00904D2E" w:rsidP="00FB7C1F">
            <w:pPr>
              <w:jc w:val="left"/>
              <w:rPr>
                <w:sz w:val="18"/>
                <w:szCs w:val="18"/>
              </w:rPr>
            </w:pPr>
            <w:r w:rsidRPr="004C78D8">
              <w:rPr>
                <w:sz w:val="18"/>
                <w:szCs w:val="18"/>
              </w:rPr>
              <w:t>£10,318,067</w:t>
            </w:r>
          </w:p>
        </w:tc>
        <w:tc>
          <w:tcPr>
            <w:tcW w:w="1161" w:type="pct"/>
            <w:tcBorders>
              <w:top w:val="nil"/>
              <w:left w:val="single" w:sz="4" w:space="0" w:color="auto"/>
              <w:bottom w:val="single" w:sz="4" w:space="0" w:color="auto"/>
            </w:tcBorders>
          </w:tcPr>
          <w:p w14:paraId="689A6A60" w14:textId="064F2E50" w:rsidR="00904D2E" w:rsidRPr="004C78D8" w:rsidRDefault="00904D2E" w:rsidP="00FB7C1F">
            <w:pPr>
              <w:jc w:val="left"/>
              <w:rPr>
                <w:sz w:val="18"/>
                <w:szCs w:val="18"/>
              </w:rPr>
            </w:pPr>
            <w:r w:rsidRPr="004C78D8">
              <w:rPr>
                <w:sz w:val="18"/>
                <w:szCs w:val="18"/>
              </w:rPr>
              <w:t>£8,955,455</w:t>
            </w:r>
          </w:p>
        </w:tc>
        <w:tc>
          <w:tcPr>
            <w:tcW w:w="1171" w:type="pct"/>
            <w:tcBorders>
              <w:top w:val="nil"/>
              <w:bottom w:val="single" w:sz="4" w:space="0" w:color="auto"/>
            </w:tcBorders>
          </w:tcPr>
          <w:p w14:paraId="06EFE54E" w14:textId="70D4BF21" w:rsidR="00904D2E" w:rsidRPr="004C78D8" w:rsidRDefault="00904D2E" w:rsidP="00FB7C1F">
            <w:pPr>
              <w:jc w:val="left"/>
              <w:rPr>
                <w:sz w:val="18"/>
                <w:szCs w:val="18"/>
              </w:rPr>
            </w:pPr>
            <w:r w:rsidRPr="004C78D8">
              <w:rPr>
                <w:sz w:val="18"/>
                <w:szCs w:val="18"/>
              </w:rPr>
              <w:t>-£2,660,653</w:t>
            </w:r>
          </w:p>
        </w:tc>
      </w:tr>
      <w:tr w:rsidR="00904D2E" w:rsidRPr="004C78D8" w14:paraId="7C43AB74" w14:textId="77777777" w:rsidTr="00801973">
        <w:tc>
          <w:tcPr>
            <w:tcW w:w="5000" w:type="pct"/>
            <w:gridSpan w:val="4"/>
          </w:tcPr>
          <w:p w14:paraId="7D0E6B3F" w14:textId="4325B888" w:rsidR="00904D2E" w:rsidRPr="004C78D8" w:rsidRDefault="00904D2E" w:rsidP="00FB7C1F">
            <w:pPr>
              <w:rPr>
                <w:sz w:val="18"/>
                <w:szCs w:val="18"/>
              </w:rPr>
            </w:pPr>
            <w:r w:rsidRPr="004C78D8">
              <w:rPr>
                <w:b/>
                <w:bCs/>
                <w:sz w:val="18"/>
                <w:szCs w:val="18"/>
              </w:rPr>
              <w:t>Abbreviation:</w:t>
            </w:r>
            <w:r w:rsidRPr="004C78D8">
              <w:rPr>
                <w:sz w:val="18"/>
                <w:szCs w:val="18"/>
              </w:rPr>
              <w:t xml:space="preserve"> CRC: constrained recommended care; ICER: incremental cost-effectiveness ratio; INMB: incremental net monetary benefit; LTC: long-term care; OOP: out-of-pocket; QALY: quality-adjusted life year; SES: socioeconomic status.</w:t>
            </w:r>
          </w:p>
          <w:p w14:paraId="0B25CAA9" w14:textId="191527A1" w:rsidR="00904D2E" w:rsidRPr="004C78D8" w:rsidRDefault="00904D2E" w:rsidP="00FB7C1F">
            <w:pPr>
              <w:rPr>
                <w:sz w:val="18"/>
                <w:szCs w:val="18"/>
              </w:rPr>
            </w:pPr>
            <w:r w:rsidRPr="004C78D8">
              <w:rPr>
                <w:sz w:val="18"/>
                <w:szCs w:val="18"/>
                <w:vertAlign w:val="superscript"/>
              </w:rPr>
              <w:t>1</w:t>
            </w:r>
            <w:r w:rsidRPr="004C78D8">
              <w:rPr>
                <w:sz w:val="18"/>
                <w:szCs w:val="18"/>
              </w:rPr>
              <w:t xml:space="preserve"> All outcomes were averaged across 20 model trial runs with different random number seeds.</w:t>
            </w:r>
          </w:p>
          <w:p w14:paraId="6FBBE635" w14:textId="5B16AFB0" w:rsidR="00904D2E" w:rsidRPr="004C78D8" w:rsidRDefault="00904D2E" w:rsidP="00FB7C1F">
            <w:pPr>
              <w:rPr>
                <w:sz w:val="18"/>
                <w:szCs w:val="18"/>
              </w:rPr>
            </w:pPr>
            <w:r w:rsidRPr="004C78D8">
              <w:rPr>
                <w:sz w:val="18"/>
                <w:szCs w:val="18"/>
                <w:vertAlign w:val="superscript"/>
              </w:rPr>
              <w:t>2</w:t>
            </w:r>
            <w:r w:rsidRPr="004C78D8">
              <w:rPr>
                <w:sz w:val="18"/>
                <w:szCs w:val="18"/>
              </w:rPr>
              <w:t xml:space="preserve"> Includes costs of fall-related primary and secondary healthcare, comorbidity primary and secondary healthcare, cost of dying, community healthcare, short-term social care, all-cause long-term care.</w:t>
            </w:r>
          </w:p>
          <w:p w14:paraId="167B611D" w14:textId="23CB12F6" w:rsidR="00904D2E" w:rsidRPr="004C78D8" w:rsidRDefault="00904D2E" w:rsidP="00FB7C1F">
            <w:pPr>
              <w:rPr>
                <w:sz w:val="18"/>
                <w:szCs w:val="18"/>
              </w:rPr>
            </w:pPr>
            <w:r w:rsidRPr="004C78D8">
              <w:rPr>
                <w:sz w:val="18"/>
                <w:szCs w:val="18"/>
                <w:vertAlign w:val="superscript"/>
              </w:rPr>
              <w:t>3</w:t>
            </w:r>
            <w:r w:rsidRPr="004C78D8">
              <w:rPr>
                <w:sz w:val="18"/>
                <w:szCs w:val="18"/>
              </w:rPr>
              <w:t xml:space="preserve"> Includes values of paid and unpaid employment minus intervention time opportunity costs. </w:t>
            </w:r>
          </w:p>
          <w:p w14:paraId="164951B5" w14:textId="4FC4BA0D" w:rsidR="00904D2E" w:rsidRPr="004C78D8" w:rsidRDefault="00904D2E" w:rsidP="00FB7C1F">
            <w:pPr>
              <w:rPr>
                <w:sz w:val="18"/>
                <w:szCs w:val="18"/>
              </w:rPr>
            </w:pPr>
            <w:r w:rsidRPr="004C78D8">
              <w:rPr>
                <w:sz w:val="18"/>
                <w:szCs w:val="18"/>
                <w:vertAlign w:val="superscript"/>
              </w:rPr>
              <w:t>4</w:t>
            </w:r>
            <w:r w:rsidRPr="004C78D8">
              <w:rPr>
                <w:sz w:val="18"/>
                <w:szCs w:val="18"/>
              </w:rPr>
              <w:t xml:space="preserve"> Includes OOP care expenditure and privately incurred LTC cost minus intervention private co-payments.</w:t>
            </w:r>
          </w:p>
          <w:p w14:paraId="15D03AC3" w14:textId="44C6A0AD" w:rsidR="00904D2E" w:rsidRPr="004C78D8" w:rsidRDefault="00904D2E" w:rsidP="00FB7C1F">
            <w:pPr>
              <w:rPr>
                <w:sz w:val="18"/>
                <w:szCs w:val="18"/>
              </w:rPr>
            </w:pPr>
            <w:r w:rsidRPr="004C78D8">
              <w:rPr>
                <w:sz w:val="18"/>
                <w:szCs w:val="18"/>
                <w:vertAlign w:val="superscript"/>
              </w:rPr>
              <w:t>5</w:t>
            </w:r>
            <w:r w:rsidRPr="004C78D8">
              <w:rPr>
                <w:sz w:val="18"/>
                <w:szCs w:val="18"/>
              </w:rPr>
              <w:t xml:space="preserve"> Includes informal caregiver burden/cost minus intervention caregiver time opportunity costs.</w:t>
            </w:r>
          </w:p>
          <w:p w14:paraId="706B128B" w14:textId="5BDFD64B" w:rsidR="00904D2E" w:rsidRPr="004C78D8" w:rsidRDefault="00904D2E" w:rsidP="00FB7C1F">
            <w:pPr>
              <w:rPr>
                <w:sz w:val="18"/>
                <w:szCs w:val="18"/>
              </w:rPr>
            </w:pPr>
            <w:r w:rsidRPr="004C78D8">
              <w:rPr>
                <w:sz w:val="18"/>
                <w:szCs w:val="18"/>
                <w:vertAlign w:val="superscript"/>
              </w:rPr>
              <w:t>6</w:t>
            </w:r>
            <w:r w:rsidRPr="004C78D8">
              <w:rPr>
                <w:sz w:val="18"/>
                <w:szCs w:val="18"/>
              </w:rPr>
              <w:t xml:space="preserve"> The public sector ICERs are £5,116 per QALY gain</w:t>
            </w:r>
            <w:r w:rsidR="00A64995" w:rsidRPr="004C78D8">
              <w:rPr>
                <w:sz w:val="18"/>
                <w:szCs w:val="18"/>
              </w:rPr>
              <w:t>ed</w:t>
            </w:r>
            <w:r w:rsidRPr="004C78D8">
              <w:rPr>
                <w:sz w:val="18"/>
                <w:szCs w:val="18"/>
              </w:rPr>
              <w:t xml:space="preserve"> using (1) and £2,964 using (2).</w:t>
            </w:r>
          </w:p>
          <w:p w14:paraId="4A896FF5" w14:textId="5AFD5C4B" w:rsidR="00904D2E" w:rsidRPr="004C78D8" w:rsidRDefault="00904D2E" w:rsidP="00FB7C1F">
            <w:pPr>
              <w:rPr>
                <w:sz w:val="18"/>
                <w:szCs w:val="18"/>
              </w:rPr>
            </w:pPr>
            <w:r w:rsidRPr="004C78D8">
              <w:rPr>
                <w:sz w:val="18"/>
                <w:szCs w:val="18"/>
                <w:vertAlign w:val="superscript"/>
              </w:rPr>
              <w:t>7</w:t>
            </w:r>
            <w:r w:rsidRPr="004C78D8">
              <w:rPr>
                <w:sz w:val="18"/>
                <w:szCs w:val="18"/>
              </w:rPr>
              <w:t xml:space="preserve"> The societal ICER using (1) is -£5,498 per QALY gain</w:t>
            </w:r>
            <w:r w:rsidR="00A64995" w:rsidRPr="004C78D8">
              <w:rPr>
                <w:sz w:val="18"/>
                <w:szCs w:val="18"/>
              </w:rPr>
              <w:t>ed</w:t>
            </w:r>
            <w:r w:rsidRPr="004C78D8">
              <w:rPr>
                <w:sz w:val="18"/>
                <w:szCs w:val="18"/>
              </w:rPr>
              <w:t xml:space="preserve"> in the south-east quadrant of the cost-effectiveness plane.</w:t>
            </w:r>
          </w:p>
          <w:p w14:paraId="56B3582E" w14:textId="6B74A97B" w:rsidR="00904D2E" w:rsidRPr="004C78D8" w:rsidRDefault="00904D2E" w:rsidP="00FB7C1F">
            <w:pPr>
              <w:rPr>
                <w:sz w:val="18"/>
                <w:szCs w:val="18"/>
              </w:rPr>
            </w:pPr>
            <w:r w:rsidRPr="004C78D8">
              <w:rPr>
                <w:sz w:val="18"/>
                <w:szCs w:val="18"/>
                <w:vertAlign w:val="superscript"/>
              </w:rPr>
              <w:t>8</w:t>
            </w:r>
            <w:r w:rsidRPr="004C78D8">
              <w:rPr>
                <w:sz w:val="18"/>
                <w:szCs w:val="18"/>
              </w:rPr>
              <w:t xml:space="preserve"> The public sector ICERs are -£7,947 per QALY gain</w:t>
            </w:r>
            <w:r w:rsidR="00A64995" w:rsidRPr="004C78D8">
              <w:rPr>
                <w:sz w:val="18"/>
                <w:szCs w:val="18"/>
              </w:rPr>
              <w:t>ed</w:t>
            </w:r>
            <w:r w:rsidRPr="004C78D8">
              <w:rPr>
                <w:sz w:val="18"/>
                <w:szCs w:val="18"/>
              </w:rPr>
              <w:t xml:space="preserve"> using (1) and £5,322 using (2).</w:t>
            </w:r>
          </w:p>
          <w:p w14:paraId="117B061C" w14:textId="58EE6B42" w:rsidR="00904D2E" w:rsidRPr="004C78D8" w:rsidRDefault="00904D2E" w:rsidP="00FB7C1F">
            <w:pPr>
              <w:rPr>
                <w:sz w:val="18"/>
                <w:szCs w:val="18"/>
              </w:rPr>
            </w:pPr>
            <w:r w:rsidRPr="004C78D8">
              <w:rPr>
                <w:sz w:val="18"/>
                <w:szCs w:val="18"/>
                <w:vertAlign w:val="superscript"/>
              </w:rPr>
              <w:t>9</w:t>
            </w:r>
            <w:r w:rsidRPr="004C78D8">
              <w:rPr>
                <w:sz w:val="18"/>
                <w:szCs w:val="18"/>
              </w:rPr>
              <w:t xml:space="preserve"> The societal ICER using (1) is -£12,511 per QALY gain</w:t>
            </w:r>
            <w:r w:rsidR="00A64995" w:rsidRPr="004C78D8">
              <w:rPr>
                <w:sz w:val="18"/>
                <w:szCs w:val="18"/>
              </w:rPr>
              <w:t>ed</w:t>
            </w:r>
            <w:r w:rsidRPr="004C78D8">
              <w:rPr>
                <w:sz w:val="18"/>
                <w:szCs w:val="18"/>
              </w:rPr>
              <w:t xml:space="preserve"> in the north-west quadrant of the cost-effectiveness plane.</w:t>
            </w:r>
          </w:p>
          <w:p w14:paraId="394AB5F4" w14:textId="6136B194" w:rsidR="00904D2E" w:rsidRPr="004C78D8" w:rsidRDefault="00904D2E" w:rsidP="00FB7C1F">
            <w:pPr>
              <w:rPr>
                <w:sz w:val="18"/>
                <w:szCs w:val="18"/>
              </w:rPr>
            </w:pPr>
            <w:r w:rsidRPr="004C78D8">
              <w:rPr>
                <w:sz w:val="18"/>
                <w:szCs w:val="18"/>
                <w:vertAlign w:val="superscript"/>
              </w:rPr>
              <w:t>10</w:t>
            </w:r>
            <w:r w:rsidRPr="004C78D8">
              <w:rPr>
                <w:sz w:val="18"/>
                <w:szCs w:val="18"/>
              </w:rPr>
              <w:t xml:space="preserve"> The public sector ICERs are -£15,654 per QALY gain</w:t>
            </w:r>
            <w:r w:rsidR="00A64995" w:rsidRPr="004C78D8">
              <w:rPr>
                <w:sz w:val="18"/>
                <w:szCs w:val="18"/>
              </w:rPr>
              <w:t>ed</w:t>
            </w:r>
            <w:r w:rsidRPr="004C78D8">
              <w:rPr>
                <w:sz w:val="18"/>
                <w:szCs w:val="18"/>
              </w:rPr>
              <w:t xml:space="preserve"> using (1) and £8,969 using (2).</w:t>
            </w:r>
          </w:p>
          <w:p w14:paraId="3BB0D8D3" w14:textId="2B9ABBF8" w:rsidR="00904D2E" w:rsidRPr="004C78D8" w:rsidRDefault="00904D2E" w:rsidP="00FB7C1F">
            <w:pPr>
              <w:rPr>
                <w:sz w:val="18"/>
                <w:szCs w:val="18"/>
              </w:rPr>
            </w:pPr>
            <w:r w:rsidRPr="004C78D8">
              <w:rPr>
                <w:sz w:val="18"/>
                <w:szCs w:val="18"/>
                <w:vertAlign w:val="superscript"/>
              </w:rPr>
              <w:t>11</w:t>
            </w:r>
            <w:r w:rsidRPr="004C78D8">
              <w:rPr>
                <w:sz w:val="18"/>
                <w:szCs w:val="18"/>
              </w:rPr>
              <w:t xml:space="preserve"> This is positive due to QALY loss and net cost reduction, in the south-west quadrant of the cost-effectiveness plane. </w:t>
            </w:r>
          </w:p>
          <w:p w14:paraId="023311EF" w14:textId="58CA649D" w:rsidR="00904D2E" w:rsidRPr="004C78D8" w:rsidRDefault="00904D2E" w:rsidP="00FB7C1F">
            <w:pPr>
              <w:rPr>
                <w:sz w:val="18"/>
                <w:szCs w:val="18"/>
              </w:rPr>
            </w:pPr>
            <w:r w:rsidRPr="004C78D8">
              <w:rPr>
                <w:sz w:val="18"/>
                <w:szCs w:val="18"/>
                <w:vertAlign w:val="superscript"/>
              </w:rPr>
              <w:t>12</w:t>
            </w:r>
            <w:r w:rsidRPr="004C78D8">
              <w:rPr>
                <w:sz w:val="18"/>
                <w:szCs w:val="18"/>
              </w:rPr>
              <w:t xml:space="preserve"> Incremental net monetary benefits are estimated using the cost-effectiveness threshold of £30,000 per QALY gain</w:t>
            </w:r>
            <w:r w:rsidR="00A64995" w:rsidRPr="004C78D8">
              <w:rPr>
                <w:sz w:val="18"/>
                <w:szCs w:val="18"/>
              </w:rPr>
              <w:t>ed</w:t>
            </w:r>
            <w:r w:rsidRPr="004C78D8">
              <w:rPr>
                <w:sz w:val="18"/>
                <w:szCs w:val="18"/>
              </w:rPr>
              <w:t>.</w:t>
            </w:r>
          </w:p>
        </w:tc>
      </w:tr>
    </w:tbl>
    <w:p w14:paraId="4B1572BC" w14:textId="77777777" w:rsidR="003201FE" w:rsidRPr="004C78D8" w:rsidRDefault="003201FE" w:rsidP="00FB7C1F"/>
    <w:p w14:paraId="357DEE53" w14:textId="1B29D8CA" w:rsidR="00841686" w:rsidRPr="004C78D8" w:rsidRDefault="00E66839" w:rsidP="00FB7C1F">
      <w:r w:rsidRPr="004C78D8">
        <w:t xml:space="preserve">There was </w:t>
      </w:r>
      <w:r w:rsidR="00F61188" w:rsidRPr="004C78D8">
        <w:t xml:space="preserve">nevertheless </w:t>
      </w:r>
      <w:r w:rsidRPr="004C78D8">
        <w:t xml:space="preserve">a marked contrast in result between the community falls risk screening schemes and the self-referred demand promotion scheme: the former were highly cost-effective </w:t>
      </w:r>
      <w:r w:rsidR="002C15DD" w:rsidRPr="004C78D8">
        <w:t>vs.</w:t>
      </w:r>
      <w:r w:rsidRPr="004C78D8">
        <w:t xml:space="preserve"> CRC scenario (4), while the latter generated efficiency loss</w:t>
      </w:r>
      <w:r w:rsidR="00B83C1B">
        <w:t>es</w:t>
      </w:r>
      <w:r w:rsidRPr="004C78D8">
        <w:t xml:space="preserve">. </w:t>
      </w:r>
      <w:r w:rsidR="00C80622" w:rsidRPr="004C78D8">
        <w:t xml:space="preserve">This finding can be attributed to </w:t>
      </w:r>
      <w:r w:rsidR="00D86536" w:rsidRPr="004C78D8">
        <w:t>the change generated by the community screening schemes in the client flows across the proactive and self-referred pathways.</w:t>
      </w:r>
      <w:r w:rsidR="00C80622" w:rsidRPr="004C78D8">
        <w:t xml:space="preserve"> </w:t>
      </w:r>
      <w:r w:rsidR="00D86536" w:rsidRPr="004C78D8">
        <w:t>U</w:t>
      </w:r>
      <w:r w:rsidR="00C80622" w:rsidRPr="004C78D8">
        <w:t xml:space="preserve">nder </w:t>
      </w:r>
      <w:r w:rsidR="00D86536" w:rsidRPr="004C78D8">
        <w:t>capacity constraints</w:t>
      </w:r>
      <w:r w:rsidR="00C80622" w:rsidRPr="004C78D8">
        <w:t xml:space="preserve">, high-risk individuals were more likely to access falls prevention in the proactive rather than the self-referred pathway. This was because the proactive interventions were risk-targeted, while the self-referred exercise was </w:t>
      </w:r>
      <w:r w:rsidR="00AD5E4A" w:rsidRPr="004C78D8">
        <w:t>self-</w:t>
      </w:r>
      <w:r w:rsidR="007A2B52" w:rsidRPr="004C78D8">
        <w:t>initi</w:t>
      </w:r>
      <w:r w:rsidR="00AD5E4A" w:rsidRPr="004C78D8">
        <w:t>ated</w:t>
      </w:r>
      <w:r w:rsidR="0081766F" w:rsidRPr="004C78D8">
        <w:t>;</w:t>
      </w:r>
      <w:r w:rsidR="00C80622" w:rsidRPr="004C78D8">
        <w:t xml:space="preserve"> the average predicted falls risk</w:t>
      </w:r>
      <w:r w:rsidR="0081766F" w:rsidRPr="004C78D8">
        <w:t>s</w:t>
      </w:r>
      <w:r w:rsidR="00C80622" w:rsidRPr="004C78D8">
        <w:t xml:space="preserve"> </w:t>
      </w:r>
      <w:r w:rsidR="0081766F" w:rsidRPr="004C78D8">
        <w:t xml:space="preserve">were 68.8% for </w:t>
      </w:r>
      <w:r w:rsidR="00C80622" w:rsidRPr="004C78D8">
        <w:t xml:space="preserve">falls clinic clients </w:t>
      </w:r>
      <w:r w:rsidR="0081766F" w:rsidRPr="004C78D8">
        <w:t xml:space="preserve">and 40.5% for self-referred clients. Moreover, the constraints affected </w:t>
      </w:r>
      <w:r w:rsidR="00D86536" w:rsidRPr="004C78D8">
        <w:t>a smaller proportion of</w:t>
      </w:r>
      <w:r w:rsidR="0081766F" w:rsidRPr="004C78D8">
        <w:t xml:space="preserve"> persons under the proactive than the self-referred pathway: the proactive client flow under constraint was 30.5% of the unconstrained flow in RC, while the proportion was 15.6%</w:t>
      </w:r>
      <w:r w:rsidR="00C80622" w:rsidRPr="004C78D8">
        <w:t xml:space="preserve"> </w:t>
      </w:r>
      <w:r w:rsidR="0081766F" w:rsidRPr="004C78D8">
        <w:t xml:space="preserve">for the self-referred client flow. The community screening schemes </w:t>
      </w:r>
      <w:r w:rsidR="00D86536" w:rsidRPr="004C78D8">
        <w:t xml:space="preserve">hence </w:t>
      </w:r>
      <w:r w:rsidR="00841686" w:rsidRPr="004C78D8">
        <w:t>transferred to</w:t>
      </w:r>
      <w:r w:rsidR="0081766F" w:rsidRPr="004C78D8">
        <w:t xml:space="preserve"> the proactive pathway </w:t>
      </w:r>
      <w:r w:rsidR="00D86536" w:rsidRPr="004C78D8">
        <w:t>high-risk persons who otherwise would have had a smaller chance of accessing intervention in the self-referred pathway</w:t>
      </w:r>
      <w:r w:rsidR="00841686" w:rsidRPr="004C78D8">
        <w:t>.</w:t>
      </w:r>
      <w:r w:rsidR="00D86536" w:rsidRPr="004C78D8">
        <w:t xml:space="preserve"> Although the overall client numbers </w:t>
      </w:r>
      <w:r w:rsidR="00C141CD" w:rsidRPr="004C78D8">
        <w:t xml:space="preserve">in the proactive and self-referred pathways </w:t>
      </w:r>
      <w:r w:rsidR="00D86536" w:rsidRPr="004C78D8">
        <w:t xml:space="preserve">did not vary </w:t>
      </w:r>
      <w:r w:rsidR="00904D2E" w:rsidRPr="004C78D8">
        <w:t xml:space="preserve">greatly </w:t>
      </w:r>
      <w:r w:rsidR="00D86536" w:rsidRPr="004C78D8">
        <w:t xml:space="preserve">between CRC scenario (4) and </w:t>
      </w:r>
      <w:r w:rsidR="007F3D03" w:rsidRPr="004C78D8">
        <w:t>the above schemes</w:t>
      </w:r>
      <w:r w:rsidR="00C141CD" w:rsidRPr="004C78D8">
        <w:t xml:space="preserve"> (due to binding capacity constraints)</w:t>
      </w:r>
      <w:r w:rsidR="007F3D03" w:rsidRPr="004C78D8">
        <w:t>, the change in the risk profile of clients generated significant outcome</w:t>
      </w:r>
      <w:r w:rsidR="00C141CD" w:rsidRPr="004C78D8">
        <w:t xml:space="preserve"> differences</w:t>
      </w:r>
      <w:r w:rsidR="007F3D03" w:rsidRPr="004C78D8">
        <w:t>.</w:t>
      </w:r>
      <w:r w:rsidR="00841686" w:rsidRPr="004C78D8">
        <w:t xml:space="preserve"> </w:t>
      </w:r>
    </w:p>
    <w:p w14:paraId="616C28F2" w14:textId="72742522" w:rsidR="00D3001E" w:rsidRPr="004C78D8" w:rsidRDefault="00D3001E" w:rsidP="00FB7C1F">
      <w:r w:rsidRPr="004C78D8">
        <w:t xml:space="preserve">The societal INMBs in </w:t>
      </w:r>
      <w:r w:rsidR="00C4081B" w:rsidRPr="004C78D8">
        <w:t xml:space="preserve">Table </w:t>
      </w:r>
      <w:r w:rsidR="002955E2" w:rsidRPr="004C78D8">
        <w:t>6</w:t>
      </w:r>
      <w:r w:rsidR="00C4081B" w:rsidRPr="004C78D8">
        <w:t>.</w:t>
      </w:r>
      <w:r w:rsidR="002955E2" w:rsidRPr="004C78D8">
        <w:t>13</w:t>
      </w:r>
      <w:r w:rsidRPr="004C78D8">
        <w:t xml:space="preserve"> </w:t>
      </w:r>
      <w:r w:rsidR="00C4081B" w:rsidRPr="004C78D8">
        <w:t>we</w:t>
      </w:r>
      <w:r w:rsidRPr="004C78D8">
        <w:t xml:space="preserve">re estimates of </w:t>
      </w:r>
      <w:r w:rsidR="00EE4DE4" w:rsidRPr="004C78D8">
        <w:t>the</w:t>
      </w:r>
      <w:r w:rsidRPr="004C78D8">
        <w:t xml:space="preserve"> decision-maker</w:t>
      </w:r>
      <w:r w:rsidR="00EE4DE4" w:rsidRPr="004C78D8">
        <w:t>’s WTP</w:t>
      </w:r>
      <w:r w:rsidRPr="004C78D8">
        <w:t xml:space="preserve"> on each scheme under the £30,000 per QALY gain</w:t>
      </w:r>
      <w:r w:rsidR="00A64995" w:rsidRPr="004C78D8">
        <w:t>ed</w:t>
      </w:r>
      <w:r w:rsidRPr="004C78D8">
        <w:t xml:space="preserve"> threshold. Hence, for example, the decision-maker could spend £</w:t>
      </w:r>
      <w:r w:rsidR="00C4081B" w:rsidRPr="004C78D8">
        <w:t>12</w:t>
      </w:r>
      <w:r w:rsidRPr="004C78D8">
        <w:t xml:space="preserve">.1 million over the 40-year horizon </w:t>
      </w:r>
      <w:r w:rsidR="00687710" w:rsidRPr="004C78D8">
        <w:t>to fund a falls risk screening scheme operated by community organisations that targets the 3</w:t>
      </w:r>
      <w:r w:rsidR="00687710" w:rsidRPr="004C78D8">
        <w:rPr>
          <w:vertAlign w:val="superscript"/>
        </w:rPr>
        <w:t>rd</w:t>
      </w:r>
      <w:r w:rsidR="00687710" w:rsidRPr="004C78D8">
        <w:t xml:space="preserve"> and 4</w:t>
      </w:r>
      <w:r w:rsidR="00687710" w:rsidRPr="004C78D8">
        <w:rPr>
          <w:vertAlign w:val="superscript"/>
        </w:rPr>
        <w:t>th</w:t>
      </w:r>
      <w:r w:rsidR="00687710" w:rsidRPr="004C78D8">
        <w:t xml:space="preserve"> SES quartiles and processes around 7,500 screenings per year.</w:t>
      </w:r>
      <w:r w:rsidRPr="004C78D8">
        <w:t xml:space="preserve"> </w:t>
      </w:r>
      <w:r w:rsidR="0030756A" w:rsidRPr="004C78D8">
        <w:t xml:space="preserve">Note that the per-capita cost of screening (£10.83) was already costed; the £12.1 million is an additional amount that can be invested </w:t>
      </w:r>
      <w:r w:rsidR="0066784F" w:rsidRPr="004C78D8">
        <w:t>for set-up</w:t>
      </w:r>
      <w:r w:rsidR="0030756A" w:rsidRPr="004C78D8">
        <w:t xml:space="preserve">. </w:t>
      </w:r>
    </w:p>
    <w:p w14:paraId="3520296D" w14:textId="6461817C" w:rsidR="00C75CE4" w:rsidRPr="004C78D8" w:rsidRDefault="006F7940" w:rsidP="00FB7C1F">
      <w:r w:rsidRPr="004C78D8">
        <w:t>Figure F</w:t>
      </w:r>
      <w:r w:rsidR="0066784F" w:rsidRPr="004C78D8">
        <w:t>13</w:t>
      </w:r>
      <w:r w:rsidR="002955E2" w:rsidRPr="004C78D8">
        <w:t xml:space="preserve"> </w:t>
      </w:r>
      <w:r w:rsidRPr="004C78D8">
        <w:t xml:space="preserve">compares </w:t>
      </w:r>
      <w:r w:rsidR="00CC25CF" w:rsidRPr="004C78D8">
        <w:t xml:space="preserve">the </w:t>
      </w:r>
      <w:r w:rsidRPr="004C78D8">
        <w:t>societal per-capita INHBs of community involvement schemes relative to CRC scenario (4)</w:t>
      </w:r>
      <w:r w:rsidR="00543D5C" w:rsidRPr="004C78D8">
        <w:t xml:space="preserve">. Table </w:t>
      </w:r>
      <w:r w:rsidR="002955E2" w:rsidRPr="004C78D8">
        <w:t>6</w:t>
      </w:r>
      <w:r w:rsidR="00543D5C" w:rsidRPr="004C78D8">
        <w:t>.</w:t>
      </w:r>
      <w:r w:rsidR="002955E2" w:rsidRPr="004C78D8">
        <w:t>14</w:t>
      </w:r>
      <w:r w:rsidR="00543D5C" w:rsidRPr="004C78D8">
        <w:t xml:space="preserve"> </w:t>
      </w:r>
      <w:r w:rsidR="00C75CE4" w:rsidRPr="004C78D8">
        <w:t xml:space="preserve">compares the </w:t>
      </w:r>
      <w:r w:rsidR="0088692F" w:rsidRPr="004C78D8">
        <w:t>EDE INHBs</w:t>
      </w:r>
      <w:r w:rsidR="00C75CE4" w:rsidRPr="004C78D8">
        <w:t xml:space="preserve"> of the </w:t>
      </w:r>
      <w:r w:rsidR="00CF6151" w:rsidRPr="004C78D8">
        <w:t>community involvement schemes supplementing</w:t>
      </w:r>
      <w:r w:rsidR="00C75CE4" w:rsidRPr="004C78D8">
        <w:t xml:space="preserve"> CRC scenario (4) </w:t>
      </w:r>
      <w:r w:rsidR="00EE4DE4" w:rsidRPr="004C78D8">
        <w:t>vs.</w:t>
      </w:r>
      <w:r w:rsidR="00CF6151" w:rsidRPr="004C78D8">
        <w:t xml:space="preserve"> no supplementation </w:t>
      </w:r>
      <w:r w:rsidR="00C75CE4" w:rsidRPr="004C78D8">
        <w:t>under high relative and absolute inequality aversions.</w:t>
      </w:r>
      <w:r w:rsidR="00CF6151" w:rsidRPr="004C78D8">
        <w:t xml:space="preserve"> </w:t>
      </w:r>
      <w:r w:rsidR="002457EE" w:rsidRPr="004C78D8">
        <w:t xml:space="preserve">Only scheme (b) improved both equity and efficiency. Scheme (a) would be accepted over no supplementation but introduced equity-efficiency trade-offs. Scheme (c) produced EDE INHBs lower than the negative incremental no-aversion mean, implying that </w:t>
      </w:r>
      <w:r w:rsidR="00EE4DE4" w:rsidRPr="004C78D8">
        <w:t>it</w:t>
      </w:r>
      <w:r w:rsidR="002457EE" w:rsidRPr="004C78D8">
        <w:t xml:space="preserve"> worsened equity and efficiency.</w:t>
      </w:r>
    </w:p>
    <w:tbl>
      <w:tblPr>
        <w:tblStyle w:val="TableGrid"/>
        <w:tblW w:w="5000" w:type="pct"/>
        <w:tblLook w:val="04A0" w:firstRow="1" w:lastRow="0" w:firstColumn="1" w:lastColumn="0" w:noHBand="0" w:noVBand="1"/>
      </w:tblPr>
      <w:tblGrid>
        <w:gridCol w:w="3107"/>
        <w:gridCol w:w="1877"/>
        <w:gridCol w:w="2020"/>
        <w:gridCol w:w="2012"/>
      </w:tblGrid>
      <w:tr w:rsidR="00C75CE4" w:rsidRPr="004C78D8" w14:paraId="274344E1" w14:textId="77777777" w:rsidTr="00801973">
        <w:tc>
          <w:tcPr>
            <w:tcW w:w="5000" w:type="pct"/>
            <w:gridSpan w:val="4"/>
          </w:tcPr>
          <w:p w14:paraId="4423AA26" w14:textId="50D46E9B" w:rsidR="00C75CE4" w:rsidRPr="004C78D8" w:rsidRDefault="00C75CE4" w:rsidP="00FB7C1F">
            <w:r w:rsidRPr="004C78D8">
              <w:rPr>
                <w:b/>
                <w:bCs/>
              </w:rPr>
              <w:t xml:space="preserve">Table </w:t>
            </w:r>
            <w:r w:rsidR="002955E2" w:rsidRPr="004C78D8">
              <w:rPr>
                <w:b/>
                <w:bCs/>
              </w:rPr>
              <w:t>6</w:t>
            </w:r>
            <w:r w:rsidRPr="004C78D8">
              <w:rPr>
                <w:b/>
                <w:bCs/>
              </w:rPr>
              <w:t>.</w:t>
            </w:r>
            <w:r w:rsidR="002955E2" w:rsidRPr="004C78D8">
              <w:rPr>
                <w:b/>
                <w:bCs/>
              </w:rPr>
              <w:t>14</w:t>
            </w:r>
            <w:r w:rsidRPr="004C78D8">
              <w:t xml:space="preserve"> </w:t>
            </w:r>
            <w:r w:rsidR="00527939" w:rsidRPr="004C78D8">
              <w:t>SES-delineated EDE INHBs for community involvement schemes supplementing CRC with falls risk targeting relative to no supplementation.</w:t>
            </w:r>
          </w:p>
        </w:tc>
      </w:tr>
      <w:tr w:rsidR="00527939" w:rsidRPr="004C78D8" w14:paraId="38196EB5" w14:textId="77777777" w:rsidTr="00801973">
        <w:tc>
          <w:tcPr>
            <w:tcW w:w="1723" w:type="pct"/>
            <w:vAlign w:val="bottom"/>
          </w:tcPr>
          <w:p w14:paraId="5AB633BE" w14:textId="60067502" w:rsidR="00527939" w:rsidRPr="004C78D8" w:rsidRDefault="00527939" w:rsidP="00FB7C1F">
            <w:pPr>
              <w:jc w:val="left"/>
              <w:rPr>
                <w:b/>
                <w:bCs/>
                <w:sz w:val="20"/>
                <w:szCs w:val="20"/>
              </w:rPr>
            </w:pPr>
            <w:r w:rsidRPr="004C78D8">
              <w:rPr>
                <w:b/>
                <w:bCs/>
                <w:sz w:val="20"/>
                <w:szCs w:val="20"/>
              </w:rPr>
              <w:t>Societal INHB</w:t>
            </w:r>
            <w:r w:rsidRPr="004C78D8">
              <w:rPr>
                <w:b/>
                <w:bCs/>
                <w:sz w:val="20"/>
                <w:szCs w:val="20"/>
                <w:vertAlign w:val="superscript"/>
              </w:rPr>
              <w:t>1</w:t>
            </w:r>
          </w:p>
        </w:tc>
        <w:tc>
          <w:tcPr>
            <w:tcW w:w="1041" w:type="pct"/>
            <w:vAlign w:val="bottom"/>
          </w:tcPr>
          <w:p w14:paraId="1AEBEF38" w14:textId="1236D57B" w:rsidR="00527939" w:rsidRPr="004C78D8" w:rsidRDefault="00527939" w:rsidP="00FB7C1F">
            <w:pPr>
              <w:jc w:val="left"/>
              <w:rPr>
                <w:b/>
                <w:bCs/>
                <w:sz w:val="18"/>
                <w:szCs w:val="18"/>
              </w:rPr>
            </w:pPr>
            <w:r w:rsidRPr="004C78D8">
              <w:rPr>
                <w:b/>
                <w:bCs/>
                <w:sz w:val="18"/>
                <w:szCs w:val="18"/>
              </w:rPr>
              <w:t>Community FRS for 50% without GP contact in CRC(4) vs. CRC(4) alone</w:t>
            </w:r>
          </w:p>
        </w:tc>
        <w:tc>
          <w:tcPr>
            <w:tcW w:w="1120" w:type="pct"/>
            <w:vAlign w:val="bottom"/>
          </w:tcPr>
          <w:p w14:paraId="68450019" w14:textId="02529F64" w:rsidR="00527939" w:rsidRPr="004C78D8" w:rsidRDefault="00527939" w:rsidP="00FB7C1F">
            <w:pPr>
              <w:jc w:val="left"/>
              <w:rPr>
                <w:b/>
                <w:bCs/>
                <w:sz w:val="18"/>
                <w:szCs w:val="18"/>
              </w:rPr>
            </w:pPr>
            <w:r w:rsidRPr="004C78D8">
              <w:rPr>
                <w:b/>
                <w:bCs/>
                <w:sz w:val="18"/>
                <w:szCs w:val="18"/>
              </w:rPr>
              <w:t>Community FRS for 3</w:t>
            </w:r>
            <w:r w:rsidRPr="004C78D8">
              <w:rPr>
                <w:b/>
                <w:bCs/>
                <w:sz w:val="18"/>
                <w:szCs w:val="18"/>
                <w:vertAlign w:val="superscript"/>
              </w:rPr>
              <w:t>rd</w:t>
            </w:r>
            <w:r w:rsidRPr="004C78D8">
              <w:rPr>
                <w:b/>
                <w:bCs/>
                <w:sz w:val="18"/>
                <w:szCs w:val="18"/>
              </w:rPr>
              <w:t xml:space="preserve"> and 4</w:t>
            </w:r>
            <w:r w:rsidRPr="004C78D8">
              <w:rPr>
                <w:b/>
                <w:bCs/>
                <w:sz w:val="18"/>
                <w:szCs w:val="18"/>
                <w:vertAlign w:val="superscript"/>
              </w:rPr>
              <w:t>th</w:t>
            </w:r>
            <w:r w:rsidRPr="004C78D8">
              <w:rPr>
                <w:b/>
                <w:bCs/>
                <w:sz w:val="18"/>
                <w:szCs w:val="18"/>
              </w:rPr>
              <w:t xml:space="preserve"> SES quartiles without GP contact in CRC(4) vs. CRC(4) alone</w:t>
            </w:r>
          </w:p>
        </w:tc>
        <w:tc>
          <w:tcPr>
            <w:tcW w:w="1116" w:type="pct"/>
            <w:vAlign w:val="bottom"/>
          </w:tcPr>
          <w:p w14:paraId="3A21A73C" w14:textId="2A6FC330" w:rsidR="00527939" w:rsidRPr="004C78D8" w:rsidRDefault="00527939" w:rsidP="00FB7C1F">
            <w:pPr>
              <w:jc w:val="left"/>
              <w:rPr>
                <w:b/>
                <w:bCs/>
                <w:sz w:val="18"/>
                <w:szCs w:val="18"/>
              </w:rPr>
            </w:pPr>
            <w:r w:rsidRPr="004C78D8">
              <w:rPr>
                <w:b/>
                <w:bCs/>
                <w:sz w:val="18"/>
                <w:szCs w:val="18"/>
              </w:rPr>
              <w:t>20% increase in self-referred demand in CRC(4) vs. CRC(4) alone</w:t>
            </w:r>
          </w:p>
        </w:tc>
      </w:tr>
      <w:tr w:rsidR="00527939" w:rsidRPr="004C78D8" w14:paraId="7C7214CA" w14:textId="77777777" w:rsidTr="00801973">
        <w:tc>
          <w:tcPr>
            <w:tcW w:w="1723" w:type="pct"/>
            <w:tcBorders>
              <w:bottom w:val="single" w:sz="4" w:space="0" w:color="auto"/>
            </w:tcBorders>
          </w:tcPr>
          <w:p w14:paraId="42B8DB4A" w14:textId="57C96E4B" w:rsidR="00527939" w:rsidRPr="004C78D8" w:rsidRDefault="00527939" w:rsidP="00FB7C1F">
            <w:pPr>
              <w:jc w:val="left"/>
              <w:rPr>
                <w:sz w:val="20"/>
                <w:szCs w:val="20"/>
              </w:rPr>
            </w:pPr>
            <w:r w:rsidRPr="004C78D8">
              <w:rPr>
                <w:sz w:val="20"/>
                <w:szCs w:val="20"/>
              </w:rPr>
              <w:t>(1) Incremental no-aversion mean</w:t>
            </w:r>
            <w:r w:rsidRPr="004C78D8">
              <w:rPr>
                <w:sz w:val="20"/>
                <w:szCs w:val="20"/>
                <w:vertAlign w:val="superscript"/>
              </w:rPr>
              <w:t>2</w:t>
            </w:r>
          </w:p>
        </w:tc>
        <w:tc>
          <w:tcPr>
            <w:tcW w:w="1041" w:type="pct"/>
            <w:tcBorders>
              <w:bottom w:val="single" w:sz="4" w:space="0" w:color="auto"/>
            </w:tcBorders>
          </w:tcPr>
          <w:p w14:paraId="48C16EF0" w14:textId="19776E9D" w:rsidR="00527939" w:rsidRPr="004C78D8" w:rsidRDefault="00527939" w:rsidP="00FB7C1F">
            <w:pPr>
              <w:jc w:val="left"/>
              <w:rPr>
                <w:sz w:val="20"/>
                <w:szCs w:val="20"/>
              </w:rPr>
            </w:pPr>
            <w:r w:rsidRPr="004C78D8">
              <w:rPr>
                <w:sz w:val="20"/>
                <w:szCs w:val="20"/>
              </w:rPr>
              <w:t>0.0008</w:t>
            </w:r>
          </w:p>
        </w:tc>
        <w:tc>
          <w:tcPr>
            <w:tcW w:w="1120" w:type="pct"/>
            <w:tcBorders>
              <w:bottom w:val="single" w:sz="4" w:space="0" w:color="auto"/>
            </w:tcBorders>
          </w:tcPr>
          <w:p w14:paraId="3FC9CAD9" w14:textId="58254E45" w:rsidR="00527939" w:rsidRPr="004C78D8" w:rsidRDefault="00527939" w:rsidP="00FB7C1F">
            <w:pPr>
              <w:jc w:val="left"/>
              <w:rPr>
                <w:sz w:val="20"/>
                <w:szCs w:val="20"/>
              </w:rPr>
            </w:pPr>
            <w:r w:rsidRPr="004C78D8">
              <w:rPr>
                <w:sz w:val="20"/>
                <w:szCs w:val="20"/>
              </w:rPr>
              <w:t>0.0017</w:t>
            </w:r>
          </w:p>
        </w:tc>
        <w:tc>
          <w:tcPr>
            <w:tcW w:w="1116" w:type="pct"/>
            <w:tcBorders>
              <w:bottom w:val="single" w:sz="4" w:space="0" w:color="auto"/>
            </w:tcBorders>
          </w:tcPr>
          <w:p w14:paraId="3B77C29F" w14:textId="4840EDC7" w:rsidR="00527939" w:rsidRPr="004C78D8" w:rsidRDefault="00527939" w:rsidP="00FB7C1F">
            <w:pPr>
              <w:jc w:val="left"/>
              <w:rPr>
                <w:sz w:val="20"/>
                <w:szCs w:val="20"/>
              </w:rPr>
            </w:pPr>
            <w:r w:rsidRPr="004C78D8">
              <w:rPr>
                <w:sz w:val="20"/>
                <w:szCs w:val="20"/>
              </w:rPr>
              <w:t>-0.0005</w:t>
            </w:r>
          </w:p>
        </w:tc>
      </w:tr>
      <w:tr w:rsidR="00527939" w:rsidRPr="004C78D8" w14:paraId="73D46D42" w14:textId="77777777" w:rsidTr="00801973">
        <w:tc>
          <w:tcPr>
            <w:tcW w:w="1723" w:type="pct"/>
            <w:tcBorders>
              <w:bottom w:val="nil"/>
            </w:tcBorders>
          </w:tcPr>
          <w:p w14:paraId="3F949114" w14:textId="3E49B7A0" w:rsidR="00527939" w:rsidRPr="004C78D8" w:rsidRDefault="00527939" w:rsidP="00FB7C1F">
            <w:pPr>
              <w:jc w:val="left"/>
              <w:rPr>
                <w:sz w:val="20"/>
                <w:szCs w:val="20"/>
              </w:rPr>
            </w:pPr>
            <w:r w:rsidRPr="004C78D8">
              <w:rPr>
                <w:sz w:val="20"/>
                <w:szCs w:val="20"/>
              </w:rPr>
              <w:t>(2) Atkinson EDE INHB (</w:t>
            </w:r>
            <w:r w:rsidRPr="004C78D8">
              <w:rPr>
                <w:rFonts w:cs="Times New Roman"/>
                <w:sz w:val="20"/>
                <w:szCs w:val="20"/>
              </w:rPr>
              <w:t>ε</w:t>
            </w:r>
            <w:r w:rsidRPr="004C78D8">
              <w:rPr>
                <w:sz w:val="20"/>
                <w:szCs w:val="20"/>
              </w:rPr>
              <w:t>=30)</w:t>
            </w:r>
          </w:p>
        </w:tc>
        <w:tc>
          <w:tcPr>
            <w:tcW w:w="1041" w:type="pct"/>
            <w:tcBorders>
              <w:bottom w:val="nil"/>
            </w:tcBorders>
          </w:tcPr>
          <w:p w14:paraId="418E844E" w14:textId="2E2F55A5" w:rsidR="00527939" w:rsidRPr="004C78D8" w:rsidRDefault="00527939" w:rsidP="00FB7C1F">
            <w:pPr>
              <w:jc w:val="left"/>
              <w:rPr>
                <w:sz w:val="20"/>
                <w:szCs w:val="20"/>
              </w:rPr>
            </w:pPr>
            <w:r w:rsidRPr="004C78D8">
              <w:rPr>
                <w:sz w:val="20"/>
                <w:szCs w:val="20"/>
              </w:rPr>
              <w:t>0.0004</w:t>
            </w:r>
          </w:p>
        </w:tc>
        <w:tc>
          <w:tcPr>
            <w:tcW w:w="1120" w:type="pct"/>
            <w:tcBorders>
              <w:bottom w:val="nil"/>
            </w:tcBorders>
          </w:tcPr>
          <w:p w14:paraId="13768E96" w14:textId="380E6243" w:rsidR="00527939" w:rsidRPr="004C78D8" w:rsidRDefault="00527939" w:rsidP="00FB7C1F">
            <w:pPr>
              <w:jc w:val="left"/>
              <w:rPr>
                <w:sz w:val="20"/>
                <w:szCs w:val="20"/>
              </w:rPr>
            </w:pPr>
            <w:r w:rsidRPr="004C78D8">
              <w:rPr>
                <w:sz w:val="20"/>
                <w:szCs w:val="20"/>
              </w:rPr>
              <w:t>0.0026</w:t>
            </w:r>
          </w:p>
        </w:tc>
        <w:tc>
          <w:tcPr>
            <w:tcW w:w="1116" w:type="pct"/>
            <w:tcBorders>
              <w:bottom w:val="nil"/>
            </w:tcBorders>
          </w:tcPr>
          <w:p w14:paraId="4648D9B2" w14:textId="339AFD01" w:rsidR="00527939" w:rsidRPr="004C78D8" w:rsidRDefault="00527939" w:rsidP="00FB7C1F">
            <w:pPr>
              <w:jc w:val="left"/>
              <w:rPr>
                <w:sz w:val="20"/>
                <w:szCs w:val="20"/>
              </w:rPr>
            </w:pPr>
            <w:r w:rsidRPr="004C78D8">
              <w:rPr>
                <w:sz w:val="20"/>
                <w:szCs w:val="20"/>
              </w:rPr>
              <w:t>-0.0015</w:t>
            </w:r>
          </w:p>
        </w:tc>
      </w:tr>
      <w:tr w:rsidR="00527939" w:rsidRPr="004C78D8" w14:paraId="08D36834" w14:textId="77777777" w:rsidTr="00801973">
        <w:tc>
          <w:tcPr>
            <w:tcW w:w="1723" w:type="pct"/>
            <w:tcBorders>
              <w:top w:val="nil"/>
              <w:bottom w:val="single" w:sz="4" w:space="0" w:color="auto"/>
            </w:tcBorders>
          </w:tcPr>
          <w:p w14:paraId="377076E3" w14:textId="4D10DDB1" w:rsidR="00527939" w:rsidRPr="004C78D8" w:rsidRDefault="00527939" w:rsidP="00FB7C1F">
            <w:pPr>
              <w:jc w:val="right"/>
              <w:rPr>
                <w:i/>
                <w:iCs/>
                <w:sz w:val="20"/>
                <w:szCs w:val="20"/>
              </w:rPr>
            </w:pPr>
            <w:r w:rsidRPr="004C78D8">
              <w:rPr>
                <w:i/>
                <w:iCs/>
                <w:sz w:val="20"/>
                <w:szCs w:val="20"/>
              </w:rPr>
              <w:t>Proportion of (2) relative to (1)</w:t>
            </w:r>
          </w:p>
        </w:tc>
        <w:tc>
          <w:tcPr>
            <w:tcW w:w="1041" w:type="pct"/>
            <w:tcBorders>
              <w:top w:val="nil"/>
              <w:bottom w:val="single" w:sz="4" w:space="0" w:color="auto"/>
            </w:tcBorders>
          </w:tcPr>
          <w:p w14:paraId="708DAA52" w14:textId="5C01B3D8" w:rsidR="00527939" w:rsidRPr="004C78D8" w:rsidRDefault="00527939" w:rsidP="00FB7C1F">
            <w:pPr>
              <w:jc w:val="left"/>
              <w:rPr>
                <w:i/>
                <w:iCs/>
                <w:sz w:val="20"/>
                <w:szCs w:val="20"/>
              </w:rPr>
            </w:pPr>
            <w:r w:rsidRPr="004C78D8">
              <w:rPr>
                <w:i/>
                <w:iCs/>
                <w:sz w:val="20"/>
                <w:szCs w:val="20"/>
              </w:rPr>
              <w:t>0.4623</w:t>
            </w:r>
          </w:p>
        </w:tc>
        <w:tc>
          <w:tcPr>
            <w:tcW w:w="1120" w:type="pct"/>
            <w:tcBorders>
              <w:top w:val="nil"/>
              <w:bottom w:val="single" w:sz="4" w:space="0" w:color="auto"/>
            </w:tcBorders>
          </w:tcPr>
          <w:p w14:paraId="05CBED0D" w14:textId="2600F867" w:rsidR="00527939" w:rsidRPr="004C78D8" w:rsidRDefault="00527939" w:rsidP="00FB7C1F">
            <w:pPr>
              <w:jc w:val="left"/>
              <w:rPr>
                <w:i/>
                <w:iCs/>
                <w:sz w:val="20"/>
                <w:szCs w:val="20"/>
              </w:rPr>
            </w:pPr>
            <w:r w:rsidRPr="004C78D8">
              <w:rPr>
                <w:i/>
                <w:iCs/>
                <w:sz w:val="20"/>
                <w:szCs w:val="20"/>
              </w:rPr>
              <w:t>1.4884</w:t>
            </w:r>
          </w:p>
        </w:tc>
        <w:tc>
          <w:tcPr>
            <w:tcW w:w="1116" w:type="pct"/>
            <w:tcBorders>
              <w:top w:val="nil"/>
              <w:bottom w:val="single" w:sz="4" w:space="0" w:color="auto"/>
            </w:tcBorders>
          </w:tcPr>
          <w:p w14:paraId="7B51B681" w14:textId="224E8913" w:rsidR="00527939" w:rsidRPr="004C78D8" w:rsidRDefault="00527939" w:rsidP="00FB7C1F">
            <w:pPr>
              <w:jc w:val="left"/>
              <w:rPr>
                <w:i/>
                <w:iCs/>
                <w:sz w:val="20"/>
                <w:szCs w:val="20"/>
              </w:rPr>
            </w:pPr>
            <w:r w:rsidRPr="004C78D8">
              <w:rPr>
                <w:i/>
                <w:iCs/>
                <w:sz w:val="20"/>
                <w:szCs w:val="20"/>
              </w:rPr>
              <w:t>2.8916</w:t>
            </w:r>
          </w:p>
        </w:tc>
      </w:tr>
      <w:tr w:rsidR="00527939" w:rsidRPr="004C78D8" w14:paraId="6381C10C" w14:textId="77777777" w:rsidTr="00801973">
        <w:tc>
          <w:tcPr>
            <w:tcW w:w="1723" w:type="pct"/>
            <w:tcBorders>
              <w:bottom w:val="nil"/>
            </w:tcBorders>
          </w:tcPr>
          <w:p w14:paraId="315157C0" w14:textId="2C7BF3EB" w:rsidR="00527939" w:rsidRPr="004C78D8" w:rsidRDefault="00527939" w:rsidP="00FB7C1F">
            <w:pPr>
              <w:jc w:val="left"/>
              <w:rPr>
                <w:sz w:val="20"/>
                <w:szCs w:val="20"/>
              </w:rPr>
            </w:pPr>
            <w:r w:rsidRPr="004C78D8">
              <w:rPr>
                <w:sz w:val="20"/>
                <w:szCs w:val="20"/>
              </w:rPr>
              <w:t>(3) Kolm EDE INHB (</w:t>
            </w:r>
            <w:r w:rsidRPr="004C78D8">
              <w:rPr>
                <w:rFonts w:cs="Times New Roman"/>
                <w:sz w:val="20"/>
                <w:szCs w:val="20"/>
              </w:rPr>
              <w:t>α</w:t>
            </w:r>
            <w:r w:rsidRPr="004C78D8">
              <w:rPr>
                <w:sz w:val="20"/>
                <w:szCs w:val="20"/>
              </w:rPr>
              <w:t>=0.5)</w:t>
            </w:r>
          </w:p>
        </w:tc>
        <w:tc>
          <w:tcPr>
            <w:tcW w:w="1041" w:type="pct"/>
            <w:tcBorders>
              <w:bottom w:val="nil"/>
            </w:tcBorders>
          </w:tcPr>
          <w:p w14:paraId="18A037D2" w14:textId="0288812C" w:rsidR="00527939" w:rsidRPr="004C78D8" w:rsidRDefault="00527939" w:rsidP="00FB7C1F">
            <w:pPr>
              <w:jc w:val="left"/>
              <w:rPr>
                <w:sz w:val="20"/>
                <w:szCs w:val="20"/>
              </w:rPr>
            </w:pPr>
            <w:r w:rsidRPr="004C78D8">
              <w:rPr>
                <w:sz w:val="20"/>
                <w:szCs w:val="20"/>
              </w:rPr>
              <w:t>0.0007</w:t>
            </w:r>
          </w:p>
        </w:tc>
        <w:tc>
          <w:tcPr>
            <w:tcW w:w="1120" w:type="pct"/>
            <w:tcBorders>
              <w:bottom w:val="nil"/>
            </w:tcBorders>
          </w:tcPr>
          <w:p w14:paraId="558A2950" w14:textId="05F9FD31" w:rsidR="00527939" w:rsidRPr="004C78D8" w:rsidRDefault="00527939" w:rsidP="00FB7C1F">
            <w:pPr>
              <w:jc w:val="left"/>
              <w:rPr>
                <w:sz w:val="20"/>
                <w:szCs w:val="20"/>
              </w:rPr>
            </w:pPr>
            <w:r w:rsidRPr="004C78D8">
              <w:rPr>
                <w:sz w:val="20"/>
                <w:szCs w:val="20"/>
              </w:rPr>
              <w:t>0.0018</w:t>
            </w:r>
          </w:p>
        </w:tc>
        <w:tc>
          <w:tcPr>
            <w:tcW w:w="1116" w:type="pct"/>
            <w:tcBorders>
              <w:bottom w:val="nil"/>
            </w:tcBorders>
          </w:tcPr>
          <w:p w14:paraId="305FBA7B" w14:textId="0B9AD715" w:rsidR="00527939" w:rsidRPr="004C78D8" w:rsidRDefault="00527939" w:rsidP="00FB7C1F">
            <w:pPr>
              <w:jc w:val="left"/>
              <w:rPr>
                <w:sz w:val="20"/>
                <w:szCs w:val="20"/>
              </w:rPr>
            </w:pPr>
            <w:r w:rsidRPr="004C78D8">
              <w:rPr>
                <w:sz w:val="20"/>
                <w:szCs w:val="20"/>
              </w:rPr>
              <w:t>-0.0007</w:t>
            </w:r>
          </w:p>
        </w:tc>
      </w:tr>
      <w:tr w:rsidR="00527939" w:rsidRPr="004C78D8" w14:paraId="3E50CEDF" w14:textId="77777777" w:rsidTr="00801973">
        <w:tc>
          <w:tcPr>
            <w:tcW w:w="1723" w:type="pct"/>
            <w:tcBorders>
              <w:top w:val="nil"/>
            </w:tcBorders>
          </w:tcPr>
          <w:p w14:paraId="03D7C454" w14:textId="5A3A27C1" w:rsidR="00527939" w:rsidRPr="004C78D8" w:rsidRDefault="00527939" w:rsidP="00FB7C1F">
            <w:pPr>
              <w:jc w:val="right"/>
              <w:rPr>
                <w:i/>
                <w:iCs/>
                <w:sz w:val="20"/>
                <w:szCs w:val="20"/>
              </w:rPr>
            </w:pPr>
            <w:r w:rsidRPr="004C78D8">
              <w:rPr>
                <w:i/>
                <w:iCs/>
                <w:sz w:val="20"/>
                <w:szCs w:val="20"/>
              </w:rPr>
              <w:t>Proportion of (3) relative to (1)</w:t>
            </w:r>
          </w:p>
        </w:tc>
        <w:tc>
          <w:tcPr>
            <w:tcW w:w="1041" w:type="pct"/>
            <w:tcBorders>
              <w:top w:val="nil"/>
            </w:tcBorders>
          </w:tcPr>
          <w:p w14:paraId="07936B43" w14:textId="591AF9BF" w:rsidR="00527939" w:rsidRPr="004C78D8" w:rsidRDefault="00527939" w:rsidP="00FB7C1F">
            <w:pPr>
              <w:jc w:val="left"/>
              <w:rPr>
                <w:i/>
                <w:iCs/>
                <w:sz w:val="20"/>
                <w:szCs w:val="20"/>
              </w:rPr>
            </w:pPr>
            <w:r w:rsidRPr="004C78D8">
              <w:rPr>
                <w:i/>
                <w:iCs/>
                <w:sz w:val="20"/>
                <w:szCs w:val="20"/>
              </w:rPr>
              <w:t>0.9201</w:t>
            </w:r>
          </w:p>
        </w:tc>
        <w:tc>
          <w:tcPr>
            <w:tcW w:w="1120" w:type="pct"/>
            <w:tcBorders>
              <w:top w:val="nil"/>
            </w:tcBorders>
          </w:tcPr>
          <w:p w14:paraId="3D86AB47" w14:textId="3BB4E6CC" w:rsidR="00527939" w:rsidRPr="004C78D8" w:rsidRDefault="00527939" w:rsidP="00FB7C1F">
            <w:pPr>
              <w:jc w:val="left"/>
              <w:rPr>
                <w:i/>
                <w:iCs/>
                <w:sz w:val="20"/>
                <w:szCs w:val="20"/>
              </w:rPr>
            </w:pPr>
            <w:r w:rsidRPr="004C78D8">
              <w:rPr>
                <w:i/>
                <w:iCs/>
                <w:sz w:val="20"/>
                <w:szCs w:val="20"/>
              </w:rPr>
              <w:t>1.0383</w:t>
            </w:r>
          </w:p>
        </w:tc>
        <w:tc>
          <w:tcPr>
            <w:tcW w:w="1116" w:type="pct"/>
            <w:tcBorders>
              <w:top w:val="nil"/>
            </w:tcBorders>
          </w:tcPr>
          <w:p w14:paraId="726596A3" w14:textId="15086433" w:rsidR="00527939" w:rsidRPr="004C78D8" w:rsidRDefault="00527939" w:rsidP="00FB7C1F">
            <w:pPr>
              <w:jc w:val="left"/>
              <w:rPr>
                <w:i/>
                <w:iCs/>
                <w:sz w:val="20"/>
                <w:szCs w:val="20"/>
              </w:rPr>
            </w:pPr>
            <w:r w:rsidRPr="004C78D8">
              <w:rPr>
                <w:i/>
                <w:iCs/>
                <w:sz w:val="20"/>
                <w:szCs w:val="20"/>
              </w:rPr>
              <w:t>1.3944</w:t>
            </w:r>
          </w:p>
        </w:tc>
      </w:tr>
      <w:tr w:rsidR="00C75CE4" w:rsidRPr="004C78D8" w14:paraId="6334A6DF" w14:textId="77777777" w:rsidTr="00801973">
        <w:tc>
          <w:tcPr>
            <w:tcW w:w="5000" w:type="pct"/>
            <w:gridSpan w:val="4"/>
          </w:tcPr>
          <w:p w14:paraId="257C58AE" w14:textId="38A4E1CC" w:rsidR="00527939" w:rsidRPr="004C78D8" w:rsidRDefault="00527939" w:rsidP="00FB7C1F">
            <w:pPr>
              <w:rPr>
                <w:sz w:val="18"/>
                <w:szCs w:val="18"/>
              </w:rPr>
            </w:pPr>
            <w:r w:rsidRPr="004C78D8">
              <w:rPr>
                <w:b/>
                <w:bCs/>
                <w:sz w:val="18"/>
                <w:szCs w:val="18"/>
              </w:rPr>
              <w:t>Abbreviation:</w:t>
            </w:r>
            <w:r w:rsidRPr="004C78D8">
              <w:rPr>
                <w:sz w:val="18"/>
                <w:szCs w:val="18"/>
              </w:rPr>
              <w:t xml:space="preserve"> CRC(4): constrained recommended care scenario (4); EDE: equally distributed equivalent; FRS: falls risk screening; INHB: incremental net health benefit; QALY: quality-adjusted life year; SES: socioeconomic status.</w:t>
            </w:r>
          </w:p>
          <w:p w14:paraId="2E62D34B" w14:textId="7CC5C9DD" w:rsidR="00527939" w:rsidRPr="004C78D8" w:rsidRDefault="00527939" w:rsidP="00FB7C1F">
            <w:pPr>
              <w:rPr>
                <w:sz w:val="18"/>
                <w:szCs w:val="18"/>
              </w:rPr>
            </w:pPr>
            <w:r w:rsidRPr="004C78D8">
              <w:rPr>
                <w:sz w:val="18"/>
                <w:szCs w:val="18"/>
                <w:vertAlign w:val="superscript"/>
              </w:rPr>
              <w:t>1</w:t>
            </w:r>
            <w:r w:rsidRPr="004C78D8">
              <w:rPr>
                <w:sz w:val="18"/>
                <w:szCs w:val="18"/>
              </w:rPr>
              <w:t xml:space="preserve"> The societal NHB incorporates QALY gain and QALY-equivalent net societal gain minus public sector opportunity costs (translated to QALY-equivalent using cost-effectiveness threshold of £30,000 per QALY gain</w:t>
            </w:r>
            <w:r w:rsidR="00A64995" w:rsidRPr="004C78D8">
              <w:rPr>
                <w:sz w:val="18"/>
                <w:szCs w:val="18"/>
              </w:rPr>
              <w:t>ed</w:t>
            </w:r>
            <w:r w:rsidRPr="004C78D8">
              <w:rPr>
                <w:sz w:val="18"/>
                <w:szCs w:val="18"/>
              </w:rPr>
              <w:t>) for each SES quartile.</w:t>
            </w:r>
          </w:p>
          <w:p w14:paraId="46D7E338" w14:textId="5BCB1711" w:rsidR="00827F6C" w:rsidRPr="004C78D8" w:rsidRDefault="00527939" w:rsidP="00FB7C1F">
            <w:pPr>
              <w:rPr>
                <w:sz w:val="18"/>
                <w:szCs w:val="18"/>
              </w:rPr>
            </w:pPr>
            <w:r w:rsidRPr="004C78D8">
              <w:rPr>
                <w:sz w:val="18"/>
                <w:szCs w:val="18"/>
                <w:vertAlign w:val="superscript"/>
              </w:rPr>
              <w:t>2</w:t>
            </w:r>
            <w:r w:rsidRPr="004C78D8">
              <w:rPr>
                <w:sz w:val="18"/>
                <w:szCs w:val="18"/>
              </w:rPr>
              <w:t xml:space="preserve"> This is the EDE INHB when Atkinson </w:t>
            </w:r>
            <w:r w:rsidRPr="004C78D8">
              <w:rPr>
                <w:rFonts w:cs="Times New Roman"/>
                <w:sz w:val="18"/>
                <w:szCs w:val="18"/>
              </w:rPr>
              <w:t>ε</w:t>
            </w:r>
            <w:r w:rsidRPr="004C78D8">
              <w:rPr>
                <w:sz w:val="18"/>
                <w:szCs w:val="18"/>
              </w:rPr>
              <w:t xml:space="preserve">=0 </w:t>
            </w:r>
            <w:r w:rsidRPr="004C78D8">
              <w:rPr>
                <w:sz w:val="18"/>
                <w:szCs w:val="18"/>
              </w:rPr>
              <w:fldChar w:fldCharType="begin"/>
            </w:r>
            <w:r w:rsidR="00513646" w:rsidRPr="004C78D8">
              <w:rPr>
                <w:sz w:val="18"/>
                <w:szCs w:val="18"/>
              </w:rPr>
              <w:instrText xml:space="preserve"> ADDIN EN.CITE &lt;EndNote&gt;&lt;Cite&gt;&lt;Author&gt;Asaria&lt;/Author&gt;&lt;Year&gt;2016&lt;/Year&gt;&lt;RecNum&gt;361&lt;/RecNum&gt;&lt;DisplayText&gt;[109]&lt;/DisplayText&gt;&lt;record&gt;&lt;rec-number&gt;361&lt;/rec-number&gt;&lt;foreign-keys&gt;&lt;key app="EN" db-id="tdtrdw9aepptzbefsat599syza29sxsd2wsp" timestamp="1612265402"&gt;361&lt;/key&gt;&lt;/foreign-keys&gt;&lt;ref-type name="Journal Article"&gt;17&lt;/ref-type&gt;&lt;contributors&gt;&lt;authors&gt;&lt;author&gt;Asaria, Miqdad&lt;/author&gt;&lt;author&gt;Griffin, Susan&lt;/author&gt;&lt;author&gt;Cookson, Richard&lt;/author&gt;&lt;/authors&gt;&lt;/contributors&gt;&lt;titles&gt;&lt;title&gt;Distributional Cost-Effectiveness Analysis: A Tutorial&lt;/title&gt;&lt;secondary-title&gt;Medical decision making&lt;/secondary-title&gt;&lt;/titles&gt;&lt;periodical&gt;&lt;full-title&gt;Medical Decision Making&lt;/full-title&gt;&lt;/periodical&gt;&lt;pages&gt;8-19&lt;/pages&gt;&lt;volume&gt;36&lt;/volume&gt;&lt;number&gt;1&lt;/number&gt;&lt;keywords&gt;&lt;keyword&gt;cost-effectiveness analysis&lt;/keyword&gt;&lt;keyword&gt;economic evaluation&lt;/keyword&gt;&lt;keyword&gt;efficiency&lt;/keyword&gt;&lt;keyword&gt;equality&lt;/keyword&gt;&lt;keyword&gt;equity&lt;/keyword&gt;&lt;keyword&gt;fairness&lt;/keyword&gt;&lt;keyword&gt;health distribution&lt;/keyword&gt;&lt;keyword&gt;health inequality&lt;/keyword&gt;&lt;keyword&gt;inequality measures&lt;/keyword&gt;&lt;keyword&gt;opportunity cost&lt;/keyword&gt;&lt;keyword&gt;social value judgments&lt;/keyword&gt;&lt;keyword&gt;social welfare functions&lt;/keyword&gt;&lt;keyword&gt;tradeoff&lt;/keyword&gt;&lt;/keywords&gt;&lt;dates&gt;&lt;year&gt;2016&lt;/year&gt;&lt;pub-dates&gt;&lt;date&gt;1/1&lt;/date&gt;&lt;/pub-dates&gt;&lt;/dates&gt;&lt;isbn&gt;0272-989X&lt;/isbn&gt;&lt;work-type&gt;Article&lt;/work-type&gt;&lt;urls&gt;&lt;related-urls&gt;&lt;url&gt;http://www.scopus.com/inward/record.url?scp=84950117843&amp;amp;partnerID=8YFLogxK&lt;/url&gt;&lt;/related-urls&gt;&lt;/urls&gt;&lt;electronic-resource-num&gt;10.1177/0272989X15583266&lt;/electronic-resource-num&gt;&lt;/record&gt;&lt;/Cite&gt;&lt;/EndNote&gt;</w:instrText>
            </w:r>
            <w:r w:rsidRPr="004C78D8">
              <w:rPr>
                <w:sz w:val="18"/>
                <w:szCs w:val="18"/>
              </w:rPr>
              <w:fldChar w:fldCharType="separate"/>
            </w:r>
            <w:r w:rsidR="00513646" w:rsidRPr="004C78D8">
              <w:rPr>
                <w:noProof/>
                <w:sz w:val="18"/>
                <w:szCs w:val="18"/>
              </w:rPr>
              <w:t>[109]</w:t>
            </w:r>
            <w:r w:rsidRPr="004C78D8">
              <w:rPr>
                <w:sz w:val="18"/>
                <w:szCs w:val="18"/>
              </w:rPr>
              <w:fldChar w:fldCharType="end"/>
            </w:r>
            <w:r w:rsidRPr="004C78D8">
              <w:rPr>
                <w:sz w:val="18"/>
                <w:szCs w:val="18"/>
              </w:rPr>
              <w:t>.</w:t>
            </w:r>
          </w:p>
        </w:tc>
      </w:tr>
    </w:tbl>
    <w:p w14:paraId="550040D1" w14:textId="77777777" w:rsidR="00C75CE4" w:rsidRPr="004C78D8" w:rsidRDefault="00C75CE4" w:rsidP="00FB7C1F"/>
    <w:p w14:paraId="1639C10B" w14:textId="33CC5B72" w:rsidR="003201FE" w:rsidRPr="004C78D8" w:rsidRDefault="002955E2" w:rsidP="00FB7C1F">
      <w:pPr>
        <w:pStyle w:val="Heading4"/>
      </w:pPr>
      <w:r w:rsidRPr="004C78D8">
        <w:t>6</w:t>
      </w:r>
      <w:r w:rsidR="003201FE" w:rsidRPr="004C78D8">
        <w:t>.</w:t>
      </w:r>
      <w:r w:rsidR="002055BD" w:rsidRPr="004C78D8">
        <w:t>3</w:t>
      </w:r>
      <w:r w:rsidR="003201FE" w:rsidRPr="004C78D8">
        <w:t>.</w:t>
      </w:r>
      <w:r w:rsidRPr="004C78D8">
        <w:t>1</w:t>
      </w:r>
      <w:r w:rsidR="003201FE" w:rsidRPr="004C78D8">
        <w:t>.</w:t>
      </w:r>
      <w:r w:rsidR="002055BD" w:rsidRPr="004C78D8">
        <w:t>4</w:t>
      </w:r>
      <w:r w:rsidR="003201FE" w:rsidRPr="004C78D8">
        <w:t xml:space="preserve"> Double jeopardy problem </w:t>
      </w:r>
    </w:p>
    <w:p w14:paraId="703D14BE" w14:textId="7A0088D4" w:rsidR="00144551" w:rsidRPr="004C78D8" w:rsidRDefault="007041E4" w:rsidP="00FB7C1F">
      <w:r w:rsidRPr="004C78D8">
        <w:t>This section explores the impact of</w:t>
      </w:r>
      <w:r w:rsidR="00C075DB" w:rsidRPr="004C78D8">
        <w:t>: (I)</w:t>
      </w:r>
      <w:r w:rsidRPr="004C78D8">
        <w:t xml:space="preserve"> </w:t>
      </w:r>
      <w:r w:rsidR="0072035C" w:rsidRPr="004C78D8">
        <w:t xml:space="preserve">the </w:t>
      </w:r>
      <w:r w:rsidRPr="004C78D8">
        <w:t xml:space="preserve">double jeopardy </w:t>
      </w:r>
      <w:r w:rsidR="00BC5D2B" w:rsidRPr="004C78D8">
        <w:t xml:space="preserve">(DJ) </w:t>
      </w:r>
      <w:r w:rsidR="00C075DB" w:rsidRPr="004C78D8">
        <w:t>problem</w:t>
      </w:r>
      <w:r w:rsidRPr="004C78D8">
        <w:t xml:space="preserve"> where societal intervention costs reduce the intervention demands of those in the 3</w:t>
      </w:r>
      <w:r w:rsidRPr="004C78D8">
        <w:rPr>
          <w:vertAlign w:val="superscript"/>
        </w:rPr>
        <w:t>rd</w:t>
      </w:r>
      <w:r w:rsidRPr="004C78D8">
        <w:t xml:space="preserve"> and 4</w:t>
      </w:r>
      <w:r w:rsidRPr="004C78D8">
        <w:rPr>
          <w:vertAlign w:val="superscript"/>
        </w:rPr>
        <w:t>th</w:t>
      </w:r>
      <w:r w:rsidRPr="004C78D8">
        <w:t xml:space="preserve"> SES quartiles</w:t>
      </w:r>
      <w:r w:rsidR="00C075DB" w:rsidRPr="004C78D8">
        <w:t xml:space="preserve"> by 50%; and (II) </w:t>
      </w:r>
      <w:r w:rsidR="0072035C" w:rsidRPr="004C78D8">
        <w:t xml:space="preserve">a </w:t>
      </w:r>
      <w:r w:rsidR="00C075DB" w:rsidRPr="004C78D8">
        <w:t xml:space="preserve">policy </w:t>
      </w:r>
      <w:r w:rsidRPr="004C78D8">
        <w:t xml:space="preserve">where </w:t>
      </w:r>
      <w:r w:rsidR="00850930" w:rsidRPr="004C78D8">
        <w:t>the demands are restored after the societal intervention costs</w:t>
      </w:r>
      <w:r w:rsidR="00E50B4B" w:rsidRPr="004C78D8">
        <w:t xml:space="preserve"> for the 3</w:t>
      </w:r>
      <w:r w:rsidR="00E50B4B" w:rsidRPr="004C78D8">
        <w:rPr>
          <w:vertAlign w:val="superscript"/>
        </w:rPr>
        <w:t>rd</w:t>
      </w:r>
      <w:r w:rsidR="00E50B4B" w:rsidRPr="004C78D8">
        <w:t xml:space="preserve"> and 4</w:t>
      </w:r>
      <w:r w:rsidR="00E50B4B" w:rsidRPr="004C78D8">
        <w:rPr>
          <w:vertAlign w:val="superscript"/>
        </w:rPr>
        <w:t>th</w:t>
      </w:r>
      <w:r w:rsidR="00E50B4B" w:rsidRPr="004C78D8">
        <w:t xml:space="preserve"> SES quartiles are covered by the public sector</w:t>
      </w:r>
      <w:r w:rsidR="00717B74" w:rsidRPr="004C78D8">
        <w:t>, with the opportunity cost of this coverage falling on the 1</w:t>
      </w:r>
      <w:r w:rsidR="00717B74" w:rsidRPr="004C78D8">
        <w:rPr>
          <w:vertAlign w:val="superscript"/>
        </w:rPr>
        <w:t>st</w:t>
      </w:r>
      <w:r w:rsidR="00717B74" w:rsidRPr="004C78D8">
        <w:t xml:space="preserve"> and 2</w:t>
      </w:r>
      <w:r w:rsidR="00717B74" w:rsidRPr="004C78D8">
        <w:rPr>
          <w:vertAlign w:val="superscript"/>
        </w:rPr>
        <w:t>nd</w:t>
      </w:r>
      <w:r w:rsidR="00717B74" w:rsidRPr="004C78D8">
        <w:t xml:space="preserve"> SES quartiles (e.g., coverage via funds originally earmarked for </w:t>
      </w:r>
      <w:r w:rsidR="0083148F" w:rsidRPr="004C78D8">
        <w:t>more prosperous areas of Sheffield)</w:t>
      </w:r>
      <w:r w:rsidR="00850930" w:rsidRPr="004C78D8">
        <w:t xml:space="preserve">. </w:t>
      </w:r>
      <w:r w:rsidR="00A95D3B" w:rsidRPr="004C78D8">
        <w:t xml:space="preserve">Both scenarios were implemented on CRC scenario (4). Table </w:t>
      </w:r>
      <w:r w:rsidR="00800D4B" w:rsidRPr="004C78D8">
        <w:t>6</w:t>
      </w:r>
      <w:r w:rsidR="00A95D3B" w:rsidRPr="004C78D8">
        <w:t>.</w:t>
      </w:r>
      <w:r w:rsidR="00800D4B" w:rsidRPr="004C78D8">
        <w:t>15</w:t>
      </w:r>
      <w:r w:rsidR="00A95D3B" w:rsidRPr="004C78D8">
        <w:t xml:space="preserve"> first evaluates these two scenarios relative to UC and then relative to each other</w:t>
      </w:r>
      <w:r w:rsidR="00AF3848" w:rsidRPr="004C78D8">
        <w:t xml:space="preserve">; the intervention use </w:t>
      </w:r>
      <w:r w:rsidR="00D926E9" w:rsidRPr="004C78D8">
        <w:t>figures for the two scenarios are also shown.</w:t>
      </w:r>
    </w:p>
    <w:tbl>
      <w:tblPr>
        <w:tblStyle w:val="TableGrid"/>
        <w:tblW w:w="5000" w:type="pct"/>
        <w:tblLook w:val="04A0" w:firstRow="1" w:lastRow="0" w:firstColumn="1" w:lastColumn="0" w:noHBand="0" w:noVBand="1"/>
      </w:tblPr>
      <w:tblGrid>
        <w:gridCol w:w="2676"/>
        <w:gridCol w:w="2122"/>
        <w:gridCol w:w="2090"/>
        <w:gridCol w:w="2128"/>
      </w:tblGrid>
      <w:tr w:rsidR="00B001D4" w:rsidRPr="004C78D8" w14:paraId="4150DC46" w14:textId="77777777" w:rsidTr="00801973">
        <w:tc>
          <w:tcPr>
            <w:tcW w:w="5000" w:type="pct"/>
            <w:gridSpan w:val="4"/>
          </w:tcPr>
          <w:p w14:paraId="4874BBAE" w14:textId="35876FA6" w:rsidR="00B001D4" w:rsidRPr="004C78D8" w:rsidRDefault="00B001D4" w:rsidP="00FB7C1F">
            <w:r w:rsidRPr="004C78D8">
              <w:rPr>
                <w:b/>
                <w:bCs/>
              </w:rPr>
              <w:t xml:space="preserve">Table </w:t>
            </w:r>
            <w:r w:rsidR="00800D4B" w:rsidRPr="004C78D8">
              <w:rPr>
                <w:b/>
                <w:bCs/>
              </w:rPr>
              <w:t>6</w:t>
            </w:r>
            <w:r w:rsidRPr="004C78D8">
              <w:rPr>
                <w:b/>
                <w:bCs/>
              </w:rPr>
              <w:t>.</w:t>
            </w:r>
            <w:r w:rsidR="00800D4B" w:rsidRPr="004C78D8">
              <w:rPr>
                <w:b/>
                <w:bCs/>
              </w:rPr>
              <w:t>15</w:t>
            </w:r>
            <w:r w:rsidRPr="004C78D8">
              <w:t xml:space="preserve"> Impact</w:t>
            </w:r>
            <w:r w:rsidR="00983EF0" w:rsidRPr="004C78D8">
              <w:t>s</w:t>
            </w:r>
            <w:r w:rsidRPr="004C78D8">
              <w:t xml:space="preserve"> of </w:t>
            </w:r>
            <w:r w:rsidR="00983EF0" w:rsidRPr="004C78D8">
              <w:t xml:space="preserve">(I) </w:t>
            </w:r>
            <w:r w:rsidRPr="004C78D8">
              <w:t>double jeopardy reducing intervention demands of 3</w:t>
            </w:r>
            <w:r w:rsidRPr="004C78D8">
              <w:rPr>
                <w:vertAlign w:val="superscript"/>
              </w:rPr>
              <w:t>rd</w:t>
            </w:r>
            <w:r w:rsidRPr="004C78D8">
              <w:t xml:space="preserve"> and 4</w:t>
            </w:r>
            <w:r w:rsidRPr="004C78D8">
              <w:rPr>
                <w:vertAlign w:val="superscript"/>
              </w:rPr>
              <w:t>th</w:t>
            </w:r>
            <w:r w:rsidRPr="004C78D8">
              <w:t xml:space="preserve"> SES quartile individuals </w:t>
            </w:r>
            <w:r w:rsidR="00983EF0" w:rsidRPr="004C78D8">
              <w:t xml:space="preserve">and (II) public sector coverage of societal intervention costs </w:t>
            </w:r>
            <w:r w:rsidRPr="004C78D8">
              <w:t>under 40-year societal cost-utility analysis.</w:t>
            </w:r>
          </w:p>
        </w:tc>
      </w:tr>
      <w:tr w:rsidR="00B001D4" w:rsidRPr="004C78D8" w14:paraId="6DDA01C2" w14:textId="77777777" w:rsidTr="00801973">
        <w:trPr>
          <w:trHeight w:val="240"/>
        </w:trPr>
        <w:tc>
          <w:tcPr>
            <w:tcW w:w="1484" w:type="pct"/>
            <w:vAlign w:val="bottom"/>
          </w:tcPr>
          <w:p w14:paraId="561F5001" w14:textId="77777777" w:rsidR="00B001D4" w:rsidRPr="004C78D8" w:rsidRDefault="00B001D4" w:rsidP="00FB7C1F">
            <w:pPr>
              <w:jc w:val="left"/>
              <w:rPr>
                <w:sz w:val="20"/>
                <w:szCs w:val="20"/>
              </w:rPr>
            </w:pPr>
            <w:r w:rsidRPr="004C78D8">
              <w:rPr>
                <w:sz w:val="20"/>
                <w:szCs w:val="20"/>
              </w:rPr>
              <w:t>N=385,192</w:t>
            </w:r>
          </w:p>
        </w:tc>
        <w:tc>
          <w:tcPr>
            <w:tcW w:w="1177" w:type="pct"/>
            <w:tcBorders>
              <w:bottom w:val="single" w:sz="4" w:space="0" w:color="auto"/>
            </w:tcBorders>
          </w:tcPr>
          <w:p w14:paraId="0A4D29C2" w14:textId="0BCDAA9F" w:rsidR="00B001D4" w:rsidRPr="004C78D8" w:rsidRDefault="00B001D4" w:rsidP="00FB7C1F">
            <w:pPr>
              <w:jc w:val="left"/>
              <w:rPr>
                <w:b/>
                <w:bCs/>
                <w:sz w:val="18"/>
                <w:szCs w:val="18"/>
              </w:rPr>
            </w:pPr>
            <w:r w:rsidRPr="004C78D8">
              <w:rPr>
                <w:b/>
                <w:bCs/>
                <w:sz w:val="18"/>
                <w:szCs w:val="18"/>
              </w:rPr>
              <w:t>(I) Double jeopardy: 50% reduction in intervention demands</w:t>
            </w:r>
            <w:r w:rsidRPr="004C78D8">
              <w:rPr>
                <w:b/>
                <w:bCs/>
                <w:sz w:val="18"/>
                <w:szCs w:val="18"/>
                <w:vertAlign w:val="superscript"/>
              </w:rPr>
              <w:t>1</w:t>
            </w:r>
            <w:r w:rsidRPr="004C78D8">
              <w:rPr>
                <w:b/>
                <w:bCs/>
                <w:sz w:val="18"/>
                <w:szCs w:val="18"/>
              </w:rPr>
              <w:t xml:space="preserve"> </w:t>
            </w:r>
          </w:p>
        </w:tc>
        <w:tc>
          <w:tcPr>
            <w:tcW w:w="1159" w:type="pct"/>
            <w:tcBorders>
              <w:bottom w:val="single" w:sz="4" w:space="0" w:color="auto"/>
            </w:tcBorders>
          </w:tcPr>
          <w:p w14:paraId="4D47A076" w14:textId="1A10A9E8" w:rsidR="00B001D4" w:rsidRPr="004C78D8" w:rsidRDefault="00B001D4" w:rsidP="00FB7C1F">
            <w:pPr>
              <w:jc w:val="left"/>
              <w:rPr>
                <w:b/>
                <w:bCs/>
                <w:sz w:val="18"/>
                <w:szCs w:val="18"/>
              </w:rPr>
            </w:pPr>
            <w:r w:rsidRPr="004C78D8">
              <w:rPr>
                <w:b/>
                <w:bCs/>
                <w:sz w:val="18"/>
                <w:szCs w:val="18"/>
              </w:rPr>
              <w:t>(II) Public sector coverage of societal intervention costs</w:t>
            </w:r>
            <w:r w:rsidRPr="004C78D8">
              <w:rPr>
                <w:b/>
                <w:bCs/>
                <w:sz w:val="18"/>
                <w:szCs w:val="18"/>
                <w:vertAlign w:val="superscript"/>
              </w:rPr>
              <w:t>1</w:t>
            </w:r>
            <w:r w:rsidR="00677C48" w:rsidRPr="004C78D8">
              <w:rPr>
                <w:b/>
                <w:bCs/>
                <w:sz w:val="18"/>
                <w:szCs w:val="18"/>
                <w:vertAlign w:val="superscript"/>
              </w:rPr>
              <w:t>,2</w:t>
            </w:r>
          </w:p>
        </w:tc>
        <w:tc>
          <w:tcPr>
            <w:tcW w:w="1180" w:type="pct"/>
            <w:tcBorders>
              <w:bottom w:val="nil"/>
            </w:tcBorders>
          </w:tcPr>
          <w:p w14:paraId="4FE3B66B" w14:textId="1524FE6E" w:rsidR="00B001D4" w:rsidRPr="004C78D8" w:rsidRDefault="00B001D4" w:rsidP="00FB7C1F">
            <w:pPr>
              <w:jc w:val="left"/>
              <w:rPr>
                <w:b/>
                <w:bCs/>
                <w:sz w:val="18"/>
                <w:szCs w:val="18"/>
              </w:rPr>
            </w:pPr>
          </w:p>
        </w:tc>
      </w:tr>
      <w:tr w:rsidR="00AF3848" w:rsidRPr="004C78D8" w14:paraId="74CD82F1" w14:textId="77777777" w:rsidTr="00801973">
        <w:tc>
          <w:tcPr>
            <w:tcW w:w="1484" w:type="pct"/>
            <w:tcBorders>
              <w:top w:val="nil"/>
              <w:bottom w:val="nil"/>
            </w:tcBorders>
          </w:tcPr>
          <w:p w14:paraId="1D497A17" w14:textId="4A7259C1" w:rsidR="00AF3848" w:rsidRPr="004C78D8" w:rsidRDefault="00AF3848" w:rsidP="00FB7C1F">
            <w:pPr>
              <w:jc w:val="left"/>
              <w:rPr>
                <w:sz w:val="18"/>
                <w:szCs w:val="18"/>
              </w:rPr>
            </w:pPr>
            <w:r w:rsidRPr="004C78D8">
              <w:rPr>
                <w:sz w:val="18"/>
                <w:szCs w:val="18"/>
              </w:rPr>
              <w:t>Constrained service annual use</w:t>
            </w:r>
            <w:r w:rsidR="00D926E9" w:rsidRPr="004C78D8">
              <w:rPr>
                <w:sz w:val="18"/>
                <w:szCs w:val="18"/>
                <w:vertAlign w:val="superscript"/>
              </w:rPr>
              <w:t>3</w:t>
            </w:r>
          </w:p>
        </w:tc>
        <w:tc>
          <w:tcPr>
            <w:tcW w:w="1177" w:type="pct"/>
            <w:tcBorders>
              <w:top w:val="single" w:sz="4" w:space="0" w:color="auto"/>
              <w:bottom w:val="nil"/>
            </w:tcBorders>
          </w:tcPr>
          <w:p w14:paraId="26DD9282" w14:textId="77777777" w:rsidR="00AF3848" w:rsidRPr="004C78D8" w:rsidRDefault="00AF3848" w:rsidP="00FB7C1F">
            <w:pPr>
              <w:jc w:val="left"/>
              <w:rPr>
                <w:sz w:val="18"/>
                <w:szCs w:val="18"/>
              </w:rPr>
            </w:pPr>
          </w:p>
        </w:tc>
        <w:tc>
          <w:tcPr>
            <w:tcW w:w="1159" w:type="pct"/>
            <w:tcBorders>
              <w:top w:val="single" w:sz="4" w:space="0" w:color="auto"/>
              <w:bottom w:val="nil"/>
            </w:tcBorders>
          </w:tcPr>
          <w:p w14:paraId="1D4A4A03" w14:textId="77777777" w:rsidR="00AF3848" w:rsidRPr="004C78D8" w:rsidRDefault="00AF3848" w:rsidP="00FB7C1F">
            <w:pPr>
              <w:jc w:val="left"/>
              <w:rPr>
                <w:sz w:val="18"/>
                <w:szCs w:val="18"/>
              </w:rPr>
            </w:pPr>
          </w:p>
        </w:tc>
        <w:tc>
          <w:tcPr>
            <w:tcW w:w="1180" w:type="pct"/>
            <w:tcBorders>
              <w:top w:val="nil"/>
              <w:bottom w:val="nil"/>
            </w:tcBorders>
          </w:tcPr>
          <w:p w14:paraId="46062530" w14:textId="77777777" w:rsidR="00AF3848" w:rsidRPr="004C78D8" w:rsidRDefault="00AF3848" w:rsidP="00FB7C1F">
            <w:pPr>
              <w:jc w:val="left"/>
              <w:rPr>
                <w:sz w:val="18"/>
                <w:szCs w:val="18"/>
              </w:rPr>
            </w:pPr>
          </w:p>
        </w:tc>
      </w:tr>
      <w:tr w:rsidR="00AF3848" w:rsidRPr="004C78D8" w14:paraId="22EA6A5C" w14:textId="77777777" w:rsidTr="00801973">
        <w:tc>
          <w:tcPr>
            <w:tcW w:w="1484" w:type="pct"/>
            <w:tcBorders>
              <w:top w:val="nil"/>
              <w:bottom w:val="nil"/>
            </w:tcBorders>
          </w:tcPr>
          <w:p w14:paraId="23E50A4C" w14:textId="0E9B9BA4" w:rsidR="00AF3848" w:rsidRPr="004C78D8" w:rsidRDefault="00AF3848" w:rsidP="00FB7C1F">
            <w:pPr>
              <w:jc w:val="right"/>
              <w:rPr>
                <w:sz w:val="18"/>
                <w:szCs w:val="18"/>
              </w:rPr>
            </w:pPr>
            <w:r w:rsidRPr="004C78D8">
              <w:rPr>
                <w:i/>
                <w:iCs/>
                <w:sz w:val="18"/>
                <w:szCs w:val="18"/>
              </w:rPr>
              <w:t>Falls clinic</w:t>
            </w:r>
          </w:p>
        </w:tc>
        <w:tc>
          <w:tcPr>
            <w:tcW w:w="1177" w:type="pct"/>
            <w:tcBorders>
              <w:top w:val="nil"/>
              <w:bottom w:val="nil"/>
            </w:tcBorders>
          </w:tcPr>
          <w:p w14:paraId="24C8DD0D" w14:textId="29B51B36" w:rsidR="00AF3848" w:rsidRPr="004C78D8" w:rsidRDefault="00D926E9" w:rsidP="00FB7C1F">
            <w:pPr>
              <w:jc w:val="left"/>
              <w:rPr>
                <w:sz w:val="18"/>
                <w:szCs w:val="18"/>
              </w:rPr>
            </w:pPr>
            <w:r w:rsidRPr="004C78D8">
              <w:rPr>
                <w:sz w:val="18"/>
                <w:szCs w:val="18"/>
              </w:rPr>
              <w:t>6,938</w:t>
            </w:r>
          </w:p>
        </w:tc>
        <w:tc>
          <w:tcPr>
            <w:tcW w:w="1159" w:type="pct"/>
            <w:tcBorders>
              <w:top w:val="nil"/>
              <w:bottom w:val="nil"/>
            </w:tcBorders>
          </w:tcPr>
          <w:p w14:paraId="48D51496" w14:textId="1F2D477A" w:rsidR="00AF3848" w:rsidRPr="004C78D8" w:rsidRDefault="00D926E9" w:rsidP="00FB7C1F">
            <w:pPr>
              <w:jc w:val="left"/>
              <w:rPr>
                <w:sz w:val="18"/>
                <w:szCs w:val="18"/>
              </w:rPr>
            </w:pPr>
            <w:r w:rsidRPr="004C78D8">
              <w:rPr>
                <w:sz w:val="18"/>
                <w:szCs w:val="18"/>
              </w:rPr>
              <w:t>8,962</w:t>
            </w:r>
          </w:p>
        </w:tc>
        <w:tc>
          <w:tcPr>
            <w:tcW w:w="1180" w:type="pct"/>
            <w:tcBorders>
              <w:top w:val="nil"/>
              <w:bottom w:val="nil"/>
            </w:tcBorders>
          </w:tcPr>
          <w:p w14:paraId="3183A8AB" w14:textId="77777777" w:rsidR="00AF3848" w:rsidRPr="004C78D8" w:rsidRDefault="00AF3848" w:rsidP="00FB7C1F">
            <w:pPr>
              <w:jc w:val="left"/>
              <w:rPr>
                <w:sz w:val="18"/>
                <w:szCs w:val="18"/>
              </w:rPr>
            </w:pPr>
          </w:p>
        </w:tc>
      </w:tr>
      <w:tr w:rsidR="00AF3848" w:rsidRPr="004C78D8" w14:paraId="020F2714" w14:textId="77777777" w:rsidTr="00801973">
        <w:tc>
          <w:tcPr>
            <w:tcW w:w="1484" w:type="pct"/>
            <w:tcBorders>
              <w:top w:val="nil"/>
              <w:bottom w:val="nil"/>
            </w:tcBorders>
          </w:tcPr>
          <w:p w14:paraId="01D0CB28" w14:textId="02AE8EA2" w:rsidR="00AF3848" w:rsidRPr="004C78D8" w:rsidRDefault="00AF3848" w:rsidP="00FB7C1F">
            <w:pPr>
              <w:jc w:val="right"/>
              <w:rPr>
                <w:sz w:val="18"/>
                <w:szCs w:val="18"/>
              </w:rPr>
            </w:pPr>
            <w:r w:rsidRPr="004C78D8">
              <w:rPr>
                <w:i/>
                <w:iCs/>
                <w:sz w:val="18"/>
                <w:szCs w:val="18"/>
              </w:rPr>
              <w:t>Proactive Tai Chi</w:t>
            </w:r>
          </w:p>
        </w:tc>
        <w:tc>
          <w:tcPr>
            <w:tcW w:w="1177" w:type="pct"/>
            <w:tcBorders>
              <w:top w:val="nil"/>
              <w:bottom w:val="nil"/>
            </w:tcBorders>
          </w:tcPr>
          <w:p w14:paraId="420E647F" w14:textId="3BCB734B" w:rsidR="00AF3848" w:rsidRPr="004C78D8" w:rsidRDefault="00D926E9" w:rsidP="00FB7C1F">
            <w:pPr>
              <w:jc w:val="left"/>
              <w:rPr>
                <w:sz w:val="18"/>
                <w:szCs w:val="18"/>
              </w:rPr>
            </w:pPr>
            <w:r w:rsidRPr="004C78D8">
              <w:rPr>
                <w:sz w:val="18"/>
                <w:szCs w:val="18"/>
              </w:rPr>
              <w:t>500</w:t>
            </w:r>
          </w:p>
        </w:tc>
        <w:tc>
          <w:tcPr>
            <w:tcW w:w="1159" w:type="pct"/>
            <w:tcBorders>
              <w:top w:val="nil"/>
              <w:bottom w:val="nil"/>
            </w:tcBorders>
          </w:tcPr>
          <w:p w14:paraId="3D322100" w14:textId="6031CE21" w:rsidR="00AF3848" w:rsidRPr="004C78D8" w:rsidRDefault="00D926E9" w:rsidP="00FB7C1F">
            <w:pPr>
              <w:jc w:val="left"/>
              <w:rPr>
                <w:sz w:val="18"/>
                <w:szCs w:val="18"/>
              </w:rPr>
            </w:pPr>
            <w:r w:rsidRPr="004C78D8">
              <w:rPr>
                <w:sz w:val="18"/>
                <w:szCs w:val="18"/>
              </w:rPr>
              <w:t>500</w:t>
            </w:r>
          </w:p>
        </w:tc>
        <w:tc>
          <w:tcPr>
            <w:tcW w:w="1180" w:type="pct"/>
            <w:tcBorders>
              <w:top w:val="nil"/>
              <w:bottom w:val="nil"/>
            </w:tcBorders>
          </w:tcPr>
          <w:p w14:paraId="4728C4B5" w14:textId="77777777" w:rsidR="00AF3848" w:rsidRPr="004C78D8" w:rsidRDefault="00AF3848" w:rsidP="00FB7C1F">
            <w:pPr>
              <w:jc w:val="left"/>
              <w:rPr>
                <w:sz w:val="18"/>
                <w:szCs w:val="18"/>
              </w:rPr>
            </w:pPr>
          </w:p>
        </w:tc>
      </w:tr>
      <w:tr w:rsidR="00AF3848" w:rsidRPr="004C78D8" w14:paraId="11E0AD94" w14:textId="77777777" w:rsidTr="00801973">
        <w:tc>
          <w:tcPr>
            <w:tcW w:w="1484" w:type="pct"/>
            <w:tcBorders>
              <w:top w:val="nil"/>
              <w:bottom w:val="nil"/>
            </w:tcBorders>
          </w:tcPr>
          <w:p w14:paraId="47B09E25" w14:textId="7DA29C12" w:rsidR="00AF3848" w:rsidRPr="004C78D8" w:rsidRDefault="00AF3848" w:rsidP="00FB7C1F">
            <w:pPr>
              <w:jc w:val="right"/>
              <w:rPr>
                <w:sz w:val="18"/>
                <w:szCs w:val="18"/>
              </w:rPr>
            </w:pPr>
            <w:r w:rsidRPr="004C78D8">
              <w:rPr>
                <w:i/>
                <w:iCs/>
                <w:sz w:val="18"/>
                <w:szCs w:val="18"/>
              </w:rPr>
              <w:t>Self-referred interventions</w:t>
            </w:r>
          </w:p>
        </w:tc>
        <w:tc>
          <w:tcPr>
            <w:tcW w:w="1177" w:type="pct"/>
            <w:tcBorders>
              <w:top w:val="nil"/>
              <w:bottom w:val="nil"/>
            </w:tcBorders>
          </w:tcPr>
          <w:p w14:paraId="5DAFDAA4" w14:textId="66975802" w:rsidR="00AF3848" w:rsidRPr="004C78D8" w:rsidRDefault="00D926E9" w:rsidP="00FB7C1F">
            <w:pPr>
              <w:jc w:val="left"/>
              <w:rPr>
                <w:sz w:val="18"/>
                <w:szCs w:val="18"/>
              </w:rPr>
            </w:pPr>
            <w:r w:rsidRPr="004C78D8">
              <w:rPr>
                <w:sz w:val="18"/>
                <w:szCs w:val="18"/>
              </w:rPr>
              <w:t>2,000</w:t>
            </w:r>
          </w:p>
        </w:tc>
        <w:tc>
          <w:tcPr>
            <w:tcW w:w="1159" w:type="pct"/>
            <w:tcBorders>
              <w:top w:val="nil"/>
              <w:bottom w:val="nil"/>
            </w:tcBorders>
          </w:tcPr>
          <w:p w14:paraId="3E63A051" w14:textId="56F6CE5B" w:rsidR="00AF3848" w:rsidRPr="004C78D8" w:rsidRDefault="00D926E9" w:rsidP="00FB7C1F">
            <w:pPr>
              <w:jc w:val="left"/>
              <w:rPr>
                <w:sz w:val="18"/>
                <w:szCs w:val="18"/>
              </w:rPr>
            </w:pPr>
            <w:r w:rsidRPr="004C78D8">
              <w:rPr>
                <w:sz w:val="18"/>
                <w:szCs w:val="18"/>
              </w:rPr>
              <w:t>2,000</w:t>
            </w:r>
          </w:p>
        </w:tc>
        <w:tc>
          <w:tcPr>
            <w:tcW w:w="1180" w:type="pct"/>
            <w:tcBorders>
              <w:top w:val="nil"/>
              <w:bottom w:val="nil"/>
            </w:tcBorders>
          </w:tcPr>
          <w:p w14:paraId="0F0A1BFF" w14:textId="77777777" w:rsidR="00AF3848" w:rsidRPr="004C78D8" w:rsidRDefault="00AF3848" w:rsidP="00FB7C1F">
            <w:pPr>
              <w:jc w:val="left"/>
              <w:rPr>
                <w:sz w:val="18"/>
                <w:szCs w:val="18"/>
              </w:rPr>
            </w:pPr>
          </w:p>
        </w:tc>
      </w:tr>
      <w:tr w:rsidR="00AF3848" w:rsidRPr="004C78D8" w14:paraId="3A97BAE6" w14:textId="77777777" w:rsidTr="00801973">
        <w:tc>
          <w:tcPr>
            <w:tcW w:w="1484" w:type="pct"/>
            <w:tcBorders>
              <w:top w:val="nil"/>
              <w:bottom w:val="nil"/>
            </w:tcBorders>
          </w:tcPr>
          <w:p w14:paraId="5307AA9C" w14:textId="624A4BEB" w:rsidR="00AF3848" w:rsidRPr="004C78D8" w:rsidRDefault="00AF3848" w:rsidP="00FB7C1F">
            <w:pPr>
              <w:jc w:val="left"/>
              <w:rPr>
                <w:sz w:val="18"/>
                <w:szCs w:val="18"/>
              </w:rPr>
            </w:pPr>
            <w:r w:rsidRPr="004C78D8">
              <w:rPr>
                <w:sz w:val="18"/>
                <w:szCs w:val="18"/>
              </w:rPr>
              <w:t>Pathway annual use</w:t>
            </w:r>
          </w:p>
        </w:tc>
        <w:tc>
          <w:tcPr>
            <w:tcW w:w="1177" w:type="pct"/>
            <w:tcBorders>
              <w:top w:val="nil"/>
              <w:bottom w:val="nil"/>
            </w:tcBorders>
          </w:tcPr>
          <w:p w14:paraId="682905A6" w14:textId="77777777" w:rsidR="00AF3848" w:rsidRPr="004C78D8" w:rsidRDefault="00AF3848" w:rsidP="00FB7C1F">
            <w:pPr>
              <w:jc w:val="left"/>
              <w:rPr>
                <w:sz w:val="18"/>
                <w:szCs w:val="18"/>
              </w:rPr>
            </w:pPr>
          </w:p>
        </w:tc>
        <w:tc>
          <w:tcPr>
            <w:tcW w:w="1159" w:type="pct"/>
            <w:tcBorders>
              <w:top w:val="nil"/>
              <w:bottom w:val="nil"/>
            </w:tcBorders>
          </w:tcPr>
          <w:p w14:paraId="08CAAF7D" w14:textId="77777777" w:rsidR="00AF3848" w:rsidRPr="004C78D8" w:rsidRDefault="00AF3848" w:rsidP="00FB7C1F">
            <w:pPr>
              <w:jc w:val="left"/>
              <w:rPr>
                <w:sz w:val="18"/>
                <w:szCs w:val="18"/>
              </w:rPr>
            </w:pPr>
          </w:p>
        </w:tc>
        <w:tc>
          <w:tcPr>
            <w:tcW w:w="1180" w:type="pct"/>
            <w:tcBorders>
              <w:top w:val="nil"/>
              <w:bottom w:val="nil"/>
            </w:tcBorders>
          </w:tcPr>
          <w:p w14:paraId="62BAFD63" w14:textId="77777777" w:rsidR="00AF3848" w:rsidRPr="004C78D8" w:rsidRDefault="00AF3848" w:rsidP="00FB7C1F">
            <w:pPr>
              <w:jc w:val="left"/>
              <w:rPr>
                <w:sz w:val="18"/>
                <w:szCs w:val="18"/>
              </w:rPr>
            </w:pPr>
          </w:p>
        </w:tc>
      </w:tr>
      <w:tr w:rsidR="00AF3848" w:rsidRPr="004C78D8" w14:paraId="5C3EF8D1" w14:textId="77777777" w:rsidTr="00801973">
        <w:tc>
          <w:tcPr>
            <w:tcW w:w="1484" w:type="pct"/>
            <w:tcBorders>
              <w:top w:val="nil"/>
              <w:bottom w:val="nil"/>
            </w:tcBorders>
          </w:tcPr>
          <w:p w14:paraId="3DDE7449" w14:textId="574F5036" w:rsidR="00AF3848" w:rsidRPr="004C78D8" w:rsidRDefault="00AF3848" w:rsidP="00FB7C1F">
            <w:pPr>
              <w:jc w:val="right"/>
              <w:rPr>
                <w:sz w:val="18"/>
                <w:szCs w:val="18"/>
              </w:rPr>
            </w:pPr>
            <w:r w:rsidRPr="004C78D8">
              <w:rPr>
                <w:i/>
                <w:iCs/>
                <w:sz w:val="18"/>
                <w:szCs w:val="18"/>
              </w:rPr>
              <w:t>Reactive</w:t>
            </w:r>
          </w:p>
        </w:tc>
        <w:tc>
          <w:tcPr>
            <w:tcW w:w="1177" w:type="pct"/>
            <w:tcBorders>
              <w:top w:val="nil"/>
              <w:bottom w:val="nil"/>
            </w:tcBorders>
          </w:tcPr>
          <w:p w14:paraId="1A1FDEA0" w14:textId="1BC18E1D" w:rsidR="00AF3848" w:rsidRPr="004C78D8" w:rsidRDefault="00D926E9" w:rsidP="00FB7C1F">
            <w:pPr>
              <w:jc w:val="left"/>
              <w:rPr>
                <w:sz w:val="18"/>
                <w:szCs w:val="18"/>
              </w:rPr>
            </w:pPr>
            <w:r w:rsidRPr="004C78D8">
              <w:rPr>
                <w:sz w:val="18"/>
                <w:szCs w:val="18"/>
              </w:rPr>
              <w:t>2,200</w:t>
            </w:r>
          </w:p>
        </w:tc>
        <w:tc>
          <w:tcPr>
            <w:tcW w:w="1159" w:type="pct"/>
            <w:tcBorders>
              <w:top w:val="nil"/>
              <w:bottom w:val="nil"/>
            </w:tcBorders>
          </w:tcPr>
          <w:p w14:paraId="53AC6C40" w14:textId="24B0BE98" w:rsidR="00AF3848" w:rsidRPr="004C78D8" w:rsidRDefault="00D926E9" w:rsidP="00FB7C1F">
            <w:pPr>
              <w:jc w:val="left"/>
              <w:rPr>
                <w:sz w:val="18"/>
                <w:szCs w:val="18"/>
              </w:rPr>
            </w:pPr>
            <w:r w:rsidRPr="004C78D8">
              <w:rPr>
                <w:sz w:val="18"/>
                <w:szCs w:val="18"/>
              </w:rPr>
              <w:t>2,969</w:t>
            </w:r>
          </w:p>
        </w:tc>
        <w:tc>
          <w:tcPr>
            <w:tcW w:w="1180" w:type="pct"/>
            <w:tcBorders>
              <w:top w:val="nil"/>
              <w:bottom w:val="nil"/>
            </w:tcBorders>
          </w:tcPr>
          <w:p w14:paraId="18C1C212" w14:textId="77777777" w:rsidR="00AF3848" w:rsidRPr="004C78D8" w:rsidRDefault="00AF3848" w:rsidP="00FB7C1F">
            <w:pPr>
              <w:jc w:val="left"/>
              <w:rPr>
                <w:sz w:val="18"/>
                <w:szCs w:val="18"/>
              </w:rPr>
            </w:pPr>
          </w:p>
        </w:tc>
      </w:tr>
      <w:tr w:rsidR="00AF3848" w:rsidRPr="004C78D8" w14:paraId="706771F0" w14:textId="77777777" w:rsidTr="00801973">
        <w:tc>
          <w:tcPr>
            <w:tcW w:w="1484" w:type="pct"/>
            <w:tcBorders>
              <w:top w:val="nil"/>
              <w:bottom w:val="nil"/>
            </w:tcBorders>
          </w:tcPr>
          <w:p w14:paraId="313E87B3" w14:textId="18C4F94B" w:rsidR="00AF3848" w:rsidRPr="004C78D8" w:rsidRDefault="00AF3848" w:rsidP="00FB7C1F">
            <w:pPr>
              <w:jc w:val="right"/>
              <w:rPr>
                <w:sz w:val="18"/>
                <w:szCs w:val="18"/>
              </w:rPr>
            </w:pPr>
            <w:r w:rsidRPr="004C78D8">
              <w:rPr>
                <w:i/>
                <w:iCs/>
                <w:sz w:val="18"/>
                <w:szCs w:val="18"/>
              </w:rPr>
              <w:t>Proactive</w:t>
            </w:r>
          </w:p>
        </w:tc>
        <w:tc>
          <w:tcPr>
            <w:tcW w:w="1177" w:type="pct"/>
            <w:tcBorders>
              <w:top w:val="nil"/>
              <w:bottom w:val="nil"/>
            </w:tcBorders>
          </w:tcPr>
          <w:p w14:paraId="46E8BD69" w14:textId="6583B45B" w:rsidR="00AF3848" w:rsidRPr="004C78D8" w:rsidRDefault="00D926E9" w:rsidP="00FB7C1F">
            <w:pPr>
              <w:jc w:val="left"/>
              <w:rPr>
                <w:sz w:val="18"/>
                <w:szCs w:val="18"/>
              </w:rPr>
            </w:pPr>
            <w:r w:rsidRPr="004C78D8">
              <w:rPr>
                <w:sz w:val="18"/>
                <w:szCs w:val="18"/>
              </w:rPr>
              <w:t>6,536</w:t>
            </w:r>
          </w:p>
        </w:tc>
        <w:tc>
          <w:tcPr>
            <w:tcW w:w="1159" w:type="pct"/>
            <w:tcBorders>
              <w:top w:val="nil"/>
              <w:bottom w:val="nil"/>
            </w:tcBorders>
          </w:tcPr>
          <w:p w14:paraId="69B747BF" w14:textId="37BFFAC5" w:rsidR="00AF3848" w:rsidRPr="004C78D8" w:rsidRDefault="00D926E9" w:rsidP="00FB7C1F">
            <w:pPr>
              <w:jc w:val="left"/>
              <w:rPr>
                <w:sz w:val="18"/>
                <w:szCs w:val="18"/>
              </w:rPr>
            </w:pPr>
            <w:r w:rsidRPr="004C78D8">
              <w:rPr>
                <w:sz w:val="18"/>
                <w:szCs w:val="18"/>
              </w:rPr>
              <w:t>8,198</w:t>
            </w:r>
          </w:p>
        </w:tc>
        <w:tc>
          <w:tcPr>
            <w:tcW w:w="1180" w:type="pct"/>
            <w:tcBorders>
              <w:top w:val="nil"/>
              <w:bottom w:val="nil"/>
            </w:tcBorders>
          </w:tcPr>
          <w:p w14:paraId="37486C17" w14:textId="77777777" w:rsidR="00AF3848" w:rsidRPr="004C78D8" w:rsidRDefault="00AF3848" w:rsidP="00FB7C1F">
            <w:pPr>
              <w:jc w:val="left"/>
              <w:rPr>
                <w:sz w:val="18"/>
                <w:szCs w:val="18"/>
              </w:rPr>
            </w:pPr>
          </w:p>
        </w:tc>
      </w:tr>
      <w:tr w:rsidR="00AF3848" w:rsidRPr="004C78D8" w14:paraId="3BFBE731" w14:textId="77777777" w:rsidTr="00801973">
        <w:tc>
          <w:tcPr>
            <w:tcW w:w="1484" w:type="pct"/>
            <w:tcBorders>
              <w:top w:val="nil"/>
              <w:bottom w:val="nil"/>
            </w:tcBorders>
          </w:tcPr>
          <w:p w14:paraId="2E02BA9C" w14:textId="579C6545" w:rsidR="00AF3848" w:rsidRPr="004C78D8" w:rsidRDefault="00AF3848" w:rsidP="00FB7C1F">
            <w:pPr>
              <w:jc w:val="right"/>
              <w:rPr>
                <w:sz w:val="18"/>
                <w:szCs w:val="18"/>
              </w:rPr>
            </w:pPr>
            <w:r w:rsidRPr="004C78D8">
              <w:rPr>
                <w:i/>
                <w:iCs/>
                <w:sz w:val="18"/>
                <w:szCs w:val="18"/>
              </w:rPr>
              <w:t>Self-referred</w:t>
            </w:r>
          </w:p>
        </w:tc>
        <w:tc>
          <w:tcPr>
            <w:tcW w:w="1177" w:type="pct"/>
            <w:tcBorders>
              <w:top w:val="nil"/>
              <w:bottom w:val="nil"/>
            </w:tcBorders>
          </w:tcPr>
          <w:p w14:paraId="39BDC28C" w14:textId="668E27B1" w:rsidR="00AF3848" w:rsidRPr="004C78D8" w:rsidRDefault="00D926E9" w:rsidP="00FB7C1F">
            <w:pPr>
              <w:jc w:val="left"/>
              <w:rPr>
                <w:sz w:val="18"/>
                <w:szCs w:val="18"/>
              </w:rPr>
            </w:pPr>
            <w:r w:rsidRPr="004C78D8">
              <w:rPr>
                <w:sz w:val="18"/>
                <w:szCs w:val="18"/>
              </w:rPr>
              <w:t>2,000</w:t>
            </w:r>
          </w:p>
        </w:tc>
        <w:tc>
          <w:tcPr>
            <w:tcW w:w="1159" w:type="pct"/>
            <w:tcBorders>
              <w:top w:val="nil"/>
              <w:bottom w:val="nil"/>
            </w:tcBorders>
          </w:tcPr>
          <w:p w14:paraId="3FDD4076" w14:textId="70BF521E" w:rsidR="00AF3848" w:rsidRPr="004C78D8" w:rsidRDefault="00D926E9" w:rsidP="00FB7C1F">
            <w:pPr>
              <w:jc w:val="left"/>
              <w:rPr>
                <w:sz w:val="18"/>
                <w:szCs w:val="18"/>
              </w:rPr>
            </w:pPr>
            <w:r w:rsidRPr="004C78D8">
              <w:rPr>
                <w:sz w:val="18"/>
                <w:szCs w:val="18"/>
              </w:rPr>
              <w:t>2,000</w:t>
            </w:r>
          </w:p>
        </w:tc>
        <w:tc>
          <w:tcPr>
            <w:tcW w:w="1180" w:type="pct"/>
            <w:tcBorders>
              <w:top w:val="nil"/>
              <w:bottom w:val="nil"/>
            </w:tcBorders>
          </w:tcPr>
          <w:p w14:paraId="25FED346" w14:textId="77777777" w:rsidR="00AF3848" w:rsidRPr="004C78D8" w:rsidRDefault="00AF3848" w:rsidP="00FB7C1F">
            <w:pPr>
              <w:jc w:val="left"/>
              <w:rPr>
                <w:sz w:val="18"/>
                <w:szCs w:val="18"/>
              </w:rPr>
            </w:pPr>
          </w:p>
        </w:tc>
      </w:tr>
      <w:tr w:rsidR="00AF3848" w:rsidRPr="004C78D8" w14:paraId="6C716E75" w14:textId="77777777" w:rsidTr="00801973">
        <w:tc>
          <w:tcPr>
            <w:tcW w:w="1484" w:type="pct"/>
            <w:tcBorders>
              <w:top w:val="nil"/>
              <w:bottom w:val="nil"/>
            </w:tcBorders>
          </w:tcPr>
          <w:p w14:paraId="6C03B7F4" w14:textId="25E5FCA8" w:rsidR="00AF3848" w:rsidRPr="004C78D8" w:rsidRDefault="00AF3848" w:rsidP="00FB7C1F">
            <w:pPr>
              <w:jc w:val="left"/>
              <w:rPr>
                <w:sz w:val="18"/>
                <w:szCs w:val="18"/>
              </w:rPr>
            </w:pPr>
            <w:r w:rsidRPr="004C78D8">
              <w:rPr>
                <w:sz w:val="18"/>
                <w:szCs w:val="18"/>
              </w:rPr>
              <w:t>Total</w:t>
            </w:r>
          </w:p>
        </w:tc>
        <w:tc>
          <w:tcPr>
            <w:tcW w:w="1177" w:type="pct"/>
            <w:tcBorders>
              <w:top w:val="nil"/>
              <w:bottom w:val="nil"/>
            </w:tcBorders>
          </w:tcPr>
          <w:p w14:paraId="65B50519" w14:textId="48396152" w:rsidR="00AF3848" w:rsidRPr="004C78D8" w:rsidRDefault="00D926E9" w:rsidP="00FB7C1F">
            <w:pPr>
              <w:jc w:val="left"/>
              <w:rPr>
                <w:sz w:val="18"/>
                <w:szCs w:val="18"/>
              </w:rPr>
            </w:pPr>
            <w:r w:rsidRPr="004C78D8">
              <w:rPr>
                <w:sz w:val="18"/>
                <w:szCs w:val="18"/>
              </w:rPr>
              <w:t>10,736</w:t>
            </w:r>
          </w:p>
        </w:tc>
        <w:tc>
          <w:tcPr>
            <w:tcW w:w="1159" w:type="pct"/>
            <w:tcBorders>
              <w:top w:val="nil"/>
              <w:bottom w:val="nil"/>
            </w:tcBorders>
          </w:tcPr>
          <w:p w14:paraId="6C917ADA" w14:textId="632D4060" w:rsidR="00AF3848" w:rsidRPr="004C78D8" w:rsidRDefault="00D926E9" w:rsidP="00FB7C1F">
            <w:pPr>
              <w:jc w:val="left"/>
              <w:rPr>
                <w:sz w:val="18"/>
                <w:szCs w:val="18"/>
              </w:rPr>
            </w:pPr>
            <w:r w:rsidRPr="004C78D8">
              <w:rPr>
                <w:sz w:val="18"/>
                <w:szCs w:val="18"/>
              </w:rPr>
              <w:t>13,167</w:t>
            </w:r>
          </w:p>
        </w:tc>
        <w:tc>
          <w:tcPr>
            <w:tcW w:w="1180" w:type="pct"/>
            <w:tcBorders>
              <w:top w:val="nil"/>
              <w:bottom w:val="nil"/>
            </w:tcBorders>
          </w:tcPr>
          <w:p w14:paraId="2422F72E" w14:textId="77777777" w:rsidR="00AF3848" w:rsidRPr="004C78D8" w:rsidRDefault="00AF3848" w:rsidP="00FB7C1F">
            <w:pPr>
              <w:jc w:val="left"/>
              <w:rPr>
                <w:sz w:val="18"/>
                <w:szCs w:val="18"/>
              </w:rPr>
            </w:pPr>
          </w:p>
        </w:tc>
      </w:tr>
      <w:tr w:rsidR="00AF3848" w:rsidRPr="004C78D8" w14:paraId="43C6D7F2" w14:textId="77777777" w:rsidTr="00801973">
        <w:tc>
          <w:tcPr>
            <w:tcW w:w="1484" w:type="pct"/>
            <w:tcBorders>
              <w:top w:val="nil"/>
              <w:bottom w:val="nil"/>
            </w:tcBorders>
          </w:tcPr>
          <w:p w14:paraId="2AEFB602" w14:textId="77777777" w:rsidR="00AF3848" w:rsidRPr="004C78D8" w:rsidRDefault="00AF3848" w:rsidP="00FB7C1F">
            <w:pPr>
              <w:jc w:val="left"/>
              <w:rPr>
                <w:sz w:val="18"/>
                <w:szCs w:val="18"/>
              </w:rPr>
            </w:pPr>
          </w:p>
        </w:tc>
        <w:tc>
          <w:tcPr>
            <w:tcW w:w="1177" w:type="pct"/>
            <w:tcBorders>
              <w:top w:val="nil"/>
              <w:bottom w:val="nil"/>
            </w:tcBorders>
          </w:tcPr>
          <w:p w14:paraId="492631E9" w14:textId="77777777" w:rsidR="00AF3848" w:rsidRPr="004C78D8" w:rsidRDefault="00AF3848" w:rsidP="00FB7C1F">
            <w:pPr>
              <w:jc w:val="left"/>
              <w:rPr>
                <w:sz w:val="18"/>
                <w:szCs w:val="18"/>
              </w:rPr>
            </w:pPr>
          </w:p>
        </w:tc>
        <w:tc>
          <w:tcPr>
            <w:tcW w:w="1159" w:type="pct"/>
            <w:tcBorders>
              <w:top w:val="nil"/>
              <w:bottom w:val="nil"/>
            </w:tcBorders>
          </w:tcPr>
          <w:p w14:paraId="5955808C" w14:textId="77777777" w:rsidR="00AF3848" w:rsidRPr="004C78D8" w:rsidRDefault="00AF3848" w:rsidP="00FB7C1F">
            <w:pPr>
              <w:jc w:val="left"/>
              <w:rPr>
                <w:sz w:val="18"/>
                <w:szCs w:val="18"/>
              </w:rPr>
            </w:pPr>
          </w:p>
        </w:tc>
        <w:tc>
          <w:tcPr>
            <w:tcW w:w="1180" w:type="pct"/>
            <w:tcBorders>
              <w:top w:val="nil"/>
              <w:bottom w:val="nil"/>
            </w:tcBorders>
          </w:tcPr>
          <w:p w14:paraId="403170F2" w14:textId="77777777" w:rsidR="00AF3848" w:rsidRPr="004C78D8" w:rsidRDefault="00AF3848" w:rsidP="00FB7C1F">
            <w:pPr>
              <w:jc w:val="left"/>
              <w:rPr>
                <w:sz w:val="18"/>
                <w:szCs w:val="18"/>
              </w:rPr>
            </w:pPr>
          </w:p>
        </w:tc>
      </w:tr>
      <w:tr w:rsidR="00AF3848" w:rsidRPr="004C78D8" w14:paraId="14FE2656" w14:textId="77777777" w:rsidTr="00801973">
        <w:tc>
          <w:tcPr>
            <w:tcW w:w="1484" w:type="pct"/>
            <w:tcBorders>
              <w:top w:val="nil"/>
              <w:bottom w:val="nil"/>
            </w:tcBorders>
          </w:tcPr>
          <w:p w14:paraId="3F47EED6" w14:textId="77777777" w:rsidR="00AF3848" w:rsidRPr="004C78D8" w:rsidRDefault="00AF3848" w:rsidP="00FB7C1F">
            <w:pPr>
              <w:jc w:val="left"/>
              <w:rPr>
                <w:sz w:val="18"/>
                <w:szCs w:val="18"/>
              </w:rPr>
            </w:pPr>
          </w:p>
        </w:tc>
        <w:tc>
          <w:tcPr>
            <w:tcW w:w="2336" w:type="pct"/>
            <w:gridSpan w:val="2"/>
            <w:tcBorders>
              <w:top w:val="single" w:sz="4" w:space="0" w:color="auto"/>
              <w:bottom w:val="nil"/>
            </w:tcBorders>
          </w:tcPr>
          <w:p w14:paraId="7E9264CF" w14:textId="53D62A2B" w:rsidR="00AF3848" w:rsidRPr="004C78D8" w:rsidRDefault="00AF3848" w:rsidP="00FB7C1F">
            <w:pPr>
              <w:jc w:val="center"/>
              <w:rPr>
                <w:sz w:val="18"/>
                <w:szCs w:val="18"/>
              </w:rPr>
            </w:pPr>
            <w:r w:rsidRPr="004C78D8">
              <w:rPr>
                <w:b/>
                <w:bCs/>
                <w:sz w:val="20"/>
                <w:szCs w:val="20"/>
              </w:rPr>
              <w:t>Incremental outcomes relative to usual care</w:t>
            </w:r>
          </w:p>
        </w:tc>
        <w:tc>
          <w:tcPr>
            <w:tcW w:w="1180" w:type="pct"/>
            <w:tcBorders>
              <w:top w:val="single" w:sz="4" w:space="0" w:color="auto"/>
              <w:bottom w:val="nil"/>
            </w:tcBorders>
          </w:tcPr>
          <w:p w14:paraId="5132629E" w14:textId="697CB592" w:rsidR="00AF3848" w:rsidRPr="004C78D8" w:rsidRDefault="00AF3848" w:rsidP="00FB7C1F">
            <w:pPr>
              <w:jc w:val="center"/>
              <w:rPr>
                <w:sz w:val="18"/>
                <w:szCs w:val="18"/>
              </w:rPr>
            </w:pPr>
            <w:r w:rsidRPr="004C78D8">
              <w:rPr>
                <w:b/>
                <w:bCs/>
                <w:sz w:val="18"/>
                <w:szCs w:val="18"/>
              </w:rPr>
              <w:t>(II) – (I) incremental</w:t>
            </w:r>
          </w:p>
        </w:tc>
      </w:tr>
      <w:tr w:rsidR="00AF3848" w:rsidRPr="004C78D8" w14:paraId="1319580F" w14:textId="77777777" w:rsidTr="00801973">
        <w:tc>
          <w:tcPr>
            <w:tcW w:w="1484" w:type="pct"/>
            <w:tcBorders>
              <w:top w:val="nil"/>
              <w:bottom w:val="nil"/>
            </w:tcBorders>
          </w:tcPr>
          <w:p w14:paraId="6423E473" w14:textId="1FEA2A04" w:rsidR="00AF3848" w:rsidRPr="004C78D8" w:rsidRDefault="00AF3848" w:rsidP="00FB7C1F">
            <w:pPr>
              <w:jc w:val="left"/>
              <w:rPr>
                <w:sz w:val="18"/>
                <w:szCs w:val="18"/>
              </w:rPr>
            </w:pPr>
            <w:r w:rsidRPr="004C78D8">
              <w:rPr>
                <w:sz w:val="18"/>
                <w:szCs w:val="18"/>
              </w:rPr>
              <w:t>Public sector costs</w:t>
            </w:r>
          </w:p>
        </w:tc>
        <w:tc>
          <w:tcPr>
            <w:tcW w:w="1177" w:type="pct"/>
            <w:tcBorders>
              <w:top w:val="single" w:sz="4" w:space="0" w:color="auto"/>
              <w:bottom w:val="nil"/>
            </w:tcBorders>
          </w:tcPr>
          <w:p w14:paraId="4FFFEE30" w14:textId="77777777" w:rsidR="00AF3848" w:rsidRPr="004C78D8" w:rsidRDefault="00AF3848" w:rsidP="00FB7C1F">
            <w:pPr>
              <w:jc w:val="left"/>
              <w:rPr>
                <w:sz w:val="18"/>
                <w:szCs w:val="18"/>
              </w:rPr>
            </w:pPr>
          </w:p>
        </w:tc>
        <w:tc>
          <w:tcPr>
            <w:tcW w:w="1159" w:type="pct"/>
            <w:tcBorders>
              <w:top w:val="single" w:sz="4" w:space="0" w:color="auto"/>
              <w:bottom w:val="nil"/>
            </w:tcBorders>
          </w:tcPr>
          <w:p w14:paraId="28617C2F" w14:textId="77777777" w:rsidR="00AF3848" w:rsidRPr="004C78D8" w:rsidRDefault="00AF3848" w:rsidP="00FB7C1F">
            <w:pPr>
              <w:jc w:val="left"/>
              <w:rPr>
                <w:sz w:val="18"/>
                <w:szCs w:val="18"/>
              </w:rPr>
            </w:pPr>
          </w:p>
        </w:tc>
        <w:tc>
          <w:tcPr>
            <w:tcW w:w="1180" w:type="pct"/>
            <w:tcBorders>
              <w:top w:val="single" w:sz="4" w:space="0" w:color="auto"/>
              <w:bottom w:val="nil"/>
            </w:tcBorders>
          </w:tcPr>
          <w:p w14:paraId="3EE5DB42" w14:textId="77777777" w:rsidR="00AF3848" w:rsidRPr="004C78D8" w:rsidRDefault="00AF3848" w:rsidP="00FB7C1F">
            <w:pPr>
              <w:jc w:val="left"/>
              <w:rPr>
                <w:sz w:val="18"/>
                <w:szCs w:val="18"/>
              </w:rPr>
            </w:pPr>
          </w:p>
        </w:tc>
      </w:tr>
      <w:tr w:rsidR="00AF3848" w:rsidRPr="004C78D8" w14:paraId="532AC275" w14:textId="77777777" w:rsidTr="00801973">
        <w:tc>
          <w:tcPr>
            <w:tcW w:w="1484" w:type="pct"/>
            <w:tcBorders>
              <w:top w:val="nil"/>
              <w:bottom w:val="nil"/>
            </w:tcBorders>
          </w:tcPr>
          <w:p w14:paraId="4E53EC33" w14:textId="5A18DD0F" w:rsidR="00AF3848" w:rsidRPr="004C78D8" w:rsidRDefault="00AF3848" w:rsidP="00FB7C1F">
            <w:pPr>
              <w:jc w:val="right"/>
              <w:rPr>
                <w:i/>
                <w:iCs/>
                <w:sz w:val="18"/>
                <w:szCs w:val="18"/>
              </w:rPr>
            </w:pPr>
            <w:r w:rsidRPr="004C78D8">
              <w:rPr>
                <w:i/>
                <w:iCs/>
                <w:sz w:val="18"/>
                <w:szCs w:val="18"/>
              </w:rPr>
              <w:t>(1) All-cause public sector costs</w:t>
            </w:r>
            <w:r w:rsidRPr="004C78D8">
              <w:rPr>
                <w:i/>
                <w:iCs/>
                <w:sz w:val="18"/>
                <w:szCs w:val="18"/>
                <w:vertAlign w:val="superscript"/>
              </w:rPr>
              <w:t>4</w:t>
            </w:r>
          </w:p>
        </w:tc>
        <w:tc>
          <w:tcPr>
            <w:tcW w:w="1177" w:type="pct"/>
            <w:tcBorders>
              <w:top w:val="nil"/>
              <w:bottom w:val="nil"/>
            </w:tcBorders>
          </w:tcPr>
          <w:p w14:paraId="04993593" w14:textId="468CE756" w:rsidR="00AF3848" w:rsidRPr="004C78D8" w:rsidRDefault="00AF3848" w:rsidP="00FB7C1F">
            <w:pPr>
              <w:jc w:val="left"/>
              <w:rPr>
                <w:sz w:val="18"/>
                <w:szCs w:val="18"/>
              </w:rPr>
            </w:pPr>
            <w:r w:rsidRPr="004C78D8">
              <w:rPr>
                <w:sz w:val="18"/>
                <w:szCs w:val="18"/>
              </w:rPr>
              <w:t>-£54,788,392</w:t>
            </w:r>
          </w:p>
        </w:tc>
        <w:tc>
          <w:tcPr>
            <w:tcW w:w="1159" w:type="pct"/>
            <w:tcBorders>
              <w:top w:val="nil"/>
              <w:bottom w:val="nil"/>
            </w:tcBorders>
          </w:tcPr>
          <w:p w14:paraId="04A9021A" w14:textId="0885EA51" w:rsidR="00AF3848" w:rsidRPr="004C78D8" w:rsidRDefault="00EE7251" w:rsidP="00FB7C1F">
            <w:pPr>
              <w:jc w:val="left"/>
              <w:rPr>
                <w:sz w:val="18"/>
                <w:szCs w:val="18"/>
              </w:rPr>
            </w:pPr>
            <w:r w:rsidRPr="004C78D8">
              <w:rPr>
                <w:sz w:val="18"/>
                <w:szCs w:val="18"/>
              </w:rPr>
              <w:t>-£69,811,771</w:t>
            </w:r>
          </w:p>
        </w:tc>
        <w:tc>
          <w:tcPr>
            <w:tcW w:w="1180" w:type="pct"/>
            <w:tcBorders>
              <w:top w:val="nil"/>
              <w:bottom w:val="nil"/>
            </w:tcBorders>
          </w:tcPr>
          <w:p w14:paraId="62C24DAD" w14:textId="04D8F695" w:rsidR="00AF3848" w:rsidRPr="004C78D8" w:rsidRDefault="00F63D7A" w:rsidP="00FB7C1F">
            <w:pPr>
              <w:jc w:val="left"/>
              <w:rPr>
                <w:sz w:val="18"/>
                <w:szCs w:val="18"/>
              </w:rPr>
            </w:pPr>
            <w:r w:rsidRPr="004C78D8">
              <w:rPr>
                <w:sz w:val="18"/>
                <w:szCs w:val="18"/>
              </w:rPr>
              <w:t>-£15,023,380</w:t>
            </w:r>
          </w:p>
        </w:tc>
      </w:tr>
      <w:tr w:rsidR="00AF3848" w:rsidRPr="004C78D8" w14:paraId="311C567B" w14:textId="77777777" w:rsidTr="00801973">
        <w:tc>
          <w:tcPr>
            <w:tcW w:w="1484" w:type="pct"/>
            <w:tcBorders>
              <w:top w:val="nil"/>
              <w:bottom w:val="nil"/>
            </w:tcBorders>
          </w:tcPr>
          <w:p w14:paraId="2A72EFD3" w14:textId="77777777" w:rsidR="00AF3848" w:rsidRPr="004C78D8" w:rsidRDefault="00AF3848" w:rsidP="00FB7C1F">
            <w:pPr>
              <w:jc w:val="right"/>
              <w:rPr>
                <w:i/>
                <w:iCs/>
                <w:sz w:val="18"/>
                <w:szCs w:val="18"/>
              </w:rPr>
            </w:pPr>
            <w:r w:rsidRPr="004C78D8">
              <w:rPr>
                <w:i/>
                <w:iCs/>
                <w:sz w:val="18"/>
                <w:szCs w:val="18"/>
              </w:rPr>
              <w:t>(2) Fall-related healthcare costs</w:t>
            </w:r>
          </w:p>
        </w:tc>
        <w:tc>
          <w:tcPr>
            <w:tcW w:w="1177" w:type="pct"/>
            <w:tcBorders>
              <w:top w:val="nil"/>
              <w:bottom w:val="nil"/>
            </w:tcBorders>
          </w:tcPr>
          <w:p w14:paraId="16674C05" w14:textId="38C970B4" w:rsidR="00AF3848" w:rsidRPr="004C78D8" w:rsidRDefault="00AF3848" w:rsidP="00FB7C1F">
            <w:pPr>
              <w:jc w:val="left"/>
              <w:rPr>
                <w:sz w:val="18"/>
                <w:szCs w:val="18"/>
              </w:rPr>
            </w:pPr>
            <w:r w:rsidRPr="004C78D8">
              <w:rPr>
                <w:sz w:val="18"/>
                <w:szCs w:val="18"/>
              </w:rPr>
              <w:t>-£48,815,863</w:t>
            </w:r>
          </w:p>
        </w:tc>
        <w:tc>
          <w:tcPr>
            <w:tcW w:w="1159" w:type="pct"/>
            <w:tcBorders>
              <w:top w:val="nil"/>
              <w:bottom w:val="nil"/>
            </w:tcBorders>
          </w:tcPr>
          <w:p w14:paraId="13DC118B" w14:textId="201EF842" w:rsidR="00AF3848" w:rsidRPr="004C78D8" w:rsidRDefault="00EE7251" w:rsidP="00FB7C1F">
            <w:pPr>
              <w:jc w:val="left"/>
              <w:rPr>
                <w:sz w:val="18"/>
                <w:szCs w:val="18"/>
              </w:rPr>
            </w:pPr>
            <w:r w:rsidRPr="004C78D8">
              <w:rPr>
                <w:sz w:val="18"/>
                <w:szCs w:val="18"/>
              </w:rPr>
              <w:t>-£61,888,647</w:t>
            </w:r>
          </w:p>
        </w:tc>
        <w:tc>
          <w:tcPr>
            <w:tcW w:w="1180" w:type="pct"/>
            <w:tcBorders>
              <w:top w:val="nil"/>
              <w:bottom w:val="nil"/>
            </w:tcBorders>
          </w:tcPr>
          <w:p w14:paraId="7C99BE09" w14:textId="0DF996D7" w:rsidR="00AF3848" w:rsidRPr="004C78D8" w:rsidRDefault="00F63D7A" w:rsidP="00FB7C1F">
            <w:pPr>
              <w:jc w:val="left"/>
              <w:rPr>
                <w:sz w:val="18"/>
                <w:szCs w:val="18"/>
              </w:rPr>
            </w:pPr>
            <w:r w:rsidRPr="004C78D8">
              <w:rPr>
                <w:sz w:val="18"/>
                <w:szCs w:val="18"/>
              </w:rPr>
              <w:t>-£13,072,785</w:t>
            </w:r>
          </w:p>
        </w:tc>
      </w:tr>
      <w:tr w:rsidR="00AF3848" w:rsidRPr="004C78D8" w14:paraId="5EACAE9E" w14:textId="77777777" w:rsidTr="00801973">
        <w:tc>
          <w:tcPr>
            <w:tcW w:w="1484" w:type="pct"/>
            <w:tcBorders>
              <w:top w:val="nil"/>
              <w:bottom w:val="nil"/>
            </w:tcBorders>
          </w:tcPr>
          <w:p w14:paraId="272E863A" w14:textId="77777777" w:rsidR="00AF3848" w:rsidRPr="004C78D8" w:rsidRDefault="00AF3848" w:rsidP="00FB7C1F">
            <w:pPr>
              <w:jc w:val="right"/>
              <w:rPr>
                <w:i/>
                <w:iCs/>
                <w:sz w:val="18"/>
                <w:szCs w:val="18"/>
              </w:rPr>
            </w:pPr>
            <w:r w:rsidRPr="004C78D8">
              <w:rPr>
                <w:i/>
                <w:iCs/>
                <w:sz w:val="18"/>
                <w:szCs w:val="18"/>
              </w:rPr>
              <w:t>Public sector intervention costs</w:t>
            </w:r>
          </w:p>
        </w:tc>
        <w:tc>
          <w:tcPr>
            <w:tcW w:w="1177" w:type="pct"/>
            <w:tcBorders>
              <w:top w:val="nil"/>
              <w:bottom w:val="nil"/>
            </w:tcBorders>
          </w:tcPr>
          <w:p w14:paraId="3EE014DF" w14:textId="5B829A53" w:rsidR="00AF3848" w:rsidRPr="004C78D8" w:rsidRDefault="00AF3848" w:rsidP="00FB7C1F">
            <w:pPr>
              <w:jc w:val="left"/>
              <w:rPr>
                <w:sz w:val="18"/>
                <w:szCs w:val="18"/>
              </w:rPr>
            </w:pPr>
            <w:r w:rsidRPr="004C78D8">
              <w:rPr>
                <w:sz w:val="18"/>
                <w:szCs w:val="18"/>
              </w:rPr>
              <w:t>£134,546,649</w:t>
            </w:r>
          </w:p>
        </w:tc>
        <w:tc>
          <w:tcPr>
            <w:tcW w:w="1159" w:type="pct"/>
            <w:tcBorders>
              <w:top w:val="nil"/>
              <w:bottom w:val="nil"/>
            </w:tcBorders>
          </w:tcPr>
          <w:p w14:paraId="358D7286" w14:textId="4A4F6228" w:rsidR="00AF3848" w:rsidRPr="004C78D8" w:rsidRDefault="00EE7251" w:rsidP="00FB7C1F">
            <w:pPr>
              <w:jc w:val="left"/>
              <w:rPr>
                <w:sz w:val="18"/>
                <w:szCs w:val="18"/>
              </w:rPr>
            </w:pPr>
            <w:r w:rsidRPr="004C78D8">
              <w:rPr>
                <w:sz w:val="18"/>
                <w:szCs w:val="18"/>
              </w:rPr>
              <w:t>£170,489,227</w:t>
            </w:r>
          </w:p>
        </w:tc>
        <w:tc>
          <w:tcPr>
            <w:tcW w:w="1180" w:type="pct"/>
            <w:tcBorders>
              <w:top w:val="nil"/>
              <w:bottom w:val="nil"/>
            </w:tcBorders>
          </w:tcPr>
          <w:p w14:paraId="0E6F4B69" w14:textId="406A1875" w:rsidR="00AF3848" w:rsidRPr="004C78D8" w:rsidRDefault="00F63D7A" w:rsidP="00FB7C1F">
            <w:pPr>
              <w:jc w:val="left"/>
              <w:rPr>
                <w:sz w:val="18"/>
                <w:szCs w:val="18"/>
              </w:rPr>
            </w:pPr>
            <w:r w:rsidRPr="004C78D8">
              <w:rPr>
                <w:sz w:val="18"/>
                <w:szCs w:val="18"/>
              </w:rPr>
              <w:t>£35,942,578</w:t>
            </w:r>
          </w:p>
        </w:tc>
      </w:tr>
      <w:tr w:rsidR="00AF3848" w:rsidRPr="004C78D8" w14:paraId="62886247" w14:textId="77777777" w:rsidTr="00801973">
        <w:tc>
          <w:tcPr>
            <w:tcW w:w="1484" w:type="pct"/>
            <w:tcBorders>
              <w:top w:val="nil"/>
              <w:bottom w:val="nil"/>
            </w:tcBorders>
          </w:tcPr>
          <w:p w14:paraId="21B3DB70" w14:textId="77777777" w:rsidR="00AF3848" w:rsidRPr="004C78D8" w:rsidRDefault="00AF3848" w:rsidP="00FB7C1F">
            <w:pPr>
              <w:jc w:val="left"/>
              <w:rPr>
                <w:sz w:val="18"/>
                <w:szCs w:val="18"/>
              </w:rPr>
            </w:pPr>
            <w:r w:rsidRPr="004C78D8">
              <w:rPr>
                <w:sz w:val="18"/>
                <w:szCs w:val="18"/>
              </w:rPr>
              <w:t>QALY</w:t>
            </w:r>
          </w:p>
        </w:tc>
        <w:tc>
          <w:tcPr>
            <w:tcW w:w="1177" w:type="pct"/>
            <w:tcBorders>
              <w:top w:val="nil"/>
              <w:bottom w:val="nil"/>
            </w:tcBorders>
          </w:tcPr>
          <w:p w14:paraId="0BF60AB8" w14:textId="7A8E3DB7" w:rsidR="00AF3848" w:rsidRPr="004C78D8" w:rsidRDefault="00AF3848" w:rsidP="00FB7C1F">
            <w:pPr>
              <w:jc w:val="left"/>
              <w:rPr>
                <w:sz w:val="18"/>
                <w:szCs w:val="18"/>
              </w:rPr>
            </w:pPr>
            <w:r w:rsidRPr="004C78D8">
              <w:rPr>
                <w:sz w:val="18"/>
                <w:szCs w:val="18"/>
              </w:rPr>
              <w:t>6,550</w:t>
            </w:r>
          </w:p>
        </w:tc>
        <w:tc>
          <w:tcPr>
            <w:tcW w:w="1159" w:type="pct"/>
            <w:tcBorders>
              <w:top w:val="nil"/>
              <w:bottom w:val="nil"/>
            </w:tcBorders>
          </w:tcPr>
          <w:p w14:paraId="7905DCB4" w14:textId="0028B2A7" w:rsidR="00AF3848" w:rsidRPr="004C78D8" w:rsidRDefault="00EE7251" w:rsidP="00FB7C1F">
            <w:pPr>
              <w:jc w:val="left"/>
              <w:rPr>
                <w:sz w:val="18"/>
                <w:szCs w:val="18"/>
              </w:rPr>
            </w:pPr>
            <w:r w:rsidRPr="004C78D8">
              <w:rPr>
                <w:sz w:val="18"/>
                <w:szCs w:val="18"/>
              </w:rPr>
              <w:t>8</w:t>
            </w:r>
            <w:r w:rsidR="00AF3848" w:rsidRPr="004C78D8">
              <w:rPr>
                <w:sz w:val="18"/>
                <w:szCs w:val="18"/>
              </w:rPr>
              <w:t>,</w:t>
            </w:r>
            <w:r w:rsidRPr="004C78D8">
              <w:rPr>
                <w:sz w:val="18"/>
                <w:szCs w:val="18"/>
              </w:rPr>
              <w:t>644</w:t>
            </w:r>
          </w:p>
        </w:tc>
        <w:tc>
          <w:tcPr>
            <w:tcW w:w="1180" w:type="pct"/>
            <w:tcBorders>
              <w:top w:val="nil"/>
              <w:bottom w:val="nil"/>
            </w:tcBorders>
          </w:tcPr>
          <w:p w14:paraId="70F0D781" w14:textId="013A85D2" w:rsidR="00AF3848" w:rsidRPr="004C78D8" w:rsidRDefault="00F63D7A" w:rsidP="00FB7C1F">
            <w:pPr>
              <w:jc w:val="left"/>
              <w:rPr>
                <w:sz w:val="18"/>
                <w:szCs w:val="18"/>
              </w:rPr>
            </w:pPr>
            <w:r w:rsidRPr="004C78D8">
              <w:rPr>
                <w:sz w:val="18"/>
                <w:szCs w:val="18"/>
              </w:rPr>
              <w:t>2</w:t>
            </w:r>
            <w:r w:rsidR="00AF3848" w:rsidRPr="004C78D8">
              <w:rPr>
                <w:sz w:val="18"/>
                <w:szCs w:val="18"/>
              </w:rPr>
              <w:t>,0</w:t>
            </w:r>
            <w:r w:rsidRPr="004C78D8">
              <w:rPr>
                <w:sz w:val="18"/>
                <w:szCs w:val="18"/>
              </w:rPr>
              <w:t>94</w:t>
            </w:r>
          </w:p>
        </w:tc>
      </w:tr>
      <w:tr w:rsidR="00AF3848" w:rsidRPr="004C78D8" w14:paraId="41A6F154" w14:textId="77777777" w:rsidTr="00801973">
        <w:tc>
          <w:tcPr>
            <w:tcW w:w="1484" w:type="pct"/>
            <w:tcBorders>
              <w:top w:val="nil"/>
              <w:bottom w:val="nil"/>
            </w:tcBorders>
          </w:tcPr>
          <w:p w14:paraId="252F25B8" w14:textId="77777777" w:rsidR="00AF3848" w:rsidRPr="004C78D8" w:rsidRDefault="00AF3848" w:rsidP="00FB7C1F">
            <w:pPr>
              <w:jc w:val="left"/>
              <w:rPr>
                <w:sz w:val="18"/>
                <w:szCs w:val="18"/>
              </w:rPr>
            </w:pPr>
            <w:r w:rsidRPr="004C78D8">
              <w:rPr>
                <w:sz w:val="18"/>
                <w:szCs w:val="18"/>
              </w:rPr>
              <w:t>Societal outcomes</w:t>
            </w:r>
          </w:p>
        </w:tc>
        <w:tc>
          <w:tcPr>
            <w:tcW w:w="1177" w:type="pct"/>
            <w:tcBorders>
              <w:top w:val="nil"/>
              <w:bottom w:val="nil"/>
            </w:tcBorders>
          </w:tcPr>
          <w:p w14:paraId="1CC6DB36" w14:textId="77777777" w:rsidR="00AF3848" w:rsidRPr="004C78D8" w:rsidRDefault="00AF3848" w:rsidP="00FB7C1F">
            <w:pPr>
              <w:jc w:val="left"/>
              <w:rPr>
                <w:sz w:val="18"/>
                <w:szCs w:val="18"/>
              </w:rPr>
            </w:pPr>
          </w:p>
        </w:tc>
        <w:tc>
          <w:tcPr>
            <w:tcW w:w="1159" w:type="pct"/>
            <w:tcBorders>
              <w:top w:val="nil"/>
              <w:bottom w:val="nil"/>
            </w:tcBorders>
          </w:tcPr>
          <w:p w14:paraId="13D47884" w14:textId="77777777" w:rsidR="00AF3848" w:rsidRPr="004C78D8" w:rsidRDefault="00AF3848" w:rsidP="00FB7C1F">
            <w:pPr>
              <w:jc w:val="left"/>
              <w:rPr>
                <w:sz w:val="18"/>
                <w:szCs w:val="18"/>
              </w:rPr>
            </w:pPr>
          </w:p>
        </w:tc>
        <w:tc>
          <w:tcPr>
            <w:tcW w:w="1180" w:type="pct"/>
            <w:tcBorders>
              <w:top w:val="nil"/>
              <w:bottom w:val="nil"/>
            </w:tcBorders>
          </w:tcPr>
          <w:p w14:paraId="592027E2" w14:textId="77777777" w:rsidR="00AF3848" w:rsidRPr="004C78D8" w:rsidRDefault="00AF3848" w:rsidP="00FB7C1F">
            <w:pPr>
              <w:jc w:val="left"/>
              <w:rPr>
                <w:sz w:val="18"/>
                <w:szCs w:val="18"/>
              </w:rPr>
            </w:pPr>
          </w:p>
        </w:tc>
      </w:tr>
      <w:tr w:rsidR="00AF3848" w:rsidRPr="004C78D8" w14:paraId="71053827" w14:textId="77777777" w:rsidTr="00801973">
        <w:tc>
          <w:tcPr>
            <w:tcW w:w="1484" w:type="pct"/>
            <w:tcBorders>
              <w:top w:val="nil"/>
              <w:bottom w:val="nil"/>
            </w:tcBorders>
          </w:tcPr>
          <w:p w14:paraId="3C84F065" w14:textId="2AEF8BED" w:rsidR="00AF3848" w:rsidRPr="004C78D8" w:rsidRDefault="00AF3848" w:rsidP="00FB7C1F">
            <w:pPr>
              <w:jc w:val="right"/>
              <w:rPr>
                <w:i/>
                <w:iCs/>
                <w:sz w:val="18"/>
                <w:szCs w:val="18"/>
              </w:rPr>
            </w:pPr>
            <w:r w:rsidRPr="004C78D8">
              <w:rPr>
                <w:i/>
                <w:iCs/>
                <w:sz w:val="18"/>
                <w:szCs w:val="18"/>
              </w:rPr>
              <w:t>Net productivity</w:t>
            </w:r>
            <w:r w:rsidRPr="004C78D8">
              <w:rPr>
                <w:i/>
                <w:iCs/>
                <w:sz w:val="18"/>
                <w:szCs w:val="18"/>
                <w:vertAlign w:val="superscript"/>
              </w:rPr>
              <w:t>5</w:t>
            </w:r>
          </w:p>
        </w:tc>
        <w:tc>
          <w:tcPr>
            <w:tcW w:w="1177" w:type="pct"/>
            <w:tcBorders>
              <w:top w:val="nil"/>
              <w:bottom w:val="nil"/>
            </w:tcBorders>
          </w:tcPr>
          <w:p w14:paraId="5307141A" w14:textId="3A1933C5" w:rsidR="00AF3848" w:rsidRPr="004C78D8" w:rsidRDefault="00AF3848" w:rsidP="00FB7C1F">
            <w:pPr>
              <w:jc w:val="left"/>
              <w:rPr>
                <w:sz w:val="18"/>
                <w:szCs w:val="18"/>
              </w:rPr>
            </w:pPr>
            <w:r w:rsidRPr="004C78D8">
              <w:rPr>
                <w:sz w:val="18"/>
                <w:szCs w:val="18"/>
              </w:rPr>
              <w:t>£10,679,302</w:t>
            </w:r>
          </w:p>
        </w:tc>
        <w:tc>
          <w:tcPr>
            <w:tcW w:w="1159" w:type="pct"/>
            <w:tcBorders>
              <w:top w:val="nil"/>
              <w:bottom w:val="nil"/>
            </w:tcBorders>
          </w:tcPr>
          <w:p w14:paraId="519B193D" w14:textId="0564A436" w:rsidR="00AF3848" w:rsidRPr="004C78D8" w:rsidRDefault="00EE7251" w:rsidP="00FB7C1F">
            <w:pPr>
              <w:jc w:val="left"/>
              <w:rPr>
                <w:sz w:val="18"/>
                <w:szCs w:val="18"/>
              </w:rPr>
            </w:pPr>
            <w:r w:rsidRPr="004C78D8">
              <w:rPr>
                <w:sz w:val="18"/>
                <w:szCs w:val="18"/>
              </w:rPr>
              <w:t>£25,946,460</w:t>
            </w:r>
          </w:p>
        </w:tc>
        <w:tc>
          <w:tcPr>
            <w:tcW w:w="1180" w:type="pct"/>
            <w:tcBorders>
              <w:top w:val="nil"/>
              <w:bottom w:val="nil"/>
            </w:tcBorders>
          </w:tcPr>
          <w:p w14:paraId="4624134D" w14:textId="45D3516B" w:rsidR="00AF3848" w:rsidRPr="004C78D8" w:rsidRDefault="00F63D7A" w:rsidP="00FB7C1F">
            <w:pPr>
              <w:jc w:val="left"/>
              <w:rPr>
                <w:sz w:val="18"/>
                <w:szCs w:val="18"/>
              </w:rPr>
            </w:pPr>
            <w:r w:rsidRPr="004C78D8">
              <w:rPr>
                <w:sz w:val="18"/>
                <w:szCs w:val="18"/>
              </w:rPr>
              <w:t>£15,267,158</w:t>
            </w:r>
          </w:p>
        </w:tc>
      </w:tr>
      <w:tr w:rsidR="00AF3848" w:rsidRPr="004C78D8" w14:paraId="11AE9DF6" w14:textId="77777777" w:rsidTr="00801973">
        <w:trPr>
          <w:trHeight w:val="80"/>
        </w:trPr>
        <w:tc>
          <w:tcPr>
            <w:tcW w:w="1484" w:type="pct"/>
            <w:tcBorders>
              <w:top w:val="nil"/>
              <w:bottom w:val="nil"/>
            </w:tcBorders>
          </w:tcPr>
          <w:p w14:paraId="70481F6F" w14:textId="699ACA87" w:rsidR="00AF3848" w:rsidRPr="004C78D8" w:rsidRDefault="00AF3848" w:rsidP="00FB7C1F">
            <w:pPr>
              <w:jc w:val="right"/>
              <w:rPr>
                <w:i/>
                <w:iCs/>
                <w:sz w:val="18"/>
                <w:szCs w:val="18"/>
              </w:rPr>
            </w:pPr>
            <w:r w:rsidRPr="004C78D8">
              <w:rPr>
                <w:i/>
                <w:iCs/>
                <w:sz w:val="18"/>
                <w:szCs w:val="18"/>
              </w:rPr>
              <w:t>Net private expenditure</w:t>
            </w:r>
            <w:r w:rsidRPr="004C78D8">
              <w:rPr>
                <w:i/>
                <w:iCs/>
                <w:sz w:val="18"/>
                <w:szCs w:val="18"/>
                <w:vertAlign w:val="superscript"/>
              </w:rPr>
              <w:t>6</w:t>
            </w:r>
          </w:p>
        </w:tc>
        <w:tc>
          <w:tcPr>
            <w:tcW w:w="1177" w:type="pct"/>
            <w:tcBorders>
              <w:top w:val="nil"/>
              <w:bottom w:val="nil"/>
            </w:tcBorders>
          </w:tcPr>
          <w:p w14:paraId="19EADB7D" w14:textId="2E97D8BD" w:rsidR="00AF3848" w:rsidRPr="004C78D8" w:rsidRDefault="00AF3848" w:rsidP="00FB7C1F">
            <w:pPr>
              <w:jc w:val="left"/>
              <w:rPr>
                <w:sz w:val="18"/>
                <w:szCs w:val="18"/>
              </w:rPr>
            </w:pPr>
            <w:r w:rsidRPr="004C78D8">
              <w:rPr>
                <w:sz w:val="18"/>
                <w:szCs w:val="18"/>
              </w:rPr>
              <w:t>-£2,902,928</w:t>
            </w:r>
          </w:p>
        </w:tc>
        <w:tc>
          <w:tcPr>
            <w:tcW w:w="1159" w:type="pct"/>
            <w:tcBorders>
              <w:top w:val="nil"/>
              <w:bottom w:val="nil"/>
            </w:tcBorders>
          </w:tcPr>
          <w:p w14:paraId="61F30F1E" w14:textId="064ADF7F" w:rsidR="00AF3848" w:rsidRPr="004C78D8" w:rsidRDefault="00EE7251" w:rsidP="00FB7C1F">
            <w:pPr>
              <w:jc w:val="left"/>
              <w:rPr>
                <w:sz w:val="18"/>
                <w:szCs w:val="18"/>
              </w:rPr>
            </w:pPr>
            <w:r w:rsidRPr="004C78D8">
              <w:rPr>
                <w:sz w:val="18"/>
                <w:szCs w:val="18"/>
              </w:rPr>
              <w:t>-£12,412,617</w:t>
            </w:r>
          </w:p>
        </w:tc>
        <w:tc>
          <w:tcPr>
            <w:tcW w:w="1180" w:type="pct"/>
            <w:tcBorders>
              <w:top w:val="nil"/>
              <w:bottom w:val="nil"/>
            </w:tcBorders>
          </w:tcPr>
          <w:p w14:paraId="4497E164" w14:textId="0C65E5CB" w:rsidR="00AF3848" w:rsidRPr="004C78D8" w:rsidRDefault="00F63D7A" w:rsidP="00FB7C1F">
            <w:pPr>
              <w:jc w:val="left"/>
              <w:rPr>
                <w:sz w:val="18"/>
                <w:szCs w:val="18"/>
              </w:rPr>
            </w:pPr>
            <w:r w:rsidRPr="004C78D8">
              <w:rPr>
                <w:sz w:val="18"/>
                <w:szCs w:val="18"/>
              </w:rPr>
              <w:t>-£9,509,689</w:t>
            </w:r>
          </w:p>
        </w:tc>
      </w:tr>
      <w:tr w:rsidR="00AF3848" w:rsidRPr="004C78D8" w14:paraId="0A13D43C" w14:textId="77777777" w:rsidTr="00801973">
        <w:tc>
          <w:tcPr>
            <w:tcW w:w="1484" w:type="pct"/>
            <w:tcBorders>
              <w:top w:val="nil"/>
              <w:bottom w:val="nil"/>
            </w:tcBorders>
          </w:tcPr>
          <w:p w14:paraId="72EE97AB" w14:textId="4A1A0824" w:rsidR="00AF3848" w:rsidRPr="004C78D8" w:rsidRDefault="00AF3848" w:rsidP="00FB7C1F">
            <w:pPr>
              <w:jc w:val="right"/>
              <w:rPr>
                <w:i/>
                <w:iCs/>
                <w:sz w:val="18"/>
                <w:szCs w:val="18"/>
              </w:rPr>
            </w:pPr>
            <w:r w:rsidRPr="004C78D8">
              <w:rPr>
                <w:i/>
                <w:iCs/>
                <w:sz w:val="18"/>
                <w:szCs w:val="18"/>
              </w:rPr>
              <w:t>Net informal caregiving cost</w:t>
            </w:r>
            <w:r w:rsidRPr="004C78D8">
              <w:rPr>
                <w:i/>
                <w:iCs/>
                <w:sz w:val="18"/>
                <w:szCs w:val="18"/>
                <w:vertAlign w:val="superscript"/>
              </w:rPr>
              <w:t>7</w:t>
            </w:r>
          </w:p>
        </w:tc>
        <w:tc>
          <w:tcPr>
            <w:tcW w:w="1177" w:type="pct"/>
            <w:tcBorders>
              <w:top w:val="nil"/>
              <w:bottom w:val="nil"/>
            </w:tcBorders>
          </w:tcPr>
          <w:p w14:paraId="463D68E4" w14:textId="54C53001" w:rsidR="00AF3848" w:rsidRPr="004C78D8" w:rsidRDefault="00AF3848" w:rsidP="00FB7C1F">
            <w:pPr>
              <w:jc w:val="left"/>
              <w:rPr>
                <w:sz w:val="18"/>
                <w:szCs w:val="18"/>
              </w:rPr>
            </w:pPr>
            <w:r w:rsidRPr="004C78D8">
              <w:rPr>
                <w:sz w:val="18"/>
                <w:szCs w:val="18"/>
              </w:rPr>
              <w:t>-£30,917,714</w:t>
            </w:r>
          </w:p>
        </w:tc>
        <w:tc>
          <w:tcPr>
            <w:tcW w:w="1159" w:type="pct"/>
            <w:tcBorders>
              <w:top w:val="nil"/>
              <w:bottom w:val="nil"/>
            </w:tcBorders>
          </w:tcPr>
          <w:p w14:paraId="3CEDD0B7" w14:textId="5AD2E1BB" w:rsidR="00AF3848" w:rsidRPr="004C78D8" w:rsidRDefault="00EE7251" w:rsidP="00FB7C1F">
            <w:pPr>
              <w:jc w:val="left"/>
              <w:rPr>
                <w:sz w:val="18"/>
                <w:szCs w:val="18"/>
              </w:rPr>
            </w:pPr>
            <w:r w:rsidRPr="004C78D8">
              <w:rPr>
                <w:sz w:val="18"/>
                <w:szCs w:val="18"/>
              </w:rPr>
              <w:t>-£49,148,209</w:t>
            </w:r>
          </w:p>
        </w:tc>
        <w:tc>
          <w:tcPr>
            <w:tcW w:w="1180" w:type="pct"/>
            <w:tcBorders>
              <w:top w:val="nil"/>
              <w:bottom w:val="nil"/>
            </w:tcBorders>
          </w:tcPr>
          <w:p w14:paraId="0A6CC6D0" w14:textId="48B622AF" w:rsidR="00AF3848" w:rsidRPr="004C78D8" w:rsidRDefault="00F63D7A" w:rsidP="00FB7C1F">
            <w:pPr>
              <w:jc w:val="left"/>
              <w:rPr>
                <w:sz w:val="18"/>
                <w:szCs w:val="18"/>
              </w:rPr>
            </w:pPr>
            <w:r w:rsidRPr="004C78D8">
              <w:rPr>
                <w:sz w:val="18"/>
                <w:szCs w:val="18"/>
              </w:rPr>
              <w:t>-£18,230,494</w:t>
            </w:r>
          </w:p>
        </w:tc>
      </w:tr>
      <w:tr w:rsidR="00AF3848" w:rsidRPr="004C78D8" w14:paraId="49693648" w14:textId="77777777" w:rsidTr="00801973">
        <w:tc>
          <w:tcPr>
            <w:tcW w:w="1484" w:type="pct"/>
            <w:tcBorders>
              <w:top w:val="nil"/>
              <w:bottom w:val="single" w:sz="4" w:space="0" w:color="auto"/>
            </w:tcBorders>
          </w:tcPr>
          <w:p w14:paraId="35C1BDE4" w14:textId="77777777" w:rsidR="00AF3848" w:rsidRPr="004C78D8" w:rsidRDefault="00AF3848" w:rsidP="00FB7C1F">
            <w:pPr>
              <w:jc w:val="left"/>
              <w:rPr>
                <w:sz w:val="18"/>
                <w:szCs w:val="18"/>
              </w:rPr>
            </w:pPr>
            <w:r w:rsidRPr="004C78D8">
              <w:rPr>
                <w:sz w:val="18"/>
                <w:szCs w:val="18"/>
              </w:rPr>
              <w:t>Societal gain, QALY equivalent</w:t>
            </w:r>
          </w:p>
        </w:tc>
        <w:tc>
          <w:tcPr>
            <w:tcW w:w="1177" w:type="pct"/>
            <w:tcBorders>
              <w:top w:val="nil"/>
              <w:bottom w:val="single" w:sz="4" w:space="0" w:color="auto"/>
              <w:right w:val="single" w:sz="4" w:space="0" w:color="auto"/>
            </w:tcBorders>
          </w:tcPr>
          <w:p w14:paraId="649EA13A" w14:textId="19AA9A76" w:rsidR="00AF3848" w:rsidRPr="004C78D8" w:rsidRDefault="00AF3848" w:rsidP="00FB7C1F">
            <w:pPr>
              <w:jc w:val="left"/>
              <w:rPr>
                <w:sz w:val="18"/>
                <w:szCs w:val="18"/>
              </w:rPr>
            </w:pPr>
            <w:r w:rsidRPr="004C78D8">
              <w:rPr>
                <w:sz w:val="18"/>
                <w:szCs w:val="18"/>
              </w:rPr>
              <w:t>742 QALYs</w:t>
            </w:r>
          </w:p>
        </w:tc>
        <w:tc>
          <w:tcPr>
            <w:tcW w:w="1159" w:type="pct"/>
            <w:tcBorders>
              <w:top w:val="nil"/>
              <w:left w:val="single" w:sz="4" w:space="0" w:color="auto"/>
              <w:bottom w:val="single" w:sz="4" w:space="0" w:color="auto"/>
            </w:tcBorders>
          </w:tcPr>
          <w:p w14:paraId="349C2043" w14:textId="74D767E5" w:rsidR="00AF3848" w:rsidRPr="004C78D8" w:rsidRDefault="00EE7251" w:rsidP="00FB7C1F">
            <w:pPr>
              <w:jc w:val="left"/>
              <w:rPr>
                <w:sz w:val="18"/>
                <w:szCs w:val="18"/>
              </w:rPr>
            </w:pPr>
            <w:r w:rsidRPr="004C78D8">
              <w:rPr>
                <w:sz w:val="18"/>
                <w:szCs w:val="18"/>
              </w:rPr>
              <w:t>1,458</w:t>
            </w:r>
            <w:r w:rsidR="00AF3848" w:rsidRPr="004C78D8">
              <w:rPr>
                <w:sz w:val="18"/>
                <w:szCs w:val="18"/>
              </w:rPr>
              <w:t xml:space="preserve"> QALYs</w:t>
            </w:r>
          </w:p>
        </w:tc>
        <w:tc>
          <w:tcPr>
            <w:tcW w:w="1180" w:type="pct"/>
            <w:tcBorders>
              <w:top w:val="nil"/>
              <w:bottom w:val="single" w:sz="4" w:space="0" w:color="auto"/>
            </w:tcBorders>
          </w:tcPr>
          <w:p w14:paraId="648E7D49" w14:textId="7F42B2B4" w:rsidR="00AF3848" w:rsidRPr="004C78D8" w:rsidRDefault="00F63D7A" w:rsidP="00FB7C1F">
            <w:pPr>
              <w:jc w:val="left"/>
              <w:rPr>
                <w:sz w:val="18"/>
                <w:szCs w:val="18"/>
              </w:rPr>
            </w:pPr>
            <w:r w:rsidRPr="004C78D8">
              <w:rPr>
                <w:sz w:val="18"/>
                <w:szCs w:val="18"/>
              </w:rPr>
              <w:t>717</w:t>
            </w:r>
            <w:r w:rsidR="00AF3848" w:rsidRPr="004C78D8">
              <w:rPr>
                <w:sz w:val="18"/>
                <w:szCs w:val="18"/>
              </w:rPr>
              <w:t xml:space="preserve"> QALYs</w:t>
            </w:r>
          </w:p>
        </w:tc>
      </w:tr>
      <w:tr w:rsidR="00AF3848" w:rsidRPr="004C78D8" w14:paraId="61944287" w14:textId="77777777" w:rsidTr="00801973">
        <w:tc>
          <w:tcPr>
            <w:tcW w:w="1484" w:type="pct"/>
            <w:tcBorders>
              <w:top w:val="single" w:sz="4" w:space="0" w:color="auto"/>
              <w:bottom w:val="nil"/>
            </w:tcBorders>
          </w:tcPr>
          <w:p w14:paraId="64543D0C" w14:textId="77777777" w:rsidR="00AF3848" w:rsidRPr="004C78D8" w:rsidRDefault="00AF3848" w:rsidP="00FB7C1F">
            <w:pPr>
              <w:jc w:val="left"/>
              <w:rPr>
                <w:sz w:val="18"/>
                <w:szCs w:val="18"/>
              </w:rPr>
            </w:pPr>
            <w:r w:rsidRPr="004C78D8">
              <w:rPr>
                <w:sz w:val="18"/>
                <w:szCs w:val="18"/>
              </w:rPr>
              <w:t>Societal ICER using (1)</w:t>
            </w:r>
          </w:p>
        </w:tc>
        <w:tc>
          <w:tcPr>
            <w:tcW w:w="1177" w:type="pct"/>
            <w:tcBorders>
              <w:top w:val="single" w:sz="4" w:space="0" w:color="auto"/>
              <w:bottom w:val="nil"/>
              <w:right w:val="single" w:sz="4" w:space="0" w:color="auto"/>
            </w:tcBorders>
          </w:tcPr>
          <w:p w14:paraId="0EB6EDD9" w14:textId="12AAA07B" w:rsidR="00AF3848" w:rsidRPr="004C78D8" w:rsidRDefault="00AF3848" w:rsidP="00FB7C1F">
            <w:pPr>
              <w:jc w:val="left"/>
              <w:rPr>
                <w:sz w:val="18"/>
                <w:szCs w:val="18"/>
              </w:rPr>
            </w:pPr>
            <w:r w:rsidRPr="004C78D8">
              <w:rPr>
                <w:sz w:val="18"/>
                <w:szCs w:val="18"/>
              </w:rPr>
              <w:t xml:space="preserve">£10,939 </w:t>
            </w:r>
            <w:r w:rsidRPr="00972766">
              <w:rPr>
                <w:sz w:val="16"/>
                <w:szCs w:val="16"/>
              </w:rPr>
              <w:t>per QALY gain</w:t>
            </w:r>
            <w:r w:rsidR="00A64995" w:rsidRPr="00972766">
              <w:rPr>
                <w:sz w:val="16"/>
                <w:szCs w:val="16"/>
              </w:rPr>
              <w:t>ed</w:t>
            </w:r>
            <w:r w:rsidRPr="004C78D8">
              <w:rPr>
                <w:sz w:val="18"/>
                <w:szCs w:val="18"/>
                <w:vertAlign w:val="superscript"/>
              </w:rPr>
              <w:t>8</w:t>
            </w:r>
          </w:p>
        </w:tc>
        <w:tc>
          <w:tcPr>
            <w:tcW w:w="1159" w:type="pct"/>
            <w:tcBorders>
              <w:top w:val="single" w:sz="4" w:space="0" w:color="auto"/>
              <w:left w:val="single" w:sz="4" w:space="0" w:color="auto"/>
              <w:bottom w:val="nil"/>
            </w:tcBorders>
          </w:tcPr>
          <w:p w14:paraId="1ACF544F" w14:textId="0C4D0950" w:rsidR="00AF3848" w:rsidRPr="004C78D8" w:rsidRDefault="00AF3848" w:rsidP="00FB7C1F">
            <w:pPr>
              <w:jc w:val="left"/>
              <w:rPr>
                <w:sz w:val="18"/>
                <w:szCs w:val="18"/>
              </w:rPr>
            </w:pPr>
            <w:r w:rsidRPr="004C78D8">
              <w:rPr>
                <w:sz w:val="18"/>
                <w:szCs w:val="18"/>
              </w:rPr>
              <w:t>£</w:t>
            </w:r>
            <w:r w:rsidR="00462B1B" w:rsidRPr="004C78D8">
              <w:rPr>
                <w:sz w:val="18"/>
                <w:szCs w:val="18"/>
              </w:rPr>
              <w:t>9</w:t>
            </w:r>
            <w:r w:rsidRPr="004C78D8">
              <w:rPr>
                <w:sz w:val="18"/>
                <w:szCs w:val="18"/>
              </w:rPr>
              <w:t>,</w:t>
            </w:r>
            <w:r w:rsidR="00462B1B" w:rsidRPr="004C78D8">
              <w:rPr>
                <w:sz w:val="18"/>
                <w:szCs w:val="18"/>
              </w:rPr>
              <w:t>966</w:t>
            </w:r>
            <w:r w:rsidRPr="004C78D8">
              <w:rPr>
                <w:sz w:val="18"/>
                <w:szCs w:val="18"/>
              </w:rPr>
              <w:t xml:space="preserve"> </w:t>
            </w:r>
            <w:r w:rsidRPr="00972766">
              <w:rPr>
                <w:sz w:val="16"/>
                <w:szCs w:val="16"/>
              </w:rPr>
              <w:t xml:space="preserve">per QALY </w:t>
            </w:r>
            <w:r w:rsidRPr="00972766">
              <w:rPr>
                <w:sz w:val="14"/>
                <w:szCs w:val="14"/>
              </w:rPr>
              <w:t>gain</w:t>
            </w:r>
            <w:r w:rsidR="00A64995" w:rsidRPr="00972766">
              <w:rPr>
                <w:sz w:val="14"/>
                <w:szCs w:val="14"/>
              </w:rPr>
              <w:t>ed</w:t>
            </w:r>
            <w:r w:rsidRPr="004C78D8">
              <w:rPr>
                <w:sz w:val="18"/>
                <w:szCs w:val="18"/>
                <w:vertAlign w:val="superscript"/>
              </w:rPr>
              <w:t>9</w:t>
            </w:r>
          </w:p>
        </w:tc>
        <w:tc>
          <w:tcPr>
            <w:tcW w:w="1180" w:type="pct"/>
            <w:tcBorders>
              <w:top w:val="single" w:sz="4" w:space="0" w:color="auto"/>
              <w:bottom w:val="nil"/>
            </w:tcBorders>
          </w:tcPr>
          <w:p w14:paraId="1EE21033" w14:textId="6F298832" w:rsidR="00AF3848" w:rsidRPr="004C78D8" w:rsidRDefault="00AF3848" w:rsidP="00FB7C1F">
            <w:pPr>
              <w:jc w:val="left"/>
              <w:rPr>
                <w:sz w:val="18"/>
                <w:szCs w:val="18"/>
              </w:rPr>
            </w:pPr>
            <w:r w:rsidRPr="004C78D8">
              <w:rPr>
                <w:sz w:val="18"/>
                <w:szCs w:val="18"/>
              </w:rPr>
              <w:t>£</w:t>
            </w:r>
            <w:r w:rsidR="00F63D7A" w:rsidRPr="004C78D8">
              <w:rPr>
                <w:sz w:val="18"/>
                <w:szCs w:val="18"/>
              </w:rPr>
              <w:t>7</w:t>
            </w:r>
            <w:r w:rsidRPr="004C78D8">
              <w:rPr>
                <w:sz w:val="18"/>
                <w:szCs w:val="18"/>
              </w:rPr>
              <w:t>,</w:t>
            </w:r>
            <w:r w:rsidR="00F63D7A" w:rsidRPr="004C78D8">
              <w:rPr>
                <w:sz w:val="18"/>
                <w:szCs w:val="18"/>
              </w:rPr>
              <w:t>443</w:t>
            </w:r>
            <w:r w:rsidRPr="004C78D8">
              <w:rPr>
                <w:sz w:val="18"/>
                <w:szCs w:val="18"/>
              </w:rPr>
              <w:t xml:space="preserve"> </w:t>
            </w:r>
            <w:r w:rsidRPr="00972766">
              <w:rPr>
                <w:sz w:val="16"/>
                <w:szCs w:val="16"/>
              </w:rPr>
              <w:t>per QALY gain</w:t>
            </w:r>
            <w:r w:rsidR="00A64995" w:rsidRPr="00972766">
              <w:rPr>
                <w:sz w:val="16"/>
                <w:szCs w:val="16"/>
              </w:rPr>
              <w:t>ed</w:t>
            </w:r>
            <w:r w:rsidRPr="004C78D8">
              <w:rPr>
                <w:sz w:val="18"/>
                <w:szCs w:val="18"/>
                <w:vertAlign w:val="superscript"/>
              </w:rPr>
              <w:t>10</w:t>
            </w:r>
          </w:p>
        </w:tc>
      </w:tr>
      <w:tr w:rsidR="00AF3848" w:rsidRPr="004C78D8" w14:paraId="0FFC3ED0" w14:textId="77777777" w:rsidTr="00801973">
        <w:tc>
          <w:tcPr>
            <w:tcW w:w="1484" w:type="pct"/>
            <w:tcBorders>
              <w:top w:val="nil"/>
              <w:bottom w:val="nil"/>
            </w:tcBorders>
          </w:tcPr>
          <w:p w14:paraId="0FC91242" w14:textId="77777777" w:rsidR="00AF3848" w:rsidRPr="004C78D8" w:rsidRDefault="00AF3848" w:rsidP="00FB7C1F">
            <w:pPr>
              <w:jc w:val="left"/>
              <w:rPr>
                <w:sz w:val="18"/>
                <w:szCs w:val="18"/>
              </w:rPr>
            </w:pPr>
            <w:r w:rsidRPr="004C78D8">
              <w:rPr>
                <w:sz w:val="18"/>
                <w:szCs w:val="18"/>
              </w:rPr>
              <w:t>Societal ICER using (2)</w:t>
            </w:r>
          </w:p>
        </w:tc>
        <w:tc>
          <w:tcPr>
            <w:tcW w:w="1177" w:type="pct"/>
            <w:tcBorders>
              <w:top w:val="nil"/>
              <w:bottom w:val="nil"/>
              <w:right w:val="single" w:sz="4" w:space="0" w:color="auto"/>
            </w:tcBorders>
          </w:tcPr>
          <w:p w14:paraId="2FCE1FF4" w14:textId="13CF3A6D" w:rsidR="00AF3848" w:rsidRPr="004C78D8" w:rsidRDefault="00AF3848" w:rsidP="00FB7C1F">
            <w:pPr>
              <w:jc w:val="left"/>
              <w:rPr>
                <w:sz w:val="18"/>
                <w:szCs w:val="18"/>
              </w:rPr>
            </w:pPr>
            <w:r w:rsidRPr="004C78D8">
              <w:rPr>
                <w:sz w:val="18"/>
                <w:szCs w:val="18"/>
              </w:rPr>
              <w:t xml:space="preserve">£11,758 </w:t>
            </w:r>
            <w:r w:rsidRPr="00972766">
              <w:rPr>
                <w:sz w:val="16"/>
                <w:szCs w:val="16"/>
              </w:rPr>
              <w:t>per QALY gain</w:t>
            </w:r>
            <w:r w:rsidR="00A64995" w:rsidRPr="00972766">
              <w:rPr>
                <w:sz w:val="16"/>
                <w:szCs w:val="16"/>
              </w:rPr>
              <w:t>ed</w:t>
            </w:r>
          </w:p>
        </w:tc>
        <w:tc>
          <w:tcPr>
            <w:tcW w:w="1159" w:type="pct"/>
            <w:tcBorders>
              <w:top w:val="nil"/>
              <w:left w:val="single" w:sz="4" w:space="0" w:color="auto"/>
              <w:bottom w:val="nil"/>
            </w:tcBorders>
          </w:tcPr>
          <w:p w14:paraId="11ACB367" w14:textId="01D27F4C" w:rsidR="00AF3848" w:rsidRPr="004C78D8" w:rsidRDefault="00AF3848" w:rsidP="00FB7C1F">
            <w:pPr>
              <w:jc w:val="left"/>
              <w:rPr>
                <w:sz w:val="18"/>
                <w:szCs w:val="18"/>
              </w:rPr>
            </w:pPr>
            <w:r w:rsidRPr="004C78D8">
              <w:rPr>
                <w:sz w:val="18"/>
                <w:szCs w:val="18"/>
              </w:rPr>
              <w:t>£1</w:t>
            </w:r>
            <w:r w:rsidR="00462B1B" w:rsidRPr="004C78D8">
              <w:rPr>
                <w:sz w:val="18"/>
                <w:szCs w:val="18"/>
              </w:rPr>
              <w:t>0</w:t>
            </w:r>
            <w:r w:rsidRPr="004C78D8">
              <w:rPr>
                <w:sz w:val="18"/>
                <w:szCs w:val="18"/>
              </w:rPr>
              <w:t>,</w:t>
            </w:r>
            <w:r w:rsidR="00462B1B" w:rsidRPr="004C78D8">
              <w:rPr>
                <w:sz w:val="18"/>
                <w:szCs w:val="18"/>
              </w:rPr>
              <w:t>750</w:t>
            </w:r>
            <w:r w:rsidRPr="004C78D8">
              <w:rPr>
                <w:sz w:val="18"/>
                <w:szCs w:val="18"/>
              </w:rPr>
              <w:t xml:space="preserve"> </w:t>
            </w:r>
            <w:r w:rsidRPr="00972766">
              <w:rPr>
                <w:sz w:val="16"/>
                <w:szCs w:val="16"/>
              </w:rPr>
              <w:t>per QALY gain</w:t>
            </w:r>
            <w:r w:rsidR="00A64995" w:rsidRPr="00972766">
              <w:rPr>
                <w:sz w:val="16"/>
                <w:szCs w:val="16"/>
              </w:rPr>
              <w:t>ed</w:t>
            </w:r>
          </w:p>
        </w:tc>
        <w:tc>
          <w:tcPr>
            <w:tcW w:w="1180" w:type="pct"/>
            <w:tcBorders>
              <w:top w:val="nil"/>
              <w:bottom w:val="nil"/>
            </w:tcBorders>
          </w:tcPr>
          <w:p w14:paraId="296B2F24" w14:textId="419B6A02" w:rsidR="00AF3848" w:rsidRPr="004C78D8" w:rsidRDefault="00AF3848" w:rsidP="00FB7C1F">
            <w:pPr>
              <w:jc w:val="left"/>
              <w:rPr>
                <w:sz w:val="18"/>
                <w:szCs w:val="18"/>
              </w:rPr>
            </w:pPr>
            <w:r w:rsidRPr="004C78D8">
              <w:rPr>
                <w:sz w:val="18"/>
                <w:szCs w:val="18"/>
              </w:rPr>
              <w:t>£</w:t>
            </w:r>
            <w:r w:rsidR="00F63D7A" w:rsidRPr="004C78D8">
              <w:rPr>
                <w:sz w:val="18"/>
                <w:szCs w:val="18"/>
              </w:rPr>
              <w:t>8</w:t>
            </w:r>
            <w:r w:rsidRPr="004C78D8">
              <w:rPr>
                <w:sz w:val="18"/>
                <w:szCs w:val="18"/>
              </w:rPr>
              <w:t>,</w:t>
            </w:r>
            <w:r w:rsidR="00F63D7A" w:rsidRPr="004C78D8">
              <w:rPr>
                <w:sz w:val="18"/>
                <w:szCs w:val="18"/>
              </w:rPr>
              <w:t>137</w:t>
            </w:r>
            <w:r w:rsidRPr="004C78D8">
              <w:rPr>
                <w:sz w:val="18"/>
                <w:szCs w:val="18"/>
              </w:rPr>
              <w:t xml:space="preserve"> </w:t>
            </w:r>
            <w:r w:rsidRPr="00972766">
              <w:rPr>
                <w:sz w:val="16"/>
                <w:szCs w:val="16"/>
              </w:rPr>
              <w:t>per QALY gain</w:t>
            </w:r>
            <w:r w:rsidR="00A64995" w:rsidRPr="00972766">
              <w:rPr>
                <w:sz w:val="16"/>
                <w:szCs w:val="16"/>
              </w:rPr>
              <w:t>ed</w:t>
            </w:r>
          </w:p>
        </w:tc>
      </w:tr>
      <w:tr w:rsidR="00AF3848" w:rsidRPr="004C78D8" w14:paraId="30F9BA6C" w14:textId="77777777" w:rsidTr="00801973">
        <w:tc>
          <w:tcPr>
            <w:tcW w:w="1484" w:type="pct"/>
            <w:tcBorders>
              <w:top w:val="nil"/>
              <w:bottom w:val="nil"/>
            </w:tcBorders>
          </w:tcPr>
          <w:p w14:paraId="5B027705" w14:textId="6D9863DD" w:rsidR="00AF3848" w:rsidRPr="004C78D8" w:rsidRDefault="00AF3848" w:rsidP="00FB7C1F">
            <w:pPr>
              <w:jc w:val="left"/>
              <w:rPr>
                <w:sz w:val="18"/>
                <w:szCs w:val="18"/>
              </w:rPr>
            </w:pPr>
            <w:r w:rsidRPr="004C78D8">
              <w:rPr>
                <w:sz w:val="18"/>
                <w:szCs w:val="18"/>
              </w:rPr>
              <w:t>Societal INMB using (1)</w:t>
            </w:r>
            <w:r w:rsidRPr="004C78D8">
              <w:rPr>
                <w:sz w:val="18"/>
                <w:szCs w:val="18"/>
                <w:vertAlign w:val="superscript"/>
              </w:rPr>
              <w:t>11</w:t>
            </w:r>
          </w:p>
        </w:tc>
        <w:tc>
          <w:tcPr>
            <w:tcW w:w="1177" w:type="pct"/>
            <w:tcBorders>
              <w:top w:val="nil"/>
              <w:bottom w:val="nil"/>
              <w:right w:val="single" w:sz="4" w:space="0" w:color="auto"/>
            </w:tcBorders>
          </w:tcPr>
          <w:p w14:paraId="089CE345" w14:textId="296A0B55" w:rsidR="00AF3848" w:rsidRPr="004C78D8" w:rsidRDefault="00AF3848" w:rsidP="00FB7C1F">
            <w:pPr>
              <w:jc w:val="left"/>
              <w:rPr>
                <w:sz w:val="18"/>
                <w:szCs w:val="18"/>
              </w:rPr>
            </w:pPr>
            <w:r w:rsidRPr="004C78D8">
              <w:rPr>
                <w:sz w:val="18"/>
                <w:szCs w:val="18"/>
              </w:rPr>
              <w:t>£138,985,110</w:t>
            </w:r>
          </w:p>
        </w:tc>
        <w:tc>
          <w:tcPr>
            <w:tcW w:w="1159" w:type="pct"/>
            <w:tcBorders>
              <w:top w:val="nil"/>
              <w:left w:val="single" w:sz="4" w:space="0" w:color="auto"/>
              <w:bottom w:val="nil"/>
            </w:tcBorders>
          </w:tcPr>
          <w:p w14:paraId="05C7897D" w14:textId="692EFCE2" w:rsidR="00AF3848" w:rsidRPr="004C78D8" w:rsidRDefault="00AF3848" w:rsidP="00FB7C1F">
            <w:pPr>
              <w:jc w:val="left"/>
              <w:rPr>
                <w:sz w:val="18"/>
                <w:szCs w:val="18"/>
              </w:rPr>
            </w:pPr>
            <w:r w:rsidRPr="004C78D8">
              <w:rPr>
                <w:sz w:val="18"/>
                <w:szCs w:val="18"/>
              </w:rPr>
              <w:t>£</w:t>
            </w:r>
            <w:r w:rsidR="00462B1B" w:rsidRPr="004C78D8">
              <w:rPr>
                <w:sz w:val="18"/>
                <w:szCs w:val="18"/>
              </w:rPr>
              <w:t>202</w:t>
            </w:r>
            <w:r w:rsidRPr="004C78D8">
              <w:rPr>
                <w:sz w:val="18"/>
                <w:szCs w:val="18"/>
              </w:rPr>
              <w:t>,</w:t>
            </w:r>
            <w:r w:rsidR="00462B1B" w:rsidRPr="004C78D8">
              <w:rPr>
                <w:sz w:val="18"/>
                <w:szCs w:val="18"/>
              </w:rPr>
              <w:t>384</w:t>
            </w:r>
            <w:r w:rsidRPr="004C78D8">
              <w:rPr>
                <w:sz w:val="18"/>
                <w:szCs w:val="18"/>
              </w:rPr>
              <w:t>,6</w:t>
            </w:r>
            <w:r w:rsidR="00462B1B" w:rsidRPr="004C78D8">
              <w:rPr>
                <w:sz w:val="18"/>
                <w:szCs w:val="18"/>
              </w:rPr>
              <w:t>70</w:t>
            </w:r>
          </w:p>
        </w:tc>
        <w:tc>
          <w:tcPr>
            <w:tcW w:w="1180" w:type="pct"/>
            <w:tcBorders>
              <w:top w:val="nil"/>
              <w:bottom w:val="nil"/>
            </w:tcBorders>
          </w:tcPr>
          <w:p w14:paraId="52F23575" w14:textId="38159FE5" w:rsidR="00AF3848" w:rsidRPr="004C78D8" w:rsidRDefault="00AF3848" w:rsidP="00FB7C1F">
            <w:pPr>
              <w:jc w:val="left"/>
              <w:rPr>
                <w:sz w:val="18"/>
                <w:szCs w:val="18"/>
              </w:rPr>
            </w:pPr>
            <w:r w:rsidRPr="004C78D8">
              <w:rPr>
                <w:sz w:val="18"/>
                <w:szCs w:val="18"/>
              </w:rPr>
              <w:t>£</w:t>
            </w:r>
            <w:r w:rsidR="00F63D7A" w:rsidRPr="004C78D8">
              <w:rPr>
                <w:sz w:val="18"/>
                <w:szCs w:val="18"/>
              </w:rPr>
              <w:t>63</w:t>
            </w:r>
            <w:r w:rsidRPr="004C78D8">
              <w:rPr>
                <w:sz w:val="18"/>
                <w:szCs w:val="18"/>
              </w:rPr>
              <w:t>,</w:t>
            </w:r>
            <w:r w:rsidR="00F63D7A" w:rsidRPr="004C78D8">
              <w:rPr>
                <w:sz w:val="18"/>
                <w:szCs w:val="18"/>
              </w:rPr>
              <w:t>399</w:t>
            </w:r>
            <w:r w:rsidRPr="004C78D8">
              <w:rPr>
                <w:sz w:val="18"/>
                <w:szCs w:val="18"/>
              </w:rPr>
              <w:t>,5</w:t>
            </w:r>
            <w:r w:rsidR="00F63D7A" w:rsidRPr="004C78D8">
              <w:rPr>
                <w:sz w:val="18"/>
                <w:szCs w:val="18"/>
              </w:rPr>
              <w:t>60</w:t>
            </w:r>
          </w:p>
        </w:tc>
      </w:tr>
      <w:tr w:rsidR="00AF3848" w:rsidRPr="004C78D8" w14:paraId="6F8BB68C" w14:textId="77777777" w:rsidTr="00801973">
        <w:tc>
          <w:tcPr>
            <w:tcW w:w="1484" w:type="pct"/>
            <w:tcBorders>
              <w:top w:val="nil"/>
              <w:bottom w:val="single" w:sz="4" w:space="0" w:color="auto"/>
            </w:tcBorders>
          </w:tcPr>
          <w:p w14:paraId="777190CE" w14:textId="77777777" w:rsidR="00AF3848" w:rsidRPr="004C78D8" w:rsidRDefault="00AF3848" w:rsidP="00FB7C1F">
            <w:pPr>
              <w:jc w:val="left"/>
              <w:rPr>
                <w:sz w:val="18"/>
                <w:szCs w:val="18"/>
              </w:rPr>
            </w:pPr>
            <w:r w:rsidRPr="004C78D8">
              <w:rPr>
                <w:sz w:val="18"/>
                <w:szCs w:val="18"/>
              </w:rPr>
              <w:t>Societal INMB using (2)</w:t>
            </w:r>
          </w:p>
        </w:tc>
        <w:tc>
          <w:tcPr>
            <w:tcW w:w="1177" w:type="pct"/>
            <w:tcBorders>
              <w:top w:val="nil"/>
              <w:bottom w:val="single" w:sz="4" w:space="0" w:color="auto"/>
              <w:right w:val="single" w:sz="4" w:space="0" w:color="auto"/>
            </w:tcBorders>
          </w:tcPr>
          <w:p w14:paraId="5ACD2B4A" w14:textId="1E2338A9" w:rsidR="00AF3848" w:rsidRPr="004C78D8" w:rsidRDefault="00AF3848" w:rsidP="00FB7C1F">
            <w:pPr>
              <w:jc w:val="left"/>
              <w:rPr>
                <w:sz w:val="18"/>
                <w:szCs w:val="18"/>
              </w:rPr>
            </w:pPr>
            <w:r w:rsidRPr="004C78D8">
              <w:rPr>
                <w:sz w:val="18"/>
                <w:szCs w:val="18"/>
              </w:rPr>
              <w:t>£133,012,581</w:t>
            </w:r>
          </w:p>
        </w:tc>
        <w:tc>
          <w:tcPr>
            <w:tcW w:w="1159" w:type="pct"/>
            <w:tcBorders>
              <w:top w:val="nil"/>
              <w:left w:val="single" w:sz="4" w:space="0" w:color="auto"/>
              <w:bottom w:val="single" w:sz="4" w:space="0" w:color="auto"/>
            </w:tcBorders>
          </w:tcPr>
          <w:p w14:paraId="0C02AAD9" w14:textId="0E8F3DEF" w:rsidR="00AF3848" w:rsidRPr="004C78D8" w:rsidRDefault="00AF3848" w:rsidP="00FB7C1F">
            <w:pPr>
              <w:jc w:val="left"/>
              <w:rPr>
                <w:sz w:val="18"/>
                <w:szCs w:val="18"/>
              </w:rPr>
            </w:pPr>
            <w:r w:rsidRPr="004C78D8">
              <w:rPr>
                <w:sz w:val="18"/>
                <w:szCs w:val="18"/>
              </w:rPr>
              <w:t>£1</w:t>
            </w:r>
            <w:r w:rsidR="00462B1B" w:rsidRPr="004C78D8">
              <w:rPr>
                <w:sz w:val="18"/>
                <w:szCs w:val="18"/>
              </w:rPr>
              <w:t>94</w:t>
            </w:r>
            <w:r w:rsidRPr="004C78D8">
              <w:rPr>
                <w:sz w:val="18"/>
                <w:szCs w:val="18"/>
              </w:rPr>
              <w:t>,4</w:t>
            </w:r>
            <w:r w:rsidR="00462B1B" w:rsidRPr="004C78D8">
              <w:rPr>
                <w:sz w:val="18"/>
                <w:szCs w:val="18"/>
              </w:rPr>
              <w:t>61</w:t>
            </w:r>
            <w:r w:rsidRPr="004C78D8">
              <w:rPr>
                <w:sz w:val="18"/>
                <w:szCs w:val="18"/>
              </w:rPr>
              <w:t>,</w:t>
            </w:r>
            <w:r w:rsidR="00462B1B" w:rsidRPr="004C78D8">
              <w:rPr>
                <w:sz w:val="18"/>
                <w:szCs w:val="18"/>
              </w:rPr>
              <w:t>546</w:t>
            </w:r>
          </w:p>
        </w:tc>
        <w:tc>
          <w:tcPr>
            <w:tcW w:w="1180" w:type="pct"/>
            <w:tcBorders>
              <w:top w:val="nil"/>
              <w:bottom w:val="single" w:sz="4" w:space="0" w:color="auto"/>
            </w:tcBorders>
          </w:tcPr>
          <w:p w14:paraId="5D610F10" w14:textId="08FBC46A" w:rsidR="00AF3848" w:rsidRPr="004C78D8" w:rsidRDefault="00AF3848" w:rsidP="00FB7C1F">
            <w:pPr>
              <w:jc w:val="left"/>
              <w:rPr>
                <w:sz w:val="18"/>
                <w:szCs w:val="18"/>
              </w:rPr>
            </w:pPr>
            <w:r w:rsidRPr="004C78D8">
              <w:rPr>
                <w:sz w:val="18"/>
                <w:szCs w:val="18"/>
              </w:rPr>
              <w:t>£</w:t>
            </w:r>
            <w:r w:rsidR="00F63D7A" w:rsidRPr="004C78D8">
              <w:rPr>
                <w:sz w:val="18"/>
                <w:szCs w:val="18"/>
              </w:rPr>
              <w:t>61</w:t>
            </w:r>
            <w:r w:rsidRPr="004C78D8">
              <w:rPr>
                <w:sz w:val="18"/>
                <w:szCs w:val="18"/>
              </w:rPr>
              <w:t>,</w:t>
            </w:r>
            <w:r w:rsidR="00F63D7A" w:rsidRPr="004C78D8">
              <w:rPr>
                <w:sz w:val="18"/>
                <w:szCs w:val="18"/>
              </w:rPr>
              <w:t>448</w:t>
            </w:r>
            <w:r w:rsidRPr="004C78D8">
              <w:rPr>
                <w:sz w:val="18"/>
                <w:szCs w:val="18"/>
              </w:rPr>
              <w:t>,</w:t>
            </w:r>
            <w:r w:rsidR="00F63D7A" w:rsidRPr="004C78D8">
              <w:rPr>
                <w:sz w:val="18"/>
                <w:szCs w:val="18"/>
              </w:rPr>
              <w:t>965</w:t>
            </w:r>
          </w:p>
        </w:tc>
      </w:tr>
      <w:tr w:rsidR="00AF3848" w:rsidRPr="004C78D8" w14:paraId="0067D27B" w14:textId="77777777" w:rsidTr="00801973">
        <w:tc>
          <w:tcPr>
            <w:tcW w:w="5000" w:type="pct"/>
            <w:gridSpan w:val="4"/>
          </w:tcPr>
          <w:p w14:paraId="5DE6FB9D" w14:textId="675CF149" w:rsidR="00AF3848" w:rsidRPr="004C78D8" w:rsidRDefault="00AF3848" w:rsidP="00FB7C1F">
            <w:pPr>
              <w:rPr>
                <w:sz w:val="18"/>
                <w:szCs w:val="18"/>
              </w:rPr>
            </w:pPr>
            <w:r w:rsidRPr="004C78D8">
              <w:rPr>
                <w:b/>
                <w:bCs/>
                <w:sz w:val="18"/>
                <w:szCs w:val="18"/>
              </w:rPr>
              <w:t>Abbreviation:</w:t>
            </w:r>
            <w:r w:rsidRPr="004C78D8">
              <w:rPr>
                <w:sz w:val="18"/>
                <w:szCs w:val="18"/>
              </w:rPr>
              <w:t xml:space="preserve"> ICER: incremental cost-effectiveness ratio; INMB: incremental net monetary benefit; LTC: long-term care; OOP: out-of-pocket; QALY: quality-adjusted life year; SES: socioeconomic status</w:t>
            </w:r>
          </w:p>
          <w:p w14:paraId="68242BBB" w14:textId="1B2F79CB" w:rsidR="00AF3848" w:rsidRPr="004C78D8" w:rsidRDefault="00AF3848" w:rsidP="00FB7C1F">
            <w:pPr>
              <w:rPr>
                <w:sz w:val="18"/>
                <w:szCs w:val="18"/>
              </w:rPr>
            </w:pPr>
            <w:r w:rsidRPr="004C78D8">
              <w:rPr>
                <w:sz w:val="18"/>
                <w:szCs w:val="18"/>
                <w:vertAlign w:val="superscript"/>
              </w:rPr>
              <w:t>1</w:t>
            </w:r>
            <w:r w:rsidRPr="004C78D8">
              <w:rPr>
                <w:sz w:val="18"/>
                <w:szCs w:val="18"/>
              </w:rPr>
              <w:t xml:space="preserve"> The scenarios are implemented on capacity constrained recommended care with falls risk targeting.</w:t>
            </w:r>
          </w:p>
          <w:p w14:paraId="65AEC4D2" w14:textId="0E6D03EE" w:rsidR="00AF3848" w:rsidRPr="004C78D8" w:rsidRDefault="00AF3848" w:rsidP="00FB7C1F">
            <w:pPr>
              <w:rPr>
                <w:sz w:val="18"/>
                <w:szCs w:val="18"/>
              </w:rPr>
            </w:pPr>
            <w:r w:rsidRPr="004C78D8">
              <w:rPr>
                <w:sz w:val="18"/>
                <w:szCs w:val="18"/>
                <w:vertAlign w:val="superscript"/>
              </w:rPr>
              <w:t>2</w:t>
            </w:r>
            <w:r w:rsidRPr="004C78D8">
              <w:rPr>
                <w:sz w:val="18"/>
                <w:szCs w:val="18"/>
              </w:rPr>
              <w:t xml:space="preserve"> The public sector covers the societal intervention costs of 3</w:t>
            </w:r>
            <w:r w:rsidRPr="004C78D8">
              <w:rPr>
                <w:sz w:val="18"/>
                <w:szCs w:val="18"/>
                <w:vertAlign w:val="superscript"/>
              </w:rPr>
              <w:t>rd</w:t>
            </w:r>
            <w:r w:rsidRPr="004C78D8">
              <w:rPr>
                <w:sz w:val="18"/>
                <w:szCs w:val="18"/>
              </w:rPr>
              <w:t xml:space="preserve"> and 4</w:t>
            </w:r>
            <w:r w:rsidRPr="004C78D8">
              <w:rPr>
                <w:sz w:val="18"/>
                <w:szCs w:val="18"/>
                <w:vertAlign w:val="superscript"/>
              </w:rPr>
              <w:t>th</w:t>
            </w:r>
            <w:r w:rsidRPr="004C78D8">
              <w:rPr>
                <w:sz w:val="18"/>
                <w:szCs w:val="18"/>
              </w:rPr>
              <w:t xml:space="preserve"> SES quartiles; this restores the intervention demands to the base case levels (prior to double jeopardy scenario).</w:t>
            </w:r>
          </w:p>
          <w:p w14:paraId="073C8294" w14:textId="168FB8D8" w:rsidR="00AF3848" w:rsidRPr="004C78D8" w:rsidRDefault="00AF3848" w:rsidP="00FB7C1F">
            <w:pPr>
              <w:rPr>
                <w:sz w:val="18"/>
                <w:szCs w:val="18"/>
              </w:rPr>
            </w:pPr>
            <w:r w:rsidRPr="004C78D8">
              <w:rPr>
                <w:sz w:val="18"/>
                <w:szCs w:val="18"/>
                <w:vertAlign w:val="superscript"/>
              </w:rPr>
              <w:t>3</w:t>
            </w:r>
            <w:r w:rsidRPr="004C78D8">
              <w:rPr>
                <w:sz w:val="18"/>
                <w:szCs w:val="18"/>
              </w:rPr>
              <w:t xml:space="preserve"> All outcomes were averaged across 20 model trial runs with different random number seeds.</w:t>
            </w:r>
          </w:p>
          <w:p w14:paraId="66A53B25" w14:textId="4560F39A" w:rsidR="00AF3848" w:rsidRPr="004C78D8" w:rsidRDefault="00AF3848" w:rsidP="00FB7C1F">
            <w:pPr>
              <w:rPr>
                <w:sz w:val="18"/>
                <w:szCs w:val="18"/>
              </w:rPr>
            </w:pPr>
            <w:r w:rsidRPr="004C78D8">
              <w:rPr>
                <w:sz w:val="18"/>
                <w:szCs w:val="18"/>
                <w:vertAlign w:val="superscript"/>
              </w:rPr>
              <w:t>4</w:t>
            </w:r>
            <w:r w:rsidRPr="004C78D8">
              <w:rPr>
                <w:sz w:val="18"/>
                <w:szCs w:val="18"/>
              </w:rPr>
              <w:t xml:space="preserve"> Includes costs of fall-related primary and secondary healthcare, comorbidity primary and secondary healthcare, cost of dying, community healthcare, short-term social care, all-cause long-term care.</w:t>
            </w:r>
          </w:p>
          <w:p w14:paraId="6BDAED01" w14:textId="26FFC847" w:rsidR="00AF3848" w:rsidRPr="004C78D8" w:rsidRDefault="00AF3848" w:rsidP="00FB7C1F">
            <w:pPr>
              <w:rPr>
                <w:sz w:val="18"/>
                <w:szCs w:val="18"/>
              </w:rPr>
            </w:pPr>
            <w:r w:rsidRPr="004C78D8">
              <w:rPr>
                <w:sz w:val="18"/>
                <w:szCs w:val="18"/>
                <w:vertAlign w:val="superscript"/>
              </w:rPr>
              <w:t>5</w:t>
            </w:r>
            <w:r w:rsidRPr="004C78D8">
              <w:rPr>
                <w:sz w:val="18"/>
                <w:szCs w:val="18"/>
              </w:rPr>
              <w:t xml:space="preserve"> Includes values of paid and unpaid employment minus intervention time opportunity costs. </w:t>
            </w:r>
          </w:p>
          <w:p w14:paraId="48C3409D" w14:textId="1ADA5EFE" w:rsidR="00AF3848" w:rsidRPr="004C78D8" w:rsidRDefault="00AF3848" w:rsidP="00FB7C1F">
            <w:pPr>
              <w:rPr>
                <w:sz w:val="18"/>
                <w:szCs w:val="18"/>
              </w:rPr>
            </w:pPr>
            <w:r w:rsidRPr="004C78D8">
              <w:rPr>
                <w:sz w:val="18"/>
                <w:szCs w:val="18"/>
                <w:vertAlign w:val="superscript"/>
              </w:rPr>
              <w:t>6</w:t>
            </w:r>
            <w:r w:rsidRPr="004C78D8">
              <w:rPr>
                <w:sz w:val="18"/>
                <w:szCs w:val="18"/>
              </w:rPr>
              <w:t xml:space="preserve"> Includes OOP care expenditure and privately incurred LTC cost minus intervention private co-payments.</w:t>
            </w:r>
          </w:p>
          <w:p w14:paraId="0592AD9E" w14:textId="791D861A" w:rsidR="00AF3848" w:rsidRPr="004C78D8" w:rsidRDefault="00AF3848" w:rsidP="00FB7C1F">
            <w:pPr>
              <w:rPr>
                <w:sz w:val="18"/>
                <w:szCs w:val="18"/>
              </w:rPr>
            </w:pPr>
            <w:r w:rsidRPr="004C78D8">
              <w:rPr>
                <w:sz w:val="18"/>
                <w:szCs w:val="18"/>
                <w:vertAlign w:val="superscript"/>
              </w:rPr>
              <w:t>7</w:t>
            </w:r>
            <w:r w:rsidRPr="004C78D8">
              <w:rPr>
                <w:sz w:val="18"/>
                <w:szCs w:val="18"/>
              </w:rPr>
              <w:t xml:space="preserve"> Includes informal caregiver burden/cost minus intervention caregiver time opportunity costs.</w:t>
            </w:r>
          </w:p>
          <w:p w14:paraId="671B2D0F" w14:textId="5140BCBE" w:rsidR="00AF3848" w:rsidRPr="004C78D8" w:rsidRDefault="00AF3848" w:rsidP="00FB7C1F">
            <w:pPr>
              <w:rPr>
                <w:sz w:val="18"/>
                <w:szCs w:val="18"/>
              </w:rPr>
            </w:pPr>
            <w:r w:rsidRPr="004C78D8">
              <w:rPr>
                <w:sz w:val="18"/>
                <w:szCs w:val="18"/>
                <w:vertAlign w:val="superscript"/>
              </w:rPr>
              <w:t>8</w:t>
            </w:r>
            <w:r w:rsidRPr="004C78D8">
              <w:rPr>
                <w:sz w:val="18"/>
                <w:szCs w:val="18"/>
              </w:rPr>
              <w:t xml:space="preserve"> The public sector ICERs are £12,177 per QALY gain</w:t>
            </w:r>
            <w:r w:rsidR="00A64995" w:rsidRPr="004C78D8">
              <w:rPr>
                <w:sz w:val="18"/>
                <w:szCs w:val="18"/>
              </w:rPr>
              <w:t>ed</w:t>
            </w:r>
            <w:r w:rsidRPr="004C78D8">
              <w:rPr>
                <w:sz w:val="18"/>
                <w:szCs w:val="18"/>
              </w:rPr>
              <w:t xml:space="preserve"> using (1) and £13,089 using (2).</w:t>
            </w:r>
          </w:p>
          <w:p w14:paraId="189C8E2A" w14:textId="7E18E25F" w:rsidR="00AF3848" w:rsidRPr="004C78D8" w:rsidRDefault="00AF3848" w:rsidP="00FB7C1F">
            <w:pPr>
              <w:rPr>
                <w:sz w:val="18"/>
                <w:szCs w:val="18"/>
              </w:rPr>
            </w:pPr>
            <w:r w:rsidRPr="004C78D8">
              <w:rPr>
                <w:sz w:val="18"/>
                <w:szCs w:val="18"/>
                <w:vertAlign w:val="superscript"/>
              </w:rPr>
              <w:t>9</w:t>
            </w:r>
            <w:r w:rsidRPr="004C78D8">
              <w:rPr>
                <w:sz w:val="18"/>
                <w:szCs w:val="18"/>
              </w:rPr>
              <w:t xml:space="preserve"> The public sector ICERs are £1</w:t>
            </w:r>
            <w:r w:rsidR="00462B1B" w:rsidRPr="004C78D8">
              <w:rPr>
                <w:sz w:val="18"/>
                <w:szCs w:val="18"/>
              </w:rPr>
              <w:t>1</w:t>
            </w:r>
            <w:r w:rsidRPr="004C78D8">
              <w:rPr>
                <w:sz w:val="18"/>
                <w:szCs w:val="18"/>
              </w:rPr>
              <w:t>,</w:t>
            </w:r>
            <w:r w:rsidR="00462B1B" w:rsidRPr="004C78D8">
              <w:rPr>
                <w:sz w:val="18"/>
                <w:szCs w:val="18"/>
              </w:rPr>
              <w:t>648</w:t>
            </w:r>
            <w:r w:rsidRPr="004C78D8">
              <w:rPr>
                <w:sz w:val="18"/>
                <w:szCs w:val="18"/>
              </w:rPr>
              <w:t xml:space="preserve"> per QALY gain</w:t>
            </w:r>
            <w:r w:rsidR="00A64995" w:rsidRPr="004C78D8">
              <w:rPr>
                <w:sz w:val="18"/>
                <w:szCs w:val="18"/>
              </w:rPr>
              <w:t>ed</w:t>
            </w:r>
            <w:r w:rsidRPr="004C78D8">
              <w:rPr>
                <w:sz w:val="18"/>
                <w:szCs w:val="18"/>
              </w:rPr>
              <w:t xml:space="preserve"> using (1) and £12,</w:t>
            </w:r>
            <w:r w:rsidR="00462B1B" w:rsidRPr="004C78D8">
              <w:rPr>
                <w:sz w:val="18"/>
                <w:szCs w:val="18"/>
              </w:rPr>
              <w:t>564</w:t>
            </w:r>
            <w:r w:rsidRPr="004C78D8">
              <w:rPr>
                <w:sz w:val="18"/>
                <w:szCs w:val="18"/>
              </w:rPr>
              <w:t xml:space="preserve"> using (2).</w:t>
            </w:r>
          </w:p>
          <w:p w14:paraId="4906A272" w14:textId="27DDBA08" w:rsidR="00AF3848" w:rsidRPr="004C78D8" w:rsidRDefault="00AF3848" w:rsidP="00FB7C1F">
            <w:pPr>
              <w:rPr>
                <w:sz w:val="18"/>
                <w:szCs w:val="18"/>
              </w:rPr>
            </w:pPr>
            <w:r w:rsidRPr="004C78D8">
              <w:rPr>
                <w:sz w:val="18"/>
                <w:szCs w:val="18"/>
                <w:vertAlign w:val="superscript"/>
              </w:rPr>
              <w:t>10</w:t>
            </w:r>
            <w:r w:rsidRPr="004C78D8">
              <w:rPr>
                <w:sz w:val="18"/>
                <w:szCs w:val="18"/>
              </w:rPr>
              <w:t xml:space="preserve"> The public sector ICERs are £</w:t>
            </w:r>
            <w:r w:rsidR="00F63D7A" w:rsidRPr="004C78D8">
              <w:rPr>
                <w:sz w:val="18"/>
                <w:szCs w:val="18"/>
              </w:rPr>
              <w:t>9</w:t>
            </w:r>
            <w:r w:rsidRPr="004C78D8">
              <w:rPr>
                <w:sz w:val="18"/>
                <w:szCs w:val="18"/>
              </w:rPr>
              <w:t>,</w:t>
            </w:r>
            <w:r w:rsidR="00F63D7A" w:rsidRPr="004C78D8">
              <w:rPr>
                <w:sz w:val="18"/>
                <w:szCs w:val="18"/>
              </w:rPr>
              <w:t>991</w:t>
            </w:r>
            <w:r w:rsidRPr="004C78D8">
              <w:rPr>
                <w:sz w:val="18"/>
                <w:szCs w:val="18"/>
              </w:rPr>
              <w:t xml:space="preserve"> per QALY gain</w:t>
            </w:r>
            <w:r w:rsidR="00A64995" w:rsidRPr="004C78D8">
              <w:rPr>
                <w:sz w:val="18"/>
                <w:szCs w:val="18"/>
              </w:rPr>
              <w:t>ed</w:t>
            </w:r>
            <w:r w:rsidRPr="004C78D8">
              <w:rPr>
                <w:sz w:val="18"/>
                <w:szCs w:val="18"/>
              </w:rPr>
              <w:t xml:space="preserve"> using (1) and £</w:t>
            </w:r>
            <w:r w:rsidR="00F63D7A" w:rsidRPr="004C78D8">
              <w:rPr>
                <w:sz w:val="18"/>
                <w:szCs w:val="18"/>
              </w:rPr>
              <w:t>10</w:t>
            </w:r>
            <w:r w:rsidRPr="004C78D8">
              <w:rPr>
                <w:sz w:val="18"/>
                <w:szCs w:val="18"/>
              </w:rPr>
              <w:t>,</w:t>
            </w:r>
            <w:r w:rsidR="00F63D7A" w:rsidRPr="004C78D8">
              <w:rPr>
                <w:sz w:val="18"/>
                <w:szCs w:val="18"/>
              </w:rPr>
              <w:t>92</w:t>
            </w:r>
            <w:r w:rsidRPr="004C78D8">
              <w:rPr>
                <w:sz w:val="18"/>
                <w:szCs w:val="18"/>
              </w:rPr>
              <w:t>2 using (2).</w:t>
            </w:r>
          </w:p>
          <w:p w14:paraId="1E92CA4E" w14:textId="28270F10" w:rsidR="00AF3848" w:rsidRPr="004C78D8" w:rsidRDefault="00AF3848" w:rsidP="00FB7C1F">
            <w:pPr>
              <w:rPr>
                <w:sz w:val="18"/>
                <w:szCs w:val="18"/>
              </w:rPr>
            </w:pPr>
            <w:r w:rsidRPr="004C78D8">
              <w:rPr>
                <w:sz w:val="18"/>
                <w:szCs w:val="18"/>
                <w:vertAlign w:val="superscript"/>
              </w:rPr>
              <w:t>11</w:t>
            </w:r>
            <w:r w:rsidRPr="004C78D8">
              <w:rPr>
                <w:sz w:val="18"/>
                <w:szCs w:val="18"/>
              </w:rPr>
              <w:t xml:space="preserve"> Incremental net monetary benefits are estimated using the cost-effectiveness threshold of £30,000 per QALY gain</w:t>
            </w:r>
            <w:r w:rsidR="00A64995" w:rsidRPr="004C78D8">
              <w:rPr>
                <w:sz w:val="18"/>
                <w:szCs w:val="18"/>
              </w:rPr>
              <w:t>ed</w:t>
            </w:r>
            <w:r w:rsidRPr="004C78D8">
              <w:rPr>
                <w:sz w:val="18"/>
                <w:szCs w:val="18"/>
              </w:rPr>
              <w:t>.</w:t>
            </w:r>
          </w:p>
        </w:tc>
      </w:tr>
    </w:tbl>
    <w:p w14:paraId="49471EC8" w14:textId="4D673ACA" w:rsidR="00B001D4" w:rsidRPr="004C78D8" w:rsidRDefault="00B001D4" w:rsidP="00FB7C1F"/>
    <w:p w14:paraId="0C473A4B" w14:textId="387435D5" w:rsidR="00A95D3B" w:rsidRPr="004C78D8" w:rsidRDefault="00A95D3B" w:rsidP="00FB7C1F">
      <w:r w:rsidRPr="004C78D8">
        <w:t xml:space="preserve">The societal ICERs considering all-cause costs relative to UC were higher under both scenarios than when CRC scenario (4) was evaluated against UC (Table </w:t>
      </w:r>
      <w:r w:rsidR="00800D4B" w:rsidRPr="004C78D8">
        <w:t>6</w:t>
      </w:r>
      <w:r w:rsidRPr="004C78D8">
        <w:t>.</w:t>
      </w:r>
      <w:r w:rsidR="00800D4B" w:rsidRPr="004C78D8">
        <w:t>11</w:t>
      </w:r>
      <w:r w:rsidR="00EE7251" w:rsidRPr="004C78D8">
        <w:t>),</w:t>
      </w:r>
      <w:r w:rsidRPr="004C78D8">
        <w:t xml:space="preserve"> but they remained below £30,000 per QALY gain</w:t>
      </w:r>
      <w:r w:rsidR="00A64995" w:rsidRPr="004C78D8">
        <w:t>ed</w:t>
      </w:r>
      <w:r w:rsidRPr="004C78D8">
        <w:t xml:space="preserve"> threshold. The societal ICER of scenario (II) relative to (I) was £</w:t>
      </w:r>
      <w:r w:rsidR="00FE1C16" w:rsidRPr="004C78D8">
        <w:t>7</w:t>
      </w:r>
      <w:r w:rsidRPr="004C78D8">
        <w:t>,</w:t>
      </w:r>
      <w:r w:rsidR="00FE1C16" w:rsidRPr="004C78D8">
        <w:t>443</w:t>
      </w:r>
      <w:r w:rsidRPr="004C78D8">
        <w:t xml:space="preserve"> per QALY gain</w:t>
      </w:r>
      <w:r w:rsidR="00A64995" w:rsidRPr="004C78D8">
        <w:t>ed</w:t>
      </w:r>
      <w:r w:rsidR="00FE1C16" w:rsidRPr="004C78D8">
        <w:t>, suggesting that</w:t>
      </w:r>
      <w:r w:rsidRPr="004C78D8">
        <w:t xml:space="preserve"> </w:t>
      </w:r>
      <w:r w:rsidR="00FE1C16" w:rsidRPr="004C78D8">
        <w:t>i</w:t>
      </w:r>
      <w:r w:rsidRPr="004C78D8">
        <w:t xml:space="preserve">t would be </w:t>
      </w:r>
      <w:r w:rsidR="0083148F" w:rsidRPr="004C78D8">
        <w:t xml:space="preserve">highly </w:t>
      </w:r>
      <w:r w:rsidRPr="004C78D8">
        <w:t xml:space="preserve">cost-effective for the public sector to reimburse the societal intervention costs of socially vulnerable persons </w:t>
      </w:r>
      <w:r w:rsidR="0083148F" w:rsidRPr="004C78D8">
        <w:t>if</w:t>
      </w:r>
      <w:r w:rsidRPr="004C78D8">
        <w:t xml:space="preserve"> the</w:t>
      </w:r>
      <w:r w:rsidR="0083148F" w:rsidRPr="004C78D8">
        <w:t>re</w:t>
      </w:r>
      <w:r w:rsidRPr="004C78D8">
        <w:t xml:space="preserve"> </w:t>
      </w:r>
      <w:r w:rsidR="0083148F" w:rsidRPr="004C78D8">
        <w:t xml:space="preserve">is a substantial </w:t>
      </w:r>
      <w:r w:rsidR="00BC5D2B" w:rsidRPr="004C78D8">
        <w:t>DJ</w:t>
      </w:r>
      <w:r w:rsidRPr="004C78D8">
        <w:t xml:space="preserve"> problem.</w:t>
      </w:r>
      <w:r w:rsidR="0083148F" w:rsidRPr="004C78D8">
        <w:t xml:space="preserve"> </w:t>
      </w:r>
    </w:p>
    <w:p w14:paraId="25C860ED" w14:textId="2F6E73C9" w:rsidR="00CD51F9" w:rsidRPr="004C78D8" w:rsidRDefault="00CD51F9" w:rsidP="00FB7C1F">
      <w:r w:rsidRPr="004C78D8">
        <w:t xml:space="preserve">The decision-maker may also consider implementing scenario (II) even in the absence of any </w:t>
      </w:r>
      <w:r w:rsidR="00BC5D2B" w:rsidRPr="004C78D8">
        <w:t>DJ</w:t>
      </w:r>
      <w:r w:rsidRPr="004C78D8">
        <w:t xml:space="preserve"> problem. This would reduce societal intervention cost</w:t>
      </w:r>
      <w:r w:rsidR="00B83C1B">
        <w:t>s</w:t>
      </w:r>
      <w:r w:rsidRPr="004C78D8">
        <w:t xml:space="preserve"> incurred by the 3</w:t>
      </w:r>
      <w:r w:rsidRPr="004C78D8">
        <w:rPr>
          <w:vertAlign w:val="superscript"/>
        </w:rPr>
        <w:t>rd</w:t>
      </w:r>
      <w:r w:rsidRPr="004C78D8">
        <w:t xml:space="preserve"> and 4</w:t>
      </w:r>
      <w:r w:rsidRPr="004C78D8">
        <w:rPr>
          <w:vertAlign w:val="superscript"/>
        </w:rPr>
        <w:t>th</w:t>
      </w:r>
      <w:r w:rsidRPr="004C78D8">
        <w:t xml:space="preserve"> SES quartiles by £23.3 million, equivalent to </w:t>
      </w:r>
      <w:r w:rsidR="00C75FE1" w:rsidRPr="004C78D8">
        <w:t>388 QALYs at the £60,000 per QALY gain</w:t>
      </w:r>
      <w:r w:rsidR="00A64995" w:rsidRPr="004C78D8">
        <w:t>ed</w:t>
      </w:r>
      <w:r w:rsidR="00C75FE1" w:rsidRPr="004C78D8">
        <w:t xml:space="preserve"> threshold, and increase the public sector costs by the same amount, i.e., equivalent to 776 QALYs at the £30,000 per QALY gain</w:t>
      </w:r>
      <w:r w:rsidR="00A64995" w:rsidRPr="004C78D8">
        <w:t>ed</w:t>
      </w:r>
      <w:r w:rsidR="00C75FE1" w:rsidRPr="004C78D8">
        <w:t xml:space="preserve"> threshold. Hence, there would be an efficiency loss of </w:t>
      </w:r>
      <w:r w:rsidR="00EF2135" w:rsidRPr="004C78D8">
        <w:t xml:space="preserve">388 QALYs, equivalent to </w:t>
      </w:r>
      <w:r w:rsidR="00C75FE1" w:rsidRPr="004C78D8">
        <w:t>£11.6 million; the societal ICER would be £60,000 per QALY gain</w:t>
      </w:r>
      <w:r w:rsidR="00A64995" w:rsidRPr="004C78D8">
        <w:t>ed</w:t>
      </w:r>
      <w:r w:rsidR="00C75FE1" w:rsidRPr="004C78D8">
        <w:t xml:space="preserve"> (£23.3 million divided by 388 QALYs). </w:t>
      </w:r>
      <w:r w:rsidR="00EF2135" w:rsidRPr="004C78D8">
        <w:t xml:space="preserve">Therefore, it would not be cost-effective to implement </w:t>
      </w:r>
      <w:r w:rsidR="00BC5D2B" w:rsidRPr="004C78D8">
        <w:t>scenario (II)</w:t>
      </w:r>
      <w:r w:rsidR="00EF2135" w:rsidRPr="004C78D8">
        <w:t xml:space="preserve"> in the absence of a major </w:t>
      </w:r>
      <w:r w:rsidR="00BC5D2B" w:rsidRPr="004C78D8">
        <w:t>DJ</w:t>
      </w:r>
      <w:r w:rsidR="00EF2135" w:rsidRPr="004C78D8">
        <w:t xml:space="preserve"> problem as in scenario (I). </w:t>
      </w:r>
    </w:p>
    <w:p w14:paraId="16028F6B" w14:textId="49B8DB39" w:rsidR="00BC5D2B" w:rsidRPr="004C78D8" w:rsidRDefault="000F5DCA" w:rsidP="00FB7C1F">
      <w:r w:rsidRPr="004C78D8">
        <w:t xml:space="preserve">Table </w:t>
      </w:r>
      <w:r w:rsidR="00800D4B" w:rsidRPr="004C78D8">
        <w:t>6</w:t>
      </w:r>
      <w:r w:rsidRPr="004C78D8">
        <w:t>.</w:t>
      </w:r>
      <w:r w:rsidR="00800D4B" w:rsidRPr="004C78D8">
        <w:t>16</w:t>
      </w:r>
      <w:r w:rsidRPr="004C78D8">
        <w:t xml:space="preserve"> </w:t>
      </w:r>
      <w:r w:rsidR="00BC5D2B" w:rsidRPr="004C78D8">
        <w:t xml:space="preserve">compares the </w:t>
      </w:r>
      <w:r w:rsidR="00BF6510" w:rsidRPr="004C78D8">
        <w:t>EDE INHBs</w:t>
      </w:r>
      <w:r w:rsidR="00BC5D2B" w:rsidRPr="004C78D8">
        <w:t xml:space="preserve"> of scenarios (I) and (II) relative to UC, </w:t>
      </w:r>
      <w:r w:rsidR="00BA4F0D" w:rsidRPr="004C78D8">
        <w:t>scenario (II) relative to (I), and scenario (II) relative to CRC scenario (4)</w:t>
      </w:r>
      <w:r w:rsidR="00BC5D2B" w:rsidRPr="004C78D8">
        <w:t xml:space="preserve"> under high relative and absolute inequality aversions.</w:t>
      </w:r>
      <w:r w:rsidR="00F815EB" w:rsidRPr="004C78D8">
        <w:t xml:space="preserve"> Scenario (I) introduced an equity-efficiency trade-off relative to UC. Scenario (II) improved both equity and efficiency relative to UC and scenario (I). Interestingly, scenario (II) reduced efficiency relative to CRC scenario (4) as discussed, but improved equity to an extent that it would be preferred over CRC scenario (4) </w:t>
      </w:r>
      <w:r w:rsidR="00134012" w:rsidRPr="004C78D8">
        <w:t>under high relative and absolute inequality aversions</w:t>
      </w:r>
      <w:r w:rsidR="00F815EB" w:rsidRPr="004C78D8">
        <w:t xml:space="preserve">. The incremental EDE INHB of scenario (II) relative to CRC scenario (4) became positive </w:t>
      </w:r>
      <w:r w:rsidR="00134012" w:rsidRPr="004C78D8">
        <w:t xml:space="preserve">when Atkinson ε=2 and Kolm α=0.45. </w:t>
      </w:r>
    </w:p>
    <w:tbl>
      <w:tblPr>
        <w:tblStyle w:val="TableGrid"/>
        <w:tblW w:w="5000" w:type="pct"/>
        <w:tblLook w:val="04A0" w:firstRow="1" w:lastRow="0" w:firstColumn="1" w:lastColumn="0" w:noHBand="0" w:noVBand="1"/>
      </w:tblPr>
      <w:tblGrid>
        <w:gridCol w:w="3235"/>
        <w:gridCol w:w="1439"/>
        <w:gridCol w:w="1439"/>
        <w:gridCol w:w="1439"/>
        <w:gridCol w:w="1464"/>
      </w:tblGrid>
      <w:tr w:rsidR="00BC5D2B" w:rsidRPr="004C78D8" w14:paraId="5941537F" w14:textId="77777777" w:rsidTr="00801973">
        <w:tc>
          <w:tcPr>
            <w:tcW w:w="5000" w:type="pct"/>
            <w:gridSpan w:val="5"/>
          </w:tcPr>
          <w:p w14:paraId="7BFAA2B7" w14:textId="5DC0687B" w:rsidR="00BC5D2B" w:rsidRPr="004C78D8" w:rsidRDefault="00BC5D2B" w:rsidP="00FB7C1F">
            <w:r w:rsidRPr="004C78D8">
              <w:rPr>
                <w:b/>
                <w:bCs/>
              </w:rPr>
              <w:t xml:space="preserve">Table </w:t>
            </w:r>
            <w:r w:rsidR="00800D4B" w:rsidRPr="004C78D8">
              <w:rPr>
                <w:b/>
                <w:bCs/>
              </w:rPr>
              <w:t>6</w:t>
            </w:r>
            <w:r w:rsidRPr="004C78D8">
              <w:rPr>
                <w:b/>
                <w:bCs/>
              </w:rPr>
              <w:t>.</w:t>
            </w:r>
            <w:r w:rsidR="00800D4B" w:rsidRPr="004C78D8">
              <w:rPr>
                <w:b/>
                <w:bCs/>
              </w:rPr>
              <w:t>16</w:t>
            </w:r>
            <w:r w:rsidRPr="004C78D8">
              <w:t xml:space="preserve"> </w:t>
            </w:r>
            <w:r w:rsidR="00DA43CF" w:rsidRPr="004C78D8">
              <w:t>SES-delineated EDE INHBs for double jeopardy problem and public sector coverage scenarios relative to different comparators.</w:t>
            </w:r>
          </w:p>
        </w:tc>
      </w:tr>
      <w:tr w:rsidR="00BF6510" w:rsidRPr="004C78D8" w14:paraId="4C33233B" w14:textId="77777777" w:rsidTr="00801973">
        <w:tc>
          <w:tcPr>
            <w:tcW w:w="1794" w:type="pct"/>
            <w:vAlign w:val="bottom"/>
          </w:tcPr>
          <w:p w14:paraId="3A2D0EAC" w14:textId="71B27E85" w:rsidR="00BF6510" w:rsidRPr="004C78D8" w:rsidRDefault="00BF6510" w:rsidP="00FB7C1F">
            <w:pPr>
              <w:jc w:val="left"/>
              <w:rPr>
                <w:b/>
                <w:bCs/>
                <w:sz w:val="20"/>
                <w:szCs w:val="20"/>
              </w:rPr>
            </w:pPr>
            <w:r w:rsidRPr="004C78D8">
              <w:rPr>
                <w:b/>
                <w:bCs/>
                <w:sz w:val="20"/>
                <w:szCs w:val="20"/>
              </w:rPr>
              <w:t>Societal INHB</w:t>
            </w:r>
            <w:r w:rsidRPr="004C78D8">
              <w:rPr>
                <w:b/>
                <w:bCs/>
                <w:sz w:val="20"/>
                <w:szCs w:val="20"/>
                <w:vertAlign w:val="superscript"/>
              </w:rPr>
              <w:t>1</w:t>
            </w:r>
          </w:p>
        </w:tc>
        <w:tc>
          <w:tcPr>
            <w:tcW w:w="798" w:type="pct"/>
            <w:vAlign w:val="bottom"/>
          </w:tcPr>
          <w:p w14:paraId="6D98A6A9" w14:textId="54931175" w:rsidR="00BF6510" w:rsidRPr="00972766" w:rsidRDefault="00BF6510" w:rsidP="00FB7C1F">
            <w:pPr>
              <w:jc w:val="left"/>
              <w:rPr>
                <w:b/>
                <w:bCs/>
                <w:sz w:val="18"/>
                <w:szCs w:val="18"/>
                <w:lang w:val="it-IT"/>
              </w:rPr>
            </w:pPr>
            <w:r w:rsidRPr="00972766">
              <w:rPr>
                <w:b/>
                <w:bCs/>
                <w:sz w:val="18"/>
                <w:szCs w:val="18"/>
                <w:lang w:val="it-IT"/>
              </w:rPr>
              <w:t>DJ problem scenario (I) vs. UC</w:t>
            </w:r>
          </w:p>
        </w:tc>
        <w:tc>
          <w:tcPr>
            <w:tcW w:w="798" w:type="pct"/>
            <w:vAlign w:val="bottom"/>
          </w:tcPr>
          <w:p w14:paraId="143E9ADB" w14:textId="202AEF94" w:rsidR="00BF6510" w:rsidRPr="004C78D8" w:rsidRDefault="00BF6510" w:rsidP="00FB7C1F">
            <w:pPr>
              <w:jc w:val="left"/>
              <w:rPr>
                <w:b/>
                <w:bCs/>
                <w:sz w:val="18"/>
                <w:szCs w:val="18"/>
              </w:rPr>
            </w:pPr>
            <w:r w:rsidRPr="004C78D8">
              <w:rPr>
                <w:b/>
                <w:bCs/>
                <w:sz w:val="18"/>
                <w:szCs w:val="18"/>
              </w:rPr>
              <w:t>PS coverage scenario (II) vs. UC</w:t>
            </w:r>
          </w:p>
        </w:tc>
        <w:tc>
          <w:tcPr>
            <w:tcW w:w="798" w:type="pct"/>
            <w:vAlign w:val="bottom"/>
          </w:tcPr>
          <w:p w14:paraId="40C787F8" w14:textId="657F76BF" w:rsidR="00BF6510" w:rsidRPr="004C78D8" w:rsidRDefault="00BF6510" w:rsidP="00FB7C1F">
            <w:pPr>
              <w:jc w:val="left"/>
              <w:rPr>
                <w:b/>
                <w:bCs/>
                <w:sz w:val="18"/>
                <w:szCs w:val="18"/>
              </w:rPr>
            </w:pPr>
            <w:r w:rsidRPr="004C78D8">
              <w:rPr>
                <w:b/>
                <w:bCs/>
                <w:sz w:val="18"/>
                <w:szCs w:val="18"/>
              </w:rPr>
              <w:t>Scenario (II) vs. (I)</w:t>
            </w:r>
          </w:p>
        </w:tc>
        <w:tc>
          <w:tcPr>
            <w:tcW w:w="811" w:type="pct"/>
            <w:vAlign w:val="bottom"/>
          </w:tcPr>
          <w:p w14:paraId="41B808B7" w14:textId="2513D083" w:rsidR="00BF6510" w:rsidRPr="004C78D8" w:rsidRDefault="00BF6510" w:rsidP="00FB7C1F">
            <w:pPr>
              <w:jc w:val="left"/>
              <w:rPr>
                <w:b/>
                <w:bCs/>
                <w:sz w:val="18"/>
                <w:szCs w:val="18"/>
              </w:rPr>
            </w:pPr>
            <w:r w:rsidRPr="004C78D8">
              <w:rPr>
                <w:b/>
                <w:bCs/>
                <w:sz w:val="18"/>
                <w:szCs w:val="18"/>
              </w:rPr>
              <w:t>Scenario (II) vs. CRC(4)</w:t>
            </w:r>
          </w:p>
        </w:tc>
      </w:tr>
      <w:tr w:rsidR="00BF6510" w:rsidRPr="004C78D8" w14:paraId="7312F743" w14:textId="77777777" w:rsidTr="00801973">
        <w:tc>
          <w:tcPr>
            <w:tcW w:w="1794" w:type="pct"/>
            <w:tcBorders>
              <w:bottom w:val="single" w:sz="4" w:space="0" w:color="auto"/>
            </w:tcBorders>
          </w:tcPr>
          <w:p w14:paraId="60DB6499" w14:textId="666571C5" w:rsidR="00BF6510" w:rsidRPr="004C78D8" w:rsidRDefault="00BF6510" w:rsidP="00FB7C1F">
            <w:pPr>
              <w:jc w:val="left"/>
              <w:rPr>
                <w:sz w:val="20"/>
                <w:szCs w:val="20"/>
              </w:rPr>
            </w:pPr>
            <w:r w:rsidRPr="004C78D8">
              <w:rPr>
                <w:sz w:val="20"/>
                <w:szCs w:val="20"/>
              </w:rPr>
              <w:t>(1) Incremental no-aversion mean</w:t>
            </w:r>
            <w:r w:rsidRPr="004C78D8">
              <w:rPr>
                <w:sz w:val="20"/>
                <w:szCs w:val="20"/>
                <w:vertAlign w:val="superscript"/>
              </w:rPr>
              <w:t>2</w:t>
            </w:r>
          </w:p>
        </w:tc>
        <w:tc>
          <w:tcPr>
            <w:tcW w:w="798" w:type="pct"/>
            <w:tcBorders>
              <w:bottom w:val="single" w:sz="4" w:space="0" w:color="auto"/>
            </w:tcBorders>
          </w:tcPr>
          <w:p w14:paraId="5BAF3D70" w14:textId="204B5852" w:rsidR="00BF6510" w:rsidRPr="004C78D8" w:rsidRDefault="00BF6510" w:rsidP="00FB7C1F">
            <w:pPr>
              <w:jc w:val="left"/>
              <w:rPr>
                <w:sz w:val="20"/>
                <w:szCs w:val="20"/>
              </w:rPr>
            </w:pPr>
            <w:r w:rsidRPr="004C78D8">
              <w:rPr>
                <w:sz w:val="20"/>
                <w:szCs w:val="20"/>
              </w:rPr>
              <w:t>0.0120</w:t>
            </w:r>
          </w:p>
        </w:tc>
        <w:tc>
          <w:tcPr>
            <w:tcW w:w="798" w:type="pct"/>
            <w:tcBorders>
              <w:bottom w:val="single" w:sz="4" w:space="0" w:color="auto"/>
            </w:tcBorders>
          </w:tcPr>
          <w:p w14:paraId="6CD4D531" w14:textId="1F5584E6" w:rsidR="00BF6510" w:rsidRPr="004C78D8" w:rsidRDefault="00BF6510" w:rsidP="00FB7C1F">
            <w:pPr>
              <w:jc w:val="left"/>
              <w:rPr>
                <w:sz w:val="20"/>
                <w:szCs w:val="20"/>
              </w:rPr>
            </w:pPr>
            <w:r w:rsidRPr="004C78D8">
              <w:rPr>
                <w:sz w:val="20"/>
                <w:szCs w:val="20"/>
              </w:rPr>
              <w:t>0.0182</w:t>
            </w:r>
          </w:p>
        </w:tc>
        <w:tc>
          <w:tcPr>
            <w:tcW w:w="798" w:type="pct"/>
            <w:tcBorders>
              <w:bottom w:val="single" w:sz="4" w:space="0" w:color="auto"/>
            </w:tcBorders>
          </w:tcPr>
          <w:p w14:paraId="3C039B08" w14:textId="6A72EB27" w:rsidR="00BF6510" w:rsidRPr="004C78D8" w:rsidRDefault="00BF6510" w:rsidP="00FB7C1F">
            <w:pPr>
              <w:jc w:val="left"/>
              <w:rPr>
                <w:sz w:val="20"/>
                <w:szCs w:val="20"/>
              </w:rPr>
            </w:pPr>
            <w:r w:rsidRPr="004C78D8">
              <w:rPr>
                <w:sz w:val="20"/>
                <w:szCs w:val="20"/>
              </w:rPr>
              <w:t>0.0062</w:t>
            </w:r>
          </w:p>
        </w:tc>
        <w:tc>
          <w:tcPr>
            <w:tcW w:w="811" w:type="pct"/>
            <w:tcBorders>
              <w:bottom w:val="single" w:sz="4" w:space="0" w:color="auto"/>
            </w:tcBorders>
          </w:tcPr>
          <w:p w14:paraId="715F60D6" w14:textId="77DE9592" w:rsidR="00BF6510" w:rsidRPr="004C78D8" w:rsidRDefault="00BF6510" w:rsidP="00FB7C1F">
            <w:pPr>
              <w:jc w:val="left"/>
              <w:rPr>
                <w:sz w:val="20"/>
                <w:szCs w:val="20"/>
              </w:rPr>
            </w:pPr>
            <w:r w:rsidRPr="004C78D8">
              <w:rPr>
                <w:sz w:val="20"/>
                <w:szCs w:val="20"/>
              </w:rPr>
              <w:t>-0.0008</w:t>
            </w:r>
          </w:p>
        </w:tc>
      </w:tr>
      <w:tr w:rsidR="00BF6510" w:rsidRPr="004C78D8" w14:paraId="6EB9A4AD" w14:textId="77777777" w:rsidTr="00801973">
        <w:tc>
          <w:tcPr>
            <w:tcW w:w="1794" w:type="pct"/>
            <w:tcBorders>
              <w:bottom w:val="nil"/>
            </w:tcBorders>
          </w:tcPr>
          <w:p w14:paraId="39A4B98E" w14:textId="5FE0DE98" w:rsidR="00BF6510" w:rsidRPr="004C78D8" w:rsidRDefault="00BF6510" w:rsidP="00FB7C1F">
            <w:pPr>
              <w:jc w:val="left"/>
              <w:rPr>
                <w:sz w:val="20"/>
                <w:szCs w:val="20"/>
              </w:rPr>
            </w:pPr>
            <w:r w:rsidRPr="004C78D8">
              <w:rPr>
                <w:sz w:val="20"/>
                <w:szCs w:val="20"/>
              </w:rPr>
              <w:t>(2) Atkinson EDE INHB (</w:t>
            </w:r>
            <w:r w:rsidRPr="004C78D8">
              <w:rPr>
                <w:rFonts w:cs="Times New Roman"/>
                <w:sz w:val="20"/>
                <w:szCs w:val="20"/>
              </w:rPr>
              <w:t>ε</w:t>
            </w:r>
            <w:r w:rsidRPr="004C78D8">
              <w:rPr>
                <w:sz w:val="20"/>
                <w:szCs w:val="20"/>
              </w:rPr>
              <w:t>=30)</w:t>
            </w:r>
          </w:p>
        </w:tc>
        <w:tc>
          <w:tcPr>
            <w:tcW w:w="798" w:type="pct"/>
            <w:tcBorders>
              <w:bottom w:val="nil"/>
            </w:tcBorders>
          </w:tcPr>
          <w:p w14:paraId="7F6F4BEE" w14:textId="1E2CF7C1" w:rsidR="00BF6510" w:rsidRPr="004C78D8" w:rsidRDefault="00BF6510" w:rsidP="00FB7C1F">
            <w:pPr>
              <w:jc w:val="left"/>
              <w:rPr>
                <w:sz w:val="20"/>
                <w:szCs w:val="20"/>
              </w:rPr>
            </w:pPr>
            <w:r w:rsidRPr="004C78D8">
              <w:rPr>
                <w:sz w:val="20"/>
                <w:szCs w:val="20"/>
              </w:rPr>
              <w:t>0.0083</w:t>
            </w:r>
          </w:p>
        </w:tc>
        <w:tc>
          <w:tcPr>
            <w:tcW w:w="798" w:type="pct"/>
            <w:tcBorders>
              <w:bottom w:val="nil"/>
            </w:tcBorders>
          </w:tcPr>
          <w:p w14:paraId="6BC0F75F" w14:textId="2507B73D" w:rsidR="00BF6510" w:rsidRPr="004C78D8" w:rsidRDefault="00BF6510" w:rsidP="00FB7C1F">
            <w:pPr>
              <w:jc w:val="left"/>
              <w:rPr>
                <w:sz w:val="20"/>
                <w:szCs w:val="20"/>
              </w:rPr>
            </w:pPr>
            <w:r w:rsidRPr="004C78D8">
              <w:rPr>
                <w:sz w:val="20"/>
                <w:szCs w:val="20"/>
              </w:rPr>
              <w:t>0.0244</w:t>
            </w:r>
          </w:p>
        </w:tc>
        <w:tc>
          <w:tcPr>
            <w:tcW w:w="798" w:type="pct"/>
            <w:tcBorders>
              <w:bottom w:val="nil"/>
            </w:tcBorders>
          </w:tcPr>
          <w:p w14:paraId="64DEF8E9" w14:textId="09F19818" w:rsidR="00BF6510" w:rsidRPr="004C78D8" w:rsidRDefault="00BF6510" w:rsidP="00FB7C1F">
            <w:pPr>
              <w:jc w:val="left"/>
              <w:rPr>
                <w:sz w:val="20"/>
                <w:szCs w:val="20"/>
              </w:rPr>
            </w:pPr>
            <w:r w:rsidRPr="004C78D8">
              <w:rPr>
                <w:sz w:val="20"/>
                <w:szCs w:val="20"/>
              </w:rPr>
              <w:t>0.0161</w:t>
            </w:r>
          </w:p>
        </w:tc>
        <w:tc>
          <w:tcPr>
            <w:tcW w:w="811" w:type="pct"/>
            <w:tcBorders>
              <w:bottom w:val="nil"/>
            </w:tcBorders>
          </w:tcPr>
          <w:p w14:paraId="58FFF728" w14:textId="29D4A24F" w:rsidR="00BF6510" w:rsidRPr="004C78D8" w:rsidRDefault="00BF6510" w:rsidP="00FB7C1F">
            <w:pPr>
              <w:jc w:val="left"/>
              <w:rPr>
                <w:sz w:val="20"/>
                <w:szCs w:val="20"/>
              </w:rPr>
            </w:pPr>
            <w:r w:rsidRPr="004C78D8">
              <w:rPr>
                <w:sz w:val="20"/>
                <w:szCs w:val="20"/>
              </w:rPr>
              <w:t>0.0023</w:t>
            </w:r>
          </w:p>
        </w:tc>
      </w:tr>
      <w:tr w:rsidR="00BF6510" w:rsidRPr="004C78D8" w14:paraId="1E64D793" w14:textId="77777777" w:rsidTr="00801973">
        <w:tc>
          <w:tcPr>
            <w:tcW w:w="1794" w:type="pct"/>
            <w:tcBorders>
              <w:top w:val="nil"/>
              <w:bottom w:val="single" w:sz="4" w:space="0" w:color="auto"/>
            </w:tcBorders>
          </w:tcPr>
          <w:p w14:paraId="62EF774F" w14:textId="307FE36C" w:rsidR="00BF6510" w:rsidRPr="004C78D8" w:rsidRDefault="00BF6510" w:rsidP="00FB7C1F">
            <w:pPr>
              <w:jc w:val="right"/>
              <w:rPr>
                <w:i/>
                <w:iCs/>
                <w:sz w:val="20"/>
                <w:szCs w:val="20"/>
              </w:rPr>
            </w:pPr>
            <w:r w:rsidRPr="004C78D8">
              <w:rPr>
                <w:i/>
                <w:iCs/>
                <w:sz w:val="20"/>
                <w:szCs w:val="20"/>
              </w:rPr>
              <w:t>Proportion of (2) relative to (1)</w:t>
            </w:r>
          </w:p>
        </w:tc>
        <w:tc>
          <w:tcPr>
            <w:tcW w:w="798" w:type="pct"/>
            <w:tcBorders>
              <w:top w:val="nil"/>
              <w:bottom w:val="single" w:sz="4" w:space="0" w:color="auto"/>
            </w:tcBorders>
          </w:tcPr>
          <w:p w14:paraId="17C0F249" w14:textId="4C6490DB" w:rsidR="00BF6510" w:rsidRPr="004C78D8" w:rsidRDefault="00BF6510" w:rsidP="00FB7C1F">
            <w:pPr>
              <w:jc w:val="left"/>
              <w:rPr>
                <w:i/>
                <w:iCs/>
                <w:sz w:val="20"/>
                <w:szCs w:val="20"/>
              </w:rPr>
            </w:pPr>
            <w:r w:rsidRPr="004C78D8">
              <w:rPr>
                <w:i/>
                <w:iCs/>
                <w:sz w:val="20"/>
                <w:szCs w:val="20"/>
              </w:rPr>
              <w:t>0.6918</w:t>
            </w:r>
          </w:p>
        </w:tc>
        <w:tc>
          <w:tcPr>
            <w:tcW w:w="798" w:type="pct"/>
            <w:tcBorders>
              <w:top w:val="nil"/>
              <w:bottom w:val="single" w:sz="4" w:space="0" w:color="auto"/>
            </w:tcBorders>
          </w:tcPr>
          <w:p w14:paraId="601B932A" w14:textId="50943667" w:rsidR="00BF6510" w:rsidRPr="004C78D8" w:rsidRDefault="00BF6510" w:rsidP="00FB7C1F">
            <w:pPr>
              <w:jc w:val="left"/>
              <w:rPr>
                <w:i/>
                <w:iCs/>
                <w:sz w:val="20"/>
                <w:szCs w:val="20"/>
              </w:rPr>
            </w:pPr>
            <w:r w:rsidRPr="004C78D8">
              <w:rPr>
                <w:i/>
                <w:iCs/>
                <w:sz w:val="20"/>
                <w:szCs w:val="20"/>
              </w:rPr>
              <w:t>1.3393</w:t>
            </w:r>
          </w:p>
        </w:tc>
        <w:tc>
          <w:tcPr>
            <w:tcW w:w="798" w:type="pct"/>
            <w:tcBorders>
              <w:top w:val="nil"/>
              <w:bottom w:val="single" w:sz="4" w:space="0" w:color="auto"/>
            </w:tcBorders>
          </w:tcPr>
          <w:p w14:paraId="1CE99863" w14:textId="126E6D35" w:rsidR="00BF6510" w:rsidRPr="004C78D8" w:rsidRDefault="00BF6510" w:rsidP="00FB7C1F">
            <w:pPr>
              <w:jc w:val="left"/>
              <w:rPr>
                <w:i/>
                <w:iCs/>
                <w:sz w:val="20"/>
                <w:szCs w:val="20"/>
              </w:rPr>
            </w:pPr>
            <w:r w:rsidRPr="004C78D8">
              <w:rPr>
                <w:i/>
                <w:iCs/>
                <w:sz w:val="20"/>
                <w:szCs w:val="20"/>
              </w:rPr>
              <w:t>2.5949</w:t>
            </w:r>
          </w:p>
        </w:tc>
        <w:tc>
          <w:tcPr>
            <w:tcW w:w="811" w:type="pct"/>
            <w:tcBorders>
              <w:top w:val="nil"/>
              <w:bottom w:val="single" w:sz="4" w:space="0" w:color="auto"/>
            </w:tcBorders>
          </w:tcPr>
          <w:p w14:paraId="4887D78B" w14:textId="37225031" w:rsidR="00BF6510" w:rsidRPr="004C78D8" w:rsidRDefault="00BF6510" w:rsidP="00FB7C1F">
            <w:pPr>
              <w:jc w:val="left"/>
              <w:rPr>
                <w:i/>
                <w:iCs/>
                <w:sz w:val="20"/>
                <w:szCs w:val="20"/>
              </w:rPr>
            </w:pPr>
            <w:r w:rsidRPr="004C78D8">
              <w:rPr>
                <w:i/>
                <w:iCs/>
                <w:sz w:val="20"/>
                <w:szCs w:val="20"/>
              </w:rPr>
              <w:t>-2.8535</w:t>
            </w:r>
          </w:p>
        </w:tc>
      </w:tr>
      <w:tr w:rsidR="00BF6510" w:rsidRPr="004C78D8" w14:paraId="02552EFF" w14:textId="77777777" w:rsidTr="00801973">
        <w:tc>
          <w:tcPr>
            <w:tcW w:w="1794" w:type="pct"/>
            <w:tcBorders>
              <w:bottom w:val="nil"/>
            </w:tcBorders>
          </w:tcPr>
          <w:p w14:paraId="1DAEE158" w14:textId="1CE72DA0" w:rsidR="00BF6510" w:rsidRPr="004C78D8" w:rsidRDefault="00BF6510" w:rsidP="00FB7C1F">
            <w:pPr>
              <w:jc w:val="left"/>
              <w:rPr>
                <w:sz w:val="20"/>
                <w:szCs w:val="20"/>
              </w:rPr>
            </w:pPr>
            <w:r w:rsidRPr="004C78D8">
              <w:rPr>
                <w:sz w:val="20"/>
                <w:szCs w:val="20"/>
              </w:rPr>
              <w:t>(3) Kolm EDE INHB (</w:t>
            </w:r>
            <w:r w:rsidRPr="004C78D8">
              <w:rPr>
                <w:rFonts w:cs="Times New Roman"/>
                <w:sz w:val="20"/>
                <w:szCs w:val="20"/>
              </w:rPr>
              <w:t>α</w:t>
            </w:r>
            <w:r w:rsidRPr="004C78D8">
              <w:rPr>
                <w:sz w:val="20"/>
                <w:szCs w:val="20"/>
              </w:rPr>
              <w:t>=0.5)</w:t>
            </w:r>
          </w:p>
        </w:tc>
        <w:tc>
          <w:tcPr>
            <w:tcW w:w="798" w:type="pct"/>
            <w:tcBorders>
              <w:bottom w:val="nil"/>
            </w:tcBorders>
          </w:tcPr>
          <w:p w14:paraId="5907B69F" w14:textId="5601D2D8" w:rsidR="00BF6510" w:rsidRPr="004C78D8" w:rsidRDefault="00BF6510" w:rsidP="00FB7C1F">
            <w:pPr>
              <w:jc w:val="left"/>
              <w:rPr>
                <w:sz w:val="20"/>
                <w:szCs w:val="20"/>
              </w:rPr>
            </w:pPr>
            <w:r w:rsidRPr="004C78D8">
              <w:rPr>
                <w:sz w:val="20"/>
                <w:szCs w:val="20"/>
              </w:rPr>
              <w:t>0.0108</w:t>
            </w:r>
          </w:p>
        </w:tc>
        <w:tc>
          <w:tcPr>
            <w:tcW w:w="798" w:type="pct"/>
            <w:tcBorders>
              <w:bottom w:val="nil"/>
            </w:tcBorders>
          </w:tcPr>
          <w:p w14:paraId="17F5E0CF" w14:textId="50F08A49" w:rsidR="00BF6510" w:rsidRPr="004C78D8" w:rsidRDefault="00BF6510" w:rsidP="00FB7C1F">
            <w:pPr>
              <w:jc w:val="left"/>
              <w:rPr>
                <w:sz w:val="20"/>
                <w:szCs w:val="20"/>
              </w:rPr>
            </w:pPr>
            <w:r w:rsidRPr="004C78D8">
              <w:rPr>
                <w:sz w:val="20"/>
                <w:szCs w:val="20"/>
              </w:rPr>
              <w:t>0.0198</w:t>
            </w:r>
          </w:p>
        </w:tc>
        <w:tc>
          <w:tcPr>
            <w:tcW w:w="798" w:type="pct"/>
            <w:tcBorders>
              <w:bottom w:val="nil"/>
            </w:tcBorders>
          </w:tcPr>
          <w:p w14:paraId="4EBE2004" w14:textId="554DE3C6" w:rsidR="00BF6510" w:rsidRPr="004C78D8" w:rsidRDefault="00BF6510" w:rsidP="00FB7C1F">
            <w:pPr>
              <w:jc w:val="left"/>
              <w:rPr>
                <w:sz w:val="20"/>
                <w:szCs w:val="20"/>
              </w:rPr>
            </w:pPr>
            <w:r w:rsidRPr="004C78D8">
              <w:rPr>
                <w:sz w:val="20"/>
                <w:szCs w:val="20"/>
              </w:rPr>
              <w:t>0.0090</w:t>
            </w:r>
          </w:p>
        </w:tc>
        <w:tc>
          <w:tcPr>
            <w:tcW w:w="811" w:type="pct"/>
            <w:tcBorders>
              <w:bottom w:val="nil"/>
            </w:tcBorders>
          </w:tcPr>
          <w:p w14:paraId="6EDF29D8" w14:textId="32C0A638" w:rsidR="00BF6510" w:rsidRPr="004C78D8" w:rsidRDefault="00BF6510" w:rsidP="00FB7C1F">
            <w:pPr>
              <w:jc w:val="left"/>
              <w:rPr>
                <w:sz w:val="20"/>
                <w:szCs w:val="20"/>
              </w:rPr>
            </w:pPr>
            <w:r w:rsidRPr="004C78D8">
              <w:rPr>
                <w:sz w:val="20"/>
                <w:szCs w:val="20"/>
              </w:rPr>
              <w:t>0.0001</w:t>
            </w:r>
          </w:p>
        </w:tc>
      </w:tr>
      <w:tr w:rsidR="00BF6510" w:rsidRPr="004C78D8" w14:paraId="7009AA91" w14:textId="77777777" w:rsidTr="00801973">
        <w:tc>
          <w:tcPr>
            <w:tcW w:w="1794" w:type="pct"/>
            <w:tcBorders>
              <w:top w:val="nil"/>
            </w:tcBorders>
          </w:tcPr>
          <w:p w14:paraId="18F892EE" w14:textId="5A72AD05" w:rsidR="00BF6510" w:rsidRPr="004C78D8" w:rsidRDefault="00BF6510" w:rsidP="00FB7C1F">
            <w:pPr>
              <w:jc w:val="right"/>
              <w:rPr>
                <w:i/>
                <w:iCs/>
                <w:sz w:val="20"/>
                <w:szCs w:val="20"/>
              </w:rPr>
            </w:pPr>
            <w:r w:rsidRPr="004C78D8">
              <w:rPr>
                <w:i/>
                <w:iCs/>
                <w:sz w:val="20"/>
                <w:szCs w:val="20"/>
              </w:rPr>
              <w:t>Proportion of (3) relative to (1)</w:t>
            </w:r>
          </w:p>
        </w:tc>
        <w:tc>
          <w:tcPr>
            <w:tcW w:w="798" w:type="pct"/>
            <w:tcBorders>
              <w:top w:val="nil"/>
            </w:tcBorders>
          </w:tcPr>
          <w:p w14:paraId="132960F9" w14:textId="3675F3D6" w:rsidR="00BF6510" w:rsidRPr="004C78D8" w:rsidRDefault="00BF6510" w:rsidP="00FB7C1F">
            <w:pPr>
              <w:jc w:val="left"/>
              <w:rPr>
                <w:i/>
                <w:iCs/>
                <w:sz w:val="20"/>
                <w:szCs w:val="20"/>
              </w:rPr>
            </w:pPr>
            <w:r w:rsidRPr="004C78D8">
              <w:rPr>
                <w:i/>
                <w:iCs/>
                <w:sz w:val="20"/>
                <w:szCs w:val="20"/>
              </w:rPr>
              <w:t>0.8982</w:t>
            </w:r>
          </w:p>
        </w:tc>
        <w:tc>
          <w:tcPr>
            <w:tcW w:w="798" w:type="pct"/>
            <w:tcBorders>
              <w:top w:val="nil"/>
            </w:tcBorders>
          </w:tcPr>
          <w:p w14:paraId="3579F6E4" w14:textId="73460DAC" w:rsidR="00BF6510" w:rsidRPr="004C78D8" w:rsidRDefault="00BF6510" w:rsidP="00FB7C1F">
            <w:pPr>
              <w:jc w:val="left"/>
              <w:rPr>
                <w:i/>
                <w:iCs/>
                <w:sz w:val="20"/>
                <w:szCs w:val="20"/>
              </w:rPr>
            </w:pPr>
            <w:r w:rsidRPr="004C78D8">
              <w:rPr>
                <w:i/>
                <w:iCs/>
                <w:sz w:val="20"/>
                <w:szCs w:val="20"/>
              </w:rPr>
              <w:t>1.0858</w:t>
            </w:r>
          </w:p>
        </w:tc>
        <w:tc>
          <w:tcPr>
            <w:tcW w:w="798" w:type="pct"/>
            <w:tcBorders>
              <w:top w:val="nil"/>
            </w:tcBorders>
          </w:tcPr>
          <w:p w14:paraId="230158C7" w14:textId="2E03B573" w:rsidR="00BF6510" w:rsidRPr="004C78D8" w:rsidRDefault="00BF6510" w:rsidP="00FB7C1F">
            <w:pPr>
              <w:jc w:val="left"/>
              <w:rPr>
                <w:i/>
                <w:iCs/>
                <w:sz w:val="20"/>
                <w:szCs w:val="20"/>
              </w:rPr>
            </w:pPr>
            <w:r w:rsidRPr="004C78D8">
              <w:rPr>
                <w:i/>
                <w:iCs/>
                <w:sz w:val="20"/>
                <w:szCs w:val="20"/>
              </w:rPr>
              <w:t>1.4496</w:t>
            </w:r>
          </w:p>
        </w:tc>
        <w:tc>
          <w:tcPr>
            <w:tcW w:w="811" w:type="pct"/>
            <w:tcBorders>
              <w:top w:val="nil"/>
            </w:tcBorders>
          </w:tcPr>
          <w:p w14:paraId="05B79CDE" w14:textId="60CE13AA" w:rsidR="00BF6510" w:rsidRPr="004C78D8" w:rsidRDefault="00BF6510" w:rsidP="00FB7C1F">
            <w:pPr>
              <w:jc w:val="left"/>
              <w:rPr>
                <w:i/>
                <w:iCs/>
                <w:sz w:val="20"/>
                <w:szCs w:val="20"/>
              </w:rPr>
            </w:pPr>
            <w:r w:rsidRPr="004C78D8">
              <w:rPr>
                <w:i/>
                <w:iCs/>
                <w:sz w:val="20"/>
                <w:szCs w:val="20"/>
              </w:rPr>
              <w:t>-0.1311</w:t>
            </w:r>
          </w:p>
        </w:tc>
      </w:tr>
      <w:tr w:rsidR="00BC5D2B" w:rsidRPr="004C78D8" w14:paraId="4744868E" w14:textId="77777777" w:rsidTr="00801973">
        <w:tc>
          <w:tcPr>
            <w:tcW w:w="5000" w:type="pct"/>
            <w:gridSpan w:val="5"/>
          </w:tcPr>
          <w:p w14:paraId="4A13EC88" w14:textId="5921E66B" w:rsidR="00BF6510" w:rsidRPr="004C78D8" w:rsidRDefault="00BF6510" w:rsidP="00FB7C1F">
            <w:pPr>
              <w:rPr>
                <w:sz w:val="18"/>
                <w:szCs w:val="18"/>
              </w:rPr>
            </w:pPr>
            <w:r w:rsidRPr="004C78D8">
              <w:rPr>
                <w:b/>
                <w:bCs/>
                <w:sz w:val="18"/>
                <w:szCs w:val="18"/>
              </w:rPr>
              <w:t>Abbreviation:</w:t>
            </w:r>
            <w:r w:rsidRPr="004C78D8">
              <w:rPr>
                <w:sz w:val="18"/>
                <w:szCs w:val="18"/>
              </w:rPr>
              <w:t xml:space="preserve"> CRC(4): constrained recommended care scenario (4); DJ: double jeopardy; EDE: equally distributed equivalent; INHB: incremental net health benefit; QALY: quality-adjusted life year; SES: socioeconomic status; UC: usual care.</w:t>
            </w:r>
          </w:p>
          <w:p w14:paraId="7965F418" w14:textId="7BFEF5CB" w:rsidR="00BF6510" w:rsidRPr="004C78D8" w:rsidRDefault="00BF6510" w:rsidP="00FB7C1F">
            <w:pPr>
              <w:rPr>
                <w:sz w:val="18"/>
                <w:szCs w:val="18"/>
              </w:rPr>
            </w:pPr>
            <w:r w:rsidRPr="004C78D8">
              <w:rPr>
                <w:sz w:val="18"/>
                <w:szCs w:val="18"/>
                <w:vertAlign w:val="superscript"/>
              </w:rPr>
              <w:t>1</w:t>
            </w:r>
            <w:r w:rsidRPr="004C78D8">
              <w:rPr>
                <w:sz w:val="18"/>
                <w:szCs w:val="18"/>
              </w:rPr>
              <w:t xml:space="preserve"> The societal NHB incorporates QALY gain and QALY-equivalent net societal gain minus public sector opportunity costs (translated to QALY-equivalent using cost-effectiveness threshold of £30,000 per QALY gain</w:t>
            </w:r>
            <w:r w:rsidR="00A64995" w:rsidRPr="004C78D8">
              <w:rPr>
                <w:sz w:val="18"/>
                <w:szCs w:val="18"/>
              </w:rPr>
              <w:t>ed</w:t>
            </w:r>
            <w:r w:rsidRPr="004C78D8">
              <w:rPr>
                <w:sz w:val="18"/>
                <w:szCs w:val="18"/>
              </w:rPr>
              <w:t>) for each SES quartile.</w:t>
            </w:r>
          </w:p>
          <w:p w14:paraId="709961A9" w14:textId="5E0004A6" w:rsidR="00827F6C" w:rsidRPr="004C78D8" w:rsidRDefault="00BF6510" w:rsidP="00FB7C1F">
            <w:pPr>
              <w:rPr>
                <w:sz w:val="18"/>
                <w:szCs w:val="18"/>
              </w:rPr>
            </w:pPr>
            <w:r w:rsidRPr="004C78D8">
              <w:rPr>
                <w:sz w:val="18"/>
                <w:szCs w:val="18"/>
                <w:vertAlign w:val="superscript"/>
              </w:rPr>
              <w:t>2</w:t>
            </w:r>
            <w:r w:rsidRPr="004C78D8">
              <w:rPr>
                <w:sz w:val="18"/>
                <w:szCs w:val="18"/>
              </w:rPr>
              <w:t xml:space="preserve"> This is the EDE INHB when Atkinson </w:t>
            </w:r>
            <w:r w:rsidRPr="004C78D8">
              <w:rPr>
                <w:rFonts w:cs="Times New Roman"/>
                <w:sz w:val="18"/>
                <w:szCs w:val="18"/>
              </w:rPr>
              <w:t>ε</w:t>
            </w:r>
            <w:r w:rsidRPr="004C78D8">
              <w:rPr>
                <w:sz w:val="18"/>
                <w:szCs w:val="18"/>
              </w:rPr>
              <w:t xml:space="preserve">=0 </w:t>
            </w:r>
            <w:r w:rsidRPr="004C78D8">
              <w:rPr>
                <w:sz w:val="18"/>
                <w:szCs w:val="18"/>
              </w:rPr>
              <w:fldChar w:fldCharType="begin"/>
            </w:r>
            <w:r w:rsidR="00513646" w:rsidRPr="004C78D8">
              <w:rPr>
                <w:sz w:val="18"/>
                <w:szCs w:val="18"/>
              </w:rPr>
              <w:instrText xml:space="preserve"> ADDIN EN.CITE &lt;EndNote&gt;&lt;Cite&gt;&lt;Author&gt;Asaria&lt;/Author&gt;&lt;Year&gt;2016&lt;/Year&gt;&lt;RecNum&gt;361&lt;/RecNum&gt;&lt;DisplayText&gt;[109]&lt;/DisplayText&gt;&lt;record&gt;&lt;rec-number&gt;361&lt;/rec-number&gt;&lt;foreign-keys&gt;&lt;key app="EN" db-id="tdtrdw9aepptzbefsat599syza29sxsd2wsp" timestamp="1612265402"&gt;361&lt;/key&gt;&lt;/foreign-keys&gt;&lt;ref-type name="Journal Article"&gt;17&lt;/ref-type&gt;&lt;contributors&gt;&lt;authors&gt;&lt;author&gt;Asaria, Miqdad&lt;/author&gt;&lt;author&gt;Griffin, Susan&lt;/author&gt;&lt;author&gt;Cookson, Richard&lt;/author&gt;&lt;/authors&gt;&lt;/contributors&gt;&lt;titles&gt;&lt;title&gt;Distributional Cost-Effectiveness Analysis: A Tutorial&lt;/title&gt;&lt;secondary-title&gt;Medical decision making&lt;/secondary-title&gt;&lt;/titles&gt;&lt;periodical&gt;&lt;full-title&gt;Medical Decision Making&lt;/full-title&gt;&lt;/periodical&gt;&lt;pages&gt;8-19&lt;/pages&gt;&lt;volume&gt;36&lt;/volume&gt;&lt;number&gt;1&lt;/number&gt;&lt;keywords&gt;&lt;keyword&gt;cost-effectiveness analysis&lt;/keyword&gt;&lt;keyword&gt;economic evaluation&lt;/keyword&gt;&lt;keyword&gt;efficiency&lt;/keyword&gt;&lt;keyword&gt;equality&lt;/keyword&gt;&lt;keyword&gt;equity&lt;/keyword&gt;&lt;keyword&gt;fairness&lt;/keyword&gt;&lt;keyword&gt;health distribution&lt;/keyword&gt;&lt;keyword&gt;health inequality&lt;/keyword&gt;&lt;keyword&gt;inequality measures&lt;/keyword&gt;&lt;keyword&gt;opportunity cost&lt;/keyword&gt;&lt;keyword&gt;social value judgments&lt;/keyword&gt;&lt;keyword&gt;social welfare functions&lt;/keyword&gt;&lt;keyword&gt;tradeoff&lt;/keyword&gt;&lt;/keywords&gt;&lt;dates&gt;&lt;year&gt;2016&lt;/year&gt;&lt;pub-dates&gt;&lt;date&gt;1/1&lt;/date&gt;&lt;/pub-dates&gt;&lt;/dates&gt;&lt;isbn&gt;0272-989X&lt;/isbn&gt;&lt;work-type&gt;Article&lt;/work-type&gt;&lt;urls&gt;&lt;related-urls&gt;&lt;url&gt;http://www.scopus.com/inward/record.url?scp=84950117843&amp;amp;partnerID=8YFLogxK&lt;/url&gt;&lt;/related-urls&gt;&lt;/urls&gt;&lt;electronic-resource-num&gt;10.1177/0272989X15583266&lt;/electronic-resource-num&gt;&lt;/record&gt;&lt;/Cite&gt;&lt;/EndNote&gt;</w:instrText>
            </w:r>
            <w:r w:rsidRPr="004C78D8">
              <w:rPr>
                <w:sz w:val="18"/>
                <w:szCs w:val="18"/>
              </w:rPr>
              <w:fldChar w:fldCharType="separate"/>
            </w:r>
            <w:r w:rsidR="00513646" w:rsidRPr="004C78D8">
              <w:rPr>
                <w:noProof/>
                <w:sz w:val="18"/>
                <w:szCs w:val="18"/>
              </w:rPr>
              <w:t>[109]</w:t>
            </w:r>
            <w:r w:rsidRPr="004C78D8">
              <w:rPr>
                <w:sz w:val="18"/>
                <w:szCs w:val="18"/>
              </w:rPr>
              <w:fldChar w:fldCharType="end"/>
            </w:r>
            <w:r w:rsidRPr="004C78D8">
              <w:rPr>
                <w:sz w:val="18"/>
                <w:szCs w:val="18"/>
              </w:rPr>
              <w:t>.</w:t>
            </w:r>
          </w:p>
        </w:tc>
      </w:tr>
    </w:tbl>
    <w:p w14:paraId="009C01B8" w14:textId="77777777" w:rsidR="00BC5D2B" w:rsidRPr="004C78D8" w:rsidRDefault="00BC5D2B" w:rsidP="00FB7C1F"/>
    <w:p w14:paraId="51A46931" w14:textId="5D469C7C" w:rsidR="003201FE" w:rsidRPr="004C78D8" w:rsidRDefault="00A84426" w:rsidP="00FB7C1F">
      <w:pPr>
        <w:pStyle w:val="Heading4"/>
      </w:pPr>
      <w:r w:rsidRPr="004C78D8">
        <w:t>6</w:t>
      </w:r>
      <w:r w:rsidR="003201FE" w:rsidRPr="004C78D8">
        <w:t>.</w:t>
      </w:r>
      <w:r w:rsidR="002055BD" w:rsidRPr="004C78D8">
        <w:t>3</w:t>
      </w:r>
      <w:r w:rsidR="003201FE" w:rsidRPr="004C78D8">
        <w:t>.</w:t>
      </w:r>
      <w:r w:rsidRPr="004C78D8">
        <w:t>1</w:t>
      </w:r>
      <w:r w:rsidR="003201FE" w:rsidRPr="004C78D8">
        <w:t>.</w:t>
      </w:r>
      <w:r w:rsidR="002055BD" w:rsidRPr="004C78D8">
        <w:t>5</w:t>
      </w:r>
      <w:r w:rsidR="003201FE" w:rsidRPr="004C78D8">
        <w:t xml:space="preserve"> Environmental intervention</w:t>
      </w:r>
    </w:p>
    <w:p w14:paraId="4DDD345F" w14:textId="646FE6C5" w:rsidR="007800B6" w:rsidRPr="004C78D8" w:rsidRDefault="007800B6" w:rsidP="00FB7C1F">
      <w:bookmarkStart w:id="203" w:name="_Hlk111280580"/>
      <w:r w:rsidRPr="004C78D8">
        <w:t xml:space="preserve">Table </w:t>
      </w:r>
      <w:r w:rsidR="00A84426" w:rsidRPr="004C78D8">
        <w:t>F2</w:t>
      </w:r>
      <w:r w:rsidR="005A6064" w:rsidRPr="004C78D8">
        <w:t>1</w:t>
      </w:r>
      <w:r w:rsidRPr="004C78D8">
        <w:t xml:space="preserve"> shows the impact of </w:t>
      </w:r>
      <w:r w:rsidR="00CD231D" w:rsidRPr="004C78D8">
        <w:t>four</w:t>
      </w:r>
      <w:r w:rsidRPr="004C78D8">
        <w:t xml:space="preserve"> environmental intervention</w:t>
      </w:r>
      <w:r w:rsidR="00CD231D" w:rsidRPr="004C78D8">
        <w:t xml:space="preserve"> scenarios</w:t>
      </w:r>
      <w:r w:rsidR="00E528B1" w:rsidRPr="004C78D8">
        <w:t>:</w:t>
      </w:r>
      <w:r w:rsidR="00417A29" w:rsidRPr="004C78D8">
        <w:t xml:space="preserve"> (i) physical activity</w:t>
      </w:r>
      <w:r w:rsidR="00CD231D" w:rsidRPr="004C78D8">
        <w:t xml:space="preserve"> (PA)</w:t>
      </w:r>
      <w:r w:rsidR="00417A29" w:rsidRPr="004C78D8">
        <w:t xml:space="preserve"> promotion that increases the probability of engaging in high physical activity by </w:t>
      </w:r>
      <w:r w:rsidR="00CD231D" w:rsidRPr="004C78D8">
        <w:t>5</w:t>
      </w:r>
      <w:r w:rsidR="00417A29" w:rsidRPr="004C78D8">
        <w:t>%</w:t>
      </w:r>
      <w:r w:rsidR="00CD231D" w:rsidRPr="004C78D8">
        <w:t xml:space="preserve">; (ii) PA promotion with </w:t>
      </w:r>
      <w:r w:rsidR="0072035C" w:rsidRPr="004C78D8">
        <w:t xml:space="preserve">the </w:t>
      </w:r>
      <w:r w:rsidR="00CD231D" w:rsidRPr="004C78D8">
        <w:t>same efficacy targeting the 3</w:t>
      </w:r>
      <w:r w:rsidR="00CD231D" w:rsidRPr="004C78D8">
        <w:rPr>
          <w:vertAlign w:val="superscript"/>
        </w:rPr>
        <w:t>rd</w:t>
      </w:r>
      <w:r w:rsidR="00CD231D" w:rsidRPr="004C78D8">
        <w:t xml:space="preserve"> and 4</w:t>
      </w:r>
      <w:r w:rsidR="00CD231D" w:rsidRPr="004C78D8">
        <w:rPr>
          <w:vertAlign w:val="superscript"/>
        </w:rPr>
        <w:t>th</w:t>
      </w:r>
      <w:r w:rsidR="00CD231D" w:rsidRPr="004C78D8">
        <w:t xml:space="preserve"> SES quartiles; (iii) falls hazard (FH) removal that reduces the falls risk by 5%; and (iv) FH removal with </w:t>
      </w:r>
      <w:r w:rsidR="0072035C" w:rsidRPr="004C78D8">
        <w:t xml:space="preserve">the </w:t>
      </w:r>
      <w:r w:rsidR="00CD231D" w:rsidRPr="004C78D8">
        <w:t>same efficacy targeting the 3</w:t>
      </w:r>
      <w:r w:rsidR="00CD231D" w:rsidRPr="004C78D8">
        <w:rPr>
          <w:vertAlign w:val="superscript"/>
        </w:rPr>
        <w:t>rd</w:t>
      </w:r>
      <w:r w:rsidR="00CD231D" w:rsidRPr="004C78D8">
        <w:t xml:space="preserve"> and 4</w:t>
      </w:r>
      <w:r w:rsidR="00CD231D" w:rsidRPr="004C78D8">
        <w:rPr>
          <w:vertAlign w:val="superscript"/>
        </w:rPr>
        <w:t>th</w:t>
      </w:r>
      <w:r w:rsidR="00CD231D" w:rsidRPr="004C78D8">
        <w:t xml:space="preserve"> SES quartiles</w:t>
      </w:r>
      <w:r w:rsidRPr="004C78D8">
        <w:t>.</w:t>
      </w:r>
      <w:r w:rsidR="007A1E83" w:rsidRPr="004C78D8">
        <w:t xml:space="preserve"> </w:t>
      </w:r>
      <w:r w:rsidR="00D1069B" w:rsidRPr="004C78D8">
        <w:t xml:space="preserve">The environmental interventions </w:t>
      </w:r>
      <w:r w:rsidR="008A35C2" w:rsidRPr="004C78D8">
        <w:t>supplemented:</w:t>
      </w:r>
      <w:r w:rsidR="00D1069B" w:rsidRPr="004C78D8">
        <w:t xml:space="preserve"> (A) UC</w:t>
      </w:r>
      <w:r w:rsidR="008A35C2" w:rsidRPr="004C78D8">
        <w:t>;</w:t>
      </w:r>
      <w:r w:rsidR="00D1069B" w:rsidRPr="004C78D8">
        <w:t xml:space="preserve"> </w:t>
      </w:r>
      <w:r w:rsidR="00D16D4B" w:rsidRPr="004C78D8">
        <w:t>and (B) CRC scenario (4)</w:t>
      </w:r>
      <w:r w:rsidR="008A35C2" w:rsidRPr="004C78D8">
        <w:t xml:space="preserve">. </w:t>
      </w:r>
      <w:bookmarkStart w:id="204" w:name="_Hlk111280595"/>
      <w:bookmarkEnd w:id="203"/>
      <w:r w:rsidR="008A35C2" w:rsidRPr="004C78D8">
        <w:t>They were then</w:t>
      </w:r>
      <w:r w:rsidR="00D1069B" w:rsidRPr="004C78D8">
        <w:t xml:space="preserve"> compared to UC alone.</w:t>
      </w:r>
      <w:bookmarkEnd w:id="204"/>
      <w:r w:rsidR="00D1069B" w:rsidRPr="004C78D8">
        <w:t xml:space="preserve"> </w:t>
      </w:r>
      <w:r w:rsidR="007A1E83" w:rsidRPr="004C78D8">
        <w:t>The environmental interventions were costed based on previous modelling evidence. Nshimyumukiza (2013) reported that PA promotion cost CAD$3 (around £3</w:t>
      </w:r>
      <w:r w:rsidR="0072035C" w:rsidRPr="004C78D8">
        <w:t xml:space="preserve"> in 2021 price</w:t>
      </w:r>
      <w:r w:rsidR="007A1E83" w:rsidRPr="004C78D8">
        <w:t xml:space="preserve">) per person annually </w:t>
      </w:r>
      <w:r w:rsidR="007A1E83" w:rsidRPr="004C78D8">
        <w:fldChar w:fldCharType="begin"/>
      </w:r>
      <w:r w:rsidR="00C630FC" w:rsidRPr="004C78D8">
        <w:instrText xml:space="preserve"> ADDIN EN.CITE &lt;EndNote&gt;&lt;Cite&gt;&lt;Author&gt;Nshimyumukiza&lt;/Author&gt;&lt;Year&gt;2013&lt;/Year&gt;&lt;RecNum&gt;381&lt;/RecNum&gt;&lt;DisplayText&gt;[336]&lt;/DisplayText&gt;&lt;record&gt;&lt;rec-number&gt;381&lt;/rec-number&gt;&lt;foreign-keys&gt;&lt;key app="EN" db-id="tdtrdw9aepptzbefsat599syza29sxsd2wsp" timestamp="1612694614"&gt;381&lt;/key&gt;&lt;/foreign-keys&gt;&lt;ref-type name="Journal Article"&gt;17&lt;/ref-type&gt;&lt;contributors&gt;&lt;authors&gt;&lt;author&gt;Nshimyumukiza, Léon&lt;/author&gt;&lt;author&gt;Durand, Audrey&lt;/author&gt;&lt;author&gt;Gagnon, Mathieu&lt;/author&gt;&lt;author&gt;Douville, Xavier&lt;/author&gt;&lt;author&gt;Morin, Suzanne&lt;/author&gt;&lt;author&gt;Lindsay, Carmen&lt;/author&gt;&lt;author&gt;Duplantie, Julie&lt;/author&gt;&lt;author&gt;Gagné, Christian&lt;/author&gt;&lt;author&gt;Jean, Sonia&lt;/author&gt;&lt;author&gt;Giguere, Yves&lt;/author&gt;&lt;/authors&gt;&lt;/contributors&gt;&lt;titles&gt;&lt;title&gt;An economic evaluation: Simulation of the cost‐effectiveness and cost‐utility of universal prevention strategies against osteoporosis‐related fractures&lt;/title&gt;&lt;secondary-title&gt;Journal of Bone and Mineral Research&lt;/secondary-title&gt;&lt;/titles&gt;&lt;periodical&gt;&lt;full-title&gt;Journal of bone and mineral research&lt;/full-title&gt;&lt;/periodical&gt;&lt;pages&gt;383-394&lt;/pages&gt;&lt;volume&gt;28&lt;/volume&gt;&lt;number&gt;2&lt;/number&gt;&lt;dates&gt;&lt;year&gt;2013&lt;/year&gt;&lt;/dates&gt;&lt;isbn&gt;0884-0431&lt;/isbn&gt;&lt;urls&gt;&lt;/urls&gt;&lt;/record&gt;&lt;/Cite&gt;&lt;/EndNote&gt;</w:instrText>
      </w:r>
      <w:r w:rsidR="007A1E83" w:rsidRPr="004C78D8">
        <w:fldChar w:fldCharType="separate"/>
      </w:r>
      <w:r w:rsidR="00C630FC" w:rsidRPr="004C78D8">
        <w:rPr>
          <w:noProof/>
        </w:rPr>
        <w:t>[336]</w:t>
      </w:r>
      <w:r w:rsidR="007A1E83" w:rsidRPr="004C78D8">
        <w:fldChar w:fldCharType="end"/>
      </w:r>
      <w:r w:rsidR="007A1E83" w:rsidRPr="004C78D8">
        <w:t>. Johansson (2008) reported that a combined programme of multifactorial and environmental (addressing falls hazards) interventions cost SEK6,451,149 (£729,988) for 5,500 residents in one year</w:t>
      </w:r>
      <w:r w:rsidR="00ED4C7D" w:rsidRPr="004C78D8">
        <w:t xml:space="preserve"> </w:t>
      </w:r>
      <w:r w:rsidR="00ED4C7D" w:rsidRPr="004C78D8">
        <w:fldChar w:fldCharType="begin"/>
      </w:r>
      <w:r w:rsidR="00513646" w:rsidRPr="004C78D8">
        <w:instrText xml:space="preserve"> ADDIN EN.CITE &lt;EndNote&gt;&lt;Cite&gt;&lt;Author&gt;Johansson&lt;/Author&gt;&lt;Year&gt;2008&lt;/Year&gt;&lt;RecNum&gt;288&lt;/RecNum&gt;&lt;DisplayText&gt;[128]&lt;/DisplayText&gt;&lt;record&gt;&lt;rec-number&gt;288&lt;/rec-number&gt;&lt;foreign-keys&gt;&lt;key app="EN" db-id="tdtrdw9aepptzbefsat599syza29sxsd2wsp" timestamp="1611700763"&gt;288&lt;/key&gt;&lt;/foreign-keys&gt;&lt;ref-type name="Journal Article"&gt;17&lt;/ref-type&gt;&lt;contributors&gt;&lt;authors&gt;&lt;author&gt;Johansson, Pia&lt;/author&gt;&lt;author&gt;Sadigh, Siv&lt;/author&gt;&lt;author&gt;Tillgren, Per&lt;/author&gt;&lt;author&gt;Rehnberg, Clas&lt;/author&gt;&lt;/authors&gt;&lt;/contributors&gt;&lt;titles&gt;&lt;title&gt;Non-pharmaceutical prevention of hip fractures - a cost-effectiveness analysis of a community-based elderly safety promotion program in Sweden&lt;/title&gt;&lt;secondary-title&gt;Cost effectiveness and resource allocation : C/E&lt;/secondary-title&gt;&lt;/titles&gt;&lt;periodical&gt;&lt;full-title&gt;Cost effectiveness and resource allocation : C/E&lt;/full-title&gt;&lt;/periodical&gt;&lt;pages&gt;11&lt;/pages&gt;&lt;volume&gt;6&lt;/volume&gt;&lt;section&gt;Johansson, Pia. Karolinska Institutet, Department of Public Health Sciences, Stockholm, Sweden. pia.m.johansson@sll.se&lt;/section&gt;&lt;dates&gt;&lt;year&gt;2008&lt;/year&gt;&lt;/dates&gt;&lt;pub-location&gt;England&lt;/pub-location&gt;&lt;isbn&gt;1478-7547&lt;/isbn&gt;&lt;urls&gt;&lt;related-urls&gt;&lt;url&gt;http://ovidsp.ovid.com/ovidweb.cgi?T=JS&amp;amp;PAGE=reference&amp;amp;D=prem&amp;amp;NEWS=N&amp;amp;AN=18513425&lt;/url&gt;&lt;/related-urls&gt;&lt;/urls&gt;&lt;electronic-resource-num&gt;https://dx.doi.org/10.1186/1478-7547-6-11&lt;/electronic-resource-num&gt;&lt;/record&gt;&lt;/Cite&gt;&lt;/EndNote&gt;</w:instrText>
      </w:r>
      <w:r w:rsidR="00ED4C7D" w:rsidRPr="004C78D8">
        <w:fldChar w:fldCharType="separate"/>
      </w:r>
      <w:r w:rsidR="00513646" w:rsidRPr="004C78D8">
        <w:rPr>
          <w:noProof/>
        </w:rPr>
        <w:t>[128]</w:t>
      </w:r>
      <w:r w:rsidR="00ED4C7D" w:rsidRPr="004C78D8">
        <w:fldChar w:fldCharType="end"/>
      </w:r>
      <w:r w:rsidR="007A1E83" w:rsidRPr="004C78D8">
        <w:t xml:space="preserve">; </w:t>
      </w:r>
      <w:r w:rsidR="002C7CF1" w:rsidRPr="004C78D8">
        <w:t>if</w:t>
      </w:r>
      <w:r w:rsidR="007A1E83" w:rsidRPr="004C78D8">
        <w:t xml:space="preserve"> the environmental intervention comprised half of </w:t>
      </w:r>
      <w:r w:rsidR="0072035C" w:rsidRPr="004C78D8">
        <w:t xml:space="preserve">the </w:t>
      </w:r>
      <w:r w:rsidR="007A1E83" w:rsidRPr="004C78D8">
        <w:t>total cost</w:t>
      </w:r>
      <w:r w:rsidR="00AA6EB7" w:rsidRPr="004C78D8">
        <w:t>, this amounted to £66.36 per person annually.</w:t>
      </w:r>
    </w:p>
    <w:p w14:paraId="690CFB45" w14:textId="6C48B846" w:rsidR="00743388" w:rsidRPr="004C78D8" w:rsidRDefault="00D16D4B" w:rsidP="00FB7C1F">
      <w:r w:rsidRPr="004C78D8">
        <w:t>PA promotion, implemented universally or targeted at 3</w:t>
      </w:r>
      <w:r w:rsidRPr="004C78D8">
        <w:rPr>
          <w:vertAlign w:val="superscript"/>
        </w:rPr>
        <w:t>rd</w:t>
      </w:r>
      <w:r w:rsidRPr="004C78D8">
        <w:t xml:space="preserve"> and 4</w:t>
      </w:r>
      <w:r w:rsidRPr="004C78D8">
        <w:rPr>
          <w:vertAlign w:val="superscript"/>
        </w:rPr>
        <w:t>th</w:t>
      </w:r>
      <w:r w:rsidRPr="004C78D8">
        <w:t xml:space="preserve"> SES quartiles, was highly cost-effective </w:t>
      </w:r>
      <w:r w:rsidR="0050696D" w:rsidRPr="004C78D8">
        <w:t>vs.</w:t>
      </w:r>
      <w:r w:rsidRPr="004C78D8">
        <w:t xml:space="preserve"> UC</w:t>
      </w:r>
      <w:r w:rsidR="00743388" w:rsidRPr="004C78D8">
        <w:t xml:space="preserve"> with societal ICERs (considering all-cause costs) of £2,110 and £1,692 per QALY gained, respectively</w:t>
      </w:r>
      <w:r w:rsidRPr="004C78D8">
        <w:t xml:space="preserve">. When supplemented to CRC scenario (4), the combined programme improved the cost-effectiveness </w:t>
      </w:r>
      <w:r w:rsidR="0050696D" w:rsidRPr="004C78D8">
        <w:t>vs.</w:t>
      </w:r>
      <w:r w:rsidRPr="004C78D8">
        <w:t xml:space="preserve"> UC when compared to non-</w:t>
      </w:r>
      <w:r w:rsidR="008D2253" w:rsidRPr="004C78D8">
        <w:t>supplemented CRC scenario (4)</w:t>
      </w:r>
      <w:r w:rsidR="00694C61" w:rsidRPr="004C78D8">
        <w:t>.</w:t>
      </w:r>
      <w:r w:rsidR="008D2253" w:rsidRPr="004C78D8">
        <w:t xml:space="preserve"> </w:t>
      </w:r>
      <w:r w:rsidR="00743388" w:rsidRPr="004C78D8">
        <w:t>T</w:t>
      </w:r>
      <w:r w:rsidR="008D2253" w:rsidRPr="004C78D8">
        <w:t>he targeted PA promotion generated similar QALY gain</w:t>
      </w:r>
      <w:r w:rsidR="0072035C" w:rsidRPr="004C78D8">
        <w:t>s</w:t>
      </w:r>
      <w:r w:rsidR="008D2253" w:rsidRPr="004C78D8">
        <w:t xml:space="preserve"> to universal promotion (9,452 </w:t>
      </w:r>
      <w:r w:rsidR="00F92AF5" w:rsidRPr="004C78D8">
        <w:t xml:space="preserve">and 10,506 </w:t>
      </w:r>
      <w:r w:rsidR="008D2253" w:rsidRPr="004C78D8">
        <w:t>QALYs</w:t>
      </w:r>
      <w:r w:rsidR="00F92AF5" w:rsidRPr="004C78D8">
        <w:t>, respectively</w:t>
      </w:r>
      <w:r w:rsidR="008D2253" w:rsidRPr="004C78D8">
        <w:t xml:space="preserve">) </w:t>
      </w:r>
      <w:r w:rsidR="0072035C" w:rsidRPr="004C78D8">
        <w:t xml:space="preserve">when </w:t>
      </w:r>
      <w:r w:rsidR="008D2253" w:rsidRPr="004C78D8">
        <w:t>supplementing CRC but not when implemented singly</w:t>
      </w:r>
      <w:r w:rsidR="00F92AF5" w:rsidRPr="004C78D8">
        <w:t xml:space="preserve"> (998 and 2,321 QALYs)</w:t>
      </w:r>
      <w:r w:rsidR="008D2253" w:rsidRPr="004C78D8">
        <w:t xml:space="preserve">. </w:t>
      </w:r>
    </w:p>
    <w:p w14:paraId="6DEED27F" w14:textId="626BB057" w:rsidR="008368AF" w:rsidRPr="004C78D8" w:rsidRDefault="008D2253" w:rsidP="00FB7C1F">
      <w:r w:rsidRPr="004C78D8">
        <w:t>FH removal produced societal ICERs (considering all-cause costs) of £9,783 and £8,240 per QALY gain</w:t>
      </w:r>
      <w:r w:rsidR="00D16469" w:rsidRPr="004C78D8">
        <w:t>ed</w:t>
      </w:r>
      <w:r w:rsidRPr="004C78D8">
        <w:t xml:space="preserve"> relative to UC when implemented universally and targeted, respectively</w:t>
      </w:r>
      <w:r w:rsidR="0050696D" w:rsidRPr="004C78D8">
        <w:t xml:space="preserve">. </w:t>
      </w:r>
      <w:r w:rsidR="00CC06FC" w:rsidRPr="004C78D8">
        <w:t xml:space="preserve">When supplemented to CRC scenario (4), the combined programme </w:t>
      </w:r>
      <w:r w:rsidR="0050696D" w:rsidRPr="004C78D8">
        <w:t>reduced the cost-effectiveness vs.</w:t>
      </w:r>
      <w:r w:rsidR="00CC06FC" w:rsidRPr="004C78D8">
        <w:t xml:space="preserve"> UC when compared to non-supplemented CRC scenario (4)</w:t>
      </w:r>
      <w:r w:rsidR="00E737FD" w:rsidRPr="004C78D8">
        <w:t>.</w:t>
      </w:r>
      <w:r w:rsidR="00CC06FC" w:rsidRPr="004C78D8">
        <w:t xml:space="preserve"> </w:t>
      </w:r>
      <w:r w:rsidR="00E737FD" w:rsidRPr="004C78D8">
        <w:t>B</w:t>
      </w:r>
      <w:r w:rsidR="00CC06FC" w:rsidRPr="004C78D8">
        <w:t>ut the aggregate societal INMBs considering all-cause costs (£404.7 million universal, £320.5 million targeted) were higher for the combined programme than CRC alone (£214.0 millio</w:t>
      </w:r>
      <w:r w:rsidR="00E737FD" w:rsidRPr="004C78D8">
        <w:t>n</w:t>
      </w:r>
      <w:r w:rsidR="00CC06FC" w:rsidRPr="004C78D8">
        <w:t>)</w:t>
      </w:r>
      <w:r w:rsidR="00E737FD" w:rsidRPr="004C78D8">
        <w:t>, indicating the higher reach of the programme.</w:t>
      </w:r>
    </w:p>
    <w:p w14:paraId="5139CD8A" w14:textId="67045C6C" w:rsidR="00E528B1" w:rsidRPr="004C78D8" w:rsidRDefault="00E528B1" w:rsidP="00FB7C1F">
      <w:bookmarkStart w:id="205" w:name="_Hlk111281161"/>
      <w:r w:rsidRPr="004C78D8">
        <w:t>Table F</w:t>
      </w:r>
      <w:r w:rsidR="00743388" w:rsidRPr="004C78D8">
        <w:t xml:space="preserve">22 </w:t>
      </w:r>
      <w:r w:rsidRPr="004C78D8">
        <w:t xml:space="preserve">compared the four scenarios </w:t>
      </w:r>
      <w:r w:rsidR="0050696D" w:rsidRPr="004C78D8">
        <w:t>vs.</w:t>
      </w:r>
      <w:r w:rsidRPr="004C78D8">
        <w:t xml:space="preserve"> UC </w:t>
      </w:r>
      <w:r w:rsidR="0050696D" w:rsidRPr="004C78D8">
        <w:t xml:space="preserve">supplemented </w:t>
      </w:r>
      <w:r w:rsidRPr="004C78D8">
        <w:t xml:space="preserve">with the same </w:t>
      </w:r>
      <w:r w:rsidR="0011473F" w:rsidRPr="004C78D8">
        <w:t xml:space="preserve">respective </w:t>
      </w:r>
      <w:r w:rsidRPr="004C78D8">
        <w:t>environmental intervention</w:t>
      </w:r>
      <w:r w:rsidR="0011473F" w:rsidRPr="004C78D8">
        <w:t>s</w:t>
      </w:r>
      <w:r w:rsidR="00E737FD" w:rsidRPr="004C78D8">
        <w:t>.</w:t>
      </w:r>
      <w:r w:rsidRPr="004C78D8">
        <w:t xml:space="preserve"> </w:t>
      </w:r>
      <w:bookmarkEnd w:id="205"/>
      <w:r w:rsidRPr="004C78D8">
        <w:t xml:space="preserve">For all four </w:t>
      </w:r>
      <w:r w:rsidR="00702CC7" w:rsidRPr="004C78D8">
        <w:t xml:space="preserve">interventions, the cost-effectiveness of CRC scenario (4) </w:t>
      </w:r>
      <w:r w:rsidR="00352F69" w:rsidRPr="004C78D8">
        <w:t>vs.</w:t>
      </w:r>
      <w:r w:rsidR="00067392" w:rsidRPr="004C78D8">
        <w:t xml:space="preserve"> UC worsened when compared to no </w:t>
      </w:r>
      <w:r w:rsidR="0011473F" w:rsidRPr="004C78D8">
        <w:t xml:space="preserve">supplementary </w:t>
      </w:r>
      <w:r w:rsidR="00E737FD" w:rsidRPr="004C78D8">
        <w:t xml:space="preserve">environmental </w:t>
      </w:r>
      <w:r w:rsidR="00067392" w:rsidRPr="004C78D8">
        <w:t>intervention.</w:t>
      </w:r>
      <w:r w:rsidR="00702CC7" w:rsidRPr="004C78D8">
        <w:t xml:space="preserve"> </w:t>
      </w:r>
      <w:r w:rsidR="00067392" w:rsidRPr="004C78D8">
        <w:t xml:space="preserve">Hence, </w:t>
      </w:r>
      <w:r w:rsidR="007A0850" w:rsidRPr="004C78D8">
        <w:t xml:space="preserve">there was a diminishing return to CRC when implemented in the context of </w:t>
      </w:r>
      <w:r w:rsidR="00C86CEA" w:rsidRPr="004C78D8">
        <w:t xml:space="preserve">an </w:t>
      </w:r>
      <w:r w:rsidR="007A0850" w:rsidRPr="004C78D8">
        <w:t xml:space="preserve">environmental intervention. </w:t>
      </w:r>
    </w:p>
    <w:p w14:paraId="096F502C" w14:textId="78A8F8AE" w:rsidR="00120557" w:rsidRPr="004C78D8" w:rsidRDefault="00556A0C" w:rsidP="00FB7C1F">
      <w:r w:rsidRPr="004C78D8">
        <w:t>Figure F</w:t>
      </w:r>
      <w:r w:rsidR="00325201" w:rsidRPr="004C78D8">
        <w:t>14</w:t>
      </w:r>
      <w:r w:rsidR="00743388" w:rsidRPr="004C78D8">
        <w:t xml:space="preserve"> </w:t>
      </w:r>
      <w:r w:rsidRPr="004C78D8">
        <w:t>show</w:t>
      </w:r>
      <w:r w:rsidR="006C053D" w:rsidRPr="004C78D8">
        <w:t>s</w:t>
      </w:r>
      <w:r w:rsidRPr="004C78D8">
        <w:t xml:space="preserve"> the societal per-capita INHBs </w:t>
      </w:r>
      <w:r w:rsidR="006C053D" w:rsidRPr="004C78D8">
        <w:t>(considering</w:t>
      </w:r>
      <w:r w:rsidRPr="004C78D8">
        <w:t xml:space="preserve"> all-cause costs</w:t>
      </w:r>
      <w:r w:rsidR="006C053D" w:rsidRPr="004C78D8">
        <w:t>)</w:t>
      </w:r>
      <w:r w:rsidRPr="004C78D8">
        <w:t xml:space="preserve"> by SES quartile </w:t>
      </w:r>
      <w:r w:rsidR="006C053D" w:rsidRPr="004C78D8">
        <w:t>of</w:t>
      </w:r>
      <w:r w:rsidRPr="004C78D8">
        <w:t xml:space="preserve"> </w:t>
      </w:r>
      <w:r w:rsidR="006C053D" w:rsidRPr="004C78D8">
        <w:t>the four environmental interventions supplementing UC</w:t>
      </w:r>
      <w:r w:rsidRPr="004C78D8">
        <w:t xml:space="preserve"> </w:t>
      </w:r>
      <w:r w:rsidR="00352F69" w:rsidRPr="004C78D8">
        <w:t>vs.</w:t>
      </w:r>
      <w:r w:rsidRPr="004C78D8">
        <w:t xml:space="preserve"> UC </w:t>
      </w:r>
      <w:r w:rsidR="006C053D" w:rsidRPr="004C78D8">
        <w:t>alone</w:t>
      </w:r>
      <w:r w:rsidR="00325201" w:rsidRPr="004C78D8">
        <w:t>.</w:t>
      </w:r>
      <w:r w:rsidR="006C053D" w:rsidRPr="004C78D8">
        <w:t xml:space="preserve"> Figure F</w:t>
      </w:r>
      <w:r w:rsidR="00325201" w:rsidRPr="004C78D8">
        <w:t>15</w:t>
      </w:r>
      <w:r w:rsidR="00743388" w:rsidRPr="004C78D8">
        <w:t xml:space="preserve"> </w:t>
      </w:r>
      <w:r w:rsidR="006C053D" w:rsidRPr="004C78D8">
        <w:t xml:space="preserve">shows the same outcomes for the four interventions supplementing CRC scenario (4) </w:t>
      </w:r>
      <w:r w:rsidR="00352F69" w:rsidRPr="004C78D8">
        <w:t>vs.</w:t>
      </w:r>
      <w:r w:rsidR="006C053D" w:rsidRPr="004C78D8">
        <w:t xml:space="preserve"> UC alone.</w:t>
      </w:r>
      <w:r w:rsidRPr="004C78D8">
        <w:t xml:space="preserve"> </w:t>
      </w:r>
      <w:r w:rsidR="00120557" w:rsidRPr="004C78D8">
        <w:t>The</w:t>
      </w:r>
      <w:r w:rsidRPr="004C78D8">
        <w:t xml:space="preserve"> pro-poor gradient to the INHBs </w:t>
      </w:r>
      <w:r w:rsidR="00120557" w:rsidRPr="004C78D8">
        <w:t>was visible for targeted</w:t>
      </w:r>
      <w:r w:rsidR="00352F69" w:rsidRPr="004C78D8">
        <w:t>, but not universal,</w:t>
      </w:r>
      <w:r w:rsidR="00120557" w:rsidRPr="004C78D8">
        <w:t xml:space="preserve"> environmental interventions. </w:t>
      </w:r>
    </w:p>
    <w:p w14:paraId="45F93FA8" w14:textId="367D7F29" w:rsidR="008901DB" w:rsidRPr="004C78D8" w:rsidRDefault="00120557" w:rsidP="00FB7C1F">
      <w:r w:rsidRPr="004C78D8">
        <w:t xml:space="preserve">Table </w:t>
      </w:r>
      <w:r w:rsidR="003D7E4C" w:rsidRPr="004C78D8">
        <w:t>6</w:t>
      </w:r>
      <w:r w:rsidRPr="004C78D8">
        <w:t>.</w:t>
      </w:r>
      <w:r w:rsidR="003D7E4C" w:rsidRPr="004C78D8">
        <w:t>17</w:t>
      </w:r>
      <w:r w:rsidRPr="004C78D8">
        <w:t xml:space="preserve"> compares the </w:t>
      </w:r>
      <w:r w:rsidR="00325201" w:rsidRPr="004C78D8">
        <w:t>EDE INHBs</w:t>
      </w:r>
      <w:r w:rsidRPr="004C78D8">
        <w:t xml:space="preserve"> of the four environmental interventions (supplementing usual care or CRC scenario (4)) relative to UC alone under high relative and absolute inequality aversions. </w:t>
      </w:r>
      <w:r w:rsidR="00325201" w:rsidRPr="004C78D8">
        <w:t>Universal</w:t>
      </w:r>
      <w:r w:rsidR="00BE5CD0" w:rsidRPr="004C78D8">
        <w:t xml:space="preserve"> PA promotion and FH removal, when </w:t>
      </w:r>
      <w:r w:rsidR="00325201" w:rsidRPr="004C78D8">
        <w:t>supplementing UC</w:t>
      </w:r>
      <w:r w:rsidR="00BE5CD0" w:rsidRPr="004C78D8">
        <w:t xml:space="preserve">, worsened relative and absolute inequities </w:t>
      </w:r>
      <w:r w:rsidR="00AF6A73" w:rsidRPr="004C78D8">
        <w:t>vs.</w:t>
      </w:r>
      <w:r w:rsidR="00BE5CD0" w:rsidRPr="004C78D8">
        <w:t xml:space="preserve"> UC</w:t>
      </w:r>
      <w:r w:rsidR="00325201" w:rsidRPr="004C78D8">
        <w:t xml:space="preserve"> alone.</w:t>
      </w:r>
      <w:r w:rsidR="00BE5CD0" w:rsidRPr="004C78D8">
        <w:t xml:space="preserve"> </w:t>
      </w:r>
      <w:r w:rsidR="00325201" w:rsidRPr="004C78D8">
        <w:t>T</w:t>
      </w:r>
      <w:r w:rsidR="00BE5CD0" w:rsidRPr="004C78D8">
        <w:t>argeting the 3</w:t>
      </w:r>
      <w:r w:rsidR="00BE5CD0" w:rsidRPr="004C78D8">
        <w:rPr>
          <w:vertAlign w:val="superscript"/>
        </w:rPr>
        <w:t>rd</w:t>
      </w:r>
      <w:r w:rsidR="00BE5CD0" w:rsidRPr="004C78D8">
        <w:t xml:space="preserve"> and 4</w:t>
      </w:r>
      <w:r w:rsidR="00BE5CD0" w:rsidRPr="004C78D8">
        <w:rPr>
          <w:vertAlign w:val="superscript"/>
        </w:rPr>
        <w:t>th</w:t>
      </w:r>
      <w:r w:rsidR="00BE5CD0" w:rsidRPr="004C78D8">
        <w:t xml:space="preserve"> SES quartiles improved the equity gains</w:t>
      </w:r>
      <w:r w:rsidR="006774E1" w:rsidRPr="004C78D8">
        <w:t xml:space="preserve">. Even so, PA promotion worsened relative inequity when </w:t>
      </w:r>
      <w:r w:rsidR="00CE3598" w:rsidRPr="004C78D8">
        <w:t>supplementing UC</w:t>
      </w:r>
      <w:r w:rsidR="006774E1" w:rsidRPr="004C78D8">
        <w:t xml:space="preserve">. </w:t>
      </w:r>
      <w:r w:rsidR="00CE3598" w:rsidRPr="004C78D8">
        <w:t>Overall, the environmental interventions</w:t>
      </w:r>
      <w:r w:rsidR="006774E1" w:rsidRPr="004C78D8">
        <w:t xml:space="preserve"> should be </w:t>
      </w:r>
      <w:r w:rsidR="00CE3598" w:rsidRPr="004C78D8">
        <w:t xml:space="preserve">targeted and </w:t>
      </w:r>
      <w:r w:rsidR="00D43C1A" w:rsidRPr="004C78D8">
        <w:t>supplement</w:t>
      </w:r>
      <w:r w:rsidR="006774E1" w:rsidRPr="004C78D8">
        <w:t xml:space="preserve"> CRC </w:t>
      </w:r>
      <w:r w:rsidR="00CC4F16" w:rsidRPr="004C78D8">
        <w:t xml:space="preserve">scenario (4) </w:t>
      </w:r>
      <w:r w:rsidR="006774E1" w:rsidRPr="004C78D8">
        <w:t>to improve equity and efficiency.</w:t>
      </w:r>
    </w:p>
    <w:tbl>
      <w:tblPr>
        <w:tblStyle w:val="TableGrid"/>
        <w:tblW w:w="5000" w:type="pct"/>
        <w:tblLook w:val="04A0" w:firstRow="1" w:lastRow="0" w:firstColumn="1" w:lastColumn="0" w:noHBand="0" w:noVBand="1"/>
      </w:tblPr>
      <w:tblGrid>
        <w:gridCol w:w="3229"/>
        <w:gridCol w:w="1442"/>
        <w:gridCol w:w="1443"/>
        <w:gridCol w:w="1441"/>
        <w:gridCol w:w="1461"/>
      </w:tblGrid>
      <w:tr w:rsidR="008A35C2" w:rsidRPr="004C78D8" w14:paraId="3B7DED67" w14:textId="77777777" w:rsidTr="00801973">
        <w:tc>
          <w:tcPr>
            <w:tcW w:w="5000" w:type="pct"/>
            <w:gridSpan w:val="5"/>
          </w:tcPr>
          <w:p w14:paraId="3B4E0761" w14:textId="177A9B61" w:rsidR="00CC4F16" w:rsidRPr="004C78D8" w:rsidRDefault="008A35C2" w:rsidP="00FB7C1F">
            <w:r w:rsidRPr="004C78D8">
              <w:rPr>
                <w:b/>
                <w:bCs/>
              </w:rPr>
              <w:t xml:space="preserve">Table </w:t>
            </w:r>
            <w:r w:rsidR="003D7E4C" w:rsidRPr="004C78D8">
              <w:rPr>
                <w:b/>
                <w:bCs/>
              </w:rPr>
              <w:t>6</w:t>
            </w:r>
            <w:r w:rsidRPr="004C78D8">
              <w:rPr>
                <w:b/>
                <w:bCs/>
              </w:rPr>
              <w:t>.</w:t>
            </w:r>
            <w:r w:rsidR="003D7E4C" w:rsidRPr="004C78D8">
              <w:rPr>
                <w:b/>
                <w:bCs/>
              </w:rPr>
              <w:t>17</w:t>
            </w:r>
            <w:r w:rsidRPr="004C78D8">
              <w:t xml:space="preserve"> </w:t>
            </w:r>
            <w:r w:rsidR="00CC4F16" w:rsidRPr="004C78D8">
              <w:t>SES-delineated EDE INHBs for environmental interventions relative to usual care.</w:t>
            </w:r>
          </w:p>
        </w:tc>
      </w:tr>
      <w:tr w:rsidR="00120557" w:rsidRPr="004C78D8" w14:paraId="193E868D" w14:textId="77777777" w:rsidTr="00801973">
        <w:tc>
          <w:tcPr>
            <w:tcW w:w="1791" w:type="pct"/>
            <w:vAlign w:val="bottom"/>
          </w:tcPr>
          <w:p w14:paraId="69096819" w14:textId="04FF9E2F" w:rsidR="00120557" w:rsidRPr="004C78D8" w:rsidRDefault="00120557" w:rsidP="00FB7C1F">
            <w:pPr>
              <w:jc w:val="left"/>
              <w:rPr>
                <w:b/>
                <w:bCs/>
                <w:sz w:val="20"/>
                <w:szCs w:val="20"/>
              </w:rPr>
            </w:pPr>
            <w:r w:rsidRPr="004C78D8">
              <w:rPr>
                <w:b/>
                <w:bCs/>
                <w:sz w:val="20"/>
                <w:szCs w:val="20"/>
              </w:rPr>
              <w:t xml:space="preserve">Societal </w:t>
            </w:r>
            <w:r w:rsidR="00CC4F16" w:rsidRPr="004C78D8">
              <w:rPr>
                <w:b/>
                <w:bCs/>
                <w:sz w:val="20"/>
                <w:szCs w:val="20"/>
              </w:rPr>
              <w:t>INHB</w:t>
            </w:r>
            <w:r w:rsidRPr="004C78D8">
              <w:rPr>
                <w:b/>
                <w:bCs/>
                <w:sz w:val="20"/>
                <w:szCs w:val="20"/>
                <w:vertAlign w:val="superscript"/>
              </w:rPr>
              <w:t>1</w:t>
            </w:r>
          </w:p>
        </w:tc>
        <w:tc>
          <w:tcPr>
            <w:tcW w:w="800" w:type="pct"/>
            <w:vAlign w:val="bottom"/>
          </w:tcPr>
          <w:p w14:paraId="28EB8590" w14:textId="36FBEEA7" w:rsidR="00120557" w:rsidRPr="00972766" w:rsidRDefault="00120557" w:rsidP="00FB7C1F">
            <w:pPr>
              <w:jc w:val="left"/>
              <w:rPr>
                <w:b/>
                <w:bCs/>
                <w:sz w:val="18"/>
                <w:szCs w:val="18"/>
                <w:lang w:val="it-IT"/>
              </w:rPr>
            </w:pPr>
            <w:r w:rsidRPr="00972766">
              <w:rPr>
                <w:b/>
                <w:bCs/>
                <w:sz w:val="18"/>
                <w:szCs w:val="18"/>
                <w:lang w:val="it-IT"/>
              </w:rPr>
              <w:t>(i) Universal PA promotion</w:t>
            </w:r>
            <w:r w:rsidR="00E759C5" w:rsidRPr="00972766">
              <w:rPr>
                <w:b/>
                <w:bCs/>
                <w:sz w:val="18"/>
                <w:szCs w:val="18"/>
                <w:lang w:val="it-IT"/>
              </w:rPr>
              <w:t xml:space="preserve"> vs. UC</w:t>
            </w:r>
          </w:p>
        </w:tc>
        <w:tc>
          <w:tcPr>
            <w:tcW w:w="800" w:type="pct"/>
            <w:vAlign w:val="bottom"/>
          </w:tcPr>
          <w:p w14:paraId="6E6FB02A" w14:textId="4A68D07A" w:rsidR="00120557" w:rsidRPr="00972766" w:rsidRDefault="00120557" w:rsidP="00FB7C1F">
            <w:pPr>
              <w:jc w:val="left"/>
              <w:rPr>
                <w:b/>
                <w:bCs/>
                <w:sz w:val="18"/>
                <w:szCs w:val="18"/>
                <w:lang w:val="fr-FR"/>
              </w:rPr>
            </w:pPr>
            <w:r w:rsidRPr="00972766">
              <w:rPr>
                <w:b/>
                <w:bCs/>
                <w:sz w:val="18"/>
                <w:szCs w:val="18"/>
                <w:lang w:val="fr-FR"/>
              </w:rPr>
              <w:t>(ii) 3</w:t>
            </w:r>
            <w:r w:rsidRPr="00972766">
              <w:rPr>
                <w:b/>
                <w:bCs/>
                <w:sz w:val="18"/>
                <w:szCs w:val="18"/>
                <w:vertAlign w:val="superscript"/>
                <w:lang w:val="fr-FR"/>
              </w:rPr>
              <w:t>rd</w:t>
            </w:r>
            <w:r w:rsidRPr="00972766">
              <w:rPr>
                <w:b/>
                <w:bCs/>
                <w:sz w:val="18"/>
                <w:szCs w:val="18"/>
                <w:lang w:val="fr-FR"/>
              </w:rPr>
              <w:t>/4</w:t>
            </w:r>
            <w:r w:rsidRPr="00972766">
              <w:rPr>
                <w:b/>
                <w:bCs/>
                <w:sz w:val="18"/>
                <w:szCs w:val="18"/>
                <w:vertAlign w:val="superscript"/>
                <w:lang w:val="fr-FR"/>
              </w:rPr>
              <w:t>th</w:t>
            </w:r>
            <w:r w:rsidRPr="00972766">
              <w:rPr>
                <w:b/>
                <w:bCs/>
                <w:sz w:val="18"/>
                <w:szCs w:val="18"/>
                <w:lang w:val="fr-FR"/>
              </w:rPr>
              <w:t xml:space="preserve"> SES quartile PA promotion</w:t>
            </w:r>
            <w:r w:rsidR="00E759C5" w:rsidRPr="00972766">
              <w:rPr>
                <w:b/>
                <w:bCs/>
                <w:sz w:val="18"/>
                <w:szCs w:val="18"/>
                <w:lang w:val="fr-FR"/>
              </w:rPr>
              <w:t xml:space="preserve"> vs. UC</w:t>
            </w:r>
          </w:p>
        </w:tc>
        <w:tc>
          <w:tcPr>
            <w:tcW w:w="799" w:type="pct"/>
            <w:vAlign w:val="bottom"/>
          </w:tcPr>
          <w:p w14:paraId="4DC626B4" w14:textId="7FC99DB5" w:rsidR="00120557" w:rsidRPr="004C78D8" w:rsidRDefault="00120557" w:rsidP="00FB7C1F">
            <w:pPr>
              <w:jc w:val="left"/>
              <w:rPr>
                <w:b/>
                <w:bCs/>
                <w:sz w:val="18"/>
                <w:szCs w:val="18"/>
              </w:rPr>
            </w:pPr>
            <w:r w:rsidRPr="004C78D8">
              <w:rPr>
                <w:b/>
                <w:bCs/>
                <w:sz w:val="18"/>
                <w:szCs w:val="18"/>
              </w:rPr>
              <w:t>(iii) Universal FH removal</w:t>
            </w:r>
            <w:r w:rsidR="00E759C5" w:rsidRPr="004C78D8">
              <w:rPr>
                <w:b/>
                <w:bCs/>
                <w:sz w:val="18"/>
                <w:szCs w:val="18"/>
              </w:rPr>
              <w:t xml:space="preserve"> vs. UC</w:t>
            </w:r>
          </w:p>
        </w:tc>
        <w:tc>
          <w:tcPr>
            <w:tcW w:w="810" w:type="pct"/>
            <w:vAlign w:val="bottom"/>
          </w:tcPr>
          <w:p w14:paraId="45C7B383" w14:textId="755690C6" w:rsidR="00120557" w:rsidRPr="004C78D8" w:rsidRDefault="00120557" w:rsidP="00FB7C1F">
            <w:pPr>
              <w:jc w:val="left"/>
              <w:rPr>
                <w:b/>
                <w:bCs/>
                <w:sz w:val="18"/>
                <w:szCs w:val="18"/>
              </w:rPr>
            </w:pPr>
            <w:r w:rsidRPr="004C78D8">
              <w:rPr>
                <w:b/>
                <w:bCs/>
                <w:sz w:val="18"/>
                <w:szCs w:val="18"/>
              </w:rPr>
              <w:t>(iv) 3</w:t>
            </w:r>
            <w:r w:rsidRPr="004C78D8">
              <w:rPr>
                <w:b/>
                <w:bCs/>
                <w:sz w:val="18"/>
                <w:szCs w:val="18"/>
                <w:vertAlign w:val="superscript"/>
              </w:rPr>
              <w:t>rd</w:t>
            </w:r>
            <w:r w:rsidRPr="004C78D8">
              <w:rPr>
                <w:b/>
                <w:bCs/>
                <w:sz w:val="18"/>
                <w:szCs w:val="18"/>
              </w:rPr>
              <w:t>/4</w:t>
            </w:r>
            <w:r w:rsidRPr="004C78D8">
              <w:rPr>
                <w:b/>
                <w:bCs/>
                <w:sz w:val="18"/>
                <w:szCs w:val="18"/>
                <w:vertAlign w:val="superscript"/>
              </w:rPr>
              <w:t>th</w:t>
            </w:r>
            <w:r w:rsidRPr="004C78D8">
              <w:rPr>
                <w:b/>
                <w:bCs/>
                <w:sz w:val="18"/>
                <w:szCs w:val="18"/>
              </w:rPr>
              <w:t xml:space="preserve"> SES quartile FH removal</w:t>
            </w:r>
            <w:r w:rsidR="00E759C5" w:rsidRPr="004C78D8">
              <w:rPr>
                <w:b/>
                <w:bCs/>
                <w:sz w:val="18"/>
                <w:szCs w:val="18"/>
              </w:rPr>
              <w:t xml:space="preserve"> vs. UC</w:t>
            </w:r>
          </w:p>
        </w:tc>
      </w:tr>
      <w:tr w:rsidR="008A35C2" w:rsidRPr="007E625D" w14:paraId="5E4B55C8" w14:textId="77777777" w:rsidTr="00801973">
        <w:tc>
          <w:tcPr>
            <w:tcW w:w="1791" w:type="pct"/>
            <w:vAlign w:val="bottom"/>
          </w:tcPr>
          <w:p w14:paraId="045E9CDA" w14:textId="77777777" w:rsidR="008A35C2" w:rsidRPr="004C78D8" w:rsidRDefault="008A35C2" w:rsidP="00FB7C1F">
            <w:pPr>
              <w:jc w:val="left"/>
              <w:rPr>
                <w:b/>
                <w:bCs/>
                <w:sz w:val="20"/>
                <w:szCs w:val="20"/>
              </w:rPr>
            </w:pPr>
          </w:p>
        </w:tc>
        <w:tc>
          <w:tcPr>
            <w:tcW w:w="3209" w:type="pct"/>
            <w:gridSpan w:val="4"/>
          </w:tcPr>
          <w:p w14:paraId="427D5C51" w14:textId="1BAA3FDC" w:rsidR="008A35C2" w:rsidRPr="00972766" w:rsidRDefault="008A35C2" w:rsidP="00FB7C1F">
            <w:pPr>
              <w:jc w:val="center"/>
              <w:rPr>
                <w:b/>
                <w:bCs/>
                <w:sz w:val="18"/>
                <w:szCs w:val="18"/>
                <w:lang w:val="fr-FR"/>
              </w:rPr>
            </w:pPr>
            <w:r w:rsidRPr="00972766">
              <w:rPr>
                <w:b/>
                <w:bCs/>
                <w:sz w:val="20"/>
                <w:szCs w:val="20"/>
                <w:lang w:val="fr-FR"/>
              </w:rPr>
              <w:t xml:space="preserve">(A) Environmental interventions supplementing </w:t>
            </w:r>
            <w:r w:rsidR="00120557" w:rsidRPr="00972766">
              <w:rPr>
                <w:b/>
                <w:bCs/>
                <w:sz w:val="20"/>
                <w:szCs w:val="20"/>
                <w:lang w:val="fr-FR"/>
              </w:rPr>
              <w:t>UC</w:t>
            </w:r>
          </w:p>
        </w:tc>
      </w:tr>
      <w:tr w:rsidR="00CC4F16" w:rsidRPr="004C78D8" w14:paraId="37C8D760" w14:textId="77777777" w:rsidTr="00801973">
        <w:tc>
          <w:tcPr>
            <w:tcW w:w="1791" w:type="pct"/>
            <w:tcBorders>
              <w:bottom w:val="single" w:sz="4" w:space="0" w:color="auto"/>
            </w:tcBorders>
          </w:tcPr>
          <w:p w14:paraId="0EBCA086" w14:textId="6518B9EE" w:rsidR="00CC4F16" w:rsidRPr="004C78D8" w:rsidRDefault="00CC4F16" w:rsidP="00FB7C1F">
            <w:pPr>
              <w:jc w:val="left"/>
              <w:rPr>
                <w:sz w:val="20"/>
                <w:szCs w:val="20"/>
              </w:rPr>
            </w:pPr>
            <w:r w:rsidRPr="004C78D8">
              <w:rPr>
                <w:sz w:val="20"/>
                <w:szCs w:val="20"/>
              </w:rPr>
              <w:t>(1) Incremental no-aversion mean</w:t>
            </w:r>
            <w:r w:rsidRPr="004C78D8">
              <w:rPr>
                <w:sz w:val="20"/>
                <w:szCs w:val="20"/>
                <w:vertAlign w:val="superscript"/>
              </w:rPr>
              <w:t>2</w:t>
            </w:r>
          </w:p>
        </w:tc>
        <w:tc>
          <w:tcPr>
            <w:tcW w:w="800" w:type="pct"/>
            <w:tcBorders>
              <w:bottom w:val="single" w:sz="4" w:space="0" w:color="auto"/>
            </w:tcBorders>
          </w:tcPr>
          <w:p w14:paraId="7566EB39" w14:textId="0C5F8D43" w:rsidR="00CC4F16" w:rsidRPr="004C78D8" w:rsidRDefault="00CC4F16" w:rsidP="00FB7C1F">
            <w:pPr>
              <w:jc w:val="left"/>
              <w:rPr>
                <w:sz w:val="20"/>
                <w:szCs w:val="20"/>
              </w:rPr>
            </w:pPr>
            <w:r w:rsidRPr="004C78D8">
              <w:rPr>
                <w:sz w:val="20"/>
                <w:szCs w:val="20"/>
              </w:rPr>
              <w:t>0.0072</w:t>
            </w:r>
          </w:p>
        </w:tc>
        <w:tc>
          <w:tcPr>
            <w:tcW w:w="800" w:type="pct"/>
            <w:tcBorders>
              <w:bottom w:val="single" w:sz="4" w:space="0" w:color="auto"/>
            </w:tcBorders>
          </w:tcPr>
          <w:p w14:paraId="085AF2E8" w14:textId="7FC5684F" w:rsidR="00CC4F16" w:rsidRPr="004C78D8" w:rsidRDefault="00CC4F16" w:rsidP="00FB7C1F">
            <w:pPr>
              <w:jc w:val="left"/>
              <w:rPr>
                <w:sz w:val="20"/>
                <w:szCs w:val="20"/>
              </w:rPr>
            </w:pPr>
            <w:r w:rsidRPr="004C78D8">
              <w:rPr>
                <w:sz w:val="20"/>
                <w:szCs w:val="20"/>
              </w:rPr>
              <w:t>0.0032</w:t>
            </w:r>
          </w:p>
        </w:tc>
        <w:tc>
          <w:tcPr>
            <w:tcW w:w="799" w:type="pct"/>
            <w:tcBorders>
              <w:bottom w:val="single" w:sz="4" w:space="0" w:color="auto"/>
            </w:tcBorders>
          </w:tcPr>
          <w:p w14:paraId="242551E0" w14:textId="4D4A6A44" w:rsidR="00CC4F16" w:rsidRPr="004C78D8" w:rsidRDefault="00CC4F16" w:rsidP="00FB7C1F">
            <w:pPr>
              <w:jc w:val="left"/>
              <w:rPr>
                <w:sz w:val="20"/>
                <w:szCs w:val="20"/>
              </w:rPr>
            </w:pPr>
            <w:r w:rsidRPr="004C78D8">
              <w:rPr>
                <w:sz w:val="20"/>
                <w:szCs w:val="20"/>
              </w:rPr>
              <w:t>0.0214</w:t>
            </w:r>
          </w:p>
        </w:tc>
        <w:tc>
          <w:tcPr>
            <w:tcW w:w="810" w:type="pct"/>
            <w:tcBorders>
              <w:bottom w:val="single" w:sz="4" w:space="0" w:color="auto"/>
            </w:tcBorders>
          </w:tcPr>
          <w:p w14:paraId="46C2BC91" w14:textId="7F9970E8" w:rsidR="00CC4F16" w:rsidRPr="004C78D8" w:rsidRDefault="00CC4F16" w:rsidP="00FB7C1F">
            <w:pPr>
              <w:jc w:val="left"/>
              <w:rPr>
                <w:sz w:val="20"/>
                <w:szCs w:val="20"/>
              </w:rPr>
            </w:pPr>
            <w:r w:rsidRPr="004C78D8">
              <w:rPr>
                <w:sz w:val="20"/>
                <w:szCs w:val="20"/>
              </w:rPr>
              <w:t>0.0133</w:t>
            </w:r>
          </w:p>
        </w:tc>
      </w:tr>
      <w:tr w:rsidR="00CC4F16" w:rsidRPr="004C78D8" w14:paraId="5E197612" w14:textId="77777777" w:rsidTr="00801973">
        <w:tc>
          <w:tcPr>
            <w:tcW w:w="1791" w:type="pct"/>
            <w:tcBorders>
              <w:bottom w:val="nil"/>
            </w:tcBorders>
          </w:tcPr>
          <w:p w14:paraId="2EFB4967" w14:textId="5B6D812E" w:rsidR="00CC4F16" w:rsidRPr="004C78D8" w:rsidRDefault="00CC4F16" w:rsidP="00FB7C1F">
            <w:pPr>
              <w:jc w:val="left"/>
              <w:rPr>
                <w:sz w:val="20"/>
                <w:szCs w:val="20"/>
              </w:rPr>
            </w:pPr>
            <w:r w:rsidRPr="004C78D8">
              <w:rPr>
                <w:sz w:val="20"/>
                <w:szCs w:val="20"/>
              </w:rPr>
              <w:t>(2) Atkinson EDE INHB (</w:t>
            </w:r>
            <w:r w:rsidRPr="004C78D8">
              <w:rPr>
                <w:rFonts w:cs="Times New Roman"/>
                <w:sz w:val="20"/>
                <w:szCs w:val="20"/>
              </w:rPr>
              <w:t>ε</w:t>
            </w:r>
            <w:r w:rsidRPr="004C78D8">
              <w:rPr>
                <w:sz w:val="20"/>
                <w:szCs w:val="20"/>
              </w:rPr>
              <w:t>=30)</w:t>
            </w:r>
          </w:p>
        </w:tc>
        <w:tc>
          <w:tcPr>
            <w:tcW w:w="800" w:type="pct"/>
            <w:tcBorders>
              <w:bottom w:val="nil"/>
            </w:tcBorders>
          </w:tcPr>
          <w:p w14:paraId="793BD1DA" w14:textId="7276DA9E" w:rsidR="00CC4F16" w:rsidRPr="004C78D8" w:rsidRDefault="00CC4F16" w:rsidP="00FB7C1F">
            <w:pPr>
              <w:jc w:val="left"/>
              <w:rPr>
                <w:sz w:val="20"/>
                <w:szCs w:val="20"/>
              </w:rPr>
            </w:pPr>
            <w:r w:rsidRPr="004C78D8">
              <w:rPr>
                <w:sz w:val="20"/>
                <w:szCs w:val="20"/>
              </w:rPr>
              <w:t>0.0036</w:t>
            </w:r>
          </w:p>
        </w:tc>
        <w:tc>
          <w:tcPr>
            <w:tcW w:w="800" w:type="pct"/>
            <w:tcBorders>
              <w:bottom w:val="nil"/>
            </w:tcBorders>
          </w:tcPr>
          <w:p w14:paraId="06EE8572" w14:textId="485C4178" w:rsidR="00CC4F16" w:rsidRPr="004C78D8" w:rsidRDefault="00CC4F16" w:rsidP="00FB7C1F">
            <w:pPr>
              <w:jc w:val="left"/>
              <w:rPr>
                <w:sz w:val="20"/>
                <w:szCs w:val="20"/>
              </w:rPr>
            </w:pPr>
            <w:r w:rsidRPr="004C78D8">
              <w:rPr>
                <w:sz w:val="20"/>
                <w:szCs w:val="20"/>
              </w:rPr>
              <w:t>0.0030</w:t>
            </w:r>
          </w:p>
        </w:tc>
        <w:tc>
          <w:tcPr>
            <w:tcW w:w="799" w:type="pct"/>
            <w:tcBorders>
              <w:bottom w:val="nil"/>
            </w:tcBorders>
          </w:tcPr>
          <w:p w14:paraId="07821399" w14:textId="1D42BFAC" w:rsidR="00CC4F16" w:rsidRPr="004C78D8" w:rsidRDefault="00CC4F16" w:rsidP="00FB7C1F">
            <w:pPr>
              <w:jc w:val="left"/>
              <w:rPr>
                <w:sz w:val="20"/>
                <w:szCs w:val="20"/>
              </w:rPr>
            </w:pPr>
            <w:r w:rsidRPr="004C78D8">
              <w:rPr>
                <w:sz w:val="20"/>
                <w:szCs w:val="20"/>
              </w:rPr>
              <w:t>0.0178</w:t>
            </w:r>
          </w:p>
        </w:tc>
        <w:tc>
          <w:tcPr>
            <w:tcW w:w="810" w:type="pct"/>
            <w:tcBorders>
              <w:bottom w:val="nil"/>
            </w:tcBorders>
          </w:tcPr>
          <w:p w14:paraId="24369C5E" w14:textId="5AF43026" w:rsidR="00CC4F16" w:rsidRPr="004C78D8" w:rsidRDefault="00CC4F16" w:rsidP="00FB7C1F">
            <w:pPr>
              <w:jc w:val="left"/>
              <w:rPr>
                <w:sz w:val="20"/>
                <w:szCs w:val="20"/>
              </w:rPr>
            </w:pPr>
            <w:r w:rsidRPr="004C78D8">
              <w:rPr>
                <w:sz w:val="20"/>
                <w:szCs w:val="20"/>
              </w:rPr>
              <w:t>0.0384</w:t>
            </w:r>
          </w:p>
        </w:tc>
      </w:tr>
      <w:tr w:rsidR="00CC4F16" w:rsidRPr="004C78D8" w14:paraId="670AD994" w14:textId="77777777" w:rsidTr="00801973">
        <w:tc>
          <w:tcPr>
            <w:tcW w:w="1791" w:type="pct"/>
            <w:tcBorders>
              <w:top w:val="nil"/>
              <w:bottom w:val="single" w:sz="4" w:space="0" w:color="auto"/>
            </w:tcBorders>
          </w:tcPr>
          <w:p w14:paraId="11D38C06" w14:textId="42F807FC" w:rsidR="00CC4F16" w:rsidRPr="004C78D8" w:rsidRDefault="00CC4F16" w:rsidP="00FB7C1F">
            <w:pPr>
              <w:jc w:val="right"/>
              <w:rPr>
                <w:i/>
                <w:iCs/>
                <w:sz w:val="20"/>
                <w:szCs w:val="20"/>
              </w:rPr>
            </w:pPr>
            <w:r w:rsidRPr="004C78D8">
              <w:rPr>
                <w:i/>
                <w:iCs/>
                <w:sz w:val="20"/>
                <w:szCs w:val="20"/>
              </w:rPr>
              <w:t>Proportion of (2) relative to (1)</w:t>
            </w:r>
          </w:p>
        </w:tc>
        <w:tc>
          <w:tcPr>
            <w:tcW w:w="800" w:type="pct"/>
            <w:tcBorders>
              <w:top w:val="nil"/>
              <w:bottom w:val="single" w:sz="4" w:space="0" w:color="auto"/>
            </w:tcBorders>
          </w:tcPr>
          <w:p w14:paraId="7BAF82D7" w14:textId="4E13CB24" w:rsidR="00CC4F16" w:rsidRPr="004C78D8" w:rsidRDefault="00CC4F16" w:rsidP="00FB7C1F">
            <w:pPr>
              <w:jc w:val="left"/>
              <w:rPr>
                <w:i/>
                <w:iCs/>
                <w:sz w:val="20"/>
                <w:szCs w:val="20"/>
              </w:rPr>
            </w:pPr>
            <w:r w:rsidRPr="004C78D8">
              <w:rPr>
                <w:i/>
                <w:iCs/>
                <w:sz w:val="20"/>
                <w:szCs w:val="20"/>
              </w:rPr>
              <w:t>0.4983</w:t>
            </w:r>
          </w:p>
        </w:tc>
        <w:tc>
          <w:tcPr>
            <w:tcW w:w="800" w:type="pct"/>
            <w:tcBorders>
              <w:top w:val="nil"/>
              <w:bottom w:val="single" w:sz="4" w:space="0" w:color="auto"/>
            </w:tcBorders>
          </w:tcPr>
          <w:p w14:paraId="173B68F2" w14:textId="2F20D214" w:rsidR="00CC4F16" w:rsidRPr="004C78D8" w:rsidRDefault="00CC4F16" w:rsidP="00FB7C1F">
            <w:pPr>
              <w:jc w:val="left"/>
              <w:rPr>
                <w:i/>
                <w:iCs/>
                <w:sz w:val="20"/>
                <w:szCs w:val="20"/>
              </w:rPr>
            </w:pPr>
            <w:r w:rsidRPr="004C78D8">
              <w:rPr>
                <w:i/>
                <w:iCs/>
                <w:sz w:val="20"/>
                <w:szCs w:val="20"/>
              </w:rPr>
              <w:t>0.9286</w:t>
            </w:r>
          </w:p>
        </w:tc>
        <w:tc>
          <w:tcPr>
            <w:tcW w:w="799" w:type="pct"/>
            <w:tcBorders>
              <w:top w:val="nil"/>
              <w:bottom w:val="single" w:sz="4" w:space="0" w:color="auto"/>
            </w:tcBorders>
          </w:tcPr>
          <w:p w14:paraId="5D35C2AF" w14:textId="19A5FBF5" w:rsidR="00CC4F16" w:rsidRPr="004C78D8" w:rsidRDefault="00CC4F16" w:rsidP="00FB7C1F">
            <w:pPr>
              <w:jc w:val="left"/>
              <w:rPr>
                <w:i/>
                <w:iCs/>
                <w:sz w:val="20"/>
                <w:szCs w:val="20"/>
              </w:rPr>
            </w:pPr>
            <w:r w:rsidRPr="004C78D8">
              <w:rPr>
                <w:i/>
                <w:iCs/>
                <w:sz w:val="20"/>
                <w:szCs w:val="20"/>
              </w:rPr>
              <w:t>0.8333</w:t>
            </w:r>
          </w:p>
        </w:tc>
        <w:tc>
          <w:tcPr>
            <w:tcW w:w="810" w:type="pct"/>
            <w:tcBorders>
              <w:top w:val="nil"/>
              <w:bottom w:val="single" w:sz="4" w:space="0" w:color="auto"/>
            </w:tcBorders>
          </w:tcPr>
          <w:p w14:paraId="727AAB4F" w14:textId="0DAEEA55" w:rsidR="00CC4F16" w:rsidRPr="004C78D8" w:rsidRDefault="00CC4F16" w:rsidP="00FB7C1F">
            <w:pPr>
              <w:jc w:val="left"/>
              <w:rPr>
                <w:i/>
                <w:iCs/>
                <w:sz w:val="20"/>
                <w:szCs w:val="20"/>
              </w:rPr>
            </w:pPr>
            <w:r w:rsidRPr="004C78D8">
              <w:rPr>
                <w:i/>
                <w:iCs/>
                <w:sz w:val="20"/>
                <w:szCs w:val="20"/>
              </w:rPr>
              <w:t>2.8747</w:t>
            </w:r>
          </w:p>
        </w:tc>
      </w:tr>
      <w:tr w:rsidR="00CC4F16" w:rsidRPr="004C78D8" w14:paraId="72BF8E16" w14:textId="77777777" w:rsidTr="00801973">
        <w:tc>
          <w:tcPr>
            <w:tcW w:w="1791" w:type="pct"/>
            <w:tcBorders>
              <w:bottom w:val="nil"/>
            </w:tcBorders>
          </w:tcPr>
          <w:p w14:paraId="2649E18D" w14:textId="692E4139" w:rsidR="00CC4F16" w:rsidRPr="004C78D8" w:rsidRDefault="00CC4F16" w:rsidP="00FB7C1F">
            <w:pPr>
              <w:jc w:val="left"/>
              <w:rPr>
                <w:sz w:val="20"/>
                <w:szCs w:val="20"/>
              </w:rPr>
            </w:pPr>
            <w:r w:rsidRPr="004C78D8">
              <w:rPr>
                <w:sz w:val="20"/>
                <w:szCs w:val="20"/>
              </w:rPr>
              <w:t>(3) Kolm EDE INHB (</w:t>
            </w:r>
            <w:r w:rsidRPr="004C78D8">
              <w:rPr>
                <w:rFonts w:cs="Times New Roman"/>
                <w:sz w:val="20"/>
                <w:szCs w:val="20"/>
              </w:rPr>
              <w:t>α</w:t>
            </w:r>
            <w:r w:rsidRPr="004C78D8">
              <w:rPr>
                <w:sz w:val="20"/>
                <w:szCs w:val="20"/>
              </w:rPr>
              <w:t>=0.5)</w:t>
            </w:r>
          </w:p>
        </w:tc>
        <w:tc>
          <w:tcPr>
            <w:tcW w:w="800" w:type="pct"/>
            <w:tcBorders>
              <w:bottom w:val="nil"/>
            </w:tcBorders>
          </w:tcPr>
          <w:p w14:paraId="7B5EAF71" w14:textId="1D90B90C" w:rsidR="00CC4F16" w:rsidRPr="004C78D8" w:rsidRDefault="00CC4F16" w:rsidP="00FB7C1F">
            <w:pPr>
              <w:jc w:val="left"/>
              <w:rPr>
                <w:sz w:val="20"/>
                <w:szCs w:val="20"/>
              </w:rPr>
            </w:pPr>
            <w:r w:rsidRPr="004C78D8">
              <w:rPr>
                <w:sz w:val="20"/>
                <w:szCs w:val="20"/>
              </w:rPr>
              <w:t>0.0062</w:t>
            </w:r>
          </w:p>
        </w:tc>
        <w:tc>
          <w:tcPr>
            <w:tcW w:w="800" w:type="pct"/>
            <w:tcBorders>
              <w:bottom w:val="nil"/>
            </w:tcBorders>
          </w:tcPr>
          <w:p w14:paraId="7A7D7E5B" w14:textId="4635A014" w:rsidR="00CC4F16" w:rsidRPr="004C78D8" w:rsidRDefault="00CC4F16" w:rsidP="00FB7C1F">
            <w:pPr>
              <w:jc w:val="left"/>
              <w:rPr>
                <w:sz w:val="20"/>
                <w:szCs w:val="20"/>
              </w:rPr>
            </w:pPr>
            <w:r w:rsidRPr="004C78D8">
              <w:rPr>
                <w:sz w:val="20"/>
                <w:szCs w:val="20"/>
              </w:rPr>
              <w:t>0.0033</w:t>
            </w:r>
          </w:p>
        </w:tc>
        <w:tc>
          <w:tcPr>
            <w:tcW w:w="799" w:type="pct"/>
            <w:tcBorders>
              <w:bottom w:val="nil"/>
            </w:tcBorders>
          </w:tcPr>
          <w:p w14:paraId="3B655016" w14:textId="5FA42FB3" w:rsidR="00CC4F16" w:rsidRPr="004C78D8" w:rsidRDefault="00CC4F16" w:rsidP="00FB7C1F">
            <w:pPr>
              <w:jc w:val="left"/>
              <w:rPr>
                <w:sz w:val="20"/>
                <w:szCs w:val="20"/>
              </w:rPr>
            </w:pPr>
            <w:r w:rsidRPr="004C78D8">
              <w:rPr>
                <w:sz w:val="20"/>
                <w:szCs w:val="20"/>
              </w:rPr>
              <w:t>0.0203</w:t>
            </w:r>
          </w:p>
        </w:tc>
        <w:tc>
          <w:tcPr>
            <w:tcW w:w="810" w:type="pct"/>
            <w:tcBorders>
              <w:bottom w:val="nil"/>
            </w:tcBorders>
          </w:tcPr>
          <w:p w14:paraId="38BE2C8A" w14:textId="17A6EB8D" w:rsidR="00CC4F16" w:rsidRPr="004C78D8" w:rsidRDefault="00CC4F16" w:rsidP="00FB7C1F">
            <w:pPr>
              <w:jc w:val="left"/>
              <w:rPr>
                <w:sz w:val="20"/>
                <w:szCs w:val="20"/>
              </w:rPr>
            </w:pPr>
            <w:r w:rsidRPr="004C78D8">
              <w:rPr>
                <w:sz w:val="20"/>
                <w:szCs w:val="20"/>
              </w:rPr>
              <w:t>0.0207</w:t>
            </w:r>
          </w:p>
        </w:tc>
      </w:tr>
      <w:tr w:rsidR="00CC4F16" w:rsidRPr="004C78D8" w14:paraId="66B067C8" w14:textId="77777777" w:rsidTr="00801973">
        <w:tc>
          <w:tcPr>
            <w:tcW w:w="1791" w:type="pct"/>
            <w:tcBorders>
              <w:top w:val="nil"/>
            </w:tcBorders>
          </w:tcPr>
          <w:p w14:paraId="39BAC7AC" w14:textId="5C7CC1F5" w:rsidR="00CC4F16" w:rsidRPr="004C78D8" w:rsidRDefault="00CC4F16" w:rsidP="00FB7C1F">
            <w:pPr>
              <w:jc w:val="right"/>
              <w:rPr>
                <w:i/>
                <w:iCs/>
                <w:sz w:val="20"/>
                <w:szCs w:val="20"/>
              </w:rPr>
            </w:pPr>
            <w:r w:rsidRPr="004C78D8">
              <w:rPr>
                <w:i/>
                <w:iCs/>
                <w:sz w:val="20"/>
                <w:szCs w:val="20"/>
              </w:rPr>
              <w:t>Proportion of (3) relative to (1)</w:t>
            </w:r>
          </w:p>
        </w:tc>
        <w:tc>
          <w:tcPr>
            <w:tcW w:w="800" w:type="pct"/>
            <w:tcBorders>
              <w:top w:val="nil"/>
            </w:tcBorders>
          </w:tcPr>
          <w:p w14:paraId="4D8AD7B1" w14:textId="5F87F089" w:rsidR="00CC4F16" w:rsidRPr="004C78D8" w:rsidRDefault="00CC4F16" w:rsidP="00FB7C1F">
            <w:pPr>
              <w:jc w:val="left"/>
              <w:rPr>
                <w:i/>
                <w:iCs/>
                <w:sz w:val="20"/>
                <w:szCs w:val="20"/>
              </w:rPr>
            </w:pPr>
            <w:r w:rsidRPr="004C78D8">
              <w:rPr>
                <w:i/>
                <w:iCs/>
                <w:sz w:val="20"/>
                <w:szCs w:val="20"/>
              </w:rPr>
              <w:t>0.8552</w:t>
            </w:r>
          </w:p>
        </w:tc>
        <w:tc>
          <w:tcPr>
            <w:tcW w:w="800" w:type="pct"/>
            <w:tcBorders>
              <w:top w:val="nil"/>
            </w:tcBorders>
          </w:tcPr>
          <w:p w14:paraId="628182B5" w14:textId="628A29EA" w:rsidR="00CC4F16" w:rsidRPr="004C78D8" w:rsidRDefault="00CC4F16" w:rsidP="00FB7C1F">
            <w:pPr>
              <w:jc w:val="left"/>
              <w:rPr>
                <w:i/>
                <w:iCs/>
                <w:sz w:val="20"/>
                <w:szCs w:val="20"/>
              </w:rPr>
            </w:pPr>
            <w:r w:rsidRPr="004C78D8">
              <w:rPr>
                <w:i/>
                <w:iCs/>
                <w:sz w:val="20"/>
                <w:szCs w:val="20"/>
              </w:rPr>
              <w:t>1.0249</w:t>
            </w:r>
          </w:p>
        </w:tc>
        <w:tc>
          <w:tcPr>
            <w:tcW w:w="799" w:type="pct"/>
            <w:tcBorders>
              <w:top w:val="nil"/>
            </w:tcBorders>
          </w:tcPr>
          <w:p w14:paraId="1D8038B1" w14:textId="47A32403" w:rsidR="00CC4F16" w:rsidRPr="004C78D8" w:rsidRDefault="00CC4F16" w:rsidP="00FB7C1F">
            <w:pPr>
              <w:jc w:val="left"/>
              <w:rPr>
                <w:i/>
                <w:iCs/>
                <w:sz w:val="20"/>
                <w:szCs w:val="20"/>
              </w:rPr>
            </w:pPr>
            <w:r w:rsidRPr="004C78D8">
              <w:rPr>
                <w:i/>
                <w:iCs/>
                <w:sz w:val="20"/>
                <w:szCs w:val="20"/>
              </w:rPr>
              <w:t>0.9490</w:t>
            </w:r>
          </w:p>
        </w:tc>
        <w:tc>
          <w:tcPr>
            <w:tcW w:w="810" w:type="pct"/>
            <w:tcBorders>
              <w:top w:val="nil"/>
            </w:tcBorders>
          </w:tcPr>
          <w:p w14:paraId="5B0B9718" w14:textId="41676FBB" w:rsidR="00CC4F16" w:rsidRPr="004C78D8" w:rsidRDefault="00CC4F16" w:rsidP="00FB7C1F">
            <w:pPr>
              <w:jc w:val="left"/>
              <w:rPr>
                <w:i/>
                <w:iCs/>
                <w:sz w:val="20"/>
                <w:szCs w:val="20"/>
              </w:rPr>
            </w:pPr>
            <w:r w:rsidRPr="004C78D8">
              <w:rPr>
                <w:i/>
                <w:iCs/>
                <w:sz w:val="20"/>
                <w:szCs w:val="20"/>
              </w:rPr>
              <w:t>1.5496</w:t>
            </w:r>
          </w:p>
        </w:tc>
      </w:tr>
      <w:tr w:rsidR="008A35C2" w:rsidRPr="007E625D" w14:paraId="0CC0B34C" w14:textId="77777777" w:rsidTr="00801973">
        <w:tc>
          <w:tcPr>
            <w:tcW w:w="1791" w:type="pct"/>
            <w:tcBorders>
              <w:top w:val="nil"/>
            </w:tcBorders>
          </w:tcPr>
          <w:p w14:paraId="63B8FED9" w14:textId="77777777" w:rsidR="008A35C2" w:rsidRPr="004C78D8" w:rsidRDefault="008A35C2" w:rsidP="00FB7C1F">
            <w:pPr>
              <w:jc w:val="right"/>
              <w:rPr>
                <w:i/>
                <w:iCs/>
                <w:sz w:val="20"/>
                <w:szCs w:val="20"/>
              </w:rPr>
            </w:pPr>
          </w:p>
        </w:tc>
        <w:tc>
          <w:tcPr>
            <w:tcW w:w="3209" w:type="pct"/>
            <w:gridSpan w:val="4"/>
            <w:tcBorders>
              <w:top w:val="nil"/>
            </w:tcBorders>
          </w:tcPr>
          <w:p w14:paraId="6AA31099" w14:textId="2636AB95" w:rsidR="008A35C2" w:rsidRPr="00972766" w:rsidRDefault="008A35C2" w:rsidP="00FB7C1F">
            <w:pPr>
              <w:jc w:val="center"/>
              <w:rPr>
                <w:i/>
                <w:iCs/>
                <w:sz w:val="20"/>
                <w:szCs w:val="20"/>
                <w:lang w:val="fr-FR"/>
              </w:rPr>
            </w:pPr>
            <w:r w:rsidRPr="00972766">
              <w:rPr>
                <w:b/>
                <w:bCs/>
                <w:sz w:val="20"/>
                <w:szCs w:val="20"/>
                <w:lang w:val="fr-FR"/>
              </w:rPr>
              <w:t>(B) Environmental interventions supplementing CRC(4)</w:t>
            </w:r>
          </w:p>
        </w:tc>
      </w:tr>
      <w:tr w:rsidR="00CC4F16" w:rsidRPr="004C78D8" w14:paraId="739109F1" w14:textId="77777777" w:rsidTr="00801973">
        <w:tc>
          <w:tcPr>
            <w:tcW w:w="1791" w:type="pct"/>
            <w:tcBorders>
              <w:top w:val="nil"/>
              <w:bottom w:val="single" w:sz="4" w:space="0" w:color="auto"/>
            </w:tcBorders>
          </w:tcPr>
          <w:p w14:paraId="7AECCB66" w14:textId="270E04DA" w:rsidR="00CC4F16" w:rsidRPr="004C78D8" w:rsidRDefault="00CC4F16" w:rsidP="00FB7C1F">
            <w:pPr>
              <w:jc w:val="left"/>
              <w:rPr>
                <w:i/>
                <w:iCs/>
                <w:sz w:val="20"/>
                <w:szCs w:val="20"/>
              </w:rPr>
            </w:pPr>
            <w:r w:rsidRPr="004C78D8">
              <w:rPr>
                <w:sz w:val="20"/>
                <w:szCs w:val="20"/>
              </w:rPr>
              <w:t>(1) Incremental no-aversion mean</w:t>
            </w:r>
          </w:p>
        </w:tc>
        <w:tc>
          <w:tcPr>
            <w:tcW w:w="800" w:type="pct"/>
            <w:tcBorders>
              <w:top w:val="nil"/>
              <w:bottom w:val="single" w:sz="4" w:space="0" w:color="auto"/>
            </w:tcBorders>
          </w:tcPr>
          <w:p w14:paraId="6943F466" w14:textId="25A449B6" w:rsidR="00CC4F16" w:rsidRPr="004C78D8" w:rsidRDefault="00CC4F16" w:rsidP="00FB7C1F">
            <w:pPr>
              <w:jc w:val="left"/>
              <w:rPr>
                <w:sz w:val="20"/>
                <w:szCs w:val="20"/>
              </w:rPr>
            </w:pPr>
            <w:r w:rsidRPr="004C78D8">
              <w:rPr>
                <w:sz w:val="20"/>
                <w:szCs w:val="20"/>
              </w:rPr>
              <w:t>0.0252</w:t>
            </w:r>
          </w:p>
        </w:tc>
        <w:tc>
          <w:tcPr>
            <w:tcW w:w="800" w:type="pct"/>
            <w:tcBorders>
              <w:top w:val="nil"/>
              <w:bottom w:val="single" w:sz="4" w:space="0" w:color="auto"/>
            </w:tcBorders>
          </w:tcPr>
          <w:p w14:paraId="6F03E011" w14:textId="6239B3E3" w:rsidR="00CC4F16" w:rsidRPr="004C78D8" w:rsidRDefault="00CC4F16" w:rsidP="00FB7C1F">
            <w:pPr>
              <w:jc w:val="left"/>
              <w:rPr>
                <w:sz w:val="20"/>
                <w:szCs w:val="20"/>
              </w:rPr>
            </w:pPr>
            <w:r w:rsidRPr="004C78D8">
              <w:rPr>
                <w:sz w:val="20"/>
                <w:szCs w:val="20"/>
              </w:rPr>
              <w:t>0.0213</w:t>
            </w:r>
          </w:p>
        </w:tc>
        <w:tc>
          <w:tcPr>
            <w:tcW w:w="799" w:type="pct"/>
            <w:tcBorders>
              <w:top w:val="nil"/>
              <w:bottom w:val="single" w:sz="4" w:space="0" w:color="auto"/>
            </w:tcBorders>
          </w:tcPr>
          <w:p w14:paraId="02B7E56A" w14:textId="189B3B6F" w:rsidR="00CC4F16" w:rsidRPr="004C78D8" w:rsidRDefault="00CC4F16" w:rsidP="00FB7C1F">
            <w:pPr>
              <w:jc w:val="left"/>
              <w:rPr>
                <w:sz w:val="20"/>
                <w:szCs w:val="20"/>
              </w:rPr>
            </w:pPr>
            <w:r w:rsidRPr="004C78D8">
              <w:rPr>
                <w:sz w:val="20"/>
                <w:szCs w:val="20"/>
              </w:rPr>
              <w:t>0.0351</w:t>
            </w:r>
          </w:p>
        </w:tc>
        <w:tc>
          <w:tcPr>
            <w:tcW w:w="810" w:type="pct"/>
            <w:tcBorders>
              <w:top w:val="nil"/>
              <w:bottom w:val="single" w:sz="4" w:space="0" w:color="auto"/>
            </w:tcBorders>
          </w:tcPr>
          <w:p w14:paraId="63E8C316" w14:textId="0A7A9661" w:rsidR="00CC4F16" w:rsidRPr="004C78D8" w:rsidRDefault="00CC4F16" w:rsidP="00FB7C1F">
            <w:pPr>
              <w:jc w:val="left"/>
              <w:rPr>
                <w:sz w:val="20"/>
                <w:szCs w:val="20"/>
              </w:rPr>
            </w:pPr>
            <w:r w:rsidRPr="004C78D8">
              <w:rPr>
                <w:sz w:val="20"/>
                <w:szCs w:val="20"/>
              </w:rPr>
              <w:t>0.0298</w:t>
            </w:r>
          </w:p>
        </w:tc>
      </w:tr>
      <w:tr w:rsidR="00CC4F16" w:rsidRPr="004C78D8" w14:paraId="0E89F08C" w14:textId="77777777" w:rsidTr="00801973">
        <w:tc>
          <w:tcPr>
            <w:tcW w:w="1791" w:type="pct"/>
            <w:tcBorders>
              <w:top w:val="single" w:sz="4" w:space="0" w:color="auto"/>
              <w:bottom w:val="nil"/>
            </w:tcBorders>
          </w:tcPr>
          <w:p w14:paraId="4EE3605A" w14:textId="624B332E" w:rsidR="00CC4F16" w:rsidRPr="004C78D8" w:rsidRDefault="00CC4F16" w:rsidP="00FB7C1F">
            <w:pPr>
              <w:jc w:val="left"/>
              <w:rPr>
                <w:i/>
                <w:iCs/>
                <w:sz w:val="20"/>
                <w:szCs w:val="20"/>
              </w:rPr>
            </w:pPr>
            <w:r w:rsidRPr="004C78D8">
              <w:rPr>
                <w:sz w:val="20"/>
                <w:szCs w:val="20"/>
              </w:rPr>
              <w:t>(2) Atkinson EDE INHB (</w:t>
            </w:r>
            <w:r w:rsidRPr="004C78D8">
              <w:rPr>
                <w:rFonts w:cs="Times New Roman"/>
                <w:sz w:val="20"/>
                <w:szCs w:val="20"/>
              </w:rPr>
              <w:t>ε</w:t>
            </w:r>
            <w:r w:rsidRPr="004C78D8">
              <w:rPr>
                <w:sz w:val="20"/>
                <w:szCs w:val="20"/>
              </w:rPr>
              <w:t>=30)</w:t>
            </w:r>
          </w:p>
        </w:tc>
        <w:tc>
          <w:tcPr>
            <w:tcW w:w="800" w:type="pct"/>
            <w:tcBorders>
              <w:top w:val="single" w:sz="4" w:space="0" w:color="auto"/>
              <w:bottom w:val="nil"/>
            </w:tcBorders>
          </w:tcPr>
          <w:p w14:paraId="03F44AD8" w14:textId="324894D7" w:rsidR="00CC4F16" w:rsidRPr="004C78D8" w:rsidRDefault="00CC4F16" w:rsidP="00FB7C1F">
            <w:pPr>
              <w:jc w:val="left"/>
              <w:rPr>
                <w:sz w:val="20"/>
                <w:szCs w:val="20"/>
              </w:rPr>
            </w:pPr>
            <w:r w:rsidRPr="004C78D8">
              <w:rPr>
                <w:sz w:val="20"/>
                <w:szCs w:val="20"/>
              </w:rPr>
              <w:t>0.0243</w:t>
            </w:r>
          </w:p>
        </w:tc>
        <w:tc>
          <w:tcPr>
            <w:tcW w:w="800" w:type="pct"/>
            <w:tcBorders>
              <w:top w:val="single" w:sz="4" w:space="0" w:color="auto"/>
              <w:bottom w:val="nil"/>
            </w:tcBorders>
          </w:tcPr>
          <w:p w14:paraId="4DE7F465" w14:textId="6D9425A9" w:rsidR="00CC4F16" w:rsidRPr="004C78D8" w:rsidRDefault="00CC4F16" w:rsidP="00FB7C1F">
            <w:pPr>
              <w:jc w:val="left"/>
              <w:rPr>
                <w:sz w:val="20"/>
                <w:szCs w:val="20"/>
              </w:rPr>
            </w:pPr>
            <w:r w:rsidRPr="004C78D8">
              <w:rPr>
                <w:sz w:val="20"/>
                <w:szCs w:val="20"/>
              </w:rPr>
              <w:t>0.0250</w:t>
            </w:r>
          </w:p>
        </w:tc>
        <w:tc>
          <w:tcPr>
            <w:tcW w:w="799" w:type="pct"/>
            <w:tcBorders>
              <w:top w:val="single" w:sz="4" w:space="0" w:color="auto"/>
              <w:bottom w:val="nil"/>
            </w:tcBorders>
          </w:tcPr>
          <w:p w14:paraId="56979BCF" w14:textId="19376BFB" w:rsidR="00CC4F16" w:rsidRPr="004C78D8" w:rsidRDefault="00CC4F16" w:rsidP="00FB7C1F">
            <w:pPr>
              <w:jc w:val="left"/>
              <w:rPr>
                <w:sz w:val="20"/>
                <w:szCs w:val="20"/>
              </w:rPr>
            </w:pPr>
            <w:r w:rsidRPr="004C78D8">
              <w:rPr>
                <w:sz w:val="20"/>
                <w:szCs w:val="20"/>
              </w:rPr>
              <w:t>0.0353</w:t>
            </w:r>
          </w:p>
        </w:tc>
        <w:tc>
          <w:tcPr>
            <w:tcW w:w="810" w:type="pct"/>
            <w:tcBorders>
              <w:top w:val="single" w:sz="4" w:space="0" w:color="auto"/>
              <w:bottom w:val="nil"/>
            </w:tcBorders>
          </w:tcPr>
          <w:p w14:paraId="11413B3B" w14:textId="575A4009" w:rsidR="00CC4F16" w:rsidRPr="004C78D8" w:rsidRDefault="00CC4F16" w:rsidP="00FB7C1F">
            <w:pPr>
              <w:jc w:val="left"/>
              <w:rPr>
                <w:sz w:val="20"/>
                <w:szCs w:val="20"/>
              </w:rPr>
            </w:pPr>
            <w:r w:rsidRPr="004C78D8">
              <w:rPr>
                <w:sz w:val="20"/>
                <w:szCs w:val="20"/>
              </w:rPr>
              <w:t>0.0591</w:t>
            </w:r>
          </w:p>
        </w:tc>
      </w:tr>
      <w:tr w:rsidR="00CC4F16" w:rsidRPr="004C78D8" w14:paraId="792BB85D" w14:textId="77777777" w:rsidTr="00801973">
        <w:tc>
          <w:tcPr>
            <w:tcW w:w="1791" w:type="pct"/>
            <w:tcBorders>
              <w:top w:val="nil"/>
              <w:bottom w:val="single" w:sz="4" w:space="0" w:color="auto"/>
            </w:tcBorders>
          </w:tcPr>
          <w:p w14:paraId="1B44ECB2" w14:textId="1F9873DC" w:rsidR="00CC4F16" w:rsidRPr="004C78D8" w:rsidRDefault="00CC4F16" w:rsidP="00FB7C1F">
            <w:pPr>
              <w:jc w:val="right"/>
              <w:rPr>
                <w:i/>
                <w:iCs/>
                <w:sz w:val="20"/>
                <w:szCs w:val="20"/>
              </w:rPr>
            </w:pPr>
            <w:r w:rsidRPr="004C78D8">
              <w:rPr>
                <w:i/>
                <w:iCs/>
                <w:sz w:val="20"/>
                <w:szCs w:val="20"/>
              </w:rPr>
              <w:t>Proportion of (2) relative to (1)</w:t>
            </w:r>
          </w:p>
        </w:tc>
        <w:tc>
          <w:tcPr>
            <w:tcW w:w="800" w:type="pct"/>
            <w:tcBorders>
              <w:top w:val="nil"/>
              <w:bottom w:val="single" w:sz="4" w:space="0" w:color="auto"/>
            </w:tcBorders>
          </w:tcPr>
          <w:p w14:paraId="3E392522" w14:textId="372F645A" w:rsidR="00CC4F16" w:rsidRPr="004C78D8" w:rsidRDefault="00CC4F16" w:rsidP="00FB7C1F">
            <w:pPr>
              <w:jc w:val="left"/>
              <w:rPr>
                <w:i/>
                <w:iCs/>
                <w:sz w:val="20"/>
                <w:szCs w:val="20"/>
              </w:rPr>
            </w:pPr>
            <w:r w:rsidRPr="004C78D8">
              <w:rPr>
                <w:i/>
                <w:iCs/>
                <w:sz w:val="20"/>
                <w:szCs w:val="20"/>
              </w:rPr>
              <w:t>0.9640</w:t>
            </w:r>
          </w:p>
        </w:tc>
        <w:tc>
          <w:tcPr>
            <w:tcW w:w="800" w:type="pct"/>
            <w:tcBorders>
              <w:top w:val="nil"/>
              <w:bottom w:val="single" w:sz="4" w:space="0" w:color="auto"/>
            </w:tcBorders>
          </w:tcPr>
          <w:p w14:paraId="3152533B" w14:textId="22FB33AC" w:rsidR="00CC4F16" w:rsidRPr="004C78D8" w:rsidRDefault="00CC4F16" w:rsidP="00FB7C1F">
            <w:pPr>
              <w:jc w:val="left"/>
              <w:rPr>
                <w:i/>
                <w:iCs/>
                <w:sz w:val="20"/>
                <w:szCs w:val="20"/>
              </w:rPr>
            </w:pPr>
            <w:r w:rsidRPr="004C78D8">
              <w:rPr>
                <w:i/>
                <w:iCs/>
                <w:sz w:val="20"/>
                <w:szCs w:val="20"/>
              </w:rPr>
              <w:t>1.1745</w:t>
            </w:r>
          </w:p>
        </w:tc>
        <w:tc>
          <w:tcPr>
            <w:tcW w:w="799" w:type="pct"/>
            <w:tcBorders>
              <w:top w:val="nil"/>
              <w:bottom w:val="single" w:sz="4" w:space="0" w:color="auto"/>
            </w:tcBorders>
          </w:tcPr>
          <w:p w14:paraId="3E4FDC05" w14:textId="509CDEA6" w:rsidR="00CC4F16" w:rsidRPr="004C78D8" w:rsidRDefault="00CC4F16" w:rsidP="00FB7C1F">
            <w:pPr>
              <w:jc w:val="left"/>
              <w:rPr>
                <w:i/>
                <w:iCs/>
                <w:sz w:val="20"/>
                <w:szCs w:val="20"/>
              </w:rPr>
            </w:pPr>
            <w:r w:rsidRPr="004C78D8">
              <w:rPr>
                <w:i/>
                <w:iCs/>
                <w:sz w:val="20"/>
                <w:szCs w:val="20"/>
              </w:rPr>
              <w:t>1.0051</w:t>
            </w:r>
          </w:p>
        </w:tc>
        <w:tc>
          <w:tcPr>
            <w:tcW w:w="810" w:type="pct"/>
            <w:tcBorders>
              <w:top w:val="nil"/>
              <w:bottom w:val="single" w:sz="4" w:space="0" w:color="auto"/>
            </w:tcBorders>
          </w:tcPr>
          <w:p w14:paraId="18B880A3" w14:textId="29A240CB" w:rsidR="00CC4F16" w:rsidRPr="004C78D8" w:rsidRDefault="00CC4F16" w:rsidP="00FB7C1F">
            <w:pPr>
              <w:jc w:val="left"/>
              <w:rPr>
                <w:i/>
                <w:iCs/>
                <w:sz w:val="20"/>
                <w:szCs w:val="20"/>
              </w:rPr>
            </w:pPr>
            <w:r w:rsidRPr="004C78D8">
              <w:rPr>
                <w:i/>
                <w:iCs/>
                <w:sz w:val="20"/>
                <w:szCs w:val="20"/>
              </w:rPr>
              <w:t>1.9866</w:t>
            </w:r>
          </w:p>
        </w:tc>
      </w:tr>
      <w:tr w:rsidR="00CC4F16" w:rsidRPr="004C78D8" w14:paraId="368CB99F" w14:textId="77777777" w:rsidTr="00801973">
        <w:tc>
          <w:tcPr>
            <w:tcW w:w="1791" w:type="pct"/>
            <w:tcBorders>
              <w:top w:val="single" w:sz="4" w:space="0" w:color="auto"/>
              <w:bottom w:val="nil"/>
            </w:tcBorders>
          </w:tcPr>
          <w:p w14:paraId="76796913" w14:textId="6E8B583C" w:rsidR="00CC4F16" w:rsidRPr="004C78D8" w:rsidRDefault="00CC4F16" w:rsidP="00FB7C1F">
            <w:pPr>
              <w:jc w:val="left"/>
              <w:rPr>
                <w:i/>
                <w:iCs/>
                <w:sz w:val="20"/>
                <w:szCs w:val="20"/>
              </w:rPr>
            </w:pPr>
            <w:r w:rsidRPr="004C78D8">
              <w:rPr>
                <w:sz w:val="20"/>
                <w:szCs w:val="20"/>
              </w:rPr>
              <w:t>(3) Kolm EDE INHB (</w:t>
            </w:r>
            <w:r w:rsidRPr="004C78D8">
              <w:rPr>
                <w:rFonts w:cs="Times New Roman"/>
                <w:sz w:val="20"/>
                <w:szCs w:val="20"/>
              </w:rPr>
              <w:t>α</w:t>
            </w:r>
            <w:r w:rsidRPr="004C78D8">
              <w:rPr>
                <w:sz w:val="20"/>
                <w:szCs w:val="20"/>
              </w:rPr>
              <w:t>=0.5)</w:t>
            </w:r>
          </w:p>
        </w:tc>
        <w:tc>
          <w:tcPr>
            <w:tcW w:w="800" w:type="pct"/>
            <w:tcBorders>
              <w:top w:val="single" w:sz="4" w:space="0" w:color="auto"/>
              <w:bottom w:val="nil"/>
            </w:tcBorders>
          </w:tcPr>
          <w:p w14:paraId="2AC0F471" w14:textId="7C3208D4" w:rsidR="00CC4F16" w:rsidRPr="004C78D8" w:rsidRDefault="00CC4F16" w:rsidP="00FB7C1F">
            <w:pPr>
              <w:jc w:val="left"/>
              <w:rPr>
                <w:sz w:val="20"/>
                <w:szCs w:val="20"/>
              </w:rPr>
            </w:pPr>
            <w:r w:rsidRPr="004C78D8">
              <w:rPr>
                <w:sz w:val="20"/>
                <w:szCs w:val="20"/>
              </w:rPr>
              <w:t>0.0248</w:t>
            </w:r>
          </w:p>
        </w:tc>
        <w:tc>
          <w:tcPr>
            <w:tcW w:w="800" w:type="pct"/>
            <w:tcBorders>
              <w:top w:val="single" w:sz="4" w:space="0" w:color="auto"/>
              <w:bottom w:val="nil"/>
            </w:tcBorders>
          </w:tcPr>
          <w:p w14:paraId="476E5450" w14:textId="6631B9D6" w:rsidR="00CC4F16" w:rsidRPr="004C78D8" w:rsidRDefault="00CC4F16" w:rsidP="00FB7C1F">
            <w:pPr>
              <w:jc w:val="left"/>
              <w:rPr>
                <w:sz w:val="20"/>
                <w:szCs w:val="20"/>
              </w:rPr>
            </w:pPr>
            <w:r w:rsidRPr="004C78D8">
              <w:rPr>
                <w:sz w:val="20"/>
                <w:szCs w:val="20"/>
              </w:rPr>
              <w:t>0.0223</w:t>
            </w:r>
          </w:p>
        </w:tc>
        <w:tc>
          <w:tcPr>
            <w:tcW w:w="799" w:type="pct"/>
            <w:tcBorders>
              <w:top w:val="single" w:sz="4" w:space="0" w:color="auto"/>
              <w:bottom w:val="nil"/>
            </w:tcBorders>
          </w:tcPr>
          <w:p w14:paraId="6EA562EB" w14:textId="669908EC" w:rsidR="00CC4F16" w:rsidRPr="004C78D8" w:rsidRDefault="00CC4F16" w:rsidP="00FB7C1F">
            <w:pPr>
              <w:jc w:val="left"/>
              <w:rPr>
                <w:sz w:val="20"/>
                <w:szCs w:val="20"/>
              </w:rPr>
            </w:pPr>
            <w:r w:rsidRPr="004C78D8">
              <w:rPr>
                <w:sz w:val="20"/>
                <w:szCs w:val="20"/>
              </w:rPr>
              <w:t>0.0349</w:t>
            </w:r>
          </w:p>
        </w:tc>
        <w:tc>
          <w:tcPr>
            <w:tcW w:w="810" w:type="pct"/>
            <w:tcBorders>
              <w:top w:val="single" w:sz="4" w:space="0" w:color="auto"/>
              <w:bottom w:val="nil"/>
            </w:tcBorders>
          </w:tcPr>
          <w:p w14:paraId="59D0B3C0" w14:textId="4C19F84F" w:rsidR="00CC4F16" w:rsidRPr="004C78D8" w:rsidRDefault="00CC4F16" w:rsidP="00FB7C1F">
            <w:pPr>
              <w:jc w:val="left"/>
              <w:rPr>
                <w:sz w:val="20"/>
                <w:szCs w:val="20"/>
              </w:rPr>
            </w:pPr>
            <w:r w:rsidRPr="004C78D8">
              <w:rPr>
                <w:sz w:val="20"/>
                <w:szCs w:val="20"/>
              </w:rPr>
              <w:t>0.0377</w:t>
            </w:r>
          </w:p>
        </w:tc>
      </w:tr>
      <w:tr w:rsidR="00CC4F16" w:rsidRPr="004C78D8" w14:paraId="25AB9AEB" w14:textId="77777777" w:rsidTr="00801973">
        <w:tc>
          <w:tcPr>
            <w:tcW w:w="1791" w:type="pct"/>
            <w:tcBorders>
              <w:top w:val="nil"/>
            </w:tcBorders>
          </w:tcPr>
          <w:p w14:paraId="45F68418" w14:textId="0951ED6C" w:rsidR="00CC4F16" w:rsidRPr="004C78D8" w:rsidRDefault="00CC4F16" w:rsidP="00FB7C1F">
            <w:pPr>
              <w:jc w:val="right"/>
              <w:rPr>
                <w:i/>
                <w:iCs/>
                <w:sz w:val="20"/>
                <w:szCs w:val="20"/>
              </w:rPr>
            </w:pPr>
            <w:r w:rsidRPr="004C78D8">
              <w:rPr>
                <w:i/>
                <w:iCs/>
                <w:sz w:val="20"/>
                <w:szCs w:val="20"/>
              </w:rPr>
              <w:t>Proportion of (3) relative to (1)</w:t>
            </w:r>
          </w:p>
        </w:tc>
        <w:tc>
          <w:tcPr>
            <w:tcW w:w="800" w:type="pct"/>
            <w:tcBorders>
              <w:top w:val="nil"/>
            </w:tcBorders>
          </w:tcPr>
          <w:p w14:paraId="1D366D27" w14:textId="14DA0C9D" w:rsidR="00CC4F16" w:rsidRPr="004C78D8" w:rsidRDefault="00CC4F16" w:rsidP="00FB7C1F">
            <w:pPr>
              <w:jc w:val="left"/>
              <w:rPr>
                <w:i/>
                <w:iCs/>
                <w:sz w:val="20"/>
                <w:szCs w:val="20"/>
              </w:rPr>
            </w:pPr>
            <w:r w:rsidRPr="004C78D8">
              <w:rPr>
                <w:i/>
                <w:iCs/>
                <w:sz w:val="20"/>
                <w:szCs w:val="20"/>
              </w:rPr>
              <w:t>0.9827</w:t>
            </w:r>
          </w:p>
        </w:tc>
        <w:tc>
          <w:tcPr>
            <w:tcW w:w="800" w:type="pct"/>
            <w:tcBorders>
              <w:top w:val="nil"/>
            </w:tcBorders>
          </w:tcPr>
          <w:p w14:paraId="4C06423D" w14:textId="53265541" w:rsidR="00CC4F16" w:rsidRPr="004C78D8" w:rsidRDefault="00CC4F16" w:rsidP="00FB7C1F">
            <w:pPr>
              <w:jc w:val="left"/>
              <w:rPr>
                <w:i/>
                <w:iCs/>
                <w:sz w:val="20"/>
                <w:szCs w:val="20"/>
              </w:rPr>
            </w:pPr>
            <w:r w:rsidRPr="004C78D8">
              <w:rPr>
                <w:i/>
                <w:iCs/>
                <w:sz w:val="20"/>
                <w:szCs w:val="20"/>
              </w:rPr>
              <w:t>1.0459</w:t>
            </w:r>
          </w:p>
        </w:tc>
        <w:tc>
          <w:tcPr>
            <w:tcW w:w="799" w:type="pct"/>
            <w:tcBorders>
              <w:top w:val="nil"/>
            </w:tcBorders>
          </w:tcPr>
          <w:p w14:paraId="27280C88" w14:textId="544CC5C3" w:rsidR="00CC4F16" w:rsidRPr="004C78D8" w:rsidRDefault="00CC4F16" w:rsidP="00FB7C1F">
            <w:pPr>
              <w:jc w:val="left"/>
              <w:rPr>
                <w:i/>
                <w:iCs/>
                <w:sz w:val="20"/>
                <w:szCs w:val="20"/>
              </w:rPr>
            </w:pPr>
            <w:r w:rsidRPr="004C78D8">
              <w:rPr>
                <w:i/>
                <w:iCs/>
                <w:sz w:val="20"/>
                <w:szCs w:val="20"/>
              </w:rPr>
              <w:t>0.9920</w:t>
            </w:r>
          </w:p>
        </w:tc>
        <w:tc>
          <w:tcPr>
            <w:tcW w:w="810" w:type="pct"/>
            <w:tcBorders>
              <w:top w:val="nil"/>
            </w:tcBorders>
          </w:tcPr>
          <w:p w14:paraId="4675863D" w14:textId="37DBBA67" w:rsidR="00CC4F16" w:rsidRPr="004C78D8" w:rsidRDefault="00CC4F16" w:rsidP="00FB7C1F">
            <w:pPr>
              <w:jc w:val="left"/>
              <w:rPr>
                <w:i/>
                <w:iCs/>
                <w:sz w:val="20"/>
                <w:szCs w:val="20"/>
              </w:rPr>
            </w:pPr>
            <w:r w:rsidRPr="004C78D8">
              <w:rPr>
                <w:i/>
                <w:iCs/>
                <w:sz w:val="20"/>
                <w:szCs w:val="20"/>
              </w:rPr>
              <w:t>1.2660</w:t>
            </w:r>
          </w:p>
        </w:tc>
      </w:tr>
      <w:tr w:rsidR="00120557" w:rsidRPr="004C78D8" w14:paraId="56BE9C97" w14:textId="77777777" w:rsidTr="00801973">
        <w:tc>
          <w:tcPr>
            <w:tcW w:w="5000" w:type="pct"/>
            <w:gridSpan w:val="5"/>
          </w:tcPr>
          <w:p w14:paraId="16978716" w14:textId="10B2B3B7" w:rsidR="00CC4F16" w:rsidRPr="004C78D8" w:rsidRDefault="00CC4F16" w:rsidP="00FB7C1F">
            <w:pPr>
              <w:rPr>
                <w:sz w:val="18"/>
                <w:szCs w:val="18"/>
              </w:rPr>
            </w:pPr>
            <w:r w:rsidRPr="004C78D8">
              <w:rPr>
                <w:b/>
                <w:bCs/>
                <w:sz w:val="18"/>
                <w:szCs w:val="18"/>
              </w:rPr>
              <w:t>Abbreviation:</w:t>
            </w:r>
            <w:r w:rsidRPr="004C78D8">
              <w:rPr>
                <w:sz w:val="18"/>
                <w:szCs w:val="18"/>
              </w:rPr>
              <w:t xml:space="preserve"> CRC(4): constrained recommended care scenario (4); DJ: double jeopardy; EDE: equally distributed equivalent; FH: falls hazard; INHB: incremental net health benefit; PA: physical activity; QALY: quality-adjusted life year; SES: socioeconomic status; UC: usual care.</w:t>
            </w:r>
          </w:p>
          <w:p w14:paraId="4E260FDD" w14:textId="06457CF9" w:rsidR="00CC4F16" w:rsidRPr="004C78D8" w:rsidRDefault="00CC4F16" w:rsidP="00FB7C1F">
            <w:pPr>
              <w:rPr>
                <w:sz w:val="18"/>
                <w:szCs w:val="18"/>
              </w:rPr>
            </w:pPr>
            <w:r w:rsidRPr="004C78D8">
              <w:rPr>
                <w:sz w:val="18"/>
                <w:szCs w:val="18"/>
                <w:vertAlign w:val="superscript"/>
              </w:rPr>
              <w:t>1</w:t>
            </w:r>
            <w:r w:rsidRPr="004C78D8">
              <w:rPr>
                <w:sz w:val="18"/>
                <w:szCs w:val="18"/>
              </w:rPr>
              <w:t xml:space="preserve"> The societal NHB incorporates QALY gain and QALY-equivalent net societal gain minus public sector opportunity costs (translated to QALY-equivalent using cost-effectiveness threshold of £30,000 per QALY gain</w:t>
            </w:r>
            <w:r w:rsidR="00D16469" w:rsidRPr="004C78D8">
              <w:rPr>
                <w:sz w:val="18"/>
                <w:szCs w:val="18"/>
              </w:rPr>
              <w:t>ed</w:t>
            </w:r>
            <w:r w:rsidRPr="004C78D8">
              <w:rPr>
                <w:sz w:val="18"/>
                <w:szCs w:val="18"/>
              </w:rPr>
              <w:t>) for each SES quartile.</w:t>
            </w:r>
          </w:p>
          <w:p w14:paraId="37691E5D" w14:textId="53891A3D" w:rsidR="00827F6C" w:rsidRPr="004C78D8" w:rsidRDefault="00CC4F16" w:rsidP="00FB7C1F">
            <w:pPr>
              <w:rPr>
                <w:sz w:val="18"/>
                <w:szCs w:val="18"/>
              </w:rPr>
            </w:pPr>
            <w:r w:rsidRPr="004C78D8">
              <w:rPr>
                <w:sz w:val="18"/>
                <w:szCs w:val="18"/>
                <w:vertAlign w:val="superscript"/>
              </w:rPr>
              <w:t>2</w:t>
            </w:r>
            <w:r w:rsidRPr="004C78D8">
              <w:rPr>
                <w:sz w:val="18"/>
                <w:szCs w:val="18"/>
              </w:rPr>
              <w:t xml:space="preserve"> This is the EDE INHB when Atkinson </w:t>
            </w:r>
            <w:r w:rsidRPr="004C78D8">
              <w:rPr>
                <w:rFonts w:cs="Times New Roman"/>
                <w:sz w:val="18"/>
                <w:szCs w:val="18"/>
              </w:rPr>
              <w:t>ε</w:t>
            </w:r>
            <w:r w:rsidRPr="004C78D8">
              <w:rPr>
                <w:sz w:val="18"/>
                <w:szCs w:val="18"/>
              </w:rPr>
              <w:t xml:space="preserve">=0 </w:t>
            </w:r>
            <w:r w:rsidRPr="004C78D8">
              <w:rPr>
                <w:sz w:val="18"/>
                <w:szCs w:val="18"/>
              </w:rPr>
              <w:fldChar w:fldCharType="begin"/>
            </w:r>
            <w:r w:rsidR="00513646" w:rsidRPr="004C78D8">
              <w:rPr>
                <w:sz w:val="18"/>
                <w:szCs w:val="18"/>
              </w:rPr>
              <w:instrText xml:space="preserve"> ADDIN EN.CITE &lt;EndNote&gt;&lt;Cite&gt;&lt;Author&gt;Asaria&lt;/Author&gt;&lt;Year&gt;2016&lt;/Year&gt;&lt;RecNum&gt;361&lt;/RecNum&gt;&lt;DisplayText&gt;[109]&lt;/DisplayText&gt;&lt;record&gt;&lt;rec-number&gt;361&lt;/rec-number&gt;&lt;foreign-keys&gt;&lt;key app="EN" db-id="tdtrdw9aepptzbefsat599syza29sxsd2wsp" timestamp="1612265402"&gt;361&lt;/key&gt;&lt;/foreign-keys&gt;&lt;ref-type name="Journal Article"&gt;17&lt;/ref-type&gt;&lt;contributors&gt;&lt;authors&gt;&lt;author&gt;Asaria, Miqdad&lt;/author&gt;&lt;author&gt;Griffin, Susan&lt;/author&gt;&lt;author&gt;Cookson, Richard&lt;/author&gt;&lt;/authors&gt;&lt;/contributors&gt;&lt;titles&gt;&lt;title&gt;Distributional Cost-Effectiveness Analysis: A Tutorial&lt;/title&gt;&lt;secondary-title&gt;Medical decision making&lt;/secondary-title&gt;&lt;/titles&gt;&lt;periodical&gt;&lt;full-title&gt;Medical Decision Making&lt;/full-title&gt;&lt;/periodical&gt;&lt;pages&gt;8-19&lt;/pages&gt;&lt;volume&gt;36&lt;/volume&gt;&lt;number&gt;1&lt;/number&gt;&lt;keywords&gt;&lt;keyword&gt;cost-effectiveness analysis&lt;/keyword&gt;&lt;keyword&gt;economic evaluation&lt;/keyword&gt;&lt;keyword&gt;efficiency&lt;/keyword&gt;&lt;keyword&gt;equality&lt;/keyword&gt;&lt;keyword&gt;equity&lt;/keyword&gt;&lt;keyword&gt;fairness&lt;/keyword&gt;&lt;keyword&gt;health distribution&lt;/keyword&gt;&lt;keyword&gt;health inequality&lt;/keyword&gt;&lt;keyword&gt;inequality measures&lt;/keyword&gt;&lt;keyword&gt;opportunity cost&lt;/keyword&gt;&lt;keyword&gt;social value judgments&lt;/keyword&gt;&lt;keyword&gt;social welfare functions&lt;/keyword&gt;&lt;keyword&gt;tradeoff&lt;/keyword&gt;&lt;/keywords&gt;&lt;dates&gt;&lt;year&gt;2016&lt;/year&gt;&lt;pub-dates&gt;&lt;date&gt;1/1&lt;/date&gt;&lt;/pub-dates&gt;&lt;/dates&gt;&lt;isbn&gt;0272-989X&lt;/isbn&gt;&lt;work-type&gt;Article&lt;/work-type&gt;&lt;urls&gt;&lt;related-urls&gt;&lt;url&gt;http://www.scopus.com/inward/record.url?scp=84950117843&amp;amp;partnerID=8YFLogxK&lt;/url&gt;&lt;/related-urls&gt;&lt;/urls&gt;&lt;electronic-resource-num&gt;10.1177/0272989X15583266&lt;/electronic-resource-num&gt;&lt;/record&gt;&lt;/Cite&gt;&lt;/EndNote&gt;</w:instrText>
            </w:r>
            <w:r w:rsidRPr="004C78D8">
              <w:rPr>
                <w:sz w:val="18"/>
                <w:szCs w:val="18"/>
              </w:rPr>
              <w:fldChar w:fldCharType="separate"/>
            </w:r>
            <w:r w:rsidR="00513646" w:rsidRPr="004C78D8">
              <w:rPr>
                <w:noProof/>
                <w:sz w:val="18"/>
                <w:szCs w:val="18"/>
              </w:rPr>
              <w:t>[109]</w:t>
            </w:r>
            <w:r w:rsidRPr="004C78D8">
              <w:rPr>
                <w:sz w:val="18"/>
                <w:szCs w:val="18"/>
              </w:rPr>
              <w:fldChar w:fldCharType="end"/>
            </w:r>
            <w:r w:rsidRPr="004C78D8">
              <w:rPr>
                <w:sz w:val="18"/>
                <w:szCs w:val="18"/>
              </w:rPr>
              <w:t>.</w:t>
            </w:r>
          </w:p>
        </w:tc>
      </w:tr>
    </w:tbl>
    <w:p w14:paraId="6A789AAC" w14:textId="1F96B8CE" w:rsidR="00C06005" w:rsidRPr="004C78D8" w:rsidRDefault="00C06005" w:rsidP="00FB7C1F"/>
    <w:p w14:paraId="743C71BA" w14:textId="77777777" w:rsidR="00D43C1A" w:rsidRPr="004C78D8" w:rsidRDefault="00D43C1A" w:rsidP="00FB7C1F"/>
    <w:p w14:paraId="090DE76E" w14:textId="137B1754" w:rsidR="006A221C" w:rsidRPr="004C78D8" w:rsidRDefault="00BF60D9" w:rsidP="00972766">
      <w:pPr>
        <w:pStyle w:val="Heading3"/>
      </w:pPr>
      <w:bookmarkStart w:id="206" w:name="_Toc93566893"/>
      <w:bookmarkStart w:id="207" w:name="_Toc111630799"/>
      <w:r w:rsidRPr="004C78D8">
        <w:t>6</w:t>
      </w:r>
      <w:r w:rsidR="006A221C" w:rsidRPr="004C78D8">
        <w:t>.</w:t>
      </w:r>
      <w:r w:rsidRPr="004C78D8">
        <w:t xml:space="preserve">3.2 </w:t>
      </w:r>
      <w:r w:rsidR="006A221C" w:rsidRPr="004C78D8">
        <w:t>Comparison of intervention strategies</w:t>
      </w:r>
      <w:bookmarkEnd w:id="206"/>
      <w:bookmarkEnd w:id="207"/>
    </w:p>
    <w:p w14:paraId="5CD56CF0" w14:textId="08BE971D" w:rsidR="00A0028A" w:rsidRPr="004C78D8" w:rsidRDefault="00705FD1" w:rsidP="00FB7C1F">
      <w:r w:rsidRPr="004C78D8">
        <w:t xml:space="preserve">This section compares </w:t>
      </w:r>
      <w:r w:rsidR="00A64AAF" w:rsidRPr="004C78D8">
        <w:t>the</w:t>
      </w:r>
      <w:r w:rsidRPr="004C78D8">
        <w:t xml:space="preserve"> </w:t>
      </w:r>
      <w:r w:rsidR="00A64AAF" w:rsidRPr="004C78D8">
        <w:t xml:space="preserve">23 </w:t>
      </w:r>
      <w:r w:rsidRPr="004C78D8">
        <w:t>intervention strategies</w:t>
      </w:r>
      <w:r w:rsidR="00A64AAF" w:rsidRPr="004C78D8">
        <w:t>, including RC and the alternative scenarios.</w:t>
      </w:r>
      <w:r w:rsidR="006A16A0" w:rsidRPr="004C78D8">
        <w:t xml:space="preserve"> </w:t>
      </w:r>
      <w:r w:rsidR="00B77085" w:rsidRPr="004C78D8">
        <w:t xml:space="preserve">The comparison is first conducted under the primary evaluation framework of 40-year societal CUA (Section </w:t>
      </w:r>
      <w:r w:rsidR="00496097" w:rsidRPr="004C78D8">
        <w:t>6.3.2</w:t>
      </w:r>
      <w:r w:rsidR="00B77085" w:rsidRPr="004C78D8">
        <w:t xml:space="preserve">.1), then under the secondary framework of five-year public sector ROI (Section </w:t>
      </w:r>
      <w:r w:rsidR="00496097" w:rsidRPr="004C78D8">
        <w:t>6.3.2</w:t>
      </w:r>
      <w:r w:rsidR="00B77085" w:rsidRPr="004C78D8">
        <w:t>.2).</w:t>
      </w:r>
    </w:p>
    <w:p w14:paraId="28C7451A" w14:textId="33E6F29C" w:rsidR="00B77085" w:rsidRPr="004C78D8" w:rsidRDefault="00BF60D9" w:rsidP="00972766">
      <w:pPr>
        <w:pStyle w:val="Heading4"/>
      </w:pPr>
      <w:r w:rsidRPr="004C78D8">
        <w:t>6</w:t>
      </w:r>
      <w:r w:rsidR="00B77085" w:rsidRPr="004C78D8">
        <w:t>.</w:t>
      </w:r>
      <w:r w:rsidRPr="004C78D8">
        <w:t>3</w:t>
      </w:r>
      <w:r w:rsidR="00B77085" w:rsidRPr="004C78D8">
        <w:t>.</w:t>
      </w:r>
      <w:r w:rsidRPr="004C78D8">
        <w:t>2.</w:t>
      </w:r>
      <w:r w:rsidR="00B77085" w:rsidRPr="004C78D8">
        <w:t>1 Comparison under 40-year societal cost-utility analysis</w:t>
      </w:r>
    </w:p>
    <w:p w14:paraId="19FF2034" w14:textId="40418424" w:rsidR="00085F28" w:rsidRPr="004C78D8" w:rsidRDefault="00064DE9" w:rsidP="00FB7C1F">
      <w:pPr>
        <w:sectPr w:rsidR="00085F28" w:rsidRPr="004C78D8">
          <w:pgSz w:w="11906" w:h="16838"/>
          <w:pgMar w:top="1440" w:right="1440" w:bottom="1440" w:left="1440" w:header="708" w:footer="708" w:gutter="0"/>
          <w:cols w:space="708"/>
          <w:docGrid w:linePitch="360"/>
        </w:sectPr>
      </w:pPr>
      <w:r w:rsidRPr="004C78D8">
        <w:t xml:space="preserve">Table </w:t>
      </w:r>
      <w:r w:rsidR="00496097" w:rsidRPr="004C78D8">
        <w:t>6</w:t>
      </w:r>
      <w:r w:rsidRPr="004C78D8">
        <w:t>.</w:t>
      </w:r>
      <w:r w:rsidR="00496097" w:rsidRPr="004C78D8">
        <w:t>18</w:t>
      </w:r>
      <w:r w:rsidRPr="004C78D8">
        <w:t xml:space="preserve"> </w:t>
      </w:r>
      <w:r w:rsidR="00807CD1" w:rsidRPr="004C78D8">
        <w:t>arranges</w:t>
      </w:r>
      <w:r w:rsidRPr="004C78D8">
        <w:t xml:space="preserve"> the strategies</w:t>
      </w:r>
      <w:r w:rsidR="00807CD1" w:rsidRPr="004C78D8">
        <w:t xml:space="preserve"> </w:t>
      </w:r>
      <w:r w:rsidRPr="004C78D8">
        <w:t xml:space="preserve">by </w:t>
      </w:r>
      <w:r w:rsidR="00807CD1" w:rsidRPr="004C78D8">
        <w:t>public sector all-cause cost</w:t>
      </w:r>
      <w:r w:rsidR="009F6EDD" w:rsidRPr="004C78D8">
        <w:t xml:space="preserve"> in increasing order</w:t>
      </w:r>
      <w:r w:rsidR="00807CD1" w:rsidRPr="004C78D8">
        <w:t xml:space="preserve">. </w:t>
      </w:r>
      <w:r w:rsidR="00DB401C" w:rsidRPr="004C78D8">
        <w:t>Strategies with lower societal QALY</w:t>
      </w:r>
      <w:r w:rsidR="009F6EDD" w:rsidRPr="004C78D8">
        <w:t>s</w:t>
      </w:r>
      <w:r w:rsidR="00DB401C" w:rsidRPr="004C78D8">
        <w:t xml:space="preserve"> than </w:t>
      </w:r>
      <w:r w:rsidR="009F6EDD" w:rsidRPr="004C78D8">
        <w:t xml:space="preserve">any strategy in a row above were </w:t>
      </w:r>
      <w:r w:rsidR="00B45E27" w:rsidRPr="004C78D8">
        <w:t xml:space="preserve">strongly </w:t>
      </w:r>
      <w:r w:rsidR="009F6EDD" w:rsidRPr="004C78D8">
        <w:t>dominated by the latter</w:t>
      </w:r>
      <w:r w:rsidR="00785B4F" w:rsidRPr="004C78D8">
        <w:t xml:space="preserve">; rows for these strategies are shaded in </w:t>
      </w:r>
      <w:r w:rsidR="00CC7AB0" w:rsidRPr="004C78D8">
        <w:t xml:space="preserve">dark </w:t>
      </w:r>
      <w:r w:rsidR="00785B4F" w:rsidRPr="004C78D8">
        <w:t>grey.</w:t>
      </w:r>
      <w:r w:rsidR="00AA3FC3" w:rsidRPr="004C78D8">
        <w:t xml:space="preserve"> </w:t>
      </w:r>
      <w:r w:rsidR="00CC7AB0" w:rsidRPr="004C78D8">
        <w:t>F</w:t>
      </w:r>
      <w:r w:rsidR="00AA3FC3" w:rsidRPr="004C78D8">
        <w:t>or example, strategy [6] of reactive</w:t>
      </w:r>
      <w:r w:rsidR="00CC7AB0" w:rsidRPr="004C78D8">
        <w:t>-</w:t>
      </w:r>
      <w:r w:rsidR="00AA3FC3" w:rsidRPr="004C78D8">
        <w:t>self-referred pathway</w:t>
      </w:r>
      <w:r w:rsidR="00CC7AB0" w:rsidRPr="004C78D8">
        <w:t xml:space="preserve"> combination</w:t>
      </w:r>
      <w:r w:rsidR="00AA3FC3" w:rsidRPr="004C78D8">
        <w:t xml:space="preserve"> </w:t>
      </w:r>
      <w:r w:rsidR="00B45E27" w:rsidRPr="004C78D8">
        <w:t xml:space="preserve">strongly </w:t>
      </w:r>
      <w:r w:rsidR="00AA3FC3" w:rsidRPr="004C78D8">
        <w:t>dominated strategies [7]</w:t>
      </w:r>
      <w:r w:rsidR="00CC7AB0" w:rsidRPr="004C78D8">
        <w:t>-</w:t>
      </w:r>
      <w:r w:rsidR="00AA3FC3" w:rsidRPr="004C78D8">
        <w:t>[1</w:t>
      </w:r>
      <w:r w:rsidR="00FC7AF0" w:rsidRPr="004C78D8">
        <w:t>7</w:t>
      </w:r>
      <w:r w:rsidR="00AA3FC3" w:rsidRPr="004C78D8">
        <w:t xml:space="preserve">]. </w:t>
      </w:r>
      <w:r w:rsidR="00ED2EE0" w:rsidRPr="004C78D8">
        <w:t xml:space="preserve">Strategy [4] was extendedly dominated by strategies [3] and [6], and strategy [18] by strategies [6] and [19]. They are shaded in light grey. </w:t>
      </w:r>
      <w:r w:rsidR="00675188" w:rsidRPr="004C78D8">
        <w:t>Hence, there were six non-dominated strategies</w:t>
      </w:r>
      <w:r w:rsidR="00906244" w:rsidRPr="004C78D8">
        <w:t xml:space="preserve"> (other than UC)</w:t>
      </w:r>
      <w:r w:rsidR="00675188" w:rsidRPr="004C78D8">
        <w:t>: [1] PA promotion targeting the 3</w:t>
      </w:r>
      <w:r w:rsidR="00675188" w:rsidRPr="004C78D8">
        <w:rPr>
          <w:vertAlign w:val="superscript"/>
        </w:rPr>
        <w:t>rd</w:t>
      </w:r>
      <w:r w:rsidR="00675188" w:rsidRPr="004C78D8">
        <w:t xml:space="preserve"> and 4</w:t>
      </w:r>
      <w:r w:rsidR="00675188" w:rsidRPr="004C78D8">
        <w:rPr>
          <w:vertAlign w:val="superscript"/>
        </w:rPr>
        <w:t>th</w:t>
      </w:r>
      <w:r w:rsidR="00675188" w:rsidRPr="004C78D8">
        <w:t xml:space="preserve"> SES quartiles supplementing UC; [2] RC reactive pathway only; [3] universal PA promotion supplementing UC; [6] RC reactive-self-referred pathways; [19] universal FH removal supplementing CRC scenario (4); and [22] RC. The ICERs between these strategies are shown in the penultimate column. Table </w:t>
      </w:r>
      <w:r w:rsidR="00496097" w:rsidRPr="004C78D8">
        <w:t>6</w:t>
      </w:r>
      <w:r w:rsidR="00675188" w:rsidRPr="004C78D8">
        <w:t>.</w:t>
      </w:r>
      <w:r w:rsidR="00496097" w:rsidRPr="004C78D8">
        <w:t>18</w:t>
      </w:r>
      <w:r w:rsidR="00675188" w:rsidRPr="004C78D8">
        <w:t xml:space="preserve"> also shows the aggregate INMBs </w:t>
      </w:r>
      <w:r w:rsidR="00906244" w:rsidRPr="004C78D8">
        <w:t>vs.</w:t>
      </w:r>
      <w:r w:rsidR="00675188" w:rsidRPr="004C78D8">
        <w:t xml:space="preserve"> UC in the final column.</w:t>
      </w:r>
      <w:r w:rsidR="00ED2EE0" w:rsidRPr="004C78D8">
        <w:t xml:space="preserve"> </w:t>
      </w:r>
    </w:p>
    <w:tbl>
      <w:tblPr>
        <w:tblStyle w:val="TableGrid"/>
        <w:tblW w:w="5000" w:type="pct"/>
        <w:tblLook w:val="04A0" w:firstRow="1" w:lastRow="0" w:firstColumn="1" w:lastColumn="0" w:noHBand="0" w:noVBand="1"/>
      </w:tblPr>
      <w:tblGrid>
        <w:gridCol w:w="584"/>
        <w:gridCol w:w="3258"/>
        <w:gridCol w:w="1442"/>
        <w:gridCol w:w="1445"/>
        <w:gridCol w:w="1445"/>
        <w:gridCol w:w="1445"/>
        <w:gridCol w:w="1445"/>
        <w:gridCol w:w="1445"/>
        <w:gridCol w:w="1439"/>
      </w:tblGrid>
      <w:tr w:rsidR="00085F28" w:rsidRPr="004C78D8" w14:paraId="2F90FBAC" w14:textId="77777777" w:rsidTr="00E35893">
        <w:tc>
          <w:tcPr>
            <w:tcW w:w="5000" w:type="pct"/>
            <w:gridSpan w:val="9"/>
          </w:tcPr>
          <w:p w14:paraId="69E5CA5B" w14:textId="73ACD5C2" w:rsidR="00085F28" w:rsidRPr="004C78D8" w:rsidRDefault="00085F28" w:rsidP="00FB7C1F">
            <w:r w:rsidRPr="004C78D8">
              <w:rPr>
                <w:b/>
                <w:bCs/>
              </w:rPr>
              <w:t xml:space="preserve">Table </w:t>
            </w:r>
            <w:r w:rsidR="00496097" w:rsidRPr="004C78D8">
              <w:rPr>
                <w:b/>
                <w:bCs/>
              </w:rPr>
              <w:t>6</w:t>
            </w:r>
            <w:r w:rsidRPr="004C78D8">
              <w:rPr>
                <w:b/>
                <w:bCs/>
              </w:rPr>
              <w:t>.</w:t>
            </w:r>
            <w:r w:rsidR="00496097" w:rsidRPr="004C78D8">
              <w:rPr>
                <w:b/>
                <w:bCs/>
              </w:rPr>
              <w:t>18</w:t>
            </w:r>
            <w:r w:rsidRPr="004C78D8">
              <w:t xml:space="preserve"> </w:t>
            </w:r>
            <w:r w:rsidR="00906244" w:rsidRPr="004C78D8">
              <w:t>Comparison of i</w:t>
            </w:r>
            <w:r w:rsidRPr="004C78D8">
              <w:t>ntervention strategies under 40-year societal cost-utility analysis.</w:t>
            </w:r>
          </w:p>
        </w:tc>
      </w:tr>
      <w:tr w:rsidR="00675188" w:rsidRPr="004C78D8" w14:paraId="7787B570" w14:textId="77777777" w:rsidTr="00E35893">
        <w:tc>
          <w:tcPr>
            <w:tcW w:w="209" w:type="pct"/>
            <w:tcBorders>
              <w:bottom w:val="single" w:sz="4" w:space="0" w:color="auto"/>
            </w:tcBorders>
            <w:vAlign w:val="bottom"/>
          </w:tcPr>
          <w:p w14:paraId="6813BD90" w14:textId="77777777" w:rsidR="00675188" w:rsidRPr="004C78D8" w:rsidRDefault="00675188" w:rsidP="00FB7C1F">
            <w:pPr>
              <w:jc w:val="left"/>
              <w:rPr>
                <w:b/>
                <w:bCs/>
                <w:sz w:val="18"/>
                <w:szCs w:val="18"/>
              </w:rPr>
            </w:pPr>
            <w:r w:rsidRPr="004C78D8">
              <w:rPr>
                <w:b/>
                <w:bCs/>
                <w:sz w:val="18"/>
                <w:szCs w:val="18"/>
              </w:rPr>
              <w:t>[#]</w:t>
            </w:r>
          </w:p>
        </w:tc>
        <w:tc>
          <w:tcPr>
            <w:tcW w:w="1168" w:type="pct"/>
            <w:tcBorders>
              <w:bottom w:val="single" w:sz="4" w:space="0" w:color="auto"/>
            </w:tcBorders>
            <w:vAlign w:val="bottom"/>
          </w:tcPr>
          <w:p w14:paraId="585C3379" w14:textId="61E04382" w:rsidR="00675188" w:rsidRPr="004C78D8" w:rsidRDefault="00675188" w:rsidP="00FB7C1F">
            <w:pPr>
              <w:jc w:val="left"/>
              <w:rPr>
                <w:b/>
                <w:bCs/>
                <w:sz w:val="18"/>
                <w:szCs w:val="18"/>
              </w:rPr>
            </w:pPr>
            <w:r w:rsidRPr="004C78D8">
              <w:rPr>
                <w:b/>
                <w:bCs/>
                <w:sz w:val="18"/>
                <w:szCs w:val="18"/>
              </w:rPr>
              <w:t>Strategy</w:t>
            </w:r>
            <w:r w:rsidRPr="004C78D8">
              <w:rPr>
                <w:b/>
                <w:bCs/>
                <w:sz w:val="18"/>
                <w:szCs w:val="18"/>
                <w:vertAlign w:val="superscript"/>
              </w:rPr>
              <w:t>1</w:t>
            </w:r>
            <w:r w:rsidR="00BB3A00" w:rsidRPr="004C78D8">
              <w:rPr>
                <w:b/>
                <w:bCs/>
                <w:sz w:val="18"/>
                <w:szCs w:val="18"/>
                <w:vertAlign w:val="superscript"/>
              </w:rPr>
              <w:t>,2</w:t>
            </w:r>
          </w:p>
        </w:tc>
        <w:tc>
          <w:tcPr>
            <w:tcW w:w="517" w:type="pct"/>
            <w:tcBorders>
              <w:bottom w:val="single" w:sz="4" w:space="0" w:color="auto"/>
            </w:tcBorders>
            <w:vAlign w:val="bottom"/>
          </w:tcPr>
          <w:p w14:paraId="642F93F4" w14:textId="77777777" w:rsidR="00675188" w:rsidRPr="004C78D8" w:rsidRDefault="00675188" w:rsidP="00FB7C1F">
            <w:pPr>
              <w:jc w:val="left"/>
              <w:rPr>
                <w:b/>
                <w:bCs/>
                <w:sz w:val="18"/>
                <w:szCs w:val="18"/>
              </w:rPr>
            </w:pPr>
            <w:r w:rsidRPr="004C78D8">
              <w:rPr>
                <w:b/>
                <w:bCs/>
                <w:sz w:val="18"/>
                <w:szCs w:val="18"/>
              </w:rPr>
              <w:t>Societal QALY</w:t>
            </w:r>
          </w:p>
        </w:tc>
        <w:tc>
          <w:tcPr>
            <w:tcW w:w="518" w:type="pct"/>
            <w:tcBorders>
              <w:bottom w:val="single" w:sz="4" w:space="0" w:color="auto"/>
            </w:tcBorders>
            <w:vAlign w:val="bottom"/>
          </w:tcPr>
          <w:p w14:paraId="104BE02B" w14:textId="77777777" w:rsidR="00675188" w:rsidRPr="004C78D8" w:rsidRDefault="00675188" w:rsidP="00FB7C1F">
            <w:pPr>
              <w:jc w:val="left"/>
              <w:rPr>
                <w:b/>
                <w:bCs/>
                <w:sz w:val="18"/>
                <w:szCs w:val="18"/>
              </w:rPr>
            </w:pPr>
            <w:r w:rsidRPr="004C78D8">
              <w:rPr>
                <w:b/>
                <w:bCs/>
                <w:sz w:val="18"/>
                <w:szCs w:val="18"/>
              </w:rPr>
              <w:t>Public sector all-cause cost (£ million)</w:t>
            </w:r>
          </w:p>
        </w:tc>
        <w:tc>
          <w:tcPr>
            <w:tcW w:w="518" w:type="pct"/>
            <w:tcBorders>
              <w:bottom w:val="single" w:sz="4" w:space="0" w:color="auto"/>
            </w:tcBorders>
            <w:vAlign w:val="bottom"/>
          </w:tcPr>
          <w:p w14:paraId="725CCDA8" w14:textId="4B51DE3E" w:rsidR="00675188" w:rsidRPr="004C78D8" w:rsidRDefault="00675188" w:rsidP="00FB7C1F">
            <w:pPr>
              <w:jc w:val="left"/>
              <w:rPr>
                <w:b/>
                <w:bCs/>
                <w:sz w:val="18"/>
                <w:szCs w:val="18"/>
              </w:rPr>
            </w:pPr>
            <w:r w:rsidRPr="004C78D8">
              <w:rPr>
                <w:b/>
                <w:bCs/>
                <w:sz w:val="18"/>
                <w:szCs w:val="18"/>
              </w:rPr>
              <w:t>Incremental societal QALY vs. UC</w:t>
            </w:r>
          </w:p>
        </w:tc>
        <w:tc>
          <w:tcPr>
            <w:tcW w:w="518" w:type="pct"/>
            <w:tcBorders>
              <w:bottom w:val="single" w:sz="4" w:space="0" w:color="auto"/>
            </w:tcBorders>
            <w:vAlign w:val="bottom"/>
          </w:tcPr>
          <w:p w14:paraId="164D89AC" w14:textId="1EC7D24F" w:rsidR="00675188" w:rsidRPr="004C78D8" w:rsidRDefault="00675188" w:rsidP="00FB7C1F">
            <w:pPr>
              <w:jc w:val="left"/>
              <w:rPr>
                <w:b/>
                <w:bCs/>
                <w:sz w:val="18"/>
                <w:szCs w:val="18"/>
              </w:rPr>
            </w:pPr>
            <w:r w:rsidRPr="004C78D8">
              <w:rPr>
                <w:b/>
                <w:bCs/>
                <w:sz w:val="18"/>
                <w:szCs w:val="18"/>
              </w:rPr>
              <w:t>Incremental public sector all-cause cost vs. UC</w:t>
            </w:r>
          </w:p>
        </w:tc>
        <w:tc>
          <w:tcPr>
            <w:tcW w:w="518" w:type="pct"/>
            <w:tcBorders>
              <w:bottom w:val="single" w:sz="4" w:space="0" w:color="auto"/>
            </w:tcBorders>
            <w:vAlign w:val="bottom"/>
          </w:tcPr>
          <w:p w14:paraId="49E39402" w14:textId="4FC366DA" w:rsidR="00675188" w:rsidRPr="004C78D8" w:rsidRDefault="00675188" w:rsidP="00FB7C1F">
            <w:pPr>
              <w:jc w:val="left"/>
              <w:rPr>
                <w:b/>
                <w:bCs/>
                <w:sz w:val="18"/>
                <w:szCs w:val="18"/>
              </w:rPr>
            </w:pPr>
            <w:r w:rsidRPr="004C78D8">
              <w:rPr>
                <w:b/>
                <w:bCs/>
                <w:sz w:val="18"/>
                <w:szCs w:val="18"/>
              </w:rPr>
              <w:t>ICER vs. UC</w:t>
            </w:r>
          </w:p>
        </w:tc>
        <w:tc>
          <w:tcPr>
            <w:tcW w:w="518" w:type="pct"/>
            <w:tcBorders>
              <w:bottom w:val="single" w:sz="4" w:space="0" w:color="auto"/>
            </w:tcBorders>
            <w:vAlign w:val="bottom"/>
          </w:tcPr>
          <w:p w14:paraId="3AB1E805" w14:textId="77777777" w:rsidR="00675188" w:rsidRPr="004C78D8" w:rsidRDefault="00675188" w:rsidP="00FB7C1F">
            <w:pPr>
              <w:jc w:val="left"/>
              <w:rPr>
                <w:b/>
                <w:bCs/>
                <w:sz w:val="18"/>
                <w:szCs w:val="18"/>
              </w:rPr>
            </w:pPr>
            <w:r w:rsidRPr="004C78D8">
              <w:rPr>
                <w:b/>
                <w:bCs/>
                <w:sz w:val="18"/>
                <w:szCs w:val="18"/>
              </w:rPr>
              <w:t>ICER vs. next best alternative</w:t>
            </w:r>
          </w:p>
        </w:tc>
        <w:tc>
          <w:tcPr>
            <w:tcW w:w="518" w:type="pct"/>
            <w:tcBorders>
              <w:bottom w:val="single" w:sz="4" w:space="0" w:color="auto"/>
            </w:tcBorders>
            <w:vAlign w:val="bottom"/>
          </w:tcPr>
          <w:p w14:paraId="561ED2BE" w14:textId="77777777" w:rsidR="00675188" w:rsidRPr="004C78D8" w:rsidRDefault="00675188" w:rsidP="00FB7C1F">
            <w:pPr>
              <w:jc w:val="left"/>
              <w:rPr>
                <w:b/>
                <w:bCs/>
                <w:sz w:val="18"/>
                <w:szCs w:val="18"/>
              </w:rPr>
            </w:pPr>
            <w:r w:rsidRPr="004C78D8">
              <w:rPr>
                <w:b/>
                <w:bCs/>
                <w:sz w:val="18"/>
                <w:szCs w:val="18"/>
              </w:rPr>
              <w:t>Aggregate INMB vs. UC</w:t>
            </w:r>
          </w:p>
        </w:tc>
      </w:tr>
      <w:tr w:rsidR="00675188" w:rsidRPr="004C78D8" w14:paraId="1041D05A" w14:textId="77777777" w:rsidTr="00E35893">
        <w:tc>
          <w:tcPr>
            <w:tcW w:w="209" w:type="pct"/>
            <w:tcBorders>
              <w:bottom w:val="nil"/>
            </w:tcBorders>
          </w:tcPr>
          <w:p w14:paraId="2C48718A" w14:textId="77777777" w:rsidR="00675188" w:rsidRPr="004C78D8" w:rsidRDefault="00675188" w:rsidP="00FB7C1F">
            <w:pPr>
              <w:jc w:val="left"/>
              <w:rPr>
                <w:sz w:val="18"/>
                <w:szCs w:val="18"/>
              </w:rPr>
            </w:pPr>
            <w:r w:rsidRPr="004C78D8">
              <w:rPr>
                <w:sz w:val="18"/>
                <w:szCs w:val="18"/>
              </w:rPr>
              <w:t>[0]</w:t>
            </w:r>
          </w:p>
        </w:tc>
        <w:tc>
          <w:tcPr>
            <w:tcW w:w="1168" w:type="pct"/>
            <w:tcBorders>
              <w:bottom w:val="nil"/>
            </w:tcBorders>
          </w:tcPr>
          <w:p w14:paraId="72388BAE" w14:textId="77777777" w:rsidR="00675188" w:rsidRPr="004C78D8" w:rsidRDefault="00675188" w:rsidP="00FB7C1F">
            <w:pPr>
              <w:jc w:val="left"/>
              <w:rPr>
                <w:sz w:val="18"/>
                <w:szCs w:val="18"/>
              </w:rPr>
            </w:pPr>
            <w:r w:rsidRPr="004C78D8">
              <w:rPr>
                <w:sz w:val="18"/>
                <w:szCs w:val="18"/>
              </w:rPr>
              <w:t>UC</w:t>
            </w:r>
          </w:p>
        </w:tc>
        <w:tc>
          <w:tcPr>
            <w:tcW w:w="517" w:type="pct"/>
            <w:tcBorders>
              <w:top w:val="single" w:sz="4" w:space="0" w:color="auto"/>
              <w:left w:val="nil"/>
              <w:bottom w:val="nil"/>
              <w:right w:val="single" w:sz="4" w:space="0" w:color="auto"/>
            </w:tcBorders>
            <w:shd w:val="clear" w:color="auto" w:fill="auto"/>
          </w:tcPr>
          <w:p w14:paraId="7E537629" w14:textId="77777777" w:rsidR="00675188" w:rsidRPr="004C78D8" w:rsidRDefault="00675188" w:rsidP="00FB7C1F">
            <w:pPr>
              <w:jc w:val="left"/>
              <w:rPr>
                <w:rFonts w:cs="Times New Roman"/>
                <w:sz w:val="18"/>
                <w:szCs w:val="18"/>
              </w:rPr>
            </w:pPr>
            <w:r w:rsidRPr="004C78D8">
              <w:rPr>
                <w:rFonts w:cs="Times New Roman"/>
                <w:sz w:val="18"/>
                <w:szCs w:val="18"/>
              </w:rPr>
              <w:t>2,014,177</w:t>
            </w:r>
          </w:p>
        </w:tc>
        <w:tc>
          <w:tcPr>
            <w:tcW w:w="518" w:type="pct"/>
            <w:tcBorders>
              <w:top w:val="single" w:sz="4" w:space="0" w:color="auto"/>
              <w:left w:val="single" w:sz="4" w:space="0" w:color="auto"/>
              <w:bottom w:val="nil"/>
              <w:right w:val="single" w:sz="4" w:space="0" w:color="auto"/>
            </w:tcBorders>
            <w:shd w:val="clear" w:color="auto" w:fill="auto"/>
          </w:tcPr>
          <w:p w14:paraId="62E90F15" w14:textId="77777777" w:rsidR="00675188" w:rsidRPr="004C78D8" w:rsidRDefault="00675188" w:rsidP="00FB7C1F">
            <w:pPr>
              <w:jc w:val="left"/>
              <w:rPr>
                <w:rFonts w:cs="Times New Roman"/>
                <w:sz w:val="18"/>
                <w:szCs w:val="18"/>
              </w:rPr>
            </w:pPr>
            <w:r w:rsidRPr="004C78D8">
              <w:rPr>
                <w:rFonts w:cs="Times New Roman"/>
                <w:sz w:val="18"/>
                <w:szCs w:val="18"/>
              </w:rPr>
              <w:t>£10,089.48</w:t>
            </w:r>
          </w:p>
        </w:tc>
        <w:tc>
          <w:tcPr>
            <w:tcW w:w="518" w:type="pct"/>
            <w:tcBorders>
              <w:top w:val="single" w:sz="4" w:space="0" w:color="auto"/>
              <w:left w:val="single" w:sz="4" w:space="0" w:color="auto"/>
              <w:bottom w:val="nil"/>
              <w:right w:val="single" w:sz="4" w:space="0" w:color="auto"/>
            </w:tcBorders>
          </w:tcPr>
          <w:p w14:paraId="616E1946" w14:textId="77777777" w:rsidR="00675188" w:rsidRPr="004C78D8" w:rsidRDefault="00675188" w:rsidP="00FB7C1F">
            <w:pPr>
              <w:jc w:val="left"/>
              <w:rPr>
                <w:rFonts w:cs="Times New Roman"/>
                <w:sz w:val="18"/>
                <w:szCs w:val="18"/>
              </w:rPr>
            </w:pPr>
          </w:p>
        </w:tc>
        <w:tc>
          <w:tcPr>
            <w:tcW w:w="518" w:type="pct"/>
            <w:tcBorders>
              <w:top w:val="single" w:sz="4" w:space="0" w:color="auto"/>
              <w:left w:val="single" w:sz="4" w:space="0" w:color="auto"/>
              <w:bottom w:val="nil"/>
              <w:right w:val="single" w:sz="4" w:space="0" w:color="auto"/>
            </w:tcBorders>
          </w:tcPr>
          <w:p w14:paraId="269FEF9C" w14:textId="6D4A961F" w:rsidR="00675188" w:rsidRPr="004C78D8" w:rsidRDefault="00675188" w:rsidP="00FB7C1F">
            <w:pPr>
              <w:jc w:val="left"/>
              <w:rPr>
                <w:rFonts w:cs="Times New Roman"/>
                <w:sz w:val="18"/>
                <w:szCs w:val="18"/>
              </w:rPr>
            </w:pPr>
          </w:p>
        </w:tc>
        <w:tc>
          <w:tcPr>
            <w:tcW w:w="518" w:type="pct"/>
            <w:tcBorders>
              <w:top w:val="single" w:sz="4" w:space="0" w:color="auto"/>
              <w:left w:val="single" w:sz="4" w:space="0" w:color="auto"/>
              <w:bottom w:val="nil"/>
              <w:right w:val="single" w:sz="4" w:space="0" w:color="auto"/>
            </w:tcBorders>
            <w:shd w:val="clear" w:color="auto" w:fill="auto"/>
          </w:tcPr>
          <w:p w14:paraId="21F49324" w14:textId="37A7421C" w:rsidR="00675188" w:rsidRPr="004C78D8" w:rsidRDefault="00675188" w:rsidP="00FB7C1F">
            <w:pPr>
              <w:jc w:val="left"/>
              <w:rPr>
                <w:rFonts w:cs="Times New Roman"/>
                <w:sz w:val="18"/>
                <w:szCs w:val="18"/>
              </w:rPr>
            </w:pPr>
          </w:p>
        </w:tc>
        <w:tc>
          <w:tcPr>
            <w:tcW w:w="518" w:type="pct"/>
            <w:tcBorders>
              <w:top w:val="single" w:sz="4" w:space="0" w:color="auto"/>
              <w:left w:val="single" w:sz="4" w:space="0" w:color="auto"/>
              <w:bottom w:val="nil"/>
              <w:right w:val="single" w:sz="4" w:space="0" w:color="auto"/>
            </w:tcBorders>
          </w:tcPr>
          <w:p w14:paraId="3EBD7EE1" w14:textId="77777777" w:rsidR="00675188" w:rsidRPr="004C78D8" w:rsidRDefault="00675188" w:rsidP="00FB7C1F">
            <w:pPr>
              <w:jc w:val="left"/>
              <w:rPr>
                <w:rFonts w:cs="Times New Roman"/>
                <w:color w:val="000000"/>
                <w:sz w:val="18"/>
                <w:szCs w:val="18"/>
              </w:rPr>
            </w:pPr>
          </w:p>
        </w:tc>
        <w:tc>
          <w:tcPr>
            <w:tcW w:w="518" w:type="pct"/>
            <w:tcBorders>
              <w:top w:val="single" w:sz="4" w:space="0" w:color="auto"/>
              <w:left w:val="single" w:sz="4" w:space="0" w:color="auto"/>
              <w:bottom w:val="nil"/>
              <w:right w:val="single" w:sz="4" w:space="0" w:color="auto"/>
            </w:tcBorders>
            <w:shd w:val="clear" w:color="auto" w:fill="auto"/>
          </w:tcPr>
          <w:p w14:paraId="06B95D6D" w14:textId="77777777" w:rsidR="00675188" w:rsidRPr="004C78D8" w:rsidRDefault="00675188" w:rsidP="00FB7C1F">
            <w:pPr>
              <w:jc w:val="left"/>
              <w:rPr>
                <w:rFonts w:cs="Times New Roman"/>
                <w:sz w:val="18"/>
                <w:szCs w:val="18"/>
              </w:rPr>
            </w:pPr>
          </w:p>
        </w:tc>
      </w:tr>
      <w:tr w:rsidR="00675188" w:rsidRPr="004C78D8" w14:paraId="55F24519" w14:textId="77777777" w:rsidTr="00E35893">
        <w:tc>
          <w:tcPr>
            <w:tcW w:w="209" w:type="pct"/>
            <w:tcBorders>
              <w:top w:val="nil"/>
              <w:bottom w:val="nil"/>
            </w:tcBorders>
          </w:tcPr>
          <w:p w14:paraId="47E2D78C" w14:textId="77777777" w:rsidR="00675188" w:rsidRPr="004C78D8" w:rsidRDefault="00675188" w:rsidP="00FB7C1F">
            <w:pPr>
              <w:jc w:val="left"/>
              <w:rPr>
                <w:sz w:val="18"/>
                <w:szCs w:val="18"/>
              </w:rPr>
            </w:pPr>
            <w:r w:rsidRPr="004C78D8">
              <w:rPr>
                <w:sz w:val="18"/>
                <w:szCs w:val="18"/>
              </w:rPr>
              <w:t>[1]</w:t>
            </w:r>
          </w:p>
        </w:tc>
        <w:tc>
          <w:tcPr>
            <w:tcW w:w="1168" w:type="pct"/>
            <w:tcBorders>
              <w:top w:val="nil"/>
              <w:bottom w:val="nil"/>
            </w:tcBorders>
          </w:tcPr>
          <w:p w14:paraId="6474014E" w14:textId="77777777" w:rsidR="00675188" w:rsidRPr="004C78D8" w:rsidRDefault="00675188" w:rsidP="00FB7C1F">
            <w:pPr>
              <w:jc w:val="left"/>
              <w:rPr>
                <w:sz w:val="18"/>
                <w:szCs w:val="18"/>
              </w:rPr>
            </w:pPr>
            <w:r w:rsidRPr="004C78D8">
              <w:rPr>
                <w:sz w:val="18"/>
                <w:szCs w:val="18"/>
              </w:rPr>
              <w:t>UC + 3</w:t>
            </w:r>
            <w:r w:rsidRPr="004C78D8">
              <w:rPr>
                <w:sz w:val="18"/>
                <w:szCs w:val="18"/>
                <w:vertAlign w:val="superscript"/>
              </w:rPr>
              <w:t>rd</w:t>
            </w:r>
            <w:r w:rsidRPr="004C78D8">
              <w:rPr>
                <w:sz w:val="18"/>
                <w:szCs w:val="18"/>
              </w:rPr>
              <w:t>/4</w:t>
            </w:r>
            <w:r w:rsidRPr="004C78D8">
              <w:rPr>
                <w:sz w:val="18"/>
                <w:szCs w:val="18"/>
                <w:vertAlign w:val="superscript"/>
              </w:rPr>
              <w:t>th</w:t>
            </w:r>
            <w:r w:rsidRPr="004C78D8">
              <w:rPr>
                <w:sz w:val="18"/>
                <w:szCs w:val="18"/>
              </w:rPr>
              <w:t xml:space="preserve"> SES PA promotion</w:t>
            </w:r>
          </w:p>
        </w:tc>
        <w:tc>
          <w:tcPr>
            <w:tcW w:w="517" w:type="pct"/>
            <w:tcBorders>
              <w:top w:val="nil"/>
              <w:left w:val="nil"/>
              <w:bottom w:val="nil"/>
              <w:right w:val="single" w:sz="4" w:space="0" w:color="auto"/>
            </w:tcBorders>
            <w:shd w:val="clear" w:color="auto" w:fill="auto"/>
          </w:tcPr>
          <w:p w14:paraId="5162F94F" w14:textId="77777777" w:rsidR="00675188" w:rsidRPr="004C78D8" w:rsidRDefault="00675188" w:rsidP="00FB7C1F">
            <w:pPr>
              <w:jc w:val="left"/>
              <w:rPr>
                <w:rFonts w:cs="Times New Roman"/>
                <w:color w:val="000000"/>
                <w:sz w:val="18"/>
                <w:szCs w:val="18"/>
              </w:rPr>
            </w:pPr>
            <w:r w:rsidRPr="004C78D8">
              <w:rPr>
                <w:rFonts w:cs="Times New Roman"/>
                <w:color w:val="000000"/>
                <w:sz w:val="18"/>
                <w:szCs w:val="18"/>
              </w:rPr>
              <w:t>2,015,587</w:t>
            </w:r>
          </w:p>
        </w:tc>
        <w:tc>
          <w:tcPr>
            <w:tcW w:w="518" w:type="pct"/>
            <w:tcBorders>
              <w:top w:val="nil"/>
              <w:left w:val="single" w:sz="4" w:space="0" w:color="auto"/>
              <w:bottom w:val="nil"/>
              <w:right w:val="single" w:sz="4" w:space="0" w:color="auto"/>
            </w:tcBorders>
            <w:shd w:val="clear" w:color="auto" w:fill="auto"/>
          </w:tcPr>
          <w:p w14:paraId="5D031BB9" w14:textId="77777777" w:rsidR="00675188" w:rsidRPr="004C78D8" w:rsidRDefault="00675188" w:rsidP="00FB7C1F">
            <w:pPr>
              <w:jc w:val="left"/>
              <w:rPr>
                <w:rFonts w:cs="Times New Roman"/>
                <w:color w:val="000000"/>
                <w:sz w:val="18"/>
                <w:szCs w:val="18"/>
              </w:rPr>
            </w:pPr>
            <w:r w:rsidRPr="004C78D8">
              <w:rPr>
                <w:rFonts w:cs="Times New Roman"/>
                <w:color w:val="000000"/>
                <w:sz w:val="18"/>
                <w:szCs w:val="18"/>
              </w:rPr>
              <w:t>£10,091.86</w:t>
            </w:r>
          </w:p>
        </w:tc>
        <w:tc>
          <w:tcPr>
            <w:tcW w:w="518" w:type="pct"/>
            <w:tcBorders>
              <w:top w:val="nil"/>
              <w:left w:val="single" w:sz="4" w:space="0" w:color="auto"/>
              <w:bottom w:val="nil"/>
              <w:right w:val="single" w:sz="4" w:space="0" w:color="auto"/>
            </w:tcBorders>
          </w:tcPr>
          <w:p w14:paraId="58E0DF0C" w14:textId="4293C19B" w:rsidR="00675188" w:rsidRPr="004C78D8" w:rsidRDefault="00675188" w:rsidP="00FB7C1F">
            <w:pPr>
              <w:jc w:val="left"/>
              <w:rPr>
                <w:rFonts w:cs="Times New Roman"/>
                <w:color w:val="000000"/>
                <w:sz w:val="18"/>
                <w:szCs w:val="18"/>
              </w:rPr>
            </w:pPr>
            <w:r w:rsidRPr="004C78D8">
              <w:rPr>
                <w:rFonts w:cs="Times New Roman"/>
                <w:color w:val="000000"/>
                <w:sz w:val="18"/>
                <w:szCs w:val="18"/>
              </w:rPr>
              <w:t>1410</w:t>
            </w:r>
          </w:p>
        </w:tc>
        <w:tc>
          <w:tcPr>
            <w:tcW w:w="518" w:type="pct"/>
            <w:tcBorders>
              <w:top w:val="nil"/>
              <w:left w:val="single" w:sz="4" w:space="0" w:color="auto"/>
              <w:bottom w:val="nil"/>
              <w:right w:val="single" w:sz="4" w:space="0" w:color="auto"/>
            </w:tcBorders>
          </w:tcPr>
          <w:p w14:paraId="0CE8CEED" w14:textId="3977277C" w:rsidR="00675188" w:rsidRPr="004C78D8" w:rsidRDefault="00675188" w:rsidP="00FB7C1F">
            <w:pPr>
              <w:jc w:val="left"/>
              <w:rPr>
                <w:rFonts w:cs="Times New Roman"/>
                <w:color w:val="000000"/>
                <w:sz w:val="18"/>
                <w:szCs w:val="18"/>
              </w:rPr>
            </w:pPr>
            <w:r w:rsidRPr="004C78D8">
              <w:rPr>
                <w:rFonts w:cs="Times New Roman"/>
                <w:color w:val="000000"/>
                <w:sz w:val="18"/>
                <w:szCs w:val="18"/>
              </w:rPr>
              <w:t>£2,384,663</w:t>
            </w:r>
          </w:p>
        </w:tc>
        <w:tc>
          <w:tcPr>
            <w:tcW w:w="518" w:type="pct"/>
            <w:tcBorders>
              <w:top w:val="nil"/>
              <w:left w:val="single" w:sz="4" w:space="0" w:color="auto"/>
              <w:bottom w:val="nil"/>
              <w:right w:val="single" w:sz="4" w:space="0" w:color="auto"/>
            </w:tcBorders>
            <w:shd w:val="clear" w:color="auto" w:fill="auto"/>
          </w:tcPr>
          <w:p w14:paraId="5B4B61BF" w14:textId="60B7F96E" w:rsidR="00675188" w:rsidRPr="004C78D8" w:rsidRDefault="00675188" w:rsidP="00FB7C1F">
            <w:pPr>
              <w:jc w:val="left"/>
              <w:rPr>
                <w:rFonts w:cs="Times New Roman"/>
                <w:color w:val="000000"/>
                <w:sz w:val="18"/>
                <w:szCs w:val="18"/>
              </w:rPr>
            </w:pPr>
            <w:r w:rsidRPr="004C78D8">
              <w:rPr>
                <w:rFonts w:cs="Times New Roman"/>
                <w:color w:val="000000"/>
                <w:sz w:val="18"/>
                <w:szCs w:val="18"/>
              </w:rPr>
              <w:t>£1,692</w:t>
            </w:r>
          </w:p>
        </w:tc>
        <w:tc>
          <w:tcPr>
            <w:tcW w:w="518" w:type="pct"/>
            <w:tcBorders>
              <w:top w:val="nil"/>
              <w:left w:val="single" w:sz="4" w:space="0" w:color="auto"/>
              <w:bottom w:val="nil"/>
              <w:right w:val="single" w:sz="4" w:space="0" w:color="auto"/>
            </w:tcBorders>
          </w:tcPr>
          <w:p w14:paraId="75F1B88C" w14:textId="77777777" w:rsidR="00675188" w:rsidRPr="004C78D8" w:rsidRDefault="00675188" w:rsidP="00FB7C1F">
            <w:pPr>
              <w:jc w:val="left"/>
              <w:rPr>
                <w:rFonts w:cs="Times New Roman"/>
                <w:color w:val="000000"/>
                <w:sz w:val="18"/>
                <w:szCs w:val="18"/>
              </w:rPr>
            </w:pPr>
            <w:r w:rsidRPr="004C78D8">
              <w:rPr>
                <w:rFonts w:cs="Times New Roman"/>
                <w:color w:val="000000"/>
                <w:sz w:val="18"/>
                <w:szCs w:val="18"/>
              </w:rPr>
              <w:t>£1,692</w:t>
            </w:r>
          </w:p>
        </w:tc>
        <w:tc>
          <w:tcPr>
            <w:tcW w:w="518" w:type="pct"/>
            <w:tcBorders>
              <w:top w:val="nil"/>
              <w:left w:val="single" w:sz="4" w:space="0" w:color="auto"/>
              <w:bottom w:val="nil"/>
              <w:right w:val="single" w:sz="4" w:space="0" w:color="auto"/>
            </w:tcBorders>
            <w:shd w:val="clear" w:color="auto" w:fill="auto"/>
          </w:tcPr>
          <w:p w14:paraId="5541BCBB" w14:textId="77777777" w:rsidR="00675188" w:rsidRPr="004C78D8" w:rsidRDefault="00675188" w:rsidP="00FB7C1F">
            <w:pPr>
              <w:jc w:val="left"/>
              <w:rPr>
                <w:rFonts w:cs="Times New Roman"/>
                <w:color w:val="000000"/>
                <w:sz w:val="18"/>
                <w:szCs w:val="18"/>
              </w:rPr>
            </w:pPr>
            <w:r w:rsidRPr="004C78D8">
              <w:rPr>
                <w:rFonts w:cs="Times New Roman"/>
                <w:color w:val="000000"/>
                <w:sz w:val="18"/>
                <w:szCs w:val="18"/>
              </w:rPr>
              <w:t>£39,907,265</w:t>
            </w:r>
          </w:p>
        </w:tc>
      </w:tr>
      <w:tr w:rsidR="00675188" w:rsidRPr="004C78D8" w14:paraId="301113D1" w14:textId="77777777" w:rsidTr="00E35893">
        <w:tc>
          <w:tcPr>
            <w:tcW w:w="209" w:type="pct"/>
            <w:tcBorders>
              <w:top w:val="nil"/>
              <w:bottom w:val="nil"/>
            </w:tcBorders>
          </w:tcPr>
          <w:p w14:paraId="4A51B0E4" w14:textId="77777777" w:rsidR="00675188" w:rsidRPr="004C78D8" w:rsidRDefault="00675188" w:rsidP="00FB7C1F">
            <w:pPr>
              <w:jc w:val="left"/>
              <w:rPr>
                <w:sz w:val="18"/>
                <w:szCs w:val="18"/>
              </w:rPr>
            </w:pPr>
            <w:r w:rsidRPr="004C78D8">
              <w:rPr>
                <w:sz w:val="18"/>
                <w:szCs w:val="18"/>
              </w:rPr>
              <w:t>[2]</w:t>
            </w:r>
          </w:p>
        </w:tc>
        <w:tc>
          <w:tcPr>
            <w:tcW w:w="1168" w:type="pct"/>
            <w:tcBorders>
              <w:top w:val="nil"/>
              <w:bottom w:val="nil"/>
            </w:tcBorders>
          </w:tcPr>
          <w:p w14:paraId="3AFBE861" w14:textId="77777777" w:rsidR="00675188" w:rsidRPr="004C78D8" w:rsidRDefault="00675188" w:rsidP="00FB7C1F">
            <w:pPr>
              <w:jc w:val="left"/>
              <w:rPr>
                <w:sz w:val="18"/>
                <w:szCs w:val="18"/>
              </w:rPr>
            </w:pPr>
            <w:r w:rsidRPr="004C78D8">
              <w:rPr>
                <w:sz w:val="18"/>
                <w:szCs w:val="18"/>
              </w:rPr>
              <w:t>RC reactive pathway only</w:t>
            </w:r>
          </w:p>
        </w:tc>
        <w:tc>
          <w:tcPr>
            <w:tcW w:w="517" w:type="pct"/>
            <w:tcBorders>
              <w:top w:val="nil"/>
              <w:left w:val="nil"/>
              <w:bottom w:val="nil"/>
              <w:right w:val="single" w:sz="4" w:space="0" w:color="auto"/>
            </w:tcBorders>
            <w:shd w:val="clear" w:color="auto" w:fill="auto"/>
          </w:tcPr>
          <w:p w14:paraId="6D0EAB00" w14:textId="77777777" w:rsidR="00675188" w:rsidRPr="004C78D8" w:rsidRDefault="00675188" w:rsidP="00FB7C1F">
            <w:pPr>
              <w:jc w:val="left"/>
              <w:rPr>
                <w:rFonts w:cs="Times New Roman"/>
                <w:sz w:val="18"/>
                <w:szCs w:val="18"/>
              </w:rPr>
            </w:pPr>
            <w:r w:rsidRPr="004C78D8">
              <w:rPr>
                <w:rFonts w:cs="Times New Roman"/>
                <w:color w:val="000000"/>
                <w:sz w:val="18"/>
                <w:szCs w:val="18"/>
              </w:rPr>
              <w:t>2,017,000</w:t>
            </w:r>
          </w:p>
        </w:tc>
        <w:tc>
          <w:tcPr>
            <w:tcW w:w="518" w:type="pct"/>
            <w:tcBorders>
              <w:top w:val="nil"/>
              <w:left w:val="single" w:sz="4" w:space="0" w:color="auto"/>
              <w:bottom w:val="nil"/>
              <w:right w:val="single" w:sz="4" w:space="0" w:color="auto"/>
            </w:tcBorders>
            <w:shd w:val="clear" w:color="auto" w:fill="auto"/>
          </w:tcPr>
          <w:p w14:paraId="66C31011" w14:textId="77777777" w:rsidR="00675188" w:rsidRPr="004C78D8" w:rsidRDefault="00675188" w:rsidP="00FB7C1F">
            <w:pPr>
              <w:jc w:val="left"/>
              <w:rPr>
                <w:rFonts w:cs="Times New Roman"/>
                <w:sz w:val="18"/>
                <w:szCs w:val="18"/>
              </w:rPr>
            </w:pPr>
            <w:r w:rsidRPr="004C78D8">
              <w:rPr>
                <w:rFonts w:cs="Times New Roman"/>
                <w:color w:val="000000"/>
                <w:sz w:val="18"/>
                <w:szCs w:val="18"/>
              </w:rPr>
              <w:t>£10,094.94</w:t>
            </w:r>
          </w:p>
        </w:tc>
        <w:tc>
          <w:tcPr>
            <w:tcW w:w="518" w:type="pct"/>
            <w:tcBorders>
              <w:top w:val="nil"/>
              <w:left w:val="single" w:sz="4" w:space="0" w:color="auto"/>
              <w:bottom w:val="nil"/>
              <w:right w:val="single" w:sz="4" w:space="0" w:color="auto"/>
            </w:tcBorders>
          </w:tcPr>
          <w:p w14:paraId="4BBE09DE" w14:textId="2B328129" w:rsidR="00675188" w:rsidRPr="004C78D8" w:rsidRDefault="00675188" w:rsidP="00FB7C1F">
            <w:pPr>
              <w:jc w:val="left"/>
              <w:rPr>
                <w:rFonts w:cs="Times New Roman"/>
                <w:color w:val="000000"/>
                <w:sz w:val="18"/>
                <w:szCs w:val="18"/>
              </w:rPr>
            </w:pPr>
            <w:r w:rsidRPr="004C78D8">
              <w:rPr>
                <w:rFonts w:cs="Times New Roman"/>
                <w:color w:val="000000"/>
                <w:sz w:val="18"/>
                <w:szCs w:val="18"/>
              </w:rPr>
              <w:t>2823</w:t>
            </w:r>
          </w:p>
        </w:tc>
        <w:tc>
          <w:tcPr>
            <w:tcW w:w="518" w:type="pct"/>
            <w:tcBorders>
              <w:top w:val="nil"/>
              <w:left w:val="single" w:sz="4" w:space="0" w:color="auto"/>
              <w:bottom w:val="nil"/>
              <w:right w:val="single" w:sz="4" w:space="0" w:color="auto"/>
            </w:tcBorders>
          </w:tcPr>
          <w:p w14:paraId="5768E0D1" w14:textId="4B91D5D0" w:rsidR="00675188" w:rsidRPr="004C78D8" w:rsidRDefault="00675188" w:rsidP="00FB7C1F">
            <w:pPr>
              <w:jc w:val="left"/>
              <w:rPr>
                <w:rFonts w:cs="Times New Roman"/>
                <w:color w:val="000000"/>
                <w:sz w:val="18"/>
                <w:szCs w:val="18"/>
              </w:rPr>
            </w:pPr>
            <w:r w:rsidRPr="004C78D8">
              <w:rPr>
                <w:rFonts w:cs="Times New Roman"/>
                <w:color w:val="000000"/>
                <w:sz w:val="18"/>
                <w:szCs w:val="18"/>
              </w:rPr>
              <w:t>£5,468,709</w:t>
            </w:r>
          </w:p>
        </w:tc>
        <w:tc>
          <w:tcPr>
            <w:tcW w:w="518" w:type="pct"/>
            <w:tcBorders>
              <w:top w:val="nil"/>
              <w:left w:val="single" w:sz="4" w:space="0" w:color="auto"/>
              <w:bottom w:val="nil"/>
              <w:right w:val="single" w:sz="4" w:space="0" w:color="auto"/>
            </w:tcBorders>
            <w:shd w:val="clear" w:color="auto" w:fill="auto"/>
          </w:tcPr>
          <w:p w14:paraId="644C39C2" w14:textId="5A570508" w:rsidR="00675188" w:rsidRPr="004C78D8" w:rsidRDefault="00675188" w:rsidP="00FB7C1F">
            <w:pPr>
              <w:jc w:val="left"/>
              <w:rPr>
                <w:rFonts w:cs="Times New Roman"/>
                <w:sz w:val="18"/>
                <w:szCs w:val="18"/>
              </w:rPr>
            </w:pPr>
            <w:r w:rsidRPr="004C78D8">
              <w:rPr>
                <w:rFonts w:cs="Times New Roman"/>
                <w:color w:val="000000"/>
                <w:sz w:val="18"/>
                <w:szCs w:val="18"/>
              </w:rPr>
              <w:t>£1,937</w:t>
            </w:r>
          </w:p>
        </w:tc>
        <w:tc>
          <w:tcPr>
            <w:tcW w:w="518" w:type="pct"/>
            <w:tcBorders>
              <w:top w:val="nil"/>
              <w:left w:val="single" w:sz="4" w:space="0" w:color="auto"/>
              <w:bottom w:val="nil"/>
              <w:right w:val="single" w:sz="4" w:space="0" w:color="auto"/>
            </w:tcBorders>
          </w:tcPr>
          <w:p w14:paraId="5B50C2A8" w14:textId="77777777" w:rsidR="00675188" w:rsidRPr="004C78D8" w:rsidRDefault="00675188" w:rsidP="00FB7C1F">
            <w:pPr>
              <w:jc w:val="left"/>
              <w:rPr>
                <w:rFonts w:cs="Times New Roman"/>
                <w:color w:val="000000"/>
                <w:sz w:val="18"/>
                <w:szCs w:val="18"/>
              </w:rPr>
            </w:pPr>
            <w:r w:rsidRPr="004C78D8">
              <w:rPr>
                <w:rFonts w:cs="Times New Roman"/>
                <w:color w:val="000000"/>
                <w:sz w:val="18"/>
                <w:szCs w:val="18"/>
              </w:rPr>
              <w:t>£2,182</w:t>
            </w:r>
          </w:p>
        </w:tc>
        <w:tc>
          <w:tcPr>
            <w:tcW w:w="518" w:type="pct"/>
            <w:tcBorders>
              <w:top w:val="nil"/>
              <w:left w:val="single" w:sz="4" w:space="0" w:color="auto"/>
              <w:bottom w:val="nil"/>
              <w:right w:val="single" w:sz="4" w:space="0" w:color="auto"/>
            </w:tcBorders>
            <w:shd w:val="clear" w:color="auto" w:fill="auto"/>
          </w:tcPr>
          <w:p w14:paraId="4448988C" w14:textId="77777777" w:rsidR="00675188" w:rsidRPr="004C78D8" w:rsidRDefault="00675188" w:rsidP="00FB7C1F">
            <w:pPr>
              <w:jc w:val="left"/>
              <w:rPr>
                <w:rFonts w:cs="Times New Roman"/>
                <w:sz w:val="18"/>
                <w:szCs w:val="18"/>
              </w:rPr>
            </w:pPr>
            <w:r w:rsidRPr="004C78D8">
              <w:rPr>
                <w:rFonts w:cs="Times New Roman"/>
                <w:color w:val="000000"/>
                <w:sz w:val="18"/>
                <w:szCs w:val="18"/>
              </w:rPr>
              <w:t>£79,222,621</w:t>
            </w:r>
          </w:p>
        </w:tc>
      </w:tr>
      <w:tr w:rsidR="00675188" w:rsidRPr="004C78D8" w14:paraId="2D2F0FCB" w14:textId="77777777" w:rsidTr="00E35893">
        <w:tc>
          <w:tcPr>
            <w:tcW w:w="209" w:type="pct"/>
            <w:tcBorders>
              <w:top w:val="nil"/>
              <w:bottom w:val="nil"/>
            </w:tcBorders>
          </w:tcPr>
          <w:p w14:paraId="1A32146A" w14:textId="77777777" w:rsidR="00675188" w:rsidRPr="004C78D8" w:rsidRDefault="00675188" w:rsidP="00FB7C1F">
            <w:pPr>
              <w:jc w:val="left"/>
              <w:rPr>
                <w:sz w:val="18"/>
                <w:szCs w:val="18"/>
              </w:rPr>
            </w:pPr>
            <w:r w:rsidRPr="004C78D8">
              <w:rPr>
                <w:sz w:val="18"/>
                <w:szCs w:val="18"/>
              </w:rPr>
              <w:t>[3]</w:t>
            </w:r>
          </w:p>
        </w:tc>
        <w:tc>
          <w:tcPr>
            <w:tcW w:w="1168" w:type="pct"/>
            <w:tcBorders>
              <w:top w:val="nil"/>
              <w:bottom w:val="nil"/>
            </w:tcBorders>
          </w:tcPr>
          <w:p w14:paraId="0E45F808" w14:textId="77777777" w:rsidR="00675188" w:rsidRPr="004C78D8" w:rsidRDefault="00675188" w:rsidP="00FB7C1F">
            <w:pPr>
              <w:jc w:val="left"/>
              <w:rPr>
                <w:sz w:val="18"/>
                <w:szCs w:val="18"/>
              </w:rPr>
            </w:pPr>
            <w:r w:rsidRPr="004C78D8">
              <w:rPr>
                <w:sz w:val="18"/>
                <w:szCs w:val="18"/>
              </w:rPr>
              <w:t>UC + universal PA promotion</w:t>
            </w:r>
          </w:p>
        </w:tc>
        <w:tc>
          <w:tcPr>
            <w:tcW w:w="517" w:type="pct"/>
            <w:tcBorders>
              <w:top w:val="nil"/>
              <w:left w:val="nil"/>
              <w:bottom w:val="nil"/>
              <w:right w:val="single" w:sz="4" w:space="0" w:color="auto"/>
            </w:tcBorders>
            <w:shd w:val="clear" w:color="auto" w:fill="auto"/>
          </w:tcPr>
          <w:p w14:paraId="2D49165C" w14:textId="77777777" w:rsidR="00675188" w:rsidRPr="004C78D8" w:rsidRDefault="00675188" w:rsidP="00FB7C1F">
            <w:pPr>
              <w:jc w:val="left"/>
              <w:rPr>
                <w:rFonts w:cs="Times New Roman"/>
                <w:sz w:val="18"/>
                <w:szCs w:val="18"/>
              </w:rPr>
            </w:pPr>
            <w:r w:rsidRPr="004C78D8">
              <w:rPr>
                <w:rFonts w:cs="Times New Roman"/>
                <w:color w:val="000000"/>
                <w:sz w:val="18"/>
                <w:szCs w:val="18"/>
              </w:rPr>
              <w:t>2,017,365</w:t>
            </w:r>
          </w:p>
        </w:tc>
        <w:tc>
          <w:tcPr>
            <w:tcW w:w="518" w:type="pct"/>
            <w:tcBorders>
              <w:top w:val="nil"/>
              <w:left w:val="single" w:sz="4" w:space="0" w:color="auto"/>
              <w:bottom w:val="nil"/>
              <w:right w:val="single" w:sz="4" w:space="0" w:color="auto"/>
            </w:tcBorders>
            <w:shd w:val="clear" w:color="auto" w:fill="auto"/>
          </w:tcPr>
          <w:p w14:paraId="67EB9DE3" w14:textId="77777777" w:rsidR="00675188" w:rsidRPr="004C78D8" w:rsidRDefault="00675188" w:rsidP="00FB7C1F">
            <w:pPr>
              <w:jc w:val="left"/>
              <w:rPr>
                <w:rFonts w:cs="Times New Roman"/>
                <w:sz w:val="18"/>
                <w:szCs w:val="18"/>
              </w:rPr>
            </w:pPr>
            <w:r w:rsidRPr="004C78D8">
              <w:rPr>
                <w:rFonts w:cs="Times New Roman"/>
                <w:color w:val="000000"/>
                <w:sz w:val="18"/>
                <w:szCs w:val="18"/>
              </w:rPr>
              <w:t>£10,096.20</w:t>
            </w:r>
          </w:p>
        </w:tc>
        <w:tc>
          <w:tcPr>
            <w:tcW w:w="518" w:type="pct"/>
            <w:tcBorders>
              <w:top w:val="nil"/>
              <w:left w:val="single" w:sz="4" w:space="0" w:color="auto"/>
              <w:bottom w:val="nil"/>
              <w:right w:val="single" w:sz="4" w:space="0" w:color="auto"/>
            </w:tcBorders>
          </w:tcPr>
          <w:p w14:paraId="52985CC4" w14:textId="34C47730" w:rsidR="00675188" w:rsidRPr="004C78D8" w:rsidRDefault="00675188" w:rsidP="00FB7C1F">
            <w:pPr>
              <w:jc w:val="left"/>
              <w:rPr>
                <w:rFonts w:cs="Times New Roman"/>
                <w:color w:val="000000"/>
                <w:sz w:val="18"/>
                <w:szCs w:val="18"/>
              </w:rPr>
            </w:pPr>
            <w:r w:rsidRPr="004C78D8">
              <w:rPr>
                <w:rFonts w:cs="Times New Roman"/>
                <w:color w:val="000000"/>
                <w:sz w:val="18"/>
                <w:szCs w:val="18"/>
              </w:rPr>
              <w:t>3188</w:t>
            </w:r>
          </w:p>
        </w:tc>
        <w:tc>
          <w:tcPr>
            <w:tcW w:w="518" w:type="pct"/>
            <w:tcBorders>
              <w:top w:val="nil"/>
              <w:left w:val="single" w:sz="4" w:space="0" w:color="auto"/>
              <w:bottom w:val="nil"/>
              <w:right w:val="single" w:sz="4" w:space="0" w:color="auto"/>
            </w:tcBorders>
          </w:tcPr>
          <w:p w14:paraId="38A8A05B" w14:textId="701D321E" w:rsidR="00675188" w:rsidRPr="004C78D8" w:rsidRDefault="00675188" w:rsidP="00FB7C1F">
            <w:pPr>
              <w:jc w:val="left"/>
              <w:rPr>
                <w:rFonts w:cs="Times New Roman"/>
                <w:color w:val="000000"/>
                <w:sz w:val="18"/>
                <w:szCs w:val="18"/>
              </w:rPr>
            </w:pPr>
            <w:r w:rsidRPr="004C78D8">
              <w:rPr>
                <w:rFonts w:cs="Times New Roman"/>
                <w:color w:val="000000"/>
                <w:sz w:val="18"/>
                <w:szCs w:val="18"/>
              </w:rPr>
              <w:t>£6,725,948</w:t>
            </w:r>
          </w:p>
        </w:tc>
        <w:tc>
          <w:tcPr>
            <w:tcW w:w="518" w:type="pct"/>
            <w:tcBorders>
              <w:top w:val="nil"/>
              <w:left w:val="single" w:sz="4" w:space="0" w:color="auto"/>
              <w:bottom w:val="nil"/>
              <w:right w:val="single" w:sz="4" w:space="0" w:color="auto"/>
            </w:tcBorders>
            <w:shd w:val="clear" w:color="auto" w:fill="auto"/>
          </w:tcPr>
          <w:p w14:paraId="5514FED5" w14:textId="6D8594C1" w:rsidR="00675188" w:rsidRPr="004C78D8" w:rsidRDefault="00675188" w:rsidP="00FB7C1F">
            <w:pPr>
              <w:jc w:val="left"/>
              <w:rPr>
                <w:rFonts w:cs="Times New Roman"/>
                <w:sz w:val="18"/>
                <w:szCs w:val="18"/>
              </w:rPr>
            </w:pPr>
            <w:r w:rsidRPr="004C78D8">
              <w:rPr>
                <w:rFonts w:cs="Times New Roman"/>
                <w:color w:val="000000"/>
                <w:sz w:val="18"/>
                <w:szCs w:val="18"/>
              </w:rPr>
              <w:t>£2,110</w:t>
            </w:r>
          </w:p>
        </w:tc>
        <w:tc>
          <w:tcPr>
            <w:tcW w:w="518" w:type="pct"/>
            <w:tcBorders>
              <w:top w:val="nil"/>
              <w:left w:val="single" w:sz="4" w:space="0" w:color="auto"/>
              <w:bottom w:val="nil"/>
              <w:right w:val="single" w:sz="4" w:space="0" w:color="auto"/>
            </w:tcBorders>
          </w:tcPr>
          <w:p w14:paraId="21810467" w14:textId="77777777" w:rsidR="00675188" w:rsidRPr="004C78D8" w:rsidRDefault="00675188" w:rsidP="00FB7C1F">
            <w:pPr>
              <w:jc w:val="left"/>
              <w:rPr>
                <w:rFonts w:cs="Times New Roman"/>
                <w:color w:val="000000"/>
                <w:sz w:val="18"/>
                <w:szCs w:val="18"/>
              </w:rPr>
            </w:pPr>
            <w:r w:rsidRPr="004C78D8">
              <w:rPr>
                <w:rFonts w:cs="Times New Roman"/>
                <w:color w:val="000000"/>
                <w:sz w:val="18"/>
                <w:szCs w:val="18"/>
              </w:rPr>
              <w:t>£3,445</w:t>
            </w:r>
          </w:p>
        </w:tc>
        <w:tc>
          <w:tcPr>
            <w:tcW w:w="518" w:type="pct"/>
            <w:tcBorders>
              <w:top w:val="nil"/>
              <w:left w:val="single" w:sz="4" w:space="0" w:color="auto"/>
              <w:bottom w:val="nil"/>
              <w:right w:val="single" w:sz="4" w:space="0" w:color="auto"/>
            </w:tcBorders>
            <w:shd w:val="clear" w:color="auto" w:fill="auto"/>
          </w:tcPr>
          <w:p w14:paraId="6D92A0C8" w14:textId="77777777" w:rsidR="00675188" w:rsidRPr="004C78D8" w:rsidRDefault="00675188" w:rsidP="00FB7C1F">
            <w:pPr>
              <w:jc w:val="left"/>
              <w:rPr>
                <w:rFonts w:cs="Times New Roman"/>
                <w:sz w:val="18"/>
                <w:szCs w:val="18"/>
              </w:rPr>
            </w:pPr>
            <w:r w:rsidRPr="004C78D8">
              <w:rPr>
                <w:rFonts w:cs="Times New Roman"/>
                <w:color w:val="000000"/>
                <w:sz w:val="18"/>
                <w:szCs w:val="18"/>
              </w:rPr>
              <w:t>£88,912,151</w:t>
            </w:r>
          </w:p>
        </w:tc>
      </w:tr>
      <w:tr w:rsidR="00675188" w:rsidRPr="004C78D8" w14:paraId="66767A8C" w14:textId="77777777" w:rsidTr="00E35893">
        <w:tc>
          <w:tcPr>
            <w:tcW w:w="209" w:type="pct"/>
            <w:tcBorders>
              <w:top w:val="nil"/>
              <w:bottom w:val="nil"/>
            </w:tcBorders>
            <w:shd w:val="clear" w:color="auto" w:fill="D9D9D9" w:themeFill="background1" w:themeFillShade="D9"/>
          </w:tcPr>
          <w:p w14:paraId="017DB165" w14:textId="77777777" w:rsidR="00675188" w:rsidRPr="004C78D8" w:rsidRDefault="00675188" w:rsidP="00FB7C1F">
            <w:pPr>
              <w:jc w:val="left"/>
              <w:rPr>
                <w:sz w:val="18"/>
                <w:szCs w:val="18"/>
              </w:rPr>
            </w:pPr>
            <w:r w:rsidRPr="004C78D8">
              <w:rPr>
                <w:sz w:val="18"/>
                <w:szCs w:val="18"/>
              </w:rPr>
              <w:t>[4]</w:t>
            </w:r>
          </w:p>
        </w:tc>
        <w:tc>
          <w:tcPr>
            <w:tcW w:w="1168" w:type="pct"/>
            <w:tcBorders>
              <w:top w:val="nil"/>
              <w:bottom w:val="nil"/>
            </w:tcBorders>
            <w:shd w:val="clear" w:color="auto" w:fill="D9D9D9" w:themeFill="background1" w:themeFillShade="D9"/>
          </w:tcPr>
          <w:p w14:paraId="4E0B3094" w14:textId="2A371701" w:rsidR="00675188" w:rsidRPr="004C78D8" w:rsidRDefault="00675188" w:rsidP="00FB7C1F">
            <w:pPr>
              <w:jc w:val="left"/>
              <w:rPr>
                <w:sz w:val="18"/>
                <w:szCs w:val="18"/>
              </w:rPr>
            </w:pPr>
            <w:r w:rsidRPr="004C78D8">
              <w:rPr>
                <w:sz w:val="18"/>
                <w:szCs w:val="18"/>
              </w:rPr>
              <w:t>RC SR pathway only</w:t>
            </w:r>
            <w:r w:rsidR="00BB3A00" w:rsidRPr="004C78D8">
              <w:rPr>
                <w:sz w:val="18"/>
                <w:szCs w:val="18"/>
                <w:vertAlign w:val="superscript"/>
              </w:rPr>
              <w:t>3</w:t>
            </w:r>
          </w:p>
        </w:tc>
        <w:tc>
          <w:tcPr>
            <w:tcW w:w="517" w:type="pct"/>
            <w:tcBorders>
              <w:top w:val="nil"/>
              <w:left w:val="nil"/>
              <w:bottom w:val="nil"/>
              <w:right w:val="single" w:sz="4" w:space="0" w:color="auto"/>
            </w:tcBorders>
            <w:shd w:val="clear" w:color="auto" w:fill="D9D9D9" w:themeFill="background1" w:themeFillShade="D9"/>
          </w:tcPr>
          <w:p w14:paraId="1E538326" w14:textId="77777777" w:rsidR="00675188" w:rsidRPr="004C78D8" w:rsidRDefault="00675188" w:rsidP="00FB7C1F">
            <w:pPr>
              <w:jc w:val="left"/>
              <w:rPr>
                <w:rFonts w:cs="Times New Roman"/>
                <w:sz w:val="18"/>
                <w:szCs w:val="18"/>
              </w:rPr>
            </w:pPr>
            <w:r w:rsidRPr="004C78D8">
              <w:rPr>
                <w:rFonts w:cs="Times New Roman"/>
                <w:color w:val="000000"/>
                <w:sz w:val="18"/>
                <w:szCs w:val="18"/>
              </w:rPr>
              <w:t>2,024,314</w:t>
            </w:r>
          </w:p>
        </w:tc>
        <w:tc>
          <w:tcPr>
            <w:tcW w:w="518" w:type="pct"/>
            <w:tcBorders>
              <w:top w:val="nil"/>
              <w:left w:val="single" w:sz="4" w:space="0" w:color="auto"/>
              <w:bottom w:val="nil"/>
              <w:right w:val="single" w:sz="4" w:space="0" w:color="auto"/>
            </w:tcBorders>
            <w:shd w:val="clear" w:color="auto" w:fill="D9D9D9" w:themeFill="background1" w:themeFillShade="D9"/>
          </w:tcPr>
          <w:p w14:paraId="04DAFE88" w14:textId="77777777" w:rsidR="00675188" w:rsidRPr="004C78D8" w:rsidRDefault="00675188" w:rsidP="00FB7C1F">
            <w:pPr>
              <w:jc w:val="left"/>
              <w:rPr>
                <w:rFonts w:cs="Times New Roman"/>
                <w:sz w:val="18"/>
                <w:szCs w:val="18"/>
              </w:rPr>
            </w:pPr>
            <w:r w:rsidRPr="004C78D8">
              <w:rPr>
                <w:rFonts w:cs="Times New Roman"/>
                <w:color w:val="000000"/>
                <w:sz w:val="18"/>
                <w:szCs w:val="18"/>
              </w:rPr>
              <w:t>£10,138.32</w:t>
            </w:r>
          </w:p>
        </w:tc>
        <w:tc>
          <w:tcPr>
            <w:tcW w:w="518" w:type="pct"/>
            <w:tcBorders>
              <w:top w:val="nil"/>
              <w:left w:val="single" w:sz="4" w:space="0" w:color="auto"/>
              <w:bottom w:val="nil"/>
              <w:right w:val="single" w:sz="4" w:space="0" w:color="auto"/>
            </w:tcBorders>
            <w:shd w:val="clear" w:color="auto" w:fill="D9D9D9" w:themeFill="background1" w:themeFillShade="D9"/>
          </w:tcPr>
          <w:p w14:paraId="395012AF" w14:textId="2B18A641" w:rsidR="00675188" w:rsidRPr="004C78D8" w:rsidRDefault="00675188" w:rsidP="00FB7C1F">
            <w:pPr>
              <w:jc w:val="left"/>
              <w:rPr>
                <w:rFonts w:cs="Times New Roman"/>
                <w:color w:val="000000"/>
                <w:sz w:val="18"/>
                <w:szCs w:val="18"/>
              </w:rPr>
            </w:pPr>
            <w:r w:rsidRPr="004C78D8">
              <w:rPr>
                <w:rFonts w:cs="Times New Roman"/>
                <w:color w:val="000000"/>
                <w:sz w:val="18"/>
                <w:szCs w:val="18"/>
              </w:rPr>
              <w:t>10137</w:t>
            </w:r>
          </w:p>
        </w:tc>
        <w:tc>
          <w:tcPr>
            <w:tcW w:w="518" w:type="pct"/>
            <w:tcBorders>
              <w:top w:val="nil"/>
              <w:left w:val="single" w:sz="4" w:space="0" w:color="auto"/>
              <w:bottom w:val="nil"/>
              <w:right w:val="single" w:sz="4" w:space="0" w:color="auto"/>
            </w:tcBorders>
            <w:shd w:val="clear" w:color="auto" w:fill="D9D9D9" w:themeFill="background1" w:themeFillShade="D9"/>
          </w:tcPr>
          <w:p w14:paraId="3D516E81" w14:textId="6BAEE11B" w:rsidR="00675188" w:rsidRPr="004C78D8" w:rsidRDefault="00675188" w:rsidP="00FB7C1F">
            <w:pPr>
              <w:jc w:val="left"/>
              <w:rPr>
                <w:rFonts w:cs="Times New Roman"/>
                <w:color w:val="000000"/>
                <w:sz w:val="18"/>
                <w:szCs w:val="18"/>
              </w:rPr>
            </w:pPr>
            <w:r w:rsidRPr="004C78D8">
              <w:rPr>
                <w:rFonts w:cs="Times New Roman"/>
                <w:color w:val="000000"/>
                <w:sz w:val="18"/>
                <w:szCs w:val="18"/>
              </w:rPr>
              <w:t>£48,844,062</w:t>
            </w:r>
          </w:p>
        </w:tc>
        <w:tc>
          <w:tcPr>
            <w:tcW w:w="518" w:type="pct"/>
            <w:tcBorders>
              <w:top w:val="nil"/>
              <w:left w:val="single" w:sz="4" w:space="0" w:color="auto"/>
              <w:bottom w:val="nil"/>
              <w:right w:val="single" w:sz="4" w:space="0" w:color="auto"/>
            </w:tcBorders>
            <w:shd w:val="clear" w:color="auto" w:fill="D9D9D9" w:themeFill="background1" w:themeFillShade="D9"/>
          </w:tcPr>
          <w:p w14:paraId="606363F2" w14:textId="381CA0CB" w:rsidR="00675188" w:rsidRPr="004C78D8" w:rsidRDefault="00675188" w:rsidP="00FB7C1F">
            <w:pPr>
              <w:jc w:val="left"/>
              <w:rPr>
                <w:rFonts w:cs="Times New Roman"/>
                <w:sz w:val="18"/>
                <w:szCs w:val="18"/>
              </w:rPr>
            </w:pPr>
            <w:r w:rsidRPr="004C78D8">
              <w:rPr>
                <w:rFonts w:cs="Times New Roman"/>
                <w:color w:val="000000"/>
                <w:sz w:val="18"/>
                <w:szCs w:val="18"/>
              </w:rPr>
              <w:t>£4,818</w:t>
            </w:r>
          </w:p>
        </w:tc>
        <w:tc>
          <w:tcPr>
            <w:tcW w:w="518" w:type="pct"/>
            <w:tcBorders>
              <w:top w:val="nil"/>
              <w:left w:val="single" w:sz="4" w:space="0" w:color="auto"/>
              <w:bottom w:val="nil"/>
              <w:right w:val="single" w:sz="4" w:space="0" w:color="auto"/>
            </w:tcBorders>
            <w:shd w:val="clear" w:color="auto" w:fill="D9D9D9" w:themeFill="background1" w:themeFillShade="D9"/>
          </w:tcPr>
          <w:p w14:paraId="5FFE3220" w14:textId="77777777" w:rsidR="00675188" w:rsidRPr="004C78D8" w:rsidRDefault="00675188" w:rsidP="00FB7C1F">
            <w:pPr>
              <w:jc w:val="left"/>
              <w:rPr>
                <w:rFonts w:cs="Times New Roman"/>
                <w:color w:val="000000"/>
                <w:sz w:val="18"/>
                <w:szCs w:val="18"/>
              </w:rPr>
            </w:pPr>
          </w:p>
        </w:tc>
        <w:tc>
          <w:tcPr>
            <w:tcW w:w="518" w:type="pct"/>
            <w:tcBorders>
              <w:top w:val="nil"/>
              <w:left w:val="single" w:sz="4" w:space="0" w:color="auto"/>
              <w:bottom w:val="nil"/>
              <w:right w:val="single" w:sz="4" w:space="0" w:color="auto"/>
            </w:tcBorders>
            <w:shd w:val="clear" w:color="auto" w:fill="D9D9D9" w:themeFill="background1" w:themeFillShade="D9"/>
          </w:tcPr>
          <w:p w14:paraId="35D5CF17" w14:textId="77777777" w:rsidR="00675188" w:rsidRPr="004C78D8" w:rsidRDefault="00675188" w:rsidP="00FB7C1F">
            <w:pPr>
              <w:jc w:val="left"/>
              <w:rPr>
                <w:rFonts w:cs="Times New Roman"/>
                <w:sz w:val="18"/>
                <w:szCs w:val="18"/>
              </w:rPr>
            </w:pPr>
            <w:r w:rsidRPr="004C78D8">
              <w:rPr>
                <w:rFonts w:cs="Times New Roman"/>
                <w:color w:val="000000"/>
                <w:sz w:val="18"/>
                <w:szCs w:val="18"/>
              </w:rPr>
              <w:t>£255,262,807</w:t>
            </w:r>
          </w:p>
        </w:tc>
      </w:tr>
      <w:tr w:rsidR="00675188" w:rsidRPr="004C78D8" w14:paraId="4706FA24" w14:textId="77777777" w:rsidTr="00E35893">
        <w:tc>
          <w:tcPr>
            <w:tcW w:w="209" w:type="pct"/>
            <w:tcBorders>
              <w:top w:val="nil"/>
              <w:bottom w:val="nil"/>
            </w:tcBorders>
            <w:shd w:val="clear" w:color="auto" w:fill="A6A6A6" w:themeFill="background1" w:themeFillShade="A6"/>
          </w:tcPr>
          <w:p w14:paraId="6A483ADA" w14:textId="77777777" w:rsidR="00675188" w:rsidRPr="004C78D8" w:rsidRDefault="00675188" w:rsidP="00FB7C1F">
            <w:pPr>
              <w:jc w:val="left"/>
              <w:rPr>
                <w:sz w:val="18"/>
                <w:szCs w:val="18"/>
              </w:rPr>
            </w:pPr>
            <w:r w:rsidRPr="004C78D8">
              <w:rPr>
                <w:sz w:val="18"/>
                <w:szCs w:val="18"/>
              </w:rPr>
              <w:t>[5]</w:t>
            </w:r>
          </w:p>
        </w:tc>
        <w:tc>
          <w:tcPr>
            <w:tcW w:w="1168" w:type="pct"/>
            <w:tcBorders>
              <w:top w:val="nil"/>
              <w:bottom w:val="nil"/>
            </w:tcBorders>
            <w:shd w:val="clear" w:color="auto" w:fill="A6A6A6" w:themeFill="background1" w:themeFillShade="A6"/>
          </w:tcPr>
          <w:p w14:paraId="7006AFE8" w14:textId="77777777" w:rsidR="00675188" w:rsidRPr="004C78D8" w:rsidRDefault="00675188" w:rsidP="00FB7C1F">
            <w:pPr>
              <w:jc w:val="left"/>
              <w:rPr>
                <w:sz w:val="18"/>
                <w:szCs w:val="18"/>
              </w:rPr>
            </w:pPr>
            <w:r w:rsidRPr="004C78D8">
              <w:rPr>
                <w:sz w:val="18"/>
                <w:szCs w:val="18"/>
              </w:rPr>
              <w:t>UC + 3</w:t>
            </w:r>
            <w:r w:rsidRPr="004C78D8">
              <w:rPr>
                <w:sz w:val="18"/>
                <w:szCs w:val="18"/>
                <w:vertAlign w:val="superscript"/>
              </w:rPr>
              <w:t>rd</w:t>
            </w:r>
            <w:r w:rsidRPr="004C78D8">
              <w:rPr>
                <w:sz w:val="18"/>
                <w:szCs w:val="18"/>
              </w:rPr>
              <w:t>/4</w:t>
            </w:r>
            <w:r w:rsidRPr="004C78D8">
              <w:rPr>
                <w:sz w:val="18"/>
                <w:szCs w:val="18"/>
                <w:vertAlign w:val="superscript"/>
              </w:rPr>
              <w:t>th</w:t>
            </w:r>
            <w:r w:rsidRPr="004C78D8">
              <w:rPr>
                <w:sz w:val="18"/>
                <w:szCs w:val="18"/>
              </w:rPr>
              <w:t xml:space="preserve"> SES FH removal</w:t>
            </w:r>
          </w:p>
        </w:tc>
        <w:tc>
          <w:tcPr>
            <w:tcW w:w="517" w:type="pct"/>
            <w:tcBorders>
              <w:top w:val="nil"/>
              <w:left w:val="nil"/>
              <w:bottom w:val="nil"/>
              <w:right w:val="single" w:sz="4" w:space="0" w:color="auto"/>
            </w:tcBorders>
            <w:shd w:val="clear" w:color="auto" w:fill="A6A6A6" w:themeFill="background1" w:themeFillShade="A6"/>
          </w:tcPr>
          <w:p w14:paraId="4B975B01" w14:textId="77777777" w:rsidR="00675188" w:rsidRPr="004C78D8" w:rsidRDefault="00675188" w:rsidP="00FB7C1F">
            <w:pPr>
              <w:jc w:val="left"/>
              <w:rPr>
                <w:rFonts w:cs="Times New Roman"/>
                <w:sz w:val="18"/>
                <w:szCs w:val="18"/>
              </w:rPr>
            </w:pPr>
            <w:r w:rsidRPr="004C78D8">
              <w:rPr>
                <w:rFonts w:cs="Times New Roman"/>
                <w:color w:val="000000"/>
                <w:sz w:val="18"/>
                <w:szCs w:val="18"/>
              </w:rPr>
              <w:t>2,020,495</w:t>
            </w:r>
          </w:p>
        </w:tc>
        <w:tc>
          <w:tcPr>
            <w:tcW w:w="518" w:type="pct"/>
            <w:tcBorders>
              <w:top w:val="nil"/>
              <w:left w:val="single" w:sz="4" w:space="0" w:color="auto"/>
              <w:bottom w:val="nil"/>
              <w:right w:val="single" w:sz="4" w:space="0" w:color="auto"/>
            </w:tcBorders>
            <w:shd w:val="clear" w:color="auto" w:fill="A6A6A6" w:themeFill="background1" w:themeFillShade="A6"/>
          </w:tcPr>
          <w:p w14:paraId="088B1BCB" w14:textId="77777777" w:rsidR="00675188" w:rsidRPr="004C78D8" w:rsidRDefault="00675188" w:rsidP="00FB7C1F">
            <w:pPr>
              <w:jc w:val="left"/>
              <w:rPr>
                <w:rFonts w:cs="Times New Roman"/>
                <w:sz w:val="18"/>
                <w:szCs w:val="18"/>
              </w:rPr>
            </w:pPr>
            <w:r w:rsidRPr="004C78D8">
              <w:rPr>
                <w:rFonts w:cs="Times New Roman"/>
                <w:color w:val="000000"/>
                <w:sz w:val="18"/>
                <w:szCs w:val="18"/>
              </w:rPr>
              <w:t>£10,141.53</w:t>
            </w:r>
          </w:p>
        </w:tc>
        <w:tc>
          <w:tcPr>
            <w:tcW w:w="518" w:type="pct"/>
            <w:tcBorders>
              <w:top w:val="nil"/>
              <w:left w:val="single" w:sz="4" w:space="0" w:color="auto"/>
              <w:bottom w:val="nil"/>
              <w:right w:val="single" w:sz="4" w:space="0" w:color="auto"/>
            </w:tcBorders>
            <w:shd w:val="clear" w:color="auto" w:fill="A6A6A6" w:themeFill="background1" w:themeFillShade="A6"/>
          </w:tcPr>
          <w:p w14:paraId="4EB64F49" w14:textId="2EFEAC51" w:rsidR="00675188" w:rsidRPr="004C78D8" w:rsidRDefault="00675188" w:rsidP="00FB7C1F">
            <w:pPr>
              <w:jc w:val="left"/>
              <w:rPr>
                <w:rFonts w:cs="Times New Roman"/>
                <w:color w:val="000000"/>
                <w:sz w:val="18"/>
                <w:szCs w:val="18"/>
              </w:rPr>
            </w:pPr>
            <w:r w:rsidRPr="004C78D8">
              <w:rPr>
                <w:rFonts w:cs="Times New Roman"/>
                <w:color w:val="000000"/>
                <w:sz w:val="18"/>
                <w:szCs w:val="18"/>
              </w:rPr>
              <w:t>6318</w:t>
            </w:r>
          </w:p>
        </w:tc>
        <w:tc>
          <w:tcPr>
            <w:tcW w:w="518" w:type="pct"/>
            <w:tcBorders>
              <w:top w:val="nil"/>
              <w:left w:val="single" w:sz="4" w:space="0" w:color="auto"/>
              <w:bottom w:val="nil"/>
              <w:right w:val="single" w:sz="4" w:space="0" w:color="auto"/>
            </w:tcBorders>
            <w:shd w:val="clear" w:color="auto" w:fill="A6A6A6" w:themeFill="background1" w:themeFillShade="A6"/>
          </w:tcPr>
          <w:p w14:paraId="0E6246A4" w14:textId="7B255B4A" w:rsidR="00675188" w:rsidRPr="004C78D8" w:rsidRDefault="00675188" w:rsidP="00FB7C1F">
            <w:pPr>
              <w:jc w:val="left"/>
              <w:rPr>
                <w:rFonts w:cs="Times New Roman"/>
                <w:color w:val="000000"/>
                <w:sz w:val="18"/>
                <w:szCs w:val="18"/>
              </w:rPr>
            </w:pPr>
            <w:r w:rsidRPr="004C78D8">
              <w:rPr>
                <w:rFonts w:cs="Times New Roman"/>
                <w:color w:val="000000"/>
                <w:sz w:val="18"/>
                <w:szCs w:val="18"/>
              </w:rPr>
              <w:t>£52,059,168</w:t>
            </w:r>
          </w:p>
        </w:tc>
        <w:tc>
          <w:tcPr>
            <w:tcW w:w="518" w:type="pct"/>
            <w:tcBorders>
              <w:top w:val="nil"/>
              <w:left w:val="single" w:sz="4" w:space="0" w:color="auto"/>
              <w:bottom w:val="nil"/>
              <w:right w:val="single" w:sz="4" w:space="0" w:color="auto"/>
            </w:tcBorders>
            <w:shd w:val="clear" w:color="auto" w:fill="A6A6A6" w:themeFill="background1" w:themeFillShade="A6"/>
          </w:tcPr>
          <w:p w14:paraId="5BB5F9D6" w14:textId="78090DC5" w:rsidR="00675188" w:rsidRPr="004C78D8" w:rsidRDefault="00675188" w:rsidP="00FB7C1F">
            <w:pPr>
              <w:jc w:val="left"/>
              <w:rPr>
                <w:rFonts w:cs="Times New Roman"/>
                <w:sz w:val="18"/>
                <w:szCs w:val="18"/>
              </w:rPr>
            </w:pPr>
            <w:r w:rsidRPr="004C78D8">
              <w:rPr>
                <w:rFonts w:cs="Times New Roman"/>
                <w:color w:val="000000"/>
                <w:sz w:val="18"/>
                <w:szCs w:val="18"/>
              </w:rPr>
              <w:t>£8,240</w:t>
            </w:r>
          </w:p>
        </w:tc>
        <w:tc>
          <w:tcPr>
            <w:tcW w:w="518" w:type="pct"/>
            <w:tcBorders>
              <w:top w:val="nil"/>
              <w:left w:val="single" w:sz="4" w:space="0" w:color="auto"/>
              <w:bottom w:val="nil"/>
              <w:right w:val="single" w:sz="4" w:space="0" w:color="auto"/>
            </w:tcBorders>
            <w:shd w:val="clear" w:color="auto" w:fill="A6A6A6" w:themeFill="background1" w:themeFillShade="A6"/>
          </w:tcPr>
          <w:p w14:paraId="6F3E5E55" w14:textId="77777777" w:rsidR="00675188" w:rsidRPr="004C78D8" w:rsidRDefault="00675188" w:rsidP="00FB7C1F">
            <w:pPr>
              <w:jc w:val="left"/>
              <w:rPr>
                <w:rFonts w:cs="Times New Roman"/>
                <w:color w:val="000000"/>
                <w:sz w:val="18"/>
                <w:szCs w:val="18"/>
              </w:rPr>
            </w:pPr>
          </w:p>
        </w:tc>
        <w:tc>
          <w:tcPr>
            <w:tcW w:w="518" w:type="pct"/>
            <w:tcBorders>
              <w:top w:val="nil"/>
              <w:left w:val="single" w:sz="4" w:space="0" w:color="auto"/>
              <w:bottom w:val="nil"/>
              <w:right w:val="single" w:sz="4" w:space="0" w:color="auto"/>
            </w:tcBorders>
            <w:shd w:val="clear" w:color="auto" w:fill="A6A6A6" w:themeFill="background1" w:themeFillShade="A6"/>
          </w:tcPr>
          <w:p w14:paraId="46B5C9AE" w14:textId="77777777" w:rsidR="00675188" w:rsidRPr="004C78D8" w:rsidRDefault="00675188" w:rsidP="00FB7C1F">
            <w:pPr>
              <w:jc w:val="left"/>
              <w:rPr>
                <w:rFonts w:cs="Times New Roman"/>
                <w:sz w:val="18"/>
                <w:szCs w:val="18"/>
              </w:rPr>
            </w:pPr>
            <w:r w:rsidRPr="004C78D8">
              <w:rPr>
                <w:rFonts w:cs="Times New Roman"/>
                <w:color w:val="000000"/>
                <w:sz w:val="18"/>
                <w:szCs w:val="18"/>
              </w:rPr>
              <w:t>£137,477,404</w:t>
            </w:r>
          </w:p>
        </w:tc>
      </w:tr>
      <w:tr w:rsidR="00675188" w:rsidRPr="004C78D8" w14:paraId="3EC02BAC" w14:textId="77777777" w:rsidTr="00E35893">
        <w:tc>
          <w:tcPr>
            <w:tcW w:w="209" w:type="pct"/>
            <w:tcBorders>
              <w:top w:val="nil"/>
              <w:bottom w:val="nil"/>
            </w:tcBorders>
          </w:tcPr>
          <w:p w14:paraId="71B7206D" w14:textId="77777777" w:rsidR="00675188" w:rsidRPr="004C78D8" w:rsidRDefault="00675188" w:rsidP="00FB7C1F">
            <w:pPr>
              <w:jc w:val="left"/>
              <w:rPr>
                <w:sz w:val="18"/>
                <w:szCs w:val="18"/>
              </w:rPr>
            </w:pPr>
            <w:r w:rsidRPr="004C78D8">
              <w:rPr>
                <w:sz w:val="18"/>
                <w:szCs w:val="18"/>
              </w:rPr>
              <w:t>[6]</w:t>
            </w:r>
          </w:p>
        </w:tc>
        <w:tc>
          <w:tcPr>
            <w:tcW w:w="1168" w:type="pct"/>
            <w:tcBorders>
              <w:top w:val="nil"/>
              <w:bottom w:val="nil"/>
            </w:tcBorders>
          </w:tcPr>
          <w:p w14:paraId="1963DE46" w14:textId="77777777" w:rsidR="00675188" w:rsidRPr="004C78D8" w:rsidRDefault="00675188" w:rsidP="00FB7C1F">
            <w:pPr>
              <w:jc w:val="left"/>
              <w:rPr>
                <w:sz w:val="18"/>
                <w:szCs w:val="18"/>
              </w:rPr>
            </w:pPr>
            <w:r w:rsidRPr="004C78D8">
              <w:rPr>
                <w:sz w:val="18"/>
                <w:szCs w:val="18"/>
              </w:rPr>
              <w:t>RC reactive &amp; SR pathways</w:t>
            </w:r>
          </w:p>
        </w:tc>
        <w:tc>
          <w:tcPr>
            <w:tcW w:w="517" w:type="pct"/>
            <w:tcBorders>
              <w:top w:val="nil"/>
              <w:left w:val="nil"/>
              <w:bottom w:val="nil"/>
              <w:right w:val="single" w:sz="4" w:space="0" w:color="auto"/>
            </w:tcBorders>
            <w:shd w:val="clear" w:color="auto" w:fill="auto"/>
          </w:tcPr>
          <w:p w14:paraId="2752F3D4" w14:textId="77777777" w:rsidR="00675188" w:rsidRPr="004C78D8" w:rsidRDefault="00675188" w:rsidP="00FB7C1F">
            <w:pPr>
              <w:jc w:val="left"/>
              <w:rPr>
                <w:rFonts w:cs="Times New Roman"/>
                <w:sz w:val="18"/>
                <w:szCs w:val="18"/>
              </w:rPr>
            </w:pPr>
            <w:r w:rsidRPr="004C78D8">
              <w:rPr>
                <w:rFonts w:cs="Times New Roman"/>
                <w:color w:val="000000"/>
                <w:sz w:val="18"/>
                <w:szCs w:val="18"/>
              </w:rPr>
              <w:t>2,026,965</w:t>
            </w:r>
          </w:p>
        </w:tc>
        <w:tc>
          <w:tcPr>
            <w:tcW w:w="518" w:type="pct"/>
            <w:tcBorders>
              <w:top w:val="nil"/>
              <w:left w:val="single" w:sz="4" w:space="0" w:color="auto"/>
              <w:bottom w:val="nil"/>
              <w:right w:val="single" w:sz="4" w:space="0" w:color="auto"/>
            </w:tcBorders>
            <w:shd w:val="clear" w:color="auto" w:fill="auto"/>
          </w:tcPr>
          <w:p w14:paraId="3460E209" w14:textId="77777777" w:rsidR="00675188" w:rsidRPr="004C78D8" w:rsidRDefault="00675188" w:rsidP="00FB7C1F">
            <w:pPr>
              <w:jc w:val="left"/>
              <w:rPr>
                <w:rFonts w:cs="Times New Roman"/>
                <w:sz w:val="18"/>
                <w:szCs w:val="18"/>
              </w:rPr>
            </w:pPr>
            <w:r w:rsidRPr="004C78D8">
              <w:rPr>
                <w:rFonts w:cs="Times New Roman"/>
                <w:color w:val="000000"/>
                <w:sz w:val="18"/>
                <w:szCs w:val="18"/>
              </w:rPr>
              <w:t>£10,144.08</w:t>
            </w:r>
          </w:p>
        </w:tc>
        <w:tc>
          <w:tcPr>
            <w:tcW w:w="518" w:type="pct"/>
            <w:tcBorders>
              <w:top w:val="nil"/>
              <w:left w:val="single" w:sz="4" w:space="0" w:color="auto"/>
              <w:bottom w:val="nil"/>
              <w:right w:val="single" w:sz="4" w:space="0" w:color="auto"/>
            </w:tcBorders>
          </w:tcPr>
          <w:p w14:paraId="515A4248" w14:textId="632C2B1A" w:rsidR="00675188" w:rsidRPr="004C78D8" w:rsidRDefault="00675188" w:rsidP="00FB7C1F">
            <w:pPr>
              <w:jc w:val="left"/>
              <w:rPr>
                <w:rFonts w:cs="Times New Roman"/>
                <w:color w:val="000000"/>
                <w:sz w:val="18"/>
                <w:szCs w:val="18"/>
              </w:rPr>
            </w:pPr>
            <w:r w:rsidRPr="004C78D8">
              <w:rPr>
                <w:rFonts w:cs="Times New Roman"/>
                <w:color w:val="000000"/>
                <w:sz w:val="18"/>
                <w:szCs w:val="18"/>
              </w:rPr>
              <w:t>12788</w:t>
            </w:r>
          </w:p>
        </w:tc>
        <w:tc>
          <w:tcPr>
            <w:tcW w:w="518" w:type="pct"/>
            <w:tcBorders>
              <w:top w:val="nil"/>
              <w:left w:val="single" w:sz="4" w:space="0" w:color="auto"/>
              <w:bottom w:val="nil"/>
              <w:right w:val="single" w:sz="4" w:space="0" w:color="auto"/>
            </w:tcBorders>
          </w:tcPr>
          <w:p w14:paraId="122BB513" w14:textId="307E8326" w:rsidR="00675188" w:rsidRPr="004C78D8" w:rsidRDefault="00675188" w:rsidP="00FB7C1F">
            <w:pPr>
              <w:jc w:val="left"/>
              <w:rPr>
                <w:rFonts w:cs="Times New Roman"/>
                <w:color w:val="000000"/>
                <w:sz w:val="18"/>
                <w:szCs w:val="18"/>
              </w:rPr>
            </w:pPr>
            <w:r w:rsidRPr="004C78D8">
              <w:rPr>
                <w:rFonts w:cs="Times New Roman"/>
                <w:color w:val="000000"/>
                <w:sz w:val="18"/>
                <w:szCs w:val="18"/>
              </w:rPr>
              <w:t>£54,599,917</w:t>
            </w:r>
          </w:p>
        </w:tc>
        <w:tc>
          <w:tcPr>
            <w:tcW w:w="518" w:type="pct"/>
            <w:tcBorders>
              <w:top w:val="nil"/>
              <w:left w:val="single" w:sz="4" w:space="0" w:color="auto"/>
              <w:bottom w:val="nil"/>
              <w:right w:val="single" w:sz="4" w:space="0" w:color="auto"/>
            </w:tcBorders>
            <w:shd w:val="clear" w:color="auto" w:fill="auto"/>
          </w:tcPr>
          <w:p w14:paraId="03CC3AD4" w14:textId="6B3CAFA8" w:rsidR="00675188" w:rsidRPr="004C78D8" w:rsidRDefault="00675188" w:rsidP="00FB7C1F">
            <w:pPr>
              <w:jc w:val="left"/>
              <w:rPr>
                <w:rFonts w:cs="Times New Roman"/>
                <w:sz w:val="18"/>
                <w:szCs w:val="18"/>
              </w:rPr>
            </w:pPr>
            <w:r w:rsidRPr="004C78D8">
              <w:rPr>
                <w:rFonts w:cs="Times New Roman"/>
                <w:color w:val="000000"/>
                <w:sz w:val="18"/>
                <w:szCs w:val="18"/>
              </w:rPr>
              <w:t>£4,270</w:t>
            </w:r>
          </w:p>
        </w:tc>
        <w:tc>
          <w:tcPr>
            <w:tcW w:w="518" w:type="pct"/>
            <w:tcBorders>
              <w:top w:val="nil"/>
              <w:left w:val="single" w:sz="4" w:space="0" w:color="auto"/>
              <w:bottom w:val="nil"/>
              <w:right w:val="single" w:sz="4" w:space="0" w:color="auto"/>
            </w:tcBorders>
          </w:tcPr>
          <w:p w14:paraId="4CF99C66" w14:textId="77777777" w:rsidR="00675188" w:rsidRPr="004C78D8" w:rsidRDefault="00675188" w:rsidP="00FB7C1F">
            <w:pPr>
              <w:jc w:val="left"/>
              <w:rPr>
                <w:rFonts w:cs="Times New Roman"/>
                <w:color w:val="000000"/>
                <w:sz w:val="18"/>
                <w:szCs w:val="18"/>
              </w:rPr>
            </w:pPr>
            <w:r w:rsidRPr="004C78D8">
              <w:rPr>
                <w:rFonts w:cs="Times New Roman"/>
                <w:color w:val="000000"/>
                <w:sz w:val="18"/>
                <w:szCs w:val="18"/>
              </w:rPr>
              <w:t>£4,987</w:t>
            </w:r>
          </w:p>
        </w:tc>
        <w:tc>
          <w:tcPr>
            <w:tcW w:w="518" w:type="pct"/>
            <w:tcBorders>
              <w:top w:val="nil"/>
              <w:left w:val="single" w:sz="4" w:space="0" w:color="auto"/>
              <w:bottom w:val="nil"/>
              <w:right w:val="single" w:sz="4" w:space="0" w:color="auto"/>
            </w:tcBorders>
            <w:shd w:val="clear" w:color="auto" w:fill="auto"/>
          </w:tcPr>
          <w:p w14:paraId="1EF1D68A" w14:textId="77777777" w:rsidR="00675188" w:rsidRPr="004C78D8" w:rsidRDefault="00675188" w:rsidP="00FB7C1F">
            <w:pPr>
              <w:jc w:val="left"/>
              <w:rPr>
                <w:rFonts w:cs="Times New Roman"/>
                <w:sz w:val="18"/>
                <w:szCs w:val="18"/>
              </w:rPr>
            </w:pPr>
            <w:r w:rsidRPr="004C78D8">
              <w:rPr>
                <w:rFonts w:cs="Times New Roman"/>
                <w:color w:val="000000"/>
                <w:sz w:val="18"/>
                <w:szCs w:val="18"/>
              </w:rPr>
              <w:t>£329,027,507</w:t>
            </w:r>
          </w:p>
        </w:tc>
      </w:tr>
      <w:tr w:rsidR="00675188" w:rsidRPr="004C78D8" w14:paraId="4AA0282A" w14:textId="77777777" w:rsidTr="00E35893">
        <w:tc>
          <w:tcPr>
            <w:tcW w:w="209" w:type="pct"/>
            <w:tcBorders>
              <w:top w:val="nil"/>
              <w:bottom w:val="nil"/>
            </w:tcBorders>
            <w:shd w:val="clear" w:color="auto" w:fill="A6A6A6" w:themeFill="background1" w:themeFillShade="A6"/>
          </w:tcPr>
          <w:p w14:paraId="6D584085" w14:textId="77777777" w:rsidR="00675188" w:rsidRPr="004C78D8" w:rsidRDefault="00675188" w:rsidP="00FB7C1F">
            <w:pPr>
              <w:jc w:val="left"/>
              <w:rPr>
                <w:sz w:val="18"/>
                <w:szCs w:val="18"/>
              </w:rPr>
            </w:pPr>
            <w:r w:rsidRPr="004C78D8">
              <w:rPr>
                <w:sz w:val="18"/>
                <w:szCs w:val="18"/>
              </w:rPr>
              <w:t>[7]</w:t>
            </w:r>
          </w:p>
        </w:tc>
        <w:tc>
          <w:tcPr>
            <w:tcW w:w="1168" w:type="pct"/>
            <w:tcBorders>
              <w:top w:val="nil"/>
              <w:bottom w:val="nil"/>
            </w:tcBorders>
            <w:shd w:val="clear" w:color="auto" w:fill="A6A6A6" w:themeFill="background1" w:themeFillShade="A6"/>
          </w:tcPr>
          <w:p w14:paraId="6DB022C1" w14:textId="77777777" w:rsidR="00675188" w:rsidRPr="004C78D8" w:rsidRDefault="00675188" w:rsidP="00FB7C1F">
            <w:pPr>
              <w:jc w:val="left"/>
              <w:rPr>
                <w:sz w:val="18"/>
                <w:szCs w:val="18"/>
              </w:rPr>
            </w:pPr>
            <w:r w:rsidRPr="004C78D8">
              <w:rPr>
                <w:sz w:val="18"/>
                <w:szCs w:val="18"/>
              </w:rPr>
              <w:t>CRC(4) + 3</w:t>
            </w:r>
            <w:r w:rsidRPr="004C78D8">
              <w:rPr>
                <w:sz w:val="18"/>
                <w:szCs w:val="18"/>
                <w:vertAlign w:val="superscript"/>
              </w:rPr>
              <w:t>rd</w:t>
            </w:r>
            <w:r w:rsidRPr="004C78D8">
              <w:rPr>
                <w:sz w:val="18"/>
                <w:szCs w:val="18"/>
              </w:rPr>
              <w:t>/4</w:t>
            </w:r>
            <w:r w:rsidRPr="004C78D8">
              <w:rPr>
                <w:sz w:val="18"/>
                <w:szCs w:val="18"/>
                <w:vertAlign w:val="superscript"/>
              </w:rPr>
              <w:t>th</w:t>
            </w:r>
            <w:r w:rsidRPr="004C78D8">
              <w:rPr>
                <w:sz w:val="18"/>
                <w:szCs w:val="18"/>
              </w:rPr>
              <w:t xml:space="preserve"> SES FRS</w:t>
            </w:r>
          </w:p>
        </w:tc>
        <w:tc>
          <w:tcPr>
            <w:tcW w:w="517" w:type="pct"/>
            <w:tcBorders>
              <w:top w:val="nil"/>
              <w:left w:val="nil"/>
              <w:bottom w:val="nil"/>
              <w:right w:val="single" w:sz="4" w:space="0" w:color="auto"/>
            </w:tcBorders>
            <w:shd w:val="clear" w:color="auto" w:fill="A6A6A6" w:themeFill="background1" w:themeFillShade="A6"/>
          </w:tcPr>
          <w:p w14:paraId="19322A72" w14:textId="77777777" w:rsidR="00675188" w:rsidRPr="004C78D8" w:rsidRDefault="00675188" w:rsidP="00FB7C1F">
            <w:pPr>
              <w:jc w:val="left"/>
              <w:rPr>
                <w:rFonts w:cs="Times New Roman"/>
                <w:sz w:val="18"/>
                <w:szCs w:val="18"/>
              </w:rPr>
            </w:pPr>
            <w:r w:rsidRPr="004C78D8">
              <w:rPr>
                <w:rFonts w:cs="Times New Roman"/>
                <w:color w:val="000000"/>
                <w:sz w:val="18"/>
                <w:szCs w:val="18"/>
              </w:rPr>
              <w:t>2,024,232</w:t>
            </w:r>
          </w:p>
        </w:tc>
        <w:tc>
          <w:tcPr>
            <w:tcW w:w="518" w:type="pct"/>
            <w:tcBorders>
              <w:top w:val="nil"/>
              <w:left w:val="single" w:sz="4" w:space="0" w:color="auto"/>
              <w:bottom w:val="nil"/>
              <w:right w:val="single" w:sz="4" w:space="0" w:color="auto"/>
            </w:tcBorders>
            <w:shd w:val="clear" w:color="auto" w:fill="A6A6A6" w:themeFill="background1" w:themeFillShade="A6"/>
          </w:tcPr>
          <w:p w14:paraId="34931348" w14:textId="77777777" w:rsidR="00675188" w:rsidRPr="004C78D8" w:rsidRDefault="00675188" w:rsidP="00FB7C1F">
            <w:pPr>
              <w:jc w:val="left"/>
              <w:rPr>
                <w:rFonts w:cs="Times New Roman"/>
                <w:sz w:val="18"/>
                <w:szCs w:val="18"/>
              </w:rPr>
            </w:pPr>
            <w:r w:rsidRPr="004C78D8">
              <w:rPr>
                <w:rFonts w:cs="Times New Roman"/>
                <w:color w:val="000000"/>
                <w:sz w:val="18"/>
                <w:szCs w:val="18"/>
              </w:rPr>
              <w:t>£10,165.01</w:t>
            </w:r>
          </w:p>
        </w:tc>
        <w:tc>
          <w:tcPr>
            <w:tcW w:w="518" w:type="pct"/>
            <w:tcBorders>
              <w:top w:val="nil"/>
              <w:left w:val="single" w:sz="4" w:space="0" w:color="auto"/>
              <w:bottom w:val="nil"/>
              <w:right w:val="single" w:sz="4" w:space="0" w:color="auto"/>
            </w:tcBorders>
            <w:shd w:val="clear" w:color="auto" w:fill="A6A6A6" w:themeFill="background1" w:themeFillShade="A6"/>
          </w:tcPr>
          <w:p w14:paraId="385BF13D" w14:textId="007A2891" w:rsidR="00675188" w:rsidRPr="004C78D8" w:rsidRDefault="00675188" w:rsidP="00FB7C1F">
            <w:pPr>
              <w:jc w:val="left"/>
              <w:rPr>
                <w:rFonts w:cs="Times New Roman"/>
                <w:color w:val="000000"/>
                <w:sz w:val="18"/>
                <w:szCs w:val="18"/>
              </w:rPr>
            </w:pPr>
            <w:r w:rsidRPr="004C78D8">
              <w:rPr>
                <w:rFonts w:cs="Times New Roman"/>
                <w:color w:val="000000"/>
                <w:sz w:val="18"/>
                <w:szCs w:val="18"/>
              </w:rPr>
              <w:t>10055</w:t>
            </w:r>
          </w:p>
        </w:tc>
        <w:tc>
          <w:tcPr>
            <w:tcW w:w="518" w:type="pct"/>
            <w:tcBorders>
              <w:top w:val="nil"/>
              <w:left w:val="single" w:sz="4" w:space="0" w:color="auto"/>
              <w:bottom w:val="nil"/>
              <w:right w:val="single" w:sz="4" w:space="0" w:color="auto"/>
            </w:tcBorders>
            <w:shd w:val="clear" w:color="auto" w:fill="A6A6A6" w:themeFill="background1" w:themeFillShade="A6"/>
          </w:tcPr>
          <w:p w14:paraId="50E8E604" w14:textId="6972FB65" w:rsidR="00675188" w:rsidRPr="004C78D8" w:rsidRDefault="00675188" w:rsidP="00FB7C1F">
            <w:pPr>
              <w:jc w:val="left"/>
              <w:rPr>
                <w:rFonts w:cs="Times New Roman"/>
                <w:color w:val="000000"/>
                <w:sz w:val="18"/>
                <w:szCs w:val="18"/>
              </w:rPr>
            </w:pPr>
            <w:r w:rsidRPr="004C78D8">
              <w:rPr>
                <w:rFonts w:cs="Times New Roman"/>
                <w:color w:val="000000"/>
                <w:sz w:val="18"/>
                <w:szCs w:val="18"/>
              </w:rPr>
              <w:t>£75,539,518</w:t>
            </w:r>
          </w:p>
        </w:tc>
        <w:tc>
          <w:tcPr>
            <w:tcW w:w="518" w:type="pct"/>
            <w:tcBorders>
              <w:top w:val="nil"/>
              <w:left w:val="single" w:sz="4" w:space="0" w:color="auto"/>
              <w:bottom w:val="nil"/>
              <w:right w:val="single" w:sz="4" w:space="0" w:color="auto"/>
            </w:tcBorders>
            <w:shd w:val="clear" w:color="auto" w:fill="A6A6A6" w:themeFill="background1" w:themeFillShade="A6"/>
          </w:tcPr>
          <w:p w14:paraId="09579005" w14:textId="31CE42E4" w:rsidR="00675188" w:rsidRPr="004C78D8" w:rsidRDefault="00675188" w:rsidP="00FB7C1F">
            <w:pPr>
              <w:jc w:val="left"/>
              <w:rPr>
                <w:rFonts w:cs="Times New Roman"/>
                <w:sz w:val="18"/>
                <w:szCs w:val="18"/>
              </w:rPr>
            </w:pPr>
            <w:r w:rsidRPr="004C78D8">
              <w:rPr>
                <w:rFonts w:cs="Times New Roman"/>
                <w:color w:val="000000"/>
                <w:sz w:val="18"/>
                <w:szCs w:val="18"/>
              </w:rPr>
              <w:t>£7,513</w:t>
            </w:r>
          </w:p>
        </w:tc>
        <w:tc>
          <w:tcPr>
            <w:tcW w:w="518" w:type="pct"/>
            <w:tcBorders>
              <w:top w:val="nil"/>
              <w:left w:val="single" w:sz="4" w:space="0" w:color="auto"/>
              <w:bottom w:val="nil"/>
              <w:right w:val="single" w:sz="4" w:space="0" w:color="auto"/>
            </w:tcBorders>
            <w:shd w:val="clear" w:color="auto" w:fill="A6A6A6" w:themeFill="background1" w:themeFillShade="A6"/>
          </w:tcPr>
          <w:p w14:paraId="7F3CC1A4" w14:textId="77777777" w:rsidR="00675188" w:rsidRPr="004C78D8" w:rsidRDefault="00675188" w:rsidP="00FB7C1F">
            <w:pPr>
              <w:jc w:val="left"/>
              <w:rPr>
                <w:rFonts w:cs="Times New Roman"/>
                <w:color w:val="000000"/>
                <w:sz w:val="18"/>
                <w:szCs w:val="18"/>
              </w:rPr>
            </w:pPr>
          </w:p>
        </w:tc>
        <w:tc>
          <w:tcPr>
            <w:tcW w:w="518" w:type="pct"/>
            <w:tcBorders>
              <w:top w:val="nil"/>
              <w:left w:val="single" w:sz="4" w:space="0" w:color="auto"/>
              <w:bottom w:val="nil"/>
              <w:right w:val="single" w:sz="4" w:space="0" w:color="auto"/>
            </w:tcBorders>
            <w:shd w:val="clear" w:color="auto" w:fill="A6A6A6" w:themeFill="background1" w:themeFillShade="A6"/>
          </w:tcPr>
          <w:p w14:paraId="58DDA8C3" w14:textId="77777777" w:rsidR="00675188" w:rsidRPr="004C78D8" w:rsidRDefault="00675188" w:rsidP="00FB7C1F">
            <w:pPr>
              <w:jc w:val="left"/>
              <w:rPr>
                <w:rFonts w:cs="Times New Roman"/>
                <w:sz w:val="18"/>
                <w:szCs w:val="18"/>
              </w:rPr>
            </w:pPr>
            <w:r w:rsidRPr="004C78D8">
              <w:rPr>
                <w:rFonts w:cs="Times New Roman"/>
                <w:color w:val="000000"/>
                <w:sz w:val="18"/>
                <w:szCs w:val="18"/>
              </w:rPr>
              <w:t>£226,098,140</w:t>
            </w:r>
          </w:p>
        </w:tc>
      </w:tr>
      <w:tr w:rsidR="00675188" w:rsidRPr="004C78D8" w14:paraId="3C1509BD" w14:textId="77777777" w:rsidTr="00E35893">
        <w:tc>
          <w:tcPr>
            <w:tcW w:w="209" w:type="pct"/>
            <w:tcBorders>
              <w:top w:val="nil"/>
              <w:bottom w:val="nil"/>
            </w:tcBorders>
            <w:shd w:val="clear" w:color="auto" w:fill="A6A6A6" w:themeFill="background1" w:themeFillShade="A6"/>
          </w:tcPr>
          <w:p w14:paraId="7D31BF9A" w14:textId="77777777" w:rsidR="00675188" w:rsidRPr="004C78D8" w:rsidRDefault="00675188" w:rsidP="00FB7C1F">
            <w:pPr>
              <w:jc w:val="left"/>
              <w:rPr>
                <w:sz w:val="18"/>
                <w:szCs w:val="18"/>
              </w:rPr>
            </w:pPr>
            <w:r w:rsidRPr="004C78D8">
              <w:rPr>
                <w:sz w:val="18"/>
                <w:szCs w:val="18"/>
              </w:rPr>
              <w:t>[8]</w:t>
            </w:r>
          </w:p>
        </w:tc>
        <w:tc>
          <w:tcPr>
            <w:tcW w:w="1168" w:type="pct"/>
            <w:tcBorders>
              <w:top w:val="nil"/>
              <w:bottom w:val="nil"/>
            </w:tcBorders>
            <w:shd w:val="clear" w:color="auto" w:fill="A6A6A6" w:themeFill="background1" w:themeFillShade="A6"/>
          </w:tcPr>
          <w:p w14:paraId="789069CF" w14:textId="77777777" w:rsidR="00675188" w:rsidRPr="004C78D8" w:rsidRDefault="00675188" w:rsidP="00FB7C1F">
            <w:pPr>
              <w:jc w:val="left"/>
              <w:rPr>
                <w:sz w:val="18"/>
                <w:szCs w:val="18"/>
              </w:rPr>
            </w:pPr>
            <w:r w:rsidRPr="004C78D8">
              <w:rPr>
                <w:sz w:val="18"/>
                <w:szCs w:val="18"/>
              </w:rPr>
              <w:t>CRC(4): falls risk targeting</w:t>
            </w:r>
          </w:p>
        </w:tc>
        <w:tc>
          <w:tcPr>
            <w:tcW w:w="517" w:type="pct"/>
            <w:tcBorders>
              <w:top w:val="nil"/>
              <w:left w:val="nil"/>
              <w:bottom w:val="nil"/>
              <w:right w:val="single" w:sz="4" w:space="0" w:color="auto"/>
            </w:tcBorders>
            <w:shd w:val="clear" w:color="auto" w:fill="A6A6A6" w:themeFill="background1" w:themeFillShade="A6"/>
          </w:tcPr>
          <w:p w14:paraId="57381592" w14:textId="77777777" w:rsidR="00675188" w:rsidRPr="004C78D8" w:rsidRDefault="00675188" w:rsidP="00FB7C1F">
            <w:pPr>
              <w:jc w:val="left"/>
              <w:rPr>
                <w:rFonts w:cs="Times New Roman"/>
                <w:sz w:val="18"/>
                <w:szCs w:val="18"/>
              </w:rPr>
            </w:pPr>
            <w:r w:rsidRPr="004C78D8">
              <w:rPr>
                <w:rFonts w:cs="Times New Roman"/>
                <w:color w:val="000000"/>
                <w:sz w:val="18"/>
                <w:szCs w:val="18"/>
              </w:rPr>
              <w:t>2,023,891</w:t>
            </w:r>
          </w:p>
        </w:tc>
        <w:tc>
          <w:tcPr>
            <w:tcW w:w="518" w:type="pct"/>
            <w:tcBorders>
              <w:top w:val="nil"/>
              <w:left w:val="single" w:sz="4" w:space="0" w:color="auto"/>
              <w:bottom w:val="nil"/>
              <w:right w:val="single" w:sz="4" w:space="0" w:color="auto"/>
            </w:tcBorders>
            <w:shd w:val="clear" w:color="auto" w:fill="A6A6A6" w:themeFill="background1" w:themeFillShade="A6"/>
          </w:tcPr>
          <w:p w14:paraId="1DA0671F" w14:textId="77777777" w:rsidR="00675188" w:rsidRPr="004C78D8" w:rsidRDefault="00675188" w:rsidP="00FB7C1F">
            <w:pPr>
              <w:jc w:val="left"/>
              <w:rPr>
                <w:rFonts w:cs="Times New Roman"/>
                <w:sz w:val="18"/>
                <w:szCs w:val="18"/>
              </w:rPr>
            </w:pPr>
            <w:r w:rsidRPr="004C78D8">
              <w:rPr>
                <w:rFonts w:cs="Times New Roman"/>
                <w:color w:val="000000"/>
                <w:sz w:val="18"/>
                <w:szCs w:val="18"/>
              </w:rPr>
              <w:t>£10,166.89</w:t>
            </w:r>
          </w:p>
        </w:tc>
        <w:tc>
          <w:tcPr>
            <w:tcW w:w="518" w:type="pct"/>
            <w:tcBorders>
              <w:top w:val="nil"/>
              <w:left w:val="single" w:sz="4" w:space="0" w:color="auto"/>
              <w:bottom w:val="nil"/>
              <w:right w:val="single" w:sz="4" w:space="0" w:color="auto"/>
            </w:tcBorders>
            <w:shd w:val="clear" w:color="auto" w:fill="A6A6A6" w:themeFill="background1" w:themeFillShade="A6"/>
          </w:tcPr>
          <w:p w14:paraId="221B3BDE" w14:textId="7B233EC9" w:rsidR="00675188" w:rsidRPr="004C78D8" w:rsidRDefault="00675188" w:rsidP="00FB7C1F">
            <w:pPr>
              <w:jc w:val="left"/>
              <w:rPr>
                <w:rFonts w:cs="Times New Roman"/>
                <w:color w:val="000000"/>
                <w:sz w:val="18"/>
                <w:szCs w:val="18"/>
              </w:rPr>
            </w:pPr>
            <w:r w:rsidRPr="004C78D8">
              <w:rPr>
                <w:rFonts w:cs="Times New Roman"/>
                <w:color w:val="000000"/>
                <w:sz w:val="18"/>
                <w:szCs w:val="18"/>
              </w:rPr>
              <w:t>9714</w:t>
            </w:r>
          </w:p>
        </w:tc>
        <w:tc>
          <w:tcPr>
            <w:tcW w:w="518" w:type="pct"/>
            <w:tcBorders>
              <w:top w:val="nil"/>
              <w:left w:val="single" w:sz="4" w:space="0" w:color="auto"/>
              <w:bottom w:val="nil"/>
              <w:right w:val="single" w:sz="4" w:space="0" w:color="auto"/>
            </w:tcBorders>
            <w:shd w:val="clear" w:color="auto" w:fill="A6A6A6" w:themeFill="background1" w:themeFillShade="A6"/>
          </w:tcPr>
          <w:p w14:paraId="00DFAA1D" w14:textId="122C9C4F" w:rsidR="00675188" w:rsidRPr="004C78D8" w:rsidRDefault="00675188" w:rsidP="00FB7C1F">
            <w:pPr>
              <w:jc w:val="left"/>
              <w:rPr>
                <w:rFonts w:cs="Times New Roman"/>
                <w:color w:val="000000"/>
                <w:sz w:val="18"/>
                <w:szCs w:val="18"/>
              </w:rPr>
            </w:pPr>
            <w:r w:rsidRPr="004C78D8">
              <w:rPr>
                <w:rFonts w:cs="Times New Roman"/>
                <w:color w:val="000000"/>
                <w:sz w:val="18"/>
                <w:szCs w:val="18"/>
              </w:rPr>
              <w:t>£77,410,272</w:t>
            </w:r>
          </w:p>
        </w:tc>
        <w:tc>
          <w:tcPr>
            <w:tcW w:w="518" w:type="pct"/>
            <w:tcBorders>
              <w:top w:val="nil"/>
              <w:left w:val="single" w:sz="4" w:space="0" w:color="auto"/>
              <w:bottom w:val="nil"/>
              <w:right w:val="single" w:sz="4" w:space="0" w:color="auto"/>
            </w:tcBorders>
            <w:shd w:val="clear" w:color="auto" w:fill="A6A6A6" w:themeFill="background1" w:themeFillShade="A6"/>
          </w:tcPr>
          <w:p w14:paraId="2DA0C503" w14:textId="11CD0258" w:rsidR="00675188" w:rsidRPr="004C78D8" w:rsidRDefault="00675188" w:rsidP="00FB7C1F">
            <w:pPr>
              <w:jc w:val="left"/>
              <w:rPr>
                <w:rFonts w:cs="Times New Roman"/>
                <w:sz w:val="18"/>
                <w:szCs w:val="18"/>
              </w:rPr>
            </w:pPr>
            <w:r w:rsidRPr="004C78D8">
              <w:rPr>
                <w:rFonts w:cs="Times New Roman"/>
                <w:color w:val="000000"/>
                <w:sz w:val="18"/>
                <w:szCs w:val="18"/>
              </w:rPr>
              <w:t>£7,969</w:t>
            </w:r>
          </w:p>
        </w:tc>
        <w:tc>
          <w:tcPr>
            <w:tcW w:w="518" w:type="pct"/>
            <w:tcBorders>
              <w:top w:val="nil"/>
              <w:left w:val="single" w:sz="4" w:space="0" w:color="auto"/>
              <w:bottom w:val="nil"/>
              <w:right w:val="single" w:sz="4" w:space="0" w:color="auto"/>
            </w:tcBorders>
            <w:shd w:val="clear" w:color="auto" w:fill="A6A6A6" w:themeFill="background1" w:themeFillShade="A6"/>
          </w:tcPr>
          <w:p w14:paraId="0BB2D923" w14:textId="77777777" w:rsidR="00675188" w:rsidRPr="004C78D8" w:rsidRDefault="00675188" w:rsidP="00FB7C1F">
            <w:pPr>
              <w:jc w:val="left"/>
              <w:rPr>
                <w:rFonts w:cs="Times New Roman"/>
                <w:color w:val="000000"/>
                <w:sz w:val="18"/>
                <w:szCs w:val="18"/>
              </w:rPr>
            </w:pPr>
          </w:p>
        </w:tc>
        <w:tc>
          <w:tcPr>
            <w:tcW w:w="518" w:type="pct"/>
            <w:tcBorders>
              <w:top w:val="nil"/>
              <w:left w:val="single" w:sz="4" w:space="0" w:color="auto"/>
              <w:bottom w:val="nil"/>
              <w:right w:val="single" w:sz="4" w:space="0" w:color="auto"/>
            </w:tcBorders>
            <w:shd w:val="clear" w:color="auto" w:fill="A6A6A6" w:themeFill="background1" w:themeFillShade="A6"/>
          </w:tcPr>
          <w:p w14:paraId="6740CD68" w14:textId="77777777" w:rsidR="00675188" w:rsidRPr="004C78D8" w:rsidRDefault="00675188" w:rsidP="00FB7C1F">
            <w:pPr>
              <w:jc w:val="left"/>
              <w:rPr>
                <w:rFonts w:cs="Times New Roman"/>
                <w:sz w:val="18"/>
                <w:szCs w:val="18"/>
              </w:rPr>
            </w:pPr>
            <w:r w:rsidRPr="004C78D8">
              <w:rPr>
                <w:rFonts w:cs="Times New Roman"/>
                <w:color w:val="000000"/>
                <w:sz w:val="18"/>
                <w:szCs w:val="18"/>
              </w:rPr>
              <w:t>£214,019,285</w:t>
            </w:r>
          </w:p>
        </w:tc>
      </w:tr>
      <w:tr w:rsidR="00675188" w:rsidRPr="004C78D8" w14:paraId="04BEEA16" w14:textId="77777777" w:rsidTr="00E35893">
        <w:tc>
          <w:tcPr>
            <w:tcW w:w="209" w:type="pct"/>
            <w:tcBorders>
              <w:top w:val="nil"/>
              <w:bottom w:val="nil"/>
            </w:tcBorders>
            <w:shd w:val="clear" w:color="auto" w:fill="A6A6A6" w:themeFill="background1" w:themeFillShade="A6"/>
          </w:tcPr>
          <w:p w14:paraId="0E237446" w14:textId="77777777" w:rsidR="00675188" w:rsidRPr="004C78D8" w:rsidRDefault="00675188" w:rsidP="00FB7C1F">
            <w:pPr>
              <w:jc w:val="left"/>
              <w:rPr>
                <w:sz w:val="18"/>
                <w:szCs w:val="18"/>
              </w:rPr>
            </w:pPr>
            <w:r w:rsidRPr="004C78D8">
              <w:rPr>
                <w:sz w:val="18"/>
                <w:szCs w:val="18"/>
              </w:rPr>
              <w:t>[9]</w:t>
            </w:r>
          </w:p>
        </w:tc>
        <w:tc>
          <w:tcPr>
            <w:tcW w:w="1168" w:type="pct"/>
            <w:tcBorders>
              <w:top w:val="nil"/>
              <w:bottom w:val="nil"/>
            </w:tcBorders>
            <w:shd w:val="clear" w:color="auto" w:fill="A6A6A6" w:themeFill="background1" w:themeFillShade="A6"/>
          </w:tcPr>
          <w:p w14:paraId="01306864" w14:textId="77777777" w:rsidR="00675188" w:rsidRPr="004C78D8" w:rsidRDefault="00675188" w:rsidP="00FB7C1F">
            <w:pPr>
              <w:jc w:val="left"/>
              <w:rPr>
                <w:sz w:val="18"/>
                <w:szCs w:val="18"/>
              </w:rPr>
            </w:pPr>
            <w:r w:rsidRPr="004C78D8">
              <w:rPr>
                <w:sz w:val="18"/>
                <w:szCs w:val="18"/>
              </w:rPr>
              <w:t>CRC(4) + 3</w:t>
            </w:r>
            <w:r w:rsidRPr="004C78D8">
              <w:rPr>
                <w:sz w:val="18"/>
                <w:szCs w:val="18"/>
                <w:vertAlign w:val="superscript"/>
              </w:rPr>
              <w:t>rd</w:t>
            </w:r>
            <w:r w:rsidRPr="004C78D8">
              <w:rPr>
                <w:sz w:val="18"/>
                <w:szCs w:val="18"/>
              </w:rPr>
              <w:t>/4</w:t>
            </w:r>
            <w:r w:rsidRPr="004C78D8">
              <w:rPr>
                <w:sz w:val="18"/>
                <w:szCs w:val="18"/>
                <w:vertAlign w:val="superscript"/>
              </w:rPr>
              <w:t>th</w:t>
            </w:r>
            <w:r w:rsidRPr="004C78D8">
              <w:rPr>
                <w:sz w:val="18"/>
                <w:szCs w:val="18"/>
              </w:rPr>
              <w:t xml:space="preserve"> SES PA promote</w:t>
            </w:r>
          </w:p>
        </w:tc>
        <w:tc>
          <w:tcPr>
            <w:tcW w:w="517" w:type="pct"/>
            <w:tcBorders>
              <w:top w:val="nil"/>
              <w:left w:val="nil"/>
              <w:bottom w:val="nil"/>
              <w:right w:val="single" w:sz="4" w:space="0" w:color="auto"/>
            </w:tcBorders>
            <w:shd w:val="clear" w:color="auto" w:fill="A6A6A6" w:themeFill="background1" w:themeFillShade="A6"/>
          </w:tcPr>
          <w:p w14:paraId="39217854" w14:textId="77777777" w:rsidR="00675188" w:rsidRPr="004C78D8" w:rsidRDefault="00675188" w:rsidP="00FB7C1F">
            <w:pPr>
              <w:jc w:val="left"/>
              <w:rPr>
                <w:rFonts w:cs="Times New Roman"/>
                <w:sz w:val="18"/>
                <w:szCs w:val="18"/>
              </w:rPr>
            </w:pPr>
            <w:r w:rsidRPr="004C78D8">
              <w:rPr>
                <w:rFonts w:cs="Times New Roman"/>
                <w:color w:val="000000"/>
                <w:sz w:val="18"/>
                <w:szCs w:val="18"/>
              </w:rPr>
              <w:t>2,024,900</w:t>
            </w:r>
          </w:p>
        </w:tc>
        <w:tc>
          <w:tcPr>
            <w:tcW w:w="518" w:type="pct"/>
            <w:tcBorders>
              <w:top w:val="nil"/>
              <w:left w:val="single" w:sz="4" w:space="0" w:color="auto"/>
              <w:bottom w:val="nil"/>
              <w:right w:val="single" w:sz="4" w:space="0" w:color="auto"/>
            </w:tcBorders>
            <w:shd w:val="clear" w:color="auto" w:fill="A6A6A6" w:themeFill="background1" w:themeFillShade="A6"/>
          </w:tcPr>
          <w:p w14:paraId="54120A9A" w14:textId="77777777" w:rsidR="00675188" w:rsidRPr="004C78D8" w:rsidRDefault="00675188" w:rsidP="00FB7C1F">
            <w:pPr>
              <w:jc w:val="left"/>
              <w:rPr>
                <w:rFonts w:cs="Times New Roman"/>
                <w:sz w:val="18"/>
                <w:szCs w:val="18"/>
              </w:rPr>
            </w:pPr>
            <w:r w:rsidRPr="004C78D8">
              <w:rPr>
                <w:rFonts w:cs="Times New Roman"/>
                <w:color w:val="000000"/>
                <w:sz w:val="18"/>
                <w:szCs w:val="18"/>
              </w:rPr>
              <w:t>£10,167.93</w:t>
            </w:r>
          </w:p>
        </w:tc>
        <w:tc>
          <w:tcPr>
            <w:tcW w:w="518" w:type="pct"/>
            <w:tcBorders>
              <w:top w:val="nil"/>
              <w:left w:val="single" w:sz="4" w:space="0" w:color="auto"/>
              <w:bottom w:val="nil"/>
              <w:right w:val="single" w:sz="4" w:space="0" w:color="auto"/>
            </w:tcBorders>
            <w:shd w:val="clear" w:color="auto" w:fill="A6A6A6" w:themeFill="background1" w:themeFillShade="A6"/>
          </w:tcPr>
          <w:p w14:paraId="39814EE0" w14:textId="54753CC5" w:rsidR="00675188" w:rsidRPr="004C78D8" w:rsidRDefault="00675188" w:rsidP="00FB7C1F">
            <w:pPr>
              <w:jc w:val="left"/>
              <w:rPr>
                <w:rFonts w:cs="Times New Roman"/>
                <w:color w:val="000000"/>
                <w:sz w:val="18"/>
                <w:szCs w:val="18"/>
              </w:rPr>
            </w:pPr>
            <w:r w:rsidRPr="004C78D8">
              <w:rPr>
                <w:rFonts w:cs="Times New Roman"/>
                <w:color w:val="000000"/>
                <w:sz w:val="18"/>
                <w:szCs w:val="18"/>
              </w:rPr>
              <w:t>10723</w:t>
            </w:r>
          </w:p>
        </w:tc>
        <w:tc>
          <w:tcPr>
            <w:tcW w:w="518" w:type="pct"/>
            <w:tcBorders>
              <w:top w:val="nil"/>
              <w:left w:val="single" w:sz="4" w:space="0" w:color="auto"/>
              <w:bottom w:val="nil"/>
              <w:right w:val="single" w:sz="4" w:space="0" w:color="auto"/>
            </w:tcBorders>
            <w:shd w:val="clear" w:color="auto" w:fill="A6A6A6" w:themeFill="background1" w:themeFillShade="A6"/>
          </w:tcPr>
          <w:p w14:paraId="1B2E3CE8" w14:textId="30A922A4" w:rsidR="00675188" w:rsidRPr="004C78D8" w:rsidRDefault="00675188" w:rsidP="00FB7C1F">
            <w:pPr>
              <w:jc w:val="left"/>
              <w:rPr>
                <w:rFonts w:cs="Times New Roman"/>
                <w:color w:val="000000"/>
                <w:sz w:val="18"/>
                <w:szCs w:val="18"/>
              </w:rPr>
            </w:pPr>
            <w:r w:rsidRPr="004C78D8">
              <w:rPr>
                <w:rFonts w:cs="Times New Roman"/>
                <w:color w:val="000000"/>
                <w:sz w:val="18"/>
                <w:szCs w:val="18"/>
              </w:rPr>
              <w:t>£78,454,739</w:t>
            </w:r>
          </w:p>
        </w:tc>
        <w:tc>
          <w:tcPr>
            <w:tcW w:w="518" w:type="pct"/>
            <w:tcBorders>
              <w:top w:val="nil"/>
              <w:left w:val="single" w:sz="4" w:space="0" w:color="auto"/>
              <w:bottom w:val="nil"/>
              <w:right w:val="single" w:sz="4" w:space="0" w:color="auto"/>
            </w:tcBorders>
            <w:shd w:val="clear" w:color="auto" w:fill="A6A6A6" w:themeFill="background1" w:themeFillShade="A6"/>
          </w:tcPr>
          <w:p w14:paraId="532DA450" w14:textId="1F8DBA3B" w:rsidR="00675188" w:rsidRPr="004C78D8" w:rsidRDefault="00675188" w:rsidP="00FB7C1F">
            <w:pPr>
              <w:jc w:val="left"/>
              <w:rPr>
                <w:rFonts w:cs="Times New Roman"/>
                <w:sz w:val="18"/>
                <w:szCs w:val="18"/>
              </w:rPr>
            </w:pPr>
            <w:r w:rsidRPr="004C78D8">
              <w:rPr>
                <w:rFonts w:cs="Times New Roman"/>
                <w:color w:val="000000"/>
                <w:sz w:val="18"/>
                <w:szCs w:val="18"/>
              </w:rPr>
              <w:t>£7,316</w:t>
            </w:r>
          </w:p>
        </w:tc>
        <w:tc>
          <w:tcPr>
            <w:tcW w:w="518" w:type="pct"/>
            <w:tcBorders>
              <w:top w:val="nil"/>
              <w:left w:val="single" w:sz="4" w:space="0" w:color="auto"/>
              <w:bottom w:val="nil"/>
              <w:right w:val="single" w:sz="4" w:space="0" w:color="auto"/>
            </w:tcBorders>
            <w:shd w:val="clear" w:color="auto" w:fill="A6A6A6" w:themeFill="background1" w:themeFillShade="A6"/>
          </w:tcPr>
          <w:p w14:paraId="19058042" w14:textId="77777777" w:rsidR="00675188" w:rsidRPr="004C78D8" w:rsidRDefault="00675188" w:rsidP="00FB7C1F">
            <w:pPr>
              <w:jc w:val="left"/>
              <w:rPr>
                <w:rFonts w:cs="Times New Roman"/>
                <w:color w:val="000000"/>
                <w:sz w:val="18"/>
                <w:szCs w:val="18"/>
              </w:rPr>
            </w:pPr>
          </w:p>
        </w:tc>
        <w:tc>
          <w:tcPr>
            <w:tcW w:w="518" w:type="pct"/>
            <w:tcBorders>
              <w:top w:val="nil"/>
              <w:left w:val="single" w:sz="4" w:space="0" w:color="auto"/>
              <w:bottom w:val="nil"/>
              <w:right w:val="single" w:sz="4" w:space="0" w:color="auto"/>
            </w:tcBorders>
            <w:shd w:val="clear" w:color="auto" w:fill="A6A6A6" w:themeFill="background1" w:themeFillShade="A6"/>
          </w:tcPr>
          <w:p w14:paraId="03162CBC" w14:textId="77777777" w:rsidR="00675188" w:rsidRPr="004C78D8" w:rsidRDefault="00675188" w:rsidP="00FB7C1F">
            <w:pPr>
              <w:jc w:val="left"/>
              <w:rPr>
                <w:rFonts w:cs="Times New Roman"/>
                <w:sz w:val="18"/>
                <w:szCs w:val="18"/>
              </w:rPr>
            </w:pPr>
            <w:r w:rsidRPr="004C78D8">
              <w:rPr>
                <w:rFonts w:cs="Times New Roman"/>
                <w:color w:val="000000"/>
                <w:sz w:val="18"/>
                <w:szCs w:val="18"/>
              </w:rPr>
              <w:t>£243,241,891</w:t>
            </w:r>
          </w:p>
        </w:tc>
      </w:tr>
      <w:tr w:rsidR="00675188" w:rsidRPr="004C78D8" w14:paraId="37DA4733" w14:textId="77777777" w:rsidTr="00E35893">
        <w:tc>
          <w:tcPr>
            <w:tcW w:w="209" w:type="pct"/>
            <w:tcBorders>
              <w:top w:val="nil"/>
              <w:bottom w:val="nil"/>
            </w:tcBorders>
            <w:shd w:val="clear" w:color="auto" w:fill="A6A6A6" w:themeFill="background1" w:themeFillShade="A6"/>
          </w:tcPr>
          <w:p w14:paraId="2B2713E7" w14:textId="77777777" w:rsidR="00675188" w:rsidRPr="004C78D8" w:rsidRDefault="00675188" w:rsidP="00FB7C1F">
            <w:pPr>
              <w:jc w:val="left"/>
              <w:rPr>
                <w:sz w:val="18"/>
                <w:szCs w:val="18"/>
              </w:rPr>
            </w:pPr>
            <w:r w:rsidRPr="004C78D8">
              <w:rPr>
                <w:sz w:val="18"/>
                <w:szCs w:val="18"/>
              </w:rPr>
              <w:t>[10]</w:t>
            </w:r>
          </w:p>
        </w:tc>
        <w:tc>
          <w:tcPr>
            <w:tcW w:w="1168" w:type="pct"/>
            <w:tcBorders>
              <w:top w:val="nil"/>
              <w:bottom w:val="nil"/>
            </w:tcBorders>
            <w:shd w:val="clear" w:color="auto" w:fill="A6A6A6" w:themeFill="background1" w:themeFillShade="A6"/>
          </w:tcPr>
          <w:p w14:paraId="15336173" w14:textId="77777777" w:rsidR="00675188" w:rsidRPr="004C78D8" w:rsidRDefault="00675188" w:rsidP="00FB7C1F">
            <w:pPr>
              <w:jc w:val="left"/>
              <w:rPr>
                <w:sz w:val="18"/>
                <w:szCs w:val="18"/>
              </w:rPr>
            </w:pPr>
            <w:r w:rsidRPr="004C78D8">
              <w:rPr>
                <w:sz w:val="18"/>
                <w:szCs w:val="18"/>
              </w:rPr>
              <w:t>CRC(4) + SR demand 20% increase</w:t>
            </w:r>
          </w:p>
        </w:tc>
        <w:tc>
          <w:tcPr>
            <w:tcW w:w="517" w:type="pct"/>
            <w:tcBorders>
              <w:top w:val="nil"/>
              <w:left w:val="nil"/>
              <w:bottom w:val="nil"/>
              <w:right w:val="single" w:sz="4" w:space="0" w:color="auto"/>
            </w:tcBorders>
            <w:shd w:val="clear" w:color="auto" w:fill="A6A6A6" w:themeFill="background1" w:themeFillShade="A6"/>
          </w:tcPr>
          <w:p w14:paraId="6F2E2984" w14:textId="77777777" w:rsidR="00675188" w:rsidRPr="004C78D8" w:rsidRDefault="00675188" w:rsidP="00FB7C1F">
            <w:pPr>
              <w:jc w:val="left"/>
              <w:rPr>
                <w:rFonts w:cs="Times New Roman"/>
                <w:sz w:val="18"/>
                <w:szCs w:val="18"/>
              </w:rPr>
            </w:pPr>
            <w:r w:rsidRPr="004C78D8">
              <w:rPr>
                <w:rFonts w:cs="Times New Roman"/>
                <w:color w:val="000000"/>
                <w:sz w:val="18"/>
                <w:szCs w:val="18"/>
              </w:rPr>
              <w:t>2,023,775</w:t>
            </w:r>
          </w:p>
        </w:tc>
        <w:tc>
          <w:tcPr>
            <w:tcW w:w="518" w:type="pct"/>
            <w:tcBorders>
              <w:top w:val="nil"/>
              <w:left w:val="single" w:sz="4" w:space="0" w:color="auto"/>
              <w:bottom w:val="nil"/>
              <w:right w:val="single" w:sz="4" w:space="0" w:color="auto"/>
            </w:tcBorders>
            <w:shd w:val="clear" w:color="auto" w:fill="A6A6A6" w:themeFill="background1" w:themeFillShade="A6"/>
          </w:tcPr>
          <w:p w14:paraId="58FBA001" w14:textId="77777777" w:rsidR="00675188" w:rsidRPr="004C78D8" w:rsidRDefault="00675188" w:rsidP="00FB7C1F">
            <w:pPr>
              <w:jc w:val="left"/>
              <w:rPr>
                <w:rFonts w:cs="Times New Roman"/>
                <w:sz w:val="18"/>
                <w:szCs w:val="18"/>
              </w:rPr>
            </w:pPr>
            <w:r w:rsidRPr="004C78D8">
              <w:rPr>
                <w:rFonts w:cs="Times New Roman"/>
                <w:color w:val="000000"/>
                <w:sz w:val="18"/>
                <w:szCs w:val="18"/>
              </w:rPr>
              <w:t>£10,168.34</w:t>
            </w:r>
          </w:p>
        </w:tc>
        <w:tc>
          <w:tcPr>
            <w:tcW w:w="518" w:type="pct"/>
            <w:tcBorders>
              <w:top w:val="nil"/>
              <w:left w:val="single" w:sz="4" w:space="0" w:color="auto"/>
              <w:bottom w:val="nil"/>
              <w:right w:val="single" w:sz="4" w:space="0" w:color="auto"/>
            </w:tcBorders>
            <w:shd w:val="clear" w:color="auto" w:fill="A6A6A6" w:themeFill="background1" w:themeFillShade="A6"/>
          </w:tcPr>
          <w:p w14:paraId="2F9F5941" w14:textId="63A2B595" w:rsidR="00675188" w:rsidRPr="004C78D8" w:rsidRDefault="00675188" w:rsidP="00FB7C1F">
            <w:pPr>
              <w:jc w:val="left"/>
              <w:rPr>
                <w:rFonts w:cs="Times New Roman"/>
                <w:color w:val="000000"/>
                <w:sz w:val="18"/>
                <w:szCs w:val="18"/>
              </w:rPr>
            </w:pPr>
            <w:r w:rsidRPr="004C78D8">
              <w:rPr>
                <w:rFonts w:cs="Times New Roman"/>
                <w:color w:val="000000"/>
                <w:sz w:val="18"/>
                <w:szCs w:val="18"/>
              </w:rPr>
              <w:t>9598</w:t>
            </w:r>
          </w:p>
        </w:tc>
        <w:tc>
          <w:tcPr>
            <w:tcW w:w="518" w:type="pct"/>
            <w:tcBorders>
              <w:top w:val="nil"/>
              <w:left w:val="single" w:sz="4" w:space="0" w:color="auto"/>
              <w:bottom w:val="nil"/>
              <w:right w:val="single" w:sz="4" w:space="0" w:color="auto"/>
            </w:tcBorders>
            <w:shd w:val="clear" w:color="auto" w:fill="A6A6A6" w:themeFill="background1" w:themeFillShade="A6"/>
          </w:tcPr>
          <w:p w14:paraId="48642047" w14:textId="741D0452" w:rsidR="00675188" w:rsidRPr="004C78D8" w:rsidRDefault="00675188" w:rsidP="00FB7C1F">
            <w:pPr>
              <w:jc w:val="left"/>
              <w:rPr>
                <w:rFonts w:cs="Times New Roman"/>
                <w:color w:val="000000"/>
                <w:sz w:val="18"/>
                <w:szCs w:val="18"/>
              </w:rPr>
            </w:pPr>
            <w:r w:rsidRPr="004C78D8">
              <w:rPr>
                <w:rFonts w:cs="Times New Roman"/>
                <w:color w:val="000000"/>
                <w:sz w:val="18"/>
                <w:szCs w:val="18"/>
              </w:rPr>
              <w:t>£78,868,110</w:t>
            </w:r>
          </w:p>
        </w:tc>
        <w:tc>
          <w:tcPr>
            <w:tcW w:w="518" w:type="pct"/>
            <w:tcBorders>
              <w:top w:val="nil"/>
              <w:left w:val="single" w:sz="4" w:space="0" w:color="auto"/>
              <w:bottom w:val="nil"/>
              <w:right w:val="single" w:sz="4" w:space="0" w:color="auto"/>
            </w:tcBorders>
            <w:shd w:val="clear" w:color="auto" w:fill="A6A6A6" w:themeFill="background1" w:themeFillShade="A6"/>
          </w:tcPr>
          <w:p w14:paraId="48362FF0" w14:textId="57E35C98" w:rsidR="00675188" w:rsidRPr="004C78D8" w:rsidRDefault="00675188" w:rsidP="00FB7C1F">
            <w:pPr>
              <w:jc w:val="left"/>
              <w:rPr>
                <w:rFonts w:cs="Times New Roman"/>
                <w:sz w:val="18"/>
                <w:szCs w:val="18"/>
              </w:rPr>
            </w:pPr>
            <w:r w:rsidRPr="004C78D8">
              <w:rPr>
                <w:rFonts w:cs="Times New Roman"/>
                <w:color w:val="000000"/>
                <w:sz w:val="18"/>
                <w:szCs w:val="18"/>
              </w:rPr>
              <w:t>£8,217</w:t>
            </w:r>
          </w:p>
        </w:tc>
        <w:tc>
          <w:tcPr>
            <w:tcW w:w="518" w:type="pct"/>
            <w:tcBorders>
              <w:top w:val="nil"/>
              <w:left w:val="single" w:sz="4" w:space="0" w:color="auto"/>
              <w:bottom w:val="nil"/>
              <w:right w:val="single" w:sz="4" w:space="0" w:color="auto"/>
            </w:tcBorders>
            <w:shd w:val="clear" w:color="auto" w:fill="A6A6A6" w:themeFill="background1" w:themeFillShade="A6"/>
          </w:tcPr>
          <w:p w14:paraId="61D9E167" w14:textId="77777777" w:rsidR="00675188" w:rsidRPr="004C78D8" w:rsidRDefault="00675188" w:rsidP="00FB7C1F">
            <w:pPr>
              <w:jc w:val="left"/>
              <w:rPr>
                <w:rFonts w:cs="Times New Roman"/>
                <w:color w:val="000000"/>
                <w:sz w:val="18"/>
                <w:szCs w:val="18"/>
              </w:rPr>
            </w:pPr>
          </w:p>
        </w:tc>
        <w:tc>
          <w:tcPr>
            <w:tcW w:w="518" w:type="pct"/>
            <w:tcBorders>
              <w:top w:val="nil"/>
              <w:left w:val="single" w:sz="4" w:space="0" w:color="auto"/>
              <w:bottom w:val="nil"/>
              <w:right w:val="single" w:sz="4" w:space="0" w:color="auto"/>
            </w:tcBorders>
            <w:shd w:val="clear" w:color="auto" w:fill="A6A6A6" w:themeFill="background1" w:themeFillShade="A6"/>
          </w:tcPr>
          <w:p w14:paraId="7EA916BD" w14:textId="77777777" w:rsidR="00675188" w:rsidRPr="004C78D8" w:rsidRDefault="00675188" w:rsidP="00FB7C1F">
            <w:pPr>
              <w:jc w:val="left"/>
              <w:rPr>
                <w:rFonts w:cs="Times New Roman"/>
                <w:sz w:val="18"/>
                <w:szCs w:val="18"/>
              </w:rPr>
            </w:pPr>
            <w:r w:rsidRPr="004C78D8">
              <w:rPr>
                <w:rFonts w:cs="Times New Roman"/>
                <w:color w:val="000000"/>
                <w:sz w:val="18"/>
                <w:szCs w:val="18"/>
              </w:rPr>
              <w:t>£209,065,582</w:t>
            </w:r>
          </w:p>
        </w:tc>
      </w:tr>
      <w:tr w:rsidR="00675188" w:rsidRPr="004C78D8" w14:paraId="7BC99907" w14:textId="77777777" w:rsidTr="00E35893">
        <w:tc>
          <w:tcPr>
            <w:tcW w:w="209" w:type="pct"/>
            <w:tcBorders>
              <w:top w:val="nil"/>
              <w:bottom w:val="nil"/>
            </w:tcBorders>
            <w:shd w:val="clear" w:color="auto" w:fill="A6A6A6" w:themeFill="background1" w:themeFillShade="A6"/>
          </w:tcPr>
          <w:p w14:paraId="4BEA30CA" w14:textId="77777777" w:rsidR="00675188" w:rsidRPr="004C78D8" w:rsidRDefault="00675188" w:rsidP="00FB7C1F">
            <w:pPr>
              <w:jc w:val="left"/>
              <w:rPr>
                <w:sz w:val="18"/>
                <w:szCs w:val="18"/>
              </w:rPr>
            </w:pPr>
            <w:r w:rsidRPr="004C78D8">
              <w:rPr>
                <w:sz w:val="18"/>
                <w:szCs w:val="18"/>
              </w:rPr>
              <w:t>[11]</w:t>
            </w:r>
          </w:p>
        </w:tc>
        <w:tc>
          <w:tcPr>
            <w:tcW w:w="1168" w:type="pct"/>
            <w:tcBorders>
              <w:top w:val="nil"/>
              <w:bottom w:val="nil"/>
            </w:tcBorders>
            <w:shd w:val="clear" w:color="auto" w:fill="A6A6A6" w:themeFill="background1" w:themeFillShade="A6"/>
          </w:tcPr>
          <w:p w14:paraId="725E973D" w14:textId="77777777" w:rsidR="00675188" w:rsidRPr="004C78D8" w:rsidRDefault="00675188" w:rsidP="00FB7C1F">
            <w:pPr>
              <w:jc w:val="left"/>
              <w:rPr>
                <w:sz w:val="18"/>
                <w:szCs w:val="18"/>
              </w:rPr>
            </w:pPr>
            <w:r w:rsidRPr="004C78D8">
              <w:rPr>
                <w:sz w:val="18"/>
                <w:szCs w:val="18"/>
              </w:rPr>
              <w:t>CRC(4) + FRS for 50%</w:t>
            </w:r>
          </w:p>
        </w:tc>
        <w:tc>
          <w:tcPr>
            <w:tcW w:w="517" w:type="pct"/>
            <w:tcBorders>
              <w:top w:val="nil"/>
              <w:left w:val="nil"/>
              <w:bottom w:val="nil"/>
              <w:right w:val="single" w:sz="4" w:space="0" w:color="auto"/>
            </w:tcBorders>
            <w:shd w:val="clear" w:color="auto" w:fill="A6A6A6" w:themeFill="background1" w:themeFillShade="A6"/>
          </w:tcPr>
          <w:p w14:paraId="31DCE18B" w14:textId="77777777" w:rsidR="00675188" w:rsidRPr="004C78D8" w:rsidRDefault="00675188" w:rsidP="00FB7C1F">
            <w:pPr>
              <w:jc w:val="left"/>
              <w:rPr>
                <w:rFonts w:cs="Times New Roman"/>
                <w:sz w:val="18"/>
                <w:szCs w:val="18"/>
              </w:rPr>
            </w:pPr>
            <w:r w:rsidRPr="004C78D8">
              <w:rPr>
                <w:rFonts w:cs="Times New Roman"/>
                <w:color w:val="000000"/>
                <w:sz w:val="18"/>
                <w:szCs w:val="18"/>
              </w:rPr>
              <w:t>2,024,278</w:t>
            </w:r>
          </w:p>
        </w:tc>
        <w:tc>
          <w:tcPr>
            <w:tcW w:w="518" w:type="pct"/>
            <w:tcBorders>
              <w:top w:val="nil"/>
              <w:left w:val="single" w:sz="4" w:space="0" w:color="auto"/>
              <w:bottom w:val="nil"/>
              <w:right w:val="single" w:sz="4" w:space="0" w:color="auto"/>
            </w:tcBorders>
            <w:shd w:val="clear" w:color="auto" w:fill="A6A6A6" w:themeFill="background1" w:themeFillShade="A6"/>
          </w:tcPr>
          <w:p w14:paraId="01C55802" w14:textId="77777777" w:rsidR="00675188" w:rsidRPr="004C78D8" w:rsidRDefault="00675188" w:rsidP="00FB7C1F">
            <w:pPr>
              <w:jc w:val="left"/>
              <w:rPr>
                <w:rFonts w:cs="Times New Roman"/>
                <w:sz w:val="18"/>
                <w:szCs w:val="18"/>
              </w:rPr>
            </w:pPr>
            <w:r w:rsidRPr="004C78D8">
              <w:rPr>
                <w:rFonts w:cs="Times New Roman"/>
                <w:color w:val="000000"/>
                <w:sz w:val="18"/>
                <w:szCs w:val="18"/>
              </w:rPr>
              <w:t>£10,169.08</w:t>
            </w:r>
          </w:p>
        </w:tc>
        <w:tc>
          <w:tcPr>
            <w:tcW w:w="518" w:type="pct"/>
            <w:tcBorders>
              <w:top w:val="nil"/>
              <w:left w:val="single" w:sz="4" w:space="0" w:color="auto"/>
              <w:bottom w:val="nil"/>
              <w:right w:val="single" w:sz="4" w:space="0" w:color="auto"/>
            </w:tcBorders>
            <w:shd w:val="clear" w:color="auto" w:fill="A6A6A6" w:themeFill="background1" w:themeFillShade="A6"/>
          </w:tcPr>
          <w:p w14:paraId="3BD6F817" w14:textId="183BACE9" w:rsidR="00675188" w:rsidRPr="004C78D8" w:rsidRDefault="00675188" w:rsidP="00FB7C1F">
            <w:pPr>
              <w:jc w:val="left"/>
              <w:rPr>
                <w:rFonts w:cs="Times New Roman"/>
                <w:color w:val="000000"/>
                <w:sz w:val="18"/>
                <w:szCs w:val="18"/>
              </w:rPr>
            </w:pPr>
            <w:r w:rsidRPr="004C78D8">
              <w:rPr>
                <w:rFonts w:cs="Times New Roman"/>
                <w:color w:val="000000"/>
                <w:sz w:val="18"/>
                <w:szCs w:val="18"/>
              </w:rPr>
              <w:t>10101</w:t>
            </w:r>
          </w:p>
        </w:tc>
        <w:tc>
          <w:tcPr>
            <w:tcW w:w="518" w:type="pct"/>
            <w:tcBorders>
              <w:top w:val="nil"/>
              <w:left w:val="single" w:sz="4" w:space="0" w:color="auto"/>
              <w:bottom w:val="nil"/>
              <w:right w:val="single" w:sz="4" w:space="0" w:color="auto"/>
            </w:tcBorders>
            <w:shd w:val="clear" w:color="auto" w:fill="A6A6A6" w:themeFill="background1" w:themeFillShade="A6"/>
          </w:tcPr>
          <w:p w14:paraId="10C389AD" w14:textId="44652882" w:rsidR="00675188" w:rsidRPr="004C78D8" w:rsidRDefault="00675188" w:rsidP="00FB7C1F">
            <w:pPr>
              <w:jc w:val="left"/>
              <w:rPr>
                <w:rFonts w:cs="Times New Roman"/>
                <w:color w:val="000000"/>
                <w:sz w:val="18"/>
                <w:szCs w:val="18"/>
              </w:rPr>
            </w:pPr>
            <w:r w:rsidRPr="004C78D8">
              <w:rPr>
                <w:rFonts w:cs="Times New Roman"/>
                <w:color w:val="000000"/>
                <w:sz w:val="18"/>
                <w:szCs w:val="18"/>
              </w:rPr>
              <w:t>£79,608,805</w:t>
            </w:r>
          </w:p>
        </w:tc>
        <w:tc>
          <w:tcPr>
            <w:tcW w:w="518" w:type="pct"/>
            <w:tcBorders>
              <w:top w:val="nil"/>
              <w:left w:val="single" w:sz="4" w:space="0" w:color="auto"/>
              <w:bottom w:val="nil"/>
              <w:right w:val="single" w:sz="4" w:space="0" w:color="auto"/>
            </w:tcBorders>
            <w:shd w:val="clear" w:color="auto" w:fill="A6A6A6" w:themeFill="background1" w:themeFillShade="A6"/>
          </w:tcPr>
          <w:p w14:paraId="0ACDF549" w14:textId="443718E9" w:rsidR="00675188" w:rsidRPr="004C78D8" w:rsidRDefault="00675188" w:rsidP="00FB7C1F">
            <w:pPr>
              <w:jc w:val="left"/>
              <w:rPr>
                <w:rFonts w:cs="Times New Roman"/>
                <w:sz w:val="18"/>
                <w:szCs w:val="18"/>
              </w:rPr>
            </w:pPr>
            <w:r w:rsidRPr="004C78D8">
              <w:rPr>
                <w:rFonts w:cs="Times New Roman"/>
                <w:color w:val="000000"/>
                <w:sz w:val="18"/>
                <w:szCs w:val="18"/>
              </w:rPr>
              <w:t>£7,882</w:t>
            </w:r>
          </w:p>
        </w:tc>
        <w:tc>
          <w:tcPr>
            <w:tcW w:w="518" w:type="pct"/>
            <w:tcBorders>
              <w:top w:val="nil"/>
              <w:left w:val="single" w:sz="4" w:space="0" w:color="auto"/>
              <w:bottom w:val="nil"/>
              <w:right w:val="single" w:sz="4" w:space="0" w:color="auto"/>
            </w:tcBorders>
            <w:shd w:val="clear" w:color="auto" w:fill="A6A6A6" w:themeFill="background1" w:themeFillShade="A6"/>
          </w:tcPr>
          <w:p w14:paraId="1A47999C" w14:textId="77777777" w:rsidR="00675188" w:rsidRPr="004C78D8" w:rsidRDefault="00675188" w:rsidP="00FB7C1F">
            <w:pPr>
              <w:jc w:val="left"/>
              <w:rPr>
                <w:rFonts w:cs="Times New Roman"/>
                <w:color w:val="000000"/>
                <w:sz w:val="18"/>
                <w:szCs w:val="18"/>
              </w:rPr>
            </w:pPr>
          </w:p>
        </w:tc>
        <w:tc>
          <w:tcPr>
            <w:tcW w:w="518" w:type="pct"/>
            <w:tcBorders>
              <w:top w:val="nil"/>
              <w:left w:val="single" w:sz="4" w:space="0" w:color="auto"/>
              <w:bottom w:val="nil"/>
              <w:right w:val="single" w:sz="4" w:space="0" w:color="auto"/>
            </w:tcBorders>
            <w:shd w:val="clear" w:color="auto" w:fill="A6A6A6" w:themeFill="background1" w:themeFillShade="A6"/>
          </w:tcPr>
          <w:p w14:paraId="47DCC6F6" w14:textId="77777777" w:rsidR="00675188" w:rsidRPr="004C78D8" w:rsidRDefault="00675188" w:rsidP="00FB7C1F">
            <w:pPr>
              <w:jc w:val="left"/>
              <w:rPr>
                <w:rFonts w:cs="Times New Roman"/>
                <w:sz w:val="18"/>
                <w:szCs w:val="18"/>
              </w:rPr>
            </w:pPr>
            <w:r w:rsidRPr="004C78D8">
              <w:rPr>
                <w:rFonts w:cs="Times New Roman"/>
                <w:color w:val="000000"/>
                <w:sz w:val="18"/>
                <w:szCs w:val="18"/>
              </w:rPr>
              <w:t>£223,412,425</w:t>
            </w:r>
          </w:p>
        </w:tc>
      </w:tr>
      <w:tr w:rsidR="00675188" w:rsidRPr="004C78D8" w14:paraId="6E01A76C" w14:textId="77777777" w:rsidTr="00E35893">
        <w:tc>
          <w:tcPr>
            <w:tcW w:w="209" w:type="pct"/>
            <w:tcBorders>
              <w:top w:val="nil"/>
              <w:bottom w:val="nil"/>
            </w:tcBorders>
            <w:shd w:val="clear" w:color="auto" w:fill="A6A6A6" w:themeFill="background1" w:themeFillShade="A6"/>
          </w:tcPr>
          <w:p w14:paraId="000098FC" w14:textId="77777777" w:rsidR="00675188" w:rsidRPr="004C78D8" w:rsidRDefault="00675188" w:rsidP="00FB7C1F">
            <w:pPr>
              <w:jc w:val="left"/>
              <w:rPr>
                <w:sz w:val="18"/>
                <w:szCs w:val="18"/>
              </w:rPr>
            </w:pPr>
            <w:r w:rsidRPr="004C78D8">
              <w:rPr>
                <w:sz w:val="18"/>
                <w:szCs w:val="18"/>
              </w:rPr>
              <w:t>[12]</w:t>
            </w:r>
          </w:p>
        </w:tc>
        <w:tc>
          <w:tcPr>
            <w:tcW w:w="1168" w:type="pct"/>
            <w:tcBorders>
              <w:top w:val="nil"/>
              <w:bottom w:val="nil"/>
            </w:tcBorders>
            <w:shd w:val="clear" w:color="auto" w:fill="A6A6A6" w:themeFill="background1" w:themeFillShade="A6"/>
          </w:tcPr>
          <w:p w14:paraId="31F99D57" w14:textId="77777777" w:rsidR="00675188" w:rsidRPr="004C78D8" w:rsidRDefault="00675188" w:rsidP="00FB7C1F">
            <w:pPr>
              <w:jc w:val="left"/>
              <w:rPr>
                <w:sz w:val="18"/>
                <w:szCs w:val="18"/>
              </w:rPr>
            </w:pPr>
            <w:r w:rsidRPr="004C78D8">
              <w:rPr>
                <w:sz w:val="18"/>
                <w:szCs w:val="18"/>
              </w:rPr>
              <w:t>CRC(1): random allocation</w:t>
            </w:r>
          </w:p>
        </w:tc>
        <w:tc>
          <w:tcPr>
            <w:tcW w:w="517" w:type="pct"/>
            <w:tcBorders>
              <w:top w:val="nil"/>
              <w:left w:val="nil"/>
              <w:bottom w:val="nil"/>
              <w:right w:val="single" w:sz="4" w:space="0" w:color="auto"/>
            </w:tcBorders>
            <w:shd w:val="clear" w:color="auto" w:fill="A6A6A6" w:themeFill="background1" w:themeFillShade="A6"/>
          </w:tcPr>
          <w:p w14:paraId="5015E960" w14:textId="77777777" w:rsidR="00675188" w:rsidRPr="004C78D8" w:rsidRDefault="00675188" w:rsidP="00FB7C1F">
            <w:pPr>
              <w:jc w:val="left"/>
              <w:rPr>
                <w:rFonts w:cs="Times New Roman"/>
                <w:sz w:val="18"/>
                <w:szCs w:val="18"/>
              </w:rPr>
            </w:pPr>
            <w:r w:rsidRPr="004C78D8">
              <w:rPr>
                <w:rFonts w:cs="Times New Roman"/>
                <w:color w:val="000000"/>
                <w:sz w:val="18"/>
                <w:szCs w:val="18"/>
              </w:rPr>
              <w:t>2,020,654</w:t>
            </w:r>
          </w:p>
        </w:tc>
        <w:tc>
          <w:tcPr>
            <w:tcW w:w="518" w:type="pct"/>
            <w:tcBorders>
              <w:top w:val="nil"/>
              <w:left w:val="single" w:sz="4" w:space="0" w:color="auto"/>
              <w:bottom w:val="nil"/>
              <w:right w:val="single" w:sz="4" w:space="0" w:color="auto"/>
            </w:tcBorders>
            <w:shd w:val="clear" w:color="auto" w:fill="A6A6A6" w:themeFill="background1" w:themeFillShade="A6"/>
          </w:tcPr>
          <w:p w14:paraId="73A6D62C" w14:textId="77777777" w:rsidR="00675188" w:rsidRPr="004C78D8" w:rsidRDefault="00675188" w:rsidP="00FB7C1F">
            <w:pPr>
              <w:jc w:val="left"/>
              <w:rPr>
                <w:rFonts w:cs="Times New Roman"/>
                <w:sz w:val="18"/>
                <w:szCs w:val="18"/>
              </w:rPr>
            </w:pPr>
            <w:r w:rsidRPr="004C78D8">
              <w:rPr>
                <w:rFonts w:cs="Times New Roman"/>
                <w:color w:val="000000"/>
                <w:sz w:val="18"/>
                <w:szCs w:val="18"/>
              </w:rPr>
              <w:t>£10,169.80</w:t>
            </w:r>
          </w:p>
        </w:tc>
        <w:tc>
          <w:tcPr>
            <w:tcW w:w="518" w:type="pct"/>
            <w:tcBorders>
              <w:top w:val="nil"/>
              <w:left w:val="single" w:sz="4" w:space="0" w:color="auto"/>
              <w:bottom w:val="nil"/>
              <w:right w:val="single" w:sz="4" w:space="0" w:color="auto"/>
            </w:tcBorders>
            <w:shd w:val="clear" w:color="auto" w:fill="A6A6A6" w:themeFill="background1" w:themeFillShade="A6"/>
          </w:tcPr>
          <w:p w14:paraId="135F6CE4" w14:textId="77CFD01A" w:rsidR="00675188" w:rsidRPr="004C78D8" w:rsidRDefault="00675188" w:rsidP="00FB7C1F">
            <w:pPr>
              <w:jc w:val="left"/>
              <w:rPr>
                <w:rFonts w:cs="Times New Roman"/>
                <w:color w:val="000000"/>
                <w:sz w:val="18"/>
                <w:szCs w:val="18"/>
              </w:rPr>
            </w:pPr>
            <w:r w:rsidRPr="004C78D8">
              <w:rPr>
                <w:rFonts w:cs="Times New Roman"/>
                <w:color w:val="000000"/>
                <w:sz w:val="18"/>
                <w:szCs w:val="18"/>
              </w:rPr>
              <w:t>6477</w:t>
            </w:r>
          </w:p>
        </w:tc>
        <w:tc>
          <w:tcPr>
            <w:tcW w:w="518" w:type="pct"/>
            <w:tcBorders>
              <w:top w:val="nil"/>
              <w:left w:val="single" w:sz="4" w:space="0" w:color="auto"/>
              <w:bottom w:val="nil"/>
              <w:right w:val="single" w:sz="4" w:space="0" w:color="auto"/>
            </w:tcBorders>
            <w:shd w:val="clear" w:color="auto" w:fill="A6A6A6" w:themeFill="background1" w:themeFillShade="A6"/>
          </w:tcPr>
          <w:p w14:paraId="6F25A2FD" w14:textId="7A6F5D38" w:rsidR="00675188" w:rsidRPr="004C78D8" w:rsidRDefault="00675188" w:rsidP="00FB7C1F">
            <w:pPr>
              <w:jc w:val="left"/>
              <w:rPr>
                <w:rFonts w:cs="Times New Roman"/>
                <w:color w:val="000000"/>
                <w:sz w:val="18"/>
                <w:szCs w:val="18"/>
              </w:rPr>
            </w:pPr>
            <w:r w:rsidRPr="004C78D8">
              <w:rPr>
                <w:rFonts w:cs="Times New Roman"/>
                <w:color w:val="000000"/>
                <w:sz w:val="18"/>
                <w:szCs w:val="18"/>
              </w:rPr>
              <w:t>£80,326,978</w:t>
            </w:r>
          </w:p>
        </w:tc>
        <w:tc>
          <w:tcPr>
            <w:tcW w:w="518" w:type="pct"/>
            <w:tcBorders>
              <w:top w:val="nil"/>
              <w:left w:val="single" w:sz="4" w:space="0" w:color="auto"/>
              <w:bottom w:val="nil"/>
              <w:right w:val="single" w:sz="4" w:space="0" w:color="auto"/>
            </w:tcBorders>
            <w:shd w:val="clear" w:color="auto" w:fill="A6A6A6" w:themeFill="background1" w:themeFillShade="A6"/>
          </w:tcPr>
          <w:p w14:paraId="62734F11" w14:textId="38855BF5" w:rsidR="00675188" w:rsidRPr="004C78D8" w:rsidRDefault="00675188" w:rsidP="00FB7C1F">
            <w:pPr>
              <w:jc w:val="left"/>
              <w:rPr>
                <w:rFonts w:cs="Times New Roman"/>
                <w:sz w:val="18"/>
                <w:szCs w:val="18"/>
              </w:rPr>
            </w:pPr>
            <w:r w:rsidRPr="004C78D8">
              <w:rPr>
                <w:rFonts w:cs="Times New Roman"/>
                <w:color w:val="000000"/>
                <w:sz w:val="18"/>
                <w:szCs w:val="18"/>
              </w:rPr>
              <w:t>£12,401</w:t>
            </w:r>
          </w:p>
        </w:tc>
        <w:tc>
          <w:tcPr>
            <w:tcW w:w="518" w:type="pct"/>
            <w:tcBorders>
              <w:top w:val="nil"/>
              <w:left w:val="single" w:sz="4" w:space="0" w:color="auto"/>
              <w:bottom w:val="nil"/>
              <w:right w:val="single" w:sz="4" w:space="0" w:color="auto"/>
            </w:tcBorders>
            <w:shd w:val="clear" w:color="auto" w:fill="A6A6A6" w:themeFill="background1" w:themeFillShade="A6"/>
          </w:tcPr>
          <w:p w14:paraId="7CAD2D64" w14:textId="77777777" w:rsidR="00675188" w:rsidRPr="004C78D8" w:rsidRDefault="00675188" w:rsidP="00FB7C1F">
            <w:pPr>
              <w:jc w:val="left"/>
              <w:rPr>
                <w:rFonts w:cs="Times New Roman"/>
                <w:color w:val="000000"/>
                <w:sz w:val="18"/>
                <w:szCs w:val="18"/>
              </w:rPr>
            </w:pPr>
          </w:p>
        </w:tc>
        <w:tc>
          <w:tcPr>
            <w:tcW w:w="518" w:type="pct"/>
            <w:tcBorders>
              <w:top w:val="nil"/>
              <w:left w:val="single" w:sz="4" w:space="0" w:color="auto"/>
              <w:bottom w:val="nil"/>
              <w:right w:val="single" w:sz="4" w:space="0" w:color="auto"/>
            </w:tcBorders>
            <w:shd w:val="clear" w:color="auto" w:fill="A6A6A6" w:themeFill="background1" w:themeFillShade="A6"/>
          </w:tcPr>
          <w:p w14:paraId="1AB35CF3" w14:textId="77777777" w:rsidR="00675188" w:rsidRPr="004C78D8" w:rsidRDefault="00675188" w:rsidP="00FB7C1F">
            <w:pPr>
              <w:jc w:val="left"/>
              <w:rPr>
                <w:rFonts w:cs="Times New Roman"/>
                <w:sz w:val="18"/>
                <w:szCs w:val="18"/>
              </w:rPr>
            </w:pPr>
            <w:r w:rsidRPr="004C78D8">
              <w:rPr>
                <w:rFonts w:cs="Times New Roman"/>
                <w:color w:val="000000"/>
                <w:sz w:val="18"/>
                <w:szCs w:val="18"/>
              </w:rPr>
              <w:t>£113,990,748</w:t>
            </w:r>
          </w:p>
        </w:tc>
      </w:tr>
      <w:tr w:rsidR="00675188" w:rsidRPr="004C78D8" w14:paraId="5F77C5A9" w14:textId="77777777" w:rsidTr="00E35893">
        <w:tc>
          <w:tcPr>
            <w:tcW w:w="209" w:type="pct"/>
            <w:tcBorders>
              <w:top w:val="nil"/>
              <w:bottom w:val="nil"/>
            </w:tcBorders>
            <w:shd w:val="clear" w:color="auto" w:fill="A6A6A6" w:themeFill="background1" w:themeFillShade="A6"/>
          </w:tcPr>
          <w:p w14:paraId="5080CF92" w14:textId="77777777" w:rsidR="00675188" w:rsidRPr="004C78D8" w:rsidRDefault="00675188" w:rsidP="00FB7C1F">
            <w:pPr>
              <w:jc w:val="left"/>
              <w:rPr>
                <w:sz w:val="18"/>
                <w:szCs w:val="18"/>
              </w:rPr>
            </w:pPr>
            <w:r w:rsidRPr="004C78D8">
              <w:rPr>
                <w:sz w:val="18"/>
                <w:szCs w:val="18"/>
              </w:rPr>
              <w:t>[13]</w:t>
            </w:r>
          </w:p>
        </w:tc>
        <w:tc>
          <w:tcPr>
            <w:tcW w:w="1168" w:type="pct"/>
            <w:tcBorders>
              <w:top w:val="nil"/>
              <w:bottom w:val="nil"/>
            </w:tcBorders>
            <w:shd w:val="clear" w:color="auto" w:fill="A6A6A6" w:themeFill="background1" w:themeFillShade="A6"/>
          </w:tcPr>
          <w:p w14:paraId="78A7FF42" w14:textId="77777777" w:rsidR="00675188" w:rsidRPr="004C78D8" w:rsidRDefault="00675188" w:rsidP="00FB7C1F">
            <w:pPr>
              <w:jc w:val="left"/>
              <w:rPr>
                <w:sz w:val="18"/>
                <w:szCs w:val="18"/>
              </w:rPr>
            </w:pPr>
            <w:r w:rsidRPr="004C78D8">
              <w:rPr>
                <w:sz w:val="18"/>
                <w:szCs w:val="18"/>
              </w:rPr>
              <w:t>CRC(4) + universal PA promotion</w:t>
            </w:r>
          </w:p>
        </w:tc>
        <w:tc>
          <w:tcPr>
            <w:tcW w:w="517" w:type="pct"/>
            <w:tcBorders>
              <w:top w:val="nil"/>
              <w:left w:val="nil"/>
              <w:bottom w:val="nil"/>
              <w:right w:val="single" w:sz="4" w:space="0" w:color="auto"/>
            </w:tcBorders>
            <w:shd w:val="clear" w:color="auto" w:fill="A6A6A6" w:themeFill="background1" w:themeFillShade="A6"/>
          </w:tcPr>
          <w:p w14:paraId="5FF88468" w14:textId="77777777" w:rsidR="00675188" w:rsidRPr="004C78D8" w:rsidRDefault="00675188" w:rsidP="00FB7C1F">
            <w:pPr>
              <w:jc w:val="left"/>
              <w:rPr>
                <w:rFonts w:cs="Times New Roman"/>
                <w:sz w:val="18"/>
                <w:szCs w:val="18"/>
              </w:rPr>
            </w:pPr>
            <w:r w:rsidRPr="004C78D8">
              <w:rPr>
                <w:rFonts w:cs="Times New Roman"/>
                <w:color w:val="000000"/>
                <w:sz w:val="18"/>
                <w:szCs w:val="18"/>
              </w:rPr>
              <w:t>2,026,541</w:t>
            </w:r>
          </w:p>
        </w:tc>
        <w:tc>
          <w:tcPr>
            <w:tcW w:w="518" w:type="pct"/>
            <w:tcBorders>
              <w:top w:val="nil"/>
              <w:left w:val="single" w:sz="4" w:space="0" w:color="auto"/>
              <w:bottom w:val="nil"/>
              <w:right w:val="single" w:sz="4" w:space="0" w:color="auto"/>
            </w:tcBorders>
            <w:shd w:val="clear" w:color="auto" w:fill="A6A6A6" w:themeFill="background1" w:themeFillShade="A6"/>
          </w:tcPr>
          <w:p w14:paraId="5BFC6651" w14:textId="77777777" w:rsidR="00675188" w:rsidRPr="004C78D8" w:rsidRDefault="00675188" w:rsidP="00FB7C1F">
            <w:pPr>
              <w:jc w:val="left"/>
              <w:rPr>
                <w:rFonts w:cs="Times New Roman"/>
                <w:sz w:val="18"/>
                <w:szCs w:val="18"/>
              </w:rPr>
            </w:pPr>
            <w:r w:rsidRPr="004C78D8">
              <w:rPr>
                <w:rFonts w:cs="Times New Roman"/>
                <w:color w:val="000000"/>
                <w:sz w:val="18"/>
                <w:szCs w:val="18"/>
              </w:rPr>
              <w:t>£10,170.78</w:t>
            </w:r>
          </w:p>
        </w:tc>
        <w:tc>
          <w:tcPr>
            <w:tcW w:w="518" w:type="pct"/>
            <w:tcBorders>
              <w:top w:val="nil"/>
              <w:left w:val="single" w:sz="4" w:space="0" w:color="auto"/>
              <w:bottom w:val="nil"/>
              <w:right w:val="single" w:sz="4" w:space="0" w:color="auto"/>
            </w:tcBorders>
            <w:shd w:val="clear" w:color="auto" w:fill="A6A6A6" w:themeFill="background1" w:themeFillShade="A6"/>
          </w:tcPr>
          <w:p w14:paraId="2FA65262" w14:textId="1D581D37" w:rsidR="00675188" w:rsidRPr="004C78D8" w:rsidRDefault="00675188" w:rsidP="00FB7C1F">
            <w:pPr>
              <w:jc w:val="left"/>
              <w:rPr>
                <w:rFonts w:cs="Times New Roman"/>
                <w:color w:val="000000"/>
                <w:sz w:val="18"/>
                <w:szCs w:val="18"/>
              </w:rPr>
            </w:pPr>
            <w:r w:rsidRPr="004C78D8">
              <w:rPr>
                <w:rFonts w:cs="Times New Roman"/>
                <w:color w:val="000000"/>
                <w:sz w:val="18"/>
                <w:szCs w:val="18"/>
              </w:rPr>
              <w:t>12364</w:t>
            </w:r>
          </w:p>
        </w:tc>
        <w:tc>
          <w:tcPr>
            <w:tcW w:w="518" w:type="pct"/>
            <w:tcBorders>
              <w:top w:val="nil"/>
              <w:left w:val="single" w:sz="4" w:space="0" w:color="auto"/>
              <w:bottom w:val="nil"/>
              <w:right w:val="single" w:sz="4" w:space="0" w:color="auto"/>
            </w:tcBorders>
            <w:shd w:val="clear" w:color="auto" w:fill="A6A6A6" w:themeFill="background1" w:themeFillShade="A6"/>
          </w:tcPr>
          <w:p w14:paraId="7316E4DF" w14:textId="586581CC" w:rsidR="00675188" w:rsidRPr="004C78D8" w:rsidRDefault="00675188" w:rsidP="00FB7C1F">
            <w:pPr>
              <w:jc w:val="left"/>
              <w:rPr>
                <w:rFonts w:cs="Times New Roman"/>
                <w:color w:val="000000"/>
                <w:sz w:val="18"/>
                <w:szCs w:val="18"/>
              </w:rPr>
            </w:pPr>
            <w:r w:rsidRPr="004C78D8">
              <w:rPr>
                <w:rFonts w:cs="Times New Roman"/>
                <w:color w:val="000000"/>
                <w:sz w:val="18"/>
                <w:szCs w:val="18"/>
              </w:rPr>
              <w:t>£81,305,259</w:t>
            </w:r>
          </w:p>
        </w:tc>
        <w:tc>
          <w:tcPr>
            <w:tcW w:w="518" w:type="pct"/>
            <w:tcBorders>
              <w:top w:val="nil"/>
              <w:left w:val="single" w:sz="4" w:space="0" w:color="auto"/>
              <w:bottom w:val="nil"/>
              <w:right w:val="single" w:sz="4" w:space="0" w:color="auto"/>
            </w:tcBorders>
            <w:shd w:val="clear" w:color="auto" w:fill="A6A6A6" w:themeFill="background1" w:themeFillShade="A6"/>
          </w:tcPr>
          <w:p w14:paraId="7CEE17C6" w14:textId="11EAADB6" w:rsidR="00675188" w:rsidRPr="004C78D8" w:rsidRDefault="00675188" w:rsidP="00FB7C1F">
            <w:pPr>
              <w:jc w:val="left"/>
              <w:rPr>
                <w:rFonts w:cs="Times New Roman"/>
                <w:sz w:val="18"/>
                <w:szCs w:val="18"/>
              </w:rPr>
            </w:pPr>
            <w:r w:rsidRPr="004C78D8">
              <w:rPr>
                <w:rFonts w:cs="Times New Roman"/>
                <w:color w:val="000000"/>
                <w:sz w:val="18"/>
                <w:szCs w:val="18"/>
              </w:rPr>
              <w:t>£6,576</w:t>
            </w:r>
          </w:p>
        </w:tc>
        <w:tc>
          <w:tcPr>
            <w:tcW w:w="518" w:type="pct"/>
            <w:tcBorders>
              <w:top w:val="nil"/>
              <w:left w:val="single" w:sz="4" w:space="0" w:color="auto"/>
              <w:bottom w:val="nil"/>
              <w:right w:val="single" w:sz="4" w:space="0" w:color="auto"/>
            </w:tcBorders>
            <w:shd w:val="clear" w:color="auto" w:fill="A6A6A6" w:themeFill="background1" w:themeFillShade="A6"/>
          </w:tcPr>
          <w:p w14:paraId="55130BC7" w14:textId="77777777" w:rsidR="00675188" w:rsidRPr="004C78D8" w:rsidRDefault="00675188" w:rsidP="00FB7C1F">
            <w:pPr>
              <w:jc w:val="left"/>
              <w:rPr>
                <w:rFonts w:cs="Times New Roman"/>
                <w:color w:val="000000"/>
                <w:sz w:val="18"/>
                <w:szCs w:val="18"/>
              </w:rPr>
            </w:pPr>
          </w:p>
        </w:tc>
        <w:tc>
          <w:tcPr>
            <w:tcW w:w="518" w:type="pct"/>
            <w:tcBorders>
              <w:top w:val="nil"/>
              <w:left w:val="single" w:sz="4" w:space="0" w:color="auto"/>
              <w:bottom w:val="nil"/>
              <w:right w:val="single" w:sz="4" w:space="0" w:color="auto"/>
            </w:tcBorders>
            <w:shd w:val="clear" w:color="auto" w:fill="A6A6A6" w:themeFill="background1" w:themeFillShade="A6"/>
          </w:tcPr>
          <w:p w14:paraId="56B7AD14" w14:textId="77777777" w:rsidR="00675188" w:rsidRPr="004C78D8" w:rsidRDefault="00675188" w:rsidP="00FB7C1F">
            <w:pPr>
              <w:jc w:val="left"/>
              <w:rPr>
                <w:rFonts w:cs="Times New Roman"/>
                <w:sz w:val="18"/>
                <w:szCs w:val="18"/>
              </w:rPr>
            </w:pPr>
            <w:r w:rsidRPr="004C78D8">
              <w:rPr>
                <w:rFonts w:cs="Times New Roman"/>
                <w:color w:val="000000"/>
                <w:sz w:val="18"/>
                <w:szCs w:val="18"/>
              </w:rPr>
              <w:t>£289,618,874</w:t>
            </w:r>
          </w:p>
        </w:tc>
      </w:tr>
      <w:tr w:rsidR="00675188" w:rsidRPr="004C78D8" w14:paraId="76EDFF91" w14:textId="77777777" w:rsidTr="00E35893">
        <w:tc>
          <w:tcPr>
            <w:tcW w:w="209" w:type="pct"/>
            <w:tcBorders>
              <w:top w:val="nil"/>
              <w:bottom w:val="nil"/>
            </w:tcBorders>
            <w:shd w:val="clear" w:color="auto" w:fill="A6A6A6" w:themeFill="background1" w:themeFillShade="A6"/>
          </w:tcPr>
          <w:p w14:paraId="10E6C5BB" w14:textId="77777777" w:rsidR="00675188" w:rsidRPr="004C78D8" w:rsidRDefault="00675188" w:rsidP="00FB7C1F">
            <w:pPr>
              <w:jc w:val="left"/>
              <w:rPr>
                <w:sz w:val="18"/>
                <w:szCs w:val="18"/>
              </w:rPr>
            </w:pPr>
            <w:r w:rsidRPr="004C78D8">
              <w:rPr>
                <w:sz w:val="18"/>
                <w:szCs w:val="18"/>
              </w:rPr>
              <w:t>[14]</w:t>
            </w:r>
          </w:p>
        </w:tc>
        <w:tc>
          <w:tcPr>
            <w:tcW w:w="1168" w:type="pct"/>
            <w:tcBorders>
              <w:top w:val="nil"/>
              <w:bottom w:val="nil"/>
            </w:tcBorders>
            <w:shd w:val="clear" w:color="auto" w:fill="A6A6A6" w:themeFill="background1" w:themeFillShade="A6"/>
          </w:tcPr>
          <w:p w14:paraId="003C488A" w14:textId="77777777" w:rsidR="00675188" w:rsidRPr="004C78D8" w:rsidRDefault="00675188" w:rsidP="00FB7C1F">
            <w:pPr>
              <w:jc w:val="left"/>
              <w:rPr>
                <w:sz w:val="18"/>
                <w:szCs w:val="18"/>
              </w:rPr>
            </w:pPr>
            <w:r w:rsidRPr="004C78D8">
              <w:rPr>
                <w:sz w:val="18"/>
                <w:szCs w:val="18"/>
              </w:rPr>
              <w:t>CRC(3): frailty targeting</w:t>
            </w:r>
          </w:p>
        </w:tc>
        <w:tc>
          <w:tcPr>
            <w:tcW w:w="517" w:type="pct"/>
            <w:tcBorders>
              <w:top w:val="nil"/>
              <w:left w:val="nil"/>
              <w:bottom w:val="nil"/>
              <w:right w:val="single" w:sz="4" w:space="0" w:color="auto"/>
            </w:tcBorders>
            <w:shd w:val="clear" w:color="auto" w:fill="A6A6A6" w:themeFill="background1" w:themeFillShade="A6"/>
          </w:tcPr>
          <w:p w14:paraId="23B7930D" w14:textId="77777777" w:rsidR="00675188" w:rsidRPr="004C78D8" w:rsidRDefault="00675188" w:rsidP="00FB7C1F">
            <w:pPr>
              <w:jc w:val="left"/>
              <w:rPr>
                <w:rFonts w:cs="Times New Roman"/>
                <w:sz w:val="18"/>
                <w:szCs w:val="18"/>
              </w:rPr>
            </w:pPr>
            <w:r w:rsidRPr="004C78D8">
              <w:rPr>
                <w:rFonts w:cs="Times New Roman"/>
                <w:color w:val="000000"/>
                <w:sz w:val="18"/>
                <w:szCs w:val="18"/>
              </w:rPr>
              <w:t>2,020,901</w:t>
            </w:r>
          </w:p>
        </w:tc>
        <w:tc>
          <w:tcPr>
            <w:tcW w:w="518" w:type="pct"/>
            <w:tcBorders>
              <w:top w:val="nil"/>
              <w:left w:val="single" w:sz="4" w:space="0" w:color="auto"/>
              <w:bottom w:val="nil"/>
              <w:right w:val="single" w:sz="4" w:space="0" w:color="auto"/>
            </w:tcBorders>
            <w:shd w:val="clear" w:color="auto" w:fill="A6A6A6" w:themeFill="background1" w:themeFillShade="A6"/>
          </w:tcPr>
          <w:p w14:paraId="5491270D" w14:textId="77777777" w:rsidR="00675188" w:rsidRPr="004C78D8" w:rsidRDefault="00675188" w:rsidP="00FB7C1F">
            <w:pPr>
              <w:jc w:val="left"/>
              <w:rPr>
                <w:rFonts w:cs="Times New Roman"/>
                <w:sz w:val="18"/>
                <w:szCs w:val="18"/>
              </w:rPr>
            </w:pPr>
            <w:r w:rsidRPr="004C78D8">
              <w:rPr>
                <w:rFonts w:cs="Times New Roman"/>
                <w:color w:val="000000"/>
                <w:sz w:val="18"/>
                <w:szCs w:val="18"/>
              </w:rPr>
              <w:t>£10,172.88</w:t>
            </w:r>
          </w:p>
        </w:tc>
        <w:tc>
          <w:tcPr>
            <w:tcW w:w="518" w:type="pct"/>
            <w:tcBorders>
              <w:top w:val="nil"/>
              <w:left w:val="single" w:sz="4" w:space="0" w:color="auto"/>
              <w:bottom w:val="nil"/>
              <w:right w:val="single" w:sz="4" w:space="0" w:color="auto"/>
            </w:tcBorders>
            <w:shd w:val="clear" w:color="auto" w:fill="A6A6A6" w:themeFill="background1" w:themeFillShade="A6"/>
          </w:tcPr>
          <w:p w14:paraId="6CEB23D7" w14:textId="49315F80" w:rsidR="00675188" w:rsidRPr="004C78D8" w:rsidRDefault="00675188" w:rsidP="00FB7C1F">
            <w:pPr>
              <w:jc w:val="left"/>
              <w:rPr>
                <w:rFonts w:cs="Times New Roman"/>
                <w:color w:val="000000"/>
                <w:sz w:val="18"/>
                <w:szCs w:val="18"/>
              </w:rPr>
            </w:pPr>
            <w:r w:rsidRPr="004C78D8">
              <w:rPr>
                <w:rFonts w:cs="Times New Roman"/>
                <w:color w:val="000000"/>
                <w:sz w:val="18"/>
                <w:szCs w:val="18"/>
              </w:rPr>
              <w:t>6724</w:t>
            </w:r>
          </w:p>
        </w:tc>
        <w:tc>
          <w:tcPr>
            <w:tcW w:w="518" w:type="pct"/>
            <w:tcBorders>
              <w:top w:val="nil"/>
              <w:left w:val="single" w:sz="4" w:space="0" w:color="auto"/>
              <w:bottom w:val="nil"/>
              <w:right w:val="single" w:sz="4" w:space="0" w:color="auto"/>
            </w:tcBorders>
            <w:shd w:val="clear" w:color="auto" w:fill="A6A6A6" w:themeFill="background1" w:themeFillShade="A6"/>
          </w:tcPr>
          <w:p w14:paraId="3EBF0BB1" w14:textId="06299D07" w:rsidR="00675188" w:rsidRPr="004C78D8" w:rsidRDefault="00675188" w:rsidP="00FB7C1F">
            <w:pPr>
              <w:jc w:val="left"/>
              <w:rPr>
                <w:rFonts w:cs="Times New Roman"/>
                <w:color w:val="000000"/>
                <w:sz w:val="18"/>
                <w:szCs w:val="18"/>
              </w:rPr>
            </w:pPr>
            <w:r w:rsidRPr="004C78D8">
              <w:rPr>
                <w:rFonts w:cs="Times New Roman"/>
                <w:color w:val="000000"/>
                <w:sz w:val="18"/>
                <w:szCs w:val="18"/>
              </w:rPr>
              <w:t>£83,406,606</w:t>
            </w:r>
          </w:p>
        </w:tc>
        <w:tc>
          <w:tcPr>
            <w:tcW w:w="518" w:type="pct"/>
            <w:tcBorders>
              <w:top w:val="nil"/>
              <w:left w:val="single" w:sz="4" w:space="0" w:color="auto"/>
              <w:bottom w:val="nil"/>
              <w:right w:val="single" w:sz="4" w:space="0" w:color="auto"/>
            </w:tcBorders>
            <w:shd w:val="clear" w:color="auto" w:fill="A6A6A6" w:themeFill="background1" w:themeFillShade="A6"/>
          </w:tcPr>
          <w:p w14:paraId="5F93F0F7" w14:textId="50574356" w:rsidR="00675188" w:rsidRPr="004C78D8" w:rsidRDefault="00675188" w:rsidP="00FB7C1F">
            <w:pPr>
              <w:jc w:val="left"/>
              <w:rPr>
                <w:rFonts w:cs="Times New Roman"/>
                <w:sz w:val="18"/>
                <w:szCs w:val="18"/>
              </w:rPr>
            </w:pPr>
            <w:r w:rsidRPr="004C78D8">
              <w:rPr>
                <w:rFonts w:cs="Times New Roman"/>
                <w:color w:val="000000"/>
                <w:sz w:val="18"/>
                <w:szCs w:val="18"/>
              </w:rPr>
              <w:t>£12,405</w:t>
            </w:r>
          </w:p>
        </w:tc>
        <w:tc>
          <w:tcPr>
            <w:tcW w:w="518" w:type="pct"/>
            <w:tcBorders>
              <w:top w:val="nil"/>
              <w:left w:val="single" w:sz="4" w:space="0" w:color="auto"/>
              <w:bottom w:val="nil"/>
              <w:right w:val="single" w:sz="4" w:space="0" w:color="auto"/>
            </w:tcBorders>
            <w:shd w:val="clear" w:color="auto" w:fill="A6A6A6" w:themeFill="background1" w:themeFillShade="A6"/>
          </w:tcPr>
          <w:p w14:paraId="49902C5D" w14:textId="77777777" w:rsidR="00675188" w:rsidRPr="004C78D8" w:rsidRDefault="00675188" w:rsidP="00FB7C1F">
            <w:pPr>
              <w:jc w:val="left"/>
              <w:rPr>
                <w:rFonts w:cs="Times New Roman"/>
                <w:color w:val="000000"/>
                <w:sz w:val="18"/>
                <w:szCs w:val="18"/>
              </w:rPr>
            </w:pPr>
          </w:p>
        </w:tc>
        <w:tc>
          <w:tcPr>
            <w:tcW w:w="518" w:type="pct"/>
            <w:tcBorders>
              <w:top w:val="nil"/>
              <w:left w:val="single" w:sz="4" w:space="0" w:color="auto"/>
              <w:bottom w:val="nil"/>
              <w:right w:val="single" w:sz="4" w:space="0" w:color="auto"/>
            </w:tcBorders>
            <w:shd w:val="clear" w:color="auto" w:fill="A6A6A6" w:themeFill="background1" w:themeFillShade="A6"/>
          </w:tcPr>
          <w:p w14:paraId="3B02D68F" w14:textId="77777777" w:rsidR="00675188" w:rsidRPr="004C78D8" w:rsidRDefault="00675188" w:rsidP="00FB7C1F">
            <w:pPr>
              <w:jc w:val="left"/>
              <w:rPr>
                <w:rFonts w:cs="Times New Roman"/>
                <w:sz w:val="18"/>
                <w:szCs w:val="18"/>
              </w:rPr>
            </w:pPr>
            <w:r w:rsidRPr="004C78D8">
              <w:rPr>
                <w:rFonts w:cs="Times New Roman"/>
                <w:color w:val="000000"/>
                <w:sz w:val="18"/>
                <w:szCs w:val="18"/>
              </w:rPr>
              <w:t>£118,309,448</w:t>
            </w:r>
          </w:p>
        </w:tc>
      </w:tr>
      <w:tr w:rsidR="00675188" w:rsidRPr="004C78D8" w14:paraId="2A10C623" w14:textId="77777777" w:rsidTr="00E35893">
        <w:tc>
          <w:tcPr>
            <w:tcW w:w="209" w:type="pct"/>
            <w:tcBorders>
              <w:top w:val="nil"/>
              <w:bottom w:val="nil"/>
            </w:tcBorders>
            <w:shd w:val="clear" w:color="auto" w:fill="A6A6A6" w:themeFill="background1" w:themeFillShade="A6"/>
          </w:tcPr>
          <w:p w14:paraId="237252CA" w14:textId="77777777" w:rsidR="00675188" w:rsidRPr="004C78D8" w:rsidRDefault="00675188" w:rsidP="00FB7C1F">
            <w:pPr>
              <w:jc w:val="left"/>
              <w:rPr>
                <w:sz w:val="18"/>
                <w:szCs w:val="18"/>
              </w:rPr>
            </w:pPr>
            <w:r w:rsidRPr="004C78D8">
              <w:rPr>
                <w:sz w:val="18"/>
                <w:szCs w:val="18"/>
              </w:rPr>
              <w:t>[15]</w:t>
            </w:r>
          </w:p>
        </w:tc>
        <w:tc>
          <w:tcPr>
            <w:tcW w:w="1168" w:type="pct"/>
            <w:tcBorders>
              <w:top w:val="nil"/>
              <w:bottom w:val="nil"/>
            </w:tcBorders>
            <w:shd w:val="clear" w:color="auto" w:fill="A6A6A6" w:themeFill="background1" w:themeFillShade="A6"/>
          </w:tcPr>
          <w:p w14:paraId="73DEE59F" w14:textId="77777777" w:rsidR="00675188" w:rsidRPr="004C78D8" w:rsidRDefault="00675188" w:rsidP="00FB7C1F">
            <w:pPr>
              <w:jc w:val="left"/>
              <w:rPr>
                <w:sz w:val="18"/>
                <w:szCs w:val="18"/>
              </w:rPr>
            </w:pPr>
            <w:r w:rsidRPr="004C78D8">
              <w:rPr>
                <w:sz w:val="18"/>
                <w:szCs w:val="18"/>
              </w:rPr>
              <w:t>CRC(4) + PS societal costs</w:t>
            </w:r>
          </w:p>
        </w:tc>
        <w:tc>
          <w:tcPr>
            <w:tcW w:w="517" w:type="pct"/>
            <w:tcBorders>
              <w:top w:val="nil"/>
              <w:left w:val="nil"/>
              <w:bottom w:val="nil"/>
              <w:right w:val="single" w:sz="4" w:space="0" w:color="auto"/>
            </w:tcBorders>
            <w:shd w:val="clear" w:color="auto" w:fill="A6A6A6" w:themeFill="background1" w:themeFillShade="A6"/>
          </w:tcPr>
          <w:p w14:paraId="491C0796" w14:textId="77777777" w:rsidR="00675188" w:rsidRPr="004C78D8" w:rsidRDefault="00675188" w:rsidP="00FB7C1F">
            <w:pPr>
              <w:jc w:val="left"/>
              <w:rPr>
                <w:rFonts w:cs="Times New Roman"/>
                <w:sz w:val="18"/>
                <w:szCs w:val="18"/>
              </w:rPr>
            </w:pPr>
            <w:r w:rsidRPr="004C78D8">
              <w:rPr>
                <w:rFonts w:cs="Times New Roman"/>
                <w:color w:val="000000"/>
                <w:sz w:val="18"/>
                <w:szCs w:val="18"/>
              </w:rPr>
              <w:t>2,024,279</w:t>
            </w:r>
          </w:p>
        </w:tc>
        <w:tc>
          <w:tcPr>
            <w:tcW w:w="518" w:type="pct"/>
            <w:tcBorders>
              <w:top w:val="nil"/>
              <w:left w:val="single" w:sz="4" w:space="0" w:color="auto"/>
              <w:bottom w:val="nil"/>
              <w:right w:val="single" w:sz="4" w:space="0" w:color="auto"/>
            </w:tcBorders>
            <w:shd w:val="clear" w:color="auto" w:fill="A6A6A6" w:themeFill="background1" w:themeFillShade="A6"/>
          </w:tcPr>
          <w:p w14:paraId="535BE506" w14:textId="77777777" w:rsidR="00675188" w:rsidRPr="004C78D8" w:rsidRDefault="00675188" w:rsidP="00FB7C1F">
            <w:pPr>
              <w:jc w:val="left"/>
              <w:rPr>
                <w:rFonts w:cs="Times New Roman"/>
                <w:sz w:val="18"/>
                <w:szCs w:val="18"/>
              </w:rPr>
            </w:pPr>
            <w:r w:rsidRPr="004C78D8">
              <w:rPr>
                <w:rFonts w:cs="Times New Roman"/>
                <w:color w:val="000000"/>
                <w:sz w:val="18"/>
                <w:szCs w:val="18"/>
              </w:rPr>
              <w:t>£10,190.15</w:t>
            </w:r>
          </w:p>
        </w:tc>
        <w:tc>
          <w:tcPr>
            <w:tcW w:w="518" w:type="pct"/>
            <w:tcBorders>
              <w:top w:val="nil"/>
              <w:left w:val="single" w:sz="4" w:space="0" w:color="auto"/>
              <w:bottom w:val="nil"/>
              <w:right w:val="single" w:sz="4" w:space="0" w:color="auto"/>
            </w:tcBorders>
            <w:shd w:val="clear" w:color="auto" w:fill="A6A6A6" w:themeFill="background1" w:themeFillShade="A6"/>
          </w:tcPr>
          <w:p w14:paraId="69F28AF6" w14:textId="0579BBC3" w:rsidR="00675188" w:rsidRPr="004C78D8" w:rsidRDefault="00675188" w:rsidP="00FB7C1F">
            <w:pPr>
              <w:jc w:val="left"/>
              <w:rPr>
                <w:rFonts w:cs="Times New Roman"/>
                <w:color w:val="000000"/>
                <w:sz w:val="18"/>
                <w:szCs w:val="18"/>
              </w:rPr>
            </w:pPr>
            <w:r w:rsidRPr="004C78D8">
              <w:rPr>
                <w:rFonts w:cs="Times New Roman"/>
                <w:color w:val="000000"/>
                <w:sz w:val="18"/>
                <w:szCs w:val="18"/>
              </w:rPr>
              <w:t>10102</w:t>
            </w:r>
          </w:p>
        </w:tc>
        <w:tc>
          <w:tcPr>
            <w:tcW w:w="518" w:type="pct"/>
            <w:tcBorders>
              <w:top w:val="nil"/>
              <w:left w:val="single" w:sz="4" w:space="0" w:color="auto"/>
              <w:bottom w:val="nil"/>
              <w:right w:val="single" w:sz="4" w:space="0" w:color="auto"/>
            </w:tcBorders>
            <w:shd w:val="clear" w:color="auto" w:fill="A6A6A6" w:themeFill="background1" w:themeFillShade="A6"/>
          </w:tcPr>
          <w:p w14:paraId="518B7E9B" w14:textId="2A24CD61" w:rsidR="00675188" w:rsidRPr="004C78D8" w:rsidRDefault="00675188" w:rsidP="00FB7C1F">
            <w:pPr>
              <w:jc w:val="left"/>
              <w:rPr>
                <w:rFonts w:cs="Times New Roman"/>
                <w:color w:val="000000"/>
                <w:sz w:val="18"/>
                <w:szCs w:val="18"/>
              </w:rPr>
            </w:pPr>
            <w:r w:rsidRPr="004C78D8">
              <w:rPr>
                <w:rFonts w:cs="Times New Roman"/>
                <w:color w:val="000000"/>
                <w:sz w:val="18"/>
                <w:szCs w:val="18"/>
              </w:rPr>
              <w:t>£100,677,456</w:t>
            </w:r>
          </w:p>
        </w:tc>
        <w:tc>
          <w:tcPr>
            <w:tcW w:w="518" w:type="pct"/>
            <w:tcBorders>
              <w:top w:val="nil"/>
              <w:left w:val="single" w:sz="4" w:space="0" w:color="auto"/>
              <w:bottom w:val="nil"/>
              <w:right w:val="single" w:sz="4" w:space="0" w:color="auto"/>
            </w:tcBorders>
            <w:shd w:val="clear" w:color="auto" w:fill="A6A6A6" w:themeFill="background1" w:themeFillShade="A6"/>
          </w:tcPr>
          <w:p w14:paraId="076E07BA" w14:textId="423049C9" w:rsidR="00675188" w:rsidRPr="004C78D8" w:rsidRDefault="00675188" w:rsidP="00FB7C1F">
            <w:pPr>
              <w:jc w:val="left"/>
              <w:rPr>
                <w:rFonts w:cs="Times New Roman"/>
                <w:sz w:val="18"/>
                <w:szCs w:val="18"/>
              </w:rPr>
            </w:pPr>
            <w:r w:rsidRPr="004C78D8">
              <w:rPr>
                <w:rFonts w:cs="Times New Roman"/>
                <w:color w:val="000000"/>
                <w:sz w:val="18"/>
                <w:szCs w:val="18"/>
              </w:rPr>
              <w:t>£9,966</w:t>
            </w:r>
          </w:p>
        </w:tc>
        <w:tc>
          <w:tcPr>
            <w:tcW w:w="518" w:type="pct"/>
            <w:tcBorders>
              <w:top w:val="nil"/>
              <w:left w:val="single" w:sz="4" w:space="0" w:color="auto"/>
              <w:bottom w:val="nil"/>
              <w:right w:val="single" w:sz="4" w:space="0" w:color="auto"/>
            </w:tcBorders>
            <w:shd w:val="clear" w:color="auto" w:fill="A6A6A6" w:themeFill="background1" w:themeFillShade="A6"/>
          </w:tcPr>
          <w:p w14:paraId="232B174E" w14:textId="77777777" w:rsidR="00675188" w:rsidRPr="004C78D8" w:rsidRDefault="00675188" w:rsidP="00FB7C1F">
            <w:pPr>
              <w:jc w:val="left"/>
              <w:rPr>
                <w:rFonts w:cs="Times New Roman"/>
                <w:color w:val="000000"/>
                <w:sz w:val="18"/>
                <w:szCs w:val="18"/>
              </w:rPr>
            </w:pPr>
          </w:p>
        </w:tc>
        <w:tc>
          <w:tcPr>
            <w:tcW w:w="518" w:type="pct"/>
            <w:tcBorders>
              <w:top w:val="nil"/>
              <w:left w:val="single" w:sz="4" w:space="0" w:color="auto"/>
              <w:bottom w:val="nil"/>
              <w:right w:val="single" w:sz="4" w:space="0" w:color="auto"/>
            </w:tcBorders>
            <w:shd w:val="clear" w:color="auto" w:fill="A6A6A6" w:themeFill="background1" w:themeFillShade="A6"/>
          </w:tcPr>
          <w:p w14:paraId="4729CFAC" w14:textId="77777777" w:rsidR="00675188" w:rsidRPr="004C78D8" w:rsidRDefault="00675188" w:rsidP="00FB7C1F">
            <w:pPr>
              <w:jc w:val="left"/>
              <w:rPr>
                <w:rFonts w:cs="Times New Roman"/>
                <w:sz w:val="18"/>
                <w:szCs w:val="18"/>
              </w:rPr>
            </w:pPr>
            <w:r w:rsidRPr="004C78D8">
              <w:rPr>
                <w:rFonts w:cs="Times New Roman"/>
                <w:color w:val="000000"/>
                <w:sz w:val="18"/>
                <w:szCs w:val="18"/>
              </w:rPr>
              <w:t>£202,384,670</w:t>
            </w:r>
          </w:p>
        </w:tc>
      </w:tr>
      <w:tr w:rsidR="00675188" w:rsidRPr="004C78D8" w14:paraId="59EAB734" w14:textId="77777777" w:rsidTr="00E35893">
        <w:tc>
          <w:tcPr>
            <w:tcW w:w="209" w:type="pct"/>
            <w:tcBorders>
              <w:top w:val="nil"/>
              <w:bottom w:val="nil"/>
            </w:tcBorders>
            <w:shd w:val="clear" w:color="auto" w:fill="A6A6A6" w:themeFill="background1" w:themeFillShade="A6"/>
          </w:tcPr>
          <w:p w14:paraId="608DFF95" w14:textId="77777777" w:rsidR="00675188" w:rsidRPr="004C78D8" w:rsidRDefault="00675188" w:rsidP="00FB7C1F">
            <w:pPr>
              <w:jc w:val="left"/>
              <w:rPr>
                <w:sz w:val="18"/>
                <w:szCs w:val="18"/>
              </w:rPr>
            </w:pPr>
            <w:r w:rsidRPr="004C78D8">
              <w:rPr>
                <w:sz w:val="18"/>
                <w:szCs w:val="18"/>
              </w:rPr>
              <w:t>[16]</w:t>
            </w:r>
          </w:p>
        </w:tc>
        <w:tc>
          <w:tcPr>
            <w:tcW w:w="1168" w:type="pct"/>
            <w:tcBorders>
              <w:top w:val="nil"/>
              <w:bottom w:val="nil"/>
            </w:tcBorders>
            <w:shd w:val="clear" w:color="auto" w:fill="A6A6A6" w:themeFill="background1" w:themeFillShade="A6"/>
          </w:tcPr>
          <w:p w14:paraId="4292F349" w14:textId="77777777" w:rsidR="00675188" w:rsidRPr="004C78D8" w:rsidRDefault="00675188" w:rsidP="00FB7C1F">
            <w:pPr>
              <w:jc w:val="left"/>
              <w:rPr>
                <w:sz w:val="18"/>
                <w:szCs w:val="18"/>
              </w:rPr>
            </w:pPr>
            <w:r w:rsidRPr="004C78D8">
              <w:rPr>
                <w:sz w:val="18"/>
                <w:szCs w:val="18"/>
              </w:rPr>
              <w:t>CRC(2): no repeated provision</w:t>
            </w:r>
          </w:p>
        </w:tc>
        <w:tc>
          <w:tcPr>
            <w:tcW w:w="517" w:type="pct"/>
            <w:tcBorders>
              <w:top w:val="nil"/>
              <w:left w:val="nil"/>
              <w:bottom w:val="nil"/>
              <w:right w:val="single" w:sz="4" w:space="0" w:color="auto"/>
            </w:tcBorders>
            <w:shd w:val="clear" w:color="auto" w:fill="A6A6A6" w:themeFill="background1" w:themeFillShade="A6"/>
          </w:tcPr>
          <w:p w14:paraId="1A8C1089" w14:textId="77777777" w:rsidR="00675188" w:rsidRPr="004C78D8" w:rsidRDefault="00675188" w:rsidP="00FB7C1F">
            <w:pPr>
              <w:jc w:val="left"/>
              <w:rPr>
                <w:rFonts w:cs="Times New Roman"/>
                <w:sz w:val="18"/>
                <w:szCs w:val="18"/>
              </w:rPr>
            </w:pPr>
            <w:r w:rsidRPr="004C78D8">
              <w:rPr>
                <w:rFonts w:cs="Times New Roman"/>
                <w:color w:val="000000"/>
                <w:sz w:val="18"/>
                <w:szCs w:val="18"/>
              </w:rPr>
              <w:t>2,020,899</w:t>
            </w:r>
          </w:p>
        </w:tc>
        <w:tc>
          <w:tcPr>
            <w:tcW w:w="518" w:type="pct"/>
            <w:tcBorders>
              <w:top w:val="nil"/>
              <w:left w:val="single" w:sz="4" w:space="0" w:color="auto"/>
              <w:bottom w:val="nil"/>
              <w:right w:val="single" w:sz="4" w:space="0" w:color="auto"/>
            </w:tcBorders>
            <w:shd w:val="clear" w:color="auto" w:fill="A6A6A6" w:themeFill="background1" w:themeFillShade="A6"/>
          </w:tcPr>
          <w:p w14:paraId="0A632985" w14:textId="77777777" w:rsidR="00675188" w:rsidRPr="004C78D8" w:rsidRDefault="00675188" w:rsidP="00FB7C1F">
            <w:pPr>
              <w:jc w:val="left"/>
              <w:rPr>
                <w:rFonts w:cs="Times New Roman"/>
                <w:sz w:val="18"/>
                <w:szCs w:val="18"/>
              </w:rPr>
            </w:pPr>
            <w:r w:rsidRPr="004C78D8">
              <w:rPr>
                <w:rFonts w:cs="Times New Roman"/>
                <w:color w:val="000000"/>
                <w:sz w:val="18"/>
                <w:szCs w:val="18"/>
              </w:rPr>
              <w:t>£10,196.48</w:t>
            </w:r>
          </w:p>
        </w:tc>
        <w:tc>
          <w:tcPr>
            <w:tcW w:w="518" w:type="pct"/>
            <w:tcBorders>
              <w:top w:val="nil"/>
              <w:left w:val="single" w:sz="4" w:space="0" w:color="auto"/>
              <w:bottom w:val="nil"/>
              <w:right w:val="single" w:sz="4" w:space="0" w:color="auto"/>
            </w:tcBorders>
            <w:shd w:val="clear" w:color="auto" w:fill="A6A6A6" w:themeFill="background1" w:themeFillShade="A6"/>
          </w:tcPr>
          <w:p w14:paraId="18B771B4" w14:textId="60E7DC27" w:rsidR="00675188" w:rsidRPr="004C78D8" w:rsidRDefault="00675188" w:rsidP="00FB7C1F">
            <w:pPr>
              <w:jc w:val="left"/>
              <w:rPr>
                <w:rFonts w:cs="Times New Roman"/>
                <w:color w:val="000000"/>
                <w:sz w:val="18"/>
                <w:szCs w:val="18"/>
              </w:rPr>
            </w:pPr>
            <w:r w:rsidRPr="004C78D8">
              <w:rPr>
                <w:rFonts w:cs="Times New Roman"/>
                <w:color w:val="000000"/>
                <w:sz w:val="18"/>
                <w:szCs w:val="18"/>
              </w:rPr>
              <w:t>6722</w:t>
            </w:r>
          </w:p>
        </w:tc>
        <w:tc>
          <w:tcPr>
            <w:tcW w:w="518" w:type="pct"/>
            <w:tcBorders>
              <w:top w:val="nil"/>
              <w:left w:val="single" w:sz="4" w:space="0" w:color="auto"/>
              <w:bottom w:val="nil"/>
              <w:right w:val="single" w:sz="4" w:space="0" w:color="auto"/>
            </w:tcBorders>
            <w:shd w:val="clear" w:color="auto" w:fill="A6A6A6" w:themeFill="background1" w:themeFillShade="A6"/>
          </w:tcPr>
          <w:p w14:paraId="5A29ED83" w14:textId="39F59CCF" w:rsidR="00675188" w:rsidRPr="004C78D8" w:rsidRDefault="00675188" w:rsidP="00FB7C1F">
            <w:pPr>
              <w:jc w:val="left"/>
              <w:rPr>
                <w:rFonts w:cs="Times New Roman"/>
                <w:color w:val="000000"/>
                <w:sz w:val="18"/>
                <w:szCs w:val="18"/>
              </w:rPr>
            </w:pPr>
            <w:r w:rsidRPr="004C78D8">
              <w:rPr>
                <w:rFonts w:cs="Times New Roman"/>
                <w:color w:val="000000"/>
                <w:sz w:val="18"/>
                <w:szCs w:val="18"/>
              </w:rPr>
              <w:t>£107,003,622</w:t>
            </w:r>
          </w:p>
        </w:tc>
        <w:tc>
          <w:tcPr>
            <w:tcW w:w="518" w:type="pct"/>
            <w:tcBorders>
              <w:top w:val="nil"/>
              <w:left w:val="single" w:sz="4" w:space="0" w:color="auto"/>
              <w:bottom w:val="nil"/>
              <w:right w:val="single" w:sz="4" w:space="0" w:color="auto"/>
            </w:tcBorders>
            <w:shd w:val="clear" w:color="auto" w:fill="A6A6A6" w:themeFill="background1" w:themeFillShade="A6"/>
          </w:tcPr>
          <w:p w14:paraId="193C8D50" w14:textId="6F84F14C" w:rsidR="00675188" w:rsidRPr="004C78D8" w:rsidRDefault="00675188" w:rsidP="00FB7C1F">
            <w:pPr>
              <w:jc w:val="left"/>
              <w:rPr>
                <w:rFonts w:cs="Times New Roman"/>
                <w:sz w:val="18"/>
                <w:szCs w:val="18"/>
              </w:rPr>
            </w:pPr>
            <w:r w:rsidRPr="004C78D8">
              <w:rPr>
                <w:rFonts w:cs="Times New Roman"/>
                <w:color w:val="000000"/>
                <w:sz w:val="18"/>
                <w:szCs w:val="18"/>
              </w:rPr>
              <w:t>£15,917</w:t>
            </w:r>
          </w:p>
        </w:tc>
        <w:tc>
          <w:tcPr>
            <w:tcW w:w="518" w:type="pct"/>
            <w:tcBorders>
              <w:top w:val="nil"/>
              <w:left w:val="single" w:sz="4" w:space="0" w:color="auto"/>
              <w:bottom w:val="nil"/>
              <w:right w:val="single" w:sz="4" w:space="0" w:color="auto"/>
            </w:tcBorders>
            <w:shd w:val="clear" w:color="auto" w:fill="A6A6A6" w:themeFill="background1" w:themeFillShade="A6"/>
          </w:tcPr>
          <w:p w14:paraId="4306002B" w14:textId="77777777" w:rsidR="00675188" w:rsidRPr="004C78D8" w:rsidRDefault="00675188" w:rsidP="00FB7C1F">
            <w:pPr>
              <w:jc w:val="left"/>
              <w:rPr>
                <w:rFonts w:cs="Times New Roman"/>
                <w:color w:val="000000"/>
                <w:sz w:val="18"/>
                <w:szCs w:val="18"/>
              </w:rPr>
            </w:pPr>
          </w:p>
        </w:tc>
        <w:tc>
          <w:tcPr>
            <w:tcW w:w="518" w:type="pct"/>
            <w:tcBorders>
              <w:top w:val="nil"/>
              <w:left w:val="single" w:sz="4" w:space="0" w:color="auto"/>
              <w:bottom w:val="nil"/>
              <w:right w:val="single" w:sz="4" w:space="0" w:color="auto"/>
            </w:tcBorders>
            <w:shd w:val="clear" w:color="auto" w:fill="A6A6A6" w:themeFill="background1" w:themeFillShade="A6"/>
          </w:tcPr>
          <w:p w14:paraId="58413DBF" w14:textId="77777777" w:rsidR="00675188" w:rsidRPr="004C78D8" w:rsidRDefault="00675188" w:rsidP="00FB7C1F">
            <w:pPr>
              <w:jc w:val="left"/>
              <w:rPr>
                <w:rFonts w:cs="Times New Roman"/>
                <w:sz w:val="18"/>
                <w:szCs w:val="18"/>
              </w:rPr>
            </w:pPr>
            <w:r w:rsidRPr="004C78D8">
              <w:rPr>
                <w:rFonts w:cs="Times New Roman"/>
                <w:color w:val="000000"/>
                <w:sz w:val="18"/>
                <w:szCs w:val="18"/>
              </w:rPr>
              <w:t>£94,669,816</w:t>
            </w:r>
          </w:p>
        </w:tc>
      </w:tr>
      <w:tr w:rsidR="00675188" w:rsidRPr="004C78D8" w14:paraId="088D6280" w14:textId="77777777" w:rsidTr="00E35893">
        <w:tc>
          <w:tcPr>
            <w:tcW w:w="209" w:type="pct"/>
            <w:tcBorders>
              <w:top w:val="nil"/>
              <w:bottom w:val="nil"/>
            </w:tcBorders>
            <w:shd w:val="clear" w:color="auto" w:fill="A6A6A6" w:themeFill="background1" w:themeFillShade="A6"/>
          </w:tcPr>
          <w:p w14:paraId="1C833889" w14:textId="77777777" w:rsidR="00675188" w:rsidRPr="004C78D8" w:rsidRDefault="00675188" w:rsidP="00FB7C1F">
            <w:pPr>
              <w:jc w:val="left"/>
              <w:rPr>
                <w:sz w:val="18"/>
                <w:szCs w:val="18"/>
              </w:rPr>
            </w:pPr>
            <w:r w:rsidRPr="004C78D8">
              <w:rPr>
                <w:sz w:val="18"/>
                <w:szCs w:val="18"/>
              </w:rPr>
              <w:t>[17]</w:t>
            </w:r>
          </w:p>
        </w:tc>
        <w:tc>
          <w:tcPr>
            <w:tcW w:w="1168" w:type="pct"/>
            <w:tcBorders>
              <w:top w:val="nil"/>
              <w:bottom w:val="nil"/>
            </w:tcBorders>
            <w:shd w:val="clear" w:color="auto" w:fill="A6A6A6" w:themeFill="background1" w:themeFillShade="A6"/>
          </w:tcPr>
          <w:p w14:paraId="711C8FCC" w14:textId="77777777" w:rsidR="00675188" w:rsidRPr="004C78D8" w:rsidRDefault="00675188" w:rsidP="00FB7C1F">
            <w:pPr>
              <w:jc w:val="left"/>
              <w:rPr>
                <w:sz w:val="18"/>
                <w:szCs w:val="18"/>
              </w:rPr>
            </w:pPr>
            <w:r w:rsidRPr="004C78D8">
              <w:rPr>
                <w:sz w:val="18"/>
                <w:szCs w:val="18"/>
              </w:rPr>
              <w:t>UC + universal FH removal</w:t>
            </w:r>
          </w:p>
        </w:tc>
        <w:tc>
          <w:tcPr>
            <w:tcW w:w="517" w:type="pct"/>
            <w:tcBorders>
              <w:top w:val="nil"/>
              <w:left w:val="nil"/>
              <w:bottom w:val="nil"/>
              <w:right w:val="single" w:sz="4" w:space="0" w:color="auto"/>
            </w:tcBorders>
            <w:shd w:val="clear" w:color="auto" w:fill="A6A6A6" w:themeFill="background1" w:themeFillShade="A6"/>
          </w:tcPr>
          <w:p w14:paraId="6FC56F81" w14:textId="77777777" w:rsidR="00675188" w:rsidRPr="004C78D8" w:rsidRDefault="00675188" w:rsidP="00FB7C1F">
            <w:pPr>
              <w:jc w:val="left"/>
              <w:rPr>
                <w:rFonts w:cs="Times New Roman"/>
                <w:sz w:val="18"/>
                <w:szCs w:val="18"/>
              </w:rPr>
            </w:pPr>
            <w:r w:rsidRPr="004C78D8">
              <w:rPr>
                <w:rFonts w:cs="Times New Roman"/>
                <w:color w:val="000000"/>
                <w:sz w:val="18"/>
                <w:szCs w:val="18"/>
              </w:rPr>
              <w:t>2,026,880</w:t>
            </w:r>
          </w:p>
        </w:tc>
        <w:tc>
          <w:tcPr>
            <w:tcW w:w="518" w:type="pct"/>
            <w:tcBorders>
              <w:top w:val="nil"/>
              <w:left w:val="single" w:sz="4" w:space="0" w:color="auto"/>
              <w:bottom w:val="nil"/>
              <w:right w:val="single" w:sz="4" w:space="0" w:color="auto"/>
            </w:tcBorders>
            <w:shd w:val="clear" w:color="auto" w:fill="A6A6A6" w:themeFill="background1" w:themeFillShade="A6"/>
          </w:tcPr>
          <w:p w14:paraId="0453A55F" w14:textId="77777777" w:rsidR="00675188" w:rsidRPr="004C78D8" w:rsidRDefault="00675188" w:rsidP="00FB7C1F">
            <w:pPr>
              <w:jc w:val="left"/>
              <w:rPr>
                <w:rFonts w:cs="Times New Roman"/>
                <w:sz w:val="18"/>
                <w:szCs w:val="18"/>
              </w:rPr>
            </w:pPr>
            <w:r w:rsidRPr="004C78D8">
              <w:rPr>
                <w:rFonts w:cs="Times New Roman"/>
                <w:color w:val="000000"/>
                <w:sz w:val="18"/>
                <w:szCs w:val="18"/>
              </w:rPr>
              <w:t>£10,213.75</w:t>
            </w:r>
          </w:p>
        </w:tc>
        <w:tc>
          <w:tcPr>
            <w:tcW w:w="518" w:type="pct"/>
            <w:tcBorders>
              <w:top w:val="nil"/>
              <w:left w:val="single" w:sz="4" w:space="0" w:color="auto"/>
              <w:bottom w:val="nil"/>
              <w:right w:val="single" w:sz="4" w:space="0" w:color="auto"/>
            </w:tcBorders>
            <w:shd w:val="clear" w:color="auto" w:fill="A6A6A6" w:themeFill="background1" w:themeFillShade="A6"/>
          </w:tcPr>
          <w:p w14:paraId="055CFFBE" w14:textId="1E8D8678" w:rsidR="00675188" w:rsidRPr="004C78D8" w:rsidRDefault="00675188" w:rsidP="00FB7C1F">
            <w:pPr>
              <w:jc w:val="left"/>
              <w:rPr>
                <w:rFonts w:cs="Times New Roman"/>
                <w:color w:val="000000"/>
                <w:sz w:val="18"/>
                <w:szCs w:val="18"/>
              </w:rPr>
            </w:pPr>
            <w:r w:rsidRPr="004C78D8">
              <w:rPr>
                <w:rFonts w:cs="Times New Roman"/>
                <w:color w:val="000000"/>
                <w:sz w:val="18"/>
                <w:szCs w:val="18"/>
              </w:rPr>
              <w:t>12703</w:t>
            </w:r>
          </w:p>
        </w:tc>
        <w:tc>
          <w:tcPr>
            <w:tcW w:w="518" w:type="pct"/>
            <w:tcBorders>
              <w:top w:val="nil"/>
              <w:left w:val="single" w:sz="4" w:space="0" w:color="auto"/>
              <w:bottom w:val="nil"/>
              <w:right w:val="single" w:sz="4" w:space="0" w:color="auto"/>
            </w:tcBorders>
            <w:shd w:val="clear" w:color="auto" w:fill="A6A6A6" w:themeFill="background1" w:themeFillShade="A6"/>
          </w:tcPr>
          <w:p w14:paraId="5EA4DCDE" w14:textId="366C7832" w:rsidR="00675188" w:rsidRPr="004C78D8" w:rsidRDefault="00675188" w:rsidP="00FB7C1F">
            <w:pPr>
              <w:jc w:val="left"/>
              <w:rPr>
                <w:rFonts w:cs="Times New Roman"/>
                <w:color w:val="000000"/>
                <w:sz w:val="18"/>
                <w:szCs w:val="18"/>
              </w:rPr>
            </w:pPr>
            <w:r w:rsidRPr="004C78D8">
              <w:rPr>
                <w:rFonts w:cs="Times New Roman"/>
                <w:color w:val="000000"/>
                <w:sz w:val="18"/>
                <w:szCs w:val="18"/>
              </w:rPr>
              <w:t>£124,271,326</w:t>
            </w:r>
          </w:p>
        </w:tc>
        <w:tc>
          <w:tcPr>
            <w:tcW w:w="518" w:type="pct"/>
            <w:tcBorders>
              <w:top w:val="nil"/>
              <w:left w:val="single" w:sz="4" w:space="0" w:color="auto"/>
              <w:bottom w:val="nil"/>
              <w:right w:val="single" w:sz="4" w:space="0" w:color="auto"/>
            </w:tcBorders>
            <w:shd w:val="clear" w:color="auto" w:fill="A6A6A6" w:themeFill="background1" w:themeFillShade="A6"/>
          </w:tcPr>
          <w:p w14:paraId="17FBEA95" w14:textId="1589B301" w:rsidR="00675188" w:rsidRPr="004C78D8" w:rsidRDefault="00675188" w:rsidP="00FB7C1F">
            <w:pPr>
              <w:jc w:val="left"/>
              <w:rPr>
                <w:rFonts w:cs="Times New Roman"/>
                <w:sz w:val="18"/>
                <w:szCs w:val="18"/>
              </w:rPr>
            </w:pPr>
            <w:r w:rsidRPr="004C78D8">
              <w:rPr>
                <w:rFonts w:cs="Times New Roman"/>
                <w:color w:val="000000"/>
                <w:sz w:val="18"/>
                <w:szCs w:val="18"/>
              </w:rPr>
              <w:t>£9,783</w:t>
            </w:r>
          </w:p>
        </w:tc>
        <w:tc>
          <w:tcPr>
            <w:tcW w:w="518" w:type="pct"/>
            <w:tcBorders>
              <w:top w:val="nil"/>
              <w:left w:val="single" w:sz="4" w:space="0" w:color="auto"/>
              <w:bottom w:val="nil"/>
              <w:right w:val="single" w:sz="4" w:space="0" w:color="auto"/>
            </w:tcBorders>
            <w:shd w:val="clear" w:color="auto" w:fill="A6A6A6" w:themeFill="background1" w:themeFillShade="A6"/>
          </w:tcPr>
          <w:p w14:paraId="36630B07" w14:textId="77777777" w:rsidR="00675188" w:rsidRPr="004C78D8" w:rsidRDefault="00675188" w:rsidP="00FB7C1F">
            <w:pPr>
              <w:jc w:val="left"/>
              <w:rPr>
                <w:rFonts w:cs="Times New Roman"/>
                <w:color w:val="000000"/>
                <w:sz w:val="18"/>
                <w:szCs w:val="18"/>
              </w:rPr>
            </w:pPr>
          </w:p>
        </w:tc>
        <w:tc>
          <w:tcPr>
            <w:tcW w:w="518" w:type="pct"/>
            <w:tcBorders>
              <w:top w:val="nil"/>
              <w:left w:val="single" w:sz="4" w:space="0" w:color="auto"/>
              <w:bottom w:val="nil"/>
              <w:right w:val="single" w:sz="4" w:space="0" w:color="auto"/>
            </w:tcBorders>
            <w:shd w:val="clear" w:color="auto" w:fill="A6A6A6" w:themeFill="background1" w:themeFillShade="A6"/>
          </w:tcPr>
          <w:p w14:paraId="10AAEE87" w14:textId="77777777" w:rsidR="00675188" w:rsidRPr="004C78D8" w:rsidRDefault="00675188" w:rsidP="00FB7C1F">
            <w:pPr>
              <w:jc w:val="left"/>
              <w:rPr>
                <w:rFonts w:cs="Times New Roman"/>
                <w:sz w:val="18"/>
                <w:szCs w:val="18"/>
              </w:rPr>
            </w:pPr>
            <w:r w:rsidRPr="004C78D8">
              <w:rPr>
                <w:rFonts w:cs="Times New Roman"/>
                <w:color w:val="000000"/>
                <w:sz w:val="18"/>
                <w:szCs w:val="18"/>
              </w:rPr>
              <w:t>£256,830,286</w:t>
            </w:r>
          </w:p>
        </w:tc>
      </w:tr>
      <w:tr w:rsidR="00675188" w:rsidRPr="004C78D8" w14:paraId="1737F788" w14:textId="77777777" w:rsidTr="00E35893">
        <w:tc>
          <w:tcPr>
            <w:tcW w:w="209" w:type="pct"/>
            <w:tcBorders>
              <w:top w:val="nil"/>
              <w:bottom w:val="nil"/>
            </w:tcBorders>
            <w:shd w:val="clear" w:color="auto" w:fill="D9D9D9" w:themeFill="background1" w:themeFillShade="D9"/>
          </w:tcPr>
          <w:p w14:paraId="3308777B" w14:textId="77777777" w:rsidR="00675188" w:rsidRPr="004C78D8" w:rsidRDefault="00675188" w:rsidP="00FB7C1F">
            <w:pPr>
              <w:jc w:val="left"/>
              <w:rPr>
                <w:sz w:val="18"/>
                <w:szCs w:val="18"/>
              </w:rPr>
            </w:pPr>
            <w:r w:rsidRPr="004C78D8">
              <w:rPr>
                <w:sz w:val="18"/>
                <w:szCs w:val="18"/>
              </w:rPr>
              <w:t>[18]</w:t>
            </w:r>
          </w:p>
        </w:tc>
        <w:tc>
          <w:tcPr>
            <w:tcW w:w="1168" w:type="pct"/>
            <w:tcBorders>
              <w:top w:val="nil"/>
              <w:bottom w:val="nil"/>
            </w:tcBorders>
            <w:shd w:val="clear" w:color="auto" w:fill="D9D9D9" w:themeFill="background1" w:themeFillShade="D9"/>
          </w:tcPr>
          <w:p w14:paraId="66DC7F40" w14:textId="54E1C464" w:rsidR="00675188" w:rsidRPr="004C78D8" w:rsidRDefault="00675188" w:rsidP="00FB7C1F">
            <w:pPr>
              <w:jc w:val="left"/>
              <w:rPr>
                <w:sz w:val="18"/>
                <w:szCs w:val="18"/>
              </w:rPr>
            </w:pPr>
            <w:r w:rsidRPr="004C78D8">
              <w:rPr>
                <w:sz w:val="18"/>
                <w:szCs w:val="18"/>
              </w:rPr>
              <w:t>CRC(4) + 3</w:t>
            </w:r>
            <w:r w:rsidRPr="004C78D8">
              <w:rPr>
                <w:sz w:val="18"/>
                <w:szCs w:val="18"/>
                <w:vertAlign w:val="superscript"/>
              </w:rPr>
              <w:t>rd</w:t>
            </w:r>
            <w:r w:rsidRPr="004C78D8">
              <w:rPr>
                <w:sz w:val="18"/>
                <w:szCs w:val="18"/>
              </w:rPr>
              <w:t>/4</w:t>
            </w:r>
            <w:r w:rsidRPr="004C78D8">
              <w:rPr>
                <w:sz w:val="18"/>
                <w:szCs w:val="18"/>
                <w:vertAlign w:val="superscript"/>
              </w:rPr>
              <w:t>th</w:t>
            </w:r>
            <w:r w:rsidRPr="004C78D8">
              <w:rPr>
                <w:sz w:val="18"/>
                <w:szCs w:val="18"/>
              </w:rPr>
              <w:t xml:space="preserve"> SES FH removal</w:t>
            </w:r>
            <w:r w:rsidR="00BB3A00" w:rsidRPr="004C78D8">
              <w:rPr>
                <w:sz w:val="18"/>
                <w:szCs w:val="18"/>
                <w:vertAlign w:val="superscript"/>
              </w:rPr>
              <w:t>4</w:t>
            </w:r>
          </w:p>
        </w:tc>
        <w:tc>
          <w:tcPr>
            <w:tcW w:w="517" w:type="pct"/>
            <w:tcBorders>
              <w:top w:val="nil"/>
              <w:left w:val="nil"/>
              <w:bottom w:val="nil"/>
              <w:right w:val="single" w:sz="4" w:space="0" w:color="auto"/>
            </w:tcBorders>
            <w:shd w:val="clear" w:color="auto" w:fill="D9D9D9" w:themeFill="background1" w:themeFillShade="D9"/>
          </w:tcPr>
          <w:p w14:paraId="340AA4B9" w14:textId="77777777" w:rsidR="00675188" w:rsidRPr="004C78D8" w:rsidRDefault="00675188" w:rsidP="00FB7C1F">
            <w:pPr>
              <w:jc w:val="left"/>
              <w:rPr>
                <w:rFonts w:cs="Times New Roman"/>
                <w:sz w:val="18"/>
                <w:szCs w:val="18"/>
              </w:rPr>
            </w:pPr>
            <w:r w:rsidRPr="004C78D8">
              <w:rPr>
                <w:rFonts w:cs="Times New Roman"/>
                <w:color w:val="000000"/>
                <w:sz w:val="18"/>
                <w:szCs w:val="18"/>
              </w:rPr>
              <w:t>2,029,194</w:t>
            </w:r>
          </w:p>
        </w:tc>
        <w:tc>
          <w:tcPr>
            <w:tcW w:w="518" w:type="pct"/>
            <w:tcBorders>
              <w:top w:val="nil"/>
              <w:left w:val="single" w:sz="4" w:space="0" w:color="auto"/>
              <w:bottom w:val="nil"/>
              <w:right w:val="single" w:sz="4" w:space="0" w:color="auto"/>
            </w:tcBorders>
            <w:shd w:val="clear" w:color="auto" w:fill="D9D9D9" w:themeFill="background1" w:themeFillShade="D9"/>
          </w:tcPr>
          <w:p w14:paraId="175E2B52" w14:textId="77777777" w:rsidR="00675188" w:rsidRPr="004C78D8" w:rsidRDefault="00675188" w:rsidP="00FB7C1F">
            <w:pPr>
              <w:jc w:val="left"/>
              <w:rPr>
                <w:rFonts w:cs="Times New Roman"/>
                <w:sz w:val="18"/>
                <w:szCs w:val="18"/>
              </w:rPr>
            </w:pPr>
            <w:r w:rsidRPr="004C78D8">
              <w:rPr>
                <w:rFonts w:cs="Times New Roman"/>
                <w:color w:val="000000"/>
                <w:sz w:val="18"/>
                <w:szCs w:val="18"/>
              </w:rPr>
              <w:t>£10,219.49</w:t>
            </w:r>
          </w:p>
        </w:tc>
        <w:tc>
          <w:tcPr>
            <w:tcW w:w="518" w:type="pct"/>
            <w:tcBorders>
              <w:top w:val="nil"/>
              <w:left w:val="single" w:sz="4" w:space="0" w:color="auto"/>
              <w:bottom w:val="nil"/>
              <w:right w:val="single" w:sz="4" w:space="0" w:color="auto"/>
            </w:tcBorders>
            <w:shd w:val="clear" w:color="auto" w:fill="D9D9D9" w:themeFill="background1" w:themeFillShade="D9"/>
          </w:tcPr>
          <w:p w14:paraId="33AAE145" w14:textId="7A4BDE64" w:rsidR="00675188" w:rsidRPr="004C78D8" w:rsidRDefault="00675188" w:rsidP="00FB7C1F">
            <w:pPr>
              <w:jc w:val="left"/>
              <w:rPr>
                <w:rFonts w:cs="Times New Roman"/>
                <w:color w:val="000000"/>
                <w:sz w:val="18"/>
                <w:szCs w:val="18"/>
              </w:rPr>
            </w:pPr>
            <w:r w:rsidRPr="004C78D8">
              <w:rPr>
                <w:rFonts w:cs="Times New Roman"/>
                <w:color w:val="000000"/>
                <w:sz w:val="18"/>
                <w:szCs w:val="18"/>
              </w:rPr>
              <w:t>15016</w:t>
            </w:r>
          </w:p>
        </w:tc>
        <w:tc>
          <w:tcPr>
            <w:tcW w:w="518" w:type="pct"/>
            <w:tcBorders>
              <w:top w:val="nil"/>
              <w:left w:val="single" w:sz="4" w:space="0" w:color="auto"/>
              <w:bottom w:val="nil"/>
              <w:right w:val="single" w:sz="4" w:space="0" w:color="auto"/>
            </w:tcBorders>
            <w:shd w:val="clear" w:color="auto" w:fill="D9D9D9" w:themeFill="background1" w:themeFillShade="D9"/>
          </w:tcPr>
          <w:p w14:paraId="7E1CE479" w14:textId="4B9FA66D" w:rsidR="00675188" w:rsidRPr="004C78D8" w:rsidRDefault="00675188" w:rsidP="00FB7C1F">
            <w:pPr>
              <w:jc w:val="left"/>
              <w:rPr>
                <w:rFonts w:cs="Times New Roman"/>
                <w:color w:val="000000"/>
                <w:sz w:val="18"/>
                <w:szCs w:val="18"/>
              </w:rPr>
            </w:pPr>
            <w:r w:rsidRPr="004C78D8">
              <w:rPr>
                <w:rFonts w:cs="Times New Roman"/>
                <w:color w:val="000000"/>
                <w:sz w:val="18"/>
                <w:szCs w:val="18"/>
              </w:rPr>
              <w:t>£130,019,256</w:t>
            </w:r>
          </w:p>
        </w:tc>
        <w:tc>
          <w:tcPr>
            <w:tcW w:w="518" w:type="pct"/>
            <w:tcBorders>
              <w:top w:val="nil"/>
              <w:left w:val="single" w:sz="4" w:space="0" w:color="auto"/>
              <w:bottom w:val="nil"/>
              <w:right w:val="single" w:sz="4" w:space="0" w:color="auto"/>
            </w:tcBorders>
            <w:shd w:val="clear" w:color="auto" w:fill="D9D9D9" w:themeFill="background1" w:themeFillShade="D9"/>
          </w:tcPr>
          <w:p w14:paraId="12B0A1AA" w14:textId="75BA10A1" w:rsidR="00675188" w:rsidRPr="004C78D8" w:rsidRDefault="00675188" w:rsidP="00FB7C1F">
            <w:pPr>
              <w:jc w:val="left"/>
              <w:rPr>
                <w:rFonts w:cs="Times New Roman"/>
                <w:sz w:val="18"/>
                <w:szCs w:val="18"/>
              </w:rPr>
            </w:pPr>
            <w:r w:rsidRPr="004C78D8">
              <w:rPr>
                <w:rFonts w:cs="Times New Roman"/>
                <w:color w:val="000000"/>
                <w:sz w:val="18"/>
                <w:szCs w:val="18"/>
              </w:rPr>
              <w:t>£8,658</w:t>
            </w:r>
          </w:p>
        </w:tc>
        <w:tc>
          <w:tcPr>
            <w:tcW w:w="518" w:type="pct"/>
            <w:tcBorders>
              <w:top w:val="nil"/>
              <w:left w:val="single" w:sz="4" w:space="0" w:color="auto"/>
              <w:bottom w:val="nil"/>
              <w:right w:val="single" w:sz="4" w:space="0" w:color="auto"/>
            </w:tcBorders>
            <w:shd w:val="clear" w:color="auto" w:fill="D9D9D9" w:themeFill="background1" w:themeFillShade="D9"/>
          </w:tcPr>
          <w:p w14:paraId="1D36A511" w14:textId="77777777" w:rsidR="00675188" w:rsidRPr="004C78D8" w:rsidRDefault="00675188" w:rsidP="00FB7C1F">
            <w:pPr>
              <w:jc w:val="left"/>
              <w:rPr>
                <w:rFonts w:cs="Times New Roman"/>
                <w:color w:val="000000"/>
                <w:sz w:val="18"/>
                <w:szCs w:val="18"/>
              </w:rPr>
            </w:pPr>
          </w:p>
        </w:tc>
        <w:tc>
          <w:tcPr>
            <w:tcW w:w="518" w:type="pct"/>
            <w:tcBorders>
              <w:top w:val="nil"/>
              <w:left w:val="single" w:sz="4" w:space="0" w:color="auto"/>
              <w:bottom w:val="nil"/>
              <w:right w:val="single" w:sz="4" w:space="0" w:color="auto"/>
            </w:tcBorders>
            <w:shd w:val="clear" w:color="auto" w:fill="D9D9D9" w:themeFill="background1" w:themeFillShade="D9"/>
          </w:tcPr>
          <w:p w14:paraId="54673A64" w14:textId="77777777" w:rsidR="00675188" w:rsidRPr="004C78D8" w:rsidRDefault="00675188" w:rsidP="00FB7C1F">
            <w:pPr>
              <w:jc w:val="left"/>
              <w:rPr>
                <w:rFonts w:cs="Times New Roman"/>
                <w:sz w:val="18"/>
                <w:szCs w:val="18"/>
              </w:rPr>
            </w:pPr>
            <w:r w:rsidRPr="004C78D8">
              <w:rPr>
                <w:rFonts w:cs="Times New Roman"/>
                <w:color w:val="000000"/>
                <w:sz w:val="18"/>
                <w:szCs w:val="18"/>
              </w:rPr>
              <w:t>£320,475,176</w:t>
            </w:r>
          </w:p>
        </w:tc>
      </w:tr>
      <w:tr w:rsidR="00675188" w:rsidRPr="004C78D8" w14:paraId="226F1406" w14:textId="77777777" w:rsidTr="00E35893">
        <w:tc>
          <w:tcPr>
            <w:tcW w:w="209" w:type="pct"/>
            <w:tcBorders>
              <w:top w:val="nil"/>
              <w:bottom w:val="nil"/>
            </w:tcBorders>
          </w:tcPr>
          <w:p w14:paraId="591FD0C8" w14:textId="77777777" w:rsidR="00675188" w:rsidRPr="004C78D8" w:rsidRDefault="00675188" w:rsidP="00FB7C1F">
            <w:pPr>
              <w:jc w:val="left"/>
              <w:rPr>
                <w:sz w:val="18"/>
                <w:szCs w:val="18"/>
              </w:rPr>
            </w:pPr>
            <w:r w:rsidRPr="004C78D8">
              <w:rPr>
                <w:sz w:val="18"/>
                <w:szCs w:val="18"/>
              </w:rPr>
              <w:t>[19]</w:t>
            </w:r>
          </w:p>
        </w:tc>
        <w:tc>
          <w:tcPr>
            <w:tcW w:w="1168" w:type="pct"/>
            <w:tcBorders>
              <w:top w:val="nil"/>
              <w:bottom w:val="nil"/>
            </w:tcBorders>
          </w:tcPr>
          <w:p w14:paraId="34996139" w14:textId="77777777" w:rsidR="00675188" w:rsidRPr="004C78D8" w:rsidRDefault="00675188" w:rsidP="00FB7C1F">
            <w:pPr>
              <w:jc w:val="left"/>
              <w:rPr>
                <w:sz w:val="18"/>
                <w:szCs w:val="18"/>
              </w:rPr>
            </w:pPr>
            <w:r w:rsidRPr="004C78D8">
              <w:rPr>
                <w:sz w:val="18"/>
                <w:szCs w:val="18"/>
              </w:rPr>
              <w:t>CRC(4) + universal FH removal</w:t>
            </w:r>
          </w:p>
        </w:tc>
        <w:tc>
          <w:tcPr>
            <w:tcW w:w="517" w:type="pct"/>
            <w:tcBorders>
              <w:top w:val="nil"/>
              <w:left w:val="nil"/>
              <w:bottom w:val="nil"/>
              <w:right w:val="single" w:sz="4" w:space="0" w:color="auto"/>
            </w:tcBorders>
            <w:shd w:val="clear" w:color="auto" w:fill="auto"/>
          </w:tcPr>
          <w:p w14:paraId="7B339601" w14:textId="77777777" w:rsidR="00675188" w:rsidRPr="004C78D8" w:rsidRDefault="00675188" w:rsidP="00FB7C1F">
            <w:pPr>
              <w:jc w:val="left"/>
              <w:rPr>
                <w:rFonts w:cs="Times New Roman"/>
                <w:sz w:val="18"/>
                <w:szCs w:val="18"/>
              </w:rPr>
            </w:pPr>
            <w:r w:rsidRPr="004C78D8">
              <w:rPr>
                <w:rFonts w:cs="Times New Roman"/>
                <w:color w:val="000000"/>
                <w:sz w:val="18"/>
                <w:szCs w:val="18"/>
              </w:rPr>
              <w:t>2,035,091</w:t>
            </w:r>
          </w:p>
        </w:tc>
        <w:tc>
          <w:tcPr>
            <w:tcW w:w="518" w:type="pct"/>
            <w:tcBorders>
              <w:top w:val="nil"/>
              <w:left w:val="single" w:sz="4" w:space="0" w:color="auto"/>
              <w:bottom w:val="nil"/>
              <w:right w:val="single" w:sz="4" w:space="0" w:color="auto"/>
            </w:tcBorders>
            <w:shd w:val="clear" w:color="auto" w:fill="auto"/>
          </w:tcPr>
          <w:p w14:paraId="050E9D74" w14:textId="77777777" w:rsidR="00675188" w:rsidRPr="004C78D8" w:rsidRDefault="00675188" w:rsidP="00FB7C1F">
            <w:pPr>
              <w:jc w:val="left"/>
              <w:rPr>
                <w:rFonts w:cs="Times New Roman"/>
                <w:sz w:val="18"/>
                <w:szCs w:val="18"/>
              </w:rPr>
            </w:pPr>
            <w:r w:rsidRPr="004C78D8">
              <w:rPr>
                <w:rFonts w:cs="Times New Roman"/>
                <w:color w:val="000000"/>
                <w:sz w:val="18"/>
                <w:szCs w:val="18"/>
              </w:rPr>
              <w:t>£10,312.22</w:t>
            </w:r>
          </w:p>
        </w:tc>
        <w:tc>
          <w:tcPr>
            <w:tcW w:w="518" w:type="pct"/>
            <w:tcBorders>
              <w:top w:val="nil"/>
              <w:left w:val="single" w:sz="4" w:space="0" w:color="auto"/>
              <w:bottom w:val="nil"/>
              <w:right w:val="single" w:sz="4" w:space="0" w:color="auto"/>
            </w:tcBorders>
          </w:tcPr>
          <w:p w14:paraId="7A4622FF" w14:textId="46C0866E" w:rsidR="00675188" w:rsidRPr="004C78D8" w:rsidRDefault="00675188" w:rsidP="00FB7C1F">
            <w:pPr>
              <w:jc w:val="left"/>
              <w:rPr>
                <w:rFonts w:cs="Times New Roman"/>
                <w:color w:val="000000"/>
                <w:sz w:val="18"/>
                <w:szCs w:val="18"/>
              </w:rPr>
            </w:pPr>
            <w:r w:rsidRPr="004C78D8">
              <w:rPr>
                <w:rFonts w:cs="Times New Roman"/>
                <w:color w:val="000000"/>
                <w:sz w:val="18"/>
                <w:szCs w:val="18"/>
              </w:rPr>
              <w:t>20914</w:t>
            </w:r>
          </w:p>
        </w:tc>
        <w:tc>
          <w:tcPr>
            <w:tcW w:w="518" w:type="pct"/>
            <w:tcBorders>
              <w:top w:val="nil"/>
              <w:left w:val="single" w:sz="4" w:space="0" w:color="auto"/>
              <w:bottom w:val="nil"/>
              <w:right w:val="single" w:sz="4" w:space="0" w:color="auto"/>
            </w:tcBorders>
          </w:tcPr>
          <w:p w14:paraId="0A79C8BF" w14:textId="62F1F3D7" w:rsidR="00675188" w:rsidRPr="004C78D8" w:rsidRDefault="00675188" w:rsidP="00FB7C1F">
            <w:pPr>
              <w:jc w:val="left"/>
              <w:rPr>
                <w:rFonts w:cs="Times New Roman"/>
                <w:color w:val="000000"/>
                <w:sz w:val="18"/>
                <w:szCs w:val="18"/>
              </w:rPr>
            </w:pPr>
            <w:r w:rsidRPr="004C78D8">
              <w:rPr>
                <w:rFonts w:cs="Times New Roman"/>
                <w:color w:val="000000"/>
                <w:sz w:val="18"/>
                <w:szCs w:val="18"/>
              </w:rPr>
              <w:t>£222,747,128</w:t>
            </w:r>
          </w:p>
        </w:tc>
        <w:tc>
          <w:tcPr>
            <w:tcW w:w="518" w:type="pct"/>
            <w:tcBorders>
              <w:top w:val="nil"/>
              <w:left w:val="single" w:sz="4" w:space="0" w:color="auto"/>
              <w:bottom w:val="nil"/>
              <w:right w:val="single" w:sz="4" w:space="0" w:color="auto"/>
            </w:tcBorders>
            <w:shd w:val="clear" w:color="auto" w:fill="auto"/>
          </w:tcPr>
          <w:p w14:paraId="1CBB0CA3" w14:textId="3575FD0E" w:rsidR="00675188" w:rsidRPr="004C78D8" w:rsidRDefault="00675188" w:rsidP="00FB7C1F">
            <w:pPr>
              <w:jc w:val="left"/>
              <w:rPr>
                <w:rFonts w:cs="Times New Roman"/>
                <w:sz w:val="18"/>
                <w:szCs w:val="18"/>
              </w:rPr>
            </w:pPr>
            <w:r w:rsidRPr="004C78D8">
              <w:rPr>
                <w:rFonts w:cs="Times New Roman"/>
                <w:color w:val="000000"/>
                <w:sz w:val="18"/>
                <w:szCs w:val="18"/>
              </w:rPr>
              <w:t>£10,651</w:t>
            </w:r>
          </w:p>
        </w:tc>
        <w:tc>
          <w:tcPr>
            <w:tcW w:w="518" w:type="pct"/>
            <w:tcBorders>
              <w:top w:val="nil"/>
              <w:left w:val="single" w:sz="4" w:space="0" w:color="auto"/>
              <w:bottom w:val="nil"/>
              <w:right w:val="single" w:sz="4" w:space="0" w:color="auto"/>
            </w:tcBorders>
          </w:tcPr>
          <w:p w14:paraId="4EE0841C" w14:textId="77777777" w:rsidR="00675188" w:rsidRPr="004C78D8" w:rsidRDefault="00675188" w:rsidP="00FB7C1F">
            <w:pPr>
              <w:jc w:val="left"/>
              <w:rPr>
                <w:rFonts w:cs="Times New Roman"/>
                <w:color w:val="000000"/>
                <w:sz w:val="18"/>
                <w:szCs w:val="18"/>
              </w:rPr>
            </w:pPr>
            <w:r w:rsidRPr="004C78D8">
              <w:rPr>
                <w:rFonts w:cs="Times New Roman"/>
                <w:color w:val="000000"/>
                <w:sz w:val="18"/>
                <w:szCs w:val="18"/>
              </w:rPr>
              <w:t>£20,691</w:t>
            </w:r>
          </w:p>
        </w:tc>
        <w:tc>
          <w:tcPr>
            <w:tcW w:w="518" w:type="pct"/>
            <w:tcBorders>
              <w:top w:val="nil"/>
              <w:left w:val="single" w:sz="4" w:space="0" w:color="auto"/>
              <w:bottom w:val="nil"/>
              <w:right w:val="single" w:sz="4" w:space="0" w:color="auto"/>
            </w:tcBorders>
            <w:shd w:val="clear" w:color="auto" w:fill="auto"/>
          </w:tcPr>
          <w:p w14:paraId="1638F72C" w14:textId="77777777" w:rsidR="00675188" w:rsidRPr="004C78D8" w:rsidRDefault="00675188" w:rsidP="00FB7C1F">
            <w:pPr>
              <w:jc w:val="left"/>
              <w:rPr>
                <w:rFonts w:cs="Times New Roman"/>
                <w:sz w:val="18"/>
                <w:szCs w:val="18"/>
              </w:rPr>
            </w:pPr>
            <w:r w:rsidRPr="004C78D8">
              <w:rPr>
                <w:rFonts w:cs="Times New Roman"/>
                <w:color w:val="000000"/>
                <w:sz w:val="18"/>
                <w:szCs w:val="18"/>
              </w:rPr>
              <w:t>£404,679,723</w:t>
            </w:r>
          </w:p>
        </w:tc>
      </w:tr>
      <w:tr w:rsidR="00675188" w:rsidRPr="004C78D8" w14:paraId="0FF3059E" w14:textId="77777777" w:rsidTr="00E35893">
        <w:tc>
          <w:tcPr>
            <w:tcW w:w="209" w:type="pct"/>
            <w:tcBorders>
              <w:top w:val="nil"/>
              <w:bottom w:val="nil"/>
            </w:tcBorders>
            <w:shd w:val="clear" w:color="auto" w:fill="A6A6A6" w:themeFill="background1" w:themeFillShade="A6"/>
          </w:tcPr>
          <w:p w14:paraId="1A5FF722" w14:textId="77777777" w:rsidR="00675188" w:rsidRPr="004C78D8" w:rsidRDefault="00675188" w:rsidP="00FB7C1F">
            <w:pPr>
              <w:jc w:val="left"/>
              <w:rPr>
                <w:sz w:val="18"/>
                <w:szCs w:val="18"/>
              </w:rPr>
            </w:pPr>
            <w:r w:rsidRPr="004C78D8">
              <w:rPr>
                <w:sz w:val="18"/>
                <w:szCs w:val="18"/>
              </w:rPr>
              <w:t>[20]</w:t>
            </w:r>
          </w:p>
        </w:tc>
        <w:tc>
          <w:tcPr>
            <w:tcW w:w="1168" w:type="pct"/>
            <w:tcBorders>
              <w:top w:val="nil"/>
              <w:bottom w:val="nil"/>
            </w:tcBorders>
            <w:shd w:val="clear" w:color="auto" w:fill="A6A6A6" w:themeFill="background1" w:themeFillShade="A6"/>
          </w:tcPr>
          <w:p w14:paraId="6E989BBB" w14:textId="77777777" w:rsidR="00675188" w:rsidRPr="004C78D8" w:rsidRDefault="00675188" w:rsidP="00FB7C1F">
            <w:pPr>
              <w:jc w:val="left"/>
              <w:rPr>
                <w:sz w:val="18"/>
                <w:szCs w:val="18"/>
              </w:rPr>
            </w:pPr>
            <w:r w:rsidRPr="004C78D8">
              <w:rPr>
                <w:sz w:val="18"/>
                <w:szCs w:val="18"/>
              </w:rPr>
              <w:t>RC proactive pathway only</w:t>
            </w:r>
          </w:p>
        </w:tc>
        <w:tc>
          <w:tcPr>
            <w:tcW w:w="517" w:type="pct"/>
            <w:tcBorders>
              <w:top w:val="nil"/>
              <w:left w:val="nil"/>
              <w:bottom w:val="nil"/>
              <w:right w:val="single" w:sz="4" w:space="0" w:color="auto"/>
            </w:tcBorders>
            <w:shd w:val="clear" w:color="auto" w:fill="A6A6A6" w:themeFill="background1" w:themeFillShade="A6"/>
          </w:tcPr>
          <w:p w14:paraId="6F9B409A" w14:textId="77777777" w:rsidR="00675188" w:rsidRPr="004C78D8" w:rsidRDefault="00675188" w:rsidP="00FB7C1F">
            <w:pPr>
              <w:jc w:val="left"/>
              <w:rPr>
                <w:rFonts w:cs="Times New Roman"/>
                <w:sz w:val="18"/>
                <w:szCs w:val="18"/>
              </w:rPr>
            </w:pPr>
            <w:r w:rsidRPr="004C78D8">
              <w:rPr>
                <w:rFonts w:cs="Times New Roman"/>
                <w:color w:val="000000"/>
                <w:sz w:val="18"/>
                <w:szCs w:val="18"/>
              </w:rPr>
              <w:t>2,025,448</w:t>
            </w:r>
          </w:p>
        </w:tc>
        <w:tc>
          <w:tcPr>
            <w:tcW w:w="518" w:type="pct"/>
            <w:tcBorders>
              <w:top w:val="nil"/>
              <w:left w:val="single" w:sz="4" w:space="0" w:color="auto"/>
              <w:bottom w:val="nil"/>
              <w:right w:val="single" w:sz="4" w:space="0" w:color="auto"/>
            </w:tcBorders>
            <w:shd w:val="clear" w:color="auto" w:fill="A6A6A6" w:themeFill="background1" w:themeFillShade="A6"/>
          </w:tcPr>
          <w:p w14:paraId="320A54E6" w14:textId="77777777" w:rsidR="00675188" w:rsidRPr="004C78D8" w:rsidRDefault="00675188" w:rsidP="00FB7C1F">
            <w:pPr>
              <w:jc w:val="left"/>
              <w:rPr>
                <w:rFonts w:cs="Times New Roman"/>
                <w:sz w:val="18"/>
                <w:szCs w:val="18"/>
              </w:rPr>
            </w:pPr>
            <w:r w:rsidRPr="004C78D8">
              <w:rPr>
                <w:rFonts w:cs="Times New Roman"/>
                <w:color w:val="000000"/>
                <w:sz w:val="18"/>
                <w:szCs w:val="18"/>
              </w:rPr>
              <w:t>£10,321.90</w:t>
            </w:r>
          </w:p>
        </w:tc>
        <w:tc>
          <w:tcPr>
            <w:tcW w:w="518" w:type="pct"/>
            <w:tcBorders>
              <w:top w:val="nil"/>
              <w:left w:val="single" w:sz="4" w:space="0" w:color="auto"/>
              <w:bottom w:val="nil"/>
              <w:right w:val="single" w:sz="4" w:space="0" w:color="auto"/>
            </w:tcBorders>
            <w:shd w:val="clear" w:color="auto" w:fill="A6A6A6" w:themeFill="background1" w:themeFillShade="A6"/>
          </w:tcPr>
          <w:p w14:paraId="3AE291DA" w14:textId="77245CB0" w:rsidR="00675188" w:rsidRPr="004C78D8" w:rsidRDefault="00675188" w:rsidP="00FB7C1F">
            <w:pPr>
              <w:jc w:val="left"/>
              <w:rPr>
                <w:rFonts w:cs="Times New Roman"/>
                <w:color w:val="000000"/>
                <w:sz w:val="18"/>
                <w:szCs w:val="18"/>
              </w:rPr>
            </w:pPr>
            <w:r w:rsidRPr="004C78D8">
              <w:rPr>
                <w:rFonts w:cs="Times New Roman"/>
                <w:color w:val="000000"/>
                <w:sz w:val="18"/>
                <w:szCs w:val="18"/>
              </w:rPr>
              <w:t>11271</w:t>
            </w:r>
          </w:p>
        </w:tc>
        <w:tc>
          <w:tcPr>
            <w:tcW w:w="518" w:type="pct"/>
            <w:tcBorders>
              <w:top w:val="nil"/>
              <w:left w:val="single" w:sz="4" w:space="0" w:color="auto"/>
              <w:bottom w:val="nil"/>
              <w:right w:val="single" w:sz="4" w:space="0" w:color="auto"/>
            </w:tcBorders>
            <w:shd w:val="clear" w:color="auto" w:fill="A6A6A6" w:themeFill="background1" w:themeFillShade="A6"/>
          </w:tcPr>
          <w:p w14:paraId="77494EF1" w14:textId="4904C71F" w:rsidR="00675188" w:rsidRPr="004C78D8" w:rsidRDefault="00675188" w:rsidP="00FB7C1F">
            <w:pPr>
              <w:jc w:val="left"/>
              <w:rPr>
                <w:rFonts w:cs="Times New Roman"/>
                <w:color w:val="000000"/>
                <w:sz w:val="18"/>
                <w:szCs w:val="18"/>
              </w:rPr>
            </w:pPr>
            <w:r w:rsidRPr="004C78D8">
              <w:rPr>
                <w:rFonts w:cs="Times New Roman"/>
                <w:color w:val="000000"/>
                <w:sz w:val="18"/>
                <w:szCs w:val="18"/>
              </w:rPr>
              <w:t>£232,429,283</w:t>
            </w:r>
          </w:p>
        </w:tc>
        <w:tc>
          <w:tcPr>
            <w:tcW w:w="518" w:type="pct"/>
            <w:tcBorders>
              <w:top w:val="nil"/>
              <w:left w:val="single" w:sz="4" w:space="0" w:color="auto"/>
              <w:bottom w:val="nil"/>
              <w:right w:val="single" w:sz="4" w:space="0" w:color="auto"/>
            </w:tcBorders>
            <w:shd w:val="clear" w:color="auto" w:fill="A6A6A6" w:themeFill="background1" w:themeFillShade="A6"/>
          </w:tcPr>
          <w:p w14:paraId="5167C642" w14:textId="7D1705E0" w:rsidR="00675188" w:rsidRPr="004C78D8" w:rsidRDefault="00675188" w:rsidP="00FB7C1F">
            <w:pPr>
              <w:jc w:val="left"/>
              <w:rPr>
                <w:rFonts w:cs="Times New Roman"/>
                <w:sz w:val="18"/>
                <w:szCs w:val="18"/>
              </w:rPr>
            </w:pPr>
            <w:r w:rsidRPr="004C78D8">
              <w:rPr>
                <w:rFonts w:cs="Times New Roman"/>
                <w:color w:val="000000"/>
                <w:sz w:val="18"/>
                <w:szCs w:val="18"/>
              </w:rPr>
              <w:t>£20,622</w:t>
            </w:r>
          </w:p>
        </w:tc>
        <w:tc>
          <w:tcPr>
            <w:tcW w:w="518" w:type="pct"/>
            <w:tcBorders>
              <w:top w:val="nil"/>
              <w:left w:val="single" w:sz="4" w:space="0" w:color="auto"/>
              <w:bottom w:val="nil"/>
              <w:right w:val="single" w:sz="4" w:space="0" w:color="auto"/>
            </w:tcBorders>
            <w:shd w:val="clear" w:color="auto" w:fill="A6A6A6" w:themeFill="background1" w:themeFillShade="A6"/>
          </w:tcPr>
          <w:p w14:paraId="152DAF7D" w14:textId="77777777" w:rsidR="00675188" w:rsidRPr="004C78D8" w:rsidRDefault="00675188" w:rsidP="00FB7C1F">
            <w:pPr>
              <w:jc w:val="left"/>
              <w:rPr>
                <w:rFonts w:cs="Times New Roman"/>
                <w:color w:val="000000"/>
                <w:sz w:val="18"/>
                <w:szCs w:val="18"/>
              </w:rPr>
            </w:pPr>
          </w:p>
        </w:tc>
        <w:tc>
          <w:tcPr>
            <w:tcW w:w="518" w:type="pct"/>
            <w:tcBorders>
              <w:top w:val="nil"/>
              <w:left w:val="single" w:sz="4" w:space="0" w:color="auto"/>
              <w:bottom w:val="nil"/>
              <w:right w:val="single" w:sz="4" w:space="0" w:color="auto"/>
            </w:tcBorders>
            <w:shd w:val="clear" w:color="auto" w:fill="A6A6A6" w:themeFill="background1" w:themeFillShade="A6"/>
          </w:tcPr>
          <w:p w14:paraId="14B21C43" w14:textId="77777777" w:rsidR="00675188" w:rsidRPr="004C78D8" w:rsidRDefault="00675188" w:rsidP="00FB7C1F">
            <w:pPr>
              <w:jc w:val="left"/>
              <w:rPr>
                <w:rFonts w:cs="Times New Roman"/>
                <w:sz w:val="18"/>
                <w:szCs w:val="18"/>
              </w:rPr>
            </w:pPr>
            <w:r w:rsidRPr="004C78D8">
              <w:rPr>
                <w:rFonts w:cs="Times New Roman"/>
                <w:color w:val="000000"/>
                <w:sz w:val="18"/>
                <w:szCs w:val="18"/>
              </w:rPr>
              <w:t>£105,706,657</w:t>
            </w:r>
          </w:p>
        </w:tc>
      </w:tr>
      <w:tr w:rsidR="00675188" w:rsidRPr="004C78D8" w14:paraId="52622FEF" w14:textId="77777777" w:rsidTr="00E35893">
        <w:tc>
          <w:tcPr>
            <w:tcW w:w="209" w:type="pct"/>
            <w:tcBorders>
              <w:top w:val="nil"/>
              <w:bottom w:val="nil"/>
            </w:tcBorders>
            <w:shd w:val="clear" w:color="auto" w:fill="A6A6A6" w:themeFill="background1" w:themeFillShade="A6"/>
          </w:tcPr>
          <w:p w14:paraId="792B389D" w14:textId="77777777" w:rsidR="00675188" w:rsidRPr="004C78D8" w:rsidRDefault="00675188" w:rsidP="00FB7C1F">
            <w:pPr>
              <w:jc w:val="left"/>
              <w:rPr>
                <w:sz w:val="18"/>
                <w:szCs w:val="18"/>
              </w:rPr>
            </w:pPr>
            <w:r w:rsidRPr="004C78D8">
              <w:rPr>
                <w:sz w:val="18"/>
                <w:szCs w:val="18"/>
              </w:rPr>
              <w:t>[21]</w:t>
            </w:r>
          </w:p>
        </w:tc>
        <w:tc>
          <w:tcPr>
            <w:tcW w:w="1168" w:type="pct"/>
            <w:tcBorders>
              <w:top w:val="nil"/>
              <w:bottom w:val="nil"/>
            </w:tcBorders>
            <w:shd w:val="clear" w:color="auto" w:fill="A6A6A6" w:themeFill="background1" w:themeFillShade="A6"/>
          </w:tcPr>
          <w:p w14:paraId="0A27E469" w14:textId="77777777" w:rsidR="00675188" w:rsidRPr="004C78D8" w:rsidRDefault="00675188" w:rsidP="00FB7C1F">
            <w:pPr>
              <w:jc w:val="left"/>
              <w:rPr>
                <w:sz w:val="18"/>
                <w:szCs w:val="18"/>
              </w:rPr>
            </w:pPr>
            <w:r w:rsidRPr="004C78D8">
              <w:rPr>
                <w:sz w:val="18"/>
                <w:szCs w:val="18"/>
              </w:rPr>
              <w:t>RC reactive &amp; proactive pathways</w:t>
            </w:r>
          </w:p>
        </w:tc>
        <w:tc>
          <w:tcPr>
            <w:tcW w:w="517" w:type="pct"/>
            <w:tcBorders>
              <w:top w:val="nil"/>
              <w:left w:val="nil"/>
              <w:bottom w:val="nil"/>
              <w:right w:val="single" w:sz="4" w:space="0" w:color="auto"/>
            </w:tcBorders>
            <w:shd w:val="clear" w:color="auto" w:fill="A6A6A6" w:themeFill="background1" w:themeFillShade="A6"/>
          </w:tcPr>
          <w:p w14:paraId="37724FE9" w14:textId="77777777" w:rsidR="00675188" w:rsidRPr="004C78D8" w:rsidRDefault="00675188" w:rsidP="00FB7C1F">
            <w:pPr>
              <w:jc w:val="left"/>
              <w:rPr>
                <w:rFonts w:cs="Times New Roman"/>
                <w:sz w:val="18"/>
                <w:szCs w:val="18"/>
              </w:rPr>
            </w:pPr>
            <w:r w:rsidRPr="004C78D8">
              <w:rPr>
                <w:rFonts w:cs="Times New Roman"/>
                <w:color w:val="000000"/>
                <w:sz w:val="18"/>
                <w:szCs w:val="18"/>
              </w:rPr>
              <w:t>2,027,687</w:t>
            </w:r>
          </w:p>
        </w:tc>
        <w:tc>
          <w:tcPr>
            <w:tcW w:w="518" w:type="pct"/>
            <w:tcBorders>
              <w:top w:val="nil"/>
              <w:left w:val="single" w:sz="4" w:space="0" w:color="auto"/>
              <w:bottom w:val="nil"/>
              <w:right w:val="single" w:sz="4" w:space="0" w:color="auto"/>
            </w:tcBorders>
            <w:shd w:val="clear" w:color="auto" w:fill="A6A6A6" w:themeFill="background1" w:themeFillShade="A6"/>
          </w:tcPr>
          <w:p w14:paraId="3770673A" w14:textId="77777777" w:rsidR="00675188" w:rsidRPr="004C78D8" w:rsidRDefault="00675188" w:rsidP="00FB7C1F">
            <w:pPr>
              <w:jc w:val="left"/>
              <w:rPr>
                <w:rFonts w:cs="Times New Roman"/>
                <w:sz w:val="18"/>
                <w:szCs w:val="18"/>
              </w:rPr>
            </w:pPr>
            <w:r w:rsidRPr="004C78D8">
              <w:rPr>
                <w:rFonts w:cs="Times New Roman"/>
                <w:color w:val="000000"/>
                <w:sz w:val="18"/>
                <w:szCs w:val="18"/>
              </w:rPr>
              <w:t>£10,325.96</w:t>
            </w:r>
          </w:p>
        </w:tc>
        <w:tc>
          <w:tcPr>
            <w:tcW w:w="518" w:type="pct"/>
            <w:tcBorders>
              <w:top w:val="nil"/>
              <w:left w:val="single" w:sz="4" w:space="0" w:color="auto"/>
              <w:bottom w:val="nil"/>
              <w:right w:val="single" w:sz="4" w:space="0" w:color="auto"/>
            </w:tcBorders>
            <w:shd w:val="clear" w:color="auto" w:fill="A6A6A6" w:themeFill="background1" w:themeFillShade="A6"/>
          </w:tcPr>
          <w:p w14:paraId="6D93C5F0" w14:textId="5757BB6A" w:rsidR="00675188" w:rsidRPr="004C78D8" w:rsidRDefault="00675188" w:rsidP="00FB7C1F">
            <w:pPr>
              <w:jc w:val="left"/>
              <w:rPr>
                <w:rFonts w:cs="Times New Roman"/>
                <w:color w:val="000000"/>
                <w:sz w:val="18"/>
                <w:szCs w:val="18"/>
              </w:rPr>
            </w:pPr>
            <w:r w:rsidRPr="004C78D8">
              <w:rPr>
                <w:rFonts w:cs="Times New Roman"/>
                <w:color w:val="000000"/>
                <w:sz w:val="18"/>
                <w:szCs w:val="18"/>
              </w:rPr>
              <w:t>13510</w:t>
            </w:r>
          </w:p>
        </w:tc>
        <w:tc>
          <w:tcPr>
            <w:tcW w:w="518" w:type="pct"/>
            <w:tcBorders>
              <w:top w:val="nil"/>
              <w:left w:val="single" w:sz="4" w:space="0" w:color="auto"/>
              <w:bottom w:val="nil"/>
              <w:right w:val="single" w:sz="4" w:space="0" w:color="auto"/>
            </w:tcBorders>
            <w:shd w:val="clear" w:color="auto" w:fill="A6A6A6" w:themeFill="background1" w:themeFillShade="A6"/>
          </w:tcPr>
          <w:p w14:paraId="4098B7AB" w14:textId="5BBDB277" w:rsidR="00675188" w:rsidRPr="004C78D8" w:rsidRDefault="00675188" w:rsidP="00FB7C1F">
            <w:pPr>
              <w:jc w:val="left"/>
              <w:rPr>
                <w:rFonts w:cs="Times New Roman"/>
                <w:color w:val="000000"/>
                <w:sz w:val="18"/>
                <w:szCs w:val="18"/>
              </w:rPr>
            </w:pPr>
            <w:r w:rsidRPr="004C78D8">
              <w:rPr>
                <w:rFonts w:cs="Times New Roman"/>
                <w:color w:val="000000"/>
                <w:sz w:val="18"/>
                <w:szCs w:val="18"/>
              </w:rPr>
              <w:t>£236,483,262</w:t>
            </w:r>
          </w:p>
        </w:tc>
        <w:tc>
          <w:tcPr>
            <w:tcW w:w="518" w:type="pct"/>
            <w:tcBorders>
              <w:top w:val="nil"/>
              <w:left w:val="single" w:sz="4" w:space="0" w:color="auto"/>
              <w:bottom w:val="nil"/>
              <w:right w:val="single" w:sz="4" w:space="0" w:color="auto"/>
            </w:tcBorders>
            <w:shd w:val="clear" w:color="auto" w:fill="A6A6A6" w:themeFill="background1" w:themeFillShade="A6"/>
          </w:tcPr>
          <w:p w14:paraId="6E34DDC8" w14:textId="52667B65" w:rsidR="00675188" w:rsidRPr="004C78D8" w:rsidRDefault="00675188" w:rsidP="00FB7C1F">
            <w:pPr>
              <w:jc w:val="left"/>
              <w:rPr>
                <w:rFonts w:cs="Times New Roman"/>
                <w:sz w:val="18"/>
                <w:szCs w:val="18"/>
              </w:rPr>
            </w:pPr>
            <w:r w:rsidRPr="004C78D8">
              <w:rPr>
                <w:rFonts w:cs="Times New Roman"/>
                <w:color w:val="000000"/>
                <w:sz w:val="18"/>
                <w:szCs w:val="18"/>
              </w:rPr>
              <w:t>£17,505</w:t>
            </w:r>
          </w:p>
        </w:tc>
        <w:tc>
          <w:tcPr>
            <w:tcW w:w="518" w:type="pct"/>
            <w:tcBorders>
              <w:top w:val="nil"/>
              <w:left w:val="single" w:sz="4" w:space="0" w:color="auto"/>
              <w:bottom w:val="nil"/>
              <w:right w:val="single" w:sz="4" w:space="0" w:color="auto"/>
            </w:tcBorders>
            <w:shd w:val="clear" w:color="auto" w:fill="A6A6A6" w:themeFill="background1" w:themeFillShade="A6"/>
          </w:tcPr>
          <w:p w14:paraId="7D2D26F5" w14:textId="77777777" w:rsidR="00675188" w:rsidRPr="004C78D8" w:rsidRDefault="00675188" w:rsidP="00FB7C1F">
            <w:pPr>
              <w:jc w:val="left"/>
              <w:rPr>
                <w:rFonts w:cs="Times New Roman"/>
                <w:color w:val="000000"/>
                <w:sz w:val="18"/>
                <w:szCs w:val="18"/>
              </w:rPr>
            </w:pPr>
          </w:p>
        </w:tc>
        <w:tc>
          <w:tcPr>
            <w:tcW w:w="518" w:type="pct"/>
            <w:tcBorders>
              <w:top w:val="nil"/>
              <w:left w:val="single" w:sz="4" w:space="0" w:color="auto"/>
              <w:bottom w:val="nil"/>
              <w:right w:val="single" w:sz="4" w:space="0" w:color="auto"/>
            </w:tcBorders>
            <w:shd w:val="clear" w:color="auto" w:fill="A6A6A6" w:themeFill="background1" w:themeFillShade="A6"/>
          </w:tcPr>
          <w:p w14:paraId="483C7506" w14:textId="77777777" w:rsidR="00675188" w:rsidRPr="004C78D8" w:rsidRDefault="00675188" w:rsidP="00FB7C1F">
            <w:pPr>
              <w:jc w:val="left"/>
              <w:rPr>
                <w:rFonts w:cs="Times New Roman"/>
                <w:sz w:val="18"/>
                <w:szCs w:val="18"/>
              </w:rPr>
            </w:pPr>
            <w:r w:rsidRPr="004C78D8">
              <w:rPr>
                <w:rFonts w:cs="Times New Roman"/>
                <w:color w:val="000000"/>
                <w:sz w:val="18"/>
                <w:szCs w:val="18"/>
              </w:rPr>
              <w:t>£168,808,598</w:t>
            </w:r>
          </w:p>
        </w:tc>
      </w:tr>
      <w:tr w:rsidR="00675188" w:rsidRPr="004C78D8" w14:paraId="27B236AA" w14:textId="77777777" w:rsidTr="00E35893">
        <w:tc>
          <w:tcPr>
            <w:tcW w:w="209" w:type="pct"/>
            <w:tcBorders>
              <w:top w:val="nil"/>
              <w:bottom w:val="nil"/>
            </w:tcBorders>
          </w:tcPr>
          <w:p w14:paraId="1BD5CBFA" w14:textId="77777777" w:rsidR="00675188" w:rsidRPr="004C78D8" w:rsidRDefault="00675188" w:rsidP="00FB7C1F">
            <w:pPr>
              <w:jc w:val="left"/>
              <w:rPr>
                <w:sz w:val="18"/>
                <w:szCs w:val="18"/>
              </w:rPr>
            </w:pPr>
            <w:r w:rsidRPr="004C78D8">
              <w:rPr>
                <w:sz w:val="18"/>
                <w:szCs w:val="18"/>
              </w:rPr>
              <w:t>[22]</w:t>
            </w:r>
          </w:p>
        </w:tc>
        <w:tc>
          <w:tcPr>
            <w:tcW w:w="1168" w:type="pct"/>
            <w:tcBorders>
              <w:top w:val="nil"/>
              <w:bottom w:val="nil"/>
            </w:tcBorders>
          </w:tcPr>
          <w:p w14:paraId="73FEFBBA" w14:textId="77777777" w:rsidR="00675188" w:rsidRPr="004C78D8" w:rsidRDefault="00675188" w:rsidP="00FB7C1F">
            <w:pPr>
              <w:jc w:val="left"/>
              <w:rPr>
                <w:sz w:val="18"/>
                <w:szCs w:val="18"/>
              </w:rPr>
            </w:pPr>
            <w:r w:rsidRPr="004C78D8">
              <w:rPr>
                <w:sz w:val="18"/>
                <w:szCs w:val="18"/>
              </w:rPr>
              <w:t>RC</w:t>
            </w:r>
          </w:p>
        </w:tc>
        <w:tc>
          <w:tcPr>
            <w:tcW w:w="517" w:type="pct"/>
            <w:tcBorders>
              <w:top w:val="nil"/>
              <w:left w:val="nil"/>
              <w:bottom w:val="nil"/>
              <w:right w:val="single" w:sz="4" w:space="0" w:color="auto"/>
            </w:tcBorders>
            <w:shd w:val="clear" w:color="auto" w:fill="auto"/>
          </w:tcPr>
          <w:p w14:paraId="180BFA78" w14:textId="77777777" w:rsidR="00675188" w:rsidRPr="004C78D8" w:rsidRDefault="00675188" w:rsidP="00FB7C1F">
            <w:pPr>
              <w:jc w:val="left"/>
              <w:rPr>
                <w:rFonts w:cs="Times New Roman"/>
                <w:sz w:val="18"/>
                <w:szCs w:val="18"/>
              </w:rPr>
            </w:pPr>
            <w:r w:rsidRPr="004C78D8">
              <w:rPr>
                <w:rFonts w:cs="Times New Roman"/>
                <w:color w:val="000000"/>
                <w:sz w:val="18"/>
                <w:szCs w:val="18"/>
              </w:rPr>
              <w:t>2,035,126</w:t>
            </w:r>
          </w:p>
        </w:tc>
        <w:tc>
          <w:tcPr>
            <w:tcW w:w="518" w:type="pct"/>
            <w:tcBorders>
              <w:top w:val="nil"/>
              <w:left w:val="single" w:sz="4" w:space="0" w:color="auto"/>
              <w:bottom w:val="nil"/>
              <w:right w:val="single" w:sz="4" w:space="0" w:color="auto"/>
            </w:tcBorders>
            <w:shd w:val="clear" w:color="auto" w:fill="auto"/>
          </w:tcPr>
          <w:p w14:paraId="1E9496A7" w14:textId="77777777" w:rsidR="00675188" w:rsidRPr="004C78D8" w:rsidRDefault="00675188" w:rsidP="00FB7C1F">
            <w:pPr>
              <w:jc w:val="left"/>
              <w:rPr>
                <w:rFonts w:cs="Times New Roman"/>
                <w:sz w:val="18"/>
                <w:szCs w:val="18"/>
              </w:rPr>
            </w:pPr>
            <w:r w:rsidRPr="004C78D8">
              <w:rPr>
                <w:rFonts w:cs="Times New Roman"/>
                <w:color w:val="000000"/>
                <w:sz w:val="18"/>
                <w:szCs w:val="18"/>
              </w:rPr>
              <w:t>£10,359.25</w:t>
            </w:r>
          </w:p>
        </w:tc>
        <w:tc>
          <w:tcPr>
            <w:tcW w:w="518" w:type="pct"/>
            <w:tcBorders>
              <w:top w:val="nil"/>
              <w:left w:val="single" w:sz="4" w:space="0" w:color="auto"/>
              <w:bottom w:val="nil"/>
              <w:right w:val="single" w:sz="4" w:space="0" w:color="auto"/>
            </w:tcBorders>
          </w:tcPr>
          <w:p w14:paraId="5A4E955F" w14:textId="17745AB9" w:rsidR="00675188" w:rsidRPr="004C78D8" w:rsidRDefault="00675188" w:rsidP="00FB7C1F">
            <w:pPr>
              <w:jc w:val="left"/>
              <w:rPr>
                <w:rFonts w:cs="Times New Roman"/>
                <w:color w:val="000000"/>
                <w:sz w:val="18"/>
                <w:szCs w:val="18"/>
              </w:rPr>
            </w:pPr>
            <w:r w:rsidRPr="004C78D8">
              <w:rPr>
                <w:rFonts w:cs="Times New Roman"/>
                <w:color w:val="000000"/>
                <w:sz w:val="18"/>
                <w:szCs w:val="18"/>
              </w:rPr>
              <w:t>20949</w:t>
            </w:r>
          </w:p>
        </w:tc>
        <w:tc>
          <w:tcPr>
            <w:tcW w:w="518" w:type="pct"/>
            <w:tcBorders>
              <w:top w:val="nil"/>
              <w:left w:val="single" w:sz="4" w:space="0" w:color="auto"/>
              <w:bottom w:val="nil"/>
              <w:right w:val="single" w:sz="4" w:space="0" w:color="auto"/>
            </w:tcBorders>
          </w:tcPr>
          <w:p w14:paraId="2F5DA4F2" w14:textId="65C9165D" w:rsidR="00675188" w:rsidRPr="004C78D8" w:rsidRDefault="00675188" w:rsidP="00FB7C1F">
            <w:pPr>
              <w:jc w:val="left"/>
              <w:rPr>
                <w:rFonts w:cs="Times New Roman"/>
                <w:color w:val="000000"/>
                <w:sz w:val="18"/>
                <w:szCs w:val="18"/>
              </w:rPr>
            </w:pPr>
            <w:r w:rsidRPr="004C78D8">
              <w:rPr>
                <w:rFonts w:cs="Times New Roman"/>
                <w:color w:val="000000"/>
                <w:sz w:val="18"/>
                <w:szCs w:val="18"/>
              </w:rPr>
              <w:t>£269,772,990</w:t>
            </w:r>
          </w:p>
        </w:tc>
        <w:tc>
          <w:tcPr>
            <w:tcW w:w="518" w:type="pct"/>
            <w:tcBorders>
              <w:top w:val="nil"/>
              <w:left w:val="single" w:sz="4" w:space="0" w:color="auto"/>
              <w:bottom w:val="nil"/>
              <w:right w:val="single" w:sz="4" w:space="0" w:color="auto"/>
            </w:tcBorders>
            <w:shd w:val="clear" w:color="auto" w:fill="auto"/>
          </w:tcPr>
          <w:p w14:paraId="45643BF7" w14:textId="3DCAFD21" w:rsidR="00675188" w:rsidRPr="004C78D8" w:rsidRDefault="00675188" w:rsidP="00FB7C1F">
            <w:pPr>
              <w:jc w:val="left"/>
              <w:rPr>
                <w:rFonts w:cs="Times New Roman"/>
                <w:sz w:val="18"/>
                <w:szCs w:val="18"/>
              </w:rPr>
            </w:pPr>
            <w:r w:rsidRPr="004C78D8">
              <w:rPr>
                <w:rFonts w:cs="Times New Roman"/>
                <w:color w:val="000000"/>
                <w:sz w:val="18"/>
                <w:szCs w:val="18"/>
              </w:rPr>
              <w:t>£12,877</w:t>
            </w:r>
          </w:p>
        </w:tc>
        <w:tc>
          <w:tcPr>
            <w:tcW w:w="518" w:type="pct"/>
            <w:tcBorders>
              <w:top w:val="nil"/>
              <w:left w:val="single" w:sz="4" w:space="0" w:color="auto"/>
              <w:bottom w:val="nil"/>
              <w:right w:val="single" w:sz="4" w:space="0" w:color="auto"/>
            </w:tcBorders>
          </w:tcPr>
          <w:p w14:paraId="315D4E85" w14:textId="77777777" w:rsidR="00675188" w:rsidRPr="004C78D8" w:rsidRDefault="00675188" w:rsidP="00FB7C1F">
            <w:pPr>
              <w:jc w:val="left"/>
              <w:rPr>
                <w:rFonts w:cs="Times New Roman"/>
                <w:color w:val="000000"/>
                <w:sz w:val="18"/>
                <w:szCs w:val="18"/>
              </w:rPr>
            </w:pPr>
            <w:r w:rsidRPr="004C78D8">
              <w:rPr>
                <w:rFonts w:cs="Times New Roman"/>
                <w:color w:val="000000"/>
                <w:sz w:val="18"/>
                <w:szCs w:val="18"/>
              </w:rPr>
              <w:t>£1,337,595</w:t>
            </w:r>
          </w:p>
        </w:tc>
        <w:tc>
          <w:tcPr>
            <w:tcW w:w="518" w:type="pct"/>
            <w:tcBorders>
              <w:top w:val="nil"/>
              <w:left w:val="single" w:sz="4" w:space="0" w:color="auto"/>
              <w:bottom w:val="nil"/>
              <w:right w:val="single" w:sz="4" w:space="0" w:color="auto"/>
            </w:tcBorders>
            <w:shd w:val="clear" w:color="auto" w:fill="auto"/>
          </w:tcPr>
          <w:p w14:paraId="639A0B59" w14:textId="77777777" w:rsidR="00675188" w:rsidRPr="004C78D8" w:rsidRDefault="00675188" w:rsidP="00FB7C1F">
            <w:pPr>
              <w:jc w:val="left"/>
              <w:rPr>
                <w:rFonts w:cs="Times New Roman"/>
                <w:sz w:val="18"/>
                <w:szCs w:val="18"/>
              </w:rPr>
            </w:pPr>
            <w:r w:rsidRPr="004C78D8">
              <w:rPr>
                <w:rFonts w:cs="Times New Roman"/>
                <w:color w:val="000000"/>
                <w:sz w:val="18"/>
                <w:szCs w:val="18"/>
              </w:rPr>
              <w:t>£358,708,621</w:t>
            </w:r>
          </w:p>
        </w:tc>
      </w:tr>
      <w:tr w:rsidR="00675188" w:rsidRPr="004C78D8" w14:paraId="3229FFD4" w14:textId="77777777" w:rsidTr="00E35893">
        <w:tc>
          <w:tcPr>
            <w:tcW w:w="209" w:type="pct"/>
            <w:tcBorders>
              <w:top w:val="nil"/>
            </w:tcBorders>
            <w:shd w:val="clear" w:color="auto" w:fill="A6A6A6" w:themeFill="background1" w:themeFillShade="A6"/>
          </w:tcPr>
          <w:p w14:paraId="7AE7EFB8" w14:textId="77777777" w:rsidR="00675188" w:rsidRPr="004C78D8" w:rsidRDefault="00675188" w:rsidP="00FB7C1F">
            <w:pPr>
              <w:jc w:val="left"/>
              <w:rPr>
                <w:sz w:val="18"/>
                <w:szCs w:val="18"/>
              </w:rPr>
            </w:pPr>
            <w:r w:rsidRPr="004C78D8">
              <w:rPr>
                <w:sz w:val="18"/>
                <w:szCs w:val="18"/>
              </w:rPr>
              <w:t>[23]</w:t>
            </w:r>
          </w:p>
        </w:tc>
        <w:tc>
          <w:tcPr>
            <w:tcW w:w="1168" w:type="pct"/>
            <w:tcBorders>
              <w:top w:val="nil"/>
            </w:tcBorders>
            <w:shd w:val="clear" w:color="auto" w:fill="A6A6A6" w:themeFill="background1" w:themeFillShade="A6"/>
          </w:tcPr>
          <w:p w14:paraId="2EE46F7D" w14:textId="77777777" w:rsidR="00675188" w:rsidRPr="004C78D8" w:rsidRDefault="00675188" w:rsidP="00FB7C1F">
            <w:pPr>
              <w:jc w:val="left"/>
              <w:rPr>
                <w:sz w:val="18"/>
                <w:szCs w:val="18"/>
              </w:rPr>
            </w:pPr>
            <w:r w:rsidRPr="004C78D8">
              <w:rPr>
                <w:sz w:val="18"/>
                <w:szCs w:val="18"/>
              </w:rPr>
              <w:t>RC proactive &amp; SR pathways</w:t>
            </w:r>
          </w:p>
        </w:tc>
        <w:tc>
          <w:tcPr>
            <w:tcW w:w="517" w:type="pct"/>
            <w:tcBorders>
              <w:top w:val="nil"/>
              <w:left w:val="nil"/>
              <w:bottom w:val="nil"/>
              <w:right w:val="single" w:sz="4" w:space="0" w:color="auto"/>
            </w:tcBorders>
            <w:shd w:val="clear" w:color="auto" w:fill="A6A6A6" w:themeFill="background1" w:themeFillShade="A6"/>
          </w:tcPr>
          <w:p w14:paraId="0C95DBD1" w14:textId="77777777" w:rsidR="00675188" w:rsidRPr="004C78D8" w:rsidRDefault="00675188" w:rsidP="00FB7C1F">
            <w:pPr>
              <w:jc w:val="left"/>
              <w:rPr>
                <w:rFonts w:cs="Times New Roman"/>
                <w:sz w:val="18"/>
                <w:szCs w:val="18"/>
              </w:rPr>
            </w:pPr>
            <w:r w:rsidRPr="004C78D8">
              <w:rPr>
                <w:rFonts w:cs="Times New Roman"/>
                <w:color w:val="000000"/>
                <w:sz w:val="18"/>
                <w:szCs w:val="18"/>
              </w:rPr>
              <w:t>2,032,901</w:t>
            </w:r>
          </w:p>
        </w:tc>
        <w:tc>
          <w:tcPr>
            <w:tcW w:w="518" w:type="pct"/>
            <w:tcBorders>
              <w:top w:val="nil"/>
              <w:left w:val="single" w:sz="4" w:space="0" w:color="auto"/>
              <w:bottom w:val="nil"/>
              <w:right w:val="single" w:sz="4" w:space="0" w:color="auto"/>
            </w:tcBorders>
            <w:shd w:val="clear" w:color="auto" w:fill="A6A6A6" w:themeFill="background1" w:themeFillShade="A6"/>
          </w:tcPr>
          <w:p w14:paraId="6C1E8663" w14:textId="77777777" w:rsidR="00675188" w:rsidRPr="004C78D8" w:rsidRDefault="00675188" w:rsidP="00FB7C1F">
            <w:pPr>
              <w:jc w:val="left"/>
              <w:rPr>
                <w:rFonts w:cs="Times New Roman"/>
                <w:sz w:val="18"/>
                <w:szCs w:val="18"/>
              </w:rPr>
            </w:pPr>
            <w:r w:rsidRPr="004C78D8">
              <w:rPr>
                <w:rFonts w:cs="Times New Roman"/>
                <w:color w:val="000000"/>
                <w:sz w:val="18"/>
                <w:szCs w:val="18"/>
              </w:rPr>
              <w:t>£10,361.90</w:t>
            </w:r>
          </w:p>
        </w:tc>
        <w:tc>
          <w:tcPr>
            <w:tcW w:w="518" w:type="pct"/>
            <w:tcBorders>
              <w:top w:val="nil"/>
              <w:left w:val="single" w:sz="4" w:space="0" w:color="auto"/>
              <w:bottom w:val="nil"/>
              <w:right w:val="single" w:sz="4" w:space="0" w:color="auto"/>
            </w:tcBorders>
            <w:shd w:val="clear" w:color="auto" w:fill="A6A6A6" w:themeFill="background1" w:themeFillShade="A6"/>
          </w:tcPr>
          <w:p w14:paraId="10DD9E61" w14:textId="6E6BDF99" w:rsidR="00675188" w:rsidRPr="004C78D8" w:rsidRDefault="00675188" w:rsidP="00FB7C1F">
            <w:pPr>
              <w:jc w:val="left"/>
              <w:rPr>
                <w:rFonts w:cs="Times New Roman"/>
                <w:color w:val="000000"/>
                <w:sz w:val="18"/>
                <w:szCs w:val="18"/>
              </w:rPr>
            </w:pPr>
            <w:r w:rsidRPr="004C78D8">
              <w:rPr>
                <w:rFonts w:cs="Times New Roman"/>
                <w:color w:val="000000"/>
                <w:sz w:val="18"/>
                <w:szCs w:val="18"/>
              </w:rPr>
              <w:t>18724</w:t>
            </w:r>
          </w:p>
        </w:tc>
        <w:tc>
          <w:tcPr>
            <w:tcW w:w="518" w:type="pct"/>
            <w:tcBorders>
              <w:top w:val="nil"/>
              <w:left w:val="single" w:sz="4" w:space="0" w:color="auto"/>
              <w:bottom w:val="nil"/>
              <w:right w:val="single" w:sz="4" w:space="0" w:color="auto"/>
            </w:tcBorders>
            <w:shd w:val="clear" w:color="auto" w:fill="A6A6A6" w:themeFill="background1" w:themeFillShade="A6"/>
          </w:tcPr>
          <w:p w14:paraId="70C45A81" w14:textId="3B6DED6A" w:rsidR="00675188" w:rsidRPr="004C78D8" w:rsidRDefault="00675188" w:rsidP="00FB7C1F">
            <w:pPr>
              <w:jc w:val="left"/>
              <w:rPr>
                <w:rFonts w:cs="Times New Roman"/>
                <w:color w:val="000000"/>
                <w:sz w:val="18"/>
                <w:szCs w:val="18"/>
              </w:rPr>
            </w:pPr>
            <w:r w:rsidRPr="004C78D8">
              <w:rPr>
                <w:rFonts w:cs="Times New Roman"/>
                <w:color w:val="000000"/>
                <w:sz w:val="18"/>
                <w:szCs w:val="18"/>
              </w:rPr>
              <w:t>£272,423,328</w:t>
            </w:r>
          </w:p>
        </w:tc>
        <w:tc>
          <w:tcPr>
            <w:tcW w:w="518" w:type="pct"/>
            <w:tcBorders>
              <w:top w:val="nil"/>
              <w:left w:val="single" w:sz="4" w:space="0" w:color="auto"/>
              <w:bottom w:val="nil"/>
              <w:right w:val="single" w:sz="4" w:space="0" w:color="auto"/>
            </w:tcBorders>
            <w:shd w:val="clear" w:color="auto" w:fill="A6A6A6" w:themeFill="background1" w:themeFillShade="A6"/>
          </w:tcPr>
          <w:p w14:paraId="6A167D46" w14:textId="368D961B" w:rsidR="00675188" w:rsidRPr="004C78D8" w:rsidRDefault="00675188" w:rsidP="00FB7C1F">
            <w:pPr>
              <w:jc w:val="left"/>
              <w:rPr>
                <w:rFonts w:cs="Times New Roman"/>
                <w:sz w:val="18"/>
                <w:szCs w:val="18"/>
              </w:rPr>
            </w:pPr>
            <w:r w:rsidRPr="004C78D8">
              <w:rPr>
                <w:rFonts w:cs="Times New Roman"/>
                <w:color w:val="000000"/>
                <w:sz w:val="18"/>
                <w:szCs w:val="18"/>
              </w:rPr>
              <w:t>£14,550</w:t>
            </w:r>
          </w:p>
        </w:tc>
        <w:tc>
          <w:tcPr>
            <w:tcW w:w="518" w:type="pct"/>
            <w:tcBorders>
              <w:top w:val="nil"/>
              <w:left w:val="single" w:sz="4" w:space="0" w:color="auto"/>
              <w:bottom w:val="nil"/>
              <w:right w:val="single" w:sz="4" w:space="0" w:color="auto"/>
            </w:tcBorders>
            <w:shd w:val="clear" w:color="auto" w:fill="A6A6A6" w:themeFill="background1" w:themeFillShade="A6"/>
          </w:tcPr>
          <w:p w14:paraId="7BD0C343" w14:textId="77777777" w:rsidR="00675188" w:rsidRPr="004C78D8" w:rsidRDefault="00675188" w:rsidP="00FB7C1F">
            <w:pPr>
              <w:jc w:val="left"/>
              <w:rPr>
                <w:rFonts w:cs="Times New Roman"/>
                <w:color w:val="000000"/>
                <w:sz w:val="18"/>
                <w:szCs w:val="18"/>
              </w:rPr>
            </w:pPr>
          </w:p>
        </w:tc>
        <w:tc>
          <w:tcPr>
            <w:tcW w:w="518" w:type="pct"/>
            <w:tcBorders>
              <w:top w:val="nil"/>
              <w:left w:val="single" w:sz="4" w:space="0" w:color="auto"/>
              <w:bottom w:val="nil"/>
              <w:right w:val="single" w:sz="4" w:space="0" w:color="auto"/>
            </w:tcBorders>
            <w:shd w:val="clear" w:color="auto" w:fill="A6A6A6" w:themeFill="background1" w:themeFillShade="A6"/>
          </w:tcPr>
          <w:p w14:paraId="12DFE391" w14:textId="77777777" w:rsidR="00675188" w:rsidRPr="004C78D8" w:rsidRDefault="00675188" w:rsidP="00FB7C1F">
            <w:pPr>
              <w:jc w:val="left"/>
              <w:rPr>
                <w:rFonts w:cs="Times New Roman"/>
                <w:sz w:val="18"/>
                <w:szCs w:val="18"/>
              </w:rPr>
            </w:pPr>
            <w:r w:rsidRPr="004C78D8">
              <w:rPr>
                <w:rFonts w:cs="Times New Roman"/>
                <w:color w:val="000000"/>
                <w:sz w:val="18"/>
                <w:szCs w:val="18"/>
              </w:rPr>
              <w:t>£289,283,028</w:t>
            </w:r>
          </w:p>
        </w:tc>
      </w:tr>
      <w:tr w:rsidR="00675188" w:rsidRPr="004C78D8" w14:paraId="6824C8CD" w14:textId="77777777" w:rsidTr="00E35893">
        <w:tc>
          <w:tcPr>
            <w:tcW w:w="5000" w:type="pct"/>
            <w:gridSpan w:val="9"/>
          </w:tcPr>
          <w:p w14:paraId="10482CCE" w14:textId="1159A6F3" w:rsidR="00675188" w:rsidRPr="004C78D8" w:rsidRDefault="00675188" w:rsidP="00FB7C1F">
            <w:pPr>
              <w:rPr>
                <w:sz w:val="18"/>
                <w:szCs w:val="18"/>
              </w:rPr>
            </w:pPr>
            <w:r w:rsidRPr="004C78D8">
              <w:rPr>
                <w:b/>
                <w:bCs/>
                <w:sz w:val="18"/>
                <w:szCs w:val="18"/>
              </w:rPr>
              <w:t>Abbreviation:</w:t>
            </w:r>
            <w:r w:rsidRPr="004C78D8">
              <w:rPr>
                <w:sz w:val="18"/>
                <w:szCs w:val="18"/>
              </w:rPr>
              <w:t xml:space="preserve"> CRC(#): constrained recommended care scenario (#); FH: falls hazard; FRS: falls risk screening; ICER: incremental cost-effectiveness ratio; INMB: incremental net monetary benefit; PA: physical activity; PS: public sector; QALY: quality-adjusted life year; RC: recommended care; SES: socioeconomic status; SR: self-referred; UC: usual care.</w:t>
            </w:r>
          </w:p>
          <w:p w14:paraId="376661CA" w14:textId="21DD898D" w:rsidR="00BB3A00" w:rsidRPr="004C78D8" w:rsidRDefault="00BB3A00" w:rsidP="00FB7C1F">
            <w:pPr>
              <w:rPr>
                <w:sz w:val="18"/>
                <w:szCs w:val="18"/>
              </w:rPr>
            </w:pPr>
            <w:r w:rsidRPr="004C78D8">
              <w:rPr>
                <w:sz w:val="18"/>
                <w:szCs w:val="18"/>
                <w:vertAlign w:val="superscript"/>
              </w:rPr>
              <w:t>1</w:t>
            </w:r>
            <w:r w:rsidRPr="004C78D8">
              <w:rPr>
                <w:sz w:val="18"/>
                <w:szCs w:val="18"/>
              </w:rPr>
              <w:t xml:space="preserve"> All outcomes were averaged across 20 model trial runs with different random number seeds.</w:t>
            </w:r>
          </w:p>
          <w:p w14:paraId="3BEB8492" w14:textId="3E5D0370" w:rsidR="00675188" w:rsidRPr="004C78D8" w:rsidRDefault="00BB3A00" w:rsidP="00FB7C1F">
            <w:pPr>
              <w:rPr>
                <w:sz w:val="18"/>
                <w:szCs w:val="18"/>
              </w:rPr>
            </w:pPr>
            <w:r w:rsidRPr="004C78D8">
              <w:rPr>
                <w:sz w:val="18"/>
                <w:szCs w:val="18"/>
                <w:vertAlign w:val="superscript"/>
              </w:rPr>
              <w:t>2</w:t>
            </w:r>
            <w:r w:rsidR="00675188" w:rsidRPr="004C78D8">
              <w:rPr>
                <w:sz w:val="18"/>
                <w:szCs w:val="18"/>
              </w:rPr>
              <w:t xml:space="preserve"> Strongly dominated strategies are highlighted in </w:t>
            </w:r>
            <w:r w:rsidR="00675188" w:rsidRPr="004C78D8">
              <w:rPr>
                <w:sz w:val="18"/>
                <w:szCs w:val="18"/>
                <w:shd w:val="clear" w:color="auto" w:fill="A6A6A6" w:themeFill="background1" w:themeFillShade="A6"/>
              </w:rPr>
              <w:t>dark grey</w:t>
            </w:r>
            <w:r w:rsidR="00675188" w:rsidRPr="004C78D8">
              <w:rPr>
                <w:sz w:val="18"/>
                <w:szCs w:val="18"/>
              </w:rPr>
              <w:t xml:space="preserve">; extendedly dominated strategies in </w:t>
            </w:r>
            <w:r w:rsidR="00675188" w:rsidRPr="004C78D8">
              <w:rPr>
                <w:sz w:val="18"/>
                <w:szCs w:val="18"/>
                <w:shd w:val="clear" w:color="auto" w:fill="D9D9D9" w:themeFill="background1" w:themeFillShade="D9"/>
              </w:rPr>
              <w:t>light grey</w:t>
            </w:r>
            <w:r w:rsidR="00675188" w:rsidRPr="004C78D8">
              <w:rPr>
                <w:sz w:val="18"/>
                <w:szCs w:val="18"/>
              </w:rPr>
              <w:t>.</w:t>
            </w:r>
          </w:p>
          <w:p w14:paraId="5549B58C" w14:textId="1A46954A" w:rsidR="00675188" w:rsidRPr="004C78D8" w:rsidRDefault="00BB3A00" w:rsidP="00FB7C1F">
            <w:pPr>
              <w:rPr>
                <w:sz w:val="18"/>
                <w:szCs w:val="18"/>
              </w:rPr>
            </w:pPr>
            <w:r w:rsidRPr="004C78D8">
              <w:rPr>
                <w:sz w:val="18"/>
                <w:szCs w:val="18"/>
                <w:vertAlign w:val="superscript"/>
              </w:rPr>
              <w:t>3</w:t>
            </w:r>
            <w:r w:rsidR="00675188" w:rsidRPr="004C78D8">
              <w:rPr>
                <w:sz w:val="18"/>
                <w:szCs w:val="18"/>
              </w:rPr>
              <w:t xml:space="preserve"> The ICER of this strategy relative to strategy [3] is £6,061 per QALY gain</w:t>
            </w:r>
            <w:r w:rsidR="00D16469" w:rsidRPr="004C78D8">
              <w:rPr>
                <w:sz w:val="18"/>
                <w:szCs w:val="18"/>
              </w:rPr>
              <w:t>ed</w:t>
            </w:r>
            <w:r w:rsidR="00675188" w:rsidRPr="004C78D8">
              <w:rPr>
                <w:sz w:val="18"/>
                <w:szCs w:val="18"/>
              </w:rPr>
              <w:t>; the ICER of strategy [6] relative to this strategy is £2,171 per QALY gain</w:t>
            </w:r>
            <w:r w:rsidR="00D16469" w:rsidRPr="004C78D8">
              <w:rPr>
                <w:sz w:val="18"/>
                <w:szCs w:val="18"/>
              </w:rPr>
              <w:t>ed</w:t>
            </w:r>
            <w:r w:rsidR="00675188" w:rsidRPr="004C78D8">
              <w:rPr>
                <w:sz w:val="18"/>
                <w:szCs w:val="18"/>
              </w:rPr>
              <w:t>. Hence, this strategy is extendedly dominated by strategies [3] and [6].</w:t>
            </w:r>
          </w:p>
          <w:p w14:paraId="07C693E7" w14:textId="29F0BE91" w:rsidR="00675188" w:rsidRPr="004C78D8" w:rsidRDefault="00BB3A00" w:rsidP="00FB7C1F">
            <w:pPr>
              <w:rPr>
                <w:sz w:val="18"/>
                <w:szCs w:val="18"/>
              </w:rPr>
            </w:pPr>
            <w:r w:rsidRPr="004C78D8">
              <w:rPr>
                <w:sz w:val="18"/>
                <w:szCs w:val="18"/>
                <w:vertAlign w:val="superscript"/>
              </w:rPr>
              <w:t>4</w:t>
            </w:r>
            <w:r w:rsidR="00675188" w:rsidRPr="004C78D8">
              <w:rPr>
                <w:sz w:val="18"/>
                <w:szCs w:val="18"/>
              </w:rPr>
              <w:t xml:space="preserve"> The ICER of this strategy relative to strategy [6] is £33,837 per QALY gain</w:t>
            </w:r>
            <w:r w:rsidR="00D16469" w:rsidRPr="004C78D8">
              <w:rPr>
                <w:sz w:val="18"/>
                <w:szCs w:val="18"/>
              </w:rPr>
              <w:t>ed</w:t>
            </w:r>
            <w:r w:rsidR="00675188" w:rsidRPr="004C78D8">
              <w:rPr>
                <w:sz w:val="18"/>
                <w:szCs w:val="18"/>
              </w:rPr>
              <w:t>; the ICER of strategy [19] relative to this strategy is £15,723 per QALY gain</w:t>
            </w:r>
            <w:r w:rsidR="00D16469" w:rsidRPr="004C78D8">
              <w:rPr>
                <w:sz w:val="18"/>
                <w:szCs w:val="18"/>
              </w:rPr>
              <w:t>ed</w:t>
            </w:r>
            <w:r w:rsidR="00675188" w:rsidRPr="004C78D8">
              <w:rPr>
                <w:sz w:val="18"/>
                <w:szCs w:val="18"/>
              </w:rPr>
              <w:t>. Hence, this strategy is extendedly dominated by strategies [6] and [19].</w:t>
            </w:r>
          </w:p>
        </w:tc>
      </w:tr>
    </w:tbl>
    <w:p w14:paraId="6B83209D" w14:textId="77777777" w:rsidR="00085F28" w:rsidRPr="004C78D8" w:rsidRDefault="00085F28" w:rsidP="00FB7C1F">
      <w:pPr>
        <w:sectPr w:rsidR="00085F28" w:rsidRPr="004C78D8" w:rsidSect="00085F28">
          <w:pgSz w:w="16838" w:h="11906" w:orient="landscape"/>
          <w:pgMar w:top="1440" w:right="1440" w:bottom="1440" w:left="1440" w:header="708" w:footer="708" w:gutter="0"/>
          <w:cols w:space="708"/>
          <w:docGrid w:linePitch="360"/>
        </w:sectPr>
      </w:pPr>
    </w:p>
    <w:p w14:paraId="626628B6" w14:textId="7C392DF3" w:rsidR="008B0E45" w:rsidRPr="004C78D8" w:rsidRDefault="00A1003D" w:rsidP="00FB7C1F">
      <w:r w:rsidRPr="004C78D8">
        <w:rPr>
          <w:noProof/>
          <w:lang w:eastAsia="en-GB"/>
        </w:rPr>
        <mc:AlternateContent>
          <mc:Choice Requires="wpg">
            <w:drawing>
              <wp:anchor distT="0" distB="0" distL="114300" distR="114300" simplePos="0" relativeHeight="251668480" behindDoc="0" locked="0" layoutInCell="1" allowOverlap="1" wp14:anchorId="1342A9B7" wp14:editId="06CB8727">
                <wp:simplePos x="0" y="0"/>
                <wp:positionH relativeFrom="column">
                  <wp:posOffset>1898650</wp:posOffset>
                </wp:positionH>
                <wp:positionV relativeFrom="paragraph">
                  <wp:posOffset>1447800</wp:posOffset>
                </wp:positionV>
                <wp:extent cx="1693545" cy="54102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3545" cy="541020"/>
                          <a:chOff x="-114300" y="0"/>
                          <a:chExt cx="1693545" cy="541325"/>
                        </a:xfrm>
                      </wpg:grpSpPr>
                      <wps:wsp>
                        <wps:cNvPr id="37" name="Text Box 37"/>
                        <wps:cNvSpPr txBox="1"/>
                        <wps:spPr>
                          <a:xfrm>
                            <a:off x="-114300" y="0"/>
                            <a:ext cx="845820" cy="541325"/>
                          </a:xfrm>
                          <a:prstGeom prst="rect">
                            <a:avLst/>
                          </a:prstGeom>
                          <a:noFill/>
                          <a:ln w="6350">
                            <a:noFill/>
                          </a:ln>
                        </wps:spPr>
                        <wps:txbx>
                          <w:txbxContent>
                            <w:p w14:paraId="2DE0350F" w14:textId="0DF24C12" w:rsidR="00813419" w:rsidRPr="001407C3" w:rsidRDefault="00813419" w:rsidP="00813419">
                              <w:pPr>
                                <w:jc w:val="left"/>
                                <w:rPr>
                                  <w:color w:val="FF0000"/>
                                  <w:sz w:val="16"/>
                                  <w:szCs w:val="16"/>
                                </w:rPr>
                              </w:pPr>
                              <w:r w:rsidRPr="001407C3">
                                <w:rPr>
                                  <w:color w:val="FF0000"/>
                                  <w:sz w:val="16"/>
                                  <w:szCs w:val="16"/>
                                </w:rPr>
                                <w:t>Threshold: £30,000 per QALY gain</w:t>
                              </w:r>
                              <w:r w:rsidR="00496097">
                                <w:rPr>
                                  <w:color w:val="FF0000"/>
                                  <w:sz w:val="16"/>
                                  <w:szCs w:val="16"/>
                                </w:rPr>
                                <w: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731520" y="0"/>
                            <a:ext cx="847725" cy="541325"/>
                          </a:xfrm>
                          <a:prstGeom prst="rect">
                            <a:avLst/>
                          </a:prstGeom>
                          <a:noFill/>
                          <a:ln w="6350">
                            <a:noFill/>
                          </a:ln>
                        </wps:spPr>
                        <wps:txbx>
                          <w:txbxContent>
                            <w:p w14:paraId="636D6D6B" w14:textId="44EC286A" w:rsidR="00813419" w:rsidRPr="001407C3" w:rsidRDefault="00813419" w:rsidP="00813419">
                              <w:pPr>
                                <w:jc w:val="left"/>
                                <w:rPr>
                                  <w:color w:val="FF0000"/>
                                  <w:sz w:val="16"/>
                                  <w:szCs w:val="16"/>
                                </w:rPr>
                              </w:pPr>
                              <w:r w:rsidRPr="001407C3">
                                <w:rPr>
                                  <w:color w:val="FF0000"/>
                                  <w:sz w:val="16"/>
                                  <w:szCs w:val="16"/>
                                </w:rPr>
                                <w:t>Threshold: £20,000 per QALY gain</w:t>
                              </w:r>
                              <w:r w:rsidR="00496097">
                                <w:rPr>
                                  <w:color w:val="FF0000"/>
                                  <w:sz w:val="16"/>
                                  <w:szCs w:val="16"/>
                                </w:rPr>
                                <w: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1342A9B7" id="Group 20" o:spid="_x0000_s1065" style="position:absolute;left:0;text-align:left;margin-left:149.5pt;margin-top:114pt;width:133.35pt;height:42.6pt;z-index:251668480;mso-width-relative:margin" coordorigin="-1143" coordsize="16935,5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">
                <v:shape id="Text Box 37" o:spid="_x0000_s1066" type="#_x0000_t202" style="position:absolute;left:-1143;width:8458;height:5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2DE0350F" w14:textId="0DF24C12" w:rsidR="00813419" w:rsidRPr="001407C3" w:rsidRDefault="00813419" w:rsidP="00813419">
                        <w:pPr>
                          <w:jc w:val="left"/>
                          <w:rPr>
                            <w:color w:val="FF0000"/>
                            <w:sz w:val="16"/>
                            <w:szCs w:val="16"/>
                          </w:rPr>
                        </w:pPr>
                        <w:r w:rsidRPr="001407C3">
                          <w:rPr>
                            <w:color w:val="FF0000"/>
                            <w:sz w:val="16"/>
                            <w:szCs w:val="16"/>
                          </w:rPr>
                          <w:t>Threshold: £30,000 per QALY gain</w:t>
                        </w:r>
                        <w:r w:rsidR="00496097">
                          <w:rPr>
                            <w:color w:val="FF0000"/>
                            <w:sz w:val="16"/>
                            <w:szCs w:val="16"/>
                          </w:rPr>
                          <w:t>ed</w:t>
                        </w:r>
                      </w:p>
                    </w:txbxContent>
                  </v:textbox>
                </v:shape>
                <v:shape id="Text Box 38" o:spid="_x0000_s1067" type="#_x0000_t202" style="position:absolute;left:7315;width:8477;height:5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636D6D6B" w14:textId="44EC286A" w:rsidR="00813419" w:rsidRPr="001407C3" w:rsidRDefault="00813419" w:rsidP="00813419">
                        <w:pPr>
                          <w:jc w:val="left"/>
                          <w:rPr>
                            <w:color w:val="FF0000"/>
                            <w:sz w:val="16"/>
                            <w:szCs w:val="16"/>
                          </w:rPr>
                        </w:pPr>
                        <w:r w:rsidRPr="001407C3">
                          <w:rPr>
                            <w:color w:val="FF0000"/>
                            <w:sz w:val="16"/>
                            <w:szCs w:val="16"/>
                          </w:rPr>
                          <w:t>Threshold: £20,000 per QALY gain</w:t>
                        </w:r>
                        <w:r w:rsidR="00496097">
                          <w:rPr>
                            <w:color w:val="FF0000"/>
                            <w:sz w:val="16"/>
                            <w:szCs w:val="16"/>
                          </w:rPr>
                          <w:t>ed</w:t>
                        </w:r>
                      </w:p>
                    </w:txbxContent>
                  </v:textbox>
                </v:shape>
              </v:group>
            </w:pict>
          </mc:Fallback>
        </mc:AlternateContent>
      </w:r>
      <w:r w:rsidR="00AA3FC3" w:rsidRPr="004C78D8">
        <w:t xml:space="preserve">Figure </w:t>
      </w:r>
      <w:r w:rsidR="00496097" w:rsidRPr="004C78D8">
        <w:t>6</w:t>
      </w:r>
      <w:r w:rsidR="00AA3FC3" w:rsidRPr="004C78D8">
        <w:t>.1</w:t>
      </w:r>
      <w:r w:rsidR="009C7ABF" w:rsidRPr="004C78D8">
        <w:t>0</w:t>
      </w:r>
      <w:r w:rsidR="00AA3FC3" w:rsidRPr="004C78D8">
        <w:t xml:space="preserve"> displays the incremental societal QALYs (x-axis) and the incremental public sector all-cause costs (y-axis) </w:t>
      </w:r>
      <w:r w:rsidR="009B368C" w:rsidRPr="004C78D8">
        <w:t>vs.</w:t>
      </w:r>
      <w:r w:rsidR="00D62C47" w:rsidRPr="004C78D8">
        <w:t xml:space="preserve"> UC </w:t>
      </w:r>
      <w:r w:rsidR="00AA3FC3" w:rsidRPr="004C78D8">
        <w:t xml:space="preserve">of </w:t>
      </w:r>
      <w:r w:rsidR="006820C6" w:rsidRPr="004C78D8">
        <w:t>the</w:t>
      </w:r>
      <w:r w:rsidR="00AA3FC3" w:rsidRPr="004C78D8">
        <w:t xml:space="preserve"> 23 strategies</w:t>
      </w:r>
      <w:r w:rsidR="00ED2EE0" w:rsidRPr="004C78D8">
        <w:t xml:space="preserve">, </w:t>
      </w:r>
      <w:r w:rsidR="006820C6" w:rsidRPr="004C78D8">
        <w:t xml:space="preserve">labelled by the number in Table </w:t>
      </w:r>
      <w:r w:rsidR="00496097" w:rsidRPr="004C78D8">
        <w:t>6</w:t>
      </w:r>
      <w:r w:rsidR="006820C6" w:rsidRPr="004C78D8">
        <w:t>.</w:t>
      </w:r>
      <w:r w:rsidR="00496097" w:rsidRPr="004C78D8">
        <w:t>18</w:t>
      </w:r>
      <w:r w:rsidR="00AA3FC3" w:rsidRPr="004C78D8">
        <w:t>.</w:t>
      </w:r>
      <w:r w:rsidR="006820C6" w:rsidRPr="004C78D8">
        <w:t xml:space="preserve"> </w:t>
      </w:r>
      <w:r w:rsidR="003871B0" w:rsidRPr="004C78D8">
        <w:t xml:space="preserve">The comparison of the incremental outcomes </w:t>
      </w:r>
      <w:r w:rsidR="009B368C" w:rsidRPr="004C78D8">
        <w:t>vs.</w:t>
      </w:r>
      <w:r w:rsidR="003871B0" w:rsidRPr="004C78D8">
        <w:t xml:space="preserve"> UC</w:t>
      </w:r>
      <w:r w:rsidR="00ED2EE0" w:rsidRPr="004C78D8">
        <w:t xml:space="preserve"> was justified </w:t>
      </w:r>
      <w:r w:rsidR="00D62C47" w:rsidRPr="004C78D8">
        <w:t xml:space="preserve">because ‘no intervention’ was not considered as a strategy option (Section </w:t>
      </w:r>
      <w:r w:rsidR="00496097" w:rsidRPr="004C78D8">
        <w:t>5</w:t>
      </w:r>
      <w:r w:rsidR="00D62C47" w:rsidRPr="004C78D8">
        <w:t>.4.3)</w:t>
      </w:r>
      <w:r w:rsidR="00ED2EE0" w:rsidRPr="004C78D8">
        <w:t xml:space="preserve">. </w:t>
      </w:r>
      <w:r w:rsidR="006820C6" w:rsidRPr="004C78D8">
        <w:t>All strategies lay in the north-east quadrant of the cost-effectiveness plane</w:t>
      </w:r>
      <w:r w:rsidR="00D62C47" w:rsidRPr="004C78D8">
        <w:t xml:space="preserve"> since no strategy dominated UC</w:t>
      </w:r>
      <w:r w:rsidR="006820C6" w:rsidRPr="004C78D8">
        <w:t xml:space="preserve">. The </w:t>
      </w:r>
      <w:r w:rsidR="00256544" w:rsidRPr="004C78D8">
        <w:t>six</w:t>
      </w:r>
      <w:r w:rsidR="006820C6" w:rsidRPr="004C78D8">
        <w:t xml:space="preserve"> non-dominated strategies </w:t>
      </w:r>
      <w:r w:rsidR="009B368C" w:rsidRPr="004C78D8">
        <w:t xml:space="preserve">have </w:t>
      </w:r>
      <w:r w:rsidR="006820C6" w:rsidRPr="004C78D8">
        <w:t>coloured diamonds.</w:t>
      </w:r>
      <w:r w:rsidR="00785B4F" w:rsidRPr="004C78D8">
        <w:t xml:space="preserve"> If the commonly accepted cost-effectiveness threshold of £30,000 per QALY gain</w:t>
      </w:r>
      <w:r w:rsidR="00D16469" w:rsidRPr="004C78D8">
        <w:t>ed</w:t>
      </w:r>
      <w:r w:rsidR="00785B4F" w:rsidRPr="004C78D8">
        <w:t xml:space="preserve"> is adopted without any budget constraint, then strategy [19] would be the optimal strategy</w:t>
      </w:r>
      <w:r w:rsidR="00D733FD" w:rsidRPr="004C78D8">
        <w:t xml:space="preserve"> with ICER of £10,651 per QALY gain</w:t>
      </w:r>
      <w:r w:rsidR="00D16469" w:rsidRPr="004C78D8">
        <w:t>ed</w:t>
      </w:r>
      <w:r w:rsidR="00D733FD" w:rsidRPr="004C78D8">
        <w:t xml:space="preserve"> and aggregate INMB of £404.7 million </w:t>
      </w:r>
      <w:r w:rsidR="000B1B33" w:rsidRPr="004C78D8">
        <w:t>vs.</w:t>
      </w:r>
      <w:r w:rsidR="00D733FD" w:rsidRPr="004C78D8">
        <w:t xml:space="preserve"> UC.</w:t>
      </w:r>
    </w:p>
    <w:p w14:paraId="7E22B917" w14:textId="272976D5" w:rsidR="002D6CE6" w:rsidRPr="004C78D8" w:rsidRDefault="00A1003D" w:rsidP="00FB7C1F">
      <w:r w:rsidRPr="004C78D8">
        <w:rPr>
          <w:noProof/>
          <w:lang w:eastAsia="en-GB"/>
        </w:rPr>
        <mc:AlternateContent>
          <mc:Choice Requires="wps">
            <w:drawing>
              <wp:anchor distT="0" distB="0" distL="114300" distR="114300" simplePos="0" relativeHeight="251663360" behindDoc="0" locked="0" layoutInCell="1" allowOverlap="1" wp14:anchorId="100BF12F" wp14:editId="779195B7">
                <wp:simplePos x="0" y="0"/>
                <wp:positionH relativeFrom="column">
                  <wp:posOffset>1057910</wp:posOffset>
                </wp:positionH>
                <wp:positionV relativeFrom="paragraph">
                  <wp:posOffset>142240</wp:posOffset>
                </wp:positionV>
                <wp:extent cx="2633980" cy="2490470"/>
                <wp:effectExtent l="0" t="0" r="13970" b="508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3980" cy="249047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6E5BD9" id="Straight Connector 1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3pt,11.2pt" to="290.7pt,2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" strokecolor="red" strokeweight="1.5pt">
                <v:stroke joinstyle="miter"/>
                <o:lock v:ext="edit" shapetype="f"/>
              </v:line>
            </w:pict>
          </mc:Fallback>
        </mc:AlternateContent>
      </w:r>
      <w:r w:rsidRPr="004C78D8">
        <w:rPr>
          <w:noProof/>
          <w:lang w:eastAsia="en-GB"/>
        </w:rPr>
        <mc:AlternateContent>
          <mc:Choice Requires="wps">
            <w:drawing>
              <wp:anchor distT="0" distB="0" distL="114300" distR="114300" simplePos="0" relativeHeight="251662336" behindDoc="0" locked="0" layoutInCell="1" allowOverlap="1" wp14:anchorId="386FB7B6" wp14:editId="5B638580">
                <wp:simplePos x="0" y="0"/>
                <wp:positionH relativeFrom="column">
                  <wp:posOffset>1057910</wp:posOffset>
                </wp:positionH>
                <wp:positionV relativeFrom="paragraph">
                  <wp:posOffset>142240</wp:posOffset>
                </wp:positionV>
                <wp:extent cx="1760855" cy="2490470"/>
                <wp:effectExtent l="0" t="0" r="10795" b="508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60855" cy="249047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CCC657" id="Straight Connector 10"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3pt,11.2pt" to="221.95pt,2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" strokecolor="red" strokeweight="1.5pt">
                <v:stroke joinstyle="miter"/>
                <o:lock v:ext="edit" shapetype="f"/>
              </v:line>
            </w:pict>
          </mc:Fallback>
        </mc:AlternateContent>
      </w:r>
      <w:r w:rsidR="00FD388A" w:rsidRPr="004C78D8">
        <w:rPr>
          <w:noProof/>
          <w:lang w:eastAsia="en-GB"/>
        </w:rPr>
        <w:drawing>
          <wp:inline distT="0" distB="0" distL="0" distR="0" wp14:anchorId="05A09DCB" wp14:editId="25563D20">
            <wp:extent cx="5731510" cy="3152140"/>
            <wp:effectExtent l="0" t="0" r="2540" b="10160"/>
            <wp:docPr id="34" name="Chart 34">
              <a:extLst xmlns:a="http://schemas.openxmlformats.org/drawingml/2006/main">
                <a:ext uri="{FF2B5EF4-FFF2-40B4-BE49-F238E27FC236}">
                  <a16:creationId xmlns:a16="http://schemas.microsoft.com/office/drawing/2014/main" id="{FD34F99A-AABA-493A-9DF7-52692A34F1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0A6EFBE" w14:textId="2E745AFD" w:rsidR="002D6CE6" w:rsidRPr="004C78D8" w:rsidRDefault="00FD5C2A" w:rsidP="00FB7C1F">
      <w:r w:rsidRPr="004C78D8">
        <w:rPr>
          <w:b/>
          <w:bCs/>
        </w:rPr>
        <w:t xml:space="preserve">Figure </w:t>
      </w:r>
      <w:r w:rsidR="00496097" w:rsidRPr="004C78D8">
        <w:rPr>
          <w:b/>
          <w:bCs/>
        </w:rPr>
        <w:t>6</w:t>
      </w:r>
      <w:r w:rsidRPr="004C78D8">
        <w:rPr>
          <w:b/>
          <w:bCs/>
        </w:rPr>
        <w:t>.1</w:t>
      </w:r>
      <w:r w:rsidR="008E5C59" w:rsidRPr="004C78D8">
        <w:rPr>
          <w:b/>
          <w:bCs/>
        </w:rPr>
        <w:t>0</w:t>
      </w:r>
      <w:r w:rsidRPr="004C78D8">
        <w:t xml:space="preserve"> </w:t>
      </w:r>
      <w:r w:rsidR="000273D0" w:rsidRPr="004C78D8">
        <w:t>Incremental societal QALY</w:t>
      </w:r>
      <w:r w:rsidR="00F4428E" w:rsidRPr="004C78D8">
        <w:t>s</w:t>
      </w:r>
      <w:r w:rsidR="000273D0" w:rsidRPr="004C78D8">
        <w:t xml:space="preserve"> and public sector all-cause cost</w:t>
      </w:r>
      <w:r w:rsidR="00F4428E" w:rsidRPr="004C78D8">
        <w:t>s</w:t>
      </w:r>
      <w:r w:rsidR="000273D0" w:rsidRPr="004C78D8">
        <w:t xml:space="preserve"> of intervention strategies relative to usual care</w:t>
      </w:r>
      <w:r w:rsidR="006820C6" w:rsidRPr="004C78D8">
        <w:t xml:space="preserve"> under 40-year societal cost-utility analysis</w:t>
      </w:r>
      <w:r w:rsidR="00813419" w:rsidRPr="004C78D8">
        <w:t>.</w:t>
      </w:r>
      <w:r w:rsidR="003003C8" w:rsidRPr="004C78D8">
        <w:t xml:space="preserve"> </w:t>
      </w:r>
      <w:r w:rsidR="00360C23" w:rsidRPr="004C78D8">
        <w:rPr>
          <w:b/>
          <w:bCs/>
        </w:rPr>
        <w:t>Note:</w:t>
      </w:r>
      <w:r w:rsidR="00360C23" w:rsidRPr="004C78D8">
        <w:t xml:space="preserve"> See Table </w:t>
      </w:r>
      <w:r w:rsidR="00496097" w:rsidRPr="004C78D8">
        <w:t>6</w:t>
      </w:r>
      <w:r w:rsidR="00360C23" w:rsidRPr="004C78D8">
        <w:t>.</w:t>
      </w:r>
      <w:r w:rsidR="00496097" w:rsidRPr="004C78D8">
        <w:t>18</w:t>
      </w:r>
      <w:r w:rsidR="00360C23" w:rsidRPr="004C78D8">
        <w:t xml:space="preserve"> for </w:t>
      </w:r>
      <w:r w:rsidR="00633ABD" w:rsidRPr="004C78D8">
        <w:t>strategy label by [#]</w:t>
      </w:r>
      <w:r w:rsidR="006820C6" w:rsidRPr="004C78D8">
        <w:t>; non-dominated strategies are shown in filled, coloured diamonds.</w:t>
      </w:r>
      <w:r w:rsidR="00633ABD" w:rsidRPr="004C78D8">
        <w:t xml:space="preserve"> </w:t>
      </w:r>
      <w:r w:rsidR="000273D0" w:rsidRPr="004C78D8">
        <w:rPr>
          <w:b/>
          <w:bCs/>
        </w:rPr>
        <w:t>Abbreviation:</w:t>
      </w:r>
      <w:r w:rsidR="000273D0" w:rsidRPr="004C78D8">
        <w:t xml:space="preserve"> QALY: quality-adjusted life year</w:t>
      </w:r>
      <w:r w:rsidR="00EE5D61" w:rsidRPr="004C78D8">
        <w:t>; UC: usual care</w:t>
      </w:r>
      <w:r w:rsidR="000273D0" w:rsidRPr="004C78D8">
        <w:t>.</w:t>
      </w:r>
    </w:p>
    <w:p w14:paraId="1B3BFA21" w14:textId="47919483" w:rsidR="000E62D0" w:rsidRPr="004C78D8" w:rsidRDefault="000B1B33" w:rsidP="00FB7C1F">
      <w:r w:rsidRPr="004C78D8">
        <w:t>A</w:t>
      </w:r>
      <w:r w:rsidR="000E62D0" w:rsidRPr="004C78D8">
        <w:t xml:space="preserve"> further factor to consider is the </w:t>
      </w:r>
      <w:r w:rsidR="00496097" w:rsidRPr="004C78D8">
        <w:t xml:space="preserve">aggregate </w:t>
      </w:r>
      <w:r w:rsidR="000E62D0" w:rsidRPr="004C78D8">
        <w:t xml:space="preserve">budget </w:t>
      </w:r>
      <w:r w:rsidRPr="004C78D8">
        <w:t>impact</w:t>
      </w:r>
      <w:r w:rsidR="000E62D0" w:rsidRPr="004C78D8">
        <w:t xml:space="preserve">. Table </w:t>
      </w:r>
      <w:r w:rsidR="00496097" w:rsidRPr="004C78D8">
        <w:t>6</w:t>
      </w:r>
      <w:r w:rsidR="000E62D0" w:rsidRPr="004C78D8">
        <w:t>.</w:t>
      </w:r>
      <w:r w:rsidR="00496097" w:rsidRPr="004C78D8">
        <w:t>18</w:t>
      </w:r>
      <w:r w:rsidR="000E62D0" w:rsidRPr="004C78D8">
        <w:t xml:space="preserve"> had shown the public sector budget impact of each strategy in the form of incremental public sector all-cause costs</w:t>
      </w:r>
      <w:r w:rsidRPr="004C78D8">
        <w:t xml:space="preserve"> vs. UC</w:t>
      </w:r>
      <w:r w:rsidR="000E62D0" w:rsidRPr="004C78D8">
        <w:t xml:space="preserve">. If the commissioner cannot incur a net cost above, say, £100 million over the 40-year horizon, then this would rule out strategies [19] and [22]. In this case, strategy [6] would be the optimal strategy. </w:t>
      </w:r>
    </w:p>
    <w:p w14:paraId="796B78E5" w14:textId="15227EBD" w:rsidR="005B4044" w:rsidRPr="004C78D8" w:rsidRDefault="00785B4F" w:rsidP="00FB7C1F">
      <w:r w:rsidRPr="004C78D8">
        <w:t xml:space="preserve">Regarding the equity-efficiency impacts, Table </w:t>
      </w:r>
      <w:r w:rsidR="00496097" w:rsidRPr="004C78D8">
        <w:t>6</w:t>
      </w:r>
      <w:r w:rsidRPr="004C78D8">
        <w:t>.</w:t>
      </w:r>
      <w:r w:rsidR="00496097" w:rsidRPr="004C78D8">
        <w:t>19</w:t>
      </w:r>
      <w:r w:rsidRPr="004C78D8">
        <w:t xml:space="preserve"> shows </w:t>
      </w:r>
      <w:r w:rsidR="00580BF3" w:rsidRPr="004C78D8">
        <w:t xml:space="preserve">the </w:t>
      </w:r>
      <w:r w:rsidR="008E5C59" w:rsidRPr="004C78D8">
        <w:t>EDE INHBs</w:t>
      </w:r>
      <w:r w:rsidR="00580BF3" w:rsidRPr="004C78D8">
        <w:t xml:space="preserve"> of all strategies </w:t>
      </w:r>
      <w:r w:rsidR="000B1B33" w:rsidRPr="004C78D8">
        <w:t>vs.</w:t>
      </w:r>
      <w:r w:rsidR="00580BF3" w:rsidRPr="004C78D8">
        <w:t xml:space="preserve"> UC under: no </w:t>
      </w:r>
      <w:r w:rsidR="002D3FC4" w:rsidRPr="004C78D8">
        <w:t xml:space="preserve">SES-delineated </w:t>
      </w:r>
      <w:r w:rsidR="00580BF3" w:rsidRPr="004C78D8">
        <w:t xml:space="preserve">inequality aversion; high relative inequality aversion (Atkinson </w:t>
      </w:r>
      <w:r w:rsidR="00580BF3" w:rsidRPr="004C78D8">
        <w:rPr>
          <w:rFonts w:cs="Times New Roman"/>
        </w:rPr>
        <w:t>ε</w:t>
      </w:r>
      <w:r w:rsidR="00580BF3" w:rsidRPr="004C78D8">
        <w:t xml:space="preserve">=30); and high absolute inequality aversion (Kolm </w:t>
      </w:r>
      <w:r w:rsidR="00580BF3" w:rsidRPr="004C78D8">
        <w:rPr>
          <w:rFonts w:cs="Times New Roman"/>
        </w:rPr>
        <w:t>α</w:t>
      </w:r>
      <w:r w:rsidR="00580BF3" w:rsidRPr="004C78D8">
        <w:t>=0.5).</w:t>
      </w:r>
      <w:r w:rsidR="003A2F80" w:rsidRPr="004C78D8">
        <w:t xml:space="preserve"> </w:t>
      </w:r>
      <w:r w:rsidR="00827F6C" w:rsidRPr="004C78D8">
        <w:t>All benefits were estimated under the £30,000 per QALY gain</w:t>
      </w:r>
      <w:r w:rsidR="00D16469" w:rsidRPr="004C78D8">
        <w:t>ed</w:t>
      </w:r>
      <w:r w:rsidR="00AE7079" w:rsidRPr="004C78D8">
        <w:t xml:space="preserve"> threshold</w:t>
      </w:r>
      <w:r w:rsidR="00827F6C" w:rsidRPr="004C78D8">
        <w:t xml:space="preserve">. </w:t>
      </w:r>
      <w:r w:rsidR="00741D99" w:rsidRPr="004C78D8">
        <w:t xml:space="preserve">The strategies were arranged by </w:t>
      </w:r>
      <w:r w:rsidR="00AE7079" w:rsidRPr="004C78D8">
        <w:t xml:space="preserve">increasing </w:t>
      </w:r>
      <w:r w:rsidR="00741D99" w:rsidRPr="004C78D8">
        <w:t xml:space="preserve">incremental no-aversion mean. </w:t>
      </w:r>
    </w:p>
    <w:tbl>
      <w:tblPr>
        <w:tblStyle w:val="TableGrid"/>
        <w:tblW w:w="0" w:type="auto"/>
        <w:tblInd w:w="-5" w:type="dxa"/>
        <w:tblLayout w:type="fixed"/>
        <w:tblLook w:val="04A0" w:firstRow="1" w:lastRow="0" w:firstColumn="1" w:lastColumn="0" w:noHBand="0" w:noVBand="1"/>
      </w:tblPr>
      <w:tblGrid>
        <w:gridCol w:w="641"/>
        <w:gridCol w:w="2048"/>
        <w:gridCol w:w="1378"/>
        <w:gridCol w:w="1237"/>
        <w:gridCol w:w="1237"/>
        <w:gridCol w:w="1251"/>
        <w:gridCol w:w="1224"/>
      </w:tblGrid>
      <w:tr w:rsidR="004762AE" w:rsidRPr="004C78D8" w14:paraId="7D8B2D88" w14:textId="77777777" w:rsidTr="00A1003D">
        <w:tc>
          <w:tcPr>
            <w:tcW w:w="9016" w:type="dxa"/>
            <w:gridSpan w:val="7"/>
          </w:tcPr>
          <w:p w14:paraId="65836A20" w14:textId="1F30A6BA" w:rsidR="004762AE" w:rsidRPr="004C78D8" w:rsidRDefault="004762AE" w:rsidP="00FB7C1F">
            <w:r w:rsidRPr="004C78D8">
              <w:rPr>
                <w:b/>
                <w:bCs/>
              </w:rPr>
              <w:t xml:space="preserve">Table </w:t>
            </w:r>
            <w:r w:rsidR="00496097" w:rsidRPr="004C78D8">
              <w:rPr>
                <w:b/>
                <w:bCs/>
              </w:rPr>
              <w:t>6</w:t>
            </w:r>
            <w:r w:rsidRPr="004C78D8">
              <w:rPr>
                <w:b/>
                <w:bCs/>
              </w:rPr>
              <w:t>.</w:t>
            </w:r>
            <w:r w:rsidR="00496097" w:rsidRPr="004C78D8">
              <w:rPr>
                <w:b/>
                <w:bCs/>
              </w:rPr>
              <w:t>19</w:t>
            </w:r>
            <w:r w:rsidRPr="004C78D8">
              <w:t xml:space="preserve"> </w:t>
            </w:r>
            <w:bookmarkStart w:id="208" w:name="_Hlk111357674"/>
            <w:r w:rsidRPr="004C78D8">
              <w:t>Incremental equally distributed equivalent societal net health benefits across SES quartiles of intervention strategies relative to usual care</w:t>
            </w:r>
            <w:bookmarkEnd w:id="208"/>
            <w:r w:rsidRPr="004C78D8">
              <w:t>.</w:t>
            </w:r>
          </w:p>
        </w:tc>
      </w:tr>
      <w:tr w:rsidR="004762AE" w:rsidRPr="004C78D8" w14:paraId="4B7F36BF" w14:textId="77777777" w:rsidTr="00A1003D">
        <w:tc>
          <w:tcPr>
            <w:tcW w:w="641" w:type="dxa"/>
            <w:tcBorders>
              <w:bottom w:val="single" w:sz="4" w:space="0" w:color="auto"/>
            </w:tcBorders>
            <w:vAlign w:val="bottom"/>
          </w:tcPr>
          <w:p w14:paraId="5F5EA76D" w14:textId="2AA705B0" w:rsidR="004762AE" w:rsidRPr="004C78D8" w:rsidRDefault="004762AE" w:rsidP="00FB7C1F">
            <w:pPr>
              <w:jc w:val="left"/>
              <w:rPr>
                <w:b/>
                <w:bCs/>
                <w:sz w:val="20"/>
                <w:szCs w:val="20"/>
              </w:rPr>
            </w:pPr>
            <w:r w:rsidRPr="004C78D8">
              <w:rPr>
                <w:b/>
                <w:bCs/>
                <w:sz w:val="20"/>
                <w:szCs w:val="20"/>
              </w:rPr>
              <w:t>[#]</w:t>
            </w:r>
            <w:r w:rsidRPr="004C78D8">
              <w:rPr>
                <w:b/>
                <w:bCs/>
                <w:sz w:val="20"/>
                <w:szCs w:val="20"/>
                <w:vertAlign w:val="superscript"/>
              </w:rPr>
              <w:t>1</w:t>
            </w:r>
          </w:p>
        </w:tc>
        <w:tc>
          <w:tcPr>
            <w:tcW w:w="2048" w:type="dxa"/>
            <w:tcBorders>
              <w:bottom w:val="single" w:sz="4" w:space="0" w:color="auto"/>
            </w:tcBorders>
            <w:vAlign w:val="bottom"/>
          </w:tcPr>
          <w:p w14:paraId="4D49E587" w14:textId="2AA67204" w:rsidR="004762AE" w:rsidRPr="004C78D8" w:rsidRDefault="004762AE" w:rsidP="00FB7C1F">
            <w:pPr>
              <w:jc w:val="left"/>
              <w:rPr>
                <w:b/>
                <w:bCs/>
                <w:sz w:val="20"/>
                <w:szCs w:val="20"/>
              </w:rPr>
            </w:pPr>
            <w:r w:rsidRPr="004C78D8">
              <w:rPr>
                <w:b/>
                <w:bCs/>
                <w:sz w:val="20"/>
                <w:szCs w:val="20"/>
              </w:rPr>
              <w:t>Strategy</w:t>
            </w:r>
            <w:r w:rsidR="00CA7FB8" w:rsidRPr="004C78D8">
              <w:rPr>
                <w:b/>
                <w:bCs/>
                <w:sz w:val="20"/>
                <w:szCs w:val="20"/>
                <w:vertAlign w:val="superscript"/>
              </w:rPr>
              <w:t>2</w:t>
            </w:r>
          </w:p>
        </w:tc>
        <w:tc>
          <w:tcPr>
            <w:tcW w:w="1378" w:type="dxa"/>
            <w:tcBorders>
              <w:bottom w:val="single" w:sz="4" w:space="0" w:color="auto"/>
            </w:tcBorders>
            <w:vAlign w:val="bottom"/>
          </w:tcPr>
          <w:p w14:paraId="26F73939" w14:textId="3DBB1ED3" w:rsidR="004762AE" w:rsidRPr="004C78D8" w:rsidRDefault="005B4044" w:rsidP="00FB7C1F">
            <w:pPr>
              <w:jc w:val="left"/>
              <w:rPr>
                <w:b/>
                <w:bCs/>
                <w:sz w:val="20"/>
                <w:szCs w:val="20"/>
              </w:rPr>
            </w:pPr>
            <w:r w:rsidRPr="004C78D8">
              <w:rPr>
                <w:b/>
                <w:bCs/>
                <w:sz w:val="20"/>
                <w:szCs w:val="20"/>
              </w:rPr>
              <w:t>(1) Incremental no-aversion mean</w:t>
            </w:r>
            <w:r w:rsidR="00CA7FB8" w:rsidRPr="004C78D8">
              <w:rPr>
                <w:b/>
                <w:bCs/>
                <w:sz w:val="20"/>
                <w:szCs w:val="20"/>
                <w:vertAlign w:val="superscript"/>
              </w:rPr>
              <w:t>3</w:t>
            </w:r>
          </w:p>
        </w:tc>
        <w:tc>
          <w:tcPr>
            <w:tcW w:w="1237" w:type="dxa"/>
            <w:tcBorders>
              <w:bottom w:val="single" w:sz="4" w:space="0" w:color="auto"/>
            </w:tcBorders>
            <w:vAlign w:val="bottom"/>
          </w:tcPr>
          <w:p w14:paraId="17235B86" w14:textId="3DCB052B" w:rsidR="004762AE" w:rsidRPr="004C78D8" w:rsidRDefault="005B4044" w:rsidP="00FB7C1F">
            <w:pPr>
              <w:jc w:val="left"/>
              <w:rPr>
                <w:b/>
                <w:bCs/>
                <w:sz w:val="20"/>
                <w:szCs w:val="20"/>
              </w:rPr>
            </w:pPr>
            <w:r w:rsidRPr="004C78D8">
              <w:rPr>
                <w:b/>
                <w:bCs/>
                <w:sz w:val="20"/>
                <w:szCs w:val="20"/>
              </w:rPr>
              <w:t xml:space="preserve">(2) Atkinson EDE </w:t>
            </w:r>
            <w:r w:rsidR="008E5C59" w:rsidRPr="004C78D8">
              <w:rPr>
                <w:b/>
                <w:bCs/>
                <w:sz w:val="20"/>
                <w:szCs w:val="20"/>
              </w:rPr>
              <w:t xml:space="preserve">INHB </w:t>
            </w:r>
            <w:r w:rsidRPr="004C78D8">
              <w:rPr>
                <w:b/>
                <w:bCs/>
                <w:sz w:val="20"/>
                <w:szCs w:val="20"/>
              </w:rPr>
              <w:t>(ε=30)</w:t>
            </w:r>
          </w:p>
        </w:tc>
        <w:tc>
          <w:tcPr>
            <w:tcW w:w="1237" w:type="dxa"/>
            <w:tcBorders>
              <w:bottom w:val="single" w:sz="4" w:space="0" w:color="auto"/>
            </w:tcBorders>
            <w:vAlign w:val="bottom"/>
          </w:tcPr>
          <w:p w14:paraId="1841CC38" w14:textId="538216CA" w:rsidR="004762AE" w:rsidRPr="004C78D8" w:rsidRDefault="005B4044" w:rsidP="00FB7C1F">
            <w:pPr>
              <w:jc w:val="left"/>
              <w:rPr>
                <w:i/>
                <w:iCs/>
                <w:sz w:val="20"/>
                <w:szCs w:val="20"/>
              </w:rPr>
            </w:pPr>
            <w:r w:rsidRPr="004C78D8">
              <w:rPr>
                <w:i/>
                <w:iCs/>
                <w:sz w:val="20"/>
                <w:szCs w:val="20"/>
              </w:rPr>
              <w:t>Proportion of (2) relative to (1)</w:t>
            </w:r>
          </w:p>
        </w:tc>
        <w:tc>
          <w:tcPr>
            <w:tcW w:w="1251" w:type="dxa"/>
            <w:tcBorders>
              <w:bottom w:val="single" w:sz="4" w:space="0" w:color="auto"/>
            </w:tcBorders>
            <w:vAlign w:val="bottom"/>
          </w:tcPr>
          <w:p w14:paraId="755AF6A0" w14:textId="31F7187D" w:rsidR="004762AE" w:rsidRPr="004C78D8" w:rsidRDefault="005B4044" w:rsidP="00FB7C1F">
            <w:pPr>
              <w:jc w:val="left"/>
              <w:rPr>
                <w:b/>
                <w:bCs/>
                <w:sz w:val="20"/>
                <w:szCs w:val="20"/>
              </w:rPr>
            </w:pPr>
            <w:r w:rsidRPr="004C78D8">
              <w:rPr>
                <w:b/>
                <w:bCs/>
                <w:sz w:val="20"/>
                <w:szCs w:val="20"/>
              </w:rPr>
              <w:t>(3) Kolm EDE</w:t>
            </w:r>
            <w:r w:rsidR="008E5C59" w:rsidRPr="004C78D8">
              <w:rPr>
                <w:b/>
                <w:bCs/>
                <w:sz w:val="20"/>
                <w:szCs w:val="20"/>
              </w:rPr>
              <w:t xml:space="preserve"> INHB</w:t>
            </w:r>
            <w:r w:rsidRPr="004C78D8">
              <w:rPr>
                <w:b/>
                <w:bCs/>
                <w:sz w:val="20"/>
                <w:szCs w:val="20"/>
              </w:rPr>
              <w:t xml:space="preserve"> (α=0.5)</w:t>
            </w:r>
          </w:p>
        </w:tc>
        <w:tc>
          <w:tcPr>
            <w:tcW w:w="1224" w:type="dxa"/>
            <w:tcBorders>
              <w:bottom w:val="single" w:sz="4" w:space="0" w:color="auto"/>
            </w:tcBorders>
            <w:vAlign w:val="bottom"/>
          </w:tcPr>
          <w:p w14:paraId="3DB45DCC" w14:textId="2B7A633C" w:rsidR="004762AE" w:rsidRPr="004C78D8" w:rsidRDefault="005B4044" w:rsidP="00FB7C1F">
            <w:pPr>
              <w:jc w:val="left"/>
              <w:rPr>
                <w:i/>
                <w:iCs/>
                <w:sz w:val="20"/>
                <w:szCs w:val="20"/>
              </w:rPr>
            </w:pPr>
            <w:r w:rsidRPr="004C78D8">
              <w:rPr>
                <w:i/>
                <w:iCs/>
                <w:sz w:val="20"/>
                <w:szCs w:val="20"/>
              </w:rPr>
              <w:t>Proportion of (3) relative to (1)</w:t>
            </w:r>
          </w:p>
        </w:tc>
      </w:tr>
      <w:tr w:rsidR="00034EC4" w:rsidRPr="004C78D8" w14:paraId="6A3D5B64" w14:textId="77777777" w:rsidTr="00A1003D">
        <w:trPr>
          <w:trHeight w:val="300"/>
        </w:trPr>
        <w:tc>
          <w:tcPr>
            <w:tcW w:w="641" w:type="dxa"/>
            <w:tcBorders>
              <w:bottom w:val="nil"/>
            </w:tcBorders>
            <w:noWrap/>
            <w:hideMark/>
          </w:tcPr>
          <w:p w14:paraId="27FD9C04" w14:textId="77777777" w:rsidR="00034EC4" w:rsidRPr="004C78D8" w:rsidRDefault="00034EC4" w:rsidP="00FB7C1F">
            <w:pPr>
              <w:jc w:val="left"/>
              <w:rPr>
                <w:rFonts w:eastAsia="Times New Roman" w:cs="Times New Roman"/>
                <w:color w:val="000000"/>
                <w:sz w:val="18"/>
                <w:szCs w:val="18"/>
              </w:rPr>
            </w:pPr>
            <w:r w:rsidRPr="004C78D8">
              <w:rPr>
                <w:rFonts w:eastAsia="Times New Roman" w:cs="Times New Roman"/>
                <w:color w:val="000000"/>
                <w:sz w:val="18"/>
                <w:szCs w:val="18"/>
              </w:rPr>
              <w:t>[1]</w:t>
            </w:r>
          </w:p>
        </w:tc>
        <w:tc>
          <w:tcPr>
            <w:tcW w:w="2048" w:type="dxa"/>
            <w:tcBorders>
              <w:bottom w:val="nil"/>
            </w:tcBorders>
            <w:noWrap/>
            <w:hideMark/>
          </w:tcPr>
          <w:p w14:paraId="475719AC" w14:textId="636294C0" w:rsidR="00034EC4" w:rsidRPr="004C78D8" w:rsidRDefault="00034EC4" w:rsidP="00FB7C1F">
            <w:pPr>
              <w:jc w:val="left"/>
              <w:rPr>
                <w:rFonts w:eastAsia="Times New Roman" w:cs="Times New Roman"/>
                <w:color w:val="000000"/>
                <w:sz w:val="18"/>
                <w:szCs w:val="18"/>
              </w:rPr>
            </w:pPr>
            <w:r w:rsidRPr="004C78D8">
              <w:rPr>
                <w:sz w:val="18"/>
                <w:szCs w:val="18"/>
              </w:rPr>
              <w:t>UC + 3</w:t>
            </w:r>
            <w:r w:rsidRPr="004C78D8">
              <w:rPr>
                <w:sz w:val="18"/>
                <w:szCs w:val="18"/>
                <w:vertAlign w:val="superscript"/>
              </w:rPr>
              <w:t>rd</w:t>
            </w:r>
            <w:r w:rsidRPr="004C78D8">
              <w:rPr>
                <w:sz w:val="18"/>
                <w:szCs w:val="18"/>
              </w:rPr>
              <w:t>/4</w:t>
            </w:r>
            <w:r w:rsidRPr="004C78D8">
              <w:rPr>
                <w:sz w:val="18"/>
                <w:szCs w:val="18"/>
                <w:vertAlign w:val="superscript"/>
              </w:rPr>
              <w:t>th</w:t>
            </w:r>
            <w:r w:rsidRPr="004C78D8">
              <w:rPr>
                <w:sz w:val="18"/>
                <w:szCs w:val="18"/>
              </w:rPr>
              <w:t xml:space="preserve"> SES PA promotion</w:t>
            </w:r>
          </w:p>
        </w:tc>
        <w:tc>
          <w:tcPr>
            <w:tcW w:w="1378" w:type="dxa"/>
            <w:tcBorders>
              <w:bottom w:val="nil"/>
            </w:tcBorders>
            <w:noWrap/>
            <w:hideMark/>
          </w:tcPr>
          <w:p w14:paraId="7380BB9D" w14:textId="77777777" w:rsidR="00034EC4" w:rsidRPr="004C78D8" w:rsidRDefault="00034EC4" w:rsidP="00FB7C1F">
            <w:pPr>
              <w:jc w:val="right"/>
              <w:rPr>
                <w:rFonts w:eastAsia="Times New Roman" w:cs="Times New Roman"/>
                <w:color w:val="000000"/>
                <w:sz w:val="18"/>
                <w:szCs w:val="18"/>
              </w:rPr>
            </w:pPr>
            <w:r w:rsidRPr="004C78D8">
              <w:rPr>
                <w:rFonts w:eastAsia="Times New Roman" w:cs="Times New Roman"/>
                <w:color w:val="000000"/>
                <w:sz w:val="18"/>
                <w:szCs w:val="18"/>
              </w:rPr>
              <w:t>0.0032</w:t>
            </w:r>
          </w:p>
        </w:tc>
        <w:tc>
          <w:tcPr>
            <w:tcW w:w="1237" w:type="dxa"/>
            <w:tcBorders>
              <w:bottom w:val="nil"/>
            </w:tcBorders>
            <w:noWrap/>
            <w:hideMark/>
          </w:tcPr>
          <w:p w14:paraId="2CAA77F6" w14:textId="77777777" w:rsidR="00034EC4" w:rsidRPr="004C78D8" w:rsidRDefault="00034EC4" w:rsidP="00FB7C1F">
            <w:pPr>
              <w:jc w:val="right"/>
              <w:rPr>
                <w:rFonts w:eastAsia="Times New Roman" w:cs="Times New Roman"/>
                <w:color w:val="000000"/>
                <w:sz w:val="18"/>
                <w:szCs w:val="18"/>
              </w:rPr>
            </w:pPr>
            <w:r w:rsidRPr="004C78D8">
              <w:rPr>
                <w:rFonts w:eastAsia="Times New Roman" w:cs="Times New Roman"/>
                <w:color w:val="000000"/>
                <w:sz w:val="18"/>
                <w:szCs w:val="18"/>
              </w:rPr>
              <w:t>0.0030</w:t>
            </w:r>
          </w:p>
        </w:tc>
        <w:tc>
          <w:tcPr>
            <w:tcW w:w="1237" w:type="dxa"/>
            <w:tcBorders>
              <w:bottom w:val="nil"/>
            </w:tcBorders>
            <w:noWrap/>
            <w:hideMark/>
          </w:tcPr>
          <w:p w14:paraId="22C8F102" w14:textId="77777777" w:rsidR="00034EC4" w:rsidRPr="004C78D8" w:rsidRDefault="00034EC4"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0.9286</w:t>
            </w:r>
          </w:p>
        </w:tc>
        <w:tc>
          <w:tcPr>
            <w:tcW w:w="1251" w:type="dxa"/>
            <w:tcBorders>
              <w:bottom w:val="nil"/>
            </w:tcBorders>
            <w:noWrap/>
            <w:hideMark/>
          </w:tcPr>
          <w:p w14:paraId="11D2AF00" w14:textId="77777777" w:rsidR="00034EC4" w:rsidRPr="004C78D8" w:rsidRDefault="00034EC4" w:rsidP="00FB7C1F">
            <w:pPr>
              <w:jc w:val="right"/>
              <w:rPr>
                <w:rFonts w:eastAsia="Times New Roman" w:cs="Times New Roman"/>
                <w:color w:val="000000"/>
                <w:sz w:val="18"/>
                <w:szCs w:val="18"/>
              </w:rPr>
            </w:pPr>
            <w:r w:rsidRPr="004C78D8">
              <w:rPr>
                <w:rFonts w:eastAsia="Times New Roman" w:cs="Times New Roman"/>
                <w:color w:val="000000"/>
                <w:sz w:val="18"/>
                <w:szCs w:val="18"/>
              </w:rPr>
              <w:t>0.0033</w:t>
            </w:r>
          </w:p>
        </w:tc>
        <w:tc>
          <w:tcPr>
            <w:tcW w:w="1224" w:type="dxa"/>
            <w:tcBorders>
              <w:bottom w:val="nil"/>
            </w:tcBorders>
            <w:noWrap/>
            <w:hideMark/>
          </w:tcPr>
          <w:p w14:paraId="5A903B3C" w14:textId="77777777" w:rsidR="00034EC4" w:rsidRPr="004C78D8" w:rsidRDefault="00034EC4"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1.0249</w:t>
            </w:r>
          </w:p>
        </w:tc>
      </w:tr>
      <w:tr w:rsidR="00034EC4" w:rsidRPr="004C78D8" w14:paraId="1A631EAE" w14:textId="77777777" w:rsidTr="00A1003D">
        <w:trPr>
          <w:trHeight w:val="216"/>
        </w:trPr>
        <w:tc>
          <w:tcPr>
            <w:tcW w:w="641" w:type="dxa"/>
            <w:tcBorders>
              <w:top w:val="nil"/>
              <w:bottom w:val="nil"/>
            </w:tcBorders>
            <w:noWrap/>
            <w:hideMark/>
          </w:tcPr>
          <w:p w14:paraId="4EE7E910" w14:textId="77777777" w:rsidR="00034EC4" w:rsidRPr="004C78D8" w:rsidRDefault="00034EC4" w:rsidP="00FB7C1F">
            <w:pPr>
              <w:jc w:val="left"/>
              <w:rPr>
                <w:rFonts w:eastAsia="Times New Roman" w:cs="Times New Roman"/>
                <w:color w:val="000000"/>
                <w:sz w:val="18"/>
                <w:szCs w:val="18"/>
              </w:rPr>
            </w:pPr>
            <w:r w:rsidRPr="004C78D8">
              <w:rPr>
                <w:rFonts w:eastAsia="Times New Roman" w:cs="Times New Roman"/>
                <w:color w:val="000000"/>
                <w:sz w:val="18"/>
                <w:szCs w:val="18"/>
              </w:rPr>
              <w:t>[2]</w:t>
            </w:r>
          </w:p>
        </w:tc>
        <w:tc>
          <w:tcPr>
            <w:tcW w:w="2048" w:type="dxa"/>
            <w:tcBorders>
              <w:top w:val="nil"/>
              <w:bottom w:val="nil"/>
            </w:tcBorders>
            <w:noWrap/>
            <w:hideMark/>
          </w:tcPr>
          <w:p w14:paraId="31E4ED92" w14:textId="1D25611A" w:rsidR="00034EC4" w:rsidRPr="004C78D8" w:rsidRDefault="00034EC4" w:rsidP="00FB7C1F">
            <w:pPr>
              <w:jc w:val="left"/>
              <w:rPr>
                <w:rFonts w:eastAsia="Times New Roman" w:cs="Times New Roman"/>
                <w:color w:val="000000"/>
                <w:sz w:val="18"/>
                <w:szCs w:val="18"/>
              </w:rPr>
            </w:pPr>
            <w:r w:rsidRPr="004C78D8">
              <w:rPr>
                <w:sz w:val="18"/>
                <w:szCs w:val="18"/>
              </w:rPr>
              <w:t>RC reactive pathway</w:t>
            </w:r>
          </w:p>
        </w:tc>
        <w:tc>
          <w:tcPr>
            <w:tcW w:w="1378" w:type="dxa"/>
            <w:tcBorders>
              <w:top w:val="nil"/>
              <w:bottom w:val="nil"/>
            </w:tcBorders>
            <w:noWrap/>
            <w:hideMark/>
          </w:tcPr>
          <w:p w14:paraId="367ABCF3" w14:textId="77777777" w:rsidR="00034EC4" w:rsidRPr="004C78D8" w:rsidRDefault="00034EC4" w:rsidP="00FB7C1F">
            <w:pPr>
              <w:jc w:val="right"/>
              <w:rPr>
                <w:rFonts w:eastAsia="Times New Roman" w:cs="Times New Roman"/>
                <w:color w:val="000000"/>
                <w:sz w:val="18"/>
                <w:szCs w:val="18"/>
              </w:rPr>
            </w:pPr>
            <w:r w:rsidRPr="004C78D8">
              <w:rPr>
                <w:rFonts w:eastAsia="Times New Roman" w:cs="Times New Roman"/>
                <w:color w:val="000000"/>
                <w:sz w:val="18"/>
                <w:szCs w:val="18"/>
              </w:rPr>
              <w:t>0.0072</w:t>
            </w:r>
          </w:p>
        </w:tc>
        <w:tc>
          <w:tcPr>
            <w:tcW w:w="1237" w:type="dxa"/>
            <w:tcBorders>
              <w:top w:val="nil"/>
              <w:bottom w:val="nil"/>
            </w:tcBorders>
            <w:noWrap/>
            <w:hideMark/>
          </w:tcPr>
          <w:p w14:paraId="1DAF97FC" w14:textId="77777777" w:rsidR="00034EC4" w:rsidRPr="004C78D8" w:rsidRDefault="00034EC4" w:rsidP="00FB7C1F">
            <w:pPr>
              <w:jc w:val="right"/>
              <w:rPr>
                <w:rFonts w:eastAsia="Times New Roman" w:cs="Times New Roman"/>
                <w:color w:val="000000"/>
                <w:sz w:val="18"/>
                <w:szCs w:val="18"/>
              </w:rPr>
            </w:pPr>
            <w:r w:rsidRPr="004C78D8">
              <w:rPr>
                <w:rFonts w:eastAsia="Times New Roman" w:cs="Times New Roman"/>
                <w:color w:val="000000"/>
                <w:sz w:val="18"/>
                <w:szCs w:val="18"/>
              </w:rPr>
              <w:t>0.0068</w:t>
            </w:r>
          </w:p>
        </w:tc>
        <w:tc>
          <w:tcPr>
            <w:tcW w:w="1237" w:type="dxa"/>
            <w:tcBorders>
              <w:top w:val="nil"/>
              <w:bottom w:val="nil"/>
            </w:tcBorders>
            <w:noWrap/>
            <w:hideMark/>
          </w:tcPr>
          <w:p w14:paraId="746672FD" w14:textId="77777777" w:rsidR="00034EC4" w:rsidRPr="004C78D8" w:rsidRDefault="00034EC4"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0.9471</w:t>
            </w:r>
          </w:p>
        </w:tc>
        <w:tc>
          <w:tcPr>
            <w:tcW w:w="1251" w:type="dxa"/>
            <w:tcBorders>
              <w:top w:val="nil"/>
              <w:bottom w:val="nil"/>
            </w:tcBorders>
            <w:noWrap/>
            <w:hideMark/>
          </w:tcPr>
          <w:p w14:paraId="195648F3" w14:textId="77777777" w:rsidR="00034EC4" w:rsidRPr="004C78D8" w:rsidRDefault="00034EC4" w:rsidP="00FB7C1F">
            <w:pPr>
              <w:jc w:val="right"/>
              <w:rPr>
                <w:rFonts w:eastAsia="Times New Roman" w:cs="Times New Roman"/>
                <w:color w:val="000000"/>
                <w:sz w:val="18"/>
                <w:szCs w:val="18"/>
              </w:rPr>
            </w:pPr>
            <w:r w:rsidRPr="004C78D8">
              <w:rPr>
                <w:rFonts w:eastAsia="Times New Roman" w:cs="Times New Roman"/>
                <w:color w:val="000000"/>
                <w:sz w:val="18"/>
                <w:szCs w:val="18"/>
              </w:rPr>
              <w:t>0.0072</w:t>
            </w:r>
          </w:p>
        </w:tc>
        <w:tc>
          <w:tcPr>
            <w:tcW w:w="1224" w:type="dxa"/>
            <w:tcBorders>
              <w:top w:val="nil"/>
              <w:bottom w:val="nil"/>
            </w:tcBorders>
            <w:noWrap/>
            <w:hideMark/>
          </w:tcPr>
          <w:p w14:paraId="1E3961A1" w14:textId="77777777" w:rsidR="00034EC4" w:rsidRPr="004C78D8" w:rsidRDefault="00034EC4"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1.0022</w:t>
            </w:r>
          </w:p>
        </w:tc>
      </w:tr>
      <w:tr w:rsidR="00034EC4" w:rsidRPr="004C78D8" w14:paraId="103233EF" w14:textId="77777777" w:rsidTr="00A1003D">
        <w:trPr>
          <w:trHeight w:val="300"/>
        </w:trPr>
        <w:tc>
          <w:tcPr>
            <w:tcW w:w="641" w:type="dxa"/>
            <w:tcBorders>
              <w:top w:val="nil"/>
              <w:bottom w:val="nil"/>
            </w:tcBorders>
            <w:noWrap/>
            <w:hideMark/>
          </w:tcPr>
          <w:p w14:paraId="679CADBC" w14:textId="77777777" w:rsidR="00034EC4" w:rsidRPr="004C78D8" w:rsidRDefault="00034EC4" w:rsidP="00FB7C1F">
            <w:pPr>
              <w:jc w:val="left"/>
              <w:rPr>
                <w:rFonts w:eastAsia="Times New Roman" w:cs="Times New Roman"/>
                <w:color w:val="000000"/>
                <w:sz w:val="18"/>
                <w:szCs w:val="18"/>
              </w:rPr>
            </w:pPr>
            <w:r w:rsidRPr="004C78D8">
              <w:rPr>
                <w:rFonts w:eastAsia="Times New Roman" w:cs="Times New Roman"/>
                <w:color w:val="000000"/>
                <w:sz w:val="18"/>
                <w:szCs w:val="18"/>
              </w:rPr>
              <w:t>[3]</w:t>
            </w:r>
          </w:p>
        </w:tc>
        <w:tc>
          <w:tcPr>
            <w:tcW w:w="2048" w:type="dxa"/>
            <w:tcBorders>
              <w:top w:val="nil"/>
              <w:bottom w:val="nil"/>
            </w:tcBorders>
            <w:noWrap/>
            <w:hideMark/>
          </w:tcPr>
          <w:p w14:paraId="00C1EBCE" w14:textId="235C4A11" w:rsidR="00034EC4" w:rsidRPr="004C78D8" w:rsidRDefault="00034EC4" w:rsidP="00FB7C1F">
            <w:pPr>
              <w:jc w:val="left"/>
              <w:rPr>
                <w:rFonts w:eastAsia="Times New Roman" w:cs="Times New Roman"/>
                <w:color w:val="000000"/>
                <w:sz w:val="18"/>
                <w:szCs w:val="18"/>
              </w:rPr>
            </w:pPr>
            <w:r w:rsidRPr="004C78D8">
              <w:rPr>
                <w:sz w:val="18"/>
                <w:szCs w:val="18"/>
              </w:rPr>
              <w:t>UC + universal PA promotion</w:t>
            </w:r>
          </w:p>
        </w:tc>
        <w:tc>
          <w:tcPr>
            <w:tcW w:w="1378" w:type="dxa"/>
            <w:tcBorders>
              <w:top w:val="nil"/>
              <w:bottom w:val="nil"/>
            </w:tcBorders>
            <w:noWrap/>
            <w:hideMark/>
          </w:tcPr>
          <w:p w14:paraId="2A7FDD88" w14:textId="77777777" w:rsidR="00034EC4" w:rsidRPr="004C78D8" w:rsidRDefault="00034EC4" w:rsidP="00FB7C1F">
            <w:pPr>
              <w:jc w:val="right"/>
              <w:rPr>
                <w:rFonts w:eastAsia="Times New Roman" w:cs="Times New Roman"/>
                <w:color w:val="000000"/>
                <w:sz w:val="18"/>
                <w:szCs w:val="18"/>
              </w:rPr>
            </w:pPr>
            <w:r w:rsidRPr="004C78D8">
              <w:rPr>
                <w:rFonts w:eastAsia="Times New Roman" w:cs="Times New Roman"/>
                <w:color w:val="000000"/>
                <w:sz w:val="18"/>
                <w:szCs w:val="18"/>
              </w:rPr>
              <w:t>0.0072</w:t>
            </w:r>
          </w:p>
        </w:tc>
        <w:tc>
          <w:tcPr>
            <w:tcW w:w="1237" w:type="dxa"/>
            <w:tcBorders>
              <w:top w:val="nil"/>
              <w:bottom w:val="nil"/>
            </w:tcBorders>
            <w:noWrap/>
            <w:hideMark/>
          </w:tcPr>
          <w:p w14:paraId="06627DE2" w14:textId="77777777" w:rsidR="00034EC4" w:rsidRPr="004C78D8" w:rsidRDefault="00034EC4" w:rsidP="00FB7C1F">
            <w:pPr>
              <w:jc w:val="right"/>
              <w:rPr>
                <w:rFonts w:eastAsia="Times New Roman" w:cs="Times New Roman"/>
                <w:color w:val="000000"/>
                <w:sz w:val="18"/>
                <w:szCs w:val="18"/>
              </w:rPr>
            </w:pPr>
            <w:r w:rsidRPr="004C78D8">
              <w:rPr>
                <w:rFonts w:eastAsia="Times New Roman" w:cs="Times New Roman"/>
                <w:color w:val="000000"/>
                <w:sz w:val="18"/>
                <w:szCs w:val="18"/>
              </w:rPr>
              <w:t>0.0036</w:t>
            </w:r>
          </w:p>
        </w:tc>
        <w:tc>
          <w:tcPr>
            <w:tcW w:w="1237" w:type="dxa"/>
            <w:tcBorders>
              <w:top w:val="nil"/>
              <w:bottom w:val="nil"/>
            </w:tcBorders>
            <w:noWrap/>
            <w:hideMark/>
          </w:tcPr>
          <w:p w14:paraId="0B83ED0E" w14:textId="77777777" w:rsidR="00034EC4" w:rsidRPr="004C78D8" w:rsidRDefault="00034EC4"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0.4983</w:t>
            </w:r>
          </w:p>
        </w:tc>
        <w:tc>
          <w:tcPr>
            <w:tcW w:w="1251" w:type="dxa"/>
            <w:tcBorders>
              <w:top w:val="nil"/>
              <w:bottom w:val="nil"/>
            </w:tcBorders>
            <w:noWrap/>
            <w:hideMark/>
          </w:tcPr>
          <w:p w14:paraId="5F29F8C7" w14:textId="77777777" w:rsidR="00034EC4" w:rsidRPr="004C78D8" w:rsidRDefault="00034EC4" w:rsidP="00FB7C1F">
            <w:pPr>
              <w:jc w:val="right"/>
              <w:rPr>
                <w:rFonts w:eastAsia="Times New Roman" w:cs="Times New Roman"/>
                <w:color w:val="000000"/>
                <w:sz w:val="18"/>
                <w:szCs w:val="18"/>
              </w:rPr>
            </w:pPr>
            <w:r w:rsidRPr="004C78D8">
              <w:rPr>
                <w:rFonts w:eastAsia="Times New Roman" w:cs="Times New Roman"/>
                <w:color w:val="000000"/>
                <w:sz w:val="18"/>
                <w:szCs w:val="18"/>
              </w:rPr>
              <w:t>0.0062</w:t>
            </w:r>
          </w:p>
        </w:tc>
        <w:tc>
          <w:tcPr>
            <w:tcW w:w="1224" w:type="dxa"/>
            <w:tcBorders>
              <w:top w:val="nil"/>
              <w:bottom w:val="nil"/>
            </w:tcBorders>
            <w:noWrap/>
            <w:hideMark/>
          </w:tcPr>
          <w:p w14:paraId="6839E5CF" w14:textId="77777777" w:rsidR="00034EC4" w:rsidRPr="004C78D8" w:rsidRDefault="00034EC4"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0.8552</w:t>
            </w:r>
          </w:p>
        </w:tc>
      </w:tr>
      <w:tr w:rsidR="004762AE" w:rsidRPr="004C78D8" w14:paraId="2EDF7220" w14:textId="77777777" w:rsidTr="00A1003D">
        <w:trPr>
          <w:trHeight w:val="300"/>
        </w:trPr>
        <w:tc>
          <w:tcPr>
            <w:tcW w:w="641" w:type="dxa"/>
            <w:tcBorders>
              <w:top w:val="nil"/>
              <w:bottom w:val="nil"/>
            </w:tcBorders>
            <w:noWrap/>
            <w:hideMark/>
          </w:tcPr>
          <w:p w14:paraId="70FF035B" w14:textId="77777777" w:rsidR="004762AE" w:rsidRPr="004C78D8" w:rsidRDefault="004762AE" w:rsidP="00FB7C1F">
            <w:pPr>
              <w:jc w:val="left"/>
              <w:rPr>
                <w:rFonts w:eastAsia="Times New Roman" w:cs="Times New Roman"/>
                <w:color w:val="000000"/>
                <w:sz w:val="18"/>
                <w:szCs w:val="18"/>
              </w:rPr>
            </w:pPr>
            <w:r w:rsidRPr="004C78D8">
              <w:rPr>
                <w:rFonts w:eastAsia="Times New Roman" w:cs="Times New Roman"/>
                <w:color w:val="000000"/>
                <w:sz w:val="18"/>
                <w:szCs w:val="18"/>
              </w:rPr>
              <w:t>[16]</w:t>
            </w:r>
          </w:p>
        </w:tc>
        <w:tc>
          <w:tcPr>
            <w:tcW w:w="2048" w:type="dxa"/>
            <w:tcBorders>
              <w:top w:val="nil"/>
              <w:bottom w:val="nil"/>
            </w:tcBorders>
            <w:noWrap/>
            <w:hideMark/>
          </w:tcPr>
          <w:p w14:paraId="0230A85B" w14:textId="52938DFC" w:rsidR="004762AE" w:rsidRPr="004C78D8" w:rsidRDefault="00034EC4" w:rsidP="00FB7C1F">
            <w:pPr>
              <w:jc w:val="left"/>
              <w:rPr>
                <w:rFonts w:eastAsia="Times New Roman" w:cs="Times New Roman"/>
                <w:color w:val="000000"/>
                <w:sz w:val="18"/>
                <w:szCs w:val="18"/>
              </w:rPr>
            </w:pPr>
            <w:r w:rsidRPr="004C78D8">
              <w:rPr>
                <w:sz w:val="18"/>
                <w:szCs w:val="18"/>
              </w:rPr>
              <w:t>CRC(2): no repeated provision</w:t>
            </w:r>
          </w:p>
        </w:tc>
        <w:tc>
          <w:tcPr>
            <w:tcW w:w="1378" w:type="dxa"/>
            <w:tcBorders>
              <w:top w:val="nil"/>
              <w:bottom w:val="nil"/>
            </w:tcBorders>
            <w:noWrap/>
            <w:hideMark/>
          </w:tcPr>
          <w:p w14:paraId="1FB76CEC"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0.0086</w:t>
            </w:r>
          </w:p>
        </w:tc>
        <w:tc>
          <w:tcPr>
            <w:tcW w:w="1237" w:type="dxa"/>
            <w:tcBorders>
              <w:top w:val="nil"/>
              <w:bottom w:val="nil"/>
            </w:tcBorders>
            <w:noWrap/>
            <w:hideMark/>
          </w:tcPr>
          <w:p w14:paraId="5ADA669D"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0.0092</w:t>
            </w:r>
          </w:p>
        </w:tc>
        <w:tc>
          <w:tcPr>
            <w:tcW w:w="1237" w:type="dxa"/>
            <w:tcBorders>
              <w:top w:val="nil"/>
              <w:bottom w:val="nil"/>
            </w:tcBorders>
            <w:noWrap/>
            <w:hideMark/>
          </w:tcPr>
          <w:p w14:paraId="079F6D74"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1.0774</w:t>
            </w:r>
          </w:p>
        </w:tc>
        <w:tc>
          <w:tcPr>
            <w:tcW w:w="1251" w:type="dxa"/>
            <w:tcBorders>
              <w:top w:val="nil"/>
              <w:bottom w:val="nil"/>
            </w:tcBorders>
            <w:noWrap/>
            <w:hideMark/>
          </w:tcPr>
          <w:p w14:paraId="0A36BB82"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0.0087</w:t>
            </w:r>
          </w:p>
        </w:tc>
        <w:tc>
          <w:tcPr>
            <w:tcW w:w="1224" w:type="dxa"/>
            <w:tcBorders>
              <w:top w:val="nil"/>
              <w:bottom w:val="nil"/>
            </w:tcBorders>
            <w:noWrap/>
            <w:hideMark/>
          </w:tcPr>
          <w:p w14:paraId="70C41ED3"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1.0167</w:t>
            </w:r>
          </w:p>
        </w:tc>
      </w:tr>
      <w:tr w:rsidR="004762AE" w:rsidRPr="004C78D8" w14:paraId="2476C783" w14:textId="77777777" w:rsidTr="00A1003D">
        <w:trPr>
          <w:trHeight w:val="145"/>
        </w:trPr>
        <w:tc>
          <w:tcPr>
            <w:tcW w:w="641" w:type="dxa"/>
            <w:tcBorders>
              <w:top w:val="nil"/>
              <w:bottom w:val="nil"/>
            </w:tcBorders>
            <w:noWrap/>
            <w:hideMark/>
          </w:tcPr>
          <w:p w14:paraId="4D29F7A3" w14:textId="77777777" w:rsidR="004762AE" w:rsidRPr="004C78D8" w:rsidRDefault="004762AE" w:rsidP="00FB7C1F">
            <w:pPr>
              <w:jc w:val="left"/>
              <w:rPr>
                <w:rFonts w:eastAsia="Times New Roman" w:cs="Times New Roman"/>
                <w:color w:val="000000"/>
                <w:sz w:val="18"/>
                <w:szCs w:val="18"/>
              </w:rPr>
            </w:pPr>
            <w:r w:rsidRPr="004C78D8">
              <w:rPr>
                <w:rFonts w:eastAsia="Times New Roman" w:cs="Times New Roman"/>
                <w:color w:val="000000"/>
                <w:sz w:val="18"/>
                <w:szCs w:val="18"/>
              </w:rPr>
              <w:t>[20]</w:t>
            </w:r>
          </w:p>
        </w:tc>
        <w:tc>
          <w:tcPr>
            <w:tcW w:w="2048" w:type="dxa"/>
            <w:tcBorders>
              <w:top w:val="nil"/>
              <w:bottom w:val="nil"/>
            </w:tcBorders>
            <w:noWrap/>
            <w:hideMark/>
          </w:tcPr>
          <w:p w14:paraId="5E0E0307" w14:textId="71E58F0E" w:rsidR="004762AE" w:rsidRPr="004C78D8" w:rsidRDefault="00034EC4" w:rsidP="00FB7C1F">
            <w:pPr>
              <w:jc w:val="left"/>
              <w:rPr>
                <w:rFonts w:eastAsia="Times New Roman" w:cs="Times New Roman"/>
                <w:color w:val="000000"/>
                <w:sz w:val="18"/>
                <w:szCs w:val="18"/>
              </w:rPr>
            </w:pPr>
            <w:r w:rsidRPr="004C78D8">
              <w:rPr>
                <w:sz w:val="18"/>
                <w:szCs w:val="18"/>
              </w:rPr>
              <w:t>RC proactive pathway</w:t>
            </w:r>
          </w:p>
        </w:tc>
        <w:tc>
          <w:tcPr>
            <w:tcW w:w="1378" w:type="dxa"/>
            <w:tcBorders>
              <w:top w:val="nil"/>
              <w:bottom w:val="nil"/>
            </w:tcBorders>
            <w:noWrap/>
            <w:hideMark/>
          </w:tcPr>
          <w:p w14:paraId="5A970313"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0.0096</w:t>
            </w:r>
          </w:p>
        </w:tc>
        <w:tc>
          <w:tcPr>
            <w:tcW w:w="1237" w:type="dxa"/>
            <w:tcBorders>
              <w:top w:val="nil"/>
              <w:bottom w:val="nil"/>
            </w:tcBorders>
            <w:noWrap/>
            <w:hideMark/>
          </w:tcPr>
          <w:p w14:paraId="6E5DE071"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0.0121</w:t>
            </w:r>
          </w:p>
        </w:tc>
        <w:tc>
          <w:tcPr>
            <w:tcW w:w="1237" w:type="dxa"/>
            <w:tcBorders>
              <w:top w:val="nil"/>
              <w:bottom w:val="nil"/>
            </w:tcBorders>
            <w:noWrap/>
            <w:hideMark/>
          </w:tcPr>
          <w:p w14:paraId="22784883"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1.2659</w:t>
            </w:r>
          </w:p>
        </w:tc>
        <w:tc>
          <w:tcPr>
            <w:tcW w:w="1251" w:type="dxa"/>
            <w:tcBorders>
              <w:top w:val="nil"/>
              <w:bottom w:val="nil"/>
            </w:tcBorders>
            <w:noWrap/>
            <w:hideMark/>
          </w:tcPr>
          <w:p w14:paraId="7B828DFF"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0.0101</w:t>
            </w:r>
          </w:p>
        </w:tc>
        <w:tc>
          <w:tcPr>
            <w:tcW w:w="1224" w:type="dxa"/>
            <w:tcBorders>
              <w:top w:val="nil"/>
              <w:bottom w:val="nil"/>
            </w:tcBorders>
            <w:noWrap/>
            <w:hideMark/>
          </w:tcPr>
          <w:p w14:paraId="5A8E699E"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1.0550</w:t>
            </w:r>
          </w:p>
        </w:tc>
      </w:tr>
      <w:tr w:rsidR="004762AE" w:rsidRPr="004C78D8" w14:paraId="1CF8F9FF" w14:textId="77777777" w:rsidTr="00A1003D">
        <w:trPr>
          <w:trHeight w:val="191"/>
        </w:trPr>
        <w:tc>
          <w:tcPr>
            <w:tcW w:w="641" w:type="dxa"/>
            <w:tcBorders>
              <w:top w:val="nil"/>
              <w:bottom w:val="nil"/>
            </w:tcBorders>
            <w:noWrap/>
            <w:hideMark/>
          </w:tcPr>
          <w:p w14:paraId="7BD0C2C1" w14:textId="77777777" w:rsidR="004762AE" w:rsidRPr="004C78D8" w:rsidRDefault="004762AE" w:rsidP="00FB7C1F">
            <w:pPr>
              <w:jc w:val="left"/>
              <w:rPr>
                <w:rFonts w:eastAsia="Times New Roman" w:cs="Times New Roman"/>
                <w:color w:val="000000"/>
                <w:sz w:val="18"/>
                <w:szCs w:val="18"/>
              </w:rPr>
            </w:pPr>
            <w:r w:rsidRPr="004C78D8">
              <w:rPr>
                <w:rFonts w:eastAsia="Times New Roman" w:cs="Times New Roman"/>
                <w:color w:val="000000"/>
                <w:sz w:val="18"/>
                <w:szCs w:val="18"/>
              </w:rPr>
              <w:t>[12]</w:t>
            </w:r>
          </w:p>
        </w:tc>
        <w:tc>
          <w:tcPr>
            <w:tcW w:w="2048" w:type="dxa"/>
            <w:tcBorders>
              <w:top w:val="nil"/>
              <w:bottom w:val="nil"/>
            </w:tcBorders>
            <w:noWrap/>
            <w:hideMark/>
          </w:tcPr>
          <w:p w14:paraId="12CC61F9" w14:textId="787B3919" w:rsidR="004762AE" w:rsidRPr="004C78D8" w:rsidRDefault="00034EC4" w:rsidP="00FB7C1F">
            <w:pPr>
              <w:jc w:val="left"/>
              <w:rPr>
                <w:rFonts w:eastAsia="Times New Roman" w:cs="Times New Roman"/>
                <w:color w:val="000000"/>
                <w:sz w:val="18"/>
                <w:szCs w:val="18"/>
              </w:rPr>
            </w:pPr>
            <w:r w:rsidRPr="004C78D8">
              <w:rPr>
                <w:sz w:val="18"/>
                <w:szCs w:val="18"/>
              </w:rPr>
              <w:t>CRC(1): random allocation</w:t>
            </w:r>
          </w:p>
        </w:tc>
        <w:tc>
          <w:tcPr>
            <w:tcW w:w="1378" w:type="dxa"/>
            <w:tcBorders>
              <w:top w:val="nil"/>
              <w:bottom w:val="nil"/>
            </w:tcBorders>
            <w:noWrap/>
            <w:hideMark/>
          </w:tcPr>
          <w:p w14:paraId="45D74AAC"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0.0103</w:t>
            </w:r>
          </w:p>
        </w:tc>
        <w:tc>
          <w:tcPr>
            <w:tcW w:w="1237" w:type="dxa"/>
            <w:tcBorders>
              <w:top w:val="nil"/>
              <w:bottom w:val="nil"/>
            </w:tcBorders>
            <w:noWrap/>
            <w:hideMark/>
          </w:tcPr>
          <w:p w14:paraId="6F5891AE"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0.0110</w:t>
            </w:r>
          </w:p>
        </w:tc>
        <w:tc>
          <w:tcPr>
            <w:tcW w:w="1237" w:type="dxa"/>
            <w:tcBorders>
              <w:top w:val="nil"/>
              <w:bottom w:val="nil"/>
            </w:tcBorders>
            <w:noWrap/>
            <w:hideMark/>
          </w:tcPr>
          <w:p w14:paraId="33D9C150"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1.0643</w:t>
            </w:r>
          </w:p>
        </w:tc>
        <w:tc>
          <w:tcPr>
            <w:tcW w:w="1251" w:type="dxa"/>
            <w:tcBorders>
              <w:top w:val="nil"/>
              <w:bottom w:val="nil"/>
            </w:tcBorders>
            <w:noWrap/>
            <w:hideMark/>
          </w:tcPr>
          <w:p w14:paraId="43D9F2B4"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0.0104</w:t>
            </w:r>
          </w:p>
        </w:tc>
        <w:tc>
          <w:tcPr>
            <w:tcW w:w="1224" w:type="dxa"/>
            <w:tcBorders>
              <w:top w:val="nil"/>
              <w:bottom w:val="nil"/>
            </w:tcBorders>
            <w:noWrap/>
            <w:hideMark/>
          </w:tcPr>
          <w:p w14:paraId="1B40B8A9"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1.0067</w:t>
            </w:r>
          </w:p>
        </w:tc>
      </w:tr>
      <w:tr w:rsidR="004762AE" w:rsidRPr="004C78D8" w14:paraId="1281E95C" w14:textId="77777777" w:rsidTr="00A1003D">
        <w:trPr>
          <w:trHeight w:val="123"/>
        </w:trPr>
        <w:tc>
          <w:tcPr>
            <w:tcW w:w="641" w:type="dxa"/>
            <w:tcBorders>
              <w:top w:val="nil"/>
              <w:bottom w:val="nil"/>
            </w:tcBorders>
            <w:noWrap/>
            <w:hideMark/>
          </w:tcPr>
          <w:p w14:paraId="169B73DF" w14:textId="77777777" w:rsidR="004762AE" w:rsidRPr="004C78D8" w:rsidRDefault="004762AE" w:rsidP="00FB7C1F">
            <w:pPr>
              <w:jc w:val="left"/>
              <w:rPr>
                <w:rFonts w:eastAsia="Times New Roman" w:cs="Times New Roman"/>
                <w:color w:val="000000"/>
                <w:sz w:val="18"/>
                <w:szCs w:val="18"/>
              </w:rPr>
            </w:pPr>
            <w:r w:rsidRPr="004C78D8">
              <w:rPr>
                <w:rFonts w:eastAsia="Times New Roman" w:cs="Times New Roman"/>
                <w:color w:val="000000"/>
                <w:sz w:val="18"/>
                <w:szCs w:val="18"/>
              </w:rPr>
              <w:t>[14]</w:t>
            </w:r>
          </w:p>
        </w:tc>
        <w:tc>
          <w:tcPr>
            <w:tcW w:w="2048" w:type="dxa"/>
            <w:tcBorders>
              <w:top w:val="nil"/>
              <w:bottom w:val="nil"/>
            </w:tcBorders>
            <w:noWrap/>
            <w:hideMark/>
          </w:tcPr>
          <w:p w14:paraId="64B8E962" w14:textId="61B915B7" w:rsidR="004762AE" w:rsidRPr="004C78D8" w:rsidRDefault="00034EC4" w:rsidP="00FB7C1F">
            <w:pPr>
              <w:jc w:val="left"/>
              <w:rPr>
                <w:rFonts w:eastAsia="Times New Roman" w:cs="Times New Roman"/>
                <w:color w:val="000000"/>
                <w:sz w:val="18"/>
                <w:szCs w:val="18"/>
              </w:rPr>
            </w:pPr>
            <w:r w:rsidRPr="004C78D8">
              <w:rPr>
                <w:sz w:val="18"/>
                <w:szCs w:val="18"/>
              </w:rPr>
              <w:t>CRC(3): frailty targeting</w:t>
            </w:r>
          </w:p>
        </w:tc>
        <w:tc>
          <w:tcPr>
            <w:tcW w:w="1378" w:type="dxa"/>
            <w:tcBorders>
              <w:top w:val="nil"/>
              <w:bottom w:val="nil"/>
            </w:tcBorders>
            <w:noWrap/>
            <w:hideMark/>
          </w:tcPr>
          <w:p w14:paraId="24DE375C"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0.0108</w:t>
            </w:r>
          </w:p>
        </w:tc>
        <w:tc>
          <w:tcPr>
            <w:tcW w:w="1237" w:type="dxa"/>
            <w:tcBorders>
              <w:top w:val="nil"/>
              <w:bottom w:val="nil"/>
            </w:tcBorders>
            <w:noWrap/>
            <w:hideMark/>
          </w:tcPr>
          <w:p w14:paraId="7BFE8754"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0.0122</w:t>
            </w:r>
          </w:p>
        </w:tc>
        <w:tc>
          <w:tcPr>
            <w:tcW w:w="1237" w:type="dxa"/>
            <w:tcBorders>
              <w:top w:val="nil"/>
              <w:bottom w:val="nil"/>
            </w:tcBorders>
            <w:noWrap/>
            <w:hideMark/>
          </w:tcPr>
          <w:p w14:paraId="6E9AA995"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1.1297</w:t>
            </w:r>
          </w:p>
        </w:tc>
        <w:tc>
          <w:tcPr>
            <w:tcW w:w="1251" w:type="dxa"/>
            <w:tcBorders>
              <w:top w:val="nil"/>
              <w:bottom w:val="nil"/>
            </w:tcBorders>
            <w:noWrap/>
            <w:hideMark/>
          </w:tcPr>
          <w:p w14:paraId="3E68B3F0"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0.0111</w:t>
            </w:r>
          </w:p>
        </w:tc>
        <w:tc>
          <w:tcPr>
            <w:tcW w:w="1224" w:type="dxa"/>
            <w:tcBorders>
              <w:top w:val="nil"/>
              <w:bottom w:val="nil"/>
            </w:tcBorders>
            <w:noWrap/>
            <w:hideMark/>
          </w:tcPr>
          <w:p w14:paraId="51CBCCF0"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1.0314</w:t>
            </w:r>
          </w:p>
        </w:tc>
      </w:tr>
      <w:tr w:rsidR="004762AE" w:rsidRPr="004C78D8" w14:paraId="4865C1BC" w14:textId="77777777" w:rsidTr="00A1003D">
        <w:trPr>
          <w:trHeight w:val="300"/>
        </w:trPr>
        <w:tc>
          <w:tcPr>
            <w:tcW w:w="641" w:type="dxa"/>
            <w:tcBorders>
              <w:top w:val="nil"/>
              <w:bottom w:val="nil"/>
            </w:tcBorders>
            <w:noWrap/>
            <w:hideMark/>
          </w:tcPr>
          <w:p w14:paraId="1CE21D8E" w14:textId="77777777" w:rsidR="004762AE" w:rsidRPr="004C78D8" w:rsidRDefault="004762AE" w:rsidP="00FB7C1F">
            <w:pPr>
              <w:jc w:val="left"/>
              <w:rPr>
                <w:rFonts w:eastAsia="Times New Roman" w:cs="Times New Roman"/>
                <w:color w:val="000000"/>
                <w:sz w:val="18"/>
                <w:szCs w:val="18"/>
              </w:rPr>
            </w:pPr>
            <w:r w:rsidRPr="004C78D8">
              <w:rPr>
                <w:rFonts w:eastAsia="Times New Roman" w:cs="Times New Roman"/>
                <w:color w:val="000000"/>
                <w:sz w:val="18"/>
                <w:szCs w:val="18"/>
              </w:rPr>
              <w:t>[5]</w:t>
            </w:r>
          </w:p>
        </w:tc>
        <w:tc>
          <w:tcPr>
            <w:tcW w:w="2048" w:type="dxa"/>
            <w:tcBorders>
              <w:top w:val="nil"/>
              <w:bottom w:val="nil"/>
            </w:tcBorders>
            <w:noWrap/>
            <w:hideMark/>
          </w:tcPr>
          <w:p w14:paraId="29948DBB" w14:textId="782975AE" w:rsidR="004762AE" w:rsidRPr="004C78D8" w:rsidRDefault="00034EC4" w:rsidP="00FB7C1F">
            <w:pPr>
              <w:jc w:val="left"/>
              <w:rPr>
                <w:rFonts w:eastAsia="Times New Roman" w:cs="Times New Roman"/>
                <w:color w:val="000000"/>
                <w:sz w:val="18"/>
                <w:szCs w:val="18"/>
              </w:rPr>
            </w:pPr>
            <w:r w:rsidRPr="004C78D8">
              <w:rPr>
                <w:sz w:val="18"/>
                <w:szCs w:val="18"/>
              </w:rPr>
              <w:t>UC + 3</w:t>
            </w:r>
            <w:r w:rsidRPr="004C78D8">
              <w:rPr>
                <w:sz w:val="18"/>
                <w:szCs w:val="18"/>
                <w:vertAlign w:val="superscript"/>
              </w:rPr>
              <w:t>rd</w:t>
            </w:r>
            <w:r w:rsidRPr="004C78D8">
              <w:rPr>
                <w:sz w:val="18"/>
                <w:szCs w:val="18"/>
              </w:rPr>
              <w:t>/4</w:t>
            </w:r>
            <w:r w:rsidRPr="004C78D8">
              <w:rPr>
                <w:sz w:val="18"/>
                <w:szCs w:val="18"/>
                <w:vertAlign w:val="superscript"/>
              </w:rPr>
              <w:t>th</w:t>
            </w:r>
            <w:r w:rsidRPr="004C78D8">
              <w:rPr>
                <w:sz w:val="18"/>
                <w:szCs w:val="18"/>
              </w:rPr>
              <w:t xml:space="preserve"> SES FH removal</w:t>
            </w:r>
          </w:p>
        </w:tc>
        <w:tc>
          <w:tcPr>
            <w:tcW w:w="1378" w:type="dxa"/>
            <w:tcBorders>
              <w:top w:val="nil"/>
              <w:bottom w:val="nil"/>
            </w:tcBorders>
            <w:noWrap/>
            <w:hideMark/>
          </w:tcPr>
          <w:p w14:paraId="430DFACD"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0.0133</w:t>
            </w:r>
          </w:p>
        </w:tc>
        <w:tc>
          <w:tcPr>
            <w:tcW w:w="1237" w:type="dxa"/>
            <w:tcBorders>
              <w:top w:val="nil"/>
              <w:bottom w:val="nil"/>
            </w:tcBorders>
            <w:noWrap/>
            <w:hideMark/>
          </w:tcPr>
          <w:p w14:paraId="0A5B6956"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0.0384</w:t>
            </w:r>
          </w:p>
        </w:tc>
        <w:tc>
          <w:tcPr>
            <w:tcW w:w="1237" w:type="dxa"/>
            <w:tcBorders>
              <w:top w:val="nil"/>
              <w:bottom w:val="nil"/>
            </w:tcBorders>
            <w:noWrap/>
            <w:hideMark/>
          </w:tcPr>
          <w:p w14:paraId="6FE4BA11"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2.8747</w:t>
            </w:r>
          </w:p>
        </w:tc>
        <w:tc>
          <w:tcPr>
            <w:tcW w:w="1251" w:type="dxa"/>
            <w:tcBorders>
              <w:top w:val="nil"/>
              <w:bottom w:val="nil"/>
            </w:tcBorders>
            <w:noWrap/>
            <w:hideMark/>
          </w:tcPr>
          <w:p w14:paraId="34C3165D"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0.0207</w:t>
            </w:r>
          </w:p>
        </w:tc>
        <w:tc>
          <w:tcPr>
            <w:tcW w:w="1224" w:type="dxa"/>
            <w:tcBorders>
              <w:top w:val="nil"/>
              <w:bottom w:val="nil"/>
            </w:tcBorders>
            <w:noWrap/>
            <w:hideMark/>
          </w:tcPr>
          <w:p w14:paraId="3B3DAEC0"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1.5496</w:t>
            </w:r>
          </w:p>
        </w:tc>
      </w:tr>
      <w:tr w:rsidR="004762AE" w:rsidRPr="004C78D8" w14:paraId="42C00274" w14:textId="77777777" w:rsidTr="00A1003D">
        <w:trPr>
          <w:trHeight w:val="300"/>
        </w:trPr>
        <w:tc>
          <w:tcPr>
            <w:tcW w:w="641" w:type="dxa"/>
            <w:tcBorders>
              <w:top w:val="nil"/>
              <w:bottom w:val="nil"/>
            </w:tcBorders>
            <w:noWrap/>
            <w:hideMark/>
          </w:tcPr>
          <w:p w14:paraId="02C615CD" w14:textId="77777777" w:rsidR="004762AE" w:rsidRPr="004C78D8" w:rsidRDefault="004762AE" w:rsidP="00FB7C1F">
            <w:pPr>
              <w:jc w:val="left"/>
              <w:rPr>
                <w:rFonts w:eastAsia="Times New Roman" w:cs="Times New Roman"/>
                <w:color w:val="000000"/>
                <w:sz w:val="18"/>
                <w:szCs w:val="18"/>
              </w:rPr>
            </w:pPr>
            <w:r w:rsidRPr="004C78D8">
              <w:rPr>
                <w:rFonts w:eastAsia="Times New Roman" w:cs="Times New Roman"/>
                <w:color w:val="000000"/>
                <w:sz w:val="18"/>
                <w:szCs w:val="18"/>
              </w:rPr>
              <w:t>[21]</w:t>
            </w:r>
          </w:p>
        </w:tc>
        <w:tc>
          <w:tcPr>
            <w:tcW w:w="2048" w:type="dxa"/>
            <w:tcBorders>
              <w:top w:val="nil"/>
              <w:bottom w:val="nil"/>
            </w:tcBorders>
            <w:noWrap/>
            <w:hideMark/>
          </w:tcPr>
          <w:p w14:paraId="043F1E69" w14:textId="4E895D7D" w:rsidR="004762AE" w:rsidRPr="004C78D8" w:rsidRDefault="00034EC4" w:rsidP="00FB7C1F">
            <w:pPr>
              <w:jc w:val="left"/>
              <w:rPr>
                <w:rFonts w:eastAsia="Times New Roman" w:cs="Times New Roman"/>
                <w:color w:val="000000"/>
                <w:sz w:val="18"/>
                <w:szCs w:val="18"/>
              </w:rPr>
            </w:pPr>
            <w:r w:rsidRPr="004C78D8">
              <w:rPr>
                <w:sz w:val="18"/>
                <w:szCs w:val="18"/>
              </w:rPr>
              <w:t>RC reactive &amp; proactive pathways</w:t>
            </w:r>
          </w:p>
        </w:tc>
        <w:tc>
          <w:tcPr>
            <w:tcW w:w="1378" w:type="dxa"/>
            <w:tcBorders>
              <w:top w:val="nil"/>
              <w:bottom w:val="nil"/>
            </w:tcBorders>
            <w:noWrap/>
            <w:hideMark/>
          </w:tcPr>
          <w:p w14:paraId="047E59D3"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0.0151</w:t>
            </w:r>
          </w:p>
        </w:tc>
        <w:tc>
          <w:tcPr>
            <w:tcW w:w="1237" w:type="dxa"/>
            <w:tcBorders>
              <w:top w:val="nil"/>
              <w:bottom w:val="nil"/>
            </w:tcBorders>
            <w:noWrap/>
            <w:hideMark/>
          </w:tcPr>
          <w:p w14:paraId="7E48962E"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0.0188</w:t>
            </w:r>
          </w:p>
        </w:tc>
        <w:tc>
          <w:tcPr>
            <w:tcW w:w="1237" w:type="dxa"/>
            <w:tcBorders>
              <w:top w:val="nil"/>
              <w:bottom w:val="nil"/>
            </w:tcBorders>
            <w:noWrap/>
            <w:hideMark/>
          </w:tcPr>
          <w:p w14:paraId="41B66FE7"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1.2446</w:t>
            </w:r>
          </w:p>
        </w:tc>
        <w:tc>
          <w:tcPr>
            <w:tcW w:w="1251" w:type="dxa"/>
            <w:tcBorders>
              <w:top w:val="nil"/>
              <w:bottom w:val="nil"/>
            </w:tcBorders>
            <w:noWrap/>
            <w:hideMark/>
          </w:tcPr>
          <w:p w14:paraId="0EEFDA58"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0.0159</w:t>
            </w:r>
          </w:p>
        </w:tc>
        <w:tc>
          <w:tcPr>
            <w:tcW w:w="1224" w:type="dxa"/>
            <w:tcBorders>
              <w:top w:val="nil"/>
              <w:bottom w:val="nil"/>
            </w:tcBorders>
            <w:noWrap/>
            <w:hideMark/>
          </w:tcPr>
          <w:p w14:paraId="22982B40"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1.0526</w:t>
            </w:r>
          </w:p>
        </w:tc>
      </w:tr>
      <w:tr w:rsidR="004762AE" w:rsidRPr="004C78D8" w14:paraId="055C02C4" w14:textId="77777777" w:rsidTr="00A1003D">
        <w:trPr>
          <w:trHeight w:val="195"/>
        </w:trPr>
        <w:tc>
          <w:tcPr>
            <w:tcW w:w="641" w:type="dxa"/>
            <w:tcBorders>
              <w:top w:val="nil"/>
              <w:bottom w:val="nil"/>
            </w:tcBorders>
            <w:noWrap/>
            <w:hideMark/>
          </w:tcPr>
          <w:p w14:paraId="5B2AEB90" w14:textId="77777777" w:rsidR="004762AE" w:rsidRPr="004C78D8" w:rsidRDefault="004762AE" w:rsidP="00FB7C1F">
            <w:pPr>
              <w:jc w:val="left"/>
              <w:rPr>
                <w:rFonts w:eastAsia="Times New Roman" w:cs="Times New Roman"/>
                <w:color w:val="000000"/>
                <w:sz w:val="18"/>
                <w:szCs w:val="18"/>
              </w:rPr>
            </w:pPr>
            <w:r w:rsidRPr="004C78D8">
              <w:rPr>
                <w:rFonts w:eastAsia="Times New Roman" w:cs="Times New Roman"/>
                <w:color w:val="000000"/>
                <w:sz w:val="18"/>
                <w:szCs w:val="18"/>
              </w:rPr>
              <w:t>[15]</w:t>
            </w:r>
          </w:p>
        </w:tc>
        <w:tc>
          <w:tcPr>
            <w:tcW w:w="2048" w:type="dxa"/>
            <w:tcBorders>
              <w:top w:val="nil"/>
              <w:bottom w:val="nil"/>
            </w:tcBorders>
            <w:noWrap/>
            <w:hideMark/>
          </w:tcPr>
          <w:p w14:paraId="189BE1D6" w14:textId="3F2CBC89" w:rsidR="004762AE" w:rsidRPr="004C78D8" w:rsidRDefault="00034EC4" w:rsidP="00FB7C1F">
            <w:pPr>
              <w:jc w:val="left"/>
              <w:rPr>
                <w:rFonts w:eastAsia="Times New Roman" w:cs="Times New Roman"/>
                <w:color w:val="000000"/>
                <w:sz w:val="18"/>
                <w:szCs w:val="18"/>
              </w:rPr>
            </w:pPr>
            <w:r w:rsidRPr="004C78D8">
              <w:rPr>
                <w:sz w:val="18"/>
                <w:szCs w:val="18"/>
              </w:rPr>
              <w:t>CRC(4) + PS societal costs</w:t>
            </w:r>
          </w:p>
        </w:tc>
        <w:tc>
          <w:tcPr>
            <w:tcW w:w="1378" w:type="dxa"/>
            <w:tcBorders>
              <w:top w:val="nil"/>
              <w:bottom w:val="nil"/>
            </w:tcBorders>
            <w:noWrap/>
            <w:hideMark/>
          </w:tcPr>
          <w:p w14:paraId="2F337F26"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0.0182</w:t>
            </w:r>
          </w:p>
        </w:tc>
        <w:tc>
          <w:tcPr>
            <w:tcW w:w="1237" w:type="dxa"/>
            <w:tcBorders>
              <w:top w:val="nil"/>
              <w:bottom w:val="nil"/>
            </w:tcBorders>
            <w:noWrap/>
            <w:hideMark/>
          </w:tcPr>
          <w:p w14:paraId="65A19551"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0.0244</w:t>
            </w:r>
          </w:p>
        </w:tc>
        <w:tc>
          <w:tcPr>
            <w:tcW w:w="1237" w:type="dxa"/>
            <w:tcBorders>
              <w:top w:val="nil"/>
              <w:bottom w:val="nil"/>
            </w:tcBorders>
            <w:noWrap/>
            <w:hideMark/>
          </w:tcPr>
          <w:p w14:paraId="02EA2D54"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1.3393</w:t>
            </w:r>
          </w:p>
        </w:tc>
        <w:tc>
          <w:tcPr>
            <w:tcW w:w="1251" w:type="dxa"/>
            <w:tcBorders>
              <w:top w:val="nil"/>
              <w:bottom w:val="nil"/>
            </w:tcBorders>
            <w:noWrap/>
            <w:hideMark/>
          </w:tcPr>
          <w:p w14:paraId="6CD9AE61"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0.0198</w:t>
            </w:r>
          </w:p>
        </w:tc>
        <w:tc>
          <w:tcPr>
            <w:tcW w:w="1224" w:type="dxa"/>
            <w:tcBorders>
              <w:top w:val="nil"/>
              <w:bottom w:val="nil"/>
            </w:tcBorders>
            <w:noWrap/>
            <w:hideMark/>
          </w:tcPr>
          <w:p w14:paraId="7603A84A"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1.0858</w:t>
            </w:r>
          </w:p>
        </w:tc>
      </w:tr>
      <w:tr w:rsidR="004762AE" w:rsidRPr="004C78D8" w14:paraId="51BF3E9A" w14:textId="77777777" w:rsidTr="00A1003D">
        <w:trPr>
          <w:trHeight w:val="300"/>
        </w:trPr>
        <w:tc>
          <w:tcPr>
            <w:tcW w:w="641" w:type="dxa"/>
            <w:tcBorders>
              <w:top w:val="nil"/>
              <w:bottom w:val="nil"/>
            </w:tcBorders>
            <w:noWrap/>
            <w:hideMark/>
          </w:tcPr>
          <w:p w14:paraId="35E2D1A0" w14:textId="77777777" w:rsidR="004762AE" w:rsidRPr="004C78D8" w:rsidRDefault="004762AE" w:rsidP="00FB7C1F">
            <w:pPr>
              <w:jc w:val="left"/>
              <w:rPr>
                <w:rFonts w:eastAsia="Times New Roman" w:cs="Times New Roman"/>
                <w:color w:val="000000"/>
                <w:sz w:val="18"/>
                <w:szCs w:val="18"/>
              </w:rPr>
            </w:pPr>
            <w:r w:rsidRPr="004C78D8">
              <w:rPr>
                <w:rFonts w:eastAsia="Times New Roman" w:cs="Times New Roman"/>
                <w:color w:val="000000"/>
                <w:sz w:val="18"/>
                <w:szCs w:val="18"/>
              </w:rPr>
              <w:t>[10]</w:t>
            </w:r>
          </w:p>
        </w:tc>
        <w:tc>
          <w:tcPr>
            <w:tcW w:w="2048" w:type="dxa"/>
            <w:tcBorders>
              <w:top w:val="nil"/>
              <w:bottom w:val="nil"/>
            </w:tcBorders>
            <w:noWrap/>
            <w:hideMark/>
          </w:tcPr>
          <w:p w14:paraId="5990B859" w14:textId="632E6D65" w:rsidR="004762AE" w:rsidRPr="004C78D8" w:rsidRDefault="00034EC4" w:rsidP="00FB7C1F">
            <w:pPr>
              <w:jc w:val="left"/>
              <w:rPr>
                <w:rFonts w:eastAsia="Times New Roman" w:cs="Times New Roman"/>
                <w:color w:val="000000"/>
                <w:sz w:val="18"/>
                <w:szCs w:val="18"/>
              </w:rPr>
            </w:pPr>
            <w:r w:rsidRPr="004C78D8">
              <w:rPr>
                <w:sz w:val="18"/>
                <w:szCs w:val="18"/>
              </w:rPr>
              <w:t>CRC(4) + SR demand 20% increase</w:t>
            </w:r>
          </w:p>
        </w:tc>
        <w:tc>
          <w:tcPr>
            <w:tcW w:w="1378" w:type="dxa"/>
            <w:tcBorders>
              <w:top w:val="nil"/>
              <w:bottom w:val="nil"/>
            </w:tcBorders>
            <w:noWrap/>
            <w:hideMark/>
          </w:tcPr>
          <w:p w14:paraId="1FFD0447"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0.0185</w:t>
            </w:r>
          </w:p>
        </w:tc>
        <w:tc>
          <w:tcPr>
            <w:tcW w:w="1237" w:type="dxa"/>
            <w:tcBorders>
              <w:top w:val="nil"/>
              <w:bottom w:val="nil"/>
            </w:tcBorders>
            <w:noWrap/>
            <w:hideMark/>
          </w:tcPr>
          <w:p w14:paraId="4899D862"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0.0206</w:t>
            </w:r>
          </w:p>
        </w:tc>
        <w:tc>
          <w:tcPr>
            <w:tcW w:w="1237" w:type="dxa"/>
            <w:tcBorders>
              <w:top w:val="nil"/>
              <w:bottom w:val="nil"/>
            </w:tcBorders>
            <w:noWrap/>
            <w:hideMark/>
          </w:tcPr>
          <w:p w14:paraId="510EF11B"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1.1112</w:t>
            </w:r>
          </w:p>
        </w:tc>
        <w:tc>
          <w:tcPr>
            <w:tcW w:w="1251" w:type="dxa"/>
            <w:tcBorders>
              <w:top w:val="nil"/>
              <w:bottom w:val="nil"/>
            </w:tcBorders>
            <w:noWrap/>
            <w:hideMark/>
          </w:tcPr>
          <w:p w14:paraId="454479EA"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0.0190</w:t>
            </w:r>
          </w:p>
        </w:tc>
        <w:tc>
          <w:tcPr>
            <w:tcW w:w="1224" w:type="dxa"/>
            <w:tcBorders>
              <w:top w:val="nil"/>
              <w:bottom w:val="nil"/>
            </w:tcBorders>
            <w:noWrap/>
            <w:hideMark/>
          </w:tcPr>
          <w:p w14:paraId="6F05EF6E"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1.0237</w:t>
            </w:r>
          </w:p>
        </w:tc>
      </w:tr>
      <w:tr w:rsidR="004762AE" w:rsidRPr="004C78D8" w14:paraId="724ECDE1" w14:textId="77777777" w:rsidTr="00A1003D">
        <w:trPr>
          <w:trHeight w:val="300"/>
        </w:trPr>
        <w:tc>
          <w:tcPr>
            <w:tcW w:w="641" w:type="dxa"/>
            <w:tcBorders>
              <w:top w:val="nil"/>
              <w:bottom w:val="nil"/>
            </w:tcBorders>
            <w:noWrap/>
            <w:hideMark/>
          </w:tcPr>
          <w:p w14:paraId="30D18CA9" w14:textId="77777777" w:rsidR="004762AE" w:rsidRPr="004C78D8" w:rsidRDefault="004762AE" w:rsidP="00FB7C1F">
            <w:pPr>
              <w:jc w:val="left"/>
              <w:rPr>
                <w:rFonts w:eastAsia="Times New Roman" w:cs="Times New Roman"/>
                <w:color w:val="000000"/>
                <w:sz w:val="18"/>
                <w:szCs w:val="18"/>
              </w:rPr>
            </w:pPr>
            <w:r w:rsidRPr="004C78D8">
              <w:rPr>
                <w:rFonts w:eastAsia="Times New Roman" w:cs="Times New Roman"/>
                <w:color w:val="000000"/>
                <w:sz w:val="18"/>
                <w:szCs w:val="18"/>
              </w:rPr>
              <w:t>[8]</w:t>
            </w:r>
          </w:p>
        </w:tc>
        <w:tc>
          <w:tcPr>
            <w:tcW w:w="2048" w:type="dxa"/>
            <w:tcBorders>
              <w:top w:val="nil"/>
              <w:bottom w:val="nil"/>
            </w:tcBorders>
            <w:noWrap/>
            <w:hideMark/>
          </w:tcPr>
          <w:p w14:paraId="720E0CC1" w14:textId="7526EC35" w:rsidR="004762AE" w:rsidRPr="004C78D8" w:rsidRDefault="00034EC4" w:rsidP="00FB7C1F">
            <w:pPr>
              <w:jc w:val="left"/>
              <w:rPr>
                <w:rFonts w:eastAsia="Times New Roman" w:cs="Times New Roman"/>
                <w:color w:val="000000"/>
                <w:sz w:val="18"/>
                <w:szCs w:val="18"/>
              </w:rPr>
            </w:pPr>
            <w:r w:rsidRPr="004C78D8">
              <w:rPr>
                <w:sz w:val="18"/>
                <w:szCs w:val="18"/>
              </w:rPr>
              <w:t>CRC(4): falls risk targeting</w:t>
            </w:r>
          </w:p>
        </w:tc>
        <w:tc>
          <w:tcPr>
            <w:tcW w:w="1378" w:type="dxa"/>
            <w:tcBorders>
              <w:top w:val="nil"/>
              <w:bottom w:val="nil"/>
            </w:tcBorders>
            <w:noWrap/>
            <w:hideMark/>
          </w:tcPr>
          <w:p w14:paraId="200C2E65"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0.0191</w:t>
            </w:r>
          </w:p>
        </w:tc>
        <w:tc>
          <w:tcPr>
            <w:tcW w:w="1237" w:type="dxa"/>
            <w:tcBorders>
              <w:top w:val="nil"/>
              <w:bottom w:val="nil"/>
            </w:tcBorders>
            <w:noWrap/>
            <w:hideMark/>
          </w:tcPr>
          <w:p w14:paraId="0E5C89EC"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0.0221</w:t>
            </w:r>
          </w:p>
        </w:tc>
        <w:tc>
          <w:tcPr>
            <w:tcW w:w="1237" w:type="dxa"/>
            <w:tcBorders>
              <w:top w:val="nil"/>
              <w:bottom w:val="nil"/>
            </w:tcBorders>
            <w:noWrap/>
            <w:hideMark/>
          </w:tcPr>
          <w:p w14:paraId="0F23E32D"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1.1604</w:t>
            </w:r>
          </w:p>
        </w:tc>
        <w:tc>
          <w:tcPr>
            <w:tcW w:w="1251" w:type="dxa"/>
            <w:tcBorders>
              <w:top w:val="nil"/>
              <w:bottom w:val="nil"/>
            </w:tcBorders>
            <w:noWrap/>
            <w:hideMark/>
          </w:tcPr>
          <w:p w14:paraId="6ECEF0EA"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0.0197</w:t>
            </w:r>
          </w:p>
        </w:tc>
        <w:tc>
          <w:tcPr>
            <w:tcW w:w="1224" w:type="dxa"/>
            <w:tcBorders>
              <w:top w:val="nil"/>
              <w:bottom w:val="nil"/>
            </w:tcBorders>
            <w:noWrap/>
            <w:hideMark/>
          </w:tcPr>
          <w:p w14:paraId="13FD2A5C"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1.0339</w:t>
            </w:r>
          </w:p>
        </w:tc>
      </w:tr>
      <w:tr w:rsidR="004762AE" w:rsidRPr="004C78D8" w14:paraId="7955EB18" w14:textId="77777777" w:rsidTr="00A1003D">
        <w:trPr>
          <w:trHeight w:val="247"/>
        </w:trPr>
        <w:tc>
          <w:tcPr>
            <w:tcW w:w="641" w:type="dxa"/>
            <w:tcBorders>
              <w:top w:val="nil"/>
              <w:bottom w:val="nil"/>
            </w:tcBorders>
            <w:noWrap/>
            <w:hideMark/>
          </w:tcPr>
          <w:p w14:paraId="543D355C" w14:textId="77777777" w:rsidR="004762AE" w:rsidRPr="004C78D8" w:rsidRDefault="004762AE" w:rsidP="00FB7C1F">
            <w:pPr>
              <w:jc w:val="left"/>
              <w:rPr>
                <w:rFonts w:eastAsia="Times New Roman" w:cs="Times New Roman"/>
                <w:color w:val="000000"/>
                <w:sz w:val="18"/>
                <w:szCs w:val="18"/>
              </w:rPr>
            </w:pPr>
            <w:r w:rsidRPr="004C78D8">
              <w:rPr>
                <w:rFonts w:eastAsia="Times New Roman" w:cs="Times New Roman"/>
                <w:color w:val="000000"/>
                <w:sz w:val="18"/>
                <w:szCs w:val="18"/>
              </w:rPr>
              <w:t>[11]</w:t>
            </w:r>
          </w:p>
        </w:tc>
        <w:tc>
          <w:tcPr>
            <w:tcW w:w="2048" w:type="dxa"/>
            <w:tcBorders>
              <w:top w:val="nil"/>
              <w:bottom w:val="nil"/>
            </w:tcBorders>
            <w:noWrap/>
            <w:hideMark/>
          </w:tcPr>
          <w:p w14:paraId="4B34F7BE" w14:textId="1256F2A6" w:rsidR="004762AE" w:rsidRPr="004C78D8" w:rsidRDefault="00034EC4" w:rsidP="00FB7C1F">
            <w:pPr>
              <w:jc w:val="left"/>
              <w:rPr>
                <w:rFonts w:eastAsia="Times New Roman" w:cs="Times New Roman"/>
                <w:color w:val="000000"/>
                <w:sz w:val="18"/>
                <w:szCs w:val="18"/>
              </w:rPr>
            </w:pPr>
            <w:r w:rsidRPr="004C78D8">
              <w:rPr>
                <w:sz w:val="18"/>
                <w:szCs w:val="18"/>
              </w:rPr>
              <w:t>CRC(4) + FRS for 50%</w:t>
            </w:r>
          </w:p>
        </w:tc>
        <w:tc>
          <w:tcPr>
            <w:tcW w:w="1378" w:type="dxa"/>
            <w:tcBorders>
              <w:top w:val="nil"/>
              <w:bottom w:val="nil"/>
            </w:tcBorders>
            <w:noWrap/>
            <w:hideMark/>
          </w:tcPr>
          <w:p w14:paraId="4A110E63"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0.0199</w:t>
            </w:r>
          </w:p>
        </w:tc>
        <w:tc>
          <w:tcPr>
            <w:tcW w:w="1237" w:type="dxa"/>
            <w:tcBorders>
              <w:top w:val="nil"/>
              <w:bottom w:val="nil"/>
            </w:tcBorders>
            <w:noWrap/>
            <w:hideMark/>
          </w:tcPr>
          <w:p w14:paraId="0B61C80E"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0.0225</w:t>
            </w:r>
          </w:p>
        </w:tc>
        <w:tc>
          <w:tcPr>
            <w:tcW w:w="1237" w:type="dxa"/>
            <w:tcBorders>
              <w:top w:val="nil"/>
              <w:bottom w:val="nil"/>
            </w:tcBorders>
            <w:noWrap/>
            <w:hideMark/>
          </w:tcPr>
          <w:p w14:paraId="41447DA1"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1.1314</w:t>
            </w:r>
          </w:p>
        </w:tc>
        <w:tc>
          <w:tcPr>
            <w:tcW w:w="1251" w:type="dxa"/>
            <w:tcBorders>
              <w:top w:val="nil"/>
              <w:bottom w:val="nil"/>
            </w:tcBorders>
            <w:noWrap/>
            <w:hideMark/>
          </w:tcPr>
          <w:p w14:paraId="7B945A55"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0.0205</w:t>
            </w:r>
          </w:p>
        </w:tc>
        <w:tc>
          <w:tcPr>
            <w:tcW w:w="1224" w:type="dxa"/>
            <w:tcBorders>
              <w:top w:val="nil"/>
              <w:bottom w:val="nil"/>
            </w:tcBorders>
            <w:noWrap/>
            <w:hideMark/>
          </w:tcPr>
          <w:p w14:paraId="055A6EB6"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1.0292</w:t>
            </w:r>
          </w:p>
        </w:tc>
      </w:tr>
      <w:tr w:rsidR="004762AE" w:rsidRPr="004C78D8" w14:paraId="028171BD" w14:textId="77777777" w:rsidTr="00A1003D">
        <w:trPr>
          <w:trHeight w:val="137"/>
        </w:trPr>
        <w:tc>
          <w:tcPr>
            <w:tcW w:w="641" w:type="dxa"/>
            <w:tcBorders>
              <w:top w:val="nil"/>
              <w:bottom w:val="nil"/>
            </w:tcBorders>
            <w:noWrap/>
            <w:hideMark/>
          </w:tcPr>
          <w:p w14:paraId="7028F3A6" w14:textId="77777777" w:rsidR="004762AE" w:rsidRPr="004C78D8" w:rsidRDefault="004762AE" w:rsidP="00FB7C1F">
            <w:pPr>
              <w:jc w:val="left"/>
              <w:rPr>
                <w:rFonts w:eastAsia="Times New Roman" w:cs="Times New Roman"/>
                <w:color w:val="000000"/>
                <w:sz w:val="18"/>
                <w:szCs w:val="18"/>
              </w:rPr>
            </w:pPr>
            <w:r w:rsidRPr="004C78D8">
              <w:rPr>
                <w:rFonts w:eastAsia="Times New Roman" w:cs="Times New Roman"/>
                <w:color w:val="000000"/>
                <w:sz w:val="18"/>
                <w:szCs w:val="18"/>
              </w:rPr>
              <w:t>[7]</w:t>
            </w:r>
          </w:p>
        </w:tc>
        <w:tc>
          <w:tcPr>
            <w:tcW w:w="2048" w:type="dxa"/>
            <w:tcBorders>
              <w:top w:val="nil"/>
              <w:bottom w:val="nil"/>
            </w:tcBorders>
            <w:noWrap/>
            <w:hideMark/>
          </w:tcPr>
          <w:p w14:paraId="6E1811ED" w14:textId="1AAF2FAE" w:rsidR="004762AE" w:rsidRPr="004C78D8" w:rsidRDefault="00034EC4" w:rsidP="00FB7C1F">
            <w:pPr>
              <w:jc w:val="left"/>
              <w:rPr>
                <w:rFonts w:eastAsia="Times New Roman" w:cs="Times New Roman"/>
                <w:color w:val="000000"/>
                <w:sz w:val="18"/>
                <w:szCs w:val="18"/>
              </w:rPr>
            </w:pPr>
            <w:r w:rsidRPr="004C78D8">
              <w:rPr>
                <w:sz w:val="18"/>
                <w:szCs w:val="18"/>
              </w:rPr>
              <w:t>CRC(4) + 3</w:t>
            </w:r>
            <w:r w:rsidRPr="004C78D8">
              <w:rPr>
                <w:sz w:val="18"/>
                <w:szCs w:val="18"/>
                <w:vertAlign w:val="superscript"/>
              </w:rPr>
              <w:t>rd</w:t>
            </w:r>
            <w:r w:rsidRPr="004C78D8">
              <w:rPr>
                <w:sz w:val="18"/>
                <w:szCs w:val="18"/>
              </w:rPr>
              <w:t>/4</w:t>
            </w:r>
            <w:r w:rsidRPr="004C78D8">
              <w:rPr>
                <w:sz w:val="18"/>
                <w:szCs w:val="18"/>
                <w:vertAlign w:val="superscript"/>
              </w:rPr>
              <w:t>th</w:t>
            </w:r>
            <w:r w:rsidRPr="004C78D8">
              <w:rPr>
                <w:sz w:val="18"/>
                <w:szCs w:val="18"/>
              </w:rPr>
              <w:t xml:space="preserve"> SES FRS</w:t>
            </w:r>
          </w:p>
        </w:tc>
        <w:tc>
          <w:tcPr>
            <w:tcW w:w="1378" w:type="dxa"/>
            <w:tcBorders>
              <w:top w:val="nil"/>
              <w:bottom w:val="nil"/>
            </w:tcBorders>
            <w:noWrap/>
            <w:hideMark/>
          </w:tcPr>
          <w:p w14:paraId="2C749D39"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0.0208</w:t>
            </w:r>
          </w:p>
        </w:tc>
        <w:tc>
          <w:tcPr>
            <w:tcW w:w="1237" w:type="dxa"/>
            <w:tcBorders>
              <w:top w:val="nil"/>
              <w:bottom w:val="nil"/>
            </w:tcBorders>
            <w:noWrap/>
            <w:hideMark/>
          </w:tcPr>
          <w:p w14:paraId="10C04B62"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0.0247</w:t>
            </w:r>
          </w:p>
        </w:tc>
        <w:tc>
          <w:tcPr>
            <w:tcW w:w="1237" w:type="dxa"/>
            <w:tcBorders>
              <w:top w:val="nil"/>
              <w:bottom w:val="nil"/>
            </w:tcBorders>
            <w:noWrap/>
            <w:hideMark/>
          </w:tcPr>
          <w:p w14:paraId="3C18A081"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1.1875</w:t>
            </w:r>
          </w:p>
        </w:tc>
        <w:tc>
          <w:tcPr>
            <w:tcW w:w="1251" w:type="dxa"/>
            <w:tcBorders>
              <w:top w:val="nil"/>
              <w:bottom w:val="nil"/>
            </w:tcBorders>
            <w:noWrap/>
            <w:hideMark/>
          </w:tcPr>
          <w:p w14:paraId="17D24DA8"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0.0215</w:t>
            </w:r>
          </w:p>
        </w:tc>
        <w:tc>
          <w:tcPr>
            <w:tcW w:w="1224" w:type="dxa"/>
            <w:tcBorders>
              <w:top w:val="nil"/>
              <w:bottom w:val="nil"/>
            </w:tcBorders>
            <w:noWrap/>
            <w:hideMark/>
          </w:tcPr>
          <w:p w14:paraId="79F9E2DF"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1.0343</w:t>
            </w:r>
          </w:p>
        </w:tc>
      </w:tr>
      <w:tr w:rsidR="004762AE" w:rsidRPr="004C78D8" w14:paraId="7EEA4DB5" w14:textId="77777777" w:rsidTr="00A1003D">
        <w:trPr>
          <w:trHeight w:val="300"/>
        </w:trPr>
        <w:tc>
          <w:tcPr>
            <w:tcW w:w="641" w:type="dxa"/>
            <w:tcBorders>
              <w:top w:val="nil"/>
              <w:bottom w:val="nil"/>
            </w:tcBorders>
            <w:noWrap/>
            <w:hideMark/>
          </w:tcPr>
          <w:p w14:paraId="3AF5025A" w14:textId="77777777" w:rsidR="004762AE" w:rsidRPr="004C78D8" w:rsidRDefault="004762AE" w:rsidP="00FB7C1F">
            <w:pPr>
              <w:jc w:val="left"/>
              <w:rPr>
                <w:rFonts w:eastAsia="Times New Roman" w:cs="Times New Roman"/>
                <w:color w:val="000000"/>
                <w:sz w:val="18"/>
                <w:szCs w:val="18"/>
              </w:rPr>
            </w:pPr>
            <w:r w:rsidRPr="004C78D8">
              <w:rPr>
                <w:rFonts w:eastAsia="Times New Roman" w:cs="Times New Roman"/>
                <w:color w:val="000000"/>
                <w:sz w:val="18"/>
                <w:szCs w:val="18"/>
              </w:rPr>
              <w:t>[9]</w:t>
            </w:r>
          </w:p>
        </w:tc>
        <w:tc>
          <w:tcPr>
            <w:tcW w:w="2048" w:type="dxa"/>
            <w:tcBorders>
              <w:top w:val="nil"/>
              <w:bottom w:val="nil"/>
            </w:tcBorders>
            <w:noWrap/>
            <w:hideMark/>
          </w:tcPr>
          <w:p w14:paraId="6468145B" w14:textId="1476C2A4" w:rsidR="004762AE" w:rsidRPr="004C78D8" w:rsidRDefault="00034EC4" w:rsidP="00FB7C1F">
            <w:pPr>
              <w:jc w:val="left"/>
              <w:rPr>
                <w:rFonts w:eastAsia="Times New Roman" w:cs="Times New Roman"/>
                <w:color w:val="000000"/>
                <w:sz w:val="18"/>
                <w:szCs w:val="18"/>
              </w:rPr>
            </w:pPr>
            <w:r w:rsidRPr="004C78D8">
              <w:rPr>
                <w:sz w:val="18"/>
                <w:szCs w:val="18"/>
              </w:rPr>
              <w:t>CRC(4) + 3</w:t>
            </w:r>
            <w:r w:rsidRPr="004C78D8">
              <w:rPr>
                <w:sz w:val="18"/>
                <w:szCs w:val="18"/>
                <w:vertAlign w:val="superscript"/>
              </w:rPr>
              <w:t>rd</w:t>
            </w:r>
            <w:r w:rsidRPr="004C78D8">
              <w:rPr>
                <w:sz w:val="18"/>
                <w:szCs w:val="18"/>
              </w:rPr>
              <w:t>/4</w:t>
            </w:r>
            <w:r w:rsidRPr="004C78D8">
              <w:rPr>
                <w:sz w:val="18"/>
                <w:szCs w:val="18"/>
                <w:vertAlign w:val="superscript"/>
              </w:rPr>
              <w:t>th</w:t>
            </w:r>
            <w:r w:rsidRPr="004C78D8">
              <w:rPr>
                <w:sz w:val="18"/>
                <w:szCs w:val="18"/>
              </w:rPr>
              <w:t xml:space="preserve"> SES PA promote</w:t>
            </w:r>
          </w:p>
        </w:tc>
        <w:tc>
          <w:tcPr>
            <w:tcW w:w="1378" w:type="dxa"/>
            <w:tcBorders>
              <w:top w:val="nil"/>
              <w:bottom w:val="nil"/>
            </w:tcBorders>
            <w:noWrap/>
            <w:hideMark/>
          </w:tcPr>
          <w:p w14:paraId="07E1D9DA"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0.0213</w:t>
            </w:r>
          </w:p>
        </w:tc>
        <w:tc>
          <w:tcPr>
            <w:tcW w:w="1237" w:type="dxa"/>
            <w:tcBorders>
              <w:top w:val="nil"/>
              <w:bottom w:val="nil"/>
            </w:tcBorders>
            <w:noWrap/>
            <w:hideMark/>
          </w:tcPr>
          <w:p w14:paraId="7E6F3E28"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0.0250</w:t>
            </w:r>
          </w:p>
        </w:tc>
        <w:tc>
          <w:tcPr>
            <w:tcW w:w="1237" w:type="dxa"/>
            <w:tcBorders>
              <w:top w:val="nil"/>
              <w:bottom w:val="nil"/>
            </w:tcBorders>
            <w:noWrap/>
            <w:hideMark/>
          </w:tcPr>
          <w:p w14:paraId="0CB08D0E"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1.1745</w:t>
            </w:r>
          </w:p>
        </w:tc>
        <w:tc>
          <w:tcPr>
            <w:tcW w:w="1251" w:type="dxa"/>
            <w:tcBorders>
              <w:top w:val="nil"/>
              <w:bottom w:val="nil"/>
            </w:tcBorders>
            <w:noWrap/>
            <w:hideMark/>
          </w:tcPr>
          <w:p w14:paraId="6C2003C3"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0.0223</w:t>
            </w:r>
          </w:p>
        </w:tc>
        <w:tc>
          <w:tcPr>
            <w:tcW w:w="1224" w:type="dxa"/>
            <w:tcBorders>
              <w:top w:val="nil"/>
              <w:bottom w:val="nil"/>
            </w:tcBorders>
            <w:noWrap/>
            <w:hideMark/>
          </w:tcPr>
          <w:p w14:paraId="233D3A17"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1.0459</w:t>
            </w:r>
          </w:p>
        </w:tc>
      </w:tr>
      <w:tr w:rsidR="004762AE" w:rsidRPr="004C78D8" w14:paraId="0F0406CA" w14:textId="77777777" w:rsidTr="00A1003D">
        <w:trPr>
          <w:trHeight w:val="300"/>
        </w:trPr>
        <w:tc>
          <w:tcPr>
            <w:tcW w:w="641" w:type="dxa"/>
            <w:tcBorders>
              <w:top w:val="nil"/>
              <w:bottom w:val="nil"/>
            </w:tcBorders>
            <w:noWrap/>
            <w:hideMark/>
          </w:tcPr>
          <w:p w14:paraId="7DB41249" w14:textId="77777777" w:rsidR="004762AE" w:rsidRPr="004C78D8" w:rsidRDefault="004762AE" w:rsidP="00FB7C1F">
            <w:pPr>
              <w:jc w:val="left"/>
              <w:rPr>
                <w:rFonts w:eastAsia="Times New Roman" w:cs="Times New Roman"/>
                <w:color w:val="000000"/>
                <w:sz w:val="18"/>
                <w:szCs w:val="18"/>
              </w:rPr>
            </w:pPr>
            <w:r w:rsidRPr="004C78D8">
              <w:rPr>
                <w:rFonts w:eastAsia="Times New Roman" w:cs="Times New Roman"/>
                <w:color w:val="000000"/>
                <w:sz w:val="18"/>
                <w:szCs w:val="18"/>
              </w:rPr>
              <w:t>[17]</w:t>
            </w:r>
          </w:p>
        </w:tc>
        <w:tc>
          <w:tcPr>
            <w:tcW w:w="2048" w:type="dxa"/>
            <w:tcBorders>
              <w:top w:val="nil"/>
              <w:bottom w:val="nil"/>
            </w:tcBorders>
            <w:noWrap/>
            <w:hideMark/>
          </w:tcPr>
          <w:p w14:paraId="002E6C57" w14:textId="25F1E046" w:rsidR="004762AE" w:rsidRPr="004C78D8" w:rsidRDefault="00034EC4" w:rsidP="00FB7C1F">
            <w:pPr>
              <w:jc w:val="left"/>
              <w:rPr>
                <w:rFonts w:eastAsia="Times New Roman" w:cs="Times New Roman"/>
                <w:color w:val="000000"/>
                <w:sz w:val="18"/>
                <w:szCs w:val="18"/>
              </w:rPr>
            </w:pPr>
            <w:r w:rsidRPr="004C78D8">
              <w:rPr>
                <w:sz w:val="18"/>
                <w:szCs w:val="18"/>
              </w:rPr>
              <w:t>UC + universal FH removal</w:t>
            </w:r>
          </w:p>
        </w:tc>
        <w:tc>
          <w:tcPr>
            <w:tcW w:w="1378" w:type="dxa"/>
            <w:tcBorders>
              <w:top w:val="nil"/>
              <w:bottom w:val="nil"/>
            </w:tcBorders>
            <w:noWrap/>
            <w:hideMark/>
          </w:tcPr>
          <w:p w14:paraId="0FFEF5CA"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0.0214</w:t>
            </w:r>
          </w:p>
        </w:tc>
        <w:tc>
          <w:tcPr>
            <w:tcW w:w="1237" w:type="dxa"/>
            <w:tcBorders>
              <w:top w:val="nil"/>
              <w:bottom w:val="nil"/>
            </w:tcBorders>
            <w:noWrap/>
            <w:hideMark/>
          </w:tcPr>
          <w:p w14:paraId="4327F1FE"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0.0178</w:t>
            </w:r>
          </w:p>
        </w:tc>
        <w:tc>
          <w:tcPr>
            <w:tcW w:w="1237" w:type="dxa"/>
            <w:tcBorders>
              <w:top w:val="nil"/>
              <w:bottom w:val="nil"/>
            </w:tcBorders>
            <w:noWrap/>
            <w:hideMark/>
          </w:tcPr>
          <w:p w14:paraId="6E7B7A8A"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0.8333</w:t>
            </w:r>
          </w:p>
        </w:tc>
        <w:tc>
          <w:tcPr>
            <w:tcW w:w="1251" w:type="dxa"/>
            <w:tcBorders>
              <w:top w:val="nil"/>
              <w:bottom w:val="nil"/>
            </w:tcBorders>
            <w:noWrap/>
            <w:hideMark/>
          </w:tcPr>
          <w:p w14:paraId="1218E750"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0.0203</w:t>
            </w:r>
          </w:p>
        </w:tc>
        <w:tc>
          <w:tcPr>
            <w:tcW w:w="1224" w:type="dxa"/>
            <w:tcBorders>
              <w:top w:val="nil"/>
              <w:bottom w:val="nil"/>
            </w:tcBorders>
            <w:noWrap/>
            <w:hideMark/>
          </w:tcPr>
          <w:p w14:paraId="606EA02F"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0.9490</w:t>
            </w:r>
          </w:p>
        </w:tc>
      </w:tr>
      <w:tr w:rsidR="004762AE" w:rsidRPr="004C78D8" w14:paraId="3023BC9C" w14:textId="77777777" w:rsidTr="00A1003D">
        <w:trPr>
          <w:trHeight w:val="148"/>
        </w:trPr>
        <w:tc>
          <w:tcPr>
            <w:tcW w:w="641" w:type="dxa"/>
            <w:tcBorders>
              <w:top w:val="nil"/>
              <w:bottom w:val="nil"/>
            </w:tcBorders>
            <w:noWrap/>
            <w:hideMark/>
          </w:tcPr>
          <w:p w14:paraId="28853373" w14:textId="77777777" w:rsidR="004762AE" w:rsidRPr="004C78D8" w:rsidRDefault="004762AE" w:rsidP="00FB7C1F">
            <w:pPr>
              <w:jc w:val="left"/>
              <w:rPr>
                <w:rFonts w:eastAsia="Times New Roman" w:cs="Times New Roman"/>
                <w:color w:val="000000"/>
                <w:sz w:val="18"/>
                <w:szCs w:val="18"/>
              </w:rPr>
            </w:pPr>
            <w:r w:rsidRPr="004C78D8">
              <w:rPr>
                <w:rFonts w:eastAsia="Times New Roman" w:cs="Times New Roman"/>
                <w:color w:val="000000"/>
                <w:sz w:val="18"/>
                <w:szCs w:val="18"/>
              </w:rPr>
              <w:t>[4]</w:t>
            </w:r>
          </w:p>
        </w:tc>
        <w:tc>
          <w:tcPr>
            <w:tcW w:w="2048" w:type="dxa"/>
            <w:tcBorders>
              <w:top w:val="nil"/>
              <w:bottom w:val="nil"/>
            </w:tcBorders>
            <w:noWrap/>
            <w:hideMark/>
          </w:tcPr>
          <w:p w14:paraId="191381DF" w14:textId="560739FE" w:rsidR="004762AE" w:rsidRPr="004C78D8" w:rsidRDefault="00034EC4" w:rsidP="00FB7C1F">
            <w:pPr>
              <w:jc w:val="left"/>
              <w:rPr>
                <w:rFonts w:eastAsia="Times New Roman" w:cs="Times New Roman"/>
                <w:color w:val="000000"/>
                <w:sz w:val="18"/>
                <w:szCs w:val="18"/>
              </w:rPr>
            </w:pPr>
            <w:r w:rsidRPr="004C78D8">
              <w:rPr>
                <w:sz w:val="18"/>
                <w:szCs w:val="18"/>
              </w:rPr>
              <w:t>RC SR pathway</w:t>
            </w:r>
          </w:p>
        </w:tc>
        <w:tc>
          <w:tcPr>
            <w:tcW w:w="1378" w:type="dxa"/>
            <w:tcBorders>
              <w:top w:val="nil"/>
              <w:bottom w:val="nil"/>
            </w:tcBorders>
            <w:noWrap/>
            <w:hideMark/>
          </w:tcPr>
          <w:p w14:paraId="1C69F93E"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0.0221</w:t>
            </w:r>
          </w:p>
        </w:tc>
        <w:tc>
          <w:tcPr>
            <w:tcW w:w="1237" w:type="dxa"/>
            <w:tcBorders>
              <w:top w:val="nil"/>
              <w:bottom w:val="nil"/>
            </w:tcBorders>
            <w:noWrap/>
            <w:hideMark/>
          </w:tcPr>
          <w:p w14:paraId="288B7FF7"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0.0223</w:t>
            </w:r>
          </w:p>
        </w:tc>
        <w:tc>
          <w:tcPr>
            <w:tcW w:w="1237" w:type="dxa"/>
            <w:tcBorders>
              <w:top w:val="nil"/>
              <w:bottom w:val="nil"/>
            </w:tcBorders>
            <w:noWrap/>
            <w:hideMark/>
          </w:tcPr>
          <w:p w14:paraId="0AB8E24D"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1.0085</w:t>
            </w:r>
          </w:p>
        </w:tc>
        <w:tc>
          <w:tcPr>
            <w:tcW w:w="1251" w:type="dxa"/>
            <w:tcBorders>
              <w:top w:val="nil"/>
              <w:bottom w:val="nil"/>
            </w:tcBorders>
            <w:noWrap/>
            <w:hideMark/>
          </w:tcPr>
          <w:p w14:paraId="71CE66F5"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0.0219</w:t>
            </w:r>
          </w:p>
        </w:tc>
        <w:tc>
          <w:tcPr>
            <w:tcW w:w="1224" w:type="dxa"/>
            <w:tcBorders>
              <w:top w:val="nil"/>
              <w:bottom w:val="nil"/>
            </w:tcBorders>
            <w:noWrap/>
            <w:hideMark/>
          </w:tcPr>
          <w:p w14:paraId="1650ADAE"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0.9898</w:t>
            </w:r>
          </w:p>
        </w:tc>
      </w:tr>
      <w:tr w:rsidR="004762AE" w:rsidRPr="004C78D8" w14:paraId="56BD8046" w14:textId="77777777" w:rsidTr="00A1003D">
        <w:trPr>
          <w:trHeight w:val="300"/>
        </w:trPr>
        <w:tc>
          <w:tcPr>
            <w:tcW w:w="641" w:type="dxa"/>
            <w:tcBorders>
              <w:top w:val="nil"/>
              <w:bottom w:val="nil"/>
            </w:tcBorders>
            <w:noWrap/>
            <w:hideMark/>
          </w:tcPr>
          <w:p w14:paraId="660782B0" w14:textId="77777777" w:rsidR="004762AE" w:rsidRPr="004C78D8" w:rsidRDefault="004762AE" w:rsidP="00FB7C1F">
            <w:pPr>
              <w:jc w:val="left"/>
              <w:rPr>
                <w:rFonts w:eastAsia="Times New Roman" w:cs="Times New Roman"/>
                <w:color w:val="000000"/>
                <w:sz w:val="18"/>
                <w:szCs w:val="18"/>
              </w:rPr>
            </w:pPr>
            <w:r w:rsidRPr="004C78D8">
              <w:rPr>
                <w:rFonts w:eastAsia="Times New Roman" w:cs="Times New Roman"/>
                <w:color w:val="000000"/>
                <w:sz w:val="18"/>
                <w:szCs w:val="18"/>
              </w:rPr>
              <w:t>[13]</w:t>
            </w:r>
          </w:p>
        </w:tc>
        <w:tc>
          <w:tcPr>
            <w:tcW w:w="2048" w:type="dxa"/>
            <w:tcBorders>
              <w:top w:val="nil"/>
              <w:bottom w:val="nil"/>
            </w:tcBorders>
            <w:noWrap/>
            <w:hideMark/>
          </w:tcPr>
          <w:p w14:paraId="492D87DB" w14:textId="53F0110C" w:rsidR="004762AE" w:rsidRPr="004C78D8" w:rsidRDefault="00034EC4" w:rsidP="00FB7C1F">
            <w:pPr>
              <w:jc w:val="left"/>
              <w:rPr>
                <w:rFonts w:eastAsia="Times New Roman" w:cs="Times New Roman"/>
                <w:color w:val="000000"/>
                <w:sz w:val="18"/>
                <w:szCs w:val="18"/>
              </w:rPr>
            </w:pPr>
            <w:r w:rsidRPr="004C78D8">
              <w:rPr>
                <w:sz w:val="18"/>
                <w:szCs w:val="18"/>
              </w:rPr>
              <w:t>CRC(4) + universal PA promotion</w:t>
            </w:r>
          </w:p>
        </w:tc>
        <w:tc>
          <w:tcPr>
            <w:tcW w:w="1378" w:type="dxa"/>
            <w:tcBorders>
              <w:top w:val="nil"/>
              <w:bottom w:val="nil"/>
            </w:tcBorders>
            <w:noWrap/>
            <w:hideMark/>
          </w:tcPr>
          <w:p w14:paraId="72C1C84D"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0.0252</w:t>
            </w:r>
          </w:p>
        </w:tc>
        <w:tc>
          <w:tcPr>
            <w:tcW w:w="1237" w:type="dxa"/>
            <w:tcBorders>
              <w:top w:val="nil"/>
              <w:bottom w:val="nil"/>
            </w:tcBorders>
            <w:noWrap/>
            <w:hideMark/>
          </w:tcPr>
          <w:p w14:paraId="0F2E39D2"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0.0243</w:t>
            </w:r>
          </w:p>
        </w:tc>
        <w:tc>
          <w:tcPr>
            <w:tcW w:w="1237" w:type="dxa"/>
            <w:tcBorders>
              <w:top w:val="nil"/>
              <w:bottom w:val="nil"/>
            </w:tcBorders>
            <w:noWrap/>
            <w:hideMark/>
          </w:tcPr>
          <w:p w14:paraId="7B6CECE6"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0.9640</w:t>
            </w:r>
          </w:p>
        </w:tc>
        <w:tc>
          <w:tcPr>
            <w:tcW w:w="1251" w:type="dxa"/>
            <w:tcBorders>
              <w:top w:val="nil"/>
              <w:bottom w:val="nil"/>
            </w:tcBorders>
            <w:noWrap/>
            <w:hideMark/>
          </w:tcPr>
          <w:p w14:paraId="1CC93BED"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0.0248</w:t>
            </w:r>
          </w:p>
        </w:tc>
        <w:tc>
          <w:tcPr>
            <w:tcW w:w="1224" w:type="dxa"/>
            <w:tcBorders>
              <w:top w:val="nil"/>
              <w:bottom w:val="nil"/>
            </w:tcBorders>
            <w:noWrap/>
            <w:hideMark/>
          </w:tcPr>
          <w:p w14:paraId="6F0CBD0D"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0.9827</w:t>
            </w:r>
          </w:p>
        </w:tc>
      </w:tr>
      <w:tr w:rsidR="004762AE" w:rsidRPr="004C78D8" w14:paraId="5E17C24A" w14:textId="77777777" w:rsidTr="00A1003D">
        <w:trPr>
          <w:trHeight w:val="300"/>
        </w:trPr>
        <w:tc>
          <w:tcPr>
            <w:tcW w:w="641" w:type="dxa"/>
            <w:tcBorders>
              <w:top w:val="nil"/>
              <w:bottom w:val="nil"/>
            </w:tcBorders>
            <w:noWrap/>
            <w:hideMark/>
          </w:tcPr>
          <w:p w14:paraId="3EEEF4A4" w14:textId="77777777" w:rsidR="004762AE" w:rsidRPr="004C78D8" w:rsidRDefault="004762AE" w:rsidP="00FB7C1F">
            <w:pPr>
              <w:jc w:val="left"/>
              <w:rPr>
                <w:rFonts w:eastAsia="Times New Roman" w:cs="Times New Roman"/>
                <w:color w:val="000000"/>
                <w:sz w:val="18"/>
                <w:szCs w:val="18"/>
              </w:rPr>
            </w:pPr>
            <w:r w:rsidRPr="004C78D8">
              <w:rPr>
                <w:rFonts w:eastAsia="Times New Roman" w:cs="Times New Roman"/>
                <w:color w:val="000000"/>
                <w:sz w:val="18"/>
                <w:szCs w:val="18"/>
              </w:rPr>
              <w:t>[23]</w:t>
            </w:r>
          </w:p>
        </w:tc>
        <w:tc>
          <w:tcPr>
            <w:tcW w:w="2048" w:type="dxa"/>
            <w:tcBorders>
              <w:top w:val="nil"/>
              <w:bottom w:val="nil"/>
            </w:tcBorders>
            <w:noWrap/>
            <w:hideMark/>
          </w:tcPr>
          <w:p w14:paraId="702C110A" w14:textId="740714B6" w:rsidR="004762AE" w:rsidRPr="004C78D8" w:rsidRDefault="00034EC4" w:rsidP="00FB7C1F">
            <w:pPr>
              <w:jc w:val="left"/>
              <w:rPr>
                <w:rFonts w:eastAsia="Times New Roman" w:cs="Times New Roman"/>
                <w:color w:val="000000"/>
                <w:sz w:val="18"/>
                <w:szCs w:val="18"/>
              </w:rPr>
            </w:pPr>
            <w:r w:rsidRPr="004C78D8">
              <w:rPr>
                <w:sz w:val="18"/>
                <w:szCs w:val="18"/>
              </w:rPr>
              <w:t>RC proactive &amp; SR pathways</w:t>
            </w:r>
          </w:p>
        </w:tc>
        <w:tc>
          <w:tcPr>
            <w:tcW w:w="1378" w:type="dxa"/>
            <w:tcBorders>
              <w:top w:val="nil"/>
              <w:bottom w:val="nil"/>
            </w:tcBorders>
            <w:noWrap/>
            <w:hideMark/>
          </w:tcPr>
          <w:p w14:paraId="6596A830"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0.0258</w:t>
            </w:r>
          </w:p>
        </w:tc>
        <w:tc>
          <w:tcPr>
            <w:tcW w:w="1237" w:type="dxa"/>
            <w:tcBorders>
              <w:top w:val="nil"/>
              <w:bottom w:val="nil"/>
            </w:tcBorders>
            <w:noWrap/>
            <w:hideMark/>
          </w:tcPr>
          <w:p w14:paraId="5FBF2781"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0.0259</w:t>
            </w:r>
          </w:p>
        </w:tc>
        <w:tc>
          <w:tcPr>
            <w:tcW w:w="1237" w:type="dxa"/>
            <w:tcBorders>
              <w:top w:val="nil"/>
              <w:bottom w:val="nil"/>
            </w:tcBorders>
            <w:noWrap/>
            <w:hideMark/>
          </w:tcPr>
          <w:p w14:paraId="435B798C"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1.0047</w:t>
            </w:r>
          </w:p>
        </w:tc>
        <w:tc>
          <w:tcPr>
            <w:tcW w:w="1251" w:type="dxa"/>
            <w:tcBorders>
              <w:top w:val="nil"/>
              <w:bottom w:val="nil"/>
            </w:tcBorders>
            <w:noWrap/>
            <w:hideMark/>
          </w:tcPr>
          <w:p w14:paraId="2752C91A"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0.0256</w:t>
            </w:r>
          </w:p>
        </w:tc>
        <w:tc>
          <w:tcPr>
            <w:tcW w:w="1224" w:type="dxa"/>
            <w:tcBorders>
              <w:top w:val="nil"/>
              <w:bottom w:val="nil"/>
            </w:tcBorders>
            <w:noWrap/>
            <w:hideMark/>
          </w:tcPr>
          <w:p w14:paraId="2DF9AABC"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0.9943</w:t>
            </w:r>
          </w:p>
        </w:tc>
      </w:tr>
      <w:tr w:rsidR="004762AE" w:rsidRPr="004C78D8" w14:paraId="10BA2635" w14:textId="77777777" w:rsidTr="00A1003D">
        <w:trPr>
          <w:trHeight w:val="300"/>
        </w:trPr>
        <w:tc>
          <w:tcPr>
            <w:tcW w:w="641" w:type="dxa"/>
            <w:tcBorders>
              <w:top w:val="nil"/>
              <w:bottom w:val="nil"/>
            </w:tcBorders>
            <w:noWrap/>
            <w:hideMark/>
          </w:tcPr>
          <w:p w14:paraId="50858279" w14:textId="77777777" w:rsidR="004762AE" w:rsidRPr="004C78D8" w:rsidRDefault="004762AE" w:rsidP="00FB7C1F">
            <w:pPr>
              <w:jc w:val="left"/>
              <w:rPr>
                <w:rFonts w:eastAsia="Times New Roman" w:cs="Times New Roman"/>
                <w:color w:val="000000"/>
                <w:sz w:val="18"/>
                <w:szCs w:val="18"/>
              </w:rPr>
            </w:pPr>
            <w:r w:rsidRPr="004C78D8">
              <w:rPr>
                <w:rFonts w:eastAsia="Times New Roman" w:cs="Times New Roman"/>
                <w:color w:val="000000"/>
                <w:sz w:val="18"/>
                <w:szCs w:val="18"/>
              </w:rPr>
              <w:t>[6]</w:t>
            </w:r>
          </w:p>
        </w:tc>
        <w:tc>
          <w:tcPr>
            <w:tcW w:w="2048" w:type="dxa"/>
            <w:tcBorders>
              <w:top w:val="nil"/>
              <w:bottom w:val="nil"/>
            </w:tcBorders>
            <w:noWrap/>
            <w:hideMark/>
          </w:tcPr>
          <w:p w14:paraId="2CEB43E2" w14:textId="41AE4BD4" w:rsidR="004762AE" w:rsidRPr="004C78D8" w:rsidRDefault="00034EC4" w:rsidP="00FB7C1F">
            <w:pPr>
              <w:jc w:val="left"/>
              <w:rPr>
                <w:rFonts w:eastAsia="Times New Roman" w:cs="Times New Roman"/>
                <w:color w:val="000000"/>
                <w:sz w:val="18"/>
                <w:szCs w:val="18"/>
              </w:rPr>
            </w:pPr>
            <w:r w:rsidRPr="004C78D8">
              <w:rPr>
                <w:sz w:val="18"/>
                <w:szCs w:val="18"/>
              </w:rPr>
              <w:t>RC reactive &amp; SR pathways</w:t>
            </w:r>
          </w:p>
        </w:tc>
        <w:tc>
          <w:tcPr>
            <w:tcW w:w="1378" w:type="dxa"/>
            <w:tcBorders>
              <w:top w:val="nil"/>
              <w:bottom w:val="nil"/>
            </w:tcBorders>
            <w:noWrap/>
            <w:hideMark/>
          </w:tcPr>
          <w:p w14:paraId="58980C77"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0.0282</w:t>
            </w:r>
          </w:p>
        </w:tc>
        <w:tc>
          <w:tcPr>
            <w:tcW w:w="1237" w:type="dxa"/>
            <w:tcBorders>
              <w:top w:val="nil"/>
              <w:bottom w:val="nil"/>
            </w:tcBorders>
            <w:noWrap/>
            <w:hideMark/>
          </w:tcPr>
          <w:p w14:paraId="5C23297D"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0.0284</w:t>
            </w:r>
          </w:p>
        </w:tc>
        <w:tc>
          <w:tcPr>
            <w:tcW w:w="1237" w:type="dxa"/>
            <w:tcBorders>
              <w:top w:val="nil"/>
              <w:bottom w:val="nil"/>
            </w:tcBorders>
            <w:noWrap/>
            <w:hideMark/>
          </w:tcPr>
          <w:p w14:paraId="4BFB8EB4"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1.0056</w:t>
            </w:r>
          </w:p>
        </w:tc>
        <w:tc>
          <w:tcPr>
            <w:tcW w:w="1251" w:type="dxa"/>
            <w:tcBorders>
              <w:top w:val="nil"/>
              <w:bottom w:val="nil"/>
            </w:tcBorders>
            <w:noWrap/>
            <w:hideMark/>
          </w:tcPr>
          <w:p w14:paraId="0C9E779F"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0.0280</w:t>
            </w:r>
          </w:p>
        </w:tc>
        <w:tc>
          <w:tcPr>
            <w:tcW w:w="1224" w:type="dxa"/>
            <w:tcBorders>
              <w:top w:val="nil"/>
              <w:bottom w:val="nil"/>
            </w:tcBorders>
            <w:noWrap/>
            <w:hideMark/>
          </w:tcPr>
          <w:p w14:paraId="365FB547"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0.9918</w:t>
            </w:r>
          </w:p>
        </w:tc>
      </w:tr>
      <w:tr w:rsidR="004762AE" w:rsidRPr="004C78D8" w14:paraId="034BE4F5" w14:textId="77777777" w:rsidTr="00A1003D">
        <w:trPr>
          <w:trHeight w:val="300"/>
        </w:trPr>
        <w:tc>
          <w:tcPr>
            <w:tcW w:w="641" w:type="dxa"/>
            <w:tcBorders>
              <w:top w:val="nil"/>
              <w:bottom w:val="nil"/>
            </w:tcBorders>
            <w:noWrap/>
            <w:hideMark/>
          </w:tcPr>
          <w:p w14:paraId="505888AF" w14:textId="77777777" w:rsidR="004762AE" w:rsidRPr="004C78D8" w:rsidRDefault="004762AE" w:rsidP="00FB7C1F">
            <w:pPr>
              <w:jc w:val="left"/>
              <w:rPr>
                <w:rFonts w:eastAsia="Times New Roman" w:cs="Times New Roman"/>
                <w:color w:val="000000"/>
                <w:sz w:val="18"/>
                <w:szCs w:val="18"/>
              </w:rPr>
            </w:pPr>
            <w:r w:rsidRPr="004C78D8">
              <w:rPr>
                <w:rFonts w:eastAsia="Times New Roman" w:cs="Times New Roman"/>
                <w:color w:val="000000"/>
                <w:sz w:val="18"/>
                <w:szCs w:val="18"/>
              </w:rPr>
              <w:t>[18]</w:t>
            </w:r>
          </w:p>
        </w:tc>
        <w:tc>
          <w:tcPr>
            <w:tcW w:w="2048" w:type="dxa"/>
            <w:tcBorders>
              <w:top w:val="nil"/>
              <w:bottom w:val="nil"/>
            </w:tcBorders>
            <w:noWrap/>
            <w:hideMark/>
          </w:tcPr>
          <w:p w14:paraId="6F807BB6" w14:textId="447E582C" w:rsidR="004762AE" w:rsidRPr="004C78D8" w:rsidRDefault="00034EC4" w:rsidP="00FB7C1F">
            <w:pPr>
              <w:jc w:val="left"/>
              <w:rPr>
                <w:rFonts w:eastAsia="Times New Roman" w:cs="Times New Roman"/>
                <w:color w:val="000000"/>
                <w:sz w:val="18"/>
                <w:szCs w:val="18"/>
              </w:rPr>
            </w:pPr>
            <w:r w:rsidRPr="004C78D8">
              <w:rPr>
                <w:sz w:val="18"/>
                <w:szCs w:val="18"/>
              </w:rPr>
              <w:t>CRC(4) + 3</w:t>
            </w:r>
            <w:r w:rsidRPr="004C78D8">
              <w:rPr>
                <w:sz w:val="18"/>
                <w:szCs w:val="18"/>
                <w:vertAlign w:val="superscript"/>
              </w:rPr>
              <w:t>rd</w:t>
            </w:r>
            <w:r w:rsidRPr="004C78D8">
              <w:rPr>
                <w:sz w:val="18"/>
                <w:szCs w:val="18"/>
              </w:rPr>
              <w:t>/4</w:t>
            </w:r>
            <w:r w:rsidRPr="004C78D8">
              <w:rPr>
                <w:sz w:val="18"/>
                <w:szCs w:val="18"/>
                <w:vertAlign w:val="superscript"/>
              </w:rPr>
              <w:t>th</w:t>
            </w:r>
            <w:r w:rsidRPr="004C78D8">
              <w:rPr>
                <w:sz w:val="18"/>
                <w:szCs w:val="18"/>
              </w:rPr>
              <w:t xml:space="preserve"> SES FH removal</w:t>
            </w:r>
          </w:p>
        </w:tc>
        <w:tc>
          <w:tcPr>
            <w:tcW w:w="1378" w:type="dxa"/>
            <w:tcBorders>
              <w:top w:val="nil"/>
              <w:bottom w:val="nil"/>
            </w:tcBorders>
            <w:noWrap/>
            <w:hideMark/>
          </w:tcPr>
          <w:p w14:paraId="2F16E2AA"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0.0298</w:t>
            </w:r>
          </w:p>
        </w:tc>
        <w:tc>
          <w:tcPr>
            <w:tcW w:w="1237" w:type="dxa"/>
            <w:tcBorders>
              <w:top w:val="nil"/>
              <w:bottom w:val="nil"/>
            </w:tcBorders>
            <w:noWrap/>
            <w:hideMark/>
          </w:tcPr>
          <w:p w14:paraId="1C025CD1"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0.0591</w:t>
            </w:r>
          </w:p>
        </w:tc>
        <w:tc>
          <w:tcPr>
            <w:tcW w:w="1237" w:type="dxa"/>
            <w:tcBorders>
              <w:top w:val="nil"/>
              <w:bottom w:val="nil"/>
            </w:tcBorders>
            <w:noWrap/>
            <w:hideMark/>
          </w:tcPr>
          <w:p w14:paraId="21AF753A"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1.9866</w:t>
            </w:r>
          </w:p>
        </w:tc>
        <w:tc>
          <w:tcPr>
            <w:tcW w:w="1251" w:type="dxa"/>
            <w:tcBorders>
              <w:top w:val="nil"/>
              <w:bottom w:val="nil"/>
            </w:tcBorders>
            <w:noWrap/>
            <w:hideMark/>
          </w:tcPr>
          <w:p w14:paraId="6330E77E"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0.0377</w:t>
            </w:r>
          </w:p>
        </w:tc>
        <w:tc>
          <w:tcPr>
            <w:tcW w:w="1224" w:type="dxa"/>
            <w:tcBorders>
              <w:top w:val="nil"/>
              <w:bottom w:val="nil"/>
            </w:tcBorders>
            <w:noWrap/>
            <w:hideMark/>
          </w:tcPr>
          <w:p w14:paraId="662DBA2B"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1.2660</w:t>
            </w:r>
          </w:p>
        </w:tc>
      </w:tr>
      <w:tr w:rsidR="004762AE" w:rsidRPr="004C78D8" w14:paraId="10D50597" w14:textId="77777777" w:rsidTr="00A1003D">
        <w:trPr>
          <w:trHeight w:val="107"/>
        </w:trPr>
        <w:tc>
          <w:tcPr>
            <w:tcW w:w="641" w:type="dxa"/>
            <w:tcBorders>
              <w:top w:val="nil"/>
              <w:bottom w:val="nil"/>
            </w:tcBorders>
            <w:noWrap/>
            <w:hideMark/>
          </w:tcPr>
          <w:p w14:paraId="119B3C9C" w14:textId="77777777" w:rsidR="004762AE" w:rsidRPr="004C78D8" w:rsidRDefault="004762AE" w:rsidP="00FB7C1F">
            <w:pPr>
              <w:jc w:val="left"/>
              <w:rPr>
                <w:rFonts w:eastAsia="Times New Roman" w:cs="Times New Roman"/>
                <w:color w:val="000000"/>
                <w:sz w:val="18"/>
                <w:szCs w:val="18"/>
              </w:rPr>
            </w:pPr>
            <w:r w:rsidRPr="004C78D8">
              <w:rPr>
                <w:rFonts w:eastAsia="Times New Roman" w:cs="Times New Roman"/>
                <w:color w:val="000000"/>
                <w:sz w:val="18"/>
                <w:szCs w:val="18"/>
              </w:rPr>
              <w:t>[22]</w:t>
            </w:r>
          </w:p>
        </w:tc>
        <w:tc>
          <w:tcPr>
            <w:tcW w:w="2048" w:type="dxa"/>
            <w:tcBorders>
              <w:top w:val="nil"/>
              <w:bottom w:val="nil"/>
            </w:tcBorders>
            <w:noWrap/>
            <w:hideMark/>
          </w:tcPr>
          <w:p w14:paraId="0B70E998" w14:textId="77777777" w:rsidR="004762AE" w:rsidRPr="004C78D8" w:rsidRDefault="004762AE" w:rsidP="00FB7C1F">
            <w:pPr>
              <w:jc w:val="left"/>
              <w:rPr>
                <w:rFonts w:eastAsia="Times New Roman" w:cs="Times New Roman"/>
                <w:color w:val="000000"/>
                <w:sz w:val="18"/>
                <w:szCs w:val="18"/>
              </w:rPr>
            </w:pPr>
            <w:r w:rsidRPr="004C78D8">
              <w:rPr>
                <w:rFonts w:eastAsia="Times New Roman" w:cs="Times New Roman"/>
                <w:color w:val="000000"/>
                <w:sz w:val="18"/>
                <w:szCs w:val="18"/>
              </w:rPr>
              <w:t>RC</w:t>
            </w:r>
          </w:p>
        </w:tc>
        <w:tc>
          <w:tcPr>
            <w:tcW w:w="1378" w:type="dxa"/>
            <w:tcBorders>
              <w:top w:val="nil"/>
              <w:bottom w:val="nil"/>
            </w:tcBorders>
            <w:noWrap/>
            <w:hideMark/>
          </w:tcPr>
          <w:p w14:paraId="05BE2A30"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0.0307</w:t>
            </w:r>
          </w:p>
        </w:tc>
        <w:tc>
          <w:tcPr>
            <w:tcW w:w="1237" w:type="dxa"/>
            <w:tcBorders>
              <w:top w:val="nil"/>
              <w:bottom w:val="nil"/>
            </w:tcBorders>
            <w:noWrap/>
            <w:hideMark/>
          </w:tcPr>
          <w:p w14:paraId="6B652F3A"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0.0343</w:t>
            </w:r>
          </w:p>
        </w:tc>
        <w:tc>
          <w:tcPr>
            <w:tcW w:w="1237" w:type="dxa"/>
            <w:tcBorders>
              <w:top w:val="nil"/>
              <w:bottom w:val="nil"/>
            </w:tcBorders>
            <w:noWrap/>
            <w:hideMark/>
          </w:tcPr>
          <w:p w14:paraId="23D1C254"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1.1169</w:t>
            </w:r>
          </w:p>
        </w:tc>
        <w:tc>
          <w:tcPr>
            <w:tcW w:w="1251" w:type="dxa"/>
            <w:tcBorders>
              <w:top w:val="nil"/>
              <w:bottom w:val="nil"/>
            </w:tcBorders>
            <w:noWrap/>
            <w:hideMark/>
          </w:tcPr>
          <w:p w14:paraId="4118C68A"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0.0311</w:t>
            </w:r>
          </w:p>
        </w:tc>
        <w:tc>
          <w:tcPr>
            <w:tcW w:w="1224" w:type="dxa"/>
            <w:tcBorders>
              <w:top w:val="nil"/>
              <w:bottom w:val="nil"/>
            </w:tcBorders>
            <w:noWrap/>
            <w:hideMark/>
          </w:tcPr>
          <w:p w14:paraId="6E85748C"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1.0121</w:t>
            </w:r>
          </w:p>
        </w:tc>
      </w:tr>
      <w:tr w:rsidR="004762AE" w:rsidRPr="004C78D8" w14:paraId="09282A06" w14:textId="77777777" w:rsidTr="00A1003D">
        <w:trPr>
          <w:trHeight w:val="300"/>
        </w:trPr>
        <w:tc>
          <w:tcPr>
            <w:tcW w:w="641" w:type="dxa"/>
            <w:tcBorders>
              <w:top w:val="nil"/>
            </w:tcBorders>
            <w:noWrap/>
            <w:hideMark/>
          </w:tcPr>
          <w:p w14:paraId="57442687" w14:textId="77777777" w:rsidR="004762AE" w:rsidRPr="004C78D8" w:rsidRDefault="004762AE" w:rsidP="00FB7C1F">
            <w:pPr>
              <w:jc w:val="left"/>
              <w:rPr>
                <w:rFonts w:eastAsia="Times New Roman" w:cs="Times New Roman"/>
                <w:color w:val="000000"/>
                <w:sz w:val="18"/>
                <w:szCs w:val="18"/>
              </w:rPr>
            </w:pPr>
            <w:r w:rsidRPr="004C78D8">
              <w:rPr>
                <w:rFonts w:eastAsia="Times New Roman" w:cs="Times New Roman"/>
                <w:color w:val="000000"/>
                <w:sz w:val="18"/>
                <w:szCs w:val="18"/>
              </w:rPr>
              <w:t>[19]</w:t>
            </w:r>
          </w:p>
        </w:tc>
        <w:tc>
          <w:tcPr>
            <w:tcW w:w="2048" w:type="dxa"/>
            <w:tcBorders>
              <w:top w:val="nil"/>
            </w:tcBorders>
            <w:noWrap/>
            <w:hideMark/>
          </w:tcPr>
          <w:p w14:paraId="6C86FD7B" w14:textId="12F6B2B0" w:rsidR="004762AE" w:rsidRPr="004C78D8" w:rsidRDefault="00034EC4" w:rsidP="00FB7C1F">
            <w:pPr>
              <w:jc w:val="left"/>
              <w:rPr>
                <w:rFonts w:eastAsia="Times New Roman" w:cs="Times New Roman"/>
                <w:color w:val="000000"/>
                <w:sz w:val="18"/>
                <w:szCs w:val="18"/>
              </w:rPr>
            </w:pPr>
            <w:r w:rsidRPr="004C78D8">
              <w:rPr>
                <w:sz w:val="18"/>
                <w:szCs w:val="18"/>
              </w:rPr>
              <w:t>CRC(4) + universal FH removal</w:t>
            </w:r>
          </w:p>
        </w:tc>
        <w:tc>
          <w:tcPr>
            <w:tcW w:w="1378" w:type="dxa"/>
            <w:tcBorders>
              <w:top w:val="nil"/>
            </w:tcBorders>
            <w:noWrap/>
            <w:hideMark/>
          </w:tcPr>
          <w:p w14:paraId="11B73BDE"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0.0352</w:t>
            </w:r>
          </w:p>
        </w:tc>
        <w:tc>
          <w:tcPr>
            <w:tcW w:w="1237" w:type="dxa"/>
            <w:tcBorders>
              <w:top w:val="nil"/>
            </w:tcBorders>
            <w:noWrap/>
            <w:hideMark/>
          </w:tcPr>
          <w:p w14:paraId="3D806194"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0.0353</w:t>
            </w:r>
          </w:p>
        </w:tc>
        <w:tc>
          <w:tcPr>
            <w:tcW w:w="1237" w:type="dxa"/>
            <w:tcBorders>
              <w:top w:val="nil"/>
            </w:tcBorders>
            <w:noWrap/>
            <w:hideMark/>
          </w:tcPr>
          <w:p w14:paraId="012C51DF"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1.0052</w:t>
            </w:r>
          </w:p>
        </w:tc>
        <w:tc>
          <w:tcPr>
            <w:tcW w:w="1251" w:type="dxa"/>
            <w:tcBorders>
              <w:top w:val="nil"/>
            </w:tcBorders>
            <w:noWrap/>
            <w:hideMark/>
          </w:tcPr>
          <w:p w14:paraId="1C4D8918" w14:textId="77777777" w:rsidR="004762AE" w:rsidRPr="004C78D8" w:rsidRDefault="004762AE" w:rsidP="00FB7C1F">
            <w:pPr>
              <w:jc w:val="right"/>
              <w:rPr>
                <w:rFonts w:eastAsia="Times New Roman" w:cs="Times New Roman"/>
                <w:color w:val="000000"/>
                <w:sz w:val="18"/>
                <w:szCs w:val="18"/>
              </w:rPr>
            </w:pPr>
            <w:r w:rsidRPr="004C78D8">
              <w:rPr>
                <w:rFonts w:eastAsia="Times New Roman" w:cs="Times New Roman"/>
                <w:color w:val="000000"/>
                <w:sz w:val="18"/>
                <w:szCs w:val="18"/>
              </w:rPr>
              <w:t>0.0349</w:t>
            </w:r>
          </w:p>
        </w:tc>
        <w:tc>
          <w:tcPr>
            <w:tcW w:w="1224" w:type="dxa"/>
            <w:tcBorders>
              <w:top w:val="nil"/>
            </w:tcBorders>
            <w:noWrap/>
            <w:hideMark/>
          </w:tcPr>
          <w:p w14:paraId="65911038" w14:textId="77777777" w:rsidR="004762AE" w:rsidRPr="004C78D8" w:rsidRDefault="004762AE" w:rsidP="00FB7C1F">
            <w:pPr>
              <w:jc w:val="right"/>
              <w:rPr>
                <w:rFonts w:eastAsia="Times New Roman" w:cs="Times New Roman"/>
                <w:i/>
                <w:iCs/>
                <w:color w:val="000000"/>
                <w:sz w:val="18"/>
                <w:szCs w:val="18"/>
              </w:rPr>
            </w:pPr>
            <w:r w:rsidRPr="004C78D8">
              <w:rPr>
                <w:rFonts w:eastAsia="Times New Roman" w:cs="Times New Roman"/>
                <w:i/>
                <w:iCs/>
                <w:color w:val="000000"/>
                <w:sz w:val="18"/>
                <w:szCs w:val="18"/>
              </w:rPr>
              <w:t>0.9921</w:t>
            </w:r>
          </w:p>
        </w:tc>
      </w:tr>
      <w:tr w:rsidR="004762AE" w:rsidRPr="004C78D8" w14:paraId="0B54B53E" w14:textId="77777777" w:rsidTr="00A1003D">
        <w:tc>
          <w:tcPr>
            <w:tcW w:w="9016" w:type="dxa"/>
            <w:gridSpan w:val="7"/>
          </w:tcPr>
          <w:p w14:paraId="73D2AA18" w14:textId="1584724D" w:rsidR="004762AE" w:rsidRPr="004C78D8" w:rsidRDefault="004762AE" w:rsidP="00FB7C1F">
            <w:pPr>
              <w:rPr>
                <w:sz w:val="18"/>
                <w:szCs w:val="18"/>
              </w:rPr>
            </w:pPr>
            <w:r w:rsidRPr="004C78D8">
              <w:rPr>
                <w:b/>
                <w:bCs/>
                <w:sz w:val="18"/>
                <w:szCs w:val="18"/>
              </w:rPr>
              <w:t>Abbreviation:</w:t>
            </w:r>
            <w:r w:rsidR="001B051A" w:rsidRPr="004C78D8">
              <w:rPr>
                <w:sz w:val="18"/>
                <w:szCs w:val="18"/>
              </w:rPr>
              <w:t xml:space="preserve"> CRC(#): constrained recommended care scenario (#); EDE: equally distributed equivalent; FH: falls hazard; FRS: falls risk screening; </w:t>
            </w:r>
            <w:r w:rsidR="000C228B" w:rsidRPr="004C78D8">
              <w:rPr>
                <w:sz w:val="18"/>
                <w:szCs w:val="18"/>
              </w:rPr>
              <w:t xml:space="preserve">INHB: incremental net health benefit; </w:t>
            </w:r>
            <w:r w:rsidR="001B051A" w:rsidRPr="004C78D8">
              <w:rPr>
                <w:sz w:val="18"/>
                <w:szCs w:val="18"/>
              </w:rPr>
              <w:t>PA: physical activity; PS: public sector; RC: recommended care; SES: socioeconomic status; SR: self-referred; UC: usual care.</w:t>
            </w:r>
          </w:p>
          <w:p w14:paraId="61468E68" w14:textId="54D57723" w:rsidR="004762AE" w:rsidRPr="004C78D8" w:rsidRDefault="004762AE" w:rsidP="00FB7C1F">
            <w:pPr>
              <w:rPr>
                <w:sz w:val="18"/>
                <w:szCs w:val="18"/>
              </w:rPr>
            </w:pPr>
            <w:r w:rsidRPr="004C78D8">
              <w:rPr>
                <w:sz w:val="18"/>
                <w:szCs w:val="18"/>
                <w:vertAlign w:val="superscript"/>
              </w:rPr>
              <w:t>1</w:t>
            </w:r>
            <w:r w:rsidRPr="004C78D8">
              <w:rPr>
                <w:sz w:val="18"/>
                <w:szCs w:val="18"/>
              </w:rPr>
              <w:t xml:space="preserve"> Assigned in Table </w:t>
            </w:r>
            <w:r w:rsidR="00496097" w:rsidRPr="004C78D8">
              <w:rPr>
                <w:sz w:val="18"/>
                <w:szCs w:val="18"/>
              </w:rPr>
              <w:t>6</w:t>
            </w:r>
            <w:r w:rsidRPr="004C78D8">
              <w:rPr>
                <w:sz w:val="18"/>
                <w:szCs w:val="18"/>
              </w:rPr>
              <w:t>.</w:t>
            </w:r>
            <w:r w:rsidR="00496097" w:rsidRPr="004C78D8">
              <w:rPr>
                <w:sz w:val="18"/>
                <w:szCs w:val="18"/>
              </w:rPr>
              <w:t>18</w:t>
            </w:r>
            <w:r w:rsidR="001B051A" w:rsidRPr="004C78D8">
              <w:rPr>
                <w:sz w:val="18"/>
                <w:szCs w:val="18"/>
              </w:rPr>
              <w:t xml:space="preserve"> according to increasing incremental public sector all-cause cost</w:t>
            </w:r>
            <w:r w:rsidRPr="004C78D8">
              <w:rPr>
                <w:sz w:val="18"/>
                <w:szCs w:val="18"/>
              </w:rPr>
              <w:t>.</w:t>
            </w:r>
          </w:p>
          <w:p w14:paraId="581A981E" w14:textId="77F0AB0C" w:rsidR="00CA7FB8" w:rsidRPr="004C78D8" w:rsidRDefault="00CA7FB8" w:rsidP="00FB7C1F">
            <w:pPr>
              <w:rPr>
                <w:sz w:val="18"/>
                <w:szCs w:val="18"/>
              </w:rPr>
            </w:pPr>
            <w:r w:rsidRPr="004C78D8">
              <w:rPr>
                <w:sz w:val="18"/>
                <w:szCs w:val="18"/>
                <w:vertAlign w:val="superscript"/>
              </w:rPr>
              <w:t>2</w:t>
            </w:r>
            <w:r w:rsidRPr="004C78D8">
              <w:rPr>
                <w:sz w:val="18"/>
                <w:szCs w:val="18"/>
              </w:rPr>
              <w:t xml:space="preserve"> All outcomes were averaged across 20 model trial runs with different random number seeds.</w:t>
            </w:r>
          </w:p>
          <w:p w14:paraId="6D951508" w14:textId="0E0ACFA9" w:rsidR="00827F6C" w:rsidRPr="004C78D8" w:rsidRDefault="00CA7FB8" w:rsidP="00FB7C1F">
            <w:pPr>
              <w:rPr>
                <w:sz w:val="18"/>
                <w:szCs w:val="18"/>
              </w:rPr>
            </w:pPr>
            <w:r w:rsidRPr="004C78D8">
              <w:rPr>
                <w:sz w:val="18"/>
                <w:szCs w:val="18"/>
                <w:vertAlign w:val="superscript"/>
              </w:rPr>
              <w:t>3</w:t>
            </w:r>
            <w:r w:rsidR="00D733FD" w:rsidRPr="004C78D8">
              <w:rPr>
                <w:sz w:val="18"/>
                <w:szCs w:val="18"/>
              </w:rPr>
              <w:t xml:space="preserve"> </w:t>
            </w:r>
            <w:r w:rsidR="00E267EA" w:rsidRPr="004C78D8">
              <w:rPr>
                <w:sz w:val="18"/>
                <w:szCs w:val="18"/>
              </w:rPr>
              <w:t xml:space="preserve">This is the EDE INHB when Atkinson </w:t>
            </w:r>
            <w:r w:rsidR="00E267EA" w:rsidRPr="004C78D8">
              <w:rPr>
                <w:rFonts w:cs="Times New Roman"/>
                <w:sz w:val="18"/>
                <w:szCs w:val="18"/>
              </w:rPr>
              <w:t>ε</w:t>
            </w:r>
            <w:r w:rsidR="00E267EA" w:rsidRPr="004C78D8">
              <w:rPr>
                <w:sz w:val="18"/>
                <w:szCs w:val="18"/>
              </w:rPr>
              <w:t xml:space="preserve">=0 </w:t>
            </w:r>
            <w:r w:rsidR="00E267EA" w:rsidRPr="004C78D8">
              <w:rPr>
                <w:sz w:val="18"/>
                <w:szCs w:val="18"/>
              </w:rPr>
              <w:fldChar w:fldCharType="begin"/>
            </w:r>
            <w:r w:rsidR="00513646" w:rsidRPr="004C78D8">
              <w:rPr>
                <w:sz w:val="18"/>
                <w:szCs w:val="18"/>
              </w:rPr>
              <w:instrText xml:space="preserve"> ADDIN EN.CITE &lt;EndNote&gt;&lt;Cite&gt;&lt;Author&gt;Asaria&lt;/Author&gt;&lt;Year&gt;2016&lt;/Year&gt;&lt;RecNum&gt;361&lt;/RecNum&gt;&lt;DisplayText&gt;[109]&lt;/DisplayText&gt;&lt;record&gt;&lt;rec-number&gt;361&lt;/rec-number&gt;&lt;foreign-keys&gt;&lt;key app="EN" db-id="tdtrdw9aepptzbefsat599syza29sxsd2wsp" timestamp="1612265402"&gt;361&lt;/key&gt;&lt;/foreign-keys&gt;&lt;ref-type name="Journal Article"&gt;17&lt;/ref-type&gt;&lt;contributors&gt;&lt;authors&gt;&lt;author&gt;Asaria, Miqdad&lt;/author&gt;&lt;author&gt;Griffin, Susan&lt;/author&gt;&lt;author&gt;Cookson, Richard&lt;/author&gt;&lt;/authors&gt;&lt;/contributors&gt;&lt;titles&gt;&lt;title&gt;Distributional Cost-Effectiveness Analysis: A Tutorial&lt;/title&gt;&lt;secondary-title&gt;Medical decision making&lt;/secondary-title&gt;&lt;/titles&gt;&lt;periodical&gt;&lt;full-title&gt;Medical Decision Making&lt;/full-title&gt;&lt;/periodical&gt;&lt;pages&gt;8-19&lt;/pages&gt;&lt;volume&gt;36&lt;/volume&gt;&lt;number&gt;1&lt;/number&gt;&lt;keywords&gt;&lt;keyword&gt;cost-effectiveness analysis&lt;/keyword&gt;&lt;keyword&gt;economic evaluation&lt;/keyword&gt;&lt;keyword&gt;efficiency&lt;/keyword&gt;&lt;keyword&gt;equality&lt;/keyword&gt;&lt;keyword&gt;equity&lt;/keyword&gt;&lt;keyword&gt;fairness&lt;/keyword&gt;&lt;keyword&gt;health distribution&lt;/keyword&gt;&lt;keyword&gt;health inequality&lt;/keyword&gt;&lt;keyword&gt;inequality measures&lt;/keyword&gt;&lt;keyword&gt;opportunity cost&lt;/keyword&gt;&lt;keyword&gt;social value judgments&lt;/keyword&gt;&lt;keyword&gt;social welfare functions&lt;/keyword&gt;&lt;keyword&gt;tradeoff&lt;/keyword&gt;&lt;/keywords&gt;&lt;dates&gt;&lt;year&gt;2016&lt;/year&gt;&lt;pub-dates&gt;&lt;date&gt;1/1&lt;/date&gt;&lt;/pub-dates&gt;&lt;/dates&gt;&lt;isbn&gt;0272-989X&lt;/isbn&gt;&lt;work-type&gt;Article&lt;/work-type&gt;&lt;urls&gt;&lt;related-urls&gt;&lt;url&gt;http://www.scopus.com/inward/record.url?scp=84950117843&amp;amp;partnerID=8YFLogxK&lt;/url&gt;&lt;/related-urls&gt;&lt;/urls&gt;&lt;electronic-resource-num&gt;10.1177/0272989X15583266&lt;/electronic-resource-num&gt;&lt;/record&gt;&lt;/Cite&gt;&lt;/EndNote&gt;</w:instrText>
            </w:r>
            <w:r w:rsidR="00E267EA" w:rsidRPr="004C78D8">
              <w:rPr>
                <w:sz w:val="18"/>
                <w:szCs w:val="18"/>
              </w:rPr>
              <w:fldChar w:fldCharType="separate"/>
            </w:r>
            <w:r w:rsidR="00513646" w:rsidRPr="004C78D8">
              <w:rPr>
                <w:noProof/>
                <w:sz w:val="18"/>
                <w:szCs w:val="18"/>
              </w:rPr>
              <w:t>[109]</w:t>
            </w:r>
            <w:r w:rsidR="00E267EA" w:rsidRPr="004C78D8">
              <w:rPr>
                <w:sz w:val="18"/>
                <w:szCs w:val="18"/>
              </w:rPr>
              <w:fldChar w:fldCharType="end"/>
            </w:r>
            <w:r w:rsidR="00E267EA" w:rsidRPr="004C78D8">
              <w:rPr>
                <w:sz w:val="18"/>
                <w:szCs w:val="18"/>
              </w:rPr>
              <w:t>. All INHBs were estimated using the cost-effectiveness threshold of £30,000 per QALY gain</w:t>
            </w:r>
            <w:r w:rsidR="00D16469" w:rsidRPr="004C78D8">
              <w:rPr>
                <w:sz w:val="18"/>
                <w:szCs w:val="18"/>
              </w:rPr>
              <w:t>ed</w:t>
            </w:r>
            <w:r w:rsidR="00E267EA" w:rsidRPr="004C78D8">
              <w:rPr>
                <w:sz w:val="18"/>
                <w:szCs w:val="18"/>
              </w:rPr>
              <w:t>.</w:t>
            </w:r>
          </w:p>
        </w:tc>
      </w:tr>
    </w:tbl>
    <w:p w14:paraId="08CB82AF" w14:textId="0261161F" w:rsidR="00580BF3" w:rsidRPr="004C78D8" w:rsidRDefault="00580BF3" w:rsidP="00FB7C1F"/>
    <w:p w14:paraId="1C8F5C49" w14:textId="55B3E6E0" w:rsidR="003F4483" w:rsidRPr="004C78D8" w:rsidRDefault="00741D99" w:rsidP="00FB7C1F">
      <w:r w:rsidRPr="004C78D8">
        <w:t xml:space="preserve">Strategy [19] generated the highest incremental no-aversion mean </w:t>
      </w:r>
      <w:r w:rsidR="00AE7079" w:rsidRPr="004C78D8">
        <w:t>vs.</w:t>
      </w:r>
      <w:r w:rsidRPr="004C78D8">
        <w:t xml:space="preserve"> UC</w:t>
      </w:r>
      <w:r w:rsidR="002F4435" w:rsidRPr="004C78D8">
        <w:t xml:space="preserve">; this </w:t>
      </w:r>
      <w:r w:rsidRPr="004C78D8">
        <w:t xml:space="preserve">concurs with the </w:t>
      </w:r>
      <w:r w:rsidR="002F4435" w:rsidRPr="004C78D8">
        <w:t xml:space="preserve">outcome </w:t>
      </w:r>
      <w:r w:rsidRPr="004C78D8">
        <w:t>above</w:t>
      </w:r>
      <w:r w:rsidR="002F4435" w:rsidRPr="004C78D8">
        <w:t xml:space="preserve"> that [19] would be the optimal strategy when considering </w:t>
      </w:r>
      <w:r w:rsidR="00AE7079" w:rsidRPr="004C78D8">
        <w:t>efficiency</w:t>
      </w:r>
      <w:r w:rsidR="002F4435" w:rsidRPr="004C78D8">
        <w:t xml:space="preserve"> alone</w:t>
      </w:r>
      <w:r w:rsidRPr="004C78D8">
        <w:t xml:space="preserve">. However, </w:t>
      </w:r>
      <w:r w:rsidR="00D733FD" w:rsidRPr="004C78D8">
        <w:t>strategy [18], which had been extendedly dominated by [6] and [19] above, generated the highest EDE INHBs under both relative and absolute inequality aversions. Thus, the added consideration of equity</w:t>
      </w:r>
      <w:r w:rsidR="00E267EA" w:rsidRPr="004C78D8">
        <w:t xml:space="preserve"> </w:t>
      </w:r>
      <w:r w:rsidR="00D733FD" w:rsidRPr="004C78D8">
        <w:t>changed the strategy rankings</w:t>
      </w:r>
      <w:r w:rsidR="000C228B" w:rsidRPr="004C78D8">
        <w:t>: the environmental FH removal supplementing CRC scenario (4) should be targeted at 3</w:t>
      </w:r>
      <w:r w:rsidR="000C228B" w:rsidRPr="004C78D8">
        <w:rPr>
          <w:vertAlign w:val="superscript"/>
        </w:rPr>
        <w:t>rd</w:t>
      </w:r>
      <w:r w:rsidR="000C228B" w:rsidRPr="004C78D8">
        <w:t xml:space="preserve"> and 4</w:t>
      </w:r>
      <w:r w:rsidR="000C228B" w:rsidRPr="004C78D8">
        <w:rPr>
          <w:vertAlign w:val="superscript"/>
        </w:rPr>
        <w:t>th</w:t>
      </w:r>
      <w:r w:rsidR="000C228B" w:rsidRPr="004C78D8">
        <w:t xml:space="preserve"> SES quartiles </w:t>
      </w:r>
      <w:r w:rsidR="002F4435" w:rsidRPr="004C78D8">
        <w:t xml:space="preserve">(strategy [18]) </w:t>
      </w:r>
      <w:r w:rsidR="000C228B" w:rsidRPr="004C78D8">
        <w:t>rather than universal</w:t>
      </w:r>
      <w:r w:rsidR="002F4435" w:rsidRPr="004C78D8">
        <w:t xml:space="preserve"> (strategy [19])</w:t>
      </w:r>
      <w:r w:rsidR="000C228B" w:rsidRPr="004C78D8">
        <w:t xml:space="preserve">. </w:t>
      </w:r>
      <w:r w:rsidR="00B85503" w:rsidRPr="004C78D8">
        <w:t xml:space="preserve">Figures F16 and F17 show that these results are robust at lower Atkinson and Kolm indices, respectively. For relative inequality aversion, </w:t>
      </w:r>
      <w:r w:rsidR="00246F63" w:rsidRPr="004C78D8">
        <w:t xml:space="preserve">strategy [19] has the highest </w:t>
      </w:r>
      <w:r w:rsidR="00B85503" w:rsidRPr="004C78D8">
        <w:t xml:space="preserve">EDE INHB of </w:t>
      </w:r>
      <w:r w:rsidR="00246F63" w:rsidRPr="004C78D8">
        <w:t>all strategies when the</w:t>
      </w:r>
      <w:r w:rsidR="00B85503" w:rsidRPr="004C78D8">
        <w:t xml:space="preserve"> Atkinson</w:t>
      </w:r>
      <w:r w:rsidR="00246F63" w:rsidRPr="004C78D8">
        <w:t xml:space="preserve"> index </w:t>
      </w:r>
      <w:r w:rsidR="00246F63" w:rsidRPr="004C78D8">
        <w:rPr>
          <w:rFonts w:cs="Times New Roman"/>
        </w:rPr>
        <w:t>ε</w:t>
      </w:r>
      <w:r w:rsidR="00246F63" w:rsidRPr="004C78D8">
        <w:t xml:space="preserve"> ranges from</w:t>
      </w:r>
      <w:r w:rsidR="00B85503" w:rsidRPr="004C78D8">
        <w:t xml:space="preserve"> 0 to around 2; thereafter, strategy [18] has the highest EDE INHB.</w:t>
      </w:r>
      <w:r w:rsidR="00246F63" w:rsidRPr="004C78D8">
        <w:t xml:space="preserve"> Likewise for absolute inequality aversion, </w:t>
      </w:r>
      <w:r w:rsidR="002425A8" w:rsidRPr="004C78D8">
        <w:t xml:space="preserve">strategy [19] had the highest EDE INHB up to Kolm index </w:t>
      </w:r>
      <w:r w:rsidR="002425A8" w:rsidRPr="004C78D8">
        <w:rPr>
          <w:rFonts w:cs="Times New Roman"/>
        </w:rPr>
        <w:t>α</w:t>
      </w:r>
      <w:r w:rsidR="002425A8" w:rsidRPr="004C78D8">
        <w:t>=0.35, after which strategy [18] had the highest.</w:t>
      </w:r>
      <w:r w:rsidR="00B85503" w:rsidRPr="004C78D8">
        <w:t xml:space="preserve"> </w:t>
      </w:r>
    </w:p>
    <w:p w14:paraId="619A4C9F" w14:textId="1E557947" w:rsidR="00580BF3" w:rsidRPr="004C78D8" w:rsidRDefault="00AE7079" w:rsidP="00FB7C1F">
      <w:r w:rsidRPr="004C78D8">
        <w:t>The</w:t>
      </w:r>
      <w:r w:rsidR="003F4483" w:rsidRPr="004C78D8">
        <w:t xml:space="preserve"> budget </w:t>
      </w:r>
      <w:r w:rsidRPr="004C78D8">
        <w:t>impact should again be considered</w:t>
      </w:r>
      <w:r w:rsidR="003F4483" w:rsidRPr="004C78D8">
        <w:t xml:space="preserve">. </w:t>
      </w:r>
      <w:r w:rsidRPr="004C78D8">
        <w:t>S</w:t>
      </w:r>
      <w:r w:rsidR="003F4483" w:rsidRPr="004C78D8">
        <w:t xml:space="preserve">trategies [18], [19] and [22] all generated high budget impacts </w:t>
      </w:r>
      <w:r w:rsidRPr="004C78D8">
        <w:t xml:space="preserve">(Table </w:t>
      </w:r>
      <w:r w:rsidR="00496097" w:rsidRPr="004C78D8">
        <w:t>6</w:t>
      </w:r>
      <w:r w:rsidRPr="004C78D8">
        <w:t>.</w:t>
      </w:r>
      <w:r w:rsidR="00496097" w:rsidRPr="004C78D8">
        <w:t>18</w:t>
      </w:r>
      <w:r w:rsidRPr="004C78D8">
        <w:t xml:space="preserve">) </w:t>
      </w:r>
      <w:r w:rsidR="003F4483" w:rsidRPr="004C78D8">
        <w:t xml:space="preserve">and may thus be ruled out. </w:t>
      </w:r>
      <w:r w:rsidR="005A3BEB" w:rsidRPr="004C78D8">
        <w:t xml:space="preserve">In this case, [6] would again be the optimal strategy. </w:t>
      </w:r>
      <w:r w:rsidR="003F640B" w:rsidRPr="004C78D8">
        <w:t>S</w:t>
      </w:r>
      <w:r w:rsidR="000C228B" w:rsidRPr="004C78D8">
        <w:t>trategies [1] to [3], which were three non-dominated strategies</w:t>
      </w:r>
      <w:r w:rsidR="005A3BEB" w:rsidRPr="004C78D8">
        <w:t xml:space="preserve"> with modest budget impacts</w:t>
      </w:r>
      <w:r w:rsidR="000C228B" w:rsidRPr="004C78D8">
        <w:t>, ranked lowest in terms of both incremental no-aversion mean and EDE INHBs</w:t>
      </w:r>
      <w:r w:rsidR="007007A1" w:rsidRPr="004C78D8">
        <w:t xml:space="preserve"> due to their low aggregate efficiency gains and adverse impacts on (relative) SES-delineated equity. </w:t>
      </w:r>
    </w:p>
    <w:p w14:paraId="3EB3B89F" w14:textId="57F653E7" w:rsidR="006E5594" w:rsidRPr="004C78D8" w:rsidRDefault="00CC56BF" w:rsidP="00FB7C1F">
      <w:pPr>
        <w:sectPr w:rsidR="006E5594" w:rsidRPr="004C78D8">
          <w:pgSz w:w="11906" w:h="16838"/>
          <w:pgMar w:top="1440" w:right="1440" w:bottom="1440" w:left="1440" w:header="708" w:footer="708" w:gutter="0"/>
          <w:cols w:space="708"/>
          <w:docGrid w:linePitch="360"/>
        </w:sectPr>
      </w:pPr>
      <w:r w:rsidRPr="004C78D8">
        <w:t xml:space="preserve">Table </w:t>
      </w:r>
      <w:r w:rsidR="00CE31D7" w:rsidRPr="004C78D8">
        <w:t>6</w:t>
      </w:r>
      <w:r w:rsidR="001C531A" w:rsidRPr="004C78D8">
        <w:t>.</w:t>
      </w:r>
      <w:r w:rsidR="00CE31D7" w:rsidRPr="004C78D8">
        <w:t>20</w:t>
      </w:r>
      <w:r w:rsidRPr="004C78D8">
        <w:t xml:space="preserve"> compares the </w:t>
      </w:r>
      <w:r w:rsidR="003F42A9" w:rsidRPr="004C78D8">
        <w:t xml:space="preserve">incremental </w:t>
      </w:r>
      <w:r w:rsidRPr="004C78D8">
        <w:t xml:space="preserve">individual-level lifetime outcomes of </w:t>
      </w:r>
      <w:r w:rsidR="003F42A9" w:rsidRPr="004C78D8">
        <w:t>all 23</w:t>
      </w:r>
      <w:r w:rsidRPr="004C78D8">
        <w:t xml:space="preserve"> strategies</w:t>
      </w:r>
      <w:r w:rsidR="003F42A9" w:rsidRPr="004C78D8">
        <w:t xml:space="preserve"> </w:t>
      </w:r>
      <w:r w:rsidR="003F640B" w:rsidRPr="004C78D8">
        <w:t>vs.</w:t>
      </w:r>
      <w:r w:rsidR="003F42A9" w:rsidRPr="004C78D8">
        <w:t xml:space="preserve"> UC</w:t>
      </w:r>
      <w:r w:rsidRPr="004C78D8">
        <w:t xml:space="preserve">. </w:t>
      </w:r>
      <w:r w:rsidR="00C57875" w:rsidRPr="004C78D8">
        <w:t xml:space="preserve">The top three strategies with the largest impact varied by outcome. Table </w:t>
      </w:r>
      <w:r w:rsidR="00CE31D7" w:rsidRPr="004C78D8">
        <w:t>6</w:t>
      </w:r>
      <w:r w:rsidR="00C57875" w:rsidRPr="004C78D8">
        <w:t>.</w:t>
      </w:r>
      <w:r w:rsidR="00CE31D7" w:rsidRPr="004C78D8">
        <w:t>20</w:t>
      </w:r>
      <w:r w:rsidR="00C57875" w:rsidRPr="004C78D8">
        <w:t xml:space="preserve"> also constructs a combined score across outcomes (1)-(4) and (6). Strategy [19] ranked highest according to this score, followed by [22] then [23]. </w:t>
      </w:r>
      <w:r w:rsidR="00E267EA" w:rsidRPr="004C78D8">
        <w:t xml:space="preserve">Strategy [18] ranked joint ninth according to this score. </w:t>
      </w:r>
      <w:r w:rsidR="004D72BC" w:rsidRPr="004C78D8">
        <w:t>Therefore, s</w:t>
      </w:r>
      <w:r w:rsidR="00C57875" w:rsidRPr="004C78D8">
        <w:t xml:space="preserve">trategy [19] performed best in terms of </w:t>
      </w:r>
      <w:r w:rsidR="003F640B" w:rsidRPr="004C78D8">
        <w:t>efficiency</w:t>
      </w:r>
      <w:r w:rsidR="00C57875" w:rsidRPr="004C78D8">
        <w:t xml:space="preserve"> and individual-level lifetime outcomes. </w:t>
      </w:r>
    </w:p>
    <w:tbl>
      <w:tblPr>
        <w:tblStyle w:val="TableGrid"/>
        <w:tblW w:w="0" w:type="auto"/>
        <w:tblInd w:w="-5" w:type="dxa"/>
        <w:tblLook w:val="04A0" w:firstRow="1" w:lastRow="0" w:firstColumn="1" w:lastColumn="0" w:noHBand="0" w:noVBand="1"/>
      </w:tblPr>
      <w:tblGrid>
        <w:gridCol w:w="554"/>
        <w:gridCol w:w="2913"/>
        <w:gridCol w:w="1415"/>
        <w:gridCol w:w="1466"/>
        <w:gridCol w:w="1328"/>
        <w:gridCol w:w="1221"/>
        <w:gridCol w:w="1272"/>
        <w:gridCol w:w="1239"/>
        <w:gridCol w:w="1272"/>
        <w:gridCol w:w="1160"/>
      </w:tblGrid>
      <w:tr w:rsidR="004E3D8E" w:rsidRPr="004C78D8" w14:paraId="54519FA6" w14:textId="2EA80858" w:rsidTr="00A1003D">
        <w:tc>
          <w:tcPr>
            <w:tcW w:w="13840" w:type="dxa"/>
            <w:gridSpan w:val="10"/>
          </w:tcPr>
          <w:p w14:paraId="7F54E78A" w14:textId="00C2206A" w:rsidR="004E3D8E" w:rsidRPr="004C78D8" w:rsidRDefault="004E3D8E" w:rsidP="00FB7C1F">
            <w:pPr>
              <w:rPr>
                <w:b/>
                <w:bCs/>
              </w:rPr>
            </w:pPr>
            <w:r w:rsidRPr="004C78D8">
              <w:rPr>
                <w:b/>
                <w:bCs/>
              </w:rPr>
              <w:t xml:space="preserve">Table </w:t>
            </w:r>
            <w:r w:rsidR="00CE31D7" w:rsidRPr="004C78D8">
              <w:rPr>
                <w:b/>
                <w:bCs/>
              </w:rPr>
              <w:t>6</w:t>
            </w:r>
            <w:r w:rsidRPr="004C78D8">
              <w:rPr>
                <w:b/>
                <w:bCs/>
              </w:rPr>
              <w:t>.</w:t>
            </w:r>
            <w:r w:rsidR="00CE31D7" w:rsidRPr="004C78D8">
              <w:rPr>
                <w:b/>
                <w:bCs/>
              </w:rPr>
              <w:t>20</w:t>
            </w:r>
            <w:r w:rsidRPr="004C78D8">
              <w:t xml:space="preserve"> </w:t>
            </w:r>
            <w:r w:rsidR="001C531A" w:rsidRPr="004C78D8">
              <w:t>I</w:t>
            </w:r>
            <w:r w:rsidRPr="004C78D8">
              <w:t>ncremental individual-level lifetime outcomes of intervention strategies relative to usual care.</w:t>
            </w:r>
          </w:p>
        </w:tc>
      </w:tr>
      <w:tr w:rsidR="004E3D8E" w:rsidRPr="004C78D8" w14:paraId="13DF6BAB" w14:textId="77439596" w:rsidTr="00A1003D">
        <w:tc>
          <w:tcPr>
            <w:tcW w:w="554" w:type="dxa"/>
            <w:vMerge w:val="restart"/>
            <w:vAlign w:val="bottom"/>
          </w:tcPr>
          <w:p w14:paraId="5A668EC0" w14:textId="7D56FC3F" w:rsidR="004E3D8E" w:rsidRPr="004C78D8" w:rsidRDefault="004E3D8E" w:rsidP="00FB7C1F">
            <w:pPr>
              <w:jc w:val="left"/>
              <w:rPr>
                <w:b/>
                <w:bCs/>
                <w:sz w:val="20"/>
                <w:szCs w:val="20"/>
              </w:rPr>
            </w:pPr>
            <w:r w:rsidRPr="004C78D8">
              <w:rPr>
                <w:b/>
                <w:bCs/>
                <w:sz w:val="20"/>
                <w:szCs w:val="20"/>
              </w:rPr>
              <w:t>[#]</w:t>
            </w:r>
            <w:r w:rsidRPr="004C78D8">
              <w:rPr>
                <w:b/>
                <w:bCs/>
                <w:sz w:val="20"/>
                <w:szCs w:val="20"/>
                <w:vertAlign w:val="superscript"/>
              </w:rPr>
              <w:t>1</w:t>
            </w:r>
          </w:p>
        </w:tc>
        <w:tc>
          <w:tcPr>
            <w:tcW w:w="2913" w:type="dxa"/>
            <w:vMerge w:val="restart"/>
            <w:vAlign w:val="bottom"/>
          </w:tcPr>
          <w:p w14:paraId="2B7F47B9" w14:textId="586B444B" w:rsidR="004E3D8E" w:rsidRPr="004C78D8" w:rsidRDefault="004E3D8E" w:rsidP="00FB7C1F">
            <w:pPr>
              <w:jc w:val="left"/>
              <w:rPr>
                <w:b/>
                <w:bCs/>
                <w:sz w:val="20"/>
                <w:szCs w:val="20"/>
              </w:rPr>
            </w:pPr>
            <w:r w:rsidRPr="004C78D8">
              <w:rPr>
                <w:b/>
                <w:bCs/>
                <w:sz w:val="20"/>
                <w:szCs w:val="20"/>
              </w:rPr>
              <w:t>Strategy</w:t>
            </w:r>
            <w:r w:rsidR="00CA7FB8" w:rsidRPr="004C78D8">
              <w:rPr>
                <w:b/>
                <w:bCs/>
                <w:sz w:val="20"/>
                <w:szCs w:val="20"/>
                <w:vertAlign w:val="superscript"/>
              </w:rPr>
              <w:t>2</w:t>
            </w:r>
          </w:p>
        </w:tc>
        <w:tc>
          <w:tcPr>
            <w:tcW w:w="9213" w:type="dxa"/>
            <w:gridSpan w:val="7"/>
            <w:tcBorders>
              <w:bottom w:val="single" w:sz="4" w:space="0" w:color="auto"/>
            </w:tcBorders>
          </w:tcPr>
          <w:p w14:paraId="0A810D14" w14:textId="47189B0B" w:rsidR="004E3D8E" w:rsidRPr="004C78D8" w:rsidRDefault="004E3D8E" w:rsidP="00FB7C1F">
            <w:pPr>
              <w:jc w:val="center"/>
              <w:rPr>
                <w:b/>
                <w:bCs/>
                <w:sz w:val="20"/>
                <w:szCs w:val="20"/>
              </w:rPr>
            </w:pPr>
            <w:r w:rsidRPr="004C78D8">
              <w:rPr>
                <w:b/>
                <w:bCs/>
                <w:sz w:val="20"/>
                <w:szCs w:val="20"/>
              </w:rPr>
              <w:t>Incremental outcome relative to usual care</w:t>
            </w:r>
            <w:r w:rsidR="001B2E9E" w:rsidRPr="004C78D8">
              <w:rPr>
                <w:b/>
                <w:bCs/>
                <w:sz w:val="20"/>
                <w:szCs w:val="20"/>
              </w:rPr>
              <w:t xml:space="preserve"> (top three rank #)</w:t>
            </w:r>
          </w:p>
        </w:tc>
        <w:tc>
          <w:tcPr>
            <w:tcW w:w="1160" w:type="dxa"/>
            <w:vMerge w:val="restart"/>
            <w:vAlign w:val="bottom"/>
          </w:tcPr>
          <w:p w14:paraId="76CE9074" w14:textId="6286BB8E" w:rsidR="004E3D8E" w:rsidRPr="004C78D8" w:rsidRDefault="004E3D8E" w:rsidP="00FB7C1F">
            <w:pPr>
              <w:jc w:val="center"/>
              <w:rPr>
                <w:b/>
                <w:bCs/>
                <w:sz w:val="20"/>
                <w:szCs w:val="20"/>
              </w:rPr>
            </w:pPr>
            <w:r w:rsidRPr="004C78D8">
              <w:rPr>
                <w:b/>
                <w:bCs/>
                <w:sz w:val="20"/>
                <w:szCs w:val="20"/>
              </w:rPr>
              <w:t>Combined score</w:t>
            </w:r>
            <w:r w:rsidR="00CA7FB8" w:rsidRPr="004C78D8">
              <w:rPr>
                <w:b/>
                <w:bCs/>
                <w:sz w:val="20"/>
                <w:szCs w:val="20"/>
                <w:vertAlign w:val="superscript"/>
              </w:rPr>
              <w:t>3</w:t>
            </w:r>
            <w:r w:rsidRPr="004C78D8">
              <w:rPr>
                <w:b/>
                <w:bCs/>
                <w:sz w:val="20"/>
                <w:szCs w:val="20"/>
              </w:rPr>
              <w:t xml:space="preserve"> (rank #)</w:t>
            </w:r>
          </w:p>
        </w:tc>
      </w:tr>
      <w:tr w:rsidR="004E3D8E" w:rsidRPr="004C78D8" w14:paraId="2146598B" w14:textId="6D88A0CF" w:rsidTr="00A1003D">
        <w:tc>
          <w:tcPr>
            <w:tcW w:w="554" w:type="dxa"/>
            <w:vMerge/>
            <w:tcBorders>
              <w:bottom w:val="single" w:sz="4" w:space="0" w:color="auto"/>
            </w:tcBorders>
            <w:vAlign w:val="bottom"/>
          </w:tcPr>
          <w:p w14:paraId="31848A72" w14:textId="6C61C1DC" w:rsidR="004E3D8E" w:rsidRPr="004C78D8" w:rsidRDefault="004E3D8E" w:rsidP="00FB7C1F">
            <w:pPr>
              <w:jc w:val="left"/>
              <w:rPr>
                <w:b/>
                <w:bCs/>
                <w:sz w:val="20"/>
                <w:szCs w:val="20"/>
              </w:rPr>
            </w:pPr>
          </w:p>
        </w:tc>
        <w:tc>
          <w:tcPr>
            <w:tcW w:w="2913" w:type="dxa"/>
            <w:vMerge/>
            <w:tcBorders>
              <w:bottom w:val="single" w:sz="4" w:space="0" w:color="auto"/>
            </w:tcBorders>
            <w:vAlign w:val="bottom"/>
          </w:tcPr>
          <w:p w14:paraId="44C0063D" w14:textId="1CC089B3" w:rsidR="004E3D8E" w:rsidRPr="004C78D8" w:rsidRDefault="004E3D8E" w:rsidP="00FB7C1F">
            <w:pPr>
              <w:jc w:val="left"/>
              <w:rPr>
                <w:b/>
                <w:bCs/>
                <w:sz w:val="20"/>
                <w:szCs w:val="20"/>
              </w:rPr>
            </w:pPr>
          </w:p>
        </w:tc>
        <w:tc>
          <w:tcPr>
            <w:tcW w:w="1415" w:type="dxa"/>
            <w:tcBorders>
              <w:bottom w:val="single" w:sz="4" w:space="0" w:color="auto"/>
            </w:tcBorders>
            <w:vAlign w:val="bottom"/>
          </w:tcPr>
          <w:p w14:paraId="15BC2F4D" w14:textId="25F2DD48" w:rsidR="004E3D8E" w:rsidRPr="004C78D8" w:rsidRDefault="001B2E9E" w:rsidP="00FB7C1F">
            <w:pPr>
              <w:jc w:val="center"/>
              <w:rPr>
                <w:b/>
                <w:bCs/>
                <w:sz w:val="20"/>
                <w:szCs w:val="20"/>
              </w:rPr>
            </w:pPr>
            <w:r w:rsidRPr="004C78D8">
              <w:rPr>
                <w:b/>
                <w:bCs/>
                <w:sz w:val="20"/>
                <w:szCs w:val="20"/>
              </w:rPr>
              <w:t xml:space="preserve">(1) </w:t>
            </w:r>
            <w:r w:rsidR="004E3D8E" w:rsidRPr="004C78D8">
              <w:rPr>
                <w:b/>
                <w:bCs/>
                <w:sz w:val="20"/>
                <w:szCs w:val="20"/>
              </w:rPr>
              <w:t>Fair health-related innings</w:t>
            </w:r>
          </w:p>
        </w:tc>
        <w:tc>
          <w:tcPr>
            <w:tcW w:w="1466" w:type="dxa"/>
            <w:tcBorders>
              <w:bottom w:val="single" w:sz="4" w:space="0" w:color="auto"/>
            </w:tcBorders>
            <w:vAlign w:val="bottom"/>
          </w:tcPr>
          <w:p w14:paraId="6F6F47FB" w14:textId="298A6A3E" w:rsidR="004E3D8E" w:rsidRPr="004C78D8" w:rsidRDefault="001B2E9E" w:rsidP="00FB7C1F">
            <w:pPr>
              <w:jc w:val="center"/>
              <w:rPr>
                <w:b/>
                <w:bCs/>
                <w:sz w:val="20"/>
                <w:szCs w:val="20"/>
              </w:rPr>
            </w:pPr>
            <w:r w:rsidRPr="004C78D8">
              <w:rPr>
                <w:b/>
                <w:bCs/>
                <w:sz w:val="20"/>
                <w:szCs w:val="20"/>
              </w:rPr>
              <w:t xml:space="preserve">(2) </w:t>
            </w:r>
            <w:r w:rsidR="004E3D8E" w:rsidRPr="004C78D8">
              <w:rPr>
                <w:b/>
                <w:bCs/>
                <w:sz w:val="20"/>
                <w:szCs w:val="20"/>
              </w:rPr>
              <w:t>Fair wellbeing-related innings</w:t>
            </w:r>
          </w:p>
        </w:tc>
        <w:tc>
          <w:tcPr>
            <w:tcW w:w="1328" w:type="dxa"/>
            <w:tcBorders>
              <w:bottom w:val="single" w:sz="4" w:space="0" w:color="auto"/>
            </w:tcBorders>
            <w:vAlign w:val="bottom"/>
          </w:tcPr>
          <w:p w14:paraId="1B294C11" w14:textId="24E39180" w:rsidR="004E3D8E" w:rsidRPr="004C78D8" w:rsidRDefault="001B2E9E" w:rsidP="00FB7C1F">
            <w:pPr>
              <w:jc w:val="center"/>
              <w:rPr>
                <w:b/>
                <w:bCs/>
                <w:sz w:val="20"/>
                <w:szCs w:val="20"/>
              </w:rPr>
            </w:pPr>
            <w:r w:rsidRPr="004C78D8">
              <w:rPr>
                <w:b/>
                <w:bCs/>
                <w:sz w:val="20"/>
                <w:szCs w:val="20"/>
              </w:rPr>
              <w:t xml:space="preserve">(3) </w:t>
            </w:r>
            <w:r w:rsidR="004E3D8E" w:rsidRPr="004C78D8">
              <w:rPr>
                <w:b/>
                <w:bCs/>
                <w:sz w:val="20"/>
                <w:szCs w:val="20"/>
              </w:rPr>
              <w:t>Productive ageing</w:t>
            </w:r>
          </w:p>
        </w:tc>
        <w:tc>
          <w:tcPr>
            <w:tcW w:w="1221" w:type="dxa"/>
            <w:tcBorders>
              <w:bottom w:val="single" w:sz="4" w:space="0" w:color="auto"/>
            </w:tcBorders>
            <w:vAlign w:val="bottom"/>
          </w:tcPr>
          <w:p w14:paraId="1A57E099" w14:textId="4A39A11A" w:rsidR="004E3D8E" w:rsidRPr="004C78D8" w:rsidRDefault="001B2E9E" w:rsidP="00FB7C1F">
            <w:pPr>
              <w:jc w:val="center"/>
              <w:rPr>
                <w:b/>
                <w:bCs/>
                <w:sz w:val="20"/>
                <w:szCs w:val="20"/>
              </w:rPr>
            </w:pPr>
            <w:r w:rsidRPr="004C78D8">
              <w:rPr>
                <w:b/>
                <w:bCs/>
                <w:sz w:val="20"/>
                <w:szCs w:val="20"/>
              </w:rPr>
              <w:t xml:space="preserve">(4) </w:t>
            </w:r>
            <w:r w:rsidR="004E3D8E" w:rsidRPr="004C78D8">
              <w:rPr>
                <w:b/>
                <w:bCs/>
                <w:sz w:val="20"/>
                <w:szCs w:val="20"/>
              </w:rPr>
              <w:t>CPE</w:t>
            </w:r>
          </w:p>
        </w:tc>
        <w:tc>
          <w:tcPr>
            <w:tcW w:w="1272" w:type="dxa"/>
            <w:tcBorders>
              <w:bottom w:val="single" w:sz="4" w:space="0" w:color="auto"/>
            </w:tcBorders>
            <w:vAlign w:val="bottom"/>
          </w:tcPr>
          <w:p w14:paraId="38501ECE" w14:textId="7648A19D" w:rsidR="004E3D8E" w:rsidRPr="004C78D8" w:rsidRDefault="001B2E9E" w:rsidP="00FB7C1F">
            <w:pPr>
              <w:jc w:val="center"/>
              <w:rPr>
                <w:b/>
                <w:bCs/>
                <w:sz w:val="20"/>
                <w:szCs w:val="20"/>
              </w:rPr>
            </w:pPr>
            <w:r w:rsidRPr="004C78D8">
              <w:rPr>
                <w:b/>
                <w:bCs/>
                <w:sz w:val="20"/>
                <w:szCs w:val="20"/>
              </w:rPr>
              <w:t xml:space="preserve">(5) </w:t>
            </w:r>
            <w:r w:rsidR="004E3D8E" w:rsidRPr="004C78D8">
              <w:rPr>
                <w:b/>
                <w:bCs/>
                <w:sz w:val="20"/>
                <w:szCs w:val="20"/>
              </w:rPr>
              <w:t>CPE without int. cost</w:t>
            </w:r>
          </w:p>
        </w:tc>
        <w:tc>
          <w:tcPr>
            <w:tcW w:w="1239" w:type="dxa"/>
            <w:tcBorders>
              <w:bottom w:val="single" w:sz="4" w:space="0" w:color="auto"/>
            </w:tcBorders>
            <w:vAlign w:val="bottom"/>
          </w:tcPr>
          <w:p w14:paraId="74BA9AC7" w14:textId="7F8CBA46" w:rsidR="004E3D8E" w:rsidRPr="004C78D8" w:rsidRDefault="001B2E9E" w:rsidP="00FB7C1F">
            <w:pPr>
              <w:jc w:val="center"/>
              <w:rPr>
                <w:b/>
                <w:bCs/>
                <w:sz w:val="20"/>
                <w:szCs w:val="20"/>
              </w:rPr>
            </w:pPr>
            <w:r w:rsidRPr="004C78D8">
              <w:rPr>
                <w:b/>
                <w:bCs/>
                <w:sz w:val="20"/>
                <w:szCs w:val="20"/>
              </w:rPr>
              <w:t xml:space="preserve">(6) </w:t>
            </w:r>
            <w:r w:rsidR="004E3D8E" w:rsidRPr="004C78D8">
              <w:rPr>
                <w:b/>
                <w:bCs/>
                <w:sz w:val="20"/>
                <w:szCs w:val="20"/>
              </w:rPr>
              <w:t>EICB</w:t>
            </w:r>
          </w:p>
        </w:tc>
        <w:tc>
          <w:tcPr>
            <w:tcW w:w="1272" w:type="dxa"/>
            <w:tcBorders>
              <w:bottom w:val="single" w:sz="4" w:space="0" w:color="auto"/>
            </w:tcBorders>
            <w:vAlign w:val="bottom"/>
          </w:tcPr>
          <w:p w14:paraId="35D0AB3F" w14:textId="22548377" w:rsidR="004E3D8E" w:rsidRPr="004C78D8" w:rsidRDefault="001B2E9E" w:rsidP="00FB7C1F">
            <w:pPr>
              <w:jc w:val="center"/>
              <w:rPr>
                <w:b/>
                <w:bCs/>
                <w:sz w:val="20"/>
                <w:szCs w:val="20"/>
              </w:rPr>
            </w:pPr>
            <w:r w:rsidRPr="004C78D8">
              <w:rPr>
                <w:b/>
                <w:bCs/>
                <w:sz w:val="20"/>
                <w:szCs w:val="20"/>
              </w:rPr>
              <w:t xml:space="preserve">(7) </w:t>
            </w:r>
            <w:r w:rsidR="004E3D8E" w:rsidRPr="004C78D8">
              <w:rPr>
                <w:b/>
                <w:bCs/>
                <w:sz w:val="20"/>
                <w:szCs w:val="20"/>
              </w:rPr>
              <w:t>EICB without int. cost</w:t>
            </w:r>
          </w:p>
        </w:tc>
        <w:tc>
          <w:tcPr>
            <w:tcW w:w="1160" w:type="dxa"/>
            <w:vMerge/>
            <w:tcBorders>
              <w:bottom w:val="single" w:sz="4" w:space="0" w:color="auto"/>
            </w:tcBorders>
            <w:vAlign w:val="bottom"/>
          </w:tcPr>
          <w:p w14:paraId="2D8E09FB" w14:textId="11DF4726" w:rsidR="004E3D8E" w:rsidRPr="004C78D8" w:rsidRDefault="004E3D8E" w:rsidP="00FB7C1F">
            <w:pPr>
              <w:jc w:val="center"/>
              <w:rPr>
                <w:b/>
                <w:bCs/>
                <w:sz w:val="20"/>
                <w:szCs w:val="20"/>
              </w:rPr>
            </w:pPr>
          </w:p>
        </w:tc>
      </w:tr>
      <w:tr w:rsidR="004E3D8E" w:rsidRPr="004C78D8" w14:paraId="4AF50293" w14:textId="3D21A180" w:rsidTr="00A1003D">
        <w:tc>
          <w:tcPr>
            <w:tcW w:w="554" w:type="dxa"/>
            <w:tcBorders>
              <w:bottom w:val="nil"/>
            </w:tcBorders>
          </w:tcPr>
          <w:p w14:paraId="7D3249D2" w14:textId="7A582896" w:rsidR="004E3D8E" w:rsidRPr="004C78D8" w:rsidRDefault="004E3D8E" w:rsidP="00FB7C1F">
            <w:pPr>
              <w:rPr>
                <w:sz w:val="20"/>
                <w:szCs w:val="20"/>
              </w:rPr>
            </w:pPr>
            <w:r w:rsidRPr="004C78D8">
              <w:rPr>
                <w:sz w:val="18"/>
                <w:szCs w:val="18"/>
              </w:rPr>
              <w:t>[1]</w:t>
            </w:r>
          </w:p>
        </w:tc>
        <w:tc>
          <w:tcPr>
            <w:tcW w:w="2913" w:type="dxa"/>
            <w:tcBorders>
              <w:bottom w:val="nil"/>
            </w:tcBorders>
          </w:tcPr>
          <w:p w14:paraId="0D47012B" w14:textId="231A0A57" w:rsidR="004E3D8E" w:rsidRPr="004C78D8" w:rsidRDefault="004E3D8E" w:rsidP="00FB7C1F">
            <w:pPr>
              <w:rPr>
                <w:sz w:val="20"/>
                <w:szCs w:val="20"/>
              </w:rPr>
            </w:pPr>
            <w:r w:rsidRPr="004C78D8">
              <w:rPr>
                <w:sz w:val="18"/>
                <w:szCs w:val="18"/>
              </w:rPr>
              <w:t>UC + 3</w:t>
            </w:r>
            <w:r w:rsidRPr="004C78D8">
              <w:rPr>
                <w:sz w:val="18"/>
                <w:szCs w:val="18"/>
                <w:vertAlign w:val="superscript"/>
              </w:rPr>
              <w:t>rd</w:t>
            </w:r>
            <w:r w:rsidRPr="004C78D8">
              <w:rPr>
                <w:sz w:val="18"/>
                <w:szCs w:val="18"/>
              </w:rPr>
              <w:t>/4</w:t>
            </w:r>
            <w:r w:rsidRPr="004C78D8">
              <w:rPr>
                <w:sz w:val="18"/>
                <w:szCs w:val="18"/>
                <w:vertAlign w:val="superscript"/>
              </w:rPr>
              <w:t>th</w:t>
            </w:r>
            <w:r w:rsidRPr="004C78D8">
              <w:rPr>
                <w:sz w:val="18"/>
                <w:szCs w:val="18"/>
              </w:rPr>
              <w:t xml:space="preserve"> SES PA promotion</w:t>
            </w:r>
          </w:p>
        </w:tc>
        <w:tc>
          <w:tcPr>
            <w:tcW w:w="1415" w:type="dxa"/>
            <w:tcBorders>
              <w:bottom w:val="nil"/>
            </w:tcBorders>
          </w:tcPr>
          <w:p w14:paraId="7804761B" w14:textId="1DFE343D" w:rsidR="004E3D8E" w:rsidRPr="004C78D8" w:rsidRDefault="004E3D8E" w:rsidP="00FB7C1F">
            <w:pPr>
              <w:jc w:val="center"/>
              <w:rPr>
                <w:sz w:val="20"/>
                <w:szCs w:val="20"/>
              </w:rPr>
            </w:pPr>
            <w:r w:rsidRPr="004C78D8">
              <w:rPr>
                <w:sz w:val="20"/>
                <w:szCs w:val="20"/>
              </w:rPr>
              <w:t>0</w:t>
            </w:r>
          </w:p>
        </w:tc>
        <w:tc>
          <w:tcPr>
            <w:tcW w:w="1466" w:type="dxa"/>
            <w:tcBorders>
              <w:bottom w:val="nil"/>
            </w:tcBorders>
          </w:tcPr>
          <w:p w14:paraId="5E33DF72" w14:textId="2B6530B8" w:rsidR="004E3D8E" w:rsidRPr="004C78D8" w:rsidRDefault="004E3D8E" w:rsidP="00FB7C1F">
            <w:pPr>
              <w:jc w:val="center"/>
              <w:rPr>
                <w:sz w:val="20"/>
                <w:szCs w:val="20"/>
              </w:rPr>
            </w:pPr>
            <w:r w:rsidRPr="004C78D8">
              <w:rPr>
                <w:sz w:val="20"/>
                <w:szCs w:val="20"/>
              </w:rPr>
              <w:t>2</w:t>
            </w:r>
          </w:p>
        </w:tc>
        <w:tc>
          <w:tcPr>
            <w:tcW w:w="1328" w:type="dxa"/>
            <w:tcBorders>
              <w:bottom w:val="nil"/>
            </w:tcBorders>
          </w:tcPr>
          <w:p w14:paraId="070FF926" w14:textId="2EF0A86B" w:rsidR="004E3D8E" w:rsidRPr="004C78D8" w:rsidRDefault="004E3D8E" w:rsidP="00FB7C1F">
            <w:pPr>
              <w:jc w:val="center"/>
              <w:rPr>
                <w:sz w:val="20"/>
                <w:szCs w:val="20"/>
              </w:rPr>
            </w:pPr>
            <w:r w:rsidRPr="004C78D8">
              <w:rPr>
                <w:sz w:val="20"/>
                <w:szCs w:val="20"/>
              </w:rPr>
              <w:t>5</w:t>
            </w:r>
          </w:p>
        </w:tc>
        <w:tc>
          <w:tcPr>
            <w:tcW w:w="1221" w:type="dxa"/>
            <w:tcBorders>
              <w:bottom w:val="nil"/>
            </w:tcBorders>
          </w:tcPr>
          <w:p w14:paraId="0AD5ED64" w14:textId="622688E4" w:rsidR="004E3D8E" w:rsidRPr="004C78D8" w:rsidRDefault="004E3D8E" w:rsidP="00FB7C1F">
            <w:pPr>
              <w:jc w:val="center"/>
              <w:rPr>
                <w:sz w:val="20"/>
                <w:szCs w:val="20"/>
              </w:rPr>
            </w:pPr>
            <w:r w:rsidRPr="004C78D8">
              <w:rPr>
                <w:sz w:val="20"/>
                <w:szCs w:val="20"/>
              </w:rPr>
              <w:t>5</w:t>
            </w:r>
          </w:p>
        </w:tc>
        <w:tc>
          <w:tcPr>
            <w:tcW w:w="1272" w:type="dxa"/>
            <w:tcBorders>
              <w:bottom w:val="nil"/>
            </w:tcBorders>
          </w:tcPr>
          <w:p w14:paraId="4C00CCD9" w14:textId="63EFAE46" w:rsidR="004E3D8E" w:rsidRPr="004C78D8" w:rsidRDefault="004E3D8E" w:rsidP="00FB7C1F">
            <w:pPr>
              <w:jc w:val="center"/>
              <w:rPr>
                <w:sz w:val="20"/>
                <w:szCs w:val="20"/>
              </w:rPr>
            </w:pPr>
            <w:r w:rsidRPr="004C78D8">
              <w:rPr>
                <w:sz w:val="20"/>
                <w:szCs w:val="20"/>
              </w:rPr>
              <w:t>5</w:t>
            </w:r>
          </w:p>
        </w:tc>
        <w:tc>
          <w:tcPr>
            <w:tcW w:w="1239" w:type="dxa"/>
            <w:tcBorders>
              <w:bottom w:val="nil"/>
            </w:tcBorders>
          </w:tcPr>
          <w:p w14:paraId="55BF9186" w14:textId="078D6CE0" w:rsidR="004E3D8E" w:rsidRPr="004C78D8" w:rsidRDefault="001B2E9E" w:rsidP="00FB7C1F">
            <w:pPr>
              <w:jc w:val="center"/>
              <w:rPr>
                <w:sz w:val="20"/>
                <w:szCs w:val="20"/>
              </w:rPr>
            </w:pPr>
            <w:r w:rsidRPr="004C78D8">
              <w:rPr>
                <w:sz w:val="20"/>
                <w:szCs w:val="20"/>
              </w:rPr>
              <w:t>-11</w:t>
            </w:r>
          </w:p>
        </w:tc>
        <w:tc>
          <w:tcPr>
            <w:tcW w:w="1272" w:type="dxa"/>
            <w:tcBorders>
              <w:bottom w:val="nil"/>
            </w:tcBorders>
          </w:tcPr>
          <w:p w14:paraId="313EA2B7" w14:textId="2CCA2EDB" w:rsidR="004E3D8E" w:rsidRPr="004C78D8" w:rsidRDefault="001B2E9E" w:rsidP="00FB7C1F">
            <w:pPr>
              <w:jc w:val="center"/>
              <w:rPr>
                <w:sz w:val="20"/>
                <w:szCs w:val="20"/>
              </w:rPr>
            </w:pPr>
            <w:r w:rsidRPr="004C78D8">
              <w:rPr>
                <w:sz w:val="20"/>
                <w:szCs w:val="20"/>
              </w:rPr>
              <w:t>-11</w:t>
            </w:r>
          </w:p>
        </w:tc>
        <w:tc>
          <w:tcPr>
            <w:tcW w:w="1160" w:type="dxa"/>
            <w:tcBorders>
              <w:bottom w:val="nil"/>
            </w:tcBorders>
          </w:tcPr>
          <w:p w14:paraId="4E3D71A2" w14:textId="54E9D8C1" w:rsidR="004E3D8E" w:rsidRPr="004C78D8" w:rsidRDefault="00EA63E8" w:rsidP="00FB7C1F">
            <w:pPr>
              <w:jc w:val="center"/>
              <w:rPr>
                <w:sz w:val="20"/>
                <w:szCs w:val="20"/>
              </w:rPr>
            </w:pPr>
            <w:r w:rsidRPr="004C78D8">
              <w:rPr>
                <w:sz w:val="20"/>
                <w:szCs w:val="20"/>
              </w:rPr>
              <w:t>13</w:t>
            </w:r>
            <w:r w:rsidR="00736317" w:rsidRPr="004C78D8">
              <w:rPr>
                <w:sz w:val="20"/>
                <w:szCs w:val="20"/>
              </w:rPr>
              <w:t xml:space="preserve"> (19)</w:t>
            </w:r>
          </w:p>
        </w:tc>
      </w:tr>
      <w:tr w:rsidR="004E3D8E" w:rsidRPr="004C78D8" w14:paraId="12DCC702" w14:textId="263D2E4B" w:rsidTr="00A1003D">
        <w:tc>
          <w:tcPr>
            <w:tcW w:w="554" w:type="dxa"/>
            <w:tcBorders>
              <w:top w:val="nil"/>
              <w:bottom w:val="nil"/>
            </w:tcBorders>
          </w:tcPr>
          <w:p w14:paraId="7CADAC91" w14:textId="390B6B38" w:rsidR="004E3D8E" w:rsidRPr="004C78D8" w:rsidRDefault="004E3D8E" w:rsidP="00FB7C1F">
            <w:pPr>
              <w:rPr>
                <w:sz w:val="20"/>
                <w:szCs w:val="20"/>
              </w:rPr>
            </w:pPr>
            <w:r w:rsidRPr="004C78D8">
              <w:rPr>
                <w:sz w:val="18"/>
                <w:szCs w:val="18"/>
              </w:rPr>
              <w:t>[2]</w:t>
            </w:r>
          </w:p>
        </w:tc>
        <w:tc>
          <w:tcPr>
            <w:tcW w:w="2913" w:type="dxa"/>
            <w:tcBorders>
              <w:top w:val="nil"/>
              <w:bottom w:val="nil"/>
            </w:tcBorders>
          </w:tcPr>
          <w:p w14:paraId="2DC23EC0" w14:textId="061D255B" w:rsidR="004E3D8E" w:rsidRPr="004C78D8" w:rsidRDefault="004E3D8E" w:rsidP="00FB7C1F">
            <w:pPr>
              <w:rPr>
                <w:sz w:val="20"/>
                <w:szCs w:val="20"/>
              </w:rPr>
            </w:pPr>
            <w:r w:rsidRPr="004C78D8">
              <w:rPr>
                <w:sz w:val="18"/>
                <w:szCs w:val="18"/>
              </w:rPr>
              <w:t>RC reactive pathway only</w:t>
            </w:r>
          </w:p>
        </w:tc>
        <w:tc>
          <w:tcPr>
            <w:tcW w:w="1415" w:type="dxa"/>
            <w:tcBorders>
              <w:top w:val="nil"/>
              <w:bottom w:val="nil"/>
            </w:tcBorders>
          </w:tcPr>
          <w:p w14:paraId="0FEE0560" w14:textId="3C26D9E8" w:rsidR="004E3D8E" w:rsidRPr="004C78D8" w:rsidRDefault="004E3D8E" w:rsidP="00FB7C1F">
            <w:pPr>
              <w:jc w:val="center"/>
              <w:rPr>
                <w:sz w:val="20"/>
                <w:szCs w:val="20"/>
              </w:rPr>
            </w:pPr>
            <w:r w:rsidRPr="004C78D8">
              <w:rPr>
                <w:sz w:val="20"/>
                <w:szCs w:val="20"/>
              </w:rPr>
              <w:t>1</w:t>
            </w:r>
          </w:p>
        </w:tc>
        <w:tc>
          <w:tcPr>
            <w:tcW w:w="1466" w:type="dxa"/>
            <w:tcBorders>
              <w:top w:val="nil"/>
              <w:bottom w:val="nil"/>
            </w:tcBorders>
          </w:tcPr>
          <w:p w14:paraId="3950DB23" w14:textId="640ADD0E" w:rsidR="004E3D8E" w:rsidRPr="004C78D8" w:rsidRDefault="004E3D8E" w:rsidP="00FB7C1F">
            <w:pPr>
              <w:jc w:val="center"/>
              <w:rPr>
                <w:sz w:val="20"/>
                <w:szCs w:val="20"/>
              </w:rPr>
            </w:pPr>
            <w:r w:rsidRPr="004C78D8">
              <w:rPr>
                <w:sz w:val="20"/>
                <w:szCs w:val="20"/>
              </w:rPr>
              <w:t>0</w:t>
            </w:r>
          </w:p>
        </w:tc>
        <w:tc>
          <w:tcPr>
            <w:tcW w:w="1328" w:type="dxa"/>
            <w:tcBorders>
              <w:top w:val="nil"/>
              <w:bottom w:val="nil"/>
            </w:tcBorders>
          </w:tcPr>
          <w:p w14:paraId="6DF3AE72" w14:textId="3DC0F3C2" w:rsidR="004E3D8E" w:rsidRPr="004C78D8" w:rsidRDefault="004E3D8E" w:rsidP="00FB7C1F">
            <w:pPr>
              <w:jc w:val="center"/>
              <w:rPr>
                <w:sz w:val="20"/>
                <w:szCs w:val="20"/>
              </w:rPr>
            </w:pPr>
            <w:r w:rsidRPr="004C78D8">
              <w:rPr>
                <w:sz w:val="20"/>
                <w:szCs w:val="20"/>
              </w:rPr>
              <w:t>3</w:t>
            </w:r>
          </w:p>
        </w:tc>
        <w:tc>
          <w:tcPr>
            <w:tcW w:w="1221" w:type="dxa"/>
            <w:tcBorders>
              <w:top w:val="nil"/>
              <w:bottom w:val="nil"/>
            </w:tcBorders>
          </w:tcPr>
          <w:p w14:paraId="3878385C" w14:textId="7B5E6B51" w:rsidR="004E3D8E" w:rsidRPr="004C78D8" w:rsidRDefault="004E3D8E" w:rsidP="00FB7C1F">
            <w:pPr>
              <w:jc w:val="center"/>
              <w:rPr>
                <w:sz w:val="20"/>
                <w:szCs w:val="20"/>
              </w:rPr>
            </w:pPr>
            <w:r w:rsidRPr="004C78D8">
              <w:rPr>
                <w:sz w:val="20"/>
                <w:szCs w:val="20"/>
              </w:rPr>
              <w:t>0</w:t>
            </w:r>
          </w:p>
        </w:tc>
        <w:tc>
          <w:tcPr>
            <w:tcW w:w="1272" w:type="dxa"/>
            <w:tcBorders>
              <w:top w:val="nil"/>
              <w:bottom w:val="nil"/>
            </w:tcBorders>
          </w:tcPr>
          <w:p w14:paraId="7716FF74" w14:textId="288B65EF" w:rsidR="004E3D8E" w:rsidRPr="004C78D8" w:rsidRDefault="004E3D8E" w:rsidP="00FB7C1F">
            <w:pPr>
              <w:jc w:val="center"/>
              <w:rPr>
                <w:sz w:val="20"/>
                <w:szCs w:val="20"/>
              </w:rPr>
            </w:pPr>
            <w:r w:rsidRPr="004C78D8">
              <w:rPr>
                <w:sz w:val="20"/>
                <w:szCs w:val="20"/>
              </w:rPr>
              <w:t>-2</w:t>
            </w:r>
          </w:p>
        </w:tc>
        <w:tc>
          <w:tcPr>
            <w:tcW w:w="1239" w:type="dxa"/>
            <w:tcBorders>
              <w:top w:val="nil"/>
              <w:bottom w:val="nil"/>
            </w:tcBorders>
          </w:tcPr>
          <w:p w14:paraId="485303C5" w14:textId="077D8605" w:rsidR="004E3D8E" w:rsidRPr="004C78D8" w:rsidRDefault="001B2E9E" w:rsidP="00FB7C1F">
            <w:pPr>
              <w:jc w:val="center"/>
              <w:rPr>
                <w:sz w:val="20"/>
                <w:szCs w:val="20"/>
              </w:rPr>
            </w:pPr>
            <w:r w:rsidRPr="004C78D8">
              <w:rPr>
                <w:sz w:val="20"/>
                <w:szCs w:val="20"/>
              </w:rPr>
              <w:t>-19</w:t>
            </w:r>
          </w:p>
        </w:tc>
        <w:tc>
          <w:tcPr>
            <w:tcW w:w="1272" w:type="dxa"/>
            <w:tcBorders>
              <w:top w:val="nil"/>
              <w:bottom w:val="nil"/>
            </w:tcBorders>
          </w:tcPr>
          <w:p w14:paraId="33C47582" w14:textId="24AA802E" w:rsidR="004E3D8E" w:rsidRPr="004C78D8" w:rsidRDefault="001B2E9E" w:rsidP="00FB7C1F">
            <w:pPr>
              <w:jc w:val="center"/>
              <w:rPr>
                <w:sz w:val="20"/>
                <w:szCs w:val="20"/>
              </w:rPr>
            </w:pPr>
            <w:r w:rsidRPr="004C78D8">
              <w:rPr>
                <w:sz w:val="20"/>
                <w:szCs w:val="20"/>
              </w:rPr>
              <w:t>-21</w:t>
            </w:r>
          </w:p>
        </w:tc>
        <w:tc>
          <w:tcPr>
            <w:tcW w:w="1160" w:type="dxa"/>
            <w:tcBorders>
              <w:top w:val="nil"/>
              <w:bottom w:val="nil"/>
            </w:tcBorders>
          </w:tcPr>
          <w:p w14:paraId="1425AFF1" w14:textId="7AD5B5CF" w:rsidR="004E3D8E" w:rsidRPr="004C78D8" w:rsidRDefault="00EA63E8" w:rsidP="00FB7C1F">
            <w:pPr>
              <w:jc w:val="center"/>
              <w:rPr>
                <w:sz w:val="20"/>
                <w:szCs w:val="20"/>
              </w:rPr>
            </w:pPr>
            <w:r w:rsidRPr="004C78D8">
              <w:rPr>
                <w:sz w:val="20"/>
                <w:szCs w:val="20"/>
              </w:rPr>
              <w:t>23</w:t>
            </w:r>
            <w:r w:rsidR="00736317" w:rsidRPr="004C78D8">
              <w:rPr>
                <w:sz w:val="20"/>
                <w:szCs w:val="20"/>
              </w:rPr>
              <w:t xml:space="preserve"> (=17)</w:t>
            </w:r>
          </w:p>
        </w:tc>
      </w:tr>
      <w:tr w:rsidR="004E3D8E" w:rsidRPr="004C78D8" w14:paraId="768AB3B1" w14:textId="04DB68FA" w:rsidTr="00A1003D">
        <w:tc>
          <w:tcPr>
            <w:tcW w:w="554" w:type="dxa"/>
            <w:tcBorders>
              <w:top w:val="nil"/>
              <w:bottom w:val="nil"/>
            </w:tcBorders>
          </w:tcPr>
          <w:p w14:paraId="323058A7" w14:textId="272EB7A7" w:rsidR="004E3D8E" w:rsidRPr="004C78D8" w:rsidRDefault="004E3D8E" w:rsidP="00FB7C1F">
            <w:pPr>
              <w:rPr>
                <w:sz w:val="20"/>
                <w:szCs w:val="20"/>
              </w:rPr>
            </w:pPr>
            <w:r w:rsidRPr="004C78D8">
              <w:rPr>
                <w:sz w:val="18"/>
                <w:szCs w:val="18"/>
              </w:rPr>
              <w:t>[3]</w:t>
            </w:r>
          </w:p>
        </w:tc>
        <w:tc>
          <w:tcPr>
            <w:tcW w:w="2913" w:type="dxa"/>
            <w:tcBorders>
              <w:top w:val="nil"/>
              <w:bottom w:val="nil"/>
            </w:tcBorders>
          </w:tcPr>
          <w:p w14:paraId="03C5BDE9" w14:textId="46483FDC" w:rsidR="004E3D8E" w:rsidRPr="004C78D8" w:rsidRDefault="004E3D8E" w:rsidP="00FB7C1F">
            <w:pPr>
              <w:rPr>
                <w:sz w:val="20"/>
                <w:szCs w:val="20"/>
              </w:rPr>
            </w:pPr>
            <w:r w:rsidRPr="004C78D8">
              <w:rPr>
                <w:sz w:val="18"/>
                <w:szCs w:val="18"/>
              </w:rPr>
              <w:t>UC + universal PA promotion</w:t>
            </w:r>
          </w:p>
        </w:tc>
        <w:tc>
          <w:tcPr>
            <w:tcW w:w="1415" w:type="dxa"/>
            <w:tcBorders>
              <w:top w:val="nil"/>
              <w:bottom w:val="nil"/>
            </w:tcBorders>
          </w:tcPr>
          <w:p w14:paraId="541352CF" w14:textId="398279A4" w:rsidR="004E3D8E" w:rsidRPr="004C78D8" w:rsidRDefault="004E3D8E" w:rsidP="00FB7C1F">
            <w:pPr>
              <w:jc w:val="center"/>
              <w:rPr>
                <w:sz w:val="20"/>
                <w:szCs w:val="20"/>
              </w:rPr>
            </w:pPr>
            <w:r w:rsidRPr="004C78D8">
              <w:rPr>
                <w:sz w:val="20"/>
                <w:szCs w:val="20"/>
              </w:rPr>
              <w:t>0</w:t>
            </w:r>
          </w:p>
        </w:tc>
        <w:tc>
          <w:tcPr>
            <w:tcW w:w="1466" w:type="dxa"/>
            <w:tcBorders>
              <w:top w:val="nil"/>
              <w:bottom w:val="nil"/>
            </w:tcBorders>
          </w:tcPr>
          <w:p w14:paraId="045CADC3" w14:textId="0FCF569A" w:rsidR="004E3D8E" w:rsidRPr="004C78D8" w:rsidRDefault="004E3D8E" w:rsidP="00FB7C1F">
            <w:pPr>
              <w:jc w:val="center"/>
              <w:rPr>
                <w:sz w:val="20"/>
                <w:szCs w:val="20"/>
              </w:rPr>
            </w:pPr>
            <w:r w:rsidRPr="004C78D8">
              <w:rPr>
                <w:sz w:val="20"/>
                <w:szCs w:val="20"/>
              </w:rPr>
              <w:t>1</w:t>
            </w:r>
          </w:p>
        </w:tc>
        <w:tc>
          <w:tcPr>
            <w:tcW w:w="1328" w:type="dxa"/>
            <w:tcBorders>
              <w:top w:val="nil"/>
              <w:bottom w:val="nil"/>
            </w:tcBorders>
          </w:tcPr>
          <w:p w14:paraId="7282CE28" w14:textId="2E543C4F" w:rsidR="004E3D8E" w:rsidRPr="004C78D8" w:rsidRDefault="004E3D8E" w:rsidP="00FB7C1F">
            <w:pPr>
              <w:jc w:val="center"/>
              <w:rPr>
                <w:sz w:val="20"/>
                <w:szCs w:val="20"/>
              </w:rPr>
            </w:pPr>
            <w:r w:rsidRPr="004C78D8">
              <w:rPr>
                <w:sz w:val="20"/>
                <w:szCs w:val="20"/>
              </w:rPr>
              <w:t>3</w:t>
            </w:r>
          </w:p>
        </w:tc>
        <w:tc>
          <w:tcPr>
            <w:tcW w:w="1221" w:type="dxa"/>
            <w:tcBorders>
              <w:top w:val="nil"/>
              <w:bottom w:val="nil"/>
            </w:tcBorders>
          </w:tcPr>
          <w:p w14:paraId="1F2BB6D7" w14:textId="7047F01E" w:rsidR="004E3D8E" w:rsidRPr="004C78D8" w:rsidRDefault="004E3D8E" w:rsidP="00FB7C1F">
            <w:pPr>
              <w:jc w:val="center"/>
              <w:rPr>
                <w:sz w:val="20"/>
                <w:szCs w:val="20"/>
              </w:rPr>
            </w:pPr>
            <w:r w:rsidRPr="004C78D8">
              <w:rPr>
                <w:sz w:val="20"/>
                <w:szCs w:val="20"/>
              </w:rPr>
              <w:t>2</w:t>
            </w:r>
          </w:p>
        </w:tc>
        <w:tc>
          <w:tcPr>
            <w:tcW w:w="1272" w:type="dxa"/>
            <w:tcBorders>
              <w:top w:val="nil"/>
              <w:bottom w:val="nil"/>
            </w:tcBorders>
          </w:tcPr>
          <w:p w14:paraId="6B121591" w14:textId="06D2579F" w:rsidR="004E3D8E" w:rsidRPr="004C78D8" w:rsidRDefault="004E3D8E" w:rsidP="00FB7C1F">
            <w:pPr>
              <w:jc w:val="center"/>
              <w:rPr>
                <w:sz w:val="20"/>
                <w:szCs w:val="20"/>
              </w:rPr>
            </w:pPr>
            <w:r w:rsidRPr="004C78D8">
              <w:rPr>
                <w:sz w:val="20"/>
                <w:szCs w:val="20"/>
              </w:rPr>
              <w:t>2</w:t>
            </w:r>
          </w:p>
        </w:tc>
        <w:tc>
          <w:tcPr>
            <w:tcW w:w="1239" w:type="dxa"/>
            <w:tcBorders>
              <w:top w:val="nil"/>
              <w:bottom w:val="nil"/>
            </w:tcBorders>
          </w:tcPr>
          <w:p w14:paraId="2FD2561C" w14:textId="1032CEC9" w:rsidR="004E3D8E" w:rsidRPr="004C78D8" w:rsidRDefault="001B2E9E" w:rsidP="00FB7C1F">
            <w:pPr>
              <w:jc w:val="center"/>
              <w:rPr>
                <w:sz w:val="20"/>
                <w:szCs w:val="20"/>
              </w:rPr>
            </w:pPr>
            <w:r w:rsidRPr="004C78D8">
              <w:rPr>
                <w:sz w:val="20"/>
                <w:szCs w:val="20"/>
              </w:rPr>
              <w:t>-20</w:t>
            </w:r>
          </w:p>
        </w:tc>
        <w:tc>
          <w:tcPr>
            <w:tcW w:w="1272" w:type="dxa"/>
            <w:tcBorders>
              <w:top w:val="nil"/>
              <w:bottom w:val="nil"/>
            </w:tcBorders>
          </w:tcPr>
          <w:p w14:paraId="333E4285" w14:textId="739AFAEA" w:rsidR="004E3D8E" w:rsidRPr="004C78D8" w:rsidRDefault="001B2E9E" w:rsidP="00FB7C1F">
            <w:pPr>
              <w:jc w:val="center"/>
              <w:rPr>
                <w:sz w:val="20"/>
                <w:szCs w:val="20"/>
              </w:rPr>
            </w:pPr>
            <w:r w:rsidRPr="004C78D8">
              <w:rPr>
                <w:sz w:val="20"/>
                <w:szCs w:val="20"/>
              </w:rPr>
              <w:t>-20</w:t>
            </w:r>
          </w:p>
        </w:tc>
        <w:tc>
          <w:tcPr>
            <w:tcW w:w="1160" w:type="dxa"/>
            <w:tcBorders>
              <w:top w:val="nil"/>
              <w:bottom w:val="nil"/>
            </w:tcBorders>
          </w:tcPr>
          <w:p w14:paraId="7056E9AD" w14:textId="2A7DA89C" w:rsidR="004E3D8E" w:rsidRPr="004C78D8" w:rsidRDefault="00EA63E8" w:rsidP="00FB7C1F">
            <w:pPr>
              <w:jc w:val="center"/>
              <w:rPr>
                <w:sz w:val="20"/>
                <w:szCs w:val="20"/>
              </w:rPr>
            </w:pPr>
            <w:r w:rsidRPr="004C78D8">
              <w:rPr>
                <w:sz w:val="20"/>
                <w:szCs w:val="20"/>
              </w:rPr>
              <w:t>23</w:t>
            </w:r>
            <w:r w:rsidR="00736317" w:rsidRPr="004C78D8">
              <w:rPr>
                <w:sz w:val="20"/>
                <w:szCs w:val="20"/>
              </w:rPr>
              <w:t xml:space="preserve"> (=17)</w:t>
            </w:r>
          </w:p>
        </w:tc>
      </w:tr>
      <w:tr w:rsidR="004E3D8E" w:rsidRPr="004C78D8" w14:paraId="78F81C17" w14:textId="514F8E27" w:rsidTr="00A1003D">
        <w:tc>
          <w:tcPr>
            <w:tcW w:w="554" w:type="dxa"/>
            <w:tcBorders>
              <w:top w:val="nil"/>
              <w:bottom w:val="nil"/>
            </w:tcBorders>
          </w:tcPr>
          <w:p w14:paraId="52EC6927" w14:textId="5CC6AB9E" w:rsidR="004E3D8E" w:rsidRPr="004C78D8" w:rsidRDefault="004E3D8E" w:rsidP="00FB7C1F">
            <w:pPr>
              <w:rPr>
                <w:sz w:val="20"/>
                <w:szCs w:val="20"/>
              </w:rPr>
            </w:pPr>
            <w:r w:rsidRPr="004C78D8">
              <w:rPr>
                <w:sz w:val="18"/>
                <w:szCs w:val="18"/>
              </w:rPr>
              <w:t>[4]</w:t>
            </w:r>
          </w:p>
        </w:tc>
        <w:tc>
          <w:tcPr>
            <w:tcW w:w="2913" w:type="dxa"/>
            <w:tcBorders>
              <w:top w:val="nil"/>
              <w:bottom w:val="nil"/>
            </w:tcBorders>
          </w:tcPr>
          <w:p w14:paraId="528AE5E1" w14:textId="4CB2BE4A" w:rsidR="004E3D8E" w:rsidRPr="004C78D8" w:rsidRDefault="004E3D8E" w:rsidP="00FB7C1F">
            <w:pPr>
              <w:rPr>
                <w:sz w:val="20"/>
                <w:szCs w:val="20"/>
              </w:rPr>
            </w:pPr>
            <w:r w:rsidRPr="004C78D8">
              <w:rPr>
                <w:sz w:val="18"/>
                <w:szCs w:val="18"/>
              </w:rPr>
              <w:t>RC SR pathway only</w:t>
            </w:r>
          </w:p>
        </w:tc>
        <w:tc>
          <w:tcPr>
            <w:tcW w:w="1415" w:type="dxa"/>
            <w:tcBorders>
              <w:top w:val="nil"/>
              <w:bottom w:val="nil"/>
            </w:tcBorders>
          </w:tcPr>
          <w:p w14:paraId="35A1CFB1" w14:textId="5D8152AE" w:rsidR="004E3D8E" w:rsidRPr="004C78D8" w:rsidRDefault="004E3D8E" w:rsidP="00FB7C1F">
            <w:pPr>
              <w:jc w:val="center"/>
              <w:rPr>
                <w:sz w:val="20"/>
                <w:szCs w:val="20"/>
              </w:rPr>
            </w:pPr>
            <w:r w:rsidRPr="004C78D8">
              <w:rPr>
                <w:sz w:val="20"/>
                <w:szCs w:val="20"/>
              </w:rPr>
              <w:t>4</w:t>
            </w:r>
          </w:p>
        </w:tc>
        <w:tc>
          <w:tcPr>
            <w:tcW w:w="1466" w:type="dxa"/>
            <w:tcBorders>
              <w:top w:val="nil"/>
              <w:bottom w:val="nil"/>
            </w:tcBorders>
          </w:tcPr>
          <w:p w14:paraId="1BA982CF" w14:textId="203A16BB" w:rsidR="004E3D8E" w:rsidRPr="004C78D8" w:rsidRDefault="004E3D8E" w:rsidP="00FB7C1F">
            <w:pPr>
              <w:jc w:val="center"/>
              <w:rPr>
                <w:sz w:val="20"/>
                <w:szCs w:val="20"/>
              </w:rPr>
            </w:pPr>
            <w:r w:rsidRPr="004C78D8">
              <w:rPr>
                <w:sz w:val="20"/>
                <w:szCs w:val="20"/>
              </w:rPr>
              <w:t>2</w:t>
            </w:r>
          </w:p>
        </w:tc>
        <w:tc>
          <w:tcPr>
            <w:tcW w:w="1328" w:type="dxa"/>
            <w:tcBorders>
              <w:top w:val="nil"/>
              <w:bottom w:val="nil"/>
            </w:tcBorders>
          </w:tcPr>
          <w:p w14:paraId="510BF9F1" w14:textId="6F444759" w:rsidR="004E3D8E" w:rsidRPr="004C78D8" w:rsidRDefault="004E3D8E" w:rsidP="00FB7C1F">
            <w:pPr>
              <w:jc w:val="center"/>
              <w:rPr>
                <w:sz w:val="20"/>
                <w:szCs w:val="20"/>
              </w:rPr>
            </w:pPr>
            <w:r w:rsidRPr="004C78D8">
              <w:rPr>
                <w:sz w:val="20"/>
                <w:szCs w:val="20"/>
              </w:rPr>
              <w:t>12</w:t>
            </w:r>
          </w:p>
        </w:tc>
        <w:tc>
          <w:tcPr>
            <w:tcW w:w="1221" w:type="dxa"/>
            <w:tcBorders>
              <w:top w:val="nil"/>
              <w:bottom w:val="nil"/>
            </w:tcBorders>
          </w:tcPr>
          <w:p w14:paraId="53807BF9" w14:textId="12D3AC1B" w:rsidR="004E3D8E" w:rsidRPr="004C78D8" w:rsidRDefault="004E3D8E" w:rsidP="00FB7C1F">
            <w:pPr>
              <w:jc w:val="center"/>
              <w:rPr>
                <w:sz w:val="20"/>
                <w:szCs w:val="20"/>
              </w:rPr>
            </w:pPr>
            <w:r w:rsidRPr="004C78D8">
              <w:rPr>
                <w:sz w:val="20"/>
                <w:szCs w:val="20"/>
              </w:rPr>
              <w:t>1</w:t>
            </w:r>
          </w:p>
        </w:tc>
        <w:tc>
          <w:tcPr>
            <w:tcW w:w="1272" w:type="dxa"/>
            <w:tcBorders>
              <w:top w:val="nil"/>
              <w:bottom w:val="nil"/>
            </w:tcBorders>
          </w:tcPr>
          <w:p w14:paraId="0320EF1B" w14:textId="71A6B140" w:rsidR="004E3D8E" w:rsidRPr="004C78D8" w:rsidRDefault="004E3D8E" w:rsidP="00FB7C1F">
            <w:pPr>
              <w:jc w:val="center"/>
              <w:rPr>
                <w:sz w:val="20"/>
                <w:szCs w:val="20"/>
              </w:rPr>
            </w:pPr>
            <w:r w:rsidRPr="004C78D8">
              <w:rPr>
                <w:sz w:val="20"/>
                <w:szCs w:val="20"/>
              </w:rPr>
              <w:t>-6</w:t>
            </w:r>
          </w:p>
        </w:tc>
        <w:tc>
          <w:tcPr>
            <w:tcW w:w="1239" w:type="dxa"/>
            <w:tcBorders>
              <w:top w:val="nil"/>
              <w:bottom w:val="nil"/>
            </w:tcBorders>
          </w:tcPr>
          <w:p w14:paraId="218184A6" w14:textId="06225A76" w:rsidR="004E3D8E" w:rsidRPr="004C78D8" w:rsidRDefault="001B2E9E" w:rsidP="00FB7C1F">
            <w:pPr>
              <w:jc w:val="center"/>
              <w:rPr>
                <w:sz w:val="20"/>
                <w:szCs w:val="20"/>
              </w:rPr>
            </w:pPr>
            <w:r w:rsidRPr="004C78D8">
              <w:rPr>
                <w:sz w:val="20"/>
                <w:szCs w:val="20"/>
              </w:rPr>
              <w:t>-19</w:t>
            </w:r>
          </w:p>
        </w:tc>
        <w:tc>
          <w:tcPr>
            <w:tcW w:w="1272" w:type="dxa"/>
            <w:tcBorders>
              <w:top w:val="nil"/>
              <w:bottom w:val="nil"/>
            </w:tcBorders>
          </w:tcPr>
          <w:p w14:paraId="00CAA3BC" w14:textId="250E5001" w:rsidR="004E3D8E" w:rsidRPr="004C78D8" w:rsidRDefault="001B2E9E" w:rsidP="00FB7C1F">
            <w:pPr>
              <w:jc w:val="center"/>
              <w:rPr>
                <w:sz w:val="20"/>
                <w:szCs w:val="20"/>
              </w:rPr>
            </w:pPr>
            <w:r w:rsidRPr="004C78D8">
              <w:rPr>
                <w:sz w:val="20"/>
                <w:szCs w:val="20"/>
              </w:rPr>
              <w:t>-22</w:t>
            </w:r>
          </w:p>
        </w:tc>
        <w:tc>
          <w:tcPr>
            <w:tcW w:w="1160" w:type="dxa"/>
            <w:tcBorders>
              <w:top w:val="nil"/>
              <w:bottom w:val="nil"/>
            </w:tcBorders>
          </w:tcPr>
          <w:p w14:paraId="740D5531" w14:textId="3BB5D409" w:rsidR="004E3D8E" w:rsidRPr="004C78D8" w:rsidRDefault="00EA63E8" w:rsidP="00FB7C1F">
            <w:pPr>
              <w:jc w:val="center"/>
              <w:rPr>
                <w:sz w:val="20"/>
                <w:szCs w:val="20"/>
              </w:rPr>
            </w:pPr>
            <w:r w:rsidRPr="004C78D8">
              <w:rPr>
                <w:sz w:val="20"/>
                <w:szCs w:val="20"/>
              </w:rPr>
              <w:t>37</w:t>
            </w:r>
            <w:r w:rsidR="00736317" w:rsidRPr="004C78D8">
              <w:rPr>
                <w:sz w:val="20"/>
                <w:szCs w:val="20"/>
              </w:rPr>
              <w:t xml:space="preserve"> (=11)</w:t>
            </w:r>
          </w:p>
        </w:tc>
      </w:tr>
      <w:tr w:rsidR="004E3D8E" w:rsidRPr="004C78D8" w14:paraId="50B8A72E" w14:textId="3E8A2FA3" w:rsidTr="00A1003D">
        <w:tc>
          <w:tcPr>
            <w:tcW w:w="554" w:type="dxa"/>
            <w:tcBorders>
              <w:top w:val="nil"/>
              <w:bottom w:val="nil"/>
            </w:tcBorders>
          </w:tcPr>
          <w:p w14:paraId="6F75A90D" w14:textId="003AFA53" w:rsidR="004E3D8E" w:rsidRPr="004C78D8" w:rsidRDefault="004E3D8E" w:rsidP="00FB7C1F">
            <w:pPr>
              <w:rPr>
                <w:sz w:val="20"/>
                <w:szCs w:val="20"/>
              </w:rPr>
            </w:pPr>
            <w:r w:rsidRPr="004C78D8">
              <w:rPr>
                <w:sz w:val="18"/>
                <w:szCs w:val="18"/>
              </w:rPr>
              <w:t>[5]</w:t>
            </w:r>
          </w:p>
        </w:tc>
        <w:tc>
          <w:tcPr>
            <w:tcW w:w="2913" w:type="dxa"/>
            <w:tcBorders>
              <w:top w:val="nil"/>
              <w:bottom w:val="nil"/>
            </w:tcBorders>
          </w:tcPr>
          <w:p w14:paraId="0FE34B57" w14:textId="71A1E2AB" w:rsidR="004E3D8E" w:rsidRPr="004C78D8" w:rsidRDefault="004E3D8E" w:rsidP="00FB7C1F">
            <w:pPr>
              <w:rPr>
                <w:sz w:val="20"/>
                <w:szCs w:val="20"/>
              </w:rPr>
            </w:pPr>
            <w:r w:rsidRPr="004C78D8">
              <w:rPr>
                <w:sz w:val="18"/>
                <w:szCs w:val="18"/>
              </w:rPr>
              <w:t>UC + 3</w:t>
            </w:r>
            <w:r w:rsidRPr="004C78D8">
              <w:rPr>
                <w:sz w:val="18"/>
                <w:szCs w:val="18"/>
                <w:vertAlign w:val="superscript"/>
              </w:rPr>
              <w:t>rd</w:t>
            </w:r>
            <w:r w:rsidRPr="004C78D8">
              <w:rPr>
                <w:sz w:val="18"/>
                <w:szCs w:val="18"/>
              </w:rPr>
              <w:t>/4</w:t>
            </w:r>
            <w:r w:rsidRPr="004C78D8">
              <w:rPr>
                <w:sz w:val="18"/>
                <w:szCs w:val="18"/>
                <w:vertAlign w:val="superscript"/>
              </w:rPr>
              <w:t>th</w:t>
            </w:r>
            <w:r w:rsidRPr="004C78D8">
              <w:rPr>
                <w:sz w:val="18"/>
                <w:szCs w:val="18"/>
              </w:rPr>
              <w:t xml:space="preserve"> SES FH removal</w:t>
            </w:r>
          </w:p>
        </w:tc>
        <w:tc>
          <w:tcPr>
            <w:tcW w:w="1415" w:type="dxa"/>
            <w:tcBorders>
              <w:top w:val="nil"/>
              <w:bottom w:val="nil"/>
            </w:tcBorders>
          </w:tcPr>
          <w:p w14:paraId="1DCE0693" w14:textId="454DCFB4" w:rsidR="004E3D8E" w:rsidRPr="004C78D8" w:rsidRDefault="004E3D8E" w:rsidP="00FB7C1F">
            <w:pPr>
              <w:jc w:val="center"/>
              <w:rPr>
                <w:sz w:val="20"/>
                <w:szCs w:val="20"/>
              </w:rPr>
            </w:pPr>
            <w:r w:rsidRPr="004C78D8">
              <w:rPr>
                <w:sz w:val="20"/>
                <w:szCs w:val="20"/>
              </w:rPr>
              <w:t>9</w:t>
            </w:r>
          </w:p>
        </w:tc>
        <w:tc>
          <w:tcPr>
            <w:tcW w:w="1466" w:type="dxa"/>
            <w:tcBorders>
              <w:top w:val="nil"/>
              <w:bottom w:val="nil"/>
            </w:tcBorders>
          </w:tcPr>
          <w:p w14:paraId="03DEF133" w14:textId="6F86D408" w:rsidR="004E3D8E" w:rsidRPr="004C78D8" w:rsidRDefault="004E3D8E" w:rsidP="00FB7C1F">
            <w:pPr>
              <w:jc w:val="center"/>
              <w:rPr>
                <w:sz w:val="20"/>
                <w:szCs w:val="20"/>
              </w:rPr>
            </w:pPr>
            <w:r w:rsidRPr="004C78D8">
              <w:rPr>
                <w:sz w:val="20"/>
                <w:szCs w:val="20"/>
              </w:rPr>
              <w:t>3</w:t>
            </w:r>
          </w:p>
        </w:tc>
        <w:tc>
          <w:tcPr>
            <w:tcW w:w="1328" w:type="dxa"/>
            <w:tcBorders>
              <w:top w:val="nil"/>
              <w:bottom w:val="nil"/>
            </w:tcBorders>
          </w:tcPr>
          <w:p w14:paraId="1AD7E30F" w14:textId="29721C97" w:rsidR="004E3D8E" w:rsidRPr="004C78D8" w:rsidRDefault="004E3D8E" w:rsidP="00FB7C1F">
            <w:pPr>
              <w:jc w:val="center"/>
              <w:rPr>
                <w:sz w:val="20"/>
                <w:szCs w:val="20"/>
              </w:rPr>
            </w:pPr>
            <w:r w:rsidRPr="004C78D8">
              <w:rPr>
                <w:sz w:val="20"/>
                <w:szCs w:val="20"/>
              </w:rPr>
              <w:t>0</w:t>
            </w:r>
          </w:p>
        </w:tc>
        <w:tc>
          <w:tcPr>
            <w:tcW w:w="1221" w:type="dxa"/>
            <w:tcBorders>
              <w:top w:val="nil"/>
              <w:bottom w:val="nil"/>
            </w:tcBorders>
          </w:tcPr>
          <w:p w14:paraId="672E6C65" w14:textId="51B78E88" w:rsidR="004E3D8E" w:rsidRPr="004C78D8" w:rsidRDefault="004E3D8E" w:rsidP="00FB7C1F">
            <w:pPr>
              <w:jc w:val="center"/>
              <w:rPr>
                <w:sz w:val="20"/>
                <w:szCs w:val="20"/>
              </w:rPr>
            </w:pPr>
            <w:r w:rsidRPr="004C78D8">
              <w:rPr>
                <w:sz w:val="20"/>
                <w:szCs w:val="20"/>
              </w:rPr>
              <w:t>-5</w:t>
            </w:r>
          </w:p>
        </w:tc>
        <w:tc>
          <w:tcPr>
            <w:tcW w:w="1272" w:type="dxa"/>
            <w:tcBorders>
              <w:top w:val="nil"/>
              <w:bottom w:val="nil"/>
            </w:tcBorders>
          </w:tcPr>
          <w:p w14:paraId="7B015680" w14:textId="29451CB6" w:rsidR="004E3D8E" w:rsidRPr="004C78D8" w:rsidRDefault="004E3D8E" w:rsidP="00FB7C1F">
            <w:pPr>
              <w:jc w:val="center"/>
              <w:rPr>
                <w:sz w:val="20"/>
                <w:szCs w:val="20"/>
              </w:rPr>
            </w:pPr>
            <w:r w:rsidRPr="004C78D8">
              <w:rPr>
                <w:sz w:val="20"/>
                <w:szCs w:val="20"/>
              </w:rPr>
              <w:t>-5</w:t>
            </w:r>
          </w:p>
        </w:tc>
        <w:tc>
          <w:tcPr>
            <w:tcW w:w="1239" w:type="dxa"/>
            <w:tcBorders>
              <w:top w:val="nil"/>
              <w:bottom w:val="nil"/>
            </w:tcBorders>
          </w:tcPr>
          <w:p w14:paraId="7D605758" w14:textId="33EAAB61" w:rsidR="004E3D8E" w:rsidRPr="004C78D8" w:rsidRDefault="001B2E9E" w:rsidP="00FB7C1F">
            <w:pPr>
              <w:jc w:val="center"/>
              <w:rPr>
                <w:sz w:val="20"/>
                <w:szCs w:val="20"/>
              </w:rPr>
            </w:pPr>
            <w:r w:rsidRPr="004C78D8">
              <w:rPr>
                <w:sz w:val="20"/>
                <w:szCs w:val="20"/>
              </w:rPr>
              <w:t>-12</w:t>
            </w:r>
          </w:p>
        </w:tc>
        <w:tc>
          <w:tcPr>
            <w:tcW w:w="1272" w:type="dxa"/>
            <w:tcBorders>
              <w:top w:val="nil"/>
              <w:bottom w:val="nil"/>
            </w:tcBorders>
          </w:tcPr>
          <w:p w14:paraId="7403CC11" w14:textId="70B00496" w:rsidR="004E3D8E" w:rsidRPr="004C78D8" w:rsidRDefault="001B2E9E" w:rsidP="00FB7C1F">
            <w:pPr>
              <w:jc w:val="center"/>
              <w:rPr>
                <w:sz w:val="20"/>
                <w:szCs w:val="20"/>
              </w:rPr>
            </w:pPr>
            <w:r w:rsidRPr="004C78D8">
              <w:rPr>
                <w:sz w:val="20"/>
                <w:szCs w:val="20"/>
              </w:rPr>
              <w:t>-12</w:t>
            </w:r>
          </w:p>
        </w:tc>
        <w:tc>
          <w:tcPr>
            <w:tcW w:w="1160" w:type="dxa"/>
            <w:tcBorders>
              <w:top w:val="nil"/>
              <w:bottom w:val="nil"/>
            </w:tcBorders>
          </w:tcPr>
          <w:p w14:paraId="56525D5A" w14:textId="0C70804A" w:rsidR="004E3D8E" w:rsidRPr="004C78D8" w:rsidRDefault="00EA63E8" w:rsidP="00FB7C1F">
            <w:pPr>
              <w:jc w:val="center"/>
              <w:rPr>
                <w:sz w:val="20"/>
                <w:szCs w:val="20"/>
              </w:rPr>
            </w:pPr>
            <w:r w:rsidRPr="004C78D8">
              <w:rPr>
                <w:sz w:val="20"/>
                <w:szCs w:val="20"/>
              </w:rPr>
              <w:t>30</w:t>
            </w:r>
            <w:r w:rsidR="00736317" w:rsidRPr="004C78D8">
              <w:rPr>
                <w:sz w:val="20"/>
                <w:szCs w:val="20"/>
              </w:rPr>
              <w:t xml:space="preserve"> (14)</w:t>
            </w:r>
          </w:p>
        </w:tc>
      </w:tr>
      <w:tr w:rsidR="004E3D8E" w:rsidRPr="004C78D8" w14:paraId="41C7DC19" w14:textId="30D41712" w:rsidTr="00A1003D">
        <w:tc>
          <w:tcPr>
            <w:tcW w:w="554" w:type="dxa"/>
            <w:tcBorders>
              <w:top w:val="nil"/>
              <w:bottom w:val="nil"/>
            </w:tcBorders>
          </w:tcPr>
          <w:p w14:paraId="2FBBF3C3" w14:textId="6A81B3E1" w:rsidR="004E3D8E" w:rsidRPr="004C78D8" w:rsidRDefault="004E3D8E" w:rsidP="00FB7C1F">
            <w:pPr>
              <w:rPr>
                <w:sz w:val="20"/>
                <w:szCs w:val="20"/>
              </w:rPr>
            </w:pPr>
            <w:r w:rsidRPr="004C78D8">
              <w:rPr>
                <w:sz w:val="18"/>
                <w:szCs w:val="18"/>
              </w:rPr>
              <w:t>[6]</w:t>
            </w:r>
          </w:p>
        </w:tc>
        <w:tc>
          <w:tcPr>
            <w:tcW w:w="2913" w:type="dxa"/>
            <w:tcBorders>
              <w:top w:val="nil"/>
              <w:bottom w:val="nil"/>
            </w:tcBorders>
          </w:tcPr>
          <w:p w14:paraId="58834A64" w14:textId="0CDEAD69" w:rsidR="004E3D8E" w:rsidRPr="004C78D8" w:rsidRDefault="004E3D8E" w:rsidP="00FB7C1F">
            <w:pPr>
              <w:rPr>
                <w:sz w:val="20"/>
                <w:szCs w:val="20"/>
              </w:rPr>
            </w:pPr>
            <w:r w:rsidRPr="004C78D8">
              <w:rPr>
                <w:sz w:val="18"/>
                <w:szCs w:val="18"/>
              </w:rPr>
              <w:t>RC reactive &amp; SR pathways</w:t>
            </w:r>
          </w:p>
        </w:tc>
        <w:tc>
          <w:tcPr>
            <w:tcW w:w="1415" w:type="dxa"/>
            <w:tcBorders>
              <w:top w:val="nil"/>
              <w:bottom w:val="nil"/>
            </w:tcBorders>
          </w:tcPr>
          <w:p w14:paraId="3FC9D444" w14:textId="2C2EF51C" w:rsidR="004E3D8E" w:rsidRPr="004C78D8" w:rsidRDefault="004E3D8E" w:rsidP="00FB7C1F">
            <w:pPr>
              <w:jc w:val="center"/>
              <w:rPr>
                <w:sz w:val="20"/>
                <w:szCs w:val="20"/>
              </w:rPr>
            </w:pPr>
            <w:r w:rsidRPr="004C78D8">
              <w:rPr>
                <w:sz w:val="20"/>
                <w:szCs w:val="20"/>
              </w:rPr>
              <w:t>11</w:t>
            </w:r>
          </w:p>
        </w:tc>
        <w:tc>
          <w:tcPr>
            <w:tcW w:w="1466" w:type="dxa"/>
            <w:tcBorders>
              <w:top w:val="nil"/>
              <w:bottom w:val="nil"/>
            </w:tcBorders>
          </w:tcPr>
          <w:p w14:paraId="3CE10ACC" w14:textId="2281176A" w:rsidR="004E3D8E" w:rsidRPr="004C78D8" w:rsidRDefault="004E3D8E" w:rsidP="00FB7C1F">
            <w:pPr>
              <w:jc w:val="center"/>
              <w:rPr>
                <w:sz w:val="20"/>
                <w:szCs w:val="20"/>
              </w:rPr>
            </w:pPr>
            <w:r w:rsidRPr="004C78D8">
              <w:rPr>
                <w:sz w:val="20"/>
                <w:szCs w:val="20"/>
              </w:rPr>
              <w:t>2</w:t>
            </w:r>
          </w:p>
        </w:tc>
        <w:tc>
          <w:tcPr>
            <w:tcW w:w="1328" w:type="dxa"/>
            <w:tcBorders>
              <w:top w:val="nil"/>
              <w:bottom w:val="nil"/>
            </w:tcBorders>
          </w:tcPr>
          <w:p w14:paraId="206802A3" w14:textId="19BF9F0E" w:rsidR="004E3D8E" w:rsidRPr="004C78D8" w:rsidRDefault="004E3D8E" w:rsidP="00FB7C1F">
            <w:pPr>
              <w:jc w:val="center"/>
              <w:rPr>
                <w:sz w:val="20"/>
                <w:szCs w:val="20"/>
              </w:rPr>
            </w:pPr>
            <w:r w:rsidRPr="004C78D8">
              <w:rPr>
                <w:sz w:val="20"/>
                <w:szCs w:val="20"/>
              </w:rPr>
              <w:t>0</w:t>
            </w:r>
          </w:p>
        </w:tc>
        <w:tc>
          <w:tcPr>
            <w:tcW w:w="1221" w:type="dxa"/>
            <w:tcBorders>
              <w:top w:val="nil"/>
              <w:bottom w:val="nil"/>
            </w:tcBorders>
          </w:tcPr>
          <w:p w14:paraId="5139E87A" w14:textId="3E6E7E83" w:rsidR="004E3D8E" w:rsidRPr="004C78D8" w:rsidRDefault="004E3D8E" w:rsidP="00FB7C1F">
            <w:pPr>
              <w:jc w:val="center"/>
              <w:rPr>
                <w:sz w:val="20"/>
                <w:szCs w:val="20"/>
              </w:rPr>
            </w:pPr>
            <w:r w:rsidRPr="004C78D8">
              <w:rPr>
                <w:sz w:val="20"/>
                <w:szCs w:val="20"/>
              </w:rPr>
              <w:t>-4</w:t>
            </w:r>
          </w:p>
        </w:tc>
        <w:tc>
          <w:tcPr>
            <w:tcW w:w="1272" w:type="dxa"/>
            <w:tcBorders>
              <w:top w:val="nil"/>
              <w:bottom w:val="nil"/>
            </w:tcBorders>
          </w:tcPr>
          <w:p w14:paraId="3598722D" w14:textId="13C54EEA" w:rsidR="004E3D8E" w:rsidRPr="004C78D8" w:rsidRDefault="004E3D8E" w:rsidP="00FB7C1F">
            <w:pPr>
              <w:jc w:val="center"/>
              <w:rPr>
                <w:sz w:val="20"/>
                <w:szCs w:val="20"/>
              </w:rPr>
            </w:pPr>
            <w:r w:rsidRPr="004C78D8">
              <w:rPr>
                <w:sz w:val="20"/>
                <w:szCs w:val="20"/>
              </w:rPr>
              <w:t>-11</w:t>
            </w:r>
          </w:p>
        </w:tc>
        <w:tc>
          <w:tcPr>
            <w:tcW w:w="1239" w:type="dxa"/>
            <w:tcBorders>
              <w:top w:val="nil"/>
              <w:bottom w:val="nil"/>
            </w:tcBorders>
          </w:tcPr>
          <w:p w14:paraId="34610ABB" w14:textId="33CC1FFF" w:rsidR="004E3D8E" w:rsidRPr="004C78D8" w:rsidRDefault="001B2E9E" w:rsidP="00FB7C1F">
            <w:pPr>
              <w:jc w:val="center"/>
              <w:rPr>
                <w:sz w:val="20"/>
                <w:szCs w:val="20"/>
              </w:rPr>
            </w:pPr>
            <w:r w:rsidRPr="004C78D8">
              <w:rPr>
                <w:sz w:val="20"/>
                <w:szCs w:val="20"/>
              </w:rPr>
              <w:t>-20</w:t>
            </w:r>
          </w:p>
        </w:tc>
        <w:tc>
          <w:tcPr>
            <w:tcW w:w="1272" w:type="dxa"/>
            <w:tcBorders>
              <w:top w:val="nil"/>
              <w:bottom w:val="nil"/>
            </w:tcBorders>
          </w:tcPr>
          <w:p w14:paraId="09E56E5F" w14:textId="0A6D16AF" w:rsidR="004E3D8E" w:rsidRPr="004C78D8" w:rsidRDefault="001B2E9E" w:rsidP="00FB7C1F">
            <w:pPr>
              <w:jc w:val="center"/>
              <w:rPr>
                <w:sz w:val="20"/>
                <w:szCs w:val="20"/>
              </w:rPr>
            </w:pPr>
            <w:r w:rsidRPr="004C78D8">
              <w:rPr>
                <w:sz w:val="20"/>
                <w:szCs w:val="20"/>
              </w:rPr>
              <w:t>-24</w:t>
            </w:r>
          </w:p>
        </w:tc>
        <w:tc>
          <w:tcPr>
            <w:tcW w:w="1160" w:type="dxa"/>
            <w:tcBorders>
              <w:top w:val="nil"/>
              <w:bottom w:val="nil"/>
            </w:tcBorders>
          </w:tcPr>
          <w:p w14:paraId="5385CB0E" w14:textId="0F4741D9" w:rsidR="004E3D8E" w:rsidRPr="004C78D8" w:rsidRDefault="00EA63E8" w:rsidP="00FB7C1F">
            <w:pPr>
              <w:jc w:val="center"/>
              <w:rPr>
                <w:sz w:val="20"/>
                <w:szCs w:val="20"/>
              </w:rPr>
            </w:pPr>
            <w:r w:rsidRPr="004C78D8">
              <w:rPr>
                <w:sz w:val="20"/>
                <w:szCs w:val="20"/>
              </w:rPr>
              <w:t>37</w:t>
            </w:r>
            <w:r w:rsidR="00736317" w:rsidRPr="004C78D8">
              <w:rPr>
                <w:sz w:val="20"/>
                <w:szCs w:val="20"/>
              </w:rPr>
              <w:t xml:space="preserve"> (=11)</w:t>
            </w:r>
          </w:p>
        </w:tc>
      </w:tr>
      <w:tr w:rsidR="004E3D8E" w:rsidRPr="004C78D8" w14:paraId="71A444C8" w14:textId="4ECBB6CB" w:rsidTr="00A1003D">
        <w:tc>
          <w:tcPr>
            <w:tcW w:w="554" w:type="dxa"/>
            <w:tcBorders>
              <w:top w:val="nil"/>
              <w:bottom w:val="nil"/>
            </w:tcBorders>
          </w:tcPr>
          <w:p w14:paraId="3C902814" w14:textId="55AF537C" w:rsidR="004E3D8E" w:rsidRPr="004C78D8" w:rsidRDefault="004E3D8E" w:rsidP="00FB7C1F">
            <w:pPr>
              <w:rPr>
                <w:sz w:val="20"/>
                <w:szCs w:val="20"/>
              </w:rPr>
            </w:pPr>
            <w:r w:rsidRPr="004C78D8">
              <w:rPr>
                <w:sz w:val="18"/>
                <w:szCs w:val="18"/>
              </w:rPr>
              <w:t>[7]</w:t>
            </w:r>
          </w:p>
        </w:tc>
        <w:tc>
          <w:tcPr>
            <w:tcW w:w="2913" w:type="dxa"/>
            <w:tcBorders>
              <w:top w:val="nil"/>
              <w:bottom w:val="nil"/>
            </w:tcBorders>
          </w:tcPr>
          <w:p w14:paraId="015E5652" w14:textId="42229AAE" w:rsidR="004E3D8E" w:rsidRPr="004C78D8" w:rsidRDefault="004E3D8E" w:rsidP="00FB7C1F">
            <w:pPr>
              <w:rPr>
                <w:sz w:val="20"/>
                <w:szCs w:val="20"/>
              </w:rPr>
            </w:pPr>
            <w:r w:rsidRPr="004C78D8">
              <w:rPr>
                <w:sz w:val="18"/>
                <w:szCs w:val="18"/>
              </w:rPr>
              <w:t>CRC(4) + 3</w:t>
            </w:r>
            <w:r w:rsidRPr="004C78D8">
              <w:rPr>
                <w:sz w:val="18"/>
                <w:szCs w:val="18"/>
                <w:vertAlign w:val="superscript"/>
              </w:rPr>
              <w:t>rd</w:t>
            </w:r>
            <w:r w:rsidRPr="004C78D8">
              <w:rPr>
                <w:sz w:val="18"/>
                <w:szCs w:val="18"/>
              </w:rPr>
              <w:t>/4</w:t>
            </w:r>
            <w:r w:rsidRPr="004C78D8">
              <w:rPr>
                <w:sz w:val="18"/>
                <w:szCs w:val="18"/>
                <w:vertAlign w:val="superscript"/>
              </w:rPr>
              <w:t>th</w:t>
            </w:r>
            <w:r w:rsidRPr="004C78D8">
              <w:rPr>
                <w:sz w:val="18"/>
                <w:szCs w:val="18"/>
              </w:rPr>
              <w:t xml:space="preserve"> SES FRS</w:t>
            </w:r>
          </w:p>
        </w:tc>
        <w:tc>
          <w:tcPr>
            <w:tcW w:w="1415" w:type="dxa"/>
            <w:tcBorders>
              <w:top w:val="nil"/>
              <w:bottom w:val="nil"/>
            </w:tcBorders>
          </w:tcPr>
          <w:p w14:paraId="1B222D1B" w14:textId="1E41C3B7" w:rsidR="004E3D8E" w:rsidRPr="004C78D8" w:rsidRDefault="004E3D8E" w:rsidP="00FB7C1F">
            <w:pPr>
              <w:jc w:val="center"/>
              <w:rPr>
                <w:sz w:val="20"/>
                <w:szCs w:val="20"/>
              </w:rPr>
            </w:pPr>
            <w:r w:rsidRPr="004C78D8">
              <w:rPr>
                <w:sz w:val="20"/>
                <w:szCs w:val="20"/>
              </w:rPr>
              <w:t>14</w:t>
            </w:r>
          </w:p>
        </w:tc>
        <w:tc>
          <w:tcPr>
            <w:tcW w:w="1466" w:type="dxa"/>
            <w:tcBorders>
              <w:top w:val="nil"/>
              <w:bottom w:val="nil"/>
            </w:tcBorders>
          </w:tcPr>
          <w:p w14:paraId="092929D3" w14:textId="2383FC81" w:rsidR="004E3D8E" w:rsidRPr="004C78D8" w:rsidRDefault="004E3D8E" w:rsidP="00FB7C1F">
            <w:pPr>
              <w:jc w:val="center"/>
              <w:rPr>
                <w:sz w:val="20"/>
                <w:szCs w:val="20"/>
              </w:rPr>
            </w:pPr>
            <w:r w:rsidRPr="004C78D8">
              <w:rPr>
                <w:sz w:val="20"/>
                <w:szCs w:val="20"/>
              </w:rPr>
              <w:t>5</w:t>
            </w:r>
          </w:p>
        </w:tc>
        <w:tc>
          <w:tcPr>
            <w:tcW w:w="1328" w:type="dxa"/>
            <w:tcBorders>
              <w:top w:val="nil"/>
              <w:bottom w:val="nil"/>
            </w:tcBorders>
          </w:tcPr>
          <w:p w14:paraId="0B36276F" w14:textId="67459986" w:rsidR="004E3D8E" w:rsidRPr="004C78D8" w:rsidRDefault="004E3D8E" w:rsidP="00FB7C1F">
            <w:pPr>
              <w:jc w:val="center"/>
              <w:rPr>
                <w:sz w:val="20"/>
                <w:szCs w:val="20"/>
              </w:rPr>
            </w:pPr>
            <w:r w:rsidRPr="004C78D8">
              <w:rPr>
                <w:sz w:val="20"/>
                <w:szCs w:val="20"/>
              </w:rPr>
              <w:t>7</w:t>
            </w:r>
          </w:p>
        </w:tc>
        <w:tc>
          <w:tcPr>
            <w:tcW w:w="1221" w:type="dxa"/>
            <w:tcBorders>
              <w:top w:val="nil"/>
              <w:bottom w:val="nil"/>
            </w:tcBorders>
          </w:tcPr>
          <w:p w14:paraId="379389C1" w14:textId="2FF84BC5" w:rsidR="004E3D8E" w:rsidRPr="004C78D8" w:rsidRDefault="004E3D8E" w:rsidP="00FB7C1F">
            <w:pPr>
              <w:jc w:val="center"/>
              <w:rPr>
                <w:sz w:val="20"/>
                <w:szCs w:val="20"/>
              </w:rPr>
            </w:pPr>
            <w:r w:rsidRPr="004C78D8">
              <w:rPr>
                <w:sz w:val="20"/>
                <w:szCs w:val="20"/>
              </w:rPr>
              <w:t>1</w:t>
            </w:r>
          </w:p>
        </w:tc>
        <w:tc>
          <w:tcPr>
            <w:tcW w:w="1272" w:type="dxa"/>
            <w:tcBorders>
              <w:top w:val="nil"/>
              <w:bottom w:val="nil"/>
            </w:tcBorders>
          </w:tcPr>
          <w:p w14:paraId="32188AB1" w14:textId="737F6AD2" w:rsidR="004E3D8E" w:rsidRPr="004C78D8" w:rsidRDefault="004E3D8E" w:rsidP="00FB7C1F">
            <w:pPr>
              <w:jc w:val="center"/>
              <w:rPr>
                <w:sz w:val="20"/>
                <w:szCs w:val="20"/>
              </w:rPr>
            </w:pPr>
            <w:r w:rsidRPr="004C78D8">
              <w:rPr>
                <w:sz w:val="20"/>
                <w:szCs w:val="20"/>
              </w:rPr>
              <w:t>-6</w:t>
            </w:r>
          </w:p>
        </w:tc>
        <w:tc>
          <w:tcPr>
            <w:tcW w:w="1239" w:type="dxa"/>
            <w:tcBorders>
              <w:top w:val="nil"/>
              <w:bottom w:val="nil"/>
            </w:tcBorders>
          </w:tcPr>
          <w:p w14:paraId="728D74BA" w14:textId="0C4AEE00" w:rsidR="004E3D8E" w:rsidRPr="004C78D8" w:rsidRDefault="001B2E9E" w:rsidP="00FB7C1F">
            <w:pPr>
              <w:jc w:val="center"/>
              <w:rPr>
                <w:sz w:val="20"/>
                <w:szCs w:val="20"/>
              </w:rPr>
            </w:pPr>
            <w:r w:rsidRPr="004C78D8">
              <w:rPr>
                <w:sz w:val="20"/>
                <w:szCs w:val="20"/>
              </w:rPr>
              <w:t>-7</w:t>
            </w:r>
          </w:p>
        </w:tc>
        <w:tc>
          <w:tcPr>
            <w:tcW w:w="1272" w:type="dxa"/>
            <w:tcBorders>
              <w:top w:val="nil"/>
              <w:bottom w:val="nil"/>
            </w:tcBorders>
          </w:tcPr>
          <w:p w14:paraId="37C3E7E6" w14:textId="616AAD39" w:rsidR="004E3D8E" w:rsidRPr="004C78D8" w:rsidRDefault="001B2E9E" w:rsidP="00FB7C1F">
            <w:pPr>
              <w:jc w:val="center"/>
              <w:rPr>
                <w:sz w:val="20"/>
                <w:szCs w:val="20"/>
              </w:rPr>
            </w:pPr>
            <w:r w:rsidRPr="004C78D8">
              <w:rPr>
                <w:sz w:val="20"/>
                <w:szCs w:val="20"/>
              </w:rPr>
              <w:t>-9</w:t>
            </w:r>
          </w:p>
        </w:tc>
        <w:tc>
          <w:tcPr>
            <w:tcW w:w="1160" w:type="dxa"/>
            <w:tcBorders>
              <w:top w:val="nil"/>
              <w:bottom w:val="nil"/>
            </w:tcBorders>
          </w:tcPr>
          <w:p w14:paraId="78307A5C" w14:textId="694001BB" w:rsidR="004E3D8E" w:rsidRPr="004C78D8" w:rsidRDefault="00EA63E8" w:rsidP="00FB7C1F">
            <w:pPr>
              <w:jc w:val="center"/>
              <w:rPr>
                <w:sz w:val="20"/>
                <w:szCs w:val="20"/>
              </w:rPr>
            </w:pPr>
            <w:r w:rsidRPr="004C78D8">
              <w:rPr>
                <w:sz w:val="20"/>
                <w:szCs w:val="20"/>
              </w:rPr>
              <w:t>32</w:t>
            </w:r>
            <w:r w:rsidR="00736317" w:rsidRPr="004C78D8">
              <w:rPr>
                <w:sz w:val="20"/>
                <w:szCs w:val="20"/>
              </w:rPr>
              <w:t xml:space="preserve"> (13)</w:t>
            </w:r>
          </w:p>
        </w:tc>
      </w:tr>
      <w:tr w:rsidR="004E3D8E" w:rsidRPr="004C78D8" w14:paraId="793BBE37" w14:textId="76D31BD9" w:rsidTr="00A1003D">
        <w:tc>
          <w:tcPr>
            <w:tcW w:w="554" w:type="dxa"/>
            <w:tcBorders>
              <w:top w:val="nil"/>
              <w:bottom w:val="nil"/>
            </w:tcBorders>
          </w:tcPr>
          <w:p w14:paraId="21097F54" w14:textId="4494EEDC" w:rsidR="004E3D8E" w:rsidRPr="004C78D8" w:rsidRDefault="004E3D8E" w:rsidP="00FB7C1F">
            <w:pPr>
              <w:rPr>
                <w:sz w:val="20"/>
                <w:szCs w:val="20"/>
              </w:rPr>
            </w:pPr>
            <w:r w:rsidRPr="004C78D8">
              <w:rPr>
                <w:sz w:val="18"/>
                <w:szCs w:val="18"/>
              </w:rPr>
              <w:t>[8]</w:t>
            </w:r>
          </w:p>
        </w:tc>
        <w:tc>
          <w:tcPr>
            <w:tcW w:w="2913" w:type="dxa"/>
            <w:tcBorders>
              <w:top w:val="nil"/>
              <w:bottom w:val="nil"/>
            </w:tcBorders>
          </w:tcPr>
          <w:p w14:paraId="046689D8" w14:textId="209C4C1C" w:rsidR="004E3D8E" w:rsidRPr="004C78D8" w:rsidRDefault="004E3D8E" w:rsidP="00FB7C1F">
            <w:pPr>
              <w:rPr>
                <w:sz w:val="20"/>
                <w:szCs w:val="20"/>
              </w:rPr>
            </w:pPr>
            <w:r w:rsidRPr="004C78D8">
              <w:rPr>
                <w:sz w:val="18"/>
                <w:szCs w:val="18"/>
              </w:rPr>
              <w:t>CRC(4): falls risk targeting</w:t>
            </w:r>
          </w:p>
        </w:tc>
        <w:tc>
          <w:tcPr>
            <w:tcW w:w="1415" w:type="dxa"/>
            <w:tcBorders>
              <w:top w:val="nil"/>
              <w:bottom w:val="nil"/>
            </w:tcBorders>
          </w:tcPr>
          <w:p w14:paraId="6CC2CC27" w14:textId="5BFDF442" w:rsidR="004E3D8E" w:rsidRPr="004C78D8" w:rsidRDefault="004E3D8E" w:rsidP="00FB7C1F">
            <w:pPr>
              <w:jc w:val="center"/>
              <w:rPr>
                <w:sz w:val="20"/>
                <w:szCs w:val="20"/>
              </w:rPr>
            </w:pPr>
            <w:r w:rsidRPr="004C78D8">
              <w:rPr>
                <w:sz w:val="20"/>
                <w:szCs w:val="20"/>
              </w:rPr>
              <w:t>5</w:t>
            </w:r>
          </w:p>
        </w:tc>
        <w:tc>
          <w:tcPr>
            <w:tcW w:w="1466" w:type="dxa"/>
            <w:tcBorders>
              <w:top w:val="nil"/>
              <w:bottom w:val="nil"/>
            </w:tcBorders>
          </w:tcPr>
          <w:p w14:paraId="081EE636" w14:textId="197AA8A6" w:rsidR="004E3D8E" w:rsidRPr="004C78D8" w:rsidRDefault="004E3D8E" w:rsidP="00FB7C1F">
            <w:pPr>
              <w:jc w:val="center"/>
              <w:rPr>
                <w:sz w:val="20"/>
                <w:szCs w:val="20"/>
              </w:rPr>
            </w:pPr>
            <w:r w:rsidRPr="004C78D8">
              <w:rPr>
                <w:sz w:val="20"/>
                <w:szCs w:val="20"/>
              </w:rPr>
              <w:t>1</w:t>
            </w:r>
          </w:p>
        </w:tc>
        <w:tc>
          <w:tcPr>
            <w:tcW w:w="1328" w:type="dxa"/>
            <w:tcBorders>
              <w:top w:val="nil"/>
              <w:bottom w:val="nil"/>
            </w:tcBorders>
          </w:tcPr>
          <w:p w14:paraId="24726AC7" w14:textId="741FA7C8" w:rsidR="004E3D8E" w:rsidRPr="004C78D8" w:rsidRDefault="004E3D8E" w:rsidP="00FB7C1F">
            <w:pPr>
              <w:jc w:val="center"/>
              <w:rPr>
                <w:sz w:val="20"/>
                <w:szCs w:val="20"/>
              </w:rPr>
            </w:pPr>
            <w:r w:rsidRPr="004C78D8">
              <w:rPr>
                <w:sz w:val="20"/>
                <w:szCs w:val="20"/>
              </w:rPr>
              <w:t>9</w:t>
            </w:r>
          </w:p>
        </w:tc>
        <w:tc>
          <w:tcPr>
            <w:tcW w:w="1221" w:type="dxa"/>
            <w:tcBorders>
              <w:top w:val="nil"/>
              <w:bottom w:val="nil"/>
            </w:tcBorders>
          </w:tcPr>
          <w:p w14:paraId="547720DE" w14:textId="637F98C9" w:rsidR="004E3D8E" w:rsidRPr="004C78D8" w:rsidRDefault="004E3D8E" w:rsidP="00FB7C1F">
            <w:pPr>
              <w:jc w:val="center"/>
              <w:rPr>
                <w:sz w:val="20"/>
                <w:szCs w:val="20"/>
              </w:rPr>
            </w:pPr>
            <w:r w:rsidRPr="004C78D8">
              <w:rPr>
                <w:sz w:val="20"/>
                <w:szCs w:val="20"/>
              </w:rPr>
              <w:t>2</w:t>
            </w:r>
          </w:p>
        </w:tc>
        <w:tc>
          <w:tcPr>
            <w:tcW w:w="1272" w:type="dxa"/>
            <w:tcBorders>
              <w:top w:val="nil"/>
              <w:bottom w:val="nil"/>
            </w:tcBorders>
          </w:tcPr>
          <w:p w14:paraId="7934D6E9" w14:textId="6A8BC3B5" w:rsidR="004E3D8E" w:rsidRPr="004C78D8" w:rsidRDefault="004E3D8E" w:rsidP="00FB7C1F">
            <w:pPr>
              <w:jc w:val="center"/>
              <w:rPr>
                <w:sz w:val="20"/>
                <w:szCs w:val="20"/>
              </w:rPr>
            </w:pPr>
            <w:r w:rsidRPr="004C78D8">
              <w:rPr>
                <w:sz w:val="20"/>
                <w:szCs w:val="20"/>
              </w:rPr>
              <w:t>-6</w:t>
            </w:r>
          </w:p>
        </w:tc>
        <w:tc>
          <w:tcPr>
            <w:tcW w:w="1239" w:type="dxa"/>
            <w:tcBorders>
              <w:top w:val="nil"/>
              <w:bottom w:val="nil"/>
            </w:tcBorders>
          </w:tcPr>
          <w:p w14:paraId="7B25A8EB" w14:textId="06FDC6E5" w:rsidR="004E3D8E" w:rsidRPr="004C78D8" w:rsidRDefault="001B2E9E" w:rsidP="00FB7C1F">
            <w:pPr>
              <w:jc w:val="center"/>
              <w:rPr>
                <w:sz w:val="20"/>
                <w:szCs w:val="20"/>
              </w:rPr>
            </w:pPr>
            <w:r w:rsidRPr="004C78D8">
              <w:rPr>
                <w:sz w:val="20"/>
                <w:szCs w:val="20"/>
              </w:rPr>
              <w:t>-25</w:t>
            </w:r>
          </w:p>
        </w:tc>
        <w:tc>
          <w:tcPr>
            <w:tcW w:w="1272" w:type="dxa"/>
            <w:tcBorders>
              <w:top w:val="nil"/>
              <w:bottom w:val="nil"/>
            </w:tcBorders>
          </w:tcPr>
          <w:p w14:paraId="6ECE3E5F" w14:textId="14017F45" w:rsidR="004E3D8E" w:rsidRPr="004C78D8" w:rsidRDefault="001B2E9E" w:rsidP="00FB7C1F">
            <w:pPr>
              <w:jc w:val="center"/>
              <w:rPr>
                <w:sz w:val="20"/>
                <w:szCs w:val="20"/>
              </w:rPr>
            </w:pPr>
            <w:r w:rsidRPr="004C78D8">
              <w:rPr>
                <w:sz w:val="20"/>
                <w:szCs w:val="20"/>
              </w:rPr>
              <w:t>-27</w:t>
            </w:r>
          </w:p>
        </w:tc>
        <w:tc>
          <w:tcPr>
            <w:tcW w:w="1160" w:type="dxa"/>
            <w:tcBorders>
              <w:top w:val="nil"/>
              <w:bottom w:val="nil"/>
            </w:tcBorders>
          </w:tcPr>
          <w:p w14:paraId="1BE03A90" w14:textId="7930DC22" w:rsidR="004E3D8E" w:rsidRPr="004C78D8" w:rsidRDefault="00EA63E8" w:rsidP="00FB7C1F">
            <w:pPr>
              <w:jc w:val="center"/>
              <w:rPr>
                <w:sz w:val="20"/>
                <w:szCs w:val="20"/>
              </w:rPr>
            </w:pPr>
            <w:r w:rsidRPr="004C78D8">
              <w:rPr>
                <w:sz w:val="20"/>
                <w:szCs w:val="20"/>
              </w:rPr>
              <w:t>38</w:t>
            </w:r>
            <w:r w:rsidR="00736317" w:rsidRPr="004C78D8">
              <w:rPr>
                <w:sz w:val="20"/>
                <w:szCs w:val="20"/>
              </w:rPr>
              <w:t xml:space="preserve"> (10)</w:t>
            </w:r>
          </w:p>
        </w:tc>
      </w:tr>
      <w:tr w:rsidR="004E3D8E" w:rsidRPr="004C78D8" w14:paraId="79CA4EC7" w14:textId="04335AFE" w:rsidTr="00A1003D">
        <w:tc>
          <w:tcPr>
            <w:tcW w:w="554" w:type="dxa"/>
            <w:tcBorders>
              <w:top w:val="nil"/>
              <w:bottom w:val="nil"/>
            </w:tcBorders>
          </w:tcPr>
          <w:p w14:paraId="49D1B2CD" w14:textId="27208E03" w:rsidR="004E3D8E" w:rsidRPr="004C78D8" w:rsidRDefault="004E3D8E" w:rsidP="00FB7C1F">
            <w:pPr>
              <w:rPr>
                <w:sz w:val="20"/>
                <w:szCs w:val="20"/>
              </w:rPr>
            </w:pPr>
            <w:r w:rsidRPr="004C78D8">
              <w:rPr>
                <w:sz w:val="18"/>
                <w:szCs w:val="18"/>
              </w:rPr>
              <w:t>[9]</w:t>
            </w:r>
          </w:p>
        </w:tc>
        <w:tc>
          <w:tcPr>
            <w:tcW w:w="2913" w:type="dxa"/>
            <w:tcBorders>
              <w:top w:val="nil"/>
              <w:bottom w:val="nil"/>
            </w:tcBorders>
          </w:tcPr>
          <w:p w14:paraId="0CC53353" w14:textId="26F4D9A4" w:rsidR="004E3D8E" w:rsidRPr="004C78D8" w:rsidRDefault="004E3D8E" w:rsidP="00FB7C1F">
            <w:pPr>
              <w:rPr>
                <w:sz w:val="20"/>
                <w:szCs w:val="20"/>
              </w:rPr>
            </w:pPr>
            <w:r w:rsidRPr="004C78D8">
              <w:rPr>
                <w:sz w:val="18"/>
                <w:szCs w:val="18"/>
              </w:rPr>
              <w:t>CRC(4) + 3</w:t>
            </w:r>
            <w:r w:rsidRPr="004C78D8">
              <w:rPr>
                <w:sz w:val="18"/>
                <w:szCs w:val="18"/>
                <w:vertAlign w:val="superscript"/>
              </w:rPr>
              <w:t>rd</w:t>
            </w:r>
            <w:r w:rsidRPr="004C78D8">
              <w:rPr>
                <w:sz w:val="18"/>
                <w:szCs w:val="18"/>
              </w:rPr>
              <w:t>/4</w:t>
            </w:r>
            <w:r w:rsidRPr="004C78D8">
              <w:rPr>
                <w:sz w:val="18"/>
                <w:szCs w:val="18"/>
                <w:vertAlign w:val="superscript"/>
              </w:rPr>
              <w:t>th</w:t>
            </w:r>
            <w:r w:rsidRPr="004C78D8">
              <w:rPr>
                <w:sz w:val="18"/>
                <w:szCs w:val="18"/>
              </w:rPr>
              <w:t xml:space="preserve"> SES PA promote</w:t>
            </w:r>
          </w:p>
        </w:tc>
        <w:tc>
          <w:tcPr>
            <w:tcW w:w="1415" w:type="dxa"/>
            <w:tcBorders>
              <w:top w:val="nil"/>
              <w:bottom w:val="nil"/>
            </w:tcBorders>
          </w:tcPr>
          <w:p w14:paraId="044EAA42" w14:textId="1772702D" w:rsidR="004E3D8E" w:rsidRPr="004C78D8" w:rsidRDefault="004E3D8E" w:rsidP="00FB7C1F">
            <w:pPr>
              <w:jc w:val="center"/>
              <w:rPr>
                <w:sz w:val="20"/>
                <w:szCs w:val="20"/>
              </w:rPr>
            </w:pPr>
            <w:r w:rsidRPr="004C78D8">
              <w:rPr>
                <w:sz w:val="20"/>
                <w:szCs w:val="20"/>
              </w:rPr>
              <w:t>18</w:t>
            </w:r>
          </w:p>
        </w:tc>
        <w:tc>
          <w:tcPr>
            <w:tcW w:w="1466" w:type="dxa"/>
            <w:tcBorders>
              <w:top w:val="nil"/>
              <w:bottom w:val="nil"/>
            </w:tcBorders>
          </w:tcPr>
          <w:p w14:paraId="58E654CE" w14:textId="129894C0" w:rsidR="004E3D8E" w:rsidRPr="004C78D8" w:rsidRDefault="004E3D8E" w:rsidP="00FB7C1F">
            <w:pPr>
              <w:jc w:val="center"/>
              <w:rPr>
                <w:sz w:val="20"/>
                <w:szCs w:val="20"/>
              </w:rPr>
            </w:pPr>
            <w:r w:rsidRPr="004C78D8">
              <w:rPr>
                <w:sz w:val="20"/>
                <w:szCs w:val="20"/>
              </w:rPr>
              <w:t>11 (2)</w:t>
            </w:r>
          </w:p>
        </w:tc>
        <w:tc>
          <w:tcPr>
            <w:tcW w:w="1328" w:type="dxa"/>
            <w:tcBorders>
              <w:top w:val="nil"/>
              <w:bottom w:val="nil"/>
            </w:tcBorders>
          </w:tcPr>
          <w:p w14:paraId="175050D5" w14:textId="7D749864" w:rsidR="004E3D8E" w:rsidRPr="004C78D8" w:rsidRDefault="004E3D8E" w:rsidP="00FB7C1F">
            <w:pPr>
              <w:jc w:val="center"/>
              <w:rPr>
                <w:sz w:val="20"/>
                <w:szCs w:val="20"/>
              </w:rPr>
            </w:pPr>
            <w:r w:rsidRPr="004C78D8">
              <w:rPr>
                <w:sz w:val="20"/>
                <w:szCs w:val="20"/>
              </w:rPr>
              <w:t>7</w:t>
            </w:r>
          </w:p>
        </w:tc>
        <w:tc>
          <w:tcPr>
            <w:tcW w:w="1221" w:type="dxa"/>
            <w:tcBorders>
              <w:top w:val="nil"/>
              <w:bottom w:val="nil"/>
            </w:tcBorders>
          </w:tcPr>
          <w:p w14:paraId="7F39C7BA" w14:textId="15F1AEBC" w:rsidR="004E3D8E" w:rsidRPr="004C78D8" w:rsidRDefault="004E3D8E" w:rsidP="00FB7C1F">
            <w:pPr>
              <w:jc w:val="center"/>
              <w:rPr>
                <w:sz w:val="20"/>
                <w:szCs w:val="20"/>
              </w:rPr>
            </w:pPr>
            <w:r w:rsidRPr="004C78D8">
              <w:rPr>
                <w:sz w:val="20"/>
                <w:szCs w:val="20"/>
              </w:rPr>
              <w:t>-5</w:t>
            </w:r>
          </w:p>
        </w:tc>
        <w:tc>
          <w:tcPr>
            <w:tcW w:w="1272" w:type="dxa"/>
            <w:tcBorders>
              <w:top w:val="nil"/>
              <w:bottom w:val="nil"/>
            </w:tcBorders>
          </w:tcPr>
          <w:p w14:paraId="66B02E4B" w14:textId="50362266" w:rsidR="004E3D8E" w:rsidRPr="004C78D8" w:rsidRDefault="004E3D8E" w:rsidP="00FB7C1F">
            <w:pPr>
              <w:jc w:val="center"/>
              <w:rPr>
                <w:sz w:val="20"/>
                <w:szCs w:val="20"/>
              </w:rPr>
            </w:pPr>
            <w:r w:rsidRPr="004C78D8">
              <w:rPr>
                <w:sz w:val="20"/>
                <w:szCs w:val="20"/>
              </w:rPr>
              <w:t>-12 (=3)</w:t>
            </w:r>
          </w:p>
        </w:tc>
        <w:tc>
          <w:tcPr>
            <w:tcW w:w="1239" w:type="dxa"/>
            <w:tcBorders>
              <w:top w:val="nil"/>
              <w:bottom w:val="nil"/>
            </w:tcBorders>
          </w:tcPr>
          <w:p w14:paraId="0FECD9AD" w14:textId="296E9B2D" w:rsidR="004E3D8E" w:rsidRPr="004C78D8" w:rsidRDefault="001B2E9E" w:rsidP="00FB7C1F">
            <w:pPr>
              <w:jc w:val="center"/>
              <w:rPr>
                <w:sz w:val="20"/>
                <w:szCs w:val="20"/>
              </w:rPr>
            </w:pPr>
            <w:r w:rsidRPr="004C78D8">
              <w:rPr>
                <w:sz w:val="20"/>
                <w:szCs w:val="20"/>
              </w:rPr>
              <w:t>-22</w:t>
            </w:r>
          </w:p>
        </w:tc>
        <w:tc>
          <w:tcPr>
            <w:tcW w:w="1272" w:type="dxa"/>
            <w:tcBorders>
              <w:top w:val="nil"/>
              <w:bottom w:val="nil"/>
            </w:tcBorders>
          </w:tcPr>
          <w:p w14:paraId="0C6780F1" w14:textId="17928C36" w:rsidR="004E3D8E" w:rsidRPr="004C78D8" w:rsidRDefault="001B2E9E" w:rsidP="00FB7C1F">
            <w:pPr>
              <w:jc w:val="center"/>
              <w:rPr>
                <w:sz w:val="20"/>
                <w:szCs w:val="20"/>
              </w:rPr>
            </w:pPr>
            <w:r w:rsidRPr="004C78D8">
              <w:rPr>
                <w:sz w:val="20"/>
                <w:szCs w:val="20"/>
              </w:rPr>
              <w:t>-24</w:t>
            </w:r>
          </w:p>
        </w:tc>
        <w:tc>
          <w:tcPr>
            <w:tcW w:w="1160" w:type="dxa"/>
            <w:tcBorders>
              <w:top w:val="nil"/>
              <w:bottom w:val="nil"/>
            </w:tcBorders>
          </w:tcPr>
          <w:p w14:paraId="413669FC" w14:textId="5061D71B" w:rsidR="004E3D8E" w:rsidRPr="004C78D8" w:rsidRDefault="00EA63E8" w:rsidP="00FB7C1F">
            <w:pPr>
              <w:jc w:val="center"/>
              <w:rPr>
                <w:sz w:val="20"/>
                <w:szCs w:val="20"/>
              </w:rPr>
            </w:pPr>
            <w:r w:rsidRPr="004C78D8">
              <w:rPr>
                <w:sz w:val="20"/>
                <w:szCs w:val="20"/>
              </w:rPr>
              <w:t>63</w:t>
            </w:r>
            <w:r w:rsidR="00736317" w:rsidRPr="004C78D8">
              <w:rPr>
                <w:sz w:val="20"/>
                <w:szCs w:val="20"/>
              </w:rPr>
              <w:t xml:space="preserve"> (5)</w:t>
            </w:r>
          </w:p>
        </w:tc>
      </w:tr>
      <w:tr w:rsidR="004E3D8E" w:rsidRPr="004C78D8" w14:paraId="45CA4667" w14:textId="5F8CCCB9" w:rsidTr="00A1003D">
        <w:tc>
          <w:tcPr>
            <w:tcW w:w="554" w:type="dxa"/>
            <w:tcBorders>
              <w:top w:val="nil"/>
              <w:bottom w:val="nil"/>
            </w:tcBorders>
          </w:tcPr>
          <w:p w14:paraId="4F76C4AE" w14:textId="1A4E262C" w:rsidR="004E3D8E" w:rsidRPr="004C78D8" w:rsidRDefault="004E3D8E" w:rsidP="00FB7C1F">
            <w:pPr>
              <w:rPr>
                <w:sz w:val="20"/>
                <w:szCs w:val="20"/>
              </w:rPr>
            </w:pPr>
            <w:r w:rsidRPr="004C78D8">
              <w:rPr>
                <w:sz w:val="18"/>
                <w:szCs w:val="18"/>
              </w:rPr>
              <w:t>[10]</w:t>
            </w:r>
          </w:p>
        </w:tc>
        <w:tc>
          <w:tcPr>
            <w:tcW w:w="2913" w:type="dxa"/>
            <w:tcBorders>
              <w:top w:val="nil"/>
              <w:bottom w:val="nil"/>
            </w:tcBorders>
          </w:tcPr>
          <w:p w14:paraId="1A641ECE" w14:textId="431B254D" w:rsidR="004E3D8E" w:rsidRPr="004C78D8" w:rsidRDefault="004E3D8E" w:rsidP="00FB7C1F">
            <w:pPr>
              <w:rPr>
                <w:sz w:val="20"/>
                <w:szCs w:val="20"/>
              </w:rPr>
            </w:pPr>
            <w:r w:rsidRPr="004C78D8">
              <w:rPr>
                <w:sz w:val="18"/>
                <w:szCs w:val="18"/>
              </w:rPr>
              <w:t>CRC(4) + SR demand 20% increase</w:t>
            </w:r>
          </w:p>
        </w:tc>
        <w:tc>
          <w:tcPr>
            <w:tcW w:w="1415" w:type="dxa"/>
            <w:tcBorders>
              <w:top w:val="nil"/>
              <w:bottom w:val="nil"/>
            </w:tcBorders>
          </w:tcPr>
          <w:p w14:paraId="0DFE8547" w14:textId="1C462F17" w:rsidR="004E3D8E" w:rsidRPr="004C78D8" w:rsidRDefault="004E3D8E" w:rsidP="00FB7C1F">
            <w:pPr>
              <w:jc w:val="center"/>
              <w:rPr>
                <w:sz w:val="20"/>
                <w:szCs w:val="20"/>
              </w:rPr>
            </w:pPr>
            <w:r w:rsidRPr="004C78D8">
              <w:rPr>
                <w:sz w:val="20"/>
                <w:szCs w:val="20"/>
              </w:rPr>
              <w:t>6</w:t>
            </w:r>
          </w:p>
        </w:tc>
        <w:tc>
          <w:tcPr>
            <w:tcW w:w="1466" w:type="dxa"/>
            <w:tcBorders>
              <w:top w:val="nil"/>
              <w:bottom w:val="nil"/>
            </w:tcBorders>
          </w:tcPr>
          <w:p w14:paraId="784BB05C" w14:textId="6EF4003F" w:rsidR="004E3D8E" w:rsidRPr="004C78D8" w:rsidRDefault="004E3D8E" w:rsidP="00FB7C1F">
            <w:pPr>
              <w:jc w:val="center"/>
              <w:rPr>
                <w:sz w:val="20"/>
                <w:szCs w:val="20"/>
              </w:rPr>
            </w:pPr>
            <w:r w:rsidRPr="004C78D8">
              <w:rPr>
                <w:sz w:val="20"/>
                <w:szCs w:val="20"/>
              </w:rPr>
              <w:t>1</w:t>
            </w:r>
          </w:p>
        </w:tc>
        <w:tc>
          <w:tcPr>
            <w:tcW w:w="1328" w:type="dxa"/>
            <w:tcBorders>
              <w:top w:val="nil"/>
              <w:bottom w:val="nil"/>
            </w:tcBorders>
          </w:tcPr>
          <w:p w14:paraId="0AB9A2C6" w14:textId="7D073487" w:rsidR="004E3D8E" w:rsidRPr="004C78D8" w:rsidRDefault="004E3D8E" w:rsidP="00FB7C1F">
            <w:pPr>
              <w:jc w:val="center"/>
              <w:rPr>
                <w:sz w:val="20"/>
                <w:szCs w:val="20"/>
              </w:rPr>
            </w:pPr>
            <w:r w:rsidRPr="004C78D8">
              <w:rPr>
                <w:sz w:val="20"/>
                <w:szCs w:val="20"/>
              </w:rPr>
              <w:t>4</w:t>
            </w:r>
          </w:p>
        </w:tc>
        <w:tc>
          <w:tcPr>
            <w:tcW w:w="1221" w:type="dxa"/>
            <w:tcBorders>
              <w:top w:val="nil"/>
              <w:bottom w:val="nil"/>
            </w:tcBorders>
          </w:tcPr>
          <w:p w14:paraId="0EA64865" w14:textId="042160EF" w:rsidR="004E3D8E" w:rsidRPr="004C78D8" w:rsidRDefault="004E3D8E" w:rsidP="00FB7C1F">
            <w:pPr>
              <w:jc w:val="center"/>
              <w:rPr>
                <w:sz w:val="20"/>
                <w:szCs w:val="20"/>
              </w:rPr>
            </w:pPr>
            <w:r w:rsidRPr="004C78D8">
              <w:rPr>
                <w:sz w:val="20"/>
                <w:szCs w:val="20"/>
              </w:rPr>
              <w:t>-5</w:t>
            </w:r>
          </w:p>
        </w:tc>
        <w:tc>
          <w:tcPr>
            <w:tcW w:w="1272" w:type="dxa"/>
            <w:tcBorders>
              <w:top w:val="nil"/>
              <w:bottom w:val="nil"/>
            </w:tcBorders>
          </w:tcPr>
          <w:p w14:paraId="1C340297" w14:textId="72B1DBFB" w:rsidR="004E3D8E" w:rsidRPr="004C78D8" w:rsidRDefault="004E3D8E" w:rsidP="00FB7C1F">
            <w:pPr>
              <w:jc w:val="center"/>
              <w:rPr>
                <w:sz w:val="20"/>
                <w:szCs w:val="20"/>
              </w:rPr>
            </w:pPr>
            <w:r w:rsidRPr="004C78D8">
              <w:rPr>
                <w:sz w:val="20"/>
                <w:szCs w:val="20"/>
              </w:rPr>
              <w:t>-12 (=3)</w:t>
            </w:r>
          </w:p>
        </w:tc>
        <w:tc>
          <w:tcPr>
            <w:tcW w:w="1239" w:type="dxa"/>
            <w:tcBorders>
              <w:top w:val="nil"/>
              <w:bottom w:val="nil"/>
            </w:tcBorders>
          </w:tcPr>
          <w:p w14:paraId="125421AA" w14:textId="20B957BE" w:rsidR="004E3D8E" w:rsidRPr="004C78D8" w:rsidRDefault="001B2E9E" w:rsidP="00FB7C1F">
            <w:pPr>
              <w:jc w:val="center"/>
              <w:rPr>
                <w:sz w:val="20"/>
                <w:szCs w:val="20"/>
              </w:rPr>
            </w:pPr>
            <w:r w:rsidRPr="004C78D8">
              <w:rPr>
                <w:sz w:val="20"/>
                <w:szCs w:val="20"/>
              </w:rPr>
              <w:t>-20</w:t>
            </w:r>
          </w:p>
        </w:tc>
        <w:tc>
          <w:tcPr>
            <w:tcW w:w="1272" w:type="dxa"/>
            <w:tcBorders>
              <w:top w:val="nil"/>
              <w:bottom w:val="nil"/>
            </w:tcBorders>
          </w:tcPr>
          <w:p w14:paraId="409C432F" w14:textId="25CA4A80" w:rsidR="004E3D8E" w:rsidRPr="004C78D8" w:rsidRDefault="001B2E9E" w:rsidP="00FB7C1F">
            <w:pPr>
              <w:jc w:val="center"/>
              <w:rPr>
                <w:sz w:val="20"/>
                <w:szCs w:val="20"/>
              </w:rPr>
            </w:pPr>
            <w:r w:rsidRPr="004C78D8">
              <w:rPr>
                <w:sz w:val="20"/>
                <w:szCs w:val="20"/>
              </w:rPr>
              <w:t>-22</w:t>
            </w:r>
          </w:p>
        </w:tc>
        <w:tc>
          <w:tcPr>
            <w:tcW w:w="1160" w:type="dxa"/>
            <w:tcBorders>
              <w:top w:val="nil"/>
              <w:bottom w:val="nil"/>
            </w:tcBorders>
          </w:tcPr>
          <w:p w14:paraId="3796CFCA" w14:textId="2057D58B" w:rsidR="004E3D8E" w:rsidRPr="004C78D8" w:rsidRDefault="00EA63E8" w:rsidP="00FB7C1F">
            <w:pPr>
              <w:jc w:val="center"/>
              <w:rPr>
                <w:sz w:val="20"/>
                <w:szCs w:val="20"/>
              </w:rPr>
            </w:pPr>
            <w:r w:rsidRPr="004C78D8">
              <w:rPr>
                <w:sz w:val="20"/>
                <w:szCs w:val="20"/>
              </w:rPr>
              <w:t>35</w:t>
            </w:r>
            <w:r w:rsidR="00736317" w:rsidRPr="004C78D8">
              <w:rPr>
                <w:sz w:val="20"/>
                <w:szCs w:val="20"/>
              </w:rPr>
              <w:t xml:space="preserve"> (=12)</w:t>
            </w:r>
          </w:p>
        </w:tc>
      </w:tr>
      <w:tr w:rsidR="004E3D8E" w:rsidRPr="004C78D8" w14:paraId="2E35F4B5" w14:textId="2FAE5884" w:rsidTr="00A1003D">
        <w:tc>
          <w:tcPr>
            <w:tcW w:w="554" w:type="dxa"/>
            <w:tcBorders>
              <w:top w:val="nil"/>
              <w:bottom w:val="nil"/>
            </w:tcBorders>
          </w:tcPr>
          <w:p w14:paraId="0E2D0CD7" w14:textId="0372C11C" w:rsidR="004E3D8E" w:rsidRPr="004C78D8" w:rsidRDefault="004E3D8E" w:rsidP="00FB7C1F">
            <w:pPr>
              <w:rPr>
                <w:sz w:val="20"/>
                <w:szCs w:val="20"/>
              </w:rPr>
            </w:pPr>
            <w:r w:rsidRPr="004C78D8">
              <w:rPr>
                <w:sz w:val="18"/>
                <w:szCs w:val="18"/>
              </w:rPr>
              <w:t>[11]</w:t>
            </w:r>
          </w:p>
        </w:tc>
        <w:tc>
          <w:tcPr>
            <w:tcW w:w="2913" w:type="dxa"/>
            <w:tcBorders>
              <w:top w:val="nil"/>
              <w:bottom w:val="nil"/>
            </w:tcBorders>
          </w:tcPr>
          <w:p w14:paraId="7152452E" w14:textId="6467033F" w:rsidR="004E3D8E" w:rsidRPr="004C78D8" w:rsidRDefault="004E3D8E" w:rsidP="00FB7C1F">
            <w:pPr>
              <w:rPr>
                <w:sz w:val="20"/>
                <w:szCs w:val="20"/>
              </w:rPr>
            </w:pPr>
            <w:r w:rsidRPr="004C78D8">
              <w:rPr>
                <w:sz w:val="18"/>
                <w:szCs w:val="18"/>
              </w:rPr>
              <w:t>CRC(4) + FRS for 50%</w:t>
            </w:r>
          </w:p>
        </w:tc>
        <w:tc>
          <w:tcPr>
            <w:tcW w:w="1415" w:type="dxa"/>
            <w:tcBorders>
              <w:top w:val="nil"/>
              <w:bottom w:val="nil"/>
            </w:tcBorders>
          </w:tcPr>
          <w:p w14:paraId="7C34F4F0" w14:textId="4B89366F" w:rsidR="004E3D8E" w:rsidRPr="004C78D8" w:rsidRDefault="004E3D8E" w:rsidP="00FB7C1F">
            <w:pPr>
              <w:jc w:val="center"/>
              <w:rPr>
                <w:sz w:val="20"/>
                <w:szCs w:val="20"/>
              </w:rPr>
            </w:pPr>
            <w:r w:rsidRPr="004C78D8">
              <w:rPr>
                <w:sz w:val="20"/>
                <w:szCs w:val="20"/>
              </w:rPr>
              <w:t>9</w:t>
            </w:r>
          </w:p>
        </w:tc>
        <w:tc>
          <w:tcPr>
            <w:tcW w:w="1466" w:type="dxa"/>
            <w:tcBorders>
              <w:top w:val="nil"/>
              <w:bottom w:val="nil"/>
            </w:tcBorders>
          </w:tcPr>
          <w:p w14:paraId="16A58583" w14:textId="21BA67CD" w:rsidR="004E3D8E" w:rsidRPr="004C78D8" w:rsidRDefault="004E3D8E" w:rsidP="00FB7C1F">
            <w:pPr>
              <w:jc w:val="center"/>
              <w:rPr>
                <w:sz w:val="20"/>
                <w:szCs w:val="20"/>
              </w:rPr>
            </w:pPr>
            <w:r w:rsidRPr="004C78D8">
              <w:rPr>
                <w:sz w:val="20"/>
                <w:szCs w:val="20"/>
              </w:rPr>
              <w:t>1</w:t>
            </w:r>
          </w:p>
        </w:tc>
        <w:tc>
          <w:tcPr>
            <w:tcW w:w="1328" w:type="dxa"/>
            <w:tcBorders>
              <w:top w:val="nil"/>
              <w:bottom w:val="nil"/>
            </w:tcBorders>
          </w:tcPr>
          <w:p w14:paraId="66FFC2D6" w14:textId="49086564" w:rsidR="004E3D8E" w:rsidRPr="004C78D8" w:rsidRDefault="004E3D8E" w:rsidP="00FB7C1F">
            <w:pPr>
              <w:jc w:val="center"/>
              <w:rPr>
                <w:sz w:val="20"/>
                <w:szCs w:val="20"/>
              </w:rPr>
            </w:pPr>
            <w:r w:rsidRPr="004C78D8">
              <w:rPr>
                <w:sz w:val="20"/>
                <w:szCs w:val="20"/>
              </w:rPr>
              <w:t>16 (=3)</w:t>
            </w:r>
          </w:p>
        </w:tc>
        <w:tc>
          <w:tcPr>
            <w:tcW w:w="1221" w:type="dxa"/>
            <w:tcBorders>
              <w:top w:val="nil"/>
              <w:bottom w:val="nil"/>
            </w:tcBorders>
          </w:tcPr>
          <w:p w14:paraId="7CE27A2F" w14:textId="09C29B27" w:rsidR="004E3D8E" w:rsidRPr="004C78D8" w:rsidRDefault="004E3D8E" w:rsidP="00FB7C1F">
            <w:pPr>
              <w:jc w:val="center"/>
              <w:rPr>
                <w:sz w:val="20"/>
                <w:szCs w:val="20"/>
              </w:rPr>
            </w:pPr>
            <w:r w:rsidRPr="004C78D8">
              <w:rPr>
                <w:sz w:val="20"/>
                <w:szCs w:val="20"/>
              </w:rPr>
              <w:t>-10 (1)</w:t>
            </w:r>
          </w:p>
        </w:tc>
        <w:tc>
          <w:tcPr>
            <w:tcW w:w="1272" w:type="dxa"/>
            <w:tcBorders>
              <w:top w:val="nil"/>
              <w:bottom w:val="nil"/>
            </w:tcBorders>
          </w:tcPr>
          <w:p w14:paraId="1776533D" w14:textId="6D6CE739" w:rsidR="004E3D8E" w:rsidRPr="004C78D8" w:rsidRDefault="004E3D8E" w:rsidP="00FB7C1F">
            <w:pPr>
              <w:jc w:val="center"/>
              <w:rPr>
                <w:sz w:val="20"/>
                <w:szCs w:val="20"/>
              </w:rPr>
            </w:pPr>
            <w:r w:rsidRPr="004C78D8">
              <w:rPr>
                <w:sz w:val="20"/>
                <w:szCs w:val="20"/>
              </w:rPr>
              <w:t>-19 (1)</w:t>
            </w:r>
          </w:p>
        </w:tc>
        <w:tc>
          <w:tcPr>
            <w:tcW w:w="1239" w:type="dxa"/>
            <w:tcBorders>
              <w:top w:val="nil"/>
              <w:bottom w:val="nil"/>
            </w:tcBorders>
          </w:tcPr>
          <w:p w14:paraId="31640FDF" w14:textId="55601A44" w:rsidR="004E3D8E" w:rsidRPr="004C78D8" w:rsidRDefault="001B2E9E" w:rsidP="00FB7C1F">
            <w:pPr>
              <w:jc w:val="center"/>
              <w:rPr>
                <w:sz w:val="20"/>
                <w:szCs w:val="20"/>
              </w:rPr>
            </w:pPr>
            <w:r w:rsidRPr="004C78D8">
              <w:rPr>
                <w:sz w:val="20"/>
                <w:szCs w:val="20"/>
              </w:rPr>
              <w:t>-18</w:t>
            </w:r>
          </w:p>
        </w:tc>
        <w:tc>
          <w:tcPr>
            <w:tcW w:w="1272" w:type="dxa"/>
            <w:tcBorders>
              <w:top w:val="nil"/>
              <w:bottom w:val="nil"/>
            </w:tcBorders>
          </w:tcPr>
          <w:p w14:paraId="66C1A724" w14:textId="02EDCC0A" w:rsidR="004E3D8E" w:rsidRPr="004C78D8" w:rsidRDefault="001B2E9E" w:rsidP="00FB7C1F">
            <w:pPr>
              <w:jc w:val="center"/>
              <w:rPr>
                <w:sz w:val="20"/>
                <w:szCs w:val="20"/>
              </w:rPr>
            </w:pPr>
            <w:r w:rsidRPr="004C78D8">
              <w:rPr>
                <w:sz w:val="20"/>
                <w:szCs w:val="20"/>
              </w:rPr>
              <w:t>-21</w:t>
            </w:r>
          </w:p>
        </w:tc>
        <w:tc>
          <w:tcPr>
            <w:tcW w:w="1160" w:type="dxa"/>
            <w:tcBorders>
              <w:top w:val="nil"/>
              <w:bottom w:val="nil"/>
            </w:tcBorders>
          </w:tcPr>
          <w:p w14:paraId="4E869B84" w14:textId="29E14B2A" w:rsidR="004E3D8E" w:rsidRPr="004C78D8" w:rsidRDefault="00EA63E8" w:rsidP="00FB7C1F">
            <w:pPr>
              <w:jc w:val="center"/>
              <w:rPr>
                <w:sz w:val="20"/>
                <w:szCs w:val="20"/>
              </w:rPr>
            </w:pPr>
            <w:r w:rsidRPr="004C78D8">
              <w:rPr>
                <w:sz w:val="20"/>
                <w:szCs w:val="20"/>
              </w:rPr>
              <w:t>54</w:t>
            </w:r>
            <w:r w:rsidR="00736317" w:rsidRPr="004C78D8">
              <w:rPr>
                <w:sz w:val="20"/>
                <w:szCs w:val="20"/>
              </w:rPr>
              <w:t xml:space="preserve"> (7)</w:t>
            </w:r>
          </w:p>
        </w:tc>
      </w:tr>
      <w:tr w:rsidR="004E3D8E" w:rsidRPr="004C78D8" w14:paraId="520246FC" w14:textId="1D08EF72" w:rsidTr="00A1003D">
        <w:tc>
          <w:tcPr>
            <w:tcW w:w="554" w:type="dxa"/>
            <w:tcBorders>
              <w:top w:val="nil"/>
              <w:bottom w:val="nil"/>
            </w:tcBorders>
          </w:tcPr>
          <w:p w14:paraId="25767546" w14:textId="5EF46AF1" w:rsidR="004E3D8E" w:rsidRPr="004C78D8" w:rsidRDefault="004E3D8E" w:rsidP="00FB7C1F">
            <w:pPr>
              <w:rPr>
                <w:sz w:val="20"/>
                <w:szCs w:val="20"/>
              </w:rPr>
            </w:pPr>
            <w:r w:rsidRPr="004C78D8">
              <w:rPr>
                <w:sz w:val="18"/>
                <w:szCs w:val="18"/>
              </w:rPr>
              <w:t>[12]</w:t>
            </w:r>
          </w:p>
        </w:tc>
        <w:tc>
          <w:tcPr>
            <w:tcW w:w="2913" w:type="dxa"/>
            <w:tcBorders>
              <w:top w:val="nil"/>
              <w:bottom w:val="nil"/>
            </w:tcBorders>
          </w:tcPr>
          <w:p w14:paraId="4C7DB414" w14:textId="61B77E55" w:rsidR="004E3D8E" w:rsidRPr="004C78D8" w:rsidRDefault="004E3D8E" w:rsidP="00FB7C1F">
            <w:pPr>
              <w:rPr>
                <w:sz w:val="20"/>
                <w:szCs w:val="20"/>
              </w:rPr>
            </w:pPr>
            <w:r w:rsidRPr="004C78D8">
              <w:rPr>
                <w:sz w:val="18"/>
                <w:szCs w:val="18"/>
              </w:rPr>
              <w:t>CRC(1): random allocation</w:t>
            </w:r>
          </w:p>
        </w:tc>
        <w:tc>
          <w:tcPr>
            <w:tcW w:w="1415" w:type="dxa"/>
            <w:tcBorders>
              <w:top w:val="nil"/>
              <w:bottom w:val="nil"/>
            </w:tcBorders>
          </w:tcPr>
          <w:p w14:paraId="0D723F35" w14:textId="69FA1930" w:rsidR="004E3D8E" w:rsidRPr="004C78D8" w:rsidRDefault="004E3D8E" w:rsidP="00FB7C1F">
            <w:pPr>
              <w:jc w:val="center"/>
              <w:rPr>
                <w:sz w:val="20"/>
                <w:szCs w:val="20"/>
              </w:rPr>
            </w:pPr>
            <w:r w:rsidRPr="004C78D8">
              <w:rPr>
                <w:sz w:val="20"/>
                <w:szCs w:val="20"/>
              </w:rPr>
              <w:t>6</w:t>
            </w:r>
          </w:p>
        </w:tc>
        <w:tc>
          <w:tcPr>
            <w:tcW w:w="1466" w:type="dxa"/>
            <w:tcBorders>
              <w:top w:val="nil"/>
              <w:bottom w:val="nil"/>
            </w:tcBorders>
          </w:tcPr>
          <w:p w14:paraId="72EF82DB" w14:textId="072CE124" w:rsidR="004E3D8E" w:rsidRPr="004C78D8" w:rsidRDefault="004E3D8E" w:rsidP="00FB7C1F">
            <w:pPr>
              <w:jc w:val="center"/>
              <w:rPr>
                <w:sz w:val="20"/>
                <w:szCs w:val="20"/>
              </w:rPr>
            </w:pPr>
            <w:r w:rsidRPr="004C78D8">
              <w:rPr>
                <w:sz w:val="20"/>
                <w:szCs w:val="20"/>
              </w:rPr>
              <w:t>2</w:t>
            </w:r>
          </w:p>
        </w:tc>
        <w:tc>
          <w:tcPr>
            <w:tcW w:w="1328" w:type="dxa"/>
            <w:tcBorders>
              <w:top w:val="nil"/>
              <w:bottom w:val="nil"/>
            </w:tcBorders>
          </w:tcPr>
          <w:p w14:paraId="697C0B02" w14:textId="1FEBA3D3" w:rsidR="004E3D8E" w:rsidRPr="004C78D8" w:rsidRDefault="004E3D8E" w:rsidP="00FB7C1F">
            <w:pPr>
              <w:jc w:val="center"/>
              <w:rPr>
                <w:sz w:val="20"/>
                <w:szCs w:val="20"/>
              </w:rPr>
            </w:pPr>
            <w:r w:rsidRPr="004C78D8">
              <w:rPr>
                <w:sz w:val="20"/>
                <w:szCs w:val="20"/>
              </w:rPr>
              <w:t>10</w:t>
            </w:r>
          </w:p>
        </w:tc>
        <w:tc>
          <w:tcPr>
            <w:tcW w:w="1221" w:type="dxa"/>
            <w:tcBorders>
              <w:top w:val="nil"/>
              <w:bottom w:val="nil"/>
            </w:tcBorders>
          </w:tcPr>
          <w:p w14:paraId="56BF4AE1" w14:textId="51EED585" w:rsidR="004E3D8E" w:rsidRPr="004C78D8" w:rsidRDefault="004E3D8E" w:rsidP="00FB7C1F">
            <w:pPr>
              <w:jc w:val="center"/>
              <w:rPr>
                <w:sz w:val="20"/>
                <w:szCs w:val="20"/>
              </w:rPr>
            </w:pPr>
            <w:r w:rsidRPr="004C78D8">
              <w:rPr>
                <w:sz w:val="20"/>
                <w:szCs w:val="20"/>
              </w:rPr>
              <w:t>11</w:t>
            </w:r>
          </w:p>
        </w:tc>
        <w:tc>
          <w:tcPr>
            <w:tcW w:w="1272" w:type="dxa"/>
            <w:tcBorders>
              <w:top w:val="nil"/>
              <w:bottom w:val="nil"/>
            </w:tcBorders>
          </w:tcPr>
          <w:p w14:paraId="03A87CF3" w14:textId="040D7102" w:rsidR="004E3D8E" w:rsidRPr="004C78D8" w:rsidRDefault="004E3D8E" w:rsidP="00FB7C1F">
            <w:pPr>
              <w:jc w:val="center"/>
              <w:rPr>
                <w:sz w:val="20"/>
                <w:szCs w:val="20"/>
              </w:rPr>
            </w:pPr>
            <w:r w:rsidRPr="004C78D8">
              <w:rPr>
                <w:sz w:val="20"/>
                <w:szCs w:val="20"/>
              </w:rPr>
              <w:t>1</w:t>
            </w:r>
          </w:p>
        </w:tc>
        <w:tc>
          <w:tcPr>
            <w:tcW w:w="1239" w:type="dxa"/>
            <w:tcBorders>
              <w:top w:val="nil"/>
              <w:bottom w:val="nil"/>
            </w:tcBorders>
          </w:tcPr>
          <w:p w14:paraId="71CE1645" w14:textId="5AACE6F8" w:rsidR="004E3D8E" w:rsidRPr="004C78D8" w:rsidRDefault="001B2E9E" w:rsidP="00FB7C1F">
            <w:pPr>
              <w:jc w:val="center"/>
              <w:rPr>
                <w:sz w:val="20"/>
                <w:szCs w:val="20"/>
              </w:rPr>
            </w:pPr>
            <w:r w:rsidRPr="004C78D8">
              <w:rPr>
                <w:sz w:val="20"/>
                <w:szCs w:val="20"/>
              </w:rPr>
              <w:t>-22</w:t>
            </w:r>
          </w:p>
        </w:tc>
        <w:tc>
          <w:tcPr>
            <w:tcW w:w="1272" w:type="dxa"/>
            <w:tcBorders>
              <w:top w:val="nil"/>
              <w:bottom w:val="nil"/>
            </w:tcBorders>
          </w:tcPr>
          <w:p w14:paraId="0A39446A" w14:textId="3F3AFD31" w:rsidR="004E3D8E" w:rsidRPr="004C78D8" w:rsidRDefault="001B2E9E" w:rsidP="00FB7C1F">
            <w:pPr>
              <w:jc w:val="center"/>
              <w:rPr>
                <w:sz w:val="20"/>
                <w:szCs w:val="20"/>
              </w:rPr>
            </w:pPr>
            <w:r w:rsidRPr="004C78D8">
              <w:rPr>
                <w:sz w:val="20"/>
                <w:szCs w:val="20"/>
              </w:rPr>
              <w:t>-23</w:t>
            </w:r>
          </w:p>
        </w:tc>
        <w:tc>
          <w:tcPr>
            <w:tcW w:w="1160" w:type="dxa"/>
            <w:tcBorders>
              <w:top w:val="nil"/>
              <w:bottom w:val="nil"/>
            </w:tcBorders>
          </w:tcPr>
          <w:p w14:paraId="7AD6AFBE" w14:textId="2035B2D1" w:rsidR="004E3D8E" w:rsidRPr="004C78D8" w:rsidRDefault="00EA63E8" w:rsidP="00FB7C1F">
            <w:pPr>
              <w:jc w:val="center"/>
              <w:rPr>
                <w:sz w:val="20"/>
                <w:szCs w:val="20"/>
              </w:rPr>
            </w:pPr>
            <w:r w:rsidRPr="004C78D8">
              <w:rPr>
                <w:sz w:val="20"/>
                <w:szCs w:val="20"/>
              </w:rPr>
              <w:t>29</w:t>
            </w:r>
            <w:r w:rsidR="00736317" w:rsidRPr="004C78D8">
              <w:rPr>
                <w:sz w:val="20"/>
                <w:szCs w:val="20"/>
              </w:rPr>
              <w:t xml:space="preserve"> (15)</w:t>
            </w:r>
          </w:p>
        </w:tc>
      </w:tr>
      <w:tr w:rsidR="004E3D8E" w:rsidRPr="004C78D8" w14:paraId="0A8CC0F8" w14:textId="1921093B" w:rsidTr="00A1003D">
        <w:tc>
          <w:tcPr>
            <w:tcW w:w="554" w:type="dxa"/>
            <w:tcBorders>
              <w:top w:val="nil"/>
              <w:bottom w:val="nil"/>
            </w:tcBorders>
          </w:tcPr>
          <w:p w14:paraId="1A2146D1" w14:textId="57767A77" w:rsidR="004E3D8E" w:rsidRPr="004C78D8" w:rsidRDefault="004E3D8E" w:rsidP="00FB7C1F">
            <w:pPr>
              <w:rPr>
                <w:sz w:val="20"/>
                <w:szCs w:val="20"/>
              </w:rPr>
            </w:pPr>
            <w:r w:rsidRPr="004C78D8">
              <w:rPr>
                <w:sz w:val="18"/>
                <w:szCs w:val="18"/>
              </w:rPr>
              <w:t>[13]</w:t>
            </w:r>
          </w:p>
        </w:tc>
        <w:tc>
          <w:tcPr>
            <w:tcW w:w="2913" w:type="dxa"/>
            <w:tcBorders>
              <w:top w:val="nil"/>
              <w:bottom w:val="nil"/>
            </w:tcBorders>
          </w:tcPr>
          <w:p w14:paraId="09A66F82" w14:textId="7744FD2C" w:rsidR="004E3D8E" w:rsidRPr="004C78D8" w:rsidRDefault="004E3D8E" w:rsidP="00FB7C1F">
            <w:pPr>
              <w:rPr>
                <w:sz w:val="20"/>
                <w:szCs w:val="20"/>
              </w:rPr>
            </w:pPr>
            <w:r w:rsidRPr="004C78D8">
              <w:rPr>
                <w:sz w:val="18"/>
                <w:szCs w:val="18"/>
              </w:rPr>
              <w:t>CRC(4) + universal PA promotion</w:t>
            </w:r>
          </w:p>
        </w:tc>
        <w:tc>
          <w:tcPr>
            <w:tcW w:w="1415" w:type="dxa"/>
            <w:tcBorders>
              <w:top w:val="nil"/>
              <w:bottom w:val="nil"/>
            </w:tcBorders>
          </w:tcPr>
          <w:p w14:paraId="51108ED0" w14:textId="6E46B945" w:rsidR="004E3D8E" w:rsidRPr="004C78D8" w:rsidRDefault="004E3D8E" w:rsidP="00FB7C1F">
            <w:pPr>
              <w:jc w:val="center"/>
              <w:rPr>
                <w:sz w:val="20"/>
                <w:szCs w:val="20"/>
              </w:rPr>
            </w:pPr>
            <w:r w:rsidRPr="004C78D8">
              <w:rPr>
                <w:sz w:val="20"/>
                <w:szCs w:val="20"/>
              </w:rPr>
              <w:t>12</w:t>
            </w:r>
          </w:p>
        </w:tc>
        <w:tc>
          <w:tcPr>
            <w:tcW w:w="1466" w:type="dxa"/>
            <w:tcBorders>
              <w:top w:val="nil"/>
              <w:bottom w:val="nil"/>
            </w:tcBorders>
          </w:tcPr>
          <w:p w14:paraId="0343B16F" w14:textId="5FC5E85C" w:rsidR="004E3D8E" w:rsidRPr="004C78D8" w:rsidRDefault="004E3D8E" w:rsidP="00FB7C1F">
            <w:pPr>
              <w:jc w:val="center"/>
              <w:rPr>
                <w:sz w:val="20"/>
                <w:szCs w:val="20"/>
              </w:rPr>
            </w:pPr>
            <w:r w:rsidRPr="004C78D8">
              <w:rPr>
                <w:sz w:val="20"/>
                <w:szCs w:val="20"/>
              </w:rPr>
              <w:t>2</w:t>
            </w:r>
          </w:p>
        </w:tc>
        <w:tc>
          <w:tcPr>
            <w:tcW w:w="1328" w:type="dxa"/>
            <w:tcBorders>
              <w:top w:val="nil"/>
              <w:bottom w:val="nil"/>
            </w:tcBorders>
          </w:tcPr>
          <w:p w14:paraId="56FAAA11" w14:textId="2DF89E7D" w:rsidR="004E3D8E" w:rsidRPr="004C78D8" w:rsidRDefault="004E3D8E" w:rsidP="00FB7C1F">
            <w:pPr>
              <w:jc w:val="center"/>
              <w:rPr>
                <w:sz w:val="20"/>
                <w:szCs w:val="20"/>
              </w:rPr>
            </w:pPr>
            <w:r w:rsidRPr="004C78D8">
              <w:rPr>
                <w:sz w:val="20"/>
                <w:szCs w:val="20"/>
              </w:rPr>
              <w:t>8</w:t>
            </w:r>
          </w:p>
        </w:tc>
        <w:tc>
          <w:tcPr>
            <w:tcW w:w="1221" w:type="dxa"/>
            <w:tcBorders>
              <w:top w:val="nil"/>
              <w:bottom w:val="nil"/>
            </w:tcBorders>
          </w:tcPr>
          <w:p w14:paraId="695B379A" w14:textId="52823405" w:rsidR="004E3D8E" w:rsidRPr="004C78D8" w:rsidRDefault="004E3D8E" w:rsidP="00FB7C1F">
            <w:pPr>
              <w:jc w:val="center"/>
              <w:rPr>
                <w:sz w:val="20"/>
                <w:szCs w:val="20"/>
              </w:rPr>
            </w:pPr>
            <w:r w:rsidRPr="004C78D8">
              <w:rPr>
                <w:sz w:val="20"/>
                <w:szCs w:val="20"/>
              </w:rPr>
              <w:t>5</w:t>
            </w:r>
          </w:p>
        </w:tc>
        <w:tc>
          <w:tcPr>
            <w:tcW w:w="1272" w:type="dxa"/>
            <w:tcBorders>
              <w:top w:val="nil"/>
              <w:bottom w:val="nil"/>
            </w:tcBorders>
          </w:tcPr>
          <w:p w14:paraId="6B70EF3A" w14:textId="469777C3" w:rsidR="004E3D8E" w:rsidRPr="004C78D8" w:rsidRDefault="004E3D8E" w:rsidP="00FB7C1F">
            <w:pPr>
              <w:jc w:val="center"/>
              <w:rPr>
                <w:sz w:val="20"/>
                <w:szCs w:val="20"/>
              </w:rPr>
            </w:pPr>
            <w:r w:rsidRPr="004C78D8">
              <w:rPr>
                <w:sz w:val="20"/>
                <w:szCs w:val="20"/>
              </w:rPr>
              <w:t>-2</w:t>
            </w:r>
          </w:p>
        </w:tc>
        <w:tc>
          <w:tcPr>
            <w:tcW w:w="1239" w:type="dxa"/>
            <w:tcBorders>
              <w:top w:val="nil"/>
              <w:bottom w:val="nil"/>
            </w:tcBorders>
          </w:tcPr>
          <w:p w14:paraId="66966D91" w14:textId="5971A847" w:rsidR="004E3D8E" w:rsidRPr="004C78D8" w:rsidRDefault="001B2E9E" w:rsidP="00FB7C1F">
            <w:pPr>
              <w:jc w:val="center"/>
              <w:rPr>
                <w:sz w:val="20"/>
                <w:szCs w:val="20"/>
              </w:rPr>
            </w:pPr>
            <w:r w:rsidRPr="004C78D8">
              <w:rPr>
                <w:sz w:val="20"/>
                <w:szCs w:val="20"/>
              </w:rPr>
              <w:t>-29</w:t>
            </w:r>
          </w:p>
        </w:tc>
        <w:tc>
          <w:tcPr>
            <w:tcW w:w="1272" w:type="dxa"/>
            <w:tcBorders>
              <w:top w:val="nil"/>
              <w:bottom w:val="nil"/>
            </w:tcBorders>
          </w:tcPr>
          <w:p w14:paraId="33F64A4A" w14:textId="5C60E2E8" w:rsidR="004E3D8E" w:rsidRPr="004C78D8" w:rsidRDefault="001B2E9E" w:rsidP="00FB7C1F">
            <w:pPr>
              <w:jc w:val="center"/>
              <w:rPr>
                <w:sz w:val="20"/>
                <w:szCs w:val="20"/>
              </w:rPr>
            </w:pPr>
            <w:r w:rsidRPr="004C78D8">
              <w:rPr>
                <w:sz w:val="20"/>
                <w:szCs w:val="20"/>
              </w:rPr>
              <w:t>-30</w:t>
            </w:r>
          </w:p>
        </w:tc>
        <w:tc>
          <w:tcPr>
            <w:tcW w:w="1160" w:type="dxa"/>
            <w:tcBorders>
              <w:top w:val="nil"/>
              <w:bottom w:val="nil"/>
            </w:tcBorders>
          </w:tcPr>
          <w:p w14:paraId="236BE3FE" w14:textId="4DA9080F" w:rsidR="004E3D8E" w:rsidRPr="004C78D8" w:rsidRDefault="00EA63E8" w:rsidP="00FB7C1F">
            <w:pPr>
              <w:jc w:val="center"/>
              <w:rPr>
                <w:sz w:val="20"/>
                <w:szCs w:val="20"/>
              </w:rPr>
            </w:pPr>
            <w:r w:rsidRPr="004C78D8">
              <w:rPr>
                <w:sz w:val="20"/>
                <w:szCs w:val="20"/>
              </w:rPr>
              <w:t>46</w:t>
            </w:r>
            <w:r w:rsidR="00736317" w:rsidRPr="004C78D8">
              <w:rPr>
                <w:sz w:val="20"/>
                <w:szCs w:val="20"/>
              </w:rPr>
              <w:t xml:space="preserve"> (</w:t>
            </w:r>
            <w:r w:rsidR="009E2C25" w:rsidRPr="004C78D8">
              <w:rPr>
                <w:sz w:val="20"/>
                <w:szCs w:val="20"/>
              </w:rPr>
              <w:t>=</w:t>
            </w:r>
            <w:r w:rsidR="00736317" w:rsidRPr="004C78D8">
              <w:rPr>
                <w:sz w:val="20"/>
                <w:szCs w:val="20"/>
              </w:rPr>
              <w:t>9)</w:t>
            </w:r>
          </w:p>
        </w:tc>
      </w:tr>
      <w:tr w:rsidR="004E3D8E" w:rsidRPr="004C78D8" w14:paraId="78DB544F" w14:textId="7D164CA7" w:rsidTr="00A1003D">
        <w:tc>
          <w:tcPr>
            <w:tcW w:w="554" w:type="dxa"/>
            <w:tcBorders>
              <w:top w:val="nil"/>
              <w:bottom w:val="nil"/>
            </w:tcBorders>
          </w:tcPr>
          <w:p w14:paraId="6EB9ED55" w14:textId="2CB167F0" w:rsidR="004E3D8E" w:rsidRPr="004C78D8" w:rsidRDefault="004E3D8E" w:rsidP="00FB7C1F">
            <w:pPr>
              <w:rPr>
                <w:sz w:val="20"/>
                <w:szCs w:val="20"/>
              </w:rPr>
            </w:pPr>
            <w:r w:rsidRPr="004C78D8">
              <w:rPr>
                <w:sz w:val="18"/>
                <w:szCs w:val="18"/>
              </w:rPr>
              <w:t>[14]</w:t>
            </w:r>
          </w:p>
        </w:tc>
        <w:tc>
          <w:tcPr>
            <w:tcW w:w="2913" w:type="dxa"/>
            <w:tcBorders>
              <w:top w:val="nil"/>
              <w:bottom w:val="nil"/>
            </w:tcBorders>
          </w:tcPr>
          <w:p w14:paraId="6DD2CAC4" w14:textId="2CED2BD8" w:rsidR="004E3D8E" w:rsidRPr="004C78D8" w:rsidRDefault="004E3D8E" w:rsidP="00FB7C1F">
            <w:pPr>
              <w:rPr>
                <w:sz w:val="20"/>
                <w:szCs w:val="20"/>
              </w:rPr>
            </w:pPr>
            <w:r w:rsidRPr="004C78D8">
              <w:rPr>
                <w:sz w:val="18"/>
                <w:szCs w:val="18"/>
              </w:rPr>
              <w:t>CRC(3): frailty targeting</w:t>
            </w:r>
          </w:p>
        </w:tc>
        <w:tc>
          <w:tcPr>
            <w:tcW w:w="1415" w:type="dxa"/>
            <w:tcBorders>
              <w:top w:val="nil"/>
              <w:bottom w:val="nil"/>
            </w:tcBorders>
          </w:tcPr>
          <w:p w14:paraId="4AB9A8D4" w14:textId="2A3E7BC9" w:rsidR="004E3D8E" w:rsidRPr="004C78D8" w:rsidRDefault="004E3D8E" w:rsidP="00FB7C1F">
            <w:pPr>
              <w:jc w:val="center"/>
              <w:rPr>
                <w:sz w:val="20"/>
                <w:szCs w:val="20"/>
              </w:rPr>
            </w:pPr>
            <w:r w:rsidRPr="004C78D8">
              <w:rPr>
                <w:sz w:val="20"/>
                <w:szCs w:val="20"/>
              </w:rPr>
              <w:t>8</w:t>
            </w:r>
          </w:p>
        </w:tc>
        <w:tc>
          <w:tcPr>
            <w:tcW w:w="1466" w:type="dxa"/>
            <w:tcBorders>
              <w:top w:val="nil"/>
              <w:bottom w:val="nil"/>
            </w:tcBorders>
          </w:tcPr>
          <w:p w14:paraId="4F8EAEF2" w14:textId="466FF9CC" w:rsidR="004E3D8E" w:rsidRPr="004C78D8" w:rsidRDefault="004E3D8E" w:rsidP="00FB7C1F">
            <w:pPr>
              <w:jc w:val="center"/>
              <w:rPr>
                <w:sz w:val="20"/>
                <w:szCs w:val="20"/>
              </w:rPr>
            </w:pPr>
            <w:r w:rsidRPr="004C78D8">
              <w:rPr>
                <w:sz w:val="20"/>
                <w:szCs w:val="20"/>
              </w:rPr>
              <w:t>2</w:t>
            </w:r>
          </w:p>
        </w:tc>
        <w:tc>
          <w:tcPr>
            <w:tcW w:w="1328" w:type="dxa"/>
            <w:tcBorders>
              <w:top w:val="nil"/>
              <w:bottom w:val="nil"/>
            </w:tcBorders>
          </w:tcPr>
          <w:p w14:paraId="2FDA6344" w14:textId="35E4DACE" w:rsidR="004E3D8E" w:rsidRPr="004C78D8" w:rsidRDefault="004E3D8E" w:rsidP="00FB7C1F">
            <w:pPr>
              <w:jc w:val="center"/>
              <w:rPr>
                <w:sz w:val="20"/>
                <w:szCs w:val="20"/>
              </w:rPr>
            </w:pPr>
            <w:r w:rsidRPr="004C78D8">
              <w:rPr>
                <w:sz w:val="20"/>
                <w:szCs w:val="20"/>
              </w:rPr>
              <w:t>5</w:t>
            </w:r>
          </w:p>
        </w:tc>
        <w:tc>
          <w:tcPr>
            <w:tcW w:w="1221" w:type="dxa"/>
            <w:tcBorders>
              <w:top w:val="nil"/>
              <w:bottom w:val="nil"/>
            </w:tcBorders>
          </w:tcPr>
          <w:p w14:paraId="681EEA03" w14:textId="68128273" w:rsidR="004E3D8E" w:rsidRPr="004C78D8" w:rsidRDefault="004E3D8E" w:rsidP="00FB7C1F">
            <w:pPr>
              <w:jc w:val="center"/>
              <w:rPr>
                <w:sz w:val="20"/>
                <w:szCs w:val="20"/>
              </w:rPr>
            </w:pPr>
            <w:r w:rsidRPr="004C78D8">
              <w:rPr>
                <w:sz w:val="20"/>
                <w:szCs w:val="20"/>
              </w:rPr>
              <w:t>6</w:t>
            </w:r>
          </w:p>
        </w:tc>
        <w:tc>
          <w:tcPr>
            <w:tcW w:w="1272" w:type="dxa"/>
            <w:tcBorders>
              <w:top w:val="nil"/>
              <w:bottom w:val="nil"/>
            </w:tcBorders>
          </w:tcPr>
          <w:p w14:paraId="05046BC8" w14:textId="3FD1CA2B" w:rsidR="004E3D8E" w:rsidRPr="004C78D8" w:rsidRDefault="004E3D8E" w:rsidP="00FB7C1F">
            <w:pPr>
              <w:jc w:val="center"/>
              <w:rPr>
                <w:sz w:val="20"/>
                <w:szCs w:val="20"/>
              </w:rPr>
            </w:pPr>
            <w:r w:rsidRPr="004C78D8">
              <w:rPr>
                <w:sz w:val="20"/>
                <w:szCs w:val="20"/>
              </w:rPr>
              <w:t>-4</w:t>
            </w:r>
          </w:p>
        </w:tc>
        <w:tc>
          <w:tcPr>
            <w:tcW w:w="1239" w:type="dxa"/>
            <w:tcBorders>
              <w:top w:val="nil"/>
              <w:bottom w:val="nil"/>
            </w:tcBorders>
          </w:tcPr>
          <w:p w14:paraId="15A78058" w14:textId="5CC782DB" w:rsidR="004E3D8E" w:rsidRPr="004C78D8" w:rsidRDefault="001B2E9E" w:rsidP="00FB7C1F">
            <w:pPr>
              <w:jc w:val="center"/>
              <w:rPr>
                <w:sz w:val="20"/>
                <w:szCs w:val="20"/>
              </w:rPr>
            </w:pPr>
            <w:r w:rsidRPr="004C78D8">
              <w:rPr>
                <w:sz w:val="20"/>
                <w:szCs w:val="20"/>
              </w:rPr>
              <w:t>-10</w:t>
            </w:r>
          </w:p>
        </w:tc>
        <w:tc>
          <w:tcPr>
            <w:tcW w:w="1272" w:type="dxa"/>
            <w:tcBorders>
              <w:top w:val="nil"/>
              <w:bottom w:val="nil"/>
            </w:tcBorders>
          </w:tcPr>
          <w:p w14:paraId="55F37BA5" w14:textId="4249977E" w:rsidR="004E3D8E" w:rsidRPr="004C78D8" w:rsidRDefault="001B2E9E" w:rsidP="00FB7C1F">
            <w:pPr>
              <w:jc w:val="center"/>
              <w:rPr>
                <w:sz w:val="20"/>
                <w:szCs w:val="20"/>
              </w:rPr>
            </w:pPr>
            <w:r w:rsidRPr="004C78D8">
              <w:rPr>
                <w:sz w:val="20"/>
                <w:szCs w:val="20"/>
              </w:rPr>
              <w:t>-12</w:t>
            </w:r>
          </w:p>
        </w:tc>
        <w:tc>
          <w:tcPr>
            <w:tcW w:w="1160" w:type="dxa"/>
            <w:tcBorders>
              <w:top w:val="nil"/>
              <w:bottom w:val="nil"/>
            </w:tcBorders>
          </w:tcPr>
          <w:p w14:paraId="5B87AA83" w14:textId="15F01675" w:rsidR="004E3D8E" w:rsidRPr="004C78D8" w:rsidRDefault="00EA63E8" w:rsidP="00FB7C1F">
            <w:pPr>
              <w:jc w:val="center"/>
              <w:rPr>
                <w:sz w:val="20"/>
                <w:szCs w:val="20"/>
              </w:rPr>
            </w:pPr>
            <w:r w:rsidRPr="004C78D8">
              <w:rPr>
                <w:sz w:val="20"/>
                <w:szCs w:val="20"/>
              </w:rPr>
              <w:t>18</w:t>
            </w:r>
            <w:r w:rsidR="00736317" w:rsidRPr="004C78D8">
              <w:rPr>
                <w:sz w:val="20"/>
                <w:szCs w:val="20"/>
              </w:rPr>
              <w:t xml:space="preserve"> (18)</w:t>
            </w:r>
          </w:p>
        </w:tc>
      </w:tr>
      <w:tr w:rsidR="004E3D8E" w:rsidRPr="004C78D8" w14:paraId="2C59ACB0" w14:textId="7EA54990" w:rsidTr="00A1003D">
        <w:tc>
          <w:tcPr>
            <w:tcW w:w="554" w:type="dxa"/>
            <w:tcBorders>
              <w:top w:val="nil"/>
              <w:bottom w:val="nil"/>
            </w:tcBorders>
          </w:tcPr>
          <w:p w14:paraId="4B0B2536" w14:textId="21B7C627" w:rsidR="004E3D8E" w:rsidRPr="004C78D8" w:rsidRDefault="004E3D8E" w:rsidP="00FB7C1F">
            <w:pPr>
              <w:rPr>
                <w:sz w:val="20"/>
                <w:szCs w:val="20"/>
              </w:rPr>
            </w:pPr>
            <w:r w:rsidRPr="004C78D8">
              <w:rPr>
                <w:sz w:val="18"/>
                <w:szCs w:val="18"/>
              </w:rPr>
              <w:t>[15]</w:t>
            </w:r>
          </w:p>
        </w:tc>
        <w:tc>
          <w:tcPr>
            <w:tcW w:w="2913" w:type="dxa"/>
            <w:tcBorders>
              <w:top w:val="nil"/>
              <w:bottom w:val="nil"/>
            </w:tcBorders>
          </w:tcPr>
          <w:p w14:paraId="059F66A8" w14:textId="223980FD" w:rsidR="004E3D8E" w:rsidRPr="004C78D8" w:rsidRDefault="004E3D8E" w:rsidP="00FB7C1F">
            <w:pPr>
              <w:rPr>
                <w:sz w:val="20"/>
                <w:szCs w:val="20"/>
              </w:rPr>
            </w:pPr>
            <w:r w:rsidRPr="004C78D8">
              <w:rPr>
                <w:sz w:val="18"/>
                <w:szCs w:val="18"/>
              </w:rPr>
              <w:t>CRC(4) + PS societal costs</w:t>
            </w:r>
          </w:p>
        </w:tc>
        <w:tc>
          <w:tcPr>
            <w:tcW w:w="1415" w:type="dxa"/>
            <w:tcBorders>
              <w:top w:val="nil"/>
              <w:bottom w:val="nil"/>
            </w:tcBorders>
          </w:tcPr>
          <w:p w14:paraId="4F31ECEF" w14:textId="3A1FA144" w:rsidR="004E3D8E" w:rsidRPr="004C78D8" w:rsidRDefault="004E3D8E" w:rsidP="00FB7C1F">
            <w:pPr>
              <w:jc w:val="center"/>
              <w:rPr>
                <w:sz w:val="20"/>
                <w:szCs w:val="20"/>
              </w:rPr>
            </w:pPr>
            <w:r w:rsidRPr="004C78D8">
              <w:rPr>
                <w:sz w:val="20"/>
                <w:szCs w:val="20"/>
              </w:rPr>
              <w:t>5</w:t>
            </w:r>
          </w:p>
        </w:tc>
        <w:tc>
          <w:tcPr>
            <w:tcW w:w="1466" w:type="dxa"/>
            <w:tcBorders>
              <w:top w:val="nil"/>
              <w:bottom w:val="nil"/>
            </w:tcBorders>
          </w:tcPr>
          <w:p w14:paraId="495B659D" w14:textId="50CEE1EC" w:rsidR="004E3D8E" w:rsidRPr="004C78D8" w:rsidRDefault="004E3D8E" w:rsidP="00FB7C1F">
            <w:pPr>
              <w:jc w:val="center"/>
              <w:rPr>
                <w:sz w:val="20"/>
                <w:szCs w:val="20"/>
              </w:rPr>
            </w:pPr>
            <w:r w:rsidRPr="004C78D8">
              <w:rPr>
                <w:sz w:val="20"/>
                <w:szCs w:val="20"/>
              </w:rPr>
              <w:t>1</w:t>
            </w:r>
          </w:p>
        </w:tc>
        <w:tc>
          <w:tcPr>
            <w:tcW w:w="1328" w:type="dxa"/>
            <w:tcBorders>
              <w:top w:val="nil"/>
              <w:bottom w:val="nil"/>
            </w:tcBorders>
          </w:tcPr>
          <w:p w14:paraId="52561B3D" w14:textId="27AAEFEC" w:rsidR="004E3D8E" w:rsidRPr="004C78D8" w:rsidRDefault="004E3D8E" w:rsidP="00FB7C1F">
            <w:pPr>
              <w:jc w:val="center"/>
              <w:rPr>
                <w:sz w:val="20"/>
                <w:szCs w:val="20"/>
              </w:rPr>
            </w:pPr>
            <w:r w:rsidRPr="004C78D8">
              <w:rPr>
                <w:sz w:val="20"/>
                <w:szCs w:val="20"/>
              </w:rPr>
              <w:t>9</w:t>
            </w:r>
          </w:p>
        </w:tc>
        <w:tc>
          <w:tcPr>
            <w:tcW w:w="1221" w:type="dxa"/>
            <w:tcBorders>
              <w:top w:val="nil"/>
              <w:bottom w:val="nil"/>
            </w:tcBorders>
          </w:tcPr>
          <w:p w14:paraId="4C5FDFE1" w14:textId="24E7956A" w:rsidR="004E3D8E" w:rsidRPr="004C78D8" w:rsidRDefault="004E3D8E" w:rsidP="00FB7C1F">
            <w:pPr>
              <w:jc w:val="center"/>
              <w:rPr>
                <w:sz w:val="20"/>
                <w:szCs w:val="20"/>
              </w:rPr>
            </w:pPr>
            <w:r w:rsidRPr="004C78D8">
              <w:rPr>
                <w:sz w:val="20"/>
                <w:szCs w:val="20"/>
              </w:rPr>
              <w:t>-9 (2)</w:t>
            </w:r>
          </w:p>
        </w:tc>
        <w:tc>
          <w:tcPr>
            <w:tcW w:w="1272" w:type="dxa"/>
            <w:tcBorders>
              <w:top w:val="nil"/>
              <w:bottom w:val="nil"/>
            </w:tcBorders>
          </w:tcPr>
          <w:p w14:paraId="151CAA16" w14:textId="01BEDB7D" w:rsidR="004E3D8E" w:rsidRPr="004C78D8" w:rsidRDefault="004E3D8E" w:rsidP="00FB7C1F">
            <w:pPr>
              <w:jc w:val="center"/>
              <w:rPr>
                <w:sz w:val="20"/>
                <w:szCs w:val="20"/>
              </w:rPr>
            </w:pPr>
            <w:r w:rsidRPr="004C78D8">
              <w:rPr>
                <w:sz w:val="20"/>
                <w:szCs w:val="20"/>
              </w:rPr>
              <w:t>-9</w:t>
            </w:r>
          </w:p>
        </w:tc>
        <w:tc>
          <w:tcPr>
            <w:tcW w:w="1239" w:type="dxa"/>
            <w:tcBorders>
              <w:top w:val="nil"/>
              <w:bottom w:val="nil"/>
            </w:tcBorders>
          </w:tcPr>
          <w:p w14:paraId="07B5BE53" w14:textId="40300ABC" w:rsidR="004E3D8E" w:rsidRPr="004C78D8" w:rsidRDefault="001B2E9E" w:rsidP="00FB7C1F">
            <w:pPr>
              <w:jc w:val="center"/>
              <w:rPr>
                <w:sz w:val="20"/>
                <w:szCs w:val="20"/>
              </w:rPr>
            </w:pPr>
            <w:r w:rsidRPr="004C78D8">
              <w:rPr>
                <w:sz w:val="20"/>
                <w:szCs w:val="20"/>
              </w:rPr>
              <w:t>-26</w:t>
            </w:r>
          </w:p>
        </w:tc>
        <w:tc>
          <w:tcPr>
            <w:tcW w:w="1272" w:type="dxa"/>
            <w:tcBorders>
              <w:top w:val="nil"/>
              <w:bottom w:val="nil"/>
            </w:tcBorders>
          </w:tcPr>
          <w:p w14:paraId="62532FB2" w14:textId="03BC5684" w:rsidR="004E3D8E" w:rsidRPr="004C78D8" w:rsidRDefault="001B2E9E" w:rsidP="00FB7C1F">
            <w:pPr>
              <w:jc w:val="center"/>
              <w:rPr>
                <w:sz w:val="20"/>
                <w:szCs w:val="20"/>
              </w:rPr>
            </w:pPr>
            <w:r w:rsidRPr="004C78D8">
              <w:rPr>
                <w:sz w:val="20"/>
                <w:szCs w:val="20"/>
              </w:rPr>
              <w:t>-27</w:t>
            </w:r>
          </w:p>
        </w:tc>
        <w:tc>
          <w:tcPr>
            <w:tcW w:w="1160" w:type="dxa"/>
            <w:tcBorders>
              <w:top w:val="nil"/>
              <w:bottom w:val="nil"/>
            </w:tcBorders>
          </w:tcPr>
          <w:p w14:paraId="260421AF" w14:textId="3C694F43" w:rsidR="004E3D8E" w:rsidRPr="004C78D8" w:rsidRDefault="00EA63E8" w:rsidP="00FB7C1F">
            <w:pPr>
              <w:jc w:val="center"/>
              <w:rPr>
                <w:sz w:val="20"/>
                <w:szCs w:val="20"/>
              </w:rPr>
            </w:pPr>
            <w:r w:rsidRPr="004C78D8">
              <w:rPr>
                <w:sz w:val="20"/>
                <w:szCs w:val="20"/>
              </w:rPr>
              <w:t>50</w:t>
            </w:r>
            <w:r w:rsidR="00736317" w:rsidRPr="004C78D8">
              <w:rPr>
                <w:sz w:val="20"/>
                <w:szCs w:val="20"/>
              </w:rPr>
              <w:t xml:space="preserve"> (8)</w:t>
            </w:r>
          </w:p>
        </w:tc>
      </w:tr>
      <w:tr w:rsidR="004E3D8E" w:rsidRPr="004C78D8" w14:paraId="57387805" w14:textId="078D0088" w:rsidTr="00A1003D">
        <w:tc>
          <w:tcPr>
            <w:tcW w:w="554" w:type="dxa"/>
            <w:tcBorders>
              <w:top w:val="nil"/>
              <w:bottom w:val="nil"/>
            </w:tcBorders>
          </w:tcPr>
          <w:p w14:paraId="2909B552" w14:textId="131633F1" w:rsidR="004E3D8E" w:rsidRPr="004C78D8" w:rsidRDefault="004E3D8E" w:rsidP="00FB7C1F">
            <w:pPr>
              <w:rPr>
                <w:sz w:val="20"/>
                <w:szCs w:val="20"/>
              </w:rPr>
            </w:pPr>
            <w:r w:rsidRPr="004C78D8">
              <w:rPr>
                <w:sz w:val="18"/>
                <w:szCs w:val="18"/>
              </w:rPr>
              <w:t>[16]</w:t>
            </w:r>
          </w:p>
        </w:tc>
        <w:tc>
          <w:tcPr>
            <w:tcW w:w="2913" w:type="dxa"/>
            <w:tcBorders>
              <w:top w:val="nil"/>
              <w:bottom w:val="nil"/>
            </w:tcBorders>
          </w:tcPr>
          <w:p w14:paraId="747DD737" w14:textId="55D369B5" w:rsidR="004E3D8E" w:rsidRPr="004C78D8" w:rsidRDefault="004E3D8E" w:rsidP="00FB7C1F">
            <w:pPr>
              <w:rPr>
                <w:sz w:val="20"/>
                <w:szCs w:val="20"/>
              </w:rPr>
            </w:pPr>
            <w:r w:rsidRPr="004C78D8">
              <w:rPr>
                <w:sz w:val="18"/>
                <w:szCs w:val="18"/>
              </w:rPr>
              <w:t>CRC(2): no repeated provision</w:t>
            </w:r>
          </w:p>
        </w:tc>
        <w:tc>
          <w:tcPr>
            <w:tcW w:w="1415" w:type="dxa"/>
            <w:tcBorders>
              <w:top w:val="nil"/>
              <w:bottom w:val="nil"/>
            </w:tcBorders>
          </w:tcPr>
          <w:p w14:paraId="1AB63D50" w14:textId="6A7A7FF9" w:rsidR="004E3D8E" w:rsidRPr="004C78D8" w:rsidRDefault="004E3D8E" w:rsidP="00FB7C1F">
            <w:pPr>
              <w:jc w:val="center"/>
              <w:rPr>
                <w:sz w:val="20"/>
                <w:szCs w:val="20"/>
              </w:rPr>
            </w:pPr>
            <w:r w:rsidRPr="004C78D8">
              <w:rPr>
                <w:sz w:val="20"/>
                <w:szCs w:val="20"/>
              </w:rPr>
              <w:t>0</w:t>
            </w:r>
          </w:p>
        </w:tc>
        <w:tc>
          <w:tcPr>
            <w:tcW w:w="1466" w:type="dxa"/>
            <w:tcBorders>
              <w:top w:val="nil"/>
              <w:bottom w:val="nil"/>
            </w:tcBorders>
          </w:tcPr>
          <w:p w14:paraId="5C5AE1EE" w14:textId="2BBDFA45" w:rsidR="004E3D8E" w:rsidRPr="004C78D8" w:rsidRDefault="004E3D8E" w:rsidP="00FB7C1F">
            <w:pPr>
              <w:jc w:val="center"/>
              <w:rPr>
                <w:sz w:val="20"/>
                <w:szCs w:val="20"/>
              </w:rPr>
            </w:pPr>
            <w:r w:rsidRPr="004C78D8">
              <w:rPr>
                <w:sz w:val="20"/>
                <w:szCs w:val="20"/>
              </w:rPr>
              <w:t>1</w:t>
            </w:r>
          </w:p>
        </w:tc>
        <w:tc>
          <w:tcPr>
            <w:tcW w:w="1328" w:type="dxa"/>
            <w:tcBorders>
              <w:top w:val="nil"/>
              <w:bottom w:val="nil"/>
            </w:tcBorders>
          </w:tcPr>
          <w:p w14:paraId="259A4652" w14:textId="63C2F777" w:rsidR="004E3D8E" w:rsidRPr="004C78D8" w:rsidRDefault="004E3D8E" w:rsidP="00FB7C1F">
            <w:pPr>
              <w:jc w:val="center"/>
              <w:rPr>
                <w:sz w:val="20"/>
                <w:szCs w:val="20"/>
              </w:rPr>
            </w:pPr>
            <w:r w:rsidRPr="004C78D8">
              <w:rPr>
                <w:sz w:val="20"/>
                <w:szCs w:val="20"/>
              </w:rPr>
              <w:t>6</w:t>
            </w:r>
          </w:p>
        </w:tc>
        <w:tc>
          <w:tcPr>
            <w:tcW w:w="1221" w:type="dxa"/>
            <w:tcBorders>
              <w:top w:val="nil"/>
              <w:bottom w:val="nil"/>
            </w:tcBorders>
          </w:tcPr>
          <w:p w14:paraId="2A888FFB" w14:textId="1540FCDD" w:rsidR="004E3D8E" w:rsidRPr="004C78D8" w:rsidRDefault="004E3D8E" w:rsidP="00FB7C1F">
            <w:pPr>
              <w:jc w:val="center"/>
              <w:rPr>
                <w:sz w:val="20"/>
                <w:szCs w:val="20"/>
              </w:rPr>
            </w:pPr>
            <w:r w:rsidRPr="004C78D8">
              <w:rPr>
                <w:sz w:val="20"/>
                <w:szCs w:val="20"/>
              </w:rPr>
              <w:t>3</w:t>
            </w:r>
          </w:p>
        </w:tc>
        <w:tc>
          <w:tcPr>
            <w:tcW w:w="1272" w:type="dxa"/>
            <w:tcBorders>
              <w:top w:val="nil"/>
              <w:bottom w:val="nil"/>
            </w:tcBorders>
          </w:tcPr>
          <w:p w14:paraId="54086201" w14:textId="33D5B2DA" w:rsidR="004E3D8E" w:rsidRPr="004C78D8" w:rsidRDefault="004E3D8E" w:rsidP="00FB7C1F">
            <w:pPr>
              <w:jc w:val="center"/>
              <w:rPr>
                <w:sz w:val="20"/>
                <w:szCs w:val="20"/>
              </w:rPr>
            </w:pPr>
            <w:r w:rsidRPr="004C78D8">
              <w:rPr>
                <w:sz w:val="20"/>
                <w:szCs w:val="20"/>
              </w:rPr>
              <w:t>-2</w:t>
            </w:r>
          </w:p>
        </w:tc>
        <w:tc>
          <w:tcPr>
            <w:tcW w:w="1239" w:type="dxa"/>
            <w:tcBorders>
              <w:top w:val="nil"/>
              <w:bottom w:val="nil"/>
            </w:tcBorders>
          </w:tcPr>
          <w:p w14:paraId="60A4A7B0" w14:textId="65F49715" w:rsidR="004E3D8E" w:rsidRPr="004C78D8" w:rsidRDefault="001B2E9E" w:rsidP="00FB7C1F">
            <w:pPr>
              <w:jc w:val="center"/>
              <w:rPr>
                <w:sz w:val="20"/>
                <w:szCs w:val="20"/>
              </w:rPr>
            </w:pPr>
            <w:r w:rsidRPr="004C78D8">
              <w:rPr>
                <w:sz w:val="20"/>
                <w:szCs w:val="20"/>
              </w:rPr>
              <w:t>-23</w:t>
            </w:r>
          </w:p>
        </w:tc>
        <w:tc>
          <w:tcPr>
            <w:tcW w:w="1272" w:type="dxa"/>
            <w:tcBorders>
              <w:top w:val="nil"/>
              <w:bottom w:val="nil"/>
            </w:tcBorders>
          </w:tcPr>
          <w:p w14:paraId="27C1F749" w14:textId="26DC8219" w:rsidR="004E3D8E" w:rsidRPr="004C78D8" w:rsidRDefault="001B2E9E" w:rsidP="00FB7C1F">
            <w:pPr>
              <w:jc w:val="center"/>
              <w:rPr>
                <w:sz w:val="20"/>
                <w:szCs w:val="20"/>
              </w:rPr>
            </w:pPr>
            <w:r w:rsidRPr="004C78D8">
              <w:rPr>
                <w:sz w:val="20"/>
                <w:szCs w:val="20"/>
              </w:rPr>
              <w:t>-25</w:t>
            </w:r>
          </w:p>
        </w:tc>
        <w:tc>
          <w:tcPr>
            <w:tcW w:w="1160" w:type="dxa"/>
            <w:tcBorders>
              <w:top w:val="nil"/>
              <w:bottom w:val="nil"/>
            </w:tcBorders>
          </w:tcPr>
          <w:p w14:paraId="475A1F99" w14:textId="2D00AEB5" w:rsidR="004E3D8E" w:rsidRPr="004C78D8" w:rsidRDefault="00EA63E8" w:rsidP="00FB7C1F">
            <w:pPr>
              <w:jc w:val="center"/>
              <w:rPr>
                <w:sz w:val="20"/>
                <w:szCs w:val="20"/>
              </w:rPr>
            </w:pPr>
            <w:r w:rsidRPr="004C78D8">
              <w:rPr>
                <w:sz w:val="20"/>
                <w:szCs w:val="20"/>
              </w:rPr>
              <w:t>27</w:t>
            </w:r>
            <w:r w:rsidR="00736317" w:rsidRPr="004C78D8">
              <w:rPr>
                <w:sz w:val="20"/>
                <w:szCs w:val="20"/>
              </w:rPr>
              <w:t xml:space="preserve"> (16)</w:t>
            </w:r>
          </w:p>
        </w:tc>
      </w:tr>
      <w:tr w:rsidR="004E3D8E" w:rsidRPr="004C78D8" w14:paraId="42B3DC56" w14:textId="677B0147" w:rsidTr="00A1003D">
        <w:tc>
          <w:tcPr>
            <w:tcW w:w="554" w:type="dxa"/>
            <w:tcBorders>
              <w:top w:val="nil"/>
              <w:bottom w:val="nil"/>
            </w:tcBorders>
          </w:tcPr>
          <w:p w14:paraId="7A546E79" w14:textId="2A8B37B2" w:rsidR="004E3D8E" w:rsidRPr="004C78D8" w:rsidRDefault="004E3D8E" w:rsidP="00FB7C1F">
            <w:pPr>
              <w:rPr>
                <w:sz w:val="20"/>
                <w:szCs w:val="20"/>
              </w:rPr>
            </w:pPr>
            <w:r w:rsidRPr="004C78D8">
              <w:rPr>
                <w:sz w:val="18"/>
                <w:szCs w:val="18"/>
              </w:rPr>
              <w:t>[17]</w:t>
            </w:r>
          </w:p>
        </w:tc>
        <w:tc>
          <w:tcPr>
            <w:tcW w:w="2913" w:type="dxa"/>
            <w:tcBorders>
              <w:top w:val="nil"/>
              <w:bottom w:val="nil"/>
            </w:tcBorders>
          </w:tcPr>
          <w:p w14:paraId="141F232D" w14:textId="39E47391" w:rsidR="004E3D8E" w:rsidRPr="004C78D8" w:rsidRDefault="004E3D8E" w:rsidP="00FB7C1F">
            <w:pPr>
              <w:rPr>
                <w:sz w:val="20"/>
                <w:szCs w:val="20"/>
              </w:rPr>
            </w:pPr>
            <w:r w:rsidRPr="004C78D8">
              <w:rPr>
                <w:sz w:val="18"/>
                <w:szCs w:val="18"/>
              </w:rPr>
              <w:t>UC + universal FH removal</w:t>
            </w:r>
          </w:p>
        </w:tc>
        <w:tc>
          <w:tcPr>
            <w:tcW w:w="1415" w:type="dxa"/>
            <w:tcBorders>
              <w:top w:val="nil"/>
              <w:bottom w:val="nil"/>
            </w:tcBorders>
          </w:tcPr>
          <w:p w14:paraId="09953BB5" w14:textId="5EF9ACC0" w:rsidR="004E3D8E" w:rsidRPr="004C78D8" w:rsidRDefault="004E3D8E" w:rsidP="00FB7C1F">
            <w:pPr>
              <w:jc w:val="center"/>
              <w:rPr>
                <w:sz w:val="20"/>
                <w:szCs w:val="20"/>
              </w:rPr>
            </w:pPr>
            <w:r w:rsidRPr="004C78D8">
              <w:rPr>
                <w:sz w:val="20"/>
                <w:szCs w:val="20"/>
              </w:rPr>
              <w:t>22 (3)</w:t>
            </w:r>
          </w:p>
        </w:tc>
        <w:tc>
          <w:tcPr>
            <w:tcW w:w="1466" w:type="dxa"/>
            <w:tcBorders>
              <w:top w:val="nil"/>
              <w:bottom w:val="nil"/>
            </w:tcBorders>
          </w:tcPr>
          <w:p w14:paraId="3D2057BC" w14:textId="454CD0BC" w:rsidR="004E3D8E" w:rsidRPr="004C78D8" w:rsidRDefault="004E3D8E" w:rsidP="00FB7C1F">
            <w:pPr>
              <w:jc w:val="center"/>
              <w:rPr>
                <w:sz w:val="20"/>
                <w:szCs w:val="20"/>
              </w:rPr>
            </w:pPr>
            <w:r w:rsidRPr="004C78D8">
              <w:rPr>
                <w:sz w:val="20"/>
                <w:szCs w:val="20"/>
              </w:rPr>
              <w:t>7 (3)</w:t>
            </w:r>
          </w:p>
        </w:tc>
        <w:tc>
          <w:tcPr>
            <w:tcW w:w="1328" w:type="dxa"/>
            <w:tcBorders>
              <w:top w:val="nil"/>
              <w:bottom w:val="nil"/>
            </w:tcBorders>
          </w:tcPr>
          <w:p w14:paraId="1CD29DFE" w14:textId="134FE72D" w:rsidR="004E3D8E" w:rsidRPr="004C78D8" w:rsidRDefault="004E3D8E" w:rsidP="00FB7C1F">
            <w:pPr>
              <w:jc w:val="center"/>
              <w:rPr>
                <w:sz w:val="20"/>
                <w:szCs w:val="20"/>
              </w:rPr>
            </w:pPr>
            <w:r w:rsidRPr="004C78D8">
              <w:rPr>
                <w:sz w:val="20"/>
                <w:szCs w:val="20"/>
              </w:rPr>
              <w:t>14</w:t>
            </w:r>
          </w:p>
        </w:tc>
        <w:tc>
          <w:tcPr>
            <w:tcW w:w="1221" w:type="dxa"/>
            <w:tcBorders>
              <w:top w:val="nil"/>
              <w:bottom w:val="nil"/>
            </w:tcBorders>
          </w:tcPr>
          <w:p w14:paraId="5703D2D1" w14:textId="1BDB461A" w:rsidR="004E3D8E" w:rsidRPr="004C78D8" w:rsidRDefault="004E3D8E" w:rsidP="00FB7C1F">
            <w:pPr>
              <w:jc w:val="center"/>
              <w:rPr>
                <w:sz w:val="20"/>
                <w:szCs w:val="20"/>
              </w:rPr>
            </w:pPr>
            <w:r w:rsidRPr="004C78D8">
              <w:rPr>
                <w:sz w:val="20"/>
                <w:szCs w:val="20"/>
              </w:rPr>
              <w:t>-6 (3)</w:t>
            </w:r>
          </w:p>
        </w:tc>
        <w:tc>
          <w:tcPr>
            <w:tcW w:w="1272" w:type="dxa"/>
            <w:tcBorders>
              <w:top w:val="nil"/>
              <w:bottom w:val="nil"/>
            </w:tcBorders>
          </w:tcPr>
          <w:p w14:paraId="48BB88F2" w14:textId="4B2922A1" w:rsidR="004E3D8E" w:rsidRPr="004C78D8" w:rsidRDefault="004E3D8E" w:rsidP="00FB7C1F">
            <w:pPr>
              <w:jc w:val="center"/>
              <w:rPr>
                <w:sz w:val="20"/>
                <w:szCs w:val="20"/>
              </w:rPr>
            </w:pPr>
            <w:r w:rsidRPr="004C78D8">
              <w:rPr>
                <w:sz w:val="20"/>
                <w:szCs w:val="20"/>
              </w:rPr>
              <w:t>-6</w:t>
            </w:r>
          </w:p>
        </w:tc>
        <w:tc>
          <w:tcPr>
            <w:tcW w:w="1239" w:type="dxa"/>
            <w:tcBorders>
              <w:top w:val="nil"/>
              <w:bottom w:val="nil"/>
            </w:tcBorders>
          </w:tcPr>
          <w:p w14:paraId="5D8190C4" w14:textId="04E60EE3" w:rsidR="004E3D8E" w:rsidRPr="004C78D8" w:rsidRDefault="001B2E9E" w:rsidP="00FB7C1F">
            <w:pPr>
              <w:jc w:val="center"/>
              <w:rPr>
                <w:sz w:val="20"/>
                <w:szCs w:val="20"/>
              </w:rPr>
            </w:pPr>
            <w:r w:rsidRPr="004C78D8">
              <w:rPr>
                <w:sz w:val="20"/>
                <w:szCs w:val="20"/>
              </w:rPr>
              <w:t>-19</w:t>
            </w:r>
          </w:p>
        </w:tc>
        <w:tc>
          <w:tcPr>
            <w:tcW w:w="1272" w:type="dxa"/>
            <w:tcBorders>
              <w:top w:val="nil"/>
              <w:bottom w:val="nil"/>
            </w:tcBorders>
          </w:tcPr>
          <w:p w14:paraId="4E9B9BC6" w14:textId="789BBDF5" w:rsidR="004E3D8E" w:rsidRPr="004C78D8" w:rsidRDefault="001B2E9E" w:rsidP="00FB7C1F">
            <w:pPr>
              <w:jc w:val="center"/>
              <w:rPr>
                <w:sz w:val="20"/>
                <w:szCs w:val="20"/>
              </w:rPr>
            </w:pPr>
            <w:r w:rsidRPr="004C78D8">
              <w:rPr>
                <w:sz w:val="20"/>
                <w:szCs w:val="20"/>
              </w:rPr>
              <w:t>-19</w:t>
            </w:r>
          </w:p>
        </w:tc>
        <w:tc>
          <w:tcPr>
            <w:tcW w:w="1160" w:type="dxa"/>
            <w:tcBorders>
              <w:top w:val="nil"/>
              <w:bottom w:val="nil"/>
            </w:tcBorders>
          </w:tcPr>
          <w:p w14:paraId="74ECF2AE" w14:textId="005D57A8" w:rsidR="004E3D8E" w:rsidRPr="004C78D8" w:rsidRDefault="00EA63E8" w:rsidP="00FB7C1F">
            <w:pPr>
              <w:jc w:val="center"/>
              <w:rPr>
                <w:sz w:val="20"/>
                <w:szCs w:val="20"/>
              </w:rPr>
            </w:pPr>
            <w:r w:rsidRPr="004C78D8">
              <w:rPr>
                <w:sz w:val="20"/>
                <w:szCs w:val="20"/>
              </w:rPr>
              <w:t>68</w:t>
            </w:r>
            <w:r w:rsidR="00736317" w:rsidRPr="004C78D8">
              <w:rPr>
                <w:sz w:val="20"/>
                <w:szCs w:val="20"/>
              </w:rPr>
              <w:t xml:space="preserve"> (4)</w:t>
            </w:r>
          </w:p>
        </w:tc>
      </w:tr>
      <w:tr w:rsidR="004E3D8E" w:rsidRPr="004C78D8" w14:paraId="35AA1FF6" w14:textId="41270103" w:rsidTr="00A1003D">
        <w:tc>
          <w:tcPr>
            <w:tcW w:w="554" w:type="dxa"/>
            <w:tcBorders>
              <w:top w:val="nil"/>
              <w:bottom w:val="nil"/>
            </w:tcBorders>
          </w:tcPr>
          <w:p w14:paraId="03D2D331" w14:textId="0C325B98" w:rsidR="004E3D8E" w:rsidRPr="004C78D8" w:rsidRDefault="004E3D8E" w:rsidP="00FB7C1F">
            <w:pPr>
              <w:rPr>
                <w:sz w:val="20"/>
                <w:szCs w:val="20"/>
              </w:rPr>
            </w:pPr>
            <w:r w:rsidRPr="004C78D8">
              <w:rPr>
                <w:sz w:val="18"/>
                <w:szCs w:val="18"/>
              </w:rPr>
              <w:t>[18]</w:t>
            </w:r>
          </w:p>
        </w:tc>
        <w:tc>
          <w:tcPr>
            <w:tcW w:w="2913" w:type="dxa"/>
            <w:tcBorders>
              <w:top w:val="nil"/>
              <w:bottom w:val="nil"/>
            </w:tcBorders>
          </w:tcPr>
          <w:p w14:paraId="49FCBEDD" w14:textId="1CBF1CA7" w:rsidR="004E3D8E" w:rsidRPr="004C78D8" w:rsidRDefault="004E3D8E" w:rsidP="00FB7C1F">
            <w:pPr>
              <w:rPr>
                <w:sz w:val="20"/>
                <w:szCs w:val="20"/>
              </w:rPr>
            </w:pPr>
            <w:r w:rsidRPr="004C78D8">
              <w:rPr>
                <w:sz w:val="18"/>
                <w:szCs w:val="18"/>
              </w:rPr>
              <w:t>CRC(4) + 3</w:t>
            </w:r>
            <w:r w:rsidRPr="004C78D8">
              <w:rPr>
                <w:sz w:val="18"/>
                <w:szCs w:val="18"/>
                <w:vertAlign w:val="superscript"/>
              </w:rPr>
              <w:t>rd</w:t>
            </w:r>
            <w:r w:rsidRPr="004C78D8">
              <w:rPr>
                <w:sz w:val="18"/>
                <w:szCs w:val="18"/>
              </w:rPr>
              <w:t>/4</w:t>
            </w:r>
            <w:r w:rsidRPr="004C78D8">
              <w:rPr>
                <w:sz w:val="18"/>
                <w:szCs w:val="18"/>
                <w:vertAlign w:val="superscript"/>
              </w:rPr>
              <w:t>th</w:t>
            </w:r>
            <w:r w:rsidRPr="004C78D8">
              <w:rPr>
                <w:sz w:val="18"/>
                <w:szCs w:val="18"/>
              </w:rPr>
              <w:t xml:space="preserve"> SES FH removal</w:t>
            </w:r>
          </w:p>
        </w:tc>
        <w:tc>
          <w:tcPr>
            <w:tcW w:w="1415" w:type="dxa"/>
            <w:tcBorders>
              <w:top w:val="nil"/>
              <w:bottom w:val="nil"/>
            </w:tcBorders>
          </w:tcPr>
          <w:p w14:paraId="003309BE" w14:textId="12EBD4D7" w:rsidR="004E3D8E" w:rsidRPr="004C78D8" w:rsidRDefault="004E3D8E" w:rsidP="00FB7C1F">
            <w:pPr>
              <w:jc w:val="center"/>
              <w:rPr>
                <w:sz w:val="20"/>
                <w:szCs w:val="20"/>
              </w:rPr>
            </w:pPr>
            <w:r w:rsidRPr="004C78D8">
              <w:rPr>
                <w:sz w:val="20"/>
                <w:szCs w:val="20"/>
              </w:rPr>
              <w:t>8</w:t>
            </w:r>
          </w:p>
        </w:tc>
        <w:tc>
          <w:tcPr>
            <w:tcW w:w="1466" w:type="dxa"/>
            <w:tcBorders>
              <w:top w:val="nil"/>
              <w:bottom w:val="nil"/>
            </w:tcBorders>
          </w:tcPr>
          <w:p w14:paraId="41096F40" w14:textId="011E8AFD" w:rsidR="004E3D8E" w:rsidRPr="004C78D8" w:rsidRDefault="004E3D8E" w:rsidP="00FB7C1F">
            <w:pPr>
              <w:jc w:val="center"/>
              <w:rPr>
                <w:sz w:val="20"/>
                <w:szCs w:val="20"/>
              </w:rPr>
            </w:pPr>
            <w:r w:rsidRPr="004C78D8">
              <w:rPr>
                <w:sz w:val="20"/>
                <w:szCs w:val="20"/>
              </w:rPr>
              <w:t>1</w:t>
            </w:r>
          </w:p>
        </w:tc>
        <w:tc>
          <w:tcPr>
            <w:tcW w:w="1328" w:type="dxa"/>
            <w:tcBorders>
              <w:top w:val="nil"/>
              <w:bottom w:val="nil"/>
            </w:tcBorders>
          </w:tcPr>
          <w:p w14:paraId="21FDD10E" w14:textId="7B6464C3" w:rsidR="004E3D8E" w:rsidRPr="004C78D8" w:rsidRDefault="004E3D8E" w:rsidP="00FB7C1F">
            <w:pPr>
              <w:jc w:val="center"/>
              <w:rPr>
                <w:sz w:val="20"/>
                <w:szCs w:val="20"/>
              </w:rPr>
            </w:pPr>
            <w:r w:rsidRPr="004C78D8">
              <w:rPr>
                <w:sz w:val="20"/>
                <w:szCs w:val="20"/>
              </w:rPr>
              <w:t>0</w:t>
            </w:r>
          </w:p>
        </w:tc>
        <w:tc>
          <w:tcPr>
            <w:tcW w:w="1221" w:type="dxa"/>
            <w:tcBorders>
              <w:top w:val="nil"/>
              <w:bottom w:val="nil"/>
            </w:tcBorders>
          </w:tcPr>
          <w:p w14:paraId="2149D00B" w14:textId="71CB986D" w:rsidR="004E3D8E" w:rsidRPr="004C78D8" w:rsidRDefault="004E3D8E" w:rsidP="00FB7C1F">
            <w:pPr>
              <w:jc w:val="center"/>
              <w:rPr>
                <w:sz w:val="20"/>
                <w:szCs w:val="20"/>
              </w:rPr>
            </w:pPr>
            <w:r w:rsidRPr="004C78D8">
              <w:rPr>
                <w:sz w:val="20"/>
                <w:szCs w:val="20"/>
              </w:rPr>
              <w:t>-4</w:t>
            </w:r>
          </w:p>
        </w:tc>
        <w:tc>
          <w:tcPr>
            <w:tcW w:w="1272" w:type="dxa"/>
            <w:tcBorders>
              <w:top w:val="nil"/>
              <w:bottom w:val="nil"/>
            </w:tcBorders>
          </w:tcPr>
          <w:p w14:paraId="27BEF430" w14:textId="3D2151C1" w:rsidR="004E3D8E" w:rsidRPr="004C78D8" w:rsidRDefault="004E3D8E" w:rsidP="00FB7C1F">
            <w:pPr>
              <w:jc w:val="center"/>
              <w:rPr>
                <w:sz w:val="20"/>
                <w:szCs w:val="20"/>
              </w:rPr>
            </w:pPr>
            <w:r w:rsidRPr="004C78D8">
              <w:rPr>
                <w:sz w:val="20"/>
                <w:szCs w:val="20"/>
              </w:rPr>
              <w:t>-12 (=3)</w:t>
            </w:r>
          </w:p>
        </w:tc>
        <w:tc>
          <w:tcPr>
            <w:tcW w:w="1239" w:type="dxa"/>
            <w:tcBorders>
              <w:top w:val="nil"/>
              <w:bottom w:val="nil"/>
            </w:tcBorders>
          </w:tcPr>
          <w:p w14:paraId="63AAA622" w14:textId="127753E4" w:rsidR="004E3D8E" w:rsidRPr="004C78D8" w:rsidRDefault="001B2E9E" w:rsidP="00FB7C1F">
            <w:pPr>
              <w:jc w:val="center"/>
              <w:rPr>
                <w:sz w:val="20"/>
                <w:szCs w:val="20"/>
              </w:rPr>
            </w:pPr>
            <w:r w:rsidRPr="004C78D8">
              <w:rPr>
                <w:sz w:val="20"/>
                <w:szCs w:val="20"/>
              </w:rPr>
              <w:t>-32 (2)</w:t>
            </w:r>
          </w:p>
        </w:tc>
        <w:tc>
          <w:tcPr>
            <w:tcW w:w="1272" w:type="dxa"/>
            <w:tcBorders>
              <w:top w:val="nil"/>
              <w:bottom w:val="nil"/>
            </w:tcBorders>
          </w:tcPr>
          <w:p w14:paraId="24B4583F" w14:textId="5803D9E2" w:rsidR="004E3D8E" w:rsidRPr="004C78D8" w:rsidRDefault="001B2E9E" w:rsidP="00FB7C1F">
            <w:pPr>
              <w:jc w:val="center"/>
              <w:rPr>
                <w:sz w:val="20"/>
                <w:szCs w:val="20"/>
              </w:rPr>
            </w:pPr>
            <w:r w:rsidRPr="004C78D8">
              <w:rPr>
                <w:sz w:val="20"/>
                <w:szCs w:val="20"/>
              </w:rPr>
              <w:t>-35</w:t>
            </w:r>
            <w:r w:rsidR="00EA63E8" w:rsidRPr="004C78D8">
              <w:rPr>
                <w:sz w:val="20"/>
                <w:szCs w:val="20"/>
              </w:rPr>
              <w:t xml:space="preserve"> (2)</w:t>
            </w:r>
          </w:p>
        </w:tc>
        <w:tc>
          <w:tcPr>
            <w:tcW w:w="1160" w:type="dxa"/>
            <w:tcBorders>
              <w:top w:val="nil"/>
              <w:bottom w:val="nil"/>
            </w:tcBorders>
          </w:tcPr>
          <w:p w14:paraId="105E970D" w14:textId="4824FA74" w:rsidR="004E3D8E" w:rsidRPr="004C78D8" w:rsidRDefault="00EA63E8" w:rsidP="00FB7C1F">
            <w:pPr>
              <w:jc w:val="center"/>
              <w:rPr>
                <w:sz w:val="20"/>
                <w:szCs w:val="20"/>
              </w:rPr>
            </w:pPr>
            <w:r w:rsidRPr="004C78D8">
              <w:rPr>
                <w:sz w:val="20"/>
                <w:szCs w:val="20"/>
              </w:rPr>
              <w:t>46</w:t>
            </w:r>
            <w:r w:rsidR="00736317" w:rsidRPr="004C78D8">
              <w:rPr>
                <w:sz w:val="20"/>
                <w:szCs w:val="20"/>
              </w:rPr>
              <w:t xml:space="preserve"> (</w:t>
            </w:r>
            <w:r w:rsidR="009E2C25" w:rsidRPr="004C78D8">
              <w:rPr>
                <w:sz w:val="20"/>
                <w:szCs w:val="20"/>
              </w:rPr>
              <w:t>=</w:t>
            </w:r>
            <w:r w:rsidR="00736317" w:rsidRPr="004C78D8">
              <w:rPr>
                <w:sz w:val="20"/>
                <w:szCs w:val="20"/>
              </w:rPr>
              <w:t>9)</w:t>
            </w:r>
          </w:p>
        </w:tc>
      </w:tr>
      <w:tr w:rsidR="004E3D8E" w:rsidRPr="004C78D8" w14:paraId="72E5466B" w14:textId="17D581BA" w:rsidTr="00A1003D">
        <w:tc>
          <w:tcPr>
            <w:tcW w:w="554" w:type="dxa"/>
            <w:tcBorders>
              <w:top w:val="nil"/>
              <w:bottom w:val="nil"/>
            </w:tcBorders>
          </w:tcPr>
          <w:p w14:paraId="077A347B" w14:textId="60B14567" w:rsidR="004E3D8E" w:rsidRPr="004C78D8" w:rsidRDefault="004E3D8E" w:rsidP="00FB7C1F">
            <w:pPr>
              <w:rPr>
                <w:sz w:val="20"/>
                <w:szCs w:val="20"/>
              </w:rPr>
            </w:pPr>
            <w:r w:rsidRPr="004C78D8">
              <w:rPr>
                <w:sz w:val="18"/>
                <w:szCs w:val="18"/>
              </w:rPr>
              <w:t>[19]</w:t>
            </w:r>
          </w:p>
        </w:tc>
        <w:tc>
          <w:tcPr>
            <w:tcW w:w="2913" w:type="dxa"/>
            <w:tcBorders>
              <w:top w:val="nil"/>
              <w:bottom w:val="nil"/>
            </w:tcBorders>
          </w:tcPr>
          <w:p w14:paraId="763C1A63" w14:textId="0BC07563" w:rsidR="004E3D8E" w:rsidRPr="004C78D8" w:rsidRDefault="004E3D8E" w:rsidP="00FB7C1F">
            <w:pPr>
              <w:rPr>
                <w:sz w:val="20"/>
                <w:szCs w:val="20"/>
              </w:rPr>
            </w:pPr>
            <w:r w:rsidRPr="004C78D8">
              <w:rPr>
                <w:sz w:val="18"/>
                <w:szCs w:val="18"/>
              </w:rPr>
              <w:t>CRC(4) + universal FH removal</w:t>
            </w:r>
          </w:p>
        </w:tc>
        <w:tc>
          <w:tcPr>
            <w:tcW w:w="1415" w:type="dxa"/>
            <w:tcBorders>
              <w:top w:val="nil"/>
              <w:bottom w:val="nil"/>
            </w:tcBorders>
          </w:tcPr>
          <w:p w14:paraId="7ACD41A5" w14:textId="300FB74B" w:rsidR="004E3D8E" w:rsidRPr="004C78D8" w:rsidRDefault="004E3D8E" w:rsidP="00FB7C1F">
            <w:pPr>
              <w:jc w:val="center"/>
              <w:rPr>
                <w:sz w:val="20"/>
                <w:szCs w:val="20"/>
              </w:rPr>
            </w:pPr>
            <w:r w:rsidRPr="004C78D8">
              <w:rPr>
                <w:sz w:val="20"/>
                <w:szCs w:val="20"/>
              </w:rPr>
              <w:t>23 (2)</w:t>
            </w:r>
          </w:p>
        </w:tc>
        <w:tc>
          <w:tcPr>
            <w:tcW w:w="1466" w:type="dxa"/>
            <w:tcBorders>
              <w:top w:val="nil"/>
              <w:bottom w:val="nil"/>
            </w:tcBorders>
          </w:tcPr>
          <w:p w14:paraId="2F5C568C" w14:textId="0BC6A9E3" w:rsidR="004E3D8E" w:rsidRPr="004C78D8" w:rsidRDefault="004E3D8E" w:rsidP="00FB7C1F">
            <w:pPr>
              <w:jc w:val="center"/>
              <w:rPr>
                <w:sz w:val="20"/>
                <w:szCs w:val="20"/>
              </w:rPr>
            </w:pPr>
            <w:r w:rsidRPr="004C78D8">
              <w:rPr>
                <w:sz w:val="20"/>
                <w:szCs w:val="20"/>
              </w:rPr>
              <w:t>6</w:t>
            </w:r>
          </w:p>
        </w:tc>
        <w:tc>
          <w:tcPr>
            <w:tcW w:w="1328" w:type="dxa"/>
            <w:tcBorders>
              <w:top w:val="nil"/>
              <w:bottom w:val="nil"/>
            </w:tcBorders>
          </w:tcPr>
          <w:p w14:paraId="0470F93A" w14:textId="26BAEF87" w:rsidR="004E3D8E" w:rsidRPr="004C78D8" w:rsidRDefault="004E3D8E" w:rsidP="00FB7C1F">
            <w:pPr>
              <w:jc w:val="center"/>
              <w:rPr>
                <w:sz w:val="20"/>
                <w:szCs w:val="20"/>
              </w:rPr>
            </w:pPr>
            <w:r w:rsidRPr="004C78D8">
              <w:rPr>
                <w:sz w:val="20"/>
                <w:szCs w:val="20"/>
              </w:rPr>
              <w:t>21 (1)</w:t>
            </w:r>
          </w:p>
        </w:tc>
        <w:tc>
          <w:tcPr>
            <w:tcW w:w="1221" w:type="dxa"/>
            <w:tcBorders>
              <w:top w:val="nil"/>
              <w:bottom w:val="nil"/>
            </w:tcBorders>
          </w:tcPr>
          <w:p w14:paraId="7D15DAAB" w14:textId="5F448610" w:rsidR="004E3D8E" w:rsidRPr="004C78D8" w:rsidRDefault="004E3D8E" w:rsidP="00FB7C1F">
            <w:pPr>
              <w:jc w:val="center"/>
              <w:rPr>
                <w:sz w:val="20"/>
                <w:szCs w:val="20"/>
              </w:rPr>
            </w:pPr>
            <w:r w:rsidRPr="004C78D8">
              <w:rPr>
                <w:sz w:val="20"/>
                <w:szCs w:val="20"/>
              </w:rPr>
              <w:t>-5</w:t>
            </w:r>
          </w:p>
        </w:tc>
        <w:tc>
          <w:tcPr>
            <w:tcW w:w="1272" w:type="dxa"/>
            <w:tcBorders>
              <w:top w:val="nil"/>
              <w:bottom w:val="nil"/>
            </w:tcBorders>
          </w:tcPr>
          <w:p w14:paraId="4A72BF97" w14:textId="2FC43D70" w:rsidR="004E3D8E" w:rsidRPr="004C78D8" w:rsidRDefault="004E3D8E" w:rsidP="00FB7C1F">
            <w:pPr>
              <w:jc w:val="center"/>
              <w:rPr>
                <w:sz w:val="20"/>
                <w:szCs w:val="20"/>
              </w:rPr>
            </w:pPr>
            <w:r w:rsidRPr="004C78D8">
              <w:rPr>
                <w:sz w:val="20"/>
                <w:szCs w:val="20"/>
              </w:rPr>
              <w:t>-13 (2)</w:t>
            </w:r>
          </w:p>
        </w:tc>
        <w:tc>
          <w:tcPr>
            <w:tcW w:w="1239" w:type="dxa"/>
            <w:tcBorders>
              <w:top w:val="nil"/>
              <w:bottom w:val="nil"/>
            </w:tcBorders>
          </w:tcPr>
          <w:p w14:paraId="2F2CEC3B" w14:textId="2471738C" w:rsidR="004E3D8E" w:rsidRPr="004C78D8" w:rsidRDefault="001B2E9E" w:rsidP="00FB7C1F">
            <w:pPr>
              <w:jc w:val="center"/>
              <w:rPr>
                <w:sz w:val="20"/>
                <w:szCs w:val="20"/>
              </w:rPr>
            </w:pPr>
            <w:r w:rsidRPr="004C78D8">
              <w:rPr>
                <w:sz w:val="20"/>
                <w:szCs w:val="20"/>
              </w:rPr>
              <w:t>-31 (3)</w:t>
            </w:r>
          </w:p>
        </w:tc>
        <w:tc>
          <w:tcPr>
            <w:tcW w:w="1272" w:type="dxa"/>
            <w:tcBorders>
              <w:top w:val="nil"/>
              <w:bottom w:val="nil"/>
            </w:tcBorders>
          </w:tcPr>
          <w:p w14:paraId="696F6E3F" w14:textId="3A2052F5" w:rsidR="004E3D8E" w:rsidRPr="004C78D8" w:rsidRDefault="001B2E9E" w:rsidP="00FB7C1F">
            <w:pPr>
              <w:jc w:val="center"/>
              <w:rPr>
                <w:sz w:val="20"/>
                <w:szCs w:val="20"/>
              </w:rPr>
            </w:pPr>
            <w:r w:rsidRPr="004C78D8">
              <w:rPr>
                <w:sz w:val="20"/>
                <w:szCs w:val="20"/>
              </w:rPr>
              <w:t>-33</w:t>
            </w:r>
            <w:r w:rsidR="00EA63E8" w:rsidRPr="004C78D8">
              <w:rPr>
                <w:sz w:val="20"/>
                <w:szCs w:val="20"/>
              </w:rPr>
              <w:t xml:space="preserve"> (=3)</w:t>
            </w:r>
          </w:p>
        </w:tc>
        <w:tc>
          <w:tcPr>
            <w:tcW w:w="1160" w:type="dxa"/>
            <w:tcBorders>
              <w:top w:val="nil"/>
              <w:bottom w:val="nil"/>
            </w:tcBorders>
          </w:tcPr>
          <w:p w14:paraId="74DE724A" w14:textId="15E1DB2B" w:rsidR="004E3D8E" w:rsidRPr="004C78D8" w:rsidRDefault="00EA63E8" w:rsidP="00FB7C1F">
            <w:pPr>
              <w:jc w:val="center"/>
              <w:rPr>
                <w:sz w:val="20"/>
                <w:szCs w:val="20"/>
              </w:rPr>
            </w:pPr>
            <w:r w:rsidRPr="004C78D8">
              <w:rPr>
                <w:sz w:val="20"/>
                <w:szCs w:val="20"/>
              </w:rPr>
              <w:t>86</w:t>
            </w:r>
            <w:r w:rsidR="00736317" w:rsidRPr="004C78D8">
              <w:rPr>
                <w:sz w:val="20"/>
                <w:szCs w:val="20"/>
              </w:rPr>
              <w:t xml:space="preserve"> (1)</w:t>
            </w:r>
          </w:p>
        </w:tc>
      </w:tr>
      <w:tr w:rsidR="004E3D8E" w:rsidRPr="004C78D8" w14:paraId="7CA3099D" w14:textId="14D38A28" w:rsidTr="00A1003D">
        <w:tc>
          <w:tcPr>
            <w:tcW w:w="554" w:type="dxa"/>
            <w:tcBorders>
              <w:top w:val="nil"/>
              <w:bottom w:val="nil"/>
            </w:tcBorders>
          </w:tcPr>
          <w:p w14:paraId="47AD1D7F" w14:textId="71640FD5" w:rsidR="004E3D8E" w:rsidRPr="004C78D8" w:rsidRDefault="004E3D8E" w:rsidP="00FB7C1F">
            <w:pPr>
              <w:rPr>
                <w:sz w:val="20"/>
                <w:szCs w:val="20"/>
              </w:rPr>
            </w:pPr>
            <w:r w:rsidRPr="004C78D8">
              <w:rPr>
                <w:sz w:val="18"/>
                <w:szCs w:val="18"/>
              </w:rPr>
              <w:t>[20]</w:t>
            </w:r>
          </w:p>
        </w:tc>
        <w:tc>
          <w:tcPr>
            <w:tcW w:w="2913" w:type="dxa"/>
            <w:tcBorders>
              <w:top w:val="nil"/>
              <w:bottom w:val="nil"/>
            </w:tcBorders>
          </w:tcPr>
          <w:p w14:paraId="57517337" w14:textId="26C0596A" w:rsidR="004E3D8E" w:rsidRPr="004C78D8" w:rsidRDefault="004E3D8E" w:rsidP="00FB7C1F">
            <w:pPr>
              <w:rPr>
                <w:sz w:val="20"/>
                <w:szCs w:val="20"/>
              </w:rPr>
            </w:pPr>
            <w:r w:rsidRPr="004C78D8">
              <w:rPr>
                <w:sz w:val="18"/>
                <w:szCs w:val="18"/>
              </w:rPr>
              <w:t>RC proactive pathway only</w:t>
            </w:r>
          </w:p>
        </w:tc>
        <w:tc>
          <w:tcPr>
            <w:tcW w:w="1415" w:type="dxa"/>
            <w:tcBorders>
              <w:top w:val="nil"/>
              <w:bottom w:val="nil"/>
            </w:tcBorders>
          </w:tcPr>
          <w:p w14:paraId="6ABDFC44" w14:textId="3FF2654B" w:rsidR="004E3D8E" w:rsidRPr="004C78D8" w:rsidRDefault="004E3D8E" w:rsidP="00FB7C1F">
            <w:pPr>
              <w:jc w:val="center"/>
              <w:rPr>
                <w:sz w:val="20"/>
                <w:szCs w:val="20"/>
              </w:rPr>
            </w:pPr>
            <w:r w:rsidRPr="004C78D8">
              <w:rPr>
                <w:sz w:val="20"/>
                <w:szCs w:val="20"/>
              </w:rPr>
              <w:t>6</w:t>
            </w:r>
          </w:p>
        </w:tc>
        <w:tc>
          <w:tcPr>
            <w:tcW w:w="1466" w:type="dxa"/>
            <w:tcBorders>
              <w:top w:val="nil"/>
              <w:bottom w:val="nil"/>
            </w:tcBorders>
          </w:tcPr>
          <w:p w14:paraId="15839D24" w14:textId="5F700FC1" w:rsidR="004E3D8E" w:rsidRPr="004C78D8" w:rsidRDefault="004E3D8E" w:rsidP="00FB7C1F">
            <w:pPr>
              <w:jc w:val="center"/>
              <w:rPr>
                <w:sz w:val="20"/>
                <w:szCs w:val="20"/>
              </w:rPr>
            </w:pPr>
            <w:r w:rsidRPr="004C78D8">
              <w:rPr>
                <w:sz w:val="20"/>
                <w:szCs w:val="20"/>
              </w:rPr>
              <w:t>0</w:t>
            </w:r>
          </w:p>
        </w:tc>
        <w:tc>
          <w:tcPr>
            <w:tcW w:w="1328" w:type="dxa"/>
            <w:tcBorders>
              <w:top w:val="nil"/>
              <w:bottom w:val="nil"/>
            </w:tcBorders>
          </w:tcPr>
          <w:p w14:paraId="753018C9" w14:textId="6B2A1936" w:rsidR="004E3D8E" w:rsidRPr="004C78D8" w:rsidRDefault="004E3D8E" w:rsidP="00FB7C1F">
            <w:pPr>
              <w:jc w:val="center"/>
              <w:rPr>
                <w:sz w:val="20"/>
                <w:szCs w:val="20"/>
              </w:rPr>
            </w:pPr>
            <w:r w:rsidRPr="004C78D8">
              <w:rPr>
                <w:sz w:val="20"/>
                <w:szCs w:val="20"/>
              </w:rPr>
              <w:t>6</w:t>
            </w:r>
          </w:p>
        </w:tc>
        <w:tc>
          <w:tcPr>
            <w:tcW w:w="1221" w:type="dxa"/>
            <w:tcBorders>
              <w:top w:val="nil"/>
              <w:bottom w:val="nil"/>
            </w:tcBorders>
          </w:tcPr>
          <w:p w14:paraId="5133C563" w14:textId="62D8021B" w:rsidR="004E3D8E" w:rsidRPr="004C78D8" w:rsidRDefault="004E3D8E" w:rsidP="00FB7C1F">
            <w:pPr>
              <w:jc w:val="center"/>
              <w:rPr>
                <w:sz w:val="20"/>
                <w:szCs w:val="20"/>
              </w:rPr>
            </w:pPr>
            <w:r w:rsidRPr="004C78D8">
              <w:rPr>
                <w:sz w:val="20"/>
                <w:szCs w:val="20"/>
              </w:rPr>
              <w:t>4</w:t>
            </w:r>
          </w:p>
        </w:tc>
        <w:tc>
          <w:tcPr>
            <w:tcW w:w="1272" w:type="dxa"/>
            <w:tcBorders>
              <w:top w:val="nil"/>
              <w:bottom w:val="nil"/>
            </w:tcBorders>
          </w:tcPr>
          <w:p w14:paraId="4A28563C" w14:textId="3415E313" w:rsidR="004E3D8E" w:rsidRPr="004C78D8" w:rsidRDefault="004E3D8E" w:rsidP="00FB7C1F">
            <w:pPr>
              <w:jc w:val="center"/>
              <w:rPr>
                <w:sz w:val="20"/>
                <w:szCs w:val="20"/>
              </w:rPr>
            </w:pPr>
            <w:r w:rsidRPr="004C78D8">
              <w:rPr>
                <w:sz w:val="20"/>
                <w:szCs w:val="20"/>
              </w:rPr>
              <w:t>-4</w:t>
            </w:r>
          </w:p>
        </w:tc>
        <w:tc>
          <w:tcPr>
            <w:tcW w:w="1239" w:type="dxa"/>
            <w:tcBorders>
              <w:top w:val="nil"/>
              <w:bottom w:val="nil"/>
            </w:tcBorders>
          </w:tcPr>
          <w:p w14:paraId="08810B86" w14:textId="776E162A" w:rsidR="004E3D8E" w:rsidRPr="004C78D8" w:rsidRDefault="001B2E9E" w:rsidP="00FB7C1F">
            <w:pPr>
              <w:jc w:val="center"/>
              <w:rPr>
                <w:sz w:val="20"/>
                <w:szCs w:val="20"/>
              </w:rPr>
            </w:pPr>
            <w:r w:rsidRPr="004C78D8">
              <w:rPr>
                <w:sz w:val="20"/>
                <w:szCs w:val="20"/>
              </w:rPr>
              <w:t>-27</w:t>
            </w:r>
          </w:p>
        </w:tc>
        <w:tc>
          <w:tcPr>
            <w:tcW w:w="1272" w:type="dxa"/>
            <w:tcBorders>
              <w:top w:val="nil"/>
              <w:bottom w:val="nil"/>
            </w:tcBorders>
          </w:tcPr>
          <w:p w14:paraId="59A3D158" w14:textId="7AD760DD" w:rsidR="004E3D8E" w:rsidRPr="004C78D8" w:rsidRDefault="001B2E9E" w:rsidP="00FB7C1F">
            <w:pPr>
              <w:jc w:val="center"/>
              <w:rPr>
                <w:sz w:val="20"/>
                <w:szCs w:val="20"/>
              </w:rPr>
            </w:pPr>
            <w:r w:rsidRPr="004C78D8">
              <w:rPr>
                <w:sz w:val="20"/>
                <w:szCs w:val="20"/>
              </w:rPr>
              <w:t>-32</w:t>
            </w:r>
          </w:p>
        </w:tc>
        <w:tc>
          <w:tcPr>
            <w:tcW w:w="1160" w:type="dxa"/>
            <w:tcBorders>
              <w:top w:val="nil"/>
              <w:bottom w:val="nil"/>
            </w:tcBorders>
          </w:tcPr>
          <w:p w14:paraId="1267CB05" w14:textId="54DF94AF" w:rsidR="004E3D8E" w:rsidRPr="004C78D8" w:rsidRDefault="00EA63E8" w:rsidP="00FB7C1F">
            <w:pPr>
              <w:jc w:val="center"/>
              <w:rPr>
                <w:sz w:val="20"/>
                <w:szCs w:val="20"/>
              </w:rPr>
            </w:pPr>
            <w:r w:rsidRPr="004C78D8">
              <w:rPr>
                <w:sz w:val="20"/>
                <w:szCs w:val="20"/>
              </w:rPr>
              <w:t>35</w:t>
            </w:r>
            <w:r w:rsidR="00736317" w:rsidRPr="004C78D8">
              <w:rPr>
                <w:sz w:val="20"/>
                <w:szCs w:val="20"/>
              </w:rPr>
              <w:t xml:space="preserve"> (=12)</w:t>
            </w:r>
          </w:p>
        </w:tc>
      </w:tr>
      <w:tr w:rsidR="004E3D8E" w:rsidRPr="004C78D8" w14:paraId="3E6C4C74" w14:textId="32E431EB" w:rsidTr="00A1003D">
        <w:tc>
          <w:tcPr>
            <w:tcW w:w="554" w:type="dxa"/>
            <w:tcBorders>
              <w:top w:val="nil"/>
              <w:bottom w:val="nil"/>
            </w:tcBorders>
          </w:tcPr>
          <w:p w14:paraId="7FC46FFB" w14:textId="3C32F4E0" w:rsidR="004E3D8E" w:rsidRPr="004C78D8" w:rsidRDefault="004E3D8E" w:rsidP="00FB7C1F">
            <w:pPr>
              <w:rPr>
                <w:sz w:val="20"/>
                <w:szCs w:val="20"/>
              </w:rPr>
            </w:pPr>
            <w:r w:rsidRPr="004C78D8">
              <w:rPr>
                <w:sz w:val="18"/>
                <w:szCs w:val="18"/>
              </w:rPr>
              <w:t>[21]</w:t>
            </w:r>
          </w:p>
        </w:tc>
        <w:tc>
          <w:tcPr>
            <w:tcW w:w="2913" w:type="dxa"/>
            <w:tcBorders>
              <w:top w:val="nil"/>
              <w:bottom w:val="nil"/>
            </w:tcBorders>
          </w:tcPr>
          <w:p w14:paraId="2E08F389" w14:textId="09E90627" w:rsidR="004E3D8E" w:rsidRPr="004C78D8" w:rsidRDefault="004E3D8E" w:rsidP="00FB7C1F">
            <w:pPr>
              <w:rPr>
                <w:sz w:val="20"/>
                <w:szCs w:val="20"/>
              </w:rPr>
            </w:pPr>
            <w:r w:rsidRPr="004C78D8">
              <w:rPr>
                <w:sz w:val="18"/>
                <w:szCs w:val="18"/>
              </w:rPr>
              <w:t>RC reactive &amp; proactive pathways</w:t>
            </w:r>
          </w:p>
        </w:tc>
        <w:tc>
          <w:tcPr>
            <w:tcW w:w="1415" w:type="dxa"/>
            <w:tcBorders>
              <w:top w:val="nil"/>
              <w:bottom w:val="nil"/>
            </w:tcBorders>
          </w:tcPr>
          <w:p w14:paraId="28739248" w14:textId="0D6A0B28" w:rsidR="004E3D8E" w:rsidRPr="004C78D8" w:rsidRDefault="004E3D8E" w:rsidP="00FB7C1F">
            <w:pPr>
              <w:jc w:val="center"/>
              <w:rPr>
                <w:sz w:val="20"/>
                <w:szCs w:val="20"/>
              </w:rPr>
            </w:pPr>
            <w:r w:rsidRPr="004C78D8">
              <w:rPr>
                <w:sz w:val="20"/>
                <w:szCs w:val="20"/>
              </w:rPr>
              <w:t>13</w:t>
            </w:r>
          </w:p>
        </w:tc>
        <w:tc>
          <w:tcPr>
            <w:tcW w:w="1466" w:type="dxa"/>
            <w:tcBorders>
              <w:top w:val="nil"/>
              <w:bottom w:val="nil"/>
            </w:tcBorders>
          </w:tcPr>
          <w:p w14:paraId="74BFA0E1" w14:textId="69193D7C" w:rsidR="004E3D8E" w:rsidRPr="004C78D8" w:rsidRDefault="004E3D8E" w:rsidP="00FB7C1F">
            <w:pPr>
              <w:jc w:val="center"/>
              <w:rPr>
                <w:sz w:val="20"/>
                <w:szCs w:val="20"/>
              </w:rPr>
            </w:pPr>
            <w:r w:rsidRPr="004C78D8">
              <w:rPr>
                <w:sz w:val="20"/>
                <w:szCs w:val="20"/>
              </w:rPr>
              <w:t>2</w:t>
            </w:r>
          </w:p>
        </w:tc>
        <w:tc>
          <w:tcPr>
            <w:tcW w:w="1328" w:type="dxa"/>
            <w:tcBorders>
              <w:top w:val="nil"/>
              <w:bottom w:val="nil"/>
            </w:tcBorders>
          </w:tcPr>
          <w:p w14:paraId="768BD7F0" w14:textId="0FCDBEF0" w:rsidR="004E3D8E" w:rsidRPr="004C78D8" w:rsidRDefault="004E3D8E" w:rsidP="00FB7C1F">
            <w:pPr>
              <w:jc w:val="center"/>
              <w:rPr>
                <w:sz w:val="20"/>
                <w:szCs w:val="20"/>
              </w:rPr>
            </w:pPr>
            <w:r w:rsidRPr="004C78D8">
              <w:rPr>
                <w:sz w:val="20"/>
                <w:szCs w:val="20"/>
              </w:rPr>
              <w:t>16 (=3)</w:t>
            </w:r>
          </w:p>
        </w:tc>
        <w:tc>
          <w:tcPr>
            <w:tcW w:w="1221" w:type="dxa"/>
            <w:tcBorders>
              <w:top w:val="nil"/>
              <w:bottom w:val="nil"/>
            </w:tcBorders>
          </w:tcPr>
          <w:p w14:paraId="6DE80A4C" w14:textId="13D5AE09" w:rsidR="004E3D8E" w:rsidRPr="004C78D8" w:rsidRDefault="004E3D8E" w:rsidP="00FB7C1F">
            <w:pPr>
              <w:jc w:val="center"/>
              <w:rPr>
                <w:sz w:val="20"/>
                <w:szCs w:val="20"/>
              </w:rPr>
            </w:pPr>
            <w:r w:rsidRPr="004C78D8">
              <w:rPr>
                <w:sz w:val="20"/>
                <w:szCs w:val="20"/>
              </w:rPr>
              <w:t>0</w:t>
            </w:r>
          </w:p>
        </w:tc>
        <w:tc>
          <w:tcPr>
            <w:tcW w:w="1272" w:type="dxa"/>
            <w:tcBorders>
              <w:top w:val="nil"/>
              <w:bottom w:val="nil"/>
            </w:tcBorders>
          </w:tcPr>
          <w:p w14:paraId="79DFE60A" w14:textId="0AC888D4" w:rsidR="004E3D8E" w:rsidRPr="004C78D8" w:rsidRDefault="004E3D8E" w:rsidP="00FB7C1F">
            <w:pPr>
              <w:jc w:val="center"/>
              <w:rPr>
                <w:sz w:val="20"/>
                <w:szCs w:val="20"/>
              </w:rPr>
            </w:pPr>
            <w:r w:rsidRPr="004C78D8">
              <w:rPr>
                <w:sz w:val="20"/>
                <w:szCs w:val="20"/>
              </w:rPr>
              <w:t>-11</w:t>
            </w:r>
          </w:p>
        </w:tc>
        <w:tc>
          <w:tcPr>
            <w:tcW w:w="1239" w:type="dxa"/>
            <w:tcBorders>
              <w:top w:val="nil"/>
              <w:bottom w:val="nil"/>
            </w:tcBorders>
          </w:tcPr>
          <w:p w14:paraId="1D890525" w14:textId="5C85C1BB" w:rsidR="004E3D8E" w:rsidRPr="004C78D8" w:rsidRDefault="001B2E9E" w:rsidP="00FB7C1F">
            <w:pPr>
              <w:jc w:val="center"/>
              <w:rPr>
                <w:sz w:val="20"/>
                <w:szCs w:val="20"/>
              </w:rPr>
            </w:pPr>
            <w:r w:rsidRPr="004C78D8">
              <w:rPr>
                <w:sz w:val="20"/>
                <w:szCs w:val="20"/>
              </w:rPr>
              <w:t>-26</w:t>
            </w:r>
          </w:p>
        </w:tc>
        <w:tc>
          <w:tcPr>
            <w:tcW w:w="1272" w:type="dxa"/>
            <w:tcBorders>
              <w:top w:val="nil"/>
              <w:bottom w:val="nil"/>
            </w:tcBorders>
          </w:tcPr>
          <w:p w14:paraId="2C972B7E" w14:textId="35BFE8AD" w:rsidR="004E3D8E" w:rsidRPr="004C78D8" w:rsidRDefault="001B2E9E" w:rsidP="00FB7C1F">
            <w:pPr>
              <w:jc w:val="center"/>
              <w:rPr>
                <w:sz w:val="20"/>
                <w:szCs w:val="20"/>
              </w:rPr>
            </w:pPr>
            <w:r w:rsidRPr="004C78D8">
              <w:rPr>
                <w:sz w:val="20"/>
                <w:szCs w:val="20"/>
              </w:rPr>
              <w:t>-33</w:t>
            </w:r>
            <w:r w:rsidR="00EA63E8" w:rsidRPr="004C78D8">
              <w:rPr>
                <w:sz w:val="20"/>
                <w:szCs w:val="20"/>
              </w:rPr>
              <w:t xml:space="preserve"> (=3)</w:t>
            </w:r>
          </w:p>
        </w:tc>
        <w:tc>
          <w:tcPr>
            <w:tcW w:w="1160" w:type="dxa"/>
            <w:tcBorders>
              <w:top w:val="nil"/>
              <w:bottom w:val="nil"/>
            </w:tcBorders>
          </w:tcPr>
          <w:p w14:paraId="775BD990" w14:textId="4A196B9A" w:rsidR="004E3D8E" w:rsidRPr="004C78D8" w:rsidRDefault="00EA63E8" w:rsidP="00FB7C1F">
            <w:pPr>
              <w:jc w:val="center"/>
              <w:rPr>
                <w:sz w:val="20"/>
                <w:szCs w:val="20"/>
              </w:rPr>
            </w:pPr>
            <w:r w:rsidRPr="004C78D8">
              <w:rPr>
                <w:sz w:val="20"/>
                <w:szCs w:val="20"/>
              </w:rPr>
              <w:t>57</w:t>
            </w:r>
            <w:r w:rsidR="00736317" w:rsidRPr="004C78D8">
              <w:rPr>
                <w:sz w:val="20"/>
                <w:szCs w:val="20"/>
              </w:rPr>
              <w:t xml:space="preserve"> (6)</w:t>
            </w:r>
          </w:p>
        </w:tc>
      </w:tr>
      <w:tr w:rsidR="004E3D8E" w:rsidRPr="004C78D8" w14:paraId="0CAEAE41" w14:textId="19B6574F" w:rsidTr="00A1003D">
        <w:tc>
          <w:tcPr>
            <w:tcW w:w="554" w:type="dxa"/>
            <w:tcBorders>
              <w:top w:val="nil"/>
              <w:bottom w:val="nil"/>
            </w:tcBorders>
          </w:tcPr>
          <w:p w14:paraId="686C85CF" w14:textId="4B9DB24D" w:rsidR="004E3D8E" w:rsidRPr="004C78D8" w:rsidRDefault="004E3D8E" w:rsidP="00FB7C1F">
            <w:pPr>
              <w:rPr>
                <w:sz w:val="20"/>
                <w:szCs w:val="20"/>
              </w:rPr>
            </w:pPr>
            <w:r w:rsidRPr="004C78D8">
              <w:rPr>
                <w:sz w:val="18"/>
                <w:szCs w:val="18"/>
              </w:rPr>
              <w:t>[22]</w:t>
            </w:r>
          </w:p>
        </w:tc>
        <w:tc>
          <w:tcPr>
            <w:tcW w:w="2913" w:type="dxa"/>
            <w:tcBorders>
              <w:top w:val="nil"/>
              <w:bottom w:val="nil"/>
            </w:tcBorders>
          </w:tcPr>
          <w:p w14:paraId="26564DDD" w14:textId="7BCE0D49" w:rsidR="004E3D8E" w:rsidRPr="004C78D8" w:rsidRDefault="004E3D8E" w:rsidP="00FB7C1F">
            <w:pPr>
              <w:rPr>
                <w:sz w:val="20"/>
                <w:szCs w:val="20"/>
              </w:rPr>
            </w:pPr>
            <w:r w:rsidRPr="004C78D8">
              <w:rPr>
                <w:sz w:val="18"/>
                <w:szCs w:val="18"/>
              </w:rPr>
              <w:t>RC</w:t>
            </w:r>
          </w:p>
        </w:tc>
        <w:tc>
          <w:tcPr>
            <w:tcW w:w="1415" w:type="dxa"/>
            <w:tcBorders>
              <w:top w:val="nil"/>
              <w:bottom w:val="nil"/>
            </w:tcBorders>
          </w:tcPr>
          <w:p w14:paraId="57F5CDD5" w14:textId="67AAFE5E" w:rsidR="004E3D8E" w:rsidRPr="004C78D8" w:rsidRDefault="004E3D8E" w:rsidP="00FB7C1F">
            <w:pPr>
              <w:jc w:val="center"/>
              <w:rPr>
                <w:sz w:val="20"/>
                <w:szCs w:val="20"/>
              </w:rPr>
            </w:pPr>
            <w:r w:rsidRPr="004C78D8">
              <w:rPr>
                <w:sz w:val="20"/>
                <w:szCs w:val="20"/>
              </w:rPr>
              <w:t>35 (1)</w:t>
            </w:r>
          </w:p>
        </w:tc>
        <w:tc>
          <w:tcPr>
            <w:tcW w:w="1466" w:type="dxa"/>
            <w:tcBorders>
              <w:top w:val="nil"/>
              <w:bottom w:val="nil"/>
            </w:tcBorders>
          </w:tcPr>
          <w:p w14:paraId="0BE64736" w14:textId="72D6ED2D" w:rsidR="004E3D8E" w:rsidRPr="004C78D8" w:rsidRDefault="004E3D8E" w:rsidP="00FB7C1F">
            <w:pPr>
              <w:jc w:val="center"/>
              <w:rPr>
                <w:sz w:val="20"/>
                <w:szCs w:val="20"/>
              </w:rPr>
            </w:pPr>
            <w:r w:rsidRPr="004C78D8">
              <w:rPr>
                <w:sz w:val="20"/>
                <w:szCs w:val="20"/>
              </w:rPr>
              <w:t>25 (1)</w:t>
            </w:r>
          </w:p>
        </w:tc>
        <w:tc>
          <w:tcPr>
            <w:tcW w:w="1328" w:type="dxa"/>
            <w:tcBorders>
              <w:top w:val="nil"/>
              <w:bottom w:val="nil"/>
            </w:tcBorders>
          </w:tcPr>
          <w:p w14:paraId="1C46AC80" w14:textId="64DAD638" w:rsidR="004E3D8E" w:rsidRPr="004C78D8" w:rsidRDefault="004E3D8E" w:rsidP="00FB7C1F">
            <w:pPr>
              <w:jc w:val="center"/>
              <w:rPr>
                <w:sz w:val="20"/>
                <w:szCs w:val="20"/>
              </w:rPr>
            </w:pPr>
            <w:r w:rsidRPr="004C78D8">
              <w:rPr>
                <w:sz w:val="20"/>
                <w:szCs w:val="20"/>
              </w:rPr>
              <w:t>17 (2)</w:t>
            </w:r>
          </w:p>
        </w:tc>
        <w:tc>
          <w:tcPr>
            <w:tcW w:w="1221" w:type="dxa"/>
            <w:tcBorders>
              <w:top w:val="nil"/>
              <w:bottom w:val="nil"/>
            </w:tcBorders>
          </w:tcPr>
          <w:p w14:paraId="5E5461B8" w14:textId="2F15DF38" w:rsidR="004E3D8E" w:rsidRPr="004C78D8" w:rsidRDefault="004E3D8E" w:rsidP="00FB7C1F">
            <w:pPr>
              <w:jc w:val="center"/>
              <w:rPr>
                <w:sz w:val="20"/>
                <w:szCs w:val="20"/>
              </w:rPr>
            </w:pPr>
            <w:r w:rsidRPr="004C78D8">
              <w:rPr>
                <w:sz w:val="20"/>
                <w:szCs w:val="20"/>
              </w:rPr>
              <w:t>10</w:t>
            </w:r>
          </w:p>
        </w:tc>
        <w:tc>
          <w:tcPr>
            <w:tcW w:w="1272" w:type="dxa"/>
            <w:tcBorders>
              <w:top w:val="nil"/>
              <w:bottom w:val="nil"/>
            </w:tcBorders>
          </w:tcPr>
          <w:p w14:paraId="6635CB06" w14:textId="11312518" w:rsidR="004E3D8E" w:rsidRPr="004C78D8" w:rsidRDefault="004E3D8E" w:rsidP="00FB7C1F">
            <w:pPr>
              <w:jc w:val="center"/>
              <w:rPr>
                <w:sz w:val="20"/>
                <w:szCs w:val="20"/>
              </w:rPr>
            </w:pPr>
            <w:r w:rsidRPr="004C78D8">
              <w:rPr>
                <w:sz w:val="20"/>
                <w:szCs w:val="20"/>
              </w:rPr>
              <w:t>-5</w:t>
            </w:r>
          </w:p>
        </w:tc>
        <w:tc>
          <w:tcPr>
            <w:tcW w:w="1239" w:type="dxa"/>
            <w:tcBorders>
              <w:top w:val="nil"/>
              <w:bottom w:val="nil"/>
            </w:tcBorders>
          </w:tcPr>
          <w:p w14:paraId="38BA96B2" w14:textId="695C9407" w:rsidR="004E3D8E" w:rsidRPr="004C78D8" w:rsidRDefault="001B2E9E" w:rsidP="00FB7C1F">
            <w:pPr>
              <w:jc w:val="center"/>
              <w:rPr>
                <w:sz w:val="20"/>
                <w:szCs w:val="20"/>
              </w:rPr>
            </w:pPr>
            <w:r w:rsidRPr="004C78D8">
              <w:rPr>
                <w:sz w:val="20"/>
                <w:szCs w:val="20"/>
              </w:rPr>
              <w:t>-15</w:t>
            </w:r>
          </w:p>
        </w:tc>
        <w:tc>
          <w:tcPr>
            <w:tcW w:w="1272" w:type="dxa"/>
            <w:tcBorders>
              <w:top w:val="nil"/>
              <w:bottom w:val="nil"/>
            </w:tcBorders>
          </w:tcPr>
          <w:p w14:paraId="69340B9E" w14:textId="30A4B1FB" w:rsidR="004E3D8E" w:rsidRPr="004C78D8" w:rsidRDefault="001B2E9E" w:rsidP="00FB7C1F">
            <w:pPr>
              <w:jc w:val="center"/>
              <w:rPr>
                <w:sz w:val="20"/>
                <w:szCs w:val="20"/>
              </w:rPr>
            </w:pPr>
            <w:r w:rsidRPr="004C78D8">
              <w:rPr>
                <w:sz w:val="20"/>
                <w:szCs w:val="20"/>
              </w:rPr>
              <w:t>-24</w:t>
            </w:r>
          </w:p>
        </w:tc>
        <w:tc>
          <w:tcPr>
            <w:tcW w:w="1160" w:type="dxa"/>
            <w:tcBorders>
              <w:top w:val="nil"/>
              <w:bottom w:val="nil"/>
            </w:tcBorders>
          </w:tcPr>
          <w:p w14:paraId="03403E0E" w14:textId="7716AC05" w:rsidR="004E3D8E" w:rsidRPr="004C78D8" w:rsidRDefault="00EA63E8" w:rsidP="00FB7C1F">
            <w:pPr>
              <w:jc w:val="center"/>
              <w:rPr>
                <w:sz w:val="20"/>
                <w:szCs w:val="20"/>
              </w:rPr>
            </w:pPr>
            <w:r w:rsidRPr="004C78D8">
              <w:rPr>
                <w:sz w:val="20"/>
                <w:szCs w:val="20"/>
              </w:rPr>
              <w:t>82</w:t>
            </w:r>
            <w:r w:rsidR="00736317" w:rsidRPr="004C78D8">
              <w:rPr>
                <w:sz w:val="20"/>
                <w:szCs w:val="20"/>
              </w:rPr>
              <w:t xml:space="preserve"> (2)</w:t>
            </w:r>
          </w:p>
        </w:tc>
      </w:tr>
      <w:tr w:rsidR="004E3D8E" w:rsidRPr="004C78D8" w14:paraId="1F3BE49F" w14:textId="52995615" w:rsidTr="00A1003D">
        <w:tc>
          <w:tcPr>
            <w:tcW w:w="554" w:type="dxa"/>
            <w:tcBorders>
              <w:top w:val="nil"/>
            </w:tcBorders>
          </w:tcPr>
          <w:p w14:paraId="4DF7EA23" w14:textId="2AE09724" w:rsidR="004E3D8E" w:rsidRPr="004C78D8" w:rsidRDefault="004E3D8E" w:rsidP="00FB7C1F">
            <w:pPr>
              <w:rPr>
                <w:sz w:val="20"/>
                <w:szCs w:val="20"/>
              </w:rPr>
            </w:pPr>
            <w:r w:rsidRPr="004C78D8">
              <w:rPr>
                <w:sz w:val="18"/>
                <w:szCs w:val="18"/>
              </w:rPr>
              <w:t>[23]</w:t>
            </w:r>
          </w:p>
        </w:tc>
        <w:tc>
          <w:tcPr>
            <w:tcW w:w="2913" w:type="dxa"/>
            <w:tcBorders>
              <w:top w:val="nil"/>
            </w:tcBorders>
          </w:tcPr>
          <w:p w14:paraId="3ADE1097" w14:textId="05131008" w:rsidR="004E3D8E" w:rsidRPr="004C78D8" w:rsidRDefault="004E3D8E" w:rsidP="00FB7C1F">
            <w:pPr>
              <w:rPr>
                <w:sz w:val="20"/>
                <w:szCs w:val="20"/>
              </w:rPr>
            </w:pPr>
            <w:r w:rsidRPr="004C78D8">
              <w:rPr>
                <w:sz w:val="18"/>
                <w:szCs w:val="18"/>
              </w:rPr>
              <w:t>RC proactive &amp; SR pathways</w:t>
            </w:r>
          </w:p>
        </w:tc>
        <w:tc>
          <w:tcPr>
            <w:tcW w:w="1415" w:type="dxa"/>
            <w:tcBorders>
              <w:top w:val="nil"/>
            </w:tcBorders>
          </w:tcPr>
          <w:p w14:paraId="742F3C75" w14:textId="0E30ED32" w:rsidR="004E3D8E" w:rsidRPr="004C78D8" w:rsidRDefault="004E3D8E" w:rsidP="00FB7C1F">
            <w:pPr>
              <w:jc w:val="center"/>
              <w:rPr>
                <w:sz w:val="20"/>
                <w:szCs w:val="20"/>
              </w:rPr>
            </w:pPr>
            <w:r w:rsidRPr="004C78D8">
              <w:rPr>
                <w:sz w:val="20"/>
                <w:szCs w:val="20"/>
              </w:rPr>
              <w:t>21</w:t>
            </w:r>
          </w:p>
        </w:tc>
        <w:tc>
          <w:tcPr>
            <w:tcW w:w="1466" w:type="dxa"/>
            <w:tcBorders>
              <w:top w:val="nil"/>
            </w:tcBorders>
          </w:tcPr>
          <w:p w14:paraId="532F38E8" w14:textId="723B430C" w:rsidR="004E3D8E" w:rsidRPr="004C78D8" w:rsidRDefault="004E3D8E" w:rsidP="00FB7C1F">
            <w:pPr>
              <w:jc w:val="center"/>
              <w:rPr>
                <w:sz w:val="20"/>
                <w:szCs w:val="20"/>
              </w:rPr>
            </w:pPr>
            <w:r w:rsidRPr="004C78D8">
              <w:rPr>
                <w:sz w:val="20"/>
                <w:szCs w:val="20"/>
              </w:rPr>
              <w:t>6</w:t>
            </w:r>
          </w:p>
        </w:tc>
        <w:tc>
          <w:tcPr>
            <w:tcW w:w="1328" w:type="dxa"/>
            <w:tcBorders>
              <w:top w:val="nil"/>
            </w:tcBorders>
          </w:tcPr>
          <w:p w14:paraId="55A70568" w14:textId="2299A3E6" w:rsidR="004E3D8E" w:rsidRPr="004C78D8" w:rsidRDefault="004E3D8E" w:rsidP="00FB7C1F">
            <w:pPr>
              <w:jc w:val="center"/>
              <w:rPr>
                <w:sz w:val="20"/>
                <w:szCs w:val="20"/>
              </w:rPr>
            </w:pPr>
            <w:r w:rsidRPr="004C78D8">
              <w:rPr>
                <w:sz w:val="20"/>
                <w:szCs w:val="20"/>
              </w:rPr>
              <w:t>6</w:t>
            </w:r>
          </w:p>
        </w:tc>
        <w:tc>
          <w:tcPr>
            <w:tcW w:w="1221" w:type="dxa"/>
            <w:tcBorders>
              <w:top w:val="nil"/>
            </w:tcBorders>
          </w:tcPr>
          <w:p w14:paraId="03873A8E" w14:textId="752130C5" w:rsidR="004E3D8E" w:rsidRPr="004C78D8" w:rsidRDefault="004E3D8E" w:rsidP="00FB7C1F">
            <w:pPr>
              <w:jc w:val="center"/>
              <w:rPr>
                <w:sz w:val="20"/>
                <w:szCs w:val="20"/>
              </w:rPr>
            </w:pPr>
            <w:r w:rsidRPr="004C78D8">
              <w:rPr>
                <w:sz w:val="20"/>
                <w:szCs w:val="20"/>
              </w:rPr>
              <w:t>3</w:t>
            </w:r>
          </w:p>
        </w:tc>
        <w:tc>
          <w:tcPr>
            <w:tcW w:w="1272" w:type="dxa"/>
            <w:tcBorders>
              <w:top w:val="nil"/>
            </w:tcBorders>
          </w:tcPr>
          <w:p w14:paraId="75DE0FE8" w14:textId="6220A986" w:rsidR="004E3D8E" w:rsidRPr="004C78D8" w:rsidRDefault="004E3D8E" w:rsidP="00FB7C1F">
            <w:pPr>
              <w:jc w:val="center"/>
              <w:rPr>
                <w:sz w:val="20"/>
                <w:szCs w:val="20"/>
              </w:rPr>
            </w:pPr>
            <w:r w:rsidRPr="004C78D8">
              <w:rPr>
                <w:sz w:val="20"/>
                <w:szCs w:val="20"/>
              </w:rPr>
              <w:t>-10</w:t>
            </w:r>
          </w:p>
        </w:tc>
        <w:tc>
          <w:tcPr>
            <w:tcW w:w="1239" w:type="dxa"/>
            <w:tcBorders>
              <w:top w:val="nil"/>
            </w:tcBorders>
          </w:tcPr>
          <w:p w14:paraId="63152B91" w14:textId="17974870" w:rsidR="004E3D8E" w:rsidRPr="004C78D8" w:rsidRDefault="001B2E9E" w:rsidP="00FB7C1F">
            <w:pPr>
              <w:jc w:val="center"/>
              <w:rPr>
                <w:sz w:val="20"/>
                <w:szCs w:val="20"/>
              </w:rPr>
            </w:pPr>
            <w:r w:rsidRPr="004C78D8">
              <w:rPr>
                <w:sz w:val="20"/>
                <w:szCs w:val="20"/>
              </w:rPr>
              <w:t>-40 (1)</w:t>
            </w:r>
          </w:p>
        </w:tc>
        <w:tc>
          <w:tcPr>
            <w:tcW w:w="1272" w:type="dxa"/>
            <w:tcBorders>
              <w:top w:val="nil"/>
            </w:tcBorders>
          </w:tcPr>
          <w:p w14:paraId="3E355648" w14:textId="4249DCA4" w:rsidR="004E3D8E" w:rsidRPr="004C78D8" w:rsidRDefault="001B2E9E" w:rsidP="00FB7C1F">
            <w:pPr>
              <w:jc w:val="center"/>
              <w:rPr>
                <w:sz w:val="20"/>
                <w:szCs w:val="20"/>
              </w:rPr>
            </w:pPr>
            <w:r w:rsidRPr="004C78D8">
              <w:rPr>
                <w:sz w:val="20"/>
                <w:szCs w:val="20"/>
              </w:rPr>
              <w:t>-48 (1)</w:t>
            </w:r>
          </w:p>
        </w:tc>
        <w:tc>
          <w:tcPr>
            <w:tcW w:w="1160" w:type="dxa"/>
            <w:tcBorders>
              <w:top w:val="nil"/>
            </w:tcBorders>
          </w:tcPr>
          <w:p w14:paraId="5F8849E8" w14:textId="0250D686" w:rsidR="004E3D8E" w:rsidRPr="004C78D8" w:rsidRDefault="00EA63E8" w:rsidP="00FB7C1F">
            <w:pPr>
              <w:jc w:val="center"/>
              <w:rPr>
                <w:sz w:val="20"/>
                <w:szCs w:val="20"/>
              </w:rPr>
            </w:pPr>
            <w:r w:rsidRPr="004C78D8">
              <w:rPr>
                <w:sz w:val="20"/>
                <w:szCs w:val="20"/>
              </w:rPr>
              <w:t>70</w:t>
            </w:r>
            <w:r w:rsidR="00736317" w:rsidRPr="004C78D8">
              <w:rPr>
                <w:sz w:val="20"/>
                <w:szCs w:val="20"/>
              </w:rPr>
              <w:t xml:space="preserve"> (3)</w:t>
            </w:r>
          </w:p>
        </w:tc>
      </w:tr>
      <w:tr w:rsidR="004E3D8E" w:rsidRPr="004C78D8" w14:paraId="59058D09" w14:textId="0A8837CE" w:rsidTr="00A1003D">
        <w:tc>
          <w:tcPr>
            <w:tcW w:w="13840" w:type="dxa"/>
            <w:gridSpan w:val="10"/>
          </w:tcPr>
          <w:p w14:paraId="25A52B4D" w14:textId="77777777" w:rsidR="004E3D8E" w:rsidRPr="004C78D8" w:rsidRDefault="004E3D8E" w:rsidP="00FB7C1F">
            <w:pPr>
              <w:rPr>
                <w:sz w:val="18"/>
                <w:szCs w:val="18"/>
              </w:rPr>
            </w:pPr>
            <w:r w:rsidRPr="004C78D8">
              <w:rPr>
                <w:b/>
                <w:bCs/>
                <w:sz w:val="18"/>
                <w:szCs w:val="18"/>
              </w:rPr>
              <w:t>Abbreviation:</w:t>
            </w:r>
            <w:r w:rsidRPr="004C78D8">
              <w:rPr>
                <w:sz w:val="18"/>
                <w:szCs w:val="18"/>
              </w:rPr>
              <w:t xml:space="preserve"> CPE: catastrophic private expenditure; CRC(#): constrained recommended care scenario (#); EICB: excessive informal caregiver burden; FH: falls hazard; FRS: falls risk screening; INHB: incremental net health benefit; PA: physical activity; PS: public sector; RC: recommended care; SES: socioeconomic status; SR: self-referred; UC: usual care.</w:t>
            </w:r>
          </w:p>
          <w:p w14:paraId="00875644" w14:textId="3B3D3249" w:rsidR="004E3D8E" w:rsidRPr="004C78D8" w:rsidRDefault="004E3D8E" w:rsidP="00FB7C1F">
            <w:pPr>
              <w:rPr>
                <w:sz w:val="18"/>
                <w:szCs w:val="18"/>
              </w:rPr>
            </w:pPr>
            <w:r w:rsidRPr="004C78D8">
              <w:rPr>
                <w:sz w:val="18"/>
                <w:szCs w:val="18"/>
                <w:vertAlign w:val="superscript"/>
              </w:rPr>
              <w:t>1</w:t>
            </w:r>
            <w:r w:rsidRPr="004C78D8">
              <w:rPr>
                <w:sz w:val="18"/>
                <w:szCs w:val="18"/>
              </w:rPr>
              <w:t xml:space="preserve"> Assigned in Table </w:t>
            </w:r>
            <w:r w:rsidR="00CE31D7" w:rsidRPr="004C78D8">
              <w:rPr>
                <w:sz w:val="18"/>
                <w:szCs w:val="18"/>
              </w:rPr>
              <w:t>6</w:t>
            </w:r>
            <w:r w:rsidRPr="004C78D8">
              <w:rPr>
                <w:sz w:val="18"/>
                <w:szCs w:val="18"/>
              </w:rPr>
              <w:t>.</w:t>
            </w:r>
            <w:r w:rsidR="00CE31D7" w:rsidRPr="004C78D8">
              <w:rPr>
                <w:sz w:val="18"/>
                <w:szCs w:val="18"/>
              </w:rPr>
              <w:t>18</w:t>
            </w:r>
            <w:r w:rsidRPr="004C78D8">
              <w:rPr>
                <w:sz w:val="18"/>
                <w:szCs w:val="18"/>
              </w:rPr>
              <w:t xml:space="preserve"> according to increasing incremental public sector all-cause cost.</w:t>
            </w:r>
          </w:p>
          <w:p w14:paraId="630F96F0" w14:textId="59E5E4EF" w:rsidR="00CA7FB8" w:rsidRPr="004C78D8" w:rsidRDefault="00CA7FB8" w:rsidP="00FB7C1F">
            <w:pPr>
              <w:rPr>
                <w:sz w:val="18"/>
                <w:szCs w:val="18"/>
              </w:rPr>
            </w:pPr>
            <w:r w:rsidRPr="004C78D8">
              <w:rPr>
                <w:sz w:val="18"/>
                <w:szCs w:val="18"/>
                <w:vertAlign w:val="superscript"/>
              </w:rPr>
              <w:t>2</w:t>
            </w:r>
            <w:r w:rsidRPr="004C78D8">
              <w:rPr>
                <w:sz w:val="18"/>
                <w:szCs w:val="18"/>
              </w:rPr>
              <w:t xml:space="preserve"> All outcomes were averaged across 20 model trial runs with different random number seeds.</w:t>
            </w:r>
          </w:p>
          <w:p w14:paraId="26D18A3E" w14:textId="21FAB961" w:rsidR="004E3D8E" w:rsidRPr="004C78D8" w:rsidRDefault="00CA7FB8" w:rsidP="00FB7C1F">
            <w:pPr>
              <w:rPr>
                <w:b/>
                <w:bCs/>
                <w:sz w:val="18"/>
                <w:szCs w:val="18"/>
              </w:rPr>
            </w:pPr>
            <w:r w:rsidRPr="004C78D8">
              <w:rPr>
                <w:sz w:val="18"/>
                <w:szCs w:val="18"/>
                <w:vertAlign w:val="superscript"/>
              </w:rPr>
              <w:t>3</w:t>
            </w:r>
            <w:r w:rsidR="001B2E9E" w:rsidRPr="004C78D8">
              <w:rPr>
                <w:sz w:val="18"/>
                <w:szCs w:val="18"/>
              </w:rPr>
              <w:t xml:space="preserve"> Calculated by adding outcomes (1), (2) and (3), then subtracting (4) and (6).</w:t>
            </w:r>
          </w:p>
        </w:tc>
      </w:tr>
    </w:tbl>
    <w:p w14:paraId="19D6451B" w14:textId="77777777" w:rsidR="006E5594" w:rsidRPr="004C78D8" w:rsidRDefault="006E5594" w:rsidP="00FB7C1F">
      <w:pPr>
        <w:sectPr w:rsidR="006E5594" w:rsidRPr="004C78D8" w:rsidSect="006E5594">
          <w:pgSz w:w="16838" w:h="11906" w:orient="landscape"/>
          <w:pgMar w:top="1440" w:right="1440" w:bottom="1440" w:left="1440" w:header="708" w:footer="708" w:gutter="0"/>
          <w:cols w:space="708"/>
          <w:docGrid w:linePitch="360"/>
        </w:sectPr>
      </w:pPr>
    </w:p>
    <w:p w14:paraId="56649F97" w14:textId="75EB6A8B" w:rsidR="005A3BEB" w:rsidRPr="004C78D8" w:rsidRDefault="00BF60D9" w:rsidP="00972766">
      <w:pPr>
        <w:pStyle w:val="Heading4"/>
      </w:pPr>
      <w:r w:rsidRPr="004C78D8">
        <w:t>6</w:t>
      </w:r>
      <w:r w:rsidR="005A3BEB" w:rsidRPr="004C78D8">
        <w:t>.</w:t>
      </w:r>
      <w:r w:rsidRPr="004C78D8">
        <w:t>3</w:t>
      </w:r>
      <w:r w:rsidR="005A3BEB" w:rsidRPr="004C78D8">
        <w:t>.</w:t>
      </w:r>
      <w:r w:rsidRPr="004C78D8">
        <w:t>2.</w:t>
      </w:r>
      <w:r w:rsidR="005A3BEB" w:rsidRPr="004C78D8">
        <w:t>2 Comparison under five-year public sector return on investment analysis</w:t>
      </w:r>
    </w:p>
    <w:p w14:paraId="7AA0F5FE" w14:textId="7BF305B1" w:rsidR="005A3BEB" w:rsidRPr="004C78D8" w:rsidRDefault="00595F42" w:rsidP="00FB7C1F">
      <w:r w:rsidRPr="004C78D8">
        <w:t xml:space="preserve">Table </w:t>
      </w:r>
      <w:r w:rsidR="00CE31D7" w:rsidRPr="004C78D8">
        <w:t>6</w:t>
      </w:r>
      <w:r w:rsidRPr="004C78D8">
        <w:t>.</w:t>
      </w:r>
      <w:r w:rsidR="00CE31D7" w:rsidRPr="004C78D8">
        <w:t>21</w:t>
      </w:r>
      <w:r w:rsidRPr="004C78D8">
        <w:t xml:space="preserve"> shows the public sector </w:t>
      </w:r>
      <w:r w:rsidR="004D72BC" w:rsidRPr="004C78D8">
        <w:t>ROI</w:t>
      </w:r>
      <w:r w:rsidRPr="004C78D8">
        <w:t xml:space="preserve"> over the five-year horizon of alternative intervention strategies</w:t>
      </w:r>
      <w:r w:rsidR="00FA4FFC" w:rsidRPr="004C78D8">
        <w:t xml:space="preserve"> </w:t>
      </w:r>
      <w:r w:rsidR="009677C5" w:rsidRPr="004C78D8">
        <w:t>vs.</w:t>
      </w:r>
      <w:r w:rsidR="00FA4FFC" w:rsidRPr="004C78D8">
        <w:t xml:space="preserve"> UC</w:t>
      </w:r>
      <w:r w:rsidRPr="004C78D8">
        <w:t>.</w:t>
      </w:r>
      <w:r w:rsidR="00FA4FFC" w:rsidRPr="004C78D8">
        <w:t xml:space="preserve"> It shows the ROIs considering all-cause and fall-related costs, the ROIs (considering all-cause costs) by SES quartile, and the net public sector budget impacts.</w:t>
      </w:r>
    </w:p>
    <w:tbl>
      <w:tblPr>
        <w:tblStyle w:val="TableGrid"/>
        <w:tblW w:w="0" w:type="auto"/>
        <w:tblInd w:w="-5" w:type="dxa"/>
        <w:tblLook w:val="04A0" w:firstRow="1" w:lastRow="0" w:firstColumn="1" w:lastColumn="0" w:noHBand="0" w:noVBand="1"/>
      </w:tblPr>
      <w:tblGrid>
        <w:gridCol w:w="518"/>
        <w:gridCol w:w="2800"/>
        <w:gridCol w:w="1275"/>
        <w:gridCol w:w="772"/>
        <w:gridCol w:w="773"/>
        <w:gridCol w:w="705"/>
        <w:gridCol w:w="748"/>
        <w:gridCol w:w="658"/>
        <w:gridCol w:w="659"/>
      </w:tblGrid>
      <w:tr w:rsidR="003C57B5" w:rsidRPr="004C78D8" w14:paraId="3FE90569" w14:textId="77777777" w:rsidTr="00A1003D">
        <w:tc>
          <w:tcPr>
            <w:tcW w:w="8908" w:type="dxa"/>
            <w:gridSpan w:val="9"/>
          </w:tcPr>
          <w:p w14:paraId="45C2093B" w14:textId="1C135E08" w:rsidR="003C57B5" w:rsidRPr="004C78D8" w:rsidRDefault="003C57B5" w:rsidP="00FB7C1F">
            <w:r w:rsidRPr="004C78D8">
              <w:rPr>
                <w:b/>
                <w:bCs/>
              </w:rPr>
              <w:t xml:space="preserve">Table </w:t>
            </w:r>
            <w:r w:rsidR="00CE31D7" w:rsidRPr="004C78D8">
              <w:rPr>
                <w:b/>
                <w:bCs/>
              </w:rPr>
              <w:t>6</w:t>
            </w:r>
            <w:r w:rsidRPr="004C78D8">
              <w:rPr>
                <w:b/>
                <w:bCs/>
              </w:rPr>
              <w:t>.</w:t>
            </w:r>
            <w:r w:rsidR="00CE31D7" w:rsidRPr="004C78D8">
              <w:rPr>
                <w:b/>
                <w:bCs/>
              </w:rPr>
              <w:t>21</w:t>
            </w:r>
            <w:r w:rsidRPr="004C78D8">
              <w:t xml:space="preserve"> Public sector returns on investment considering all-cause costs of intervention strategies relative to usual care under five-year horizon.</w:t>
            </w:r>
          </w:p>
        </w:tc>
      </w:tr>
      <w:tr w:rsidR="003C57B5" w:rsidRPr="004C78D8" w14:paraId="618CD143" w14:textId="77777777" w:rsidTr="00A1003D">
        <w:tc>
          <w:tcPr>
            <w:tcW w:w="518" w:type="dxa"/>
            <w:vMerge w:val="restart"/>
            <w:vAlign w:val="bottom"/>
          </w:tcPr>
          <w:p w14:paraId="2F246B5B" w14:textId="4DA275B9" w:rsidR="003C57B5" w:rsidRPr="004C78D8" w:rsidRDefault="003C57B5" w:rsidP="00FB7C1F">
            <w:pPr>
              <w:jc w:val="left"/>
              <w:rPr>
                <w:b/>
                <w:bCs/>
                <w:sz w:val="18"/>
                <w:szCs w:val="18"/>
              </w:rPr>
            </w:pPr>
            <w:r w:rsidRPr="004C78D8">
              <w:rPr>
                <w:b/>
                <w:bCs/>
                <w:sz w:val="20"/>
                <w:szCs w:val="20"/>
              </w:rPr>
              <w:t>[#]</w:t>
            </w:r>
            <w:r w:rsidRPr="004C78D8">
              <w:rPr>
                <w:b/>
                <w:bCs/>
                <w:sz w:val="20"/>
                <w:szCs w:val="20"/>
                <w:vertAlign w:val="superscript"/>
              </w:rPr>
              <w:t>1</w:t>
            </w:r>
          </w:p>
        </w:tc>
        <w:tc>
          <w:tcPr>
            <w:tcW w:w="2800" w:type="dxa"/>
            <w:vMerge w:val="restart"/>
            <w:vAlign w:val="bottom"/>
          </w:tcPr>
          <w:p w14:paraId="233740A0" w14:textId="064DCA84" w:rsidR="003C57B5" w:rsidRPr="004C78D8" w:rsidRDefault="003C57B5" w:rsidP="00FB7C1F">
            <w:pPr>
              <w:jc w:val="left"/>
              <w:rPr>
                <w:b/>
                <w:bCs/>
                <w:sz w:val="18"/>
                <w:szCs w:val="18"/>
              </w:rPr>
            </w:pPr>
            <w:r w:rsidRPr="004C78D8">
              <w:rPr>
                <w:b/>
                <w:bCs/>
                <w:sz w:val="20"/>
                <w:szCs w:val="20"/>
              </w:rPr>
              <w:t>Strategy</w:t>
            </w:r>
            <w:r w:rsidR="00CA7FB8" w:rsidRPr="004C78D8">
              <w:rPr>
                <w:b/>
                <w:bCs/>
                <w:sz w:val="20"/>
                <w:szCs w:val="20"/>
                <w:vertAlign w:val="superscript"/>
              </w:rPr>
              <w:t>2</w:t>
            </w:r>
          </w:p>
        </w:tc>
        <w:tc>
          <w:tcPr>
            <w:tcW w:w="1275" w:type="dxa"/>
            <w:vMerge w:val="restart"/>
            <w:vAlign w:val="bottom"/>
          </w:tcPr>
          <w:p w14:paraId="19B7074E" w14:textId="135D80FC" w:rsidR="003C57B5" w:rsidRPr="004C78D8" w:rsidRDefault="003C57B5" w:rsidP="00FB7C1F">
            <w:pPr>
              <w:jc w:val="left"/>
              <w:rPr>
                <w:b/>
                <w:bCs/>
                <w:sz w:val="18"/>
                <w:szCs w:val="18"/>
              </w:rPr>
            </w:pPr>
            <w:r w:rsidRPr="004C78D8">
              <w:rPr>
                <w:b/>
                <w:bCs/>
                <w:sz w:val="20"/>
                <w:szCs w:val="20"/>
              </w:rPr>
              <w:t>Incremental PS AC cost</w:t>
            </w:r>
          </w:p>
        </w:tc>
        <w:tc>
          <w:tcPr>
            <w:tcW w:w="1545" w:type="dxa"/>
            <w:gridSpan w:val="2"/>
            <w:vAlign w:val="bottom"/>
          </w:tcPr>
          <w:p w14:paraId="1D9FF243" w14:textId="4E8E798F" w:rsidR="003C57B5" w:rsidRPr="004C78D8" w:rsidRDefault="003C57B5" w:rsidP="00FB7C1F">
            <w:pPr>
              <w:jc w:val="center"/>
              <w:rPr>
                <w:b/>
                <w:bCs/>
                <w:sz w:val="18"/>
                <w:szCs w:val="18"/>
              </w:rPr>
            </w:pPr>
            <w:r w:rsidRPr="004C78D8">
              <w:rPr>
                <w:b/>
                <w:bCs/>
                <w:sz w:val="20"/>
                <w:szCs w:val="20"/>
              </w:rPr>
              <w:t>ROI (£ per £</w:t>
            </w:r>
            <w:r w:rsidR="004A734A" w:rsidRPr="004C78D8">
              <w:rPr>
                <w:b/>
                <w:bCs/>
                <w:sz w:val="20"/>
                <w:szCs w:val="20"/>
              </w:rPr>
              <w:t>1</w:t>
            </w:r>
            <w:r w:rsidRPr="004C78D8">
              <w:rPr>
                <w:b/>
                <w:bCs/>
                <w:sz w:val="20"/>
                <w:szCs w:val="20"/>
              </w:rPr>
              <w:t xml:space="preserve"> invested)</w:t>
            </w:r>
          </w:p>
        </w:tc>
        <w:tc>
          <w:tcPr>
            <w:tcW w:w="2770" w:type="dxa"/>
            <w:gridSpan w:val="4"/>
            <w:tcBorders>
              <w:bottom w:val="single" w:sz="4" w:space="0" w:color="auto"/>
            </w:tcBorders>
          </w:tcPr>
          <w:p w14:paraId="1BE2A97D" w14:textId="2553F27B" w:rsidR="003C57B5" w:rsidRPr="004C78D8" w:rsidRDefault="003C57B5" w:rsidP="00FB7C1F">
            <w:pPr>
              <w:jc w:val="center"/>
              <w:rPr>
                <w:b/>
                <w:bCs/>
                <w:sz w:val="18"/>
                <w:szCs w:val="18"/>
              </w:rPr>
            </w:pPr>
            <w:r w:rsidRPr="004C78D8">
              <w:rPr>
                <w:b/>
                <w:bCs/>
                <w:sz w:val="20"/>
                <w:szCs w:val="20"/>
              </w:rPr>
              <w:t>ROI for AC cost by SES quartile</w:t>
            </w:r>
          </w:p>
        </w:tc>
      </w:tr>
      <w:tr w:rsidR="003C57B5" w:rsidRPr="004C78D8" w14:paraId="66AA5468" w14:textId="77777777" w:rsidTr="00A1003D">
        <w:tc>
          <w:tcPr>
            <w:tcW w:w="518" w:type="dxa"/>
            <w:vMerge/>
            <w:tcBorders>
              <w:bottom w:val="single" w:sz="4" w:space="0" w:color="auto"/>
            </w:tcBorders>
            <w:vAlign w:val="bottom"/>
          </w:tcPr>
          <w:p w14:paraId="698152FA" w14:textId="1A76763B" w:rsidR="003C57B5" w:rsidRPr="004C78D8" w:rsidRDefault="003C57B5" w:rsidP="00FB7C1F">
            <w:pPr>
              <w:jc w:val="left"/>
              <w:rPr>
                <w:b/>
                <w:bCs/>
                <w:sz w:val="20"/>
                <w:szCs w:val="20"/>
              </w:rPr>
            </w:pPr>
          </w:p>
        </w:tc>
        <w:tc>
          <w:tcPr>
            <w:tcW w:w="2800" w:type="dxa"/>
            <w:vMerge/>
            <w:tcBorders>
              <w:bottom w:val="single" w:sz="4" w:space="0" w:color="auto"/>
            </w:tcBorders>
            <w:vAlign w:val="bottom"/>
          </w:tcPr>
          <w:p w14:paraId="215925C0" w14:textId="3CB585DB" w:rsidR="003C57B5" w:rsidRPr="004C78D8" w:rsidRDefault="003C57B5" w:rsidP="00FB7C1F">
            <w:pPr>
              <w:jc w:val="left"/>
              <w:rPr>
                <w:b/>
                <w:bCs/>
                <w:sz w:val="20"/>
                <w:szCs w:val="20"/>
              </w:rPr>
            </w:pPr>
          </w:p>
        </w:tc>
        <w:tc>
          <w:tcPr>
            <w:tcW w:w="1275" w:type="dxa"/>
            <w:vMerge/>
            <w:tcBorders>
              <w:bottom w:val="single" w:sz="4" w:space="0" w:color="auto"/>
            </w:tcBorders>
            <w:vAlign w:val="bottom"/>
          </w:tcPr>
          <w:p w14:paraId="740A03EC" w14:textId="25A45707" w:rsidR="003C57B5" w:rsidRPr="004C78D8" w:rsidRDefault="003C57B5" w:rsidP="00FB7C1F">
            <w:pPr>
              <w:jc w:val="left"/>
              <w:rPr>
                <w:b/>
                <w:bCs/>
                <w:sz w:val="20"/>
                <w:szCs w:val="20"/>
              </w:rPr>
            </w:pPr>
          </w:p>
        </w:tc>
        <w:tc>
          <w:tcPr>
            <w:tcW w:w="772" w:type="dxa"/>
            <w:tcBorders>
              <w:bottom w:val="single" w:sz="4" w:space="0" w:color="auto"/>
            </w:tcBorders>
          </w:tcPr>
          <w:p w14:paraId="2EA0EC7C" w14:textId="033E21B9" w:rsidR="003C57B5" w:rsidRPr="004C78D8" w:rsidRDefault="003C57B5" w:rsidP="00FB7C1F">
            <w:pPr>
              <w:jc w:val="left"/>
              <w:rPr>
                <w:sz w:val="20"/>
                <w:szCs w:val="20"/>
              </w:rPr>
            </w:pPr>
            <w:r w:rsidRPr="004C78D8">
              <w:rPr>
                <w:sz w:val="20"/>
                <w:szCs w:val="20"/>
              </w:rPr>
              <w:t>AC cost</w:t>
            </w:r>
          </w:p>
        </w:tc>
        <w:tc>
          <w:tcPr>
            <w:tcW w:w="773" w:type="dxa"/>
            <w:tcBorders>
              <w:bottom w:val="single" w:sz="4" w:space="0" w:color="auto"/>
            </w:tcBorders>
          </w:tcPr>
          <w:p w14:paraId="3F457862" w14:textId="44BA7B7B" w:rsidR="003C57B5" w:rsidRPr="004C78D8" w:rsidRDefault="003C57B5" w:rsidP="00FB7C1F">
            <w:pPr>
              <w:jc w:val="left"/>
              <w:rPr>
                <w:sz w:val="20"/>
                <w:szCs w:val="20"/>
              </w:rPr>
            </w:pPr>
            <w:r w:rsidRPr="004C78D8">
              <w:rPr>
                <w:sz w:val="20"/>
                <w:szCs w:val="20"/>
              </w:rPr>
              <w:t>Fall cost</w:t>
            </w:r>
          </w:p>
        </w:tc>
        <w:tc>
          <w:tcPr>
            <w:tcW w:w="705" w:type="dxa"/>
            <w:tcBorders>
              <w:bottom w:val="single" w:sz="4" w:space="0" w:color="auto"/>
              <w:right w:val="nil"/>
            </w:tcBorders>
            <w:vAlign w:val="bottom"/>
          </w:tcPr>
          <w:p w14:paraId="672826FC" w14:textId="431634B0" w:rsidR="003C57B5" w:rsidRPr="004C78D8" w:rsidRDefault="003C57B5" w:rsidP="00FB7C1F">
            <w:pPr>
              <w:jc w:val="center"/>
              <w:rPr>
                <w:b/>
                <w:bCs/>
                <w:sz w:val="18"/>
                <w:szCs w:val="18"/>
              </w:rPr>
            </w:pPr>
            <w:r w:rsidRPr="004C78D8">
              <w:rPr>
                <w:b/>
                <w:bCs/>
                <w:sz w:val="20"/>
                <w:szCs w:val="20"/>
              </w:rPr>
              <w:t>1</w:t>
            </w:r>
            <w:r w:rsidRPr="004C78D8">
              <w:rPr>
                <w:b/>
                <w:bCs/>
                <w:sz w:val="20"/>
                <w:szCs w:val="20"/>
                <w:vertAlign w:val="superscript"/>
              </w:rPr>
              <w:t>st</w:t>
            </w:r>
          </w:p>
        </w:tc>
        <w:tc>
          <w:tcPr>
            <w:tcW w:w="748" w:type="dxa"/>
            <w:tcBorders>
              <w:left w:val="nil"/>
              <w:bottom w:val="single" w:sz="4" w:space="0" w:color="auto"/>
              <w:right w:val="nil"/>
            </w:tcBorders>
            <w:vAlign w:val="bottom"/>
          </w:tcPr>
          <w:p w14:paraId="0A6C7428" w14:textId="45F00C18" w:rsidR="003C57B5" w:rsidRPr="004C78D8" w:rsidRDefault="003C57B5" w:rsidP="00FB7C1F">
            <w:pPr>
              <w:jc w:val="center"/>
              <w:rPr>
                <w:b/>
                <w:bCs/>
                <w:sz w:val="18"/>
                <w:szCs w:val="18"/>
              </w:rPr>
            </w:pPr>
            <w:r w:rsidRPr="004C78D8">
              <w:rPr>
                <w:b/>
                <w:bCs/>
                <w:sz w:val="20"/>
                <w:szCs w:val="20"/>
              </w:rPr>
              <w:t>2</w:t>
            </w:r>
            <w:r w:rsidRPr="004C78D8">
              <w:rPr>
                <w:b/>
                <w:bCs/>
                <w:sz w:val="20"/>
                <w:szCs w:val="20"/>
                <w:vertAlign w:val="superscript"/>
              </w:rPr>
              <w:t>nd</w:t>
            </w:r>
          </w:p>
        </w:tc>
        <w:tc>
          <w:tcPr>
            <w:tcW w:w="658" w:type="dxa"/>
            <w:tcBorders>
              <w:left w:val="nil"/>
              <w:bottom w:val="single" w:sz="4" w:space="0" w:color="auto"/>
              <w:right w:val="nil"/>
            </w:tcBorders>
            <w:vAlign w:val="bottom"/>
          </w:tcPr>
          <w:p w14:paraId="7DB0D781" w14:textId="250CCB7D" w:rsidR="003C57B5" w:rsidRPr="004C78D8" w:rsidRDefault="003C57B5" w:rsidP="00FB7C1F">
            <w:pPr>
              <w:jc w:val="center"/>
              <w:rPr>
                <w:b/>
                <w:bCs/>
                <w:sz w:val="18"/>
                <w:szCs w:val="18"/>
              </w:rPr>
            </w:pPr>
            <w:r w:rsidRPr="004C78D8">
              <w:rPr>
                <w:b/>
                <w:bCs/>
                <w:sz w:val="20"/>
                <w:szCs w:val="20"/>
              </w:rPr>
              <w:t>3</w:t>
            </w:r>
            <w:r w:rsidRPr="004C78D8">
              <w:rPr>
                <w:b/>
                <w:bCs/>
                <w:sz w:val="20"/>
                <w:szCs w:val="20"/>
                <w:vertAlign w:val="superscript"/>
              </w:rPr>
              <w:t>rd</w:t>
            </w:r>
          </w:p>
        </w:tc>
        <w:tc>
          <w:tcPr>
            <w:tcW w:w="659" w:type="dxa"/>
            <w:tcBorders>
              <w:left w:val="nil"/>
              <w:bottom w:val="single" w:sz="4" w:space="0" w:color="auto"/>
            </w:tcBorders>
            <w:vAlign w:val="bottom"/>
          </w:tcPr>
          <w:p w14:paraId="044859D1" w14:textId="76E73AEC" w:rsidR="003C57B5" w:rsidRPr="004C78D8" w:rsidRDefault="003C57B5" w:rsidP="00FB7C1F">
            <w:pPr>
              <w:jc w:val="center"/>
              <w:rPr>
                <w:b/>
                <w:bCs/>
                <w:sz w:val="18"/>
                <w:szCs w:val="18"/>
              </w:rPr>
            </w:pPr>
            <w:r w:rsidRPr="004C78D8">
              <w:rPr>
                <w:b/>
                <w:bCs/>
                <w:sz w:val="20"/>
                <w:szCs w:val="20"/>
              </w:rPr>
              <w:t>4</w:t>
            </w:r>
            <w:r w:rsidRPr="004C78D8">
              <w:rPr>
                <w:b/>
                <w:bCs/>
                <w:sz w:val="20"/>
                <w:szCs w:val="20"/>
                <w:vertAlign w:val="superscript"/>
              </w:rPr>
              <w:t>th</w:t>
            </w:r>
          </w:p>
        </w:tc>
      </w:tr>
      <w:tr w:rsidR="00985F16" w:rsidRPr="004C78D8" w14:paraId="4D3D24D3" w14:textId="77777777" w:rsidTr="00A1003D">
        <w:tc>
          <w:tcPr>
            <w:tcW w:w="518" w:type="dxa"/>
            <w:tcBorders>
              <w:bottom w:val="nil"/>
            </w:tcBorders>
          </w:tcPr>
          <w:p w14:paraId="2F74FD70" w14:textId="6F0A401D" w:rsidR="00985F16" w:rsidRPr="004C78D8" w:rsidRDefault="00985F16" w:rsidP="00FB7C1F">
            <w:pPr>
              <w:jc w:val="left"/>
              <w:rPr>
                <w:sz w:val="18"/>
                <w:szCs w:val="18"/>
              </w:rPr>
            </w:pPr>
            <w:r w:rsidRPr="004C78D8">
              <w:rPr>
                <w:sz w:val="18"/>
                <w:szCs w:val="18"/>
              </w:rPr>
              <w:t>[1]</w:t>
            </w:r>
          </w:p>
        </w:tc>
        <w:tc>
          <w:tcPr>
            <w:tcW w:w="2800" w:type="dxa"/>
            <w:tcBorders>
              <w:bottom w:val="nil"/>
            </w:tcBorders>
          </w:tcPr>
          <w:p w14:paraId="362B7B7E" w14:textId="774A8900" w:rsidR="00985F16" w:rsidRPr="004C78D8" w:rsidRDefault="00985F16" w:rsidP="00FB7C1F">
            <w:pPr>
              <w:jc w:val="left"/>
              <w:rPr>
                <w:sz w:val="18"/>
                <w:szCs w:val="18"/>
              </w:rPr>
            </w:pPr>
            <w:r w:rsidRPr="004C78D8">
              <w:rPr>
                <w:sz w:val="18"/>
                <w:szCs w:val="18"/>
              </w:rPr>
              <w:t>UC + 3</w:t>
            </w:r>
            <w:r w:rsidRPr="004C78D8">
              <w:rPr>
                <w:sz w:val="18"/>
                <w:szCs w:val="18"/>
                <w:vertAlign w:val="superscript"/>
              </w:rPr>
              <w:t>rd</w:t>
            </w:r>
            <w:r w:rsidRPr="004C78D8">
              <w:rPr>
                <w:sz w:val="18"/>
                <w:szCs w:val="18"/>
              </w:rPr>
              <w:t>/4</w:t>
            </w:r>
            <w:r w:rsidRPr="004C78D8">
              <w:rPr>
                <w:sz w:val="18"/>
                <w:szCs w:val="18"/>
                <w:vertAlign w:val="superscript"/>
              </w:rPr>
              <w:t>th</w:t>
            </w:r>
            <w:r w:rsidRPr="004C78D8">
              <w:rPr>
                <w:sz w:val="18"/>
                <w:szCs w:val="18"/>
              </w:rPr>
              <w:t xml:space="preserve"> SES PA promotion</w:t>
            </w:r>
          </w:p>
        </w:tc>
        <w:tc>
          <w:tcPr>
            <w:tcW w:w="1275" w:type="dxa"/>
            <w:tcBorders>
              <w:bottom w:val="nil"/>
            </w:tcBorders>
          </w:tcPr>
          <w:p w14:paraId="3D2D6764" w14:textId="3D60BD12" w:rsidR="00985F16" w:rsidRPr="004C78D8" w:rsidRDefault="00985F16" w:rsidP="00FB7C1F">
            <w:pPr>
              <w:jc w:val="left"/>
              <w:rPr>
                <w:sz w:val="18"/>
                <w:szCs w:val="18"/>
              </w:rPr>
            </w:pPr>
            <w:r w:rsidRPr="004C78D8">
              <w:rPr>
                <w:sz w:val="18"/>
                <w:szCs w:val="18"/>
              </w:rPr>
              <w:t>-£1,034,767</w:t>
            </w:r>
          </w:p>
        </w:tc>
        <w:tc>
          <w:tcPr>
            <w:tcW w:w="772" w:type="dxa"/>
            <w:tcBorders>
              <w:bottom w:val="nil"/>
            </w:tcBorders>
          </w:tcPr>
          <w:p w14:paraId="1C27734C" w14:textId="1B8EF398" w:rsidR="00985F16" w:rsidRPr="004C78D8" w:rsidRDefault="00985F16" w:rsidP="00FB7C1F">
            <w:pPr>
              <w:jc w:val="left"/>
              <w:rPr>
                <w:sz w:val="18"/>
                <w:szCs w:val="18"/>
              </w:rPr>
            </w:pPr>
            <w:r w:rsidRPr="004C78D8">
              <w:rPr>
                <w:sz w:val="18"/>
                <w:szCs w:val="18"/>
              </w:rPr>
              <w:t>1.</w:t>
            </w:r>
            <w:r w:rsidR="00DE41F8" w:rsidRPr="004C78D8">
              <w:rPr>
                <w:sz w:val="18"/>
                <w:szCs w:val="18"/>
              </w:rPr>
              <w:t>1</w:t>
            </w:r>
            <w:r w:rsidRPr="004C78D8">
              <w:rPr>
                <w:sz w:val="18"/>
                <w:szCs w:val="18"/>
              </w:rPr>
              <w:t>21</w:t>
            </w:r>
          </w:p>
        </w:tc>
        <w:tc>
          <w:tcPr>
            <w:tcW w:w="773" w:type="dxa"/>
            <w:tcBorders>
              <w:bottom w:val="nil"/>
            </w:tcBorders>
          </w:tcPr>
          <w:p w14:paraId="11E44045" w14:textId="39624671" w:rsidR="00985F16" w:rsidRPr="004C78D8" w:rsidRDefault="00985F16" w:rsidP="00FB7C1F">
            <w:pPr>
              <w:jc w:val="left"/>
              <w:rPr>
                <w:sz w:val="18"/>
                <w:szCs w:val="18"/>
              </w:rPr>
            </w:pPr>
            <w:r w:rsidRPr="004C78D8">
              <w:rPr>
                <w:sz w:val="18"/>
                <w:szCs w:val="18"/>
              </w:rPr>
              <w:t>0.</w:t>
            </w:r>
            <w:r w:rsidR="00DE41F8" w:rsidRPr="004C78D8">
              <w:rPr>
                <w:sz w:val="18"/>
                <w:szCs w:val="18"/>
              </w:rPr>
              <w:t>3</w:t>
            </w:r>
            <w:r w:rsidRPr="004C78D8">
              <w:rPr>
                <w:sz w:val="18"/>
                <w:szCs w:val="18"/>
              </w:rPr>
              <w:t>06</w:t>
            </w:r>
          </w:p>
        </w:tc>
        <w:tc>
          <w:tcPr>
            <w:tcW w:w="705" w:type="dxa"/>
            <w:tcBorders>
              <w:bottom w:val="nil"/>
              <w:right w:val="nil"/>
            </w:tcBorders>
          </w:tcPr>
          <w:p w14:paraId="7C8261D7" w14:textId="5790A010" w:rsidR="00985F16" w:rsidRPr="004C78D8" w:rsidRDefault="00985F16" w:rsidP="00FB7C1F">
            <w:pPr>
              <w:jc w:val="left"/>
              <w:rPr>
                <w:sz w:val="18"/>
                <w:szCs w:val="18"/>
              </w:rPr>
            </w:pPr>
            <w:r w:rsidRPr="004C78D8">
              <w:rPr>
                <w:sz w:val="18"/>
                <w:szCs w:val="18"/>
              </w:rPr>
              <w:t>-0.051</w:t>
            </w:r>
          </w:p>
        </w:tc>
        <w:tc>
          <w:tcPr>
            <w:tcW w:w="748" w:type="dxa"/>
            <w:tcBorders>
              <w:left w:val="nil"/>
              <w:bottom w:val="nil"/>
              <w:right w:val="nil"/>
            </w:tcBorders>
          </w:tcPr>
          <w:p w14:paraId="30F07FF3" w14:textId="625966B1" w:rsidR="00985F16" w:rsidRPr="004C78D8" w:rsidRDefault="00985F16" w:rsidP="00FB7C1F">
            <w:pPr>
              <w:jc w:val="left"/>
              <w:rPr>
                <w:sz w:val="18"/>
                <w:szCs w:val="18"/>
              </w:rPr>
            </w:pPr>
            <w:r w:rsidRPr="004C78D8">
              <w:rPr>
                <w:sz w:val="18"/>
                <w:szCs w:val="18"/>
              </w:rPr>
              <w:t>-0.015</w:t>
            </w:r>
          </w:p>
        </w:tc>
        <w:tc>
          <w:tcPr>
            <w:tcW w:w="658" w:type="dxa"/>
            <w:tcBorders>
              <w:left w:val="nil"/>
              <w:bottom w:val="nil"/>
              <w:right w:val="nil"/>
            </w:tcBorders>
          </w:tcPr>
          <w:p w14:paraId="15695716" w14:textId="08327F12" w:rsidR="00985F16" w:rsidRPr="004C78D8" w:rsidRDefault="00DE41F8" w:rsidP="00FB7C1F">
            <w:pPr>
              <w:jc w:val="left"/>
              <w:rPr>
                <w:sz w:val="18"/>
                <w:szCs w:val="18"/>
              </w:rPr>
            </w:pPr>
            <w:r w:rsidRPr="004C78D8">
              <w:rPr>
                <w:sz w:val="18"/>
                <w:szCs w:val="18"/>
              </w:rPr>
              <w:t>1</w:t>
            </w:r>
            <w:r w:rsidR="00985F16" w:rsidRPr="004C78D8">
              <w:rPr>
                <w:sz w:val="18"/>
                <w:szCs w:val="18"/>
              </w:rPr>
              <w:t>.</w:t>
            </w:r>
            <w:r w:rsidR="00254837" w:rsidRPr="004C78D8">
              <w:rPr>
                <w:sz w:val="18"/>
                <w:szCs w:val="18"/>
              </w:rPr>
              <w:t>4</w:t>
            </w:r>
            <w:r w:rsidR="00985F16" w:rsidRPr="004C78D8">
              <w:rPr>
                <w:sz w:val="18"/>
                <w:szCs w:val="18"/>
              </w:rPr>
              <w:t>65</w:t>
            </w:r>
          </w:p>
        </w:tc>
        <w:tc>
          <w:tcPr>
            <w:tcW w:w="659" w:type="dxa"/>
            <w:tcBorders>
              <w:left w:val="nil"/>
              <w:bottom w:val="nil"/>
            </w:tcBorders>
          </w:tcPr>
          <w:p w14:paraId="053E9740" w14:textId="7CE54708" w:rsidR="00985F16" w:rsidRPr="004C78D8" w:rsidRDefault="00DE41F8" w:rsidP="00FB7C1F">
            <w:pPr>
              <w:jc w:val="left"/>
              <w:rPr>
                <w:sz w:val="18"/>
                <w:szCs w:val="18"/>
              </w:rPr>
            </w:pPr>
            <w:r w:rsidRPr="004C78D8">
              <w:rPr>
                <w:sz w:val="18"/>
                <w:szCs w:val="18"/>
              </w:rPr>
              <w:t>3</w:t>
            </w:r>
            <w:r w:rsidR="00985F16" w:rsidRPr="004C78D8">
              <w:rPr>
                <w:sz w:val="18"/>
                <w:szCs w:val="18"/>
              </w:rPr>
              <w:t>.429</w:t>
            </w:r>
          </w:p>
        </w:tc>
      </w:tr>
      <w:tr w:rsidR="00985F16" w:rsidRPr="004C78D8" w14:paraId="2A79CF9F" w14:textId="77777777" w:rsidTr="00A1003D">
        <w:tc>
          <w:tcPr>
            <w:tcW w:w="518" w:type="dxa"/>
            <w:tcBorders>
              <w:top w:val="nil"/>
              <w:bottom w:val="nil"/>
            </w:tcBorders>
          </w:tcPr>
          <w:p w14:paraId="4950671A" w14:textId="0176B792" w:rsidR="00985F16" w:rsidRPr="004C78D8" w:rsidRDefault="00985F16" w:rsidP="00FB7C1F">
            <w:pPr>
              <w:jc w:val="left"/>
              <w:rPr>
                <w:sz w:val="18"/>
                <w:szCs w:val="18"/>
              </w:rPr>
            </w:pPr>
            <w:r w:rsidRPr="004C78D8">
              <w:rPr>
                <w:sz w:val="18"/>
                <w:szCs w:val="18"/>
              </w:rPr>
              <w:t>[2]</w:t>
            </w:r>
          </w:p>
        </w:tc>
        <w:tc>
          <w:tcPr>
            <w:tcW w:w="2800" w:type="dxa"/>
            <w:tcBorders>
              <w:top w:val="nil"/>
              <w:bottom w:val="nil"/>
            </w:tcBorders>
          </w:tcPr>
          <w:p w14:paraId="2C90245E" w14:textId="426D052D" w:rsidR="00985F16" w:rsidRPr="004C78D8" w:rsidRDefault="00985F16" w:rsidP="00FB7C1F">
            <w:pPr>
              <w:jc w:val="left"/>
              <w:rPr>
                <w:sz w:val="18"/>
                <w:szCs w:val="18"/>
              </w:rPr>
            </w:pPr>
            <w:r w:rsidRPr="004C78D8">
              <w:rPr>
                <w:sz w:val="18"/>
                <w:szCs w:val="18"/>
              </w:rPr>
              <w:t>RC reactive pathway only</w:t>
            </w:r>
          </w:p>
        </w:tc>
        <w:tc>
          <w:tcPr>
            <w:tcW w:w="1275" w:type="dxa"/>
            <w:tcBorders>
              <w:top w:val="nil"/>
              <w:bottom w:val="nil"/>
            </w:tcBorders>
          </w:tcPr>
          <w:p w14:paraId="30CFEE69" w14:textId="62B863FF" w:rsidR="00985F16" w:rsidRPr="004C78D8" w:rsidRDefault="001F16FE" w:rsidP="00FB7C1F">
            <w:pPr>
              <w:jc w:val="left"/>
              <w:rPr>
                <w:sz w:val="18"/>
                <w:szCs w:val="18"/>
              </w:rPr>
            </w:pPr>
            <w:r w:rsidRPr="004C78D8">
              <w:rPr>
                <w:sz w:val="18"/>
                <w:szCs w:val="18"/>
              </w:rPr>
              <w:t>£1,063,538</w:t>
            </w:r>
          </w:p>
        </w:tc>
        <w:tc>
          <w:tcPr>
            <w:tcW w:w="772" w:type="dxa"/>
            <w:tcBorders>
              <w:top w:val="nil"/>
              <w:bottom w:val="nil"/>
            </w:tcBorders>
          </w:tcPr>
          <w:p w14:paraId="113F9F75" w14:textId="5C128B83" w:rsidR="00985F16" w:rsidRPr="004C78D8" w:rsidRDefault="001F16FE" w:rsidP="00FB7C1F">
            <w:pPr>
              <w:jc w:val="left"/>
              <w:rPr>
                <w:sz w:val="18"/>
                <w:szCs w:val="18"/>
              </w:rPr>
            </w:pPr>
            <w:r w:rsidRPr="004C78D8">
              <w:rPr>
                <w:sz w:val="18"/>
                <w:szCs w:val="18"/>
              </w:rPr>
              <w:t>0.799</w:t>
            </w:r>
          </w:p>
        </w:tc>
        <w:tc>
          <w:tcPr>
            <w:tcW w:w="773" w:type="dxa"/>
            <w:tcBorders>
              <w:top w:val="nil"/>
              <w:bottom w:val="nil"/>
            </w:tcBorders>
          </w:tcPr>
          <w:p w14:paraId="33F9F7D4" w14:textId="2559F5EB" w:rsidR="00985F16" w:rsidRPr="004C78D8" w:rsidRDefault="001F16FE" w:rsidP="00FB7C1F">
            <w:pPr>
              <w:jc w:val="left"/>
              <w:rPr>
                <w:sz w:val="18"/>
                <w:szCs w:val="18"/>
              </w:rPr>
            </w:pPr>
            <w:r w:rsidRPr="004C78D8">
              <w:rPr>
                <w:sz w:val="18"/>
                <w:szCs w:val="18"/>
              </w:rPr>
              <w:t>0.609</w:t>
            </w:r>
          </w:p>
        </w:tc>
        <w:tc>
          <w:tcPr>
            <w:tcW w:w="705" w:type="dxa"/>
            <w:tcBorders>
              <w:top w:val="nil"/>
              <w:bottom w:val="nil"/>
              <w:right w:val="nil"/>
            </w:tcBorders>
          </w:tcPr>
          <w:p w14:paraId="17A55703" w14:textId="0963B05A" w:rsidR="00985F16" w:rsidRPr="004C78D8" w:rsidRDefault="001F16FE" w:rsidP="00FB7C1F">
            <w:pPr>
              <w:jc w:val="left"/>
              <w:rPr>
                <w:sz w:val="18"/>
                <w:szCs w:val="18"/>
              </w:rPr>
            </w:pPr>
            <w:r w:rsidRPr="004C78D8">
              <w:rPr>
                <w:sz w:val="18"/>
                <w:szCs w:val="18"/>
              </w:rPr>
              <w:t>0.627</w:t>
            </w:r>
          </w:p>
        </w:tc>
        <w:tc>
          <w:tcPr>
            <w:tcW w:w="748" w:type="dxa"/>
            <w:tcBorders>
              <w:top w:val="nil"/>
              <w:left w:val="nil"/>
              <w:bottom w:val="nil"/>
              <w:right w:val="nil"/>
            </w:tcBorders>
          </w:tcPr>
          <w:p w14:paraId="3D07BD25" w14:textId="4AAFCBCC" w:rsidR="00985F16" w:rsidRPr="004C78D8" w:rsidRDefault="001F16FE" w:rsidP="00FB7C1F">
            <w:pPr>
              <w:jc w:val="left"/>
              <w:rPr>
                <w:sz w:val="18"/>
                <w:szCs w:val="18"/>
              </w:rPr>
            </w:pPr>
            <w:r w:rsidRPr="004C78D8">
              <w:rPr>
                <w:sz w:val="18"/>
                <w:szCs w:val="18"/>
              </w:rPr>
              <w:t>0.244</w:t>
            </w:r>
          </w:p>
        </w:tc>
        <w:tc>
          <w:tcPr>
            <w:tcW w:w="658" w:type="dxa"/>
            <w:tcBorders>
              <w:top w:val="nil"/>
              <w:left w:val="nil"/>
              <w:bottom w:val="nil"/>
              <w:right w:val="nil"/>
            </w:tcBorders>
          </w:tcPr>
          <w:p w14:paraId="6CF010FA" w14:textId="78F17DD1" w:rsidR="00985F16" w:rsidRPr="004C78D8" w:rsidRDefault="001F16FE" w:rsidP="00FB7C1F">
            <w:pPr>
              <w:jc w:val="left"/>
              <w:rPr>
                <w:sz w:val="18"/>
                <w:szCs w:val="18"/>
              </w:rPr>
            </w:pPr>
            <w:r w:rsidRPr="004C78D8">
              <w:rPr>
                <w:sz w:val="18"/>
                <w:szCs w:val="18"/>
              </w:rPr>
              <w:t>1.023</w:t>
            </w:r>
          </w:p>
        </w:tc>
        <w:tc>
          <w:tcPr>
            <w:tcW w:w="659" w:type="dxa"/>
            <w:tcBorders>
              <w:top w:val="nil"/>
              <w:left w:val="nil"/>
              <w:bottom w:val="nil"/>
            </w:tcBorders>
          </w:tcPr>
          <w:p w14:paraId="50C82D2C" w14:textId="02BD464B" w:rsidR="00985F16" w:rsidRPr="004C78D8" w:rsidRDefault="001F16FE" w:rsidP="00FB7C1F">
            <w:pPr>
              <w:jc w:val="left"/>
              <w:rPr>
                <w:sz w:val="18"/>
                <w:szCs w:val="18"/>
              </w:rPr>
            </w:pPr>
            <w:r w:rsidRPr="004C78D8">
              <w:rPr>
                <w:sz w:val="18"/>
                <w:szCs w:val="18"/>
              </w:rPr>
              <w:t>1.652</w:t>
            </w:r>
          </w:p>
        </w:tc>
      </w:tr>
      <w:tr w:rsidR="00985F16" w:rsidRPr="004C78D8" w14:paraId="0C6CE79C" w14:textId="77777777" w:rsidTr="00A1003D">
        <w:tc>
          <w:tcPr>
            <w:tcW w:w="518" w:type="dxa"/>
            <w:tcBorders>
              <w:top w:val="nil"/>
              <w:bottom w:val="nil"/>
            </w:tcBorders>
          </w:tcPr>
          <w:p w14:paraId="41B8C090" w14:textId="6B6C5E79" w:rsidR="00985F16" w:rsidRPr="004C78D8" w:rsidRDefault="00985F16" w:rsidP="00FB7C1F">
            <w:pPr>
              <w:jc w:val="left"/>
              <w:rPr>
                <w:sz w:val="18"/>
                <w:szCs w:val="18"/>
              </w:rPr>
            </w:pPr>
            <w:r w:rsidRPr="004C78D8">
              <w:rPr>
                <w:sz w:val="18"/>
                <w:szCs w:val="18"/>
              </w:rPr>
              <w:t>[3]</w:t>
            </w:r>
          </w:p>
        </w:tc>
        <w:tc>
          <w:tcPr>
            <w:tcW w:w="2800" w:type="dxa"/>
            <w:tcBorders>
              <w:top w:val="nil"/>
              <w:bottom w:val="nil"/>
            </w:tcBorders>
          </w:tcPr>
          <w:p w14:paraId="67C03305" w14:textId="37712611" w:rsidR="00985F16" w:rsidRPr="004C78D8" w:rsidRDefault="00985F16" w:rsidP="00FB7C1F">
            <w:pPr>
              <w:jc w:val="left"/>
              <w:rPr>
                <w:sz w:val="18"/>
                <w:szCs w:val="18"/>
              </w:rPr>
            </w:pPr>
            <w:r w:rsidRPr="004C78D8">
              <w:rPr>
                <w:sz w:val="18"/>
                <w:szCs w:val="18"/>
              </w:rPr>
              <w:t>UC + universal PA promotion</w:t>
            </w:r>
          </w:p>
        </w:tc>
        <w:tc>
          <w:tcPr>
            <w:tcW w:w="1275" w:type="dxa"/>
            <w:tcBorders>
              <w:top w:val="nil"/>
              <w:bottom w:val="nil"/>
            </w:tcBorders>
          </w:tcPr>
          <w:p w14:paraId="5372376F" w14:textId="64781228" w:rsidR="00985F16" w:rsidRPr="004C78D8" w:rsidRDefault="00E93958" w:rsidP="00FB7C1F">
            <w:pPr>
              <w:jc w:val="left"/>
              <w:rPr>
                <w:sz w:val="18"/>
                <w:szCs w:val="18"/>
              </w:rPr>
            </w:pPr>
            <w:r w:rsidRPr="004C78D8">
              <w:rPr>
                <w:sz w:val="18"/>
                <w:szCs w:val="18"/>
              </w:rPr>
              <w:t>£855,699</w:t>
            </w:r>
          </w:p>
        </w:tc>
        <w:tc>
          <w:tcPr>
            <w:tcW w:w="772" w:type="dxa"/>
            <w:tcBorders>
              <w:top w:val="nil"/>
              <w:bottom w:val="nil"/>
            </w:tcBorders>
          </w:tcPr>
          <w:p w14:paraId="15C27ACF" w14:textId="2A88D43D" w:rsidR="00985F16" w:rsidRPr="004C78D8" w:rsidRDefault="00985F16" w:rsidP="00FB7C1F">
            <w:pPr>
              <w:jc w:val="left"/>
              <w:rPr>
                <w:sz w:val="18"/>
                <w:szCs w:val="18"/>
              </w:rPr>
            </w:pPr>
            <w:r w:rsidRPr="004C78D8">
              <w:rPr>
                <w:sz w:val="18"/>
                <w:szCs w:val="18"/>
              </w:rPr>
              <w:t>0.508</w:t>
            </w:r>
          </w:p>
        </w:tc>
        <w:tc>
          <w:tcPr>
            <w:tcW w:w="773" w:type="dxa"/>
            <w:tcBorders>
              <w:top w:val="nil"/>
              <w:bottom w:val="nil"/>
            </w:tcBorders>
          </w:tcPr>
          <w:p w14:paraId="5FC57763" w14:textId="6FBA02BD" w:rsidR="00985F16" w:rsidRPr="004C78D8" w:rsidRDefault="00985F16" w:rsidP="00FB7C1F">
            <w:pPr>
              <w:jc w:val="left"/>
              <w:rPr>
                <w:sz w:val="18"/>
                <w:szCs w:val="18"/>
              </w:rPr>
            </w:pPr>
            <w:r w:rsidRPr="004C78D8">
              <w:rPr>
                <w:sz w:val="18"/>
                <w:szCs w:val="18"/>
              </w:rPr>
              <w:t>0.034</w:t>
            </w:r>
          </w:p>
        </w:tc>
        <w:tc>
          <w:tcPr>
            <w:tcW w:w="705" w:type="dxa"/>
            <w:tcBorders>
              <w:top w:val="nil"/>
              <w:bottom w:val="nil"/>
              <w:right w:val="nil"/>
            </w:tcBorders>
          </w:tcPr>
          <w:p w14:paraId="3581F78B" w14:textId="21FBC82F" w:rsidR="00985F16" w:rsidRPr="004C78D8" w:rsidRDefault="00985F16" w:rsidP="00FB7C1F">
            <w:pPr>
              <w:jc w:val="left"/>
              <w:rPr>
                <w:sz w:val="18"/>
                <w:szCs w:val="18"/>
              </w:rPr>
            </w:pPr>
            <w:r w:rsidRPr="004C78D8">
              <w:rPr>
                <w:sz w:val="18"/>
                <w:szCs w:val="18"/>
              </w:rPr>
              <w:t>0.</w:t>
            </w:r>
            <w:r w:rsidR="001F16FE" w:rsidRPr="004C78D8">
              <w:rPr>
                <w:sz w:val="18"/>
                <w:szCs w:val="18"/>
              </w:rPr>
              <w:t>1</w:t>
            </w:r>
            <w:r w:rsidR="00E93958" w:rsidRPr="004C78D8">
              <w:rPr>
                <w:sz w:val="18"/>
                <w:szCs w:val="18"/>
              </w:rPr>
              <w:t>36</w:t>
            </w:r>
          </w:p>
        </w:tc>
        <w:tc>
          <w:tcPr>
            <w:tcW w:w="748" w:type="dxa"/>
            <w:tcBorders>
              <w:top w:val="nil"/>
              <w:left w:val="nil"/>
              <w:bottom w:val="nil"/>
              <w:right w:val="nil"/>
            </w:tcBorders>
          </w:tcPr>
          <w:p w14:paraId="56025C85" w14:textId="5CAE184C" w:rsidR="00985F16" w:rsidRPr="004C78D8" w:rsidRDefault="00E93958" w:rsidP="00FB7C1F">
            <w:pPr>
              <w:jc w:val="left"/>
              <w:rPr>
                <w:sz w:val="18"/>
                <w:szCs w:val="18"/>
              </w:rPr>
            </w:pPr>
            <w:r w:rsidRPr="004C78D8">
              <w:rPr>
                <w:sz w:val="18"/>
                <w:szCs w:val="18"/>
              </w:rPr>
              <w:t>0.271</w:t>
            </w:r>
          </w:p>
        </w:tc>
        <w:tc>
          <w:tcPr>
            <w:tcW w:w="658" w:type="dxa"/>
            <w:tcBorders>
              <w:top w:val="nil"/>
              <w:left w:val="nil"/>
              <w:bottom w:val="nil"/>
              <w:right w:val="nil"/>
            </w:tcBorders>
          </w:tcPr>
          <w:p w14:paraId="33A45008" w14:textId="550DCF30" w:rsidR="00985F16" w:rsidRPr="004C78D8" w:rsidRDefault="00E93958" w:rsidP="00FB7C1F">
            <w:pPr>
              <w:jc w:val="left"/>
              <w:rPr>
                <w:sz w:val="18"/>
                <w:szCs w:val="18"/>
              </w:rPr>
            </w:pPr>
            <w:r w:rsidRPr="004C78D8">
              <w:rPr>
                <w:sz w:val="18"/>
                <w:szCs w:val="18"/>
              </w:rPr>
              <w:t>0.468</w:t>
            </w:r>
          </w:p>
        </w:tc>
        <w:tc>
          <w:tcPr>
            <w:tcW w:w="659" w:type="dxa"/>
            <w:tcBorders>
              <w:top w:val="nil"/>
              <w:left w:val="nil"/>
              <w:bottom w:val="nil"/>
            </w:tcBorders>
          </w:tcPr>
          <w:p w14:paraId="419F0418" w14:textId="6A21DC0E" w:rsidR="00985F16" w:rsidRPr="004C78D8" w:rsidRDefault="00E93958" w:rsidP="00FB7C1F">
            <w:pPr>
              <w:jc w:val="left"/>
              <w:rPr>
                <w:sz w:val="18"/>
                <w:szCs w:val="18"/>
              </w:rPr>
            </w:pPr>
            <w:r w:rsidRPr="004C78D8">
              <w:rPr>
                <w:sz w:val="18"/>
                <w:szCs w:val="18"/>
              </w:rPr>
              <w:t>2.790</w:t>
            </w:r>
          </w:p>
        </w:tc>
      </w:tr>
      <w:tr w:rsidR="00985F16" w:rsidRPr="004C78D8" w14:paraId="0B78397E" w14:textId="77777777" w:rsidTr="00A1003D">
        <w:tc>
          <w:tcPr>
            <w:tcW w:w="518" w:type="dxa"/>
            <w:tcBorders>
              <w:top w:val="nil"/>
              <w:bottom w:val="nil"/>
            </w:tcBorders>
          </w:tcPr>
          <w:p w14:paraId="0899FF29" w14:textId="0ACE396A" w:rsidR="00985F16" w:rsidRPr="004C78D8" w:rsidRDefault="00985F16" w:rsidP="00FB7C1F">
            <w:pPr>
              <w:jc w:val="left"/>
              <w:rPr>
                <w:sz w:val="18"/>
                <w:szCs w:val="18"/>
              </w:rPr>
            </w:pPr>
            <w:r w:rsidRPr="004C78D8">
              <w:rPr>
                <w:sz w:val="18"/>
                <w:szCs w:val="18"/>
              </w:rPr>
              <w:t>[4]</w:t>
            </w:r>
          </w:p>
        </w:tc>
        <w:tc>
          <w:tcPr>
            <w:tcW w:w="2800" w:type="dxa"/>
            <w:tcBorders>
              <w:top w:val="nil"/>
              <w:bottom w:val="nil"/>
            </w:tcBorders>
          </w:tcPr>
          <w:p w14:paraId="16DE7694" w14:textId="247D45D1" w:rsidR="00985F16" w:rsidRPr="004C78D8" w:rsidRDefault="00985F16" w:rsidP="00FB7C1F">
            <w:pPr>
              <w:jc w:val="left"/>
              <w:rPr>
                <w:sz w:val="18"/>
                <w:szCs w:val="18"/>
              </w:rPr>
            </w:pPr>
            <w:r w:rsidRPr="004C78D8">
              <w:rPr>
                <w:sz w:val="18"/>
                <w:szCs w:val="18"/>
              </w:rPr>
              <w:t>RC SR pathway only</w:t>
            </w:r>
          </w:p>
        </w:tc>
        <w:tc>
          <w:tcPr>
            <w:tcW w:w="1275" w:type="dxa"/>
            <w:tcBorders>
              <w:top w:val="nil"/>
              <w:bottom w:val="nil"/>
            </w:tcBorders>
          </w:tcPr>
          <w:p w14:paraId="6F77C575" w14:textId="590DA087" w:rsidR="00985F16" w:rsidRPr="004C78D8" w:rsidRDefault="009F045D" w:rsidP="00FB7C1F">
            <w:pPr>
              <w:jc w:val="left"/>
              <w:rPr>
                <w:sz w:val="18"/>
                <w:szCs w:val="18"/>
              </w:rPr>
            </w:pPr>
            <w:r w:rsidRPr="004C78D8">
              <w:rPr>
                <w:sz w:val="18"/>
                <w:szCs w:val="18"/>
              </w:rPr>
              <w:t>£10,368,413</w:t>
            </w:r>
          </w:p>
        </w:tc>
        <w:tc>
          <w:tcPr>
            <w:tcW w:w="772" w:type="dxa"/>
            <w:tcBorders>
              <w:top w:val="nil"/>
              <w:bottom w:val="nil"/>
            </w:tcBorders>
          </w:tcPr>
          <w:p w14:paraId="26B4E52D" w14:textId="5308B3E1" w:rsidR="00985F16" w:rsidRPr="004C78D8" w:rsidRDefault="009F045D" w:rsidP="00FB7C1F">
            <w:pPr>
              <w:jc w:val="left"/>
              <w:rPr>
                <w:sz w:val="18"/>
                <w:szCs w:val="18"/>
              </w:rPr>
            </w:pPr>
            <w:r w:rsidRPr="004C78D8">
              <w:rPr>
                <w:sz w:val="18"/>
                <w:szCs w:val="18"/>
              </w:rPr>
              <w:t>0.312</w:t>
            </w:r>
          </w:p>
        </w:tc>
        <w:tc>
          <w:tcPr>
            <w:tcW w:w="773" w:type="dxa"/>
            <w:tcBorders>
              <w:top w:val="nil"/>
              <w:bottom w:val="nil"/>
            </w:tcBorders>
          </w:tcPr>
          <w:p w14:paraId="60DF1476" w14:textId="0891C04A" w:rsidR="00985F16" w:rsidRPr="004C78D8" w:rsidRDefault="009F045D" w:rsidP="00FB7C1F">
            <w:pPr>
              <w:jc w:val="left"/>
              <w:rPr>
                <w:sz w:val="18"/>
                <w:szCs w:val="18"/>
              </w:rPr>
            </w:pPr>
            <w:r w:rsidRPr="004C78D8">
              <w:rPr>
                <w:sz w:val="18"/>
                <w:szCs w:val="18"/>
              </w:rPr>
              <w:t>0.223</w:t>
            </w:r>
          </w:p>
        </w:tc>
        <w:tc>
          <w:tcPr>
            <w:tcW w:w="705" w:type="dxa"/>
            <w:tcBorders>
              <w:top w:val="nil"/>
              <w:bottom w:val="nil"/>
              <w:right w:val="nil"/>
            </w:tcBorders>
          </w:tcPr>
          <w:p w14:paraId="6920CF8D" w14:textId="7FEB4B0D" w:rsidR="00985F16" w:rsidRPr="004C78D8" w:rsidRDefault="009F045D" w:rsidP="00FB7C1F">
            <w:pPr>
              <w:jc w:val="left"/>
              <w:rPr>
                <w:sz w:val="18"/>
                <w:szCs w:val="18"/>
              </w:rPr>
            </w:pPr>
            <w:r w:rsidRPr="004C78D8">
              <w:rPr>
                <w:sz w:val="18"/>
                <w:szCs w:val="18"/>
              </w:rPr>
              <w:t>0.276</w:t>
            </w:r>
          </w:p>
        </w:tc>
        <w:tc>
          <w:tcPr>
            <w:tcW w:w="748" w:type="dxa"/>
            <w:tcBorders>
              <w:top w:val="nil"/>
              <w:left w:val="nil"/>
              <w:bottom w:val="nil"/>
              <w:right w:val="nil"/>
            </w:tcBorders>
          </w:tcPr>
          <w:p w14:paraId="2AC74883" w14:textId="3CC80808" w:rsidR="00985F16" w:rsidRPr="004C78D8" w:rsidRDefault="009F045D" w:rsidP="00FB7C1F">
            <w:pPr>
              <w:jc w:val="left"/>
              <w:rPr>
                <w:sz w:val="18"/>
                <w:szCs w:val="18"/>
              </w:rPr>
            </w:pPr>
            <w:r w:rsidRPr="004C78D8">
              <w:rPr>
                <w:sz w:val="18"/>
                <w:szCs w:val="18"/>
              </w:rPr>
              <w:t>0.176</w:t>
            </w:r>
          </w:p>
        </w:tc>
        <w:tc>
          <w:tcPr>
            <w:tcW w:w="658" w:type="dxa"/>
            <w:tcBorders>
              <w:top w:val="nil"/>
              <w:left w:val="nil"/>
              <w:bottom w:val="nil"/>
              <w:right w:val="nil"/>
            </w:tcBorders>
          </w:tcPr>
          <w:p w14:paraId="3A359FD5" w14:textId="2C77E371" w:rsidR="00985F16" w:rsidRPr="004C78D8" w:rsidRDefault="009F045D" w:rsidP="00FB7C1F">
            <w:pPr>
              <w:jc w:val="left"/>
              <w:rPr>
                <w:sz w:val="18"/>
                <w:szCs w:val="18"/>
              </w:rPr>
            </w:pPr>
            <w:r w:rsidRPr="004C78D8">
              <w:rPr>
                <w:sz w:val="18"/>
                <w:szCs w:val="18"/>
              </w:rPr>
              <w:t>0.406</w:t>
            </w:r>
          </w:p>
        </w:tc>
        <w:tc>
          <w:tcPr>
            <w:tcW w:w="659" w:type="dxa"/>
            <w:tcBorders>
              <w:top w:val="nil"/>
              <w:left w:val="nil"/>
              <w:bottom w:val="nil"/>
            </w:tcBorders>
          </w:tcPr>
          <w:p w14:paraId="36418AD7" w14:textId="671DCD26" w:rsidR="00985F16" w:rsidRPr="004C78D8" w:rsidRDefault="009F045D" w:rsidP="00FB7C1F">
            <w:pPr>
              <w:jc w:val="left"/>
              <w:rPr>
                <w:sz w:val="18"/>
                <w:szCs w:val="18"/>
              </w:rPr>
            </w:pPr>
            <w:r w:rsidRPr="004C78D8">
              <w:rPr>
                <w:sz w:val="18"/>
                <w:szCs w:val="18"/>
              </w:rPr>
              <w:t>0.410</w:t>
            </w:r>
          </w:p>
        </w:tc>
      </w:tr>
      <w:tr w:rsidR="00985F16" w:rsidRPr="004C78D8" w14:paraId="4E902B97" w14:textId="77777777" w:rsidTr="00A1003D">
        <w:tc>
          <w:tcPr>
            <w:tcW w:w="518" w:type="dxa"/>
            <w:tcBorders>
              <w:top w:val="nil"/>
              <w:bottom w:val="nil"/>
            </w:tcBorders>
          </w:tcPr>
          <w:p w14:paraId="1CC20D22" w14:textId="74EC2024" w:rsidR="00985F16" w:rsidRPr="004C78D8" w:rsidRDefault="00985F16" w:rsidP="00FB7C1F">
            <w:pPr>
              <w:jc w:val="left"/>
              <w:rPr>
                <w:sz w:val="18"/>
                <w:szCs w:val="18"/>
              </w:rPr>
            </w:pPr>
            <w:r w:rsidRPr="004C78D8">
              <w:rPr>
                <w:sz w:val="18"/>
                <w:szCs w:val="18"/>
              </w:rPr>
              <w:t>[5]</w:t>
            </w:r>
          </w:p>
        </w:tc>
        <w:tc>
          <w:tcPr>
            <w:tcW w:w="2800" w:type="dxa"/>
            <w:tcBorders>
              <w:top w:val="nil"/>
              <w:bottom w:val="nil"/>
            </w:tcBorders>
          </w:tcPr>
          <w:p w14:paraId="5B7E88CC" w14:textId="2199EE48" w:rsidR="00985F16" w:rsidRPr="004C78D8" w:rsidRDefault="00985F16" w:rsidP="00FB7C1F">
            <w:pPr>
              <w:jc w:val="left"/>
              <w:rPr>
                <w:sz w:val="18"/>
                <w:szCs w:val="18"/>
              </w:rPr>
            </w:pPr>
            <w:r w:rsidRPr="004C78D8">
              <w:rPr>
                <w:sz w:val="18"/>
                <w:szCs w:val="18"/>
              </w:rPr>
              <w:t>UC + 3</w:t>
            </w:r>
            <w:r w:rsidRPr="004C78D8">
              <w:rPr>
                <w:sz w:val="18"/>
                <w:szCs w:val="18"/>
                <w:vertAlign w:val="superscript"/>
              </w:rPr>
              <w:t>rd</w:t>
            </w:r>
            <w:r w:rsidRPr="004C78D8">
              <w:rPr>
                <w:sz w:val="18"/>
                <w:szCs w:val="18"/>
              </w:rPr>
              <w:t>/4</w:t>
            </w:r>
            <w:r w:rsidRPr="004C78D8">
              <w:rPr>
                <w:sz w:val="18"/>
                <w:szCs w:val="18"/>
                <w:vertAlign w:val="superscript"/>
              </w:rPr>
              <w:t>th</w:t>
            </w:r>
            <w:r w:rsidRPr="004C78D8">
              <w:rPr>
                <w:sz w:val="18"/>
                <w:szCs w:val="18"/>
              </w:rPr>
              <w:t xml:space="preserve"> SES FH removal</w:t>
            </w:r>
          </w:p>
        </w:tc>
        <w:tc>
          <w:tcPr>
            <w:tcW w:w="1275" w:type="dxa"/>
            <w:tcBorders>
              <w:top w:val="nil"/>
              <w:bottom w:val="nil"/>
            </w:tcBorders>
          </w:tcPr>
          <w:p w14:paraId="2052E3D6" w14:textId="01BA4011" w:rsidR="00985F16" w:rsidRPr="004C78D8" w:rsidRDefault="00EE7161" w:rsidP="00FB7C1F">
            <w:pPr>
              <w:jc w:val="left"/>
              <w:rPr>
                <w:sz w:val="18"/>
                <w:szCs w:val="18"/>
              </w:rPr>
            </w:pPr>
            <w:r w:rsidRPr="004C78D8">
              <w:rPr>
                <w:sz w:val="18"/>
                <w:szCs w:val="18"/>
              </w:rPr>
              <w:t>£10,518,831</w:t>
            </w:r>
          </w:p>
        </w:tc>
        <w:tc>
          <w:tcPr>
            <w:tcW w:w="772" w:type="dxa"/>
            <w:tcBorders>
              <w:top w:val="nil"/>
              <w:bottom w:val="nil"/>
            </w:tcBorders>
          </w:tcPr>
          <w:p w14:paraId="250651AE" w14:textId="3DBC9F48" w:rsidR="00985F16" w:rsidRPr="004C78D8" w:rsidRDefault="00EE7161" w:rsidP="00FB7C1F">
            <w:pPr>
              <w:jc w:val="left"/>
              <w:rPr>
                <w:sz w:val="18"/>
                <w:szCs w:val="18"/>
              </w:rPr>
            </w:pPr>
            <w:r w:rsidRPr="004C78D8">
              <w:rPr>
                <w:sz w:val="18"/>
                <w:szCs w:val="18"/>
              </w:rPr>
              <w:t>0.352</w:t>
            </w:r>
          </w:p>
        </w:tc>
        <w:tc>
          <w:tcPr>
            <w:tcW w:w="773" w:type="dxa"/>
            <w:tcBorders>
              <w:top w:val="nil"/>
              <w:bottom w:val="nil"/>
            </w:tcBorders>
          </w:tcPr>
          <w:p w14:paraId="26FB4789" w14:textId="1A32BFD4" w:rsidR="00985F16" w:rsidRPr="004C78D8" w:rsidRDefault="00EE7161" w:rsidP="00FB7C1F">
            <w:pPr>
              <w:jc w:val="left"/>
              <w:rPr>
                <w:sz w:val="18"/>
                <w:szCs w:val="18"/>
              </w:rPr>
            </w:pPr>
            <w:r w:rsidRPr="004C78D8">
              <w:rPr>
                <w:sz w:val="18"/>
                <w:szCs w:val="18"/>
              </w:rPr>
              <w:t>0.225</w:t>
            </w:r>
          </w:p>
        </w:tc>
        <w:tc>
          <w:tcPr>
            <w:tcW w:w="705" w:type="dxa"/>
            <w:tcBorders>
              <w:top w:val="nil"/>
              <w:bottom w:val="nil"/>
              <w:right w:val="nil"/>
            </w:tcBorders>
          </w:tcPr>
          <w:p w14:paraId="10F40E7E" w14:textId="5C5ECD99" w:rsidR="00985F16" w:rsidRPr="004C78D8" w:rsidRDefault="00EE7161" w:rsidP="00FB7C1F">
            <w:pPr>
              <w:jc w:val="left"/>
              <w:rPr>
                <w:sz w:val="18"/>
                <w:szCs w:val="18"/>
              </w:rPr>
            </w:pPr>
            <w:r w:rsidRPr="004C78D8">
              <w:rPr>
                <w:sz w:val="18"/>
                <w:szCs w:val="18"/>
              </w:rPr>
              <w:t>-0.081</w:t>
            </w:r>
          </w:p>
        </w:tc>
        <w:tc>
          <w:tcPr>
            <w:tcW w:w="748" w:type="dxa"/>
            <w:tcBorders>
              <w:top w:val="nil"/>
              <w:left w:val="nil"/>
              <w:bottom w:val="nil"/>
              <w:right w:val="nil"/>
            </w:tcBorders>
          </w:tcPr>
          <w:p w14:paraId="7DDCA254" w14:textId="6128D87F" w:rsidR="00985F16" w:rsidRPr="004C78D8" w:rsidRDefault="00EE7161" w:rsidP="00FB7C1F">
            <w:pPr>
              <w:jc w:val="left"/>
              <w:rPr>
                <w:sz w:val="18"/>
                <w:szCs w:val="18"/>
              </w:rPr>
            </w:pPr>
            <w:r w:rsidRPr="004C78D8">
              <w:rPr>
                <w:sz w:val="18"/>
                <w:szCs w:val="18"/>
              </w:rPr>
              <w:t>-0.066</w:t>
            </w:r>
          </w:p>
        </w:tc>
        <w:tc>
          <w:tcPr>
            <w:tcW w:w="658" w:type="dxa"/>
            <w:tcBorders>
              <w:top w:val="nil"/>
              <w:left w:val="nil"/>
              <w:bottom w:val="nil"/>
              <w:right w:val="nil"/>
            </w:tcBorders>
          </w:tcPr>
          <w:p w14:paraId="144C7751" w14:textId="006F6E71" w:rsidR="00985F16" w:rsidRPr="004C78D8" w:rsidRDefault="00EE7161" w:rsidP="00FB7C1F">
            <w:pPr>
              <w:jc w:val="left"/>
              <w:rPr>
                <w:sz w:val="18"/>
                <w:szCs w:val="18"/>
              </w:rPr>
            </w:pPr>
            <w:r w:rsidRPr="004C78D8">
              <w:rPr>
                <w:sz w:val="18"/>
                <w:szCs w:val="18"/>
              </w:rPr>
              <w:t>0.659</w:t>
            </w:r>
          </w:p>
        </w:tc>
        <w:tc>
          <w:tcPr>
            <w:tcW w:w="659" w:type="dxa"/>
            <w:tcBorders>
              <w:top w:val="nil"/>
              <w:left w:val="nil"/>
              <w:bottom w:val="nil"/>
            </w:tcBorders>
          </w:tcPr>
          <w:p w14:paraId="548A0935" w14:textId="390F6FED" w:rsidR="00985F16" w:rsidRPr="004C78D8" w:rsidRDefault="00EE7161" w:rsidP="00FB7C1F">
            <w:pPr>
              <w:jc w:val="left"/>
              <w:rPr>
                <w:sz w:val="18"/>
                <w:szCs w:val="18"/>
              </w:rPr>
            </w:pPr>
            <w:r w:rsidRPr="004C78D8">
              <w:rPr>
                <w:sz w:val="18"/>
                <w:szCs w:val="18"/>
              </w:rPr>
              <w:t>0.807</w:t>
            </w:r>
          </w:p>
        </w:tc>
      </w:tr>
      <w:tr w:rsidR="00985F16" w:rsidRPr="004C78D8" w14:paraId="2B17406D" w14:textId="77777777" w:rsidTr="00A1003D">
        <w:tc>
          <w:tcPr>
            <w:tcW w:w="518" w:type="dxa"/>
            <w:tcBorders>
              <w:top w:val="nil"/>
              <w:bottom w:val="nil"/>
            </w:tcBorders>
          </w:tcPr>
          <w:p w14:paraId="5F8CD5C6" w14:textId="2956F488" w:rsidR="00985F16" w:rsidRPr="004C78D8" w:rsidRDefault="00985F16" w:rsidP="00FB7C1F">
            <w:pPr>
              <w:jc w:val="left"/>
              <w:rPr>
                <w:sz w:val="18"/>
                <w:szCs w:val="18"/>
              </w:rPr>
            </w:pPr>
            <w:r w:rsidRPr="004C78D8">
              <w:rPr>
                <w:sz w:val="18"/>
                <w:szCs w:val="18"/>
              </w:rPr>
              <w:t>[6]</w:t>
            </w:r>
          </w:p>
        </w:tc>
        <w:tc>
          <w:tcPr>
            <w:tcW w:w="2800" w:type="dxa"/>
            <w:tcBorders>
              <w:top w:val="nil"/>
              <w:bottom w:val="nil"/>
            </w:tcBorders>
          </w:tcPr>
          <w:p w14:paraId="38F20617" w14:textId="07EFDDFA" w:rsidR="00985F16" w:rsidRPr="004C78D8" w:rsidRDefault="00985F16" w:rsidP="00FB7C1F">
            <w:pPr>
              <w:jc w:val="left"/>
              <w:rPr>
                <w:sz w:val="18"/>
                <w:szCs w:val="18"/>
              </w:rPr>
            </w:pPr>
            <w:r w:rsidRPr="004C78D8">
              <w:rPr>
                <w:sz w:val="18"/>
                <w:szCs w:val="18"/>
              </w:rPr>
              <w:t>RC reactive &amp; SR pathways</w:t>
            </w:r>
          </w:p>
        </w:tc>
        <w:tc>
          <w:tcPr>
            <w:tcW w:w="1275" w:type="dxa"/>
            <w:tcBorders>
              <w:top w:val="nil"/>
              <w:bottom w:val="nil"/>
            </w:tcBorders>
          </w:tcPr>
          <w:p w14:paraId="37E06F2E" w14:textId="47E3D39C" w:rsidR="00985F16" w:rsidRPr="004C78D8" w:rsidRDefault="003F4921" w:rsidP="00FB7C1F">
            <w:pPr>
              <w:jc w:val="left"/>
              <w:rPr>
                <w:sz w:val="18"/>
                <w:szCs w:val="18"/>
              </w:rPr>
            </w:pPr>
            <w:r w:rsidRPr="004C78D8">
              <w:rPr>
                <w:sz w:val="18"/>
                <w:szCs w:val="18"/>
              </w:rPr>
              <w:t>£13,131,272</w:t>
            </w:r>
          </w:p>
        </w:tc>
        <w:tc>
          <w:tcPr>
            <w:tcW w:w="772" w:type="dxa"/>
            <w:tcBorders>
              <w:top w:val="nil"/>
              <w:bottom w:val="nil"/>
            </w:tcBorders>
          </w:tcPr>
          <w:p w14:paraId="69C77A88" w14:textId="55C2F626" w:rsidR="00985F16" w:rsidRPr="004C78D8" w:rsidRDefault="003F4921" w:rsidP="00FB7C1F">
            <w:pPr>
              <w:jc w:val="left"/>
              <w:rPr>
                <w:sz w:val="18"/>
                <w:szCs w:val="18"/>
              </w:rPr>
            </w:pPr>
            <w:r w:rsidRPr="004C78D8">
              <w:rPr>
                <w:sz w:val="18"/>
                <w:szCs w:val="18"/>
              </w:rPr>
              <w:t>0.382</w:t>
            </w:r>
          </w:p>
        </w:tc>
        <w:tc>
          <w:tcPr>
            <w:tcW w:w="773" w:type="dxa"/>
            <w:tcBorders>
              <w:top w:val="nil"/>
              <w:bottom w:val="nil"/>
            </w:tcBorders>
          </w:tcPr>
          <w:p w14:paraId="381614D9" w14:textId="14A30A95" w:rsidR="00985F16" w:rsidRPr="004C78D8" w:rsidRDefault="003F4921" w:rsidP="00FB7C1F">
            <w:pPr>
              <w:jc w:val="left"/>
              <w:rPr>
                <w:sz w:val="18"/>
                <w:szCs w:val="18"/>
              </w:rPr>
            </w:pPr>
            <w:r w:rsidRPr="004C78D8">
              <w:rPr>
                <w:sz w:val="18"/>
                <w:szCs w:val="18"/>
              </w:rPr>
              <w:t>0.315</w:t>
            </w:r>
          </w:p>
        </w:tc>
        <w:tc>
          <w:tcPr>
            <w:tcW w:w="705" w:type="dxa"/>
            <w:tcBorders>
              <w:top w:val="nil"/>
              <w:bottom w:val="nil"/>
              <w:right w:val="nil"/>
            </w:tcBorders>
          </w:tcPr>
          <w:p w14:paraId="422A9A34" w14:textId="6BD88CAF" w:rsidR="00985F16" w:rsidRPr="004C78D8" w:rsidRDefault="003F4921" w:rsidP="00FB7C1F">
            <w:pPr>
              <w:jc w:val="left"/>
              <w:rPr>
                <w:sz w:val="18"/>
                <w:szCs w:val="18"/>
              </w:rPr>
            </w:pPr>
            <w:r w:rsidRPr="004C78D8">
              <w:rPr>
                <w:sz w:val="18"/>
                <w:szCs w:val="18"/>
              </w:rPr>
              <w:t>0.327</w:t>
            </w:r>
          </w:p>
        </w:tc>
        <w:tc>
          <w:tcPr>
            <w:tcW w:w="748" w:type="dxa"/>
            <w:tcBorders>
              <w:top w:val="nil"/>
              <w:left w:val="nil"/>
              <w:bottom w:val="nil"/>
              <w:right w:val="nil"/>
            </w:tcBorders>
          </w:tcPr>
          <w:p w14:paraId="776AA0C4" w14:textId="74149241" w:rsidR="00985F16" w:rsidRPr="004C78D8" w:rsidRDefault="003F4921" w:rsidP="00FB7C1F">
            <w:pPr>
              <w:jc w:val="left"/>
              <w:rPr>
                <w:sz w:val="18"/>
                <w:szCs w:val="18"/>
              </w:rPr>
            </w:pPr>
            <w:r w:rsidRPr="004C78D8">
              <w:rPr>
                <w:sz w:val="18"/>
                <w:szCs w:val="18"/>
              </w:rPr>
              <w:t>0.223</w:t>
            </w:r>
          </w:p>
        </w:tc>
        <w:tc>
          <w:tcPr>
            <w:tcW w:w="658" w:type="dxa"/>
            <w:tcBorders>
              <w:top w:val="nil"/>
              <w:left w:val="nil"/>
              <w:bottom w:val="nil"/>
              <w:right w:val="nil"/>
            </w:tcBorders>
          </w:tcPr>
          <w:p w14:paraId="50A68446" w14:textId="05DF803C" w:rsidR="00985F16" w:rsidRPr="004C78D8" w:rsidRDefault="003F4921" w:rsidP="00FB7C1F">
            <w:pPr>
              <w:jc w:val="left"/>
              <w:rPr>
                <w:sz w:val="18"/>
                <w:szCs w:val="18"/>
              </w:rPr>
            </w:pPr>
            <w:r w:rsidRPr="004C78D8">
              <w:rPr>
                <w:sz w:val="18"/>
                <w:szCs w:val="18"/>
              </w:rPr>
              <w:t>0.543</w:t>
            </w:r>
          </w:p>
        </w:tc>
        <w:tc>
          <w:tcPr>
            <w:tcW w:w="659" w:type="dxa"/>
            <w:tcBorders>
              <w:top w:val="nil"/>
              <w:left w:val="nil"/>
              <w:bottom w:val="nil"/>
            </w:tcBorders>
          </w:tcPr>
          <w:p w14:paraId="1F2D620D" w14:textId="66C9E074" w:rsidR="00985F16" w:rsidRPr="004C78D8" w:rsidRDefault="003F4921" w:rsidP="00FB7C1F">
            <w:pPr>
              <w:jc w:val="left"/>
              <w:rPr>
                <w:sz w:val="18"/>
                <w:szCs w:val="18"/>
              </w:rPr>
            </w:pPr>
            <w:r w:rsidRPr="004C78D8">
              <w:rPr>
                <w:sz w:val="18"/>
                <w:szCs w:val="18"/>
              </w:rPr>
              <w:t>0.400</w:t>
            </w:r>
          </w:p>
        </w:tc>
      </w:tr>
      <w:tr w:rsidR="00985F16" w:rsidRPr="004C78D8" w14:paraId="25F1FA50" w14:textId="77777777" w:rsidTr="00A1003D">
        <w:tc>
          <w:tcPr>
            <w:tcW w:w="518" w:type="dxa"/>
            <w:tcBorders>
              <w:top w:val="nil"/>
              <w:bottom w:val="nil"/>
            </w:tcBorders>
          </w:tcPr>
          <w:p w14:paraId="359B5B01" w14:textId="182367C3" w:rsidR="00985F16" w:rsidRPr="004C78D8" w:rsidRDefault="00985F16" w:rsidP="00FB7C1F">
            <w:pPr>
              <w:jc w:val="left"/>
              <w:rPr>
                <w:sz w:val="18"/>
                <w:szCs w:val="18"/>
              </w:rPr>
            </w:pPr>
            <w:r w:rsidRPr="004C78D8">
              <w:rPr>
                <w:sz w:val="18"/>
                <w:szCs w:val="18"/>
              </w:rPr>
              <w:t>[7]</w:t>
            </w:r>
          </w:p>
        </w:tc>
        <w:tc>
          <w:tcPr>
            <w:tcW w:w="2800" w:type="dxa"/>
            <w:tcBorders>
              <w:top w:val="nil"/>
              <w:bottom w:val="nil"/>
            </w:tcBorders>
          </w:tcPr>
          <w:p w14:paraId="23FF13DA" w14:textId="4F75F507" w:rsidR="00985F16" w:rsidRPr="004C78D8" w:rsidRDefault="00985F16" w:rsidP="00FB7C1F">
            <w:pPr>
              <w:jc w:val="left"/>
              <w:rPr>
                <w:sz w:val="18"/>
                <w:szCs w:val="18"/>
              </w:rPr>
            </w:pPr>
            <w:r w:rsidRPr="004C78D8">
              <w:rPr>
                <w:sz w:val="18"/>
                <w:szCs w:val="18"/>
              </w:rPr>
              <w:t>CRC(4)+ 3</w:t>
            </w:r>
            <w:r w:rsidRPr="004C78D8">
              <w:rPr>
                <w:sz w:val="18"/>
                <w:szCs w:val="18"/>
                <w:vertAlign w:val="superscript"/>
              </w:rPr>
              <w:t>rd</w:t>
            </w:r>
            <w:r w:rsidRPr="004C78D8">
              <w:rPr>
                <w:sz w:val="18"/>
                <w:szCs w:val="18"/>
              </w:rPr>
              <w:t>/4</w:t>
            </w:r>
            <w:r w:rsidRPr="004C78D8">
              <w:rPr>
                <w:sz w:val="18"/>
                <w:szCs w:val="18"/>
                <w:vertAlign w:val="superscript"/>
              </w:rPr>
              <w:t>th</w:t>
            </w:r>
            <w:r w:rsidRPr="004C78D8">
              <w:rPr>
                <w:sz w:val="18"/>
                <w:szCs w:val="18"/>
              </w:rPr>
              <w:t xml:space="preserve"> SES FRS</w:t>
            </w:r>
          </w:p>
        </w:tc>
        <w:tc>
          <w:tcPr>
            <w:tcW w:w="1275" w:type="dxa"/>
            <w:tcBorders>
              <w:top w:val="nil"/>
              <w:bottom w:val="nil"/>
            </w:tcBorders>
          </w:tcPr>
          <w:p w14:paraId="0BA9478C" w14:textId="5DF6B7E8" w:rsidR="00985F16" w:rsidRPr="004C78D8" w:rsidRDefault="00565B42" w:rsidP="00FB7C1F">
            <w:pPr>
              <w:jc w:val="left"/>
              <w:rPr>
                <w:sz w:val="18"/>
                <w:szCs w:val="18"/>
              </w:rPr>
            </w:pPr>
            <w:r w:rsidRPr="004C78D8">
              <w:rPr>
                <w:sz w:val="18"/>
                <w:szCs w:val="18"/>
              </w:rPr>
              <w:t>£16,087,595</w:t>
            </w:r>
          </w:p>
        </w:tc>
        <w:tc>
          <w:tcPr>
            <w:tcW w:w="772" w:type="dxa"/>
            <w:tcBorders>
              <w:top w:val="nil"/>
              <w:bottom w:val="nil"/>
            </w:tcBorders>
          </w:tcPr>
          <w:p w14:paraId="4013DF1B" w14:textId="18ADF63D" w:rsidR="00985F16" w:rsidRPr="004C78D8" w:rsidRDefault="00565B42" w:rsidP="00FB7C1F">
            <w:pPr>
              <w:jc w:val="left"/>
              <w:rPr>
                <w:sz w:val="18"/>
                <w:szCs w:val="18"/>
              </w:rPr>
            </w:pPr>
            <w:r w:rsidRPr="004C78D8">
              <w:rPr>
                <w:sz w:val="18"/>
                <w:szCs w:val="18"/>
              </w:rPr>
              <w:t>0.398</w:t>
            </w:r>
          </w:p>
        </w:tc>
        <w:tc>
          <w:tcPr>
            <w:tcW w:w="773" w:type="dxa"/>
            <w:tcBorders>
              <w:top w:val="nil"/>
              <w:bottom w:val="nil"/>
            </w:tcBorders>
          </w:tcPr>
          <w:p w14:paraId="782A85EC" w14:textId="494FB280" w:rsidR="00985F16" w:rsidRPr="004C78D8" w:rsidRDefault="00565B42" w:rsidP="00FB7C1F">
            <w:pPr>
              <w:jc w:val="left"/>
              <w:rPr>
                <w:sz w:val="18"/>
                <w:szCs w:val="18"/>
              </w:rPr>
            </w:pPr>
            <w:r w:rsidRPr="004C78D8">
              <w:rPr>
                <w:sz w:val="18"/>
                <w:szCs w:val="18"/>
              </w:rPr>
              <w:t>0.329</w:t>
            </w:r>
          </w:p>
        </w:tc>
        <w:tc>
          <w:tcPr>
            <w:tcW w:w="705" w:type="dxa"/>
            <w:tcBorders>
              <w:top w:val="nil"/>
              <w:bottom w:val="nil"/>
              <w:right w:val="nil"/>
            </w:tcBorders>
          </w:tcPr>
          <w:p w14:paraId="12609431" w14:textId="5D328EC9" w:rsidR="00985F16" w:rsidRPr="004C78D8" w:rsidRDefault="00565B42" w:rsidP="00FB7C1F">
            <w:pPr>
              <w:jc w:val="left"/>
              <w:rPr>
                <w:sz w:val="18"/>
                <w:szCs w:val="18"/>
              </w:rPr>
            </w:pPr>
            <w:r w:rsidRPr="004C78D8">
              <w:rPr>
                <w:sz w:val="18"/>
                <w:szCs w:val="18"/>
              </w:rPr>
              <w:t>0.374</w:t>
            </w:r>
          </w:p>
        </w:tc>
        <w:tc>
          <w:tcPr>
            <w:tcW w:w="748" w:type="dxa"/>
            <w:tcBorders>
              <w:top w:val="nil"/>
              <w:left w:val="nil"/>
              <w:bottom w:val="nil"/>
              <w:right w:val="nil"/>
            </w:tcBorders>
          </w:tcPr>
          <w:p w14:paraId="1E21CD2E" w14:textId="5153AD24" w:rsidR="00985F16" w:rsidRPr="004C78D8" w:rsidRDefault="00565B42" w:rsidP="00FB7C1F">
            <w:pPr>
              <w:jc w:val="left"/>
              <w:rPr>
                <w:sz w:val="18"/>
                <w:szCs w:val="18"/>
              </w:rPr>
            </w:pPr>
            <w:r w:rsidRPr="004C78D8">
              <w:rPr>
                <w:sz w:val="18"/>
                <w:szCs w:val="18"/>
              </w:rPr>
              <w:t>0.308</w:t>
            </w:r>
          </w:p>
        </w:tc>
        <w:tc>
          <w:tcPr>
            <w:tcW w:w="658" w:type="dxa"/>
            <w:tcBorders>
              <w:top w:val="nil"/>
              <w:left w:val="nil"/>
              <w:bottom w:val="nil"/>
              <w:right w:val="nil"/>
            </w:tcBorders>
          </w:tcPr>
          <w:p w14:paraId="11C92C17" w14:textId="58D18771" w:rsidR="00985F16" w:rsidRPr="004C78D8" w:rsidRDefault="00565B42" w:rsidP="00FB7C1F">
            <w:pPr>
              <w:jc w:val="left"/>
              <w:rPr>
                <w:sz w:val="18"/>
                <w:szCs w:val="18"/>
              </w:rPr>
            </w:pPr>
            <w:r w:rsidRPr="004C78D8">
              <w:rPr>
                <w:sz w:val="18"/>
                <w:szCs w:val="18"/>
              </w:rPr>
              <w:t>0.411</w:t>
            </w:r>
          </w:p>
        </w:tc>
        <w:tc>
          <w:tcPr>
            <w:tcW w:w="659" w:type="dxa"/>
            <w:tcBorders>
              <w:top w:val="nil"/>
              <w:left w:val="nil"/>
              <w:bottom w:val="nil"/>
            </w:tcBorders>
          </w:tcPr>
          <w:p w14:paraId="6DAD21AE" w14:textId="285D10DD" w:rsidR="00985F16" w:rsidRPr="004C78D8" w:rsidRDefault="00565B42" w:rsidP="00FB7C1F">
            <w:pPr>
              <w:jc w:val="left"/>
              <w:rPr>
                <w:sz w:val="18"/>
                <w:szCs w:val="18"/>
              </w:rPr>
            </w:pPr>
            <w:r w:rsidRPr="004C78D8">
              <w:rPr>
                <w:sz w:val="18"/>
                <w:szCs w:val="18"/>
              </w:rPr>
              <w:t>0.526</w:t>
            </w:r>
          </w:p>
        </w:tc>
      </w:tr>
      <w:tr w:rsidR="00985F16" w:rsidRPr="004C78D8" w14:paraId="11446101" w14:textId="77777777" w:rsidTr="00A1003D">
        <w:tc>
          <w:tcPr>
            <w:tcW w:w="518" w:type="dxa"/>
            <w:tcBorders>
              <w:top w:val="nil"/>
              <w:bottom w:val="nil"/>
            </w:tcBorders>
          </w:tcPr>
          <w:p w14:paraId="3AD4A830" w14:textId="21217C63" w:rsidR="00985F16" w:rsidRPr="004C78D8" w:rsidRDefault="00985F16" w:rsidP="00FB7C1F">
            <w:pPr>
              <w:jc w:val="left"/>
              <w:rPr>
                <w:sz w:val="18"/>
                <w:szCs w:val="18"/>
              </w:rPr>
            </w:pPr>
            <w:r w:rsidRPr="004C78D8">
              <w:rPr>
                <w:sz w:val="18"/>
                <w:szCs w:val="18"/>
              </w:rPr>
              <w:t>[8]</w:t>
            </w:r>
          </w:p>
        </w:tc>
        <w:tc>
          <w:tcPr>
            <w:tcW w:w="2800" w:type="dxa"/>
            <w:tcBorders>
              <w:top w:val="nil"/>
              <w:bottom w:val="nil"/>
            </w:tcBorders>
          </w:tcPr>
          <w:p w14:paraId="0B451382" w14:textId="1CAD9CDC" w:rsidR="00985F16" w:rsidRPr="004C78D8" w:rsidRDefault="00985F16" w:rsidP="00FB7C1F">
            <w:pPr>
              <w:jc w:val="left"/>
              <w:rPr>
                <w:sz w:val="18"/>
                <w:szCs w:val="18"/>
              </w:rPr>
            </w:pPr>
            <w:r w:rsidRPr="004C78D8">
              <w:rPr>
                <w:sz w:val="18"/>
                <w:szCs w:val="18"/>
              </w:rPr>
              <w:t>CRC(4): falls risk targeting</w:t>
            </w:r>
          </w:p>
        </w:tc>
        <w:tc>
          <w:tcPr>
            <w:tcW w:w="1275" w:type="dxa"/>
            <w:tcBorders>
              <w:top w:val="nil"/>
              <w:bottom w:val="nil"/>
            </w:tcBorders>
          </w:tcPr>
          <w:p w14:paraId="740A078A" w14:textId="05602DEC" w:rsidR="00985F16" w:rsidRPr="004C78D8" w:rsidRDefault="00DB17C6" w:rsidP="00FB7C1F">
            <w:pPr>
              <w:jc w:val="left"/>
              <w:rPr>
                <w:sz w:val="18"/>
                <w:szCs w:val="18"/>
              </w:rPr>
            </w:pPr>
            <w:r w:rsidRPr="004C78D8">
              <w:rPr>
                <w:sz w:val="18"/>
                <w:szCs w:val="18"/>
              </w:rPr>
              <w:t>£15,694,175</w:t>
            </w:r>
          </w:p>
        </w:tc>
        <w:tc>
          <w:tcPr>
            <w:tcW w:w="772" w:type="dxa"/>
            <w:tcBorders>
              <w:top w:val="nil"/>
              <w:bottom w:val="nil"/>
            </w:tcBorders>
          </w:tcPr>
          <w:p w14:paraId="508F2270" w14:textId="7AFD4068" w:rsidR="00985F16" w:rsidRPr="004C78D8" w:rsidRDefault="00DB17C6" w:rsidP="00FB7C1F">
            <w:pPr>
              <w:jc w:val="left"/>
              <w:rPr>
                <w:sz w:val="18"/>
                <w:szCs w:val="18"/>
              </w:rPr>
            </w:pPr>
            <w:r w:rsidRPr="004C78D8">
              <w:rPr>
                <w:sz w:val="18"/>
                <w:szCs w:val="18"/>
              </w:rPr>
              <w:t>0.388</w:t>
            </w:r>
          </w:p>
        </w:tc>
        <w:tc>
          <w:tcPr>
            <w:tcW w:w="773" w:type="dxa"/>
            <w:tcBorders>
              <w:top w:val="nil"/>
              <w:bottom w:val="nil"/>
            </w:tcBorders>
          </w:tcPr>
          <w:p w14:paraId="3FD02481" w14:textId="484FAE0D" w:rsidR="00985F16" w:rsidRPr="004C78D8" w:rsidRDefault="00DB17C6" w:rsidP="00FB7C1F">
            <w:pPr>
              <w:jc w:val="left"/>
              <w:rPr>
                <w:sz w:val="18"/>
                <w:szCs w:val="18"/>
              </w:rPr>
            </w:pPr>
            <w:r w:rsidRPr="004C78D8">
              <w:rPr>
                <w:sz w:val="18"/>
                <w:szCs w:val="18"/>
              </w:rPr>
              <w:t>0.325</w:t>
            </w:r>
          </w:p>
        </w:tc>
        <w:tc>
          <w:tcPr>
            <w:tcW w:w="705" w:type="dxa"/>
            <w:tcBorders>
              <w:top w:val="nil"/>
              <w:bottom w:val="nil"/>
              <w:right w:val="nil"/>
            </w:tcBorders>
          </w:tcPr>
          <w:p w14:paraId="2F154DF1" w14:textId="14B0A447" w:rsidR="00985F16" w:rsidRPr="004C78D8" w:rsidRDefault="00DB17C6" w:rsidP="00FB7C1F">
            <w:pPr>
              <w:jc w:val="left"/>
              <w:rPr>
                <w:sz w:val="18"/>
                <w:szCs w:val="18"/>
              </w:rPr>
            </w:pPr>
            <w:r w:rsidRPr="004C78D8">
              <w:rPr>
                <w:sz w:val="18"/>
                <w:szCs w:val="18"/>
              </w:rPr>
              <w:t>0.374</w:t>
            </w:r>
          </w:p>
        </w:tc>
        <w:tc>
          <w:tcPr>
            <w:tcW w:w="748" w:type="dxa"/>
            <w:tcBorders>
              <w:top w:val="nil"/>
              <w:left w:val="nil"/>
              <w:bottom w:val="nil"/>
              <w:right w:val="nil"/>
            </w:tcBorders>
          </w:tcPr>
          <w:p w14:paraId="5F5BF1A9" w14:textId="654F71ED" w:rsidR="00985F16" w:rsidRPr="004C78D8" w:rsidRDefault="00DB17C6" w:rsidP="00FB7C1F">
            <w:pPr>
              <w:jc w:val="left"/>
              <w:rPr>
                <w:sz w:val="18"/>
                <w:szCs w:val="18"/>
              </w:rPr>
            </w:pPr>
            <w:r w:rsidRPr="004C78D8">
              <w:rPr>
                <w:sz w:val="18"/>
                <w:szCs w:val="18"/>
              </w:rPr>
              <w:t>0.236</w:t>
            </w:r>
          </w:p>
        </w:tc>
        <w:tc>
          <w:tcPr>
            <w:tcW w:w="658" w:type="dxa"/>
            <w:tcBorders>
              <w:top w:val="nil"/>
              <w:left w:val="nil"/>
              <w:bottom w:val="nil"/>
              <w:right w:val="nil"/>
            </w:tcBorders>
          </w:tcPr>
          <w:p w14:paraId="6552DBCD" w14:textId="27BBBAF8" w:rsidR="00985F16" w:rsidRPr="004C78D8" w:rsidRDefault="00DB17C6" w:rsidP="00FB7C1F">
            <w:pPr>
              <w:jc w:val="left"/>
              <w:rPr>
                <w:sz w:val="18"/>
                <w:szCs w:val="18"/>
              </w:rPr>
            </w:pPr>
            <w:r w:rsidRPr="004C78D8">
              <w:rPr>
                <w:sz w:val="18"/>
                <w:szCs w:val="18"/>
              </w:rPr>
              <w:t>0.444</w:t>
            </w:r>
          </w:p>
        </w:tc>
        <w:tc>
          <w:tcPr>
            <w:tcW w:w="659" w:type="dxa"/>
            <w:tcBorders>
              <w:top w:val="nil"/>
              <w:left w:val="nil"/>
              <w:bottom w:val="nil"/>
            </w:tcBorders>
          </w:tcPr>
          <w:p w14:paraId="36C72788" w14:textId="15A20D48" w:rsidR="00985F16" w:rsidRPr="004C78D8" w:rsidRDefault="00DB17C6" w:rsidP="00FB7C1F">
            <w:pPr>
              <w:jc w:val="left"/>
              <w:rPr>
                <w:sz w:val="18"/>
                <w:szCs w:val="18"/>
              </w:rPr>
            </w:pPr>
            <w:r w:rsidRPr="004C78D8">
              <w:rPr>
                <w:sz w:val="18"/>
                <w:szCs w:val="18"/>
              </w:rPr>
              <w:t>0.495</w:t>
            </w:r>
          </w:p>
        </w:tc>
      </w:tr>
      <w:tr w:rsidR="00985F16" w:rsidRPr="004C78D8" w14:paraId="07EBE529" w14:textId="77777777" w:rsidTr="00A1003D">
        <w:tc>
          <w:tcPr>
            <w:tcW w:w="518" w:type="dxa"/>
            <w:tcBorders>
              <w:top w:val="nil"/>
              <w:bottom w:val="nil"/>
            </w:tcBorders>
          </w:tcPr>
          <w:p w14:paraId="0CB597AE" w14:textId="4B6774EB" w:rsidR="00985F16" w:rsidRPr="004C78D8" w:rsidRDefault="00985F16" w:rsidP="00FB7C1F">
            <w:pPr>
              <w:jc w:val="left"/>
              <w:rPr>
                <w:sz w:val="18"/>
                <w:szCs w:val="18"/>
              </w:rPr>
            </w:pPr>
            <w:r w:rsidRPr="004C78D8">
              <w:rPr>
                <w:sz w:val="18"/>
                <w:szCs w:val="18"/>
              </w:rPr>
              <w:t>[9]</w:t>
            </w:r>
          </w:p>
        </w:tc>
        <w:tc>
          <w:tcPr>
            <w:tcW w:w="2800" w:type="dxa"/>
            <w:tcBorders>
              <w:top w:val="nil"/>
              <w:bottom w:val="nil"/>
            </w:tcBorders>
          </w:tcPr>
          <w:p w14:paraId="2D88B3E5" w14:textId="6F30C947" w:rsidR="00985F16" w:rsidRPr="004C78D8" w:rsidRDefault="00985F16" w:rsidP="00FB7C1F">
            <w:pPr>
              <w:jc w:val="left"/>
              <w:rPr>
                <w:sz w:val="18"/>
                <w:szCs w:val="18"/>
              </w:rPr>
            </w:pPr>
            <w:r w:rsidRPr="004C78D8">
              <w:rPr>
                <w:sz w:val="18"/>
                <w:szCs w:val="18"/>
              </w:rPr>
              <w:t>CRC(4)+ 3</w:t>
            </w:r>
            <w:r w:rsidRPr="004C78D8">
              <w:rPr>
                <w:sz w:val="18"/>
                <w:szCs w:val="18"/>
                <w:vertAlign w:val="superscript"/>
              </w:rPr>
              <w:t>rd</w:t>
            </w:r>
            <w:r w:rsidRPr="004C78D8">
              <w:rPr>
                <w:sz w:val="18"/>
                <w:szCs w:val="18"/>
              </w:rPr>
              <w:t>/4</w:t>
            </w:r>
            <w:r w:rsidRPr="004C78D8">
              <w:rPr>
                <w:sz w:val="18"/>
                <w:szCs w:val="18"/>
                <w:vertAlign w:val="superscript"/>
              </w:rPr>
              <w:t>th</w:t>
            </w:r>
            <w:r w:rsidRPr="004C78D8">
              <w:rPr>
                <w:sz w:val="18"/>
                <w:szCs w:val="18"/>
              </w:rPr>
              <w:t xml:space="preserve"> SES PA promote</w:t>
            </w:r>
          </w:p>
        </w:tc>
        <w:tc>
          <w:tcPr>
            <w:tcW w:w="1275" w:type="dxa"/>
            <w:tcBorders>
              <w:top w:val="nil"/>
              <w:bottom w:val="nil"/>
            </w:tcBorders>
          </w:tcPr>
          <w:p w14:paraId="706A2F2E" w14:textId="58605D44" w:rsidR="00985F16" w:rsidRPr="004C78D8" w:rsidRDefault="00B93254" w:rsidP="00FB7C1F">
            <w:pPr>
              <w:jc w:val="left"/>
              <w:rPr>
                <w:sz w:val="18"/>
                <w:szCs w:val="18"/>
              </w:rPr>
            </w:pPr>
            <w:r w:rsidRPr="004C78D8">
              <w:rPr>
                <w:sz w:val="18"/>
                <w:szCs w:val="18"/>
              </w:rPr>
              <w:t>£16,572,821</w:t>
            </w:r>
          </w:p>
        </w:tc>
        <w:tc>
          <w:tcPr>
            <w:tcW w:w="772" w:type="dxa"/>
            <w:tcBorders>
              <w:top w:val="nil"/>
              <w:bottom w:val="nil"/>
            </w:tcBorders>
          </w:tcPr>
          <w:p w14:paraId="27F07BBF" w14:textId="189E7247" w:rsidR="00985F16" w:rsidRPr="004C78D8" w:rsidRDefault="00B93254" w:rsidP="00FB7C1F">
            <w:pPr>
              <w:jc w:val="left"/>
              <w:rPr>
                <w:sz w:val="18"/>
                <w:szCs w:val="18"/>
              </w:rPr>
            </w:pPr>
            <w:r w:rsidRPr="004C78D8">
              <w:rPr>
                <w:sz w:val="18"/>
                <w:szCs w:val="18"/>
              </w:rPr>
              <w:t>0.372</w:t>
            </w:r>
          </w:p>
        </w:tc>
        <w:tc>
          <w:tcPr>
            <w:tcW w:w="773" w:type="dxa"/>
            <w:tcBorders>
              <w:top w:val="nil"/>
              <w:bottom w:val="nil"/>
            </w:tcBorders>
          </w:tcPr>
          <w:p w14:paraId="34A0F37E" w14:textId="0EDF77AE" w:rsidR="00985F16" w:rsidRPr="004C78D8" w:rsidRDefault="00B93254" w:rsidP="00FB7C1F">
            <w:pPr>
              <w:jc w:val="left"/>
              <w:rPr>
                <w:sz w:val="18"/>
                <w:szCs w:val="18"/>
              </w:rPr>
            </w:pPr>
            <w:r w:rsidRPr="004C78D8">
              <w:rPr>
                <w:sz w:val="18"/>
                <w:szCs w:val="18"/>
              </w:rPr>
              <w:t>0.327</w:t>
            </w:r>
          </w:p>
        </w:tc>
        <w:tc>
          <w:tcPr>
            <w:tcW w:w="705" w:type="dxa"/>
            <w:tcBorders>
              <w:top w:val="nil"/>
              <w:bottom w:val="nil"/>
              <w:right w:val="nil"/>
            </w:tcBorders>
          </w:tcPr>
          <w:p w14:paraId="1DAA0550" w14:textId="276060FB" w:rsidR="00985F16" w:rsidRPr="004C78D8" w:rsidRDefault="00B93254" w:rsidP="00FB7C1F">
            <w:pPr>
              <w:jc w:val="left"/>
              <w:rPr>
                <w:sz w:val="18"/>
                <w:szCs w:val="18"/>
              </w:rPr>
            </w:pPr>
            <w:r w:rsidRPr="004C78D8">
              <w:rPr>
                <w:sz w:val="18"/>
                <w:szCs w:val="18"/>
              </w:rPr>
              <w:t>0.307</w:t>
            </w:r>
          </w:p>
        </w:tc>
        <w:tc>
          <w:tcPr>
            <w:tcW w:w="748" w:type="dxa"/>
            <w:tcBorders>
              <w:top w:val="nil"/>
              <w:left w:val="nil"/>
              <w:bottom w:val="nil"/>
              <w:right w:val="nil"/>
            </w:tcBorders>
          </w:tcPr>
          <w:p w14:paraId="1E9A8E0E" w14:textId="70EDFCEF" w:rsidR="00985F16" w:rsidRPr="004C78D8" w:rsidRDefault="00B93254" w:rsidP="00FB7C1F">
            <w:pPr>
              <w:jc w:val="left"/>
              <w:rPr>
                <w:sz w:val="18"/>
                <w:szCs w:val="18"/>
              </w:rPr>
            </w:pPr>
            <w:r w:rsidRPr="004C78D8">
              <w:rPr>
                <w:sz w:val="18"/>
                <w:szCs w:val="18"/>
              </w:rPr>
              <w:t>0.275</w:t>
            </w:r>
          </w:p>
        </w:tc>
        <w:tc>
          <w:tcPr>
            <w:tcW w:w="658" w:type="dxa"/>
            <w:tcBorders>
              <w:top w:val="nil"/>
              <w:left w:val="nil"/>
              <w:bottom w:val="nil"/>
              <w:right w:val="nil"/>
            </w:tcBorders>
          </w:tcPr>
          <w:p w14:paraId="2A486735" w14:textId="1E829A59" w:rsidR="00985F16" w:rsidRPr="004C78D8" w:rsidRDefault="00B93254" w:rsidP="00FB7C1F">
            <w:pPr>
              <w:jc w:val="left"/>
              <w:rPr>
                <w:sz w:val="18"/>
                <w:szCs w:val="18"/>
              </w:rPr>
            </w:pPr>
            <w:r w:rsidRPr="004C78D8">
              <w:rPr>
                <w:sz w:val="18"/>
                <w:szCs w:val="18"/>
              </w:rPr>
              <w:t>0.517</w:t>
            </w:r>
          </w:p>
        </w:tc>
        <w:tc>
          <w:tcPr>
            <w:tcW w:w="659" w:type="dxa"/>
            <w:tcBorders>
              <w:top w:val="nil"/>
              <w:left w:val="nil"/>
              <w:bottom w:val="nil"/>
            </w:tcBorders>
          </w:tcPr>
          <w:p w14:paraId="36AC37F8" w14:textId="280F98E2" w:rsidR="00985F16" w:rsidRPr="004C78D8" w:rsidRDefault="00B93254" w:rsidP="00FB7C1F">
            <w:pPr>
              <w:jc w:val="left"/>
              <w:rPr>
                <w:sz w:val="18"/>
                <w:szCs w:val="18"/>
              </w:rPr>
            </w:pPr>
            <w:r w:rsidRPr="004C78D8">
              <w:rPr>
                <w:sz w:val="18"/>
                <w:szCs w:val="18"/>
              </w:rPr>
              <w:t>0.440</w:t>
            </w:r>
          </w:p>
        </w:tc>
      </w:tr>
      <w:tr w:rsidR="00985F16" w:rsidRPr="004C78D8" w14:paraId="1E0281F1" w14:textId="77777777" w:rsidTr="00A1003D">
        <w:tc>
          <w:tcPr>
            <w:tcW w:w="518" w:type="dxa"/>
            <w:tcBorders>
              <w:top w:val="nil"/>
              <w:bottom w:val="nil"/>
            </w:tcBorders>
          </w:tcPr>
          <w:p w14:paraId="1E5CF6E6" w14:textId="40F772E2" w:rsidR="00985F16" w:rsidRPr="004C78D8" w:rsidRDefault="00985F16" w:rsidP="00FB7C1F">
            <w:pPr>
              <w:jc w:val="left"/>
              <w:rPr>
                <w:sz w:val="18"/>
                <w:szCs w:val="18"/>
              </w:rPr>
            </w:pPr>
            <w:r w:rsidRPr="004C78D8">
              <w:rPr>
                <w:sz w:val="18"/>
                <w:szCs w:val="18"/>
              </w:rPr>
              <w:t>[10]</w:t>
            </w:r>
          </w:p>
        </w:tc>
        <w:tc>
          <w:tcPr>
            <w:tcW w:w="2800" w:type="dxa"/>
            <w:tcBorders>
              <w:top w:val="nil"/>
              <w:bottom w:val="nil"/>
            </w:tcBorders>
          </w:tcPr>
          <w:p w14:paraId="6F788AD3" w14:textId="6679F173" w:rsidR="00985F16" w:rsidRPr="004C78D8" w:rsidRDefault="00985F16" w:rsidP="00FB7C1F">
            <w:pPr>
              <w:jc w:val="left"/>
              <w:rPr>
                <w:sz w:val="18"/>
                <w:szCs w:val="18"/>
              </w:rPr>
            </w:pPr>
            <w:r w:rsidRPr="004C78D8">
              <w:rPr>
                <w:sz w:val="18"/>
                <w:szCs w:val="18"/>
              </w:rPr>
              <w:t>CRC(4)+ SR demand 20% increase</w:t>
            </w:r>
          </w:p>
        </w:tc>
        <w:tc>
          <w:tcPr>
            <w:tcW w:w="1275" w:type="dxa"/>
            <w:tcBorders>
              <w:top w:val="nil"/>
              <w:bottom w:val="nil"/>
            </w:tcBorders>
          </w:tcPr>
          <w:p w14:paraId="7E72C679" w14:textId="04A11E6F" w:rsidR="00985F16" w:rsidRPr="004C78D8" w:rsidRDefault="001B53C8" w:rsidP="00FB7C1F">
            <w:pPr>
              <w:jc w:val="left"/>
              <w:rPr>
                <w:sz w:val="18"/>
                <w:szCs w:val="18"/>
              </w:rPr>
            </w:pPr>
            <w:r w:rsidRPr="004C78D8">
              <w:rPr>
                <w:sz w:val="18"/>
                <w:szCs w:val="18"/>
              </w:rPr>
              <w:t>£15,857,234</w:t>
            </w:r>
          </w:p>
        </w:tc>
        <w:tc>
          <w:tcPr>
            <w:tcW w:w="772" w:type="dxa"/>
            <w:tcBorders>
              <w:top w:val="nil"/>
              <w:bottom w:val="nil"/>
            </w:tcBorders>
          </w:tcPr>
          <w:p w14:paraId="4C4ECFA8" w14:textId="13211974" w:rsidR="00985F16" w:rsidRPr="004C78D8" w:rsidRDefault="001B53C8" w:rsidP="00FB7C1F">
            <w:pPr>
              <w:jc w:val="left"/>
              <w:rPr>
                <w:sz w:val="18"/>
                <w:szCs w:val="18"/>
              </w:rPr>
            </w:pPr>
            <w:r w:rsidRPr="004C78D8">
              <w:rPr>
                <w:sz w:val="18"/>
                <w:szCs w:val="18"/>
              </w:rPr>
              <w:t>0.381</w:t>
            </w:r>
          </w:p>
        </w:tc>
        <w:tc>
          <w:tcPr>
            <w:tcW w:w="773" w:type="dxa"/>
            <w:tcBorders>
              <w:top w:val="nil"/>
              <w:bottom w:val="nil"/>
            </w:tcBorders>
          </w:tcPr>
          <w:p w14:paraId="1434F9AF" w14:textId="5DB5734D" w:rsidR="00985F16" w:rsidRPr="004C78D8" w:rsidRDefault="001B53C8" w:rsidP="00FB7C1F">
            <w:pPr>
              <w:jc w:val="left"/>
              <w:rPr>
                <w:sz w:val="18"/>
                <w:szCs w:val="18"/>
              </w:rPr>
            </w:pPr>
            <w:r w:rsidRPr="004C78D8">
              <w:rPr>
                <w:sz w:val="18"/>
                <w:szCs w:val="18"/>
              </w:rPr>
              <w:t>0.333</w:t>
            </w:r>
          </w:p>
        </w:tc>
        <w:tc>
          <w:tcPr>
            <w:tcW w:w="705" w:type="dxa"/>
            <w:tcBorders>
              <w:top w:val="nil"/>
              <w:bottom w:val="nil"/>
              <w:right w:val="nil"/>
            </w:tcBorders>
          </w:tcPr>
          <w:p w14:paraId="4F5B6D70" w14:textId="63D32499" w:rsidR="00985F16" w:rsidRPr="004C78D8" w:rsidRDefault="001B53C8" w:rsidP="00FB7C1F">
            <w:pPr>
              <w:jc w:val="left"/>
              <w:rPr>
                <w:sz w:val="18"/>
                <w:szCs w:val="18"/>
              </w:rPr>
            </w:pPr>
            <w:r w:rsidRPr="004C78D8">
              <w:rPr>
                <w:sz w:val="18"/>
                <w:szCs w:val="18"/>
              </w:rPr>
              <w:t>0.356</w:t>
            </w:r>
          </w:p>
        </w:tc>
        <w:tc>
          <w:tcPr>
            <w:tcW w:w="748" w:type="dxa"/>
            <w:tcBorders>
              <w:top w:val="nil"/>
              <w:left w:val="nil"/>
              <w:bottom w:val="nil"/>
              <w:right w:val="nil"/>
            </w:tcBorders>
          </w:tcPr>
          <w:p w14:paraId="01824ABE" w14:textId="49DF8167" w:rsidR="00985F16" w:rsidRPr="004C78D8" w:rsidRDefault="001B53C8" w:rsidP="00FB7C1F">
            <w:pPr>
              <w:jc w:val="left"/>
              <w:rPr>
                <w:sz w:val="18"/>
                <w:szCs w:val="18"/>
              </w:rPr>
            </w:pPr>
            <w:r w:rsidRPr="004C78D8">
              <w:rPr>
                <w:sz w:val="18"/>
                <w:szCs w:val="18"/>
              </w:rPr>
              <w:t>0.251</w:t>
            </w:r>
          </w:p>
        </w:tc>
        <w:tc>
          <w:tcPr>
            <w:tcW w:w="658" w:type="dxa"/>
            <w:tcBorders>
              <w:top w:val="nil"/>
              <w:left w:val="nil"/>
              <w:bottom w:val="nil"/>
              <w:right w:val="nil"/>
            </w:tcBorders>
          </w:tcPr>
          <w:p w14:paraId="7E7A0175" w14:textId="27F70874" w:rsidR="00985F16" w:rsidRPr="004C78D8" w:rsidRDefault="001B53C8" w:rsidP="00FB7C1F">
            <w:pPr>
              <w:jc w:val="left"/>
              <w:rPr>
                <w:sz w:val="18"/>
                <w:szCs w:val="18"/>
              </w:rPr>
            </w:pPr>
            <w:r w:rsidRPr="004C78D8">
              <w:rPr>
                <w:sz w:val="18"/>
                <w:szCs w:val="18"/>
              </w:rPr>
              <w:t>0.452</w:t>
            </w:r>
          </w:p>
        </w:tc>
        <w:tc>
          <w:tcPr>
            <w:tcW w:w="659" w:type="dxa"/>
            <w:tcBorders>
              <w:top w:val="nil"/>
              <w:left w:val="nil"/>
              <w:bottom w:val="nil"/>
            </w:tcBorders>
          </w:tcPr>
          <w:p w14:paraId="2996ECAD" w14:textId="2D12AF5C" w:rsidR="00985F16" w:rsidRPr="004C78D8" w:rsidRDefault="001B53C8" w:rsidP="00FB7C1F">
            <w:pPr>
              <w:jc w:val="left"/>
              <w:rPr>
                <w:sz w:val="18"/>
                <w:szCs w:val="18"/>
              </w:rPr>
            </w:pPr>
            <w:r w:rsidRPr="004C78D8">
              <w:rPr>
                <w:sz w:val="18"/>
                <w:szCs w:val="18"/>
              </w:rPr>
              <w:t>0.452</w:t>
            </w:r>
          </w:p>
        </w:tc>
      </w:tr>
      <w:tr w:rsidR="00985F16" w:rsidRPr="004C78D8" w14:paraId="0FA7F934" w14:textId="77777777" w:rsidTr="00A1003D">
        <w:tc>
          <w:tcPr>
            <w:tcW w:w="518" w:type="dxa"/>
            <w:tcBorders>
              <w:top w:val="nil"/>
              <w:bottom w:val="nil"/>
            </w:tcBorders>
          </w:tcPr>
          <w:p w14:paraId="3DF0679A" w14:textId="27282A5B" w:rsidR="00985F16" w:rsidRPr="004C78D8" w:rsidRDefault="00985F16" w:rsidP="00FB7C1F">
            <w:pPr>
              <w:jc w:val="left"/>
              <w:rPr>
                <w:sz w:val="18"/>
                <w:szCs w:val="18"/>
              </w:rPr>
            </w:pPr>
            <w:r w:rsidRPr="004C78D8">
              <w:rPr>
                <w:sz w:val="18"/>
                <w:szCs w:val="18"/>
              </w:rPr>
              <w:t>[11]</w:t>
            </w:r>
          </w:p>
        </w:tc>
        <w:tc>
          <w:tcPr>
            <w:tcW w:w="2800" w:type="dxa"/>
            <w:tcBorders>
              <w:top w:val="nil"/>
              <w:bottom w:val="nil"/>
            </w:tcBorders>
          </w:tcPr>
          <w:p w14:paraId="4AC34EBE" w14:textId="3DA69657" w:rsidR="00985F16" w:rsidRPr="004C78D8" w:rsidRDefault="00985F16" w:rsidP="00FB7C1F">
            <w:pPr>
              <w:jc w:val="left"/>
              <w:rPr>
                <w:sz w:val="18"/>
                <w:szCs w:val="18"/>
              </w:rPr>
            </w:pPr>
            <w:r w:rsidRPr="004C78D8">
              <w:rPr>
                <w:sz w:val="18"/>
                <w:szCs w:val="18"/>
              </w:rPr>
              <w:t>CRC(4)+ FRS for 50%</w:t>
            </w:r>
          </w:p>
        </w:tc>
        <w:tc>
          <w:tcPr>
            <w:tcW w:w="1275" w:type="dxa"/>
            <w:tcBorders>
              <w:top w:val="nil"/>
              <w:bottom w:val="nil"/>
            </w:tcBorders>
          </w:tcPr>
          <w:p w14:paraId="41B0BA05" w14:textId="6A381796" w:rsidR="00985F16" w:rsidRPr="004C78D8" w:rsidRDefault="007E4F80" w:rsidP="00FB7C1F">
            <w:pPr>
              <w:jc w:val="left"/>
              <w:rPr>
                <w:sz w:val="18"/>
                <w:szCs w:val="18"/>
              </w:rPr>
            </w:pPr>
            <w:r w:rsidRPr="004C78D8">
              <w:rPr>
                <w:sz w:val="18"/>
                <w:szCs w:val="18"/>
              </w:rPr>
              <w:t>£16,243,173</w:t>
            </w:r>
          </w:p>
        </w:tc>
        <w:tc>
          <w:tcPr>
            <w:tcW w:w="772" w:type="dxa"/>
            <w:tcBorders>
              <w:top w:val="nil"/>
              <w:bottom w:val="nil"/>
            </w:tcBorders>
          </w:tcPr>
          <w:p w14:paraId="26FD6D08" w14:textId="0BB93C49" w:rsidR="00985F16" w:rsidRPr="004C78D8" w:rsidRDefault="007E4F80" w:rsidP="00FB7C1F">
            <w:pPr>
              <w:jc w:val="left"/>
              <w:rPr>
                <w:sz w:val="18"/>
                <w:szCs w:val="18"/>
              </w:rPr>
            </w:pPr>
            <w:r w:rsidRPr="004C78D8">
              <w:rPr>
                <w:sz w:val="18"/>
                <w:szCs w:val="18"/>
              </w:rPr>
              <w:t>0.396</w:t>
            </w:r>
          </w:p>
        </w:tc>
        <w:tc>
          <w:tcPr>
            <w:tcW w:w="773" w:type="dxa"/>
            <w:tcBorders>
              <w:top w:val="nil"/>
              <w:bottom w:val="nil"/>
            </w:tcBorders>
          </w:tcPr>
          <w:p w14:paraId="33DD3A58" w14:textId="1FF878D6" w:rsidR="00985F16" w:rsidRPr="004C78D8" w:rsidRDefault="00B81CE1" w:rsidP="00FB7C1F">
            <w:pPr>
              <w:jc w:val="left"/>
              <w:rPr>
                <w:sz w:val="18"/>
                <w:szCs w:val="18"/>
              </w:rPr>
            </w:pPr>
            <w:r w:rsidRPr="004C78D8">
              <w:rPr>
                <w:sz w:val="18"/>
                <w:szCs w:val="18"/>
              </w:rPr>
              <w:t>0.329</w:t>
            </w:r>
          </w:p>
        </w:tc>
        <w:tc>
          <w:tcPr>
            <w:tcW w:w="705" w:type="dxa"/>
            <w:tcBorders>
              <w:top w:val="nil"/>
              <w:bottom w:val="nil"/>
              <w:right w:val="nil"/>
            </w:tcBorders>
          </w:tcPr>
          <w:p w14:paraId="4914045B" w14:textId="49A734D4" w:rsidR="00985F16" w:rsidRPr="004C78D8" w:rsidRDefault="00B81CE1" w:rsidP="00FB7C1F">
            <w:pPr>
              <w:jc w:val="left"/>
              <w:rPr>
                <w:sz w:val="18"/>
                <w:szCs w:val="18"/>
              </w:rPr>
            </w:pPr>
            <w:r w:rsidRPr="004C78D8">
              <w:rPr>
                <w:sz w:val="18"/>
                <w:szCs w:val="18"/>
              </w:rPr>
              <w:t>0.315</w:t>
            </w:r>
          </w:p>
        </w:tc>
        <w:tc>
          <w:tcPr>
            <w:tcW w:w="748" w:type="dxa"/>
            <w:tcBorders>
              <w:top w:val="nil"/>
              <w:left w:val="nil"/>
              <w:bottom w:val="nil"/>
              <w:right w:val="nil"/>
            </w:tcBorders>
          </w:tcPr>
          <w:p w14:paraId="1FF7EE5A" w14:textId="68ED83EF" w:rsidR="00985F16" w:rsidRPr="004C78D8" w:rsidRDefault="00B81CE1" w:rsidP="00FB7C1F">
            <w:pPr>
              <w:jc w:val="left"/>
              <w:rPr>
                <w:sz w:val="18"/>
                <w:szCs w:val="18"/>
              </w:rPr>
            </w:pPr>
            <w:r w:rsidRPr="004C78D8">
              <w:rPr>
                <w:sz w:val="18"/>
                <w:szCs w:val="18"/>
              </w:rPr>
              <w:t>0.324</w:t>
            </w:r>
          </w:p>
        </w:tc>
        <w:tc>
          <w:tcPr>
            <w:tcW w:w="658" w:type="dxa"/>
            <w:tcBorders>
              <w:top w:val="nil"/>
              <w:left w:val="nil"/>
              <w:bottom w:val="nil"/>
              <w:right w:val="nil"/>
            </w:tcBorders>
          </w:tcPr>
          <w:p w14:paraId="057FBDA1" w14:textId="241C7612" w:rsidR="00985F16" w:rsidRPr="004C78D8" w:rsidRDefault="00B81CE1" w:rsidP="00FB7C1F">
            <w:pPr>
              <w:jc w:val="left"/>
              <w:rPr>
                <w:sz w:val="18"/>
                <w:szCs w:val="18"/>
              </w:rPr>
            </w:pPr>
            <w:r w:rsidRPr="004C78D8">
              <w:rPr>
                <w:sz w:val="18"/>
                <w:szCs w:val="18"/>
              </w:rPr>
              <w:t>0.442</w:t>
            </w:r>
          </w:p>
        </w:tc>
        <w:tc>
          <w:tcPr>
            <w:tcW w:w="659" w:type="dxa"/>
            <w:tcBorders>
              <w:top w:val="nil"/>
              <w:left w:val="nil"/>
              <w:bottom w:val="nil"/>
            </w:tcBorders>
          </w:tcPr>
          <w:p w14:paraId="109A6F2E" w14:textId="1F42C528" w:rsidR="00985F16" w:rsidRPr="004C78D8" w:rsidRDefault="00B81CE1" w:rsidP="00FB7C1F">
            <w:pPr>
              <w:jc w:val="left"/>
              <w:rPr>
                <w:sz w:val="18"/>
                <w:szCs w:val="18"/>
              </w:rPr>
            </w:pPr>
            <w:r w:rsidRPr="004C78D8">
              <w:rPr>
                <w:sz w:val="18"/>
                <w:szCs w:val="18"/>
              </w:rPr>
              <w:t>0.569</w:t>
            </w:r>
          </w:p>
        </w:tc>
      </w:tr>
      <w:tr w:rsidR="00985F16" w:rsidRPr="004C78D8" w14:paraId="00E6F2CE" w14:textId="77777777" w:rsidTr="00A1003D">
        <w:tc>
          <w:tcPr>
            <w:tcW w:w="518" w:type="dxa"/>
            <w:tcBorders>
              <w:top w:val="nil"/>
              <w:bottom w:val="nil"/>
            </w:tcBorders>
          </w:tcPr>
          <w:p w14:paraId="6761E7E2" w14:textId="1DDE0DF0" w:rsidR="00985F16" w:rsidRPr="004C78D8" w:rsidRDefault="00985F16" w:rsidP="00FB7C1F">
            <w:pPr>
              <w:jc w:val="left"/>
              <w:rPr>
                <w:sz w:val="18"/>
                <w:szCs w:val="18"/>
              </w:rPr>
            </w:pPr>
            <w:r w:rsidRPr="004C78D8">
              <w:rPr>
                <w:sz w:val="18"/>
                <w:szCs w:val="18"/>
              </w:rPr>
              <w:t>[12]</w:t>
            </w:r>
          </w:p>
        </w:tc>
        <w:tc>
          <w:tcPr>
            <w:tcW w:w="2800" w:type="dxa"/>
            <w:tcBorders>
              <w:top w:val="nil"/>
              <w:bottom w:val="nil"/>
            </w:tcBorders>
          </w:tcPr>
          <w:p w14:paraId="3209BF90" w14:textId="6AC9605D" w:rsidR="00985F16" w:rsidRPr="004C78D8" w:rsidRDefault="00985F16" w:rsidP="00FB7C1F">
            <w:pPr>
              <w:jc w:val="left"/>
              <w:rPr>
                <w:sz w:val="18"/>
                <w:szCs w:val="18"/>
              </w:rPr>
            </w:pPr>
            <w:r w:rsidRPr="004C78D8">
              <w:rPr>
                <w:sz w:val="18"/>
                <w:szCs w:val="18"/>
              </w:rPr>
              <w:t>CRC(1): random allocation</w:t>
            </w:r>
          </w:p>
        </w:tc>
        <w:tc>
          <w:tcPr>
            <w:tcW w:w="1275" w:type="dxa"/>
            <w:tcBorders>
              <w:top w:val="nil"/>
              <w:bottom w:val="nil"/>
            </w:tcBorders>
          </w:tcPr>
          <w:p w14:paraId="3B06D7D2" w14:textId="0C8EA1A4" w:rsidR="00985F16" w:rsidRPr="004C78D8" w:rsidRDefault="002B026D" w:rsidP="00FB7C1F">
            <w:pPr>
              <w:jc w:val="left"/>
              <w:rPr>
                <w:sz w:val="18"/>
                <w:szCs w:val="18"/>
              </w:rPr>
            </w:pPr>
            <w:r w:rsidRPr="004C78D8">
              <w:rPr>
                <w:sz w:val="18"/>
                <w:szCs w:val="18"/>
              </w:rPr>
              <w:t>£25,059,895</w:t>
            </w:r>
          </w:p>
        </w:tc>
        <w:tc>
          <w:tcPr>
            <w:tcW w:w="772" w:type="dxa"/>
            <w:tcBorders>
              <w:top w:val="nil"/>
              <w:bottom w:val="nil"/>
            </w:tcBorders>
          </w:tcPr>
          <w:p w14:paraId="0971DC42" w14:textId="3EC27705" w:rsidR="00985F16" w:rsidRPr="004C78D8" w:rsidRDefault="002B026D" w:rsidP="00FB7C1F">
            <w:pPr>
              <w:jc w:val="left"/>
              <w:rPr>
                <w:sz w:val="18"/>
                <w:szCs w:val="18"/>
              </w:rPr>
            </w:pPr>
            <w:r w:rsidRPr="004C78D8">
              <w:rPr>
                <w:sz w:val="18"/>
                <w:szCs w:val="18"/>
              </w:rPr>
              <w:t>0.285</w:t>
            </w:r>
          </w:p>
        </w:tc>
        <w:tc>
          <w:tcPr>
            <w:tcW w:w="773" w:type="dxa"/>
            <w:tcBorders>
              <w:top w:val="nil"/>
              <w:bottom w:val="nil"/>
            </w:tcBorders>
          </w:tcPr>
          <w:p w14:paraId="10926B55" w14:textId="39AA464B" w:rsidR="00985F16" w:rsidRPr="004C78D8" w:rsidRDefault="002B026D" w:rsidP="00FB7C1F">
            <w:pPr>
              <w:jc w:val="left"/>
              <w:rPr>
                <w:sz w:val="18"/>
                <w:szCs w:val="18"/>
              </w:rPr>
            </w:pPr>
            <w:r w:rsidRPr="004C78D8">
              <w:rPr>
                <w:sz w:val="18"/>
                <w:szCs w:val="18"/>
              </w:rPr>
              <w:t>0.224</w:t>
            </w:r>
          </w:p>
        </w:tc>
        <w:tc>
          <w:tcPr>
            <w:tcW w:w="705" w:type="dxa"/>
            <w:tcBorders>
              <w:top w:val="nil"/>
              <w:bottom w:val="nil"/>
              <w:right w:val="nil"/>
            </w:tcBorders>
          </w:tcPr>
          <w:p w14:paraId="5C2C5FC3" w14:textId="59FD508B" w:rsidR="00985F16" w:rsidRPr="004C78D8" w:rsidRDefault="002B026D" w:rsidP="00FB7C1F">
            <w:pPr>
              <w:jc w:val="left"/>
              <w:rPr>
                <w:sz w:val="18"/>
                <w:szCs w:val="18"/>
              </w:rPr>
            </w:pPr>
            <w:r w:rsidRPr="004C78D8">
              <w:rPr>
                <w:sz w:val="18"/>
                <w:szCs w:val="18"/>
              </w:rPr>
              <w:t>0.240</w:t>
            </w:r>
          </w:p>
        </w:tc>
        <w:tc>
          <w:tcPr>
            <w:tcW w:w="748" w:type="dxa"/>
            <w:tcBorders>
              <w:top w:val="nil"/>
              <w:left w:val="nil"/>
              <w:bottom w:val="nil"/>
              <w:right w:val="nil"/>
            </w:tcBorders>
          </w:tcPr>
          <w:p w14:paraId="2D62AB69" w14:textId="37C05946" w:rsidR="00985F16" w:rsidRPr="004C78D8" w:rsidRDefault="002B026D" w:rsidP="00FB7C1F">
            <w:pPr>
              <w:jc w:val="left"/>
              <w:rPr>
                <w:sz w:val="18"/>
                <w:szCs w:val="18"/>
              </w:rPr>
            </w:pPr>
            <w:r w:rsidRPr="004C78D8">
              <w:rPr>
                <w:sz w:val="18"/>
                <w:szCs w:val="18"/>
              </w:rPr>
              <w:t>0.177</w:t>
            </w:r>
          </w:p>
        </w:tc>
        <w:tc>
          <w:tcPr>
            <w:tcW w:w="658" w:type="dxa"/>
            <w:tcBorders>
              <w:top w:val="nil"/>
              <w:left w:val="nil"/>
              <w:bottom w:val="nil"/>
              <w:right w:val="nil"/>
            </w:tcBorders>
          </w:tcPr>
          <w:p w14:paraId="3D56A061" w14:textId="1B19E4AB" w:rsidR="00985F16" w:rsidRPr="004C78D8" w:rsidRDefault="002B026D" w:rsidP="00FB7C1F">
            <w:pPr>
              <w:jc w:val="left"/>
              <w:rPr>
                <w:sz w:val="18"/>
                <w:szCs w:val="18"/>
              </w:rPr>
            </w:pPr>
            <w:r w:rsidRPr="004C78D8">
              <w:rPr>
                <w:sz w:val="18"/>
                <w:szCs w:val="18"/>
              </w:rPr>
              <w:t>0.390</w:t>
            </w:r>
          </w:p>
        </w:tc>
        <w:tc>
          <w:tcPr>
            <w:tcW w:w="659" w:type="dxa"/>
            <w:tcBorders>
              <w:top w:val="nil"/>
              <w:left w:val="nil"/>
              <w:bottom w:val="nil"/>
            </w:tcBorders>
          </w:tcPr>
          <w:p w14:paraId="3F537CC9" w14:textId="3D14F8C6" w:rsidR="00985F16" w:rsidRPr="004C78D8" w:rsidRDefault="002B026D" w:rsidP="00FB7C1F">
            <w:pPr>
              <w:jc w:val="left"/>
              <w:rPr>
                <w:sz w:val="18"/>
                <w:szCs w:val="18"/>
              </w:rPr>
            </w:pPr>
            <w:r w:rsidRPr="004C78D8">
              <w:rPr>
                <w:sz w:val="18"/>
                <w:szCs w:val="18"/>
              </w:rPr>
              <w:t>0.310</w:t>
            </w:r>
          </w:p>
        </w:tc>
      </w:tr>
      <w:tr w:rsidR="00985F16" w:rsidRPr="004C78D8" w14:paraId="3A13FD4B" w14:textId="77777777" w:rsidTr="00A1003D">
        <w:tc>
          <w:tcPr>
            <w:tcW w:w="518" w:type="dxa"/>
            <w:tcBorders>
              <w:top w:val="nil"/>
              <w:bottom w:val="nil"/>
            </w:tcBorders>
          </w:tcPr>
          <w:p w14:paraId="6DBDAD27" w14:textId="4A82C81F" w:rsidR="00985F16" w:rsidRPr="004C78D8" w:rsidRDefault="00985F16" w:rsidP="00FB7C1F">
            <w:pPr>
              <w:jc w:val="left"/>
              <w:rPr>
                <w:sz w:val="18"/>
                <w:szCs w:val="18"/>
              </w:rPr>
            </w:pPr>
            <w:r w:rsidRPr="004C78D8">
              <w:rPr>
                <w:sz w:val="18"/>
                <w:szCs w:val="18"/>
              </w:rPr>
              <w:t>[13]</w:t>
            </w:r>
          </w:p>
        </w:tc>
        <w:tc>
          <w:tcPr>
            <w:tcW w:w="2800" w:type="dxa"/>
            <w:tcBorders>
              <w:top w:val="nil"/>
              <w:bottom w:val="nil"/>
            </w:tcBorders>
          </w:tcPr>
          <w:p w14:paraId="20A8ABD4" w14:textId="3AE250A9" w:rsidR="00985F16" w:rsidRPr="004C78D8" w:rsidRDefault="00985F16" w:rsidP="00FB7C1F">
            <w:pPr>
              <w:jc w:val="left"/>
              <w:rPr>
                <w:sz w:val="18"/>
                <w:szCs w:val="18"/>
              </w:rPr>
            </w:pPr>
            <w:r w:rsidRPr="004C78D8">
              <w:rPr>
                <w:sz w:val="18"/>
                <w:szCs w:val="18"/>
              </w:rPr>
              <w:t>CRC(4)+ universal PA promotion</w:t>
            </w:r>
          </w:p>
        </w:tc>
        <w:tc>
          <w:tcPr>
            <w:tcW w:w="1275" w:type="dxa"/>
            <w:tcBorders>
              <w:top w:val="nil"/>
              <w:bottom w:val="nil"/>
            </w:tcBorders>
          </w:tcPr>
          <w:p w14:paraId="01D4A4D5" w14:textId="0604AA0D" w:rsidR="00985F16" w:rsidRPr="004C78D8" w:rsidRDefault="0046747C" w:rsidP="00FB7C1F">
            <w:pPr>
              <w:jc w:val="left"/>
              <w:rPr>
                <w:sz w:val="18"/>
                <w:szCs w:val="18"/>
              </w:rPr>
            </w:pPr>
            <w:r w:rsidRPr="004C78D8">
              <w:rPr>
                <w:sz w:val="18"/>
                <w:szCs w:val="18"/>
              </w:rPr>
              <w:t>£17,248,068</w:t>
            </w:r>
          </w:p>
        </w:tc>
        <w:tc>
          <w:tcPr>
            <w:tcW w:w="772" w:type="dxa"/>
            <w:tcBorders>
              <w:top w:val="nil"/>
              <w:bottom w:val="nil"/>
            </w:tcBorders>
          </w:tcPr>
          <w:p w14:paraId="6C71B515" w14:textId="4A6D2795" w:rsidR="00985F16" w:rsidRPr="004C78D8" w:rsidRDefault="0046747C" w:rsidP="00FB7C1F">
            <w:pPr>
              <w:jc w:val="left"/>
              <w:rPr>
                <w:sz w:val="18"/>
                <w:szCs w:val="18"/>
              </w:rPr>
            </w:pPr>
            <w:r w:rsidRPr="004C78D8">
              <w:rPr>
                <w:sz w:val="18"/>
                <w:szCs w:val="18"/>
              </w:rPr>
              <w:t>0.370</w:t>
            </w:r>
          </w:p>
        </w:tc>
        <w:tc>
          <w:tcPr>
            <w:tcW w:w="773" w:type="dxa"/>
            <w:tcBorders>
              <w:top w:val="nil"/>
              <w:bottom w:val="nil"/>
            </w:tcBorders>
          </w:tcPr>
          <w:p w14:paraId="55C4376D" w14:textId="285A750F" w:rsidR="00985F16" w:rsidRPr="004C78D8" w:rsidRDefault="0046747C" w:rsidP="00FB7C1F">
            <w:pPr>
              <w:jc w:val="left"/>
              <w:rPr>
                <w:sz w:val="18"/>
                <w:szCs w:val="18"/>
              </w:rPr>
            </w:pPr>
            <w:r w:rsidRPr="004C78D8">
              <w:rPr>
                <w:sz w:val="18"/>
                <w:szCs w:val="18"/>
              </w:rPr>
              <w:t>0.325</w:t>
            </w:r>
          </w:p>
        </w:tc>
        <w:tc>
          <w:tcPr>
            <w:tcW w:w="705" w:type="dxa"/>
            <w:tcBorders>
              <w:top w:val="nil"/>
              <w:bottom w:val="nil"/>
              <w:right w:val="nil"/>
            </w:tcBorders>
          </w:tcPr>
          <w:p w14:paraId="638F2558" w14:textId="181B99D4" w:rsidR="00985F16" w:rsidRPr="004C78D8" w:rsidRDefault="0046747C" w:rsidP="00FB7C1F">
            <w:pPr>
              <w:jc w:val="left"/>
              <w:rPr>
                <w:sz w:val="18"/>
                <w:szCs w:val="18"/>
              </w:rPr>
            </w:pPr>
            <w:r w:rsidRPr="004C78D8">
              <w:rPr>
                <w:sz w:val="18"/>
                <w:szCs w:val="18"/>
              </w:rPr>
              <w:t>0.332</w:t>
            </w:r>
          </w:p>
        </w:tc>
        <w:tc>
          <w:tcPr>
            <w:tcW w:w="748" w:type="dxa"/>
            <w:tcBorders>
              <w:top w:val="nil"/>
              <w:left w:val="nil"/>
              <w:bottom w:val="nil"/>
              <w:right w:val="nil"/>
            </w:tcBorders>
          </w:tcPr>
          <w:p w14:paraId="05987C29" w14:textId="3281CB34" w:rsidR="00985F16" w:rsidRPr="004C78D8" w:rsidRDefault="0046747C" w:rsidP="00FB7C1F">
            <w:pPr>
              <w:jc w:val="left"/>
              <w:rPr>
                <w:sz w:val="18"/>
                <w:szCs w:val="18"/>
              </w:rPr>
            </w:pPr>
            <w:r w:rsidRPr="004C78D8">
              <w:rPr>
                <w:sz w:val="18"/>
                <w:szCs w:val="18"/>
              </w:rPr>
              <w:t>0.271</w:t>
            </w:r>
          </w:p>
        </w:tc>
        <w:tc>
          <w:tcPr>
            <w:tcW w:w="658" w:type="dxa"/>
            <w:tcBorders>
              <w:top w:val="nil"/>
              <w:left w:val="nil"/>
              <w:bottom w:val="nil"/>
              <w:right w:val="nil"/>
            </w:tcBorders>
          </w:tcPr>
          <w:p w14:paraId="45DFE68B" w14:textId="01E1BE52" w:rsidR="00985F16" w:rsidRPr="004C78D8" w:rsidRDefault="0046747C" w:rsidP="00FB7C1F">
            <w:pPr>
              <w:jc w:val="left"/>
              <w:rPr>
                <w:sz w:val="18"/>
                <w:szCs w:val="18"/>
              </w:rPr>
            </w:pPr>
            <w:r w:rsidRPr="004C78D8">
              <w:rPr>
                <w:sz w:val="18"/>
                <w:szCs w:val="18"/>
              </w:rPr>
              <w:t>0.467</w:t>
            </w:r>
          </w:p>
        </w:tc>
        <w:tc>
          <w:tcPr>
            <w:tcW w:w="659" w:type="dxa"/>
            <w:tcBorders>
              <w:top w:val="nil"/>
              <w:left w:val="nil"/>
              <w:bottom w:val="nil"/>
            </w:tcBorders>
          </w:tcPr>
          <w:p w14:paraId="399C3E6F" w14:textId="444191F7" w:rsidR="00985F16" w:rsidRPr="004C78D8" w:rsidRDefault="0046747C" w:rsidP="00FB7C1F">
            <w:pPr>
              <w:jc w:val="left"/>
              <w:rPr>
                <w:sz w:val="18"/>
                <w:szCs w:val="18"/>
              </w:rPr>
            </w:pPr>
            <w:r w:rsidRPr="004C78D8">
              <w:rPr>
                <w:sz w:val="18"/>
                <w:szCs w:val="18"/>
              </w:rPr>
              <w:t>0.372</w:t>
            </w:r>
          </w:p>
        </w:tc>
      </w:tr>
      <w:tr w:rsidR="00985F16" w:rsidRPr="004C78D8" w14:paraId="4CC3849D" w14:textId="77777777" w:rsidTr="00A1003D">
        <w:tc>
          <w:tcPr>
            <w:tcW w:w="518" w:type="dxa"/>
            <w:tcBorders>
              <w:top w:val="nil"/>
              <w:bottom w:val="nil"/>
            </w:tcBorders>
          </w:tcPr>
          <w:p w14:paraId="61AE4827" w14:textId="4DFEF4BD" w:rsidR="00985F16" w:rsidRPr="004C78D8" w:rsidRDefault="00985F16" w:rsidP="00FB7C1F">
            <w:pPr>
              <w:jc w:val="left"/>
              <w:rPr>
                <w:sz w:val="18"/>
                <w:szCs w:val="18"/>
              </w:rPr>
            </w:pPr>
            <w:r w:rsidRPr="004C78D8">
              <w:rPr>
                <w:sz w:val="18"/>
                <w:szCs w:val="18"/>
              </w:rPr>
              <w:t>[14]</w:t>
            </w:r>
          </w:p>
        </w:tc>
        <w:tc>
          <w:tcPr>
            <w:tcW w:w="2800" w:type="dxa"/>
            <w:tcBorders>
              <w:top w:val="nil"/>
              <w:bottom w:val="nil"/>
            </w:tcBorders>
          </w:tcPr>
          <w:p w14:paraId="7612DCB4" w14:textId="48FFE208" w:rsidR="00985F16" w:rsidRPr="004C78D8" w:rsidRDefault="00985F16" w:rsidP="00FB7C1F">
            <w:pPr>
              <w:jc w:val="left"/>
              <w:rPr>
                <w:sz w:val="18"/>
                <w:szCs w:val="18"/>
              </w:rPr>
            </w:pPr>
            <w:r w:rsidRPr="004C78D8">
              <w:rPr>
                <w:sz w:val="18"/>
                <w:szCs w:val="18"/>
              </w:rPr>
              <w:t>CRC(3): frailty targeting</w:t>
            </w:r>
          </w:p>
        </w:tc>
        <w:tc>
          <w:tcPr>
            <w:tcW w:w="1275" w:type="dxa"/>
            <w:tcBorders>
              <w:top w:val="nil"/>
              <w:bottom w:val="nil"/>
            </w:tcBorders>
          </w:tcPr>
          <w:p w14:paraId="4CA9CBBE" w14:textId="1C2BA0DC" w:rsidR="00985F16" w:rsidRPr="004C78D8" w:rsidRDefault="00DB17C6" w:rsidP="00FB7C1F">
            <w:pPr>
              <w:jc w:val="left"/>
              <w:rPr>
                <w:sz w:val="18"/>
                <w:szCs w:val="18"/>
              </w:rPr>
            </w:pPr>
            <w:r w:rsidRPr="004C78D8">
              <w:rPr>
                <w:sz w:val="18"/>
                <w:szCs w:val="18"/>
              </w:rPr>
              <w:t>£19,740,029</w:t>
            </w:r>
          </w:p>
        </w:tc>
        <w:tc>
          <w:tcPr>
            <w:tcW w:w="772" w:type="dxa"/>
            <w:tcBorders>
              <w:top w:val="nil"/>
              <w:bottom w:val="nil"/>
            </w:tcBorders>
          </w:tcPr>
          <w:p w14:paraId="781FCEBE" w14:textId="5DBE4319" w:rsidR="00985F16" w:rsidRPr="004C78D8" w:rsidRDefault="00DB17C6" w:rsidP="00FB7C1F">
            <w:pPr>
              <w:jc w:val="left"/>
              <w:rPr>
                <w:sz w:val="18"/>
                <w:szCs w:val="18"/>
              </w:rPr>
            </w:pPr>
            <w:r w:rsidRPr="004C78D8">
              <w:rPr>
                <w:sz w:val="18"/>
                <w:szCs w:val="18"/>
              </w:rPr>
              <w:t>0.344</w:t>
            </w:r>
          </w:p>
        </w:tc>
        <w:tc>
          <w:tcPr>
            <w:tcW w:w="773" w:type="dxa"/>
            <w:tcBorders>
              <w:top w:val="nil"/>
              <w:bottom w:val="nil"/>
            </w:tcBorders>
          </w:tcPr>
          <w:p w14:paraId="28FA16A9" w14:textId="2AFC4B95" w:rsidR="00985F16" w:rsidRPr="004C78D8" w:rsidRDefault="00DB17C6" w:rsidP="00FB7C1F">
            <w:pPr>
              <w:jc w:val="left"/>
              <w:rPr>
                <w:sz w:val="18"/>
                <w:szCs w:val="18"/>
              </w:rPr>
            </w:pPr>
            <w:r w:rsidRPr="004C78D8">
              <w:rPr>
                <w:sz w:val="18"/>
                <w:szCs w:val="18"/>
              </w:rPr>
              <w:t>0.309</w:t>
            </w:r>
          </w:p>
        </w:tc>
        <w:tc>
          <w:tcPr>
            <w:tcW w:w="705" w:type="dxa"/>
            <w:tcBorders>
              <w:top w:val="nil"/>
              <w:bottom w:val="nil"/>
              <w:right w:val="nil"/>
            </w:tcBorders>
          </w:tcPr>
          <w:p w14:paraId="1D4414AF" w14:textId="5BA823DE" w:rsidR="00985F16" w:rsidRPr="004C78D8" w:rsidRDefault="00DB17C6" w:rsidP="00FB7C1F">
            <w:pPr>
              <w:jc w:val="left"/>
              <w:rPr>
                <w:sz w:val="18"/>
                <w:szCs w:val="18"/>
              </w:rPr>
            </w:pPr>
            <w:r w:rsidRPr="004C78D8">
              <w:rPr>
                <w:sz w:val="18"/>
                <w:szCs w:val="18"/>
              </w:rPr>
              <w:t>0.332</w:t>
            </w:r>
          </w:p>
        </w:tc>
        <w:tc>
          <w:tcPr>
            <w:tcW w:w="748" w:type="dxa"/>
            <w:tcBorders>
              <w:top w:val="nil"/>
              <w:left w:val="nil"/>
              <w:bottom w:val="nil"/>
              <w:right w:val="nil"/>
            </w:tcBorders>
          </w:tcPr>
          <w:p w14:paraId="57DA3565" w14:textId="0A9521D2" w:rsidR="00985F16" w:rsidRPr="004C78D8" w:rsidRDefault="00DB17C6" w:rsidP="00FB7C1F">
            <w:pPr>
              <w:jc w:val="left"/>
              <w:rPr>
                <w:sz w:val="18"/>
                <w:szCs w:val="18"/>
              </w:rPr>
            </w:pPr>
            <w:r w:rsidRPr="004C78D8">
              <w:rPr>
                <w:sz w:val="18"/>
                <w:szCs w:val="18"/>
              </w:rPr>
              <w:t>0.267</w:t>
            </w:r>
          </w:p>
        </w:tc>
        <w:tc>
          <w:tcPr>
            <w:tcW w:w="658" w:type="dxa"/>
            <w:tcBorders>
              <w:top w:val="nil"/>
              <w:left w:val="nil"/>
              <w:bottom w:val="nil"/>
              <w:right w:val="nil"/>
            </w:tcBorders>
          </w:tcPr>
          <w:p w14:paraId="693F49E4" w14:textId="04CDC0FA" w:rsidR="00985F16" w:rsidRPr="004C78D8" w:rsidRDefault="00DB17C6" w:rsidP="00FB7C1F">
            <w:pPr>
              <w:jc w:val="left"/>
              <w:rPr>
                <w:sz w:val="18"/>
                <w:szCs w:val="18"/>
              </w:rPr>
            </w:pPr>
            <w:r w:rsidRPr="004C78D8">
              <w:rPr>
                <w:sz w:val="18"/>
                <w:szCs w:val="18"/>
              </w:rPr>
              <w:t>0.387</w:t>
            </w:r>
          </w:p>
        </w:tc>
        <w:tc>
          <w:tcPr>
            <w:tcW w:w="659" w:type="dxa"/>
            <w:tcBorders>
              <w:top w:val="nil"/>
              <w:left w:val="nil"/>
              <w:bottom w:val="nil"/>
            </w:tcBorders>
          </w:tcPr>
          <w:p w14:paraId="3C02A6BD" w14:textId="308B7844" w:rsidR="00985F16" w:rsidRPr="004C78D8" w:rsidRDefault="00DB17C6" w:rsidP="00FB7C1F">
            <w:pPr>
              <w:jc w:val="left"/>
              <w:rPr>
                <w:sz w:val="18"/>
                <w:szCs w:val="18"/>
              </w:rPr>
            </w:pPr>
            <w:r w:rsidRPr="004C78D8">
              <w:rPr>
                <w:sz w:val="18"/>
                <w:szCs w:val="18"/>
              </w:rPr>
              <w:t>0.367</w:t>
            </w:r>
          </w:p>
        </w:tc>
      </w:tr>
      <w:tr w:rsidR="00985F16" w:rsidRPr="004C78D8" w14:paraId="6D07EC39" w14:textId="77777777" w:rsidTr="00A1003D">
        <w:tc>
          <w:tcPr>
            <w:tcW w:w="518" w:type="dxa"/>
            <w:tcBorders>
              <w:top w:val="nil"/>
              <w:bottom w:val="nil"/>
            </w:tcBorders>
          </w:tcPr>
          <w:p w14:paraId="53C1392F" w14:textId="1B8F31EA" w:rsidR="00985F16" w:rsidRPr="004C78D8" w:rsidRDefault="00985F16" w:rsidP="00FB7C1F">
            <w:pPr>
              <w:jc w:val="left"/>
              <w:rPr>
                <w:sz w:val="18"/>
                <w:szCs w:val="18"/>
              </w:rPr>
            </w:pPr>
            <w:r w:rsidRPr="004C78D8">
              <w:rPr>
                <w:sz w:val="18"/>
                <w:szCs w:val="18"/>
              </w:rPr>
              <w:t>[15]</w:t>
            </w:r>
          </w:p>
        </w:tc>
        <w:tc>
          <w:tcPr>
            <w:tcW w:w="2800" w:type="dxa"/>
            <w:tcBorders>
              <w:top w:val="nil"/>
              <w:bottom w:val="nil"/>
            </w:tcBorders>
          </w:tcPr>
          <w:p w14:paraId="36BBB2A4" w14:textId="173D410F" w:rsidR="00985F16" w:rsidRPr="004C78D8" w:rsidRDefault="00985F16" w:rsidP="00FB7C1F">
            <w:pPr>
              <w:jc w:val="left"/>
              <w:rPr>
                <w:sz w:val="18"/>
                <w:szCs w:val="18"/>
              </w:rPr>
            </w:pPr>
            <w:r w:rsidRPr="004C78D8">
              <w:rPr>
                <w:sz w:val="18"/>
                <w:szCs w:val="18"/>
              </w:rPr>
              <w:t>CRC(4)+ PS societal costs</w:t>
            </w:r>
          </w:p>
        </w:tc>
        <w:tc>
          <w:tcPr>
            <w:tcW w:w="1275" w:type="dxa"/>
            <w:tcBorders>
              <w:top w:val="nil"/>
              <w:bottom w:val="nil"/>
            </w:tcBorders>
          </w:tcPr>
          <w:p w14:paraId="59C10D00" w14:textId="0A0A69E3" w:rsidR="00985F16" w:rsidRPr="004C78D8" w:rsidRDefault="00CE4FC9" w:rsidP="00FB7C1F">
            <w:pPr>
              <w:jc w:val="left"/>
              <w:rPr>
                <w:sz w:val="18"/>
                <w:szCs w:val="18"/>
              </w:rPr>
            </w:pPr>
            <w:r w:rsidRPr="004C78D8">
              <w:rPr>
                <w:sz w:val="18"/>
                <w:szCs w:val="18"/>
              </w:rPr>
              <w:t>£20,144,679</w:t>
            </w:r>
          </w:p>
        </w:tc>
        <w:tc>
          <w:tcPr>
            <w:tcW w:w="772" w:type="dxa"/>
            <w:tcBorders>
              <w:top w:val="nil"/>
              <w:bottom w:val="nil"/>
            </w:tcBorders>
          </w:tcPr>
          <w:p w14:paraId="2030CA20" w14:textId="0C5F5231" w:rsidR="00985F16" w:rsidRPr="004C78D8" w:rsidRDefault="00CE4FC9" w:rsidP="00FB7C1F">
            <w:pPr>
              <w:jc w:val="left"/>
              <w:rPr>
                <w:sz w:val="18"/>
                <w:szCs w:val="18"/>
              </w:rPr>
            </w:pPr>
            <w:r w:rsidRPr="004C78D8">
              <w:rPr>
                <w:sz w:val="18"/>
                <w:szCs w:val="18"/>
              </w:rPr>
              <w:t>0.331</w:t>
            </w:r>
          </w:p>
        </w:tc>
        <w:tc>
          <w:tcPr>
            <w:tcW w:w="773" w:type="dxa"/>
            <w:tcBorders>
              <w:top w:val="nil"/>
              <w:bottom w:val="nil"/>
            </w:tcBorders>
          </w:tcPr>
          <w:p w14:paraId="5E1CA785" w14:textId="4B955C23" w:rsidR="00985F16" w:rsidRPr="004C78D8" w:rsidRDefault="00CE4FC9" w:rsidP="00FB7C1F">
            <w:pPr>
              <w:jc w:val="left"/>
              <w:rPr>
                <w:sz w:val="18"/>
                <w:szCs w:val="18"/>
              </w:rPr>
            </w:pPr>
            <w:r w:rsidRPr="004C78D8">
              <w:rPr>
                <w:sz w:val="18"/>
                <w:szCs w:val="18"/>
              </w:rPr>
              <w:t>0.277</w:t>
            </w:r>
          </w:p>
        </w:tc>
        <w:tc>
          <w:tcPr>
            <w:tcW w:w="705" w:type="dxa"/>
            <w:tcBorders>
              <w:top w:val="nil"/>
              <w:bottom w:val="nil"/>
              <w:right w:val="nil"/>
            </w:tcBorders>
          </w:tcPr>
          <w:p w14:paraId="0C537016" w14:textId="5B44D23E" w:rsidR="00985F16" w:rsidRPr="004C78D8" w:rsidRDefault="00CE4FC9" w:rsidP="00FB7C1F">
            <w:pPr>
              <w:jc w:val="left"/>
              <w:rPr>
                <w:sz w:val="18"/>
                <w:szCs w:val="18"/>
              </w:rPr>
            </w:pPr>
            <w:r w:rsidRPr="004C78D8">
              <w:rPr>
                <w:sz w:val="18"/>
                <w:szCs w:val="18"/>
              </w:rPr>
              <w:t>0.374</w:t>
            </w:r>
          </w:p>
        </w:tc>
        <w:tc>
          <w:tcPr>
            <w:tcW w:w="748" w:type="dxa"/>
            <w:tcBorders>
              <w:top w:val="nil"/>
              <w:left w:val="nil"/>
              <w:bottom w:val="nil"/>
              <w:right w:val="nil"/>
            </w:tcBorders>
          </w:tcPr>
          <w:p w14:paraId="77FFBC81" w14:textId="6FEC4F8E" w:rsidR="00985F16" w:rsidRPr="004C78D8" w:rsidRDefault="00CE4FC9" w:rsidP="00FB7C1F">
            <w:pPr>
              <w:jc w:val="left"/>
              <w:rPr>
                <w:sz w:val="18"/>
                <w:szCs w:val="18"/>
              </w:rPr>
            </w:pPr>
            <w:r w:rsidRPr="004C78D8">
              <w:rPr>
                <w:sz w:val="18"/>
                <w:szCs w:val="18"/>
              </w:rPr>
              <w:t>0.236</w:t>
            </w:r>
          </w:p>
        </w:tc>
        <w:tc>
          <w:tcPr>
            <w:tcW w:w="658" w:type="dxa"/>
            <w:tcBorders>
              <w:top w:val="nil"/>
              <w:left w:val="nil"/>
              <w:bottom w:val="nil"/>
              <w:right w:val="nil"/>
            </w:tcBorders>
          </w:tcPr>
          <w:p w14:paraId="28EF89C4" w14:textId="32E22AC2" w:rsidR="00985F16" w:rsidRPr="004C78D8" w:rsidRDefault="00CE4FC9" w:rsidP="00FB7C1F">
            <w:pPr>
              <w:jc w:val="left"/>
              <w:rPr>
                <w:sz w:val="18"/>
                <w:szCs w:val="18"/>
              </w:rPr>
            </w:pPr>
            <w:r w:rsidRPr="004C78D8">
              <w:rPr>
                <w:sz w:val="18"/>
                <w:szCs w:val="18"/>
              </w:rPr>
              <w:t>0.326</w:t>
            </w:r>
          </w:p>
        </w:tc>
        <w:tc>
          <w:tcPr>
            <w:tcW w:w="659" w:type="dxa"/>
            <w:tcBorders>
              <w:top w:val="nil"/>
              <w:left w:val="nil"/>
              <w:bottom w:val="nil"/>
            </w:tcBorders>
          </w:tcPr>
          <w:p w14:paraId="0884E312" w14:textId="3E1107DC" w:rsidR="00985F16" w:rsidRPr="004C78D8" w:rsidRDefault="00CE4FC9" w:rsidP="00FB7C1F">
            <w:pPr>
              <w:jc w:val="left"/>
              <w:rPr>
                <w:sz w:val="18"/>
                <w:szCs w:val="18"/>
              </w:rPr>
            </w:pPr>
            <w:r w:rsidRPr="004C78D8">
              <w:rPr>
                <w:sz w:val="18"/>
                <w:szCs w:val="18"/>
              </w:rPr>
              <w:t>0.362</w:t>
            </w:r>
          </w:p>
        </w:tc>
      </w:tr>
      <w:tr w:rsidR="00985F16" w:rsidRPr="004C78D8" w14:paraId="4D371551" w14:textId="77777777" w:rsidTr="00A1003D">
        <w:tc>
          <w:tcPr>
            <w:tcW w:w="518" w:type="dxa"/>
            <w:tcBorders>
              <w:top w:val="nil"/>
              <w:bottom w:val="nil"/>
            </w:tcBorders>
          </w:tcPr>
          <w:p w14:paraId="7D4F1176" w14:textId="7B519D8B" w:rsidR="00985F16" w:rsidRPr="004C78D8" w:rsidRDefault="00985F16" w:rsidP="00FB7C1F">
            <w:pPr>
              <w:jc w:val="left"/>
              <w:rPr>
                <w:sz w:val="18"/>
                <w:szCs w:val="18"/>
              </w:rPr>
            </w:pPr>
            <w:r w:rsidRPr="004C78D8">
              <w:rPr>
                <w:sz w:val="18"/>
                <w:szCs w:val="18"/>
              </w:rPr>
              <w:t>[16]</w:t>
            </w:r>
          </w:p>
        </w:tc>
        <w:tc>
          <w:tcPr>
            <w:tcW w:w="2800" w:type="dxa"/>
            <w:tcBorders>
              <w:top w:val="nil"/>
              <w:bottom w:val="nil"/>
            </w:tcBorders>
          </w:tcPr>
          <w:p w14:paraId="5D5DE642" w14:textId="0515E38C" w:rsidR="00985F16" w:rsidRPr="004C78D8" w:rsidRDefault="00985F16" w:rsidP="00FB7C1F">
            <w:pPr>
              <w:jc w:val="left"/>
              <w:rPr>
                <w:sz w:val="18"/>
                <w:szCs w:val="18"/>
              </w:rPr>
            </w:pPr>
            <w:r w:rsidRPr="004C78D8">
              <w:rPr>
                <w:sz w:val="18"/>
                <w:szCs w:val="18"/>
              </w:rPr>
              <w:t>CRC(2): no repeated provision</w:t>
            </w:r>
          </w:p>
        </w:tc>
        <w:tc>
          <w:tcPr>
            <w:tcW w:w="1275" w:type="dxa"/>
            <w:tcBorders>
              <w:top w:val="nil"/>
              <w:bottom w:val="nil"/>
            </w:tcBorders>
          </w:tcPr>
          <w:p w14:paraId="76575EB2" w14:textId="5FB6B748" w:rsidR="00985F16" w:rsidRPr="004C78D8" w:rsidRDefault="006A7647" w:rsidP="00FB7C1F">
            <w:pPr>
              <w:jc w:val="left"/>
              <w:rPr>
                <w:sz w:val="18"/>
                <w:szCs w:val="18"/>
              </w:rPr>
            </w:pPr>
            <w:r w:rsidRPr="004C78D8">
              <w:rPr>
                <w:sz w:val="18"/>
                <w:szCs w:val="18"/>
              </w:rPr>
              <w:t>£28,788,180</w:t>
            </w:r>
          </w:p>
        </w:tc>
        <w:tc>
          <w:tcPr>
            <w:tcW w:w="772" w:type="dxa"/>
            <w:tcBorders>
              <w:top w:val="nil"/>
              <w:bottom w:val="nil"/>
            </w:tcBorders>
          </w:tcPr>
          <w:p w14:paraId="0E094DD7" w14:textId="7D4D423E" w:rsidR="00985F16" w:rsidRPr="004C78D8" w:rsidRDefault="006A7647" w:rsidP="00FB7C1F">
            <w:pPr>
              <w:jc w:val="left"/>
              <w:rPr>
                <w:sz w:val="18"/>
                <w:szCs w:val="18"/>
              </w:rPr>
            </w:pPr>
            <w:r w:rsidRPr="004C78D8">
              <w:rPr>
                <w:sz w:val="18"/>
                <w:szCs w:val="18"/>
              </w:rPr>
              <w:t>0.246</w:t>
            </w:r>
          </w:p>
        </w:tc>
        <w:tc>
          <w:tcPr>
            <w:tcW w:w="773" w:type="dxa"/>
            <w:tcBorders>
              <w:top w:val="nil"/>
              <w:bottom w:val="nil"/>
            </w:tcBorders>
          </w:tcPr>
          <w:p w14:paraId="10D8C203" w14:textId="0C6FD056" w:rsidR="00985F16" w:rsidRPr="004C78D8" w:rsidRDefault="006A7647" w:rsidP="00FB7C1F">
            <w:pPr>
              <w:jc w:val="left"/>
              <w:rPr>
                <w:sz w:val="18"/>
                <w:szCs w:val="18"/>
              </w:rPr>
            </w:pPr>
            <w:r w:rsidRPr="004C78D8">
              <w:rPr>
                <w:sz w:val="18"/>
                <w:szCs w:val="18"/>
              </w:rPr>
              <w:t>0.203</w:t>
            </w:r>
          </w:p>
        </w:tc>
        <w:tc>
          <w:tcPr>
            <w:tcW w:w="705" w:type="dxa"/>
            <w:tcBorders>
              <w:top w:val="nil"/>
              <w:bottom w:val="nil"/>
              <w:right w:val="nil"/>
            </w:tcBorders>
          </w:tcPr>
          <w:p w14:paraId="66979D91" w14:textId="24564D3E" w:rsidR="00985F16" w:rsidRPr="004C78D8" w:rsidRDefault="006A7647" w:rsidP="00FB7C1F">
            <w:pPr>
              <w:jc w:val="left"/>
              <w:rPr>
                <w:sz w:val="18"/>
                <w:szCs w:val="18"/>
              </w:rPr>
            </w:pPr>
            <w:r w:rsidRPr="004C78D8">
              <w:rPr>
                <w:sz w:val="18"/>
                <w:szCs w:val="18"/>
              </w:rPr>
              <w:t>0.207</w:t>
            </w:r>
          </w:p>
        </w:tc>
        <w:tc>
          <w:tcPr>
            <w:tcW w:w="748" w:type="dxa"/>
            <w:tcBorders>
              <w:top w:val="nil"/>
              <w:left w:val="nil"/>
              <w:bottom w:val="nil"/>
              <w:right w:val="nil"/>
            </w:tcBorders>
          </w:tcPr>
          <w:p w14:paraId="6184B185" w14:textId="6B184473" w:rsidR="00985F16" w:rsidRPr="004C78D8" w:rsidRDefault="006A7647" w:rsidP="00FB7C1F">
            <w:pPr>
              <w:jc w:val="left"/>
              <w:rPr>
                <w:sz w:val="18"/>
                <w:szCs w:val="18"/>
              </w:rPr>
            </w:pPr>
            <w:r w:rsidRPr="004C78D8">
              <w:rPr>
                <w:sz w:val="18"/>
                <w:szCs w:val="18"/>
              </w:rPr>
              <w:t>0.182</w:t>
            </w:r>
          </w:p>
        </w:tc>
        <w:tc>
          <w:tcPr>
            <w:tcW w:w="658" w:type="dxa"/>
            <w:tcBorders>
              <w:top w:val="nil"/>
              <w:left w:val="nil"/>
              <w:bottom w:val="nil"/>
              <w:right w:val="nil"/>
            </w:tcBorders>
          </w:tcPr>
          <w:p w14:paraId="3A9B2018" w14:textId="3BD4E699" w:rsidR="00985F16" w:rsidRPr="004C78D8" w:rsidRDefault="006A7647" w:rsidP="00FB7C1F">
            <w:pPr>
              <w:jc w:val="left"/>
              <w:rPr>
                <w:sz w:val="18"/>
                <w:szCs w:val="18"/>
              </w:rPr>
            </w:pPr>
            <w:r w:rsidRPr="004C78D8">
              <w:rPr>
                <w:sz w:val="18"/>
                <w:szCs w:val="18"/>
              </w:rPr>
              <w:t>0.310</w:t>
            </w:r>
          </w:p>
        </w:tc>
        <w:tc>
          <w:tcPr>
            <w:tcW w:w="659" w:type="dxa"/>
            <w:tcBorders>
              <w:top w:val="nil"/>
              <w:left w:val="nil"/>
              <w:bottom w:val="nil"/>
            </w:tcBorders>
          </w:tcPr>
          <w:p w14:paraId="6C2B1E52" w14:textId="43AE52C2" w:rsidR="00985F16" w:rsidRPr="004C78D8" w:rsidRDefault="006A7647" w:rsidP="00FB7C1F">
            <w:pPr>
              <w:jc w:val="left"/>
              <w:rPr>
                <w:sz w:val="18"/>
                <w:szCs w:val="18"/>
              </w:rPr>
            </w:pPr>
            <w:r w:rsidRPr="004C78D8">
              <w:rPr>
                <w:sz w:val="18"/>
                <w:szCs w:val="18"/>
              </w:rPr>
              <w:t>0.293</w:t>
            </w:r>
          </w:p>
        </w:tc>
      </w:tr>
      <w:tr w:rsidR="00985F16" w:rsidRPr="004C78D8" w14:paraId="00698032" w14:textId="77777777" w:rsidTr="00A1003D">
        <w:tc>
          <w:tcPr>
            <w:tcW w:w="518" w:type="dxa"/>
            <w:tcBorders>
              <w:top w:val="nil"/>
              <w:bottom w:val="nil"/>
            </w:tcBorders>
          </w:tcPr>
          <w:p w14:paraId="00FA7088" w14:textId="33C723B0" w:rsidR="00985F16" w:rsidRPr="004C78D8" w:rsidRDefault="00985F16" w:rsidP="00FB7C1F">
            <w:pPr>
              <w:jc w:val="left"/>
              <w:rPr>
                <w:sz w:val="18"/>
                <w:szCs w:val="18"/>
              </w:rPr>
            </w:pPr>
            <w:r w:rsidRPr="004C78D8">
              <w:rPr>
                <w:sz w:val="18"/>
                <w:szCs w:val="18"/>
              </w:rPr>
              <w:t>[17]</w:t>
            </w:r>
          </w:p>
        </w:tc>
        <w:tc>
          <w:tcPr>
            <w:tcW w:w="2800" w:type="dxa"/>
            <w:tcBorders>
              <w:top w:val="nil"/>
              <w:bottom w:val="nil"/>
            </w:tcBorders>
          </w:tcPr>
          <w:p w14:paraId="22BBD18C" w14:textId="79B0E8C2" w:rsidR="00985F16" w:rsidRPr="004C78D8" w:rsidRDefault="00985F16" w:rsidP="00FB7C1F">
            <w:pPr>
              <w:jc w:val="left"/>
              <w:rPr>
                <w:sz w:val="18"/>
                <w:szCs w:val="18"/>
              </w:rPr>
            </w:pPr>
            <w:r w:rsidRPr="004C78D8">
              <w:rPr>
                <w:sz w:val="18"/>
                <w:szCs w:val="18"/>
              </w:rPr>
              <w:t>UC + universal FH removal</w:t>
            </w:r>
          </w:p>
        </w:tc>
        <w:tc>
          <w:tcPr>
            <w:tcW w:w="1275" w:type="dxa"/>
            <w:tcBorders>
              <w:top w:val="nil"/>
              <w:bottom w:val="nil"/>
            </w:tcBorders>
          </w:tcPr>
          <w:p w14:paraId="1A62ADEC" w14:textId="21BF7DAE" w:rsidR="00985F16" w:rsidRPr="004C78D8" w:rsidRDefault="005626C8" w:rsidP="00FB7C1F">
            <w:pPr>
              <w:jc w:val="left"/>
              <w:rPr>
                <w:sz w:val="18"/>
                <w:szCs w:val="18"/>
              </w:rPr>
            </w:pPr>
            <w:r w:rsidRPr="004C78D8">
              <w:rPr>
                <w:sz w:val="18"/>
                <w:szCs w:val="18"/>
              </w:rPr>
              <w:t>£9,997,232</w:t>
            </w:r>
          </w:p>
        </w:tc>
        <w:tc>
          <w:tcPr>
            <w:tcW w:w="772" w:type="dxa"/>
            <w:tcBorders>
              <w:top w:val="nil"/>
              <w:bottom w:val="nil"/>
            </w:tcBorders>
          </w:tcPr>
          <w:p w14:paraId="7C96AD20" w14:textId="48CD7355" w:rsidR="00985F16" w:rsidRPr="004C78D8" w:rsidRDefault="005626C8" w:rsidP="00FB7C1F">
            <w:pPr>
              <w:jc w:val="left"/>
              <w:rPr>
                <w:sz w:val="18"/>
                <w:szCs w:val="18"/>
              </w:rPr>
            </w:pPr>
            <w:r w:rsidRPr="004C78D8">
              <w:rPr>
                <w:sz w:val="18"/>
                <w:szCs w:val="18"/>
              </w:rPr>
              <w:t>0.472</w:t>
            </w:r>
          </w:p>
        </w:tc>
        <w:tc>
          <w:tcPr>
            <w:tcW w:w="773" w:type="dxa"/>
            <w:tcBorders>
              <w:top w:val="nil"/>
              <w:bottom w:val="nil"/>
            </w:tcBorders>
          </w:tcPr>
          <w:p w14:paraId="56B6EF57" w14:textId="330A00FA" w:rsidR="00985F16" w:rsidRPr="004C78D8" w:rsidRDefault="005626C8" w:rsidP="00FB7C1F">
            <w:pPr>
              <w:jc w:val="left"/>
              <w:rPr>
                <w:sz w:val="18"/>
                <w:szCs w:val="18"/>
              </w:rPr>
            </w:pPr>
            <w:r w:rsidRPr="004C78D8">
              <w:rPr>
                <w:sz w:val="18"/>
                <w:szCs w:val="18"/>
              </w:rPr>
              <w:t>0.381</w:t>
            </w:r>
          </w:p>
        </w:tc>
        <w:tc>
          <w:tcPr>
            <w:tcW w:w="705" w:type="dxa"/>
            <w:tcBorders>
              <w:top w:val="nil"/>
              <w:bottom w:val="nil"/>
              <w:right w:val="nil"/>
            </w:tcBorders>
          </w:tcPr>
          <w:p w14:paraId="4308D26E" w14:textId="7462AE3C" w:rsidR="00985F16" w:rsidRPr="004C78D8" w:rsidRDefault="007B2BA2" w:rsidP="00FB7C1F">
            <w:pPr>
              <w:jc w:val="left"/>
              <w:rPr>
                <w:sz w:val="18"/>
                <w:szCs w:val="18"/>
              </w:rPr>
            </w:pPr>
            <w:r w:rsidRPr="004C78D8">
              <w:rPr>
                <w:sz w:val="18"/>
                <w:szCs w:val="18"/>
              </w:rPr>
              <w:t>0.434</w:t>
            </w:r>
          </w:p>
        </w:tc>
        <w:tc>
          <w:tcPr>
            <w:tcW w:w="748" w:type="dxa"/>
            <w:tcBorders>
              <w:top w:val="nil"/>
              <w:left w:val="nil"/>
              <w:bottom w:val="nil"/>
              <w:right w:val="nil"/>
            </w:tcBorders>
          </w:tcPr>
          <w:p w14:paraId="447DA4D2" w14:textId="6EFCA4F9" w:rsidR="00985F16" w:rsidRPr="004C78D8" w:rsidRDefault="007B2BA2" w:rsidP="00FB7C1F">
            <w:pPr>
              <w:jc w:val="left"/>
              <w:rPr>
                <w:sz w:val="18"/>
                <w:szCs w:val="18"/>
              </w:rPr>
            </w:pPr>
            <w:r w:rsidRPr="004C78D8">
              <w:rPr>
                <w:sz w:val="18"/>
                <w:szCs w:val="18"/>
              </w:rPr>
              <w:t>0.450</w:t>
            </w:r>
          </w:p>
        </w:tc>
        <w:tc>
          <w:tcPr>
            <w:tcW w:w="658" w:type="dxa"/>
            <w:tcBorders>
              <w:top w:val="nil"/>
              <w:left w:val="nil"/>
              <w:bottom w:val="nil"/>
              <w:right w:val="nil"/>
            </w:tcBorders>
          </w:tcPr>
          <w:p w14:paraId="2328E47B" w14:textId="11E416D8" w:rsidR="00985F16" w:rsidRPr="004C78D8" w:rsidRDefault="007B2BA2" w:rsidP="00FB7C1F">
            <w:pPr>
              <w:jc w:val="left"/>
              <w:rPr>
                <w:sz w:val="18"/>
                <w:szCs w:val="18"/>
              </w:rPr>
            </w:pPr>
            <w:r w:rsidRPr="004C78D8">
              <w:rPr>
                <w:sz w:val="18"/>
                <w:szCs w:val="18"/>
              </w:rPr>
              <w:t>0.506</w:t>
            </w:r>
          </w:p>
        </w:tc>
        <w:tc>
          <w:tcPr>
            <w:tcW w:w="659" w:type="dxa"/>
            <w:tcBorders>
              <w:top w:val="nil"/>
              <w:left w:val="nil"/>
              <w:bottom w:val="nil"/>
            </w:tcBorders>
          </w:tcPr>
          <w:p w14:paraId="72D21481" w14:textId="7F969D85" w:rsidR="00985F16" w:rsidRPr="004C78D8" w:rsidRDefault="007B2BA2" w:rsidP="00FB7C1F">
            <w:pPr>
              <w:jc w:val="left"/>
              <w:rPr>
                <w:sz w:val="18"/>
                <w:szCs w:val="18"/>
              </w:rPr>
            </w:pPr>
            <w:r w:rsidRPr="004C78D8">
              <w:rPr>
                <w:sz w:val="18"/>
                <w:szCs w:val="18"/>
              </w:rPr>
              <w:t>0.493</w:t>
            </w:r>
          </w:p>
        </w:tc>
      </w:tr>
      <w:tr w:rsidR="00985F16" w:rsidRPr="004C78D8" w14:paraId="4BC3D793" w14:textId="77777777" w:rsidTr="00A1003D">
        <w:tc>
          <w:tcPr>
            <w:tcW w:w="518" w:type="dxa"/>
            <w:tcBorders>
              <w:top w:val="nil"/>
              <w:bottom w:val="nil"/>
            </w:tcBorders>
          </w:tcPr>
          <w:p w14:paraId="0177D361" w14:textId="12DE41CE" w:rsidR="00985F16" w:rsidRPr="004C78D8" w:rsidRDefault="00985F16" w:rsidP="00FB7C1F">
            <w:pPr>
              <w:jc w:val="left"/>
              <w:rPr>
                <w:sz w:val="18"/>
                <w:szCs w:val="18"/>
              </w:rPr>
            </w:pPr>
            <w:r w:rsidRPr="004C78D8">
              <w:rPr>
                <w:sz w:val="18"/>
                <w:szCs w:val="18"/>
              </w:rPr>
              <w:t>[18]</w:t>
            </w:r>
          </w:p>
        </w:tc>
        <w:tc>
          <w:tcPr>
            <w:tcW w:w="2800" w:type="dxa"/>
            <w:tcBorders>
              <w:top w:val="nil"/>
              <w:bottom w:val="nil"/>
            </w:tcBorders>
          </w:tcPr>
          <w:p w14:paraId="6CF4E5E2" w14:textId="323E57E8" w:rsidR="00985F16" w:rsidRPr="004C78D8" w:rsidRDefault="00985F16" w:rsidP="00FB7C1F">
            <w:pPr>
              <w:jc w:val="left"/>
              <w:rPr>
                <w:sz w:val="18"/>
                <w:szCs w:val="18"/>
              </w:rPr>
            </w:pPr>
            <w:r w:rsidRPr="004C78D8">
              <w:rPr>
                <w:sz w:val="18"/>
                <w:szCs w:val="18"/>
              </w:rPr>
              <w:t>CRC(4)+ 3</w:t>
            </w:r>
            <w:r w:rsidRPr="004C78D8">
              <w:rPr>
                <w:sz w:val="18"/>
                <w:szCs w:val="18"/>
                <w:vertAlign w:val="superscript"/>
              </w:rPr>
              <w:t>rd</w:t>
            </w:r>
            <w:r w:rsidRPr="004C78D8">
              <w:rPr>
                <w:sz w:val="18"/>
                <w:szCs w:val="18"/>
              </w:rPr>
              <w:t>/4</w:t>
            </w:r>
            <w:r w:rsidRPr="004C78D8">
              <w:rPr>
                <w:sz w:val="18"/>
                <w:szCs w:val="18"/>
                <w:vertAlign w:val="superscript"/>
              </w:rPr>
              <w:t>th</w:t>
            </w:r>
            <w:r w:rsidRPr="004C78D8">
              <w:rPr>
                <w:sz w:val="18"/>
                <w:szCs w:val="18"/>
              </w:rPr>
              <w:t xml:space="preserve"> SES FH removal</w:t>
            </w:r>
          </w:p>
        </w:tc>
        <w:tc>
          <w:tcPr>
            <w:tcW w:w="1275" w:type="dxa"/>
            <w:tcBorders>
              <w:top w:val="nil"/>
              <w:bottom w:val="nil"/>
            </w:tcBorders>
          </w:tcPr>
          <w:p w14:paraId="0A241168" w14:textId="13D0A887" w:rsidR="00985F16" w:rsidRPr="004C78D8" w:rsidRDefault="00831D82" w:rsidP="00FB7C1F">
            <w:pPr>
              <w:jc w:val="left"/>
              <w:rPr>
                <w:sz w:val="18"/>
                <w:szCs w:val="18"/>
              </w:rPr>
            </w:pPr>
            <w:r w:rsidRPr="004C78D8">
              <w:rPr>
                <w:sz w:val="18"/>
                <w:szCs w:val="18"/>
              </w:rPr>
              <w:t>£27,122,495</w:t>
            </w:r>
          </w:p>
        </w:tc>
        <w:tc>
          <w:tcPr>
            <w:tcW w:w="772" w:type="dxa"/>
            <w:tcBorders>
              <w:top w:val="nil"/>
              <w:bottom w:val="nil"/>
            </w:tcBorders>
          </w:tcPr>
          <w:p w14:paraId="34B2CE75" w14:textId="28136949" w:rsidR="00985F16" w:rsidRPr="004C78D8" w:rsidRDefault="00831D82" w:rsidP="00FB7C1F">
            <w:pPr>
              <w:jc w:val="left"/>
              <w:rPr>
                <w:sz w:val="18"/>
                <w:szCs w:val="18"/>
              </w:rPr>
            </w:pPr>
            <w:r w:rsidRPr="004C78D8">
              <w:rPr>
                <w:sz w:val="18"/>
                <w:szCs w:val="18"/>
              </w:rPr>
              <w:t>0.347</w:t>
            </w:r>
          </w:p>
        </w:tc>
        <w:tc>
          <w:tcPr>
            <w:tcW w:w="773" w:type="dxa"/>
            <w:tcBorders>
              <w:top w:val="nil"/>
              <w:bottom w:val="nil"/>
            </w:tcBorders>
          </w:tcPr>
          <w:p w14:paraId="24BC7D01" w14:textId="6DD76B0D" w:rsidR="00985F16" w:rsidRPr="004C78D8" w:rsidRDefault="00831D82" w:rsidP="00FB7C1F">
            <w:pPr>
              <w:jc w:val="left"/>
              <w:rPr>
                <w:sz w:val="18"/>
                <w:szCs w:val="18"/>
              </w:rPr>
            </w:pPr>
            <w:r w:rsidRPr="004C78D8">
              <w:rPr>
                <w:sz w:val="18"/>
                <w:szCs w:val="18"/>
              </w:rPr>
              <w:t>0.275</w:t>
            </w:r>
          </w:p>
        </w:tc>
        <w:tc>
          <w:tcPr>
            <w:tcW w:w="705" w:type="dxa"/>
            <w:tcBorders>
              <w:top w:val="nil"/>
              <w:bottom w:val="nil"/>
              <w:right w:val="nil"/>
            </w:tcBorders>
          </w:tcPr>
          <w:p w14:paraId="6E144802" w14:textId="46DFD3F1" w:rsidR="00985F16" w:rsidRPr="004C78D8" w:rsidRDefault="00831D82" w:rsidP="00FB7C1F">
            <w:pPr>
              <w:jc w:val="left"/>
              <w:rPr>
                <w:sz w:val="18"/>
                <w:szCs w:val="18"/>
              </w:rPr>
            </w:pPr>
            <w:r w:rsidRPr="004C78D8">
              <w:rPr>
                <w:sz w:val="18"/>
                <w:szCs w:val="18"/>
              </w:rPr>
              <w:t>0.154</w:t>
            </w:r>
          </w:p>
        </w:tc>
        <w:tc>
          <w:tcPr>
            <w:tcW w:w="748" w:type="dxa"/>
            <w:tcBorders>
              <w:top w:val="nil"/>
              <w:left w:val="nil"/>
              <w:bottom w:val="nil"/>
              <w:right w:val="nil"/>
            </w:tcBorders>
          </w:tcPr>
          <w:p w14:paraId="1B1B5ADB" w14:textId="40BC5FD4" w:rsidR="00985F16" w:rsidRPr="004C78D8" w:rsidRDefault="00831D82" w:rsidP="00FB7C1F">
            <w:pPr>
              <w:jc w:val="left"/>
              <w:rPr>
                <w:sz w:val="18"/>
                <w:szCs w:val="18"/>
              </w:rPr>
            </w:pPr>
            <w:r w:rsidRPr="004C78D8">
              <w:rPr>
                <w:sz w:val="18"/>
                <w:szCs w:val="18"/>
              </w:rPr>
              <w:t>0.128</w:t>
            </w:r>
          </w:p>
        </w:tc>
        <w:tc>
          <w:tcPr>
            <w:tcW w:w="658" w:type="dxa"/>
            <w:tcBorders>
              <w:top w:val="nil"/>
              <w:left w:val="nil"/>
              <w:bottom w:val="nil"/>
              <w:right w:val="nil"/>
            </w:tcBorders>
          </w:tcPr>
          <w:p w14:paraId="03794D38" w14:textId="0899D32A" w:rsidR="00985F16" w:rsidRPr="004C78D8" w:rsidRDefault="00831D82" w:rsidP="00FB7C1F">
            <w:pPr>
              <w:jc w:val="left"/>
              <w:rPr>
                <w:sz w:val="18"/>
                <w:szCs w:val="18"/>
              </w:rPr>
            </w:pPr>
            <w:r w:rsidRPr="004C78D8">
              <w:rPr>
                <w:sz w:val="18"/>
                <w:szCs w:val="18"/>
              </w:rPr>
              <w:t>0.852</w:t>
            </w:r>
          </w:p>
        </w:tc>
        <w:tc>
          <w:tcPr>
            <w:tcW w:w="659" w:type="dxa"/>
            <w:tcBorders>
              <w:top w:val="nil"/>
              <w:left w:val="nil"/>
              <w:bottom w:val="nil"/>
            </w:tcBorders>
          </w:tcPr>
          <w:p w14:paraId="5F93FFA9" w14:textId="4218A9F0" w:rsidR="00985F16" w:rsidRPr="004C78D8" w:rsidRDefault="00831D82" w:rsidP="00FB7C1F">
            <w:pPr>
              <w:jc w:val="left"/>
              <w:rPr>
                <w:sz w:val="18"/>
                <w:szCs w:val="18"/>
              </w:rPr>
            </w:pPr>
            <w:r w:rsidRPr="004C78D8">
              <w:rPr>
                <w:sz w:val="18"/>
                <w:szCs w:val="18"/>
              </w:rPr>
              <w:t>0.902</w:t>
            </w:r>
          </w:p>
        </w:tc>
      </w:tr>
      <w:tr w:rsidR="00985F16" w:rsidRPr="004C78D8" w14:paraId="1F14820B" w14:textId="77777777" w:rsidTr="00A1003D">
        <w:tc>
          <w:tcPr>
            <w:tcW w:w="518" w:type="dxa"/>
            <w:tcBorders>
              <w:top w:val="nil"/>
              <w:bottom w:val="nil"/>
            </w:tcBorders>
          </w:tcPr>
          <w:p w14:paraId="1A119612" w14:textId="59DFC1A9" w:rsidR="00985F16" w:rsidRPr="004C78D8" w:rsidRDefault="00985F16" w:rsidP="00FB7C1F">
            <w:pPr>
              <w:jc w:val="left"/>
              <w:rPr>
                <w:sz w:val="18"/>
                <w:szCs w:val="18"/>
              </w:rPr>
            </w:pPr>
            <w:r w:rsidRPr="004C78D8">
              <w:rPr>
                <w:sz w:val="18"/>
                <w:szCs w:val="18"/>
              </w:rPr>
              <w:t>[19]</w:t>
            </w:r>
          </w:p>
        </w:tc>
        <w:tc>
          <w:tcPr>
            <w:tcW w:w="2800" w:type="dxa"/>
            <w:tcBorders>
              <w:top w:val="nil"/>
              <w:bottom w:val="nil"/>
            </w:tcBorders>
          </w:tcPr>
          <w:p w14:paraId="2FB6DED9" w14:textId="1EEA0569" w:rsidR="00985F16" w:rsidRPr="004C78D8" w:rsidRDefault="00985F16" w:rsidP="00FB7C1F">
            <w:pPr>
              <w:jc w:val="left"/>
              <w:rPr>
                <w:sz w:val="18"/>
                <w:szCs w:val="18"/>
              </w:rPr>
            </w:pPr>
            <w:r w:rsidRPr="004C78D8">
              <w:rPr>
                <w:sz w:val="18"/>
                <w:szCs w:val="18"/>
              </w:rPr>
              <w:t>CRC(4)+ universal FH removal</w:t>
            </w:r>
          </w:p>
        </w:tc>
        <w:tc>
          <w:tcPr>
            <w:tcW w:w="1275" w:type="dxa"/>
            <w:tcBorders>
              <w:top w:val="nil"/>
              <w:bottom w:val="nil"/>
            </w:tcBorders>
          </w:tcPr>
          <w:p w14:paraId="158FE80D" w14:textId="65B7ABD1" w:rsidR="00985F16" w:rsidRPr="004C78D8" w:rsidRDefault="0053435C" w:rsidP="00FB7C1F">
            <w:pPr>
              <w:jc w:val="left"/>
              <w:rPr>
                <w:sz w:val="18"/>
                <w:szCs w:val="18"/>
              </w:rPr>
            </w:pPr>
            <w:r w:rsidRPr="004C78D8">
              <w:rPr>
                <w:sz w:val="18"/>
                <w:szCs w:val="18"/>
              </w:rPr>
              <w:t>£26,040,263</w:t>
            </w:r>
          </w:p>
        </w:tc>
        <w:tc>
          <w:tcPr>
            <w:tcW w:w="772" w:type="dxa"/>
            <w:tcBorders>
              <w:top w:val="nil"/>
              <w:bottom w:val="nil"/>
            </w:tcBorders>
          </w:tcPr>
          <w:p w14:paraId="0B1E05AC" w14:textId="6BFB4E20" w:rsidR="00985F16" w:rsidRPr="004C78D8" w:rsidRDefault="0053435C" w:rsidP="00FB7C1F">
            <w:pPr>
              <w:jc w:val="left"/>
              <w:rPr>
                <w:sz w:val="18"/>
                <w:szCs w:val="18"/>
              </w:rPr>
            </w:pPr>
            <w:r w:rsidRPr="004C78D8">
              <w:rPr>
                <w:sz w:val="18"/>
                <w:szCs w:val="18"/>
              </w:rPr>
              <w:t>0.406</w:t>
            </w:r>
          </w:p>
        </w:tc>
        <w:tc>
          <w:tcPr>
            <w:tcW w:w="773" w:type="dxa"/>
            <w:tcBorders>
              <w:top w:val="nil"/>
              <w:bottom w:val="nil"/>
            </w:tcBorders>
          </w:tcPr>
          <w:p w14:paraId="4CC5FD8F" w14:textId="233B4F41" w:rsidR="00985F16" w:rsidRPr="004C78D8" w:rsidRDefault="0053435C" w:rsidP="00FB7C1F">
            <w:pPr>
              <w:jc w:val="left"/>
              <w:rPr>
                <w:sz w:val="18"/>
                <w:szCs w:val="18"/>
              </w:rPr>
            </w:pPr>
            <w:r w:rsidRPr="004C78D8">
              <w:rPr>
                <w:sz w:val="18"/>
                <w:szCs w:val="18"/>
              </w:rPr>
              <w:t>0.337</w:t>
            </w:r>
          </w:p>
        </w:tc>
        <w:tc>
          <w:tcPr>
            <w:tcW w:w="705" w:type="dxa"/>
            <w:tcBorders>
              <w:top w:val="nil"/>
              <w:bottom w:val="nil"/>
              <w:right w:val="nil"/>
            </w:tcBorders>
          </w:tcPr>
          <w:p w14:paraId="629D31B0" w14:textId="496DEA4E" w:rsidR="00985F16" w:rsidRPr="004C78D8" w:rsidRDefault="0053435C" w:rsidP="00FB7C1F">
            <w:pPr>
              <w:jc w:val="left"/>
              <w:rPr>
                <w:sz w:val="18"/>
                <w:szCs w:val="18"/>
              </w:rPr>
            </w:pPr>
            <w:r w:rsidRPr="004C78D8">
              <w:rPr>
                <w:sz w:val="18"/>
                <w:szCs w:val="18"/>
              </w:rPr>
              <w:t>0.354</w:t>
            </w:r>
          </w:p>
        </w:tc>
        <w:tc>
          <w:tcPr>
            <w:tcW w:w="748" w:type="dxa"/>
            <w:tcBorders>
              <w:top w:val="nil"/>
              <w:left w:val="nil"/>
              <w:bottom w:val="nil"/>
              <w:right w:val="nil"/>
            </w:tcBorders>
          </w:tcPr>
          <w:p w14:paraId="43880581" w14:textId="7CE644EC" w:rsidR="00985F16" w:rsidRPr="004C78D8" w:rsidRDefault="0053435C" w:rsidP="00FB7C1F">
            <w:pPr>
              <w:jc w:val="left"/>
              <w:rPr>
                <w:sz w:val="18"/>
                <w:szCs w:val="18"/>
              </w:rPr>
            </w:pPr>
            <w:r w:rsidRPr="004C78D8">
              <w:rPr>
                <w:sz w:val="18"/>
                <w:szCs w:val="18"/>
              </w:rPr>
              <w:t>0.377</w:t>
            </w:r>
          </w:p>
        </w:tc>
        <w:tc>
          <w:tcPr>
            <w:tcW w:w="658" w:type="dxa"/>
            <w:tcBorders>
              <w:top w:val="nil"/>
              <w:left w:val="nil"/>
              <w:bottom w:val="nil"/>
              <w:right w:val="nil"/>
            </w:tcBorders>
          </w:tcPr>
          <w:p w14:paraId="5447F42A" w14:textId="5F841538" w:rsidR="00985F16" w:rsidRPr="004C78D8" w:rsidRDefault="0053435C" w:rsidP="00FB7C1F">
            <w:pPr>
              <w:jc w:val="left"/>
              <w:rPr>
                <w:sz w:val="18"/>
                <w:szCs w:val="18"/>
              </w:rPr>
            </w:pPr>
            <w:r w:rsidRPr="004C78D8">
              <w:rPr>
                <w:sz w:val="18"/>
                <w:szCs w:val="18"/>
              </w:rPr>
              <w:t>0.464</w:t>
            </w:r>
          </w:p>
        </w:tc>
        <w:tc>
          <w:tcPr>
            <w:tcW w:w="659" w:type="dxa"/>
            <w:tcBorders>
              <w:top w:val="nil"/>
              <w:left w:val="nil"/>
              <w:bottom w:val="nil"/>
            </w:tcBorders>
          </w:tcPr>
          <w:p w14:paraId="676EC1FA" w14:textId="1A6D4273" w:rsidR="00985F16" w:rsidRPr="004C78D8" w:rsidRDefault="0053435C" w:rsidP="00FB7C1F">
            <w:pPr>
              <w:jc w:val="left"/>
              <w:rPr>
                <w:sz w:val="18"/>
                <w:szCs w:val="18"/>
              </w:rPr>
            </w:pPr>
            <w:r w:rsidRPr="004C78D8">
              <w:rPr>
                <w:sz w:val="18"/>
                <w:szCs w:val="18"/>
              </w:rPr>
              <w:t>0.422</w:t>
            </w:r>
          </w:p>
        </w:tc>
      </w:tr>
      <w:tr w:rsidR="00985F16" w:rsidRPr="004C78D8" w14:paraId="7C8F88AA" w14:textId="77777777" w:rsidTr="00A1003D">
        <w:tc>
          <w:tcPr>
            <w:tcW w:w="518" w:type="dxa"/>
            <w:tcBorders>
              <w:top w:val="nil"/>
              <w:bottom w:val="nil"/>
            </w:tcBorders>
          </w:tcPr>
          <w:p w14:paraId="03620D72" w14:textId="65D31A30" w:rsidR="00985F16" w:rsidRPr="004C78D8" w:rsidRDefault="00985F16" w:rsidP="00FB7C1F">
            <w:pPr>
              <w:jc w:val="left"/>
              <w:rPr>
                <w:sz w:val="18"/>
                <w:szCs w:val="18"/>
              </w:rPr>
            </w:pPr>
            <w:r w:rsidRPr="004C78D8">
              <w:rPr>
                <w:sz w:val="18"/>
                <w:szCs w:val="18"/>
              </w:rPr>
              <w:t>[20]</w:t>
            </w:r>
          </w:p>
        </w:tc>
        <w:tc>
          <w:tcPr>
            <w:tcW w:w="2800" w:type="dxa"/>
            <w:tcBorders>
              <w:top w:val="nil"/>
              <w:bottom w:val="nil"/>
            </w:tcBorders>
          </w:tcPr>
          <w:p w14:paraId="63AA8F3A" w14:textId="6EA09673" w:rsidR="00985F16" w:rsidRPr="004C78D8" w:rsidRDefault="00985F16" w:rsidP="00FB7C1F">
            <w:pPr>
              <w:jc w:val="left"/>
              <w:rPr>
                <w:sz w:val="18"/>
                <w:szCs w:val="18"/>
              </w:rPr>
            </w:pPr>
            <w:r w:rsidRPr="004C78D8">
              <w:rPr>
                <w:sz w:val="18"/>
                <w:szCs w:val="18"/>
              </w:rPr>
              <w:t>RC proactive pathway only</w:t>
            </w:r>
          </w:p>
        </w:tc>
        <w:tc>
          <w:tcPr>
            <w:tcW w:w="1275" w:type="dxa"/>
            <w:tcBorders>
              <w:top w:val="nil"/>
              <w:bottom w:val="nil"/>
            </w:tcBorders>
          </w:tcPr>
          <w:p w14:paraId="2145827B" w14:textId="7C62B6C3" w:rsidR="00985F16" w:rsidRPr="004C78D8" w:rsidRDefault="00281A72" w:rsidP="00FB7C1F">
            <w:pPr>
              <w:jc w:val="left"/>
              <w:rPr>
                <w:sz w:val="18"/>
                <w:szCs w:val="18"/>
              </w:rPr>
            </w:pPr>
            <w:r w:rsidRPr="004C78D8">
              <w:rPr>
                <w:sz w:val="18"/>
                <w:szCs w:val="18"/>
              </w:rPr>
              <w:t>£53,413,879</w:t>
            </w:r>
          </w:p>
        </w:tc>
        <w:tc>
          <w:tcPr>
            <w:tcW w:w="772" w:type="dxa"/>
            <w:tcBorders>
              <w:top w:val="nil"/>
              <w:bottom w:val="nil"/>
            </w:tcBorders>
          </w:tcPr>
          <w:p w14:paraId="4D44F276" w14:textId="1422539D" w:rsidR="00985F16" w:rsidRPr="004C78D8" w:rsidRDefault="00281A72" w:rsidP="00FB7C1F">
            <w:pPr>
              <w:jc w:val="left"/>
              <w:rPr>
                <w:sz w:val="18"/>
                <w:szCs w:val="18"/>
              </w:rPr>
            </w:pPr>
            <w:r w:rsidRPr="004C78D8">
              <w:rPr>
                <w:sz w:val="18"/>
                <w:szCs w:val="18"/>
              </w:rPr>
              <w:t>0.209</w:t>
            </w:r>
          </w:p>
        </w:tc>
        <w:tc>
          <w:tcPr>
            <w:tcW w:w="773" w:type="dxa"/>
            <w:tcBorders>
              <w:top w:val="nil"/>
              <w:bottom w:val="nil"/>
            </w:tcBorders>
          </w:tcPr>
          <w:p w14:paraId="02AB7D6E" w14:textId="0D66B0E7" w:rsidR="00985F16" w:rsidRPr="004C78D8" w:rsidRDefault="00281A72" w:rsidP="00FB7C1F">
            <w:pPr>
              <w:jc w:val="left"/>
              <w:rPr>
                <w:sz w:val="18"/>
                <w:szCs w:val="18"/>
              </w:rPr>
            </w:pPr>
            <w:r w:rsidRPr="004C78D8">
              <w:rPr>
                <w:sz w:val="18"/>
                <w:szCs w:val="18"/>
              </w:rPr>
              <w:t>0.172</w:t>
            </w:r>
          </w:p>
        </w:tc>
        <w:tc>
          <w:tcPr>
            <w:tcW w:w="705" w:type="dxa"/>
            <w:tcBorders>
              <w:top w:val="nil"/>
              <w:bottom w:val="nil"/>
              <w:right w:val="nil"/>
            </w:tcBorders>
          </w:tcPr>
          <w:p w14:paraId="07F7A926" w14:textId="1F9581C7" w:rsidR="00985F16" w:rsidRPr="004C78D8" w:rsidRDefault="00281A72" w:rsidP="00FB7C1F">
            <w:pPr>
              <w:jc w:val="left"/>
              <w:rPr>
                <w:sz w:val="18"/>
                <w:szCs w:val="18"/>
              </w:rPr>
            </w:pPr>
            <w:r w:rsidRPr="004C78D8">
              <w:rPr>
                <w:sz w:val="18"/>
                <w:szCs w:val="18"/>
              </w:rPr>
              <w:t>0.175</w:t>
            </w:r>
          </w:p>
        </w:tc>
        <w:tc>
          <w:tcPr>
            <w:tcW w:w="748" w:type="dxa"/>
            <w:tcBorders>
              <w:top w:val="nil"/>
              <w:left w:val="nil"/>
              <w:bottom w:val="nil"/>
              <w:right w:val="nil"/>
            </w:tcBorders>
          </w:tcPr>
          <w:p w14:paraId="4320D586" w14:textId="521FFC43" w:rsidR="00985F16" w:rsidRPr="004C78D8" w:rsidRDefault="00281A72" w:rsidP="00FB7C1F">
            <w:pPr>
              <w:jc w:val="left"/>
              <w:rPr>
                <w:sz w:val="18"/>
                <w:szCs w:val="18"/>
              </w:rPr>
            </w:pPr>
            <w:r w:rsidRPr="004C78D8">
              <w:rPr>
                <w:sz w:val="18"/>
                <w:szCs w:val="18"/>
              </w:rPr>
              <w:t>0.163</w:t>
            </w:r>
          </w:p>
        </w:tc>
        <w:tc>
          <w:tcPr>
            <w:tcW w:w="658" w:type="dxa"/>
            <w:tcBorders>
              <w:top w:val="nil"/>
              <w:left w:val="nil"/>
              <w:bottom w:val="nil"/>
              <w:right w:val="nil"/>
            </w:tcBorders>
          </w:tcPr>
          <w:p w14:paraId="5DAC416C" w14:textId="43C6B0C5" w:rsidR="00985F16" w:rsidRPr="004C78D8" w:rsidRDefault="00281A72" w:rsidP="00FB7C1F">
            <w:pPr>
              <w:jc w:val="left"/>
              <w:rPr>
                <w:sz w:val="18"/>
                <w:szCs w:val="18"/>
              </w:rPr>
            </w:pPr>
            <w:r w:rsidRPr="004C78D8">
              <w:rPr>
                <w:sz w:val="18"/>
                <w:szCs w:val="18"/>
              </w:rPr>
              <w:t>0.254</w:t>
            </w:r>
          </w:p>
        </w:tc>
        <w:tc>
          <w:tcPr>
            <w:tcW w:w="659" w:type="dxa"/>
            <w:tcBorders>
              <w:top w:val="nil"/>
              <w:left w:val="nil"/>
              <w:bottom w:val="nil"/>
            </w:tcBorders>
          </w:tcPr>
          <w:p w14:paraId="3456AF4A" w14:textId="0DA255C0" w:rsidR="00985F16" w:rsidRPr="004C78D8" w:rsidRDefault="00281A72" w:rsidP="00FB7C1F">
            <w:pPr>
              <w:jc w:val="left"/>
              <w:rPr>
                <w:sz w:val="18"/>
                <w:szCs w:val="18"/>
              </w:rPr>
            </w:pPr>
            <w:r w:rsidRPr="004C78D8">
              <w:rPr>
                <w:sz w:val="18"/>
                <w:szCs w:val="18"/>
              </w:rPr>
              <w:t>0.249</w:t>
            </w:r>
          </w:p>
        </w:tc>
      </w:tr>
      <w:tr w:rsidR="00985F16" w:rsidRPr="004C78D8" w14:paraId="54AE80BC" w14:textId="77777777" w:rsidTr="00A1003D">
        <w:tc>
          <w:tcPr>
            <w:tcW w:w="518" w:type="dxa"/>
            <w:tcBorders>
              <w:top w:val="nil"/>
              <w:bottom w:val="nil"/>
            </w:tcBorders>
          </w:tcPr>
          <w:p w14:paraId="23B25CF5" w14:textId="21B8B303" w:rsidR="00985F16" w:rsidRPr="004C78D8" w:rsidRDefault="00985F16" w:rsidP="00FB7C1F">
            <w:pPr>
              <w:jc w:val="left"/>
              <w:rPr>
                <w:sz w:val="18"/>
                <w:szCs w:val="18"/>
              </w:rPr>
            </w:pPr>
            <w:r w:rsidRPr="004C78D8">
              <w:rPr>
                <w:sz w:val="18"/>
                <w:szCs w:val="18"/>
              </w:rPr>
              <w:t>[21]</w:t>
            </w:r>
          </w:p>
        </w:tc>
        <w:tc>
          <w:tcPr>
            <w:tcW w:w="2800" w:type="dxa"/>
            <w:tcBorders>
              <w:top w:val="nil"/>
              <w:bottom w:val="nil"/>
            </w:tcBorders>
          </w:tcPr>
          <w:p w14:paraId="0CA4F966" w14:textId="45B85008" w:rsidR="00985F16" w:rsidRPr="004C78D8" w:rsidRDefault="00985F16" w:rsidP="00FB7C1F">
            <w:pPr>
              <w:jc w:val="left"/>
              <w:rPr>
                <w:sz w:val="18"/>
                <w:szCs w:val="18"/>
              </w:rPr>
            </w:pPr>
            <w:r w:rsidRPr="004C78D8">
              <w:rPr>
                <w:sz w:val="18"/>
                <w:szCs w:val="18"/>
              </w:rPr>
              <w:t>RC reactive &amp; proactive pathways</w:t>
            </w:r>
          </w:p>
        </w:tc>
        <w:tc>
          <w:tcPr>
            <w:tcW w:w="1275" w:type="dxa"/>
            <w:tcBorders>
              <w:top w:val="nil"/>
              <w:bottom w:val="nil"/>
            </w:tcBorders>
          </w:tcPr>
          <w:p w14:paraId="30008217" w14:textId="50258919" w:rsidR="00985F16" w:rsidRPr="004C78D8" w:rsidRDefault="00CB4383" w:rsidP="00FB7C1F">
            <w:pPr>
              <w:jc w:val="left"/>
              <w:rPr>
                <w:sz w:val="18"/>
                <w:szCs w:val="18"/>
              </w:rPr>
            </w:pPr>
            <w:r w:rsidRPr="004C78D8">
              <w:rPr>
                <w:sz w:val="18"/>
                <w:szCs w:val="18"/>
              </w:rPr>
              <w:t>£54,209,118</w:t>
            </w:r>
          </w:p>
        </w:tc>
        <w:tc>
          <w:tcPr>
            <w:tcW w:w="772" w:type="dxa"/>
            <w:tcBorders>
              <w:top w:val="nil"/>
              <w:bottom w:val="nil"/>
            </w:tcBorders>
          </w:tcPr>
          <w:p w14:paraId="1E35702D" w14:textId="604FC77E" w:rsidR="00985F16" w:rsidRPr="004C78D8" w:rsidRDefault="00CB4383" w:rsidP="00FB7C1F">
            <w:pPr>
              <w:jc w:val="left"/>
              <w:rPr>
                <w:sz w:val="18"/>
                <w:szCs w:val="18"/>
              </w:rPr>
            </w:pPr>
            <w:r w:rsidRPr="004C78D8">
              <w:rPr>
                <w:sz w:val="18"/>
                <w:szCs w:val="18"/>
              </w:rPr>
              <w:t>0.243</w:t>
            </w:r>
          </w:p>
        </w:tc>
        <w:tc>
          <w:tcPr>
            <w:tcW w:w="773" w:type="dxa"/>
            <w:tcBorders>
              <w:top w:val="nil"/>
              <w:bottom w:val="nil"/>
            </w:tcBorders>
          </w:tcPr>
          <w:p w14:paraId="1E8B8380" w14:textId="26A4357A" w:rsidR="00985F16" w:rsidRPr="004C78D8" w:rsidRDefault="00CB4383" w:rsidP="00FB7C1F">
            <w:pPr>
              <w:jc w:val="left"/>
              <w:rPr>
                <w:sz w:val="18"/>
                <w:szCs w:val="18"/>
              </w:rPr>
            </w:pPr>
            <w:r w:rsidRPr="004C78D8">
              <w:rPr>
                <w:sz w:val="18"/>
                <w:szCs w:val="18"/>
              </w:rPr>
              <w:t>0.202</w:t>
            </w:r>
          </w:p>
        </w:tc>
        <w:tc>
          <w:tcPr>
            <w:tcW w:w="705" w:type="dxa"/>
            <w:tcBorders>
              <w:top w:val="nil"/>
              <w:bottom w:val="nil"/>
              <w:right w:val="nil"/>
            </w:tcBorders>
          </w:tcPr>
          <w:p w14:paraId="6940827D" w14:textId="33B92C88" w:rsidR="00985F16" w:rsidRPr="004C78D8" w:rsidRDefault="00CB4383" w:rsidP="00FB7C1F">
            <w:pPr>
              <w:jc w:val="left"/>
              <w:rPr>
                <w:sz w:val="18"/>
                <w:szCs w:val="18"/>
              </w:rPr>
            </w:pPr>
            <w:r w:rsidRPr="004C78D8">
              <w:rPr>
                <w:sz w:val="18"/>
                <w:szCs w:val="18"/>
              </w:rPr>
              <w:t>0.207</w:t>
            </w:r>
          </w:p>
        </w:tc>
        <w:tc>
          <w:tcPr>
            <w:tcW w:w="748" w:type="dxa"/>
            <w:tcBorders>
              <w:top w:val="nil"/>
              <w:left w:val="nil"/>
              <w:bottom w:val="nil"/>
              <w:right w:val="nil"/>
            </w:tcBorders>
          </w:tcPr>
          <w:p w14:paraId="6ADAF011" w14:textId="1F2D6F64" w:rsidR="00985F16" w:rsidRPr="004C78D8" w:rsidRDefault="00CB4383" w:rsidP="00FB7C1F">
            <w:pPr>
              <w:jc w:val="left"/>
              <w:rPr>
                <w:sz w:val="18"/>
                <w:szCs w:val="18"/>
              </w:rPr>
            </w:pPr>
            <w:r w:rsidRPr="004C78D8">
              <w:rPr>
                <w:sz w:val="18"/>
                <w:szCs w:val="18"/>
              </w:rPr>
              <w:t>0.193</w:t>
            </w:r>
          </w:p>
        </w:tc>
        <w:tc>
          <w:tcPr>
            <w:tcW w:w="658" w:type="dxa"/>
            <w:tcBorders>
              <w:top w:val="nil"/>
              <w:left w:val="nil"/>
              <w:bottom w:val="nil"/>
              <w:right w:val="nil"/>
            </w:tcBorders>
          </w:tcPr>
          <w:p w14:paraId="6C38A346" w14:textId="21FE3B0E" w:rsidR="00985F16" w:rsidRPr="004C78D8" w:rsidRDefault="00CB4383" w:rsidP="00FB7C1F">
            <w:pPr>
              <w:jc w:val="left"/>
              <w:rPr>
                <w:sz w:val="18"/>
                <w:szCs w:val="18"/>
              </w:rPr>
            </w:pPr>
            <w:r w:rsidRPr="004C78D8">
              <w:rPr>
                <w:sz w:val="18"/>
                <w:szCs w:val="18"/>
              </w:rPr>
              <w:t>0.268</w:t>
            </w:r>
          </w:p>
        </w:tc>
        <w:tc>
          <w:tcPr>
            <w:tcW w:w="659" w:type="dxa"/>
            <w:tcBorders>
              <w:top w:val="nil"/>
              <w:left w:val="nil"/>
              <w:bottom w:val="nil"/>
            </w:tcBorders>
          </w:tcPr>
          <w:p w14:paraId="53DCB23C" w14:textId="0861D3CA" w:rsidR="00985F16" w:rsidRPr="004C78D8" w:rsidRDefault="00CB4383" w:rsidP="00FB7C1F">
            <w:pPr>
              <w:jc w:val="left"/>
              <w:rPr>
                <w:sz w:val="18"/>
                <w:szCs w:val="18"/>
              </w:rPr>
            </w:pPr>
            <w:r w:rsidRPr="004C78D8">
              <w:rPr>
                <w:sz w:val="18"/>
                <w:szCs w:val="18"/>
              </w:rPr>
              <w:t>0.333</w:t>
            </w:r>
          </w:p>
        </w:tc>
      </w:tr>
      <w:tr w:rsidR="00985F16" w:rsidRPr="004C78D8" w14:paraId="3EA08B1F" w14:textId="77777777" w:rsidTr="00A1003D">
        <w:tc>
          <w:tcPr>
            <w:tcW w:w="518" w:type="dxa"/>
            <w:tcBorders>
              <w:top w:val="nil"/>
              <w:bottom w:val="nil"/>
            </w:tcBorders>
          </w:tcPr>
          <w:p w14:paraId="13D873F8" w14:textId="4AE329DB" w:rsidR="00985F16" w:rsidRPr="004C78D8" w:rsidRDefault="00985F16" w:rsidP="00FB7C1F">
            <w:pPr>
              <w:jc w:val="left"/>
              <w:rPr>
                <w:sz w:val="18"/>
                <w:szCs w:val="18"/>
              </w:rPr>
            </w:pPr>
            <w:r w:rsidRPr="004C78D8">
              <w:rPr>
                <w:sz w:val="18"/>
                <w:szCs w:val="18"/>
              </w:rPr>
              <w:t>[22]</w:t>
            </w:r>
          </w:p>
        </w:tc>
        <w:tc>
          <w:tcPr>
            <w:tcW w:w="2800" w:type="dxa"/>
            <w:tcBorders>
              <w:top w:val="nil"/>
              <w:bottom w:val="nil"/>
            </w:tcBorders>
          </w:tcPr>
          <w:p w14:paraId="71E5B25B" w14:textId="07C9A66E" w:rsidR="00985F16" w:rsidRPr="004C78D8" w:rsidRDefault="00985F16" w:rsidP="00FB7C1F">
            <w:pPr>
              <w:jc w:val="left"/>
              <w:rPr>
                <w:sz w:val="18"/>
                <w:szCs w:val="18"/>
              </w:rPr>
            </w:pPr>
            <w:r w:rsidRPr="004C78D8">
              <w:rPr>
                <w:sz w:val="18"/>
                <w:szCs w:val="18"/>
              </w:rPr>
              <w:t>RC</w:t>
            </w:r>
          </w:p>
        </w:tc>
        <w:tc>
          <w:tcPr>
            <w:tcW w:w="1275" w:type="dxa"/>
            <w:tcBorders>
              <w:top w:val="nil"/>
              <w:bottom w:val="nil"/>
            </w:tcBorders>
          </w:tcPr>
          <w:p w14:paraId="13F82EEB" w14:textId="7073103F" w:rsidR="00985F16" w:rsidRPr="004C78D8" w:rsidRDefault="00985F16" w:rsidP="00FB7C1F">
            <w:pPr>
              <w:jc w:val="left"/>
              <w:rPr>
                <w:sz w:val="18"/>
                <w:szCs w:val="18"/>
              </w:rPr>
            </w:pPr>
            <w:r w:rsidRPr="004C78D8">
              <w:rPr>
                <w:sz w:val="18"/>
                <w:szCs w:val="18"/>
              </w:rPr>
              <w:t>£63,508,594</w:t>
            </w:r>
          </w:p>
        </w:tc>
        <w:tc>
          <w:tcPr>
            <w:tcW w:w="772" w:type="dxa"/>
            <w:tcBorders>
              <w:top w:val="nil"/>
              <w:bottom w:val="nil"/>
            </w:tcBorders>
          </w:tcPr>
          <w:p w14:paraId="135922C7" w14:textId="4918046B" w:rsidR="00985F16" w:rsidRPr="004C78D8" w:rsidRDefault="00985F16" w:rsidP="00FB7C1F">
            <w:pPr>
              <w:jc w:val="left"/>
              <w:rPr>
                <w:sz w:val="18"/>
                <w:szCs w:val="18"/>
              </w:rPr>
            </w:pPr>
            <w:r w:rsidRPr="004C78D8">
              <w:rPr>
                <w:sz w:val="18"/>
                <w:szCs w:val="18"/>
              </w:rPr>
              <w:t>0.237</w:t>
            </w:r>
          </w:p>
        </w:tc>
        <w:tc>
          <w:tcPr>
            <w:tcW w:w="773" w:type="dxa"/>
            <w:tcBorders>
              <w:top w:val="nil"/>
              <w:bottom w:val="nil"/>
            </w:tcBorders>
          </w:tcPr>
          <w:p w14:paraId="332CA98A" w14:textId="49CACAEB" w:rsidR="00985F16" w:rsidRPr="004C78D8" w:rsidRDefault="00AC4B15" w:rsidP="00FB7C1F">
            <w:pPr>
              <w:jc w:val="left"/>
              <w:rPr>
                <w:sz w:val="18"/>
                <w:szCs w:val="18"/>
              </w:rPr>
            </w:pPr>
            <w:r w:rsidRPr="004C78D8">
              <w:rPr>
                <w:sz w:val="18"/>
                <w:szCs w:val="18"/>
              </w:rPr>
              <w:t>0.195</w:t>
            </w:r>
          </w:p>
        </w:tc>
        <w:tc>
          <w:tcPr>
            <w:tcW w:w="705" w:type="dxa"/>
            <w:tcBorders>
              <w:top w:val="nil"/>
              <w:bottom w:val="nil"/>
              <w:right w:val="nil"/>
            </w:tcBorders>
          </w:tcPr>
          <w:p w14:paraId="5370E780" w14:textId="6BE0416C" w:rsidR="00985F16" w:rsidRPr="004C78D8" w:rsidRDefault="00985F16" w:rsidP="00FB7C1F">
            <w:pPr>
              <w:jc w:val="left"/>
              <w:rPr>
                <w:sz w:val="18"/>
                <w:szCs w:val="18"/>
              </w:rPr>
            </w:pPr>
            <w:r w:rsidRPr="004C78D8">
              <w:rPr>
                <w:sz w:val="18"/>
                <w:szCs w:val="18"/>
              </w:rPr>
              <w:t>0.175</w:t>
            </w:r>
          </w:p>
        </w:tc>
        <w:tc>
          <w:tcPr>
            <w:tcW w:w="748" w:type="dxa"/>
            <w:tcBorders>
              <w:top w:val="nil"/>
              <w:left w:val="nil"/>
              <w:bottom w:val="nil"/>
              <w:right w:val="nil"/>
            </w:tcBorders>
          </w:tcPr>
          <w:p w14:paraId="2D6E0792" w14:textId="04AFB687" w:rsidR="00985F16" w:rsidRPr="004C78D8" w:rsidRDefault="00985F16" w:rsidP="00FB7C1F">
            <w:pPr>
              <w:jc w:val="left"/>
              <w:rPr>
                <w:sz w:val="18"/>
                <w:szCs w:val="18"/>
              </w:rPr>
            </w:pPr>
            <w:r w:rsidRPr="004C78D8">
              <w:rPr>
                <w:sz w:val="18"/>
                <w:szCs w:val="18"/>
              </w:rPr>
              <w:t>0.233</w:t>
            </w:r>
          </w:p>
        </w:tc>
        <w:tc>
          <w:tcPr>
            <w:tcW w:w="658" w:type="dxa"/>
            <w:tcBorders>
              <w:top w:val="nil"/>
              <w:left w:val="nil"/>
              <w:bottom w:val="nil"/>
              <w:right w:val="nil"/>
            </w:tcBorders>
          </w:tcPr>
          <w:p w14:paraId="71253F5B" w14:textId="2F49F028" w:rsidR="00985F16" w:rsidRPr="004C78D8" w:rsidRDefault="00985F16" w:rsidP="00FB7C1F">
            <w:pPr>
              <w:jc w:val="left"/>
              <w:rPr>
                <w:sz w:val="18"/>
                <w:szCs w:val="18"/>
              </w:rPr>
            </w:pPr>
            <w:r w:rsidRPr="004C78D8">
              <w:rPr>
                <w:sz w:val="18"/>
                <w:szCs w:val="18"/>
              </w:rPr>
              <w:t>0.268</w:t>
            </w:r>
          </w:p>
        </w:tc>
        <w:tc>
          <w:tcPr>
            <w:tcW w:w="659" w:type="dxa"/>
            <w:tcBorders>
              <w:top w:val="nil"/>
              <w:left w:val="nil"/>
              <w:bottom w:val="nil"/>
            </w:tcBorders>
          </w:tcPr>
          <w:p w14:paraId="3CFC85A9" w14:textId="74528131" w:rsidR="00985F16" w:rsidRPr="004C78D8" w:rsidRDefault="00985F16" w:rsidP="00FB7C1F">
            <w:pPr>
              <w:jc w:val="left"/>
              <w:rPr>
                <w:sz w:val="18"/>
                <w:szCs w:val="18"/>
              </w:rPr>
            </w:pPr>
            <w:r w:rsidRPr="004C78D8">
              <w:rPr>
                <w:sz w:val="18"/>
                <w:szCs w:val="18"/>
              </w:rPr>
              <w:t>0.315</w:t>
            </w:r>
          </w:p>
        </w:tc>
      </w:tr>
      <w:tr w:rsidR="00985F16" w:rsidRPr="004C78D8" w14:paraId="7364EFD7" w14:textId="77777777" w:rsidTr="00A1003D">
        <w:tc>
          <w:tcPr>
            <w:tcW w:w="518" w:type="dxa"/>
            <w:tcBorders>
              <w:top w:val="nil"/>
            </w:tcBorders>
          </w:tcPr>
          <w:p w14:paraId="1AB0F9BF" w14:textId="5E0284B4" w:rsidR="00985F16" w:rsidRPr="004C78D8" w:rsidRDefault="00985F16" w:rsidP="00FB7C1F">
            <w:pPr>
              <w:jc w:val="left"/>
              <w:rPr>
                <w:sz w:val="18"/>
                <w:szCs w:val="18"/>
              </w:rPr>
            </w:pPr>
            <w:r w:rsidRPr="004C78D8">
              <w:rPr>
                <w:sz w:val="18"/>
                <w:szCs w:val="18"/>
              </w:rPr>
              <w:t>[23]</w:t>
            </w:r>
          </w:p>
        </w:tc>
        <w:tc>
          <w:tcPr>
            <w:tcW w:w="2800" w:type="dxa"/>
            <w:tcBorders>
              <w:top w:val="nil"/>
            </w:tcBorders>
          </w:tcPr>
          <w:p w14:paraId="1269D281" w14:textId="21A9D6D1" w:rsidR="00985F16" w:rsidRPr="004C78D8" w:rsidRDefault="00985F16" w:rsidP="00FB7C1F">
            <w:pPr>
              <w:jc w:val="left"/>
              <w:rPr>
                <w:sz w:val="18"/>
                <w:szCs w:val="18"/>
              </w:rPr>
            </w:pPr>
            <w:r w:rsidRPr="004C78D8">
              <w:rPr>
                <w:sz w:val="18"/>
                <w:szCs w:val="18"/>
              </w:rPr>
              <w:t>RC proactive &amp; SR pathways</w:t>
            </w:r>
          </w:p>
        </w:tc>
        <w:tc>
          <w:tcPr>
            <w:tcW w:w="1275" w:type="dxa"/>
            <w:tcBorders>
              <w:top w:val="nil"/>
            </w:tcBorders>
          </w:tcPr>
          <w:p w14:paraId="00BD6899" w14:textId="601C6F3B" w:rsidR="00985F16" w:rsidRPr="004C78D8" w:rsidRDefault="00D06894" w:rsidP="00FB7C1F">
            <w:pPr>
              <w:jc w:val="left"/>
              <w:rPr>
                <w:sz w:val="18"/>
                <w:szCs w:val="18"/>
              </w:rPr>
            </w:pPr>
            <w:r w:rsidRPr="004C78D8">
              <w:rPr>
                <w:sz w:val="18"/>
                <w:szCs w:val="18"/>
              </w:rPr>
              <w:t>£62,923,292</w:t>
            </w:r>
          </w:p>
        </w:tc>
        <w:tc>
          <w:tcPr>
            <w:tcW w:w="772" w:type="dxa"/>
            <w:tcBorders>
              <w:top w:val="nil"/>
            </w:tcBorders>
          </w:tcPr>
          <w:p w14:paraId="2A27E670" w14:textId="09183CA8" w:rsidR="00985F16" w:rsidRPr="004C78D8" w:rsidRDefault="00D06894" w:rsidP="00FB7C1F">
            <w:pPr>
              <w:jc w:val="left"/>
              <w:rPr>
                <w:sz w:val="18"/>
                <w:szCs w:val="18"/>
              </w:rPr>
            </w:pPr>
            <w:r w:rsidRPr="004C78D8">
              <w:rPr>
                <w:sz w:val="18"/>
                <w:szCs w:val="18"/>
              </w:rPr>
              <w:t>0.207</w:t>
            </w:r>
          </w:p>
        </w:tc>
        <w:tc>
          <w:tcPr>
            <w:tcW w:w="773" w:type="dxa"/>
            <w:tcBorders>
              <w:top w:val="nil"/>
            </w:tcBorders>
          </w:tcPr>
          <w:p w14:paraId="7D625EDD" w14:textId="69E5147F" w:rsidR="00985F16" w:rsidRPr="004C78D8" w:rsidRDefault="00D06894" w:rsidP="00FB7C1F">
            <w:pPr>
              <w:jc w:val="left"/>
              <w:rPr>
                <w:sz w:val="18"/>
                <w:szCs w:val="18"/>
              </w:rPr>
            </w:pPr>
            <w:r w:rsidRPr="004C78D8">
              <w:rPr>
                <w:sz w:val="18"/>
                <w:szCs w:val="18"/>
              </w:rPr>
              <w:t>0.178</w:t>
            </w:r>
          </w:p>
        </w:tc>
        <w:tc>
          <w:tcPr>
            <w:tcW w:w="705" w:type="dxa"/>
            <w:tcBorders>
              <w:top w:val="nil"/>
              <w:right w:val="nil"/>
            </w:tcBorders>
          </w:tcPr>
          <w:p w14:paraId="41DE47B6" w14:textId="31315919" w:rsidR="00985F16" w:rsidRPr="004C78D8" w:rsidRDefault="00D06894" w:rsidP="00FB7C1F">
            <w:pPr>
              <w:jc w:val="left"/>
              <w:rPr>
                <w:sz w:val="18"/>
                <w:szCs w:val="18"/>
              </w:rPr>
            </w:pPr>
            <w:r w:rsidRPr="004C78D8">
              <w:rPr>
                <w:sz w:val="18"/>
                <w:szCs w:val="18"/>
              </w:rPr>
              <w:t>0.180</w:t>
            </w:r>
          </w:p>
        </w:tc>
        <w:tc>
          <w:tcPr>
            <w:tcW w:w="748" w:type="dxa"/>
            <w:tcBorders>
              <w:top w:val="nil"/>
              <w:left w:val="nil"/>
              <w:right w:val="nil"/>
            </w:tcBorders>
          </w:tcPr>
          <w:p w14:paraId="0771E710" w14:textId="0E596408" w:rsidR="00985F16" w:rsidRPr="004C78D8" w:rsidRDefault="00D06894" w:rsidP="00FB7C1F">
            <w:pPr>
              <w:jc w:val="left"/>
              <w:rPr>
                <w:sz w:val="18"/>
                <w:szCs w:val="18"/>
              </w:rPr>
            </w:pPr>
            <w:r w:rsidRPr="004C78D8">
              <w:rPr>
                <w:sz w:val="18"/>
                <w:szCs w:val="18"/>
              </w:rPr>
              <w:t>0.179</w:t>
            </w:r>
          </w:p>
        </w:tc>
        <w:tc>
          <w:tcPr>
            <w:tcW w:w="658" w:type="dxa"/>
            <w:tcBorders>
              <w:top w:val="nil"/>
              <w:left w:val="nil"/>
              <w:right w:val="nil"/>
            </w:tcBorders>
          </w:tcPr>
          <w:p w14:paraId="37BA1167" w14:textId="2F4A7B25" w:rsidR="00985F16" w:rsidRPr="004C78D8" w:rsidRDefault="00D06894" w:rsidP="00FB7C1F">
            <w:pPr>
              <w:jc w:val="left"/>
              <w:rPr>
                <w:sz w:val="18"/>
                <w:szCs w:val="18"/>
              </w:rPr>
            </w:pPr>
            <w:r w:rsidRPr="004C78D8">
              <w:rPr>
                <w:sz w:val="18"/>
                <w:szCs w:val="18"/>
              </w:rPr>
              <w:t>0.247</w:t>
            </w:r>
          </w:p>
        </w:tc>
        <w:tc>
          <w:tcPr>
            <w:tcW w:w="659" w:type="dxa"/>
            <w:tcBorders>
              <w:top w:val="nil"/>
              <w:left w:val="nil"/>
            </w:tcBorders>
          </w:tcPr>
          <w:p w14:paraId="783A65EB" w14:textId="1A9BC945" w:rsidR="00985F16" w:rsidRPr="004C78D8" w:rsidRDefault="00D06894" w:rsidP="00FB7C1F">
            <w:pPr>
              <w:jc w:val="left"/>
              <w:rPr>
                <w:sz w:val="18"/>
                <w:szCs w:val="18"/>
              </w:rPr>
            </w:pPr>
            <w:r w:rsidRPr="004C78D8">
              <w:rPr>
                <w:sz w:val="18"/>
                <w:szCs w:val="18"/>
              </w:rPr>
              <w:t>0.221</w:t>
            </w:r>
          </w:p>
        </w:tc>
      </w:tr>
      <w:tr w:rsidR="00985F16" w:rsidRPr="004C78D8" w14:paraId="240DC9C7" w14:textId="77777777" w:rsidTr="00A1003D">
        <w:tc>
          <w:tcPr>
            <w:tcW w:w="8908" w:type="dxa"/>
            <w:gridSpan w:val="9"/>
          </w:tcPr>
          <w:p w14:paraId="49C661ED" w14:textId="4A84EE66" w:rsidR="00985F16" w:rsidRPr="004C78D8" w:rsidRDefault="00985F16" w:rsidP="00FB7C1F">
            <w:pPr>
              <w:rPr>
                <w:sz w:val="18"/>
                <w:szCs w:val="18"/>
              </w:rPr>
            </w:pPr>
            <w:r w:rsidRPr="004C78D8">
              <w:rPr>
                <w:b/>
                <w:bCs/>
                <w:sz w:val="18"/>
                <w:szCs w:val="18"/>
              </w:rPr>
              <w:t>Abbreviation:</w:t>
            </w:r>
            <w:r w:rsidRPr="004C78D8">
              <w:rPr>
                <w:sz w:val="18"/>
                <w:szCs w:val="18"/>
              </w:rPr>
              <w:t xml:space="preserve"> AC: all-cause; CRC(#): constrained recommended care scenario (#); FH: falls hazard; FRS: falls risk screening; PA: physical activity; PS: public sector; RC: recommended care; ROI: return on investment; SES: socioeconomic status; SR: self-referred; UC: usual care.</w:t>
            </w:r>
          </w:p>
          <w:p w14:paraId="62417586" w14:textId="62D48ACC" w:rsidR="00985F16" w:rsidRPr="004C78D8" w:rsidRDefault="00985F16" w:rsidP="00FB7C1F">
            <w:pPr>
              <w:jc w:val="left"/>
              <w:rPr>
                <w:sz w:val="18"/>
                <w:szCs w:val="18"/>
              </w:rPr>
            </w:pPr>
            <w:r w:rsidRPr="004C78D8">
              <w:rPr>
                <w:sz w:val="18"/>
                <w:szCs w:val="18"/>
                <w:vertAlign w:val="superscript"/>
              </w:rPr>
              <w:t>1</w:t>
            </w:r>
            <w:r w:rsidRPr="004C78D8">
              <w:rPr>
                <w:sz w:val="18"/>
                <w:szCs w:val="18"/>
              </w:rPr>
              <w:t xml:space="preserve"> Assigned in Table </w:t>
            </w:r>
            <w:r w:rsidR="00CE31D7" w:rsidRPr="004C78D8">
              <w:rPr>
                <w:sz w:val="18"/>
                <w:szCs w:val="18"/>
              </w:rPr>
              <w:t>6</w:t>
            </w:r>
            <w:r w:rsidRPr="004C78D8">
              <w:rPr>
                <w:sz w:val="18"/>
                <w:szCs w:val="18"/>
              </w:rPr>
              <w:t>.</w:t>
            </w:r>
            <w:r w:rsidR="00CE31D7" w:rsidRPr="004C78D8">
              <w:rPr>
                <w:sz w:val="18"/>
                <w:szCs w:val="18"/>
              </w:rPr>
              <w:t>18</w:t>
            </w:r>
            <w:r w:rsidRPr="004C78D8">
              <w:rPr>
                <w:sz w:val="18"/>
                <w:szCs w:val="18"/>
              </w:rPr>
              <w:t xml:space="preserve"> according to increasing incremental public sector all-cause cost.</w:t>
            </w:r>
          </w:p>
          <w:p w14:paraId="3E281DD8" w14:textId="0C0289C0" w:rsidR="00CA7FB8" w:rsidRPr="004C78D8" w:rsidRDefault="00CA7FB8" w:rsidP="00FB7C1F">
            <w:pPr>
              <w:jc w:val="left"/>
              <w:rPr>
                <w:sz w:val="18"/>
                <w:szCs w:val="18"/>
              </w:rPr>
            </w:pPr>
            <w:r w:rsidRPr="004C78D8">
              <w:rPr>
                <w:sz w:val="18"/>
                <w:szCs w:val="18"/>
                <w:vertAlign w:val="superscript"/>
              </w:rPr>
              <w:t>2</w:t>
            </w:r>
            <w:r w:rsidRPr="004C78D8">
              <w:rPr>
                <w:sz w:val="18"/>
                <w:szCs w:val="18"/>
              </w:rPr>
              <w:t xml:space="preserve"> All outcomes were averaged across 20 model trial runs with different random number seeds.</w:t>
            </w:r>
          </w:p>
        </w:tc>
      </w:tr>
    </w:tbl>
    <w:p w14:paraId="6103F79E" w14:textId="7FE59308" w:rsidR="00D314F0" w:rsidRPr="004C78D8" w:rsidRDefault="00D314F0" w:rsidP="00FB7C1F"/>
    <w:p w14:paraId="408B4D99" w14:textId="0C04E19A" w:rsidR="004D72BC" w:rsidRPr="004C78D8" w:rsidRDefault="00DE41F8" w:rsidP="00FB7C1F">
      <w:r w:rsidRPr="004C78D8">
        <w:t>Strategy [1] of PA promotion targeting the 3</w:t>
      </w:r>
      <w:r w:rsidRPr="004C78D8">
        <w:rPr>
          <w:vertAlign w:val="superscript"/>
        </w:rPr>
        <w:t>rd</w:t>
      </w:r>
      <w:r w:rsidRPr="004C78D8">
        <w:t xml:space="preserve"> and 4</w:t>
      </w:r>
      <w:r w:rsidRPr="004C78D8">
        <w:rPr>
          <w:vertAlign w:val="superscript"/>
        </w:rPr>
        <w:t>th</w:t>
      </w:r>
      <w:r w:rsidRPr="004C78D8">
        <w:t xml:space="preserve"> SES quartiles was the only strategy generating </w:t>
      </w:r>
      <w:r w:rsidR="00254837" w:rsidRPr="004C78D8">
        <w:t>a break-even</w:t>
      </w:r>
      <w:r w:rsidRPr="004C78D8">
        <w:t xml:space="preserve"> return</w:t>
      </w:r>
      <w:r w:rsidR="00254837" w:rsidRPr="004C78D8">
        <w:t xml:space="preserve"> (ROI above one)</w:t>
      </w:r>
      <w:r w:rsidRPr="004C78D8">
        <w:t xml:space="preserve">. There was a clear pro-poor gradient to the </w:t>
      </w:r>
      <w:r w:rsidR="004212D1" w:rsidRPr="004C78D8">
        <w:t xml:space="preserve">strategy’s </w:t>
      </w:r>
      <w:r w:rsidRPr="004C78D8">
        <w:t>ROIs, with those for the 1</w:t>
      </w:r>
      <w:r w:rsidRPr="004C78D8">
        <w:rPr>
          <w:vertAlign w:val="superscript"/>
        </w:rPr>
        <w:t>st</w:t>
      </w:r>
      <w:r w:rsidRPr="004C78D8">
        <w:t xml:space="preserve"> and 2</w:t>
      </w:r>
      <w:r w:rsidRPr="004C78D8">
        <w:rPr>
          <w:vertAlign w:val="superscript"/>
        </w:rPr>
        <w:t>nd</w:t>
      </w:r>
      <w:r w:rsidRPr="004C78D8">
        <w:t xml:space="preserve"> SES quartiles being negative due to their incurring the opportunity cost of PA promotion </w:t>
      </w:r>
      <w:r w:rsidR="00254837" w:rsidRPr="004C78D8">
        <w:t xml:space="preserve">while deriving no </w:t>
      </w:r>
      <w:r w:rsidR="004212D1" w:rsidRPr="004C78D8">
        <w:t>efficacy</w:t>
      </w:r>
      <w:r w:rsidR="00254837" w:rsidRPr="004C78D8">
        <w:t xml:space="preserve">. However, </w:t>
      </w:r>
      <w:r w:rsidR="00876B7C" w:rsidRPr="004C78D8">
        <w:t>strategy [1]’s</w:t>
      </w:r>
      <w:r w:rsidR="00254837" w:rsidRPr="004C78D8">
        <w:t xml:space="preserve"> return worsens over longer time horizons: the overall ROI considering all-cause cost is 0.841 for the 20-year horizon and 0.391 for 40-year. </w:t>
      </w:r>
      <w:r w:rsidR="00617E90" w:rsidRPr="004C78D8">
        <w:t xml:space="preserve">This can be attributed to </w:t>
      </w:r>
      <w:r w:rsidR="001676B4" w:rsidRPr="004C78D8">
        <w:t>the greater longevity increase</w:t>
      </w:r>
      <w:r w:rsidR="004212D1" w:rsidRPr="004C78D8">
        <w:t>s</w:t>
      </w:r>
      <w:r w:rsidR="001676B4" w:rsidRPr="004C78D8">
        <w:t xml:space="preserve"> under longer time horizons which </w:t>
      </w:r>
      <w:r w:rsidR="004212D1" w:rsidRPr="004C78D8">
        <w:t xml:space="preserve">in turn accrue </w:t>
      </w:r>
      <w:r w:rsidR="001676B4" w:rsidRPr="004C78D8">
        <w:t xml:space="preserve">greater </w:t>
      </w:r>
      <w:r w:rsidR="00617E90" w:rsidRPr="004C78D8">
        <w:t>comorbidity care costs</w:t>
      </w:r>
      <w:r w:rsidR="001676B4" w:rsidRPr="004C78D8">
        <w:t xml:space="preserve">. </w:t>
      </w:r>
      <w:r w:rsidR="004212D1" w:rsidRPr="004C78D8">
        <w:t>U</w:t>
      </w:r>
      <w:r w:rsidR="001676B4" w:rsidRPr="004C78D8">
        <w:t xml:space="preserve">nder the 40-year horizon, </w:t>
      </w:r>
      <w:r w:rsidR="004212D1" w:rsidRPr="004C78D8">
        <w:t xml:space="preserve">strategy [1] increased </w:t>
      </w:r>
      <w:r w:rsidR="001676B4" w:rsidRPr="004C78D8">
        <w:t xml:space="preserve">the average </w:t>
      </w:r>
      <w:r w:rsidR="00AC6D6C" w:rsidRPr="004C78D8">
        <w:t xml:space="preserve">life expectancy </w:t>
      </w:r>
      <w:r w:rsidR="001676B4" w:rsidRPr="004C78D8">
        <w:t xml:space="preserve">for those aged 65 at baseline </w:t>
      </w:r>
      <w:r w:rsidR="00AC6D6C" w:rsidRPr="004C78D8">
        <w:t xml:space="preserve">by 0.1 years and all-cause comorbidity care cost by £180 per person </w:t>
      </w:r>
      <w:r w:rsidR="001676B4" w:rsidRPr="004C78D8">
        <w:t xml:space="preserve">(total </w:t>
      </w:r>
      <w:r w:rsidR="00AC6D6C" w:rsidRPr="004C78D8">
        <w:t>£1.03 million</w:t>
      </w:r>
      <w:r w:rsidR="001676B4" w:rsidRPr="004C78D8">
        <w:t>).</w:t>
      </w:r>
      <w:r w:rsidR="00AC6D6C" w:rsidRPr="004C78D8">
        <w:t xml:space="preserve"> </w:t>
      </w:r>
      <w:r w:rsidR="001676B4" w:rsidRPr="004C78D8">
        <w:t xml:space="preserve">The relatively small intervention cost </w:t>
      </w:r>
      <w:r w:rsidR="004212D1" w:rsidRPr="004C78D8">
        <w:t>of the</w:t>
      </w:r>
      <w:r w:rsidR="001676B4" w:rsidRPr="004C78D8">
        <w:t xml:space="preserve"> strategy</w:t>
      </w:r>
      <w:r w:rsidR="004212D1" w:rsidRPr="004C78D8">
        <w:t xml:space="preserve"> </w:t>
      </w:r>
      <w:r w:rsidR="001676B4" w:rsidRPr="004C78D8">
        <w:t xml:space="preserve">– £3.9 million under the 40-year horizon, compared to £397.0 million for RC – makes </w:t>
      </w:r>
      <w:r w:rsidR="004212D1" w:rsidRPr="004C78D8">
        <w:t>its</w:t>
      </w:r>
      <w:r w:rsidR="001676B4" w:rsidRPr="004C78D8">
        <w:t xml:space="preserve"> ROI</w:t>
      </w:r>
      <w:r w:rsidR="00617E90" w:rsidRPr="004C78D8">
        <w:t xml:space="preserve"> highly sensitive to</w:t>
      </w:r>
      <w:r w:rsidR="009677C5" w:rsidRPr="004C78D8">
        <w:t xml:space="preserve"> </w:t>
      </w:r>
      <w:r w:rsidR="00617E90" w:rsidRPr="004C78D8">
        <w:t>change</w:t>
      </w:r>
      <w:r w:rsidR="004212D1" w:rsidRPr="004C78D8">
        <w:t>s</w:t>
      </w:r>
      <w:r w:rsidR="00617E90" w:rsidRPr="004C78D8">
        <w:t xml:space="preserve"> </w:t>
      </w:r>
      <w:r w:rsidR="00876B7C" w:rsidRPr="004C78D8">
        <w:t>in</w:t>
      </w:r>
      <w:r w:rsidR="00617E90" w:rsidRPr="004C78D8">
        <w:t xml:space="preserve"> </w:t>
      </w:r>
      <w:r w:rsidR="001676B4" w:rsidRPr="004C78D8">
        <w:t>comorbidity care</w:t>
      </w:r>
      <w:r w:rsidR="00617E90" w:rsidRPr="004C78D8">
        <w:t xml:space="preserve"> costs.</w:t>
      </w:r>
      <w:r w:rsidR="00AC4B15" w:rsidRPr="004C78D8">
        <w:t xml:space="preserve"> </w:t>
      </w:r>
      <w:r w:rsidR="004D72BC" w:rsidRPr="004C78D8">
        <w:t>T</w:t>
      </w:r>
      <w:r w:rsidR="00876B7C" w:rsidRPr="004C78D8">
        <w:t xml:space="preserve">his </w:t>
      </w:r>
      <w:r w:rsidR="009677C5" w:rsidRPr="004C78D8">
        <w:t xml:space="preserve">ROI </w:t>
      </w:r>
      <w:r w:rsidR="00876B7C" w:rsidRPr="004C78D8">
        <w:t>trajectory is significant for environmental interventions</w:t>
      </w:r>
      <w:r w:rsidR="004D72BC" w:rsidRPr="004C78D8">
        <w:t xml:space="preserve"> since they would typically </w:t>
      </w:r>
      <w:r w:rsidR="00597987" w:rsidRPr="004C78D8">
        <w:t>plan</w:t>
      </w:r>
      <w:r w:rsidR="004D72BC" w:rsidRPr="004C78D8">
        <w:t xml:space="preserve"> over a longer time horizon </w:t>
      </w:r>
      <w:r w:rsidR="009677C5" w:rsidRPr="004C78D8">
        <w:t>to accommodate</w:t>
      </w:r>
      <w:r w:rsidR="004D72BC" w:rsidRPr="004C78D8">
        <w:t xml:space="preserve"> long-term environment</w:t>
      </w:r>
      <w:r w:rsidR="009677C5" w:rsidRPr="004C78D8">
        <w:t>al changes</w:t>
      </w:r>
      <w:r w:rsidR="004D72BC" w:rsidRPr="004C78D8">
        <w:t>.</w:t>
      </w:r>
    </w:p>
    <w:p w14:paraId="2470DC82" w14:textId="12545D4E" w:rsidR="005D21E3" w:rsidRPr="004C78D8" w:rsidRDefault="00823D9B" w:rsidP="00FB7C1F">
      <w:r w:rsidRPr="004C78D8">
        <w:t>S</w:t>
      </w:r>
      <w:r w:rsidR="00935625" w:rsidRPr="004C78D8">
        <w:t>trateg</w:t>
      </w:r>
      <w:r w:rsidRPr="004C78D8">
        <w:t>ies</w:t>
      </w:r>
      <w:r w:rsidR="00935625" w:rsidRPr="004C78D8">
        <w:t xml:space="preserve"> [2]</w:t>
      </w:r>
      <w:r w:rsidRPr="004C78D8">
        <w:t xml:space="preserve"> and [3]</w:t>
      </w:r>
      <w:r w:rsidR="00935625" w:rsidRPr="004C78D8">
        <w:t xml:space="preserve"> produced </w:t>
      </w:r>
      <w:r w:rsidRPr="004C78D8">
        <w:t>break-even</w:t>
      </w:r>
      <w:r w:rsidR="00935625" w:rsidRPr="004C78D8">
        <w:t xml:space="preserve"> returns for 3</w:t>
      </w:r>
      <w:r w:rsidR="00935625" w:rsidRPr="004C78D8">
        <w:rPr>
          <w:vertAlign w:val="superscript"/>
        </w:rPr>
        <w:t>rd</w:t>
      </w:r>
      <w:r w:rsidR="00935625" w:rsidRPr="004C78D8">
        <w:t xml:space="preserve"> and/or 4</w:t>
      </w:r>
      <w:r w:rsidR="00935625" w:rsidRPr="004C78D8">
        <w:rPr>
          <w:vertAlign w:val="superscript"/>
        </w:rPr>
        <w:t>th</w:t>
      </w:r>
      <w:r w:rsidR="00935625" w:rsidRPr="004C78D8">
        <w:t xml:space="preserve"> SES quartiles but not so for the whole population</w:t>
      </w:r>
      <w:r w:rsidR="00480B45" w:rsidRPr="004C78D8">
        <w:t>.</w:t>
      </w:r>
      <w:r w:rsidRPr="004C78D8">
        <w:t xml:space="preserve"> </w:t>
      </w:r>
      <w:r w:rsidR="00935625" w:rsidRPr="004C78D8">
        <w:t>Th</w:t>
      </w:r>
      <w:r w:rsidRPr="004C78D8">
        <w:t>ese findings</w:t>
      </w:r>
      <w:r w:rsidR="00935625" w:rsidRPr="004C78D8">
        <w:t xml:space="preserve"> could </w:t>
      </w:r>
      <w:r w:rsidR="00744197" w:rsidRPr="004C78D8">
        <w:t>motivate</w:t>
      </w:r>
      <w:r w:rsidR="00935625" w:rsidRPr="004C78D8">
        <w:t xml:space="preserve"> SES-based targeting</w:t>
      </w:r>
      <w:r w:rsidR="00AF280B" w:rsidRPr="004C78D8">
        <w:t>, but f</w:t>
      </w:r>
      <w:r w:rsidR="00935625" w:rsidRPr="004C78D8">
        <w:t>easibility</w:t>
      </w:r>
      <w:r w:rsidR="00AF280B" w:rsidRPr="004C78D8">
        <w:t xml:space="preserve"> may be an issue</w:t>
      </w:r>
      <w:r w:rsidR="00935625" w:rsidRPr="004C78D8">
        <w:t>: it may not be feasible</w:t>
      </w:r>
      <w:r w:rsidRPr="004C78D8">
        <w:t>, for example, to discriminate clients by SES when implementing the</w:t>
      </w:r>
      <w:r w:rsidR="00935625" w:rsidRPr="004C78D8">
        <w:t xml:space="preserve"> reactive interventions under [2].</w:t>
      </w:r>
      <w:r w:rsidRPr="004C78D8">
        <w:t xml:space="preserve"> As for [3], the SES-based targeting would produce strategy [1].</w:t>
      </w:r>
      <w:r w:rsidR="00935625" w:rsidRPr="004C78D8">
        <w:t xml:space="preserve"> </w:t>
      </w:r>
      <w:r w:rsidR="00480B45" w:rsidRPr="004C78D8">
        <w:t>Strategies [5] and [18] involving targeted FH removal produced returns close to break-even for the 4</w:t>
      </w:r>
      <w:r w:rsidR="00480B45" w:rsidRPr="004C78D8">
        <w:rPr>
          <w:vertAlign w:val="superscript"/>
        </w:rPr>
        <w:t>th</w:t>
      </w:r>
      <w:r w:rsidR="00480B45" w:rsidRPr="004C78D8">
        <w:t xml:space="preserve"> SES quartile.</w:t>
      </w:r>
    </w:p>
    <w:p w14:paraId="7FD38B2D" w14:textId="3E33BB5E" w:rsidR="00EF71BF" w:rsidRPr="004C78D8" w:rsidRDefault="00BF60D9" w:rsidP="00972766">
      <w:pPr>
        <w:pStyle w:val="Heading3"/>
      </w:pPr>
      <w:bookmarkStart w:id="209" w:name="_Toc93566894"/>
      <w:bookmarkStart w:id="210" w:name="_Toc111630800"/>
      <w:r w:rsidRPr="004C78D8">
        <w:t>6.3.3</w:t>
      </w:r>
      <w:r w:rsidR="00EF71BF" w:rsidRPr="004C78D8">
        <w:t xml:space="preserve"> </w:t>
      </w:r>
      <w:r w:rsidR="006D6E55" w:rsidRPr="004C78D8">
        <w:t>Commissioning recommendations</w:t>
      </w:r>
      <w:bookmarkEnd w:id="209"/>
      <w:bookmarkEnd w:id="210"/>
    </w:p>
    <w:p w14:paraId="5BF691F3" w14:textId="6B35D0A8" w:rsidR="00744197" w:rsidRPr="004C78D8" w:rsidRDefault="00FB2796" w:rsidP="00FB7C1F">
      <w:r w:rsidRPr="004C78D8">
        <w:t xml:space="preserve">This section formulates recommendations for Sheffield </w:t>
      </w:r>
      <w:r w:rsidR="00AF280B" w:rsidRPr="004C78D8">
        <w:t>commissioners</w:t>
      </w:r>
      <w:r w:rsidRPr="004C78D8">
        <w:t xml:space="preserve">. </w:t>
      </w:r>
      <w:r w:rsidR="00473713" w:rsidRPr="004C78D8">
        <w:t xml:space="preserve">Table </w:t>
      </w:r>
      <w:r w:rsidR="00923BB3" w:rsidRPr="004C78D8">
        <w:t>6</w:t>
      </w:r>
      <w:r w:rsidR="00473713" w:rsidRPr="004C78D8">
        <w:t>.</w:t>
      </w:r>
      <w:r w:rsidR="00923BB3" w:rsidRPr="004C78D8">
        <w:t>22</w:t>
      </w:r>
      <w:r w:rsidR="00473713" w:rsidRPr="004C78D8">
        <w:t xml:space="preserve"> lists </w:t>
      </w:r>
      <w:r w:rsidR="00186F2A" w:rsidRPr="004C78D8">
        <w:t xml:space="preserve">the </w:t>
      </w:r>
      <w:r w:rsidR="00473713" w:rsidRPr="004C78D8">
        <w:t>candidate strategies and the rationale under the primary and secondary evaluation frameworks.</w:t>
      </w:r>
    </w:p>
    <w:tbl>
      <w:tblPr>
        <w:tblStyle w:val="TableGrid"/>
        <w:tblW w:w="5000" w:type="pct"/>
        <w:tblLook w:val="04A0" w:firstRow="1" w:lastRow="0" w:firstColumn="1" w:lastColumn="0" w:noHBand="0" w:noVBand="1"/>
      </w:tblPr>
      <w:tblGrid>
        <w:gridCol w:w="546"/>
        <w:gridCol w:w="2292"/>
        <w:gridCol w:w="3089"/>
        <w:gridCol w:w="3089"/>
      </w:tblGrid>
      <w:tr w:rsidR="002E470D" w:rsidRPr="004C78D8" w14:paraId="576E86D3" w14:textId="4DFCC46D" w:rsidTr="00E35893">
        <w:tc>
          <w:tcPr>
            <w:tcW w:w="5000" w:type="pct"/>
            <w:gridSpan w:val="4"/>
          </w:tcPr>
          <w:p w14:paraId="75086528" w14:textId="681AAC27" w:rsidR="002E470D" w:rsidRPr="004C78D8" w:rsidRDefault="002E470D" w:rsidP="00FB7C1F">
            <w:pPr>
              <w:rPr>
                <w:b/>
                <w:bCs/>
              </w:rPr>
            </w:pPr>
            <w:r w:rsidRPr="004C78D8">
              <w:rPr>
                <w:b/>
                <w:bCs/>
              </w:rPr>
              <w:t xml:space="preserve">Table </w:t>
            </w:r>
            <w:r w:rsidR="00923BB3" w:rsidRPr="004C78D8">
              <w:rPr>
                <w:b/>
                <w:bCs/>
              </w:rPr>
              <w:t>6</w:t>
            </w:r>
            <w:r w:rsidRPr="004C78D8">
              <w:rPr>
                <w:b/>
                <w:bCs/>
              </w:rPr>
              <w:t>.</w:t>
            </w:r>
            <w:r w:rsidR="00923BB3" w:rsidRPr="004C78D8">
              <w:rPr>
                <w:b/>
                <w:bCs/>
              </w:rPr>
              <w:t>22</w:t>
            </w:r>
            <w:r w:rsidRPr="004C78D8">
              <w:t xml:space="preserve"> Candidate intervention strategies for commissioning.</w:t>
            </w:r>
          </w:p>
        </w:tc>
      </w:tr>
      <w:tr w:rsidR="002E470D" w:rsidRPr="004C78D8" w14:paraId="61116267" w14:textId="5E1DAE62" w:rsidTr="00E35893">
        <w:tc>
          <w:tcPr>
            <w:tcW w:w="303" w:type="pct"/>
            <w:vMerge w:val="restart"/>
            <w:vAlign w:val="bottom"/>
          </w:tcPr>
          <w:p w14:paraId="46373A92" w14:textId="722F5D9B" w:rsidR="002E470D" w:rsidRPr="004C78D8" w:rsidRDefault="002E470D" w:rsidP="00FB7C1F">
            <w:pPr>
              <w:jc w:val="left"/>
              <w:rPr>
                <w:b/>
                <w:bCs/>
                <w:sz w:val="20"/>
                <w:szCs w:val="20"/>
              </w:rPr>
            </w:pPr>
            <w:r w:rsidRPr="004C78D8">
              <w:rPr>
                <w:b/>
                <w:bCs/>
                <w:sz w:val="20"/>
                <w:szCs w:val="20"/>
              </w:rPr>
              <w:t>[#]</w:t>
            </w:r>
            <w:r w:rsidRPr="004C78D8">
              <w:rPr>
                <w:b/>
                <w:bCs/>
                <w:sz w:val="20"/>
                <w:szCs w:val="20"/>
                <w:vertAlign w:val="superscript"/>
              </w:rPr>
              <w:t>1</w:t>
            </w:r>
          </w:p>
        </w:tc>
        <w:tc>
          <w:tcPr>
            <w:tcW w:w="1271" w:type="pct"/>
            <w:vMerge w:val="restart"/>
            <w:vAlign w:val="bottom"/>
          </w:tcPr>
          <w:p w14:paraId="4FCEDEC9" w14:textId="32EAC140" w:rsidR="002E470D" w:rsidRPr="004C78D8" w:rsidRDefault="002E470D" w:rsidP="00FB7C1F">
            <w:pPr>
              <w:jc w:val="left"/>
              <w:rPr>
                <w:b/>
                <w:bCs/>
                <w:sz w:val="20"/>
                <w:szCs w:val="20"/>
              </w:rPr>
            </w:pPr>
            <w:r w:rsidRPr="004C78D8">
              <w:rPr>
                <w:b/>
                <w:bCs/>
                <w:sz w:val="20"/>
                <w:szCs w:val="20"/>
              </w:rPr>
              <w:t>Strategy</w:t>
            </w:r>
          </w:p>
        </w:tc>
        <w:tc>
          <w:tcPr>
            <w:tcW w:w="3427" w:type="pct"/>
            <w:gridSpan w:val="2"/>
          </w:tcPr>
          <w:p w14:paraId="33B7D35F" w14:textId="573C7FD5" w:rsidR="002E470D" w:rsidRPr="004C78D8" w:rsidRDefault="002E470D" w:rsidP="00FB7C1F">
            <w:pPr>
              <w:jc w:val="center"/>
              <w:rPr>
                <w:b/>
                <w:bCs/>
                <w:sz w:val="20"/>
                <w:szCs w:val="20"/>
              </w:rPr>
            </w:pPr>
            <w:r w:rsidRPr="004C78D8">
              <w:rPr>
                <w:b/>
                <w:bCs/>
                <w:sz w:val="20"/>
                <w:szCs w:val="20"/>
              </w:rPr>
              <w:t>Rationale</w:t>
            </w:r>
          </w:p>
        </w:tc>
      </w:tr>
      <w:tr w:rsidR="002E470D" w:rsidRPr="004C78D8" w14:paraId="54ED0D94" w14:textId="77777777" w:rsidTr="00E35893">
        <w:tc>
          <w:tcPr>
            <w:tcW w:w="303" w:type="pct"/>
            <w:vMerge/>
            <w:tcBorders>
              <w:bottom w:val="single" w:sz="4" w:space="0" w:color="auto"/>
            </w:tcBorders>
          </w:tcPr>
          <w:p w14:paraId="598AE914" w14:textId="77777777" w:rsidR="002E470D" w:rsidRPr="004C78D8" w:rsidRDefault="002E470D" w:rsidP="00FB7C1F">
            <w:pPr>
              <w:jc w:val="left"/>
              <w:rPr>
                <w:b/>
                <w:bCs/>
                <w:sz w:val="20"/>
                <w:szCs w:val="20"/>
              </w:rPr>
            </w:pPr>
          </w:p>
        </w:tc>
        <w:tc>
          <w:tcPr>
            <w:tcW w:w="1271" w:type="pct"/>
            <w:vMerge/>
            <w:tcBorders>
              <w:bottom w:val="single" w:sz="4" w:space="0" w:color="auto"/>
            </w:tcBorders>
          </w:tcPr>
          <w:p w14:paraId="411C9110" w14:textId="77777777" w:rsidR="002E470D" w:rsidRPr="004C78D8" w:rsidRDefault="002E470D" w:rsidP="00FB7C1F">
            <w:pPr>
              <w:jc w:val="left"/>
              <w:rPr>
                <w:b/>
                <w:bCs/>
                <w:sz w:val="20"/>
                <w:szCs w:val="20"/>
              </w:rPr>
            </w:pPr>
          </w:p>
        </w:tc>
        <w:tc>
          <w:tcPr>
            <w:tcW w:w="1713" w:type="pct"/>
            <w:tcBorders>
              <w:bottom w:val="single" w:sz="4" w:space="0" w:color="auto"/>
            </w:tcBorders>
          </w:tcPr>
          <w:p w14:paraId="7FF5E2C2" w14:textId="603B8212" w:rsidR="002E470D" w:rsidRPr="004C78D8" w:rsidRDefault="002E470D" w:rsidP="00FB7C1F">
            <w:pPr>
              <w:jc w:val="left"/>
              <w:rPr>
                <w:b/>
                <w:bCs/>
                <w:sz w:val="20"/>
                <w:szCs w:val="20"/>
              </w:rPr>
            </w:pPr>
            <w:r w:rsidRPr="004C78D8">
              <w:rPr>
                <w:b/>
                <w:bCs/>
                <w:sz w:val="20"/>
                <w:szCs w:val="20"/>
              </w:rPr>
              <w:t>40-year horizon, societal CUA</w:t>
            </w:r>
          </w:p>
        </w:tc>
        <w:tc>
          <w:tcPr>
            <w:tcW w:w="1714" w:type="pct"/>
            <w:tcBorders>
              <w:bottom w:val="single" w:sz="4" w:space="0" w:color="auto"/>
            </w:tcBorders>
          </w:tcPr>
          <w:p w14:paraId="1709256A" w14:textId="7C673998" w:rsidR="002E470D" w:rsidRPr="004C78D8" w:rsidRDefault="002E470D" w:rsidP="00FB7C1F">
            <w:pPr>
              <w:jc w:val="left"/>
              <w:rPr>
                <w:b/>
                <w:bCs/>
                <w:sz w:val="20"/>
                <w:szCs w:val="20"/>
              </w:rPr>
            </w:pPr>
            <w:r w:rsidRPr="004C78D8">
              <w:rPr>
                <w:b/>
                <w:bCs/>
                <w:sz w:val="20"/>
                <w:szCs w:val="20"/>
              </w:rPr>
              <w:t>5-year horizon, PS ROI</w:t>
            </w:r>
          </w:p>
        </w:tc>
      </w:tr>
      <w:tr w:rsidR="00C44512" w:rsidRPr="004C78D8" w14:paraId="22C5FEE0" w14:textId="2E34C153" w:rsidTr="00E35893">
        <w:tc>
          <w:tcPr>
            <w:tcW w:w="303" w:type="pct"/>
            <w:tcBorders>
              <w:bottom w:val="nil"/>
            </w:tcBorders>
          </w:tcPr>
          <w:p w14:paraId="72F8E474" w14:textId="62394043" w:rsidR="00C44512" w:rsidRPr="004C78D8" w:rsidRDefault="00C44512" w:rsidP="00FB7C1F">
            <w:pPr>
              <w:jc w:val="left"/>
              <w:rPr>
                <w:sz w:val="18"/>
                <w:szCs w:val="18"/>
              </w:rPr>
            </w:pPr>
            <w:r w:rsidRPr="004C78D8">
              <w:rPr>
                <w:sz w:val="18"/>
                <w:szCs w:val="18"/>
              </w:rPr>
              <w:t>[1]</w:t>
            </w:r>
          </w:p>
        </w:tc>
        <w:tc>
          <w:tcPr>
            <w:tcW w:w="1271" w:type="pct"/>
            <w:tcBorders>
              <w:bottom w:val="nil"/>
            </w:tcBorders>
          </w:tcPr>
          <w:p w14:paraId="51612A94" w14:textId="496329B9" w:rsidR="00C44512" w:rsidRPr="004C78D8" w:rsidRDefault="00C44512" w:rsidP="00FB7C1F">
            <w:pPr>
              <w:jc w:val="left"/>
              <w:rPr>
                <w:sz w:val="18"/>
                <w:szCs w:val="18"/>
              </w:rPr>
            </w:pPr>
            <w:r w:rsidRPr="004C78D8">
              <w:rPr>
                <w:sz w:val="18"/>
                <w:szCs w:val="18"/>
              </w:rPr>
              <w:t>UC + 3</w:t>
            </w:r>
            <w:r w:rsidRPr="004C78D8">
              <w:rPr>
                <w:sz w:val="18"/>
                <w:szCs w:val="18"/>
                <w:vertAlign w:val="superscript"/>
              </w:rPr>
              <w:t>rd</w:t>
            </w:r>
            <w:r w:rsidRPr="004C78D8">
              <w:rPr>
                <w:sz w:val="18"/>
                <w:szCs w:val="18"/>
              </w:rPr>
              <w:t>/4</w:t>
            </w:r>
            <w:r w:rsidRPr="004C78D8">
              <w:rPr>
                <w:sz w:val="18"/>
                <w:szCs w:val="18"/>
                <w:vertAlign w:val="superscript"/>
              </w:rPr>
              <w:t>th</w:t>
            </w:r>
            <w:r w:rsidRPr="004C78D8">
              <w:rPr>
                <w:sz w:val="18"/>
                <w:szCs w:val="18"/>
              </w:rPr>
              <w:t xml:space="preserve"> SES PA promotion</w:t>
            </w:r>
          </w:p>
        </w:tc>
        <w:tc>
          <w:tcPr>
            <w:tcW w:w="1713" w:type="pct"/>
            <w:tcBorders>
              <w:bottom w:val="nil"/>
            </w:tcBorders>
          </w:tcPr>
          <w:p w14:paraId="17AB5419" w14:textId="353CF59A" w:rsidR="00C44512" w:rsidRPr="004C78D8" w:rsidRDefault="00C44512" w:rsidP="00FB7C1F">
            <w:pPr>
              <w:jc w:val="left"/>
              <w:rPr>
                <w:sz w:val="18"/>
                <w:szCs w:val="18"/>
              </w:rPr>
            </w:pPr>
            <w:r w:rsidRPr="004C78D8">
              <w:rPr>
                <w:sz w:val="18"/>
                <w:szCs w:val="18"/>
              </w:rPr>
              <w:t xml:space="preserve">Non-dominated strategy; ICER </w:t>
            </w:r>
            <w:r w:rsidR="00AB631F" w:rsidRPr="004C78D8">
              <w:rPr>
                <w:sz w:val="18"/>
                <w:szCs w:val="18"/>
              </w:rPr>
              <w:t>(</w:t>
            </w:r>
            <w:r w:rsidRPr="004C78D8">
              <w:rPr>
                <w:sz w:val="18"/>
                <w:szCs w:val="18"/>
              </w:rPr>
              <w:t>AC cost</w:t>
            </w:r>
            <w:r w:rsidR="00AB631F" w:rsidRPr="004C78D8">
              <w:rPr>
                <w:sz w:val="18"/>
                <w:szCs w:val="18"/>
              </w:rPr>
              <w:t>)</w:t>
            </w:r>
            <w:r w:rsidRPr="004C78D8">
              <w:rPr>
                <w:sz w:val="18"/>
                <w:szCs w:val="18"/>
              </w:rPr>
              <w:t xml:space="preserve"> £1,692 per QALY vs. UC; </w:t>
            </w:r>
            <w:r w:rsidR="00AB631F" w:rsidRPr="004C78D8">
              <w:rPr>
                <w:sz w:val="18"/>
                <w:szCs w:val="18"/>
              </w:rPr>
              <w:t>small PS budget impact</w:t>
            </w:r>
            <w:r w:rsidR="00473713" w:rsidRPr="004C78D8">
              <w:rPr>
                <w:sz w:val="18"/>
                <w:szCs w:val="18"/>
              </w:rPr>
              <w:t xml:space="preserve"> (£2.4m)</w:t>
            </w:r>
            <w:r w:rsidR="00AB631F" w:rsidRPr="004C78D8">
              <w:rPr>
                <w:sz w:val="18"/>
                <w:szCs w:val="18"/>
              </w:rPr>
              <w:t>.</w:t>
            </w:r>
          </w:p>
        </w:tc>
        <w:tc>
          <w:tcPr>
            <w:tcW w:w="1714" w:type="pct"/>
            <w:tcBorders>
              <w:bottom w:val="nil"/>
            </w:tcBorders>
          </w:tcPr>
          <w:p w14:paraId="38E95083" w14:textId="637C12E8" w:rsidR="00C44512" w:rsidRPr="004C78D8" w:rsidRDefault="00C44512" w:rsidP="00FB7C1F">
            <w:pPr>
              <w:jc w:val="left"/>
              <w:rPr>
                <w:sz w:val="18"/>
                <w:szCs w:val="18"/>
              </w:rPr>
            </w:pPr>
            <w:r w:rsidRPr="004C78D8">
              <w:rPr>
                <w:sz w:val="18"/>
                <w:szCs w:val="18"/>
              </w:rPr>
              <w:t xml:space="preserve">ROI </w:t>
            </w:r>
            <w:r w:rsidR="00AB631F" w:rsidRPr="004C78D8">
              <w:rPr>
                <w:sz w:val="18"/>
                <w:szCs w:val="18"/>
              </w:rPr>
              <w:t>(</w:t>
            </w:r>
            <w:r w:rsidRPr="004C78D8">
              <w:rPr>
                <w:sz w:val="18"/>
                <w:szCs w:val="18"/>
              </w:rPr>
              <w:t>AC cost</w:t>
            </w:r>
            <w:r w:rsidR="00AB631F" w:rsidRPr="004C78D8">
              <w:rPr>
                <w:sz w:val="18"/>
                <w:szCs w:val="18"/>
              </w:rPr>
              <w:t>)</w:t>
            </w:r>
            <w:r w:rsidRPr="004C78D8">
              <w:rPr>
                <w:sz w:val="18"/>
                <w:szCs w:val="18"/>
              </w:rPr>
              <w:t xml:space="preserve"> 1.121; pro-poor ROI gradient.</w:t>
            </w:r>
          </w:p>
        </w:tc>
      </w:tr>
      <w:tr w:rsidR="00C44512" w:rsidRPr="004C78D8" w14:paraId="75BFAB07" w14:textId="77777777" w:rsidTr="00E35893">
        <w:tc>
          <w:tcPr>
            <w:tcW w:w="303" w:type="pct"/>
            <w:tcBorders>
              <w:top w:val="nil"/>
              <w:bottom w:val="nil"/>
            </w:tcBorders>
          </w:tcPr>
          <w:p w14:paraId="6E5D26C0" w14:textId="7C4480CF" w:rsidR="00C44512" w:rsidRPr="004C78D8" w:rsidRDefault="00C44512" w:rsidP="00FB7C1F">
            <w:pPr>
              <w:jc w:val="left"/>
              <w:rPr>
                <w:sz w:val="18"/>
                <w:szCs w:val="18"/>
              </w:rPr>
            </w:pPr>
            <w:r w:rsidRPr="004C78D8">
              <w:rPr>
                <w:sz w:val="18"/>
                <w:szCs w:val="18"/>
              </w:rPr>
              <w:t>[2]</w:t>
            </w:r>
          </w:p>
        </w:tc>
        <w:tc>
          <w:tcPr>
            <w:tcW w:w="1271" w:type="pct"/>
            <w:tcBorders>
              <w:top w:val="nil"/>
              <w:bottom w:val="nil"/>
            </w:tcBorders>
          </w:tcPr>
          <w:p w14:paraId="06A4948E" w14:textId="6B0E86E6" w:rsidR="00C44512" w:rsidRPr="004C78D8" w:rsidRDefault="00C44512" w:rsidP="00FB7C1F">
            <w:pPr>
              <w:jc w:val="left"/>
              <w:rPr>
                <w:sz w:val="18"/>
                <w:szCs w:val="18"/>
              </w:rPr>
            </w:pPr>
            <w:r w:rsidRPr="004C78D8">
              <w:rPr>
                <w:sz w:val="18"/>
                <w:szCs w:val="18"/>
              </w:rPr>
              <w:t>RC reactive pathway only</w:t>
            </w:r>
          </w:p>
        </w:tc>
        <w:tc>
          <w:tcPr>
            <w:tcW w:w="1713" w:type="pct"/>
            <w:tcBorders>
              <w:top w:val="nil"/>
              <w:bottom w:val="nil"/>
            </w:tcBorders>
          </w:tcPr>
          <w:p w14:paraId="72E3C85A" w14:textId="7577FE04" w:rsidR="00C44512" w:rsidRPr="004C78D8" w:rsidRDefault="00692C63" w:rsidP="00FB7C1F">
            <w:pPr>
              <w:jc w:val="left"/>
              <w:rPr>
                <w:sz w:val="18"/>
                <w:szCs w:val="18"/>
              </w:rPr>
            </w:pPr>
            <w:r w:rsidRPr="004C78D8">
              <w:rPr>
                <w:sz w:val="18"/>
                <w:szCs w:val="18"/>
              </w:rPr>
              <w:t>Non-dominated strategy; ICER (AC cost) £1,937 per QALY vs. UC; small PS budget impact</w:t>
            </w:r>
            <w:r w:rsidR="00473713" w:rsidRPr="004C78D8">
              <w:rPr>
                <w:sz w:val="18"/>
                <w:szCs w:val="18"/>
              </w:rPr>
              <w:t xml:space="preserve"> (£5.5m).</w:t>
            </w:r>
          </w:p>
        </w:tc>
        <w:tc>
          <w:tcPr>
            <w:tcW w:w="1714" w:type="pct"/>
            <w:tcBorders>
              <w:top w:val="nil"/>
              <w:bottom w:val="nil"/>
            </w:tcBorders>
          </w:tcPr>
          <w:p w14:paraId="278A0A73" w14:textId="454183D5" w:rsidR="00C44512" w:rsidRPr="004C78D8" w:rsidRDefault="00AB631F" w:rsidP="00FB7C1F">
            <w:pPr>
              <w:jc w:val="left"/>
              <w:rPr>
                <w:sz w:val="18"/>
                <w:szCs w:val="18"/>
              </w:rPr>
            </w:pPr>
            <w:r w:rsidRPr="004C78D8">
              <w:rPr>
                <w:sz w:val="18"/>
                <w:szCs w:val="18"/>
              </w:rPr>
              <w:t>ROI (AC cost) above one for 3</w:t>
            </w:r>
            <w:r w:rsidRPr="004C78D8">
              <w:rPr>
                <w:sz w:val="18"/>
                <w:szCs w:val="18"/>
                <w:vertAlign w:val="superscript"/>
              </w:rPr>
              <w:t xml:space="preserve">rd </w:t>
            </w:r>
            <w:r w:rsidRPr="004C78D8">
              <w:rPr>
                <w:sz w:val="18"/>
                <w:szCs w:val="18"/>
              </w:rPr>
              <w:t>&amp; 4</w:t>
            </w:r>
            <w:r w:rsidRPr="004C78D8">
              <w:rPr>
                <w:sz w:val="18"/>
                <w:szCs w:val="18"/>
                <w:vertAlign w:val="superscript"/>
              </w:rPr>
              <w:t>th</w:t>
            </w:r>
            <w:r w:rsidRPr="004C78D8">
              <w:rPr>
                <w:sz w:val="18"/>
                <w:szCs w:val="18"/>
              </w:rPr>
              <w:t xml:space="preserve"> SES quartiles; pro-poor ROI gradient.</w:t>
            </w:r>
          </w:p>
        </w:tc>
      </w:tr>
      <w:tr w:rsidR="00C44512" w:rsidRPr="004C78D8" w14:paraId="61D91E5F" w14:textId="77777777" w:rsidTr="00E35893">
        <w:tc>
          <w:tcPr>
            <w:tcW w:w="303" w:type="pct"/>
            <w:tcBorders>
              <w:top w:val="nil"/>
              <w:bottom w:val="nil"/>
            </w:tcBorders>
          </w:tcPr>
          <w:p w14:paraId="1991B27B" w14:textId="275A0F94" w:rsidR="00C44512" w:rsidRPr="004C78D8" w:rsidRDefault="00C44512" w:rsidP="00FB7C1F">
            <w:pPr>
              <w:jc w:val="left"/>
              <w:rPr>
                <w:sz w:val="18"/>
                <w:szCs w:val="18"/>
              </w:rPr>
            </w:pPr>
            <w:r w:rsidRPr="004C78D8">
              <w:rPr>
                <w:sz w:val="18"/>
                <w:szCs w:val="18"/>
              </w:rPr>
              <w:t>[3]</w:t>
            </w:r>
          </w:p>
        </w:tc>
        <w:tc>
          <w:tcPr>
            <w:tcW w:w="1271" w:type="pct"/>
            <w:tcBorders>
              <w:top w:val="nil"/>
              <w:bottom w:val="nil"/>
            </w:tcBorders>
          </w:tcPr>
          <w:p w14:paraId="0578CB6A" w14:textId="45147B81" w:rsidR="00C44512" w:rsidRPr="004C78D8" w:rsidRDefault="00C44512" w:rsidP="00FB7C1F">
            <w:pPr>
              <w:jc w:val="left"/>
              <w:rPr>
                <w:sz w:val="18"/>
                <w:szCs w:val="18"/>
              </w:rPr>
            </w:pPr>
            <w:r w:rsidRPr="004C78D8">
              <w:rPr>
                <w:sz w:val="18"/>
                <w:szCs w:val="18"/>
              </w:rPr>
              <w:t>UC + universal PA promotion</w:t>
            </w:r>
          </w:p>
        </w:tc>
        <w:tc>
          <w:tcPr>
            <w:tcW w:w="1713" w:type="pct"/>
            <w:tcBorders>
              <w:top w:val="nil"/>
              <w:bottom w:val="nil"/>
            </w:tcBorders>
          </w:tcPr>
          <w:p w14:paraId="062053DD" w14:textId="0DAFFD8A" w:rsidR="00C44512" w:rsidRPr="004C78D8" w:rsidRDefault="00692C63" w:rsidP="00FB7C1F">
            <w:pPr>
              <w:jc w:val="left"/>
              <w:rPr>
                <w:sz w:val="18"/>
                <w:szCs w:val="18"/>
              </w:rPr>
            </w:pPr>
            <w:r w:rsidRPr="004C78D8">
              <w:rPr>
                <w:sz w:val="18"/>
                <w:szCs w:val="18"/>
              </w:rPr>
              <w:t>Non-dominated strategy; ICER (AC cost) £2,110 per QALY vs. UC; small PS budget impact</w:t>
            </w:r>
            <w:r w:rsidR="00473713" w:rsidRPr="004C78D8">
              <w:rPr>
                <w:sz w:val="18"/>
                <w:szCs w:val="18"/>
              </w:rPr>
              <w:t xml:space="preserve"> (£6.7m).</w:t>
            </w:r>
          </w:p>
        </w:tc>
        <w:tc>
          <w:tcPr>
            <w:tcW w:w="1714" w:type="pct"/>
            <w:tcBorders>
              <w:top w:val="nil"/>
              <w:bottom w:val="nil"/>
            </w:tcBorders>
          </w:tcPr>
          <w:p w14:paraId="213DFB29" w14:textId="0511590A" w:rsidR="00C44512" w:rsidRPr="004C78D8" w:rsidRDefault="00692C63" w:rsidP="00FB7C1F">
            <w:pPr>
              <w:jc w:val="left"/>
              <w:rPr>
                <w:sz w:val="18"/>
                <w:szCs w:val="18"/>
              </w:rPr>
            </w:pPr>
            <w:r w:rsidRPr="004C78D8">
              <w:rPr>
                <w:sz w:val="18"/>
                <w:szCs w:val="18"/>
              </w:rPr>
              <w:t>ROI (AC cost) above one for 4</w:t>
            </w:r>
            <w:r w:rsidRPr="004C78D8">
              <w:rPr>
                <w:sz w:val="18"/>
                <w:szCs w:val="18"/>
                <w:vertAlign w:val="superscript"/>
              </w:rPr>
              <w:t>th</w:t>
            </w:r>
            <w:r w:rsidRPr="004C78D8">
              <w:rPr>
                <w:sz w:val="18"/>
                <w:szCs w:val="18"/>
              </w:rPr>
              <w:t xml:space="preserve"> SES quartile; pro-poor ROI gradient.</w:t>
            </w:r>
          </w:p>
        </w:tc>
      </w:tr>
      <w:tr w:rsidR="00C44512" w:rsidRPr="004C78D8" w14:paraId="19C8CEEC" w14:textId="77777777" w:rsidTr="00E35893">
        <w:tc>
          <w:tcPr>
            <w:tcW w:w="303" w:type="pct"/>
            <w:tcBorders>
              <w:top w:val="nil"/>
              <w:bottom w:val="nil"/>
            </w:tcBorders>
          </w:tcPr>
          <w:p w14:paraId="48E8A81A" w14:textId="1C4424DB" w:rsidR="00C44512" w:rsidRPr="004C78D8" w:rsidRDefault="00692C63" w:rsidP="00FB7C1F">
            <w:pPr>
              <w:jc w:val="left"/>
              <w:rPr>
                <w:sz w:val="18"/>
                <w:szCs w:val="18"/>
              </w:rPr>
            </w:pPr>
            <w:r w:rsidRPr="004C78D8">
              <w:rPr>
                <w:sz w:val="18"/>
                <w:szCs w:val="18"/>
              </w:rPr>
              <w:t>[5]</w:t>
            </w:r>
          </w:p>
        </w:tc>
        <w:tc>
          <w:tcPr>
            <w:tcW w:w="1271" w:type="pct"/>
            <w:tcBorders>
              <w:top w:val="nil"/>
              <w:bottom w:val="nil"/>
            </w:tcBorders>
          </w:tcPr>
          <w:p w14:paraId="2085C9D6" w14:textId="665F7854" w:rsidR="00C44512" w:rsidRPr="004C78D8" w:rsidRDefault="00883068" w:rsidP="00FB7C1F">
            <w:pPr>
              <w:jc w:val="left"/>
              <w:rPr>
                <w:sz w:val="18"/>
                <w:szCs w:val="18"/>
              </w:rPr>
            </w:pPr>
            <w:r w:rsidRPr="004C78D8">
              <w:rPr>
                <w:sz w:val="18"/>
                <w:szCs w:val="18"/>
              </w:rPr>
              <w:t>UC + 3</w:t>
            </w:r>
            <w:r w:rsidRPr="004C78D8">
              <w:rPr>
                <w:sz w:val="18"/>
                <w:szCs w:val="18"/>
                <w:vertAlign w:val="superscript"/>
              </w:rPr>
              <w:t>rd</w:t>
            </w:r>
            <w:r w:rsidRPr="004C78D8">
              <w:rPr>
                <w:sz w:val="18"/>
                <w:szCs w:val="18"/>
              </w:rPr>
              <w:t>/4</w:t>
            </w:r>
            <w:r w:rsidRPr="004C78D8">
              <w:rPr>
                <w:sz w:val="18"/>
                <w:szCs w:val="18"/>
                <w:vertAlign w:val="superscript"/>
              </w:rPr>
              <w:t>th</w:t>
            </w:r>
            <w:r w:rsidRPr="004C78D8">
              <w:rPr>
                <w:sz w:val="18"/>
                <w:szCs w:val="18"/>
              </w:rPr>
              <w:t xml:space="preserve"> SES FH removal</w:t>
            </w:r>
          </w:p>
        </w:tc>
        <w:tc>
          <w:tcPr>
            <w:tcW w:w="1713" w:type="pct"/>
            <w:tcBorders>
              <w:top w:val="nil"/>
              <w:bottom w:val="nil"/>
            </w:tcBorders>
          </w:tcPr>
          <w:p w14:paraId="479CC8CB" w14:textId="1F463B79" w:rsidR="00C44512" w:rsidRPr="004C78D8" w:rsidRDefault="00883068" w:rsidP="00FB7C1F">
            <w:pPr>
              <w:jc w:val="left"/>
              <w:rPr>
                <w:sz w:val="18"/>
                <w:szCs w:val="18"/>
              </w:rPr>
            </w:pPr>
            <w:r w:rsidRPr="004C78D8">
              <w:rPr>
                <w:sz w:val="18"/>
                <w:szCs w:val="18"/>
              </w:rPr>
              <w:t>2</w:t>
            </w:r>
            <w:r w:rsidRPr="004C78D8">
              <w:rPr>
                <w:sz w:val="18"/>
                <w:szCs w:val="18"/>
                <w:vertAlign w:val="superscript"/>
              </w:rPr>
              <w:t>nd</w:t>
            </w:r>
            <w:r w:rsidRPr="004C78D8">
              <w:rPr>
                <w:sz w:val="18"/>
                <w:szCs w:val="18"/>
              </w:rPr>
              <w:t xml:space="preserve"> highest EDE INHB</w:t>
            </w:r>
            <w:r w:rsidR="00CF15A6" w:rsidRPr="004C78D8">
              <w:rPr>
                <w:sz w:val="18"/>
                <w:szCs w:val="18"/>
                <w:vertAlign w:val="superscript"/>
              </w:rPr>
              <w:t>2</w:t>
            </w:r>
            <w:r w:rsidRPr="004C78D8">
              <w:rPr>
                <w:sz w:val="18"/>
                <w:szCs w:val="18"/>
              </w:rPr>
              <w:t xml:space="preserve"> under Atkinson ε=30. </w:t>
            </w:r>
          </w:p>
        </w:tc>
        <w:tc>
          <w:tcPr>
            <w:tcW w:w="1714" w:type="pct"/>
            <w:tcBorders>
              <w:top w:val="nil"/>
              <w:bottom w:val="nil"/>
            </w:tcBorders>
          </w:tcPr>
          <w:p w14:paraId="64CFFA79" w14:textId="0C148860" w:rsidR="00C44512" w:rsidRPr="004C78D8" w:rsidRDefault="00883068" w:rsidP="00FB7C1F">
            <w:pPr>
              <w:jc w:val="left"/>
              <w:rPr>
                <w:sz w:val="18"/>
                <w:szCs w:val="18"/>
              </w:rPr>
            </w:pPr>
            <w:r w:rsidRPr="004C78D8">
              <w:rPr>
                <w:sz w:val="18"/>
                <w:szCs w:val="18"/>
              </w:rPr>
              <w:t>ROI (AC cost) approaching one for 4</w:t>
            </w:r>
            <w:r w:rsidRPr="004C78D8">
              <w:rPr>
                <w:sz w:val="18"/>
                <w:szCs w:val="18"/>
                <w:vertAlign w:val="superscript"/>
              </w:rPr>
              <w:t>th</w:t>
            </w:r>
            <w:r w:rsidRPr="004C78D8">
              <w:rPr>
                <w:sz w:val="18"/>
                <w:szCs w:val="18"/>
              </w:rPr>
              <w:t xml:space="preserve"> SES quartile; pro-poor ROI gradient.</w:t>
            </w:r>
          </w:p>
        </w:tc>
      </w:tr>
      <w:tr w:rsidR="00C44512" w:rsidRPr="004C78D8" w14:paraId="3600EC6B" w14:textId="77777777" w:rsidTr="00E35893">
        <w:tc>
          <w:tcPr>
            <w:tcW w:w="303" w:type="pct"/>
            <w:tcBorders>
              <w:top w:val="nil"/>
              <w:bottom w:val="nil"/>
            </w:tcBorders>
          </w:tcPr>
          <w:p w14:paraId="1E0A3677" w14:textId="4729A77D" w:rsidR="00C44512" w:rsidRPr="004C78D8" w:rsidRDefault="001D6C64" w:rsidP="00FB7C1F">
            <w:pPr>
              <w:jc w:val="left"/>
              <w:rPr>
                <w:sz w:val="18"/>
                <w:szCs w:val="18"/>
              </w:rPr>
            </w:pPr>
            <w:r w:rsidRPr="004C78D8">
              <w:rPr>
                <w:sz w:val="18"/>
                <w:szCs w:val="18"/>
              </w:rPr>
              <w:t>[6]</w:t>
            </w:r>
          </w:p>
        </w:tc>
        <w:tc>
          <w:tcPr>
            <w:tcW w:w="1271" w:type="pct"/>
            <w:tcBorders>
              <w:top w:val="nil"/>
              <w:bottom w:val="nil"/>
            </w:tcBorders>
          </w:tcPr>
          <w:p w14:paraId="08D8237D" w14:textId="6B30085E" w:rsidR="00C44512" w:rsidRPr="004C78D8" w:rsidRDefault="001D6C64" w:rsidP="00FB7C1F">
            <w:pPr>
              <w:jc w:val="left"/>
              <w:rPr>
                <w:sz w:val="18"/>
                <w:szCs w:val="18"/>
              </w:rPr>
            </w:pPr>
            <w:r w:rsidRPr="004C78D8">
              <w:rPr>
                <w:sz w:val="18"/>
                <w:szCs w:val="18"/>
              </w:rPr>
              <w:t>RC reactive &amp; SR pathways</w:t>
            </w:r>
          </w:p>
        </w:tc>
        <w:tc>
          <w:tcPr>
            <w:tcW w:w="1713" w:type="pct"/>
            <w:tcBorders>
              <w:top w:val="nil"/>
              <w:bottom w:val="nil"/>
            </w:tcBorders>
          </w:tcPr>
          <w:p w14:paraId="66D624FC" w14:textId="6BB8D009" w:rsidR="00C44512" w:rsidRPr="004C78D8" w:rsidRDefault="001D6C64" w:rsidP="00FB7C1F">
            <w:pPr>
              <w:jc w:val="left"/>
              <w:rPr>
                <w:sz w:val="18"/>
                <w:szCs w:val="18"/>
              </w:rPr>
            </w:pPr>
            <w:r w:rsidRPr="004C78D8">
              <w:rPr>
                <w:sz w:val="18"/>
                <w:szCs w:val="18"/>
              </w:rPr>
              <w:t xml:space="preserve">Non-dominated strategy; ICER (AC cost) £4,270 per QALY vs. UC; </w:t>
            </w:r>
            <w:r w:rsidR="0008316D" w:rsidRPr="004C78D8">
              <w:rPr>
                <w:sz w:val="18"/>
                <w:szCs w:val="18"/>
              </w:rPr>
              <w:t>3</w:t>
            </w:r>
            <w:r w:rsidR="0008316D" w:rsidRPr="004C78D8">
              <w:rPr>
                <w:sz w:val="18"/>
                <w:szCs w:val="18"/>
                <w:vertAlign w:val="superscript"/>
              </w:rPr>
              <w:t>rd</w:t>
            </w:r>
            <w:r w:rsidR="0008316D" w:rsidRPr="004C78D8">
              <w:rPr>
                <w:sz w:val="18"/>
                <w:szCs w:val="18"/>
              </w:rPr>
              <w:t xml:space="preserve"> </w:t>
            </w:r>
            <w:r w:rsidRPr="004C78D8">
              <w:rPr>
                <w:sz w:val="18"/>
                <w:szCs w:val="18"/>
              </w:rPr>
              <w:t>high</w:t>
            </w:r>
            <w:r w:rsidR="0008316D" w:rsidRPr="004C78D8">
              <w:rPr>
                <w:sz w:val="18"/>
                <w:szCs w:val="18"/>
              </w:rPr>
              <w:t>est</w:t>
            </w:r>
            <w:r w:rsidRPr="004C78D8">
              <w:rPr>
                <w:sz w:val="18"/>
                <w:szCs w:val="18"/>
              </w:rPr>
              <w:t xml:space="preserve"> aggregate INMB (£329</w:t>
            </w:r>
            <w:r w:rsidR="00473713" w:rsidRPr="004C78D8">
              <w:rPr>
                <w:sz w:val="18"/>
                <w:szCs w:val="18"/>
              </w:rPr>
              <w:t>.0m</w:t>
            </w:r>
            <w:r w:rsidRPr="004C78D8">
              <w:rPr>
                <w:sz w:val="18"/>
                <w:szCs w:val="18"/>
              </w:rPr>
              <w:t>)</w:t>
            </w:r>
          </w:p>
        </w:tc>
        <w:tc>
          <w:tcPr>
            <w:tcW w:w="1714" w:type="pct"/>
            <w:tcBorders>
              <w:top w:val="nil"/>
              <w:bottom w:val="nil"/>
            </w:tcBorders>
          </w:tcPr>
          <w:p w14:paraId="4055C8B0" w14:textId="77777777" w:rsidR="00C44512" w:rsidRPr="004C78D8" w:rsidRDefault="00C44512" w:rsidP="00FB7C1F">
            <w:pPr>
              <w:jc w:val="left"/>
              <w:rPr>
                <w:sz w:val="18"/>
                <w:szCs w:val="18"/>
              </w:rPr>
            </w:pPr>
          </w:p>
        </w:tc>
      </w:tr>
      <w:tr w:rsidR="00C44512" w:rsidRPr="004C78D8" w14:paraId="4E53266D" w14:textId="77777777" w:rsidTr="00E35893">
        <w:tc>
          <w:tcPr>
            <w:tcW w:w="303" w:type="pct"/>
            <w:tcBorders>
              <w:top w:val="nil"/>
              <w:bottom w:val="nil"/>
            </w:tcBorders>
          </w:tcPr>
          <w:p w14:paraId="26F63AF4" w14:textId="7604D2AD" w:rsidR="00C44512" w:rsidRPr="004C78D8" w:rsidRDefault="001D6C64" w:rsidP="00FB7C1F">
            <w:pPr>
              <w:jc w:val="left"/>
              <w:rPr>
                <w:sz w:val="18"/>
                <w:szCs w:val="18"/>
              </w:rPr>
            </w:pPr>
            <w:r w:rsidRPr="004C78D8">
              <w:rPr>
                <w:sz w:val="18"/>
                <w:szCs w:val="18"/>
              </w:rPr>
              <w:t>[18]</w:t>
            </w:r>
          </w:p>
        </w:tc>
        <w:tc>
          <w:tcPr>
            <w:tcW w:w="1271" w:type="pct"/>
            <w:tcBorders>
              <w:top w:val="nil"/>
              <w:bottom w:val="nil"/>
            </w:tcBorders>
          </w:tcPr>
          <w:p w14:paraId="4F405A9D" w14:textId="6537ACDB" w:rsidR="00C44512" w:rsidRPr="004C78D8" w:rsidRDefault="008674C6" w:rsidP="00FB7C1F">
            <w:pPr>
              <w:jc w:val="left"/>
              <w:rPr>
                <w:sz w:val="18"/>
                <w:szCs w:val="18"/>
              </w:rPr>
            </w:pPr>
            <w:r w:rsidRPr="004C78D8">
              <w:rPr>
                <w:sz w:val="18"/>
                <w:szCs w:val="18"/>
              </w:rPr>
              <w:t>CRC(4) + 3</w:t>
            </w:r>
            <w:r w:rsidRPr="004C78D8">
              <w:rPr>
                <w:sz w:val="18"/>
                <w:szCs w:val="18"/>
                <w:vertAlign w:val="superscript"/>
              </w:rPr>
              <w:t>rd</w:t>
            </w:r>
            <w:r w:rsidRPr="004C78D8">
              <w:rPr>
                <w:sz w:val="18"/>
                <w:szCs w:val="18"/>
              </w:rPr>
              <w:t>/4</w:t>
            </w:r>
            <w:r w:rsidRPr="004C78D8">
              <w:rPr>
                <w:sz w:val="18"/>
                <w:szCs w:val="18"/>
                <w:vertAlign w:val="superscript"/>
              </w:rPr>
              <w:t>th</w:t>
            </w:r>
            <w:r w:rsidRPr="004C78D8">
              <w:rPr>
                <w:sz w:val="18"/>
                <w:szCs w:val="18"/>
              </w:rPr>
              <w:t xml:space="preserve"> SES FH removal</w:t>
            </w:r>
          </w:p>
        </w:tc>
        <w:tc>
          <w:tcPr>
            <w:tcW w:w="1713" w:type="pct"/>
            <w:tcBorders>
              <w:top w:val="nil"/>
              <w:bottom w:val="nil"/>
            </w:tcBorders>
          </w:tcPr>
          <w:p w14:paraId="72E106CF" w14:textId="01D35997" w:rsidR="00C44512" w:rsidRPr="004C78D8" w:rsidRDefault="001B7177" w:rsidP="00FB7C1F">
            <w:pPr>
              <w:jc w:val="left"/>
              <w:rPr>
                <w:sz w:val="18"/>
                <w:szCs w:val="18"/>
              </w:rPr>
            </w:pPr>
            <w:r w:rsidRPr="004C78D8">
              <w:rPr>
                <w:sz w:val="18"/>
                <w:szCs w:val="18"/>
              </w:rPr>
              <w:t>Highest EDE INHB under Atkinson ε=30 and Kolm α=0.5.</w:t>
            </w:r>
          </w:p>
        </w:tc>
        <w:tc>
          <w:tcPr>
            <w:tcW w:w="1714" w:type="pct"/>
            <w:tcBorders>
              <w:top w:val="nil"/>
              <w:bottom w:val="nil"/>
            </w:tcBorders>
          </w:tcPr>
          <w:p w14:paraId="3DCF21DE" w14:textId="35EF05CF" w:rsidR="00C44512" w:rsidRPr="004C78D8" w:rsidRDefault="008674C6" w:rsidP="00FB7C1F">
            <w:pPr>
              <w:jc w:val="left"/>
              <w:rPr>
                <w:sz w:val="18"/>
                <w:szCs w:val="18"/>
              </w:rPr>
            </w:pPr>
            <w:r w:rsidRPr="004C78D8">
              <w:rPr>
                <w:sz w:val="18"/>
                <w:szCs w:val="18"/>
              </w:rPr>
              <w:t>ROI (AC cost) approaching one for 4</w:t>
            </w:r>
            <w:r w:rsidRPr="004C78D8">
              <w:rPr>
                <w:sz w:val="18"/>
                <w:szCs w:val="18"/>
                <w:vertAlign w:val="superscript"/>
              </w:rPr>
              <w:t>th</w:t>
            </w:r>
            <w:r w:rsidRPr="004C78D8">
              <w:rPr>
                <w:sz w:val="18"/>
                <w:szCs w:val="18"/>
              </w:rPr>
              <w:t xml:space="preserve"> SES quartile; pro-poor ROI gradient.</w:t>
            </w:r>
          </w:p>
        </w:tc>
      </w:tr>
      <w:tr w:rsidR="00C44512" w:rsidRPr="004C78D8" w14:paraId="0B438468" w14:textId="69C296BE" w:rsidTr="00E35893">
        <w:tc>
          <w:tcPr>
            <w:tcW w:w="303" w:type="pct"/>
            <w:tcBorders>
              <w:top w:val="nil"/>
              <w:bottom w:val="nil"/>
            </w:tcBorders>
          </w:tcPr>
          <w:p w14:paraId="20CFAF45" w14:textId="10FBC9C6" w:rsidR="00C44512" w:rsidRPr="004C78D8" w:rsidRDefault="001D6C64" w:rsidP="00FB7C1F">
            <w:pPr>
              <w:jc w:val="left"/>
              <w:rPr>
                <w:sz w:val="18"/>
                <w:szCs w:val="18"/>
              </w:rPr>
            </w:pPr>
            <w:r w:rsidRPr="004C78D8">
              <w:rPr>
                <w:sz w:val="18"/>
                <w:szCs w:val="18"/>
              </w:rPr>
              <w:t>[19]</w:t>
            </w:r>
          </w:p>
        </w:tc>
        <w:tc>
          <w:tcPr>
            <w:tcW w:w="1271" w:type="pct"/>
            <w:tcBorders>
              <w:top w:val="nil"/>
              <w:bottom w:val="nil"/>
            </w:tcBorders>
          </w:tcPr>
          <w:p w14:paraId="5A83A003" w14:textId="36AAD4F9" w:rsidR="00C44512" w:rsidRPr="004C78D8" w:rsidRDefault="008674C6" w:rsidP="00FB7C1F">
            <w:pPr>
              <w:jc w:val="left"/>
              <w:rPr>
                <w:sz w:val="18"/>
                <w:szCs w:val="18"/>
              </w:rPr>
            </w:pPr>
            <w:r w:rsidRPr="004C78D8">
              <w:rPr>
                <w:sz w:val="18"/>
                <w:szCs w:val="18"/>
              </w:rPr>
              <w:t>CRC(4) + universal FH removal</w:t>
            </w:r>
          </w:p>
        </w:tc>
        <w:tc>
          <w:tcPr>
            <w:tcW w:w="1713" w:type="pct"/>
            <w:tcBorders>
              <w:top w:val="nil"/>
              <w:bottom w:val="nil"/>
            </w:tcBorders>
          </w:tcPr>
          <w:p w14:paraId="069E8AE7" w14:textId="5FEFFC7C" w:rsidR="00C44512" w:rsidRPr="004C78D8" w:rsidRDefault="008674C6" w:rsidP="00FB7C1F">
            <w:pPr>
              <w:jc w:val="left"/>
              <w:rPr>
                <w:sz w:val="18"/>
                <w:szCs w:val="18"/>
              </w:rPr>
            </w:pPr>
            <w:r w:rsidRPr="004C78D8">
              <w:rPr>
                <w:sz w:val="18"/>
                <w:szCs w:val="18"/>
              </w:rPr>
              <w:t>Non-dominated strategy; ICER (AC cost) £10,</w:t>
            </w:r>
            <w:r w:rsidR="00CF15A6" w:rsidRPr="004C78D8">
              <w:rPr>
                <w:sz w:val="18"/>
                <w:szCs w:val="18"/>
              </w:rPr>
              <w:t>651</w:t>
            </w:r>
            <w:r w:rsidRPr="004C78D8">
              <w:rPr>
                <w:sz w:val="18"/>
                <w:szCs w:val="18"/>
              </w:rPr>
              <w:t xml:space="preserve"> per QALY vs. UC; high</w:t>
            </w:r>
            <w:r w:rsidR="0008316D" w:rsidRPr="004C78D8">
              <w:rPr>
                <w:sz w:val="18"/>
                <w:szCs w:val="18"/>
              </w:rPr>
              <w:t>est</w:t>
            </w:r>
            <w:r w:rsidRPr="004C78D8">
              <w:rPr>
                <w:sz w:val="18"/>
                <w:szCs w:val="18"/>
              </w:rPr>
              <w:t xml:space="preserve"> aggregate INMB (£</w:t>
            </w:r>
            <w:r w:rsidR="00CF15A6" w:rsidRPr="004C78D8">
              <w:rPr>
                <w:sz w:val="18"/>
                <w:szCs w:val="18"/>
              </w:rPr>
              <w:t>40</w:t>
            </w:r>
            <w:r w:rsidR="00473713" w:rsidRPr="004C78D8">
              <w:rPr>
                <w:sz w:val="18"/>
                <w:szCs w:val="18"/>
              </w:rPr>
              <w:t>4.7m</w:t>
            </w:r>
            <w:r w:rsidRPr="004C78D8">
              <w:rPr>
                <w:sz w:val="18"/>
                <w:szCs w:val="18"/>
              </w:rPr>
              <w:t>)</w:t>
            </w:r>
            <w:r w:rsidR="00CF15A6" w:rsidRPr="004C78D8">
              <w:rPr>
                <w:sz w:val="18"/>
                <w:szCs w:val="18"/>
              </w:rPr>
              <w:t>; 2</w:t>
            </w:r>
            <w:r w:rsidR="00CF15A6" w:rsidRPr="004C78D8">
              <w:rPr>
                <w:sz w:val="18"/>
                <w:szCs w:val="18"/>
                <w:vertAlign w:val="superscript"/>
              </w:rPr>
              <w:t>nd</w:t>
            </w:r>
            <w:r w:rsidR="00CF15A6" w:rsidRPr="004C78D8">
              <w:rPr>
                <w:sz w:val="18"/>
                <w:szCs w:val="18"/>
              </w:rPr>
              <w:t xml:space="preserve"> highest EDE INHB under Kolm α=0.5</w:t>
            </w:r>
            <w:r w:rsidR="00167ABC" w:rsidRPr="004C78D8">
              <w:rPr>
                <w:sz w:val="18"/>
                <w:szCs w:val="18"/>
              </w:rPr>
              <w:t>; highest impact on individual-level lifetime outcomes</w:t>
            </w:r>
            <w:r w:rsidR="00CF15A6" w:rsidRPr="004C78D8">
              <w:rPr>
                <w:sz w:val="18"/>
                <w:szCs w:val="18"/>
              </w:rPr>
              <w:t>.</w:t>
            </w:r>
          </w:p>
        </w:tc>
        <w:tc>
          <w:tcPr>
            <w:tcW w:w="1714" w:type="pct"/>
            <w:tcBorders>
              <w:top w:val="nil"/>
              <w:bottom w:val="nil"/>
            </w:tcBorders>
          </w:tcPr>
          <w:p w14:paraId="691DD91A" w14:textId="77777777" w:rsidR="00C44512" w:rsidRPr="004C78D8" w:rsidRDefault="00C44512" w:rsidP="00FB7C1F">
            <w:pPr>
              <w:jc w:val="left"/>
              <w:rPr>
                <w:sz w:val="18"/>
                <w:szCs w:val="18"/>
              </w:rPr>
            </w:pPr>
          </w:p>
        </w:tc>
      </w:tr>
      <w:tr w:rsidR="00C44512" w:rsidRPr="004C78D8" w14:paraId="6D921FEA" w14:textId="391EB1BB" w:rsidTr="00E35893">
        <w:tc>
          <w:tcPr>
            <w:tcW w:w="303" w:type="pct"/>
            <w:tcBorders>
              <w:top w:val="nil"/>
            </w:tcBorders>
          </w:tcPr>
          <w:p w14:paraId="383B3E02" w14:textId="3E6E7BA5" w:rsidR="00C44512" w:rsidRPr="004C78D8" w:rsidRDefault="00167ABC" w:rsidP="00FB7C1F">
            <w:pPr>
              <w:jc w:val="left"/>
              <w:rPr>
                <w:sz w:val="18"/>
                <w:szCs w:val="18"/>
              </w:rPr>
            </w:pPr>
            <w:r w:rsidRPr="004C78D8">
              <w:rPr>
                <w:sz w:val="18"/>
                <w:szCs w:val="18"/>
              </w:rPr>
              <w:t>[22]</w:t>
            </w:r>
          </w:p>
        </w:tc>
        <w:tc>
          <w:tcPr>
            <w:tcW w:w="1271" w:type="pct"/>
            <w:tcBorders>
              <w:top w:val="nil"/>
            </w:tcBorders>
          </w:tcPr>
          <w:p w14:paraId="53C69D5B" w14:textId="66EE7BCA" w:rsidR="00C44512" w:rsidRPr="004C78D8" w:rsidRDefault="00167ABC" w:rsidP="00FB7C1F">
            <w:pPr>
              <w:jc w:val="left"/>
              <w:rPr>
                <w:sz w:val="18"/>
                <w:szCs w:val="18"/>
              </w:rPr>
            </w:pPr>
            <w:r w:rsidRPr="004C78D8">
              <w:rPr>
                <w:sz w:val="18"/>
                <w:szCs w:val="18"/>
              </w:rPr>
              <w:t>RC</w:t>
            </w:r>
          </w:p>
        </w:tc>
        <w:tc>
          <w:tcPr>
            <w:tcW w:w="1713" w:type="pct"/>
            <w:tcBorders>
              <w:top w:val="nil"/>
            </w:tcBorders>
          </w:tcPr>
          <w:p w14:paraId="058F829B" w14:textId="5760E674" w:rsidR="00C44512" w:rsidRPr="004C78D8" w:rsidRDefault="00167ABC" w:rsidP="00FB7C1F">
            <w:pPr>
              <w:jc w:val="left"/>
              <w:rPr>
                <w:sz w:val="18"/>
                <w:szCs w:val="18"/>
              </w:rPr>
            </w:pPr>
            <w:r w:rsidRPr="004C78D8">
              <w:rPr>
                <w:sz w:val="18"/>
                <w:szCs w:val="18"/>
              </w:rPr>
              <w:t>2</w:t>
            </w:r>
            <w:r w:rsidRPr="004C78D8">
              <w:rPr>
                <w:sz w:val="18"/>
                <w:szCs w:val="18"/>
                <w:vertAlign w:val="superscript"/>
              </w:rPr>
              <w:t>nd</w:t>
            </w:r>
            <w:r w:rsidRPr="004C78D8">
              <w:rPr>
                <w:sz w:val="18"/>
                <w:szCs w:val="18"/>
              </w:rPr>
              <w:t xml:space="preserve"> highest impact on individual-level lifetime outcomes</w:t>
            </w:r>
            <w:r w:rsidR="00602406" w:rsidRPr="004C78D8">
              <w:rPr>
                <w:sz w:val="18"/>
                <w:szCs w:val="18"/>
              </w:rPr>
              <w:t>; 2</w:t>
            </w:r>
            <w:r w:rsidR="00602406" w:rsidRPr="004C78D8">
              <w:rPr>
                <w:sz w:val="18"/>
                <w:szCs w:val="18"/>
                <w:vertAlign w:val="superscript"/>
              </w:rPr>
              <w:t>nd</w:t>
            </w:r>
            <w:r w:rsidR="00602406" w:rsidRPr="004C78D8">
              <w:rPr>
                <w:sz w:val="18"/>
                <w:szCs w:val="18"/>
              </w:rPr>
              <w:t xml:space="preserve"> highest aggregate INMB (£35</w:t>
            </w:r>
            <w:r w:rsidR="00473713" w:rsidRPr="004C78D8">
              <w:rPr>
                <w:sz w:val="18"/>
                <w:szCs w:val="18"/>
              </w:rPr>
              <w:t>8.7</w:t>
            </w:r>
            <w:r w:rsidR="004D5364" w:rsidRPr="004C78D8">
              <w:rPr>
                <w:sz w:val="18"/>
                <w:szCs w:val="18"/>
              </w:rPr>
              <w:t>m</w:t>
            </w:r>
            <w:r w:rsidR="00602406" w:rsidRPr="004C78D8">
              <w:rPr>
                <w:sz w:val="18"/>
                <w:szCs w:val="18"/>
              </w:rPr>
              <w:t>)</w:t>
            </w:r>
          </w:p>
        </w:tc>
        <w:tc>
          <w:tcPr>
            <w:tcW w:w="1714" w:type="pct"/>
            <w:tcBorders>
              <w:top w:val="nil"/>
            </w:tcBorders>
          </w:tcPr>
          <w:p w14:paraId="6995335D" w14:textId="77777777" w:rsidR="00C44512" w:rsidRPr="004C78D8" w:rsidRDefault="00C44512" w:rsidP="00FB7C1F">
            <w:pPr>
              <w:jc w:val="left"/>
              <w:rPr>
                <w:sz w:val="18"/>
                <w:szCs w:val="18"/>
              </w:rPr>
            </w:pPr>
          </w:p>
        </w:tc>
      </w:tr>
      <w:tr w:rsidR="00C44512" w:rsidRPr="004C78D8" w14:paraId="4E96BCF1" w14:textId="1BE06E39" w:rsidTr="00E35893">
        <w:tc>
          <w:tcPr>
            <w:tcW w:w="5000" w:type="pct"/>
            <w:gridSpan w:val="4"/>
          </w:tcPr>
          <w:p w14:paraId="4443E300" w14:textId="0F840F65" w:rsidR="00C44512" w:rsidRPr="004C78D8" w:rsidRDefault="00C44512" w:rsidP="00FB7C1F">
            <w:pPr>
              <w:rPr>
                <w:sz w:val="18"/>
                <w:szCs w:val="18"/>
              </w:rPr>
            </w:pPr>
            <w:r w:rsidRPr="004C78D8">
              <w:rPr>
                <w:b/>
                <w:bCs/>
                <w:sz w:val="18"/>
                <w:szCs w:val="18"/>
              </w:rPr>
              <w:t>Abbreviation:</w:t>
            </w:r>
            <w:r w:rsidRPr="004C78D8">
              <w:rPr>
                <w:sz w:val="18"/>
                <w:szCs w:val="18"/>
              </w:rPr>
              <w:t xml:space="preserve"> AC: all-cause; CRC(#): constrained recommended care scenario (#); CUA: cost-utility analysis; </w:t>
            </w:r>
            <w:r w:rsidR="00883068" w:rsidRPr="004C78D8">
              <w:rPr>
                <w:sz w:val="18"/>
                <w:szCs w:val="18"/>
              </w:rPr>
              <w:t xml:space="preserve">EDE: equally distributed equivalent; FH: falls hazard; </w:t>
            </w:r>
            <w:r w:rsidRPr="004C78D8">
              <w:rPr>
                <w:sz w:val="18"/>
                <w:szCs w:val="18"/>
              </w:rPr>
              <w:t xml:space="preserve">ICER: incremental cost-effectiveness ratio; </w:t>
            </w:r>
            <w:r w:rsidR="00883068" w:rsidRPr="004C78D8">
              <w:rPr>
                <w:sz w:val="18"/>
                <w:szCs w:val="18"/>
              </w:rPr>
              <w:t xml:space="preserve">INHB: incremental net health benefit; </w:t>
            </w:r>
            <w:r w:rsidR="001D6C64" w:rsidRPr="004C78D8">
              <w:rPr>
                <w:sz w:val="18"/>
                <w:szCs w:val="18"/>
              </w:rPr>
              <w:t xml:space="preserve">INMB: incremental net monetary benefit; </w:t>
            </w:r>
            <w:r w:rsidRPr="004C78D8">
              <w:rPr>
                <w:sz w:val="18"/>
                <w:szCs w:val="18"/>
              </w:rPr>
              <w:t xml:space="preserve">PA: physical activity; PS: public sector; QALY: quality-adjusted life year; RC: recommended care; ROI: return on investment; SES: socioeconomic status; </w:t>
            </w:r>
            <w:r w:rsidR="001D6C64" w:rsidRPr="004C78D8">
              <w:rPr>
                <w:sz w:val="18"/>
                <w:szCs w:val="18"/>
              </w:rPr>
              <w:t xml:space="preserve">SR: self-referred; </w:t>
            </w:r>
            <w:r w:rsidRPr="004C78D8">
              <w:rPr>
                <w:sz w:val="18"/>
                <w:szCs w:val="18"/>
              </w:rPr>
              <w:t xml:space="preserve">UC: usual care. </w:t>
            </w:r>
          </w:p>
          <w:p w14:paraId="7A9B8EB4" w14:textId="1DFA5BEC" w:rsidR="00C44512" w:rsidRPr="004C78D8" w:rsidRDefault="00C44512" w:rsidP="00FB7C1F">
            <w:pPr>
              <w:jc w:val="left"/>
              <w:rPr>
                <w:sz w:val="18"/>
                <w:szCs w:val="18"/>
              </w:rPr>
            </w:pPr>
            <w:r w:rsidRPr="004C78D8">
              <w:rPr>
                <w:sz w:val="18"/>
                <w:szCs w:val="18"/>
                <w:vertAlign w:val="superscript"/>
              </w:rPr>
              <w:t>1</w:t>
            </w:r>
            <w:r w:rsidRPr="004C78D8">
              <w:rPr>
                <w:sz w:val="18"/>
                <w:szCs w:val="18"/>
              </w:rPr>
              <w:t xml:space="preserve"> Assigned in Table </w:t>
            </w:r>
            <w:r w:rsidR="00923BB3" w:rsidRPr="004C78D8">
              <w:rPr>
                <w:sz w:val="18"/>
                <w:szCs w:val="18"/>
              </w:rPr>
              <w:t>6</w:t>
            </w:r>
            <w:r w:rsidRPr="004C78D8">
              <w:rPr>
                <w:sz w:val="18"/>
                <w:szCs w:val="18"/>
              </w:rPr>
              <w:t>.</w:t>
            </w:r>
            <w:r w:rsidR="00923BB3" w:rsidRPr="004C78D8">
              <w:rPr>
                <w:sz w:val="18"/>
                <w:szCs w:val="18"/>
              </w:rPr>
              <w:t>18</w:t>
            </w:r>
            <w:r w:rsidRPr="004C78D8">
              <w:rPr>
                <w:sz w:val="18"/>
                <w:szCs w:val="18"/>
              </w:rPr>
              <w:t xml:space="preserve"> according to increasing incremental public sector all-cause cost.</w:t>
            </w:r>
          </w:p>
          <w:p w14:paraId="0BF148B7" w14:textId="418C126E" w:rsidR="00CF15A6" w:rsidRPr="004C78D8" w:rsidRDefault="00CF15A6" w:rsidP="00FB7C1F">
            <w:pPr>
              <w:jc w:val="left"/>
              <w:rPr>
                <w:sz w:val="18"/>
                <w:szCs w:val="18"/>
              </w:rPr>
            </w:pPr>
            <w:r w:rsidRPr="004C78D8">
              <w:rPr>
                <w:sz w:val="18"/>
                <w:szCs w:val="18"/>
                <w:vertAlign w:val="superscript"/>
              </w:rPr>
              <w:t>2</w:t>
            </w:r>
            <w:r w:rsidRPr="004C78D8">
              <w:rPr>
                <w:sz w:val="18"/>
                <w:szCs w:val="18"/>
              </w:rPr>
              <w:t xml:space="preserve"> All INHBs and INMBs calculated under the cost-effectiveness threshold of £30,000 per QALY gain</w:t>
            </w:r>
            <w:r w:rsidR="00D16469" w:rsidRPr="004C78D8">
              <w:rPr>
                <w:sz w:val="18"/>
                <w:szCs w:val="18"/>
              </w:rPr>
              <w:t>ed</w:t>
            </w:r>
            <w:r w:rsidRPr="004C78D8">
              <w:rPr>
                <w:sz w:val="18"/>
                <w:szCs w:val="18"/>
              </w:rPr>
              <w:t>.</w:t>
            </w:r>
          </w:p>
        </w:tc>
      </w:tr>
    </w:tbl>
    <w:p w14:paraId="3D096BA7" w14:textId="382B0C11" w:rsidR="00744197" w:rsidRPr="004C78D8" w:rsidRDefault="00744197" w:rsidP="00FB7C1F"/>
    <w:p w14:paraId="2CA53A4C" w14:textId="34BC16E6" w:rsidR="009213F8" w:rsidRPr="004C78D8" w:rsidRDefault="002C6F7F" w:rsidP="00FB7C1F">
      <w:r w:rsidRPr="004C78D8">
        <w:t>Strategies [1], [2], [3], [5] and [18] were strong candidates under both frameworks</w:t>
      </w:r>
      <w:r w:rsidR="00873FE6" w:rsidRPr="004C78D8">
        <w:t xml:space="preserve">, while [6], [19] and [22] provided some rationale under the 40-year societal CUA. As noted, strategy [19] performed best in terms of </w:t>
      </w:r>
      <w:r w:rsidR="00D500EE" w:rsidRPr="004C78D8">
        <w:t>efficiency</w:t>
      </w:r>
      <w:r w:rsidR="00873FE6" w:rsidRPr="004C78D8">
        <w:t xml:space="preserve"> (</w:t>
      </w:r>
      <w:r w:rsidR="00CA6215" w:rsidRPr="004C78D8">
        <w:t>if the decision-maker is willing to spend £20,691 per QALY gain</w:t>
      </w:r>
      <w:r w:rsidR="00D16469" w:rsidRPr="004C78D8">
        <w:t>ed</w:t>
      </w:r>
      <w:r w:rsidR="00873FE6" w:rsidRPr="004C78D8">
        <w:t xml:space="preserve">) and individual-level lifetime outcomes, while [18] generated the highest EDE INHBs. </w:t>
      </w:r>
      <w:r w:rsidR="006E7A78" w:rsidRPr="004C78D8">
        <w:t>But</w:t>
      </w:r>
      <w:r w:rsidR="009213F8" w:rsidRPr="004C78D8">
        <w:t xml:space="preserve"> concern over the public sector budget impact may rule out [18], [19] and [22].</w:t>
      </w:r>
      <w:r w:rsidR="006E7A78" w:rsidRPr="004C78D8">
        <w:t xml:space="preserve"> Nevertheless, strategies [1] to [3] with small budget impacts generated correspondingly small aggregate INMBs (£39.9 million, £79.2 million, and £88.9 million, respectively). Commissioners may hence consider strategy [6] that generated aggregate INMB of £329.0 million </w:t>
      </w:r>
      <w:r w:rsidR="002621F8" w:rsidRPr="004C78D8">
        <w:t xml:space="preserve">(third highest among strategies) </w:t>
      </w:r>
      <w:r w:rsidR="006E7A78" w:rsidRPr="004C78D8">
        <w:t>at a modest budget impact of £54.6 million.</w:t>
      </w:r>
    </w:p>
    <w:p w14:paraId="6A2AA3B2" w14:textId="28A53B7C" w:rsidR="00084461" w:rsidRPr="004C78D8" w:rsidRDefault="00CD4DDF" w:rsidP="00FB7C1F">
      <w:r w:rsidRPr="004C78D8">
        <w:t xml:space="preserve">Significantly, five of eight candidate strategies involved environmental interventions. Hence, commissioning recommendation depends strongly on </w:t>
      </w:r>
      <w:r w:rsidR="00D675B3" w:rsidRPr="004C78D8">
        <w:t>the feasibility of the</w:t>
      </w:r>
      <w:r w:rsidRPr="004C78D8">
        <w:t xml:space="preserve"> environmental strategies</w:t>
      </w:r>
      <w:r w:rsidR="00D675B3" w:rsidRPr="004C78D8">
        <w:t xml:space="preserve">: i.e., whether they </w:t>
      </w:r>
      <w:r w:rsidRPr="004C78D8">
        <w:t xml:space="preserve">lie within the decision space of the commissioning team. The Sheffield City Council commissioner confirmed that environmental interventions are </w:t>
      </w:r>
      <w:r w:rsidR="005C258D" w:rsidRPr="004C78D8">
        <w:t xml:space="preserve">within their purview (see </w:t>
      </w:r>
      <w:r w:rsidR="00AF6830" w:rsidRPr="004C78D8">
        <w:t>S</w:t>
      </w:r>
      <w:r w:rsidR="005C258D" w:rsidRPr="004C78D8">
        <w:t>ection</w:t>
      </w:r>
      <w:r w:rsidR="00AF6830" w:rsidRPr="004C78D8">
        <w:t xml:space="preserve"> </w:t>
      </w:r>
      <w:r w:rsidR="00923BB3" w:rsidRPr="004C78D8">
        <w:t>6</w:t>
      </w:r>
      <w:r w:rsidR="00AF6830" w:rsidRPr="004C78D8">
        <w:t>.6.2</w:t>
      </w:r>
      <w:r w:rsidR="005C258D" w:rsidRPr="004C78D8">
        <w:t xml:space="preserve">). But the efficacy and cost assumptions for the environmental interventions are less credible than other intervention parameters sourced from RCTs. It is unclear, for example, whether the 5% efficacy of PA promotion and falls risk reduction would apply uniformly to all individuals in the target population. </w:t>
      </w:r>
    </w:p>
    <w:p w14:paraId="5578A0D9" w14:textId="0AAB457A" w:rsidR="00CD4DDF" w:rsidRPr="004C78D8" w:rsidRDefault="005C258D" w:rsidP="00FB7C1F">
      <w:r w:rsidRPr="004C78D8">
        <w:t xml:space="preserve">If environmental interventions are ruled out, then strategies [18] and [19] </w:t>
      </w:r>
      <w:r w:rsidR="00B533C7" w:rsidRPr="004C78D8">
        <w:t xml:space="preserve">would not be considered. Then strategy [22] of RC would generate a societal ICER of £26,366 per QALY </w:t>
      </w:r>
      <w:r w:rsidR="00AF6830" w:rsidRPr="004C78D8">
        <w:t>vs. its next best alternative,</w:t>
      </w:r>
      <w:r w:rsidR="00B533C7" w:rsidRPr="004C78D8">
        <w:t xml:space="preserve"> strategy [6] </w:t>
      </w:r>
      <w:r w:rsidR="00AF6830" w:rsidRPr="004C78D8">
        <w:t xml:space="preserve">(Table </w:t>
      </w:r>
      <w:r w:rsidR="00923BB3" w:rsidRPr="004C78D8">
        <w:t>6</w:t>
      </w:r>
      <w:r w:rsidR="00AF6830" w:rsidRPr="004C78D8">
        <w:t>.</w:t>
      </w:r>
      <w:r w:rsidR="00923BB3" w:rsidRPr="004C78D8">
        <w:t>18</w:t>
      </w:r>
      <w:r w:rsidR="00AF6830" w:rsidRPr="004C78D8">
        <w:t xml:space="preserve">); </w:t>
      </w:r>
      <w:r w:rsidR="00B533C7" w:rsidRPr="004C78D8">
        <w:t xml:space="preserve">strategy [21] would no longer be strongly dominated by [19] but extendedly dominated by [6] and [22]. </w:t>
      </w:r>
      <w:r w:rsidR="00084461" w:rsidRPr="004C78D8">
        <w:t xml:space="preserve">Therefore, the guideline-recommended RC would be a strong option only </w:t>
      </w:r>
      <w:r w:rsidR="00D675B3" w:rsidRPr="004C78D8">
        <w:t>when environmental interventions are not feasible</w:t>
      </w:r>
      <w:r w:rsidR="00084461" w:rsidRPr="004C78D8">
        <w:t xml:space="preserve"> and under a cost-effectiveness threshold higher than £26,366 per QALY</w:t>
      </w:r>
      <w:r w:rsidR="00AF6830" w:rsidRPr="004C78D8">
        <w:t xml:space="preserve"> gain</w:t>
      </w:r>
      <w:r w:rsidR="00D16469" w:rsidRPr="004C78D8">
        <w:t>ed</w:t>
      </w:r>
      <w:r w:rsidR="00084461" w:rsidRPr="004C78D8">
        <w:t>. Though the latter is less than the commonly accepted threshold of £30,000 per QALY, the high budget impact of RC (£269.8 million) may in</w:t>
      </w:r>
      <w:r w:rsidR="00D675B3" w:rsidRPr="004C78D8">
        <w:t>vite</w:t>
      </w:r>
      <w:r w:rsidR="00084461" w:rsidRPr="004C78D8">
        <w:t xml:space="preserve"> a comparison to a lower threshold to account for the greater resource opportunity cost </w:t>
      </w:r>
      <w:r w:rsidR="00084461" w:rsidRPr="004C78D8">
        <w:fldChar w:fldCharType="begin"/>
      </w:r>
      <w:r w:rsidR="00513646" w:rsidRPr="004C78D8">
        <w:instrText xml:space="preserve"> ADDIN EN.CITE &lt;EndNote&gt;&lt;Cite&gt;&lt;Author&gt;Drummond&lt;/Author&gt;&lt;Year&gt;2015&lt;/Year&gt;&lt;RecNum&gt;2&lt;/RecNum&gt;&lt;DisplayText&gt;[145]&lt;/DisplayText&gt;&lt;record&gt;&lt;rec-number&gt;2&lt;/rec-number&gt;&lt;foreign-keys&gt;&lt;key app="EN" db-id="tdtrdw9aepptzbefsat599syza29sxsd2wsp" timestamp="1596571149"&gt;2&lt;/key&gt;&lt;/foreign-keys&gt;&lt;ref-type name="Book"&gt;6&lt;/ref-type&gt;&lt;contributors&gt;&lt;authors&gt;&lt;author&gt;Drummond, Michael F&lt;/author&gt;&lt;author&gt;Sculpher, Mark J&lt;/author&gt;&lt;author&gt;Claxton, Karl&lt;/author&gt;&lt;author&gt;Stoddart, Greg L&lt;/author&gt;&lt;author&gt;Torrance, George W&lt;/author&gt;&lt;/authors&gt;&lt;/contributors&gt;&lt;titles&gt;&lt;title&gt;Methods for the economic evaluation of health care programmes&lt;/title&gt;&lt;/titles&gt;&lt;dates&gt;&lt;year&gt;2015&lt;/year&gt;&lt;/dates&gt;&lt;publisher&gt;Oxford university press&lt;/publisher&gt;&lt;isbn&gt;0191643580&lt;/isbn&gt;&lt;urls&gt;&lt;/urls&gt;&lt;/record&gt;&lt;/Cite&gt;&lt;/EndNote&gt;</w:instrText>
      </w:r>
      <w:r w:rsidR="00084461" w:rsidRPr="004C78D8">
        <w:fldChar w:fldCharType="separate"/>
      </w:r>
      <w:r w:rsidR="00513646" w:rsidRPr="004C78D8">
        <w:rPr>
          <w:noProof/>
        </w:rPr>
        <w:t>[145]</w:t>
      </w:r>
      <w:r w:rsidR="00084461" w:rsidRPr="004C78D8">
        <w:fldChar w:fldCharType="end"/>
      </w:r>
      <w:r w:rsidR="00084461" w:rsidRPr="004C78D8">
        <w:t xml:space="preserve">. </w:t>
      </w:r>
    </w:p>
    <w:p w14:paraId="62DAAE28" w14:textId="1FB65BD9" w:rsidR="002C6F7F" w:rsidRPr="004C78D8" w:rsidRDefault="005E7955" w:rsidP="00FB7C1F">
      <w:r w:rsidRPr="004C78D8">
        <w:t xml:space="preserve">Interestingly, all capacity constrained </w:t>
      </w:r>
      <w:r w:rsidR="0078241D" w:rsidRPr="004C78D8">
        <w:t>strategies</w:t>
      </w:r>
      <w:r w:rsidRPr="004C78D8">
        <w:t xml:space="preserve"> other than [18] and [19] were strongly dominated by [6] that encompassed unconstrained RC configurations of reactive and self-referred pathways. A key question, therefore, is whether Sheffield can accommodate the </w:t>
      </w:r>
      <w:r w:rsidR="002653E7" w:rsidRPr="004C78D8">
        <w:t xml:space="preserve">capacity requirements of these two pathways, and particularly that of the self-referred pathway which would see client flow expanding </w:t>
      </w:r>
      <w:r w:rsidR="0072035C" w:rsidRPr="004C78D8">
        <w:t xml:space="preserve">from 1,885 </w:t>
      </w:r>
      <w:r w:rsidR="002653E7" w:rsidRPr="004C78D8">
        <w:t>to 12,793 users per year</w:t>
      </w:r>
      <w:r w:rsidR="0072035C" w:rsidRPr="004C78D8">
        <w:t xml:space="preserve"> (Table </w:t>
      </w:r>
      <w:r w:rsidR="00923BB3" w:rsidRPr="004C78D8">
        <w:t>F11</w:t>
      </w:r>
      <w:r w:rsidR="0072035C" w:rsidRPr="004C78D8">
        <w:t>)</w:t>
      </w:r>
      <w:r w:rsidR="002653E7" w:rsidRPr="004C78D8">
        <w:t xml:space="preserve">. </w:t>
      </w:r>
      <w:r w:rsidR="005806E9" w:rsidRPr="004C78D8">
        <w:t>If this is not feasible, then the recommendation</w:t>
      </w:r>
      <w:r w:rsidR="00766EB2" w:rsidRPr="004C78D8">
        <w:t>s</w:t>
      </w:r>
      <w:r w:rsidR="005806E9" w:rsidRPr="004C78D8">
        <w:t xml:space="preserve"> would change greatly</w:t>
      </w:r>
      <w:r w:rsidR="00B76159" w:rsidRPr="004C78D8">
        <w:t xml:space="preserve"> as </w:t>
      </w:r>
      <w:r w:rsidR="00766EB2" w:rsidRPr="004C78D8">
        <w:t>shown</w:t>
      </w:r>
      <w:r w:rsidR="00B76159" w:rsidRPr="004C78D8">
        <w:t xml:space="preserve"> in Table </w:t>
      </w:r>
      <w:r w:rsidR="00923BB3" w:rsidRPr="004C78D8">
        <w:t>6</w:t>
      </w:r>
      <w:r w:rsidR="00B76159" w:rsidRPr="004C78D8">
        <w:t>.</w:t>
      </w:r>
      <w:r w:rsidR="00923BB3" w:rsidRPr="004C78D8">
        <w:t>23</w:t>
      </w:r>
      <w:r w:rsidR="00960B56" w:rsidRPr="004C78D8">
        <w:t>; the rows for dominated strategies are shaded in grey.</w:t>
      </w:r>
    </w:p>
    <w:tbl>
      <w:tblPr>
        <w:tblStyle w:val="TableGrid"/>
        <w:tblW w:w="5000" w:type="pct"/>
        <w:tblLook w:val="04A0" w:firstRow="1" w:lastRow="0" w:firstColumn="1" w:lastColumn="0" w:noHBand="0" w:noVBand="1"/>
      </w:tblPr>
      <w:tblGrid>
        <w:gridCol w:w="516"/>
        <w:gridCol w:w="2850"/>
        <w:gridCol w:w="1156"/>
        <w:gridCol w:w="1248"/>
        <w:gridCol w:w="994"/>
        <w:gridCol w:w="1046"/>
        <w:gridCol w:w="1206"/>
      </w:tblGrid>
      <w:tr w:rsidR="00423A93" w:rsidRPr="004C78D8" w14:paraId="7A5F98D0" w14:textId="77777777" w:rsidTr="00E35893">
        <w:tc>
          <w:tcPr>
            <w:tcW w:w="5000" w:type="pct"/>
            <w:gridSpan w:val="7"/>
          </w:tcPr>
          <w:p w14:paraId="574B2F3A" w14:textId="3D035139" w:rsidR="00423A93" w:rsidRPr="004C78D8" w:rsidRDefault="00423A93" w:rsidP="00FB7C1F">
            <w:r w:rsidRPr="004C78D8">
              <w:rPr>
                <w:b/>
                <w:bCs/>
              </w:rPr>
              <w:t xml:space="preserve">Table </w:t>
            </w:r>
            <w:r w:rsidR="00923BB3" w:rsidRPr="004C78D8">
              <w:rPr>
                <w:b/>
                <w:bCs/>
              </w:rPr>
              <w:t>6</w:t>
            </w:r>
            <w:r w:rsidRPr="004C78D8">
              <w:rPr>
                <w:b/>
                <w:bCs/>
              </w:rPr>
              <w:t>.</w:t>
            </w:r>
            <w:r w:rsidR="00923BB3" w:rsidRPr="004C78D8">
              <w:rPr>
                <w:b/>
                <w:bCs/>
              </w:rPr>
              <w:t>23</w:t>
            </w:r>
            <w:r w:rsidRPr="004C78D8">
              <w:t xml:space="preserve"> Comparison of capacity constrained, non-environmental intervention strategies under 40-year societal cost-utility analysis.</w:t>
            </w:r>
          </w:p>
        </w:tc>
      </w:tr>
      <w:tr w:rsidR="00423A93" w:rsidRPr="004C78D8" w14:paraId="240C08A4" w14:textId="77777777" w:rsidTr="00E35893">
        <w:tc>
          <w:tcPr>
            <w:tcW w:w="5000" w:type="pct"/>
            <w:gridSpan w:val="7"/>
            <w:tcBorders>
              <w:bottom w:val="single" w:sz="4" w:space="0" w:color="auto"/>
            </w:tcBorders>
          </w:tcPr>
          <w:p w14:paraId="353A98FE" w14:textId="5CC673E3" w:rsidR="00423A93" w:rsidRPr="004C78D8" w:rsidRDefault="00423A93" w:rsidP="00FB7C1F">
            <w:pPr>
              <w:jc w:val="left"/>
              <w:rPr>
                <w:b/>
                <w:bCs/>
                <w:sz w:val="18"/>
                <w:szCs w:val="18"/>
              </w:rPr>
            </w:pPr>
            <w:r w:rsidRPr="004C78D8">
              <w:rPr>
                <w:b/>
                <w:bCs/>
                <w:sz w:val="18"/>
                <w:szCs w:val="18"/>
              </w:rPr>
              <w:t>Cost-effectiveness comparison</w:t>
            </w:r>
          </w:p>
        </w:tc>
      </w:tr>
      <w:tr w:rsidR="00423A93" w:rsidRPr="004C78D8" w14:paraId="2BE72204" w14:textId="77777777" w:rsidTr="00E35893">
        <w:tc>
          <w:tcPr>
            <w:tcW w:w="286" w:type="pct"/>
            <w:tcBorders>
              <w:bottom w:val="single" w:sz="4" w:space="0" w:color="auto"/>
            </w:tcBorders>
            <w:vAlign w:val="bottom"/>
          </w:tcPr>
          <w:p w14:paraId="40764E1C" w14:textId="1D42FD3E" w:rsidR="00423A93" w:rsidRPr="004C78D8" w:rsidRDefault="00423A93" w:rsidP="00FB7C1F">
            <w:pPr>
              <w:jc w:val="left"/>
              <w:rPr>
                <w:b/>
                <w:bCs/>
                <w:sz w:val="18"/>
                <w:szCs w:val="18"/>
              </w:rPr>
            </w:pPr>
            <w:r w:rsidRPr="004C78D8">
              <w:rPr>
                <w:b/>
                <w:bCs/>
                <w:sz w:val="18"/>
                <w:szCs w:val="18"/>
              </w:rPr>
              <w:t>[#]</w:t>
            </w:r>
            <w:r w:rsidR="00F135D9" w:rsidRPr="004C78D8">
              <w:rPr>
                <w:b/>
                <w:bCs/>
                <w:sz w:val="18"/>
                <w:szCs w:val="18"/>
                <w:vertAlign w:val="superscript"/>
              </w:rPr>
              <w:t>1</w:t>
            </w:r>
          </w:p>
        </w:tc>
        <w:tc>
          <w:tcPr>
            <w:tcW w:w="1598" w:type="pct"/>
            <w:tcBorders>
              <w:bottom w:val="single" w:sz="4" w:space="0" w:color="auto"/>
            </w:tcBorders>
            <w:vAlign w:val="bottom"/>
          </w:tcPr>
          <w:p w14:paraId="159F6D67" w14:textId="733B46B2" w:rsidR="00423A93" w:rsidRPr="004C78D8" w:rsidRDefault="00423A93" w:rsidP="00FB7C1F">
            <w:pPr>
              <w:jc w:val="left"/>
              <w:rPr>
                <w:b/>
                <w:bCs/>
                <w:sz w:val="18"/>
                <w:szCs w:val="18"/>
              </w:rPr>
            </w:pPr>
            <w:r w:rsidRPr="004C78D8">
              <w:rPr>
                <w:b/>
                <w:bCs/>
                <w:sz w:val="18"/>
                <w:szCs w:val="18"/>
              </w:rPr>
              <w:t>Strategy</w:t>
            </w:r>
            <w:r w:rsidR="00D675B3" w:rsidRPr="004C78D8">
              <w:rPr>
                <w:b/>
                <w:bCs/>
                <w:sz w:val="18"/>
                <w:szCs w:val="18"/>
                <w:vertAlign w:val="superscript"/>
              </w:rPr>
              <w:t>2</w:t>
            </w:r>
          </w:p>
        </w:tc>
        <w:tc>
          <w:tcPr>
            <w:tcW w:w="564" w:type="pct"/>
            <w:tcBorders>
              <w:bottom w:val="single" w:sz="4" w:space="0" w:color="auto"/>
            </w:tcBorders>
            <w:vAlign w:val="bottom"/>
          </w:tcPr>
          <w:p w14:paraId="2034CB1B" w14:textId="77777777" w:rsidR="00423A93" w:rsidRPr="004C78D8" w:rsidRDefault="00423A93" w:rsidP="00FB7C1F">
            <w:pPr>
              <w:jc w:val="left"/>
              <w:rPr>
                <w:b/>
                <w:bCs/>
                <w:sz w:val="18"/>
                <w:szCs w:val="18"/>
              </w:rPr>
            </w:pPr>
            <w:r w:rsidRPr="004C78D8">
              <w:rPr>
                <w:b/>
                <w:bCs/>
                <w:sz w:val="18"/>
                <w:szCs w:val="18"/>
              </w:rPr>
              <w:t>Incremental societal QALY vs. UC</w:t>
            </w:r>
          </w:p>
        </w:tc>
        <w:tc>
          <w:tcPr>
            <w:tcW w:w="710" w:type="pct"/>
            <w:tcBorders>
              <w:bottom w:val="single" w:sz="4" w:space="0" w:color="auto"/>
            </w:tcBorders>
            <w:vAlign w:val="bottom"/>
          </w:tcPr>
          <w:p w14:paraId="2460979D" w14:textId="77777777" w:rsidR="00423A93" w:rsidRPr="004C78D8" w:rsidRDefault="00423A93" w:rsidP="00FB7C1F">
            <w:pPr>
              <w:jc w:val="left"/>
              <w:rPr>
                <w:b/>
                <w:bCs/>
                <w:sz w:val="18"/>
                <w:szCs w:val="18"/>
              </w:rPr>
            </w:pPr>
            <w:r w:rsidRPr="004C78D8">
              <w:rPr>
                <w:b/>
                <w:bCs/>
                <w:sz w:val="18"/>
                <w:szCs w:val="18"/>
              </w:rPr>
              <w:t>Incremental public sector all-cause cost vs. UC</w:t>
            </w:r>
          </w:p>
        </w:tc>
        <w:tc>
          <w:tcPr>
            <w:tcW w:w="569" w:type="pct"/>
            <w:tcBorders>
              <w:bottom w:val="single" w:sz="4" w:space="0" w:color="auto"/>
            </w:tcBorders>
            <w:vAlign w:val="bottom"/>
          </w:tcPr>
          <w:p w14:paraId="28A51C7B" w14:textId="77777777" w:rsidR="00423A93" w:rsidRPr="004C78D8" w:rsidRDefault="00423A93" w:rsidP="00FB7C1F">
            <w:pPr>
              <w:jc w:val="left"/>
              <w:rPr>
                <w:b/>
                <w:bCs/>
                <w:sz w:val="18"/>
                <w:szCs w:val="18"/>
              </w:rPr>
            </w:pPr>
            <w:r w:rsidRPr="004C78D8">
              <w:rPr>
                <w:b/>
                <w:bCs/>
                <w:sz w:val="18"/>
                <w:szCs w:val="18"/>
              </w:rPr>
              <w:t>ICER vs. UC</w:t>
            </w:r>
          </w:p>
        </w:tc>
        <w:tc>
          <w:tcPr>
            <w:tcW w:w="594" w:type="pct"/>
            <w:tcBorders>
              <w:bottom w:val="single" w:sz="4" w:space="0" w:color="auto"/>
            </w:tcBorders>
            <w:vAlign w:val="bottom"/>
          </w:tcPr>
          <w:p w14:paraId="6142683C" w14:textId="77777777" w:rsidR="00423A93" w:rsidRPr="004C78D8" w:rsidRDefault="00423A93" w:rsidP="00FB7C1F">
            <w:pPr>
              <w:jc w:val="left"/>
              <w:rPr>
                <w:b/>
                <w:bCs/>
                <w:sz w:val="18"/>
                <w:szCs w:val="18"/>
              </w:rPr>
            </w:pPr>
            <w:r w:rsidRPr="004C78D8">
              <w:rPr>
                <w:b/>
                <w:bCs/>
                <w:sz w:val="18"/>
                <w:szCs w:val="18"/>
              </w:rPr>
              <w:t>ICER vs. next best alternative</w:t>
            </w:r>
          </w:p>
        </w:tc>
        <w:tc>
          <w:tcPr>
            <w:tcW w:w="678" w:type="pct"/>
            <w:tcBorders>
              <w:bottom w:val="single" w:sz="4" w:space="0" w:color="auto"/>
            </w:tcBorders>
            <w:vAlign w:val="bottom"/>
          </w:tcPr>
          <w:p w14:paraId="4BA59F90" w14:textId="77777777" w:rsidR="00423A93" w:rsidRPr="004C78D8" w:rsidRDefault="00423A93" w:rsidP="00FB7C1F">
            <w:pPr>
              <w:jc w:val="left"/>
              <w:rPr>
                <w:b/>
                <w:bCs/>
                <w:sz w:val="18"/>
                <w:szCs w:val="18"/>
              </w:rPr>
            </w:pPr>
            <w:r w:rsidRPr="004C78D8">
              <w:rPr>
                <w:b/>
                <w:bCs/>
                <w:sz w:val="18"/>
                <w:szCs w:val="18"/>
              </w:rPr>
              <w:t>Aggregate INMB vs. UC</w:t>
            </w:r>
          </w:p>
        </w:tc>
      </w:tr>
      <w:tr w:rsidR="00423A93" w:rsidRPr="004C78D8" w14:paraId="004710F3" w14:textId="77777777" w:rsidTr="00E35893">
        <w:tc>
          <w:tcPr>
            <w:tcW w:w="286" w:type="pct"/>
            <w:tcBorders>
              <w:top w:val="nil"/>
              <w:bottom w:val="nil"/>
            </w:tcBorders>
            <w:shd w:val="clear" w:color="auto" w:fill="auto"/>
          </w:tcPr>
          <w:p w14:paraId="34A1EAB8" w14:textId="77777777" w:rsidR="00423A93" w:rsidRPr="004C78D8" w:rsidRDefault="00423A93" w:rsidP="00FB7C1F">
            <w:pPr>
              <w:jc w:val="left"/>
              <w:rPr>
                <w:sz w:val="18"/>
                <w:szCs w:val="18"/>
              </w:rPr>
            </w:pPr>
            <w:r w:rsidRPr="004C78D8">
              <w:rPr>
                <w:sz w:val="18"/>
                <w:szCs w:val="18"/>
              </w:rPr>
              <w:t>[7]</w:t>
            </w:r>
          </w:p>
        </w:tc>
        <w:tc>
          <w:tcPr>
            <w:tcW w:w="1598" w:type="pct"/>
            <w:tcBorders>
              <w:top w:val="nil"/>
              <w:bottom w:val="nil"/>
            </w:tcBorders>
            <w:shd w:val="clear" w:color="auto" w:fill="auto"/>
          </w:tcPr>
          <w:p w14:paraId="42B67547" w14:textId="77777777" w:rsidR="00423A93" w:rsidRPr="004C78D8" w:rsidRDefault="00423A93" w:rsidP="00FB7C1F">
            <w:pPr>
              <w:jc w:val="left"/>
              <w:rPr>
                <w:sz w:val="18"/>
                <w:szCs w:val="18"/>
              </w:rPr>
            </w:pPr>
            <w:r w:rsidRPr="004C78D8">
              <w:rPr>
                <w:sz w:val="18"/>
                <w:szCs w:val="18"/>
              </w:rPr>
              <w:t>CRC(4) + 3</w:t>
            </w:r>
            <w:r w:rsidRPr="004C78D8">
              <w:rPr>
                <w:sz w:val="18"/>
                <w:szCs w:val="18"/>
                <w:vertAlign w:val="superscript"/>
              </w:rPr>
              <w:t>rd</w:t>
            </w:r>
            <w:r w:rsidRPr="004C78D8">
              <w:rPr>
                <w:sz w:val="18"/>
                <w:szCs w:val="18"/>
              </w:rPr>
              <w:t>/4</w:t>
            </w:r>
            <w:r w:rsidRPr="004C78D8">
              <w:rPr>
                <w:sz w:val="18"/>
                <w:szCs w:val="18"/>
                <w:vertAlign w:val="superscript"/>
              </w:rPr>
              <w:t>th</w:t>
            </w:r>
            <w:r w:rsidRPr="004C78D8">
              <w:rPr>
                <w:sz w:val="18"/>
                <w:szCs w:val="18"/>
              </w:rPr>
              <w:t xml:space="preserve"> SES FRS</w:t>
            </w:r>
          </w:p>
        </w:tc>
        <w:tc>
          <w:tcPr>
            <w:tcW w:w="564" w:type="pct"/>
            <w:tcBorders>
              <w:top w:val="nil"/>
              <w:left w:val="nil"/>
              <w:bottom w:val="nil"/>
              <w:right w:val="single" w:sz="4" w:space="0" w:color="auto"/>
            </w:tcBorders>
            <w:shd w:val="clear" w:color="auto" w:fill="auto"/>
          </w:tcPr>
          <w:p w14:paraId="6CBE0CDE" w14:textId="77777777" w:rsidR="00423A93" w:rsidRPr="004C78D8" w:rsidRDefault="00423A93" w:rsidP="00FB7C1F">
            <w:pPr>
              <w:jc w:val="left"/>
              <w:rPr>
                <w:rFonts w:cs="Times New Roman"/>
                <w:sz w:val="18"/>
                <w:szCs w:val="18"/>
              </w:rPr>
            </w:pPr>
            <w:r w:rsidRPr="004C78D8">
              <w:rPr>
                <w:rFonts w:cs="Times New Roman"/>
                <w:color w:val="000000"/>
                <w:sz w:val="18"/>
                <w:szCs w:val="18"/>
              </w:rPr>
              <w:t>10055</w:t>
            </w:r>
          </w:p>
        </w:tc>
        <w:tc>
          <w:tcPr>
            <w:tcW w:w="710" w:type="pct"/>
            <w:tcBorders>
              <w:top w:val="nil"/>
              <w:left w:val="single" w:sz="4" w:space="0" w:color="auto"/>
              <w:bottom w:val="nil"/>
              <w:right w:val="single" w:sz="4" w:space="0" w:color="auto"/>
            </w:tcBorders>
            <w:shd w:val="clear" w:color="auto" w:fill="auto"/>
          </w:tcPr>
          <w:p w14:paraId="520085F3" w14:textId="77777777" w:rsidR="00423A93" w:rsidRPr="004C78D8" w:rsidRDefault="00423A93" w:rsidP="00FB7C1F">
            <w:pPr>
              <w:jc w:val="left"/>
              <w:rPr>
                <w:rFonts w:cs="Times New Roman"/>
                <w:sz w:val="18"/>
                <w:szCs w:val="18"/>
              </w:rPr>
            </w:pPr>
            <w:r w:rsidRPr="004C78D8">
              <w:rPr>
                <w:rFonts w:cs="Times New Roman"/>
                <w:color w:val="000000"/>
                <w:sz w:val="18"/>
                <w:szCs w:val="18"/>
              </w:rPr>
              <w:t>£75,539,518</w:t>
            </w:r>
          </w:p>
        </w:tc>
        <w:tc>
          <w:tcPr>
            <w:tcW w:w="569" w:type="pct"/>
            <w:tcBorders>
              <w:top w:val="nil"/>
              <w:left w:val="single" w:sz="4" w:space="0" w:color="auto"/>
              <w:bottom w:val="nil"/>
              <w:right w:val="single" w:sz="4" w:space="0" w:color="auto"/>
            </w:tcBorders>
            <w:shd w:val="clear" w:color="auto" w:fill="auto"/>
          </w:tcPr>
          <w:p w14:paraId="791FAB4B" w14:textId="77777777" w:rsidR="00423A93" w:rsidRPr="004C78D8" w:rsidRDefault="00423A93" w:rsidP="00FB7C1F">
            <w:pPr>
              <w:jc w:val="left"/>
              <w:rPr>
                <w:rFonts w:cs="Times New Roman"/>
                <w:sz w:val="18"/>
                <w:szCs w:val="18"/>
              </w:rPr>
            </w:pPr>
            <w:r w:rsidRPr="004C78D8">
              <w:rPr>
                <w:rFonts w:cs="Times New Roman"/>
                <w:color w:val="000000"/>
                <w:sz w:val="18"/>
                <w:szCs w:val="18"/>
              </w:rPr>
              <w:t>£7,513</w:t>
            </w:r>
          </w:p>
        </w:tc>
        <w:tc>
          <w:tcPr>
            <w:tcW w:w="594" w:type="pct"/>
            <w:tcBorders>
              <w:top w:val="nil"/>
              <w:left w:val="single" w:sz="4" w:space="0" w:color="auto"/>
              <w:bottom w:val="nil"/>
              <w:right w:val="single" w:sz="4" w:space="0" w:color="auto"/>
            </w:tcBorders>
            <w:shd w:val="clear" w:color="auto" w:fill="auto"/>
          </w:tcPr>
          <w:p w14:paraId="4EFB4B4A" w14:textId="12EF5737" w:rsidR="00423A93" w:rsidRPr="004C78D8" w:rsidRDefault="004D1F12" w:rsidP="00FB7C1F">
            <w:pPr>
              <w:jc w:val="left"/>
              <w:rPr>
                <w:rFonts w:cs="Times New Roman"/>
                <w:color w:val="000000"/>
                <w:sz w:val="18"/>
                <w:szCs w:val="18"/>
              </w:rPr>
            </w:pPr>
            <w:r w:rsidRPr="004C78D8">
              <w:rPr>
                <w:rFonts w:cs="Times New Roman"/>
                <w:color w:val="000000"/>
                <w:sz w:val="18"/>
                <w:szCs w:val="18"/>
              </w:rPr>
              <w:t>£7,513</w:t>
            </w:r>
          </w:p>
        </w:tc>
        <w:tc>
          <w:tcPr>
            <w:tcW w:w="678" w:type="pct"/>
            <w:tcBorders>
              <w:top w:val="nil"/>
              <w:left w:val="single" w:sz="4" w:space="0" w:color="auto"/>
              <w:bottom w:val="nil"/>
              <w:right w:val="single" w:sz="4" w:space="0" w:color="auto"/>
            </w:tcBorders>
            <w:shd w:val="clear" w:color="auto" w:fill="auto"/>
          </w:tcPr>
          <w:p w14:paraId="19843738" w14:textId="77777777" w:rsidR="00423A93" w:rsidRPr="004C78D8" w:rsidRDefault="00423A93" w:rsidP="00FB7C1F">
            <w:pPr>
              <w:jc w:val="left"/>
              <w:rPr>
                <w:rFonts w:cs="Times New Roman"/>
                <w:sz w:val="18"/>
                <w:szCs w:val="18"/>
              </w:rPr>
            </w:pPr>
            <w:r w:rsidRPr="004C78D8">
              <w:rPr>
                <w:rFonts w:cs="Times New Roman"/>
                <w:color w:val="000000"/>
                <w:sz w:val="18"/>
                <w:szCs w:val="18"/>
              </w:rPr>
              <w:t>£226,098,140</w:t>
            </w:r>
          </w:p>
        </w:tc>
      </w:tr>
      <w:tr w:rsidR="00677B65" w:rsidRPr="004C78D8" w14:paraId="77408795" w14:textId="77777777" w:rsidTr="00E35893">
        <w:tc>
          <w:tcPr>
            <w:tcW w:w="286" w:type="pct"/>
            <w:tcBorders>
              <w:top w:val="nil"/>
              <w:bottom w:val="nil"/>
            </w:tcBorders>
            <w:shd w:val="clear" w:color="auto" w:fill="D9D9D9" w:themeFill="background1" w:themeFillShade="D9"/>
          </w:tcPr>
          <w:p w14:paraId="4161F732" w14:textId="77777777" w:rsidR="00423A93" w:rsidRPr="004C78D8" w:rsidRDefault="00423A93" w:rsidP="00FB7C1F">
            <w:pPr>
              <w:jc w:val="left"/>
              <w:rPr>
                <w:sz w:val="18"/>
                <w:szCs w:val="18"/>
              </w:rPr>
            </w:pPr>
            <w:r w:rsidRPr="004C78D8">
              <w:rPr>
                <w:sz w:val="18"/>
                <w:szCs w:val="18"/>
              </w:rPr>
              <w:t>[8]</w:t>
            </w:r>
          </w:p>
        </w:tc>
        <w:tc>
          <w:tcPr>
            <w:tcW w:w="1598" w:type="pct"/>
            <w:tcBorders>
              <w:top w:val="nil"/>
              <w:bottom w:val="nil"/>
            </w:tcBorders>
            <w:shd w:val="clear" w:color="auto" w:fill="D9D9D9" w:themeFill="background1" w:themeFillShade="D9"/>
          </w:tcPr>
          <w:p w14:paraId="6655067D" w14:textId="77777777" w:rsidR="00423A93" w:rsidRPr="004C78D8" w:rsidRDefault="00423A93" w:rsidP="00FB7C1F">
            <w:pPr>
              <w:jc w:val="left"/>
              <w:rPr>
                <w:sz w:val="18"/>
                <w:szCs w:val="18"/>
              </w:rPr>
            </w:pPr>
            <w:r w:rsidRPr="004C78D8">
              <w:rPr>
                <w:sz w:val="18"/>
                <w:szCs w:val="18"/>
              </w:rPr>
              <w:t>CRC(4): falls risk targeting</w:t>
            </w:r>
          </w:p>
        </w:tc>
        <w:tc>
          <w:tcPr>
            <w:tcW w:w="564" w:type="pct"/>
            <w:tcBorders>
              <w:top w:val="nil"/>
              <w:left w:val="nil"/>
              <w:bottom w:val="nil"/>
              <w:right w:val="single" w:sz="4" w:space="0" w:color="auto"/>
            </w:tcBorders>
            <w:shd w:val="clear" w:color="auto" w:fill="D9D9D9" w:themeFill="background1" w:themeFillShade="D9"/>
          </w:tcPr>
          <w:p w14:paraId="66E6E304" w14:textId="77777777" w:rsidR="00423A93" w:rsidRPr="004C78D8" w:rsidRDefault="00423A93" w:rsidP="00FB7C1F">
            <w:pPr>
              <w:jc w:val="left"/>
              <w:rPr>
                <w:rFonts w:cs="Times New Roman"/>
                <w:sz w:val="18"/>
                <w:szCs w:val="18"/>
              </w:rPr>
            </w:pPr>
            <w:r w:rsidRPr="004C78D8">
              <w:rPr>
                <w:rFonts w:cs="Times New Roman"/>
                <w:color w:val="000000"/>
                <w:sz w:val="18"/>
                <w:szCs w:val="18"/>
              </w:rPr>
              <w:t>9714</w:t>
            </w:r>
          </w:p>
        </w:tc>
        <w:tc>
          <w:tcPr>
            <w:tcW w:w="710" w:type="pct"/>
            <w:tcBorders>
              <w:top w:val="nil"/>
              <w:left w:val="single" w:sz="4" w:space="0" w:color="auto"/>
              <w:bottom w:val="nil"/>
              <w:right w:val="single" w:sz="4" w:space="0" w:color="auto"/>
            </w:tcBorders>
            <w:shd w:val="clear" w:color="auto" w:fill="D9D9D9" w:themeFill="background1" w:themeFillShade="D9"/>
          </w:tcPr>
          <w:p w14:paraId="42A00916" w14:textId="77777777" w:rsidR="00423A93" w:rsidRPr="004C78D8" w:rsidRDefault="00423A93" w:rsidP="00FB7C1F">
            <w:pPr>
              <w:jc w:val="left"/>
              <w:rPr>
                <w:rFonts w:cs="Times New Roman"/>
                <w:sz w:val="18"/>
                <w:szCs w:val="18"/>
              </w:rPr>
            </w:pPr>
            <w:r w:rsidRPr="004C78D8">
              <w:rPr>
                <w:rFonts w:cs="Times New Roman"/>
                <w:color w:val="000000"/>
                <w:sz w:val="18"/>
                <w:szCs w:val="18"/>
              </w:rPr>
              <w:t>£77,410,272</w:t>
            </w:r>
          </w:p>
        </w:tc>
        <w:tc>
          <w:tcPr>
            <w:tcW w:w="569" w:type="pct"/>
            <w:tcBorders>
              <w:top w:val="nil"/>
              <w:left w:val="single" w:sz="4" w:space="0" w:color="auto"/>
              <w:bottom w:val="nil"/>
              <w:right w:val="single" w:sz="4" w:space="0" w:color="auto"/>
            </w:tcBorders>
            <w:shd w:val="clear" w:color="auto" w:fill="D9D9D9" w:themeFill="background1" w:themeFillShade="D9"/>
          </w:tcPr>
          <w:p w14:paraId="10897BC5" w14:textId="77777777" w:rsidR="00423A93" w:rsidRPr="004C78D8" w:rsidRDefault="00423A93" w:rsidP="00FB7C1F">
            <w:pPr>
              <w:jc w:val="left"/>
              <w:rPr>
                <w:rFonts w:cs="Times New Roman"/>
                <w:sz w:val="18"/>
                <w:szCs w:val="18"/>
              </w:rPr>
            </w:pPr>
            <w:r w:rsidRPr="004C78D8">
              <w:rPr>
                <w:rFonts w:cs="Times New Roman"/>
                <w:color w:val="000000"/>
                <w:sz w:val="18"/>
                <w:szCs w:val="18"/>
              </w:rPr>
              <w:t>£7,969</w:t>
            </w:r>
          </w:p>
        </w:tc>
        <w:tc>
          <w:tcPr>
            <w:tcW w:w="594" w:type="pct"/>
            <w:tcBorders>
              <w:top w:val="nil"/>
              <w:left w:val="single" w:sz="4" w:space="0" w:color="auto"/>
              <w:bottom w:val="nil"/>
              <w:right w:val="single" w:sz="4" w:space="0" w:color="auto"/>
            </w:tcBorders>
            <w:shd w:val="clear" w:color="auto" w:fill="D9D9D9" w:themeFill="background1" w:themeFillShade="D9"/>
          </w:tcPr>
          <w:p w14:paraId="055DE1D4" w14:textId="77777777" w:rsidR="00423A93" w:rsidRPr="004C78D8" w:rsidRDefault="00423A93" w:rsidP="00FB7C1F">
            <w:pPr>
              <w:jc w:val="left"/>
              <w:rPr>
                <w:rFonts w:cs="Times New Roman"/>
                <w:color w:val="000000"/>
                <w:sz w:val="18"/>
                <w:szCs w:val="18"/>
              </w:rPr>
            </w:pPr>
          </w:p>
        </w:tc>
        <w:tc>
          <w:tcPr>
            <w:tcW w:w="678" w:type="pct"/>
            <w:tcBorders>
              <w:top w:val="nil"/>
              <w:left w:val="single" w:sz="4" w:space="0" w:color="auto"/>
              <w:bottom w:val="nil"/>
              <w:right w:val="single" w:sz="4" w:space="0" w:color="auto"/>
            </w:tcBorders>
            <w:shd w:val="clear" w:color="auto" w:fill="D9D9D9" w:themeFill="background1" w:themeFillShade="D9"/>
          </w:tcPr>
          <w:p w14:paraId="7DAD2A66" w14:textId="77777777" w:rsidR="00423A93" w:rsidRPr="004C78D8" w:rsidRDefault="00423A93" w:rsidP="00FB7C1F">
            <w:pPr>
              <w:jc w:val="left"/>
              <w:rPr>
                <w:rFonts w:cs="Times New Roman"/>
                <w:sz w:val="18"/>
                <w:szCs w:val="18"/>
              </w:rPr>
            </w:pPr>
            <w:r w:rsidRPr="004C78D8">
              <w:rPr>
                <w:rFonts w:cs="Times New Roman"/>
                <w:color w:val="000000"/>
                <w:sz w:val="18"/>
                <w:szCs w:val="18"/>
              </w:rPr>
              <w:t>£214,019,285</w:t>
            </w:r>
          </w:p>
        </w:tc>
      </w:tr>
      <w:tr w:rsidR="00677B65" w:rsidRPr="004C78D8" w14:paraId="433D62EF" w14:textId="77777777" w:rsidTr="00E35893">
        <w:tc>
          <w:tcPr>
            <w:tcW w:w="286" w:type="pct"/>
            <w:tcBorders>
              <w:top w:val="nil"/>
              <w:bottom w:val="nil"/>
            </w:tcBorders>
            <w:shd w:val="clear" w:color="auto" w:fill="D9D9D9" w:themeFill="background1" w:themeFillShade="D9"/>
          </w:tcPr>
          <w:p w14:paraId="2109CF2A" w14:textId="77777777" w:rsidR="00423A93" w:rsidRPr="004C78D8" w:rsidRDefault="00423A93" w:rsidP="00FB7C1F">
            <w:pPr>
              <w:jc w:val="left"/>
              <w:rPr>
                <w:sz w:val="18"/>
                <w:szCs w:val="18"/>
              </w:rPr>
            </w:pPr>
            <w:r w:rsidRPr="004C78D8">
              <w:rPr>
                <w:sz w:val="18"/>
                <w:szCs w:val="18"/>
              </w:rPr>
              <w:t>[10]</w:t>
            </w:r>
          </w:p>
        </w:tc>
        <w:tc>
          <w:tcPr>
            <w:tcW w:w="1598" w:type="pct"/>
            <w:tcBorders>
              <w:top w:val="nil"/>
              <w:bottom w:val="nil"/>
            </w:tcBorders>
            <w:shd w:val="clear" w:color="auto" w:fill="D9D9D9" w:themeFill="background1" w:themeFillShade="D9"/>
          </w:tcPr>
          <w:p w14:paraId="105D5075" w14:textId="77777777" w:rsidR="00423A93" w:rsidRPr="004C78D8" w:rsidRDefault="00423A93" w:rsidP="00FB7C1F">
            <w:pPr>
              <w:jc w:val="left"/>
              <w:rPr>
                <w:sz w:val="18"/>
                <w:szCs w:val="18"/>
              </w:rPr>
            </w:pPr>
            <w:r w:rsidRPr="004C78D8">
              <w:rPr>
                <w:sz w:val="18"/>
                <w:szCs w:val="18"/>
              </w:rPr>
              <w:t>CRC(4) + SR demand 20% increase</w:t>
            </w:r>
          </w:p>
        </w:tc>
        <w:tc>
          <w:tcPr>
            <w:tcW w:w="564" w:type="pct"/>
            <w:tcBorders>
              <w:top w:val="nil"/>
              <w:left w:val="nil"/>
              <w:bottom w:val="nil"/>
              <w:right w:val="single" w:sz="4" w:space="0" w:color="auto"/>
            </w:tcBorders>
            <w:shd w:val="clear" w:color="auto" w:fill="D9D9D9" w:themeFill="background1" w:themeFillShade="D9"/>
          </w:tcPr>
          <w:p w14:paraId="66E455F1" w14:textId="77777777" w:rsidR="00423A93" w:rsidRPr="004C78D8" w:rsidRDefault="00423A93" w:rsidP="00FB7C1F">
            <w:pPr>
              <w:jc w:val="left"/>
              <w:rPr>
                <w:rFonts w:cs="Times New Roman"/>
                <w:sz w:val="18"/>
                <w:szCs w:val="18"/>
              </w:rPr>
            </w:pPr>
            <w:r w:rsidRPr="004C78D8">
              <w:rPr>
                <w:rFonts w:cs="Times New Roman"/>
                <w:color w:val="000000"/>
                <w:sz w:val="18"/>
                <w:szCs w:val="18"/>
              </w:rPr>
              <w:t>9598</w:t>
            </w:r>
          </w:p>
        </w:tc>
        <w:tc>
          <w:tcPr>
            <w:tcW w:w="710" w:type="pct"/>
            <w:tcBorders>
              <w:top w:val="nil"/>
              <w:left w:val="single" w:sz="4" w:space="0" w:color="auto"/>
              <w:bottom w:val="nil"/>
              <w:right w:val="single" w:sz="4" w:space="0" w:color="auto"/>
            </w:tcBorders>
            <w:shd w:val="clear" w:color="auto" w:fill="D9D9D9" w:themeFill="background1" w:themeFillShade="D9"/>
          </w:tcPr>
          <w:p w14:paraId="60C1FCA7" w14:textId="77777777" w:rsidR="00423A93" w:rsidRPr="004C78D8" w:rsidRDefault="00423A93" w:rsidP="00FB7C1F">
            <w:pPr>
              <w:jc w:val="left"/>
              <w:rPr>
                <w:rFonts w:cs="Times New Roman"/>
                <w:sz w:val="18"/>
                <w:szCs w:val="18"/>
              </w:rPr>
            </w:pPr>
            <w:r w:rsidRPr="004C78D8">
              <w:rPr>
                <w:rFonts w:cs="Times New Roman"/>
                <w:color w:val="000000"/>
                <w:sz w:val="18"/>
                <w:szCs w:val="18"/>
              </w:rPr>
              <w:t>£78,868,110</w:t>
            </w:r>
          </w:p>
        </w:tc>
        <w:tc>
          <w:tcPr>
            <w:tcW w:w="569" w:type="pct"/>
            <w:tcBorders>
              <w:top w:val="nil"/>
              <w:left w:val="single" w:sz="4" w:space="0" w:color="auto"/>
              <w:bottom w:val="nil"/>
              <w:right w:val="single" w:sz="4" w:space="0" w:color="auto"/>
            </w:tcBorders>
            <w:shd w:val="clear" w:color="auto" w:fill="D9D9D9" w:themeFill="background1" w:themeFillShade="D9"/>
          </w:tcPr>
          <w:p w14:paraId="0D068769" w14:textId="77777777" w:rsidR="00423A93" w:rsidRPr="004C78D8" w:rsidRDefault="00423A93" w:rsidP="00FB7C1F">
            <w:pPr>
              <w:jc w:val="left"/>
              <w:rPr>
                <w:rFonts w:cs="Times New Roman"/>
                <w:sz w:val="18"/>
                <w:szCs w:val="18"/>
              </w:rPr>
            </w:pPr>
            <w:r w:rsidRPr="004C78D8">
              <w:rPr>
                <w:rFonts w:cs="Times New Roman"/>
                <w:color w:val="000000"/>
                <w:sz w:val="18"/>
                <w:szCs w:val="18"/>
              </w:rPr>
              <w:t>£8,217</w:t>
            </w:r>
          </w:p>
        </w:tc>
        <w:tc>
          <w:tcPr>
            <w:tcW w:w="594" w:type="pct"/>
            <w:tcBorders>
              <w:top w:val="nil"/>
              <w:left w:val="single" w:sz="4" w:space="0" w:color="auto"/>
              <w:bottom w:val="nil"/>
              <w:right w:val="single" w:sz="4" w:space="0" w:color="auto"/>
            </w:tcBorders>
            <w:shd w:val="clear" w:color="auto" w:fill="D9D9D9" w:themeFill="background1" w:themeFillShade="D9"/>
          </w:tcPr>
          <w:p w14:paraId="4E857A78" w14:textId="77777777" w:rsidR="00423A93" w:rsidRPr="004C78D8" w:rsidRDefault="00423A93" w:rsidP="00FB7C1F">
            <w:pPr>
              <w:jc w:val="left"/>
              <w:rPr>
                <w:rFonts w:cs="Times New Roman"/>
                <w:color w:val="000000"/>
                <w:sz w:val="18"/>
                <w:szCs w:val="18"/>
              </w:rPr>
            </w:pPr>
          </w:p>
        </w:tc>
        <w:tc>
          <w:tcPr>
            <w:tcW w:w="678" w:type="pct"/>
            <w:tcBorders>
              <w:top w:val="nil"/>
              <w:left w:val="single" w:sz="4" w:space="0" w:color="auto"/>
              <w:bottom w:val="nil"/>
              <w:right w:val="single" w:sz="4" w:space="0" w:color="auto"/>
            </w:tcBorders>
            <w:shd w:val="clear" w:color="auto" w:fill="D9D9D9" w:themeFill="background1" w:themeFillShade="D9"/>
          </w:tcPr>
          <w:p w14:paraId="71B837B1" w14:textId="77777777" w:rsidR="00423A93" w:rsidRPr="004C78D8" w:rsidRDefault="00423A93" w:rsidP="00FB7C1F">
            <w:pPr>
              <w:jc w:val="left"/>
              <w:rPr>
                <w:rFonts w:cs="Times New Roman"/>
                <w:sz w:val="18"/>
                <w:szCs w:val="18"/>
              </w:rPr>
            </w:pPr>
            <w:r w:rsidRPr="004C78D8">
              <w:rPr>
                <w:rFonts w:cs="Times New Roman"/>
                <w:color w:val="000000"/>
                <w:sz w:val="18"/>
                <w:szCs w:val="18"/>
              </w:rPr>
              <w:t>£209,065,582</w:t>
            </w:r>
          </w:p>
        </w:tc>
      </w:tr>
      <w:tr w:rsidR="00423A93" w:rsidRPr="004C78D8" w14:paraId="3F795555" w14:textId="77777777" w:rsidTr="00E35893">
        <w:tc>
          <w:tcPr>
            <w:tcW w:w="286" w:type="pct"/>
            <w:tcBorders>
              <w:top w:val="nil"/>
              <w:bottom w:val="nil"/>
            </w:tcBorders>
            <w:shd w:val="clear" w:color="auto" w:fill="auto"/>
          </w:tcPr>
          <w:p w14:paraId="25093861" w14:textId="77777777" w:rsidR="00423A93" w:rsidRPr="004C78D8" w:rsidRDefault="00423A93" w:rsidP="00FB7C1F">
            <w:pPr>
              <w:jc w:val="left"/>
              <w:rPr>
                <w:sz w:val="18"/>
                <w:szCs w:val="18"/>
              </w:rPr>
            </w:pPr>
            <w:r w:rsidRPr="004C78D8">
              <w:rPr>
                <w:sz w:val="18"/>
                <w:szCs w:val="18"/>
              </w:rPr>
              <w:t>[11]</w:t>
            </w:r>
          </w:p>
        </w:tc>
        <w:tc>
          <w:tcPr>
            <w:tcW w:w="1598" w:type="pct"/>
            <w:tcBorders>
              <w:top w:val="nil"/>
              <w:bottom w:val="nil"/>
            </w:tcBorders>
            <w:shd w:val="clear" w:color="auto" w:fill="auto"/>
          </w:tcPr>
          <w:p w14:paraId="6DC494A3" w14:textId="77777777" w:rsidR="00423A93" w:rsidRPr="004C78D8" w:rsidRDefault="00423A93" w:rsidP="00FB7C1F">
            <w:pPr>
              <w:jc w:val="left"/>
              <w:rPr>
                <w:sz w:val="18"/>
                <w:szCs w:val="18"/>
              </w:rPr>
            </w:pPr>
            <w:r w:rsidRPr="004C78D8">
              <w:rPr>
                <w:sz w:val="18"/>
                <w:szCs w:val="18"/>
              </w:rPr>
              <w:t>CRC(4) + FRS for 50%</w:t>
            </w:r>
          </w:p>
        </w:tc>
        <w:tc>
          <w:tcPr>
            <w:tcW w:w="564" w:type="pct"/>
            <w:tcBorders>
              <w:top w:val="nil"/>
              <w:left w:val="nil"/>
              <w:bottom w:val="nil"/>
              <w:right w:val="single" w:sz="4" w:space="0" w:color="auto"/>
            </w:tcBorders>
            <w:shd w:val="clear" w:color="auto" w:fill="auto"/>
          </w:tcPr>
          <w:p w14:paraId="29872249" w14:textId="77777777" w:rsidR="00423A93" w:rsidRPr="004C78D8" w:rsidRDefault="00423A93" w:rsidP="00FB7C1F">
            <w:pPr>
              <w:jc w:val="left"/>
              <w:rPr>
                <w:rFonts w:cs="Times New Roman"/>
                <w:sz w:val="18"/>
                <w:szCs w:val="18"/>
              </w:rPr>
            </w:pPr>
            <w:r w:rsidRPr="004C78D8">
              <w:rPr>
                <w:rFonts w:cs="Times New Roman"/>
                <w:color w:val="000000"/>
                <w:sz w:val="18"/>
                <w:szCs w:val="18"/>
              </w:rPr>
              <w:t>10101</w:t>
            </w:r>
          </w:p>
        </w:tc>
        <w:tc>
          <w:tcPr>
            <w:tcW w:w="710" w:type="pct"/>
            <w:tcBorders>
              <w:top w:val="nil"/>
              <w:left w:val="single" w:sz="4" w:space="0" w:color="auto"/>
              <w:bottom w:val="nil"/>
              <w:right w:val="single" w:sz="4" w:space="0" w:color="auto"/>
            </w:tcBorders>
            <w:shd w:val="clear" w:color="auto" w:fill="auto"/>
          </w:tcPr>
          <w:p w14:paraId="403B01BE" w14:textId="77777777" w:rsidR="00423A93" w:rsidRPr="004C78D8" w:rsidRDefault="00423A93" w:rsidP="00FB7C1F">
            <w:pPr>
              <w:jc w:val="left"/>
              <w:rPr>
                <w:rFonts w:cs="Times New Roman"/>
                <w:sz w:val="18"/>
                <w:szCs w:val="18"/>
              </w:rPr>
            </w:pPr>
            <w:r w:rsidRPr="004C78D8">
              <w:rPr>
                <w:rFonts w:cs="Times New Roman"/>
                <w:color w:val="000000"/>
                <w:sz w:val="18"/>
                <w:szCs w:val="18"/>
              </w:rPr>
              <w:t>£79,608,805</w:t>
            </w:r>
          </w:p>
        </w:tc>
        <w:tc>
          <w:tcPr>
            <w:tcW w:w="569" w:type="pct"/>
            <w:tcBorders>
              <w:top w:val="nil"/>
              <w:left w:val="single" w:sz="4" w:space="0" w:color="auto"/>
              <w:bottom w:val="nil"/>
              <w:right w:val="single" w:sz="4" w:space="0" w:color="auto"/>
            </w:tcBorders>
            <w:shd w:val="clear" w:color="auto" w:fill="auto"/>
          </w:tcPr>
          <w:p w14:paraId="32BEAAD8" w14:textId="77777777" w:rsidR="00423A93" w:rsidRPr="004C78D8" w:rsidRDefault="00423A93" w:rsidP="00FB7C1F">
            <w:pPr>
              <w:jc w:val="left"/>
              <w:rPr>
                <w:rFonts w:cs="Times New Roman"/>
                <w:sz w:val="18"/>
                <w:szCs w:val="18"/>
              </w:rPr>
            </w:pPr>
            <w:r w:rsidRPr="004C78D8">
              <w:rPr>
                <w:rFonts w:cs="Times New Roman"/>
                <w:color w:val="000000"/>
                <w:sz w:val="18"/>
                <w:szCs w:val="18"/>
              </w:rPr>
              <w:t>£7,882</w:t>
            </w:r>
          </w:p>
        </w:tc>
        <w:tc>
          <w:tcPr>
            <w:tcW w:w="594" w:type="pct"/>
            <w:tcBorders>
              <w:top w:val="nil"/>
              <w:left w:val="single" w:sz="4" w:space="0" w:color="auto"/>
              <w:bottom w:val="nil"/>
              <w:right w:val="single" w:sz="4" w:space="0" w:color="auto"/>
            </w:tcBorders>
            <w:shd w:val="clear" w:color="auto" w:fill="auto"/>
          </w:tcPr>
          <w:p w14:paraId="57ACEB9F" w14:textId="7297A5C1" w:rsidR="00423A93" w:rsidRPr="004C78D8" w:rsidRDefault="00D83266" w:rsidP="00FB7C1F">
            <w:pPr>
              <w:jc w:val="left"/>
              <w:rPr>
                <w:rFonts w:cs="Times New Roman"/>
                <w:color w:val="000000"/>
                <w:sz w:val="18"/>
                <w:szCs w:val="18"/>
              </w:rPr>
            </w:pPr>
            <w:r w:rsidRPr="004C78D8">
              <w:rPr>
                <w:rFonts w:cs="Times New Roman"/>
                <w:color w:val="000000"/>
                <w:sz w:val="18"/>
                <w:szCs w:val="18"/>
              </w:rPr>
              <w:t>£88,463</w:t>
            </w:r>
          </w:p>
        </w:tc>
        <w:tc>
          <w:tcPr>
            <w:tcW w:w="678" w:type="pct"/>
            <w:tcBorders>
              <w:top w:val="nil"/>
              <w:left w:val="single" w:sz="4" w:space="0" w:color="auto"/>
              <w:bottom w:val="nil"/>
              <w:right w:val="single" w:sz="4" w:space="0" w:color="auto"/>
            </w:tcBorders>
            <w:shd w:val="clear" w:color="auto" w:fill="auto"/>
          </w:tcPr>
          <w:p w14:paraId="1FD813B9" w14:textId="77777777" w:rsidR="00423A93" w:rsidRPr="004C78D8" w:rsidRDefault="00423A93" w:rsidP="00FB7C1F">
            <w:pPr>
              <w:jc w:val="left"/>
              <w:rPr>
                <w:rFonts w:cs="Times New Roman"/>
                <w:sz w:val="18"/>
                <w:szCs w:val="18"/>
              </w:rPr>
            </w:pPr>
            <w:r w:rsidRPr="004C78D8">
              <w:rPr>
                <w:rFonts w:cs="Times New Roman"/>
                <w:color w:val="000000"/>
                <w:sz w:val="18"/>
                <w:szCs w:val="18"/>
              </w:rPr>
              <w:t>£223,412,425</w:t>
            </w:r>
          </w:p>
        </w:tc>
      </w:tr>
      <w:tr w:rsidR="004D1F12" w:rsidRPr="004C78D8" w14:paraId="18C6CD30" w14:textId="77777777" w:rsidTr="00E35893">
        <w:tc>
          <w:tcPr>
            <w:tcW w:w="286" w:type="pct"/>
            <w:tcBorders>
              <w:top w:val="nil"/>
              <w:bottom w:val="nil"/>
            </w:tcBorders>
            <w:shd w:val="clear" w:color="auto" w:fill="D9D9D9" w:themeFill="background1" w:themeFillShade="D9"/>
          </w:tcPr>
          <w:p w14:paraId="2CCB6F67" w14:textId="77777777" w:rsidR="00423A93" w:rsidRPr="004C78D8" w:rsidRDefault="00423A93" w:rsidP="00FB7C1F">
            <w:pPr>
              <w:jc w:val="left"/>
              <w:rPr>
                <w:sz w:val="18"/>
                <w:szCs w:val="18"/>
              </w:rPr>
            </w:pPr>
            <w:r w:rsidRPr="004C78D8">
              <w:rPr>
                <w:sz w:val="18"/>
                <w:szCs w:val="18"/>
              </w:rPr>
              <w:t>[12]</w:t>
            </w:r>
          </w:p>
        </w:tc>
        <w:tc>
          <w:tcPr>
            <w:tcW w:w="1598" w:type="pct"/>
            <w:tcBorders>
              <w:top w:val="nil"/>
              <w:bottom w:val="nil"/>
            </w:tcBorders>
            <w:shd w:val="clear" w:color="auto" w:fill="D9D9D9" w:themeFill="background1" w:themeFillShade="D9"/>
          </w:tcPr>
          <w:p w14:paraId="137D8DE0" w14:textId="77777777" w:rsidR="00423A93" w:rsidRPr="004C78D8" w:rsidRDefault="00423A93" w:rsidP="00FB7C1F">
            <w:pPr>
              <w:jc w:val="left"/>
              <w:rPr>
                <w:sz w:val="18"/>
                <w:szCs w:val="18"/>
              </w:rPr>
            </w:pPr>
            <w:r w:rsidRPr="004C78D8">
              <w:rPr>
                <w:sz w:val="18"/>
                <w:szCs w:val="18"/>
              </w:rPr>
              <w:t>CRC(1): random allocation</w:t>
            </w:r>
          </w:p>
        </w:tc>
        <w:tc>
          <w:tcPr>
            <w:tcW w:w="564" w:type="pct"/>
            <w:tcBorders>
              <w:top w:val="nil"/>
              <w:left w:val="nil"/>
              <w:bottom w:val="nil"/>
              <w:right w:val="single" w:sz="4" w:space="0" w:color="auto"/>
            </w:tcBorders>
            <w:shd w:val="clear" w:color="auto" w:fill="D9D9D9" w:themeFill="background1" w:themeFillShade="D9"/>
          </w:tcPr>
          <w:p w14:paraId="52B87A7A" w14:textId="77777777" w:rsidR="00423A93" w:rsidRPr="004C78D8" w:rsidRDefault="00423A93" w:rsidP="00FB7C1F">
            <w:pPr>
              <w:jc w:val="left"/>
              <w:rPr>
                <w:rFonts w:cs="Times New Roman"/>
                <w:sz w:val="18"/>
                <w:szCs w:val="18"/>
              </w:rPr>
            </w:pPr>
            <w:r w:rsidRPr="004C78D8">
              <w:rPr>
                <w:rFonts w:cs="Times New Roman"/>
                <w:color w:val="000000"/>
                <w:sz w:val="18"/>
                <w:szCs w:val="18"/>
              </w:rPr>
              <w:t>6477</w:t>
            </w:r>
          </w:p>
        </w:tc>
        <w:tc>
          <w:tcPr>
            <w:tcW w:w="710" w:type="pct"/>
            <w:tcBorders>
              <w:top w:val="nil"/>
              <w:left w:val="single" w:sz="4" w:space="0" w:color="auto"/>
              <w:bottom w:val="nil"/>
              <w:right w:val="single" w:sz="4" w:space="0" w:color="auto"/>
            </w:tcBorders>
            <w:shd w:val="clear" w:color="auto" w:fill="D9D9D9" w:themeFill="background1" w:themeFillShade="D9"/>
          </w:tcPr>
          <w:p w14:paraId="0A3F8BB1" w14:textId="77777777" w:rsidR="00423A93" w:rsidRPr="004C78D8" w:rsidRDefault="00423A93" w:rsidP="00FB7C1F">
            <w:pPr>
              <w:jc w:val="left"/>
              <w:rPr>
                <w:rFonts w:cs="Times New Roman"/>
                <w:sz w:val="18"/>
                <w:szCs w:val="18"/>
              </w:rPr>
            </w:pPr>
            <w:r w:rsidRPr="004C78D8">
              <w:rPr>
                <w:rFonts w:cs="Times New Roman"/>
                <w:color w:val="000000"/>
                <w:sz w:val="18"/>
                <w:szCs w:val="18"/>
              </w:rPr>
              <w:t>£80,326,978</w:t>
            </w:r>
          </w:p>
        </w:tc>
        <w:tc>
          <w:tcPr>
            <w:tcW w:w="569" w:type="pct"/>
            <w:tcBorders>
              <w:top w:val="nil"/>
              <w:left w:val="single" w:sz="4" w:space="0" w:color="auto"/>
              <w:bottom w:val="nil"/>
              <w:right w:val="single" w:sz="4" w:space="0" w:color="auto"/>
            </w:tcBorders>
            <w:shd w:val="clear" w:color="auto" w:fill="D9D9D9" w:themeFill="background1" w:themeFillShade="D9"/>
          </w:tcPr>
          <w:p w14:paraId="42DEB1F5" w14:textId="77777777" w:rsidR="00423A93" w:rsidRPr="004C78D8" w:rsidRDefault="00423A93" w:rsidP="00FB7C1F">
            <w:pPr>
              <w:jc w:val="left"/>
              <w:rPr>
                <w:rFonts w:cs="Times New Roman"/>
                <w:sz w:val="18"/>
                <w:szCs w:val="18"/>
              </w:rPr>
            </w:pPr>
            <w:r w:rsidRPr="004C78D8">
              <w:rPr>
                <w:rFonts w:cs="Times New Roman"/>
                <w:color w:val="000000"/>
                <w:sz w:val="18"/>
                <w:szCs w:val="18"/>
              </w:rPr>
              <w:t>£12,401</w:t>
            </w:r>
          </w:p>
        </w:tc>
        <w:tc>
          <w:tcPr>
            <w:tcW w:w="594" w:type="pct"/>
            <w:tcBorders>
              <w:top w:val="nil"/>
              <w:left w:val="single" w:sz="4" w:space="0" w:color="auto"/>
              <w:bottom w:val="nil"/>
              <w:right w:val="single" w:sz="4" w:space="0" w:color="auto"/>
            </w:tcBorders>
            <w:shd w:val="clear" w:color="auto" w:fill="D9D9D9" w:themeFill="background1" w:themeFillShade="D9"/>
          </w:tcPr>
          <w:p w14:paraId="745DE7BB" w14:textId="77777777" w:rsidR="00423A93" w:rsidRPr="004C78D8" w:rsidRDefault="00423A93" w:rsidP="00FB7C1F">
            <w:pPr>
              <w:jc w:val="left"/>
              <w:rPr>
                <w:rFonts w:cs="Times New Roman"/>
                <w:color w:val="000000"/>
                <w:sz w:val="18"/>
                <w:szCs w:val="18"/>
              </w:rPr>
            </w:pPr>
          </w:p>
        </w:tc>
        <w:tc>
          <w:tcPr>
            <w:tcW w:w="678" w:type="pct"/>
            <w:tcBorders>
              <w:top w:val="nil"/>
              <w:left w:val="single" w:sz="4" w:space="0" w:color="auto"/>
              <w:bottom w:val="nil"/>
              <w:right w:val="single" w:sz="4" w:space="0" w:color="auto"/>
            </w:tcBorders>
            <w:shd w:val="clear" w:color="auto" w:fill="D9D9D9" w:themeFill="background1" w:themeFillShade="D9"/>
          </w:tcPr>
          <w:p w14:paraId="518FE812" w14:textId="77777777" w:rsidR="00423A93" w:rsidRPr="004C78D8" w:rsidRDefault="00423A93" w:rsidP="00FB7C1F">
            <w:pPr>
              <w:jc w:val="left"/>
              <w:rPr>
                <w:rFonts w:cs="Times New Roman"/>
                <w:sz w:val="18"/>
                <w:szCs w:val="18"/>
              </w:rPr>
            </w:pPr>
            <w:r w:rsidRPr="004C78D8">
              <w:rPr>
                <w:rFonts w:cs="Times New Roman"/>
                <w:color w:val="000000"/>
                <w:sz w:val="18"/>
                <w:szCs w:val="18"/>
              </w:rPr>
              <w:t>£113,990,748</w:t>
            </w:r>
          </w:p>
        </w:tc>
      </w:tr>
      <w:tr w:rsidR="004D1F12" w:rsidRPr="004C78D8" w14:paraId="3CA54474" w14:textId="77777777" w:rsidTr="00E35893">
        <w:tc>
          <w:tcPr>
            <w:tcW w:w="286" w:type="pct"/>
            <w:tcBorders>
              <w:top w:val="nil"/>
              <w:bottom w:val="nil"/>
            </w:tcBorders>
            <w:shd w:val="clear" w:color="auto" w:fill="D9D9D9" w:themeFill="background1" w:themeFillShade="D9"/>
          </w:tcPr>
          <w:p w14:paraId="595020A6" w14:textId="77777777" w:rsidR="00423A93" w:rsidRPr="004C78D8" w:rsidRDefault="00423A93" w:rsidP="00FB7C1F">
            <w:pPr>
              <w:jc w:val="left"/>
              <w:rPr>
                <w:sz w:val="18"/>
                <w:szCs w:val="18"/>
              </w:rPr>
            </w:pPr>
            <w:r w:rsidRPr="004C78D8">
              <w:rPr>
                <w:sz w:val="18"/>
                <w:szCs w:val="18"/>
              </w:rPr>
              <w:t>[14]</w:t>
            </w:r>
          </w:p>
        </w:tc>
        <w:tc>
          <w:tcPr>
            <w:tcW w:w="1598" w:type="pct"/>
            <w:tcBorders>
              <w:top w:val="nil"/>
              <w:bottom w:val="nil"/>
            </w:tcBorders>
            <w:shd w:val="clear" w:color="auto" w:fill="D9D9D9" w:themeFill="background1" w:themeFillShade="D9"/>
          </w:tcPr>
          <w:p w14:paraId="72015F63" w14:textId="77777777" w:rsidR="00423A93" w:rsidRPr="004C78D8" w:rsidRDefault="00423A93" w:rsidP="00FB7C1F">
            <w:pPr>
              <w:jc w:val="left"/>
              <w:rPr>
                <w:sz w:val="18"/>
                <w:szCs w:val="18"/>
              </w:rPr>
            </w:pPr>
            <w:r w:rsidRPr="004C78D8">
              <w:rPr>
                <w:sz w:val="18"/>
                <w:szCs w:val="18"/>
              </w:rPr>
              <w:t>CRC(3): frailty targeting</w:t>
            </w:r>
          </w:p>
        </w:tc>
        <w:tc>
          <w:tcPr>
            <w:tcW w:w="564" w:type="pct"/>
            <w:tcBorders>
              <w:top w:val="nil"/>
              <w:left w:val="nil"/>
              <w:bottom w:val="nil"/>
              <w:right w:val="single" w:sz="4" w:space="0" w:color="auto"/>
            </w:tcBorders>
            <w:shd w:val="clear" w:color="auto" w:fill="D9D9D9" w:themeFill="background1" w:themeFillShade="D9"/>
          </w:tcPr>
          <w:p w14:paraId="39B54610" w14:textId="77777777" w:rsidR="00423A93" w:rsidRPr="004C78D8" w:rsidRDefault="00423A93" w:rsidP="00FB7C1F">
            <w:pPr>
              <w:jc w:val="left"/>
              <w:rPr>
                <w:rFonts w:cs="Times New Roman"/>
                <w:sz w:val="18"/>
                <w:szCs w:val="18"/>
              </w:rPr>
            </w:pPr>
            <w:r w:rsidRPr="004C78D8">
              <w:rPr>
                <w:rFonts w:cs="Times New Roman"/>
                <w:color w:val="000000"/>
                <w:sz w:val="18"/>
                <w:szCs w:val="18"/>
              </w:rPr>
              <w:t>6724</w:t>
            </w:r>
          </w:p>
        </w:tc>
        <w:tc>
          <w:tcPr>
            <w:tcW w:w="710" w:type="pct"/>
            <w:tcBorders>
              <w:top w:val="nil"/>
              <w:left w:val="single" w:sz="4" w:space="0" w:color="auto"/>
              <w:bottom w:val="nil"/>
              <w:right w:val="single" w:sz="4" w:space="0" w:color="auto"/>
            </w:tcBorders>
            <w:shd w:val="clear" w:color="auto" w:fill="D9D9D9" w:themeFill="background1" w:themeFillShade="D9"/>
          </w:tcPr>
          <w:p w14:paraId="7A4D9945" w14:textId="77777777" w:rsidR="00423A93" w:rsidRPr="004C78D8" w:rsidRDefault="00423A93" w:rsidP="00FB7C1F">
            <w:pPr>
              <w:jc w:val="left"/>
              <w:rPr>
                <w:rFonts w:cs="Times New Roman"/>
                <w:sz w:val="18"/>
                <w:szCs w:val="18"/>
              </w:rPr>
            </w:pPr>
            <w:r w:rsidRPr="004C78D8">
              <w:rPr>
                <w:rFonts w:cs="Times New Roman"/>
                <w:color w:val="000000"/>
                <w:sz w:val="18"/>
                <w:szCs w:val="18"/>
              </w:rPr>
              <w:t>£83,406,606</w:t>
            </w:r>
          </w:p>
        </w:tc>
        <w:tc>
          <w:tcPr>
            <w:tcW w:w="569" w:type="pct"/>
            <w:tcBorders>
              <w:top w:val="nil"/>
              <w:left w:val="single" w:sz="4" w:space="0" w:color="auto"/>
              <w:bottom w:val="nil"/>
              <w:right w:val="single" w:sz="4" w:space="0" w:color="auto"/>
            </w:tcBorders>
            <w:shd w:val="clear" w:color="auto" w:fill="D9D9D9" w:themeFill="background1" w:themeFillShade="D9"/>
          </w:tcPr>
          <w:p w14:paraId="0DFDD485" w14:textId="77777777" w:rsidR="00423A93" w:rsidRPr="004C78D8" w:rsidRDefault="00423A93" w:rsidP="00FB7C1F">
            <w:pPr>
              <w:jc w:val="left"/>
              <w:rPr>
                <w:rFonts w:cs="Times New Roman"/>
                <w:sz w:val="18"/>
                <w:szCs w:val="18"/>
              </w:rPr>
            </w:pPr>
            <w:r w:rsidRPr="004C78D8">
              <w:rPr>
                <w:rFonts w:cs="Times New Roman"/>
                <w:color w:val="000000"/>
                <w:sz w:val="18"/>
                <w:szCs w:val="18"/>
              </w:rPr>
              <w:t>£12,405</w:t>
            </w:r>
          </w:p>
        </w:tc>
        <w:tc>
          <w:tcPr>
            <w:tcW w:w="594" w:type="pct"/>
            <w:tcBorders>
              <w:top w:val="nil"/>
              <w:left w:val="single" w:sz="4" w:space="0" w:color="auto"/>
              <w:bottom w:val="nil"/>
              <w:right w:val="single" w:sz="4" w:space="0" w:color="auto"/>
            </w:tcBorders>
            <w:shd w:val="clear" w:color="auto" w:fill="D9D9D9" w:themeFill="background1" w:themeFillShade="D9"/>
          </w:tcPr>
          <w:p w14:paraId="5DCEADE2" w14:textId="77777777" w:rsidR="00423A93" w:rsidRPr="004C78D8" w:rsidRDefault="00423A93" w:rsidP="00FB7C1F">
            <w:pPr>
              <w:jc w:val="left"/>
              <w:rPr>
                <w:rFonts w:cs="Times New Roman"/>
                <w:color w:val="000000"/>
                <w:sz w:val="18"/>
                <w:szCs w:val="18"/>
              </w:rPr>
            </w:pPr>
          </w:p>
        </w:tc>
        <w:tc>
          <w:tcPr>
            <w:tcW w:w="678" w:type="pct"/>
            <w:tcBorders>
              <w:top w:val="nil"/>
              <w:left w:val="single" w:sz="4" w:space="0" w:color="auto"/>
              <w:bottom w:val="nil"/>
              <w:right w:val="single" w:sz="4" w:space="0" w:color="auto"/>
            </w:tcBorders>
            <w:shd w:val="clear" w:color="auto" w:fill="D9D9D9" w:themeFill="background1" w:themeFillShade="D9"/>
          </w:tcPr>
          <w:p w14:paraId="5CF1A073" w14:textId="77777777" w:rsidR="00423A93" w:rsidRPr="004C78D8" w:rsidRDefault="00423A93" w:rsidP="00FB7C1F">
            <w:pPr>
              <w:jc w:val="left"/>
              <w:rPr>
                <w:rFonts w:cs="Times New Roman"/>
                <w:sz w:val="18"/>
                <w:szCs w:val="18"/>
              </w:rPr>
            </w:pPr>
            <w:r w:rsidRPr="004C78D8">
              <w:rPr>
                <w:rFonts w:cs="Times New Roman"/>
                <w:color w:val="000000"/>
                <w:sz w:val="18"/>
                <w:szCs w:val="18"/>
              </w:rPr>
              <w:t>£118,309,448</w:t>
            </w:r>
          </w:p>
        </w:tc>
      </w:tr>
      <w:tr w:rsidR="00423A93" w:rsidRPr="004C78D8" w14:paraId="14F688C4" w14:textId="77777777" w:rsidTr="00E35893">
        <w:tc>
          <w:tcPr>
            <w:tcW w:w="286" w:type="pct"/>
            <w:tcBorders>
              <w:top w:val="nil"/>
              <w:bottom w:val="nil"/>
            </w:tcBorders>
            <w:shd w:val="clear" w:color="auto" w:fill="auto"/>
          </w:tcPr>
          <w:p w14:paraId="2B3FE677" w14:textId="77777777" w:rsidR="00423A93" w:rsidRPr="004C78D8" w:rsidRDefault="00423A93" w:rsidP="00FB7C1F">
            <w:pPr>
              <w:jc w:val="left"/>
              <w:rPr>
                <w:sz w:val="18"/>
                <w:szCs w:val="18"/>
              </w:rPr>
            </w:pPr>
            <w:r w:rsidRPr="004C78D8">
              <w:rPr>
                <w:sz w:val="18"/>
                <w:szCs w:val="18"/>
              </w:rPr>
              <w:t>[15]</w:t>
            </w:r>
          </w:p>
        </w:tc>
        <w:tc>
          <w:tcPr>
            <w:tcW w:w="1598" w:type="pct"/>
            <w:tcBorders>
              <w:top w:val="nil"/>
              <w:bottom w:val="nil"/>
            </w:tcBorders>
            <w:shd w:val="clear" w:color="auto" w:fill="auto"/>
          </w:tcPr>
          <w:p w14:paraId="4D793248" w14:textId="77777777" w:rsidR="00423A93" w:rsidRPr="004C78D8" w:rsidRDefault="00423A93" w:rsidP="00FB7C1F">
            <w:pPr>
              <w:jc w:val="left"/>
              <w:rPr>
                <w:sz w:val="18"/>
                <w:szCs w:val="18"/>
              </w:rPr>
            </w:pPr>
            <w:r w:rsidRPr="004C78D8">
              <w:rPr>
                <w:sz w:val="18"/>
                <w:szCs w:val="18"/>
              </w:rPr>
              <w:t>CRC(4) + PS societal costs</w:t>
            </w:r>
          </w:p>
        </w:tc>
        <w:tc>
          <w:tcPr>
            <w:tcW w:w="564" w:type="pct"/>
            <w:tcBorders>
              <w:top w:val="nil"/>
              <w:left w:val="nil"/>
              <w:bottom w:val="nil"/>
              <w:right w:val="single" w:sz="4" w:space="0" w:color="auto"/>
            </w:tcBorders>
            <w:shd w:val="clear" w:color="auto" w:fill="auto"/>
          </w:tcPr>
          <w:p w14:paraId="3D8ABFD6" w14:textId="77777777" w:rsidR="00423A93" w:rsidRPr="004C78D8" w:rsidRDefault="00423A93" w:rsidP="00FB7C1F">
            <w:pPr>
              <w:jc w:val="left"/>
              <w:rPr>
                <w:rFonts w:cs="Times New Roman"/>
                <w:sz w:val="18"/>
                <w:szCs w:val="18"/>
              </w:rPr>
            </w:pPr>
            <w:r w:rsidRPr="004C78D8">
              <w:rPr>
                <w:rFonts w:cs="Times New Roman"/>
                <w:color w:val="000000"/>
                <w:sz w:val="18"/>
                <w:szCs w:val="18"/>
              </w:rPr>
              <w:t>10102</w:t>
            </w:r>
          </w:p>
        </w:tc>
        <w:tc>
          <w:tcPr>
            <w:tcW w:w="710" w:type="pct"/>
            <w:tcBorders>
              <w:top w:val="nil"/>
              <w:left w:val="single" w:sz="4" w:space="0" w:color="auto"/>
              <w:bottom w:val="nil"/>
              <w:right w:val="single" w:sz="4" w:space="0" w:color="auto"/>
            </w:tcBorders>
            <w:shd w:val="clear" w:color="auto" w:fill="auto"/>
          </w:tcPr>
          <w:p w14:paraId="0EEE39C1" w14:textId="77777777" w:rsidR="00423A93" w:rsidRPr="004C78D8" w:rsidRDefault="00423A93" w:rsidP="00FB7C1F">
            <w:pPr>
              <w:jc w:val="left"/>
              <w:rPr>
                <w:rFonts w:cs="Times New Roman"/>
                <w:sz w:val="18"/>
                <w:szCs w:val="18"/>
              </w:rPr>
            </w:pPr>
            <w:r w:rsidRPr="004C78D8">
              <w:rPr>
                <w:rFonts w:cs="Times New Roman"/>
                <w:color w:val="000000"/>
                <w:sz w:val="18"/>
                <w:szCs w:val="18"/>
              </w:rPr>
              <w:t>£100,677,456</w:t>
            </w:r>
          </w:p>
        </w:tc>
        <w:tc>
          <w:tcPr>
            <w:tcW w:w="569" w:type="pct"/>
            <w:tcBorders>
              <w:top w:val="nil"/>
              <w:left w:val="single" w:sz="4" w:space="0" w:color="auto"/>
              <w:bottom w:val="nil"/>
              <w:right w:val="single" w:sz="4" w:space="0" w:color="auto"/>
            </w:tcBorders>
            <w:shd w:val="clear" w:color="auto" w:fill="auto"/>
          </w:tcPr>
          <w:p w14:paraId="642A5FC0" w14:textId="77777777" w:rsidR="00423A93" w:rsidRPr="004C78D8" w:rsidRDefault="00423A93" w:rsidP="00FB7C1F">
            <w:pPr>
              <w:jc w:val="left"/>
              <w:rPr>
                <w:rFonts w:cs="Times New Roman"/>
                <w:sz w:val="18"/>
                <w:szCs w:val="18"/>
              </w:rPr>
            </w:pPr>
            <w:r w:rsidRPr="004C78D8">
              <w:rPr>
                <w:rFonts w:cs="Times New Roman"/>
                <w:color w:val="000000"/>
                <w:sz w:val="18"/>
                <w:szCs w:val="18"/>
              </w:rPr>
              <w:t>£9,966</w:t>
            </w:r>
          </w:p>
        </w:tc>
        <w:tc>
          <w:tcPr>
            <w:tcW w:w="594" w:type="pct"/>
            <w:tcBorders>
              <w:top w:val="nil"/>
              <w:left w:val="single" w:sz="4" w:space="0" w:color="auto"/>
              <w:bottom w:val="nil"/>
              <w:right w:val="single" w:sz="4" w:space="0" w:color="auto"/>
            </w:tcBorders>
            <w:shd w:val="clear" w:color="auto" w:fill="auto"/>
          </w:tcPr>
          <w:p w14:paraId="48A84342" w14:textId="22A3329C" w:rsidR="00423A93" w:rsidRPr="004C78D8" w:rsidRDefault="00A62051" w:rsidP="00FB7C1F">
            <w:pPr>
              <w:jc w:val="left"/>
              <w:rPr>
                <w:rFonts w:cs="Times New Roman"/>
                <w:color w:val="000000"/>
                <w:sz w:val="18"/>
                <w:szCs w:val="18"/>
              </w:rPr>
            </w:pPr>
            <w:r w:rsidRPr="004C78D8">
              <w:rPr>
                <w:rFonts w:cs="Times New Roman"/>
                <w:color w:val="000000"/>
                <w:sz w:val="18"/>
                <w:szCs w:val="18"/>
              </w:rPr>
              <w:t>£534,850</w:t>
            </w:r>
          </w:p>
        </w:tc>
        <w:tc>
          <w:tcPr>
            <w:tcW w:w="678" w:type="pct"/>
            <w:tcBorders>
              <w:top w:val="nil"/>
              <w:left w:val="single" w:sz="4" w:space="0" w:color="auto"/>
              <w:bottom w:val="nil"/>
              <w:right w:val="single" w:sz="4" w:space="0" w:color="auto"/>
            </w:tcBorders>
            <w:shd w:val="clear" w:color="auto" w:fill="auto"/>
          </w:tcPr>
          <w:p w14:paraId="7A291423" w14:textId="77777777" w:rsidR="00423A93" w:rsidRPr="004C78D8" w:rsidRDefault="00423A93" w:rsidP="00FB7C1F">
            <w:pPr>
              <w:jc w:val="left"/>
              <w:rPr>
                <w:rFonts w:cs="Times New Roman"/>
                <w:sz w:val="18"/>
                <w:szCs w:val="18"/>
              </w:rPr>
            </w:pPr>
            <w:r w:rsidRPr="004C78D8">
              <w:rPr>
                <w:rFonts w:cs="Times New Roman"/>
                <w:color w:val="000000"/>
                <w:sz w:val="18"/>
                <w:szCs w:val="18"/>
              </w:rPr>
              <w:t>£202,384,670</w:t>
            </w:r>
          </w:p>
        </w:tc>
      </w:tr>
      <w:tr w:rsidR="004D1F12" w:rsidRPr="004C78D8" w14:paraId="4B9A135F" w14:textId="77777777" w:rsidTr="00E35893">
        <w:tc>
          <w:tcPr>
            <w:tcW w:w="286" w:type="pct"/>
            <w:tcBorders>
              <w:top w:val="nil"/>
              <w:bottom w:val="single" w:sz="4" w:space="0" w:color="auto"/>
            </w:tcBorders>
            <w:shd w:val="clear" w:color="auto" w:fill="D9D9D9" w:themeFill="background1" w:themeFillShade="D9"/>
          </w:tcPr>
          <w:p w14:paraId="50E97908" w14:textId="77777777" w:rsidR="00423A93" w:rsidRPr="004C78D8" w:rsidRDefault="00423A93" w:rsidP="00FB7C1F">
            <w:pPr>
              <w:jc w:val="left"/>
              <w:rPr>
                <w:sz w:val="18"/>
                <w:szCs w:val="18"/>
              </w:rPr>
            </w:pPr>
            <w:r w:rsidRPr="004C78D8">
              <w:rPr>
                <w:sz w:val="18"/>
                <w:szCs w:val="18"/>
              </w:rPr>
              <w:t>[16]</w:t>
            </w:r>
          </w:p>
        </w:tc>
        <w:tc>
          <w:tcPr>
            <w:tcW w:w="1598" w:type="pct"/>
            <w:tcBorders>
              <w:top w:val="nil"/>
              <w:bottom w:val="single" w:sz="4" w:space="0" w:color="auto"/>
            </w:tcBorders>
            <w:shd w:val="clear" w:color="auto" w:fill="D9D9D9" w:themeFill="background1" w:themeFillShade="D9"/>
          </w:tcPr>
          <w:p w14:paraId="27D4F9BB" w14:textId="77777777" w:rsidR="00423A93" w:rsidRPr="004C78D8" w:rsidRDefault="00423A93" w:rsidP="00FB7C1F">
            <w:pPr>
              <w:jc w:val="left"/>
              <w:rPr>
                <w:sz w:val="18"/>
                <w:szCs w:val="18"/>
              </w:rPr>
            </w:pPr>
            <w:r w:rsidRPr="004C78D8">
              <w:rPr>
                <w:sz w:val="18"/>
                <w:szCs w:val="18"/>
              </w:rPr>
              <w:t>CRC(2): no repeated provision</w:t>
            </w:r>
          </w:p>
        </w:tc>
        <w:tc>
          <w:tcPr>
            <w:tcW w:w="564" w:type="pct"/>
            <w:tcBorders>
              <w:top w:val="nil"/>
              <w:left w:val="nil"/>
              <w:bottom w:val="single" w:sz="4" w:space="0" w:color="auto"/>
              <w:right w:val="single" w:sz="4" w:space="0" w:color="auto"/>
            </w:tcBorders>
            <w:shd w:val="clear" w:color="auto" w:fill="D9D9D9" w:themeFill="background1" w:themeFillShade="D9"/>
          </w:tcPr>
          <w:p w14:paraId="307D3BE6" w14:textId="77777777" w:rsidR="00423A93" w:rsidRPr="004C78D8" w:rsidRDefault="00423A93" w:rsidP="00FB7C1F">
            <w:pPr>
              <w:jc w:val="left"/>
              <w:rPr>
                <w:rFonts w:cs="Times New Roman"/>
                <w:sz w:val="18"/>
                <w:szCs w:val="18"/>
              </w:rPr>
            </w:pPr>
            <w:r w:rsidRPr="004C78D8">
              <w:rPr>
                <w:rFonts w:cs="Times New Roman"/>
                <w:color w:val="000000"/>
                <w:sz w:val="18"/>
                <w:szCs w:val="18"/>
              </w:rPr>
              <w:t>6722</w:t>
            </w:r>
          </w:p>
        </w:tc>
        <w:tc>
          <w:tcPr>
            <w:tcW w:w="710" w:type="pct"/>
            <w:tcBorders>
              <w:top w:val="nil"/>
              <w:left w:val="single" w:sz="4" w:space="0" w:color="auto"/>
              <w:bottom w:val="single" w:sz="4" w:space="0" w:color="auto"/>
              <w:right w:val="single" w:sz="4" w:space="0" w:color="auto"/>
            </w:tcBorders>
            <w:shd w:val="clear" w:color="auto" w:fill="D9D9D9" w:themeFill="background1" w:themeFillShade="D9"/>
          </w:tcPr>
          <w:p w14:paraId="4F6FAC89" w14:textId="77777777" w:rsidR="00423A93" w:rsidRPr="004C78D8" w:rsidRDefault="00423A93" w:rsidP="00FB7C1F">
            <w:pPr>
              <w:jc w:val="left"/>
              <w:rPr>
                <w:rFonts w:cs="Times New Roman"/>
                <w:sz w:val="18"/>
                <w:szCs w:val="18"/>
              </w:rPr>
            </w:pPr>
            <w:r w:rsidRPr="004C78D8">
              <w:rPr>
                <w:rFonts w:cs="Times New Roman"/>
                <w:color w:val="000000"/>
                <w:sz w:val="18"/>
                <w:szCs w:val="18"/>
              </w:rPr>
              <w:t>£107,003,622</w:t>
            </w:r>
          </w:p>
        </w:tc>
        <w:tc>
          <w:tcPr>
            <w:tcW w:w="569" w:type="pct"/>
            <w:tcBorders>
              <w:top w:val="nil"/>
              <w:left w:val="single" w:sz="4" w:space="0" w:color="auto"/>
              <w:bottom w:val="single" w:sz="4" w:space="0" w:color="auto"/>
              <w:right w:val="single" w:sz="4" w:space="0" w:color="auto"/>
            </w:tcBorders>
            <w:shd w:val="clear" w:color="auto" w:fill="D9D9D9" w:themeFill="background1" w:themeFillShade="D9"/>
          </w:tcPr>
          <w:p w14:paraId="0A3AF6A3" w14:textId="77777777" w:rsidR="00423A93" w:rsidRPr="004C78D8" w:rsidRDefault="00423A93" w:rsidP="00FB7C1F">
            <w:pPr>
              <w:jc w:val="left"/>
              <w:rPr>
                <w:rFonts w:cs="Times New Roman"/>
                <w:sz w:val="18"/>
                <w:szCs w:val="18"/>
              </w:rPr>
            </w:pPr>
            <w:r w:rsidRPr="004C78D8">
              <w:rPr>
                <w:rFonts w:cs="Times New Roman"/>
                <w:color w:val="000000"/>
                <w:sz w:val="18"/>
                <w:szCs w:val="18"/>
              </w:rPr>
              <w:t>£15,917</w:t>
            </w:r>
          </w:p>
        </w:tc>
        <w:tc>
          <w:tcPr>
            <w:tcW w:w="594" w:type="pct"/>
            <w:tcBorders>
              <w:top w:val="nil"/>
              <w:left w:val="single" w:sz="4" w:space="0" w:color="auto"/>
              <w:bottom w:val="single" w:sz="4" w:space="0" w:color="auto"/>
              <w:right w:val="single" w:sz="4" w:space="0" w:color="auto"/>
            </w:tcBorders>
            <w:shd w:val="clear" w:color="auto" w:fill="D9D9D9" w:themeFill="background1" w:themeFillShade="D9"/>
          </w:tcPr>
          <w:p w14:paraId="13149027" w14:textId="77777777" w:rsidR="00423A93" w:rsidRPr="004C78D8" w:rsidRDefault="00423A93" w:rsidP="00FB7C1F">
            <w:pPr>
              <w:jc w:val="left"/>
              <w:rPr>
                <w:rFonts w:cs="Times New Roman"/>
                <w:color w:val="000000"/>
                <w:sz w:val="18"/>
                <w:szCs w:val="18"/>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tcPr>
          <w:p w14:paraId="16EADFD8" w14:textId="77777777" w:rsidR="00423A93" w:rsidRPr="004C78D8" w:rsidRDefault="00423A93" w:rsidP="00FB7C1F">
            <w:pPr>
              <w:jc w:val="left"/>
              <w:rPr>
                <w:rFonts w:cs="Times New Roman"/>
                <w:sz w:val="18"/>
                <w:szCs w:val="18"/>
              </w:rPr>
            </w:pPr>
            <w:r w:rsidRPr="004C78D8">
              <w:rPr>
                <w:rFonts w:cs="Times New Roman"/>
                <w:color w:val="000000"/>
                <w:sz w:val="18"/>
                <w:szCs w:val="18"/>
              </w:rPr>
              <w:t>£94,669,816</w:t>
            </w:r>
          </w:p>
        </w:tc>
      </w:tr>
      <w:tr w:rsidR="00423A93" w:rsidRPr="004C78D8" w14:paraId="4EE1EFAB" w14:textId="77777777" w:rsidTr="00E35893">
        <w:tc>
          <w:tcPr>
            <w:tcW w:w="5000" w:type="pct"/>
            <w:gridSpan w:val="7"/>
            <w:tcBorders>
              <w:top w:val="single" w:sz="4" w:space="0" w:color="auto"/>
              <w:bottom w:val="single" w:sz="4" w:space="0" w:color="auto"/>
              <w:right w:val="single" w:sz="4" w:space="0" w:color="auto"/>
            </w:tcBorders>
            <w:shd w:val="clear" w:color="auto" w:fill="auto"/>
          </w:tcPr>
          <w:p w14:paraId="53DC8B89" w14:textId="111BF1A5" w:rsidR="00423A93" w:rsidRPr="004C78D8" w:rsidRDefault="00423A93" w:rsidP="00FB7C1F">
            <w:pPr>
              <w:jc w:val="left"/>
              <w:rPr>
                <w:rFonts w:cs="Times New Roman"/>
                <w:b/>
                <w:bCs/>
                <w:color w:val="000000"/>
                <w:sz w:val="18"/>
                <w:szCs w:val="18"/>
              </w:rPr>
            </w:pPr>
            <w:r w:rsidRPr="004C78D8">
              <w:rPr>
                <w:rFonts w:cs="Times New Roman"/>
                <w:b/>
                <w:bCs/>
                <w:color w:val="000000"/>
                <w:sz w:val="18"/>
                <w:szCs w:val="18"/>
              </w:rPr>
              <w:t>Efficiency-equity join</w:t>
            </w:r>
            <w:r w:rsidR="00D91D5D" w:rsidRPr="004C78D8">
              <w:rPr>
                <w:rFonts w:cs="Times New Roman"/>
                <w:b/>
                <w:bCs/>
                <w:color w:val="000000"/>
                <w:sz w:val="18"/>
                <w:szCs w:val="18"/>
              </w:rPr>
              <w:t>t consideration and individual-level lifetime outcomes</w:t>
            </w:r>
            <w:r w:rsidR="00D83266" w:rsidRPr="004C78D8">
              <w:rPr>
                <w:rFonts w:cs="Times New Roman"/>
                <w:b/>
                <w:bCs/>
                <w:color w:val="000000"/>
                <w:sz w:val="18"/>
                <w:szCs w:val="18"/>
              </w:rPr>
              <w:t xml:space="preserve"> (rank #)</w:t>
            </w:r>
          </w:p>
        </w:tc>
      </w:tr>
      <w:tr w:rsidR="00F135D9" w:rsidRPr="004C78D8" w14:paraId="7D708164" w14:textId="77777777" w:rsidTr="00E35893">
        <w:tc>
          <w:tcPr>
            <w:tcW w:w="286" w:type="pct"/>
            <w:tcBorders>
              <w:top w:val="single" w:sz="4" w:space="0" w:color="auto"/>
              <w:bottom w:val="single" w:sz="4" w:space="0" w:color="auto"/>
            </w:tcBorders>
            <w:shd w:val="clear" w:color="auto" w:fill="auto"/>
            <w:vAlign w:val="bottom"/>
          </w:tcPr>
          <w:p w14:paraId="3AC913E6" w14:textId="7995A74D" w:rsidR="00F135D9" w:rsidRPr="004C78D8" w:rsidRDefault="00F135D9" w:rsidP="00FB7C1F">
            <w:pPr>
              <w:jc w:val="left"/>
              <w:rPr>
                <w:sz w:val="18"/>
                <w:szCs w:val="18"/>
              </w:rPr>
            </w:pPr>
            <w:r w:rsidRPr="004C78D8">
              <w:rPr>
                <w:b/>
                <w:bCs/>
                <w:sz w:val="18"/>
                <w:szCs w:val="18"/>
              </w:rPr>
              <w:t>[#]</w:t>
            </w:r>
          </w:p>
        </w:tc>
        <w:tc>
          <w:tcPr>
            <w:tcW w:w="1598" w:type="pct"/>
            <w:tcBorders>
              <w:top w:val="single" w:sz="4" w:space="0" w:color="auto"/>
              <w:bottom w:val="single" w:sz="4" w:space="0" w:color="auto"/>
            </w:tcBorders>
            <w:shd w:val="clear" w:color="auto" w:fill="auto"/>
            <w:vAlign w:val="bottom"/>
          </w:tcPr>
          <w:p w14:paraId="4F0D2C68" w14:textId="7D403EEA" w:rsidR="00F135D9" w:rsidRPr="004C78D8" w:rsidRDefault="00F135D9" w:rsidP="00FB7C1F">
            <w:pPr>
              <w:jc w:val="left"/>
              <w:rPr>
                <w:sz w:val="18"/>
                <w:szCs w:val="18"/>
              </w:rPr>
            </w:pPr>
            <w:r w:rsidRPr="004C78D8">
              <w:rPr>
                <w:b/>
                <w:bCs/>
                <w:sz w:val="18"/>
                <w:szCs w:val="18"/>
              </w:rPr>
              <w:t>Strategy</w:t>
            </w:r>
          </w:p>
        </w:tc>
        <w:tc>
          <w:tcPr>
            <w:tcW w:w="564" w:type="pct"/>
            <w:tcBorders>
              <w:top w:val="single" w:sz="4" w:space="0" w:color="auto"/>
              <w:left w:val="nil"/>
              <w:bottom w:val="single" w:sz="4" w:space="0" w:color="auto"/>
              <w:right w:val="single" w:sz="4" w:space="0" w:color="auto"/>
            </w:tcBorders>
            <w:shd w:val="clear" w:color="auto" w:fill="auto"/>
          </w:tcPr>
          <w:p w14:paraId="476D610E" w14:textId="09B3E75E" w:rsidR="00F135D9" w:rsidRPr="004C78D8" w:rsidRDefault="00F135D9" w:rsidP="00FB7C1F">
            <w:pPr>
              <w:jc w:val="left"/>
              <w:rPr>
                <w:rFonts w:cs="Times New Roman"/>
                <w:color w:val="000000"/>
                <w:sz w:val="18"/>
                <w:szCs w:val="18"/>
              </w:rPr>
            </w:pPr>
            <w:r w:rsidRPr="004C78D8">
              <w:rPr>
                <w:b/>
                <w:bCs/>
                <w:sz w:val="18"/>
                <w:szCs w:val="18"/>
              </w:rPr>
              <w:t>Inc. no-aversion mean</w:t>
            </w:r>
            <w:r w:rsidR="00D675B3" w:rsidRPr="004C78D8">
              <w:rPr>
                <w:b/>
                <w:bCs/>
                <w:sz w:val="18"/>
                <w:szCs w:val="18"/>
                <w:vertAlign w:val="superscript"/>
              </w:rPr>
              <w:t>3</w:t>
            </w:r>
          </w:p>
        </w:tc>
        <w:tc>
          <w:tcPr>
            <w:tcW w:w="710" w:type="pct"/>
            <w:tcBorders>
              <w:top w:val="single" w:sz="4" w:space="0" w:color="auto"/>
              <w:left w:val="single" w:sz="4" w:space="0" w:color="auto"/>
              <w:bottom w:val="single" w:sz="4" w:space="0" w:color="auto"/>
              <w:right w:val="single" w:sz="4" w:space="0" w:color="auto"/>
            </w:tcBorders>
            <w:shd w:val="clear" w:color="auto" w:fill="auto"/>
          </w:tcPr>
          <w:p w14:paraId="4A3136AB" w14:textId="354B8150" w:rsidR="00F135D9" w:rsidRPr="004C78D8" w:rsidRDefault="00F135D9" w:rsidP="00FB7C1F">
            <w:pPr>
              <w:jc w:val="left"/>
              <w:rPr>
                <w:rFonts w:cs="Times New Roman"/>
                <w:color w:val="000000"/>
                <w:sz w:val="18"/>
                <w:szCs w:val="18"/>
              </w:rPr>
            </w:pPr>
            <w:r w:rsidRPr="004C78D8">
              <w:rPr>
                <w:b/>
                <w:bCs/>
                <w:sz w:val="18"/>
                <w:szCs w:val="18"/>
              </w:rPr>
              <w:t>Atkinson EDE (ε=30)</w:t>
            </w:r>
          </w:p>
        </w:tc>
        <w:tc>
          <w:tcPr>
            <w:tcW w:w="569" w:type="pct"/>
            <w:tcBorders>
              <w:top w:val="single" w:sz="4" w:space="0" w:color="auto"/>
              <w:left w:val="single" w:sz="4" w:space="0" w:color="auto"/>
              <w:bottom w:val="single" w:sz="4" w:space="0" w:color="auto"/>
              <w:right w:val="single" w:sz="4" w:space="0" w:color="auto"/>
            </w:tcBorders>
            <w:shd w:val="clear" w:color="auto" w:fill="auto"/>
          </w:tcPr>
          <w:p w14:paraId="5D0B1D21" w14:textId="08D6A236" w:rsidR="00F135D9" w:rsidRPr="004C78D8" w:rsidRDefault="00F135D9" w:rsidP="00FB7C1F">
            <w:pPr>
              <w:jc w:val="left"/>
              <w:rPr>
                <w:rFonts w:cs="Times New Roman"/>
                <w:color w:val="000000"/>
                <w:sz w:val="18"/>
                <w:szCs w:val="18"/>
              </w:rPr>
            </w:pPr>
            <w:r w:rsidRPr="004C78D8">
              <w:rPr>
                <w:b/>
                <w:bCs/>
                <w:sz w:val="18"/>
                <w:szCs w:val="18"/>
              </w:rPr>
              <w:t>Kolm EDE (α=0.5)</w:t>
            </w:r>
          </w:p>
        </w:tc>
        <w:tc>
          <w:tcPr>
            <w:tcW w:w="1273" w:type="pct"/>
            <w:gridSpan w:val="2"/>
            <w:tcBorders>
              <w:top w:val="single" w:sz="4" w:space="0" w:color="auto"/>
              <w:left w:val="single" w:sz="4" w:space="0" w:color="auto"/>
              <w:bottom w:val="single" w:sz="4" w:space="0" w:color="auto"/>
              <w:right w:val="single" w:sz="4" w:space="0" w:color="auto"/>
            </w:tcBorders>
            <w:shd w:val="clear" w:color="auto" w:fill="auto"/>
          </w:tcPr>
          <w:p w14:paraId="7BBF857A" w14:textId="34116BDD" w:rsidR="00F135D9" w:rsidRPr="004C78D8" w:rsidRDefault="00F135D9" w:rsidP="00FB7C1F">
            <w:pPr>
              <w:jc w:val="left"/>
              <w:rPr>
                <w:rFonts w:cs="Times New Roman"/>
                <w:b/>
                <w:bCs/>
                <w:color w:val="000000"/>
                <w:sz w:val="18"/>
                <w:szCs w:val="18"/>
              </w:rPr>
            </w:pPr>
            <w:r w:rsidRPr="004C78D8">
              <w:rPr>
                <w:rFonts w:cs="Times New Roman"/>
                <w:b/>
                <w:bCs/>
                <w:color w:val="000000"/>
                <w:sz w:val="18"/>
                <w:szCs w:val="18"/>
              </w:rPr>
              <w:t>Combined score for lifetime outcomes</w:t>
            </w:r>
            <w:r w:rsidR="00D675B3" w:rsidRPr="004C78D8">
              <w:rPr>
                <w:rFonts w:cs="Times New Roman"/>
                <w:b/>
                <w:bCs/>
                <w:color w:val="000000"/>
                <w:sz w:val="18"/>
                <w:szCs w:val="18"/>
                <w:vertAlign w:val="superscript"/>
              </w:rPr>
              <w:t>4</w:t>
            </w:r>
          </w:p>
        </w:tc>
      </w:tr>
      <w:tr w:rsidR="00677B65" w:rsidRPr="004C78D8" w14:paraId="53F0FAAE" w14:textId="77777777" w:rsidTr="00E35893">
        <w:tc>
          <w:tcPr>
            <w:tcW w:w="286" w:type="pct"/>
            <w:tcBorders>
              <w:top w:val="single" w:sz="4" w:space="0" w:color="auto"/>
              <w:bottom w:val="nil"/>
            </w:tcBorders>
            <w:shd w:val="clear" w:color="auto" w:fill="auto"/>
          </w:tcPr>
          <w:p w14:paraId="6AD297CE" w14:textId="296B4C59" w:rsidR="00677B65" w:rsidRPr="004C78D8" w:rsidRDefault="00677B65" w:rsidP="00FB7C1F">
            <w:pPr>
              <w:jc w:val="left"/>
              <w:rPr>
                <w:sz w:val="18"/>
                <w:szCs w:val="18"/>
              </w:rPr>
            </w:pPr>
            <w:r w:rsidRPr="004C78D8">
              <w:rPr>
                <w:sz w:val="18"/>
                <w:szCs w:val="18"/>
              </w:rPr>
              <w:t>[7]</w:t>
            </w:r>
          </w:p>
        </w:tc>
        <w:tc>
          <w:tcPr>
            <w:tcW w:w="1598" w:type="pct"/>
            <w:tcBorders>
              <w:top w:val="single" w:sz="4" w:space="0" w:color="auto"/>
              <w:bottom w:val="nil"/>
            </w:tcBorders>
            <w:shd w:val="clear" w:color="auto" w:fill="auto"/>
          </w:tcPr>
          <w:p w14:paraId="2C169CF8" w14:textId="145CB0B6" w:rsidR="00677B65" w:rsidRPr="004C78D8" w:rsidRDefault="00677B65" w:rsidP="00FB7C1F">
            <w:pPr>
              <w:jc w:val="left"/>
              <w:rPr>
                <w:sz w:val="18"/>
                <w:szCs w:val="18"/>
              </w:rPr>
            </w:pPr>
            <w:r w:rsidRPr="004C78D8">
              <w:rPr>
                <w:sz w:val="18"/>
                <w:szCs w:val="18"/>
              </w:rPr>
              <w:t>CRC(4) + 3</w:t>
            </w:r>
            <w:r w:rsidRPr="004C78D8">
              <w:rPr>
                <w:sz w:val="18"/>
                <w:szCs w:val="18"/>
                <w:vertAlign w:val="superscript"/>
              </w:rPr>
              <w:t>rd</w:t>
            </w:r>
            <w:r w:rsidRPr="004C78D8">
              <w:rPr>
                <w:sz w:val="18"/>
                <w:szCs w:val="18"/>
              </w:rPr>
              <w:t>/4</w:t>
            </w:r>
            <w:r w:rsidRPr="004C78D8">
              <w:rPr>
                <w:sz w:val="18"/>
                <w:szCs w:val="18"/>
                <w:vertAlign w:val="superscript"/>
              </w:rPr>
              <w:t>th</w:t>
            </w:r>
            <w:r w:rsidRPr="004C78D8">
              <w:rPr>
                <w:sz w:val="18"/>
                <w:szCs w:val="18"/>
              </w:rPr>
              <w:t xml:space="preserve"> SES FRS</w:t>
            </w:r>
          </w:p>
        </w:tc>
        <w:tc>
          <w:tcPr>
            <w:tcW w:w="564" w:type="pct"/>
            <w:tcBorders>
              <w:top w:val="single" w:sz="4" w:space="0" w:color="auto"/>
              <w:left w:val="nil"/>
              <w:bottom w:val="nil"/>
              <w:right w:val="single" w:sz="4" w:space="0" w:color="auto"/>
            </w:tcBorders>
            <w:shd w:val="clear" w:color="auto" w:fill="auto"/>
          </w:tcPr>
          <w:p w14:paraId="7A90958E" w14:textId="34919092" w:rsidR="00677B65" w:rsidRPr="004C78D8" w:rsidRDefault="00677B65" w:rsidP="00FB7C1F">
            <w:pPr>
              <w:jc w:val="left"/>
              <w:rPr>
                <w:rFonts w:cs="Times New Roman"/>
                <w:color w:val="000000"/>
                <w:sz w:val="18"/>
                <w:szCs w:val="18"/>
              </w:rPr>
            </w:pPr>
            <w:r w:rsidRPr="004C78D8">
              <w:rPr>
                <w:rFonts w:eastAsia="Times New Roman" w:cs="Times New Roman"/>
                <w:color w:val="000000"/>
                <w:sz w:val="18"/>
                <w:szCs w:val="18"/>
              </w:rPr>
              <w:t>0.0208</w:t>
            </w:r>
            <w:r w:rsidR="00D83266" w:rsidRPr="004C78D8">
              <w:rPr>
                <w:rFonts w:eastAsia="Times New Roman" w:cs="Times New Roman"/>
                <w:color w:val="000000"/>
                <w:sz w:val="18"/>
                <w:szCs w:val="18"/>
              </w:rPr>
              <w:t xml:space="preserve"> (1)</w:t>
            </w:r>
          </w:p>
        </w:tc>
        <w:tc>
          <w:tcPr>
            <w:tcW w:w="710" w:type="pct"/>
            <w:tcBorders>
              <w:top w:val="single" w:sz="4" w:space="0" w:color="auto"/>
              <w:left w:val="single" w:sz="4" w:space="0" w:color="auto"/>
              <w:bottom w:val="nil"/>
              <w:right w:val="single" w:sz="4" w:space="0" w:color="auto"/>
            </w:tcBorders>
            <w:shd w:val="clear" w:color="auto" w:fill="auto"/>
          </w:tcPr>
          <w:p w14:paraId="17C66306" w14:textId="6EC769E9" w:rsidR="00677B65" w:rsidRPr="004C78D8" w:rsidRDefault="00677B65" w:rsidP="00FB7C1F">
            <w:pPr>
              <w:jc w:val="left"/>
              <w:rPr>
                <w:rFonts w:cs="Times New Roman"/>
                <w:color w:val="000000"/>
                <w:sz w:val="18"/>
                <w:szCs w:val="18"/>
              </w:rPr>
            </w:pPr>
            <w:r w:rsidRPr="004C78D8">
              <w:rPr>
                <w:rFonts w:eastAsia="Times New Roman" w:cs="Times New Roman"/>
                <w:color w:val="000000"/>
                <w:sz w:val="18"/>
                <w:szCs w:val="18"/>
              </w:rPr>
              <w:t>0.0247</w:t>
            </w:r>
            <w:r w:rsidR="00D83266" w:rsidRPr="004C78D8">
              <w:rPr>
                <w:rFonts w:eastAsia="Times New Roman" w:cs="Times New Roman"/>
                <w:color w:val="000000"/>
                <w:sz w:val="18"/>
                <w:szCs w:val="18"/>
              </w:rPr>
              <w:t xml:space="preserve"> (1)</w:t>
            </w:r>
          </w:p>
        </w:tc>
        <w:tc>
          <w:tcPr>
            <w:tcW w:w="569" w:type="pct"/>
            <w:tcBorders>
              <w:top w:val="single" w:sz="4" w:space="0" w:color="auto"/>
              <w:left w:val="single" w:sz="4" w:space="0" w:color="auto"/>
              <w:bottom w:val="nil"/>
              <w:right w:val="single" w:sz="4" w:space="0" w:color="auto"/>
            </w:tcBorders>
            <w:shd w:val="clear" w:color="auto" w:fill="auto"/>
          </w:tcPr>
          <w:p w14:paraId="30D1892A" w14:textId="085381CD" w:rsidR="00677B65" w:rsidRPr="004C78D8" w:rsidRDefault="00677B65" w:rsidP="00FB7C1F">
            <w:pPr>
              <w:jc w:val="left"/>
              <w:rPr>
                <w:rFonts w:cs="Times New Roman"/>
                <w:color w:val="000000"/>
                <w:sz w:val="18"/>
                <w:szCs w:val="18"/>
              </w:rPr>
            </w:pPr>
            <w:r w:rsidRPr="004C78D8">
              <w:rPr>
                <w:rFonts w:eastAsia="Times New Roman" w:cs="Times New Roman"/>
                <w:color w:val="000000"/>
                <w:sz w:val="18"/>
                <w:szCs w:val="18"/>
              </w:rPr>
              <w:t>0.0215</w:t>
            </w:r>
            <w:r w:rsidR="00D83266" w:rsidRPr="004C78D8">
              <w:rPr>
                <w:rFonts w:eastAsia="Times New Roman" w:cs="Times New Roman"/>
                <w:color w:val="000000"/>
                <w:sz w:val="18"/>
                <w:szCs w:val="18"/>
              </w:rPr>
              <w:t xml:space="preserve"> (1)</w:t>
            </w:r>
          </w:p>
        </w:tc>
        <w:tc>
          <w:tcPr>
            <w:tcW w:w="1273" w:type="pct"/>
            <w:gridSpan w:val="2"/>
            <w:tcBorders>
              <w:top w:val="single" w:sz="4" w:space="0" w:color="auto"/>
              <w:left w:val="single" w:sz="4" w:space="0" w:color="auto"/>
              <w:bottom w:val="nil"/>
              <w:right w:val="single" w:sz="4" w:space="0" w:color="auto"/>
            </w:tcBorders>
            <w:shd w:val="clear" w:color="auto" w:fill="auto"/>
          </w:tcPr>
          <w:p w14:paraId="0401CBB8" w14:textId="40A59BE4" w:rsidR="00677B65" w:rsidRPr="004C78D8" w:rsidRDefault="00677B65" w:rsidP="00FB7C1F">
            <w:pPr>
              <w:jc w:val="left"/>
              <w:rPr>
                <w:rFonts w:cs="Times New Roman"/>
                <w:color w:val="000000"/>
                <w:sz w:val="18"/>
                <w:szCs w:val="18"/>
              </w:rPr>
            </w:pPr>
            <w:r w:rsidRPr="004C78D8">
              <w:rPr>
                <w:sz w:val="18"/>
                <w:szCs w:val="18"/>
              </w:rPr>
              <w:t>32</w:t>
            </w:r>
          </w:p>
        </w:tc>
      </w:tr>
      <w:tr w:rsidR="00D83266" w:rsidRPr="004C78D8" w14:paraId="4F67CDD6" w14:textId="77777777" w:rsidTr="00E35893">
        <w:tc>
          <w:tcPr>
            <w:tcW w:w="286" w:type="pct"/>
            <w:tcBorders>
              <w:top w:val="nil"/>
              <w:bottom w:val="nil"/>
            </w:tcBorders>
            <w:shd w:val="clear" w:color="auto" w:fill="auto"/>
          </w:tcPr>
          <w:p w14:paraId="5916D5B4" w14:textId="42F4050E" w:rsidR="00D83266" w:rsidRPr="004C78D8" w:rsidRDefault="00D83266" w:rsidP="00FB7C1F">
            <w:pPr>
              <w:jc w:val="left"/>
              <w:rPr>
                <w:sz w:val="18"/>
                <w:szCs w:val="18"/>
              </w:rPr>
            </w:pPr>
            <w:r w:rsidRPr="004C78D8">
              <w:rPr>
                <w:sz w:val="18"/>
                <w:szCs w:val="18"/>
              </w:rPr>
              <w:t>[8]</w:t>
            </w:r>
          </w:p>
        </w:tc>
        <w:tc>
          <w:tcPr>
            <w:tcW w:w="1598" w:type="pct"/>
            <w:tcBorders>
              <w:top w:val="nil"/>
              <w:bottom w:val="nil"/>
            </w:tcBorders>
            <w:shd w:val="clear" w:color="auto" w:fill="auto"/>
          </w:tcPr>
          <w:p w14:paraId="5C113235" w14:textId="2672BE7F" w:rsidR="00D83266" w:rsidRPr="004C78D8" w:rsidRDefault="00D83266" w:rsidP="00FB7C1F">
            <w:pPr>
              <w:jc w:val="left"/>
              <w:rPr>
                <w:sz w:val="18"/>
                <w:szCs w:val="18"/>
              </w:rPr>
            </w:pPr>
            <w:r w:rsidRPr="004C78D8">
              <w:rPr>
                <w:sz w:val="18"/>
                <w:szCs w:val="18"/>
              </w:rPr>
              <w:t>CRC(4): falls risk targeting</w:t>
            </w:r>
          </w:p>
        </w:tc>
        <w:tc>
          <w:tcPr>
            <w:tcW w:w="564" w:type="pct"/>
            <w:tcBorders>
              <w:top w:val="nil"/>
              <w:left w:val="nil"/>
              <w:bottom w:val="nil"/>
              <w:right w:val="single" w:sz="4" w:space="0" w:color="auto"/>
            </w:tcBorders>
            <w:shd w:val="clear" w:color="auto" w:fill="auto"/>
          </w:tcPr>
          <w:p w14:paraId="1ABFF09A" w14:textId="7BB6A0DA" w:rsidR="00D83266" w:rsidRPr="004C78D8" w:rsidRDefault="00D83266" w:rsidP="00FB7C1F">
            <w:pPr>
              <w:jc w:val="left"/>
              <w:rPr>
                <w:rFonts w:cs="Times New Roman"/>
                <w:color w:val="000000"/>
                <w:sz w:val="18"/>
                <w:szCs w:val="18"/>
              </w:rPr>
            </w:pPr>
            <w:r w:rsidRPr="004C78D8">
              <w:rPr>
                <w:rFonts w:eastAsia="Times New Roman" w:cs="Times New Roman"/>
                <w:color w:val="000000"/>
                <w:sz w:val="18"/>
                <w:szCs w:val="18"/>
              </w:rPr>
              <w:t>0.0191 (3)</w:t>
            </w:r>
          </w:p>
        </w:tc>
        <w:tc>
          <w:tcPr>
            <w:tcW w:w="710" w:type="pct"/>
            <w:tcBorders>
              <w:top w:val="nil"/>
              <w:left w:val="single" w:sz="4" w:space="0" w:color="auto"/>
              <w:bottom w:val="nil"/>
              <w:right w:val="single" w:sz="4" w:space="0" w:color="auto"/>
            </w:tcBorders>
            <w:shd w:val="clear" w:color="auto" w:fill="auto"/>
          </w:tcPr>
          <w:p w14:paraId="507DF326" w14:textId="5E805D5D" w:rsidR="00D83266" w:rsidRPr="004C78D8" w:rsidRDefault="00D83266" w:rsidP="00FB7C1F">
            <w:pPr>
              <w:jc w:val="left"/>
              <w:rPr>
                <w:rFonts w:cs="Times New Roman"/>
                <w:color w:val="000000"/>
                <w:sz w:val="18"/>
                <w:szCs w:val="18"/>
              </w:rPr>
            </w:pPr>
            <w:r w:rsidRPr="004C78D8">
              <w:rPr>
                <w:rFonts w:eastAsia="Times New Roman" w:cs="Times New Roman"/>
                <w:color w:val="000000"/>
                <w:sz w:val="18"/>
                <w:szCs w:val="18"/>
              </w:rPr>
              <w:t>0.0221</w:t>
            </w:r>
          </w:p>
        </w:tc>
        <w:tc>
          <w:tcPr>
            <w:tcW w:w="569" w:type="pct"/>
            <w:tcBorders>
              <w:top w:val="nil"/>
              <w:left w:val="single" w:sz="4" w:space="0" w:color="auto"/>
              <w:bottom w:val="nil"/>
              <w:right w:val="single" w:sz="4" w:space="0" w:color="auto"/>
            </w:tcBorders>
            <w:shd w:val="clear" w:color="auto" w:fill="auto"/>
          </w:tcPr>
          <w:p w14:paraId="0AE5E348" w14:textId="49D70266" w:rsidR="00D83266" w:rsidRPr="004C78D8" w:rsidRDefault="00D83266" w:rsidP="00FB7C1F">
            <w:pPr>
              <w:jc w:val="left"/>
              <w:rPr>
                <w:rFonts w:cs="Times New Roman"/>
                <w:color w:val="000000"/>
                <w:sz w:val="18"/>
                <w:szCs w:val="18"/>
              </w:rPr>
            </w:pPr>
            <w:r w:rsidRPr="004C78D8">
              <w:rPr>
                <w:rFonts w:eastAsia="Times New Roman" w:cs="Times New Roman"/>
                <w:color w:val="000000"/>
                <w:sz w:val="18"/>
                <w:szCs w:val="18"/>
              </w:rPr>
              <w:t>0.0197</w:t>
            </w:r>
          </w:p>
        </w:tc>
        <w:tc>
          <w:tcPr>
            <w:tcW w:w="1273" w:type="pct"/>
            <w:gridSpan w:val="2"/>
            <w:tcBorders>
              <w:top w:val="nil"/>
              <w:left w:val="single" w:sz="4" w:space="0" w:color="auto"/>
              <w:bottom w:val="nil"/>
              <w:right w:val="single" w:sz="4" w:space="0" w:color="auto"/>
            </w:tcBorders>
            <w:shd w:val="clear" w:color="auto" w:fill="auto"/>
          </w:tcPr>
          <w:p w14:paraId="13F59528" w14:textId="76385E59" w:rsidR="00D83266" w:rsidRPr="004C78D8" w:rsidRDefault="00D83266" w:rsidP="00FB7C1F">
            <w:pPr>
              <w:jc w:val="left"/>
              <w:rPr>
                <w:rFonts w:cs="Times New Roman"/>
                <w:color w:val="000000"/>
                <w:sz w:val="18"/>
                <w:szCs w:val="18"/>
              </w:rPr>
            </w:pPr>
            <w:r w:rsidRPr="004C78D8">
              <w:rPr>
                <w:sz w:val="18"/>
                <w:szCs w:val="18"/>
              </w:rPr>
              <w:t>38 (3)</w:t>
            </w:r>
          </w:p>
        </w:tc>
      </w:tr>
      <w:tr w:rsidR="00D83266" w:rsidRPr="004C78D8" w14:paraId="0BA6E5D3" w14:textId="77777777" w:rsidTr="00E35893">
        <w:tc>
          <w:tcPr>
            <w:tcW w:w="286" w:type="pct"/>
            <w:tcBorders>
              <w:top w:val="nil"/>
              <w:bottom w:val="nil"/>
            </w:tcBorders>
            <w:shd w:val="clear" w:color="auto" w:fill="auto"/>
          </w:tcPr>
          <w:p w14:paraId="047A54EC" w14:textId="1B02C630" w:rsidR="00D83266" w:rsidRPr="004C78D8" w:rsidRDefault="00D83266" w:rsidP="00FB7C1F">
            <w:pPr>
              <w:jc w:val="left"/>
              <w:rPr>
                <w:sz w:val="18"/>
                <w:szCs w:val="18"/>
              </w:rPr>
            </w:pPr>
            <w:r w:rsidRPr="004C78D8">
              <w:rPr>
                <w:sz w:val="18"/>
                <w:szCs w:val="18"/>
              </w:rPr>
              <w:t>[10]</w:t>
            </w:r>
          </w:p>
        </w:tc>
        <w:tc>
          <w:tcPr>
            <w:tcW w:w="1598" w:type="pct"/>
            <w:tcBorders>
              <w:top w:val="nil"/>
              <w:bottom w:val="nil"/>
            </w:tcBorders>
            <w:shd w:val="clear" w:color="auto" w:fill="auto"/>
          </w:tcPr>
          <w:p w14:paraId="64188B2B" w14:textId="5479CDD1" w:rsidR="00D83266" w:rsidRPr="004C78D8" w:rsidRDefault="00D83266" w:rsidP="00FB7C1F">
            <w:pPr>
              <w:jc w:val="left"/>
              <w:rPr>
                <w:sz w:val="18"/>
                <w:szCs w:val="18"/>
              </w:rPr>
            </w:pPr>
            <w:r w:rsidRPr="004C78D8">
              <w:rPr>
                <w:sz w:val="18"/>
                <w:szCs w:val="18"/>
              </w:rPr>
              <w:t>CRC(4) + SR demand 20% increase</w:t>
            </w:r>
          </w:p>
        </w:tc>
        <w:tc>
          <w:tcPr>
            <w:tcW w:w="564" w:type="pct"/>
            <w:tcBorders>
              <w:top w:val="nil"/>
              <w:left w:val="nil"/>
              <w:bottom w:val="nil"/>
              <w:right w:val="single" w:sz="4" w:space="0" w:color="auto"/>
            </w:tcBorders>
            <w:shd w:val="clear" w:color="auto" w:fill="auto"/>
          </w:tcPr>
          <w:p w14:paraId="1C9FDB9F" w14:textId="73F61B24" w:rsidR="00D83266" w:rsidRPr="004C78D8" w:rsidRDefault="00D83266" w:rsidP="00FB7C1F">
            <w:pPr>
              <w:jc w:val="left"/>
              <w:rPr>
                <w:rFonts w:cs="Times New Roman"/>
                <w:color w:val="000000"/>
                <w:sz w:val="18"/>
                <w:szCs w:val="18"/>
              </w:rPr>
            </w:pPr>
            <w:r w:rsidRPr="004C78D8">
              <w:rPr>
                <w:rFonts w:eastAsia="Times New Roman" w:cs="Times New Roman"/>
                <w:color w:val="000000"/>
                <w:sz w:val="18"/>
                <w:szCs w:val="18"/>
              </w:rPr>
              <w:t>0.0185</w:t>
            </w:r>
          </w:p>
        </w:tc>
        <w:tc>
          <w:tcPr>
            <w:tcW w:w="710" w:type="pct"/>
            <w:tcBorders>
              <w:top w:val="nil"/>
              <w:left w:val="single" w:sz="4" w:space="0" w:color="auto"/>
              <w:bottom w:val="nil"/>
              <w:right w:val="single" w:sz="4" w:space="0" w:color="auto"/>
            </w:tcBorders>
            <w:shd w:val="clear" w:color="auto" w:fill="auto"/>
          </w:tcPr>
          <w:p w14:paraId="3BB924ED" w14:textId="437C26CB" w:rsidR="00D83266" w:rsidRPr="004C78D8" w:rsidRDefault="00D83266" w:rsidP="00FB7C1F">
            <w:pPr>
              <w:jc w:val="left"/>
              <w:rPr>
                <w:rFonts w:cs="Times New Roman"/>
                <w:color w:val="000000"/>
                <w:sz w:val="18"/>
                <w:szCs w:val="18"/>
              </w:rPr>
            </w:pPr>
            <w:r w:rsidRPr="004C78D8">
              <w:rPr>
                <w:rFonts w:eastAsia="Times New Roman" w:cs="Times New Roman"/>
                <w:color w:val="000000"/>
                <w:sz w:val="18"/>
                <w:szCs w:val="18"/>
              </w:rPr>
              <w:t>0.0206</w:t>
            </w:r>
          </w:p>
        </w:tc>
        <w:tc>
          <w:tcPr>
            <w:tcW w:w="569" w:type="pct"/>
            <w:tcBorders>
              <w:top w:val="nil"/>
              <w:left w:val="single" w:sz="4" w:space="0" w:color="auto"/>
              <w:bottom w:val="nil"/>
              <w:right w:val="single" w:sz="4" w:space="0" w:color="auto"/>
            </w:tcBorders>
            <w:shd w:val="clear" w:color="auto" w:fill="auto"/>
          </w:tcPr>
          <w:p w14:paraId="48CA5A7C" w14:textId="652B2CF4" w:rsidR="00D83266" w:rsidRPr="004C78D8" w:rsidRDefault="00D83266" w:rsidP="00FB7C1F">
            <w:pPr>
              <w:jc w:val="left"/>
              <w:rPr>
                <w:rFonts w:cs="Times New Roman"/>
                <w:color w:val="000000"/>
                <w:sz w:val="18"/>
                <w:szCs w:val="18"/>
              </w:rPr>
            </w:pPr>
            <w:r w:rsidRPr="004C78D8">
              <w:rPr>
                <w:rFonts w:eastAsia="Times New Roman" w:cs="Times New Roman"/>
                <w:color w:val="000000"/>
                <w:sz w:val="18"/>
                <w:szCs w:val="18"/>
              </w:rPr>
              <w:t>0.0190</w:t>
            </w:r>
          </w:p>
        </w:tc>
        <w:tc>
          <w:tcPr>
            <w:tcW w:w="1273" w:type="pct"/>
            <w:gridSpan w:val="2"/>
            <w:tcBorders>
              <w:top w:val="nil"/>
              <w:left w:val="single" w:sz="4" w:space="0" w:color="auto"/>
              <w:bottom w:val="nil"/>
              <w:right w:val="single" w:sz="4" w:space="0" w:color="auto"/>
            </w:tcBorders>
            <w:shd w:val="clear" w:color="auto" w:fill="auto"/>
          </w:tcPr>
          <w:p w14:paraId="50DEBA88" w14:textId="141F588F" w:rsidR="00D83266" w:rsidRPr="004C78D8" w:rsidRDefault="00D83266" w:rsidP="00FB7C1F">
            <w:pPr>
              <w:jc w:val="left"/>
              <w:rPr>
                <w:rFonts w:cs="Times New Roman"/>
                <w:color w:val="000000"/>
                <w:sz w:val="18"/>
                <w:szCs w:val="18"/>
              </w:rPr>
            </w:pPr>
            <w:r w:rsidRPr="004C78D8">
              <w:rPr>
                <w:rFonts w:cs="Times New Roman"/>
                <w:color w:val="000000"/>
                <w:sz w:val="18"/>
                <w:szCs w:val="18"/>
              </w:rPr>
              <w:t>35</w:t>
            </w:r>
          </w:p>
        </w:tc>
      </w:tr>
      <w:tr w:rsidR="00D83266" w:rsidRPr="004C78D8" w14:paraId="673B4241" w14:textId="77777777" w:rsidTr="00E35893">
        <w:tc>
          <w:tcPr>
            <w:tcW w:w="286" w:type="pct"/>
            <w:tcBorders>
              <w:top w:val="nil"/>
              <w:bottom w:val="nil"/>
            </w:tcBorders>
            <w:shd w:val="clear" w:color="auto" w:fill="auto"/>
          </w:tcPr>
          <w:p w14:paraId="0E994285" w14:textId="5FD9B579" w:rsidR="00D83266" w:rsidRPr="004C78D8" w:rsidRDefault="00D83266" w:rsidP="00FB7C1F">
            <w:pPr>
              <w:jc w:val="left"/>
              <w:rPr>
                <w:sz w:val="18"/>
                <w:szCs w:val="18"/>
              </w:rPr>
            </w:pPr>
            <w:r w:rsidRPr="004C78D8">
              <w:rPr>
                <w:sz w:val="18"/>
                <w:szCs w:val="18"/>
              </w:rPr>
              <w:t>[11]</w:t>
            </w:r>
          </w:p>
        </w:tc>
        <w:tc>
          <w:tcPr>
            <w:tcW w:w="1598" w:type="pct"/>
            <w:tcBorders>
              <w:top w:val="nil"/>
              <w:bottom w:val="nil"/>
            </w:tcBorders>
            <w:shd w:val="clear" w:color="auto" w:fill="auto"/>
          </w:tcPr>
          <w:p w14:paraId="289990C8" w14:textId="3E13C809" w:rsidR="00D83266" w:rsidRPr="004C78D8" w:rsidRDefault="00D83266" w:rsidP="00FB7C1F">
            <w:pPr>
              <w:jc w:val="left"/>
              <w:rPr>
                <w:sz w:val="18"/>
                <w:szCs w:val="18"/>
              </w:rPr>
            </w:pPr>
            <w:r w:rsidRPr="004C78D8">
              <w:rPr>
                <w:sz w:val="18"/>
                <w:szCs w:val="18"/>
              </w:rPr>
              <w:t>CRC(4) + FRS for 50%</w:t>
            </w:r>
          </w:p>
        </w:tc>
        <w:tc>
          <w:tcPr>
            <w:tcW w:w="564" w:type="pct"/>
            <w:tcBorders>
              <w:top w:val="nil"/>
              <w:left w:val="nil"/>
              <w:bottom w:val="nil"/>
              <w:right w:val="single" w:sz="4" w:space="0" w:color="auto"/>
            </w:tcBorders>
            <w:shd w:val="clear" w:color="auto" w:fill="auto"/>
          </w:tcPr>
          <w:p w14:paraId="2653FF6E" w14:textId="5E923030" w:rsidR="00D83266" w:rsidRPr="004C78D8" w:rsidRDefault="00D83266" w:rsidP="00FB7C1F">
            <w:pPr>
              <w:jc w:val="left"/>
              <w:rPr>
                <w:rFonts w:cs="Times New Roman"/>
                <w:color w:val="000000"/>
                <w:sz w:val="18"/>
                <w:szCs w:val="18"/>
              </w:rPr>
            </w:pPr>
            <w:r w:rsidRPr="004C78D8">
              <w:rPr>
                <w:rFonts w:eastAsia="Times New Roman" w:cs="Times New Roman"/>
                <w:color w:val="000000"/>
                <w:sz w:val="18"/>
                <w:szCs w:val="18"/>
              </w:rPr>
              <w:t>0.0199 (2)</w:t>
            </w:r>
          </w:p>
        </w:tc>
        <w:tc>
          <w:tcPr>
            <w:tcW w:w="710" w:type="pct"/>
            <w:tcBorders>
              <w:top w:val="nil"/>
              <w:left w:val="single" w:sz="4" w:space="0" w:color="auto"/>
              <w:bottom w:val="nil"/>
              <w:right w:val="single" w:sz="4" w:space="0" w:color="auto"/>
            </w:tcBorders>
            <w:shd w:val="clear" w:color="auto" w:fill="auto"/>
          </w:tcPr>
          <w:p w14:paraId="7F7AF054" w14:textId="2E3DBC81" w:rsidR="00D83266" w:rsidRPr="004C78D8" w:rsidRDefault="00D83266" w:rsidP="00FB7C1F">
            <w:pPr>
              <w:jc w:val="left"/>
              <w:rPr>
                <w:rFonts w:cs="Times New Roman"/>
                <w:color w:val="000000"/>
                <w:sz w:val="18"/>
                <w:szCs w:val="18"/>
              </w:rPr>
            </w:pPr>
            <w:r w:rsidRPr="004C78D8">
              <w:rPr>
                <w:rFonts w:eastAsia="Times New Roman" w:cs="Times New Roman"/>
                <w:color w:val="000000"/>
                <w:sz w:val="18"/>
                <w:szCs w:val="18"/>
              </w:rPr>
              <w:t>0.0225 (3)</w:t>
            </w:r>
          </w:p>
        </w:tc>
        <w:tc>
          <w:tcPr>
            <w:tcW w:w="569" w:type="pct"/>
            <w:tcBorders>
              <w:top w:val="nil"/>
              <w:left w:val="single" w:sz="4" w:space="0" w:color="auto"/>
              <w:bottom w:val="nil"/>
              <w:right w:val="single" w:sz="4" w:space="0" w:color="auto"/>
            </w:tcBorders>
            <w:shd w:val="clear" w:color="auto" w:fill="auto"/>
          </w:tcPr>
          <w:p w14:paraId="2A62D0C3" w14:textId="73B3B9B8" w:rsidR="00D83266" w:rsidRPr="004C78D8" w:rsidRDefault="00D83266" w:rsidP="00FB7C1F">
            <w:pPr>
              <w:jc w:val="left"/>
              <w:rPr>
                <w:rFonts w:cs="Times New Roman"/>
                <w:color w:val="000000"/>
                <w:sz w:val="18"/>
                <w:szCs w:val="18"/>
              </w:rPr>
            </w:pPr>
            <w:r w:rsidRPr="004C78D8">
              <w:rPr>
                <w:rFonts w:eastAsia="Times New Roman" w:cs="Times New Roman"/>
                <w:color w:val="000000"/>
                <w:sz w:val="18"/>
                <w:szCs w:val="18"/>
              </w:rPr>
              <w:t>0.0205 (2)</w:t>
            </w:r>
          </w:p>
        </w:tc>
        <w:tc>
          <w:tcPr>
            <w:tcW w:w="1273" w:type="pct"/>
            <w:gridSpan w:val="2"/>
            <w:tcBorders>
              <w:top w:val="nil"/>
              <w:left w:val="single" w:sz="4" w:space="0" w:color="auto"/>
              <w:bottom w:val="nil"/>
              <w:right w:val="single" w:sz="4" w:space="0" w:color="auto"/>
            </w:tcBorders>
            <w:shd w:val="clear" w:color="auto" w:fill="auto"/>
          </w:tcPr>
          <w:p w14:paraId="1E3EB891" w14:textId="5F5555CC" w:rsidR="00D83266" w:rsidRPr="004C78D8" w:rsidRDefault="00D83266" w:rsidP="00FB7C1F">
            <w:pPr>
              <w:jc w:val="left"/>
              <w:rPr>
                <w:rFonts w:cs="Times New Roman"/>
                <w:color w:val="000000"/>
                <w:sz w:val="18"/>
                <w:szCs w:val="18"/>
              </w:rPr>
            </w:pPr>
            <w:r w:rsidRPr="004C78D8">
              <w:rPr>
                <w:rFonts w:cs="Times New Roman"/>
                <w:color w:val="000000"/>
                <w:sz w:val="18"/>
                <w:szCs w:val="18"/>
              </w:rPr>
              <w:t>54 (1)</w:t>
            </w:r>
          </w:p>
        </w:tc>
      </w:tr>
      <w:tr w:rsidR="00D83266" w:rsidRPr="004C78D8" w14:paraId="333C5BAC" w14:textId="77777777" w:rsidTr="00E35893">
        <w:tc>
          <w:tcPr>
            <w:tcW w:w="286" w:type="pct"/>
            <w:tcBorders>
              <w:top w:val="nil"/>
              <w:bottom w:val="nil"/>
            </w:tcBorders>
            <w:shd w:val="clear" w:color="auto" w:fill="auto"/>
          </w:tcPr>
          <w:p w14:paraId="07331D78" w14:textId="17EDDC63" w:rsidR="00D83266" w:rsidRPr="004C78D8" w:rsidRDefault="00D83266" w:rsidP="00FB7C1F">
            <w:pPr>
              <w:jc w:val="left"/>
              <w:rPr>
                <w:sz w:val="18"/>
                <w:szCs w:val="18"/>
              </w:rPr>
            </w:pPr>
            <w:r w:rsidRPr="004C78D8">
              <w:rPr>
                <w:sz w:val="18"/>
                <w:szCs w:val="18"/>
              </w:rPr>
              <w:t>[12]</w:t>
            </w:r>
          </w:p>
        </w:tc>
        <w:tc>
          <w:tcPr>
            <w:tcW w:w="1598" w:type="pct"/>
            <w:tcBorders>
              <w:top w:val="nil"/>
              <w:bottom w:val="nil"/>
            </w:tcBorders>
            <w:shd w:val="clear" w:color="auto" w:fill="auto"/>
          </w:tcPr>
          <w:p w14:paraId="4EFE34FF" w14:textId="1B2C70A6" w:rsidR="00D83266" w:rsidRPr="004C78D8" w:rsidRDefault="00D83266" w:rsidP="00FB7C1F">
            <w:pPr>
              <w:jc w:val="left"/>
              <w:rPr>
                <w:sz w:val="18"/>
                <w:szCs w:val="18"/>
              </w:rPr>
            </w:pPr>
            <w:r w:rsidRPr="004C78D8">
              <w:rPr>
                <w:sz w:val="18"/>
                <w:szCs w:val="18"/>
              </w:rPr>
              <w:t>CRC(1): random allocation</w:t>
            </w:r>
          </w:p>
        </w:tc>
        <w:tc>
          <w:tcPr>
            <w:tcW w:w="564" w:type="pct"/>
            <w:tcBorders>
              <w:top w:val="nil"/>
              <w:left w:val="nil"/>
              <w:bottom w:val="nil"/>
              <w:right w:val="single" w:sz="4" w:space="0" w:color="auto"/>
            </w:tcBorders>
            <w:shd w:val="clear" w:color="auto" w:fill="auto"/>
          </w:tcPr>
          <w:p w14:paraId="09440184" w14:textId="44EA2614" w:rsidR="00D83266" w:rsidRPr="004C78D8" w:rsidRDefault="00D83266" w:rsidP="00FB7C1F">
            <w:pPr>
              <w:jc w:val="left"/>
              <w:rPr>
                <w:rFonts w:cs="Times New Roman"/>
                <w:color w:val="000000"/>
                <w:sz w:val="18"/>
                <w:szCs w:val="18"/>
              </w:rPr>
            </w:pPr>
            <w:r w:rsidRPr="004C78D8">
              <w:rPr>
                <w:rFonts w:eastAsia="Times New Roman" w:cs="Times New Roman"/>
                <w:color w:val="000000"/>
                <w:sz w:val="18"/>
                <w:szCs w:val="18"/>
              </w:rPr>
              <w:t>0.0103</w:t>
            </w:r>
          </w:p>
        </w:tc>
        <w:tc>
          <w:tcPr>
            <w:tcW w:w="710" w:type="pct"/>
            <w:tcBorders>
              <w:top w:val="nil"/>
              <w:left w:val="single" w:sz="4" w:space="0" w:color="auto"/>
              <w:bottom w:val="nil"/>
              <w:right w:val="single" w:sz="4" w:space="0" w:color="auto"/>
            </w:tcBorders>
            <w:shd w:val="clear" w:color="auto" w:fill="auto"/>
          </w:tcPr>
          <w:p w14:paraId="10FAE77E" w14:textId="65C39558" w:rsidR="00D83266" w:rsidRPr="004C78D8" w:rsidRDefault="00D83266" w:rsidP="00FB7C1F">
            <w:pPr>
              <w:jc w:val="left"/>
              <w:rPr>
                <w:rFonts w:cs="Times New Roman"/>
                <w:color w:val="000000"/>
                <w:sz w:val="18"/>
                <w:szCs w:val="18"/>
              </w:rPr>
            </w:pPr>
            <w:r w:rsidRPr="004C78D8">
              <w:rPr>
                <w:rFonts w:eastAsia="Times New Roman" w:cs="Times New Roman"/>
                <w:color w:val="000000"/>
                <w:sz w:val="18"/>
                <w:szCs w:val="18"/>
              </w:rPr>
              <w:t>0.0110</w:t>
            </w:r>
          </w:p>
        </w:tc>
        <w:tc>
          <w:tcPr>
            <w:tcW w:w="569" w:type="pct"/>
            <w:tcBorders>
              <w:top w:val="nil"/>
              <w:left w:val="single" w:sz="4" w:space="0" w:color="auto"/>
              <w:bottom w:val="nil"/>
              <w:right w:val="single" w:sz="4" w:space="0" w:color="auto"/>
            </w:tcBorders>
            <w:shd w:val="clear" w:color="auto" w:fill="auto"/>
          </w:tcPr>
          <w:p w14:paraId="048F8BA4" w14:textId="4BC6A7FC" w:rsidR="00D83266" w:rsidRPr="004C78D8" w:rsidRDefault="00D83266" w:rsidP="00FB7C1F">
            <w:pPr>
              <w:jc w:val="left"/>
              <w:rPr>
                <w:rFonts w:cs="Times New Roman"/>
                <w:color w:val="000000"/>
                <w:sz w:val="18"/>
                <w:szCs w:val="18"/>
              </w:rPr>
            </w:pPr>
            <w:r w:rsidRPr="004C78D8">
              <w:rPr>
                <w:rFonts w:eastAsia="Times New Roman" w:cs="Times New Roman"/>
                <w:color w:val="000000"/>
                <w:sz w:val="18"/>
                <w:szCs w:val="18"/>
              </w:rPr>
              <w:t>0.0104</w:t>
            </w:r>
          </w:p>
        </w:tc>
        <w:tc>
          <w:tcPr>
            <w:tcW w:w="1273" w:type="pct"/>
            <w:gridSpan w:val="2"/>
            <w:tcBorders>
              <w:top w:val="nil"/>
              <w:left w:val="single" w:sz="4" w:space="0" w:color="auto"/>
              <w:bottom w:val="nil"/>
              <w:right w:val="single" w:sz="4" w:space="0" w:color="auto"/>
            </w:tcBorders>
            <w:shd w:val="clear" w:color="auto" w:fill="auto"/>
          </w:tcPr>
          <w:p w14:paraId="45BE5E81" w14:textId="26140A2A" w:rsidR="00D83266" w:rsidRPr="004C78D8" w:rsidRDefault="00D83266" w:rsidP="00FB7C1F">
            <w:pPr>
              <w:jc w:val="left"/>
              <w:rPr>
                <w:rFonts w:cs="Times New Roman"/>
                <w:color w:val="000000"/>
                <w:sz w:val="18"/>
                <w:szCs w:val="18"/>
              </w:rPr>
            </w:pPr>
            <w:r w:rsidRPr="004C78D8">
              <w:rPr>
                <w:rFonts w:cs="Times New Roman"/>
                <w:color w:val="000000"/>
                <w:sz w:val="18"/>
                <w:szCs w:val="18"/>
              </w:rPr>
              <w:t>29</w:t>
            </w:r>
          </w:p>
        </w:tc>
      </w:tr>
      <w:tr w:rsidR="00D83266" w:rsidRPr="004C78D8" w14:paraId="29E5465C" w14:textId="77777777" w:rsidTr="00E35893">
        <w:tc>
          <w:tcPr>
            <w:tcW w:w="286" w:type="pct"/>
            <w:tcBorders>
              <w:top w:val="nil"/>
              <w:bottom w:val="nil"/>
            </w:tcBorders>
            <w:shd w:val="clear" w:color="auto" w:fill="auto"/>
          </w:tcPr>
          <w:p w14:paraId="150DCEB8" w14:textId="12EA4A01" w:rsidR="00D83266" w:rsidRPr="004C78D8" w:rsidRDefault="00D83266" w:rsidP="00FB7C1F">
            <w:pPr>
              <w:jc w:val="left"/>
              <w:rPr>
                <w:sz w:val="18"/>
                <w:szCs w:val="18"/>
              </w:rPr>
            </w:pPr>
            <w:r w:rsidRPr="004C78D8">
              <w:rPr>
                <w:sz w:val="18"/>
                <w:szCs w:val="18"/>
              </w:rPr>
              <w:t>[14]</w:t>
            </w:r>
          </w:p>
        </w:tc>
        <w:tc>
          <w:tcPr>
            <w:tcW w:w="1598" w:type="pct"/>
            <w:tcBorders>
              <w:top w:val="nil"/>
              <w:bottom w:val="nil"/>
            </w:tcBorders>
            <w:shd w:val="clear" w:color="auto" w:fill="auto"/>
          </w:tcPr>
          <w:p w14:paraId="4DC028FB" w14:textId="4125B698" w:rsidR="00D83266" w:rsidRPr="004C78D8" w:rsidRDefault="00D83266" w:rsidP="00FB7C1F">
            <w:pPr>
              <w:jc w:val="left"/>
              <w:rPr>
                <w:sz w:val="18"/>
                <w:szCs w:val="18"/>
              </w:rPr>
            </w:pPr>
            <w:r w:rsidRPr="004C78D8">
              <w:rPr>
                <w:sz w:val="18"/>
                <w:szCs w:val="18"/>
              </w:rPr>
              <w:t>CRC(3): frailty targeting</w:t>
            </w:r>
          </w:p>
        </w:tc>
        <w:tc>
          <w:tcPr>
            <w:tcW w:w="564" w:type="pct"/>
            <w:tcBorders>
              <w:top w:val="nil"/>
              <w:left w:val="nil"/>
              <w:bottom w:val="nil"/>
              <w:right w:val="single" w:sz="4" w:space="0" w:color="auto"/>
            </w:tcBorders>
            <w:shd w:val="clear" w:color="auto" w:fill="auto"/>
          </w:tcPr>
          <w:p w14:paraId="5FF1119A" w14:textId="083F01AB" w:rsidR="00D83266" w:rsidRPr="004C78D8" w:rsidRDefault="00D83266" w:rsidP="00FB7C1F">
            <w:pPr>
              <w:jc w:val="left"/>
              <w:rPr>
                <w:rFonts w:cs="Times New Roman"/>
                <w:color w:val="000000"/>
                <w:sz w:val="18"/>
                <w:szCs w:val="18"/>
              </w:rPr>
            </w:pPr>
            <w:r w:rsidRPr="004C78D8">
              <w:rPr>
                <w:rFonts w:eastAsia="Times New Roman" w:cs="Times New Roman"/>
                <w:color w:val="000000"/>
                <w:sz w:val="18"/>
                <w:szCs w:val="18"/>
              </w:rPr>
              <w:t>0.0108</w:t>
            </w:r>
          </w:p>
        </w:tc>
        <w:tc>
          <w:tcPr>
            <w:tcW w:w="710" w:type="pct"/>
            <w:tcBorders>
              <w:top w:val="nil"/>
              <w:left w:val="single" w:sz="4" w:space="0" w:color="auto"/>
              <w:bottom w:val="nil"/>
              <w:right w:val="single" w:sz="4" w:space="0" w:color="auto"/>
            </w:tcBorders>
            <w:shd w:val="clear" w:color="auto" w:fill="auto"/>
          </w:tcPr>
          <w:p w14:paraId="3E3D3AC7" w14:textId="742FC4AD" w:rsidR="00D83266" w:rsidRPr="004C78D8" w:rsidRDefault="00D83266" w:rsidP="00FB7C1F">
            <w:pPr>
              <w:jc w:val="left"/>
              <w:rPr>
                <w:rFonts w:cs="Times New Roman"/>
                <w:color w:val="000000"/>
                <w:sz w:val="18"/>
                <w:szCs w:val="18"/>
              </w:rPr>
            </w:pPr>
            <w:r w:rsidRPr="004C78D8">
              <w:rPr>
                <w:rFonts w:eastAsia="Times New Roman" w:cs="Times New Roman"/>
                <w:color w:val="000000"/>
                <w:sz w:val="18"/>
                <w:szCs w:val="18"/>
              </w:rPr>
              <w:t>0.0122</w:t>
            </w:r>
          </w:p>
        </w:tc>
        <w:tc>
          <w:tcPr>
            <w:tcW w:w="569" w:type="pct"/>
            <w:tcBorders>
              <w:top w:val="nil"/>
              <w:left w:val="single" w:sz="4" w:space="0" w:color="auto"/>
              <w:bottom w:val="nil"/>
              <w:right w:val="single" w:sz="4" w:space="0" w:color="auto"/>
            </w:tcBorders>
            <w:shd w:val="clear" w:color="auto" w:fill="auto"/>
          </w:tcPr>
          <w:p w14:paraId="4E04CB78" w14:textId="758504D9" w:rsidR="00D83266" w:rsidRPr="004C78D8" w:rsidRDefault="00D83266" w:rsidP="00FB7C1F">
            <w:pPr>
              <w:jc w:val="left"/>
              <w:rPr>
                <w:rFonts w:cs="Times New Roman"/>
                <w:color w:val="000000"/>
                <w:sz w:val="18"/>
                <w:szCs w:val="18"/>
              </w:rPr>
            </w:pPr>
            <w:r w:rsidRPr="004C78D8">
              <w:rPr>
                <w:rFonts w:eastAsia="Times New Roman" w:cs="Times New Roman"/>
                <w:color w:val="000000"/>
                <w:sz w:val="18"/>
                <w:szCs w:val="18"/>
              </w:rPr>
              <w:t>0.0111</w:t>
            </w:r>
          </w:p>
        </w:tc>
        <w:tc>
          <w:tcPr>
            <w:tcW w:w="1273" w:type="pct"/>
            <w:gridSpan w:val="2"/>
            <w:tcBorders>
              <w:top w:val="nil"/>
              <w:left w:val="single" w:sz="4" w:space="0" w:color="auto"/>
              <w:bottom w:val="nil"/>
              <w:right w:val="single" w:sz="4" w:space="0" w:color="auto"/>
            </w:tcBorders>
            <w:shd w:val="clear" w:color="auto" w:fill="auto"/>
          </w:tcPr>
          <w:p w14:paraId="4A40901B" w14:textId="30B741AB" w:rsidR="00D83266" w:rsidRPr="004C78D8" w:rsidRDefault="00D83266" w:rsidP="00FB7C1F">
            <w:pPr>
              <w:jc w:val="left"/>
              <w:rPr>
                <w:rFonts w:cs="Times New Roman"/>
                <w:color w:val="000000"/>
                <w:sz w:val="18"/>
                <w:szCs w:val="18"/>
              </w:rPr>
            </w:pPr>
            <w:r w:rsidRPr="004C78D8">
              <w:rPr>
                <w:rFonts w:cs="Times New Roman"/>
                <w:color w:val="000000"/>
                <w:sz w:val="18"/>
                <w:szCs w:val="18"/>
              </w:rPr>
              <w:t>18</w:t>
            </w:r>
          </w:p>
        </w:tc>
      </w:tr>
      <w:tr w:rsidR="00D83266" w:rsidRPr="004C78D8" w14:paraId="7002FF17" w14:textId="77777777" w:rsidTr="00E35893">
        <w:tc>
          <w:tcPr>
            <w:tcW w:w="286" w:type="pct"/>
            <w:tcBorders>
              <w:top w:val="nil"/>
              <w:bottom w:val="nil"/>
            </w:tcBorders>
            <w:shd w:val="clear" w:color="auto" w:fill="auto"/>
          </w:tcPr>
          <w:p w14:paraId="145E28A2" w14:textId="5EDAC1D4" w:rsidR="00D83266" w:rsidRPr="004C78D8" w:rsidRDefault="00D83266" w:rsidP="00FB7C1F">
            <w:pPr>
              <w:jc w:val="left"/>
              <w:rPr>
                <w:sz w:val="18"/>
                <w:szCs w:val="18"/>
              </w:rPr>
            </w:pPr>
            <w:r w:rsidRPr="004C78D8">
              <w:rPr>
                <w:sz w:val="18"/>
                <w:szCs w:val="18"/>
              </w:rPr>
              <w:t>[15]</w:t>
            </w:r>
          </w:p>
        </w:tc>
        <w:tc>
          <w:tcPr>
            <w:tcW w:w="1598" w:type="pct"/>
            <w:tcBorders>
              <w:top w:val="nil"/>
              <w:bottom w:val="nil"/>
            </w:tcBorders>
            <w:shd w:val="clear" w:color="auto" w:fill="auto"/>
          </w:tcPr>
          <w:p w14:paraId="7B4984F2" w14:textId="094ACF57" w:rsidR="00D83266" w:rsidRPr="004C78D8" w:rsidRDefault="00D83266" w:rsidP="00FB7C1F">
            <w:pPr>
              <w:jc w:val="left"/>
              <w:rPr>
                <w:sz w:val="18"/>
                <w:szCs w:val="18"/>
              </w:rPr>
            </w:pPr>
            <w:r w:rsidRPr="004C78D8">
              <w:rPr>
                <w:sz w:val="18"/>
                <w:szCs w:val="18"/>
              </w:rPr>
              <w:t>CRC(4) + PS societal costs</w:t>
            </w:r>
          </w:p>
        </w:tc>
        <w:tc>
          <w:tcPr>
            <w:tcW w:w="564" w:type="pct"/>
            <w:tcBorders>
              <w:top w:val="nil"/>
              <w:left w:val="nil"/>
              <w:bottom w:val="nil"/>
              <w:right w:val="single" w:sz="4" w:space="0" w:color="auto"/>
            </w:tcBorders>
            <w:shd w:val="clear" w:color="auto" w:fill="auto"/>
          </w:tcPr>
          <w:p w14:paraId="4E7E3DA9" w14:textId="13B6F551" w:rsidR="00D83266" w:rsidRPr="004C78D8" w:rsidRDefault="00D83266" w:rsidP="00FB7C1F">
            <w:pPr>
              <w:jc w:val="left"/>
              <w:rPr>
                <w:rFonts w:cs="Times New Roman"/>
                <w:color w:val="000000"/>
                <w:sz w:val="18"/>
                <w:szCs w:val="18"/>
              </w:rPr>
            </w:pPr>
            <w:r w:rsidRPr="004C78D8">
              <w:rPr>
                <w:rFonts w:eastAsia="Times New Roman" w:cs="Times New Roman"/>
                <w:color w:val="000000"/>
                <w:sz w:val="18"/>
                <w:szCs w:val="18"/>
              </w:rPr>
              <w:t>0.0182</w:t>
            </w:r>
          </w:p>
        </w:tc>
        <w:tc>
          <w:tcPr>
            <w:tcW w:w="710" w:type="pct"/>
            <w:tcBorders>
              <w:top w:val="nil"/>
              <w:left w:val="single" w:sz="4" w:space="0" w:color="auto"/>
              <w:bottom w:val="nil"/>
              <w:right w:val="single" w:sz="4" w:space="0" w:color="auto"/>
            </w:tcBorders>
            <w:shd w:val="clear" w:color="auto" w:fill="auto"/>
          </w:tcPr>
          <w:p w14:paraId="5C105F13" w14:textId="6CEDEB3B" w:rsidR="00D83266" w:rsidRPr="004C78D8" w:rsidRDefault="00D83266" w:rsidP="00FB7C1F">
            <w:pPr>
              <w:jc w:val="left"/>
              <w:rPr>
                <w:rFonts w:cs="Times New Roman"/>
                <w:color w:val="000000"/>
                <w:sz w:val="18"/>
                <w:szCs w:val="18"/>
              </w:rPr>
            </w:pPr>
            <w:r w:rsidRPr="004C78D8">
              <w:rPr>
                <w:rFonts w:eastAsia="Times New Roman" w:cs="Times New Roman"/>
                <w:color w:val="000000"/>
                <w:sz w:val="18"/>
                <w:szCs w:val="18"/>
              </w:rPr>
              <w:t>0.0244 (2)</w:t>
            </w:r>
          </w:p>
        </w:tc>
        <w:tc>
          <w:tcPr>
            <w:tcW w:w="569" w:type="pct"/>
            <w:tcBorders>
              <w:top w:val="nil"/>
              <w:left w:val="single" w:sz="4" w:space="0" w:color="auto"/>
              <w:bottom w:val="nil"/>
              <w:right w:val="single" w:sz="4" w:space="0" w:color="auto"/>
            </w:tcBorders>
            <w:shd w:val="clear" w:color="auto" w:fill="auto"/>
          </w:tcPr>
          <w:p w14:paraId="7B1C3E34" w14:textId="3048540A" w:rsidR="00D83266" w:rsidRPr="004C78D8" w:rsidRDefault="00D83266" w:rsidP="00FB7C1F">
            <w:pPr>
              <w:jc w:val="left"/>
              <w:rPr>
                <w:rFonts w:cs="Times New Roman"/>
                <w:color w:val="000000"/>
                <w:sz w:val="18"/>
                <w:szCs w:val="18"/>
              </w:rPr>
            </w:pPr>
            <w:r w:rsidRPr="004C78D8">
              <w:rPr>
                <w:rFonts w:eastAsia="Times New Roman" w:cs="Times New Roman"/>
                <w:color w:val="000000"/>
                <w:sz w:val="18"/>
                <w:szCs w:val="18"/>
              </w:rPr>
              <w:t>0.0198 (3)</w:t>
            </w:r>
          </w:p>
        </w:tc>
        <w:tc>
          <w:tcPr>
            <w:tcW w:w="1273" w:type="pct"/>
            <w:gridSpan w:val="2"/>
            <w:tcBorders>
              <w:top w:val="nil"/>
              <w:left w:val="single" w:sz="4" w:space="0" w:color="auto"/>
              <w:bottom w:val="nil"/>
              <w:right w:val="single" w:sz="4" w:space="0" w:color="auto"/>
            </w:tcBorders>
            <w:shd w:val="clear" w:color="auto" w:fill="auto"/>
          </w:tcPr>
          <w:p w14:paraId="4E7EC2C6" w14:textId="36E2C25A" w:rsidR="00D83266" w:rsidRPr="004C78D8" w:rsidRDefault="00D83266" w:rsidP="00FB7C1F">
            <w:pPr>
              <w:jc w:val="left"/>
              <w:rPr>
                <w:rFonts w:cs="Times New Roman"/>
                <w:color w:val="000000"/>
                <w:sz w:val="18"/>
                <w:szCs w:val="18"/>
              </w:rPr>
            </w:pPr>
            <w:r w:rsidRPr="004C78D8">
              <w:rPr>
                <w:rFonts w:cs="Times New Roman"/>
                <w:color w:val="000000"/>
                <w:sz w:val="18"/>
                <w:szCs w:val="18"/>
              </w:rPr>
              <w:t>50 (2)</w:t>
            </w:r>
          </w:p>
        </w:tc>
      </w:tr>
      <w:tr w:rsidR="00D83266" w:rsidRPr="004C78D8" w14:paraId="16248F0B" w14:textId="77777777" w:rsidTr="00E35893">
        <w:tc>
          <w:tcPr>
            <w:tcW w:w="286" w:type="pct"/>
            <w:tcBorders>
              <w:top w:val="nil"/>
              <w:bottom w:val="nil"/>
            </w:tcBorders>
            <w:shd w:val="clear" w:color="auto" w:fill="auto"/>
          </w:tcPr>
          <w:p w14:paraId="4E09834B" w14:textId="1600F09C" w:rsidR="00D83266" w:rsidRPr="004C78D8" w:rsidRDefault="00D83266" w:rsidP="00FB7C1F">
            <w:pPr>
              <w:jc w:val="left"/>
              <w:rPr>
                <w:sz w:val="18"/>
                <w:szCs w:val="18"/>
              </w:rPr>
            </w:pPr>
            <w:r w:rsidRPr="004C78D8">
              <w:rPr>
                <w:sz w:val="18"/>
                <w:szCs w:val="18"/>
              </w:rPr>
              <w:t>[16]</w:t>
            </w:r>
          </w:p>
        </w:tc>
        <w:tc>
          <w:tcPr>
            <w:tcW w:w="1598" w:type="pct"/>
            <w:tcBorders>
              <w:top w:val="nil"/>
              <w:bottom w:val="nil"/>
            </w:tcBorders>
            <w:shd w:val="clear" w:color="auto" w:fill="auto"/>
          </w:tcPr>
          <w:p w14:paraId="5DFEAC83" w14:textId="3D1B4665" w:rsidR="00D83266" w:rsidRPr="004C78D8" w:rsidRDefault="00D83266" w:rsidP="00FB7C1F">
            <w:pPr>
              <w:jc w:val="left"/>
              <w:rPr>
                <w:sz w:val="18"/>
                <w:szCs w:val="18"/>
              </w:rPr>
            </w:pPr>
            <w:r w:rsidRPr="004C78D8">
              <w:rPr>
                <w:sz w:val="18"/>
                <w:szCs w:val="18"/>
              </w:rPr>
              <w:t>CRC(2): no repeated provision</w:t>
            </w:r>
          </w:p>
        </w:tc>
        <w:tc>
          <w:tcPr>
            <w:tcW w:w="564" w:type="pct"/>
            <w:tcBorders>
              <w:top w:val="nil"/>
              <w:left w:val="nil"/>
              <w:bottom w:val="nil"/>
              <w:right w:val="single" w:sz="4" w:space="0" w:color="auto"/>
            </w:tcBorders>
            <w:shd w:val="clear" w:color="auto" w:fill="auto"/>
          </w:tcPr>
          <w:p w14:paraId="0E2CF662" w14:textId="293F094D" w:rsidR="00D83266" w:rsidRPr="004C78D8" w:rsidRDefault="00D83266" w:rsidP="00FB7C1F">
            <w:pPr>
              <w:jc w:val="left"/>
              <w:rPr>
                <w:rFonts w:cs="Times New Roman"/>
                <w:color w:val="000000"/>
                <w:sz w:val="18"/>
                <w:szCs w:val="18"/>
              </w:rPr>
            </w:pPr>
            <w:r w:rsidRPr="004C78D8">
              <w:rPr>
                <w:rFonts w:eastAsia="Times New Roman" w:cs="Times New Roman"/>
                <w:color w:val="000000"/>
                <w:sz w:val="18"/>
                <w:szCs w:val="18"/>
              </w:rPr>
              <w:t>0.0086</w:t>
            </w:r>
          </w:p>
        </w:tc>
        <w:tc>
          <w:tcPr>
            <w:tcW w:w="710" w:type="pct"/>
            <w:tcBorders>
              <w:top w:val="nil"/>
              <w:left w:val="single" w:sz="4" w:space="0" w:color="auto"/>
              <w:bottom w:val="nil"/>
              <w:right w:val="single" w:sz="4" w:space="0" w:color="auto"/>
            </w:tcBorders>
            <w:shd w:val="clear" w:color="auto" w:fill="auto"/>
          </w:tcPr>
          <w:p w14:paraId="6DF4CA71" w14:textId="7254A716" w:rsidR="00D83266" w:rsidRPr="004C78D8" w:rsidRDefault="00D83266" w:rsidP="00FB7C1F">
            <w:pPr>
              <w:jc w:val="left"/>
              <w:rPr>
                <w:rFonts w:cs="Times New Roman"/>
                <w:color w:val="000000"/>
                <w:sz w:val="18"/>
                <w:szCs w:val="18"/>
              </w:rPr>
            </w:pPr>
            <w:r w:rsidRPr="004C78D8">
              <w:rPr>
                <w:rFonts w:eastAsia="Times New Roman" w:cs="Times New Roman"/>
                <w:color w:val="000000"/>
                <w:sz w:val="18"/>
                <w:szCs w:val="18"/>
              </w:rPr>
              <w:t>0.0092</w:t>
            </w:r>
          </w:p>
        </w:tc>
        <w:tc>
          <w:tcPr>
            <w:tcW w:w="569" w:type="pct"/>
            <w:tcBorders>
              <w:top w:val="nil"/>
              <w:left w:val="single" w:sz="4" w:space="0" w:color="auto"/>
              <w:bottom w:val="nil"/>
              <w:right w:val="single" w:sz="4" w:space="0" w:color="auto"/>
            </w:tcBorders>
            <w:shd w:val="clear" w:color="auto" w:fill="auto"/>
          </w:tcPr>
          <w:p w14:paraId="63073DC5" w14:textId="35CB24C7" w:rsidR="00D83266" w:rsidRPr="004C78D8" w:rsidRDefault="00D83266" w:rsidP="00FB7C1F">
            <w:pPr>
              <w:jc w:val="left"/>
              <w:rPr>
                <w:rFonts w:cs="Times New Roman"/>
                <w:color w:val="000000"/>
                <w:sz w:val="18"/>
                <w:szCs w:val="18"/>
              </w:rPr>
            </w:pPr>
            <w:r w:rsidRPr="004C78D8">
              <w:rPr>
                <w:rFonts w:eastAsia="Times New Roman" w:cs="Times New Roman"/>
                <w:color w:val="000000"/>
                <w:sz w:val="18"/>
                <w:szCs w:val="18"/>
              </w:rPr>
              <w:t>0.0087</w:t>
            </w:r>
          </w:p>
        </w:tc>
        <w:tc>
          <w:tcPr>
            <w:tcW w:w="1273" w:type="pct"/>
            <w:gridSpan w:val="2"/>
            <w:tcBorders>
              <w:top w:val="nil"/>
              <w:left w:val="single" w:sz="4" w:space="0" w:color="auto"/>
              <w:bottom w:val="nil"/>
              <w:right w:val="single" w:sz="4" w:space="0" w:color="auto"/>
            </w:tcBorders>
            <w:shd w:val="clear" w:color="auto" w:fill="auto"/>
          </w:tcPr>
          <w:p w14:paraId="628EAA35" w14:textId="4FACA114" w:rsidR="00D83266" w:rsidRPr="004C78D8" w:rsidRDefault="00D83266" w:rsidP="00FB7C1F">
            <w:pPr>
              <w:jc w:val="left"/>
              <w:rPr>
                <w:rFonts w:cs="Times New Roman"/>
                <w:color w:val="000000"/>
                <w:sz w:val="18"/>
                <w:szCs w:val="18"/>
              </w:rPr>
            </w:pPr>
            <w:r w:rsidRPr="004C78D8">
              <w:rPr>
                <w:rFonts w:cs="Times New Roman"/>
                <w:color w:val="000000"/>
                <w:sz w:val="18"/>
                <w:szCs w:val="18"/>
              </w:rPr>
              <w:t>27</w:t>
            </w:r>
          </w:p>
        </w:tc>
      </w:tr>
      <w:tr w:rsidR="00D83266" w:rsidRPr="004C78D8" w14:paraId="3D30DBFB" w14:textId="77777777" w:rsidTr="00E35893">
        <w:tc>
          <w:tcPr>
            <w:tcW w:w="5000" w:type="pct"/>
            <w:gridSpan w:val="7"/>
          </w:tcPr>
          <w:p w14:paraId="3AB45037" w14:textId="56457D42" w:rsidR="00D83266" w:rsidRPr="004C78D8" w:rsidRDefault="00D83266" w:rsidP="00FB7C1F">
            <w:pPr>
              <w:rPr>
                <w:sz w:val="18"/>
                <w:szCs w:val="18"/>
              </w:rPr>
            </w:pPr>
            <w:r w:rsidRPr="004C78D8">
              <w:rPr>
                <w:b/>
                <w:bCs/>
                <w:sz w:val="18"/>
                <w:szCs w:val="18"/>
              </w:rPr>
              <w:t>Abbreviation:</w:t>
            </w:r>
            <w:r w:rsidRPr="004C78D8">
              <w:rPr>
                <w:sz w:val="18"/>
                <w:szCs w:val="18"/>
              </w:rPr>
              <w:t xml:space="preserve"> CRC(#): constrained recommended care scenario (#); EDE: equally distributed equivalent; FH: falls hazard; FRS: falls risk screening; ICER: incremental cost-effectiveness ratio; inc.: incremental; INHB: incremental net health benefit; INMB: incremental net monetary benefit; PA: physical activity; PS: public sector; QALY: quality-adjusted life year; RC: recommended care; SES: socioeconomic status; SR: self-referred; UC: usual care.</w:t>
            </w:r>
          </w:p>
          <w:p w14:paraId="08A9248F" w14:textId="01EB084E" w:rsidR="00D83266" w:rsidRPr="004C78D8" w:rsidRDefault="00D83266" w:rsidP="00FB7C1F">
            <w:pPr>
              <w:rPr>
                <w:sz w:val="18"/>
                <w:szCs w:val="18"/>
              </w:rPr>
            </w:pPr>
            <w:r w:rsidRPr="004C78D8">
              <w:rPr>
                <w:sz w:val="18"/>
                <w:szCs w:val="18"/>
                <w:vertAlign w:val="superscript"/>
              </w:rPr>
              <w:t>1</w:t>
            </w:r>
            <w:r w:rsidRPr="004C78D8">
              <w:rPr>
                <w:sz w:val="18"/>
                <w:szCs w:val="18"/>
              </w:rPr>
              <w:t xml:space="preserve"> Assigned in Table </w:t>
            </w:r>
            <w:r w:rsidR="00447791" w:rsidRPr="004C78D8">
              <w:rPr>
                <w:sz w:val="18"/>
                <w:szCs w:val="18"/>
              </w:rPr>
              <w:t>6</w:t>
            </w:r>
            <w:r w:rsidRPr="004C78D8">
              <w:rPr>
                <w:sz w:val="18"/>
                <w:szCs w:val="18"/>
              </w:rPr>
              <w:t>.</w:t>
            </w:r>
            <w:r w:rsidR="00447791" w:rsidRPr="004C78D8">
              <w:rPr>
                <w:sz w:val="18"/>
                <w:szCs w:val="18"/>
              </w:rPr>
              <w:t>18</w:t>
            </w:r>
            <w:r w:rsidRPr="004C78D8">
              <w:rPr>
                <w:sz w:val="18"/>
                <w:szCs w:val="18"/>
              </w:rPr>
              <w:t xml:space="preserve"> according to increasing incremental public sector all-cause cost.</w:t>
            </w:r>
          </w:p>
          <w:p w14:paraId="50749E1F" w14:textId="5D6C9B18" w:rsidR="00D675B3" w:rsidRPr="004C78D8" w:rsidRDefault="00D675B3" w:rsidP="00FB7C1F">
            <w:pPr>
              <w:rPr>
                <w:sz w:val="18"/>
                <w:szCs w:val="18"/>
              </w:rPr>
            </w:pPr>
            <w:r w:rsidRPr="004C78D8">
              <w:rPr>
                <w:sz w:val="18"/>
                <w:szCs w:val="18"/>
                <w:vertAlign w:val="superscript"/>
              </w:rPr>
              <w:t>2</w:t>
            </w:r>
            <w:r w:rsidRPr="004C78D8">
              <w:rPr>
                <w:sz w:val="18"/>
                <w:szCs w:val="18"/>
              </w:rPr>
              <w:t xml:space="preserve"> Dominated strategies are shaded in grey.</w:t>
            </w:r>
            <w:r w:rsidR="00CA7FB8" w:rsidRPr="004C78D8">
              <w:rPr>
                <w:sz w:val="18"/>
                <w:szCs w:val="18"/>
              </w:rPr>
              <w:t xml:space="preserve"> All outcomes were averaged across 20 model trial runs.</w:t>
            </w:r>
          </w:p>
          <w:p w14:paraId="21435B5B" w14:textId="59E69CE9" w:rsidR="00D83266" w:rsidRPr="004C78D8" w:rsidRDefault="00D675B3" w:rsidP="00FB7C1F">
            <w:pPr>
              <w:rPr>
                <w:sz w:val="18"/>
                <w:szCs w:val="18"/>
              </w:rPr>
            </w:pPr>
            <w:r w:rsidRPr="004C78D8">
              <w:rPr>
                <w:sz w:val="18"/>
                <w:szCs w:val="18"/>
                <w:vertAlign w:val="superscript"/>
              </w:rPr>
              <w:t>3</w:t>
            </w:r>
            <w:r w:rsidR="00D83266" w:rsidRPr="004C78D8">
              <w:rPr>
                <w:sz w:val="18"/>
                <w:szCs w:val="18"/>
              </w:rPr>
              <w:t xml:space="preserve"> All INHBs were estimated under the cost-effectiveness threshold of £30,000 per QALY gain</w:t>
            </w:r>
            <w:r w:rsidR="00D16469" w:rsidRPr="004C78D8">
              <w:rPr>
                <w:sz w:val="18"/>
                <w:szCs w:val="18"/>
              </w:rPr>
              <w:t>ed</w:t>
            </w:r>
            <w:r w:rsidR="00D83266" w:rsidRPr="004C78D8">
              <w:rPr>
                <w:sz w:val="18"/>
                <w:szCs w:val="18"/>
              </w:rPr>
              <w:t>.</w:t>
            </w:r>
          </w:p>
          <w:p w14:paraId="7716B529" w14:textId="5DD8EFB8" w:rsidR="00D83266" w:rsidRPr="004C78D8" w:rsidRDefault="00D675B3" w:rsidP="00FB7C1F">
            <w:pPr>
              <w:rPr>
                <w:sz w:val="18"/>
                <w:szCs w:val="18"/>
              </w:rPr>
            </w:pPr>
            <w:r w:rsidRPr="004C78D8">
              <w:rPr>
                <w:sz w:val="18"/>
                <w:szCs w:val="18"/>
                <w:vertAlign w:val="superscript"/>
              </w:rPr>
              <w:t>4</w:t>
            </w:r>
            <w:r w:rsidR="00D83266" w:rsidRPr="004C78D8">
              <w:rPr>
                <w:sz w:val="18"/>
                <w:szCs w:val="18"/>
              </w:rPr>
              <w:t xml:space="preserve"> See Table </w:t>
            </w:r>
            <w:r w:rsidR="00447791" w:rsidRPr="004C78D8">
              <w:rPr>
                <w:sz w:val="18"/>
                <w:szCs w:val="18"/>
              </w:rPr>
              <w:t>6</w:t>
            </w:r>
            <w:r w:rsidR="00D83266" w:rsidRPr="004C78D8">
              <w:rPr>
                <w:sz w:val="18"/>
                <w:szCs w:val="18"/>
              </w:rPr>
              <w:t>.</w:t>
            </w:r>
            <w:r w:rsidR="00447791" w:rsidRPr="004C78D8">
              <w:rPr>
                <w:sz w:val="18"/>
                <w:szCs w:val="18"/>
              </w:rPr>
              <w:t>20</w:t>
            </w:r>
            <w:r w:rsidR="00D83266" w:rsidRPr="004C78D8">
              <w:rPr>
                <w:sz w:val="18"/>
                <w:szCs w:val="18"/>
              </w:rPr>
              <w:t xml:space="preserve"> for component items within the combined score.</w:t>
            </w:r>
          </w:p>
        </w:tc>
      </w:tr>
    </w:tbl>
    <w:p w14:paraId="5A035CAB" w14:textId="3A3F1972" w:rsidR="00423A93" w:rsidRPr="004C78D8" w:rsidRDefault="00423A93" w:rsidP="00FB7C1F"/>
    <w:p w14:paraId="21BFF040" w14:textId="7A895151" w:rsidR="00222E64" w:rsidRPr="004C78D8" w:rsidRDefault="00222E64" w:rsidP="00FB7C1F">
      <w:r w:rsidRPr="004C78D8">
        <w:t xml:space="preserve">All targeting strategies under CRC other than falls risk targeting </w:t>
      </w:r>
      <w:r w:rsidR="00D675B3" w:rsidRPr="004C78D8">
        <w:t>(</w:t>
      </w:r>
      <w:r w:rsidR="008F0BD2" w:rsidRPr="004C78D8">
        <w:t xml:space="preserve">CRC </w:t>
      </w:r>
      <w:r w:rsidR="00D675B3" w:rsidRPr="004C78D8">
        <w:t xml:space="preserve">scenario (4)) </w:t>
      </w:r>
      <w:r w:rsidRPr="004C78D8">
        <w:t xml:space="preserve">were strongly dominated. The </w:t>
      </w:r>
      <w:r w:rsidR="008F0BD2" w:rsidRPr="004C78D8">
        <w:t>CRC scenario (4)</w:t>
      </w:r>
      <w:r w:rsidRPr="004C78D8">
        <w:t xml:space="preserve"> was in turn strongly dominated by strategy [7] that </w:t>
      </w:r>
      <w:r w:rsidR="008F0BD2" w:rsidRPr="004C78D8">
        <w:t xml:space="preserve">supplemented the scenario with </w:t>
      </w:r>
      <w:r w:rsidR="0048743B" w:rsidRPr="004C78D8">
        <w:t xml:space="preserve">targeted </w:t>
      </w:r>
      <w:r w:rsidRPr="004C78D8">
        <w:t>falls risk screening by community organisations for the 3</w:t>
      </w:r>
      <w:r w:rsidRPr="004C78D8">
        <w:rPr>
          <w:vertAlign w:val="superscript"/>
        </w:rPr>
        <w:t>rd</w:t>
      </w:r>
      <w:r w:rsidRPr="004C78D8">
        <w:t xml:space="preserve"> and 4</w:t>
      </w:r>
      <w:r w:rsidRPr="004C78D8">
        <w:rPr>
          <w:vertAlign w:val="superscript"/>
        </w:rPr>
        <w:t>th</w:t>
      </w:r>
      <w:r w:rsidRPr="004C78D8">
        <w:t xml:space="preserve"> SES quartiles. Strategy [11] </w:t>
      </w:r>
      <w:r w:rsidR="0048743B" w:rsidRPr="004C78D8">
        <w:t>that involved</w:t>
      </w:r>
      <w:r w:rsidRPr="004C78D8">
        <w:t xml:space="preserve"> non-targeted community falls risk screening </w:t>
      </w:r>
      <w:r w:rsidR="008F0BD2" w:rsidRPr="004C78D8">
        <w:t xml:space="preserve">supplementing CRC scenario (4) </w:t>
      </w:r>
      <w:r w:rsidRPr="004C78D8">
        <w:t xml:space="preserve">produced an ICER of £88,463 per QALY </w:t>
      </w:r>
      <w:r w:rsidR="009128CA" w:rsidRPr="004C78D8">
        <w:t>gain</w:t>
      </w:r>
      <w:r w:rsidR="00D16469" w:rsidRPr="004C78D8">
        <w:t>ed</w:t>
      </w:r>
      <w:r w:rsidR="009128CA" w:rsidRPr="004C78D8">
        <w:t xml:space="preserve"> </w:t>
      </w:r>
      <w:r w:rsidR="00C13EE8" w:rsidRPr="004C78D8">
        <w:t>vs.</w:t>
      </w:r>
      <w:r w:rsidRPr="004C78D8">
        <w:t xml:space="preserve"> strategy [7] and hence would not be cost-effective under the threshold of £30,000 per QALY</w:t>
      </w:r>
      <w:r w:rsidR="008F0BD2" w:rsidRPr="004C78D8">
        <w:t xml:space="preserve"> gain</w:t>
      </w:r>
      <w:r w:rsidR="00D16469" w:rsidRPr="004C78D8">
        <w:t>ed</w:t>
      </w:r>
      <w:r w:rsidRPr="004C78D8">
        <w:t xml:space="preserve">. </w:t>
      </w:r>
      <w:r w:rsidR="00A62051" w:rsidRPr="004C78D8">
        <w:t xml:space="preserve">Likewise, strategy [15] </w:t>
      </w:r>
      <w:r w:rsidR="009128CA" w:rsidRPr="004C78D8">
        <w:t>that involved</w:t>
      </w:r>
      <w:r w:rsidR="00A62051" w:rsidRPr="004C78D8">
        <w:t xml:space="preserve"> public sector coverage of societal intervention costs of 3</w:t>
      </w:r>
      <w:r w:rsidR="00A62051" w:rsidRPr="004C78D8">
        <w:rPr>
          <w:vertAlign w:val="superscript"/>
        </w:rPr>
        <w:t>rd</w:t>
      </w:r>
      <w:r w:rsidR="00A62051" w:rsidRPr="004C78D8">
        <w:t xml:space="preserve"> and 4</w:t>
      </w:r>
      <w:r w:rsidR="00A62051" w:rsidRPr="004C78D8">
        <w:rPr>
          <w:vertAlign w:val="superscript"/>
        </w:rPr>
        <w:t>th</w:t>
      </w:r>
      <w:r w:rsidR="00A62051" w:rsidRPr="004C78D8">
        <w:t xml:space="preserve"> SES quartiles produced an ICER of £534,850 per QALY </w:t>
      </w:r>
      <w:r w:rsidR="00F00806" w:rsidRPr="004C78D8">
        <w:t>gain</w:t>
      </w:r>
      <w:r w:rsidR="00D16469" w:rsidRPr="004C78D8">
        <w:t>ed</w:t>
      </w:r>
      <w:r w:rsidR="00F00806" w:rsidRPr="004C78D8">
        <w:t xml:space="preserve"> </w:t>
      </w:r>
      <w:r w:rsidR="00C13EE8" w:rsidRPr="004C78D8">
        <w:t>vs.</w:t>
      </w:r>
      <w:r w:rsidR="00F00806" w:rsidRPr="004C78D8">
        <w:t xml:space="preserve"> strategy [11] </w:t>
      </w:r>
      <w:r w:rsidR="00A62051" w:rsidRPr="004C78D8">
        <w:t xml:space="preserve">and would not be cost-effective. In all, strategy [7] would be the optimal strategy under 40-year societal CUA with ICER of £7,513 per QALY </w:t>
      </w:r>
      <w:r w:rsidR="00C13EE8" w:rsidRPr="004C78D8">
        <w:t>vs.</w:t>
      </w:r>
      <w:r w:rsidR="00A62051" w:rsidRPr="004C78D8">
        <w:t xml:space="preserve"> UC. None of the above strategies would be recommended under five-year public sector ROI. </w:t>
      </w:r>
    </w:p>
    <w:p w14:paraId="2A260A68" w14:textId="51A22E0B" w:rsidR="00A62051" w:rsidRPr="004C78D8" w:rsidRDefault="00A62051" w:rsidP="00FB7C1F">
      <w:r w:rsidRPr="004C78D8">
        <w:t xml:space="preserve">If equity is </w:t>
      </w:r>
      <w:r w:rsidR="00C13EE8" w:rsidRPr="004C78D8">
        <w:t xml:space="preserve">also </w:t>
      </w:r>
      <w:r w:rsidRPr="004C78D8">
        <w:t>considered, strategy [7] would still rank first</w:t>
      </w:r>
      <w:r w:rsidR="00E57E2B" w:rsidRPr="004C78D8">
        <w:t>, followed by [11] or [15] depending on whether relative or absolute inequality is considered</w:t>
      </w:r>
      <w:r w:rsidR="00CE2A88" w:rsidRPr="004C78D8">
        <w:t xml:space="preserve"> at Atkinson </w:t>
      </w:r>
      <w:r w:rsidR="00CE2A88" w:rsidRPr="004C78D8">
        <w:rPr>
          <w:rFonts w:cs="Times New Roman"/>
        </w:rPr>
        <w:t>ε</w:t>
      </w:r>
      <w:r w:rsidR="00CE2A88" w:rsidRPr="004C78D8">
        <w:t xml:space="preserve">=30 and Kolm </w:t>
      </w:r>
      <w:r w:rsidR="00CE2A88" w:rsidRPr="004C78D8">
        <w:rPr>
          <w:rFonts w:cs="Times New Roman"/>
        </w:rPr>
        <w:t>α</w:t>
      </w:r>
      <w:r w:rsidR="00CE2A88" w:rsidRPr="004C78D8">
        <w:t>=0.5, respectively</w:t>
      </w:r>
      <w:r w:rsidR="00E57E2B" w:rsidRPr="004C78D8">
        <w:t xml:space="preserve">. </w:t>
      </w:r>
      <w:r w:rsidR="00A96570" w:rsidRPr="004C78D8">
        <w:t xml:space="preserve">Figures F18 and F19 show that the top ranking of [7] remained throughout the ranges of Atkinson and Kolm indices, respectively. </w:t>
      </w:r>
      <w:r w:rsidR="00E57E2B" w:rsidRPr="004C78D8">
        <w:t xml:space="preserve">Public sector coverage of societal intervention costs in strategy [15] raised the EDE INHBs above those of CRC scenario (4) </w:t>
      </w:r>
      <w:r w:rsidR="00F00806" w:rsidRPr="004C78D8">
        <w:t xml:space="preserve">alone </w:t>
      </w:r>
      <w:r w:rsidR="00E57E2B" w:rsidRPr="004C78D8">
        <w:t>in [8] and hence should be considered even in the absence of any substantial double jeopardy problem. Interestingly, strategies [11], [15] and [8] ranked above [7] in terms of individual-level lifetime outcomes.</w:t>
      </w:r>
    </w:p>
    <w:p w14:paraId="4BC46664" w14:textId="50FD6A20" w:rsidR="00C044FB" w:rsidRPr="004C78D8" w:rsidRDefault="00B63741" w:rsidP="00FB7C1F">
      <w:r w:rsidRPr="004C78D8">
        <w:t>T</w:t>
      </w:r>
      <w:r w:rsidR="00C044FB" w:rsidRPr="004C78D8">
        <w:t>he comparison</w:t>
      </w:r>
      <w:r w:rsidRPr="004C78D8">
        <w:t>s</w:t>
      </w:r>
      <w:r w:rsidR="00C044FB" w:rsidRPr="004C78D8">
        <w:t xml:space="preserve"> in Table </w:t>
      </w:r>
      <w:r w:rsidR="00447791" w:rsidRPr="004C78D8">
        <w:t>6</w:t>
      </w:r>
      <w:r w:rsidR="00C044FB" w:rsidRPr="004C78D8">
        <w:t>.</w:t>
      </w:r>
      <w:r w:rsidR="00447791" w:rsidRPr="004C78D8">
        <w:t>23</w:t>
      </w:r>
      <w:r w:rsidR="00C044FB" w:rsidRPr="004C78D8">
        <w:t xml:space="preserve"> highlight the importance of auxiliary implementation strategies </w:t>
      </w:r>
      <w:r w:rsidR="00F00806" w:rsidRPr="004C78D8">
        <w:t xml:space="preserve">for </w:t>
      </w:r>
      <w:r w:rsidR="00C044FB" w:rsidRPr="004C78D8">
        <w:t xml:space="preserve">commissioning. Commissioners should invest in additional </w:t>
      </w:r>
      <w:r w:rsidR="00D7577A" w:rsidRPr="004C78D8">
        <w:t>targeting</w:t>
      </w:r>
      <w:r w:rsidR="00C044FB" w:rsidRPr="004C78D8">
        <w:t xml:space="preserve"> infrastructure using multivariate falls risk score</w:t>
      </w:r>
      <w:r w:rsidR="0072035C" w:rsidRPr="004C78D8">
        <w:t>s</w:t>
      </w:r>
      <w:r w:rsidR="00C044FB" w:rsidRPr="004C78D8">
        <w:t xml:space="preserve"> under capacity constraint</w:t>
      </w:r>
      <w:r w:rsidR="0072035C" w:rsidRPr="004C78D8">
        <w:t>s</w:t>
      </w:r>
      <w:r w:rsidR="00C044FB" w:rsidRPr="004C78D8">
        <w:t>. This should be supplemented by</w:t>
      </w:r>
      <w:r w:rsidR="00B25C82" w:rsidRPr="004C78D8">
        <w:t xml:space="preserve"> community organisations </w:t>
      </w:r>
      <w:r w:rsidR="009269C3" w:rsidRPr="004C78D8">
        <w:t>reaching</w:t>
      </w:r>
      <w:r w:rsidR="00B25C82" w:rsidRPr="004C78D8">
        <w:t xml:space="preserve"> out to socially deprived individuals not already screened by their GPs</w:t>
      </w:r>
      <w:r w:rsidR="002310B4" w:rsidRPr="004C78D8">
        <w:t xml:space="preserve">, which </w:t>
      </w:r>
      <w:r w:rsidR="00B25C82" w:rsidRPr="004C78D8">
        <w:t>would require data-sharing between primary care and community organisations. Alternatively, commissioners could invest</w:t>
      </w:r>
      <w:r w:rsidR="00C044FB" w:rsidRPr="004C78D8">
        <w:t xml:space="preserve"> </w:t>
      </w:r>
      <w:r w:rsidR="00B25C82" w:rsidRPr="004C78D8">
        <w:t xml:space="preserve">in measures to reduce the intervention costs incurred by socially deprived individuals when accessing falls prevention. </w:t>
      </w:r>
      <w:r w:rsidR="005870D7" w:rsidRPr="004C78D8">
        <w:t xml:space="preserve">These include publicly funded </w:t>
      </w:r>
      <w:r w:rsidR="00AD4CC9" w:rsidRPr="004C78D8">
        <w:t>means</w:t>
      </w:r>
      <w:r w:rsidR="005870D7" w:rsidRPr="004C78D8">
        <w:t xml:space="preserve"> to reduce transport costs and participant- and caregiver-centred intervention setting and scheduling to reduce time opportunity costs. </w:t>
      </w:r>
    </w:p>
    <w:p w14:paraId="54F8FB0A" w14:textId="24DD33AE" w:rsidR="00B63741" w:rsidRPr="004C78D8" w:rsidRDefault="00B63741" w:rsidP="00FB7C1F">
      <w:r w:rsidRPr="004C78D8">
        <w:t xml:space="preserve">A key caveat to the recommendations is the lack of sensitivity analyses. Specifically, subgroup analyses, PSA, DSA, </w:t>
      </w:r>
      <w:r w:rsidR="00AD4CC9" w:rsidRPr="004C78D8">
        <w:t xml:space="preserve">and </w:t>
      </w:r>
      <w:r w:rsidRPr="004C78D8">
        <w:t xml:space="preserve">evaluation framework </w:t>
      </w:r>
      <w:r w:rsidR="00AD4CC9" w:rsidRPr="004C78D8">
        <w:t xml:space="preserve">and epidemiological </w:t>
      </w:r>
      <w:r w:rsidRPr="004C78D8">
        <w:t>scenario analyses were applied only to the base case</w:t>
      </w:r>
      <w:r w:rsidR="005128CE" w:rsidRPr="004C78D8">
        <w:t xml:space="preserve"> comparison. Parameter uncertainty would particularly affect the evaluation of environmental interventions. </w:t>
      </w:r>
      <w:r w:rsidR="0027661F" w:rsidRPr="004C78D8">
        <w:t>The next iteration of model analyses should conduct sensitivity analyses on intervention strategies, particularly those highlighted as candidates for commissioning.</w:t>
      </w:r>
    </w:p>
    <w:p w14:paraId="06362A80" w14:textId="3E8B88FF" w:rsidR="005128CE" w:rsidRPr="004C78D8" w:rsidRDefault="005128CE" w:rsidP="00FB7C1F">
      <w:r w:rsidRPr="004C78D8">
        <w:t xml:space="preserve">Nevertheless, </w:t>
      </w:r>
      <w:r w:rsidR="000C6937" w:rsidRPr="004C78D8">
        <w:t>several</w:t>
      </w:r>
      <w:r w:rsidRPr="004C78D8">
        <w:t xml:space="preserve"> </w:t>
      </w:r>
      <w:r w:rsidR="0027661F" w:rsidRPr="004C78D8">
        <w:t>implications</w:t>
      </w:r>
      <w:r w:rsidRPr="004C78D8">
        <w:t xml:space="preserve"> can be drawn from the sensitivity analyses applied to </w:t>
      </w:r>
      <w:r w:rsidR="0072035C" w:rsidRPr="004C78D8">
        <w:t xml:space="preserve">the </w:t>
      </w:r>
      <w:r w:rsidRPr="004C78D8">
        <w:t xml:space="preserve">base case. </w:t>
      </w:r>
      <w:r w:rsidR="0027661F" w:rsidRPr="004C78D8">
        <w:t xml:space="preserve">First, the cost-effectiveness varied by age at intervention commencement, with younger age groups deriving superior outcomes (Table </w:t>
      </w:r>
      <w:r w:rsidR="00447791" w:rsidRPr="004C78D8">
        <w:t>F2</w:t>
      </w:r>
      <w:r w:rsidR="0027661F" w:rsidRPr="004C78D8">
        <w:t>).</w:t>
      </w:r>
      <w:r w:rsidR="00B446FC" w:rsidRPr="004C78D8">
        <w:t xml:space="preserve"> But this should not motivate age-based rationing which would go against the principles of </w:t>
      </w:r>
      <w:r w:rsidR="0072035C" w:rsidRPr="004C78D8">
        <w:t xml:space="preserve">the </w:t>
      </w:r>
      <w:r w:rsidR="00B446FC" w:rsidRPr="004C78D8">
        <w:t xml:space="preserve">NHS and NICE </w:t>
      </w:r>
      <w:r w:rsidR="00B446FC" w:rsidRPr="004C78D8">
        <w:fldChar w:fldCharType="begin"/>
      </w:r>
      <w:r w:rsidR="00C630FC" w:rsidRPr="004C78D8">
        <w:instrText xml:space="preserve"> ADDIN EN.CITE &lt;EndNote&gt;&lt;Cite&gt;&lt;Author&gt;Department of Health and Social Care&lt;/Author&gt;&lt;Year&gt;2021&lt;/Year&gt;&lt;RecNum&gt;519&lt;/RecNum&gt;&lt;DisplayText&gt;[259, 260]&lt;/DisplayText&gt;&lt;record&gt;&lt;rec-number&gt;519&lt;/rec-number&gt;&lt;foreign-keys&gt;&lt;key app="EN" db-id="tdtrdw9aepptzbefsat599syza29sxsd2wsp" timestamp="1618151817"&gt;519&lt;/key&gt;&lt;/foreign-keys&gt;&lt;ref-type name="Web Page"&gt;12&lt;/ref-type&gt;&lt;contributors&gt;&lt;authors&gt;&lt;author&gt;Department of Health and Social Care,&lt;/author&gt;&lt;/authors&gt;&lt;/contributors&gt;&lt;titles&gt;&lt;title&gt;The NHS Constitution for England&lt;/title&gt;&lt;/titles&gt;&lt;dates&gt;&lt;year&gt;2021&lt;/year&gt;&lt;/dates&gt;&lt;urls&gt;&lt;related-urls&gt;&lt;url&gt;https://www.gov.uk/government/publications/the-nhs-constitution-for-england/the-nhs-constitution-for-england&lt;/url&gt;&lt;/related-urls&gt;&lt;/urls&gt;&lt;/record&gt;&lt;/Cite&gt;&lt;Cite&gt;&lt;Author&gt;National Institute for Health and Care Excellence&lt;/Author&gt;&lt;Year&gt;2003&lt;/Year&gt;&lt;RecNum&gt;520&lt;/RecNum&gt;&lt;record&gt;&lt;rec-number&gt;520&lt;/rec-number&gt;&lt;foreign-keys&gt;&lt;key app="EN" db-id="tdtrdw9aepptzbefsat599syza29sxsd2wsp" timestamp="1618152303"&gt;520&lt;/key&gt;&lt;/foreign-keys&gt;&lt;ref-type name="Journal Article"&gt;17&lt;/ref-type&gt;&lt;contributors&gt;&lt;authors&gt;&lt;author&gt;National Institute for Health and Care Excellence,&lt;/author&gt;&lt;/authors&gt;&lt;/contributors&gt;&lt;titles&gt;&lt;title&gt;NICE Citizens Council Report on Age&lt;/title&gt;&lt;secondary-title&gt;UK: NICE&lt;/secondary-title&gt;&lt;/titles&gt;&lt;periodical&gt;&lt;full-title&gt;UK: NICE&lt;/full-title&gt;&lt;/periodical&gt;&lt;dates&gt;&lt;year&gt;2003&lt;/year&gt;&lt;/dates&gt;&lt;urls&gt;&lt;/urls&gt;&lt;/record&gt;&lt;/Cite&gt;&lt;/EndNote&gt;</w:instrText>
      </w:r>
      <w:r w:rsidR="00B446FC" w:rsidRPr="004C78D8">
        <w:fldChar w:fldCharType="separate"/>
      </w:r>
      <w:r w:rsidR="00C630FC" w:rsidRPr="004C78D8">
        <w:rPr>
          <w:noProof/>
        </w:rPr>
        <w:t>[259, 260]</w:t>
      </w:r>
      <w:r w:rsidR="00B446FC" w:rsidRPr="004C78D8">
        <w:fldChar w:fldCharType="end"/>
      </w:r>
      <w:r w:rsidR="00B446FC" w:rsidRPr="004C78D8">
        <w:t xml:space="preserve">. </w:t>
      </w:r>
      <w:r w:rsidR="001C0A67" w:rsidRPr="004C78D8">
        <w:t xml:space="preserve">Instead, the result should motivate the inclusion of younger seniors in falls prevention to cross-subsidise the older peers. </w:t>
      </w:r>
      <w:r w:rsidR="002310B4" w:rsidRPr="004C78D8">
        <w:t>Hence</w:t>
      </w:r>
      <w:r w:rsidR="001C0A67" w:rsidRPr="004C78D8">
        <w:t>, commissioners should consider extending the falls prevention eligibility to those aged 60-64</w:t>
      </w:r>
      <w:r w:rsidR="00E40AD5" w:rsidRPr="004C78D8">
        <w:t xml:space="preserve"> who are currently not targeted by NICE CG161 </w:t>
      </w:r>
      <w:r w:rsidR="00E40AD5" w:rsidRPr="004C78D8">
        <w:fldChar w:fldCharType="begin"/>
      </w:r>
      <w:r w:rsidR="00F255A9"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00E40AD5" w:rsidRPr="004C78D8">
        <w:fldChar w:fldCharType="separate"/>
      </w:r>
      <w:r w:rsidR="00F255A9" w:rsidRPr="004C78D8">
        <w:rPr>
          <w:noProof/>
        </w:rPr>
        <w:t>[13]</w:t>
      </w:r>
      <w:r w:rsidR="00E40AD5" w:rsidRPr="004C78D8">
        <w:fldChar w:fldCharType="end"/>
      </w:r>
      <w:r w:rsidR="00E40AD5" w:rsidRPr="004C78D8">
        <w:t xml:space="preserve">. Second, </w:t>
      </w:r>
      <w:r w:rsidR="000A16DD" w:rsidRPr="004C78D8">
        <w:t xml:space="preserve">the cost-effectiveness of RC was most favourable for those who were moderately frail at entry (Table </w:t>
      </w:r>
      <w:r w:rsidR="00447791" w:rsidRPr="004C78D8">
        <w:t>F5</w:t>
      </w:r>
      <w:r w:rsidR="000A16DD" w:rsidRPr="004C78D8">
        <w:t xml:space="preserve">). </w:t>
      </w:r>
      <w:r w:rsidR="002310B4" w:rsidRPr="004C78D8">
        <w:t>T</w:t>
      </w:r>
      <w:r w:rsidR="000A16DD" w:rsidRPr="004C78D8">
        <w:t xml:space="preserve">his </w:t>
      </w:r>
      <w:r w:rsidR="000C6937" w:rsidRPr="004C78D8">
        <w:t xml:space="preserve">appears to </w:t>
      </w:r>
      <w:r w:rsidR="000A16DD" w:rsidRPr="004C78D8">
        <w:t xml:space="preserve">support the practice of targeting the moderately frail under Sheffield Teaching Hospital’s QTUG pathway (Section </w:t>
      </w:r>
      <w:r w:rsidR="000C6937" w:rsidRPr="004C78D8">
        <w:t xml:space="preserve">3.7.1.2) </w:t>
      </w:r>
      <w:r w:rsidR="000C6937" w:rsidRPr="004C78D8">
        <w:fldChar w:fldCharType="begin"/>
      </w:r>
      <w:r w:rsidR="00C630FC" w:rsidRPr="004C78D8">
        <w:instrText xml:space="preserve"> ADDIN EN.CITE &lt;EndNote&gt;&lt;Cite&gt;&lt;Author&gt;Sheffield Teaching Hospitals&lt;/Author&gt;&lt;Year&gt;2019&lt;/Year&gt;&lt;RecNum&gt;552&lt;/RecNum&gt;&lt;DisplayText&gt;[209]&lt;/DisplayText&gt;&lt;record&gt;&lt;rec-number&gt;552&lt;/rec-number&gt;&lt;foreign-keys&gt;&lt;key app="EN" db-id="tdtrdw9aepptzbefsat599syza29sxsd2wsp" timestamp="1619256769"&gt;552&lt;/key&gt;&lt;/foreign-keys&gt;&lt;ref-type name="Report"&gt;27&lt;/ref-type&gt;&lt;contributors&gt;&lt;authors&gt;&lt;author&gt;Sheffield Teaching Hospitals,&lt;/author&gt;&lt;/authors&gt;&lt;/contributors&gt;&lt;titles&gt;&lt;title&gt;Perfect Patient Pathway Test Bed Overview Report&lt;/title&gt;&lt;/titles&gt;&lt;dates&gt;&lt;year&gt;2019&lt;/year&gt;&lt;/dates&gt;&lt;publisher&gt;Sheffield Teaching Hospitals NHS Foundation Trust&lt;/publisher&gt;&lt;urls&gt;&lt;related-urls&gt;&lt;url&gt;www.ppptestbed.nhs.uk&lt;/url&gt;&lt;/related-urls&gt;&lt;/urls&gt;&lt;/record&gt;&lt;/Cite&gt;&lt;/EndNote&gt;</w:instrText>
      </w:r>
      <w:r w:rsidR="000C6937" w:rsidRPr="004C78D8">
        <w:fldChar w:fldCharType="separate"/>
      </w:r>
      <w:r w:rsidR="00C630FC" w:rsidRPr="004C78D8">
        <w:rPr>
          <w:noProof/>
        </w:rPr>
        <w:t>[209]</w:t>
      </w:r>
      <w:r w:rsidR="000C6937" w:rsidRPr="004C78D8">
        <w:fldChar w:fldCharType="end"/>
      </w:r>
      <w:r w:rsidR="000C6937" w:rsidRPr="004C78D8">
        <w:t xml:space="preserve">. But frailty targeting under CRC scenario (3) produced worse outcomes than multivariate falls risk targeting. Thus, commissioners should invest in a screening system that utilises eFI (constructed from routine data) </w:t>
      </w:r>
      <w:r w:rsidR="006044DA" w:rsidRPr="004C78D8">
        <w:t>as a component of the</w:t>
      </w:r>
      <w:r w:rsidR="000C6937" w:rsidRPr="004C78D8">
        <w:t xml:space="preserve"> multivariate falls risk score</w:t>
      </w:r>
      <w:r w:rsidR="006044DA" w:rsidRPr="004C78D8">
        <w:t xml:space="preserve"> rather than eFI alone. Finally, </w:t>
      </w:r>
      <w:r w:rsidR="00E40AD5" w:rsidRPr="004C78D8">
        <w:t xml:space="preserve">the epidemiological scenarios showed that </w:t>
      </w:r>
      <w:r w:rsidR="000A16DD" w:rsidRPr="004C78D8">
        <w:t xml:space="preserve">falls prevention is highly </w:t>
      </w:r>
      <w:r w:rsidR="00AD4CC9" w:rsidRPr="004C78D8">
        <w:t>integrative</w:t>
      </w:r>
      <w:r w:rsidR="000A16DD" w:rsidRPr="004C78D8">
        <w:t xml:space="preserve"> with other geriatric </w:t>
      </w:r>
      <w:r w:rsidR="00AD4CC9" w:rsidRPr="004C78D8">
        <w:t>public health interventions</w:t>
      </w:r>
      <w:r w:rsidR="000A16DD" w:rsidRPr="004C78D8">
        <w:t xml:space="preserve"> </w:t>
      </w:r>
      <w:r w:rsidR="006044DA" w:rsidRPr="004C78D8">
        <w:t>reducing</w:t>
      </w:r>
      <w:r w:rsidR="000A16DD" w:rsidRPr="004C78D8">
        <w:t xml:space="preserve"> baseline and contemporaneous frailty and </w:t>
      </w:r>
      <w:r w:rsidR="006044DA" w:rsidRPr="004C78D8">
        <w:t>improving</w:t>
      </w:r>
      <w:r w:rsidR="000A16DD" w:rsidRPr="004C78D8">
        <w:t xml:space="preserve"> life expectancy.</w:t>
      </w:r>
      <w:r w:rsidR="006044DA" w:rsidRPr="004C78D8">
        <w:t xml:space="preserve"> Hence, falls prevention could be commissioned as part of an integrated geriatric care package.</w:t>
      </w:r>
      <w:r w:rsidR="000A16DD" w:rsidRPr="004C78D8">
        <w:t xml:space="preserve"> </w:t>
      </w:r>
    </w:p>
    <w:p w14:paraId="65715490" w14:textId="472C57F2" w:rsidR="00B76159" w:rsidRPr="004C78D8" w:rsidRDefault="00860CEC" w:rsidP="00FB7C1F">
      <w:r w:rsidRPr="004C78D8">
        <w:t>Overall, the commissioning recommendations can be summarised as follows:</w:t>
      </w:r>
    </w:p>
    <w:p w14:paraId="2F02B632" w14:textId="34BD3DA2" w:rsidR="00F30CA6" w:rsidRPr="004C78D8" w:rsidRDefault="00F30CA6" w:rsidP="00FB7C1F">
      <w:pPr>
        <w:pStyle w:val="ListParagraph"/>
        <w:numPr>
          <w:ilvl w:val="0"/>
          <w:numId w:val="65"/>
        </w:numPr>
      </w:pPr>
      <w:r w:rsidRPr="004C78D8">
        <w:t>Commissioners should confirm the feasibilit</w:t>
      </w:r>
      <w:r w:rsidR="003B1915">
        <w:t>y</w:t>
      </w:r>
      <w:r w:rsidRPr="004C78D8">
        <w:t xml:space="preserve"> of environmental interventions and capacity expansions required by RC (see intervention user profiles by pathway in Table </w:t>
      </w:r>
      <w:r w:rsidR="00447791" w:rsidRPr="004C78D8">
        <w:t>F11</w:t>
      </w:r>
      <w:r w:rsidRPr="004C78D8">
        <w:t>).</w:t>
      </w:r>
    </w:p>
    <w:p w14:paraId="40DBDCA8" w14:textId="5D281BA5" w:rsidR="00962F1F" w:rsidRPr="004C78D8" w:rsidRDefault="00F30CA6" w:rsidP="00FB7C1F">
      <w:pPr>
        <w:pStyle w:val="ListParagraph"/>
        <w:numPr>
          <w:ilvl w:val="0"/>
          <w:numId w:val="65"/>
        </w:numPr>
      </w:pPr>
      <w:r w:rsidRPr="004C78D8">
        <w:t>If environmental interventions and full capacity expansions are feasible, the e</w:t>
      </w:r>
      <w:r w:rsidR="00860CEC" w:rsidRPr="004C78D8">
        <w:t xml:space="preserve">ight intervention scenarios in Table </w:t>
      </w:r>
      <w:r w:rsidR="00447791" w:rsidRPr="004C78D8">
        <w:t>6</w:t>
      </w:r>
      <w:r w:rsidR="00860CEC" w:rsidRPr="004C78D8">
        <w:t>.</w:t>
      </w:r>
      <w:r w:rsidR="00447791" w:rsidRPr="004C78D8">
        <w:t>22</w:t>
      </w:r>
      <w:r w:rsidR="00860CEC" w:rsidRPr="004C78D8">
        <w:t xml:space="preserve"> emerge as candidate strategies for commissioning</w:t>
      </w:r>
      <w:r w:rsidR="0050045B" w:rsidRPr="004C78D8">
        <w:t>.</w:t>
      </w:r>
      <w:r w:rsidR="00860CEC" w:rsidRPr="004C78D8">
        <w:t xml:space="preserve"> </w:t>
      </w:r>
      <w:r w:rsidR="00962F1F" w:rsidRPr="004C78D8">
        <w:t xml:space="preserve">The optimal strategy should be chosen based on </w:t>
      </w:r>
      <w:r w:rsidR="008565C4" w:rsidRPr="004C78D8">
        <w:t>commissioner</w:t>
      </w:r>
      <w:r w:rsidRPr="004C78D8">
        <w:t>s’</w:t>
      </w:r>
      <w:r w:rsidR="008565C4" w:rsidRPr="004C78D8">
        <w:t xml:space="preserve"> </w:t>
      </w:r>
      <w:r w:rsidR="0050045B" w:rsidRPr="004C78D8">
        <w:t xml:space="preserve">relative </w:t>
      </w:r>
      <w:r w:rsidR="008565C4" w:rsidRPr="004C78D8">
        <w:t xml:space="preserve">priority over </w:t>
      </w:r>
      <w:r w:rsidR="0050045B" w:rsidRPr="004C78D8">
        <w:t>cost-effectiveness, aggregate INMB, budget impact, equity impact and individual-level lifetime outcomes under 40-year societal CUA and/or five-year public sector ROI.</w:t>
      </w:r>
    </w:p>
    <w:p w14:paraId="4AFCDDB5" w14:textId="422EC501" w:rsidR="006618E8" w:rsidRPr="004C78D8" w:rsidRDefault="007F1B71" w:rsidP="00FB7C1F">
      <w:pPr>
        <w:pStyle w:val="ListParagraph"/>
        <w:numPr>
          <w:ilvl w:val="0"/>
          <w:numId w:val="65"/>
        </w:numPr>
      </w:pPr>
      <w:r w:rsidRPr="004C78D8">
        <w:t xml:space="preserve">If </w:t>
      </w:r>
      <w:r w:rsidR="00F30CA6" w:rsidRPr="004C78D8">
        <w:t>not</w:t>
      </w:r>
      <w:r w:rsidR="00116F25" w:rsidRPr="004C78D8">
        <w:t xml:space="preserve"> feasible</w:t>
      </w:r>
      <w:r w:rsidRPr="004C78D8">
        <w:t>, then strategy [7] involving capacity constrained pathways, targeting by multivariate falls risk score</w:t>
      </w:r>
      <w:r w:rsidR="0050045B" w:rsidRPr="004C78D8">
        <w:t>,</w:t>
      </w:r>
      <w:r w:rsidRPr="004C78D8">
        <w:t xml:space="preserve"> and </w:t>
      </w:r>
      <w:r w:rsidR="003936C0" w:rsidRPr="004C78D8">
        <w:t>community</w:t>
      </w:r>
      <w:r w:rsidRPr="004C78D8">
        <w:t xml:space="preserve"> falls risk screening </w:t>
      </w:r>
      <w:r w:rsidR="003936C0" w:rsidRPr="004C78D8">
        <w:t>targeted at</w:t>
      </w:r>
      <w:r w:rsidRPr="004C78D8">
        <w:t xml:space="preserve"> 3</w:t>
      </w:r>
      <w:r w:rsidRPr="004C78D8">
        <w:rPr>
          <w:vertAlign w:val="superscript"/>
        </w:rPr>
        <w:t>rd</w:t>
      </w:r>
      <w:r w:rsidRPr="004C78D8">
        <w:t xml:space="preserve"> and 4</w:t>
      </w:r>
      <w:r w:rsidRPr="004C78D8">
        <w:rPr>
          <w:vertAlign w:val="superscript"/>
        </w:rPr>
        <w:t>th</w:t>
      </w:r>
      <w:r w:rsidRPr="004C78D8">
        <w:t xml:space="preserve"> SES quartiles </w:t>
      </w:r>
      <w:r w:rsidR="00F30CA6" w:rsidRPr="004C78D8">
        <w:t>would</w:t>
      </w:r>
      <w:r w:rsidRPr="004C78D8">
        <w:t xml:space="preserve"> </w:t>
      </w:r>
      <w:r w:rsidR="00C738E9" w:rsidRPr="004C78D8">
        <w:t xml:space="preserve">likely </w:t>
      </w:r>
      <w:r w:rsidR="00F30CA6" w:rsidRPr="004C78D8">
        <w:t xml:space="preserve">be </w:t>
      </w:r>
      <w:r w:rsidRPr="004C78D8">
        <w:t xml:space="preserve">the optimal strategy under 40-year societal CUA. </w:t>
      </w:r>
    </w:p>
    <w:p w14:paraId="3ECA6D51" w14:textId="4E759904" w:rsidR="00116F25" w:rsidRPr="004C78D8" w:rsidRDefault="00143C81" w:rsidP="00FB7C1F">
      <w:pPr>
        <w:pStyle w:val="ListParagraph"/>
        <w:numPr>
          <w:ilvl w:val="0"/>
          <w:numId w:val="65"/>
        </w:numPr>
      </w:pPr>
      <w:r w:rsidRPr="004C78D8">
        <w:t>Physical activity promotion targeting 3</w:t>
      </w:r>
      <w:r w:rsidRPr="004C78D8">
        <w:rPr>
          <w:vertAlign w:val="superscript"/>
        </w:rPr>
        <w:t>rd</w:t>
      </w:r>
      <w:r w:rsidRPr="004C78D8">
        <w:t xml:space="preserve"> and 4</w:t>
      </w:r>
      <w:r w:rsidRPr="004C78D8">
        <w:rPr>
          <w:vertAlign w:val="superscript"/>
        </w:rPr>
        <w:t>th</w:t>
      </w:r>
      <w:r w:rsidRPr="004C78D8">
        <w:t xml:space="preserve"> SES quartiles produce a positive financial return</w:t>
      </w:r>
      <w:r w:rsidR="007F1B71" w:rsidRPr="004C78D8">
        <w:t xml:space="preserve"> under </w:t>
      </w:r>
      <w:r w:rsidRPr="004C78D8">
        <w:t xml:space="preserve">the </w:t>
      </w:r>
      <w:r w:rsidR="007F1B71" w:rsidRPr="004C78D8">
        <w:t>five-year public sector ROI</w:t>
      </w:r>
      <w:r w:rsidRPr="004C78D8">
        <w:t xml:space="preserve"> but is only tentatively recommended because the return is projected to drop below the break-even condition over a longer time horizon.</w:t>
      </w:r>
    </w:p>
    <w:p w14:paraId="72312F80" w14:textId="174894A7" w:rsidR="00116F25" w:rsidRPr="004C78D8" w:rsidRDefault="00116F25" w:rsidP="00FB7C1F">
      <w:pPr>
        <w:pStyle w:val="ListParagraph"/>
        <w:numPr>
          <w:ilvl w:val="0"/>
          <w:numId w:val="65"/>
        </w:numPr>
      </w:pPr>
      <w:r w:rsidRPr="004C78D8">
        <w:t xml:space="preserve">The above recommendations are accompanied by research recommendations. </w:t>
      </w:r>
      <w:r w:rsidR="00823A03" w:rsidRPr="004C78D8">
        <w:t>The optimal strategy should be subject to further sensitivity analyses</w:t>
      </w:r>
      <w:r w:rsidRPr="004C78D8">
        <w:t>,</w:t>
      </w:r>
      <w:r w:rsidR="00823A03" w:rsidRPr="004C78D8">
        <w:t xml:space="preserve"> includ</w:t>
      </w:r>
      <w:r w:rsidRPr="004C78D8">
        <w:t>ing</w:t>
      </w:r>
      <w:r w:rsidR="00823A03" w:rsidRPr="004C78D8">
        <w:t xml:space="preserve"> subgroup analyses, PSA</w:t>
      </w:r>
      <w:r w:rsidRPr="004C78D8">
        <w:t>, DSA,</w:t>
      </w:r>
      <w:r w:rsidR="00823A03" w:rsidRPr="004C78D8">
        <w:t xml:space="preserve"> and evaluations of </w:t>
      </w:r>
      <w:r w:rsidR="007F1B71" w:rsidRPr="004C78D8">
        <w:t>further implementation strategies such as public sector coverage of societal intervention costs</w:t>
      </w:r>
      <w:r w:rsidR="00823A03" w:rsidRPr="004C78D8">
        <w:t>.</w:t>
      </w:r>
      <w:r w:rsidR="008565C4" w:rsidRPr="004C78D8">
        <w:t xml:space="preserve"> </w:t>
      </w:r>
      <w:r w:rsidR="0050045B" w:rsidRPr="004C78D8">
        <w:t>Likewise, t</w:t>
      </w:r>
      <w:r w:rsidR="00823A03" w:rsidRPr="004C78D8">
        <w:t>he impacts of</w:t>
      </w:r>
      <w:r w:rsidR="008565C4" w:rsidRPr="004C78D8">
        <w:t xml:space="preserve"> </w:t>
      </w:r>
      <w:r w:rsidR="00823A03" w:rsidRPr="004C78D8">
        <w:t xml:space="preserve">supplementary </w:t>
      </w:r>
      <w:r w:rsidR="008565C4" w:rsidRPr="004C78D8">
        <w:t>geriatric public health interventions reducing frailty and mortality</w:t>
      </w:r>
      <w:r w:rsidR="00823A03" w:rsidRPr="004C78D8">
        <w:t xml:space="preserve"> should be </w:t>
      </w:r>
      <w:r w:rsidR="0050045B" w:rsidRPr="004C78D8">
        <w:t xml:space="preserve">further </w:t>
      </w:r>
      <w:r w:rsidR="00823A03" w:rsidRPr="004C78D8">
        <w:t>evaluated</w:t>
      </w:r>
      <w:r w:rsidR="008565C4" w:rsidRPr="004C78D8">
        <w:t>.</w:t>
      </w:r>
    </w:p>
    <w:p w14:paraId="65092423" w14:textId="3787DCDF" w:rsidR="007F1B71" w:rsidRPr="004C78D8" w:rsidRDefault="008565C4" w:rsidP="00FB7C1F">
      <w:r w:rsidRPr="004C78D8">
        <w:t xml:space="preserve"> </w:t>
      </w:r>
    </w:p>
    <w:p w14:paraId="1975E799" w14:textId="66B97343" w:rsidR="00FB2796" w:rsidRPr="004C78D8" w:rsidRDefault="00BF60D9" w:rsidP="00FB7C1F">
      <w:pPr>
        <w:pStyle w:val="Heading2"/>
      </w:pPr>
      <w:bookmarkStart w:id="211" w:name="_Toc93566895"/>
      <w:bookmarkStart w:id="212" w:name="_Toc111630801"/>
      <w:r w:rsidRPr="004C78D8">
        <w:t>6.4</w:t>
      </w:r>
      <w:r w:rsidR="00FB2796" w:rsidRPr="004C78D8">
        <w:t xml:space="preserve"> Discussion</w:t>
      </w:r>
      <w:bookmarkEnd w:id="211"/>
      <w:bookmarkEnd w:id="212"/>
    </w:p>
    <w:p w14:paraId="5B42A276" w14:textId="6F59E632" w:rsidR="00FB2796" w:rsidRPr="004C78D8" w:rsidRDefault="00FB2796" w:rsidP="00FB7C1F">
      <w:r w:rsidRPr="004C78D8">
        <w:t xml:space="preserve">This section </w:t>
      </w:r>
      <w:r w:rsidR="00327C3D" w:rsidRPr="004C78D8">
        <w:t xml:space="preserve">further </w:t>
      </w:r>
      <w:r w:rsidRPr="004C78D8">
        <w:t xml:space="preserve">discusses the model </w:t>
      </w:r>
      <w:r w:rsidR="00327C3D" w:rsidRPr="004C78D8">
        <w:t>findings</w:t>
      </w:r>
      <w:r w:rsidRPr="004C78D8">
        <w:t xml:space="preserve"> </w:t>
      </w:r>
      <w:r w:rsidR="00327C3D" w:rsidRPr="004C78D8">
        <w:t xml:space="preserve">in </w:t>
      </w:r>
      <w:r w:rsidR="0072035C" w:rsidRPr="004C78D8">
        <w:t xml:space="preserve">the </w:t>
      </w:r>
      <w:r w:rsidR="00327C3D" w:rsidRPr="004C78D8">
        <w:t>context of previous model results</w:t>
      </w:r>
      <w:r w:rsidRPr="004C78D8">
        <w:t xml:space="preserve"> (Section </w:t>
      </w:r>
      <w:r w:rsidR="003C0EE9" w:rsidRPr="004C78D8">
        <w:t>6</w:t>
      </w:r>
      <w:r w:rsidRPr="004C78D8">
        <w:t>.</w:t>
      </w:r>
      <w:r w:rsidR="003C0EE9" w:rsidRPr="004C78D8">
        <w:t>4</w:t>
      </w:r>
      <w:r w:rsidRPr="004C78D8">
        <w:t xml:space="preserve">.1) and </w:t>
      </w:r>
      <w:r w:rsidR="00327C3D" w:rsidRPr="004C78D8">
        <w:t>preliminary, post-analysis conversations with Sheffield commissioners</w:t>
      </w:r>
      <w:r w:rsidRPr="004C78D8">
        <w:t xml:space="preserve"> (Section </w:t>
      </w:r>
      <w:r w:rsidR="003C0EE9" w:rsidRPr="004C78D8">
        <w:t>6</w:t>
      </w:r>
      <w:r w:rsidRPr="004C78D8">
        <w:t>.</w:t>
      </w:r>
      <w:r w:rsidR="003C0EE9" w:rsidRPr="004C78D8">
        <w:t>4</w:t>
      </w:r>
      <w:r w:rsidRPr="004C78D8">
        <w:t>.2). Section</w:t>
      </w:r>
      <w:r w:rsidR="007D0A80" w:rsidRPr="004C78D8">
        <w:t>s</w:t>
      </w:r>
      <w:r w:rsidRPr="004C78D8">
        <w:t xml:space="preserve"> </w:t>
      </w:r>
      <w:r w:rsidR="003C0EE9" w:rsidRPr="004C78D8">
        <w:t>6</w:t>
      </w:r>
      <w:r w:rsidR="007D0A80" w:rsidRPr="004C78D8">
        <w:t>.</w:t>
      </w:r>
      <w:r w:rsidR="003C0EE9" w:rsidRPr="004C78D8">
        <w:t>4</w:t>
      </w:r>
      <w:r w:rsidR="007D0A80" w:rsidRPr="004C78D8">
        <w:t xml:space="preserve">.3 and </w:t>
      </w:r>
      <w:r w:rsidR="003C0EE9" w:rsidRPr="004C78D8">
        <w:t>6</w:t>
      </w:r>
      <w:r w:rsidRPr="004C78D8">
        <w:t>.</w:t>
      </w:r>
      <w:r w:rsidR="003C0EE9" w:rsidRPr="004C78D8">
        <w:t>4</w:t>
      </w:r>
      <w:r w:rsidRPr="004C78D8">
        <w:t>.</w:t>
      </w:r>
      <w:r w:rsidR="007D0A80" w:rsidRPr="004C78D8">
        <w:t>4</w:t>
      </w:r>
      <w:r w:rsidRPr="004C78D8">
        <w:t xml:space="preserve"> then discuss the model strengths and limitations, </w:t>
      </w:r>
      <w:r w:rsidR="007D0A80" w:rsidRPr="004C78D8">
        <w:t xml:space="preserve">applying, respectively, the methodological checklist for falls prevention economic evaluation and comparison to </w:t>
      </w:r>
      <w:r w:rsidRPr="004C78D8">
        <w:t xml:space="preserve">the methodological recommendations </w:t>
      </w:r>
      <w:r w:rsidR="00860A84" w:rsidRPr="004C78D8">
        <w:t>formulated</w:t>
      </w:r>
      <w:r w:rsidRPr="004C78D8">
        <w:t xml:space="preserve"> in Section </w:t>
      </w:r>
      <w:r w:rsidR="003C0EE9" w:rsidRPr="004C78D8">
        <w:t>4</w:t>
      </w:r>
      <w:r w:rsidRPr="004C78D8">
        <w:t xml:space="preserve">.6.1. </w:t>
      </w:r>
    </w:p>
    <w:p w14:paraId="549D648C" w14:textId="6367BB19" w:rsidR="005D21E3" w:rsidRPr="004C78D8" w:rsidRDefault="003C0EE9" w:rsidP="00FB7C1F">
      <w:pPr>
        <w:pStyle w:val="Heading3"/>
      </w:pPr>
      <w:bookmarkStart w:id="213" w:name="_Toc111630802"/>
      <w:r w:rsidRPr="004C78D8">
        <w:t>6</w:t>
      </w:r>
      <w:r w:rsidR="00830339" w:rsidRPr="004C78D8">
        <w:t>.</w:t>
      </w:r>
      <w:r w:rsidRPr="004C78D8">
        <w:t>4</w:t>
      </w:r>
      <w:r w:rsidR="00830339" w:rsidRPr="004C78D8">
        <w:t>.1 Comparison to previous falls prevention model results</w:t>
      </w:r>
      <w:bookmarkEnd w:id="213"/>
    </w:p>
    <w:p w14:paraId="65B55CB8" w14:textId="399B2F85" w:rsidR="00DC719B" w:rsidRPr="004C78D8" w:rsidRDefault="003E1D83" w:rsidP="00FB7C1F">
      <w:r w:rsidRPr="004C78D8">
        <w:t>S</w:t>
      </w:r>
      <w:r w:rsidR="004D79EA" w:rsidRPr="004C78D8">
        <w:t xml:space="preserve">everal points of </w:t>
      </w:r>
      <w:r w:rsidR="00B10079" w:rsidRPr="004C78D8">
        <w:t>comparison can be noted</w:t>
      </w:r>
      <w:r w:rsidR="004D79EA" w:rsidRPr="004C78D8">
        <w:t xml:space="preserve"> between the results of th</w:t>
      </w:r>
      <w:r w:rsidR="00986CE9" w:rsidRPr="004C78D8">
        <w:t>e current</w:t>
      </w:r>
      <w:r w:rsidR="004D79EA" w:rsidRPr="004C78D8">
        <w:t xml:space="preserve"> model and </w:t>
      </w:r>
      <w:r w:rsidR="00B10079" w:rsidRPr="004C78D8">
        <w:t xml:space="preserve">those </w:t>
      </w:r>
      <w:r w:rsidR="004D79EA" w:rsidRPr="004C78D8">
        <w:t>of previous models</w:t>
      </w:r>
      <w:r w:rsidRPr="004C78D8">
        <w:t xml:space="preserve"> for cross-validation </w:t>
      </w:r>
      <w:r w:rsidRPr="004C78D8">
        <w:fldChar w:fldCharType="begin"/>
      </w:r>
      <w:r w:rsidR="00BB47BA" w:rsidRPr="004C78D8">
        <w:instrText xml:space="preserve"> ADDIN EN.CITE &lt;EndNote&gt;&lt;Cite&gt;&lt;Author&gt;Eddy&lt;/Author&gt;&lt;Year&gt;2012&lt;/Year&gt;&lt;RecNum&gt;360&lt;/RecNum&gt;&lt;DisplayText&gt;[173]&lt;/DisplayText&gt;&lt;record&gt;&lt;rec-number&gt;360&lt;/rec-number&gt;&lt;foreign-keys&gt;&lt;key app="EN" db-id="tdtrdw9aepptzbefsat599syza29sxsd2wsp" timestamp="1612218136"&gt;360&lt;/key&gt;&lt;/foreign-keys&gt;&lt;ref-type name="Journal Article"&gt;17&lt;/ref-type&gt;&lt;contributors&gt;&lt;authors&gt;&lt;author&gt;Eddy, David M&lt;/author&gt;&lt;author&gt;Hollingworth, William&lt;/author&gt;&lt;author&gt;Caro, J Jaime&lt;/author&gt;&lt;author&gt;Tsevat, Joel&lt;/author&gt;&lt;author&gt;McDonald, Kathryn M&lt;/author&gt;&lt;author&gt;Wong, John B&lt;/author&gt;&lt;/authors&gt;&lt;/contributors&gt;&lt;titles&gt;&lt;title&gt;Model transparency and validation: a report of the ISPOR-SMDM Modeling Good Research Practices Task Force–7&lt;/title&gt;&lt;secondary-title&gt;Medical Decision Making&lt;/secondary-title&gt;&lt;/titles&gt;&lt;periodical&gt;&lt;full-title&gt;Medical Decision Making&lt;/full-title&gt;&lt;/periodical&gt;&lt;pages&gt;733-743&lt;/pages&gt;&lt;volume&gt;32&lt;/volume&gt;&lt;number&gt;5&lt;/number&gt;&lt;dates&gt;&lt;year&gt;2012&lt;/year&gt;&lt;/dates&gt;&lt;isbn&gt;0272-989X&lt;/isbn&gt;&lt;urls&gt;&lt;/urls&gt;&lt;/record&gt;&lt;/Cite&gt;&lt;/EndNote&gt;</w:instrText>
      </w:r>
      <w:r w:rsidRPr="004C78D8">
        <w:fldChar w:fldCharType="separate"/>
      </w:r>
      <w:r w:rsidR="00BB47BA" w:rsidRPr="004C78D8">
        <w:rPr>
          <w:noProof/>
        </w:rPr>
        <w:t>[173]</w:t>
      </w:r>
      <w:r w:rsidRPr="004C78D8">
        <w:fldChar w:fldCharType="end"/>
      </w:r>
      <w:r w:rsidR="004D79EA" w:rsidRPr="004C78D8">
        <w:t xml:space="preserve">. </w:t>
      </w:r>
      <w:r w:rsidR="00557BEB" w:rsidRPr="004C78D8">
        <w:t>T</w:t>
      </w:r>
      <w:r w:rsidR="004D79EA" w:rsidRPr="004C78D8">
        <w:t xml:space="preserve">he systematic review in Chapter </w:t>
      </w:r>
      <w:r w:rsidR="000A085C" w:rsidRPr="004C78D8">
        <w:t xml:space="preserve">4 </w:t>
      </w:r>
      <w:r w:rsidR="004D79EA" w:rsidRPr="004C78D8">
        <w:t xml:space="preserve">identified </w:t>
      </w:r>
      <w:r w:rsidR="00B10079" w:rsidRPr="004C78D8">
        <w:t xml:space="preserve">(a) </w:t>
      </w:r>
      <w:r w:rsidR="004D79EA" w:rsidRPr="004C78D8">
        <w:t xml:space="preserve">combined multifactorial and environmental </w:t>
      </w:r>
      <w:r w:rsidR="007D26A9" w:rsidRPr="004C78D8">
        <w:t xml:space="preserve">(falls hazard removal) </w:t>
      </w:r>
      <w:r w:rsidR="004D79EA" w:rsidRPr="004C78D8">
        <w:t>interventions</w:t>
      </w:r>
      <w:r w:rsidR="006C3FBE" w:rsidRPr="004C78D8">
        <w:t xml:space="preserve"> </w:t>
      </w:r>
      <w:r w:rsidR="00DC719B" w:rsidRPr="004C78D8">
        <w:t xml:space="preserve">in Johansson (2008) </w:t>
      </w:r>
      <w:r w:rsidR="006C3FBE" w:rsidRPr="004C78D8">
        <w:fldChar w:fldCharType="begin"/>
      </w:r>
      <w:r w:rsidR="00513646" w:rsidRPr="004C78D8">
        <w:instrText xml:space="preserve"> ADDIN EN.CITE &lt;EndNote&gt;&lt;Cite&gt;&lt;Author&gt;Johansson&lt;/Author&gt;&lt;Year&gt;2008&lt;/Year&gt;&lt;RecNum&gt;288&lt;/RecNum&gt;&lt;DisplayText&gt;[128]&lt;/DisplayText&gt;&lt;record&gt;&lt;rec-number&gt;288&lt;/rec-number&gt;&lt;foreign-keys&gt;&lt;key app="EN" db-id="tdtrdw9aepptzbefsat599syza29sxsd2wsp" timestamp="1611700763"&gt;288&lt;/key&gt;&lt;/foreign-keys&gt;&lt;ref-type name="Journal Article"&gt;17&lt;/ref-type&gt;&lt;contributors&gt;&lt;authors&gt;&lt;author&gt;Johansson, Pia&lt;/author&gt;&lt;author&gt;Sadigh, Siv&lt;/author&gt;&lt;author&gt;Tillgren, Per&lt;/author&gt;&lt;author&gt;Rehnberg, Clas&lt;/author&gt;&lt;/authors&gt;&lt;/contributors&gt;&lt;titles&gt;&lt;title&gt;Non-pharmaceutical prevention of hip fractures - a cost-effectiveness analysis of a community-based elderly safety promotion program in Sweden&lt;/title&gt;&lt;secondary-title&gt;Cost effectiveness and resource allocation : C/E&lt;/secondary-title&gt;&lt;/titles&gt;&lt;periodical&gt;&lt;full-title&gt;Cost effectiveness and resource allocation : C/E&lt;/full-title&gt;&lt;/periodical&gt;&lt;pages&gt;11&lt;/pages&gt;&lt;volume&gt;6&lt;/volume&gt;&lt;section&gt;Johansson, Pia. Karolinska Institutet, Department of Public Health Sciences, Stockholm, Sweden. pia.m.johansson@sll.se&lt;/section&gt;&lt;dates&gt;&lt;year&gt;2008&lt;/year&gt;&lt;/dates&gt;&lt;pub-location&gt;England&lt;/pub-location&gt;&lt;isbn&gt;1478-7547&lt;/isbn&gt;&lt;urls&gt;&lt;related-urls&gt;&lt;url&gt;http://ovidsp.ovid.com/ovidweb.cgi?T=JS&amp;amp;PAGE=reference&amp;amp;D=prem&amp;amp;NEWS=N&amp;amp;AN=18513425&lt;/url&gt;&lt;/related-urls&gt;&lt;/urls&gt;&lt;electronic-resource-num&gt;https://dx.doi.org/10.1186/1478-7547-6-11&lt;/electronic-resource-num&gt;&lt;/record&gt;&lt;/Cite&gt;&lt;/EndNote&gt;</w:instrText>
      </w:r>
      <w:r w:rsidR="006C3FBE" w:rsidRPr="004C78D8">
        <w:fldChar w:fldCharType="separate"/>
      </w:r>
      <w:r w:rsidR="00513646" w:rsidRPr="004C78D8">
        <w:rPr>
          <w:noProof/>
        </w:rPr>
        <w:t>[128]</w:t>
      </w:r>
      <w:r w:rsidR="006C3FBE" w:rsidRPr="004C78D8">
        <w:fldChar w:fldCharType="end"/>
      </w:r>
      <w:r w:rsidR="004D79EA" w:rsidRPr="004C78D8">
        <w:t xml:space="preserve">, </w:t>
      </w:r>
      <w:r w:rsidR="00B10079" w:rsidRPr="004C78D8">
        <w:t xml:space="preserve">(b) </w:t>
      </w:r>
      <w:r w:rsidR="004D79EA" w:rsidRPr="004C78D8">
        <w:t>general physical activity promotion for women</w:t>
      </w:r>
      <w:r w:rsidR="006C3FBE" w:rsidRPr="004C78D8">
        <w:t xml:space="preserve"> </w:t>
      </w:r>
      <w:r w:rsidR="00DC719B" w:rsidRPr="004C78D8">
        <w:t xml:space="preserve">in Nshimyumukiza (2013) </w:t>
      </w:r>
      <w:r w:rsidR="006C3FBE" w:rsidRPr="004C78D8">
        <w:fldChar w:fldCharType="begin"/>
      </w:r>
      <w:r w:rsidR="00C630FC" w:rsidRPr="004C78D8">
        <w:instrText xml:space="preserve"> ADDIN EN.CITE &lt;EndNote&gt;&lt;Cite&gt;&lt;Author&gt;Nshimyumukiza&lt;/Author&gt;&lt;Year&gt;2013&lt;/Year&gt;&lt;RecNum&gt;381&lt;/RecNum&gt;&lt;DisplayText&gt;[336]&lt;/DisplayText&gt;&lt;record&gt;&lt;rec-number&gt;381&lt;/rec-number&gt;&lt;foreign-keys&gt;&lt;key app="EN" db-id="tdtrdw9aepptzbefsat599syza29sxsd2wsp" timestamp="1612694614"&gt;381&lt;/key&gt;&lt;/foreign-keys&gt;&lt;ref-type name="Journal Article"&gt;17&lt;/ref-type&gt;&lt;contributors&gt;&lt;authors&gt;&lt;author&gt;Nshimyumukiza, Léon&lt;/author&gt;&lt;author&gt;Durand, Audrey&lt;/author&gt;&lt;author&gt;Gagnon, Mathieu&lt;/author&gt;&lt;author&gt;Douville, Xavier&lt;/author&gt;&lt;author&gt;Morin, Suzanne&lt;/author&gt;&lt;author&gt;Lindsay, Carmen&lt;/author&gt;&lt;author&gt;Duplantie, Julie&lt;/author&gt;&lt;author&gt;Gagné, Christian&lt;/author&gt;&lt;author&gt;Jean, Sonia&lt;/author&gt;&lt;author&gt;Giguere, Yves&lt;/author&gt;&lt;/authors&gt;&lt;/contributors&gt;&lt;titles&gt;&lt;title&gt;An economic evaluation: Simulation of the cost‐effectiveness and cost‐utility of universal prevention strategies against osteoporosis‐related fractures&lt;/title&gt;&lt;secondary-title&gt;Journal of Bone and Mineral Research&lt;/secondary-title&gt;&lt;/titles&gt;&lt;periodical&gt;&lt;full-title&gt;Journal of bone and mineral research&lt;/full-title&gt;&lt;/periodical&gt;&lt;pages&gt;383-394&lt;/pages&gt;&lt;volume&gt;28&lt;/volume&gt;&lt;number&gt;2&lt;/number&gt;&lt;dates&gt;&lt;year&gt;2013&lt;/year&gt;&lt;/dates&gt;&lt;isbn&gt;0884-0431&lt;/isbn&gt;&lt;urls&gt;&lt;/urls&gt;&lt;/record&gt;&lt;/Cite&gt;&lt;/EndNote&gt;</w:instrText>
      </w:r>
      <w:r w:rsidR="006C3FBE" w:rsidRPr="004C78D8">
        <w:fldChar w:fldCharType="separate"/>
      </w:r>
      <w:r w:rsidR="00C630FC" w:rsidRPr="004C78D8">
        <w:rPr>
          <w:noProof/>
        </w:rPr>
        <w:t>[336]</w:t>
      </w:r>
      <w:r w:rsidR="006C3FBE" w:rsidRPr="004C78D8">
        <w:fldChar w:fldCharType="end"/>
      </w:r>
      <w:r w:rsidR="00B10079" w:rsidRPr="004C78D8">
        <w:t>, and (c)</w:t>
      </w:r>
      <w:r w:rsidR="004D79EA" w:rsidRPr="004C78D8">
        <w:t xml:space="preserve"> targeted vitamin D supplementation </w:t>
      </w:r>
      <w:r w:rsidR="00DC719B" w:rsidRPr="004C78D8">
        <w:t xml:space="preserve">in Zarca (2014) </w:t>
      </w:r>
      <w:r w:rsidR="007D26A9" w:rsidRPr="004C78D8">
        <w:fldChar w:fldCharType="begin"/>
      </w:r>
      <w:r w:rsidR="00C630FC" w:rsidRPr="004C78D8">
        <w:instrText xml:space="preserve"> ADDIN EN.CITE &lt;EndNote&gt;&lt;Cite&gt;&lt;Author&gt;Zarca&lt;/Author&gt;&lt;Year&gt;2014&lt;/Year&gt;&lt;RecNum&gt;401&lt;/RecNum&gt;&lt;DisplayText&gt;[368]&lt;/DisplayText&gt;&lt;record&gt;&lt;rec-number&gt;401&lt;/rec-number&gt;&lt;foreign-keys&gt;&lt;key app="EN" db-id="tdtrdw9aepptzbefsat599syza29sxsd2wsp" timestamp="1612695492"&gt;401&lt;/key&gt;&lt;/foreign-keys&gt;&lt;ref-type name="Journal Article"&gt;17&lt;/ref-type&gt;&lt;contributors&gt;&lt;authors&gt;&lt;author&gt;Zarca, K&lt;/author&gt;&lt;author&gt;Durand-Zaleski, I&lt;/author&gt;&lt;author&gt;Roux, C&lt;/author&gt;&lt;author&gt;Souberbielle, JC&lt;/author&gt;&lt;author&gt;Schott, AM&lt;/author&gt;&lt;author&gt;Thomas, T&lt;/author&gt;&lt;author&gt;Fardellone, P&lt;/author&gt;&lt;author&gt;Benhamou, CL&lt;/author&gt;&lt;/authors&gt;&lt;/contributors&gt;&lt;titles&gt;&lt;title&gt;Cost-effectiveness analysis of hip fracture prevention with vitamin D supplementation: a Markov micro-simulation model applied to the French population over 65 years old without previous hip fracture&lt;/title&gt;&lt;secondary-title&gt;Osteoporosis International&lt;/secondary-title&gt;&lt;/titles&gt;&lt;periodical&gt;&lt;full-title&gt;Osteoporosis International&lt;/full-title&gt;&lt;/periodical&gt;&lt;pages&gt;1797-1806&lt;/pages&gt;&lt;volume&gt;25&lt;/volume&gt;&lt;number&gt;6&lt;/number&gt;&lt;dates&gt;&lt;year&gt;2014&lt;/year&gt;&lt;/dates&gt;&lt;isbn&gt;0937-941X&lt;/isbn&gt;&lt;urls&gt;&lt;/urls&gt;&lt;/record&gt;&lt;/Cite&gt;&lt;/EndNote&gt;</w:instrText>
      </w:r>
      <w:r w:rsidR="007D26A9" w:rsidRPr="004C78D8">
        <w:fldChar w:fldCharType="separate"/>
      </w:r>
      <w:r w:rsidR="00C630FC" w:rsidRPr="004C78D8">
        <w:rPr>
          <w:noProof/>
        </w:rPr>
        <w:t>[368]</w:t>
      </w:r>
      <w:r w:rsidR="007D26A9" w:rsidRPr="004C78D8">
        <w:fldChar w:fldCharType="end"/>
      </w:r>
      <w:r w:rsidR="007D26A9" w:rsidRPr="004C78D8">
        <w:t xml:space="preserve"> </w:t>
      </w:r>
      <w:r w:rsidR="001746EA" w:rsidRPr="004C78D8">
        <w:t xml:space="preserve">as cost-effective interventions under lifetime horizon CUA </w:t>
      </w:r>
      <w:r w:rsidR="00B10079" w:rsidRPr="004C78D8">
        <w:t xml:space="preserve">conducted by validated models </w:t>
      </w:r>
      <w:r w:rsidR="001746EA" w:rsidRPr="004C78D8">
        <w:t>(</w:t>
      </w:r>
      <w:r w:rsidR="001746EA" w:rsidRPr="00972766">
        <w:t xml:space="preserve">Section </w:t>
      </w:r>
      <w:r w:rsidR="003C0EE9" w:rsidRPr="00972766">
        <w:t>4</w:t>
      </w:r>
      <w:r w:rsidR="001746EA" w:rsidRPr="00972766">
        <w:t>.6.2</w:t>
      </w:r>
      <w:r w:rsidR="001746EA" w:rsidRPr="004C78D8">
        <w:t>).</w:t>
      </w:r>
      <w:r w:rsidR="00B10079" w:rsidRPr="004C78D8">
        <w:t xml:space="preserve"> Comparisons can be drawn for interventions (a) and (b). </w:t>
      </w:r>
      <w:r w:rsidR="00DC719B" w:rsidRPr="004C78D8">
        <w:t xml:space="preserve">A caveat is that the </w:t>
      </w:r>
      <w:r w:rsidR="00986CE9" w:rsidRPr="004C78D8">
        <w:t xml:space="preserve">current </w:t>
      </w:r>
      <w:r w:rsidR="00DC719B" w:rsidRPr="004C78D8">
        <w:t xml:space="preserve">model takes a 40-year horizon </w:t>
      </w:r>
      <w:r w:rsidR="00986CE9" w:rsidRPr="004C78D8">
        <w:t xml:space="preserve">which limited the evaluation horizon for the </w:t>
      </w:r>
      <w:r w:rsidR="00DC719B" w:rsidRPr="004C78D8">
        <w:t>incoming cohorts</w:t>
      </w:r>
      <w:r w:rsidR="00BE1233" w:rsidRPr="004C78D8">
        <w:t>, although</w:t>
      </w:r>
      <w:r w:rsidR="00986CE9" w:rsidRPr="004C78D8">
        <w:t xml:space="preserve"> as noted in </w:t>
      </w:r>
      <w:r w:rsidR="00986CE9" w:rsidRPr="00972766">
        <w:t xml:space="preserve">Section </w:t>
      </w:r>
      <w:r w:rsidR="003C0EE9" w:rsidRPr="00972766">
        <w:t>6</w:t>
      </w:r>
      <w:r w:rsidR="00986CE9" w:rsidRPr="00972766">
        <w:t>.</w:t>
      </w:r>
      <w:r w:rsidR="003C0EE9" w:rsidRPr="00972766">
        <w:t>2</w:t>
      </w:r>
      <w:r w:rsidR="00986CE9" w:rsidRPr="00972766">
        <w:t>.</w:t>
      </w:r>
      <w:r w:rsidR="003C0EE9" w:rsidRPr="00972766">
        <w:t>5</w:t>
      </w:r>
      <w:r w:rsidR="00986CE9" w:rsidRPr="00972766">
        <w:t>.1</w:t>
      </w:r>
      <w:r w:rsidR="00986CE9" w:rsidRPr="004C78D8">
        <w:t xml:space="preserve">, extending the evaluation horizon to 80 years produced similar results </w:t>
      </w:r>
      <w:r w:rsidR="00680A44" w:rsidRPr="004C78D8">
        <w:t>to</w:t>
      </w:r>
      <w:r w:rsidR="00986CE9" w:rsidRPr="004C78D8">
        <w:t xml:space="preserve"> the base case</w:t>
      </w:r>
      <w:r w:rsidR="00BE1233" w:rsidRPr="004C78D8">
        <w:t>.</w:t>
      </w:r>
      <w:r w:rsidR="0097460B" w:rsidRPr="004C78D8">
        <w:t xml:space="preserve"> </w:t>
      </w:r>
      <w:r w:rsidR="00BE1233" w:rsidRPr="004C78D8">
        <w:t xml:space="preserve">The results are nevertheless conservative relative to </w:t>
      </w:r>
      <w:r w:rsidR="0047758C" w:rsidRPr="004C78D8">
        <w:t>analys</w:t>
      </w:r>
      <w:r w:rsidR="00617102" w:rsidRPr="004C78D8">
        <w:t>e</w:t>
      </w:r>
      <w:r w:rsidR="0047758C" w:rsidRPr="004C78D8">
        <w:t xml:space="preserve">s with </w:t>
      </w:r>
      <w:r w:rsidR="00BE1233" w:rsidRPr="004C78D8">
        <w:t>lifetime</w:t>
      </w:r>
      <w:r w:rsidR="0097460B" w:rsidRPr="004C78D8">
        <w:t xml:space="preserve"> </w:t>
      </w:r>
      <w:r w:rsidR="00BE1233" w:rsidRPr="004C78D8">
        <w:t xml:space="preserve">evaluation </w:t>
      </w:r>
      <w:r w:rsidR="00BE1233" w:rsidRPr="004C78D8">
        <w:rPr>
          <w:i/>
          <w:iCs/>
        </w:rPr>
        <w:t>and</w:t>
      </w:r>
      <w:r w:rsidR="00BE1233" w:rsidRPr="004C78D8">
        <w:t xml:space="preserve"> </w:t>
      </w:r>
      <w:r w:rsidR="0097460B" w:rsidRPr="004C78D8">
        <w:t>intervention horizon</w:t>
      </w:r>
      <w:r w:rsidR="00BE1233" w:rsidRPr="004C78D8">
        <w:t>s</w:t>
      </w:r>
      <w:r w:rsidR="0097460B" w:rsidRPr="004C78D8">
        <w:t xml:space="preserve"> </w:t>
      </w:r>
      <w:r w:rsidR="00BE1233" w:rsidRPr="004C78D8">
        <w:t>for all cohorts</w:t>
      </w:r>
      <w:r w:rsidR="009C4281" w:rsidRPr="004C78D8">
        <w:t>.</w:t>
      </w:r>
    </w:p>
    <w:p w14:paraId="6D34A07B" w14:textId="2961B3D2" w:rsidR="004D79EA" w:rsidRPr="004C78D8" w:rsidRDefault="006C3FBE" w:rsidP="00FB7C1F">
      <w:r w:rsidRPr="004C78D8">
        <w:t xml:space="preserve">Regarding </w:t>
      </w:r>
      <w:r w:rsidR="00DC719B" w:rsidRPr="004C78D8">
        <w:t xml:space="preserve">intervention </w:t>
      </w:r>
      <w:r w:rsidRPr="004C78D8">
        <w:t xml:space="preserve">(a), </w:t>
      </w:r>
      <w:r w:rsidR="00DC719B" w:rsidRPr="004C78D8">
        <w:t>Johansson (2008) found that it dominated usual care</w:t>
      </w:r>
      <w:r w:rsidR="003E1D83" w:rsidRPr="004C78D8">
        <w:t xml:space="preserve"> in the base case but produced an ICER of around £17,000 per QALY gain</w:t>
      </w:r>
      <w:r w:rsidR="00D16469" w:rsidRPr="004C78D8">
        <w:t>ed</w:t>
      </w:r>
      <w:r w:rsidR="003E1D83" w:rsidRPr="004C78D8">
        <w:t xml:space="preserve"> when costs of added life-years </w:t>
      </w:r>
      <w:r w:rsidR="00557BEB" w:rsidRPr="004C78D8">
        <w:t xml:space="preserve">in the form of net productivity loss </w:t>
      </w:r>
      <w:r w:rsidR="003E1D83" w:rsidRPr="004C78D8">
        <w:t>were included in scenario analysis</w:t>
      </w:r>
      <w:r w:rsidR="00DC719B" w:rsidRPr="004C78D8">
        <w:t xml:space="preserve">. </w:t>
      </w:r>
      <w:r w:rsidR="003E1D83" w:rsidRPr="004C78D8">
        <w:t xml:space="preserve">The latter is arguably closer to the analytic approach in this study since the </w:t>
      </w:r>
      <w:r w:rsidR="00A62A4B" w:rsidRPr="004C78D8">
        <w:t xml:space="preserve">current </w:t>
      </w:r>
      <w:r w:rsidR="003E1D83" w:rsidRPr="004C78D8">
        <w:t>model incorporates comorbidity care costs</w:t>
      </w:r>
      <w:r w:rsidR="00557BEB" w:rsidRPr="004C78D8">
        <w:t xml:space="preserve"> as well as productivity level</w:t>
      </w:r>
      <w:r w:rsidR="003E1D83" w:rsidRPr="004C78D8">
        <w:t xml:space="preserve">. </w:t>
      </w:r>
      <w:r w:rsidR="00557BEB" w:rsidRPr="004C78D8">
        <w:t xml:space="preserve">The current </w:t>
      </w:r>
      <w:r w:rsidRPr="004C78D8">
        <w:t xml:space="preserve">model found that </w:t>
      </w:r>
      <w:r w:rsidR="00912418" w:rsidRPr="004C78D8">
        <w:t xml:space="preserve">strategies [18] and [19] </w:t>
      </w:r>
      <w:r w:rsidR="001B4E5B" w:rsidRPr="004C78D8">
        <w:t>that involved</w:t>
      </w:r>
      <w:r w:rsidR="00912418" w:rsidRPr="004C78D8">
        <w:t xml:space="preserve"> </w:t>
      </w:r>
      <w:r w:rsidR="007D26A9" w:rsidRPr="004C78D8">
        <w:t>combination</w:t>
      </w:r>
      <w:r w:rsidR="00912418" w:rsidRPr="004C78D8">
        <w:t>s</w:t>
      </w:r>
      <w:r w:rsidR="007D26A9" w:rsidRPr="004C78D8">
        <w:t xml:space="preserve"> of </w:t>
      </w:r>
      <w:r w:rsidR="00912418" w:rsidRPr="004C78D8">
        <w:t xml:space="preserve">universal or targeted environmental FH removal and </w:t>
      </w:r>
      <w:r w:rsidR="007D26A9" w:rsidRPr="004C78D8">
        <w:t xml:space="preserve">CRC scenario (4) encompassing multifactorial intervention in </w:t>
      </w:r>
      <w:r w:rsidR="00912418" w:rsidRPr="004C78D8">
        <w:t>its</w:t>
      </w:r>
      <w:r w:rsidR="007D26A9" w:rsidRPr="004C78D8">
        <w:t xml:space="preserve"> reactive and proactive pathways </w:t>
      </w:r>
      <w:r w:rsidR="00912418" w:rsidRPr="004C78D8">
        <w:t xml:space="preserve">were two of eight commissioning candidates (Table </w:t>
      </w:r>
      <w:r w:rsidR="006D236B" w:rsidRPr="004C78D8">
        <w:t>6</w:t>
      </w:r>
      <w:r w:rsidR="00912418" w:rsidRPr="004C78D8">
        <w:t>.</w:t>
      </w:r>
      <w:r w:rsidR="006D236B" w:rsidRPr="004C78D8">
        <w:t>22</w:t>
      </w:r>
      <w:r w:rsidR="00912418" w:rsidRPr="004C78D8">
        <w:t>).</w:t>
      </w:r>
      <w:r w:rsidR="00DC719B" w:rsidRPr="004C78D8">
        <w:t xml:space="preserve"> The societal ICER</w:t>
      </w:r>
      <w:r w:rsidR="00557BEB" w:rsidRPr="004C78D8">
        <w:t>s</w:t>
      </w:r>
      <w:r w:rsidR="00DC719B" w:rsidRPr="004C78D8">
        <w:t xml:space="preserve"> </w:t>
      </w:r>
      <w:r w:rsidR="0024147D" w:rsidRPr="004C78D8">
        <w:t xml:space="preserve">relative to UC </w:t>
      </w:r>
      <w:r w:rsidR="003E1D83" w:rsidRPr="004C78D8">
        <w:t>considering all-cause costs were £8,658 and £10,651 per QALY gain</w:t>
      </w:r>
      <w:r w:rsidR="00D16469" w:rsidRPr="004C78D8">
        <w:t>ed</w:t>
      </w:r>
      <w:r w:rsidR="003E1D83" w:rsidRPr="004C78D8">
        <w:t xml:space="preserve"> for strategies [18] and [19], respectively. </w:t>
      </w:r>
      <w:r w:rsidR="00557BEB" w:rsidRPr="004C78D8">
        <w:t xml:space="preserve">They were hence </w:t>
      </w:r>
      <w:r w:rsidR="001B4E5B" w:rsidRPr="004C78D8">
        <w:t>markedly</w:t>
      </w:r>
      <w:r w:rsidR="00557BEB" w:rsidRPr="004C78D8">
        <w:t xml:space="preserve"> lower than the ICER of £17,000 per QALY </w:t>
      </w:r>
      <w:r w:rsidR="001B4E5B" w:rsidRPr="004C78D8">
        <w:t>gain</w:t>
      </w:r>
      <w:r w:rsidR="00D16469" w:rsidRPr="004C78D8">
        <w:t>ed</w:t>
      </w:r>
      <w:r w:rsidR="001B4E5B" w:rsidRPr="004C78D8">
        <w:t xml:space="preserve"> in</w:t>
      </w:r>
      <w:r w:rsidR="00557BEB" w:rsidRPr="004C78D8">
        <w:t xml:space="preserve"> Johansson (2008). </w:t>
      </w:r>
      <w:r w:rsidR="001445ED" w:rsidRPr="004C78D8">
        <w:t xml:space="preserve">The divergence can be partially attributed to the characterisation of the costs of added life-years as unambiguous net productivity </w:t>
      </w:r>
      <w:r w:rsidR="001445ED" w:rsidRPr="004C78D8">
        <w:rPr>
          <w:i/>
          <w:iCs/>
        </w:rPr>
        <w:t>loss</w:t>
      </w:r>
      <w:r w:rsidR="001445ED" w:rsidRPr="004C78D8">
        <w:t xml:space="preserve"> in Johansson (2008); the costs varied only by age group, meaning that </w:t>
      </w:r>
      <w:r w:rsidR="0024147D" w:rsidRPr="004C78D8">
        <w:t>the loss</w:t>
      </w:r>
      <w:r w:rsidR="001445ED" w:rsidRPr="004C78D8">
        <w:t xml:space="preserve"> could not be reduced by falls prevention. By contrast, </w:t>
      </w:r>
      <w:r w:rsidR="00CD23D6" w:rsidRPr="004C78D8">
        <w:t>th</w:t>
      </w:r>
      <w:r w:rsidR="001B4E5B" w:rsidRPr="004C78D8">
        <w:t>e current</w:t>
      </w:r>
      <w:r w:rsidR="00CD23D6" w:rsidRPr="004C78D8">
        <w:t xml:space="preserve"> model allowed comorbidity care costs and productivity level to vary by frailty and thus by </w:t>
      </w:r>
      <w:r w:rsidR="0024147D" w:rsidRPr="004C78D8">
        <w:t xml:space="preserve">the </w:t>
      </w:r>
      <w:r w:rsidR="00CD23D6" w:rsidRPr="004C78D8">
        <w:t xml:space="preserve">intervention effect on frailty reduction. This generated net productivity gains worth £36.8 million and £25.6 million for strategies [18] and [19], respectively (Table </w:t>
      </w:r>
      <w:r w:rsidR="006D236B" w:rsidRPr="004C78D8">
        <w:t>F2</w:t>
      </w:r>
      <w:r w:rsidR="00052530" w:rsidRPr="004C78D8">
        <w:t>1</w:t>
      </w:r>
      <w:r w:rsidR="00CD23D6" w:rsidRPr="004C78D8">
        <w:t>).</w:t>
      </w:r>
    </w:p>
    <w:p w14:paraId="4D195569" w14:textId="3873ACD6" w:rsidR="00996C53" w:rsidRPr="004C78D8" w:rsidRDefault="00996C53" w:rsidP="00FB7C1F">
      <w:r w:rsidRPr="004C78D8">
        <w:t xml:space="preserve">Incidentally, another model that evaluated intervention (a) under a five-year horizon is Beard (2006) </w:t>
      </w:r>
      <w:r w:rsidRPr="004C78D8">
        <w:fldChar w:fldCharType="begin"/>
      </w:r>
      <w:r w:rsidR="00513646" w:rsidRPr="004C78D8">
        <w:instrText xml:space="preserve"> ADDIN EN.CITE &lt;EndNote&gt;&lt;Cite&gt;&lt;Author&gt;Beard&lt;/Author&gt;&lt;Year&gt;2006&lt;/Year&gt;&lt;RecNum&gt;287&lt;/RecNum&gt;&lt;DisplayText&gt;[127]&lt;/DisplayText&gt;&lt;record&gt;&lt;rec-number&gt;287&lt;/rec-number&gt;&lt;foreign-keys&gt;&lt;key app="EN" db-id="tdtrdw9aepptzbefsat599syza29sxsd2wsp" timestamp="1611700753"&gt;287&lt;/key&gt;&lt;/foreign-keys&gt;&lt;ref-type name="Journal Article"&gt;17&lt;/ref-type&gt;&lt;contributors&gt;&lt;authors&gt;&lt;author&gt;Beard, J.&lt;/author&gt;&lt;author&gt;Rowell, D.&lt;/author&gt;&lt;author&gt;Scott, D.&lt;/author&gt;&lt;author&gt;van Beurden, E.&lt;/author&gt;&lt;author&gt;Barnett, L.&lt;/author&gt;&lt;author&gt;Hughes, K.&lt;/author&gt;&lt;author&gt;Newman, B.&lt;/author&gt;&lt;/authors&gt;&lt;/contributors&gt;&lt;auth-address&gt;Northern Rivers University Department of Rural Health, University of Sydney, Southern Cross University, PO Box 3074, Lismore NSW 2480, Australia. jbeard@med.usyd.edu.au&lt;/auth-address&gt;&lt;titles&gt;&lt;title&gt;Economic analysis of a community-based falls prevention program&lt;/title&gt;&lt;secondary-title&gt;Public Health&lt;/secondary-title&gt;&lt;/titles&gt;&lt;periodical&gt;&lt;full-title&gt;Public Health&lt;/full-title&gt;&lt;/periodical&gt;&lt;pages&gt;742-51&lt;/pages&gt;&lt;volume&gt;120&lt;/volume&gt;&lt;number&gt;8&lt;/number&gt;&lt;keywords&gt;&lt;keyword&gt;Accidental Falls/*prevention &amp;amp; control&lt;/keyword&gt;&lt;keyword&gt;Aged&lt;/keyword&gt;&lt;keyword&gt;Community Health Services/*economics&lt;/keyword&gt;&lt;keyword&gt;Cost-Benefit Analysis&lt;/keyword&gt;&lt;keyword&gt;Health Promotion/economics/methods&lt;/keyword&gt;&lt;keyword&gt;Hospitalization/economics&lt;/keyword&gt;&lt;keyword&gt;Humans&lt;/keyword&gt;&lt;/keywords&gt;&lt;dates&gt;&lt;year&gt;2006&lt;/year&gt;&lt;pub-dates&gt;&lt;date&gt;Aug&lt;/date&gt;&lt;/pub-dates&gt;&lt;/dates&gt;&lt;isbn&gt;0033-3506 (Print)&amp;#xD;0033-3506 (Linking)&lt;/isbn&gt;&lt;accession-num&gt;16824563&lt;/accession-num&gt;&lt;urls&gt;&lt;related-urls&gt;&lt;url&gt;https://www.ncbi.nlm.nih.gov/pubmed/16824563&lt;/url&gt;&lt;/related-urls&gt;&lt;/urls&gt;&lt;electronic-resource-num&gt;10.1016/j.puhe.2006.04.011&lt;/electronic-resource-num&gt;&lt;/record&gt;&lt;/Cite&gt;&lt;/EndNote&gt;</w:instrText>
      </w:r>
      <w:r w:rsidRPr="004C78D8">
        <w:fldChar w:fldCharType="separate"/>
      </w:r>
      <w:r w:rsidR="00513646" w:rsidRPr="004C78D8">
        <w:rPr>
          <w:noProof/>
        </w:rPr>
        <w:t>[127]</w:t>
      </w:r>
      <w:r w:rsidRPr="004C78D8">
        <w:fldChar w:fldCharType="end"/>
      </w:r>
      <w:r w:rsidRPr="004C78D8">
        <w:t>. This study used data from quasi-experimental evaluation and found the intervention to dominate usual care</w:t>
      </w:r>
      <w:r w:rsidR="001B4E5B" w:rsidRPr="004C78D8">
        <w:t xml:space="preserve">; </w:t>
      </w:r>
      <w:r w:rsidRPr="004C78D8">
        <w:t xml:space="preserve">ROI under the ‘worst case scenario’ was 6.3. By contrast, the five-year ROI for strategy [19] was 0.337. A key difference was the intervention cost: Beard (2006) reports the annual intervention cost of AUS$213,161 in 1992, equivalent to £205,925 in 2021 price; the intervention targeted a community with 90,000 older persons, making the annual intervention cost just £2.29 per person. In comparison, the current model used cost data from Johansson (2008) which amounted to £66.36 per person (Section </w:t>
      </w:r>
      <w:r w:rsidR="006D236B" w:rsidRPr="004C78D8">
        <w:t>6</w:t>
      </w:r>
      <w:r w:rsidRPr="004C78D8">
        <w:t>.3.</w:t>
      </w:r>
      <w:r w:rsidR="006D236B" w:rsidRPr="004C78D8">
        <w:t>1</w:t>
      </w:r>
      <w:r w:rsidRPr="004C78D8">
        <w:t xml:space="preserve">.5). Intervention effectiveness was also higher in Beard (2006): the intervention generated a statistically significant 20% reduction in the number of hospitalised falls, compared to 14.1% </w:t>
      </w:r>
      <w:r w:rsidR="001B4E5B" w:rsidRPr="004C78D8">
        <w:t>for</w:t>
      </w:r>
      <w:r w:rsidRPr="004C78D8">
        <w:t xml:space="preserve"> strategy [19] vs. UC. Hence, the key question is whether the intervention configuration in Beard (2006) can be replicated. </w:t>
      </w:r>
      <w:r w:rsidR="000037C8" w:rsidRPr="004C78D8">
        <w:t>The substantially higher intervention cost</w:t>
      </w:r>
      <w:r w:rsidRPr="004C78D8">
        <w:t xml:space="preserve"> in Johansson (2008), </w:t>
      </w:r>
      <w:r w:rsidR="000037C8" w:rsidRPr="004C78D8">
        <w:t xml:space="preserve">also from an internal intervention study, </w:t>
      </w:r>
      <w:r w:rsidRPr="004C78D8">
        <w:t>suggest</w:t>
      </w:r>
      <w:r w:rsidR="000037C8" w:rsidRPr="004C78D8">
        <w:t>s</w:t>
      </w:r>
      <w:r w:rsidRPr="004C78D8">
        <w:t xml:space="preserve"> that not all programmes can replicate the cost in Beard (2006). Nevertheless, it </w:t>
      </w:r>
      <w:r w:rsidR="00BB6CB6" w:rsidRPr="004C78D8">
        <w:t>may be</w:t>
      </w:r>
      <w:r w:rsidRPr="004C78D8">
        <w:t xml:space="preserve"> that the current model has underestimated the </w:t>
      </w:r>
      <w:r w:rsidR="00BB6CB6" w:rsidRPr="004C78D8">
        <w:t>efficiency</w:t>
      </w:r>
      <w:r w:rsidRPr="004C78D8">
        <w:t xml:space="preserve"> of </w:t>
      </w:r>
      <w:r w:rsidR="000037C8" w:rsidRPr="004C78D8">
        <w:t>strategy [19]</w:t>
      </w:r>
      <w:r w:rsidRPr="004C78D8">
        <w:t>.</w:t>
      </w:r>
    </w:p>
    <w:p w14:paraId="709E15FE" w14:textId="40121C14" w:rsidR="00CD23D6" w:rsidRPr="004C78D8" w:rsidRDefault="00E1312B" w:rsidP="00FB7C1F">
      <w:r w:rsidRPr="004C78D8">
        <w:t xml:space="preserve">Regarding intervention (b), Nshimyumukiza (2013) found that it dominated </w:t>
      </w:r>
      <w:r w:rsidR="009F6D40" w:rsidRPr="004C78D8">
        <w:t>‘</w:t>
      </w:r>
      <w:r w:rsidRPr="004C78D8">
        <w:t>no intervention</w:t>
      </w:r>
      <w:r w:rsidR="009F6D40" w:rsidRPr="004C78D8">
        <w:t>’</w:t>
      </w:r>
      <w:r w:rsidRPr="004C78D8">
        <w:t xml:space="preserve">. </w:t>
      </w:r>
      <w:r w:rsidR="009F6D40" w:rsidRPr="004C78D8">
        <w:t>T</w:t>
      </w:r>
      <w:r w:rsidR="009859D3" w:rsidRPr="004C78D8">
        <w:t>he current</w:t>
      </w:r>
      <w:r w:rsidRPr="004C78D8">
        <w:t xml:space="preserve"> model found that both targeted and universal physical activity promotions, i.e., strategies [1] and [3], respectively, were highly cost-effective </w:t>
      </w:r>
      <w:r w:rsidR="009F6D40" w:rsidRPr="004C78D8">
        <w:t>vs.</w:t>
      </w:r>
      <w:r w:rsidRPr="004C78D8">
        <w:t xml:space="preserve"> </w:t>
      </w:r>
      <w:r w:rsidR="0024147D" w:rsidRPr="004C78D8">
        <w:t>UC</w:t>
      </w:r>
      <w:r w:rsidR="009D150D" w:rsidRPr="004C78D8">
        <w:t xml:space="preserve"> with societal ICERs of £1,692 and £2,110 per QALY gain</w:t>
      </w:r>
      <w:r w:rsidR="00D16469" w:rsidRPr="004C78D8">
        <w:t>ed</w:t>
      </w:r>
      <w:r w:rsidR="009D150D" w:rsidRPr="004C78D8">
        <w:t xml:space="preserve">. The superior result of dominance in Nshimyumukiza (2013) </w:t>
      </w:r>
      <w:r w:rsidR="0024147D" w:rsidRPr="004C78D8">
        <w:t>can</w:t>
      </w:r>
      <w:r w:rsidR="009D150D" w:rsidRPr="004C78D8">
        <w:t xml:space="preserve"> be attributed to the </w:t>
      </w:r>
      <w:r w:rsidR="008C0F9A" w:rsidRPr="004C78D8">
        <w:t>higher efficacy parameter: th</w:t>
      </w:r>
      <w:r w:rsidR="009859D3" w:rsidRPr="004C78D8">
        <w:t>e current</w:t>
      </w:r>
      <w:r w:rsidR="008C0F9A" w:rsidRPr="004C78D8">
        <w:t xml:space="preserve"> model conservatively assumed efficacy of 5% increase in the likelihood of engaging in high physical activity, while Nshimyumukiza (2013) incorporated efficacy of </w:t>
      </w:r>
      <w:r w:rsidR="00B649B3" w:rsidRPr="004C78D8">
        <w:t>38% reduction in hip fracture risk. The per-capita cost of PA promotion was the same in both models.</w:t>
      </w:r>
      <w:r w:rsidR="008C0F9A" w:rsidRPr="004C78D8">
        <w:t xml:space="preserve"> </w:t>
      </w:r>
      <w:r w:rsidR="00B649B3" w:rsidRPr="004C78D8">
        <w:t>However, th</w:t>
      </w:r>
      <w:r w:rsidR="009859D3" w:rsidRPr="004C78D8">
        <w:t>e current</w:t>
      </w:r>
      <w:r w:rsidR="00B649B3" w:rsidRPr="004C78D8">
        <w:t xml:space="preserve"> model also estimated the equity impacts of PA promotions and found a regressive impact for universal PA promotion (Table </w:t>
      </w:r>
      <w:r w:rsidR="009227B9" w:rsidRPr="004C78D8">
        <w:t>6</w:t>
      </w:r>
      <w:r w:rsidR="00B649B3" w:rsidRPr="004C78D8">
        <w:t>.</w:t>
      </w:r>
      <w:r w:rsidR="009227B9" w:rsidRPr="004C78D8">
        <w:t>17</w:t>
      </w:r>
      <w:r w:rsidR="00B649B3" w:rsidRPr="004C78D8">
        <w:t>). Hence, unlike Nshimyumukiza (2013), th</w:t>
      </w:r>
      <w:r w:rsidR="009859D3" w:rsidRPr="004C78D8">
        <w:t xml:space="preserve">e current model </w:t>
      </w:r>
      <w:r w:rsidR="00B649B3" w:rsidRPr="004C78D8">
        <w:t>would recommend PA promotion be targeted at socially vulnerable subgroups.</w:t>
      </w:r>
    </w:p>
    <w:p w14:paraId="066A47C5" w14:textId="60BBD7A0" w:rsidR="00B649B3" w:rsidRPr="004C78D8" w:rsidRDefault="005A4EDD" w:rsidP="00FB7C1F">
      <w:r w:rsidRPr="004C78D8">
        <w:t>Other</w:t>
      </w:r>
      <w:r w:rsidR="00AC232E" w:rsidRPr="004C78D8">
        <w:t xml:space="preserve"> results from lifetime CUAs can be noted (Table </w:t>
      </w:r>
      <w:r w:rsidR="009227B9" w:rsidRPr="004C78D8">
        <w:t>4</w:t>
      </w:r>
      <w:r w:rsidR="00AC232E" w:rsidRPr="004C78D8">
        <w:t>.16).</w:t>
      </w:r>
      <w:r w:rsidR="00FC6733" w:rsidRPr="004C78D8">
        <w:t xml:space="preserve"> Eldridge (2005) estimated that the three-pathway strategy implemented in UK setting would have reduced the number of fallers by 11.3% </w:t>
      </w:r>
      <w:r w:rsidR="00FC6655" w:rsidRPr="004C78D8">
        <w:t xml:space="preserve">over one year </w:t>
      </w:r>
      <w:r w:rsidR="00FC6733" w:rsidRPr="004C78D8">
        <w:t xml:space="preserve">if the </w:t>
      </w:r>
      <w:r w:rsidR="00FC6655" w:rsidRPr="004C78D8">
        <w:t>falls risk</w:t>
      </w:r>
      <w:r w:rsidR="00FC6733" w:rsidRPr="004C78D8">
        <w:t xml:space="preserve"> screening </w:t>
      </w:r>
      <w:r w:rsidR="00FC6655" w:rsidRPr="004C78D8">
        <w:t xml:space="preserve">level </w:t>
      </w:r>
      <w:r w:rsidR="00FC6733" w:rsidRPr="004C78D8">
        <w:t>reached 100% (from 6.5% in base case)</w:t>
      </w:r>
      <w:r w:rsidR="00FC6655" w:rsidRPr="004C78D8">
        <w:t xml:space="preserve"> </w:t>
      </w:r>
      <w:r w:rsidR="00FC6655" w:rsidRPr="004C78D8">
        <w:fldChar w:fldCharType="begin"/>
      </w:r>
      <w:r w:rsidR="00C630FC" w:rsidRPr="004C78D8">
        <w:instrText xml:space="preserve"> ADDIN EN.CITE &lt;EndNote&gt;&lt;Cite&gt;&lt;Author&gt;Eldridge&lt;/Author&gt;&lt;Year&gt;2005&lt;/Year&gt;&lt;RecNum&gt;397&lt;/RecNum&gt;&lt;DisplayText&gt;[274]&lt;/DisplayText&gt;&lt;record&gt;&lt;rec-number&gt;397&lt;/rec-number&gt;&lt;foreign-keys&gt;&lt;key app="EN" db-id="tdtrdw9aepptzbefsat599syza29sxsd2wsp" timestamp="1612694614"&gt;397&lt;/key&gt;&lt;/foreign-keys&gt;&lt;ref-type name="Journal Article"&gt;17&lt;/ref-type&gt;&lt;contributors&gt;&lt;authors&gt;&lt;author&gt;Eldridge, Sandra&lt;/author&gt;&lt;author&gt;Spencer, Anne&lt;/author&gt;&lt;author&gt;Cryer, Colin&lt;/author&gt;&lt;author&gt;Parsons, Suzanne&lt;/author&gt;&lt;author&gt;Underwood, Martin&lt;/author&gt;&lt;author&gt;Feder, Gene&lt;/author&gt;&lt;/authors&gt;&lt;/contributors&gt;&lt;titles&gt;&lt;title&gt;Why modelling a complex intervention is an important precursor to trial design: lessons from studying an intervention to reduce falls-related injuries in older people&lt;/title&gt;&lt;secondary-title&gt;Journal of health services research &amp;amp; policy&lt;/secondary-title&gt;&lt;/titles&gt;&lt;periodical&gt;&lt;full-title&gt;Journal of health services research &amp;amp; policy&lt;/full-title&gt;&lt;/periodical&gt;&lt;pages&gt;133-42&lt;/pages&gt;&lt;volume&gt;10&lt;/volume&gt;&lt;number&gt;3&lt;/number&gt;&lt;section&gt;Eldridge, Sandra. Department of General Practice and Primary Care, Queen Mary University of London, UK. s.elridge@qmul.ac.uk&lt;/section&gt;&lt;keywords&gt;&lt;keyword&gt;*Accidental Falls/pc [Prevention &amp;amp; Control]&lt;/keyword&gt;&lt;keyword&gt;Aged&lt;/keyword&gt;&lt;keyword&gt;Aged, 80 and over&lt;/keyword&gt;&lt;keyword&gt;Cost-Benefit Analysis&lt;/keyword&gt;&lt;keyword&gt;*Decision Support Techniques&lt;/keyword&gt;&lt;keyword&gt;Humans&lt;/keyword&gt;&lt;keyword&gt;Markov Chains&lt;/keyword&gt;&lt;keyword&gt;Pilot Projects&lt;/keyword&gt;&lt;keyword&gt;State Medicine&lt;/keyword&gt;&lt;keyword&gt;United Kingdom&lt;/keyword&gt;&lt;/keywords&gt;&lt;dates&gt;&lt;year&gt;2005&lt;/year&gt;&lt;/dates&gt;&lt;pub-location&gt;England&lt;/pub-location&gt;&lt;isbn&gt;1355-8196&lt;/isbn&gt;&lt;urls&gt;&lt;related-urls&gt;&lt;url&gt;http://ovidsp.ovid.com/ovidweb.cgi?T=JS&amp;amp;PAGE=reference&amp;amp;D=med5&amp;amp;NEWS=N&amp;amp;AN=16053589&lt;/url&gt;&lt;/related-urls&gt;&lt;/urls&gt;&lt;remote-database-name&gt;Medline&lt;/remote-database-name&gt;&lt;/record&gt;&lt;/Cite&gt;&lt;/EndNote&gt;</w:instrText>
      </w:r>
      <w:r w:rsidR="00FC6655" w:rsidRPr="004C78D8">
        <w:fldChar w:fldCharType="separate"/>
      </w:r>
      <w:r w:rsidR="00C630FC" w:rsidRPr="004C78D8">
        <w:rPr>
          <w:noProof/>
        </w:rPr>
        <w:t>[274]</w:t>
      </w:r>
      <w:r w:rsidR="00FC6655" w:rsidRPr="004C78D8">
        <w:fldChar w:fldCharType="end"/>
      </w:r>
      <w:r w:rsidR="00FC6655" w:rsidRPr="004C78D8">
        <w:t xml:space="preserve">. In comparison, the current model (which incorporated 100% screening under RC) estimated 6.4% reduction in person-years of any fall over the 40-year horizon </w:t>
      </w:r>
      <w:r w:rsidR="009F6D40" w:rsidRPr="004C78D8">
        <w:t>vs.</w:t>
      </w:r>
      <w:r w:rsidR="00FC6655" w:rsidRPr="004C78D8">
        <w:t xml:space="preserve"> UC (Figure </w:t>
      </w:r>
      <w:r w:rsidR="009227B9" w:rsidRPr="004C78D8">
        <w:t>6</w:t>
      </w:r>
      <w:r w:rsidR="00FC6655" w:rsidRPr="004C78D8">
        <w:t xml:space="preserve">.1). The divergence could partially be attributed to the higher efficacy estimate in Eldridge (2005) who incorporated an estimate of 36% reduction in number of fallers; by contrast, only one of the RCT-based estimates in the current model reached such efficacy (Table </w:t>
      </w:r>
      <w:r w:rsidR="009227B9" w:rsidRPr="004C78D8">
        <w:t>5</w:t>
      </w:r>
      <w:r w:rsidR="00FC6655" w:rsidRPr="004C78D8">
        <w:t>.3</w:t>
      </w:r>
      <w:r w:rsidR="000231A9" w:rsidRPr="004C78D8">
        <w:t>5</w:t>
      </w:r>
      <w:r w:rsidR="00FC6655" w:rsidRPr="004C78D8">
        <w:t>). RCN (200</w:t>
      </w:r>
      <w:r w:rsidR="002700AD" w:rsidRPr="004C78D8">
        <w:t>5</w:t>
      </w:r>
      <w:r w:rsidR="00FC6655" w:rsidRPr="004C78D8">
        <w:t xml:space="preserve">) </w:t>
      </w:r>
      <w:r w:rsidR="009A5B94" w:rsidRPr="004C78D8">
        <w:t xml:space="preserve">evaluated a multifactorial intervention in </w:t>
      </w:r>
      <w:r w:rsidR="003B1915">
        <w:t xml:space="preserve">the </w:t>
      </w:r>
      <w:r w:rsidR="009A5B94" w:rsidRPr="004C78D8">
        <w:t>UK setting and found it dominat</w:t>
      </w:r>
      <w:r w:rsidR="003B1915">
        <w:t>ed</w:t>
      </w:r>
      <w:r w:rsidR="009A5B94" w:rsidRPr="004C78D8">
        <w:t xml:space="preserve"> </w:t>
      </w:r>
      <w:r w:rsidR="009F6D40" w:rsidRPr="004C78D8">
        <w:t>‘</w:t>
      </w:r>
      <w:r w:rsidR="009A5B94" w:rsidRPr="004C78D8">
        <w:t>no intervention</w:t>
      </w:r>
      <w:r w:rsidR="009F6D40" w:rsidRPr="004C78D8">
        <w:t>’</w:t>
      </w:r>
      <w:r w:rsidR="009A5B94" w:rsidRPr="004C78D8">
        <w:t xml:space="preserve"> </w:t>
      </w:r>
      <w:r w:rsidR="009A5B94" w:rsidRPr="004C78D8">
        <w:fldChar w:fldCharType="begin"/>
      </w:r>
      <w:r w:rsidR="00513646" w:rsidRPr="004C78D8">
        <w:instrText xml:space="preserve"> ADDIN EN.CITE &lt;EndNote&gt;&lt;Cite&gt;&lt;Author&gt;Royal College of Nursing&lt;/Author&gt;&lt;Year&gt;2005&lt;/Year&gt;&lt;RecNum&gt;294&lt;/RecNum&gt;&lt;DisplayText&gt;[146]&lt;/DisplayText&gt;&lt;record&gt;&lt;rec-number&gt;294&lt;/rec-number&gt;&lt;foreign-keys&gt;&lt;key app="EN" db-id="tdtrdw9aepptzbefsat599syza29sxsd2wsp" timestamp="1611870926"&gt;294&lt;/key&gt;&lt;/foreign-keys&gt;&lt;ref-type name="Journal Article"&gt;17&lt;/ref-type&gt;&lt;contributors&gt;&lt;authors&gt;&lt;author&gt;Royal College of Nursing,&lt;/author&gt;&lt;/authors&gt;&lt;/contributors&gt;&lt;titles&gt;&lt;title&gt;Clinical practice guideline for the assessment and prevention of falls in older people&lt;/title&gt;&lt;secondary-title&gt;Clinical Practice Guidelines&lt;/secondary-title&gt;&lt;/titles&gt;&lt;periodical&gt;&lt;full-title&gt;Clinical Practice Guidelines&lt;/full-title&gt;&lt;/periodical&gt;&lt;volume&gt;London: Royal College of Nursing&lt;/volume&gt;&lt;dates&gt;&lt;year&gt;2005&lt;/year&gt;&lt;/dates&gt;&lt;urls&gt;&lt;/urls&gt;&lt;/record&gt;&lt;/Cite&gt;&lt;/EndNote&gt;</w:instrText>
      </w:r>
      <w:r w:rsidR="009A5B94" w:rsidRPr="004C78D8">
        <w:fldChar w:fldCharType="separate"/>
      </w:r>
      <w:r w:rsidR="00513646" w:rsidRPr="004C78D8">
        <w:rPr>
          <w:noProof/>
        </w:rPr>
        <w:t>[146]</w:t>
      </w:r>
      <w:r w:rsidR="009A5B94" w:rsidRPr="004C78D8">
        <w:fldChar w:fldCharType="end"/>
      </w:r>
      <w:r w:rsidR="009A5B94" w:rsidRPr="004C78D8">
        <w:t xml:space="preserve">. The much higher </w:t>
      </w:r>
      <w:r w:rsidR="009F6D40" w:rsidRPr="004C78D8">
        <w:t>efficiency</w:t>
      </w:r>
      <w:r w:rsidR="009A5B94" w:rsidRPr="004C78D8">
        <w:t xml:space="preserve"> in RCN (200</w:t>
      </w:r>
      <w:r w:rsidR="002700AD" w:rsidRPr="004C78D8">
        <w:t>5</w:t>
      </w:r>
      <w:r w:rsidR="009A5B94" w:rsidRPr="004C78D8">
        <w:t xml:space="preserve">) compared to RC or CRC in the current model can partially be attributed to the much lower </w:t>
      </w:r>
      <w:r w:rsidR="009F6D40" w:rsidRPr="004C78D8">
        <w:t xml:space="preserve">intervention </w:t>
      </w:r>
      <w:r w:rsidR="009A5B94" w:rsidRPr="004C78D8">
        <w:t>cost in RCN (200</w:t>
      </w:r>
      <w:r w:rsidR="002700AD" w:rsidRPr="004C78D8">
        <w:t>5</w:t>
      </w:r>
      <w:r w:rsidR="009A5B94" w:rsidRPr="004C78D8">
        <w:t xml:space="preserve">): </w:t>
      </w:r>
      <w:r w:rsidR="00CE0581" w:rsidRPr="004C78D8">
        <w:t>£</w:t>
      </w:r>
      <w:r w:rsidR="0062597B" w:rsidRPr="004C78D8">
        <w:t>239 per participant (in 2021/22 price) in RCN (200</w:t>
      </w:r>
      <w:r w:rsidR="002700AD" w:rsidRPr="004C78D8">
        <w:t>5</w:t>
      </w:r>
      <w:r w:rsidR="0062597B" w:rsidRPr="004C78D8">
        <w:t>) v</w:t>
      </w:r>
      <w:r w:rsidR="009F6D40" w:rsidRPr="004C78D8">
        <w:t>s.</w:t>
      </w:r>
      <w:r w:rsidR="0062597B" w:rsidRPr="004C78D8">
        <w:t xml:space="preserve"> £624 per participant in the current model when fixed cost is translated to per-participant rate (Table </w:t>
      </w:r>
      <w:r w:rsidR="009227B9" w:rsidRPr="004C78D8">
        <w:t>5</w:t>
      </w:r>
      <w:r w:rsidR="0062597B" w:rsidRPr="004C78D8">
        <w:t>.3</w:t>
      </w:r>
      <w:r w:rsidR="000231A9" w:rsidRPr="004C78D8">
        <w:t>2</w:t>
      </w:r>
      <w:r w:rsidR="0062597B" w:rsidRPr="004C78D8">
        <w:t>).</w:t>
      </w:r>
    </w:p>
    <w:p w14:paraId="25661E66" w14:textId="7E879F3C" w:rsidR="0062597B" w:rsidRPr="004C78D8" w:rsidRDefault="00255E82" w:rsidP="00FB7C1F">
      <w:r w:rsidRPr="004C78D8">
        <w:t>Deverall (2018) found single-component group exercise to be highly cost-effective relative to no intervention with ICER of £4,527 per QALY gain</w:t>
      </w:r>
      <w:r w:rsidR="00D16469" w:rsidRPr="004C78D8">
        <w:t>ed</w:t>
      </w:r>
      <w:r w:rsidRPr="004C78D8">
        <w:t xml:space="preserve"> </w:t>
      </w:r>
      <w:r w:rsidRPr="004C78D8">
        <w:fldChar w:fldCharType="begin">
          <w:fldData xml:space="preserve">PEVuZE5vdGU+PENpdGU+PEF1dGhvcj5EZXZlcmFsbDwvQXV0aG9yPjxZZWFyPjIwMTg8L1llYXI+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=
</w:fldData>
        </w:fldChar>
      </w:r>
      <w:r w:rsidR="00C630FC" w:rsidRPr="004C78D8">
        <w:instrText xml:space="preserve"> ADDIN EN.CITE </w:instrText>
      </w:r>
      <w:r w:rsidR="00C630FC" w:rsidRPr="004C78D8">
        <w:fldChar w:fldCharType="begin">
          <w:fldData xml:space="preserve">PEVuZE5vdGU+PENpdGU+PEF1dGhvcj5EZXZlcmFsbDwvQXV0aG9yPjxZZWFyPjIwMTg8L1llYXI+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=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[361]</w:t>
      </w:r>
      <w:r w:rsidRPr="004C78D8">
        <w:fldChar w:fldCharType="end"/>
      </w:r>
      <w:r w:rsidRPr="004C78D8">
        <w:t>. In comparison, the self-referred pathway alone in its RC configuration (strategy [4]) produced an ICER of £4,818 per QALY gain</w:t>
      </w:r>
      <w:r w:rsidR="00D16469" w:rsidRPr="004C78D8">
        <w:t>ed</w:t>
      </w:r>
      <w:r w:rsidRPr="004C78D8">
        <w:t xml:space="preserve"> relative to </w:t>
      </w:r>
      <w:r w:rsidR="000231A9" w:rsidRPr="004C78D8">
        <w:t>UC</w:t>
      </w:r>
      <w:r w:rsidRPr="004C78D8">
        <w:t xml:space="preserve">. However, this strategy was extendedly dominated by </w:t>
      </w:r>
      <w:r w:rsidR="00D36AA9" w:rsidRPr="004C78D8">
        <w:t xml:space="preserve">universal PA promotion (strategy [3]) and combined reactive and self-referred pathways (strategy [6]) when considering cost-effectiveness alone (Table </w:t>
      </w:r>
      <w:r w:rsidR="009227B9" w:rsidRPr="004C78D8">
        <w:t>6</w:t>
      </w:r>
      <w:r w:rsidR="00D36AA9" w:rsidRPr="004C78D8">
        <w:t>.</w:t>
      </w:r>
      <w:r w:rsidR="009227B9" w:rsidRPr="004C78D8">
        <w:t>18</w:t>
      </w:r>
      <w:r w:rsidR="00D36AA9" w:rsidRPr="004C78D8">
        <w:t xml:space="preserve">). </w:t>
      </w:r>
      <w:r w:rsidR="008A0B7A" w:rsidRPr="004C78D8">
        <w:t xml:space="preserve">Deverall (2018) also found that the group exercise would worsen the existing health inequity between Maori and non-Maori ethnic subgroups in New Zealand. In comparison, the current model found that strategy [4] generated equity improvement in terms of relative inequality but regression in terms of absolute inequality (Table </w:t>
      </w:r>
      <w:r w:rsidR="009227B9" w:rsidRPr="004C78D8">
        <w:t>6</w:t>
      </w:r>
      <w:r w:rsidR="008A0B7A" w:rsidRPr="004C78D8">
        <w:t>.</w:t>
      </w:r>
      <w:r w:rsidR="009227B9" w:rsidRPr="004C78D8">
        <w:t>9</w:t>
      </w:r>
      <w:r w:rsidR="008A0B7A" w:rsidRPr="004C78D8">
        <w:t>).</w:t>
      </w:r>
      <w:r w:rsidR="002C48D8" w:rsidRPr="004C78D8">
        <w:t xml:space="preserve"> Yet s</w:t>
      </w:r>
      <w:r w:rsidR="00D36AA9" w:rsidRPr="004C78D8">
        <w:t xml:space="preserve">trategy [6] also produced higher EDE INHBs than </w:t>
      </w:r>
      <w:r w:rsidR="009F2A07" w:rsidRPr="004C78D8">
        <w:t xml:space="preserve">strategy </w:t>
      </w:r>
      <w:r w:rsidR="00D36AA9" w:rsidRPr="004C78D8">
        <w:t xml:space="preserve">[4]. </w:t>
      </w:r>
      <w:r w:rsidR="009F2A07" w:rsidRPr="004C78D8">
        <w:t>Overall</w:t>
      </w:r>
      <w:r w:rsidR="002C48D8" w:rsidRPr="004C78D8">
        <w:t>,</w:t>
      </w:r>
      <w:r w:rsidR="00D36AA9" w:rsidRPr="004C78D8">
        <w:t xml:space="preserve"> single-component </w:t>
      </w:r>
      <w:r w:rsidR="002C48D8" w:rsidRPr="004C78D8">
        <w:t xml:space="preserve">group </w:t>
      </w:r>
      <w:r w:rsidR="00D36AA9" w:rsidRPr="004C78D8">
        <w:t>exercise would not be recommended by this study</w:t>
      </w:r>
      <w:r w:rsidR="002C48D8" w:rsidRPr="004C78D8">
        <w:t xml:space="preserve"> and its</w:t>
      </w:r>
      <w:r w:rsidR="00D36AA9" w:rsidRPr="004C78D8">
        <w:t xml:space="preserve"> cost-effectiveness under capacity constraints</w:t>
      </w:r>
      <w:r w:rsidR="002C48D8" w:rsidRPr="004C78D8">
        <w:t xml:space="preserve"> should be explored</w:t>
      </w:r>
      <w:r w:rsidR="00D36AA9" w:rsidRPr="004C78D8">
        <w:t>.</w:t>
      </w:r>
    </w:p>
    <w:p w14:paraId="5AA8F0BE" w14:textId="4E77BBF0" w:rsidR="00337F97" w:rsidRPr="004C78D8" w:rsidRDefault="009227B9" w:rsidP="00FB7C1F">
      <w:pPr>
        <w:pStyle w:val="Heading3"/>
      </w:pPr>
      <w:bookmarkStart w:id="214" w:name="_Toc111630803"/>
      <w:r w:rsidRPr="004C78D8">
        <w:t>6</w:t>
      </w:r>
      <w:r w:rsidR="00AA0E81" w:rsidRPr="004C78D8">
        <w:t>.</w:t>
      </w:r>
      <w:r w:rsidRPr="004C78D8">
        <w:t>4</w:t>
      </w:r>
      <w:r w:rsidR="00AA0E81" w:rsidRPr="004C78D8">
        <w:t xml:space="preserve">.2 </w:t>
      </w:r>
      <w:r w:rsidR="00666832" w:rsidRPr="004C78D8">
        <w:t>Informing commissioning</w:t>
      </w:r>
      <w:r w:rsidR="00AA0E81" w:rsidRPr="004C78D8">
        <w:t xml:space="preserve"> in Sheffield</w:t>
      </w:r>
      <w:bookmarkEnd w:id="214"/>
    </w:p>
    <w:p w14:paraId="6382A9B5" w14:textId="604D7FFD" w:rsidR="002E222C" w:rsidRPr="004C78D8" w:rsidRDefault="002E222C" w:rsidP="00FB7C1F">
      <w:r w:rsidRPr="004C78D8">
        <w:t xml:space="preserve">The Covid-19 pandemic afforded only brief opportunities for discussion with Sheffield </w:t>
      </w:r>
      <w:r w:rsidR="00F775CD" w:rsidRPr="004C78D8">
        <w:t xml:space="preserve">CCG and City Council </w:t>
      </w:r>
      <w:r w:rsidRPr="004C78D8">
        <w:t>commissioners after completing the above analyses</w:t>
      </w:r>
      <w:r w:rsidR="00F775CD" w:rsidRPr="004C78D8">
        <w:t>; see section titled ‘Preliminary</w:t>
      </w:r>
      <w:r w:rsidR="00642322" w:rsidRPr="004C78D8">
        <w:t>, post-analysis</w:t>
      </w:r>
      <w:r w:rsidR="00F775CD" w:rsidRPr="004C78D8">
        <w:t xml:space="preserve"> feedback from commissioners’ in Appendix F. </w:t>
      </w:r>
      <w:r w:rsidR="007F4613" w:rsidRPr="004C78D8">
        <w:t>The CCG commissioner perceived the model results as the first step in incorporating falls prevention within a broader work on frailty and multimorbidity prevention</w:t>
      </w:r>
      <w:r w:rsidR="004F0C80" w:rsidRPr="004C78D8">
        <w:t xml:space="preserve"> and </w:t>
      </w:r>
      <w:r w:rsidR="003357E9" w:rsidRPr="004C78D8">
        <w:t xml:space="preserve">in </w:t>
      </w:r>
      <w:r w:rsidR="004F0C80" w:rsidRPr="004C78D8">
        <w:t xml:space="preserve">recognising how health inequalities and wider determinants of health impact upon this work. </w:t>
      </w:r>
      <w:r w:rsidR="003357E9" w:rsidRPr="004C78D8">
        <w:t xml:space="preserve">Nevertheless, the pandemic had changed the decision-making context from the conceptualisation </w:t>
      </w:r>
      <w:r w:rsidR="007E300E" w:rsidRPr="004C78D8">
        <w:t>phase</w:t>
      </w:r>
      <w:r w:rsidR="003357E9" w:rsidRPr="004C78D8">
        <w:t xml:space="preserve"> in Chapter 3 with the focus of falls prevention shifting to the care home </w:t>
      </w:r>
      <w:r w:rsidR="00EE6387" w:rsidRPr="004C78D8">
        <w:t>setting</w:t>
      </w:r>
      <w:r w:rsidR="003357E9" w:rsidRPr="004C78D8">
        <w:t>. There were new concerns over social distancing at community-based group interventions.</w:t>
      </w:r>
    </w:p>
    <w:p w14:paraId="2231782B" w14:textId="2AF27DE9" w:rsidR="003357E9" w:rsidRPr="004C78D8" w:rsidRDefault="003357E9" w:rsidP="00FB7C1F">
      <w:r w:rsidRPr="004C78D8">
        <w:t xml:space="preserve">The Council commissioner noted the significance of </w:t>
      </w:r>
      <w:r w:rsidR="002B7283" w:rsidRPr="004C78D8">
        <w:t>results on</w:t>
      </w:r>
      <w:r w:rsidRPr="004C78D8">
        <w:t xml:space="preserve"> environmental interventions which are directly under the Council purview</w:t>
      </w:r>
      <w:r w:rsidR="002B7283" w:rsidRPr="004C78D8">
        <w:t xml:space="preserve">, and which meet the Council objective of addressing wider environmental determinants of health. Based on the model results, </w:t>
      </w:r>
      <w:r w:rsidR="00570882" w:rsidRPr="004C78D8">
        <w:t xml:space="preserve">particularly the </w:t>
      </w:r>
      <w:r w:rsidR="00FD5EA1" w:rsidRPr="004C78D8">
        <w:t>scarcity</w:t>
      </w:r>
      <w:r w:rsidR="00570882" w:rsidRPr="004C78D8">
        <w:t xml:space="preserve"> of </w:t>
      </w:r>
      <w:r w:rsidR="00382E4A" w:rsidRPr="004C78D8">
        <w:t xml:space="preserve">break-even ROI over the five-year horizon, </w:t>
      </w:r>
      <w:r w:rsidR="002B7283" w:rsidRPr="004C78D8">
        <w:t xml:space="preserve">the </w:t>
      </w:r>
      <w:r w:rsidR="00414644" w:rsidRPr="004C78D8">
        <w:t xml:space="preserve">Council </w:t>
      </w:r>
      <w:r w:rsidR="002B7283" w:rsidRPr="004C78D8">
        <w:t xml:space="preserve">commissioner </w:t>
      </w:r>
      <w:r w:rsidR="007E300E" w:rsidRPr="004C78D8">
        <w:t>commented</w:t>
      </w:r>
      <w:r w:rsidR="002B7283" w:rsidRPr="004C78D8">
        <w:t xml:space="preserve"> that the most relevant audience </w:t>
      </w:r>
      <w:r w:rsidR="007E300E" w:rsidRPr="004C78D8">
        <w:t xml:space="preserve">for model results </w:t>
      </w:r>
      <w:r w:rsidR="002B7283" w:rsidRPr="004C78D8">
        <w:t xml:space="preserve">are </w:t>
      </w:r>
      <w:r w:rsidR="007E300E" w:rsidRPr="004C78D8">
        <w:t xml:space="preserve">likely </w:t>
      </w:r>
      <w:r w:rsidR="002B7283" w:rsidRPr="004C78D8">
        <w:t xml:space="preserve">social impact investors who seek a mix of financial and non-financial returns over a horizon </w:t>
      </w:r>
      <w:r w:rsidR="00382E4A" w:rsidRPr="004C78D8">
        <w:t xml:space="preserve">longer than five </w:t>
      </w:r>
      <w:r w:rsidR="00414644" w:rsidRPr="004C78D8">
        <w:t>years</w:t>
      </w:r>
      <w:r w:rsidR="00FD5EA1" w:rsidRPr="004C78D8">
        <w:t xml:space="preserve"> </w:t>
      </w:r>
      <w:r w:rsidR="007E300E" w:rsidRPr="004C78D8">
        <w:t>(</w:t>
      </w:r>
      <w:r w:rsidR="00FD5EA1" w:rsidRPr="004C78D8">
        <w:t>and reimbursed by social impact bonds established by the central government</w:t>
      </w:r>
      <w:r w:rsidR="00666832" w:rsidRPr="004C78D8">
        <w:t xml:space="preserve"> </w:t>
      </w:r>
      <w:r w:rsidR="00666832" w:rsidRPr="004C78D8">
        <w:fldChar w:fldCharType="begin"/>
      </w:r>
      <w:r w:rsidR="00C630FC" w:rsidRPr="004C78D8">
        <w:instrText xml:space="preserve"> ADDIN EN.CITE &lt;EndNote&gt;&lt;Cite&gt;&lt;Author&gt;Department for Digital&lt;/Author&gt;&lt;Year&gt;2017&lt;/Year&gt;&lt;RecNum&gt;773&lt;/RecNum&gt;&lt;DisplayText&gt;[419]&lt;/DisplayText&gt;&lt;record&gt;&lt;rec-number&gt;773&lt;/rec-number&gt;&lt;foreign-keys&gt;&lt;key app="EN" db-id="tdtrdw9aepptzbefsat599syza29sxsd2wsp" timestamp="1641148626"&gt;773&lt;/key&gt;&lt;/foreign-keys&gt;&lt;ref-type name="Web Page"&gt;12&lt;/ref-type&gt;&lt;contributors&gt;&lt;authors&gt;&lt;author&gt;Department for Digital, Culture, Media &amp;amp; Sport,&lt;/author&gt;&lt;author&gt;Cabinet Office,&lt;/author&gt;&lt;author&gt;Office for Civil Society,&lt;/author&gt;&lt;/authors&gt;&lt;/contributors&gt;&lt;titles&gt;&lt;title&gt;A guide to Social Impact Bonds&lt;/title&gt;&lt;/titles&gt;&lt;dates&gt;&lt;year&gt;2017&lt;/year&gt;&lt;pub-dates&gt;&lt;date&gt;26 September 2017&lt;/date&gt;&lt;/pub-dates&gt;&lt;/dates&gt;&lt;urls&gt;&lt;related-urls&gt;&lt;url&gt;https://www.gov.uk/guidance/social-impact-bonds#what-are-social-impact-bonds&lt;/url&gt;&lt;/related-urls&gt;&lt;/urls&gt;&lt;/record&gt;&lt;/Cite&gt;&lt;/EndNote&gt;</w:instrText>
      </w:r>
      <w:r w:rsidR="00666832" w:rsidRPr="004C78D8">
        <w:fldChar w:fldCharType="separate"/>
      </w:r>
      <w:r w:rsidR="00C630FC" w:rsidRPr="004C78D8">
        <w:rPr>
          <w:noProof/>
        </w:rPr>
        <w:t>[419]</w:t>
      </w:r>
      <w:r w:rsidR="00666832" w:rsidRPr="004C78D8">
        <w:fldChar w:fldCharType="end"/>
      </w:r>
      <w:r w:rsidR="007E300E" w:rsidRPr="004C78D8">
        <w:t>)</w:t>
      </w:r>
      <w:r w:rsidR="002B7283" w:rsidRPr="004C78D8">
        <w:t>.</w:t>
      </w:r>
      <w:r w:rsidR="00414644" w:rsidRPr="004C78D8">
        <w:t xml:space="preserve"> Both </w:t>
      </w:r>
      <w:r w:rsidR="007E300E" w:rsidRPr="004C78D8">
        <w:t xml:space="preserve">CCG and Council </w:t>
      </w:r>
      <w:r w:rsidR="00414644" w:rsidRPr="004C78D8">
        <w:t xml:space="preserve">commissioners raised </w:t>
      </w:r>
      <w:r w:rsidR="00642322" w:rsidRPr="004C78D8">
        <w:t xml:space="preserve">various </w:t>
      </w:r>
      <w:r w:rsidR="00414644" w:rsidRPr="004C78D8">
        <w:t xml:space="preserve">methodological points such as whether primary care screening has been adequately costed and how the SES </w:t>
      </w:r>
      <w:r w:rsidR="007E300E" w:rsidRPr="004C78D8">
        <w:t>variable</w:t>
      </w:r>
      <w:r w:rsidR="00414644" w:rsidRPr="004C78D8">
        <w:t xml:space="preserve"> match</w:t>
      </w:r>
      <w:r w:rsidR="007E300E" w:rsidRPr="004C78D8">
        <w:t>es</w:t>
      </w:r>
      <w:r w:rsidR="00414644" w:rsidRPr="004C78D8">
        <w:t xml:space="preserve"> the index of multiple deprivation used for local decision-making.</w:t>
      </w:r>
    </w:p>
    <w:p w14:paraId="040E0CB2" w14:textId="6924BA2E" w:rsidR="00414644" w:rsidRPr="004C78D8" w:rsidRDefault="001B58DA" w:rsidP="00FB7C1F">
      <w:r w:rsidRPr="004C78D8">
        <w:t xml:space="preserve">Overall, the </w:t>
      </w:r>
      <w:r w:rsidR="00D41C4A" w:rsidRPr="004C78D8">
        <w:t xml:space="preserve">current </w:t>
      </w:r>
      <w:r w:rsidRPr="004C78D8">
        <w:t xml:space="preserve">model results </w:t>
      </w:r>
      <w:r w:rsidR="009A0B0D" w:rsidRPr="004C78D8">
        <w:t>contribute to</w:t>
      </w:r>
      <w:r w:rsidRPr="004C78D8">
        <w:t xml:space="preserve"> </w:t>
      </w:r>
      <w:r w:rsidR="007E300E" w:rsidRPr="004C78D8">
        <w:t>an</w:t>
      </w:r>
      <w:r w:rsidRPr="004C78D8">
        <w:t xml:space="preserve"> ongoing discussion around geriatric public health strategy rather than finalis</w:t>
      </w:r>
      <w:r w:rsidR="00EE6387" w:rsidRPr="004C78D8">
        <w:t>e</w:t>
      </w:r>
      <w:r w:rsidRPr="004C78D8">
        <w:t xml:space="preserve"> specific decisions</w:t>
      </w:r>
      <w:r w:rsidR="00EE6387" w:rsidRPr="004C78D8">
        <w:t xml:space="preserve"> for local commission</w:t>
      </w:r>
      <w:r w:rsidR="00570882" w:rsidRPr="004C78D8">
        <w:t>ers</w:t>
      </w:r>
      <w:r w:rsidRPr="004C78D8">
        <w:t>.</w:t>
      </w:r>
      <w:r w:rsidR="00D41C4A" w:rsidRPr="004C78D8">
        <w:t xml:space="preserve"> </w:t>
      </w:r>
      <w:r w:rsidR="00570882" w:rsidRPr="004C78D8">
        <w:t xml:space="preserve">In fact, </w:t>
      </w:r>
      <w:r w:rsidR="00B1757C" w:rsidRPr="004C78D8">
        <w:t xml:space="preserve">the understanding of who the most relevant local commissioners are changed </w:t>
      </w:r>
      <w:r w:rsidR="006479BF" w:rsidRPr="004C78D8">
        <w:t>from the</w:t>
      </w:r>
      <w:r w:rsidR="00B1757C" w:rsidRPr="004C78D8">
        <w:t xml:space="preserve"> preliminary</w:t>
      </w:r>
      <w:r w:rsidR="006479BF" w:rsidRPr="004C78D8">
        <w:t>, post-analysis</w:t>
      </w:r>
      <w:r w:rsidR="00B1757C" w:rsidRPr="004C78D8">
        <w:t xml:space="preserve"> discussions</w:t>
      </w:r>
      <w:r w:rsidR="00382E4A" w:rsidRPr="004C78D8">
        <w:t>. If, for example, social impact investors become the main commission</w:t>
      </w:r>
      <w:r w:rsidR="007E300E" w:rsidRPr="004C78D8">
        <w:t>ing stakeholders</w:t>
      </w:r>
      <w:r w:rsidR="00382E4A" w:rsidRPr="004C78D8">
        <w:t xml:space="preserve">, then the </w:t>
      </w:r>
      <w:r w:rsidR="00B1757C" w:rsidRPr="004C78D8">
        <w:t xml:space="preserve">decision problem boundary </w:t>
      </w:r>
      <w:r w:rsidR="00382E4A" w:rsidRPr="004C78D8">
        <w:t>would change</w:t>
      </w:r>
      <w:r w:rsidR="00B1757C" w:rsidRPr="004C78D8">
        <w:t xml:space="preserve"> accordingly</w:t>
      </w:r>
      <w:r w:rsidR="00382E4A" w:rsidRPr="004C78D8">
        <w:t>. The focus would likely shift towards the self-referred pathway and environmental interventions</w:t>
      </w:r>
      <w:r w:rsidR="00B1757C" w:rsidRPr="004C78D8">
        <w:t xml:space="preserve">, away from </w:t>
      </w:r>
      <w:r w:rsidR="006479BF" w:rsidRPr="004C78D8">
        <w:t xml:space="preserve">implementing the </w:t>
      </w:r>
      <w:r w:rsidR="00B1757C" w:rsidRPr="004C78D8">
        <w:t xml:space="preserve">NICE CG161 </w:t>
      </w:r>
      <w:r w:rsidR="006479BF" w:rsidRPr="004C78D8">
        <w:t>within</w:t>
      </w:r>
      <w:r w:rsidR="00B1757C" w:rsidRPr="004C78D8">
        <w:t xml:space="preserve"> the reactive and proactive pathways. Further model analyses w</w:t>
      </w:r>
      <w:r w:rsidR="007D655F" w:rsidRPr="004C78D8">
        <w:t>ill</w:t>
      </w:r>
      <w:r w:rsidR="00B1757C" w:rsidRPr="004C78D8">
        <w:t xml:space="preserve"> then be warranted. </w:t>
      </w:r>
    </w:p>
    <w:p w14:paraId="6D115CB8" w14:textId="293C01E3" w:rsidR="00F74172" w:rsidRPr="004C78D8" w:rsidRDefault="000E3E1D" w:rsidP="00FB7C1F">
      <w:pPr>
        <w:pStyle w:val="Heading3"/>
      </w:pPr>
      <w:bookmarkStart w:id="215" w:name="_Toc111630804"/>
      <w:r w:rsidRPr="004C78D8">
        <w:t>6</w:t>
      </w:r>
      <w:r w:rsidR="008B1FD3" w:rsidRPr="004C78D8">
        <w:t>.</w:t>
      </w:r>
      <w:r w:rsidRPr="004C78D8">
        <w:t>4</w:t>
      </w:r>
      <w:r w:rsidR="008B1FD3" w:rsidRPr="004C78D8">
        <w:t>.</w:t>
      </w:r>
      <w:r w:rsidR="00F74172" w:rsidRPr="004C78D8">
        <w:t xml:space="preserve">3 </w:t>
      </w:r>
      <w:r w:rsidR="00377A45" w:rsidRPr="004C78D8">
        <w:t>M</w:t>
      </w:r>
      <w:r w:rsidR="00443A1A" w:rsidRPr="004C78D8">
        <w:t>ethodological checklist score of the current model</w:t>
      </w:r>
      <w:bookmarkEnd w:id="215"/>
    </w:p>
    <w:p w14:paraId="52BA75CA" w14:textId="7CA6FF79" w:rsidR="003641C6" w:rsidRPr="004C78D8" w:rsidRDefault="00A77054" w:rsidP="00FB7C1F">
      <w:r w:rsidRPr="004C78D8">
        <w:t xml:space="preserve">The strengths and limitations of the model can be </w:t>
      </w:r>
      <w:r w:rsidR="00094387" w:rsidRPr="004C78D8">
        <w:t>appraised</w:t>
      </w:r>
      <w:r w:rsidRPr="004C78D8">
        <w:t xml:space="preserve"> </w:t>
      </w:r>
      <w:r w:rsidR="00094387" w:rsidRPr="004C78D8">
        <w:t xml:space="preserve">using the methods </w:t>
      </w:r>
      <w:r w:rsidR="00D16EEB" w:rsidRPr="004C78D8">
        <w:t>applied to</w:t>
      </w:r>
      <w:r w:rsidR="00094387" w:rsidRPr="004C78D8">
        <w:t xml:space="preserve"> previous models </w:t>
      </w:r>
      <w:r w:rsidR="00D16EEB" w:rsidRPr="004C78D8">
        <w:t xml:space="preserve">by the Chapter </w:t>
      </w:r>
      <w:r w:rsidR="000A085C" w:rsidRPr="004C78D8">
        <w:t xml:space="preserve">4 </w:t>
      </w:r>
      <w:r w:rsidR="00D16EEB" w:rsidRPr="004C78D8">
        <w:t>systematic review, namely: (i) application of the methodological checklist for falls prevention economic evaluation; and (ii) comparison</w:t>
      </w:r>
      <w:r w:rsidRPr="004C78D8">
        <w:t xml:space="preserve"> to the 30 methodological recommendations formulated in Section </w:t>
      </w:r>
      <w:r w:rsidR="000E3E1D" w:rsidRPr="004C78D8">
        <w:t>4</w:t>
      </w:r>
      <w:r w:rsidRPr="004C78D8">
        <w:t xml:space="preserve">.6.1. </w:t>
      </w:r>
      <w:r w:rsidR="00443A1A" w:rsidRPr="004C78D8">
        <w:t xml:space="preserve">This section applies method (i), while </w:t>
      </w:r>
      <w:r w:rsidR="000E3E1D" w:rsidRPr="004C78D8">
        <w:t>the next section</w:t>
      </w:r>
      <w:r w:rsidR="00443A1A" w:rsidRPr="004C78D8">
        <w:t xml:space="preserve"> applies (ii).</w:t>
      </w:r>
      <w:r w:rsidR="007D0A80" w:rsidRPr="004C78D8">
        <w:t xml:space="preserve"> </w:t>
      </w:r>
    </w:p>
    <w:p w14:paraId="7397F9C3" w14:textId="280593E7" w:rsidR="003641C6" w:rsidRPr="004C78D8" w:rsidRDefault="007D0A80" w:rsidP="00FB7C1F">
      <w:r w:rsidRPr="004C78D8">
        <w:t xml:space="preserve">Table </w:t>
      </w:r>
      <w:r w:rsidR="00AC46D2" w:rsidRPr="004C78D8">
        <w:t>F23</w:t>
      </w:r>
      <w:r w:rsidRPr="004C78D8">
        <w:t xml:space="preserve"> shows the checklist items</w:t>
      </w:r>
      <w:r w:rsidR="00FB1BD0" w:rsidRPr="004C78D8">
        <w:t>, item-specific scores for the current model and justifications.</w:t>
      </w:r>
      <w:r w:rsidR="003641C6" w:rsidRPr="004C78D8">
        <w:t xml:space="preserve"> </w:t>
      </w:r>
      <w:r w:rsidR="00CA054F" w:rsidRPr="004C78D8">
        <w:t>The total score was 2</w:t>
      </w:r>
      <w:r w:rsidR="00CE1706" w:rsidRPr="004C78D8">
        <w:t>9</w:t>
      </w:r>
      <w:r w:rsidR="00CA054F" w:rsidRPr="004C78D8">
        <w:t xml:space="preserve"> </w:t>
      </w:r>
      <w:r w:rsidR="0078435C" w:rsidRPr="004C78D8">
        <w:t xml:space="preserve">(of maximum 32) </w:t>
      </w:r>
      <w:r w:rsidR="00CA054F" w:rsidRPr="004C78D8">
        <w:t xml:space="preserve">which is higher than the maximum </w:t>
      </w:r>
      <w:r w:rsidR="00647F04" w:rsidRPr="004C78D8">
        <w:t xml:space="preserve">(mean) </w:t>
      </w:r>
      <w:r w:rsidR="00CA054F" w:rsidRPr="004C78D8">
        <w:t xml:space="preserve">score of 27 </w:t>
      </w:r>
      <w:r w:rsidR="00647F04" w:rsidRPr="004C78D8">
        <w:t xml:space="preserve">(21.2) </w:t>
      </w:r>
      <w:r w:rsidR="00CA054F" w:rsidRPr="004C78D8">
        <w:t xml:space="preserve">among previous models </w:t>
      </w:r>
      <w:r w:rsidR="001B5732" w:rsidRPr="004C78D8">
        <w:t xml:space="preserve">(Section </w:t>
      </w:r>
      <w:r w:rsidR="000E3E1D" w:rsidRPr="004C78D8">
        <w:t>4</w:t>
      </w:r>
      <w:r w:rsidR="001B5732" w:rsidRPr="004C78D8">
        <w:t>.4.3).</w:t>
      </w:r>
      <w:r w:rsidR="00443A1A" w:rsidRPr="004C78D8">
        <w:t xml:space="preserve"> </w:t>
      </w:r>
      <w:r w:rsidR="001B5732" w:rsidRPr="004C78D8">
        <w:t xml:space="preserve">The current model </w:t>
      </w:r>
      <w:r w:rsidR="00541B6C" w:rsidRPr="004C78D8">
        <w:t>addressed</w:t>
      </w:r>
      <w:r w:rsidR="001B5732" w:rsidRPr="004C78D8">
        <w:t xml:space="preserve"> the three most prevalent </w:t>
      </w:r>
      <w:r w:rsidR="006267CE" w:rsidRPr="004C78D8">
        <w:t>checklist issues, namely</w:t>
      </w:r>
      <w:r w:rsidR="001B5732" w:rsidRPr="004C78D8">
        <w:t xml:space="preserve">: (1) reporting all-cause/total health resource utilisation costs (item 15); (2) reporting intervention costs and all-cause/fall-related healthcare costs separately and reporting both aggregate and mean costs (item 21); and (3) justifying the comparator </w:t>
      </w:r>
      <w:r w:rsidR="006267CE" w:rsidRPr="004C78D8">
        <w:t>including the do-nothing alternative (item 8).</w:t>
      </w:r>
    </w:p>
    <w:p w14:paraId="1B910A5F" w14:textId="7907D6A9" w:rsidR="002641C4" w:rsidRPr="004C78D8" w:rsidRDefault="00647F04" w:rsidP="00FB7C1F">
      <w:r w:rsidRPr="004C78D8">
        <w:t xml:space="preserve">Checklist deficits </w:t>
      </w:r>
      <w:r w:rsidR="00787D93" w:rsidRPr="004C78D8">
        <w:t>arose</w:t>
      </w:r>
      <w:r w:rsidR="002641C4" w:rsidRPr="004C78D8">
        <w:t xml:space="preserve"> for</w:t>
      </w:r>
      <w:r w:rsidRPr="004C78D8">
        <w:t xml:space="preserve"> items 10 and 11 </w:t>
      </w:r>
      <w:r w:rsidR="002641C4" w:rsidRPr="004C78D8">
        <w:t>concerning</w:t>
      </w:r>
      <w:r w:rsidRPr="004C78D8">
        <w:t xml:space="preserve"> the definitions of</w:t>
      </w:r>
      <w:r w:rsidR="006267CE" w:rsidRPr="004C78D8">
        <w:t xml:space="preserve"> falls and fall injuries</w:t>
      </w:r>
      <w:r w:rsidRPr="004C78D8">
        <w:t xml:space="preserve">, although the model was constrained by the </w:t>
      </w:r>
      <w:r w:rsidR="002641C4" w:rsidRPr="004C78D8">
        <w:t>information</w:t>
      </w:r>
      <w:r w:rsidRPr="004C78D8">
        <w:t xml:space="preserve"> in ELSA.</w:t>
      </w:r>
      <w:r w:rsidR="006267CE" w:rsidRPr="004C78D8">
        <w:t xml:space="preserve"> </w:t>
      </w:r>
      <w:r w:rsidR="002641C4" w:rsidRPr="004C78D8">
        <w:t xml:space="preserve">This issue was similarly prevalent among previous models with only 41.3% providing an adequate definition of a fall. </w:t>
      </w:r>
      <w:r w:rsidRPr="004C78D8">
        <w:t xml:space="preserve">As noted in Section </w:t>
      </w:r>
      <w:r w:rsidR="000E3E1D" w:rsidRPr="004C78D8">
        <w:t>5</w:t>
      </w:r>
      <w:r w:rsidRPr="004C78D8">
        <w:t xml:space="preserve">.2.4.4, the </w:t>
      </w:r>
      <w:r w:rsidR="00787D93" w:rsidRPr="004C78D8">
        <w:t xml:space="preserve">current </w:t>
      </w:r>
      <w:r w:rsidRPr="004C78D8">
        <w:t>model assumed that</w:t>
      </w:r>
      <w:r w:rsidR="002641C4" w:rsidRPr="004C78D8">
        <w:t xml:space="preserve"> the efficacies of two RCTs with six-month follow-ups were durable for the year in which the interventions are accessed. This </w:t>
      </w:r>
      <w:r w:rsidR="00787D93" w:rsidRPr="004C78D8">
        <w:t>resulted in</w:t>
      </w:r>
      <w:r w:rsidR="002641C4" w:rsidRPr="004C78D8">
        <w:t xml:space="preserve"> deficit for item 24.</w:t>
      </w:r>
      <w:r w:rsidR="00F61983" w:rsidRPr="004C78D8">
        <w:t xml:space="preserve"> </w:t>
      </w:r>
      <w:r w:rsidR="00CD73D7" w:rsidRPr="004C78D8">
        <w:t xml:space="preserve">Sensitivity analyses were performed only for the base case, resulting in deficit for item 28. </w:t>
      </w:r>
    </w:p>
    <w:p w14:paraId="3E6FD670" w14:textId="3CC3181E" w:rsidR="00DE25BC" w:rsidRPr="004C78D8" w:rsidRDefault="00DE25BC" w:rsidP="00FB7C1F">
      <w:r w:rsidRPr="004C78D8">
        <w:t>It is unclear how well the checklist score discriminates models</w:t>
      </w:r>
      <w:r w:rsidR="00787D93" w:rsidRPr="004C78D8">
        <w:t>’</w:t>
      </w:r>
      <w:r w:rsidRPr="004C78D8">
        <w:t xml:space="preserve"> methodological quality. It was noted in Section </w:t>
      </w:r>
      <w:r w:rsidR="000E3E1D" w:rsidRPr="004C78D8">
        <w:t>4</w:t>
      </w:r>
      <w:r w:rsidRPr="004C78D8">
        <w:t xml:space="preserve">.7.2 that among general population, lifetime models, </w:t>
      </w:r>
      <w:r w:rsidR="002F4C99" w:rsidRPr="004C78D8">
        <w:t xml:space="preserve">the three most thoroughly validated also had the highest checklist scores </w:t>
      </w:r>
      <w:r w:rsidR="002F4C99" w:rsidRPr="004C78D8">
        <w:fldChar w:fldCharType="begin">
          <w:fldData xml:space="preserve">PEVuZE5vdGU+PENpdGU+PEF1dGhvcj5Kb2hhbnNzb248L0F1dGhvcj48WWVhcj4yMDA4PC9ZZWFy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</w:fldData>
        </w:fldChar>
      </w:r>
      <w:r w:rsidR="00C630FC" w:rsidRPr="004C78D8">
        <w:instrText xml:space="preserve"> ADDIN EN.CITE </w:instrText>
      </w:r>
      <w:r w:rsidR="00C630FC" w:rsidRPr="004C78D8">
        <w:fldChar w:fldCharType="begin">
          <w:fldData xml:space="preserve">PEVuZE5vdGU+PENpdGU+PEF1dGhvcj5Kb2hhbnNzb248L0F1dGhvcj48WWVhcj4yMDA4PC9ZZWFy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</w:fldData>
        </w:fldChar>
      </w:r>
      <w:r w:rsidR="00C630FC" w:rsidRPr="004C78D8">
        <w:instrText xml:space="preserve"> ADDIN EN.CITE.DATA </w:instrText>
      </w:r>
      <w:r w:rsidR="00C630FC" w:rsidRPr="004C78D8">
        <w:fldChar w:fldCharType="end"/>
      </w:r>
      <w:r w:rsidR="002F4C99" w:rsidRPr="004C78D8">
        <w:fldChar w:fldCharType="separate"/>
      </w:r>
      <w:r w:rsidR="00C630FC" w:rsidRPr="004C78D8">
        <w:rPr>
          <w:noProof/>
        </w:rPr>
        <w:t>[128, 336, 368]</w:t>
      </w:r>
      <w:r w:rsidR="002F4C99" w:rsidRPr="004C78D8">
        <w:fldChar w:fldCharType="end"/>
      </w:r>
      <w:r w:rsidR="002F4C99" w:rsidRPr="004C78D8">
        <w:t xml:space="preserve">, </w:t>
      </w:r>
      <w:r w:rsidR="00787D93" w:rsidRPr="004C78D8">
        <w:t>suggesting</w:t>
      </w:r>
      <w:r w:rsidR="002F4C99" w:rsidRPr="004C78D8">
        <w:t xml:space="preserve"> some level of construct validity. </w:t>
      </w:r>
      <w:r w:rsidR="00152D09" w:rsidRPr="004C78D8">
        <w:t>There is hence some evidence that the current model is the most methodologically robust falls prevention model to date. The score difference between the current model</w:t>
      </w:r>
      <w:r w:rsidR="00D3607F" w:rsidRPr="004C78D8">
        <w:t xml:space="preserve"> (score 29)</w:t>
      </w:r>
      <w:r w:rsidR="00152D09" w:rsidRPr="004C78D8">
        <w:t xml:space="preserve"> and Nshimyumukiza (2013)</w:t>
      </w:r>
      <w:r w:rsidR="00D3607F" w:rsidRPr="004C78D8">
        <w:t xml:space="preserve"> </w:t>
      </w:r>
      <w:r w:rsidR="00152D09" w:rsidRPr="004C78D8">
        <w:t xml:space="preserve">with the next highest score </w:t>
      </w:r>
      <w:r w:rsidR="00D3607F" w:rsidRPr="004C78D8">
        <w:t xml:space="preserve">(27) </w:t>
      </w:r>
      <w:r w:rsidR="00152D09" w:rsidRPr="004C78D8">
        <w:t xml:space="preserve">was not large, but it is unclear </w:t>
      </w:r>
      <w:r w:rsidR="00DC3454" w:rsidRPr="004C78D8">
        <w:t>whether the magnitude of difference carries any methodological significance, i.e., whether the scores have cardinal property</w:t>
      </w:r>
      <w:r w:rsidR="00152D09" w:rsidRPr="004C78D8">
        <w:t>.</w:t>
      </w:r>
    </w:p>
    <w:p w14:paraId="67941F64" w14:textId="0010087C" w:rsidR="001F173B" w:rsidRPr="004C78D8" w:rsidRDefault="00AC46D2" w:rsidP="00FB7C1F">
      <w:pPr>
        <w:pStyle w:val="Heading3"/>
      </w:pPr>
      <w:bookmarkStart w:id="216" w:name="_Toc111630805"/>
      <w:r w:rsidRPr="004C78D8">
        <w:t>6</w:t>
      </w:r>
      <w:r w:rsidR="001F173B" w:rsidRPr="004C78D8">
        <w:t>.</w:t>
      </w:r>
      <w:r w:rsidRPr="004C78D8">
        <w:t>4</w:t>
      </w:r>
      <w:r w:rsidR="001F173B" w:rsidRPr="004C78D8">
        <w:t xml:space="preserve">.4 </w:t>
      </w:r>
      <w:r w:rsidR="005D2F3C" w:rsidRPr="004C78D8">
        <w:t>Appraisal</w:t>
      </w:r>
      <w:r w:rsidR="007D0A80" w:rsidRPr="004C78D8">
        <w:t xml:space="preserve"> of current model </w:t>
      </w:r>
      <w:r w:rsidR="005D2F3C" w:rsidRPr="004C78D8">
        <w:t xml:space="preserve">according </w:t>
      </w:r>
      <w:r w:rsidR="007D0A80" w:rsidRPr="004C78D8">
        <w:t>to methodological recommendations</w:t>
      </w:r>
      <w:bookmarkEnd w:id="216"/>
    </w:p>
    <w:p w14:paraId="7EB879BA" w14:textId="27ED5A80" w:rsidR="00DB652D" w:rsidRPr="004C78D8" w:rsidRDefault="00DB652D" w:rsidP="00FB7C1F">
      <w:r w:rsidRPr="004C78D8">
        <w:t>The section titled ‘Critical narrative appraisal of current model’ in Appendix F provides a thorough appraisal of how the current model handled the methodological recommendations formulated by the systematic review in Section 4.6.1. This includes Table F24 containing the key strengths and limitations by each recommendation, followed by commentary.</w:t>
      </w:r>
      <w:r w:rsidR="000860AD" w:rsidRPr="004C78D8">
        <w:t xml:space="preserve"> The current section provides </w:t>
      </w:r>
      <w:r w:rsidR="001F382E" w:rsidRPr="004C78D8">
        <w:t>a summary</w:t>
      </w:r>
      <w:r w:rsidR="000860AD" w:rsidRPr="004C78D8">
        <w:t xml:space="preserve"> of the salient appraisal results.</w:t>
      </w:r>
    </w:p>
    <w:p w14:paraId="7D69A78A" w14:textId="3D2D1831" w:rsidR="00686AB8" w:rsidRPr="004C78D8" w:rsidRDefault="00754B8F" w:rsidP="00FB7C1F">
      <w:r w:rsidRPr="004C78D8">
        <w:t>For</w:t>
      </w:r>
      <w:r w:rsidR="00686AB8" w:rsidRPr="004C78D8">
        <w:t xml:space="preserve"> the falls epidemiology features, the current model was highly transparent in describing the data sources and their strengths and limitations (e.g., for ELSA in Section</w:t>
      </w:r>
      <w:r w:rsidR="00E16D4C" w:rsidRPr="004C78D8">
        <w:t>s</w:t>
      </w:r>
      <w:r w:rsidR="00686AB8" w:rsidRPr="004C78D8">
        <w:t xml:space="preserve"> 5.2.1.4 and 5.2.5.2). </w:t>
      </w:r>
      <w:r w:rsidR="009506EA" w:rsidRPr="004C78D8">
        <w:t xml:space="preserve">The model distinguished between single and recurrent fallers and considered a broad range of falls risk factors, including the multivariate frailty index, and their longitudinal trajectories. The frailty index also helped capture diverse secondary </w:t>
      </w:r>
      <w:r w:rsidR="00E16D4C" w:rsidRPr="004C78D8">
        <w:t xml:space="preserve">effects, including mortality, LTC admission, EQ-5D progression and comorbidity care costs. </w:t>
      </w:r>
      <w:r w:rsidR="001F382E" w:rsidRPr="004C78D8">
        <w:t>The latter allowed the modelling of all-cause care costs</w:t>
      </w:r>
      <w:r w:rsidR="003E0A04" w:rsidRPr="004C78D8">
        <w:t>, the methodological issue most neglected by previous models (Section 4.7.3). The lack of individual-level granularity to epidemiological parameters (e.g., frailty-delineated mortality rate, all-cause primary and secondary healthcare costs) and potential issues in the representativeness of ELSA to Sheffield for the period 2021-60 remain the key limitations.</w:t>
      </w:r>
    </w:p>
    <w:p w14:paraId="66ED8C1D" w14:textId="5342052D" w:rsidR="00DC54FD" w:rsidRPr="004C78D8" w:rsidRDefault="00754B8F" w:rsidP="00FB7C1F">
      <w:r w:rsidRPr="004C78D8">
        <w:t xml:space="preserve">For the falls prevention intervention features, the current model sought to accurately portray the falls prevention practice in Sheffield, the recommended practice, and alternative strategies. </w:t>
      </w:r>
      <w:r w:rsidR="00942A89" w:rsidRPr="004C78D8">
        <w:t xml:space="preserve">All strategies incorporated services within the reactive, proactive, and self-referred pathways operating in tandem. </w:t>
      </w:r>
      <w:r w:rsidR="00DC54FD" w:rsidRPr="004C78D8">
        <w:t xml:space="preserve">The abnormal gait/balance variable used for falls risk screening replicated the performance of TUG, a test recommended by NICE CG161 (p. 53) </w:t>
      </w:r>
      <w:r w:rsidR="00DC54FD" w:rsidRPr="004C78D8">
        <w:fldChar w:fldCharType="begin"/>
      </w:r>
      <w:r w:rsidR="00DC54FD"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00DC54FD" w:rsidRPr="004C78D8">
        <w:fldChar w:fldCharType="separate"/>
      </w:r>
      <w:r w:rsidR="00DC54FD" w:rsidRPr="004C78D8">
        <w:rPr>
          <w:noProof/>
        </w:rPr>
        <w:t>[13]</w:t>
      </w:r>
      <w:r w:rsidR="00DC54FD" w:rsidRPr="004C78D8">
        <w:fldChar w:fldCharType="end"/>
      </w:r>
      <w:r w:rsidR="00DC54FD" w:rsidRPr="004C78D8">
        <w:t>. Targeting based on falls risk and frailty was explored as alternative strategies.</w:t>
      </w:r>
      <w:r w:rsidR="00A32821" w:rsidRPr="004C78D8">
        <w:t xml:space="preserve"> Costing of intervention resources differentiated between fixed and variable costs. Heterogeneity in falls prevention efficacy by subgroups was considered. Long-term effectiveness of interventions beyond the receipt year </w:t>
      </w:r>
      <w:r w:rsidR="00CA6748" w:rsidRPr="004C78D8">
        <w:t>depended</w:t>
      </w:r>
      <w:r w:rsidR="00A32821" w:rsidRPr="004C78D8">
        <w:t xml:space="preserve"> on sustained access patterns rather than assumptions. </w:t>
      </w:r>
      <w:r w:rsidR="00544C59" w:rsidRPr="004C78D8">
        <w:t xml:space="preserve">Nevertheless, the key limitations included: assumption of </w:t>
      </w:r>
      <w:r w:rsidR="00DC54FD" w:rsidRPr="004C78D8">
        <w:t xml:space="preserve">100% falls risk screening </w:t>
      </w:r>
      <w:r w:rsidR="00544C59" w:rsidRPr="004C78D8">
        <w:t xml:space="preserve">rate </w:t>
      </w:r>
      <w:r w:rsidR="00DC54FD" w:rsidRPr="004C78D8">
        <w:t>at GP contact</w:t>
      </w:r>
      <w:r w:rsidR="00A32821" w:rsidRPr="004C78D8">
        <w:t>; assumption that interventions can be set up and run without delay;</w:t>
      </w:r>
      <w:r w:rsidR="00544C59" w:rsidRPr="004C78D8">
        <w:t xml:space="preserve"> and unbalanced sets of efficacy parameters across intervention subgroups depending on data availability. Further research</w:t>
      </w:r>
      <w:r w:rsidR="00A32821" w:rsidRPr="004C78D8">
        <w:t xml:space="preserve"> should consider further fixed/sunk costs (e.g., data system upgrade to enable citywide risk screening</w:t>
      </w:r>
      <w:r w:rsidR="00544C59" w:rsidRPr="004C78D8">
        <w:t>) and a greater range of intervention health effects beyond falls prevention.</w:t>
      </w:r>
    </w:p>
    <w:p w14:paraId="26CD6A9D" w14:textId="755850EB" w:rsidR="00883BAC" w:rsidRPr="004C78D8" w:rsidRDefault="00883BAC" w:rsidP="00FB7C1F">
      <w:r w:rsidRPr="004C78D8">
        <w:t>There were four key challenges for public health economic modelling. For the first challenge of capturing non-health outcomes and societal intervention costs, the current model incorporated a wider range than any previous model (Table 4.11) and balanced outcomes with their respective intervention costs. It also tracked individual-level lifetime outcomes; rankings of intervention strategies varied by whether individual- or population-level outcomes were used (Section 6.3.2.1). The future model could incorporate further impacts on social wellbeing (e.g., from intervention receipt and LTC admission) and health/wellbeing aspects of informal caregiving.</w:t>
      </w:r>
    </w:p>
    <w:p w14:paraId="58252E06" w14:textId="53D09A30" w:rsidR="000E2C1D" w:rsidRPr="004C78D8" w:rsidRDefault="000E2C1D" w:rsidP="00FB7C1F">
      <w:r w:rsidRPr="004C78D8">
        <w:t>The current model incorporated several variables to address the second challenge of capturing heterogeneity and dynamic complexity in geriatric health</w:t>
      </w:r>
      <w:r w:rsidR="00CE5F07" w:rsidRPr="004C78D8">
        <w:t xml:space="preserve"> and intervention need</w:t>
      </w:r>
      <w:r w:rsidRPr="004C78D8">
        <w:t xml:space="preserve">: e.g., SES quartiles, multivariate frailty index, physical activity level, and cognitive status. The frailty index </w:t>
      </w:r>
      <w:r w:rsidR="00CE5F07" w:rsidRPr="004C78D8">
        <w:t>captured</w:t>
      </w:r>
      <w:r w:rsidRPr="004C78D8">
        <w:t xml:space="preserve"> the continuous </w:t>
      </w:r>
      <w:r w:rsidR="00CE5F07" w:rsidRPr="004C78D8">
        <w:t xml:space="preserve">and dynamic </w:t>
      </w:r>
      <w:r w:rsidRPr="004C78D8">
        <w:t>nature of geriatric health and improved upon the discrete/binary depiction (if at all) in previous models (Table 4.13).</w:t>
      </w:r>
      <w:r w:rsidR="00CE5F07" w:rsidRPr="004C78D8">
        <w:t xml:space="preserve"> A limitation was that the variables were estimated sequentially rather than simultaneously at baseline and dynamic update. Further research could use simultaneous equations to estimate the joint probabilities of covariate incidence. Several causal mechanisms were under-represented relative to conceptualisation (Table 3.6), such as cognitive components of fear of falling and social community of older persons. </w:t>
      </w:r>
      <w:r w:rsidR="00E4045C" w:rsidRPr="004C78D8">
        <w:t xml:space="preserve">The modelling of incoming cohorts enabled </w:t>
      </w:r>
      <w:r w:rsidR="00CE047F" w:rsidRPr="004C78D8">
        <w:t xml:space="preserve">a </w:t>
      </w:r>
      <w:r w:rsidR="00E4045C" w:rsidRPr="004C78D8">
        <w:t>more accurate portrayal of target population size over time and provides scope for incorporating cohort-level epidemiological and demographic transitions in future models.</w:t>
      </w:r>
    </w:p>
    <w:p w14:paraId="31A7BCDC" w14:textId="5DA211E4" w:rsidR="001F06AA" w:rsidRPr="004C78D8" w:rsidRDefault="00277147" w:rsidP="00FB7C1F">
      <w:r w:rsidRPr="004C78D8">
        <w:t xml:space="preserve">For the challenge of considering theories of human behaviour and implementation, </w:t>
      </w:r>
      <w:r w:rsidR="004836B3" w:rsidRPr="004C78D8">
        <w:t>the current model parameterised the demand for self-referred exercise at individual-level granularity (Tables 5.30 and 5.49)</w:t>
      </w:r>
      <w:r w:rsidR="001F06AA" w:rsidRPr="004C78D8">
        <w:t xml:space="preserve">, though not for reactive and proactive intervention demand. Further research should seek to incorporate </w:t>
      </w:r>
      <w:r w:rsidR="004836B3" w:rsidRPr="004C78D8">
        <w:t>health and non-health psychological motives of older persons and the sociological mechanisms influencing demand</w:t>
      </w:r>
      <w:r w:rsidR="001F06AA" w:rsidRPr="004C78D8">
        <w:t xml:space="preserve">, as well as factors impacting professional behaviour and competence. The model evaluated scenarios of community sector involvement through value of implementation analyses. </w:t>
      </w:r>
      <w:r w:rsidR="00E37B7C" w:rsidRPr="004C78D8">
        <w:t>These showed that not all modes of involvement result in efficiency and equity gains. The model was unique in incorporating capacity constraints in community-based falls prevention. Future models should characterise queuing mechanisms for those denied access to an intervention in a given year due to capacity constraint</w:t>
      </w:r>
      <w:r w:rsidR="003B1915">
        <w:t>s</w:t>
      </w:r>
      <w:r w:rsidR="00E37B7C" w:rsidRPr="004C78D8">
        <w:t>. Finally, a key limitation is that the model did not account for the impact of the Covid-19 pandemic on demand- and supply-side intervention factors.</w:t>
      </w:r>
    </w:p>
    <w:p w14:paraId="14647906" w14:textId="57B5AAAE" w:rsidR="004836B3" w:rsidRPr="004C78D8" w:rsidRDefault="00501621" w:rsidP="00FB7C1F">
      <w:r w:rsidRPr="004C78D8">
        <w:t xml:space="preserve">To </w:t>
      </w:r>
      <w:r w:rsidR="00214803" w:rsidRPr="004C78D8">
        <w:t xml:space="preserve">address the challenge of </w:t>
      </w:r>
      <w:r w:rsidRPr="004C78D8">
        <w:t>consider</w:t>
      </w:r>
      <w:r w:rsidR="00214803" w:rsidRPr="004C78D8">
        <w:t>ing</w:t>
      </w:r>
      <w:r w:rsidRPr="004C78D8">
        <w:t xml:space="preserve"> issues of equity, the current model incorporated a newly constructed SES variable as the social characteristic of equity relevance</w:t>
      </w:r>
      <w:r w:rsidR="004476B7" w:rsidRPr="004C78D8">
        <w:t xml:space="preserve"> and the frailty category as the health severity characteristic of equity relevance. </w:t>
      </w:r>
      <w:r w:rsidR="00CC13FC" w:rsidRPr="004C78D8">
        <w:t>This approach improved upon previous models, only five of which incorporated social or health severity characteristic of equity relevance (Table 4.15). Having incorporated the mechanisms by which SES and frailty affected outcomes, the model evaluated scenarios of policies designed to address them (e.g., community involvement targeting the bottom two SES quartiles)</w:t>
      </w:r>
      <w:r w:rsidR="00B3579D" w:rsidRPr="004C78D8">
        <w:t xml:space="preserve"> within the DCEA framework. A form of ECEA was also conducted by tracking the number of individuals experiencing catastrophic private care expenditures over their lifetime. Both DCEA and ECEA have not been previously applied in the falls prevention context. </w:t>
      </w:r>
      <w:r w:rsidR="00214803" w:rsidRPr="004C78D8">
        <w:t xml:space="preserve">Nevertheless, key limitations for this challenge include: </w:t>
      </w:r>
      <w:r w:rsidR="006A3560">
        <w:t xml:space="preserve">the </w:t>
      </w:r>
      <w:r w:rsidR="00214803" w:rsidRPr="004C78D8">
        <w:t xml:space="preserve">assumption of fixed SES over time; non-inclusion of further social and severity characteristics identified in qualitative research (Tables 2.3 and 2.4) and uncertainty over the relevance of ELSA-derived SES variable for local decision-making. </w:t>
      </w:r>
    </w:p>
    <w:p w14:paraId="518082A4" w14:textId="6CEE38AA" w:rsidR="003448E5" w:rsidRPr="004C78D8" w:rsidRDefault="00032E71" w:rsidP="00FB7C1F">
      <w:bookmarkStart w:id="217" w:name="_Hlk111400430"/>
      <w:r w:rsidRPr="004C78D8">
        <w:t xml:space="preserve">Regarding the evaluation methods, </w:t>
      </w:r>
      <w:r w:rsidR="005F5F42" w:rsidRPr="004C78D8">
        <w:t xml:space="preserve">the current model was transparent about the sensitivity and scenario analyses conducted, deriving the latter from the conceptual model. A full comparison of all intervention strategies was conducted </w:t>
      </w:r>
      <w:r w:rsidR="005F5F42" w:rsidRPr="004C78D8">
        <w:rPr>
          <w:bCs/>
        </w:rPr>
        <w:t>using</w:t>
      </w:r>
      <w:r w:rsidR="005F5F42" w:rsidRPr="004C78D8">
        <w:t xml:space="preserve"> </w:t>
      </w:r>
      <w:r w:rsidR="005F5F42" w:rsidRPr="004C78D8">
        <w:rPr>
          <w:bCs/>
        </w:rPr>
        <w:t xml:space="preserve">a wide range of </w:t>
      </w:r>
      <w:r w:rsidR="005F5F42" w:rsidRPr="004C78D8">
        <w:t>outcomes including cost-effectiveness, equity, individual-level lifetime outcomes, budget impact, capacity implication, and feasibility. However, the intervention scenarios did not exhaust the range of possible permutations. Moreover, further work could conduct PSA and alternative evaluation frameworks and epidemiological scenarios on the key intervention scenarios that emerge as commissioning candidates.</w:t>
      </w:r>
    </w:p>
    <w:bookmarkEnd w:id="217"/>
    <w:p w14:paraId="35FD281A" w14:textId="77777777" w:rsidR="00244D79" w:rsidRPr="004C78D8" w:rsidRDefault="00244D79" w:rsidP="00FB7C1F"/>
    <w:p w14:paraId="6B52974E" w14:textId="59DEBB9B" w:rsidR="00C22B93" w:rsidRPr="004C78D8" w:rsidRDefault="00BF60D9" w:rsidP="00FB7C1F">
      <w:pPr>
        <w:pStyle w:val="Heading2"/>
      </w:pPr>
      <w:bookmarkStart w:id="218" w:name="_Toc93566896"/>
      <w:bookmarkStart w:id="219" w:name="_Toc111630806"/>
      <w:r w:rsidRPr="004C78D8">
        <w:t>6.5</w:t>
      </w:r>
      <w:r w:rsidR="00C22B93" w:rsidRPr="004C78D8">
        <w:t xml:space="preserve"> Chapter summary</w:t>
      </w:r>
      <w:bookmarkEnd w:id="218"/>
      <w:bookmarkEnd w:id="219"/>
    </w:p>
    <w:p w14:paraId="045FA0DC" w14:textId="233201D6" w:rsidR="00FB510F" w:rsidRPr="004C78D8" w:rsidRDefault="004F0901" w:rsidP="00FB7C1F">
      <w:r w:rsidRPr="004C78D8">
        <w:t>This chapter analysed the developed falls prevention model</w:t>
      </w:r>
      <w:r w:rsidR="001A46FD" w:rsidRPr="004C78D8">
        <w:t>, evaluated the performance of the guideline recommended vs. current practice in falls prevention,</w:t>
      </w:r>
      <w:r w:rsidRPr="004C78D8">
        <w:t xml:space="preserve"> and formulated commissioning recommendations</w:t>
      </w:r>
      <w:r w:rsidR="001A46FD" w:rsidRPr="004C78D8">
        <w:t xml:space="preserve"> based on the comparison of alternative intervention strategies</w:t>
      </w:r>
      <w:r w:rsidRPr="004C78D8">
        <w:t xml:space="preserve">. The preliminary engagement with the Sheffield commissioners </w:t>
      </w:r>
      <w:r w:rsidR="00E049F8" w:rsidRPr="004C78D8">
        <w:t>represents</w:t>
      </w:r>
      <w:r w:rsidRPr="004C78D8">
        <w:t xml:space="preserve"> the start of a process of incorporating community-based falls prevention within the local geriatric public health strategy</w:t>
      </w:r>
      <w:r w:rsidR="00E049F8" w:rsidRPr="004C78D8">
        <w:t xml:space="preserve"> and practice</w:t>
      </w:r>
      <w:r w:rsidRPr="004C78D8">
        <w:t xml:space="preserve">. The chapter </w:t>
      </w:r>
      <w:r w:rsidR="00E049F8" w:rsidRPr="004C78D8">
        <w:t>also conducted a comprehensive</w:t>
      </w:r>
      <w:r w:rsidRPr="004C78D8">
        <w:t xml:space="preserve"> methodological appraisal</w:t>
      </w:r>
      <w:r w:rsidR="00E049F8" w:rsidRPr="004C78D8">
        <w:t xml:space="preserve"> of the model, using both the checklist and narrative synthesis</w:t>
      </w:r>
      <w:r w:rsidRPr="004C78D8">
        <w:t xml:space="preserve">. Several methodological limitations were highlighted as well as areas warranting </w:t>
      </w:r>
      <w:r w:rsidR="008E4609" w:rsidRPr="004C78D8">
        <w:t>further research</w:t>
      </w:r>
      <w:r w:rsidRPr="004C78D8">
        <w:t>.</w:t>
      </w:r>
      <w:r w:rsidR="00E049F8" w:rsidRPr="004C78D8">
        <w:t xml:space="preserve"> These methodological </w:t>
      </w:r>
      <w:r w:rsidR="00D16469" w:rsidRPr="004C78D8">
        <w:t xml:space="preserve">aspects </w:t>
      </w:r>
      <w:r w:rsidR="00E049F8" w:rsidRPr="004C78D8">
        <w:t>and prospective research areas</w:t>
      </w:r>
      <w:r w:rsidRPr="004C78D8">
        <w:t xml:space="preserve"> </w:t>
      </w:r>
      <w:r w:rsidR="00E049F8" w:rsidRPr="004C78D8">
        <w:t>are further discussed in the next chapter.</w:t>
      </w:r>
      <w:r w:rsidR="00FB510F" w:rsidRPr="004C78D8">
        <w:br w:type="page"/>
      </w:r>
    </w:p>
    <w:p w14:paraId="43AB8813" w14:textId="507D243E" w:rsidR="002A3214" w:rsidRPr="004C78D8" w:rsidRDefault="002A3214" w:rsidP="00FB7C1F">
      <w:pPr>
        <w:pStyle w:val="Heading1"/>
      </w:pPr>
      <w:bookmarkStart w:id="220" w:name="_Toc93566897"/>
      <w:bookmarkStart w:id="221" w:name="_Toc111630807"/>
      <w:r w:rsidRPr="004C78D8">
        <w:t xml:space="preserve">Chapter </w:t>
      </w:r>
      <w:r w:rsidR="002A400B" w:rsidRPr="004C78D8">
        <w:t>7</w:t>
      </w:r>
      <w:r w:rsidRPr="004C78D8">
        <w:t>. Discussion, Further Research</w:t>
      </w:r>
      <w:r w:rsidR="00096D5E" w:rsidRPr="004C78D8">
        <w:t xml:space="preserve"> and Conclusion</w:t>
      </w:r>
      <w:bookmarkEnd w:id="220"/>
      <w:bookmarkEnd w:id="221"/>
    </w:p>
    <w:p w14:paraId="27D19DC3" w14:textId="0A45FC56" w:rsidR="002A3214" w:rsidRPr="004C78D8" w:rsidRDefault="002A3214" w:rsidP="00FB7C1F"/>
    <w:p w14:paraId="39EE21E5" w14:textId="038F0E12" w:rsidR="00394FD4" w:rsidRPr="004C78D8" w:rsidRDefault="002A400B" w:rsidP="00FB7C1F">
      <w:pPr>
        <w:pStyle w:val="Heading2"/>
      </w:pPr>
      <w:bookmarkStart w:id="222" w:name="_Toc93566898"/>
      <w:bookmarkStart w:id="223" w:name="_Toc111630808"/>
      <w:r w:rsidRPr="004C78D8">
        <w:t>7</w:t>
      </w:r>
      <w:r w:rsidR="00394FD4" w:rsidRPr="004C78D8">
        <w:t>.1 Chapter outline</w:t>
      </w:r>
      <w:bookmarkEnd w:id="222"/>
      <w:bookmarkEnd w:id="223"/>
    </w:p>
    <w:p w14:paraId="2F18D2D9" w14:textId="26C2F227" w:rsidR="00394FD4" w:rsidRPr="004C78D8" w:rsidRDefault="00096D5E" w:rsidP="00FB7C1F">
      <w:r w:rsidRPr="004C78D8">
        <w:t xml:space="preserve">This chapter </w:t>
      </w:r>
      <w:r w:rsidR="00DF1EBB" w:rsidRPr="004C78D8">
        <w:t xml:space="preserve">aims to summarise and recap the </w:t>
      </w:r>
      <w:r w:rsidR="00A532F0" w:rsidRPr="004C78D8">
        <w:t xml:space="preserve">findings </w:t>
      </w:r>
      <w:r w:rsidR="00DF1EBB" w:rsidRPr="004C78D8">
        <w:t xml:space="preserve">from the whole </w:t>
      </w:r>
      <w:r w:rsidR="001946D8" w:rsidRPr="004C78D8">
        <w:t>research</w:t>
      </w:r>
      <w:r w:rsidR="00DF1EBB" w:rsidRPr="004C78D8">
        <w:t xml:space="preserve"> and to bring the study to its conclusion. </w:t>
      </w:r>
      <w:r w:rsidR="00DF1EBB" w:rsidRPr="00972766">
        <w:t xml:space="preserve">Section </w:t>
      </w:r>
      <w:r w:rsidR="002A400B" w:rsidRPr="00972766">
        <w:t>7</w:t>
      </w:r>
      <w:r w:rsidR="00DF1EBB" w:rsidRPr="00972766">
        <w:t>.2</w:t>
      </w:r>
      <w:r w:rsidR="00DF1EBB" w:rsidRPr="004C78D8">
        <w:t xml:space="preserve"> </w:t>
      </w:r>
      <w:r w:rsidRPr="004C78D8">
        <w:t xml:space="preserve">discusses </w:t>
      </w:r>
      <w:r w:rsidR="000A1EBE" w:rsidRPr="004C78D8">
        <w:t xml:space="preserve">what this </w:t>
      </w:r>
      <w:r w:rsidR="00AD11EE" w:rsidRPr="004C78D8">
        <w:t>research</w:t>
      </w:r>
      <w:r w:rsidR="000A1EBE" w:rsidRPr="004C78D8">
        <w:t xml:space="preserve"> contributes</w:t>
      </w:r>
      <w:r w:rsidR="00DF1EBB" w:rsidRPr="004C78D8">
        <w:t xml:space="preserve"> </w:t>
      </w:r>
      <w:r w:rsidR="000A1EBE" w:rsidRPr="004C78D8">
        <w:t>regarding</w:t>
      </w:r>
      <w:r w:rsidR="00E27ECA" w:rsidRPr="004C78D8">
        <w:t xml:space="preserve"> </w:t>
      </w:r>
      <w:r w:rsidR="000A1EBE" w:rsidRPr="004C78D8">
        <w:t xml:space="preserve">the </w:t>
      </w:r>
      <w:r w:rsidR="00E27ECA" w:rsidRPr="004C78D8">
        <w:t xml:space="preserve">methodological </w:t>
      </w:r>
      <w:r w:rsidR="000A1EBE" w:rsidRPr="004C78D8">
        <w:t xml:space="preserve">and commissioning </w:t>
      </w:r>
      <w:r w:rsidR="00E27ECA" w:rsidRPr="004C78D8">
        <w:t xml:space="preserve">practices </w:t>
      </w:r>
      <w:r w:rsidR="000A1EBE" w:rsidRPr="004C78D8">
        <w:t>for</w:t>
      </w:r>
      <w:r w:rsidR="00DF1EBB" w:rsidRPr="004C78D8">
        <w:t xml:space="preserve"> community-based falls prevention</w:t>
      </w:r>
      <w:r w:rsidR="004F2DC0" w:rsidRPr="004C78D8">
        <w:t>.</w:t>
      </w:r>
      <w:r w:rsidRPr="004C78D8">
        <w:t xml:space="preserve"> </w:t>
      </w:r>
      <w:r w:rsidR="00DF1EBB" w:rsidRPr="004C78D8">
        <w:t xml:space="preserve">Section </w:t>
      </w:r>
      <w:r w:rsidR="007440CE" w:rsidRPr="004C78D8">
        <w:t>7</w:t>
      </w:r>
      <w:r w:rsidR="00DF1EBB" w:rsidRPr="004C78D8">
        <w:t xml:space="preserve">.3 explores the methodological and evaluative implications on the economic modelling of further geriatric public health interventions. Section </w:t>
      </w:r>
      <w:r w:rsidR="007440CE" w:rsidRPr="004C78D8">
        <w:t>7</w:t>
      </w:r>
      <w:r w:rsidR="00DF1EBB" w:rsidRPr="004C78D8">
        <w:t>.4</w:t>
      </w:r>
      <w:r w:rsidR="004F2DC0" w:rsidRPr="004C78D8">
        <w:t xml:space="preserve"> </w:t>
      </w:r>
      <w:r w:rsidR="00E27ECA" w:rsidRPr="004C78D8">
        <w:t xml:space="preserve">evaluates the strengths and limitations of the study </w:t>
      </w:r>
      <w:r w:rsidR="003F6B2E" w:rsidRPr="004C78D8">
        <w:t>as a whole</w:t>
      </w:r>
      <w:r w:rsidR="00E27ECA" w:rsidRPr="004C78D8">
        <w:t xml:space="preserve">, </w:t>
      </w:r>
      <w:r w:rsidR="00DF1EBB" w:rsidRPr="004C78D8">
        <w:t xml:space="preserve">Section </w:t>
      </w:r>
      <w:r w:rsidR="007440CE" w:rsidRPr="004C78D8">
        <w:t>7</w:t>
      </w:r>
      <w:r w:rsidR="00DF1EBB" w:rsidRPr="004C78D8">
        <w:t xml:space="preserve">.5 </w:t>
      </w:r>
      <w:r w:rsidRPr="004C78D8">
        <w:t>suggests avenues for further research</w:t>
      </w:r>
      <w:r w:rsidR="00E27ECA" w:rsidRPr="004C78D8">
        <w:t xml:space="preserve">, and </w:t>
      </w:r>
      <w:r w:rsidR="00DF1EBB" w:rsidRPr="004C78D8">
        <w:t xml:space="preserve">Section </w:t>
      </w:r>
      <w:r w:rsidR="007440CE" w:rsidRPr="004C78D8">
        <w:t>7</w:t>
      </w:r>
      <w:r w:rsidR="00DF1EBB" w:rsidRPr="004C78D8">
        <w:t xml:space="preserve">.6 </w:t>
      </w:r>
      <w:r w:rsidR="00E27ECA" w:rsidRPr="004C78D8">
        <w:t>concludes</w:t>
      </w:r>
      <w:r w:rsidR="006A3560">
        <w:t xml:space="preserve"> the chapter</w:t>
      </w:r>
      <w:r w:rsidRPr="004C78D8">
        <w:t xml:space="preserve">. </w:t>
      </w:r>
    </w:p>
    <w:p w14:paraId="5BA11BFB" w14:textId="1258943B" w:rsidR="00394FD4" w:rsidRPr="004C78D8" w:rsidRDefault="00394FD4" w:rsidP="00FB7C1F"/>
    <w:p w14:paraId="6B3B5EDE" w14:textId="1FD08AC7" w:rsidR="006D3024" w:rsidRPr="004C78D8" w:rsidRDefault="007440CE" w:rsidP="00FB7C1F">
      <w:pPr>
        <w:pStyle w:val="Heading2"/>
      </w:pPr>
      <w:bookmarkStart w:id="224" w:name="_Toc93566899"/>
      <w:bookmarkStart w:id="225" w:name="_Toc111630809"/>
      <w:r w:rsidRPr="004C78D8">
        <w:t>7</w:t>
      </w:r>
      <w:r w:rsidR="006D3024" w:rsidRPr="004C78D8">
        <w:t xml:space="preserve">.2 </w:t>
      </w:r>
      <w:bookmarkEnd w:id="224"/>
      <w:r w:rsidR="000A1EBE" w:rsidRPr="004C78D8">
        <w:t>What this study contributes</w:t>
      </w:r>
      <w:bookmarkEnd w:id="225"/>
    </w:p>
    <w:p w14:paraId="619AC7AC" w14:textId="085554A9" w:rsidR="00616C8E" w:rsidRPr="004C78D8" w:rsidRDefault="00A7525E" w:rsidP="00FB7C1F">
      <w:r w:rsidRPr="004C78D8">
        <w:t xml:space="preserve">This </w:t>
      </w:r>
      <w:r w:rsidR="00F62B12" w:rsidRPr="004C78D8">
        <w:t>study</w:t>
      </w:r>
      <w:r w:rsidRPr="004C78D8">
        <w:t xml:space="preserve"> aimed to </w:t>
      </w:r>
      <w:r w:rsidR="00713259">
        <w:t xml:space="preserve">seek methodological solutions in </w:t>
      </w:r>
      <w:r w:rsidR="00F940B7" w:rsidRPr="004C78D8">
        <w:t>develop</w:t>
      </w:r>
      <w:r w:rsidR="00713259">
        <w:t>ing</w:t>
      </w:r>
      <w:r w:rsidR="00F940B7" w:rsidRPr="004C78D8">
        <w:t xml:space="preserve"> a credible economic model of community-based falls prevention interventions which assess</w:t>
      </w:r>
      <w:r w:rsidR="00251068" w:rsidRPr="004C78D8">
        <w:t>es</w:t>
      </w:r>
      <w:r w:rsidR="00F940B7" w:rsidRPr="004C78D8">
        <w:t xml:space="preserve"> the health economic performance of the UK guideline-recommended falls prevention strategy relative to current practice and alternative intervention strategies at the local health economy level. </w:t>
      </w:r>
      <w:r w:rsidR="00E5783F" w:rsidRPr="004C78D8">
        <w:t xml:space="preserve">The objectives were to: (1) develop a conceptual model of falls prevention; (2) conduct a methodologically rigorous systematic review of previous </w:t>
      </w:r>
      <w:r w:rsidR="00CB6170" w:rsidRPr="004C78D8">
        <w:t xml:space="preserve">falls prevention </w:t>
      </w:r>
      <w:r w:rsidR="00E5783F" w:rsidRPr="004C78D8">
        <w:t xml:space="preserve">models; and (3) develop a </w:t>
      </w:r>
      <w:r w:rsidR="00E5783F" w:rsidRPr="004C78D8">
        <w:rPr>
          <w:i/>
          <w:iCs/>
        </w:rPr>
        <w:t>de novo</w:t>
      </w:r>
      <w:r w:rsidR="00E5783F" w:rsidRPr="004C78D8">
        <w:t xml:space="preserve"> model </w:t>
      </w:r>
      <w:r w:rsidR="00713259">
        <w:t xml:space="preserve">that incorporates methodological solutions and analyse it </w:t>
      </w:r>
      <w:r w:rsidR="00040C93" w:rsidRPr="004C78D8">
        <w:t xml:space="preserve">to inform commissioning at </w:t>
      </w:r>
      <w:r w:rsidR="00E5783F" w:rsidRPr="004C78D8">
        <w:t>Sheffield</w:t>
      </w:r>
      <w:r w:rsidR="00CB6170" w:rsidRPr="004C78D8">
        <w:t xml:space="preserve"> as a representative local health </w:t>
      </w:r>
      <w:r w:rsidR="003D29A2" w:rsidRPr="004C78D8">
        <w:t>economy</w:t>
      </w:r>
      <w:r w:rsidR="00E5783F" w:rsidRPr="004C78D8">
        <w:t>.</w:t>
      </w:r>
      <w:r w:rsidR="00CB6170" w:rsidRPr="004C78D8">
        <w:t xml:space="preserve"> </w:t>
      </w:r>
      <w:r w:rsidR="00C74DAD" w:rsidRPr="004C78D8">
        <w:t>T</w:t>
      </w:r>
      <w:r w:rsidR="00F87DBD" w:rsidRPr="004C78D8">
        <w:t xml:space="preserve">he </w:t>
      </w:r>
      <w:r w:rsidR="00625197" w:rsidRPr="004C78D8">
        <w:t xml:space="preserve">key </w:t>
      </w:r>
      <w:r w:rsidR="007C47C0" w:rsidRPr="004C78D8">
        <w:t xml:space="preserve">contributions made by this thesis to the literature are discussed under these objectives </w:t>
      </w:r>
      <w:r w:rsidR="000E7ED4" w:rsidRPr="004C78D8">
        <w:t xml:space="preserve">(Sections </w:t>
      </w:r>
      <w:r w:rsidR="00251068" w:rsidRPr="004C78D8">
        <w:t>7</w:t>
      </w:r>
      <w:r w:rsidR="000E7ED4" w:rsidRPr="004C78D8">
        <w:t xml:space="preserve">.2.1 to </w:t>
      </w:r>
      <w:r w:rsidR="00251068" w:rsidRPr="004C78D8">
        <w:t>7</w:t>
      </w:r>
      <w:r w:rsidR="000E7ED4" w:rsidRPr="004C78D8">
        <w:t>.2.3).</w:t>
      </w:r>
      <w:r w:rsidR="003D29A2" w:rsidRPr="004C78D8">
        <w:t xml:space="preserve"> </w:t>
      </w:r>
    </w:p>
    <w:p w14:paraId="17521E4C" w14:textId="4C9D7990" w:rsidR="00616C8E" w:rsidRPr="004C78D8" w:rsidRDefault="004B5965" w:rsidP="00FB7C1F">
      <w:pPr>
        <w:pStyle w:val="Heading3"/>
      </w:pPr>
      <w:bookmarkStart w:id="226" w:name="_Toc111630810"/>
      <w:r w:rsidRPr="004C78D8">
        <w:t>7</w:t>
      </w:r>
      <w:r w:rsidR="00616C8E" w:rsidRPr="004C78D8">
        <w:t>.2.1 Developing a conceptual model of falls prevention</w:t>
      </w:r>
      <w:bookmarkEnd w:id="226"/>
    </w:p>
    <w:p w14:paraId="39AC259E" w14:textId="2E87EECC" w:rsidR="00625197" w:rsidRPr="004C78D8" w:rsidRDefault="0081609D" w:rsidP="00FB7C1F">
      <w:r w:rsidRPr="004C78D8">
        <w:t>Chapter 3 developed a conceptual model of community-based falls prevention which subsequently informed the systematic review and the model development and evaluation. The study objective (1) was thus met. T</w:t>
      </w:r>
      <w:r w:rsidR="00F326AA" w:rsidRPr="004C78D8">
        <w:t>hree</w:t>
      </w:r>
      <w:r w:rsidRPr="004C78D8">
        <w:t xml:space="preserve"> key contributions (KCs) to the literature can be highlighted.</w:t>
      </w:r>
    </w:p>
    <w:p w14:paraId="4E6DAEFC" w14:textId="0AC2910E" w:rsidR="00625197" w:rsidRPr="004C78D8" w:rsidRDefault="008D6CA0" w:rsidP="00FB7C1F">
      <w:pPr>
        <w:rPr>
          <w:b/>
          <w:bCs/>
          <w:i/>
          <w:iCs/>
        </w:rPr>
      </w:pPr>
      <w:r w:rsidRPr="004C78D8">
        <w:rPr>
          <w:b/>
          <w:bCs/>
          <w:i/>
          <w:iCs/>
        </w:rPr>
        <w:t>(KC</w:t>
      </w:r>
      <w:r w:rsidR="00906D13" w:rsidRPr="004C78D8">
        <w:rPr>
          <w:b/>
          <w:bCs/>
          <w:i/>
          <w:iCs/>
        </w:rPr>
        <w:t>1</w:t>
      </w:r>
      <w:r w:rsidRPr="004C78D8">
        <w:rPr>
          <w:b/>
          <w:bCs/>
          <w:i/>
          <w:iCs/>
        </w:rPr>
        <w:t xml:space="preserve">) </w:t>
      </w:r>
      <w:r w:rsidR="00906D13" w:rsidRPr="004C78D8">
        <w:rPr>
          <w:b/>
          <w:bCs/>
          <w:i/>
          <w:iCs/>
        </w:rPr>
        <w:t>A</w:t>
      </w:r>
      <w:r w:rsidRPr="004C78D8">
        <w:rPr>
          <w:b/>
          <w:bCs/>
          <w:i/>
          <w:iCs/>
        </w:rPr>
        <w:t xml:space="preserve"> conceptual model of the falls prevention decision problem </w:t>
      </w:r>
      <w:r w:rsidR="00906D13" w:rsidRPr="004C78D8">
        <w:rPr>
          <w:b/>
          <w:bCs/>
          <w:i/>
          <w:iCs/>
        </w:rPr>
        <w:t xml:space="preserve">was transparently developed </w:t>
      </w:r>
      <w:r w:rsidR="00934EBA" w:rsidRPr="004C78D8">
        <w:rPr>
          <w:b/>
          <w:bCs/>
          <w:i/>
          <w:iCs/>
        </w:rPr>
        <w:t xml:space="preserve">according to </w:t>
      </w:r>
      <w:r w:rsidRPr="004C78D8">
        <w:rPr>
          <w:b/>
          <w:bCs/>
          <w:i/>
          <w:iCs/>
        </w:rPr>
        <w:t>a published framework</w:t>
      </w:r>
      <w:r w:rsidR="005464B9" w:rsidRPr="004C78D8">
        <w:rPr>
          <w:b/>
          <w:bCs/>
          <w:i/>
          <w:iCs/>
        </w:rPr>
        <w:t>.</w:t>
      </w:r>
    </w:p>
    <w:p w14:paraId="1A272A66" w14:textId="7F4C6360" w:rsidR="0081609D" w:rsidRPr="004C78D8" w:rsidRDefault="00BE4C70" w:rsidP="00FB7C1F">
      <w:r w:rsidRPr="004C78D8">
        <w:t xml:space="preserve">The model conceptualisation in Chapter 3 proceeded according to the stages outlined in the published framework for public health model conceptualisation </w:t>
      </w:r>
      <w:r w:rsidRPr="004C78D8">
        <w:fldChar w:fldCharType="begin"/>
      </w:r>
      <w:r w:rsidRPr="004C78D8">
        <w:instrText xml:space="preserve"> ADDIN EN.CITE &lt;EndNote&gt;&lt;Cite&gt;&lt;Author&gt;Squires&lt;/Author&gt;&lt;Year&gt;2016&lt;/Year&gt;&lt;RecNum&gt;158&lt;/RecNum&gt;&lt;DisplayText&gt;[1]&lt;/DisplayText&gt;&lt;record&gt;&lt;rec-number&gt;158&lt;/rec-number&gt;&lt;foreign-keys&gt;&lt;key app="EN" db-id="tdtrdw9aepptzbefsat599syza29sxsd2wsp" timestamp="1609254669"&gt;158&lt;/key&gt;&lt;/foreign-keys&gt;&lt;ref-type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framework for developing the structure of public health economic models&lt;/title&gt;&lt;secondary-title&gt;Value in Health&lt;/secondary-title&gt;&lt;/titles&gt;&lt;periodical&gt;&lt;full-title&gt;Value in Health&lt;/full-title&gt;&lt;/periodical&gt;&lt;pages&gt;588-601&lt;/pages&gt;&lt;volume&gt;19&lt;/volume&gt;&lt;number&gt;5&lt;/number&gt;&lt;dates&gt;&lt;year&gt;2016&lt;/year&gt;&lt;/dates&gt;&lt;isbn&gt;1098-3015&lt;/isbn&gt;&lt;urls&gt;&lt;/urls&gt;&lt;research-notes&gt;1&lt;/research-notes&gt;&lt;/record&gt;&lt;/Cite&gt;&lt;/EndNote&gt;</w:instrText>
      </w:r>
      <w:r w:rsidRPr="004C78D8">
        <w:fldChar w:fldCharType="separate"/>
      </w:r>
      <w:r w:rsidRPr="004C78D8">
        <w:rPr>
          <w:noProof/>
        </w:rPr>
        <w:t>[1]</w:t>
      </w:r>
      <w:r w:rsidRPr="004C78D8">
        <w:fldChar w:fldCharType="end"/>
      </w:r>
      <w:r w:rsidRPr="004C78D8">
        <w:t xml:space="preserve">. These stages involved asking key conceptual questions (e.g., </w:t>
      </w:r>
      <w:r w:rsidR="00023D8A" w:rsidRPr="004C78D8">
        <w:t>what is the main</w:t>
      </w:r>
      <w:r w:rsidRPr="004C78D8">
        <w:t xml:space="preserve"> decision problem</w:t>
      </w:r>
      <w:r w:rsidR="0025010A" w:rsidRPr="004C78D8">
        <w:t xml:space="preserve"> and why is it a problem</w:t>
      </w:r>
      <w:r w:rsidRPr="004C78D8">
        <w:t xml:space="preserve">?) and documenting the corresponding answers obtained from local stakeholders and the literature. </w:t>
      </w:r>
      <w:r w:rsidR="003E57DE" w:rsidRPr="004C78D8">
        <w:t>The improved understanding of the decision problem and its context prospectively reduced</w:t>
      </w:r>
      <w:r w:rsidR="00A63945" w:rsidRPr="004C78D8">
        <w:t xml:space="preserve"> the model’s structural uncertainty. </w:t>
      </w:r>
      <w:r w:rsidRPr="004C78D8">
        <w:t xml:space="preserve">This is a novel contribution to the falls prevention literature: seven models in Chapter </w:t>
      </w:r>
      <w:r w:rsidR="000A085C" w:rsidRPr="004C78D8">
        <w:t xml:space="preserve">4 </w:t>
      </w:r>
      <w:r w:rsidRPr="004C78D8">
        <w:t xml:space="preserve">involved experts and stakeholders in model development </w:t>
      </w:r>
      <w:r w:rsidRPr="004C78D8">
        <w:fldChar w:fldCharType="begin">
          <w:fldData xml:space="preserve">PEVuZE5vdGU+PENpdGU+PEF1dGhvcj5Ib3dsYW5kPC9BdXRob3I+PFllYXI+MjAxNTwvWWVhcj48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=
</w:fldData>
        </w:fldChar>
      </w:r>
      <w:r w:rsidR="00C630FC" w:rsidRPr="004C78D8">
        <w:instrText xml:space="preserve"> ADDIN EN.CITE </w:instrText>
      </w:r>
      <w:r w:rsidR="00C630FC" w:rsidRPr="004C78D8">
        <w:fldChar w:fldCharType="begin">
          <w:fldData xml:space="preserve">PEVuZE5vdGU+PENpdGU+PEF1dGhvcj5Ib3dsYW5kPC9BdXRob3I+PFllYXI+MjAxNTwvWWVhcj48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=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[167, 200, 216, 336, 346, 348, 368]</w:t>
      </w:r>
      <w:r w:rsidRPr="004C78D8">
        <w:fldChar w:fldCharType="end"/>
      </w:r>
      <w:r w:rsidRPr="004C78D8">
        <w:t xml:space="preserve">; but none </w:t>
      </w:r>
      <w:r w:rsidR="004B5965" w:rsidRPr="004C78D8">
        <w:t xml:space="preserve">detailed </w:t>
      </w:r>
      <w:r w:rsidR="00023D8A" w:rsidRPr="004C78D8">
        <w:t>the conceptualisation process or structured it according to a framework.</w:t>
      </w:r>
      <w:r w:rsidR="00A621F6" w:rsidRPr="004C78D8">
        <w:t xml:space="preserve"> Moreover, given that the framework is targeted at public health economic modelling in general </w:t>
      </w:r>
      <w:r w:rsidR="00A621F6" w:rsidRPr="004C78D8">
        <w:fldChar w:fldCharType="begin"/>
      </w:r>
      <w:r w:rsidR="00A621F6" w:rsidRPr="004C78D8">
        <w:instrText xml:space="preserve"> ADDIN EN.CITE &lt;EndNote&gt;&lt;Cite&gt;&lt;Author&gt;Squires&lt;/Author&gt;&lt;Year&gt;2016&lt;/Year&gt;&lt;RecNum&gt;158&lt;/RecNum&gt;&lt;DisplayText&gt;[1]&lt;/DisplayText&gt;&lt;record&gt;&lt;rec-number&gt;158&lt;/rec-number&gt;&lt;foreign-keys&gt;&lt;key app="EN" db-id="tdtrdw9aepptzbefsat599syza29sxsd2wsp" timestamp="1609254669"&gt;158&lt;/key&gt;&lt;/foreign-keys&gt;&lt;ref-type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framework for developing the structure of public health economic models&lt;/title&gt;&lt;secondary-title&gt;Value in Health&lt;/secondary-title&gt;&lt;/titles&gt;&lt;periodical&gt;&lt;full-title&gt;Value in Health&lt;/full-title&gt;&lt;/periodical&gt;&lt;pages&gt;588-601&lt;/pages&gt;&lt;volume&gt;19&lt;/volume&gt;&lt;number&gt;5&lt;/number&gt;&lt;dates&gt;&lt;year&gt;2016&lt;/year&gt;&lt;/dates&gt;&lt;isbn&gt;1098-3015&lt;/isbn&gt;&lt;urls&gt;&lt;/urls&gt;&lt;research-notes&gt;1&lt;/research-notes&gt;&lt;/record&gt;&lt;/Cite&gt;&lt;/EndNote&gt;</w:instrText>
      </w:r>
      <w:r w:rsidR="00A621F6" w:rsidRPr="004C78D8">
        <w:fldChar w:fldCharType="separate"/>
      </w:r>
      <w:r w:rsidR="00A621F6" w:rsidRPr="004C78D8">
        <w:rPr>
          <w:noProof/>
        </w:rPr>
        <w:t>[1]</w:t>
      </w:r>
      <w:r w:rsidR="00A621F6" w:rsidRPr="004C78D8">
        <w:fldChar w:fldCharType="end"/>
      </w:r>
      <w:r w:rsidR="00A621F6" w:rsidRPr="004C78D8">
        <w:t xml:space="preserve">, </w:t>
      </w:r>
      <w:r w:rsidR="004B5965" w:rsidRPr="004C78D8">
        <w:t>this contribution can be replicated</w:t>
      </w:r>
      <w:r w:rsidR="00A621F6" w:rsidRPr="004C78D8">
        <w:t xml:space="preserve"> in </w:t>
      </w:r>
      <w:r w:rsidR="004B5965" w:rsidRPr="004C78D8">
        <w:t>wider public health areas</w:t>
      </w:r>
      <w:r w:rsidR="00A621F6" w:rsidRPr="004C78D8">
        <w:t>.</w:t>
      </w:r>
    </w:p>
    <w:p w14:paraId="4A52C971" w14:textId="77777777" w:rsidR="00023D8A" w:rsidRPr="004C78D8" w:rsidRDefault="00023D8A" w:rsidP="00FB7C1F">
      <w:pPr>
        <w:rPr>
          <w:b/>
          <w:bCs/>
          <w:i/>
          <w:iCs/>
        </w:rPr>
      </w:pPr>
      <w:r w:rsidRPr="004C78D8">
        <w:rPr>
          <w:b/>
          <w:bCs/>
          <w:i/>
          <w:iCs/>
        </w:rPr>
        <w:t>(KC2) Qualitative data from current and eligible users of falls prevention interventions were used to directly inform the conceptual model development.</w:t>
      </w:r>
    </w:p>
    <w:p w14:paraId="6506DE39" w14:textId="5ED29E30" w:rsidR="00023D8A" w:rsidRPr="004C78D8" w:rsidRDefault="00023D8A" w:rsidP="00FB7C1F">
      <w:r w:rsidRPr="004C78D8">
        <w:t xml:space="preserve">Chapter 2 demonstrated that qualitative data on older persons’ views on facilitators and barriers to falls prevention can be mapped to frameworks informing commissioning and conceptual model development. This contrasts with the currently prevalent approach of conducting qualitative research separately from economic evaluation </w:t>
      </w:r>
      <w:r w:rsidRPr="004C78D8">
        <w:fldChar w:fldCharType="begin">
          <w:fldData xml:space="preserve">PEVuZE5vdGU+PENpdGU+PEF1dGhvcj5MYW1iPC9BdXRob3I+PFllYXI+MjAxODwvWWVhcj48UmVj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</w:fldData>
        </w:fldChar>
      </w:r>
      <w:r w:rsidR="00C630FC" w:rsidRPr="004C78D8">
        <w:instrText xml:space="preserve"> ADDIN EN.CITE </w:instrText>
      </w:r>
      <w:r w:rsidR="00C630FC" w:rsidRPr="004C78D8">
        <w:fldChar w:fldCharType="begin">
          <w:fldData xml:space="preserve">PEVuZE5vdGU+PENpdGU+PEF1dGhvcj5MYW1iPC9BdXRob3I+PFllYXI+MjAxODwvWWVhcj48UmVj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[146, 193, 194]</w:t>
      </w:r>
      <w:r w:rsidRPr="004C78D8">
        <w:fldChar w:fldCharType="end"/>
      </w:r>
      <w:r w:rsidRPr="004C78D8">
        <w:t xml:space="preserve">. This is particularly relevant to falls prevention which has been the subject of numerous qualitative studies </w:t>
      </w:r>
      <w:r w:rsidRPr="004C78D8">
        <w:fldChar w:fldCharType="begin">
          <w:fldData xml:space="preserve">PEVuZE5vdGU+PENpdGU+PEF1dGhvcj5DaGlsZDwvQXV0aG9yPjxZZWFyPjIwMTI8L1llYXI+PFJl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</w:fldData>
        </w:fldChar>
      </w:r>
      <w:r w:rsidR="00C630FC" w:rsidRPr="004C78D8">
        <w:instrText xml:space="preserve"> ADDIN EN.CITE </w:instrText>
      </w:r>
      <w:r w:rsidR="00C630FC" w:rsidRPr="004C78D8">
        <w:fldChar w:fldCharType="begin">
          <w:fldData xml:space="preserve">PEVuZE5vdGU+PENpdGU+PEF1dGhvcj5DaGlsZDwvQXV0aG9yPjxZZWFyPjIwMTI8L1llYXI+PFJl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</w:fldData>
        </w:fldChar>
      </w:r>
      <w:r w:rsidR="00C630FC" w:rsidRPr="004C78D8">
        <w:instrText xml:space="preserve"> ADDIN EN.CITE.DATA </w:instrText>
      </w:r>
      <w:r w:rsidR="00C630FC" w:rsidRPr="004C78D8">
        <w:fldChar w:fldCharType="end"/>
      </w:r>
      <w:r w:rsidRPr="004C78D8">
        <w:fldChar w:fldCharType="separate"/>
      </w:r>
      <w:r w:rsidR="00C630FC" w:rsidRPr="004C78D8">
        <w:rPr>
          <w:noProof/>
        </w:rPr>
        <w:t>[141, 201, 243]</w:t>
      </w:r>
      <w:r w:rsidRPr="004C78D8">
        <w:fldChar w:fldCharType="end"/>
      </w:r>
      <w:r w:rsidRPr="004C78D8">
        <w:t>.</w:t>
      </w:r>
    </w:p>
    <w:p w14:paraId="272FE3A3" w14:textId="30F2984D" w:rsidR="00023D8A" w:rsidRPr="004C78D8" w:rsidRDefault="00023D8A" w:rsidP="00FB7C1F">
      <w:pPr>
        <w:rPr>
          <w:b/>
          <w:bCs/>
          <w:i/>
          <w:iCs/>
        </w:rPr>
      </w:pPr>
      <w:r w:rsidRPr="004C78D8">
        <w:rPr>
          <w:b/>
          <w:bCs/>
          <w:i/>
          <w:iCs/>
        </w:rPr>
        <w:t xml:space="preserve">(KC3) The conceptual model </w:t>
      </w:r>
      <w:r w:rsidR="00372EF5" w:rsidRPr="004C78D8">
        <w:rPr>
          <w:b/>
          <w:bCs/>
          <w:i/>
          <w:iCs/>
        </w:rPr>
        <w:t>was used to appraise</w:t>
      </w:r>
      <w:r w:rsidR="00A63945" w:rsidRPr="004C78D8">
        <w:rPr>
          <w:b/>
          <w:bCs/>
          <w:i/>
          <w:iCs/>
        </w:rPr>
        <w:t xml:space="preserve"> the strengths and limitations of the final </w:t>
      </w:r>
      <w:r w:rsidR="00372EF5" w:rsidRPr="004C78D8">
        <w:rPr>
          <w:b/>
          <w:bCs/>
          <w:i/>
          <w:iCs/>
        </w:rPr>
        <w:t xml:space="preserve">falls prevention </w:t>
      </w:r>
      <w:r w:rsidR="00A63945" w:rsidRPr="004C78D8">
        <w:rPr>
          <w:b/>
          <w:bCs/>
          <w:i/>
          <w:iCs/>
        </w:rPr>
        <w:t>model.</w:t>
      </w:r>
    </w:p>
    <w:p w14:paraId="361E39AA" w14:textId="6ADF2C17" w:rsidR="00023D8A" w:rsidRPr="004C78D8" w:rsidRDefault="001D31B3" w:rsidP="00FB7C1F">
      <w:r w:rsidRPr="004C78D8">
        <w:t>The conceptual model’s identifications of key causal links and relevant interventions in Sections 3.6 and 3.7 helped appraise</w:t>
      </w:r>
      <w:r w:rsidR="00023D8A" w:rsidRPr="004C78D8">
        <w:t xml:space="preserve"> the comprehensiveness of the final model structure by assessing which </w:t>
      </w:r>
      <w:r w:rsidRPr="004C78D8">
        <w:t xml:space="preserve">links and intervention features </w:t>
      </w:r>
      <w:r w:rsidR="00023D8A" w:rsidRPr="004C78D8">
        <w:t xml:space="preserve">were </w:t>
      </w:r>
      <w:r w:rsidRPr="004C78D8">
        <w:t>incorporated</w:t>
      </w:r>
      <w:r w:rsidR="00023D8A" w:rsidRPr="004C78D8">
        <w:t xml:space="preserve"> in the final model.</w:t>
      </w:r>
      <w:r w:rsidRPr="004C78D8">
        <w:t xml:space="preserve"> These conceptual details thus constituted a design-oriented conceptual model against which various simplifications and abstractions during the model parameterisation </w:t>
      </w:r>
      <w:r w:rsidR="006D1E3F" w:rsidRPr="004C78D8">
        <w:t>were</w:t>
      </w:r>
      <w:r w:rsidRPr="004C78D8">
        <w:t xml:space="preserve"> compared and justified </w:t>
      </w:r>
      <w:r w:rsidRPr="004C78D8">
        <w:fldChar w:fldCharType="begin"/>
      </w:r>
      <w:r w:rsidR="00C630FC" w:rsidRPr="004C78D8">
        <w:instrText xml:space="preserve"> ADDIN EN.CITE &lt;EndNote&gt;&lt;Cite&gt;&lt;Author&gt;Tappenden&lt;/Author&gt;&lt;Year&gt;2012&lt;/Year&gt;&lt;RecNum&gt;491&lt;/RecNum&gt;&lt;DisplayText&gt;[211]&lt;/DisplayText&gt;&lt;record&gt;&lt;rec-number&gt;491&lt;/rec-number&gt;&lt;foreign-keys&gt;&lt;key app="EN" db-id="tdtrdw9aepptzbefsat599syza29sxsd2wsp" timestamp="1617123599"&gt;491&lt;/key&gt;&lt;/foreign-keys&gt;&lt;ref-type name="Journal Article"&gt;17&lt;/ref-type&gt;&lt;contributors&gt;&lt;authors&gt;&lt;author&gt;Tappenden, P&lt;/author&gt;&lt;/authors&gt;&lt;/contributors&gt;&lt;titles&gt;&lt;title&gt;Conceptual modelling for health economic model development&lt;/title&gt;&lt;secondary-title&gt;HEDS Discussion Paper 12/05&lt;/secondary-title&gt;&lt;/titles&gt;&lt;periodical&gt;&lt;full-title&gt;HEDS Discussion Paper 12/05&lt;/full-title&gt;&lt;/periodical&gt;&lt;dates&gt;&lt;year&gt;2012&lt;/year&gt;&lt;/dates&gt;&lt;urls&gt;&lt;/urls&gt;&lt;/record&gt;&lt;/Cite&gt;&lt;/EndNote&gt;</w:instrText>
      </w:r>
      <w:r w:rsidRPr="004C78D8">
        <w:fldChar w:fldCharType="separate"/>
      </w:r>
      <w:r w:rsidR="00C630FC" w:rsidRPr="004C78D8">
        <w:rPr>
          <w:noProof/>
        </w:rPr>
        <w:t>[211]</w:t>
      </w:r>
      <w:r w:rsidRPr="004C78D8">
        <w:fldChar w:fldCharType="end"/>
      </w:r>
      <w:r w:rsidRPr="004C78D8">
        <w:t xml:space="preserve">. </w:t>
      </w:r>
      <w:r w:rsidR="000E62C6" w:rsidRPr="004C78D8">
        <w:t xml:space="preserve">Accordingly, Section 6.4.4 detailed how the final model incorporated or omitted several key conceptualised features. </w:t>
      </w:r>
      <w:r w:rsidRPr="004C78D8">
        <w:t>This is again a novel contribution to the falls prevention literature</w:t>
      </w:r>
      <w:r w:rsidR="00AC67A9" w:rsidRPr="004C78D8">
        <w:t>: none of the previous models that engaged stakeholders prospectively described the key causal links and intervention features against which the final model can be compared. Their discussions of the model strengths and limitations were consequently unsystematic.</w:t>
      </w:r>
    </w:p>
    <w:p w14:paraId="14F38D11" w14:textId="77777777" w:rsidR="00D0788D" w:rsidRPr="004C78D8" w:rsidRDefault="00D0788D" w:rsidP="00FB7C1F"/>
    <w:p w14:paraId="4A62494F" w14:textId="38389BD5" w:rsidR="00616C8E" w:rsidRPr="004C78D8" w:rsidRDefault="00A85B55" w:rsidP="00FB7C1F">
      <w:pPr>
        <w:pStyle w:val="Heading3"/>
      </w:pPr>
      <w:bookmarkStart w:id="227" w:name="_Toc111630811"/>
      <w:r w:rsidRPr="004C78D8">
        <w:t>7</w:t>
      </w:r>
      <w:r w:rsidR="00616C8E" w:rsidRPr="004C78D8">
        <w:t>.2.2 Conducting a systematic review of falls prevention models</w:t>
      </w:r>
      <w:bookmarkEnd w:id="227"/>
    </w:p>
    <w:p w14:paraId="02EA1839" w14:textId="71705320" w:rsidR="00E04265" w:rsidRPr="004C78D8" w:rsidRDefault="004D4B0E" w:rsidP="00FB7C1F">
      <w:r w:rsidRPr="004C78D8">
        <w:t xml:space="preserve">Chapter </w:t>
      </w:r>
      <w:r w:rsidR="003D28E1" w:rsidRPr="004C78D8">
        <w:t xml:space="preserve">4 </w:t>
      </w:r>
      <w:r w:rsidRPr="004C78D8">
        <w:t xml:space="preserve">conducted a comprehensive systematic review of previous falls prevention models which subsequently informed the model development and evaluation. This was preceded by the systematic overview in </w:t>
      </w:r>
      <w:r w:rsidR="003D28E1" w:rsidRPr="004C78D8">
        <w:t>Appendix C</w:t>
      </w:r>
      <w:r w:rsidRPr="004C78D8">
        <w:t xml:space="preserve"> which informed the systematic review methodology. The study objective (2) </w:t>
      </w:r>
      <w:r w:rsidR="001B59DA" w:rsidRPr="004C78D8">
        <w:t xml:space="preserve">to conduct a methodologically rigorous systematic review of previous falls prevention models </w:t>
      </w:r>
      <w:r w:rsidRPr="004C78D8">
        <w:t xml:space="preserve">was thus met. </w:t>
      </w:r>
      <w:r w:rsidR="008D39C9" w:rsidRPr="004C78D8">
        <w:t xml:space="preserve">Two </w:t>
      </w:r>
      <w:r w:rsidRPr="004C78D8">
        <w:t>key contributions to the literature can be highlighted.</w:t>
      </w:r>
    </w:p>
    <w:p w14:paraId="1C50D419" w14:textId="2ECC06AE" w:rsidR="00E04265" w:rsidRPr="004C78D8" w:rsidRDefault="004D4B0E" w:rsidP="00FB7C1F">
      <w:pPr>
        <w:rPr>
          <w:b/>
          <w:bCs/>
          <w:i/>
          <w:iCs/>
        </w:rPr>
      </w:pPr>
      <w:r w:rsidRPr="004C78D8">
        <w:rPr>
          <w:b/>
          <w:bCs/>
          <w:i/>
          <w:iCs/>
        </w:rPr>
        <w:t>(</w:t>
      </w:r>
      <w:r w:rsidR="003D141B" w:rsidRPr="004C78D8">
        <w:rPr>
          <w:b/>
          <w:bCs/>
          <w:i/>
          <w:iCs/>
        </w:rPr>
        <w:t>KC4</w:t>
      </w:r>
      <w:r w:rsidRPr="004C78D8">
        <w:rPr>
          <w:b/>
          <w:bCs/>
          <w:i/>
          <w:iCs/>
        </w:rPr>
        <w:t xml:space="preserve">) The systematic review was the most comprehensive review to date </w:t>
      </w:r>
      <w:r w:rsidR="004C488D" w:rsidRPr="004C78D8">
        <w:rPr>
          <w:b/>
          <w:bCs/>
          <w:i/>
          <w:iCs/>
        </w:rPr>
        <w:t>for</w:t>
      </w:r>
      <w:r w:rsidRPr="004C78D8">
        <w:rPr>
          <w:b/>
          <w:bCs/>
          <w:i/>
          <w:iCs/>
        </w:rPr>
        <w:t xml:space="preserve"> community-based falls prevention model</w:t>
      </w:r>
      <w:r w:rsidR="0007795B" w:rsidRPr="004C78D8">
        <w:rPr>
          <w:b/>
          <w:bCs/>
          <w:i/>
          <w:iCs/>
        </w:rPr>
        <w:t>s</w:t>
      </w:r>
      <w:r w:rsidR="00C329D5" w:rsidRPr="004C78D8">
        <w:rPr>
          <w:b/>
          <w:bCs/>
          <w:i/>
          <w:iCs/>
        </w:rPr>
        <w:t>, covering all relevant methodological categories and issuing commissioning recommendations.</w:t>
      </w:r>
    </w:p>
    <w:p w14:paraId="1CAF147B" w14:textId="0CB2B9C6" w:rsidR="00542684" w:rsidRPr="004C78D8" w:rsidRDefault="007612CA" w:rsidP="00FB7C1F">
      <w:r w:rsidRPr="004C78D8">
        <w:t xml:space="preserve">The </w:t>
      </w:r>
      <w:r w:rsidR="00232C85" w:rsidRPr="004C78D8">
        <w:t xml:space="preserve">systematic </w:t>
      </w:r>
      <w:r w:rsidRPr="004C78D8">
        <w:t xml:space="preserve">review incorporated 46 models which </w:t>
      </w:r>
      <w:r w:rsidR="00232C85" w:rsidRPr="004C78D8">
        <w:t>was</w:t>
      </w:r>
      <w:r w:rsidRPr="004C78D8">
        <w:t xml:space="preserve"> 26 more than those identified </w:t>
      </w:r>
      <w:r w:rsidR="00534135" w:rsidRPr="004C78D8">
        <w:t xml:space="preserve">altogether </w:t>
      </w:r>
      <w:r w:rsidRPr="004C78D8">
        <w:t xml:space="preserve">by </w:t>
      </w:r>
      <w:r w:rsidR="00534135" w:rsidRPr="004C78D8">
        <w:t xml:space="preserve">the seven </w:t>
      </w:r>
      <w:r w:rsidRPr="004C78D8">
        <w:t xml:space="preserve">previous reviews. The narrative synthesis </w:t>
      </w:r>
      <w:r w:rsidR="00534135" w:rsidRPr="004C78D8">
        <w:t>was the most comprehensive to date, covering the following methodological categories for modelling</w:t>
      </w:r>
      <w:r w:rsidRPr="004C78D8">
        <w:t xml:space="preserve">: (1) falls epidemiology; (2) falls prevention intervention; (3) key public health modelling challenges; and (4) evaluation methods. </w:t>
      </w:r>
      <w:r w:rsidR="00DE5A95" w:rsidRPr="004C78D8">
        <w:t xml:space="preserve">This was complemented by the application of a reporting and methodological quality checklist designed by falls prevention experts </w:t>
      </w:r>
      <w:r w:rsidR="00DE5A95" w:rsidRPr="004C78D8">
        <w:fldChar w:fldCharType="begin"/>
      </w:r>
      <w:r w:rsidR="00513646" w:rsidRPr="004C78D8">
        <w:instrText xml:space="preserve"> ADDIN EN.CITE &lt;EndNote&gt;&lt;Cite&gt;&lt;Author&gt;Davis&lt;/Author&gt;&lt;Year&gt;2011&lt;/Year&gt;&lt;RecNum&gt;286&lt;/RecNum&gt;&lt;DisplayText&gt;[105]&lt;/DisplayText&gt;&lt;record&gt;&lt;rec-number&gt;286&lt;/rec-number&gt;&lt;foreign-keys&gt;&lt;key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00DE5A95" w:rsidRPr="004C78D8">
        <w:fldChar w:fldCharType="separate"/>
      </w:r>
      <w:r w:rsidR="00513646" w:rsidRPr="004C78D8">
        <w:rPr>
          <w:noProof/>
        </w:rPr>
        <w:t>[105]</w:t>
      </w:r>
      <w:r w:rsidR="00DE5A95" w:rsidRPr="004C78D8">
        <w:fldChar w:fldCharType="end"/>
      </w:r>
      <w:r w:rsidR="00DE5A95" w:rsidRPr="004C78D8">
        <w:t xml:space="preserve">. </w:t>
      </w:r>
      <w:r w:rsidR="00534135" w:rsidRPr="004C78D8">
        <w:t xml:space="preserve">The commissioning recommendations </w:t>
      </w:r>
      <w:r w:rsidR="00A85B55" w:rsidRPr="004C78D8">
        <w:t xml:space="preserve">(based only on the review results) </w:t>
      </w:r>
      <w:r w:rsidR="00534135" w:rsidRPr="004C78D8">
        <w:t xml:space="preserve">for general </w:t>
      </w:r>
      <w:r w:rsidR="0063647B" w:rsidRPr="004C78D8">
        <w:t>older</w:t>
      </w:r>
      <w:r w:rsidR="00534135" w:rsidRPr="004C78D8">
        <w:t xml:space="preserve"> populations over </w:t>
      </w:r>
      <w:r w:rsidR="0063647B" w:rsidRPr="004C78D8">
        <w:t xml:space="preserve">a </w:t>
      </w:r>
      <w:r w:rsidR="00534135" w:rsidRPr="004C78D8">
        <w:t xml:space="preserve">lifetime horizon were likewise comprehensive, considering </w:t>
      </w:r>
      <w:r w:rsidR="0063647B" w:rsidRPr="004C78D8">
        <w:t>efficiency</w:t>
      </w:r>
      <w:r w:rsidR="00534135" w:rsidRPr="004C78D8">
        <w:t xml:space="preserve">, </w:t>
      </w:r>
      <w:r w:rsidR="0063647B" w:rsidRPr="004C78D8">
        <w:t xml:space="preserve">equity, </w:t>
      </w:r>
      <w:r w:rsidR="00534135" w:rsidRPr="004C78D8">
        <w:t xml:space="preserve">feasibility and transferability, </w:t>
      </w:r>
      <w:r w:rsidR="0043765B" w:rsidRPr="004C78D8">
        <w:t xml:space="preserve">and </w:t>
      </w:r>
      <w:r w:rsidR="00534135" w:rsidRPr="004C78D8">
        <w:t>aggregate impact.</w:t>
      </w:r>
      <w:r w:rsidR="004F6AD3" w:rsidRPr="004C78D8">
        <w:t xml:space="preserve"> The synthesised methodological features </w:t>
      </w:r>
      <w:r w:rsidR="0059182A" w:rsidRPr="004C78D8">
        <w:t>help</w:t>
      </w:r>
      <w:r w:rsidR="0043765B" w:rsidRPr="004C78D8">
        <w:t>ed</w:t>
      </w:r>
      <w:r w:rsidR="0059182A" w:rsidRPr="004C78D8">
        <w:t xml:space="preserve"> formulate</w:t>
      </w:r>
      <w:r w:rsidR="004F6AD3" w:rsidRPr="004C78D8">
        <w:t xml:space="preserve"> commission</w:t>
      </w:r>
      <w:r w:rsidR="005B19CD" w:rsidRPr="004C78D8">
        <w:t>ing decisions that account</w:t>
      </w:r>
      <w:r w:rsidR="0043765B" w:rsidRPr="004C78D8">
        <w:t>ed</w:t>
      </w:r>
      <w:r w:rsidR="005B19CD" w:rsidRPr="004C78D8">
        <w:t xml:space="preserve"> for </w:t>
      </w:r>
      <w:r w:rsidR="0043765B" w:rsidRPr="004C78D8">
        <w:t>methodological influences on</w:t>
      </w:r>
      <w:r w:rsidR="00716F8E" w:rsidRPr="004C78D8">
        <w:t xml:space="preserve"> the evaluation outcomes</w:t>
      </w:r>
      <w:r w:rsidR="004F6AD3" w:rsidRPr="004C78D8">
        <w:t>.</w:t>
      </w:r>
    </w:p>
    <w:p w14:paraId="4F013670" w14:textId="15CD482A" w:rsidR="00815341" w:rsidRPr="004C78D8" w:rsidRDefault="00534135" w:rsidP="00FB7C1F">
      <w:r w:rsidRPr="004C78D8">
        <w:t xml:space="preserve">The four sub-categories under (3) corresponded to the key methodological challenges for public health economic modelling </w:t>
      </w:r>
      <w:r w:rsidRPr="004C78D8">
        <w:fldChar w:fldCharType="begin"/>
      </w:r>
      <w:r w:rsidR="00720CEE">
        <w:instrText xml:space="preserve"> ADDIN EN.CITE &lt;EndNote&gt;&lt;Cite&gt;&lt;Author&gt;Squires&lt;/Author&gt;&lt;Year&gt;2016&lt;/Year&gt;&lt;RecNum&gt;308&lt;/RecNum&gt;&lt;DisplayText&gt;[18]&lt;/DisplayText&gt;&lt;record&gt;&lt;rec-number&gt;308&lt;/rec-number&gt;&lt;foreign-keys&gt;&lt;key app="EN" db-id="tdtrdw9aepptzbefsat599syza29sxsd2wsp" timestamp="1612015645"&gt;308&lt;/key&gt;&lt;/foreign-keys&gt;&lt;ref-type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systematic literature review of the key challenges for developing the structure of public health economic models&lt;/title&gt;&lt;secondary-title&gt;International journal of public health&lt;/secondary-title&gt;&lt;/titles&gt;&lt;periodical&gt;&lt;full-title&gt;International journal of public health&lt;/full-title&gt;&lt;/periodical&gt;&lt;pages&gt;289-298&lt;/pages&gt;&lt;volume&gt;61&lt;/volume&gt;&lt;number&gt;3&lt;/number&gt;&lt;dates&gt;&lt;year&gt;2016&lt;/year&gt;&lt;/dates&gt;&lt;isbn&gt;1661-8556&lt;/isbn&gt;&lt;urls&gt;&lt;/urls&gt;&lt;/record&gt;&lt;/Cite&gt;&lt;/EndNote&gt;</w:instrText>
      </w:r>
      <w:r w:rsidRPr="004C78D8">
        <w:fldChar w:fldCharType="separate"/>
      </w:r>
      <w:r w:rsidR="00720CEE">
        <w:rPr>
          <w:noProof/>
        </w:rPr>
        <w:t>[18]</w:t>
      </w:r>
      <w:r w:rsidRPr="004C78D8">
        <w:fldChar w:fldCharType="end"/>
      </w:r>
      <w:r w:rsidR="005B19CD" w:rsidRPr="004C78D8">
        <w:t>:</w:t>
      </w:r>
      <w:r w:rsidRPr="004C78D8">
        <w:t xml:space="preserve"> </w:t>
      </w:r>
      <w:r w:rsidR="005B19CD" w:rsidRPr="004C78D8">
        <w:t xml:space="preserve">(a) capturing non-health outcomes and societal intervention costs; (b) considering heterogeneity and dynamic complexity; (c) considering theories of human behaviour and implementation; and (d) considering issues of equity. Therefore, the current review was the first to show that these challenges could </w:t>
      </w:r>
      <w:r w:rsidR="00815341" w:rsidRPr="004C78D8">
        <w:t xml:space="preserve">together </w:t>
      </w:r>
      <w:r w:rsidR="005B19CD" w:rsidRPr="004C78D8">
        <w:t>serve as thematic frameworks for narrative synthesis within any future systematic reviews of public health economic models</w:t>
      </w:r>
      <w:r w:rsidR="00D66D93" w:rsidRPr="004C78D8">
        <w:t xml:space="preserve">, not limited to </w:t>
      </w:r>
      <w:r w:rsidR="004E0FBE" w:rsidRPr="004C78D8">
        <w:t xml:space="preserve">community-based </w:t>
      </w:r>
      <w:r w:rsidR="00D66D93" w:rsidRPr="004C78D8">
        <w:t>falls prevention</w:t>
      </w:r>
      <w:r w:rsidR="00F91ECC" w:rsidRPr="004C78D8">
        <w:t xml:space="preserve"> (as for qualitative research in Chapter 2)</w:t>
      </w:r>
      <w:r w:rsidR="005B19CD" w:rsidRPr="004C78D8">
        <w:t>.</w:t>
      </w:r>
      <w:r w:rsidR="00815341" w:rsidRPr="004C78D8">
        <w:t xml:space="preserve"> </w:t>
      </w:r>
    </w:p>
    <w:p w14:paraId="526FE57F" w14:textId="6EC23363" w:rsidR="00534135" w:rsidRPr="004C78D8" w:rsidRDefault="002D28D2" w:rsidP="00FB7C1F">
      <w:r w:rsidRPr="004C78D8">
        <w:t xml:space="preserve">As noted by the systematic overview, previous </w:t>
      </w:r>
      <w:r w:rsidR="00815341" w:rsidRPr="004C78D8">
        <w:t xml:space="preserve">reviews </w:t>
      </w:r>
      <w:r w:rsidRPr="004C78D8">
        <w:t xml:space="preserve">in this topic area </w:t>
      </w:r>
      <w:r w:rsidR="00815341" w:rsidRPr="004C78D8">
        <w:t xml:space="preserve">had focused on one or two of the challenges but not all four. </w:t>
      </w:r>
      <w:r w:rsidR="00534135" w:rsidRPr="004C78D8">
        <w:t>The PHE review</w:t>
      </w:r>
      <w:r w:rsidR="00815341" w:rsidRPr="004C78D8">
        <w:t xml:space="preserve"> of community-based falls prevention</w:t>
      </w:r>
      <w:r w:rsidR="00534135" w:rsidRPr="004C78D8">
        <w:t xml:space="preserve">, for example, focused on (d) </w:t>
      </w:r>
      <w:r w:rsidR="00534135" w:rsidRPr="004C78D8">
        <w:fldChar w:fldCharType="begin"/>
      </w:r>
      <w:r w:rsidR="00513646" w:rsidRPr="004C78D8">
        <w:instrText xml:space="preserve"> ADDIN EN.CITE &lt;EndNote&gt;&lt;Cite&gt;&lt;Author&gt;Public Health England&lt;/Author&gt;&lt;Year&gt;2018&lt;/Year&gt;&lt;RecNum&gt;295&lt;/RecNum&gt;&lt;DisplayText&gt;[147]&lt;/DisplayText&gt;&lt;record&gt;&lt;rec-number&gt;295&lt;/rec-number&gt;&lt;foreign-keys&gt;&lt;key app="EN" db-id="tdtrdw9aepptzbefsat599syza29sxsd2wsp" timestamp="1611870971"&gt;295&lt;/key&gt;&lt;/foreign-keys&gt;&lt;ref-type name="Journal Article"&gt;17&lt;/ref-type&gt;&lt;contributors&gt;&lt;authors&gt;&lt;author&gt;Public Health England,&lt;/author&gt;&lt;/authors&gt;&lt;/contributors&gt;&lt;titles&gt;&lt;title&gt;A structured literature review to identify cost-effective interventions to prevent falls in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00534135" w:rsidRPr="004C78D8">
        <w:fldChar w:fldCharType="separate"/>
      </w:r>
      <w:r w:rsidR="00513646" w:rsidRPr="004C78D8">
        <w:rPr>
          <w:noProof/>
        </w:rPr>
        <w:t>[147]</w:t>
      </w:r>
      <w:r w:rsidR="00534135" w:rsidRPr="004C78D8">
        <w:fldChar w:fldCharType="end"/>
      </w:r>
      <w:r w:rsidR="00534135" w:rsidRPr="004C78D8">
        <w:t xml:space="preserve">, while the Huter review focused on (a) </w:t>
      </w:r>
      <w:r w:rsidR="00534135" w:rsidRPr="004C78D8">
        <w:fldChar w:fldCharType="begin"/>
      </w:r>
      <w:r w:rsidR="00C630FC" w:rsidRPr="004C78D8">
        <w:instrText xml:space="preserve"> ADDIN EN.CITE &lt;EndNote&gt;&lt;Cite&gt;&lt;Author&gt;Huter&lt;/Author&gt;&lt;Year&gt;2018&lt;/Year&gt;&lt;RecNum&gt;298&lt;/RecNum&gt;&lt;DisplayText&gt;[331]&lt;/DisplayText&gt;&lt;record&gt;&lt;rec-number&gt;298&lt;/rec-number&gt;&lt;foreign-keys&gt;&lt;key app="EN" db-id="tdtrdw9aepptzbefsat599syza29sxsd2wsp" timestamp="1611871055"&gt;298&lt;/key&gt;&lt;/foreign-keys&gt;&lt;ref-type name="Journal Article"&gt;17&lt;/ref-type&gt;&lt;contributors&gt;&lt;authors&gt;&lt;author&gt;Huter, Kai&lt;/author&gt;&lt;author&gt;Dubas-Jakóbczyk, Katarzyna&lt;/author&gt;&lt;author&gt;Kocot, Ewa&lt;/author&gt;&lt;author&gt;Kissimova-Skarbek, Katarzyna&lt;/author&gt;&lt;author&gt;Rothgang, Heinz&lt;/author&gt;&lt;/authors&gt;&lt;/contributors&gt;&lt;titles&gt;&lt;title&gt;Economic evaluation of health promotion interventions for older people: do applied economic studies meet the methodological challenges?&lt;/title&gt;&lt;secondary-title&gt;Cost Effectiveness and Resource Allocation&lt;/secondary-title&gt;&lt;/titles&gt;&lt;periodical&gt;&lt;full-title&gt;Cost Effectiveness and Resource Allocation&lt;/full-title&gt;&lt;/periodical&gt;&lt;pages&gt;14&lt;/pages&gt;&lt;volume&gt;16&lt;/volume&gt;&lt;number&gt;1&lt;/number&gt;&lt;dates&gt;&lt;year&gt;2018&lt;/year&gt;&lt;/dates&gt;&lt;isbn&gt;1478-7547&lt;/isbn&gt;&lt;urls&gt;&lt;/urls&gt;&lt;/record&gt;&lt;/Cite&gt;&lt;/EndNote&gt;</w:instrText>
      </w:r>
      <w:r w:rsidR="00534135" w:rsidRPr="004C78D8">
        <w:fldChar w:fldCharType="separate"/>
      </w:r>
      <w:r w:rsidR="00C630FC" w:rsidRPr="004C78D8">
        <w:rPr>
          <w:noProof/>
        </w:rPr>
        <w:t>[331]</w:t>
      </w:r>
      <w:r w:rsidR="00534135" w:rsidRPr="004C78D8">
        <w:fldChar w:fldCharType="end"/>
      </w:r>
      <w:r w:rsidR="00534135" w:rsidRPr="004C78D8">
        <w:t xml:space="preserve">. Outside falls prevention, Bates and colleagues focused on the dynamic complexity of weight progression and the psychosocial determinants of weight status, i.e., (b) and (c) </w:t>
      </w:r>
      <w:r w:rsidR="00534135" w:rsidRPr="004C78D8">
        <w:fldChar w:fldCharType="begin"/>
      </w:r>
      <w:r w:rsidR="00A2699D" w:rsidRPr="004C78D8">
        <w:instrText xml:space="preserve"> ADDIN EN.CITE &lt;EndNote&gt;&lt;Cite&gt;&lt;Author&gt;Bates&lt;/Author&gt;&lt;Year&gt;2020&lt;/Year&gt;&lt;RecNum&gt;786&lt;/RecNum&gt;&lt;DisplayText&gt;[420]&lt;/DisplayText&gt;&lt;record&gt;&lt;rec-number&gt;786&lt;/rec-number&gt;&lt;foreign-keys&gt;&lt;key app="EN" db-id="tdtrdw9aepptzbefsat599syza29sxsd2wsp" timestamp="1642865709"&gt;786&lt;/key&gt;&lt;/foreign-keys&gt;&lt;ref-type name="Journal Article"&gt;17&lt;/ref-type&gt;&lt;contributors&gt;&lt;authors&gt;&lt;author&gt;Bates, Sarah&lt;/author&gt;&lt;author&gt;Bayley, Thomas&lt;/author&gt;&lt;author&gt;Norman, Paul&lt;/author&gt;&lt;author&gt;Breeze, Penny&lt;/author&gt;&lt;author&gt;Brennan, Alan&lt;/author&gt;&lt;/authors&gt;&lt;/contributors&gt;&lt;titles&gt;&lt;title&gt;A Systematic Review of Methods to Predict Weight Trajectories in Health Economic Models of Behavioral Weight-Management Programs: The Potential Role of Psychosocial Factors&lt;/title&gt;&lt;secondary-title&gt;Medical Decision Making&lt;/secondary-title&gt;&lt;/titles&gt;&lt;periodical&gt;&lt;full-title&gt;Medical Decision Making&lt;/full-title&gt;&lt;/periodical&gt;&lt;pages&gt;90-105&lt;/pages&gt;&lt;volume&gt;40&lt;/volume&gt;&lt;number&gt;1&lt;/number&gt;&lt;dates&gt;&lt;year&gt;2020&lt;/year&gt;&lt;/dates&gt;&lt;isbn&gt;0272-989X&lt;/isbn&gt;&lt;urls&gt;&lt;/urls&gt;&lt;/record&gt;&lt;/Cite&gt;&lt;/EndNote&gt;</w:instrText>
      </w:r>
      <w:r w:rsidR="00534135" w:rsidRPr="004C78D8">
        <w:fldChar w:fldCharType="separate"/>
      </w:r>
      <w:r w:rsidR="00A2699D" w:rsidRPr="004C78D8">
        <w:rPr>
          <w:noProof/>
        </w:rPr>
        <w:t>[420]</w:t>
      </w:r>
      <w:r w:rsidR="00534135" w:rsidRPr="004C78D8">
        <w:fldChar w:fldCharType="end"/>
      </w:r>
      <w:r w:rsidR="00815341" w:rsidRPr="004C78D8">
        <w:t xml:space="preserve">, while </w:t>
      </w:r>
      <w:r w:rsidR="00534135" w:rsidRPr="004C78D8">
        <w:t xml:space="preserve">Salleh and colleagues focused on methods for capacity modelling, i.e., (c) </w:t>
      </w:r>
      <w:r w:rsidR="00534135" w:rsidRPr="004C78D8">
        <w:fldChar w:fldCharType="begin"/>
      </w:r>
      <w:r w:rsidR="00C630FC" w:rsidRPr="004C78D8">
        <w:instrText xml:space="preserve"> ADDIN EN.CITE &lt;EndNote&gt;&lt;Cite&gt;&lt;Author&gt;Salleh&lt;/Author&gt;&lt;Year&gt;2017&lt;/Year&gt;&lt;RecNum&gt;413&lt;/RecNum&gt;&lt;DisplayText&gt;[221]&lt;/DisplayText&gt;&lt;record&gt;&lt;rec-number&gt;413&lt;/rec-number&gt;&lt;foreign-keys&gt;&lt;key app="EN" db-id="tdtrdw9aepptzbefsat599syza29sxsd2wsp" timestamp="1616155910"&gt;413&lt;/key&gt;&lt;/foreign-keys&gt;&lt;ref-type name="Journal Article"&gt;17&lt;/ref-type&gt;&lt;contributors&gt;&lt;authors&gt;&lt;author&gt;Salleh, Syed&lt;/author&gt;&lt;author&gt;Thokala, Praveen&lt;/author&gt;&lt;author&gt;Brennan, Alan&lt;/author&gt;&lt;author&gt;Hughes, Ruby&lt;/author&gt;&lt;author&gt;Dixon, Simon&lt;/author&gt;&lt;/authors&gt;&lt;/contributors&gt;&lt;titles&gt;&lt;title&gt;Discrete event simulation-based resource modelling in health technology assessment&lt;/title&gt;&lt;secondary-title&gt;Pharmacoeconomics&lt;/secondary-title&gt;&lt;/titles&gt;&lt;periodical&gt;&lt;full-title&gt;PharmacoEconomics&lt;/full-title&gt;&lt;/periodical&gt;&lt;pages&gt;989-1006&lt;/pages&gt;&lt;volume&gt;35&lt;/volume&gt;&lt;number&gt;10&lt;/number&gt;&lt;dates&gt;&lt;year&gt;2017&lt;/year&gt;&lt;/dates&gt;&lt;isbn&gt;1170-7690&lt;/isbn&gt;&lt;urls&gt;&lt;/urls&gt;&lt;/record&gt;&lt;/Cite&gt;&lt;/EndNote&gt;</w:instrText>
      </w:r>
      <w:r w:rsidR="00534135" w:rsidRPr="004C78D8">
        <w:fldChar w:fldCharType="separate"/>
      </w:r>
      <w:r w:rsidR="00C630FC" w:rsidRPr="004C78D8">
        <w:rPr>
          <w:noProof/>
        </w:rPr>
        <w:t>[221]</w:t>
      </w:r>
      <w:r w:rsidR="00534135" w:rsidRPr="004C78D8">
        <w:fldChar w:fldCharType="end"/>
      </w:r>
      <w:r w:rsidR="00534135" w:rsidRPr="004C78D8">
        <w:t xml:space="preserve">. </w:t>
      </w:r>
      <w:r w:rsidR="00815341" w:rsidRPr="004C78D8">
        <w:t>Yet</w:t>
      </w:r>
      <w:r w:rsidR="00534135" w:rsidRPr="004C78D8">
        <w:t xml:space="preserve"> concurrent consideration of all four categories is advisable given the likely interactions between the challenges</w:t>
      </w:r>
      <w:r w:rsidRPr="004C78D8">
        <w:t xml:space="preserve"> (conceptualised in Section 3.8.2)</w:t>
      </w:r>
      <w:r w:rsidR="00534135" w:rsidRPr="004C78D8">
        <w:t>. The interactions were significant in the final model: the regressive SES gradient was acute for societal gains (</w:t>
      </w:r>
      <w:r w:rsidR="00534135" w:rsidRPr="00972766">
        <w:t xml:space="preserve">Table </w:t>
      </w:r>
      <w:r w:rsidRPr="00972766">
        <w:t>F3</w:t>
      </w:r>
      <w:r w:rsidR="00534135" w:rsidRPr="004C78D8">
        <w:t>); neglecting the feedback loop between falls and frailty removed the pro-poor equity impact (</w:t>
      </w:r>
      <w:r w:rsidR="00534135" w:rsidRPr="00972766">
        <w:t xml:space="preserve">Section </w:t>
      </w:r>
      <w:r w:rsidRPr="00972766">
        <w:t>6</w:t>
      </w:r>
      <w:r w:rsidR="00534135" w:rsidRPr="00972766">
        <w:t>.</w:t>
      </w:r>
      <w:r w:rsidRPr="00972766">
        <w:t>2</w:t>
      </w:r>
      <w:r w:rsidR="00534135" w:rsidRPr="00972766">
        <w:t>.</w:t>
      </w:r>
      <w:r w:rsidRPr="00972766">
        <w:t>5</w:t>
      </w:r>
      <w:r w:rsidR="00534135" w:rsidRPr="00972766">
        <w:t>.</w:t>
      </w:r>
      <w:r w:rsidRPr="00972766">
        <w:t>3</w:t>
      </w:r>
      <w:r w:rsidR="00534135" w:rsidRPr="004C78D8">
        <w:t>); and implementation strategies brought different equity impact depending on whether they were targeted at the vulnerable subgroups (</w:t>
      </w:r>
      <w:r w:rsidR="00534135" w:rsidRPr="00972766">
        <w:t xml:space="preserve">Section </w:t>
      </w:r>
      <w:r w:rsidR="00A16D05" w:rsidRPr="00972766">
        <w:t>6</w:t>
      </w:r>
      <w:r w:rsidR="00534135" w:rsidRPr="00972766">
        <w:t>.3.</w:t>
      </w:r>
      <w:r w:rsidR="00A16D05" w:rsidRPr="00972766">
        <w:t>1</w:t>
      </w:r>
      <w:r w:rsidR="00534135" w:rsidRPr="00972766">
        <w:t>.3</w:t>
      </w:r>
      <w:r w:rsidR="00534135" w:rsidRPr="004C78D8">
        <w:t xml:space="preserve">). </w:t>
      </w:r>
    </w:p>
    <w:p w14:paraId="212D3AA8" w14:textId="78EFAE1F" w:rsidR="00FF2A12" w:rsidRPr="004C78D8" w:rsidRDefault="00FF2A12" w:rsidP="00FB7C1F">
      <w:pPr>
        <w:rPr>
          <w:b/>
          <w:bCs/>
          <w:i/>
          <w:iCs/>
        </w:rPr>
      </w:pPr>
      <w:r w:rsidRPr="004C78D8">
        <w:rPr>
          <w:b/>
          <w:bCs/>
          <w:i/>
          <w:iCs/>
        </w:rPr>
        <w:t>(</w:t>
      </w:r>
      <w:r w:rsidR="003D141B" w:rsidRPr="004C78D8">
        <w:rPr>
          <w:b/>
          <w:bCs/>
          <w:i/>
          <w:iCs/>
        </w:rPr>
        <w:t>KC5</w:t>
      </w:r>
      <w:r w:rsidRPr="004C78D8">
        <w:rPr>
          <w:b/>
          <w:bCs/>
          <w:i/>
          <w:iCs/>
        </w:rPr>
        <w:t>) The findings of the systematic review w</w:t>
      </w:r>
      <w:r w:rsidR="00B71791" w:rsidRPr="004C78D8">
        <w:rPr>
          <w:b/>
          <w:bCs/>
          <w:i/>
          <w:iCs/>
        </w:rPr>
        <w:t>ere</w:t>
      </w:r>
      <w:r w:rsidRPr="004C78D8">
        <w:rPr>
          <w:b/>
          <w:bCs/>
          <w:i/>
          <w:iCs/>
        </w:rPr>
        <w:t xml:space="preserve"> proactively used to inform the model development and appraisal.</w:t>
      </w:r>
    </w:p>
    <w:p w14:paraId="16B2110B" w14:textId="0B2DC325" w:rsidR="004A2033" w:rsidRPr="004C78D8" w:rsidRDefault="008802F3" w:rsidP="00FB7C1F">
      <w:r w:rsidRPr="004C78D8">
        <w:t xml:space="preserve">This study </w:t>
      </w:r>
      <w:r w:rsidR="004A2033" w:rsidRPr="004C78D8">
        <w:t>successfully implemented</w:t>
      </w:r>
      <w:r w:rsidRPr="004C78D8">
        <w:t xml:space="preserve"> the recommend</w:t>
      </w:r>
      <w:r w:rsidR="00F91ECC" w:rsidRPr="004C78D8">
        <w:t>ed</w:t>
      </w:r>
      <w:r w:rsidRPr="004C78D8">
        <w:t xml:space="preserve"> practice that a systematic review of existing models </w:t>
      </w:r>
      <w:r w:rsidR="004A2033" w:rsidRPr="004C78D8">
        <w:t xml:space="preserve">should help </w:t>
      </w:r>
      <w:r w:rsidRPr="004C78D8">
        <w:t xml:space="preserve">develop and justify the </w:t>
      </w:r>
      <w:r w:rsidR="00F91ECC" w:rsidRPr="004C78D8">
        <w:t xml:space="preserve">public health </w:t>
      </w:r>
      <w:r w:rsidRPr="004C78D8">
        <w:t xml:space="preserve">model structure </w:t>
      </w:r>
      <w:r w:rsidRPr="004C78D8">
        <w:fldChar w:fldCharType="begin"/>
      </w:r>
      <w:r w:rsidRPr="004C78D8">
        <w:instrText xml:space="preserve"> ADDIN EN.CITE &lt;EndNote&gt;&lt;Cite&gt;&lt;Author&gt;Squires&lt;/Author&gt;&lt;Year&gt;2016&lt;/Year&gt;&lt;RecNum&gt;158&lt;/RecNum&gt;&lt;DisplayText&gt;[1]&lt;/DisplayText&gt;&lt;record&gt;&lt;rec-number&gt;158&lt;/rec-number&gt;&lt;foreign-keys&gt;&lt;key app="EN" db-id="tdtrdw9aepptzbefsat599syza29sxsd2wsp" timestamp="1609254669"&gt;158&lt;/key&gt;&lt;/foreign-keys&gt;&lt;ref-type name="Journal Article"&gt;17&lt;/ref-type&gt;&lt;contributors&gt;&lt;authors&gt;&lt;author&gt;Squires, Hazel&lt;/author&gt;&lt;author&gt;Chilcott, James&lt;/author&gt;&lt;author&gt;Akehurst, Ronald&lt;/author&gt;&lt;author&gt;Burr, Jennifer&lt;/author&gt;&lt;author&gt;Kelly, Michael P&lt;/author&gt;&lt;/authors&gt;&lt;/contributors&gt;&lt;titles&gt;&lt;title&gt;A framework for developing the structure of public health economic models&lt;/title&gt;&lt;secondary-title&gt;Value in Health&lt;/secondary-title&gt;&lt;/titles&gt;&lt;periodical&gt;&lt;full-title&gt;Value in Health&lt;/full-title&gt;&lt;/periodical&gt;&lt;pages&gt;588-601&lt;/pages&gt;&lt;volume&gt;19&lt;/volume&gt;&lt;number&gt;5&lt;/number&gt;&lt;dates&gt;&lt;year&gt;2016&lt;/year&gt;&lt;/dates&gt;&lt;isbn&gt;1098-3015&lt;/isbn&gt;&lt;urls&gt;&lt;/urls&gt;&lt;research-notes&gt;1&lt;/research-notes&gt;&lt;/record&gt;&lt;/Cite&gt;&lt;/EndNote&gt;</w:instrText>
      </w:r>
      <w:r w:rsidRPr="004C78D8">
        <w:fldChar w:fldCharType="separate"/>
      </w:r>
      <w:r w:rsidRPr="004C78D8">
        <w:rPr>
          <w:noProof/>
        </w:rPr>
        <w:t>[1]</w:t>
      </w:r>
      <w:r w:rsidRPr="004C78D8">
        <w:fldChar w:fldCharType="end"/>
      </w:r>
      <w:r w:rsidR="00D168F1" w:rsidRPr="004C78D8">
        <w:t>.</w:t>
      </w:r>
      <w:r w:rsidRPr="004C78D8">
        <w:t xml:space="preserve"> </w:t>
      </w:r>
      <w:r w:rsidR="004A2033" w:rsidRPr="004C78D8">
        <w:t xml:space="preserve">Two previous systematic reviews, the RCN and PHE reviews </w:t>
      </w:r>
      <w:r w:rsidR="004A2033" w:rsidRPr="004C78D8">
        <w:fldChar w:fldCharType="begin"/>
      </w:r>
      <w:r w:rsidR="00513646" w:rsidRPr="004C78D8">
        <w:instrText xml:space="preserve"> ADDIN EN.CITE &lt;EndNote&gt;&lt;Cite&gt;&lt;Author&gt;Royal College of Nursing&lt;/Author&gt;&lt;Year&gt;2005&lt;/Year&gt;&lt;RecNum&gt;294&lt;/RecNum&gt;&lt;DisplayText&gt;[146, 147]&lt;/DisplayText&gt;&lt;record&gt;&lt;rec-number&gt;294&lt;/rec-number&gt;&lt;foreign-keys&gt;&lt;key app="EN" db-id="tdtrdw9aepptzbefsat599syza29sxsd2wsp" timestamp="1611870926"&gt;294&lt;/key&gt;&lt;/foreign-keys&gt;&lt;ref-type name="Journal Article"&gt;17&lt;/ref-type&gt;&lt;contributors&gt;&lt;authors&gt;&lt;author&gt;Royal College of Nursing,&lt;/author&gt;&lt;/authors&gt;&lt;/contributors&gt;&lt;titles&gt;&lt;title&gt;Clinical practice guideline for the assessment and prevention of falls in older people&lt;/title&gt;&lt;secondary-title&gt;Clinical Practice Guidelines&lt;/secondary-title&gt;&lt;/titles&gt;&lt;periodical&gt;&lt;full-title&gt;Clinical Practice Guidelines&lt;/full-title&gt;&lt;/periodical&gt;&lt;volume&gt;London: Royal College of Nursing&lt;/volume&gt;&lt;dates&gt;&lt;year&gt;2005&lt;/year&gt;&lt;/dates&gt;&lt;urls&gt;&lt;/urls&gt;&lt;/record&gt;&lt;/Cite&gt;&lt;Cite&gt;&lt;Author&gt;Public Health England&lt;/Author&gt;&lt;Year&gt;2018&lt;/Year&gt;&lt;RecNum&gt;295&lt;/RecNum&gt;&lt;record&gt;&lt;rec-number&gt;295&lt;/rec-number&gt;&lt;foreign-keys&gt;&lt;key app="EN" db-id="tdtrdw9aepptzbefsat599syza29sxsd2wsp" timestamp="1611870971"&gt;295&lt;/key&gt;&lt;/foreign-keys&gt;&lt;ref-type name="Journal Article"&gt;17&lt;/ref-type&gt;&lt;contributors&gt;&lt;authors&gt;&lt;author&gt;Public Health England,&lt;/author&gt;&lt;/authors&gt;&lt;/contributors&gt;&lt;titles&gt;&lt;title&gt;A structured literature review to identify cost-effective interventions to prevent falls in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004A2033" w:rsidRPr="004C78D8">
        <w:fldChar w:fldCharType="separate"/>
      </w:r>
      <w:r w:rsidR="00513646" w:rsidRPr="004C78D8">
        <w:rPr>
          <w:noProof/>
        </w:rPr>
        <w:t>[146, 147]</w:t>
      </w:r>
      <w:r w:rsidR="004A2033" w:rsidRPr="004C78D8">
        <w:fldChar w:fldCharType="end"/>
      </w:r>
      <w:r w:rsidR="004A2033" w:rsidRPr="004C78D8">
        <w:t xml:space="preserve">, </w:t>
      </w:r>
      <w:r w:rsidR="00A16D05" w:rsidRPr="004C78D8">
        <w:t>preceded</w:t>
      </w:r>
      <w:r w:rsidR="004A2033" w:rsidRPr="004C78D8">
        <w:t xml:space="preserve"> the development of RCN and PHE models </w:t>
      </w:r>
      <w:r w:rsidR="004A2033" w:rsidRPr="004C78D8">
        <w:fldChar w:fldCharType="begin"/>
      </w:r>
      <w:r w:rsidR="00C630FC" w:rsidRPr="004C78D8">
        <w:instrText xml:space="preserve"> ADDIN EN.CITE &lt;EndNote&gt;&lt;Cite&gt;&lt;Author&gt;Royal College of Nursing&lt;/Author&gt;&lt;Year&gt;2005&lt;/Year&gt;&lt;RecNum&gt;294&lt;/RecNum&gt;&lt;DisplayText&gt;[146, 216]&lt;/DisplayText&gt;&lt;record&gt;&lt;rec-number&gt;294&lt;/rec-number&gt;&lt;foreign-keys&gt;&lt;key app="EN" db-id="tdtrdw9aepptzbefsat599syza29sxsd2wsp" timestamp="1611870926"&gt;294&lt;/key&gt;&lt;/foreign-keys&gt;&lt;ref-type name="Journal Article"&gt;17&lt;/ref-type&gt;&lt;contributors&gt;&lt;authors&gt;&lt;author&gt;Royal College of Nursing,&lt;/author&gt;&lt;/authors&gt;&lt;/contributors&gt;&lt;titles&gt;&lt;title&gt;Clinical practice guideline for the assessment and prevention of falls in older people&lt;/title&gt;&lt;secondary-title&gt;Clinical Practice Guidelines&lt;/secondary-title&gt;&lt;/titles&gt;&lt;periodical&gt;&lt;full-title&gt;Clinical Practice Guidelines&lt;/full-title&gt;&lt;/periodical&gt;&lt;volume&gt;London: Royal College of Nursing&lt;/volume&gt;&lt;dates&gt;&lt;year&gt;2005&lt;/year&gt;&lt;/dates&gt;&lt;urls&gt;&lt;/urls&gt;&lt;/record&gt;&lt;/Cite&gt;&lt;Cite&gt;&lt;Author&gt;Public Health England&lt;/Author&gt;&lt;Year&gt;2018&lt;/Year&gt;&lt;RecNum&gt;305&lt;/RecNum&gt;&lt;record&gt;&lt;rec-number&gt;305&lt;/rec-number&gt;&lt;foreign-keys&gt;&lt;key app="EN" db-id="tdtrdw9aepptzbefsat599syza29sxsd2wsp" timestamp="1611954621"&gt;305&lt;/key&gt;&lt;/foreign-keys&gt;&lt;ref-type name="Journal Article"&gt;17&lt;/ref-type&gt;&lt;contributors&gt;&lt;authors&gt;&lt;author&gt;Public Health England,&lt;/author&gt;&lt;/authors&gt;&lt;/contributors&gt;&lt;titles&gt;&lt;title&gt;A Return on Investment Tool for the Assessment of Falls Prevention Programmes for Older People Living in the Community&lt;/title&gt;&lt;secondary-title&gt;Public Health England&lt;/secondary-title&gt;&lt;/titles&gt;&lt;periodical&gt;&lt;full-title&gt;Public Health England&lt;/full-title&gt;&lt;/periodical&gt;&lt;dates&gt;&lt;year&gt;2018&lt;/year&gt;&lt;/dates&gt;&lt;urls&gt;&lt;/urls&gt;&lt;/record&gt;&lt;/Cite&gt;&lt;/EndNote&gt;</w:instrText>
      </w:r>
      <w:r w:rsidR="004A2033" w:rsidRPr="004C78D8">
        <w:fldChar w:fldCharType="separate"/>
      </w:r>
      <w:r w:rsidR="00C630FC" w:rsidRPr="004C78D8">
        <w:rPr>
          <w:noProof/>
        </w:rPr>
        <w:t>[146, 216]</w:t>
      </w:r>
      <w:r w:rsidR="004A2033" w:rsidRPr="004C78D8">
        <w:fldChar w:fldCharType="end"/>
      </w:r>
      <w:r w:rsidR="00C11B4B" w:rsidRPr="004C78D8">
        <w:t>; but the</w:t>
      </w:r>
      <w:r w:rsidR="00A16D05" w:rsidRPr="004C78D8">
        <w:t>ir</w:t>
      </w:r>
      <w:r w:rsidR="00C11B4B" w:rsidRPr="004C78D8">
        <w:t xml:space="preserve"> </w:t>
      </w:r>
      <w:r w:rsidR="007077C8" w:rsidRPr="004C78D8">
        <w:t xml:space="preserve">findings </w:t>
      </w:r>
      <w:r w:rsidR="00C11B4B" w:rsidRPr="004C78D8">
        <w:t xml:space="preserve">had little impact on the model developments. </w:t>
      </w:r>
      <w:r w:rsidR="000871D7" w:rsidRPr="004C78D8">
        <w:t xml:space="preserve">The PHE model, for example, did not conduct any equity analysis despite the PHE review’s focus on this challenge. By contrast, the current review formulated 30 methodological recommendations which subsequently informed and appraised the </w:t>
      </w:r>
      <w:r w:rsidR="004B4E58" w:rsidRPr="004C78D8">
        <w:t>model</w:t>
      </w:r>
      <w:r w:rsidR="0059182A" w:rsidRPr="004C78D8">
        <w:t xml:space="preserve"> structure.</w:t>
      </w:r>
      <w:r w:rsidR="00DE5A95" w:rsidRPr="004C78D8">
        <w:t xml:space="preserve"> The checklist similarly suggested important criteria for the model development and reporting </w:t>
      </w:r>
      <w:r w:rsidR="00D168F1" w:rsidRPr="004C78D8">
        <w:t>(</w:t>
      </w:r>
      <w:r w:rsidR="00D168F1" w:rsidRPr="00972766">
        <w:t xml:space="preserve">Section </w:t>
      </w:r>
      <w:r w:rsidR="004B4E58" w:rsidRPr="00972766">
        <w:t>6</w:t>
      </w:r>
      <w:r w:rsidR="00D168F1" w:rsidRPr="00972766">
        <w:t>.</w:t>
      </w:r>
      <w:r w:rsidR="004B4E58" w:rsidRPr="00972766">
        <w:t>4</w:t>
      </w:r>
      <w:r w:rsidR="00D168F1" w:rsidRPr="00972766">
        <w:t>.3</w:t>
      </w:r>
      <w:r w:rsidR="00D168F1" w:rsidRPr="004C78D8">
        <w:t>).</w:t>
      </w:r>
      <w:r w:rsidR="0045158D" w:rsidRPr="004C78D8">
        <w:t xml:space="preserve"> Finally, the evaluation outcomes from previous models were used to cross-validate the current model in </w:t>
      </w:r>
      <w:r w:rsidR="0045158D" w:rsidRPr="00972766">
        <w:t xml:space="preserve">Section </w:t>
      </w:r>
      <w:r w:rsidR="00D0788D" w:rsidRPr="00972766">
        <w:t>6</w:t>
      </w:r>
      <w:r w:rsidR="0045158D" w:rsidRPr="00972766">
        <w:t>.</w:t>
      </w:r>
      <w:r w:rsidR="00D0788D" w:rsidRPr="00972766">
        <w:t>4</w:t>
      </w:r>
      <w:r w:rsidR="0045158D" w:rsidRPr="00972766">
        <w:t>.1</w:t>
      </w:r>
      <w:r w:rsidR="0045158D" w:rsidRPr="004C78D8">
        <w:t>.</w:t>
      </w:r>
      <w:r w:rsidR="00763EA4" w:rsidRPr="004C78D8">
        <w:t xml:space="preserve"> </w:t>
      </w:r>
      <w:r w:rsidR="00D0788D" w:rsidRPr="004C78D8">
        <w:t>N</w:t>
      </w:r>
      <w:r w:rsidR="00763EA4" w:rsidRPr="004C78D8">
        <w:t>o previous cross-validation</w:t>
      </w:r>
      <w:r w:rsidR="00D0788D" w:rsidRPr="004C78D8">
        <w:t xml:space="preserve"> effort</w:t>
      </w:r>
      <w:r w:rsidR="00763EA4" w:rsidRPr="004C78D8">
        <w:t xml:space="preserve"> was based on data from a systematic review.</w:t>
      </w:r>
      <w:r w:rsidR="008A1BC7" w:rsidRPr="004C78D8">
        <w:t xml:space="preserve"> </w:t>
      </w:r>
    </w:p>
    <w:p w14:paraId="468729B3" w14:textId="77777777" w:rsidR="00D0788D" w:rsidRPr="004C78D8" w:rsidRDefault="00D0788D" w:rsidP="00FB7C1F"/>
    <w:p w14:paraId="7B97457F" w14:textId="75A40DAC" w:rsidR="00616C8E" w:rsidRPr="004C78D8" w:rsidRDefault="003D141B" w:rsidP="00FB7C1F">
      <w:pPr>
        <w:pStyle w:val="Heading3"/>
      </w:pPr>
      <w:bookmarkStart w:id="228" w:name="_Toc111630812"/>
      <w:r w:rsidRPr="004C78D8">
        <w:t>7</w:t>
      </w:r>
      <w:r w:rsidR="00616C8E" w:rsidRPr="004C78D8">
        <w:t xml:space="preserve">.2.3 </w:t>
      </w:r>
      <w:r w:rsidR="00F35CFB" w:rsidRPr="004C78D8">
        <w:t>Developing and analysing the falls prevention model</w:t>
      </w:r>
      <w:bookmarkEnd w:id="228"/>
      <w:r w:rsidR="000D665C" w:rsidRPr="004C78D8">
        <w:t xml:space="preserve"> </w:t>
      </w:r>
    </w:p>
    <w:p w14:paraId="4A58FEB4" w14:textId="6523A5E5" w:rsidR="000B4422" w:rsidRPr="004C78D8" w:rsidRDefault="00897D78" w:rsidP="00FB7C1F">
      <w:r w:rsidRPr="004C78D8">
        <w:t xml:space="preserve">Chapters </w:t>
      </w:r>
      <w:r w:rsidR="003D28E1" w:rsidRPr="004C78D8">
        <w:t xml:space="preserve">5 </w:t>
      </w:r>
      <w:r w:rsidRPr="004C78D8">
        <w:t xml:space="preserve">and </w:t>
      </w:r>
      <w:r w:rsidR="003D28E1" w:rsidRPr="004C78D8">
        <w:t xml:space="preserve">6 </w:t>
      </w:r>
      <w:r w:rsidRPr="004C78D8">
        <w:t xml:space="preserve">developed the </w:t>
      </w:r>
      <w:r w:rsidRPr="004C78D8">
        <w:rPr>
          <w:i/>
          <w:iCs/>
        </w:rPr>
        <w:t>de novo</w:t>
      </w:r>
      <w:r w:rsidRPr="004C78D8">
        <w:t xml:space="preserve"> community-based falls prevention model and issued commissioning recommendations according to the result</w:t>
      </w:r>
      <w:r w:rsidR="003D141B" w:rsidRPr="004C78D8">
        <w:t xml:space="preserve"> of intervention strategy comparisons</w:t>
      </w:r>
      <w:r w:rsidRPr="004C78D8">
        <w:t xml:space="preserve">. The study objective (3) </w:t>
      </w:r>
      <w:r w:rsidR="001B59DA" w:rsidRPr="004C78D8">
        <w:t xml:space="preserve">to develop and analyse a </w:t>
      </w:r>
      <w:r w:rsidR="001B59DA" w:rsidRPr="004C78D8">
        <w:rPr>
          <w:i/>
          <w:iCs/>
        </w:rPr>
        <w:t>de novo</w:t>
      </w:r>
      <w:r w:rsidR="001B59DA" w:rsidRPr="004C78D8">
        <w:t xml:space="preserve"> model to inform </w:t>
      </w:r>
      <w:r w:rsidR="003D141B" w:rsidRPr="004C78D8">
        <w:t xml:space="preserve">local </w:t>
      </w:r>
      <w:r w:rsidR="001B59DA" w:rsidRPr="004C78D8">
        <w:t xml:space="preserve">commissioning </w:t>
      </w:r>
      <w:r w:rsidRPr="004C78D8">
        <w:t xml:space="preserve">was thus met. </w:t>
      </w:r>
      <w:r w:rsidR="00FA782C" w:rsidRPr="004C78D8">
        <w:t xml:space="preserve">This section </w:t>
      </w:r>
      <w:r w:rsidRPr="004C78D8">
        <w:t>highlights several key</w:t>
      </w:r>
      <w:r w:rsidR="00FA782C" w:rsidRPr="004C78D8">
        <w:t xml:space="preserve"> </w:t>
      </w:r>
      <w:r w:rsidR="005B5FB8" w:rsidRPr="004C78D8">
        <w:t xml:space="preserve">methodological </w:t>
      </w:r>
      <w:r w:rsidR="00FA782C" w:rsidRPr="004C78D8">
        <w:t>developments</w:t>
      </w:r>
      <w:r w:rsidR="000B4422" w:rsidRPr="004C78D8">
        <w:t xml:space="preserve">, </w:t>
      </w:r>
      <w:r w:rsidR="00A6115D" w:rsidRPr="004C78D8">
        <w:t>organised</w:t>
      </w:r>
      <w:r w:rsidR="00FA782C" w:rsidRPr="004C78D8">
        <w:t xml:space="preserve"> </w:t>
      </w:r>
      <w:r w:rsidR="00C51C8F" w:rsidRPr="004C78D8">
        <w:t>around</w:t>
      </w:r>
      <w:r w:rsidR="00FA782C" w:rsidRPr="004C78D8">
        <w:t xml:space="preserve"> the four public health modelling challenge</w:t>
      </w:r>
      <w:r w:rsidR="0035497D" w:rsidRPr="004C78D8">
        <w:t>s</w:t>
      </w:r>
      <w:r w:rsidR="00C51C8F" w:rsidRPr="004C78D8">
        <w:t xml:space="preserve"> (Sections </w:t>
      </w:r>
      <w:r w:rsidR="003D141B" w:rsidRPr="004C78D8">
        <w:t>7</w:t>
      </w:r>
      <w:r w:rsidR="00C51C8F" w:rsidRPr="004C78D8">
        <w:t xml:space="preserve">.2.3.1 to </w:t>
      </w:r>
      <w:r w:rsidR="003D141B" w:rsidRPr="004C78D8">
        <w:t>7</w:t>
      </w:r>
      <w:r w:rsidR="00C51C8F" w:rsidRPr="004C78D8">
        <w:t>.2.3.4)</w:t>
      </w:r>
      <w:r w:rsidR="000B4422" w:rsidRPr="004C78D8">
        <w:t>.</w:t>
      </w:r>
      <w:r w:rsidR="00C51C8F" w:rsidRPr="004C78D8">
        <w:t xml:space="preserve"> </w:t>
      </w:r>
    </w:p>
    <w:p w14:paraId="2F9D0449" w14:textId="23A02519" w:rsidR="006A214E" w:rsidRPr="004C78D8" w:rsidRDefault="00E640A6" w:rsidP="00FB7C1F">
      <w:pPr>
        <w:pStyle w:val="Heading4"/>
      </w:pPr>
      <w:r w:rsidRPr="004C78D8">
        <w:t>7</w:t>
      </w:r>
      <w:r w:rsidR="006A214E" w:rsidRPr="004C78D8">
        <w:t>.2.3.</w:t>
      </w:r>
      <w:r w:rsidR="000779E1" w:rsidRPr="004C78D8">
        <w:t>1</w:t>
      </w:r>
      <w:r w:rsidR="006A214E" w:rsidRPr="004C78D8">
        <w:t xml:space="preserve"> Capturing non-health outcomes and societal intervention costs</w:t>
      </w:r>
    </w:p>
    <w:p w14:paraId="00431ADE" w14:textId="51BC00EE" w:rsidR="005B5FB8" w:rsidRPr="004C78D8" w:rsidRDefault="005B5FB8" w:rsidP="00FB7C1F">
      <w:r w:rsidRPr="004C78D8">
        <w:t xml:space="preserve">The current model </w:t>
      </w:r>
      <w:r w:rsidR="00E63D67" w:rsidRPr="004C78D8">
        <w:t>achieved major</w:t>
      </w:r>
      <w:r w:rsidRPr="004C78D8">
        <w:t xml:space="preserve"> </w:t>
      </w:r>
      <w:r w:rsidR="0018293D" w:rsidRPr="004C78D8">
        <w:t xml:space="preserve">methodological </w:t>
      </w:r>
      <w:r w:rsidRPr="004C78D8">
        <w:t xml:space="preserve">advances in capturing non-health outcomes and societal intervention costs. </w:t>
      </w:r>
      <w:r w:rsidR="00670BEB" w:rsidRPr="004C78D8">
        <w:t xml:space="preserve">Two </w:t>
      </w:r>
      <w:r w:rsidR="00037656" w:rsidRPr="004C78D8">
        <w:t>key contributions to the literature can be highlighted.</w:t>
      </w:r>
    </w:p>
    <w:p w14:paraId="0A715726" w14:textId="347C83ED" w:rsidR="00037656" w:rsidRPr="004C78D8" w:rsidRDefault="00037656" w:rsidP="00FB7C1F">
      <w:pPr>
        <w:rPr>
          <w:b/>
          <w:bCs/>
          <w:i/>
          <w:iCs/>
        </w:rPr>
      </w:pPr>
      <w:r w:rsidRPr="004C78D8">
        <w:rPr>
          <w:b/>
          <w:bCs/>
          <w:i/>
          <w:iCs/>
        </w:rPr>
        <w:t>(</w:t>
      </w:r>
      <w:r w:rsidR="00E640A6" w:rsidRPr="004C78D8">
        <w:rPr>
          <w:b/>
          <w:bCs/>
          <w:i/>
          <w:iCs/>
        </w:rPr>
        <w:t>KC6</w:t>
      </w:r>
      <w:r w:rsidRPr="004C78D8">
        <w:rPr>
          <w:b/>
          <w:bCs/>
          <w:i/>
          <w:iCs/>
        </w:rPr>
        <w:t xml:space="preserve">) The current model incorporated </w:t>
      </w:r>
      <w:r w:rsidR="008A3459" w:rsidRPr="004C78D8">
        <w:rPr>
          <w:b/>
          <w:bCs/>
          <w:i/>
          <w:iCs/>
        </w:rPr>
        <w:t>most</w:t>
      </w:r>
      <w:r w:rsidRPr="004C78D8">
        <w:rPr>
          <w:b/>
          <w:bCs/>
          <w:i/>
          <w:iCs/>
        </w:rPr>
        <w:t xml:space="preserve"> of the conceptualised non-health outcomes and corresponding societal intervention costs </w:t>
      </w:r>
      <w:r w:rsidR="001B59DA" w:rsidRPr="004C78D8">
        <w:rPr>
          <w:b/>
          <w:bCs/>
          <w:i/>
          <w:iCs/>
        </w:rPr>
        <w:t xml:space="preserve">associated with falls </w:t>
      </w:r>
      <w:r w:rsidRPr="004C78D8">
        <w:rPr>
          <w:b/>
          <w:bCs/>
          <w:i/>
          <w:iCs/>
        </w:rPr>
        <w:t>using publicly available data</w:t>
      </w:r>
      <w:r w:rsidR="003028C8" w:rsidRPr="004C78D8">
        <w:rPr>
          <w:b/>
          <w:bCs/>
          <w:i/>
          <w:iCs/>
        </w:rPr>
        <w:t xml:space="preserve"> and frailty as the mediating link</w:t>
      </w:r>
      <w:r w:rsidRPr="004C78D8">
        <w:rPr>
          <w:b/>
          <w:bCs/>
          <w:i/>
          <w:iCs/>
        </w:rPr>
        <w:t>.</w:t>
      </w:r>
    </w:p>
    <w:p w14:paraId="3BA013D2" w14:textId="68D6978E" w:rsidR="00CA1AED" w:rsidRPr="004C78D8" w:rsidRDefault="004137DD" w:rsidP="00FB7C1F">
      <w:r w:rsidRPr="004C78D8">
        <w:t>Most of</w:t>
      </w:r>
      <w:r w:rsidR="007E584E" w:rsidRPr="004C78D8">
        <w:t xml:space="preserve"> the conceptualised non-health outcomes and societal intervention costs of falls and falls prevention</w:t>
      </w:r>
      <w:r w:rsidRPr="004C78D8">
        <w:t xml:space="preserve"> shown in Table 3.4 were incorporated in the final model; the exceptions were direct effect of falls on social wellbeing, intervention process cost/benefit, and health/wellbeing effect of informal care provision and receipt</w:t>
      </w:r>
      <w:r w:rsidR="007E584E" w:rsidRPr="004C78D8">
        <w:t xml:space="preserve">. </w:t>
      </w:r>
      <w:r w:rsidRPr="004C78D8">
        <w:t xml:space="preserve">Importantly, this was done using </w:t>
      </w:r>
      <w:r w:rsidR="008F2239" w:rsidRPr="004C78D8">
        <w:t xml:space="preserve">publicly available data </w:t>
      </w:r>
      <w:r w:rsidRPr="004C78D8">
        <w:t xml:space="preserve">(from ELSA and </w:t>
      </w:r>
      <w:r w:rsidR="008F2239" w:rsidRPr="004C78D8">
        <w:t>previous models</w:t>
      </w:r>
      <w:r w:rsidRPr="004C78D8">
        <w:t>)</w:t>
      </w:r>
      <w:r w:rsidR="008F2239" w:rsidRPr="004C78D8">
        <w:t xml:space="preserve"> </w:t>
      </w:r>
      <w:r w:rsidRPr="004C78D8">
        <w:t xml:space="preserve">such </w:t>
      </w:r>
      <w:r w:rsidR="00DE4B91" w:rsidRPr="004C78D8">
        <w:t xml:space="preserve">that the current approach is readily implementable in other models. </w:t>
      </w:r>
      <w:r w:rsidRPr="004C78D8">
        <w:t>Moreover</w:t>
      </w:r>
      <w:r w:rsidR="00DE4B91" w:rsidRPr="004C78D8">
        <w:t>, the high relevance of the above outcomes and costs to general geriatric health and wellbeing beyond falls and falls prevention makes the implementation a research priority.</w:t>
      </w:r>
      <w:r w:rsidR="00F21F8F" w:rsidRPr="004C78D8">
        <w:t xml:space="preserve"> </w:t>
      </w:r>
    </w:p>
    <w:p w14:paraId="3837696E" w14:textId="08D40F43" w:rsidR="000E3B1B" w:rsidRPr="004C78D8" w:rsidRDefault="00B951AA" w:rsidP="00FB7C1F">
      <w:r w:rsidRPr="00972766">
        <w:t xml:space="preserve">The current approach </w:t>
      </w:r>
      <w:r w:rsidR="004137DD" w:rsidRPr="004C78D8">
        <w:t xml:space="preserve">also greatly </w:t>
      </w:r>
      <w:r w:rsidR="004137DD" w:rsidRPr="00972766">
        <w:t>improve</w:t>
      </w:r>
      <w:r w:rsidR="004137DD" w:rsidRPr="004C78D8">
        <w:t>s</w:t>
      </w:r>
      <w:r w:rsidR="004137DD" w:rsidRPr="00972766">
        <w:t xml:space="preserve"> </w:t>
      </w:r>
      <w:r w:rsidRPr="00972766">
        <w:t xml:space="preserve">the </w:t>
      </w:r>
      <w:r w:rsidR="006842E7" w:rsidRPr="00972766">
        <w:t>analytic scope within</w:t>
      </w:r>
      <w:r w:rsidRPr="00972766">
        <w:t xml:space="preserve"> frailty modelling.</w:t>
      </w:r>
      <w:r w:rsidR="003028C8" w:rsidRPr="004C78D8">
        <w:t xml:space="preserve"> </w:t>
      </w:r>
      <w:r w:rsidR="0041026B" w:rsidRPr="004C78D8">
        <w:t xml:space="preserve">The central </w:t>
      </w:r>
      <w:r w:rsidR="000E3B1B" w:rsidRPr="004C78D8">
        <w:t>mechanism</w:t>
      </w:r>
      <w:r w:rsidR="0041026B" w:rsidRPr="004C78D8">
        <w:t xml:space="preserve"> </w:t>
      </w:r>
      <w:r w:rsidR="000E3B1B" w:rsidRPr="004C78D8">
        <w:t xml:space="preserve">of the </w:t>
      </w:r>
      <w:r w:rsidR="00C55EB2" w:rsidRPr="004C78D8">
        <w:t xml:space="preserve">current </w:t>
      </w:r>
      <w:r w:rsidR="000E3B1B" w:rsidRPr="004C78D8">
        <w:t>approach</w:t>
      </w:r>
      <w:r w:rsidR="0041026B" w:rsidRPr="004C78D8">
        <w:t xml:space="preserve"> was the dynamic link between falls and frailty</w:t>
      </w:r>
      <w:r w:rsidR="00CE156A" w:rsidRPr="004C78D8">
        <w:t>. Non-health outcomes associated with frailty progression were incorporated as secondary effects of fall</w:t>
      </w:r>
      <w:r w:rsidR="00BB7365" w:rsidRPr="004C78D8">
        <w:t>s</w:t>
      </w:r>
      <w:r w:rsidRPr="004C78D8">
        <w:t xml:space="preserve"> (see, for example, Table E1</w:t>
      </w:r>
      <w:r w:rsidR="001D7885" w:rsidRPr="004C78D8">
        <w:t>6</w:t>
      </w:r>
      <w:r w:rsidRPr="004C78D8">
        <w:t xml:space="preserve"> on the probability of being in paid employment in the next cycle)</w:t>
      </w:r>
      <w:r w:rsidR="000E3B1B" w:rsidRPr="004C78D8">
        <w:t>.</w:t>
      </w:r>
      <w:r w:rsidR="00BB7365" w:rsidRPr="004C78D8">
        <w:t xml:space="preserve"> </w:t>
      </w:r>
      <w:r w:rsidR="000E3B1B" w:rsidRPr="004C78D8">
        <w:t>T</w:t>
      </w:r>
      <w:r w:rsidR="00CE156A" w:rsidRPr="004C78D8">
        <w:t xml:space="preserve">his reduced the need for identifying the direct impacts of falls on non-health outcomes. </w:t>
      </w:r>
      <w:r w:rsidR="00F277C2" w:rsidRPr="004C78D8">
        <w:t>This approach</w:t>
      </w:r>
      <w:r w:rsidR="00CE156A" w:rsidRPr="004C78D8">
        <w:t xml:space="preserve"> can be used in other </w:t>
      </w:r>
      <w:r w:rsidR="00423AE8" w:rsidRPr="004C78D8">
        <w:t xml:space="preserve">geriatric and non-geriatric </w:t>
      </w:r>
      <w:r w:rsidR="00CE156A" w:rsidRPr="004C78D8">
        <w:t xml:space="preserve">areas by estimating the </w:t>
      </w:r>
      <w:r w:rsidR="008D0FCC" w:rsidRPr="004C78D8">
        <w:t>link</w:t>
      </w:r>
      <w:r w:rsidR="00CE156A" w:rsidRPr="004C78D8">
        <w:t xml:space="preserve"> between the disease/syndrome and the frailty index</w:t>
      </w:r>
      <w:r w:rsidR="008D0FCC" w:rsidRPr="004C78D8">
        <w:t>, then the societal outcomes/costs associated with frailty</w:t>
      </w:r>
      <w:r w:rsidR="00CE156A" w:rsidRPr="004C78D8">
        <w:t>.</w:t>
      </w:r>
      <w:r w:rsidR="000623EF" w:rsidRPr="004C78D8">
        <w:t xml:space="preserve"> </w:t>
      </w:r>
      <w:r w:rsidR="002B3198" w:rsidRPr="004C78D8">
        <w:t xml:space="preserve">This study hence makes a significant contribution </w:t>
      </w:r>
      <w:r w:rsidR="004E1073" w:rsidRPr="004C78D8">
        <w:t xml:space="preserve">to frailty modelling and can supplement existing conceptual frameworks </w:t>
      </w:r>
      <w:r w:rsidR="004E1073" w:rsidRPr="004C78D8">
        <w:fldChar w:fldCharType="begin"/>
      </w:r>
      <w:r w:rsidR="00513646" w:rsidRPr="004C78D8">
        <w:instrText xml:space="preserve"> ADDIN EN.CITE &lt;EndNote&gt;&lt;Cite&gt;&lt;Author&gt;Afzali&lt;/Author&gt;&lt;Year&gt;2019&lt;/Year&gt;&lt;RecNum&gt;165&lt;/RecNum&gt;&lt;DisplayText&gt;[45]&lt;/DisplayText&gt;&lt;record&gt;&lt;rec-number&gt;165&lt;/rec-number&gt;&lt;foreign-keys&gt;&lt;key app="EN" db-id="tdtrdw9aepptzbefsat599syza29sxsd2wsp" timestamp="1609275016"&gt;165&lt;/key&gt;&lt;/foreign-keys&gt;&lt;ref-type name="Journal Article"&gt;17&lt;/ref-type&gt;&lt;contributors&gt;&lt;authors&gt;&lt;author&gt;Afzali, Hossein Haji Ali&lt;/author&gt;&lt;author&gt;Karnon, Jonathan&lt;/author&gt;&lt;author&gt;Theou, Olga&lt;/author&gt;&lt;author&gt;Beilby, Justin&lt;/author&gt;&lt;author&gt;Cesari, Matteo&lt;/author&gt;&lt;author&gt;Visvanathan, Renuka&lt;/author&gt;&lt;/authors&gt;&lt;/contributors&gt;&lt;titles&gt;&lt;title&gt;Structuring a conceptual model for cost-effectiveness analysis of frailty interventions&lt;/title&gt;&lt;secondary-title&gt;PLoS One&lt;/secondary-title&gt;&lt;/titles&gt;&lt;periodical&gt;&lt;full-title&gt;PLoS One&lt;/full-title&gt;&lt;abbr-1&gt;PloS one&lt;/abbr-1&gt;&lt;/periodical&gt;&lt;volume&gt;14&lt;/volume&gt;&lt;number&gt;9&lt;/number&gt;&lt;dates&gt;&lt;year&gt;2019&lt;/year&gt;&lt;/dates&gt;&lt;urls&gt;&lt;/urls&gt;&lt;/record&gt;&lt;/Cite&gt;&lt;/EndNote&gt;</w:instrText>
      </w:r>
      <w:r w:rsidR="004E1073" w:rsidRPr="004C78D8">
        <w:fldChar w:fldCharType="separate"/>
      </w:r>
      <w:r w:rsidR="00513646" w:rsidRPr="004C78D8">
        <w:rPr>
          <w:noProof/>
        </w:rPr>
        <w:t>[45]</w:t>
      </w:r>
      <w:r w:rsidR="004E1073" w:rsidRPr="004C78D8">
        <w:fldChar w:fldCharType="end"/>
      </w:r>
      <w:r w:rsidR="002B3198" w:rsidRPr="004C78D8">
        <w:t>.</w:t>
      </w:r>
    </w:p>
    <w:p w14:paraId="00093B6D" w14:textId="4A5A450C" w:rsidR="004E1073" w:rsidRPr="004C78D8" w:rsidRDefault="00AC47C1" w:rsidP="00FB7C1F">
      <w:pPr>
        <w:rPr>
          <w:b/>
          <w:bCs/>
          <w:i/>
          <w:iCs/>
        </w:rPr>
      </w:pPr>
      <w:r w:rsidRPr="004C78D8">
        <w:rPr>
          <w:b/>
          <w:bCs/>
          <w:i/>
          <w:iCs/>
        </w:rPr>
        <w:t>(</w:t>
      </w:r>
      <w:r w:rsidR="001D7885" w:rsidRPr="004C78D8">
        <w:rPr>
          <w:b/>
          <w:bCs/>
          <w:i/>
          <w:iCs/>
        </w:rPr>
        <w:t>KC7</w:t>
      </w:r>
      <w:r w:rsidRPr="004C78D8">
        <w:rPr>
          <w:b/>
          <w:bCs/>
          <w:i/>
          <w:iCs/>
        </w:rPr>
        <w:t xml:space="preserve">) The societal analyses generated important insights on the broader benefits and costs of falls prevention and </w:t>
      </w:r>
      <w:r w:rsidR="001F3740" w:rsidRPr="004C78D8">
        <w:rPr>
          <w:b/>
          <w:bCs/>
          <w:i/>
          <w:iCs/>
        </w:rPr>
        <w:t>complementary</w:t>
      </w:r>
      <w:r w:rsidRPr="004C78D8">
        <w:rPr>
          <w:b/>
          <w:bCs/>
          <w:i/>
          <w:iCs/>
        </w:rPr>
        <w:t xml:space="preserve"> geriatric policies.</w:t>
      </w:r>
    </w:p>
    <w:p w14:paraId="2FE3DE6E" w14:textId="35DD65F5" w:rsidR="00BB7365" w:rsidRPr="004C78D8" w:rsidRDefault="002F0930" w:rsidP="00FB7C1F">
      <w:r w:rsidRPr="004C78D8">
        <w:t xml:space="preserve">The </w:t>
      </w:r>
      <w:r w:rsidR="00296ADD" w:rsidRPr="004C78D8">
        <w:t>model</w:t>
      </w:r>
      <w:r w:rsidR="001D7885" w:rsidRPr="004C78D8">
        <w:t>’s</w:t>
      </w:r>
      <w:r w:rsidR="00296ADD" w:rsidRPr="004C78D8">
        <w:t xml:space="preserve"> </w:t>
      </w:r>
      <w:r w:rsidRPr="004C78D8">
        <w:t>incorporation of productivity, personal finance</w:t>
      </w:r>
      <w:r w:rsidR="00990B2D" w:rsidRPr="004C78D8">
        <w:t>,</w:t>
      </w:r>
      <w:r w:rsidRPr="004C78D8">
        <w:t xml:space="preserve"> and informal caregiving generated important </w:t>
      </w:r>
      <w:r w:rsidR="002D6E70" w:rsidRPr="004C78D8">
        <w:t>findings</w:t>
      </w:r>
      <w:r w:rsidRPr="004C78D8">
        <w:t xml:space="preserve">. First, it was shown that </w:t>
      </w:r>
      <w:r w:rsidR="002D6E70" w:rsidRPr="004C78D8">
        <w:t xml:space="preserve">falls prevention raised </w:t>
      </w:r>
      <w:r w:rsidRPr="004C78D8">
        <w:t>senior productivity</w:t>
      </w:r>
      <w:r w:rsidR="00990B2D" w:rsidRPr="004C78D8">
        <w:t xml:space="preserve">; </w:t>
      </w:r>
      <w:r w:rsidR="008C6E6B" w:rsidRPr="004C78D8">
        <w:t xml:space="preserve">RC was particularly effective at raising female productivity relative to UC </w:t>
      </w:r>
      <w:r w:rsidR="002D6E70" w:rsidRPr="004C78D8">
        <w:t>(</w:t>
      </w:r>
      <w:r w:rsidR="008C6E6B" w:rsidRPr="00972766">
        <w:t xml:space="preserve">Table </w:t>
      </w:r>
      <w:r w:rsidR="001D7885" w:rsidRPr="00972766">
        <w:t>F3</w:t>
      </w:r>
      <w:r w:rsidR="008C6E6B" w:rsidRPr="004C78D8">
        <w:t>).</w:t>
      </w:r>
      <w:r w:rsidRPr="004C78D8">
        <w:t xml:space="preserve"> Th</w:t>
      </w:r>
      <w:r w:rsidR="008C6E6B" w:rsidRPr="004C78D8">
        <w:t>ese</w:t>
      </w:r>
      <w:r w:rsidRPr="004C78D8">
        <w:t xml:space="preserve"> corroborate</w:t>
      </w:r>
      <w:r w:rsidR="00990B2D" w:rsidRPr="004C78D8">
        <w:t>d</w:t>
      </w:r>
      <w:r w:rsidRPr="004C78D8">
        <w:t xml:space="preserve"> the policy attention on raising senior productivity to address societal issues associated with ageing populations </w:t>
      </w:r>
      <w:r w:rsidRPr="004C78D8">
        <w:fldChar w:fldCharType="begin"/>
      </w:r>
      <w:r w:rsidR="00513646" w:rsidRPr="004C78D8">
        <w:instrText xml:space="preserve"> ADDIN EN.CITE &lt;EndNote&gt;&lt;Cite&gt;&lt;Author&gt;World Health Organization&lt;/Author&gt;&lt;Year&gt;2017&lt;/Year&gt;&lt;RecNum&gt;450&lt;/RecNum&gt;&lt;DisplayText&gt;[92]&lt;/DisplayText&gt;&lt;record&gt;&lt;rec-number&gt;450&lt;/rec-number&gt;&lt;foreign-keys&gt;&lt;key app="EN" db-id="tdtrdw9aepptzbefsat599syza29sxsd2wsp" timestamp="1616441553"&gt;450&lt;/key&gt;&lt;/foreign-keys&gt;&lt;ref-type name="Journal Article"&gt;17&lt;/ref-type&gt;&lt;contributors&gt;&lt;authors&gt;&lt;author&gt;World Health Organization,&lt;/author&gt;&lt;/authors&gt;&lt;/contributors&gt;&lt;titles&gt;&lt;title&gt;Global strategy and action plan on ageing and health&lt;/title&gt;&lt;/titles&gt;&lt;dates&gt;&lt;year&gt;2017&lt;/year&gt;&lt;/dates&gt;&lt;isbn&gt;9241513500&lt;/isbn&gt;&lt;urls&gt;&lt;/urls&gt;&lt;/record&gt;&lt;/Cite&gt;&lt;/EndNote&gt;</w:instrText>
      </w:r>
      <w:r w:rsidRPr="004C78D8">
        <w:fldChar w:fldCharType="separate"/>
      </w:r>
      <w:r w:rsidR="00513646" w:rsidRPr="004C78D8">
        <w:rPr>
          <w:noProof/>
        </w:rPr>
        <w:t>[92]</w:t>
      </w:r>
      <w:r w:rsidRPr="004C78D8">
        <w:fldChar w:fldCharType="end"/>
      </w:r>
      <w:r w:rsidRPr="004C78D8">
        <w:t>.</w:t>
      </w:r>
      <w:r w:rsidR="008C6E6B" w:rsidRPr="004C78D8">
        <w:t xml:space="preserve"> Second, falls prevention </w:t>
      </w:r>
      <w:r w:rsidR="002D6E70" w:rsidRPr="004C78D8">
        <w:t>reduced</w:t>
      </w:r>
      <w:r w:rsidR="008C6E6B" w:rsidRPr="004C78D8">
        <w:t xml:space="preserve"> the level of informal caregiver burden b</w:t>
      </w:r>
      <w:r w:rsidR="002D6E70" w:rsidRPr="004C78D8">
        <w:t xml:space="preserve">oth </w:t>
      </w:r>
      <w:r w:rsidR="008C6E6B" w:rsidRPr="004C78D8">
        <w:t xml:space="preserve">at the population </w:t>
      </w:r>
      <w:r w:rsidR="00EE618E" w:rsidRPr="004C78D8">
        <w:t xml:space="preserve">and individual </w:t>
      </w:r>
      <w:r w:rsidR="008C6E6B" w:rsidRPr="004C78D8">
        <w:t>level</w:t>
      </w:r>
      <w:r w:rsidR="00EE618E" w:rsidRPr="004C78D8">
        <w:t>s</w:t>
      </w:r>
      <w:r w:rsidR="00C77A6F" w:rsidRPr="004C78D8">
        <w:t>. This similarly corroborate</w:t>
      </w:r>
      <w:r w:rsidR="002D6E70" w:rsidRPr="004C78D8">
        <w:t>d</w:t>
      </w:r>
      <w:r w:rsidR="00C77A6F" w:rsidRPr="004C78D8">
        <w:t xml:space="preserve"> the policy attention on reducing the informal caregiver burden, particularly </w:t>
      </w:r>
      <w:r w:rsidR="00D36AF6" w:rsidRPr="004C78D8">
        <w:t>that</w:t>
      </w:r>
      <w:r w:rsidR="00C77A6F" w:rsidRPr="004C78D8">
        <w:t xml:space="preserve"> placed on female family members</w:t>
      </w:r>
      <w:r w:rsidR="00D36AF6" w:rsidRPr="004C78D8">
        <w:t xml:space="preserve"> (p. 12)</w:t>
      </w:r>
      <w:r w:rsidR="00C77A6F" w:rsidRPr="004C78D8">
        <w:t xml:space="preserve"> </w:t>
      </w:r>
      <w:r w:rsidR="00C77A6F" w:rsidRPr="004C78D8">
        <w:fldChar w:fldCharType="begin"/>
      </w:r>
      <w:r w:rsidR="00C77A6F" w:rsidRPr="004C78D8">
        <w:instrText xml:space="preserve"> ADDIN EN.CITE &lt;EndNote&gt;&lt;Cite&gt;&lt;Author&gt;World Health Organization&lt;/Author&gt;&lt;Year&gt;2015&lt;/Year&gt;&lt;RecNum&gt;1&lt;/RecNum&gt;&lt;DisplayText&gt;[2]&lt;/DisplayText&gt;&lt;record&gt;&lt;rec-number&gt;1&lt;/rec-number&gt;&lt;foreign-keys&gt;&lt;key app="EN" db-id="tdtrdw9aepptzbefsat599syza29sxsd2wsp" timestamp="1596571129"&gt;1&lt;/key&gt;&lt;/foreign-keys&gt;&lt;ref-type name="Book"&gt;6&lt;/ref-type&gt;&lt;contributors&gt;&lt;authors&gt;&lt;author&gt;World Health Organization,&lt;/author&gt;&lt;/authors&gt;&lt;/contributors&gt;&lt;titles&gt;&lt;title&gt;World Report on Ageing and Health&lt;/title&gt;&lt;/titles&gt;&lt;dates&gt;&lt;year&gt;2015&lt;/year&gt;&lt;/dates&gt;&lt;publisher&gt;World Health Organization&lt;/publisher&gt;&lt;isbn&gt;9241565047&lt;/isbn&gt;&lt;urls&gt;&lt;/urls&gt;&lt;/record&gt;&lt;/Cite&gt;&lt;/EndNote&gt;</w:instrText>
      </w:r>
      <w:r w:rsidR="00C77A6F" w:rsidRPr="004C78D8">
        <w:fldChar w:fldCharType="separate"/>
      </w:r>
      <w:r w:rsidR="00C77A6F" w:rsidRPr="004C78D8">
        <w:rPr>
          <w:noProof/>
        </w:rPr>
        <w:t>[2]</w:t>
      </w:r>
      <w:r w:rsidR="00C77A6F" w:rsidRPr="004C78D8">
        <w:fldChar w:fldCharType="end"/>
      </w:r>
      <w:r w:rsidR="00D36AF6" w:rsidRPr="004C78D8">
        <w:t xml:space="preserve">. Third, the model found that falls prevention </w:t>
      </w:r>
      <w:r w:rsidR="00D36AF6" w:rsidRPr="004C78D8">
        <w:rPr>
          <w:i/>
          <w:iCs/>
        </w:rPr>
        <w:t>exacerbate</w:t>
      </w:r>
      <w:r w:rsidR="002D6E70" w:rsidRPr="004C78D8">
        <w:rPr>
          <w:i/>
          <w:iCs/>
        </w:rPr>
        <w:t>d</w:t>
      </w:r>
      <w:r w:rsidR="00D36AF6" w:rsidRPr="004C78D8">
        <w:t xml:space="preserve"> old age poverty </w:t>
      </w:r>
      <w:r w:rsidR="00A33F7E" w:rsidRPr="004C78D8">
        <w:t>by raising the level of private care expenditure. All intervention scenarios reduced OOP care expenditure but incurred significant private co-payments, resulting in net increase</w:t>
      </w:r>
      <w:r w:rsidR="00FF153D" w:rsidRPr="004C78D8">
        <w:t>s</w:t>
      </w:r>
      <w:r w:rsidR="00A33F7E" w:rsidRPr="004C78D8">
        <w:t xml:space="preserve"> in private care expenditure. </w:t>
      </w:r>
      <w:r w:rsidR="00B034AC" w:rsidRPr="004C78D8">
        <w:t>Twelve</w:t>
      </w:r>
      <w:r w:rsidR="00FF153D" w:rsidRPr="004C78D8">
        <w:t xml:space="preserve"> of 23 strategies in Table </w:t>
      </w:r>
      <w:r w:rsidR="001D7885" w:rsidRPr="004C78D8">
        <w:t>6.20</w:t>
      </w:r>
      <w:r w:rsidR="00FF153D" w:rsidRPr="004C78D8">
        <w:t xml:space="preserve"> increased the number of persons in the 3</w:t>
      </w:r>
      <w:r w:rsidR="00FF153D" w:rsidRPr="004C78D8">
        <w:rPr>
          <w:vertAlign w:val="superscript"/>
        </w:rPr>
        <w:t>rd</w:t>
      </w:r>
      <w:r w:rsidR="00FF153D" w:rsidRPr="004C78D8">
        <w:t xml:space="preserve"> and 4</w:t>
      </w:r>
      <w:r w:rsidR="00FF153D" w:rsidRPr="004C78D8">
        <w:rPr>
          <w:vertAlign w:val="superscript"/>
        </w:rPr>
        <w:t>th</w:t>
      </w:r>
      <w:r w:rsidR="00FF153D" w:rsidRPr="004C78D8">
        <w:t xml:space="preserve"> SES quartiles experiencing catastrophic private care expenditure when co-payments </w:t>
      </w:r>
      <w:r w:rsidR="003F1ADA" w:rsidRPr="004C78D8">
        <w:t>we</w:t>
      </w:r>
      <w:r w:rsidR="00FF153D" w:rsidRPr="004C78D8">
        <w:t xml:space="preserve">re included, although the model </w:t>
      </w:r>
      <w:r w:rsidR="00A33F7E" w:rsidRPr="004C78D8">
        <w:t>likely overestimate</w:t>
      </w:r>
      <w:r w:rsidR="00B034AC" w:rsidRPr="004C78D8">
        <w:t>d</w:t>
      </w:r>
      <w:r w:rsidR="00A33F7E" w:rsidRPr="004C78D8">
        <w:t xml:space="preserve"> the intervention demand by </w:t>
      </w:r>
      <w:r w:rsidR="00B034AC" w:rsidRPr="004C78D8">
        <w:t>these quartiles</w:t>
      </w:r>
      <w:r w:rsidR="00A33F7E" w:rsidRPr="004C78D8">
        <w:t xml:space="preserve"> in the presence of co-payments.</w:t>
      </w:r>
      <w:r w:rsidR="00FF153D" w:rsidRPr="004C78D8">
        <w:t xml:space="preserve"> Even so, lower demand would have raised the double jeopardy problem and worsened the equity impacts.</w:t>
      </w:r>
      <w:r w:rsidR="00A33F7E" w:rsidRPr="004C78D8">
        <w:t xml:space="preserve"> </w:t>
      </w:r>
      <w:r w:rsidR="00233820" w:rsidRPr="004C78D8">
        <w:t>F</w:t>
      </w:r>
      <w:r w:rsidR="0091146B" w:rsidRPr="004C78D8">
        <w:t xml:space="preserve">alls prevention </w:t>
      </w:r>
      <w:r w:rsidR="00B034AC" w:rsidRPr="004C78D8">
        <w:t>should</w:t>
      </w:r>
      <w:r w:rsidR="0091146B" w:rsidRPr="004C78D8">
        <w:t xml:space="preserve"> </w:t>
      </w:r>
      <w:r w:rsidR="00233820" w:rsidRPr="004C78D8">
        <w:t xml:space="preserve">thus </w:t>
      </w:r>
      <w:r w:rsidR="0091146B" w:rsidRPr="004C78D8">
        <w:t xml:space="preserve">be integrated with policies that reduce the co-payments </w:t>
      </w:r>
      <w:r w:rsidR="00983349" w:rsidRPr="004C78D8">
        <w:t xml:space="preserve">(e.g., coordination </w:t>
      </w:r>
      <w:r w:rsidR="00B034AC" w:rsidRPr="004C78D8">
        <w:t>between intervention and</w:t>
      </w:r>
      <w:r w:rsidR="00983349" w:rsidRPr="004C78D8">
        <w:t xml:space="preserve"> transport services </w:t>
      </w:r>
      <w:r w:rsidR="00983349" w:rsidRPr="004C78D8">
        <w:fldChar w:fldCharType="begin"/>
      </w:r>
      <w:r w:rsidR="00A2699D" w:rsidRPr="004C78D8">
        <w:instrText xml:space="preserve"> ADDIN EN.CITE &lt;EndNote&gt;&lt;Cite&gt;&lt;Author&gt;Mielenz&lt;/Author&gt;&lt;Year&gt;2019&lt;/Year&gt;&lt;RecNum&gt;222&lt;/RecNum&gt;&lt;DisplayText&gt;[421]&lt;/DisplayText&gt;&lt;record&gt;&lt;rec-number&gt;222&lt;/rec-number&gt;&lt;foreign-keys&gt;&lt;key app="EN" db-id="tdtrdw9aepptzbefsat599syza29sxsd2wsp" timestamp="1610453438"&gt;222&lt;/key&gt;&lt;/foreign-keys&gt;&lt;ref-type name="Journal Article"&gt;17&lt;/ref-type&gt;&lt;contributors&gt;&lt;authors&gt;&lt;author&gt;Mielenz, T. J.&lt;/author&gt;&lt;author&gt;Durbin, L.&lt;/author&gt;&lt;author&gt;Hertzberg, F.&lt;/author&gt;&lt;author&gt;Noble-Hernandez, D.&lt;/author&gt;&lt;author&gt;Sorensen, J. A.&lt;/author&gt;&lt;/authors&gt;&lt;/contributors&gt;&lt;auth-address&gt;J.A. Sorensen, Bassett Research Institute, One Atwell Rd., Cooperstown, NY 13326, United States. E-mail: julie.sorensen@bassett.org&lt;/auth-address&gt;&lt;titles&gt;&lt;title&gt;Fall risk reduction program paired with a transportation program in an underserved, urban minority community: A qualitative evaluation&lt;/title&gt;&lt;secondary-title&gt;Journal of Aging Research&lt;/secondary-title&gt;&lt;/titles&gt;&lt;periodical&gt;&lt;full-title&gt;Journal of Aging Research&lt;/full-title&gt;&lt;/periodical&gt;&lt;pages&gt;2719290&lt;/pages&gt;&lt;volume&gt;2019&lt;/volume&gt;&lt;keywords&gt;&lt;keyword&gt;adult&lt;/keyword&gt;&lt;keyword&gt;aged&lt;/keyword&gt;&lt;keyword&gt;article&lt;/keyword&gt;&lt;keyword&gt;controlled study&lt;/keyword&gt;&lt;keyword&gt;curriculum&lt;/keyword&gt;&lt;keyword&gt;*fall risk&lt;/keyword&gt;&lt;keyword&gt;human&lt;/keyword&gt;&lt;keyword&gt;leadership&lt;/keyword&gt;&lt;keyword&gt;outcome assessment&lt;/keyword&gt;&lt;keyword&gt;physical activity&lt;/keyword&gt;&lt;keyword&gt;*qualitative analysis&lt;/keyword&gt;&lt;keyword&gt;thematic analysis&lt;/keyword&gt;&lt;keyword&gt;training&lt;/keyword&gt;&lt;keyword&gt;volunteer&lt;/keyword&gt;&lt;/keywords&gt;&lt;dates&gt;&lt;year&gt;2019&lt;/year&gt;&lt;/dates&gt;&lt;pub-location&gt;United States&lt;/pub-location&gt;&lt;publisher&gt;Hindawi Limited&lt;/publisher&gt;&lt;isbn&gt;2090-2204&amp;#xD;2090-2212&lt;/isbn&gt;&lt;urls&gt;&lt;related-urls&gt;&lt;url&gt;http://www.hindawi.com/journals/jar/&lt;/url&gt;&lt;url&gt;http://ovidsp.ovid.com/ovidweb.cgi?T=JS&amp;amp;PAGE=reference&amp;amp;D=emexc&amp;amp;NEWS=N&amp;amp;AN=628510528&lt;/url&gt;&lt;/related-urls&gt;&lt;/urls&gt;&lt;electronic-resource-num&gt;http://dx.doi.org/10.1155/2019/2719290&lt;/electronic-resource-num&gt;&lt;remote-database-name&gt;Embase&lt;/remote-database-name&gt;&lt;language&gt;English&lt;/language&gt;&lt;/record&gt;&lt;/Cite&gt;&lt;/EndNote&gt;</w:instrText>
      </w:r>
      <w:r w:rsidR="00983349" w:rsidRPr="004C78D8">
        <w:fldChar w:fldCharType="separate"/>
      </w:r>
      <w:r w:rsidR="00A2699D" w:rsidRPr="004C78D8">
        <w:rPr>
          <w:noProof/>
        </w:rPr>
        <w:t>[421]</w:t>
      </w:r>
      <w:r w:rsidR="00983349" w:rsidRPr="004C78D8">
        <w:fldChar w:fldCharType="end"/>
      </w:r>
      <w:r w:rsidR="00983349" w:rsidRPr="004C78D8">
        <w:t xml:space="preserve">) </w:t>
      </w:r>
      <w:r w:rsidR="0091146B" w:rsidRPr="004C78D8">
        <w:t xml:space="preserve">and/or </w:t>
      </w:r>
      <w:r w:rsidR="00B034AC" w:rsidRPr="004C78D8">
        <w:t xml:space="preserve">directly </w:t>
      </w:r>
      <w:r w:rsidR="0091146B" w:rsidRPr="004C78D8">
        <w:t>support the incomes of vulnerable persons.</w:t>
      </w:r>
      <w:r w:rsidR="008452CF" w:rsidRPr="004C78D8">
        <w:t xml:space="preserve"> In all, the </w:t>
      </w:r>
      <w:r w:rsidR="00EE618E" w:rsidRPr="004C78D8">
        <w:t>study was able to show how</w:t>
      </w:r>
      <w:r w:rsidR="008452CF" w:rsidRPr="004C78D8">
        <w:t xml:space="preserve"> societal analyses </w:t>
      </w:r>
      <w:r w:rsidR="00EE618E" w:rsidRPr="004C78D8">
        <w:t xml:space="preserve">can </w:t>
      </w:r>
      <w:r w:rsidR="008452CF" w:rsidRPr="004C78D8">
        <w:t>validate several areas of geriatric policy focus</w:t>
      </w:r>
      <w:r w:rsidR="00C549C4" w:rsidRPr="004C78D8">
        <w:t xml:space="preserve"> and highlight issues warranting interventions that complement falls prevention.</w:t>
      </w:r>
    </w:p>
    <w:p w14:paraId="6D5FCB41" w14:textId="099D333C" w:rsidR="000779E1" w:rsidRPr="004C78D8" w:rsidRDefault="00534D40" w:rsidP="00FB7C1F">
      <w:pPr>
        <w:pStyle w:val="Heading4"/>
      </w:pPr>
      <w:r w:rsidRPr="004C78D8">
        <w:t>7</w:t>
      </w:r>
      <w:r w:rsidR="000779E1" w:rsidRPr="004C78D8">
        <w:t>.2.3.2 Considering heterogeneity and dynamic complexity</w:t>
      </w:r>
    </w:p>
    <w:p w14:paraId="1A577BB7" w14:textId="4B40473C" w:rsidR="00E63D67" w:rsidRPr="004C78D8" w:rsidRDefault="007F6F91" w:rsidP="00FB7C1F">
      <w:r w:rsidRPr="004C78D8">
        <w:t>Heterogeneity and dynamic complexity were carefully considered by the current model.</w:t>
      </w:r>
      <w:r w:rsidR="00E8275E" w:rsidRPr="004C78D8">
        <w:t xml:space="preserve"> </w:t>
      </w:r>
      <w:r w:rsidR="00F122B1" w:rsidRPr="004C78D8">
        <w:t>Three</w:t>
      </w:r>
      <w:r w:rsidR="00E8275E" w:rsidRPr="004C78D8">
        <w:t xml:space="preserve"> key contributions to the literature can be highlighted.</w:t>
      </w:r>
    </w:p>
    <w:p w14:paraId="2C1E6236" w14:textId="6EC3465B" w:rsidR="00034E28" w:rsidRPr="004C78D8" w:rsidRDefault="00034E28" w:rsidP="00FB7C1F">
      <w:pPr>
        <w:rPr>
          <w:b/>
          <w:bCs/>
          <w:i/>
          <w:iCs/>
        </w:rPr>
      </w:pPr>
      <w:r w:rsidRPr="004C78D8">
        <w:rPr>
          <w:b/>
          <w:bCs/>
          <w:i/>
          <w:iCs/>
        </w:rPr>
        <w:t>(</w:t>
      </w:r>
      <w:r w:rsidR="00534D40" w:rsidRPr="004C78D8">
        <w:rPr>
          <w:b/>
          <w:bCs/>
          <w:i/>
          <w:iCs/>
        </w:rPr>
        <w:t>KC8</w:t>
      </w:r>
      <w:r w:rsidRPr="004C78D8">
        <w:rPr>
          <w:b/>
          <w:bCs/>
          <w:i/>
          <w:iCs/>
        </w:rPr>
        <w:t xml:space="preserve">) The current model considered </w:t>
      </w:r>
      <w:r w:rsidR="00826F8B" w:rsidRPr="004C78D8">
        <w:rPr>
          <w:b/>
          <w:bCs/>
          <w:i/>
          <w:iCs/>
        </w:rPr>
        <w:t>the distinct</w:t>
      </w:r>
      <w:r w:rsidRPr="004C78D8">
        <w:rPr>
          <w:b/>
          <w:bCs/>
          <w:i/>
          <w:iCs/>
        </w:rPr>
        <w:t xml:space="preserve"> intervention </w:t>
      </w:r>
      <w:r w:rsidR="00826F8B" w:rsidRPr="004C78D8">
        <w:rPr>
          <w:b/>
          <w:bCs/>
          <w:i/>
          <w:iCs/>
        </w:rPr>
        <w:t xml:space="preserve">experiences </w:t>
      </w:r>
      <w:r w:rsidRPr="004C78D8">
        <w:rPr>
          <w:b/>
          <w:bCs/>
          <w:i/>
          <w:iCs/>
        </w:rPr>
        <w:t xml:space="preserve">for two subgroups that received </w:t>
      </w:r>
      <w:r w:rsidR="00826F8B" w:rsidRPr="004C78D8">
        <w:rPr>
          <w:b/>
          <w:bCs/>
          <w:i/>
          <w:iCs/>
        </w:rPr>
        <w:t>insufficient attention in the current UK guidelines and previous models: the cognitively impaired and those with prior intervention history.</w:t>
      </w:r>
    </w:p>
    <w:p w14:paraId="74A0E4A0" w14:textId="7CB0389F" w:rsidR="00112874" w:rsidRPr="004C78D8" w:rsidRDefault="000E25D5" w:rsidP="00FB7C1F">
      <w:r w:rsidRPr="004C78D8">
        <w:t xml:space="preserve">The current model characterised the different intervention type, access rate, cost, and efficacy experienced by the cognitively impaired subgroup (Table </w:t>
      </w:r>
      <w:r w:rsidR="00534D40" w:rsidRPr="004C78D8">
        <w:t>5</w:t>
      </w:r>
      <w:r w:rsidRPr="004C78D8">
        <w:t xml:space="preserve">.25). This </w:t>
      </w:r>
      <w:r w:rsidR="00763FB5" w:rsidRPr="004C78D8">
        <w:t>represents a major methodological advance relative to previous models, none of which considered variations in intervention characteristics by cognitive status, let alone incorporate</w:t>
      </w:r>
      <w:r w:rsidR="00B4612C" w:rsidRPr="004C78D8">
        <w:t>d</w:t>
      </w:r>
      <w:r w:rsidR="00763FB5" w:rsidRPr="004C78D8">
        <w:t xml:space="preserve"> </w:t>
      </w:r>
      <w:r w:rsidR="009643A2" w:rsidRPr="004C78D8">
        <w:t xml:space="preserve">relevant </w:t>
      </w:r>
      <w:r w:rsidR="00B4612C" w:rsidRPr="004C78D8">
        <w:t xml:space="preserve">subgroups </w:t>
      </w:r>
      <w:r w:rsidR="00763FB5" w:rsidRPr="004C78D8">
        <w:t xml:space="preserve">(Section </w:t>
      </w:r>
      <w:r w:rsidR="00534D40" w:rsidRPr="004C78D8">
        <w:t>4</w:t>
      </w:r>
      <w:r w:rsidR="00763FB5" w:rsidRPr="004C78D8">
        <w:t>.5.3.2).</w:t>
      </w:r>
      <w:r w:rsidR="00B4612C" w:rsidRPr="004C78D8">
        <w:t xml:space="preserve"> The </w:t>
      </w:r>
      <w:r w:rsidR="004B03CD" w:rsidRPr="004C78D8">
        <w:t xml:space="preserve">NICE and Public Health England falls prevention guidelines contain no tailored intervention pathway for the </w:t>
      </w:r>
      <w:r w:rsidR="00B4612C" w:rsidRPr="004C78D8">
        <w:t xml:space="preserve">cognitively impaired </w:t>
      </w:r>
      <w:r w:rsidR="004B03CD" w:rsidRPr="004C78D8">
        <w:fldChar w:fldCharType="begin"/>
      </w:r>
      <w:r w:rsidR="00513646" w:rsidRPr="004C78D8">
        <w:instrText xml:space="preserve"> ADDIN EN.CITE &lt;EndNote&gt;&lt;Cite&gt;&lt;Author&gt;National Institute for Health and Care Excellence&lt;/Author&gt;&lt;Year&gt;2013&lt;/Year&gt;&lt;RecNum&gt;13&lt;/RecNum&gt;&lt;DisplayText&gt;[13, 143]&lt;/DisplayText&gt;&lt;record&gt;&lt;rec-number&gt;13&lt;/rec-number&gt;&lt;foreign-keys&gt;&lt;key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161&lt;/volume&gt;&lt;number&gt;nice.org.uk/guidance/cg161&lt;/number&gt;&lt;dates&gt;&lt;year&gt;2013&lt;/year&gt;&lt;/dates&gt;&lt;urls&gt;&lt;/urls&gt;&lt;/record&gt;&lt;/Cite&gt;&lt;Cite&gt;&lt;Author&gt;Public Health England&lt;/Author&gt;&lt;Year&gt;2017&lt;/Year&gt;&lt;RecNum&gt;533&lt;/RecNum&gt;&lt;record&gt;&lt;rec-number&gt;533&lt;/rec-number&gt;&lt;foreign-keys&gt;&lt;key app="EN" db-id="tdtrdw9aepptzbefsat599syza29sxsd2wsp" timestamp="1618261096"&gt;533&lt;/key&gt;&lt;/foreign-keys&gt;&lt;ref-type name="Journal Article"&gt;17&lt;/ref-type&gt;&lt;contributors&gt;&lt;authors&gt;&lt;author&gt;Public Health England,&lt;/author&gt;&lt;/authors&gt;&lt;/contributors&gt;&lt;titles&gt;&lt;title&gt;Falls and fracture consensus statement: Supporting commissioning for prevention&lt;/title&gt;&lt;secondary-title&gt;London: Public Health England&lt;/secondary-title&gt;&lt;/titles&gt;&lt;periodical&gt;&lt;full-title&gt;London: Public Health England&lt;/full-title&gt;&lt;/periodical&gt;&lt;dates&gt;&lt;year&gt;2017&lt;/year&gt;&lt;/dates&gt;&lt;urls&gt;&lt;/urls&gt;&lt;/record&gt;&lt;/Cite&gt;&lt;/EndNote&gt;</w:instrText>
      </w:r>
      <w:r w:rsidR="004B03CD" w:rsidRPr="004C78D8">
        <w:fldChar w:fldCharType="separate"/>
      </w:r>
      <w:r w:rsidR="00513646" w:rsidRPr="004C78D8">
        <w:rPr>
          <w:noProof/>
        </w:rPr>
        <w:t>[13, 143]</w:t>
      </w:r>
      <w:r w:rsidR="004B03CD" w:rsidRPr="004C78D8">
        <w:fldChar w:fldCharType="end"/>
      </w:r>
      <w:r w:rsidR="00112874" w:rsidRPr="004C78D8">
        <w:t xml:space="preserve">, </w:t>
      </w:r>
      <w:r w:rsidR="004B03CD" w:rsidRPr="004C78D8">
        <w:t xml:space="preserve">even when falls prevention RCTs are frequently delineated by </w:t>
      </w:r>
      <w:r w:rsidR="00112874" w:rsidRPr="004C78D8">
        <w:t xml:space="preserve">cognitive status (Table </w:t>
      </w:r>
      <w:r w:rsidR="00534D40" w:rsidRPr="004C78D8">
        <w:t>5</w:t>
      </w:r>
      <w:r w:rsidR="00112874" w:rsidRPr="004C78D8">
        <w:t xml:space="preserve">.35). </w:t>
      </w:r>
      <w:r w:rsidR="0061249E" w:rsidRPr="004C78D8">
        <w:t>The current model hence offer</w:t>
      </w:r>
      <w:r w:rsidR="009643A2" w:rsidRPr="004C78D8">
        <w:t>s</w:t>
      </w:r>
      <w:r w:rsidR="0061249E" w:rsidRPr="004C78D8">
        <w:t xml:space="preserve"> </w:t>
      </w:r>
      <w:r w:rsidR="001E3D38" w:rsidRPr="004C78D8">
        <w:t xml:space="preserve">the </w:t>
      </w:r>
      <w:r w:rsidR="009643A2" w:rsidRPr="004C78D8">
        <w:t xml:space="preserve">first economic </w:t>
      </w:r>
      <w:r w:rsidR="0061249E" w:rsidRPr="004C78D8">
        <w:t xml:space="preserve">evidence </w:t>
      </w:r>
      <w:r w:rsidR="009643A2" w:rsidRPr="004C78D8">
        <w:t>to date which can inform such pathway designs in updated</w:t>
      </w:r>
      <w:r w:rsidR="0061249E" w:rsidRPr="004C78D8">
        <w:t xml:space="preserve"> </w:t>
      </w:r>
      <w:r w:rsidR="00551D22" w:rsidRPr="004C78D8">
        <w:t xml:space="preserve">editions of the UK </w:t>
      </w:r>
      <w:r w:rsidR="0061249E" w:rsidRPr="004C78D8">
        <w:t>guideline</w:t>
      </w:r>
      <w:r w:rsidR="00551D22" w:rsidRPr="004C78D8">
        <w:t>s</w:t>
      </w:r>
      <w:r w:rsidR="0061249E" w:rsidRPr="004C78D8">
        <w:t xml:space="preserve">. </w:t>
      </w:r>
      <w:r w:rsidR="001E3D38" w:rsidRPr="004C78D8">
        <w:t xml:space="preserve">The </w:t>
      </w:r>
      <w:r w:rsidR="00990B2D" w:rsidRPr="004C78D8">
        <w:t>latter</w:t>
      </w:r>
      <w:r w:rsidR="001E3D38" w:rsidRPr="004C78D8">
        <w:t xml:space="preserve"> </w:t>
      </w:r>
      <w:r w:rsidR="00434AFC" w:rsidRPr="004C78D8">
        <w:t>also</w:t>
      </w:r>
      <w:r w:rsidR="001E3D38" w:rsidRPr="004C78D8">
        <w:t xml:space="preserve"> lacked</w:t>
      </w:r>
      <w:r w:rsidR="00112874" w:rsidRPr="004C78D8">
        <w:t xml:space="preserve"> protocol</w:t>
      </w:r>
      <w:r w:rsidR="001E3D38" w:rsidRPr="004C78D8">
        <w:t>s</w:t>
      </w:r>
      <w:r w:rsidR="00112874" w:rsidRPr="004C78D8">
        <w:t xml:space="preserve"> for those with intervention history despite the </w:t>
      </w:r>
      <w:r w:rsidR="00990B2D" w:rsidRPr="004C78D8">
        <w:t>capacity</w:t>
      </w:r>
      <w:r w:rsidR="00112874" w:rsidRPr="004C78D8">
        <w:t xml:space="preserve"> implications. </w:t>
      </w:r>
      <w:r w:rsidR="001E3D38" w:rsidRPr="004C78D8">
        <w:t xml:space="preserve">The current model again offers the first evidence </w:t>
      </w:r>
      <w:r w:rsidR="00387C01" w:rsidRPr="004C78D8">
        <w:t>on</w:t>
      </w:r>
      <w:r w:rsidR="001E3D38" w:rsidRPr="004C78D8">
        <w:t xml:space="preserve"> the </w:t>
      </w:r>
      <w:r w:rsidR="003B1514" w:rsidRPr="004C78D8">
        <w:t xml:space="preserve">impacts of alternative service protocols. </w:t>
      </w:r>
      <w:r w:rsidR="00171EAC" w:rsidRPr="004C78D8">
        <w:t>Specifically, t</w:t>
      </w:r>
      <w:r w:rsidR="003B1514" w:rsidRPr="004C78D8">
        <w:t xml:space="preserve">he RC scenario imposed a limit of three receipts of proactive multifactorial interventions to </w:t>
      </w:r>
      <w:r w:rsidR="00171EAC" w:rsidRPr="004C78D8">
        <w:t>keep</w:t>
      </w:r>
      <w:r w:rsidR="003B1514" w:rsidRPr="004C78D8">
        <w:t xml:space="preserve"> the annual client flow </w:t>
      </w:r>
      <w:r w:rsidR="00171EAC" w:rsidRPr="004C78D8">
        <w:t>manageable for</w:t>
      </w:r>
      <w:r w:rsidR="003B1514" w:rsidRPr="004C78D8">
        <w:t xml:space="preserve"> seven falls clinics</w:t>
      </w:r>
      <w:r w:rsidR="00171EAC" w:rsidRPr="004C78D8">
        <w:t xml:space="preserve">. Section </w:t>
      </w:r>
      <w:r w:rsidR="00534D40" w:rsidRPr="004C78D8">
        <w:t>6</w:t>
      </w:r>
      <w:r w:rsidR="00171EAC" w:rsidRPr="004C78D8">
        <w:t>.3.</w:t>
      </w:r>
      <w:r w:rsidR="00534D40" w:rsidRPr="004C78D8">
        <w:t>1</w:t>
      </w:r>
      <w:r w:rsidR="00171EAC" w:rsidRPr="004C78D8">
        <w:t xml:space="preserve">.2 evaluated the scenario of no repeated receipt </w:t>
      </w:r>
      <w:r w:rsidR="00C0389A" w:rsidRPr="004C78D8">
        <w:t>under falls clinic capacity constraint</w:t>
      </w:r>
      <w:r w:rsidR="006A3560">
        <w:t>s</w:t>
      </w:r>
      <w:r w:rsidR="00C0389A" w:rsidRPr="004C78D8">
        <w:t xml:space="preserve"> </w:t>
      </w:r>
      <w:r w:rsidR="00171EAC" w:rsidRPr="004C78D8">
        <w:t xml:space="preserve">and found this to be dominated by </w:t>
      </w:r>
      <w:r w:rsidR="00C0389A" w:rsidRPr="004C78D8">
        <w:t>the scenario of targeting by multivariate falls risk.</w:t>
      </w:r>
    </w:p>
    <w:p w14:paraId="6DAF2E51" w14:textId="0F7932DC" w:rsidR="00826F8B" w:rsidRPr="004C78D8" w:rsidRDefault="00826F8B" w:rsidP="00FB7C1F">
      <w:pPr>
        <w:rPr>
          <w:b/>
          <w:bCs/>
          <w:i/>
          <w:iCs/>
        </w:rPr>
      </w:pPr>
      <w:r w:rsidRPr="004C78D8">
        <w:rPr>
          <w:b/>
          <w:bCs/>
          <w:i/>
          <w:iCs/>
        </w:rPr>
        <w:t>(</w:t>
      </w:r>
      <w:r w:rsidR="00534D40" w:rsidRPr="004C78D8">
        <w:rPr>
          <w:b/>
          <w:bCs/>
          <w:i/>
          <w:iCs/>
        </w:rPr>
        <w:t>KC9</w:t>
      </w:r>
      <w:r w:rsidRPr="004C78D8">
        <w:rPr>
          <w:b/>
          <w:bCs/>
          <w:i/>
          <w:iCs/>
        </w:rPr>
        <w:t xml:space="preserve">) The current model conducted </w:t>
      </w:r>
      <w:r w:rsidR="00387C01" w:rsidRPr="004C78D8">
        <w:rPr>
          <w:b/>
          <w:bCs/>
          <w:i/>
          <w:iCs/>
        </w:rPr>
        <w:t>comprehensive</w:t>
      </w:r>
      <w:r w:rsidRPr="004C78D8">
        <w:rPr>
          <w:b/>
          <w:bCs/>
          <w:i/>
          <w:iCs/>
        </w:rPr>
        <w:t xml:space="preserve"> analyses </w:t>
      </w:r>
      <w:r w:rsidR="00387C01" w:rsidRPr="004C78D8">
        <w:rPr>
          <w:b/>
          <w:bCs/>
          <w:i/>
          <w:iCs/>
        </w:rPr>
        <w:t>of</w:t>
      </w:r>
      <w:r w:rsidRPr="004C78D8">
        <w:rPr>
          <w:b/>
          <w:bCs/>
          <w:i/>
          <w:iCs/>
        </w:rPr>
        <w:t xml:space="preserve"> the heterogeneity </w:t>
      </w:r>
      <w:r w:rsidR="00387C01" w:rsidRPr="004C78D8">
        <w:rPr>
          <w:b/>
          <w:bCs/>
          <w:i/>
          <w:iCs/>
        </w:rPr>
        <w:t>of</w:t>
      </w:r>
      <w:r w:rsidR="009F5E72" w:rsidRPr="004C78D8">
        <w:rPr>
          <w:b/>
          <w:bCs/>
          <w:i/>
          <w:iCs/>
        </w:rPr>
        <w:t xml:space="preserve"> falls prevention </w:t>
      </w:r>
      <w:r w:rsidRPr="004C78D8">
        <w:rPr>
          <w:b/>
          <w:bCs/>
          <w:i/>
          <w:iCs/>
        </w:rPr>
        <w:t>impact</w:t>
      </w:r>
      <w:r w:rsidR="009F5E72" w:rsidRPr="004C78D8">
        <w:rPr>
          <w:b/>
          <w:bCs/>
          <w:i/>
          <w:iCs/>
        </w:rPr>
        <w:t>, including the relative performance of the guideline-recommended proactive pathway.</w:t>
      </w:r>
    </w:p>
    <w:p w14:paraId="1F91F01E" w14:textId="18FC4AFA" w:rsidR="003E2AEC" w:rsidRPr="004C78D8" w:rsidRDefault="006827D4" w:rsidP="00FB7C1F">
      <w:r w:rsidRPr="004C78D8">
        <w:t xml:space="preserve">The current model </w:t>
      </w:r>
      <w:r w:rsidR="00E6746C" w:rsidRPr="004C78D8">
        <w:t>greatly expanded the range of heterogeneity explored relative to previous models which frequently confined their delineat</w:t>
      </w:r>
      <w:r w:rsidR="002C5CBF" w:rsidRPr="004C78D8">
        <w:t>ing characteristics</w:t>
      </w:r>
      <w:r w:rsidR="00E6746C" w:rsidRPr="004C78D8">
        <w:t xml:space="preserve"> to age, sex, and falls history</w:t>
      </w:r>
      <w:r w:rsidRPr="004C78D8">
        <w:t xml:space="preserve"> (Table 4.12)</w:t>
      </w:r>
      <w:r w:rsidR="00E6746C" w:rsidRPr="004C78D8">
        <w:t xml:space="preserve">. </w:t>
      </w:r>
      <w:r w:rsidR="00386408" w:rsidRPr="004C78D8">
        <w:t>The s</w:t>
      </w:r>
      <w:r w:rsidR="00901306" w:rsidRPr="004C78D8">
        <w:t xml:space="preserve">ubgroup analyses </w:t>
      </w:r>
      <w:r w:rsidR="00AF4C8D" w:rsidRPr="004C78D8">
        <w:t>also</w:t>
      </w:r>
      <w:r w:rsidR="00386408" w:rsidRPr="004C78D8">
        <w:t xml:space="preserve"> </w:t>
      </w:r>
      <w:r w:rsidR="00901306" w:rsidRPr="004C78D8">
        <w:t xml:space="preserve">provided the platform for DCEAs delineated by pre-specified variables equity relevance, namely SES quartile and </w:t>
      </w:r>
      <w:r w:rsidR="00AF4C8D" w:rsidRPr="004C78D8">
        <w:t xml:space="preserve">initial </w:t>
      </w:r>
      <w:r w:rsidR="00901306" w:rsidRPr="004C78D8">
        <w:t xml:space="preserve">frailty category. </w:t>
      </w:r>
      <w:r w:rsidR="002C5CBF" w:rsidRPr="004C78D8">
        <w:t>The model conducted targeting analyses under capacity constraints</w:t>
      </w:r>
      <w:r w:rsidR="003E2AEC" w:rsidRPr="004C78D8">
        <w:t>: targeting by</w:t>
      </w:r>
      <w:r w:rsidR="005E7A4F" w:rsidRPr="004C78D8">
        <w:t xml:space="preserve"> frailty category and </w:t>
      </w:r>
      <w:r w:rsidR="003E2AEC" w:rsidRPr="004C78D8">
        <w:t xml:space="preserve">by multivariate </w:t>
      </w:r>
      <w:r w:rsidR="005E7A4F" w:rsidRPr="004C78D8">
        <w:t>falls risk</w:t>
      </w:r>
      <w:r w:rsidR="003E2AEC" w:rsidRPr="004C78D8">
        <w:t xml:space="preserve"> (</w:t>
      </w:r>
      <w:r w:rsidR="003E2AEC" w:rsidRPr="00972766">
        <w:t xml:space="preserve">Section </w:t>
      </w:r>
      <w:r w:rsidR="002C5CBF" w:rsidRPr="00972766">
        <w:t>6</w:t>
      </w:r>
      <w:r w:rsidR="003E2AEC" w:rsidRPr="00972766">
        <w:t>.3.</w:t>
      </w:r>
      <w:r w:rsidR="002C5CBF" w:rsidRPr="00972766">
        <w:t>1</w:t>
      </w:r>
      <w:r w:rsidR="003E2AEC" w:rsidRPr="00972766">
        <w:t>.2</w:t>
      </w:r>
      <w:r w:rsidR="003E2AEC" w:rsidRPr="004C78D8">
        <w:t>)</w:t>
      </w:r>
      <w:r w:rsidR="005E7A4F" w:rsidRPr="004C78D8">
        <w:t xml:space="preserve">. </w:t>
      </w:r>
      <w:r w:rsidR="009313A2" w:rsidRPr="004C78D8">
        <w:t>The significant improvement in the efficiency of CRC under falls risk targeting was a major finding</w:t>
      </w:r>
      <w:r w:rsidR="00CA04FC" w:rsidRPr="004C78D8">
        <w:t>. It implies</w:t>
      </w:r>
      <w:r w:rsidR="009313A2" w:rsidRPr="004C78D8">
        <w:t xml:space="preserve"> that an </w:t>
      </w:r>
      <w:r w:rsidR="00CA04FC" w:rsidRPr="004C78D8">
        <w:t>additional</w:t>
      </w:r>
      <w:r w:rsidR="009313A2" w:rsidRPr="004C78D8">
        <w:t xml:space="preserve"> layer of </w:t>
      </w:r>
      <w:r w:rsidR="00CA04FC" w:rsidRPr="004C78D8">
        <w:t xml:space="preserve">triage </w:t>
      </w:r>
      <w:r w:rsidR="006E4AF2" w:rsidRPr="004C78D8">
        <w:t>before</w:t>
      </w:r>
      <w:r w:rsidR="00CA04FC" w:rsidRPr="004C78D8">
        <w:t xml:space="preserve"> multifactorial intervention receipt</w:t>
      </w:r>
      <w:r w:rsidR="009313A2" w:rsidRPr="004C78D8">
        <w:t xml:space="preserve"> </w:t>
      </w:r>
      <w:r w:rsidR="00B474EE" w:rsidRPr="004C78D8">
        <w:t xml:space="preserve">is warranted </w:t>
      </w:r>
      <w:r w:rsidR="006E4AF2" w:rsidRPr="004C78D8">
        <w:t>to supplement</w:t>
      </w:r>
      <w:r w:rsidR="00CA04FC" w:rsidRPr="004C78D8">
        <w:t xml:space="preserve"> the screening at routine care</w:t>
      </w:r>
      <w:r w:rsidR="009313A2" w:rsidRPr="004C78D8">
        <w:t xml:space="preserve"> </w:t>
      </w:r>
      <w:r w:rsidR="006E4AF2" w:rsidRPr="004C78D8">
        <w:t>contact</w:t>
      </w:r>
      <w:r w:rsidR="009313A2" w:rsidRPr="004C78D8">
        <w:t xml:space="preserve">. </w:t>
      </w:r>
      <w:r w:rsidR="00CA04FC" w:rsidRPr="004C78D8">
        <w:t xml:space="preserve">Frailty targeting, meanwhile, failed to </w:t>
      </w:r>
      <w:r w:rsidR="006E4AF2" w:rsidRPr="004C78D8">
        <w:t xml:space="preserve">significantly </w:t>
      </w:r>
      <w:r w:rsidR="00CA04FC" w:rsidRPr="004C78D8">
        <w:t xml:space="preserve">change the efficiency profile of CRC relative to random allocation. </w:t>
      </w:r>
      <w:r w:rsidR="005A67BE" w:rsidRPr="004C78D8">
        <w:t xml:space="preserve">This implies that </w:t>
      </w:r>
      <w:r w:rsidR="00D71A11" w:rsidRPr="004C78D8">
        <w:t xml:space="preserve">while validating a frailty measure is important </w:t>
      </w:r>
      <w:r w:rsidR="00D71A11" w:rsidRPr="004C78D8">
        <w:fldChar w:fldCharType="begin">
          <w:fldData xml:space="preserve">PEVuZE5vdGU+PENpdGU+PEF1dGhvcj5DaGVjYS1Mw7NwZXo8L0F1dGhvcj48WWVhcj4yMDE5PC9Z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</w:fldData>
        </w:fldChar>
      </w:r>
      <w:r w:rsidR="00A2699D" w:rsidRPr="004C78D8">
        <w:instrText xml:space="preserve"> ADDIN EN.CITE </w:instrText>
      </w:r>
      <w:r w:rsidR="00A2699D" w:rsidRPr="004C78D8">
        <w:fldChar w:fldCharType="begin">
          <w:fldData xml:space="preserve">PEVuZE5vdGU+PENpdGU+PEF1dGhvcj5DaGVjYS1Mw7NwZXo8L0F1dGhvcj48WWVhcj4yMDE5PC9Z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</w:fldData>
        </w:fldChar>
      </w:r>
      <w:r w:rsidR="00A2699D" w:rsidRPr="004C78D8">
        <w:instrText xml:space="preserve"> ADDIN EN.CITE.DATA </w:instrText>
      </w:r>
      <w:r w:rsidR="00A2699D" w:rsidRPr="004C78D8">
        <w:fldChar w:fldCharType="end"/>
      </w:r>
      <w:r w:rsidR="00D71A11" w:rsidRPr="004C78D8">
        <w:fldChar w:fldCharType="separate"/>
      </w:r>
      <w:r w:rsidR="00A2699D" w:rsidRPr="004C78D8">
        <w:rPr>
          <w:noProof/>
        </w:rPr>
        <w:t>[422]</w:t>
      </w:r>
      <w:r w:rsidR="00D71A11" w:rsidRPr="004C78D8">
        <w:fldChar w:fldCharType="end"/>
      </w:r>
      <w:r w:rsidR="00D71A11" w:rsidRPr="004C78D8">
        <w:t xml:space="preserve">, further work is required to evaluate how the measure integrates within the best predictive </w:t>
      </w:r>
      <w:r w:rsidR="008B54A5" w:rsidRPr="004C78D8">
        <w:t>equation</w:t>
      </w:r>
      <w:r w:rsidR="00D71A11" w:rsidRPr="004C78D8">
        <w:t xml:space="preserve"> for </w:t>
      </w:r>
      <w:r w:rsidR="00B474EE" w:rsidRPr="004C78D8">
        <w:t>the risk of falling</w:t>
      </w:r>
      <w:r w:rsidR="00D71A11" w:rsidRPr="004C78D8">
        <w:t>.</w:t>
      </w:r>
      <w:r w:rsidR="00EA6BAB" w:rsidRPr="004C78D8">
        <w:t xml:space="preserve"> A corollary finding is that a comprehensive upgrade to the clinical data system is required since factors such as abnormal gait, non-MA falls history, and fear of falling are not commonly observed in routine care data </w:t>
      </w:r>
      <w:r w:rsidR="00EA6BAB" w:rsidRPr="004C78D8">
        <w:fldChar w:fldCharType="begin">
          <w:fldData xml:space="preserve">PEVuZE5vdGU+PENpdGU+PEF1dGhvcj5TbWl0aDwvQXV0aG9yPjxZZWFyPjIwMTY8L1llYXI+PFJl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</w:fldData>
        </w:fldChar>
      </w:r>
      <w:r w:rsidR="00513646" w:rsidRPr="004C78D8">
        <w:instrText xml:space="preserve"> ADDIN EN.CITE </w:instrText>
      </w:r>
      <w:r w:rsidR="00513646" w:rsidRPr="004C78D8">
        <w:fldChar w:fldCharType="begin">
          <w:fldData xml:space="preserve">PEVuZE5vdGU+PENpdGU+PEF1dGhvcj5TbWl0aDwvQXV0aG9yPjxZZWFyPjIwMTY8L1llYXI+PFJl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</w:fldData>
        </w:fldChar>
      </w:r>
      <w:r w:rsidR="00513646" w:rsidRPr="004C78D8">
        <w:instrText xml:space="preserve"> ADDIN EN.CITE.DATA </w:instrText>
      </w:r>
      <w:r w:rsidR="00513646" w:rsidRPr="004C78D8">
        <w:fldChar w:fldCharType="end"/>
      </w:r>
      <w:r w:rsidR="00EA6BAB" w:rsidRPr="004C78D8">
        <w:fldChar w:fldCharType="separate"/>
      </w:r>
      <w:r w:rsidR="00513646" w:rsidRPr="004C78D8">
        <w:rPr>
          <w:noProof/>
        </w:rPr>
        <w:t>[44]</w:t>
      </w:r>
      <w:r w:rsidR="00EA6BAB" w:rsidRPr="004C78D8">
        <w:fldChar w:fldCharType="end"/>
      </w:r>
      <w:r w:rsidR="00EA6BAB" w:rsidRPr="004C78D8">
        <w:t xml:space="preserve">. </w:t>
      </w:r>
    </w:p>
    <w:p w14:paraId="18B8C5DE" w14:textId="6247EF7F" w:rsidR="008028EF" w:rsidRPr="004C78D8" w:rsidRDefault="00AD18D1" w:rsidP="00FB7C1F">
      <w:r w:rsidRPr="004C78D8">
        <w:t xml:space="preserve">The heterogeneity in intervention need was delineated </w:t>
      </w:r>
      <w:r w:rsidR="00A53E71" w:rsidRPr="004C78D8">
        <w:t xml:space="preserve">and evaluated </w:t>
      </w:r>
      <w:r w:rsidRPr="004C78D8">
        <w:t>by the three pathways</w:t>
      </w:r>
      <w:r w:rsidR="00A53E71" w:rsidRPr="004C78D8">
        <w:t>:</w:t>
      </w:r>
      <w:r w:rsidR="00B474EE" w:rsidRPr="004C78D8">
        <w:t xml:space="preserve"> </w:t>
      </w:r>
      <w:r w:rsidRPr="004C78D8">
        <w:t>reactive, proactive, and self-referred</w:t>
      </w:r>
      <w:r w:rsidR="00B474EE" w:rsidRPr="004C78D8">
        <w:t>.</w:t>
      </w:r>
      <w:r w:rsidR="007F3B28" w:rsidRPr="004C78D8">
        <w:t xml:space="preserve"> </w:t>
      </w:r>
      <w:r w:rsidR="00B474EE" w:rsidRPr="004C78D8">
        <w:t xml:space="preserve">Only a single previous model incorporated </w:t>
      </w:r>
      <w:r w:rsidR="004A4C44" w:rsidRPr="004C78D8">
        <w:t xml:space="preserve">all </w:t>
      </w:r>
      <w:r w:rsidR="00B474EE" w:rsidRPr="004C78D8">
        <w:t xml:space="preserve">three pathways, and that was without evaluating their respective performances </w:t>
      </w:r>
      <w:r w:rsidR="00B474EE" w:rsidRPr="004C78D8">
        <w:fldChar w:fldCharType="begin"/>
      </w:r>
      <w:r w:rsidR="00C630FC" w:rsidRPr="004C78D8">
        <w:instrText xml:space="preserve"> ADDIN EN.CITE &lt;EndNote&gt;&lt;Cite&gt;&lt;Author&gt;Eldridge&lt;/Author&gt;&lt;Year&gt;2005&lt;/Year&gt;&lt;RecNum&gt;397&lt;/RecNum&gt;&lt;DisplayText&gt;[274]&lt;/DisplayText&gt;&lt;record&gt;&lt;rec-number&gt;397&lt;/rec-number&gt;&lt;foreign-keys&gt;&lt;key app="EN" db-id="tdtrdw9aepptzbefsat599syza29sxsd2wsp" timestamp="1612694614"&gt;397&lt;/key&gt;&lt;/foreign-keys&gt;&lt;ref-type name="Journal Article"&gt;17&lt;/ref-type&gt;&lt;contributors&gt;&lt;authors&gt;&lt;author&gt;Eldridge, Sandra&lt;/author&gt;&lt;author&gt;Spencer, Anne&lt;/author&gt;&lt;author&gt;Cryer, Colin&lt;/author&gt;&lt;author&gt;Parsons, Suzanne&lt;/author&gt;&lt;author&gt;Underwood, Martin&lt;/author&gt;&lt;author&gt;Feder, Gene&lt;/author&gt;&lt;/authors&gt;&lt;/contributors&gt;&lt;titles&gt;&lt;title&gt;Why modelling a complex intervention is an important precursor to trial design: lessons from studying an intervention to reduce falls-related injuries in older people&lt;/title&gt;&lt;secondary-title&gt;Journal of health services research &amp;amp; policy&lt;/secondary-title&gt;&lt;/titles&gt;&lt;periodical&gt;&lt;full-title&gt;Journal of health services research &amp;amp; policy&lt;/full-title&gt;&lt;/periodical&gt;&lt;pages&gt;133-42&lt;/pages&gt;&lt;volume&gt;10&lt;/volume&gt;&lt;number&gt;3&lt;/number&gt;&lt;section&gt;Eldridge, Sandra. Department of General Practice and Primary Care, Queen Mary University of London, UK. s.elridge@qmul.ac.uk&lt;/section&gt;&lt;keywords&gt;&lt;keyword&gt;*Accidental Falls/pc [Prevention &amp;amp; Control]&lt;/keyword&gt;&lt;keyword&gt;Aged&lt;/keyword&gt;&lt;keyword&gt;Aged, 80 and over&lt;/keyword&gt;&lt;keyword&gt;Cost-Benefit Analysis&lt;/keyword&gt;&lt;keyword&gt;*Decision Support Techniques&lt;/keyword&gt;&lt;keyword&gt;Humans&lt;/keyword&gt;&lt;keyword&gt;Markov Chains&lt;/keyword&gt;&lt;keyword&gt;Pilot Projects&lt;/keyword&gt;&lt;keyword&gt;State Medicine&lt;/keyword&gt;&lt;keyword&gt;United Kingdom&lt;/keyword&gt;&lt;/keywords&gt;&lt;dates&gt;&lt;year&gt;2005&lt;/year&gt;&lt;/dates&gt;&lt;pub-location&gt;England&lt;/pub-location&gt;&lt;isbn&gt;1355-8196&lt;/isbn&gt;&lt;urls&gt;&lt;related-urls&gt;&lt;url&gt;http://ovidsp.ovid.com/ovidweb.cgi?T=JS&amp;amp;PAGE=reference&amp;amp;D=med5&amp;amp;NEWS=N&amp;amp;AN=16053589&lt;/url&gt;&lt;/related-urls&gt;&lt;/urls&gt;&lt;remote-database-name&gt;Medline&lt;/remote-database-name&gt;&lt;/record&gt;&lt;/Cite&gt;&lt;/EndNote&gt;</w:instrText>
      </w:r>
      <w:r w:rsidR="00B474EE" w:rsidRPr="004C78D8">
        <w:fldChar w:fldCharType="separate"/>
      </w:r>
      <w:r w:rsidR="00C630FC" w:rsidRPr="004C78D8">
        <w:rPr>
          <w:noProof/>
        </w:rPr>
        <w:t>[274]</w:t>
      </w:r>
      <w:r w:rsidR="00B474EE" w:rsidRPr="004C78D8">
        <w:fldChar w:fldCharType="end"/>
      </w:r>
      <w:r w:rsidR="00B474EE" w:rsidRPr="004C78D8">
        <w:t xml:space="preserve">. </w:t>
      </w:r>
      <w:r w:rsidR="00EA262E" w:rsidRPr="004C78D8">
        <w:t xml:space="preserve">The </w:t>
      </w:r>
      <w:r w:rsidR="00DF4E83" w:rsidRPr="004C78D8">
        <w:t xml:space="preserve">current model provided important economic evidence regarding the </w:t>
      </w:r>
      <w:r w:rsidR="00676944" w:rsidRPr="004C78D8">
        <w:t xml:space="preserve">relative </w:t>
      </w:r>
      <w:r w:rsidR="00EA262E" w:rsidRPr="004C78D8">
        <w:t xml:space="preserve">performance of the proactive pathway </w:t>
      </w:r>
      <w:r w:rsidR="00DF4E83" w:rsidRPr="004C78D8">
        <w:t>which</w:t>
      </w:r>
      <w:r w:rsidR="00EA262E" w:rsidRPr="004C78D8">
        <w:t xml:space="preserve"> constitutes the main component of NICE CG161 </w:t>
      </w:r>
      <w:r w:rsidR="00724AA0" w:rsidRPr="004C78D8">
        <w:t>and</w:t>
      </w:r>
      <w:r w:rsidR="00EA262E" w:rsidRPr="004C78D8">
        <w:t xml:space="preserve"> other </w:t>
      </w:r>
      <w:r w:rsidR="00C55F3E" w:rsidRPr="004C78D8">
        <w:t xml:space="preserve">normative </w:t>
      </w:r>
      <w:r w:rsidR="00EA262E" w:rsidRPr="004C78D8">
        <w:t xml:space="preserve">falls prevention guidelines </w:t>
      </w:r>
      <w:r w:rsidR="00C55F3E" w:rsidRPr="004C78D8">
        <w:fldChar w:fldCharType="begin"/>
      </w:r>
      <w:r w:rsidR="00A2699D" w:rsidRPr="004C78D8">
        <w:instrText xml:space="preserve"> ADDIN EN.CITE &lt;EndNote&gt;&lt;Cite&gt;&lt;Author&gt;Stevens&lt;/Author&gt;&lt;Year&gt;2013&lt;/Year&gt;&lt;RecNum&gt;277&lt;/RecNum&gt;&lt;DisplayText&gt;[219, 423]&lt;/DisplayText&gt;&lt;record&gt;&lt;rec-number&gt;277&lt;/rec-number&gt;&lt;foreign-keys&gt;&lt;key app="EN" db-id="tdtrdw9aepptzbefsat599syza29sxsd2wsp" timestamp="1611697960"&gt;277&lt;/key&gt;&lt;/foreign-keys&gt;&lt;ref-type name="Journal Article"&gt;17&lt;/ref-type&gt;&lt;contributors&gt;&lt;authors&gt;&lt;author&gt;Stevens, Judy A&lt;/author&gt;&lt;author&gt;Phelan, Elizabeth A&lt;/author&gt;&lt;/authors&gt;&lt;/contributors&gt;&lt;titles&gt;&lt;title&gt;Development of STEADI: a fall prevention resource for health care providers&lt;/title&gt;&lt;secondary-title&gt;Health promotion practice&lt;/secondary-title&gt;&lt;/titles&gt;&lt;periodical&gt;&lt;full-title&gt;Health promotion practice&lt;/full-title&gt;&lt;/periodical&gt;&lt;pages&gt;706-714&lt;/pages&gt;&lt;volume&gt;14&lt;/volume&gt;&lt;number&gt;5&lt;/number&gt;&lt;dates&gt;&lt;year&gt;2013&lt;/year&gt;&lt;/dates&gt;&lt;isbn&gt;1524-8399&lt;/isbn&gt;&lt;urls&gt;&lt;/urls&gt;&lt;/record&gt;&lt;/Cite&gt;&lt;Cite&gt;&lt;Author&gt;Panel on Prevention of Falls in Older Persons&lt;/Author&gt;&lt;Year&gt;2011&lt;/Year&gt;&lt;RecNum&gt;500&lt;/RecNum&gt;&lt;record&gt;&lt;rec-number&gt;500&lt;/rec-number&gt;&lt;foreign-keys&gt;&lt;key app="EN" db-id="tdtrdw9aepptzbefsat599syza29sxsd2wsp" timestamp="1617288473"&gt;500&lt;/key&gt;&lt;/foreign-keys&gt;&lt;ref-type name="Journal Article"&gt;17&lt;/ref-type&gt;&lt;contributors&gt;&lt;authors&gt;&lt;author&gt;Panel on Prevention of Falls in Older Persons,&lt;/author&gt;&lt;author&gt;American Geriatrics Society,&lt;/author&gt;&lt;author&gt;British Geriatrics Society,&lt;/author&gt;&lt;/authors&gt;&lt;/contributors&gt;&lt;titles&gt;&lt;title&gt;Summary of the updated American Geriatrics Society/British Geriatrics Society clinical practice guideline for prevention of falls in older persons&lt;/title&gt;&lt;secondary-title&gt;Journal of the American Geriatrics Society&lt;/secondary-title&gt;&lt;/titles&gt;&lt;periodical&gt;&lt;full-title&gt;Journal of the American Geriatrics Society&lt;/full-title&gt;&lt;/periodical&gt;&lt;pages&gt;148-157&lt;/pages&gt;&lt;volume&gt;59&lt;/volume&gt;&lt;number&gt;1&lt;/number&gt;&lt;dates&gt;&lt;year&gt;2011&lt;/year&gt;&lt;/dates&gt;&lt;isbn&gt;0002-8614&lt;/isbn&gt;&lt;urls&gt;&lt;/urls&gt;&lt;/record&gt;&lt;/Cite&gt;&lt;/EndNote&gt;</w:instrText>
      </w:r>
      <w:r w:rsidR="00C55F3E" w:rsidRPr="004C78D8">
        <w:fldChar w:fldCharType="separate"/>
      </w:r>
      <w:r w:rsidR="00A2699D" w:rsidRPr="004C78D8">
        <w:rPr>
          <w:noProof/>
        </w:rPr>
        <w:t>[219, 423]</w:t>
      </w:r>
      <w:r w:rsidR="00C55F3E" w:rsidRPr="004C78D8">
        <w:fldChar w:fldCharType="end"/>
      </w:r>
      <w:r w:rsidR="00C55F3E" w:rsidRPr="004C78D8">
        <w:t xml:space="preserve">. </w:t>
      </w:r>
      <w:r w:rsidR="00DF4E83" w:rsidRPr="004C78D8">
        <w:t>T</w:t>
      </w:r>
      <w:r w:rsidR="007F3B28" w:rsidRPr="004C78D8">
        <w:t xml:space="preserve">he </w:t>
      </w:r>
      <w:r w:rsidR="00C55F3E" w:rsidRPr="004C78D8">
        <w:t xml:space="preserve">proactive pathway </w:t>
      </w:r>
      <w:r w:rsidR="006F069E" w:rsidRPr="004C78D8">
        <w:t>was the least cost-effective of the three pathways</w:t>
      </w:r>
      <w:r w:rsidR="00890545" w:rsidRPr="004C78D8">
        <w:t xml:space="preserve"> relative to UC</w:t>
      </w:r>
      <w:r w:rsidR="007F3B28" w:rsidRPr="004C78D8">
        <w:t xml:space="preserve"> (Table </w:t>
      </w:r>
      <w:r w:rsidR="00A53E71" w:rsidRPr="004C78D8">
        <w:t>F18</w:t>
      </w:r>
      <w:r w:rsidR="007F3B28" w:rsidRPr="004C78D8">
        <w:t>)</w:t>
      </w:r>
      <w:r w:rsidR="00DE0EB9" w:rsidRPr="004C78D8">
        <w:t xml:space="preserve">. </w:t>
      </w:r>
      <w:r w:rsidR="008028EF" w:rsidRPr="004C78D8">
        <w:t xml:space="preserve">It was part of three of the eight candidate strategies in Table </w:t>
      </w:r>
      <w:r w:rsidR="00A53E71" w:rsidRPr="004C78D8">
        <w:t>6</w:t>
      </w:r>
      <w:r w:rsidR="008028EF" w:rsidRPr="004C78D8">
        <w:t>.</w:t>
      </w:r>
      <w:r w:rsidR="00A53E71" w:rsidRPr="004C78D8">
        <w:t>21</w:t>
      </w:r>
      <w:r w:rsidR="008028EF" w:rsidRPr="004C78D8">
        <w:t>, namely: strategy [18] – CRC scenario (4)</w:t>
      </w:r>
      <w:r w:rsidR="001D22EB" w:rsidRPr="004C78D8">
        <w:t xml:space="preserve"> plus</w:t>
      </w:r>
      <w:r w:rsidR="008028EF" w:rsidRPr="004C78D8">
        <w:t xml:space="preserve"> falls hazard removal for 3</w:t>
      </w:r>
      <w:r w:rsidR="008028EF" w:rsidRPr="004C78D8">
        <w:rPr>
          <w:vertAlign w:val="superscript"/>
        </w:rPr>
        <w:t>rd</w:t>
      </w:r>
      <w:r w:rsidR="008028EF" w:rsidRPr="004C78D8">
        <w:t xml:space="preserve"> and 4</w:t>
      </w:r>
      <w:r w:rsidR="008028EF" w:rsidRPr="004C78D8">
        <w:rPr>
          <w:vertAlign w:val="superscript"/>
        </w:rPr>
        <w:t>th</w:t>
      </w:r>
      <w:r w:rsidR="008028EF" w:rsidRPr="004C78D8">
        <w:t xml:space="preserve"> SES quartiles; [19] – CRC scenario (4) </w:t>
      </w:r>
      <w:r w:rsidR="001D22EB" w:rsidRPr="004C78D8">
        <w:t>plus</w:t>
      </w:r>
      <w:r w:rsidR="008028EF" w:rsidRPr="004C78D8">
        <w:t xml:space="preserve"> universal falls hazard removal; and [22] – RC. If the falls hazard removal becomes infeasible, then </w:t>
      </w:r>
      <w:r w:rsidR="001D22EB" w:rsidRPr="004C78D8">
        <w:t xml:space="preserve">only </w:t>
      </w:r>
      <w:r w:rsidR="00344D75" w:rsidRPr="004C78D8">
        <w:t>RC</w:t>
      </w:r>
      <w:r w:rsidR="008028EF" w:rsidRPr="004C78D8">
        <w:t xml:space="preserve"> would </w:t>
      </w:r>
      <w:r w:rsidR="001D22EB" w:rsidRPr="004C78D8">
        <w:t xml:space="preserve">contain the pathway, </w:t>
      </w:r>
      <w:r w:rsidR="007E6DB2" w:rsidRPr="004C78D8">
        <w:t xml:space="preserve">and the next best alternative would be </w:t>
      </w:r>
      <w:r w:rsidR="001D22EB" w:rsidRPr="004C78D8">
        <w:t xml:space="preserve">strategy [6] </w:t>
      </w:r>
      <w:r w:rsidR="007E6DB2" w:rsidRPr="004C78D8">
        <w:t xml:space="preserve">that </w:t>
      </w:r>
      <w:r w:rsidR="00A53E71" w:rsidRPr="004C78D8">
        <w:t xml:space="preserve">contains </w:t>
      </w:r>
      <w:r w:rsidR="00C428AD" w:rsidRPr="004C78D8">
        <w:t>reactive and self-referred pathways only</w:t>
      </w:r>
      <w:r w:rsidR="007E6DB2" w:rsidRPr="004C78D8">
        <w:t xml:space="preserve">. </w:t>
      </w:r>
      <w:r w:rsidR="00A53E71" w:rsidRPr="004C78D8">
        <w:t>I</w:t>
      </w:r>
      <w:r w:rsidR="00386C93" w:rsidRPr="004C78D8">
        <w:t>f capacity constraint</w:t>
      </w:r>
      <w:r w:rsidR="006A3DA7" w:rsidRPr="004C78D8">
        <w:t>s</w:t>
      </w:r>
      <w:r w:rsidR="00386C93" w:rsidRPr="004C78D8">
        <w:t xml:space="preserve"> </w:t>
      </w:r>
      <w:r w:rsidR="006A3DA7" w:rsidRPr="004C78D8">
        <w:t>are</w:t>
      </w:r>
      <w:r w:rsidR="00386C93" w:rsidRPr="004C78D8">
        <w:t xml:space="preserve"> binding and </w:t>
      </w:r>
      <w:r w:rsidR="00133B00" w:rsidRPr="004C78D8">
        <w:t xml:space="preserve">thus </w:t>
      </w:r>
      <w:r w:rsidR="00386C93" w:rsidRPr="004C78D8">
        <w:t>rule out strateg</w:t>
      </w:r>
      <w:r w:rsidR="00133B00" w:rsidRPr="004C78D8">
        <w:t>ies</w:t>
      </w:r>
      <w:r w:rsidR="00386C93" w:rsidRPr="004C78D8">
        <w:t xml:space="preserve"> [6]</w:t>
      </w:r>
      <w:r w:rsidR="00133B00" w:rsidRPr="004C78D8">
        <w:t xml:space="preserve"> and [22]</w:t>
      </w:r>
      <w:r w:rsidR="00386C93" w:rsidRPr="004C78D8">
        <w:t xml:space="preserve">, then strategy [7] of CRC scenario (4) plus </w:t>
      </w:r>
      <w:r w:rsidR="00A53E71" w:rsidRPr="004C78D8">
        <w:t xml:space="preserve">targeted </w:t>
      </w:r>
      <w:r w:rsidR="00386C93" w:rsidRPr="004C78D8">
        <w:t xml:space="preserve">community falls risk screening </w:t>
      </w:r>
      <w:r w:rsidR="00133B00" w:rsidRPr="004C78D8">
        <w:t xml:space="preserve">becomes the optimal strategy under all outcomes (Table </w:t>
      </w:r>
      <w:r w:rsidR="00A53E71" w:rsidRPr="004C78D8">
        <w:t>6</w:t>
      </w:r>
      <w:r w:rsidR="00133B00" w:rsidRPr="004C78D8">
        <w:t>.</w:t>
      </w:r>
      <w:r w:rsidR="00A53E71" w:rsidRPr="004C78D8">
        <w:t>23</w:t>
      </w:r>
      <w:r w:rsidR="00133B00" w:rsidRPr="004C78D8">
        <w:t xml:space="preserve">). Overall, </w:t>
      </w:r>
      <w:r w:rsidR="00C23B7B" w:rsidRPr="004C78D8">
        <w:t xml:space="preserve">the key finding is that </w:t>
      </w:r>
      <w:r w:rsidR="00133B00" w:rsidRPr="004C78D8">
        <w:t xml:space="preserve">the guidelines’ </w:t>
      </w:r>
      <w:r w:rsidR="00C23B7B" w:rsidRPr="004C78D8">
        <w:t>emphasis on</w:t>
      </w:r>
      <w:r w:rsidR="00133B00" w:rsidRPr="004C78D8">
        <w:t xml:space="preserve"> the proactive pathway </w:t>
      </w:r>
      <w:r w:rsidR="00C23B7B" w:rsidRPr="004C78D8">
        <w:t>warrants</w:t>
      </w:r>
      <w:r w:rsidR="00133B00" w:rsidRPr="004C78D8">
        <w:t xml:space="preserve"> numerous qualifications when health economics evidence is </w:t>
      </w:r>
      <w:r w:rsidR="00DF4E83" w:rsidRPr="004C78D8">
        <w:t xml:space="preserve">comprehensively </w:t>
      </w:r>
      <w:r w:rsidR="00133B00" w:rsidRPr="004C78D8">
        <w:t xml:space="preserve">considered.  </w:t>
      </w:r>
    </w:p>
    <w:p w14:paraId="7EDD148F" w14:textId="7CBBD08C" w:rsidR="00B947D3" w:rsidRPr="004C78D8" w:rsidRDefault="00B947D3" w:rsidP="00FB7C1F">
      <w:pPr>
        <w:rPr>
          <w:b/>
          <w:bCs/>
          <w:i/>
          <w:iCs/>
        </w:rPr>
      </w:pPr>
      <w:r w:rsidRPr="004C78D8">
        <w:rPr>
          <w:b/>
          <w:bCs/>
          <w:i/>
          <w:iCs/>
        </w:rPr>
        <w:t>(</w:t>
      </w:r>
      <w:r w:rsidR="00534D40" w:rsidRPr="004C78D8">
        <w:rPr>
          <w:b/>
          <w:bCs/>
          <w:i/>
          <w:iCs/>
        </w:rPr>
        <w:t>KC10</w:t>
      </w:r>
      <w:r w:rsidRPr="004C78D8">
        <w:rPr>
          <w:b/>
          <w:bCs/>
          <w:i/>
          <w:iCs/>
        </w:rPr>
        <w:t>) The current model incorporated several key dynamic propagators central to geriatric health.</w:t>
      </w:r>
    </w:p>
    <w:p w14:paraId="4F229C9C" w14:textId="73821345" w:rsidR="009C6652" w:rsidRPr="004C78D8" w:rsidRDefault="006A3DA7" w:rsidP="00FB7C1F">
      <w:r w:rsidRPr="004C78D8">
        <w:t>T</w:t>
      </w:r>
      <w:r w:rsidR="005C3BF8" w:rsidRPr="004C78D8">
        <w:t>he current model parameterised the</w:t>
      </w:r>
      <w:r w:rsidR="007E6DB2" w:rsidRPr="004C78D8">
        <w:t xml:space="preserve"> key dynamic link between falls and frailty</w:t>
      </w:r>
      <w:r w:rsidR="005C3BF8" w:rsidRPr="004C78D8">
        <w:t xml:space="preserve"> which no previous </w:t>
      </w:r>
      <w:r w:rsidRPr="004C78D8">
        <w:t>m</w:t>
      </w:r>
      <w:r w:rsidR="005C3BF8" w:rsidRPr="004C78D8">
        <w:t>odel had done.</w:t>
      </w:r>
      <w:r w:rsidR="007E6DB2" w:rsidRPr="004C78D8">
        <w:t xml:space="preserve"> Removing this link in </w:t>
      </w:r>
      <w:r w:rsidR="007E6DB2" w:rsidRPr="00972766">
        <w:t xml:space="preserve">Section </w:t>
      </w:r>
      <w:r w:rsidRPr="00972766">
        <w:t>6</w:t>
      </w:r>
      <w:r w:rsidR="007E6DB2" w:rsidRPr="00972766">
        <w:t>.</w:t>
      </w:r>
      <w:r w:rsidRPr="00972766">
        <w:t>2</w:t>
      </w:r>
      <w:r w:rsidR="007E6DB2" w:rsidRPr="00972766">
        <w:t>.</w:t>
      </w:r>
      <w:r w:rsidRPr="00972766">
        <w:t>5</w:t>
      </w:r>
      <w:r w:rsidR="007E6DB2" w:rsidRPr="00972766">
        <w:t>.</w:t>
      </w:r>
      <w:r w:rsidRPr="00972766">
        <w:t>3</w:t>
      </w:r>
      <w:r w:rsidR="007E6DB2" w:rsidRPr="004C78D8">
        <w:t xml:space="preserve"> had substantial negative impacts on the RC’s efficiency and equity </w:t>
      </w:r>
      <w:r w:rsidR="00691AFC" w:rsidRPr="004C78D8">
        <w:t xml:space="preserve">relative to UC. </w:t>
      </w:r>
      <w:r w:rsidRPr="004C78D8">
        <w:t>Most</w:t>
      </w:r>
      <w:r w:rsidR="001D2584" w:rsidRPr="004C78D8">
        <w:t xml:space="preserve"> of QALY gain from RC relative to UC</w:t>
      </w:r>
      <w:r w:rsidR="007E487A" w:rsidRPr="004C78D8">
        <w:t xml:space="preserve">, </w:t>
      </w:r>
      <w:r w:rsidR="001D2584" w:rsidRPr="004C78D8">
        <w:t>the entirety of societal gains</w:t>
      </w:r>
      <w:r w:rsidR="007E487A" w:rsidRPr="004C78D8">
        <w:t>, and the dual efficiency-equity improvements</w:t>
      </w:r>
      <w:r w:rsidR="001D2584" w:rsidRPr="004C78D8">
        <w:t xml:space="preserve"> can be attributed to the prevention of secondary effects of falls via frailty progression. </w:t>
      </w:r>
      <w:r w:rsidR="008509E2" w:rsidRPr="004C78D8">
        <w:t xml:space="preserve">This study hence identified </w:t>
      </w:r>
      <w:r w:rsidR="00AB44C2" w:rsidRPr="004C78D8">
        <w:t xml:space="preserve">the secondary effect propagation via frailty </w:t>
      </w:r>
      <w:r w:rsidR="008509E2" w:rsidRPr="004C78D8">
        <w:t>as</w:t>
      </w:r>
      <w:r w:rsidR="00AB44C2" w:rsidRPr="004C78D8">
        <w:t xml:space="preserve"> a firm </w:t>
      </w:r>
      <w:r w:rsidR="007318C6" w:rsidRPr="004C78D8">
        <w:t xml:space="preserve">methodological </w:t>
      </w:r>
      <w:r w:rsidR="00AB44C2" w:rsidRPr="004C78D8">
        <w:t xml:space="preserve">requisite for </w:t>
      </w:r>
      <w:r w:rsidR="008509E2" w:rsidRPr="004C78D8">
        <w:t>future</w:t>
      </w:r>
      <w:r w:rsidR="00AB44C2" w:rsidRPr="004C78D8">
        <w:t xml:space="preserve"> falls prevention model</w:t>
      </w:r>
      <w:r w:rsidR="008509E2" w:rsidRPr="004C78D8">
        <w:t>s</w:t>
      </w:r>
      <w:r w:rsidR="00AB44C2" w:rsidRPr="004C78D8">
        <w:t>.</w:t>
      </w:r>
    </w:p>
    <w:p w14:paraId="66CE02E7" w14:textId="4EA1ED75" w:rsidR="00AB44C2" w:rsidRPr="004C78D8" w:rsidRDefault="007318C6" w:rsidP="00FB7C1F">
      <w:r w:rsidRPr="004C78D8">
        <w:t xml:space="preserve">The </w:t>
      </w:r>
      <w:r w:rsidR="008509E2" w:rsidRPr="004C78D8">
        <w:t xml:space="preserve">current </w:t>
      </w:r>
      <w:r w:rsidRPr="004C78D8">
        <w:t xml:space="preserve">model incorporated further </w:t>
      </w:r>
      <w:r w:rsidR="005623F4" w:rsidRPr="004C78D8">
        <w:t xml:space="preserve">key </w:t>
      </w:r>
      <w:r w:rsidRPr="004C78D8">
        <w:t>dynamic propagators</w:t>
      </w:r>
      <w:r w:rsidR="005623F4" w:rsidRPr="004C78D8">
        <w:t xml:space="preserve">. </w:t>
      </w:r>
      <w:r w:rsidR="006A3DA7" w:rsidRPr="004C78D8">
        <w:t xml:space="preserve">For example, the </w:t>
      </w:r>
      <w:r w:rsidR="005623F4" w:rsidRPr="004C78D8">
        <w:t xml:space="preserve">progression of abnormal gait/balance </w:t>
      </w:r>
      <w:r w:rsidR="00A36C6D" w:rsidRPr="004C78D8">
        <w:t xml:space="preserve">within model simulation </w:t>
      </w:r>
      <w:r w:rsidR="005623F4" w:rsidRPr="004C78D8">
        <w:t>was affected by falls incidence independently of frailty change (Table E1</w:t>
      </w:r>
      <w:r w:rsidR="006A3DA7" w:rsidRPr="004C78D8">
        <w:t>4</w:t>
      </w:r>
      <w:r w:rsidR="005623F4" w:rsidRPr="004C78D8">
        <w:t xml:space="preserve">). Abnormal gait/balance in turn affected: any falls risk (Table </w:t>
      </w:r>
      <w:r w:rsidR="006A3DA7" w:rsidRPr="004C78D8">
        <w:t>5</w:t>
      </w:r>
      <w:r w:rsidR="005623F4" w:rsidRPr="004C78D8">
        <w:t>.</w:t>
      </w:r>
      <w:r w:rsidR="006A3DA7" w:rsidRPr="004C78D8">
        <w:t>39</w:t>
      </w:r>
      <w:r w:rsidR="005623F4" w:rsidRPr="004C78D8">
        <w:t xml:space="preserve">); recurrent falls risk (Table </w:t>
      </w:r>
      <w:r w:rsidR="006A3DA7" w:rsidRPr="004C78D8">
        <w:t>5</w:t>
      </w:r>
      <w:r w:rsidR="005623F4" w:rsidRPr="004C78D8">
        <w:t>.4</w:t>
      </w:r>
      <w:r w:rsidR="006A3DA7" w:rsidRPr="004C78D8">
        <w:t>0</w:t>
      </w:r>
      <w:r w:rsidR="005623F4" w:rsidRPr="004C78D8">
        <w:t>); progression of cognitive status (Table E1</w:t>
      </w:r>
      <w:r w:rsidR="006A3DA7" w:rsidRPr="004C78D8">
        <w:t>3</w:t>
      </w:r>
      <w:r w:rsidR="005623F4" w:rsidRPr="004C78D8">
        <w:t xml:space="preserve">); </w:t>
      </w:r>
      <w:r w:rsidR="006B0764" w:rsidRPr="004C78D8">
        <w:t xml:space="preserve">EQ-5D progression (Table </w:t>
      </w:r>
      <w:r w:rsidR="006A3DA7" w:rsidRPr="004C78D8">
        <w:t>5</w:t>
      </w:r>
      <w:r w:rsidR="006B0764" w:rsidRPr="004C78D8">
        <w:t>.5</w:t>
      </w:r>
      <w:r w:rsidR="006A3DA7" w:rsidRPr="004C78D8">
        <w:t>0</w:t>
      </w:r>
      <w:r w:rsidR="006B0764" w:rsidRPr="004C78D8">
        <w:t xml:space="preserve">); </w:t>
      </w:r>
      <w:r w:rsidR="005623F4" w:rsidRPr="004C78D8">
        <w:t>probability of GP contact (Table E1</w:t>
      </w:r>
      <w:r w:rsidR="006A3DA7" w:rsidRPr="004C78D8">
        <w:t>5</w:t>
      </w:r>
      <w:r w:rsidR="005623F4" w:rsidRPr="004C78D8">
        <w:t xml:space="preserve">); probability of self-referred exercise demand (Table </w:t>
      </w:r>
      <w:r w:rsidR="006A3DA7" w:rsidRPr="004C78D8">
        <w:t>5</w:t>
      </w:r>
      <w:r w:rsidR="005623F4" w:rsidRPr="004C78D8">
        <w:t xml:space="preserve">.50); </w:t>
      </w:r>
      <w:r w:rsidR="006B0764" w:rsidRPr="004C78D8">
        <w:t>probability of engaging in unpaid work (Table E1</w:t>
      </w:r>
      <w:r w:rsidR="00A36C6D" w:rsidRPr="004C78D8">
        <w:t>7</w:t>
      </w:r>
      <w:r w:rsidR="006B0764" w:rsidRPr="004C78D8">
        <w:t>); and probabilities of receiving informal care at different intensities (Tables E</w:t>
      </w:r>
      <w:r w:rsidR="00A36C6D" w:rsidRPr="004C78D8">
        <w:t>20</w:t>
      </w:r>
      <w:r w:rsidR="006B0764" w:rsidRPr="004C78D8">
        <w:t xml:space="preserve"> and E2</w:t>
      </w:r>
      <w:r w:rsidR="00A36C6D" w:rsidRPr="004C78D8">
        <w:t>1</w:t>
      </w:r>
      <w:r w:rsidR="006B0764" w:rsidRPr="004C78D8">
        <w:t xml:space="preserve">). </w:t>
      </w:r>
      <w:r w:rsidR="00A36C6D" w:rsidRPr="004C78D8">
        <w:t xml:space="preserve">Similar </w:t>
      </w:r>
      <w:r w:rsidR="00EC4CF9" w:rsidRPr="004C78D8">
        <w:t xml:space="preserve">dynamic links were simulated for fear of falling, cognitive impairment, and physical activity status. </w:t>
      </w:r>
      <w:r w:rsidR="008509E2" w:rsidRPr="004C78D8">
        <w:t xml:space="preserve">These rich </w:t>
      </w:r>
      <w:r w:rsidR="00BE1BF4" w:rsidRPr="004C78D8">
        <w:t>portrayals</w:t>
      </w:r>
      <w:r w:rsidR="008509E2" w:rsidRPr="004C78D8">
        <w:t xml:space="preserve"> of dynamic propagation contrast with previous models</w:t>
      </w:r>
      <w:r w:rsidR="00BE1BF4" w:rsidRPr="004C78D8">
        <w:t xml:space="preserve"> (of horizons of five years or longer)</w:t>
      </w:r>
      <w:r w:rsidR="008509E2" w:rsidRPr="004C78D8">
        <w:t>, only two of which incorporated variables other than age, falls history</w:t>
      </w:r>
      <w:r w:rsidR="001F552F" w:rsidRPr="004C78D8">
        <w:t>,</w:t>
      </w:r>
      <w:r w:rsidR="008509E2" w:rsidRPr="004C78D8">
        <w:t xml:space="preserve"> and specific biomarker as determinants of dynamic falls risk </w:t>
      </w:r>
      <w:r w:rsidR="00BE1BF4" w:rsidRPr="004C78D8">
        <w:t xml:space="preserve">(Table </w:t>
      </w:r>
      <w:r w:rsidR="00EC4CF9" w:rsidRPr="004C78D8">
        <w:t>4</w:t>
      </w:r>
      <w:r w:rsidR="00BE1BF4" w:rsidRPr="004C78D8">
        <w:t xml:space="preserve">.13) </w:t>
      </w:r>
      <w:r w:rsidR="00BE1BF4" w:rsidRPr="004C78D8">
        <w:fldChar w:fldCharType="begin">
          <w:fldData xml:space="preserve">PEVuZE5vdGU+PENpdGU+PEF1dGhvcj5FbGRyaWRnZTwvQXV0aG9yPjxZZWFyPjIwMDU8L1llYXI+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</w:fldData>
        </w:fldChar>
      </w:r>
      <w:r w:rsidR="00C630FC" w:rsidRPr="004C78D8">
        <w:instrText xml:space="preserve"> ADDIN EN.CITE </w:instrText>
      </w:r>
      <w:r w:rsidR="00C630FC" w:rsidRPr="004C78D8">
        <w:fldChar w:fldCharType="begin">
          <w:fldData xml:space="preserve">PEVuZE5vdGU+PENpdGU+PEF1dGhvcj5FbGRyaWRnZTwvQXV0aG9yPjxZZWFyPjIwMDU8L1llYXI+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</w:fldData>
        </w:fldChar>
      </w:r>
      <w:r w:rsidR="00C630FC" w:rsidRPr="004C78D8">
        <w:instrText xml:space="preserve"> ADDIN EN.CITE.DATA </w:instrText>
      </w:r>
      <w:r w:rsidR="00C630FC" w:rsidRPr="004C78D8">
        <w:fldChar w:fldCharType="end"/>
      </w:r>
      <w:r w:rsidR="00BE1BF4" w:rsidRPr="004C78D8">
        <w:fldChar w:fldCharType="separate"/>
      </w:r>
      <w:r w:rsidR="00C630FC" w:rsidRPr="004C78D8">
        <w:rPr>
          <w:noProof/>
        </w:rPr>
        <w:t>[274, 318]</w:t>
      </w:r>
      <w:r w:rsidR="00BE1BF4" w:rsidRPr="004C78D8">
        <w:fldChar w:fldCharType="end"/>
      </w:r>
      <w:r w:rsidR="00BE1BF4" w:rsidRPr="004C78D8">
        <w:t xml:space="preserve">. The portrayals hence represent a significant methodological advance in falls prevention modelling. </w:t>
      </w:r>
    </w:p>
    <w:p w14:paraId="05BB076C" w14:textId="351F829D" w:rsidR="00BD78BB" w:rsidRPr="004C78D8" w:rsidRDefault="00534D40" w:rsidP="00FB7C1F">
      <w:pPr>
        <w:pStyle w:val="Heading4"/>
      </w:pPr>
      <w:r w:rsidRPr="004C78D8">
        <w:t>7</w:t>
      </w:r>
      <w:r w:rsidR="00BD78BB" w:rsidRPr="004C78D8">
        <w:t>.2.3.3 Considering theories of human behaviour and implementation</w:t>
      </w:r>
    </w:p>
    <w:p w14:paraId="5E36B9F3" w14:textId="0172D267" w:rsidR="000F0607" w:rsidRPr="004C78D8" w:rsidRDefault="00EA646D" w:rsidP="00FB7C1F">
      <w:r w:rsidRPr="004C78D8">
        <w:t>Three</w:t>
      </w:r>
      <w:r w:rsidR="000F0607" w:rsidRPr="004C78D8">
        <w:t xml:space="preserve"> key contributions to the literature can be highlighted regarding the current model’s considerations of theories of human behaviour and implementation.</w:t>
      </w:r>
    </w:p>
    <w:p w14:paraId="476EE1A8" w14:textId="50F27C5C" w:rsidR="000F0607" w:rsidRPr="004C78D8" w:rsidRDefault="000140CF" w:rsidP="00FB7C1F">
      <w:pPr>
        <w:rPr>
          <w:b/>
          <w:bCs/>
          <w:i/>
          <w:iCs/>
        </w:rPr>
      </w:pPr>
      <w:r w:rsidRPr="004C78D8">
        <w:rPr>
          <w:b/>
          <w:bCs/>
          <w:i/>
          <w:iCs/>
        </w:rPr>
        <w:t>(</w:t>
      </w:r>
      <w:r w:rsidR="00152F1F" w:rsidRPr="004C78D8">
        <w:rPr>
          <w:b/>
          <w:bCs/>
          <w:i/>
          <w:iCs/>
        </w:rPr>
        <w:t>KC11</w:t>
      </w:r>
      <w:r w:rsidRPr="004C78D8">
        <w:rPr>
          <w:b/>
          <w:bCs/>
          <w:i/>
          <w:iCs/>
        </w:rPr>
        <w:t xml:space="preserve">) </w:t>
      </w:r>
      <w:r w:rsidR="00302B36" w:rsidRPr="004C78D8">
        <w:rPr>
          <w:b/>
          <w:bCs/>
          <w:i/>
          <w:iCs/>
        </w:rPr>
        <w:t>The current model characterised behavioural patterns that influenced falls risk and long-term intervention access.</w:t>
      </w:r>
    </w:p>
    <w:p w14:paraId="1732F585" w14:textId="17EF746A" w:rsidR="002B571C" w:rsidRPr="004C78D8" w:rsidRDefault="000D16D8" w:rsidP="00FB7C1F">
      <w:r w:rsidRPr="004C78D8">
        <w:t>T</w:t>
      </w:r>
      <w:r w:rsidR="00F122B1" w:rsidRPr="004C78D8">
        <w:t xml:space="preserve">he current model </w:t>
      </w:r>
      <w:r w:rsidRPr="004C78D8">
        <w:t>parameterised</w:t>
      </w:r>
      <w:r w:rsidR="00F122B1" w:rsidRPr="004C78D8">
        <w:t xml:space="preserve"> </w:t>
      </w:r>
      <w:r w:rsidR="00BF2B6B" w:rsidRPr="004C78D8">
        <w:t xml:space="preserve">several </w:t>
      </w:r>
      <w:r w:rsidR="00832FBC" w:rsidRPr="004C78D8">
        <w:t xml:space="preserve">individual-level </w:t>
      </w:r>
      <w:r w:rsidRPr="004C78D8">
        <w:t xml:space="preserve">behavioural patterns </w:t>
      </w:r>
      <w:r w:rsidR="00BF2B6B" w:rsidRPr="004C78D8">
        <w:t xml:space="preserve">that shaped falls risk and intervention access. The fear of falling variable, though not capturing the cognitive components </w:t>
      </w:r>
      <w:r w:rsidR="00BF2B6B" w:rsidRPr="004C78D8">
        <w:fldChar w:fldCharType="begin"/>
      </w:r>
      <w:r w:rsidR="00C630FC" w:rsidRPr="004C78D8">
        <w:instrText xml:space="preserve"> ADDIN EN.CITE &lt;EndNote&gt;&lt;Cite&gt;&lt;Author&gt;Hadjistavropoulos&lt;/Author&gt;&lt;Year&gt;2011&lt;/Year&gt;&lt;RecNum&gt;738&lt;/RecNum&gt;&lt;DisplayText&gt;[266, 270]&lt;/DisplayText&gt;&lt;record&gt;&lt;rec-number&gt;738&lt;/rec-number&gt;&lt;foreign-keys&gt;&lt;key app="EN" db-id="tdtrdw9aepptzbefsat599syza29sxsd2wsp" timestamp="1636818323"&gt;738&lt;/key&gt;&lt;/foreign-keys&gt;&lt;ref-type name="Journal Article"&gt;17&lt;/ref-type&gt;&lt;contributors&gt;&lt;authors&gt;&lt;author&gt;Hadjistavropoulos, Thomas&lt;/author&gt;&lt;author&gt;Delbaere, Kim&lt;/author&gt;&lt;author&gt;Fitzgerald, Theresa Dever&lt;/author&gt;&lt;/authors&gt;&lt;/contributors&gt;&lt;titles&gt;&lt;title&gt;Reconceptualizing the role of fear of falling and balance confidence in fall risk&lt;/title&gt;&lt;secondary-title&gt;Journal of aging and Health&lt;/secondary-title&gt;&lt;/titles&gt;&lt;periodical&gt;&lt;full-title&gt;Journal of aging and health&lt;/full-title&gt;&lt;/periodical&gt;&lt;pages&gt;3-23&lt;/pages&gt;&lt;volume&gt;23&lt;/volume&gt;&lt;number&gt;1&lt;/number&gt;&lt;dates&gt;&lt;year&gt;2011&lt;/year&gt;&lt;/dates&gt;&lt;isbn&gt;0898-2643&lt;/isbn&gt;&lt;urls&gt;&lt;/urls&gt;&lt;/record&gt;&lt;/Cite&gt;&lt;Cite&gt;&lt;Author&gt;Delbaere&lt;/Author&gt;&lt;Year&gt;2010&lt;/Year&gt;&lt;RecNum&gt;741&lt;/RecNum&gt;&lt;record&gt;&lt;rec-number&gt;741&lt;/rec-number&gt;&lt;foreign-keys&gt;&lt;key app="EN" db-id="tdtrdw9aepptzbefsat599syza29sxsd2wsp" timestamp="1636819551"&gt;741&lt;/key&gt;&lt;/foreign-keys&gt;&lt;ref-type name="Journal Article"&gt;17&lt;/ref-type&gt;&lt;contributors&gt;&lt;authors&gt;&lt;author&gt;Delbaere, Kim&lt;/author&gt;&lt;author&gt;Close, Jacqueline CT&lt;/author&gt;&lt;author&gt;Mikolaizak, A Stefanie&lt;/author&gt;&lt;author&gt;Sachdev, Perminder S&lt;/author&gt;&lt;author&gt;Brodaty, Henry&lt;/author&gt;&lt;author&gt;Lord, Stephen R&lt;/author&gt;&lt;/authors&gt;&lt;/contributors&gt;&lt;titles&gt;&lt;title&gt;The falls efficacy scale international (FES-I). A comprehensive longitudinal validation study&lt;/title&gt;&lt;secondary-title&gt;Age and ageing&lt;/secondary-title&gt;&lt;/titles&gt;&lt;periodical&gt;&lt;full-title&gt;Age and ageing&lt;/full-title&gt;&lt;/periodical&gt;&lt;pages&gt;210-216&lt;/pages&gt;&lt;volume&gt;39&lt;/volume&gt;&lt;number&gt;2&lt;/number&gt;&lt;dates&gt;&lt;year&gt;2010&lt;/year&gt;&lt;/dates&gt;&lt;isbn&gt;1468-2834&lt;/isbn&gt;&lt;urls&gt;&lt;/urls&gt;&lt;/record&gt;&lt;/Cite&gt;&lt;/EndNote&gt;</w:instrText>
      </w:r>
      <w:r w:rsidR="00BF2B6B" w:rsidRPr="004C78D8">
        <w:fldChar w:fldCharType="separate"/>
      </w:r>
      <w:r w:rsidR="00C630FC" w:rsidRPr="004C78D8">
        <w:rPr>
          <w:noProof/>
        </w:rPr>
        <w:t>[266, 270]</w:t>
      </w:r>
      <w:r w:rsidR="00BF2B6B" w:rsidRPr="004C78D8">
        <w:fldChar w:fldCharType="end"/>
      </w:r>
      <w:r w:rsidR="00BF2B6B" w:rsidRPr="004C78D8">
        <w:t xml:space="preserve">, could be perceived as a physio-behavioural factor shaping falls risk, gait/balance, and OOP care receipt </w:t>
      </w:r>
      <w:r w:rsidR="00AD4B4F" w:rsidRPr="004C78D8">
        <w:t>in dynamic links</w:t>
      </w:r>
      <w:r w:rsidR="00BF2B6B" w:rsidRPr="004C78D8">
        <w:t xml:space="preserve">. Its inclusion improved upon previous models, none of which incorporated behavioural factors (Section </w:t>
      </w:r>
      <w:r w:rsidR="00AD4B4F" w:rsidRPr="004C78D8">
        <w:t>4</w:t>
      </w:r>
      <w:r w:rsidR="00BF2B6B" w:rsidRPr="004C78D8">
        <w:t>.5.3.3).</w:t>
      </w:r>
      <w:r w:rsidR="00EA3B49" w:rsidRPr="004C78D8">
        <w:t xml:space="preserve"> The model likewise characterised individual-level dynamic patterns </w:t>
      </w:r>
      <w:r w:rsidRPr="004C78D8">
        <w:t xml:space="preserve">in intervention </w:t>
      </w:r>
      <w:r w:rsidR="00832FBC" w:rsidRPr="004C78D8">
        <w:t xml:space="preserve">supply and </w:t>
      </w:r>
      <w:r w:rsidRPr="004C78D8">
        <w:t>demand under</w:t>
      </w:r>
      <w:r w:rsidR="00F122B1" w:rsidRPr="004C78D8">
        <w:t xml:space="preserve"> the proactive and self-referred pathways. </w:t>
      </w:r>
      <w:r w:rsidRPr="004C78D8">
        <w:t xml:space="preserve">Specifically, </w:t>
      </w:r>
      <w:r w:rsidR="0066130B" w:rsidRPr="004C78D8">
        <w:t>individuals</w:t>
      </w:r>
      <w:r w:rsidR="00F122B1" w:rsidRPr="004C78D8">
        <w:t xml:space="preserve"> who received routine GP contact in a cycle were more likely to receive it in the next (Table E1</w:t>
      </w:r>
      <w:r w:rsidR="00AD4B4F" w:rsidRPr="004C78D8">
        <w:t>5</w:t>
      </w:r>
      <w:r w:rsidR="00F122B1" w:rsidRPr="004C78D8">
        <w:t>)</w:t>
      </w:r>
      <w:r w:rsidRPr="004C78D8">
        <w:t>; l</w:t>
      </w:r>
      <w:r w:rsidR="00F122B1" w:rsidRPr="004C78D8">
        <w:t xml:space="preserve">ikewise, those who demanded self-referred exercise were more likely to demand it again (Table </w:t>
      </w:r>
      <w:r w:rsidR="00AD4B4F" w:rsidRPr="004C78D8">
        <w:t>5</w:t>
      </w:r>
      <w:r w:rsidR="00F122B1" w:rsidRPr="004C78D8">
        <w:t>.</w:t>
      </w:r>
      <w:r w:rsidR="00AD4B4F" w:rsidRPr="004C78D8">
        <w:t>49</w:t>
      </w:r>
      <w:r w:rsidR="00F122B1" w:rsidRPr="004C78D8">
        <w:t xml:space="preserve">). </w:t>
      </w:r>
      <w:r w:rsidR="00EA3B49" w:rsidRPr="004C78D8">
        <w:t>The patterns</w:t>
      </w:r>
      <w:r w:rsidR="0010243D" w:rsidRPr="004C78D8">
        <w:t xml:space="preserve"> also </w:t>
      </w:r>
      <w:r w:rsidR="009C44F6" w:rsidRPr="004C78D8">
        <w:t>informed</w:t>
      </w:r>
      <w:r w:rsidR="0010243D" w:rsidRPr="004C78D8">
        <w:t xml:space="preserve"> </w:t>
      </w:r>
      <w:r w:rsidR="00F122B1" w:rsidRPr="004C78D8">
        <w:t xml:space="preserve">potential </w:t>
      </w:r>
      <w:r w:rsidR="0010243D" w:rsidRPr="004C78D8">
        <w:t xml:space="preserve">intervention </w:t>
      </w:r>
      <w:r w:rsidR="00F122B1" w:rsidRPr="004C78D8">
        <w:t xml:space="preserve">strategies: </w:t>
      </w:r>
      <w:r w:rsidR="0000529D" w:rsidRPr="004C78D8">
        <w:t xml:space="preserve">e.g., </w:t>
      </w:r>
      <w:r w:rsidR="00F122B1" w:rsidRPr="004C78D8">
        <w:t>community falls risk screening</w:t>
      </w:r>
      <w:r w:rsidR="0010243D" w:rsidRPr="004C78D8">
        <w:t xml:space="preserve"> and outreach</w:t>
      </w:r>
      <w:r w:rsidR="00F122B1" w:rsidRPr="004C78D8">
        <w:t xml:space="preserve"> may be commissioned to reach out to persons who do not have the recurring patterns of GP contact and self-referred exercise, respectively. By contrast, no previous model incorporated individual-level probabilit</w:t>
      </w:r>
      <w:r w:rsidR="00AD4B4F" w:rsidRPr="004C78D8">
        <w:t>ies</w:t>
      </w:r>
      <w:r w:rsidR="00F122B1" w:rsidRPr="004C78D8">
        <w:t xml:space="preserve"> </w:t>
      </w:r>
      <w:r w:rsidR="001B59DA" w:rsidRPr="004C78D8">
        <w:t xml:space="preserve">of </w:t>
      </w:r>
      <w:r w:rsidR="00F122B1" w:rsidRPr="004C78D8">
        <w:t>GP contact</w:t>
      </w:r>
      <w:r w:rsidR="00AD4B4F" w:rsidRPr="004C78D8">
        <w:t xml:space="preserve"> and</w:t>
      </w:r>
      <w:r w:rsidR="00F122B1" w:rsidRPr="004C78D8">
        <w:t xml:space="preserve"> previous characterisations of intervention sustainability were simplistic (Table </w:t>
      </w:r>
      <w:r w:rsidR="00AD4B4F" w:rsidRPr="004C78D8">
        <w:t>4</w:t>
      </w:r>
      <w:r w:rsidR="00F122B1" w:rsidRPr="004C78D8">
        <w:t xml:space="preserve">.14). </w:t>
      </w:r>
      <w:r w:rsidR="00AD4B4F" w:rsidRPr="004C78D8">
        <w:t xml:space="preserve">Further work could </w:t>
      </w:r>
      <w:r w:rsidR="00EA3B49" w:rsidRPr="004C78D8">
        <w:t xml:space="preserve">parameterise the </w:t>
      </w:r>
      <w:r w:rsidR="00AD4B4F" w:rsidRPr="004C78D8">
        <w:t xml:space="preserve">motives </w:t>
      </w:r>
      <w:r w:rsidR="00EA3B49" w:rsidRPr="004C78D8">
        <w:t>underlying the behavioural patterns</w:t>
      </w:r>
      <w:r w:rsidR="00AD4B4F" w:rsidRPr="004C78D8">
        <w:t>.</w:t>
      </w:r>
      <w:r w:rsidR="00DF0DB7" w:rsidRPr="004C78D8">
        <w:t xml:space="preserve"> </w:t>
      </w:r>
      <w:r w:rsidR="00AD4B4F" w:rsidRPr="004C78D8">
        <w:t xml:space="preserve">Quantitative </w:t>
      </w:r>
      <w:r w:rsidR="00DF0DB7" w:rsidRPr="004C78D8">
        <w:t>surveys of older people’s health behaviours and their relationship to falls history and frailty are a research priority.</w:t>
      </w:r>
    </w:p>
    <w:p w14:paraId="571DD5FF" w14:textId="5851C273" w:rsidR="00DF0DB7" w:rsidRPr="004C78D8" w:rsidRDefault="007F6149" w:rsidP="00FB7C1F">
      <w:pPr>
        <w:rPr>
          <w:b/>
          <w:bCs/>
          <w:i/>
          <w:iCs/>
        </w:rPr>
      </w:pPr>
      <w:r w:rsidRPr="004C78D8">
        <w:rPr>
          <w:b/>
          <w:bCs/>
          <w:i/>
          <w:iCs/>
        </w:rPr>
        <w:t>(</w:t>
      </w:r>
      <w:r w:rsidR="00AD4B4F" w:rsidRPr="004C78D8">
        <w:rPr>
          <w:b/>
          <w:bCs/>
          <w:i/>
          <w:iCs/>
        </w:rPr>
        <w:t>KC12</w:t>
      </w:r>
      <w:r w:rsidRPr="004C78D8">
        <w:rPr>
          <w:b/>
          <w:bCs/>
          <w:i/>
          <w:iCs/>
        </w:rPr>
        <w:t xml:space="preserve">) The current model </w:t>
      </w:r>
      <w:r w:rsidR="000E5D18" w:rsidRPr="004C78D8">
        <w:rPr>
          <w:b/>
          <w:bCs/>
          <w:i/>
          <w:iCs/>
        </w:rPr>
        <w:t>highlighted</w:t>
      </w:r>
      <w:r w:rsidRPr="004C78D8">
        <w:rPr>
          <w:b/>
          <w:bCs/>
          <w:i/>
          <w:iCs/>
        </w:rPr>
        <w:t xml:space="preserve"> implementation level </w:t>
      </w:r>
      <w:r w:rsidR="000E5D18" w:rsidRPr="004C78D8">
        <w:rPr>
          <w:b/>
          <w:bCs/>
          <w:i/>
          <w:iCs/>
        </w:rPr>
        <w:t xml:space="preserve">and aggregate impact </w:t>
      </w:r>
      <w:r w:rsidRPr="004C78D8">
        <w:rPr>
          <w:b/>
          <w:bCs/>
          <w:i/>
          <w:iCs/>
        </w:rPr>
        <w:t>as key decision</w:t>
      </w:r>
      <w:r w:rsidR="000E5D18" w:rsidRPr="004C78D8">
        <w:rPr>
          <w:b/>
          <w:bCs/>
          <w:i/>
          <w:iCs/>
        </w:rPr>
        <w:t>al criteria</w:t>
      </w:r>
      <w:r w:rsidRPr="004C78D8">
        <w:rPr>
          <w:b/>
          <w:bCs/>
          <w:i/>
          <w:iCs/>
        </w:rPr>
        <w:t xml:space="preserve"> and conducted value of implementation analyses</w:t>
      </w:r>
      <w:r w:rsidR="00286913" w:rsidRPr="004C78D8">
        <w:rPr>
          <w:b/>
          <w:bCs/>
          <w:i/>
          <w:iCs/>
        </w:rPr>
        <w:t xml:space="preserve"> </w:t>
      </w:r>
      <w:r w:rsidR="00977C78" w:rsidRPr="004C78D8">
        <w:rPr>
          <w:b/>
          <w:bCs/>
          <w:i/>
          <w:iCs/>
        </w:rPr>
        <w:t>regarding</w:t>
      </w:r>
      <w:r w:rsidR="00286913" w:rsidRPr="004C78D8">
        <w:rPr>
          <w:b/>
          <w:bCs/>
          <w:i/>
          <w:iCs/>
        </w:rPr>
        <w:t xml:space="preserve"> community involvement</w:t>
      </w:r>
      <w:r w:rsidRPr="004C78D8">
        <w:rPr>
          <w:b/>
          <w:bCs/>
          <w:i/>
          <w:iCs/>
        </w:rPr>
        <w:t>.</w:t>
      </w:r>
    </w:p>
    <w:p w14:paraId="6C8F3451" w14:textId="5BFAD8EC" w:rsidR="000A6C94" w:rsidRPr="004C78D8" w:rsidRDefault="00F567C7" w:rsidP="00FB7C1F">
      <w:r w:rsidRPr="004C78D8">
        <w:t>Since NICE CG161 was already normative for the English routine practice</w:t>
      </w:r>
      <w:r w:rsidR="00F23F27" w:rsidRPr="004C78D8">
        <w:t xml:space="preserve"> </w:t>
      </w:r>
      <w:r w:rsidR="00F23F27" w:rsidRPr="004C78D8">
        <w:fldChar w:fldCharType="begin"/>
      </w:r>
      <w:r w:rsidR="00513646" w:rsidRPr="004C78D8">
        <w:instrText xml:space="preserve"> ADDIN EN.CITE &lt;EndNote&gt;&lt;Cite&gt;&lt;Author&gt;McIntyre&lt;/Author&gt;&lt;Year&gt;2019&lt;/Year&gt;&lt;RecNum&gt;93&lt;/RecNum&gt;&lt;DisplayText&gt;[139]&lt;/DisplayText&gt;&lt;record&gt;&lt;rec-number&gt;93&lt;/rec-number&gt;&lt;foreign-keys&gt;&lt;key app="EN" db-id="tdtrdw9aepptzbefsat599syza29sxsd2wsp" timestamp="1598190140"&gt;93&lt;/key&gt;&lt;/foreign-keys&gt;&lt;ref-type name="Journal Article"&gt;17&lt;/ref-type&gt;&lt;contributors&gt;&lt;authors&gt;&lt;author&gt;McIntyre, Anne&lt;/author&gt;&lt;author&gt;Mackenzie, Lynette&lt;/author&gt;&lt;author&gt;Harvey, Michele&lt;/author&gt;&lt;/authors&gt;&lt;/contributors&gt;&lt;titles&gt;&lt;title&gt;Engagement of general practitioners in falls prevention and referral to occupational therapists&lt;/title&gt;&lt;secondary-title&gt;British journal of occupational therapy&lt;/secondary-title&gt;&lt;/titles&gt;&lt;periodical&gt;&lt;full-title&gt;British journal of occupational therapy&lt;/full-title&gt;&lt;/periodical&gt;&lt;pages&gt;71-79&lt;/pages&gt;&lt;volume&gt;82&lt;/volume&gt;&lt;number&gt;2&lt;/number&gt;&lt;dates&gt;&lt;year&gt;2019&lt;/year&gt;&lt;/dates&gt;&lt;isbn&gt;0308-0226&lt;/isbn&gt;&lt;urls&gt;&lt;/urls&gt;&lt;/record&gt;&lt;/Cite&gt;&lt;/EndNote&gt;</w:instrText>
      </w:r>
      <w:r w:rsidR="00F23F27" w:rsidRPr="004C78D8">
        <w:fldChar w:fldCharType="separate"/>
      </w:r>
      <w:r w:rsidR="00513646" w:rsidRPr="004C78D8">
        <w:rPr>
          <w:noProof/>
        </w:rPr>
        <w:t>[139]</w:t>
      </w:r>
      <w:r w:rsidR="00F23F27" w:rsidRPr="004C78D8">
        <w:fldChar w:fldCharType="end"/>
      </w:r>
      <w:r w:rsidRPr="004C78D8">
        <w:t>, the</w:t>
      </w:r>
      <w:r w:rsidR="00144E7F" w:rsidRPr="004C78D8">
        <w:t xml:space="preserve"> decision problem </w:t>
      </w:r>
      <w:r w:rsidRPr="004C78D8">
        <w:t>centred more around</w:t>
      </w:r>
      <w:r w:rsidR="00144E7F" w:rsidRPr="004C78D8">
        <w:t xml:space="preserve"> </w:t>
      </w:r>
      <w:r w:rsidRPr="004C78D8">
        <w:t xml:space="preserve">increasing the </w:t>
      </w:r>
      <w:r w:rsidR="00144E7F" w:rsidRPr="004C78D8">
        <w:t xml:space="preserve">intervention reach </w:t>
      </w:r>
      <w:r w:rsidR="00F23F27" w:rsidRPr="004C78D8">
        <w:t xml:space="preserve">relative to UC </w:t>
      </w:r>
      <w:r w:rsidR="00144E7F" w:rsidRPr="004C78D8">
        <w:t xml:space="preserve">than </w:t>
      </w:r>
      <w:r w:rsidR="00F23F27" w:rsidRPr="004C78D8">
        <w:t xml:space="preserve">evaluating new intervention </w:t>
      </w:r>
      <w:r w:rsidR="00144E7F" w:rsidRPr="004C78D8">
        <w:t>type</w:t>
      </w:r>
      <w:r w:rsidR="00F23F27" w:rsidRPr="004C78D8">
        <w:t>s</w:t>
      </w:r>
      <w:r w:rsidR="006F5246" w:rsidRPr="004C78D8">
        <w:t xml:space="preserve"> </w:t>
      </w:r>
      <w:r w:rsidR="006F5246" w:rsidRPr="004C78D8">
        <w:fldChar w:fldCharType="begin">
          <w:fldData xml:space="preserve">PEVuZE5vdGU+PENpdGU+PEF1dGhvcj5QYXVsPC9BdXRob3I+PFllYXI+MjAyMDwvWWVhcj48UmVj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</w:fldData>
        </w:fldChar>
      </w:r>
      <w:r w:rsidR="00A2699D" w:rsidRPr="004C78D8">
        <w:instrText xml:space="preserve"> ADDIN EN.CITE </w:instrText>
      </w:r>
      <w:r w:rsidR="00A2699D" w:rsidRPr="004C78D8">
        <w:fldChar w:fldCharType="begin">
          <w:fldData xml:space="preserve">PEVuZE5vdGU+PENpdGU+PEF1dGhvcj5QYXVsPC9BdXRob3I+PFllYXI+MjAyMDwvWWVhcj48UmVj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</w:fldData>
        </w:fldChar>
      </w:r>
      <w:r w:rsidR="00A2699D" w:rsidRPr="004C78D8">
        <w:instrText xml:space="preserve"> ADDIN EN.CITE.DATA </w:instrText>
      </w:r>
      <w:r w:rsidR="00A2699D" w:rsidRPr="004C78D8">
        <w:fldChar w:fldCharType="end"/>
      </w:r>
      <w:r w:rsidR="006F5246" w:rsidRPr="004C78D8">
        <w:fldChar w:fldCharType="separate"/>
      </w:r>
      <w:r w:rsidR="00A2699D" w:rsidRPr="004C78D8">
        <w:rPr>
          <w:noProof/>
        </w:rPr>
        <w:t>[424]</w:t>
      </w:r>
      <w:r w:rsidR="006F5246" w:rsidRPr="004C78D8">
        <w:fldChar w:fldCharType="end"/>
      </w:r>
      <w:r w:rsidRPr="004C78D8">
        <w:t xml:space="preserve">. </w:t>
      </w:r>
      <w:r w:rsidR="000A6C94" w:rsidRPr="004C78D8">
        <w:t>Accordingly, the current model was thorough in parameterising the</w:t>
      </w:r>
      <w:r w:rsidRPr="004C78D8">
        <w:t xml:space="preserve"> supply and demand levels </w:t>
      </w:r>
      <w:r w:rsidR="000A6C94" w:rsidRPr="004C78D8">
        <w:t>for</w:t>
      </w:r>
      <w:r w:rsidRPr="004C78D8">
        <w:t xml:space="preserve"> each intervention scenario</w:t>
      </w:r>
      <w:r w:rsidR="001F552F" w:rsidRPr="004C78D8">
        <w:t xml:space="preserve"> (</w:t>
      </w:r>
      <w:r w:rsidR="000A6C94" w:rsidRPr="004C78D8">
        <w:t xml:space="preserve">Section </w:t>
      </w:r>
      <w:r w:rsidR="00AD4B4F" w:rsidRPr="004C78D8">
        <w:t>5</w:t>
      </w:r>
      <w:r w:rsidR="000A6C94" w:rsidRPr="004C78D8">
        <w:t>.2.4.2</w:t>
      </w:r>
      <w:r w:rsidR="001F552F" w:rsidRPr="004C78D8">
        <w:t>)</w:t>
      </w:r>
      <w:r w:rsidR="00144E7F" w:rsidRPr="004C78D8">
        <w:t>.</w:t>
      </w:r>
      <w:r w:rsidR="000E5D18" w:rsidRPr="004C78D8">
        <w:t xml:space="preserve"> This contrasts with previous models</w:t>
      </w:r>
      <w:r w:rsidR="00570D49" w:rsidRPr="004C78D8">
        <w:t>,</w:t>
      </w:r>
      <w:r w:rsidR="000E5D18" w:rsidRPr="004C78D8">
        <w:t xml:space="preserve"> </w:t>
      </w:r>
      <w:r w:rsidR="002D2978" w:rsidRPr="004C78D8">
        <w:t>more than half (n=24) of which failed to clearly state and justify the comparator scenario, let alone characterise the implementation levels.</w:t>
      </w:r>
      <w:r w:rsidR="00144E7F" w:rsidRPr="004C78D8">
        <w:t xml:space="preserve"> </w:t>
      </w:r>
      <w:r w:rsidR="002D2978" w:rsidRPr="004C78D8">
        <w:t>Likewise, o</w:t>
      </w:r>
      <w:r w:rsidR="000E5D18" w:rsidRPr="004C78D8">
        <w:t>nly a single previous model distinguished between supply- and demand-side determinants of intervention access</w:t>
      </w:r>
      <w:r w:rsidR="002D2978" w:rsidRPr="004C78D8">
        <w:t xml:space="preserve"> </w:t>
      </w:r>
      <w:r w:rsidR="000E5D18" w:rsidRPr="004C78D8">
        <w:fldChar w:fldCharType="begin">
          <w:fldData xml:space="preserve">PEVuZE5vdGU+PENpdGU+PEF1dGhvcj5UdXJuZXI8L0F1dGhvcj48WWVhcj4yMDIwPC9ZZWFyPjxS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</w:fldData>
        </w:fldChar>
      </w:r>
      <w:r w:rsidR="00C630FC" w:rsidRPr="004C78D8">
        <w:instrText xml:space="preserve"> ADDIN EN.CITE </w:instrText>
      </w:r>
      <w:r w:rsidR="00C630FC" w:rsidRPr="004C78D8">
        <w:fldChar w:fldCharType="begin">
          <w:fldData xml:space="preserve">PEVuZE5vdGU+PENpdGU+PEF1dGhvcj5UdXJuZXI8L0F1dGhvcj48WWVhcj4yMDIwPC9ZZWFyPjxS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</w:fldData>
        </w:fldChar>
      </w:r>
      <w:r w:rsidR="00C630FC" w:rsidRPr="004C78D8">
        <w:instrText xml:space="preserve"> ADDIN EN.CITE.DATA </w:instrText>
      </w:r>
      <w:r w:rsidR="00C630FC" w:rsidRPr="004C78D8">
        <w:fldChar w:fldCharType="end"/>
      </w:r>
      <w:r w:rsidR="000E5D18" w:rsidRPr="004C78D8">
        <w:fldChar w:fldCharType="separate"/>
      </w:r>
      <w:r w:rsidR="00C630FC" w:rsidRPr="004C78D8">
        <w:rPr>
          <w:noProof/>
        </w:rPr>
        <w:t>[348]</w:t>
      </w:r>
      <w:r w:rsidR="000E5D18" w:rsidRPr="004C78D8">
        <w:fldChar w:fldCharType="end"/>
      </w:r>
      <w:r w:rsidR="000E5D18" w:rsidRPr="004C78D8">
        <w:t>.</w:t>
      </w:r>
      <w:r w:rsidR="002D2978" w:rsidRPr="004C78D8">
        <w:t xml:space="preserve"> </w:t>
      </w:r>
    </w:p>
    <w:p w14:paraId="41E856B1" w14:textId="56307ADD" w:rsidR="00EA646D" w:rsidRPr="004C78D8" w:rsidRDefault="00570D49" w:rsidP="00FB7C1F">
      <w:r w:rsidRPr="004C78D8">
        <w:t xml:space="preserve">The current model comprehensively reported the aggregate outcomes </w:t>
      </w:r>
      <w:r w:rsidR="00410166" w:rsidRPr="004C78D8">
        <w:t xml:space="preserve">as recommended by the expert guideline on falls prevention economic evaluation </w:t>
      </w:r>
      <w:r w:rsidR="00410166" w:rsidRPr="004C78D8">
        <w:fldChar w:fldCharType="begin"/>
      </w:r>
      <w:r w:rsidR="00513646" w:rsidRPr="004C78D8">
        <w:instrText xml:space="preserve"> ADDIN EN.CITE &lt;EndNote&gt;&lt;Cite&gt;&lt;Author&gt;Davis&lt;/Author&gt;&lt;Year&gt;2011&lt;/Year&gt;&lt;RecNum&gt;286&lt;/RecNum&gt;&lt;DisplayText&gt;[105]&lt;/DisplayText&gt;&lt;record&gt;&lt;rec-number&gt;286&lt;/rec-number&gt;&lt;foreign-keys&gt;&lt;key app="EN" db-id="tdtrdw9aepptzbefsat599syza29sxsd2wsp" timestamp="1611700500"&gt;286&lt;/key&gt;&lt;/foreign-keys&gt;&lt;ref-type name="Journal Article"&gt;17&lt;/ref-type&gt;&lt;contributors&gt;&lt;authors&gt;&lt;author&gt;Davis, JC&lt;/author&gt;&lt;author&gt;Robertson, Mary Clare&lt;/author&gt;&lt;author&gt;Comans, T&lt;/author&gt;&lt;author&gt;Scuffham, PA&lt;/author&gt;&lt;/authors&gt;&lt;/contributors&gt;&lt;titles&gt;&lt;title&gt;Guidelines for conducting and reporting economic evaluation of fall prevention strategies&lt;/title&gt;&lt;secondary-title&gt;Osteoporosis international&lt;/secondary-title&gt;&lt;/titles&gt;&lt;periodical&gt;&lt;full-title&gt;Osteoporosis International&lt;/full-title&gt;&lt;/periodical&gt;&lt;pages&gt;2449-2459&lt;/pages&gt;&lt;volume&gt;22&lt;/volume&gt;&lt;number&gt;9&lt;/number&gt;&lt;dates&gt;&lt;year&gt;2011&lt;/year&gt;&lt;/dates&gt;&lt;isbn&gt;0937-941X&lt;/isbn&gt;&lt;urls&gt;&lt;/urls&gt;&lt;/record&gt;&lt;/Cite&gt;&lt;/EndNote&gt;</w:instrText>
      </w:r>
      <w:r w:rsidR="00410166" w:rsidRPr="004C78D8">
        <w:fldChar w:fldCharType="separate"/>
      </w:r>
      <w:r w:rsidR="00513646" w:rsidRPr="004C78D8">
        <w:rPr>
          <w:noProof/>
        </w:rPr>
        <w:t>[105]</w:t>
      </w:r>
      <w:r w:rsidR="00410166" w:rsidRPr="004C78D8">
        <w:fldChar w:fldCharType="end"/>
      </w:r>
      <w:r w:rsidR="00410166" w:rsidRPr="004C78D8">
        <w:t>, while only 26.1%</w:t>
      </w:r>
      <w:r w:rsidR="00B13D45" w:rsidRPr="004C78D8">
        <w:t xml:space="preserve"> of</w:t>
      </w:r>
      <w:r w:rsidR="00410166" w:rsidRPr="004C78D8">
        <w:t xml:space="preserve"> previous models had done so. </w:t>
      </w:r>
      <w:r w:rsidR="0021658B" w:rsidRPr="004C78D8">
        <w:t xml:space="preserve">In several </w:t>
      </w:r>
      <w:r w:rsidR="001378D0" w:rsidRPr="004C78D8">
        <w:t>case</w:t>
      </w:r>
      <w:r w:rsidR="0021658B" w:rsidRPr="004C78D8">
        <w:t xml:space="preserve">s, previous models misrepresented the intervention rankings by </w:t>
      </w:r>
      <w:r w:rsidR="00A82220" w:rsidRPr="004C78D8">
        <w:t>interpreting</w:t>
      </w:r>
      <w:r w:rsidR="0021658B" w:rsidRPr="004C78D8">
        <w:t xml:space="preserve"> only the cost-per-unit ratios (Section </w:t>
      </w:r>
      <w:r w:rsidR="00B13D45" w:rsidRPr="004C78D8">
        <w:t>4</w:t>
      </w:r>
      <w:r w:rsidR="0021658B" w:rsidRPr="004C78D8">
        <w:t>.5.3.2)</w:t>
      </w:r>
      <w:r w:rsidR="00A82220" w:rsidRPr="004C78D8">
        <w:t xml:space="preserve">. The ratios were also insensitive to changes in implementation levels </w:t>
      </w:r>
      <w:r w:rsidR="00B13D45" w:rsidRPr="004C78D8">
        <w:t xml:space="preserve">and </w:t>
      </w:r>
      <w:r w:rsidR="00A82220" w:rsidRPr="004C78D8">
        <w:t>precluded value of implementation</w:t>
      </w:r>
      <w:r w:rsidR="009B7C9C" w:rsidRPr="004C78D8">
        <w:t xml:space="preserve"> (VoIM)</w:t>
      </w:r>
      <w:r w:rsidR="00A82220" w:rsidRPr="004C78D8">
        <w:t xml:space="preserve"> analys</w:t>
      </w:r>
      <w:r w:rsidR="009B7C9C" w:rsidRPr="004C78D8">
        <w:t>e</w:t>
      </w:r>
      <w:r w:rsidR="00A82220" w:rsidRPr="004C78D8">
        <w:t xml:space="preserve">s (Section </w:t>
      </w:r>
      <w:r w:rsidR="00B13D45" w:rsidRPr="004C78D8">
        <w:t>4</w:t>
      </w:r>
      <w:r w:rsidR="00A82220" w:rsidRPr="004C78D8">
        <w:t>.5.3.3).</w:t>
      </w:r>
      <w:r w:rsidR="0021658B" w:rsidRPr="004C78D8">
        <w:t xml:space="preserve"> </w:t>
      </w:r>
      <w:r w:rsidR="009B7C9C" w:rsidRPr="004C78D8">
        <w:t xml:space="preserve">By contrast, the current model assessed the aggregate outcomes, including the budget impact, when formulating commissioning recommendations (Section </w:t>
      </w:r>
      <w:r w:rsidR="00B13D45" w:rsidRPr="004C78D8">
        <w:t>6</w:t>
      </w:r>
      <w:r w:rsidR="009B7C9C" w:rsidRPr="004C78D8">
        <w:t>.</w:t>
      </w:r>
      <w:r w:rsidR="00B13D45" w:rsidRPr="004C78D8">
        <w:t>3</w:t>
      </w:r>
      <w:r w:rsidR="009B7C9C" w:rsidRPr="004C78D8">
        <w:t>.</w:t>
      </w:r>
      <w:r w:rsidR="00B13D45" w:rsidRPr="004C78D8">
        <w:t>3</w:t>
      </w:r>
      <w:r w:rsidR="009B7C9C" w:rsidRPr="004C78D8">
        <w:t xml:space="preserve">), and conducted several VoIM analyses </w:t>
      </w:r>
      <w:r w:rsidR="0012661F" w:rsidRPr="004C78D8">
        <w:t>of</w:t>
      </w:r>
      <w:r w:rsidR="00B13D45" w:rsidRPr="004C78D8">
        <w:t xml:space="preserve"> implementation strategies</w:t>
      </w:r>
      <w:r w:rsidR="009B7C9C" w:rsidRPr="004C78D8">
        <w:t xml:space="preserve"> </w:t>
      </w:r>
      <w:r w:rsidR="00B13D45" w:rsidRPr="004C78D8">
        <w:t xml:space="preserve">even under capacity constraints </w:t>
      </w:r>
      <w:r w:rsidR="009B7C9C" w:rsidRPr="004C78D8">
        <w:t xml:space="preserve">(Section </w:t>
      </w:r>
      <w:r w:rsidR="00B13D45" w:rsidRPr="004C78D8">
        <w:t>6</w:t>
      </w:r>
      <w:r w:rsidR="009B7C9C" w:rsidRPr="004C78D8">
        <w:t>.3.</w:t>
      </w:r>
      <w:r w:rsidR="00B13D45" w:rsidRPr="004C78D8">
        <w:t>1</w:t>
      </w:r>
      <w:r w:rsidR="009B7C9C" w:rsidRPr="004C78D8">
        <w:t xml:space="preserve">.3). </w:t>
      </w:r>
      <w:r w:rsidR="00286913" w:rsidRPr="004C78D8">
        <w:t>The latter strategies conceived</w:t>
      </w:r>
      <w:r w:rsidR="00EA646D" w:rsidRPr="004C78D8">
        <w:t xml:space="preserve"> </w:t>
      </w:r>
      <w:r w:rsidR="00286913" w:rsidRPr="004C78D8">
        <w:t xml:space="preserve">of </w:t>
      </w:r>
      <w:r w:rsidR="00EA646D" w:rsidRPr="004C78D8">
        <w:t xml:space="preserve">community asset involvement in </w:t>
      </w:r>
      <w:r w:rsidR="00977C78" w:rsidRPr="004C78D8">
        <w:t>implementation, even if</w:t>
      </w:r>
      <w:r w:rsidR="00EA646D" w:rsidRPr="004C78D8">
        <w:t xml:space="preserve"> </w:t>
      </w:r>
      <w:r w:rsidR="00977C78" w:rsidRPr="004C78D8">
        <w:t>the precise means of achieving the</w:t>
      </w:r>
      <w:r w:rsidR="00EA646D" w:rsidRPr="004C78D8">
        <w:t xml:space="preserve"> hypothetical access levels were unspecified. </w:t>
      </w:r>
      <w:r w:rsidR="00977C78" w:rsidRPr="004C78D8">
        <w:t xml:space="preserve">The current model is hence the first in </w:t>
      </w:r>
      <w:r w:rsidR="00C46DA8" w:rsidRPr="004C78D8">
        <w:t>this topic</w:t>
      </w:r>
      <w:r w:rsidR="00977C78" w:rsidRPr="004C78D8">
        <w:t xml:space="preserve"> area to assess the economic case for community </w:t>
      </w:r>
      <w:r w:rsidR="00C46DA8" w:rsidRPr="004C78D8">
        <w:t xml:space="preserve">sector </w:t>
      </w:r>
      <w:r w:rsidR="00977C78" w:rsidRPr="004C78D8">
        <w:t xml:space="preserve">involvement </w:t>
      </w:r>
      <w:r w:rsidR="00C46DA8" w:rsidRPr="004C78D8">
        <w:t>which is</w:t>
      </w:r>
      <w:r w:rsidR="00977C78" w:rsidRPr="004C78D8">
        <w:t xml:space="preserve"> advocated in key guidelines </w:t>
      </w:r>
      <w:r w:rsidR="00977C78" w:rsidRPr="004C78D8">
        <w:fldChar w:fldCharType="begin"/>
      </w:r>
      <w:r w:rsidR="00513646" w:rsidRPr="004C78D8">
        <w:instrText xml:space="preserve"> ADDIN EN.CITE &lt;EndNote&gt;&lt;Cite&gt;&lt;Author&gt;Public Health England&lt;/Author&gt;&lt;Year&gt;2017&lt;/Year&gt;&lt;RecNum&gt;533&lt;/RecNum&gt;&lt;DisplayText&gt;[93, 143]&lt;/DisplayText&gt;&lt;record&gt;&lt;rec-number&gt;533&lt;/rec-number&gt;&lt;foreign-keys&gt;&lt;key app="EN" db-id="tdtrdw9aepptzbefsat599syza29sxsd2wsp" timestamp="1618261096"&gt;533&lt;/key&gt;&lt;/foreign-keys&gt;&lt;ref-type name="Journal Article"&gt;17&lt;/ref-type&gt;&lt;contributors&gt;&lt;authors&gt;&lt;author&gt;Public Health England,&lt;/author&gt;&lt;/authors&gt;&lt;/contributors&gt;&lt;titles&gt;&lt;title&gt;Falls and fracture consensus statement: Supporting commissioning for prevention&lt;/title&gt;&lt;secondary-title&gt;London: Public Health England&lt;/secondary-title&gt;&lt;/titles&gt;&lt;periodical&gt;&lt;full-title&gt;London: Public Health England&lt;/full-title&gt;&lt;/periodical&gt;&lt;dates&gt;&lt;year&gt;2017&lt;/year&gt;&lt;/dates&gt;&lt;urls&gt;&lt;/urls&gt;&lt;/record&gt;&lt;/Cite&gt;&lt;Cite&gt;&lt;Author&gt;Department of Health&lt;/Author&gt;&lt;Year&gt;2010&lt;/Year&gt;&lt;RecNum&gt;3&lt;/RecNum&gt;&lt;record&gt;&lt;rec-number&gt;3&lt;/rec-number&gt;&lt;foreign-keys&gt;&lt;key app="EN" db-id="tdtrdw9aepptzbefsat599syza29sxsd2wsp" timestamp="1596571158"&gt;3&lt;/key&gt;&lt;/foreign-keys&gt;&lt;ref-type name="Book"&gt;6&lt;/ref-type&gt;&lt;contributors&gt;&lt;authors&gt;&lt;author&gt;Department of Health,&lt;/author&gt;&lt;/authors&gt;&lt;/contributors&gt;&lt;titles&gt;&lt;title&gt;Healthy lives, healthy people: Our strategy for public health in England&lt;/title&gt;&lt;/titles&gt;&lt;volume&gt;7985&lt;/volume&gt;&lt;dates&gt;&lt;year&gt;2010&lt;/year&gt;&lt;/dates&gt;&lt;publisher&gt;The Stationery Office&lt;/publisher&gt;&lt;isbn&gt;0101798520&lt;/isbn&gt;&lt;urls&gt;&lt;/urls&gt;&lt;/record&gt;&lt;/Cite&gt;&lt;/EndNote&gt;</w:instrText>
      </w:r>
      <w:r w:rsidR="00977C78" w:rsidRPr="004C78D8">
        <w:fldChar w:fldCharType="separate"/>
      </w:r>
      <w:r w:rsidR="00513646" w:rsidRPr="004C78D8">
        <w:rPr>
          <w:noProof/>
        </w:rPr>
        <w:t>[93, 143]</w:t>
      </w:r>
      <w:r w:rsidR="00977C78" w:rsidRPr="004C78D8">
        <w:fldChar w:fldCharType="end"/>
      </w:r>
      <w:r w:rsidR="00C46DA8" w:rsidRPr="004C78D8">
        <w:t xml:space="preserve">. </w:t>
      </w:r>
      <w:r w:rsidR="00B13D45" w:rsidRPr="004C78D8">
        <w:t>T</w:t>
      </w:r>
      <w:r w:rsidR="00C46DA8" w:rsidRPr="004C78D8">
        <w:t xml:space="preserve">here is ample scope for implementing the current approach in future falls prevention </w:t>
      </w:r>
      <w:r w:rsidR="00B13D45" w:rsidRPr="004C78D8">
        <w:t xml:space="preserve">and other geriatric public health </w:t>
      </w:r>
      <w:r w:rsidR="00C46DA8" w:rsidRPr="004C78D8">
        <w:t>models.</w:t>
      </w:r>
    </w:p>
    <w:p w14:paraId="09656582" w14:textId="1CE64329" w:rsidR="00E63D67" w:rsidRPr="004C78D8" w:rsidRDefault="00EA646D" w:rsidP="00FB7C1F">
      <w:pPr>
        <w:rPr>
          <w:b/>
          <w:bCs/>
          <w:i/>
          <w:iCs/>
        </w:rPr>
      </w:pPr>
      <w:r w:rsidRPr="004C78D8">
        <w:rPr>
          <w:b/>
          <w:bCs/>
          <w:i/>
          <w:iCs/>
        </w:rPr>
        <w:t>(</w:t>
      </w:r>
      <w:r w:rsidR="00846E4D" w:rsidRPr="004C78D8">
        <w:rPr>
          <w:b/>
          <w:bCs/>
          <w:i/>
          <w:iCs/>
        </w:rPr>
        <w:t>KC13</w:t>
      </w:r>
      <w:r w:rsidRPr="004C78D8">
        <w:rPr>
          <w:b/>
          <w:bCs/>
          <w:i/>
          <w:iCs/>
        </w:rPr>
        <w:t xml:space="preserve">) The current model was </w:t>
      </w:r>
      <w:r w:rsidR="00156AEE" w:rsidRPr="004C78D8">
        <w:rPr>
          <w:b/>
          <w:bCs/>
          <w:i/>
          <w:iCs/>
        </w:rPr>
        <w:t xml:space="preserve">the </w:t>
      </w:r>
      <w:r w:rsidRPr="004C78D8">
        <w:rPr>
          <w:b/>
          <w:bCs/>
          <w:i/>
          <w:iCs/>
        </w:rPr>
        <w:t xml:space="preserve">first </w:t>
      </w:r>
      <w:r w:rsidR="00156AEE" w:rsidRPr="004C78D8">
        <w:rPr>
          <w:b/>
          <w:bCs/>
          <w:i/>
          <w:iCs/>
        </w:rPr>
        <w:t xml:space="preserve">falls prevention </w:t>
      </w:r>
      <w:r w:rsidR="00731673" w:rsidRPr="004C78D8">
        <w:rPr>
          <w:b/>
          <w:bCs/>
          <w:i/>
          <w:iCs/>
        </w:rPr>
        <w:t xml:space="preserve">model </w:t>
      </w:r>
      <w:r w:rsidR="00156AEE" w:rsidRPr="004C78D8">
        <w:rPr>
          <w:b/>
          <w:bCs/>
          <w:i/>
          <w:iCs/>
        </w:rPr>
        <w:t>to incorporate</w:t>
      </w:r>
      <w:r w:rsidRPr="004C78D8">
        <w:rPr>
          <w:b/>
          <w:bCs/>
          <w:i/>
          <w:iCs/>
        </w:rPr>
        <w:t xml:space="preserve"> capacity constraints.</w:t>
      </w:r>
    </w:p>
    <w:p w14:paraId="28F2A49A" w14:textId="363C8B5E" w:rsidR="00727C5F" w:rsidRPr="004C78D8" w:rsidRDefault="000A104F" w:rsidP="00FB7C1F">
      <w:r w:rsidRPr="004C78D8">
        <w:t>T</w:t>
      </w:r>
      <w:r w:rsidR="005C167A" w:rsidRPr="004C78D8">
        <w:t xml:space="preserve">he current model was unique </w:t>
      </w:r>
      <w:r w:rsidRPr="004C78D8">
        <w:t>among</w:t>
      </w:r>
      <w:r w:rsidR="00C42E5B" w:rsidRPr="004C78D8">
        <w:t>st</w:t>
      </w:r>
      <w:r w:rsidRPr="004C78D8">
        <w:t xml:space="preserve"> falls prevention models </w:t>
      </w:r>
      <w:r w:rsidR="005C167A" w:rsidRPr="004C78D8">
        <w:t>in incorporating capacity constraints. It demonstrate</w:t>
      </w:r>
      <w:r w:rsidR="00423549" w:rsidRPr="004C78D8">
        <w:t>d</w:t>
      </w:r>
      <w:r w:rsidR="005C167A" w:rsidRPr="004C78D8">
        <w:t xml:space="preserve"> </w:t>
      </w:r>
      <w:r w:rsidR="00DB6F16" w:rsidRPr="004C78D8">
        <w:t>the modelling capability</w:t>
      </w:r>
      <w:r w:rsidR="005C167A" w:rsidRPr="004C78D8">
        <w:t xml:space="preserve"> to evaluate the capacity implications and feasibility of clinical and public health guidelines when applied to the local setting. </w:t>
      </w:r>
      <w:r w:rsidR="00C42E5B" w:rsidRPr="004C78D8">
        <w:t xml:space="preserve">Current guidelines </w:t>
      </w:r>
      <w:r w:rsidR="009F5E2D" w:rsidRPr="004C78D8">
        <w:t xml:space="preserve">do refer to </w:t>
      </w:r>
      <w:r w:rsidR="00C42E5B" w:rsidRPr="004C78D8">
        <w:t>capacity implications</w:t>
      </w:r>
      <w:r w:rsidR="009F5E2D" w:rsidRPr="004C78D8">
        <w:t xml:space="preserve"> but only as a peripheral criterion</w:t>
      </w:r>
      <w:r w:rsidR="00655425" w:rsidRPr="004C78D8">
        <w:t xml:space="preserve">: NICE CG161 includes a disclaimer that the decision to adopt the recommendations would depend on available resources (p. 23) </w:t>
      </w:r>
      <w:r w:rsidR="00655425" w:rsidRPr="004C78D8">
        <w:fldChar w:fldCharType="begin"/>
      </w:r>
      <w:r w:rsidR="00655425"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00655425" w:rsidRPr="004C78D8">
        <w:fldChar w:fldCharType="separate"/>
      </w:r>
      <w:r w:rsidR="00655425" w:rsidRPr="004C78D8">
        <w:rPr>
          <w:noProof/>
        </w:rPr>
        <w:t>[13]</w:t>
      </w:r>
      <w:r w:rsidR="00655425" w:rsidRPr="004C78D8">
        <w:fldChar w:fldCharType="end"/>
      </w:r>
      <w:r w:rsidR="00655425" w:rsidRPr="004C78D8">
        <w:t xml:space="preserve">; NICE PMG9 for HTA </w:t>
      </w:r>
      <w:r w:rsidR="00473295" w:rsidRPr="004C78D8">
        <w:t>likewise</w:t>
      </w:r>
      <w:r w:rsidR="00655425" w:rsidRPr="004C78D8">
        <w:t xml:space="preserve"> states that the NICE Committee w</w:t>
      </w:r>
      <w:r w:rsidR="00C42E5B" w:rsidRPr="004C78D8">
        <w:t>ill</w:t>
      </w:r>
      <w:r w:rsidR="00655425" w:rsidRPr="004C78D8">
        <w:t xml:space="preserve"> receive evidence on local constraints and other implementation </w:t>
      </w:r>
      <w:r w:rsidR="00903CC8" w:rsidRPr="004C78D8">
        <w:t xml:space="preserve">issues </w:t>
      </w:r>
      <w:r w:rsidR="00655425" w:rsidRPr="004C78D8">
        <w:t xml:space="preserve">(points 4.5.3 and 6.1.6) </w:t>
      </w:r>
      <w:r w:rsidR="00655425" w:rsidRPr="004C78D8">
        <w:fldChar w:fldCharType="begin"/>
      </w:r>
      <w:r w:rsidR="00513646" w:rsidRPr="004C78D8">
        <w:instrText xml:space="preserve"> ADDIN EN.CITE &lt;EndNote&gt;&lt;Cite&gt;&lt;Author&gt;National Institute for Health and Care Excellence&lt;/Author&gt;&lt;Year&gt;2013&lt;/Year&gt;&lt;RecNum&gt;411&lt;/RecNum&gt;&lt;DisplayText&gt;[154]&lt;/DisplayText&gt;&lt;record&gt;&lt;rec-number&gt;411&lt;/rec-number&gt;&lt;foreign-keys&gt;&lt;key app="EN" db-id="tdtrdw9aepptzbefsat599syza29sxsd2wsp" timestamp="1615809068"&gt;411&lt;/key&gt;&lt;/foreign-keys&gt;&lt;ref-type name="Journal Article"&gt;17&lt;/ref-type&gt;&lt;contributors&gt;&lt;authors&gt;&lt;author&gt;National Institute for Health and Care Excellence,&lt;/author&gt;&lt;/authors&gt;&lt;/contributors&gt;&lt;titles&gt;&lt;title&gt;Guide to the methods of technology appraisal 2013&lt;/title&gt;&lt;/titles&gt;&lt;dates&gt;&lt;year&gt;2013&lt;/year&gt;&lt;/dates&gt;&lt;urls&gt;&lt;related-urls&gt;&lt;url&gt;nice.org.uk/process/pmg9&lt;/url&gt;&lt;/related-urls&gt;&lt;/urls&gt;&lt;/record&gt;&lt;/Cite&gt;&lt;/EndNote&gt;</w:instrText>
      </w:r>
      <w:r w:rsidR="00655425" w:rsidRPr="004C78D8">
        <w:fldChar w:fldCharType="separate"/>
      </w:r>
      <w:r w:rsidR="00513646" w:rsidRPr="004C78D8">
        <w:rPr>
          <w:noProof/>
        </w:rPr>
        <w:t>[154]</w:t>
      </w:r>
      <w:r w:rsidR="00655425" w:rsidRPr="004C78D8">
        <w:fldChar w:fldCharType="end"/>
      </w:r>
      <w:r w:rsidR="00655425" w:rsidRPr="004C78D8">
        <w:t xml:space="preserve">. </w:t>
      </w:r>
      <w:r w:rsidR="009F5E2D" w:rsidRPr="004C78D8">
        <w:t>T</w:t>
      </w:r>
      <w:r w:rsidR="00BB5555" w:rsidRPr="004C78D8">
        <w:t>he</w:t>
      </w:r>
      <w:r w:rsidR="00B00808" w:rsidRPr="004C78D8">
        <w:t xml:space="preserve"> guideline</w:t>
      </w:r>
      <w:r w:rsidR="00BB5555" w:rsidRPr="004C78D8">
        <w:t xml:space="preserve"> credibility would </w:t>
      </w:r>
      <w:r w:rsidR="009F5E2D" w:rsidRPr="004C78D8">
        <w:t xml:space="preserve">nonetheless </w:t>
      </w:r>
      <w:r w:rsidR="00BB5555" w:rsidRPr="004C78D8">
        <w:t xml:space="preserve">be enhanced by </w:t>
      </w:r>
      <w:r w:rsidR="00C42E5B" w:rsidRPr="004C78D8">
        <w:t xml:space="preserve">proactively </w:t>
      </w:r>
      <w:r w:rsidR="00C62793" w:rsidRPr="004C78D8">
        <w:t>evaluating</w:t>
      </w:r>
      <w:r w:rsidR="00C42E5B" w:rsidRPr="004C78D8">
        <w:t xml:space="preserve"> the </w:t>
      </w:r>
      <w:r w:rsidR="00C62793" w:rsidRPr="004C78D8">
        <w:t xml:space="preserve">impact of </w:t>
      </w:r>
      <w:r w:rsidR="00C42E5B" w:rsidRPr="004C78D8">
        <w:t xml:space="preserve">capacity </w:t>
      </w:r>
      <w:r w:rsidR="00C62793" w:rsidRPr="004C78D8">
        <w:t>concerns on cost-effectiveness</w:t>
      </w:r>
      <w:r w:rsidR="009F5E2D" w:rsidRPr="004C78D8">
        <w:t xml:space="preserve">, rather than </w:t>
      </w:r>
      <w:r w:rsidR="009F5E2D" w:rsidRPr="004C78D8">
        <w:rPr>
          <w:i/>
          <w:iCs/>
        </w:rPr>
        <w:t>ex-post</w:t>
      </w:r>
      <w:r w:rsidR="00727C5F" w:rsidRPr="004C78D8">
        <w:t>.</w:t>
      </w:r>
      <w:r w:rsidR="00165596" w:rsidRPr="004C78D8">
        <w:t xml:space="preserve"> This is particularly </w:t>
      </w:r>
      <w:r w:rsidR="004420A4" w:rsidRPr="004C78D8">
        <w:t>relevant</w:t>
      </w:r>
      <w:r w:rsidR="00165596" w:rsidRPr="004C78D8">
        <w:t xml:space="preserve"> </w:t>
      </w:r>
      <w:r w:rsidR="004420A4" w:rsidRPr="004C78D8">
        <w:t>to</w:t>
      </w:r>
      <w:r w:rsidR="00165596" w:rsidRPr="004C78D8">
        <w:t xml:space="preserve"> interventions that require long-term, </w:t>
      </w:r>
      <w:r w:rsidR="00C62793" w:rsidRPr="004C78D8">
        <w:t xml:space="preserve">professionally supervised </w:t>
      </w:r>
      <w:r w:rsidR="00165596" w:rsidRPr="004C78D8">
        <w:t xml:space="preserve">participation for maximal impact </w:t>
      </w:r>
      <w:r w:rsidR="004420A4" w:rsidRPr="004C78D8">
        <w:t>such as</w:t>
      </w:r>
      <w:r w:rsidR="00165596" w:rsidRPr="004C78D8">
        <w:t xml:space="preserve"> </w:t>
      </w:r>
      <w:r w:rsidR="004420A4" w:rsidRPr="004C78D8">
        <w:t xml:space="preserve">falls prevention </w:t>
      </w:r>
      <w:r w:rsidR="00165596" w:rsidRPr="004C78D8">
        <w:t xml:space="preserve">exercise </w:t>
      </w:r>
      <w:r w:rsidR="00165596" w:rsidRPr="004C78D8">
        <w:fldChar w:fldCharType="begin">
          <w:fldData xml:space="preserve">PEVuZE5vdGU+PENpdGU+PEF1dGhvcj5kZSBTb3V0byBCYXJyZXRvPC9BdXRob3I+PFllYXI+MjAx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</w:fldData>
        </w:fldChar>
      </w:r>
      <w:r w:rsidR="00A2699D" w:rsidRPr="004C78D8">
        <w:instrText xml:space="preserve"> ADDIN EN.CITE </w:instrText>
      </w:r>
      <w:r w:rsidR="00A2699D" w:rsidRPr="004C78D8">
        <w:fldChar w:fldCharType="begin">
          <w:fldData xml:space="preserve">PEVuZE5vdGU+PENpdGU+PEF1dGhvcj5kZSBTb3V0byBCYXJyZXRvPC9BdXRob3I+PFllYXI+MjAx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</w:fldData>
        </w:fldChar>
      </w:r>
      <w:r w:rsidR="00A2699D" w:rsidRPr="004C78D8">
        <w:instrText xml:space="preserve"> ADDIN EN.CITE.DATA </w:instrText>
      </w:r>
      <w:r w:rsidR="00A2699D" w:rsidRPr="004C78D8">
        <w:fldChar w:fldCharType="end"/>
      </w:r>
      <w:r w:rsidR="00165596" w:rsidRPr="004C78D8">
        <w:fldChar w:fldCharType="separate"/>
      </w:r>
      <w:r w:rsidR="00A2699D" w:rsidRPr="004C78D8">
        <w:rPr>
          <w:noProof/>
        </w:rPr>
        <w:t>[425]</w:t>
      </w:r>
      <w:r w:rsidR="00165596" w:rsidRPr="004C78D8">
        <w:fldChar w:fldCharType="end"/>
      </w:r>
      <w:r w:rsidR="00165596" w:rsidRPr="004C78D8">
        <w:t>.</w:t>
      </w:r>
    </w:p>
    <w:p w14:paraId="31513DDE" w14:textId="672DCCFD" w:rsidR="005C167A" w:rsidRPr="004C78D8" w:rsidRDefault="00B90191" w:rsidP="00FB7C1F">
      <w:r w:rsidRPr="004C78D8">
        <w:t>Analysts</w:t>
      </w:r>
      <w:r w:rsidR="004D127F" w:rsidRPr="004C78D8">
        <w:t xml:space="preserve"> interested in capacity modelling typically </w:t>
      </w:r>
      <w:r w:rsidR="00277215" w:rsidRPr="004C78D8">
        <w:t>develop a</w:t>
      </w:r>
      <w:r w:rsidR="004D127F" w:rsidRPr="004C78D8">
        <w:t xml:space="preserve"> discrete event simulation </w:t>
      </w:r>
      <w:r w:rsidR="004D127F" w:rsidRPr="004C78D8">
        <w:fldChar w:fldCharType="begin"/>
      </w:r>
      <w:r w:rsidR="00C630FC" w:rsidRPr="004C78D8">
        <w:instrText xml:space="preserve"> ADDIN EN.CITE &lt;EndNote&gt;&lt;Cite&gt;&lt;Author&gt;Salleh&lt;/Author&gt;&lt;Year&gt;2017&lt;/Year&gt;&lt;RecNum&gt;413&lt;/RecNum&gt;&lt;DisplayText&gt;[221]&lt;/DisplayText&gt;&lt;record&gt;&lt;rec-number&gt;413&lt;/rec-number&gt;&lt;foreign-keys&gt;&lt;key app="EN" db-id="tdtrdw9aepptzbefsat599syza29sxsd2wsp" timestamp="1616155910"&gt;413&lt;/key&gt;&lt;/foreign-keys&gt;&lt;ref-type name="Journal Article"&gt;17&lt;/ref-type&gt;&lt;contributors&gt;&lt;authors&gt;&lt;author&gt;Salleh, Syed&lt;/author&gt;&lt;author&gt;Thokala, Praveen&lt;/author&gt;&lt;author&gt;Brennan, Alan&lt;/author&gt;&lt;author&gt;Hughes, Ruby&lt;/author&gt;&lt;author&gt;Dixon, Simon&lt;/author&gt;&lt;/authors&gt;&lt;/contributors&gt;&lt;titles&gt;&lt;title&gt;Discrete event simulation-based resource modelling in health technology assessment&lt;/title&gt;&lt;secondary-title&gt;Pharmacoeconomics&lt;/secondary-title&gt;&lt;/titles&gt;&lt;periodical&gt;&lt;full-title&gt;PharmacoEconomics&lt;/full-title&gt;&lt;/periodical&gt;&lt;pages&gt;989-1006&lt;/pages&gt;&lt;volume&gt;35&lt;/volume&gt;&lt;number&gt;10&lt;/number&gt;&lt;dates&gt;&lt;year&gt;2017&lt;/year&gt;&lt;/dates&gt;&lt;isbn&gt;1170-7690&lt;/isbn&gt;&lt;urls&gt;&lt;/urls&gt;&lt;/record&gt;&lt;/Cite&gt;&lt;/EndNote&gt;</w:instrText>
      </w:r>
      <w:r w:rsidR="004D127F" w:rsidRPr="004C78D8">
        <w:fldChar w:fldCharType="separate"/>
      </w:r>
      <w:r w:rsidR="00C630FC" w:rsidRPr="004C78D8">
        <w:rPr>
          <w:noProof/>
        </w:rPr>
        <w:t>[221]</w:t>
      </w:r>
      <w:r w:rsidR="004D127F" w:rsidRPr="004C78D8">
        <w:fldChar w:fldCharType="end"/>
      </w:r>
      <w:r w:rsidR="005A30CE" w:rsidRPr="004C78D8">
        <w:t xml:space="preserve">, which has been </w:t>
      </w:r>
      <w:r w:rsidR="004D127F" w:rsidRPr="004C78D8">
        <w:t xml:space="preserve">used to characterise the capacity use and waiting time for </w:t>
      </w:r>
      <w:r w:rsidR="005A30CE" w:rsidRPr="004C78D8">
        <w:t xml:space="preserve">services including </w:t>
      </w:r>
      <w:r w:rsidR="004D127F" w:rsidRPr="004C78D8">
        <w:t>cancer screening</w:t>
      </w:r>
      <w:r w:rsidR="005B4146" w:rsidRPr="004C78D8">
        <w:t xml:space="preserve"> and post-discharge </w:t>
      </w:r>
      <w:r w:rsidR="00283ECB" w:rsidRPr="004C78D8">
        <w:t xml:space="preserve">geriatric </w:t>
      </w:r>
      <w:r w:rsidR="005A30CE" w:rsidRPr="004C78D8">
        <w:t>care</w:t>
      </w:r>
      <w:r w:rsidR="004D127F" w:rsidRPr="004C78D8">
        <w:t xml:space="preserve"> </w:t>
      </w:r>
      <w:r w:rsidR="004D127F" w:rsidRPr="004C78D8">
        <w:fldChar w:fldCharType="begin"/>
      </w:r>
      <w:r w:rsidR="00A2699D" w:rsidRPr="004C78D8">
        <w:instrText xml:space="preserve"> ADDIN EN.CITE &lt;EndNote&gt;&lt;Cite&gt;&lt;Author&gt;Pilgrim&lt;/Author&gt;&lt;Year&gt;2008&lt;/Year&gt;&lt;RecNum&gt;558&lt;/RecNum&gt;&lt;DisplayText&gt;[215, 426]&lt;/DisplayText&gt;&lt;record&gt;&lt;rec-number&gt;558&lt;/rec-number&gt;&lt;foreign-keys&gt;&lt;key app="EN" db-id="tdtrdw9aepptzbefsat599syza29sxsd2wsp" timestamp="1619622413"&gt;558&lt;/key&gt;&lt;/foreign-keys&gt;&lt;ref-type name="Journal Article"&gt;17&lt;/ref-type&gt;&lt;contributors&gt;&lt;authors&gt;&lt;author&gt;Pilgrim, Hazel&lt;/author&gt;&lt;author&gt;Chilcott, Jim&lt;/author&gt;&lt;/authors&gt;&lt;/contributors&gt;&lt;titles&gt;&lt;title&gt;Assessment of a 7-day turn-around for the reporting of cervical smear results using discrete event simulation&lt;/title&gt;&lt;secondary-title&gt;Journal of the Operational Research Society&lt;/secondary-title&gt;&lt;/titles&gt;&lt;periodical&gt;&lt;full-title&gt;Journal of the Operational Research Society&lt;/full-title&gt;&lt;/periodical&gt;&lt;pages&gt;902-910&lt;/pages&gt;&lt;volume&gt;59&lt;/volume&gt;&lt;number&gt;7&lt;/number&gt;&lt;dates&gt;&lt;year&gt;2008&lt;/year&gt;&lt;/dates&gt;&lt;isbn&gt;0160-5682&lt;/isbn&gt;&lt;urls&gt;&lt;/urls&gt;&lt;/record&gt;&lt;/Cite&gt;&lt;Cite&gt;&lt;Author&gt;Katsaliaki&lt;/Author&gt;&lt;Year&gt;2005&lt;/Year&gt;&lt;RecNum&gt;547&lt;/RecNum&gt;&lt;record&gt;&lt;rec-number&gt;547&lt;/rec-number&gt;&lt;foreign-keys&gt;&lt;key app="EN" db-id="tdtrdw9aepptzbefsat599syza29sxsd2wsp" timestamp="1618948020"&gt;547&lt;/key&gt;&lt;/foreign-keys&gt;&lt;ref-type name="Journal Article"&gt;17&lt;/ref-type&gt;&lt;contributors&gt;&lt;authors&gt;&lt;author&gt;Katsaliaki, Korina&lt;/author&gt;&lt;author&gt;Brailsford, Sally&lt;/author&gt;&lt;author&gt;Browning, David&lt;/author&gt;&lt;author&gt;Knight, Peter&lt;/author&gt;&lt;/authors&gt;&lt;/contributors&gt;&lt;titles&gt;&lt;title&gt;Mapping care pathways for the elderly&lt;/title&gt;&lt;secondary-title&gt;Journal of health organization and management&lt;/secondary-title&gt;&lt;/titles&gt;&lt;periodical&gt;&lt;full-title&gt;Journal of health organization and management&lt;/full-title&gt;&lt;/periodical&gt;&lt;pages&gt;57-72&lt;/pages&gt;&lt;volume&gt;19&lt;/volume&gt;&lt;number&gt;1&lt;/number&gt;&lt;dates&gt;&lt;year&gt;2005&lt;/year&gt;&lt;/dates&gt;&lt;isbn&gt;1477-7266&lt;/isbn&gt;&lt;urls&gt;&lt;/urls&gt;&lt;/record&gt;&lt;/Cite&gt;&lt;/EndNote&gt;</w:instrText>
      </w:r>
      <w:r w:rsidR="004D127F" w:rsidRPr="004C78D8">
        <w:fldChar w:fldCharType="separate"/>
      </w:r>
      <w:r w:rsidR="00A2699D" w:rsidRPr="004C78D8">
        <w:rPr>
          <w:noProof/>
        </w:rPr>
        <w:t>[215, 426]</w:t>
      </w:r>
      <w:r w:rsidR="004D127F" w:rsidRPr="004C78D8">
        <w:fldChar w:fldCharType="end"/>
      </w:r>
      <w:r w:rsidR="005B4146" w:rsidRPr="004C78D8">
        <w:t xml:space="preserve">. This study has shown that it is equally feasible to develop a discrete individual simulation to capture the capacity implications. </w:t>
      </w:r>
      <w:r w:rsidR="009F5E2D" w:rsidRPr="004C78D8">
        <w:t>This</w:t>
      </w:r>
      <w:r w:rsidR="005B4146" w:rsidRPr="004C78D8">
        <w:t xml:space="preserve"> </w:t>
      </w:r>
      <w:r w:rsidR="00DE2C12" w:rsidRPr="004C78D8">
        <w:t xml:space="preserve">model type </w:t>
      </w:r>
      <w:r w:rsidR="005B4146" w:rsidRPr="004C78D8">
        <w:t>offers a</w:t>
      </w:r>
      <w:r w:rsidR="009F5E2D" w:rsidRPr="004C78D8">
        <w:t>n important</w:t>
      </w:r>
      <w:r w:rsidR="00DE2C12" w:rsidRPr="004C78D8">
        <w:t xml:space="preserve"> </w:t>
      </w:r>
      <w:r w:rsidR="005B4146" w:rsidRPr="004C78D8">
        <w:t>option for analysts lacking time-to-event data on key parameters</w:t>
      </w:r>
      <w:r w:rsidR="00DE2C12" w:rsidRPr="004C78D8">
        <w:t xml:space="preserve"> </w:t>
      </w:r>
      <w:r w:rsidR="00DE2C12" w:rsidRPr="004C78D8">
        <w:fldChar w:fldCharType="begin"/>
      </w:r>
      <w:r w:rsidR="00513646" w:rsidRPr="004C78D8">
        <w:instrText xml:space="preserve"> ADDIN EN.CITE &lt;EndNote&gt;&lt;Cite&gt;&lt;Author&gt;Brennan&lt;/Author&gt;&lt;Year&gt;2006&lt;/Year&gt;&lt;RecNum&gt;534&lt;/RecNum&gt;&lt;DisplayText&gt;[168]&lt;/DisplayText&gt;&lt;record&gt;&lt;rec-number&gt;534&lt;/rec-number&gt;&lt;foreign-keys&gt;&lt;key app="EN" db-id="tdtrdw9aepptzbefsat599syza29sxsd2wsp" timestamp="1618322463"&gt;534&lt;/key&gt;&lt;/foreign-keys&gt;&lt;ref-type name="Journal Article"&gt;17&lt;/ref-type&gt;&lt;contributors&gt;&lt;authors&gt;&lt;author&gt;Brennan, A.&lt;/author&gt;&lt;author&gt;Chick, S. E.&lt;/author&gt;&lt;author&gt;Davies, R.&lt;/author&gt;&lt;/authors&gt;&lt;/contributors&gt;&lt;auth-address&gt;School of Health and Related Research (ScHARR), University of Sheffield, Sheffield, UK. a.brennan@sheffield.ac.uk&lt;/auth-address&gt;&lt;titles&gt;&lt;title&gt;A taxonomy of model structures for economic evaluation of health technologies&lt;/title&gt;&lt;secondary-title&gt;Health Econ&lt;/secondary-title&gt;&lt;alt-title&gt;Health economics&lt;/alt-title&gt;&lt;/titles&gt;&lt;alt-periodical&gt;&lt;full-title&gt;Health economics&lt;/full-title&gt;&lt;/alt-periodical&gt;&lt;pages&gt;1295-310&lt;/pages&gt;&lt;volume&gt;15&lt;/volume&gt;&lt;number&gt;12&lt;/number&gt;&lt;edition&gt;2006/08/31&lt;/edition&gt;&lt;keywords&gt;&lt;keyword&gt;Cost-Benefit Analysis&lt;/keyword&gt;&lt;keyword&gt;Decision Trees&lt;/keyword&gt;&lt;keyword&gt;Markov Chains&lt;/keyword&gt;&lt;keyword&gt;*Models, Theoretical&lt;/keyword&gt;&lt;keyword&gt;Technology Assessment, Biomedical/*economics&lt;/keyword&gt;&lt;keyword&gt;United Kingdom&lt;/keyword&gt;&lt;/keywords&gt;&lt;dates&gt;&lt;year&gt;2006&lt;/year&gt;&lt;pub-dates&gt;&lt;date&gt;Dec&lt;/date&gt;&lt;/pub-dates&gt;&lt;/dates&gt;&lt;isbn&gt;1057-9230 (Print)&amp;#xD;1057-9230&lt;/isbn&gt;&lt;accession-num&gt;16941543&lt;/accession-num&gt;&lt;urls&gt;&lt;/urls&gt;&lt;electronic-resource-num&gt;10.1002/hec.1148&lt;/electronic-resource-num&gt;&lt;remote-database-provider&gt;NLM&lt;/remote-database-provider&gt;&lt;language&gt;eng&lt;/language&gt;&lt;/record&gt;&lt;/Cite&gt;&lt;/EndNote&gt;</w:instrText>
      </w:r>
      <w:r w:rsidR="00DE2C12" w:rsidRPr="004C78D8">
        <w:fldChar w:fldCharType="separate"/>
      </w:r>
      <w:r w:rsidR="00513646" w:rsidRPr="004C78D8">
        <w:rPr>
          <w:noProof/>
        </w:rPr>
        <w:t>[168]</w:t>
      </w:r>
      <w:r w:rsidR="00DE2C12" w:rsidRPr="004C78D8">
        <w:fldChar w:fldCharType="end"/>
      </w:r>
      <w:r w:rsidR="005B4146" w:rsidRPr="004C78D8">
        <w:t xml:space="preserve">. In operationalising the model, the inclusion of incoming cohorts is crucial to maintain the </w:t>
      </w:r>
      <w:r w:rsidR="005A30CE" w:rsidRPr="004C78D8">
        <w:t xml:space="preserve">capacity </w:t>
      </w:r>
      <w:r w:rsidR="005B4146" w:rsidRPr="004C78D8">
        <w:t xml:space="preserve">pressure </w:t>
      </w:r>
      <w:r w:rsidR="005A30CE" w:rsidRPr="004C78D8">
        <w:t xml:space="preserve">on services. </w:t>
      </w:r>
      <w:r w:rsidR="00C50E41" w:rsidRPr="004C78D8">
        <w:t xml:space="preserve">This </w:t>
      </w:r>
      <w:r w:rsidR="00DE2C12" w:rsidRPr="004C78D8">
        <w:t>differs</w:t>
      </w:r>
      <w:r w:rsidR="00C50E41" w:rsidRPr="004C78D8">
        <w:t xml:space="preserve"> from the common </w:t>
      </w:r>
      <w:r w:rsidR="00634E3C" w:rsidRPr="004C78D8">
        <w:t xml:space="preserve">modelling practice of targeting a single fixed cohort; only one previous model incorporated incoming cohorts, and only for the first 10 years of </w:t>
      </w:r>
      <w:r w:rsidR="001B59DA" w:rsidRPr="004C78D8">
        <w:t xml:space="preserve">a </w:t>
      </w:r>
      <w:r w:rsidR="00634E3C" w:rsidRPr="004C78D8">
        <w:t xml:space="preserve">lifetime horizon </w:t>
      </w:r>
      <w:r w:rsidR="00634E3C" w:rsidRPr="004C78D8">
        <w:fldChar w:fldCharType="begin"/>
      </w:r>
      <w:r w:rsidR="00C630FC" w:rsidRPr="004C78D8">
        <w:instrText xml:space="preserve"> ADDIN EN.CITE &lt;EndNote&gt;&lt;Cite&gt;&lt;Author&gt;Nshimyumukiza&lt;/Author&gt;&lt;Year&gt;2013&lt;/Year&gt;&lt;RecNum&gt;381&lt;/RecNum&gt;&lt;DisplayText&gt;[336]&lt;/DisplayText&gt;&lt;record&gt;&lt;rec-number&gt;381&lt;/rec-number&gt;&lt;foreign-keys&gt;&lt;key app="EN" db-id="tdtrdw9aepptzbefsat599syza29sxsd2wsp" timestamp="1612694614"&gt;381&lt;/key&gt;&lt;/foreign-keys&gt;&lt;ref-type name="Journal Article"&gt;17&lt;/ref-type&gt;&lt;contributors&gt;&lt;authors&gt;&lt;author&gt;Nshimyumukiza, Léon&lt;/author&gt;&lt;author&gt;Durand, Audrey&lt;/author&gt;&lt;author&gt;Gagnon, Mathieu&lt;/author&gt;&lt;author&gt;Douville, Xavier&lt;/author&gt;&lt;author&gt;Morin, Suzanne&lt;/author&gt;&lt;author&gt;Lindsay, Carmen&lt;/author&gt;&lt;author&gt;Duplantie, Julie&lt;/author&gt;&lt;author&gt;Gagné, Christian&lt;/author&gt;&lt;author&gt;Jean, Sonia&lt;/author&gt;&lt;author&gt;Giguere, Yves&lt;/author&gt;&lt;/authors&gt;&lt;/contributors&gt;&lt;titles&gt;&lt;title&gt;An economic evaluation: Simulation of the cost‐effectiveness and cost‐utility of universal prevention strategies against osteoporosis‐related fractures&lt;/title&gt;&lt;secondary-title&gt;Journal of Bone and Mineral Research&lt;/secondary-title&gt;&lt;/titles&gt;&lt;periodical&gt;&lt;full-title&gt;Journal of bone and mineral research&lt;/full-title&gt;&lt;/periodical&gt;&lt;pages&gt;383-394&lt;/pages&gt;&lt;volume&gt;28&lt;/volume&gt;&lt;number&gt;2&lt;/number&gt;&lt;dates&gt;&lt;year&gt;2013&lt;/year&gt;&lt;/dates&gt;&lt;isbn&gt;0884-0431&lt;/isbn&gt;&lt;urls&gt;&lt;/urls&gt;&lt;/record&gt;&lt;/Cite&gt;&lt;/EndNote&gt;</w:instrText>
      </w:r>
      <w:r w:rsidR="00634E3C" w:rsidRPr="004C78D8">
        <w:fldChar w:fldCharType="separate"/>
      </w:r>
      <w:r w:rsidR="00C630FC" w:rsidRPr="004C78D8">
        <w:rPr>
          <w:noProof/>
        </w:rPr>
        <w:t>[336]</w:t>
      </w:r>
      <w:r w:rsidR="00634E3C" w:rsidRPr="004C78D8">
        <w:fldChar w:fldCharType="end"/>
      </w:r>
      <w:r w:rsidR="00634E3C" w:rsidRPr="004C78D8">
        <w:t xml:space="preserve">. But it </w:t>
      </w:r>
      <w:r w:rsidR="00A34954" w:rsidRPr="004C78D8">
        <w:t xml:space="preserve">also </w:t>
      </w:r>
      <w:r w:rsidR="00634E3C" w:rsidRPr="004C78D8">
        <w:t xml:space="preserve">provides the </w:t>
      </w:r>
      <w:r w:rsidR="005A30CE" w:rsidRPr="004C78D8">
        <w:t xml:space="preserve">opportunity </w:t>
      </w:r>
      <w:r w:rsidR="00634E3C" w:rsidRPr="004C78D8">
        <w:t xml:space="preserve">to </w:t>
      </w:r>
      <w:r w:rsidR="00A34954" w:rsidRPr="004C78D8">
        <w:t>model</w:t>
      </w:r>
      <w:r w:rsidR="005A30CE" w:rsidRPr="004C78D8">
        <w:t xml:space="preserve"> demographic and epidemiological transitions </w:t>
      </w:r>
      <w:r w:rsidR="00634E3C" w:rsidRPr="004C78D8">
        <w:t>over time</w:t>
      </w:r>
      <w:r w:rsidR="005A30CE" w:rsidRPr="004C78D8">
        <w:t xml:space="preserve"> </w:t>
      </w:r>
      <w:r w:rsidR="005A30CE" w:rsidRPr="004C78D8">
        <w:fldChar w:fldCharType="begin"/>
      </w:r>
      <w:r w:rsidR="00513646" w:rsidRPr="004C78D8">
        <w:instrText xml:space="preserve"> ADDIN EN.CITE &lt;EndNote&gt;&lt;Cite&gt;&lt;Author&gt;Kingston&lt;/Author&gt;&lt;Year&gt;2018&lt;/Year&gt;&lt;RecNum&gt;426&lt;/RecNum&gt;&lt;DisplayText&gt;[56]&lt;/DisplayText&gt;&lt;record&gt;&lt;rec-number&gt;426&lt;/rec-number&gt;&lt;foreign-keys&gt;&lt;key app="EN" db-id="tdtrdw9aepptzbefsat599syza29sxsd2wsp" timestamp="1616258252"&gt;426&lt;/key&gt;&lt;/foreign-keys&gt;&lt;ref-type name="Journal Article"&gt;17&lt;/ref-type&gt;&lt;contributors&gt;&lt;authors&gt;&lt;author&gt;Kingston, Andrew&lt;/author&gt;&lt;author&gt;Robinson, Louise&lt;/author&gt;&lt;author&gt;Booth, Heather&lt;/author&gt;&lt;author&gt;Knapp, Martin&lt;/author&gt;&lt;author&gt;Jagger, Carol&lt;/author&gt;&lt;author&gt;MODEM project&lt;/author&gt;&lt;/authors&gt;&lt;/contributors&gt;&lt;titles&gt;&lt;title&gt;Projections of multi-morbidity in the older population in England to 2035: estimates from the Population Ageing and Care Simulation (PACSim) model&lt;/title&gt;&lt;secondary-title&gt;Age and ageing&lt;/secondary-title&gt;&lt;/titles&gt;&lt;periodical&gt;&lt;full-title&gt;Age and ageing&lt;/full-title&gt;&lt;/periodical&gt;&lt;pages&gt;374-380&lt;/pages&gt;&lt;volume&gt;47&lt;/volume&gt;&lt;number&gt;3&lt;/number&gt;&lt;dates&gt;&lt;year&gt;2018&lt;/year&gt;&lt;/dates&gt;&lt;isbn&gt;0002-0729&lt;/isbn&gt;&lt;urls&gt;&lt;/urls&gt;&lt;/record&gt;&lt;/Cite&gt;&lt;/EndNote&gt;</w:instrText>
      </w:r>
      <w:r w:rsidR="005A30CE" w:rsidRPr="004C78D8">
        <w:fldChar w:fldCharType="separate"/>
      </w:r>
      <w:r w:rsidR="00513646" w:rsidRPr="004C78D8">
        <w:rPr>
          <w:noProof/>
        </w:rPr>
        <w:t>[56]</w:t>
      </w:r>
      <w:r w:rsidR="005A30CE" w:rsidRPr="004C78D8">
        <w:fldChar w:fldCharType="end"/>
      </w:r>
      <w:r w:rsidR="005A30CE" w:rsidRPr="004C78D8">
        <w:t>.</w:t>
      </w:r>
    </w:p>
    <w:p w14:paraId="0BB62312" w14:textId="4BBB7581" w:rsidR="00BD78BB" w:rsidRPr="004C78D8" w:rsidRDefault="00534D40" w:rsidP="00FB7C1F">
      <w:pPr>
        <w:pStyle w:val="Heading4"/>
      </w:pPr>
      <w:r w:rsidRPr="004C78D8">
        <w:t>7</w:t>
      </w:r>
      <w:r w:rsidR="00BD78BB" w:rsidRPr="004C78D8">
        <w:t>.2.3.4 Considering issues of equity</w:t>
      </w:r>
    </w:p>
    <w:p w14:paraId="41E38693" w14:textId="3229EB05" w:rsidR="00E03B8F" w:rsidRPr="004C78D8" w:rsidRDefault="00E03B8F" w:rsidP="00FB7C1F">
      <w:r w:rsidRPr="004C78D8">
        <w:t xml:space="preserve">The current model achieved methodological advances in considering equity issues and conducting appropriate analyses. </w:t>
      </w:r>
      <w:r w:rsidR="00C22229" w:rsidRPr="004C78D8">
        <w:t>Two</w:t>
      </w:r>
      <w:r w:rsidRPr="004C78D8">
        <w:t xml:space="preserve"> key contributions to the literature can be highlighted.</w:t>
      </w:r>
    </w:p>
    <w:p w14:paraId="169A8B6D" w14:textId="7197C654" w:rsidR="00E03B8F" w:rsidRPr="004C78D8" w:rsidRDefault="00E03B8F" w:rsidP="00FB7C1F">
      <w:pPr>
        <w:rPr>
          <w:b/>
          <w:bCs/>
          <w:i/>
          <w:iCs/>
        </w:rPr>
      </w:pPr>
      <w:r w:rsidRPr="004C78D8">
        <w:rPr>
          <w:b/>
          <w:bCs/>
          <w:i/>
          <w:iCs/>
        </w:rPr>
        <w:t>(</w:t>
      </w:r>
      <w:r w:rsidR="00846E4D" w:rsidRPr="004C78D8">
        <w:rPr>
          <w:b/>
          <w:bCs/>
          <w:i/>
          <w:iCs/>
        </w:rPr>
        <w:t>KC14</w:t>
      </w:r>
      <w:r w:rsidRPr="004C78D8">
        <w:rPr>
          <w:b/>
          <w:bCs/>
          <w:i/>
          <w:iCs/>
        </w:rPr>
        <w:t xml:space="preserve">) </w:t>
      </w:r>
      <w:r w:rsidR="00F86558" w:rsidRPr="004C78D8">
        <w:rPr>
          <w:b/>
          <w:bCs/>
          <w:i/>
          <w:iCs/>
        </w:rPr>
        <w:t xml:space="preserve">The current model incorporated </w:t>
      </w:r>
      <w:r w:rsidR="006A41A9" w:rsidRPr="004C78D8">
        <w:rPr>
          <w:b/>
          <w:bCs/>
          <w:i/>
          <w:iCs/>
        </w:rPr>
        <w:t>a comprehensive set of equity criteria and assessed their impact on intervention strategy rankings.</w:t>
      </w:r>
    </w:p>
    <w:p w14:paraId="36389D95" w14:textId="6378D25A" w:rsidR="00024FD5" w:rsidRPr="004C78D8" w:rsidRDefault="00DD0832" w:rsidP="00FB7C1F">
      <w:r w:rsidRPr="004C78D8">
        <w:t>Issues of equity were central to the current model development and evaluation.</w:t>
      </w:r>
      <w:r w:rsidR="00EC4362" w:rsidRPr="004C78D8">
        <w:t xml:space="preserve"> The ‘Context’ component of the CICI framework in Chapter 2 included </w:t>
      </w:r>
      <w:r w:rsidR="00846E4D" w:rsidRPr="004C78D8">
        <w:t xml:space="preserve">expert-highlighted </w:t>
      </w:r>
      <w:r w:rsidR="00EC4362" w:rsidRPr="004C78D8">
        <w:t xml:space="preserve">equity criteria beyond cost-effectiveness </w:t>
      </w:r>
      <w:r w:rsidR="00EC4362" w:rsidRPr="004C78D8">
        <w:fldChar w:fldCharType="begin"/>
      </w:r>
      <w:r w:rsidR="00513646" w:rsidRPr="004C78D8">
        <w:instrText xml:space="preserve"> ADDIN EN.CITE &lt;EndNote&gt;&lt;Cite&gt;&lt;Author&gt;Norheim&lt;/Author&gt;&lt;Year&gt;2014&lt;/Year&gt;&lt;RecNum&gt;4&lt;/RecNum&gt;&lt;DisplayText&gt;[71]&lt;/DisplayText&gt;&lt;record&gt;&lt;rec-number&gt;4&lt;/rec-number&gt;&lt;foreign-keys&gt;&lt;key app="EN" db-id="tdtrdw9aepptzbefsat599syza29sxsd2wsp" timestamp="1596571466"&gt;4&lt;/key&gt;&lt;/foreign-keys&gt;&lt;ref-type name="Journal Article"&gt;17&lt;/ref-type&gt;&lt;contributors&gt;&lt;authors&gt;&lt;author&gt;Norheim, Ole F&lt;/author&gt;&lt;author&gt;Baltussen, Rob&lt;/author&gt;&lt;author&gt;Johri, Mira&lt;/author&gt;&lt;author&gt;Chisholm, Dan&lt;/author&gt;&lt;author&gt;Nord, Erik&lt;/author&gt;&lt;author&gt;Brock, DanW&lt;/author&gt;&lt;author&gt;Carlsson, Per&lt;/author&gt;&lt;author&gt;Cookson, Richard&lt;/author&gt;&lt;author&gt;Daniels, Norman&lt;/author&gt;&lt;author&gt;Danis, Marion&lt;/author&gt;&lt;/authors&gt;&lt;/contributors&gt;&lt;titles&gt;&lt;title&gt;Guidance on priority setting in health care (GPS-Health): the inclusion of equity criteria not captured by cost-effectiveness analysis&lt;/title&gt;&lt;secondary-title&gt;Cost Effectiveness and Resource Allocation&lt;/secondary-title&gt;&lt;/titles&gt;&lt;periodical&gt;&lt;full-title&gt;Cost Effectiveness and Resource Allocation&lt;/full-title&gt;&lt;/periodical&gt;&lt;pages&gt;18&lt;/pages&gt;&lt;volume&gt;12&lt;/volume&gt;&lt;number&gt;1&lt;/number&gt;&lt;dates&gt;&lt;year&gt;2014&lt;/year&gt;&lt;/dates&gt;&lt;isbn&gt;1478-7547&lt;/isbn&gt;&lt;urls&gt;&lt;/urls&gt;&lt;/record&gt;&lt;/Cite&gt;&lt;/EndNote&gt;</w:instrText>
      </w:r>
      <w:r w:rsidR="00EC4362" w:rsidRPr="004C78D8">
        <w:fldChar w:fldCharType="separate"/>
      </w:r>
      <w:r w:rsidR="00513646" w:rsidRPr="004C78D8">
        <w:rPr>
          <w:noProof/>
        </w:rPr>
        <w:t>[71]</w:t>
      </w:r>
      <w:r w:rsidR="00EC4362" w:rsidRPr="004C78D8">
        <w:fldChar w:fldCharType="end"/>
      </w:r>
      <w:r w:rsidR="00EC4362" w:rsidRPr="004C78D8">
        <w:t xml:space="preserve">. The </w:t>
      </w:r>
      <w:r w:rsidR="00B84207" w:rsidRPr="004C78D8">
        <w:t xml:space="preserve">criteria emphasised the considerations of (i) </w:t>
      </w:r>
      <w:r w:rsidR="00EC4362" w:rsidRPr="004C78D8">
        <w:t xml:space="preserve">vulnerable social groups, </w:t>
      </w:r>
      <w:r w:rsidR="00B84207" w:rsidRPr="004C78D8">
        <w:t xml:space="preserve">(ii) </w:t>
      </w:r>
      <w:r w:rsidR="00EC4362" w:rsidRPr="004C78D8">
        <w:t xml:space="preserve">severity/extent of past health loss, and </w:t>
      </w:r>
      <w:r w:rsidR="00B84207" w:rsidRPr="004C78D8">
        <w:t xml:space="preserve">(iii) </w:t>
      </w:r>
      <w:r w:rsidR="00EC4362" w:rsidRPr="004C78D8">
        <w:t xml:space="preserve">non-health consequences </w:t>
      </w:r>
      <w:r w:rsidR="00B84207" w:rsidRPr="004C78D8">
        <w:t>including financial protection, productivity</w:t>
      </w:r>
      <w:r w:rsidR="00F52CDD" w:rsidRPr="004C78D8">
        <w:t>,</w:t>
      </w:r>
      <w:r w:rsidR="00B84207" w:rsidRPr="004C78D8">
        <w:t xml:space="preserve"> and caregiving. The current model incorporated </w:t>
      </w:r>
      <w:r w:rsidR="006B287C" w:rsidRPr="004C78D8">
        <w:t>all three</w:t>
      </w:r>
      <w:r w:rsidR="00B84207" w:rsidRPr="004C78D8">
        <w:t xml:space="preserve"> consideration</w:t>
      </w:r>
      <w:r w:rsidR="00CB4BA7" w:rsidRPr="004C78D8">
        <w:t>s</w:t>
      </w:r>
      <w:r w:rsidR="00B84207" w:rsidRPr="004C78D8">
        <w:t xml:space="preserve">, conducting DCEAs delineated by SES quartile and frailty category </w:t>
      </w:r>
      <w:r w:rsidR="006B287C" w:rsidRPr="004C78D8">
        <w:t>for</w:t>
      </w:r>
      <w:r w:rsidR="00024FD5" w:rsidRPr="004C78D8">
        <w:t xml:space="preserve"> (i) and (ii), </w:t>
      </w:r>
      <w:r w:rsidR="00B84207" w:rsidRPr="004C78D8">
        <w:t xml:space="preserve">and tracking </w:t>
      </w:r>
      <w:r w:rsidR="006B287C" w:rsidRPr="004C78D8">
        <w:t xml:space="preserve">several non-health </w:t>
      </w:r>
      <w:r w:rsidR="00B84207" w:rsidRPr="004C78D8">
        <w:t xml:space="preserve">outcomes </w:t>
      </w:r>
      <w:r w:rsidR="006B287C" w:rsidRPr="004C78D8">
        <w:t>for</w:t>
      </w:r>
      <w:r w:rsidR="00B84207" w:rsidRPr="004C78D8">
        <w:t xml:space="preserve"> (iii). </w:t>
      </w:r>
      <w:r w:rsidR="0026365D" w:rsidRPr="004C78D8">
        <w:t xml:space="preserve">It also tracked the number of individuals enjoying ‘fair innings’, an outcome prioritised by Williams as an indicator </w:t>
      </w:r>
      <w:r w:rsidR="008618B2" w:rsidRPr="004C78D8">
        <w:t>of</w:t>
      </w:r>
      <w:r w:rsidR="0026365D" w:rsidRPr="004C78D8">
        <w:t xml:space="preserve"> </w:t>
      </w:r>
      <w:r w:rsidR="008618B2" w:rsidRPr="004C78D8">
        <w:t>health equity</w:t>
      </w:r>
      <w:r w:rsidR="0026365D" w:rsidRPr="004C78D8">
        <w:t xml:space="preserve"> </w:t>
      </w:r>
      <w:r w:rsidR="0026365D" w:rsidRPr="004C78D8">
        <w:fldChar w:fldCharType="begin"/>
      </w:r>
      <w:r w:rsidR="00C630FC" w:rsidRPr="004C78D8">
        <w:instrText xml:space="preserve"> ADDIN EN.CITE &lt;EndNote&gt;&lt;Cite&gt;&lt;Author&gt;Williams&lt;/Author&gt;&lt;Year&gt;1997&lt;/Year&gt;&lt;RecNum&gt;521&lt;/RecNum&gt;&lt;DisplayText&gt;[232]&lt;/DisplayText&gt;&lt;record&gt;&lt;rec-number&gt;521&lt;/rec-number&gt;&lt;foreign-keys&gt;&lt;key app="EN" db-id="tdtrdw9aepptzbefsat599syza29sxsd2wsp" timestamp="1618153077"&gt;521&lt;/key&gt;&lt;/foreign-keys&gt;&lt;ref-type name="Journal Article"&gt;17&lt;/ref-type&gt;&lt;contributors&gt;&lt;authors&gt;&lt;author&gt;Williams, Alan&lt;/author&gt;&lt;/authors&gt;&lt;/contributors&gt;&lt;titles&gt;&lt;title&gt;Intergenerational equity: an exploration of the ‘fair innings’ argument&lt;/title&gt;&lt;secondary-title&gt;Health economics&lt;/secondary-title&gt;&lt;/titles&gt;&lt;periodical&gt;&lt;full-title&gt;Health economics&lt;/full-title&gt;&lt;/periodical&gt;&lt;pages&gt;117-132&lt;/pages&gt;&lt;volume&gt;6&lt;/volume&gt;&lt;number&gt;2&lt;/number&gt;&lt;dates&gt;&lt;year&gt;1997&lt;/year&gt;&lt;/dates&gt;&lt;isbn&gt;1057-9230&lt;/isbn&gt;&lt;urls&gt;&lt;/urls&gt;&lt;/record&gt;&lt;/Cite&gt;&lt;/EndNote&gt;</w:instrText>
      </w:r>
      <w:r w:rsidR="0026365D" w:rsidRPr="004C78D8">
        <w:fldChar w:fldCharType="separate"/>
      </w:r>
      <w:r w:rsidR="00C630FC" w:rsidRPr="004C78D8">
        <w:rPr>
          <w:noProof/>
        </w:rPr>
        <w:t>[232]</w:t>
      </w:r>
      <w:r w:rsidR="0026365D" w:rsidRPr="004C78D8">
        <w:fldChar w:fldCharType="end"/>
      </w:r>
      <w:r w:rsidR="003240B2" w:rsidRPr="004C78D8">
        <w:t>, and the intervention user</w:t>
      </w:r>
      <w:r w:rsidR="00F52CDD" w:rsidRPr="004C78D8">
        <w:t xml:space="preserve"> profile</w:t>
      </w:r>
      <w:r w:rsidR="003240B2" w:rsidRPr="004C78D8">
        <w:t xml:space="preserve">s which can </w:t>
      </w:r>
      <w:r w:rsidR="00F52CDD" w:rsidRPr="004C78D8">
        <w:t>assess</w:t>
      </w:r>
      <w:r w:rsidR="003240B2" w:rsidRPr="004C78D8">
        <w:t xml:space="preserve"> equity in healthcare access.</w:t>
      </w:r>
      <w:r w:rsidR="008618B2" w:rsidRPr="004C78D8">
        <w:t xml:space="preserve"> </w:t>
      </w:r>
      <w:r w:rsidR="00024FD5" w:rsidRPr="004C78D8">
        <w:t>T</w:t>
      </w:r>
      <w:r w:rsidR="008618B2" w:rsidRPr="004C78D8">
        <w:t xml:space="preserve">he number of individuals experiencing catastrophic private care expenditure was </w:t>
      </w:r>
      <w:r w:rsidR="00024FD5" w:rsidRPr="004C78D8">
        <w:t>emphasised</w:t>
      </w:r>
      <w:r w:rsidR="008618B2" w:rsidRPr="004C78D8">
        <w:t xml:space="preserve"> by the ECEA framework </w:t>
      </w:r>
      <w:r w:rsidR="008618B2" w:rsidRPr="004C78D8">
        <w:fldChar w:fldCharType="begin"/>
      </w:r>
      <w:r w:rsidR="00513646" w:rsidRPr="004C78D8">
        <w:instrText xml:space="preserve"> ADDIN EN.CITE &lt;EndNote&gt;&lt;Cite&gt;&lt;Author&gt;Verguet&lt;/Author&gt;&lt;Year&gt;2016&lt;/Year&gt;&lt;RecNum&gt;437&lt;/RecNum&gt;&lt;DisplayText&gt;[72]&lt;/DisplayText&gt;&lt;record&gt;&lt;rec-number&gt;437&lt;/rec-number&gt;&lt;foreign-keys&gt;&lt;key app="EN" db-id="tdtrdw9aepptzbefsat599syza29sxsd2wsp" timestamp="1616427053"&gt;437&lt;/key&gt;&lt;/foreign-keys&gt;&lt;ref-type name="Journal Article"&gt;17&lt;/ref-type&gt;&lt;contributors&gt;&lt;authors&gt;&lt;author&gt;Verguet, Stéphane&lt;/author&gt;&lt;author&gt;Kim, Jane J&lt;/author&gt;&lt;author&gt;Jamison, Dean T&lt;/author&gt;&lt;/authors&gt;&lt;/contributors&gt;&lt;titles&gt;&lt;title&gt;Extended cost-effectiveness analysis for health policy assessment: a tutorial&lt;/title&gt;&lt;secondary-title&gt;Pharmacoeconomics&lt;/secondary-title&gt;&lt;/titles&gt;&lt;periodical&gt;&lt;full-title&gt;PharmacoEconomics&lt;/full-title&gt;&lt;/periodical&gt;&lt;pages&gt;913-923&lt;/pages&gt;&lt;volume&gt;34&lt;/volume&gt;&lt;number&gt;9&lt;/number&gt;&lt;dates&gt;&lt;year&gt;2016&lt;/year&gt;&lt;/dates&gt;&lt;isbn&gt;1170-7690&lt;/isbn&gt;&lt;urls&gt;&lt;/urls&gt;&lt;/record&gt;&lt;/Cite&gt;&lt;/EndNote&gt;</w:instrText>
      </w:r>
      <w:r w:rsidR="008618B2" w:rsidRPr="004C78D8">
        <w:fldChar w:fldCharType="separate"/>
      </w:r>
      <w:r w:rsidR="00513646" w:rsidRPr="004C78D8">
        <w:rPr>
          <w:noProof/>
        </w:rPr>
        <w:t>[72]</w:t>
      </w:r>
      <w:r w:rsidR="008618B2" w:rsidRPr="004C78D8">
        <w:fldChar w:fldCharType="end"/>
      </w:r>
      <w:r w:rsidR="008618B2" w:rsidRPr="004C78D8">
        <w:t xml:space="preserve">. </w:t>
      </w:r>
      <w:r w:rsidR="00024FD5" w:rsidRPr="004C78D8">
        <w:t>I</w:t>
      </w:r>
      <w:r w:rsidR="008618B2" w:rsidRPr="004C78D8">
        <w:t>ncrease</w:t>
      </w:r>
      <w:r w:rsidR="00024FD5" w:rsidRPr="004C78D8">
        <w:t>s</w:t>
      </w:r>
      <w:r w:rsidR="008618B2" w:rsidRPr="004C78D8">
        <w:t xml:space="preserve"> in this number </w:t>
      </w:r>
      <w:r w:rsidR="00024FD5" w:rsidRPr="004C78D8">
        <w:t>in several intervention scenarios indicate</w:t>
      </w:r>
      <w:r w:rsidR="008618B2" w:rsidRPr="004C78D8">
        <w:t xml:space="preserve"> the </w:t>
      </w:r>
      <w:r w:rsidR="00891ECE" w:rsidRPr="004C78D8">
        <w:t xml:space="preserve">outcome’s </w:t>
      </w:r>
      <w:r w:rsidR="008618B2" w:rsidRPr="004C78D8">
        <w:t xml:space="preserve">relevance even in </w:t>
      </w:r>
      <w:r w:rsidR="00891ECE" w:rsidRPr="004C78D8">
        <w:t xml:space="preserve">a </w:t>
      </w:r>
      <w:r w:rsidR="008618B2" w:rsidRPr="004C78D8">
        <w:t>developed country setting.</w:t>
      </w:r>
      <w:r w:rsidR="00024FD5" w:rsidRPr="004C78D8">
        <w:t xml:space="preserve"> </w:t>
      </w:r>
      <w:r w:rsidR="005A56F3" w:rsidRPr="004C78D8">
        <w:t xml:space="preserve">Subgroup analyses identified further priority setting challenges, such as the decrease in the cost-effectiveness of RC vs. UC with age. </w:t>
      </w:r>
      <w:r w:rsidR="00907A40" w:rsidRPr="004C78D8">
        <w:t>T</w:t>
      </w:r>
      <w:r w:rsidR="001309ED" w:rsidRPr="004C78D8">
        <w:t>hat a single model incorporate</w:t>
      </w:r>
      <w:r w:rsidR="005A56F3" w:rsidRPr="004C78D8">
        <w:t>d</w:t>
      </w:r>
      <w:r w:rsidR="00CB4BA7" w:rsidRPr="004C78D8">
        <w:t xml:space="preserve"> </w:t>
      </w:r>
      <w:r w:rsidR="00024FD5" w:rsidRPr="004C78D8">
        <w:t xml:space="preserve">multiple </w:t>
      </w:r>
      <w:r w:rsidR="00CB4BA7" w:rsidRPr="004C78D8">
        <w:t>equity criteria</w:t>
      </w:r>
      <w:r w:rsidR="00B94BFE" w:rsidRPr="004C78D8">
        <w:t xml:space="preserve"> </w:t>
      </w:r>
      <w:r w:rsidR="00907A40" w:rsidRPr="004C78D8">
        <w:t xml:space="preserve">represents a major methodological advance: no previous model </w:t>
      </w:r>
      <w:r w:rsidR="001B59DA" w:rsidRPr="004C78D8">
        <w:t xml:space="preserve">in this area </w:t>
      </w:r>
      <w:r w:rsidR="00907A40" w:rsidRPr="004C78D8">
        <w:t xml:space="preserve">conducted equity analysis (Section </w:t>
      </w:r>
      <w:r w:rsidR="00891ECE" w:rsidRPr="004C78D8">
        <w:t>4</w:t>
      </w:r>
      <w:r w:rsidR="00907A40" w:rsidRPr="004C78D8">
        <w:t>.5.3.4)</w:t>
      </w:r>
      <w:r w:rsidR="00024FD5" w:rsidRPr="004C78D8">
        <w:t xml:space="preserve">. </w:t>
      </w:r>
    </w:p>
    <w:p w14:paraId="4D13FABA" w14:textId="15271341" w:rsidR="006A41A9" w:rsidRPr="004C78D8" w:rsidRDefault="006A41A9" w:rsidP="00FB7C1F">
      <w:pPr>
        <w:rPr>
          <w:b/>
          <w:bCs/>
          <w:i/>
          <w:iCs/>
        </w:rPr>
      </w:pPr>
      <w:r w:rsidRPr="004C78D8">
        <w:rPr>
          <w:b/>
          <w:bCs/>
          <w:i/>
          <w:iCs/>
        </w:rPr>
        <w:t>(</w:t>
      </w:r>
      <w:r w:rsidR="00846E4D" w:rsidRPr="004C78D8">
        <w:rPr>
          <w:b/>
          <w:bCs/>
          <w:i/>
          <w:iCs/>
        </w:rPr>
        <w:t>KC15</w:t>
      </w:r>
      <w:r w:rsidRPr="004C78D8">
        <w:rPr>
          <w:b/>
          <w:bCs/>
          <w:i/>
          <w:iCs/>
        </w:rPr>
        <w:t>) The current model characterised causal mechanisms generating the equity-relevant outcomes and evaluated supplementary policies that address them.</w:t>
      </w:r>
    </w:p>
    <w:p w14:paraId="4D24A8AE" w14:textId="40BD609E" w:rsidR="00E53E95" w:rsidRPr="004C78D8" w:rsidRDefault="000C212D" w:rsidP="00FB7C1F">
      <w:r w:rsidRPr="004C78D8">
        <w:t xml:space="preserve">The </w:t>
      </w:r>
      <w:r w:rsidR="00E53E95" w:rsidRPr="004C78D8">
        <w:t xml:space="preserve">current model </w:t>
      </w:r>
      <w:r w:rsidRPr="004C78D8">
        <w:t>explore</w:t>
      </w:r>
      <w:r w:rsidR="00E53E95" w:rsidRPr="004C78D8">
        <w:t>d</w:t>
      </w:r>
      <w:r w:rsidRPr="004C78D8">
        <w:t xml:space="preserve"> </w:t>
      </w:r>
      <w:r w:rsidR="00E53E95" w:rsidRPr="004C78D8">
        <w:t xml:space="preserve">and evaluated </w:t>
      </w:r>
      <w:r w:rsidR="002524EB" w:rsidRPr="004C78D8">
        <w:t xml:space="preserve">the </w:t>
      </w:r>
      <w:r w:rsidRPr="004C78D8">
        <w:t xml:space="preserve">causal mechanisms </w:t>
      </w:r>
      <w:r w:rsidR="003A019D" w:rsidRPr="004C78D8">
        <w:t xml:space="preserve">generating the </w:t>
      </w:r>
      <w:r w:rsidRPr="004C78D8">
        <w:t>equity-relevant</w:t>
      </w:r>
      <w:r w:rsidR="003A019D" w:rsidRPr="004C78D8">
        <w:t xml:space="preserve"> outcomes</w:t>
      </w:r>
      <w:r w:rsidRPr="004C78D8">
        <w:t xml:space="preserve">, namely the </w:t>
      </w:r>
      <w:r w:rsidR="002524EB" w:rsidRPr="004C78D8">
        <w:t xml:space="preserve">life expectancy differential </w:t>
      </w:r>
      <w:r w:rsidR="0029155A" w:rsidRPr="004C78D8">
        <w:t xml:space="preserve">(LED) </w:t>
      </w:r>
      <w:r w:rsidR="002524EB" w:rsidRPr="004C78D8">
        <w:t xml:space="preserve">and the double jeopardy </w:t>
      </w:r>
      <w:r w:rsidR="0029155A" w:rsidRPr="004C78D8">
        <w:t xml:space="preserve">(DJ) </w:t>
      </w:r>
      <w:r w:rsidR="002524EB" w:rsidRPr="004C78D8">
        <w:t xml:space="preserve">problems that result in vulnerable groups’ </w:t>
      </w:r>
      <w:r w:rsidRPr="004C78D8">
        <w:t xml:space="preserve">reduced capacity to benefit </w:t>
      </w:r>
      <w:r w:rsidR="002524EB" w:rsidRPr="004C78D8">
        <w:t>from interventions</w:t>
      </w:r>
      <w:r w:rsidRPr="004C78D8">
        <w:t xml:space="preserve">. </w:t>
      </w:r>
      <w:r w:rsidR="00E53E95" w:rsidRPr="004C78D8">
        <w:t>R</w:t>
      </w:r>
      <w:r w:rsidR="002524EB" w:rsidRPr="004C78D8">
        <w:t xml:space="preserve">educing the </w:t>
      </w:r>
      <w:r w:rsidR="00E53E95" w:rsidRPr="004C78D8">
        <w:t>LED</w:t>
      </w:r>
      <w:r w:rsidR="002524EB" w:rsidRPr="004C78D8">
        <w:t xml:space="preserve"> </w:t>
      </w:r>
      <w:r w:rsidR="00E53E95" w:rsidRPr="004C78D8">
        <w:t xml:space="preserve">problem </w:t>
      </w:r>
      <w:r w:rsidR="002524EB" w:rsidRPr="004C78D8">
        <w:t xml:space="preserve">across frailty categories in Section </w:t>
      </w:r>
      <w:r w:rsidR="00A24D42" w:rsidRPr="004C78D8">
        <w:t>6</w:t>
      </w:r>
      <w:r w:rsidR="002524EB" w:rsidRPr="004C78D8">
        <w:t>.</w:t>
      </w:r>
      <w:r w:rsidR="00A24D42" w:rsidRPr="004C78D8">
        <w:t>2</w:t>
      </w:r>
      <w:r w:rsidR="002524EB" w:rsidRPr="004C78D8">
        <w:t>.</w:t>
      </w:r>
      <w:r w:rsidR="00A24D42" w:rsidRPr="004C78D8">
        <w:t>5</w:t>
      </w:r>
      <w:r w:rsidR="002524EB" w:rsidRPr="004C78D8">
        <w:t>.</w:t>
      </w:r>
      <w:r w:rsidR="00A24D42" w:rsidRPr="004C78D8">
        <w:t>6</w:t>
      </w:r>
      <w:r w:rsidR="002524EB" w:rsidRPr="004C78D8">
        <w:t xml:space="preserve"> produced only modest equity improvements relative to </w:t>
      </w:r>
      <w:r w:rsidR="00724DBE" w:rsidRPr="004C78D8">
        <w:t xml:space="preserve">the </w:t>
      </w:r>
      <w:r w:rsidR="002524EB" w:rsidRPr="004C78D8">
        <w:t xml:space="preserve">base case. </w:t>
      </w:r>
      <w:r w:rsidR="00724DBE" w:rsidRPr="004C78D8">
        <w:t xml:space="preserve">In fact, general life expectancy improvement across all frailty categories in Section </w:t>
      </w:r>
      <w:r w:rsidR="00A24D42" w:rsidRPr="004C78D8">
        <w:t>6</w:t>
      </w:r>
      <w:r w:rsidR="00724DBE" w:rsidRPr="004C78D8">
        <w:t>.</w:t>
      </w:r>
      <w:r w:rsidR="00A24D42" w:rsidRPr="004C78D8">
        <w:t>2</w:t>
      </w:r>
      <w:r w:rsidR="00724DBE" w:rsidRPr="004C78D8">
        <w:t>.</w:t>
      </w:r>
      <w:r w:rsidR="00A24D42" w:rsidRPr="004C78D8">
        <w:t>5</w:t>
      </w:r>
      <w:r w:rsidR="00724DBE" w:rsidRPr="004C78D8">
        <w:t>.</w:t>
      </w:r>
      <w:r w:rsidR="00A24D42" w:rsidRPr="004C78D8">
        <w:t>5</w:t>
      </w:r>
      <w:r w:rsidR="00724DBE" w:rsidRPr="004C78D8">
        <w:t xml:space="preserve"> produced greater equity improvements. Meanwhile</w:t>
      </w:r>
      <w:r w:rsidR="002524EB" w:rsidRPr="004C78D8">
        <w:t xml:space="preserve">, removing the </w:t>
      </w:r>
      <w:r w:rsidR="0029155A" w:rsidRPr="004C78D8">
        <w:t>DJ</w:t>
      </w:r>
      <w:r w:rsidR="002524EB" w:rsidRPr="004C78D8">
        <w:t xml:space="preserve"> problem in Section </w:t>
      </w:r>
      <w:r w:rsidR="00A24D42" w:rsidRPr="004C78D8">
        <w:t>6</w:t>
      </w:r>
      <w:r w:rsidR="002524EB" w:rsidRPr="004C78D8">
        <w:t>.3.</w:t>
      </w:r>
      <w:r w:rsidR="00A24D42" w:rsidRPr="004C78D8">
        <w:t>1</w:t>
      </w:r>
      <w:r w:rsidR="002524EB" w:rsidRPr="004C78D8">
        <w:t xml:space="preserve">.4 through public sector coverage of </w:t>
      </w:r>
      <w:r w:rsidR="0029155A" w:rsidRPr="004C78D8">
        <w:t xml:space="preserve">societal intervention costs </w:t>
      </w:r>
      <w:r w:rsidR="003E1AF6" w:rsidRPr="004C78D8">
        <w:t>incurred by</w:t>
      </w:r>
      <w:r w:rsidR="0029155A" w:rsidRPr="004C78D8">
        <w:t xml:space="preserve"> socially vulnerable groups brought marked equity improvements. </w:t>
      </w:r>
      <w:r w:rsidR="00C25E44" w:rsidRPr="004C78D8">
        <w:t xml:space="preserve">These suggest that </w:t>
      </w:r>
      <w:r w:rsidR="00A24D42" w:rsidRPr="004C78D8">
        <w:t>for</w:t>
      </w:r>
      <w:r w:rsidR="00C25E44" w:rsidRPr="004C78D8">
        <w:t xml:space="preserve"> falls prevention, the DJ problem is a more significant contributor to SES-delineated </w:t>
      </w:r>
      <w:r w:rsidR="00E53E95" w:rsidRPr="004C78D8">
        <w:t>in</w:t>
      </w:r>
      <w:r w:rsidR="00C25E44" w:rsidRPr="004C78D8">
        <w:t xml:space="preserve">equity than </w:t>
      </w:r>
      <w:r w:rsidR="00A24D42" w:rsidRPr="004C78D8">
        <w:t>LED</w:t>
      </w:r>
      <w:r w:rsidR="00C25E44" w:rsidRPr="004C78D8">
        <w:t>.</w:t>
      </w:r>
      <w:r w:rsidR="00724DBE" w:rsidRPr="004C78D8">
        <w:t xml:space="preserve"> </w:t>
      </w:r>
    </w:p>
    <w:p w14:paraId="40A8DDC0" w14:textId="4C7F73AA" w:rsidR="002524EB" w:rsidRPr="004C78D8" w:rsidRDefault="00E53E95" w:rsidP="00FB7C1F">
      <w:r w:rsidRPr="004C78D8">
        <w:t>Given the equity-relevant outcomes,</w:t>
      </w:r>
      <w:r w:rsidR="00015AE0" w:rsidRPr="004C78D8">
        <w:t xml:space="preserve"> supplementary </w:t>
      </w:r>
      <w:r w:rsidR="00724DBE" w:rsidRPr="004C78D8">
        <w:t xml:space="preserve">policies can be </w:t>
      </w:r>
      <w:r w:rsidR="00C3261F" w:rsidRPr="004C78D8">
        <w:t xml:space="preserve">designed </w:t>
      </w:r>
      <w:r w:rsidR="00724DBE" w:rsidRPr="004C78D8">
        <w:t xml:space="preserve">accordingly. Hence, </w:t>
      </w:r>
      <w:r w:rsidR="00015AE0" w:rsidRPr="004C78D8">
        <w:t xml:space="preserve">a welfare policy that supports the income of socially vulnerable seniors </w:t>
      </w:r>
      <w:r w:rsidRPr="004C78D8">
        <w:t>should</w:t>
      </w:r>
      <w:r w:rsidR="00015AE0" w:rsidRPr="004C78D8">
        <w:t xml:space="preserve"> be </w:t>
      </w:r>
      <w:r w:rsidRPr="004C78D8">
        <w:t>prioritised</w:t>
      </w:r>
      <w:r w:rsidR="00015AE0" w:rsidRPr="004C78D8">
        <w:t xml:space="preserve"> to reduce the DJ problem. Earlier-life prevention that extends life expectancy </w:t>
      </w:r>
      <w:r w:rsidR="00362DAF" w:rsidRPr="004C78D8">
        <w:t xml:space="preserve">universally </w:t>
      </w:r>
      <w:r w:rsidR="00015AE0" w:rsidRPr="004C78D8">
        <w:t>would play a</w:t>
      </w:r>
      <w:r w:rsidR="00362DAF" w:rsidRPr="004C78D8">
        <w:t>n</w:t>
      </w:r>
      <w:r w:rsidR="00015AE0" w:rsidRPr="004C78D8">
        <w:t xml:space="preserve"> </w:t>
      </w:r>
      <w:r w:rsidR="00362DAF" w:rsidRPr="004C78D8">
        <w:t xml:space="preserve">additional </w:t>
      </w:r>
      <w:r w:rsidR="00015AE0" w:rsidRPr="004C78D8">
        <w:t>role.</w:t>
      </w:r>
      <w:r w:rsidR="00262D0C" w:rsidRPr="004C78D8">
        <w:t xml:space="preserve"> </w:t>
      </w:r>
      <w:r w:rsidR="00362DAF" w:rsidRPr="004C78D8">
        <w:t>E</w:t>
      </w:r>
      <w:r w:rsidR="00262D0C" w:rsidRPr="004C78D8">
        <w:t xml:space="preserve">valuation of the causal mechanisms </w:t>
      </w:r>
      <w:r w:rsidR="00362DAF" w:rsidRPr="004C78D8">
        <w:t>for</w:t>
      </w:r>
      <w:r w:rsidR="00262D0C" w:rsidRPr="004C78D8">
        <w:t xml:space="preserve"> equity-relevant outcomes and discussion around corresponding policy solutions constitute a major methodological advance: only one group of models from the same research team assessed the causal mechanism for differential outcomes across </w:t>
      </w:r>
      <w:r w:rsidR="0031750C" w:rsidRPr="004C78D8">
        <w:t xml:space="preserve">sex and </w:t>
      </w:r>
      <w:r w:rsidR="00262D0C" w:rsidRPr="004C78D8">
        <w:t xml:space="preserve">ethnicity in New Zealand </w:t>
      </w:r>
      <w:r w:rsidR="00262D0C" w:rsidRPr="004C78D8">
        <w:fldChar w:fldCharType="begin">
          <w:fldData xml:space="preserve">PEVuZE5vdGU+PENpdGU+PEF1dGhvcj5QZWdhPC9BdXRob3I+PFllYXI+MjAxNjwvWWVhcj48UmVj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</w:fldData>
        </w:fldChar>
      </w:r>
      <w:r w:rsidR="00C630FC" w:rsidRPr="004C78D8">
        <w:instrText xml:space="preserve"> ADDIN EN.CITE </w:instrText>
      </w:r>
      <w:r w:rsidR="00C630FC" w:rsidRPr="004C78D8">
        <w:fldChar w:fldCharType="begin">
          <w:fldData xml:space="preserve">PEVuZE5vdGU+PENpdGU+PEF1dGhvcj5QZWdhPC9BdXRob3I+PFllYXI+MjAxNjwvWWVhcj48UmVj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</w:fldData>
        </w:fldChar>
      </w:r>
      <w:r w:rsidR="00C630FC" w:rsidRPr="004C78D8">
        <w:instrText xml:space="preserve"> ADDIN EN.CITE.DATA </w:instrText>
      </w:r>
      <w:r w:rsidR="00C630FC" w:rsidRPr="004C78D8">
        <w:fldChar w:fldCharType="end"/>
      </w:r>
      <w:r w:rsidR="00262D0C" w:rsidRPr="004C78D8">
        <w:fldChar w:fldCharType="separate"/>
      </w:r>
      <w:r w:rsidR="00C630FC" w:rsidRPr="004C78D8">
        <w:rPr>
          <w:noProof/>
        </w:rPr>
        <w:t>[206, 241, 337, 361]</w:t>
      </w:r>
      <w:r w:rsidR="00262D0C" w:rsidRPr="004C78D8">
        <w:fldChar w:fldCharType="end"/>
      </w:r>
      <w:r w:rsidR="0031750C" w:rsidRPr="004C78D8">
        <w:t>, and this was unaccompanied by discussions on strategies that addressed the mechanism.</w:t>
      </w:r>
    </w:p>
    <w:p w14:paraId="199D341A" w14:textId="77777777" w:rsidR="00074D2A" w:rsidRPr="004C78D8" w:rsidRDefault="00074D2A" w:rsidP="00FB7C1F"/>
    <w:p w14:paraId="5BA370B5" w14:textId="66DB1617" w:rsidR="00394FD4" w:rsidRPr="004C78D8" w:rsidRDefault="008D51CC" w:rsidP="00FB7C1F">
      <w:pPr>
        <w:pStyle w:val="Heading2"/>
      </w:pPr>
      <w:bookmarkStart w:id="229" w:name="_Toc111630813"/>
      <w:r w:rsidRPr="004C78D8">
        <w:t>7</w:t>
      </w:r>
      <w:r w:rsidR="00F406A3" w:rsidRPr="004C78D8">
        <w:t>.</w:t>
      </w:r>
      <w:r w:rsidR="00074D2A" w:rsidRPr="004C78D8">
        <w:t>3</w:t>
      </w:r>
      <w:r w:rsidR="00F406A3" w:rsidRPr="004C78D8">
        <w:t xml:space="preserve"> Implications </w:t>
      </w:r>
      <w:r w:rsidR="00997B05" w:rsidRPr="004C78D8">
        <w:t>for further</w:t>
      </w:r>
      <w:r w:rsidR="00F406A3" w:rsidRPr="004C78D8">
        <w:t xml:space="preserve"> geriatric public health </w:t>
      </w:r>
      <w:r w:rsidR="001E395A" w:rsidRPr="004C78D8">
        <w:t>economic modelling</w:t>
      </w:r>
      <w:bookmarkEnd w:id="229"/>
    </w:p>
    <w:p w14:paraId="3AB26DA9" w14:textId="1388AB0C" w:rsidR="00ED7DF1" w:rsidRPr="004C78D8" w:rsidRDefault="00B93769" w:rsidP="00FB7C1F">
      <w:r w:rsidRPr="004C78D8">
        <w:t xml:space="preserve">Falls are not the only geriatric syndrome </w:t>
      </w:r>
      <w:r w:rsidR="00FD167B" w:rsidRPr="004C78D8">
        <w:t xml:space="preserve">deserving policy attention </w:t>
      </w:r>
      <w:r w:rsidRPr="004C78D8">
        <w:fldChar w:fldCharType="begin"/>
      </w:r>
      <w:r w:rsidR="00513646" w:rsidRPr="004C78D8">
        <w:instrText xml:space="preserve"> ADDIN EN.CITE &lt;EndNote&gt;&lt;Cite&gt;&lt;Author&gt;Inouye&lt;/Author&gt;&lt;Year&gt;2007&lt;/Year&gt;&lt;RecNum&gt;160&lt;/RecNum&gt;&lt;DisplayText&gt;[19]&lt;/DisplayText&gt;&lt;record&gt;&lt;rec-number&gt;160&lt;/rec-number&gt;&lt;foreign-keys&gt;&lt;key app="EN" db-id="tdtrdw9aepptzbefsat599syza29sxsd2wsp" timestamp="1609258074"&gt;160&lt;/key&gt;&lt;/foreign-keys&gt;&lt;ref-type name="Journal Article"&gt;17&lt;/ref-type&gt;&lt;contributors&gt;&lt;authors&gt;&lt;author&gt;Inouye, Sharon K&lt;/author&gt;&lt;author&gt;Studenski, Stephanie&lt;/author&gt;&lt;author&gt;Tinetti, Mary E&lt;/author&gt;&lt;author&gt;Kuchel, George A&lt;/author&gt;&lt;/authors&gt;&lt;/contributors&gt;&lt;titles&gt;&lt;title&gt;Geriatric Syndromes: Clinical, Research, and Policy Implications of a Core Geriatric Concept&lt;/title&gt;&lt;secondary-title&gt;Journal of the American Geriatrics Society&lt;/secondary-title&gt;&lt;/titles&gt;&lt;periodical&gt;&lt;full-title&gt;Journal of the American Geriatrics Society&lt;/full-title&gt;&lt;/periodical&gt;&lt;pages&gt;780-791&lt;/pages&gt;&lt;volume&gt;55&lt;/volume&gt;&lt;number&gt;5&lt;/number&gt;&lt;dates&gt;&lt;year&gt;2007&lt;/year&gt;&lt;/dates&gt;&lt;isbn&gt;0002-8614&lt;/isbn&gt;&lt;urls&gt;&lt;/urls&gt;&lt;/record&gt;&lt;/Cite&gt;&lt;/EndNote&gt;</w:instrText>
      </w:r>
      <w:r w:rsidRPr="004C78D8">
        <w:fldChar w:fldCharType="separate"/>
      </w:r>
      <w:r w:rsidR="00513646" w:rsidRPr="004C78D8">
        <w:rPr>
          <w:noProof/>
        </w:rPr>
        <w:t>[19]</w:t>
      </w:r>
      <w:r w:rsidRPr="004C78D8">
        <w:fldChar w:fldCharType="end"/>
      </w:r>
      <w:r w:rsidR="00FD167B" w:rsidRPr="004C78D8">
        <w:t>, and geriatric public health interventions such as exercise</w:t>
      </w:r>
      <w:r w:rsidR="00044185" w:rsidRPr="004C78D8">
        <w:t xml:space="preserve"> have shown </w:t>
      </w:r>
      <w:r w:rsidR="00FD167B" w:rsidRPr="004C78D8">
        <w:t xml:space="preserve">effectiveness </w:t>
      </w:r>
      <w:r w:rsidR="00F4175B" w:rsidRPr="004C78D8">
        <w:t>in</w:t>
      </w:r>
      <w:r w:rsidR="00044185" w:rsidRPr="004C78D8">
        <w:t xml:space="preserve"> </w:t>
      </w:r>
      <w:r w:rsidR="00FD167B" w:rsidRPr="004C78D8">
        <w:t xml:space="preserve">preventing </w:t>
      </w:r>
      <w:r w:rsidR="00DE15FF" w:rsidRPr="004C78D8">
        <w:t>many more</w:t>
      </w:r>
      <w:r w:rsidR="00FD167B" w:rsidRPr="004C78D8">
        <w:t xml:space="preserve"> adverse outcomes including </w:t>
      </w:r>
      <w:r w:rsidR="00044185" w:rsidRPr="004C78D8">
        <w:t xml:space="preserve">frailty </w:t>
      </w:r>
      <w:r w:rsidR="00044185" w:rsidRPr="004C78D8">
        <w:fldChar w:fldCharType="begin">
          <w:fldData xml:space="preserve">PEVuZE5vdGU+PENpdGU+PEF1dGhvcj5kZSBWcmllczwvQXV0aG9yPjxZZWFyPjIwMTI8L1llYXI+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</w:fldData>
        </w:fldChar>
      </w:r>
      <w:r w:rsidR="00A2699D" w:rsidRPr="004C78D8">
        <w:instrText xml:space="preserve"> ADDIN EN.CITE </w:instrText>
      </w:r>
      <w:r w:rsidR="00A2699D" w:rsidRPr="004C78D8">
        <w:fldChar w:fldCharType="begin">
          <w:fldData xml:space="preserve">PEVuZE5vdGU+PENpdGU+PEF1dGhvcj5kZSBWcmllczwvQXV0aG9yPjxZZWFyPjIwMTI8L1llYXI+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</w:fldData>
        </w:fldChar>
      </w:r>
      <w:r w:rsidR="00A2699D" w:rsidRPr="004C78D8">
        <w:instrText xml:space="preserve"> ADDIN EN.CITE.DATA </w:instrText>
      </w:r>
      <w:r w:rsidR="00A2699D" w:rsidRPr="004C78D8">
        <w:fldChar w:fldCharType="end"/>
      </w:r>
      <w:r w:rsidR="00044185" w:rsidRPr="004C78D8">
        <w:fldChar w:fldCharType="separate"/>
      </w:r>
      <w:r w:rsidR="00A2699D" w:rsidRPr="004C78D8">
        <w:rPr>
          <w:noProof/>
        </w:rPr>
        <w:t>[320, 427]</w:t>
      </w:r>
      <w:r w:rsidR="00044185" w:rsidRPr="004C78D8">
        <w:fldChar w:fldCharType="end"/>
      </w:r>
      <w:r w:rsidR="00044185" w:rsidRPr="004C78D8">
        <w:t xml:space="preserve">, functional limitations </w:t>
      </w:r>
      <w:r w:rsidR="00044185" w:rsidRPr="004C78D8">
        <w:fldChar w:fldCharType="begin">
          <w:fldData xml:space="preserve">PEVuZE5vdGU+PENpdGU+PEF1dGhvcj5MYW5kaTwvQXV0aG9yPjxZZWFyPjIwMTA8L1llYXI+PFJl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</w:fldData>
        </w:fldChar>
      </w:r>
      <w:r w:rsidR="00A2699D" w:rsidRPr="004C78D8">
        <w:instrText xml:space="preserve"> ADDIN EN.CITE </w:instrText>
      </w:r>
      <w:r w:rsidR="00A2699D" w:rsidRPr="004C78D8">
        <w:fldChar w:fldCharType="begin">
          <w:fldData xml:space="preserve">PEVuZE5vdGU+PENpdGU+PEF1dGhvcj5MYW5kaTwvQXV0aG9yPjxZZWFyPjIwMTA8L1llYXI+PFJl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</w:fldData>
        </w:fldChar>
      </w:r>
      <w:r w:rsidR="00A2699D" w:rsidRPr="004C78D8">
        <w:instrText xml:space="preserve"> ADDIN EN.CITE.DATA </w:instrText>
      </w:r>
      <w:r w:rsidR="00A2699D" w:rsidRPr="004C78D8">
        <w:fldChar w:fldCharType="end"/>
      </w:r>
      <w:r w:rsidR="00044185" w:rsidRPr="004C78D8">
        <w:fldChar w:fldCharType="separate"/>
      </w:r>
      <w:r w:rsidR="00A2699D" w:rsidRPr="004C78D8">
        <w:rPr>
          <w:noProof/>
        </w:rPr>
        <w:t>[428-430]</w:t>
      </w:r>
      <w:r w:rsidR="00044185" w:rsidRPr="004C78D8">
        <w:fldChar w:fldCharType="end"/>
      </w:r>
      <w:r w:rsidR="00044185" w:rsidRPr="004C78D8">
        <w:t xml:space="preserve">, and mortality </w:t>
      </w:r>
      <w:r w:rsidR="00044185" w:rsidRPr="004C78D8">
        <w:fldChar w:fldCharType="begin"/>
      </w:r>
      <w:r w:rsidR="00A2699D" w:rsidRPr="004C78D8">
        <w:instrText xml:space="preserve"> ADDIN EN.CITE &lt;EndNote&gt;&lt;Cite&gt;&lt;Author&gt;Arem&lt;/Author&gt;&lt;Year&gt;2015&lt;/Year&gt;&lt;RecNum&gt;473&lt;/RecNum&gt;&lt;DisplayText&gt;[431]&lt;/DisplayText&gt;&lt;record&gt;&lt;rec-number&gt;473&lt;/rec-number&gt;&lt;foreign-keys&gt;&lt;key app="EN" db-id="tdtrdw9aepptzbefsat599syza29sxsd2wsp" timestamp="1616512662"&gt;473&lt;/key&gt;&lt;/foreign-keys&gt;&lt;ref-type name="Journal Article"&gt;17&lt;/ref-type&gt;&lt;contributors&gt;&lt;authors&gt;&lt;author&gt;Arem, Hannah&lt;/author&gt;&lt;author&gt;Moore, Steven C&lt;/author&gt;&lt;author&gt;Patel, Alpa&lt;/author&gt;&lt;author&gt;Hartge, Patricia&lt;/author&gt;&lt;author&gt;De Gonzalez, Amy Berrington&lt;/author&gt;&lt;author&gt;Visvanathan, Kala&lt;/author&gt;&lt;author&gt;Campbell, Peter T&lt;/author&gt;&lt;author&gt;Freedman, Michal&lt;/author&gt;&lt;author&gt;Weiderpass, Elisabete&lt;/author&gt;&lt;author&gt;Adami, Hans Olov&lt;/author&gt;&lt;/authors&gt;&lt;/contributors&gt;&lt;titles&gt;&lt;title&gt;Leisure time physical activity and mortality: a detailed pooled analysis of the dose-response relationship&lt;/title&gt;&lt;secondary-title&gt;JAMA internal medicine&lt;/secondary-title&gt;&lt;/titles&gt;&lt;periodical&gt;&lt;full-title&gt;JAMA Intern Med&lt;/full-title&gt;&lt;abbr-1&gt;JAMA internal medicine&lt;/abbr-1&gt;&lt;/periodical&gt;&lt;pages&gt;959-967&lt;/pages&gt;&lt;volume&gt;175&lt;/volume&gt;&lt;number&gt;6&lt;/number&gt;&lt;dates&gt;&lt;year&gt;2015&lt;/year&gt;&lt;/dates&gt;&lt;isbn&gt;2168-6106&lt;/isbn&gt;&lt;urls&gt;&lt;/urls&gt;&lt;/record&gt;&lt;/Cite&gt;&lt;/EndNote&gt;</w:instrText>
      </w:r>
      <w:r w:rsidR="00044185" w:rsidRPr="004C78D8">
        <w:fldChar w:fldCharType="separate"/>
      </w:r>
      <w:r w:rsidR="00A2699D" w:rsidRPr="004C78D8">
        <w:rPr>
          <w:noProof/>
        </w:rPr>
        <w:t>[431]</w:t>
      </w:r>
      <w:r w:rsidR="00044185" w:rsidRPr="004C78D8">
        <w:fldChar w:fldCharType="end"/>
      </w:r>
      <w:r w:rsidR="00044185" w:rsidRPr="004C78D8">
        <w:t>.</w:t>
      </w:r>
      <w:r w:rsidR="00F4175B" w:rsidRPr="004C78D8">
        <w:t xml:space="preserve"> These </w:t>
      </w:r>
      <w:r w:rsidR="00FD167B" w:rsidRPr="004C78D8">
        <w:t>reveal</w:t>
      </w:r>
      <w:r w:rsidR="00F4175B" w:rsidRPr="004C78D8">
        <w:t xml:space="preserve"> the scope for further economic modelling </w:t>
      </w:r>
      <w:r w:rsidR="00A73A42" w:rsidRPr="004C78D8">
        <w:t>of geriatric public health interventions</w:t>
      </w:r>
      <w:r w:rsidR="00F4175B" w:rsidRPr="004C78D8">
        <w:t>.</w:t>
      </w:r>
      <w:r w:rsidR="00FD167B" w:rsidRPr="004C78D8">
        <w:t xml:space="preserve"> This section explores what lessons can be drawn from this study for such modelling. </w:t>
      </w:r>
      <w:r w:rsidR="00FF149D" w:rsidRPr="004C78D8">
        <w:t xml:space="preserve">Specifically, two themes are engaged with the aim of exploring how modelling could help resolve the issues involved. The first theme relates to </w:t>
      </w:r>
      <w:r w:rsidR="009A50CB" w:rsidRPr="004C78D8">
        <w:t>a</w:t>
      </w:r>
      <w:r w:rsidR="00FF149D" w:rsidRPr="004C78D8">
        <w:t xml:space="preserve"> concern in the literature that </w:t>
      </w:r>
      <w:r w:rsidR="00FD167B" w:rsidRPr="004C78D8">
        <w:t>economic evaluation may be biased against older populations relative to younger populations</w:t>
      </w:r>
      <w:r w:rsidR="00FF149D" w:rsidRPr="004C78D8">
        <w:t xml:space="preserve"> (Section 7.3.1). </w:t>
      </w:r>
      <w:r w:rsidR="009A50CB" w:rsidRPr="004C78D8">
        <w:t xml:space="preserve">The second theme concerns the need for models to inform </w:t>
      </w:r>
      <w:r w:rsidR="00FF149D" w:rsidRPr="004C78D8">
        <w:t>high integration of care (</w:t>
      </w:r>
      <w:r w:rsidR="00FD167B" w:rsidRPr="004C78D8">
        <w:t xml:space="preserve">highlighted </w:t>
      </w:r>
      <w:r w:rsidR="00BD2C01" w:rsidRPr="004C78D8">
        <w:t xml:space="preserve">in Section 1.3.2.3 </w:t>
      </w:r>
      <w:r w:rsidR="00FD167B" w:rsidRPr="004C78D8">
        <w:t xml:space="preserve">as a key characteristic </w:t>
      </w:r>
      <w:r w:rsidR="006B0D93" w:rsidRPr="004C78D8">
        <w:t>of</w:t>
      </w:r>
      <w:r w:rsidR="00FD167B" w:rsidRPr="004C78D8">
        <w:t xml:space="preserve"> geriatric public health interventions</w:t>
      </w:r>
      <w:r w:rsidR="00FF149D" w:rsidRPr="004C78D8">
        <w:t xml:space="preserve">) </w:t>
      </w:r>
      <w:r w:rsidR="009A50CB" w:rsidRPr="004C78D8">
        <w:t>and assess the performance of integrated care schemes</w:t>
      </w:r>
      <w:r w:rsidR="00FF149D" w:rsidRPr="004C78D8">
        <w:t xml:space="preserve"> (Section 7.3.2)</w:t>
      </w:r>
      <w:r w:rsidR="00FD167B" w:rsidRPr="004C78D8">
        <w:t xml:space="preserve">. </w:t>
      </w:r>
    </w:p>
    <w:p w14:paraId="3DC02235" w14:textId="7D16AF51" w:rsidR="000740D2" w:rsidRPr="004C78D8" w:rsidRDefault="006D62A0" w:rsidP="00FB7C1F">
      <w:pPr>
        <w:pStyle w:val="Heading3"/>
      </w:pPr>
      <w:bookmarkStart w:id="230" w:name="_Toc111630814"/>
      <w:r w:rsidRPr="004C78D8">
        <w:t>7</w:t>
      </w:r>
      <w:r w:rsidR="00074D2A" w:rsidRPr="004C78D8">
        <w:t>.3.</w:t>
      </w:r>
      <w:r w:rsidR="00F12933" w:rsidRPr="004C78D8">
        <w:t>1</w:t>
      </w:r>
      <w:r w:rsidR="00074D2A" w:rsidRPr="004C78D8">
        <w:t xml:space="preserve"> </w:t>
      </w:r>
      <w:r w:rsidR="006B715A" w:rsidRPr="004C78D8">
        <w:t xml:space="preserve">Concern </w:t>
      </w:r>
      <w:r w:rsidR="00FD167B" w:rsidRPr="004C78D8">
        <w:t>on bias in</w:t>
      </w:r>
      <w:r w:rsidR="006B715A" w:rsidRPr="004C78D8">
        <w:t xml:space="preserve"> geriatric economic evaluation</w:t>
      </w:r>
      <w:bookmarkEnd w:id="230"/>
    </w:p>
    <w:p w14:paraId="3F696D43" w14:textId="13891F51" w:rsidR="00BA5C9A" w:rsidRPr="004C78D8" w:rsidRDefault="00F401C8" w:rsidP="00FB7C1F">
      <w:r w:rsidRPr="004C78D8">
        <w:t>A</w:t>
      </w:r>
      <w:r w:rsidR="000740D2" w:rsidRPr="004C78D8">
        <w:t xml:space="preserve"> </w:t>
      </w:r>
      <w:r w:rsidR="00BD2C01" w:rsidRPr="004C78D8">
        <w:t>concern in the literature</w:t>
      </w:r>
      <w:r w:rsidR="000740D2" w:rsidRPr="004C78D8">
        <w:t xml:space="preserve"> is that </w:t>
      </w:r>
      <w:r w:rsidR="00BD2C01" w:rsidRPr="004C78D8">
        <w:t>health economic evaluation</w:t>
      </w:r>
      <w:r w:rsidR="000740D2" w:rsidRPr="004C78D8">
        <w:t xml:space="preserve"> produces results that are ‘ageist’, i.e., biased against older populations </w:t>
      </w:r>
      <w:r w:rsidR="000740D2" w:rsidRPr="004C78D8">
        <w:fldChar w:fldCharType="begin"/>
      </w:r>
      <w:r w:rsidR="00513646" w:rsidRPr="004C78D8">
        <w:instrText xml:space="preserve"> ADDIN EN.CITE &lt;EndNote&gt;&lt;Cite&gt;&lt;Author&gt;Edlin&lt;/Author&gt;&lt;Year&gt;2008&lt;/Year&gt;&lt;RecNum&gt;485&lt;/RecNum&gt;&lt;DisplayText&gt;[83, 107]&lt;/DisplayText&gt;&lt;record&gt;&lt;rec-number&gt;485&lt;/rec-number&gt;&lt;foreign-keys&gt;&lt;key app="EN" db-id="tdtrdw9aepptzbefsat599syza29sxsd2wsp" timestamp="1616691066"&gt;485&lt;/key&gt;&lt;/foreign-keys&gt;&lt;ref-type name="Journal Article"&gt;17&lt;/ref-type&gt;&lt;contributors&gt;&lt;authors&gt;&lt;author&gt;Edlin, Richard&lt;/author&gt;&lt;author&gt;Round, Jeff&lt;/author&gt;&lt;author&gt;McCabe, Christopher&lt;/author&gt;&lt;author&gt;Sculpher, Mark&lt;/author&gt;&lt;author&gt;Claxton, Karl&lt;/author&gt;&lt;author&gt;Cookson, Richard&lt;/author&gt;&lt;/authors&gt;&lt;/contributors&gt;&lt;titles&gt;&lt;title&gt;Cost-effectiveness analysis and ageism: a review of the theoretical literature&lt;/title&gt;&lt;secondary-title&gt;A report for the department of health. Leeds: University of Leeds&lt;/secondary-title&gt;&lt;/titles&gt;&lt;periodical&gt;&lt;full-title&gt;A report for the department of health. Leeds: University of Leeds&lt;/full-title&gt;&lt;/periodical&gt;&lt;dates&gt;&lt;year&gt;2008&lt;/year&gt;&lt;/dates&gt;&lt;urls&gt;&lt;/urls&gt;&lt;/record&gt;&lt;/Cite&gt;&lt;Cite&gt;&lt;Author&gt;Huter&lt;/Author&gt;&lt;Year&gt;2016&lt;/Year&gt;&lt;RecNum&gt;7&lt;/RecNum&gt;&lt;record&gt;&lt;rec-number&gt;7&lt;/rec-number&gt;&lt;foreign-keys&gt;&lt;key app="EN" db-id="tdtrdw9aepptzbefsat599syza29sxsd2wsp" timestamp="1596571805"&gt;7&lt;/key&gt;&lt;/foreign-keys&gt;&lt;ref-type name="Journal Article"&gt;17&lt;/ref-type&gt;&lt;contributors&gt;&lt;authors&gt;&lt;author&gt;Huter, Kai&lt;/author&gt;&lt;author&gt;Kocot, Ewa&lt;/author&gt;&lt;author&gt;Kissimova-Skarbek, Katarzyna&lt;/author&gt;&lt;author&gt;Dubas-Jakóbczyk, Katarzyna&lt;/author&gt;&lt;author&gt;Rothgang, Heinz&lt;/author&gt;&lt;/authors&gt;&lt;/contributors&gt;&lt;titles&gt;&lt;title&gt;Economic evaluation of health promotion for older people-methodological problems and challenges&lt;/title&gt;&lt;secondary-title&gt;BMC health services research&lt;/secondary-title&gt;&lt;/titles&gt;&lt;periodical&gt;&lt;full-title&gt;BMC health services research&lt;/full-title&gt;&lt;/periodical&gt;&lt;pages&gt;328&lt;/pages&gt;&lt;volume&gt;16&lt;/volume&gt;&lt;number&gt;5&lt;/number&gt;&lt;dates&gt;&lt;year&gt;2016&lt;/year&gt;&lt;/dates&gt;&lt;isbn&gt;1472-6963&lt;/isbn&gt;&lt;urls&gt;&lt;/urls&gt;&lt;/record&gt;&lt;/Cite&gt;&lt;/EndNote&gt;</w:instrText>
      </w:r>
      <w:r w:rsidR="000740D2" w:rsidRPr="004C78D8">
        <w:fldChar w:fldCharType="separate"/>
      </w:r>
      <w:r w:rsidR="00513646" w:rsidRPr="004C78D8">
        <w:rPr>
          <w:noProof/>
        </w:rPr>
        <w:t>[83, 107]</w:t>
      </w:r>
      <w:r w:rsidR="000740D2" w:rsidRPr="004C78D8">
        <w:fldChar w:fldCharType="end"/>
      </w:r>
      <w:r w:rsidR="000740D2" w:rsidRPr="004C78D8">
        <w:t xml:space="preserve">. Older populations have greater comorbidities and less remaining life expectancy which impair their ability to gain as much measurable health benefits from interventions as younger populations </w:t>
      </w:r>
      <w:r w:rsidR="000740D2" w:rsidRPr="004C78D8">
        <w:fldChar w:fldCharType="begin"/>
      </w:r>
      <w:r w:rsidR="00A2699D" w:rsidRPr="004C78D8">
        <w:instrText xml:space="preserve"> ADDIN EN.CITE &lt;EndNote&gt;&lt;Cite&gt;&lt;Author&gt;Edlin&lt;/Author&gt;&lt;Year&gt;2008&lt;/Year&gt;&lt;RecNum&gt;485&lt;/RecNum&gt;&lt;DisplayText&gt;[107, 432]&lt;/DisplayText&gt;&lt;record&gt;&lt;rec-number&gt;485&lt;/rec-number&gt;&lt;foreign-keys&gt;&lt;key app="EN" db-id="tdtrdw9aepptzbefsat599syza29sxsd2wsp" timestamp="1616691066"&gt;485&lt;/key&gt;&lt;/foreign-keys&gt;&lt;ref-type name="Journal Article"&gt;17&lt;/ref-type&gt;&lt;contributors&gt;&lt;authors&gt;&lt;author&gt;Edlin, Richard&lt;/author&gt;&lt;author&gt;Round, Jeff&lt;/author&gt;&lt;author&gt;McCabe, Christopher&lt;/author&gt;&lt;author&gt;Sculpher, Mark&lt;/author&gt;&lt;author&gt;Claxton, Karl&lt;/author&gt;&lt;author&gt;Cookson, Richard&lt;/author&gt;&lt;/authors&gt;&lt;/contributors&gt;&lt;titles&gt;&lt;title&gt;Cost-effectiveness analysis and ageism: a review of the theoretical literature&lt;/title&gt;&lt;secondary-title&gt;A report for the department of health. Leeds: University of Leeds&lt;/secondary-title&gt;&lt;/titles&gt;&lt;periodical&gt;&lt;full-title&gt;A report for the department of health. Leeds: University of Leeds&lt;/full-title&gt;&lt;/periodical&gt;&lt;dates&gt;&lt;year&gt;2008&lt;/year&gt;&lt;/dates&gt;&lt;urls&gt;&lt;/urls&gt;&lt;/record&gt;&lt;/Cite&gt;&lt;Cite&gt;&lt;Author&gt;Nord&lt;/Author&gt;&lt;Year&gt;1996&lt;/Year&gt;&lt;RecNum&gt;510&lt;/RecNum&gt;&lt;record&gt;&lt;rec-number&gt;510&lt;/rec-number&gt;&lt;foreign-keys&gt;&lt;key app="EN" db-id="tdtrdw9aepptzbefsat599syza29sxsd2wsp" timestamp="1617876368"&gt;510&lt;/key&gt;&lt;/foreign-keys&gt;&lt;ref-type name="Journal Article"&gt;17&lt;/ref-type&gt;&lt;contributors&gt;&lt;authors&gt;&lt;author&gt;Nord, Erik&lt;/author&gt;&lt;author&gt;Street, Andrew&lt;/author&gt;&lt;author&gt;Richardson, Jeff&lt;/author&gt;&lt;author&gt;Kuhse, Helga&lt;/author&gt;&lt;author&gt;Singer, Peter&lt;/author&gt;&lt;/authors&gt;&lt;/contributors&gt;&lt;titles&gt;&lt;title&gt;The significance of age and duration of effect in social evaluation of health care&lt;/title&gt;&lt;secondary-title&gt;Health Care Analysis&lt;/secondary-title&gt;&lt;/titles&gt;&lt;periodical&gt;&lt;full-title&gt;Health Care Analysis&lt;/full-title&gt;&lt;/periodical&gt;&lt;pages&gt;103-111&lt;/pages&gt;&lt;volume&gt;4&lt;/volume&gt;&lt;number&gt;2&lt;/number&gt;&lt;dates&gt;&lt;year&gt;1996&lt;/year&gt;&lt;/dates&gt;&lt;isbn&gt;1065-3058&lt;/isbn&gt;&lt;urls&gt;&lt;/urls&gt;&lt;/record&gt;&lt;/Cite&gt;&lt;/EndNote&gt;</w:instrText>
      </w:r>
      <w:r w:rsidR="000740D2" w:rsidRPr="004C78D8">
        <w:fldChar w:fldCharType="separate"/>
      </w:r>
      <w:r w:rsidR="00A2699D" w:rsidRPr="004C78D8">
        <w:rPr>
          <w:noProof/>
        </w:rPr>
        <w:t>[107, 432]</w:t>
      </w:r>
      <w:r w:rsidR="000740D2" w:rsidRPr="004C78D8">
        <w:fldChar w:fldCharType="end"/>
      </w:r>
      <w:r w:rsidR="000740D2" w:rsidRPr="004C78D8">
        <w:t xml:space="preserve">. This disadvantage is particularly acute under an evaluation framework that explicitly targets improvement in health, rather than in broader utility/wellbeing, since utility can still be improved </w:t>
      </w:r>
      <w:r w:rsidR="00BD2C01" w:rsidRPr="004C78D8">
        <w:t xml:space="preserve">(via intervention process benefits) </w:t>
      </w:r>
      <w:r w:rsidR="000740D2" w:rsidRPr="004C78D8">
        <w:t xml:space="preserve">amongst persons with smaller prospect of concrete health gain </w:t>
      </w:r>
      <w:r w:rsidR="000740D2" w:rsidRPr="004C78D8">
        <w:fldChar w:fldCharType="begin"/>
      </w:r>
      <w:r w:rsidR="00513646" w:rsidRPr="004C78D8">
        <w:instrText xml:space="preserve"> ADDIN EN.CITE &lt;EndNote&gt;&lt;Cite&gt;&lt;Author&gt;Birch&lt;/Author&gt;&lt;Year&gt;2003&lt;/Year&gt;&lt;RecNum&gt;509&lt;/RecNum&gt;&lt;DisplayText&gt;[148]&lt;/DisplayText&gt;&lt;record&gt;&lt;rec-number&gt;509&lt;/rec-number&gt;&lt;foreign-keys&gt;&lt;key app="EN" db-id="tdtrdw9aepptzbefsat599syza29sxsd2wsp" timestamp="1617876124"&gt;509&lt;/key&gt;&lt;/foreign-keys&gt;&lt;ref-type name="Journal Article"&gt;17&lt;/ref-type&gt;&lt;contributors&gt;&lt;authors&gt;&lt;author&gt;Birch, Stephen&lt;/author&gt;&lt;author&gt;Donaldson, Cam&lt;/author&gt;&lt;/authors&gt;&lt;/contributors&gt;&lt;titles&gt;&lt;title&gt;Valuing the benefits and costs of health care programmes: where&amp;apos;s the ‘extra’in extra-welfarism?&lt;/title&gt;&lt;secondary-title&gt;Social science &amp;amp; medicine&lt;/secondary-title&gt;&lt;/titles&gt;&lt;periodical&gt;&lt;full-title&gt;Social science &amp;amp; medicine&lt;/full-title&gt;&lt;/periodical&gt;&lt;pages&gt;1121-1133&lt;/pages&gt;&lt;volume&gt;56&lt;/volume&gt;&lt;number&gt;5&lt;/number&gt;&lt;dates&gt;&lt;year&gt;2003&lt;/year&gt;&lt;/dates&gt;&lt;isbn&gt;0277-9536&lt;/isbn&gt;&lt;urls&gt;&lt;/urls&gt;&lt;/record&gt;&lt;/Cite&gt;&lt;/EndNote&gt;</w:instrText>
      </w:r>
      <w:r w:rsidR="000740D2" w:rsidRPr="004C78D8">
        <w:fldChar w:fldCharType="separate"/>
      </w:r>
      <w:r w:rsidR="00513646" w:rsidRPr="004C78D8">
        <w:rPr>
          <w:noProof/>
        </w:rPr>
        <w:t>[148]</w:t>
      </w:r>
      <w:r w:rsidR="000740D2" w:rsidRPr="004C78D8">
        <w:fldChar w:fldCharType="end"/>
      </w:r>
      <w:r w:rsidR="000740D2" w:rsidRPr="004C78D8">
        <w:t>. The unfavourable cost-per-health gain ratios would in turn shift healthcare resources away from geriatric interventions.</w:t>
      </w:r>
      <w:r w:rsidR="00A44BA6" w:rsidRPr="004C78D8">
        <w:t xml:space="preserve"> </w:t>
      </w:r>
      <w:r w:rsidR="00B212BB" w:rsidRPr="004C78D8">
        <w:t xml:space="preserve">This is a form of </w:t>
      </w:r>
      <w:r w:rsidR="00B212BB" w:rsidRPr="004C78D8">
        <w:rPr>
          <w:i/>
          <w:iCs/>
        </w:rPr>
        <w:t>indirect</w:t>
      </w:r>
      <w:r w:rsidR="00B212BB" w:rsidRPr="004C78D8">
        <w:t xml:space="preserve"> ageism </w:t>
      </w:r>
      <w:r w:rsidR="005B55CF" w:rsidRPr="004C78D8">
        <w:t>since</w:t>
      </w:r>
      <w:r w:rsidR="00B212BB" w:rsidRPr="004C78D8">
        <w:t xml:space="preserve"> the economic evaluation does not </w:t>
      </w:r>
      <w:r w:rsidR="005B55CF" w:rsidRPr="004C78D8">
        <w:t xml:space="preserve">in itself make the value judgement that resources should be shifted away from older populations. </w:t>
      </w:r>
    </w:p>
    <w:p w14:paraId="3CDCC28F" w14:textId="430D8C00" w:rsidR="000740D2" w:rsidRPr="004C78D8" w:rsidRDefault="000740D2" w:rsidP="00FB7C1F">
      <w:r w:rsidRPr="004C78D8">
        <w:t xml:space="preserve">In response, it should be noted that worse cost-effectiveness outcomes are not inevitable for older populations. </w:t>
      </w:r>
      <w:r w:rsidR="00BD2C01" w:rsidRPr="004C78D8">
        <w:t xml:space="preserve">The results of the current model present a case in point. More generally, </w:t>
      </w:r>
      <w:r w:rsidRPr="004C78D8">
        <w:t xml:space="preserve">geriatric prevention, whilst not improving measurable health, could avert costly care utilisations, which may not be </w:t>
      </w:r>
      <w:r w:rsidR="00BD2C01" w:rsidRPr="004C78D8">
        <w:t>the case</w:t>
      </w:r>
      <w:r w:rsidRPr="004C78D8">
        <w:t xml:space="preserve"> for younger </w:t>
      </w:r>
      <w:r w:rsidR="00BD2C01" w:rsidRPr="004C78D8">
        <w:t>populations</w:t>
      </w:r>
      <w:r w:rsidRPr="004C78D8">
        <w:t xml:space="preserve">. For example, social isolation among older populations </w:t>
      </w:r>
      <w:r w:rsidR="009E5E5E" w:rsidRPr="004C78D8">
        <w:t>has shown to be</w:t>
      </w:r>
      <w:r w:rsidRPr="004C78D8">
        <w:t xml:space="preserve"> an independent risk factor for A&amp;E admission </w:t>
      </w:r>
      <w:r w:rsidRPr="004C78D8">
        <w:fldChar w:fldCharType="begin"/>
      </w:r>
      <w:r w:rsidR="00A2699D" w:rsidRPr="004C78D8">
        <w:instrText xml:space="preserve"> ADDIN EN.CITE &lt;EndNote&gt;&lt;Cite&gt;&lt;Author&gt;Molloy&lt;/Author&gt;&lt;Year&gt;2010&lt;/Year&gt;&lt;RecNum&gt;516&lt;/RecNum&gt;&lt;DisplayText&gt;[433]&lt;/DisplayText&gt;&lt;record&gt;&lt;rec-number&gt;516&lt;/rec-number&gt;&lt;foreign-keys&gt;&lt;key app="EN" db-id="tdtrdw9aepptzbefsat599syza29sxsd2wsp" timestamp="1618146786"&gt;516&lt;/key&gt;&lt;/foreign-keys&gt;&lt;ref-type name="Journal Article"&gt;17&lt;/ref-type&gt;&lt;contributors&gt;&lt;authors&gt;&lt;author&gt;Molloy, Gerard J&lt;/author&gt;&lt;author&gt;McGee, Hannah M&lt;/author&gt;&lt;author&gt;O&amp;apos;Neill, Desmond&lt;/author&gt;&lt;author&gt;Conroy, Ronan M&lt;/author&gt;&lt;/authors&gt;&lt;/contributors&gt;&lt;titles&gt;&lt;title&gt;Loneliness and emergency and planned hospitalizations in a community sample of older adults&lt;/title&gt;&lt;secondary-title&gt;Journal of the American Geriatrics Society&lt;/secondary-title&gt;&lt;/titles&gt;&lt;periodical&gt;&lt;full-title&gt;Journal of the American Geriatrics Society&lt;/full-title&gt;&lt;/periodical&gt;&lt;pages&gt;1538-1541&lt;/pages&gt;&lt;volume&gt;58&lt;/volume&gt;&lt;number&gt;8&lt;/number&gt;&lt;dates&gt;&lt;year&gt;2010&lt;/year&gt;&lt;/dates&gt;&lt;isbn&gt;0002-8614&lt;/isbn&gt;&lt;urls&gt;&lt;/urls&gt;&lt;/record&gt;&lt;/Cite&gt;&lt;/EndNote&gt;</w:instrText>
      </w:r>
      <w:r w:rsidRPr="004C78D8">
        <w:fldChar w:fldCharType="separate"/>
      </w:r>
      <w:r w:rsidR="00A2699D" w:rsidRPr="004C78D8">
        <w:rPr>
          <w:noProof/>
        </w:rPr>
        <w:t>[433]</w:t>
      </w:r>
      <w:r w:rsidRPr="004C78D8">
        <w:fldChar w:fldCharType="end"/>
      </w:r>
      <w:r w:rsidRPr="004C78D8">
        <w:t xml:space="preserve">, which is less likely to be the case </w:t>
      </w:r>
      <w:r w:rsidR="009E5E5E" w:rsidRPr="004C78D8">
        <w:t>for</w:t>
      </w:r>
      <w:r w:rsidRPr="004C78D8">
        <w:t xml:space="preserve"> younger populations. This illustrates the need for </w:t>
      </w:r>
      <w:r w:rsidRPr="004C78D8">
        <w:rPr>
          <w:i/>
          <w:iCs/>
        </w:rPr>
        <w:t xml:space="preserve">more </w:t>
      </w:r>
      <w:r w:rsidRPr="004C78D8">
        <w:t xml:space="preserve">comparisons of high-quality evaluation results across interventions and </w:t>
      </w:r>
      <w:r w:rsidR="006D62A0" w:rsidRPr="004C78D8">
        <w:t xml:space="preserve">age </w:t>
      </w:r>
      <w:r w:rsidRPr="004C78D8">
        <w:t xml:space="preserve">groups rather than less </w:t>
      </w:r>
      <w:r w:rsidRPr="004C78D8">
        <w:fldChar w:fldCharType="begin"/>
      </w:r>
      <w:r w:rsidR="00A2699D" w:rsidRPr="004C78D8">
        <w:instrText xml:space="preserve"> ADDIN EN.CITE &lt;EndNote&gt;&lt;Cite&gt;&lt;Author&gt;Wanless&lt;/Author&gt;&lt;Year&gt;2004&lt;/Year&gt;&lt;RecNum&gt;517&lt;/RecNum&gt;&lt;DisplayText&gt;[434]&lt;/DisplayText&gt;&lt;record&gt;&lt;rec-number&gt;517&lt;/rec-number&gt;&lt;foreign-keys&gt;&lt;key app="EN" db-id="tdtrdw9aepptzbefsat599syza29sxsd2wsp" timestamp="1618147402"&gt;517&lt;/key&gt;&lt;/foreign-keys&gt;&lt;ref-type name="Book"&gt;6&lt;/ref-type&gt;&lt;contributors&gt;&lt;authors&gt;&lt;author&gt;Wanless, Derek&lt;/author&gt;&lt;/authors&gt;&lt;/contributors&gt;&lt;titles&gt;&lt;title&gt;Securing good health for the whole population&lt;/title&gt;&lt;/titles&gt;&lt;dates&gt;&lt;year&gt;2004&lt;/year&gt;&lt;/dates&gt;&lt;publisher&gt;HM Stationery Office London&lt;/publisher&gt;&lt;isbn&gt;0947819983&lt;/isbn&gt;&lt;urls&gt;&lt;/urls&gt;&lt;/record&gt;&lt;/Cite&gt;&lt;/EndNote&gt;</w:instrText>
      </w:r>
      <w:r w:rsidRPr="004C78D8">
        <w:fldChar w:fldCharType="separate"/>
      </w:r>
      <w:r w:rsidR="00A2699D" w:rsidRPr="004C78D8">
        <w:rPr>
          <w:noProof/>
        </w:rPr>
        <w:t>[434]</w:t>
      </w:r>
      <w:r w:rsidRPr="004C78D8">
        <w:fldChar w:fldCharType="end"/>
      </w:r>
      <w:r w:rsidRPr="004C78D8">
        <w:t>. It also illustrates the need for decision modelling that can account for the full range of health and economic consequences of the geriatric syndrome/disease over an older person’s lifetime</w:t>
      </w:r>
      <w:r w:rsidR="006D62A0" w:rsidRPr="004C78D8">
        <w:t xml:space="preserve">, e.g., by </w:t>
      </w:r>
      <w:r w:rsidR="009E5E5E" w:rsidRPr="004C78D8">
        <w:t>capturing the dynamic link between the syndrome and frailty.</w:t>
      </w:r>
      <w:r w:rsidR="0004708E" w:rsidRPr="004C78D8">
        <w:t xml:space="preserve"> The current model also showed that a successful earlier-life prevention that reduced frailty by 20% at entry had a modest </w:t>
      </w:r>
      <w:r w:rsidR="00C440DE" w:rsidRPr="004C78D8">
        <w:t>effect</w:t>
      </w:r>
      <w:r w:rsidR="0004708E" w:rsidRPr="004C78D8">
        <w:t xml:space="preserve"> on the </w:t>
      </w:r>
      <w:r w:rsidR="009E031F" w:rsidRPr="004C78D8">
        <w:t xml:space="preserve">result </w:t>
      </w:r>
      <w:r w:rsidR="0004708E" w:rsidRPr="004C78D8">
        <w:t xml:space="preserve">of RC vs. UC (Tables </w:t>
      </w:r>
      <w:r w:rsidR="009E031F" w:rsidRPr="004C78D8">
        <w:t>F16</w:t>
      </w:r>
      <w:r w:rsidR="0004708E" w:rsidRPr="004C78D8">
        <w:t xml:space="preserve"> and </w:t>
      </w:r>
      <w:r w:rsidR="009E031F" w:rsidRPr="004C78D8">
        <w:t>6.</w:t>
      </w:r>
      <w:r w:rsidR="0004708E" w:rsidRPr="004C78D8">
        <w:t xml:space="preserve">8). </w:t>
      </w:r>
    </w:p>
    <w:p w14:paraId="7C20CFB9" w14:textId="4A5C2894" w:rsidR="000740D2" w:rsidRPr="004C78D8" w:rsidRDefault="000740D2" w:rsidP="00FB7C1F">
      <w:r w:rsidRPr="004C78D8">
        <w:t xml:space="preserve">Should, however, age-based disadvantage in cost-effectiveness outcomes </w:t>
      </w:r>
      <w:r w:rsidR="0004708E" w:rsidRPr="004C78D8">
        <w:t>be pronounced</w:t>
      </w:r>
      <w:r w:rsidR="004F19A1" w:rsidRPr="004C78D8">
        <w:t xml:space="preserve"> </w:t>
      </w:r>
      <w:r w:rsidRPr="004C78D8">
        <w:t xml:space="preserve">then this becomes a matter of broader social priorities beyond </w:t>
      </w:r>
      <w:r w:rsidR="004F19A1" w:rsidRPr="004C78D8">
        <w:t xml:space="preserve">the </w:t>
      </w:r>
      <w:r w:rsidRPr="004C78D8">
        <w:t xml:space="preserve">efficiency of resource use </w:t>
      </w:r>
      <w:r w:rsidRPr="004C78D8">
        <w:fldChar w:fldCharType="begin"/>
      </w:r>
      <w:r w:rsidR="00513646" w:rsidRPr="004C78D8">
        <w:instrText xml:space="preserve"> ADDIN EN.CITE &lt;EndNote&gt;&lt;Cite&gt;&lt;Author&gt;Norheim&lt;/Author&gt;&lt;Year&gt;2014&lt;/Year&gt;&lt;RecNum&gt;4&lt;/RecNum&gt;&lt;DisplayText&gt;[71]&lt;/DisplayText&gt;&lt;record&gt;&lt;rec-number&gt;4&lt;/rec-number&gt;&lt;foreign-keys&gt;&lt;key app="EN" db-id="tdtrdw9aepptzbefsat599syza29sxsd2wsp" timestamp="1596571466"&gt;4&lt;/key&gt;&lt;/foreign-keys&gt;&lt;ref-type name="Journal Article"&gt;17&lt;/ref-type&gt;&lt;contributors&gt;&lt;authors&gt;&lt;author&gt;Norheim, Ole F&lt;/author&gt;&lt;author&gt;Baltussen, Rob&lt;/author&gt;&lt;author&gt;Johri, Mira&lt;/author&gt;&lt;author&gt;Chisholm, Dan&lt;/author&gt;&lt;author&gt;Nord, Erik&lt;/author&gt;&lt;author&gt;Brock, DanW&lt;/author&gt;&lt;author&gt;Carlsson, Per&lt;/author&gt;&lt;author&gt;Cookson, Richard&lt;/author&gt;&lt;author&gt;Daniels, Norman&lt;/author&gt;&lt;author&gt;Danis, Marion&lt;/author&gt;&lt;/authors&gt;&lt;/contributors&gt;&lt;titles&gt;&lt;title&gt;Guidance on priority setting in health care (GPS-Health): the inclusion of equity criteria not captured by cost-effectiveness analysis&lt;/title&gt;&lt;secondary-title&gt;Cost Effectiveness and Resource Allocation&lt;/secondary-title&gt;&lt;/titles&gt;&lt;periodical&gt;&lt;full-title&gt;Cost Effectiveness and Resource Allocation&lt;/full-title&gt;&lt;/periodical&gt;&lt;pages&gt;18&lt;/pages&gt;&lt;volume&gt;12&lt;/volume&gt;&lt;number&gt;1&lt;/number&gt;&lt;dates&gt;&lt;year&gt;2014&lt;/year&gt;&lt;/dates&gt;&lt;isbn&gt;1478-7547&lt;/isbn&gt;&lt;urls&gt;&lt;/urls&gt;&lt;/record&gt;&lt;/Cite&gt;&lt;/EndNote&gt;</w:instrText>
      </w:r>
      <w:r w:rsidRPr="004C78D8">
        <w:fldChar w:fldCharType="separate"/>
      </w:r>
      <w:r w:rsidR="00513646" w:rsidRPr="004C78D8">
        <w:rPr>
          <w:noProof/>
        </w:rPr>
        <w:t>[71]</w:t>
      </w:r>
      <w:r w:rsidRPr="004C78D8">
        <w:fldChar w:fldCharType="end"/>
      </w:r>
      <w:r w:rsidRPr="004C78D8">
        <w:t xml:space="preserve">. A deontological case could be made that necessary </w:t>
      </w:r>
      <w:r w:rsidR="004F19A1" w:rsidRPr="004C78D8">
        <w:t>service</w:t>
      </w:r>
      <w:r w:rsidRPr="004C78D8">
        <w:t xml:space="preserve"> should not be denied to older persons </w:t>
      </w:r>
      <w:r w:rsidR="004F19A1" w:rsidRPr="004C78D8">
        <w:t>(</w:t>
      </w:r>
      <w:r w:rsidRPr="004C78D8">
        <w:t>even at some loss of efficiency</w:t>
      </w:r>
      <w:r w:rsidR="004F19A1" w:rsidRPr="004C78D8">
        <w:t>)</w:t>
      </w:r>
      <w:r w:rsidRPr="004C78D8">
        <w:t xml:space="preserve"> since health is a fundamental</w:t>
      </w:r>
      <w:r w:rsidR="00C440DE" w:rsidRPr="004C78D8">
        <w:t xml:space="preserve"> </w:t>
      </w:r>
      <w:r w:rsidRPr="004C78D8">
        <w:t xml:space="preserve">right that should be enjoyed regardless of age </w:t>
      </w:r>
      <w:r w:rsidRPr="004C78D8">
        <w:fldChar w:fldCharType="begin"/>
      </w:r>
      <w:r w:rsidR="00A2699D" w:rsidRPr="004C78D8">
        <w:instrText xml:space="preserve"> ADDIN EN.CITE &lt;EndNote&gt;&lt;Cite&gt;&lt;Author&gt;World Health Organization&lt;/Author&gt;&lt;Year&gt;2015&lt;/Year&gt;&lt;RecNum&gt;1&lt;/RecNum&gt;&lt;DisplayText&gt;[2, 435]&lt;/DisplayText&gt;&lt;record&gt;&lt;rec-number&gt;1&lt;/rec-number&gt;&lt;foreign-keys&gt;&lt;key app="EN" db-id="tdtrdw9aepptzbefsat599syza29sxsd2wsp" timestamp="1596571129"&gt;1&lt;/key&gt;&lt;/foreign-keys&gt;&lt;ref-type name="Book"&gt;6&lt;/ref-type&gt;&lt;contributors&gt;&lt;authors&gt;&lt;author&gt;World Health Organization,&lt;/author&gt;&lt;/authors&gt;&lt;/contributors&gt;&lt;titles&gt;&lt;title&gt;World Report on Ageing and Health&lt;/title&gt;&lt;/titles&gt;&lt;dates&gt;&lt;year&gt;2015&lt;/year&gt;&lt;/dates&gt;&lt;publisher&gt;World Health Organization&lt;/publisher&gt;&lt;isbn&gt;9241565047&lt;/isbn&gt;&lt;urls&gt;&lt;/urls&gt;&lt;/record&gt;&lt;/Cite&gt;&lt;Cite&gt;&lt;Author&gt;Baer&lt;/Author&gt;&lt;Year&gt;2016&lt;/Year&gt;&lt;RecNum&gt;518&lt;/RecNum&gt;&lt;record&gt;&lt;rec-number&gt;518&lt;/rec-number&gt;&lt;foreign-keys&gt;&lt;key app="EN" db-id="tdtrdw9aepptzbefsat599syza29sxsd2wsp" timestamp="1618151372"&gt;518&lt;/key&gt;&lt;/foreign-keys&gt;&lt;ref-type name="Journal Article"&gt;17&lt;/ref-type&gt;&lt;contributors&gt;&lt;authors&gt;&lt;author&gt;Baer, Britta&lt;/author&gt;&lt;author&gt;Bhushan, Anjana&lt;/author&gt;&lt;author&gt;Taleb, Hala Abou&lt;/author&gt;&lt;author&gt;Vasquez, Javier&lt;/author&gt;&lt;author&gt;Thomas, Rebekah&lt;/author&gt;&lt;/authors&gt;&lt;/contributors&gt;&lt;titles&gt;&lt;title&gt;The right to health of older people&lt;/title&gt;&lt;secondary-title&gt;The Gerontologist&lt;/secondary-title&gt;&lt;/titles&gt;&lt;periodical&gt;&lt;full-title&gt;The Gerontologist&lt;/full-title&gt;&lt;/periodical&gt;&lt;pages&gt;S206-S217&lt;/pages&gt;&lt;volume&gt;56&lt;/volume&gt;&lt;number&gt;Suppl_2&lt;/number&gt;&lt;dates&gt;&lt;year&gt;2016&lt;/year&gt;&lt;/dates&gt;&lt;isbn&gt;1758-5341&lt;/isbn&gt;&lt;urls&gt;&lt;/urls&gt;&lt;/record&gt;&lt;/Cite&gt;&lt;/EndNote&gt;</w:instrText>
      </w:r>
      <w:r w:rsidRPr="004C78D8">
        <w:fldChar w:fldCharType="separate"/>
      </w:r>
      <w:r w:rsidR="00A2699D" w:rsidRPr="004C78D8">
        <w:rPr>
          <w:noProof/>
        </w:rPr>
        <w:t>[2, 435]</w:t>
      </w:r>
      <w:r w:rsidRPr="004C78D8">
        <w:fldChar w:fldCharType="end"/>
      </w:r>
      <w:r w:rsidRPr="004C78D8">
        <w:t xml:space="preserve">. This commitment is echoed in the NHS Constitution Article 1 that rules out age-based restriction in healthcare </w:t>
      </w:r>
      <w:r w:rsidRPr="004C78D8">
        <w:fldChar w:fldCharType="begin"/>
      </w:r>
      <w:r w:rsidR="00C630FC" w:rsidRPr="004C78D8">
        <w:instrText xml:space="preserve"> ADDIN EN.CITE &lt;EndNote&gt;&lt;Cite&gt;&lt;Author&gt;Department of Health and Social Care&lt;/Author&gt;&lt;Year&gt;2021&lt;/Year&gt;&lt;RecNum&gt;519&lt;/RecNum&gt;&lt;DisplayText&gt;[259]&lt;/DisplayText&gt;&lt;record&gt;&lt;rec-number&gt;519&lt;/rec-number&gt;&lt;foreign-keys&gt;&lt;key app="EN" db-id="tdtrdw9aepptzbefsat599syza29sxsd2wsp" timestamp="1618151817"&gt;519&lt;/key&gt;&lt;/foreign-keys&gt;&lt;ref-type name="Web Page"&gt;12&lt;/ref-type&gt;&lt;contributors&gt;&lt;authors&gt;&lt;author&gt;Department of Health and Social Care,&lt;/author&gt;&lt;/authors&gt;&lt;/contributors&gt;&lt;titles&gt;&lt;title&gt;The NHS Constitution for England&lt;/title&gt;&lt;/titles&gt;&lt;dates&gt;&lt;year&gt;2021&lt;/year&gt;&lt;/dates&gt;&lt;urls&gt;&lt;related-urls&gt;&lt;url&gt;https://www.gov.uk/government/publications/the-nhs-constitution-for-england/the-nhs-constitution-for-england&lt;/url&gt;&lt;/related-urls&gt;&lt;/urls&gt;&lt;/record&gt;&lt;/Cite&gt;&lt;/EndNote&gt;</w:instrText>
      </w:r>
      <w:r w:rsidRPr="004C78D8">
        <w:fldChar w:fldCharType="separate"/>
      </w:r>
      <w:r w:rsidR="00C630FC" w:rsidRPr="004C78D8">
        <w:rPr>
          <w:noProof/>
        </w:rPr>
        <w:t>[259]</w:t>
      </w:r>
      <w:r w:rsidRPr="004C78D8">
        <w:fldChar w:fldCharType="end"/>
      </w:r>
      <w:r w:rsidRPr="004C78D8">
        <w:t xml:space="preserve">. </w:t>
      </w:r>
      <w:r w:rsidR="004F19A1" w:rsidRPr="004C78D8">
        <w:t xml:space="preserve">The current model’s commissioning recommendations advocated extending the minimum target age from 65 to 60 so that the younger subgroups may cross-subsidise their older peers. </w:t>
      </w:r>
      <w:r w:rsidRPr="004C78D8">
        <w:t xml:space="preserve">Yet any discussion on social priorities </w:t>
      </w:r>
      <w:r w:rsidR="004F19A1" w:rsidRPr="004C78D8">
        <w:t xml:space="preserve">and remedial policies </w:t>
      </w:r>
      <w:r w:rsidRPr="004C78D8">
        <w:t xml:space="preserve">is only possible with robust economic evidence that quantifies the </w:t>
      </w:r>
      <w:r w:rsidR="00C440DE" w:rsidRPr="004C78D8">
        <w:t xml:space="preserve">associated </w:t>
      </w:r>
      <w:r w:rsidRPr="004C78D8">
        <w:t>opportunity cost</w:t>
      </w:r>
      <w:r w:rsidR="00C440DE" w:rsidRPr="004C78D8">
        <w:t>s</w:t>
      </w:r>
      <w:r w:rsidRPr="004C78D8">
        <w:t xml:space="preserve"> </w:t>
      </w:r>
      <w:r w:rsidRPr="004C78D8">
        <w:fldChar w:fldCharType="begin"/>
      </w:r>
      <w:r w:rsidR="00C630FC" w:rsidRPr="004C78D8">
        <w:instrText xml:space="preserve"> ADDIN EN.CITE &lt;EndNote&gt;&lt;Cite&gt;&lt;Author&gt;Williams&lt;/Author&gt;&lt;Year&gt;1997&lt;/Year&gt;&lt;RecNum&gt;521&lt;/RecNum&gt;&lt;DisplayText&gt;[108, 232]&lt;/DisplayText&gt;&lt;record&gt;&lt;rec-number&gt;521&lt;/rec-number&gt;&lt;foreign-keys&gt;&lt;key app="EN" db-id="tdtrdw9aepptzbefsat599syza29sxsd2wsp" timestamp="1618153077"&gt;521&lt;/key&gt;&lt;/foreign-keys&gt;&lt;ref-type name="Journal Article"&gt;17&lt;/ref-type&gt;&lt;contributors&gt;&lt;authors&gt;&lt;author&gt;Williams, Alan&lt;/author&gt;&lt;/authors&gt;&lt;/contributors&gt;&lt;titles&gt;&lt;title&gt;Intergenerational equity: an exploration of the ‘fair innings’ argument&lt;/title&gt;&lt;secondary-title&gt;Health economics&lt;/secondary-title&gt;&lt;/titles&gt;&lt;periodical&gt;&lt;full-title&gt;Health economics&lt;/full-title&gt;&lt;/periodical&gt;&lt;pages&gt;117-132&lt;/pages&gt;&lt;volume&gt;6&lt;/volume&gt;&lt;number&gt;2&lt;/number&gt;&lt;dates&gt;&lt;year&gt;1997&lt;/year&gt;&lt;/dates&gt;&lt;isbn&gt;1057-9230&lt;/isbn&gt;&lt;urls&gt;&lt;/urls&gt;&lt;/record&gt;&lt;/Cite&gt;&lt;Cite&gt;&lt;Author&gt;Cookson&lt;/Author&gt;&lt;Year&gt;2009&lt;/Year&gt;&lt;RecNum&gt;407&lt;/RecNum&gt;&lt;record&gt;&lt;rec-number&gt;407&lt;/rec-number&gt;&lt;foreign-keys&gt;&lt;key app="EN" db-id="tdtrdw9aepptzbefsat599syza29sxsd2wsp" timestamp="1615761345"&gt;407&lt;/key&gt;&lt;/foreign-keys&gt;&lt;ref-type name="Journal Article"&gt;17&lt;/ref-type&gt;&lt;contributors&gt;&lt;authors&gt;&lt;author&gt;Cookson, Richard&lt;/author&gt;&lt;author&gt;Drummond, Mike&lt;/author&gt;&lt;author&gt;Weatherly, Helen&lt;/author&gt;&lt;/authors&gt;&lt;/contributors&gt;&lt;titles&gt;&lt;title&gt;Explicit incorporation of equity considerations into economic evaluation of public health interventions&lt;/title&gt;&lt;secondary-title&gt;Health Economics, Policy and Law&lt;/secondary-title&gt;&lt;/titles&gt;&lt;periodical&gt;&lt;full-title&gt;Health Economics, Policy and Law&lt;/full-title&gt;&lt;/periodical&gt;&lt;pages&gt;231-245&lt;/pages&gt;&lt;volume&gt;4&lt;/volume&gt;&lt;number&gt;2&lt;/number&gt;&lt;dates&gt;&lt;year&gt;2009&lt;/year&gt;&lt;/dates&gt;&lt;isbn&gt;1744-134X&lt;/isbn&gt;&lt;urls&gt;&lt;/urls&gt;&lt;/record&gt;&lt;/Cite&gt;&lt;/EndNote&gt;</w:instrText>
      </w:r>
      <w:r w:rsidRPr="004C78D8">
        <w:fldChar w:fldCharType="separate"/>
      </w:r>
      <w:r w:rsidR="00C630FC" w:rsidRPr="004C78D8">
        <w:rPr>
          <w:noProof/>
        </w:rPr>
        <w:t>[108, 232]</w:t>
      </w:r>
      <w:r w:rsidRPr="004C78D8">
        <w:fldChar w:fldCharType="end"/>
      </w:r>
      <w:r w:rsidRPr="004C78D8">
        <w:t>. The risk of ageism hence calls for more transparent, evidence-based economic evaluations, not less.</w:t>
      </w:r>
    </w:p>
    <w:p w14:paraId="4317664B" w14:textId="569D3ED3" w:rsidR="004F19A1" w:rsidRPr="004C78D8" w:rsidRDefault="004F19A1" w:rsidP="00FB7C1F">
      <w:r w:rsidRPr="004C78D8">
        <w:t xml:space="preserve">Incidentally, Huter </w:t>
      </w:r>
      <w:r w:rsidR="00A44BA6" w:rsidRPr="004C78D8">
        <w:t>and colleagues</w:t>
      </w:r>
      <w:r w:rsidRPr="004C78D8">
        <w:t xml:space="preserve"> suggested that the inclusion of wider outcomes and costs </w:t>
      </w:r>
      <w:r w:rsidR="00A44BA6" w:rsidRPr="004C78D8">
        <w:t xml:space="preserve">such as productivity </w:t>
      </w:r>
      <w:r w:rsidRPr="004C78D8">
        <w:t xml:space="preserve">would mitigate </w:t>
      </w:r>
      <w:r w:rsidR="00A44BA6" w:rsidRPr="004C78D8">
        <w:t>ageism</w:t>
      </w:r>
      <w:r w:rsidRPr="004C78D8">
        <w:t xml:space="preserve"> in economic evaluation</w:t>
      </w:r>
      <w:r w:rsidR="00A44BA6" w:rsidRPr="004C78D8">
        <w:t xml:space="preserve"> </w:t>
      </w:r>
      <w:r w:rsidR="00A44BA6" w:rsidRPr="004C78D8">
        <w:fldChar w:fldCharType="begin"/>
      </w:r>
      <w:r w:rsidR="00C630FC" w:rsidRPr="004C78D8">
        <w:instrText xml:space="preserve"> ADDIN EN.CITE &lt;EndNote&gt;&lt;Cite&gt;&lt;Author&gt;Huter&lt;/Author&gt;&lt;Year&gt;2016&lt;/Year&gt;&lt;RecNum&gt;7&lt;/RecNum&gt;&lt;DisplayText&gt;[83, 331]&lt;/DisplayText&gt;&lt;record&gt;&lt;rec-number&gt;7&lt;/rec-number&gt;&lt;foreign-keys&gt;&lt;key app="EN" db-id="tdtrdw9aepptzbefsat599syza29sxsd2wsp" timestamp="1596571805"&gt;7&lt;/key&gt;&lt;/foreign-keys&gt;&lt;ref-type name="Journal Article"&gt;17&lt;/ref-type&gt;&lt;contributors&gt;&lt;authors&gt;&lt;author&gt;Huter, Kai&lt;/author&gt;&lt;author&gt;Kocot, Ewa&lt;/author&gt;&lt;author&gt;Kissimova-Skarbek, Katarzyna&lt;/author&gt;&lt;author&gt;Dubas-Jakóbczyk, Katarzyna&lt;/author&gt;&lt;author&gt;Rothgang, Heinz&lt;/author&gt;&lt;/authors&gt;&lt;/contributors&gt;&lt;titles&gt;&lt;title&gt;Economic evaluation of health promotion for older people-methodological problems and challenges&lt;/title&gt;&lt;secondary-title&gt;BMC health services research&lt;/secondary-title&gt;&lt;/titles&gt;&lt;periodical&gt;&lt;full-title&gt;BMC health services research&lt;/full-title&gt;&lt;/periodical&gt;&lt;pages&gt;328&lt;/pages&gt;&lt;volume&gt;16&lt;/volume&gt;&lt;number&gt;5&lt;/number&gt;&lt;dates&gt;&lt;year&gt;2016&lt;/year&gt;&lt;/dates&gt;&lt;isbn&gt;1472-6963&lt;/isbn&gt;&lt;urls&gt;&lt;/urls&gt;&lt;/record&gt;&lt;/Cite&gt;&lt;Cite&gt;&lt;Author&gt;Huter&lt;/Author&gt;&lt;Year&gt;2018&lt;/Year&gt;&lt;RecNum&gt;298&lt;/RecNum&gt;&lt;record&gt;&lt;rec-number&gt;298&lt;/rec-number&gt;&lt;foreign-keys&gt;&lt;key app="EN" db-id="tdtrdw9aepptzbefsat599syza29sxsd2wsp" timestamp="1611871055"&gt;298&lt;/key&gt;&lt;/foreign-keys&gt;&lt;ref-type name="Journal Article"&gt;17&lt;/ref-type&gt;&lt;contributors&gt;&lt;authors&gt;&lt;author&gt;Huter, Kai&lt;/author&gt;&lt;author&gt;Dubas-Jakóbczyk, Katarzyna&lt;/author&gt;&lt;author&gt;Kocot, Ewa&lt;/author&gt;&lt;author&gt;Kissimova-Skarbek, Katarzyna&lt;/author&gt;&lt;author&gt;Rothgang, Heinz&lt;/author&gt;&lt;/authors&gt;&lt;/contributors&gt;&lt;titles&gt;&lt;title&gt;Economic evaluation of health promotion interventions for older people: do applied economic studies meet the methodological challenges?&lt;/title&gt;&lt;secondary-title&gt;Cost Effectiveness and Resource Allocation&lt;/secondary-title&gt;&lt;/titles&gt;&lt;periodical&gt;&lt;full-title&gt;Cost Effectiveness and Resource Allocation&lt;/full-title&gt;&lt;/periodical&gt;&lt;pages&gt;14&lt;/pages&gt;&lt;volume&gt;16&lt;/volume&gt;&lt;number&gt;1&lt;/number&gt;&lt;dates&gt;&lt;year&gt;2018&lt;/year&gt;&lt;/dates&gt;&lt;isbn&gt;1478-7547&lt;/isbn&gt;&lt;urls&gt;&lt;/urls&gt;&lt;/record&gt;&lt;/Cite&gt;&lt;/EndNote&gt;</w:instrText>
      </w:r>
      <w:r w:rsidR="00A44BA6" w:rsidRPr="004C78D8">
        <w:fldChar w:fldCharType="separate"/>
      </w:r>
      <w:r w:rsidR="00C630FC" w:rsidRPr="004C78D8">
        <w:rPr>
          <w:noProof/>
        </w:rPr>
        <w:t>[83, 331]</w:t>
      </w:r>
      <w:r w:rsidR="00A44BA6" w:rsidRPr="004C78D8">
        <w:fldChar w:fldCharType="end"/>
      </w:r>
      <w:r w:rsidRPr="004C78D8">
        <w:t xml:space="preserve">. However, inclusion of wider outcomes does not necessarily improve cost-effectiveness: </w:t>
      </w:r>
      <w:r w:rsidR="00A44BA6" w:rsidRPr="004C78D8">
        <w:t>in the current model, those aged 70+</w:t>
      </w:r>
      <w:r w:rsidRPr="004C78D8">
        <w:t xml:space="preserve"> </w:t>
      </w:r>
      <w:r w:rsidR="00A44BA6" w:rsidRPr="004C78D8">
        <w:t>at model entry</w:t>
      </w:r>
      <w:r w:rsidRPr="004C78D8">
        <w:t xml:space="preserve"> </w:t>
      </w:r>
      <w:r w:rsidR="00A44BA6" w:rsidRPr="004C78D8">
        <w:t xml:space="preserve">incurred net societal loss which </w:t>
      </w:r>
      <w:r w:rsidRPr="004C78D8">
        <w:t xml:space="preserve">raised their </w:t>
      </w:r>
      <w:r w:rsidR="00A44BA6" w:rsidRPr="004C78D8">
        <w:t xml:space="preserve">societal </w:t>
      </w:r>
      <w:r w:rsidRPr="004C78D8">
        <w:t>ICERs</w:t>
      </w:r>
      <w:r w:rsidR="00A44BA6" w:rsidRPr="004C78D8">
        <w:t xml:space="preserve"> (Table </w:t>
      </w:r>
      <w:r w:rsidR="004807E7" w:rsidRPr="004C78D8">
        <w:t>F1</w:t>
      </w:r>
      <w:r w:rsidR="00A44BA6" w:rsidRPr="004C78D8">
        <w:t>)</w:t>
      </w:r>
      <w:r w:rsidRPr="004C78D8">
        <w:t xml:space="preserve">. </w:t>
      </w:r>
      <w:r w:rsidR="00A44BA6" w:rsidRPr="004C78D8">
        <w:t xml:space="preserve">Table </w:t>
      </w:r>
      <w:r w:rsidR="004807E7" w:rsidRPr="004C78D8">
        <w:t>F3</w:t>
      </w:r>
      <w:r w:rsidR="00A44BA6" w:rsidRPr="004C78D8">
        <w:t xml:space="preserve"> also showed that s</w:t>
      </w:r>
      <w:r w:rsidRPr="004C78D8">
        <w:t xml:space="preserve">ocietal outcomes </w:t>
      </w:r>
      <w:r w:rsidR="00A44BA6" w:rsidRPr="004C78D8">
        <w:t xml:space="preserve">are </w:t>
      </w:r>
      <w:r w:rsidRPr="004C78D8">
        <w:t>generally pro-rich</w:t>
      </w:r>
      <w:r w:rsidR="00A44BA6" w:rsidRPr="004C78D8">
        <w:t>, raising a further set of equity issues</w:t>
      </w:r>
      <w:r w:rsidRPr="004C78D8">
        <w:t xml:space="preserve">. </w:t>
      </w:r>
      <w:r w:rsidR="00A44BA6" w:rsidRPr="004C78D8">
        <w:t>In all, discussions on priority setting challenges are likely unavoidable</w:t>
      </w:r>
      <w:r w:rsidR="00B212BB" w:rsidRPr="004C78D8">
        <w:t>;</w:t>
      </w:r>
      <w:r w:rsidR="00A44BA6" w:rsidRPr="004C78D8">
        <w:t xml:space="preserve"> </w:t>
      </w:r>
      <w:r w:rsidR="00B212BB" w:rsidRPr="004C78D8">
        <w:t xml:space="preserve">expanding the modelled outcomes </w:t>
      </w:r>
      <w:r w:rsidR="00A44BA6" w:rsidRPr="004C78D8">
        <w:t xml:space="preserve">can assist </w:t>
      </w:r>
      <w:r w:rsidR="00B212BB" w:rsidRPr="004C78D8">
        <w:t xml:space="preserve">these discussions but is unlikely to solve the problem by itself. </w:t>
      </w:r>
    </w:p>
    <w:p w14:paraId="117FA86F" w14:textId="59E30E76" w:rsidR="00AA556E" w:rsidRPr="004C78D8" w:rsidRDefault="00B212BB" w:rsidP="00FB7C1F">
      <w:r w:rsidRPr="004C78D8">
        <w:t xml:space="preserve">It should also be noted that several arguments have been advanced in the literature for </w:t>
      </w:r>
      <w:r w:rsidRPr="004C78D8">
        <w:rPr>
          <w:i/>
          <w:iCs/>
        </w:rPr>
        <w:t>direct</w:t>
      </w:r>
      <w:r w:rsidRPr="004C78D8">
        <w:t xml:space="preserve"> ageism, namely the curtailment of healthcare resources for older populations until the health needs of younger age groups are satisfied. The three main reasons are</w:t>
      </w:r>
      <w:r w:rsidR="00995155" w:rsidRPr="004C78D8">
        <w:t xml:space="preserve"> </w:t>
      </w:r>
      <w:r w:rsidR="00995155" w:rsidRPr="004C78D8">
        <w:fldChar w:fldCharType="begin"/>
      </w:r>
      <w:r w:rsidR="00513646" w:rsidRPr="004C78D8">
        <w:instrText xml:space="preserve"> ADDIN EN.CITE &lt;EndNote&gt;&lt;Cite&gt;&lt;Author&gt;Edlin&lt;/Author&gt;&lt;Year&gt;2008&lt;/Year&gt;&lt;RecNum&gt;485&lt;/RecNum&gt;&lt;DisplayText&gt;[107]&lt;/DisplayText&gt;&lt;record&gt;&lt;rec-number&gt;485&lt;/rec-number&gt;&lt;foreign-keys&gt;&lt;key app="EN" db-id="tdtrdw9aepptzbefsat599syza29sxsd2wsp" timestamp="1616691066"&gt;485&lt;/key&gt;&lt;/foreign-keys&gt;&lt;ref-type name="Journal Article"&gt;17&lt;/ref-type&gt;&lt;contributors&gt;&lt;authors&gt;&lt;author&gt;Edlin, Richard&lt;/author&gt;&lt;author&gt;Round, Jeff&lt;/author&gt;&lt;author&gt;McCabe, Christopher&lt;/author&gt;&lt;author&gt;Sculpher, Mark&lt;/author&gt;&lt;author&gt;Claxton, Karl&lt;/author&gt;&lt;author&gt;Cookson, Richard&lt;/author&gt;&lt;/authors&gt;&lt;/contributors&gt;&lt;titles&gt;&lt;title&gt;Cost-effectiveness analysis and ageism: a review of the theoretical literature&lt;/title&gt;&lt;secondary-title&gt;A report for the department of health. Leeds: University of Leeds&lt;/secondary-title&gt;&lt;/titles&gt;&lt;periodical&gt;&lt;full-title&gt;A report for the department of health. Leeds: University of Leeds&lt;/full-title&gt;&lt;/periodical&gt;&lt;dates&gt;&lt;year&gt;2008&lt;/year&gt;&lt;/dates&gt;&lt;urls&gt;&lt;/urls&gt;&lt;/record&gt;&lt;/Cite&gt;&lt;/EndNote&gt;</w:instrText>
      </w:r>
      <w:r w:rsidR="00995155" w:rsidRPr="004C78D8">
        <w:fldChar w:fldCharType="separate"/>
      </w:r>
      <w:r w:rsidR="00513646" w:rsidRPr="004C78D8">
        <w:rPr>
          <w:noProof/>
        </w:rPr>
        <w:t>[107]</w:t>
      </w:r>
      <w:r w:rsidR="00995155" w:rsidRPr="004C78D8">
        <w:fldChar w:fldCharType="end"/>
      </w:r>
      <w:r w:rsidRPr="004C78D8">
        <w:t>: (i) to ensure that those in earlier life stages are given the maximum chance of enjoying a ‘full’ lifespan</w:t>
      </w:r>
      <w:r w:rsidR="00995155" w:rsidRPr="004C78D8">
        <w:t xml:space="preserve"> </w:t>
      </w:r>
      <w:r w:rsidR="00E94599" w:rsidRPr="004C78D8">
        <w:t>or ‘fair innings’</w:t>
      </w:r>
      <w:r w:rsidRPr="004C78D8">
        <w:t xml:space="preserve">– termed ‘egalitarian ageism’; (ii) to assign lower priority on those who make smaller contributions to society – termed ‘productivity ageism’; and (iii) to cope with the resource pressures associated with an ageing population – termed ‘sustainability ageism’. </w:t>
      </w:r>
      <w:r w:rsidR="00995155" w:rsidRPr="004C78D8">
        <w:t>These arguments do not invalidate the conduct of thorough geriatric economic evaluations</w:t>
      </w:r>
      <w:r w:rsidR="005B55CF" w:rsidRPr="004C78D8">
        <w:t xml:space="preserve"> but rather expands the discussion boundary on priority setting challenges. Economic modelling can again assist these discussions.</w:t>
      </w:r>
      <w:r w:rsidR="00995155" w:rsidRPr="004C78D8">
        <w:t xml:space="preserve"> </w:t>
      </w:r>
      <w:r w:rsidR="005B55CF" w:rsidRPr="004C78D8">
        <w:t>For</w:t>
      </w:r>
      <w:r w:rsidR="00995155" w:rsidRPr="004C78D8">
        <w:t xml:space="preserve"> (i)</w:t>
      </w:r>
      <w:r w:rsidR="004807E7" w:rsidRPr="004C78D8">
        <w:t xml:space="preserve"> and (ii)</w:t>
      </w:r>
      <w:r w:rsidR="00995155" w:rsidRPr="004C78D8">
        <w:t xml:space="preserve">, the model should </w:t>
      </w:r>
      <w:r w:rsidR="00E94599" w:rsidRPr="004C78D8">
        <w:t xml:space="preserve">incorporate the </w:t>
      </w:r>
      <w:r w:rsidR="005B55CF" w:rsidRPr="004C78D8">
        <w:t xml:space="preserve">fair innings </w:t>
      </w:r>
      <w:r w:rsidR="004807E7" w:rsidRPr="004C78D8">
        <w:t xml:space="preserve">and productivity </w:t>
      </w:r>
      <w:r w:rsidR="00E94599" w:rsidRPr="004C78D8">
        <w:t>outcome</w:t>
      </w:r>
      <w:r w:rsidR="004807E7" w:rsidRPr="004C78D8">
        <w:t>s, respectively</w:t>
      </w:r>
      <w:r w:rsidR="00E94599" w:rsidRPr="004C78D8">
        <w:t xml:space="preserve">. </w:t>
      </w:r>
      <w:r w:rsidR="005B55CF" w:rsidRPr="004C78D8">
        <w:t xml:space="preserve">For (iii), </w:t>
      </w:r>
      <w:r w:rsidR="00B627FA" w:rsidRPr="004C78D8">
        <w:t xml:space="preserve">healthcare cost savings from geriatric interventions should be thoroughly documented. </w:t>
      </w:r>
      <w:r w:rsidR="00A8005F" w:rsidRPr="004C78D8">
        <w:t xml:space="preserve">The current model has shown that these features can be readily incorporated. Beyond these, assigning more favourable weights to outcomes in younger age groups and groups with greater social roles – </w:t>
      </w:r>
      <w:r w:rsidR="004807E7" w:rsidRPr="004C78D8">
        <w:t>e.g.,</w:t>
      </w:r>
      <w:r w:rsidR="00A8005F" w:rsidRPr="004C78D8">
        <w:t xml:space="preserve"> in the Global Burden of Disease measurement before 2010 </w:t>
      </w:r>
      <w:r w:rsidR="00A8005F" w:rsidRPr="004C78D8">
        <w:fldChar w:fldCharType="begin"/>
      </w:r>
      <w:r w:rsidR="00A2699D" w:rsidRPr="004C78D8">
        <w:instrText xml:space="preserve"> ADDIN EN.CITE &lt;EndNote&gt;&lt;Cite&gt;&lt;Author&gt;Murray&lt;/Author&gt;&lt;Year&gt;1994&lt;/Year&gt;&lt;RecNum&gt;794&lt;/RecNum&gt;&lt;DisplayText&gt;[436]&lt;/DisplayText&gt;&lt;record&gt;&lt;rec-number&gt;794&lt;/rec-number&gt;&lt;foreign-keys&gt;&lt;key app="EN" db-id="tdtrdw9aepptzbefsat599syza29sxsd2wsp" timestamp="1644843864"&gt;794&lt;/key&gt;&lt;/foreign-keys&gt;&lt;ref-type name="Journal Article"&gt;17&lt;/ref-type&gt;&lt;contributors&gt;&lt;authors&gt;&lt;author&gt;Murray, Christopher J&lt;/author&gt;&lt;author&gt;Lopez, Alan D&lt;/author&gt;&lt;author&gt;Jamison, Dean T&lt;/author&gt;&lt;/authors&gt;&lt;/contributors&gt;&lt;titles&gt;&lt;title&gt;The global burden of disease in 1990: summary results, sensitivity analysis and future directions&lt;/title&gt;&lt;secondary-title&gt;Bulletin of the World Health Organization&lt;/secondary-title&gt;&lt;/titles&gt;&lt;periodical&gt;&lt;full-title&gt;Bulletin of the World Health Organization&lt;/full-title&gt;&lt;/periodical&gt;&lt;pages&gt;495&lt;/pages&gt;&lt;volume&gt;72&lt;/volume&gt;&lt;number&gt;3&lt;/number&gt;&lt;dates&gt;&lt;year&gt;1994&lt;/year&gt;&lt;/dates&gt;&lt;urls&gt;&lt;/urls&gt;&lt;/record&gt;&lt;/Cite&gt;&lt;/EndNote&gt;</w:instrText>
      </w:r>
      <w:r w:rsidR="00A8005F" w:rsidRPr="004C78D8">
        <w:fldChar w:fldCharType="separate"/>
      </w:r>
      <w:r w:rsidR="00A2699D" w:rsidRPr="004C78D8">
        <w:rPr>
          <w:noProof/>
        </w:rPr>
        <w:t>[436]</w:t>
      </w:r>
      <w:r w:rsidR="00A8005F" w:rsidRPr="004C78D8">
        <w:fldChar w:fldCharType="end"/>
      </w:r>
      <w:r w:rsidR="00A8005F" w:rsidRPr="004C78D8">
        <w:t xml:space="preserve"> – has been ruled out by </w:t>
      </w:r>
      <w:r w:rsidR="004807E7" w:rsidRPr="004C78D8">
        <w:t>NICE</w:t>
      </w:r>
      <w:r w:rsidR="004F19A1" w:rsidRPr="004C78D8">
        <w:t xml:space="preserve"> </w:t>
      </w:r>
      <w:r w:rsidR="004F19A1" w:rsidRPr="004C78D8">
        <w:fldChar w:fldCharType="begin"/>
      </w:r>
      <w:r w:rsidR="00C630FC" w:rsidRPr="004C78D8">
        <w:instrText xml:space="preserve"> ADDIN EN.CITE &lt;EndNote&gt;&lt;Cite&gt;&lt;Author&gt;National Institute for Health and Care Excellence&lt;/Author&gt;&lt;Year&gt;2003&lt;/Year&gt;&lt;RecNum&gt;520&lt;/RecNum&gt;&lt;DisplayText&gt;[260]&lt;/DisplayText&gt;&lt;record&gt;&lt;rec-number&gt;520&lt;/rec-number&gt;&lt;foreign-keys&gt;&lt;key app="EN" db-id="tdtrdw9aepptzbefsat599syza29sxsd2wsp" timestamp="1618152303"&gt;520&lt;/key&gt;&lt;/foreign-keys&gt;&lt;ref-type name="Journal Article"&gt;17&lt;/ref-type&gt;&lt;contributors&gt;&lt;authors&gt;&lt;author&gt;National Institute for Health and Care Excellence,&lt;/author&gt;&lt;/authors&gt;&lt;/contributors&gt;&lt;titles&gt;&lt;title&gt;NICE Citizens Council Report on Age&lt;/title&gt;&lt;secondary-title&gt;UK: NICE&lt;/secondary-title&gt;&lt;/titles&gt;&lt;periodical&gt;&lt;full-title&gt;UK: NICE&lt;/full-title&gt;&lt;/periodical&gt;&lt;dates&gt;&lt;year&gt;2003&lt;/year&gt;&lt;/dates&gt;&lt;urls&gt;&lt;/urls&gt;&lt;/record&gt;&lt;/Cite&gt;&lt;/EndNote&gt;</w:instrText>
      </w:r>
      <w:r w:rsidR="004F19A1" w:rsidRPr="004C78D8">
        <w:fldChar w:fldCharType="separate"/>
      </w:r>
      <w:r w:rsidR="00C630FC" w:rsidRPr="004C78D8">
        <w:rPr>
          <w:noProof/>
        </w:rPr>
        <w:t>[260]</w:t>
      </w:r>
      <w:r w:rsidR="004F19A1" w:rsidRPr="004C78D8">
        <w:fldChar w:fldCharType="end"/>
      </w:r>
      <w:r w:rsidR="004F19A1" w:rsidRPr="004C78D8">
        <w:t xml:space="preserve">. </w:t>
      </w:r>
    </w:p>
    <w:p w14:paraId="4CE53D12" w14:textId="76AEBE19" w:rsidR="00BA5C9A" w:rsidRPr="004C78D8" w:rsidRDefault="00352853" w:rsidP="00FB7C1F">
      <w:r w:rsidRPr="004C78D8">
        <w:t xml:space="preserve">Overall, economic modelling of geriatric public health interventions is </w:t>
      </w:r>
      <w:r w:rsidR="00BD67FE" w:rsidRPr="004C78D8">
        <w:t xml:space="preserve">a </w:t>
      </w:r>
      <w:r w:rsidRPr="004C78D8">
        <w:t xml:space="preserve">highly useful decision-making tool provided that the model fully accounts for: (1) the dynamic propagation of disease impact on outcomes; (2) the impact of earlier-life prevention that alters the baseline </w:t>
      </w:r>
      <w:r w:rsidR="00BD67FE" w:rsidRPr="004C78D8">
        <w:t>characteristics</w:t>
      </w:r>
      <w:r w:rsidRPr="004C78D8">
        <w:t xml:space="preserve">; (3) the variation in cost-effectiveness </w:t>
      </w:r>
      <w:r w:rsidR="00BB5DF2" w:rsidRPr="004C78D8">
        <w:t xml:space="preserve">outcomes </w:t>
      </w:r>
      <w:r w:rsidRPr="004C78D8">
        <w:t xml:space="preserve">across age subgroups; (4) </w:t>
      </w:r>
      <w:r w:rsidR="00BD67FE" w:rsidRPr="004C78D8">
        <w:t xml:space="preserve">the number of persons achieving ‘fair innings’; and (5) </w:t>
      </w:r>
      <w:r w:rsidR="006E36A7" w:rsidRPr="004C78D8">
        <w:t xml:space="preserve">the </w:t>
      </w:r>
      <w:r w:rsidR="00BD67FE" w:rsidRPr="004C78D8">
        <w:t>productivity gains and healthcare resource savings from prevention</w:t>
      </w:r>
      <w:r w:rsidRPr="004C78D8">
        <w:t xml:space="preserve">. </w:t>
      </w:r>
      <w:r w:rsidR="00BD67FE" w:rsidRPr="004C78D8">
        <w:t xml:space="preserve">These aspects </w:t>
      </w:r>
      <w:r w:rsidR="000E62F5" w:rsidRPr="004C78D8">
        <w:t>set the benchmark for public health economic modelling such that the model can</w:t>
      </w:r>
      <w:r w:rsidR="00BD67FE" w:rsidRPr="004C78D8">
        <w:t xml:space="preserve"> </w:t>
      </w:r>
      <w:r w:rsidR="001D6A98" w:rsidRPr="004C78D8">
        <w:t xml:space="preserve">sufficiently </w:t>
      </w:r>
      <w:r w:rsidR="00BD67FE" w:rsidRPr="004C78D8">
        <w:t>inform the discussion on priority setting challenges.</w:t>
      </w:r>
      <w:r w:rsidRPr="004C78D8">
        <w:t xml:space="preserve"> </w:t>
      </w:r>
    </w:p>
    <w:p w14:paraId="41417B3F" w14:textId="28BFC13D" w:rsidR="006C4CA9" w:rsidRPr="004C78D8" w:rsidRDefault="006D62A0" w:rsidP="00FB7C1F">
      <w:pPr>
        <w:pStyle w:val="Heading3"/>
      </w:pPr>
      <w:bookmarkStart w:id="231" w:name="_Toc111630815"/>
      <w:r w:rsidRPr="004C78D8">
        <w:t>7</w:t>
      </w:r>
      <w:r w:rsidR="006C4CA9" w:rsidRPr="004C78D8">
        <w:t>.3.2 High integration of care</w:t>
      </w:r>
      <w:bookmarkEnd w:id="231"/>
    </w:p>
    <w:p w14:paraId="35E87510" w14:textId="4FF07195" w:rsidR="008A326C" w:rsidRPr="004C78D8" w:rsidRDefault="00866737" w:rsidP="00FB7C1F">
      <w:r w:rsidRPr="004C78D8">
        <w:t>The current study initially began with the aim of evaluating an integrated care scheme called Active Support &amp; Recovery (AS&amp;R) in Sheffield</w:t>
      </w:r>
      <w:r w:rsidR="006349BE" w:rsidRPr="004C78D8">
        <w:t xml:space="preserve">, </w:t>
      </w:r>
      <w:r w:rsidR="002C6953" w:rsidRPr="004C78D8">
        <w:t xml:space="preserve">a package of reactive and rehabilitation services </w:t>
      </w:r>
      <w:r w:rsidR="006349BE" w:rsidRPr="004C78D8">
        <w:t>including</w:t>
      </w:r>
      <w:r w:rsidR="002C6953" w:rsidRPr="004C78D8">
        <w:t xml:space="preserve"> falls prevention (Table 3.3). At the </w:t>
      </w:r>
      <w:r w:rsidR="001F5F43" w:rsidRPr="004C78D8">
        <w:t>preliminary discussion o</w:t>
      </w:r>
      <w:r w:rsidR="00E65B90" w:rsidRPr="004C78D8">
        <w:t>f</w:t>
      </w:r>
      <w:r w:rsidR="001F5F43" w:rsidRPr="004C78D8">
        <w:t xml:space="preserve"> model results</w:t>
      </w:r>
      <w:r w:rsidR="002C6953" w:rsidRPr="004C78D8">
        <w:t xml:space="preserve">, commissioners still </w:t>
      </w:r>
      <w:r w:rsidR="001F5F43" w:rsidRPr="004C78D8">
        <w:t>conceptualised</w:t>
      </w:r>
      <w:r w:rsidR="002C6953" w:rsidRPr="004C78D8">
        <w:t xml:space="preserve"> community-based falls prevention as a component within a broader geriatric prevention package (Section </w:t>
      </w:r>
      <w:r w:rsidR="006349BE" w:rsidRPr="004C78D8">
        <w:t>6</w:t>
      </w:r>
      <w:r w:rsidR="002C6953" w:rsidRPr="004C78D8">
        <w:t>.</w:t>
      </w:r>
      <w:r w:rsidR="006349BE" w:rsidRPr="004C78D8">
        <w:t>4</w:t>
      </w:r>
      <w:r w:rsidR="002C6953" w:rsidRPr="004C78D8">
        <w:t xml:space="preserve">.2). </w:t>
      </w:r>
      <w:r w:rsidR="001F5F43" w:rsidRPr="004C78D8">
        <w:t xml:space="preserve">This integrative conceptualisation necessarily applies to other geriatric interventions within the package. Therefore, </w:t>
      </w:r>
      <w:r w:rsidR="007B0F97" w:rsidRPr="004C78D8">
        <w:t xml:space="preserve">geriatric public health </w:t>
      </w:r>
      <w:r w:rsidR="001F5F43" w:rsidRPr="004C78D8">
        <w:t>models should</w:t>
      </w:r>
      <w:r w:rsidR="002C6953" w:rsidRPr="004C78D8">
        <w:t xml:space="preserve"> possess the capacity to evaluate how </w:t>
      </w:r>
      <w:r w:rsidR="001F5F43" w:rsidRPr="004C78D8">
        <w:t>their main intervention of interest</w:t>
      </w:r>
      <w:r w:rsidR="002C6953" w:rsidRPr="004C78D8">
        <w:t xml:space="preserve"> interact</w:t>
      </w:r>
      <w:r w:rsidR="001F5F43" w:rsidRPr="004C78D8">
        <w:t>s</w:t>
      </w:r>
      <w:r w:rsidR="002C6953" w:rsidRPr="004C78D8">
        <w:t xml:space="preserve"> with </w:t>
      </w:r>
      <w:r w:rsidR="001F5F43" w:rsidRPr="004C78D8">
        <w:t xml:space="preserve">other </w:t>
      </w:r>
      <w:r w:rsidR="00E65B90" w:rsidRPr="004C78D8">
        <w:t xml:space="preserve">geriatric </w:t>
      </w:r>
      <w:r w:rsidR="001F5F43" w:rsidRPr="004C78D8">
        <w:t xml:space="preserve">interventions. Fully parameterising the costs and efficacies of the latter would be </w:t>
      </w:r>
      <w:r w:rsidR="006349BE" w:rsidRPr="004C78D8">
        <w:t>optimal</w:t>
      </w:r>
      <w:r w:rsidR="001F5F43" w:rsidRPr="004C78D8">
        <w:t xml:space="preserve">. But </w:t>
      </w:r>
      <w:r w:rsidR="006349BE" w:rsidRPr="004C78D8">
        <w:t>the evaluation</w:t>
      </w:r>
      <w:r w:rsidR="001F5F43" w:rsidRPr="004C78D8">
        <w:t xml:space="preserve"> could take the form of </w:t>
      </w:r>
      <w:r w:rsidR="00D17501" w:rsidRPr="004C78D8">
        <w:t xml:space="preserve">characterising the </w:t>
      </w:r>
      <w:r w:rsidR="001F5F43" w:rsidRPr="004C78D8">
        <w:t>epidemiological</w:t>
      </w:r>
      <w:r w:rsidR="000B7B4E" w:rsidRPr="004C78D8">
        <w:t xml:space="preserve"> </w:t>
      </w:r>
      <w:r w:rsidR="00B7485B" w:rsidRPr="004C78D8">
        <w:t xml:space="preserve">effects </w:t>
      </w:r>
      <w:r w:rsidR="001F5F43" w:rsidRPr="004C78D8">
        <w:t xml:space="preserve">generated by </w:t>
      </w:r>
      <w:r w:rsidR="00D17501" w:rsidRPr="004C78D8">
        <w:t xml:space="preserve">the </w:t>
      </w:r>
      <w:r w:rsidR="001F5F43" w:rsidRPr="004C78D8">
        <w:t>other interventions</w:t>
      </w:r>
      <w:r w:rsidR="002C6953" w:rsidRPr="004C78D8">
        <w:t>.</w:t>
      </w:r>
    </w:p>
    <w:p w14:paraId="0821E5CC" w14:textId="2D4DD601" w:rsidR="006C4CA9" w:rsidRPr="004C78D8" w:rsidRDefault="008A326C" w:rsidP="00FB7C1F">
      <w:r w:rsidRPr="004C78D8">
        <w:t xml:space="preserve">The current model took the latter approach, evaluating the </w:t>
      </w:r>
      <w:r w:rsidR="006A049F" w:rsidRPr="004C78D8">
        <w:t>scenarios</w:t>
      </w:r>
      <w:r w:rsidRPr="004C78D8">
        <w:t xml:space="preserve"> of initial and contemporaneous frailty reductions on the outcomes of </w:t>
      </w:r>
      <w:r w:rsidR="006349BE" w:rsidRPr="004C78D8">
        <w:t>base comparison (Section 6.2.5.4)</w:t>
      </w:r>
      <w:r w:rsidRPr="004C78D8">
        <w:t>.</w:t>
      </w:r>
      <w:r w:rsidR="002C6953" w:rsidRPr="004C78D8">
        <w:t xml:space="preserve"> </w:t>
      </w:r>
      <w:r w:rsidRPr="004C78D8">
        <w:t>Th</w:t>
      </w:r>
      <w:r w:rsidR="006A049F" w:rsidRPr="004C78D8">
        <w:t>ese</w:t>
      </w:r>
      <w:r w:rsidRPr="004C78D8">
        <w:t xml:space="preserve"> simulate</w:t>
      </w:r>
      <w:r w:rsidR="007B0F97" w:rsidRPr="004C78D8">
        <w:t>d</w:t>
      </w:r>
      <w:r w:rsidRPr="004C78D8">
        <w:t xml:space="preserve"> the impacts of highly successful earlier-life and geriatric </w:t>
      </w:r>
      <w:r w:rsidR="006A049F" w:rsidRPr="004C78D8">
        <w:t xml:space="preserve">frailty </w:t>
      </w:r>
      <w:r w:rsidRPr="004C78D8">
        <w:t>preventions, respectively.</w:t>
      </w:r>
      <w:r w:rsidR="006A049F" w:rsidRPr="004C78D8">
        <w:t xml:space="preserve"> Both scenarios showed that falls prevention remained cost-effective and equity-improving. </w:t>
      </w:r>
      <w:r w:rsidR="00690105" w:rsidRPr="004C78D8">
        <w:t>T</w:t>
      </w:r>
      <w:r w:rsidR="006A049F" w:rsidRPr="004C78D8">
        <w:t>he initial frailty reduction scenario evaluate</w:t>
      </w:r>
      <w:r w:rsidR="00690105" w:rsidRPr="004C78D8">
        <w:t>d</w:t>
      </w:r>
      <w:r w:rsidR="006A049F" w:rsidRPr="004C78D8">
        <w:t xml:space="preserve"> the scope for </w:t>
      </w:r>
      <w:r w:rsidR="006A049F" w:rsidRPr="004C78D8">
        <w:rPr>
          <w:i/>
          <w:iCs/>
        </w:rPr>
        <w:t>life-course</w:t>
      </w:r>
      <w:r w:rsidR="006A049F" w:rsidRPr="004C78D8">
        <w:t xml:space="preserve"> integration of falls prevention, while the contemporaneous frailty reduction evaluate</w:t>
      </w:r>
      <w:r w:rsidR="00690105" w:rsidRPr="004C78D8">
        <w:t>d</w:t>
      </w:r>
      <w:r w:rsidR="006A049F" w:rsidRPr="004C78D8">
        <w:t xml:space="preserve"> the scope for </w:t>
      </w:r>
      <w:r w:rsidR="006A049F" w:rsidRPr="004C78D8">
        <w:rPr>
          <w:i/>
          <w:iCs/>
        </w:rPr>
        <w:t>multi-need</w:t>
      </w:r>
      <w:r w:rsidR="006A049F" w:rsidRPr="004C78D8">
        <w:t xml:space="preserve"> integration</w:t>
      </w:r>
      <w:r w:rsidR="00690105" w:rsidRPr="004C78D8">
        <w:t xml:space="preserve"> (see Section 1.3.2.3 where these integration terms were defined)</w:t>
      </w:r>
      <w:r w:rsidR="006A049F" w:rsidRPr="004C78D8">
        <w:t>.</w:t>
      </w:r>
      <w:r w:rsidR="006738A6" w:rsidRPr="004C78D8">
        <w:t xml:space="preserve"> </w:t>
      </w:r>
      <w:r w:rsidR="001E4739" w:rsidRPr="004C78D8">
        <w:t xml:space="preserve">A </w:t>
      </w:r>
      <w:r w:rsidR="006738A6" w:rsidRPr="004C78D8">
        <w:t xml:space="preserve">key takeaway </w:t>
      </w:r>
      <w:r w:rsidR="001E4739" w:rsidRPr="004C78D8">
        <w:t>is</w:t>
      </w:r>
      <w:r w:rsidR="00690105" w:rsidRPr="004C78D8">
        <w:t xml:space="preserve"> the </w:t>
      </w:r>
      <w:r w:rsidR="006738A6" w:rsidRPr="004C78D8">
        <w:t xml:space="preserve">importance of incorporating a </w:t>
      </w:r>
      <w:r w:rsidR="00705056" w:rsidRPr="004C78D8">
        <w:t xml:space="preserve">frailty </w:t>
      </w:r>
      <w:r w:rsidR="00C64A7D" w:rsidRPr="004C78D8">
        <w:t xml:space="preserve">variable (alongside other variables with key dynamic links) </w:t>
      </w:r>
      <w:r w:rsidR="006738A6" w:rsidRPr="004C78D8">
        <w:t xml:space="preserve">that </w:t>
      </w:r>
      <w:r w:rsidR="006349BE" w:rsidRPr="004C78D8">
        <w:t xml:space="preserve">captures </w:t>
      </w:r>
      <w:r w:rsidR="00690105" w:rsidRPr="004C78D8">
        <w:t xml:space="preserve">the </w:t>
      </w:r>
      <w:r w:rsidR="00705056" w:rsidRPr="004C78D8">
        <w:t>full</w:t>
      </w:r>
      <w:r w:rsidR="00690105" w:rsidRPr="004C78D8">
        <w:t xml:space="preserve"> impacts of further interventions.</w:t>
      </w:r>
    </w:p>
    <w:p w14:paraId="4CF268C7" w14:textId="0CDE97FC" w:rsidR="006A049F" w:rsidRPr="004C78D8" w:rsidRDefault="00A040D6" w:rsidP="00FB7C1F">
      <w:r w:rsidRPr="004C78D8">
        <w:t>Equally important</w:t>
      </w:r>
      <w:r w:rsidR="00471F12" w:rsidRPr="004C78D8">
        <w:t xml:space="preserve"> for geriatric public health is </w:t>
      </w:r>
      <w:r w:rsidR="00471F12" w:rsidRPr="004C78D8">
        <w:rPr>
          <w:i/>
          <w:iCs/>
        </w:rPr>
        <w:t>single-need</w:t>
      </w:r>
      <w:r w:rsidR="00471F12" w:rsidRPr="004C78D8">
        <w:t xml:space="preserve"> integration, namely the coordination of multiple assets</w:t>
      </w:r>
      <w:r w:rsidR="006738A6" w:rsidRPr="004C78D8">
        <w:t xml:space="preserve">, </w:t>
      </w:r>
      <w:r w:rsidR="00B41EB7" w:rsidRPr="004C78D8">
        <w:t xml:space="preserve">professional disciplines, </w:t>
      </w:r>
      <w:r w:rsidR="006738A6" w:rsidRPr="004C78D8">
        <w:t>and pathways</w:t>
      </w:r>
      <w:r w:rsidR="00471F12" w:rsidRPr="004C78D8">
        <w:t xml:space="preserve"> to prevent a specific disease or syndrome</w:t>
      </w:r>
      <w:r w:rsidR="00690105" w:rsidRPr="004C78D8">
        <w:t xml:space="preserve"> such as falls</w:t>
      </w:r>
      <w:r w:rsidR="00471F12" w:rsidRPr="004C78D8">
        <w:t xml:space="preserve">. </w:t>
      </w:r>
      <w:r w:rsidR="00C64A7D" w:rsidRPr="004C78D8">
        <w:t>This first requires the model to distinguish between the individual components being integrated: e.g., in the current model</w:t>
      </w:r>
      <w:r w:rsidR="00690105" w:rsidRPr="004C78D8">
        <w:t xml:space="preserve"> between </w:t>
      </w:r>
      <w:r w:rsidR="00B41EB7" w:rsidRPr="004C78D8">
        <w:t xml:space="preserve">initial </w:t>
      </w:r>
      <w:r w:rsidR="00690105" w:rsidRPr="004C78D8">
        <w:t>risk screening</w:t>
      </w:r>
      <w:r w:rsidR="00B41EB7" w:rsidRPr="004C78D8">
        <w:t>, risk-based triage under capacity constraints, therapeutics</w:t>
      </w:r>
      <w:r w:rsidR="00C64A7D" w:rsidRPr="004C78D8">
        <w:t>, and parallel prevention pathways</w:t>
      </w:r>
      <w:r w:rsidR="00B41EB7" w:rsidRPr="004C78D8">
        <w:t>.</w:t>
      </w:r>
      <w:r w:rsidR="00C95CD8" w:rsidRPr="004C78D8">
        <w:t xml:space="preserve"> </w:t>
      </w:r>
      <w:r w:rsidR="00C64A7D" w:rsidRPr="004C78D8">
        <w:t xml:space="preserve">Scenarios on different permutations of components should then be evaluated to assess the component-specific contributions. </w:t>
      </w:r>
      <w:r w:rsidR="00EC5FE1" w:rsidRPr="004C78D8">
        <w:t>The current model, for example, evaluated the unique efficiency-equity impacts of individual pathways and evaluated single pathway commissioning as alternative intervention strategies. The</w:t>
      </w:r>
      <w:r w:rsidR="00B41EB7" w:rsidRPr="004C78D8">
        <w:t xml:space="preserve"> clinical parallel is the ‘whole disease model’ that characterises the interactions between detection, diagnosis, </w:t>
      </w:r>
      <w:r w:rsidR="006B0D93" w:rsidRPr="004C78D8">
        <w:t xml:space="preserve">and </w:t>
      </w:r>
      <w:r w:rsidR="00B41EB7" w:rsidRPr="004C78D8">
        <w:t xml:space="preserve">therapeutics required to prevent and cure a single disease </w:t>
      </w:r>
      <w:r w:rsidR="00EC5FE1" w:rsidRPr="004C78D8">
        <w:t xml:space="preserve">then fully compares the permutations </w:t>
      </w:r>
      <w:r w:rsidR="00B41EB7" w:rsidRPr="004C78D8">
        <w:fldChar w:fldCharType="begin"/>
      </w:r>
      <w:r w:rsidR="00A2699D" w:rsidRPr="004C78D8">
        <w:instrText xml:space="preserve"> ADDIN EN.CITE &lt;EndNote&gt;&lt;Cite&gt;&lt;Author&gt;Tappenden&lt;/Author&gt;&lt;Year&gt;2013&lt;/Year&gt;&lt;RecNum&gt;795&lt;/RecNum&gt;&lt;DisplayText&gt;[437]&lt;/DisplayText&gt;&lt;record&gt;&lt;rec-number&gt;795&lt;/rec-number&gt;&lt;foreign-keys&gt;&lt;key app="EN" db-id="tdtrdw9aepptzbefsat599syza29sxsd2wsp" timestamp="1644876508"&gt;795&lt;/key&gt;&lt;/foreign-keys&gt;&lt;ref-type name="Journal Article"&gt;17&lt;/ref-type&gt;&lt;contributors&gt;&lt;authors&gt;&lt;author&gt;Tappenden, Paul&lt;/author&gt;&lt;author&gt;Chilcott, Jim&lt;/author&gt;&lt;author&gt;Brennan, Alan&lt;/author&gt;&lt;author&gt;Squires, Hazel&lt;/author&gt;&lt;author&gt;Glynne-Jones, Rob&lt;/author&gt;&lt;author&gt;Tappenden, Janine&lt;/author&gt;&lt;/authors&gt;&lt;/contributors&gt;&lt;titles&gt;&lt;title&gt;Using whole disease modeling to inform resource allocation decisions: economic evaluation of a clinical guideline for colorectal cancer using a single model&lt;/title&gt;&lt;secondary-title&gt;Value in health&lt;/secondary-title&gt;&lt;/titles&gt;&lt;periodical&gt;&lt;full-title&gt;Value in Health&lt;/full-title&gt;&lt;/periodical&gt;&lt;pages&gt;542-553&lt;/pages&gt;&lt;volume&gt;16&lt;/volume&gt;&lt;number&gt;4&lt;/number&gt;&lt;dates&gt;&lt;year&gt;2013&lt;/year&gt;&lt;/dates&gt;&lt;isbn&gt;1098-3015&lt;/isbn&gt;&lt;urls&gt;&lt;/urls&gt;&lt;/record&gt;&lt;/Cite&gt;&lt;/EndNote&gt;</w:instrText>
      </w:r>
      <w:r w:rsidR="00B41EB7" w:rsidRPr="004C78D8">
        <w:fldChar w:fldCharType="separate"/>
      </w:r>
      <w:r w:rsidR="00A2699D" w:rsidRPr="004C78D8">
        <w:rPr>
          <w:noProof/>
        </w:rPr>
        <w:t>[437]</w:t>
      </w:r>
      <w:r w:rsidR="00B41EB7" w:rsidRPr="004C78D8">
        <w:fldChar w:fldCharType="end"/>
      </w:r>
      <w:r w:rsidR="00B41EB7" w:rsidRPr="004C78D8">
        <w:t xml:space="preserve">. </w:t>
      </w:r>
      <w:r w:rsidR="0005291E" w:rsidRPr="004C78D8">
        <w:t xml:space="preserve"> </w:t>
      </w:r>
    </w:p>
    <w:p w14:paraId="6B7CEDEC" w14:textId="3BEA5BF7" w:rsidR="004B7CC4" w:rsidRPr="004C78D8" w:rsidRDefault="00A040D6" w:rsidP="00FB7C1F">
      <w:r w:rsidRPr="004C78D8">
        <w:t xml:space="preserve">Another important integration type is </w:t>
      </w:r>
      <w:r w:rsidRPr="004C78D8">
        <w:rPr>
          <w:i/>
          <w:iCs/>
        </w:rPr>
        <w:t>intersectoral</w:t>
      </w:r>
      <w:r w:rsidRPr="004C78D8">
        <w:t xml:space="preserve"> integration</w:t>
      </w:r>
      <w:r w:rsidR="000E5ACD" w:rsidRPr="004C78D8">
        <w:t xml:space="preserve"> in its different forms: (i) intersectoral environmental interventions; (ii) integration between public health and wider welfare (e.g., income support for vulnerable groups) policies; and (iii) non-clinical community asset involvement as implementation resources</w:t>
      </w:r>
      <w:r w:rsidRPr="004C78D8">
        <w:t xml:space="preserve">. </w:t>
      </w:r>
      <w:r w:rsidR="000E5ACD" w:rsidRPr="004C78D8">
        <w:t xml:space="preserve">Thorough conceptualisation of the decision problem is </w:t>
      </w:r>
      <w:r w:rsidR="004B7CC4" w:rsidRPr="004C78D8">
        <w:t>crucial</w:t>
      </w:r>
      <w:r w:rsidR="000E5ACD" w:rsidRPr="004C78D8">
        <w:t xml:space="preserve"> for understanding </w:t>
      </w:r>
      <w:r w:rsidR="007B2115" w:rsidRPr="004C78D8">
        <w:t>the full scope for intersectoral integration</w:t>
      </w:r>
      <w:r w:rsidR="004B7CC4" w:rsidRPr="004C78D8">
        <w:t xml:space="preserve"> and evaluating it in the final model</w:t>
      </w:r>
      <w:r w:rsidR="000E5ACD" w:rsidRPr="004C78D8">
        <w:t xml:space="preserve">. </w:t>
      </w:r>
      <w:r w:rsidR="004B7CC4" w:rsidRPr="004C78D8">
        <w:t>Specifically, the qualitative research in Chapter 2 found local older persons being highly sensitive towards factors influencing all above forms of intersectoral integration.</w:t>
      </w:r>
      <w:r w:rsidR="0074389A" w:rsidRPr="004C78D8">
        <w:t xml:space="preserve"> </w:t>
      </w:r>
      <w:r w:rsidR="00993F27" w:rsidRPr="004C78D8">
        <w:t>Therefore, p</w:t>
      </w:r>
      <w:r w:rsidR="0074389A" w:rsidRPr="004C78D8">
        <w:t xml:space="preserve">rospective efforts to reduce the model’s structural uncertainty naturally </w:t>
      </w:r>
      <w:r w:rsidR="00993F27" w:rsidRPr="004C78D8">
        <w:t>generate</w:t>
      </w:r>
      <w:r w:rsidR="0074389A" w:rsidRPr="004C78D8">
        <w:t xml:space="preserve"> hypotheses on the</w:t>
      </w:r>
      <w:r w:rsidR="007B2115" w:rsidRPr="004C78D8">
        <w:t xml:space="preserve"> intersectoral </w:t>
      </w:r>
      <w:r w:rsidR="0074389A" w:rsidRPr="004C78D8">
        <w:t xml:space="preserve">relationship between the </w:t>
      </w:r>
      <w:r w:rsidR="007B2115" w:rsidRPr="004C78D8">
        <w:t>given geriatric public health</w:t>
      </w:r>
      <w:r w:rsidR="0074389A" w:rsidRPr="004C78D8">
        <w:t xml:space="preserve"> intervention and factors in its health ecosystem. </w:t>
      </w:r>
    </w:p>
    <w:p w14:paraId="08DCCC70" w14:textId="0573C891" w:rsidR="006C4CA9" w:rsidRPr="004C78D8" w:rsidRDefault="008C509D" w:rsidP="00FB7C1F">
      <w:r w:rsidRPr="004C78D8">
        <w:t xml:space="preserve">For context, </w:t>
      </w:r>
      <w:r w:rsidR="00DD0E19" w:rsidRPr="004C78D8">
        <w:t>integrated care schemes have brought mixed empirical results to date</w:t>
      </w:r>
      <w:r w:rsidRPr="004C78D8">
        <w:t xml:space="preserve"> despite the continued policy interest and funding</w:t>
      </w:r>
      <w:r w:rsidR="00DD0E19" w:rsidRPr="004C78D8">
        <w:t xml:space="preserve">. One systematic review of 167 integrated care </w:t>
      </w:r>
      <w:r w:rsidRPr="004C78D8">
        <w:t>schemes</w:t>
      </w:r>
      <w:r w:rsidR="00DD0E19" w:rsidRPr="004C78D8">
        <w:t xml:space="preserve"> found limited or inconsistent evidence of reductions in primary and secondary care utilisation and cost </w:t>
      </w:r>
      <w:r w:rsidR="00DD0E19" w:rsidRPr="004C78D8">
        <w:fldChar w:fldCharType="begin"/>
      </w:r>
      <w:r w:rsidR="00513646" w:rsidRPr="004C78D8">
        <w:instrText xml:space="preserve"> ADDIN EN.CITE &lt;EndNote&gt;&lt;Cite&gt;&lt;Author&gt;Baxter&lt;/Author&gt;&lt;Year&gt;2018&lt;/Year&gt;&lt;RecNum&gt;459&lt;/RecNum&gt;&lt;DisplayText&gt;[118]&lt;/DisplayText&gt;&lt;record&gt;&lt;rec-number&gt;459&lt;/rec-number&gt;&lt;foreign-keys&gt;&lt;key app="EN" db-id="tdtrdw9aepptzbefsat599syza29sxsd2wsp" timestamp="1616451678"&gt;459&lt;/key&gt;&lt;/foreign-keys&gt;&lt;ref-type name="Journal Article"&gt;17&lt;/ref-type&gt;&lt;contributors&gt;&lt;authors&gt;&lt;author&gt;Baxter, Susan&lt;/author&gt;&lt;author&gt;Johnson, Maxine&lt;/author&gt;&lt;author&gt;Chambers, Duncan&lt;/author&gt;&lt;author&gt;Sutton, Anthea&lt;/author&gt;&lt;author&gt;Goyder, Elizabeth&lt;/author&gt;&lt;author&gt;Booth, Andrew&lt;/author&gt;&lt;/authors&gt;&lt;/contributors&gt;&lt;titles&gt;&lt;title&gt;The effects of integrated care: a systematic review of UK and international evidence&lt;/title&gt;&lt;secondary-title&gt;BMC health services research&lt;/secondary-title&gt;&lt;/titles&gt;&lt;periodical&gt;&lt;full-title&gt;BMC health services research&lt;/full-title&gt;&lt;/periodical&gt;&lt;pages&gt;350&lt;/pages&gt;&lt;volume&gt;18&lt;/volume&gt;&lt;number&gt;1&lt;/number&gt;&lt;dates&gt;&lt;year&gt;2018&lt;/year&gt;&lt;/dates&gt;&lt;isbn&gt;1472-6963&lt;/isbn&gt;&lt;urls&gt;&lt;/urls&gt;&lt;/record&gt;&lt;/Cite&gt;&lt;/EndNote&gt;</w:instrText>
      </w:r>
      <w:r w:rsidR="00DD0E19" w:rsidRPr="004C78D8">
        <w:fldChar w:fldCharType="separate"/>
      </w:r>
      <w:r w:rsidR="00513646" w:rsidRPr="004C78D8">
        <w:rPr>
          <w:noProof/>
        </w:rPr>
        <w:t>[118]</w:t>
      </w:r>
      <w:r w:rsidR="00DD0E19" w:rsidRPr="004C78D8">
        <w:fldChar w:fldCharType="end"/>
      </w:r>
      <w:r w:rsidRPr="004C78D8">
        <w:t>; another</w:t>
      </w:r>
      <w:r w:rsidR="00DD0E19" w:rsidRPr="004C78D8">
        <w:t xml:space="preserve"> evaluation of B</w:t>
      </w:r>
      <w:r w:rsidRPr="004C78D8">
        <w:t>etter Care Fund</w:t>
      </w:r>
      <w:r w:rsidR="00DD0E19" w:rsidRPr="004C78D8">
        <w:t xml:space="preserve"> scheme</w:t>
      </w:r>
      <w:r w:rsidR="00833F79" w:rsidRPr="004C78D8">
        <w:t>s</w:t>
      </w:r>
      <w:r w:rsidR="00DD0E19" w:rsidRPr="004C78D8">
        <w:t xml:space="preserve"> in England found a significant </w:t>
      </w:r>
      <w:r w:rsidR="00DD0E19" w:rsidRPr="004C78D8">
        <w:rPr>
          <w:i/>
          <w:iCs/>
        </w:rPr>
        <w:t xml:space="preserve">increase </w:t>
      </w:r>
      <w:r w:rsidR="00DD0E19" w:rsidRPr="004C78D8">
        <w:t xml:space="preserve">in hospital admissions for persons with multimorbidity </w:t>
      </w:r>
      <w:r w:rsidR="00DD0E19" w:rsidRPr="004C78D8">
        <w:fldChar w:fldCharType="begin"/>
      </w:r>
      <w:r w:rsidR="00513646" w:rsidRPr="004C78D8">
        <w:instrText xml:space="preserve"> ADDIN EN.CITE &lt;EndNote&gt;&lt;Cite&gt;&lt;Author&gt;Stokes&lt;/Author&gt;&lt;Year&gt;2019&lt;/Year&gt;&lt;RecNum&gt;488&lt;/RecNum&gt;&lt;DisplayText&gt;[163]&lt;/DisplayText&gt;&lt;record&gt;&lt;rec-number&gt;488&lt;/rec-number&gt;&lt;foreign-keys&gt;&lt;key app="EN" db-id="tdtrdw9aepptzbefsat599syza29sxsd2wsp" timestamp="1616702990"&gt;488&lt;/key&gt;&lt;/foreign-keys&gt;&lt;ref-type name="Journal Article"&gt;17&lt;/ref-type&gt;&lt;contributors&gt;&lt;authors&gt;&lt;author&gt;Stokes, Jonathan&lt;/author&gt;&lt;author&gt;Lau, Yiu-Shing&lt;/author&gt;&lt;author&gt;Kristensen, Søren Rud&lt;/author&gt;&lt;author&gt;Sutton, Matt&lt;/author&gt;&lt;/authors&gt;&lt;/contributors&gt;&lt;titles&gt;&lt;title&gt;Does pooling health &amp;amp; social care budgets reduce hospital use and lower costs?&lt;/title&gt;&lt;secondary-title&gt;Social Science &amp;amp; Medicine&lt;/secondary-title&gt;&lt;/titles&gt;&lt;periodical&gt;&lt;full-title&gt;Social science &amp;amp; medicine&lt;/full-title&gt;&lt;/periodical&gt;&lt;pages&gt;382-388&lt;/pages&gt;&lt;volume&gt;232&lt;/volume&gt;&lt;dates&gt;&lt;year&gt;2019&lt;/year&gt;&lt;/dates&gt;&lt;isbn&gt;0277-9536&lt;/isbn&gt;&lt;urls&gt;&lt;/urls&gt;&lt;/record&gt;&lt;/Cite&gt;&lt;/EndNote&gt;</w:instrText>
      </w:r>
      <w:r w:rsidR="00DD0E19" w:rsidRPr="004C78D8">
        <w:fldChar w:fldCharType="separate"/>
      </w:r>
      <w:r w:rsidR="00513646" w:rsidRPr="004C78D8">
        <w:rPr>
          <w:noProof/>
        </w:rPr>
        <w:t>[163]</w:t>
      </w:r>
      <w:r w:rsidR="00DD0E19" w:rsidRPr="004C78D8">
        <w:fldChar w:fldCharType="end"/>
      </w:r>
      <w:r w:rsidR="00DD0E19" w:rsidRPr="004C78D8">
        <w:t xml:space="preserve">. The </w:t>
      </w:r>
      <w:r w:rsidRPr="004C78D8">
        <w:t>worse</w:t>
      </w:r>
      <w:r w:rsidR="00DD0E19" w:rsidRPr="004C78D8">
        <w:t xml:space="preserve"> than anticipated effectiveness prompted a meeting of 50 integrated care experts in 2019 to discuss the possible causes </w:t>
      </w:r>
      <w:r w:rsidR="00DD0E19" w:rsidRPr="004C78D8">
        <w:fldChar w:fldCharType="begin"/>
      </w:r>
      <w:r w:rsidR="00513646" w:rsidRPr="004C78D8">
        <w:instrText xml:space="preserve"> ADDIN EN.CITE &lt;EndNote&gt;&lt;Cite&gt;&lt;Author&gt;Kumpunen&lt;/Author&gt;&lt;Year&gt;2020&lt;/Year&gt;&lt;RecNum&gt;12&lt;/RecNum&gt;&lt;DisplayText&gt;[121]&lt;/DisplayText&gt;&lt;record&gt;&lt;rec-number&gt;12&lt;/rec-number&gt;&lt;foreign-keys&gt;&lt;key app="EN" db-id="tdtrdw9aepptzbefsat599syza29sxsd2wsp" timestamp="1596618991"&gt;12&lt;/key&gt;&lt;/foreign-keys&gt;&lt;ref-type name="Journal Article"&gt;17&lt;/ref-type&gt;&lt;contributors&gt;&lt;authors&gt;&lt;author&gt;Kumpunen, Stephanie&lt;/author&gt;&lt;author&gt;Edwards, Nigel&lt;/author&gt;&lt;author&gt;Georghiou, Theo&lt;/author&gt;&lt;author&gt;Hughes, Gemma&lt;/author&gt;&lt;/authors&gt;&lt;/contributors&gt;&lt;titles&gt;&lt;title&gt;Why do evaluations of integrated care not produce the results we expect?&lt;/title&gt;&lt;secondary-title&gt;International Journal of Care Coordination&lt;/secondary-title&gt;&lt;/titles&gt;&lt;periodical&gt;&lt;full-title&gt;International Journal of Care Coordination&lt;/full-title&gt;&lt;/periodical&gt;&lt;pages&gt;2053434520909089&lt;/pages&gt;&lt;dates&gt;&lt;year&gt;2020&lt;/year&gt;&lt;/dates&gt;&lt;isbn&gt;2053-4345&lt;/isbn&gt;&lt;urls&gt;&lt;/urls&gt;&lt;/record&gt;&lt;/Cite&gt;&lt;/EndNote&gt;</w:instrText>
      </w:r>
      <w:r w:rsidR="00DD0E19" w:rsidRPr="004C78D8">
        <w:fldChar w:fldCharType="separate"/>
      </w:r>
      <w:r w:rsidR="00513646" w:rsidRPr="004C78D8">
        <w:rPr>
          <w:noProof/>
        </w:rPr>
        <w:t>[121]</w:t>
      </w:r>
      <w:r w:rsidR="00DD0E19" w:rsidRPr="004C78D8">
        <w:fldChar w:fldCharType="end"/>
      </w:r>
      <w:r w:rsidR="00DD0E19" w:rsidRPr="004C78D8">
        <w:t>. The</w:t>
      </w:r>
      <w:r w:rsidRPr="004C78D8">
        <w:t>y</w:t>
      </w:r>
      <w:r w:rsidR="00DD0E19" w:rsidRPr="004C78D8">
        <w:t xml:space="preserve"> identified three key problems: (i) ‘problems with the model’ </w:t>
      </w:r>
      <w:r w:rsidRPr="004C78D8">
        <w:t xml:space="preserve">– i.e., </w:t>
      </w:r>
      <w:r w:rsidR="00DD0E19" w:rsidRPr="004C78D8">
        <w:t xml:space="preserve">a lack of clear understanding on which components and mechanisms contribute to the desired effect; (ii) ‘problems of implementation’ </w:t>
      </w:r>
      <w:r w:rsidRPr="004C78D8">
        <w:t xml:space="preserve">– </w:t>
      </w:r>
      <w:r w:rsidR="00DD0E19" w:rsidRPr="004C78D8">
        <w:t xml:space="preserve">due to </w:t>
      </w:r>
      <w:r w:rsidRPr="004C78D8">
        <w:t>shortcomings in</w:t>
      </w:r>
      <w:r w:rsidR="00DD0E19" w:rsidRPr="004C78D8">
        <w:t xml:space="preserve"> teamwork</w:t>
      </w:r>
      <w:r w:rsidRPr="004C78D8">
        <w:t>,</w:t>
      </w:r>
      <w:r w:rsidR="00DD0E19" w:rsidRPr="004C78D8">
        <w:t xml:space="preserve"> role delineation and identification of patients’ needs and preferences; and (iii) ‘problems of evaluation’ </w:t>
      </w:r>
      <w:r w:rsidRPr="004C78D8">
        <w:t xml:space="preserve">– </w:t>
      </w:r>
      <w:r w:rsidR="00DD0E19" w:rsidRPr="004C78D8">
        <w:t xml:space="preserve">mainly due to the short </w:t>
      </w:r>
      <w:r w:rsidRPr="004C78D8">
        <w:t xml:space="preserve">evaluation </w:t>
      </w:r>
      <w:r w:rsidR="00DD0E19" w:rsidRPr="004C78D8">
        <w:t>time horizon</w:t>
      </w:r>
      <w:r w:rsidRPr="004C78D8">
        <w:t>s</w:t>
      </w:r>
      <w:r w:rsidR="00DD0E19" w:rsidRPr="004C78D8">
        <w:t>.</w:t>
      </w:r>
      <w:r w:rsidR="00364E8D" w:rsidRPr="004C78D8">
        <w:t xml:space="preserve"> A</w:t>
      </w:r>
      <w:r w:rsidRPr="004C78D8">
        <w:t>ddressing t</w:t>
      </w:r>
      <w:r w:rsidR="00B36542" w:rsidRPr="004C78D8">
        <w:t>hese problems set</w:t>
      </w:r>
      <w:r w:rsidRPr="004C78D8">
        <w:t>s</w:t>
      </w:r>
      <w:r w:rsidR="00B36542" w:rsidRPr="004C78D8">
        <w:t xml:space="preserve"> </w:t>
      </w:r>
      <w:r w:rsidR="00483416" w:rsidRPr="004C78D8">
        <w:t>further methodological benchmarks</w:t>
      </w:r>
      <w:r w:rsidRPr="004C78D8">
        <w:t xml:space="preserve">. </w:t>
      </w:r>
      <w:r w:rsidR="00771CC4" w:rsidRPr="004C78D8">
        <w:t xml:space="preserve">Modelling the multi- and single-need integrations </w:t>
      </w:r>
      <w:r w:rsidR="00C3084E" w:rsidRPr="004C78D8">
        <w:t xml:space="preserve">as discussed </w:t>
      </w:r>
      <w:r w:rsidR="00771CC4" w:rsidRPr="004C78D8">
        <w:t xml:space="preserve">should address problems (i) and (ii). </w:t>
      </w:r>
      <w:r w:rsidR="00483416" w:rsidRPr="004C78D8">
        <w:t>L</w:t>
      </w:r>
      <w:r w:rsidR="006C4CA9" w:rsidRPr="004C78D8">
        <w:t xml:space="preserve">ong </w:t>
      </w:r>
      <w:r w:rsidR="00F204B9" w:rsidRPr="004C78D8">
        <w:t xml:space="preserve">evaluation </w:t>
      </w:r>
      <w:r w:rsidR="006C4CA9" w:rsidRPr="004C78D8">
        <w:t>horizons</w:t>
      </w:r>
      <w:r w:rsidR="00771CC4" w:rsidRPr="004C78D8">
        <w:t xml:space="preserve"> </w:t>
      </w:r>
      <w:r w:rsidR="00483416" w:rsidRPr="004C78D8">
        <w:t>in models can</w:t>
      </w:r>
      <w:r w:rsidR="00F204B9" w:rsidRPr="004C78D8">
        <w:t xml:space="preserve"> address problem (</w:t>
      </w:r>
      <w:r w:rsidR="001210C2" w:rsidRPr="004C78D8">
        <w:t>iii</w:t>
      </w:r>
      <w:r w:rsidR="00F204B9" w:rsidRPr="004C78D8">
        <w:t>)</w:t>
      </w:r>
      <w:r w:rsidR="006C4CA9" w:rsidRPr="004C78D8">
        <w:t xml:space="preserve">. </w:t>
      </w:r>
    </w:p>
    <w:p w14:paraId="3AC751E3" w14:textId="77777777" w:rsidR="008000E4" w:rsidRPr="004C78D8" w:rsidRDefault="008000E4" w:rsidP="00FB7C1F"/>
    <w:p w14:paraId="4D761857" w14:textId="25BF49BB" w:rsidR="003D27F6" w:rsidRPr="004C78D8" w:rsidRDefault="006D62A0" w:rsidP="00FB7C1F">
      <w:pPr>
        <w:pStyle w:val="Heading2"/>
      </w:pPr>
      <w:bookmarkStart w:id="232" w:name="_Toc93566900"/>
      <w:bookmarkStart w:id="233" w:name="_Toc111630816"/>
      <w:r w:rsidRPr="004C78D8">
        <w:t>7</w:t>
      </w:r>
      <w:r w:rsidR="006D3024" w:rsidRPr="004C78D8">
        <w:t>.</w:t>
      </w:r>
      <w:r w:rsidR="00074D2A" w:rsidRPr="004C78D8">
        <w:t>4</w:t>
      </w:r>
      <w:r w:rsidR="00394FD4" w:rsidRPr="004C78D8">
        <w:t xml:space="preserve"> Study strengths</w:t>
      </w:r>
      <w:bookmarkEnd w:id="232"/>
      <w:r w:rsidR="00EC5167" w:rsidRPr="004C78D8">
        <w:t xml:space="preserve"> and limitations</w:t>
      </w:r>
      <w:bookmarkEnd w:id="233"/>
    </w:p>
    <w:p w14:paraId="2CD36A99" w14:textId="5755B528" w:rsidR="00DA7B3E" w:rsidRPr="004C78D8" w:rsidRDefault="00DA7B3E" w:rsidP="00FB7C1F">
      <w:r w:rsidRPr="004C78D8">
        <w:t>This study conducted the f</w:t>
      </w:r>
      <w:r w:rsidR="00CC4D8F" w:rsidRPr="004C78D8">
        <w:t xml:space="preserve">irst </w:t>
      </w:r>
      <w:r w:rsidRPr="004C78D8">
        <w:t>comprehensive</w:t>
      </w:r>
      <w:r w:rsidR="00CC4D8F" w:rsidRPr="004C78D8">
        <w:t xml:space="preserve"> economic </w:t>
      </w:r>
      <w:r w:rsidRPr="004C78D8">
        <w:t>modelling</w:t>
      </w:r>
      <w:r w:rsidR="00CC4D8F" w:rsidRPr="004C78D8">
        <w:t xml:space="preserve"> of </w:t>
      </w:r>
      <w:r w:rsidRPr="004C78D8">
        <w:t xml:space="preserve">the major components of the </w:t>
      </w:r>
      <w:r w:rsidR="00CC4D8F" w:rsidRPr="004C78D8">
        <w:t xml:space="preserve">NICE </w:t>
      </w:r>
      <w:r w:rsidR="00F1282A" w:rsidRPr="004C78D8">
        <w:t xml:space="preserve">CG161 </w:t>
      </w:r>
      <w:r w:rsidR="00CC4D8F" w:rsidRPr="004C78D8">
        <w:t>guideline</w:t>
      </w:r>
      <w:r w:rsidRPr="004C78D8">
        <w:t xml:space="preserve"> on community-based falls prevention </w:t>
      </w:r>
      <w:r w:rsidRPr="004C78D8">
        <w:fldChar w:fldCharType="begin"/>
      </w:r>
      <w:r w:rsidRPr="004C78D8">
        <w:instrText xml:space="preserve"> ADDIN EN.CITE &lt;EndNote&gt;&lt;Cite&gt;&lt;Author&gt;National Institute for Health and Care Excellence&lt;/Author&gt;&lt;Year&gt;2013&lt;/Year&gt;&lt;RecNum&gt;13&lt;/RecNum&gt;&lt;DisplayText&gt;[13]&lt;/DisplayText&gt;&lt;record&gt;&lt;rec-number&gt;13&lt;/rec-number&gt;&lt;foreign-keys&gt;&lt;key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161&lt;/volume&gt;&lt;number&gt;nice.org.uk/guidance/cg161&lt;/number&gt;&lt;dates&gt;&lt;year&gt;2013&lt;/year&gt;&lt;/dates&gt;&lt;urls&gt;&lt;/urls&gt;&lt;/record&gt;&lt;/Cite&gt;&lt;/EndNote&gt;</w:instrText>
      </w:r>
      <w:r w:rsidRPr="004C78D8">
        <w:fldChar w:fldCharType="separate"/>
      </w:r>
      <w:r w:rsidRPr="004C78D8">
        <w:rPr>
          <w:noProof/>
        </w:rPr>
        <w:t>[13]</w:t>
      </w:r>
      <w:r w:rsidRPr="004C78D8">
        <w:fldChar w:fldCharType="end"/>
      </w:r>
      <w:r w:rsidR="00CC4D8F" w:rsidRPr="004C78D8">
        <w:t xml:space="preserve">. </w:t>
      </w:r>
      <w:r w:rsidRPr="004C78D8">
        <w:t xml:space="preserve">The analysis is timely since the guideline is currently in the early stage of update </w:t>
      </w:r>
      <w:r w:rsidRPr="004C78D8">
        <w:fldChar w:fldCharType="begin"/>
      </w:r>
      <w:r w:rsidR="00330E1E">
        <w:instrText xml:space="preserve"> ADDIN EN.CITE &lt;EndNote&gt;&lt;Cite&gt;&lt;Author&gt;National Institute for Health and Care Excellence&lt;/Author&gt;&lt;Year&gt;2022&lt;/Year&gt;&lt;RecNum&gt;796&lt;/RecNum&gt;&lt;DisplayText&gt;[131]&lt;/DisplayText&gt;&lt;record&gt;&lt;rec-number&gt;796&lt;/rec-number&gt;&lt;foreign-keys&gt;&lt;key app="EN" db-id="tdtrdw9aepptzbefsat599syza29sxsd2wsp" timestamp="1644919021"&gt;796&lt;/key&gt;&lt;/foreign-keys&gt;&lt;ref-type name="Web Page"&gt;12&lt;/ref-type&gt;&lt;contributors&gt;&lt;authors&gt;&lt;author&gt;National Institute for Health and Care Excellence,&lt;/author&gt;&lt;/authors&gt;&lt;secondary-authors&gt;&lt;author&gt;National Guideline Centre&lt;/author&gt;&lt;/secondary-authors&gt;&lt;/contributors&gt;&lt;titles&gt;&lt;title&gt;Falls in older people: assessing risk and prevention In development [GID-NG10228] Expected publication date: 13 June 2024&lt;/title&gt;&lt;/titles&gt;&lt;number&gt;14 September 2022&lt;/number&gt;&lt;dates&gt;&lt;year&gt;2022&lt;/year&gt;&lt;pub-dates&gt;&lt;date&gt;8 September 2022&lt;/date&gt;&lt;/pub-dates&gt;&lt;/dates&gt;&lt;pub-location&gt;https://www.nice.org.uk/guidance/indevelopment/gid-ng10228&lt;/pub-location&gt;&lt;urls&gt;&lt;/urls&gt;&lt;/record&gt;&lt;/Cite&gt;&lt;/EndNote&gt;</w:instrText>
      </w:r>
      <w:r w:rsidRPr="004C78D8">
        <w:fldChar w:fldCharType="separate"/>
      </w:r>
      <w:r w:rsidR="00513646" w:rsidRPr="004C78D8">
        <w:rPr>
          <w:noProof/>
        </w:rPr>
        <w:t>[131]</w:t>
      </w:r>
      <w:r w:rsidRPr="004C78D8">
        <w:fldChar w:fldCharType="end"/>
      </w:r>
      <w:r w:rsidRPr="004C78D8">
        <w:t>.</w:t>
      </w:r>
      <w:r w:rsidR="00F1282A" w:rsidRPr="004C78D8">
        <w:t xml:space="preserve"> A key </w:t>
      </w:r>
      <w:r w:rsidR="009101DA" w:rsidRPr="004C78D8">
        <w:t>finding</w:t>
      </w:r>
      <w:r w:rsidR="00F1282A" w:rsidRPr="004C78D8">
        <w:t xml:space="preserve"> was that NICE CG161 recommendations warrant qualifications, particularly regarding the feasibility of environmental interventions and capacity implications.</w:t>
      </w:r>
      <w:r w:rsidR="00AA1833" w:rsidRPr="004C78D8">
        <w:t xml:space="preserve"> </w:t>
      </w:r>
      <w:r w:rsidR="002D2147" w:rsidRPr="004C78D8">
        <w:t xml:space="preserve">A recent scoping review of 22 existing falls prevention clinical guidelines (all set in developed countries) mentioned no such qualifications, the guidelines’ focus being primarily on the proactive pathway components </w:t>
      </w:r>
      <w:r w:rsidR="002D2147" w:rsidRPr="004C78D8">
        <w:fldChar w:fldCharType="begin"/>
      </w:r>
      <w:r w:rsidR="00A2699D" w:rsidRPr="004C78D8">
        <w:instrText xml:space="preserve"> ADDIN EN.CITE &lt;EndNote&gt;&lt;Cite&gt;&lt;Author&gt;Williams-Roberts&lt;/Author&gt;&lt;Year&gt;2020&lt;/Year&gt;&lt;RecNum&gt;248&lt;/RecNum&gt;&lt;DisplayText&gt;[438]&lt;/DisplayText&gt;&lt;record&gt;&lt;rec-number&gt;248&lt;/rec-number&gt;&lt;foreign-keys&gt;&lt;key app="EN" db-id="tdtrdw9aepptzbefsat599syza29sxsd2wsp" timestamp="1610486266"&gt;248&lt;/key&gt;&lt;/foreign-keys&gt;&lt;ref-type name="Journal Article"&gt;17&lt;/ref-type&gt;&lt;contributors&gt;&lt;authors&gt;&lt;author&gt;Williams-Roberts, H.&lt;/author&gt;&lt;author&gt;Arnold, C.&lt;/author&gt;&lt;author&gt;Kemp, D.&lt;/author&gt;&lt;author&gt;Crizzle, A.&lt;/author&gt;&lt;author&gt;Johnson, S.&lt;/author&gt;&lt;/authors&gt;&lt;/contributors&gt;&lt;titles&gt;&lt;title&gt;Scoping Review of Clinical Practice Guidelines for Fall Risk Screening and Assessment in Older Adults across the Care Continuum&lt;/title&gt;&lt;secondary-title&gt;Canadian journal on aging = La revue canadienne du vieillissement&lt;/secondary-title&gt;&lt;/titles&gt;&lt;periodical&gt;&lt;full-title&gt;Canadian journal on aging = La revue canadienne du vieillissement&lt;/full-title&gt;&lt;/periodical&gt;&lt;pages&gt;1-18&lt;/pages&gt;&lt;keywords&gt;&lt;keyword&gt;aged&lt;/keyword&gt;&lt;keyword&gt;*aging&lt;/keyword&gt;&lt;keyword&gt;article&lt;/keyword&gt;&lt;keyword&gt;Canada&lt;/keyword&gt;&lt;keyword&gt;community dwelling person&lt;/keyword&gt;&lt;keyword&gt;emergency care&lt;/keyword&gt;&lt;keyword&gt;*fall risk assessment&lt;/keyword&gt;&lt;keyword&gt;gait&lt;/keyword&gt;&lt;keyword&gt;health care personnel&lt;/keyword&gt;&lt;keyword&gt;human&lt;/keyword&gt;&lt;keyword&gt;long term care&lt;/keyword&gt;&lt;keyword&gt;outcome assessment&lt;/keyword&gt;&lt;keyword&gt;*practice guideline&lt;/keyword&gt;&lt;keyword&gt;vision&lt;/keyword&gt;&lt;/keywords&gt;&lt;dates&gt;&lt;year&gt;2020&lt;/year&gt;&lt;/dates&gt;&lt;pub-location&gt;Canada&lt;/pub-location&gt;&lt;publisher&gt;NLM (Medline)&lt;/publisher&gt;&lt;isbn&gt;1710-1107 (electronic)&amp;#xD;1710-1107&lt;/isbn&gt;&lt;urls&gt;&lt;related-urls&gt;&lt;url&gt;http://ovidsp.ovid.com/ovidweb.cgi?T=JS&amp;amp;PAGE=reference&amp;amp;D=emexb&amp;amp;NEWS=N&amp;amp;AN=633003634&lt;/url&gt;&lt;/related-urls&gt;&lt;/urls&gt;&lt;electronic-resource-num&gt;http://dx.doi.org/10.1017/S0714980820000112&lt;/electronic-resource-num&gt;&lt;remote-database-name&gt;Embase&lt;/remote-database-name&gt;&lt;language&gt;English&lt;/language&gt;&lt;/record&gt;&lt;/Cite&gt;&lt;/EndNote&gt;</w:instrText>
      </w:r>
      <w:r w:rsidR="002D2147" w:rsidRPr="004C78D8">
        <w:fldChar w:fldCharType="separate"/>
      </w:r>
      <w:r w:rsidR="00A2699D" w:rsidRPr="004C78D8">
        <w:rPr>
          <w:noProof/>
        </w:rPr>
        <w:t>[438]</w:t>
      </w:r>
      <w:r w:rsidR="002D2147" w:rsidRPr="004C78D8">
        <w:fldChar w:fldCharType="end"/>
      </w:r>
      <w:r w:rsidR="002D2147" w:rsidRPr="004C78D8">
        <w:t xml:space="preserve">. The </w:t>
      </w:r>
      <w:r w:rsidR="007B2115" w:rsidRPr="004C78D8">
        <w:t xml:space="preserve">study </w:t>
      </w:r>
      <w:r w:rsidR="007F0178" w:rsidRPr="004C78D8">
        <w:t>finding</w:t>
      </w:r>
      <w:r w:rsidR="002D2147" w:rsidRPr="004C78D8">
        <w:t xml:space="preserve"> is hence applicable to a wide range of decision-making settings, </w:t>
      </w:r>
      <w:r w:rsidR="00901D0C" w:rsidRPr="004C78D8">
        <w:t>including</w:t>
      </w:r>
      <w:r w:rsidR="002D2147" w:rsidRPr="004C78D8">
        <w:t xml:space="preserve"> less developed health economies where multidisciplinary clinical teams are</w:t>
      </w:r>
      <w:r w:rsidR="00444F5A" w:rsidRPr="004C78D8">
        <w:t xml:space="preserve"> </w:t>
      </w:r>
      <w:r w:rsidR="00173BBC" w:rsidRPr="004C78D8">
        <w:t>inaccessible</w:t>
      </w:r>
      <w:r w:rsidR="00444F5A" w:rsidRPr="004C78D8">
        <w:t>.</w:t>
      </w:r>
      <w:r w:rsidR="00BD62F6" w:rsidRPr="004C78D8">
        <w:t xml:space="preserve"> The commissioning recommendations by the current model also considered further decisional factors including joint efficiency-equity impact and individual-level lifetime outcomes.</w:t>
      </w:r>
      <w:r w:rsidR="00884043" w:rsidRPr="004C78D8">
        <w:t xml:space="preserve"> </w:t>
      </w:r>
      <w:r w:rsidR="003D092C" w:rsidRPr="004C78D8">
        <w:t>Moreover, several scenarios placed falls prevention within a wider package of geriatric public health strategies, including earlier-life and contemporaneous frailty prevention</w:t>
      </w:r>
      <w:r w:rsidR="00AC37E5" w:rsidRPr="004C78D8">
        <w:t>s</w:t>
      </w:r>
      <w:r w:rsidR="003D092C" w:rsidRPr="004C78D8">
        <w:t xml:space="preserve"> and environmental physical activity promotion.</w:t>
      </w:r>
      <w:r w:rsidR="007F0178" w:rsidRPr="004C78D8">
        <w:t xml:space="preserve"> See Section </w:t>
      </w:r>
      <w:r w:rsidR="00281606" w:rsidRPr="004C78D8">
        <w:t>7</w:t>
      </w:r>
      <w:r w:rsidR="007F0178" w:rsidRPr="004C78D8">
        <w:t>.2 above for further key contributions.</w:t>
      </w:r>
    </w:p>
    <w:p w14:paraId="640E76B7" w14:textId="633118BA" w:rsidR="00AC37E5" w:rsidRPr="004C78D8" w:rsidRDefault="00AC37E5" w:rsidP="00FB7C1F">
      <w:r w:rsidRPr="004C78D8">
        <w:t xml:space="preserve">The study nevertheless </w:t>
      </w:r>
      <w:r w:rsidR="001563CA" w:rsidRPr="004C78D8">
        <w:t xml:space="preserve">has </w:t>
      </w:r>
      <w:r w:rsidRPr="004C78D8">
        <w:t xml:space="preserve">several limitations. First, the model conceptualisation involved a relatively narrow range of commissioning and professional stakeholders. The ‘whole-system’ commissioning of falls prevention recommended by Public Health England would ideally involve </w:t>
      </w:r>
      <w:r w:rsidR="00BD4B18" w:rsidRPr="004C78D8">
        <w:t xml:space="preserve">not only clinical commissioners and professionals but also housing providers, social workers, community organisations, ambulance crews and fire service (p. 13) </w:t>
      </w:r>
      <w:r w:rsidR="00BD4B18" w:rsidRPr="004C78D8">
        <w:fldChar w:fldCharType="begin"/>
      </w:r>
      <w:r w:rsidR="00513646" w:rsidRPr="004C78D8">
        <w:instrText xml:space="preserve"> ADDIN EN.CITE &lt;EndNote&gt;&lt;Cite&gt;&lt;Author&gt;Public Health England&lt;/Author&gt;&lt;Year&gt;2017&lt;/Year&gt;&lt;RecNum&gt;533&lt;/RecNum&gt;&lt;DisplayText&gt;[143]&lt;/DisplayText&gt;&lt;record&gt;&lt;rec-number&gt;533&lt;/rec-number&gt;&lt;foreign-keys&gt;&lt;key app="EN" db-id="tdtrdw9aepptzbefsat599syza29sxsd2wsp" timestamp="1618261096"&gt;533&lt;/key&gt;&lt;/foreign-keys&gt;&lt;ref-type name="Journal Article"&gt;17&lt;/ref-type&gt;&lt;contributors&gt;&lt;authors&gt;&lt;author&gt;Public Health England,&lt;/author&gt;&lt;/authors&gt;&lt;/contributors&gt;&lt;titles&gt;&lt;title&gt;Falls and fracture consensus statement: Supporting commissioning for prevention&lt;/title&gt;&lt;secondary-title&gt;London: Public Health England&lt;/secondary-title&gt;&lt;/titles&gt;&lt;periodical&gt;&lt;full-title&gt;London: Public Health England&lt;/full-title&gt;&lt;/periodical&gt;&lt;dates&gt;&lt;year&gt;2017&lt;/year&gt;&lt;/dates&gt;&lt;urls&gt;&lt;/urls&gt;&lt;/record&gt;&lt;/Cite&gt;&lt;/EndNote&gt;</w:instrText>
      </w:r>
      <w:r w:rsidR="00BD4B18" w:rsidRPr="004C78D8">
        <w:fldChar w:fldCharType="separate"/>
      </w:r>
      <w:r w:rsidR="00513646" w:rsidRPr="004C78D8">
        <w:rPr>
          <w:noProof/>
        </w:rPr>
        <w:t>[143]</w:t>
      </w:r>
      <w:r w:rsidR="00BD4B18" w:rsidRPr="004C78D8">
        <w:fldChar w:fldCharType="end"/>
      </w:r>
      <w:r w:rsidR="00BB1ED2" w:rsidRPr="004C78D8">
        <w:t>. The Covid-19 pandemic severely disrupted the communication with stakeholders, and their inputs were restricted during the model parameterisation phase.</w:t>
      </w:r>
      <w:r w:rsidR="00A23658" w:rsidRPr="004C78D8">
        <w:t xml:space="preserve"> </w:t>
      </w:r>
      <w:r w:rsidR="00003E12" w:rsidRPr="004C78D8">
        <w:t xml:space="preserve">Consequently, several model-incorporated evidence sources (e.g., </w:t>
      </w:r>
      <w:r w:rsidR="005E19BF" w:rsidRPr="004C78D8">
        <w:t>cost-of-illness studies</w:t>
      </w:r>
      <w:r w:rsidR="00003E12" w:rsidRPr="004C78D8">
        <w:t xml:space="preserve"> </w:t>
      </w:r>
      <w:r w:rsidR="005E19BF" w:rsidRPr="004C78D8">
        <w:t xml:space="preserve">for the </w:t>
      </w:r>
      <w:r w:rsidR="00003E12" w:rsidRPr="004C78D8">
        <w:t xml:space="preserve">acute care cost of </w:t>
      </w:r>
      <w:r w:rsidR="005E19BF" w:rsidRPr="004C78D8">
        <w:t xml:space="preserve">hospitalised </w:t>
      </w:r>
      <w:r w:rsidR="00003E12" w:rsidRPr="004C78D8">
        <w:t>falls</w:t>
      </w:r>
      <w:r w:rsidR="005E19BF" w:rsidRPr="004C78D8">
        <w:t xml:space="preserve">; Section </w:t>
      </w:r>
      <w:r w:rsidR="001563CA" w:rsidRPr="004C78D8">
        <w:t>5</w:t>
      </w:r>
      <w:r w:rsidR="005E19BF" w:rsidRPr="004C78D8">
        <w:t>.2.5.4</w:t>
      </w:r>
      <w:r w:rsidR="00003E12" w:rsidRPr="004C78D8">
        <w:t xml:space="preserve">) may be </w:t>
      </w:r>
      <w:r w:rsidR="00316EA9" w:rsidRPr="004C78D8">
        <w:t xml:space="preserve">considered </w:t>
      </w:r>
      <w:r w:rsidR="00003E12" w:rsidRPr="004C78D8">
        <w:t xml:space="preserve">non-locally generalisable. Obtaining local routine data and </w:t>
      </w:r>
      <w:r w:rsidR="00701898" w:rsidRPr="004C78D8">
        <w:t>running model sensitivity analyses</w:t>
      </w:r>
      <w:r w:rsidR="00003E12" w:rsidRPr="004C78D8">
        <w:t xml:space="preserve"> </w:t>
      </w:r>
      <w:r w:rsidR="00701898" w:rsidRPr="004C78D8">
        <w:t xml:space="preserve">with the locally estimated </w:t>
      </w:r>
      <w:r w:rsidR="00003E12" w:rsidRPr="004C78D8">
        <w:t xml:space="preserve">model parameters would </w:t>
      </w:r>
      <w:r w:rsidR="00701898" w:rsidRPr="004C78D8">
        <w:t>help</w:t>
      </w:r>
      <w:r w:rsidR="00003E12" w:rsidRPr="004C78D8">
        <w:t xml:space="preserve"> address this issue. </w:t>
      </w:r>
      <w:r w:rsidR="00701898" w:rsidRPr="004C78D8">
        <w:t>Second</w:t>
      </w:r>
      <w:r w:rsidR="003877C8" w:rsidRPr="004C78D8">
        <w:t>, there were methodological issues in using the falls data from ELSA, including substantial recall bias. P</w:t>
      </w:r>
      <w:r w:rsidR="00894478" w:rsidRPr="004C78D8">
        <w:t xml:space="preserve">rospective, high-frequency falls recording remains the gold standard for falls prevention research </w:t>
      </w:r>
      <w:r w:rsidR="00894478" w:rsidRPr="004C78D8">
        <w:fldChar w:fldCharType="begin"/>
      </w:r>
      <w:r w:rsidR="00513646" w:rsidRPr="004C78D8">
        <w:instrText xml:space="preserve"> ADDIN EN.CITE &lt;EndNote&gt;&lt;Cite&gt;&lt;Author&gt;Lamb&lt;/Author&gt;&lt;Year&gt;2005&lt;/Year&gt;&lt;RecNum&gt;161&lt;/RecNum&gt;&lt;DisplayText&gt;[24]&lt;/DisplayText&gt;&lt;record&gt;&lt;rec-number&gt;161&lt;/rec-number&gt;&lt;foreign-keys&gt;&lt;key app="EN" db-id="tdtrdw9aepptzbefsat599syza29sxsd2wsp" timestamp="1609258101"&gt;161&lt;/key&gt;&lt;/foreign-keys&gt;&lt;ref-type name="Journal Article"&gt;17&lt;/ref-type&gt;&lt;contributors&gt;&lt;authors&gt;&lt;author&gt;Lamb, Sarah E&lt;/author&gt;&lt;author&gt;Jørstad‐Stein, Ellen C&lt;/author&gt;&lt;author&gt;Hauer, Klaus&lt;/author&gt;&lt;author&gt;Becker, Clemens&lt;/author&gt;&lt;author&gt;Prevention of Falls Network Europe&lt;/author&gt;&lt;author&gt;Outcomes Consensus Group&lt;/author&gt;&lt;/authors&gt;&lt;/contributors&gt;&lt;titles&gt;&lt;title&gt;Development of a common outcome data set for fall injury prevention trials: the Prevention of Falls Network Europe consensus&lt;/title&gt;&lt;secondary-title&gt;Journal of the American Geriatrics Society&lt;/secondary-title&gt;&lt;/titles&gt;&lt;periodical&gt;&lt;full-title&gt;Journal of the American Geriatrics Society&lt;/full-title&gt;&lt;/periodical&gt;&lt;pages&gt;1618-1622&lt;/pages&gt;&lt;volume&gt;53&lt;/volume&gt;&lt;number&gt;9&lt;/number&gt;&lt;dates&gt;&lt;year&gt;2005&lt;/year&gt;&lt;/dates&gt;&lt;isbn&gt;0002-8614&lt;/isbn&gt;&lt;urls&gt;&lt;/urls&gt;&lt;/record&gt;&lt;/Cite&gt;&lt;/EndNote&gt;</w:instrText>
      </w:r>
      <w:r w:rsidR="00894478" w:rsidRPr="004C78D8">
        <w:fldChar w:fldCharType="separate"/>
      </w:r>
      <w:r w:rsidR="00513646" w:rsidRPr="004C78D8">
        <w:rPr>
          <w:noProof/>
        </w:rPr>
        <w:t>[24]</w:t>
      </w:r>
      <w:r w:rsidR="00894478" w:rsidRPr="004C78D8">
        <w:fldChar w:fldCharType="end"/>
      </w:r>
      <w:r w:rsidR="00894478" w:rsidRPr="004C78D8">
        <w:t xml:space="preserve">. Access to a falls-specific prospective survey which meets this standard </w:t>
      </w:r>
      <w:r w:rsidR="00894478" w:rsidRPr="004C78D8">
        <w:rPr>
          <w:i/>
          <w:iCs/>
        </w:rPr>
        <w:t>and</w:t>
      </w:r>
      <w:r w:rsidR="00894478" w:rsidRPr="004C78D8">
        <w:t xml:space="preserve"> includes the wide range of variables in ELSA (e.g., frailty deficit items, productivity) would greatly improve the methodological quality.</w:t>
      </w:r>
      <w:r w:rsidR="00003E12" w:rsidRPr="004C78D8">
        <w:t xml:space="preserve"> </w:t>
      </w:r>
      <w:r w:rsidR="00701898" w:rsidRPr="004C78D8">
        <w:t>Third, only preliminary work was conducted on translating the commissioning recommendations to policy</w:t>
      </w:r>
      <w:r w:rsidR="005E19BF" w:rsidRPr="004C78D8">
        <w:t xml:space="preserve"> implementation</w:t>
      </w:r>
      <w:r w:rsidR="00701898" w:rsidRPr="004C78D8">
        <w:t>; further work is thus warranted on research dissemination.</w:t>
      </w:r>
    </w:p>
    <w:p w14:paraId="4FCB4889" w14:textId="44AA8676" w:rsidR="00C5107F" w:rsidRPr="004C78D8" w:rsidRDefault="00C5107F" w:rsidP="00FB7C1F"/>
    <w:p w14:paraId="1635C895" w14:textId="6D8E9539" w:rsidR="001C75DA" w:rsidRPr="004C78D8" w:rsidRDefault="006D62A0" w:rsidP="00FB7C1F">
      <w:pPr>
        <w:pStyle w:val="Heading2"/>
      </w:pPr>
      <w:bookmarkStart w:id="234" w:name="_Toc93566902"/>
      <w:bookmarkStart w:id="235" w:name="_Toc111630817"/>
      <w:r w:rsidRPr="004C78D8">
        <w:t>7</w:t>
      </w:r>
      <w:r w:rsidR="001541A4" w:rsidRPr="004C78D8">
        <w:t>.</w:t>
      </w:r>
      <w:r w:rsidR="00074D2A" w:rsidRPr="004C78D8">
        <w:t>5</w:t>
      </w:r>
      <w:r w:rsidR="00394FD4" w:rsidRPr="004C78D8">
        <w:t xml:space="preserve"> </w:t>
      </w:r>
      <w:r w:rsidR="00C40807" w:rsidRPr="004C78D8">
        <w:t>Further research</w:t>
      </w:r>
      <w:bookmarkEnd w:id="234"/>
      <w:bookmarkEnd w:id="235"/>
    </w:p>
    <w:p w14:paraId="36F4D0E6" w14:textId="379FC61F" w:rsidR="004D4987" w:rsidRPr="004C78D8" w:rsidRDefault="004D4987" w:rsidP="00FB7C1F">
      <w:r w:rsidRPr="004C78D8">
        <w:t xml:space="preserve">Further research suggestions are discussed under the following categories: (1) conceptual modelling (Section </w:t>
      </w:r>
      <w:r w:rsidR="001563CA" w:rsidRPr="004C78D8">
        <w:t>7</w:t>
      </w:r>
      <w:r w:rsidRPr="004C78D8">
        <w:t xml:space="preserve">.5.1); (2) falls epidemiology and intervention modelling (Section </w:t>
      </w:r>
      <w:r w:rsidR="001563CA" w:rsidRPr="004C78D8">
        <w:t>7</w:t>
      </w:r>
      <w:r w:rsidRPr="004C78D8">
        <w:t>.5.2)</w:t>
      </w:r>
      <w:r w:rsidR="00BC28E8" w:rsidRPr="004C78D8">
        <w:t xml:space="preserve">; (3) key challenges for public health economic modelling (Section </w:t>
      </w:r>
      <w:r w:rsidR="001563CA" w:rsidRPr="004C78D8">
        <w:t>7</w:t>
      </w:r>
      <w:r w:rsidR="00BC28E8" w:rsidRPr="004C78D8">
        <w:t xml:space="preserve">.5.3); and (4) evaluation methods (Section </w:t>
      </w:r>
      <w:r w:rsidR="001563CA" w:rsidRPr="004C78D8">
        <w:t>7</w:t>
      </w:r>
      <w:r w:rsidR="00BC28E8" w:rsidRPr="004C78D8">
        <w:t>.5.4).</w:t>
      </w:r>
    </w:p>
    <w:p w14:paraId="3CE17CDF" w14:textId="07805CB2" w:rsidR="001F674A" w:rsidRPr="004C78D8" w:rsidRDefault="006D62A0" w:rsidP="00FB7C1F">
      <w:pPr>
        <w:pStyle w:val="Heading3"/>
      </w:pPr>
      <w:bookmarkStart w:id="236" w:name="_Toc111630818"/>
      <w:r w:rsidRPr="004C78D8">
        <w:t>7</w:t>
      </w:r>
      <w:r w:rsidR="004D4987" w:rsidRPr="004C78D8">
        <w:t xml:space="preserve">.5.1 </w:t>
      </w:r>
      <w:r w:rsidR="001F674A" w:rsidRPr="004C78D8">
        <w:t>Conceptual modelling</w:t>
      </w:r>
      <w:bookmarkEnd w:id="236"/>
    </w:p>
    <w:p w14:paraId="4DB38AF2" w14:textId="5407EB69" w:rsidR="004D4987" w:rsidRPr="004C78D8" w:rsidRDefault="004D4987" w:rsidP="00FB7C1F">
      <w:r w:rsidRPr="004C78D8">
        <w:t>The need to involve a wider set of commissioners and professionals w</w:t>
      </w:r>
      <w:r w:rsidR="00294F21" w:rsidRPr="004C78D8">
        <w:t>as</w:t>
      </w:r>
      <w:r w:rsidRPr="004C78D8">
        <w:t xml:space="preserve"> already </w:t>
      </w:r>
      <w:r w:rsidR="00B13CE2" w:rsidRPr="004C78D8">
        <w:t>noted</w:t>
      </w:r>
      <w:r w:rsidRPr="004C78D8">
        <w:t xml:space="preserve">. Qualitative research and surveys of falls prevention and wider community professionals would provide </w:t>
      </w:r>
      <w:r w:rsidR="00294F21" w:rsidRPr="004C78D8">
        <w:t>additional</w:t>
      </w:r>
      <w:r w:rsidRPr="004C78D8">
        <w:t xml:space="preserve"> information on the implementation of falls prevention in </w:t>
      </w:r>
      <w:r w:rsidR="00CF5776" w:rsidRPr="004C78D8">
        <w:t>the local setting</w:t>
      </w:r>
      <w:r w:rsidRPr="004C78D8">
        <w:t xml:space="preserve"> </w:t>
      </w:r>
      <w:r w:rsidRPr="004C78D8">
        <w:fldChar w:fldCharType="begin">
          <w:fldData xml:space="preserve">PEVuZE5vdGU+PENpdGU+PEF1dGhvcj5NYXJrbGUtUmVpZDwvQXV0aG9yPjxZZWFyPjIwMTc8L1ll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</w:fldData>
        </w:fldChar>
      </w:r>
      <w:r w:rsidR="00A2699D" w:rsidRPr="004C78D8">
        <w:instrText xml:space="preserve"> ADDIN EN.CITE </w:instrText>
      </w:r>
      <w:r w:rsidR="00A2699D" w:rsidRPr="004C78D8">
        <w:fldChar w:fldCharType="begin">
          <w:fldData xml:space="preserve">PEVuZE5vdGU+PENpdGU+PEF1dGhvcj5NYXJrbGUtUmVpZDwvQXV0aG9yPjxZZWFyPjIwMTc8L1ll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</w:fldData>
        </w:fldChar>
      </w:r>
      <w:r w:rsidR="00A2699D" w:rsidRPr="004C78D8">
        <w:instrText xml:space="preserve"> ADDIN EN.CITE.DATA </w:instrText>
      </w:r>
      <w:r w:rsidR="00A2699D" w:rsidRPr="004C78D8">
        <w:fldChar w:fldCharType="end"/>
      </w:r>
      <w:r w:rsidRPr="004C78D8">
        <w:fldChar w:fldCharType="separate"/>
      </w:r>
      <w:r w:rsidR="00A2699D" w:rsidRPr="004C78D8">
        <w:rPr>
          <w:noProof/>
        </w:rPr>
        <w:t>[242, 243, 439]</w:t>
      </w:r>
      <w:r w:rsidRPr="004C78D8">
        <w:fldChar w:fldCharType="end"/>
      </w:r>
      <w:r w:rsidRPr="004C78D8">
        <w:t>.</w:t>
      </w:r>
      <w:r w:rsidR="00CF5776" w:rsidRPr="004C78D8">
        <w:t xml:space="preserve"> Such information includes whether RCT-based evidence can be translated to routine practice </w:t>
      </w:r>
      <w:r w:rsidR="00CF5776" w:rsidRPr="004C78D8">
        <w:fldChar w:fldCharType="begin"/>
      </w:r>
      <w:r w:rsidR="00A2699D" w:rsidRPr="004C78D8">
        <w:instrText xml:space="preserve"> ADDIN EN.CITE &lt;EndNote&gt;&lt;Cite&gt;&lt;Author&gt;Close&lt;/Author&gt;&lt;Year&gt;2005&lt;/Year&gt;&lt;RecNum&gt;701&lt;/RecNum&gt;&lt;DisplayText&gt;[440]&lt;/DisplayText&gt;&lt;record&gt;&lt;rec-number&gt;701&lt;/rec-number&gt;&lt;foreign-keys&gt;&lt;key app="EN" db-id="tdtrdw9aepptzbefsat599syza29sxsd2wsp" timestamp="1636713695"&gt;701&lt;/key&gt;&lt;/foreign-keys&gt;&lt;ref-type name="Generic"&gt;13&lt;/ref-type&gt;&lt;contributors&gt;&lt;authors&gt;&lt;author&gt;Close, Jacqueline CT&lt;/author&gt;&lt;/authors&gt;&lt;/contributors&gt;&lt;titles&gt;&lt;title&gt;Prevention of falls—a time to translate evidence into practice&lt;/title&gt;&lt;/titles&gt;&lt;dates&gt;&lt;year&gt;2005&lt;/year&gt;&lt;/dates&gt;&lt;publisher&gt;Oxford University Press&lt;/publisher&gt;&lt;isbn&gt;1468-2834&lt;/isbn&gt;&lt;urls&gt;&lt;/urls&gt;&lt;/record&gt;&lt;/Cite&gt;&lt;/EndNote&gt;</w:instrText>
      </w:r>
      <w:r w:rsidR="00CF5776" w:rsidRPr="004C78D8">
        <w:fldChar w:fldCharType="separate"/>
      </w:r>
      <w:r w:rsidR="00A2699D" w:rsidRPr="004C78D8">
        <w:rPr>
          <w:noProof/>
        </w:rPr>
        <w:t>[440]</w:t>
      </w:r>
      <w:r w:rsidR="00CF5776" w:rsidRPr="004C78D8">
        <w:fldChar w:fldCharType="end"/>
      </w:r>
      <w:r w:rsidR="00CF5776" w:rsidRPr="004C78D8">
        <w:t xml:space="preserve">, linkages across pathways, and intersectoral integration involving community organisations. Understanding the barriers in </w:t>
      </w:r>
      <w:r w:rsidR="00294F21" w:rsidRPr="004C78D8">
        <w:t xml:space="preserve">the </w:t>
      </w:r>
      <w:r w:rsidR="00CF5776" w:rsidRPr="004C78D8">
        <w:t xml:space="preserve">primary care setting is particularly warranted </w:t>
      </w:r>
      <w:r w:rsidR="00CF5776" w:rsidRPr="004C78D8">
        <w:fldChar w:fldCharType="begin"/>
      </w:r>
      <w:r w:rsidR="00C630FC" w:rsidRPr="004C78D8">
        <w:instrText xml:space="preserve"> ADDIN EN.CITE &lt;EndNote&gt;&lt;Cite&gt;&lt;Author&gt;McIntyre&lt;/Author&gt;&lt;Year&gt;2019&lt;/Year&gt;&lt;RecNum&gt;93&lt;/RecNum&gt;&lt;DisplayText&gt;[139, 247]&lt;/DisplayText&gt;&lt;record&gt;&lt;rec-number&gt;93&lt;/rec-number&gt;&lt;foreign-keys&gt;&lt;key app="EN" db-id="tdtrdw9aepptzbefsat599syza29sxsd2wsp" timestamp="1598190140"&gt;93&lt;/key&gt;&lt;/foreign-keys&gt;&lt;ref-type name="Journal Article"&gt;17&lt;/ref-type&gt;&lt;contributors&gt;&lt;authors&gt;&lt;author&gt;McIntyre, Anne&lt;/author&gt;&lt;author&gt;Mackenzie, Lynette&lt;/author&gt;&lt;author&gt;Harvey, Michele&lt;/author&gt;&lt;/authors&gt;&lt;/contributors&gt;&lt;titles&gt;&lt;title&gt;Engagement of general practitioners in falls prevention and referral to occupational therapists&lt;/title&gt;&lt;secondary-title&gt;British journal of occupational therapy&lt;/secondary-title&gt;&lt;/titles&gt;&lt;periodical&gt;&lt;full-title&gt;British journal of occupational therapy&lt;/full-title&gt;&lt;/periodical&gt;&lt;pages&gt;71-79&lt;/pages&gt;&lt;volume&gt;82&lt;/volume&gt;&lt;number&gt;2&lt;/number&gt;&lt;dates&gt;&lt;year&gt;2019&lt;/year&gt;&lt;/dates&gt;&lt;isbn&gt;0308-0226&lt;/isbn&gt;&lt;urls&gt;&lt;/urls&gt;&lt;/record&gt;&lt;/Cite&gt;&lt;Cite&gt;&lt;Author&gt;Mackenzie&lt;/Author&gt;&lt;Year&gt;2020&lt;/Year&gt;&lt;RecNum&gt;279&lt;/RecNum&gt;&lt;record&gt;&lt;rec-number&gt;279&lt;/rec-number&gt;&lt;foreign-keys&gt;&lt;key app="EN" db-id="tdtrdw9aepptzbefsat599syza29sxsd2wsp" timestamp="1611698833"&gt;279&lt;/key&gt;&lt;/foreign-keys&gt;&lt;ref-type name="Journal Article"&gt;17&lt;/ref-type&gt;&lt;contributors&gt;&lt;authors&gt;&lt;author&gt;Mackenzie, Lynette&lt;/author&gt;&lt;author&gt;Beavis, Ann-Marie&lt;/author&gt;&lt;author&gt;Tan, Amy CW&lt;/author&gt;&lt;author&gt;Clemson, Lindy&lt;/author&gt;&lt;/authors&gt;&lt;/contributors&gt;&lt;titles&gt;&lt;title&gt;Systematic review and meta-analysis of intervention studies with general practitioner involvement focused on falls prevention for community-dwelling older people&lt;/title&gt;&lt;secondary-title&gt;Journal of aging and health&lt;/secondary-title&gt;&lt;/titles&gt;&lt;periodical&gt;&lt;full-title&gt;Journal of aging and health&lt;/full-title&gt;&lt;/periodical&gt;&lt;pages&gt;0898264320945168&lt;/pages&gt;&lt;dates&gt;&lt;year&gt;2020&lt;/year&gt;&lt;/dates&gt;&lt;isbn&gt;0898-2643&lt;/isbn&gt;&lt;urls&gt;&lt;/urls&gt;&lt;/record&gt;&lt;/Cite&gt;&lt;/EndNote&gt;</w:instrText>
      </w:r>
      <w:r w:rsidR="00CF5776" w:rsidRPr="004C78D8">
        <w:fldChar w:fldCharType="separate"/>
      </w:r>
      <w:r w:rsidR="00C630FC" w:rsidRPr="004C78D8">
        <w:rPr>
          <w:noProof/>
        </w:rPr>
        <w:t>[139, 247]</w:t>
      </w:r>
      <w:r w:rsidR="00CF5776" w:rsidRPr="004C78D8">
        <w:fldChar w:fldCharType="end"/>
      </w:r>
      <w:r w:rsidR="00CF5776" w:rsidRPr="004C78D8">
        <w:t>.</w:t>
      </w:r>
      <w:r w:rsidR="00824E6E" w:rsidRPr="004C78D8">
        <w:t xml:space="preserve"> Qualitative research with older persons can be supplemented by discrete choice experiments that can quantify </w:t>
      </w:r>
      <w:r w:rsidR="00047E35" w:rsidRPr="004C78D8">
        <w:t>their</w:t>
      </w:r>
      <w:r w:rsidR="00824E6E" w:rsidRPr="004C78D8">
        <w:t xml:space="preserve"> strength of preference over key intervention attributes </w:t>
      </w:r>
      <w:r w:rsidR="00047E35" w:rsidRPr="004C78D8">
        <w:t xml:space="preserve">and </w:t>
      </w:r>
      <w:r w:rsidR="001600F4" w:rsidRPr="004C78D8">
        <w:t xml:space="preserve">the </w:t>
      </w:r>
      <w:r w:rsidR="00047E35" w:rsidRPr="004C78D8">
        <w:t xml:space="preserve">likelihood to participate </w:t>
      </w:r>
      <w:r w:rsidR="00047E35" w:rsidRPr="004C78D8">
        <w:fldChar w:fldCharType="begin">
          <w:fldData xml:space="preserve">PEVuZE5vdGU+PENpdGU+PEF1dGhvcj5GcmFuY288L0F1dGhvcj48WWVhcj4yMDE2PC9ZZWFyPjxS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</w:fldData>
        </w:fldChar>
      </w:r>
      <w:r w:rsidR="00A2699D" w:rsidRPr="004C78D8">
        <w:instrText xml:space="preserve"> ADDIN EN.CITE </w:instrText>
      </w:r>
      <w:r w:rsidR="00A2699D" w:rsidRPr="004C78D8">
        <w:fldChar w:fldCharType="begin">
          <w:fldData xml:space="preserve">PEVuZE5vdGU+PENpdGU+PEF1dGhvcj5GcmFuY288L0F1dGhvcj48WWVhcj4yMDE2PC9ZZWFyPjxS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</w:fldData>
        </w:fldChar>
      </w:r>
      <w:r w:rsidR="00A2699D" w:rsidRPr="004C78D8">
        <w:instrText xml:space="preserve"> ADDIN EN.CITE.DATA </w:instrText>
      </w:r>
      <w:r w:rsidR="00A2699D" w:rsidRPr="004C78D8">
        <w:fldChar w:fldCharType="end"/>
      </w:r>
      <w:r w:rsidR="00047E35" w:rsidRPr="004C78D8">
        <w:fldChar w:fldCharType="separate"/>
      </w:r>
      <w:r w:rsidR="00A2699D" w:rsidRPr="004C78D8">
        <w:rPr>
          <w:noProof/>
        </w:rPr>
        <w:t>[441, 442]</w:t>
      </w:r>
      <w:r w:rsidR="00047E35" w:rsidRPr="004C78D8">
        <w:fldChar w:fldCharType="end"/>
      </w:r>
      <w:r w:rsidR="00047E35" w:rsidRPr="004C78D8">
        <w:t xml:space="preserve">. </w:t>
      </w:r>
      <w:r w:rsidR="00EA1696" w:rsidRPr="004C78D8">
        <w:t xml:space="preserve">This would provide quantitative parameters </w:t>
      </w:r>
      <w:r w:rsidR="00E72792" w:rsidRPr="004C78D8">
        <w:t>for</w:t>
      </w:r>
      <w:r w:rsidR="00EA1696" w:rsidRPr="004C78D8">
        <w:t xml:space="preserve"> </w:t>
      </w:r>
      <w:r w:rsidR="00290B59" w:rsidRPr="004C78D8">
        <w:t xml:space="preserve">behavioural factors and </w:t>
      </w:r>
      <w:r w:rsidR="00EA1696" w:rsidRPr="004C78D8">
        <w:t xml:space="preserve">the extent of the double jeopardy problem. </w:t>
      </w:r>
    </w:p>
    <w:p w14:paraId="38ED04C2" w14:textId="36B98171" w:rsidR="00EA1696" w:rsidRPr="004C78D8" w:rsidRDefault="004918B8" w:rsidP="00FB7C1F">
      <w:r w:rsidRPr="004C78D8">
        <w:t>A further research item would be to apply the framework analysis in Chapter 2 within secondary synthes</w:t>
      </w:r>
      <w:r w:rsidR="002736FD" w:rsidRPr="004C78D8">
        <w:t>e</w:t>
      </w:r>
      <w:r w:rsidRPr="004C78D8">
        <w:t>s of qualitative data that accompan</w:t>
      </w:r>
      <w:r w:rsidR="002736FD" w:rsidRPr="004C78D8">
        <w:t>y</w:t>
      </w:r>
      <w:r w:rsidRPr="004C78D8">
        <w:t xml:space="preserve"> the development of NICE clinical guidelines, including those for falls and social isolation preventions </w:t>
      </w:r>
      <w:r w:rsidRPr="004C78D8">
        <w:fldChar w:fldCharType="begin"/>
      </w:r>
      <w:r w:rsidR="00A2699D" w:rsidRPr="004C78D8">
        <w:instrText xml:space="preserve"> ADDIN EN.CITE &lt;EndNote&gt;&lt;Cite&gt;&lt;Author&gt;National Institute for Health and Care Excellence&lt;/Author&gt;&lt;Year&gt;2013&lt;/Year&gt;&lt;RecNum&gt;13&lt;/RecNum&gt;&lt;DisplayText&gt;[13, 443]&lt;/DisplayText&gt;&lt;record&gt;&lt;rec-number&gt;13&lt;/rec-number&gt;&lt;foreign-keys&gt;&lt;key app="EN" db-id="tdtrdw9aepptzbefsat599syza29sxsd2wsp" timestamp="1596619061"&gt;13&lt;/key&gt;&lt;/foreign-keys&gt;&lt;ref-type name="Journal Article"&gt;17&lt;/ref-type&gt;&lt;contributors&gt;&lt;authors&gt;&lt;author&gt;National Institute for Health and Care Excellence,&lt;/author&gt;&lt;/authors&gt;&lt;/contributors&gt;&lt;titles&gt;&lt;title&gt;Falls in older people: assessing risk and prevention&lt;/title&gt;&lt;secondary-title&gt;National Institute for Health and Care Excellence&lt;/secondary-title&gt;&lt;/titles&gt;&lt;periodical&gt;&lt;full-title&gt;National Institute for Health and Care Excellence&lt;/full-title&gt;&lt;/periodical&gt;&lt;volume&gt;Clinical Guideline 161&lt;/volume&gt;&lt;number&gt;nice.org.uk/guidance/cg161&lt;/number&gt;&lt;dates&gt;&lt;year&gt;2013&lt;/year&gt;&lt;/dates&gt;&lt;urls&gt;&lt;/urls&gt;&lt;/record&gt;&lt;/Cite&gt;&lt;Cite&gt;&lt;Author&gt;National Institute for Health and Care Excellence&lt;/Author&gt;&lt;Year&gt;2015&lt;/Year&gt;&lt;RecNum&gt;797&lt;/RecNum&gt;&lt;record&gt;&lt;rec-number&gt;797&lt;/rec-number&gt;&lt;foreign-keys&gt;&lt;key app="EN" db-id="tdtrdw9aepptzbefsat599syza29sxsd2wsp" timestamp="1644937618"&gt;797&lt;/key&gt;&lt;/foreign-keys&gt;&lt;ref-type name="Web Page"&gt;12&lt;/ref-type&gt;&lt;contributors&gt;&lt;authors&gt;&lt;author&gt;National Institute for Health and Care Excellence,&lt;/author&gt;&lt;/authors&gt;&lt;secondary-authors&gt;&lt;author&gt;National Institute for Health and Care Excellence&lt;/author&gt;&lt;/secondary-authors&gt;&lt;/contributors&gt;&lt;titles&gt;&lt;title&gt;Older people: independence and mental wellbeing. NICE guideline [NG32]&lt;/title&gt;&lt;/titles&gt;&lt;dates&gt;&lt;year&gt;2015&lt;/year&gt;&lt;pub-dates&gt;&lt;date&gt;17 December 2015&lt;/date&gt;&lt;/pub-dates&gt;&lt;/dates&gt;&lt;urls&gt;&lt;related-urls&gt;&lt;url&gt;https://www.nice.org.uk/guidance/ng32&lt;/url&gt;&lt;/related-urls&gt;&lt;/urls&gt;&lt;custom1&gt;15th February 2022&lt;/custom1&gt;&lt;/record&gt;&lt;/Cite&gt;&lt;/EndNote&gt;</w:instrText>
      </w:r>
      <w:r w:rsidRPr="004C78D8">
        <w:fldChar w:fldCharType="separate"/>
      </w:r>
      <w:r w:rsidR="00A2699D" w:rsidRPr="004C78D8">
        <w:rPr>
          <w:noProof/>
        </w:rPr>
        <w:t>[13, 443]</w:t>
      </w:r>
      <w:r w:rsidRPr="004C78D8">
        <w:fldChar w:fldCharType="end"/>
      </w:r>
      <w:r w:rsidRPr="004C78D8">
        <w:t>.</w:t>
      </w:r>
      <w:r w:rsidR="002736FD" w:rsidRPr="004C78D8">
        <w:t xml:space="preserve"> Primary qualitative research set in a specific local context may lack generalisability to further contexts; secondary synthesis would hence be more appropriate for a national-level HTA model development </w:t>
      </w:r>
      <w:r w:rsidR="002736FD" w:rsidRPr="004C78D8">
        <w:fldChar w:fldCharType="begin"/>
      </w:r>
      <w:r w:rsidR="00A2699D" w:rsidRPr="004C78D8">
        <w:instrText xml:space="preserve"> ADDIN EN.CITE &lt;EndNote&gt;&lt;Cite&gt;&lt;Author&gt;Booth&lt;/Author&gt;&lt;Year&gt;2016&lt;/Year&gt;&lt;RecNum&gt;804&lt;/RecNum&gt;&lt;DisplayText&gt;[444]&lt;/DisplayText&gt;&lt;record&gt;&lt;rec-number&gt;804&lt;/rec-number&gt;&lt;foreign-keys&gt;&lt;key app="EN" db-id="tdtrdw9aepptzbefsat599syza29sxsd2wsp" timestamp="1645030362"&gt;804&lt;/key&gt;&lt;/foreign-keys&gt;&lt;ref-type name="Journal Article"&gt;17&lt;/ref-type&gt;&lt;contributors&gt;&lt;authors&gt;&lt;author&gt;Booth, Andrew&lt;/author&gt;&lt;author&gt;Noyes, Jane&lt;/author&gt;&lt;author&gt;Flemming, Kate&lt;/author&gt;&lt;author&gt;Gerhardus, Ansgar&lt;/author&gt;&lt;author&gt;Wahlster, Philip&lt;/author&gt;&lt;author&gt;Van Der Wilt, Gert Jan&lt;/author&gt;&lt;author&gt;Mozygemba, Kati&lt;/author&gt;&lt;author&gt;Refolo, Pietro&lt;/author&gt;&lt;author&gt;Sacchini, Dario&lt;/author&gt;&lt;author&gt;Tummers, Marcia&lt;/author&gt;&lt;/authors&gt;&lt;/contributors&gt;&lt;titles&gt;&lt;title&gt;Guidance on choosing qualitative evidence synthesis methods for use in health technology assessments of complex interventions&lt;/title&gt;&lt;secondary-title&gt;Bremen (DE): Integrate-HTA&lt;/secondary-title&gt;&lt;/titles&gt;&lt;periodical&gt;&lt;full-title&gt;Bremen (DE): Integrate-HTA&lt;/full-title&gt;&lt;/periodical&gt;&lt;dates&gt;&lt;year&gt;2016&lt;/year&gt;&lt;/dates&gt;&lt;urls&gt;&lt;/urls&gt;&lt;/record&gt;&lt;/Cite&gt;&lt;/EndNote&gt;</w:instrText>
      </w:r>
      <w:r w:rsidR="002736FD" w:rsidRPr="004C78D8">
        <w:fldChar w:fldCharType="separate"/>
      </w:r>
      <w:r w:rsidR="00A2699D" w:rsidRPr="004C78D8">
        <w:rPr>
          <w:noProof/>
        </w:rPr>
        <w:t>[444]</w:t>
      </w:r>
      <w:r w:rsidR="002736FD" w:rsidRPr="004C78D8">
        <w:fldChar w:fldCharType="end"/>
      </w:r>
      <w:r w:rsidR="002736FD" w:rsidRPr="004C78D8">
        <w:t>.</w:t>
      </w:r>
    </w:p>
    <w:p w14:paraId="5B04F9BE" w14:textId="22A20116" w:rsidR="00B57421" w:rsidRPr="004C78D8" w:rsidRDefault="00186E6C" w:rsidP="00FB7C1F">
      <w:r w:rsidRPr="004C78D8">
        <w:t>T</w:t>
      </w:r>
      <w:r w:rsidR="00FF247B" w:rsidRPr="004C78D8">
        <w:t xml:space="preserve">he conceptual model in the current study concentrated </w:t>
      </w:r>
      <w:r w:rsidR="0067211F" w:rsidRPr="004C78D8">
        <w:t xml:space="preserve">primarily </w:t>
      </w:r>
      <w:r w:rsidR="00FF247B" w:rsidRPr="004C78D8">
        <w:t>on the current and recommended falls prevention practices</w:t>
      </w:r>
      <w:r w:rsidRPr="004C78D8">
        <w:t>;</w:t>
      </w:r>
      <w:r w:rsidR="00FF247B" w:rsidRPr="004C78D8">
        <w:t xml:space="preserve"> </w:t>
      </w:r>
      <w:r w:rsidRPr="004C78D8">
        <w:t>y</w:t>
      </w:r>
      <w:r w:rsidR="00FF247B" w:rsidRPr="004C78D8">
        <w:t>et commissioners</w:t>
      </w:r>
      <w:r w:rsidR="001563CA" w:rsidRPr="004C78D8">
        <w:t xml:space="preserve"> </w:t>
      </w:r>
      <w:r w:rsidR="00FF247B" w:rsidRPr="004C78D8">
        <w:t xml:space="preserve">perceived falls prevention as a component within a broader geriatric prevention package. A future conceptual model should explore this multi-need integration more deeply, say, </w:t>
      </w:r>
      <w:r w:rsidR="001563CA" w:rsidRPr="004C78D8">
        <w:t xml:space="preserve">between falls prevention and </w:t>
      </w:r>
      <w:r w:rsidR="00FF247B" w:rsidRPr="004C78D8">
        <w:t>dementia care</w:t>
      </w:r>
      <w:r w:rsidR="00EC2955" w:rsidRPr="004C78D8">
        <w:t xml:space="preserve"> </w:t>
      </w:r>
      <w:r w:rsidR="00EC2955" w:rsidRPr="004C78D8">
        <w:fldChar w:fldCharType="begin">
          <w:fldData xml:space="preserve">PEVuZE5vdGU+PENpdGU+PEF1dGhvcj5IYXJwZXI8L0F1dGhvcj48WWVhcj4yMDIwPC9ZZWFyPjxS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</w:fldData>
        </w:fldChar>
      </w:r>
      <w:r w:rsidR="00A2699D" w:rsidRPr="004C78D8">
        <w:instrText xml:space="preserve"> ADDIN EN.CITE </w:instrText>
      </w:r>
      <w:r w:rsidR="00A2699D" w:rsidRPr="004C78D8">
        <w:fldChar w:fldCharType="begin">
          <w:fldData xml:space="preserve">PEVuZE5vdGU+PENpdGU+PEF1dGhvcj5IYXJwZXI8L0F1dGhvcj48WWVhcj4yMDIwPC9ZZWFyPjxS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</w:fldData>
        </w:fldChar>
      </w:r>
      <w:r w:rsidR="00A2699D" w:rsidRPr="004C78D8">
        <w:instrText xml:space="preserve"> ADDIN EN.CITE.DATA </w:instrText>
      </w:r>
      <w:r w:rsidR="00A2699D" w:rsidRPr="004C78D8">
        <w:fldChar w:fldCharType="end"/>
      </w:r>
      <w:r w:rsidR="00EC2955" w:rsidRPr="004C78D8">
        <w:fldChar w:fldCharType="separate"/>
      </w:r>
      <w:r w:rsidR="00A2699D" w:rsidRPr="004C78D8">
        <w:rPr>
          <w:noProof/>
        </w:rPr>
        <w:t>[445-447]</w:t>
      </w:r>
      <w:r w:rsidR="00EC2955" w:rsidRPr="004C78D8">
        <w:fldChar w:fldCharType="end"/>
      </w:r>
      <w:r w:rsidR="001E2A36" w:rsidRPr="004C78D8">
        <w:t>,</w:t>
      </w:r>
      <w:r w:rsidR="00FF247B" w:rsidRPr="004C78D8">
        <w:t xml:space="preserve"> </w:t>
      </w:r>
      <w:r w:rsidR="00F60342" w:rsidRPr="004C78D8">
        <w:t xml:space="preserve">social isolation prevention, </w:t>
      </w:r>
      <w:r w:rsidR="00FF247B" w:rsidRPr="004C78D8">
        <w:t>physical activity promotion</w:t>
      </w:r>
      <w:r w:rsidR="001E2A36" w:rsidRPr="004C78D8">
        <w:t xml:space="preserve"> and senior welfare policies</w:t>
      </w:r>
      <w:r w:rsidR="00FF247B" w:rsidRPr="004C78D8">
        <w:t xml:space="preserve">. </w:t>
      </w:r>
      <w:r w:rsidR="00A217DB" w:rsidRPr="004C78D8">
        <w:t xml:space="preserve">Life-course integration </w:t>
      </w:r>
      <w:r w:rsidR="009E5BC6" w:rsidRPr="004C78D8">
        <w:t xml:space="preserve">should </w:t>
      </w:r>
      <w:r w:rsidR="00290B59" w:rsidRPr="004C78D8">
        <w:t>also</w:t>
      </w:r>
      <w:r w:rsidR="009E5BC6" w:rsidRPr="004C78D8">
        <w:t xml:space="preserve"> be explored given the nontrivial falls risk among middle-aged populations </w:t>
      </w:r>
      <w:r w:rsidR="009E5BC6" w:rsidRPr="004C78D8">
        <w:fldChar w:fldCharType="begin">
          <w:fldData xml:space="preserve">PEVuZE5vdGU+PENpdGU+PEF1dGhvcj5IYXJtb248L0F1dGhvcj48WWVhcj4yMDE5PC9ZZWFyPjxS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</w:fldData>
        </w:fldChar>
      </w:r>
      <w:r w:rsidR="00513646" w:rsidRPr="004C78D8">
        <w:instrText xml:space="preserve"> ADDIN EN.CITE </w:instrText>
      </w:r>
      <w:r w:rsidR="00513646" w:rsidRPr="004C78D8">
        <w:fldChar w:fldCharType="begin">
          <w:fldData xml:space="preserve">PEVuZE5vdGU+PENpdGU+PEF1dGhvcj5IYXJtb248L0F1dGhvcj48WWVhcj4yMDE5PC9ZZWFyPjxS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</w:fldData>
        </w:fldChar>
      </w:r>
      <w:r w:rsidR="00513646" w:rsidRPr="004C78D8">
        <w:instrText xml:space="preserve"> ADDIN EN.CITE.DATA </w:instrText>
      </w:r>
      <w:r w:rsidR="00513646" w:rsidRPr="004C78D8">
        <w:fldChar w:fldCharType="end"/>
      </w:r>
      <w:r w:rsidR="009E5BC6" w:rsidRPr="004C78D8">
        <w:fldChar w:fldCharType="separate"/>
      </w:r>
      <w:r w:rsidR="00513646" w:rsidRPr="004C78D8">
        <w:rPr>
          <w:noProof/>
        </w:rPr>
        <w:t>[138]</w:t>
      </w:r>
      <w:r w:rsidR="009E5BC6" w:rsidRPr="004C78D8">
        <w:fldChar w:fldCharType="end"/>
      </w:r>
      <w:r w:rsidR="009E5BC6" w:rsidRPr="004C78D8">
        <w:t xml:space="preserve">. </w:t>
      </w:r>
    </w:p>
    <w:p w14:paraId="1D288D15" w14:textId="3C1064EF" w:rsidR="00B57421" w:rsidRPr="004C78D8" w:rsidRDefault="00186E6C" w:rsidP="00FB7C1F">
      <w:r w:rsidRPr="004C78D8">
        <w:t xml:space="preserve">Finally, a </w:t>
      </w:r>
      <w:r w:rsidR="0006756C" w:rsidRPr="004C78D8">
        <w:t>priority for falls prevention is</w:t>
      </w:r>
      <w:r w:rsidRPr="004C78D8">
        <w:t xml:space="preserve"> grasping </w:t>
      </w:r>
      <w:r w:rsidR="00290B59" w:rsidRPr="004C78D8">
        <w:t>its</w:t>
      </w:r>
      <w:r w:rsidRPr="004C78D8">
        <w:t xml:space="preserve"> global dimension. P</w:t>
      </w:r>
      <w:r w:rsidR="00B57421" w:rsidRPr="004C78D8">
        <w:t>opulation ageing is not a developed world problem but a global one</w:t>
      </w:r>
      <w:r w:rsidR="00290B59" w:rsidRPr="004C78D8">
        <w:t>:</w:t>
      </w:r>
      <w:r w:rsidR="00B57421" w:rsidRPr="004C78D8">
        <w:t xml:space="preserve"> </w:t>
      </w:r>
      <w:r w:rsidR="00290B59" w:rsidRPr="004C78D8">
        <w:t>b</w:t>
      </w:r>
      <w:r w:rsidR="00B57421" w:rsidRPr="004C78D8">
        <w:t>y 2050, those aged 65</w:t>
      </w:r>
      <w:r w:rsidRPr="004C78D8">
        <w:t>+</w:t>
      </w:r>
      <w:r w:rsidR="00B57421" w:rsidRPr="004C78D8">
        <w:t xml:space="preserve"> are projected to comprise 21% of the total world population, up from 8% in 2010 </w:t>
      </w:r>
      <w:r w:rsidRPr="004C78D8">
        <w:fldChar w:fldCharType="begin"/>
      </w:r>
      <w:r w:rsidRPr="004C78D8">
        <w:instrText xml:space="preserve"> ADDIN EN.CITE &lt;EndNote&gt;&lt;Cite&gt;&lt;Author&gt;Byles&lt;/Author&gt;&lt;Year&gt;2015&lt;/Year&gt;&lt;RecNum&gt;24&lt;/RecNum&gt;&lt;DisplayText&gt;[9]&lt;/DisplayText&gt;&lt;record&gt;&lt;rec-number&gt;24&lt;/rec-number&gt;&lt;foreign-keys&gt;&lt;key app="EN" db-id="tdtrdw9aepptzbefsat599syza29sxsd2wsp" timestamp="1596721671"&gt;24&lt;/key&gt;&lt;/foreign-keys&gt;&lt;ref-type name="Journal Article"&gt;17&lt;/ref-type&gt;&lt;contributors&gt;&lt;authors&gt;&lt;author&gt;Byles, JE&lt;/author&gt;&lt;author&gt;Tavener, M&lt;/author&gt;&lt;/authors&gt;&lt;/contributors&gt;&lt;titles&gt;&lt;title&gt;Health of older people&lt;/title&gt;&lt;secondary-title&gt;Oxford Textbook of Global Public Health&lt;/secondary-title&gt;&lt;/titles&gt;&lt;periodical&gt;&lt;full-title&gt;Oxford Textbook of Global Public Health&lt;/full-title&gt;&lt;/periodical&gt;&lt;pages&gt;1408-1424&lt;/pages&gt;&lt;dates&gt;&lt;year&gt;2015&lt;/year&gt;&lt;/dates&gt;&lt;urls&gt;&lt;/urls&gt;&lt;/record&gt;&lt;/Cite&gt;&lt;/EndNote&gt;</w:instrText>
      </w:r>
      <w:r w:rsidRPr="004C78D8">
        <w:fldChar w:fldCharType="separate"/>
      </w:r>
      <w:r w:rsidRPr="004C78D8">
        <w:rPr>
          <w:noProof/>
        </w:rPr>
        <w:t>[9]</w:t>
      </w:r>
      <w:r w:rsidRPr="004C78D8">
        <w:fldChar w:fldCharType="end"/>
      </w:r>
      <w:r w:rsidR="00B57421" w:rsidRPr="004C78D8">
        <w:t xml:space="preserve">. </w:t>
      </w:r>
      <w:r w:rsidR="00290B59" w:rsidRPr="004C78D8">
        <w:t>T</w:t>
      </w:r>
      <w:r w:rsidRPr="004C78D8">
        <w:t xml:space="preserve">here is an acute scarcity of falls prevention economic evaluations, let alone models, set in the developing country context </w:t>
      </w:r>
      <w:r w:rsidRPr="004C78D8">
        <w:fldChar w:fldCharType="begin"/>
      </w:r>
      <w:r w:rsidR="00C630FC" w:rsidRPr="004C78D8">
        <w:instrText xml:space="preserve"> ADDIN EN.CITE &lt;EndNote&gt;&lt;Cite&gt;&lt;Author&gt;Winser&lt;/Author&gt;&lt;Year&gt;2020&lt;/Year&gt;&lt;RecNum&gt;100&lt;/RecNum&gt;&lt;DisplayText&gt;[332]&lt;/DisplayText&gt;&lt;record&gt;&lt;rec-number&gt;100&lt;/rec-number&gt;&lt;foreign-keys&gt;&lt;key app="EN" db-id="tdtrdw9aepptzbefsat599syza29sxsd2wsp" timestamp="1598192620"&gt;100&lt;/key&gt;&lt;/foreign-keys&gt;&lt;ref-type name="Journal Article"&gt;17&lt;/ref-type&gt;&lt;contributors&gt;&lt;authors&gt;&lt;author&gt;Winser, Stanley John&lt;/author&gt;&lt;author&gt;Chan, Hei Tung Fion&lt;/author&gt;&lt;author&gt;Ho, Lam&lt;/author&gt;&lt;author&gt;Chung, Lau Sze&lt;/author&gt;&lt;author&gt;Ching, Lau Tsz&lt;/author&gt;&lt;author&gt;Felix, Tom Kin Lok&lt;/author&gt;&lt;author&gt;Kannan, Priya&lt;/author&gt;&lt;/authors&gt;&lt;/contributors&gt;&lt;titles&gt;&lt;title&gt;Dosage for cost-effective exercise-based falls prevention programs for older people: a systematic review of economic evaluations&lt;/title&gt;&lt;secondary-title&gt;Annals of physical and rehabilitation medicine&lt;/secondary-title&gt;&lt;/titles&gt;&lt;periodical&gt;&lt;full-title&gt;Annals of physical and rehabilitation medicine&lt;/full-title&gt;&lt;/periodical&gt;&lt;pages&gt;69-80&lt;/pages&gt;&lt;volume&gt;63&lt;/volume&gt;&lt;number&gt;1&lt;/number&gt;&lt;dates&gt;&lt;year&gt;2020&lt;/year&gt;&lt;/dates&gt;&lt;isbn&gt;1877-0657&lt;/isbn&gt;&lt;urls&gt;&lt;/urls&gt;&lt;/record&gt;&lt;/Cite&gt;&lt;/EndNote&gt;</w:instrText>
      </w:r>
      <w:r w:rsidRPr="004C78D8">
        <w:fldChar w:fldCharType="separate"/>
      </w:r>
      <w:r w:rsidR="00C630FC" w:rsidRPr="004C78D8">
        <w:rPr>
          <w:noProof/>
        </w:rPr>
        <w:t>[332]</w:t>
      </w:r>
      <w:r w:rsidRPr="004C78D8">
        <w:fldChar w:fldCharType="end"/>
      </w:r>
      <w:r w:rsidR="00F02847" w:rsidRPr="004C78D8">
        <w:t xml:space="preserve">: only a single model from Chapter </w:t>
      </w:r>
      <w:r w:rsidR="003D28E1" w:rsidRPr="004C78D8">
        <w:t xml:space="preserve">4 </w:t>
      </w:r>
      <w:r w:rsidR="00F02847" w:rsidRPr="004C78D8">
        <w:t xml:space="preserve">was set outside a high-income country </w:t>
      </w:r>
      <w:r w:rsidR="00F02847" w:rsidRPr="004C78D8">
        <w:fldChar w:fldCharType="begin"/>
      </w:r>
      <w:r w:rsidR="00C630FC" w:rsidRPr="004C78D8">
        <w:instrText xml:space="preserve"> ADDIN EN.CITE &lt;EndNote&gt;&lt;Cite&gt;&lt;Author&gt;Agartioglu Kundakci&lt;/Author&gt;&lt;Year&gt;2020&lt;/Year&gt;&lt;RecNum&gt;370&lt;/RecNum&gt;&lt;DisplayText&gt;[357]&lt;/DisplayText&gt;&lt;record&gt;&lt;rec-number&gt;370&lt;/rec-number&gt;&lt;foreign-keys&gt;&lt;key app="EN" db-id="tdtrdw9aepptzbefsat599syza29sxsd2wsp" timestamp="1612617800"&gt;370&lt;/key&gt;&lt;/foreign-keys&gt;&lt;ref-type name="Journal Article"&gt;17&lt;/ref-type&gt;&lt;contributors&gt;&lt;authors&gt;&lt;author&gt;Agartioglu Kundakci, Gamze&lt;/author&gt;&lt;author&gt;Yilmaz, Medine&lt;/author&gt;&lt;author&gt;Sozmen, Melih Kaan&lt;/author&gt;&lt;/authors&gt;&lt;/contributors&gt;&lt;titles&gt;&lt;title&gt;Determination of the costs of falls in the older people according to the decision tree model&lt;/title&gt;&lt;secondary-title&gt;Archives of Gerontology and Geriatrics&lt;/secondary-title&gt;&lt;/titles&gt;&lt;periodical&gt;&lt;full-title&gt;Archives of gerontology and geriatrics&lt;/full-title&gt;&lt;/periodical&gt;&lt;pages&gt;104007&lt;/pages&gt;&lt;volume&gt;87&lt;/volume&gt;&lt;section&gt;Agartioglu Kundakci, Gamze. Department of Public Health Nursing, Izmir Katip Celebi University, Balatcik Campus, 35620, Izmir, Turkey. Electronic address: gamze.kundakci@ikcu.edu.tr.&amp;#xD;Yilmaz, Medine. Department of Public Health Nursing, Izmir Katip Celebi University, Turkey.&amp;#xD;Sozmen, Melih Kaan. Department of Public Health, Izmir Katip Celebi University, Turkey.&lt;/section&gt;&lt;keywords&gt;&lt;keyword&gt;Accidental Falls/ec [Economics]&lt;/keyword&gt;&lt;keyword&gt;*Accidental Falls/pc [Prevention &amp;amp; Control]&lt;/keyword&gt;&lt;keyword&gt;Aged&lt;/keyword&gt;&lt;keyword&gt;Aged, 80 and over&lt;/keyword&gt;&lt;keyword&gt;Cost-Benefit Analysis&lt;/keyword&gt;&lt;keyword&gt;Decision Trees&lt;/keyword&gt;&lt;keyword&gt;Female&lt;/keyword&gt;&lt;keyword&gt;*Health Care Costs&lt;/keyword&gt;&lt;keyword&gt;Humans&lt;/keyword&gt;&lt;keyword&gt;Male&lt;/keyword&gt;&lt;/keywords&gt;&lt;dates&gt;&lt;year&gt;2020&lt;/year&gt;&lt;/dates&gt;&lt;pub-location&gt;Netherlands&lt;/pub-location&gt;&lt;isbn&gt;1872-6976&amp;#xD;0167-4943&lt;/isbn&gt;&lt;urls&gt;&lt;related-urls&gt;&lt;url&gt;http://ovidsp.ovid.com/ovidweb.cgi?T=JS&amp;amp;PAGE=reference&amp;amp;D=medl&amp;amp;NEWS=N&amp;amp;AN=31901457&lt;/url&gt;&lt;/related-urls&gt;&lt;/urls&gt;&lt;electronic-resource-num&gt;https://dx.doi.org/10.1016/j.archger.2019.104007&lt;/electronic-resource-num&gt;&lt;remote-database-name&gt;Medline&lt;/remote-database-name&gt;&lt;/record&gt;&lt;/Cite&gt;&lt;/EndNote&gt;</w:instrText>
      </w:r>
      <w:r w:rsidR="00F02847" w:rsidRPr="004C78D8">
        <w:fldChar w:fldCharType="separate"/>
      </w:r>
      <w:r w:rsidR="00C630FC" w:rsidRPr="004C78D8">
        <w:rPr>
          <w:noProof/>
        </w:rPr>
        <w:t>[357]</w:t>
      </w:r>
      <w:r w:rsidR="00F02847" w:rsidRPr="004C78D8">
        <w:fldChar w:fldCharType="end"/>
      </w:r>
      <w:r w:rsidR="00F02847" w:rsidRPr="004C78D8">
        <w:t xml:space="preserve">. </w:t>
      </w:r>
      <w:r w:rsidR="00B57421" w:rsidRPr="004C78D8">
        <w:t xml:space="preserve">Future research should </w:t>
      </w:r>
      <w:r w:rsidRPr="004C78D8">
        <w:t>engage with the unique conceptual issues for falls prevention in developing country contexts. For example, the capacity constraints would be</w:t>
      </w:r>
      <w:r w:rsidR="0006756C" w:rsidRPr="004C78D8">
        <w:t xml:space="preserve"> </w:t>
      </w:r>
      <w:r w:rsidR="005E3817" w:rsidRPr="004C78D8">
        <w:t xml:space="preserve">more </w:t>
      </w:r>
      <w:r w:rsidRPr="004C78D8">
        <w:t>acute, while non-health outcomes including OOP care expenditure, productivity</w:t>
      </w:r>
      <w:r w:rsidR="00290B59" w:rsidRPr="004C78D8">
        <w:t>,</w:t>
      </w:r>
      <w:r w:rsidR="009544DC" w:rsidRPr="004C78D8">
        <w:t xml:space="preserve"> and informal caregiver burden</w:t>
      </w:r>
      <w:r w:rsidR="00DF1B9E" w:rsidRPr="004C78D8">
        <w:t xml:space="preserve"> would take on greater prominence</w:t>
      </w:r>
      <w:r w:rsidR="0006756C" w:rsidRPr="004C78D8">
        <w:t xml:space="preserve"> </w:t>
      </w:r>
      <w:r w:rsidR="0006756C" w:rsidRPr="004C78D8">
        <w:fldChar w:fldCharType="begin"/>
      </w:r>
      <w:r w:rsidR="00513646" w:rsidRPr="004C78D8">
        <w:instrText xml:space="preserve"> ADDIN EN.CITE &lt;EndNote&gt;&lt;Cite&gt;&lt;Author&gt;World Health Organization&lt;/Author&gt;&lt;Year&gt;2015&lt;/Year&gt;&lt;RecNum&gt;1&lt;/RecNum&gt;&lt;DisplayText&gt;[2, 72]&lt;/DisplayText&gt;&lt;record&gt;&lt;rec-number&gt;1&lt;/rec-number&gt;&lt;foreign-keys&gt;&lt;key app="EN" db-id="tdtrdw9aepptzbefsat599syza29sxsd2wsp" timestamp="1596571129"&gt;1&lt;/key&gt;&lt;/foreign-keys&gt;&lt;ref-type name="Book"&gt;6&lt;/ref-type&gt;&lt;contributors&gt;&lt;authors&gt;&lt;author&gt;World Health Organization,&lt;/author&gt;&lt;/authors&gt;&lt;/contributors&gt;&lt;titles&gt;&lt;title&gt;World Report on Ageing and Health&lt;/title&gt;&lt;/titles&gt;&lt;dates&gt;&lt;year&gt;2015&lt;/year&gt;&lt;/dates&gt;&lt;publisher&gt;World Health Organization&lt;/publisher&gt;&lt;isbn&gt;9241565047&lt;/isbn&gt;&lt;urls&gt;&lt;/urls&gt;&lt;/record&gt;&lt;/Cite&gt;&lt;Cite&gt;&lt;Author&gt;Verguet&lt;/Author&gt;&lt;Year&gt;2016&lt;/Year&gt;&lt;RecNum&gt;437&lt;/RecNum&gt;&lt;record&gt;&lt;rec-number&gt;437&lt;/rec-number&gt;&lt;foreign-keys&gt;&lt;key app="EN" db-id="tdtrdw9aepptzbefsat599syza29sxsd2wsp" timestamp="1616427053"&gt;437&lt;/key&gt;&lt;/foreign-keys&gt;&lt;ref-type name="Journal Article"&gt;17&lt;/ref-type&gt;&lt;contributors&gt;&lt;authors&gt;&lt;author&gt;Verguet, Stéphane&lt;/author&gt;&lt;author&gt;Kim, Jane J&lt;/author&gt;&lt;author&gt;Jamison, Dean T&lt;/author&gt;&lt;/authors&gt;&lt;/contributors&gt;&lt;titles&gt;&lt;title&gt;Extended cost-effectiveness analysis for health policy assessment: a tutorial&lt;/title&gt;&lt;secondary-title&gt;Pharmacoeconomics&lt;/secondary-title&gt;&lt;/titles&gt;&lt;periodical&gt;&lt;full-title&gt;PharmacoEconomics&lt;/full-title&gt;&lt;/periodical&gt;&lt;pages&gt;913-923&lt;/pages&gt;&lt;volume&gt;34&lt;/volume&gt;&lt;number&gt;9&lt;/number&gt;&lt;dates&gt;&lt;year&gt;2016&lt;/year&gt;&lt;/dates&gt;&lt;isbn&gt;1170-7690&lt;/isbn&gt;&lt;urls&gt;&lt;/urls&gt;&lt;/record&gt;&lt;/Cite&gt;&lt;/EndNote&gt;</w:instrText>
      </w:r>
      <w:r w:rsidR="0006756C" w:rsidRPr="004C78D8">
        <w:fldChar w:fldCharType="separate"/>
      </w:r>
      <w:r w:rsidR="00513646" w:rsidRPr="004C78D8">
        <w:rPr>
          <w:noProof/>
        </w:rPr>
        <w:t>[2, 72]</w:t>
      </w:r>
      <w:r w:rsidR="0006756C" w:rsidRPr="004C78D8">
        <w:fldChar w:fldCharType="end"/>
      </w:r>
      <w:r w:rsidRPr="004C78D8">
        <w:t xml:space="preserve">. </w:t>
      </w:r>
    </w:p>
    <w:p w14:paraId="4D8C5C80" w14:textId="5BFD0AA6" w:rsidR="006A214E" w:rsidRPr="004C78D8" w:rsidRDefault="006D62A0" w:rsidP="00FB7C1F">
      <w:pPr>
        <w:pStyle w:val="Heading3"/>
      </w:pPr>
      <w:bookmarkStart w:id="237" w:name="_Toc111630819"/>
      <w:r w:rsidRPr="004C78D8">
        <w:t>7</w:t>
      </w:r>
      <w:r w:rsidR="001E2A36" w:rsidRPr="004C78D8">
        <w:t xml:space="preserve">.5.2 </w:t>
      </w:r>
      <w:r w:rsidR="006A214E" w:rsidRPr="004C78D8">
        <w:t xml:space="preserve">Falls epidemiology </w:t>
      </w:r>
      <w:r w:rsidR="00E21196" w:rsidRPr="004C78D8">
        <w:t xml:space="preserve">and intervention </w:t>
      </w:r>
      <w:r w:rsidR="006A214E" w:rsidRPr="004C78D8">
        <w:t>modelling</w:t>
      </w:r>
      <w:bookmarkEnd w:id="237"/>
    </w:p>
    <w:p w14:paraId="10D70F7E" w14:textId="481D44FB" w:rsidR="004E7C41" w:rsidRPr="004C78D8" w:rsidRDefault="001E2A36" w:rsidP="00FB7C1F">
      <w:r w:rsidRPr="004C78D8">
        <w:t xml:space="preserve">This section adds to the suggestions for further research </w:t>
      </w:r>
      <w:r w:rsidR="008C0731" w:rsidRPr="004C78D8">
        <w:t xml:space="preserve">raised in Sections </w:t>
      </w:r>
      <w:r w:rsidR="00C22751" w:rsidRPr="004C78D8">
        <w:t>6</w:t>
      </w:r>
      <w:r w:rsidR="008C0731" w:rsidRPr="004C78D8">
        <w:t>.</w:t>
      </w:r>
      <w:r w:rsidR="00C22751" w:rsidRPr="004C78D8">
        <w:t>4</w:t>
      </w:r>
      <w:r w:rsidR="008C0731" w:rsidRPr="004C78D8">
        <w:t>.4</w:t>
      </w:r>
      <w:r w:rsidR="006E216B" w:rsidRPr="004C78D8">
        <w:t xml:space="preserve"> regarding falls epidemiology and intervention modelling. First, m</w:t>
      </w:r>
      <w:r w:rsidR="004E7C41" w:rsidRPr="004C78D8">
        <w:t>ore research on environmental falls risk factors and interventions</w:t>
      </w:r>
      <w:r w:rsidR="006E216B" w:rsidRPr="004C78D8">
        <w:t xml:space="preserve"> is a priority, particularly those in external public space</w:t>
      </w:r>
      <w:r w:rsidR="00C214C6" w:rsidRPr="004C78D8">
        <w:t>s</w:t>
      </w:r>
      <w:r w:rsidR="006E216B" w:rsidRPr="004C78D8">
        <w:t>.</w:t>
      </w:r>
      <w:r w:rsidR="004E7C41" w:rsidRPr="004C78D8">
        <w:t xml:space="preserve"> </w:t>
      </w:r>
      <w:r w:rsidR="003C6A08" w:rsidRPr="004C78D8">
        <w:t xml:space="preserve">Six </w:t>
      </w:r>
      <w:r w:rsidR="004E7C41" w:rsidRPr="004C78D8">
        <w:t xml:space="preserve">RCTs </w:t>
      </w:r>
      <w:r w:rsidR="006E216B" w:rsidRPr="004C78D8">
        <w:t xml:space="preserve">of environmental falls prevention interventions </w:t>
      </w:r>
      <w:r w:rsidR="004E7C41" w:rsidRPr="004C78D8">
        <w:t xml:space="preserve">identified in </w:t>
      </w:r>
      <w:r w:rsidR="006E216B" w:rsidRPr="004C78D8">
        <w:t xml:space="preserve">a </w:t>
      </w:r>
      <w:r w:rsidR="007867FC" w:rsidRPr="004C78D8">
        <w:t xml:space="preserve">2008 </w:t>
      </w:r>
      <w:r w:rsidR="004E7C41" w:rsidRPr="004C78D8">
        <w:t xml:space="preserve">systematic review </w:t>
      </w:r>
      <w:r w:rsidR="006E216B" w:rsidRPr="004C78D8">
        <w:t xml:space="preserve">were </w:t>
      </w:r>
      <w:r w:rsidR="004E7C41" w:rsidRPr="004C78D8">
        <w:t xml:space="preserve">all set in home environments </w:t>
      </w:r>
      <w:r w:rsidR="006E216B" w:rsidRPr="004C78D8">
        <w:t xml:space="preserve">(i.e., HAM) </w:t>
      </w:r>
      <w:r w:rsidR="003C6A08" w:rsidRPr="004C78D8">
        <w:fldChar w:fldCharType="begin"/>
      </w:r>
      <w:r w:rsidR="00A2699D" w:rsidRPr="004C78D8">
        <w:instrText xml:space="preserve"> ADDIN EN.CITE &lt;EndNote&gt;&lt;Cite&gt;&lt;Author&gt;Clemson&lt;/Author&gt;&lt;Year&gt;2008&lt;/Year&gt;&lt;RecNum&gt;805&lt;/RecNum&gt;&lt;DisplayText&gt;[448]&lt;/DisplayText&gt;&lt;record&gt;&lt;rec-number&gt;805&lt;/rec-number&gt;&lt;foreign-keys&gt;&lt;key app="EN" db-id="tdtrdw9aepptzbefsat599syza29sxsd2wsp" timestamp="1645032742"&gt;805&lt;/key&gt;&lt;/foreign-keys&gt;&lt;ref-type name="Journal Article"&gt;17&lt;/ref-type&gt;&lt;contributors&gt;&lt;authors&gt;&lt;author&gt;Clemson, Lindy&lt;/author&gt;&lt;author&gt;Mackenzie, Lynette&lt;/author&gt;&lt;author&gt;Ballinger, Claire&lt;/author&gt;&lt;author&gt;Close, Jacqueline CT&lt;/author&gt;&lt;author&gt;Cumming, Robert G&lt;/author&gt;&lt;/authors&gt;&lt;/contributors&gt;&lt;titles&gt;&lt;title&gt;Environmental interventions to prevent falls in community-dwelling older people: a meta-analysis of randomized trials&lt;/title&gt;&lt;secondary-title&gt;Journal of aging and health&lt;/secondary-title&gt;&lt;/titles&gt;&lt;periodical&gt;&lt;full-title&gt;Journal of aging and health&lt;/full-title&gt;&lt;/periodical&gt;&lt;pages&gt;954-971&lt;/pages&gt;&lt;volume&gt;20&lt;/volume&gt;&lt;number&gt;8&lt;/number&gt;&lt;dates&gt;&lt;year&gt;2008&lt;/year&gt;&lt;/dates&gt;&lt;isbn&gt;0898-2643&lt;/isbn&gt;&lt;urls&gt;&lt;/urls&gt;&lt;/record&gt;&lt;/Cite&gt;&lt;/EndNote&gt;</w:instrText>
      </w:r>
      <w:r w:rsidR="003C6A08" w:rsidRPr="004C78D8">
        <w:fldChar w:fldCharType="separate"/>
      </w:r>
      <w:r w:rsidR="00A2699D" w:rsidRPr="004C78D8">
        <w:rPr>
          <w:noProof/>
        </w:rPr>
        <w:t>[448]</w:t>
      </w:r>
      <w:r w:rsidR="003C6A08" w:rsidRPr="004C78D8">
        <w:fldChar w:fldCharType="end"/>
      </w:r>
      <w:r w:rsidR="003C6A08" w:rsidRPr="004C78D8">
        <w:t xml:space="preserve">. A systematic review of falls risk factors likewise only </w:t>
      </w:r>
      <w:r w:rsidR="00C2716C" w:rsidRPr="004C78D8">
        <w:t>identified</w:t>
      </w:r>
      <w:r w:rsidR="003C6A08" w:rsidRPr="004C78D8">
        <w:t xml:space="preserve"> </w:t>
      </w:r>
      <w:r w:rsidR="00096FE0" w:rsidRPr="004C78D8">
        <w:t xml:space="preserve">home-based environmental risk factors </w:t>
      </w:r>
      <w:r w:rsidR="00096FE0" w:rsidRPr="004C78D8">
        <w:fldChar w:fldCharType="begin"/>
      </w:r>
      <w:r w:rsidR="00C630FC" w:rsidRPr="004C78D8">
        <w:instrText xml:space="preserve"> ADDIN EN.CITE &lt;EndNote&gt;&lt;Cite&gt;&lt;Author&gt;Ambrose&lt;/Author&gt;&lt;Year&gt;2013&lt;/Year&gt;&lt;RecNum&gt;551&lt;/RecNum&gt;&lt;DisplayText&gt;[217]&lt;/DisplayText&gt;&lt;record&gt;&lt;rec-number&gt;551&lt;/rec-number&gt;&lt;foreign-keys&gt;&lt;key app="EN" db-id="tdtrdw9aepptzbefsat599syza29sxsd2wsp" timestamp="1618950071"&gt;551&lt;/key&gt;&lt;/foreign-keys&gt;&lt;ref-type name="Journal Article"&gt;17&lt;/ref-type&gt;&lt;contributors&gt;&lt;authors&gt;&lt;author&gt;Ambrose, A. F.&lt;/author&gt;&lt;author&gt;Paul, G.&lt;/author&gt;&lt;author&gt;Hausdorff, J. M.&lt;/author&gt;&lt;/authors&gt;&lt;/contributors&gt;&lt;auth-address&gt;Mt Sinai Sch Med, Dept Rehabil Med, New York, NY 10029 USA&amp;#xD;Harvard Univ, Sch Med, Dept Med, Boston, MA USA&amp;#xD;Tel Aviv Univ, Tel Aviv Sourasky Med Ctr, Movement Disorders Unit, IL-69978 Tel Aviv, Israel&amp;#xD;Tel Aviv Univ, Sackler Fac Med, Dept Phys Therapy, IL-69978 Tel Aviv, Israel&lt;/auth-address&gt;&lt;titles&gt;&lt;title&gt;Risk factors for falls among older adults: A review of the literature&lt;/title&gt;&lt;secondary-title&gt;Maturitas&lt;/secondary-title&gt;&lt;alt-title&gt;Maturitas&lt;/alt-title&gt;&lt;/titles&gt;&lt;periodical&gt;&lt;full-title&gt;Maturitas&lt;/full-title&gt;&lt;/periodical&gt;&lt;alt-periodical&gt;&lt;full-title&gt;Maturitas&lt;/full-title&gt;&lt;/alt-periodical&gt;&lt;pages&gt;51-61&lt;/pages&gt;&lt;volume&gt;75&lt;/volume&gt;&lt;number&gt;1&lt;/number&gt;&lt;keywords&gt;&lt;keyword&gt;fall risk&lt;/keyword&gt;&lt;keyword&gt;aging&lt;/keyword&gt;&lt;keyword&gt;gait&lt;/keyword&gt;&lt;keyword&gt;balance&lt;/keyword&gt;&lt;keyword&gt;age-related-changes&lt;/keyword&gt;&lt;keyword&gt;dynamic gait index&lt;/keyword&gt;&lt;keyword&gt;dwelling elderly population&lt;/keyword&gt;&lt;keyword&gt;orthostatic hypotension&lt;/keyword&gt;&lt;keyword&gt;ficsit trials&lt;/keyword&gt;&lt;keyword&gt;later life&lt;/keyword&gt;&lt;keyword&gt;cognitive impairment&lt;/keyword&gt;&lt;keyword&gt;macular degeneration&lt;/keyword&gt;&lt;keyword&gt;resource utilization&lt;/keyword&gt;&lt;keyword&gt;visual impairment&lt;/keyword&gt;&lt;/keywords&gt;&lt;dates&gt;&lt;year&gt;2013&lt;/year&gt;&lt;pub-dates&gt;&lt;date&gt;May&lt;/date&gt;&lt;/pub-dates&gt;&lt;/dates&gt;&lt;isbn&gt;0378-5122&lt;/isbn&gt;&lt;accession-num&gt;WOS:000318392500008&lt;/accession-num&gt;&lt;urls&gt;&lt;related-urls&gt;&lt;url&gt;&amp;lt;Go to ISI&amp;gt;://WOS:000318392500008&lt;/url&gt;&lt;/related-urls&gt;&lt;/urls&gt;&lt;electronic-resource-num&gt;10.1016/j.maturitas.2013.02.009&lt;/electronic-resource-num&gt;&lt;language&gt;English&lt;/language&gt;&lt;/record&gt;&lt;/Cite&gt;&lt;/EndNote&gt;</w:instrText>
      </w:r>
      <w:r w:rsidR="00096FE0" w:rsidRPr="004C78D8">
        <w:fldChar w:fldCharType="separate"/>
      </w:r>
      <w:r w:rsidR="00C630FC" w:rsidRPr="004C78D8">
        <w:rPr>
          <w:noProof/>
        </w:rPr>
        <w:t>[217]</w:t>
      </w:r>
      <w:r w:rsidR="00096FE0" w:rsidRPr="004C78D8">
        <w:fldChar w:fldCharType="end"/>
      </w:r>
      <w:r w:rsidR="00096FE0" w:rsidRPr="004C78D8">
        <w:t>.</w:t>
      </w:r>
      <w:r w:rsidR="003C6A08" w:rsidRPr="004C78D8">
        <w:t xml:space="preserve"> </w:t>
      </w:r>
      <w:r w:rsidR="00096FE0" w:rsidRPr="004C78D8">
        <w:t>R</w:t>
      </w:r>
      <w:r w:rsidR="003C6A08" w:rsidRPr="004C78D8">
        <w:t xml:space="preserve">esults of the forthcoming Cochrane systematic review of environmental interventions should be checked to see whether the </w:t>
      </w:r>
      <w:r w:rsidR="00096FE0" w:rsidRPr="004C78D8">
        <w:t>focus</w:t>
      </w:r>
      <w:r w:rsidR="003C6A08" w:rsidRPr="004C78D8">
        <w:t xml:space="preserve"> has </w:t>
      </w:r>
      <w:r w:rsidR="00096FE0" w:rsidRPr="004C78D8">
        <w:t xml:space="preserve">diversified </w:t>
      </w:r>
      <w:r w:rsidR="003C6A08" w:rsidRPr="004C78D8">
        <w:fldChar w:fldCharType="begin"/>
      </w:r>
      <w:r w:rsidR="00A2699D" w:rsidRPr="004C78D8">
        <w:instrText xml:space="preserve"> ADDIN EN.CITE &lt;EndNote&gt;&lt;Cite&gt;&lt;Author&gt;Clemson&lt;/Author&gt;&lt;Year&gt;2019&lt;/Year&gt;&lt;RecNum&gt;59&lt;/RecNum&gt;&lt;DisplayText&gt;[449]&lt;/DisplayText&gt;&lt;record&gt;&lt;rec-number&gt;59&lt;/rec-number&gt;&lt;foreign-keys&gt;&lt;key app="EN" db-id="tdtrdw9aepptzbefsat599syza29sxsd2wsp" timestamp="1598042004"&gt;59&lt;/key&gt;&lt;/foreign-keys&gt;&lt;ref-type name="Journal Article"&gt;17&lt;/ref-type&gt;&lt;contributors&gt;&lt;authors&gt;&lt;author&gt;Clemson, Lindy&lt;/author&gt;&lt;author&gt;Stark, Susan&lt;/author&gt;&lt;author&gt;Pighills, Alison C&lt;/author&gt;&lt;author&gt;Torgerson, David J&lt;/author&gt;&lt;author&gt;Sherrington, Catherine&lt;/author&gt;&lt;author&gt;Lamb, Sarah E&lt;/author&gt;&lt;/authors&gt;&lt;/contributors&gt;&lt;titles&gt;&lt;title&gt;Environmental interventions for preventing falls in older people living in the community&lt;/title&gt;&lt;secondary-title&gt;The Cochrane Database of Systematic Reviews&lt;/secondary-title&gt;&lt;/titles&gt;&lt;periodical&gt;&lt;full-title&gt;The Cochrane Database of Systematic Reviews&lt;/full-title&gt;&lt;/periodical&gt;&lt;volume&gt;2019&lt;/volume&gt;&lt;number&gt;2&lt;/number&gt;&lt;dates&gt;&lt;year&gt;2019&lt;/year&gt;&lt;/dates&gt;&lt;urls&gt;&lt;/urls&gt;&lt;/record&gt;&lt;/Cite&gt;&lt;/EndNote&gt;</w:instrText>
      </w:r>
      <w:r w:rsidR="003C6A08" w:rsidRPr="004C78D8">
        <w:fldChar w:fldCharType="separate"/>
      </w:r>
      <w:r w:rsidR="00A2699D" w:rsidRPr="004C78D8">
        <w:rPr>
          <w:noProof/>
        </w:rPr>
        <w:t>[449]</w:t>
      </w:r>
      <w:r w:rsidR="003C6A08" w:rsidRPr="004C78D8">
        <w:fldChar w:fldCharType="end"/>
      </w:r>
      <w:r w:rsidR="003C6A08" w:rsidRPr="004C78D8">
        <w:t>.</w:t>
      </w:r>
      <w:r w:rsidR="004E7C41" w:rsidRPr="004C78D8">
        <w:t xml:space="preserve"> </w:t>
      </w:r>
    </w:p>
    <w:p w14:paraId="4768A823" w14:textId="63F0B129" w:rsidR="00202DEC" w:rsidRPr="004C78D8" w:rsidRDefault="009E5BC6" w:rsidP="00FB7C1F">
      <w:r w:rsidRPr="004C78D8">
        <w:t>A future model could i</w:t>
      </w:r>
      <w:r w:rsidR="00EE39A8" w:rsidRPr="004C78D8">
        <w:t>ncorporate further falls risk factors</w:t>
      </w:r>
      <w:r w:rsidR="00132563" w:rsidRPr="004C78D8">
        <w:t xml:space="preserve"> and associated intervention types</w:t>
      </w:r>
      <w:r w:rsidRPr="004C78D8">
        <w:t xml:space="preserve">. </w:t>
      </w:r>
      <w:r w:rsidR="007A295B" w:rsidRPr="004C78D8">
        <w:t xml:space="preserve">There is some evidence that </w:t>
      </w:r>
      <w:r w:rsidR="00FB5398" w:rsidRPr="004C78D8">
        <w:t>vitamin D supplementation</w:t>
      </w:r>
      <w:r w:rsidR="007A295B" w:rsidRPr="004C78D8">
        <w:t xml:space="preserve"> of adequate dose reduces falls </w:t>
      </w:r>
      <w:r w:rsidR="007A295B" w:rsidRPr="004C78D8">
        <w:fldChar w:fldCharType="begin"/>
      </w:r>
      <w:r w:rsidR="00A2699D" w:rsidRPr="004C78D8">
        <w:instrText xml:space="preserve"> ADDIN EN.CITE &lt;EndNote&gt;&lt;Cite&gt;&lt;Author&gt;Bischoff-Ferrari&lt;/Author&gt;&lt;Year&gt;2009&lt;/Year&gt;&lt;RecNum&gt;634&lt;/RecNum&gt;&lt;DisplayText&gt;[450]&lt;/DisplayText&gt;&lt;record&gt;&lt;rec-number&gt;634&lt;/rec-number&gt;&lt;foreign-keys&gt;&lt;key app="EN" db-id="tdtrdw9aepptzbefsat599syza29sxsd2wsp" timestamp="1625079475"&gt;634&lt;/key&gt;&lt;/foreign-keys&gt;&lt;ref-type name="Journal Article"&gt;17&lt;/ref-type&gt;&lt;contributors&gt;&lt;authors&gt;&lt;author&gt;Bischoff-Ferrari, Heike A&lt;/author&gt;&lt;author&gt;Dawson-Hughes, Bess&lt;/author&gt;&lt;author&gt;Staehelin, Hannes B&lt;/author&gt;&lt;author&gt;Orav, John E&lt;/author&gt;&lt;author&gt;Stuck, AE&lt;/author&gt;&lt;author&gt;Theiler, Robert&lt;/author&gt;&lt;author&gt;Wong, John B&lt;/author&gt;&lt;author&gt;Egli, Andreas&lt;/author&gt;&lt;author&gt;Kiel, Douglas P&lt;/author&gt;&lt;author&gt;Henschkowski, Jana&lt;/author&gt;&lt;/authors&gt;&lt;/contributors&gt;&lt;titles&gt;&lt;title&gt;Fall prevention with supplemental and active forms of vitamin D: a meta-analysis of randomised controlled trials&lt;/title&gt;&lt;secondary-title&gt;Bmj&lt;/secondary-title&gt;&lt;/titles&gt;&lt;periodical&gt;&lt;full-title&gt;Bmj&lt;/full-title&gt;&lt;/periodical&gt;&lt;pages&gt;b3692&lt;/pages&gt;&lt;volume&gt;339&lt;/volume&gt;&lt;dates&gt;&lt;year&gt;2009&lt;/year&gt;&lt;/dates&gt;&lt;isbn&gt;0959-8138&lt;/isbn&gt;&lt;urls&gt;&lt;/urls&gt;&lt;/record&gt;&lt;/Cite&gt;&lt;/EndNote&gt;</w:instrText>
      </w:r>
      <w:r w:rsidR="007A295B" w:rsidRPr="004C78D8">
        <w:fldChar w:fldCharType="separate"/>
      </w:r>
      <w:r w:rsidR="00A2699D" w:rsidRPr="004C78D8">
        <w:rPr>
          <w:noProof/>
        </w:rPr>
        <w:t>[450]</w:t>
      </w:r>
      <w:r w:rsidR="007A295B" w:rsidRPr="004C78D8">
        <w:fldChar w:fldCharType="end"/>
      </w:r>
      <w:r w:rsidR="00202DEC" w:rsidRPr="004C78D8">
        <w:t xml:space="preserve">, and it was one of the commissioning recommendations from the systematic review in Chapter </w:t>
      </w:r>
      <w:r w:rsidR="003D28E1" w:rsidRPr="004C78D8">
        <w:t xml:space="preserve">4 </w:t>
      </w:r>
      <w:r w:rsidR="00202DEC" w:rsidRPr="004C78D8">
        <w:fldChar w:fldCharType="begin"/>
      </w:r>
      <w:r w:rsidR="00C630FC" w:rsidRPr="004C78D8">
        <w:instrText xml:space="preserve"> ADDIN EN.CITE &lt;EndNote&gt;&lt;Cite&gt;&lt;Author&gt;Zarca&lt;/Author&gt;&lt;Year&gt;2014&lt;/Year&gt;&lt;RecNum&gt;401&lt;/RecNum&gt;&lt;DisplayText&gt;[368]&lt;/DisplayText&gt;&lt;record&gt;&lt;rec-number&gt;401&lt;/rec-number&gt;&lt;foreign-keys&gt;&lt;key app="EN" db-id="tdtrdw9aepptzbefsat599syza29sxsd2wsp" timestamp="1612695492"&gt;401&lt;/key&gt;&lt;/foreign-keys&gt;&lt;ref-type name="Journal Article"&gt;17&lt;/ref-type&gt;&lt;contributors&gt;&lt;authors&gt;&lt;author&gt;Zarca, K&lt;/author&gt;&lt;author&gt;Durand-Zaleski, I&lt;/author&gt;&lt;author&gt;Roux, C&lt;/author&gt;&lt;author&gt;Souberbielle, JC&lt;/author&gt;&lt;author&gt;Schott, AM&lt;/author&gt;&lt;author&gt;Thomas, T&lt;/author&gt;&lt;author&gt;Fardellone, P&lt;/author&gt;&lt;author&gt;Benhamou, CL&lt;/author&gt;&lt;/authors&gt;&lt;/contributors&gt;&lt;titles&gt;&lt;title&gt;Cost-effectiveness analysis of hip fracture prevention with vitamin D supplementation: a Markov micro-simulation model applied to the French population over 65 years old without previous hip fracture&lt;/title&gt;&lt;secondary-title&gt;Osteoporosis International&lt;/secondary-title&gt;&lt;/titles&gt;&lt;periodical&gt;&lt;full-title&gt;Osteoporosis International&lt;/full-title&gt;&lt;/periodical&gt;&lt;pages&gt;1797-1806&lt;/pages&gt;&lt;volume&gt;25&lt;/volume&gt;&lt;number&gt;6&lt;/number&gt;&lt;dates&gt;&lt;year&gt;2014&lt;/year&gt;&lt;/dates&gt;&lt;isbn&gt;0937-941X&lt;/isbn&gt;&lt;urls&gt;&lt;/urls&gt;&lt;/record&gt;&lt;/Cite&gt;&lt;/EndNote&gt;</w:instrText>
      </w:r>
      <w:r w:rsidR="00202DEC" w:rsidRPr="004C78D8">
        <w:fldChar w:fldCharType="separate"/>
      </w:r>
      <w:r w:rsidR="00C630FC" w:rsidRPr="004C78D8">
        <w:rPr>
          <w:noProof/>
        </w:rPr>
        <w:t>[368]</w:t>
      </w:r>
      <w:r w:rsidR="00202DEC" w:rsidRPr="004C78D8">
        <w:fldChar w:fldCharType="end"/>
      </w:r>
      <w:r w:rsidR="00202DEC" w:rsidRPr="004C78D8">
        <w:t xml:space="preserve">. It may also be included in the updated NICE CG161 </w:t>
      </w:r>
      <w:r w:rsidR="007A295B" w:rsidRPr="004C78D8">
        <w:fldChar w:fldCharType="begin"/>
      </w:r>
      <w:r w:rsidR="00513646" w:rsidRPr="004C78D8">
        <w:instrText xml:space="preserve"> ADDIN EN.CITE &lt;EndNote&gt;&lt;Cite&gt;&lt;Author&gt;National Institute for Health and Care Excellence&lt;/Author&gt;&lt;Year&gt;2019&lt;/Year&gt;&lt;RecNum&gt;499&lt;/RecNum&gt;&lt;DisplayText&gt;[130]&lt;/DisplayText&gt;&lt;record&gt;&lt;rec-number&gt;499&lt;/rec-number&gt;&lt;foreign-keys&gt;&lt;key app="EN" db-id="tdtrdw9aepptzbefsat599syza29sxsd2wsp" timestamp="1617284473"&gt;499&lt;/key&gt;&lt;/foreign-keys&gt;&lt;ref-type name="Journal Article"&gt;17&lt;/ref-type&gt;&lt;contributors&gt;&lt;authors&gt;&lt;author&gt;National Institute for Health and Care Excellence,&lt;/author&gt;&lt;/authors&gt;&lt;/contributors&gt;&lt;titles&gt;&lt;title&gt;2019 surveillance of falls in older people: assessing risk and prevention (NICE guideline CG161)&lt;/title&gt;&lt;secondary-title&gt;National Institute for Health and Care Excellence&lt;/secondary-title&gt;&lt;/titles&gt;&lt;periodical&gt;&lt;full-title&gt;National Institute for Health and Care Excellence&lt;/full-title&gt;&lt;/periodical&gt;&lt;volume&gt;Published: 23 May 2019&lt;/volume&gt;&lt;dates&gt;&lt;year&gt;2019&lt;/year&gt;&lt;/dates&gt;&lt;urls&gt;&lt;/urls&gt;&lt;/record&gt;&lt;/Cite&gt;&lt;/EndNote&gt;</w:instrText>
      </w:r>
      <w:r w:rsidR="007A295B" w:rsidRPr="004C78D8">
        <w:fldChar w:fldCharType="separate"/>
      </w:r>
      <w:r w:rsidR="00513646" w:rsidRPr="004C78D8">
        <w:rPr>
          <w:noProof/>
        </w:rPr>
        <w:t>[130]</w:t>
      </w:r>
      <w:r w:rsidR="007A295B" w:rsidRPr="004C78D8">
        <w:fldChar w:fldCharType="end"/>
      </w:r>
      <w:r w:rsidR="007A295B" w:rsidRPr="004C78D8">
        <w:t xml:space="preserve">, </w:t>
      </w:r>
      <w:r w:rsidR="00202DEC" w:rsidRPr="004C78D8">
        <w:t xml:space="preserve">most likely as a proactive intervention preceded by vitamin D level screening at GP contact. If so, the model for the updated CG161 should evaluate it as a proactive pathway option, whether as a component of multifactorial intervention, its direct substitute, or a complement. One intervention that was part of current practice in Sheffield but not </w:t>
      </w:r>
      <w:r w:rsidR="00C22751" w:rsidRPr="004C78D8">
        <w:t>modelled</w:t>
      </w:r>
      <w:r w:rsidR="00202DEC" w:rsidRPr="004C78D8">
        <w:t xml:space="preserve"> is fall alarm (Table 3.7). </w:t>
      </w:r>
      <w:r w:rsidR="00C22751" w:rsidRPr="004C78D8">
        <w:t>A</w:t>
      </w:r>
      <w:r w:rsidR="00202DEC" w:rsidRPr="004C78D8">
        <w:t xml:space="preserve"> recent Australian study has shown that the alarm is cost-saving by reducing </w:t>
      </w:r>
      <w:r w:rsidR="0073784D" w:rsidRPr="004C78D8">
        <w:t xml:space="preserve">avoidable </w:t>
      </w:r>
      <w:r w:rsidR="00202DEC" w:rsidRPr="004C78D8">
        <w:t>ambulance callouts</w:t>
      </w:r>
      <w:r w:rsidR="00354B38" w:rsidRPr="004C78D8">
        <w:t xml:space="preserve"> by a third</w:t>
      </w:r>
      <w:r w:rsidR="00202DEC" w:rsidRPr="004C78D8">
        <w:t xml:space="preserve"> </w:t>
      </w:r>
      <w:r w:rsidR="00202DEC" w:rsidRPr="004C78D8">
        <w:fldChar w:fldCharType="begin">
          <w:fldData xml:space="preserve">PEVuZE5vdGU+PENpdGU+PEF1dGhvcj5XYW5nPC9BdXRob3I+PFllYXI+MjAyMDwvWWVhcj48UmVj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==
</w:fldData>
        </w:fldChar>
      </w:r>
      <w:r w:rsidR="00A2699D" w:rsidRPr="004C78D8">
        <w:instrText xml:space="preserve"> ADDIN EN.CITE </w:instrText>
      </w:r>
      <w:r w:rsidR="00A2699D" w:rsidRPr="004C78D8">
        <w:fldChar w:fldCharType="begin">
          <w:fldData xml:space="preserve">PEVuZE5vdGU+PENpdGU+PEF1dGhvcj5XYW5nPC9BdXRob3I+PFllYXI+MjAyMDwvWWVhcj48UmVj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==
</w:fldData>
        </w:fldChar>
      </w:r>
      <w:r w:rsidR="00A2699D" w:rsidRPr="004C78D8">
        <w:instrText xml:space="preserve"> ADDIN EN.CITE.DATA </w:instrText>
      </w:r>
      <w:r w:rsidR="00A2699D" w:rsidRPr="004C78D8">
        <w:fldChar w:fldCharType="end"/>
      </w:r>
      <w:r w:rsidR="00202DEC" w:rsidRPr="004C78D8">
        <w:fldChar w:fldCharType="separate"/>
      </w:r>
      <w:r w:rsidR="00A2699D" w:rsidRPr="004C78D8">
        <w:rPr>
          <w:noProof/>
        </w:rPr>
        <w:t>[451]</w:t>
      </w:r>
      <w:r w:rsidR="00202DEC" w:rsidRPr="004C78D8">
        <w:fldChar w:fldCharType="end"/>
      </w:r>
      <w:r w:rsidR="0073784D" w:rsidRPr="004C78D8">
        <w:t xml:space="preserve">. Hence, </w:t>
      </w:r>
      <w:r w:rsidR="00C22751" w:rsidRPr="004C78D8">
        <w:t xml:space="preserve">a </w:t>
      </w:r>
      <w:r w:rsidR="0073784D" w:rsidRPr="004C78D8">
        <w:t xml:space="preserve">future model could incorporate it within the reactive pathway or as a parameter that reduces the proportion of falls </w:t>
      </w:r>
      <w:r w:rsidR="0020481B" w:rsidRPr="004C78D8">
        <w:t>requiring</w:t>
      </w:r>
      <w:r w:rsidR="0073784D" w:rsidRPr="004C78D8">
        <w:t xml:space="preserve"> medical attention.</w:t>
      </w:r>
      <w:r w:rsidR="00354B38" w:rsidRPr="004C78D8">
        <w:t xml:space="preserve"> If capacity constraints are sharply binding</w:t>
      </w:r>
      <w:r w:rsidR="00D67F2D" w:rsidRPr="004C78D8">
        <w:t xml:space="preserve">, </w:t>
      </w:r>
      <w:r w:rsidR="00C22751" w:rsidRPr="004C78D8">
        <w:t xml:space="preserve">a future model </w:t>
      </w:r>
      <w:r w:rsidR="00354B38" w:rsidRPr="004C78D8">
        <w:t>could consider less capacity-dependent intervention</w:t>
      </w:r>
      <w:r w:rsidR="00D67F2D" w:rsidRPr="004C78D8">
        <w:t>s</w:t>
      </w:r>
      <w:r w:rsidR="00354B38" w:rsidRPr="004C78D8">
        <w:t xml:space="preserve"> such as home-implemented exergames </w:t>
      </w:r>
      <w:r w:rsidR="00354B38" w:rsidRPr="004C78D8">
        <w:fldChar w:fldCharType="begin"/>
      </w:r>
      <w:r w:rsidR="00C630FC" w:rsidRPr="004C78D8">
        <w:instrText xml:space="preserve"> ADDIN EN.CITE &lt;EndNote&gt;&lt;Cite&gt;&lt;Author&gt;Stanmore&lt;/Author&gt;&lt;Year&gt;2019&lt;/Year&gt;&lt;RecNum&gt;284&lt;/RecNum&gt;&lt;DisplayText&gt;[205]&lt;/DisplayText&gt;&lt;record&gt;&lt;rec-number&gt;284&lt;/rec-number&gt;&lt;foreign-keys&gt;&lt;key app="EN" db-id="tdtrdw9aepptzbefsat599syza29sxsd2wsp" timestamp="1611700035"&gt;284&lt;/key&gt;&lt;/foreign-keys&gt;&lt;ref-type name="Journal Article"&gt;17&lt;/ref-type&gt;&lt;contributors&gt;&lt;authors&gt;&lt;author&gt;Stanmore, Emma K&lt;/author&gt;&lt;author&gt;Mavroeidi, Alexandra&lt;/author&gt;&lt;author&gt;de Jong, Lex D&lt;/author&gt;&lt;author&gt;Skelton, Dawn A&lt;/author&gt;&lt;author&gt;Sutton, Chris J&lt;/author&gt;&lt;author&gt;Benedetto, Valerio&lt;/author&gt;&lt;author&gt;Munford, Luke A&lt;/author&gt;&lt;author&gt;Meekes, Wytske&lt;/author&gt;&lt;author&gt;Bell, Vicky&lt;/author&gt;&lt;author&gt;Todd, Chris&lt;/author&gt;&lt;/authors&gt;&lt;/contributors&gt;&lt;titles&gt;&lt;title&gt;The effectiveness and cost-effectiveness of strength and balance Exergames to reduce falls risk for people aged 55 years and older in UK assisted living facilities: a multi-centre, cluster randomised controlled trial&lt;/title&gt;&lt;secondary-title&gt;BMC medicine&lt;/secondary-title&gt;&lt;/titles&gt;&lt;periodical&gt;&lt;full-title&gt;BMC medicine&lt;/full-title&gt;&lt;/periodical&gt;&lt;pages&gt;1-14&lt;/pages&gt;&lt;volume&gt;17&lt;/volume&gt;&lt;number&gt;1&lt;/number&gt;&lt;dates&gt;&lt;year&gt;2019&lt;/year&gt;&lt;/dates&gt;&lt;isbn&gt;1741-7015&lt;/isbn&gt;&lt;urls&gt;&lt;/urls&gt;&lt;/record&gt;&lt;/Cite&gt;&lt;/EndNote&gt;</w:instrText>
      </w:r>
      <w:r w:rsidR="00354B38" w:rsidRPr="004C78D8">
        <w:fldChar w:fldCharType="separate"/>
      </w:r>
      <w:r w:rsidR="00C630FC" w:rsidRPr="004C78D8">
        <w:rPr>
          <w:noProof/>
        </w:rPr>
        <w:t>[205]</w:t>
      </w:r>
      <w:r w:rsidR="00354B38" w:rsidRPr="004C78D8">
        <w:fldChar w:fldCharType="end"/>
      </w:r>
      <w:r w:rsidR="00354B38" w:rsidRPr="004C78D8">
        <w:t>.</w:t>
      </w:r>
    </w:p>
    <w:p w14:paraId="00CB2955" w14:textId="2D6A36D8" w:rsidR="00294F21" w:rsidRPr="004C78D8" w:rsidRDefault="00C22751" w:rsidP="00FB7C1F">
      <w:r w:rsidRPr="004C78D8">
        <w:t xml:space="preserve">A </w:t>
      </w:r>
      <w:r w:rsidR="00333919" w:rsidRPr="004C78D8">
        <w:t>future model could also e</w:t>
      </w:r>
      <w:r w:rsidR="00294F21" w:rsidRPr="004C78D8">
        <w:t>xplore how prevention</w:t>
      </w:r>
      <w:r w:rsidR="00333919" w:rsidRPr="004C78D8">
        <w:t>s</w:t>
      </w:r>
      <w:r w:rsidR="00294F21" w:rsidRPr="004C78D8">
        <w:t xml:space="preserve"> in community and institutionalised settings </w:t>
      </w:r>
      <w:r w:rsidR="00333919" w:rsidRPr="004C78D8">
        <w:t xml:space="preserve">are </w:t>
      </w:r>
      <w:r w:rsidR="00294F21" w:rsidRPr="004C78D8">
        <w:t xml:space="preserve">integrated. </w:t>
      </w:r>
      <w:r w:rsidR="00333919" w:rsidRPr="004C78D8">
        <w:t>Under the combined populations, i</w:t>
      </w:r>
      <w:r w:rsidR="00294F21" w:rsidRPr="004C78D8">
        <w:t xml:space="preserve">nstitutionalised older persons </w:t>
      </w:r>
      <w:r w:rsidR="00333919" w:rsidRPr="004C78D8">
        <w:t>would constitute</w:t>
      </w:r>
      <w:r w:rsidR="00294F21" w:rsidRPr="004C78D8">
        <w:t xml:space="preserve"> </w:t>
      </w:r>
      <w:r w:rsidR="00333919" w:rsidRPr="004C78D8">
        <w:t xml:space="preserve">a </w:t>
      </w:r>
      <w:r w:rsidRPr="004C78D8">
        <w:t xml:space="preserve">prioritised </w:t>
      </w:r>
      <w:r w:rsidR="00294F21" w:rsidRPr="004C78D8">
        <w:t xml:space="preserve">vulnerable </w:t>
      </w:r>
      <w:r w:rsidR="00333919" w:rsidRPr="004C78D8">
        <w:t>sub</w:t>
      </w:r>
      <w:r w:rsidR="00294F21" w:rsidRPr="004C78D8">
        <w:t xml:space="preserve">group </w:t>
      </w:r>
      <w:r w:rsidR="00333919" w:rsidRPr="004C78D8">
        <w:fldChar w:fldCharType="begin">
          <w:fldData xml:space="preserve">PEVuZE5vdGU+PENpdGU+PEF1dGhvcj5NaXRjaGVsbDwvQXV0aG9yPjxZZWFyPjIwMTk8L1llYXI+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IE5hdGlvbmFsIE9zdGVvcG9yb3NpcyBGb3VuZGF0aW9uIG9mIHRoZSBVU0E8L2FiYnItMT48L3Bl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</w:fldData>
        </w:fldChar>
      </w:r>
      <w:r w:rsidR="00A2699D" w:rsidRPr="004C78D8">
        <w:instrText xml:space="preserve"> ADDIN EN.CITE </w:instrText>
      </w:r>
      <w:r w:rsidR="00A2699D" w:rsidRPr="004C78D8">
        <w:fldChar w:fldCharType="begin">
          <w:fldData xml:space="preserve">PEVuZE5vdGU+PENpdGU+PEF1dGhvcj5NaXRjaGVsbDwvQXV0aG9yPjxZZWFyPjIwMTk8L1llYXI+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</w:fldData>
        </w:fldChar>
      </w:r>
      <w:r w:rsidR="00A2699D" w:rsidRPr="004C78D8">
        <w:instrText xml:space="preserve"> ADDIN EN.CITE.DATA </w:instrText>
      </w:r>
      <w:r w:rsidR="00A2699D" w:rsidRPr="004C78D8">
        <w:fldChar w:fldCharType="end"/>
      </w:r>
      <w:r w:rsidR="00333919" w:rsidRPr="004C78D8">
        <w:fldChar w:fldCharType="separate"/>
      </w:r>
      <w:r w:rsidR="00A2699D" w:rsidRPr="004C78D8">
        <w:rPr>
          <w:noProof/>
        </w:rPr>
        <w:t>[452]</w:t>
      </w:r>
      <w:r w:rsidR="00333919" w:rsidRPr="004C78D8">
        <w:fldChar w:fldCharType="end"/>
      </w:r>
      <w:r w:rsidR="00294F21" w:rsidRPr="004C78D8">
        <w:t>.</w:t>
      </w:r>
      <w:r w:rsidR="00333919" w:rsidRPr="004C78D8">
        <w:t xml:space="preserve"> </w:t>
      </w:r>
      <w:r w:rsidRPr="004C78D8">
        <w:t>T</w:t>
      </w:r>
      <w:r w:rsidR="00333919" w:rsidRPr="004C78D8">
        <w:t xml:space="preserve">he impact of full-scale </w:t>
      </w:r>
      <w:r w:rsidR="00874A5A" w:rsidRPr="004C78D8">
        <w:t xml:space="preserve">institutional </w:t>
      </w:r>
      <w:r w:rsidR="00333919" w:rsidRPr="004C78D8">
        <w:t xml:space="preserve">prevention on </w:t>
      </w:r>
      <w:r w:rsidR="00F372A2" w:rsidRPr="004C78D8">
        <w:t>the intervention capacity available for the community should be explored.</w:t>
      </w:r>
      <w:r w:rsidR="00874A5A" w:rsidRPr="004C78D8">
        <w:t xml:space="preserve"> Another key integration is that between falls and fracture preventions. There is a close overlap between them, with many falls prevention RCTs reporting the number of fractures prevented </w:t>
      </w:r>
      <w:r w:rsidR="00874A5A" w:rsidRPr="004C78D8">
        <w:fldChar w:fldCharType="begin"/>
      </w:r>
      <w:r w:rsidR="00513646" w:rsidRPr="004C78D8">
        <w:instrText xml:space="preserve"> ADDIN EN.CITE &lt;EndNote&gt;&lt;Cite&gt;&lt;Author&gt;Gillespie&lt;/Author&gt;&lt;Year&gt;2012&lt;/Year&gt;&lt;RecNum&gt;52&lt;/RecNum&gt;&lt;DisplayText&gt;[124]&lt;/DisplayText&gt;&lt;record&gt;&lt;rec-number&gt;52&lt;/rec-number&gt;&lt;foreign-keys&gt;&lt;key app="EN" db-id="tdtrdw9aepptzbefsat599syza29sxsd2wsp" timestamp="1597844815"&gt;52&lt;/key&gt;&lt;/foreign-keys&gt;&lt;ref-type name="Journal Article"&gt;17&lt;/ref-type&gt;&lt;contributors&gt;&lt;authors&gt;&lt;author&gt;Gillespie, Lesley D&lt;/author&gt;&lt;author&gt;Robertson, M Clare&lt;/author&gt;&lt;author&gt;Gillespie, William J&lt;/author&gt;&lt;author&gt;Sherrington, Catherine&lt;/author&gt;&lt;author&gt;Gates, Simon&lt;/author&gt;&lt;author&gt;Clemson, Lindy M&lt;/author&gt;&lt;author&gt;Lamb, Sarah E&lt;/author&gt;&lt;/authors&gt;&lt;/contributors&gt;&lt;titles&gt;&lt;title&gt;Interventions for preventing falls in older people living in the community&lt;/title&gt;&lt;secondary-title&gt;Cochrane database of systematic reviews&lt;/secondary-title&gt;&lt;/titles&gt;&lt;periodical&gt;&lt;full-title&gt;Cochrane database of systematic reviews&lt;/full-title&gt;&lt;/periodical&gt;&lt;number&gt;9&lt;/number&gt;&lt;dates&gt;&lt;year&gt;2012&lt;/year&gt;&lt;/dates&gt;&lt;isbn&gt;1465-1858&lt;/isbn&gt;&lt;urls&gt;&lt;/urls&gt;&lt;/record&gt;&lt;/Cite&gt;&lt;/EndNote&gt;</w:instrText>
      </w:r>
      <w:r w:rsidR="00874A5A" w:rsidRPr="004C78D8">
        <w:fldChar w:fldCharType="separate"/>
      </w:r>
      <w:r w:rsidR="00513646" w:rsidRPr="004C78D8">
        <w:rPr>
          <w:noProof/>
        </w:rPr>
        <w:t>[124]</w:t>
      </w:r>
      <w:r w:rsidR="00874A5A" w:rsidRPr="004C78D8">
        <w:fldChar w:fldCharType="end"/>
      </w:r>
      <w:r w:rsidR="00874A5A" w:rsidRPr="004C78D8">
        <w:t xml:space="preserve">. Yet their clinical protocols often differ, with the fracture prevention emphasising pharmacotherapy for improving bone mineral density </w:t>
      </w:r>
      <w:r w:rsidR="00874A5A" w:rsidRPr="004C78D8">
        <w:fldChar w:fldCharType="begin">
          <w:fldData xml:space="preserve">PEVuZE5vdGU+PENpdGU+PEF1dGhvcj5Hb21lejwvQXV0aG9yPjxZZWFyPjIwMTk8L1llYXI+PFJl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</w:fldData>
        </w:fldChar>
      </w:r>
      <w:r w:rsidR="00A2699D" w:rsidRPr="004C78D8">
        <w:instrText xml:space="preserve"> ADDIN EN.CITE </w:instrText>
      </w:r>
      <w:r w:rsidR="00A2699D" w:rsidRPr="004C78D8">
        <w:fldChar w:fldCharType="begin">
          <w:fldData xml:space="preserve">PEVuZE5vdGU+PENpdGU+PEF1dGhvcj5Hb21lejwvQXV0aG9yPjxZZWFyPjIwMTk8L1llYXI+PFJl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</w:fldData>
        </w:fldChar>
      </w:r>
      <w:r w:rsidR="00A2699D" w:rsidRPr="004C78D8">
        <w:instrText xml:space="preserve"> ADDIN EN.CITE.DATA </w:instrText>
      </w:r>
      <w:r w:rsidR="00A2699D" w:rsidRPr="004C78D8">
        <w:fldChar w:fldCharType="end"/>
      </w:r>
      <w:r w:rsidR="00874A5A" w:rsidRPr="004C78D8">
        <w:fldChar w:fldCharType="separate"/>
      </w:r>
      <w:r w:rsidR="00A2699D" w:rsidRPr="004C78D8">
        <w:rPr>
          <w:noProof/>
        </w:rPr>
        <w:t>[453, 454]</w:t>
      </w:r>
      <w:r w:rsidR="00874A5A" w:rsidRPr="004C78D8">
        <w:fldChar w:fldCharType="end"/>
      </w:r>
      <w:r w:rsidR="00874A5A" w:rsidRPr="004C78D8">
        <w:t>.</w:t>
      </w:r>
      <w:r w:rsidR="0072157F" w:rsidRPr="004C78D8">
        <w:t xml:space="preserve"> The model could introduce a subgroup of osteoporosis patients that receive pharmacological fracture prevention </w:t>
      </w:r>
      <w:r w:rsidR="0072157F" w:rsidRPr="004C78D8">
        <w:fldChar w:fldCharType="begin"/>
      </w:r>
      <w:r w:rsidR="00C630FC" w:rsidRPr="004C78D8">
        <w:instrText xml:space="preserve"> ADDIN EN.CITE &lt;EndNote&gt;&lt;Cite&gt;&lt;Author&gt;Mori&lt;/Author&gt;&lt;Year&gt;2017&lt;/Year&gt;&lt;RecNum&gt;352&lt;/RecNum&gt;&lt;DisplayText&gt;[344]&lt;/DisplayText&gt;&lt;record&gt;&lt;rec-number&gt;352&lt;/rec-number&gt;&lt;foreign-keys&gt;&lt;key app="EN" db-id="tdtrdw9aepptzbefsat599syza29sxsd2wsp" timestamp="1612211992"&gt;352&lt;/key&gt;&lt;/foreign-keys&gt;&lt;ref-type name="Journal Article"&gt;17&lt;/ref-type&gt;&lt;contributors&gt;&lt;authors&gt;&lt;author&gt;Mori, T&lt;/author&gt;&lt;author&gt;Crandall, CJ&lt;/author&gt;&lt;author&gt;Ganz, David A&lt;/author&gt;&lt;/authors&gt;&lt;/contributors&gt;&lt;titles&gt;&lt;title&gt;Cost-effectiveness of combined oral bisphosphonate therapy and falls prevention exercise for fracture prevention in the USA&lt;/title&gt;&lt;secondary-title&gt;Osteoporosis international&lt;/secondary-title&gt;&lt;/titles&gt;&lt;periodical&gt;&lt;full-title&gt;Osteoporosis International&lt;/full-title&gt;&lt;/periodical&gt;&lt;pages&gt;585-595&lt;/pages&gt;&lt;volume&gt;28&lt;/volume&gt;&lt;number&gt;2&lt;/number&gt;&lt;dates&gt;&lt;year&gt;2017&lt;/year&gt;&lt;/dates&gt;&lt;isbn&gt;0937-941X&lt;/isbn&gt;&lt;urls&gt;&lt;/urls&gt;&lt;/record&gt;&lt;/Cite&gt;&lt;/EndNote&gt;</w:instrText>
      </w:r>
      <w:r w:rsidR="0072157F" w:rsidRPr="004C78D8">
        <w:fldChar w:fldCharType="separate"/>
      </w:r>
      <w:r w:rsidR="00C630FC" w:rsidRPr="004C78D8">
        <w:rPr>
          <w:noProof/>
        </w:rPr>
        <w:t>[344]</w:t>
      </w:r>
      <w:r w:rsidR="0072157F" w:rsidRPr="004C78D8">
        <w:fldChar w:fldCharType="end"/>
      </w:r>
      <w:r w:rsidR="0072157F" w:rsidRPr="004C78D8">
        <w:t>.</w:t>
      </w:r>
    </w:p>
    <w:p w14:paraId="70401D23" w14:textId="5EC6D1F6" w:rsidR="00BC28E8" w:rsidRPr="004C78D8" w:rsidRDefault="006D62A0" w:rsidP="00FB7C1F">
      <w:pPr>
        <w:pStyle w:val="Heading3"/>
      </w:pPr>
      <w:bookmarkStart w:id="238" w:name="_Toc111630820"/>
      <w:r w:rsidRPr="004C78D8">
        <w:t>7</w:t>
      </w:r>
      <w:r w:rsidR="00BC28E8" w:rsidRPr="004C78D8">
        <w:t>.5.3 Key challenges for public health economic modelling</w:t>
      </w:r>
      <w:bookmarkEnd w:id="238"/>
    </w:p>
    <w:p w14:paraId="48593771" w14:textId="758C6EF6" w:rsidR="00DE6F64" w:rsidRPr="004C78D8" w:rsidRDefault="00DE6F64" w:rsidP="00FB7C1F">
      <w:r w:rsidRPr="004C78D8">
        <w:t xml:space="preserve">This section discusses further research concerning the four key methodological challenges to public health economic modelling. </w:t>
      </w:r>
      <w:r w:rsidR="00026156" w:rsidRPr="004C78D8">
        <w:t xml:space="preserve">See also Section </w:t>
      </w:r>
      <w:r w:rsidR="00325D83" w:rsidRPr="004C78D8">
        <w:t>6.4.4</w:t>
      </w:r>
      <w:r w:rsidR="00026156" w:rsidRPr="004C78D8">
        <w:t xml:space="preserve"> for more research recommendations. </w:t>
      </w:r>
      <w:r w:rsidRPr="004C78D8">
        <w:t xml:space="preserve">Regarding non-health outcomes and societal intervention costs, </w:t>
      </w:r>
      <w:r w:rsidR="00A62E6C" w:rsidRPr="004C78D8">
        <w:t xml:space="preserve">an important area for improvement is productivity parameterisation. </w:t>
      </w:r>
      <w:r w:rsidR="009D7E9C" w:rsidRPr="004C78D8">
        <w:t xml:space="preserve">The current model used binary indicators of employment and unpaid volunteering; a categorical variable expressing the variation in the number of hours worked/volunteered would improve the </w:t>
      </w:r>
      <w:r w:rsidR="00E163BD" w:rsidRPr="004C78D8">
        <w:t xml:space="preserve">measurement. A further distinction is needed between voluntary paid employment and employment pressured by financial circumstances. </w:t>
      </w:r>
      <w:r w:rsidR="00752A80" w:rsidRPr="004C78D8">
        <w:t>T</w:t>
      </w:r>
      <w:r w:rsidR="00E163BD" w:rsidRPr="004C78D8">
        <w:t xml:space="preserve">he current model measured the productivity </w:t>
      </w:r>
      <w:r w:rsidR="00E163BD" w:rsidRPr="004C78D8">
        <w:rPr>
          <w:i/>
          <w:iCs/>
        </w:rPr>
        <w:t>level</w:t>
      </w:r>
      <w:r w:rsidR="00E163BD" w:rsidRPr="004C78D8">
        <w:t xml:space="preserve"> rather than </w:t>
      </w:r>
      <w:r w:rsidR="00E163BD" w:rsidRPr="004C78D8">
        <w:rPr>
          <w:i/>
          <w:iCs/>
        </w:rPr>
        <w:t>loss</w:t>
      </w:r>
      <w:r w:rsidR="00E163BD" w:rsidRPr="004C78D8">
        <w:t xml:space="preserve"> (e.g., absenteeism, presenteeism) as is more commonly used </w:t>
      </w:r>
      <w:r w:rsidR="00E163BD" w:rsidRPr="004C78D8">
        <w:fldChar w:fldCharType="begin"/>
      </w:r>
      <w:r w:rsidR="00C630FC" w:rsidRPr="004C78D8">
        <w:instrText xml:space="preserve"> ADDIN EN.CITE &lt;EndNote&gt;&lt;Cite&gt;&lt;Author&gt;Krol&lt;/Author&gt;&lt;Year&gt;2014&lt;/Year&gt;&lt;RecNum&gt;507&lt;/RecNum&gt;&lt;DisplayText&gt;[234]&lt;/DisplayText&gt;&lt;record&gt;&lt;rec-number&gt;507&lt;/rec-number&gt;&lt;foreign-keys&gt;&lt;key app="EN" db-id="tdtrdw9aepptzbefsat599syza29sxsd2wsp" timestamp="1617828480"&gt;507&lt;/key&gt;&lt;/foreign-keys&gt;&lt;ref-type name="Journal Article"&gt;17&lt;/ref-type&gt;&lt;contributors&gt;&lt;authors&gt;&lt;author&gt;Krol, Marieke&lt;/author&gt;&lt;author&gt;Brouwer, Werner&lt;/author&gt;&lt;/authors&gt;&lt;/contributors&gt;&lt;titles&gt;&lt;title&gt;How to estimate productivity costs in economic evaluations&lt;/title&gt;&lt;secondary-title&gt;Pharmacoeconomics&lt;/secondary-title&gt;&lt;/titles&gt;&lt;periodical&gt;&lt;full-title&gt;PharmacoEconomics&lt;/full-title&gt;&lt;/periodical&gt;&lt;pages&gt;335-344&lt;/pages&gt;&lt;volume&gt;32&lt;/volume&gt;&lt;number&gt;4&lt;/number&gt;&lt;dates&gt;&lt;year&gt;2014&lt;/year&gt;&lt;/dates&gt;&lt;isbn&gt;1170-7690&lt;/isbn&gt;&lt;urls&gt;&lt;/urls&gt;&lt;/record&gt;&lt;/Cite&gt;&lt;/EndNote&gt;</w:instrText>
      </w:r>
      <w:r w:rsidR="00E163BD" w:rsidRPr="004C78D8">
        <w:fldChar w:fldCharType="separate"/>
      </w:r>
      <w:r w:rsidR="00C630FC" w:rsidRPr="004C78D8">
        <w:rPr>
          <w:noProof/>
        </w:rPr>
        <w:t>[234]</w:t>
      </w:r>
      <w:r w:rsidR="00E163BD" w:rsidRPr="004C78D8">
        <w:fldChar w:fldCharType="end"/>
      </w:r>
      <w:r w:rsidR="00E163BD" w:rsidRPr="004C78D8">
        <w:t xml:space="preserve">. The former was thought </w:t>
      </w:r>
      <w:r w:rsidR="00F66BC1" w:rsidRPr="004C78D8">
        <w:t xml:space="preserve">to be </w:t>
      </w:r>
      <w:r w:rsidR="00E163BD" w:rsidRPr="004C78D8">
        <w:t>more appropriate for older populations for whom productivity (at least in paid employment) is not the default situation.</w:t>
      </w:r>
      <w:r w:rsidR="00F66BC1" w:rsidRPr="004C78D8">
        <w:t xml:space="preserve"> But </w:t>
      </w:r>
      <w:r w:rsidR="00035517" w:rsidRPr="004C78D8">
        <w:t>future models</w:t>
      </w:r>
      <w:r w:rsidR="00F66BC1" w:rsidRPr="004C78D8">
        <w:t xml:space="preserve"> could explore using productivity loss</w:t>
      </w:r>
      <w:r w:rsidR="0023371C" w:rsidRPr="004C78D8">
        <w:t xml:space="preserve"> instead. Informal caregiving was highlighted as a risk factor for decline in </w:t>
      </w:r>
      <w:r w:rsidR="00026156" w:rsidRPr="004C78D8">
        <w:t xml:space="preserve">senior </w:t>
      </w:r>
      <w:r w:rsidR="0023371C" w:rsidRPr="004C78D8">
        <w:t xml:space="preserve">mental wellbeing by NG32 </w:t>
      </w:r>
      <w:r w:rsidR="0023371C" w:rsidRPr="004C78D8">
        <w:fldChar w:fldCharType="begin"/>
      </w:r>
      <w:r w:rsidR="00A2699D" w:rsidRPr="004C78D8">
        <w:instrText xml:space="preserve"> ADDIN EN.CITE &lt;EndNote&gt;&lt;Cite&gt;&lt;Author&gt;National Institute for Health and Care Excellence&lt;/Author&gt;&lt;Year&gt;2015&lt;/Year&gt;&lt;RecNum&gt;797&lt;/RecNum&gt;&lt;DisplayText&gt;[443]&lt;/DisplayText&gt;&lt;record&gt;&lt;rec-number&gt;797&lt;/rec-number&gt;&lt;foreign-keys&gt;&lt;key app="EN" db-id="tdtrdw9aepptzbefsat599syza29sxsd2wsp" timestamp="1644937618"&gt;797&lt;/key&gt;&lt;/foreign-keys&gt;&lt;ref-type name="Web Page"&gt;12&lt;/ref-type&gt;&lt;contributors&gt;&lt;authors&gt;&lt;author&gt;National Institute for Health and Care Excellence,&lt;/author&gt;&lt;/authors&gt;&lt;secondary-authors&gt;&lt;author&gt;National Institute for Health and Care Excellence&lt;/author&gt;&lt;/secondary-authors&gt;&lt;/contributors&gt;&lt;titles&gt;&lt;title&gt;Older people: independence and mental wellbeing. NICE guideline [NG32]&lt;/title&gt;&lt;/titles&gt;&lt;dates&gt;&lt;year&gt;2015&lt;/year&gt;&lt;pub-dates&gt;&lt;date&gt;17 December 2015&lt;/date&gt;&lt;/pub-dates&gt;&lt;/dates&gt;&lt;urls&gt;&lt;related-urls&gt;&lt;url&gt;https://www.nice.org.uk/guidance/ng32&lt;/url&gt;&lt;/related-urls&gt;&lt;/urls&gt;&lt;custom1&gt;15th February 2022&lt;/custom1&gt;&lt;/record&gt;&lt;/Cite&gt;&lt;/EndNote&gt;</w:instrText>
      </w:r>
      <w:r w:rsidR="0023371C" w:rsidRPr="004C78D8">
        <w:fldChar w:fldCharType="separate"/>
      </w:r>
      <w:r w:rsidR="00A2699D" w:rsidRPr="004C78D8">
        <w:rPr>
          <w:noProof/>
        </w:rPr>
        <w:t>[443]</w:t>
      </w:r>
      <w:r w:rsidR="0023371C" w:rsidRPr="004C78D8">
        <w:fldChar w:fldCharType="end"/>
      </w:r>
      <w:r w:rsidR="0023371C" w:rsidRPr="004C78D8">
        <w:t xml:space="preserve">, and further research could explore </w:t>
      </w:r>
      <w:r w:rsidR="00026156" w:rsidRPr="004C78D8">
        <w:t xml:space="preserve">the </w:t>
      </w:r>
      <w:r w:rsidR="0023371C" w:rsidRPr="004C78D8">
        <w:t>wellbeing effect of caregiving.</w:t>
      </w:r>
    </w:p>
    <w:p w14:paraId="19A860FD" w14:textId="2789BD2B" w:rsidR="005D0C4E" w:rsidRPr="004C78D8" w:rsidRDefault="00752A80" w:rsidP="00FB7C1F">
      <w:r w:rsidRPr="004C78D8">
        <w:t>T</w:t>
      </w:r>
      <w:r w:rsidR="005D0C4E" w:rsidRPr="004C78D8">
        <w:t>he current model faced difficulties in</w:t>
      </w:r>
      <w:r w:rsidR="00D74282" w:rsidRPr="004C78D8">
        <w:t xml:space="preserve"> </w:t>
      </w:r>
      <w:r w:rsidR="005D0C4E" w:rsidRPr="004C78D8">
        <w:t>parameterising</w:t>
      </w:r>
      <w:r w:rsidR="00D74282" w:rsidRPr="004C78D8">
        <w:t xml:space="preserve"> intervention process benefits and costs. The implication is that the model</w:t>
      </w:r>
      <w:r w:rsidR="005D0C4E" w:rsidRPr="004C78D8">
        <w:t xml:space="preserve"> did</w:t>
      </w:r>
      <w:r w:rsidR="00D74282" w:rsidRPr="004C78D8">
        <w:t xml:space="preserve"> not address a long-running criticism of QALY-based CUA, namely the lack of consideration of patient preferences and process outcomes insufficiently captured by QALY </w:t>
      </w:r>
      <w:r w:rsidR="00D74282" w:rsidRPr="004C78D8">
        <w:fldChar w:fldCharType="begin"/>
      </w:r>
      <w:r w:rsidR="00A2699D" w:rsidRPr="004C78D8">
        <w:instrText xml:space="preserve"> ADDIN EN.CITE &lt;EndNote&gt;&lt;Cite&gt;&lt;Author&gt;Cookson&lt;/Author&gt;&lt;Year&gt;2010&lt;/Year&gt;&lt;RecNum&gt;788&lt;/RecNum&gt;&lt;DisplayText&gt;[455]&lt;/DisplayText&gt;&lt;record&gt;&lt;rec-number&gt;788&lt;/rec-number&gt;&lt;foreign-keys&gt;&lt;key app="EN" db-id="tdtrdw9aepptzbefsat599syza29sxsd2wsp" timestamp="1642939612"&gt;788&lt;/key&gt;&lt;/foreign-keys&gt;&lt;ref-type name="Journal Article"&gt;17&lt;/ref-type&gt;&lt;contributors&gt;&lt;authors&gt;&lt;author&gt;Cookson, Richard&lt;/author&gt;&lt;author&gt;Culyer, Anthony&lt;/author&gt;&lt;/authors&gt;&lt;/contributors&gt;&lt;titles&gt;&lt;title&gt;Measuring overall population health: the use and abuse of QALYs&lt;/title&gt;&lt;secondary-title&gt;Evidence-based public health: effectiveness and efficiency&lt;/secondary-title&gt;&lt;/titles&gt;&lt;periodical&gt;&lt;full-title&gt;Evidence-based public health: effectiveness and efficiency&lt;/full-title&gt;&lt;/periodical&gt;&lt;volume&gt;148&lt;/volume&gt;&lt;dates&gt;&lt;year&gt;2010&lt;/year&gt;&lt;/dates&gt;&lt;urls&gt;&lt;/urls&gt;&lt;/record&gt;&lt;/Cite&gt;&lt;/EndNote&gt;</w:instrText>
      </w:r>
      <w:r w:rsidR="00D74282" w:rsidRPr="004C78D8">
        <w:fldChar w:fldCharType="separate"/>
      </w:r>
      <w:r w:rsidR="00A2699D" w:rsidRPr="004C78D8">
        <w:rPr>
          <w:noProof/>
        </w:rPr>
        <w:t>[455]</w:t>
      </w:r>
      <w:r w:rsidR="00D74282" w:rsidRPr="004C78D8">
        <w:fldChar w:fldCharType="end"/>
      </w:r>
      <w:r w:rsidR="00D74282" w:rsidRPr="004C78D8">
        <w:t xml:space="preserve">. This is particularly emphasised in the context of geriatric care wherein holistic outcomes are central for assessing person-centred care and concrete health improvements less commonplace than in younger populations </w:t>
      </w:r>
      <w:r w:rsidR="00D74282" w:rsidRPr="004C78D8">
        <w:fldChar w:fldCharType="begin"/>
      </w:r>
      <w:r w:rsidR="00A2699D" w:rsidRPr="004C78D8">
        <w:instrText xml:space="preserve"> ADDIN EN.CITE &lt;EndNote&gt;&lt;Cite&gt;&lt;Author&gt;Donaldson&lt;/Author&gt;&lt;Year&gt;1988&lt;/Year&gt;&lt;RecNum&gt;787&lt;/RecNum&gt;&lt;DisplayText&gt;[148, 456]&lt;/DisplayText&gt;&lt;record&gt;&lt;rec-number&gt;787&lt;/rec-number&gt;&lt;foreign-keys&gt;&lt;key app="EN" db-id="tdtrdw9aepptzbefsat599syza29sxsd2wsp" timestamp="1642939350"&gt;787&lt;/key&gt;&lt;/foreign-keys&gt;&lt;ref-type name="Journal Article"&gt;17&lt;/ref-type&gt;&lt;contributors&gt;&lt;authors&gt;&lt;author&gt;Donaldson, Cam&lt;/author&gt;&lt;author&gt;Atkinson, Ann&lt;/author&gt;&lt;author&gt;Bond, John&lt;/author&gt;&lt;author&gt;Wright, Ken&lt;/author&gt;&lt;/authors&gt;&lt;/contributors&gt;&lt;titles&gt;&lt;title&gt;Should QALYs be programme-specific?&lt;/title&gt;&lt;secondary-title&gt;Journal of Health Economics&lt;/secondary-title&gt;&lt;/titles&gt;&lt;periodical&gt;&lt;full-title&gt;Journal of health economics&lt;/full-title&gt;&lt;/periodical&gt;&lt;pages&gt;239-257&lt;/pages&gt;&lt;volume&gt;7&lt;/volume&gt;&lt;number&gt;3&lt;/number&gt;&lt;dates&gt;&lt;year&gt;1988&lt;/year&gt;&lt;/dates&gt;&lt;isbn&gt;0167-6296&lt;/isbn&gt;&lt;urls&gt;&lt;/urls&gt;&lt;/record&gt;&lt;/Cite&gt;&lt;Cite&gt;&lt;Author&gt;Birch&lt;/Author&gt;&lt;Year&gt;2003&lt;/Year&gt;&lt;RecNum&gt;509&lt;/RecNum&gt;&lt;record&gt;&lt;rec-number&gt;509&lt;/rec-number&gt;&lt;foreign-keys&gt;&lt;key app="EN" db-id="tdtrdw9aepptzbefsat599syza29sxsd2wsp" timestamp="1617876124"&gt;509&lt;/key&gt;&lt;/foreign-keys&gt;&lt;ref-type name="Journal Article"&gt;17&lt;/ref-type&gt;&lt;contributors&gt;&lt;authors&gt;&lt;author&gt;Birch, Stephen&lt;/author&gt;&lt;author&gt;Donaldson, Cam&lt;/author&gt;&lt;/authors&gt;&lt;/contributors&gt;&lt;titles&gt;&lt;title&gt;Valuing the benefits and costs of health care programmes: where&amp;apos;s the ‘extra’in extra-welfarism?&lt;/title&gt;&lt;secondary-title&gt;Social science &amp;amp; medicine&lt;/secondary-title&gt;&lt;/titles&gt;&lt;periodical&gt;&lt;full-title&gt;Social science &amp;amp; medicine&lt;/full-title&gt;&lt;/periodical&gt;&lt;pages&gt;1121-1133&lt;/pages&gt;&lt;volume&gt;56&lt;/volume&gt;&lt;number&gt;5&lt;/number&gt;&lt;dates&gt;&lt;year&gt;2003&lt;/year&gt;&lt;/dates&gt;&lt;isbn&gt;0277-9536&lt;/isbn&gt;&lt;urls&gt;&lt;/urls&gt;&lt;/record&gt;&lt;/Cite&gt;&lt;/EndNote&gt;</w:instrText>
      </w:r>
      <w:r w:rsidR="00D74282" w:rsidRPr="004C78D8">
        <w:fldChar w:fldCharType="separate"/>
      </w:r>
      <w:r w:rsidR="00A2699D" w:rsidRPr="004C78D8">
        <w:rPr>
          <w:noProof/>
        </w:rPr>
        <w:t>[148, 456]</w:t>
      </w:r>
      <w:r w:rsidR="00D74282" w:rsidRPr="004C78D8">
        <w:fldChar w:fldCharType="end"/>
      </w:r>
      <w:r w:rsidR="00D74282" w:rsidRPr="004C78D8">
        <w:t xml:space="preserve">. </w:t>
      </w:r>
      <w:r w:rsidR="00035517" w:rsidRPr="004C78D8">
        <w:t xml:space="preserve">Future models should seek epidemiological and intervention studies that use matching measures of wellbeing </w:t>
      </w:r>
      <w:r w:rsidR="002A2AB0" w:rsidRPr="004C78D8">
        <w:t xml:space="preserve">and </w:t>
      </w:r>
      <w:r w:rsidR="00035517" w:rsidRPr="004C78D8">
        <w:t xml:space="preserve">process benefits/costs. An alternative, indirect method would be to quantify the association between process benefits/costs and implementation quality, then capturing the latter’s impact on final outcomes </w:t>
      </w:r>
      <w:r w:rsidR="00035517" w:rsidRPr="004C78D8">
        <w:fldChar w:fldCharType="begin"/>
      </w:r>
      <w:r w:rsidR="00A2699D" w:rsidRPr="004C78D8">
        <w:instrText xml:space="preserve"> ADDIN EN.CITE &lt;EndNote&gt;&lt;Cite&gt;&lt;Author&gt;Brazier&lt;/Author&gt;&lt;Year&gt;2019&lt;/Year&gt;&lt;RecNum&gt;792&lt;/RecNum&gt;&lt;DisplayText&gt;[457]&lt;/DisplayText&gt;&lt;record&gt;&lt;rec-number&gt;792&lt;/rec-number&gt;&lt;foreign-keys&gt;&lt;key app="EN" db-id="tdtrdw9aepptzbefsat599syza29sxsd2wsp" timestamp="1643208890"&gt;792&lt;/key&gt;&lt;/foreign-keys&gt;&lt;ref-type name="Journal Article"&gt;17&lt;/ref-type&gt;&lt;contributors&gt;&lt;authors&gt;&lt;author&gt;Brazier, John Edward&lt;/author&gt;&lt;author&gt;Rowen, Donna&lt;/author&gt;&lt;author&gt;Lloyd, Andrew&lt;/author&gt;&lt;author&gt;Karimi, Milad&lt;/author&gt;&lt;/authors&gt;&lt;/contributors&gt;&lt;titles&gt;&lt;title&gt;Future directions in valuing benefits for estimating QALYs: is time up for the EQ-5D?&lt;/title&gt;&lt;secondary-title&gt;Value in Health&lt;/secondary-title&gt;&lt;/titles&gt;&lt;periodical&gt;&lt;full-title&gt;Value in Health&lt;/full-title&gt;&lt;/periodical&gt;&lt;pages&gt;62-68&lt;/pages&gt;&lt;volume&gt;22&lt;/volume&gt;&lt;number&gt;1&lt;/number&gt;&lt;dates&gt;&lt;year&gt;2019&lt;/year&gt;&lt;/dates&gt;&lt;isbn&gt;1098-3015&lt;/isbn&gt;&lt;urls&gt;&lt;/urls&gt;&lt;/record&gt;&lt;/Cite&gt;&lt;/EndNote&gt;</w:instrText>
      </w:r>
      <w:r w:rsidR="00035517" w:rsidRPr="004C78D8">
        <w:fldChar w:fldCharType="separate"/>
      </w:r>
      <w:r w:rsidR="00A2699D" w:rsidRPr="004C78D8">
        <w:rPr>
          <w:noProof/>
        </w:rPr>
        <w:t>[457]</w:t>
      </w:r>
      <w:r w:rsidR="00035517" w:rsidRPr="004C78D8">
        <w:fldChar w:fldCharType="end"/>
      </w:r>
      <w:r w:rsidR="00035517" w:rsidRPr="004C78D8">
        <w:t>.</w:t>
      </w:r>
    </w:p>
    <w:p w14:paraId="583E03C2" w14:textId="05371EE7" w:rsidR="00CF4409" w:rsidRPr="004C78D8" w:rsidRDefault="00026156" w:rsidP="00FB7C1F">
      <w:r w:rsidRPr="004C78D8">
        <w:t xml:space="preserve">Regarding heterogeneity and dynamic complexity, further subgroups delineated by specific disease diagnoses could be </w:t>
      </w:r>
      <w:r w:rsidR="009F7D71" w:rsidRPr="004C78D8">
        <w:t>modelled</w:t>
      </w:r>
      <w:r w:rsidRPr="004C78D8">
        <w:t xml:space="preserve"> for the community-based older population. These include Parkinson’s disease, stroke, and other neurological disorder patients for whom specially tailored interventions are </w:t>
      </w:r>
      <w:r w:rsidR="00B505E7" w:rsidRPr="004C78D8">
        <w:t xml:space="preserve">trialled and economically evaluated </w:t>
      </w:r>
      <w:r w:rsidR="00B505E7" w:rsidRPr="004C78D8">
        <w:fldChar w:fldCharType="begin">
          <w:fldData xml:space="preserve">PEVuZE5vdGU+PENpdGU+PEF1dGhvcj5GYXJhZzwvQXV0aG9yPjxZZWFyPjIwMTY8L1llYXI+PFJl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</w:fldData>
        </w:fldChar>
      </w:r>
      <w:r w:rsidR="00A2699D" w:rsidRPr="004C78D8">
        <w:instrText xml:space="preserve"> ADDIN EN.CITE </w:instrText>
      </w:r>
      <w:r w:rsidR="00A2699D" w:rsidRPr="004C78D8">
        <w:fldChar w:fldCharType="begin">
          <w:fldData xml:space="preserve">PEVuZE5vdGU+PENpdGU+PEF1dGhvcj5GYXJhZzwvQXV0aG9yPjxZZWFyPjIwMTY8L1llYXI+PFJl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</w:fldData>
        </w:fldChar>
      </w:r>
      <w:r w:rsidR="00A2699D" w:rsidRPr="004C78D8">
        <w:instrText xml:space="preserve"> ADDIN EN.CITE.DATA </w:instrText>
      </w:r>
      <w:r w:rsidR="00A2699D" w:rsidRPr="004C78D8">
        <w:fldChar w:fldCharType="end"/>
      </w:r>
      <w:r w:rsidR="00B505E7" w:rsidRPr="004C78D8">
        <w:fldChar w:fldCharType="separate"/>
      </w:r>
      <w:r w:rsidR="00A2699D" w:rsidRPr="004C78D8">
        <w:rPr>
          <w:noProof/>
        </w:rPr>
        <w:t>[458-461]</w:t>
      </w:r>
      <w:r w:rsidR="00B505E7" w:rsidRPr="004C78D8">
        <w:fldChar w:fldCharType="end"/>
      </w:r>
      <w:r w:rsidR="00B505E7" w:rsidRPr="004C78D8">
        <w:t xml:space="preserve">. </w:t>
      </w:r>
      <w:r w:rsidR="00035517" w:rsidRPr="004C78D8">
        <w:t>F</w:t>
      </w:r>
      <w:r w:rsidR="00B505E7" w:rsidRPr="004C78D8">
        <w:t>uture model</w:t>
      </w:r>
      <w:r w:rsidR="00035517" w:rsidRPr="004C78D8">
        <w:t>s</w:t>
      </w:r>
      <w:r w:rsidR="00B505E7" w:rsidRPr="004C78D8">
        <w:t xml:space="preserve"> could </w:t>
      </w:r>
      <w:r w:rsidR="0055103D" w:rsidRPr="004C78D8">
        <w:t xml:space="preserve">also improve the intervention </w:t>
      </w:r>
      <w:r w:rsidR="00CF4409" w:rsidRPr="004C78D8">
        <w:t xml:space="preserve">tailoring for the cognitively impaired subgroup. There is in fact one New Zealand guideline tailored to this subgroup which recommends exercise, HAM, and nutrition improvement and emphasises close carer involvement and measures to improve adherence </w:t>
      </w:r>
      <w:r w:rsidR="00CF4409" w:rsidRPr="004C78D8">
        <w:fldChar w:fldCharType="begin"/>
      </w:r>
      <w:r w:rsidR="00A2699D" w:rsidRPr="004C78D8">
        <w:instrText xml:space="preserve"> ADDIN EN.CITE &lt;EndNote&gt;&lt;Cite&gt;&lt;Author&gt;Health Quality &amp;amp; Safety Commission New Zealand&lt;/Author&gt;&lt;Year&gt;2019&lt;/Year&gt;&lt;RecNum&gt;785&lt;/RecNum&gt;&lt;DisplayText&gt;[462]&lt;/DisplayText&gt;&lt;record&gt;&lt;rec-number&gt;785&lt;/rec-number&gt;&lt;foreign-keys&gt;&lt;key app="EN" db-id="tdtrdw9aepptzbefsat599syza29sxsd2wsp" timestamp="1642860832"&gt;785&lt;/key&gt;&lt;/foreign-keys&gt;&lt;ref-type name="Report"&gt;27&lt;/ref-type&gt;&lt;contributors&gt;&lt;authors&gt;&lt;author&gt;Health Quality &amp;amp; Safety Commission New Zealand,&lt;/author&gt;&lt;/authors&gt;&lt;/contributors&gt;&lt;titles&gt;&lt;title&gt;Interventions for reducing falls and harm from falls in older people with cognitive impairment&lt;/title&gt;&lt;/titles&gt;&lt;dates&gt;&lt;year&gt;2019&lt;/year&gt;&lt;/dates&gt;&lt;urls&gt;&lt;/urls&gt;&lt;/record&gt;&lt;/Cite&gt;&lt;/EndNote&gt;</w:instrText>
      </w:r>
      <w:r w:rsidR="00CF4409" w:rsidRPr="004C78D8">
        <w:fldChar w:fldCharType="separate"/>
      </w:r>
      <w:r w:rsidR="00A2699D" w:rsidRPr="004C78D8">
        <w:rPr>
          <w:noProof/>
        </w:rPr>
        <w:t>[462]</w:t>
      </w:r>
      <w:r w:rsidR="00CF4409" w:rsidRPr="004C78D8">
        <w:fldChar w:fldCharType="end"/>
      </w:r>
      <w:r w:rsidR="00CF4409" w:rsidRPr="004C78D8">
        <w:t xml:space="preserve">. These differ from the multifactorial intervention and Tai Chi incorporated in the current model for this subgroup and warrant further analyses. Multi-need integration strategies should be explored that improve upon the current care structure which manages falls and cognitive impairment separately </w:t>
      </w:r>
      <w:r w:rsidR="00CF4409" w:rsidRPr="004C78D8">
        <w:fldChar w:fldCharType="begin">
          <w:fldData xml:space="preserve">PEVuZE5vdGU+PENpdGU+PEF1dGhvcj5DYXNleTwvQXV0aG9yPjxZZWFyPjIwMjA8L1llYXI+PFJl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</w:fldData>
        </w:fldChar>
      </w:r>
      <w:r w:rsidR="00A2699D" w:rsidRPr="004C78D8">
        <w:instrText xml:space="preserve"> ADDIN EN.CITE </w:instrText>
      </w:r>
      <w:r w:rsidR="00A2699D" w:rsidRPr="004C78D8">
        <w:fldChar w:fldCharType="begin">
          <w:fldData xml:space="preserve">PEVuZE5vdGU+PENpdGU+PEF1dGhvcj5DYXNleTwvQXV0aG9yPjxZZWFyPjIwMjA8L1llYXI+PFJl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</w:fldData>
        </w:fldChar>
      </w:r>
      <w:r w:rsidR="00A2699D" w:rsidRPr="004C78D8">
        <w:instrText xml:space="preserve"> ADDIN EN.CITE.DATA </w:instrText>
      </w:r>
      <w:r w:rsidR="00A2699D" w:rsidRPr="004C78D8">
        <w:fldChar w:fldCharType="end"/>
      </w:r>
      <w:r w:rsidR="00CF4409" w:rsidRPr="004C78D8">
        <w:fldChar w:fldCharType="separate"/>
      </w:r>
      <w:r w:rsidR="00A2699D" w:rsidRPr="004C78D8">
        <w:rPr>
          <w:noProof/>
        </w:rPr>
        <w:t>[463]</w:t>
      </w:r>
      <w:r w:rsidR="00CF4409" w:rsidRPr="004C78D8">
        <w:fldChar w:fldCharType="end"/>
      </w:r>
      <w:r w:rsidR="00CF4409" w:rsidRPr="004C78D8">
        <w:t xml:space="preserve">. </w:t>
      </w:r>
    </w:p>
    <w:p w14:paraId="171B0FCF" w14:textId="31DE1254" w:rsidR="00026156" w:rsidRPr="004C78D8" w:rsidRDefault="000E58B0" w:rsidP="00FB7C1F">
      <w:r w:rsidRPr="004C78D8">
        <w:t xml:space="preserve">The </w:t>
      </w:r>
      <w:r w:rsidRPr="004C78D8">
        <w:rPr>
          <w:i/>
          <w:iCs/>
        </w:rPr>
        <w:t>de novo</w:t>
      </w:r>
      <w:r w:rsidRPr="004C78D8">
        <w:t xml:space="preserve"> frailty index developed </w:t>
      </w:r>
      <w:r w:rsidR="00477724" w:rsidRPr="004C78D8">
        <w:t>using ELSA</w:t>
      </w:r>
      <w:r w:rsidRPr="004C78D8">
        <w:t xml:space="preserve"> was a key tool for characterising heterogeneity and dynamic complexity. </w:t>
      </w:r>
      <w:r w:rsidR="00477724" w:rsidRPr="004C78D8">
        <w:t xml:space="preserve">Further work should psychometrically assess the index in terms of its construct and predictive validities as done for other indices </w:t>
      </w:r>
      <w:r w:rsidR="00C764F2" w:rsidRPr="004C78D8">
        <w:t>(</w:t>
      </w:r>
      <w:r w:rsidR="00477724" w:rsidRPr="004C78D8">
        <w:t xml:space="preserve">Table </w:t>
      </w:r>
      <w:r w:rsidR="00975790" w:rsidRPr="004C78D8">
        <w:t>5</w:t>
      </w:r>
      <w:r w:rsidR="00477724" w:rsidRPr="004C78D8">
        <w:t>.7</w:t>
      </w:r>
      <w:r w:rsidR="00C764F2" w:rsidRPr="004C78D8">
        <w:t>)</w:t>
      </w:r>
      <w:r w:rsidR="00477724" w:rsidRPr="004C78D8">
        <w:t xml:space="preserve">. </w:t>
      </w:r>
      <w:r w:rsidR="00035517" w:rsidRPr="004C78D8">
        <w:t>F</w:t>
      </w:r>
      <w:r w:rsidR="00711F35" w:rsidRPr="004C78D8">
        <w:t>uture model</w:t>
      </w:r>
      <w:r w:rsidR="00035517" w:rsidRPr="004C78D8">
        <w:t>s</w:t>
      </w:r>
      <w:r w:rsidR="00711F35" w:rsidRPr="004C78D8">
        <w:t xml:space="preserve"> should moreover capture the seasonal patterns to falls risk </w:t>
      </w:r>
      <w:r w:rsidR="00C764F2" w:rsidRPr="004C78D8">
        <w:t>(peaking in the Winter)</w:t>
      </w:r>
      <w:r w:rsidR="00975790" w:rsidRPr="004C78D8">
        <w:t xml:space="preserve">, </w:t>
      </w:r>
      <w:r w:rsidR="00C764F2" w:rsidRPr="004C78D8">
        <w:t>us</w:t>
      </w:r>
      <w:r w:rsidR="00975790" w:rsidRPr="004C78D8">
        <w:t>ing</w:t>
      </w:r>
      <w:r w:rsidR="009F7D71" w:rsidRPr="004C78D8">
        <w:t xml:space="preserve"> monthly cycles or discrete event simulation </w:t>
      </w:r>
      <w:r w:rsidR="00C764F2" w:rsidRPr="004C78D8">
        <w:t>to</w:t>
      </w:r>
      <w:r w:rsidR="009F7D71" w:rsidRPr="004C78D8">
        <w:t xml:space="preserve"> capture th</w:t>
      </w:r>
      <w:r w:rsidR="00C764F2" w:rsidRPr="004C78D8">
        <w:t>e</w:t>
      </w:r>
      <w:r w:rsidR="009F7D71" w:rsidRPr="004C78D8">
        <w:t xml:space="preserve"> </w:t>
      </w:r>
      <w:r w:rsidR="00975790" w:rsidRPr="004C78D8">
        <w:t xml:space="preserve">within-year </w:t>
      </w:r>
      <w:r w:rsidR="009F7D71" w:rsidRPr="004C78D8">
        <w:t>variation.</w:t>
      </w:r>
    </w:p>
    <w:p w14:paraId="191D9659" w14:textId="309E803C" w:rsidR="0022171A" w:rsidRPr="004C78D8" w:rsidRDefault="00286EC5" w:rsidP="00FB7C1F">
      <w:r w:rsidRPr="004C78D8">
        <w:t xml:space="preserve">Understanding the </w:t>
      </w:r>
      <w:r w:rsidR="00CE0E2A" w:rsidRPr="004C78D8">
        <w:t>demand motives</w:t>
      </w:r>
      <w:r w:rsidRPr="004C78D8">
        <w:t xml:space="preserve"> </w:t>
      </w:r>
      <w:r w:rsidR="00CE0E2A" w:rsidRPr="004C78D8">
        <w:t>of</w:t>
      </w:r>
      <w:r w:rsidRPr="004C78D8">
        <w:t xml:space="preserve"> cognitively impaired older persons is a priority </w:t>
      </w:r>
      <w:r w:rsidRPr="004C78D8">
        <w:fldChar w:fldCharType="begin">
          <w:fldData xml:space="preserve">PEVuZE5vdGU+PENpdGU+PEF1dGhvcj5Cb290aDwvQXV0aG9yPjxZZWFyPjIwMTk8L1llYXI+PFJl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</w:fldData>
        </w:fldChar>
      </w:r>
      <w:r w:rsidR="00A2699D" w:rsidRPr="004C78D8">
        <w:instrText xml:space="preserve"> ADDIN EN.CITE </w:instrText>
      </w:r>
      <w:r w:rsidR="00A2699D" w:rsidRPr="004C78D8">
        <w:fldChar w:fldCharType="begin">
          <w:fldData xml:space="preserve">PEVuZE5vdGU+PENpdGU+PEF1dGhvcj5Cb290aDwvQXV0aG9yPjxZZWFyPjIwMTk8L1llYXI+PFJl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</w:fldData>
        </w:fldChar>
      </w:r>
      <w:r w:rsidR="00A2699D" w:rsidRPr="004C78D8">
        <w:instrText xml:space="preserve"> ADDIN EN.CITE.DATA </w:instrText>
      </w:r>
      <w:r w:rsidR="00A2699D" w:rsidRPr="004C78D8">
        <w:fldChar w:fldCharType="end"/>
      </w:r>
      <w:r w:rsidRPr="004C78D8">
        <w:fldChar w:fldCharType="separate"/>
      </w:r>
      <w:r w:rsidR="00A2699D" w:rsidRPr="004C78D8">
        <w:rPr>
          <w:noProof/>
        </w:rPr>
        <w:t>[464]</w:t>
      </w:r>
      <w:r w:rsidRPr="004C78D8">
        <w:fldChar w:fldCharType="end"/>
      </w:r>
      <w:r w:rsidRPr="004C78D8">
        <w:t xml:space="preserve">. </w:t>
      </w:r>
      <w:r w:rsidR="003373E8" w:rsidRPr="004C78D8">
        <w:t>P</w:t>
      </w:r>
      <w:r w:rsidR="00D62B93" w:rsidRPr="004C78D8">
        <w:t xml:space="preserve">arameterising the impacts of social community on behaviour and intervention access </w:t>
      </w:r>
      <w:r w:rsidR="003373E8" w:rsidRPr="004C78D8">
        <w:t>is also warranted</w:t>
      </w:r>
      <w:r w:rsidR="00D62B93" w:rsidRPr="004C78D8">
        <w:t>. One such impact is that of informal caregivers</w:t>
      </w:r>
      <w:r w:rsidR="002109E4" w:rsidRPr="004C78D8">
        <w:t>, particularly on</w:t>
      </w:r>
      <w:r w:rsidR="00D62B93" w:rsidRPr="004C78D8">
        <w:t xml:space="preserve"> cognitively impaired persons</w:t>
      </w:r>
      <w:r w:rsidR="002109E4" w:rsidRPr="004C78D8">
        <w:t>’</w:t>
      </w:r>
      <w:r w:rsidR="00D62B93" w:rsidRPr="004C78D8">
        <w:t xml:space="preserve"> falls risk and intervention access </w:t>
      </w:r>
      <w:r w:rsidR="00D62B93" w:rsidRPr="004C78D8">
        <w:fldChar w:fldCharType="begin">
          <w:fldData xml:space="preserve">PEVuZE5vdGU+PENpdGU+PEF1dGhvcj5LaW08L0F1dGhvcj48WWVhcj4yMDE5PC9ZZWFyPjxSZWNO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</w:fldData>
        </w:fldChar>
      </w:r>
      <w:r w:rsidR="00A2699D" w:rsidRPr="004C78D8">
        <w:instrText xml:space="preserve"> ADDIN EN.CITE </w:instrText>
      </w:r>
      <w:r w:rsidR="00A2699D" w:rsidRPr="004C78D8">
        <w:fldChar w:fldCharType="begin">
          <w:fldData xml:space="preserve">PEVuZE5vdGU+PENpdGU+PEF1dGhvcj5LaW08L0F1dGhvcj48WWVhcj4yMDE5PC9ZZWFyPjxSZWNO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</w:fldData>
        </w:fldChar>
      </w:r>
      <w:r w:rsidR="00A2699D" w:rsidRPr="004C78D8">
        <w:instrText xml:space="preserve"> ADDIN EN.CITE.DATA </w:instrText>
      </w:r>
      <w:r w:rsidR="00A2699D" w:rsidRPr="004C78D8">
        <w:fldChar w:fldCharType="end"/>
      </w:r>
      <w:r w:rsidR="00D62B93" w:rsidRPr="004C78D8">
        <w:fldChar w:fldCharType="separate"/>
      </w:r>
      <w:r w:rsidR="00A2699D" w:rsidRPr="004C78D8">
        <w:rPr>
          <w:noProof/>
        </w:rPr>
        <w:t>[465, 466]</w:t>
      </w:r>
      <w:r w:rsidR="00D62B93" w:rsidRPr="004C78D8">
        <w:fldChar w:fldCharType="end"/>
      </w:r>
      <w:r w:rsidR="00D62B93" w:rsidRPr="004C78D8">
        <w:t xml:space="preserve">. </w:t>
      </w:r>
      <w:r w:rsidR="002109E4" w:rsidRPr="004C78D8">
        <w:t>F</w:t>
      </w:r>
      <w:r w:rsidR="00360E4B" w:rsidRPr="004C78D8">
        <w:t>uture model</w:t>
      </w:r>
      <w:r w:rsidR="002109E4" w:rsidRPr="004C78D8">
        <w:t>s</w:t>
      </w:r>
      <w:r w:rsidR="00360E4B" w:rsidRPr="004C78D8">
        <w:t xml:space="preserve"> should capture the active roles caregivers </w:t>
      </w:r>
      <w:r w:rsidR="002B2B8E" w:rsidRPr="004C78D8">
        <w:t xml:space="preserve">play </w:t>
      </w:r>
      <w:r w:rsidR="00360E4B" w:rsidRPr="004C78D8">
        <w:t>in falls prevention</w:t>
      </w:r>
      <w:r w:rsidR="00A91841" w:rsidRPr="004C78D8">
        <w:t>,</w:t>
      </w:r>
      <w:r w:rsidR="00360E4B" w:rsidRPr="004C78D8">
        <w:t xml:space="preserve"> and not </w:t>
      </w:r>
      <w:r w:rsidR="002109E4" w:rsidRPr="004C78D8">
        <w:t>just</w:t>
      </w:r>
      <w:r w:rsidR="002B2B8E" w:rsidRPr="004C78D8">
        <w:t xml:space="preserve"> the</w:t>
      </w:r>
      <w:r w:rsidR="00360E4B" w:rsidRPr="004C78D8">
        <w:t xml:space="preserve"> </w:t>
      </w:r>
      <w:r w:rsidR="0003324A" w:rsidRPr="004C78D8">
        <w:t xml:space="preserve">monetary </w:t>
      </w:r>
      <w:r w:rsidR="00360E4B" w:rsidRPr="004C78D8">
        <w:t>caregiving burden and time opportunity cost.</w:t>
      </w:r>
      <w:r w:rsidR="002B2B8E" w:rsidRPr="004C78D8">
        <w:t xml:space="preserve"> For example, </w:t>
      </w:r>
      <w:r w:rsidR="00D62B93" w:rsidRPr="004C78D8">
        <w:t>the ELSA-derived equation in Table E1</w:t>
      </w:r>
      <w:r w:rsidR="00975790" w:rsidRPr="004C78D8">
        <w:t>5</w:t>
      </w:r>
      <w:r w:rsidR="00D62B93" w:rsidRPr="004C78D8">
        <w:t xml:space="preserve"> </w:t>
      </w:r>
      <w:r w:rsidR="002B2B8E" w:rsidRPr="004C78D8">
        <w:t>showed</w:t>
      </w:r>
      <w:r w:rsidR="00D62B93" w:rsidRPr="004C78D8">
        <w:t xml:space="preserve"> that informal care</w:t>
      </w:r>
      <w:r w:rsidR="00A91841" w:rsidRPr="004C78D8">
        <w:t xml:space="preserve"> receipt</w:t>
      </w:r>
      <w:r w:rsidR="00D62B93" w:rsidRPr="004C78D8">
        <w:t xml:space="preserve"> </w:t>
      </w:r>
      <w:r w:rsidR="00D62B93" w:rsidRPr="004C78D8">
        <w:rPr>
          <w:i/>
          <w:iCs/>
        </w:rPr>
        <w:t>reduced</w:t>
      </w:r>
      <w:r w:rsidR="00D62B93" w:rsidRPr="004C78D8">
        <w:t xml:space="preserve"> the likelihood of GP contact</w:t>
      </w:r>
      <w:r w:rsidR="002B2B8E" w:rsidRPr="004C78D8">
        <w:t>, suggesting that care</w:t>
      </w:r>
      <w:r w:rsidR="00F0246D" w:rsidRPr="004C78D8">
        <w:t>givers</w:t>
      </w:r>
      <w:r w:rsidR="002B2B8E" w:rsidRPr="004C78D8">
        <w:t xml:space="preserve"> addressed certain care needs of older persons</w:t>
      </w:r>
      <w:r w:rsidR="00F0246D" w:rsidRPr="004C78D8">
        <w:t xml:space="preserve"> otherwise </w:t>
      </w:r>
      <w:r w:rsidR="002F41B4" w:rsidRPr="004C78D8">
        <w:t>addressed</w:t>
      </w:r>
      <w:r w:rsidR="00F0246D" w:rsidRPr="004C78D8">
        <w:t xml:space="preserve"> by GPs</w:t>
      </w:r>
      <w:r w:rsidR="002B2B8E" w:rsidRPr="004C78D8">
        <w:t>. Yet this demonstrates the importance of falls risk awareness among caregivers such that the lower GP contact does not restrict the</w:t>
      </w:r>
      <w:r w:rsidR="00975790" w:rsidRPr="004C78D8">
        <w:t xml:space="preserve"> care recipients’</w:t>
      </w:r>
      <w:r w:rsidR="002B2B8E" w:rsidRPr="004C78D8">
        <w:t xml:space="preserve"> proactive intervention access.</w:t>
      </w:r>
      <w:r w:rsidRPr="004C78D8">
        <w:t xml:space="preserve"> </w:t>
      </w:r>
      <w:r w:rsidR="00A91841" w:rsidRPr="004C78D8">
        <w:t>Roles of</w:t>
      </w:r>
      <w:r w:rsidRPr="004C78D8">
        <w:t xml:space="preserve"> further professional</w:t>
      </w:r>
      <w:r w:rsidR="00A91841" w:rsidRPr="004C78D8">
        <w:t>s</w:t>
      </w:r>
      <w:r w:rsidRPr="004C78D8">
        <w:t xml:space="preserve"> and lay personnel should be explored</w:t>
      </w:r>
      <w:r w:rsidR="00FA50C0" w:rsidRPr="004C78D8">
        <w:t xml:space="preserve"> and parameterised: paramedics </w:t>
      </w:r>
      <w:r w:rsidR="00FA50C0" w:rsidRPr="004C78D8">
        <w:fldChar w:fldCharType="begin">
          <w:fldData xml:space="preserve">PEVuZE5vdGU+PENpdGU+PEF1dGhvcj5TYWNoPC9BdXRob3I+PFllYXI+MjAxMjwvWWVhcj48UmVj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</w:fldData>
        </w:fldChar>
      </w:r>
      <w:r w:rsidR="00513646" w:rsidRPr="004C78D8">
        <w:instrText xml:space="preserve"> ADDIN EN.CITE </w:instrText>
      </w:r>
      <w:r w:rsidR="00513646" w:rsidRPr="004C78D8">
        <w:fldChar w:fldCharType="begin">
          <w:fldData xml:space="preserve">PEVuZE5vdGU+PENpdGU+PEF1dGhvcj5TYWNoPC9BdXRob3I+PFllYXI+MjAxMjwvWWVhcj48UmVj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</w:fldData>
        </w:fldChar>
      </w:r>
      <w:r w:rsidR="00513646" w:rsidRPr="004C78D8">
        <w:instrText xml:space="preserve"> ADDIN EN.CITE.DATA </w:instrText>
      </w:r>
      <w:r w:rsidR="00513646" w:rsidRPr="004C78D8">
        <w:fldChar w:fldCharType="end"/>
      </w:r>
      <w:r w:rsidR="00FA50C0" w:rsidRPr="004C78D8">
        <w:fldChar w:fldCharType="separate"/>
      </w:r>
      <w:r w:rsidR="00513646" w:rsidRPr="004C78D8">
        <w:rPr>
          <w:noProof/>
        </w:rPr>
        <w:t>[75]</w:t>
      </w:r>
      <w:r w:rsidR="00FA50C0" w:rsidRPr="004C78D8">
        <w:fldChar w:fldCharType="end"/>
      </w:r>
      <w:r w:rsidR="00FA50C0" w:rsidRPr="004C78D8">
        <w:t xml:space="preserve">; allied healthcare professionals </w:t>
      </w:r>
      <w:r w:rsidR="00FA50C0" w:rsidRPr="004C78D8">
        <w:fldChar w:fldCharType="begin">
          <w:fldData xml:space="preserve">PEVuZE5vdGU+PENpdGU+PEF1dGhvcj5BZGFtczwvQXV0aG9yPjxZZWFyPjIwMjE8L1llYXI+PFJl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</w:fldData>
        </w:fldChar>
      </w:r>
      <w:r w:rsidR="00A2699D" w:rsidRPr="004C78D8">
        <w:instrText xml:space="preserve"> ADDIN EN.CITE </w:instrText>
      </w:r>
      <w:r w:rsidR="00A2699D" w:rsidRPr="004C78D8">
        <w:fldChar w:fldCharType="begin">
          <w:fldData xml:space="preserve">PEVuZE5vdGU+PENpdGU+PEF1dGhvcj5BZGFtczwvQXV0aG9yPjxZZWFyPjIwMjE8L1llYXI+PFJl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</w:fldData>
        </w:fldChar>
      </w:r>
      <w:r w:rsidR="00A2699D" w:rsidRPr="004C78D8">
        <w:instrText xml:space="preserve"> ADDIN EN.CITE.DATA </w:instrText>
      </w:r>
      <w:r w:rsidR="00A2699D" w:rsidRPr="004C78D8">
        <w:fldChar w:fldCharType="end"/>
      </w:r>
      <w:r w:rsidR="00FA50C0" w:rsidRPr="004C78D8">
        <w:fldChar w:fldCharType="separate"/>
      </w:r>
      <w:r w:rsidR="00A2699D" w:rsidRPr="004C78D8">
        <w:rPr>
          <w:noProof/>
        </w:rPr>
        <w:t>[467]</w:t>
      </w:r>
      <w:r w:rsidR="00FA50C0" w:rsidRPr="004C78D8">
        <w:fldChar w:fldCharType="end"/>
      </w:r>
      <w:r w:rsidR="00FA50C0" w:rsidRPr="004C78D8">
        <w:t xml:space="preserve">; social workers </w:t>
      </w:r>
      <w:r w:rsidR="00FA50C0" w:rsidRPr="004C78D8">
        <w:fldChar w:fldCharType="begin"/>
      </w:r>
      <w:r w:rsidR="00A2699D" w:rsidRPr="004C78D8">
        <w:instrText xml:space="preserve"> ADDIN EN.CITE &lt;EndNote&gt;&lt;Cite&gt;&lt;Author&gt;Juckett&lt;/Author&gt;&lt;Year&gt;2019&lt;/Year&gt;&lt;RecNum&gt;209&lt;/RecNum&gt;&lt;DisplayText&gt;[468]&lt;/DisplayText&gt;&lt;record&gt;&lt;rec-number&gt;209&lt;/rec-number&gt;&lt;foreign-keys&gt;&lt;key app="EN" db-id="tdtrdw9aepptzbefsat599syza29sxsd2wsp" timestamp="1610311383"&gt;209&lt;/key&gt;&lt;/foreign-keys&gt;&lt;ref-type name="Journal Article"&gt;17&lt;/ref-type&gt;&lt;contributors&gt;&lt;authors&gt;&lt;author&gt;Juckett, L. A.&lt;/author&gt;&lt;author&gt;Robinson, M. L.&lt;/author&gt;&lt;/authors&gt;&lt;/contributors&gt;&lt;titles&gt;&lt;title&gt;Implementing Fall Prevention Guidelines with Vulnerable Older Adults: The Social Work Role&lt;/title&gt;&lt;secondary-title&gt;Journal of gerontological social work&lt;/secondary-title&gt;&lt;/titles&gt;&lt;periodical&gt;&lt;full-title&gt;Journal of gerontological social work&lt;/full-title&gt;&lt;/periodical&gt;&lt;pages&gt;338-348&lt;/pages&gt;&lt;volume&gt;62&lt;/volume&gt;&lt;number&gt;3&lt;/number&gt;&lt;keywords&gt;&lt;keyword&gt;aged&lt;/keyword&gt;&lt;keyword&gt;article&lt;/keyword&gt;&lt;keyword&gt;*coordination&lt;/keyword&gt;&lt;keyword&gt;fall risk&lt;/keyword&gt;&lt;keyword&gt;human&lt;/keyword&gt;&lt;keyword&gt;injury&lt;/keyword&gt;&lt;keyword&gt;*practice guideline&lt;/keyword&gt;&lt;keyword&gt;*social work&lt;/keyword&gt;&lt;/keywords&gt;&lt;dates&gt;&lt;year&gt;2019&lt;/year&gt;&lt;/dates&gt;&lt;pub-location&gt;United States&lt;/pub-location&gt;&lt;publisher&gt;NLM (Medline)&lt;/publisher&gt;&lt;isbn&gt;1540-4048 (electronic)&amp;#xD;1540-4048&lt;/isbn&gt;&lt;urls&gt;&lt;related-urls&gt;&lt;url&gt;http://ovidsp.ovid.com/ovidweb.cgi?T=JS&amp;amp;PAGE=reference&amp;amp;D=emexa&amp;amp;NEWS=N&amp;amp;AN=627408754&lt;/url&gt;&lt;/related-urls&gt;&lt;/urls&gt;&lt;electronic-resource-num&gt;http://dx.doi.org/10.1080/01634372.2018.1555566&lt;/electronic-resource-num&gt;&lt;remote-database-name&gt;Embase&lt;/remote-database-name&gt;&lt;language&gt;English&lt;/language&gt;&lt;/record&gt;&lt;/Cite&gt;&lt;/EndNote&gt;</w:instrText>
      </w:r>
      <w:r w:rsidR="00FA50C0" w:rsidRPr="004C78D8">
        <w:fldChar w:fldCharType="separate"/>
      </w:r>
      <w:r w:rsidR="00A2699D" w:rsidRPr="004C78D8">
        <w:rPr>
          <w:noProof/>
        </w:rPr>
        <w:t>[468]</w:t>
      </w:r>
      <w:r w:rsidR="00FA50C0" w:rsidRPr="004C78D8">
        <w:fldChar w:fldCharType="end"/>
      </w:r>
      <w:r w:rsidR="00FA50C0" w:rsidRPr="004C78D8">
        <w:t xml:space="preserve">; and members of </w:t>
      </w:r>
      <w:r w:rsidR="00BA6D33" w:rsidRPr="004C78D8">
        <w:t xml:space="preserve">the </w:t>
      </w:r>
      <w:r w:rsidR="00FA50C0" w:rsidRPr="004C78D8">
        <w:t xml:space="preserve">rural community </w:t>
      </w:r>
      <w:r w:rsidR="00FA50C0" w:rsidRPr="004C78D8">
        <w:fldChar w:fldCharType="begin">
          <w:fldData xml:space="preserve">PEVuZE5vdGU+PENpdGU+PEF1dGhvcj5JcHBvbGl0aTwvQXV0aG9yPjxZZWFyPjIwMTg8L1llYXI+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</w:fldData>
        </w:fldChar>
      </w:r>
      <w:r w:rsidR="00C630FC" w:rsidRPr="004C78D8">
        <w:instrText xml:space="preserve"> ADDIN EN.CITE </w:instrText>
      </w:r>
      <w:r w:rsidR="00C630FC" w:rsidRPr="004C78D8">
        <w:fldChar w:fldCharType="begin">
          <w:fldData xml:space="preserve">PEVuZE5vdGU+PENpdGU+PEF1dGhvcj5JcHBvbGl0aTwvQXV0aG9yPjxZZWFyPjIwMTg8L1llYXI+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</w:fldData>
        </w:fldChar>
      </w:r>
      <w:r w:rsidR="00C630FC" w:rsidRPr="004C78D8">
        <w:instrText xml:space="preserve"> ADDIN EN.CITE.DATA </w:instrText>
      </w:r>
      <w:r w:rsidR="00C630FC" w:rsidRPr="004C78D8">
        <w:fldChar w:fldCharType="end"/>
      </w:r>
      <w:r w:rsidR="00FA50C0" w:rsidRPr="004C78D8">
        <w:fldChar w:fldCharType="separate"/>
      </w:r>
      <w:r w:rsidR="00C630FC" w:rsidRPr="004C78D8">
        <w:rPr>
          <w:noProof/>
        </w:rPr>
        <w:t>[364]</w:t>
      </w:r>
      <w:r w:rsidR="00FA50C0" w:rsidRPr="004C78D8">
        <w:fldChar w:fldCharType="end"/>
      </w:r>
      <w:r w:rsidR="00FA50C0" w:rsidRPr="004C78D8">
        <w:t>.</w:t>
      </w:r>
    </w:p>
    <w:p w14:paraId="6D0F01B9" w14:textId="68A681E0" w:rsidR="00213CC8" w:rsidRPr="004C78D8" w:rsidRDefault="007919F5" w:rsidP="00FB7C1F">
      <w:r w:rsidRPr="004C78D8">
        <w:t xml:space="preserve">Regarding </w:t>
      </w:r>
      <w:r w:rsidR="00213CC8" w:rsidRPr="004C78D8">
        <w:t>issues of equity</w:t>
      </w:r>
      <w:r w:rsidRPr="004C78D8">
        <w:t xml:space="preserve">, a key </w:t>
      </w:r>
      <w:r w:rsidR="008F1810" w:rsidRPr="004C78D8">
        <w:t>task</w:t>
      </w:r>
      <w:r w:rsidRPr="004C78D8">
        <w:t xml:space="preserve"> is to parameterise the dynamic change in older persons’ socioeconomic circumstances. </w:t>
      </w:r>
      <w:r w:rsidR="00411103" w:rsidRPr="004C78D8">
        <w:t>Another is identifying socioeconomic determinants of falls risk which</w:t>
      </w:r>
      <w:r w:rsidRPr="004C78D8">
        <w:t xml:space="preserve"> </w:t>
      </w:r>
      <w:r w:rsidR="008F1810" w:rsidRPr="004C78D8">
        <w:t xml:space="preserve">have </w:t>
      </w:r>
      <w:r w:rsidRPr="004C78D8">
        <w:t xml:space="preserve">been </w:t>
      </w:r>
      <w:r w:rsidR="00411103" w:rsidRPr="004C78D8">
        <w:t>underexplored</w:t>
      </w:r>
      <w:r w:rsidR="002F787E" w:rsidRPr="004C78D8">
        <w:t xml:space="preserve">. </w:t>
      </w:r>
      <w:r w:rsidR="008F1810" w:rsidRPr="004C78D8">
        <w:t>Moreover</w:t>
      </w:r>
      <w:r w:rsidR="00396E89" w:rsidRPr="004C78D8">
        <w:t>, actual commissioning decisions to reduce social inequities of health t</w:t>
      </w:r>
      <w:r w:rsidR="002F787E" w:rsidRPr="004C78D8">
        <w:t>ake</w:t>
      </w:r>
      <w:r w:rsidR="00396E89" w:rsidRPr="004C78D8">
        <w:t xml:space="preserve"> place at the geographically defined area level</w:t>
      </w:r>
      <w:r w:rsidR="00D57B29" w:rsidRPr="004C78D8">
        <w:t>. The</w:t>
      </w:r>
      <w:r w:rsidR="00396E89" w:rsidRPr="004C78D8">
        <w:t xml:space="preserve"> Sheffield CCG, for example, targeted city regions with high deprivation and large concentration of older people for its pilot commissioning of Dance to Health (Section 3.7.1.3). </w:t>
      </w:r>
      <w:r w:rsidR="002C2C99" w:rsidRPr="004C78D8">
        <w:t xml:space="preserve">Likewise, the main implementation unit for the integrated </w:t>
      </w:r>
      <w:r w:rsidR="008623DD" w:rsidRPr="004C78D8">
        <w:t>care s</w:t>
      </w:r>
      <w:r w:rsidR="00411103" w:rsidRPr="004C78D8">
        <w:t>c</w:t>
      </w:r>
      <w:r w:rsidR="008623DD" w:rsidRPr="004C78D8">
        <w:t>heme</w:t>
      </w:r>
      <w:r w:rsidR="002C2C99" w:rsidRPr="004C78D8">
        <w:t xml:space="preserve"> in Sheffield </w:t>
      </w:r>
      <w:r w:rsidR="00DF14FB" w:rsidRPr="004C78D8">
        <w:t>i</w:t>
      </w:r>
      <w:r w:rsidR="002C2C99" w:rsidRPr="004C78D8">
        <w:t xml:space="preserve">s the ‘neighbourhood’ region overseen by a GP practice </w:t>
      </w:r>
      <w:r w:rsidR="002C2C99" w:rsidRPr="004C78D8">
        <w:fldChar w:fldCharType="begin"/>
      </w:r>
      <w:r w:rsidR="00C630FC" w:rsidRPr="004C78D8">
        <w:instrText xml:space="preserve"> ADDIN EN.CITE &lt;EndNote&gt;&lt;Cite&gt;&lt;Author&gt;Griffiths&lt;/Author&gt;&lt;Year&gt;2015&lt;/Year&gt;&lt;RecNum&gt;550&lt;/RecNum&gt;&lt;DisplayText&gt;[212]&lt;/DisplayText&gt;&lt;record&gt;&lt;rec-number&gt;550&lt;/rec-number&gt;&lt;foreign-keys&gt;&lt;key app="EN" db-id="tdtrdw9aepptzbefsat599syza29sxsd2wsp" timestamp="1618948403"&gt;550&lt;/key&gt;&lt;/foreign-keys&gt;&lt;ref-type name="Journal Article"&gt;17&lt;/ref-type&gt;&lt;contributors&gt;&lt;authors&gt;&lt;author&gt;Griffiths, Idris&lt;/author&gt;&lt;/authors&gt;&lt;/contributors&gt;&lt;titles&gt;&lt;title&gt;Sheffield Clinical Commissioning Group Active Support and Recovery update: governing body meeting&lt;/title&gt;&lt;/titles&gt;&lt;dates&gt;&lt;year&gt;2015&lt;/year&gt;&lt;/dates&gt;&lt;urls&gt;&lt;/urls&gt;&lt;/record&gt;&lt;/Cite&gt;&lt;/EndNote&gt;</w:instrText>
      </w:r>
      <w:r w:rsidR="002C2C99" w:rsidRPr="004C78D8">
        <w:fldChar w:fldCharType="separate"/>
      </w:r>
      <w:r w:rsidR="00C630FC" w:rsidRPr="004C78D8">
        <w:rPr>
          <w:noProof/>
        </w:rPr>
        <w:t>[212]</w:t>
      </w:r>
      <w:r w:rsidR="002C2C99" w:rsidRPr="004C78D8">
        <w:fldChar w:fldCharType="end"/>
      </w:r>
      <w:r w:rsidR="002C2C99" w:rsidRPr="004C78D8">
        <w:t xml:space="preserve">. </w:t>
      </w:r>
      <w:r w:rsidR="00396E89" w:rsidRPr="004C78D8">
        <w:t xml:space="preserve">Future modelling should incorporate this spatial element, first parameterising the spatial distribution of demographics and frailty </w:t>
      </w:r>
      <w:r w:rsidR="002C2C99" w:rsidRPr="004C78D8">
        <w:t xml:space="preserve">across areas of differing social deprivation </w:t>
      </w:r>
      <w:r w:rsidR="00396E89" w:rsidRPr="004C78D8">
        <w:fldChar w:fldCharType="begin"/>
      </w:r>
      <w:r w:rsidR="00A2699D" w:rsidRPr="004C78D8">
        <w:instrText xml:space="preserve"> ADDIN EN.CITE &lt;EndNote&gt;&lt;Cite&gt;&lt;Author&gt;Freitas&lt;/Author&gt;&lt;Year&gt;2020&lt;/Year&gt;&lt;RecNum&gt;809&lt;/RecNum&gt;&lt;DisplayText&gt;[469]&lt;/DisplayText&gt;&lt;record&gt;&lt;rec-number&gt;809&lt;/rec-number&gt;&lt;foreign-keys&gt;&lt;key app="EN" db-id="tdtrdw9aepptzbefsat599syza29sxsd2wsp" timestamp="1645094663"&gt;809&lt;/key&gt;&lt;/foreign-keys&gt;&lt;ref-type name="Journal Article"&gt;17&lt;/ref-type&gt;&lt;contributors&gt;&lt;authors&gt;&lt;author&gt;Freitas, Fabiana Ferraz Queiroga&lt;/author&gt;&lt;author&gt;Rocha, Alexsandra Bezerra&lt;/author&gt;&lt;author&gt;Moura, Ana Clara Mourão&lt;/author&gt;&lt;author&gt;Soares, Sônia Maria&lt;/author&gt;&lt;/authors&gt;&lt;/contributors&gt;&lt;titles&gt;&lt;title&gt;Older adults frailty in Primary Health Care: a geoprocessing-based approach&lt;/title&gt;&lt;secondary-title&gt;Ciência &amp;amp; Saúde Coletiva&lt;/secondary-title&gt;&lt;/titles&gt;&lt;periodical&gt;&lt;full-title&gt;Ciência &amp;amp; Saúde Coletiva&lt;/full-title&gt;&lt;/periodical&gt;&lt;pages&gt;4439-4450&lt;/pages&gt;&lt;volume&gt;25&lt;/volume&gt;&lt;dates&gt;&lt;year&gt;2020&lt;/year&gt;&lt;/dates&gt;&lt;isbn&gt;1413-8123&lt;/isbn&gt;&lt;urls&gt;&lt;/urls&gt;&lt;/record&gt;&lt;/Cite&gt;&lt;/EndNote&gt;</w:instrText>
      </w:r>
      <w:r w:rsidR="00396E89" w:rsidRPr="004C78D8">
        <w:fldChar w:fldCharType="separate"/>
      </w:r>
      <w:r w:rsidR="00A2699D" w:rsidRPr="004C78D8">
        <w:rPr>
          <w:noProof/>
        </w:rPr>
        <w:t>[469]</w:t>
      </w:r>
      <w:r w:rsidR="00396E89" w:rsidRPr="004C78D8">
        <w:fldChar w:fldCharType="end"/>
      </w:r>
      <w:r w:rsidR="002C2C99" w:rsidRPr="004C78D8">
        <w:t>, then associating individuals’ intervention access to their resident area, and evaluat</w:t>
      </w:r>
      <w:r w:rsidR="00411103" w:rsidRPr="004C78D8">
        <w:t>ing</w:t>
      </w:r>
      <w:r w:rsidR="002C2C99" w:rsidRPr="004C78D8">
        <w:t xml:space="preserve"> different area-level targeting strategies.</w:t>
      </w:r>
    </w:p>
    <w:p w14:paraId="51C90051" w14:textId="2E532A76" w:rsidR="006A214E" w:rsidRPr="004C78D8" w:rsidRDefault="006D62A0" w:rsidP="00FB7C1F">
      <w:pPr>
        <w:pStyle w:val="Heading3"/>
      </w:pPr>
      <w:bookmarkStart w:id="239" w:name="_Toc111630821"/>
      <w:r w:rsidRPr="004C78D8">
        <w:t>7</w:t>
      </w:r>
      <w:r w:rsidR="00BC28E8" w:rsidRPr="004C78D8">
        <w:t xml:space="preserve">.5.4 </w:t>
      </w:r>
      <w:r w:rsidR="006E19C7" w:rsidRPr="004C78D8">
        <w:t>Evaluation methods</w:t>
      </w:r>
      <w:bookmarkEnd w:id="239"/>
    </w:p>
    <w:p w14:paraId="67390392" w14:textId="3B783C3F" w:rsidR="00B83DC2" w:rsidRPr="004C78D8" w:rsidRDefault="00DF14FB" w:rsidP="00FB7C1F">
      <w:r w:rsidRPr="004C78D8">
        <w:t xml:space="preserve">This section adds to the further research </w:t>
      </w:r>
      <w:r w:rsidR="00A435C4" w:rsidRPr="004C78D8">
        <w:t>items discussed</w:t>
      </w:r>
      <w:r w:rsidRPr="004C78D8">
        <w:t xml:space="preserve"> in Section 6.4.4. First, given the wide range of relevant outcomes used for decision-making, t</w:t>
      </w:r>
      <w:r w:rsidR="004B6C34" w:rsidRPr="004C78D8">
        <w:t xml:space="preserve">here is scope for </w:t>
      </w:r>
      <w:r w:rsidRPr="004C78D8">
        <w:t>exploring the use of</w:t>
      </w:r>
      <w:r w:rsidR="004B6C34" w:rsidRPr="004C78D8">
        <w:t xml:space="preserve"> multi-criteria decision analysis </w:t>
      </w:r>
      <w:r w:rsidRPr="004C78D8">
        <w:t xml:space="preserve">(MCDA) </w:t>
      </w:r>
      <w:r w:rsidR="004B6C34" w:rsidRPr="004C78D8">
        <w:t>to weight the different outcomes based on stakeholder preferences</w:t>
      </w:r>
      <w:r w:rsidRPr="004C78D8">
        <w:t xml:space="preserve">; the MCDA could incorporate participant preferences and process benefits not fully captured in EQ-5D </w:t>
      </w:r>
      <w:r w:rsidRPr="004C78D8">
        <w:fldChar w:fldCharType="begin"/>
      </w:r>
      <w:r w:rsidR="00A2699D" w:rsidRPr="004C78D8">
        <w:instrText xml:space="preserve"> ADDIN EN.CITE &lt;EndNote&gt;&lt;Cite&gt;&lt;Author&gt;van den Bogaart&lt;/Author&gt;&lt;Year&gt;2021&lt;/Year&gt;&lt;RecNum&gt;557&lt;/RecNum&gt;&lt;DisplayText&gt;[470]&lt;/DisplayText&gt;&lt;record&gt;&lt;rec-number&gt;557&lt;/rec-number&gt;&lt;foreign-keys&gt;&lt;key app="EN" db-id="tdtrdw9aepptzbefsat599syza29sxsd2wsp" timestamp="1619553039"&gt;557&lt;/key&gt;&lt;/foreign-keys&gt;&lt;ref-type name="Journal Article"&gt;17&lt;/ref-type&gt;&lt;contributors&gt;&lt;authors&gt;&lt;author&gt;van den Bogaart, Esther HA&lt;/author&gt;&lt;author&gt;Kroese, Mariëlle EAL&lt;/author&gt;&lt;author&gt;Spreeuwenberg, Marieke D&lt;/author&gt;&lt;author&gt;Ruwaard, Dirk&lt;/author&gt;&lt;author&gt;Tsiachristas, Apostolos&lt;/author&gt;&lt;/authors&gt;&lt;/contributors&gt;&lt;titles&gt;&lt;title&gt;Economic Evaluation of New Models of Care: Does the Decision Change Between Cost-Utility Analysis and Multi-Criteria Decision Analysis?&lt;/title&gt;&lt;secondary-title&gt;Value in Health&lt;/secondary-title&gt;&lt;/titles&gt;&lt;periodical&gt;&lt;full-title&gt;Value in Health&lt;/full-title&gt;&lt;/periodical&gt;&lt;dates&gt;&lt;year&gt;2021&lt;/year&gt;&lt;/dates&gt;&lt;isbn&gt;1098-3015&lt;/isbn&gt;&lt;urls&gt;&lt;/urls&gt;&lt;/record&gt;&lt;/Cite&gt;&lt;/EndNote&gt;</w:instrText>
      </w:r>
      <w:r w:rsidRPr="004C78D8">
        <w:fldChar w:fldCharType="separate"/>
      </w:r>
      <w:r w:rsidR="00A2699D" w:rsidRPr="004C78D8">
        <w:rPr>
          <w:noProof/>
        </w:rPr>
        <w:t>[470]</w:t>
      </w:r>
      <w:r w:rsidRPr="004C78D8">
        <w:fldChar w:fldCharType="end"/>
      </w:r>
      <w:r w:rsidRPr="004C78D8">
        <w:t xml:space="preserve">. Second, </w:t>
      </w:r>
      <w:r w:rsidR="00A435C4" w:rsidRPr="004C78D8">
        <w:t xml:space="preserve">estimation of the value of perfect/improved information is typically conducted alongside VoIM analysis </w:t>
      </w:r>
      <w:r w:rsidR="00A435C4" w:rsidRPr="004C78D8">
        <w:fldChar w:fldCharType="begin"/>
      </w:r>
      <w:r w:rsidR="00C630FC" w:rsidRPr="004C78D8">
        <w:instrText xml:space="preserve"> ADDIN EN.CITE &lt;EndNote&gt;&lt;Cite&gt;&lt;Author&gt;Fenwick&lt;/Author&gt;&lt;Year&gt;2008&lt;/Year&gt;&lt;RecNum&gt;8&lt;/RecNum&gt;&lt;DisplayText&gt;[199]&lt;/DisplayText&gt;&lt;record&gt;&lt;rec-number&gt;8&lt;/rec-number&gt;&lt;foreign-keys&gt;&lt;key app="EN" db-id="tdtrdw9aepptzbefsat599syza29sxsd2wsp" timestamp="1596618759"&gt;8&lt;/key&gt;&lt;/foreign-keys&gt;&lt;ref-type name="Journal Article"&gt;17&lt;/ref-type&gt;&lt;contributors&gt;&lt;authors&gt;&lt;author&gt;Fenwick, Elisabeth&lt;/author&gt;&lt;author&gt;Claxton, Karl&lt;/author&gt;&lt;author&gt;Sculpher, Mark&lt;/author&gt;&lt;/authors&gt;&lt;/contributors&gt;&lt;titles&gt;&lt;title&gt;The value of implementation and the value of information: combined and uneven development&lt;/title&gt;&lt;secondary-title&gt;Medical Decision Making&lt;/secondary-title&gt;&lt;/titles&gt;&lt;periodical&gt;&lt;full-title&gt;Medical Decision Making&lt;/full-title&gt;&lt;/periodical&gt;&lt;pages&gt;21-32&lt;/pages&gt;&lt;volume&gt;28&lt;/volume&gt;&lt;number&gt;1&lt;/number&gt;&lt;dates&gt;&lt;year&gt;2008&lt;/year&gt;&lt;/dates&gt;&lt;isbn&gt;0272-989X&lt;/isbn&gt;&lt;urls&gt;&lt;/urls&gt;&lt;/record&gt;&lt;/Cite&gt;&lt;/EndNote&gt;</w:instrText>
      </w:r>
      <w:r w:rsidR="00A435C4" w:rsidRPr="004C78D8">
        <w:fldChar w:fldCharType="separate"/>
      </w:r>
      <w:r w:rsidR="00C630FC" w:rsidRPr="004C78D8">
        <w:rPr>
          <w:noProof/>
        </w:rPr>
        <w:t>[199]</w:t>
      </w:r>
      <w:r w:rsidR="00A435C4" w:rsidRPr="004C78D8">
        <w:fldChar w:fldCharType="end"/>
      </w:r>
      <w:r w:rsidR="00A435C4" w:rsidRPr="004C78D8">
        <w:t xml:space="preserve">, and </w:t>
      </w:r>
      <w:r w:rsidR="00973928" w:rsidRPr="004C78D8">
        <w:t>future models</w:t>
      </w:r>
      <w:r w:rsidR="00A435C4" w:rsidRPr="004C78D8">
        <w:t xml:space="preserve"> </w:t>
      </w:r>
      <w:r w:rsidR="00020DEF" w:rsidRPr="004C78D8">
        <w:t>c</w:t>
      </w:r>
      <w:r w:rsidR="00A435C4" w:rsidRPr="004C78D8">
        <w:t>ould implement both.</w:t>
      </w:r>
      <w:r w:rsidR="007532B8" w:rsidRPr="004C78D8">
        <w:t xml:space="preserve"> </w:t>
      </w:r>
    </w:p>
    <w:p w14:paraId="39C7F926" w14:textId="0F41B07E" w:rsidR="006B6951" w:rsidRPr="004C78D8" w:rsidRDefault="00FD5C56" w:rsidP="00FB7C1F">
      <w:r w:rsidRPr="004C78D8">
        <w:t xml:space="preserve">Third, the commissioning recommendations in Section </w:t>
      </w:r>
      <w:r w:rsidR="00E624EA" w:rsidRPr="004C78D8">
        <w:t>6</w:t>
      </w:r>
      <w:r w:rsidRPr="004C78D8">
        <w:t>.</w:t>
      </w:r>
      <w:r w:rsidR="00E624EA" w:rsidRPr="004C78D8">
        <w:t>3.3</w:t>
      </w:r>
      <w:r w:rsidRPr="004C78D8">
        <w:t xml:space="preserve"> considered the possibility that some candidate strategies may be ruled out due to excessive public sector budget impacts; but fu</w:t>
      </w:r>
      <w:r w:rsidR="007532B8" w:rsidRPr="004C78D8">
        <w:t>ture</w:t>
      </w:r>
      <w:r w:rsidRPr="004C78D8">
        <w:t xml:space="preserve"> </w:t>
      </w:r>
      <w:r w:rsidR="00020DEF" w:rsidRPr="004C78D8">
        <w:t>evaluations</w:t>
      </w:r>
      <w:r w:rsidRPr="004C78D8">
        <w:t xml:space="preserve"> could assign lower cost-effectiveness thresholds to strategies with larger budget impacts (to account for the more valuable activities displaced by the larger expenditure) rather than ruling them out </w:t>
      </w:r>
      <w:r w:rsidR="00DA1017" w:rsidRPr="004C78D8">
        <w:t xml:space="preserve">in a binary fashion </w:t>
      </w:r>
      <w:r w:rsidRPr="004C78D8">
        <w:t xml:space="preserve">(p. 91) </w:t>
      </w:r>
      <w:r w:rsidRPr="004C78D8">
        <w:fldChar w:fldCharType="begin"/>
      </w:r>
      <w:r w:rsidR="00513646" w:rsidRPr="004C78D8">
        <w:instrText xml:space="preserve"> ADDIN EN.CITE &lt;EndNote&gt;&lt;Cite&gt;&lt;Author&gt;Drummond&lt;/Author&gt;&lt;Year&gt;2015&lt;/Year&gt;&lt;RecNum&gt;2&lt;/RecNum&gt;&lt;DisplayText&gt;[145]&lt;/DisplayText&gt;&lt;record&gt;&lt;rec-number&gt;2&lt;/rec-number&gt;&lt;foreign-keys&gt;&lt;key app="EN" db-id="tdtrdw9aepptzbefsat599syza29sxsd2wsp" timestamp="1596571149"&gt;2&lt;/key&gt;&lt;/foreign-keys&gt;&lt;ref-type name="Book"&gt;6&lt;/ref-type&gt;&lt;contributors&gt;&lt;authors&gt;&lt;author&gt;Drummond, Michael F&lt;/author&gt;&lt;author&gt;Sculpher, Mark J&lt;/author&gt;&lt;author&gt;Claxton, Karl&lt;/author&gt;&lt;author&gt;Stoddart, Greg L&lt;/author&gt;&lt;author&gt;Torrance, George W&lt;/author&gt;&lt;/authors&gt;&lt;/contributors&gt;&lt;titles&gt;&lt;title&gt;Methods for the economic evaluation of health care programmes&lt;/title&gt;&lt;/titles&gt;&lt;dates&gt;&lt;year&gt;2015&lt;/year&gt;&lt;/dates&gt;&lt;publisher&gt;Oxford university press&lt;/publisher&gt;&lt;isbn&gt;0191643580&lt;/isbn&gt;&lt;urls&gt;&lt;/urls&gt;&lt;/record&gt;&lt;/Cite&gt;&lt;/EndNote&gt;</w:instrText>
      </w:r>
      <w:r w:rsidRPr="004C78D8">
        <w:fldChar w:fldCharType="separate"/>
      </w:r>
      <w:r w:rsidR="00513646" w:rsidRPr="004C78D8">
        <w:rPr>
          <w:noProof/>
        </w:rPr>
        <w:t>[145]</w:t>
      </w:r>
      <w:r w:rsidRPr="004C78D8">
        <w:fldChar w:fldCharType="end"/>
      </w:r>
      <w:r w:rsidRPr="004C78D8">
        <w:t xml:space="preserve">. </w:t>
      </w:r>
      <w:r w:rsidR="00E624EA" w:rsidRPr="004C78D8">
        <w:t>Another</w:t>
      </w:r>
      <w:r w:rsidR="002A12F2" w:rsidRPr="004C78D8">
        <w:t xml:space="preserve"> approach is to conduct constrained optimisation given a pre-specified budget constraint </w:t>
      </w:r>
      <w:r w:rsidR="002A12F2" w:rsidRPr="004C78D8">
        <w:fldChar w:fldCharType="begin"/>
      </w:r>
      <w:r w:rsidR="00BB47BA" w:rsidRPr="004C78D8">
        <w:instrText xml:space="preserve"> ADDIN EN.CITE &lt;EndNote&gt;&lt;Cite&gt;&lt;Author&gt;Crown&lt;/Author&gt;&lt;Year&gt;2017&lt;/Year&gt;&lt;RecNum&gt;487&lt;/RecNum&gt;&lt;DisplayText&gt;[172]&lt;/DisplayText&gt;&lt;record&gt;&lt;rec-number&gt;487&lt;/rec-number&gt;&lt;foreign-keys&gt;&lt;key app="EN" db-id="tdtrdw9aepptzbefsat599syza29sxsd2wsp" timestamp="1616693175"&gt;487&lt;/key&gt;&lt;/foreign-keys&gt;&lt;ref-type name="Journal Article"&gt;17&lt;/ref-type&gt;&lt;contributors&gt;&lt;authors&gt;&lt;author&gt;Crown, William&lt;/author&gt;&lt;author&gt;Buyukkaramikli, Nasuh&lt;/author&gt;&lt;author&gt;Thokala, Praveen&lt;/author&gt;&lt;author&gt;Morton, Alec&lt;/author&gt;&lt;author&gt;Sir, Mustafa Y&lt;/author&gt;&lt;author&gt;Marshall, Deborah A&lt;/author&gt;&lt;author&gt;Tosh, Jon&lt;/author&gt;&lt;author&gt;Padula, William V&lt;/author&gt;&lt;author&gt;Ijzerman, Maarten J&lt;/author&gt;&lt;author&gt;Wong, Peter K&lt;/author&gt;&lt;/authors&gt;&lt;/contributors&gt;&lt;titles&gt;&lt;title&gt;Constrained optimization methods in health services research—an introduction: report 1 of the ISPOR optimization methods emerging good practices task force&lt;/title&gt;&lt;secondary-title&gt;Value in health&lt;/secondary-title&gt;&lt;/titles&gt;&lt;periodical&gt;&lt;full-title&gt;Value in Health&lt;/full-title&gt;&lt;/periodical&gt;&lt;pages&gt;310-319&lt;/pages&gt;&lt;volume&gt;20&lt;/volume&gt;&lt;number&gt;3&lt;/number&gt;&lt;dates&gt;&lt;year&gt;2017&lt;/year&gt;&lt;/dates&gt;&lt;isbn&gt;1098-3015&lt;/isbn&gt;&lt;urls&gt;&lt;/urls&gt;&lt;/record&gt;&lt;/Cite&gt;&lt;/EndNote&gt;</w:instrText>
      </w:r>
      <w:r w:rsidR="002A12F2" w:rsidRPr="004C78D8">
        <w:fldChar w:fldCharType="separate"/>
      </w:r>
      <w:r w:rsidR="00BB47BA" w:rsidRPr="004C78D8">
        <w:rPr>
          <w:noProof/>
        </w:rPr>
        <w:t>[172]</w:t>
      </w:r>
      <w:r w:rsidR="002A12F2" w:rsidRPr="004C78D8">
        <w:fldChar w:fldCharType="end"/>
      </w:r>
      <w:r w:rsidR="002A12F2" w:rsidRPr="004C78D8">
        <w:t xml:space="preserve">, </w:t>
      </w:r>
      <w:r w:rsidR="00E624EA" w:rsidRPr="004C78D8">
        <w:t xml:space="preserve">although </w:t>
      </w:r>
      <w:r w:rsidR="002A12F2" w:rsidRPr="004C78D8">
        <w:t xml:space="preserve">this requires an exhaustive simulation of all intervention permutations under different implementation levels. </w:t>
      </w:r>
      <w:r w:rsidR="00B83DC2" w:rsidRPr="004C78D8">
        <w:t xml:space="preserve">Incidentally, the discount rates had a large effect on aggregate INMBs (Table </w:t>
      </w:r>
      <w:r w:rsidR="00E624EA" w:rsidRPr="004C78D8">
        <w:t>F14</w:t>
      </w:r>
      <w:r w:rsidR="00B83DC2" w:rsidRPr="004C78D8">
        <w:t xml:space="preserve">). Further research is thus warranted on the process </w:t>
      </w:r>
      <w:r w:rsidR="002A12F2" w:rsidRPr="004C78D8">
        <w:t>of verifying whether</w:t>
      </w:r>
      <w:r w:rsidR="00B83DC2" w:rsidRPr="004C78D8">
        <w:t xml:space="preserve"> the NICE-recommended discount rates are applicable to the decision-making setting. </w:t>
      </w:r>
    </w:p>
    <w:p w14:paraId="1D0E4673" w14:textId="43DE0F71" w:rsidR="00D74282" w:rsidRPr="004C78D8" w:rsidRDefault="00F860DB" w:rsidP="00FB7C1F">
      <w:r w:rsidRPr="004C78D8">
        <w:t xml:space="preserve">Finally, future models could explore ways in which measures of community empowerment are incorporated in </w:t>
      </w:r>
      <w:r w:rsidR="00FB0C00" w:rsidRPr="004C78D8">
        <w:t xml:space="preserve">geriatric public health evaluations and </w:t>
      </w:r>
      <w:r w:rsidRPr="004C78D8">
        <w:t>intervention strategy comparisons. This would address the</w:t>
      </w:r>
      <w:r w:rsidR="00D74282" w:rsidRPr="004C78D8">
        <w:t xml:space="preserve"> criticism that the aggregation of individuals’ health </w:t>
      </w:r>
      <w:r w:rsidRPr="004C78D8">
        <w:t>(</w:t>
      </w:r>
      <w:r w:rsidR="00D74282" w:rsidRPr="004C78D8">
        <w:t>and wellbeing</w:t>
      </w:r>
      <w:r w:rsidRPr="004C78D8">
        <w:t>)</w:t>
      </w:r>
      <w:r w:rsidR="00D74282" w:rsidRPr="004C78D8">
        <w:t xml:space="preserve"> outcomes </w:t>
      </w:r>
      <w:r w:rsidRPr="004C78D8">
        <w:t xml:space="preserve">under CUA </w:t>
      </w:r>
      <w:r w:rsidR="00D74282" w:rsidRPr="004C78D8">
        <w:t xml:space="preserve">does not fully capture the benefits that </w:t>
      </w:r>
      <w:r w:rsidRPr="004C78D8">
        <w:t xml:space="preserve">chiefly </w:t>
      </w:r>
      <w:r w:rsidR="00D74282" w:rsidRPr="004C78D8">
        <w:t xml:space="preserve">accrue to the community in various forms such as stronger community institutions and cohesion </w:t>
      </w:r>
      <w:r w:rsidR="00D74282" w:rsidRPr="004C78D8">
        <w:fldChar w:fldCharType="begin">
          <w:fldData xml:space="preserve">PEVuZE5vdGU+PENpdGU+PEF1dGhvcj5TaGllbGw8L0F1dGhvcj48WWVhcj4xOTk2PC9ZZWFyPjxS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</w:fldData>
        </w:fldChar>
      </w:r>
      <w:r w:rsidR="00C630FC" w:rsidRPr="004C78D8">
        <w:instrText xml:space="preserve"> ADDIN EN.CITE </w:instrText>
      </w:r>
      <w:r w:rsidR="00C630FC" w:rsidRPr="004C78D8">
        <w:fldChar w:fldCharType="begin">
          <w:fldData xml:space="preserve">PEVuZE5vdGU+PENpdGU+PEF1dGhvcj5TaGllbGw8L0F1dGhvcj48WWVhcj4xOTk2PC9ZZWFyPjxS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</w:fldData>
        </w:fldChar>
      </w:r>
      <w:r w:rsidR="00C630FC" w:rsidRPr="004C78D8">
        <w:instrText xml:space="preserve"> ADDIN EN.CITE.DATA </w:instrText>
      </w:r>
      <w:r w:rsidR="00C630FC" w:rsidRPr="004C78D8">
        <w:fldChar w:fldCharType="end"/>
      </w:r>
      <w:r w:rsidR="00D74282" w:rsidRPr="004C78D8">
        <w:fldChar w:fldCharType="separate"/>
      </w:r>
      <w:r w:rsidR="00C630FC" w:rsidRPr="004C78D8">
        <w:rPr>
          <w:noProof/>
        </w:rPr>
        <w:t>[236-238]</w:t>
      </w:r>
      <w:r w:rsidR="00D74282" w:rsidRPr="004C78D8">
        <w:fldChar w:fldCharType="end"/>
      </w:r>
      <w:r w:rsidR="00D74282" w:rsidRPr="004C78D8">
        <w:t xml:space="preserve">. The value judgement that </w:t>
      </w:r>
      <w:r w:rsidR="00D74282" w:rsidRPr="004C78D8">
        <w:rPr>
          <w:i/>
          <w:iCs/>
        </w:rPr>
        <w:t>social</w:t>
      </w:r>
      <w:r w:rsidR="00D74282" w:rsidRPr="004C78D8">
        <w:t xml:space="preserve"> welfare can be measured by the aggregation of </w:t>
      </w:r>
      <w:r w:rsidR="00D74282" w:rsidRPr="004C78D8">
        <w:rPr>
          <w:i/>
          <w:iCs/>
        </w:rPr>
        <w:t>individual</w:t>
      </w:r>
      <w:r w:rsidR="00D74282" w:rsidRPr="004C78D8">
        <w:t xml:space="preserve"> welfare is a key principle of Welfarism but not necessarily of Extra-Welfarism where diverse maximands beyond individual utility can be chosen </w:t>
      </w:r>
      <w:r w:rsidR="00D74282" w:rsidRPr="004C78D8">
        <w:fldChar w:fldCharType="begin"/>
      </w:r>
      <w:r w:rsidR="00513646" w:rsidRPr="004C78D8">
        <w:instrText xml:space="preserve"> ADDIN EN.CITE &lt;EndNote&gt;&lt;Cite&gt;&lt;Author&gt;Birch&lt;/Author&gt;&lt;Year&gt;2003&lt;/Year&gt;&lt;RecNum&gt;509&lt;/RecNum&gt;&lt;DisplayText&gt;[148]&lt;/DisplayText&gt;&lt;record&gt;&lt;rec-number&gt;509&lt;/rec-number&gt;&lt;foreign-keys&gt;&lt;key app="EN" db-id="tdtrdw9aepptzbefsat599syza29sxsd2wsp" timestamp="1617876124"&gt;509&lt;/key&gt;&lt;/foreign-keys&gt;&lt;ref-type name="Journal Article"&gt;17&lt;/ref-type&gt;&lt;contributors&gt;&lt;authors&gt;&lt;author&gt;Birch, Stephen&lt;/author&gt;&lt;author&gt;Donaldson, Cam&lt;/author&gt;&lt;/authors&gt;&lt;/contributors&gt;&lt;titles&gt;&lt;title&gt;Valuing the benefits and costs of health care programmes: where&amp;apos;s the ‘extra’in extra-welfarism?&lt;/title&gt;&lt;secondary-title&gt;Social science &amp;amp; medicine&lt;/secondary-title&gt;&lt;/titles&gt;&lt;periodical&gt;&lt;full-title&gt;Social science &amp;amp; medicine&lt;/full-title&gt;&lt;/periodical&gt;&lt;pages&gt;1121-1133&lt;/pages&gt;&lt;volume&gt;56&lt;/volume&gt;&lt;number&gt;5&lt;/number&gt;&lt;dates&gt;&lt;year&gt;2003&lt;/year&gt;&lt;/dates&gt;&lt;isbn&gt;0277-9536&lt;/isbn&gt;&lt;urls&gt;&lt;/urls&gt;&lt;/record&gt;&lt;/Cite&gt;&lt;/EndNote&gt;</w:instrText>
      </w:r>
      <w:r w:rsidR="00D74282" w:rsidRPr="004C78D8">
        <w:fldChar w:fldCharType="separate"/>
      </w:r>
      <w:r w:rsidR="00513646" w:rsidRPr="004C78D8">
        <w:rPr>
          <w:noProof/>
        </w:rPr>
        <w:t>[148]</w:t>
      </w:r>
      <w:r w:rsidR="00D74282" w:rsidRPr="004C78D8">
        <w:fldChar w:fldCharType="end"/>
      </w:r>
      <w:r w:rsidR="00D74282" w:rsidRPr="004C78D8">
        <w:t xml:space="preserve">. The current model </w:t>
      </w:r>
      <w:r w:rsidRPr="004C78D8">
        <w:t>tracked</w:t>
      </w:r>
      <w:r w:rsidR="00D74282" w:rsidRPr="004C78D8">
        <w:t xml:space="preserve"> the number of older persons participating in volunteering work and self-referred interventions</w:t>
      </w:r>
      <w:r w:rsidR="00FB0C00" w:rsidRPr="004C78D8">
        <w:t xml:space="preserve"> as a measure of empowerment. But further research should validate this and other measures, then use them consistently for all intervention strategies for a thorough comparison.</w:t>
      </w:r>
      <w:r w:rsidRPr="004C78D8">
        <w:t xml:space="preserve"> </w:t>
      </w:r>
    </w:p>
    <w:p w14:paraId="20B156B6" w14:textId="77777777" w:rsidR="006F5246" w:rsidRPr="004C78D8" w:rsidRDefault="006F5246" w:rsidP="00FB7C1F"/>
    <w:p w14:paraId="73BA9E60" w14:textId="661C8E3D" w:rsidR="00394FD4" w:rsidRPr="004C78D8" w:rsidRDefault="006D62A0" w:rsidP="00FB7C1F">
      <w:pPr>
        <w:pStyle w:val="Heading2"/>
      </w:pPr>
      <w:bookmarkStart w:id="240" w:name="_Toc93566903"/>
      <w:bookmarkStart w:id="241" w:name="_Toc111630822"/>
      <w:r w:rsidRPr="004C78D8">
        <w:t>7</w:t>
      </w:r>
      <w:r w:rsidR="001541A4" w:rsidRPr="004C78D8">
        <w:t>.</w:t>
      </w:r>
      <w:r w:rsidR="00074D2A" w:rsidRPr="004C78D8">
        <w:t>6</w:t>
      </w:r>
      <w:r w:rsidR="00394FD4" w:rsidRPr="004C78D8">
        <w:t xml:space="preserve"> Conclusion</w:t>
      </w:r>
      <w:bookmarkEnd w:id="240"/>
      <w:bookmarkEnd w:id="241"/>
    </w:p>
    <w:p w14:paraId="034200D2" w14:textId="35851909" w:rsidR="004269B0" w:rsidRPr="004C78D8" w:rsidRDefault="00780CD5" w:rsidP="00FB7C1F">
      <w:r w:rsidRPr="004C78D8">
        <w:t xml:space="preserve">This study met the research aim and objectives initially set out. </w:t>
      </w:r>
      <w:r w:rsidR="004269B0" w:rsidRPr="004C78D8">
        <w:t xml:space="preserve">A credible, validated economic model was developed to assess the performance of UK guideline-recommended community-based falls prevention in the representative local health economy of Sheffield. The recommended strategy was compared to the current practice and found to have high probability of being cost-effective at the commonly accepted cost-effectiveness thresholds (93.4% at £20,000 per QALY gained threshold). </w:t>
      </w:r>
      <w:r w:rsidR="0070670B" w:rsidRPr="004C78D8">
        <w:t>It also improved equity in terms of relative and absolute differences in net health benefit gain across SES quartiles. N</w:t>
      </w:r>
      <w:r w:rsidR="004269B0" w:rsidRPr="004C78D8">
        <w:t>evertheless</w:t>
      </w:r>
      <w:r w:rsidR="0070670B" w:rsidRPr="004C78D8">
        <w:t>, the recommended strategy</w:t>
      </w:r>
      <w:r w:rsidR="004269B0" w:rsidRPr="004C78D8">
        <w:t xml:space="preserve"> is unlikely to be the optimal commissioning option when compared to alternative intervention strategies</w:t>
      </w:r>
      <w:r w:rsidR="008A31B8" w:rsidRPr="004C78D8">
        <w:t xml:space="preserve"> potentially available to the local decision-maker</w:t>
      </w:r>
      <w:r w:rsidR="00943CD5" w:rsidRPr="004C78D8">
        <w:t xml:space="preserve">. It was found that the optimal strategy varied by the chosen </w:t>
      </w:r>
      <w:r w:rsidR="0070670B" w:rsidRPr="004C78D8">
        <w:t xml:space="preserve">decisional criteria </w:t>
      </w:r>
      <w:r w:rsidR="00943CD5" w:rsidRPr="004C78D8">
        <w:t>including</w:t>
      </w:r>
      <w:r w:rsidR="0070670B" w:rsidRPr="004C78D8">
        <w:t xml:space="preserve"> capacity implications</w:t>
      </w:r>
      <w:r w:rsidR="00943CD5" w:rsidRPr="004C78D8">
        <w:t>,</w:t>
      </w:r>
      <w:r w:rsidR="0070670B" w:rsidRPr="004C78D8">
        <w:t xml:space="preserve"> individual-level lifetime outcomes</w:t>
      </w:r>
      <w:r w:rsidR="00943CD5" w:rsidRPr="004C78D8">
        <w:t xml:space="preserve"> and joint efficiency-equity impact</w:t>
      </w:r>
      <w:r w:rsidR="0070670B" w:rsidRPr="004C78D8">
        <w:t>.</w:t>
      </w:r>
      <w:r w:rsidR="004269B0" w:rsidRPr="004C78D8">
        <w:t xml:space="preserve">  </w:t>
      </w:r>
    </w:p>
    <w:p w14:paraId="29038A1C" w14:textId="0E6204DF" w:rsidR="00DD4951" w:rsidRPr="004C78D8" w:rsidRDefault="00943CD5" w:rsidP="00FB7C1F">
      <w:r w:rsidRPr="004C78D8">
        <w:t>The conceptual modelling prospectively reduced the model’s structural uncertainty, while the systematic review (informed by the systematic overview) ensured that best modelling practices and data were incorporated in the final implemented model.</w:t>
      </w:r>
      <w:r w:rsidRPr="004C78D8">
        <w:t xml:space="preserve"> The conceptual model also motivated several methodological </w:t>
      </w:r>
      <w:r w:rsidR="008B7961" w:rsidRPr="004C78D8">
        <w:t>developments in modelling the key methodological challenges for public health economic modelling</w:t>
      </w:r>
      <w:r w:rsidRPr="004C78D8">
        <w:t xml:space="preserve"> such as the dynamic feedback loop between falls and frailty</w:t>
      </w:r>
      <w:r w:rsidR="008B7961" w:rsidRPr="004C78D8">
        <w:t xml:space="preserve">. Evaluation methods were </w:t>
      </w:r>
      <w:r w:rsidRPr="004C78D8">
        <w:t xml:space="preserve">likewise </w:t>
      </w:r>
      <w:r w:rsidR="008B7961" w:rsidRPr="004C78D8">
        <w:t xml:space="preserve">expanded beyond efficiency comparisons to </w:t>
      </w:r>
      <w:r w:rsidRPr="004C78D8">
        <w:t>address priority setting challenges</w:t>
      </w:r>
      <w:r w:rsidR="008B7961" w:rsidRPr="004C78D8">
        <w:t>.</w:t>
      </w:r>
      <w:r w:rsidRPr="004C78D8">
        <w:t xml:space="preserve"> </w:t>
      </w:r>
      <w:r w:rsidR="00DD4951" w:rsidRPr="004C78D8">
        <w:t>The model outcomes and commissioning recommendations are timely given the pending update to the NICE falls prevention guideline. Yet the key le</w:t>
      </w:r>
      <w:r w:rsidR="007077C8" w:rsidRPr="004C78D8">
        <w:t>sson</w:t>
      </w:r>
      <w:r w:rsidR="00DD4951" w:rsidRPr="004C78D8">
        <w:t xml:space="preserve">s from the model development and analysis should find wider applications </w:t>
      </w:r>
      <w:r w:rsidRPr="004C78D8">
        <w:t xml:space="preserve">in geriatric public health </w:t>
      </w:r>
      <w:r w:rsidR="00DD4951" w:rsidRPr="004C78D8">
        <w:t xml:space="preserve">beyond community-based falls prevention. </w:t>
      </w:r>
    </w:p>
    <w:p w14:paraId="790B9F08" w14:textId="7D07ED70" w:rsidR="00876D29" w:rsidRPr="004C78D8" w:rsidRDefault="00876D29" w:rsidP="00FB7C1F">
      <w:r w:rsidRPr="004C78D8">
        <w:t xml:space="preserve">Overall, the methods and results of this study are of relevance to consumers of economic evidence on community-based falls prevention – i.e., commissioners, falls prevention professionals, advocacy groups for older persons – and producers of </w:t>
      </w:r>
      <w:r w:rsidR="00FA5386" w:rsidRPr="004C78D8">
        <w:t xml:space="preserve">the </w:t>
      </w:r>
      <w:r w:rsidRPr="004C78D8">
        <w:t xml:space="preserve">said evidence on falls prevention </w:t>
      </w:r>
      <w:r w:rsidR="00FA5386" w:rsidRPr="004C78D8">
        <w:t>as well as</w:t>
      </w:r>
      <w:r w:rsidRPr="004C78D8">
        <w:t xml:space="preserve"> further geriatric public health interventions.</w:t>
      </w:r>
    </w:p>
    <w:p w14:paraId="342E9C5B" w14:textId="77777777" w:rsidR="001C75DA" w:rsidRPr="004C78D8" w:rsidRDefault="001C75DA" w:rsidP="00FB7C1F">
      <w:r w:rsidRPr="004C78D8">
        <w:br w:type="page"/>
      </w:r>
    </w:p>
    <w:p w14:paraId="067EE259" w14:textId="24BDB104" w:rsidR="001C75DA" w:rsidRPr="004C78D8" w:rsidRDefault="001C75DA" w:rsidP="00FB7C1F">
      <w:pPr>
        <w:pStyle w:val="Heading1"/>
      </w:pPr>
      <w:bookmarkStart w:id="242" w:name="_Toc93566904"/>
      <w:bookmarkStart w:id="243" w:name="_Toc111630823"/>
      <w:r w:rsidRPr="004C78D8">
        <w:t>References</w:t>
      </w:r>
      <w:bookmarkEnd w:id="242"/>
      <w:bookmarkEnd w:id="243"/>
    </w:p>
    <w:p w14:paraId="2E1E1FA0" w14:textId="77777777" w:rsidR="00330E1E" w:rsidRPr="00330E1E" w:rsidRDefault="00193D11" w:rsidP="00330E1E">
      <w:pPr>
        <w:pStyle w:val="EndNoteBibliography"/>
        <w:spacing w:after="0"/>
      </w:pPr>
      <w:r w:rsidRPr="004C78D8">
        <w:fldChar w:fldCharType="begin"/>
      </w:r>
      <w:r w:rsidRPr="004C78D8">
        <w:instrText xml:space="preserve"> ADDIN EN.REFLIST </w:instrText>
      </w:r>
      <w:r w:rsidRPr="004C78D8">
        <w:fldChar w:fldCharType="separate"/>
      </w:r>
      <w:r w:rsidR="00330E1E" w:rsidRPr="00330E1E">
        <w:t>1.</w:t>
      </w:r>
      <w:r w:rsidR="00330E1E" w:rsidRPr="00330E1E">
        <w:tab/>
        <w:t>Squires H, Chilcott J, Akehurst R, Burr J, Kelly MP. A framework for developing the structure of public health economic models. Value in Health. 2016;19(5):588-601.</w:t>
      </w:r>
    </w:p>
    <w:p w14:paraId="0A1B2C6C" w14:textId="77777777" w:rsidR="00330E1E" w:rsidRPr="00330E1E" w:rsidRDefault="00330E1E" w:rsidP="00330E1E">
      <w:pPr>
        <w:pStyle w:val="EndNoteBibliography"/>
        <w:spacing w:after="0"/>
      </w:pPr>
      <w:r w:rsidRPr="00330E1E">
        <w:t>2.</w:t>
      </w:r>
      <w:r w:rsidRPr="00330E1E">
        <w:tab/>
        <w:t>World Health Organization. World Report on Ageing and Health: World Health Organization; 2015.</w:t>
      </w:r>
    </w:p>
    <w:p w14:paraId="0F6010AD" w14:textId="77777777" w:rsidR="00330E1E" w:rsidRPr="00330E1E" w:rsidRDefault="00330E1E" w:rsidP="00330E1E">
      <w:pPr>
        <w:pStyle w:val="EndNoteBibliography"/>
        <w:spacing w:after="0"/>
      </w:pPr>
      <w:r w:rsidRPr="00330E1E">
        <w:t>3.</w:t>
      </w:r>
      <w:r w:rsidRPr="00330E1E">
        <w:tab/>
        <w:t>Kirkwood TB. A systematic look at an old problem. Nature. 2008;451(7179):644-7.</w:t>
      </w:r>
    </w:p>
    <w:p w14:paraId="139D8790" w14:textId="77777777" w:rsidR="00330E1E" w:rsidRPr="00330E1E" w:rsidRDefault="00330E1E" w:rsidP="00330E1E">
      <w:pPr>
        <w:pStyle w:val="EndNoteBibliography"/>
        <w:spacing w:after="0"/>
      </w:pPr>
      <w:r w:rsidRPr="00330E1E">
        <w:t>4.</w:t>
      </w:r>
      <w:r w:rsidRPr="00330E1E">
        <w:tab/>
        <w:t>Baltes PB, Lindenberger U. Emergence of a powerful connection between sensory and cognitive functions across the adult life span: a new window to the study of cognitive aging? Psychology and aging. 1997;12(1):12.</w:t>
      </w:r>
    </w:p>
    <w:p w14:paraId="4A239DF8" w14:textId="77777777" w:rsidR="00330E1E" w:rsidRPr="00330E1E" w:rsidRDefault="00330E1E" w:rsidP="00330E1E">
      <w:pPr>
        <w:pStyle w:val="EndNoteBibliography"/>
        <w:spacing w:after="0"/>
      </w:pPr>
      <w:r w:rsidRPr="00330E1E">
        <w:t>5.</w:t>
      </w:r>
      <w:r w:rsidRPr="00330E1E">
        <w:tab/>
        <w:t>Cruz-Jentoft AJ, Baeyens JP, Bauer JM, Boirie Y, Cederholm T, Landi F, et al. Sarcopenia: European consensus on definition and diagnosis - Report of the European Working Group on Sarcopenia in Older People. Age and ageing. 2010;39(4):412-23.</w:t>
      </w:r>
    </w:p>
    <w:p w14:paraId="0B820BF3" w14:textId="77777777" w:rsidR="00330E1E" w:rsidRPr="00330E1E" w:rsidRDefault="00330E1E" w:rsidP="00330E1E">
      <w:pPr>
        <w:pStyle w:val="EndNoteBibliography"/>
        <w:spacing w:after="0"/>
      </w:pPr>
      <w:r w:rsidRPr="00330E1E">
        <w:t>6.</w:t>
      </w:r>
      <w:r w:rsidRPr="00330E1E">
        <w:tab/>
        <w:t>Studenski S, Perera S, Patel K, Rosano C, Faulkner K, Inzitari M, et al. Gait speed and survival in older adults. Jama. 2011;305(1):50-8.</w:t>
      </w:r>
    </w:p>
    <w:p w14:paraId="200B8872" w14:textId="77777777" w:rsidR="00330E1E" w:rsidRPr="00330E1E" w:rsidRDefault="00330E1E" w:rsidP="00330E1E">
      <w:pPr>
        <w:pStyle w:val="EndNoteBibliography"/>
        <w:spacing w:after="0"/>
      </w:pPr>
      <w:r w:rsidRPr="00330E1E">
        <w:t>7.</w:t>
      </w:r>
      <w:r w:rsidRPr="00330E1E">
        <w:tab/>
        <w:t>Roland M, Paddison C. Better management of patients with multimorbidity. BMJ. 2013;346:f2510. doi: 10.1136/bmj.f2510. PubMed PMID: 23641032.</w:t>
      </w:r>
    </w:p>
    <w:p w14:paraId="08036B87" w14:textId="77777777" w:rsidR="00330E1E" w:rsidRPr="00330E1E" w:rsidRDefault="00330E1E" w:rsidP="00330E1E">
      <w:pPr>
        <w:pStyle w:val="EndNoteBibliography"/>
        <w:spacing w:after="0"/>
      </w:pPr>
      <w:r w:rsidRPr="00330E1E">
        <w:t>8.</w:t>
      </w:r>
      <w:r w:rsidRPr="00330E1E">
        <w:tab/>
        <w:t>Lang PO, Govind S, Aspinall R. Reversing T cell immunosenescence: why, who, and how. Age. 2013;35(3):609-20.</w:t>
      </w:r>
    </w:p>
    <w:p w14:paraId="4902E5D3" w14:textId="77777777" w:rsidR="00330E1E" w:rsidRPr="00330E1E" w:rsidRDefault="00330E1E" w:rsidP="00330E1E">
      <w:pPr>
        <w:pStyle w:val="EndNoteBibliography"/>
        <w:spacing w:after="0"/>
      </w:pPr>
      <w:r w:rsidRPr="00330E1E">
        <w:t>9.</w:t>
      </w:r>
      <w:r w:rsidRPr="00330E1E">
        <w:tab/>
        <w:t>Byles J, Tavener M. Health of older people. Oxford Textbook of Global Public Health. 2015:1408-24.</w:t>
      </w:r>
    </w:p>
    <w:p w14:paraId="63A22D23" w14:textId="77777777" w:rsidR="00330E1E" w:rsidRPr="00330E1E" w:rsidRDefault="00330E1E" w:rsidP="00330E1E">
      <w:pPr>
        <w:pStyle w:val="EndNoteBibliography"/>
        <w:spacing w:after="0"/>
      </w:pPr>
      <w:r w:rsidRPr="00330E1E">
        <w:t>10.</w:t>
      </w:r>
      <w:r w:rsidRPr="00330E1E">
        <w:tab/>
        <w:t>Marmot M. The Health Gap: The Challenge of an Unequal World: Bloomsbury Paperbacks; 2015.</w:t>
      </w:r>
    </w:p>
    <w:p w14:paraId="0C30C587" w14:textId="77777777" w:rsidR="00330E1E" w:rsidRPr="00330E1E" w:rsidRDefault="00330E1E" w:rsidP="00330E1E">
      <w:pPr>
        <w:pStyle w:val="EndNoteBibliography"/>
        <w:spacing w:after="0"/>
      </w:pPr>
      <w:r w:rsidRPr="00330E1E">
        <w:t>11.</w:t>
      </w:r>
      <w:r w:rsidRPr="00330E1E">
        <w:tab/>
        <w:t>Dugarova E. Ageing, Older Persons and the 2030 Agenda for Sustainable Development. United Nations Development Programme; New York. 2017.</w:t>
      </w:r>
    </w:p>
    <w:p w14:paraId="6B76DCD6" w14:textId="77777777" w:rsidR="00330E1E" w:rsidRPr="00330E1E" w:rsidRDefault="00330E1E" w:rsidP="00330E1E">
      <w:pPr>
        <w:pStyle w:val="EndNoteBibliography"/>
        <w:spacing w:after="0"/>
      </w:pPr>
      <w:r w:rsidRPr="00330E1E">
        <w:t>12.</w:t>
      </w:r>
      <w:r w:rsidRPr="00330E1E">
        <w:tab/>
        <w:t>Office for National Statistics. Living longer: Is age 70 the new age 65? 2019.</w:t>
      </w:r>
    </w:p>
    <w:p w14:paraId="34791B22" w14:textId="77777777" w:rsidR="00330E1E" w:rsidRPr="00330E1E" w:rsidRDefault="00330E1E" w:rsidP="00330E1E">
      <w:pPr>
        <w:pStyle w:val="EndNoteBibliography"/>
        <w:spacing w:after="0"/>
      </w:pPr>
      <w:r w:rsidRPr="00330E1E">
        <w:t>13.</w:t>
      </w:r>
      <w:r w:rsidRPr="00330E1E">
        <w:tab/>
        <w:t>National Institute for Health and Care Excellence. Falls in older people: assessing risk and prevention. National Institute for Health and Care Excellence. 2013;Clinical Guideline 161(nice.org.uk/guidance/cg161).</w:t>
      </w:r>
    </w:p>
    <w:p w14:paraId="763FC669" w14:textId="77777777" w:rsidR="00330E1E" w:rsidRPr="00330E1E" w:rsidRDefault="00330E1E" w:rsidP="00330E1E">
      <w:pPr>
        <w:pStyle w:val="EndNoteBibliography"/>
        <w:spacing w:after="0"/>
      </w:pPr>
      <w:r w:rsidRPr="00330E1E">
        <w:t>14.</w:t>
      </w:r>
      <w:r w:rsidRPr="00330E1E">
        <w:tab/>
        <w:t>Barnett K, Mercer SW, Norbury M, Watt G, Wyke S, Guthrie B. Epidemiology of multimorbidity and implications for health care, research, and medical education: a cross-sectional study. The Lancet. 2012;380(9836):37-43.</w:t>
      </w:r>
    </w:p>
    <w:p w14:paraId="5DD2DF9A" w14:textId="77777777" w:rsidR="00330E1E" w:rsidRPr="00330E1E" w:rsidRDefault="00330E1E" w:rsidP="00330E1E">
      <w:pPr>
        <w:pStyle w:val="EndNoteBibliography"/>
        <w:spacing w:after="0"/>
      </w:pPr>
      <w:r w:rsidRPr="00330E1E">
        <w:t>15.</w:t>
      </w:r>
      <w:r w:rsidRPr="00330E1E">
        <w:tab/>
        <w:t>Commission on Social Determinants of Health. Closing the gap in a generation: health equity through action on the social determinants of health: final report of the commission on social determinants of health. 2008.</w:t>
      </w:r>
    </w:p>
    <w:p w14:paraId="71B7B1CF" w14:textId="77777777" w:rsidR="00330E1E" w:rsidRPr="00330E1E" w:rsidRDefault="00330E1E" w:rsidP="00330E1E">
      <w:pPr>
        <w:pStyle w:val="EndNoteBibliography"/>
        <w:spacing w:after="0"/>
      </w:pPr>
      <w:r w:rsidRPr="00330E1E">
        <w:t>16.</w:t>
      </w:r>
      <w:r w:rsidRPr="00330E1E">
        <w:tab/>
        <w:t>Marengoni A, Angleman S, Melis R, Mangialasche F, Karp A, Garmen A, et al. Aging with multimorbidity: a systematic review of the literature. Ageing research reviews. 2011;10(4):430-9.</w:t>
      </w:r>
    </w:p>
    <w:p w14:paraId="6E291FC0" w14:textId="77777777" w:rsidR="00330E1E" w:rsidRPr="00330E1E" w:rsidRDefault="00330E1E" w:rsidP="00330E1E">
      <w:pPr>
        <w:pStyle w:val="EndNoteBibliography"/>
        <w:spacing w:after="0"/>
      </w:pPr>
      <w:r w:rsidRPr="00330E1E">
        <w:t>17.</w:t>
      </w:r>
      <w:r w:rsidRPr="00330E1E">
        <w:tab/>
        <w:t>Uijen AA, van de Lisdonk EH. Multimorbidity in primary care: prevalence and trend over the last 20 years. The European journal of general practice. 2008;14(sup1):28-32.</w:t>
      </w:r>
    </w:p>
    <w:p w14:paraId="7DBC081E" w14:textId="77777777" w:rsidR="00330E1E" w:rsidRPr="00330E1E" w:rsidRDefault="00330E1E" w:rsidP="00330E1E">
      <w:pPr>
        <w:pStyle w:val="EndNoteBibliography"/>
        <w:spacing w:after="0"/>
      </w:pPr>
      <w:r w:rsidRPr="00330E1E">
        <w:t>18.</w:t>
      </w:r>
      <w:r w:rsidRPr="00330E1E">
        <w:tab/>
        <w:t>Squires H, Chilcott J, Akehurst R, Burr J, Kelly MP. A systematic literature review of the key challenges for developing the structure of public health economic models. International journal of public health. 2016;61(3):289-98.</w:t>
      </w:r>
    </w:p>
    <w:p w14:paraId="0BB00432" w14:textId="77777777" w:rsidR="00330E1E" w:rsidRPr="00330E1E" w:rsidRDefault="00330E1E" w:rsidP="00330E1E">
      <w:pPr>
        <w:pStyle w:val="EndNoteBibliography"/>
        <w:spacing w:after="0"/>
      </w:pPr>
      <w:r w:rsidRPr="00330E1E">
        <w:t>19.</w:t>
      </w:r>
      <w:r w:rsidRPr="00330E1E">
        <w:tab/>
        <w:t>Inouye SK, Studenski S, Tinetti ME, Kuchel GA. Geriatric Syndromes: Clinical, Research, and Policy Implications of a Core Geriatric Concept. Journal of the American Geriatrics Society. 2007;55(5):780-91.</w:t>
      </w:r>
    </w:p>
    <w:p w14:paraId="17400BEA" w14:textId="77777777" w:rsidR="00330E1E" w:rsidRPr="00330E1E" w:rsidRDefault="00330E1E" w:rsidP="00330E1E">
      <w:pPr>
        <w:pStyle w:val="EndNoteBibliography"/>
        <w:spacing w:after="0"/>
      </w:pPr>
      <w:r w:rsidRPr="00330E1E">
        <w:t>20.</w:t>
      </w:r>
      <w:r w:rsidRPr="00330E1E">
        <w:tab/>
        <w:t>Fried LP, Ferrucci L, Darer J, Williamson JD, Anderson G. Untangling the concepts of disability, frailty, and comorbidity: implications for improved targeting and care. The Journals of Gerontology Series A: Biological Sciences and Medical Sciences. 2004;59(3):M255-M63.</w:t>
      </w:r>
    </w:p>
    <w:p w14:paraId="50556517" w14:textId="77777777" w:rsidR="00330E1E" w:rsidRPr="00330E1E" w:rsidRDefault="00330E1E" w:rsidP="00330E1E">
      <w:pPr>
        <w:pStyle w:val="EndNoteBibliography"/>
        <w:spacing w:after="0"/>
      </w:pPr>
      <w:r w:rsidRPr="00330E1E">
        <w:t>21.</w:t>
      </w:r>
      <w:r w:rsidRPr="00330E1E">
        <w:tab/>
        <w:t>Tinetti ME, Inouye SK, Gill TM, Doucette JT. Shared risk factors for falls, incontinence, and functional dependence: unifying the approach to geriatric syndromes. Jama. 1995;273(17):1348-53.</w:t>
      </w:r>
    </w:p>
    <w:p w14:paraId="066FD6FA" w14:textId="77777777" w:rsidR="00330E1E" w:rsidRPr="00330E1E" w:rsidRDefault="00330E1E" w:rsidP="00330E1E">
      <w:pPr>
        <w:pStyle w:val="EndNoteBibliography"/>
        <w:spacing w:after="0"/>
      </w:pPr>
      <w:r w:rsidRPr="00330E1E">
        <w:t>22.</w:t>
      </w:r>
      <w:r w:rsidRPr="00330E1E">
        <w:tab/>
        <w:t>Tinetti ME, Gordon C, Sogolow E, Lapin P, Bradley EH. Fall-risk evaluation and management: challenges in adopting geriatric care practices. The Gerontologist. 2006;46(6):717-25.</w:t>
      </w:r>
    </w:p>
    <w:p w14:paraId="34DB4A2A" w14:textId="77777777" w:rsidR="00330E1E" w:rsidRPr="00330E1E" w:rsidRDefault="00330E1E" w:rsidP="00330E1E">
      <w:pPr>
        <w:pStyle w:val="EndNoteBibliography"/>
        <w:spacing w:after="0"/>
      </w:pPr>
      <w:r w:rsidRPr="00330E1E">
        <w:t>23.</w:t>
      </w:r>
      <w:r w:rsidRPr="00330E1E">
        <w:tab/>
        <w:t>Ellis G, Whitehead MA, Robinson D, O’Neill D, Langhorne P. Comprehensive geriatric assessment for older adults admitted to hospital: meta-analysis of randomised controlled trials. Bmj. 2011;343:d6553.</w:t>
      </w:r>
    </w:p>
    <w:p w14:paraId="2B651B80" w14:textId="77777777" w:rsidR="00330E1E" w:rsidRPr="00330E1E" w:rsidRDefault="00330E1E" w:rsidP="00330E1E">
      <w:pPr>
        <w:pStyle w:val="EndNoteBibliography"/>
        <w:spacing w:after="0"/>
      </w:pPr>
      <w:r w:rsidRPr="00330E1E">
        <w:t>24.</w:t>
      </w:r>
      <w:r w:rsidRPr="00330E1E">
        <w:tab/>
        <w:t>Lamb SE, Jørstad‐Stein EC, Hauer K, Becker C, Europe PoFN, Group OC. Development of a common outcome data set for fall injury prevention trials: the Prevention of Falls Network Europe consensus. Journal of the American Geriatrics Society. 2005;53(9):1618-22.</w:t>
      </w:r>
    </w:p>
    <w:p w14:paraId="3B4B2923" w14:textId="77777777" w:rsidR="00330E1E" w:rsidRPr="00330E1E" w:rsidRDefault="00330E1E" w:rsidP="00330E1E">
      <w:pPr>
        <w:pStyle w:val="EndNoteBibliography"/>
        <w:spacing w:after="0"/>
      </w:pPr>
      <w:r w:rsidRPr="00330E1E">
        <w:t>25.</w:t>
      </w:r>
      <w:r w:rsidRPr="00330E1E">
        <w:tab/>
        <w:t>Conroy S, Kendrick D, Harwood R, Gladman J, Coupland C, Sach T, et al. A multicentre randomised controlled trial of day hospital-based falls prevention programme for a screened population of community-dwelling older people at high risk of falls. Age and Ageing. 2010;39(6):704-10.</w:t>
      </w:r>
    </w:p>
    <w:p w14:paraId="22DCE017" w14:textId="77777777" w:rsidR="00330E1E" w:rsidRPr="00330E1E" w:rsidRDefault="00330E1E" w:rsidP="00330E1E">
      <w:pPr>
        <w:pStyle w:val="EndNoteBibliography"/>
        <w:spacing w:after="0"/>
      </w:pPr>
      <w:r w:rsidRPr="00330E1E">
        <w:t>26.</w:t>
      </w:r>
      <w:r w:rsidRPr="00330E1E">
        <w:tab/>
        <w:t>Campbell AJ, Borrie MJ, Spears GF, Jackson SL, Brown JS, Fitzgerald JL. Circumstances and consequences of falls experienced by a community population 70 years and over during a prospective study. Age Ageing. 1990;19(2):136-41. PubMed PMID: 2337010.</w:t>
      </w:r>
    </w:p>
    <w:p w14:paraId="1A4BD0A9" w14:textId="77777777" w:rsidR="00330E1E" w:rsidRPr="00330E1E" w:rsidRDefault="00330E1E" w:rsidP="00330E1E">
      <w:pPr>
        <w:pStyle w:val="EndNoteBibliography"/>
        <w:spacing w:after="0"/>
      </w:pPr>
      <w:r w:rsidRPr="00330E1E">
        <w:t>27.</w:t>
      </w:r>
      <w:r w:rsidRPr="00330E1E">
        <w:tab/>
        <w:t>Tinetti ME. Preventing falls in elderly persons. New England Journal of Medicine. 2003;348(1):42-9.</w:t>
      </w:r>
    </w:p>
    <w:p w14:paraId="6EB30FBF" w14:textId="77777777" w:rsidR="00330E1E" w:rsidRPr="00330E1E" w:rsidRDefault="00330E1E" w:rsidP="00330E1E">
      <w:pPr>
        <w:pStyle w:val="EndNoteBibliography"/>
        <w:spacing w:after="0"/>
      </w:pPr>
      <w:r w:rsidRPr="00330E1E">
        <w:t>28.</w:t>
      </w:r>
      <w:r w:rsidRPr="00330E1E">
        <w:tab/>
        <w:t>James SL, Lucchesi LR, Bisignano C, Castle CD, Dingels ZV, Fox JT, et al. The global burden of falls: global, regional and national estimates of morbidity and mortality from the Global Burden of Disease Study 2017. Injury Prevention. 2020.</w:t>
      </w:r>
    </w:p>
    <w:p w14:paraId="447A9448" w14:textId="08837722" w:rsidR="00330E1E" w:rsidRPr="00330E1E" w:rsidRDefault="00330E1E" w:rsidP="00330E1E">
      <w:pPr>
        <w:pStyle w:val="EndNoteBibliography"/>
        <w:spacing w:after="0"/>
      </w:pPr>
      <w:r w:rsidRPr="00330E1E">
        <w:t>29.</w:t>
      </w:r>
      <w:r w:rsidRPr="00330E1E">
        <w:tab/>
        <w:t xml:space="preserve">Gottschalk S, Konig H-H, Schwenk M, Jansen C-P, Nerz C, Becker C, et al. Mediating factors on the association between fear of falling and health-related quality of life in community-dwelling German older people: a cross-sectional study. BMC geriatrics. 2020;20(1):401. doi: </w:t>
      </w:r>
      <w:hyperlink r:id="rId31" w:history="1">
        <w:r w:rsidRPr="00330E1E">
          <w:rPr>
            <w:rStyle w:val="Hyperlink"/>
          </w:rPr>
          <w:t>https://dx.doi.org/10.1186/s12877-020-01802-6</w:t>
        </w:r>
      </w:hyperlink>
      <w:r w:rsidRPr="00330E1E">
        <w:t>.</w:t>
      </w:r>
    </w:p>
    <w:p w14:paraId="26AD1675" w14:textId="77777777" w:rsidR="00330E1E" w:rsidRPr="00330E1E" w:rsidRDefault="00330E1E" w:rsidP="00330E1E">
      <w:pPr>
        <w:pStyle w:val="EndNoteBibliography"/>
        <w:spacing w:after="0"/>
      </w:pPr>
      <w:r w:rsidRPr="00330E1E">
        <w:t>30.</w:t>
      </w:r>
      <w:r w:rsidRPr="00330E1E">
        <w:tab/>
        <w:t>Iglesias CP, Manca A, Torgerson DJ. The health-related quality of life and cost implications of falls in elderly women. Osteoporosis international : a journal established as result of cooperation between the European Foundation for Osteoporosis and the National Osteoporosis Foundation of the USA. 2009;20(6):869-78. doi: 10.1007/s00198-008-0753-5. PubMed PMID: 18846400.</w:t>
      </w:r>
    </w:p>
    <w:p w14:paraId="3BE899B6" w14:textId="77777777" w:rsidR="00330E1E" w:rsidRPr="00330E1E" w:rsidRDefault="00330E1E" w:rsidP="00330E1E">
      <w:pPr>
        <w:pStyle w:val="EndNoteBibliography"/>
        <w:spacing w:after="0"/>
      </w:pPr>
      <w:r w:rsidRPr="00330E1E">
        <w:t>31.</w:t>
      </w:r>
      <w:r w:rsidRPr="00330E1E">
        <w:tab/>
        <w:t>Zijlstra G, Van Haastregt J, Van Eijk JTM, van Rossum E, Stalenhoef PA, Kempen GI. Prevalence and correlates of fear of falling, and associated avoidance of activity in the general population of community-living older people. Age and ageing. 2007;36(3):304-9.</w:t>
      </w:r>
    </w:p>
    <w:p w14:paraId="15C723F3" w14:textId="2EC49B5D" w:rsidR="00330E1E" w:rsidRPr="00330E1E" w:rsidRDefault="00330E1E" w:rsidP="00330E1E">
      <w:pPr>
        <w:pStyle w:val="EndNoteBibliography"/>
        <w:spacing w:after="0"/>
      </w:pPr>
      <w:r w:rsidRPr="00330E1E">
        <w:t>32.</w:t>
      </w:r>
      <w:r w:rsidRPr="00330E1E">
        <w:tab/>
        <w:t xml:space="preserve">Kim JH. Experiences of falling and depression: Results from the Korean Longitudinal Study of Ageing. Journal of Affective Disorders. 2021;281:174-82. doi: </w:t>
      </w:r>
      <w:hyperlink r:id="rId32" w:history="1">
        <w:r w:rsidRPr="00330E1E">
          <w:rPr>
            <w:rStyle w:val="Hyperlink"/>
          </w:rPr>
          <w:t>http://dx.doi.org/10.1016/j.jad.2020.12.026</w:t>
        </w:r>
      </w:hyperlink>
      <w:r w:rsidRPr="00330E1E">
        <w:t>.</w:t>
      </w:r>
    </w:p>
    <w:p w14:paraId="5D0B58E1" w14:textId="77777777" w:rsidR="00330E1E" w:rsidRPr="00330E1E" w:rsidRDefault="00330E1E" w:rsidP="00330E1E">
      <w:pPr>
        <w:pStyle w:val="EndNoteBibliography"/>
        <w:spacing w:after="0"/>
      </w:pPr>
      <w:r w:rsidRPr="00330E1E">
        <w:t>33.</w:t>
      </w:r>
      <w:r w:rsidRPr="00330E1E">
        <w:tab/>
        <w:t>Sekaran NK, Choi H, Hayward RA, Langa KM. Fall-associated difficulty with activities of daily living in functionally independent individuals aged 65 to 69 in the United States: a cohort study. J Am Geriatr Soc. 2013;61(1):96-100. doi: 10.1111/jgs.12071. PubMed PMID: 23311555; PubMed Central PMCID: PMCPMC3807864.</w:t>
      </w:r>
    </w:p>
    <w:p w14:paraId="045982AF" w14:textId="77777777" w:rsidR="00330E1E" w:rsidRPr="00330E1E" w:rsidRDefault="00330E1E" w:rsidP="00330E1E">
      <w:pPr>
        <w:pStyle w:val="EndNoteBibliography"/>
        <w:spacing w:after="0"/>
      </w:pPr>
      <w:r w:rsidRPr="00330E1E">
        <w:t>34.</w:t>
      </w:r>
      <w:r w:rsidRPr="00330E1E">
        <w:tab/>
        <w:t>Hajek A, König HH. The onset of falls reduces perceived autonomy among middle aged and older adults. Results from a longitudinal nationally representative sample. Arch Gerontol Geriatr. 2020;90:104115. Epub 2020/06/04. doi: 10.1016/j.archger.2020.104115. PubMed PMID: 32492603.</w:t>
      </w:r>
    </w:p>
    <w:p w14:paraId="2FA26838" w14:textId="77777777" w:rsidR="00330E1E" w:rsidRPr="00330E1E" w:rsidRDefault="00330E1E" w:rsidP="00330E1E">
      <w:pPr>
        <w:pStyle w:val="EndNoteBibliography"/>
        <w:spacing w:after="0"/>
      </w:pPr>
      <w:r w:rsidRPr="00330E1E">
        <w:t>35.</w:t>
      </w:r>
      <w:r w:rsidRPr="00330E1E">
        <w:tab/>
        <w:t>Schulz C, Büchele G, Rehm M, Rothenbacher D, Roigk P, Rapp K, et al. Patient Characteristics as Indicator for Care Dependence after Hip Fracture: A Retrospective Cohort Study Using Health Insurance Claims Data From Germany. J Am Med Dir Assoc. 2019;20(4):451-5.e3. Epub 2018/11/19. doi: 10.1016/j.jamda.2018.09.029. PubMed PMID: 30448158.</w:t>
      </w:r>
    </w:p>
    <w:p w14:paraId="5759187D" w14:textId="4DDFD0E1" w:rsidR="00330E1E" w:rsidRPr="00330E1E" w:rsidRDefault="00330E1E" w:rsidP="00330E1E">
      <w:pPr>
        <w:pStyle w:val="EndNoteBibliography"/>
        <w:spacing w:after="0"/>
      </w:pPr>
      <w:r w:rsidRPr="00330E1E">
        <w:t>36.</w:t>
      </w:r>
      <w:r w:rsidRPr="00330E1E">
        <w:tab/>
        <w:t xml:space="preserve">Uzoigwe CE, O'Leary L, Nduka J, Sharma D, Melling D, Simmons D, et al. Factors associated with delirium and cognitive decline following hip fracture surgery. The bone &amp; joint journal. 2020;102-B(12):1675-81. doi: </w:t>
      </w:r>
      <w:hyperlink r:id="rId33" w:history="1">
        <w:r w:rsidRPr="00330E1E">
          <w:rPr>
            <w:rStyle w:val="Hyperlink"/>
          </w:rPr>
          <w:t>https://dx.doi.org/10.1302/0301-620X.102B12.BJJ-2019-1537.R3</w:t>
        </w:r>
      </w:hyperlink>
      <w:r w:rsidRPr="00330E1E">
        <w:t>.</w:t>
      </w:r>
    </w:p>
    <w:p w14:paraId="7D8F458F" w14:textId="77777777" w:rsidR="00330E1E" w:rsidRPr="00330E1E" w:rsidRDefault="00330E1E" w:rsidP="00330E1E">
      <w:pPr>
        <w:pStyle w:val="EndNoteBibliography"/>
        <w:spacing w:after="0"/>
      </w:pPr>
      <w:r w:rsidRPr="00330E1E">
        <w:t>37.</w:t>
      </w:r>
      <w:r w:rsidRPr="00330E1E">
        <w:tab/>
        <w:t>Todd C, Skelton D. What are the main risk factors for falls among older people and what are the most effective interventions to prevent these falls. Copenhagen, WHO Regional Office for Europe (Health Evidence Network report. 2004.</w:t>
      </w:r>
    </w:p>
    <w:p w14:paraId="37DF27B8" w14:textId="77777777" w:rsidR="00330E1E" w:rsidRPr="00330E1E" w:rsidRDefault="00330E1E" w:rsidP="00330E1E">
      <w:pPr>
        <w:pStyle w:val="EndNoteBibliography"/>
        <w:spacing w:after="0"/>
      </w:pPr>
      <w:r w:rsidRPr="00330E1E">
        <w:t>38.</w:t>
      </w:r>
      <w:r w:rsidRPr="00330E1E">
        <w:tab/>
        <w:t>Drevet S, Bornu BC, Boudissa M, Bioteau C, Mazière S, Merloz P, et al. One-year mortality after a hip fracture: prospective study of a cohort of patients aged over 75 years old. Geriatrie et psychologie neuropsychiatrie du vieillissement. 2019;17(4):369-76. Epub 2019/10/02. doi: 10.1684/pnv.2019.0821. PubMed PMID: 31570328.</w:t>
      </w:r>
    </w:p>
    <w:p w14:paraId="022EEFA4" w14:textId="77777777" w:rsidR="00330E1E" w:rsidRPr="00330E1E" w:rsidRDefault="00330E1E" w:rsidP="00330E1E">
      <w:pPr>
        <w:pStyle w:val="EndNoteBibliography"/>
        <w:spacing w:after="0"/>
      </w:pPr>
      <w:r w:rsidRPr="00330E1E">
        <w:t>39.</w:t>
      </w:r>
      <w:r w:rsidRPr="00330E1E">
        <w:tab/>
        <w:t>Lee Y-K, Lee Y-J, Ha Y-C, Koo K-H. Five-year relative survival of patients with osteoporotic hip fracture. The Journal of Clinical Endocrinology &amp; Metabolism. 2014;99(1):97-100.</w:t>
      </w:r>
    </w:p>
    <w:p w14:paraId="3737E6B4" w14:textId="77777777" w:rsidR="00330E1E" w:rsidRPr="00330E1E" w:rsidRDefault="00330E1E" w:rsidP="00330E1E">
      <w:pPr>
        <w:pStyle w:val="EndNoteBibliography"/>
        <w:spacing w:after="0"/>
      </w:pPr>
      <w:r w:rsidRPr="00330E1E">
        <w:t>40.</w:t>
      </w:r>
      <w:r w:rsidRPr="00330E1E">
        <w:tab/>
        <w:t>Haentjens P, Magaziner J, Colón-Emeric CS, Vanderschueren D, Milisen K, Velkeniers B, et al. Meta-analysis: excess mortality after hip fracture among older women and men. Annals of internal medicine. 2010;152(6):380-90.</w:t>
      </w:r>
    </w:p>
    <w:p w14:paraId="7E00D896" w14:textId="77777777" w:rsidR="00330E1E" w:rsidRPr="00330E1E" w:rsidRDefault="00330E1E" w:rsidP="00330E1E">
      <w:pPr>
        <w:pStyle w:val="EndNoteBibliography"/>
        <w:spacing w:after="0"/>
      </w:pPr>
      <w:r w:rsidRPr="00330E1E">
        <w:t>41.</w:t>
      </w:r>
      <w:r w:rsidRPr="00330E1E">
        <w:tab/>
        <w:t>Tinetti ME, Speechley M, Ginter SF. Risk Factors for Falls among Elderly Persons Living in the Community. New England Journal of Medicine. 1988;319(26):1701-7. doi: 10.1056/nejm198812293192604. PubMed PMID: 3205267.</w:t>
      </w:r>
    </w:p>
    <w:p w14:paraId="6FB31AB8" w14:textId="77777777" w:rsidR="00330E1E" w:rsidRPr="00330E1E" w:rsidRDefault="00330E1E" w:rsidP="00330E1E">
      <w:pPr>
        <w:pStyle w:val="EndNoteBibliography"/>
        <w:spacing w:after="0"/>
      </w:pPr>
      <w:r w:rsidRPr="00330E1E">
        <w:t>42.</w:t>
      </w:r>
      <w:r w:rsidRPr="00330E1E">
        <w:tab/>
        <w:t>Tinetti ME, Kumar C. The patient who falls: “It's always a trade-off”. JAMA. 2010;303(3):258-66.</w:t>
      </w:r>
    </w:p>
    <w:p w14:paraId="650DBD7A" w14:textId="77777777" w:rsidR="00330E1E" w:rsidRPr="00330E1E" w:rsidRDefault="00330E1E" w:rsidP="00330E1E">
      <w:pPr>
        <w:pStyle w:val="EndNoteBibliography"/>
        <w:spacing w:after="0"/>
      </w:pPr>
      <w:r w:rsidRPr="00330E1E">
        <w:t>43.</w:t>
      </w:r>
      <w:r w:rsidRPr="00330E1E">
        <w:tab/>
        <w:t>Deandrea S, Lucenteforte E, Bravi F, Foschi R, La Vecchia C, Negri E. Risk factors for falls in community-dwelling older people: a systematic review and meta-analysis. Epidemiology. 2010;21(5):658-68. doi: 10.1097/EDE.0b013e3181e89905. PubMed PMID: 20585256.</w:t>
      </w:r>
    </w:p>
    <w:p w14:paraId="09C6D4FD" w14:textId="1E1DAE85" w:rsidR="00330E1E" w:rsidRPr="00330E1E" w:rsidRDefault="00330E1E" w:rsidP="00330E1E">
      <w:pPr>
        <w:pStyle w:val="EndNoteBibliography"/>
        <w:spacing w:after="0"/>
      </w:pPr>
      <w:r w:rsidRPr="00330E1E">
        <w:t>44.</w:t>
      </w:r>
      <w:r w:rsidRPr="00330E1E">
        <w:tab/>
        <w:t xml:space="preserve">Smith MI, de Lusignan S, Mullett D, Correa A, Tickner J, Jones S. Predicting Falls and When to Intervene in Older People: A Multilevel Logistical Regression Model and Cost Analysis. PloS one. 2016;11(7):e0159365. doi: </w:t>
      </w:r>
      <w:hyperlink r:id="rId34" w:history="1">
        <w:r w:rsidRPr="00330E1E">
          <w:rPr>
            <w:rStyle w:val="Hyperlink"/>
          </w:rPr>
          <w:t>https://dx.doi.org/10.1371/journal.pone.0159365</w:t>
        </w:r>
      </w:hyperlink>
      <w:r w:rsidRPr="00330E1E">
        <w:t>.</w:t>
      </w:r>
    </w:p>
    <w:p w14:paraId="03DC6517" w14:textId="77777777" w:rsidR="00330E1E" w:rsidRPr="00330E1E" w:rsidRDefault="00330E1E" w:rsidP="00330E1E">
      <w:pPr>
        <w:pStyle w:val="EndNoteBibliography"/>
        <w:spacing w:after="0"/>
      </w:pPr>
      <w:r w:rsidRPr="00330E1E">
        <w:t>45.</w:t>
      </w:r>
      <w:r w:rsidRPr="00330E1E">
        <w:tab/>
        <w:t>Afzali HHA, Karnon J, Theou O, Beilby J, Cesari M, Visvanathan R. Structuring a conceptual model for cost-effectiveness analysis of frailty interventions. PloS one. 2019;14(9).</w:t>
      </w:r>
    </w:p>
    <w:p w14:paraId="5F605A7E" w14:textId="77777777" w:rsidR="00330E1E" w:rsidRPr="00330E1E" w:rsidRDefault="00330E1E" w:rsidP="00330E1E">
      <w:pPr>
        <w:pStyle w:val="EndNoteBibliography"/>
        <w:spacing w:after="0"/>
      </w:pPr>
      <w:r w:rsidRPr="00330E1E">
        <w:t>46.</w:t>
      </w:r>
      <w:r w:rsidRPr="00330E1E">
        <w:tab/>
        <w:t>Clegg A, Young J, Iliffe S, Rikkert MO, Rockwood K. Frailty in elderly people. Lancet. 2013;381(9868):752-62. doi: 10.1016/S0140-6736(12)62167-9. PubMed PMID: 23395245; PubMed Central PMCID: PMCPMC4098658.</w:t>
      </w:r>
    </w:p>
    <w:p w14:paraId="697167DD" w14:textId="77777777" w:rsidR="00330E1E" w:rsidRPr="00330E1E" w:rsidRDefault="00330E1E" w:rsidP="00330E1E">
      <w:pPr>
        <w:pStyle w:val="EndNoteBibliography"/>
        <w:spacing w:after="0"/>
      </w:pPr>
      <w:r w:rsidRPr="00330E1E">
        <w:t>47.</w:t>
      </w:r>
      <w:r w:rsidRPr="00330E1E">
        <w:tab/>
        <w:t>Clegg A, Bates C, Young J, Ryan R, Nichols L, Ann Teale E, et al. Development and validation of an electronic frailty index using routine primary care electronic health record data. Age Ageing. 2016;45(3):353-60. doi: 10.1093/ageing/afw039. PubMed PMID: 26944937; PubMed Central PMCID: PMCPMC4846793.</w:t>
      </w:r>
    </w:p>
    <w:p w14:paraId="1A4F4C8F" w14:textId="77777777" w:rsidR="00330E1E" w:rsidRPr="00330E1E" w:rsidRDefault="00330E1E" w:rsidP="00330E1E">
      <w:pPr>
        <w:pStyle w:val="EndNoteBibliography"/>
        <w:spacing w:after="0"/>
      </w:pPr>
      <w:r w:rsidRPr="00330E1E">
        <w:t>48.</w:t>
      </w:r>
      <w:r w:rsidRPr="00330E1E">
        <w:tab/>
        <w:t>Hoogendijk EO, Afilalo J, Ensrud KE, Kowal P, Onder G, Fried LP. Frailty: implications for clinical practice and public health. Lancet. 2019;394(10206):1365-75. Epub 2019/10/15. doi: 10.1016/s0140-6736(19)31786-6. PubMed PMID: 31609228.</w:t>
      </w:r>
    </w:p>
    <w:p w14:paraId="733A1D0E" w14:textId="77777777" w:rsidR="00330E1E" w:rsidRPr="00330E1E" w:rsidRDefault="00330E1E" w:rsidP="00330E1E">
      <w:pPr>
        <w:pStyle w:val="EndNoteBibliography"/>
        <w:spacing w:after="0"/>
      </w:pPr>
      <w:r w:rsidRPr="00330E1E">
        <w:t>49.</w:t>
      </w:r>
      <w:r w:rsidRPr="00330E1E">
        <w:tab/>
        <w:t>Searle SD, Mitnitski A, Gahbauer EA, Gill TM, Rockwood K. A standard procedure for creating a frailty index. BMC geriatrics. 2008;8(1):24.</w:t>
      </w:r>
    </w:p>
    <w:p w14:paraId="7B5AA975" w14:textId="77777777" w:rsidR="00330E1E" w:rsidRPr="00330E1E" w:rsidRDefault="00330E1E" w:rsidP="00330E1E">
      <w:pPr>
        <w:pStyle w:val="EndNoteBibliography"/>
        <w:spacing w:after="0"/>
      </w:pPr>
      <w:r w:rsidRPr="00330E1E">
        <w:t>50.</w:t>
      </w:r>
      <w:r w:rsidRPr="00330E1E">
        <w:tab/>
        <w:t>Mitnitski AB, Mogilner AJ, Rockwood K. Accumulation of deficits as a proxy measure of aging. The Scientific World Journal. 2001;1:323-36.</w:t>
      </w:r>
    </w:p>
    <w:p w14:paraId="5B3C14F3" w14:textId="77777777" w:rsidR="00330E1E" w:rsidRPr="00330E1E" w:rsidRDefault="00330E1E" w:rsidP="00330E1E">
      <w:pPr>
        <w:pStyle w:val="EndNoteBibliography"/>
        <w:spacing w:after="0"/>
      </w:pPr>
      <w:r w:rsidRPr="00330E1E">
        <w:t>51.</w:t>
      </w:r>
      <w:r w:rsidRPr="00330E1E">
        <w:tab/>
        <w:t>Rockwood K, Andrew M, Mitnitski A. A comparison of two approaches to measuring frailty in elderly people. The Journals of Gerontology Series A: Biological Sciences and Medical Sciences. 2007;62(7):738-43.</w:t>
      </w:r>
    </w:p>
    <w:p w14:paraId="604771DD" w14:textId="77777777" w:rsidR="00330E1E" w:rsidRPr="00330E1E" w:rsidRDefault="00330E1E" w:rsidP="00330E1E">
      <w:pPr>
        <w:pStyle w:val="EndNoteBibliography"/>
        <w:spacing w:after="0"/>
      </w:pPr>
      <w:r w:rsidRPr="00330E1E">
        <w:t>52.</w:t>
      </w:r>
      <w:r w:rsidRPr="00330E1E">
        <w:tab/>
        <w:t>Fang X, Shi J, Song X, Mitnitski A, Tang Z, Wang C, et al. Frailty in relation to the risk of falls, fractures, and mortality in older Chinese adults: Results from the Beijing longitudinal study of aging. The journal of nutrition, health &amp; aging. 2012;16(10):903-7.</w:t>
      </w:r>
    </w:p>
    <w:p w14:paraId="04563B25" w14:textId="77777777" w:rsidR="00330E1E" w:rsidRPr="00330E1E" w:rsidRDefault="00330E1E" w:rsidP="00330E1E">
      <w:pPr>
        <w:pStyle w:val="EndNoteBibliography"/>
        <w:spacing w:after="0"/>
      </w:pPr>
      <w:r w:rsidRPr="00330E1E">
        <w:t>53.</w:t>
      </w:r>
      <w:r w:rsidRPr="00330E1E">
        <w:tab/>
        <w:t>Li G, Thabane L, Ioannidis G, Kennedy C, Papaioannou A, Adachi JD. Comparison between frailty index of deficit accumulation and phenotypic model to predict risk of falls: data from the global longitudinal study of osteoporosis in women (GLOW) Hamilton cohort. PloS one. 2015;10(3):e0120144. Epub 2015/03/13. doi: 10.1371/journal.pone.0120144. PubMed PMID: 25764521; PubMed Central PMCID: PMCPMC4357575.</w:t>
      </w:r>
    </w:p>
    <w:p w14:paraId="620378F8" w14:textId="77777777" w:rsidR="00330E1E" w:rsidRPr="00330E1E" w:rsidRDefault="00330E1E" w:rsidP="00330E1E">
      <w:pPr>
        <w:pStyle w:val="EndNoteBibliography"/>
        <w:spacing w:after="0"/>
      </w:pPr>
      <w:r w:rsidRPr="00330E1E">
        <w:t>54.</w:t>
      </w:r>
      <w:r w:rsidRPr="00330E1E">
        <w:tab/>
        <w:t>Office for National Statistics. Overview of the UK Population: August 2019. Office for National Statistics. 2019.</w:t>
      </w:r>
    </w:p>
    <w:p w14:paraId="7766773D" w14:textId="77777777" w:rsidR="00330E1E" w:rsidRPr="00330E1E" w:rsidRDefault="00330E1E" w:rsidP="00330E1E">
      <w:pPr>
        <w:pStyle w:val="EndNoteBibliography"/>
        <w:spacing w:after="0"/>
      </w:pPr>
      <w:r w:rsidRPr="00330E1E">
        <w:t>55.</w:t>
      </w:r>
      <w:r w:rsidRPr="00330E1E">
        <w:tab/>
        <w:t>Chatterji S, Byles J, Cutler D, Seeman T, Verdes E. Health, functioning, and disability in older adults—present status and future implications. The lancet. 2015;385(9967):563-75.</w:t>
      </w:r>
    </w:p>
    <w:p w14:paraId="6BFF8DB9" w14:textId="77777777" w:rsidR="00330E1E" w:rsidRPr="00330E1E" w:rsidRDefault="00330E1E" w:rsidP="00330E1E">
      <w:pPr>
        <w:pStyle w:val="EndNoteBibliography"/>
        <w:spacing w:after="0"/>
      </w:pPr>
      <w:r w:rsidRPr="00330E1E">
        <w:t>56.</w:t>
      </w:r>
      <w:r w:rsidRPr="00330E1E">
        <w:tab/>
        <w:t>Kingston A, Robinson L, Booth H, Knapp M, Jagger C, project M. Projections of multi-morbidity in the older population in England to 2035: estimates from the Population Ageing and Care Simulation (PACSim) model. Age and ageing. 2018;47(3):374-80.</w:t>
      </w:r>
    </w:p>
    <w:p w14:paraId="6E2D8C0D" w14:textId="77777777" w:rsidR="00330E1E" w:rsidRPr="00330E1E" w:rsidRDefault="00330E1E" w:rsidP="00330E1E">
      <w:pPr>
        <w:pStyle w:val="EndNoteBibliography"/>
        <w:spacing w:after="0"/>
      </w:pPr>
      <w:r w:rsidRPr="00330E1E">
        <w:t>57.</w:t>
      </w:r>
      <w:r w:rsidRPr="00330E1E">
        <w:tab/>
        <w:t>Kingsley DE. Aging and health care costs: narrative versus reality. Poverty &amp; Public Policy. 2015;7(1):3-21.</w:t>
      </w:r>
    </w:p>
    <w:p w14:paraId="7EDAEE29" w14:textId="77777777" w:rsidR="00330E1E" w:rsidRPr="00330E1E" w:rsidRDefault="00330E1E" w:rsidP="00330E1E">
      <w:pPr>
        <w:pStyle w:val="EndNoteBibliography"/>
        <w:spacing w:after="0"/>
      </w:pPr>
      <w:r w:rsidRPr="00330E1E">
        <w:t>58.</w:t>
      </w:r>
      <w:r w:rsidRPr="00330E1E">
        <w:tab/>
        <w:t>Bähler C, Huber CA, Brüngger B, Reich O. Multimorbidity, health care utilization and costs in an elderly community-dwelling population: a claims data based observational study. BMC health services research. 2015;15(1):23.</w:t>
      </w:r>
    </w:p>
    <w:p w14:paraId="14D06ED5" w14:textId="77777777" w:rsidR="00330E1E" w:rsidRPr="00330E1E" w:rsidRDefault="00330E1E" w:rsidP="00330E1E">
      <w:pPr>
        <w:pStyle w:val="EndNoteBibliography"/>
        <w:spacing w:after="0"/>
      </w:pPr>
      <w:r w:rsidRPr="00330E1E">
        <w:t>59.</w:t>
      </w:r>
      <w:r w:rsidRPr="00330E1E">
        <w:tab/>
        <w:t>Scheil-Adlung X, Bonan J. Can the European elderly afford the financial burden of health and long-term care: assessing impacts and policy implications: ILO; 2012.</w:t>
      </w:r>
    </w:p>
    <w:p w14:paraId="7463B681" w14:textId="77777777" w:rsidR="00330E1E" w:rsidRPr="00330E1E" w:rsidRDefault="00330E1E" w:rsidP="00330E1E">
      <w:pPr>
        <w:pStyle w:val="EndNoteBibliography"/>
        <w:spacing w:after="0"/>
      </w:pPr>
      <w:r w:rsidRPr="00330E1E">
        <w:t>60.</w:t>
      </w:r>
      <w:r w:rsidRPr="00330E1E">
        <w:tab/>
        <w:t>Tian Y, Thompson J, Buck D, Sonola L. Exploring the system-wide costs of falls in older people in Torbay: King's Fund; 2013.</w:t>
      </w:r>
    </w:p>
    <w:p w14:paraId="3EF1E267" w14:textId="77777777" w:rsidR="00330E1E" w:rsidRPr="00330E1E" w:rsidRDefault="00330E1E" w:rsidP="00330E1E">
      <w:pPr>
        <w:pStyle w:val="EndNoteBibliography"/>
        <w:spacing w:after="0"/>
      </w:pPr>
      <w:r w:rsidRPr="00330E1E">
        <w:t>61.</w:t>
      </w:r>
      <w:r w:rsidRPr="00330E1E">
        <w:tab/>
        <w:t>Scuffham P, Chaplin S, Legood R. Incidence and costs of unintentional falls in older people in the United Kingdom. J Epidemiol Community Health. 2003;57(9):740-4. PubMed PMID: 12933783; PubMed Central PMCID: PMCPMC1732578.</w:t>
      </w:r>
    </w:p>
    <w:p w14:paraId="5332F239" w14:textId="77777777" w:rsidR="00330E1E" w:rsidRPr="00330E1E" w:rsidRDefault="00330E1E" w:rsidP="00330E1E">
      <w:pPr>
        <w:pStyle w:val="EndNoteBibliography"/>
        <w:spacing w:after="0"/>
      </w:pPr>
      <w:r w:rsidRPr="00330E1E">
        <w:t>62.</w:t>
      </w:r>
      <w:r w:rsidRPr="00330E1E">
        <w:tab/>
        <w:t>Close J, Ellis M, Hooper R, Glucksman E, Jackson S, Swift C. Prevention of falls in the elderly trial (PROFET): a randomised controlled trial. Lancet. 1999;353(9147):93-7. doi: 10.1016/S0140-6736(98)06119-4. PubMed PMID: 10023893.</w:t>
      </w:r>
    </w:p>
    <w:p w14:paraId="1C0A46CD" w14:textId="77777777" w:rsidR="00330E1E" w:rsidRPr="00330E1E" w:rsidRDefault="00330E1E" w:rsidP="00330E1E">
      <w:pPr>
        <w:pStyle w:val="EndNoteBibliography"/>
        <w:spacing w:after="0"/>
      </w:pPr>
      <w:r w:rsidRPr="00330E1E">
        <w:t>63.</w:t>
      </w:r>
      <w:r w:rsidRPr="00330E1E">
        <w:tab/>
        <w:t>Borgström F, Sobocki P, Ström O, Jönsson B. The societal burden of osteoporosis in Sweden. Bone. 2007;40(6):1602-9.</w:t>
      </w:r>
    </w:p>
    <w:p w14:paraId="60E5FFD1" w14:textId="1A1DB39C" w:rsidR="00330E1E" w:rsidRPr="00330E1E" w:rsidRDefault="00330E1E" w:rsidP="00330E1E">
      <w:pPr>
        <w:pStyle w:val="EndNoteBibliography"/>
        <w:spacing w:after="0"/>
      </w:pPr>
      <w:r w:rsidRPr="00330E1E">
        <w:t>64.</w:t>
      </w:r>
      <w:r w:rsidRPr="00330E1E">
        <w:tab/>
        <w:t xml:space="preserve">Cohen MA, Miller J, Shi X, Sandhu J, Lipsitz LA. Prevention Program Lowered The Risk Of Falls And Decreased Claims For Long-Term Services Among Elder Participants. Health affairs. 2015;34(6):971-7. doi: </w:t>
      </w:r>
      <w:hyperlink r:id="rId35" w:history="1">
        <w:r w:rsidRPr="00330E1E">
          <w:rPr>
            <w:rStyle w:val="Hyperlink"/>
          </w:rPr>
          <w:t>https://dx.doi.org/10.1377/hlthaff.2014.1172</w:t>
        </w:r>
      </w:hyperlink>
      <w:r w:rsidRPr="00330E1E">
        <w:t>.</w:t>
      </w:r>
    </w:p>
    <w:p w14:paraId="22ED886E" w14:textId="77777777" w:rsidR="00330E1E" w:rsidRPr="00330E1E" w:rsidRDefault="00330E1E" w:rsidP="00330E1E">
      <w:pPr>
        <w:pStyle w:val="EndNoteBibliography"/>
        <w:spacing w:after="0"/>
      </w:pPr>
      <w:r w:rsidRPr="00330E1E">
        <w:t>65.</w:t>
      </w:r>
      <w:r w:rsidRPr="00330E1E">
        <w:tab/>
        <w:t>Sattin RW, Lambert Huber DA, DeVito CA, Rodriguez JG, Ros A, Bacchelli S, et al. The incidence of fall injury events among the elderly in a defined population. American journal of epidemiology. 1990;131(6):1028-37.</w:t>
      </w:r>
    </w:p>
    <w:p w14:paraId="638EED0E" w14:textId="77777777" w:rsidR="00330E1E" w:rsidRPr="00330E1E" w:rsidRDefault="00330E1E" w:rsidP="00330E1E">
      <w:pPr>
        <w:pStyle w:val="EndNoteBibliography"/>
        <w:spacing w:after="0"/>
      </w:pPr>
      <w:r w:rsidRPr="00330E1E">
        <w:t>66.</w:t>
      </w:r>
      <w:r w:rsidRPr="00330E1E">
        <w:tab/>
        <w:t>Alexander BH, Rivara FP, Wolf ME. The cost and frequency of hospitalization for fall-related injuries in older adults. American journal of public health. 1992;82(7):1020-3.</w:t>
      </w:r>
    </w:p>
    <w:p w14:paraId="0518243D" w14:textId="77777777" w:rsidR="00330E1E" w:rsidRPr="00330E1E" w:rsidRDefault="00330E1E" w:rsidP="00330E1E">
      <w:pPr>
        <w:pStyle w:val="EndNoteBibliography"/>
        <w:spacing w:after="0"/>
      </w:pPr>
      <w:r w:rsidRPr="00330E1E">
        <w:t>67.</w:t>
      </w:r>
      <w:r w:rsidRPr="00330E1E">
        <w:tab/>
        <w:t>Gill TM, Murphy TE, Gahbauer EA, Allore HG. Association of injurious falls with disability outcomes and nursing home admissions in community-living older persons. Am J Epidemiol. 2013;178(3):418-25. doi: 10.1093/aje/kws554. PubMed PMID: 23548756; PubMed Central PMCID: PMCPMC3816345.</w:t>
      </w:r>
    </w:p>
    <w:p w14:paraId="26203719" w14:textId="77777777" w:rsidR="00330E1E" w:rsidRPr="00330E1E" w:rsidRDefault="00330E1E" w:rsidP="00330E1E">
      <w:pPr>
        <w:pStyle w:val="EndNoteBibliography"/>
        <w:spacing w:after="0"/>
      </w:pPr>
      <w:r w:rsidRPr="00330E1E">
        <w:t>68.</w:t>
      </w:r>
      <w:r w:rsidRPr="00330E1E">
        <w:tab/>
        <w:t>Casey B, Yamada A. Getting older, getting poorer? A study of the earnings, pensions, assets and living arrangements of older people in nine countries. LIS Cross-National Data Center in Luxembourg, 2002.</w:t>
      </w:r>
    </w:p>
    <w:p w14:paraId="259CAE34" w14:textId="77777777" w:rsidR="00330E1E" w:rsidRPr="00330E1E" w:rsidRDefault="00330E1E" w:rsidP="00330E1E">
      <w:pPr>
        <w:pStyle w:val="EndNoteBibliography"/>
        <w:spacing w:after="0"/>
      </w:pPr>
      <w:r w:rsidRPr="00330E1E">
        <w:t>69.</w:t>
      </w:r>
      <w:r w:rsidRPr="00330E1E">
        <w:tab/>
        <w:t>Wilkie R, Peat G, Thomas E, Croft P. Factors associated with participation restriction in community-dwelling adults aged 50 years and over. Quality of Life Research. 2007;16(7):1147-56.</w:t>
      </w:r>
    </w:p>
    <w:p w14:paraId="2C843A7A" w14:textId="77777777" w:rsidR="00330E1E" w:rsidRPr="00330E1E" w:rsidRDefault="00330E1E" w:rsidP="00330E1E">
      <w:pPr>
        <w:pStyle w:val="EndNoteBibliography"/>
        <w:spacing w:after="0"/>
      </w:pPr>
      <w:r w:rsidRPr="00330E1E">
        <w:t>70.</w:t>
      </w:r>
      <w:r w:rsidRPr="00330E1E">
        <w:tab/>
        <w:t>Lowry KA, Vallejo AN, Studenski SA. Successful aging as a continuum of functional independence: lessons from physical disability models of aging. Aging and disease. 2012;3(1):5.</w:t>
      </w:r>
    </w:p>
    <w:p w14:paraId="47E3D9EA" w14:textId="77777777" w:rsidR="00330E1E" w:rsidRPr="00330E1E" w:rsidRDefault="00330E1E" w:rsidP="00330E1E">
      <w:pPr>
        <w:pStyle w:val="EndNoteBibliography"/>
        <w:spacing w:after="0"/>
      </w:pPr>
      <w:r w:rsidRPr="00330E1E">
        <w:t>71.</w:t>
      </w:r>
      <w:r w:rsidRPr="00330E1E">
        <w:tab/>
        <w:t>Norheim OF, Baltussen R, Johri M, Chisholm D, Nord E, Brock D, et al. Guidance on priority setting in health care (GPS-Health): the inclusion of equity criteria not captured by cost-effectiveness analysis. Cost Effectiveness and Resource Allocation. 2014;12(1):18.</w:t>
      </w:r>
    </w:p>
    <w:p w14:paraId="2C1F0181" w14:textId="77777777" w:rsidR="00330E1E" w:rsidRPr="00330E1E" w:rsidRDefault="00330E1E" w:rsidP="00330E1E">
      <w:pPr>
        <w:pStyle w:val="EndNoteBibliography"/>
        <w:spacing w:after="0"/>
      </w:pPr>
      <w:r w:rsidRPr="00330E1E">
        <w:t>72.</w:t>
      </w:r>
      <w:r w:rsidRPr="00330E1E">
        <w:tab/>
        <w:t>Verguet S, Kim JJ, Jamison DT. Extended cost-effectiveness analysis for health policy assessment: a tutorial. Pharmacoeconomics. 2016;34(9):913-23.</w:t>
      </w:r>
    </w:p>
    <w:p w14:paraId="02E9B3C4" w14:textId="77777777" w:rsidR="00330E1E" w:rsidRPr="00330E1E" w:rsidRDefault="00330E1E" w:rsidP="00330E1E">
      <w:pPr>
        <w:pStyle w:val="EndNoteBibliography"/>
        <w:spacing w:after="0"/>
      </w:pPr>
      <w:r w:rsidRPr="00330E1E">
        <w:t>73.</w:t>
      </w:r>
      <w:r w:rsidRPr="00330E1E">
        <w:tab/>
        <w:t>Quintal C. Evolution of catastrophic health expenditure in a high income country: incidence versus inequalities. International journal for equity in health. 2019;18(1):145.</w:t>
      </w:r>
    </w:p>
    <w:p w14:paraId="2335C6FB" w14:textId="77777777" w:rsidR="00330E1E" w:rsidRPr="00330E1E" w:rsidRDefault="00330E1E" w:rsidP="00330E1E">
      <w:pPr>
        <w:pStyle w:val="EndNoteBibliography"/>
        <w:spacing w:after="0"/>
      </w:pPr>
      <w:r w:rsidRPr="00330E1E">
        <w:t>74.</w:t>
      </w:r>
      <w:r w:rsidRPr="00330E1E">
        <w:tab/>
        <w:t>Hoffman GJ, Hays RD, Shapiro MF, Wallace SP, Ettner SL. The costs of fall‐related injuries among older adults: Annual per‐faller, service component, and patient out‐of‐pocket costs. Health services research. 2017;52(5):1794-816.</w:t>
      </w:r>
    </w:p>
    <w:p w14:paraId="3BAA7413" w14:textId="77777777" w:rsidR="00330E1E" w:rsidRPr="00330E1E" w:rsidRDefault="00330E1E" w:rsidP="00330E1E">
      <w:pPr>
        <w:pStyle w:val="EndNoteBibliography"/>
        <w:spacing w:after="0"/>
      </w:pPr>
      <w:r w:rsidRPr="00330E1E">
        <w:t>75.</w:t>
      </w:r>
      <w:r w:rsidRPr="00330E1E">
        <w:tab/>
        <w:t>Sach TH, Logan PA, Coupland CA, Gladman JR, Sahota O, Stoner-Hobbs V, et al. Community falls prevention for people who call an emergency ambulance after a fall: an economic evaluation alongside a randomised controlled trial. Age Ageing. 2012;41(5):635-41. doi: 10.1093/ageing/afs071. PubMed PMID: 22695789; PubMed Central PMCID: PMCPMC3424053.</w:t>
      </w:r>
    </w:p>
    <w:p w14:paraId="7D60CF9E" w14:textId="77777777" w:rsidR="00330E1E" w:rsidRPr="00330E1E" w:rsidRDefault="00330E1E" w:rsidP="00330E1E">
      <w:pPr>
        <w:pStyle w:val="EndNoteBibliography"/>
        <w:spacing w:after="0"/>
      </w:pPr>
      <w:r w:rsidRPr="00330E1E">
        <w:t>76.</w:t>
      </w:r>
      <w:r w:rsidRPr="00330E1E">
        <w:tab/>
        <w:t>Hall SE, Hendrie DV. A prospective study of the costs of falls in older adults living in the community. Australian and New Zealand journal of public health. 2003;27(3):343-51.</w:t>
      </w:r>
    </w:p>
    <w:p w14:paraId="06AFD7C0" w14:textId="77777777" w:rsidR="00330E1E" w:rsidRPr="00330E1E" w:rsidRDefault="00330E1E" w:rsidP="00330E1E">
      <w:pPr>
        <w:pStyle w:val="EndNoteBibliography"/>
        <w:spacing w:after="0"/>
      </w:pPr>
      <w:r w:rsidRPr="00330E1E">
        <w:t>77.</w:t>
      </w:r>
      <w:r w:rsidRPr="00330E1E">
        <w:tab/>
        <w:t>Ter Meulen R, Ubachs‐moust J. Healthcare Rationing: Is Age a Proper Criterion? In: Johnson ML, editor. The Cambridge Handbook of Age and Ageing. Cambridge Handbooks in Psychology. Cambridge: Cambridge University Press; 2005. p. 656-61.</w:t>
      </w:r>
    </w:p>
    <w:p w14:paraId="22071B24" w14:textId="77777777" w:rsidR="00330E1E" w:rsidRPr="00330E1E" w:rsidRDefault="00330E1E" w:rsidP="00330E1E">
      <w:pPr>
        <w:pStyle w:val="EndNoteBibliography"/>
        <w:spacing w:after="0"/>
      </w:pPr>
      <w:r w:rsidRPr="00330E1E">
        <w:t>78.</w:t>
      </w:r>
      <w:r w:rsidRPr="00330E1E">
        <w:tab/>
        <w:t>World Health Organization. Active ageing: A policy framework. Geneva: World Health Organization, 2002.</w:t>
      </w:r>
    </w:p>
    <w:p w14:paraId="7F2D11EA" w14:textId="77777777" w:rsidR="00330E1E" w:rsidRPr="00330E1E" w:rsidRDefault="00330E1E" w:rsidP="00330E1E">
      <w:pPr>
        <w:pStyle w:val="EndNoteBibliography"/>
        <w:spacing w:after="0"/>
      </w:pPr>
      <w:r w:rsidRPr="00330E1E">
        <w:t>79.</w:t>
      </w:r>
      <w:r w:rsidRPr="00330E1E">
        <w:tab/>
        <w:t>Guzman J, Pawliczko A, Beales S, Voelcker I. Overview of Available Policies and Legislation, Data and Research, and Institutional Arrangements Relating To Older Persons-Progress Since Madrid. United Nations Population Fund and HelpAge International. 2012.</w:t>
      </w:r>
    </w:p>
    <w:p w14:paraId="5E6FA0E7" w14:textId="77777777" w:rsidR="00330E1E" w:rsidRPr="00330E1E" w:rsidRDefault="00330E1E" w:rsidP="00330E1E">
      <w:pPr>
        <w:pStyle w:val="EndNoteBibliography"/>
        <w:spacing w:after="0"/>
      </w:pPr>
      <w:r w:rsidRPr="00330E1E">
        <w:t>80.</w:t>
      </w:r>
      <w:r w:rsidRPr="00330E1E">
        <w:tab/>
        <w:t>Osborn R, Moulds D, Squires D, Doty MM, Anderson C. International survey of older adults finds shortcomings in access, coordination, and patient-centered care. Health Affairs. 2014;33(12):2247-55.</w:t>
      </w:r>
    </w:p>
    <w:p w14:paraId="5FD82F79" w14:textId="77777777" w:rsidR="00330E1E" w:rsidRPr="00330E1E" w:rsidRDefault="00330E1E" w:rsidP="00330E1E">
      <w:pPr>
        <w:pStyle w:val="EndNoteBibliography"/>
        <w:spacing w:after="0"/>
      </w:pPr>
      <w:r w:rsidRPr="00330E1E">
        <w:t>81.</w:t>
      </w:r>
      <w:r w:rsidRPr="00330E1E">
        <w:tab/>
        <w:t>Mello JdA, Macq J, Van Durme T, Cès S, Spruytte N, Van Audenhove C, et al. The determinants of informal caregivers' burden in the care of frail older persons: a dynamic and role-related perspective. Aging &amp; mental health. 2017;21(8):838-43.</w:t>
      </w:r>
    </w:p>
    <w:p w14:paraId="0235812F" w14:textId="77777777" w:rsidR="00330E1E" w:rsidRPr="00330E1E" w:rsidRDefault="00330E1E" w:rsidP="00330E1E">
      <w:pPr>
        <w:pStyle w:val="EndNoteBibliography"/>
        <w:spacing w:after="0"/>
      </w:pPr>
      <w:r w:rsidRPr="00330E1E">
        <w:t>82.</w:t>
      </w:r>
      <w:r w:rsidRPr="00330E1E">
        <w:tab/>
        <w:t>Kuzuya M, Masuda Y, Hirakawa Y, Iwata M, Enoki H, Hasegawa J, et al. Falls of the elderly are associated with burden of caregivers in the community. International Journal of Geriatric Psychiatry: A journal of the psychiatry of late life and allied sciences. 2006;21(8):740-5.</w:t>
      </w:r>
    </w:p>
    <w:p w14:paraId="16143E0C" w14:textId="77777777" w:rsidR="00330E1E" w:rsidRPr="00330E1E" w:rsidRDefault="00330E1E" w:rsidP="00330E1E">
      <w:pPr>
        <w:pStyle w:val="EndNoteBibliography"/>
        <w:spacing w:after="0"/>
      </w:pPr>
      <w:r w:rsidRPr="00330E1E">
        <w:t>83.</w:t>
      </w:r>
      <w:r w:rsidRPr="00330E1E">
        <w:tab/>
        <w:t>Huter K, Kocot E, Kissimova-Skarbek K, Dubas-Jakóbczyk K, Rothgang H. Economic evaluation of health promotion for older people-methodological problems and challenges. BMC health services research. 2016;16(5):328.</w:t>
      </w:r>
    </w:p>
    <w:p w14:paraId="11DC2B72" w14:textId="77777777" w:rsidR="00330E1E" w:rsidRPr="00330E1E" w:rsidRDefault="00330E1E" w:rsidP="00330E1E">
      <w:pPr>
        <w:pStyle w:val="EndNoteBibliography"/>
        <w:spacing w:after="0"/>
      </w:pPr>
      <w:r w:rsidRPr="00330E1E">
        <w:t>84.</w:t>
      </w:r>
      <w:r w:rsidRPr="00330E1E">
        <w:tab/>
        <w:t>Roe B, Howell F, Riniotis K, Beech R, Crome P, Ong BN. Older people and falls: health status, quality of life, lifestyle, care networks, prevention and views on service use following a recent fall. Journal of clinical nursing. 2009;18(16):2261-72.</w:t>
      </w:r>
    </w:p>
    <w:p w14:paraId="3D443781" w14:textId="77777777" w:rsidR="00330E1E" w:rsidRPr="00330E1E" w:rsidRDefault="00330E1E" w:rsidP="00330E1E">
      <w:pPr>
        <w:pStyle w:val="EndNoteBibliography"/>
        <w:spacing w:after="0"/>
      </w:pPr>
      <w:r w:rsidRPr="00330E1E">
        <w:t>85.</w:t>
      </w:r>
      <w:r w:rsidRPr="00330E1E">
        <w:tab/>
        <w:t>Jenkyn KB, Hoch JS, Speechley M. How much are we willing to pay to prevent a fall? Cost-effectiveness of a multifactorial falls prevention program for community-dwelling older adults. Canadian Journal on Aging/La Revue canadienne du vieillissement. 2012;31(2):121-37.</w:t>
      </w:r>
    </w:p>
    <w:p w14:paraId="3E469F82" w14:textId="77777777" w:rsidR="00330E1E" w:rsidRPr="00330E1E" w:rsidRDefault="00330E1E" w:rsidP="00330E1E">
      <w:pPr>
        <w:pStyle w:val="EndNoteBibliography"/>
        <w:spacing w:after="0"/>
      </w:pPr>
      <w:r w:rsidRPr="00330E1E">
        <w:t>86.</w:t>
      </w:r>
      <w:r w:rsidRPr="00330E1E">
        <w:tab/>
        <w:t>Lin PC, Lu CM. Hip fracture: family caregivers’ burden and related factors for older people in Taiwan. Journal of Clinical Nursing. 2005;14(6):719-26.</w:t>
      </w:r>
    </w:p>
    <w:p w14:paraId="286849AA" w14:textId="77777777" w:rsidR="00330E1E" w:rsidRPr="00330E1E" w:rsidRDefault="00330E1E" w:rsidP="00330E1E">
      <w:pPr>
        <w:pStyle w:val="EndNoteBibliography"/>
        <w:spacing w:after="0"/>
      </w:pPr>
      <w:r w:rsidRPr="00330E1E">
        <w:t>87.</w:t>
      </w:r>
      <w:r w:rsidRPr="00330E1E">
        <w:tab/>
        <w:t>Stephens C, Breheny M, Mansvelt J. Healthy ageing from the perspective of older people: A capability approach to resilience. Psychology &amp; health. 2015;30(6):715-31.</w:t>
      </w:r>
    </w:p>
    <w:p w14:paraId="56A3FD34" w14:textId="77777777" w:rsidR="00330E1E" w:rsidRPr="00330E1E" w:rsidRDefault="00330E1E" w:rsidP="00330E1E">
      <w:pPr>
        <w:pStyle w:val="EndNoteBibliography"/>
        <w:spacing w:after="0"/>
      </w:pPr>
      <w:r w:rsidRPr="00330E1E">
        <w:t>88.</w:t>
      </w:r>
      <w:r w:rsidRPr="00330E1E">
        <w:tab/>
        <w:t>United Nations. Political declaration and Madrid international plan of action on ageing. Second World Asembly of Aging. 2002.</w:t>
      </w:r>
    </w:p>
    <w:p w14:paraId="3921FFC9" w14:textId="77777777" w:rsidR="00330E1E" w:rsidRPr="00330E1E" w:rsidRDefault="00330E1E" w:rsidP="00330E1E">
      <w:pPr>
        <w:pStyle w:val="EndNoteBibliography"/>
        <w:spacing w:after="0"/>
      </w:pPr>
      <w:r w:rsidRPr="00330E1E">
        <w:t>89.</w:t>
      </w:r>
      <w:r w:rsidRPr="00330E1E">
        <w:tab/>
        <w:t>Lorig KR, Ritter P, Stewart AL, Sobel DS, Brown Jr BW, Bandura A, et al. Chronic disease self-management program: 2-year health status and health care utilization outcomes. Medical care. 2001:1217-23.</w:t>
      </w:r>
    </w:p>
    <w:p w14:paraId="0756B6E7" w14:textId="77777777" w:rsidR="00330E1E" w:rsidRPr="00330E1E" w:rsidRDefault="00330E1E" w:rsidP="00330E1E">
      <w:pPr>
        <w:pStyle w:val="EndNoteBibliography"/>
        <w:spacing w:after="0"/>
      </w:pPr>
      <w:r w:rsidRPr="00330E1E">
        <w:t>90.</w:t>
      </w:r>
      <w:r w:rsidRPr="00330E1E">
        <w:tab/>
        <w:t>Haynes M, League P, Neault G. A matter of balance: older adults taking control of falls by building confidence. Frontiers in public health. 2015;2:274.</w:t>
      </w:r>
    </w:p>
    <w:p w14:paraId="1429B754" w14:textId="77777777" w:rsidR="00330E1E" w:rsidRPr="00330E1E" w:rsidRDefault="00330E1E" w:rsidP="00330E1E">
      <w:pPr>
        <w:pStyle w:val="EndNoteBibliography"/>
        <w:spacing w:after="0"/>
      </w:pPr>
      <w:r w:rsidRPr="00330E1E">
        <w:t>91.</w:t>
      </w:r>
      <w:r w:rsidRPr="00330E1E">
        <w:tab/>
        <w:t>Cook J. The socio‐economic contribution of older people in the UK. Working with Older People. 2011.</w:t>
      </w:r>
    </w:p>
    <w:p w14:paraId="15AC34EA" w14:textId="77777777" w:rsidR="00330E1E" w:rsidRPr="00330E1E" w:rsidRDefault="00330E1E" w:rsidP="00330E1E">
      <w:pPr>
        <w:pStyle w:val="EndNoteBibliography"/>
        <w:spacing w:after="0"/>
      </w:pPr>
      <w:r w:rsidRPr="00330E1E">
        <w:t>92.</w:t>
      </w:r>
      <w:r w:rsidRPr="00330E1E">
        <w:tab/>
        <w:t>World Health Organization. Global strategy and action plan on ageing and health. 2017.</w:t>
      </w:r>
    </w:p>
    <w:p w14:paraId="05610C44" w14:textId="77777777" w:rsidR="00330E1E" w:rsidRPr="00330E1E" w:rsidRDefault="00330E1E" w:rsidP="00330E1E">
      <w:pPr>
        <w:pStyle w:val="EndNoteBibliography"/>
        <w:spacing w:after="0"/>
      </w:pPr>
      <w:r w:rsidRPr="00330E1E">
        <w:t>93.</w:t>
      </w:r>
      <w:r w:rsidRPr="00330E1E">
        <w:tab/>
        <w:t>Department of Health. Healthy lives, healthy people: Our strategy for public health in England: The Stationery Office; 2010.</w:t>
      </w:r>
    </w:p>
    <w:p w14:paraId="546DBC04" w14:textId="77777777" w:rsidR="00330E1E" w:rsidRPr="00330E1E" w:rsidRDefault="00330E1E" w:rsidP="00330E1E">
      <w:pPr>
        <w:pStyle w:val="EndNoteBibliography"/>
        <w:spacing w:after="0"/>
      </w:pPr>
      <w:r w:rsidRPr="00330E1E">
        <w:t>94.</w:t>
      </w:r>
      <w:r w:rsidRPr="00330E1E">
        <w:tab/>
        <w:t>Beard JR, Petitot C. Ageing and urbanization: can cities be designed to foster active ageing? Public Health Reviews. 2010;32(2):427-50.</w:t>
      </w:r>
    </w:p>
    <w:p w14:paraId="038AE92F" w14:textId="0D937881" w:rsidR="00330E1E" w:rsidRPr="00330E1E" w:rsidRDefault="00330E1E" w:rsidP="00330E1E">
      <w:pPr>
        <w:pStyle w:val="EndNoteBibliography"/>
        <w:spacing w:after="0"/>
      </w:pPr>
      <w:r w:rsidRPr="00330E1E">
        <w:t>95.</w:t>
      </w:r>
      <w:r w:rsidRPr="00330E1E">
        <w:tab/>
        <w:t xml:space="preserve">Age UK. Retirement age 2020. Available from: </w:t>
      </w:r>
      <w:hyperlink r:id="rId36" w:history="1">
        <w:r w:rsidRPr="00330E1E">
          <w:rPr>
            <w:rStyle w:val="Hyperlink"/>
          </w:rPr>
          <w:t>https://www.ageuk.org.uk/information-advice/work-learning/retirement/retirement-age/</w:t>
        </w:r>
      </w:hyperlink>
      <w:r w:rsidRPr="00330E1E">
        <w:t>.</w:t>
      </w:r>
    </w:p>
    <w:p w14:paraId="6622A92A" w14:textId="77777777" w:rsidR="00330E1E" w:rsidRPr="00330E1E" w:rsidRDefault="00330E1E" w:rsidP="00330E1E">
      <w:pPr>
        <w:pStyle w:val="EndNoteBibliography"/>
        <w:spacing w:after="0"/>
      </w:pPr>
      <w:r w:rsidRPr="00330E1E">
        <w:t>96.</w:t>
      </w:r>
      <w:r w:rsidRPr="00330E1E">
        <w:tab/>
        <w:t>Smith SM, Soubhi H, Fortin M, Hudon C, O’Dowd T. Managing patients with multimorbidity: systematic review of interventions in primary care and community settings. Bmj. 2012;345:e5205.</w:t>
      </w:r>
    </w:p>
    <w:p w14:paraId="27C68F86" w14:textId="77777777" w:rsidR="00330E1E" w:rsidRPr="00330E1E" w:rsidRDefault="00330E1E" w:rsidP="00330E1E">
      <w:pPr>
        <w:pStyle w:val="EndNoteBibliography"/>
        <w:spacing w:after="0"/>
      </w:pPr>
      <w:r w:rsidRPr="00330E1E">
        <w:t>97.</w:t>
      </w:r>
      <w:r w:rsidRPr="00330E1E">
        <w:tab/>
        <w:t>Oliver D, Foot C, Humphries R. Making our health and care systems fit for an ageing population: King's Fund; 2014.</w:t>
      </w:r>
    </w:p>
    <w:p w14:paraId="7C6A2454" w14:textId="77777777" w:rsidR="00330E1E" w:rsidRPr="00330E1E" w:rsidRDefault="00330E1E" w:rsidP="00330E1E">
      <w:pPr>
        <w:pStyle w:val="EndNoteBibliography"/>
        <w:spacing w:after="0"/>
      </w:pPr>
      <w:r w:rsidRPr="00330E1E">
        <w:t>98.</w:t>
      </w:r>
      <w:r w:rsidRPr="00330E1E">
        <w:tab/>
        <w:t>NHS England. The NHS Long Term Plan. wwwlongtermplannhsuk. 2019.</w:t>
      </w:r>
    </w:p>
    <w:p w14:paraId="28D898A0" w14:textId="77777777" w:rsidR="00330E1E" w:rsidRPr="00330E1E" w:rsidRDefault="00330E1E" w:rsidP="00330E1E">
      <w:pPr>
        <w:pStyle w:val="EndNoteBibliography"/>
        <w:spacing w:after="0"/>
      </w:pPr>
      <w:r w:rsidRPr="00330E1E">
        <w:t>99.</w:t>
      </w:r>
      <w:r w:rsidRPr="00330E1E">
        <w:tab/>
        <w:t>World Health Organization. WHO global strategy on people-centred and integrated health services: interim report. World Health Organization, 2015.</w:t>
      </w:r>
    </w:p>
    <w:p w14:paraId="66B6E2F8" w14:textId="77777777" w:rsidR="00330E1E" w:rsidRPr="00330E1E" w:rsidRDefault="00330E1E" w:rsidP="00330E1E">
      <w:pPr>
        <w:pStyle w:val="EndNoteBibliography"/>
        <w:spacing w:after="0"/>
      </w:pPr>
      <w:r w:rsidRPr="00330E1E">
        <w:t>100.</w:t>
      </w:r>
      <w:r w:rsidRPr="00330E1E">
        <w:tab/>
        <w:t>Guthrie B, Payne K, Alderson P, McMurdo ME, Mercer SW. Adapting clinical guidelines to take account of multimorbidity. Bmj. 2012;345:e6341.</w:t>
      </w:r>
    </w:p>
    <w:p w14:paraId="435EAA59" w14:textId="77777777" w:rsidR="00330E1E" w:rsidRPr="00330E1E" w:rsidRDefault="00330E1E" w:rsidP="00330E1E">
      <w:pPr>
        <w:pStyle w:val="EndNoteBibliography"/>
        <w:spacing w:after="0"/>
      </w:pPr>
      <w:r w:rsidRPr="00330E1E">
        <w:t>101.</w:t>
      </w:r>
      <w:r w:rsidRPr="00330E1E">
        <w:tab/>
        <w:t>Wastesson JW, Morin L, Tan EC, Johnell K. An update on the clinical consequences of polypharmacy in older adults: a narrative review. Expert opinion on drug safety. 2018;17(12):1185-96.</w:t>
      </w:r>
    </w:p>
    <w:p w14:paraId="77CE19A9" w14:textId="77777777" w:rsidR="00330E1E" w:rsidRPr="00330E1E" w:rsidRDefault="00330E1E" w:rsidP="00330E1E">
      <w:pPr>
        <w:pStyle w:val="EndNoteBibliography"/>
        <w:spacing w:after="0"/>
      </w:pPr>
      <w:r w:rsidRPr="00330E1E">
        <w:t>102.</w:t>
      </w:r>
      <w:r w:rsidRPr="00330E1E">
        <w:tab/>
        <w:t>Stuck AE, Iliffe S. Comprehensive geriatric assessment for older adults. BMJ. 2011;343:d6799. doi: 10.1136/bmj.d6799. PubMed PMID: 22034147.</w:t>
      </w:r>
    </w:p>
    <w:p w14:paraId="29619188" w14:textId="77777777" w:rsidR="00330E1E" w:rsidRPr="00330E1E" w:rsidRDefault="00330E1E" w:rsidP="00330E1E">
      <w:pPr>
        <w:pStyle w:val="EndNoteBibliography"/>
        <w:spacing w:after="0"/>
      </w:pPr>
      <w:r w:rsidRPr="00330E1E">
        <w:t>103.</w:t>
      </w:r>
      <w:r w:rsidRPr="00330E1E">
        <w:tab/>
        <w:t>Grewal I, Lewis J, Flynn T, Brown J, Bond J, Coast J. Developing attributes for a generic quality of life measure for older people: preferences or capabilities? Social science &amp; medicine. 2006;62(8):1891-901.</w:t>
      </w:r>
    </w:p>
    <w:p w14:paraId="1E7D134D" w14:textId="77777777" w:rsidR="00330E1E" w:rsidRPr="00330E1E" w:rsidRDefault="00330E1E" w:rsidP="00330E1E">
      <w:pPr>
        <w:pStyle w:val="EndNoteBibliography"/>
        <w:spacing w:after="0"/>
      </w:pPr>
      <w:r w:rsidRPr="00330E1E">
        <w:t>104.</w:t>
      </w:r>
      <w:r w:rsidRPr="00330E1E">
        <w:tab/>
        <w:t>Coast J, Flynn TN, Natarajan L, Sproston K, Lewis J, Louviere JJ, et al. Valuing the ICECAP capability index for older people. Social science &amp; medicine. 2008;67(5):874-82.</w:t>
      </w:r>
    </w:p>
    <w:p w14:paraId="0054C008" w14:textId="77777777" w:rsidR="00330E1E" w:rsidRPr="00330E1E" w:rsidRDefault="00330E1E" w:rsidP="00330E1E">
      <w:pPr>
        <w:pStyle w:val="EndNoteBibliography"/>
        <w:spacing w:after="0"/>
      </w:pPr>
      <w:r w:rsidRPr="00330E1E">
        <w:t>105.</w:t>
      </w:r>
      <w:r w:rsidRPr="00330E1E">
        <w:tab/>
        <w:t>Davis J, Robertson MC, Comans T, Scuffham P. Guidelines for conducting and reporting economic evaluation of fall prevention strategies. Osteoporosis international. 2011;22(9):2449-59.</w:t>
      </w:r>
    </w:p>
    <w:p w14:paraId="765FA507" w14:textId="77777777" w:rsidR="00330E1E" w:rsidRPr="00330E1E" w:rsidRDefault="00330E1E" w:rsidP="00330E1E">
      <w:pPr>
        <w:pStyle w:val="EndNoteBibliography"/>
        <w:spacing w:after="0"/>
      </w:pPr>
      <w:r w:rsidRPr="00330E1E">
        <w:t>106.</w:t>
      </w:r>
      <w:r w:rsidRPr="00330E1E">
        <w:tab/>
        <w:t>Brazier JE. Extending the QALY: generating, selecting and testing items for a new generic measure of quality of life – preliminary results. In: Sheffield Uo, editor. Paper for EQ Plenary Meeting in Lisbon, Portugal September 20182018.</w:t>
      </w:r>
    </w:p>
    <w:p w14:paraId="35001CCC" w14:textId="77777777" w:rsidR="00330E1E" w:rsidRPr="00330E1E" w:rsidRDefault="00330E1E" w:rsidP="00330E1E">
      <w:pPr>
        <w:pStyle w:val="EndNoteBibliography"/>
        <w:spacing w:after="0"/>
      </w:pPr>
      <w:r w:rsidRPr="00330E1E">
        <w:t>107.</w:t>
      </w:r>
      <w:r w:rsidRPr="00330E1E">
        <w:tab/>
        <w:t>Edlin R, Round J, McCabe C, Sculpher M, Claxton K, Cookson R. Cost-effectiveness analysis and ageism: a review of the theoretical literature. A report for the department of health Leeds: University of Leeds. 2008.</w:t>
      </w:r>
    </w:p>
    <w:p w14:paraId="47E32F19" w14:textId="77777777" w:rsidR="00330E1E" w:rsidRPr="00330E1E" w:rsidRDefault="00330E1E" w:rsidP="00330E1E">
      <w:pPr>
        <w:pStyle w:val="EndNoteBibliography"/>
        <w:spacing w:after="0"/>
      </w:pPr>
      <w:r w:rsidRPr="00330E1E">
        <w:t>108.</w:t>
      </w:r>
      <w:r w:rsidRPr="00330E1E">
        <w:tab/>
        <w:t>Cookson R, Drummond M, Weatherly H. Explicit incorporation of equity considerations into economic evaluation of public health interventions. Health Economics, Policy and Law. 2009;4(2):231-45.</w:t>
      </w:r>
    </w:p>
    <w:p w14:paraId="49BD4533" w14:textId="77777777" w:rsidR="00330E1E" w:rsidRPr="00330E1E" w:rsidRDefault="00330E1E" w:rsidP="00330E1E">
      <w:pPr>
        <w:pStyle w:val="EndNoteBibliography"/>
        <w:spacing w:after="0"/>
      </w:pPr>
      <w:r w:rsidRPr="00330E1E">
        <w:t>109.</w:t>
      </w:r>
      <w:r w:rsidRPr="00330E1E">
        <w:tab/>
        <w:t>Asaria M, Griffin S, Cookson R. Distributional Cost-Effectiveness Analysis: A Tutorial. Medical decision making. 2016;36(1):8-19. doi: 10.1177/0272989X15583266.</w:t>
      </w:r>
    </w:p>
    <w:p w14:paraId="62DDAEDB" w14:textId="77777777" w:rsidR="00330E1E" w:rsidRPr="00330E1E" w:rsidRDefault="00330E1E" w:rsidP="00330E1E">
      <w:pPr>
        <w:pStyle w:val="EndNoteBibliography"/>
        <w:spacing w:after="0"/>
      </w:pPr>
      <w:r w:rsidRPr="00330E1E">
        <w:t>110.</w:t>
      </w:r>
      <w:r w:rsidRPr="00330E1E">
        <w:tab/>
        <w:t>Contant É, Loignon C, Bouhali T, Almirall J, Fortin M. A multidisciplinary self-management intervention among patients with multimorbidity and the impact of socioeconomic factors on results. BMC family practice. 2019;20(1):1-8.</w:t>
      </w:r>
    </w:p>
    <w:p w14:paraId="5D90381D" w14:textId="77777777" w:rsidR="00330E1E" w:rsidRPr="00330E1E" w:rsidRDefault="00330E1E" w:rsidP="00330E1E">
      <w:pPr>
        <w:pStyle w:val="EndNoteBibliography"/>
        <w:spacing w:after="0"/>
      </w:pPr>
      <w:r w:rsidRPr="00330E1E">
        <w:t>111.</w:t>
      </w:r>
      <w:r w:rsidRPr="00330E1E">
        <w:tab/>
        <w:t>Liu S, Jones RN, Glymour MM. Implications of lifecourse epidemiology for research on determinants of adult disease. Public health reviews. 2010;32(2):489-511.</w:t>
      </w:r>
    </w:p>
    <w:p w14:paraId="51B940C1" w14:textId="77777777" w:rsidR="00330E1E" w:rsidRPr="00330E1E" w:rsidRDefault="00330E1E" w:rsidP="00330E1E">
      <w:pPr>
        <w:pStyle w:val="EndNoteBibliography"/>
        <w:spacing w:after="0"/>
      </w:pPr>
      <w:r w:rsidRPr="00330E1E">
        <w:t>112.</w:t>
      </w:r>
      <w:r w:rsidRPr="00330E1E">
        <w:tab/>
        <w:t>St Sauver JL, Boyd CM, Grossardt BR, Bobo WV, Rutten LJF, Roger VL, et al. Risk of developing multimorbidity across all ages in an historical cohort study: differences by sex and ethnicity. BMJ open. 2015;5(2):e006413.</w:t>
      </w:r>
    </w:p>
    <w:p w14:paraId="3B1AAA2F" w14:textId="77777777" w:rsidR="00330E1E" w:rsidRPr="00330E1E" w:rsidRDefault="00330E1E" w:rsidP="00330E1E">
      <w:pPr>
        <w:pStyle w:val="EndNoteBibliography"/>
        <w:spacing w:after="0"/>
      </w:pPr>
      <w:r w:rsidRPr="00330E1E">
        <w:t>113.</w:t>
      </w:r>
      <w:r w:rsidRPr="00330E1E">
        <w:tab/>
        <w:t>Foster C, Reilly J, Jago R, Murphy M, Skelton D, Cooper A, et al. UK Chief Medical Officers' Physical Activity Guidelines. Department of Health and Social Care. 2019.</w:t>
      </w:r>
    </w:p>
    <w:p w14:paraId="51956723" w14:textId="77777777" w:rsidR="00330E1E" w:rsidRPr="00330E1E" w:rsidRDefault="00330E1E" w:rsidP="00330E1E">
      <w:pPr>
        <w:pStyle w:val="EndNoteBibliography"/>
        <w:spacing w:after="0"/>
      </w:pPr>
      <w:r w:rsidRPr="00330E1E">
        <w:t>114.</w:t>
      </w:r>
      <w:r w:rsidRPr="00330E1E">
        <w:tab/>
        <w:t>Breeze P, Thomas C, Squires H, Brennan A, Greaves C, Diggle PJ, et al. The impact of Type 2 diabetes prevention programmes based on risk‐identification and lifestyle intervention intensity strategies: a cost‐effectiveness analysis. Diabetic Medicine. 2017;34(5):632-40.</w:t>
      </w:r>
    </w:p>
    <w:p w14:paraId="5578266E" w14:textId="77777777" w:rsidR="00330E1E" w:rsidRPr="00330E1E" w:rsidRDefault="00330E1E" w:rsidP="00330E1E">
      <w:pPr>
        <w:pStyle w:val="EndNoteBibliography"/>
        <w:spacing w:after="0"/>
      </w:pPr>
      <w:r w:rsidRPr="00330E1E">
        <w:t>115.</w:t>
      </w:r>
      <w:r w:rsidRPr="00330E1E">
        <w:tab/>
        <w:t>Shiell A. Still waiting for the great leap forward. Health Economics, Policy and Law. 2009;4(2):255-60.</w:t>
      </w:r>
    </w:p>
    <w:p w14:paraId="3FFC9B9A" w14:textId="77777777" w:rsidR="00330E1E" w:rsidRPr="00330E1E" w:rsidRDefault="00330E1E" w:rsidP="00330E1E">
      <w:pPr>
        <w:pStyle w:val="EndNoteBibliography"/>
        <w:spacing w:after="0"/>
      </w:pPr>
      <w:r w:rsidRPr="00330E1E">
        <w:t>116.</w:t>
      </w:r>
      <w:r w:rsidRPr="00330E1E">
        <w:tab/>
        <w:t>World Health Organization. Global age-friendly cities: A guide: World Health Organization; 2007.</w:t>
      </w:r>
    </w:p>
    <w:p w14:paraId="2E55AF3E" w14:textId="77777777" w:rsidR="00330E1E" w:rsidRPr="00330E1E" w:rsidRDefault="00330E1E" w:rsidP="00330E1E">
      <w:pPr>
        <w:pStyle w:val="EndNoteBibliography"/>
        <w:spacing w:after="0"/>
      </w:pPr>
      <w:r w:rsidRPr="00330E1E">
        <w:t>117.</w:t>
      </w:r>
      <w:r w:rsidRPr="00330E1E">
        <w:tab/>
        <w:t>Keating N, Eales J, Phillips JE. Age-friendly rural communities: Conceptualizing ‘best-fit’. Canadian Journal on Aging/La Revue canadienne du vieillissement. 2013;32(4):319-32.</w:t>
      </w:r>
    </w:p>
    <w:p w14:paraId="7CFC4C2B" w14:textId="77777777" w:rsidR="00330E1E" w:rsidRPr="00330E1E" w:rsidRDefault="00330E1E" w:rsidP="00330E1E">
      <w:pPr>
        <w:pStyle w:val="EndNoteBibliography"/>
        <w:spacing w:after="0"/>
      </w:pPr>
      <w:r w:rsidRPr="00330E1E">
        <w:t>118.</w:t>
      </w:r>
      <w:r w:rsidRPr="00330E1E">
        <w:tab/>
        <w:t>Baxter S, Johnson M, Chambers D, Sutton A, Goyder E, Booth A. The effects of integrated care: a systematic review of UK and international evidence. BMC health services research. 2018;18(1):350.</w:t>
      </w:r>
    </w:p>
    <w:p w14:paraId="7010BABB" w14:textId="2D9EE29A" w:rsidR="00330E1E" w:rsidRPr="00330E1E" w:rsidRDefault="00330E1E" w:rsidP="00330E1E">
      <w:pPr>
        <w:pStyle w:val="EndNoteBibliography"/>
        <w:spacing w:after="0"/>
      </w:pPr>
      <w:r w:rsidRPr="00330E1E">
        <w:t>119.</w:t>
      </w:r>
      <w:r w:rsidRPr="00330E1E">
        <w:tab/>
        <w:t xml:space="preserve">NHS England. Better Care Fund. </w:t>
      </w:r>
      <w:hyperlink r:id="rId37" w:history="1">
        <w:r w:rsidRPr="00330E1E">
          <w:rPr>
            <w:rStyle w:val="Hyperlink"/>
          </w:rPr>
          <w:t>https://wwwenglandnhsuk/ourwork/part-rel/transformation-fund/bcf-plan/</w:t>
        </w:r>
      </w:hyperlink>
      <w:r w:rsidRPr="00330E1E">
        <w:t>. 2020.</w:t>
      </w:r>
    </w:p>
    <w:p w14:paraId="2A79DDAC" w14:textId="77777777" w:rsidR="00330E1E" w:rsidRPr="00330E1E" w:rsidRDefault="00330E1E" w:rsidP="00330E1E">
      <w:pPr>
        <w:pStyle w:val="EndNoteBibliography"/>
        <w:spacing w:after="0"/>
      </w:pPr>
      <w:r w:rsidRPr="00330E1E">
        <w:t>120.</w:t>
      </w:r>
      <w:r w:rsidRPr="00330E1E">
        <w:tab/>
        <w:t>Department of Health and Social Care, Ministry of Housing CaLG. 2019-20 Better Care Fund: Policy Framework. HM Government. 2019.</w:t>
      </w:r>
    </w:p>
    <w:p w14:paraId="2480EFF6" w14:textId="77777777" w:rsidR="00330E1E" w:rsidRPr="00330E1E" w:rsidRDefault="00330E1E" w:rsidP="00330E1E">
      <w:pPr>
        <w:pStyle w:val="EndNoteBibliography"/>
        <w:spacing w:after="0"/>
      </w:pPr>
      <w:r w:rsidRPr="00330E1E">
        <w:t>121.</w:t>
      </w:r>
      <w:r w:rsidRPr="00330E1E">
        <w:tab/>
        <w:t>Kumpunen S, Edwards N, Georghiou T, Hughes G. Why do evaluations of integrated care not produce the results we expect? International Journal of Care Coordination. 2020:2053434520909089.</w:t>
      </w:r>
    </w:p>
    <w:p w14:paraId="10316E0C" w14:textId="77777777" w:rsidR="00330E1E" w:rsidRPr="00330E1E" w:rsidRDefault="00330E1E" w:rsidP="00330E1E">
      <w:pPr>
        <w:pStyle w:val="EndNoteBibliography"/>
        <w:spacing w:after="0"/>
      </w:pPr>
      <w:r w:rsidRPr="00330E1E">
        <w:t>122.</w:t>
      </w:r>
      <w:r w:rsidRPr="00330E1E">
        <w:tab/>
        <w:t>Stadnick NA, Sadler E, Sandall J, Turienzo CF, Bennett IM, Borkan J, et al. Comparative case studies in integrated care implementation from across the globe: a quest for action. BMC health services research. 2019;19(1):1-12.</w:t>
      </w:r>
    </w:p>
    <w:p w14:paraId="72F5F744" w14:textId="77777777" w:rsidR="00330E1E" w:rsidRPr="00330E1E" w:rsidRDefault="00330E1E" w:rsidP="00330E1E">
      <w:pPr>
        <w:pStyle w:val="EndNoteBibliography"/>
        <w:spacing w:after="0"/>
      </w:pPr>
      <w:r w:rsidRPr="00330E1E">
        <w:t>123.</w:t>
      </w:r>
      <w:r w:rsidRPr="00330E1E">
        <w:tab/>
        <w:t>Stoop A, De Bruin SR, Wistow G, Billings J, Ruppe G, Leichsenring K, et al. Exploring improvement plans of fourteen European integrated care sites for older people with complex needs. Health Policy. 2019;123(12):1135-54.</w:t>
      </w:r>
    </w:p>
    <w:p w14:paraId="07165661" w14:textId="77777777" w:rsidR="00330E1E" w:rsidRPr="00330E1E" w:rsidRDefault="00330E1E" w:rsidP="00330E1E">
      <w:pPr>
        <w:pStyle w:val="EndNoteBibliography"/>
        <w:spacing w:after="0"/>
      </w:pPr>
      <w:r w:rsidRPr="00330E1E">
        <w:t>124.</w:t>
      </w:r>
      <w:r w:rsidRPr="00330E1E">
        <w:tab/>
        <w:t>Gillespie LD, Robertson MC, Gillespie WJ, Sherrington C, Gates S, Clemson LM, et al. Interventions for preventing falls in older people living in the community. Cochrane database of systematic reviews. 2012;(9).</w:t>
      </w:r>
    </w:p>
    <w:p w14:paraId="0C20FE20" w14:textId="77777777" w:rsidR="00330E1E" w:rsidRPr="00330E1E" w:rsidRDefault="00330E1E" w:rsidP="00330E1E">
      <w:pPr>
        <w:pStyle w:val="EndNoteBibliography"/>
        <w:spacing w:after="0"/>
      </w:pPr>
      <w:r w:rsidRPr="00330E1E">
        <w:t>125.</w:t>
      </w:r>
      <w:r w:rsidRPr="00330E1E">
        <w:tab/>
        <w:t>Sherrington C, Fairhall NJ, Wallbank GK, Tiedemann A, Michaleff ZA, Howard K, et al. Exercise for preventing falls in older people living in the community. Cochrane database of systematic reviews. 2019;(1).</w:t>
      </w:r>
    </w:p>
    <w:p w14:paraId="54A7017C" w14:textId="77777777" w:rsidR="00330E1E" w:rsidRPr="00330E1E" w:rsidRDefault="00330E1E" w:rsidP="00330E1E">
      <w:pPr>
        <w:pStyle w:val="EndNoteBibliography"/>
        <w:spacing w:after="0"/>
      </w:pPr>
      <w:r w:rsidRPr="00330E1E">
        <w:t>126.</w:t>
      </w:r>
      <w:r w:rsidRPr="00330E1E">
        <w:tab/>
        <w:t>Hopewell S, Adedire O, Copsey BJ, Boniface GJ, Sherrington C, Clemson L, et al. Multifactorial and multiple component interventions for preventing falls in older people living in the community. Cochrane database of systematic reviews. 2018;(7).</w:t>
      </w:r>
    </w:p>
    <w:p w14:paraId="443105DC" w14:textId="77777777" w:rsidR="00330E1E" w:rsidRPr="00330E1E" w:rsidRDefault="00330E1E" w:rsidP="00330E1E">
      <w:pPr>
        <w:pStyle w:val="EndNoteBibliography"/>
        <w:spacing w:after="0"/>
      </w:pPr>
      <w:r w:rsidRPr="00330E1E">
        <w:t>127.</w:t>
      </w:r>
      <w:r w:rsidRPr="00330E1E">
        <w:tab/>
        <w:t>Beard J, Rowell D, Scott D, van Beurden E, Barnett L, Hughes K, et al. Economic analysis of a community-based falls prevention program. Public Health. 2006;120(8):742-51. doi: 10.1016/j.puhe.2006.04.011. PubMed PMID: 16824563.</w:t>
      </w:r>
    </w:p>
    <w:p w14:paraId="509B69B1" w14:textId="278F4572" w:rsidR="00330E1E" w:rsidRPr="00330E1E" w:rsidRDefault="00330E1E" w:rsidP="00330E1E">
      <w:pPr>
        <w:pStyle w:val="EndNoteBibliography"/>
        <w:spacing w:after="0"/>
      </w:pPr>
      <w:r w:rsidRPr="00330E1E">
        <w:t>128.</w:t>
      </w:r>
      <w:r w:rsidRPr="00330E1E">
        <w:tab/>
        <w:t xml:space="preserve">Johansson P, Sadigh S, Tillgren P, Rehnberg C. Non-pharmaceutical prevention of hip fractures - a cost-effectiveness analysis of a community-based elderly safety promotion program in Sweden. Cost effectiveness and resource allocation : C/E. 2008;6:11. doi: </w:t>
      </w:r>
      <w:hyperlink r:id="rId38" w:history="1">
        <w:r w:rsidRPr="00330E1E">
          <w:rPr>
            <w:rStyle w:val="Hyperlink"/>
          </w:rPr>
          <w:t>https://dx.doi.org/10.1186/1478-7547-6-11</w:t>
        </w:r>
      </w:hyperlink>
      <w:r w:rsidRPr="00330E1E">
        <w:t>.</w:t>
      </w:r>
    </w:p>
    <w:p w14:paraId="154B829B" w14:textId="77777777" w:rsidR="00330E1E" w:rsidRPr="00330E1E" w:rsidRDefault="00330E1E" w:rsidP="00330E1E">
      <w:pPr>
        <w:pStyle w:val="EndNoteBibliography"/>
        <w:spacing w:after="0"/>
      </w:pPr>
      <w:r w:rsidRPr="00330E1E">
        <w:t>129.</w:t>
      </w:r>
      <w:r w:rsidRPr="00330E1E">
        <w:tab/>
        <w:t>National Institute for Health and Care Excellence. Falls in older people (QS86). NICE Quality Standard 86. 2015;nice.org.uk/guidance/qs86.</w:t>
      </w:r>
    </w:p>
    <w:p w14:paraId="5BD5DBFF" w14:textId="77777777" w:rsidR="00330E1E" w:rsidRPr="00330E1E" w:rsidRDefault="00330E1E" w:rsidP="00330E1E">
      <w:pPr>
        <w:pStyle w:val="EndNoteBibliography"/>
        <w:spacing w:after="0"/>
      </w:pPr>
      <w:r w:rsidRPr="00330E1E">
        <w:t>130.</w:t>
      </w:r>
      <w:r w:rsidRPr="00330E1E">
        <w:tab/>
        <w:t>National Institute for Health and Care Excellence. 2019 surveillance of falls in older people: assessing risk and prevention (NICE guideline CG161). National Institute for Health and Care Excellence. 2019;Published: 23 May 2019.</w:t>
      </w:r>
    </w:p>
    <w:p w14:paraId="0F4C8B1E" w14:textId="25E6784D" w:rsidR="00330E1E" w:rsidRPr="00330E1E" w:rsidRDefault="00330E1E" w:rsidP="00330E1E">
      <w:pPr>
        <w:pStyle w:val="EndNoteBibliography"/>
        <w:spacing w:after="0"/>
      </w:pPr>
      <w:r w:rsidRPr="00330E1E">
        <w:t>131.</w:t>
      </w:r>
      <w:r w:rsidRPr="00330E1E">
        <w:tab/>
        <w:t xml:space="preserve">National Institute for Health and Care Excellence. Falls in older people: assessing risk and prevention In development [GID-NG10228] Expected publication date: 13 June 2024 </w:t>
      </w:r>
      <w:hyperlink r:id="rId39" w:history="1">
        <w:r w:rsidRPr="00330E1E">
          <w:rPr>
            <w:rStyle w:val="Hyperlink"/>
          </w:rPr>
          <w:t>https://www.nice.org.uk/guidance/indevelopment/gid-ng102282022</w:t>
        </w:r>
      </w:hyperlink>
      <w:r w:rsidRPr="00330E1E">
        <w:t xml:space="preserve"> [updated 8 September 202214 September 2022].</w:t>
      </w:r>
    </w:p>
    <w:p w14:paraId="05FB3148" w14:textId="77777777" w:rsidR="00330E1E" w:rsidRPr="00330E1E" w:rsidRDefault="00330E1E" w:rsidP="00330E1E">
      <w:pPr>
        <w:pStyle w:val="EndNoteBibliography"/>
        <w:spacing w:after="0"/>
      </w:pPr>
      <w:r w:rsidRPr="00330E1E">
        <w:t>132.</w:t>
      </w:r>
      <w:r w:rsidRPr="00330E1E">
        <w:tab/>
        <w:t>Greene BR, Redmond SJ, Caulfield B. Fall risk assessment through automatic combination of clinical fall risk factors and body-worn sensor data. IEEE journal of biomedical and health informatics. 2017;21(3):725-31.</w:t>
      </w:r>
    </w:p>
    <w:p w14:paraId="74FEEB2B" w14:textId="77777777" w:rsidR="00330E1E" w:rsidRPr="00330E1E" w:rsidRDefault="00330E1E" w:rsidP="00330E1E">
      <w:pPr>
        <w:pStyle w:val="EndNoteBibliography"/>
        <w:spacing w:after="0"/>
      </w:pPr>
      <w:r w:rsidRPr="00330E1E">
        <w:t>133.</w:t>
      </w:r>
      <w:r w:rsidRPr="00330E1E">
        <w:tab/>
        <w:t>Campbell AJ, Robertson MC. Fall prevention: single or multiple interventions? Single interventions for fall prevention. Journal of the American Geriatrics Society. 2013;61(2):281-4.</w:t>
      </w:r>
    </w:p>
    <w:p w14:paraId="45BC73FC" w14:textId="77777777" w:rsidR="00330E1E" w:rsidRPr="00330E1E" w:rsidRDefault="00330E1E" w:rsidP="00330E1E">
      <w:pPr>
        <w:pStyle w:val="EndNoteBibliography"/>
        <w:spacing w:after="0"/>
      </w:pPr>
      <w:r w:rsidRPr="00330E1E">
        <w:t>134.</w:t>
      </w:r>
      <w:r w:rsidRPr="00330E1E">
        <w:tab/>
        <w:t>Matchar DB, Duncan PW, Lien CT, Ong MEH, Lee M, Gao F, et al. Randomized Controlled Trial of Screening, Risk Modification, and Physical Therapy to Prevent Falls Among the Elderly Recently Discharged From the Emergency Department to the Community: the Steps to Avoid Falls in the Elderly Study. Archives of physical medicine and rehabilitation. 2016;(no pagination). doi: 10.1016/j.apmr.2017.01.014. PubMed PMID: CN-01366571.</w:t>
      </w:r>
    </w:p>
    <w:p w14:paraId="4E80E84C" w14:textId="1B99A542" w:rsidR="00330E1E" w:rsidRPr="00330E1E" w:rsidRDefault="00330E1E" w:rsidP="00330E1E">
      <w:pPr>
        <w:pStyle w:val="EndNoteBibliography"/>
        <w:spacing w:after="0"/>
      </w:pPr>
      <w:r w:rsidRPr="00330E1E">
        <w:t>135.</w:t>
      </w:r>
      <w:r w:rsidRPr="00330E1E">
        <w:tab/>
        <w:t xml:space="preserve">Iliffe S, Kendrick D, Morris R, Masud T, Gage H, Skelton D, et al. Multicentre cluster randomised trial comparing a community group exercise programme and home-based exercise with usual care for people aged 65 years and over in primary care. Health technology assessment (Winchester, England). 2014;18(49):vii-105. doi: </w:t>
      </w:r>
      <w:hyperlink r:id="rId40" w:history="1">
        <w:r w:rsidRPr="00330E1E">
          <w:rPr>
            <w:rStyle w:val="Hyperlink"/>
          </w:rPr>
          <w:t>https://dx.doi.org/10.3310/hta18490</w:t>
        </w:r>
      </w:hyperlink>
      <w:r w:rsidRPr="00330E1E">
        <w:t>.</w:t>
      </w:r>
    </w:p>
    <w:p w14:paraId="1E2278C9" w14:textId="77777777" w:rsidR="00330E1E" w:rsidRPr="00330E1E" w:rsidRDefault="00330E1E" w:rsidP="00330E1E">
      <w:pPr>
        <w:pStyle w:val="EndNoteBibliography"/>
        <w:spacing w:after="0"/>
      </w:pPr>
      <w:r w:rsidRPr="00330E1E">
        <w:t>136.</w:t>
      </w:r>
      <w:r w:rsidRPr="00330E1E">
        <w:tab/>
        <w:t>Skelton D, Dinan S, Campbell M, Rutherford O. Tailored group exercise (Falls Management Exercise—FaME) reduces falls in community-dwelling older frequent fallers (an RCT). Age and ageing. 2005;34(6):636-9.</w:t>
      </w:r>
    </w:p>
    <w:p w14:paraId="7D8A21DE" w14:textId="3944DA56" w:rsidR="00330E1E" w:rsidRPr="00330E1E" w:rsidRDefault="00330E1E" w:rsidP="00330E1E">
      <w:pPr>
        <w:pStyle w:val="EndNoteBibliography"/>
        <w:spacing w:after="0"/>
      </w:pPr>
      <w:r w:rsidRPr="00330E1E">
        <w:t>137.</w:t>
      </w:r>
      <w:r w:rsidRPr="00330E1E">
        <w:tab/>
        <w:t xml:space="preserve">Clark S, Shaw C, Padayachee A, Howard S, Hay K, Frakking TT. Frailty and hospital outcomes within a low socioeconomic population. QJM. 2019;112(12):907-13. doi: </w:t>
      </w:r>
      <w:hyperlink r:id="rId41" w:history="1">
        <w:r w:rsidRPr="00330E1E">
          <w:rPr>
            <w:rStyle w:val="Hyperlink"/>
          </w:rPr>
          <w:t>http://dx.doi.org/10.1093/qjmed/hcz203</w:t>
        </w:r>
      </w:hyperlink>
      <w:r w:rsidRPr="00330E1E">
        <w:t>.</w:t>
      </w:r>
    </w:p>
    <w:p w14:paraId="3401508F" w14:textId="77777777" w:rsidR="00330E1E" w:rsidRPr="00330E1E" w:rsidRDefault="00330E1E" w:rsidP="00330E1E">
      <w:pPr>
        <w:pStyle w:val="EndNoteBibliography"/>
        <w:spacing w:after="0"/>
      </w:pPr>
      <w:r w:rsidRPr="00330E1E">
        <w:t>138.</w:t>
      </w:r>
      <w:r w:rsidRPr="00330E1E">
        <w:tab/>
        <w:t>Harmon KJ, Hakenewerth AM, Waller AE, Ising A, Tintinalli JE. Begin risk assessment for falls in women at 45, not 65. Injury prevention : journal of the International Society for Child and Adolescent Injury Prevention. 2019;25(3):184-6. Epub 2018/07/25. doi: 10.1136/injuryprev-2018-042875. PubMed PMID: 30037811; PubMed Central PMCID: PMCPMC6582733.</w:t>
      </w:r>
    </w:p>
    <w:p w14:paraId="0858080B" w14:textId="77777777" w:rsidR="00330E1E" w:rsidRPr="00330E1E" w:rsidRDefault="00330E1E" w:rsidP="00330E1E">
      <w:pPr>
        <w:pStyle w:val="EndNoteBibliography"/>
        <w:spacing w:after="0"/>
      </w:pPr>
      <w:r w:rsidRPr="00330E1E">
        <w:t>139.</w:t>
      </w:r>
      <w:r w:rsidRPr="00330E1E">
        <w:tab/>
        <w:t>McIntyre A, Mackenzie L, Harvey M. Engagement of general practitioners in falls prevention and referral to occupational therapists. British journal of occupational therapy. 2019;82(2):71-9.</w:t>
      </w:r>
    </w:p>
    <w:p w14:paraId="15018014" w14:textId="77777777" w:rsidR="00330E1E" w:rsidRPr="00330E1E" w:rsidRDefault="00330E1E" w:rsidP="00330E1E">
      <w:pPr>
        <w:pStyle w:val="EndNoteBibliography"/>
        <w:spacing w:after="0"/>
      </w:pPr>
      <w:r w:rsidRPr="00330E1E">
        <w:t>140.</w:t>
      </w:r>
      <w:r w:rsidRPr="00330E1E">
        <w:tab/>
        <w:t>Nyman SR, Victor CR. Older people's participation in and engagement with falls prevention interventions in community settings: an augment to the Cochrane systematic review. Age and ageing. 2011;41(1):16-23.</w:t>
      </w:r>
    </w:p>
    <w:p w14:paraId="607620B6" w14:textId="77777777" w:rsidR="00330E1E" w:rsidRPr="00330E1E" w:rsidRDefault="00330E1E" w:rsidP="00330E1E">
      <w:pPr>
        <w:pStyle w:val="EndNoteBibliography"/>
        <w:spacing w:after="0"/>
      </w:pPr>
      <w:r w:rsidRPr="00330E1E">
        <w:t>141.</w:t>
      </w:r>
      <w:r w:rsidRPr="00330E1E">
        <w:tab/>
        <w:t>Child S, Goodwin V, Garside R, Jones-Hughes T, Boddy K, Stein K. Factors influencing the implementation of fall-prevention programmes: a systematic review and synthesis of qualitative studies. Implementation science. 2012;7(1):91.</w:t>
      </w:r>
    </w:p>
    <w:p w14:paraId="732D597C" w14:textId="77777777" w:rsidR="00330E1E" w:rsidRPr="00330E1E" w:rsidRDefault="00330E1E" w:rsidP="00330E1E">
      <w:pPr>
        <w:pStyle w:val="EndNoteBibliography"/>
        <w:spacing w:after="0"/>
      </w:pPr>
      <w:r w:rsidRPr="00330E1E">
        <w:t>142.</w:t>
      </w:r>
      <w:r w:rsidRPr="00330E1E">
        <w:tab/>
        <w:t>Jang H, Clemson L, Lovarini M, Willis K, Lord SR, Sherrington C. Cultural influences on exercise participation and fall prevention: a systematic review and narrative synthesis. Disability and rehabilitation. 2016;38(8):724-32.</w:t>
      </w:r>
    </w:p>
    <w:p w14:paraId="19CC6120" w14:textId="77777777" w:rsidR="00330E1E" w:rsidRPr="00330E1E" w:rsidRDefault="00330E1E" w:rsidP="00330E1E">
      <w:pPr>
        <w:pStyle w:val="EndNoteBibliography"/>
        <w:spacing w:after="0"/>
      </w:pPr>
      <w:r w:rsidRPr="00330E1E">
        <w:t>143.</w:t>
      </w:r>
      <w:r w:rsidRPr="00330E1E">
        <w:tab/>
        <w:t>Public Health England. Falls and fracture consensus statement: Supporting commissioning for prevention. London: Public Health England. 2017.</w:t>
      </w:r>
    </w:p>
    <w:p w14:paraId="71624EAA" w14:textId="77777777" w:rsidR="00330E1E" w:rsidRPr="00330E1E" w:rsidRDefault="00330E1E" w:rsidP="00330E1E">
      <w:pPr>
        <w:pStyle w:val="EndNoteBibliography"/>
        <w:spacing w:after="0"/>
      </w:pPr>
      <w:r w:rsidRPr="00330E1E">
        <w:t>144.</w:t>
      </w:r>
      <w:r w:rsidRPr="00330E1E">
        <w:tab/>
        <w:t>National Institute for Health and Care Excellence. Supporting investment in public health: Review of methods for assessing cost effectiveness, cost impact and return on investment. London: NICE. 2011.</w:t>
      </w:r>
    </w:p>
    <w:p w14:paraId="7AF23602" w14:textId="77777777" w:rsidR="00330E1E" w:rsidRPr="00330E1E" w:rsidRDefault="00330E1E" w:rsidP="00330E1E">
      <w:pPr>
        <w:pStyle w:val="EndNoteBibliography"/>
        <w:spacing w:after="0"/>
      </w:pPr>
      <w:r w:rsidRPr="00330E1E">
        <w:t>145.</w:t>
      </w:r>
      <w:r w:rsidRPr="00330E1E">
        <w:tab/>
        <w:t>Drummond MF, Sculpher MJ, Claxton K, Stoddart GL, Torrance GW. Methods for the economic evaluation of health care programmes: Oxford university press; 2015.</w:t>
      </w:r>
    </w:p>
    <w:p w14:paraId="254E0D98" w14:textId="77777777" w:rsidR="00330E1E" w:rsidRPr="00330E1E" w:rsidRDefault="00330E1E" w:rsidP="00330E1E">
      <w:pPr>
        <w:pStyle w:val="EndNoteBibliography"/>
        <w:spacing w:after="0"/>
      </w:pPr>
      <w:r w:rsidRPr="00330E1E">
        <w:t>146.</w:t>
      </w:r>
      <w:r w:rsidRPr="00330E1E">
        <w:tab/>
        <w:t>Royal College of Nursing. Clinical practice guideline for the assessment and prevention of falls in older people. Clinical Practice Guidelines. 2005;London: Royal College of Nursing.</w:t>
      </w:r>
    </w:p>
    <w:p w14:paraId="0551A72D" w14:textId="77777777" w:rsidR="00330E1E" w:rsidRPr="00330E1E" w:rsidRDefault="00330E1E" w:rsidP="00330E1E">
      <w:pPr>
        <w:pStyle w:val="EndNoteBibliography"/>
        <w:spacing w:after="0"/>
      </w:pPr>
      <w:r w:rsidRPr="00330E1E">
        <w:t>147.</w:t>
      </w:r>
      <w:r w:rsidRPr="00330E1E">
        <w:tab/>
        <w:t>Public Health England. A structured literature review to identify cost-effective interventions to prevent falls in older people living in the community. Public Health England. 2018.</w:t>
      </w:r>
    </w:p>
    <w:p w14:paraId="62C2B850" w14:textId="77777777" w:rsidR="00330E1E" w:rsidRPr="00330E1E" w:rsidRDefault="00330E1E" w:rsidP="00330E1E">
      <w:pPr>
        <w:pStyle w:val="EndNoteBibliography"/>
        <w:spacing w:after="0"/>
      </w:pPr>
      <w:r w:rsidRPr="00330E1E">
        <w:t>148.</w:t>
      </w:r>
      <w:r w:rsidRPr="00330E1E">
        <w:tab/>
        <w:t>Birch S, Donaldson C. Valuing the benefits and costs of health care programmes: where's the ‘extra’in extra-welfarism? Social science &amp; medicine. 2003;56(5):1121-33.</w:t>
      </w:r>
    </w:p>
    <w:p w14:paraId="2C95D066" w14:textId="77777777" w:rsidR="00330E1E" w:rsidRPr="00330E1E" w:rsidRDefault="00330E1E" w:rsidP="00330E1E">
      <w:pPr>
        <w:pStyle w:val="EndNoteBibliography"/>
        <w:spacing w:after="0"/>
      </w:pPr>
      <w:r w:rsidRPr="00330E1E">
        <w:t>149.</w:t>
      </w:r>
      <w:r w:rsidRPr="00330E1E">
        <w:tab/>
        <w:t>Brouwer WB, Culyer AJ, van Exel NJA, Rutten FF. Welfarism vs. extra-welfarism. Journal of health economics. 2008;27(2):325-38.</w:t>
      </w:r>
    </w:p>
    <w:p w14:paraId="6D928DA3" w14:textId="77777777" w:rsidR="00330E1E" w:rsidRPr="00330E1E" w:rsidRDefault="00330E1E" w:rsidP="00330E1E">
      <w:pPr>
        <w:pStyle w:val="EndNoteBibliography"/>
        <w:spacing w:after="0"/>
      </w:pPr>
      <w:r w:rsidRPr="00330E1E">
        <w:t>150.</w:t>
      </w:r>
      <w:r w:rsidRPr="00330E1E">
        <w:tab/>
        <w:t>Johansson P-O. An introduction to modern welfare economics: Cambridge University Press; 1991.</w:t>
      </w:r>
    </w:p>
    <w:p w14:paraId="5F26524F" w14:textId="77777777" w:rsidR="00330E1E" w:rsidRPr="00330E1E" w:rsidRDefault="00330E1E" w:rsidP="00330E1E">
      <w:pPr>
        <w:pStyle w:val="EndNoteBibliography"/>
        <w:spacing w:after="0"/>
      </w:pPr>
      <w:r w:rsidRPr="00330E1E">
        <w:t>151.</w:t>
      </w:r>
      <w:r w:rsidRPr="00330E1E">
        <w:tab/>
        <w:t>Coast J, Smith RD, Lorgelly P. Welfarism, extra-welfarism and capability: the spread of ideas in health economics. Social science &amp; medicine. 2008;67(7):1190-8.</w:t>
      </w:r>
    </w:p>
    <w:p w14:paraId="4F351FA0" w14:textId="77777777" w:rsidR="00330E1E" w:rsidRPr="00330E1E" w:rsidRDefault="00330E1E" w:rsidP="00330E1E">
      <w:pPr>
        <w:pStyle w:val="EndNoteBibliography"/>
        <w:spacing w:after="0"/>
      </w:pPr>
      <w:r w:rsidRPr="00330E1E">
        <w:t>152.</w:t>
      </w:r>
      <w:r w:rsidRPr="00330E1E">
        <w:tab/>
        <w:t>Sen A. Development as freedom: Oxford Paperbacks; 2001.</w:t>
      </w:r>
    </w:p>
    <w:p w14:paraId="773C4A87" w14:textId="77777777" w:rsidR="00330E1E" w:rsidRPr="00330E1E" w:rsidRDefault="00330E1E" w:rsidP="00330E1E">
      <w:pPr>
        <w:pStyle w:val="EndNoteBibliography"/>
        <w:spacing w:after="0"/>
      </w:pPr>
      <w:r w:rsidRPr="00330E1E">
        <w:t>153.</w:t>
      </w:r>
      <w:r w:rsidRPr="00330E1E">
        <w:tab/>
        <w:t>Culyer AJ. The normative economics of health care finance and provision. Oxford review of economic policy. 1989;5(1):34-58.</w:t>
      </w:r>
    </w:p>
    <w:p w14:paraId="3D473B99" w14:textId="77777777" w:rsidR="00330E1E" w:rsidRPr="00330E1E" w:rsidRDefault="00330E1E" w:rsidP="00330E1E">
      <w:pPr>
        <w:pStyle w:val="EndNoteBibliography"/>
        <w:spacing w:after="0"/>
      </w:pPr>
      <w:r w:rsidRPr="00330E1E">
        <w:t>154.</w:t>
      </w:r>
      <w:r w:rsidRPr="00330E1E">
        <w:tab/>
        <w:t>National Institute for Health and Care Excellence. Guide to the methods of technology appraisal 2013. 2013.</w:t>
      </w:r>
    </w:p>
    <w:p w14:paraId="7E4548DC" w14:textId="77777777" w:rsidR="00330E1E" w:rsidRPr="00330E1E" w:rsidRDefault="00330E1E" w:rsidP="00330E1E">
      <w:pPr>
        <w:pStyle w:val="EndNoteBibliography"/>
        <w:spacing w:after="0"/>
      </w:pPr>
      <w:r w:rsidRPr="00330E1E">
        <w:t>155.</w:t>
      </w:r>
      <w:r w:rsidRPr="00330E1E">
        <w:tab/>
        <w:t>Richardson J, McKie J, Bariola E. Multiattribute Utility Instruments and Their Use2014. 341-57 p.</w:t>
      </w:r>
    </w:p>
    <w:p w14:paraId="0574B339" w14:textId="77777777" w:rsidR="00330E1E" w:rsidRPr="00330E1E" w:rsidRDefault="00330E1E" w:rsidP="00330E1E">
      <w:pPr>
        <w:pStyle w:val="EndNoteBibliography"/>
        <w:spacing w:after="0"/>
      </w:pPr>
      <w:r w:rsidRPr="00330E1E">
        <w:t>156.</w:t>
      </w:r>
      <w:r w:rsidRPr="00330E1E">
        <w:tab/>
        <w:t>Dolan P, Gudex C, Kind P, Williams A. A social tariff for EuroQol: results from a UK general population survey. 1995.</w:t>
      </w:r>
    </w:p>
    <w:p w14:paraId="024E0F77" w14:textId="77777777" w:rsidR="00330E1E" w:rsidRPr="00330E1E" w:rsidRDefault="00330E1E" w:rsidP="00330E1E">
      <w:pPr>
        <w:pStyle w:val="EndNoteBibliography"/>
        <w:spacing w:after="0"/>
      </w:pPr>
      <w:r w:rsidRPr="00330E1E">
        <w:t>157.</w:t>
      </w:r>
      <w:r w:rsidRPr="00330E1E">
        <w:tab/>
        <w:t>Claxton K, Martin S, Soares M, Rice N, Spackman E, Hinde S, et al. Methods for the estimation of the National Institute for Health and Care Excellence cost-effectiveness threshold. Health Technology Assessment (Winchester, England). 2015;19(14):1.</w:t>
      </w:r>
    </w:p>
    <w:p w14:paraId="1FE2F3E3" w14:textId="77777777" w:rsidR="00330E1E" w:rsidRPr="00330E1E" w:rsidRDefault="00330E1E" w:rsidP="00330E1E">
      <w:pPr>
        <w:pStyle w:val="EndNoteBibliography"/>
        <w:spacing w:after="0"/>
      </w:pPr>
      <w:r w:rsidRPr="00330E1E">
        <w:t>158.</w:t>
      </w:r>
      <w:r w:rsidRPr="00330E1E">
        <w:tab/>
        <w:t>Kelly MP, McDaid D, Ludbrook A, Powell J. Economic appraisal of public health interventions. London: Health Development Agency. 2005.</w:t>
      </w:r>
    </w:p>
    <w:p w14:paraId="5144C67A" w14:textId="77777777" w:rsidR="00330E1E" w:rsidRPr="00330E1E" w:rsidRDefault="00330E1E" w:rsidP="00330E1E">
      <w:pPr>
        <w:pStyle w:val="EndNoteBibliography"/>
        <w:spacing w:after="0"/>
      </w:pPr>
      <w:r w:rsidRPr="00330E1E">
        <w:t>159.</w:t>
      </w:r>
      <w:r w:rsidRPr="00330E1E">
        <w:tab/>
        <w:t>Weatherly H, Drummond M, Claxton K, Cookson R, Ferguson B, Godfrey C, et al. Methods for assessing the cost-effectiveness of public health interventions: key challenges and recommendations. Health policy. 2009;93(2-3):85-92.</w:t>
      </w:r>
    </w:p>
    <w:p w14:paraId="1AE0EABC" w14:textId="77777777" w:rsidR="00330E1E" w:rsidRPr="00330E1E" w:rsidRDefault="00330E1E" w:rsidP="00330E1E">
      <w:pPr>
        <w:pStyle w:val="EndNoteBibliography"/>
        <w:spacing w:after="0"/>
      </w:pPr>
      <w:r w:rsidRPr="00330E1E">
        <w:t>160.</w:t>
      </w:r>
      <w:r w:rsidRPr="00330E1E">
        <w:tab/>
        <w:t>Squires H. A methodological framework for developing the structure of Public Health economic models: University of Sheffield; 2014.</w:t>
      </w:r>
    </w:p>
    <w:p w14:paraId="59975D92" w14:textId="77777777" w:rsidR="00330E1E" w:rsidRPr="00330E1E" w:rsidRDefault="00330E1E" w:rsidP="00330E1E">
      <w:pPr>
        <w:pStyle w:val="EndNoteBibliography"/>
        <w:spacing w:after="0"/>
      </w:pPr>
      <w:r w:rsidRPr="00330E1E">
        <w:t>161.</w:t>
      </w:r>
      <w:r w:rsidRPr="00330E1E">
        <w:tab/>
        <w:t>Tong T. Broadening the perspective of economic evaluation in health care - A case study in dementia care in the UK: University of Sheffield; 2017.</w:t>
      </w:r>
    </w:p>
    <w:p w14:paraId="1B28068C" w14:textId="77777777" w:rsidR="00330E1E" w:rsidRPr="00330E1E" w:rsidRDefault="00330E1E" w:rsidP="00330E1E">
      <w:pPr>
        <w:pStyle w:val="EndNoteBibliography"/>
        <w:spacing w:after="0"/>
      </w:pPr>
      <w:r w:rsidRPr="00330E1E">
        <w:t>162.</w:t>
      </w:r>
      <w:r w:rsidRPr="00330E1E">
        <w:tab/>
        <w:t>Franklin M, Lomas J, Richardson G. Conducting value for money analyses for non-randomised interventional studies including service evaluations: an educational review with recommendations. PharmacoEconomics. 2020;38(7):665-81.</w:t>
      </w:r>
    </w:p>
    <w:p w14:paraId="2294C231" w14:textId="77777777" w:rsidR="00330E1E" w:rsidRPr="00330E1E" w:rsidRDefault="00330E1E" w:rsidP="00330E1E">
      <w:pPr>
        <w:pStyle w:val="EndNoteBibliography"/>
        <w:spacing w:after="0"/>
      </w:pPr>
      <w:r w:rsidRPr="00330E1E">
        <w:t>163.</w:t>
      </w:r>
      <w:r w:rsidRPr="00330E1E">
        <w:tab/>
        <w:t>Stokes J, Lau Y-S, Kristensen SR, Sutton M. Does pooling health &amp; social care budgets reduce hospital use and lower costs? Social Science &amp; Medicine. 2019;232:382-8.</w:t>
      </w:r>
    </w:p>
    <w:p w14:paraId="4CDD867C" w14:textId="77777777" w:rsidR="00330E1E" w:rsidRPr="00330E1E" w:rsidRDefault="00330E1E" w:rsidP="00330E1E">
      <w:pPr>
        <w:pStyle w:val="EndNoteBibliography"/>
        <w:spacing w:after="0"/>
      </w:pPr>
      <w:r w:rsidRPr="00330E1E">
        <w:t>164.</w:t>
      </w:r>
      <w:r w:rsidRPr="00330E1E">
        <w:tab/>
        <w:t>Brennan A, Akehurst R. Modelling in health economic evaluation. Pharmacoeconomics. 2000;17(5):445-59.</w:t>
      </w:r>
    </w:p>
    <w:p w14:paraId="7E88109E" w14:textId="77777777" w:rsidR="00330E1E" w:rsidRPr="00330E1E" w:rsidRDefault="00330E1E" w:rsidP="00330E1E">
      <w:pPr>
        <w:pStyle w:val="EndNoteBibliography"/>
        <w:spacing w:after="0"/>
      </w:pPr>
      <w:r w:rsidRPr="00330E1E">
        <w:t>165.</w:t>
      </w:r>
      <w:r w:rsidRPr="00330E1E">
        <w:tab/>
        <w:t>Briggs A, Sculpher M, Claxton K. Decision modelling for health economic evaluation: Oup Oxford; 2006.</w:t>
      </w:r>
    </w:p>
    <w:p w14:paraId="059CDF92" w14:textId="77777777" w:rsidR="00330E1E" w:rsidRPr="00330E1E" w:rsidRDefault="00330E1E" w:rsidP="00330E1E">
      <w:pPr>
        <w:pStyle w:val="EndNoteBibliography"/>
        <w:spacing w:after="0"/>
      </w:pPr>
      <w:r w:rsidRPr="00330E1E">
        <w:t>166.</w:t>
      </w:r>
      <w:r w:rsidRPr="00330E1E">
        <w:tab/>
        <w:t>Sculpher MJ, Claxton K, Drummond M, McCabe C. Whither trial‐based economic evaluation for health care decision making? Health economics. 2006;15(7):677-87.</w:t>
      </w:r>
    </w:p>
    <w:p w14:paraId="30AA8952" w14:textId="77777777" w:rsidR="00330E1E" w:rsidRPr="00330E1E" w:rsidRDefault="00330E1E" w:rsidP="00330E1E">
      <w:pPr>
        <w:pStyle w:val="EndNoteBibliography"/>
        <w:spacing w:after="0"/>
      </w:pPr>
      <w:r w:rsidRPr="00330E1E">
        <w:t>167.</w:t>
      </w:r>
      <w:r w:rsidRPr="00330E1E">
        <w:tab/>
        <w:t>Day L, Hoareau E, Finch C, Harrison JE, Segal L, Bolton TG, et al. Modelling the impact, cost and benefits of falls prevention measures to support policy-makers and program planners. 2009.</w:t>
      </w:r>
    </w:p>
    <w:p w14:paraId="13D55635" w14:textId="77777777" w:rsidR="00330E1E" w:rsidRPr="00330E1E" w:rsidRDefault="00330E1E" w:rsidP="00330E1E">
      <w:pPr>
        <w:pStyle w:val="EndNoteBibliography"/>
        <w:spacing w:after="0"/>
      </w:pPr>
      <w:r w:rsidRPr="00330E1E">
        <w:t>168.</w:t>
      </w:r>
      <w:r w:rsidRPr="00330E1E">
        <w:tab/>
        <w:t>Brennan A, Chick SE, Davies R. A taxonomy of model structures for economic evaluation of health technologies. Health Econ. 2006;15(12):1295-310. Epub 2006/08/31. doi: 10.1002/hec.1148. PubMed PMID: 16941543.</w:t>
      </w:r>
    </w:p>
    <w:p w14:paraId="25B2333E" w14:textId="77777777" w:rsidR="00330E1E" w:rsidRPr="00330E1E" w:rsidRDefault="00330E1E" w:rsidP="00330E1E">
      <w:pPr>
        <w:pStyle w:val="EndNoteBibliography"/>
        <w:spacing w:after="0"/>
      </w:pPr>
      <w:r w:rsidRPr="00330E1E">
        <w:t>169.</w:t>
      </w:r>
      <w:r w:rsidRPr="00330E1E">
        <w:tab/>
        <w:t>Bojke L, Claxton K, Sculpher M, Palmer S. Characterizing structural uncertainty in decision analytic models: a review and application of methods. Value in Health. 2009;12(5):739-49.</w:t>
      </w:r>
    </w:p>
    <w:p w14:paraId="087D2980" w14:textId="77777777" w:rsidR="00330E1E" w:rsidRPr="00330E1E" w:rsidRDefault="00330E1E" w:rsidP="00330E1E">
      <w:pPr>
        <w:pStyle w:val="EndNoteBibliography"/>
        <w:spacing w:after="0"/>
      </w:pPr>
      <w:r w:rsidRPr="00330E1E">
        <w:t>170.</w:t>
      </w:r>
      <w:r w:rsidRPr="00330E1E">
        <w:tab/>
        <w:t>Bojke L, Claxton K, Bravo-Vergel Y, Sculpher M, Palmer S, Abrams K. Eliciting distributions to populate decision analytic models. Value in Health. 2010;13(5):557-64.</w:t>
      </w:r>
    </w:p>
    <w:p w14:paraId="5A6F2E37" w14:textId="77777777" w:rsidR="00330E1E" w:rsidRPr="00330E1E" w:rsidRDefault="00330E1E" w:rsidP="00330E1E">
      <w:pPr>
        <w:pStyle w:val="EndNoteBibliography"/>
        <w:spacing w:after="0"/>
      </w:pPr>
      <w:r w:rsidRPr="00330E1E">
        <w:t>171.</w:t>
      </w:r>
      <w:r w:rsidRPr="00330E1E">
        <w:tab/>
        <w:t>Claxton K. Exploring uncertainty in cost-effectiveness analysis. Pharmacoeconomics. 2008;26(9):781-98.</w:t>
      </w:r>
    </w:p>
    <w:p w14:paraId="11B82E6B" w14:textId="77777777" w:rsidR="00330E1E" w:rsidRPr="00330E1E" w:rsidRDefault="00330E1E" w:rsidP="00330E1E">
      <w:pPr>
        <w:pStyle w:val="EndNoteBibliography"/>
        <w:spacing w:after="0"/>
      </w:pPr>
      <w:r w:rsidRPr="00330E1E">
        <w:t>172.</w:t>
      </w:r>
      <w:r w:rsidRPr="00330E1E">
        <w:tab/>
        <w:t>Crown W, Buyukkaramikli N, Thokala P, Morton A, Sir MY, Marshall DA, et al. Constrained optimization methods in health services research—an introduction: report 1 of the ISPOR optimization methods emerging good practices task force. Value in health. 2017;20(3):310-9.</w:t>
      </w:r>
    </w:p>
    <w:p w14:paraId="55CA4AE2" w14:textId="77777777" w:rsidR="00330E1E" w:rsidRPr="00330E1E" w:rsidRDefault="00330E1E" w:rsidP="00330E1E">
      <w:pPr>
        <w:pStyle w:val="EndNoteBibliography"/>
        <w:spacing w:after="0"/>
      </w:pPr>
      <w:r w:rsidRPr="00330E1E">
        <w:t>173.</w:t>
      </w:r>
      <w:r w:rsidRPr="00330E1E">
        <w:tab/>
        <w:t>Eddy DM, Hollingworth W, Caro JJ, Tsevat J, McDonald KM, Wong JB. Model transparency and validation: a report of the ISPOR-SMDM Modeling Good Research Practices Task Force–7. Medical Decision Making. 2012;32(5):733-43.</w:t>
      </w:r>
    </w:p>
    <w:p w14:paraId="54F1C269" w14:textId="77777777" w:rsidR="00330E1E" w:rsidRPr="00330E1E" w:rsidRDefault="00330E1E" w:rsidP="00330E1E">
      <w:pPr>
        <w:pStyle w:val="EndNoteBibliography"/>
        <w:spacing w:after="0"/>
      </w:pPr>
      <w:r w:rsidRPr="00330E1E">
        <w:t>174.</w:t>
      </w:r>
      <w:r w:rsidRPr="00330E1E">
        <w:tab/>
        <w:t>Guba EG, Lincoln YS. Competing paradigms in qualitative research. Handbook of qualitative research. 1994;2(163-194):105.</w:t>
      </w:r>
    </w:p>
    <w:p w14:paraId="4F84BA9E" w14:textId="77777777" w:rsidR="00330E1E" w:rsidRPr="00330E1E" w:rsidRDefault="00330E1E" w:rsidP="00330E1E">
      <w:pPr>
        <w:pStyle w:val="EndNoteBibliography"/>
        <w:spacing w:after="0"/>
      </w:pPr>
      <w:r w:rsidRPr="00330E1E">
        <w:t>175.</w:t>
      </w:r>
      <w:r w:rsidRPr="00330E1E">
        <w:tab/>
        <w:t>Hiller J. Epistemological foundations of objectivist and interpretivist research. 2016.</w:t>
      </w:r>
    </w:p>
    <w:p w14:paraId="088CA21A" w14:textId="77777777" w:rsidR="00330E1E" w:rsidRPr="00330E1E" w:rsidRDefault="00330E1E" w:rsidP="00330E1E">
      <w:pPr>
        <w:pStyle w:val="EndNoteBibliography"/>
        <w:spacing w:after="0"/>
      </w:pPr>
      <w:r w:rsidRPr="00330E1E">
        <w:t>176.</w:t>
      </w:r>
      <w:r w:rsidRPr="00330E1E">
        <w:tab/>
        <w:t>Wilkinson M. Testing the null hypothesis: the forgotten legacy of Karl Popper? J Sports Sci. 2013;31(9):919-20. Epub 2012/12/20. doi: 10.1080/02640414.2012.753636. PubMed PMID: 23249368.</w:t>
      </w:r>
    </w:p>
    <w:p w14:paraId="507BC602" w14:textId="77777777" w:rsidR="00330E1E" w:rsidRPr="00330E1E" w:rsidRDefault="00330E1E" w:rsidP="00330E1E">
      <w:pPr>
        <w:pStyle w:val="EndNoteBibliography"/>
        <w:spacing w:after="0"/>
      </w:pPr>
      <w:r w:rsidRPr="00330E1E">
        <w:t>177.</w:t>
      </w:r>
      <w:r w:rsidRPr="00330E1E">
        <w:tab/>
        <w:t>Kwon J, Lee Y, Young T, Squires H, Harris J. Qualitative research to inform economic modelling: a case study in older people’s views on implementing the NICE falls prevention guideline. BMC health services research. 2021;21(1):1-19.</w:t>
      </w:r>
    </w:p>
    <w:p w14:paraId="495046B8" w14:textId="77777777" w:rsidR="00330E1E" w:rsidRPr="00330E1E" w:rsidRDefault="00330E1E" w:rsidP="00330E1E">
      <w:pPr>
        <w:pStyle w:val="EndNoteBibliography"/>
        <w:spacing w:after="0"/>
      </w:pPr>
      <w:r w:rsidRPr="00330E1E">
        <w:t>178.</w:t>
      </w:r>
      <w:r w:rsidRPr="00330E1E">
        <w:tab/>
        <w:t>Tinetti ME, Baker DI, King M, Gottschalk M, Murphy TE, Acampora D, et al. Effect of dissemination of evidence in reducing injuries from falls. New England Journal of Medicine. 2008;359(3):252-61.</w:t>
      </w:r>
    </w:p>
    <w:p w14:paraId="49CEC13B" w14:textId="77777777" w:rsidR="00330E1E" w:rsidRPr="00330E1E" w:rsidRDefault="00330E1E" w:rsidP="00330E1E">
      <w:pPr>
        <w:pStyle w:val="EndNoteBibliography"/>
        <w:spacing w:after="0"/>
      </w:pPr>
      <w:r w:rsidRPr="00330E1E">
        <w:t>179.</w:t>
      </w:r>
      <w:r w:rsidRPr="00330E1E">
        <w:tab/>
        <w:t>Day LM. Fall prevention programs for community‐dwelling older people should primarily target a multifactorial intervention rather than exercise as a single intervention. Journal of the American Geriatrics Society. 2013;61(2):284-5.</w:t>
      </w:r>
    </w:p>
    <w:p w14:paraId="3609988E" w14:textId="77777777" w:rsidR="00330E1E" w:rsidRPr="00330E1E" w:rsidRDefault="00330E1E" w:rsidP="00330E1E">
      <w:pPr>
        <w:pStyle w:val="EndNoteBibliography"/>
        <w:spacing w:after="0"/>
      </w:pPr>
      <w:r w:rsidRPr="00330E1E">
        <w:t>180.</w:t>
      </w:r>
      <w:r w:rsidRPr="00330E1E">
        <w:tab/>
        <w:t>Li F, Eckstrom E, Harmer P, Fitzgerald K, Voit J, Cameron KA. Exercise and Fall Prevention: Narrowing the Research‐to‐Practice Gap and Enhancing Integration of Clinical and Community Practice. Journal of the American Geriatrics Society. 2016;64(2):425-31.</w:t>
      </w:r>
    </w:p>
    <w:p w14:paraId="1A4B91B8" w14:textId="68A9A435" w:rsidR="00330E1E" w:rsidRPr="00330E1E" w:rsidRDefault="00330E1E" w:rsidP="00330E1E">
      <w:pPr>
        <w:pStyle w:val="EndNoteBibliography"/>
        <w:spacing w:after="0"/>
      </w:pPr>
      <w:r w:rsidRPr="00330E1E">
        <w:t>181.</w:t>
      </w:r>
      <w:r w:rsidRPr="00330E1E">
        <w:tab/>
        <w:t xml:space="preserve">Pfadenhauer L, Rohwer A, Burns J, Booth A, Lysdahl KB, Hofmann B, et al. Guidance for the assessment of context and implementation in health technology assessments (HTA) and systematic reviews of complex interventions: the context and implementation of complex interventions (CICI) framework. Available from: </w:t>
      </w:r>
      <w:hyperlink r:id="rId42" w:history="1">
        <w:r w:rsidRPr="00330E1E">
          <w:rPr>
            <w:rStyle w:val="Hyperlink"/>
          </w:rPr>
          <w:t>http://www.integrate-hta.eu/downloads/</w:t>
        </w:r>
      </w:hyperlink>
      <w:r w:rsidRPr="00330E1E">
        <w:t>: European Union, 2016.</w:t>
      </w:r>
    </w:p>
    <w:p w14:paraId="443B931E" w14:textId="77777777" w:rsidR="00330E1E" w:rsidRPr="00330E1E" w:rsidRDefault="00330E1E" w:rsidP="00330E1E">
      <w:pPr>
        <w:pStyle w:val="EndNoteBibliography"/>
        <w:spacing w:after="0"/>
      </w:pPr>
      <w:r w:rsidRPr="00330E1E">
        <w:t>182.</w:t>
      </w:r>
      <w:r w:rsidRPr="00330E1E">
        <w:tab/>
        <w:t>Yardley L, Donovan-Hall M, Francis K, Todd C. Older people's views of advice about falls prevention: a qualitative study. Health Educ Res. 2006;21(4):508-17. doi: 10.1093/her/cyh077. PubMed PMID: 16467173.</w:t>
      </w:r>
    </w:p>
    <w:p w14:paraId="49FCB885" w14:textId="77777777" w:rsidR="00330E1E" w:rsidRPr="00330E1E" w:rsidRDefault="00330E1E" w:rsidP="00330E1E">
      <w:pPr>
        <w:pStyle w:val="EndNoteBibliography"/>
        <w:spacing w:after="0"/>
      </w:pPr>
      <w:r w:rsidRPr="00330E1E">
        <w:t>183.</w:t>
      </w:r>
      <w:r w:rsidRPr="00330E1E">
        <w:tab/>
        <w:t>Racine E, Soye A, Barry P, Cronin F, Hosford O, Moriarty E, et al. ‘I’ve always done what I was told by the medical people’: a qualitative study of the reasons why older adults attend multifactorial falls risk assessments mapped to the Theoretical Domains Framework. BMJ open. 2020;10(2).</w:t>
      </w:r>
    </w:p>
    <w:p w14:paraId="49B03085" w14:textId="77777777" w:rsidR="00330E1E" w:rsidRPr="00330E1E" w:rsidRDefault="00330E1E" w:rsidP="00330E1E">
      <w:pPr>
        <w:pStyle w:val="EndNoteBibliography"/>
        <w:spacing w:after="0"/>
      </w:pPr>
      <w:r w:rsidRPr="00330E1E">
        <w:t>184.</w:t>
      </w:r>
      <w:r w:rsidRPr="00330E1E">
        <w:tab/>
        <w:t>Vernon S, Ross F. Participation in community exercise classes: barriers to access. British journal of community nursing. 2008;13(2):89-92.</w:t>
      </w:r>
    </w:p>
    <w:p w14:paraId="3BEAAEA6" w14:textId="77777777" w:rsidR="00330E1E" w:rsidRPr="00330E1E" w:rsidRDefault="00330E1E" w:rsidP="00330E1E">
      <w:pPr>
        <w:pStyle w:val="EndNoteBibliography"/>
        <w:spacing w:after="0"/>
      </w:pPr>
      <w:r w:rsidRPr="00330E1E">
        <w:t>185.</w:t>
      </w:r>
      <w:r w:rsidRPr="00330E1E">
        <w:tab/>
        <w:t>Worum H, Lillekroken D, Ahlsen B, Roaldsen KS, Bergland A. Bridging the gap between research-based knowledge and clinical practice: a qualitative examination of patients and physiotherapists’ views on the Otago exercise Programme. BMC geriatrics. 2019;19(1):1-18.</w:t>
      </w:r>
    </w:p>
    <w:p w14:paraId="06FB69C2" w14:textId="77777777" w:rsidR="00330E1E" w:rsidRPr="00330E1E" w:rsidRDefault="00330E1E" w:rsidP="00330E1E">
      <w:pPr>
        <w:pStyle w:val="EndNoteBibliography"/>
        <w:spacing w:after="0"/>
      </w:pPr>
      <w:r w:rsidRPr="00330E1E">
        <w:t>186.</w:t>
      </w:r>
      <w:r w:rsidRPr="00330E1E">
        <w:tab/>
        <w:t>Finnegan S, Bruce J, Seers K. What enables older people to continue with their falls prevention exercises? A qualitative systematic review. BMJ open. 2019;9(4):e026074.</w:t>
      </w:r>
    </w:p>
    <w:p w14:paraId="1B69A59C" w14:textId="77777777" w:rsidR="00330E1E" w:rsidRPr="00330E1E" w:rsidRDefault="00330E1E" w:rsidP="00330E1E">
      <w:pPr>
        <w:pStyle w:val="EndNoteBibliography"/>
        <w:spacing w:after="0"/>
      </w:pPr>
      <w:r w:rsidRPr="00330E1E">
        <w:t>187.</w:t>
      </w:r>
      <w:r w:rsidRPr="00330E1E">
        <w:tab/>
        <w:t>Booth A. A methodological update on the use of qualitative evidence in Health Technology Assessment 2020.</w:t>
      </w:r>
    </w:p>
    <w:p w14:paraId="5D1E0BE8" w14:textId="29AAC791" w:rsidR="00330E1E" w:rsidRPr="00330E1E" w:rsidRDefault="00330E1E" w:rsidP="00330E1E">
      <w:pPr>
        <w:pStyle w:val="EndNoteBibliography"/>
        <w:spacing w:after="0"/>
      </w:pPr>
      <w:r w:rsidRPr="00330E1E">
        <w:t>188.</w:t>
      </w:r>
      <w:r w:rsidRPr="00330E1E">
        <w:tab/>
        <w:t xml:space="preserve">Lysdahl K, Mozygemba K, Burns J, Chilcott J, Bronneke J, Hofmann B. Guidance for assessing effectiveness, economic aspects, ethical aspects, socio-cultural aspects and legal aspects in complex technologies. Available from: </w:t>
      </w:r>
      <w:hyperlink r:id="rId43" w:history="1">
        <w:r w:rsidRPr="00330E1E">
          <w:rPr>
            <w:rStyle w:val="Hyperlink"/>
          </w:rPr>
          <w:t>http://www.integrate-hta.eu/downloads/</w:t>
        </w:r>
      </w:hyperlink>
      <w:r w:rsidRPr="00330E1E">
        <w:t>: European Union, 2016.</w:t>
      </w:r>
    </w:p>
    <w:p w14:paraId="0BD26816" w14:textId="77777777" w:rsidR="00330E1E" w:rsidRPr="00330E1E" w:rsidRDefault="00330E1E" w:rsidP="00330E1E">
      <w:pPr>
        <w:pStyle w:val="EndNoteBibliography"/>
        <w:spacing w:after="0"/>
      </w:pPr>
      <w:r w:rsidRPr="00330E1E">
        <w:t>189.</w:t>
      </w:r>
      <w:r w:rsidRPr="00330E1E">
        <w:tab/>
        <w:t>Schüz B, Wurm S, Warner LM, Wolff JK, Schwarzer R. Health motives and health behaviour self-regulation in older adults. Journal of behavioral medicine. 2014;37(3):491-500.</w:t>
      </w:r>
    </w:p>
    <w:p w14:paraId="53820DC2" w14:textId="77777777" w:rsidR="00330E1E" w:rsidRPr="00330E1E" w:rsidRDefault="00330E1E" w:rsidP="00330E1E">
      <w:pPr>
        <w:pStyle w:val="EndNoteBibliography"/>
        <w:spacing w:after="0"/>
      </w:pPr>
      <w:r w:rsidRPr="00330E1E">
        <w:t>190.</w:t>
      </w:r>
      <w:r w:rsidRPr="00330E1E">
        <w:tab/>
        <w:t>Stevens A, Gabbay J. Needs assessment needs assessment. Health trends. 1991;23(1):20-3.</w:t>
      </w:r>
    </w:p>
    <w:p w14:paraId="7CCE468A" w14:textId="77777777" w:rsidR="00330E1E" w:rsidRPr="00330E1E" w:rsidRDefault="00330E1E" w:rsidP="00330E1E">
      <w:pPr>
        <w:pStyle w:val="EndNoteBibliography"/>
        <w:spacing w:after="0"/>
      </w:pPr>
      <w:r w:rsidRPr="00330E1E">
        <w:t>191.</w:t>
      </w:r>
      <w:r w:rsidRPr="00330E1E">
        <w:tab/>
        <w:t>Ritchie J, Spencer L. Qualitative data analysis for applied policy research.  Analyzing qualitative data: Routledge; 2002. p. 187-208.</w:t>
      </w:r>
    </w:p>
    <w:p w14:paraId="6E8502BB" w14:textId="77777777" w:rsidR="00330E1E" w:rsidRPr="00330E1E" w:rsidRDefault="00330E1E" w:rsidP="00330E1E">
      <w:pPr>
        <w:pStyle w:val="EndNoteBibliography"/>
        <w:spacing w:after="0"/>
      </w:pPr>
      <w:r w:rsidRPr="00330E1E">
        <w:t>192.</w:t>
      </w:r>
      <w:r w:rsidRPr="00330E1E">
        <w:tab/>
        <w:t>Yardley L, Bishop FL, Beyer N, Hauer K, Kempen GI, Piot-Ziegler C, et al. Older people's views of falls-prevention interventions in six European countries. The Gerontologist. 2006;46(5):650-60.</w:t>
      </w:r>
    </w:p>
    <w:p w14:paraId="7C244499" w14:textId="687B10EA" w:rsidR="00330E1E" w:rsidRPr="00330E1E" w:rsidRDefault="00330E1E" w:rsidP="00330E1E">
      <w:pPr>
        <w:pStyle w:val="EndNoteBibliography"/>
        <w:spacing w:after="0"/>
      </w:pPr>
      <w:r w:rsidRPr="00330E1E">
        <w:t>193.</w:t>
      </w:r>
      <w:r w:rsidRPr="00330E1E">
        <w:tab/>
        <w:t xml:space="preserve">Lamb SE, Mistry D, Alleyne S, Atherton N, Brown D, Copsey B, et al. Aerobic and strength training exercise programme for cognitive impairment in people with mild to moderate dementia: the DAPA RCT. Health technology assessment. 2018;22(28):1-202. doi: </w:t>
      </w:r>
      <w:hyperlink r:id="rId44" w:history="1">
        <w:r w:rsidRPr="00330E1E">
          <w:rPr>
            <w:rStyle w:val="Hyperlink"/>
          </w:rPr>
          <w:t>https://dx.doi.org/10.3310/hta22280</w:t>
        </w:r>
      </w:hyperlink>
      <w:r w:rsidRPr="00330E1E">
        <w:t>.</w:t>
      </w:r>
    </w:p>
    <w:p w14:paraId="2A620054" w14:textId="72C437E1" w:rsidR="00330E1E" w:rsidRPr="00330E1E" w:rsidRDefault="00330E1E" w:rsidP="00330E1E">
      <w:pPr>
        <w:pStyle w:val="EndNoteBibliography"/>
        <w:spacing w:after="0"/>
      </w:pPr>
      <w:r w:rsidRPr="00330E1E">
        <w:t>194.</w:t>
      </w:r>
      <w:r w:rsidRPr="00330E1E">
        <w:tab/>
        <w:t xml:space="preserve">Cockayne S, Rodgers S, Green L, Fairhurst C, Adamson J, Scantlebury A, et al. Clinical effectiveness and cost-effectiveness of a multifaceted podiatry intervention for falls prevention in older people: a multicentre cohort randomised controlled trial (the REducing Falls with ORthoses and a Multifaceted podiatry intervention trial). Health technology assessment (Winchester, England). 2017;21(24):1-198. doi: </w:t>
      </w:r>
      <w:hyperlink r:id="rId45" w:history="1">
        <w:r w:rsidRPr="00330E1E">
          <w:rPr>
            <w:rStyle w:val="Hyperlink"/>
          </w:rPr>
          <w:t>https://dx.doi.org/10.3310/hta21240</w:t>
        </w:r>
      </w:hyperlink>
      <w:r w:rsidRPr="00330E1E">
        <w:t>.</w:t>
      </w:r>
    </w:p>
    <w:p w14:paraId="251EF6E4" w14:textId="77777777" w:rsidR="00330E1E" w:rsidRPr="00330E1E" w:rsidRDefault="00330E1E" w:rsidP="00330E1E">
      <w:pPr>
        <w:pStyle w:val="EndNoteBibliography"/>
        <w:spacing w:after="0"/>
      </w:pPr>
      <w:r w:rsidRPr="00330E1E">
        <w:t>195.</w:t>
      </w:r>
      <w:r w:rsidRPr="00330E1E">
        <w:tab/>
        <w:t>Vella-Burrows T, Pickard A, Wilson L, Clift S, Whitfield L. ‘Dance to Health’: an evaluation of health, social and dance interest outcomes of a dance programme for the prevention of falls. Arts &amp; Health. 2019:1-15.</w:t>
      </w:r>
    </w:p>
    <w:p w14:paraId="7F055FB5" w14:textId="77777777" w:rsidR="00330E1E" w:rsidRPr="00330E1E" w:rsidRDefault="00330E1E" w:rsidP="00330E1E">
      <w:pPr>
        <w:pStyle w:val="EndNoteBibliography"/>
        <w:spacing w:after="0"/>
      </w:pPr>
      <w:r w:rsidRPr="00330E1E">
        <w:t>196.</w:t>
      </w:r>
      <w:r w:rsidRPr="00330E1E">
        <w:tab/>
        <w:t>Sport Industry Research Centre. Dance to Health 'Phase 1 roll-out [test and learn]' evaluation. Sheffield Hallam University. 2019.</w:t>
      </w:r>
    </w:p>
    <w:p w14:paraId="010AFA5A" w14:textId="77777777" w:rsidR="00330E1E" w:rsidRPr="00330E1E" w:rsidRDefault="00330E1E" w:rsidP="00330E1E">
      <w:pPr>
        <w:pStyle w:val="EndNoteBibliography"/>
        <w:spacing w:after="0"/>
      </w:pPr>
      <w:r w:rsidRPr="00330E1E">
        <w:t>197.</w:t>
      </w:r>
      <w:r w:rsidRPr="00330E1E">
        <w:tab/>
        <w:t>Ory M, Hoffman MK, Hawkins M, Sanner B, Mockenhaupt R. Challenging aging stereotypes: Strategies for creating a more active society. American journal of preventive medicine. 2003;25(3):164-71.</w:t>
      </w:r>
    </w:p>
    <w:p w14:paraId="0984BAEE" w14:textId="77777777" w:rsidR="00330E1E" w:rsidRPr="00330E1E" w:rsidRDefault="00330E1E" w:rsidP="00330E1E">
      <w:pPr>
        <w:pStyle w:val="EndNoteBibliography"/>
        <w:spacing w:after="0"/>
      </w:pPr>
      <w:r w:rsidRPr="00330E1E">
        <w:t>198.</w:t>
      </w:r>
      <w:r w:rsidRPr="00330E1E">
        <w:tab/>
        <w:t>French DP, Olander EK, Chisholm A, Mc Sharry J. Which behaviour change techniques are most effective at increasing older adults’ self-efficacy and physical activity behaviour? A systematic review. Annals of Behavioral Medicine. 2014;48(2):225-34.</w:t>
      </w:r>
    </w:p>
    <w:p w14:paraId="259C07D6" w14:textId="77777777" w:rsidR="00330E1E" w:rsidRPr="00330E1E" w:rsidRDefault="00330E1E" w:rsidP="00330E1E">
      <w:pPr>
        <w:pStyle w:val="EndNoteBibliography"/>
        <w:spacing w:after="0"/>
      </w:pPr>
      <w:r w:rsidRPr="00330E1E">
        <w:t>199.</w:t>
      </w:r>
      <w:r w:rsidRPr="00330E1E">
        <w:tab/>
        <w:t>Fenwick E, Claxton K, Sculpher M. The value of implementation and the value of information: combined and uneven development. Medical Decision Making. 2008;28(1):21-32.</w:t>
      </w:r>
    </w:p>
    <w:p w14:paraId="09D78162" w14:textId="1431895B" w:rsidR="00330E1E" w:rsidRPr="00330E1E" w:rsidRDefault="00330E1E" w:rsidP="00330E1E">
      <w:pPr>
        <w:pStyle w:val="EndNoteBibliography"/>
        <w:spacing w:after="0"/>
      </w:pPr>
      <w:r w:rsidRPr="00330E1E">
        <w:t>200.</w:t>
      </w:r>
      <w:r w:rsidRPr="00330E1E">
        <w:tab/>
        <w:t xml:space="preserve">Howland J, Shankar KN, Peterson EW, Taylor AA. Savings in acute care costs if all older adults treated for fall-related injuries completed matter of balance. Injury Epidemiology. 2015;2(1):25. doi: </w:t>
      </w:r>
      <w:hyperlink r:id="rId46" w:history="1">
        <w:r w:rsidRPr="00330E1E">
          <w:rPr>
            <w:rStyle w:val="Hyperlink"/>
          </w:rPr>
          <w:t>http://dx.doi.org/10.1186/s40621-015-0058-z</w:t>
        </w:r>
      </w:hyperlink>
      <w:r w:rsidRPr="00330E1E">
        <w:t>.</w:t>
      </w:r>
    </w:p>
    <w:p w14:paraId="16BADE33" w14:textId="77777777" w:rsidR="00330E1E" w:rsidRPr="00330E1E" w:rsidRDefault="00330E1E" w:rsidP="00330E1E">
      <w:pPr>
        <w:pStyle w:val="EndNoteBibliography"/>
        <w:spacing w:after="0"/>
      </w:pPr>
      <w:r w:rsidRPr="00330E1E">
        <w:t>201.</w:t>
      </w:r>
      <w:r w:rsidRPr="00330E1E">
        <w:tab/>
        <w:t>Bunn F, Dickinson A, Barnett-Page E, Mcinnes E, Horton K. A systematic review of older people's perceptions of facilitators and barriers to participation in falls-prevention interventions. Ageing &amp; Society. 2008;28(4):449-72.</w:t>
      </w:r>
    </w:p>
    <w:p w14:paraId="23013FA9" w14:textId="77777777" w:rsidR="00330E1E" w:rsidRPr="00330E1E" w:rsidRDefault="00330E1E" w:rsidP="00330E1E">
      <w:pPr>
        <w:pStyle w:val="EndNoteBibliography"/>
        <w:spacing w:after="0"/>
      </w:pPr>
      <w:r w:rsidRPr="00330E1E">
        <w:t>202.</w:t>
      </w:r>
      <w:r w:rsidRPr="00330E1E">
        <w:tab/>
        <w:t>Dickinson A, Horton K, Machen I, Bunn F, Cove J, Jain D, et al. The role of health professionals in promoting the uptake of fall prevention interventions: a qualitative study of older people's views. Age and ageing. 2011;40(6):724-30.</w:t>
      </w:r>
    </w:p>
    <w:p w14:paraId="05CA3CE7" w14:textId="77777777" w:rsidR="00330E1E" w:rsidRPr="00330E1E" w:rsidRDefault="00330E1E" w:rsidP="00330E1E">
      <w:pPr>
        <w:pStyle w:val="EndNoteBibliography"/>
        <w:spacing w:after="0"/>
      </w:pPr>
      <w:r w:rsidRPr="00330E1E">
        <w:t>203.</w:t>
      </w:r>
      <w:r w:rsidRPr="00330E1E">
        <w:tab/>
        <w:t>Stead M, Wimbush E, Eadie D, Teer P. A qualitative study of older people's perceptions of ageing and exercise: the implications for health promotion. Health Education Journal. 1997;56(1):3-16.</w:t>
      </w:r>
    </w:p>
    <w:p w14:paraId="67A033B1" w14:textId="77777777" w:rsidR="00330E1E" w:rsidRPr="00330E1E" w:rsidRDefault="00330E1E" w:rsidP="00330E1E">
      <w:pPr>
        <w:pStyle w:val="EndNoteBibliography"/>
        <w:spacing w:after="0"/>
      </w:pPr>
      <w:r w:rsidRPr="00330E1E">
        <w:t>204.</w:t>
      </w:r>
      <w:r w:rsidRPr="00330E1E">
        <w:tab/>
        <w:t>Barmentloo LM, Olij BF, Erasmus V, Smilde D, Schoon Y, Polinder S. Personal preferences of participation in fall prevention programmes: a descriptive study. BMC geriatrics. 2020;20(1):1-12.</w:t>
      </w:r>
    </w:p>
    <w:p w14:paraId="68B3B923" w14:textId="77777777" w:rsidR="00330E1E" w:rsidRPr="00330E1E" w:rsidRDefault="00330E1E" w:rsidP="00330E1E">
      <w:pPr>
        <w:pStyle w:val="EndNoteBibliography"/>
        <w:spacing w:after="0"/>
      </w:pPr>
      <w:r w:rsidRPr="00330E1E">
        <w:t>205.</w:t>
      </w:r>
      <w:r w:rsidRPr="00330E1E">
        <w:tab/>
        <w:t>Stanmore EK, Mavroeidi A, de Jong LD, Skelton DA, Sutton CJ, Benedetto V, et al. The effectiveness and cost-effectiveness of strength and balance Exergames to reduce falls risk for people aged 55 years and older in UK assisted living facilities: a multi-centre, cluster randomised controlled trial. BMC medicine. 2019;17(1):1-14.</w:t>
      </w:r>
    </w:p>
    <w:p w14:paraId="3CC36340" w14:textId="77777777" w:rsidR="00330E1E" w:rsidRPr="00330E1E" w:rsidRDefault="00330E1E" w:rsidP="00330E1E">
      <w:pPr>
        <w:pStyle w:val="EndNoteBibliography"/>
        <w:spacing w:after="0"/>
      </w:pPr>
      <w:r w:rsidRPr="00330E1E">
        <w:t>206.</w:t>
      </w:r>
      <w:r w:rsidRPr="00330E1E">
        <w:tab/>
        <w:t>Wilson N, Kvizhinadze G, Pega F, Nair N, Blakely T. Home modification to reduce falls at a health district level: Modeling health gain, health inequalities and health costs. PloS one. 2017;12(9):e0184538.</w:t>
      </w:r>
    </w:p>
    <w:p w14:paraId="5C062040" w14:textId="46D4FD56" w:rsidR="00330E1E" w:rsidRPr="00330E1E" w:rsidRDefault="00330E1E" w:rsidP="00330E1E">
      <w:pPr>
        <w:pStyle w:val="EndNoteBibliography"/>
        <w:spacing w:after="0"/>
      </w:pPr>
      <w:r w:rsidRPr="00330E1E">
        <w:t>207.</w:t>
      </w:r>
      <w:r w:rsidRPr="00330E1E">
        <w:tab/>
        <w:t xml:space="preserve">Comans T, Brauer S, Haines T. A break-even analysis of a community rehabilitation falls prevention service. Australian and New Zealand journal of public health. 2009;33(3):240-5. doi: </w:t>
      </w:r>
      <w:hyperlink r:id="rId47" w:history="1">
        <w:r w:rsidRPr="00330E1E">
          <w:rPr>
            <w:rStyle w:val="Hyperlink"/>
          </w:rPr>
          <w:t>https://dx.doi.org/10.1111/j.1753-6405.2009.00382.x</w:t>
        </w:r>
      </w:hyperlink>
      <w:r w:rsidRPr="00330E1E">
        <w:t>.</w:t>
      </w:r>
    </w:p>
    <w:p w14:paraId="7FE08587" w14:textId="77777777" w:rsidR="00330E1E" w:rsidRPr="00330E1E" w:rsidRDefault="00330E1E" w:rsidP="00330E1E">
      <w:pPr>
        <w:pStyle w:val="EndNoteBibliography"/>
        <w:spacing w:after="0"/>
      </w:pPr>
      <w:r w:rsidRPr="00330E1E">
        <w:t>208.</w:t>
      </w:r>
      <w:r w:rsidRPr="00330E1E">
        <w:tab/>
        <w:t>Markle-Reid MF, Dykeman CS, Reimer HD, Boratto LJ, Goodall CE, McGugan JL. Engaging community organizations in falls prevention for older adults: moving from research to action. Can J Public Health. 2015;106(4):189-96.</w:t>
      </w:r>
    </w:p>
    <w:p w14:paraId="780E6F02" w14:textId="77777777" w:rsidR="00330E1E" w:rsidRPr="00330E1E" w:rsidRDefault="00330E1E" w:rsidP="00330E1E">
      <w:pPr>
        <w:pStyle w:val="EndNoteBibliography"/>
        <w:spacing w:after="0"/>
      </w:pPr>
      <w:r w:rsidRPr="00330E1E">
        <w:t>209.</w:t>
      </w:r>
      <w:r w:rsidRPr="00330E1E">
        <w:tab/>
        <w:t>Sheffield Teaching Hospitals. Perfect Patient Pathway Test Bed Overview Report. Sheffield Teaching Hospitals NHS Foundation Trust, 2019.</w:t>
      </w:r>
    </w:p>
    <w:p w14:paraId="2638EC54" w14:textId="77777777" w:rsidR="00330E1E" w:rsidRPr="00330E1E" w:rsidRDefault="00330E1E" w:rsidP="00330E1E">
      <w:pPr>
        <w:pStyle w:val="EndNoteBibliography"/>
        <w:spacing w:after="0"/>
      </w:pPr>
      <w:r w:rsidRPr="00330E1E">
        <w:t>210.</w:t>
      </w:r>
      <w:r w:rsidRPr="00330E1E">
        <w:tab/>
        <w:t>Lach HW, Krampe J, Phongphanngam S. Best practice in fall prevention: roles of informal caregivers, health care providers and the community. International journal of older people nursing. 2011;6(4):299-306.</w:t>
      </w:r>
    </w:p>
    <w:p w14:paraId="70CBC627" w14:textId="77777777" w:rsidR="00330E1E" w:rsidRPr="00330E1E" w:rsidRDefault="00330E1E" w:rsidP="00330E1E">
      <w:pPr>
        <w:pStyle w:val="EndNoteBibliography"/>
        <w:spacing w:after="0"/>
      </w:pPr>
      <w:r w:rsidRPr="00330E1E">
        <w:t>211.</w:t>
      </w:r>
      <w:r w:rsidRPr="00330E1E">
        <w:tab/>
        <w:t>Tappenden P. Conceptual modelling for health economic model development. HEDS Discussion Paper 12/05. 2012.</w:t>
      </w:r>
    </w:p>
    <w:p w14:paraId="743949FC" w14:textId="77777777" w:rsidR="00330E1E" w:rsidRPr="00330E1E" w:rsidRDefault="00330E1E" w:rsidP="00330E1E">
      <w:pPr>
        <w:pStyle w:val="EndNoteBibliography"/>
        <w:spacing w:after="0"/>
      </w:pPr>
      <w:r w:rsidRPr="00330E1E">
        <w:t>212.</w:t>
      </w:r>
      <w:r w:rsidRPr="00330E1E">
        <w:tab/>
        <w:t>Griffiths I. Sheffield Clinical Commissioning Group Active Support and Recovery update: governing body meeting. 2015.</w:t>
      </w:r>
    </w:p>
    <w:p w14:paraId="7C08E225" w14:textId="77777777" w:rsidR="00330E1E" w:rsidRPr="00330E1E" w:rsidRDefault="00330E1E" w:rsidP="00330E1E">
      <w:pPr>
        <w:pStyle w:val="EndNoteBibliography"/>
        <w:spacing w:after="0"/>
      </w:pPr>
      <w:r w:rsidRPr="00330E1E">
        <w:t>213.</w:t>
      </w:r>
      <w:r w:rsidRPr="00330E1E">
        <w:tab/>
        <w:t>Sheffield Health and Wellbeing Board. Sheffield's Better Care Fund Update. Health and Wellbeing Board Paper: Formal Public Meeting. 2019.</w:t>
      </w:r>
    </w:p>
    <w:p w14:paraId="01C96157" w14:textId="77777777" w:rsidR="00330E1E" w:rsidRPr="00330E1E" w:rsidRDefault="00330E1E" w:rsidP="00330E1E">
      <w:pPr>
        <w:pStyle w:val="EndNoteBibliography"/>
        <w:spacing w:after="0"/>
      </w:pPr>
      <w:r w:rsidRPr="00330E1E">
        <w:t>214.</w:t>
      </w:r>
      <w:r w:rsidRPr="00330E1E">
        <w:tab/>
        <w:t>Beswick AD, Gooberman-Hill R, Smith A, Wylde V, Ebrahim S. Maintaining independence in older people. Reviews in Clinical Gerontology. 2010;20(2):128-53.</w:t>
      </w:r>
    </w:p>
    <w:p w14:paraId="3806AB3E" w14:textId="77777777" w:rsidR="00330E1E" w:rsidRPr="00330E1E" w:rsidRDefault="00330E1E" w:rsidP="00330E1E">
      <w:pPr>
        <w:pStyle w:val="EndNoteBibliography"/>
        <w:spacing w:after="0"/>
      </w:pPr>
      <w:r w:rsidRPr="00330E1E">
        <w:t>215.</w:t>
      </w:r>
      <w:r w:rsidRPr="00330E1E">
        <w:tab/>
        <w:t>Katsaliaki K, Brailsford S, Browning D, Knight P. Mapping care pathways for the elderly. Journal of health organization and management. 2005;19(1):57-72.</w:t>
      </w:r>
    </w:p>
    <w:p w14:paraId="143A4ABE" w14:textId="77777777" w:rsidR="00330E1E" w:rsidRPr="00330E1E" w:rsidRDefault="00330E1E" w:rsidP="00330E1E">
      <w:pPr>
        <w:pStyle w:val="EndNoteBibliography"/>
        <w:spacing w:after="0"/>
      </w:pPr>
      <w:r w:rsidRPr="00330E1E">
        <w:t>216.</w:t>
      </w:r>
      <w:r w:rsidRPr="00330E1E">
        <w:tab/>
        <w:t>Public Health England. A Return on Investment Tool for the Assessment of Falls Prevention Programmes for Older People Living in the Community. Public Health England. 2018.</w:t>
      </w:r>
    </w:p>
    <w:p w14:paraId="1B1B4690" w14:textId="77777777" w:rsidR="00330E1E" w:rsidRPr="00330E1E" w:rsidRDefault="00330E1E" w:rsidP="00330E1E">
      <w:pPr>
        <w:pStyle w:val="EndNoteBibliography"/>
        <w:spacing w:after="0"/>
      </w:pPr>
      <w:r w:rsidRPr="00330E1E">
        <w:t>217.</w:t>
      </w:r>
      <w:r w:rsidRPr="00330E1E">
        <w:tab/>
        <w:t>Ambrose AF, Paul G, Hausdorff JM. Risk factors for falls among older adults: A review of the literature. Maturitas. 2013;75(1):51-61. doi: 10.1016/j.maturitas.2013.02.009. PubMed PMID: WOS:000318392500008.</w:t>
      </w:r>
    </w:p>
    <w:p w14:paraId="2BC8294B" w14:textId="77777777" w:rsidR="00330E1E" w:rsidRPr="00330E1E" w:rsidRDefault="00330E1E" w:rsidP="00330E1E">
      <w:pPr>
        <w:pStyle w:val="EndNoteBibliography"/>
        <w:spacing w:after="0"/>
      </w:pPr>
      <w:r w:rsidRPr="00330E1E">
        <w:t>218.</w:t>
      </w:r>
      <w:r w:rsidRPr="00330E1E">
        <w:tab/>
        <w:t>Davis J, Robertson M, Ashe M, Liu-Ambrose T, Khan K, Marra C. International comparison of cost of falls in older adults living in the community: a systematic review. Osteoporosis international. 2010;21(8):1295-306.</w:t>
      </w:r>
    </w:p>
    <w:p w14:paraId="4B6D0B68" w14:textId="77777777" w:rsidR="00330E1E" w:rsidRPr="00330E1E" w:rsidRDefault="00330E1E" w:rsidP="00330E1E">
      <w:pPr>
        <w:pStyle w:val="EndNoteBibliography"/>
        <w:spacing w:after="0"/>
      </w:pPr>
      <w:r w:rsidRPr="00330E1E">
        <w:t>219.</w:t>
      </w:r>
      <w:r w:rsidRPr="00330E1E">
        <w:tab/>
        <w:t>Panel on Prevention of Falls in Older Persons, American Geriatrics Society, British Geriatrics Society. Summary of the updated American Geriatrics Society/British Geriatrics Society clinical practice guideline for prevention of falls in older persons. Journal of the American Geriatrics Society. 2011;59(1):148-57.</w:t>
      </w:r>
    </w:p>
    <w:p w14:paraId="6FBA35B8" w14:textId="77777777" w:rsidR="00330E1E" w:rsidRPr="00330E1E" w:rsidRDefault="00330E1E" w:rsidP="00330E1E">
      <w:pPr>
        <w:pStyle w:val="EndNoteBibliography"/>
        <w:spacing w:after="0"/>
      </w:pPr>
      <w:r w:rsidRPr="00330E1E">
        <w:t>220.</w:t>
      </w:r>
      <w:r w:rsidRPr="00330E1E">
        <w:tab/>
        <w:t>Lee SH, Yu S. Effectiveness of multifactorial interventions in preventing falls among older adults in the community: a systematic review and meta-analysis. International journal of nursing studies. 2020;106:103564.</w:t>
      </w:r>
    </w:p>
    <w:p w14:paraId="397D1E5B" w14:textId="77777777" w:rsidR="00330E1E" w:rsidRPr="00330E1E" w:rsidRDefault="00330E1E" w:rsidP="00330E1E">
      <w:pPr>
        <w:pStyle w:val="EndNoteBibliography"/>
        <w:spacing w:after="0"/>
      </w:pPr>
      <w:r w:rsidRPr="00330E1E">
        <w:t>221.</w:t>
      </w:r>
      <w:r w:rsidRPr="00330E1E">
        <w:tab/>
        <w:t>Salleh S, Thokala P, Brennan A, Hughes R, Dixon S. Discrete event simulation-based resource modelling in health technology assessment. Pharmacoeconomics. 2017;35(10):989-1006.</w:t>
      </w:r>
    </w:p>
    <w:p w14:paraId="2FD502B0" w14:textId="77777777" w:rsidR="00330E1E" w:rsidRPr="00330E1E" w:rsidRDefault="00330E1E" w:rsidP="00330E1E">
      <w:pPr>
        <w:pStyle w:val="EndNoteBibliography"/>
        <w:spacing w:after="0"/>
      </w:pPr>
      <w:r w:rsidRPr="00330E1E">
        <w:t>222.</w:t>
      </w:r>
      <w:r w:rsidRPr="00330E1E">
        <w:tab/>
        <w:t>Pidd M. Computer simulation in management science. Fifth edition. John Wiley &amp; Sons. 2004.</w:t>
      </w:r>
    </w:p>
    <w:p w14:paraId="230F583C" w14:textId="77777777" w:rsidR="00330E1E" w:rsidRPr="00330E1E" w:rsidRDefault="00330E1E" w:rsidP="00330E1E">
      <w:pPr>
        <w:pStyle w:val="EndNoteBibliography"/>
        <w:spacing w:after="0"/>
      </w:pPr>
      <w:r w:rsidRPr="00330E1E">
        <w:t>223.</w:t>
      </w:r>
      <w:r w:rsidRPr="00330E1E">
        <w:tab/>
        <w:t>Cameron I, Gillespie L, Robertson C, Murray G, Hill K, Cumming R, et al. Interventions for preventing falls in older people in care facilities and hospitals. Cochrane database of systematic reviews. 2012;12:CD005465-1.</w:t>
      </w:r>
    </w:p>
    <w:p w14:paraId="0C97836B" w14:textId="77777777" w:rsidR="00330E1E" w:rsidRPr="00330E1E" w:rsidRDefault="00330E1E" w:rsidP="00330E1E">
      <w:pPr>
        <w:pStyle w:val="EndNoteBibliography"/>
        <w:spacing w:after="0"/>
      </w:pPr>
      <w:r w:rsidRPr="00330E1E">
        <w:t>224.</w:t>
      </w:r>
      <w:r w:rsidRPr="00330E1E">
        <w:tab/>
        <w:t>Nyman SR, Victor CR. Older people's recruitment, sustained participation, and adherence to falls prevention interventions in institutional settings: a supplement to the Cochrane systematic review. Age and Ageing. 2011;40(4):430-6.</w:t>
      </w:r>
    </w:p>
    <w:p w14:paraId="331C9AA5" w14:textId="77777777" w:rsidR="00330E1E" w:rsidRPr="00330E1E" w:rsidRDefault="00330E1E" w:rsidP="00330E1E">
      <w:pPr>
        <w:pStyle w:val="EndNoteBibliography"/>
        <w:spacing w:after="0"/>
      </w:pPr>
      <w:r w:rsidRPr="00330E1E">
        <w:t>225.</w:t>
      </w:r>
      <w:r w:rsidRPr="00330E1E">
        <w:tab/>
        <w:t>Yardley L, Smith H. A prospective study of the relationship between feared consequences of falling and avoidance of activity in community-living older people. The Gerontologist. 2002;42(1):17-23.</w:t>
      </w:r>
    </w:p>
    <w:p w14:paraId="041E724D" w14:textId="77777777" w:rsidR="00330E1E" w:rsidRPr="00330E1E" w:rsidRDefault="00330E1E" w:rsidP="00330E1E">
      <w:pPr>
        <w:pStyle w:val="EndNoteBibliography"/>
        <w:spacing w:after="0"/>
      </w:pPr>
      <w:r w:rsidRPr="00330E1E">
        <w:t>226.</w:t>
      </w:r>
      <w:r w:rsidRPr="00330E1E">
        <w:tab/>
        <w:t>Scheffer AC, Schuurmans MJ, Van Dijk N, Van Der Hooft T, De Rooij SE. Fear of falling: measurement strategy, prevalence, risk factors and consequences among older persons. Age and ageing. 2008;37(1):19-24.</w:t>
      </w:r>
    </w:p>
    <w:p w14:paraId="4ED25008" w14:textId="77777777" w:rsidR="00330E1E" w:rsidRPr="00330E1E" w:rsidRDefault="00330E1E" w:rsidP="00330E1E">
      <w:pPr>
        <w:pStyle w:val="EndNoteBibliography"/>
        <w:spacing w:after="0"/>
      </w:pPr>
      <w:r w:rsidRPr="00330E1E">
        <w:t>227.</w:t>
      </w:r>
      <w:r w:rsidRPr="00330E1E">
        <w:tab/>
        <w:t>Sixsmith A, Sixsmith J. Ageing in place in the United Kingdom. Ageing International. 2008;32(3):219-35.</w:t>
      </w:r>
    </w:p>
    <w:p w14:paraId="5F928228" w14:textId="77777777" w:rsidR="00330E1E" w:rsidRPr="00330E1E" w:rsidRDefault="00330E1E" w:rsidP="00330E1E">
      <w:pPr>
        <w:pStyle w:val="EndNoteBibliography"/>
        <w:spacing w:after="0"/>
      </w:pPr>
      <w:r w:rsidRPr="00330E1E">
        <w:t>228.</w:t>
      </w:r>
      <w:r w:rsidRPr="00330E1E">
        <w:tab/>
        <w:t>Baker LA, Cahalin LP, Gerst K, Burr JA. Productive activities and subjective well-being among older adults: The influence of number of activities and time commitment. Social Indicators Research. 2005;73(3):431-58.</w:t>
      </w:r>
    </w:p>
    <w:p w14:paraId="47FD702A" w14:textId="77777777" w:rsidR="00330E1E" w:rsidRPr="00330E1E" w:rsidRDefault="00330E1E" w:rsidP="00330E1E">
      <w:pPr>
        <w:pStyle w:val="EndNoteBibliography"/>
        <w:spacing w:after="0"/>
      </w:pPr>
      <w:r w:rsidRPr="00330E1E">
        <w:t>229.</w:t>
      </w:r>
      <w:r w:rsidRPr="00330E1E">
        <w:tab/>
        <w:t>Wittenberg E, Prosser LA. Disutility of illness for caregivers and families: a systematic review of the literature. Pharmacoeconomics. 2013;31(6):489-500.</w:t>
      </w:r>
    </w:p>
    <w:p w14:paraId="3019E9C9" w14:textId="77777777" w:rsidR="00330E1E" w:rsidRPr="00330E1E" w:rsidRDefault="00330E1E" w:rsidP="00330E1E">
      <w:pPr>
        <w:pStyle w:val="EndNoteBibliography"/>
        <w:spacing w:after="0"/>
      </w:pPr>
      <w:r w:rsidRPr="00330E1E">
        <w:t>230.</w:t>
      </w:r>
      <w:r w:rsidRPr="00330E1E">
        <w:tab/>
        <w:t>Koopmanschap MA, van Exel NJA, van den Berg B, Brouwer WB. An overview of methods and applications to value informal care in economic evaluations of healthcare. Pharmacoeconomics. 2008;26(4):269-80.</w:t>
      </w:r>
    </w:p>
    <w:p w14:paraId="138CF9E9" w14:textId="77777777" w:rsidR="00330E1E" w:rsidRPr="00330E1E" w:rsidRDefault="00330E1E" w:rsidP="00330E1E">
      <w:pPr>
        <w:pStyle w:val="EndNoteBibliography"/>
        <w:spacing w:after="0"/>
      </w:pPr>
      <w:r w:rsidRPr="00330E1E">
        <w:t>231.</w:t>
      </w:r>
      <w:r w:rsidRPr="00330E1E">
        <w:tab/>
        <w:t>Coast J, Smith R, Lorgelly P. Should the capability approach be applied in health economics? Health economics. 2008;17(6):667-70.</w:t>
      </w:r>
    </w:p>
    <w:p w14:paraId="2CAFC6EA" w14:textId="77777777" w:rsidR="00330E1E" w:rsidRPr="00330E1E" w:rsidRDefault="00330E1E" w:rsidP="00330E1E">
      <w:pPr>
        <w:pStyle w:val="EndNoteBibliography"/>
        <w:spacing w:after="0"/>
      </w:pPr>
      <w:r w:rsidRPr="00330E1E">
        <w:t>232.</w:t>
      </w:r>
      <w:r w:rsidRPr="00330E1E">
        <w:tab/>
        <w:t>Williams A. Intergenerational equity: an exploration of the ‘fair innings’ argument. Health economics. 1997;6(2):117-32.</w:t>
      </w:r>
    </w:p>
    <w:p w14:paraId="0D5531B8" w14:textId="77777777" w:rsidR="00330E1E" w:rsidRPr="00330E1E" w:rsidRDefault="00330E1E" w:rsidP="00330E1E">
      <w:pPr>
        <w:pStyle w:val="EndNoteBibliography"/>
        <w:spacing w:after="0"/>
      </w:pPr>
      <w:r w:rsidRPr="00330E1E">
        <w:t>233.</w:t>
      </w:r>
      <w:r w:rsidRPr="00330E1E">
        <w:tab/>
        <w:t>Hwang J, Wang L, Siever J, Medico TD, Jones CA. Loneliness and social isolation among older adults in a community exercise program: a qualitative study. Aging &amp; mental health. 2019;23(6):736-42. Epub 2018/03/16. doi: 10.1080/13607863.2018.1450835. PubMed PMID: 29543517.</w:t>
      </w:r>
    </w:p>
    <w:p w14:paraId="627EFC4F" w14:textId="77777777" w:rsidR="00330E1E" w:rsidRPr="00330E1E" w:rsidRDefault="00330E1E" w:rsidP="00330E1E">
      <w:pPr>
        <w:pStyle w:val="EndNoteBibliography"/>
        <w:spacing w:after="0"/>
      </w:pPr>
      <w:r w:rsidRPr="00330E1E">
        <w:t>234.</w:t>
      </w:r>
      <w:r w:rsidRPr="00330E1E">
        <w:tab/>
        <w:t>Krol M, Brouwer W. How to estimate productivity costs in economic evaluations. Pharmacoeconomics. 2014;32(4):335-44.</w:t>
      </w:r>
    </w:p>
    <w:p w14:paraId="7CF3407E" w14:textId="77777777" w:rsidR="00330E1E" w:rsidRPr="00330E1E" w:rsidRDefault="00330E1E" w:rsidP="00330E1E">
      <w:pPr>
        <w:pStyle w:val="EndNoteBibliography"/>
        <w:spacing w:after="0"/>
      </w:pPr>
      <w:r w:rsidRPr="00330E1E">
        <w:t>235.</w:t>
      </w:r>
      <w:r w:rsidRPr="00330E1E">
        <w:tab/>
        <w:t>Nyman SR, Ingram W, Sanders J, Thomas PW, Thomas S, Vassallo M, et al. Randomised controlled trial of the effect of Tai Chi on postural balance of people with dementia. Clinical interventions in aging. 2019;14:2017.</w:t>
      </w:r>
    </w:p>
    <w:p w14:paraId="18F03552" w14:textId="77777777" w:rsidR="00330E1E" w:rsidRPr="00330E1E" w:rsidRDefault="00330E1E" w:rsidP="00330E1E">
      <w:pPr>
        <w:pStyle w:val="EndNoteBibliography"/>
        <w:spacing w:after="0"/>
      </w:pPr>
      <w:r w:rsidRPr="00330E1E">
        <w:t>236.</w:t>
      </w:r>
      <w:r w:rsidRPr="00330E1E">
        <w:tab/>
        <w:t>Kelly MP, Powell JE, Bartle N. Health needs assessment. Oxford Textbook of Global Public Health. 2015.</w:t>
      </w:r>
    </w:p>
    <w:p w14:paraId="4B4775A6" w14:textId="77777777" w:rsidR="00330E1E" w:rsidRPr="00330E1E" w:rsidRDefault="00330E1E" w:rsidP="00330E1E">
      <w:pPr>
        <w:pStyle w:val="EndNoteBibliography"/>
        <w:spacing w:after="0"/>
      </w:pPr>
      <w:r w:rsidRPr="00330E1E">
        <w:t>237.</w:t>
      </w:r>
      <w:r w:rsidRPr="00330E1E">
        <w:tab/>
        <w:t>Walker D, Aedo C. Methodological issues in assessing the cost-effectiveness of interventions to improve the health of older people.  Ageing Well. 127: ROUTLEDGE in association with GSE Research; 2007. p. 127-37.</w:t>
      </w:r>
    </w:p>
    <w:p w14:paraId="3B5A0F88" w14:textId="77777777" w:rsidR="00330E1E" w:rsidRPr="00330E1E" w:rsidRDefault="00330E1E" w:rsidP="00330E1E">
      <w:pPr>
        <w:pStyle w:val="EndNoteBibliography"/>
        <w:spacing w:after="0"/>
      </w:pPr>
      <w:r w:rsidRPr="00330E1E">
        <w:t>238.</w:t>
      </w:r>
      <w:r w:rsidRPr="00330E1E">
        <w:tab/>
        <w:t>Shiell A, Hawe P. Health promotion community development and the tyranny of individualism. Health economics. 1996;5(3):241-7.</w:t>
      </w:r>
    </w:p>
    <w:p w14:paraId="31136774" w14:textId="77777777" w:rsidR="00330E1E" w:rsidRPr="00330E1E" w:rsidRDefault="00330E1E" w:rsidP="00330E1E">
      <w:pPr>
        <w:pStyle w:val="EndNoteBibliography"/>
        <w:spacing w:after="0"/>
      </w:pPr>
      <w:r w:rsidRPr="00330E1E">
        <w:t>239.</w:t>
      </w:r>
      <w:r w:rsidRPr="00330E1E">
        <w:tab/>
        <w:t>Sculpher M. Subgroups and heterogeneity in cost-effectiveness analysis. Pharmacoeconomics. 2008;26(9):799-806.</w:t>
      </w:r>
    </w:p>
    <w:p w14:paraId="25DAC0FF" w14:textId="77777777" w:rsidR="00330E1E" w:rsidRPr="00330E1E" w:rsidRDefault="00330E1E" w:rsidP="00330E1E">
      <w:pPr>
        <w:pStyle w:val="EndNoteBibliography"/>
        <w:spacing w:after="0"/>
      </w:pPr>
      <w:r w:rsidRPr="00330E1E">
        <w:t>240.</w:t>
      </w:r>
      <w:r w:rsidRPr="00330E1E">
        <w:tab/>
        <w:t>Earnshaw SR, Richter A, Sorensen SW, Hoerger TJ, Hicks KA, Engelgau M, et al. Optimal allocation of resources across four interventions for type 2 diabetes. Medical Decision Making. 2002;22(1_suppl):80-91.</w:t>
      </w:r>
    </w:p>
    <w:p w14:paraId="30CC825F" w14:textId="48B62043" w:rsidR="00330E1E" w:rsidRPr="00330E1E" w:rsidRDefault="00330E1E" w:rsidP="00330E1E">
      <w:pPr>
        <w:pStyle w:val="EndNoteBibliography"/>
        <w:spacing w:after="0"/>
      </w:pPr>
      <w:r w:rsidRPr="00330E1E">
        <w:t>241.</w:t>
      </w:r>
      <w:r w:rsidRPr="00330E1E">
        <w:tab/>
        <w:t xml:space="preserve">Pega F, Kvizhinadze G, Blakely T, Atkinson J, Wilson N. Home safety assessment and modification to reduce injurious falls in community-dwelling older adults: cost-utility and equity analysis. Injury prevention : journal of the International Society for Child and Adolescent Injury Prevention. 2016;22(6):420-6. doi: </w:t>
      </w:r>
      <w:hyperlink r:id="rId48" w:history="1">
        <w:r w:rsidRPr="00330E1E">
          <w:rPr>
            <w:rStyle w:val="Hyperlink"/>
          </w:rPr>
          <w:t>https://dx.doi.org/10.1136/injuryprev-2016-041999</w:t>
        </w:r>
      </w:hyperlink>
      <w:r w:rsidRPr="00330E1E">
        <w:t>.</w:t>
      </w:r>
    </w:p>
    <w:p w14:paraId="5AF1D6BF" w14:textId="77777777" w:rsidR="00330E1E" w:rsidRPr="00330E1E" w:rsidRDefault="00330E1E" w:rsidP="00330E1E">
      <w:pPr>
        <w:pStyle w:val="EndNoteBibliography"/>
        <w:spacing w:after="0"/>
      </w:pPr>
      <w:r w:rsidRPr="00330E1E">
        <w:t>242.</w:t>
      </w:r>
      <w:r w:rsidRPr="00330E1E">
        <w:tab/>
        <w:t>Markle-Reid M, Dykeman C, Ploeg J, Stradiotto CK, Andrews A, Bonomo S, et al. Collaborative leadership and the implementation of community-based fall prevention initiatives: a multiple case study of public health practice within community groups. BMC health services research. 2017;17(1):141.</w:t>
      </w:r>
    </w:p>
    <w:p w14:paraId="7F1FBC79" w14:textId="77777777" w:rsidR="00330E1E" w:rsidRPr="00330E1E" w:rsidRDefault="00330E1E" w:rsidP="00330E1E">
      <w:pPr>
        <w:pStyle w:val="EndNoteBibliography"/>
        <w:spacing w:after="0"/>
      </w:pPr>
      <w:r w:rsidRPr="00330E1E">
        <w:t>243.</w:t>
      </w:r>
      <w:r w:rsidRPr="00330E1E">
        <w:tab/>
        <w:t>Dykeman CS, Markle-Reid MF, Boratto LJ, Bowes C, Gagné H, McGugan JL, et al. Community service provider perceptions of implementing older adult fall prevention in Ontario, Canada: a qualitative study. BMC geriatrics. 2018;18(1):34.</w:t>
      </w:r>
    </w:p>
    <w:p w14:paraId="60E1F831" w14:textId="77777777" w:rsidR="00330E1E" w:rsidRPr="00330E1E" w:rsidRDefault="00330E1E" w:rsidP="00330E1E">
      <w:pPr>
        <w:pStyle w:val="EndNoteBibliography"/>
        <w:spacing w:after="0"/>
      </w:pPr>
      <w:r w:rsidRPr="00330E1E">
        <w:t>244.</w:t>
      </w:r>
      <w:r w:rsidRPr="00330E1E">
        <w:tab/>
        <w:t>Tan AC, Clemson L, Mackenzie L, Sherrington C, Roberts C, Tiedemann A, et al. Strategies for recruitment in general practice settings: the iSOLVE fall prevention pragmatic cluster randomised controlled trial. BMC medical research methodology. 2019;19(1):236.</w:t>
      </w:r>
    </w:p>
    <w:p w14:paraId="04CA8662" w14:textId="1AA8858E" w:rsidR="00330E1E" w:rsidRPr="00330E1E" w:rsidRDefault="00330E1E" w:rsidP="00330E1E">
      <w:pPr>
        <w:pStyle w:val="EndNoteBibliography"/>
        <w:spacing w:after="0"/>
      </w:pPr>
      <w:r w:rsidRPr="00330E1E">
        <w:t>245.</w:t>
      </w:r>
      <w:r w:rsidRPr="00330E1E">
        <w:tab/>
        <w:t xml:space="preserve">Tricco AC, Thomas SM, Veroniki AA, Hamid JS, Cogo E, Strifler L, et al. Quality improvement strategies to prevent falls in older adults: a systematic review and network meta-analysis. Age and ageing. 2019;48(3):337-46. doi: </w:t>
      </w:r>
      <w:hyperlink r:id="rId49" w:history="1">
        <w:r w:rsidRPr="00330E1E">
          <w:rPr>
            <w:rStyle w:val="Hyperlink"/>
          </w:rPr>
          <w:t>https://dx.doi.org/10.1093/ageing/afy219</w:t>
        </w:r>
      </w:hyperlink>
      <w:r w:rsidRPr="00330E1E">
        <w:t>.</w:t>
      </w:r>
    </w:p>
    <w:p w14:paraId="47413735" w14:textId="34CCFB47" w:rsidR="00330E1E" w:rsidRPr="00330E1E" w:rsidRDefault="00330E1E" w:rsidP="00330E1E">
      <w:pPr>
        <w:pStyle w:val="EndNoteBibliography"/>
        <w:spacing w:after="0"/>
      </w:pPr>
      <w:r w:rsidRPr="00330E1E">
        <w:t>246.</w:t>
      </w:r>
      <w:r w:rsidRPr="00330E1E">
        <w:tab/>
        <w:t xml:space="preserve">Urban K, Wright PB, Hester AL, Curran G, Rojo M, Tsai PF. Evaluation of an education strategy versus usual care to implement the STEADI algorithm in primary care clinics in an academic medical center. Clinical interventions in aging. 2020;15:1059-66. doi: </w:t>
      </w:r>
      <w:hyperlink r:id="rId50" w:history="1">
        <w:r w:rsidRPr="00330E1E">
          <w:rPr>
            <w:rStyle w:val="Hyperlink"/>
          </w:rPr>
          <w:t>http://dx.doi.org/10.2147/CIA.S256416</w:t>
        </w:r>
      </w:hyperlink>
      <w:r w:rsidRPr="00330E1E">
        <w:t>.</w:t>
      </w:r>
    </w:p>
    <w:p w14:paraId="23D45CCE" w14:textId="77777777" w:rsidR="00330E1E" w:rsidRPr="00330E1E" w:rsidRDefault="00330E1E" w:rsidP="00330E1E">
      <w:pPr>
        <w:pStyle w:val="EndNoteBibliography"/>
        <w:spacing w:after="0"/>
      </w:pPr>
      <w:r w:rsidRPr="00330E1E">
        <w:t>247.</w:t>
      </w:r>
      <w:r w:rsidRPr="00330E1E">
        <w:tab/>
        <w:t>Mackenzie L, Beavis A-M, Tan AC, Clemson L. Systematic review and meta-analysis of intervention studies with general practitioner involvement focused on falls prevention for community-dwelling older people. Journal of aging and health. 2020:0898264320945168.</w:t>
      </w:r>
    </w:p>
    <w:p w14:paraId="493B300A" w14:textId="77777777" w:rsidR="00330E1E" w:rsidRPr="00330E1E" w:rsidRDefault="00330E1E" w:rsidP="00330E1E">
      <w:pPr>
        <w:pStyle w:val="EndNoteBibliography"/>
        <w:spacing w:after="0"/>
      </w:pPr>
      <w:r w:rsidRPr="00330E1E">
        <w:t>248.</w:t>
      </w:r>
      <w:r w:rsidRPr="00330E1E">
        <w:tab/>
        <w:t>Nyman SR, Ballinger C. A review to explore how allied health professionals can improve uptake of and adherence to falls prevention interventions. British Journal of Occupational Therapy. 2008;71(4):141-5.</w:t>
      </w:r>
    </w:p>
    <w:p w14:paraId="1DD1B0E8" w14:textId="77777777" w:rsidR="00330E1E" w:rsidRPr="00330E1E" w:rsidRDefault="00330E1E" w:rsidP="00330E1E">
      <w:pPr>
        <w:pStyle w:val="EndNoteBibliography"/>
        <w:spacing w:after="0"/>
      </w:pPr>
      <w:r w:rsidRPr="00330E1E">
        <w:t>249.</w:t>
      </w:r>
      <w:r w:rsidRPr="00330E1E">
        <w:tab/>
        <w:t>Li F, Harmer P, Fitzgerald K. Implementing an Evidence-Based Fall Prevention Intervention in Community Senior Centers. Am J Public Health. 2016;106(11):2026-31. doi: 10.2105/AJPH.2016.303386. PubMed PMID: 27631751; PubMed Central PMCID: PMCPMC5055774.</w:t>
      </w:r>
    </w:p>
    <w:p w14:paraId="33994892" w14:textId="77777777" w:rsidR="00330E1E" w:rsidRPr="00330E1E" w:rsidRDefault="00330E1E" w:rsidP="00330E1E">
      <w:pPr>
        <w:pStyle w:val="EndNoteBibliography"/>
        <w:spacing w:after="0"/>
      </w:pPr>
      <w:r w:rsidRPr="00330E1E">
        <w:t>250.</w:t>
      </w:r>
      <w:r w:rsidRPr="00330E1E">
        <w:tab/>
        <w:t>Li F, Harmer P, Stock R, Fitzgerald K, Stevens J, Gladieux M, et al. Implementing an evidence‐based fall prevention program in an outpatient clinical setting. Journal of the American Geriatrics Society. 2013;61(12):2142-9.</w:t>
      </w:r>
    </w:p>
    <w:p w14:paraId="1BF8C347" w14:textId="77777777" w:rsidR="00330E1E" w:rsidRPr="00330E1E" w:rsidRDefault="00330E1E" w:rsidP="00330E1E">
      <w:pPr>
        <w:pStyle w:val="EndNoteBibliography"/>
        <w:spacing w:after="0"/>
      </w:pPr>
      <w:r w:rsidRPr="00330E1E">
        <w:t>251.</w:t>
      </w:r>
      <w:r w:rsidRPr="00330E1E">
        <w:tab/>
        <w:t>Karlsson L, Lundkvist J, Psachoulia E, Intorcia M, Ström O. Persistence with denosumab and persistence with oral bisphosphonates for the treatment of postmenopausal osteoporosis: a retrospective, observational study, and a meta-analysis. Osteoporosis International. 2015;26(10):2401-11.</w:t>
      </w:r>
    </w:p>
    <w:p w14:paraId="4EC91AEA" w14:textId="77777777" w:rsidR="00330E1E" w:rsidRPr="00330E1E" w:rsidRDefault="00330E1E" w:rsidP="00330E1E">
      <w:pPr>
        <w:pStyle w:val="EndNoteBibliography"/>
        <w:spacing w:after="0"/>
      </w:pPr>
      <w:r w:rsidRPr="00330E1E">
        <w:t>252.</w:t>
      </w:r>
      <w:r w:rsidRPr="00330E1E">
        <w:tab/>
        <w:t>McLennan D, Noble S, Noble M, Plunkett E, Wright G, Gutacker N. The English indices of deprivation 2019: Technical report. 2019.</w:t>
      </w:r>
    </w:p>
    <w:p w14:paraId="7E59290D" w14:textId="77777777" w:rsidR="00330E1E" w:rsidRPr="00330E1E" w:rsidRDefault="00330E1E" w:rsidP="00330E1E">
      <w:pPr>
        <w:pStyle w:val="EndNoteBibliography"/>
        <w:spacing w:after="0"/>
      </w:pPr>
      <w:r w:rsidRPr="00330E1E">
        <w:t>253.</w:t>
      </w:r>
      <w:r w:rsidRPr="00330E1E">
        <w:tab/>
        <w:t>Matchar DB, Eom K, Duncan PW, Lee M, Sim R, Sivapragasam NR, et al. A cost-effectiveness analysis of a randomized control trial of a tailored, multifactorial program to prevent falls among the community-dwelling elderly. Archives of physical medicine and rehabilitation. 2019;100(1):1-8.</w:t>
      </w:r>
    </w:p>
    <w:p w14:paraId="11918A01" w14:textId="77777777" w:rsidR="00330E1E" w:rsidRPr="00330E1E" w:rsidRDefault="00330E1E" w:rsidP="00330E1E">
      <w:pPr>
        <w:pStyle w:val="EndNoteBibliography"/>
        <w:spacing w:after="0"/>
      </w:pPr>
      <w:r w:rsidRPr="00330E1E">
        <w:t>254.</w:t>
      </w:r>
      <w:r w:rsidRPr="00330E1E">
        <w:tab/>
        <w:t>Tinetti ME, Doucette J, Claus E, Marottoli R. Risk factors for serious injury during falls by older persons in the community. Journal of the American geriatrics society. 1995;43(11):1214-21.</w:t>
      </w:r>
    </w:p>
    <w:p w14:paraId="0C156EB2" w14:textId="77777777" w:rsidR="00330E1E" w:rsidRPr="00330E1E" w:rsidRDefault="00330E1E" w:rsidP="00330E1E">
      <w:pPr>
        <w:pStyle w:val="EndNoteBibliography"/>
        <w:spacing w:after="0"/>
      </w:pPr>
      <w:r w:rsidRPr="00330E1E">
        <w:t>255.</w:t>
      </w:r>
      <w:r w:rsidRPr="00330E1E">
        <w:tab/>
        <w:t>Gale CR, Westbury LD, Cooper C, Dennison EM. Risk factors for incident falls in older men and women: the English longitudinal study of ageing. BMC Geriatrics. 2018;18(1):117. doi: 10.1186/s12877-018-0806-3.</w:t>
      </w:r>
    </w:p>
    <w:p w14:paraId="25EE0902" w14:textId="77777777" w:rsidR="00330E1E" w:rsidRPr="00330E1E" w:rsidRDefault="00330E1E" w:rsidP="00330E1E">
      <w:pPr>
        <w:pStyle w:val="EndNoteBibliography"/>
        <w:spacing w:after="0"/>
      </w:pPr>
      <w:r w:rsidRPr="00330E1E">
        <w:t>256.</w:t>
      </w:r>
      <w:r w:rsidRPr="00330E1E">
        <w:tab/>
        <w:t>Chang VC, Do MT. Risk factors for falls among seniors: implications of gender. American journal of epidemiology. 2015;181(7):521-31.</w:t>
      </w:r>
    </w:p>
    <w:p w14:paraId="1575DF0C" w14:textId="77777777" w:rsidR="00330E1E" w:rsidRPr="00330E1E" w:rsidRDefault="00330E1E" w:rsidP="00330E1E">
      <w:pPr>
        <w:pStyle w:val="EndNoteBibliography"/>
        <w:spacing w:after="0"/>
      </w:pPr>
      <w:r w:rsidRPr="00330E1E">
        <w:t>257.</w:t>
      </w:r>
      <w:r w:rsidRPr="00330E1E">
        <w:tab/>
        <w:t>Kim MJ, Park S, Jung Y-i, Kim S-H, Oh I-H. Exploring health-related quality of life and frailty in older adults based on the Korean Frailty and Aging Cohort Study. Quality of Life Research. 2020:1-9.</w:t>
      </w:r>
    </w:p>
    <w:p w14:paraId="54A3C980" w14:textId="77777777" w:rsidR="00330E1E" w:rsidRPr="00330E1E" w:rsidRDefault="00330E1E" w:rsidP="00330E1E">
      <w:pPr>
        <w:pStyle w:val="EndNoteBibliography"/>
        <w:spacing w:after="0"/>
      </w:pPr>
      <w:r w:rsidRPr="00330E1E">
        <w:t>258.</w:t>
      </w:r>
      <w:r w:rsidRPr="00330E1E">
        <w:tab/>
        <w:t>Hazra NC, Rudisill C, Gulliford MC. Determinants of health care costs in the senior elderly: age, comorbidity, impairment, or proximity to death? The European Journal of Health Economics. 2018;19(6):831-42.</w:t>
      </w:r>
    </w:p>
    <w:p w14:paraId="0CB14261" w14:textId="776FB055" w:rsidR="00330E1E" w:rsidRPr="00330E1E" w:rsidRDefault="00330E1E" w:rsidP="00330E1E">
      <w:pPr>
        <w:pStyle w:val="EndNoteBibliography"/>
        <w:spacing w:after="0"/>
      </w:pPr>
      <w:r w:rsidRPr="00330E1E">
        <w:t>259.</w:t>
      </w:r>
      <w:r w:rsidRPr="00330E1E">
        <w:tab/>
        <w:t xml:space="preserve">Department of Health and Social Care. The NHS Constitution for England 2021. Available from: </w:t>
      </w:r>
      <w:hyperlink r:id="rId51" w:history="1">
        <w:r w:rsidRPr="00330E1E">
          <w:rPr>
            <w:rStyle w:val="Hyperlink"/>
          </w:rPr>
          <w:t>https://www.gov.uk/government/publications/the-nhs-constitution-for-england/the-nhs-constitution-for-england</w:t>
        </w:r>
      </w:hyperlink>
      <w:r w:rsidRPr="00330E1E">
        <w:t>.</w:t>
      </w:r>
    </w:p>
    <w:p w14:paraId="75F78080" w14:textId="77777777" w:rsidR="00330E1E" w:rsidRPr="00330E1E" w:rsidRDefault="00330E1E" w:rsidP="00330E1E">
      <w:pPr>
        <w:pStyle w:val="EndNoteBibliography"/>
        <w:spacing w:after="0"/>
      </w:pPr>
      <w:r w:rsidRPr="00330E1E">
        <w:t>260.</w:t>
      </w:r>
      <w:r w:rsidRPr="00330E1E">
        <w:tab/>
        <w:t>National Institute for Health and Care Excellence. NICE Citizens Council Report on Age. UK: NICE. 2003.</w:t>
      </w:r>
    </w:p>
    <w:p w14:paraId="78822210" w14:textId="77777777" w:rsidR="00330E1E" w:rsidRPr="00330E1E" w:rsidRDefault="00330E1E" w:rsidP="00330E1E">
      <w:pPr>
        <w:pStyle w:val="EndNoteBibliography"/>
        <w:spacing w:after="0"/>
      </w:pPr>
      <w:r w:rsidRPr="00330E1E">
        <w:t>261.</w:t>
      </w:r>
      <w:r w:rsidRPr="00330E1E">
        <w:tab/>
        <w:t>Leslie WD, Morin SN, Lix LM, Martineau P, Bryanton M, McCloskey EV, et al. Fracture prediction from self-reported falls in routine clinical practice: a registry-based cohort study. Osteoporosis international : a journal established as result of cooperation between the European Foundation for Osteoporosis and the National Osteoporosis Foundation of the USA. 2019;30(11):2195-203. Epub 2019/08/03. doi: 10.1007/s00198-019-05106-3. PubMed PMID: 31372711.</w:t>
      </w:r>
    </w:p>
    <w:p w14:paraId="3345E8FE" w14:textId="77777777" w:rsidR="00330E1E" w:rsidRPr="00330E1E" w:rsidRDefault="00330E1E" w:rsidP="00330E1E">
      <w:pPr>
        <w:pStyle w:val="EndNoteBibliography"/>
        <w:spacing w:after="0"/>
      </w:pPr>
      <w:r w:rsidRPr="00330E1E">
        <w:t>262.</w:t>
      </w:r>
      <w:r w:rsidRPr="00330E1E">
        <w:tab/>
        <w:t>Wu T-Y, Chie W-C, Yang R-S, Kuo K-L, Wong W-K, Liaw C-K. Risk factors for single and recurrent falls: a prospective study of falls in community dwelling seniors without cognitive impairment. Preventive medicine. 2013;57(5):511-7.</w:t>
      </w:r>
    </w:p>
    <w:p w14:paraId="7EE231F3" w14:textId="77777777" w:rsidR="00330E1E" w:rsidRPr="00330E1E" w:rsidRDefault="00330E1E" w:rsidP="00330E1E">
      <w:pPr>
        <w:pStyle w:val="EndNoteBibliography"/>
        <w:spacing w:after="0"/>
      </w:pPr>
      <w:r w:rsidRPr="00330E1E">
        <w:t>263.</w:t>
      </w:r>
      <w:r w:rsidRPr="00330E1E">
        <w:tab/>
        <w:t>Tinetti ME, Williams CS. The effect of falls and fall injuries on functioning in community-dwelling older persons. The Journals of Gerontology Series A: Biological Sciences and Medical Sciences. 1998;53(2):M112-M9.</w:t>
      </w:r>
    </w:p>
    <w:p w14:paraId="64D04460" w14:textId="77777777" w:rsidR="00330E1E" w:rsidRPr="00330E1E" w:rsidRDefault="00330E1E" w:rsidP="00330E1E">
      <w:pPr>
        <w:pStyle w:val="EndNoteBibliography"/>
        <w:spacing w:after="0"/>
      </w:pPr>
      <w:r w:rsidRPr="00330E1E">
        <w:t>264.</w:t>
      </w:r>
      <w:r w:rsidRPr="00330E1E">
        <w:tab/>
        <w:t>Donald IP, Bulpitt CJ. The prognosis of falls in elderly people living at home. Age and Ageing. 1999;28(2):121-5.</w:t>
      </w:r>
    </w:p>
    <w:p w14:paraId="54AB8B9F" w14:textId="77777777" w:rsidR="00330E1E" w:rsidRPr="00330E1E" w:rsidRDefault="00330E1E" w:rsidP="00330E1E">
      <w:pPr>
        <w:pStyle w:val="EndNoteBibliography"/>
        <w:spacing w:after="0"/>
      </w:pPr>
      <w:r w:rsidRPr="00330E1E">
        <w:t>265.</w:t>
      </w:r>
      <w:r w:rsidRPr="00330E1E">
        <w:tab/>
        <w:t>Peasgood T, Herrmann K, Kanis JA, Brazier JE. An updated systematic review of Health State Utility Values for osteoporosis related conditions. Osteoporosis international : a journal established as result of cooperation between the European Foundation for Osteoporosis and the National Osteoporosis Foundation of the USA. 2009;20(6):853-68. doi: 10.1007/s00198-009-0844-y. PubMed PMID: 19271098.</w:t>
      </w:r>
    </w:p>
    <w:p w14:paraId="43839B0E" w14:textId="77777777" w:rsidR="00330E1E" w:rsidRPr="00330E1E" w:rsidRDefault="00330E1E" w:rsidP="00330E1E">
      <w:pPr>
        <w:pStyle w:val="EndNoteBibliography"/>
        <w:spacing w:after="0"/>
      </w:pPr>
      <w:r w:rsidRPr="00330E1E">
        <w:t>266.</w:t>
      </w:r>
      <w:r w:rsidRPr="00330E1E">
        <w:tab/>
        <w:t>Hadjistavropoulos T, Delbaere K, Fitzgerald TD. Reconceptualizing the role of fear of falling and balance confidence in fall risk. Journal of aging and Health. 2011;23(1):3-23.</w:t>
      </w:r>
    </w:p>
    <w:p w14:paraId="7526E03C" w14:textId="77777777" w:rsidR="00330E1E" w:rsidRPr="00330E1E" w:rsidRDefault="00330E1E" w:rsidP="00330E1E">
      <w:pPr>
        <w:pStyle w:val="EndNoteBibliography"/>
        <w:spacing w:after="0"/>
      </w:pPr>
      <w:r w:rsidRPr="00330E1E">
        <w:t>267.</w:t>
      </w:r>
      <w:r w:rsidRPr="00330E1E">
        <w:tab/>
        <w:t>Friedman SM, Munoz B, West SK, Rubin GS, Fried LP. Falls and fear of falling: which comes first? A longitudinal prediction model suggests strategies for primary and secondary prevention. J Am Geriatr Soc. 2002;50(8):1329-35. PubMed PMID: 12164987.</w:t>
      </w:r>
    </w:p>
    <w:p w14:paraId="2DC67C0F" w14:textId="77777777" w:rsidR="00330E1E" w:rsidRPr="00330E1E" w:rsidRDefault="00330E1E" w:rsidP="00330E1E">
      <w:pPr>
        <w:pStyle w:val="EndNoteBibliography"/>
        <w:spacing w:after="0"/>
      </w:pPr>
      <w:r w:rsidRPr="00330E1E">
        <w:t>268.</w:t>
      </w:r>
      <w:r w:rsidRPr="00330E1E">
        <w:tab/>
        <w:t>Chang N-T, Chi L-Y, Yang N-P, Chou P. The impact of falls and fear of falling on health-related quality of life in Taiwanese elderly. Journal of community health nursing. 2010;27(2):84-95.</w:t>
      </w:r>
    </w:p>
    <w:p w14:paraId="2A8B121F" w14:textId="77777777" w:rsidR="00330E1E" w:rsidRPr="00330E1E" w:rsidRDefault="00330E1E" w:rsidP="00330E1E">
      <w:pPr>
        <w:pStyle w:val="EndNoteBibliography"/>
        <w:spacing w:after="0"/>
      </w:pPr>
      <w:r w:rsidRPr="00330E1E">
        <w:t>269.</w:t>
      </w:r>
      <w:r w:rsidRPr="00330E1E">
        <w:tab/>
        <w:t>Tinetti ME, Powell L. Fear of falling and low self-efficacy: a cause of dependence in elderly persons. Journal of gerontology. 1993.</w:t>
      </w:r>
    </w:p>
    <w:p w14:paraId="11B2A4F9" w14:textId="77777777" w:rsidR="00330E1E" w:rsidRPr="00330E1E" w:rsidRDefault="00330E1E" w:rsidP="00330E1E">
      <w:pPr>
        <w:pStyle w:val="EndNoteBibliography"/>
        <w:spacing w:after="0"/>
      </w:pPr>
      <w:r w:rsidRPr="00330E1E">
        <w:t>270.</w:t>
      </w:r>
      <w:r w:rsidRPr="00330E1E">
        <w:tab/>
        <w:t>Delbaere K, Close JC, Mikolaizak AS, Sachdev PS, Brodaty H, Lord SR. The falls efficacy scale international (FES-I). A comprehensive longitudinal validation study. Age and ageing. 2010;39(2):210-6.</w:t>
      </w:r>
    </w:p>
    <w:p w14:paraId="483110F4" w14:textId="77777777" w:rsidR="00330E1E" w:rsidRPr="00330E1E" w:rsidRDefault="00330E1E" w:rsidP="00330E1E">
      <w:pPr>
        <w:pStyle w:val="EndNoteBibliography"/>
        <w:spacing w:after="0"/>
      </w:pPr>
      <w:r w:rsidRPr="00330E1E">
        <w:t>271.</w:t>
      </w:r>
      <w:r w:rsidRPr="00330E1E">
        <w:tab/>
        <w:t>Kim JH, Bae SM. Association between Fear of Falling (FOF) and all-cause mortality. Arch Gerontol Geriatr. 2020;88:104017. Epub 2020/02/12. doi: 10.1016/j.archger.2020.104017. PubMed PMID: 32044524.</w:t>
      </w:r>
    </w:p>
    <w:p w14:paraId="26F1619C" w14:textId="77777777" w:rsidR="00330E1E" w:rsidRPr="00330E1E" w:rsidRDefault="00330E1E" w:rsidP="00330E1E">
      <w:pPr>
        <w:pStyle w:val="EndNoteBibliography"/>
        <w:spacing w:after="0"/>
      </w:pPr>
      <w:r w:rsidRPr="00330E1E">
        <w:t>272.</w:t>
      </w:r>
      <w:r w:rsidRPr="00330E1E">
        <w:tab/>
        <w:t>Noh HM, Roh YK, Song HJ, Park YS. Severe Fear of Falling Is Associated With Cognitive Decline in Older Adults: A 3-Year Prospective Study. J Am Med Dir Assoc. 2019;20(12):1540-7. Epub 2019/07/29. doi: 10.1016/j.jamda.2019.06.008. PubMed PMID: 31351857.</w:t>
      </w:r>
    </w:p>
    <w:p w14:paraId="5745C02D" w14:textId="0CA6871C" w:rsidR="00330E1E" w:rsidRPr="00330E1E" w:rsidRDefault="00330E1E" w:rsidP="00330E1E">
      <w:pPr>
        <w:pStyle w:val="EndNoteBibliography"/>
        <w:spacing w:after="0"/>
      </w:pPr>
      <w:r w:rsidRPr="00330E1E">
        <w:t>273.</w:t>
      </w:r>
      <w:r w:rsidRPr="00330E1E">
        <w:tab/>
        <w:t xml:space="preserve">Pereira C, Bravo J, Raimundo A, Tomas-Carus P, Mendes F, Baptista F. Risk for physical dependence in community-dwelling older adults: The role of fear of falling, falls and fall-related injuries. International journal of older people nursing. 2020;15(3):e12310. doi: </w:t>
      </w:r>
      <w:hyperlink r:id="rId52" w:history="1">
        <w:r w:rsidRPr="00330E1E">
          <w:rPr>
            <w:rStyle w:val="Hyperlink"/>
          </w:rPr>
          <w:t>http://dx.doi.org/10.1111/opn.12310</w:t>
        </w:r>
      </w:hyperlink>
      <w:r w:rsidRPr="00330E1E">
        <w:t>.</w:t>
      </w:r>
    </w:p>
    <w:p w14:paraId="6C24C18E" w14:textId="77777777" w:rsidR="00330E1E" w:rsidRPr="00330E1E" w:rsidRDefault="00330E1E" w:rsidP="00330E1E">
      <w:pPr>
        <w:pStyle w:val="EndNoteBibliography"/>
        <w:spacing w:after="0"/>
      </w:pPr>
      <w:r w:rsidRPr="00330E1E">
        <w:t>274.</w:t>
      </w:r>
      <w:r w:rsidRPr="00330E1E">
        <w:tab/>
        <w:t>Eldridge S, Spencer A, Cryer C, Parsons S, Underwood M, Feder G. Why modelling a complex intervention is an important precursor to trial design: lessons from studying an intervention to reduce falls-related injuries in older people. Journal of health services research &amp; policy. 2005;10(3):133-42.</w:t>
      </w:r>
    </w:p>
    <w:p w14:paraId="4B221F6E" w14:textId="77777777" w:rsidR="00330E1E" w:rsidRPr="00330E1E" w:rsidRDefault="00330E1E" w:rsidP="00330E1E">
      <w:pPr>
        <w:pStyle w:val="EndNoteBibliography"/>
        <w:spacing w:after="0"/>
      </w:pPr>
      <w:r w:rsidRPr="00330E1E">
        <w:t>275.</w:t>
      </w:r>
      <w:r w:rsidRPr="00330E1E">
        <w:tab/>
        <w:t>Fried LP, Tangen CM, Walston J, Newman AB, Hirsch C, Gottdiener J, et al. Frailty in older adults: evidence for a phenotype. J Gerontol A Biol Sci Med Sci. 2001;56(3):M146-56. PubMed PMID: 11253156.</w:t>
      </w:r>
    </w:p>
    <w:p w14:paraId="664B478C" w14:textId="77777777" w:rsidR="00330E1E" w:rsidRPr="00330E1E" w:rsidRDefault="00330E1E" w:rsidP="00330E1E">
      <w:pPr>
        <w:pStyle w:val="EndNoteBibliography"/>
        <w:spacing w:after="0"/>
      </w:pPr>
      <w:r w:rsidRPr="00330E1E">
        <w:t>276.</w:t>
      </w:r>
      <w:r w:rsidRPr="00330E1E">
        <w:tab/>
        <w:t>Kojima G. Frailty as a predictor of future falls among community-dwelling older people: a systematic review and meta-analysis. Journal of the American Medical Directors Association. 2015;16(12):1027-33.</w:t>
      </w:r>
    </w:p>
    <w:p w14:paraId="075DCE10" w14:textId="77777777" w:rsidR="00330E1E" w:rsidRPr="00330E1E" w:rsidRDefault="00330E1E" w:rsidP="00330E1E">
      <w:pPr>
        <w:pStyle w:val="EndNoteBibliography"/>
        <w:spacing w:after="0"/>
      </w:pPr>
      <w:r w:rsidRPr="00330E1E">
        <w:t>277.</w:t>
      </w:r>
      <w:r w:rsidRPr="00330E1E">
        <w:tab/>
        <w:t>Kojima G, Kendrick D, Skelton DA, Morris RW, Gawler S, Iliffe S. Frailty predicts short-term incidence of future falls among British community-dwelling older people: a prospective cohort study nested within a randomised controlled trial. BMC geriatrics. 2015;15(1):155.</w:t>
      </w:r>
    </w:p>
    <w:p w14:paraId="5BC07667" w14:textId="77777777" w:rsidR="00330E1E" w:rsidRPr="00330E1E" w:rsidRDefault="00330E1E" w:rsidP="00330E1E">
      <w:pPr>
        <w:pStyle w:val="EndNoteBibliography"/>
        <w:spacing w:after="0"/>
      </w:pPr>
      <w:r w:rsidRPr="00330E1E">
        <w:t>278.</w:t>
      </w:r>
      <w:r w:rsidRPr="00330E1E">
        <w:tab/>
        <w:t>Gratza SK, Chocano-Bedoya PO, Orav EJ, Fischbacher M, Freystätter G, Theiler R, et al. Influence of fall environment and fall direction on risk of injury among pre-frail and frail adults. Osteoporosis international : a journal established as result of cooperation between the European Foundation for Osteoporosis and the National Osteoporosis Foundation of the USA. 2019;30(11):2205-15. Epub 2019/08/05. doi: 10.1007/s00198-019-05110-7. PubMed PMID: 31377914.</w:t>
      </w:r>
    </w:p>
    <w:p w14:paraId="69813909" w14:textId="77777777" w:rsidR="00330E1E" w:rsidRPr="00330E1E" w:rsidRDefault="00330E1E" w:rsidP="00330E1E">
      <w:pPr>
        <w:pStyle w:val="EndNoteBibliography"/>
        <w:spacing w:after="0"/>
      </w:pPr>
      <w:r w:rsidRPr="00330E1E">
        <w:t>279.</w:t>
      </w:r>
      <w:r w:rsidRPr="00330E1E">
        <w:tab/>
        <w:t>Han L, Clegg A, Doran T, Fraser L. The impact of frailty on healthcare resource use: a longitudinal analysis using the Clinical Practice Research Datalink in England. Age and Ageing. 2019;48(5):665-71.</w:t>
      </w:r>
    </w:p>
    <w:p w14:paraId="7B95E7B7" w14:textId="77777777" w:rsidR="00330E1E" w:rsidRPr="00330E1E" w:rsidRDefault="00330E1E" w:rsidP="00330E1E">
      <w:pPr>
        <w:pStyle w:val="EndNoteBibliography"/>
        <w:spacing w:after="0"/>
      </w:pPr>
      <w:r w:rsidRPr="00330E1E">
        <w:t>280.</w:t>
      </w:r>
      <w:r w:rsidRPr="00330E1E">
        <w:tab/>
        <w:t>Fillion V, Sirois MJ, Gamache P, Guertin JR, Morin SN, Jean S. Frailty and health services use among Quebec seniors with non-hip fractures: a population-based study using adminsitrative databases. BMC Health Serv Res. 2019;19(1):70. Epub 2019/01/27. doi: 10.1186/s12913-019-3865-z. PubMed PMID: 30683094; PubMed Central PMCID: PMCPMC6347825.</w:t>
      </w:r>
    </w:p>
    <w:p w14:paraId="63C98F66" w14:textId="2F38C58E" w:rsidR="00330E1E" w:rsidRPr="00330E1E" w:rsidRDefault="00330E1E" w:rsidP="00330E1E">
      <w:pPr>
        <w:pStyle w:val="EndNoteBibliography"/>
        <w:spacing w:after="0"/>
      </w:pPr>
      <w:r w:rsidRPr="00330E1E">
        <w:t>281.</w:t>
      </w:r>
      <w:r w:rsidRPr="00330E1E">
        <w:tab/>
        <w:t xml:space="preserve">Shi SM, McCarthy EP, Mitchell SL, Kim DH. Predicting Mortality and Adverse Outcomes: Comparing the Frailty Index to General Prognostic Indices. Journal of General Internal Medicine. 2020;35(5):1516-22. doi: </w:t>
      </w:r>
      <w:hyperlink r:id="rId53" w:history="1">
        <w:r w:rsidRPr="00330E1E">
          <w:rPr>
            <w:rStyle w:val="Hyperlink"/>
          </w:rPr>
          <w:t>http://dx.doi.org/10.1007/s11606-020-05700-w</w:t>
        </w:r>
      </w:hyperlink>
      <w:r w:rsidRPr="00330E1E">
        <w:t>.</w:t>
      </w:r>
    </w:p>
    <w:p w14:paraId="067465E8" w14:textId="77777777" w:rsidR="00330E1E" w:rsidRPr="00330E1E" w:rsidRDefault="00330E1E" w:rsidP="00330E1E">
      <w:pPr>
        <w:pStyle w:val="EndNoteBibliography"/>
        <w:spacing w:after="0"/>
      </w:pPr>
      <w:r w:rsidRPr="00330E1E">
        <w:t>282.</w:t>
      </w:r>
      <w:r w:rsidRPr="00330E1E">
        <w:tab/>
        <w:t>Ringer TJ, Hazzan AA, Kennedy CC, Karampatos S, Patterson C, Marr S, et al. Care recipients’ physical frailty is independently associated with subjective burden in informal caregivers in the community setting: a cross-sectional study. BMC geriatrics. 2016;16(1):1-5.</w:t>
      </w:r>
    </w:p>
    <w:p w14:paraId="74B9781F" w14:textId="77777777" w:rsidR="00330E1E" w:rsidRPr="00330E1E" w:rsidRDefault="00330E1E" w:rsidP="00330E1E">
      <w:pPr>
        <w:pStyle w:val="EndNoteBibliography"/>
        <w:spacing w:after="0"/>
      </w:pPr>
      <w:r w:rsidRPr="00330E1E">
        <w:t>283.</w:t>
      </w:r>
      <w:r w:rsidRPr="00330E1E">
        <w:tab/>
        <w:t>Shumway-Cook A, Ciol MA, Gruber W, Robinson C. Incidence of and risk factors for falls following hip fracture in community-dwelling older adults. Physical Therapy. 2005;85(7):648-55.</w:t>
      </w:r>
    </w:p>
    <w:p w14:paraId="3D7691F0" w14:textId="77777777" w:rsidR="00330E1E" w:rsidRPr="00330E1E" w:rsidRDefault="00330E1E" w:rsidP="00330E1E">
      <w:pPr>
        <w:pStyle w:val="EndNoteBibliography"/>
        <w:spacing w:after="0"/>
      </w:pPr>
      <w:r w:rsidRPr="00330E1E">
        <w:t>284.</w:t>
      </w:r>
      <w:r w:rsidRPr="00330E1E">
        <w:tab/>
        <w:t>Kristensen MT, Foss NB, Kehlet H. Timed “up &amp; go” test as a predictor of falls within 6 months after hip fracture surgery. Physical therapy. 2007;87(1):24-30.</w:t>
      </w:r>
    </w:p>
    <w:p w14:paraId="5B736C87" w14:textId="5F1D286C" w:rsidR="00330E1E" w:rsidRPr="00330E1E" w:rsidRDefault="00330E1E" w:rsidP="00330E1E">
      <w:pPr>
        <w:pStyle w:val="EndNoteBibliography"/>
        <w:spacing w:after="0"/>
      </w:pPr>
      <w:r w:rsidRPr="00330E1E">
        <w:t>285.</w:t>
      </w:r>
      <w:r w:rsidRPr="00330E1E">
        <w:tab/>
        <w:t xml:space="preserve">Isaranuwatchai W, Perdrizet J, Markle-Reid M, Hoch JS. Cost-effectiveness analysis of a multifactorial fall prevention intervention in older home care clients at risk for falling. BMC geriatrics. 2017;17(1):199. doi: </w:t>
      </w:r>
      <w:hyperlink r:id="rId54" w:history="1">
        <w:r w:rsidRPr="00330E1E">
          <w:rPr>
            <w:rStyle w:val="Hyperlink"/>
          </w:rPr>
          <w:t>https://dx.doi.org/10.1186/s12877-017-0599-9</w:t>
        </w:r>
      </w:hyperlink>
      <w:r w:rsidRPr="00330E1E">
        <w:t>.</w:t>
      </w:r>
    </w:p>
    <w:p w14:paraId="42979121" w14:textId="4BB62433" w:rsidR="00330E1E" w:rsidRPr="00330E1E" w:rsidRDefault="00330E1E" w:rsidP="00330E1E">
      <w:pPr>
        <w:pStyle w:val="EndNoteBibliography"/>
        <w:spacing w:after="0"/>
      </w:pPr>
      <w:r w:rsidRPr="00330E1E">
        <w:t>286.</w:t>
      </w:r>
      <w:r w:rsidRPr="00330E1E">
        <w:tab/>
        <w:t xml:space="preserve">Farag I, Howard K, Hayes AJ, Ferreira ML, Lord SR, Close JT, et al. Cost-effectiveness of a Home-Exercise Program Among Older People After Hospitalization. Journal of the American Medical Directors Association. 2015;16(6):490-6. doi: </w:t>
      </w:r>
      <w:hyperlink r:id="rId55" w:history="1">
        <w:r w:rsidRPr="00330E1E">
          <w:rPr>
            <w:rStyle w:val="Hyperlink"/>
          </w:rPr>
          <w:t>https://dx.doi.org/10.1016/j.jamda.2015.01.075</w:t>
        </w:r>
      </w:hyperlink>
      <w:r w:rsidRPr="00330E1E">
        <w:t>.</w:t>
      </w:r>
    </w:p>
    <w:p w14:paraId="0B89FFAB" w14:textId="77777777" w:rsidR="00330E1E" w:rsidRPr="00330E1E" w:rsidRDefault="00330E1E" w:rsidP="00330E1E">
      <w:pPr>
        <w:pStyle w:val="EndNoteBibliography"/>
        <w:spacing w:after="0"/>
      </w:pPr>
      <w:r w:rsidRPr="00330E1E">
        <w:t>287.</w:t>
      </w:r>
      <w:r w:rsidRPr="00330E1E">
        <w:tab/>
        <w:t>Muir SW, Gopaul K, Montero Odasso MM. The role of cognitive impairment in fall risk among older adults: a systematic review and meta-analysis. Age and ageing. 2012;41(3):299-308.</w:t>
      </w:r>
    </w:p>
    <w:p w14:paraId="2C344E91" w14:textId="44DFD350" w:rsidR="00330E1E" w:rsidRPr="00330E1E" w:rsidRDefault="00330E1E" w:rsidP="00330E1E">
      <w:pPr>
        <w:pStyle w:val="EndNoteBibliography"/>
        <w:spacing w:after="0"/>
      </w:pPr>
      <w:r w:rsidRPr="00330E1E">
        <w:t>288.</w:t>
      </w:r>
      <w:r w:rsidRPr="00330E1E">
        <w:tab/>
        <w:t xml:space="preserve">Li F, Harmer P. Prevalence of Falls, Physical Performance, and Dual-Task Cost While Walking in Older Adults at High Risk of Falling with and Without Cognitive Impairment. Clinical interventions in aging. 2020;15:945-52. doi: </w:t>
      </w:r>
      <w:hyperlink r:id="rId56" w:history="1">
        <w:r w:rsidRPr="00330E1E">
          <w:rPr>
            <w:rStyle w:val="Hyperlink"/>
          </w:rPr>
          <w:t>https://dx.doi.org/10.2147/CIA.S254764</w:t>
        </w:r>
      </w:hyperlink>
      <w:r w:rsidRPr="00330E1E">
        <w:t>.</w:t>
      </w:r>
    </w:p>
    <w:p w14:paraId="1833B679" w14:textId="77777777" w:rsidR="00330E1E" w:rsidRPr="00330E1E" w:rsidRDefault="00330E1E" w:rsidP="00330E1E">
      <w:pPr>
        <w:pStyle w:val="EndNoteBibliography"/>
        <w:spacing w:after="0"/>
      </w:pPr>
      <w:r w:rsidRPr="00330E1E">
        <w:t>289.</w:t>
      </w:r>
      <w:r w:rsidRPr="00330E1E">
        <w:tab/>
        <w:t>Sachs GA, Carter R, Holtz LR, Smith F, Stump TE, Tu W, et al. Cognitive impairment: an independent predictor of excess mortality: a cohort study. Annals of internal medicine. 2011;155(5):300-8.</w:t>
      </w:r>
    </w:p>
    <w:p w14:paraId="63EC8176" w14:textId="77777777" w:rsidR="00330E1E" w:rsidRPr="00330E1E" w:rsidRDefault="00330E1E" w:rsidP="00330E1E">
      <w:pPr>
        <w:pStyle w:val="EndNoteBibliography"/>
        <w:spacing w:after="0"/>
      </w:pPr>
      <w:r w:rsidRPr="00330E1E">
        <w:t>290.</w:t>
      </w:r>
      <w:r w:rsidRPr="00330E1E">
        <w:tab/>
        <w:t>Wu C-Y, Chou Y-C, Huang N, Chou Y-J, Hu H-Y, Li C-P. Cognitive impairment assessed at annual geriatric health examinations predicts mortality among the elderly. Preventive medicine. 2014;67:28-34.</w:t>
      </w:r>
    </w:p>
    <w:p w14:paraId="1401F84E" w14:textId="77777777" w:rsidR="00330E1E" w:rsidRPr="00330E1E" w:rsidRDefault="00330E1E" w:rsidP="00330E1E">
      <w:pPr>
        <w:pStyle w:val="EndNoteBibliography"/>
        <w:spacing w:after="0"/>
      </w:pPr>
      <w:r w:rsidRPr="00330E1E">
        <w:t>291.</w:t>
      </w:r>
      <w:r w:rsidRPr="00330E1E">
        <w:tab/>
        <w:t>Zhu CW, Sano M, Ferris SH, Whitehouse PJ, Patterson MB, Aisen PS. Health‐related resource use and costs in elderly adults with and without mild cognitive impairment. Journal of the American Geriatrics Society. 2013;61(3):396-402.</w:t>
      </w:r>
    </w:p>
    <w:p w14:paraId="3AD0FE43" w14:textId="77777777" w:rsidR="00330E1E" w:rsidRPr="00330E1E" w:rsidRDefault="00330E1E" w:rsidP="00330E1E">
      <w:pPr>
        <w:pStyle w:val="EndNoteBibliography"/>
        <w:spacing w:after="0"/>
      </w:pPr>
      <w:r w:rsidRPr="00330E1E">
        <w:t>292.</w:t>
      </w:r>
      <w:r w:rsidRPr="00330E1E">
        <w:tab/>
        <w:t>Riffin C, Van Ness PH, Wolff JL, Fried T. Family and other unpaid caregivers and older adults with and without dementia and disability. Journal of the American Geriatrics Society. 2017;65(8):1821-8.</w:t>
      </w:r>
    </w:p>
    <w:p w14:paraId="7026A354" w14:textId="77777777" w:rsidR="00330E1E" w:rsidRPr="00330E1E" w:rsidRDefault="00330E1E" w:rsidP="00330E1E">
      <w:pPr>
        <w:pStyle w:val="EndNoteBibliography"/>
        <w:spacing w:after="0"/>
      </w:pPr>
      <w:r w:rsidRPr="00330E1E">
        <w:t>293.</w:t>
      </w:r>
      <w:r w:rsidRPr="00330E1E">
        <w:tab/>
        <w:t>Katja P, Timo T, Taina R, Tiina-Mari L. Do mobility, cognitive functioning, and depressive symptoms mediate the association between social activity and mortality risk among older men and women? European Journal of Ageing. 2014;11(2):121-30.</w:t>
      </w:r>
    </w:p>
    <w:p w14:paraId="220660C3" w14:textId="77777777" w:rsidR="00330E1E" w:rsidRPr="00330E1E" w:rsidRDefault="00330E1E" w:rsidP="00330E1E">
      <w:pPr>
        <w:pStyle w:val="EndNoteBibliography"/>
        <w:spacing w:after="0"/>
      </w:pPr>
      <w:r w:rsidRPr="00330E1E">
        <w:t>294.</w:t>
      </w:r>
      <w:r w:rsidRPr="00330E1E">
        <w:tab/>
        <w:t>Wheatley A, Bamford C, Shaw C, Flynn E, Smith A, Beyer F, et al. Developing an Intervention for Fall-Related Injuries in Dementia (DIFRID): an integrated, mixed-methods approach. BMC Geriatr. 2019;19(1):57. Epub 2019/03/02. doi: 10.1186/s12877-019-1066-6. PubMed PMID: 30819097; PubMed Central PMCID: PMCPMC6394022.</w:t>
      </w:r>
    </w:p>
    <w:p w14:paraId="4B938D99" w14:textId="77777777" w:rsidR="00330E1E" w:rsidRPr="00330E1E" w:rsidRDefault="00330E1E" w:rsidP="00330E1E">
      <w:pPr>
        <w:pStyle w:val="EndNoteBibliography"/>
        <w:spacing w:after="0"/>
      </w:pPr>
      <w:r w:rsidRPr="00330E1E">
        <w:t>295.</w:t>
      </w:r>
      <w:r w:rsidRPr="00330E1E">
        <w:tab/>
        <w:t>Booth V, Logan P, Harwood R, Hood V. Falls prevention interventions in older adults with cognitive impairment: a systematic review of reviews. International Journal of Therapy and Rehabilitation. 2015;22(6):289-96.</w:t>
      </w:r>
    </w:p>
    <w:p w14:paraId="3A276955" w14:textId="77777777" w:rsidR="00330E1E" w:rsidRPr="00330E1E" w:rsidRDefault="00330E1E" w:rsidP="00330E1E">
      <w:pPr>
        <w:pStyle w:val="EndNoteBibliography"/>
        <w:spacing w:after="0"/>
      </w:pPr>
      <w:r w:rsidRPr="00330E1E">
        <w:t>296.</w:t>
      </w:r>
      <w:r w:rsidRPr="00330E1E">
        <w:tab/>
        <w:t>Thibaud M, Bloch F, Tournoux-Facon C, Brèque C, Rigaud AS, Dugué B, et al. Impact of physical activity and sedentary behaviour on fall risks in older people: a systematic review and meta-analysis of observational studies. European Review of Aging and Physical Activity. 2012;9(1):5-15.</w:t>
      </w:r>
    </w:p>
    <w:p w14:paraId="3D7F8D03" w14:textId="77777777" w:rsidR="00330E1E" w:rsidRPr="00330E1E" w:rsidRDefault="00330E1E" w:rsidP="00330E1E">
      <w:pPr>
        <w:pStyle w:val="EndNoteBibliography"/>
        <w:spacing w:after="0"/>
      </w:pPr>
      <w:r w:rsidRPr="00330E1E">
        <w:t>297.</w:t>
      </w:r>
      <w:r w:rsidRPr="00330E1E">
        <w:tab/>
        <w:t>Pettee Gabriel K, Griswold ME, Wang W, Conway SH, Windham BG, Palta P, et al. Physical activity trajectories and subsequent fall risk: ARIC Study. Prev Med. 2019;121:40-6. Epub 2019/02/12. doi: 10.1016/j.ypmed.2019.02.007. PubMed PMID: 30742870; PubMed Central PMCID: PMCPMC6448408.</w:t>
      </w:r>
    </w:p>
    <w:p w14:paraId="6796ED0E" w14:textId="77777777" w:rsidR="00330E1E" w:rsidRPr="00330E1E" w:rsidRDefault="00330E1E" w:rsidP="00330E1E">
      <w:pPr>
        <w:pStyle w:val="EndNoteBibliography"/>
        <w:spacing w:after="0"/>
      </w:pPr>
      <w:r w:rsidRPr="00330E1E">
        <w:t>298.</w:t>
      </w:r>
      <w:r w:rsidRPr="00330E1E">
        <w:tab/>
        <w:t>Gill DP, Zou GY, Jones GR, Speechley M. Injurious falls are associated with lower household but higher recreational physical activities in community-dwelling older male veterans. Gerontology. 2008;54(2):106-15.</w:t>
      </w:r>
    </w:p>
    <w:p w14:paraId="7EB95179" w14:textId="77777777" w:rsidR="00330E1E" w:rsidRPr="00330E1E" w:rsidRDefault="00330E1E" w:rsidP="00330E1E">
      <w:pPr>
        <w:pStyle w:val="EndNoteBibliography"/>
        <w:spacing w:after="0"/>
      </w:pPr>
      <w:r w:rsidRPr="00330E1E">
        <w:t>299.</w:t>
      </w:r>
      <w:r w:rsidRPr="00330E1E">
        <w:tab/>
        <w:t>Valdés-Badilla PA, Gutiérrez-García C, Pérez-Gutiérrez M, Vargas-Vitoria R, López-Fuenzalida A. Effects of Physical Activity Governmental Programs on Health Status in Independent Older Adults: A Systematic Review. J Aging Phys Act. 2019;27(2):265-75. Epub 2018/07/11. doi: 10.1123/japa.2017-0396. PubMed PMID: 29989461.</w:t>
      </w:r>
    </w:p>
    <w:p w14:paraId="3FF05C76" w14:textId="77777777" w:rsidR="00330E1E" w:rsidRPr="00330E1E" w:rsidRDefault="00330E1E" w:rsidP="00330E1E">
      <w:pPr>
        <w:pStyle w:val="EndNoteBibliography"/>
        <w:spacing w:after="0"/>
      </w:pPr>
      <w:r w:rsidRPr="00330E1E">
        <w:t>300.</w:t>
      </w:r>
      <w:r w:rsidRPr="00330E1E">
        <w:tab/>
        <w:t>Moreland JD, Richardson JA, Goldsmith CH, Clase CM. Muscle weakness and falls in older adults: a systematic review and meta‐analysis. Journal of the American Geriatrics Society. 2004;52(7):1121-9.</w:t>
      </w:r>
    </w:p>
    <w:p w14:paraId="5BF3549E" w14:textId="77777777" w:rsidR="00330E1E" w:rsidRPr="00330E1E" w:rsidRDefault="00330E1E" w:rsidP="00330E1E">
      <w:pPr>
        <w:pStyle w:val="EndNoteBibliography"/>
        <w:spacing w:after="0"/>
      </w:pPr>
      <w:r w:rsidRPr="00330E1E">
        <w:t>301.</w:t>
      </w:r>
      <w:r w:rsidRPr="00330E1E">
        <w:tab/>
        <w:t>Stubbs B, Schofield P, Binnekade T, Patchay S, Sepehry A, Eggermont L. Pain is associated with recurrent falls in community-dwelling older adults: evidence from a systematic review and meta-analysis. Pain Medicine. 2014;15(7):1115-28.</w:t>
      </w:r>
    </w:p>
    <w:p w14:paraId="42409746" w14:textId="77777777" w:rsidR="00330E1E" w:rsidRPr="00330E1E" w:rsidRDefault="00330E1E" w:rsidP="00330E1E">
      <w:pPr>
        <w:pStyle w:val="EndNoteBibliography"/>
        <w:spacing w:after="0"/>
      </w:pPr>
      <w:r w:rsidRPr="00330E1E">
        <w:t>302.</w:t>
      </w:r>
      <w:r w:rsidRPr="00330E1E">
        <w:tab/>
        <w:t>Park H, Satoh H, Miki A, Urushihara H, Sawada Y. Medications associated with falls in older people: systematic review of publications from a recent 5-year period. European journal of clinical pharmacology. 2015;71(12):1429-40.</w:t>
      </w:r>
    </w:p>
    <w:p w14:paraId="4CE0F982" w14:textId="77777777" w:rsidR="00330E1E" w:rsidRPr="00330E1E" w:rsidRDefault="00330E1E" w:rsidP="00330E1E">
      <w:pPr>
        <w:pStyle w:val="EndNoteBibliography"/>
        <w:spacing w:after="0"/>
      </w:pPr>
      <w:r w:rsidRPr="00330E1E">
        <w:t>303.</w:t>
      </w:r>
      <w:r w:rsidRPr="00330E1E">
        <w:tab/>
        <w:t>Richardson K, Bennett K, Kenny RA. Polypharmacy including falls risk-increasing medications and subsequent falls in community-dwelling middle-aged and older adults. Age and ageing. 2014;44(1):90-6.</w:t>
      </w:r>
    </w:p>
    <w:p w14:paraId="6F13ED70" w14:textId="77777777" w:rsidR="00330E1E" w:rsidRPr="00330E1E" w:rsidRDefault="00330E1E" w:rsidP="00330E1E">
      <w:pPr>
        <w:pStyle w:val="EndNoteBibliography"/>
        <w:spacing w:after="0"/>
      </w:pPr>
      <w:r w:rsidRPr="00330E1E">
        <w:t>304.</w:t>
      </w:r>
      <w:r w:rsidRPr="00330E1E">
        <w:tab/>
        <w:t>Chiarelli PE, Mackenzie LA, Osmotherly PG. Urinary incontinence is associated with an increase in falls: a systematic review. Australian Journal of Physiotherapy. 2009;55(2):89-95.</w:t>
      </w:r>
    </w:p>
    <w:p w14:paraId="1E774EC9" w14:textId="77777777" w:rsidR="00330E1E" w:rsidRPr="00330E1E" w:rsidRDefault="00330E1E" w:rsidP="00330E1E">
      <w:pPr>
        <w:pStyle w:val="EndNoteBibliography"/>
        <w:spacing w:after="0"/>
      </w:pPr>
      <w:r w:rsidRPr="00330E1E">
        <w:t>305.</w:t>
      </w:r>
      <w:r w:rsidRPr="00330E1E">
        <w:tab/>
        <w:t>Reed-Jones RJ, Solis GR, Lawson KA, Loya AM, Cude-Islas D, Berger CS. Vision and falls: a multidisciplinary review of the contributions of visual impairment to falls among older adults. Maturitas. 2013;75(1):22-8.</w:t>
      </w:r>
    </w:p>
    <w:p w14:paraId="7FB9CD86" w14:textId="77777777" w:rsidR="00330E1E" w:rsidRPr="00330E1E" w:rsidRDefault="00330E1E" w:rsidP="00330E1E">
      <w:pPr>
        <w:pStyle w:val="EndNoteBibliography"/>
        <w:spacing w:after="0"/>
      </w:pPr>
      <w:r w:rsidRPr="00330E1E">
        <w:t>306.</w:t>
      </w:r>
      <w:r w:rsidRPr="00330E1E">
        <w:tab/>
        <w:t>Kvelde T, McVeigh C, Toson B, Greenaway M, Lord SR, Delbaere K, et al. Depressive symptomatology as a risk factor for falls in older people: systematic review and meta‐analysis. Journal of the American Geriatrics Society. 2013;61(5):694-706.</w:t>
      </w:r>
    </w:p>
    <w:p w14:paraId="2FECE9BF" w14:textId="77777777" w:rsidR="00330E1E" w:rsidRPr="00330E1E" w:rsidRDefault="00330E1E" w:rsidP="00330E1E">
      <w:pPr>
        <w:pStyle w:val="EndNoteBibliography"/>
        <w:spacing w:after="0"/>
      </w:pPr>
      <w:r w:rsidRPr="00330E1E">
        <w:t>307.</w:t>
      </w:r>
      <w:r w:rsidRPr="00330E1E">
        <w:tab/>
        <w:t>Lim YM, Sung MH. Home environmental and health‐related factors among home fallers and recurrent fallers in community dwelling older K orean women. International journal of nursing practice. 2012;18(5):481-8.</w:t>
      </w:r>
    </w:p>
    <w:p w14:paraId="262AFC31" w14:textId="77777777" w:rsidR="00330E1E" w:rsidRPr="00330E1E" w:rsidRDefault="00330E1E" w:rsidP="00330E1E">
      <w:pPr>
        <w:pStyle w:val="EndNoteBibliography"/>
        <w:spacing w:after="0"/>
      </w:pPr>
      <w:r w:rsidRPr="00330E1E">
        <w:t>308.</w:t>
      </w:r>
      <w:r w:rsidRPr="00330E1E">
        <w:tab/>
        <w:t>Donald IP. Housing and health care for older people. Age and ageing. 2009;38(4):364-7.</w:t>
      </w:r>
    </w:p>
    <w:p w14:paraId="257F316E" w14:textId="77777777" w:rsidR="00330E1E" w:rsidRPr="00330E1E" w:rsidRDefault="00330E1E" w:rsidP="00330E1E">
      <w:pPr>
        <w:pStyle w:val="EndNoteBibliography"/>
        <w:spacing w:after="0"/>
      </w:pPr>
      <w:r w:rsidRPr="00330E1E">
        <w:t>309.</w:t>
      </w:r>
      <w:r w:rsidRPr="00330E1E">
        <w:tab/>
        <w:t>Li W, Keegan TH, Sternfeld B, Sidney S, Quesenberry Jr CP, Kelsey JL. Outdoor falls among middle-aged and older adults: a neglected public health problem. American journal of public health. 2006;96(7):1192-200.</w:t>
      </w:r>
    </w:p>
    <w:p w14:paraId="66404938" w14:textId="77777777" w:rsidR="00330E1E" w:rsidRPr="00330E1E" w:rsidRDefault="00330E1E" w:rsidP="00330E1E">
      <w:pPr>
        <w:pStyle w:val="EndNoteBibliography"/>
        <w:spacing w:after="0"/>
      </w:pPr>
      <w:r w:rsidRPr="00330E1E">
        <w:t>310.</w:t>
      </w:r>
      <w:r w:rsidRPr="00330E1E">
        <w:tab/>
        <w:t>Day R. Local environments and older people's health: dimensions from a comparative qualitative study in Scotland. Health &amp; place. 2008;14(2):299-312.</w:t>
      </w:r>
    </w:p>
    <w:p w14:paraId="04EA9CC7" w14:textId="77777777" w:rsidR="00330E1E" w:rsidRPr="00330E1E" w:rsidRDefault="00330E1E" w:rsidP="00330E1E">
      <w:pPr>
        <w:pStyle w:val="EndNoteBibliography"/>
        <w:spacing w:after="0"/>
      </w:pPr>
      <w:r w:rsidRPr="00330E1E">
        <w:t>311.</w:t>
      </w:r>
      <w:r w:rsidRPr="00330E1E">
        <w:tab/>
        <w:t>Zhou P, Grady SC, Chen G. How the built environment affects change in older people's physical activity: A mixed-methods approach using longitudinal health survey data in urban China. Social Science &amp; Medicine. 2017;192:74-84.</w:t>
      </w:r>
    </w:p>
    <w:p w14:paraId="6F062D6E" w14:textId="77777777" w:rsidR="00330E1E" w:rsidRPr="00330E1E" w:rsidRDefault="00330E1E" w:rsidP="00330E1E">
      <w:pPr>
        <w:pStyle w:val="EndNoteBibliography"/>
        <w:spacing w:after="0"/>
      </w:pPr>
      <w:r w:rsidRPr="00330E1E">
        <w:t>312.</w:t>
      </w:r>
      <w:r w:rsidRPr="00330E1E">
        <w:tab/>
        <w:t>Trevisan C, Rizzuto D, Maggi S, Sergi G, Wang HX, Fratiglioni L, et al. Impact of Social Network on the Risk and Consequences of Injurious Falls in Older Adults. J Am Geriatr Soc. 2019;67(9):1851-8. Epub 2019/06/27. doi: 10.1111/jgs.16018. PubMed PMID: 31241183.</w:t>
      </w:r>
    </w:p>
    <w:p w14:paraId="5E05CB2B" w14:textId="77777777" w:rsidR="00330E1E" w:rsidRPr="00330E1E" w:rsidRDefault="00330E1E" w:rsidP="00330E1E">
      <w:pPr>
        <w:pStyle w:val="EndNoteBibliography"/>
        <w:spacing w:after="0"/>
      </w:pPr>
      <w:r w:rsidRPr="00330E1E">
        <w:t>313.</w:t>
      </w:r>
      <w:r w:rsidRPr="00330E1E">
        <w:tab/>
        <w:t>Petersen N, König HH, Hajek A. The link between falls, social isolation and loneliness: A systematic review. Arch Gerontol Geriatr. 2020;88:104020. Epub 2020/02/06. doi: 10.1016/j.archger.2020.104020. PubMed PMID: 32018091.</w:t>
      </w:r>
    </w:p>
    <w:p w14:paraId="2B17741F" w14:textId="77777777" w:rsidR="00330E1E" w:rsidRPr="00330E1E" w:rsidRDefault="00330E1E" w:rsidP="00330E1E">
      <w:pPr>
        <w:pStyle w:val="EndNoteBibliography"/>
        <w:spacing w:after="0"/>
      </w:pPr>
      <w:r w:rsidRPr="00330E1E">
        <w:t>314.</w:t>
      </w:r>
      <w:r w:rsidRPr="00330E1E">
        <w:tab/>
        <w:t>Howland J, Lachman ME, Peterson EW, Cote J, Kasten L, Jette A. Covariates of fear of falling and associated activity curtailment. The Gerontologist. 1998;38(5):549-55.</w:t>
      </w:r>
    </w:p>
    <w:p w14:paraId="38AAACC5" w14:textId="77777777" w:rsidR="00330E1E" w:rsidRPr="00330E1E" w:rsidRDefault="00330E1E" w:rsidP="00330E1E">
      <w:pPr>
        <w:pStyle w:val="EndNoteBibliography"/>
        <w:spacing w:after="0"/>
      </w:pPr>
      <w:r w:rsidRPr="00330E1E">
        <w:t>315.</w:t>
      </w:r>
      <w:r w:rsidRPr="00330E1E">
        <w:tab/>
        <w:t>Cotterell N, Buffel T, Phillipson C. Preventing social isolation in older people. Maturitas. 2018;113:80-4.</w:t>
      </w:r>
    </w:p>
    <w:p w14:paraId="136A7B0E" w14:textId="77777777" w:rsidR="00330E1E" w:rsidRPr="00330E1E" w:rsidRDefault="00330E1E" w:rsidP="00330E1E">
      <w:pPr>
        <w:pStyle w:val="EndNoteBibliography"/>
        <w:spacing w:after="0"/>
      </w:pPr>
      <w:r w:rsidRPr="00330E1E">
        <w:t>316.</w:t>
      </w:r>
      <w:r w:rsidRPr="00330E1E">
        <w:tab/>
        <w:t>Hoomans T, Severens JL. Economic evaluation of implementation strategies in health care. BioMed Central; 2014.</w:t>
      </w:r>
    </w:p>
    <w:p w14:paraId="1BD23141" w14:textId="77777777" w:rsidR="00330E1E" w:rsidRPr="00330E1E" w:rsidRDefault="00330E1E" w:rsidP="00330E1E">
      <w:pPr>
        <w:pStyle w:val="EndNoteBibliography"/>
        <w:spacing w:after="0"/>
      </w:pPr>
      <w:r w:rsidRPr="00330E1E">
        <w:t>317.</w:t>
      </w:r>
      <w:r w:rsidRPr="00330E1E">
        <w:tab/>
        <w:t>Bowling A, Dieppe P. What is successful ageing and who should define it? Bmj. 2005;331(7531):1548-51.</w:t>
      </w:r>
    </w:p>
    <w:p w14:paraId="7D496BE6" w14:textId="77777777" w:rsidR="00330E1E" w:rsidRPr="00330E1E" w:rsidRDefault="00330E1E" w:rsidP="00330E1E">
      <w:pPr>
        <w:pStyle w:val="EndNoteBibliography"/>
        <w:spacing w:after="0"/>
      </w:pPr>
      <w:r w:rsidRPr="00330E1E">
        <w:t>318.</w:t>
      </w:r>
      <w:r w:rsidRPr="00330E1E">
        <w:tab/>
        <w:t>Honkanen LA, Mushlin AI, Lachs M, Schackman BR. Can Hip Protector Use Cost‐Effectively Prevent Fractures in Community‐Dwelling Geriatric Populations? Journal of the American Geriatrics Society. 2006;54(11):1658-65.</w:t>
      </w:r>
    </w:p>
    <w:p w14:paraId="25573BC8" w14:textId="77777777" w:rsidR="00330E1E" w:rsidRPr="00330E1E" w:rsidRDefault="00330E1E" w:rsidP="00330E1E">
      <w:pPr>
        <w:pStyle w:val="EndNoteBibliography"/>
        <w:spacing w:after="0"/>
      </w:pPr>
      <w:r w:rsidRPr="00330E1E">
        <w:t>319.</w:t>
      </w:r>
      <w:r w:rsidRPr="00330E1E">
        <w:tab/>
        <w:t>Fish M, Bayer A, Gallacher J, Bell T, Pickering J, Pedro S, et al. Prevalence and pattern of cognitive impairment in a community cohort of men in South Wales: methodology and findings from the Caerphilly Prospective Study. Neuroepidemiology. 2008;30(1):25-33.</w:t>
      </w:r>
    </w:p>
    <w:p w14:paraId="55B2F925" w14:textId="77777777" w:rsidR="00330E1E" w:rsidRPr="00330E1E" w:rsidRDefault="00330E1E" w:rsidP="00330E1E">
      <w:pPr>
        <w:pStyle w:val="EndNoteBibliography"/>
        <w:spacing w:after="0"/>
      </w:pPr>
      <w:r w:rsidRPr="00330E1E">
        <w:t>320.</w:t>
      </w:r>
      <w:r w:rsidRPr="00330E1E">
        <w:tab/>
        <w:t>de Vries N, Van Ravensberg C, Hobbelen J, Rikkert MO, Staal J, Nijhuis-Van Der Sanden M. Effects of physical exercise therapy on mobility, physical functioning, physical activity and quality of life in community-dwelling older adults with impaired mobility, physical disability and/or multi-morbidity: a meta-analysis. Ageing research reviews. 2012;11(1):136-49.</w:t>
      </w:r>
    </w:p>
    <w:p w14:paraId="4943B92B" w14:textId="77777777" w:rsidR="00330E1E" w:rsidRPr="00330E1E" w:rsidRDefault="00330E1E" w:rsidP="00330E1E">
      <w:pPr>
        <w:pStyle w:val="EndNoteBibliography"/>
        <w:spacing w:after="0"/>
      </w:pPr>
      <w:r w:rsidRPr="00330E1E">
        <w:t>321.</w:t>
      </w:r>
      <w:r w:rsidRPr="00330E1E">
        <w:tab/>
        <w:t>McMunn A, Breeze E, Goodman A, Nazroo J, Oldfield Z. Social determinants of health in older age. In: Marmot M, Wilkinson R, editors. Social Determinants of Health. 2. Oxford Scholarship Online2009.</w:t>
      </w:r>
    </w:p>
    <w:p w14:paraId="20225B4E" w14:textId="77777777" w:rsidR="00330E1E" w:rsidRPr="00330E1E" w:rsidRDefault="00330E1E" w:rsidP="00330E1E">
      <w:pPr>
        <w:pStyle w:val="EndNoteBibliography"/>
        <w:spacing w:after="0"/>
      </w:pPr>
      <w:r w:rsidRPr="00330E1E">
        <w:t>322.</w:t>
      </w:r>
      <w:r w:rsidRPr="00330E1E">
        <w:tab/>
        <w:t>Cleland C, Reis RS, Ferreira Hino AA, Hunter R, Fermino RC, Koller de Paiva H, et al. Built environment correlates of physical activity and sedentary behaviour in older adults: A comparative review between high and low-middle income countries. Health Place. 2019;57:277-304.</w:t>
      </w:r>
    </w:p>
    <w:p w14:paraId="35911010" w14:textId="77777777" w:rsidR="00330E1E" w:rsidRPr="00330E1E" w:rsidRDefault="00330E1E" w:rsidP="00330E1E">
      <w:pPr>
        <w:pStyle w:val="EndNoteBibliography"/>
        <w:spacing w:after="0"/>
      </w:pPr>
      <w:r w:rsidRPr="00330E1E">
        <w:t>323.</w:t>
      </w:r>
      <w:r w:rsidRPr="00330E1E">
        <w:tab/>
        <w:t>Tuvemo Johnson S, Martin C, Anens E, Johansson A-C, Hellström K. Older adults’ opinions on fall prevention in relation to physical activity level. Journal of applied gerontology. 2018;37(1):58-78.</w:t>
      </w:r>
    </w:p>
    <w:p w14:paraId="2281EA3C" w14:textId="77777777" w:rsidR="00330E1E" w:rsidRPr="00330E1E" w:rsidRDefault="00330E1E" w:rsidP="00330E1E">
      <w:pPr>
        <w:pStyle w:val="EndNoteBibliography"/>
        <w:spacing w:after="0"/>
      </w:pPr>
      <w:r w:rsidRPr="00330E1E">
        <w:t>324.</w:t>
      </w:r>
      <w:r w:rsidRPr="00330E1E">
        <w:tab/>
        <w:t>Craig J, Murray A, Mitchell S, Clark S, Saunders L, Burleigh L. The high cost to health and social care of managing falls in older adults living in the community in Scotland. Scottish medical journal. 2013;58(4):198-203.</w:t>
      </w:r>
    </w:p>
    <w:p w14:paraId="1CE4E91E" w14:textId="77777777" w:rsidR="00330E1E" w:rsidRPr="00330E1E" w:rsidRDefault="00330E1E" w:rsidP="00330E1E">
      <w:pPr>
        <w:pStyle w:val="EndNoteBibliography"/>
        <w:spacing w:after="0"/>
      </w:pPr>
      <w:r w:rsidRPr="00330E1E">
        <w:t>325.</w:t>
      </w:r>
      <w:r w:rsidRPr="00330E1E">
        <w:tab/>
        <w:t>Kwon J, Squires H, Franklin M, Lee Y, Young T. Economic models of community-based falls prevention: a systematic review with subsequent commissioning and methodological recommendations. BMC Health Serv Res. 2022;22. doi: 10.1186/s12913-022-07647-6.</w:t>
      </w:r>
    </w:p>
    <w:p w14:paraId="217C7F0E" w14:textId="19255141" w:rsidR="00330E1E" w:rsidRPr="00330E1E" w:rsidRDefault="00330E1E" w:rsidP="00330E1E">
      <w:pPr>
        <w:pStyle w:val="EndNoteBibliography"/>
        <w:spacing w:after="0"/>
      </w:pPr>
      <w:r w:rsidRPr="00330E1E">
        <w:t>326.</w:t>
      </w:r>
      <w:r w:rsidRPr="00330E1E">
        <w:tab/>
        <w:t xml:space="preserve">Kwon J, Squires H, Franklin M, Young T. Systematic review and critical methodological appraisal of community-based falls prevention economic models. Cost Effectiveness and Resource Allocation. 2022;20. doi: </w:t>
      </w:r>
      <w:hyperlink r:id="rId57" w:history="1">
        <w:r w:rsidRPr="00330E1E">
          <w:rPr>
            <w:rStyle w:val="Hyperlink"/>
          </w:rPr>
          <w:t>https://doi.org/10.1186/s12962-022-00367-y</w:t>
        </w:r>
      </w:hyperlink>
      <w:r w:rsidRPr="00330E1E">
        <w:t>.</w:t>
      </w:r>
    </w:p>
    <w:p w14:paraId="1B358BFB" w14:textId="77777777" w:rsidR="00330E1E" w:rsidRPr="00330E1E" w:rsidRDefault="00330E1E" w:rsidP="00330E1E">
      <w:pPr>
        <w:pStyle w:val="EndNoteBibliography"/>
        <w:spacing w:after="0"/>
      </w:pPr>
      <w:r w:rsidRPr="00330E1E">
        <w:t>327.</w:t>
      </w:r>
      <w:r w:rsidRPr="00330E1E">
        <w:tab/>
        <w:t>Page MJ, McKenzie JE, Bossuyt PM, Boutron I, Hoffmann TC, Mulrow CD, et al. The PRISMA 2020 statement: an updated guideline for reporting systematic reviews. Bmj. 2021;372.</w:t>
      </w:r>
    </w:p>
    <w:p w14:paraId="348470C2" w14:textId="77777777" w:rsidR="00330E1E" w:rsidRPr="00330E1E" w:rsidRDefault="00330E1E" w:rsidP="00330E1E">
      <w:pPr>
        <w:pStyle w:val="EndNoteBibliography"/>
        <w:spacing w:after="0"/>
      </w:pPr>
      <w:r w:rsidRPr="00330E1E">
        <w:t>328.</w:t>
      </w:r>
      <w:r w:rsidRPr="00330E1E">
        <w:tab/>
        <w:t>Davis JC, Robertson MC, Ashe MC, Liu-Ambrose T, Khan KM, Marra CA. Does a home-based strength and balance programme in people aged &gt; or =80 years provide the best value for money to prevent falls? A systematic review of economic evaluations of falls prevention interventions. Br J Sports Med. 2010;44(2):80-9. doi: 10.1136/bjsm.2008.060988. PubMed PMID: 20154094.</w:t>
      </w:r>
    </w:p>
    <w:p w14:paraId="157D4FA2" w14:textId="77777777" w:rsidR="00330E1E" w:rsidRPr="00330E1E" w:rsidRDefault="00330E1E" w:rsidP="00330E1E">
      <w:pPr>
        <w:pStyle w:val="EndNoteBibliography"/>
        <w:spacing w:after="0"/>
      </w:pPr>
      <w:r w:rsidRPr="00330E1E">
        <w:t>329.</w:t>
      </w:r>
      <w:r w:rsidRPr="00330E1E">
        <w:tab/>
        <w:t>Dubas-Jakóbczyk K, Kocot E, Kissimova-Skarbek K, Huter K, Rothgang H. Economic evaluation of health promotion and primary prevention actions for older people—a systematic review. The European Journal of Public Health. 2017;27(4):670-9.</w:t>
      </w:r>
    </w:p>
    <w:p w14:paraId="5CA7AD92" w14:textId="77777777" w:rsidR="00330E1E" w:rsidRPr="00330E1E" w:rsidRDefault="00330E1E" w:rsidP="00330E1E">
      <w:pPr>
        <w:pStyle w:val="EndNoteBibliography"/>
        <w:spacing w:after="0"/>
      </w:pPr>
      <w:r w:rsidRPr="00330E1E">
        <w:t>330.</w:t>
      </w:r>
      <w:r w:rsidRPr="00330E1E">
        <w:tab/>
        <w:t>Olij BF, Ophuis RH, Polinder S, Van Beeck EF, Burdorf A, Panneman MJ, et al. Economic evaluations of falls prevention programs for older adults: a systematic review. Journal of the American Geriatrics Society. 2018;66(11):2197-204.</w:t>
      </w:r>
    </w:p>
    <w:p w14:paraId="01C9352D" w14:textId="77777777" w:rsidR="00330E1E" w:rsidRPr="00330E1E" w:rsidRDefault="00330E1E" w:rsidP="00330E1E">
      <w:pPr>
        <w:pStyle w:val="EndNoteBibliography"/>
        <w:spacing w:after="0"/>
      </w:pPr>
      <w:r w:rsidRPr="00330E1E">
        <w:t>331.</w:t>
      </w:r>
      <w:r w:rsidRPr="00330E1E">
        <w:tab/>
        <w:t>Huter K, Dubas-Jakóbczyk K, Kocot E, Kissimova-Skarbek K, Rothgang H. Economic evaluation of health promotion interventions for older people: do applied economic studies meet the methodological challenges? Cost Effectiveness and Resource Allocation. 2018;16(1):14.</w:t>
      </w:r>
    </w:p>
    <w:p w14:paraId="03DB8B9E" w14:textId="77777777" w:rsidR="00330E1E" w:rsidRPr="00330E1E" w:rsidRDefault="00330E1E" w:rsidP="00330E1E">
      <w:pPr>
        <w:pStyle w:val="EndNoteBibliography"/>
        <w:spacing w:after="0"/>
      </w:pPr>
      <w:r w:rsidRPr="00330E1E">
        <w:t>332.</w:t>
      </w:r>
      <w:r w:rsidRPr="00330E1E">
        <w:tab/>
        <w:t>Winser SJ, Chan HTF, Ho L, Chung LS, Ching LT, Felix TKL, et al. Dosage for cost-effective exercise-based falls prevention programs for older people: a systematic review of economic evaluations. Annals of physical and rehabilitation medicine. 2020;63(1):69-80.</w:t>
      </w:r>
    </w:p>
    <w:p w14:paraId="31F1AB89" w14:textId="0FBBC637" w:rsidR="00330E1E" w:rsidRPr="00330E1E" w:rsidRDefault="00330E1E" w:rsidP="00330E1E">
      <w:pPr>
        <w:pStyle w:val="EndNoteBibliography"/>
        <w:spacing w:after="0"/>
      </w:pPr>
      <w:r w:rsidRPr="00330E1E">
        <w:t>333.</w:t>
      </w:r>
      <w:r w:rsidRPr="00330E1E">
        <w:tab/>
        <w:t xml:space="preserve">World Bank. Inflation, consumer prices (annual %) 2021. Available from: </w:t>
      </w:r>
      <w:hyperlink r:id="rId58" w:history="1">
        <w:r w:rsidRPr="00330E1E">
          <w:rPr>
            <w:rStyle w:val="Hyperlink"/>
          </w:rPr>
          <w:t>https://data.worldbank.org/indicator/FP.CPI.TOTL.ZG</w:t>
        </w:r>
      </w:hyperlink>
      <w:r w:rsidRPr="00330E1E">
        <w:t>.</w:t>
      </w:r>
    </w:p>
    <w:p w14:paraId="0D21AB38" w14:textId="6BD8C7C4" w:rsidR="00330E1E" w:rsidRPr="00330E1E" w:rsidRDefault="00330E1E" w:rsidP="00330E1E">
      <w:pPr>
        <w:pStyle w:val="EndNoteBibliography"/>
        <w:spacing w:after="0"/>
      </w:pPr>
      <w:r w:rsidRPr="00330E1E">
        <w:t>334.</w:t>
      </w:r>
      <w:r w:rsidRPr="00330E1E">
        <w:tab/>
        <w:t xml:space="preserve">OECD Data. Purchasing power parities (PPP) 2021. Available from: </w:t>
      </w:r>
      <w:hyperlink r:id="rId59" w:anchor="indicator-chart" w:history="1">
        <w:r w:rsidRPr="00330E1E">
          <w:rPr>
            <w:rStyle w:val="Hyperlink"/>
          </w:rPr>
          <w:t>https://data.oecd.org/conversion/purchasing-power-parities-ppp.htm#indicator-chart</w:t>
        </w:r>
      </w:hyperlink>
      <w:r w:rsidRPr="00330E1E">
        <w:t>.</w:t>
      </w:r>
    </w:p>
    <w:p w14:paraId="36B92405" w14:textId="77777777" w:rsidR="00330E1E" w:rsidRPr="00330E1E" w:rsidRDefault="00330E1E" w:rsidP="00330E1E">
      <w:pPr>
        <w:pStyle w:val="EndNoteBibliography"/>
        <w:spacing w:after="0"/>
      </w:pPr>
      <w:r w:rsidRPr="00330E1E">
        <w:t>335.</w:t>
      </w:r>
      <w:r w:rsidRPr="00330E1E">
        <w:tab/>
        <w:t>Hektoen LF, Aas E, Luras H. Cost-effectiveness in fall prevention for older women. Scand J Public Health. 2009;37(6):584-9. doi: 10.1177/1403494809341093. PubMed PMID: 19666674.</w:t>
      </w:r>
    </w:p>
    <w:p w14:paraId="56FE040B" w14:textId="77777777" w:rsidR="00330E1E" w:rsidRPr="00330E1E" w:rsidRDefault="00330E1E" w:rsidP="00330E1E">
      <w:pPr>
        <w:pStyle w:val="EndNoteBibliography"/>
        <w:spacing w:after="0"/>
      </w:pPr>
      <w:r w:rsidRPr="00330E1E">
        <w:t>336.</w:t>
      </w:r>
      <w:r w:rsidRPr="00330E1E">
        <w:tab/>
        <w:t>Nshimyumukiza L, Durand A, Gagnon M, Douville X, Morin S, Lindsay C, et al. An economic evaluation: Simulation of the cost‐effectiveness and cost‐utility of universal prevention strategies against osteoporosis‐related fractures. Journal of Bone and Mineral Research. 2013;28(2):383-94.</w:t>
      </w:r>
    </w:p>
    <w:p w14:paraId="4CA95199" w14:textId="77777777" w:rsidR="00330E1E" w:rsidRPr="00330E1E" w:rsidRDefault="00330E1E" w:rsidP="00330E1E">
      <w:pPr>
        <w:pStyle w:val="EndNoteBibliography"/>
        <w:spacing w:after="0"/>
      </w:pPr>
      <w:r w:rsidRPr="00330E1E">
        <w:t>337.</w:t>
      </w:r>
      <w:r w:rsidRPr="00330E1E">
        <w:tab/>
        <w:t>Boyd M, Kvizhinadze G, Kho A, Wilson G, Wilson N. Cataract surgery for falls prevention and improving vision: modelling the health gain, health system costs and cost-effectiveness in a high-income country. Injury prevention. 2020;26(4):302-9.</w:t>
      </w:r>
    </w:p>
    <w:p w14:paraId="121108F4" w14:textId="77777777" w:rsidR="00330E1E" w:rsidRPr="00330E1E" w:rsidRDefault="00330E1E" w:rsidP="00330E1E">
      <w:pPr>
        <w:pStyle w:val="EndNoteBibliography"/>
        <w:spacing w:after="0"/>
      </w:pPr>
      <w:r w:rsidRPr="00330E1E">
        <w:t>338.</w:t>
      </w:r>
      <w:r w:rsidRPr="00330E1E">
        <w:tab/>
        <w:t>Ling C, Henderson S, Henderson R, Henderson M, Pedro T, Pang L. Cost benefit considerations of preventing elderly falls through environmental modifications to homes in Hana, Maui. Hawaii medical journal. 2008;67(3):65.</w:t>
      </w:r>
    </w:p>
    <w:p w14:paraId="08A951CE" w14:textId="77777777" w:rsidR="00330E1E" w:rsidRPr="00330E1E" w:rsidRDefault="00330E1E" w:rsidP="00330E1E">
      <w:pPr>
        <w:pStyle w:val="EndNoteBibliography"/>
        <w:spacing w:after="0"/>
      </w:pPr>
      <w:r w:rsidRPr="00330E1E">
        <w:t>339.</w:t>
      </w:r>
      <w:r w:rsidRPr="00330E1E">
        <w:tab/>
        <w:t>van der Velde N, Meerding WJ, Looman CW, Pols HA, van der Cammen TJ. Cost effectiveness of withdrawal of fall-risk-increasing drugs in geriatric outpatients. Drugs &amp; aging. 2008;25(6):521-9.</w:t>
      </w:r>
    </w:p>
    <w:p w14:paraId="10678A93" w14:textId="478141FD" w:rsidR="00330E1E" w:rsidRPr="00330E1E" w:rsidRDefault="00330E1E" w:rsidP="00330E1E">
      <w:pPr>
        <w:pStyle w:val="EndNoteBibliography"/>
        <w:spacing w:after="0"/>
      </w:pPr>
      <w:r w:rsidRPr="00330E1E">
        <w:t>340.</w:t>
      </w:r>
      <w:r w:rsidRPr="00330E1E">
        <w:tab/>
        <w:t xml:space="preserve">Wu S, Keeler EB, Rubenstein LZ, Maglione MA, Shekelle PG. A cost-effectiveness analysis of a proposed national falls prevention program. Clinics in geriatric medicine. 2010;26(4):751-66. doi: </w:t>
      </w:r>
      <w:hyperlink r:id="rId60" w:history="1">
        <w:r w:rsidRPr="00330E1E">
          <w:rPr>
            <w:rStyle w:val="Hyperlink"/>
          </w:rPr>
          <w:t>https://dx.doi.org/10.1016/j.cger.2010.07.005</w:t>
        </w:r>
      </w:hyperlink>
      <w:r w:rsidRPr="00330E1E">
        <w:t>.</w:t>
      </w:r>
    </w:p>
    <w:p w14:paraId="641CA371" w14:textId="77777777" w:rsidR="00330E1E" w:rsidRPr="00330E1E" w:rsidRDefault="00330E1E" w:rsidP="00330E1E">
      <w:pPr>
        <w:pStyle w:val="EndNoteBibliography"/>
        <w:spacing w:after="0"/>
      </w:pPr>
      <w:r w:rsidRPr="00330E1E">
        <w:t>341.</w:t>
      </w:r>
      <w:r w:rsidRPr="00330E1E">
        <w:tab/>
        <w:t>Alhambra-Borrás T, Durá-Ferrandis E, Ferrando-García M. Effectiveness and estimation of cost-effectiveness of a group-based multicomponent physical exercise programme on risk of falling and frailty in community-dwelling older adults. International journal of environmental research and public health. 2019;16(12):2086.</w:t>
      </w:r>
    </w:p>
    <w:p w14:paraId="3D63D56A" w14:textId="77777777" w:rsidR="00330E1E" w:rsidRPr="00330E1E" w:rsidRDefault="00330E1E" w:rsidP="00330E1E">
      <w:pPr>
        <w:pStyle w:val="EndNoteBibliography"/>
        <w:spacing w:after="0"/>
      </w:pPr>
      <w:r w:rsidRPr="00330E1E">
        <w:t>342.</w:t>
      </w:r>
      <w:r w:rsidRPr="00330E1E">
        <w:tab/>
        <w:t>Miller TR, Dickerson JB, Smith ML, Ory MG. Assessing costs and potential returns of evidence-based programs for seniors. Evaluation &amp; the health professions. 2011;34(2):201-25.</w:t>
      </w:r>
    </w:p>
    <w:p w14:paraId="3331929F" w14:textId="77777777" w:rsidR="00330E1E" w:rsidRPr="00330E1E" w:rsidRDefault="00330E1E" w:rsidP="00330E1E">
      <w:pPr>
        <w:pStyle w:val="EndNoteBibliography"/>
        <w:spacing w:after="0"/>
      </w:pPr>
      <w:r w:rsidRPr="00330E1E">
        <w:t>343.</w:t>
      </w:r>
      <w:r w:rsidRPr="00330E1E">
        <w:tab/>
        <w:t>Hiligsmann M, Ben Sedrine W, Bruyère O, Evers SM, Rabenda V, Reginster J-Y. Cost-effectiveness of vitamin D and calcium supplementation in the treatment of elderly women and men with osteoporosis. The European Journal of Public Health. 2014;25(1):20-5.</w:t>
      </w:r>
    </w:p>
    <w:p w14:paraId="63B1371C" w14:textId="77777777" w:rsidR="00330E1E" w:rsidRPr="00330E1E" w:rsidRDefault="00330E1E" w:rsidP="00330E1E">
      <w:pPr>
        <w:pStyle w:val="EndNoteBibliography"/>
        <w:spacing w:after="0"/>
      </w:pPr>
      <w:r w:rsidRPr="00330E1E">
        <w:t>344.</w:t>
      </w:r>
      <w:r w:rsidRPr="00330E1E">
        <w:tab/>
        <w:t>Mori T, Crandall C, Ganz DA. Cost-effectiveness of combined oral bisphosphonate therapy and falls prevention exercise for fracture prevention in the USA. Osteoporosis international. 2017;28(2):585-95.</w:t>
      </w:r>
    </w:p>
    <w:p w14:paraId="0BF7C20E" w14:textId="562377D4" w:rsidR="00330E1E" w:rsidRPr="00330E1E" w:rsidRDefault="00330E1E" w:rsidP="00330E1E">
      <w:pPr>
        <w:pStyle w:val="EndNoteBibliography"/>
        <w:spacing w:after="0"/>
      </w:pPr>
      <w:r w:rsidRPr="00330E1E">
        <w:t>345.</w:t>
      </w:r>
      <w:r w:rsidRPr="00330E1E">
        <w:tab/>
        <w:t xml:space="preserve">Hirst A, Knight C, Hirst M, Dunlop W, Akehurst R. Tramadol and the risk of fracture in an elderly female population: a cost utility assessment with comparison to transdermal buprenorphine. The European journal of health economics : HEPAC : health economics in prevention and care. 2016;17(2):217-27. doi: </w:t>
      </w:r>
      <w:hyperlink r:id="rId61" w:history="1">
        <w:r w:rsidRPr="00330E1E">
          <w:rPr>
            <w:rStyle w:val="Hyperlink"/>
          </w:rPr>
          <w:t>https://dx.doi.org/10.1007/s10198-015-0673-1</w:t>
        </w:r>
      </w:hyperlink>
      <w:r w:rsidRPr="00330E1E">
        <w:t>.</w:t>
      </w:r>
    </w:p>
    <w:p w14:paraId="0CA9C899" w14:textId="672CB953" w:rsidR="00330E1E" w:rsidRPr="00330E1E" w:rsidRDefault="00330E1E" w:rsidP="00330E1E">
      <w:pPr>
        <w:pStyle w:val="EndNoteBibliography"/>
        <w:spacing w:after="0"/>
      </w:pPr>
      <w:r w:rsidRPr="00330E1E">
        <w:t>346.</w:t>
      </w:r>
      <w:r w:rsidRPr="00330E1E">
        <w:tab/>
        <w:t xml:space="preserve">Moriarty F, Cahir C, Bennett K, Fahey T. Economic impact of potentially inappropriate prescribing and related adverse events in older people: A cost-utility analysis using Markov models. BMJ Open. 2019;9(1):e021832. doi: </w:t>
      </w:r>
      <w:hyperlink r:id="rId62" w:history="1">
        <w:r w:rsidRPr="00330E1E">
          <w:rPr>
            <w:rStyle w:val="Hyperlink"/>
          </w:rPr>
          <w:t>http://dx.doi.org/10.1136/bmjopen-2018-021832</w:t>
        </w:r>
      </w:hyperlink>
      <w:r w:rsidRPr="00330E1E">
        <w:t>.</w:t>
      </w:r>
    </w:p>
    <w:p w14:paraId="729576E0" w14:textId="607D1415" w:rsidR="00330E1E" w:rsidRPr="00330E1E" w:rsidRDefault="00330E1E" w:rsidP="00330E1E">
      <w:pPr>
        <w:pStyle w:val="EndNoteBibliography"/>
        <w:spacing w:after="0"/>
      </w:pPr>
      <w:r w:rsidRPr="00330E1E">
        <w:t>347.</w:t>
      </w:r>
      <w:r w:rsidRPr="00330E1E">
        <w:tab/>
        <w:t xml:space="preserve">Tannenbaum C, Diaby V, Singh D, Perreault S, Luc M, Vasiliadis H-M. Sedative-hypnotic medicines and falls in community-dwelling older adults: a cost-effectiveness (decision-tree) analysis from a US Medicare perspective. Drugs &amp; aging. 2015;32(4):305-14. doi: </w:t>
      </w:r>
      <w:hyperlink r:id="rId63" w:history="1">
        <w:r w:rsidRPr="00330E1E">
          <w:rPr>
            <w:rStyle w:val="Hyperlink"/>
          </w:rPr>
          <w:t>https://dx.doi.org/10.1007/s40266-015-0251-3</w:t>
        </w:r>
      </w:hyperlink>
      <w:r w:rsidRPr="00330E1E">
        <w:t>.</w:t>
      </w:r>
    </w:p>
    <w:p w14:paraId="34022225" w14:textId="4E946EA6" w:rsidR="00330E1E" w:rsidRPr="00330E1E" w:rsidRDefault="00330E1E" w:rsidP="00330E1E">
      <w:pPr>
        <w:pStyle w:val="EndNoteBibliography"/>
        <w:spacing w:after="0"/>
      </w:pPr>
      <w:r w:rsidRPr="00330E1E">
        <w:t>348.</w:t>
      </w:r>
      <w:r w:rsidRPr="00330E1E">
        <w:tab/>
        <w:t xml:space="preserve">Turner JP, Sanyal C, Martin P, Tannenbaum C. Economic Evaluation of Sedative Deprescribing in Older Adults by Community Pharmacists. The journals of gerontology Series A, Biological sciences and medical sciences. 2020. doi: </w:t>
      </w:r>
      <w:hyperlink r:id="rId64" w:history="1">
        <w:r w:rsidRPr="00330E1E">
          <w:rPr>
            <w:rStyle w:val="Hyperlink"/>
          </w:rPr>
          <w:t>http://dx.doi.org/10.1093/gerona/glaa180</w:t>
        </w:r>
      </w:hyperlink>
      <w:r w:rsidRPr="00330E1E">
        <w:t>.</w:t>
      </w:r>
    </w:p>
    <w:p w14:paraId="630075D4" w14:textId="77777777" w:rsidR="00330E1E" w:rsidRPr="00330E1E" w:rsidRDefault="00330E1E" w:rsidP="00330E1E">
      <w:pPr>
        <w:pStyle w:val="EndNoteBibliography"/>
        <w:spacing w:after="0"/>
      </w:pPr>
      <w:r w:rsidRPr="00330E1E">
        <w:t>349.</w:t>
      </w:r>
      <w:r w:rsidRPr="00330E1E">
        <w:tab/>
        <w:t>Sach TH, Foss AJ, Gregson RM, Zaman A, Osborn F, Masud T, et al. Falls and health status in elderly women following first eye cataract surgery: an economic evaluation conducted alongside a randomised controlled trial. Br J Ophthalmol. 2007;91(12):1675-9. doi: 10.1136/bjo.2007.118687. PubMed PMID: 17585002; PubMed Central PMCID: PMCPMC2095519.</w:t>
      </w:r>
    </w:p>
    <w:p w14:paraId="0E79F8E8" w14:textId="77777777" w:rsidR="00330E1E" w:rsidRPr="00330E1E" w:rsidRDefault="00330E1E" w:rsidP="00330E1E">
      <w:pPr>
        <w:pStyle w:val="EndNoteBibliography"/>
        <w:spacing w:after="0"/>
      </w:pPr>
      <w:r w:rsidRPr="00330E1E">
        <w:t>350.</w:t>
      </w:r>
      <w:r w:rsidRPr="00330E1E">
        <w:tab/>
        <w:t>Sach T, Foss A, Gregson R, Zaman A, Osborn F, Masud T, et al. Second-eye cataract surgery in elderly women: a cost-utility analysis conducted alongside a randomized controlled trial. Eye. 2010;24(2):276.</w:t>
      </w:r>
    </w:p>
    <w:p w14:paraId="67557558" w14:textId="77777777" w:rsidR="00330E1E" w:rsidRPr="00330E1E" w:rsidRDefault="00330E1E" w:rsidP="00330E1E">
      <w:pPr>
        <w:pStyle w:val="EndNoteBibliography"/>
        <w:spacing w:after="0"/>
      </w:pPr>
      <w:r w:rsidRPr="00330E1E">
        <w:t>351.</w:t>
      </w:r>
      <w:r w:rsidRPr="00330E1E">
        <w:tab/>
        <w:t>Church J, Goodall S, Norman R, Haas M. The cost-effectiveness of falls prevention interventions for older community-dwelling Australians. Aust N Z J Public Health. 2012;36(3):241-8. doi: 10.1111/j.1753-6405.2011.00811.x. PubMed PMID: 22672030.</w:t>
      </w:r>
    </w:p>
    <w:p w14:paraId="7D0D4509" w14:textId="77777777" w:rsidR="00330E1E" w:rsidRPr="00330E1E" w:rsidRDefault="00330E1E" w:rsidP="00330E1E">
      <w:pPr>
        <w:pStyle w:val="EndNoteBibliography"/>
        <w:spacing w:after="0"/>
      </w:pPr>
      <w:r w:rsidRPr="00330E1E">
        <w:t>352.</w:t>
      </w:r>
      <w:r w:rsidRPr="00330E1E">
        <w:tab/>
        <w:t>Frick KD, Kung JY, Parrish JM, Narrett MJ. Evaluating the cost-effectiveness of fall prevention programs that reduce fall-related hip fractures in older adults. J Am Geriatr Soc. 2010;58(1):136-41. doi: 10.1111/j.1532-5415.2009.02575.x. PubMed PMID: 20122044.</w:t>
      </w:r>
    </w:p>
    <w:p w14:paraId="742D0990" w14:textId="79C8C28D" w:rsidR="00330E1E" w:rsidRPr="00330E1E" w:rsidRDefault="00330E1E" w:rsidP="00330E1E">
      <w:pPr>
        <w:pStyle w:val="EndNoteBibliography"/>
        <w:spacing w:after="0"/>
      </w:pPr>
      <w:r w:rsidRPr="00330E1E">
        <w:t>353.</w:t>
      </w:r>
      <w:r w:rsidRPr="00330E1E">
        <w:tab/>
        <w:t xml:space="preserve">Day L, Finch CF, Harrison JE, Hoareau E, Segal L, Ullah S. Modelling the population-level impact of tai-chi on falls and fall-related injury among community-dwelling older people. Injury prevention : journal of the International Society for Child and Adolescent Injury Prevention. 2010;16(5):321-6. doi: </w:t>
      </w:r>
      <w:hyperlink r:id="rId65" w:history="1">
        <w:r w:rsidRPr="00330E1E">
          <w:rPr>
            <w:rStyle w:val="Hyperlink"/>
          </w:rPr>
          <w:t>https://dx.doi.org/10.1136/ip.2009.025452</w:t>
        </w:r>
      </w:hyperlink>
      <w:r w:rsidRPr="00330E1E">
        <w:t>.</w:t>
      </w:r>
    </w:p>
    <w:p w14:paraId="46BAADED" w14:textId="77777777" w:rsidR="00330E1E" w:rsidRPr="00330E1E" w:rsidRDefault="00330E1E" w:rsidP="00330E1E">
      <w:pPr>
        <w:pStyle w:val="EndNoteBibliography"/>
        <w:spacing w:after="0"/>
      </w:pPr>
      <w:r w:rsidRPr="00330E1E">
        <w:t>354.</w:t>
      </w:r>
      <w:r w:rsidRPr="00330E1E">
        <w:tab/>
        <w:t>Albert SM, Raviotta J, Lin CJ, Edelstein O, Smith KJ. Cost-effectiveness of a statewide falls prevention program in Pennsylvania: Healthy Steps for Older Adults. The American journal of managed care. 2016;22(10):638-44.</w:t>
      </w:r>
    </w:p>
    <w:p w14:paraId="30311439" w14:textId="77777777" w:rsidR="00330E1E" w:rsidRPr="00330E1E" w:rsidRDefault="00330E1E" w:rsidP="00330E1E">
      <w:pPr>
        <w:pStyle w:val="EndNoteBibliography"/>
        <w:spacing w:after="0"/>
      </w:pPr>
      <w:r w:rsidRPr="00330E1E">
        <w:t>355.</w:t>
      </w:r>
      <w:r w:rsidRPr="00330E1E">
        <w:tab/>
        <w:t>McLean K, Day L, Dalton A. Economic evaluation of a group-based exercise program for falls prevention among the older community-dwelling population. BMC Geriatr. 2015;15:33. Epub 2015/04/17. doi: 10.1186/s12877-015-0028-x. PubMed PMID: 25879871; PubMed Central PMCID: PMCPMC4404560.</w:t>
      </w:r>
    </w:p>
    <w:p w14:paraId="1ACFCE45" w14:textId="67A2268B" w:rsidR="00330E1E" w:rsidRPr="00330E1E" w:rsidRDefault="00330E1E" w:rsidP="00330E1E">
      <w:pPr>
        <w:pStyle w:val="EndNoteBibliography"/>
        <w:spacing w:after="0"/>
      </w:pPr>
      <w:r w:rsidRPr="00330E1E">
        <w:t>356.</w:t>
      </w:r>
      <w:r w:rsidRPr="00330E1E">
        <w:tab/>
        <w:t xml:space="preserve">Poole CD, Smith J, Davies JS. Cost-effectiveness and budget impact of Empirical vitamin D therapy on unintentional falls in older adults in the UK. BMJ open. 2015;5(9):e007910. doi: </w:t>
      </w:r>
      <w:hyperlink r:id="rId66" w:history="1">
        <w:r w:rsidRPr="00330E1E">
          <w:rPr>
            <w:rStyle w:val="Hyperlink"/>
          </w:rPr>
          <w:t>https://dx.doi.org/10.1136/bmjopen-2015-007910</w:t>
        </w:r>
      </w:hyperlink>
      <w:r w:rsidRPr="00330E1E">
        <w:t>.</w:t>
      </w:r>
    </w:p>
    <w:p w14:paraId="0A548DFD" w14:textId="7D49A85A" w:rsidR="00330E1E" w:rsidRPr="00330E1E" w:rsidRDefault="00330E1E" w:rsidP="00330E1E">
      <w:pPr>
        <w:pStyle w:val="EndNoteBibliography"/>
        <w:spacing w:after="0"/>
      </w:pPr>
      <w:r w:rsidRPr="00330E1E">
        <w:t>357.</w:t>
      </w:r>
      <w:r w:rsidRPr="00330E1E">
        <w:tab/>
        <w:t xml:space="preserve">Agartioglu Kundakci G, Yilmaz M, Sozmen MK. Determination of the costs of falls in the older people according to the decision tree model. Archives of Gerontology and Geriatrics. 2020;87:104007. doi: </w:t>
      </w:r>
      <w:hyperlink r:id="rId67" w:history="1">
        <w:r w:rsidRPr="00330E1E">
          <w:rPr>
            <w:rStyle w:val="Hyperlink"/>
          </w:rPr>
          <w:t>https://dx.doi.org/10.1016/j.archger.2019.104007</w:t>
        </w:r>
      </w:hyperlink>
      <w:r w:rsidRPr="00330E1E">
        <w:t>.</w:t>
      </w:r>
    </w:p>
    <w:p w14:paraId="6B68DF2E" w14:textId="77777777" w:rsidR="00330E1E" w:rsidRPr="00330E1E" w:rsidRDefault="00330E1E" w:rsidP="00330E1E">
      <w:pPr>
        <w:pStyle w:val="EndNoteBibliography"/>
        <w:spacing w:after="0"/>
      </w:pPr>
      <w:r w:rsidRPr="00330E1E">
        <w:t>358.</w:t>
      </w:r>
      <w:r w:rsidRPr="00330E1E">
        <w:tab/>
        <w:t>Carande-Kulis V, Stevens JA, Florence CS, Beattie BL, Arias I. A cost-benefit analysis of three older adult fall prevention interventions. J Safety Res. 2015;52:65-70. doi: 10.1016/j.jsr.2014.12.007. PubMed PMID: 25662884.</w:t>
      </w:r>
    </w:p>
    <w:p w14:paraId="5C8BAE4C" w14:textId="77777777" w:rsidR="00330E1E" w:rsidRPr="00330E1E" w:rsidRDefault="00330E1E" w:rsidP="00330E1E">
      <w:pPr>
        <w:pStyle w:val="EndNoteBibliography"/>
        <w:spacing w:after="0"/>
      </w:pPr>
      <w:r w:rsidRPr="00330E1E">
        <w:t>359.</w:t>
      </w:r>
      <w:r w:rsidRPr="00330E1E">
        <w:tab/>
        <w:t>Chartered Society of Physiotherapy. The falls prevention economic model: Physiotherapy commissioning support tool. In: (WSYBCSU) WaSYaBCSU, editor. 2016.</w:t>
      </w:r>
    </w:p>
    <w:p w14:paraId="2C363084" w14:textId="6F5279E3" w:rsidR="00330E1E" w:rsidRPr="00330E1E" w:rsidRDefault="00330E1E" w:rsidP="00330E1E">
      <w:pPr>
        <w:pStyle w:val="EndNoteBibliography"/>
        <w:spacing w:after="0"/>
      </w:pPr>
      <w:r w:rsidRPr="00330E1E">
        <w:t>360.</w:t>
      </w:r>
      <w:r w:rsidRPr="00330E1E">
        <w:tab/>
        <w:t xml:space="preserve">Church J, Goodall S, Norman R, Haas M. An economic evaluation of community and residential aged care falls prevention strategies in NSW. New South Wales public health bulletin. 2011;22(3-4):60-8. doi: </w:t>
      </w:r>
      <w:hyperlink r:id="rId68" w:history="1">
        <w:r w:rsidRPr="00330E1E">
          <w:rPr>
            <w:rStyle w:val="Hyperlink"/>
          </w:rPr>
          <w:t>https://dx.doi.org/10.1071/NB10051</w:t>
        </w:r>
      </w:hyperlink>
      <w:r w:rsidRPr="00330E1E">
        <w:t>.</w:t>
      </w:r>
    </w:p>
    <w:p w14:paraId="028A52D0" w14:textId="34364517" w:rsidR="00330E1E" w:rsidRPr="00330E1E" w:rsidRDefault="00330E1E" w:rsidP="00330E1E">
      <w:pPr>
        <w:pStyle w:val="EndNoteBibliography"/>
        <w:spacing w:after="0"/>
      </w:pPr>
      <w:r w:rsidRPr="00330E1E">
        <w:t>361.</w:t>
      </w:r>
      <w:r w:rsidRPr="00330E1E">
        <w:tab/>
        <w:t xml:space="preserve">Deverall E, Kvizhinadze G, Pega F, Blakely T, Wilson N. Exercise programmes to prevent falls among older adults: modelling health gain, cost-utility and equity impacts. Injury prevention : journal of the International Society for Child and Adolescent Injury Prevention. 2018. doi: </w:t>
      </w:r>
      <w:hyperlink r:id="rId69" w:history="1">
        <w:r w:rsidRPr="00330E1E">
          <w:rPr>
            <w:rStyle w:val="Hyperlink"/>
          </w:rPr>
          <w:t>https://dx.doi.org/10.1136/injuryprev-2016-042309</w:t>
        </w:r>
      </w:hyperlink>
      <w:r w:rsidRPr="00330E1E">
        <w:t>.</w:t>
      </w:r>
    </w:p>
    <w:p w14:paraId="52A84A68" w14:textId="77777777" w:rsidR="00330E1E" w:rsidRPr="00330E1E" w:rsidRDefault="00330E1E" w:rsidP="00330E1E">
      <w:pPr>
        <w:pStyle w:val="EndNoteBibliography"/>
        <w:spacing w:after="0"/>
      </w:pPr>
      <w:r w:rsidRPr="00330E1E">
        <w:t>362.</w:t>
      </w:r>
      <w:r w:rsidRPr="00330E1E">
        <w:tab/>
        <w:t>Farag I, Howard K, Ferreira ML, Sherrington C. Economic modelling of a public health programme for fall prevention. Age Ageing. 2015;44(3):409-14. Epub 2014/12/20. doi: 10.1093/ageing/afu195. PubMed PMID: 25523025.</w:t>
      </w:r>
    </w:p>
    <w:p w14:paraId="284FEE5B" w14:textId="77777777" w:rsidR="00330E1E" w:rsidRPr="00330E1E" w:rsidRDefault="00330E1E" w:rsidP="00330E1E">
      <w:pPr>
        <w:pStyle w:val="EndNoteBibliography"/>
        <w:spacing w:after="0"/>
      </w:pPr>
      <w:r w:rsidRPr="00330E1E">
        <w:t>363.</w:t>
      </w:r>
      <w:r w:rsidRPr="00330E1E">
        <w:tab/>
        <w:t>Franklin M, Hunter RM. A modelling-based economic evaluation of primary-care-based fall-risk screening followed by fall-prevention intervention: a cohort-based Markov model stratified by older age groups. Age and ageing. 2019.</w:t>
      </w:r>
    </w:p>
    <w:p w14:paraId="26175F86" w14:textId="064EF30A" w:rsidR="00330E1E" w:rsidRPr="00330E1E" w:rsidRDefault="00330E1E" w:rsidP="00330E1E">
      <w:pPr>
        <w:pStyle w:val="EndNoteBibliography"/>
        <w:spacing w:after="0"/>
      </w:pPr>
      <w:r w:rsidRPr="00330E1E">
        <w:t>364.</w:t>
      </w:r>
      <w:r w:rsidRPr="00330E1E">
        <w:tab/>
        <w:t xml:space="preserve">Ippoliti R, Allievi I, Falavigna G, Giuliano P, Montani F, Obbia P, et al. The sustainability of a community nurses programme aimed at supporting active ageing in mountain areas. The International Journal of Health Planning &amp; Management. 2018;33(4):e1100-e11. doi: </w:t>
      </w:r>
      <w:hyperlink r:id="rId70" w:history="1">
        <w:r w:rsidRPr="00330E1E">
          <w:rPr>
            <w:rStyle w:val="Hyperlink"/>
          </w:rPr>
          <w:t>http://dx.doi.org/10.1002/hpm.2591</w:t>
        </w:r>
      </w:hyperlink>
      <w:r w:rsidRPr="00330E1E">
        <w:t>. PubMed PMID: 2151287056.</w:t>
      </w:r>
    </w:p>
    <w:p w14:paraId="39B82276" w14:textId="15310A45" w:rsidR="00330E1E" w:rsidRPr="00330E1E" w:rsidRDefault="00330E1E" w:rsidP="00330E1E">
      <w:pPr>
        <w:pStyle w:val="EndNoteBibliography"/>
        <w:spacing w:after="0"/>
      </w:pPr>
      <w:r w:rsidRPr="00330E1E">
        <w:t>365.</w:t>
      </w:r>
      <w:r w:rsidRPr="00330E1E">
        <w:tab/>
        <w:t xml:space="preserve">Lee RH, Weber T, Colon-Emeric C. Comparison of cost-effectiveness of vitamin D screening with that of universal supplementation in preventing falls in community-dwelling older adults. Journal of the American Geriatrics Society. 2013;61(5):707-14. doi: </w:t>
      </w:r>
      <w:hyperlink r:id="rId71" w:history="1">
        <w:r w:rsidRPr="00330E1E">
          <w:rPr>
            <w:rStyle w:val="Hyperlink"/>
          </w:rPr>
          <w:t>https://dx.doi.org/10.1111/jgs.12213</w:t>
        </w:r>
      </w:hyperlink>
      <w:r w:rsidRPr="00330E1E">
        <w:t>.</w:t>
      </w:r>
    </w:p>
    <w:p w14:paraId="1D24D68D" w14:textId="77777777" w:rsidR="00330E1E" w:rsidRPr="00330E1E" w:rsidRDefault="00330E1E" w:rsidP="00330E1E">
      <w:pPr>
        <w:pStyle w:val="EndNoteBibliography"/>
        <w:spacing w:after="0"/>
      </w:pPr>
      <w:r w:rsidRPr="00330E1E">
        <w:t>366.</w:t>
      </w:r>
      <w:r w:rsidRPr="00330E1E">
        <w:tab/>
        <w:t>Ontario Medical Advisory Secretariat. The Falls/fractures Economic Model in Ontario Residents aged 65 years and over (FEMOR). Ontario health technology assessment series. 2008;8(6):1.</w:t>
      </w:r>
    </w:p>
    <w:p w14:paraId="00C9DDBD" w14:textId="77777777" w:rsidR="00330E1E" w:rsidRPr="00330E1E" w:rsidRDefault="00330E1E" w:rsidP="00330E1E">
      <w:pPr>
        <w:pStyle w:val="EndNoteBibliography"/>
        <w:spacing w:after="0"/>
      </w:pPr>
      <w:r w:rsidRPr="00330E1E">
        <w:t>367.</w:t>
      </w:r>
      <w:r w:rsidRPr="00330E1E">
        <w:tab/>
        <w:t>Poole CD, Smith JC, Davies JS. The short-term impact of vitamin D-based hip fracture prevention in older adults in the United Kingdom. Journal of endocrinological investigation. 2014;37(9):811-7.</w:t>
      </w:r>
    </w:p>
    <w:p w14:paraId="1B5A9555" w14:textId="77777777" w:rsidR="00330E1E" w:rsidRPr="00330E1E" w:rsidRDefault="00330E1E" w:rsidP="00330E1E">
      <w:pPr>
        <w:pStyle w:val="EndNoteBibliography"/>
        <w:spacing w:after="0"/>
      </w:pPr>
      <w:r w:rsidRPr="00330E1E">
        <w:t>368.</w:t>
      </w:r>
      <w:r w:rsidRPr="00330E1E">
        <w:tab/>
        <w:t>Zarca K, Durand-Zaleski I, Roux C, Souberbielle J, Schott A, Thomas T, et al. Cost-effectiveness analysis of hip fracture prevention with vitamin D supplementation: a Markov micro-simulation model applied to the French population over 65 years old without previous hip fracture. Osteoporosis International. 2014;25(6):1797-806.</w:t>
      </w:r>
    </w:p>
    <w:p w14:paraId="77C41EA4" w14:textId="77777777" w:rsidR="00330E1E" w:rsidRPr="00330E1E" w:rsidRDefault="00330E1E" w:rsidP="00330E1E">
      <w:pPr>
        <w:pStyle w:val="EndNoteBibliography"/>
        <w:spacing w:after="0"/>
      </w:pPr>
      <w:r w:rsidRPr="00330E1E">
        <w:t>369.</w:t>
      </w:r>
      <w:r w:rsidRPr="00330E1E">
        <w:tab/>
        <w:t>Carta A, Conversano C. On the Use of Markov Models in Pharmacoeconomics: Pros and Cons and Implications for Policy Makers. Frontiers in Public Health. 2020;8.</w:t>
      </w:r>
    </w:p>
    <w:p w14:paraId="471A20DC" w14:textId="77777777" w:rsidR="00330E1E" w:rsidRPr="00330E1E" w:rsidRDefault="00330E1E" w:rsidP="00330E1E">
      <w:pPr>
        <w:pStyle w:val="EndNoteBibliography"/>
        <w:spacing w:after="0"/>
      </w:pPr>
      <w:r w:rsidRPr="00330E1E">
        <w:t>370.</w:t>
      </w:r>
      <w:r w:rsidRPr="00330E1E">
        <w:tab/>
        <w:t>Li G, Ioannidis G, Pickard L, Kennedy C, Papaioannou A, Thabane L, et al. Frailty index of deficit accumulation and falls: data from the Global Longitudinal Study of Osteoporosis in Women (GLOW) Hamilton cohort. BMC musculoskeletal disorders. 2014;15:185. Epub 2014/06/03. doi: 10.1186/1471-2474-15-185. PubMed PMID: 24885323; PubMed Central PMCID: PMCPMC4046442.</w:t>
      </w:r>
    </w:p>
    <w:p w14:paraId="68EB3EB2" w14:textId="77777777" w:rsidR="00330E1E" w:rsidRPr="00330E1E" w:rsidRDefault="00330E1E" w:rsidP="00330E1E">
      <w:pPr>
        <w:pStyle w:val="EndNoteBibliography"/>
        <w:spacing w:after="0"/>
      </w:pPr>
      <w:r w:rsidRPr="00330E1E">
        <w:t>371.</w:t>
      </w:r>
      <w:r w:rsidRPr="00330E1E">
        <w:tab/>
        <w:t>Briggs AH, Weinstein MC, Fenwick EA, Karnon J, Sculpher MJ, Paltiel AD. Model parameter estimation and uncertainty analysis: a report of the ISPOR-SMDM Modeling Good Research Practices Task Force Working Group–6. Medical decision making. 2012;32(5):722-32.</w:t>
      </w:r>
    </w:p>
    <w:p w14:paraId="09E551BB" w14:textId="77777777" w:rsidR="00330E1E" w:rsidRPr="00330E1E" w:rsidRDefault="00330E1E" w:rsidP="00330E1E">
      <w:pPr>
        <w:pStyle w:val="EndNoteBibliography"/>
        <w:spacing w:after="0"/>
      </w:pPr>
      <w:r w:rsidRPr="00330E1E">
        <w:t>372.</w:t>
      </w:r>
      <w:r w:rsidRPr="00330E1E">
        <w:tab/>
        <w:t>Philips Z, Ginnelly L, Sculpher M, Claxton K, Golder S, Riemsma R, et al. Review of guidelines for good practice in decision-analytic modelling in health technology assessment. 2004.</w:t>
      </w:r>
    </w:p>
    <w:p w14:paraId="2E47C5FF" w14:textId="77777777" w:rsidR="00330E1E" w:rsidRPr="00330E1E" w:rsidRDefault="00330E1E" w:rsidP="00330E1E">
      <w:pPr>
        <w:pStyle w:val="EndNoteBibliography"/>
        <w:spacing w:after="0"/>
      </w:pPr>
      <w:r w:rsidRPr="00330E1E">
        <w:t>373.</w:t>
      </w:r>
      <w:r w:rsidRPr="00330E1E">
        <w:tab/>
        <w:t>Polder JJ, Barendregt JJ, van Oers H. Health care costs in the last year of life—the Dutch experience. Social science &amp; medicine. 2006;63(7):1720-31.</w:t>
      </w:r>
    </w:p>
    <w:p w14:paraId="12570D5A" w14:textId="77777777" w:rsidR="00330E1E" w:rsidRPr="00330E1E" w:rsidRDefault="00330E1E" w:rsidP="00330E1E">
      <w:pPr>
        <w:pStyle w:val="EndNoteBibliography"/>
        <w:spacing w:after="0"/>
      </w:pPr>
      <w:r w:rsidRPr="00330E1E">
        <w:t>374.</w:t>
      </w:r>
      <w:r w:rsidRPr="00330E1E">
        <w:tab/>
        <w:t>Wong A, van Baal PH, Boshuizen HC, Polder JJ. Exploring the influence of proximity to death on disease‐specific hospital expenditures: a carpaccio of red herrings. Health economics. 2011;20(4):379-400.</w:t>
      </w:r>
    </w:p>
    <w:p w14:paraId="153A3723" w14:textId="77777777" w:rsidR="00330E1E" w:rsidRPr="00330E1E" w:rsidRDefault="00330E1E" w:rsidP="00330E1E">
      <w:pPr>
        <w:pStyle w:val="EndNoteBibliography"/>
        <w:spacing w:after="0"/>
      </w:pPr>
      <w:r w:rsidRPr="00330E1E">
        <w:t>375.</w:t>
      </w:r>
      <w:r w:rsidRPr="00330E1E">
        <w:tab/>
        <w:t>Davis JC, Marra CA, Robertson MC, Khan KM, Najafzadeh M, Ashe MC, et al. Economic evaluation of dose-response resistance training in older women: a cost-effectiveness and cost-utility analysis. Osteoporos International. 2011;22(5):1355-66. doi: 10.1007/s00198-010-1356-5. PubMed PMID: 20683707; PubMed Central PMCID: PMCPMC4508130.</w:t>
      </w:r>
    </w:p>
    <w:p w14:paraId="1D08CDD0" w14:textId="77777777" w:rsidR="00330E1E" w:rsidRPr="00330E1E" w:rsidRDefault="00330E1E" w:rsidP="00330E1E">
      <w:pPr>
        <w:pStyle w:val="EndNoteBibliography"/>
        <w:spacing w:after="0"/>
      </w:pPr>
      <w:r w:rsidRPr="00330E1E">
        <w:t>376.</w:t>
      </w:r>
      <w:r w:rsidRPr="00330E1E">
        <w:tab/>
        <w:t>Shea BJ, Reeves BC, Wells G, Thuku M, Hamel C, Moran J, et al. AMSTAR 2: a critical appraisal tool for systematic reviews that include randomised or non-randomised studies of healthcare interventions, or both. bmj. 2017;358.</w:t>
      </w:r>
    </w:p>
    <w:p w14:paraId="3EB5C2A3" w14:textId="77777777" w:rsidR="00330E1E" w:rsidRPr="00330E1E" w:rsidRDefault="00330E1E" w:rsidP="00330E1E">
      <w:pPr>
        <w:pStyle w:val="EndNoteBibliography"/>
        <w:spacing w:after="0"/>
      </w:pPr>
      <w:r w:rsidRPr="00330E1E">
        <w:t>377.</w:t>
      </w:r>
      <w:r w:rsidRPr="00330E1E">
        <w:tab/>
        <w:t>SIMUL8. SIMUL8 2014 Student. US: SIMUL8 Corporation. 2014.</w:t>
      </w:r>
    </w:p>
    <w:p w14:paraId="2A55504C" w14:textId="77777777" w:rsidR="00330E1E" w:rsidRPr="00330E1E" w:rsidRDefault="00330E1E" w:rsidP="00330E1E">
      <w:pPr>
        <w:pStyle w:val="EndNoteBibliography"/>
        <w:spacing w:after="0"/>
      </w:pPr>
      <w:r w:rsidRPr="00330E1E">
        <w:t>378.</w:t>
      </w:r>
      <w:r w:rsidRPr="00330E1E">
        <w:tab/>
        <w:t>StataCorp. Stata Statistical Software: Release 16. College Station, TX: StataCorp LLC. 2019.</w:t>
      </w:r>
    </w:p>
    <w:p w14:paraId="315F06C6" w14:textId="77777777" w:rsidR="00330E1E" w:rsidRPr="00330E1E" w:rsidRDefault="00330E1E" w:rsidP="00330E1E">
      <w:pPr>
        <w:pStyle w:val="EndNoteBibliography"/>
        <w:spacing w:after="0"/>
      </w:pPr>
      <w:r w:rsidRPr="00330E1E">
        <w:t>379.</w:t>
      </w:r>
      <w:r w:rsidRPr="00330E1E">
        <w:tab/>
        <w:t>Steptoe A, Breeze E, Banks J, Nazroo J. Cohort profile: the English longitudinal study of ageing. Int J Epidemiol. 2013;42(6):1640-8. doi: 10.1093/ije/dys168. PubMed PMID: 23143611; PubMed Central PMCID: PMCPMC3900867.</w:t>
      </w:r>
    </w:p>
    <w:p w14:paraId="2C272A86" w14:textId="77777777" w:rsidR="00330E1E" w:rsidRPr="00330E1E" w:rsidRDefault="00330E1E" w:rsidP="00330E1E">
      <w:pPr>
        <w:pStyle w:val="EndNoteBibliography"/>
        <w:spacing w:after="0"/>
      </w:pPr>
      <w:r w:rsidRPr="00330E1E">
        <w:t>380.</w:t>
      </w:r>
      <w:r w:rsidRPr="00330E1E">
        <w:tab/>
        <w:t>Marmot M, Oldfield Z, Clemens S, Blake M, Phelps A, Nazroo J, et al. English Longitudinal Study of Ageing: Waves 0-6, 1998-2013 [computer file]. Colchester: UK Data Archive [distributor]. 2014;SN: 5050.</w:t>
      </w:r>
    </w:p>
    <w:p w14:paraId="3F450881" w14:textId="77777777" w:rsidR="00330E1E" w:rsidRPr="00330E1E" w:rsidRDefault="00330E1E" w:rsidP="00330E1E">
      <w:pPr>
        <w:pStyle w:val="EndNoteBibliography"/>
        <w:spacing w:after="0"/>
      </w:pPr>
      <w:r w:rsidRPr="00330E1E">
        <w:t>381.</w:t>
      </w:r>
      <w:r w:rsidRPr="00330E1E">
        <w:tab/>
        <w:t>English Longitudinal Study of Ageing. ELSA Dataset Waves 0 to 9 2019.</w:t>
      </w:r>
    </w:p>
    <w:p w14:paraId="5E1F33EB" w14:textId="77777777" w:rsidR="00330E1E" w:rsidRPr="00330E1E" w:rsidRDefault="00330E1E" w:rsidP="00330E1E">
      <w:pPr>
        <w:pStyle w:val="EndNoteBibliography"/>
        <w:spacing w:after="0"/>
      </w:pPr>
      <w:r w:rsidRPr="00330E1E">
        <w:t>382.</w:t>
      </w:r>
      <w:r w:rsidRPr="00330E1E">
        <w:tab/>
        <w:t>NatCen Social Research. English Longitudinal Study of Ageing (ELSA) Wave One to Wave Five: User Guide to the datasets. 2012.</w:t>
      </w:r>
    </w:p>
    <w:p w14:paraId="5D7446E6" w14:textId="77777777" w:rsidR="00330E1E" w:rsidRPr="00330E1E" w:rsidRDefault="00330E1E" w:rsidP="00330E1E">
      <w:pPr>
        <w:pStyle w:val="EndNoteBibliography"/>
        <w:spacing w:after="0"/>
      </w:pPr>
      <w:r w:rsidRPr="00330E1E">
        <w:t>383.</w:t>
      </w:r>
      <w:r w:rsidRPr="00330E1E">
        <w:tab/>
        <w:t>Davison J, Bond J, Dawson P, Steen IN, Kenny RA. Patients with recurrent falls attending Accident &amp; Emergency benefit from multifactorial intervention—a randomised controlled trial. Age and ageing. 2005;34(2):162-8.</w:t>
      </w:r>
    </w:p>
    <w:p w14:paraId="2DAEB6B5" w14:textId="77777777" w:rsidR="00330E1E" w:rsidRPr="00330E1E" w:rsidRDefault="00330E1E" w:rsidP="00330E1E">
      <w:pPr>
        <w:pStyle w:val="EndNoteBibliography"/>
        <w:spacing w:after="0"/>
      </w:pPr>
      <w:r w:rsidRPr="00330E1E">
        <w:t>384.</w:t>
      </w:r>
      <w:r w:rsidRPr="00330E1E">
        <w:tab/>
        <w:t>Shaw FE, Bond J, Richardson DA, Dawson P, Steen IN, McKeith IG, et al. Multifactorial intervention after a fall in older people with cognitive impairment and dementia presenting to the accident and emergency department: randomised controlled trial. BMJ: British medical journal. 2003;326(7380):73.</w:t>
      </w:r>
    </w:p>
    <w:p w14:paraId="2B927E84" w14:textId="77777777" w:rsidR="00330E1E" w:rsidRPr="00330E1E" w:rsidRDefault="00330E1E" w:rsidP="00330E1E">
      <w:pPr>
        <w:pStyle w:val="EndNoteBibliography"/>
        <w:spacing w:after="0"/>
      </w:pPr>
      <w:r w:rsidRPr="00330E1E">
        <w:t>385.</w:t>
      </w:r>
      <w:r w:rsidRPr="00330E1E">
        <w:tab/>
        <w:t>Spice CL, Morotti W, George S, Dent TH, Rose J, Harris S, et al. The Winchester falls project: a randomised controlled trial of secondary prevention of falls in older people. Age and ageing. 2009;38(1):33-40.</w:t>
      </w:r>
    </w:p>
    <w:p w14:paraId="13B9EDC7" w14:textId="77777777" w:rsidR="00330E1E" w:rsidRPr="00330E1E" w:rsidRDefault="00330E1E" w:rsidP="00330E1E">
      <w:pPr>
        <w:pStyle w:val="EndNoteBibliography"/>
        <w:spacing w:after="0"/>
      </w:pPr>
      <w:r w:rsidRPr="00330E1E">
        <w:t>386.</w:t>
      </w:r>
      <w:r w:rsidRPr="00330E1E">
        <w:tab/>
        <w:t>Clegg A, Barber S, Young J, Iliffe S, Forster A. The Home-based Older People's Exercise (HOPE) trial: a pilot randomised controlled trial of a home-based exercise intervention for older people with frailty. Age and Ageing. 2014;43(5):687-95.</w:t>
      </w:r>
    </w:p>
    <w:p w14:paraId="5C6E8753" w14:textId="77777777" w:rsidR="00330E1E" w:rsidRPr="00330E1E" w:rsidRDefault="00330E1E" w:rsidP="00330E1E">
      <w:pPr>
        <w:pStyle w:val="EndNoteBibliography"/>
        <w:spacing w:after="0"/>
      </w:pPr>
      <w:r w:rsidRPr="00330E1E">
        <w:t>387.</w:t>
      </w:r>
      <w:r w:rsidRPr="00330E1E">
        <w:tab/>
        <w:t>Office for National Statistics. Estimates of the population for the UK, England and Wales, Scotland and Northern Ireland (Release date: 24 June 2020). 2020.</w:t>
      </w:r>
    </w:p>
    <w:p w14:paraId="5B2891BF" w14:textId="77777777" w:rsidR="00330E1E" w:rsidRPr="00330E1E" w:rsidRDefault="00330E1E" w:rsidP="00330E1E">
      <w:pPr>
        <w:pStyle w:val="EndNoteBibliography"/>
        <w:spacing w:after="0"/>
      </w:pPr>
      <w:r w:rsidRPr="00330E1E">
        <w:t>388.</w:t>
      </w:r>
      <w:r w:rsidRPr="00330E1E">
        <w:tab/>
        <w:t>Office for National Statistics. National Life Tables, United Kingdom, 1980-1982 to 2016-2018. 2019.</w:t>
      </w:r>
    </w:p>
    <w:p w14:paraId="71544E90" w14:textId="77777777" w:rsidR="00330E1E" w:rsidRPr="00330E1E" w:rsidRDefault="00330E1E" w:rsidP="00330E1E">
      <w:pPr>
        <w:pStyle w:val="EndNoteBibliography"/>
        <w:spacing w:after="0"/>
      </w:pPr>
      <w:r w:rsidRPr="00330E1E">
        <w:t>389.</w:t>
      </w:r>
      <w:r w:rsidRPr="00330E1E">
        <w:tab/>
        <w:t>Office for National Statistics. 2018-based subnational principal population projections for local authorities and higher administrative areas in England. 2020.</w:t>
      </w:r>
    </w:p>
    <w:p w14:paraId="7FC685DB" w14:textId="77777777" w:rsidR="00330E1E" w:rsidRPr="00330E1E" w:rsidRDefault="00330E1E" w:rsidP="00330E1E">
      <w:pPr>
        <w:pStyle w:val="EndNoteBibliography"/>
        <w:spacing w:after="0"/>
      </w:pPr>
      <w:r w:rsidRPr="00330E1E">
        <w:t>390.</w:t>
      </w:r>
      <w:r w:rsidRPr="00330E1E">
        <w:tab/>
        <w:t>NHS Digital. Adult Social Care Activity and Finance Report, England - 2018-19. 2019.</w:t>
      </w:r>
    </w:p>
    <w:p w14:paraId="4E9EEE73" w14:textId="77777777" w:rsidR="00330E1E" w:rsidRPr="00330E1E" w:rsidRDefault="00330E1E" w:rsidP="00330E1E">
      <w:pPr>
        <w:pStyle w:val="EndNoteBibliography"/>
        <w:spacing w:after="0"/>
      </w:pPr>
      <w:r w:rsidRPr="00330E1E">
        <w:t>391.</w:t>
      </w:r>
      <w:r w:rsidRPr="00330E1E">
        <w:tab/>
        <w:t>Shi J, Song X, Yu P, Tang Z, Mitnitski A, Fang X, et al. Analysis of frailty and survival from late middle age in the Beijing Longitudinal Study of Aging. BMC geriatrics. 2011;11(1):17.</w:t>
      </w:r>
    </w:p>
    <w:p w14:paraId="0DAF2995" w14:textId="77777777" w:rsidR="00330E1E" w:rsidRPr="00330E1E" w:rsidRDefault="00330E1E" w:rsidP="00330E1E">
      <w:pPr>
        <w:pStyle w:val="EndNoteBibliography"/>
        <w:spacing w:after="0"/>
      </w:pPr>
      <w:r w:rsidRPr="00330E1E">
        <w:t>392.</w:t>
      </w:r>
      <w:r w:rsidRPr="00330E1E">
        <w:tab/>
        <w:t>Bunn F, Goodman C, Burn A-M. Multimorbidity and frailty in people with dementia. Nursing Standard. 2015.</w:t>
      </w:r>
    </w:p>
    <w:p w14:paraId="2755FCDA" w14:textId="77777777" w:rsidR="00330E1E" w:rsidRPr="00330E1E" w:rsidRDefault="00330E1E" w:rsidP="00330E1E">
      <w:pPr>
        <w:pStyle w:val="EndNoteBibliography"/>
        <w:spacing w:after="0"/>
      </w:pPr>
      <w:r w:rsidRPr="00330E1E">
        <w:t>393.</w:t>
      </w:r>
      <w:r w:rsidRPr="00330E1E">
        <w:tab/>
        <w:t>Janssen B, Szende A. Population norms for the EQ-5D.  Self-reported population health: an international perspective based on EQ-5D: Springer; 2014. p. 19-30.</w:t>
      </w:r>
    </w:p>
    <w:p w14:paraId="29644536" w14:textId="77777777" w:rsidR="00330E1E" w:rsidRPr="00330E1E" w:rsidRDefault="00330E1E" w:rsidP="00330E1E">
      <w:pPr>
        <w:pStyle w:val="EndNoteBibliography"/>
        <w:spacing w:after="0"/>
      </w:pPr>
      <w:r w:rsidRPr="00330E1E">
        <w:t>394.</w:t>
      </w:r>
      <w:r w:rsidRPr="00330E1E">
        <w:tab/>
        <w:t>Ara R, Brazier JE. Using health state utility values from the general population to approximate baselines in decision analytic models when condition-specific data are not available. Value in Health. 2011;14(4):539-45.</w:t>
      </w:r>
    </w:p>
    <w:p w14:paraId="0E9E3A84" w14:textId="77777777" w:rsidR="00330E1E" w:rsidRPr="00330E1E" w:rsidRDefault="00330E1E" w:rsidP="00330E1E">
      <w:pPr>
        <w:pStyle w:val="EndNoteBibliography"/>
        <w:spacing w:after="0"/>
      </w:pPr>
      <w:r w:rsidRPr="00330E1E">
        <w:t>395.</w:t>
      </w:r>
      <w:r w:rsidRPr="00330E1E">
        <w:tab/>
        <w:t>Beusterien KM, Yeung J-E, Pang F, Brazier J. Development of the multi-attribute adolescent health utility measure (AHUM). Health and Quality of life outcomes. 2012;10(1):1-9.</w:t>
      </w:r>
    </w:p>
    <w:p w14:paraId="206A2A24" w14:textId="77777777" w:rsidR="00330E1E" w:rsidRPr="00330E1E" w:rsidRDefault="00330E1E" w:rsidP="00330E1E">
      <w:pPr>
        <w:pStyle w:val="EndNoteBibliography"/>
        <w:spacing w:after="0"/>
      </w:pPr>
      <w:r w:rsidRPr="00330E1E">
        <w:t>396.</w:t>
      </w:r>
      <w:r w:rsidRPr="00330E1E">
        <w:tab/>
        <w:t>Xiong X, Dalziel K, Huang L, Mulhern B, Carvalho N. PIH33 How Do Different Health Conditions IMPACT Dimensions of Pediatric Preference-Based Health-Related Quality of Life Measures? Value in Health. 2021;24:S104.</w:t>
      </w:r>
    </w:p>
    <w:p w14:paraId="4A628E1A" w14:textId="77777777" w:rsidR="00330E1E" w:rsidRPr="00330E1E" w:rsidRDefault="00330E1E" w:rsidP="00330E1E">
      <w:pPr>
        <w:pStyle w:val="EndNoteBibliography"/>
        <w:spacing w:after="0"/>
      </w:pPr>
      <w:r w:rsidRPr="00330E1E">
        <w:t>397.</w:t>
      </w:r>
      <w:r w:rsidRPr="00330E1E">
        <w:tab/>
        <w:t>Kind P, Hardman G, Macran S. UK population norms for EQ-5D. 1999.</w:t>
      </w:r>
    </w:p>
    <w:p w14:paraId="1E09DC83" w14:textId="59E04D6F" w:rsidR="00330E1E" w:rsidRPr="00330E1E" w:rsidRDefault="00330E1E" w:rsidP="00330E1E">
      <w:pPr>
        <w:pStyle w:val="EndNoteBibliography"/>
        <w:spacing w:after="0"/>
      </w:pPr>
      <w:r w:rsidRPr="00330E1E">
        <w:t>398.</w:t>
      </w:r>
      <w:r w:rsidRPr="00330E1E">
        <w:tab/>
        <w:t xml:space="preserve">Office for National Statistics. Average weekly earnings in Great Britain: July 2020 2020. Available from: </w:t>
      </w:r>
      <w:hyperlink r:id="rId72" w:history="1">
        <w:r w:rsidRPr="00330E1E">
          <w:rPr>
            <w:rStyle w:val="Hyperlink"/>
          </w:rPr>
          <w:t>https://www.ons.gov.uk/employmentandlabourmarket/peopleinwork/employmentandemployeetypes/bulletins/averageweeklyearningsingreatbritain/july2020</w:t>
        </w:r>
      </w:hyperlink>
      <w:r w:rsidRPr="00330E1E">
        <w:t>.</w:t>
      </w:r>
    </w:p>
    <w:p w14:paraId="49DB90D2" w14:textId="4DA2F269" w:rsidR="00330E1E" w:rsidRPr="00330E1E" w:rsidRDefault="00330E1E" w:rsidP="00330E1E">
      <w:pPr>
        <w:pStyle w:val="EndNoteBibliography"/>
        <w:spacing w:after="0"/>
      </w:pPr>
      <w:r w:rsidRPr="00330E1E">
        <w:t>399.</w:t>
      </w:r>
      <w:r w:rsidRPr="00330E1E">
        <w:tab/>
        <w:t xml:space="preserve">Low Pay Commission. Press release: National Living Wage extended to younger workers 2021. Available from: </w:t>
      </w:r>
      <w:hyperlink r:id="rId73" w:history="1">
        <w:r w:rsidRPr="00330E1E">
          <w:rPr>
            <w:rStyle w:val="Hyperlink"/>
          </w:rPr>
          <w:t>https://www.gov.uk/government/news/national-living-wage-extended-to-younger-workers</w:t>
        </w:r>
      </w:hyperlink>
      <w:r w:rsidRPr="00330E1E">
        <w:t>.</w:t>
      </w:r>
    </w:p>
    <w:p w14:paraId="0166E327" w14:textId="77777777" w:rsidR="00330E1E" w:rsidRPr="00330E1E" w:rsidRDefault="00330E1E" w:rsidP="00330E1E">
      <w:pPr>
        <w:pStyle w:val="EndNoteBibliography"/>
        <w:spacing w:after="0"/>
      </w:pPr>
      <w:r w:rsidRPr="00330E1E">
        <w:t>400.</w:t>
      </w:r>
      <w:r w:rsidRPr="00330E1E">
        <w:tab/>
        <w:t>Rafnsson SB, Shankar A, Steptoe A. Longitudinal influences of social network characteristics on subjective well-being of older adults: findings from the ELSA study. Journal of Aging and Health. 2015;27(5):919-34.</w:t>
      </w:r>
    </w:p>
    <w:p w14:paraId="1AD568CB" w14:textId="77777777" w:rsidR="00330E1E" w:rsidRPr="00330E1E" w:rsidRDefault="00330E1E" w:rsidP="00330E1E">
      <w:pPr>
        <w:pStyle w:val="EndNoteBibliography"/>
        <w:spacing w:after="0"/>
      </w:pPr>
      <w:r w:rsidRPr="00330E1E">
        <w:t>401.</w:t>
      </w:r>
      <w:r w:rsidRPr="00330E1E">
        <w:tab/>
        <w:t>Curtis LA, Burns A. Unit costs of health and social care 2019. PSSRU K, UK, editor2019.</w:t>
      </w:r>
    </w:p>
    <w:p w14:paraId="71EC4F4F" w14:textId="77777777" w:rsidR="00330E1E" w:rsidRPr="00330E1E" w:rsidRDefault="00330E1E" w:rsidP="00330E1E">
      <w:pPr>
        <w:pStyle w:val="EndNoteBibliography"/>
        <w:spacing w:after="0"/>
      </w:pPr>
      <w:r w:rsidRPr="00330E1E">
        <w:t>402.</w:t>
      </w:r>
      <w:r w:rsidRPr="00330E1E">
        <w:tab/>
        <w:t>Curtis L. Unit costs of health and social care 2010. Canterbury: PSSRU, University of Kent. 2010.</w:t>
      </w:r>
    </w:p>
    <w:p w14:paraId="7863E7E0" w14:textId="309D865A" w:rsidR="00330E1E" w:rsidRPr="00330E1E" w:rsidRDefault="00330E1E" w:rsidP="00330E1E">
      <w:pPr>
        <w:pStyle w:val="EndNoteBibliography"/>
        <w:spacing w:after="0"/>
      </w:pPr>
      <w:r w:rsidRPr="00330E1E">
        <w:t>403.</w:t>
      </w:r>
      <w:r w:rsidRPr="00330E1E">
        <w:tab/>
        <w:t xml:space="preserve">National Health Service. Health Careers: District Nurse 2020. Available from: </w:t>
      </w:r>
      <w:hyperlink r:id="rId74" w:history="1">
        <w:r w:rsidRPr="00330E1E">
          <w:rPr>
            <w:rStyle w:val="Hyperlink"/>
          </w:rPr>
          <w:t>https://www.healthcareers.nhs.uk/explore-roles/nursing/roles-nursing/district-nurse</w:t>
        </w:r>
      </w:hyperlink>
      <w:r w:rsidRPr="00330E1E">
        <w:t>.</w:t>
      </w:r>
    </w:p>
    <w:p w14:paraId="2CC0BF1C" w14:textId="13C0DEC8" w:rsidR="00330E1E" w:rsidRPr="00330E1E" w:rsidRDefault="00330E1E" w:rsidP="00330E1E">
      <w:pPr>
        <w:pStyle w:val="EndNoteBibliography"/>
        <w:spacing w:after="0"/>
      </w:pPr>
      <w:r w:rsidRPr="00330E1E">
        <w:t>404.</w:t>
      </w:r>
      <w:r w:rsidRPr="00330E1E">
        <w:tab/>
        <w:t xml:space="preserve">Age UK. How much does care cost? 2020. Available from: </w:t>
      </w:r>
      <w:hyperlink r:id="rId75" w:history="1">
        <w:r w:rsidRPr="00330E1E">
          <w:rPr>
            <w:rStyle w:val="Hyperlink"/>
          </w:rPr>
          <w:t>https://www.ageuk.org.uk/information-advice/care/paying-for-care/local-care-costs/</w:t>
        </w:r>
      </w:hyperlink>
      <w:r w:rsidRPr="00330E1E">
        <w:t>.</w:t>
      </w:r>
    </w:p>
    <w:p w14:paraId="1B27B7B3" w14:textId="77777777" w:rsidR="00330E1E" w:rsidRPr="00330E1E" w:rsidRDefault="00330E1E" w:rsidP="00330E1E">
      <w:pPr>
        <w:pStyle w:val="EndNoteBibliography"/>
        <w:spacing w:after="0"/>
      </w:pPr>
      <w:r w:rsidRPr="00330E1E">
        <w:t>405.</w:t>
      </w:r>
      <w:r w:rsidRPr="00330E1E">
        <w:tab/>
        <w:t>Lockwood KJ, Harding KE, Boyd JN, Taylor NF. Predischarge home visits after hip fracture: a randomized controlled trial. Clinical rehabilitation. 2019;33(4):681-92.</w:t>
      </w:r>
    </w:p>
    <w:p w14:paraId="089A977A" w14:textId="77777777" w:rsidR="00330E1E" w:rsidRPr="00330E1E" w:rsidRDefault="00330E1E" w:rsidP="00330E1E">
      <w:pPr>
        <w:pStyle w:val="EndNoteBibliography"/>
        <w:spacing w:after="0"/>
      </w:pPr>
      <w:r w:rsidRPr="00330E1E">
        <w:t>406.</w:t>
      </w:r>
      <w:r w:rsidRPr="00330E1E">
        <w:tab/>
        <w:t>Giebel C, Rodgers S, Barr B, Collins B, Akpan A, Shenton J, et al. Does Social Support Affect Older Adults’ General Practitioner Attendance Rates? Findings from the North West Coast Household Health Survey. Clinical Gerontologist. 2020:1-11.</w:t>
      </w:r>
    </w:p>
    <w:p w14:paraId="19C6AA94" w14:textId="77777777" w:rsidR="00330E1E" w:rsidRPr="00330E1E" w:rsidRDefault="00330E1E" w:rsidP="00330E1E">
      <w:pPr>
        <w:pStyle w:val="EndNoteBibliography"/>
        <w:spacing w:after="0"/>
      </w:pPr>
      <w:r w:rsidRPr="00330E1E">
        <w:t>407.</w:t>
      </w:r>
      <w:r w:rsidRPr="00330E1E">
        <w:tab/>
        <w:t>Robertson MC, Campbell AJ, Herbison P. Statistical analysis of efficacy in falls prevention trials. The Journals of Gerontology Series A: Biological Sciences and Medical Sciences. 2005;60(4):530-4.</w:t>
      </w:r>
    </w:p>
    <w:p w14:paraId="18B78A28" w14:textId="646F6AA2" w:rsidR="00330E1E" w:rsidRPr="00330E1E" w:rsidRDefault="00330E1E" w:rsidP="00330E1E">
      <w:pPr>
        <w:pStyle w:val="EndNoteBibliography"/>
        <w:spacing w:after="0"/>
      </w:pPr>
      <w:r w:rsidRPr="00330E1E">
        <w:t>408.</w:t>
      </w:r>
      <w:r w:rsidRPr="00330E1E">
        <w:tab/>
        <w:t xml:space="preserve">Institute for Health Metrics and Evaluation. GBD Compare Data Visualization Seattle, WA: IHME, University of Washington2020 [Accessed 2020.11.16]. Available from </w:t>
      </w:r>
      <w:hyperlink r:id="rId76" w:history="1">
        <w:r w:rsidRPr="00330E1E">
          <w:rPr>
            <w:rStyle w:val="Hyperlink"/>
          </w:rPr>
          <w:t>http://vizhub.healthdata.org/gbd-compare</w:t>
        </w:r>
      </w:hyperlink>
      <w:r w:rsidRPr="00330E1E">
        <w:t>].</w:t>
      </w:r>
    </w:p>
    <w:p w14:paraId="1CA5D15F" w14:textId="77777777" w:rsidR="00330E1E" w:rsidRPr="00330E1E" w:rsidRDefault="00330E1E" w:rsidP="00330E1E">
      <w:pPr>
        <w:pStyle w:val="EndNoteBibliography"/>
        <w:spacing w:after="0"/>
      </w:pPr>
      <w:r w:rsidRPr="00330E1E">
        <w:t>409.</w:t>
      </w:r>
      <w:r w:rsidRPr="00330E1E">
        <w:tab/>
        <w:t>Shah SM, Carey IM, Harris T, DeWilde S, Cook DG. Mortality in older care home residents in England and Wales. Age and ageing. 2013;42(2):209-15.</w:t>
      </w:r>
    </w:p>
    <w:p w14:paraId="5CF46417" w14:textId="77777777" w:rsidR="00330E1E" w:rsidRPr="00330E1E" w:rsidRDefault="00330E1E" w:rsidP="00330E1E">
      <w:pPr>
        <w:pStyle w:val="EndNoteBibliography"/>
        <w:spacing w:after="0"/>
      </w:pPr>
      <w:r w:rsidRPr="00330E1E">
        <w:t>410.</w:t>
      </w:r>
      <w:r w:rsidRPr="00330E1E">
        <w:tab/>
        <w:t>Ganz DA, Higashi T, Rubenstein LZ. Monitoring falls in cohort studies of community‐dwelling older people: effect of the recall interval. Journal of the American Geriatrics Society. 2005;53(12):2190-4.</w:t>
      </w:r>
    </w:p>
    <w:p w14:paraId="3B5D4AE7" w14:textId="77777777" w:rsidR="00330E1E" w:rsidRPr="00330E1E" w:rsidRDefault="00330E1E" w:rsidP="00330E1E">
      <w:pPr>
        <w:pStyle w:val="EndNoteBibliography"/>
        <w:spacing w:after="0"/>
      </w:pPr>
      <w:r w:rsidRPr="00330E1E">
        <w:t>411.</w:t>
      </w:r>
      <w:r w:rsidRPr="00330E1E">
        <w:tab/>
        <w:t>Griffin J, Lall R, Bruce J, Withers E, Finnegan S, Lamb SE, et al. Comparison of alternative falls data collection methods in the Prevention of Falls Injury Trial (PreFIT). Journal of clinical epidemiology. 2019;106:32-40.</w:t>
      </w:r>
    </w:p>
    <w:p w14:paraId="3841012B" w14:textId="77777777" w:rsidR="00330E1E" w:rsidRPr="00330E1E" w:rsidRDefault="00330E1E" w:rsidP="00330E1E">
      <w:pPr>
        <w:pStyle w:val="EndNoteBibliography"/>
        <w:spacing w:after="0"/>
      </w:pPr>
      <w:r w:rsidRPr="00330E1E">
        <w:t>412.</w:t>
      </w:r>
      <w:r w:rsidRPr="00330E1E">
        <w:tab/>
        <w:t>Leal J, Gray A, Prieto-Alhambra D, Arden NK, Cooper C, Javaid M, et al. Impact of hip fracture on hospital care costs: a population-based study. Osteoporosis International. 2016;27(2):549-58.</w:t>
      </w:r>
    </w:p>
    <w:p w14:paraId="0D945169" w14:textId="704D4F60" w:rsidR="00330E1E" w:rsidRPr="00330E1E" w:rsidRDefault="00330E1E" w:rsidP="00330E1E">
      <w:pPr>
        <w:pStyle w:val="EndNoteBibliography"/>
        <w:spacing w:after="0"/>
      </w:pPr>
      <w:r w:rsidRPr="00330E1E">
        <w:t>413.</w:t>
      </w:r>
      <w:r w:rsidRPr="00330E1E">
        <w:tab/>
        <w:t xml:space="preserve">Office for National Statistics. National life tables - life expectancy in the UK: 2017 to 2019 2020 [updated 24 September 2020]. Available from: </w:t>
      </w:r>
      <w:hyperlink r:id="rId77" w:history="1">
        <w:r w:rsidRPr="00330E1E">
          <w:rPr>
            <w:rStyle w:val="Hyperlink"/>
          </w:rPr>
          <w:t>https://www.ons.gov.uk/peoplepopulationandcommunity/birthsdeathsandmarriages/lifeexpectancies/bulletins/nationallifetablesunitedkingdom/2017to2019</w:t>
        </w:r>
      </w:hyperlink>
      <w:r w:rsidRPr="00330E1E">
        <w:t>.</w:t>
      </w:r>
    </w:p>
    <w:p w14:paraId="46198716" w14:textId="0CEDC334" w:rsidR="00330E1E" w:rsidRPr="00330E1E" w:rsidRDefault="00330E1E" w:rsidP="00330E1E">
      <w:pPr>
        <w:pStyle w:val="EndNoteBibliography"/>
        <w:spacing w:after="0"/>
      </w:pPr>
      <w:r w:rsidRPr="00330E1E">
        <w:t>414.</w:t>
      </w:r>
      <w:r w:rsidRPr="00330E1E">
        <w:tab/>
        <w:t xml:space="preserve">UK Parliament. How do we measure poverty? 2021. Available from: </w:t>
      </w:r>
      <w:hyperlink r:id="rId78" w:history="1">
        <w:r w:rsidRPr="00330E1E">
          <w:rPr>
            <w:rStyle w:val="Hyperlink"/>
          </w:rPr>
          <w:t>https://commonslibrary.parliament.uk/research-briefings/sn07096/</w:t>
        </w:r>
      </w:hyperlink>
      <w:r w:rsidRPr="00330E1E">
        <w:t>.</w:t>
      </w:r>
    </w:p>
    <w:p w14:paraId="7CE2B306" w14:textId="77777777" w:rsidR="00330E1E" w:rsidRPr="00330E1E" w:rsidRDefault="00330E1E" w:rsidP="00330E1E">
      <w:pPr>
        <w:pStyle w:val="EndNoteBibliography"/>
        <w:spacing w:after="0"/>
      </w:pPr>
      <w:r w:rsidRPr="00330E1E">
        <w:t>415.</w:t>
      </w:r>
      <w:r w:rsidRPr="00330E1E">
        <w:tab/>
        <w:t>Pandey A, Ploubidis GB, Clarke L, Dandona L. Trends in catastrophic health expenditure in India: 1993 to 2014. Bulletin of the World Health Organization. 2018;96(1):18.</w:t>
      </w:r>
    </w:p>
    <w:p w14:paraId="768EB012" w14:textId="77777777" w:rsidR="00330E1E" w:rsidRPr="00330E1E" w:rsidRDefault="00330E1E" w:rsidP="00330E1E">
      <w:pPr>
        <w:pStyle w:val="EndNoteBibliography"/>
        <w:spacing w:after="0"/>
      </w:pPr>
      <w:r w:rsidRPr="00330E1E">
        <w:t>416.</w:t>
      </w:r>
      <w:r w:rsidRPr="00330E1E">
        <w:tab/>
        <w:t>Davis S, Stevenson M, Tappenden P, Wailoo A. NICE DSU Technical Support Document 15: cost-effectiveness modelling using patient-level simulation. Rep BY Decis Support UNIT. 2014.</w:t>
      </w:r>
    </w:p>
    <w:p w14:paraId="68B743A8" w14:textId="77777777" w:rsidR="00330E1E" w:rsidRPr="00330E1E" w:rsidRDefault="00330E1E" w:rsidP="00330E1E">
      <w:pPr>
        <w:pStyle w:val="EndNoteBibliography"/>
        <w:spacing w:after="0"/>
      </w:pPr>
      <w:r w:rsidRPr="00330E1E">
        <w:t>417.</w:t>
      </w:r>
      <w:r w:rsidRPr="00330E1E">
        <w:tab/>
        <w:t>Briggs AH, Goeree R, Blackhouse G, O’Brien BJ. Probabilistic analysis of cost-effectiveness models: choosing between treatment strategies for gastroesophageal reflux disease. Medical decision making. 2002;22(4):290-308.</w:t>
      </w:r>
    </w:p>
    <w:p w14:paraId="11D3D842" w14:textId="77777777" w:rsidR="00330E1E" w:rsidRPr="00330E1E" w:rsidRDefault="00330E1E" w:rsidP="00330E1E">
      <w:pPr>
        <w:pStyle w:val="EndNoteBibliography"/>
        <w:spacing w:after="0"/>
      </w:pPr>
      <w:r w:rsidRPr="00330E1E">
        <w:t>418.</w:t>
      </w:r>
      <w:r w:rsidRPr="00330E1E">
        <w:tab/>
        <w:t>Law AM. Simulation Modelling and Analysis. 5th Edition ed: McGraw-Hill Education; 2015.</w:t>
      </w:r>
    </w:p>
    <w:p w14:paraId="2A5B6B53" w14:textId="1C282112" w:rsidR="00330E1E" w:rsidRPr="00330E1E" w:rsidRDefault="00330E1E" w:rsidP="00330E1E">
      <w:pPr>
        <w:pStyle w:val="EndNoteBibliography"/>
        <w:spacing w:after="0"/>
      </w:pPr>
      <w:r w:rsidRPr="00330E1E">
        <w:t>419.</w:t>
      </w:r>
      <w:r w:rsidRPr="00330E1E">
        <w:tab/>
        <w:t xml:space="preserve">Department for Digital C, Media &amp; Sport,, Cabinet Office, Office for Civil Society. A guide to Social Impact Bonds 2017 [updated 26 September 2017]. Available from: </w:t>
      </w:r>
      <w:hyperlink r:id="rId79" w:anchor="what-are-social-impact-bonds" w:history="1">
        <w:r w:rsidRPr="00330E1E">
          <w:rPr>
            <w:rStyle w:val="Hyperlink"/>
          </w:rPr>
          <w:t>https://www.gov.uk/guidance/social-impact-bonds#what-are-social-impact-bonds</w:t>
        </w:r>
      </w:hyperlink>
      <w:r w:rsidRPr="00330E1E">
        <w:t>.</w:t>
      </w:r>
    </w:p>
    <w:p w14:paraId="26C8470B" w14:textId="77777777" w:rsidR="00330E1E" w:rsidRPr="00330E1E" w:rsidRDefault="00330E1E" w:rsidP="00330E1E">
      <w:pPr>
        <w:pStyle w:val="EndNoteBibliography"/>
        <w:spacing w:after="0"/>
      </w:pPr>
      <w:r w:rsidRPr="00330E1E">
        <w:t>420.</w:t>
      </w:r>
      <w:r w:rsidRPr="00330E1E">
        <w:tab/>
        <w:t>Bates S, Bayley T, Norman P, Breeze P, Brennan A. A Systematic Review of Methods to Predict Weight Trajectories in Health Economic Models of Behavioral Weight-Management Programs: The Potential Role of Psychosocial Factors. Medical Decision Making. 2020;40(1):90-105.</w:t>
      </w:r>
    </w:p>
    <w:p w14:paraId="49659FAA" w14:textId="287E18CC" w:rsidR="00330E1E" w:rsidRPr="00330E1E" w:rsidRDefault="00330E1E" w:rsidP="00330E1E">
      <w:pPr>
        <w:pStyle w:val="EndNoteBibliography"/>
        <w:spacing w:after="0"/>
      </w:pPr>
      <w:r w:rsidRPr="00330E1E">
        <w:t>421.</w:t>
      </w:r>
      <w:r w:rsidRPr="00330E1E">
        <w:tab/>
        <w:t xml:space="preserve">Mielenz TJ, Durbin L, Hertzberg F, Noble-Hernandez D, Sorensen JA. Fall risk reduction program paired with a transportation program in an underserved, urban minority community: A qualitative evaluation. Journal of Aging Research. 2019;2019:2719290. doi: </w:t>
      </w:r>
      <w:hyperlink r:id="rId80" w:history="1">
        <w:r w:rsidRPr="00330E1E">
          <w:rPr>
            <w:rStyle w:val="Hyperlink"/>
          </w:rPr>
          <w:t>http://dx.doi.org/10.1155/2019/2719290</w:t>
        </w:r>
      </w:hyperlink>
      <w:r w:rsidRPr="00330E1E">
        <w:t>.</w:t>
      </w:r>
    </w:p>
    <w:p w14:paraId="4C04A054" w14:textId="77777777" w:rsidR="00330E1E" w:rsidRPr="00330E1E" w:rsidRDefault="00330E1E" w:rsidP="00330E1E">
      <w:pPr>
        <w:pStyle w:val="EndNoteBibliography"/>
        <w:spacing w:after="0"/>
      </w:pPr>
      <w:r w:rsidRPr="00330E1E">
        <w:t>422.</w:t>
      </w:r>
      <w:r w:rsidRPr="00330E1E">
        <w:tab/>
        <w:t>Checa-López M, Oviedo-Briones M, Pardo-Gómez A, Gonzales-Turín J, Guevara-Guevara T, Carnicero JA, et al. FRAILTOOLS study protocol: a comprehensive validation of frailty assessment tools to screen and diagnose frailty in different clinical and social settings and to provide instruments for integrated care in older adults. BMC Geriatr. 2019;19(1):86. Epub 2019/03/20. doi: 10.1186/s12877-019-1042-1. PubMed PMID: 30885132; PubMed Central PMCID: PMCPMC6423863.</w:t>
      </w:r>
    </w:p>
    <w:p w14:paraId="36F2BF9D" w14:textId="77777777" w:rsidR="00330E1E" w:rsidRPr="00330E1E" w:rsidRDefault="00330E1E" w:rsidP="00330E1E">
      <w:pPr>
        <w:pStyle w:val="EndNoteBibliography"/>
        <w:spacing w:after="0"/>
      </w:pPr>
      <w:r w:rsidRPr="00330E1E">
        <w:t>423.</w:t>
      </w:r>
      <w:r w:rsidRPr="00330E1E">
        <w:tab/>
        <w:t>Stevens JA, Phelan EA. Development of STEADI: a fall prevention resource for health care providers. Health promotion practice. 2013;14(5):706-14.</w:t>
      </w:r>
    </w:p>
    <w:p w14:paraId="145E6F67" w14:textId="17E8A30B" w:rsidR="00330E1E" w:rsidRPr="00330E1E" w:rsidRDefault="00330E1E" w:rsidP="00330E1E">
      <w:pPr>
        <w:pStyle w:val="EndNoteBibliography"/>
        <w:spacing w:after="0"/>
      </w:pPr>
      <w:r w:rsidRPr="00330E1E">
        <w:t>424.</w:t>
      </w:r>
      <w:r w:rsidRPr="00330E1E">
        <w:tab/>
        <w:t xml:space="preserve">Paul SS, Li Q, Harvey L, Carroll T, Priddis A, Tiedemann A, et al. Scale-up of the Stepping On fall prevention program among older adults in NSW: program reach and fall-related health service use. Health promotion journal of Australia : official journal of Australian Association of Health Promotion Professionals. 2020. doi: </w:t>
      </w:r>
      <w:hyperlink r:id="rId81" w:history="1">
        <w:r w:rsidRPr="00330E1E">
          <w:rPr>
            <w:rStyle w:val="Hyperlink"/>
          </w:rPr>
          <w:t>http://dx.doi.org/10.1002/hpja.413</w:t>
        </w:r>
      </w:hyperlink>
      <w:r w:rsidRPr="00330E1E">
        <w:t>.</w:t>
      </w:r>
    </w:p>
    <w:p w14:paraId="11E1F5A2" w14:textId="77777777" w:rsidR="00330E1E" w:rsidRPr="00330E1E" w:rsidRDefault="00330E1E" w:rsidP="00330E1E">
      <w:pPr>
        <w:pStyle w:val="EndNoteBibliography"/>
        <w:spacing w:after="0"/>
      </w:pPr>
      <w:r w:rsidRPr="00330E1E">
        <w:t>425.</w:t>
      </w:r>
      <w:r w:rsidRPr="00330E1E">
        <w:tab/>
        <w:t>de Souto Barreto P, Rolland Y, Vellas B, Maltais M. Association of Long-term Exercise Training With Risk of Falls, Fractures, Hospitalizations, and Mortality in Older Adults: A Systematic Review and Meta-analysis. JAMA internal medicine. 2019;179(3):394-405. Epub 2018/12/29. doi: 10.1001/jamainternmed.2018.5406. PubMed PMID: 30592475.</w:t>
      </w:r>
    </w:p>
    <w:p w14:paraId="6F6FAB8E" w14:textId="77777777" w:rsidR="00330E1E" w:rsidRPr="00330E1E" w:rsidRDefault="00330E1E" w:rsidP="00330E1E">
      <w:pPr>
        <w:pStyle w:val="EndNoteBibliography"/>
        <w:spacing w:after="0"/>
      </w:pPr>
      <w:r w:rsidRPr="00330E1E">
        <w:t>426.</w:t>
      </w:r>
      <w:r w:rsidRPr="00330E1E">
        <w:tab/>
        <w:t>Pilgrim H, Chilcott J. Assessment of a 7-day turn-around for the reporting of cervical smear results using discrete event simulation. Journal of the Operational Research Society. 2008;59(7):902-10.</w:t>
      </w:r>
    </w:p>
    <w:p w14:paraId="3A7B8AC4" w14:textId="77777777" w:rsidR="00330E1E" w:rsidRPr="00330E1E" w:rsidRDefault="00330E1E" w:rsidP="00330E1E">
      <w:pPr>
        <w:pStyle w:val="EndNoteBibliography"/>
        <w:spacing w:after="0"/>
      </w:pPr>
      <w:r w:rsidRPr="00330E1E">
        <w:t>427.</w:t>
      </w:r>
      <w:r w:rsidRPr="00330E1E">
        <w:tab/>
        <w:t>Cesari M, Vellas B, Hsu F-C, Newman AB, Doss H, King AC, et al. A physical activity intervention to treat the frailty syndrome in older persons—results from the LIFE-P study. Journals of Gerontology Series A: Biomedical Sciences and Medical Sciences. 2014;70(2):216-22.</w:t>
      </w:r>
    </w:p>
    <w:p w14:paraId="6EC7903A" w14:textId="77777777" w:rsidR="00330E1E" w:rsidRPr="00330E1E" w:rsidRDefault="00330E1E" w:rsidP="00330E1E">
      <w:pPr>
        <w:pStyle w:val="EndNoteBibliography"/>
        <w:spacing w:after="0"/>
      </w:pPr>
      <w:r w:rsidRPr="00330E1E">
        <w:t>428.</w:t>
      </w:r>
      <w:r w:rsidRPr="00330E1E">
        <w:tab/>
        <w:t>Landi F, Abbatecola AM, Provinciali M, Corsonello A, Bustacchini S, Manigrasso L, et al. Moving against frailty: does physical activity matter? Biogerontology. 2010;11(5):537-45.</w:t>
      </w:r>
    </w:p>
    <w:p w14:paraId="5A02E932" w14:textId="77777777" w:rsidR="00330E1E" w:rsidRPr="00330E1E" w:rsidRDefault="00330E1E" w:rsidP="00330E1E">
      <w:pPr>
        <w:pStyle w:val="EndNoteBibliography"/>
        <w:spacing w:after="0"/>
      </w:pPr>
      <w:r w:rsidRPr="00330E1E">
        <w:t>429.</w:t>
      </w:r>
      <w:r w:rsidRPr="00330E1E">
        <w:tab/>
        <w:t>Paterson DH, Warburton DE. Physical activity and functional limitations in older adults: a systematic review related to Canada's Physical Activity Guidelines. International Journal of Behavioral Nutrition and Physical Activity. 2010;7(1):38.</w:t>
      </w:r>
    </w:p>
    <w:p w14:paraId="0F403B39" w14:textId="77777777" w:rsidR="00330E1E" w:rsidRPr="00330E1E" w:rsidRDefault="00330E1E" w:rsidP="00330E1E">
      <w:pPr>
        <w:pStyle w:val="EndNoteBibliography"/>
        <w:spacing w:after="0"/>
      </w:pPr>
      <w:r w:rsidRPr="00330E1E">
        <w:t>430.</w:t>
      </w:r>
      <w:r w:rsidRPr="00330E1E">
        <w:tab/>
        <w:t>Tak E, Kuiper R, Chorus A, Hopman-Rock M. Prevention of onset and progression of basic ADL disability by physical activity in community dwelling older adults: a meta-analysis. Ageing research reviews. 2013;12(1):329-38.</w:t>
      </w:r>
    </w:p>
    <w:p w14:paraId="01AF44C1" w14:textId="77777777" w:rsidR="00330E1E" w:rsidRPr="00330E1E" w:rsidRDefault="00330E1E" w:rsidP="00330E1E">
      <w:pPr>
        <w:pStyle w:val="EndNoteBibliography"/>
        <w:spacing w:after="0"/>
      </w:pPr>
      <w:r w:rsidRPr="00330E1E">
        <w:t>431.</w:t>
      </w:r>
      <w:r w:rsidRPr="00330E1E">
        <w:tab/>
        <w:t>Arem H, Moore SC, Patel A, Hartge P, De Gonzalez AB, Visvanathan K, et al. Leisure time physical activity and mortality: a detailed pooled analysis of the dose-response relationship. JAMA internal medicine. 2015;175(6):959-67.</w:t>
      </w:r>
    </w:p>
    <w:p w14:paraId="70FA1B44" w14:textId="77777777" w:rsidR="00330E1E" w:rsidRPr="00330E1E" w:rsidRDefault="00330E1E" w:rsidP="00330E1E">
      <w:pPr>
        <w:pStyle w:val="EndNoteBibliography"/>
        <w:spacing w:after="0"/>
      </w:pPr>
      <w:r w:rsidRPr="00330E1E">
        <w:t>432.</w:t>
      </w:r>
      <w:r w:rsidRPr="00330E1E">
        <w:tab/>
        <w:t>Nord E, Street A, Richardson J, Kuhse H, Singer P. The significance of age and duration of effect in social evaluation of health care. Health Care Analysis. 1996;4(2):103-11.</w:t>
      </w:r>
    </w:p>
    <w:p w14:paraId="7CF8964C" w14:textId="77777777" w:rsidR="00330E1E" w:rsidRPr="00330E1E" w:rsidRDefault="00330E1E" w:rsidP="00330E1E">
      <w:pPr>
        <w:pStyle w:val="EndNoteBibliography"/>
        <w:spacing w:after="0"/>
      </w:pPr>
      <w:r w:rsidRPr="00330E1E">
        <w:t>433.</w:t>
      </w:r>
      <w:r w:rsidRPr="00330E1E">
        <w:tab/>
        <w:t>Molloy GJ, McGee HM, O'Neill D, Conroy RM. Loneliness and emergency and planned hospitalizations in a community sample of older adults. Journal of the American Geriatrics Society. 2010;58(8):1538-41.</w:t>
      </w:r>
    </w:p>
    <w:p w14:paraId="225DB209" w14:textId="77777777" w:rsidR="00330E1E" w:rsidRPr="00330E1E" w:rsidRDefault="00330E1E" w:rsidP="00330E1E">
      <w:pPr>
        <w:pStyle w:val="EndNoteBibliography"/>
        <w:spacing w:after="0"/>
      </w:pPr>
      <w:r w:rsidRPr="00330E1E">
        <w:t>434.</w:t>
      </w:r>
      <w:r w:rsidRPr="00330E1E">
        <w:tab/>
        <w:t>Wanless D. Securing good health for the whole population: HM Stationery Office London; 2004.</w:t>
      </w:r>
    </w:p>
    <w:p w14:paraId="51338167" w14:textId="77777777" w:rsidR="00330E1E" w:rsidRPr="00330E1E" w:rsidRDefault="00330E1E" w:rsidP="00330E1E">
      <w:pPr>
        <w:pStyle w:val="EndNoteBibliography"/>
        <w:spacing w:after="0"/>
      </w:pPr>
      <w:r w:rsidRPr="00330E1E">
        <w:t>435.</w:t>
      </w:r>
      <w:r w:rsidRPr="00330E1E">
        <w:tab/>
        <w:t>Baer B, Bhushan A, Taleb HA, Vasquez J, Thomas R. The right to health of older people. The Gerontologist. 2016;56(Suppl_2):S206-S17.</w:t>
      </w:r>
    </w:p>
    <w:p w14:paraId="7F3698CB" w14:textId="77777777" w:rsidR="00330E1E" w:rsidRPr="00330E1E" w:rsidRDefault="00330E1E" w:rsidP="00330E1E">
      <w:pPr>
        <w:pStyle w:val="EndNoteBibliography"/>
        <w:spacing w:after="0"/>
      </w:pPr>
      <w:r w:rsidRPr="00330E1E">
        <w:t>436.</w:t>
      </w:r>
      <w:r w:rsidRPr="00330E1E">
        <w:tab/>
        <w:t>Murray CJ, Lopez AD, Jamison DT. The global burden of disease in 1990: summary results, sensitivity analysis and future directions. Bulletin of the World Health Organization. 1994;72(3):495.</w:t>
      </w:r>
    </w:p>
    <w:p w14:paraId="0DC528E6" w14:textId="77777777" w:rsidR="00330E1E" w:rsidRPr="00330E1E" w:rsidRDefault="00330E1E" w:rsidP="00330E1E">
      <w:pPr>
        <w:pStyle w:val="EndNoteBibliography"/>
        <w:spacing w:after="0"/>
      </w:pPr>
      <w:r w:rsidRPr="00330E1E">
        <w:t>437.</w:t>
      </w:r>
      <w:r w:rsidRPr="00330E1E">
        <w:tab/>
        <w:t>Tappenden P, Chilcott J, Brennan A, Squires H, Glynne-Jones R, Tappenden J. Using whole disease modeling to inform resource allocation decisions: economic evaluation of a clinical guideline for colorectal cancer using a single model. Value in health. 2013;16(4):542-53.</w:t>
      </w:r>
    </w:p>
    <w:p w14:paraId="38A71E44" w14:textId="278E1FC2" w:rsidR="00330E1E" w:rsidRPr="00330E1E" w:rsidRDefault="00330E1E" w:rsidP="00330E1E">
      <w:pPr>
        <w:pStyle w:val="EndNoteBibliography"/>
        <w:spacing w:after="0"/>
      </w:pPr>
      <w:r w:rsidRPr="00330E1E">
        <w:t>438.</w:t>
      </w:r>
      <w:r w:rsidRPr="00330E1E">
        <w:tab/>
        <w:t xml:space="preserve">Williams-Roberts H, Arnold C, Kemp D, Crizzle A, Johnson S. Scoping Review of Clinical Practice Guidelines for Fall Risk Screening and Assessment in Older Adults across the Care Continuum. Canadian journal on aging = La revue canadienne du vieillissement. 2020:1-18. doi: </w:t>
      </w:r>
      <w:hyperlink r:id="rId82" w:history="1">
        <w:r w:rsidRPr="00330E1E">
          <w:rPr>
            <w:rStyle w:val="Hyperlink"/>
          </w:rPr>
          <w:t>http://dx.doi.org/10.1017/S0714980820000112</w:t>
        </w:r>
      </w:hyperlink>
      <w:r w:rsidRPr="00330E1E">
        <w:t>.</w:t>
      </w:r>
    </w:p>
    <w:p w14:paraId="5E7FD606" w14:textId="3E9EF658" w:rsidR="00330E1E" w:rsidRPr="00330E1E" w:rsidRDefault="00330E1E" w:rsidP="00330E1E">
      <w:pPr>
        <w:pStyle w:val="EndNoteBibliography"/>
        <w:spacing w:after="0"/>
      </w:pPr>
      <w:r w:rsidRPr="00330E1E">
        <w:t>439.</w:t>
      </w:r>
      <w:r w:rsidRPr="00330E1E">
        <w:tab/>
        <w:t xml:space="preserve">Tan ACW, Clemson L, Mackenzie L, Sherrington C, Roberts C, Tiedemann A, et al. Strategies for recruitment in general practice settings: the iSOLVE fall prevention pragmatic cluster randomised controlled trial. BMC medical research methodology. 2019;19(1):236. doi: </w:t>
      </w:r>
      <w:hyperlink r:id="rId83" w:history="1">
        <w:r w:rsidRPr="00330E1E">
          <w:rPr>
            <w:rStyle w:val="Hyperlink"/>
          </w:rPr>
          <w:t>https://dx.doi.org/10.1186/s12874-019-0869-7</w:t>
        </w:r>
      </w:hyperlink>
      <w:r w:rsidRPr="00330E1E">
        <w:t>.</w:t>
      </w:r>
    </w:p>
    <w:p w14:paraId="16BE5ACC" w14:textId="77777777" w:rsidR="00330E1E" w:rsidRPr="00330E1E" w:rsidRDefault="00330E1E" w:rsidP="00330E1E">
      <w:pPr>
        <w:pStyle w:val="EndNoteBibliography"/>
        <w:spacing w:after="0"/>
      </w:pPr>
      <w:r w:rsidRPr="00330E1E">
        <w:t>440.</w:t>
      </w:r>
      <w:r w:rsidRPr="00330E1E">
        <w:tab/>
        <w:t>Close JC. Prevention of falls—a time to translate evidence into practice. Oxford University Press; 2005.</w:t>
      </w:r>
    </w:p>
    <w:p w14:paraId="6B86D986" w14:textId="77777777" w:rsidR="00330E1E" w:rsidRPr="00330E1E" w:rsidRDefault="00330E1E" w:rsidP="00330E1E">
      <w:pPr>
        <w:pStyle w:val="EndNoteBibliography"/>
        <w:spacing w:after="0"/>
      </w:pPr>
      <w:r w:rsidRPr="00330E1E">
        <w:t>441.</w:t>
      </w:r>
      <w:r w:rsidRPr="00330E1E">
        <w:tab/>
        <w:t>Franco M, Howard K, Sherrington C, Rose J, Ferreira P, Ferreira M. Smallest worthwhile effect of exercise programs to prevent falls among older people: estimates from benefit–harm trade-off and discrete choice methods. Age and ageing. 2016;45(6):806-12.</w:t>
      </w:r>
    </w:p>
    <w:p w14:paraId="15D83F66" w14:textId="77777777" w:rsidR="00330E1E" w:rsidRPr="00330E1E" w:rsidRDefault="00330E1E" w:rsidP="00330E1E">
      <w:pPr>
        <w:pStyle w:val="EndNoteBibliography"/>
        <w:spacing w:after="0"/>
      </w:pPr>
      <w:r w:rsidRPr="00330E1E">
        <w:t>442.</w:t>
      </w:r>
      <w:r w:rsidRPr="00330E1E">
        <w:tab/>
        <w:t>Lieberz D, Borgeson H, Dobson S, Ewings L, Johnson K, Klaysmat K, et al. A Physical Therapy Mobility Checkup for Older Adults: Feasibility and Participant Preferences From a Discrete Choice Experiment. Journal of Patient-Centered Research and Reviews. 2022;9(1):24-34.</w:t>
      </w:r>
    </w:p>
    <w:p w14:paraId="03D968B8" w14:textId="755FBADF" w:rsidR="00330E1E" w:rsidRPr="00330E1E" w:rsidRDefault="00330E1E" w:rsidP="00330E1E">
      <w:pPr>
        <w:pStyle w:val="EndNoteBibliography"/>
        <w:spacing w:after="0"/>
      </w:pPr>
      <w:r w:rsidRPr="00330E1E">
        <w:t>443.</w:t>
      </w:r>
      <w:r w:rsidRPr="00330E1E">
        <w:tab/>
        <w:t xml:space="preserve">National Institute for Health and Care Excellence. Older people: independence and mental wellbeing. NICE guideline [NG32] 2015 [updated 17 December 2015]. Available from: </w:t>
      </w:r>
      <w:hyperlink r:id="rId84" w:history="1">
        <w:r w:rsidRPr="00330E1E">
          <w:rPr>
            <w:rStyle w:val="Hyperlink"/>
          </w:rPr>
          <w:t>https://www.nice.org.uk/guidance/ng32</w:t>
        </w:r>
      </w:hyperlink>
      <w:r w:rsidRPr="00330E1E">
        <w:t>.</w:t>
      </w:r>
    </w:p>
    <w:p w14:paraId="3BB6BA85" w14:textId="77777777" w:rsidR="00330E1E" w:rsidRPr="00330E1E" w:rsidRDefault="00330E1E" w:rsidP="00330E1E">
      <w:pPr>
        <w:pStyle w:val="EndNoteBibliography"/>
        <w:spacing w:after="0"/>
      </w:pPr>
      <w:r w:rsidRPr="00330E1E">
        <w:t>444.</w:t>
      </w:r>
      <w:r w:rsidRPr="00330E1E">
        <w:tab/>
        <w:t>Booth A, Noyes J, Flemming K, Gerhardus A, Wahlster P, Van Der Wilt GJ, et al. Guidance on choosing qualitative evidence synthesis methods for use in health technology assessments of complex interventions. Bremen (DE): Integrate-HTA. 2016.</w:t>
      </w:r>
    </w:p>
    <w:p w14:paraId="1E9B838F" w14:textId="77777777" w:rsidR="00330E1E" w:rsidRPr="00330E1E" w:rsidRDefault="00330E1E" w:rsidP="00330E1E">
      <w:pPr>
        <w:pStyle w:val="EndNoteBibliography"/>
        <w:spacing w:after="0"/>
      </w:pPr>
      <w:r w:rsidRPr="00330E1E">
        <w:t>445.</w:t>
      </w:r>
      <w:r w:rsidRPr="00330E1E">
        <w:tab/>
        <w:t>Harper KJ, Riley V, Petta A, Jacques A, Spendier N, Ingram K. Occupational therapist use of the 'Timed Up and Go' test in a Memory Clinic to compare performance between cognitive diagnoses and screen for falls risk. Aust Occup Ther J. 2020;67(1):13-21. Epub 2019/10/15. doi: 10.1111/1440-1630.12617. PubMed PMID: 31609001.</w:t>
      </w:r>
    </w:p>
    <w:p w14:paraId="7FBD80D1" w14:textId="7E0AEB67" w:rsidR="00330E1E" w:rsidRPr="00330E1E" w:rsidRDefault="00330E1E" w:rsidP="00330E1E">
      <w:pPr>
        <w:pStyle w:val="EndNoteBibliography"/>
        <w:spacing w:after="0"/>
      </w:pPr>
      <w:r w:rsidRPr="00330E1E">
        <w:t>446.</w:t>
      </w:r>
      <w:r w:rsidRPr="00330E1E">
        <w:tab/>
        <w:t xml:space="preserve">Allan LM, Wheatley A, Smith A, Flynn E, Homer T, Robalino S, et al. An intervention to improve outcomes of falls in dementia: the DIFRID mixed-methods feasibility study. Health technology assessment (Winchester, England). 2019;23(59):1-208. doi: </w:t>
      </w:r>
      <w:hyperlink r:id="rId85" w:history="1">
        <w:r w:rsidRPr="00330E1E">
          <w:rPr>
            <w:rStyle w:val="Hyperlink"/>
          </w:rPr>
          <w:t>https://dx.doi.org/10.3310/hta23590</w:t>
        </w:r>
      </w:hyperlink>
      <w:r w:rsidRPr="00330E1E">
        <w:t>.</w:t>
      </w:r>
    </w:p>
    <w:p w14:paraId="2FC84365" w14:textId="77777777" w:rsidR="00330E1E" w:rsidRPr="00330E1E" w:rsidRDefault="00330E1E" w:rsidP="00330E1E">
      <w:pPr>
        <w:pStyle w:val="EndNoteBibliography"/>
        <w:spacing w:after="0"/>
      </w:pPr>
      <w:r w:rsidRPr="00330E1E">
        <w:t>447.</w:t>
      </w:r>
      <w:r w:rsidRPr="00330E1E">
        <w:tab/>
        <w:t>Burgon C, Darby J, Pollock K, van der Wardt V, Peach T, Beck L, et al. Perspectives of healthcare professionals in England on falls interventions for people with dementia: a qualitative interview study. BMJ Open. 2019;9(2):e025702. Epub 2019/02/14. doi: 10.1136/bmjopen-2018-025702. PubMed PMID: 30755449; PubMed Central PMCID: PMCPMC6377506.</w:t>
      </w:r>
    </w:p>
    <w:p w14:paraId="509D7A5F" w14:textId="77777777" w:rsidR="00330E1E" w:rsidRPr="00330E1E" w:rsidRDefault="00330E1E" w:rsidP="00330E1E">
      <w:pPr>
        <w:pStyle w:val="EndNoteBibliography"/>
        <w:spacing w:after="0"/>
      </w:pPr>
      <w:r w:rsidRPr="00330E1E">
        <w:t>448.</w:t>
      </w:r>
      <w:r w:rsidRPr="00330E1E">
        <w:tab/>
        <w:t>Clemson L, Mackenzie L, Ballinger C, Close JC, Cumming RG. Environmental interventions to prevent falls in community-dwelling older people: a meta-analysis of randomized trials. Journal of aging and health. 2008;20(8):954-71.</w:t>
      </w:r>
    </w:p>
    <w:p w14:paraId="30D8B0FC" w14:textId="77777777" w:rsidR="00330E1E" w:rsidRPr="00330E1E" w:rsidRDefault="00330E1E" w:rsidP="00330E1E">
      <w:pPr>
        <w:pStyle w:val="EndNoteBibliography"/>
        <w:spacing w:after="0"/>
      </w:pPr>
      <w:r w:rsidRPr="00330E1E">
        <w:t>449.</w:t>
      </w:r>
      <w:r w:rsidRPr="00330E1E">
        <w:tab/>
        <w:t>Clemson L, Stark S, Pighills AC, Torgerson DJ, Sherrington C, Lamb SE. Environmental interventions for preventing falls in older people living in the community. The Cochrane Database of Systematic Reviews. 2019;2019(2).</w:t>
      </w:r>
    </w:p>
    <w:p w14:paraId="449FCABC" w14:textId="77777777" w:rsidR="00330E1E" w:rsidRPr="00330E1E" w:rsidRDefault="00330E1E" w:rsidP="00330E1E">
      <w:pPr>
        <w:pStyle w:val="EndNoteBibliography"/>
        <w:spacing w:after="0"/>
      </w:pPr>
      <w:r w:rsidRPr="00330E1E">
        <w:t>450.</w:t>
      </w:r>
      <w:r w:rsidRPr="00330E1E">
        <w:tab/>
        <w:t>Bischoff-Ferrari HA, Dawson-Hughes B, Staehelin HB, Orav JE, Stuck A, Theiler R, et al. Fall prevention with supplemental and active forms of vitamin D: a meta-analysis of randomised controlled trials. Bmj. 2009;339:b3692.</w:t>
      </w:r>
    </w:p>
    <w:p w14:paraId="7FC71704" w14:textId="1384689A" w:rsidR="00330E1E" w:rsidRPr="00330E1E" w:rsidRDefault="00330E1E" w:rsidP="00330E1E">
      <w:pPr>
        <w:pStyle w:val="EndNoteBibliography"/>
        <w:spacing w:after="0"/>
      </w:pPr>
      <w:r w:rsidRPr="00330E1E">
        <w:t>451.</w:t>
      </w:r>
      <w:r w:rsidRPr="00330E1E">
        <w:tab/>
        <w:t xml:space="preserve">Wang Y, Srikanth V, Snowdon DA, Ellmers S, Beare R, Moran C, et al. Quantifying the economic benefit of the personal alarm and emergency response system in Australia: a cost analysis of the reduction in ambulance attendances. Australian health review : a publication of the Australian Hospital Association. 2020. doi: </w:t>
      </w:r>
      <w:hyperlink r:id="rId86" w:history="1">
        <w:r w:rsidRPr="00330E1E">
          <w:rPr>
            <w:rStyle w:val="Hyperlink"/>
          </w:rPr>
          <w:t>http://dx.doi.org/10.1071/AH19254</w:t>
        </w:r>
      </w:hyperlink>
      <w:r w:rsidRPr="00330E1E">
        <w:t>.</w:t>
      </w:r>
    </w:p>
    <w:p w14:paraId="7612142C" w14:textId="0A50C917" w:rsidR="00330E1E" w:rsidRPr="00330E1E" w:rsidRDefault="00330E1E" w:rsidP="00330E1E">
      <w:pPr>
        <w:pStyle w:val="EndNoteBibliography"/>
        <w:spacing w:after="0"/>
      </w:pPr>
      <w:r w:rsidRPr="00330E1E">
        <w:t>452.</w:t>
      </w:r>
      <w:r w:rsidRPr="00330E1E">
        <w:tab/>
        <w:t xml:space="preserve">Mitchell R, Draper B, Harvey L, Wadolowski M, Brodaty H, Close J. Comparison of hospitalised trends, treatment cost and health outcomes of fall-related hip fracture for people aged &gt;= 65 years living in residential aged care and the community. Osteoporosis international : a journal established as result of cooperation between the European Foundation for Osteoporosis and the National Osteoporosis Foundation of the USA. 2019;30(2):311-21. doi: </w:t>
      </w:r>
      <w:hyperlink r:id="rId87" w:history="1">
        <w:r w:rsidRPr="00330E1E">
          <w:rPr>
            <w:rStyle w:val="Hyperlink"/>
          </w:rPr>
          <w:t>https://dx.doi.org/10.1007/s00198-018-4800-6</w:t>
        </w:r>
      </w:hyperlink>
      <w:r w:rsidRPr="00330E1E">
        <w:t>.</w:t>
      </w:r>
    </w:p>
    <w:p w14:paraId="4B0065A5" w14:textId="77777777" w:rsidR="00330E1E" w:rsidRPr="00330E1E" w:rsidRDefault="00330E1E" w:rsidP="00330E1E">
      <w:pPr>
        <w:pStyle w:val="EndNoteBibliography"/>
        <w:spacing w:after="0"/>
      </w:pPr>
      <w:r w:rsidRPr="00330E1E">
        <w:t>453.</w:t>
      </w:r>
      <w:r w:rsidRPr="00330E1E">
        <w:tab/>
        <w:t>Gomez F, Curcio CL, Brennan-Olsen SL, Boersma D, Phu S, Vogrin S, et al. Effects of the falls and fractures clinic as an integrated multidisciplinary model of care in Australia: a pre-post study. BMJ Open. 2019;9(7):e027013. Epub 2019/08/01. doi: 10.1136/bmjopen-2018-027013. PubMed PMID: 31362962; PubMed Central PMCID: PMCPMC6678026.</w:t>
      </w:r>
    </w:p>
    <w:p w14:paraId="23A3222B" w14:textId="378BE186" w:rsidR="00330E1E" w:rsidRPr="00330E1E" w:rsidRDefault="00330E1E" w:rsidP="00330E1E">
      <w:pPr>
        <w:pStyle w:val="EndNoteBibliography"/>
        <w:spacing w:after="0"/>
      </w:pPr>
      <w:r w:rsidRPr="00330E1E">
        <w:t>454.</w:t>
      </w:r>
      <w:r w:rsidRPr="00330E1E">
        <w:tab/>
        <w:t xml:space="preserve">National Institute for Health and Care Excellence. Osteoporosis - prevention of fragility fractures 2021 [updated July 202116 February 2022]. Available from: </w:t>
      </w:r>
      <w:hyperlink r:id="rId88" w:history="1">
        <w:r w:rsidRPr="00330E1E">
          <w:rPr>
            <w:rStyle w:val="Hyperlink"/>
          </w:rPr>
          <w:t>https://cks.nice.org.uk/topics/osteoporosis-prevention-of-fragility-fractures/</w:t>
        </w:r>
      </w:hyperlink>
      <w:r w:rsidRPr="00330E1E">
        <w:t>.</w:t>
      </w:r>
    </w:p>
    <w:p w14:paraId="12146F5C" w14:textId="77777777" w:rsidR="00330E1E" w:rsidRPr="00330E1E" w:rsidRDefault="00330E1E" w:rsidP="00330E1E">
      <w:pPr>
        <w:pStyle w:val="EndNoteBibliography"/>
        <w:spacing w:after="0"/>
      </w:pPr>
      <w:r w:rsidRPr="00330E1E">
        <w:t>455.</w:t>
      </w:r>
      <w:r w:rsidRPr="00330E1E">
        <w:tab/>
        <w:t>Cookson R, Culyer A. Measuring overall population health: the use and abuse of QALYs. Evidence-based public health: effectiveness and efficiency. 2010;148.</w:t>
      </w:r>
    </w:p>
    <w:p w14:paraId="3EDDBBA7" w14:textId="77777777" w:rsidR="00330E1E" w:rsidRPr="00330E1E" w:rsidRDefault="00330E1E" w:rsidP="00330E1E">
      <w:pPr>
        <w:pStyle w:val="EndNoteBibliography"/>
        <w:spacing w:after="0"/>
      </w:pPr>
      <w:r w:rsidRPr="00330E1E">
        <w:t>456.</w:t>
      </w:r>
      <w:r w:rsidRPr="00330E1E">
        <w:tab/>
        <w:t>Donaldson C, Atkinson A, Bond J, Wright K. Should QALYs be programme-specific? Journal of Health Economics. 1988;7(3):239-57.</w:t>
      </w:r>
    </w:p>
    <w:p w14:paraId="2D7726D0" w14:textId="77777777" w:rsidR="00330E1E" w:rsidRPr="00330E1E" w:rsidRDefault="00330E1E" w:rsidP="00330E1E">
      <w:pPr>
        <w:pStyle w:val="EndNoteBibliography"/>
        <w:spacing w:after="0"/>
      </w:pPr>
      <w:r w:rsidRPr="00330E1E">
        <w:t>457.</w:t>
      </w:r>
      <w:r w:rsidRPr="00330E1E">
        <w:tab/>
        <w:t>Brazier JE, Rowen D, Lloyd A, Karimi M. Future directions in valuing benefits for estimating QALYs: is time up for the EQ-5D? Value in Health. 2019;22(1):62-8.</w:t>
      </w:r>
    </w:p>
    <w:p w14:paraId="31523B6B" w14:textId="6357D8F0" w:rsidR="00330E1E" w:rsidRPr="00330E1E" w:rsidRDefault="00330E1E" w:rsidP="00330E1E">
      <w:pPr>
        <w:pStyle w:val="EndNoteBibliography"/>
        <w:spacing w:after="0"/>
      </w:pPr>
      <w:r w:rsidRPr="00330E1E">
        <w:t>458.</w:t>
      </w:r>
      <w:r w:rsidRPr="00330E1E">
        <w:tab/>
        <w:t xml:space="preserve">Farag I, Sherrington C, Hayes A, Canning CG, Lord SR, Close JCT, et al. Economic evaluation of a falls prevention exercise program among people With Parkinson's disease. Movement disorders. 2016;31(1):53-61. doi: </w:t>
      </w:r>
      <w:hyperlink r:id="rId89" w:history="1">
        <w:r w:rsidRPr="00330E1E">
          <w:rPr>
            <w:rStyle w:val="Hyperlink"/>
          </w:rPr>
          <w:t>https://dx.doi.org/10.1002/mds.26420</w:t>
        </w:r>
      </w:hyperlink>
      <w:r w:rsidRPr="00330E1E">
        <w:t>.</w:t>
      </w:r>
    </w:p>
    <w:p w14:paraId="7969081C" w14:textId="77777777" w:rsidR="00330E1E" w:rsidRPr="00330E1E" w:rsidRDefault="00330E1E" w:rsidP="00330E1E">
      <w:pPr>
        <w:pStyle w:val="EndNoteBibliography"/>
        <w:spacing w:after="0"/>
      </w:pPr>
      <w:r w:rsidRPr="00330E1E">
        <w:t>459.</w:t>
      </w:r>
      <w:r w:rsidRPr="00330E1E">
        <w:tab/>
        <w:t>Li F, Harmer P. Economic Evaluation of a Tai Ji Quan Intervention to Reduce Falls in People With Parkinson Disease, Oregon, 2008-2011. Prev Chronic Dis. 2015;12:E120. doi: 10.5888/pcd12.140413. PubMed PMID: 26226067; PubMed Central PMCID: PMCPMC4523116.</w:t>
      </w:r>
    </w:p>
    <w:p w14:paraId="76B90083" w14:textId="5F48834F" w:rsidR="00330E1E" w:rsidRPr="00330E1E" w:rsidRDefault="00330E1E" w:rsidP="00330E1E">
      <w:pPr>
        <w:pStyle w:val="EndNoteBibliography"/>
        <w:spacing w:after="0"/>
      </w:pPr>
      <w:r w:rsidRPr="00330E1E">
        <w:t>460.</w:t>
      </w:r>
      <w:r w:rsidRPr="00330E1E">
        <w:tab/>
        <w:t xml:space="preserve">Winser S, Lee SH, Law HS, Leung HY, Bello UM, Kannan P. Economic evaluations of physiotherapy interventions for neurological disorders: A systematic review. Disability and Rehabilitation: An International, Multidisciplinary Journal. 2020;42(7):892-901. doi: </w:t>
      </w:r>
      <w:hyperlink r:id="rId90" w:history="1">
        <w:r w:rsidRPr="00330E1E">
          <w:rPr>
            <w:rStyle w:val="Hyperlink"/>
          </w:rPr>
          <w:t>http://dx.doi.org/10.1080/09638288.2018.1510993</w:t>
        </w:r>
      </w:hyperlink>
      <w:r w:rsidRPr="00330E1E">
        <w:t>.</w:t>
      </w:r>
    </w:p>
    <w:p w14:paraId="7CB68E65" w14:textId="77777777" w:rsidR="00330E1E" w:rsidRPr="00330E1E" w:rsidRDefault="00330E1E" w:rsidP="00330E1E">
      <w:pPr>
        <w:pStyle w:val="EndNoteBibliography"/>
        <w:spacing w:after="0"/>
      </w:pPr>
      <w:r w:rsidRPr="00330E1E">
        <w:t>461.</w:t>
      </w:r>
      <w:r w:rsidRPr="00330E1E">
        <w:tab/>
        <w:t>Verheyden GS, Weerdesteyn V, Pickering RM, Kunkel D, Lennon S, Geurts AC, et al. Interventions for preventing falls in people after stroke. Cochrane database of systematic reviews. 2013;(5).</w:t>
      </w:r>
    </w:p>
    <w:p w14:paraId="469BEF8F" w14:textId="77777777" w:rsidR="00330E1E" w:rsidRPr="00330E1E" w:rsidRDefault="00330E1E" w:rsidP="00330E1E">
      <w:pPr>
        <w:pStyle w:val="EndNoteBibliography"/>
        <w:spacing w:after="0"/>
      </w:pPr>
      <w:r w:rsidRPr="00330E1E">
        <w:t>462.</w:t>
      </w:r>
      <w:r w:rsidRPr="00330E1E">
        <w:tab/>
        <w:t>Health Quality &amp; Safety Commission New Zealand. Interventions for reducing falls and harm from falls in older people with cognitive impairment. 2019.</w:t>
      </w:r>
    </w:p>
    <w:p w14:paraId="32C935A1" w14:textId="77777777" w:rsidR="00330E1E" w:rsidRPr="00330E1E" w:rsidRDefault="00330E1E" w:rsidP="00330E1E">
      <w:pPr>
        <w:pStyle w:val="EndNoteBibliography"/>
        <w:spacing w:after="0"/>
      </w:pPr>
      <w:r w:rsidRPr="00330E1E">
        <w:t>463.</w:t>
      </w:r>
      <w:r w:rsidRPr="00330E1E">
        <w:tab/>
        <w:t>Casey CM, Caulley J, Phelan EA. The Intersection of Falls and Dementia in Primary Care: Evaluation and Management Considerations. The Medical clinics of North America. 2020;104(5):791-806. Epub 2020/08/11. doi: 10.1016/j.mcna.2020.06.003. PubMed PMID: 32773046.</w:t>
      </w:r>
    </w:p>
    <w:p w14:paraId="79313BCB" w14:textId="77777777" w:rsidR="00330E1E" w:rsidRPr="00330E1E" w:rsidRDefault="00330E1E" w:rsidP="00330E1E">
      <w:pPr>
        <w:pStyle w:val="EndNoteBibliography"/>
        <w:spacing w:after="0"/>
      </w:pPr>
      <w:r w:rsidRPr="00330E1E">
        <w:t>464.</w:t>
      </w:r>
      <w:r w:rsidRPr="00330E1E">
        <w:tab/>
        <w:t>Booth V, Harwood R, Hancox JE, Hood-Moore V, Masud T, Logan P. Motivation as a mechanism underpinning exercise-based falls prevention programmes for older adults with cognitive impairment: a realist review. BMJ Open. 2019;9(6):e024982. Epub 2019/06/22. doi: 10.1136/bmjopen-2018-024982. PubMed PMID: 31221867; PubMed Central PMCID: PMCPMC6588958.</w:t>
      </w:r>
    </w:p>
    <w:p w14:paraId="01BD6B26" w14:textId="77777777" w:rsidR="00330E1E" w:rsidRPr="00330E1E" w:rsidRDefault="00330E1E" w:rsidP="00330E1E">
      <w:pPr>
        <w:pStyle w:val="EndNoteBibliography"/>
        <w:spacing w:after="0"/>
      </w:pPr>
      <w:r w:rsidRPr="00330E1E">
        <w:t>465.</w:t>
      </w:r>
      <w:r w:rsidRPr="00330E1E">
        <w:tab/>
        <w:t>Kim H, Zhao YL, Kim N, Ahn YH. Home modifications for older people with cognitive impairments: Mediation analysis of caregivers' information needs and perceptions of fall risks. International journal of older people nursing. 2019;14(3):e12240. Epub 2019/05/18. doi: 10.1111/opn.12240. PubMed PMID: 31099499.</w:t>
      </w:r>
    </w:p>
    <w:p w14:paraId="12EAD5C3" w14:textId="5057D65D" w:rsidR="00330E1E" w:rsidRPr="00330E1E" w:rsidRDefault="00330E1E" w:rsidP="00330E1E">
      <w:pPr>
        <w:pStyle w:val="EndNoteBibliography"/>
        <w:spacing w:after="0"/>
      </w:pPr>
      <w:r w:rsidRPr="00330E1E">
        <w:t>466.</w:t>
      </w:r>
      <w:r w:rsidRPr="00330E1E">
        <w:tab/>
        <w:t xml:space="preserve">Meyer C, Hill S, Hill KD, Dow B. Inclusive Decision Making for Falls Prevention: A Discussion Tool for Use With People With Dementia and Their Caregivers. Journal of aging and physical activity. 2019;27(5):711-8. doi: </w:t>
      </w:r>
      <w:hyperlink r:id="rId91" w:history="1">
        <w:r w:rsidRPr="00330E1E">
          <w:rPr>
            <w:rStyle w:val="Hyperlink"/>
          </w:rPr>
          <w:t>https://dx.doi.org/10.1123/japa.2018-0167</w:t>
        </w:r>
      </w:hyperlink>
      <w:r w:rsidRPr="00330E1E">
        <w:t>.</w:t>
      </w:r>
    </w:p>
    <w:p w14:paraId="122F3F60" w14:textId="0F86312C" w:rsidR="00330E1E" w:rsidRPr="00330E1E" w:rsidRDefault="00330E1E" w:rsidP="00330E1E">
      <w:pPr>
        <w:pStyle w:val="EndNoteBibliography"/>
        <w:spacing w:after="0"/>
      </w:pPr>
      <w:r w:rsidRPr="00330E1E">
        <w:t>467.</w:t>
      </w:r>
      <w:r w:rsidRPr="00330E1E">
        <w:tab/>
        <w:t xml:space="preserve">Adams J, Wilson N, Hurkmans E, Bakkers M, Balaova P, Baxter M, et al. 2019 EULAR points to consider for non-physician health professionals to prevent and manage fragility fractures in adults 50 years or older. Annals of the Rheumatic Diseases. 2021;80(1):57-64. doi: </w:t>
      </w:r>
      <w:hyperlink r:id="rId92" w:history="1">
        <w:r w:rsidRPr="00330E1E">
          <w:rPr>
            <w:rStyle w:val="Hyperlink"/>
          </w:rPr>
          <w:t>http://dx.doi.org/10.1136/annrheumdis-2020-216931</w:t>
        </w:r>
      </w:hyperlink>
      <w:r w:rsidRPr="00330E1E">
        <w:t>.</w:t>
      </w:r>
    </w:p>
    <w:p w14:paraId="6CA12E08" w14:textId="03E532A8" w:rsidR="00330E1E" w:rsidRPr="00330E1E" w:rsidRDefault="00330E1E" w:rsidP="00330E1E">
      <w:pPr>
        <w:pStyle w:val="EndNoteBibliography"/>
        <w:spacing w:after="0"/>
      </w:pPr>
      <w:r w:rsidRPr="00330E1E">
        <w:t>468.</w:t>
      </w:r>
      <w:r w:rsidRPr="00330E1E">
        <w:tab/>
        <w:t xml:space="preserve">Juckett LA, Robinson ML. Implementing Fall Prevention Guidelines with Vulnerable Older Adults: The Social Work Role. Journal of gerontological social work. 2019;62(3):338-48. doi: </w:t>
      </w:r>
      <w:hyperlink r:id="rId93" w:history="1">
        <w:r w:rsidRPr="00330E1E">
          <w:rPr>
            <w:rStyle w:val="Hyperlink"/>
          </w:rPr>
          <w:t>http://dx.doi.org/10.1080/01634372.2018.1555566</w:t>
        </w:r>
      </w:hyperlink>
      <w:r w:rsidRPr="00330E1E">
        <w:t>.</w:t>
      </w:r>
    </w:p>
    <w:p w14:paraId="3148B02B" w14:textId="77777777" w:rsidR="00330E1E" w:rsidRPr="00330E1E" w:rsidRDefault="00330E1E" w:rsidP="00330E1E">
      <w:pPr>
        <w:pStyle w:val="EndNoteBibliography"/>
        <w:spacing w:after="0"/>
      </w:pPr>
      <w:r w:rsidRPr="00330E1E">
        <w:t>469.</w:t>
      </w:r>
      <w:r w:rsidRPr="00330E1E">
        <w:tab/>
        <w:t>Freitas FFQ, Rocha AB, Moura ACM, Soares SM. Older adults frailty in Primary Health Care: a geoprocessing-based approach. Ciência &amp; Saúde Coletiva. 2020;25:4439-50.</w:t>
      </w:r>
    </w:p>
    <w:p w14:paraId="7ADF1F30" w14:textId="77777777" w:rsidR="00330E1E" w:rsidRPr="00330E1E" w:rsidRDefault="00330E1E" w:rsidP="00330E1E">
      <w:pPr>
        <w:pStyle w:val="EndNoteBibliography"/>
      </w:pPr>
      <w:r w:rsidRPr="00330E1E">
        <w:t>470.</w:t>
      </w:r>
      <w:r w:rsidRPr="00330E1E">
        <w:tab/>
        <w:t>van den Bogaart EH, Kroese ME, Spreeuwenberg MD, Ruwaard D, Tsiachristas A. Economic Evaluation of New Models of Care: Does the Decision Change Between Cost-Utility Analysis and Multi-Criteria Decision Analysis? Value in Health. 2021.</w:t>
      </w:r>
    </w:p>
    <w:p w14:paraId="4170A0FE" w14:textId="7995976D" w:rsidR="00F3516D" w:rsidRPr="00236373" w:rsidRDefault="00193D11" w:rsidP="00FB7C1F">
      <w:r w:rsidRPr="004C78D8">
        <w:fldChar w:fldCharType="end"/>
      </w:r>
    </w:p>
    <w:sectPr w:rsidR="00F3516D" w:rsidRPr="0023637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6400C" w14:textId="77777777" w:rsidR="001A1DC7" w:rsidRDefault="001A1DC7" w:rsidP="00BB245E">
      <w:pPr>
        <w:spacing w:after="0" w:line="240" w:lineRule="auto"/>
      </w:pPr>
      <w:r>
        <w:separator/>
      </w:r>
    </w:p>
  </w:endnote>
  <w:endnote w:type="continuationSeparator" w:id="0">
    <w:p w14:paraId="4E7DD78A" w14:textId="77777777" w:rsidR="001A1DC7" w:rsidRDefault="001A1DC7" w:rsidP="00BB2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6995333"/>
      <w:docPartObj>
        <w:docPartGallery w:val="Page Numbers (Bottom of Page)"/>
        <w:docPartUnique/>
      </w:docPartObj>
    </w:sdtPr>
    <w:sdtEndPr>
      <w:rPr>
        <w:noProof/>
      </w:rPr>
    </w:sdtEndPr>
    <w:sdtContent>
      <w:p w14:paraId="79FC0B6F" w14:textId="3D5D07DD" w:rsidR="003C5899" w:rsidRDefault="003C5899">
        <w:pPr>
          <w:pStyle w:val="Footer"/>
          <w:jc w:val="center"/>
        </w:pPr>
        <w:r>
          <w:fldChar w:fldCharType="begin"/>
        </w:r>
        <w:r>
          <w:instrText xml:space="preserve"> PAGE   \* MERGEFORMAT </w:instrText>
        </w:r>
        <w:r>
          <w:fldChar w:fldCharType="separate"/>
        </w:r>
        <w:r w:rsidR="00B90455">
          <w:rPr>
            <w:noProof/>
          </w:rPr>
          <w:t>xxi</w:t>
        </w:r>
        <w:r>
          <w:rPr>
            <w:noProof/>
          </w:rPr>
          <w:fldChar w:fldCharType="end"/>
        </w:r>
      </w:p>
    </w:sdtContent>
  </w:sdt>
  <w:p w14:paraId="57C8C932" w14:textId="77777777" w:rsidR="003C5899" w:rsidRDefault="003C58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5813662"/>
      <w:docPartObj>
        <w:docPartGallery w:val="Page Numbers (Bottom of Page)"/>
        <w:docPartUnique/>
      </w:docPartObj>
    </w:sdtPr>
    <w:sdtEndPr>
      <w:rPr>
        <w:noProof/>
      </w:rPr>
    </w:sdtEndPr>
    <w:sdtContent>
      <w:p w14:paraId="695828CD" w14:textId="6DB46559" w:rsidR="003C5899" w:rsidRDefault="003C5899">
        <w:pPr>
          <w:pStyle w:val="Footer"/>
          <w:jc w:val="center"/>
        </w:pPr>
        <w:r>
          <w:fldChar w:fldCharType="begin"/>
        </w:r>
        <w:r>
          <w:instrText xml:space="preserve"> PAGE   \* MERGEFORMAT </w:instrText>
        </w:r>
        <w:r>
          <w:fldChar w:fldCharType="separate"/>
        </w:r>
        <w:r w:rsidR="00B90455">
          <w:rPr>
            <w:noProof/>
          </w:rPr>
          <w:t>42</w:t>
        </w:r>
        <w:r>
          <w:rPr>
            <w:noProof/>
          </w:rPr>
          <w:fldChar w:fldCharType="end"/>
        </w:r>
      </w:p>
    </w:sdtContent>
  </w:sdt>
  <w:p w14:paraId="762237C1" w14:textId="77777777" w:rsidR="003C5899" w:rsidRDefault="003C58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DDA89" w14:textId="77777777" w:rsidR="001A1DC7" w:rsidRDefault="001A1DC7" w:rsidP="00BB245E">
      <w:pPr>
        <w:spacing w:after="0" w:line="240" w:lineRule="auto"/>
      </w:pPr>
      <w:r>
        <w:separator/>
      </w:r>
    </w:p>
  </w:footnote>
  <w:footnote w:type="continuationSeparator" w:id="0">
    <w:p w14:paraId="709C9517" w14:textId="77777777" w:rsidR="001A1DC7" w:rsidRDefault="001A1DC7" w:rsidP="00BB245E">
      <w:pPr>
        <w:spacing w:after="0" w:line="240" w:lineRule="auto"/>
      </w:pPr>
      <w:r>
        <w:continuationSeparator/>
      </w:r>
    </w:p>
  </w:footnote>
  <w:footnote w:id="1">
    <w:p w14:paraId="5829FB8C" w14:textId="74255C8D" w:rsidR="003C5899" w:rsidRPr="0049073C" w:rsidRDefault="003C5899" w:rsidP="00313677">
      <w:pPr>
        <w:pStyle w:val="FootnoteText"/>
      </w:pPr>
      <w:r>
        <w:rPr>
          <w:rStyle w:val="FootnoteReference"/>
        </w:rPr>
        <w:footnoteRef/>
      </w:r>
      <w:r>
        <w:t xml:space="preserve"> Despite its label containing CEA, ECEA is perceived here as a CCA because it </w:t>
      </w:r>
      <w:r w:rsidR="00FB1DBE">
        <w:t>involves</w:t>
      </w:r>
      <w:r>
        <w:t xml:space="preserve"> the evaluation </w:t>
      </w:r>
      <w:r w:rsidR="00FB1DBE">
        <w:t xml:space="preserve">and reporting </w:t>
      </w:r>
      <w:r>
        <w:t xml:space="preserve">of a wide range of health and non-health outcomes and not just natural health units used for CEA. </w:t>
      </w:r>
    </w:p>
  </w:footnote>
  <w:footnote w:id="2">
    <w:p w14:paraId="233C3BE3" w14:textId="4E27BC1E" w:rsidR="00AD394F" w:rsidRDefault="00AD394F" w:rsidP="00AD394F">
      <w:pPr>
        <w:pStyle w:val="FootnoteText"/>
      </w:pPr>
      <w:r>
        <w:rPr>
          <w:rStyle w:val="FootnoteReference"/>
        </w:rPr>
        <w:footnoteRef/>
      </w:r>
      <w:r>
        <w:t xml:space="preserve"> As noted in </w:t>
      </w:r>
      <w:r w:rsidRPr="005125A7">
        <w:rPr>
          <w:highlight w:val="yellow"/>
        </w:rPr>
        <w:t>Table 3.2</w:t>
      </w:r>
      <w:r>
        <w:t>, a separate meeting with social prescribing organisations took place in June 2018 to discuss the community-based integrated care. However, the organisations clarified that their focus is on working age adults, working with GP practices to address social determinants of health such as long-term unemployment.</w:t>
      </w:r>
    </w:p>
  </w:footnote>
  <w:footnote w:id="3">
    <w:p w14:paraId="7D7D0418" w14:textId="4DC15724" w:rsidR="003C5899" w:rsidRDefault="003C5899">
      <w:pPr>
        <w:pStyle w:val="FootnoteText"/>
      </w:pPr>
      <w:r>
        <w:rPr>
          <w:rStyle w:val="FootnoteReference"/>
        </w:rPr>
        <w:footnoteRef/>
      </w:r>
      <w:r>
        <w:t xml:space="preserve"> Access to the falls risk assessment and treatment was not restricted to those with MA fall history: 1.58% of those without MA fall history accessed it. However, this access was restricted to those with history of recurrent non-MA falls, with 17.63% of individuals in this group accessing it. </w:t>
      </w:r>
    </w:p>
  </w:footnote>
  <w:footnote w:id="4">
    <w:p w14:paraId="088C2DCB" w14:textId="6F0488E8" w:rsidR="003C5899" w:rsidRPr="009D7549" w:rsidRDefault="003C5899">
      <w:pPr>
        <w:pStyle w:val="FootnoteText"/>
      </w:pPr>
      <w:r>
        <w:rPr>
          <w:rStyle w:val="FootnoteReference"/>
        </w:rPr>
        <w:footnoteRef/>
      </w:r>
      <w:r>
        <w:t xml:space="preserve"> </w:t>
      </w:r>
      <w:r w:rsidRPr="00236373">
        <w:t xml:space="preserve">None of </w:t>
      </w:r>
      <w:r w:rsidR="00C126D2">
        <w:t>those</w:t>
      </w:r>
      <w:r w:rsidRPr="00236373">
        <w:t xml:space="preserve"> who had no falls history or history of single non-MA fall received falls risk screening, suggesting that falls history served as a preliminary criterion for screening receipt under </w:t>
      </w:r>
      <w:r w:rsidR="00C126D2">
        <w:t>UC</w:t>
      </w:r>
      <w:r w:rsidRPr="00236373">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BB425" w14:textId="77777777" w:rsidR="003C5899" w:rsidRPr="0053332A" w:rsidRDefault="003C5899">
    <w:pPr>
      <w:pStyle w:val="Header"/>
      <w:rPr>
        <w:b/>
        <w:bCs/>
        <w:u w:val="single"/>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2EAC"/>
    <w:multiLevelType w:val="hybridMultilevel"/>
    <w:tmpl w:val="83E42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9C198C"/>
    <w:multiLevelType w:val="hybridMultilevel"/>
    <w:tmpl w:val="42309F46"/>
    <w:lvl w:ilvl="0" w:tplc="2E4682CC">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F951D2"/>
    <w:multiLevelType w:val="hybridMultilevel"/>
    <w:tmpl w:val="70F8450E"/>
    <w:lvl w:ilvl="0" w:tplc="9DD457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5904BA"/>
    <w:multiLevelType w:val="hybridMultilevel"/>
    <w:tmpl w:val="240E70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41461E"/>
    <w:multiLevelType w:val="hybridMultilevel"/>
    <w:tmpl w:val="2A241F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663C13"/>
    <w:multiLevelType w:val="hybridMultilevel"/>
    <w:tmpl w:val="B8807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C8703B"/>
    <w:multiLevelType w:val="hybridMultilevel"/>
    <w:tmpl w:val="EF16BC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BF5F3D"/>
    <w:multiLevelType w:val="hybridMultilevel"/>
    <w:tmpl w:val="A00EE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DA3E79"/>
    <w:multiLevelType w:val="hybridMultilevel"/>
    <w:tmpl w:val="C0C49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682A22"/>
    <w:multiLevelType w:val="hybridMultilevel"/>
    <w:tmpl w:val="1BE0A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7C1F48"/>
    <w:multiLevelType w:val="hybridMultilevel"/>
    <w:tmpl w:val="857202E8"/>
    <w:lvl w:ilvl="0" w:tplc="7D0CD6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3850208"/>
    <w:multiLevelType w:val="hybridMultilevel"/>
    <w:tmpl w:val="9F760F0C"/>
    <w:lvl w:ilvl="0" w:tplc="D44295BA">
      <w:start w:val="6"/>
      <w:numFmt w:val="bullet"/>
      <w:lvlText w:val=""/>
      <w:lvlJc w:val="left"/>
      <w:pPr>
        <w:ind w:left="720" w:hanging="360"/>
      </w:pPr>
      <w:rPr>
        <w:rFonts w:ascii="Symbol" w:eastAsiaTheme="minorEastAsia"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826801"/>
    <w:multiLevelType w:val="hybridMultilevel"/>
    <w:tmpl w:val="2E48FDC8"/>
    <w:lvl w:ilvl="0" w:tplc="9DD457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9C3E95"/>
    <w:multiLevelType w:val="hybridMultilevel"/>
    <w:tmpl w:val="D0561F8C"/>
    <w:lvl w:ilvl="0" w:tplc="9DD45700">
      <w:start w:val="1"/>
      <w:numFmt w:val="decimal"/>
      <w:lvlText w:val="(%1)"/>
      <w:lvlJc w:val="left"/>
      <w:pPr>
        <w:ind w:left="720" w:hanging="360"/>
      </w:pPr>
      <w:rPr>
        <w:rFonts w:hint="default"/>
      </w:rPr>
    </w:lvl>
    <w:lvl w:ilvl="1" w:tplc="9DD4570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8A221EE"/>
    <w:multiLevelType w:val="hybridMultilevel"/>
    <w:tmpl w:val="AEEAE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6E5982"/>
    <w:multiLevelType w:val="hybridMultilevel"/>
    <w:tmpl w:val="2FB0FA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B582804"/>
    <w:multiLevelType w:val="hybridMultilevel"/>
    <w:tmpl w:val="AA4250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BAE2116"/>
    <w:multiLevelType w:val="hybridMultilevel"/>
    <w:tmpl w:val="ED3481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CEC3B7D"/>
    <w:multiLevelType w:val="hybridMultilevel"/>
    <w:tmpl w:val="02502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F521CE"/>
    <w:multiLevelType w:val="hybridMultilevel"/>
    <w:tmpl w:val="B4EC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3D764B"/>
    <w:multiLevelType w:val="hybridMultilevel"/>
    <w:tmpl w:val="DCBEFCCC"/>
    <w:lvl w:ilvl="0" w:tplc="961EA9E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DA57D11"/>
    <w:multiLevelType w:val="hybridMultilevel"/>
    <w:tmpl w:val="26D418E8"/>
    <w:lvl w:ilvl="0" w:tplc="717E47F6">
      <w:start w:val="4"/>
      <w:numFmt w:val="bullet"/>
      <w:lvlText w:val=""/>
      <w:lvlJc w:val="left"/>
      <w:pPr>
        <w:ind w:left="720" w:hanging="360"/>
      </w:pPr>
      <w:rPr>
        <w:rFonts w:ascii="Symbol" w:eastAsia="Batang"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5C2618"/>
    <w:multiLevelType w:val="hybridMultilevel"/>
    <w:tmpl w:val="2A7667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3163C54"/>
    <w:multiLevelType w:val="hybridMultilevel"/>
    <w:tmpl w:val="4614B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41C0CED"/>
    <w:multiLevelType w:val="hybridMultilevel"/>
    <w:tmpl w:val="27ECE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7CC67DE"/>
    <w:multiLevelType w:val="hybridMultilevel"/>
    <w:tmpl w:val="0864315C"/>
    <w:lvl w:ilvl="0" w:tplc="94A29D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8AB65C0"/>
    <w:multiLevelType w:val="hybridMultilevel"/>
    <w:tmpl w:val="0F5CB6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95C6C2A"/>
    <w:multiLevelType w:val="hybridMultilevel"/>
    <w:tmpl w:val="86F282A4"/>
    <w:lvl w:ilvl="0" w:tplc="C174FB08">
      <w:start w:val="1"/>
      <w:numFmt w:val="bullet"/>
      <w:lvlText w:val=""/>
      <w:lvlJc w:val="left"/>
      <w:pPr>
        <w:ind w:left="78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ADF7133"/>
    <w:multiLevelType w:val="hybridMultilevel"/>
    <w:tmpl w:val="9132A6E0"/>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B7D1B98"/>
    <w:multiLevelType w:val="hybridMultilevel"/>
    <w:tmpl w:val="B428D2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FE77BF9"/>
    <w:multiLevelType w:val="hybridMultilevel"/>
    <w:tmpl w:val="CA748016"/>
    <w:lvl w:ilvl="0" w:tplc="717E47F6">
      <w:start w:val="4"/>
      <w:numFmt w:val="bullet"/>
      <w:lvlText w:val=""/>
      <w:lvlJc w:val="left"/>
      <w:pPr>
        <w:ind w:left="720" w:hanging="360"/>
      </w:pPr>
      <w:rPr>
        <w:rFonts w:ascii="Symbol" w:eastAsia="Batang"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39F2950"/>
    <w:multiLevelType w:val="hybridMultilevel"/>
    <w:tmpl w:val="19B82B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4B709F3"/>
    <w:multiLevelType w:val="hybridMultilevel"/>
    <w:tmpl w:val="BE7AF5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65A5712"/>
    <w:multiLevelType w:val="hybridMultilevel"/>
    <w:tmpl w:val="1BCEF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BF60AAE"/>
    <w:multiLevelType w:val="multilevel"/>
    <w:tmpl w:val="DC4C12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D871FB0"/>
    <w:multiLevelType w:val="hybridMultilevel"/>
    <w:tmpl w:val="C45A58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4B21B70"/>
    <w:multiLevelType w:val="hybridMultilevel"/>
    <w:tmpl w:val="60B22A52"/>
    <w:lvl w:ilvl="0" w:tplc="9DC2BFB6">
      <w:start w:val="1"/>
      <w:numFmt w:val="upperLetter"/>
      <w:lvlText w:val="(%1)"/>
      <w:lvlJc w:val="left"/>
      <w:pPr>
        <w:ind w:left="720" w:hanging="360"/>
      </w:pPr>
      <w:rPr>
        <w:rFonts w:hint="default"/>
      </w:rPr>
    </w:lvl>
    <w:lvl w:ilvl="1" w:tplc="F6060B1E">
      <w:start w:val="1"/>
      <w:numFmt w:val="lowerRoman"/>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E87C8098">
      <w:start w:val="1"/>
      <w:numFmt w:val="upperLetter"/>
      <w:lvlText w:val="%4."/>
      <w:lvlJc w:val="left"/>
      <w:pPr>
        <w:ind w:left="2880" w:hanging="360"/>
      </w:pPr>
      <w:rPr>
        <w:rFonts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5953894"/>
    <w:multiLevelType w:val="hybridMultilevel"/>
    <w:tmpl w:val="8382A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8367525"/>
    <w:multiLevelType w:val="hybridMultilevel"/>
    <w:tmpl w:val="D6E0D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89E206D"/>
    <w:multiLevelType w:val="hybridMultilevel"/>
    <w:tmpl w:val="7884EA8A"/>
    <w:lvl w:ilvl="0" w:tplc="717E47F6">
      <w:start w:val="4"/>
      <w:numFmt w:val="bullet"/>
      <w:lvlText w:val=""/>
      <w:lvlJc w:val="left"/>
      <w:pPr>
        <w:ind w:left="720" w:hanging="360"/>
      </w:pPr>
      <w:rPr>
        <w:rFonts w:ascii="Symbol" w:eastAsia="Batang"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B37545E"/>
    <w:multiLevelType w:val="hybridMultilevel"/>
    <w:tmpl w:val="9D4CD234"/>
    <w:lvl w:ilvl="0" w:tplc="9BD4843E">
      <w:start w:val="1"/>
      <w:numFmt w:val="decimal"/>
      <w:lvlText w:val="(%1)"/>
      <w:lvlJc w:val="left"/>
      <w:pPr>
        <w:ind w:left="720" w:hanging="360"/>
      </w:pPr>
      <w:rPr>
        <w:rFonts w:ascii="Times New Roman" w:eastAsiaTheme="minorEastAsia" w:hAnsi="Times New Roman"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B537078"/>
    <w:multiLevelType w:val="hybridMultilevel"/>
    <w:tmpl w:val="DAE883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CDA0DFD"/>
    <w:multiLevelType w:val="hybridMultilevel"/>
    <w:tmpl w:val="8468E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1FF58C6"/>
    <w:multiLevelType w:val="hybridMultilevel"/>
    <w:tmpl w:val="31C22A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4754D86"/>
    <w:multiLevelType w:val="hybridMultilevel"/>
    <w:tmpl w:val="D5B86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8EB6A7F"/>
    <w:multiLevelType w:val="multilevel"/>
    <w:tmpl w:val="AABC74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A023B63"/>
    <w:multiLevelType w:val="hybridMultilevel"/>
    <w:tmpl w:val="F15E28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A095842"/>
    <w:multiLevelType w:val="hybridMultilevel"/>
    <w:tmpl w:val="EEB092A4"/>
    <w:lvl w:ilvl="0" w:tplc="0306466C">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AC87F17"/>
    <w:multiLevelType w:val="hybridMultilevel"/>
    <w:tmpl w:val="43F47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CC9508B"/>
    <w:multiLevelType w:val="hybridMultilevel"/>
    <w:tmpl w:val="55AAB0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F0F0977"/>
    <w:multiLevelType w:val="hybridMultilevel"/>
    <w:tmpl w:val="AF0ABB6E"/>
    <w:lvl w:ilvl="0" w:tplc="9DC2BFB6">
      <w:start w:val="1"/>
      <w:numFmt w:val="upp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F5A46D9"/>
    <w:multiLevelType w:val="hybridMultilevel"/>
    <w:tmpl w:val="5AECA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0904EC5"/>
    <w:multiLevelType w:val="hybridMultilevel"/>
    <w:tmpl w:val="5F9EC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3F74049"/>
    <w:multiLevelType w:val="hybridMultilevel"/>
    <w:tmpl w:val="D37A9E48"/>
    <w:lvl w:ilvl="0" w:tplc="9DC2BFB6">
      <w:start w:val="1"/>
      <w:numFmt w:val="upperLetter"/>
      <w:lvlText w:val="(%1)"/>
      <w:lvlJc w:val="left"/>
      <w:pPr>
        <w:ind w:left="720" w:hanging="360"/>
      </w:pPr>
      <w:rPr>
        <w:rFonts w:hint="default"/>
      </w:rPr>
    </w:lvl>
    <w:lvl w:ilvl="1" w:tplc="F6060B1E">
      <w:start w:val="1"/>
      <w:numFmt w:val="lowerRoman"/>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4990E08"/>
    <w:multiLevelType w:val="hybridMultilevel"/>
    <w:tmpl w:val="7144A6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9E132D7"/>
    <w:multiLevelType w:val="hybridMultilevel"/>
    <w:tmpl w:val="AA40DD10"/>
    <w:lvl w:ilvl="0" w:tplc="9DC2BFB6">
      <w:start w:val="1"/>
      <w:numFmt w:val="upperLetter"/>
      <w:lvlText w:val="(%1)"/>
      <w:lvlJc w:val="left"/>
      <w:pPr>
        <w:ind w:left="720" w:hanging="360"/>
      </w:pPr>
      <w:rPr>
        <w:rFonts w:hint="default"/>
      </w:rPr>
    </w:lvl>
    <w:lvl w:ilvl="1" w:tplc="4E0EC3A8">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B2B2BE4"/>
    <w:multiLevelType w:val="hybridMultilevel"/>
    <w:tmpl w:val="2CAC4738"/>
    <w:lvl w:ilvl="0" w:tplc="FFFFFFFF">
      <w:start w:val="1"/>
      <w:numFmt w:val="upperLetter"/>
      <w:lvlText w:val="(%1)"/>
      <w:lvlJc w:val="left"/>
      <w:pPr>
        <w:ind w:left="720" w:hanging="360"/>
      </w:pPr>
      <w:rPr>
        <w:rFonts w:hint="default"/>
      </w:rPr>
    </w:lvl>
    <w:lvl w:ilvl="1" w:tplc="FFFFFFFF">
      <w:start w:val="1"/>
      <w:numFmt w:val="lowerRoman"/>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0306466C">
      <w:start w:val="1"/>
      <w:numFmt w:val="decimal"/>
      <w:lvlText w:val="(%4)"/>
      <w:lvlJc w:val="left"/>
      <w:pPr>
        <w:ind w:left="3479" w:hanging="360"/>
      </w:pPr>
      <w:rPr>
        <w:rFonts w:hint="default"/>
      </w:rPr>
    </w:lvl>
    <w:lvl w:ilvl="4" w:tplc="FFFFFFFF">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73CC39E8"/>
    <w:multiLevelType w:val="hybridMultilevel"/>
    <w:tmpl w:val="604C9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4FB219A"/>
    <w:multiLevelType w:val="hybridMultilevel"/>
    <w:tmpl w:val="8C0E7EF2"/>
    <w:lvl w:ilvl="0" w:tplc="9DC2BFB6">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75EF28EE"/>
    <w:multiLevelType w:val="hybridMultilevel"/>
    <w:tmpl w:val="7DB610BE"/>
    <w:lvl w:ilvl="0" w:tplc="30AA700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64A3A40"/>
    <w:multiLevelType w:val="hybridMultilevel"/>
    <w:tmpl w:val="CAD8466E"/>
    <w:lvl w:ilvl="0" w:tplc="C174FB08">
      <w:start w:val="1"/>
      <w:numFmt w:val="bullet"/>
      <w:lvlText w:val=""/>
      <w:lvlJc w:val="left"/>
      <w:pPr>
        <w:ind w:left="78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6AD0F50"/>
    <w:multiLevelType w:val="hybridMultilevel"/>
    <w:tmpl w:val="C1C09264"/>
    <w:lvl w:ilvl="0" w:tplc="706A1666">
      <w:numFmt w:val="bullet"/>
      <w:lvlText w:val=""/>
      <w:lvlJc w:val="left"/>
      <w:pPr>
        <w:ind w:left="720" w:hanging="360"/>
      </w:pPr>
      <w:rPr>
        <w:rFonts w:ascii="Symbol" w:eastAsiaTheme="minorEastAsia"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8855C73"/>
    <w:multiLevelType w:val="hybridMultilevel"/>
    <w:tmpl w:val="E820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BE01914"/>
    <w:multiLevelType w:val="hybridMultilevel"/>
    <w:tmpl w:val="95D0BB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C5C2B15"/>
    <w:multiLevelType w:val="hybridMultilevel"/>
    <w:tmpl w:val="225EE3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CC57483"/>
    <w:multiLevelType w:val="hybridMultilevel"/>
    <w:tmpl w:val="5D02A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D0E48E5"/>
    <w:multiLevelType w:val="hybridMultilevel"/>
    <w:tmpl w:val="3496E9E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1315188">
    <w:abstractNumId w:val="47"/>
  </w:num>
  <w:num w:numId="2" w16cid:durableId="555967580">
    <w:abstractNumId w:val="6"/>
  </w:num>
  <w:num w:numId="3" w16cid:durableId="447116869">
    <w:abstractNumId w:val="63"/>
  </w:num>
  <w:num w:numId="4" w16cid:durableId="1762141626">
    <w:abstractNumId w:val="11"/>
  </w:num>
  <w:num w:numId="5" w16cid:durableId="1436248646">
    <w:abstractNumId w:val="55"/>
  </w:num>
  <w:num w:numId="6" w16cid:durableId="1469279685">
    <w:abstractNumId w:val="13"/>
  </w:num>
  <w:num w:numId="7" w16cid:durableId="1611626500">
    <w:abstractNumId w:val="24"/>
  </w:num>
  <w:num w:numId="8" w16cid:durableId="2077318749">
    <w:abstractNumId w:val="2"/>
  </w:num>
  <w:num w:numId="9" w16cid:durableId="1226454152">
    <w:abstractNumId w:val="10"/>
  </w:num>
  <w:num w:numId="10" w16cid:durableId="1218391368">
    <w:abstractNumId w:val="20"/>
  </w:num>
  <w:num w:numId="11" w16cid:durableId="1624653693">
    <w:abstractNumId w:val="1"/>
  </w:num>
  <w:num w:numId="12" w16cid:durableId="1111896842">
    <w:abstractNumId w:val="50"/>
  </w:num>
  <w:num w:numId="13" w16cid:durableId="683938459">
    <w:abstractNumId w:val="29"/>
  </w:num>
  <w:num w:numId="14" w16cid:durableId="604656337">
    <w:abstractNumId w:val="49"/>
  </w:num>
  <w:num w:numId="15" w16cid:durableId="1089542800">
    <w:abstractNumId w:val="34"/>
  </w:num>
  <w:num w:numId="16" w16cid:durableId="986011465">
    <w:abstractNumId w:val="12"/>
  </w:num>
  <w:num w:numId="17" w16cid:durableId="1846169209">
    <w:abstractNumId w:val="40"/>
  </w:num>
  <w:num w:numId="18" w16cid:durableId="930510988">
    <w:abstractNumId w:val="61"/>
  </w:num>
  <w:num w:numId="19" w16cid:durableId="203178740">
    <w:abstractNumId w:val="66"/>
  </w:num>
  <w:num w:numId="20" w16cid:durableId="1354571829">
    <w:abstractNumId w:val="60"/>
  </w:num>
  <w:num w:numId="21" w16cid:durableId="979575134">
    <w:abstractNumId w:val="27"/>
  </w:num>
  <w:num w:numId="22" w16cid:durableId="266471240">
    <w:abstractNumId w:val="45"/>
  </w:num>
  <w:num w:numId="23" w16cid:durableId="1919635748">
    <w:abstractNumId w:val="59"/>
  </w:num>
  <w:num w:numId="24" w16cid:durableId="1759791445">
    <w:abstractNumId w:val="21"/>
  </w:num>
  <w:num w:numId="25" w16cid:durableId="1048577832">
    <w:abstractNumId w:val="39"/>
  </w:num>
  <w:num w:numId="26" w16cid:durableId="2050375339">
    <w:abstractNumId w:val="30"/>
  </w:num>
  <w:num w:numId="27" w16cid:durableId="216361721">
    <w:abstractNumId w:val="53"/>
  </w:num>
  <w:num w:numId="28" w16cid:durableId="1152330341">
    <w:abstractNumId w:val="36"/>
  </w:num>
  <w:num w:numId="29" w16cid:durableId="781339996">
    <w:abstractNumId w:val="35"/>
  </w:num>
  <w:num w:numId="30" w16cid:durableId="1125736817">
    <w:abstractNumId w:val="26"/>
  </w:num>
  <w:num w:numId="31" w16cid:durableId="1783303195">
    <w:abstractNumId w:val="54"/>
  </w:num>
  <w:num w:numId="32" w16cid:durableId="1029138194">
    <w:abstractNumId w:val="4"/>
  </w:num>
  <w:num w:numId="33" w16cid:durableId="1061295323">
    <w:abstractNumId w:val="43"/>
  </w:num>
  <w:num w:numId="34" w16cid:durableId="634067088">
    <w:abstractNumId w:val="17"/>
  </w:num>
  <w:num w:numId="35" w16cid:durableId="1810197409">
    <w:abstractNumId w:val="25"/>
  </w:num>
  <w:num w:numId="36" w16cid:durableId="1845703162">
    <w:abstractNumId w:val="22"/>
  </w:num>
  <w:num w:numId="37" w16cid:durableId="459228092">
    <w:abstractNumId w:val="3"/>
  </w:num>
  <w:num w:numId="38" w16cid:durableId="1492915041">
    <w:abstractNumId w:val="46"/>
  </w:num>
  <w:num w:numId="39" w16cid:durableId="1055858456">
    <w:abstractNumId w:val="31"/>
  </w:num>
  <w:num w:numId="40" w16cid:durableId="472215570">
    <w:abstractNumId w:val="41"/>
  </w:num>
  <w:num w:numId="41" w16cid:durableId="416440895">
    <w:abstractNumId w:val="64"/>
  </w:num>
  <w:num w:numId="42" w16cid:durableId="1544443258">
    <w:abstractNumId w:val="15"/>
  </w:num>
  <w:num w:numId="43" w16cid:durableId="342629271">
    <w:abstractNumId w:val="16"/>
  </w:num>
  <w:num w:numId="44" w16cid:durableId="1685207645">
    <w:abstractNumId w:val="32"/>
  </w:num>
  <w:num w:numId="45" w16cid:durableId="1380864969">
    <w:abstractNumId w:val="48"/>
  </w:num>
  <w:num w:numId="46" w16cid:durableId="1466237051">
    <w:abstractNumId w:val="44"/>
  </w:num>
  <w:num w:numId="47" w16cid:durableId="1126511476">
    <w:abstractNumId w:val="23"/>
  </w:num>
  <w:num w:numId="48" w16cid:durableId="183177756">
    <w:abstractNumId w:val="19"/>
  </w:num>
  <w:num w:numId="49" w16cid:durableId="1527399963">
    <w:abstractNumId w:val="62"/>
  </w:num>
  <w:num w:numId="50" w16cid:durableId="1809519135">
    <w:abstractNumId w:val="51"/>
  </w:num>
  <w:num w:numId="51" w16cid:durableId="1317606441">
    <w:abstractNumId w:val="9"/>
  </w:num>
  <w:num w:numId="52" w16cid:durableId="1257133848">
    <w:abstractNumId w:val="7"/>
  </w:num>
  <w:num w:numId="53" w16cid:durableId="869606324">
    <w:abstractNumId w:val="42"/>
  </w:num>
  <w:num w:numId="54" w16cid:durableId="1129662839">
    <w:abstractNumId w:val="37"/>
  </w:num>
  <w:num w:numId="55" w16cid:durableId="2019573290">
    <w:abstractNumId w:val="0"/>
  </w:num>
  <w:num w:numId="56" w16cid:durableId="1786381892">
    <w:abstractNumId w:val="65"/>
  </w:num>
  <w:num w:numId="57" w16cid:durableId="1116145395">
    <w:abstractNumId w:val="38"/>
  </w:num>
  <w:num w:numId="58" w16cid:durableId="1596865001">
    <w:abstractNumId w:val="52"/>
  </w:num>
  <w:num w:numId="59" w16cid:durableId="94447440">
    <w:abstractNumId w:val="57"/>
  </w:num>
  <w:num w:numId="60" w16cid:durableId="2097053253">
    <w:abstractNumId w:val="14"/>
  </w:num>
  <w:num w:numId="61" w16cid:durableId="1736245485">
    <w:abstractNumId w:val="33"/>
  </w:num>
  <w:num w:numId="62" w16cid:durableId="1608006620">
    <w:abstractNumId w:val="5"/>
  </w:num>
  <w:num w:numId="63" w16cid:durableId="1504514862">
    <w:abstractNumId w:val="18"/>
  </w:num>
  <w:num w:numId="64" w16cid:durableId="1996294078">
    <w:abstractNumId w:val="8"/>
  </w:num>
  <w:num w:numId="65" w16cid:durableId="2133985115">
    <w:abstractNumId w:val="58"/>
  </w:num>
  <w:num w:numId="66" w16cid:durableId="874317190">
    <w:abstractNumId w:val="28"/>
  </w:num>
  <w:num w:numId="67" w16cid:durableId="1003319026">
    <w:abstractNumId w:val="5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LoS&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dtrdw9aepptzbefsat599syza29sxsd2wsp&quot;&gt;PhD Bibliography (22.2.4)&lt;record-ids&gt;&lt;item&gt;1&lt;/item&gt;&lt;item&gt;2&lt;/item&gt;&lt;item&gt;3&lt;/item&gt;&lt;item&gt;4&lt;/item&gt;&lt;item&gt;6&lt;/item&gt;&lt;item&gt;7&lt;/item&gt;&lt;item&gt;8&lt;/item&gt;&lt;item&gt;10&lt;/item&gt;&lt;item&gt;11&lt;/item&gt;&lt;item&gt;12&lt;/item&gt;&lt;item&gt;13&lt;/item&gt;&lt;item&gt;14&lt;/item&gt;&lt;item&gt;20&lt;/item&gt;&lt;item&gt;23&lt;/item&gt;&lt;item&gt;24&lt;/item&gt;&lt;item&gt;25&lt;/item&gt;&lt;item&gt;26&lt;/item&gt;&lt;item&gt;27&lt;/item&gt;&lt;item&gt;29&lt;/item&gt;&lt;item&gt;30&lt;/item&gt;&lt;item&gt;31&lt;/item&gt;&lt;item&gt;32&lt;/item&gt;&lt;item&gt;33&lt;/item&gt;&lt;item&gt;34&lt;/item&gt;&lt;item&gt;36&lt;/item&gt;&lt;item&gt;37&lt;/item&gt;&lt;item&gt;46&lt;/item&gt;&lt;item&gt;48&lt;/item&gt;&lt;item&gt;52&lt;/item&gt;&lt;item&gt;53&lt;/item&gt;&lt;item&gt;59&lt;/item&gt;&lt;item&gt;69&lt;/item&gt;&lt;item&gt;78&lt;/item&gt;&lt;item&gt;79&lt;/item&gt;&lt;item&gt;80&lt;/item&gt;&lt;item&gt;86&lt;/item&gt;&lt;item&gt;90&lt;/item&gt;&lt;item&gt;92&lt;/item&gt;&lt;item&gt;93&lt;/item&gt;&lt;item&gt;94&lt;/item&gt;&lt;item&gt;95&lt;/item&gt;&lt;item&gt;100&lt;/item&gt;&lt;item&gt;110&lt;/item&gt;&lt;item&gt;111&lt;/item&gt;&lt;item&gt;112&lt;/item&gt;&lt;item&gt;116&lt;/item&gt;&lt;item&gt;118&lt;/item&gt;&lt;item&gt;120&lt;/item&gt;&lt;item&gt;123&lt;/item&gt;&lt;item&gt;124&lt;/item&gt;&lt;item&gt;125&lt;/item&gt;&lt;item&gt;126&lt;/item&gt;&lt;item&gt;127&lt;/item&gt;&lt;item&gt;134&lt;/item&gt;&lt;item&gt;135&lt;/item&gt;&lt;item&gt;136&lt;/item&gt;&lt;item&gt;137&lt;/item&gt;&lt;item&gt;138&lt;/item&gt;&lt;item&gt;140&lt;/item&gt;&lt;item&gt;141&lt;/item&gt;&lt;item&gt;142&lt;/item&gt;&lt;item&gt;146&lt;/item&gt;&lt;item&gt;147&lt;/item&gt;&lt;item&gt;149&lt;/item&gt;&lt;item&gt;150&lt;/item&gt;&lt;item&gt;154&lt;/item&gt;&lt;item&gt;155&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8&lt;/item&gt;&lt;item&gt;182&lt;/item&gt;&lt;item&gt;184&lt;/item&gt;&lt;item&gt;185&lt;/item&gt;&lt;item&gt;189&lt;/item&gt;&lt;item&gt;190&lt;/item&gt;&lt;item&gt;192&lt;/item&gt;&lt;item&gt;194&lt;/item&gt;&lt;item&gt;197&lt;/item&gt;&lt;item&gt;198&lt;/item&gt;&lt;item&gt;199&lt;/item&gt;&lt;item&gt;200&lt;/item&gt;&lt;item&gt;202&lt;/item&gt;&lt;item&gt;203&lt;/item&gt;&lt;item&gt;205&lt;/item&gt;&lt;item&gt;208&lt;/item&gt;&lt;item&gt;209&lt;/item&gt;&lt;item&gt;211&lt;/item&gt;&lt;item&gt;212&lt;/item&gt;&lt;item&gt;213&lt;/item&gt;&lt;item&gt;217&lt;/item&gt;&lt;item&gt;218&lt;/item&gt;&lt;item&gt;221&lt;/item&gt;&lt;item&gt;222&lt;/item&gt;&lt;item&gt;223&lt;/item&gt;&lt;item&gt;227&lt;/item&gt;&lt;item&gt;229&lt;/item&gt;&lt;item&gt;230&lt;/item&gt;&lt;item&gt;231&lt;/item&gt;&lt;item&gt;232&lt;/item&gt;&lt;item&gt;237&lt;/item&gt;&lt;item&gt;240&lt;/item&gt;&lt;item&gt;241&lt;/item&gt;&lt;item&gt;242&lt;/item&gt;&lt;item&gt;243&lt;/item&gt;&lt;item&gt;245&lt;/item&gt;&lt;item&gt;246&lt;/item&gt;&lt;item&gt;247&lt;/item&gt;&lt;item&gt;248&lt;/item&gt;&lt;item&gt;249&lt;/item&gt;&lt;item&gt;250&lt;/item&gt;&lt;item&gt;253&lt;/item&gt;&lt;item&gt;254&lt;/item&gt;&lt;item&gt;255&lt;/item&gt;&lt;item&gt;256&lt;/item&gt;&lt;item&gt;257&lt;/item&gt;&lt;item&gt;258&lt;/item&gt;&lt;item&gt;259&lt;/item&gt;&lt;item&gt;261&lt;/item&gt;&lt;item&gt;263&lt;/item&gt;&lt;item&gt;265&lt;/item&gt;&lt;item&gt;268&lt;/item&gt;&lt;item&gt;269&lt;/item&gt;&lt;item&gt;270&lt;/item&gt;&lt;item&gt;271&lt;/item&gt;&lt;item&gt;272&lt;/item&gt;&lt;item&gt;273&lt;/item&gt;&lt;item&gt;274&lt;/item&gt;&lt;item&gt;277&lt;/item&gt;&lt;item&gt;278&lt;/item&gt;&lt;item&gt;279&lt;/item&gt;&lt;item&gt;280&lt;/item&gt;&lt;item&gt;281&lt;/item&gt;&lt;item&gt;282&lt;/item&gt;&lt;item&gt;283&lt;/item&gt;&lt;item&gt;284&lt;/item&gt;&lt;item&gt;285&lt;/item&gt;&lt;item&gt;286&lt;/item&gt;&lt;item&gt;287&lt;/item&gt;&lt;item&gt;288&lt;/item&gt;&lt;item&gt;290&lt;/item&gt;&lt;item&gt;291&lt;/item&gt;&lt;item&gt;292&lt;/item&gt;&lt;item&gt;294&lt;/item&gt;&lt;item&gt;295&lt;/item&gt;&lt;item&gt;296&lt;/item&gt;&lt;item&gt;297&lt;/item&gt;&lt;item&gt;298&lt;/item&gt;&lt;item&gt;299&lt;/item&gt;&lt;item&gt;305&lt;/item&gt;&lt;item&gt;308&lt;/item&gt;&lt;item&gt;309&lt;/item&gt;&lt;item&gt;310&lt;/item&gt;&lt;item&gt;312&lt;/item&gt;&lt;item&gt;313&lt;/item&gt;&lt;item&gt;314&lt;/item&gt;&lt;item&gt;315&lt;/item&gt;&lt;item&gt;316&lt;/item&gt;&lt;item&gt;318&lt;/item&gt;&lt;item&gt;322&lt;/item&gt;&lt;item&gt;323&lt;/item&gt;&lt;item&gt;328&lt;/item&gt;&lt;item&gt;329&lt;/item&gt;&lt;item&gt;331&lt;/item&gt;&lt;item&gt;342&lt;/item&gt;&lt;item&gt;343&lt;/item&gt;&lt;item&gt;344&lt;/item&gt;&lt;item&gt;345&lt;/item&gt;&lt;item&gt;346&lt;/item&gt;&lt;item&gt;347&lt;/item&gt;&lt;item&gt;348&lt;/item&gt;&lt;item&gt;349&lt;/item&gt;&lt;item&gt;350&lt;/item&gt;&lt;item&gt;351&lt;/item&gt;&lt;item&gt;352&lt;/item&gt;&lt;item&gt;353&lt;/item&gt;&lt;item&gt;354&lt;/item&gt;&lt;item&gt;356&lt;/item&gt;&lt;item&gt;357&lt;/item&gt;&lt;item&gt;358&lt;/item&gt;&lt;item&gt;359&lt;/item&gt;&lt;item&gt;360&lt;/item&gt;&lt;item&gt;361&lt;/item&gt;&lt;item&gt;363&lt;/item&gt;&lt;item&gt;364&lt;/item&gt;&lt;item&gt;365&lt;/item&gt;&lt;item&gt;366&lt;/item&gt;&lt;item&gt;367&lt;/item&gt;&lt;item&gt;368&lt;/item&gt;&lt;item&gt;369&lt;/item&gt;&lt;item&gt;370&lt;/item&gt;&lt;item&gt;373&lt;/item&gt;&lt;item&gt;374&lt;/item&gt;&lt;item&gt;375&lt;/item&gt;&lt;item&gt;376&lt;/item&gt;&lt;item&gt;377&lt;/item&gt;&lt;item&gt;381&lt;/item&gt;&lt;item&gt;383&lt;/item&gt;&lt;item&gt;390&lt;/item&gt;&lt;item&gt;391&lt;/item&gt;&lt;item&gt;392&lt;/item&gt;&lt;item&gt;395&lt;/item&gt;&lt;item&gt;397&lt;/item&gt;&lt;item&gt;399&lt;/item&gt;&lt;item&gt;400&lt;/item&gt;&lt;item&gt;401&lt;/item&gt;&lt;item&gt;403&lt;/item&gt;&lt;item&gt;404&lt;/item&gt;&lt;item&gt;407&lt;/item&gt;&lt;item&gt;411&lt;/item&gt;&lt;item&gt;412&lt;/item&gt;&lt;item&gt;413&lt;/item&gt;&lt;item&gt;415&lt;/item&gt;&lt;item&gt;416&lt;/item&gt;&lt;item&gt;417&lt;/item&gt;&lt;item&gt;418&lt;/item&gt;&lt;item&gt;419&lt;/item&gt;&lt;item&gt;420&lt;/item&gt;&lt;item&gt;421&lt;/item&gt;&lt;item&gt;422&lt;/item&gt;&lt;item&gt;423&lt;/item&gt;&lt;item&gt;424&lt;/item&gt;&lt;item&gt;425&lt;/item&gt;&lt;item&gt;426&lt;/item&gt;&lt;item&gt;427&lt;/item&gt;&lt;item&gt;428&lt;/item&gt;&lt;item&gt;429&lt;/item&gt;&lt;item&gt;430&lt;/item&gt;&lt;item&gt;431&lt;/item&gt;&lt;item&gt;432&lt;/item&gt;&lt;item&gt;433&lt;/item&gt;&lt;item&gt;434&lt;/item&gt;&lt;item&gt;435&lt;/item&gt;&lt;item&gt;436&lt;/item&gt;&lt;item&gt;437&lt;/item&gt;&lt;item&gt;438&lt;/item&gt;&lt;item&gt;439&lt;/item&gt;&lt;item&gt;440&lt;/item&gt;&lt;item&gt;441&lt;/item&gt;&lt;item&gt;442&lt;/item&gt;&lt;item&gt;443&lt;/item&gt;&lt;item&gt;444&lt;/item&gt;&lt;item&gt;445&lt;/item&gt;&lt;item&gt;446&lt;/item&gt;&lt;item&gt;447&lt;/item&gt;&lt;item&gt;448&lt;/item&gt;&lt;item&gt;449&lt;/item&gt;&lt;item&gt;450&lt;/item&gt;&lt;item&gt;451&lt;/item&gt;&lt;item&gt;452&lt;/item&gt;&lt;item&gt;453&lt;/item&gt;&lt;item&gt;454&lt;/item&gt;&lt;item&gt;455&lt;/item&gt;&lt;item&gt;457&lt;/item&gt;&lt;item&gt;458&lt;/item&gt;&lt;item&gt;459&lt;/item&gt;&lt;item&gt;460&lt;/item&gt;&lt;item&gt;461&lt;/item&gt;&lt;item&gt;462&lt;/item&gt;&lt;item&gt;464&lt;/item&gt;&lt;item&gt;466&lt;/item&gt;&lt;item&gt;467&lt;/item&gt;&lt;item&gt;469&lt;/item&gt;&lt;item&gt;470&lt;/item&gt;&lt;item&gt;471&lt;/item&gt;&lt;item&gt;472&lt;/item&gt;&lt;item&gt;473&lt;/item&gt;&lt;item&gt;474&lt;/item&gt;&lt;item&gt;475&lt;/item&gt;&lt;item&gt;476&lt;/item&gt;&lt;item&gt;478&lt;/item&gt;&lt;item&gt;480&lt;/item&gt;&lt;item&gt;481&lt;/item&gt;&lt;item&gt;482&lt;/item&gt;&lt;item&gt;483&lt;/item&gt;&lt;item&gt;484&lt;/item&gt;&lt;item&gt;485&lt;/item&gt;&lt;item&gt;486&lt;/item&gt;&lt;item&gt;487&lt;/item&gt;&lt;item&gt;488&lt;/item&gt;&lt;item&gt;490&lt;/item&gt;&lt;item&gt;491&lt;/item&gt;&lt;item&gt;493&lt;/item&gt;&lt;item&gt;494&lt;/item&gt;&lt;item&gt;495&lt;/item&gt;&lt;item&gt;496&lt;/item&gt;&lt;item&gt;497&lt;/item&gt;&lt;item&gt;498&lt;/item&gt;&lt;item&gt;499&lt;/item&gt;&lt;item&gt;500&lt;/item&gt;&lt;item&gt;501&lt;/item&gt;&lt;item&gt;502&lt;/item&gt;&lt;item&gt;505&lt;/item&gt;&lt;item&gt;506&lt;/item&gt;&lt;item&gt;507&lt;/item&gt;&lt;item&gt;508&lt;/item&gt;&lt;item&gt;509&lt;/item&gt;&lt;item&gt;510&lt;/item&gt;&lt;item&gt;511&lt;/item&gt;&lt;item&gt;512&lt;/item&gt;&lt;item&gt;513&lt;/item&gt;&lt;item&gt;514&lt;/item&gt;&lt;item&gt;515&lt;/item&gt;&lt;item&gt;516&lt;/item&gt;&lt;item&gt;517&lt;/item&gt;&lt;item&gt;518&lt;/item&gt;&lt;item&gt;519&lt;/item&gt;&lt;item&gt;520&lt;/item&gt;&lt;item&gt;521&lt;/item&gt;&lt;item&gt;522&lt;/item&gt;&lt;item&gt;523&lt;/item&gt;&lt;item&gt;524&lt;/item&gt;&lt;item&gt;526&lt;/item&gt;&lt;item&gt;527&lt;/item&gt;&lt;item&gt;528&lt;/item&gt;&lt;item&gt;529&lt;/item&gt;&lt;item&gt;530&lt;/item&gt;&lt;item&gt;531&lt;/item&gt;&lt;item&gt;532&lt;/item&gt;&lt;item&gt;533&lt;/item&gt;&lt;item&gt;534&lt;/item&gt;&lt;item&gt;535&lt;/item&gt;&lt;item&gt;536&lt;/item&gt;&lt;item&gt;537&lt;/item&gt;&lt;item&gt;538&lt;/item&gt;&lt;item&gt;539&lt;/item&gt;&lt;item&gt;541&lt;/item&gt;&lt;item&gt;542&lt;/item&gt;&lt;item&gt;543&lt;/item&gt;&lt;item&gt;544&lt;/item&gt;&lt;item&gt;545&lt;/item&gt;&lt;item&gt;546&lt;/item&gt;&lt;item&gt;547&lt;/item&gt;&lt;item&gt;548&lt;/item&gt;&lt;item&gt;549&lt;/item&gt;&lt;item&gt;550&lt;/item&gt;&lt;item&gt;551&lt;/item&gt;&lt;item&gt;552&lt;/item&gt;&lt;item&gt;553&lt;/item&gt;&lt;item&gt;554&lt;/item&gt;&lt;item&gt;555&lt;/item&gt;&lt;item&gt;557&lt;/item&gt;&lt;item&gt;558&lt;/item&gt;&lt;item&gt;559&lt;/item&gt;&lt;item&gt;560&lt;/item&gt;&lt;item&gt;561&lt;/item&gt;&lt;item&gt;562&lt;/item&gt;&lt;item&gt;566&lt;/item&gt;&lt;item&gt;569&lt;/item&gt;&lt;item&gt;570&lt;/item&gt;&lt;item&gt;573&lt;/item&gt;&lt;item&gt;577&lt;/item&gt;&lt;item&gt;578&lt;/item&gt;&lt;item&gt;579&lt;/item&gt;&lt;item&gt;582&lt;/item&gt;&lt;item&gt;584&lt;/item&gt;&lt;item&gt;585&lt;/item&gt;&lt;item&gt;586&lt;/item&gt;&lt;item&gt;590&lt;/item&gt;&lt;item&gt;594&lt;/item&gt;&lt;item&gt;623&lt;/item&gt;&lt;item&gt;634&lt;/item&gt;&lt;item&gt;658&lt;/item&gt;&lt;item&gt;659&lt;/item&gt;&lt;item&gt;660&lt;/item&gt;&lt;item&gt;661&lt;/item&gt;&lt;item&gt;663&lt;/item&gt;&lt;item&gt;664&lt;/item&gt;&lt;item&gt;665&lt;/item&gt;&lt;item&gt;668&lt;/item&gt;&lt;item&gt;669&lt;/item&gt;&lt;item&gt;670&lt;/item&gt;&lt;item&gt;671&lt;/item&gt;&lt;item&gt;672&lt;/item&gt;&lt;item&gt;674&lt;/item&gt;&lt;item&gt;675&lt;/item&gt;&lt;item&gt;680&lt;/item&gt;&lt;item&gt;681&lt;/item&gt;&lt;item&gt;682&lt;/item&gt;&lt;item&gt;684&lt;/item&gt;&lt;item&gt;685&lt;/item&gt;&lt;item&gt;686&lt;/item&gt;&lt;item&gt;688&lt;/item&gt;&lt;item&gt;689&lt;/item&gt;&lt;item&gt;690&lt;/item&gt;&lt;item&gt;691&lt;/item&gt;&lt;item&gt;692&lt;/item&gt;&lt;item&gt;693&lt;/item&gt;&lt;item&gt;694&lt;/item&gt;&lt;item&gt;695&lt;/item&gt;&lt;item&gt;698&lt;/item&gt;&lt;item&gt;699&lt;/item&gt;&lt;item&gt;700&lt;/item&gt;&lt;item&gt;701&lt;/item&gt;&lt;item&gt;702&lt;/item&gt;&lt;item&gt;703&lt;/item&gt;&lt;item&gt;735&lt;/item&gt;&lt;item&gt;737&lt;/item&gt;&lt;item&gt;738&lt;/item&gt;&lt;item&gt;739&lt;/item&gt;&lt;item&gt;740&lt;/item&gt;&lt;item&gt;741&lt;/item&gt;&lt;item&gt;742&lt;/item&gt;&lt;item&gt;743&lt;/item&gt;&lt;item&gt;744&lt;/item&gt;&lt;item&gt;745&lt;/item&gt;&lt;item&gt;746&lt;/item&gt;&lt;item&gt;747&lt;/item&gt;&lt;item&gt;748&lt;/item&gt;&lt;item&gt;749&lt;/item&gt;&lt;item&gt;750&lt;/item&gt;&lt;item&gt;751&lt;/item&gt;&lt;item&gt;752&lt;/item&gt;&lt;item&gt;753&lt;/item&gt;&lt;item&gt;754&lt;/item&gt;&lt;item&gt;755&lt;/item&gt;&lt;item&gt;756&lt;/item&gt;&lt;item&gt;757&lt;/item&gt;&lt;item&gt;758&lt;/item&gt;&lt;item&gt;759&lt;/item&gt;&lt;item&gt;760&lt;/item&gt;&lt;item&gt;761&lt;/item&gt;&lt;item&gt;762&lt;/item&gt;&lt;item&gt;763&lt;/item&gt;&lt;item&gt;764&lt;/item&gt;&lt;item&gt;765&lt;/item&gt;&lt;item&gt;766&lt;/item&gt;&lt;item&gt;767&lt;/item&gt;&lt;item&gt;768&lt;/item&gt;&lt;item&gt;769&lt;/item&gt;&lt;item&gt;770&lt;/item&gt;&lt;item&gt;772&lt;/item&gt;&lt;item&gt;773&lt;/item&gt;&lt;item&gt;776&lt;/item&gt;&lt;item&gt;777&lt;/item&gt;&lt;item&gt;778&lt;/item&gt;&lt;item&gt;779&lt;/item&gt;&lt;item&gt;781&lt;/item&gt;&lt;item&gt;783&lt;/item&gt;&lt;item&gt;785&lt;/item&gt;&lt;item&gt;786&lt;/item&gt;&lt;item&gt;787&lt;/item&gt;&lt;item&gt;788&lt;/item&gt;&lt;item&gt;789&lt;/item&gt;&lt;item&gt;790&lt;/item&gt;&lt;item&gt;792&lt;/item&gt;&lt;item&gt;793&lt;/item&gt;&lt;item&gt;794&lt;/item&gt;&lt;item&gt;795&lt;/item&gt;&lt;item&gt;796&lt;/item&gt;&lt;item&gt;797&lt;/item&gt;&lt;item&gt;802&lt;/item&gt;&lt;item&gt;803&lt;/item&gt;&lt;item&gt;804&lt;/item&gt;&lt;item&gt;805&lt;/item&gt;&lt;item&gt;808&lt;/item&gt;&lt;item&gt;809&lt;/item&gt;&lt;/record-ids&gt;&lt;/item&gt;&lt;/Libraries&gt;"/>
  </w:docVars>
  <w:rsids>
    <w:rsidRoot w:val="00BB245E"/>
    <w:rsid w:val="00000041"/>
    <w:rsid w:val="000001B8"/>
    <w:rsid w:val="00000545"/>
    <w:rsid w:val="0000057F"/>
    <w:rsid w:val="00000739"/>
    <w:rsid w:val="0000073B"/>
    <w:rsid w:val="00000800"/>
    <w:rsid w:val="00000FD0"/>
    <w:rsid w:val="00001114"/>
    <w:rsid w:val="000012C7"/>
    <w:rsid w:val="000015CE"/>
    <w:rsid w:val="000019E2"/>
    <w:rsid w:val="00001CA5"/>
    <w:rsid w:val="00001D38"/>
    <w:rsid w:val="00001DBB"/>
    <w:rsid w:val="00001DBE"/>
    <w:rsid w:val="00001DC3"/>
    <w:rsid w:val="0000212D"/>
    <w:rsid w:val="000023F6"/>
    <w:rsid w:val="000024E0"/>
    <w:rsid w:val="0000264A"/>
    <w:rsid w:val="00002987"/>
    <w:rsid w:val="00002A96"/>
    <w:rsid w:val="00002AE0"/>
    <w:rsid w:val="00002AEE"/>
    <w:rsid w:val="00002CAD"/>
    <w:rsid w:val="00003141"/>
    <w:rsid w:val="0000329B"/>
    <w:rsid w:val="000032DC"/>
    <w:rsid w:val="00003343"/>
    <w:rsid w:val="00003363"/>
    <w:rsid w:val="000037C8"/>
    <w:rsid w:val="000038D3"/>
    <w:rsid w:val="000038FF"/>
    <w:rsid w:val="00003BA0"/>
    <w:rsid w:val="00003DAD"/>
    <w:rsid w:val="00003E12"/>
    <w:rsid w:val="00003E23"/>
    <w:rsid w:val="00004347"/>
    <w:rsid w:val="00004498"/>
    <w:rsid w:val="0000456E"/>
    <w:rsid w:val="0000463C"/>
    <w:rsid w:val="00004A2F"/>
    <w:rsid w:val="00004AE8"/>
    <w:rsid w:val="0000529D"/>
    <w:rsid w:val="00005320"/>
    <w:rsid w:val="0000552D"/>
    <w:rsid w:val="00005640"/>
    <w:rsid w:val="0000569A"/>
    <w:rsid w:val="00005798"/>
    <w:rsid w:val="00005896"/>
    <w:rsid w:val="00005CA7"/>
    <w:rsid w:val="00005FB6"/>
    <w:rsid w:val="000061ED"/>
    <w:rsid w:val="00006366"/>
    <w:rsid w:val="000063BD"/>
    <w:rsid w:val="000066CD"/>
    <w:rsid w:val="000066D9"/>
    <w:rsid w:val="00006F49"/>
    <w:rsid w:val="00007232"/>
    <w:rsid w:val="00007371"/>
    <w:rsid w:val="000075B5"/>
    <w:rsid w:val="0000764A"/>
    <w:rsid w:val="00007706"/>
    <w:rsid w:val="00007DA6"/>
    <w:rsid w:val="00010133"/>
    <w:rsid w:val="000103D2"/>
    <w:rsid w:val="000103E2"/>
    <w:rsid w:val="00010783"/>
    <w:rsid w:val="00010B3B"/>
    <w:rsid w:val="00010D1C"/>
    <w:rsid w:val="00011084"/>
    <w:rsid w:val="000110AB"/>
    <w:rsid w:val="00011621"/>
    <w:rsid w:val="0001192E"/>
    <w:rsid w:val="00011BA4"/>
    <w:rsid w:val="00011E1A"/>
    <w:rsid w:val="00011E48"/>
    <w:rsid w:val="00011FB9"/>
    <w:rsid w:val="00012446"/>
    <w:rsid w:val="0001264B"/>
    <w:rsid w:val="00012937"/>
    <w:rsid w:val="00012AFA"/>
    <w:rsid w:val="00012D7F"/>
    <w:rsid w:val="00012F1E"/>
    <w:rsid w:val="00012FA7"/>
    <w:rsid w:val="0001367D"/>
    <w:rsid w:val="00013911"/>
    <w:rsid w:val="00013B41"/>
    <w:rsid w:val="00013C77"/>
    <w:rsid w:val="00013CA6"/>
    <w:rsid w:val="00013D28"/>
    <w:rsid w:val="00013E5E"/>
    <w:rsid w:val="00013E64"/>
    <w:rsid w:val="00013FEC"/>
    <w:rsid w:val="000140CF"/>
    <w:rsid w:val="00014355"/>
    <w:rsid w:val="00014614"/>
    <w:rsid w:val="00014656"/>
    <w:rsid w:val="00014902"/>
    <w:rsid w:val="000150C8"/>
    <w:rsid w:val="000152F0"/>
    <w:rsid w:val="0001558D"/>
    <w:rsid w:val="00015774"/>
    <w:rsid w:val="00015971"/>
    <w:rsid w:val="00015A89"/>
    <w:rsid w:val="00015AB8"/>
    <w:rsid w:val="00015AE0"/>
    <w:rsid w:val="00015F8B"/>
    <w:rsid w:val="0001600F"/>
    <w:rsid w:val="000160D7"/>
    <w:rsid w:val="00016541"/>
    <w:rsid w:val="00016707"/>
    <w:rsid w:val="00016737"/>
    <w:rsid w:val="000167AC"/>
    <w:rsid w:val="00016E4C"/>
    <w:rsid w:val="00016EDE"/>
    <w:rsid w:val="00016FF9"/>
    <w:rsid w:val="000177CA"/>
    <w:rsid w:val="00017B36"/>
    <w:rsid w:val="00017B40"/>
    <w:rsid w:val="00017B78"/>
    <w:rsid w:val="00017BBD"/>
    <w:rsid w:val="00017C16"/>
    <w:rsid w:val="00017DD0"/>
    <w:rsid w:val="00017E97"/>
    <w:rsid w:val="00017F4D"/>
    <w:rsid w:val="0002012B"/>
    <w:rsid w:val="0002013F"/>
    <w:rsid w:val="000201D7"/>
    <w:rsid w:val="00020502"/>
    <w:rsid w:val="0002058D"/>
    <w:rsid w:val="00020B50"/>
    <w:rsid w:val="00020DEF"/>
    <w:rsid w:val="00020E6D"/>
    <w:rsid w:val="00020FBD"/>
    <w:rsid w:val="00021292"/>
    <w:rsid w:val="0002199A"/>
    <w:rsid w:val="00021B5F"/>
    <w:rsid w:val="00021CB1"/>
    <w:rsid w:val="0002201B"/>
    <w:rsid w:val="00022386"/>
    <w:rsid w:val="000227D5"/>
    <w:rsid w:val="00022B94"/>
    <w:rsid w:val="00022E39"/>
    <w:rsid w:val="0002316F"/>
    <w:rsid w:val="000231A9"/>
    <w:rsid w:val="00023397"/>
    <w:rsid w:val="00023A3D"/>
    <w:rsid w:val="00023C3C"/>
    <w:rsid w:val="00023CC5"/>
    <w:rsid w:val="00023D8A"/>
    <w:rsid w:val="00023ECF"/>
    <w:rsid w:val="0002403C"/>
    <w:rsid w:val="0002434B"/>
    <w:rsid w:val="000243F6"/>
    <w:rsid w:val="000246D7"/>
    <w:rsid w:val="00024B9F"/>
    <w:rsid w:val="00024CB0"/>
    <w:rsid w:val="00024EF0"/>
    <w:rsid w:val="00024FD5"/>
    <w:rsid w:val="00025172"/>
    <w:rsid w:val="00025187"/>
    <w:rsid w:val="000253E1"/>
    <w:rsid w:val="0002555D"/>
    <w:rsid w:val="00025993"/>
    <w:rsid w:val="0002599E"/>
    <w:rsid w:val="00026047"/>
    <w:rsid w:val="00026156"/>
    <w:rsid w:val="000262B3"/>
    <w:rsid w:val="0002655C"/>
    <w:rsid w:val="000266F5"/>
    <w:rsid w:val="00026768"/>
    <w:rsid w:val="000269D0"/>
    <w:rsid w:val="00026A3D"/>
    <w:rsid w:val="00026BD0"/>
    <w:rsid w:val="00026D0D"/>
    <w:rsid w:val="00026E71"/>
    <w:rsid w:val="00027233"/>
    <w:rsid w:val="000272DC"/>
    <w:rsid w:val="000273D0"/>
    <w:rsid w:val="0002742A"/>
    <w:rsid w:val="000278D4"/>
    <w:rsid w:val="00027B5D"/>
    <w:rsid w:val="00027F13"/>
    <w:rsid w:val="00027F2C"/>
    <w:rsid w:val="0003043A"/>
    <w:rsid w:val="000307E1"/>
    <w:rsid w:val="000309BC"/>
    <w:rsid w:val="00030E05"/>
    <w:rsid w:val="00030EA4"/>
    <w:rsid w:val="0003197F"/>
    <w:rsid w:val="00031A81"/>
    <w:rsid w:val="00031F0D"/>
    <w:rsid w:val="00032020"/>
    <w:rsid w:val="00032062"/>
    <w:rsid w:val="000320AD"/>
    <w:rsid w:val="0003215D"/>
    <w:rsid w:val="0003226D"/>
    <w:rsid w:val="000326B4"/>
    <w:rsid w:val="00032723"/>
    <w:rsid w:val="000329AF"/>
    <w:rsid w:val="00032B61"/>
    <w:rsid w:val="00032C87"/>
    <w:rsid w:val="00032E71"/>
    <w:rsid w:val="00032F4F"/>
    <w:rsid w:val="00032FF3"/>
    <w:rsid w:val="00033054"/>
    <w:rsid w:val="000330CB"/>
    <w:rsid w:val="0003324A"/>
    <w:rsid w:val="00033306"/>
    <w:rsid w:val="00033635"/>
    <w:rsid w:val="00033903"/>
    <w:rsid w:val="00033BED"/>
    <w:rsid w:val="00033C1A"/>
    <w:rsid w:val="00033E26"/>
    <w:rsid w:val="00034579"/>
    <w:rsid w:val="00034634"/>
    <w:rsid w:val="00034808"/>
    <w:rsid w:val="000349E9"/>
    <w:rsid w:val="00034A1F"/>
    <w:rsid w:val="00034DDC"/>
    <w:rsid w:val="00034E28"/>
    <w:rsid w:val="00034EC4"/>
    <w:rsid w:val="00034F41"/>
    <w:rsid w:val="00035011"/>
    <w:rsid w:val="0003511E"/>
    <w:rsid w:val="00035517"/>
    <w:rsid w:val="00035796"/>
    <w:rsid w:val="000357B4"/>
    <w:rsid w:val="00035AE5"/>
    <w:rsid w:val="00035C46"/>
    <w:rsid w:val="00035FB9"/>
    <w:rsid w:val="00035FD7"/>
    <w:rsid w:val="00036042"/>
    <w:rsid w:val="00036185"/>
    <w:rsid w:val="000362C2"/>
    <w:rsid w:val="000362F2"/>
    <w:rsid w:val="000365CC"/>
    <w:rsid w:val="00036EC3"/>
    <w:rsid w:val="00036EF5"/>
    <w:rsid w:val="00036F2C"/>
    <w:rsid w:val="0003734B"/>
    <w:rsid w:val="0003756B"/>
    <w:rsid w:val="00037656"/>
    <w:rsid w:val="000378D4"/>
    <w:rsid w:val="00037CD2"/>
    <w:rsid w:val="00037D4C"/>
    <w:rsid w:val="0004009F"/>
    <w:rsid w:val="000401B0"/>
    <w:rsid w:val="00040424"/>
    <w:rsid w:val="0004049F"/>
    <w:rsid w:val="000404BF"/>
    <w:rsid w:val="00040675"/>
    <w:rsid w:val="000406D6"/>
    <w:rsid w:val="000406F0"/>
    <w:rsid w:val="0004075A"/>
    <w:rsid w:val="00040ABB"/>
    <w:rsid w:val="00040C7F"/>
    <w:rsid w:val="00040C93"/>
    <w:rsid w:val="00040E0F"/>
    <w:rsid w:val="00041238"/>
    <w:rsid w:val="0004145B"/>
    <w:rsid w:val="00041584"/>
    <w:rsid w:val="000415EB"/>
    <w:rsid w:val="000416FF"/>
    <w:rsid w:val="00041D52"/>
    <w:rsid w:val="00041EDF"/>
    <w:rsid w:val="00042035"/>
    <w:rsid w:val="000426C4"/>
    <w:rsid w:val="000427D7"/>
    <w:rsid w:val="00042DE0"/>
    <w:rsid w:val="00042E3B"/>
    <w:rsid w:val="00042FCB"/>
    <w:rsid w:val="00043235"/>
    <w:rsid w:val="0004335C"/>
    <w:rsid w:val="000433B8"/>
    <w:rsid w:val="00043839"/>
    <w:rsid w:val="00043874"/>
    <w:rsid w:val="00043885"/>
    <w:rsid w:val="00043928"/>
    <w:rsid w:val="00043BBE"/>
    <w:rsid w:val="00043D02"/>
    <w:rsid w:val="00043E2F"/>
    <w:rsid w:val="00043ED0"/>
    <w:rsid w:val="00043FEA"/>
    <w:rsid w:val="00044185"/>
    <w:rsid w:val="00044436"/>
    <w:rsid w:val="00044480"/>
    <w:rsid w:val="00044E90"/>
    <w:rsid w:val="00044EAF"/>
    <w:rsid w:val="00044F82"/>
    <w:rsid w:val="000453B2"/>
    <w:rsid w:val="00045D0A"/>
    <w:rsid w:val="000460F5"/>
    <w:rsid w:val="000463CB"/>
    <w:rsid w:val="0004672C"/>
    <w:rsid w:val="000468E8"/>
    <w:rsid w:val="00046B7D"/>
    <w:rsid w:val="00046C01"/>
    <w:rsid w:val="00046FA8"/>
    <w:rsid w:val="0004708E"/>
    <w:rsid w:val="00047859"/>
    <w:rsid w:val="00047B17"/>
    <w:rsid w:val="00047BEE"/>
    <w:rsid w:val="00047DE9"/>
    <w:rsid w:val="00047E35"/>
    <w:rsid w:val="00047F9A"/>
    <w:rsid w:val="000500A5"/>
    <w:rsid w:val="000500AC"/>
    <w:rsid w:val="00050759"/>
    <w:rsid w:val="0005075E"/>
    <w:rsid w:val="000508D0"/>
    <w:rsid w:val="00050964"/>
    <w:rsid w:val="0005097E"/>
    <w:rsid w:val="00050E02"/>
    <w:rsid w:val="00050EA8"/>
    <w:rsid w:val="000519BA"/>
    <w:rsid w:val="00051A0C"/>
    <w:rsid w:val="00051A85"/>
    <w:rsid w:val="00051F8F"/>
    <w:rsid w:val="00051FCD"/>
    <w:rsid w:val="000521F0"/>
    <w:rsid w:val="00052530"/>
    <w:rsid w:val="000525DA"/>
    <w:rsid w:val="000526D0"/>
    <w:rsid w:val="0005291E"/>
    <w:rsid w:val="0005294E"/>
    <w:rsid w:val="00052DD2"/>
    <w:rsid w:val="00052E21"/>
    <w:rsid w:val="00052EBA"/>
    <w:rsid w:val="00052FAA"/>
    <w:rsid w:val="00052FBA"/>
    <w:rsid w:val="00052FD7"/>
    <w:rsid w:val="0005314B"/>
    <w:rsid w:val="000531AE"/>
    <w:rsid w:val="0005335A"/>
    <w:rsid w:val="0005366B"/>
    <w:rsid w:val="0005366E"/>
    <w:rsid w:val="0005387B"/>
    <w:rsid w:val="000539A8"/>
    <w:rsid w:val="00053CC9"/>
    <w:rsid w:val="00053D60"/>
    <w:rsid w:val="00053DD7"/>
    <w:rsid w:val="0005404C"/>
    <w:rsid w:val="000540E7"/>
    <w:rsid w:val="00054376"/>
    <w:rsid w:val="0005446B"/>
    <w:rsid w:val="00054521"/>
    <w:rsid w:val="000546A7"/>
    <w:rsid w:val="0005472D"/>
    <w:rsid w:val="00054CB2"/>
    <w:rsid w:val="00054CC7"/>
    <w:rsid w:val="00054EF8"/>
    <w:rsid w:val="00055103"/>
    <w:rsid w:val="0005536D"/>
    <w:rsid w:val="00055547"/>
    <w:rsid w:val="00055C7D"/>
    <w:rsid w:val="00055E19"/>
    <w:rsid w:val="0005639C"/>
    <w:rsid w:val="000563D3"/>
    <w:rsid w:val="00056761"/>
    <w:rsid w:val="000567FC"/>
    <w:rsid w:val="00056D08"/>
    <w:rsid w:val="00056E04"/>
    <w:rsid w:val="00056E5A"/>
    <w:rsid w:val="00057636"/>
    <w:rsid w:val="000577C0"/>
    <w:rsid w:val="00057A99"/>
    <w:rsid w:val="00057B09"/>
    <w:rsid w:val="00057F70"/>
    <w:rsid w:val="000600D2"/>
    <w:rsid w:val="000600F9"/>
    <w:rsid w:val="00060217"/>
    <w:rsid w:val="0006051F"/>
    <w:rsid w:val="000606E8"/>
    <w:rsid w:val="00060B49"/>
    <w:rsid w:val="00060EED"/>
    <w:rsid w:val="00060F45"/>
    <w:rsid w:val="00061060"/>
    <w:rsid w:val="00061551"/>
    <w:rsid w:val="000619CA"/>
    <w:rsid w:val="00061F1C"/>
    <w:rsid w:val="00061F44"/>
    <w:rsid w:val="00062307"/>
    <w:rsid w:val="000623EF"/>
    <w:rsid w:val="000623FE"/>
    <w:rsid w:val="00062431"/>
    <w:rsid w:val="000628EE"/>
    <w:rsid w:val="00062A63"/>
    <w:rsid w:val="00062CAA"/>
    <w:rsid w:val="00062EE4"/>
    <w:rsid w:val="000630C3"/>
    <w:rsid w:val="0006364E"/>
    <w:rsid w:val="00063C68"/>
    <w:rsid w:val="00063FD6"/>
    <w:rsid w:val="00064295"/>
    <w:rsid w:val="000642A4"/>
    <w:rsid w:val="0006450D"/>
    <w:rsid w:val="00064553"/>
    <w:rsid w:val="00064A04"/>
    <w:rsid w:val="00064A53"/>
    <w:rsid w:val="00064B6F"/>
    <w:rsid w:val="00064CF9"/>
    <w:rsid w:val="00064DE9"/>
    <w:rsid w:val="00064E86"/>
    <w:rsid w:val="00065505"/>
    <w:rsid w:val="00065B58"/>
    <w:rsid w:val="00065D28"/>
    <w:rsid w:val="00066467"/>
    <w:rsid w:val="00066BAD"/>
    <w:rsid w:val="00066DED"/>
    <w:rsid w:val="00066FED"/>
    <w:rsid w:val="00067392"/>
    <w:rsid w:val="0006739F"/>
    <w:rsid w:val="000673DF"/>
    <w:rsid w:val="00067526"/>
    <w:rsid w:val="0006756C"/>
    <w:rsid w:val="00067643"/>
    <w:rsid w:val="000678DB"/>
    <w:rsid w:val="00067922"/>
    <w:rsid w:val="00067BFF"/>
    <w:rsid w:val="00067E20"/>
    <w:rsid w:val="00070219"/>
    <w:rsid w:val="000702B1"/>
    <w:rsid w:val="00070510"/>
    <w:rsid w:val="00070CD6"/>
    <w:rsid w:val="000713C8"/>
    <w:rsid w:val="00071612"/>
    <w:rsid w:val="00071678"/>
    <w:rsid w:val="00071691"/>
    <w:rsid w:val="000719CA"/>
    <w:rsid w:val="000719E4"/>
    <w:rsid w:val="00071AE6"/>
    <w:rsid w:val="00071EB3"/>
    <w:rsid w:val="00071F70"/>
    <w:rsid w:val="00071FFE"/>
    <w:rsid w:val="00072170"/>
    <w:rsid w:val="00072179"/>
    <w:rsid w:val="000725DC"/>
    <w:rsid w:val="0007288A"/>
    <w:rsid w:val="00072985"/>
    <w:rsid w:val="000731A2"/>
    <w:rsid w:val="0007329B"/>
    <w:rsid w:val="00073A5B"/>
    <w:rsid w:val="00073C5C"/>
    <w:rsid w:val="00073D56"/>
    <w:rsid w:val="00073F2E"/>
    <w:rsid w:val="00073F3D"/>
    <w:rsid w:val="00073FA2"/>
    <w:rsid w:val="0007404C"/>
    <w:rsid w:val="000740D2"/>
    <w:rsid w:val="000742B5"/>
    <w:rsid w:val="00074669"/>
    <w:rsid w:val="0007481A"/>
    <w:rsid w:val="0007489A"/>
    <w:rsid w:val="000748F7"/>
    <w:rsid w:val="000749AC"/>
    <w:rsid w:val="00074D2A"/>
    <w:rsid w:val="00074DBC"/>
    <w:rsid w:val="0007549E"/>
    <w:rsid w:val="000755E4"/>
    <w:rsid w:val="000755E6"/>
    <w:rsid w:val="00075734"/>
    <w:rsid w:val="00075A39"/>
    <w:rsid w:val="00075B9C"/>
    <w:rsid w:val="00075C79"/>
    <w:rsid w:val="000762B1"/>
    <w:rsid w:val="00076693"/>
    <w:rsid w:val="00076823"/>
    <w:rsid w:val="00076A38"/>
    <w:rsid w:val="00076FCD"/>
    <w:rsid w:val="000776A0"/>
    <w:rsid w:val="00077774"/>
    <w:rsid w:val="000777B9"/>
    <w:rsid w:val="0007795B"/>
    <w:rsid w:val="000779E1"/>
    <w:rsid w:val="00077C9F"/>
    <w:rsid w:val="00080744"/>
    <w:rsid w:val="00080934"/>
    <w:rsid w:val="00080A30"/>
    <w:rsid w:val="00080A36"/>
    <w:rsid w:val="00080E5A"/>
    <w:rsid w:val="00081137"/>
    <w:rsid w:val="00081371"/>
    <w:rsid w:val="000814BC"/>
    <w:rsid w:val="0008162E"/>
    <w:rsid w:val="00081885"/>
    <w:rsid w:val="00081A53"/>
    <w:rsid w:val="00081AB9"/>
    <w:rsid w:val="00081B37"/>
    <w:rsid w:val="00081C5E"/>
    <w:rsid w:val="00081F42"/>
    <w:rsid w:val="00081FB2"/>
    <w:rsid w:val="00082196"/>
    <w:rsid w:val="00082363"/>
    <w:rsid w:val="00082480"/>
    <w:rsid w:val="000826CB"/>
    <w:rsid w:val="00082769"/>
    <w:rsid w:val="000827BE"/>
    <w:rsid w:val="00082EE5"/>
    <w:rsid w:val="0008303F"/>
    <w:rsid w:val="0008316D"/>
    <w:rsid w:val="00083380"/>
    <w:rsid w:val="0008343B"/>
    <w:rsid w:val="00083500"/>
    <w:rsid w:val="00083507"/>
    <w:rsid w:val="00083890"/>
    <w:rsid w:val="00083938"/>
    <w:rsid w:val="00083A54"/>
    <w:rsid w:val="00083AE7"/>
    <w:rsid w:val="00083BEB"/>
    <w:rsid w:val="00083D39"/>
    <w:rsid w:val="00084106"/>
    <w:rsid w:val="000843BC"/>
    <w:rsid w:val="00084461"/>
    <w:rsid w:val="00084519"/>
    <w:rsid w:val="00084C3A"/>
    <w:rsid w:val="000850ED"/>
    <w:rsid w:val="000852EF"/>
    <w:rsid w:val="00085925"/>
    <w:rsid w:val="00085A54"/>
    <w:rsid w:val="00085AE5"/>
    <w:rsid w:val="00085C7D"/>
    <w:rsid w:val="00085CE8"/>
    <w:rsid w:val="00085F28"/>
    <w:rsid w:val="00085F47"/>
    <w:rsid w:val="000860AD"/>
    <w:rsid w:val="000860F3"/>
    <w:rsid w:val="00086158"/>
    <w:rsid w:val="000861C7"/>
    <w:rsid w:val="000864D5"/>
    <w:rsid w:val="00086501"/>
    <w:rsid w:val="00086555"/>
    <w:rsid w:val="000865FC"/>
    <w:rsid w:val="000868BD"/>
    <w:rsid w:val="00086C11"/>
    <w:rsid w:val="00086D9C"/>
    <w:rsid w:val="00086E21"/>
    <w:rsid w:val="000871D7"/>
    <w:rsid w:val="00087272"/>
    <w:rsid w:val="000872AB"/>
    <w:rsid w:val="000873CD"/>
    <w:rsid w:val="00087646"/>
    <w:rsid w:val="00087841"/>
    <w:rsid w:val="0008789A"/>
    <w:rsid w:val="0008790B"/>
    <w:rsid w:val="00087ACF"/>
    <w:rsid w:val="00087D12"/>
    <w:rsid w:val="00087DD9"/>
    <w:rsid w:val="00090046"/>
    <w:rsid w:val="00090483"/>
    <w:rsid w:val="0009053F"/>
    <w:rsid w:val="00090722"/>
    <w:rsid w:val="00090750"/>
    <w:rsid w:val="00090C10"/>
    <w:rsid w:val="000912CE"/>
    <w:rsid w:val="000914B1"/>
    <w:rsid w:val="0009168B"/>
    <w:rsid w:val="000916D4"/>
    <w:rsid w:val="00091C0C"/>
    <w:rsid w:val="00091EC4"/>
    <w:rsid w:val="00091FC5"/>
    <w:rsid w:val="00091FED"/>
    <w:rsid w:val="000923A7"/>
    <w:rsid w:val="000925C8"/>
    <w:rsid w:val="00092618"/>
    <w:rsid w:val="00092630"/>
    <w:rsid w:val="000926CA"/>
    <w:rsid w:val="000929D1"/>
    <w:rsid w:val="00092AC5"/>
    <w:rsid w:val="00092D9D"/>
    <w:rsid w:val="00092E3C"/>
    <w:rsid w:val="00092F9D"/>
    <w:rsid w:val="00092FCE"/>
    <w:rsid w:val="000939DF"/>
    <w:rsid w:val="00093D19"/>
    <w:rsid w:val="00093D61"/>
    <w:rsid w:val="000941B4"/>
    <w:rsid w:val="0009428D"/>
    <w:rsid w:val="00094387"/>
    <w:rsid w:val="000943F8"/>
    <w:rsid w:val="00094804"/>
    <w:rsid w:val="00094814"/>
    <w:rsid w:val="0009522A"/>
    <w:rsid w:val="00095595"/>
    <w:rsid w:val="00095696"/>
    <w:rsid w:val="000956C1"/>
    <w:rsid w:val="00095983"/>
    <w:rsid w:val="00095994"/>
    <w:rsid w:val="00095AA4"/>
    <w:rsid w:val="00095C8F"/>
    <w:rsid w:val="00095D8A"/>
    <w:rsid w:val="0009650F"/>
    <w:rsid w:val="000968C7"/>
    <w:rsid w:val="00096AEC"/>
    <w:rsid w:val="00096D5E"/>
    <w:rsid w:val="00096FE0"/>
    <w:rsid w:val="00096FF7"/>
    <w:rsid w:val="00097077"/>
    <w:rsid w:val="0009747F"/>
    <w:rsid w:val="00097506"/>
    <w:rsid w:val="000975B2"/>
    <w:rsid w:val="000977A6"/>
    <w:rsid w:val="00097877"/>
    <w:rsid w:val="000978EC"/>
    <w:rsid w:val="000979E4"/>
    <w:rsid w:val="00097A57"/>
    <w:rsid w:val="00097A58"/>
    <w:rsid w:val="00097AC5"/>
    <w:rsid w:val="00097B69"/>
    <w:rsid w:val="00097BD4"/>
    <w:rsid w:val="00097BFA"/>
    <w:rsid w:val="00097D24"/>
    <w:rsid w:val="00097FDB"/>
    <w:rsid w:val="000A0008"/>
    <w:rsid w:val="000A00E8"/>
    <w:rsid w:val="000A00FD"/>
    <w:rsid w:val="000A04D3"/>
    <w:rsid w:val="000A0678"/>
    <w:rsid w:val="000A06A0"/>
    <w:rsid w:val="000A085C"/>
    <w:rsid w:val="000A0920"/>
    <w:rsid w:val="000A0C62"/>
    <w:rsid w:val="000A0DEB"/>
    <w:rsid w:val="000A104F"/>
    <w:rsid w:val="000A126C"/>
    <w:rsid w:val="000A1561"/>
    <w:rsid w:val="000A15B7"/>
    <w:rsid w:val="000A16DD"/>
    <w:rsid w:val="000A1A0C"/>
    <w:rsid w:val="000A1B80"/>
    <w:rsid w:val="000A1EBE"/>
    <w:rsid w:val="000A1F28"/>
    <w:rsid w:val="000A1FED"/>
    <w:rsid w:val="000A2231"/>
    <w:rsid w:val="000A2460"/>
    <w:rsid w:val="000A26A4"/>
    <w:rsid w:val="000A2B0D"/>
    <w:rsid w:val="000A2D91"/>
    <w:rsid w:val="000A31BC"/>
    <w:rsid w:val="000A337D"/>
    <w:rsid w:val="000A341A"/>
    <w:rsid w:val="000A3494"/>
    <w:rsid w:val="000A3533"/>
    <w:rsid w:val="000A3633"/>
    <w:rsid w:val="000A36D0"/>
    <w:rsid w:val="000A39FA"/>
    <w:rsid w:val="000A3B01"/>
    <w:rsid w:val="000A3B16"/>
    <w:rsid w:val="000A3DA9"/>
    <w:rsid w:val="000A3EF3"/>
    <w:rsid w:val="000A40E8"/>
    <w:rsid w:val="000A428C"/>
    <w:rsid w:val="000A44F9"/>
    <w:rsid w:val="000A47A0"/>
    <w:rsid w:val="000A490B"/>
    <w:rsid w:val="000A5258"/>
    <w:rsid w:val="000A5318"/>
    <w:rsid w:val="000A5579"/>
    <w:rsid w:val="000A5605"/>
    <w:rsid w:val="000A5A22"/>
    <w:rsid w:val="000A5D3F"/>
    <w:rsid w:val="000A5EA4"/>
    <w:rsid w:val="000A5EB7"/>
    <w:rsid w:val="000A6470"/>
    <w:rsid w:val="000A649F"/>
    <w:rsid w:val="000A6C94"/>
    <w:rsid w:val="000A6D73"/>
    <w:rsid w:val="000A6F31"/>
    <w:rsid w:val="000A7427"/>
    <w:rsid w:val="000A7474"/>
    <w:rsid w:val="000A7525"/>
    <w:rsid w:val="000A788A"/>
    <w:rsid w:val="000A7AF9"/>
    <w:rsid w:val="000B0543"/>
    <w:rsid w:val="000B058C"/>
    <w:rsid w:val="000B0737"/>
    <w:rsid w:val="000B0766"/>
    <w:rsid w:val="000B096E"/>
    <w:rsid w:val="000B09E0"/>
    <w:rsid w:val="000B0B57"/>
    <w:rsid w:val="000B0C8E"/>
    <w:rsid w:val="000B0D77"/>
    <w:rsid w:val="000B0DFF"/>
    <w:rsid w:val="000B0F52"/>
    <w:rsid w:val="000B1005"/>
    <w:rsid w:val="000B10E1"/>
    <w:rsid w:val="000B12CD"/>
    <w:rsid w:val="000B13CF"/>
    <w:rsid w:val="000B16A4"/>
    <w:rsid w:val="000B1B33"/>
    <w:rsid w:val="000B1C5E"/>
    <w:rsid w:val="000B1DAB"/>
    <w:rsid w:val="000B1FBB"/>
    <w:rsid w:val="000B2B1F"/>
    <w:rsid w:val="000B2B66"/>
    <w:rsid w:val="000B2DB1"/>
    <w:rsid w:val="000B2DC3"/>
    <w:rsid w:val="000B320D"/>
    <w:rsid w:val="000B32AD"/>
    <w:rsid w:val="000B33F2"/>
    <w:rsid w:val="000B3519"/>
    <w:rsid w:val="000B3631"/>
    <w:rsid w:val="000B3817"/>
    <w:rsid w:val="000B395A"/>
    <w:rsid w:val="000B3A86"/>
    <w:rsid w:val="000B3AEF"/>
    <w:rsid w:val="000B3C85"/>
    <w:rsid w:val="000B3DA1"/>
    <w:rsid w:val="000B4011"/>
    <w:rsid w:val="000B4422"/>
    <w:rsid w:val="000B4469"/>
    <w:rsid w:val="000B47D3"/>
    <w:rsid w:val="000B485C"/>
    <w:rsid w:val="000B4E1A"/>
    <w:rsid w:val="000B513A"/>
    <w:rsid w:val="000B53DF"/>
    <w:rsid w:val="000B544B"/>
    <w:rsid w:val="000B5524"/>
    <w:rsid w:val="000B5642"/>
    <w:rsid w:val="000B5748"/>
    <w:rsid w:val="000B58B0"/>
    <w:rsid w:val="000B59B9"/>
    <w:rsid w:val="000B5CC9"/>
    <w:rsid w:val="000B5E8F"/>
    <w:rsid w:val="000B6268"/>
    <w:rsid w:val="000B6457"/>
    <w:rsid w:val="000B654B"/>
    <w:rsid w:val="000B66BC"/>
    <w:rsid w:val="000B69A1"/>
    <w:rsid w:val="000B6ADE"/>
    <w:rsid w:val="000B6AE0"/>
    <w:rsid w:val="000B6B6F"/>
    <w:rsid w:val="000B6C67"/>
    <w:rsid w:val="000B6D2C"/>
    <w:rsid w:val="000B6ED8"/>
    <w:rsid w:val="000B6FD6"/>
    <w:rsid w:val="000B7130"/>
    <w:rsid w:val="000B7420"/>
    <w:rsid w:val="000B7676"/>
    <w:rsid w:val="000B792A"/>
    <w:rsid w:val="000B7984"/>
    <w:rsid w:val="000B7A14"/>
    <w:rsid w:val="000B7AE1"/>
    <w:rsid w:val="000B7B4E"/>
    <w:rsid w:val="000B7C1A"/>
    <w:rsid w:val="000B7CC5"/>
    <w:rsid w:val="000B7D21"/>
    <w:rsid w:val="000B7E21"/>
    <w:rsid w:val="000B7F3E"/>
    <w:rsid w:val="000C0969"/>
    <w:rsid w:val="000C0AB2"/>
    <w:rsid w:val="000C1393"/>
    <w:rsid w:val="000C13D9"/>
    <w:rsid w:val="000C1456"/>
    <w:rsid w:val="000C1AB7"/>
    <w:rsid w:val="000C1E0D"/>
    <w:rsid w:val="000C1EB1"/>
    <w:rsid w:val="000C212D"/>
    <w:rsid w:val="000C21D3"/>
    <w:rsid w:val="000C228B"/>
    <w:rsid w:val="000C2623"/>
    <w:rsid w:val="000C275D"/>
    <w:rsid w:val="000C27B8"/>
    <w:rsid w:val="000C28B3"/>
    <w:rsid w:val="000C2CAB"/>
    <w:rsid w:val="000C2D0F"/>
    <w:rsid w:val="000C2D20"/>
    <w:rsid w:val="000C2D77"/>
    <w:rsid w:val="000C2D9D"/>
    <w:rsid w:val="000C2E2C"/>
    <w:rsid w:val="000C30A7"/>
    <w:rsid w:val="000C3307"/>
    <w:rsid w:val="000C33B4"/>
    <w:rsid w:val="000C33EE"/>
    <w:rsid w:val="000C3434"/>
    <w:rsid w:val="000C3459"/>
    <w:rsid w:val="000C3674"/>
    <w:rsid w:val="000C39B9"/>
    <w:rsid w:val="000C3AB5"/>
    <w:rsid w:val="000C3BDC"/>
    <w:rsid w:val="000C3F9D"/>
    <w:rsid w:val="000C3FDF"/>
    <w:rsid w:val="000C4117"/>
    <w:rsid w:val="000C4351"/>
    <w:rsid w:val="000C4365"/>
    <w:rsid w:val="000C4723"/>
    <w:rsid w:val="000C48CC"/>
    <w:rsid w:val="000C4AAC"/>
    <w:rsid w:val="000C4CB2"/>
    <w:rsid w:val="000C4FC0"/>
    <w:rsid w:val="000C50DD"/>
    <w:rsid w:val="000C52F9"/>
    <w:rsid w:val="000C536D"/>
    <w:rsid w:val="000C544A"/>
    <w:rsid w:val="000C546E"/>
    <w:rsid w:val="000C576C"/>
    <w:rsid w:val="000C5B3A"/>
    <w:rsid w:val="000C5DA4"/>
    <w:rsid w:val="000C5DA5"/>
    <w:rsid w:val="000C5F28"/>
    <w:rsid w:val="000C62BC"/>
    <w:rsid w:val="000C62BE"/>
    <w:rsid w:val="000C6576"/>
    <w:rsid w:val="000C65C5"/>
    <w:rsid w:val="000C6653"/>
    <w:rsid w:val="000C683B"/>
    <w:rsid w:val="000C6937"/>
    <w:rsid w:val="000C6A78"/>
    <w:rsid w:val="000C6BD5"/>
    <w:rsid w:val="000C6CA6"/>
    <w:rsid w:val="000C6CD6"/>
    <w:rsid w:val="000C6CE8"/>
    <w:rsid w:val="000C6E1C"/>
    <w:rsid w:val="000C7087"/>
    <w:rsid w:val="000C70BA"/>
    <w:rsid w:val="000C7536"/>
    <w:rsid w:val="000C7871"/>
    <w:rsid w:val="000C7B8C"/>
    <w:rsid w:val="000D06E4"/>
    <w:rsid w:val="000D075B"/>
    <w:rsid w:val="000D08F8"/>
    <w:rsid w:val="000D0990"/>
    <w:rsid w:val="000D0C90"/>
    <w:rsid w:val="000D0DF0"/>
    <w:rsid w:val="000D0E78"/>
    <w:rsid w:val="000D10DE"/>
    <w:rsid w:val="000D13BA"/>
    <w:rsid w:val="000D1494"/>
    <w:rsid w:val="000D16D8"/>
    <w:rsid w:val="000D1805"/>
    <w:rsid w:val="000D196B"/>
    <w:rsid w:val="000D1D25"/>
    <w:rsid w:val="000D1EC2"/>
    <w:rsid w:val="000D2006"/>
    <w:rsid w:val="000D24B2"/>
    <w:rsid w:val="000D254A"/>
    <w:rsid w:val="000D25D2"/>
    <w:rsid w:val="000D2741"/>
    <w:rsid w:val="000D275E"/>
    <w:rsid w:val="000D29FA"/>
    <w:rsid w:val="000D2AFA"/>
    <w:rsid w:val="000D3689"/>
    <w:rsid w:val="000D395D"/>
    <w:rsid w:val="000D3CD1"/>
    <w:rsid w:val="000D4368"/>
    <w:rsid w:val="000D45DE"/>
    <w:rsid w:val="000D467E"/>
    <w:rsid w:val="000D4860"/>
    <w:rsid w:val="000D50F7"/>
    <w:rsid w:val="000D5199"/>
    <w:rsid w:val="000D54F4"/>
    <w:rsid w:val="000D5643"/>
    <w:rsid w:val="000D56E8"/>
    <w:rsid w:val="000D5827"/>
    <w:rsid w:val="000D590E"/>
    <w:rsid w:val="000D5A40"/>
    <w:rsid w:val="000D5E71"/>
    <w:rsid w:val="000D6435"/>
    <w:rsid w:val="000D665C"/>
    <w:rsid w:val="000D667D"/>
    <w:rsid w:val="000D6C9E"/>
    <w:rsid w:val="000D6E84"/>
    <w:rsid w:val="000D6EAA"/>
    <w:rsid w:val="000D7433"/>
    <w:rsid w:val="000D7535"/>
    <w:rsid w:val="000D76A7"/>
    <w:rsid w:val="000D76F2"/>
    <w:rsid w:val="000D771B"/>
    <w:rsid w:val="000D7768"/>
    <w:rsid w:val="000D787B"/>
    <w:rsid w:val="000D7956"/>
    <w:rsid w:val="000D7A1D"/>
    <w:rsid w:val="000D7CBB"/>
    <w:rsid w:val="000D7E08"/>
    <w:rsid w:val="000E0534"/>
    <w:rsid w:val="000E0575"/>
    <w:rsid w:val="000E05E2"/>
    <w:rsid w:val="000E06A3"/>
    <w:rsid w:val="000E0837"/>
    <w:rsid w:val="000E086D"/>
    <w:rsid w:val="000E0901"/>
    <w:rsid w:val="000E0914"/>
    <w:rsid w:val="000E0B1C"/>
    <w:rsid w:val="000E0C98"/>
    <w:rsid w:val="000E0EB1"/>
    <w:rsid w:val="000E10BB"/>
    <w:rsid w:val="000E1217"/>
    <w:rsid w:val="000E1794"/>
    <w:rsid w:val="000E17A6"/>
    <w:rsid w:val="000E1C2E"/>
    <w:rsid w:val="000E1F3E"/>
    <w:rsid w:val="000E252E"/>
    <w:rsid w:val="000E25D5"/>
    <w:rsid w:val="000E25DB"/>
    <w:rsid w:val="000E26E9"/>
    <w:rsid w:val="000E2816"/>
    <w:rsid w:val="000E29EF"/>
    <w:rsid w:val="000E2C1D"/>
    <w:rsid w:val="000E2CA3"/>
    <w:rsid w:val="000E2F69"/>
    <w:rsid w:val="000E30D8"/>
    <w:rsid w:val="000E3100"/>
    <w:rsid w:val="000E31B7"/>
    <w:rsid w:val="000E321B"/>
    <w:rsid w:val="000E3287"/>
    <w:rsid w:val="000E34D6"/>
    <w:rsid w:val="000E3727"/>
    <w:rsid w:val="000E3AA6"/>
    <w:rsid w:val="000E3AAA"/>
    <w:rsid w:val="000E3B1B"/>
    <w:rsid w:val="000E3B6A"/>
    <w:rsid w:val="000E3E1D"/>
    <w:rsid w:val="000E3F89"/>
    <w:rsid w:val="000E400A"/>
    <w:rsid w:val="000E44F1"/>
    <w:rsid w:val="000E45A0"/>
    <w:rsid w:val="000E4630"/>
    <w:rsid w:val="000E4683"/>
    <w:rsid w:val="000E4767"/>
    <w:rsid w:val="000E48BE"/>
    <w:rsid w:val="000E4A21"/>
    <w:rsid w:val="000E4AEF"/>
    <w:rsid w:val="000E4BBC"/>
    <w:rsid w:val="000E4F7A"/>
    <w:rsid w:val="000E52E9"/>
    <w:rsid w:val="000E544E"/>
    <w:rsid w:val="000E546D"/>
    <w:rsid w:val="000E54B2"/>
    <w:rsid w:val="000E54E3"/>
    <w:rsid w:val="000E57D7"/>
    <w:rsid w:val="000E58B0"/>
    <w:rsid w:val="000E5A9A"/>
    <w:rsid w:val="000E5ACD"/>
    <w:rsid w:val="000E5D18"/>
    <w:rsid w:val="000E6047"/>
    <w:rsid w:val="000E62C6"/>
    <w:rsid w:val="000E62D0"/>
    <w:rsid w:val="000E62F5"/>
    <w:rsid w:val="000E633F"/>
    <w:rsid w:val="000E64D6"/>
    <w:rsid w:val="000E66D0"/>
    <w:rsid w:val="000E685C"/>
    <w:rsid w:val="000E6883"/>
    <w:rsid w:val="000E6A6E"/>
    <w:rsid w:val="000E6E18"/>
    <w:rsid w:val="000E71AF"/>
    <w:rsid w:val="000E7276"/>
    <w:rsid w:val="000E73A7"/>
    <w:rsid w:val="000E754D"/>
    <w:rsid w:val="000E758C"/>
    <w:rsid w:val="000E764D"/>
    <w:rsid w:val="000E778D"/>
    <w:rsid w:val="000E79BF"/>
    <w:rsid w:val="000E7B37"/>
    <w:rsid w:val="000E7B3B"/>
    <w:rsid w:val="000E7C01"/>
    <w:rsid w:val="000E7E60"/>
    <w:rsid w:val="000E7ED4"/>
    <w:rsid w:val="000F0310"/>
    <w:rsid w:val="000F0375"/>
    <w:rsid w:val="000F0607"/>
    <w:rsid w:val="000F08AC"/>
    <w:rsid w:val="000F1373"/>
    <w:rsid w:val="000F1590"/>
    <w:rsid w:val="000F1633"/>
    <w:rsid w:val="000F18FE"/>
    <w:rsid w:val="000F1AE8"/>
    <w:rsid w:val="000F1B16"/>
    <w:rsid w:val="000F1EFF"/>
    <w:rsid w:val="000F28FA"/>
    <w:rsid w:val="000F2978"/>
    <w:rsid w:val="000F2DA5"/>
    <w:rsid w:val="000F3201"/>
    <w:rsid w:val="000F341D"/>
    <w:rsid w:val="000F36C9"/>
    <w:rsid w:val="000F3A15"/>
    <w:rsid w:val="000F3CFD"/>
    <w:rsid w:val="000F41FF"/>
    <w:rsid w:val="000F43D9"/>
    <w:rsid w:val="000F4477"/>
    <w:rsid w:val="000F46A3"/>
    <w:rsid w:val="000F4861"/>
    <w:rsid w:val="000F491F"/>
    <w:rsid w:val="000F4B30"/>
    <w:rsid w:val="000F5108"/>
    <w:rsid w:val="000F58E9"/>
    <w:rsid w:val="000F5942"/>
    <w:rsid w:val="000F59C7"/>
    <w:rsid w:val="000F5A67"/>
    <w:rsid w:val="000F5CF4"/>
    <w:rsid w:val="000F5D76"/>
    <w:rsid w:val="000F5DCA"/>
    <w:rsid w:val="000F5F24"/>
    <w:rsid w:val="000F6275"/>
    <w:rsid w:val="000F6333"/>
    <w:rsid w:val="000F6651"/>
    <w:rsid w:val="000F67F5"/>
    <w:rsid w:val="000F69EE"/>
    <w:rsid w:val="000F6BB8"/>
    <w:rsid w:val="000F6BD9"/>
    <w:rsid w:val="000F6D62"/>
    <w:rsid w:val="000F6DF9"/>
    <w:rsid w:val="000F6E41"/>
    <w:rsid w:val="000F6F6C"/>
    <w:rsid w:val="000F6F82"/>
    <w:rsid w:val="000F71D4"/>
    <w:rsid w:val="000F733B"/>
    <w:rsid w:val="000F74B4"/>
    <w:rsid w:val="000F75FE"/>
    <w:rsid w:val="000F767F"/>
    <w:rsid w:val="000F76B8"/>
    <w:rsid w:val="000F7A2B"/>
    <w:rsid w:val="000F7C7F"/>
    <w:rsid w:val="001002D0"/>
    <w:rsid w:val="0010036E"/>
    <w:rsid w:val="00100555"/>
    <w:rsid w:val="001009AC"/>
    <w:rsid w:val="00100CFD"/>
    <w:rsid w:val="00100D24"/>
    <w:rsid w:val="00100E0D"/>
    <w:rsid w:val="00101BEF"/>
    <w:rsid w:val="00101D34"/>
    <w:rsid w:val="00101D3F"/>
    <w:rsid w:val="00101D49"/>
    <w:rsid w:val="00101DAB"/>
    <w:rsid w:val="001021BE"/>
    <w:rsid w:val="00102235"/>
    <w:rsid w:val="00102396"/>
    <w:rsid w:val="0010243D"/>
    <w:rsid w:val="00102530"/>
    <w:rsid w:val="00102637"/>
    <w:rsid w:val="00102881"/>
    <w:rsid w:val="0010313B"/>
    <w:rsid w:val="001033BA"/>
    <w:rsid w:val="00103441"/>
    <w:rsid w:val="00103538"/>
    <w:rsid w:val="00103544"/>
    <w:rsid w:val="0010358A"/>
    <w:rsid w:val="00103630"/>
    <w:rsid w:val="00103758"/>
    <w:rsid w:val="00103A92"/>
    <w:rsid w:val="00103C60"/>
    <w:rsid w:val="00103C90"/>
    <w:rsid w:val="00103CE1"/>
    <w:rsid w:val="00103F47"/>
    <w:rsid w:val="00103FD1"/>
    <w:rsid w:val="00103FF3"/>
    <w:rsid w:val="0010416A"/>
    <w:rsid w:val="00104509"/>
    <w:rsid w:val="00104850"/>
    <w:rsid w:val="00104D2D"/>
    <w:rsid w:val="00104EBA"/>
    <w:rsid w:val="00104F0C"/>
    <w:rsid w:val="00104F72"/>
    <w:rsid w:val="0010500A"/>
    <w:rsid w:val="0010515E"/>
    <w:rsid w:val="00105229"/>
    <w:rsid w:val="00105978"/>
    <w:rsid w:val="00105D34"/>
    <w:rsid w:val="00105EBA"/>
    <w:rsid w:val="0010687F"/>
    <w:rsid w:val="00107177"/>
    <w:rsid w:val="001071AC"/>
    <w:rsid w:val="001073FB"/>
    <w:rsid w:val="00107665"/>
    <w:rsid w:val="00107728"/>
    <w:rsid w:val="00107B13"/>
    <w:rsid w:val="0011007B"/>
    <w:rsid w:val="00110366"/>
    <w:rsid w:val="00110396"/>
    <w:rsid w:val="00110585"/>
    <w:rsid w:val="00110643"/>
    <w:rsid w:val="0011080E"/>
    <w:rsid w:val="00110896"/>
    <w:rsid w:val="00110AA9"/>
    <w:rsid w:val="00110BA4"/>
    <w:rsid w:val="00111220"/>
    <w:rsid w:val="001112E2"/>
    <w:rsid w:val="0011187F"/>
    <w:rsid w:val="00111A0B"/>
    <w:rsid w:val="00111BF5"/>
    <w:rsid w:val="00111C0E"/>
    <w:rsid w:val="001120A9"/>
    <w:rsid w:val="001122D1"/>
    <w:rsid w:val="00112326"/>
    <w:rsid w:val="001125EC"/>
    <w:rsid w:val="00112764"/>
    <w:rsid w:val="00112874"/>
    <w:rsid w:val="0011290E"/>
    <w:rsid w:val="001129F1"/>
    <w:rsid w:val="00112AE6"/>
    <w:rsid w:val="001130AD"/>
    <w:rsid w:val="00113283"/>
    <w:rsid w:val="001133DC"/>
    <w:rsid w:val="00113742"/>
    <w:rsid w:val="0011388A"/>
    <w:rsid w:val="0011395E"/>
    <w:rsid w:val="00113A1B"/>
    <w:rsid w:val="00113ED8"/>
    <w:rsid w:val="00113F17"/>
    <w:rsid w:val="00113F68"/>
    <w:rsid w:val="00114295"/>
    <w:rsid w:val="001145E5"/>
    <w:rsid w:val="0011473F"/>
    <w:rsid w:val="00114767"/>
    <w:rsid w:val="001147F6"/>
    <w:rsid w:val="0011495C"/>
    <w:rsid w:val="00114C31"/>
    <w:rsid w:val="00114C66"/>
    <w:rsid w:val="00114F54"/>
    <w:rsid w:val="00115015"/>
    <w:rsid w:val="00115063"/>
    <w:rsid w:val="001151FF"/>
    <w:rsid w:val="00115430"/>
    <w:rsid w:val="001157B4"/>
    <w:rsid w:val="00115CCD"/>
    <w:rsid w:val="00115D86"/>
    <w:rsid w:val="00116171"/>
    <w:rsid w:val="00116295"/>
    <w:rsid w:val="001162A8"/>
    <w:rsid w:val="0011633A"/>
    <w:rsid w:val="001164C0"/>
    <w:rsid w:val="00116651"/>
    <w:rsid w:val="001167A8"/>
    <w:rsid w:val="001168C7"/>
    <w:rsid w:val="00116BD1"/>
    <w:rsid w:val="00116DD6"/>
    <w:rsid w:val="00116F25"/>
    <w:rsid w:val="001170EC"/>
    <w:rsid w:val="00117136"/>
    <w:rsid w:val="001172B2"/>
    <w:rsid w:val="0011791F"/>
    <w:rsid w:val="00120196"/>
    <w:rsid w:val="00120557"/>
    <w:rsid w:val="00120584"/>
    <w:rsid w:val="001207A8"/>
    <w:rsid w:val="00120905"/>
    <w:rsid w:val="00120969"/>
    <w:rsid w:val="00120A8E"/>
    <w:rsid w:val="00120C5E"/>
    <w:rsid w:val="00121079"/>
    <w:rsid w:val="001210C2"/>
    <w:rsid w:val="001212DC"/>
    <w:rsid w:val="0012156A"/>
    <w:rsid w:val="001215C5"/>
    <w:rsid w:val="0012198F"/>
    <w:rsid w:val="001219E5"/>
    <w:rsid w:val="00121DFA"/>
    <w:rsid w:val="0012224D"/>
    <w:rsid w:val="001223CF"/>
    <w:rsid w:val="0012252E"/>
    <w:rsid w:val="00122AB5"/>
    <w:rsid w:val="00122C9E"/>
    <w:rsid w:val="00122F43"/>
    <w:rsid w:val="00122F51"/>
    <w:rsid w:val="00123450"/>
    <w:rsid w:val="001235C6"/>
    <w:rsid w:val="001237EE"/>
    <w:rsid w:val="00123A6D"/>
    <w:rsid w:val="00123CB4"/>
    <w:rsid w:val="00123CD9"/>
    <w:rsid w:val="00123EF4"/>
    <w:rsid w:val="0012407B"/>
    <w:rsid w:val="001241EF"/>
    <w:rsid w:val="001246DD"/>
    <w:rsid w:val="00124BA4"/>
    <w:rsid w:val="00124F4A"/>
    <w:rsid w:val="00124FBC"/>
    <w:rsid w:val="00125141"/>
    <w:rsid w:val="001252F8"/>
    <w:rsid w:val="001254D8"/>
    <w:rsid w:val="00125977"/>
    <w:rsid w:val="00125A94"/>
    <w:rsid w:val="00125DE3"/>
    <w:rsid w:val="00126012"/>
    <w:rsid w:val="001260ED"/>
    <w:rsid w:val="0012621C"/>
    <w:rsid w:val="00126290"/>
    <w:rsid w:val="00126291"/>
    <w:rsid w:val="001263AB"/>
    <w:rsid w:val="0012661F"/>
    <w:rsid w:val="00126760"/>
    <w:rsid w:val="001269EA"/>
    <w:rsid w:val="001272CC"/>
    <w:rsid w:val="0012744B"/>
    <w:rsid w:val="00127517"/>
    <w:rsid w:val="00127903"/>
    <w:rsid w:val="00127AB4"/>
    <w:rsid w:val="00130201"/>
    <w:rsid w:val="001305B1"/>
    <w:rsid w:val="00130684"/>
    <w:rsid w:val="001309ED"/>
    <w:rsid w:val="00130B5F"/>
    <w:rsid w:val="00130F16"/>
    <w:rsid w:val="001313D7"/>
    <w:rsid w:val="00131C2A"/>
    <w:rsid w:val="00132563"/>
    <w:rsid w:val="00132576"/>
    <w:rsid w:val="001327AC"/>
    <w:rsid w:val="00132827"/>
    <w:rsid w:val="00132C72"/>
    <w:rsid w:val="00132C8B"/>
    <w:rsid w:val="001333C2"/>
    <w:rsid w:val="00133557"/>
    <w:rsid w:val="001337C9"/>
    <w:rsid w:val="0013393D"/>
    <w:rsid w:val="00133B00"/>
    <w:rsid w:val="00133BF7"/>
    <w:rsid w:val="00133CDA"/>
    <w:rsid w:val="00134012"/>
    <w:rsid w:val="00134356"/>
    <w:rsid w:val="00134392"/>
    <w:rsid w:val="0013439E"/>
    <w:rsid w:val="001344CC"/>
    <w:rsid w:val="0013450E"/>
    <w:rsid w:val="0013455D"/>
    <w:rsid w:val="00134737"/>
    <w:rsid w:val="0013478E"/>
    <w:rsid w:val="00134E94"/>
    <w:rsid w:val="00135024"/>
    <w:rsid w:val="001352E0"/>
    <w:rsid w:val="001353DC"/>
    <w:rsid w:val="00135419"/>
    <w:rsid w:val="0013561F"/>
    <w:rsid w:val="00135744"/>
    <w:rsid w:val="00135B5B"/>
    <w:rsid w:val="00135E6B"/>
    <w:rsid w:val="00135F4E"/>
    <w:rsid w:val="001361B1"/>
    <w:rsid w:val="00136392"/>
    <w:rsid w:val="00136719"/>
    <w:rsid w:val="00136ABE"/>
    <w:rsid w:val="00136AE9"/>
    <w:rsid w:val="00136B1D"/>
    <w:rsid w:val="00136B83"/>
    <w:rsid w:val="00136ED5"/>
    <w:rsid w:val="00137401"/>
    <w:rsid w:val="001375D4"/>
    <w:rsid w:val="00137689"/>
    <w:rsid w:val="00137806"/>
    <w:rsid w:val="001378D0"/>
    <w:rsid w:val="001378D4"/>
    <w:rsid w:val="001379F7"/>
    <w:rsid w:val="00137A0D"/>
    <w:rsid w:val="00137A23"/>
    <w:rsid w:val="00137B50"/>
    <w:rsid w:val="00137C35"/>
    <w:rsid w:val="00137D86"/>
    <w:rsid w:val="0014031C"/>
    <w:rsid w:val="00140499"/>
    <w:rsid w:val="001407C3"/>
    <w:rsid w:val="001409DF"/>
    <w:rsid w:val="00140B65"/>
    <w:rsid w:val="00140B7A"/>
    <w:rsid w:val="00140F02"/>
    <w:rsid w:val="001410CF"/>
    <w:rsid w:val="0014114B"/>
    <w:rsid w:val="00141440"/>
    <w:rsid w:val="00141841"/>
    <w:rsid w:val="00141AC3"/>
    <w:rsid w:val="00141B7C"/>
    <w:rsid w:val="00141E28"/>
    <w:rsid w:val="001423FD"/>
    <w:rsid w:val="001424C3"/>
    <w:rsid w:val="00142682"/>
    <w:rsid w:val="00142895"/>
    <w:rsid w:val="00142CC1"/>
    <w:rsid w:val="00142CD3"/>
    <w:rsid w:val="00142D0D"/>
    <w:rsid w:val="00142E1E"/>
    <w:rsid w:val="00142E3A"/>
    <w:rsid w:val="00142EA3"/>
    <w:rsid w:val="001430B7"/>
    <w:rsid w:val="00143373"/>
    <w:rsid w:val="001433B4"/>
    <w:rsid w:val="001434BD"/>
    <w:rsid w:val="001438B3"/>
    <w:rsid w:val="00143A8E"/>
    <w:rsid w:val="00143C81"/>
    <w:rsid w:val="00144009"/>
    <w:rsid w:val="00144551"/>
    <w:rsid w:val="001445D7"/>
    <w:rsid w:val="001445ED"/>
    <w:rsid w:val="0014464C"/>
    <w:rsid w:val="001447BE"/>
    <w:rsid w:val="00144E7F"/>
    <w:rsid w:val="00144EFF"/>
    <w:rsid w:val="001454B6"/>
    <w:rsid w:val="00145A14"/>
    <w:rsid w:val="00145D70"/>
    <w:rsid w:val="001461B8"/>
    <w:rsid w:val="001461C6"/>
    <w:rsid w:val="00146487"/>
    <w:rsid w:val="0014650B"/>
    <w:rsid w:val="00146557"/>
    <w:rsid w:val="0014676A"/>
    <w:rsid w:val="00146797"/>
    <w:rsid w:val="00146918"/>
    <w:rsid w:val="00146A0D"/>
    <w:rsid w:val="00147097"/>
    <w:rsid w:val="001471D3"/>
    <w:rsid w:val="001476AC"/>
    <w:rsid w:val="0014784D"/>
    <w:rsid w:val="0014798F"/>
    <w:rsid w:val="00147D6B"/>
    <w:rsid w:val="00147FED"/>
    <w:rsid w:val="00150023"/>
    <w:rsid w:val="001503E4"/>
    <w:rsid w:val="00150597"/>
    <w:rsid w:val="001505D7"/>
    <w:rsid w:val="001507F2"/>
    <w:rsid w:val="0015086D"/>
    <w:rsid w:val="0015090B"/>
    <w:rsid w:val="00150B91"/>
    <w:rsid w:val="00150C46"/>
    <w:rsid w:val="00150C57"/>
    <w:rsid w:val="00150CBD"/>
    <w:rsid w:val="00150D05"/>
    <w:rsid w:val="00150FED"/>
    <w:rsid w:val="00151172"/>
    <w:rsid w:val="00151242"/>
    <w:rsid w:val="001512F2"/>
    <w:rsid w:val="001513C5"/>
    <w:rsid w:val="00151529"/>
    <w:rsid w:val="001516E4"/>
    <w:rsid w:val="001519B7"/>
    <w:rsid w:val="00151BD9"/>
    <w:rsid w:val="00151BEB"/>
    <w:rsid w:val="00151DB8"/>
    <w:rsid w:val="00151E8D"/>
    <w:rsid w:val="00151EFF"/>
    <w:rsid w:val="00152084"/>
    <w:rsid w:val="001525D8"/>
    <w:rsid w:val="00152870"/>
    <w:rsid w:val="00152D09"/>
    <w:rsid w:val="00152F1F"/>
    <w:rsid w:val="00153250"/>
    <w:rsid w:val="001532C6"/>
    <w:rsid w:val="00153692"/>
    <w:rsid w:val="001536BC"/>
    <w:rsid w:val="0015390B"/>
    <w:rsid w:val="00153A7A"/>
    <w:rsid w:val="00153FB8"/>
    <w:rsid w:val="00154122"/>
    <w:rsid w:val="001541A4"/>
    <w:rsid w:val="00154385"/>
    <w:rsid w:val="00154485"/>
    <w:rsid w:val="001545C5"/>
    <w:rsid w:val="00154AA9"/>
    <w:rsid w:val="00154B07"/>
    <w:rsid w:val="00154B98"/>
    <w:rsid w:val="00154BB4"/>
    <w:rsid w:val="00155271"/>
    <w:rsid w:val="00155299"/>
    <w:rsid w:val="0015558A"/>
    <w:rsid w:val="00155614"/>
    <w:rsid w:val="0015566E"/>
    <w:rsid w:val="001556DC"/>
    <w:rsid w:val="001559B7"/>
    <w:rsid w:val="001559CE"/>
    <w:rsid w:val="00155C61"/>
    <w:rsid w:val="00155C80"/>
    <w:rsid w:val="001560F3"/>
    <w:rsid w:val="001563CA"/>
    <w:rsid w:val="00156447"/>
    <w:rsid w:val="001564B8"/>
    <w:rsid w:val="001567A2"/>
    <w:rsid w:val="00156837"/>
    <w:rsid w:val="00156AEE"/>
    <w:rsid w:val="00156DAD"/>
    <w:rsid w:val="00156F24"/>
    <w:rsid w:val="00157481"/>
    <w:rsid w:val="001575A4"/>
    <w:rsid w:val="00157813"/>
    <w:rsid w:val="00157919"/>
    <w:rsid w:val="00157AD7"/>
    <w:rsid w:val="001600F4"/>
    <w:rsid w:val="00160323"/>
    <w:rsid w:val="00160538"/>
    <w:rsid w:val="0016058F"/>
    <w:rsid w:val="00160D44"/>
    <w:rsid w:val="001610A2"/>
    <w:rsid w:val="00161152"/>
    <w:rsid w:val="00161291"/>
    <w:rsid w:val="00161390"/>
    <w:rsid w:val="00161400"/>
    <w:rsid w:val="0016157C"/>
    <w:rsid w:val="0016177C"/>
    <w:rsid w:val="00161907"/>
    <w:rsid w:val="00161D71"/>
    <w:rsid w:val="00161DC4"/>
    <w:rsid w:val="00161DD5"/>
    <w:rsid w:val="001622FA"/>
    <w:rsid w:val="00162334"/>
    <w:rsid w:val="00162507"/>
    <w:rsid w:val="00162EAA"/>
    <w:rsid w:val="00162EBA"/>
    <w:rsid w:val="00162F51"/>
    <w:rsid w:val="001630BD"/>
    <w:rsid w:val="001630CB"/>
    <w:rsid w:val="00163151"/>
    <w:rsid w:val="0016319B"/>
    <w:rsid w:val="0016338B"/>
    <w:rsid w:val="00163505"/>
    <w:rsid w:val="00163528"/>
    <w:rsid w:val="001635C6"/>
    <w:rsid w:val="0016361D"/>
    <w:rsid w:val="00163714"/>
    <w:rsid w:val="00163807"/>
    <w:rsid w:val="00163811"/>
    <w:rsid w:val="001639DC"/>
    <w:rsid w:val="00163A39"/>
    <w:rsid w:val="00163B1D"/>
    <w:rsid w:val="00164089"/>
    <w:rsid w:val="0016428F"/>
    <w:rsid w:val="00164540"/>
    <w:rsid w:val="00164745"/>
    <w:rsid w:val="00164773"/>
    <w:rsid w:val="001647E0"/>
    <w:rsid w:val="0016481C"/>
    <w:rsid w:val="00164952"/>
    <w:rsid w:val="00164A5A"/>
    <w:rsid w:val="00165179"/>
    <w:rsid w:val="0016535A"/>
    <w:rsid w:val="00165596"/>
    <w:rsid w:val="001656A7"/>
    <w:rsid w:val="0016593B"/>
    <w:rsid w:val="001659D7"/>
    <w:rsid w:val="00166046"/>
    <w:rsid w:val="001663CC"/>
    <w:rsid w:val="0016674C"/>
    <w:rsid w:val="00166D13"/>
    <w:rsid w:val="00166DD9"/>
    <w:rsid w:val="00166EAA"/>
    <w:rsid w:val="00166F77"/>
    <w:rsid w:val="00167421"/>
    <w:rsid w:val="00167448"/>
    <w:rsid w:val="001676B4"/>
    <w:rsid w:val="00167A26"/>
    <w:rsid w:val="00167ABC"/>
    <w:rsid w:val="00167B07"/>
    <w:rsid w:val="001700F8"/>
    <w:rsid w:val="00170317"/>
    <w:rsid w:val="001703C7"/>
    <w:rsid w:val="001705FE"/>
    <w:rsid w:val="0017072F"/>
    <w:rsid w:val="0017080C"/>
    <w:rsid w:val="001708DE"/>
    <w:rsid w:val="00170E69"/>
    <w:rsid w:val="00170EC4"/>
    <w:rsid w:val="00171460"/>
    <w:rsid w:val="0017165E"/>
    <w:rsid w:val="00171B05"/>
    <w:rsid w:val="00171BF3"/>
    <w:rsid w:val="00171C24"/>
    <w:rsid w:val="00171EAC"/>
    <w:rsid w:val="00171FC4"/>
    <w:rsid w:val="00172241"/>
    <w:rsid w:val="00172577"/>
    <w:rsid w:val="0017272C"/>
    <w:rsid w:val="0017280C"/>
    <w:rsid w:val="00172886"/>
    <w:rsid w:val="00172B2C"/>
    <w:rsid w:val="0017336F"/>
    <w:rsid w:val="001733A2"/>
    <w:rsid w:val="0017348C"/>
    <w:rsid w:val="001737FA"/>
    <w:rsid w:val="00173819"/>
    <w:rsid w:val="00173849"/>
    <w:rsid w:val="00173A75"/>
    <w:rsid w:val="00173BBC"/>
    <w:rsid w:val="00173C8A"/>
    <w:rsid w:val="00173C91"/>
    <w:rsid w:val="00173E9E"/>
    <w:rsid w:val="001741BE"/>
    <w:rsid w:val="00174650"/>
    <w:rsid w:val="001746EA"/>
    <w:rsid w:val="00174899"/>
    <w:rsid w:val="00174DC9"/>
    <w:rsid w:val="00174DE5"/>
    <w:rsid w:val="001750A8"/>
    <w:rsid w:val="001755E1"/>
    <w:rsid w:val="0017592B"/>
    <w:rsid w:val="00175BE1"/>
    <w:rsid w:val="00175D88"/>
    <w:rsid w:val="00175DA9"/>
    <w:rsid w:val="00175F35"/>
    <w:rsid w:val="00176004"/>
    <w:rsid w:val="00176007"/>
    <w:rsid w:val="0017659B"/>
    <w:rsid w:val="00176607"/>
    <w:rsid w:val="00176B38"/>
    <w:rsid w:val="00176D14"/>
    <w:rsid w:val="00176D6F"/>
    <w:rsid w:val="00176DE7"/>
    <w:rsid w:val="00176F60"/>
    <w:rsid w:val="00177268"/>
    <w:rsid w:val="001773ED"/>
    <w:rsid w:val="0017745F"/>
    <w:rsid w:val="00177648"/>
    <w:rsid w:val="001776D0"/>
    <w:rsid w:val="0017776D"/>
    <w:rsid w:val="00177AC6"/>
    <w:rsid w:val="00177C21"/>
    <w:rsid w:val="00177EBC"/>
    <w:rsid w:val="00177ED8"/>
    <w:rsid w:val="001800D6"/>
    <w:rsid w:val="001801D6"/>
    <w:rsid w:val="00180288"/>
    <w:rsid w:val="001803F5"/>
    <w:rsid w:val="001806BD"/>
    <w:rsid w:val="00180939"/>
    <w:rsid w:val="00180A45"/>
    <w:rsid w:val="00180AF6"/>
    <w:rsid w:val="00180C4B"/>
    <w:rsid w:val="00180D7F"/>
    <w:rsid w:val="0018109A"/>
    <w:rsid w:val="00181166"/>
    <w:rsid w:val="001813C7"/>
    <w:rsid w:val="00181E31"/>
    <w:rsid w:val="00181E3A"/>
    <w:rsid w:val="00181E52"/>
    <w:rsid w:val="00181E81"/>
    <w:rsid w:val="0018220F"/>
    <w:rsid w:val="0018229B"/>
    <w:rsid w:val="001828BF"/>
    <w:rsid w:val="0018293D"/>
    <w:rsid w:val="001829B2"/>
    <w:rsid w:val="00182A4D"/>
    <w:rsid w:val="00182E02"/>
    <w:rsid w:val="00182E50"/>
    <w:rsid w:val="00182E7A"/>
    <w:rsid w:val="00182F27"/>
    <w:rsid w:val="00183313"/>
    <w:rsid w:val="00183579"/>
    <w:rsid w:val="001836C5"/>
    <w:rsid w:val="001839D4"/>
    <w:rsid w:val="00183A4E"/>
    <w:rsid w:val="00183AC5"/>
    <w:rsid w:val="00183E6F"/>
    <w:rsid w:val="001840E9"/>
    <w:rsid w:val="00184695"/>
    <w:rsid w:val="0018493A"/>
    <w:rsid w:val="00184959"/>
    <w:rsid w:val="00184B75"/>
    <w:rsid w:val="001851DE"/>
    <w:rsid w:val="00185363"/>
    <w:rsid w:val="00185557"/>
    <w:rsid w:val="001856C3"/>
    <w:rsid w:val="00185B19"/>
    <w:rsid w:val="00185EFE"/>
    <w:rsid w:val="00186057"/>
    <w:rsid w:val="0018630C"/>
    <w:rsid w:val="001867D5"/>
    <w:rsid w:val="00186CA0"/>
    <w:rsid w:val="00186DF2"/>
    <w:rsid w:val="00186E6C"/>
    <w:rsid w:val="00186F2A"/>
    <w:rsid w:val="00186FB2"/>
    <w:rsid w:val="0019013F"/>
    <w:rsid w:val="00190306"/>
    <w:rsid w:val="0019059C"/>
    <w:rsid w:val="001905D4"/>
    <w:rsid w:val="0019092C"/>
    <w:rsid w:val="00190C60"/>
    <w:rsid w:val="00190C9C"/>
    <w:rsid w:val="00191196"/>
    <w:rsid w:val="00191594"/>
    <w:rsid w:val="00191606"/>
    <w:rsid w:val="001917C1"/>
    <w:rsid w:val="00191912"/>
    <w:rsid w:val="00191957"/>
    <w:rsid w:val="00191F37"/>
    <w:rsid w:val="0019204D"/>
    <w:rsid w:val="001922C5"/>
    <w:rsid w:val="0019266D"/>
    <w:rsid w:val="00192843"/>
    <w:rsid w:val="0019295D"/>
    <w:rsid w:val="00192A04"/>
    <w:rsid w:val="00192E49"/>
    <w:rsid w:val="00193177"/>
    <w:rsid w:val="00193346"/>
    <w:rsid w:val="00193436"/>
    <w:rsid w:val="00193595"/>
    <w:rsid w:val="0019373B"/>
    <w:rsid w:val="00193809"/>
    <w:rsid w:val="00193822"/>
    <w:rsid w:val="001939B3"/>
    <w:rsid w:val="00193A08"/>
    <w:rsid w:val="00193ADC"/>
    <w:rsid w:val="00193D11"/>
    <w:rsid w:val="00193E59"/>
    <w:rsid w:val="00193E60"/>
    <w:rsid w:val="001941C1"/>
    <w:rsid w:val="0019454A"/>
    <w:rsid w:val="00194583"/>
    <w:rsid w:val="001945C7"/>
    <w:rsid w:val="0019464A"/>
    <w:rsid w:val="001946D8"/>
    <w:rsid w:val="00194764"/>
    <w:rsid w:val="001947F9"/>
    <w:rsid w:val="00194A06"/>
    <w:rsid w:val="00194AB9"/>
    <w:rsid w:val="00194D89"/>
    <w:rsid w:val="00194E25"/>
    <w:rsid w:val="0019556D"/>
    <w:rsid w:val="0019579E"/>
    <w:rsid w:val="001958AD"/>
    <w:rsid w:val="00195BA7"/>
    <w:rsid w:val="001960CB"/>
    <w:rsid w:val="00196522"/>
    <w:rsid w:val="00196695"/>
    <w:rsid w:val="00196A56"/>
    <w:rsid w:val="00196A95"/>
    <w:rsid w:val="00196FA6"/>
    <w:rsid w:val="00197369"/>
    <w:rsid w:val="0019737D"/>
    <w:rsid w:val="001976FC"/>
    <w:rsid w:val="00197799"/>
    <w:rsid w:val="00197B6E"/>
    <w:rsid w:val="00197E86"/>
    <w:rsid w:val="001A0279"/>
    <w:rsid w:val="001A031C"/>
    <w:rsid w:val="001A048F"/>
    <w:rsid w:val="001A0597"/>
    <w:rsid w:val="001A0B61"/>
    <w:rsid w:val="001A1126"/>
    <w:rsid w:val="001A11BA"/>
    <w:rsid w:val="001A1302"/>
    <w:rsid w:val="001A13B0"/>
    <w:rsid w:val="001A15AE"/>
    <w:rsid w:val="001A167F"/>
    <w:rsid w:val="001A18AE"/>
    <w:rsid w:val="001A19F1"/>
    <w:rsid w:val="001A1A27"/>
    <w:rsid w:val="001A1CA6"/>
    <w:rsid w:val="001A1D45"/>
    <w:rsid w:val="001A1DC7"/>
    <w:rsid w:val="001A1E1E"/>
    <w:rsid w:val="001A1E5B"/>
    <w:rsid w:val="001A2240"/>
    <w:rsid w:val="001A226D"/>
    <w:rsid w:val="001A22E3"/>
    <w:rsid w:val="001A2C12"/>
    <w:rsid w:val="001A2C7E"/>
    <w:rsid w:val="001A2F71"/>
    <w:rsid w:val="001A2F97"/>
    <w:rsid w:val="001A32B5"/>
    <w:rsid w:val="001A3300"/>
    <w:rsid w:val="001A35D3"/>
    <w:rsid w:val="001A374F"/>
    <w:rsid w:val="001A3AE2"/>
    <w:rsid w:val="001A3B6B"/>
    <w:rsid w:val="001A3CFB"/>
    <w:rsid w:val="001A3D9E"/>
    <w:rsid w:val="001A3E12"/>
    <w:rsid w:val="001A45F1"/>
    <w:rsid w:val="001A46FD"/>
    <w:rsid w:val="001A4C84"/>
    <w:rsid w:val="001A5095"/>
    <w:rsid w:val="001A5126"/>
    <w:rsid w:val="001A5191"/>
    <w:rsid w:val="001A5354"/>
    <w:rsid w:val="001A5594"/>
    <w:rsid w:val="001A5B2D"/>
    <w:rsid w:val="001A5C39"/>
    <w:rsid w:val="001A5EEB"/>
    <w:rsid w:val="001A689B"/>
    <w:rsid w:val="001A6913"/>
    <w:rsid w:val="001A6A79"/>
    <w:rsid w:val="001A6BCF"/>
    <w:rsid w:val="001A7193"/>
    <w:rsid w:val="001A71CB"/>
    <w:rsid w:val="001A7211"/>
    <w:rsid w:val="001A72C3"/>
    <w:rsid w:val="001A7391"/>
    <w:rsid w:val="001A73E1"/>
    <w:rsid w:val="001A74FE"/>
    <w:rsid w:val="001A7611"/>
    <w:rsid w:val="001A76BD"/>
    <w:rsid w:val="001A77F8"/>
    <w:rsid w:val="001A7C80"/>
    <w:rsid w:val="001B0138"/>
    <w:rsid w:val="001B01AA"/>
    <w:rsid w:val="001B03B2"/>
    <w:rsid w:val="001B03E1"/>
    <w:rsid w:val="001B046B"/>
    <w:rsid w:val="001B051A"/>
    <w:rsid w:val="001B0B86"/>
    <w:rsid w:val="001B0C6C"/>
    <w:rsid w:val="001B0E11"/>
    <w:rsid w:val="001B102A"/>
    <w:rsid w:val="001B13F6"/>
    <w:rsid w:val="001B1687"/>
    <w:rsid w:val="001B1AB6"/>
    <w:rsid w:val="001B1C0D"/>
    <w:rsid w:val="001B1E83"/>
    <w:rsid w:val="001B207E"/>
    <w:rsid w:val="001B20FA"/>
    <w:rsid w:val="001B2769"/>
    <w:rsid w:val="001B2B23"/>
    <w:rsid w:val="001B2E9E"/>
    <w:rsid w:val="001B3157"/>
    <w:rsid w:val="001B3287"/>
    <w:rsid w:val="001B3395"/>
    <w:rsid w:val="001B34E3"/>
    <w:rsid w:val="001B3937"/>
    <w:rsid w:val="001B39CB"/>
    <w:rsid w:val="001B39F6"/>
    <w:rsid w:val="001B3C29"/>
    <w:rsid w:val="001B45A3"/>
    <w:rsid w:val="001B45D7"/>
    <w:rsid w:val="001B4B7F"/>
    <w:rsid w:val="001B4BB4"/>
    <w:rsid w:val="001B4BEF"/>
    <w:rsid w:val="001B4E5B"/>
    <w:rsid w:val="001B4FBA"/>
    <w:rsid w:val="001B53C8"/>
    <w:rsid w:val="001B54AA"/>
    <w:rsid w:val="001B55C8"/>
    <w:rsid w:val="001B5732"/>
    <w:rsid w:val="001B5751"/>
    <w:rsid w:val="001B58DA"/>
    <w:rsid w:val="001B59DA"/>
    <w:rsid w:val="001B5BED"/>
    <w:rsid w:val="001B5F4F"/>
    <w:rsid w:val="001B5FE7"/>
    <w:rsid w:val="001B625C"/>
    <w:rsid w:val="001B658D"/>
    <w:rsid w:val="001B67D3"/>
    <w:rsid w:val="001B69C4"/>
    <w:rsid w:val="001B6AAD"/>
    <w:rsid w:val="001B6E96"/>
    <w:rsid w:val="001B708F"/>
    <w:rsid w:val="001B70D3"/>
    <w:rsid w:val="001B7177"/>
    <w:rsid w:val="001B778D"/>
    <w:rsid w:val="001B7C58"/>
    <w:rsid w:val="001B7C6C"/>
    <w:rsid w:val="001B7E2E"/>
    <w:rsid w:val="001C038E"/>
    <w:rsid w:val="001C0933"/>
    <w:rsid w:val="001C0A53"/>
    <w:rsid w:val="001C0A67"/>
    <w:rsid w:val="001C0DE4"/>
    <w:rsid w:val="001C0F95"/>
    <w:rsid w:val="001C0FD6"/>
    <w:rsid w:val="001C101E"/>
    <w:rsid w:val="001C13D1"/>
    <w:rsid w:val="001C13E8"/>
    <w:rsid w:val="001C15AD"/>
    <w:rsid w:val="001C15CD"/>
    <w:rsid w:val="001C168D"/>
    <w:rsid w:val="001C16A1"/>
    <w:rsid w:val="001C1778"/>
    <w:rsid w:val="001C1A1D"/>
    <w:rsid w:val="001C1DFE"/>
    <w:rsid w:val="001C2142"/>
    <w:rsid w:val="001C229E"/>
    <w:rsid w:val="001C2754"/>
    <w:rsid w:val="001C27AF"/>
    <w:rsid w:val="001C2953"/>
    <w:rsid w:val="001C2C85"/>
    <w:rsid w:val="001C2D50"/>
    <w:rsid w:val="001C2DC6"/>
    <w:rsid w:val="001C2E3D"/>
    <w:rsid w:val="001C2E9A"/>
    <w:rsid w:val="001C2EAF"/>
    <w:rsid w:val="001C2EEE"/>
    <w:rsid w:val="001C3134"/>
    <w:rsid w:val="001C327C"/>
    <w:rsid w:val="001C3297"/>
    <w:rsid w:val="001C3568"/>
    <w:rsid w:val="001C371F"/>
    <w:rsid w:val="001C398E"/>
    <w:rsid w:val="001C40A9"/>
    <w:rsid w:val="001C422E"/>
    <w:rsid w:val="001C43AD"/>
    <w:rsid w:val="001C441F"/>
    <w:rsid w:val="001C46AA"/>
    <w:rsid w:val="001C46DA"/>
    <w:rsid w:val="001C47E1"/>
    <w:rsid w:val="001C4C63"/>
    <w:rsid w:val="001C4D40"/>
    <w:rsid w:val="001C4F56"/>
    <w:rsid w:val="001C531A"/>
    <w:rsid w:val="001C58BF"/>
    <w:rsid w:val="001C5B5A"/>
    <w:rsid w:val="001C5F2D"/>
    <w:rsid w:val="001C602E"/>
    <w:rsid w:val="001C6445"/>
    <w:rsid w:val="001C64D3"/>
    <w:rsid w:val="001C65F6"/>
    <w:rsid w:val="001C6730"/>
    <w:rsid w:val="001C6777"/>
    <w:rsid w:val="001C6F16"/>
    <w:rsid w:val="001C6F9C"/>
    <w:rsid w:val="001C7065"/>
    <w:rsid w:val="001C7408"/>
    <w:rsid w:val="001C75DA"/>
    <w:rsid w:val="001C75E9"/>
    <w:rsid w:val="001C761A"/>
    <w:rsid w:val="001C7699"/>
    <w:rsid w:val="001C76C4"/>
    <w:rsid w:val="001C782C"/>
    <w:rsid w:val="001C7E01"/>
    <w:rsid w:val="001C7FC9"/>
    <w:rsid w:val="001D0052"/>
    <w:rsid w:val="001D0103"/>
    <w:rsid w:val="001D0230"/>
    <w:rsid w:val="001D088D"/>
    <w:rsid w:val="001D0B11"/>
    <w:rsid w:val="001D0C01"/>
    <w:rsid w:val="001D0DA8"/>
    <w:rsid w:val="001D1190"/>
    <w:rsid w:val="001D1212"/>
    <w:rsid w:val="001D16C0"/>
    <w:rsid w:val="001D1825"/>
    <w:rsid w:val="001D19FA"/>
    <w:rsid w:val="001D1DE0"/>
    <w:rsid w:val="001D22EB"/>
    <w:rsid w:val="001D2584"/>
    <w:rsid w:val="001D2624"/>
    <w:rsid w:val="001D2719"/>
    <w:rsid w:val="001D28D9"/>
    <w:rsid w:val="001D2C27"/>
    <w:rsid w:val="001D2C4A"/>
    <w:rsid w:val="001D31B3"/>
    <w:rsid w:val="001D3471"/>
    <w:rsid w:val="001D381F"/>
    <w:rsid w:val="001D3B6E"/>
    <w:rsid w:val="001D3CE2"/>
    <w:rsid w:val="001D3F54"/>
    <w:rsid w:val="001D410D"/>
    <w:rsid w:val="001D44EA"/>
    <w:rsid w:val="001D45AD"/>
    <w:rsid w:val="001D45B3"/>
    <w:rsid w:val="001D492F"/>
    <w:rsid w:val="001D4B01"/>
    <w:rsid w:val="001D4CE6"/>
    <w:rsid w:val="001D4D45"/>
    <w:rsid w:val="001D5120"/>
    <w:rsid w:val="001D5170"/>
    <w:rsid w:val="001D5345"/>
    <w:rsid w:val="001D54CD"/>
    <w:rsid w:val="001D58BB"/>
    <w:rsid w:val="001D593F"/>
    <w:rsid w:val="001D59CC"/>
    <w:rsid w:val="001D5B40"/>
    <w:rsid w:val="001D5BA0"/>
    <w:rsid w:val="001D61FC"/>
    <w:rsid w:val="001D6375"/>
    <w:rsid w:val="001D6A98"/>
    <w:rsid w:val="001D6C64"/>
    <w:rsid w:val="001D6E3F"/>
    <w:rsid w:val="001D6E80"/>
    <w:rsid w:val="001D70BF"/>
    <w:rsid w:val="001D722C"/>
    <w:rsid w:val="001D725D"/>
    <w:rsid w:val="001D7286"/>
    <w:rsid w:val="001D747F"/>
    <w:rsid w:val="001D75A1"/>
    <w:rsid w:val="001D772E"/>
    <w:rsid w:val="001D77DE"/>
    <w:rsid w:val="001D7885"/>
    <w:rsid w:val="001D78D4"/>
    <w:rsid w:val="001D7D04"/>
    <w:rsid w:val="001D7F98"/>
    <w:rsid w:val="001D7FEF"/>
    <w:rsid w:val="001E02D4"/>
    <w:rsid w:val="001E0C77"/>
    <w:rsid w:val="001E0F58"/>
    <w:rsid w:val="001E1068"/>
    <w:rsid w:val="001E1073"/>
    <w:rsid w:val="001E1194"/>
    <w:rsid w:val="001E1221"/>
    <w:rsid w:val="001E1483"/>
    <w:rsid w:val="001E1790"/>
    <w:rsid w:val="001E1982"/>
    <w:rsid w:val="001E1AA4"/>
    <w:rsid w:val="001E1D23"/>
    <w:rsid w:val="001E1D69"/>
    <w:rsid w:val="001E1E8F"/>
    <w:rsid w:val="001E1EA6"/>
    <w:rsid w:val="001E20BC"/>
    <w:rsid w:val="001E236F"/>
    <w:rsid w:val="001E23BB"/>
    <w:rsid w:val="001E241D"/>
    <w:rsid w:val="001E244F"/>
    <w:rsid w:val="001E2538"/>
    <w:rsid w:val="001E25F5"/>
    <w:rsid w:val="001E262E"/>
    <w:rsid w:val="001E2A36"/>
    <w:rsid w:val="001E2C95"/>
    <w:rsid w:val="001E2D1E"/>
    <w:rsid w:val="001E2F17"/>
    <w:rsid w:val="001E3474"/>
    <w:rsid w:val="001E34F0"/>
    <w:rsid w:val="001E37AC"/>
    <w:rsid w:val="001E395A"/>
    <w:rsid w:val="001E3B28"/>
    <w:rsid w:val="001E3D38"/>
    <w:rsid w:val="001E3F1C"/>
    <w:rsid w:val="001E4739"/>
    <w:rsid w:val="001E47D2"/>
    <w:rsid w:val="001E5175"/>
    <w:rsid w:val="001E5468"/>
    <w:rsid w:val="001E5624"/>
    <w:rsid w:val="001E56B5"/>
    <w:rsid w:val="001E56C0"/>
    <w:rsid w:val="001E56ED"/>
    <w:rsid w:val="001E58E6"/>
    <w:rsid w:val="001E6062"/>
    <w:rsid w:val="001E629A"/>
    <w:rsid w:val="001E6516"/>
    <w:rsid w:val="001E6821"/>
    <w:rsid w:val="001E68C5"/>
    <w:rsid w:val="001E6F8C"/>
    <w:rsid w:val="001E6FAC"/>
    <w:rsid w:val="001E7037"/>
    <w:rsid w:val="001E70DB"/>
    <w:rsid w:val="001E712A"/>
    <w:rsid w:val="001E7171"/>
    <w:rsid w:val="001E7313"/>
    <w:rsid w:val="001E758B"/>
    <w:rsid w:val="001E7729"/>
    <w:rsid w:val="001E782F"/>
    <w:rsid w:val="001E7A4C"/>
    <w:rsid w:val="001E7BA6"/>
    <w:rsid w:val="001E7F51"/>
    <w:rsid w:val="001E7FC0"/>
    <w:rsid w:val="001F02B1"/>
    <w:rsid w:val="001F02FC"/>
    <w:rsid w:val="001F03BB"/>
    <w:rsid w:val="001F055E"/>
    <w:rsid w:val="001F06AA"/>
    <w:rsid w:val="001F06D6"/>
    <w:rsid w:val="001F06E3"/>
    <w:rsid w:val="001F0B43"/>
    <w:rsid w:val="001F0D36"/>
    <w:rsid w:val="001F0D89"/>
    <w:rsid w:val="001F0DA3"/>
    <w:rsid w:val="001F0EC1"/>
    <w:rsid w:val="001F1157"/>
    <w:rsid w:val="001F1329"/>
    <w:rsid w:val="001F1357"/>
    <w:rsid w:val="001F16FE"/>
    <w:rsid w:val="001F173B"/>
    <w:rsid w:val="001F175C"/>
    <w:rsid w:val="001F17F0"/>
    <w:rsid w:val="001F185B"/>
    <w:rsid w:val="001F1927"/>
    <w:rsid w:val="001F19CD"/>
    <w:rsid w:val="001F1A7E"/>
    <w:rsid w:val="001F1B30"/>
    <w:rsid w:val="001F1D83"/>
    <w:rsid w:val="001F1FF3"/>
    <w:rsid w:val="001F2E23"/>
    <w:rsid w:val="001F33CB"/>
    <w:rsid w:val="001F33EE"/>
    <w:rsid w:val="001F3740"/>
    <w:rsid w:val="001F37E3"/>
    <w:rsid w:val="001F382E"/>
    <w:rsid w:val="001F3A71"/>
    <w:rsid w:val="001F3DB3"/>
    <w:rsid w:val="001F4106"/>
    <w:rsid w:val="001F41DC"/>
    <w:rsid w:val="001F4DAD"/>
    <w:rsid w:val="001F4EF2"/>
    <w:rsid w:val="001F552F"/>
    <w:rsid w:val="001F5900"/>
    <w:rsid w:val="001F595E"/>
    <w:rsid w:val="001F5A0D"/>
    <w:rsid w:val="001F5AB7"/>
    <w:rsid w:val="001F5D5B"/>
    <w:rsid w:val="001F5E57"/>
    <w:rsid w:val="001F5F43"/>
    <w:rsid w:val="001F5F71"/>
    <w:rsid w:val="001F5F92"/>
    <w:rsid w:val="001F60F4"/>
    <w:rsid w:val="001F622F"/>
    <w:rsid w:val="001F65B8"/>
    <w:rsid w:val="001F674A"/>
    <w:rsid w:val="001F6876"/>
    <w:rsid w:val="001F6BEE"/>
    <w:rsid w:val="001F6C58"/>
    <w:rsid w:val="001F6C88"/>
    <w:rsid w:val="001F731F"/>
    <w:rsid w:val="001F7617"/>
    <w:rsid w:val="001F7771"/>
    <w:rsid w:val="001F79A7"/>
    <w:rsid w:val="001F7C31"/>
    <w:rsid w:val="001F7C5D"/>
    <w:rsid w:val="002000D2"/>
    <w:rsid w:val="00200596"/>
    <w:rsid w:val="0020074F"/>
    <w:rsid w:val="00200BB0"/>
    <w:rsid w:val="00200C85"/>
    <w:rsid w:val="00200D44"/>
    <w:rsid w:val="00200FDA"/>
    <w:rsid w:val="00201080"/>
    <w:rsid w:val="002012E6"/>
    <w:rsid w:val="002015A5"/>
    <w:rsid w:val="002016FD"/>
    <w:rsid w:val="00201B56"/>
    <w:rsid w:val="0020280A"/>
    <w:rsid w:val="00202943"/>
    <w:rsid w:val="00202B30"/>
    <w:rsid w:val="00202D50"/>
    <w:rsid w:val="00202DEC"/>
    <w:rsid w:val="0020338D"/>
    <w:rsid w:val="00203656"/>
    <w:rsid w:val="0020365F"/>
    <w:rsid w:val="002037A7"/>
    <w:rsid w:val="00203A80"/>
    <w:rsid w:val="00203B79"/>
    <w:rsid w:val="00203BCF"/>
    <w:rsid w:val="002041AA"/>
    <w:rsid w:val="0020463D"/>
    <w:rsid w:val="00204733"/>
    <w:rsid w:val="0020481B"/>
    <w:rsid w:val="002049A9"/>
    <w:rsid w:val="00204F03"/>
    <w:rsid w:val="00205003"/>
    <w:rsid w:val="002051BB"/>
    <w:rsid w:val="0020545F"/>
    <w:rsid w:val="00205562"/>
    <w:rsid w:val="002055BD"/>
    <w:rsid w:val="002055F1"/>
    <w:rsid w:val="00205926"/>
    <w:rsid w:val="00205D64"/>
    <w:rsid w:val="00205F94"/>
    <w:rsid w:val="0020602E"/>
    <w:rsid w:val="0020604F"/>
    <w:rsid w:val="002063D3"/>
    <w:rsid w:val="002064F3"/>
    <w:rsid w:val="002066D9"/>
    <w:rsid w:val="002066DA"/>
    <w:rsid w:val="002067CF"/>
    <w:rsid w:val="002069B8"/>
    <w:rsid w:val="00206A93"/>
    <w:rsid w:val="00206B6D"/>
    <w:rsid w:val="00206B76"/>
    <w:rsid w:val="00206C8E"/>
    <w:rsid w:val="00206E88"/>
    <w:rsid w:val="00206ED0"/>
    <w:rsid w:val="00206EF6"/>
    <w:rsid w:val="00207003"/>
    <w:rsid w:val="00207064"/>
    <w:rsid w:val="00207664"/>
    <w:rsid w:val="002077B5"/>
    <w:rsid w:val="00207820"/>
    <w:rsid w:val="00207909"/>
    <w:rsid w:val="002079E0"/>
    <w:rsid w:val="00207A57"/>
    <w:rsid w:val="00207B48"/>
    <w:rsid w:val="00207EAA"/>
    <w:rsid w:val="00207F91"/>
    <w:rsid w:val="00207FC5"/>
    <w:rsid w:val="0021006C"/>
    <w:rsid w:val="00210260"/>
    <w:rsid w:val="00210532"/>
    <w:rsid w:val="0021068D"/>
    <w:rsid w:val="002109E4"/>
    <w:rsid w:val="00210C4F"/>
    <w:rsid w:val="00210C82"/>
    <w:rsid w:val="00210EC8"/>
    <w:rsid w:val="00210F4D"/>
    <w:rsid w:val="002114C3"/>
    <w:rsid w:val="00211799"/>
    <w:rsid w:val="0021181C"/>
    <w:rsid w:val="00211823"/>
    <w:rsid w:val="0021191D"/>
    <w:rsid w:val="002119A2"/>
    <w:rsid w:val="002119E4"/>
    <w:rsid w:val="00211C1C"/>
    <w:rsid w:val="00212171"/>
    <w:rsid w:val="0021225E"/>
    <w:rsid w:val="00212280"/>
    <w:rsid w:val="00212633"/>
    <w:rsid w:val="00212638"/>
    <w:rsid w:val="00212809"/>
    <w:rsid w:val="002128E0"/>
    <w:rsid w:val="002129D5"/>
    <w:rsid w:val="00212A2D"/>
    <w:rsid w:val="00212B2F"/>
    <w:rsid w:val="00212C3C"/>
    <w:rsid w:val="00212E29"/>
    <w:rsid w:val="00213020"/>
    <w:rsid w:val="002131FC"/>
    <w:rsid w:val="00213325"/>
    <w:rsid w:val="002136D7"/>
    <w:rsid w:val="0021385C"/>
    <w:rsid w:val="00213BAC"/>
    <w:rsid w:val="00213CC8"/>
    <w:rsid w:val="00213F1B"/>
    <w:rsid w:val="002142BF"/>
    <w:rsid w:val="002142DA"/>
    <w:rsid w:val="00214501"/>
    <w:rsid w:val="00214524"/>
    <w:rsid w:val="00214712"/>
    <w:rsid w:val="00214803"/>
    <w:rsid w:val="002148F3"/>
    <w:rsid w:val="00214BED"/>
    <w:rsid w:val="00214DFC"/>
    <w:rsid w:val="00214E82"/>
    <w:rsid w:val="002153DA"/>
    <w:rsid w:val="00215652"/>
    <w:rsid w:val="002156F5"/>
    <w:rsid w:val="0021579B"/>
    <w:rsid w:val="00215874"/>
    <w:rsid w:val="002158A9"/>
    <w:rsid w:val="002159C4"/>
    <w:rsid w:val="00215FA7"/>
    <w:rsid w:val="0021658B"/>
    <w:rsid w:val="00216721"/>
    <w:rsid w:val="00216999"/>
    <w:rsid w:val="00216B12"/>
    <w:rsid w:val="00216BDA"/>
    <w:rsid w:val="00216D60"/>
    <w:rsid w:val="00216D6D"/>
    <w:rsid w:val="00217054"/>
    <w:rsid w:val="002172B4"/>
    <w:rsid w:val="00217ABF"/>
    <w:rsid w:val="00220135"/>
    <w:rsid w:val="002206E0"/>
    <w:rsid w:val="00220B3C"/>
    <w:rsid w:val="00220C82"/>
    <w:rsid w:val="00220DC3"/>
    <w:rsid w:val="00221224"/>
    <w:rsid w:val="00221252"/>
    <w:rsid w:val="0022126A"/>
    <w:rsid w:val="00221538"/>
    <w:rsid w:val="0022171A"/>
    <w:rsid w:val="00221E6E"/>
    <w:rsid w:val="002220D9"/>
    <w:rsid w:val="00222213"/>
    <w:rsid w:val="00222346"/>
    <w:rsid w:val="002227C0"/>
    <w:rsid w:val="00222835"/>
    <w:rsid w:val="0022287B"/>
    <w:rsid w:val="00222A29"/>
    <w:rsid w:val="00222A4C"/>
    <w:rsid w:val="00222C49"/>
    <w:rsid w:val="00222CB7"/>
    <w:rsid w:val="00222D20"/>
    <w:rsid w:val="00222DE6"/>
    <w:rsid w:val="00222E64"/>
    <w:rsid w:val="00223670"/>
    <w:rsid w:val="00223834"/>
    <w:rsid w:val="00223906"/>
    <w:rsid w:val="00223B39"/>
    <w:rsid w:val="00223E1A"/>
    <w:rsid w:val="00223E6A"/>
    <w:rsid w:val="00223EE2"/>
    <w:rsid w:val="00223F94"/>
    <w:rsid w:val="0022408F"/>
    <w:rsid w:val="0022432E"/>
    <w:rsid w:val="0022434B"/>
    <w:rsid w:val="00224A2D"/>
    <w:rsid w:val="00224CDE"/>
    <w:rsid w:val="00224ECE"/>
    <w:rsid w:val="00225015"/>
    <w:rsid w:val="002251F1"/>
    <w:rsid w:val="00225669"/>
    <w:rsid w:val="00225738"/>
    <w:rsid w:val="00225ADF"/>
    <w:rsid w:val="00225B49"/>
    <w:rsid w:val="00225C4C"/>
    <w:rsid w:val="00225D4E"/>
    <w:rsid w:val="00225E18"/>
    <w:rsid w:val="0022629C"/>
    <w:rsid w:val="00226615"/>
    <w:rsid w:val="00226676"/>
    <w:rsid w:val="00226D99"/>
    <w:rsid w:val="00226EE5"/>
    <w:rsid w:val="002276C0"/>
    <w:rsid w:val="00227B60"/>
    <w:rsid w:val="00227BC6"/>
    <w:rsid w:val="00227D30"/>
    <w:rsid w:val="00230222"/>
    <w:rsid w:val="0023089C"/>
    <w:rsid w:val="00230A60"/>
    <w:rsid w:val="00230CF5"/>
    <w:rsid w:val="002310B4"/>
    <w:rsid w:val="0023127F"/>
    <w:rsid w:val="002316F0"/>
    <w:rsid w:val="00231882"/>
    <w:rsid w:val="00231ED3"/>
    <w:rsid w:val="00232051"/>
    <w:rsid w:val="0023219A"/>
    <w:rsid w:val="0023236A"/>
    <w:rsid w:val="00232492"/>
    <w:rsid w:val="00232600"/>
    <w:rsid w:val="00232614"/>
    <w:rsid w:val="00232924"/>
    <w:rsid w:val="00232A4A"/>
    <w:rsid w:val="00232C85"/>
    <w:rsid w:val="00232D42"/>
    <w:rsid w:val="00232E55"/>
    <w:rsid w:val="002330F4"/>
    <w:rsid w:val="0023320C"/>
    <w:rsid w:val="0023371C"/>
    <w:rsid w:val="00233820"/>
    <w:rsid w:val="00233921"/>
    <w:rsid w:val="00233A6D"/>
    <w:rsid w:val="00233D12"/>
    <w:rsid w:val="00234293"/>
    <w:rsid w:val="00234538"/>
    <w:rsid w:val="00234E99"/>
    <w:rsid w:val="002350EF"/>
    <w:rsid w:val="0023543C"/>
    <w:rsid w:val="002354AF"/>
    <w:rsid w:val="002355B0"/>
    <w:rsid w:val="002357DD"/>
    <w:rsid w:val="002358E4"/>
    <w:rsid w:val="00235E2D"/>
    <w:rsid w:val="00235EBF"/>
    <w:rsid w:val="00235F38"/>
    <w:rsid w:val="00236157"/>
    <w:rsid w:val="002362F1"/>
    <w:rsid w:val="00236373"/>
    <w:rsid w:val="002363E8"/>
    <w:rsid w:val="00236705"/>
    <w:rsid w:val="0023683F"/>
    <w:rsid w:val="002368FE"/>
    <w:rsid w:val="00236B78"/>
    <w:rsid w:val="00236CCD"/>
    <w:rsid w:val="00236E28"/>
    <w:rsid w:val="002373B2"/>
    <w:rsid w:val="0023752F"/>
    <w:rsid w:val="00237771"/>
    <w:rsid w:val="00237BEC"/>
    <w:rsid w:val="00237C95"/>
    <w:rsid w:val="00237D0C"/>
    <w:rsid w:val="00237FD3"/>
    <w:rsid w:val="00240251"/>
    <w:rsid w:val="002403B9"/>
    <w:rsid w:val="002405B8"/>
    <w:rsid w:val="002406A2"/>
    <w:rsid w:val="00240B47"/>
    <w:rsid w:val="00240BF9"/>
    <w:rsid w:val="00240EBD"/>
    <w:rsid w:val="0024147D"/>
    <w:rsid w:val="00241775"/>
    <w:rsid w:val="00241912"/>
    <w:rsid w:val="00241A51"/>
    <w:rsid w:val="00241AA5"/>
    <w:rsid w:val="00241D36"/>
    <w:rsid w:val="00241FDA"/>
    <w:rsid w:val="002421D1"/>
    <w:rsid w:val="00242462"/>
    <w:rsid w:val="00242573"/>
    <w:rsid w:val="002425A8"/>
    <w:rsid w:val="002427E3"/>
    <w:rsid w:val="00242B51"/>
    <w:rsid w:val="00242B71"/>
    <w:rsid w:val="00242EB7"/>
    <w:rsid w:val="00243113"/>
    <w:rsid w:val="00243142"/>
    <w:rsid w:val="00243272"/>
    <w:rsid w:val="00243330"/>
    <w:rsid w:val="00243361"/>
    <w:rsid w:val="0024351E"/>
    <w:rsid w:val="00243664"/>
    <w:rsid w:val="00243AFC"/>
    <w:rsid w:val="00243B8B"/>
    <w:rsid w:val="00243D41"/>
    <w:rsid w:val="00243DEF"/>
    <w:rsid w:val="00243E40"/>
    <w:rsid w:val="00243E6D"/>
    <w:rsid w:val="00243F9F"/>
    <w:rsid w:val="00244385"/>
    <w:rsid w:val="0024481A"/>
    <w:rsid w:val="002448F9"/>
    <w:rsid w:val="00244CF3"/>
    <w:rsid w:val="00244D79"/>
    <w:rsid w:val="00244E27"/>
    <w:rsid w:val="00244E34"/>
    <w:rsid w:val="0024510D"/>
    <w:rsid w:val="00245142"/>
    <w:rsid w:val="002451B7"/>
    <w:rsid w:val="002453AB"/>
    <w:rsid w:val="0024541A"/>
    <w:rsid w:val="00245476"/>
    <w:rsid w:val="00245514"/>
    <w:rsid w:val="002455BB"/>
    <w:rsid w:val="00245715"/>
    <w:rsid w:val="002457EE"/>
    <w:rsid w:val="002459E5"/>
    <w:rsid w:val="00245C20"/>
    <w:rsid w:val="00245D29"/>
    <w:rsid w:val="00245D4D"/>
    <w:rsid w:val="002462A4"/>
    <w:rsid w:val="002464FB"/>
    <w:rsid w:val="00246932"/>
    <w:rsid w:val="00246D8C"/>
    <w:rsid w:val="00246E39"/>
    <w:rsid w:val="00246F63"/>
    <w:rsid w:val="00246FA2"/>
    <w:rsid w:val="002474FD"/>
    <w:rsid w:val="00247670"/>
    <w:rsid w:val="002476CE"/>
    <w:rsid w:val="0024772C"/>
    <w:rsid w:val="002477A9"/>
    <w:rsid w:val="00247A40"/>
    <w:rsid w:val="00247B91"/>
    <w:rsid w:val="0025010A"/>
    <w:rsid w:val="002505E0"/>
    <w:rsid w:val="0025080F"/>
    <w:rsid w:val="002509F0"/>
    <w:rsid w:val="00250B9A"/>
    <w:rsid w:val="00250CA8"/>
    <w:rsid w:val="00251068"/>
    <w:rsid w:val="002511A3"/>
    <w:rsid w:val="002512F6"/>
    <w:rsid w:val="0025135C"/>
    <w:rsid w:val="00251497"/>
    <w:rsid w:val="002514BB"/>
    <w:rsid w:val="00251749"/>
    <w:rsid w:val="00251E10"/>
    <w:rsid w:val="00251F31"/>
    <w:rsid w:val="00252087"/>
    <w:rsid w:val="0025223A"/>
    <w:rsid w:val="002524EB"/>
    <w:rsid w:val="002529BF"/>
    <w:rsid w:val="00252B3E"/>
    <w:rsid w:val="002532BA"/>
    <w:rsid w:val="002538CF"/>
    <w:rsid w:val="00253AAD"/>
    <w:rsid w:val="00253AC1"/>
    <w:rsid w:val="00254090"/>
    <w:rsid w:val="00254123"/>
    <w:rsid w:val="00254413"/>
    <w:rsid w:val="0025449A"/>
    <w:rsid w:val="00254837"/>
    <w:rsid w:val="00254B21"/>
    <w:rsid w:val="00254DFB"/>
    <w:rsid w:val="002550D5"/>
    <w:rsid w:val="0025520B"/>
    <w:rsid w:val="002556CF"/>
    <w:rsid w:val="0025577F"/>
    <w:rsid w:val="00255BA4"/>
    <w:rsid w:val="00255C98"/>
    <w:rsid w:val="00255D43"/>
    <w:rsid w:val="00255E82"/>
    <w:rsid w:val="00255F81"/>
    <w:rsid w:val="0025643C"/>
    <w:rsid w:val="00256493"/>
    <w:rsid w:val="002564C8"/>
    <w:rsid w:val="00256544"/>
    <w:rsid w:val="002565F1"/>
    <w:rsid w:val="002565FD"/>
    <w:rsid w:val="00256687"/>
    <w:rsid w:val="0025668B"/>
    <w:rsid w:val="00256739"/>
    <w:rsid w:val="00256CE4"/>
    <w:rsid w:val="00256DF9"/>
    <w:rsid w:val="00257372"/>
    <w:rsid w:val="00257627"/>
    <w:rsid w:val="002576F9"/>
    <w:rsid w:val="00257926"/>
    <w:rsid w:val="00257971"/>
    <w:rsid w:val="002579DF"/>
    <w:rsid w:val="00257A08"/>
    <w:rsid w:val="00257A12"/>
    <w:rsid w:val="002602A4"/>
    <w:rsid w:val="002602F1"/>
    <w:rsid w:val="002604FB"/>
    <w:rsid w:val="0026086A"/>
    <w:rsid w:val="00260884"/>
    <w:rsid w:val="00260AE9"/>
    <w:rsid w:val="00260D4F"/>
    <w:rsid w:val="00260E0D"/>
    <w:rsid w:val="00260E67"/>
    <w:rsid w:val="00260F18"/>
    <w:rsid w:val="0026117B"/>
    <w:rsid w:val="002617F8"/>
    <w:rsid w:val="0026186D"/>
    <w:rsid w:val="002618BE"/>
    <w:rsid w:val="002619CB"/>
    <w:rsid w:val="00261B0B"/>
    <w:rsid w:val="00261C0D"/>
    <w:rsid w:val="00261EC5"/>
    <w:rsid w:val="002621F8"/>
    <w:rsid w:val="002625DD"/>
    <w:rsid w:val="0026289C"/>
    <w:rsid w:val="00262C22"/>
    <w:rsid w:val="00262CDA"/>
    <w:rsid w:val="00262D0C"/>
    <w:rsid w:val="002631BC"/>
    <w:rsid w:val="0026321C"/>
    <w:rsid w:val="0026322E"/>
    <w:rsid w:val="0026350F"/>
    <w:rsid w:val="0026365D"/>
    <w:rsid w:val="00263B66"/>
    <w:rsid w:val="00263CAE"/>
    <w:rsid w:val="0026409D"/>
    <w:rsid w:val="002641C4"/>
    <w:rsid w:val="0026421E"/>
    <w:rsid w:val="00264441"/>
    <w:rsid w:val="002645A3"/>
    <w:rsid w:val="00264683"/>
    <w:rsid w:val="002648AD"/>
    <w:rsid w:val="002649A3"/>
    <w:rsid w:val="00264D38"/>
    <w:rsid w:val="00264DEE"/>
    <w:rsid w:val="002652B5"/>
    <w:rsid w:val="0026535E"/>
    <w:rsid w:val="002653E7"/>
    <w:rsid w:val="002653F6"/>
    <w:rsid w:val="00265931"/>
    <w:rsid w:val="0026594F"/>
    <w:rsid w:val="00265C2E"/>
    <w:rsid w:val="00265D8A"/>
    <w:rsid w:val="00265D9F"/>
    <w:rsid w:val="002663B4"/>
    <w:rsid w:val="00266813"/>
    <w:rsid w:val="0026685B"/>
    <w:rsid w:val="002668D4"/>
    <w:rsid w:val="00266CE4"/>
    <w:rsid w:val="002673C4"/>
    <w:rsid w:val="002674CD"/>
    <w:rsid w:val="00267562"/>
    <w:rsid w:val="0026766D"/>
    <w:rsid w:val="00267922"/>
    <w:rsid w:val="00267948"/>
    <w:rsid w:val="00267963"/>
    <w:rsid w:val="00267DE8"/>
    <w:rsid w:val="00267EA5"/>
    <w:rsid w:val="00267F77"/>
    <w:rsid w:val="00267FD1"/>
    <w:rsid w:val="002700AD"/>
    <w:rsid w:val="00270136"/>
    <w:rsid w:val="002701F9"/>
    <w:rsid w:val="00270662"/>
    <w:rsid w:val="002709FE"/>
    <w:rsid w:val="00270B17"/>
    <w:rsid w:val="00270BBF"/>
    <w:rsid w:val="00270E51"/>
    <w:rsid w:val="0027141D"/>
    <w:rsid w:val="0027141F"/>
    <w:rsid w:val="00271500"/>
    <w:rsid w:val="002717EB"/>
    <w:rsid w:val="00271BA3"/>
    <w:rsid w:val="00271DB8"/>
    <w:rsid w:val="00271DC4"/>
    <w:rsid w:val="00271E96"/>
    <w:rsid w:val="002722CC"/>
    <w:rsid w:val="00272684"/>
    <w:rsid w:val="00272CAF"/>
    <w:rsid w:val="00273081"/>
    <w:rsid w:val="00273196"/>
    <w:rsid w:val="00273317"/>
    <w:rsid w:val="002733C6"/>
    <w:rsid w:val="002734AB"/>
    <w:rsid w:val="002735CE"/>
    <w:rsid w:val="002736FD"/>
    <w:rsid w:val="0027391A"/>
    <w:rsid w:val="00273ACC"/>
    <w:rsid w:val="00273B43"/>
    <w:rsid w:val="00273E06"/>
    <w:rsid w:val="00274041"/>
    <w:rsid w:val="00274057"/>
    <w:rsid w:val="002740C4"/>
    <w:rsid w:val="00274368"/>
    <w:rsid w:val="00274445"/>
    <w:rsid w:val="00274696"/>
    <w:rsid w:val="002747C3"/>
    <w:rsid w:val="00274A4F"/>
    <w:rsid w:val="00274DF5"/>
    <w:rsid w:val="00274EF3"/>
    <w:rsid w:val="0027522E"/>
    <w:rsid w:val="002754F5"/>
    <w:rsid w:val="002755C5"/>
    <w:rsid w:val="00275671"/>
    <w:rsid w:val="00275B43"/>
    <w:rsid w:val="00276167"/>
    <w:rsid w:val="002761BB"/>
    <w:rsid w:val="0027661F"/>
    <w:rsid w:val="00276804"/>
    <w:rsid w:val="00276880"/>
    <w:rsid w:val="00276CC9"/>
    <w:rsid w:val="00277147"/>
    <w:rsid w:val="0027718E"/>
    <w:rsid w:val="00277215"/>
    <w:rsid w:val="00277293"/>
    <w:rsid w:val="002773E5"/>
    <w:rsid w:val="002778FB"/>
    <w:rsid w:val="00277929"/>
    <w:rsid w:val="00277BD9"/>
    <w:rsid w:val="00277C5A"/>
    <w:rsid w:val="00277E42"/>
    <w:rsid w:val="00277FCB"/>
    <w:rsid w:val="0028032C"/>
    <w:rsid w:val="00280BC8"/>
    <w:rsid w:val="00280D1B"/>
    <w:rsid w:val="00280D5B"/>
    <w:rsid w:val="00280DDB"/>
    <w:rsid w:val="00280E42"/>
    <w:rsid w:val="00280EFF"/>
    <w:rsid w:val="00280F88"/>
    <w:rsid w:val="00281053"/>
    <w:rsid w:val="00281140"/>
    <w:rsid w:val="002813EB"/>
    <w:rsid w:val="002815BD"/>
    <w:rsid w:val="00281606"/>
    <w:rsid w:val="002818FD"/>
    <w:rsid w:val="00281A72"/>
    <w:rsid w:val="00281B30"/>
    <w:rsid w:val="00281C9E"/>
    <w:rsid w:val="00281D14"/>
    <w:rsid w:val="00281FB8"/>
    <w:rsid w:val="0028203D"/>
    <w:rsid w:val="00282707"/>
    <w:rsid w:val="002828C1"/>
    <w:rsid w:val="00282BED"/>
    <w:rsid w:val="00283095"/>
    <w:rsid w:val="00283348"/>
    <w:rsid w:val="00283476"/>
    <w:rsid w:val="002838FC"/>
    <w:rsid w:val="002839F4"/>
    <w:rsid w:val="00283C80"/>
    <w:rsid w:val="00283CE7"/>
    <w:rsid w:val="00283DFC"/>
    <w:rsid w:val="00283ECB"/>
    <w:rsid w:val="002841CE"/>
    <w:rsid w:val="00284905"/>
    <w:rsid w:val="00284954"/>
    <w:rsid w:val="00284971"/>
    <w:rsid w:val="00284BD4"/>
    <w:rsid w:val="00284C67"/>
    <w:rsid w:val="00284D7C"/>
    <w:rsid w:val="00284DF0"/>
    <w:rsid w:val="00284EF2"/>
    <w:rsid w:val="00284F14"/>
    <w:rsid w:val="00285188"/>
    <w:rsid w:val="002855C3"/>
    <w:rsid w:val="002856D9"/>
    <w:rsid w:val="002856F7"/>
    <w:rsid w:val="002860A5"/>
    <w:rsid w:val="0028636D"/>
    <w:rsid w:val="002864E2"/>
    <w:rsid w:val="00286674"/>
    <w:rsid w:val="0028674E"/>
    <w:rsid w:val="002867A3"/>
    <w:rsid w:val="00286913"/>
    <w:rsid w:val="00286AF5"/>
    <w:rsid w:val="00286B99"/>
    <w:rsid w:val="00286EBC"/>
    <w:rsid w:val="00286EC5"/>
    <w:rsid w:val="00286F08"/>
    <w:rsid w:val="0028705E"/>
    <w:rsid w:val="002870DE"/>
    <w:rsid w:val="002873F7"/>
    <w:rsid w:val="002875FD"/>
    <w:rsid w:val="002876A8"/>
    <w:rsid w:val="00287A3D"/>
    <w:rsid w:val="00287AEB"/>
    <w:rsid w:val="00287C8C"/>
    <w:rsid w:val="00287E5C"/>
    <w:rsid w:val="00287EED"/>
    <w:rsid w:val="00290106"/>
    <w:rsid w:val="00290316"/>
    <w:rsid w:val="0029080B"/>
    <w:rsid w:val="0029086B"/>
    <w:rsid w:val="00290B59"/>
    <w:rsid w:val="00290EEE"/>
    <w:rsid w:val="00290F7A"/>
    <w:rsid w:val="0029100F"/>
    <w:rsid w:val="0029126D"/>
    <w:rsid w:val="002913CE"/>
    <w:rsid w:val="00291464"/>
    <w:rsid w:val="0029155A"/>
    <w:rsid w:val="00291639"/>
    <w:rsid w:val="0029169A"/>
    <w:rsid w:val="0029175E"/>
    <w:rsid w:val="00291A9B"/>
    <w:rsid w:val="00291D6A"/>
    <w:rsid w:val="00292841"/>
    <w:rsid w:val="00292B37"/>
    <w:rsid w:val="00292BC1"/>
    <w:rsid w:val="00292D7B"/>
    <w:rsid w:val="00292E98"/>
    <w:rsid w:val="002930A3"/>
    <w:rsid w:val="002930D1"/>
    <w:rsid w:val="0029329E"/>
    <w:rsid w:val="0029345E"/>
    <w:rsid w:val="002934A4"/>
    <w:rsid w:val="00293638"/>
    <w:rsid w:val="00293716"/>
    <w:rsid w:val="00293901"/>
    <w:rsid w:val="00293B3F"/>
    <w:rsid w:val="002940E2"/>
    <w:rsid w:val="002941A5"/>
    <w:rsid w:val="00294628"/>
    <w:rsid w:val="002946DD"/>
    <w:rsid w:val="00294797"/>
    <w:rsid w:val="00294D99"/>
    <w:rsid w:val="00294EC3"/>
    <w:rsid w:val="00294F21"/>
    <w:rsid w:val="002950D1"/>
    <w:rsid w:val="00295275"/>
    <w:rsid w:val="002955E2"/>
    <w:rsid w:val="00295819"/>
    <w:rsid w:val="0029582B"/>
    <w:rsid w:val="00295947"/>
    <w:rsid w:val="0029599C"/>
    <w:rsid w:val="00295A41"/>
    <w:rsid w:val="002960BA"/>
    <w:rsid w:val="002963CE"/>
    <w:rsid w:val="0029646D"/>
    <w:rsid w:val="002964D5"/>
    <w:rsid w:val="002966B5"/>
    <w:rsid w:val="002969AC"/>
    <w:rsid w:val="00296ADD"/>
    <w:rsid w:val="00296D97"/>
    <w:rsid w:val="00296DA5"/>
    <w:rsid w:val="00296EF1"/>
    <w:rsid w:val="00297203"/>
    <w:rsid w:val="00297368"/>
    <w:rsid w:val="002974E1"/>
    <w:rsid w:val="0029771E"/>
    <w:rsid w:val="002977B0"/>
    <w:rsid w:val="002977C7"/>
    <w:rsid w:val="002979D9"/>
    <w:rsid w:val="00297A9C"/>
    <w:rsid w:val="00297BB1"/>
    <w:rsid w:val="00297C26"/>
    <w:rsid w:val="00297C8C"/>
    <w:rsid w:val="002A020E"/>
    <w:rsid w:val="002A0347"/>
    <w:rsid w:val="002A0486"/>
    <w:rsid w:val="002A0726"/>
    <w:rsid w:val="002A0AB4"/>
    <w:rsid w:val="002A0DAF"/>
    <w:rsid w:val="002A0E1F"/>
    <w:rsid w:val="002A12F2"/>
    <w:rsid w:val="002A1AC9"/>
    <w:rsid w:val="002A1B79"/>
    <w:rsid w:val="002A1C4C"/>
    <w:rsid w:val="002A1CFF"/>
    <w:rsid w:val="002A23AC"/>
    <w:rsid w:val="002A2A49"/>
    <w:rsid w:val="002A2AB0"/>
    <w:rsid w:val="002A2C59"/>
    <w:rsid w:val="002A2C84"/>
    <w:rsid w:val="002A30D2"/>
    <w:rsid w:val="002A3214"/>
    <w:rsid w:val="002A32A5"/>
    <w:rsid w:val="002A33D0"/>
    <w:rsid w:val="002A34B1"/>
    <w:rsid w:val="002A363C"/>
    <w:rsid w:val="002A37DA"/>
    <w:rsid w:val="002A3831"/>
    <w:rsid w:val="002A3B2C"/>
    <w:rsid w:val="002A3C96"/>
    <w:rsid w:val="002A3CF9"/>
    <w:rsid w:val="002A3E1C"/>
    <w:rsid w:val="002A400B"/>
    <w:rsid w:val="002A4021"/>
    <w:rsid w:val="002A4174"/>
    <w:rsid w:val="002A4211"/>
    <w:rsid w:val="002A422F"/>
    <w:rsid w:val="002A4839"/>
    <w:rsid w:val="002A4855"/>
    <w:rsid w:val="002A4A82"/>
    <w:rsid w:val="002A4CA9"/>
    <w:rsid w:val="002A51A6"/>
    <w:rsid w:val="002A5632"/>
    <w:rsid w:val="002A565C"/>
    <w:rsid w:val="002A585D"/>
    <w:rsid w:val="002A5987"/>
    <w:rsid w:val="002A5AE4"/>
    <w:rsid w:val="002A5B14"/>
    <w:rsid w:val="002A60A2"/>
    <w:rsid w:val="002A65A4"/>
    <w:rsid w:val="002A67C0"/>
    <w:rsid w:val="002A6862"/>
    <w:rsid w:val="002A6880"/>
    <w:rsid w:val="002A69F7"/>
    <w:rsid w:val="002A6A0F"/>
    <w:rsid w:val="002A6BD1"/>
    <w:rsid w:val="002A6D96"/>
    <w:rsid w:val="002A70F3"/>
    <w:rsid w:val="002A75D0"/>
    <w:rsid w:val="002A7983"/>
    <w:rsid w:val="002A7A25"/>
    <w:rsid w:val="002A7D5C"/>
    <w:rsid w:val="002B00D5"/>
    <w:rsid w:val="002B0176"/>
    <w:rsid w:val="002B01A3"/>
    <w:rsid w:val="002B01A5"/>
    <w:rsid w:val="002B026D"/>
    <w:rsid w:val="002B0298"/>
    <w:rsid w:val="002B03AD"/>
    <w:rsid w:val="002B04B5"/>
    <w:rsid w:val="002B0648"/>
    <w:rsid w:val="002B06D1"/>
    <w:rsid w:val="002B0750"/>
    <w:rsid w:val="002B0822"/>
    <w:rsid w:val="002B0A84"/>
    <w:rsid w:val="002B0AE8"/>
    <w:rsid w:val="002B0AF2"/>
    <w:rsid w:val="002B0DC3"/>
    <w:rsid w:val="002B1270"/>
    <w:rsid w:val="002B174D"/>
    <w:rsid w:val="002B1782"/>
    <w:rsid w:val="002B199B"/>
    <w:rsid w:val="002B1A47"/>
    <w:rsid w:val="002B1E6E"/>
    <w:rsid w:val="002B1FCA"/>
    <w:rsid w:val="002B204A"/>
    <w:rsid w:val="002B2328"/>
    <w:rsid w:val="002B23F3"/>
    <w:rsid w:val="002B2451"/>
    <w:rsid w:val="002B2459"/>
    <w:rsid w:val="002B28BA"/>
    <w:rsid w:val="002B2A25"/>
    <w:rsid w:val="002B2B8E"/>
    <w:rsid w:val="002B2CC5"/>
    <w:rsid w:val="002B2D1C"/>
    <w:rsid w:val="002B2D65"/>
    <w:rsid w:val="002B2EDE"/>
    <w:rsid w:val="002B3063"/>
    <w:rsid w:val="002B312A"/>
    <w:rsid w:val="002B3198"/>
    <w:rsid w:val="002B3816"/>
    <w:rsid w:val="002B3CAA"/>
    <w:rsid w:val="002B3CFB"/>
    <w:rsid w:val="002B3D86"/>
    <w:rsid w:val="002B3E7B"/>
    <w:rsid w:val="002B40A0"/>
    <w:rsid w:val="002B40DC"/>
    <w:rsid w:val="002B40FC"/>
    <w:rsid w:val="002B415D"/>
    <w:rsid w:val="002B42C7"/>
    <w:rsid w:val="002B432E"/>
    <w:rsid w:val="002B45A1"/>
    <w:rsid w:val="002B4676"/>
    <w:rsid w:val="002B4877"/>
    <w:rsid w:val="002B4C00"/>
    <w:rsid w:val="002B4CC7"/>
    <w:rsid w:val="002B511D"/>
    <w:rsid w:val="002B5179"/>
    <w:rsid w:val="002B51D2"/>
    <w:rsid w:val="002B571C"/>
    <w:rsid w:val="002B5776"/>
    <w:rsid w:val="002B57E6"/>
    <w:rsid w:val="002B59E3"/>
    <w:rsid w:val="002B6255"/>
    <w:rsid w:val="002B66CC"/>
    <w:rsid w:val="002B6B6A"/>
    <w:rsid w:val="002B6C4A"/>
    <w:rsid w:val="002B6D82"/>
    <w:rsid w:val="002B7283"/>
    <w:rsid w:val="002B7314"/>
    <w:rsid w:val="002B733B"/>
    <w:rsid w:val="002B7923"/>
    <w:rsid w:val="002B7CCD"/>
    <w:rsid w:val="002C01A1"/>
    <w:rsid w:val="002C0236"/>
    <w:rsid w:val="002C06CB"/>
    <w:rsid w:val="002C076F"/>
    <w:rsid w:val="002C0830"/>
    <w:rsid w:val="002C0A59"/>
    <w:rsid w:val="002C0C0C"/>
    <w:rsid w:val="002C1192"/>
    <w:rsid w:val="002C1263"/>
    <w:rsid w:val="002C1436"/>
    <w:rsid w:val="002C14ED"/>
    <w:rsid w:val="002C15DD"/>
    <w:rsid w:val="002C15FC"/>
    <w:rsid w:val="002C1636"/>
    <w:rsid w:val="002C16AA"/>
    <w:rsid w:val="002C19AC"/>
    <w:rsid w:val="002C1D4F"/>
    <w:rsid w:val="002C21EF"/>
    <w:rsid w:val="002C2316"/>
    <w:rsid w:val="002C250C"/>
    <w:rsid w:val="002C27FB"/>
    <w:rsid w:val="002C28CC"/>
    <w:rsid w:val="002C2C99"/>
    <w:rsid w:val="002C2F89"/>
    <w:rsid w:val="002C329A"/>
    <w:rsid w:val="002C355E"/>
    <w:rsid w:val="002C378E"/>
    <w:rsid w:val="002C37EF"/>
    <w:rsid w:val="002C384A"/>
    <w:rsid w:val="002C3953"/>
    <w:rsid w:val="002C3E81"/>
    <w:rsid w:val="002C3FF0"/>
    <w:rsid w:val="002C4022"/>
    <w:rsid w:val="002C4459"/>
    <w:rsid w:val="002C47F7"/>
    <w:rsid w:val="002C485B"/>
    <w:rsid w:val="002C48D8"/>
    <w:rsid w:val="002C4906"/>
    <w:rsid w:val="002C49C8"/>
    <w:rsid w:val="002C4ACA"/>
    <w:rsid w:val="002C4B74"/>
    <w:rsid w:val="002C4E28"/>
    <w:rsid w:val="002C4E83"/>
    <w:rsid w:val="002C4F3D"/>
    <w:rsid w:val="002C4FAF"/>
    <w:rsid w:val="002C50D2"/>
    <w:rsid w:val="002C5331"/>
    <w:rsid w:val="002C5B5E"/>
    <w:rsid w:val="002C5BB7"/>
    <w:rsid w:val="002C5CBF"/>
    <w:rsid w:val="002C5F62"/>
    <w:rsid w:val="002C5FEB"/>
    <w:rsid w:val="002C61BA"/>
    <w:rsid w:val="002C6383"/>
    <w:rsid w:val="002C6953"/>
    <w:rsid w:val="002C6A6B"/>
    <w:rsid w:val="002C6CD8"/>
    <w:rsid w:val="002C6F7F"/>
    <w:rsid w:val="002C77F7"/>
    <w:rsid w:val="002C78D0"/>
    <w:rsid w:val="002C7B12"/>
    <w:rsid w:val="002C7CF1"/>
    <w:rsid w:val="002C7DF0"/>
    <w:rsid w:val="002C7E4F"/>
    <w:rsid w:val="002D0130"/>
    <w:rsid w:val="002D01A9"/>
    <w:rsid w:val="002D03E6"/>
    <w:rsid w:val="002D0849"/>
    <w:rsid w:val="002D0A4B"/>
    <w:rsid w:val="002D0B38"/>
    <w:rsid w:val="002D0BE5"/>
    <w:rsid w:val="002D0E5A"/>
    <w:rsid w:val="002D109B"/>
    <w:rsid w:val="002D1577"/>
    <w:rsid w:val="002D1689"/>
    <w:rsid w:val="002D16CD"/>
    <w:rsid w:val="002D181D"/>
    <w:rsid w:val="002D2147"/>
    <w:rsid w:val="002D21F0"/>
    <w:rsid w:val="002D23A4"/>
    <w:rsid w:val="002D2626"/>
    <w:rsid w:val="002D26AB"/>
    <w:rsid w:val="002D28D2"/>
    <w:rsid w:val="002D2978"/>
    <w:rsid w:val="002D29D7"/>
    <w:rsid w:val="002D2B08"/>
    <w:rsid w:val="002D2B99"/>
    <w:rsid w:val="002D3173"/>
    <w:rsid w:val="002D338C"/>
    <w:rsid w:val="002D3415"/>
    <w:rsid w:val="002D34F3"/>
    <w:rsid w:val="002D354D"/>
    <w:rsid w:val="002D36FD"/>
    <w:rsid w:val="002D3831"/>
    <w:rsid w:val="002D3840"/>
    <w:rsid w:val="002D38F3"/>
    <w:rsid w:val="002D39DD"/>
    <w:rsid w:val="002D3A0D"/>
    <w:rsid w:val="002D3E43"/>
    <w:rsid w:val="002D3FC4"/>
    <w:rsid w:val="002D401D"/>
    <w:rsid w:val="002D4040"/>
    <w:rsid w:val="002D40AE"/>
    <w:rsid w:val="002D42DA"/>
    <w:rsid w:val="002D4523"/>
    <w:rsid w:val="002D4679"/>
    <w:rsid w:val="002D46EA"/>
    <w:rsid w:val="002D4871"/>
    <w:rsid w:val="002D4B07"/>
    <w:rsid w:val="002D4B2E"/>
    <w:rsid w:val="002D4B42"/>
    <w:rsid w:val="002D4C42"/>
    <w:rsid w:val="002D4DB2"/>
    <w:rsid w:val="002D545B"/>
    <w:rsid w:val="002D5505"/>
    <w:rsid w:val="002D55CE"/>
    <w:rsid w:val="002D5846"/>
    <w:rsid w:val="002D598B"/>
    <w:rsid w:val="002D59F2"/>
    <w:rsid w:val="002D5BEE"/>
    <w:rsid w:val="002D5F66"/>
    <w:rsid w:val="002D644F"/>
    <w:rsid w:val="002D668E"/>
    <w:rsid w:val="002D66EF"/>
    <w:rsid w:val="002D677C"/>
    <w:rsid w:val="002D6C22"/>
    <w:rsid w:val="002D6CE6"/>
    <w:rsid w:val="002D6E40"/>
    <w:rsid w:val="002D6E70"/>
    <w:rsid w:val="002D73E1"/>
    <w:rsid w:val="002D74AA"/>
    <w:rsid w:val="002D74E0"/>
    <w:rsid w:val="002D7750"/>
    <w:rsid w:val="002D79D8"/>
    <w:rsid w:val="002D7AE4"/>
    <w:rsid w:val="002D7BF9"/>
    <w:rsid w:val="002D7C07"/>
    <w:rsid w:val="002D7F66"/>
    <w:rsid w:val="002D7FBF"/>
    <w:rsid w:val="002D7FE8"/>
    <w:rsid w:val="002E0010"/>
    <w:rsid w:val="002E03C1"/>
    <w:rsid w:val="002E0BF8"/>
    <w:rsid w:val="002E0EF9"/>
    <w:rsid w:val="002E1953"/>
    <w:rsid w:val="002E1C22"/>
    <w:rsid w:val="002E1DB2"/>
    <w:rsid w:val="002E211C"/>
    <w:rsid w:val="002E222C"/>
    <w:rsid w:val="002E2354"/>
    <w:rsid w:val="002E2597"/>
    <w:rsid w:val="002E28DB"/>
    <w:rsid w:val="002E2CF3"/>
    <w:rsid w:val="002E3552"/>
    <w:rsid w:val="002E35E8"/>
    <w:rsid w:val="002E38A3"/>
    <w:rsid w:val="002E3C9A"/>
    <w:rsid w:val="002E3CF6"/>
    <w:rsid w:val="002E3F6C"/>
    <w:rsid w:val="002E4131"/>
    <w:rsid w:val="002E42D1"/>
    <w:rsid w:val="002E437D"/>
    <w:rsid w:val="002E43BE"/>
    <w:rsid w:val="002E44D4"/>
    <w:rsid w:val="002E456E"/>
    <w:rsid w:val="002E4699"/>
    <w:rsid w:val="002E470D"/>
    <w:rsid w:val="002E49C4"/>
    <w:rsid w:val="002E4FC4"/>
    <w:rsid w:val="002E50B3"/>
    <w:rsid w:val="002E50C6"/>
    <w:rsid w:val="002E513C"/>
    <w:rsid w:val="002E51B6"/>
    <w:rsid w:val="002E52B9"/>
    <w:rsid w:val="002E543D"/>
    <w:rsid w:val="002E587C"/>
    <w:rsid w:val="002E59CD"/>
    <w:rsid w:val="002E5A70"/>
    <w:rsid w:val="002E5AC8"/>
    <w:rsid w:val="002E5F09"/>
    <w:rsid w:val="002E5F4C"/>
    <w:rsid w:val="002E60F2"/>
    <w:rsid w:val="002E6266"/>
    <w:rsid w:val="002E6321"/>
    <w:rsid w:val="002E63C6"/>
    <w:rsid w:val="002E65C8"/>
    <w:rsid w:val="002E6AE4"/>
    <w:rsid w:val="002E6D7F"/>
    <w:rsid w:val="002E6D82"/>
    <w:rsid w:val="002E70A4"/>
    <w:rsid w:val="002E71CD"/>
    <w:rsid w:val="002E74A2"/>
    <w:rsid w:val="002E76FD"/>
    <w:rsid w:val="002E7843"/>
    <w:rsid w:val="002E7B64"/>
    <w:rsid w:val="002E7CC7"/>
    <w:rsid w:val="002F0475"/>
    <w:rsid w:val="002F0482"/>
    <w:rsid w:val="002F04BB"/>
    <w:rsid w:val="002F051C"/>
    <w:rsid w:val="002F06E9"/>
    <w:rsid w:val="002F0930"/>
    <w:rsid w:val="002F0956"/>
    <w:rsid w:val="002F0F69"/>
    <w:rsid w:val="002F11B1"/>
    <w:rsid w:val="002F1400"/>
    <w:rsid w:val="002F142C"/>
    <w:rsid w:val="002F14DC"/>
    <w:rsid w:val="002F1681"/>
    <w:rsid w:val="002F1A68"/>
    <w:rsid w:val="002F1D9B"/>
    <w:rsid w:val="002F211F"/>
    <w:rsid w:val="002F228E"/>
    <w:rsid w:val="002F2411"/>
    <w:rsid w:val="002F2AD6"/>
    <w:rsid w:val="002F2AE9"/>
    <w:rsid w:val="002F2D5C"/>
    <w:rsid w:val="002F2F34"/>
    <w:rsid w:val="002F30E2"/>
    <w:rsid w:val="002F3150"/>
    <w:rsid w:val="002F319E"/>
    <w:rsid w:val="002F31F8"/>
    <w:rsid w:val="002F338A"/>
    <w:rsid w:val="002F37BA"/>
    <w:rsid w:val="002F38A0"/>
    <w:rsid w:val="002F3921"/>
    <w:rsid w:val="002F39F8"/>
    <w:rsid w:val="002F3A6A"/>
    <w:rsid w:val="002F3DB0"/>
    <w:rsid w:val="002F3F6A"/>
    <w:rsid w:val="002F419F"/>
    <w:rsid w:val="002F41B4"/>
    <w:rsid w:val="002F4435"/>
    <w:rsid w:val="002F444E"/>
    <w:rsid w:val="002F4718"/>
    <w:rsid w:val="002F4A7C"/>
    <w:rsid w:val="002F4B79"/>
    <w:rsid w:val="002F4B83"/>
    <w:rsid w:val="002F4BB7"/>
    <w:rsid w:val="002F4C99"/>
    <w:rsid w:val="002F4D4F"/>
    <w:rsid w:val="002F4E5C"/>
    <w:rsid w:val="002F52A9"/>
    <w:rsid w:val="002F5310"/>
    <w:rsid w:val="002F5511"/>
    <w:rsid w:val="002F5A73"/>
    <w:rsid w:val="002F5A75"/>
    <w:rsid w:val="002F636C"/>
    <w:rsid w:val="002F6541"/>
    <w:rsid w:val="002F6BAF"/>
    <w:rsid w:val="002F6E10"/>
    <w:rsid w:val="002F7404"/>
    <w:rsid w:val="002F758D"/>
    <w:rsid w:val="002F7762"/>
    <w:rsid w:val="002F777F"/>
    <w:rsid w:val="002F783E"/>
    <w:rsid w:val="002F787E"/>
    <w:rsid w:val="002F7A16"/>
    <w:rsid w:val="00300107"/>
    <w:rsid w:val="003003C8"/>
    <w:rsid w:val="00300461"/>
    <w:rsid w:val="003004EC"/>
    <w:rsid w:val="00300628"/>
    <w:rsid w:val="003006BA"/>
    <w:rsid w:val="003008F1"/>
    <w:rsid w:val="00300CBF"/>
    <w:rsid w:val="00300E16"/>
    <w:rsid w:val="00300FD3"/>
    <w:rsid w:val="003011D3"/>
    <w:rsid w:val="0030130F"/>
    <w:rsid w:val="003015E3"/>
    <w:rsid w:val="00301644"/>
    <w:rsid w:val="00301883"/>
    <w:rsid w:val="003019F3"/>
    <w:rsid w:val="00301A0B"/>
    <w:rsid w:val="00301D62"/>
    <w:rsid w:val="003024D3"/>
    <w:rsid w:val="003026FC"/>
    <w:rsid w:val="003028C8"/>
    <w:rsid w:val="00302934"/>
    <w:rsid w:val="003029AB"/>
    <w:rsid w:val="00302B24"/>
    <w:rsid w:val="00302B36"/>
    <w:rsid w:val="0030345E"/>
    <w:rsid w:val="0030386F"/>
    <w:rsid w:val="00303B86"/>
    <w:rsid w:val="00303E61"/>
    <w:rsid w:val="00303EF6"/>
    <w:rsid w:val="00304039"/>
    <w:rsid w:val="003040A3"/>
    <w:rsid w:val="0030415B"/>
    <w:rsid w:val="003049CD"/>
    <w:rsid w:val="00304BAC"/>
    <w:rsid w:val="00304BFC"/>
    <w:rsid w:val="00304E8E"/>
    <w:rsid w:val="003051F9"/>
    <w:rsid w:val="0030547D"/>
    <w:rsid w:val="003054C0"/>
    <w:rsid w:val="003054DE"/>
    <w:rsid w:val="0030551E"/>
    <w:rsid w:val="0030583A"/>
    <w:rsid w:val="00305C8B"/>
    <w:rsid w:val="00305EB3"/>
    <w:rsid w:val="00305FED"/>
    <w:rsid w:val="003062EE"/>
    <w:rsid w:val="00306373"/>
    <w:rsid w:val="00306409"/>
    <w:rsid w:val="00306536"/>
    <w:rsid w:val="003066C9"/>
    <w:rsid w:val="00306CE2"/>
    <w:rsid w:val="00306CEC"/>
    <w:rsid w:val="00306D23"/>
    <w:rsid w:val="00307239"/>
    <w:rsid w:val="0030756A"/>
    <w:rsid w:val="00307A30"/>
    <w:rsid w:val="00307D2F"/>
    <w:rsid w:val="00307E0E"/>
    <w:rsid w:val="00310480"/>
    <w:rsid w:val="003109C9"/>
    <w:rsid w:val="00310C3A"/>
    <w:rsid w:val="00310EA3"/>
    <w:rsid w:val="00310F01"/>
    <w:rsid w:val="0031123C"/>
    <w:rsid w:val="00311248"/>
    <w:rsid w:val="003118BF"/>
    <w:rsid w:val="00311A8D"/>
    <w:rsid w:val="00312486"/>
    <w:rsid w:val="00312651"/>
    <w:rsid w:val="00312751"/>
    <w:rsid w:val="003127E8"/>
    <w:rsid w:val="003128F5"/>
    <w:rsid w:val="00312A7E"/>
    <w:rsid w:val="00312B38"/>
    <w:rsid w:val="003133F0"/>
    <w:rsid w:val="00313442"/>
    <w:rsid w:val="003135FE"/>
    <w:rsid w:val="00313677"/>
    <w:rsid w:val="00313C6E"/>
    <w:rsid w:val="00313EDA"/>
    <w:rsid w:val="00313FD9"/>
    <w:rsid w:val="00314035"/>
    <w:rsid w:val="00314435"/>
    <w:rsid w:val="0031443A"/>
    <w:rsid w:val="00314640"/>
    <w:rsid w:val="00314709"/>
    <w:rsid w:val="00314886"/>
    <w:rsid w:val="003149CE"/>
    <w:rsid w:val="00314B6D"/>
    <w:rsid w:val="00314BBA"/>
    <w:rsid w:val="00314D4E"/>
    <w:rsid w:val="00314D78"/>
    <w:rsid w:val="00314EA5"/>
    <w:rsid w:val="00315054"/>
    <w:rsid w:val="0031507A"/>
    <w:rsid w:val="003150CB"/>
    <w:rsid w:val="0031523C"/>
    <w:rsid w:val="003156A1"/>
    <w:rsid w:val="00315764"/>
    <w:rsid w:val="00315B64"/>
    <w:rsid w:val="00315F1E"/>
    <w:rsid w:val="00316119"/>
    <w:rsid w:val="003166E2"/>
    <w:rsid w:val="003167EF"/>
    <w:rsid w:val="00316EA9"/>
    <w:rsid w:val="00316FB7"/>
    <w:rsid w:val="0031707B"/>
    <w:rsid w:val="003170F8"/>
    <w:rsid w:val="003171CE"/>
    <w:rsid w:val="003171D3"/>
    <w:rsid w:val="003172A9"/>
    <w:rsid w:val="003172AC"/>
    <w:rsid w:val="003172F9"/>
    <w:rsid w:val="00317319"/>
    <w:rsid w:val="00317475"/>
    <w:rsid w:val="003174E0"/>
    <w:rsid w:val="0031750C"/>
    <w:rsid w:val="0031782E"/>
    <w:rsid w:val="0031785E"/>
    <w:rsid w:val="00317AB3"/>
    <w:rsid w:val="00317D1F"/>
    <w:rsid w:val="00317DC5"/>
    <w:rsid w:val="003200B8"/>
    <w:rsid w:val="003201FE"/>
    <w:rsid w:val="0032038A"/>
    <w:rsid w:val="003204D7"/>
    <w:rsid w:val="003207DC"/>
    <w:rsid w:val="003209FA"/>
    <w:rsid w:val="00320C9C"/>
    <w:rsid w:val="00320EA9"/>
    <w:rsid w:val="00321356"/>
    <w:rsid w:val="003213A5"/>
    <w:rsid w:val="00321998"/>
    <w:rsid w:val="00321B6C"/>
    <w:rsid w:val="00321BCB"/>
    <w:rsid w:val="00321F13"/>
    <w:rsid w:val="0032227D"/>
    <w:rsid w:val="003225EA"/>
    <w:rsid w:val="003226E5"/>
    <w:rsid w:val="00322A0C"/>
    <w:rsid w:val="00322A8D"/>
    <w:rsid w:val="00322A9C"/>
    <w:rsid w:val="00322D2A"/>
    <w:rsid w:val="00323097"/>
    <w:rsid w:val="003232AF"/>
    <w:rsid w:val="003235AB"/>
    <w:rsid w:val="00323757"/>
    <w:rsid w:val="00324058"/>
    <w:rsid w:val="003240B2"/>
    <w:rsid w:val="00324525"/>
    <w:rsid w:val="00324584"/>
    <w:rsid w:val="003245D1"/>
    <w:rsid w:val="0032476E"/>
    <w:rsid w:val="003247A6"/>
    <w:rsid w:val="00324854"/>
    <w:rsid w:val="00324963"/>
    <w:rsid w:val="00324965"/>
    <w:rsid w:val="00324B9E"/>
    <w:rsid w:val="00324CEB"/>
    <w:rsid w:val="00324D82"/>
    <w:rsid w:val="00325201"/>
    <w:rsid w:val="00325405"/>
    <w:rsid w:val="003254BD"/>
    <w:rsid w:val="00325BBF"/>
    <w:rsid w:val="00325D83"/>
    <w:rsid w:val="00325DF4"/>
    <w:rsid w:val="00325E11"/>
    <w:rsid w:val="00325EAC"/>
    <w:rsid w:val="00325EB7"/>
    <w:rsid w:val="003260C2"/>
    <w:rsid w:val="003262B2"/>
    <w:rsid w:val="00326778"/>
    <w:rsid w:val="0032686B"/>
    <w:rsid w:val="00326921"/>
    <w:rsid w:val="00326A43"/>
    <w:rsid w:val="00326EAD"/>
    <w:rsid w:val="00326F52"/>
    <w:rsid w:val="0032704B"/>
    <w:rsid w:val="0032705E"/>
    <w:rsid w:val="003273AC"/>
    <w:rsid w:val="003275F7"/>
    <w:rsid w:val="003276DE"/>
    <w:rsid w:val="0032782D"/>
    <w:rsid w:val="00327A9F"/>
    <w:rsid w:val="00327ABE"/>
    <w:rsid w:val="00327C3D"/>
    <w:rsid w:val="00327EC0"/>
    <w:rsid w:val="00327F9D"/>
    <w:rsid w:val="00327FFB"/>
    <w:rsid w:val="00330231"/>
    <w:rsid w:val="003306A1"/>
    <w:rsid w:val="00330A86"/>
    <w:rsid w:val="00330BB6"/>
    <w:rsid w:val="00330E1E"/>
    <w:rsid w:val="00330F26"/>
    <w:rsid w:val="0033107E"/>
    <w:rsid w:val="00331270"/>
    <w:rsid w:val="0033148F"/>
    <w:rsid w:val="00331497"/>
    <w:rsid w:val="0033171D"/>
    <w:rsid w:val="00331879"/>
    <w:rsid w:val="00331989"/>
    <w:rsid w:val="00331A8C"/>
    <w:rsid w:val="00331BBE"/>
    <w:rsid w:val="00331C50"/>
    <w:rsid w:val="00331F79"/>
    <w:rsid w:val="003324DA"/>
    <w:rsid w:val="00332790"/>
    <w:rsid w:val="00332ADA"/>
    <w:rsid w:val="00332BEA"/>
    <w:rsid w:val="00332D89"/>
    <w:rsid w:val="00332FAD"/>
    <w:rsid w:val="00333008"/>
    <w:rsid w:val="0033306E"/>
    <w:rsid w:val="00333243"/>
    <w:rsid w:val="003333FE"/>
    <w:rsid w:val="0033341C"/>
    <w:rsid w:val="0033349E"/>
    <w:rsid w:val="00333772"/>
    <w:rsid w:val="003338E1"/>
    <w:rsid w:val="00333919"/>
    <w:rsid w:val="00333955"/>
    <w:rsid w:val="00333B43"/>
    <w:rsid w:val="00333D30"/>
    <w:rsid w:val="00334047"/>
    <w:rsid w:val="003340FC"/>
    <w:rsid w:val="0033446C"/>
    <w:rsid w:val="0033465D"/>
    <w:rsid w:val="00334BE0"/>
    <w:rsid w:val="00334DA7"/>
    <w:rsid w:val="0033515B"/>
    <w:rsid w:val="003351F1"/>
    <w:rsid w:val="00335231"/>
    <w:rsid w:val="00335422"/>
    <w:rsid w:val="00335504"/>
    <w:rsid w:val="00335660"/>
    <w:rsid w:val="003356FF"/>
    <w:rsid w:val="003357E9"/>
    <w:rsid w:val="00335B23"/>
    <w:rsid w:val="00335C7D"/>
    <w:rsid w:val="00335D62"/>
    <w:rsid w:val="00335D8A"/>
    <w:rsid w:val="00336127"/>
    <w:rsid w:val="00336245"/>
    <w:rsid w:val="0033626E"/>
    <w:rsid w:val="003362EE"/>
    <w:rsid w:val="003364DA"/>
    <w:rsid w:val="003365A3"/>
    <w:rsid w:val="00336767"/>
    <w:rsid w:val="00336A53"/>
    <w:rsid w:val="00336A5A"/>
    <w:rsid w:val="00336B21"/>
    <w:rsid w:val="00336D64"/>
    <w:rsid w:val="00336DD4"/>
    <w:rsid w:val="003370D8"/>
    <w:rsid w:val="003373E8"/>
    <w:rsid w:val="00337418"/>
    <w:rsid w:val="00337848"/>
    <w:rsid w:val="00337CE8"/>
    <w:rsid w:val="00337F97"/>
    <w:rsid w:val="00340181"/>
    <w:rsid w:val="003403BF"/>
    <w:rsid w:val="00340635"/>
    <w:rsid w:val="003408FE"/>
    <w:rsid w:val="00340B28"/>
    <w:rsid w:val="00340DBD"/>
    <w:rsid w:val="00340DD5"/>
    <w:rsid w:val="00340F43"/>
    <w:rsid w:val="00340FA0"/>
    <w:rsid w:val="0034100F"/>
    <w:rsid w:val="00341175"/>
    <w:rsid w:val="00341513"/>
    <w:rsid w:val="003418E1"/>
    <w:rsid w:val="00341BD4"/>
    <w:rsid w:val="00341CB4"/>
    <w:rsid w:val="00341E02"/>
    <w:rsid w:val="00341E89"/>
    <w:rsid w:val="003423EC"/>
    <w:rsid w:val="00342518"/>
    <w:rsid w:val="00342AC2"/>
    <w:rsid w:val="00342F8D"/>
    <w:rsid w:val="003432A9"/>
    <w:rsid w:val="00343522"/>
    <w:rsid w:val="00343584"/>
    <w:rsid w:val="00343648"/>
    <w:rsid w:val="00343760"/>
    <w:rsid w:val="00343A49"/>
    <w:rsid w:val="00343ABB"/>
    <w:rsid w:val="00343C7F"/>
    <w:rsid w:val="00343D2B"/>
    <w:rsid w:val="00343DBD"/>
    <w:rsid w:val="0034401A"/>
    <w:rsid w:val="003446B0"/>
    <w:rsid w:val="0034470C"/>
    <w:rsid w:val="003447DF"/>
    <w:rsid w:val="003448E5"/>
    <w:rsid w:val="00344941"/>
    <w:rsid w:val="00344B8C"/>
    <w:rsid w:val="00344D75"/>
    <w:rsid w:val="00344FE3"/>
    <w:rsid w:val="0034541C"/>
    <w:rsid w:val="0034570E"/>
    <w:rsid w:val="00345945"/>
    <w:rsid w:val="00345A4F"/>
    <w:rsid w:val="00345CA4"/>
    <w:rsid w:val="00345CFE"/>
    <w:rsid w:val="00346271"/>
    <w:rsid w:val="00346439"/>
    <w:rsid w:val="003468F7"/>
    <w:rsid w:val="00346DC4"/>
    <w:rsid w:val="00346FB2"/>
    <w:rsid w:val="003470F7"/>
    <w:rsid w:val="00347195"/>
    <w:rsid w:val="003472F9"/>
    <w:rsid w:val="0034738A"/>
    <w:rsid w:val="00347500"/>
    <w:rsid w:val="003476CB"/>
    <w:rsid w:val="00347A84"/>
    <w:rsid w:val="00347D59"/>
    <w:rsid w:val="00347D79"/>
    <w:rsid w:val="00347E2E"/>
    <w:rsid w:val="00347E75"/>
    <w:rsid w:val="00347FBC"/>
    <w:rsid w:val="00347FBD"/>
    <w:rsid w:val="00347FCE"/>
    <w:rsid w:val="0035011E"/>
    <w:rsid w:val="003503CF"/>
    <w:rsid w:val="003507FA"/>
    <w:rsid w:val="00350E50"/>
    <w:rsid w:val="00350EFB"/>
    <w:rsid w:val="0035137B"/>
    <w:rsid w:val="0035173A"/>
    <w:rsid w:val="0035192E"/>
    <w:rsid w:val="00351CEE"/>
    <w:rsid w:val="00351EEB"/>
    <w:rsid w:val="00352105"/>
    <w:rsid w:val="00352433"/>
    <w:rsid w:val="003524C5"/>
    <w:rsid w:val="003527EB"/>
    <w:rsid w:val="00352853"/>
    <w:rsid w:val="00352948"/>
    <w:rsid w:val="00352B24"/>
    <w:rsid w:val="00352F69"/>
    <w:rsid w:val="0035313A"/>
    <w:rsid w:val="0035334B"/>
    <w:rsid w:val="00353647"/>
    <w:rsid w:val="00353E13"/>
    <w:rsid w:val="00353F28"/>
    <w:rsid w:val="0035409A"/>
    <w:rsid w:val="003540C6"/>
    <w:rsid w:val="0035497D"/>
    <w:rsid w:val="00354B38"/>
    <w:rsid w:val="00354C47"/>
    <w:rsid w:val="0035522D"/>
    <w:rsid w:val="003553A1"/>
    <w:rsid w:val="003556C0"/>
    <w:rsid w:val="00355790"/>
    <w:rsid w:val="00355926"/>
    <w:rsid w:val="00355B87"/>
    <w:rsid w:val="00355CCE"/>
    <w:rsid w:val="00355E3D"/>
    <w:rsid w:val="0035622D"/>
    <w:rsid w:val="00356335"/>
    <w:rsid w:val="0035679E"/>
    <w:rsid w:val="00356AFA"/>
    <w:rsid w:val="00356C64"/>
    <w:rsid w:val="00356C65"/>
    <w:rsid w:val="00356D64"/>
    <w:rsid w:val="00356E7C"/>
    <w:rsid w:val="00356ECC"/>
    <w:rsid w:val="003571EC"/>
    <w:rsid w:val="003578CD"/>
    <w:rsid w:val="00357976"/>
    <w:rsid w:val="00357E78"/>
    <w:rsid w:val="00357ED7"/>
    <w:rsid w:val="0036020C"/>
    <w:rsid w:val="003605BD"/>
    <w:rsid w:val="0036088A"/>
    <w:rsid w:val="0036088E"/>
    <w:rsid w:val="00360C23"/>
    <w:rsid w:val="00360D6C"/>
    <w:rsid w:val="00360E4B"/>
    <w:rsid w:val="00360F2A"/>
    <w:rsid w:val="00361405"/>
    <w:rsid w:val="003617E9"/>
    <w:rsid w:val="00361984"/>
    <w:rsid w:val="00361B41"/>
    <w:rsid w:val="00361BB2"/>
    <w:rsid w:val="00361DA7"/>
    <w:rsid w:val="00361DA9"/>
    <w:rsid w:val="00361EF9"/>
    <w:rsid w:val="0036221D"/>
    <w:rsid w:val="0036247B"/>
    <w:rsid w:val="003624E1"/>
    <w:rsid w:val="00362DAF"/>
    <w:rsid w:val="00362DBB"/>
    <w:rsid w:val="00362FE6"/>
    <w:rsid w:val="0036305C"/>
    <w:rsid w:val="00363159"/>
    <w:rsid w:val="003633A4"/>
    <w:rsid w:val="003634CB"/>
    <w:rsid w:val="00363760"/>
    <w:rsid w:val="0036384D"/>
    <w:rsid w:val="003639B6"/>
    <w:rsid w:val="00363C4E"/>
    <w:rsid w:val="00363EEA"/>
    <w:rsid w:val="003640AD"/>
    <w:rsid w:val="003641C6"/>
    <w:rsid w:val="003641FD"/>
    <w:rsid w:val="003643B2"/>
    <w:rsid w:val="00364723"/>
    <w:rsid w:val="0036472F"/>
    <w:rsid w:val="00364900"/>
    <w:rsid w:val="00364901"/>
    <w:rsid w:val="00364DA6"/>
    <w:rsid w:val="00364E8D"/>
    <w:rsid w:val="00364EDC"/>
    <w:rsid w:val="00364F29"/>
    <w:rsid w:val="0036508C"/>
    <w:rsid w:val="0036550D"/>
    <w:rsid w:val="00365749"/>
    <w:rsid w:val="00365818"/>
    <w:rsid w:val="003658C6"/>
    <w:rsid w:val="00365FA9"/>
    <w:rsid w:val="00365FFA"/>
    <w:rsid w:val="003660FC"/>
    <w:rsid w:val="00366213"/>
    <w:rsid w:val="00366218"/>
    <w:rsid w:val="003662BD"/>
    <w:rsid w:val="00366855"/>
    <w:rsid w:val="003668ED"/>
    <w:rsid w:val="00366A5B"/>
    <w:rsid w:val="00366CA1"/>
    <w:rsid w:val="00366D49"/>
    <w:rsid w:val="0036720E"/>
    <w:rsid w:val="00367228"/>
    <w:rsid w:val="00367422"/>
    <w:rsid w:val="003674A0"/>
    <w:rsid w:val="0036752C"/>
    <w:rsid w:val="003677F8"/>
    <w:rsid w:val="0036786A"/>
    <w:rsid w:val="00367A34"/>
    <w:rsid w:val="00367B9E"/>
    <w:rsid w:val="00367C27"/>
    <w:rsid w:val="00367DF0"/>
    <w:rsid w:val="00370509"/>
    <w:rsid w:val="0037057E"/>
    <w:rsid w:val="00370735"/>
    <w:rsid w:val="0037088C"/>
    <w:rsid w:val="00370892"/>
    <w:rsid w:val="00370C78"/>
    <w:rsid w:val="00370F1E"/>
    <w:rsid w:val="00371151"/>
    <w:rsid w:val="003712A0"/>
    <w:rsid w:val="00371340"/>
    <w:rsid w:val="003714A8"/>
    <w:rsid w:val="0037158D"/>
    <w:rsid w:val="00371593"/>
    <w:rsid w:val="0037166B"/>
    <w:rsid w:val="003718E5"/>
    <w:rsid w:val="00371BA3"/>
    <w:rsid w:val="00371C6A"/>
    <w:rsid w:val="00371CDC"/>
    <w:rsid w:val="00371E35"/>
    <w:rsid w:val="003720CD"/>
    <w:rsid w:val="00372623"/>
    <w:rsid w:val="0037286A"/>
    <w:rsid w:val="00372DC8"/>
    <w:rsid w:val="00372EF5"/>
    <w:rsid w:val="0037301F"/>
    <w:rsid w:val="003731FC"/>
    <w:rsid w:val="00373289"/>
    <w:rsid w:val="003734FC"/>
    <w:rsid w:val="00373AE2"/>
    <w:rsid w:val="00373B6F"/>
    <w:rsid w:val="00373BA2"/>
    <w:rsid w:val="00373BD3"/>
    <w:rsid w:val="00373C68"/>
    <w:rsid w:val="00373DDF"/>
    <w:rsid w:val="00373FCC"/>
    <w:rsid w:val="00374150"/>
    <w:rsid w:val="0037441E"/>
    <w:rsid w:val="003744B7"/>
    <w:rsid w:val="0037451C"/>
    <w:rsid w:val="00374A24"/>
    <w:rsid w:val="00374A67"/>
    <w:rsid w:val="00374A99"/>
    <w:rsid w:val="00374BB5"/>
    <w:rsid w:val="00374D59"/>
    <w:rsid w:val="0037519C"/>
    <w:rsid w:val="00375C97"/>
    <w:rsid w:val="00376102"/>
    <w:rsid w:val="00376453"/>
    <w:rsid w:val="00376743"/>
    <w:rsid w:val="00376765"/>
    <w:rsid w:val="00376875"/>
    <w:rsid w:val="00376926"/>
    <w:rsid w:val="00376B23"/>
    <w:rsid w:val="00376C2F"/>
    <w:rsid w:val="00376D3D"/>
    <w:rsid w:val="00376DC9"/>
    <w:rsid w:val="00377266"/>
    <w:rsid w:val="003772C3"/>
    <w:rsid w:val="003774D4"/>
    <w:rsid w:val="0037790F"/>
    <w:rsid w:val="00377A45"/>
    <w:rsid w:val="00377CE5"/>
    <w:rsid w:val="00380125"/>
    <w:rsid w:val="00380585"/>
    <w:rsid w:val="00380588"/>
    <w:rsid w:val="003807C4"/>
    <w:rsid w:val="0038080E"/>
    <w:rsid w:val="00380E2D"/>
    <w:rsid w:val="003810D5"/>
    <w:rsid w:val="00381106"/>
    <w:rsid w:val="00381338"/>
    <w:rsid w:val="003814BA"/>
    <w:rsid w:val="0038178D"/>
    <w:rsid w:val="00381A2C"/>
    <w:rsid w:val="00381DE0"/>
    <w:rsid w:val="0038207C"/>
    <w:rsid w:val="00382806"/>
    <w:rsid w:val="00382E4A"/>
    <w:rsid w:val="00382E5B"/>
    <w:rsid w:val="00382E8A"/>
    <w:rsid w:val="0038300D"/>
    <w:rsid w:val="003835BD"/>
    <w:rsid w:val="00383AA9"/>
    <w:rsid w:val="00383AD4"/>
    <w:rsid w:val="00383BBE"/>
    <w:rsid w:val="00383BD3"/>
    <w:rsid w:val="00383C95"/>
    <w:rsid w:val="0038413F"/>
    <w:rsid w:val="003844AD"/>
    <w:rsid w:val="003845B2"/>
    <w:rsid w:val="0038499F"/>
    <w:rsid w:val="003849E5"/>
    <w:rsid w:val="00384B6A"/>
    <w:rsid w:val="00384B95"/>
    <w:rsid w:val="00384DB4"/>
    <w:rsid w:val="00385154"/>
    <w:rsid w:val="00385516"/>
    <w:rsid w:val="0038567C"/>
    <w:rsid w:val="0038586E"/>
    <w:rsid w:val="00385BDB"/>
    <w:rsid w:val="00385CD0"/>
    <w:rsid w:val="00385F93"/>
    <w:rsid w:val="00385F9C"/>
    <w:rsid w:val="0038621A"/>
    <w:rsid w:val="00386408"/>
    <w:rsid w:val="0038652A"/>
    <w:rsid w:val="003865F8"/>
    <w:rsid w:val="00386B67"/>
    <w:rsid w:val="00386C93"/>
    <w:rsid w:val="00386E6A"/>
    <w:rsid w:val="00386F0D"/>
    <w:rsid w:val="00387176"/>
    <w:rsid w:val="003871B0"/>
    <w:rsid w:val="00387582"/>
    <w:rsid w:val="0038761B"/>
    <w:rsid w:val="00387788"/>
    <w:rsid w:val="003877C8"/>
    <w:rsid w:val="00387B00"/>
    <w:rsid w:val="00387B7F"/>
    <w:rsid w:val="00387BEC"/>
    <w:rsid w:val="00387C01"/>
    <w:rsid w:val="0039003F"/>
    <w:rsid w:val="003900D6"/>
    <w:rsid w:val="0039012B"/>
    <w:rsid w:val="00390291"/>
    <w:rsid w:val="003902FF"/>
    <w:rsid w:val="003903BC"/>
    <w:rsid w:val="003904B8"/>
    <w:rsid w:val="003904DE"/>
    <w:rsid w:val="0039058B"/>
    <w:rsid w:val="003906DE"/>
    <w:rsid w:val="003909A0"/>
    <w:rsid w:val="003912F3"/>
    <w:rsid w:val="003914DA"/>
    <w:rsid w:val="003915EB"/>
    <w:rsid w:val="0039180D"/>
    <w:rsid w:val="00391A08"/>
    <w:rsid w:val="00391C9B"/>
    <w:rsid w:val="00392054"/>
    <w:rsid w:val="003920DF"/>
    <w:rsid w:val="0039210A"/>
    <w:rsid w:val="003921EA"/>
    <w:rsid w:val="00392219"/>
    <w:rsid w:val="003922A8"/>
    <w:rsid w:val="003922AF"/>
    <w:rsid w:val="0039238C"/>
    <w:rsid w:val="00392691"/>
    <w:rsid w:val="00392782"/>
    <w:rsid w:val="00392819"/>
    <w:rsid w:val="00392985"/>
    <w:rsid w:val="00392AD7"/>
    <w:rsid w:val="00392AF5"/>
    <w:rsid w:val="00393325"/>
    <w:rsid w:val="0039338D"/>
    <w:rsid w:val="003935F4"/>
    <w:rsid w:val="00393668"/>
    <w:rsid w:val="003936C0"/>
    <w:rsid w:val="0039372A"/>
    <w:rsid w:val="00393B5F"/>
    <w:rsid w:val="00393C05"/>
    <w:rsid w:val="00393C07"/>
    <w:rsid w:val="00393DEF"/>
    <w:rsid w:val="00393F5B"/>
    <w:rsid w:val="00394071"/>
    <w:rsid w:val="00394162"/>
    <w:rsid w:val="0039450C"/>
    <w:rsid w:val="0039452A"/>
    <w:rsid w:val="003945E7"/>
    <w:rsid w:val="003945F6"/>
    <w:rsid w:val="00394717"/>
    <w:rsid w:val="00394835"/>
    <w:rsid w:val="00394D95"/>
    <w:rsid w:val="00394FD4"/>
    <w:rsid w:val="00394FF0"/>
    <w:rsid w:val="00395290"/>
    <w:rsid w:val="0039533D"/>
    <w:rsid w:val="00395ABC"/>
    <w:rsid w:val="00395EDE"/>
    <w:rsid w:val="00395EF7"/>
    <w:rsid w:val="003962DF"/>
    <w:rsid w:val="00396372"/>
    <w:rsid w:val="003963F4"/>
    <w:rsid w:val="003963F9"/>
    <w:rsid w:val="00396466"/>
    <w:rsid w:val="003965E8"/>
    <w:rsid w:val="003967A2"/>
    <w:rsid w:val="0039687C"/>
    <w:rsid w:val="0039693A"/>
    <w:rsid w:val="00396A31"/>
    <w:rsid w:val="00396E13"/>
    <w:rsid w:val="00396E49"/>
    <w:rsid w:val="00396E89"/>
    <w:rsid w:val="00397866"/>
    <w:rsid w:val="00397AFB"/>
    <w:rsid w:val="003A019D"/>
    <w:rsid w:val="003A032C"/>
    <w:rsid w:val="003A034D"/>
    <w:rsid w:val="003A03DE"/>
    <w:rsid w:val="003A0575"/>
    <w:rsid w:val="003A099C"/>
    <w:rsid w:val="003A09D9"/>
    <w:rsid w:val="003A0B4A"/>
    <w:rsid w:val="003A0F9D"/>
    <w:rsid w:val="003A10AA"/>
    <w:rsid w:val="003A10C3"/>
    <w:rsid w:val="003A10C9"/>
    <w:rsid w:val="003A10DE"/>
    <w:rsid w:val="003A120E"/>
    <w:rsid w:val="003A12EA"/>
    <w:rsid w:val="003A1321"/>
    <w:rsid w:val="003A1539"/>
    <w:rsid w:val="003A15E5"/>
    <w:rsid w:val="003A188E"/>
    <w:rsid w:val="003A1D77"/>
    <w:rsid w:val="003A2066"/>
    <w:rsid w:val="003A26FC"/>
    <w:rsid w:val="003A2722"/>
    <w:rsid w:val="003A290D"/>
    <w:rsid w:val="003A2941"/>
    <w:rsid w:val="003A2BF2"/>
    <w:rsid w:val="003A2C36"/>
    <w:rsid w:val="003A2F80"/>
    <w:rsid w:val="003A3297"/>
    <w:rsid w:val="003A3487"/>
    <w:rsid w:val="003A37BB"/>
    <w:rsid w:val="003A3A5A"/>
    <w:rsid w:val="003A3B09"/>
    <w:rsid w:val="003A3D4E"/>
    <w:rsid w:val="003A4088"/>
    <w:rsid w:val="003A40E4"/>
    <w:rsid w:val="003A422C"/>
    <w:rsid w:val="003A4254"/>
    <w:rsid w:val="003A43AC"/>
    <w:rsid w:val="003A43E5"/>
    <w:rsid w:val="003A49BE"/>
    <w:rsid w:val="003A4A84"/>
    <w:rsid w:val="003A4ABA"/>
    <w:rsid w:val="003A4EF9"/>
    <w:rsid w:val="003A4F32"/>
    <w:rsid w:val="003A515C"/>
    <w:rsid w:val="003A554F"/>
    <w:rsid w:val="003A57E9"/>
    <w:rsid w:val="003A5AF8"/>
    <w:rsid w:val="003A5D08"/>
    <w:rsid w:val="003A5D95"/>
    <w:rsid w:val="003A63DA"/>
    <w:rsid w:val="003A64FA"/>
    <w:rsid w:val="003A6836"/>
    <w:rsid w:val="003A68FE"/>
    <w:rsid w:val="003A6FBC"/>
    <w:rsid w:val="003A72D6"/>
    <w:rsid w:val="003A74AF"/>
    <w:rsid w:val="003A7B04"/>
    <w:rsid w:val="003A7B7E"/>
    <w:rsid w:val="003A7E97"/>
    <w:rsid w:val="003A7F89"/>
    <w:rsid w:val="003B00AA"/>
    <w:rsid w:val="003B0111"/>
    <w:rsid w:val="003B0734"/>
    <w:rsid w:val="003B0A93"/>
    <w:rsid w:val="003B0C36"/>
    <w:rsid w:val="003B0EB7"/>
    <w:rsid w:val="003B1019"/>
    <w:rsid w:val="003B10E6"/>
    <w:rsid w:val="003B10E7"/>
    <w:rsid w:val="003B115A"/>
    <w:rsid w:val="003B1514"/>
    <w:rsid w:val="003B1597"/>
    <w:rsid w:val="003B1737"/>
    <w:rsid w:val="003B1797"/>
    <w:rsid w:val="003B1915"/>
    <w:rsid w:val="003B24BC"/>
    <w:rsid w:val="003B2723"/>
    <w:rsid w:val="003B2AD7"/>
    <w:rsid w:val="003B2B8C"/>
    <w:rsid w:val="003B2D56"/>
    <w:rsid w:val="003B30C0"/>
    <w:rsid w:val="003B32C8"/>
    <w:rsid w:val="003B32ED"/>
    <w:rsid w:val="003B35BB"/>
    <w:rsid w:val="003B37F0"/>
    <w:rsid w:val="003B39C6"/>
    <w:rsid w:val="003B42F1"/>
    <w:rsid w:val="003B4468"/>
    <w:rsid w:val="003B4623"/>
    <w:rsid w:val="003B470B"/>
    <w:rsid w:val="003B4B6C"/>
    <w:rsid w:val="003B4FA8"/>
    <w:rsid w:val="003B4FF6"/>
    <w:rsid w:val="003B511C"/>
    <w:rsid w:val="003B514F"/>
    <w:rsid w:val="003B529C"/>
    <w:rsid w:val="003B53DD"/>
    <w:rsid w:val="003B54E5"/>
    <w:rsid w:val="003B56B5"/>
    <w:rsid w:val="003B58CB"/>
    <w:rsid w:val="003B59FD"/>
    <w:rsid w:val="003B5D55"/>
    <w:rsid w:val="003B5F95"/>
    <w:rsid w:val="003B6E1D"/>
    <w:rsid w:val="003B6F3C"/>
    <w:rsid w:val="003B72A5"/>
    <w:rsid w:val="003B741B"/>
    <w:rsid w:val="003B7875"/>
    <w:rsid w:val="003B78C3"/>
    <w:rsid w:val="003B78C7"/>
    <w:rsid w:val="003B7BAA"/>
    <w:rsid w:val="003B7C29"/>
    <w:rsid w:val="003B7CD1"/>
    <w:rsid w:val="003B7D4A"/>
    <w:rsid w:val="003B7ED4"/>
    <w:rsid w:val="003C01A9"/>
    <w:rsid w:val="003C035A"/>
    <w:rsid w:val="003C03C4"/>
    <w:rsid w:val="003C09E3"/>
    <w:rsid w:val="003C0A77"/>
    <w:rsid w:val="003C0D19"/>
    <w:rsid w:val="003C0EE9"/>
    <w:rsid w:val="003C1019"/>
    <w:rsid w:val="003C1055"/>
    <w:rsid w:val="003C10AF"/>
    <w:rsid w:val="003C11B0"/>
    <w:rsid w:val="003C1270"/>
    <w:rsid w:val="003C1354"/>
    <w:rsid w:val="003C1495"/>
    <w:rsid w:val="003C1AEB"/>
    <w:rsid w:val="003C1AF3"/>
    <w:rsid w:val="003C1D8E"/>
    <w:rsid w:val="003C1E4F"/>
    <w:rsid w:val="003C219B"/>
    <w:rsid w:val="003C21FF"/>
    <w:rsid w:val="003C2221"/>
    <w:rsid w:val="003C22A0"/>
    <w:rsid w:val="003C22AA"/>
    <w:rsid w:val="003C22DC"/>
    <w:rsid w:val="003C23FF"/>
    <w:rsid w:val="003C2620"/>
    <w:rsid w:val="003C264C"/>
    <w:rsid w:val="003C27DE"/>
    <w:rsid w:val="003C284E"/>
    <w:rsid w:val="003C2A38"/>
    <w:rsid w:val="003C2ACF"/>
    <w:rsid w:val="003C2E3D"/>
    <w:rsid w:val="003C2F6E"/>
    <w:rsid w:val="003C31C5"/>
    <w:rsid w:val="003C3280"/>
    <w:rsid w:val="003C3335"/>
    <w:rsid w:val="003C354D"/>
    <w:rsid w:val="003C37A6"/>
    <w:rsid w:val="003C3DD6"/>
    <w:rsid w:val="003C3F5E"/>
    <w:rsid w:val="003C406C"/>
    <w:rsid w:val="003C423A"/>
    <w:rsid w:val="003C492B"/>
    <w:rsid w:val="003C4931"/>
    <w:rsid w:val="003C4C6E"/>
    <w:rsid w:val="003C57B5"/>
    <w:rsid w:val="003C5899"/>
    <w:rsid w:val="003C5927"/>
    <w:rsid w:val="003C5EB8"/>
    <w:rsid w:val="003C5EC6"/>
    <w:rsid w:val="003C5FF3"/>
    <w:rsid w:val="003C6021"/>
    <w:rsid w:val="003C64ED"/>
    <w:rsid w:val="003C659C"/>
    <w:rsid w:val="003C68FF"/>
    <w:rsid w:val="003C6A08"/>
    <w:rsid w:val="003C6AD4"/>
    <w:rsid w:val="003C6C5B"/>
    <w:rsid w:val="003C6DB4"/>
    <w:rsid w:val="003C6F73"/>
    <w:rsid w:val="003C70B9"/>
    <w:rsid w:val="003C7197"/>
    <w:rsid w:val="003C71B3"/>
    <w:rsid w:val="003C7329"/>
    <w:rsid w:val="003C7469"/>
    <w:rsid w:val="003C7806"/>
    <w:rsid w:val="003C782A"/>
    <w:rsid w:val="003C7844"/>
    <w:rsid w:val="003C7919"/>
    <w:rsid w:val="003C7CF5"/>
    <w:rsid w:val="003D01AF"/>
    <w:rsid w:val="003D01E1"/>
    <w:rsid w:val="003D0626"/>
    <w:rsid w:val="003D063C"/>
    <w:rsid w:val="003D069F"/>
    <w:rsid w:val="003D0841"/>
    <w:rsid w:val="003D08CD"/>
    <w:rsid w:val="003D092C"/>
    <w:rsid w:val="003D0AAB"/>
    <w:rsid w:val="003D0B85"/>
    <w:rsid w:val="003D1173"/>
    <w:rsid w:val="003D1379"/>
    <w:rsid w:val="003D13A1"/>
    <w:rsid w:val="003D13C3"/>
    <w:rsid w:val="003D141B"/>
    <w:rsid w:val="003D1B1C"/>
    <w:rsid w:val="003D1B74"/>
    <w:rsid w:val="003D1EB3"/>
    <w:rsid w:val="003D2062"/>
    <w:rsid w:val="003D2231"/>
    <w:rsid w:val="003D2332"/>
    <w:rsid w:val="003D2550"/>
    <w:rsid w:val="003D26B7"/>
    <w:rsid w:val="003D27F6"/>
    <w:rsid w:val="003D28E1"/>
    <w:rsid w:val="003D29A2"/>
    <w:rsid w:val="003D2A4E"/>
    <w:rsid w:val="003D2BAA"/>
    <w:rsid w:val="003D2C20"/>
    <w:rsid w:val="003D2D48"/>
    <w:rsid w:val="003D2DAC"/>
    <w:rsid w:val="003D2F7F"/>
    <w:rsid w:val="003D32C9"/>
    <w:rsid w:val="003D32E6"/>
    <w:rsid w:val="003D36F5"/>
    <w:rsid w:val="003D38F4"/>
    <w:rsid w:val="003D39E2"/>
    <w:rsid w:val="003D39FA"/>
    <w:rsid w:val="003D3A09"/>
    <w:rsid w:val="003D3E8B"/>
    <w:rsid w:val="003D3F06"/>
    <w:rsid w:val="003D4506"/>
    <w:rsid w:val="003D4C98"/>
    <w:rsid w:val="003D4D14"/>
    <w:rsid w:val="003D5633"/>
    <w:rsid w:val="003D581B"/>
    <w:rsid w:val="003D5889"/>
    <w:rsid w:val="003D59C1"/>
    <w:rsid w:val="003D5B0E"/>
    <w:rsid w:val="003D5C5E"/>
    <w:rsid w:val="003D5E76"/>
    <w:rsid w:val="003D61F1"/>
    <w:rsid w:val="003D62D1"/>
    <w:rsid w:val="003D630E"/>
    <w:rsid w:val="003D6377"/>
    <w:rsid w:val="003D63D5"/>
    <w:rsid w:val="003D6477"/>
    <w:rsid w:val="003D6947"/>
    <w:rsid w:val="003D6B33"/>
    <w:rsid w:val="003D6C57"/>
    <w:rsid w:val="003D6CB6"/>
    <w:rsid w:val="003D70BE"/>
    <w:rsid w:val="003D72B3"/>
    <w:rsid w:val="003D74EA"/>
    <w:rsid w:val="003D75B8"/>
    <w:rsid w:val="003D7768"/>
    <w:rsid w:val="003D791B"/>
    <w:rsid w:val="003D7E0D"/>
    <w:rsid w:val="003D7E4C"/>
    <w:rsid w:val="003D7F07"/>
    <w:rsid w:val="003E0581"/>
    <w:rsid w:val="003E05A6"/>
    <w:rsid w:val="003E08F1"/>
    <w:rsid w:val="003E0952"/>
    <w:rsid w:val="003E0A04"/>
    <w:rsid w:val="003E0E22"/>
    <w:rsid w:val="003E0E26"/>
    <w:rsid w:val="003E0F88"/>
    <w:rsid w:val="003E1257"/>
    <w:rsid w:val="003E17D3"/>
    <w:rsid w:val="003E1AF6"/>
    <w:rsid w:val="003E1D83"/>
    <w:rsid w:val="003E1F0A"/>
    <w:rsid w:val="003E20B6"/>
    <w:rsid w:val="003E2462"/>
    <w:rsid w:val="003E24FA"/>
    <w:rsid w:val="003E2687"/>
    <w:rsid w:val="003E2860"/>
    <w:rsid w:val="003E292D"/>
    <w:rsid w:val="003E2956"/>
    <w:rsid w:val="003E2AEC"/>
    <w:rsid w:val="003E2BC3"/>
    <w:rsid w:val="003E2C2A"/>
    <w:rsid w:val="003E2C69"/>
    <w:rsid w:val="003E30AC"/>
    <w:rsid w:val="003E33C5"/>
    <w:rsid w:val="003E3858"/>
    <w:rsid w:val="003E3A97"/>
    <w:rsid w:val="003E3DD5"/>
    <w:rsid w:val="003E4271"/>
    <w:rsid w:val="003E434B"/>
    <w:rsid w:val="003E43E1"/>
    <w:rsid w:val="003E4669"/>
    <w:rsid w:val="003E4739"/>
    <w:rsid w:val="003E4D79"/>
    <w:rsid w:val="003E5137"/>
    <w:rsid w:val="003E53D1"/>
    <w:rsid w:val="003E54E7"/>
    <w:rsid w:val="003E57DE"/>
    <w:rsid w:val="003E5F45"/>
    <w:rsid w:val="003E5FC6"/>
    <w:rsid w:val="003E601C"/>
    <w:rsid w:val="003E60DD"/>
    <w:rsid w:val="003E6628"/>
    <w:rsid w:val="003E68EC"/>
    <w:rsid w:val="003E6DCF"/>
    <w:rsid w:val="003E707C"/>
    <w:rsid w:val="003E7300"/>
    <w:rsid w:val="003E7407"/>
    <w:rsid w:val="003E752C"/>
    <w:rsid w:val="003E75F5"/>
    <w:rsid w:val="003E7681"/>
    <w:rsid w:val="003E7695"/>
    <w:rsid w:val="003E7A4E"/>
    <w:rsid w:val="003E7B79"/>
    <w:rsid w:val="003E7BF0"/>
    <w:rsid w:val="003F0294"/>
    <w:rsid w:val="003F0440"/>
    <w:rsid w:val="003F0465"/>
    <w:rsid w:val="003F082D"/>
    <w:rsid w:val="003F0940"/>
    <w:rsid w:val="003F0C4E"/>
    <w:rsid w:val="003F0D11"/>
    <w:rsid w:val="003F124B"/>
    <w:rsid w:val="003F1434"/>
    <w:rsid w:val="003F15C5"/>
    <w:rsid w:val="003F169B"/>
    <w:rsid w:val="003F16F5"/>
    <w:rsid w:val="003F174E"/>
    <w:rsid w:val="003F18A0"/>
    <w:rsid w:val="003F1A5C"/>
    <w:rsid w:val="003F1AA2"/>
    <w:rsid w:val="003F1AB7"/>
    <w:rsid w:val="003F1ADA"/>
    <w:rsid w:val="003F1E2F"/>
    <w:rsid w:val="003F1F85"/>
    <w:rsid w:val="003F20E7"/>
    <w:rsid w:val="003F2748"/>
    <w:rsid w:val="003F2850"/>
    <w:rsid w:val="003F2968"/>
    <w:rsid w:val="003F2B54"/>
    <w:rsid w:val="003F2BCB"/>
    <w:rsid w:val="003F2D41"/>
    <w:rsid w:val="003F34CB"/>
    <w:rsid w:val="003F354F"/>
    <w:rsid w:val="003F3565"/>
    <w:rsid w:val="003F363B"/>
    <w:rsid w:val="003F392A"/>
    <w:rsid w:val="003F394D"/>
    <w:rsid w:val="003F3AB2"/>
    <w:rsid w:val="003F42A9"/>
    <w:rsid w:val="003F443F"/>
    <w:rsid w:val="003F4483"/>
    <w:rsid w:val="003F44EF"/>
    <w:rsid w:val="003F4912"/>
    <w:rsid w:val="003F4921"/>
    <w:rsid w:val="003F4B91"/>
    <w:rsid w:val="003F4D3B"/>
    <w:rsid w:val="003F4DE4"/>
    <w:rsid w:val="003F53DF"/>
    <w:rsid w:val="003F558D"/>
    <w:rsid w:val="003F5608"/>
    <w:rsid w:val="003F5630"/>
    <w:rsid w:val="003F56B1"/>
    <w:rsid w:val="003F59EA"/>
    <w:rsid w:val="003F5ADC"/>
    <w:rsid w:val="003F5C06"/>
    <w:rsid w:val="003F5DB5"/>
    <w:rsid w:val="003F5F0A"/>
    <w:rsid w:val="003F608F"/>
    <w:rsid w:val="003F62FE"/>
    <w:rsid w:val="003F640B"/>
    <w:rsid w:val="003F66FF"/>
    <w:rsid w:val="003F6A77"/>
    <w:rsid w:val="003F6B2E"/>
    <w:rsid w:val="003F6F27"/>
    <w:rsid w:val="003F6FA9"/>
    <w:rsid w:val="003F6FCC"/>
    <w:rsid w:val="003F7637"/>
    <w:rsid w:val="003F77E3"/>
    <w:rsid w:val="003F78A9"/>
    <w:rsid w:val="004006B4"/>
    <w:rsid w:val="00400824"/>
    <w:rsid w:val="00400A7C"/>
    <w:rsid w:val="00400E16"/>
    <w:rsid w:val="00400F3C"/>
    <w:rsid w:val="00400FC8"/>
    <w:rsid w:val="00400FF1"/>
    <w:rsid w:val="00401290"/>
    <w:rsid w:val="004012BA"/>
    <w:rsid w:val="0040161D"/>
    <w:rsid w:val="00401A1E"/>
    <w:rsid w:val="00401B39"/>
    <w:rsid w:val="00401BF6"/>
    <w:rsid w:val="00401F1A"/>
    <w:rsid w:val="00401F79"/>
    <w:rsid w:val="004021B7"/>
    <w:rsid w:val="0040227F"/>
    <w:rsid w:val="00402361"/>
    <w:rsid w:val="00402580"/>
    <w:rsid w:val="00402AEE"/>
    <w:rsid w:val="0040321F"/>
    <w:rsid w:val="0040350E"/>
    <w:rsid w:val="00403587"/>
    <w:rsid w:val="00403728"/>
    <w:rsid w:val="00403DDD"/>
    <w:rsid w:val="00403E0B"/>
    <w:rsid w:val="00403EB3"/>
    <w:rsid w:val="00403F19"/>
    <w:rsid w:val="00403F23"/>
    <w:rsid w:val="00404043"/>
    <w:rsid w:val="00404221"/>
    <w:rsid w:val="00404459"/>
    <w:rsid w:val="0040467E"/>
    <w:rsid w:val="0040473F"/>
    <w:rsid w:val="00404835"/>
    <w:rsid w:val="00404849"/>
    <w:rsid w:val="004048B9"/>
    <w:rsid w:val="004049E8"/>
    <w:rsid w:val="00404A58"/>
    <w:rsid w:val="00404A80"/>
    <w:rsid w:val="00404B24"/>
    <w:rsid w:val="00404CF7"/>
    <w:rsid w:val="00404D4D"/>
    <w:rsid w:val="004051A4"/>
    <w:rsid w:val="0040574F"/>
    <w:rsid w:val="004057CF"/>
    <w:rsid w:val="00405944"/>
    <w:rsid w:val="00405A56"/>
    <w:rsid w:val="00405B87"/>
    <w:rsid w:val="00405C21"/>
    <w:rsid w:val="00406392"/>
    <w:rsid w:val="004067A6"/>
    <w:rsid w:val="00406951"/>
    <w:rsid w:val="00406FBA"/>
    <w:rsid w:val="0040701A"/>
    <w:rsid w:val="004070A8"/>
    <w:rsid w:val="00407165"/>
    <w:rsid w:val="004078BB"/>
    <w:rsid w:val="00407D7F"/>
    <w:rsid w:val="00407E16"/>
    <w:rsid w:val="00407E28"/>
    <w:rsid w:val="00410161"/>
    <w:rsid w:val="00410166"/>
    <w:rsid w:val="00410241"/>
    <w:rsid w:val="0041026B"/>
    <w:rsid w:val="004102A5"/>
    <w:rsid w:val="004102E6"/>
    <w:rsid w:val="0041038D"/>
    <w:rsid w:val="00410643"/>
    <w:rsid w:val="0041068E"/>
    <w:rsid w:val="00410915"/>
    <w:rsid w:val="00410B35"/>
    <w:rsid w:val="00410B82"/>
    <w:rsid w:val="00410B9B"/>
    <w:rsid w:val="00410CB5"/>
    <w:rsid w:val="00410D09"/>
    <w:rsid w:val="00410E33"/>
    <w:rsid w:val="00410EA5"/>
    <w:rsid w:val="004110D8"/>
    <w:rsid w:val="00411103"/>
    <w:rsid w:val="004114D8"/>
    <w:rsid w:val="0041169B"/>
    <w:rsid w:val="004117AD"/>
    <w:rsid w:val="00411925"/>
    <w:rsid w:val="00411A54"/>
    <w:rsid w:val="00411B29"/>
    <w:rsid w:val="00411D9E"/>
    <w:rsid w:val="00411DD7"/>
    <w:rsid w:val="004124E3"/>
    <w:rsid w:val="004124E8"/>
    <w:rsid w:val="004125BC"/>
    <w:rsid w:val="00412601"/>
    <w:rsid w:val="00412685"/>
    <w:rsid w:val="00412E38"/>
    <w:rsid w:val="00412F74"/>
    <w:rsid w:val="00413006"/>
    <w:rsid w:val="0041359B"/>
    <w:rsid w:val="004137DD"/>
    <w:rsid w:val="00413997"/>
    <w:rsid w:val="00413A27"/>
    <w:rsid w:val="00413C93"/>
    <w:rsid w:val="00413CFE"/>
    <w:rsid w:val="00413E70"/>
    <w:rsid w:val="004141AC"/>
    <w:rsid w:val="0041439C"/>
    <w:rsid w:val="00414567"/>
    <w:rsid w:val="00414644"/>
    <w:rsid w:val="00414C35"/>
    <w:rsid w:val="00414CEF"/>
    <w:rsid w:val="00414DCD"/>
    <w:rsid w:val="00414E54"/>
    <w:rsid w:val="00414E58"/>
    <w:rsid w:val="004150CA"/>
    <w:rsid w:val="00415261"/>
    <w:rsid w:val="00415645"/>
    <w:rsid w:val="004159B0"/>
    <w:rsid w:val="00415BBE"/>
    <w:rsid w:val="00415C58"/>
    <w:rsid w:val="00415FEB"/>
    <w:rsid w:val="00416094"/>
    <w:rsid w:val="004161ED"/>
    <w:rsid w:val="0041626E"/>
    <w:rsid w:val="004164A4"/>
    <w:rsid w:val="00416642"/>
    <w:rsid w:val="004167DE"/>
    <w:rsid w:val="00416A6E"/>
    <w:rsid w:val="00416B4C"/>
    <w:rsid w:val="00416C72"/>
    <w:rsid w:val="00416E09"/>
    <w:rsid w:val="00416E31"/>
    <w:rsid w:val="004172AB"/>
    <w:rsid w:val="00417A29"/>
    <w:rsid w:val="00417BA9"/>
    <w:rsid w:val="00417C05"/>
    <w:rsid w:val="00417C13"/>
    <w:rsid w:val="004201B9"/>
    <w:rsid w:val="00420370"/>
    <w:rsid w:val="00420498"/>
    <w:rsid w:val="004204A0"/>
    <w:rsid w:val="004206B1"/>
    <w:rsid w:val="004207BA"/>
    <w:rsid w:val="00420869"/>
    <w:rsid w:val="0042090F"/>
    <w:rsid w:val="00421159"/>
    <w:rsid w:val="004211FA"/>
    <w:rsid w:val="004212D1"/>
    <w:rsid w:val="004214F4"/>
    <w:rsid w:val="004215D6"/>
    <w:rsid w:val="00421871"/>
    <w:rsid w:val="00421A4A"/>
    <w:rsid w:val="00421B2A"/>
    <w:rsid w:val="00421D07"/>
    <w:rsid w:val="004224BA"/>
    <w:rsid w:val="00422764"/>
    <w:rsid w:val="004227B4"/>
    <w:rsid w:val="00422902"/>
    <w:rsid w:val="00422B6B"/>
    <w:rsid w:val="00422EB6"/>
    <w:rsid w:val="004230CC"/>
    <w:rsid w:val="00423506"/>
    <w:rsid w:val="00423549"/>
    <w:rsid w:val="004236A9"/>
    <w:rsid w:val="00423796"/>
    <w:rsid w:val="004239A6"/>
    <w:rsid w:val="004239E8"/>
    <w:rsid w:val="00423A93"/>
    <w:rsid w:val="00423AE8"/>
    <w:rsid w:val="00423E23"/>
    <w:rsid w:val="00423ECD"/>
    <w:rsid w:val="00423F2B"/>
    <w:rsid w:val="00424511"/>
    <w:rsid w:val="004247C2"/>
    <w:rsid w:val="00424CA8"/>
    <w:rsid w:val="00424F28"/>
    <w:rsid w:val="00424FBA"/>
    <w:rsid w:val="004250AC"/>
    <w:rsid w:val="004252F3"/>
    <w:rsid w:val="004256DD"/>
    <w:rsid w:val="004257A7"/>
    <w:rsid w:val="004258E7"/>
    <w:rsid w:val="00425B31"/>
    <w:rsid w:val="00425CDB"/>
    <w:rsid w:val="00425DF9"/>
    <w:rsid w:val="00425EDF"/>
    <w:rsid w:val="00426116"/>
    <w:rsid w:val="00426173"/>
    <w:rsid w:val="004267A0"/>
    <w:rsid w:val="004267A6"/>
    <w:rsid w:val="004269B0"/>
    <w:rsid w:val="00426DB2"/>
    <w:rsid w:val="00426EF4"/>
    <w:rsid w:val="0042733B"/>
    <w:rsid w:val="00427536"/>
    <w:rsid w:val="00427624"/>
    <w:rsid w:val="004278CD"/>
    <w:rsid w:val="00427AF4"/>
    <w:rsid w:val="00427BFA"/>
    <w:rsid w:val="00427D06"/>
    <w:rsid w:val="00427DCB"/>
    <w:rsid w:val="00427F4D"/>
    <w:rsid w:val="00430011"/>
    <w:rsid w:val="00430141"/>
    <w:rsid w:val="004301A9"/>
    <w:rsid w:val="004301D3"/>
    <w:rsid w:val="004304B1"/>
    <w:rsid w:val="00430AC5"/>
    <w:rsid w:val="00430BB6"/>
    <w:rsid w:val="00430D6F"/>
    <w:rsid w:val="00430F0E"/>
    <w:rsid w:val="00431408"/>
    <w:rsid w:val="004318D6"/>
    <w:rsid w:val="00431B66"/>
    <w:rsid w:val="00431D50"/>
    <w:rsid w:val="00432294"/>
    <w:rsid w:val="004324DC"/>
    <w:rsid w:val="00432582"/>
    <w:rsid w:val="004329A7"/>
    <w:rsid w:val="00432D41"/>
    <w:rsid w:val="00432EF2"/>
    <w:rsid w:val="0043338D"/>
    <w:rsid w:val="00433694"/>
    <w:rsid w:val="004339D5"/>
    <w:rsid w:val="00433B1B"/>
    <w:rsid w:val="00433D23"/>
    <w:rsid w:val="00434023"/>
    <w:rsid w:val="00434057"/>
    <w:rsid w:val="00434AFC"/>
    <w:rsid w:val="00434BAE"/>
    <w:rsid w:val="00435057"/>
    <w:rsid w:val="004350F8"/>
    <w:rsid w:val="004358D7"/>
    <w:rsid w:val="00435A3E"/>
    <w:rsid w:val="00435CCD"/>
    <w:rsid w:val="00435D46"/>
    <w:rsid w:val="00435F6A"/>
    <w:rsid w:val="004363D1"/>
    <w:rsid w:val="00436460"/>
    <w:rsid w:val="004364B8"/>
    <w:rsid w:val="00436582"/>
    <w:rsid w:val="00436598"/>
    <w:rsid w:val="00436AD6"/>
    <w:rsid w:val="00436BE1"/>
    <w:rsid w:val="00436C57"/>
    <w:rsid w:val="00436C7C"/>
    <w:rsid w:val="00436EB4"/>
    <w:rsid w:val="0043765B"/>
    <w:rsid w:val="00437A2D"/>
    <w:rsid w:val="00437B39"/>
    <w:rsid w:val="00437C0C"/>
    <w:rsid w:val="00437F1F"/>
    <w:rsid w:val="00440057"/>
    <w:rsid w:val="00440095"/>
    <w:rsid w:val="0044036C"/>
    <w:rsid w:val="004403C3"/>
    <w:rsid w:val="00440471"/>
    <w:rsid w:val="00440500"/>
    <w:rsid w:val="00440530"/>
    <w:rsid w:val="00440636"/>
    <w:rsid w:val="004409A5"/>
    <w:rsid w:val="004409AA"/>
    <w:rsid w:val="004409AC"/>
    <w:rsid w:val="00440A2F"/>
    <w:rsid w:val="00440B09"/>
    <w:rsid w:val="00440BD7"/>
    <w:rsid w:val="00440CD4"/>
    <w:rsid w:val="0044117F"/>
    <w:rsid w:val="00441328"/>
    <w:rsid w:val="0044170A"/>
    <w:rsid w:val="004417D6"/>
    <w:rsid w:val="00441B98"/>
    <w:rsid w:val="00441BB6"/>
    <w:rsid w:val="00441E8E"/>
    <w:rsid w:val="004420A4"/>
    <w:rsid w:val="00442370"/>
    <w:rsid w:val="004424D3"/>
    <w:rsid w:val="00442936"/>
    <w:rsid w:val="00442C88"/>
    <w:rsid w:val="00442FAC"/>
    <w:rsid w:val="00443082"/>
    <w:rsid w:val="00443167"/>
    <w:rsid w:val="00443503"/>
    <w:rsid w:val="004435C5"/>
    <w:rsid w:val="004438EF"/>
    <w:rsid w:val="00443A1A"/>
    <w:rsid w:val="00443C77"/>
    <w:rsid w:val="00443FD9"/>
    <w:rsid w:val="00443FE7"/>
    <w:rsid w:val="00444074"/>
    <w:rsid w:val="00444479"/>
    <w:rsid w:val="0044450F"/>
    <w:rsid w:val="00444756"/>
    <w:rsid w:val="00444E99"/>
    <w:rsid w:val="00444E9F"/>
    <w:rsid w:val="00444F5A"/>
    <w:rsid w:val="00445115"/>
    <w:rsid w:val="00445168"/>
    <w:rsid w:val="00445530"/>
    <w:rsid w:val="004457EB"/>
    <w:rsid w:val="0044591C"/>
    <w:rsid w:val="00445BC8"/>
    <w:rsid w:val="00445F03"/>
    <w:rsid w:val="00445FFC"/>
    <w:rsid w:val="00446150"/>
    <w:rsid w:val="00446447"/>
    <w:rsid w:val="004466C1"/>
    <w:rsid w:val="00446B9A"/>
    <w:rsid w:val="00446E01"/>
    <w:rsid w:val="00446F4C"/>
    <w:rsid w:val="00447074"/>
    <w:rsid w:val="004471E8"/>
    <w:rsid w:val="004476AA"/>
    <w:rsid w:val="004476B7"/>
    <w:rsid w:val="00447791"/>
    <w:rsid w:val="00447CE6"/>
    <w:rsid w:val="00447D45"/>
    <w:rsid w:val="00447F03"/>
    <w:rsid w:val="00450310"/>
    <w:rsid w:val="00450891"/>
    <w:rsid w:val="00450A1F"/>
    <w:rsid w:val="00450B45"/>
    <w:rsid w:val="00450FED"/>
    <w:rsid w:val="00451129"/>
    <w:rsid w:val="00451269"/>
    <w:rsid w:val="004512CE"/>
    <w:rsid w:val="0045158D"/>
    <w:rsid w:val="0045210D"/>
    <w:rsid w:val="00452134"/>
    <w:rsid w:val="00452439"/>
    <w:rsid w:val="0045256C"/>
    <w:rsid w:val="004525DD"/>
    <w:rsid w:val="004525F4"/>
    <w:rsid w:val="004526DF"/>
    <w:rsid w:val="00452BAA"/>
    <w:rsid w:val="00452C2C"/>
    <w:rsid w:val="00452D05"/>
    <w:rsid w:val="00452D98"/>
    <w:rsid w:val="00452F7E"/>
    <w:rsid w:val="00452F94"/>
    <w:rsid w:val="0045337F"/>
    <w:rsid w:val="00453412"/>
    <w:rsid w:val="004535A4"/>
    <w:rsid w:val="004537CE"/>
    <w:rsid w:val="00453DD0"/>
    <w:rsid w:val="00453F51"/>
    <w:rsid w:val="004540C3"/>
    <w:rsid w:val="00454887"/>
    <w:rsid w:val="00454ABC"/>
    <w:rsid w:val="00454B47"/>
    <w:rsid w:val="00454B5F"/>
    <w:rsid w:val="00454D4A"/>
    <w:rsid w:val="00454F0A"/>
    <w:rsid w:val="00454FE1"/>
    <w:rsid w:val="00455119"/>
    <w:rsid w:val="004551BE"/>
    <w:rsid w:val="00455416"/>
    <w:rsid w:val="00455435"/>
    <w:rsid w:val="00455449"/>
    <w:rsid w:val="004554F8"/>
    <w:rsid w:val="004555D3"/>
    <w:rsid w:val="00455E8F"/>
    <w:rsid w:val="004561B5"/>
    <w:rsid w:val="004561DD"/>
    <w:rsid w:val="00456369"/>
    <w:rsid w:val="004565E6"/>
    <w:rsid w:val="00456835"/>
    <w:rsid w:val="00456A09"/>
    <w:rsid w:val="00456A10"/>
    <w:rsid w:val="00456A47"/>
    <w:rsid w:val="00457A02"/>
    <w:rsid w:val="00457AAC"/>
    <w:rsid w:val="00457CE1"/>
    <w:rsid w:val="004606FD"/>
    <w:rsid w:val="0046075D"/>
    <w:rsid w:val="00460850"/>
    <w:rsid w:val="00460A2B"/>
    <w:rsid w:val="00460A5E"/>
    <w:rsid w:val="00460BB1"/>
    <w:rsid w:val="00460D20"/>
    <w:rsid w:val="0046103E"/>
    <w:rsid w:val="004611C9"/>
    <w:rsid w:val="00461220"/>
    <w:rsid w:val="004612EE"/>
    <w:rsid w:val="004613E0"/>
    <w:rsid w:val="00461405"/>
    <w:rsid w:val="004617D8"/>
    <w:rsid w:val="00461899"/>
    <w:rsid w:val="00461A03"/>
    <w:rsid w:val="00461CD3"/>
    <w:rsid w:val="00461EFD"/>
    <w:rsid w:val="00462192"/>
    <w:rsid w:val="00462337"/>
    <w:rsid w:val="00462348"/>
    <w:rsid w:val="004623DF"/>
    <w:rsid w:val="00462519"/>
    <w:rsid w:val="00462B1B"/>
    <w:rsid w:val="00462F52"/>
    <w:rsid w:val="00462FD2"/>
    <w:rsid w:val="004633F2"/>
    <w:rsid w:val="004634FD"/>
    <w:rsid w:val="00463505"/>
    <w:rsid w:val="0046375A"/>
    <w:rsid w:val="0046380B"/>
    <w:rsid w:val="0046388C"/>
    <w:rsid w:val="00463C88"/>
    <w:rsid w:val="00463E83"/>
    <w:rsid w:val="0046421C"/>
    <w:rsid w:val="0046456F"/>
    <w:rsid w:val="00464EB9"/>
    <w:rsid w:val="00464FB9"/>
    <w:rsid w:val="00464FF6"/>
    <w:rsid w:val="004651AA"/>
    <w:rsid w:val="0046548E"/>
    <w:rsid w:val="004660A4"/>
    <w:rsid w:val="0046622B"/>
    <w:rsid w:val="00466278"/>
    <w:rsid w:val="00466BE8"/>
    <w:rsid w:val="00466C50"/>
    <w:rsid w:val="00466CAA"/>
    <w:rsid w:val="00467189"/>
    <w:rsid w:val="00467391"/>
    <w:rsid w:val="0046747C"/>
    <w:rsid w:val="004674C2"/>
    <w:rsid w:val="0046762C"/>
    <w:rsid w:val="00467956"/>
    <w:rsid w:val="00467CF8"/>
    <w:rsid w:val="00467E40"/>
    <w:rsid w:val="00467E47"/>
    <w:rsid w:val="00470257"/>
    <w:rsid w:val="00470356"/>
    <w:rsid w:val="00470703"/>
    <w:rsid w:val="00471045"/>
    <w:rsid w:val="004711FC"/>
    <w:rsid w:val="004713DF"/>
    <w:rsid w:val="00471505"/>
    <w:rsid w:val="00471563"/>
    <w:rsid w:val="004717A5"/>
    <w:rsid w:val="004718C3"/>
    <w:rsid w:val="00471B6C"/>
    <w:rsid w:val="00471D79"/>
    <w:rsid w:val="00471F12"/>
    <w:rsid w:val="00471F71"/>
    <w:rsid w:val="00472189"/>
    <w:rsid w:val="004722F6"/>
    <w:rsid w:val="00472784"/>
    <w:rsid w:val="00472A00"/>
    <w:rsid w:val="00472A81"/>
    <w:rsid w:val="00472E24"/>
    <w:rsid w:val="00472ED4"/>
    <w:rsid w:val="00473295"/>
    <w:rsid w:val="00473424"/>
    <w:rsid w:val="00473559"/>
    <w:rsid w:val="00473667"/>
    <w:rsid w:val="00473692"/>
    <w:rsid w:val="00473713"/>
    <w:rsid w:val="00473969"/>
    <w:rsid w:val="00473996"/>
    <w:rsid w:val="00473AC1"/>
    <w:rsid w:val="00473BF7"/>
    <w:rsid w:val="00473C78"/>
    <w:rsid w:val="00473E9A"/>
    <w:rsid w:val="00473F44"/>
    <w:rsid w:val="0047439B"/>
    <w:rsid w:val="004743F7"/>
    <w:rsid w:val="00474443"/>
    <w:rsid w:val="00474581"/>
    <w:rsid w:val="004745FD"/>
    <w:rsid w:val="004746F8"/>
    <w:rsid w:val="00474766"/>
    <w:rsid w:val="00474840"/>
    <w:rsid w:val="00474D3A"/>
    <w:rsid w:val="00474E5C"/>
    <w:rsid w:val="00475175"/>
    <w:rsid w:val="0047545F"/>
    <w:rsid w:val="0047546F"/>
    <w:rsid w:val="00475889"/>
    <w:rsid w:val="00475D28"/>
    <w:rsid w:val="00475F03"/>
    <w:rsid w:val="0047601F"/>
    <w:rsid w:val="004762AE"/>
    <w:rsid w:val="0047692C"/>
    <w:rsid w:val="00476BF4"/>
    <w:rsid w:val="00476D3B"/>
    <w:rsid w:val="0047713A"/>
    <w:rsid w:val="004774C5"/>
    <w:rsid w:val="0047758C"/>
    <w:rsid w:val="004775B8"/>
    <w:rsid w:val="00477724"/>
    <w:rsid w:val="00477772"/>
    <w:rsid w:val="004777A0"/>
    <w:rsid w:val="004778D2"/>
    <w:rsid w:val="00477D1B"/>
    <w:rsid w:val="00477E32"/>
    <w:rsid w:val="0048059B"/>
    <w:rsid w:val="0048068D"/>
    <w:rsid w:val="004807E7"/>
    <w:rsid w:val="00480861"/>
    <w:rsid w:val="00480908"/>
    <w:rsid w:val="00480B45"/>
    <w:rsid w:val="00480C76"/>
    <w:rsid w:val="00480DA3"/>
    <w:rsid w:val="00480DED"/>
    <w:rsid w:val="00480E88"/>
    <w:rsid w:val="00480EBC"/>
    <w:rsid w:val="0048110C"/>
    <w:rsid w:val="004811A5"/>
    <w:rsid w:val="004811C7"/>
    <w:rsid w:val="00481294"/>
    <w:rsid w:val="0048139A"/>
    <w:rsid w:val="004816A4"/>
    <w:rsid w:val="00481A8A"/>
    <w:rsid w:val="00481E7E"/>
    <w:rsid w:val="004821DE"/>
    <w:rsid w:val="004822C3"/>
    <w:rsid w:val="00482392"/>
    <w:rsid w:val="00482A48"/>
    <w:rsid w:val="00482F6A"/>
    <w:rsid w:val="004831BD"/>
    <w:rsid w:val="00483416"/>
    <w:rsid w:val="0048342E"/>
    <w:rsid w:val="0048363C"/>
    <w:rsid w:val="004836B3"/>
    <w:rsid w:val="00483AEB"/>
    <w:rsid w:val="00483B61"/>
    <w:rsid w:val="00483BC6"/>
    <w:rsid w:val="00484059"/>
    <w:rsid w:val="0048418D"/>
    <w:rsid w:val="004841C3"/>
    <w:rsid w:val="00484617"/>
    <w:rsid w:val="00484864"/>
    <w:rsid w:val="0048499F"/>
    <w:rsid w:val="00484A53"/>
    <w:rsid w:val="00484B14"/>
    <w:rsid w:val="00484CBC"/>
    <w:rsid w:val="00484D0E"/>
    <w:rsid w:val="00484FE4"/>
    <w:rsid w:val="0048530D"/>
    <w:rsid w:val="00485512"/>
    <w:rsid w:val="004861B6"/>
    <w:rsid w:val="00486658"/>
    <w:rsid w:val="00487292"/>
    <w:rsid w:val="00487399"/>
    <w:rsid w:val="0048743B"/>
    <w:rsid w:val="0048759A"/>
    <w:rsid w:val="0048786D"/>
    <w:rsid w:val="004879BA"/>
    <w:rsid w:val="00487A7E"/>
    <w:rsid w:val="00487B75"/>
    <w:rsid w:val="00487C68"/>
    <w:rsid w:val="00490128"/>
    <w:rsid w:val="004901F0"/>
    <w:rsid w:val="00490630"/>
    <w:rsid w:val="0049073C"/>
    <w:rsid w:val="004909FD"/>
    <w:rsid w:val="00490C4D"/>
    <w:rsid w:val="004911E7"/>
    <w:rsid w:val="0049121E"/>
    <w:rsid w:val="00491460"/>
    <w:rsid w:val="0049178F"/>
    <w:rsid w:val="00491843"/>
    <w:rsid w:val="004918B8"/>
    <w:rsid w:val="00491B88"/>
    <w:rsid w:val="00491C8A"/>
    <w:rsid w:val="00491EFA"/>
    <w:rsid w:val="0049235A"/>
    <w:rsid w:val="004928F4"/>
    <w:rsid w:val="0049290E"/>
    <w:rsid w:val="004929B9"/>
    <w:rsid w:val="004930BB"/>
    <w:rsid w:val="0049331C"/>
    <w:rsid w:val="004937EA"/>
    <w:rsid w:val="00493E5A"/>
    <w:rsid w:val="004943E1"/>
    <w:rsid w:val="004946E9"/>
    <w:rsid w:val="004947C4"/>
    <w:rsid w:val="00494C9D"/>
    <w:rsid w:val="00494F49"/>
    <w:rsid w:val="0049500E"/>
    <w:rsid w:val="0049508F"/>
    <w:rsid w:val="0049518D"/>
    <w:rsid w:val="004953DE"/>
    <w:rsid w:val="0049545F"/>
    <w:rsid w:val="004954A6"/>
    <w:rsid w:val="004955CF"/>
    <w:rsid w:val="0049588D"/>
    <w:rsid w:val="00496097"/>
    <w:rsid w:val="0049622E"/>
    <w:rsid w:val="00496304"/>
    <w:rsid w:val="00496428"/>
    <w:rsid w:val="00496619"/>
    <w:rsid w:val="00496BA7"/>
    <w:rsid w:val="00496D26"/>
    <w:rsid w:val="00496D8E"/>
    <w:rsid w:val="00496DC8"/>
    <w:rsid w:val="00496EEF"/>
    <w:rsid w:val="004970EB"/>
    <w:rsid w:val="004975AB"/>
    <w:rsid w:val="00497604"/>
    <w:rsid w:val="004977AD"/>
    <w:rsid w:val="00497A01"/>
    <w:rsid w:val="00497AC0"/>
    <w:rsid w:val="00497C2C"/>
    <w:rsid w:val="00497D5F"/>
    <w:rsid w:val="00497F39"/>
    <w:rsid w:val="004A001F"/>
    <w:rsid w:val="004A003A"/>
    <w:rsid w:val="004A0116"/>
    <w:rsid w:val="004A03DF"/>
    <w:rsid w:val="004A04BA"/>
    <w:rsid w:val="004A08B4"/>
    <w:rsid w:val="004A0B91"/>
    <w:rsid w:val="004A0BEF"/>
    <w:rsid w:val="004A0E80"/>
    <w:rsid w:val="004A0F0E"/>
    <w:rsid w:val="004A11B1"/>
    <w:rsid w:val="004A163B"/>
    <w:rsid w:val="004A173F"/>
    <w:rsid w:val="004A1AF5"/>
    <w:rsid w:val="004A1B36"/>
    <w:rsid w:val="004A1D7E"/>
    <w:rsid w:val="004A1E1A"/>
    <w:rsid w:val="004A1E67"/>
    <w:rsid w:val="004A2033"/>
    <w:rsid w:val="004A249A"/>
    <w:rsid w:val="004A264B"/>
    <w:rsid w:val="004A28F4"/>
    <w:rsid w:val="004A29D1"/>
    <w:rsid w:val="004A2C44"/>
    <w:rsid w:val="004A2C63"/>
    <w:rsid w:val="004A2FAC"/>
    <w:rsid w:val="004A2FEF"/>
    <w:rsid w:val="004A330D"/>
    <w:rsid w:val="004A3697"/>
    <w:rsid w:val="004A3AF4"/>
    <w:rsid w:val="004A4498"/>
    <w:rsid w:val="004A464C"/>
    <w:rsid w:val="004A49F8"/>
    <w:rsid w:val="004A4ADE"/>
    <w:rsid w:val="004A4AE5"/>
    <w:rsid w:val="004A4BD1"/>
    <w:rsid w:val="004A4C44"/>
    <w:rsid w:val="004A4CDF"/>
    <w:rsid w:val="004A5168"/>
    <w:rsid w:val="004A5696"/>
    <w:rsid w:val="004A56F0"/>
    <w:rsid w:val="004A5755"/>
    <w:rsid w:val="004A585A"/>
    <w:rsid w:val="004A5D04"/>
    <w:rsid w:val="004A6287"/>
    <w:rsid w:val="004A652E"/>
    <w:rsid w:val="004A6581"/>
    <w:rsid w:val="004A6A0A"/>
    <w:rsid w:val="004A6A6C"/>
    <w:rsid w:val="004A6B45"/>
    <w:rsid w:val="004A6F76"/>
    <w:rsid w:val="004A6FC7"/>
    <w:rsid w:val="004A6FD2"/>
    <w:rsid w:val="004A7275"/>
    <w:rsid w:val="004A7292"/>
    <w:rsid w:val="004A734A"/>
    <w:rsid w:val="004A74F6"/>
    <w:rsid w:val="004A7595"/>
    <w:rsid w:val="004A7708"/>
    <w:rsid w:val="004A77AF"/>
    <w:rsid w:val="004A77B3"/>
    <w:rsid w:val="004A782A"/>
    <w:rsid w:val="004A7847"/>
    <w:rsid w:val="004A784F"/>
    <w:rsid w:val="004A7DF5"/>
    <w:rsid w:val="004B028A"/>
    <w:rsid w:val="004B03CD"/>
    <w:rsid w:val="004B03F7"/>
    <w:rsid w:val="004B0B65"/>
    <w:rsid w:val="004B0B97"/>
    <w:rsid w:val="004B0CCD"/>
    <w:rsid w:val="004B0D47"/>
    <w:rsid w:val="004B1352"/>
    <w:rsid w:val="004B13D6"/>
    <w:rsid w:val="004B13E0"/>
    <w:rsid w:val="004B16FC"/>
    <w:rsid w:val="004B196D"/>
    <w:rsid w:val="004B1975"/>
    <w:rsid w:val="004B226C"/>
    <w:rsid w:val="004B227A"/>
    <w:rsid w:val="004B23B3"/>
    <w:rsid w:val="004B261E"/>
    <w:rsid w:val="004B2630"/>
    <w:rsid w:val="004B2A0E"/>
    <w:rsid w:val="004B3081"/>
    <w:rsid w:val="004B310F"/>
    <w:rsid w:val="004B31DE"/>
    <w:rsid w:val="004B32FA"/>
    <w:rsid w:val="004B3447"/>
    <w:rsid w:val="004B3871"/>
    <w:rsid w:val="004B3B0D"/>
    <w:rsid w:val="004B3CC5"/>
    <w:rsid w:val="004B3F37"/>
    <w:rsid w:val="004B411A"/>
    <w:rsid w:val="004B4797"/>
    <w:rsid w:val="004B4942"/>
    <w:rsid w:val="004B49F0"/>
    <w:rsid w:val="004B4E0F"/>
    <w:rsid w:val="004B4E58"/>
    <w:rsid w:val="004B53FD"/>
    <w:rsid w:val="004B5965"/>
    <w:rsid w:val="004B5E09"/>
    <w:rsid w:val="004B5EC1"/>
    <w:rsid w:val="004B5FC0"/>
    <w:rsid w:val="004B642C"/>
    <w:rsid w:val="004B6505"/>
    <w:rsid w:val="004B658C"/>
    <w:rsid w:val="004B667E"/>
    <w:rsid w:val="004B6807"/>
    <w:rsid w:val="004B6828"/>
    <w:rsid w:val="004B69B7"/>
    <w:rsid w:val="004B6B73"/>
    <w:rsid w:val="004B6C34"/>
    <w:rsid w:val="004B71B2"/>
    <w:rsid w:val="004B77B3"/>
    <w:rsid w:val="004B77C6"/>
    <w:rsid w:val="004B78F8"/>
    <w:rsid w:val="004B7984"/>
    <w:rsid w:val="004B7A9A"/>
    <w:rsid w:val="004B7B8C"/>
    <w:rsid w:val="004B7C83"/>
    <w:rsid w:val="004B7CC4"/>
    <w:rsid w:val="004B7CCD"/>
    <w:rsid w:val="004B7CFB"/>
    <w:rsid w:val="004B7E81"/>
    <w:rsid w:val="004C018F"/>
    <w:rsid w:val="004C0348"/>
    <w:rsid w:val="004C05B3"/>
    <w:rsid w:val="004C06AD"/>
    <w:rsid w:val="004C0797"/>
    <w:rsid w:val="004C08C1"/>
    <w:rsid w:val="004C0A5E"/>
    <w:rsid w:val="004C0B81"/>
    <w:rsid w:val="004C0DF9"/>
    <w:rsid w:val="004C1284"/>
    <w:rsid w:val="004C163D"/>
    <w:rsid w:val="004C1815"/>
    <w:rsid w:val="004C1819"/>
    <w:rsid w:val="004C1884"/>
    <w:rsid w:val="004C1B78"/>
    <w:rsid w:val="004C1D97"/>
    <w:rsid w:val="004C1EFF"/>
    <w:rsid w:val="004C21FF"/>
    <w:rsid w:val="004C2361"/>
    <w:rsid w:val="004C23BC"/>
    <w:rsid w:val="004C2429"/>
    <w:rsid w:val="004C2639"/>
    <w:rsid w:val="004C26FB"/>
    <w:rsid w:val="004C2851"/>
    <w:rsid w:val="004C2A4D"/>
    <w:rsid w:val="004C2F0A"/>
    <w:rsid w:val="004C2FE1"/>
    <w:rsid w:val="004C302D"/>
    <w:rsid w:val="004C3318"/>
    <w:rsid w:val="004C366C"/>
    <w:rsid w:val="004C36F9"/>
    <w:rsid w:val="004C3D90"/>
    <w:rsid w:val="004C3DBD"/>
    <w:rsid w:val="004C4583"/>
    <w:rsid w:val="004C488D"/>
    <w:rsid w:val="004C4A52"/>
    <w:rsid w:val="004C4FB2"/>
    <w:rsid w:val="004C4FB7"/>
    <w:rsid w:val="004C523B"/>
    <w:rsid w:val="004C5546"/>
    <w:rsid w:val="004C5864"/>
    <w:rsid w:val="004C5894"/>
    <w:rsid w:val="004C58DB"/>
    <w:rsid w:val="004C5F07"/>
    <w:rsid w:val="004C5F90"/>
    <w:rsid w:val="004C603E"/>
    <w:rsid w:val="004C6405"/>
    <w:rsid w:val="004C661D"/>
    <w:rsid w:val="004C6B88"/>
    <w:rsid w:val="004C6C9A"/>
    <w:rsid w:val="004C6D3D"/>
    <w:rsid w:val="004C7089"/>
    <w:rsid w:val="004C72C6"/>
    <w:rsid w:val="004C7398"/>
    <w:rsid w:val="004C748F"/>
    <w:rsid w:val="004C7561"/>
    <w:rsid w:val="004C7651"/>
    <w:rsid w:val="004C76B4"/>
    <w:rsid w:val="004C7890"/>
    <w:rsid w:val="004C78D8"/>
    <w:rsid w:val="004C7921"/>
    <w:rsid w:val="004C7BFD"/>
    <w:rsid w:val="004D02BC"/>
    <w:rsid w:val="004D0B63"/>
    <w:rsid w:val="004D0DFA"/>
    <w:rsid w:val="004D1245"/>
    <w:rsid w:val="004D127F"/>
    <w:rsid w:val="004D165F"/>
    <w:rsid w:val="004D179B"/>
    <w:rsid w:val="004D1947"/>
    <w:rsid w:val="004D19DD"/>
    <w:rsid w:val="004D1CC4"/>
    <w:rsid w:val="004D1D17"/>
    <w:rsid w:val="004D1E42"/>
    <w:rsid w:val="004D1EAD"/>
    <w:rsid w:val="004D1F12"/>
    <w:rsid w:val="004D1F82"/>
    <w:rsid w:val="004D2434"/>
    <w:rsid w:val="004D24CB"/>
    <w:rsid w:val="004D2689"/>
    <w:rsid w:val="004D2943"/>
    <w:rsid w:val="004D2D7B"/>
    <w:rsid w:val="004D3149"/>
    <w:rsid w:val="004D356E"/>
    <w:rsid w:val="004D3829"/>
    <w:rsid w:val="004D38C5"/>
    <w:rsid w:val="004D3A4E"/>
    <w:rsid w:val="004D40C1"/>
    <w:rsid w:val="004D41ED"/>
    <w:rsid w:val="004D4376"/>
    <w:rsid w:val="004D4381"/>
    <w:rsid w:val="004D43C8"/>
    <w:rsid w:val="004D47F6"/>
    <w:rsid w:val="004D4857"/>
    <w:rsid w:val="004D4987"/>
    <w:rsid w:val="004D4B0E"/>
    <w:rsid w:val="004D4B45"/>
    <w:rsid w:val="004D4B7A"/>
    <w:rsid w:val="004D4EEA"/>
    <w:rsid w:val="004D5042"/>
    <w:rsid w:val="004D5364"/>
    <w:rsid w:val="004D53EE"/>
    <w:rsid w:val="004D5539"/>
    <w:rsid w:val="004D599E"/>
    <w:rsid w:val="004D5A40"/>
    <w:rsid w:val="004D5B41"/>
    <w:rsid w:val="004D5CA4"/>
    <w:rsid w:val="004D66F1"/>
    <w:rsid w:val="004D6BB8"/>
    <w:rsid w:val="004D72BC"/>
    <w:rsid w:val="004D776B"/>
    <w:rsid w:val="004D79EA"/>
    <w:rsid w:val="004D7C8B"/>
    <w:rsid w:val="004E009B"/>
    <w:rsid w:val="004E016D"/>
    <w:rsid w:val="004E0175"/>
    <w:rsid w:val="004E02B3"/>
    <w:rsid w:val="004E03DF"/>
    <w:rsid w:val="004E0547"/>
    <w:rsid w:val="004E0719"/>
    <w:rsid w:val="004E0B30"/>
    <w:rsid w:val="004E0E72"/>
    <w:rsid w:val="004E0FBE"/>
    <w:rsid w:val="004E0FCF"/>
    <w:rsid w:val="004E1073"/>
    <w:rsid w:val="004E12E9"/>
    <w:rsid w:val="004E1400"/>
    <w:rsid w:val="004E1436"/>
    <w:rsid w:val="004E15C9"/>
    <w:rsid w:val="004E1783"/>
    <w:rsid w:val="004E1828"/>
    <w:rsid w:val="004E19C5"/>
    <w:rsid w:val="004E1A16"/>
    <w:rsid w:val="004E1ABA"/>
    <w:rsid w:val="004E1B73"/>
    <w:rsid w:val="004E1C0A"/>
    <w:rsid w:val="004E1CB3"/>
    <w:rsid w:val="004E1FB9"/>
    <w:rsid w:val="004E2028"/>
    <w:rsid w:val="004E22C3"/>
    <w:rsid w:val="004E2322"/>
    <w:rsid w:val="004E28E3"/>
    <w:rsid w:val="004E2A10"/>
    <w:rsid w:val="004E2B3E"/>
    <w:rsid w:val="004E2DE4"/>
    <w:rsid w:val="004E32BF"/>
    <w:rsid w:val="004E32F9"/>
    <w:rsid w:val="004E377C"/>
    <w:rsid w:val="004E3C4A"/>
    <w:rsid w:val="004E3D8E"/>
    <w:rsid w:val="004E3EEA"/>
    <w:rsid w:val="004E42EA"/>
    <w:rsid w:val="004E4437"/>
    <w:rsid w:val="004E4623"/>
    <w:rsid w:val="004E4A5C"/>
    <w:rsid w:val="004E4EB2"/>
    <w:rsid w:val="004E4FD0"/>
    <w:rsid w:val="004E5063"/>
    <w:rsid w:val="004E5145"/>
    <w:rsid w:val="004E5AC4"/>
    <w:rsid w:val="004E5ED3"/>
    <w:rsid w:val="004E6197"/>
    <w:rsid w:val="004E6268"/>
    <w:rsid w:val="004E6378"/>
    <w:rsid w:val="004E6520"/>
    <w:rsid w:val="004E6673"/>
    <w:rsid w:val="004E67C1"/>
    <w:rsid w:val="004E69C4"/>
    <w:rsid w:val="004E6B10"/>
    <w:rsid w:val="004E6F63"/>
    <w:rsid w:val="004E6F91"/>
    <w:rsid w:val="004E7025"/>
    <w:rsid w:val="004E739D"/>
    <w:rsid w:val="004E73BB"/>
    <w:rsid w:val="004E7428"/>
    <w:rsid w:val="004E7841"/>
    <w:rsid w:val="004E7C3E"/>
    <w:rsid w:val="004E7C41"/>
    <w:rsid w:val="004E7D99"/>
    <w:rsid w:val="004E7EC5"/>
    <w:rsid w:val="004E7F46"/>
    <w:rsid w:val="004F0346"/>
    <w:rsid w:val="004F0474"/>
    <w:rsid w:val="004F04F7"/>
    <w:rsid w:val="004F056E"/>
    <w:rsid w:val="004F064D"/>
    <w:rsid w:val="004F06F1"/>
    <w:rsid w:val="004F0901"/>
    <w:rsid w:val="004F098C"/>
    <w:rsid w:val="004F0C80"/>
    <w:rsid w:val="004F0DB6"/>
    <w:rsid w:val="004F0FF4"/>
    <w:rsid w:val="004F1243"/>
    <w:rsid w:val="004F13B9"/>
    <w:rsid w:val="004F14B7"/>
    <w:rsid w:val="004F14E4"/>
    <w:rsid w:val="004F19A1"/>
    <w:rsid w:val="004F1D2C"/>
    <w:rsid w:val="004F1D5B"/>
    <w:rsid w:val="004F207D"/>
    <w:rsid w:val="004F244C"/>
    <w:rsid w:val="004F2D75"/>
    <w:rsid w:val="004F2DC0"/>
    <w:rsid w:val="004F2DEC"/>
    <w:rsid w:val="004F343B"/>
    <w:rsid w:val="004F3482"/>
    <w:rsid w:val="004F3521"/>
    <w:rsid w:val="004F3522"/>
    <w:rsid w:val="004F37AA"/>
    <w:rsid w:val="004F3823"/>
    <w:rsid w:val="004F38D8"/>
    <w:rsid w:val="004F3F87"/>
    <w:rsid w:val="004F4243"/>
    <w:rsid w:val="004F42A2"/>
    <w:rsid w:val="004F495F"/>
    <w:rsid w:val="004F4A22"/>
    <w:rsid w:val="004F4A72"/>
    <w:rsid w:val="004F4E8F"/>
    <w:rsid w:val="004F51B4"/>
    <w:rsid w:val="004F531B"/>
    <w:rsid w:val="004F548D"/>
    <w:rsid w:val="004F5503"/>
    <w:rsid w:val="004F5949"/>
    <w:rsid w:val="004F62B1"/>
    <w:rsid w:val="004F62BC"/>
    <w:rsid w:val="004F639B"/>
    <w:rsid w:val="004F6560"/>
    <w:rsid w:val="004F67A6"/>
    <w:rsid w:val="004F685F"/>
    <w:rsid w:val="004F69EB"/>
    <w:rsid w:val="004F6AD3"/>
    <w:rsid w:val="004F6AD5"/>
    <w:rsid w:val="004F6B21"/>
    <w:rsid w:val="004F6B76"/>
    <w:rsid w:val="004F6E83"/>
    <w:rsid w:val="004F6EED"/>
    <w:rsid w:val="004F707F"/>
    <w:rsid w:val="004F71C9"/>
    <w:rsid w:val="004F71E7"/>
    <w:rsid w:val="004F71F6"/>
    <w:rsid w:val="004F7757"/>
    <w:rsid w:val="004F7766"/>
    <w:rsid w:val="004F7781"/>
    <w:rsid w:val="004F7AE5"/>
    <w:rsid w:val="004F7B20"/>
    <w:rsid w:val="004F7B99"/>
    <w:rsid w:val="004F7DEC"/>
    <w:rsid w:val="004F7E57"/>
    <w:rsid w:val="004F7E70"/>
    <w:rsid w:val="00500409"/>
    <w:rsid w:val="0050045B"/>
    <w:rsid w:val="0050057A"/>
    <w:rsid w:val="005005D7"/>
    <w:rsid w:val="00500A58"/>
    <w:rsid w:val="00500EB0"/>
    <w:rsid w:val="00500EBD"/>
    <w:rsid w:val="00500FB4"/>
    <w:rsid w:val="0050143C"/>
    <w:rsid w:val="005014A3"/>
    <w:rsid w:val="005014C9"/>
    <w:rsid w:val="00501621"/>
    <w:rsid w:val="00501659"/>
    <w:rsid w:val="00501DBC"/>
    <w:rsid w:val="005020B6"/>
    <w:rsid w:val="00502329"/>
    <w:rsid w:val="005023B0"/>
    <w:rsid w:val="005024D6"/>
    <w:rsid w:val="0050271D"/>
    <w:rsid w:val="0050275A"/>
    <w:rsid w:val="005027EC"/>
    <w:rsid w:val="00502F73"/>
    <w:rsid w:val="005032D9"/>
    <w:rsid w:val="00503A1C"/>
    <w:rsid w:val="00503A9B"/>
    <w:rsid w:val="00503B14"/>
    <w:rsid w:val="00503C15"/>
    <w:rsid w:val="00503ED0"/>
    <w:rsid w:val="00503FAB"/>
    <w:rsid w:val="00504244"/>
    <w:rsid w:val="0050447C"/>
    <w:rsid w:val="00504513"/>
    <w:rsid w:val="0050452C"/>
    <w:rsid w:val="00504C3A"/>
    <w:rsid w:val="00504CBB"/>
    <w:rsid w:val="00504D40"/>
    <w:rsid w:val="0050541E"/>
    <w:rsid w:val="00505500"/>
    <w:rsid w:val="005056A1"/>
    <w:rsid w:val="005057B2"/>
    <w:rsid w:val="00505DE6"/>
    <w:rsid w:val="00505F35"/>
    <w:rsid w:val="005062A8"/>
    <w:rsid w:val="005063FF"/>
    <w:rsid w:val="00506412"/>
    <w:rsid w:val="00506513"/>
    <w:rsid w:val="00506689"/>
    <w:rsid w:val="0050669F"/>
    <w:rsid w:val="005067FF"/>
    <w:rsid w:val="005068EE"/>
    <w:rsid w:val="0050696D"/>
    <w:rsid w:val="00506A2F"/>
    <w:rsid w:val="00506D25"/>
    <w:rsid w:val="005070E9"/>
    <w:rsid w:val="00507101"/>
    <w:rsid w:val="00507764"/>
    <w:rsid w:val="005077A2"/>
    <w:rsid w:val="00507A98"/>
    <w:rsid w:val="00507AEC"/>
    <w:rsid w:val="00507C32"/>
    <w:rsid w:val="00507D4C"/>
    <w:rsid w:val="00507D6B"/>
    <w:rsid w:val="00507DC6"/>
    <w:rsid w:val="00507F2D"/>
    <w:rsid w:val="00507F9F"/>
    <w:rsid w:val="00507FC9"/>
    <w:rsid w:val="00510048"/>
    <w:rsid w:val="005102A5"/>
    <w:rsid w:val="005102F8"/>
    <w:rsid w:val="00510323"/>
    <w:rsid w:val="0051039F"/>
    <w:rsid w:val="00510935"/>
    <w:rsid w:val="00510A41"/>
    <w:rsid w:val="00510AE5"/>
    <w:rsid w:val="00510D03"/>
    <w:rsid w:val="00510E51"/>
    <w:rsid w:val="00510FC5"/>
    <w:rsid w:val="005112B5"/>
    <w:rsid w:val="0051153F"/>
    <w:rsid w:val="0051172E"/>
    <w:rsid w:val="00511994"/>
    <w:rsid w:val="00511A4D"/>
    <w:rsid w:val="00511AAB"/>
    <w:rsid w:val="00511E02"/>
    <w:rsid w:val="005121E4"/>
    <w:rsid w:val="005124AA"/>
    <w:rsid w:val="005125A7"/>
    <w:rsid w:val="005125D8"/>
    <w:rsid w:val="005125F2"/>
    <w:rsid w:val="005128CE"/>
    <w:rsid w:val="00512D07"/>
    <w:rsid w:val="00513114"/>
    <w:rsid w:val="00513610"/>
    <w:rsid w:val="00513646"/>
    <w:rsid w:val="00513A7F"/>
    <w:rsid w:val="005140A1"/>
    <w:rsid w:val="0051452F"/>
    <w:rsid w:val="0051481D"/>
    <w:rsid w:val="0051502F"/>
    <w:rsid w:val="0051530D"/>
    <w:rsid w:val="00515545"/>
    <w:rsid w:val="005156AC"/>
    <w:rsid w:val="0051573E"/>
    <w:rsid w:val="005157CB"/>
    <w:rsid w:val="005158A0"/>
    <w:rsid w:val="0051598E"/>
    <w:rsid w:val="00515AF8"/>
    <w:rsid w:val="00515C63"/>
    <w:rsid w:val="00516004"/>
    <w:rsid w:val="0051629F"/>
    <w:rsid w:val="005162CF"/>
    <w:rsid w:val="005164A7"/>
    <w:rsid w:val="00516506"/>
    <w:rsid w:val="005165A5"/>
    <w:rsid w:val="0051673A"/>
    <w:rsid w:val="00516763"/>
    <w:rsid w:val="005171A4"/>
    <w:rsid w:val="005172AA"/>
    <w:rsid w:val="005174A3"/>
    <w:rsid w:val="00517AF5"/>
    <w:rsid w:val="00517C1B"/>
    <w:rsid w:val="00517DB5"/>
    <w:rsid w:val="00517E45"/>
    <w:rsid w:val="00520765"/>
    <w:rsid w:val="00520DC5"/>
    <w:rsid w:val="00520E7D"/>
    <w:rsid w:val="00520F0E"/>
    <w:rsid w:val="00521064"/>
    <w:rsid w:val="0052183B"/>
    <w:rsid w:val="00521D81"/>
    <w:rsid w:val="00521F04"/>
    <w:rsid w:val="00522146"/>
    <w:rsid w:val="00522326"/>
    <w:rsid w:val="00522700"/>
    <w:rsid w:val="005229CA"/>
    <w:rsid w:val="005229FB"/>
    <w:rsid w:val="00522A62"/>
    <w:rsid w:val="005230B1"/>
    <w:rsid w:val="005231CF"/>
    <w:rsid w:val="005234A7"/>
    <w:rsid w:val="005235B5"/>
    <w:rsid w:val="0052362F"/>
    <w:rsid w:val="005237CA"/>
    <w:rsid w:val="00523C0F"/>
    <w:rsid w:val="00524179"/>
    <w:rsid w:val="005241F4"/>
    <w:rsid w:val="0052422A"/>
    <w:rsid w:val="005242CD"/>
    <w:rsid w:val="00524396"/>
    <w:rsid w:val="0052453C"/>
    <w:rsid w:val="005245DA"/>
    <w:rsid w:val="0052484F"/>
    <w:rsid w:val="00524866"/>
    <w:rsid w:val="00524A1D"/>
    <w:rsid w:val="00524D34"/>
    <w:rsid w:val="00524D76"/>
    <w:rsid w:val="00525731"/>
    <w:rsid w:val="005259A9"/>
    <w:rsid w:val="00525E67"/>
    <w:rsid w:val="00525F00"/>
    <w:rsid w:val="005260F7"/>
    <w:rsid w:val="00526197"/>
    <w:rsid w:val="0052688F"/>
    <w:rsid w:val="005269A3"/>
    <w:rsid w:val="00526ADC"/>
    <w:rsid w:val="00526C92"/>
    <w:rsid w:val="0052701E"/>
    <w:rsid w:val="00527134"/>
    <w:rsid w:val="00527258"/>
    <w:rsid w:val="00527939"/>
    <w:rsid w:val="00527B22"/>
    <w:rsid w:val="00527C08"/>
    <w:rsid w:val="00527F40"/>
    <w:rsid w:val="00527FAF"/>
    <w:rsid w:val="00530465"/>
    <w:rsid w:val="00530479"/>
    <w:rsid w:val="005305A7"/>
    <w:rsid w:val="00530686"/>
    <w:rsid w:val="005306D3"/>
    <w:rsid w:val="00530756"/>
    <w:rsid w:val="005307D6"/>
    <w:rsid w:val="00530858"/>
    <w:rsid w:val="005308BE"/>
    <w:rsid w:val="00530911"/>
    <w:rsid w:val="005309FD"/>
    <w:rsid w:val="00530BF1"/>
    <w:rsid w:val="005311E5"/>
    <w:rsid w:val="0053173C"/>
    <w:rsid w:val="00531833"/>
    <w:rsid w:val="00531A84"/>
    <w:rsid w:val="00531B86"/>
    <w:rsid w:val="00531BB0"/>
    <w:rsid w:val="00531FDE"/>
    <w:rsid w:val="005324E3"/>
    <w:rsid w:val="0053263F"/>
    <w:rsid w:val="005328A4"/>
    <w:rsid w:val="00532958"/>
    <w:rsid w:val="00532B55"/>
    <w:rsid w:val="00532B9C"/>
    <w:rsid w:val="00532F31"/>
    <w:rsid w:val="00533242"/>
    <w:rsid w:val="005332CF"/>
    <w:rsid w:val="005332E1"/>
    <w:rsid w:val="005338DA"/>
    <w:rsid w:val="00533B74"/>
    <w:rsid w:val="00533DD0"/>
    <w:rsid w:val="00534081"/>
    <w:rsid w:val="00534135"/>
    <w:rsid w:val="00534194"/>
    <w:rsid w:val="005341A4"/>
    <w:rsid w:val="0053435C"/>
    <w:rsid w:val="0053446C"/>
    <w:rsid w:val="00534D40"/>
    <w:rsid w:val="0053532F"/>
    <w:rsid w:val="00535603"/>
    <w:rsid w:val="0053572E"/>
    <w:rsid w:val="00535916"/>
    <w:rsid w:val="00535B9E"/>
    <w:rsid w:val="00535FC6"/>
    <w:rsid w:val="005366CF"/>
    <w:rsid w:val="00536B83"/>
    <w:rsid w:val="00536D1E"/>
    <w:rsid w:val="00536E40"/>
    <w:rsid w:val="00536E4D"/>
    <w:rsid w:val="0053736A"/>
    <w:rsid w:val="00537532"/>
    <w:rsid w:val="0053778C"/>
    <w:rsid w:val="0053787A"/>
    <w:rsid w:val="00537988"/>
    <w:rsid w:val="00537A1A"/>
    <w:rsid w:val="00537B43"/>
    <w:rsid w:val="00537B87"/>
    <w:rsid w:val="00537CA8"/>
    <w:rsid w:val="00537CD7"/>
    <w:rsid w:val="00537D33"/>
    <w:rsid w:val="00537E93"/>
    <w:rsid w:val="005404E3"/>
    <w:rsid w:val="005406B3"/>
    <w:rsid w:val="00540748"/>
    <w:rsid w:val="0054091A"/>
    <w:rsid w:val="00540B8E"/>
    <w:rsid w:val="00540C14"/>
    <w:rsid w:val="00540CFB"/>
    <w:rsid w:val="00540D08"/>
    <w:rsid w:val="00540D1A"/>
    <w:rsid w:val="00540DD2"/>
    <w:rsid w:val="00540F1E"/>
    <w:rsid w:val="00541506"/>
    <w:rsid w:val="0054154A"/>
    <w:rsid w:val="00541571"/>
    <w:rsid w:val="005418E3"/>
    <w:rsid w:val="00541B6C"/>
    <w:rsid w:val="00541BD2"/>
    <w:rsid w:val="00541D27"/>
    <w:rsid w:val="00541D95"/>
    <w:rsid w:val="0054230B"/>
    <w:rsid w:val="00542539"/>
    <w:rsid w:val="00542677"/>
    <w:rsid w:val="00542684"/>
    <w:rsid w:val="00542692"/>
    <w:rsid w:val="00542BB1"/>
    <w:rsid w:val="00542C08"/>
    <w:rsid w:val="00543201"/>
    <w:rsid w:val="0054332C"/>
    <w:rsid w:val="00543493"/>
    <w:rsid w:val="005435FA"/>
    <w:rsid w:val="005436D5"/>
    <w:rsid w:val="005438C8"/>
    <w:rsid w:val="00543A5D"/>
    <w:rsid w:val="00543B1D"/>
    <w:rsid w:val="00543D5C"/>
    <w:rsid w:val="00543E00"/>
    <w:rsid w:val="00543F7C"/>
    <w:rsid w:val="005442DA"/>
    <w:rsid w:val="00544386"/>
    <w:rsid w:val="00544412"/>
    <w:rsid w:val="005446A9"/>
    <w:rsid w:val="005446B4"/>
    <w:rsid w:val="00544797"/>
    <w:rsid w:val="00544C59"/>
    <w:rsid w:val="00544EB8"/>
    <w:rsid w:val="00545265"/>
    <w:rsid w:val="00545467"/>
    <w:rsid w:val="0054567D"/>
    <w:rsid w:val="005457F6"/>
    <w:rsid w:val="005458E3"/>
    <w:rsid w:val="00545911"/>
    <w:rsid w:val="00545915"/>
    <w:rsid w:val="00545A0C"/>
    <w:rsid w:val="00545A73"/>
    <w:rsid w:val="00545BC6"/>
    <w:rsid w:val="0054606F"/>
    <w:rsid w:val="0054613A"/>
    <w:rsid w:val="0054619D"/>
    <w:rsid w:val="005461CC"/>
    <w:rsid w:val="005463DC"/>
    <w:rsid w:val="00546473"/>
    <w:rsid w:val="005464B9"/>
    <w:rsid w:val="0054654B"/>
    <w:rsid w:val="005465F8"/>
    <w:rsid w:val="0054677A"/>
    <w:rsid w:val="005469F8"/>
    <w:rsid w:val="00546C48"/>
    <w:rsid w:val="00546E0B"/>
    <w:rsid w:val="005473E0"/>
    <w:rsid w:val="00547635"/>
    <w:rsid w:val="00547AA4"/>
    <w:rsid w:val="00547C43"/>
    <w:rsid w:val="00547C4C"/>
    <w:rsid w:val="00547E91"/>
    <w:rsid w:val="00547ED6"/>
    <w:rsid w:val="00550019"/>
    <w:rsid w:val="005503B0"/>
    <w:rsid w:val="005504AA"/>
    <w:rsid w:val="0055052A"/>
    <w:rsid w:val="00550AF8"/>
    <w:rsid w:val="00550CC7"/>
    <w:rsid w:val="00550CDC"/>
    <w:rsid w:val="00550D7C"/>
    <w:rsid w:val="00550DA7"/>
    <w:rsid w:val="00550F74"/>
    <w:rsid w:val="0055103D"/>
    <w:rsid w:val="005512C5"/>
    <w:rsid w:val="005514FB"/>
    <w:rsid w:val="005515CE"/>
    <w:rsid w:val="00551830"/>
    <w:rsid w:val="00551D22"/>
    <w:rsid w:val="00551F7A"/>
    <w:rsid w:val="0055265F"/>
    <w:rsid w:val="00552747"/>
    <w:rsid w:val="00552772"/>
    <w:rsid w:val="005529D7"/>
    <w:rsid w:val="00552A10"/>
    <w:rsid w:val="00552A88"/>
    <w:rsid w:val="00552A91"/>
    <w:rsid w:val="00552BD8"/>
    <w:rsid w:val="00553305"/>
    <w:rsid w:val="0055335A"/>
    <w:rsid w:val="0055343D"/>
    <w:rsid w:val="00553526"/>
    <w:rsid w:val="00553547"/>
    <w:rsid w:val="00553609"/>
    <w:rsid w:val="00553736"/>
    <w:rsid w:val="00553739"/>
    <w:rsid w:val="0055387C"/>
    <w:rsid w:val="00553947"/>
    <w:rsid w:val="00553985"/>
    <w:rsid w:val="00553986"/>
    <w:rsid w:val="00553998"/>
    <w:rsid w:val="00553D23"/>
    <w:rsid w:val="005540D6"/>
    <w:rsid w:val="00554176"/>
    <w:rsid w:val="0055428C"/>
    <w:rsid w:val="0055433D"/>
    <w:rsid w:val="00554693"/>
    <w:rsid w:val="00554C95"/>
    <w:rsid w:val="00554CB8"/>
    <w:rsid w:val="00555091"/>
    <w:rsid w:val="0055519F"/>
    <w:rsid w:val="005553B2"/>
    <w:rsid w:val="0055583F"/>
    <w:rsid w:val="00555958"/>
    <w:rsid w:val="005559A1"/>
    <w:rsid w:val="00555A25"/>
    <w:rsid w:val="00555EC4"/>
    <w:rsid w:val="00555F9D"/>
    <w:rsid w:val="00556110"/>
    <w:rsid w:val="0055670B"/>
    <w:rsid w:val="0055677B"/>
    <w:rsid w:val="005568D7"/>
    <w:rsid w:val="00556A0C"/>
    <w:rsid w:val="00556AB2"/>
    <w:rsid w:val="00556C7E"/>
    <w:rsid w:val="00556E17"/>
    <w:rsid w:val="00556E67"/>
    <w:rsid w:val="0055700F"/>
    <w:rsid w:val="00557150"/>
    <w:rsid w:val="005572E5"/>
    <w:rsid w:val="005577A7"/>
    <w:rsid w:val="00557885"/>
    <w:rsid w:val="005579C9"/>
    <w:rsid w:val="00557A3E"/>
    <w:rsid w:val="00557A63"/>
    <w:rsid w:val="00557BE5"/>
    <w:rsid w:val="00557BEB"/>
    <w:rsid w:val="00557C69"/>
    <w:rsid w:val="00557F5D"/>
    <w:rsid w:val="00560035"/>
    <w:rsid w:val="0056019C"/>
    <w:rsid w:val="00560320"/>
    <w:rsid w:val="005604EE"/>
    <w:rsid w:val="005606B8"/>
    <w:rsid w:val="00560718"/>
    <w:rsid w:val="00560861"/>
    <w:rsid w:val="00560CE1"/>
    <w:rsid w:val="00560E2C"/>
    <w:rsid w:val="00561086"/>
    <w:rsid w:val="0056153D"/>
    <w:rsid w:val="00561553"/>
    <w:rsid w:val="00561799"/>
    <w:rsid w:val="005618A6"/>
    <w:rsid w:val="0056195F"/>
    <w:rsid w:val="00561A6C"/>
    <w:rsid w:val="00561AB9"/>
    <w:rsid w:val="00561AF5"/>
    <w:rsid w:val="00561F9E"/>
    <w:rsid w:val="005620F4"/>
    <w:rsid w:val="005621C1"/>
    <w:rsid w:val="0056236E"/>
    <w:rsid w:val="005623F4"/>
    <w:rsid w:val="005624DD"/>
    <w:rsid w:val="005624E7"/>
    <w:rsid w:val="005626C8"/>
    <w:rsid w:val="00562A24"/>
    <w:rsid w:val="00562BF6"/>
    <w:rsid w:val="00563326"/>
    <w:rsid w:val="00563365"/>
    <w:rsid w:val="005633DA"/>
    <w:rsid w:val="005634E8"/>
    <w:rsid w:val="00563591"/>
    <w:rsid w:val="0056361C"/>
    <w:rsid w:val="0056368A"/>
    <w:rsid w:val="005637A8"/>
    <w:rsid w:val="00563856"/>
    <w:rsid w:val="005638A1"/>
    <w:rsid w:val="00563A83"/>
    <w:rsid w:val="00563AE4"/>
    <w:rsid w:val="00563B17"/>
    <w:rsid w:val="00563B6F"/>
    <w:rsid w:val="00563E1E"/>
    <w:rsid w:val="005642FA"/>
    <w:rsid w:val="00564339"/>
    <w:rsid w:val="00564841"/>
    <w:rsid w:val="005648DF"/>
    <w:rsid w:val="00564A6C"/>
    <w:rsid w:val="00564B0D"/>
    <w:rsid w:val="00564B3B"/>
    <w:rsid w:val="00564B98"/>
    <w:rsid w:val="00564C1E"/>
    <w:rsid w:val="00565077"/>
    <w:rsid w:val="00565095"/>
    <w:rsid w:val="0056515B"/>
    <w:rsid w:val="005651C3"/>
    <w:rsid w:val="00565553"/>
    <w:rsid w:val="005657E9"/>
    <w:rsid w:val="00565B1A"/>
    <w:rsid w:val="00565B42"/>
    <w:rsid w:val="00565C6F"/>
    <w:rsid w:val="00565CBE"/>
    <w:rsid w:val="00565EBF"/>
    <w:rsid w:val="00566054"/>
    <w:rsid w:val="0056645B"/>
    <w:rsid w:val="0056652B"/>
    <w:rsid w:val="0056652C"/>
    <w:rsid w:val="00566824"/>
    <w:rsid w:val="00566832"/>
    <w:rsid w:val="00566D5B"/>
    <w:rsid w:val="00566DD5"/>
    <w:rsid w:val="00566E9F"/>
    <w:rsid w:val="0056713E"/>
    <w:rsid w:val="0056734E"/>
    <w:rsid w:val="005673C9"/>
    <w:rsid w:val="0056748C"/>
    <w:rsid w:val="005674C2"/>
    <w:rsid w:val="005675AF"/>
    <w:rsid w:val="00567C33"/>
    <w:rsid w:val="00567E3E"/>
    <w:rsid w:val="00567F77"/>
    <w:rsid w:val="0057006E"/>
    <w:rsid w:val="00570102"/>
    <w:rsid w:val="005704ED"/>
    <w:rsid w:val="005705F9"/>
    <w:rsid w:val="00570882"/>
    <w:rsid w:val="00570937"/>
    <w:rsid w:val="00570BB3"/>
    <w:rsid w:val="00570D23"/>
    <w:rsid w:val="00570D49"/>
    <w:rsid w:val="00570DC3"/>
    <w:rsid w:val="00571257"/>
    <w:rsid w:val="0057149C"/>
    <w:rsid w:val="005715C2"/>
    <w:rsid w:val="00571776"/>
    <w:rsid w:val="00571A5C"/>
    <w:rsid w:val="00571C19"/>
    <w:rsid w:val="00571E2F"/>
    <w:rsid w:val="00571FA3"/>
    <w:rsid w:val="00571FA4"/>
    <w:rsid w:val="005721E3"/>
    <w:rsid w:val="0057226C"/>
    <w:rsid w:val="0057228C"/>
    <w:rsid w:val="005722F1"/>
    <w:rsid w:val="00572582"/>
    <w:rsid w:val="00572934"/>
    <w:rsid w:val="00572A77"/>
    <w:rsid w:val="00572C6D"/>
    <w:rsid w:val="005730FD"/>
    <w:rsid w:val="00573599"/>
    <w:rsid w:val="005735B2"/>
    <w:rsid w:val="00573885"/>
    <w:rsid w:val="00573AA7"/>
    <w:rsid w:val="00573AB0"/>
    <w:rsid w:val="00573B07"/>
    <w:rsid w:val="00573B23"/>
    <w:rsid w:val="005741C9"/>
    <w:rsid w:val="005743BB"/>
    <w:rsid w:val="0057450B"/>
    <w:rsid w:val="0057470B"/>
    <w:rsid w:val="005748C5"/>
    <w:rsid w:val="00574A42"/>
    <w:rsid w:val="00574A87"/>
    <w:rsid w:val="00574E3D"/>
    <w:rsid w:val="00575011"/>
    <w:rsid w:val="005750EF"/>
    <w:rsid w:val="0057531C"/>
    <w:rsid w:val="00575354"/>
    <w:rsid w:val="0057571B"/>
    <w:rsid w:val="00575A53"/>
    <w:rsid w:val="00575BB5"/>
    <w:rsid w:val="00575CFF"/>
    <w:rsid w:val="00575D59"/>
    <w:rsid w:val="00575E39"/>
    <w:rsid w:val="00576034"/>
    <w:rsid w:val="0057605E"/>
    <w:rsid w:val="0057663C"/>
    <w:rsid w:val="00576AB8"/>
    <w:rsid w:val="0057728F"/>
    <w:rsid w:val="005773AE"/>
    <w:rsid w:val="0057752A"/>
    <w:rsid w:val="0057761B"/>
    <w:rsid w:val="00577638"/>
    <w:rsid w:val="00577748"/>
    <w:rsid w:val="00577C1A"/>
    <w:rsid w:val="005801A7"/>
    <w:rsid w:val="0058063E"/>
    <w:rsid w:val="005806E9"/>
    <w:rsid w:val="005807BF"/>
    <w:rsid w:val="005807F5"/>
    <w:rsid w:val="00580B3F"/>
    <w:rsid w:val="00580BF3"/>
    <w:rsid w:val="00580D77"/>
    <w:rsid w:val="00580DA8"/>
    <w:rsid w:val="00581213"/>
    <w:rsid w:val="005812A7"/>
    <w:rsid w:val="005814F4"/>
    <w:rsid w:val="00581B5E"/>
    <w:rsid w:val="00581BCC"/>
    <w:rsid w:val="00581DAA"/>
    <w:rsid w:val="00581DC4"/>
    <w:rsid w:val="00581F05"/>
    <w:rsid w:val="0058201C"/>
    <w:rsid w:val="00582121"/>
    <w:rsid w:val="005822AC"/>
    <w:rsid w:val="005822C5"/>
    <w:rsid w:val="00582438"/>
    <w:rsid w:val="005825CB"/>
    <w:rsid w:val="005827EE"/>
    <w:rsid w:val="00582803"/>
    <w:rsid w:val="00582C59"/>
    <w:rsid w:val="00582C82"/>
    <w:rsid w:val="00582DFF"/>
    <w:rsid w:val="00582E37"/>
    <w:rsid w:val="00583126"/>
    <w:rsid w:val="00583437"/>
    <w:rsid w:val="00583689"/>
    <w:rsid w:val="0058387B"/>
    <w:rsid w:val="005838D9"/>
    <w:rsid w:val="005839B3"/>
    <w:rsid w:val="00583AFF"/>
    <w:rsid w:val="00583B43"/>
    <w:rsid w:val="00583B8B"/>
    <w:rsid w:val="00583CFA"/>
    <w:rsid w:val="00583D94"/>
    <w:rsid w:val="00584152"/>
    <w:rsid w:val="005841D7"/>
    <w:rsid w:val="00584683"/>
    <w:rsid w:val="00584766"/>
    <w:rsid w:val="005847E6"/>
    <w:rsid w:val="00584A66"/>
    <w:rsid w:val="00584D72"/>
    <w:rsid w:val="00584F5B"/>
    <w:rsid w:val="00585026"/>
    <w:rsid w:val="005850E8"/>
    <w:rsid w:val="0058510F"/>
    <w:rsid w:val="00585176"/>
    <w:rsid w:val="00585291"/>
    <w:rsid w:val="005853CB"/>
    <w:rsid w:val="005853E4"/>
    <w:rsid w:val="005856A9"/>
    <w:rsid w:val="0058571F"/>
    <w:rsid w:val="00585805"/>
    <w:rsid w:val="0058587A"/>
    <w:rsid w:val="00585BDC"/>
    <w:rsid w:val="00585C17"/>
    <w:rsid w:val="00585EDF"/>
    <w:rsid w:val="00585F40"/>
    <w:rsid w:val="00585FC5"/>
    <w:rsid w:val="005861A7"/>
    <w:rsid w:val="005862C3"/>
    <w:rsid w:val="005864D5"/>
    <w:rsid w:val="00586598"/>
    <w:rsid w:val="00586633"/>
    <w:rsid w:val="00586866"/>
    <w:rsid w:val="00586B2C"/>
    <w:rsid w:val="00586C44"/>
    <w:rsid w:val="00586E67"/>
    <w:rsid w:val="00586E81"/>
    <w:rsid w:val="0058705D"/>
    <w:rsid w:val="005870B1"/>
    <w:rsid w:val="005870D7"/>
    <w:rsid w:val="00587398"/>
    <w:rsid w:val="005873B9"/>
    <w:rsid w:val="00587426"/>
    <w:rsid w:val="00587495"/>
    <w:rsid w:val="0058756B"/>
    <w:rsid w:val="00587993"/>
    <w:rsid w:val="00587D1E"/>
    <w:rsid w:val="00587F05"/>
    <w:rsid w:val="00590388"/>
    <w:rsid w:val="005904ED"/>
    <w:rsid w:val="00590577"/>
    <w:rsid w:val="00590732"/>
    <w:rsid w:val="005907A4"/>
    <w:rsid w:val="005908BB"/>
    <w:rsid w:val="00590973"/>
    <w:rsid w:val="00590AB9"/>
    <w:rsid w:val="00590C1D"/>
    <w:rsid w:val="00590D96"/>
    <w:rsid w:val="00591254"/>
    <w:rsid w:val="005914D4"/>
    <w:rsid w:val="005916B3"/>
    <w:rsid w:val="005917BB"/>
    <w:rsid w:val="0059182A"/>
    <w:rsid w:val="00591AA7"/>
    <w:rsid w:val="00591C89"/>
    <w:rsid w:val="00591F23"/>
    <w:rsid w:val="0059208B"/>
    <w:rsid w:val="00592286"/>
    <w:rsid w:val="005922BC"/>
    <w:rsid w:val="00592745"/>
    <w:rsid w:val="005927A7"/>
    <w:rsid w:val="00592B28"/>
    <w:rsid w:val="00592BC5"/>
    <w:rsid w:val="00592C08"/>
    <w:rsid w:val="00592CF7"/>
    <w:rsid w:val="00592D3F"/>
    <w:rsid w:val="005930E2"/>
    <w:rsid w:val="005932E7"/>
    <w:rsid w:val="0059338B"/>
    <w:rsid w:val="00593CB7"/>
    <w:rsid w:val="00593CD3"/>
    <w:rsid w:val="00593D4C"/>
    <w:rsid w:val="00593E8C"/>
    <w:rsid w:val="00594371"/>
    <w:rsid w:val="0059465D"/>
    <w:rsid w:val="0059470B"/>
    <w:rsid w:val="00594854"/>
    <w:rsid w:val="0059488F"/>
    <w:rsid w:val="0059489C"/>
    <w:rsid w:val="005953DA"/>
    <w:rsid w:val="005955A4"/>
    <w:rsid w:val="00595815"/>
    <w:rsid w:val="005958B7"/>
    <w:rsid w:val="00595A36"/>
    <w:rsid w:val="00595C20"/>
    <w:rsid w:val="00595F42"/>
    <w:rsid w:val="00595FC0"/>
    <w:rsid w:val="005961A8"/>
    <w:rsid w:val="00596850"/>
    <w:rsid w:val="00596AD8"/>
    <w:rsid w:val="00596B24"/>
    <w:rsid w:val="00596C0E"/>
    <w:rsid w:val="00596E5C"/>
    <w:rsid w:val="00596FE4"/>
    <w:rsid w:val="00597275"/>
    <w:rsid w:val="0059746D"/>
    <w:rsid w:val="005978D9"/>
    <w:rsid w:val="0059790D"/>
    <w:rsid w:val="00597987"/>
    <w:rsid w:val="005979BC"/>
    <w:rsid w:val="005979F4"/>
    <w:rsid w:val="00597A6A"/>
    <w:rsid w:val="00597D16"/>
    <w:rsid w:val="005A00E3"/>
    <w:rsid w:val="005A061E"/>
    <w:rsid w:val="005A0699"/>
    <w:rsid w:val="005A06FF"/>
    <w:rsid w:val="005A07E8"/>
    <w:rsid w:val="005A08A7"/>
    <w:rsid w:val="005A0B72"/>
    <w:rsid w:val="005A0F01"/>
    <w:rsid w:val="005A1435"/>
    <w:rsid w:val="005A1898"/>
    <w:rsid w:val="005A1A8B"/>
    <w:rsid w:val="005A258D"/>
    <w:rsid w:val="005A27DD"/>
    <w:rsid w:val="005A290A"/>
    <w:rsid w:val="005A2B93"/>
    <w:rsid w:val="005A2C86"/>
    <w:rsid w:val="005A2D57"/>
    <w:rsid w:val="005A30CE"/>
    <w:rsid w:val="005A3912"/>
    <w:rsid w:val="005A3915"/>
    <w:rsid w:val="005A3A34"/>
    <w:rsid w:val="005A3B34"/>
    <w:rsid w:val="005A3BC0"/>
    <w:rsid w:val="005A3BEB"/>
    <w:rsid w:val="005A3E4A"/>
    <w:rsid w:val="005A4110"/>
    <w:rsid w:val="005A41CA"/>
    <w:rsid w:val="005A438F"/>
    <w:rsid w:val="005A4496"/>
    <w:rsid w:val="005A45CA"/>
    <w:rsid w:val="005A4868"/>
    <w:rsid w:val="005A4A24"/>
    <w:rsid w:val="005A4A34"/>
    <w:rsid w:val="005A4B49"/>
    <w:rsid w:val="005A4B93"/>
    <w:rsid w:val="005A4EDD"/>
    <w:rsid w:val="005A4F4F"/>
    <w:rsid w:val="005A5469"/>
    <w:rsid w:val="005A546A"/>
    <w:rsid w:val="005A559E"/>
    <w:rsid w:val="005A56EF"/>
    <w:rsid w:val="005A56F3"/>
    <w:rsid w:val="005A581C"/>
    <w:rsid w:val="005A5E2B"/>
    <w:rsid w:val="005A6064"/>
    <w:rsid w:val="005A6067"/>
    <w:rsid w:val="005A64FE"/>
    <w:rsid w:val="005A67BE"/>
    <w:rsid w:val="005A698D"/>
    <w:rsid w:val="005A6F2E"/>
    <w:rsid w:val="005A716C"/>
    <w:rsid w:val="005A71EA"/>
    <w:rsid w:val="005A72DD"/>
    <w:rsid w:val="005A7303"/>
    <w:rsid w:val="005A76BE"/>
    <w:rsid w:val="005A786B"/>
    <w:rsid w:val="005A796B"/>
    <w:rsid w:val="005A7B15"/>
    <w:rsid w:val="005A7B5D"/>
    <w:rsid w:val="005B007C"/>
    <w:rsid w:val="005B047A"/>
    <w:rsid w:val="005B0811"/>
    <w:rsid w:val="005B0BD6"/>
    <w:rsid w:val="005B0CF9"/>
    <w:rsid w:val="005B0FF0"/>
    <w:rsid w:val="005B14B2"/>
    <w:rsid w:val="005B14C1"/>
    <w:rsid w:val="005B16BB"/>
    <w:rsid w:val="005B170E"/>
    <w:rsid w:val="005B1979"/>
    <w:rsid w:val="005B19CD"/>
    <w:rsid w:val="005B1D3E"/>
    <w:rsid w:val="005B1DF5"/>
    <w:rsid w:val="005B24F5"/>
    <w:rsid w:val="005B2507"/>
    <w:rsid w:val="005B26F7"/>
    <w:rsid w:val="005B2AA6"/>
    <w:rsid w:val="005B2B3E"/>
    <w:rsid w:val="005B2D2B"/>
    <w:rsid w:val="005B2E93"/>
    <w:rsid w:val="005B2FAC"/>
    <w:rsid w:val="005B306D"/>
    <w:rsid w:val="005B3882"/>
    <w:rsid w:val="005B3891"/>
    <w:rsid w:val="005B3AFA"/>
    <w:rsid w:val="005B4044"/>
    <w:rsid w:val="005B4146"/>
    <w:rsid w:val="005B443D"/>
    <w:rsid w:val="005B4463"/>
    <w:rsid w:val="005B4832"/>
    <w:rsid w:val="005B49EB"/>
    <w:rsid w:val="005B49FF"/>
    <w:rsid w:val="005B4A49"/>
    <w:rsid w:val="005B4A80"/>
    <w:rsid w:val="005B4AE1"/>
    <w:rsid w:val="005B4EAF"/>
    <w:rsid w:val="005B5040"/>
    <w:rsid w:val="005B529B"/>
    <w:rsid w:val="005B54EA"/>
    <w:rsid w:val="005B54F7"/>
    <w:rsid w:val="005B555F"/>
    <w:rsid w:val="005B55CF"/>
    <w:rsid w:val="005B5A14"/>
    <w:rsid w:val="005B5B5B"/>
    <w:rsid w:val="005B5C72"/>
    <w:rsid w:val="005B5D72"/>
    <w:rsid w:val="005B5FB8"/>
    <w:rsid w:val="005B61CA"/>
    <w:rsid w:val="005B62B4"/>
    <w:rsid w:val="005B6458"/>
    <w:rsid w:val="005B6478"/>
    <w:rsid w:val="005B64A0"/>
    <w:rsid w:val="005B64CA"/>
    <w:rsid w:val="005B6783"/>
    <w:rsid w:val="005B68C9"/>
    <w:rsid w:val="005B6984"/>
    <w:rsid w:val="005B6A52"/>
    <w:rsid w:val="005B6DA0"/>
    <w:rsid w:val="005B6F05"/>
    <w:rsid w:val="005B6FF5"/>
    <w:rsid w:val="005B743D"/>
    <w:rsid w:val="005B760D"/>
    <w:rsid w:val="005B7737"/>
    <w:rsid w:val="005B77C7"/>
    <w:rsid w:val="005B7A4D"/>
    <w:rsid w:val="005C0069"/>
    <w:rsid w:val="005C02A8"/>
    <w:rsid w:val="005C03EB"/>
    <w:rsid w:val="005C0525"/>
    <w:rsid w:val="005C080E"/>
    <w:rsid w:val="005C0BAF"/>
    <w:rsid w:val="005C0C09"/>
    <w:rsid w:val="005C0D7D"/>
    <w:rsid w:val="005C0EE2"/>
    <w:rsid w:val="005C12BD"/>
    <w:rsid w:val="005C142E"/>
    <w:rsid w:val="005C167A"/>
    <w:rsid w:val="005C19D8"/>
    <w:rsid w:val="005C1BC8"/>
    <w:rsid w:val="005C1C96"/>
    <w:rsid w:val="005C1E9D"/>
    <w:rsid w:val="005C1FF4"/>
    <w:rsid w:val="005C209D"/>
    <w:rsid w:val="005C2195"/>
    <w:rsid w:val="005C2472"/>
    <w:rsid w:val="005C253A"/>
    <w:rsid w:val="005C258D"/>
    <w:rsid w:val="005C25B2"/>
    <w:rsid w:val="005C25FE"/>
    <w:rsid w:val="005C2B2A"/>
    <w:rsid w:val="005C2EAE"/>
    <w:rsid w:val="005C3224"/>
    <w:rsid w:val="005C3327"/>
    <w:rsid w:val="005C35A8"/>
    <w:rsid w:val="005C3683"/>
    <w:rsid w:val="005C3BF8"/>
    <w:rsid w:val="005C3C1A"/>
    <w:rsid w:val="005C3C88"/>
    <w:rsid w:val="005C3D14"/>
    <w:rsid w:val="005C3D79"/>
    <w:rsid w:val="005C3EF1"/>
    <w:rsid w:val="005C3F89"/>
    <w:rsid w:val="005C41D0"/>
    <w:rsid w:val="005C450D"/>
    <w:rsid w:val="005C46DF"/>
    <w:rsid w:val="005C49FA"/>
    <w:rsid w:val="005C4AB7"/>
    <w:rsid w:val="005C4B50"/>
    <w:rsid w:val="005C4BE4"/>
    <w:rsid w:val="005C50CC"/>
    <w:rsid w:val="005C51BD"/>
    <w:rsid w:val="005C5B5A"/>
    <w:rsid w:val="005C5B6E"/>
    <w:rsid w:val="005C5BAA"/>
    <w:rsid w:val="005C5D7C"/>
    <w:rsid w:val="005C5EF1"/>
    <w:rsid w:val="005C6049"/>
    <w:rsid w:val="005C6091"/>
    <w:rsid w:val="005C628D"/>
    <w:rsid w:val="005C6298"/>
    <w:rsid w:val="005C645D"/>
    <w:rsid w:val="005C64D9"/>
    <w:rsid w:val="005C65A2"/>
    <w:rsid w:val="005C68B4"/>
    <w:rsid w:val="005C68C8"/>
    <w:rsid w:val="005C6A21"/>
    <w:rsid w:val="005C6C2E"/>
    <w:rsid w:val="005C6C6F"/>
    <w:rsid w:val="005C71C5"/>
    <w:rsid w:val="005C73C9"/>
    <w:rsid w:val="005C73EB"/>
    <w:rsid w:val="005C797B"/>
    <w:rsid w:val="005D0313"/>
    <w:rsid w:val="005D058A"/>
    <w:rsid w:val="005D09DE"/>
    <w:rsid w:val="005D0A7D"/>
    <w:rsid w:val="005D0B33"/>
    <w:rsid w:val="005D0C4E"/>
    <w:rsid w:val="005D0CEF"/>
    <w:rsid w:val="005D0EF2"/>
    <w:rsid w:val="005D13ED"/>
    <w:rsid w:val="005D1444"/>
    <w:rsid w:val="005D154E"/>
    <w:rsid w:val="005D1852"/>
    <w:rsid w:val="005D1CF7"/>
    <w:rsid w:val="005D1D1C"/>
    <w:rsid w:val="005D208C"/>
    <w:rsid w:val="005D20C8"/>
    <w:rsid w:val="005D2146"/>
    <w:rsid w:val="005D21E3"/>
    <w:rsid w:val="005D22B6"/>
    <w:rsid w:val="005D2332"/>
    <w:rsid w:val="005D23D1"/>
    <w:rsid w:val="005D272C"/>
    <w:rsid w:val="005D293A"/>
    <w:rsid w:val="005D2AA7"/>
    <w:rsid w:val="005D2AE8"/>
    <w:rsid w:val="005D2B5F"/>
    <w:rsid w:val="005D2B97"/>
    <w:rsid w:val="005D2D39"/>
    <w:rsid w:val="005D2E64"/>
    <w:rsid w:val="005D2F3C"/>
    <w:rsid w:val="005D2F77"/>
    <w:rsid w:val="005D324C"/>
    <w:rsid w:val="005D3285"/>
    <w:rsid w:val="005D34BB"/>
    <w:rsid w:val="005D3511"/>
    <w:rsid w:val="005D356C"/>
    <w:rsid w:val="005D3911"/>
    <w:rsid w:val="005D398D"/>
    <w:rsid w:val="005D3B8B"/>
    <w:rsid w:val="005D3CDF"/>
    <w:rsid w:val="005D3F37"/>
    <w:rsid w:val="005D409E"/>
    <w:rsid w:val="005D41D6"/>
    <w:rsid w:val="005D4239"/>
    <w:rsid w:val="005D43F8"/>
    <w:rsid w:val="005D4441"/>
    <w:rsid w:val="005D45DA"/>
    <w:rsid w:val="005D4676"/>
    <w:rsid w:val="005D4A5C"/>
    <w:rsid w:val="005D4B50"/>
    <w:rsid w:val="005D4DFE"/>
    <w:rsid w:val="005D510C"/>
    <w:rsid w:val="005D5468"/>
    <w:rsid w:val="005D59E6"/>
    <w:rsid w:val="005D5D1C"/>
    <w:rsid w:val="005D5D1D"/>
    <w:rsid w:val="005D5F01"/>
    <w:rsid w:val="005D5F52"/>
    <w:rsid w:val="005D603D"/>
    <w:rsid w:val="005D6194"/>
    <w:rsid w:val="005D68A1"/>
    <w:rsid w:val="005D68D0"/>
    <w:rsid w:val="005D68E0"/>
    <w:rsid w:val="005D6B0C"/>
    <w:rsid w:val="005D72AB"/>
    <w:rsid w:val="005D7369"/>
    <w:rsid w:val="005D744E"/>
    <w:rsid w:val="005D7530"/>
    <w:rsid w:val="005D7C6E"/>
    <w:rsid w:val="005E01A0"/>
    <w:rsid w:val="005E01BA"/>
    <w:rsid w:val="005E0542"/>
    <w:rsid w:val="005E077E"/>
    <w:rsid w:val="005E07C7"/>
    <w:rsid w:val="005E0877"/>
    <w:rsid w:val="005E0D2B"/>
    <w:rsid w:val="005E0E09"/>
    <w:rsid w:val="005E0F52"/>
    <w:rsid w:val="005E1758"/>
    <w:rsid w:val="005E19BF"/>
    <w:rsid w:val="005E1D19"/>
    <w:rsid w:val="005E1DCF"/>
    <w:rsid w:val="005E1EDB"/>
    <w:rsid w:val="005E2310"/>
    <w:rsid w:val="005E2745"/>
    <w:rsid w:val="005E29D2"/>
    <w:rsid w:val="005E2A98"/>
    <w:rsid w:val="005E2AA9"/>
    <w:rsid w:val="005E2D4F"/>
    <w:rsid w:val="005E3724"/>
    <w:rsid w:val="005E3742"/>
    <w:rsid w:val="005E3817"/>
    <w:rsid w:val="005E38D4"/>
    <w:rsid w:val="005E3941"/>
    <w:rsid w:val="005E3C21"/>
    <w:rsid w:val="005E3C36"/>
    <w:rsid w:val="005E3DC9"/>
    <w:rsid w:val="005E3E2C"/>
    <w:rsid w:val="005E3F1B"/>
    <w:rsid w:val="005E4172"/>
    <w:rsid w:val="005E4581"/>
    <w:rsid w:val="005E45BF"/>
    <w:rsid w:val="005E4732"/>
    <w:rsid w:val="005E48D9"/>
    <w:rsid w:val="005E49C4"/>
    <w:rsid w:val="005E4B3B"/>
    <w:rsid w:val="005E4CD3"/>
    <w:rsid w:val="005E4D32"/>
    <w:rsid w:val="005E4E8D"/>
    <w:rsid w:val="005E4F35"/>
    <w:rsid w:val="005E50C2"/>
    <w:rsid w:val="005E5998"/>
    <w:rsid w:val="005E5A91"/>
    <w:rsid w:val="005E5BB7"/>
    <w:rsid w:val="005E5C95"/>
    <w:rsid w:val="005E5D56"/>
    <w:rsid w:val="005E6918"/>
    <w:rsid w:val="005E6B25"/>
    <w:rsid w:val="005E6C39"/>
    <w:rsid w:val="005E6E3F"/>
    <w:rsid w:val="005E7068"/>
    <w:rsid w:val="005E7358"/>
    <w:rsid w:val="005E74C1"/>
    <w:rsid w:val="005E763B"/>
    <w:rsid w:val="005E7666"/>
    <w:rsid w:val="005E77DE"/>
    <w:rsid w:val="005E78EB"/>
    <w:rsid w:val="005E7955"/>
    <w:rsid w:val="005E7A4F"/>
    <w:rsid w:val="005E7C03"/>
    <w:rsid w:val="005E7CCF"/>
    <w:rsid w:val="005E7E37"/>
    <w:rsid w:val="005E7EF0"/>
    <w:rsid w:val="005E7EF3"/>
    <w:rsid w:val="005F00A7"/>
    <w:rsid w:val="005F0240"/>
    <w:rsid w:val="005F03F1"/>
    <w:rsid w:val="005F05A2"/>
    <w:rsid w:val="005F08F4"/>
    <w:rsid w:val="005F0B35"/>
    <w:rsid w:val="005F0DBB"/>
    <w:rsid w:val="005F0E51"/>
    <w:rsid w:val="005F0F72"/>
    <w:rsid w:val="005F0FE4"/>
    <w:rsid w:val="005F1360"/>
    <w:rsid w:val="005F15BF"/>
    <w:rsid w:val="005F1D46"/>
    <w:rsid w:val="005F1EC2"/>
    <w:rsid w:val="005F2295"/>
    <w:rsid w:val="005F2569"/>
    <w:rsid w:val="005F28E2"/>
    <w:rsid w:val="005F2A37"/>
    <w:rsid w:val="005F2A52"/>
    <w:rsid w:val="005F2B6A"/>
    <w:rsid w:val="005F2BA3"/>
    <w:rsid w:val="005F2D76"/>
    <w:rsid w:val="005F3300"/>
    <w:rsid w:val="005F34D0"/>
    <w:rsid w:val="005F3603"/>
    <w:rsid w:val="005F3B68"/>
    <w:rsid w:val="005F3D1B"/>
    <w:rsid w:val="005F3ECC"/>
    <w:rsid w:val="005F3ECE"/>
    <w:rsid w:val="005F48B7"/>
    <w:rsid w:val="005F4B2A"/>
    <w:rsid w:val="005F4B9B"/>
    <w:rsid w:val="005F4C89"/>
    <w:rsid w:val="005F4E24"/>
    <w:rsid w:val="005F4E81"/>
    <w:rsid w:val="005F5344"/>
    <w:rsid w:val="005F551F"/>
    <w:rsid w:val="005F5732"/>
    <w:rsid w:val="005F591E"/>
    <w:rsid w:val="005F5CDB"/>
    <w:rsid w:val="005F5D19"/>
    <w:rsid w:val="005F5DE2"/>
    <w:rsid w:val="005F5ED2"/>
    <w:rsid w:val="005F5F42"/>
    <w:rsid w:val="005F5FD3"/>
    <w:rsid w:val="005F6024"/>
    <w:rsid w:val="005F6137"/>
    <w:rsid w:val="005F6277"/>
    <w:rsid w:val="005F631A"/>
    <w:rsid w:val="005F6497"/>
    <w:rsid w:val="005F6594"/>
    <w:rsid w:val="005F67F0"/>
    <w:rsid w:val="005F6C76"/>
    <w:rsid w:val="005F6F1E"/>
    <w:rsid w:val="005F7137"/>
    <w:rsid w:val="005F74F7"/>
    <w:rsid w:val="005F75E7"/>
    <w:rsid w:val="005F7748"/>
    <w:rsid w:val="005F778C"/>
    <w:rsid w:val="005F79A9"/>
    <w:rsid w:val="005F7CF0"/>
    <w:rsid w:val="005F7FC7"/>
    <w:rsid w:val="005F7FEF"/>
    <w:rsid w:val="0060008D"/>
    <w:rsid w:val="00600141"/>
    <w:rsid w:val="00600226"/>
    <w:rsid w:val="006004C4"/>
    <w:rsid w:val="00600556"/>
    <w:rsid w:val="00600658"/>
    <w:rsid w:val="00600F54"/>
    <w:rsid w:val="00601529"/>
    <w:rsid w:val="00601793"/>
    <w:rsid w:val="00601839"/>
    <w:rsid w:val="00601EE9"/>
    <w:rsid w:val="006020AB"/>
    <w:rsid w:val="00602406"/>
    <w:rsid w:val="0060261F"/>
    <w:rsid w:val="006028D1"/>
    <w:rsid w:val="00602B46"/>
    <w:rsid w:val="00602BE5"/>
    <w:rsid w:val="0060321E"/>
    <w:rsid w:val="00603724"/>
    <w:rsid w:val="00603C9F"/>
    <w:rsid w:val="00603E57"/>
    <w:rsid w:val="006041DB"/>
    <w:rsid w:val="00604284"/>
    <w:rsid w:val="006044DA"/>
    <w:rsid w:val="00604975"/>
    <w:rsid w:val="006049A4"/>
    <w:rsid w:val="00604C0B"/>
    <w:rsid w:val="00604CBC"/>
    <w:rsid w:val="00604DD0"/>
    <w:rsid w:val="00604EC1"/>
    <w:rsid w:val="00605062"/>
    <w:rsid w:val="0060541E"/>
    <w:rsid w:val="006056BF"/>
    <w:rsid w:val="00605743"/>
    <w:rsid w:val="006057B8"/>
    <w:rsid w:val="00605A41"/>
    <w:rsid w:val="00605AD8"/>
    <w:rsid w:val="006062BE"/>
    <w:rsid w:val="006062D9"/>
    <w:rsid w:val="00606705"/>
    <w:rsid w:val="0060692A"/>
    <w:rsid w:val="0060699C"/>
    <w:rsid w:val="00606B1A"/>
    <w:rsid w:val="00606EF8"/>
    <w:rsid w:val="006073D8"/>
    <w:rsid w:val="006073DF"/>
    <w:rsid w:val="0060774F"/>
    <w:rsid w:val="00607E15"/>
    <w:rsid w:val="00607EA5"/>
    <w:rsid w:val="0061024A"/>
    <w:rsid w:val="00610268"/>
    <w:rsid w:val="0061026C"/>
    <w:rsid w:val="0061041C"/>
    <w:rsid w:val="00610467"/>
    <w:rsid w:val="00610FFC"/>
    <w:rsid w:val="00611098"/>
    <w:rsid w:val="0061118F"/>
    <w:rsid w:val="00611655"/>
    <w:rsid w:val="00611757"/>
    <w:rsid w:val="00611917"/>
    <w:rsid w:val="00611B9A"/>
    <w:rsid w:val="00611CCC"/>
    <w:rsid w:val="00612037"/>
    <w:rsid w:val="006122E0"/>
    <w:rsid w:val="0061249E"/>
    <w:rsid w:val="0061255D"/>
    <w:rsid w:val="0061289F"/>
    <w:rsid w:val="006129E2"/>
    <w:rsid w:val="00612AAC"/>
    <w:rsid w:val="00612FDF"/>
    <w:rsid w:val="00613226"/>
    <w:rsid w:val="0061336D"/>
    <w:rsid w:val="00613702"/>
    <w:rsid w:val="00613ADE"/>
    <w:rsid w:val="00613C1B"/>
    <w:rsid w:val="00614281"/>
    <w:rsid w:val="00614427"/>
    <w:rsid w:val="00614631"/>
    <w:rsid w:val="006147DC"/>
    <w:rsid w:val="00614979"/>
    <w:rsid w:val="00614B69"/>
    <w:rsid w:val="00614EB9"/>
    <w:rsid w:val="00614FDD"/>
    <w:rsid w:val="00615178"/>
    <w:rsid w:val="0061519E"/>
    <w:rsid w:val="00615311"/>
    <w:rsid w:val="00615328"/>
    <w:rsid w:val="006153C0"/>
    <w:rsid w:val="00615492"/>
    <w:rsid w:val="006155F6"/>
    <w:rsid w:val="00615641"/>
    <w:rsid w:val="00615812"/>
    <w:rsid w:val="006159F7"/>
    <w:rsid w:val="00615CEC"/>
    <w:rsid w:val="00615EC7"/>
    <w:rsid w:val="00615FFC"/>
    <w:rsid w:val="006161EF"/>
    <w:rsid w:val="0061628A"/>
    <w:rsid w:val="0061657E"/>
    <w:rsid w:val="006168D2"/>
    <w:rsid w:val="00616C26"/>
    <w:rsid w:val="00616C78"/>
    <w:rsid w:val="00616C8E"/>
    <w:rsid w:val="00616DDB"/>
    <w:rsid w:val="00616DFD"/>
    <w:rsid w:val="00617102"/>
    <w:rsid w:val="00617264"/>
    <w:rsid w:val="0061736B"/>
    <w:rsid w:val="0061744A"/>
    <w:rsid w:val="006174A4"/>
    <w:rsid w:val="00617506"/>
    <w:rsid w:val="006178EC"/>
    <w:rsid w:val="00617E90"/>
    <w:rsid w:val="0062008A"/>
    <w:rsid w:val="00620101"/>
    <w:rsid w:val="0062015E"/>
    <w:rsid w:val="006206A1"/>
    <w:rsid w:val="00620BCB"/>
    <w:rsid w:val="00620C30"/>
    <w:rsid w:val="00620D9F"/>
    <w:rsid w:val="006211E1"/>
    <w:rsid w:val="006212DC"/>
    <w:rsid w:val="0062138A"/>
    <w:rsid w:val="00621400"/>
    <w:rsid w:val="00621657"/>
    <w:rsid w:val="00621948"/>
    <w:rsid w:val="00621CF1"/>
    <w:rsid w:val="00621E2A"/>
    <w:rsid w:val="00621F56"/>
    <w:rsid w:val="00622185"/>
    <w:rsid w:val="00622757"/>
    <w:rsid w:val="00622C83"/>
    <w:rsid w:val="00622CD3"/>
    <w:rsid w:val="00622E54"/>
    <w:rsid w:val="00622EC3"/>
    <w:rsid w:val="00622EE5"/>
    <w:rsid w:val="00623130"/>
    <w:rsid w:val="006235B3"/>
    <w:rsid w:val="006239D1"/>
    <w:rsid w:val="00623A8E"/>
    <w:rsid w:val="00623A90"/>
    <w:rsid w:val="00623AA3"/>
    <w:rsid w:val="00623B52"/>
    <w:rsid w:val="00623CC9"/>
    <w:rsid w:val="00623F5B"/>
    <w:rsid w:val="0062440B"/>
    <w:rsid w:val="0062462A"/>
    <w:rsid w:val="00624878"/>
    <w:rsid w:val="006248FF"/>
    <w:rsid w:val="00624915"/>
    <w:rsid w:val="00624CD3"/>
    <w:rsid w:val="00625197"/>
    <w:rsid w:val="006251AF"/>
    <w:rsid w:val="006251C1"/>
    <w:rsid w:val="0062522E"/>
    <w:rsid w:val="00625655"/>
    <w:rsid w:val="00625700"/>
    <w:rsid w:val="006257C1"/>
    <w:rsid w:val="00625921"/>
    <w:rsid w:val="0062597B"/>
    <w:rsid w:val="0062597F"/>
    <w:rsid w:val="00625C0F"/>
    <w:rsid w:val="00625CBF"/>
    <w:rsid w:val="00625D98"/>
    <w:rsid w:val="006261DF"/>
    <w:rsid w:val="006267CE"/>
    <w:rsid w:val="0062692B"/>
    <w:rsid w:val="00626C52"/>
    <w:rsid w:val="00626EE0"/>
    <w:rsid w:val="0062735A"/>
    <w:rsid w:val="00627685"/>
    <w:rsid w:val="006276CD"/>
    <w:rsid w:val="00627A35"/>
    <w:rsid w:val="00627B0A"/>
    <w:rsid w:val="00627B46"/>
    <w:rsid w:val="00627B78"/>
    <w:rsid w:val="00627E66"/>
    <w:rsid w:val="00627F44"/>
    <w:rsid w:val="00630030"/>
    <w:rsid w:val="0063008E"/>
    <w:rsid w:val="006307BD"/>
    <w:rsid w:val="006309B8"/>
    <w:rsid w:val="00630BB5"/>
    <w:rsid w:val="00630F19"/>
    <w:rsid w:val="00630F85"/>
    <w:rsid w:val="0063116A"/>
    <w:rsid w:val="006311CA"/>
    <w:rsid w:val="0063122B"/>
    <w:rsid w:val="00631317"/>
    <w:rsid w:val="00631BDA"/>
    <w:rsid w:val="00632257"/>
    <w:rsid w:val="006323B7"/>
    <w:rsid w:val="00632479"/>
    <w:rsid w:val="006326C9"/>
    <w:rsid w:val="006326E0"/>
    <w:rsid w:val="0063281D"/>
    <w:rsid w:val="00632B9A"/>
    <w:rsid w:val="00632EF6"/>
    <w:rsid w:val="00633167"/>
    <w:rsid w:val="0063379A"/>
    <w:rsid w:val="006338AE"/>
    <w:rsid w:val="00633A78"/>
    <w:rsid w:val="00633ABD"/>
    <w:rsid w:val="00633B84"/>
    <w:rsid w:val="00633E5C"/>
    <w:rsid w:val="00633F87"/>
    <w:rsid w:val="0063405A"/>
    <w:rsid w:val="00634262"/>
    <w:rsid w:val="006349A9"/>
    <w:rsid w:val="006349BE"/>
    <w:rsid w:val="006349F0"/>
    <w:rsid w:val="00634CCD"/>
    <w:rsid w:val="00634E24"/>
    <w:rsid w:val="00634E3C"/>
    <w:rsid w:val="00634F7A"/>
    <w:rsid w:val="00635243"/>
    <w:rsid w:val="006353BA"/>
    <w:rsid w:val="00635446"/>
    <w:rsid w:val="006357EC"/>
    <w:rsid w:val="00635898"/>
    <w:rsid w:val="0063599F"/>
    <w:rsid w:val="00635AC6"/>
    <w:rsid w:val="00635B93"/>
    <w:rsid w:val="00635BD4"/>
    <w:rsid w:val="006360CF"/>
    <w:rsid w:val="006361B6"/>
    <w:rsid w:val="0063647B"/>
    <w:rsid w:val="00636495"/>
    <w:rsid w:val="006364CA"/>
    <w:rsid w:val="0063651C"/>
    <w:rsid w:val="006365A2"/>
    <w:rsid w:val="00636A3D"/>
    <w:rsid w:val="00636C10"/>
    <w:rsid w:val="00636E0D"/>
    <w:rsid w:val="006373E3"/>
    <w:rsid w:val="00637471"/>
    <w:rsid w:val="00637537"/>
    <w:rsid w:val="00637848"/>
    <w:rsid w:val="00637A2B"/>
    <w:rsid w:val="00637A54"/>
    <w:rsid w:val="00637B74"/>
    <w:rsid w:val="00637BAE"/>
    <w:rsid w:val="00637E05"/>
    <w:rsid w:val="00637E38"/>
    <w:rsid w:val="00637FA0"/>
    <w:rsid w:val="00640068"/>
    <w:rsid w:val="00640218"/>
    <w:rsid w:val="0064044A"/>
    <w:rsid w:val="00640462"/>
    <w:rsid w:val="0064047D"/>
    <w:rsid w:val="0064081B"/>
    <w:rsid w:val="00640E55"/>
    <w:rsid w:val="00640F7E"/>
    <w:rsid w:val="00641017"/>
    <w:rsid w:val="006413D2"/>
    <w:rsid w:val="00641555"/>
    <w:rsid w:val="00641811"/>
    <w:rsid w:val="0064189E"/>
    <w:rsid w:val="00641A2B"/>
    <w:rsid w:val="00641CBD"/>
    <w:rsid w:val="00641F1B"/>
    <w:rsid w:val="00642322"/>
    <w:rsid w:val="0064234D"/>
    <w:rsid w:val="00642472"/>
    <w:rsid w:val="00642633"/>
    <w:rsid w:val="006427FE"/>
    <w:rsid w:val="00642830"/>
    <w:rsid w:val="00642860"/>
    <w:rsid w:val="006428FE"/>
    <w:rsid w:val="00642928"/>
    <w:rsid w:val="0064293D"/>
    <w:rsid w:val="00642996"/>
    <w:rsid w:val="00643050"/>
    <w:rsid w:val="006437A4"/>
    <w:rsid w:val="00643872"/>
    <w:rsid w:val="0064397F"/>
    <w:rsid w:val="00643D59"/>
    <w:rsid w:val="0064431A"/>
    <w:rsid w:val="006443A1"/>
    <w:rsid w:val="006446DE"/>
    <w:rsid w:val="00644757"/>
    <w:rsid w:val="0064476C"/>
    <w:rsid w:val="00644CF2"/>
    <w:rsid w:val="00644FD9"/>
    <w:rsid w:val="0064517B"/>
    <w:rsid w:val="00645295"/>
    <w:rsid w:val="00645527"/>
    <w:rsid w:val="006455BA"/>
    <w:rsid w:val="00645957"/>
    <w:rsid w:val="00645B92"/>
    <w:rsid w:val="00645BF6"/>
    <w:rsid w:val="006461A2"/>
    <w:rsid w:val="006461DB"/>
    <w:rsid w:val="00646313"/>
    <w:rsid w:val="00646EF3"/>
    <w:rsid w:val="006470EB"/>
    <w:rsid w:val="00647180"/>
    <w:rsid w:val="0064718C"/>
    <w:rsid w:val="006471EA"/>
    <w:rsid w:val="006473A9"/>
    <w:rsid w:val="00647418"/>
    <w:rsid w:val="006474D3"/>
    <w:rsid w:val="006478F4"/>
    <w:rsid w:val="006479BF"/>
    <w:rsid w:val="00647C94"/>
    <w:rsid w:val="00647E5D"/>
    <w:rsid w:val="00647F04"/>
    <w:rsid w:val="00647F50"/>
    <w:rsid w:val="006502E3"/>
    <w:rsid w:val="0065059C"/>
    <w:rsid w:val="0065061E"/>
    <w:rsid w:val="00650938"/>
    <w:rsid w:val="00650D3F"/>
    <w:rsid w:val="00650E21"/>
    <w:rsid w:val="006512E2"/>
    <w:rsid w:val="0065134E"/>
    <w:rsid w:val="006518A4"/>
    <w:rsid w:val="00651B54"/>
    <w:rsid w:val="00651D03"/>
    <w:rsid w:val="00651DBF"/>
    <w:rsid w:val="00652028"/>
    <w:rsid w:val="00652331"/>
    <w:rsid w:val="0065280C"/>
    <w:rsid w:val="006529AF"/>
    <w:rsid w:val="00652D5A"/>
    <w:rsid w:val="00652F06"/>
    <w:rsid w:val="0065355A"/>
    <w:rsid w:val="0065379D"/>
    <w:rsid w:val="006539A0"/>
    <w:rsid w:val="00653A68"/>
    <w:rsid w:val="00653B9B"/>
    <w:rsid w:val="00653DF9"/>
    <w:rsid w:val="0065418C"/>
    <w:rsid w:val="006548D2"/>
    <w:rsid w:val="00654A0E"/>
    <w:rsid w:val="00654C0D"/>
    <w:rsid w:val="00654E15"/>
    <w:rsid w:val="006553E4"/>
    <w:rsid w:val="00655425"/>
    <w:rsid w:val="00655547"/>
    <w:rsid w:val="00655CC2"/>
    <w:rsid w:val="006563B8"/>
    <w:rsid w:val="006563DC"/>
    <w:rsid w:val="006566F6"/>
    <w:rsid w:val="00656771"/>
    <w:rsid w:val="00656A04"/>
    <w:rsid w:val="00656B58"/>
    <w:rsid w:val="00656C92"/>
    <w:rsid w:val="00657080"/>
    <w:rsid w:val="00657227"/>
    <w:rsid w:val="006572E4"/>
    <w:rsid w:val="0065743B"/>
    <w:rsid w:val="0065748E"/>
    <w:rsid w:val="00657561"/>
    <w:rsid w:val="00657562"/>
    <w:rsid w:val="00657B9A"/>
    <w:rsid w:val="00657BE2"/>
    <w:rsid w:val="00657C81"/>
    <w:rsid w:val="00657D68"/>
    <w:rsid w:val="00657E69"/>
    <w:rsid w:val="00660207"/>
    <w:rsid w:val="006604C8"/>
    <w:rsid w:val="0066064C"/>
    <w:rsid w:val="00660729"/>
    <w:rsid w:val="00660752"/>
    <w:rsid w:val="00660B0A"/>
    <w:rsid w:val="00660B48"/>
    <w:rsid w:val="00660E59"/>
    <w:rsid w:val="00660F38"/>
    <w:rsid w:val="00660F52"/>
    <w:rsid w:val="00660F90"/>
    <w:rsid w:val="0066100B"/>
    <w:rsid w:val="0066117D"/>
    <w:rsid w:val="006612B4"/>
    <w:rsid w:val="0066130B"/>
    <w:rsid w:val="00661337"/>
    <w:rsid w:val="006618E8"/>
    <w:rsid w:val="00661E8B"/>
    <w:rsid w:val="00662058"/>
    <w:rsid w:val="00662580"/>
    <w:rsid w:val="00662AB8"/>
    <w:rsid w:val="00662AE6"/>
    <w:rsid w:val="00662C3E"/>
    <w:rsid w:val="00662E07"/>
    <w:rsid w:val="00662EC0"/>
    <w:rsid w:val="00663045"/>
    <w:rsid w:val="00663061"/>
    <w:rsid w:val="0066337B"/>
    <w:rsid w:val="00663708"/>
    <w:rsid w:val="00663952"/>
    <w:rsid w:val="00663A78"/>
    <w:rsid w:val="00663AC0"/>
    <w:rsid w:val="00663F5A"/>
    <w:rsid w:val="006642D7"/>
    <w:rsid w:val="0066431F"/>
    <w:rsid w:val="006645D2"/>
    <w:rsid w:val="006646CC"/>
    <w:rsid w:val="00664812"/>
    <w:rsid w:val="00664886"/>
    <w:rsid w:val="00664AC6"/>
    <w:rsid w:val="00664C22"/>
    <w:rsid w:val="00665479"/>
    <w:rsid w:val="006655F3"/>
    <w:rsid w:val="00665BE4"/>
    <w:rsid w:val="00665CB1"/>
    <w:rsid w:val="00665FE3"/>
    <w:rsid w:val="00666119"/>
    <w:rsid w:val="006661D1"/>
    <w:rsid w:val="00666398"/>
    <w:rsid w:val="00666796"/>
    <w:rsid w:val="0066681A"/>
    <w:rsid w:val="00666832"/>
    <w:rsid w:val="006677E4"/>
    <w:rsid w:val="0066784F"/>
    <w:rsid w:val="00667ECC"/>
    <w:rsid w:val="00670365"/>
    <w:rsid w:val="00670444"/>
    <w:rsid w:val="006707C8"/>
    <w:rsid w:val="006709CA"/>
    <w:rsid w:val="00670BEB"/>
    <w:rsid w:val="006710C3"/>
    <w:rsid w:val="006712B1"/>
    <w:rsid w:val="006712DE"/>
    <w:rsid w:val="00671480"/>
    <w:rsid w:val="00671A8A"/>
    <w:rsid w:val="00671C6D"/>
    <w:rsid w:val="00671D8C"/>
    <w:rsid w:val="00671DBA"/>
    <w:rsid w:val="00671E19"/>
    <w:rsid w:val="0067211F"/>
    <w:rsid w:val="00672386"/>
    <w:rsid w:val="00672728"/>
    <w:rsid w:val="00672A1C"/>
    <w:rsid w:val="00672B6E"/>
    <w:rsid w:val="00672D6C"/>
    <w:rsid w:val="00672D93"/>
    <w:rsid w:val="00672E16"/>
    <w:rsid w:val="00672E30"/>
    <w:rsid w:val="006731E9"/>
    <w:rsid w:val="006732B2"/>
    <w:rsid w:val="00673400"/>
    <w:rsid w:val="00673424"/>
    <w:rsid w:val="0067388D"/>
    <w:rsid w:val="006738A6"/>
    <w:rsid w:val="00673B33"/>
    <w:rsid w:val="00673E0C"/>
    <w:rsid w:val="00674361"/>
    <w:rsid w:val="006744A3"/>
    <w:rsid w:val="006747B9"/>
    <w:rsid w:val="006749A1"/>
    <w:rsid w:val="00674C3E"/>
    <w:rsid w:val="00674CB4"/>
    <w:rsid w:val="00674D3D"/>
    <w:rsid w:val="00674F96"/>
    <w:rsid w:val="00675188"/>
    <w:rsid w:val="006752D9"/>
    <w:rsid w:val="006754C1"/>
    <w:rsid w:val="006756F0"/>
    <w:rsid w:val="0067584B"/>
    <w:rsid w:val="00675A91"/>
    <w:rsid w:val="00675AF7"/>
    <w:rsid w:val="00676039"/>
    <w:rsid w:val="0067607D"/>
    <w:rsid w:val="006763AB"/>
    <w:rsid w:val="006763C5"/>
    <w:rsid w:val="00676579"/>
    <w:rsid w:val="006765CE"/>
    <w:rsid w:val="0067664C"/>
    <w:rsid w:val="00676669"/>
    <w:rsid w:val="00676719"/>
    <w:rsid w:val="00676944"/>
    <w:rsid w:val="00676A8B"/>
    <w:rsid w:val="00676B97"/>
    <w:rsid w:val="006770B4"/>
    <w:rsid w:val="0067716A"/>
    <w:rsid w:val="006772B0"/>
    <w:rsid w:val="00677414"/>
    <w:rsid w:val="006774E1"/>
    <w:rsid w:val="00677874"/>
    <w:rsid w:val="006778B2"/>
    <w:rsid w:val="00677B65"/>
    <w:rsid w:val="00677C48"/>
    <w:rsid w:val="00677D78"/>
    <w:rsid w:val="00680022"/>
    <w:rsid w:val="00680641"/>
    <w:rsid w:val="0068068F"/>
    <w:rsid w:val="00680A44"/>
    <w:rsid w:val="00680F02"/>
    <w:rsid w:val="00680F0E"/>
    <w:rsid w:val="00680F29"/>
    <w:rsid w:val="00681567"/>
    <w:rsid w:val="006816CF"/>
    <w:rsid w:val="0068184A"/>
    <w:rsid w:val="00681AE5"/>
    <w:rsid w:val="00681B42"/>
    <w:rsid w:val="00681E68"/>
    <w:rsid w:val="00682016"/>
    <w:rsid w:val="006820C6"/>
    <w:rsid w:val="00682473"/>
    <w:rsid w:val="006824EF"/>
    <w:rsid w:val="0068255C"/>
    <w:rsid w:val="006827D4"/>
    <w:rsid w:val="0068292A"/>
    <w:rsid w:val="00682BA8"/>
    <w:rsid w:val="00682D30"/>
    <w:rsid w:val="00682EA7"/>
    <w:rsid w:val="0068308A"/>
    <w:rsid w:val="00683384"/>
    <w:rsid w:val="0068338C"/>
    <w:rsid w:val="0068345A"/>
    <w:rsid w:val="006834AC"/>
    <w:rsid w:val="00683577"/>
    <w:rsid w:val="00683689"/>
    <w:rsid w:val="00683796"/>
    <w:rsid w:val="0068393B"/>
    <w:rsid w:val="00684099"/>
    <w:rsid w:val="00684293"/>
    <w:rsid w:val="006842E7"/>
    <w:rsid w:val="0068445E"/>
    <w:rsid w:val="0068464B"/>
    <w:rsid w:val="00684657"/>
    <w:rsid w:val="0068475B"/>
    <w:rsid w:val="006847CA"/>
    <w:rsid w:val="00684B6F"/>
    <w:rsid w:val="00684B92"/>
    <w:rsid w:val="00684BDF"/>
    <w:rsid w:val="00684E50"/>
    <w:rsid w:val="00684F83"/>
    <w:rsid w:val="00685085"/>
    <w:rsid w:val="006850C0"/>
    <w:rsid w:val="00685129"/>
    <w:rsid w:val="006851A1"/>
    <w:rsid w:val="0068547B"/>
    <w:rsid w:val="0068578E"/>
    <w:rsid w:val="006857FF"/>
    <w:rsid w:val="006858E8"/>
    <w:rsid w:val="0068592F"/>
    <w:rsid w:val="00685C74"/>
    <w:rsid w:val="00685E5A"/>
    <w:rsid w:val="00685EB1"/>
    <w:rsid w:val="0068608E"/>
    <w:rsid w:val="0068630D"/>
    <w:rsid w:val="00686486"/>
    <w:rsid w:val="00686654"/>
    <w:rsid w:val="00686938"/>
    <w:rsid w:val="006869C5"/>
    <w:rsid w:val="00686AB8"/>
    <w:rsid w:val="00686C45"/>
    <w:rsid w:val="00686E14"/>
    <w:rsid w:val="0068704A"/>
    <w:rsid w:val="00687280"/>
    <w:rsid w:val="006872C6"/>
    <w:rsid w:val="0068746B"/>
    <w:rsid w:val="006875C0"/>
    <w:rsid w:val="00687710"/>
    <w:rsid w:val="006877D9"/>
    <w:rsid w:val="00687B90"/>
    <w:rsid w:val="00687BE3"/>
    <w:rsid w:val="00690105"/>
    <w:rsid w:val="00690224"/>
    <w:rsid w:val="006903CF"/>
    <w:rsid w:val="00690454"/>
    <w:rsid w:val="00690E80"/>
    <w:rsid w:val="00690F0F"/>
    <w:rsid w:val="0069148F"/>
    <w:rsid w:val="006915FE"/>
    <w:rsid w:val="0069161E"/>
    <w:rsid w:val="0069164B"/>
    <w:rsid w:val="00691659"/>
    <w:rsid w:val="00691839"/>
    <w:rsid w:val="00691AFC"/>
    <w:rsid w:val="00691E8A"/>
    <w:rsid w:val="00691F9D"/>
    <w:rsid w:val="006924D7"/>
    <w:rsid w:val="006927AC"/>
    <w:rsid w:val="00692A4C"/>
    <w:rsid w:val="00692C35"/>
    <w:rsid w:val="00692C63"/>
    <w:rsid w:val="00692CE7"/>
    <w:rsid w:val="00692ECC"/>
    <w:rsid w:val="00692F4E"/>
    <w:rsid w:val="0069326A"/>
    <w:rsid w:val="00693439"/>
    <w:rsid w:val="006935EB"/>
    <w:rsid w:val="00693640"/>
    <w:rsid w:val="006937CB"/>
    <w:rsid w:val="006938A2"/>
    <w:rsid w:val="00693AF6"/>
    <w:rsid w:val="00693C2E"/>
    <w:rsid w:val="00693FB0"/>
    <w:rsid w:val="006943CF"/>
    <w:rsid w:val="00694466"/>
    <w:rsid w:val="00694608"/>
    <w:rsid w:val="00694A07"/>
    <w:rsid w:val="00694C61"/>
    <w:rsid w:val="00694F30"/>
    <w:rsid w:val="0069540C"/>
    <w:rsid w:val="006954A9"/>
    <w:rsid w:val="00695892"/>
    <w:rsid w:val="00695963"/>
    <w:rsid w:val="00695CA0"/>
    <w:rsid w:val="00695E4E"/>
    <w:rsid w:val="006963C9"/>
    <w:rsid w:val="00696B90"/>
    <w:rsid w:val="00696C33"/>
    <w:rsid w:val="00696CFD"/>
    <w:rsid w:val="00696D11"/>
    <w:rsid w:val="00696D3D"/>
    <w:rsid w:val="00696E4F"/>
    <w:rsid w:val="00696F97"/>
    <w:rsid w:val="006974DD"/>
    <w:rsid w:val="00697584"/>
    <w:rsid w:val="00697753"/>
    <w:rsid w:val="00697862"/>
    <w:rsid w:val="00697885"/>
    <w:rsid w:val="00697E05"/>
    <w:rsid w:val="006A0005"/>
    <w:rsid w:val="006A01B0"/>
    <w:rsid w:val="006A0284"/>
    <w:rsid w:val="006A049F"/>
    <w:rsid w:val="006A0836"/>
    <w:rsid w:val="006A0AB4"/>
    <w:rsid w:val="006A0B6B"/>
    <w:rsid w:val="006A0B7A"/>
    <w:rsid w:val="006A0C52"/>
    <w:rsid w:val="006A0F4A"/>
    <w:rsid w:val="006A0FA6"/>
    <w:rsid w:val="006A1142"/>
    <w:rsid w:val="006A128B"/>
    <w:rsid w:val="006A1320"/>
    <w:rsid w:val="006A139D"/>
    <w:rsid w:val="006A15FC"/>
    <w:rsid w:val="006A16A0"/>
    <w:rsid w:val="006A1712"/>
    <w:rsid w:val="006A1922"/>
    <w:rsid w:val="006A1B1E"/>
    <w:rsid w:val="006A1BD9"/>
    <w:rsid w:val="006A200E"/>
    <w:rsid w:val="006A20D3"/>
    <w:rsid w:val="006A2103"/>
    <w:rsid w:val="006A214E"/>
    <w:rsid w:val="006A221C"/>
    <w:rsid w:val="006A250D"/>
    <w:rsid w:val="006A252D"/>
    <w:rsid w:val="006A284D"/>
    <w:rsid w:val="006A2984"/>
    <w:rsid w:val="006A2E03"/>
    <w:rsid w:val="006A3006"/>
    <w:rsid w:val="006A32C1"/>
    <w:rsid w:val="006A3560"/>
    <w:rsid w:val="006A3B17"/>
    <w:rsid w:val="006A3BE0"/>
    <w:rsid w:val="006A3CB1"/>
    <w:rsid w:val="006A3DA7"/>
    <w:rsid w:val="006A3E58"/>
    <w:rsid w:val="006A4091"/>
    <w:rsid w:val="006A41A9"/>
    <w:rsid w:val="006A4220"/>
    <w:rsid w:val="006A43FE"/>
    <w:rsid w:val="006A45E3"/>
    <w:rsid w:val="006A4601"/>
    <w:rsid w:val="006A47D2"/>
    <w:rsid w:val="006A4FDC"/>
    <w:rsid w:val="006A5642"/>
    <w:rsid w:val="006A596F"/>
    <w:rsid w:val="006A5AAD"/>
    <w:rsid w:val="006A5BFE"/>
    <w:rsid w:val="006A5D04"/>
    <w:rsid w:val="006A6242"/>
    <w:rsid w:val="006A62DF"/>
    <w:rsid w:val="006A6319"/>
    <w:rsid w:val="006A6545"/>
    <w:rsid w:val="006A65B8"/>
    <w:rsid w:val="006A661F"/>
    <w:rsid w:val="006A66CE"/>
    <w:rsid w:val="006A6764"/>
    <w:rsid w:val="006A6A51"/>
    <w:rsid w:val="006A6D65"/>
    <w:rsid w:val="006A6D96"/>
    <w:rsid w:val="006A6FDC"/>
    <w:rsid w:val="006A7362"/>
    <w:rsid w:val="006A74F9"/>
    <w:rsid w:val="006A7647"/>
    <w:rsid w:val="006A7D37"/>
    <w:rsid w:val="006B01DD"/>
    <w:rsid w:val="006B0211"/>
    <w:rsid w:val="006B046E"/>
    <w:rsid w:val="006B049B"/>
    <w:rsid w:val="006B04A3"/>
    <w:rsid w:val="006B0764"/>
    <w:rsid w:val="006B0773"/>
    <w:rsid w:val="006B0777"/>
    <w:rsid w:val="006B0836"/>
    <w:rsid w:val="006B0A1C"/>
    <w:rsid w:val="006B0A4A"/>
    <w:rsid w:val="006B0C66"/>
    <w:rsid w:val="006B0D93"/>
    <w:rsid w:val="006B0EFF"/>
    <w:rsid w:val="006B12D7"/>
    <w:rsid w:val="006B13DC"/>
    <w:rsid w:val="006B1A27"/>
    <w:rsid w:val="006B1D13"/>
    <w:rsid w:val="006B1D6E"/>
    <w:rsid w:val="006B1E58"/>
    <w:rsid w:val="006B20E4"/>
    <w:rsid w:val="006B2144"/>
    <w:rsid w:val="006B224A"/>
    <w:rsid w:val="006B23DC"/>
    <w:rsid w:val="006B263E"/>
    <w:rsid w:val="006B287C"/>
    <w:rsid w:val="006B28AD"/>
    <w:rsid w:val="006B294F"/>
    <w:rsid w:val="006B2C81"/>
    <w:rsid w:val="006B317A"/>
    <w:rsid w:val="006B31FC"/>
    <w:rsid w:val="006B363B"/>
    <w:rsid w:val="006B38BC"/>
    <w:rsid w:val="006B390E"/>
    <w:rsid w:val="006B3976"/>
    <w:rsid w:val="006B3EBC"/>
    <w:rsid w:val="006B3F12"/>
    <w:rsid w:val="006B3FA2"/>
    <w:rsid w:val="006B4186"/>
    <w:rsid w:val="006B419D"/>
    <w:rsid w:val="006B45FC"/>
    <w:rsid w:val="006B47AC"/>
    <w:rsid w:val="006B4808"/>
    <w:rsid w:val="006B4922"/>
    <w:rsid w:val="006B4BD8"/>
    <w:rsid w:val="006B4CA5"/>
    <w:rsid w:val="006B4CC7"/>
    <w:rsid w:val="006B510D"/>
    <w:rsid w:val="006B5135"/>
    <w:rsid w:val="006B5774"/>
    <w:rsid w:val="006B5954"/>
    <w:rsid w:val="006B5BF7"/>
    <w:rsid w:val="006B5E93"/>
    <w:rsid w:val="006B5F9B"/>
    <w:rsid w:val="006B601F"/>
    <w:rsid w:val="006B60E2"/>
    <w:rsid w:val="006B61E1"/>
    <w:rsid w:val="006B6398"/>
    <w:rsid w:val="006B64BE"/>
    <w:rsid w:val="006B6788"/>
    <w:rsid w:val="006B6951"/>
    <w:rsid w:val="006B69F3"/>
    <w:rsid w:val="006B6A85"/>
    <w:rsid w:val="006B6A94"/>
    <w:rsid w:val="006B6B8C"/>
    <w:rsid w:val="006B6C6F"/>
    <w:rsid w:val="006B70E9"/>
    <w:rsid w:val="006B715A"/>
    <w:rsid w:val="006B76A7"/>
    <w:rsid w:val="006B773F"/>
    <w:rsid w:val="006B796F"/>
    <w:rsid w:val="006B7C59"/>
    <w:rsid w:val="006B7C5B"/>
    <w:rsid w:val="006C0097"/>
    <w:rsid w:val="006C00AC"/>
    <w:rsid w:val="006C01A1"/>
    <w:rsid w:val="006C0261"/>
    <w:rsid w:val="006C0285"/>
    <w:rsid w:val="006C04A1"/>
    <w:rsid w:val="006C04DD"/>
    <w:rsid w:val="006C053D"/>
    <w:rsid w:val="006C0634"/>
    <w:rsid w:val="006C07C9"/>
    <w:rsid w:val="006C081A"/>
    <w:rsid w:val="006C0910"/>
    <w:rsid w:val="006C0A38"/>
    <w:rsid w:val="006C0BA7"/>
    <w:rsid w:val="006C1303"/>
    <w:rsid w:val="006C14F2"/>
    <w:rsid w:val="006C1A20"/>
    <w:rsid w:val="006C1A81"/>
    <w:rsid w:val="006C208E"/>
    <w:rsid w:val="006C229B"/>
    <w:rsid w:val="006C2464"/>
    <w:rsid w:val="006C24ED"/>
    <w:rsid w:val="006C2773"/>
    <w:rsid w:val="006C2A6F"/>
    <w:rsid w:val="006C2ABF"/>
    <w:rsid w:val="006C2B89"/>
    <w:rsid w:val="006C2D58"/>
    <w:rsid w:val="006C2D89"/>
    <w:rsid w:val="006C2DFC"/>
    <w:rsid w:val="006C2E7F"/>
    <w:rsid w:val="006C2ED0"/>
    <w:rsid w:val="006C2F00"/>
    <w:rsid w:val="006C3067"/>
    <w:rsid w:val="006C316A"/>
    <w:rsid w:val="006C32F0"/>
    <w:rsid w:val="006C36D8"/>
    <w:rsid w:val="006C36E2"/>
    <w:rsid w:val="006C3A2F"/>
    <w:rsid w:val="006C3AE7"/>
    <w:rsid w:val="006C3D30"/>
    <w:rsid w:val="006C3FBE"/>
    <w:rsid w:val="006C4572"/>
    <w:rsid w:val="006C477A"/>
    <w:rsid w:val="006C47F7"/>
    <w:rsid w:val="006C497E"/>
    <w:rsid w:val="006C4CA9"/>
    <w:rsid w:val="006C4D57"/>
    <w:rsid w:val="006C50CD"/>
    <w:rsid w:val="006C5169"/>
    <w:rsid w:val="006C522D"/>
    <w:rsid w:val="006C584B"/>
    <w:rsid w:val="006C59D6"/>
    <w:rsid w:val="006C59EA"/>
    <w:rsid w:val="006C5A26"/>
    <w:rsid w:val="006C5A6C"/>
    <w:rsid w:val="006C5AAC"/>
    <w:rsid w:val="006C5D2F"/>
    <w:rsid w:val="006C5FA1"/>
    <w:rsid w:val="006C64AB"/>
    <w:rsid w:val="006C653E"/>
    <w:rsid w:val="006C69F7"/>
    <w:rsid w:val="006C6B6B"/>
    <w:rsid w:val="006C6F0C"/>
    <w:rsid w:val="006C6F34"/>
    <w:rsid w:val="006C6FA0"/>
    <w:rsid w:val="006C71EE"/>
    <w:rsid w:val="006C727C"/>
    <w:rsid w:val="006C741F"/>
    <w:rsid w:val="006C78F1"/>
    <w:rsid w:val="006C78FC"/>
    <w:rsid w:val="006C7A7C"/>
    <w:rsid w:val="006C7AF6"/>
    <w:rsid w:val="006C7B6A"/>
    <w:rsid w:val="006C7DE2"/>
    <w:rsid w:val="006C7ED4"/>
    <w:rsid w:val="006D037A"/>
    <w:rsid w:val="006D04D8"/>
    <w:rsid w:val="006D0509"/>
    <w:rsid w:val="006D0511"/>
    <w:rsid w:val="006D06E8"/>
    <w:rsid w:val="006D0F80"/>
    <w:rsid w:val="006D1247"/>
    <w:rsid w:val="006D14A3"/>
    <w:rsid w:val="006D1E3F"/>
    <w:rsid w:val="006D21B3"/>
    <w:rsid w:val="006D236B"/>
    <w:rsid w:val="006D2576"/>
    <w:rsid w:val="006D2CE7"/>
    <w:rsid w:val="006D3024"/>
    <w:rsid w:val="006D318F"/>
    <w:rsid w:val="006D32AA"/>
    <w:rsid w:val="006D343C"/>
    <w:rsid w:val="006D34D5"/>
    <w:rsid w:val="006D358D"/>
    <w:rsid w:val="006D38C1"/>
    <w:rsid w:val="006D41B7"/>
    <w:rsid w:val="006D44D0"/>
    <w:rsid w:val="006D4914"/>
    <w:rsid w:val="006D4BD2"/>
    <w:rsid w:val="006D5318"/>
    <w:rsid w:val="006D5548"/>
    <w:rsid w:val="006D5687"/>
    <w:rsid w:val="006D5919"/>
    <w:rsid w:val="006D59CF"/>
    <w:rsid w:val="006D5C61"/>
    <w:rsid w:val="006D62A0"/>
    <w:rsid w:val="006D637B"/>
    <w:rsid w:val="006D63A6"/>
    <w:rsid w:val="006D68C4"/>
    <w:rsid w:val="006D6B61"/>
    <w:rsid w:val="006D6BA0"/>
    <w:rsid w:val="006D6BF3"/>
    <w:rsid w:val="006D6E55"/>
    <w:rsid w:val="006D6EBD"/>
    <w:rsid w:val="006D709F"/>
    <w:rsid w:val="006D71F7"/>
    <w:rsid w:val="006D723F"/>
    <w:rsid w:val="006D7328"/>
    <w:rsid w:val="006D73C7"/>
    <w:rsid w:val="006D7C89"/>
    <w:rsid w:val="006D7E48"/>
    <w:rsid w:val="006E02FD"/>
    <w:rsid w:val="006E0478"/>
    <w:rsid w:val="006E0767"/>
    <w:rsid w:val="006E0DC5"/>
    <w:rsid w:val="006E132A"/>
    <w:rsid w:val="006E19C7"/>
    <w:rsid w:val="006E1C85"/>
    <w:rsid w:val="006E1F04"/>
    <w:rsid w:val="006E216B"/>
    <w:rsid w:val="006E2548"/>
    <w:rsid w:val="006E2555"/>
    <w:rsid w:val="006E266B"/>
    <w:rsid w:val="006E27F4"/>
    <w:rsid w:val="006E281C"/>
    <w:rsid w:val="006E2850"/>
    <w:rsid w:val="006E2AC8"/>
    <w:rsid w:val="006E3011"/>
    <w:rsid w:val="006E34DC"/>
    <w:rsid w:val="006E34E1"/>
    <w:rsid w:val="006E35CB"/>
    <w:rsid w:val="006E369C"/>
    <w:rsid w:val="006E36A7"/>
    <w:rsid w:val="006E39D9"/>
    <w:rsid w:val="006E39FE"/>
    <w:rsid w:val="006E3D02"/>
    <w:rsid w:val="006E3D11"/>
    <w:rsid w:val="006E3DAB"/>
    <w:rsid w:val="006E3DB3"/>
    <w:rsid w:val="006E3F1E"/>
    <w:rsid w:val="006E3F79"/>
    <w:rsid w:val="006E40C2"/>
    <w:rsid w:val="006E4470"/>
    <w:rsid w:val="006E48D4"/>
    <w:rsid w:val="006E4A9C"/>
    <w:rsid w:val="006E4AF2"/>
    <w:rsid w:val="006E5310"/>
    <w:rsid w:val="006E5594"/>
    <w:rsid w:val="006E55E3"/>
    <w:rsid w:val="006E57FF"/>
    <w:rsid w:val="006E581F"/>
    <w:rsid w:val="006E5908"/>
    <w:rsid w:val="006E60B9"/>
    <w:rsid w:val="006E618E"/>
    <w:rsid w:val="006E65BA"/>
    <w:rsid w:val="006E6685"/>
    <w:rsid w:val="006E6703"/>
    <w:rsid w:val="006E67D2"/>
    <w:rsid w:val="006E6B78"/>
    <w:rsid w:val="006E6BFD"/>
    <w:rsid w:val="006E6CA8"/>
    <w:rsid w:val="006E6E7E"/>
    <w:rsid w:val="006E716C"/>
    <w:rsid w:val="006E7252"/>
    <w:rsid w:val="006E742D"/>
    <w:rsid w:val="006E748D"/>
    <w:rsid w:val="006E7A40"/>
    <w:rsid w:val="006E7A78"/>
    <w:rsid w:val="006E7D23"/>
    <w:rsid w:val="006E7E55"/>
    <w:rsid w:val="006F0035"/>
    <w:rsid w:val="006F026D"/>
    <w:rsid w:val="006F037B"/>
    <w:rsid w:val="006F05EF"/>
    <w:rsid w:val="006F069E"/>
    <w:rsid w:val="006F06D6"/>
    <w:rsid w:val="006F0785"/>
    <w:rsid w:val="006F0B44"/>
    <w:rsid w:val="006F0F75"/>
    <w:rsid w:val="006F1011"/>
    <w:rsid w:val="006F1295"/>
    <w:rsid w:val="006F1379"/>
    <w:rsid w:val="006F156C"/>
    <w:rsid w:val="006F1E4B"/>
    <w:rsid w:val="006F20AE"/>
    <w:rsid w:val="006F226D"/>
    <w:rsid w:val="006F2291"/>
    <w:rsid w:val="006F23FB"/>
    <w:rsid w:val="006F2681"/>
    <w:rsid w:val="006F29D9"/>
    <w:rsid w:val="006F2C31"/>
    <w:rsid w:val="006F2E87"/>
    <w:rsid w:val="006F3511"/>
    <w:rsid w:val="006F395E"/>
    <w:rsid w:val="006F3A66"/>
    <w:rsid w:val="006F3BEE"/>
    <w:rsid w:val="006F3D64"/>
    <w:rsid w:val="006F3DA8"/>
    <w:rsid w:val="006F4100"/>
    <w:rsid w:val="006F41B3"/>
    <w:rsid w:val="006F41E3"/>
    <w:rsid w:val="006F465D"/>
    <w:rsid w:val="006F4704"/>
    <w:rsid w:val="006F490F"/>
    <w:rsid w:val="006F4B25"/>
    <w:rsid w:val="006F50A0"/>
    <w:rsid w:val="006F5246"/>
    <w:rsid w:val="006F53AB"/>
    <w:rsid w:val="006F53CE"/>
    <w:rsid w:val="006F5618"/>
    <w:rsid w:val="006F564D"/>
    <w:rsid w:val="006F5A5D"/>
    <w:rsid w:val="006F5DF6"/>
    <w:rsid w:val="006F5DF8"/>
    <w:rsid w:val="006F5E50"/>
    <w:rsid w:val="006F5E6E"/>
    <w:rsid w:val="006F6314"/>
    <w:rsid w:val="006F6571"/>
    <w:rsid w:val="006F66DD"/>
    <w:rsid w:val="006F6875"/>
    <w:rsid w:val="006F69C5"/>
    <w:rsid w:val="006F6BD0"/>
    <w:rsid w:val="006F72A3"/>
    <w:rsid w:val="006F7656"/>
    <w:rsid w:val="006F7669"/>
    <w:rsid w:val="006F76D4"/>
    <w:rsid w:val="006F7940"/>
    <w:rsid w:val="006F7BA6"/>
    <w:rsid w:val="006F7BB2"/>
    <w:rsid w:val="006F7E7A"/>
    <w:rsid w:val="006F7F0D"/>
    <w:rsid w:val="00700200"/>
    <w:rsid w:val="00700277"/>
    <w:rsid w:val="007003A1"/>
    <w:rsid w:val="0070044D"/>
    <w:rsid w:val="00700586"/>
    <w:rsid w:val="007007A1"/>
    <w:rsid w:val="0070083E"/>
    <w:rsid w:val="0070088E"/>
    <w:rsid w:val="00700C59"/>
    <w:rsid w:val="00700F8D"/>
    <w:rsid w:val="00701602"/>
    <w:rsid w:val="007016BC"/>
    <w:rsid w:val="00701898"/>
    <w:rsid w:val="00701921"/>
    <w:rsid w:val="007019D0"/>
    <w:rsid w:val="00701A8F"/>
    <w:rsid w:val="00701BF9"/>
    <w:rsid w:val="00701CAE"/>
    <w:rsid w:val="00701FAB"/>
    <w:rsid w:val="00702488"/>
    <w:rsid w:val="007027BF"/>
    <w:rsid w:val="00702996"/>
    <w:rsid w:val="00702BE6"/>
    <w:rsid w:val="00702BF6"/>
    <w:rsid w:val="00702CC7"/>
    <w:rsid w:val="00702DCA"/>
    <w:rsid w:val="0070304A"/>
    <w:rsid w:val="0070306A"/>
    <w:rsid w:val="00703083"/>
    <w:rsid w:val="00703B6B"/>
    <w:rsid w:val="00703D6B"/>
    <w:rsid w:val="007041E4"/>
    <w:rsid w:val="00704238"/>
    <w:rsid w:val="007043D3"/>
    <w:rsid w:val="00704A0D"/>
    <w:rsid w:val="00704AD6"/>
    <w:rsid w:val="00704F5D"/>
    <w:rsid w:val="00705005"/>
    <w:rsid w:val="00705056"/>
    <w:rsid w:val="00705150"/>
    <w:rsid w:val="0070515E"/>
    <w:rsid w:val="007055C3"/>
    <w:rsid w:val="0070564F"/>
    <w:rsid w:val="0070587B"/>
    <w:rsid w:val="00705C6B"/>
    <w:rsid w:val="00705FD1"/>
    <w:rsid w:val="00706057"/>
    <w:rsid w:val="007062C5"/>
    <w:rsid w:val="00706490"/>
    <w:rsid w:val="00706577"/>
    <w:rsid w:val="0070665B"/>
    <w:rsid w:val="0070670B"/>
    <w:rsid w:val="007067F4"/>
    <w:rsid w:val="0070691E"/>
    <w:rsid w:val="00706AF0"/>
    <w:rsid w:val="00706C06"/>
    <w:rsid w:val="00706C22"/>
    <w:rsid w:val="00706C2A"/>
    <w:rsid w:val="00706CA7"/>
    <w:rsid w:val="0070716E"/>
    <w:rsid w:val="0070722D"/>
    <w:rsid w:val="00707382"/>
    <w:rsid w:val="0070745F"/>
    <w:rsid w:val="00707637"/>
    <w:rsid w:val="007077C8"/>
    <w:rsid w:val="0070793C"/>
    <w:rsid w:val="00707A7D"/>
    <w:rsid w:val="00707B2C"/>
    <w:rsid w:val="00707C45"/>
    <w:rsid w:val="00707DCA"/>
    <w:rsid w:val="0071013C"/>
    <w:rsid w:val="007102F8"/>
    <w:rsid w:val="0071036C"/>
    <w:rsid w:val="007105AC"/>
    <w:rsid w:val="00710956"/>
    <w:rsid w:val="00710A92"/>
    <w:rsid w:val="00710C24"/>
    <w:rsid w:val="00710ECC"/>
    <w:rsid w:val="007110F8"/>
    <w:rsid w:val="00711583"/>
    <w:rsid w:val="007116A6"/>
    <w:rsid w:val="0071187F"/>
    <w:rsid w:val="00711AA7"/>
    <w:rsid w:val="00711AED"/>
    <w:rsid w:val="00711C55"/>
    <w:rsid w:val="00711EE0"/>
    <w:rsid w:val="00711F35"/>
    <w:rsid w:val="00711FDA"/>
    <w:rsid w:val="00712126"/>
    <w:rsid w:val="00712673"/>
    <w:rsid w:val="0071268C"/>
    <w:rsid w:val="00712A37"/>
    <w:rsid w:val="00712B3F"/>
    <w:rsid w:val="00712B66"/>
    <w:rsid w:val="00712E68"/>
    <w:rsid w:val="007131EA"/>
    <w:rsid w:val="00713259"/>
    <w:rsid w:val="007133BB"/>
    <w:rsid w:val="00713518"/>
    <w:rsid w:val="00713523"/>
    <w:rsid w:val="00713671"/>
    <w:rsid w:val="00713877"/>
    <w:rsid w:val="00713985"/>
    <w:rsid w:val="00713A8E"/>
    <w:rsid w:val="00713BA3"/>
    <w:rsid w:val="00713D4E"/>
    <w:rsid w:val="0071406E"/>
    <w:rsid w:val="007142F9"/>
    <w:rsid w:val="007145A0"/>
    <w:rsid w:val="0071489E"/>
    <w:rsid w:val="00714ECC"/>
    <w:rsid w:val="007151A6"/>
    <w:rsid w:val="007152AA"/>
    <w:rsid w:val="0071546B"/>
    <w:rsid w:val="007155E7"/>
    <w:rsid w:val="00715790"/>
    <w:rsid w:val="0071590E"/>
    <w:rsid w:val="00715A4F"/>
    <w:rsid w:val="00715D08"/>
    <w:rsid w:val="00715D32"/>
    <w:rsid w:val="00715D44"/>
    <w:rsid w:val="007163CC"/>
    <w:rsid w:val="00716560"/>
    <w:rsid w:val="0071657F"/>
    <w:rsid w:val="007165CC"/>
    <w:rsid w:val="007166AF"/>
    <w:rsid w:val="00716D47"/>
    <w:rsid w:val="00716F8E"/>
    <w:rsid w:val="00717A0E"/>
    <w:rsid w:val="00717A84"/>
    <w:rsid w:val="00717B64"/>
    <w:rsid w:val="00717B74"/>
    <w:rsid w:val="0072000D"/>
    <w:rsid w:val="00720010"/>
    <w:rsid w:val="007200AE"/>
    <w:rsid w:val="007200BC"/>
    <w:rsid w:val="00720131"/>
    <w:rsid w:val="007201CC"/>
    <w:rsid w:val="0072035C"/>
    <w:rsid w:val="0072043E"/>
    <w:rsid w:val="007204C0"/>
    <w:rsid w:val="00720ABF"/>
    <w:rsid w:val="00720C0E"/>
    <w:rsid w:val="00720C1F"/>
    <w:rsid w:val="00720CEE"/>
    <w:rsid w:val="00720FC8"/>
    <w:rsid w:val="00721448"/>
    <w:rsid w:val="0072157F"/>
    <w:rsid w:val="00721653"/>
    <w:rsid w:val="0072177A"/>
    <w:rsid w:val="00721D99"/>
    <w:rsid w:val="00721EBD"/>
    <w:rsid w:val="00721FAF"/>
    <w:rsid w:val="00722106"/>
    <w:rsid w:val="007226F2"/>
    <w:rsid w:val="00722A07"/>
    <w:rsid w:val="00722A12"/>
    <w:rsid w:val="00722E18"/>
    <w:rsid w:val="00722F0C"/>
    <w:rsid w:val="007230EF"/>
    <w:rsid w:val="007238D9"/>
    <w:rsid w:val="00723AF1"/>
    <w:rsid w:val="00723B88"/>
    <w:rsid w:val="00723CC9"/>
    <w:rsid w:val="00724051"/>
    <w:rsid w:val="00724531"/>
    <w:rsid w:val="007246B4"/>
    <w:rsid w:val="0072489E"/>
    <w:rsid w:val="007248EB"/>
    <w:rsid w:val="00724AA0"/>
    <w:rsid w:val="00724D15"/>
    <w:rsid w:val="00724DBE"/>
    <w:rsid w:val="00724E69"/>
    <w:rsid w:val="00725960"/>
    <w:rsid w:val="007259BE"/>
    <w:rsid w:val="00725CA4"/>
    <w:rsid w:val="00725DDC"/>
    <w:rsid w:val="00725FD4"/>
    <w:rsid w:val="00726437"/>
    <w:rsid w:val="00726810"/>
    <w:rsid w:val="0072681C"/>
    <w:rsid w:val="00726976"/>
    <w:rsid w:val="007269BE"/>
    <w:rsid w:val="00726A87"/>
    <w:rsid w:val="00726CD4"/>
    <w:rsid w:val="00726CD6"/>
    <w:rsid w:val="007270AF"/>
    <w:rsid w:val="00727757"/>
    <w:rsid w:val="00727B8C"/>
    <w:rsid w:val="00727C5F"/>
    <w:rsid w:val="00727D75"/>
    <w:rsid w:val="00727ED1"/>
    <w:rsid w:val="0073015E"/>
    <w:rsid w:val="007303EE"/>
    <w:rsid w:val="0073042C"/>
    <w:rsid w:val="007304CE"/>
    <w:rsid w:val="0073068F"/>
    <w:rsid w:val="00730696"/>
    <w:rsid w:val="00730A42"/>
    <w:rsid w:val="00730D85"/>
    <w:rsid w:val="00730D97"/>
    <w:rsid w:val="00730DB3"/>
    <w:rsid w:val="00730E34"/>
    <w:rsid w:val="007311FC"/>
    <w:rsid w:val="00731303"/>
    <w:rsid w:val="00731319"/>
    <w:rsid w:val="007314DE"/>
    <w:rsid w:val="00731673"/>
    <w:rsid w:val="0073169B"/>
    <w:rsid w:val="007318C6"/>
    <w:rsid w:val="00732196"/>
    <w:rsid w:val="00732318"/>
    <w:rsid w:val="0073237B"/>
    <w:rsid w:val="0073244A"/>
    <w:rsid w:val="007326F1"/>
    <w:rsid w:val="00732D4C"/>
    <w:rsid w:val="007332AA"/>
    <w:rsid w:val="00733415"/>
    <w:rsid w:val="007334BA"/>
    <w:rsid w:val="00733775"/>
    <w:rsid w:val="0073386A"/>
    <w:rsid w:val="00733C09"/>
    <w:rsid w:val="00733D18"/>
    <w:rsid w:val="00733DBB"/>
    <w:rsid w:val="00733FD4"/>
    <w:rsid w:val="0073421C"/>
    <w:rsid w:val="0073455A"/>
    <w:rsid w:val="00734B1C"/>
    <w:rsid w:val="0073535F"/>
    <w:rsid w:val="00735422"/>
    <w:rsid w:val="007354B2"/>
    <w:rsid w:val="007355C4"/>
    <w:rsid w:val="007355F1"/>
    <w:rsid w:val="00735732"/>
    <w:rsid w:val="0073583A"/>
    <w:rsid w:val="0073589F"/>
    <w:rsid w:val="00735A49"/>
    <w:rsid w:val="00735A59"/>
    <w:rsid w:val="00735B53"/>
    <w:rsid w:val="00735BF2"/>
    <w:rsid w:val="00735E45"/>
    <w:rsid w:val="00735F00"/>
    <w:rsid w:val="00736317"/>
    <w:rsid w:val="00736318"/>
    <w:rsid w:val="00736514"/>
    <w:rsid w:val="00736735"/>
    <w:rsid w:val="00736845"/>
    <w:rsid w:val="0073693D"/>
    <w:rsid w:val="00736985"/>
    <w:rsid w:val="0073698E"/>
    <w:rsid w:val="00736D1B"/>
    <w:rsid w:val="00736E45"/>
    <w:rsid w:val="00736F10"/>
    <w:rsid w:val="007371CA"/>
    <w:rsid w:val="0073725B"/>
    <w:rsid w:val="00737376"/>
    <w:rsid w:val="00737402"/>
    <w:rsid w:val="0073784D"/>
    <w:rsid w:val="00737947"/>
    <w:rsid w:val="00737CB4"/>
    <w:rsid w:val="00740303"/>
    <w:rsid w:val="00740449"/>
    <w:rsid w:val="00740508"/>
    <w:rsid w:val="00740628"/>
    <w:rsid w:val="007409A4"/>
    <w:rsid w:val="00740B3F"/>
    <w:rsid w:val="00740CA8"/>
    <w:rsid w:val="00740E51"/>
    <w:rsid w:val="0074118A"/>
    <w:rsid w:val="007413D0"/>
    <w:rsid w:val="00741535"/>
    <w:rsid w:val="00741815"/>
    <w:rsid w:val="007419E3"/>
    <w:rsid w:val="00741B39"/>
    <w:rsid w:val="00741D99"/>
    <w:rsid w:val="00741DF9"/>
    <w:rsid w:val="00742006"/>
    <w:rsid w:val="0074242E"/>
    <w:rsid w:val="0074272E"/>
    <w:rsid w:val="00742855"/>
    <w:rsid w:val="007429BB"/>
    <w:rsid w:val="00742A70"/>
    <w:rsid w:val="00743124"/>
    <w:rsid w:val="00743266"/>
    <w:rsid w:val="00743388"/>
    <w:rsid w:val="00743869"/>
    <w:rsid w:val="0074387F"/>
    <w:rsid w:val="0074389A"/>
    <w:rsid w:val="00743CC5"/>
    <w:rsid w:val="00743EED"/>
    <w:rsid w:val="00743F39"/>
    <w:rsid w:val="007440B9"/>
    <w:rsid w:val="007440CE"/>
    <w:rsid w:val="00744197"/>
    <w:rsid w:val="007442FA"/>
    <w:rsid w:val="00744361"/>
    <w:rsid w:val="0074461A"/>
    <w:rsid w:val="00744B83"/>
    <w:rsid w:val="007450C5"/>
    <w:rsid w:val="00745180"/>
    <w:rsid w:val="007454E8"/>
    <w:rsid w:val="00745544"/>
    <w:rsid w:val="007456D6"/>
    <w:rsid w:val="00745827"/>
    <w:rsid w:val="00745923"/>
    <w:rsid w:val="00745E62"/>
    <w:rsid w:val="00745F61"/>
    <w:rsid w:val="00746561"/>
    <w:rsid w:val="00746663"/>
    <w:rsid w:val="007468D2"/>
    <w:rsid w:val="0074695B"/>
    <w:rsid w:val="007469F0"/>
    <w:rsid w:val="00746BD8"/>
    <w:rsid w:val="00746DF6"/>
    <w:rsid w:val="00747134"/>
    <w:rsid w:val="00747369"/>
    <w:rsid w:val="007473C8"/>
    <w:rsid w:val="00747634"/>
    <w:rsid w:val="007476C1"/>
    <w:rsid w:val="00747816"/>
    <w:rsid w:val="00747D55"/>
    <w:rsid w:val="00750C15"/>
    <w:rsid w:val="00750C27"/>
    <w:rsid w:val="00750C4C"/>
    <w:rsid w:val="00750C8D"/>
    <w:rsid w:val="00750D57"/>
    <w:rsid w:val="0075120D"/>
    <w:rsid w:val="0075123C"/>
    <w:rsid w:val="00751717"/>
    <w:rsid w:val="00751EE7"/>
    <w:rsid w:val="0075200C"/>
    <w:rsid w:val="0075213F"/>
    <w:rsid w:val="00752314"/>
    <w:rsid w:val="0075250C"/>
    <w:rsid w:val="007526FF"/>
    <w:rsid w:val="00752870"/>
    <w:rsid w:val="007528D1"/>
    <w:rsid w:val="00752A80"/>
    <w:rsid w:val="00752D4F"/>
    <w:rsid w:val="00752D83"/>
    <w:rsid w:val="007532B8"/>
    <w:rsid w:val="007534E7"/>
    <w:rsid w:val="007537BB"/>
    <w:rsid w:val="00753BAA"/>
    <w:rsid w:val="00754158"/>
    <w:rsid w:val="0075461F"/>
    <w:rsid w:val="0075478D"/>
    <w:rsid w:val="00754AFE"/>
    <w:rsid w:val="00754B8F"/>
    <w:rsid w:val="00754C41"/>
    <w:rsid w:val="00754D64"/>
    <w:rsid w:val="00754E57"/>
    <w:rsid w:val="0075505D"/>
    <w:rsid w:val="0075510D"/>
    <w:rsid w:val="00755111"/>
    <w:rsid w:val="00755331"/>
    <w:rsid w:val="007554AE"/>
    <w:rsid w:val="007554BD"/>
    <w:rsid w:val="007555C3"/>
    <w:rsid w:val="007556B0"/>
    <w:rsid w:val="007557D4"/>
    <w:rsid w:val="007557E6"/>
    <w:rsid w:val="00755F19"/>
    <w:rsid w:val="00756293"/>
    <w:rsid w:val="00756956"/>
    <w:rsid w:val="00756958"/>
    <w:rsid w:val="00756B3A"/>
    <w:rsid w:val="00756EBB"/>
    <w:rsid w:val="00757128"/>
    <w:rsid w:val="0075714A"/>
    <w:rsid w:val="00757363"/>
    <w:rsid w:val="007573F5"/>
    <w:rsid w:val="007574B9"/>
    <w:rsid w:val="0075754A"/>
    <w:rsid w:val="0075780E"/>
    <w:rsid w:val="0075799B"/>
    <w:rsid w:val="00757D0F"/>
    <w:rsid w:val="00757E8A"/>
    <w:rsid w:val="00757F0C"/>
    <w:rsid w:val="00757F57"/>
    <w:rsid w:val="0076013C"/>
    <w:rsid w:val="007605DA"/>
    <w:rsid w:val="0076067F"/>
    <w:rsid w:val="00760768"/>
    <w:rsid w:val="007608A8"/>
    <w:rsid w:val="00760DF6"/>
    <w:rsid w:val="00760EA6"/>
    <w:rsid w:val="007612CA"/>
    <w:rsid w:val="00761543"/>
    <w:rsid w:val="007615B1"/>
    <w:rsid w:val="0076168E"/>
    <w:rsid w:val="00761B13"/>
    <w:rsid w:val="00761B24"/>
    <w:rsid w:val="00761DFC"/>
    <w:rsid w:val="007621F2"/>
    <w:rsid w:val="007622E9"/>
    <w:rsid w:val="00762339"/>
    <w:rsid w:val="007624B1"/>
    <w:rsid w:val="00762594"/>
    <w:rsid w:val="00762772"/>
    <w:rsid w:val="00762804"/>
    <w:rsid w:val="0076296B"/>
    <w:rsid w:val="0076298F"/>
    <w:rsid w:val="00762E8C"/>
    <w:rsid w:val="00762FC2"/>
    <w:rsid w:val="007630DB"/>
    <w:rsid w:val="0076336F"/>
    <w:rsid w:val="007635A6"/>
    <w:rsid w:val="00763A9B"/>
    <w:rsid w:val="00763EA4"/>
    <w:rsid w:val="00763FB5"/>
    <w:rsid w:val="007640F6"/>
    <w:rsid w:val="0076420D"/>
    <w:rsid w:val="007645E1"/>
    <w:rsid w:val="007646B9"/>
    <w:rsid w:val="00764C0A"/>
    <w:rsid w:val="00764D7D"/>
    <w:rsid w:val="00764F88"/>
    <w:rsid w:val="00765020"/>
    <w:rsid w:val="00765678"/>
    <w:rsid w:val="00765983"/>
    <w:rsid w:val="00765C7F"/>
    <w:rsid w:val="00765EEA"/>
    <w:rsid w:val="0076610B"/>
    <w:rsid w:val="00766293"/>
    <w:rsid w:val="007669DC"/>
    <w:rsid w:val="00766C94"/>
    <w:rsid w:val="00766D0E"/>
    <w:rsid w:val="00766D9A"/>
    <w:rsid w:val="00766E34"/>
    <w:rsid w:val="00766EB2"/>
    <w:rsid w:val="00766FCF"/>
    <w:rsid w:val="007676F2"/>
    <w:rsid w:val="007678BE"/>
    <w:rsid w:val="00767C09"/>
    <w:rsid w:val="00767DD4"/>
    <w:rsid w:val="00767E96"/>
    <w:rsid w:val="00767ED9"/>
    <w:rsid w:val="00767F20"/>
    <w:rsid w:val="00767FFC"/>
    <w:rsid w:val="007701B4"/>
    <w:rsid w:val="007703F2"/>
    <w:rsid w:val="007706AD"/>
    <w:rsid w:val="0077073E"/>
    <w:rsid w:val="0077076E"/>
    <w:rsid w:val="00770F7C"/>
    <w:rsid w:val="00770F99"/>
    <w:rsid w:val="00771058"/>
    <w:rsid w:val="00771391"/>
    <w:rsid w:val="00771618"/>
    <w:rsid w:val="007717DF"/>
    <w:rsid w:val="007717E1"/>
    <w:rsid w:val="00771882"/>
    <w:rsid w:val="00771990"/>
    <w:rsid w:val="00771C94"/>
    <w:rsid w:val="00771CC4"/>
    <w:rsid w:val="00771DF5"/>
    <w:rsid w:val="00771F53"/>
    <w:rsid w:val="007722F3"/>
    <w:rsid w:val="00772324"/>
    <w:rsid w:val="007723F5"/>
    <w:rsid w:val="00772535"/>
    <w:rsid w:val="007728EE"/>
    <w:rsid w:val="00772959"/>
    <w:rsid w:val="00772B3F"/>
    <w:rsid w:val="00772BEB"/>
    <w:rsid w:val="00772C3D"/>
    <w:rsid w:val="00772C54"/>
    <w:rsid w:val="00772FC3"/>
    <w:rsid w:val="0077359E"/>
    <w:rsid w:val="007735CE"/>
    <w:rsid w:val="007737E4"/>
    <w:rsid w:val="00773DEE"/>
    <w:rsid w:val="00773E19"/>
    <w:rsid w:val="00773F0A"/>
    <w:rsid w:val="007748DD"/>
    <w:rsid w:val="00774E33"/>
    <w:rsid w:val="00775347"/>
    <w:rsid w:val="007755D1"/>
    <w:rsid w:val="007756E4"/>
    <w:rsid w:val="007756E8"/>
    <w:rsid w:val="00775757"/>
    <w:rsid w:val="007757FD"/>
    <w:rsid w:val="00775A3C"/>
    <w:rsid w:val="00775CF4"/>
    <w:rsid w:val="00775F22"/>
    <w:rsid w:val="00776136"/>
    <w:rsid w:val="0077636E"/>
    <w:rsid w:val="0077645A"/>
    <w:rsid w:val="0077658C"/>
    <w:rsid w:val="00776A67"/>
    <w:rsid w:val="00776C42"/>
    <w:rsid w:val="00776CDB"/>
    <w:rsid w:val="00776DFF"/>
    <w:rsid w:val="007776F5"/>
    <w:rsid w:val="007777B7"/>
    <w:rsid w:val="00777834"/>
    <w:rsid w:val="0077794E"/>
    <w:rsid w:val="00777964"/>
    <w:rsid w:val="00777C76"/>
    <w:rsid w:val="007800B6"/>
    <w:rsid w:val="00780241"/>
    <w:rsid w:val="00780318"/>
    <w:rsid w:val="007803E0"/>
    <w:rsid w:val="007806F0"/>
    <w:rsid w:val="007808CC"/>
    <w:rsid w:val="007808DA"/>
    <w:rsid w:val="00780924"/>
    <w:rsid w:val="007809E5"/>
    <w:rsid w:val="00780CD5"/>
    <w:rsid w:val="00780DEB"/>
    <w:rsid w:val="0078126A"/>
    <w:rsid w:val="007812F1"/>
    <w:rsid w:val="00781489"/>
    <w:rsid w:val="0078160E"/>
    <w:rsid w:val="0078165F"/>
    <w:rsid w:val="007816E7"/>
    <w:rsid w:val="00781D45"/>
    <w:rsid w:val="00782079"/>
    <w:rsid w:val="0078207A"/>
    <w:rsid w:val="007821D4"/>
    <w:rsid w:val="007823D6"/>
    <w:rsid w:val="0078241D"/>
    <w:rsid w:val="007825E0"/>
    <w:rsid w:val="0078263A"/>
    <w:rsid w:val="00782C3E"/>
    <w:rsid w:val="00782D69"/>
    <w:rsid w:val="007830E9"/>
    <w:rsid w:val="00783203"/>
    <w:rsid w:val="0078333D"/>
    <w:rsid w:val="007834EE"/>
    <w:rsid w:val="00783C05"/>
    <w:rsid w:val="00783C40"/>
    <w:rsid w:val="00783E69"/>
    <w:rsid w:val="00783F48"/>
    <w:rsid w:val="0078413B"/>
    <w:rsid w:val="0078413D"/>
    <w:rsid w:val="007841EB"/>
    <w:rsid w:val="007842E0"/>
    <w:rsid w:val="0078435C"/>
    <w:rsid w:val="00784392"/>
    <w:rsid w:val="00784926"/>
    <w:rsid w:val="00784B0A"/>
    <w:rsid w:val="00784D82"/>
    <w:rsid w:val="00784F91"/>
    <w:rsid w:val="00785504"/>
    <w:rsid w:val="0078563A"/>
    <w:rsid w:val="0078564B"/>
    <w:rsid w:val="007857F3"/>
    <w:rsid w:val="00785946"/>
    <w:rsid w:val="00785B4F"/>
    <w:rsid w:val="00785C83"/>
    <w:rsid w:val="00785CEE"/>
    <w:rsid w:val="00785D76"/>
    <w:rsid w:val="007860B9"/>
    <w:rsid w:val="007867FC"/>
    <w:rsid w:val="00786C50"/>
    <w:rsid w:val="00786CDD"/>
    <w:rsid w:val="00787100"/>
    <w:rsid w:val="00787377"/>
    <w:rsid w:val="0078777D"/>
    <w:rsid w:val="00787D93"/>
    <w:rsid w:val="00787F38"/>
    <w:rsid w:val="00790570"/>
    <w:rsid w:val="00790999"/>
    <w:rsid w:val="00790BAA"/>
    <w:rsid w:val="00790BC1"/>
    <w:rsid w:val="00790DCF"/>
    <w:rsid w:val="00790F58"/>
    <w:rsid w:val="00790F9A"/>
    <w:rsid w:val="0079108E"/>
    <w:rsid w:val="0079121D"/>
    <w:rsid w:val="007913A2"/>
    <w:rsid w:val="007914B1"/>
    <w:rsid w:val="00791509"/>
    <w:rsid w:val="00791701"/>
    <w:rsid w:val="00791801"/>
    <w:rsid w:val="0079197F"/>
    <w:rsid w:val="007919F5"/>
    <w:rsid w:val="00791CCE"/>
    <w:rsid w:val="00791D4B"/>
    <w:rsid w:val="00791FC7"/>
    <w:rsid w:val="00791FE1"/>
    <w:rsid w:val="00792042"/>
    <w:rsid w:val="007920C0"/>
    <w:rsid w:val="00792281"/>
    <w:rsid w:val="00792A6D"/>
    <w:rsid w:val="00792E55"/>
    <w:rsid w:val="00792FDF"/>
    <w:rsid w:val="007933E4"/>
    <w:rsid w:val="0079348B"/>
    <w:rsid w:val="007936BE"/>
    <w:rsid w:val="007937A5"/>
    <w:rsid w:val="007938E4"/>
    <w:rsid w:val="007939B2"/>
    <w:rsid w:val="00793A43"/>
    <w:rsid w:val="00793ECE"/>
    <w:rsid w:val="0079458F"/>
    <w:rsid w:val="00794737"/>
    <w:rsid w:val="007947E4"/>
    <w:rsid w:val="00794BA3"/>
    <w:rsid w:val="0079530E"/>
    <w:rsid w:val="00795585"/>
    <w:rsid w:val="00795894"/>
    <w:rsid w:val="00795B61"/>
    <w:rsid w:val="00795D8B"/>
    <w:rsid w:val="007960C6"/>
    <w:rsid w:val="007961C6"/>
    <w:rsid w:val="00796334"/>
    <w:rsid w:val="007965BE"/>
    <w:rsid w:val="0079683B"/>
    <w:rsid w:val="00796AC5"/>
    <w:rsid w:val="00796B79"/>
    <w:rsid w:val="00797064"/>
    <w:rsid w:val="00797491"/>
    <w:rsid w:val="007974E8"/>
    <w:rsid w:val="007976E0"/>
    <w:rsid w:val="00797C77"/>
    <w:rsid w:val="00797C93"/>
    <w:rsid w:val="00797D66"/>
    <w:rsid w:val="00797DBF"/>
    <w:rsid w:val="007A0302"/>
    <w:rsid w:val="007A0553"/>
    <w:rsid w:val="007A0685"/>
    <w:rsid w:val="007A06C1"/>
    <w:rsid w:val="007A0850"/>
    <w:rsid w:val="007A0C33"/>
    <w:rsid w:val="007A11A1"/>
    <w:rsid w:val="007A1615"/>
    <w:rsid w:val="007A1642"/>
    <w:rsid w:val="007A18C3"/>
    <w:rsid w:val="007A1965"/>
    <w:rsid w:val="007A1E83"/>
    <w:rsid w:val="007A20C6"/>
    <w:rsid w:val="007A20FD"/>
    <w:rsid w:val="007A2552"/>
    <w:rsid w:val="007A274F"/>
    <w:rsid w:val="007A2923"/>
    <w:rsid w:val="007A2943"/>
    <w:rsid w:val="007A295B"/>
    <w:rsid w:val="007A29F2"/>
    <w:rsid w:val="007A2B52"/>
    <w:rsid w:val="007A320A"/>
    <w:rsid w:val="007A3659"/>
    <w:rsid w:val="007A3972"/>
    <w:rsid w:val="007A3A66"/>
    <w:rsid w:val="007A3D11"/>
    <w:rsid w:val="007A4396"/>
    <w:rsid w:val="007A44D5"/>
    <w:rsid w:val="007A44F4"/>
    <w:rsid w:val="007A45D7"/>
    <w:rsid w:val="007A4748"/>
    <w:rsid w:val="007A493E"/>
    <w:rsid w:val="007A4E8A"/>
    <w:rsid w:val="007A4EB7"/>
    <w:rsid w:val="007A4FD6"/>
    <w:rsid w:val="007A505B"/>
    <w:rsid w:val="007A5062"/>
    <w:rsid w:val="007A50AC"/>
    <w:rsid w:val="007A512E"/>
    <w:rsid w:val="007A5252"/>
    <w:rsid w:val="007A52C5"/>
    <w:rsid w:val="007A556B"/>
    <w:rsid w:val="007A5597"/>
    <w:rsid w:val="007A5666"/>
    <w:rsid w:val="007A573D"/>
    <w:rsid w:val="007A5AE9"/>
    <w:rsid w:val="007A5CEE"/>
    <w:rsid w:val="007A5D4A"/>
    <w:rsid w:val="007A5D7F"/>
    <w:rsid w:val="007A5DF8"/>
    <w:rsid w:val="007A5FA5"/>
    <w:rsid w:val="007A6130"/>
    <w:rsid w:val="007A619D"/>
    <w:rsid w:val="007A6373"/>
    <w:rsid w:val="007A6499"/>
    <w:rsid w:val="007A65CA"/>
    <w:rsid w:val="007A661A"/>
    <w:rsid w:val="007A6A58"/>
    <w:rsid w:val="007A6A9F"/>
    <w:rsid w:val="007A6B4B"/>
    <w:rsid w:val="007A6DB9"/>
    <w:rsid w:val="007A75B0"/>
    <w:rsid w:val="007A763A"/>
    <w:rsid w:val="007A76D3"/>
    <w:rsid w:val="007A7B3E"/>
    <w:rsid w:val="007A7CD2"/>
    <w:rsid w:val="007A7CFB"/>
    <w:rsid w:val="007A7D46"/>
    <w:rsid w:val="007A7EDA"/>
    <w:rsid w:val="007A7FD6"/>
    <w:rsid w:val="007B03E5"/>
    <w:rsid w:val="007B0500"/>
    <w:rsid w:val="007B0718"/>
    <w:rsid w:val="007B0BBA"/>
    <w:rsid w:val="007B0C7B"/>
    <w:rsid w:val="007B0D08"/>
    <w:rsid w:val="007B0F2A"/>
    <w:rsid w:val="007B0F97"/>
    <w:rsid w:val="007B0FBD"/>
    <w:rsid w:val="007B10C9"/>
    <w:rsid w:val="007B12C3"/>
    <w:rsid w:val="007B13BD"/>
    <w:rsid w:val="007B1C17"/>
    <w:rsid w:val="007B1ED7"/>
    <w:rsid w:val="007B20D1"/>
    <w:rsid w:val="007B2115"/>
    <w:rsid w:val="007B23E5"/>
    <w:rsid w:val="007B277F"/>
    <w:rsid w:val="007B287C"/>
    <w:rsid w:val="007B2AB3"/>
    <w:rsid w:val="007B2AF5"/>
    <w:rsid w:val="007B2BA2"/>
    <w:rsid w:val="007B2DB5"/>
    <w:rsid w:val="007B2DD7"/>
    <w:rsid w:val="007B30FC"/>
    <w:rsid w:val="007B31DB"/>
    <w:rsid w:val="007B322D"/>
    <w:rsid w:val="007B37BE"/>
    <w:rsid w:val="007B380D"/>
    <w:rsid w:val="007B3999"/>
    <w:rsid w:val="007B3A8D"/>
    <w:rsid w:val="007B3B19"/>
    <w:rsid w:val="007B3DE8"/>
    <w:rsid w:val="007B3F22"/>
    <w:rsid w:val="007B402F"/>
    <w:rsid w:val="007B4161"/>
    <w:rsid w:val="007B44A3"/>
    <w:rsid w:val="007B45DD"/>
    <w:rsid w:val="007B46B2"/>
    <w:rsid w:val="007B46F3"/>
    <w:rsid w:val="007B4808"/>
    <w:rsid w:val="007B48D4"/>
    <w:rsid w:val="007B4A4C"/>
    <w:rsid w:val="007B4B91"/>
    <w:rsid w:val="007B4B9B"/>
    <w:rsid w:val="007B4D68"/>
    <w:rsid w:val="007B4FA6"/>
    <w:rsid w:val="007B52FD"/>
    <w:rsid w:val="007B5551"/>
    <w:rsid w:val="007B563A"/>
    <w:rsid w:val="007B5646"/>
    <w:rsid w:val="007B56BC"/>
    <w:rsid w:val="007B5891"/>
    <w:rsid w:val="007B58CF"/>
    <w:rsid w:val="007B5905"/>
    <w:rsid w:val="007B5B5F"/>
    <w:rsid w:val="007B5CC6"/>
    <w:rsid w:val="007B5EC9"/>
    <w:rsid w:val="007B5F46"/>
    <w:rsid w:val="007B5FDE"/>
    <w:rsid w:val="007B6231"/>
    <w:rsid w:val="007B651F"/>
    <w:rsid w:val="007B6882"/>
    <w:rsid w:val="007B6D7C"/>
    <w:rsid w:val="007B7221"/>
    <w:rsid w:val="007B762B"/>
    <w:rsid w:val="007B7872"/>
    <w:rsid w:val="007B7B1D"/>
    <w:rsid w:val="007B7FA8"/>
    <w:rsid w:val="007C019A"/>
    <w:rsid w:val="007C0358"/>
    <w:rsid w:val="007C0440"/>
    <w:rsid w:val="007C0B42"/>
    <w:rsid w:val="007C0B97"/>
    <w:rsid w:val="007C0BE4"/>
    <w:rsid w:val="007C0FE6"/>
    <w:rsid w:val="007C10C8"/>
    <w:rsid w:val="007C13FB"/>
    <w:rsid w:val="007C1BA9"/>
    <w:rsid w:val="007C1E2E"/>
    <w:rsid w:val="007C1E39"/>
    <w:rsid w:val="007C204A"/>
    <w:rsid w:val="007C208F"/>
    <w:rsid w:val="007C2180"/>
    <w:rsid w:val="007C227F"/>
    <w:rsid w:val="007C2386"/>
    <w:rsid w:val="007C2412"/>
    <w:rsid w:val="007C2914"/>
    <w:rsid w:val="007C2D16"/>
    <w:rsid w:val="007C2DC2"/>
    <w:rsid w:val="007C309C"/>
    <w:rsid w:val="007C31AF"/>
    <w:rsid w:val="007C32C2"/>
    <w:rsid w:val="007C354E"/>
    <w:rsid w:val="007C3A1E"/>
    <w:rsid w:val="007C43B9"/>
    <w:rsid w:val="007C442F"/>
    <w:rsid w:val="007C47C0"/>
    <w:rsid w:val="007C495C"/>
    <w:rsid w:val="007C4A83"/>
    <w:rsid w:val="007C4AA5"/>
    <w:rsid w:val="007C4E4C"/>
    <w:rsid w:val="007C5497"/>
    <w:rsid w:val="007C57A5"/>
    <w:rsid w:val="007C57EA"/>
    <w:rsid w:val="007C58ED"/>
    <w:rsid w:val="007C5A78"/>
    <w:rsid w:val="007C5B23"/>
    <w:rsid w:val="007C5DEE"/>
    <w:rsid w:val="007C600B"/>
    <w:rsid w:val="007C626E"/>
    <w:rsid w:val="007C63B7"/>
    <w:rsid w:val="007C63C0"/>
    <w:rsid w:val="007C6488"/>
    <w:rsid w:val="007C64C5"/>
    <w:rsid w:val="007C6758"/>
    <w:rsid w:val="007C680B"/>
    <w:rsid w:val="007C690E"/>
    <w:rsid w:val="007C6D10"/>
    <w:rsid w:val="007C6EB4"/>
    <w:rsid w:val="007C70AF"/>
    <w:rsid w:val="007C70F6"/>
    <w:rsid w:val="007C71BA"/>
    <w:rsid w:val="007C71EA"/>
    <w:rsid w:val="007C76A0"/>
    <w:rsid w:val="007C76C8"/>
    <w:rsid w:val="007C7792"/>
    <w:rsid w:val="007C78C0"/>
    <w:rsid w:val="007C78CB"/>
    <w:rsid w:val="007C78DF"/>
    <w:rsid w:val="007C7C5F"/>
    <w:rsid w:val="007C7DF0"/>
    <w:rsid w:val="007C7EBE"/>
    <w:rsid w:val="007D010B"/>
    <w:rsid w:val="007D0167"/>
    <w:rsid w:val="007D041E"/>
    <w:rsid w:val="007D079D"/>
    <w:rsid w:val="007D081E"/>
    <w:rsid w:val="007D099F"/>
    <w:rsid w:val="007D0A03"/>
    <w:rsid w:val="007D0A80"/>
    <w:rsid w:val="007D0A86"/>
    <w:rsid w:val="007D0B79"/>
    <w:rsid w:val="007D0B9F"/>
    <w:rsid w:val="007D0D0B"/>
    <w:rsid w:val="007D1236"/>
    <w:rsid w:val="007D1504"/>
    <w:rsid w:val="007D1510"/>
    <w:rsid w:val="007D16D2"/>
    <w:rsid w:val="007D1783"/>
    <w:rsid w:val="007D18DC"/>
    <w:rsid w:val="007D195C"/>
    <w:rsid w:val="007D1D37"/>
    <w:rsid w:val="007D1DFE"/>
    <w:rsid w:val="007D1EA1"/>
    <w:rsid w:val="007D2141"/>
    <w:rsid w:val="007D23CF"/>
    <w:rsid w:val="007D2523"/>
    <w:rsid w:val="007D26A9"/>
    <w:rsid w:val="007D26B4"/>
    <w:rsid w:val="007D28B9"/>
    <w:rsid w:val="007D2BC3"/>
    <w:rsid w:val="007D2D32"/>
    <w:rsid w:val="007D2E46"/>
    <w:rsid w:val="007D2F4E"/>
    <w:rsid w:val="007D2FFB"/>
    <w:rsid w:val="007D3512"/>
    <w:rsid w:val="007D3723"/>
    <w:rsid w:val="007D377E"/>
    <w:rsid w:val="007D3A0A"/>
    <w:rsid w:val="007D3BCC"/>
    <w:rsid w:val="007D3D6A"/>
    <w:rsid w:val="007D3D74"/>
    <w:rsid w:val="007D45B5"/>
    <w:rsid w:val="007D45E4"/>
    <w:rsid w:val="007D4646"/>
    <w:rsid w:val="007D48AB"/>
    <w:rsid w:val="007D4E77"/>
    <w:rsid w:val="007D5062"/>
    <w:rsid w:val="007D522F"/>
    <w:rsid w:val="007D55F3"/>
    <w:rsid w:val="007D591B"/>
    <w:rsid w:val="007D5B89"/>
    <w:rsid w:val="007D5E47"/>
    <w:rsid w:val="007D6160"/>
    <w:rsid w:val="007D633F"/>
    <w:rsid w:val="007D6547"/>
    <w:rsid w:val="007D655F"/>
    <w:rsid w:val="007D675D"/>
    <w:rsid w:val="007D6CAD"/>
    <w:rsid w:val="007D6D11"/>
    <w:rsid w:val="007D7375"/>
    <w:rsid w:val="007D75B6"/>
    <w:rsid w:val="007D7BA1"/>
    <w:rsid w:val="007D7ECA"/>
    <w:rsid w:val="007E0174"/>
    <w:rsid w:val="007E026D"/>
    <w:rsid w:val="007E0345"/>
    <w:rsid w:val="007E035E"/>
    <w:rsid w:val="007E056C"/>
    <w:rsid w:val="007E0846"/>
    <w:rsid w:val="007E0971"/>
    <w:rsid w:val="007E09AC"/>
    <w:rsid w:val="007E0AF5"/>
    <w:rsid w:val="007E0D77"/>
    <w:rsid w:val="007E10CE"/>
    <w:rsid w:val="007E1130"/>
    <w:rsid w:val="007E11E6"/>
    <w:rsid w:val="007E12F0"/>
    <w:rsid w:val="007E17F1"/>
    <w:rsid w:val="007E18F8"/>
    <w:rsid w:val="007E1B13"/>
    <w:rsid w:val="007E1E8C"/>
    <w:rsid w:val="007E2273"/>
    <w:rsid w:val="007E22D7"/>
    <w:rsid w:val="007E22EA"/>
    <w:rsid w:val="007E2453"/>
    <w:rsid w:val="007E2692"/>
    <w:rsid w:val="007E2AD8"/>
    <w:rsid w:val="007E2BB9"/>
    <w:rsid w:val="007E2D9E"/>
    <w:rsid w:val="007E2EF0"/>
    <w:rsid w:val="007E2F9E"/>
    <w:rsid w:val="007E2FC1"/>
    <w:rsid w:val="007E300E"/>
    <w:rsid w:val="007E32E4"/>
    <w:rsid w:val="007E3704"/>
    <w:rsid w:val="007E377E"/>
    <w:rsid w:val="007E380B"/>
    <w:rsid w:val="007E39E1"/>
    <w:rsid w:val="007E3A81"/>
    <w:rsid w:val="007E3ADC"/>
    <w:rsid w:val="007E3B50"/>
    <w:rsid w:val="007E3B57"/>
    <w:rsid w:val="007E3C6E"/>
    <w:rsid w:val="007E3CC0"/>
    <w:rsid w:val="007E3D19"/>
    <w:rsid w:val="007E3E4B"/>
    <w:rsid w:val="007E3E6B"/>
    <w:rsid w:val="007E4027"/>
    <w:rsid w:val="007E4054"/>
    <w:rsid w:val="007E44C1"/>
    <w:rsid w:val="007E4539"/>
    <w:rsid w:val="007E466D"/>
    <w:rsid w:val="007E487A"/>
    <w:rsid w:val="007E4E01"/>
    <w:rsid w:val="007E4E6B"/>
    <w:rsid w:val="007E4E92"/>
    <w:rsid w:val="007E4F80"/>
    <w:rsid w:val="007E584E"/>
    <w:rsid w:val="007E5851"/>
    <w:rsid w:val="007E59A9"/>
    <w:rsid w:val="007E5B1D"/>
    <w:rsid w:val="007E5CD1"/>
    <w:rsid w:val="007E6098"/>
    <w:rsid w:val="007E6102"/>
    <w:rsid w:val="007E61A1"/>
    <w:rsid w:val="007E625D"/>
    <w:rsid w:val="007E631B"/>
    <w:rsid w:val="007E63B1"/>
    <w:rsid w:val="007E6B28"/>
    <w:rsid w:val="007E6C84"/>
    <w:rsid w:val="007E6DB2"/>
    <w:rsid w:val="007E6DB9"/>
    <w:rsid w:val="007E6F1B"/>
    <w:rsid w:val="007E7379"/>
    <w:rsid w:val="007E7477"/>
    <w:rsid w:val="007E7617"/>
    <w:rsid w:val="007E7839"/>
    <w:rsid w:val="007E7AB6"/>
    <w:rsid w:val="007E7B26"/>
    <w:rsid w:val="007E7BC2"/>
    <w:rsid w:val="007F0178"/>
    <w:rsid w:val="007F0238"/>
    <w:rsid w:val="007F0302"/>
    <w:rsid w:val="007F03CE"/>
    <w:rsid w:val="007F041D"/>
    <w:rsid w:val="007F06FD"/>
    <w:rsid w:val="007F087E"/>
    <w:rsid w:val="007F0A08"/>
    <w:rsid w:val="007F0AA7"/>
    <w:rsid w:val="007F0BB7"/>
    <w:rsid w:val="007F0BBE"/>
    <w:rsid w:val="007F0C15"/>
    <w:rsid w:val="007F10D3"/>
    <w:rsid w:val="007F12D5"/>
    <w:rsid w:val="007F1739"/>
    <w:rsid w:val="007F19C6"/>
    <w:rsid w:val="007F1AFE"/>
    <w:rsid w:val="007F1B71"/>
    <w:rsid w:val="007F2522"/>
    <w:rsid w:val="007F29AC"/>
    <w:rsid w:val="007F2AF3"/>
    <w:rsid w:val="007F2D21"/>
    <w:rsid w:val="007F2EF8"/>
    <w:rsid w:val="007F34CC"/>
    <w:rsid w:val="007F3545"/>
    <w:rsid w:val="007F35F4"/>
    <w:rsid w:val="007F37AA"/>
    <w:rsid w:val="007F3990"/>
    <w:rsid w:val="007F3B28"/>
    <w:rsid w:val="007F3D03"/>
    <w:rsid w:val="007F3D44"/>
    <w:rsid w:val="007F458F"/>
    <w:rsid w:val="007F4613"/>
    <w:rsid w:val="007F4A94"/>
    <w:rsid w:val="007F4DE5"/>
    <w:rsid w:val="007F4E0A"/>
    <w:rsid w:val="007F51A6"/>
    <w:rsid w:val="007F52B3"/>
    <w:rsid w:val="007F54BA"/>
    <w:rsid w:val="007F5500"/>
    <w:rsid w:val="007F5549"/>
    <w:rsid w:val="007F56DE"/>
    <w:rsid w:val="007F572B"/>
    <w:rsid w:val="007F5B1E"/>
    <w:rsid w:val="007F6076"/>
    <w:rsid w:val="007F6094"/>
    <w:rsid w:val="007F6149"/>
    <w:rsid w:val="007F6457"/>
    <w:rsid w:val="007F6558"/>
    <w:rsid w:val="007F66AA"/>
    <w:rsid w:val="007F6748"/>
    <w:rsid w:val="007F6D94"/>
    <w:rsid w:val="007F6F91"/>
    <w:rsid w:val="007F7490"/>
    <w:rsid w:val="007F7653"/>
    <w:rsid w:val="007F7688"/>
    <w:rsid w:val="007F78BE"/>
    <w:rsid w:val="007F7D67"/>
    <w:rsid w:val="007F7EC9"/>
    <w:rsid w:val="007F7F1E"/>
    <w:rsid w:val="008000E4"/>
    <w:rsid w:val="008001EC"/>
    <w:rsid w:val="00800258"/>
    <w:rsid w:val="008002D6"/>
    <w:rsid w:val="00800332"/>
    <w:rsid w:val="00800353"/>
    <w:rsid w:val="008008F3"/>
    <w:rsid w:val="0080097B"/>
    <w:rsid w:val="00800BB6"/>
    <w:rsid w:val="00800D4B"/>
    <w:rsid w:val="00800DB0"/>
    <w:rsid w:val="00800DF4"/>
    <w:rsid w:val="0080111D"/>
    <w:rsid w:val="0080167C"/>
    <w:rsid w:val="0080192F"/>
    <w:rsid w:val="00801973"/>
    <w:rsid w:val="00801D9B"/>
    <w:rsid w:val="00801EDA"/>
    <w:rsid w:val="0080202D"/>
    <w:rsid w:val="008020BB"/>
    <w:rsid w:val="008021F6"/>
    <w:rsid w:val="008021F7"/>
    <w:rsid w:val="00802319"/>
    <w:rsid w:val="0080239C"/>
    <w:rsid w:val="008024DD"/>
    <w:rsid w:val="0080267F"/>
    <w:rsid w:val="0080269C"/>
    <w:rsid w:val="00802845"/>
    <w:rsid w:val="008028EF"/>
    <w:rsid w:val="00802AA2"/>
    <w:rsid w:val="00802D31"/>
    <w:rsid w:val="0080351F"/>
    <w:rsid w:val="0080360E"/>
    <w:rsid w:val="008036CE"/>
    <w:rsid w:val="00803743"/>
    <w:rsid w:val="00803864"/>
    <w:rsid w:val="0080399A"/>
    <w:rsid w:val="00803BE6"/>
    <w:rsid w:val="00803EFA"/>
    <w:rsid w:val="0080439E"/>
    <w:rsid w:val="00804404"/>
    <w:rsid w:val="00804731"/>
    <w:rsid w:val="00804997"/>
    <w:rsid w:val="00804B2A"/>
    <w:rsid w:val="00805457"/>
    <w:rsid w:val="0080549B"/>
    <w:rsid w:val="008055EC"/>
    <w:rsid w:val="00805828"/>
    <w:rsid w:val="008059BF"/>
    <w:rsid w:val="00805A47"/>
    <w:rsid w:val="00805ABF"/>
    <w:rsid w:val="00805B1C"/>
    <w:rsid w:val="00805D6C"/>
    <w:rsid w:val="008061DB"/>
    <w:rsid w:val="008065B5"/>
    <w:rsid w:val="008065FD"/>
    <w:rsid w:val="00806942"/>
    <w:rsid w:val="00806978"/>
    <w:rsid w:val="00806A6E"/>
    <w:rsid w:val="00806C49"/>
    <w:rsid w:val="00806DF1"/>
    <w:rsid w:val="008070A8"/>
    <w:rsid w:val="008071F6"/>
    <w:rsid w:val="00807345"/>
    <w:rsid w:val="0080767C"/>
    <w:rsid w:val="00807839"/>
    <w:rsid w:val="00807997"/>
    <w:rsid w:val="00807B56"/>
    <w:rsid w:val="00807CAF"/>
    <w:rsid w:val="00807CD1"/>
    <w:rsid w:val="008104DB"/>
    <w:rsid w:val="00810627"/>
    <w:rsid w:val="00810915"/>
    <w:rsid w:val="00810961"/>
    <w:rsid w:val="00810A56"/>
    <w:rsid w:val="00810B20"/>
    <w:rsid w:val="008110C8"/>
    <w:rsid w:val="00811325"/>
    <w:rsid w:val="00811599"/>
    <w:rsid w:val="00811AB1"/>
    <w:rsid w:val="00811C1D"/>
    <w:rsid w:val="00811CDC"/>
    <w:rsid w:val="00811D0F"/>
    <w:rsid w:val="00811FC7"/>
    <w:rsid w:val="00811FFC"/>
    <w:rsid w:val="008120EE"/>
    <w:rsid w:val="008121C8"/>
    <w:rsid w:val="00812544"/>
    <w:rsid w:val="0081257A"/>
    <w:rsid w:val="008125E6"/>
    <w:rsid w:val="00812630"/>
    <w:rsid w:val="008127B8"/>
    <w:rsid w:val="00812A02"/>
    <w:rsid w:val="00812D4A"/>
    <w:rsid w:val="0081310E"/>
    <w:rsid w:val="0081329F"/>
    <w:rsid w:val="00813419"/>
    <w:rsid w:val="00813595"/>
    <w:rsid w:val="0081363E"/>
    <w:rsid w:val="008136B7"/>
    <w:rsid w:val="0081384E"/>
    <w:rsid w:val="00813884"/>
    <w:rsid w:val="00813BD4"/>
    <w:rsid w:val="00813BE2"/>
    <w:rsid w:val="00813C74"/>
    <w:rsid w:val="00814050"/>
    <w:rsid w:val="00814159"/>
    <w:rsid w:val="008141AE"/>
    <w:rsid w:val="00814505"/>
    <w:rsid w:val="00814546"/>
    <w:rsid w:val="008146FA"/>
    <w:rsid w:val="00814947"/>
    <w:rsid w:val="00814AA7"/>
    <w:rsid w:val="00814B7C"/>
    <w:rsid w:val="00814EA1"/>
    <w:rsid w:val="00814F51"/>
    <w:rsid w:val="00814F78"/>
    <w:rsid w:val="00815243"/>
    <w:rsid w:val="00815341"/>
    <w:rsid w:val="008153A9"/>
    <w:rsid w:val="008155B7"/>
    <w:rsid w:val="00815709"/>
    <w:rsid w:val="00815A7D"/>
    <w:rsid w:val="00815A80"/>
    <w:rsid w:val="00815A8D"/>
    <w:rsid w:val="00815CD9"/>
    <w:rsid w:val="00815EAA"/>
    <w:rsid w:val="0081609D"/>
    <w:rsid w:val="008162B9"/>
    <w:rsid w:val="008162C9"/>
    <w:rsid w:val="008163E1"/>
    <w:rsid w:val="008164E5"/>
    <w:rsid w:val="00816A75"/>
    <w:rsid w:val="00816B2A"/>
    <w:rsid w:val="00816C66"/>
    <w:rsid w:val="00816CC2"/>
    <w:rsid w:val="00816FE0"/>
    <w:rsid w:val="008171EF"/>
    <w:rsid w:val="00817253"/>
    <w:rsid w:val="00817433"/>
    <w:rsid w:val="0081766F"/>
    <w:rsid w:val="0081790B"/>
    <w:rsid w:val="0081799B"/>
    <w:rsid w:val="008179FC"/>
    <w:rsid w:val="00817E4F"/>
    <w:rsid w:val="00817E8A"/>
    <w:rsid w:val="008202B5"/>
    <w:rsid w:val="008204F0"/>
    <w:rsid w:val="0082052C"/>
    <w:rsid w:val="0082062E"/>
    <w:rsid w:val="0082068E"/>
    <w:rsid w:val="00820833"/>
    <w:rsid w:val="008209B2"/>
    <w:rsid w:val="00820B1F"/>
    <w:rsid w:val="00820C13"/>
    <w:rsid w:val="00820C4E"/>
    <w:rsid w:val="00820F12"/>
    <w:rsid w:val="00821089"/>
    <w:rsid w:val="00821135"/>
    <w:rsid w:val="00821160"/>
    <w:rsid w:val="00821494"/>
    <w:rsid w:val="008214BC"/>
    <w:rsid w:val="008214CB"/>
    <w:rsid w:val="008214D9"/>
    <w:rsid w:val="00821C8B"/>
    <w:rsid w:val="00821D3C"/>
    <w:rsid w:val="00821E82"/>
    <w:rsid w:val="008224DF"/>
    <w:rsid w:val="0082267D"/>
    <w:rsid w:val="008227FC"/>
    <w:rsid w:val="008228CF"/>
    <w:rsid w:val="008229DF"/>
    <w:rsid w:val="00822AA7"/>
    <w:rsid w:val="00822F81"/>
    <w:rsid w:val="008232A9"/>
    <w:rsid w:val="008234F8"/>
    <w:rsid w:val="008235B7"/>
    <w:rsid w:val="0082365E"/>
    <w:rsid w:val="0082385F"/>
    <w:rsid w:val="0082387F"/>
    <w:rsid w:val="0082393E"/>
    <w:rsid w:val="00823999"/>
    <w:rsid w:val="00823A03"/>
    <w:rsid w:val="00823B8F"/>
    <w:rsid w:val="00823BB7"/>
    <w:rsid w:val="00823D9B"/>
    <w:rsid w:val="008241BE"/>
    <w:rsid w:val="0082439E"/>
    <w:rsid w:val="008243CE"/>
    <w:rsid w:val="0082454B"/>
    <w:rsid w:val="008245A8"/>
    <w:rsid w:val="00824764"/>
    <w:rsid w:val="008247C3"/>
    <w:rsid w:val="00824836"/>
    <w:rsid w:val="00824AFF"/>
    <w:rsid w:val="00824E6E"/>
    <w:rsid w:val="0082500A"/>
    <w:rsid w:val="00825165"/>
    <w:rsid w:val="008253E9"/>
    <w:rsid w:val="00825557"/>
    <w:rsid w:val="0082588C"/>
    <w:rsid w:val="00825C26"/>
    <w:rsid w:val="00825EAD"/>
    <w:rsid w:val="00826109"/>
    <w:rsid w:val="0082618D"/>
    <w:rsid w:val="00826413"/>
    <w:rsid w:val="00826721"/>
    <w:rsid w:val="008267CF"/>
    <w:rsid w:val="008267D5"/>
    <w:rsid w:val="00826813"/>
    <w:rsid w:val="00826E28"/>
    <w:rsid w:val="00826E94"/>
    <w:rsid w:val="00826F8B"/>
    <w:rsid w:val="008272F1"/>
    <w:rsid w:val="008275F5"/>
    <w:rsid w:val="0082780A"/>
    <w:rsid w:val="00827D1E"/>
    <w:rsid w:val="00827F6C"/>
    <w:rsid w:val="00830339"/>
    <w:rsid w:val="00830348"/>
    <w:rsid w:val="008303CB"/>
    <w:rsid w:val="0083041B"/>
    <w:rsid w:val="00830420"/>
    <w:rsid w:val="0083046A"/>
    <w:rsid w:val="008309C5"/>
    <w:rsid w:val="00830BE5"/>
    <w:rsid w:val="00830E6F"/>
    <w:rsid w:val="00830FAB"/>
    <w:rsid w:val="008312B6"/>
    <w:rsid w:val="008313C0"/>
    <w:rsid w:val="00831478"/>
    <w:rsid w:val="0083148F"/>
    <w:rsid w:val="008315FB"/>
    <w:rsid w:val="00831A20"/>
    <w:rsid w:val="00831AE3"/>
    <w:rsid w:val="00831BB4"/>
    <w:rsid w:val="00831BE1"/>
    <w:rsid w:val="00831D82"/>
    <w:rsid w:val="00831F3B"/>
    <w:rsid w:val="00831F8C"/>
    <w:rsid w:val="00831FA8"/>
    <w:rsid w:val="0083261E"/>
    <w:rsid w:val="008328F3"/>
    <w:rsid w:val="00832954"/>
    <w:rsid w:val="00832C5C"/>
    <w:rsid w:val="00832D25"/>
    <w:rsid w:val="00832FBC"/>
    <w:rsid w:val="0083319D"/>
    <w:rsid w:val="00833500"/>
    <w:rsid w:val="008336FA"/>
    <w:rsid w:val="00833D7C"/>
    <w:rsid w:val="00833F79"/>
    <w:rsid w:val="00833FC5"/>
    <w:rsid w:val="00834025"/>
    <w:rsid w:val="0083411E"/>
    <w:rsid w:val="0083430F"/>
    <w:rsid w:val="0083488E"/>
    <w:rsid w:val="00834937"/>
    <w:rsid w:val="00834A3E"/>
    <w:rsid w:val="00834CAD"/>
    <w:rsid w:val="00834D24"/>
    <w:rsid w:val="00834D81"/>
    <w:rsid w:val="008350EC"/>
    <w:rsid w:val="00835108"/>
    <w:rsid w:val="00835199"/>
    <w:rsid w:val="008352D4"/>
    <w:rsid w:val="008352E8"/>
    <w:rsid w:val="0083535E"/>
    <w:rsid w:val="00835803"/>
    <w:rsid w:val="00835FDD"/>
    <w:rsid w:val="008361DA"/>
    <w:rsid w:val="00836228"/>
    <w:rsid w:val="00836448"/>
    <w:rsid w:val="00836786"/>
    <w:rsid w:val="008368AF"/>
    <w:rsid w:val="0083694D"/>
    <w:rsid w:val="00836C40"/>
    <w:rsid w:val="0083743D"/>
    <w:rsid w:val="00837981"/>
    <w:rsid w:val="00837A4F"/>
    <w:rsid w:val="00837A58"/>
    <w:rsid w:val="00837BFD"/>
    <w:rsid w:val="00837C55"/>
    <w:rsid w:val="00837DD9"/>
    <w:rsid w:val="00837DFC"/>
    <w:rsid w:val="00837E34"/>
    <w:rsid w:val="00840284"/>
    <w:rsid w:val="00840773"/>
    <w:rsid w:val="008407F0"/>
    <w:rsid w:val="008409E9"/>
    <w:rsid w:val="008409F3"/>
    <w:rsid w:val="00840B6B"/>
    <w:rsid w:val="00840E31"/>
    <w:rsid w:val="00840EE0"/>
    <w:rsid w:val="00841144"/>
    <w:rsid w:val="008413AB"/>
    <w:rsid w:val="00841454"/>
    <w:rsid w:val="00841686"/>
    <w:rsid w:val="00841AFC"/>
    <w:rsid w:val="00841D10"/>
    <w:rsid w:val="00841DBD"/>
    <w:rsid w:val="00841F90"/>
    <w:rsid w:val="0084258D"/>
    <w:rsid w:val="008426BF"/>
    <w:rsid w:val="0084289C"/>
    <w:rsid w:val="008428C0"/>
    <w:rsid w:val="0084297A"/>
    <w:rsid w:val="00842C57"/>
    <w:rsid w:val="00842CEC"/>
    <w:rsid w:val="00842DF0"/>
    <w:rsid w:val="00843098"/>
    <w:rsid w:val="0084378E"/>
    <w:rsid w:val="008437DD"/>
    <w:rsid w:val="00843830"/>
    <w:rsid w:val="008438EF"/>
    <w:rsid w:val="0084399F"/>
    <w:rsid w:val="008441E1"/>
    <w:rsid w:val="00844CE7"/>
    <w:rsid w:val="00844E96"/>
    <w:rsid w:val="00844FE3"/>
    <w:rsid w:val="008450C2"/>
    <w:rsid w:val="008452CF"/>
    <w:rsid w:val="0084573F"/>
    <w:rsid w:val="00845A56"/>
    <w:rsid w:val="00845FEE"/>
    <w:rsid w:val="00846091"/>
    <w:rsid w:val="00846679"/>
    <w:rsid w:val="00846AEB"/>
    <w:rsid w:val="00846B24"/>
    <w:rsid w:val="00846E29"/>
    <w:rsid w:val="00846E4D"/>
    <w:rsid w:val="0084703B"/>
    <w:rsid w:val="008470B0"/>
    <w:rsid w:val="008470D0"/>
    <w:rsid w:val="00847419"/>
    <w:rsid w:val="00847481"/>
    <w:rsid w:val="00847604"/>
    <w:rsid w:val="00847697"/>
    <w:rsid w:val="00847D29"/>
    <w:rsid w:val="00847EB7"/>
    <w:rsid w:val="0085005E"/>
    <w:rsid w:val="008502E2"/>
    <w:rsid w:val="008504DD"/>
    <w:rsid w:val="0085081E"/>
    <w:rsid w:val="00850867"/>
    <w:rsid w:val="008508CC"/>
    <w:rsid w:val="00850930"/>
    <w:rsid w:val="008509E2"/>
    <w:rsid w:val="00850AFA"/>
    <w:rsid w:val="00850E47"/>
    <w:rsid w:val="00850E75"/>
    <w:rsid w:val="00851099"/>
    <w:rsid w:val="0085127B"/>
    <w:rsid w:val="00851449"/>
    <w:rsid w:val="008515A5"/>
    <w:rsid w:val="0085185C"/>
    <w:rsid w:val="0085193B"/>
    <w:rsid w:val="00851BC5"/>
    <w:rsid w:val="00852039"/>
    <w:rsid w:val="0085213E"/>
    <w:rsid w:val="008521E8"/>
    <w:rsid w:val="008524B1"/>
    <w:rsid w:val="00852931"/>
    <w:rsid w:val="00852A40"/>
    <w:rsid w:val="00852BE5"/>
    <w:rsid w:val="00852CE3"/>
    <w:rsid w:val="0085313E"/>
    <w:rsid w:val="008534DC"/>
    <w:rsid w:val="008535BA"/>
    <w:rsid w:val="0085363A"/>
    <w:rsid w:val="00853B7E"/>
    <w:rsid w:val="00853E35"/>
    <w:rsid w:val="008541E8"/>
    <w:rsid w:val="008544A9"/>
    <w:rsid w:val="00854894"/>
    <w:rsid w:val="008549AB"/>
    <w:rsid w:val="00854BCC"/>
    <w:rsid w:val="00854C11"/>
    <w:rsid w:val="00854C1B"/>
    <w:rsid w:val="00854D4A"/>
    <w:rsid w:val="008552EF"/>
    <w:rsid w:val="008552FB"/>
    <w:rsid w:val="008556C9"/>
    <w:rsid w:val="008557FD"/>
    <w:rsid w:val="00855A47"/>
    <w:rsid w:val="00855AE6"/>
    <w:rsid w:val="00855D5A"/>
    <w:rsid w:val="00855EC7"/>
    <w:rsid w:val="00855F0C"/>
    <w:rsid w:val="008561FB"/>
    <w:rsid w:val="00856323"/>
    <w:rsid w:val="00856472"/>
    <w:rsid w:val="008564A7"/>
    <w:rsid w:val="008565C4"/>
    <w:rsid w:val="008567F5"/>
    <w:rsid w:val="008568D8"/>
    <w:rsid w:val="008569DF"/>
    <w:rsid w:val="00856D04"/>
    <w:rsid w:val="008570A8"/>
    <w:rsid w:val="0085716D"/>
    <w:rsid w:val="0085742D"/>
    <w:rsid w:val="008574E0"/>
    <w:rsid w:val="00857730"/>
    <w:rsid w:val="008578C9"/>
    <w:rsid w:val="00857963"/>
    <w:rsid w:val="00857B13"/>
    <w:rsid w:val="00857B72"/>
    <w:rsid w:val="00857B77"/>
    <w:rsid w:val="00857E53"/>
    <w:rsid w:val="008600D9"/>
    <w:rsid w:val="008601B7"/>
    <w:rsid w:val="00860260"/>
    <w:rsid w:val="008603F4"/>
    <w:rsid w:val="008605FC"/>
    <w:rsid w:val="00860A84"/>
    <w:rsid w:val="00860CEC"/>
    <w:rsid w:val="00861102"/>
    <w:rsid w:val="00861187"/>
    <w:rsid w:val="0086146C"/>
    <w:rsid w:val="008614A5"/>
    <w:rsid w:val="0086156A"/>
    <w:rsid w:val="008618B2"/>
    <w:rsid w:val="00861B54"/>
    <w:rsid w:val="00862152"/>
    <w:rsid w:val="008623B9"/>
    <w:rsid w:val="008623DD"/>
    <w:rsid w:val="0086241F"/>
    <w:rsid w:val="0086270E"/>
    <w:rsid w:val="00862C7E"/>
    <w:rsid w:val="0086327D"/>
    <w:rsid w:val="008634AC"/>
    <w:rsid w:val="008635D4"/>
    <w:rsid w:val="00863F94"/>
    <w:rsid w:val="00863FA4"/>
    <w:rsid w:val="00863FD1"/>
    <w:rsid w:val="00864288"/>
    <w:rsid w:val="008643F3"/>
    <w:rsid w:val="0086451C"/>
    <w:rsid w:val="008645BA"/>
    <w:rsid w:val="0086480C"/>
    <w:rsid w:val="008649B6"/>
    <w:rsid w:val="00864AD3"/>
    <w:rsid w:val="00864CC9"/>
    <w:rsid w:val="00864D8C"/>
    <w:rsid w:val="00864E0C"/>
    <w:rsid w:val="008650D9"/>
    <w:rsid w:val="008651BC"/>
    <w:rsid w:val="00865597"/>
    <w:rsid w:val="00865635"/>
    <w:rsid w:val="00865901"/>
    <w:rsid w:val="00865994"/>
    <w:rsid w:val="00865AAB"/>
    <w:rsid w:val="00865B1F"/>
    <w:rsid w:val="00865F4B"/>
    <w:rsid w:val="008662A3"/>
    <w:rsid w:val="00866737"/>
    <w:rsid w:val="00866841"/>
    <w:rsid w:val="0086684A"/>
    <w:rsid w:val="008669BE"/>
    <w:rsid w:val="00866B86"/>
    <w:rsid w:val="00866BA1"/>
    <w:rsid w:val="008674C6"/>
    <w:rsid w:val="008676F0"/>
    <w:rsid w:val="0086775D"/>
    <w:rsid w:val="00867EB5"/>
    <w:rsid w:val="00867F9A"/>
    <w:rsid w:val="0087007F"/>
    <w:rsid w:val="0087009A"/>
    <w:rsid w:val="008701F7"/>
    <w:rsid w:val="00870532"/>
    <w:rsid w:val="00870990"/>
    <w:rsid w:val="008709CE"/>
    <w:rsid w:val="00870AF0"/>
    <w:rsid w:val="00870B51"/>
    <w:rsid w:val="00870C1E"/>
    <w:rsid w:val="00870C94"/>
    <w:rsid w:val="00870EBB"/>
    <w:rsid w:val="00870F4A"/>
    <w:rsid w:val="00871159"/>
    <w:rsid w:val="008711D6"/>
    <w:rsid w:val="008712DE"/>
    <w:rsid w:val="00871319"/>
    <w:rsid w:val="00871485"/>
    <w:rsid w:val="008718E3"/>
    <w:rsid w:val="00871E19"/>
    <w:rsid w:val="00871EEB"/>
    <w:rsid w:val="00871F37"/>
    <w:rsid w:val="008720FA"/>
    <w:rsid w:val="00872728"/>
    <w:rsid w:val="00872877"/>
    <w:rsid w:val="00872944"/>
    <w:rsid w:val="00872F79"/>
    <w:rsid w:val="00873054"/>
    <w:rsid w:val="00873201"/>
    <w:rsid w:val="0087347F"/>
    <w:rsid w:val="0087348C"/>
    <w:rsid w:val="008735EA"/>
    <w:rsid w:val="00873AFE"/>
    <w:rsid w:val="00873FB6"/>
    <w:rsid w:val="00873FE6"/>
    <w:rsid w:val="0087418D"/>
    <w:rsid w:val="0087466C"/>
    <w:rsid w:val="008748F0"/>
    <w:rsid w:val="008749B4"/>
    <w:rsid w:val="00874A5A"/>
    <w:rsid w:val="00874B16"/>
    <w:rsid w:val="00874E1C"/>
    <w:rsid w:val="0087534A"/>
    <w:rsid w:val="00875393"/>
    <w:rsid w:val="00875537"/>
    <w:rsid w:val="00875B7D"/>
    <w:rsid w:val="00876349"/>
    <w:rsid w:val="00876435"/>
    <w:rsid w:val="0087646F"/>
    <w:rsid w:val="00876588"/>
    <w:rsid w:val="0087658C"/>
    <w:rsid w:val="00876594"/>
    <w:rsid w:val="0087672C"/>
    <w:rsid w:val="00876B7C"/>
    <w:rsid w:val="00876C4A"/>
    <w:rsid w:val="00876CD1"/>
    <w:rsid w:val="00876D29"/>
    <w:rsid w:val="00876F96"/>
    <w:rsid w:val="0087702F"/>
    <w:rsid w:val="008771AB"/>
    <w:rsid w:val="00877209"/>
    <w:rsid w:val="0087724C"/>
    <w:rsid w:val="00877253"/>
    <w:rsid w:val="00877346"/>
    <w:rsid w:val="0087740A"/>
    <w:rsid w:val="00877472"/>
    <w:rsid w:val="008775E4"/>
    <w:rsid w:val="00877723"/>
    <w:rsid w:val="00877B84"/>
    <w:rsid w:val="00877CB0"/>
    <w:rsid w:val="00877D49"/>
    <w:rsid w:val="00877E98"/>
    <w:rsid w:val="00877EAB"/>
    <w:rsid w:val="008802F3"/>
    <w:rsid w:val="0088048D"/>
    <w:rsid w:val="008804C1"/>
    <w:rsid w:val="008804CC"/>
    <w:rsid w:val="008804D2"/>
    <w:rsid w:val="00880C07"/>
    <w:rsid w:val="00880CF7"/>
    <w:rsid w:val="00880D07"/>
    <w:rsid w:val="00880EBA"/>
    <w:rsid w:val="00881327"/>
    <w:rsid w:val="00881335"/>
    <w:rsid w:val="00881727"/>
    <w:rsid w:val="00881E0C"/>
    <w:rsid w:val="008820B9"/>
    <w:rsid w:val="0088223A"/>
    <w:rsid w:val="00882464"/>
    <w:rsid w:val="008828FD"/>
    <w:rsid w:val="008829B3"/>
    <w:rsid w:val="00883068"/>
    <w:rsid w:val="008831C2"/>
    <w:rsid w:val="008833E4"/>
    <w:rsid w:val="00883835"/>
    <w:rsid w:val="008838F5"/>
    <w:rsid w:val="00883973"/>
    <w:rsid w:val="00883AFE"/>
    <w:rsid w:val="00883BAC"/>
    <w:rsid w:val="00884043"/>
    <w:rsid w:val="008840CF"/>
    <w:rsid w:val="00884261"/>
    <w:rsid w:val="00884286"/>
    <w:rsid w:val="008846D3"/>
    <w:rsid w:val="00884775"/>
    <w:rsid w:val="00884D4E"/>
    <w:rsid w:val="00884E63"/>
    <w:rsid w:val="00884EB5"/>
    <w:rsid w:val="008851BB"/>
    <w:rsid w:val="008853EC"/>
    <w:rsid w:val="008854C6"/>
    <w:rsid w:val="008854D3"/>
    <w:rsid w:val="0088560B"/>
    <w:rsid w:val="0088564A"/>
    <w:rsid w:val="00885746"/>
    <w:rsid w:val="00885B77"/>
    <w:rsid w:val="00885FCE"/>
    <w:rsid w:val="0088612B"/>
    <w:rsid w:val="00886186"/>
    <w:rsid w:val="0088622E"/>
    <w:rsid w:val="008862EF"/>
    <w:rsid w:val="00886511"/>
    <w:rsid w:val="0088666E"/>
    <w:rsid w:val="0088677E"/>
    <w:rsid w:val="0088692F"/>
    <w:rsid w:val="00886F84"/>
    <w:rsid w:val="00887357"/>
    <w:rsid w:val="00887394"/>
    <w:rsid w:val="00887437"/>
    <w:rsid w:val="008876D8"/>
    <w:rsid w:val="00887D1F"/>
    <w:rsid w:val="00887E84"/>
    <w:rsid w:val="008901DB"/>
    <w:rsid w:val="00890545"/>
    <w:rsid w:val="008905B7"/>
    <w:rsid w:val="00890657"/>
    <w:rsid w:val="0089075B"/>
    <w:rsid w:val="00890CC8"/>
    <w:rsid w:val="008915AE"/>
    <w:rsid w:val="008916D5"/>
    <w:rsid w:val="008916EA"/>
    <w:rsid w:val="0089181A"/>
    <w:rsid w:val="00891A08"/>
    <w:rsid w:val="00891A0D"/>
    <w:rsid w:val="00891B7A"/>
    <w:rsid w:val="00891BCC"/>
    <w:rsid w:val="00891BDA"/>
    <w:rsid w:val="00891C73"/>
    <w:rsid w:val="00891ECE"/>
    <w:rsid w:val="00891F52"/>
    <w:rsid w:val="00891F8B"/>
    <w:rsid w:val="00892077"/>
    <w:rsid w:val="00892506"/>
    <w:rsid w:val="008925C1"/>
    <w:rsid w:val="00892736"/>
    <w:rsid w:val="00892AFA"/>
    <w:rsid w:val="00892F23"/>
    <w:rsid w:val="008930A2"/>
    <w:rsid w:val="008930CD"/>
    <w:rsid w:val="008930E4"/>
    <w:rsid w:val="00893264"/>
    <w:rsid w:val="008932AE"/>
    <w:rsid w:val="008937A6"/>
    <w:rsid w:val="00893B29"/>
    <w:rsid w:val="00893CD3"/>
    <w:rsid w:val="00893CDE"/>
    <w:rsid w:val="00893D44"/>
    <w:rsid w:val="00893D87"/>
    <w:rsid w:val="008940EC"/>
    <w:rsid w:val="00894377"/>
    <w:rsid w:val="00894388"/>
    <w:rsid w:val="0089442E"/>
    <w:rsid w:val="00894478"/>
    <w:rsid w:val="008944B3"/>
    <w:rsid w:val="008945C0"/>
    <w:rsid w:val="008946F9"/>
    <w:rsid w:val="00894768"/>
    <w:rsid w:val="008947AB"/>
    <w:rsid w:val="008948D5"/>
    <w:rsid w:val="0089494A"/>
    <w:rsid w:val="00894C72"/>
    <w:rsid w:val="00894DCF"/>
    <w:rsid w:val="00894E2C"/>
    <w:rsid w:val="00894E8B"/>
    <w:rsid w:val="00894F33"/>
    <w:rsid w:val="008955FD"/>
    <w:rsid w:val="0089572B"/>
    <w:rsid w:val="00895B07"/>
    <w:rsid w:val="00895D13"/>
    <w:rsid w:val="00895D6D"/>
    <w:rsid w:val="00896082"/>
    <w:rsid w:val="008962B7"/>
    <w:rsid w:val="0089645A"/>
    <w:rsid w:val="0089658B"/>
    <w:rsid w:val="00896A69"/>
    <w:rsid w:val="00896C0B"/>
    <w:rsid w:val="00896D85"/>
    <w:rsid w:val="00896FA2"/>
    <w:rsid w:val="00896FF3"/>
    <w:rsid w:val="0089753B"/>
    <w:rsid w:val="00897AE3"/>
    <w:rsid w:val="00897D78"/>
    <w:rsid w:val="008A0148"/>
    <w:rsid w:val="008A0416"/>
    <w:rsid w:val="008A0568"/>
    <w:rsid w:val="008A0699"/>
    <w:rsid w:val="008A06FE"/>
    <w:rsid w:val="008A0A76"/>
    <w:rsid w:val="008A0B7A"/>
    <w:rsid w:val="008A0BD6"/>
    <w:rsid w:val="008A0C8F"/>
    <w:rsid w:val="008A0CBB"/>
    <w:rsid w:val="008A0D82"/>
    <w:rsid w:val="008A0EA7"/>
    <w:rsid w:val="008A0F02"/>
    <w:rsid w:val="008A14E3"/>
    <w:rsid w:val="008A1991"/>
    <w:rsid w:val="008A1BC7"/>
    <w:rsid w:val="008A1C51"/>
    <w:rsid w:val="008A1D87"/>
    <w:rsid w:val="008A1F5F"/>
    <w:rsid w:val="008A1F9B"/>
    <w:rsid w:val="008A2107"/>
    <w:rsid w:val="008A220F"/>
    <w:rsid w:val="008A2259"/>
    <w:rsid w:val="008A2477"/>
    <w:rsid w:val="008A26DA"/>
    <w:rsid w:val="008A297A"/>
    <w:rsid w:val="008A2A3A"/>
    <w:rsid w:val="008A2C1C"/>
    <w:rsid w:val="008A30A9"/>
    <w:rsid w:val="008A30DF"/>
    <w:rsid w:val="008A31B8"/>
    <w:rsid w:val="008A326C"/>
    <w:rsid w:val="008A3459"/>
    <w:rsid w:val="008A35A6"/>
    <w:rsid w:val="008A35C2"/>
    <w:rsid w:val="008A3A8E"/>
    <w:rsid w:val="008A3F66"/>
    <w:rsid w:val="008A4356"/>
    <w:rsid w:val="008A4738"/>
    <w:rsid w:val="008A493C"/>
    <w:rsid w:val="008A4ABC"/>
    <w:rsid w:val="008A516F"/>
    <w:rsid w:val="008A52D9"/>
    <w:rsid w:val="008A5438"/>
    <w:rsid w:val="008A5444"/>
    <w:rsid w:val="008A55F9"/>
    <w:rsid w:val="008A5658"/>
    <w:rsid w:val="008A5FED"/>
    <w:rsid w:val="008A6259"/>
    <w:rsid w:val="008A6433"/>
    <w:rsid w:val="008A6568"/>
    <w:rsid w:val="008A66BB"/>
    <w:rsid w:val="008A6A2F"/>
    <w:rsid w:val="008A70AE"/>
    <w:rsid w:val="008A7299"/>
    <w:rsid w:val="008A764C"/>
    <w:rsid w:val="008A773A"/>
    <w:rsid w:val="008A7794"/>
    <w:rsid w:val="008A77D4"/>
    <w:rsid w:val="008A7EB7"/>
    <w:rsid w:val="008B02E3"/>
    <w:rsid w:val="008B0D71"/>
    <w:rsid w:val="008B0DCC"/>
    <w:rsid w:val="008B0E45"/>
    <w:rsid w:val="008B0EAC"/>
    <w:rsid w:val="008B10EB"/>
    <w:rsid w:val="008B1276"/>
    <w:rsid w:val="008B1563"/>
    <w:rsid w:val="008B16DD"/>
    <w:rsid w:val="008B1784"/>
    <w:rsid w:val="008B1B09"/>
    <w:rsid w:val="008B1D72"/>
    <w:rsid w:val="008B1E69"/>
    <w:rsid w:val="008B1E6C"/>
    <w:rsid w:val="008B1F59"/>
    <w:rsid w:val="008B1FD3"/>
    <w:rsid w:val="008B2015"/>
    <w:rsid w:val="008B2097"/>
    <w:rsid w:val="008B2191"/>
    <w:rsid w:val="008B2368"/>
    <w:rsid w:val="008B24CB"/>
    <w:rsid w:val="008B2B8F"/>
    <w:rsid w:val="008B2CA5"/>
    <w:rsid w:val="008B2F32"/>
    <w:rsid w:val="008B31D8"/>
    <w:rsid w:val="008B3279"/>
    <w:rsid w:val="008B32C8"/>
    <w:rsid w:val="008B3597"/>
    <w:rsid w:val="008B3A38"/>
    <w:rsid w:val="008B3E58"/>
    <w:rsid w:val="008B3F00"/>
    <w:rsid w:val="008B3F1E"/>
    <w:rsid w:val="008B45CB"/>
    <w:rsid w:val="008B4706"/>
    <w:rsid w:val="008B4B59"/>
    <w:rsid w:val="008B4F5F"/>
    <w:rsid w:val="008B5367"/>
    <w:rsid w:val="008B53D0"/>
    <w:rsid w:val="008B54A5"/>
    <w:rsid w:val="008B5801"/>
    <w:rsid w:val="008B5B15"/>
    <w:rsid w:val="008B5B79"/>
    <w:rsid w:val="008B5E87"/>
    <w:rsid w:val="008B695D"/>
    <w:rsid w:val="008B6B0B"/>
    <w:rsid w:val="008B6E1E"/>
    <w:rsid w:val="008B7069"/>
    <w:rsid w:val="008B70E4"/>
    <w:rsid w:val="008B71DD"/>
    <w:rsid w:val="008B78B7"/>
    <w:rsid w:val="008B7961"/>
    <w:rsid w:val="008B7BCF"/>
    <w:rsid w:val="008B7EFB"/>
    <w:rsid w:val="008B7F35"/>
    <w:rsid w:val="008C0013"/>
    <w:rsid w:val="008C0272"/>
    <w:rsid w:val="008C02D7"/>
    <w:rsid w:val="008C070E"/>
    <w:rsid w:val="008C0731"/>
    <w:rsid w:val="008C0811"/>
    <w:rsid w:val="008C083D"/>
    <w:rsid w:val="008C0CAF"/>
    <w:rsid w:val="008C0D33"/>
    <w:rsid w:val="008C0DB6"/>
    <w:rsid w:val="008C0DD9"/>
    <w:rsid w:val="008C0E37"/>
    <w:rsid w:val="008C0F01"/>
    <w:rsid w:val="008C0F9A"/>
    <w:rsid w:val="008C0FB7"/>
    <w:rsid w:val="008C109A"/>
    <w:rsid w:val="008C1187"/>
    <w:rsid w:val="008C13E7"/>
    <w:rsid w:val="008C14FC"/>
    <w:rsid w:val="008C1533"/>
    <w:rsid w:val="008C1655"/>
    <w:rsid w:val="008C1663"/>
    <w:rsid w:val="008C170B"/>
    <w:rsid w:val="008C17A4"/>
    <w:rsid w:val="008C1868"/>
    <w:rsid w:val="008C18F5"/>
    <w:rsid w:val="008C1AAD"/>
    <w:rsid w:val="008C1C6C"/>
    <w:rsid w:val="008C1C9E"/>
    <w:rsid w:val="008C1CF5"/>
    <w:rsid w:val="008C1FCE"/>
    <w:rsid w:val="008C2089"/>
    <w:rsid w:val="008C21D7"/>
    <w:rsid w:val="008C23B9"/>
    <w:rsid w:val="008C2471"/>
    <w:rsid w:val="008C24DD"/>
    <w:rsid w:val="008C2590"/>
    <w:rsid w:val="008C25C9"/>
    <w:rsid w:val="008C26A7"/>
    <w:rsid w:val="008C297F"/>
    <w:rsid w:val="008C2A11"/>
    <w:rsid w:val="008C3133"/>
    <w:rsid w:val="008C31A1"/>
    <w:rsid w:val="008C34C2"/>
    <w:rsid w:val="008C3624"/>
    <w:rsid w:val="008C3C2E"/>
    <w:rsid w:val="008C3CE1"/>
    <w:rsid w:val="008C3F02"/>
    <w:rsid w:val="008C4051"/>
    <w:rsid w:val="008C453D"/>
    <w:rsid w:val="008C4634"/>
    <w:rsid w:val="008C481D"/>
    <w:rsid w:val="008C48CE"/>
    <w:rsid w:val="008C49C5"/>
    <w:rsid w:val="008C4A09"/>
    <w:rsid w:val="008C4AE9"/>
    <w:rsid w:val="008C4F13"/>
    <w:rsid w:val="008C4F5B"/>
    <w:rsid w:val="008C4F97"/>
    <w:rsid w:val="008C502C"/>
    <w:rsid w:val="008C509D"/>
    <w:rsid w:val="008C50CC"/>
    <w:rsid w:val="008C531F"/>
    <w:rsid w:val="008C5528"/>
    <w:rsid w:val="008C5943"/>
    <w:rsid w:val="008C59BE"/>
    <w:rsid w:val="008C5A31"/>
    <w:rsid w:val="008C5A45"/>
    <w:rsid w:val="008C5ADD"/>
    <w:rsid w:val="008C6076"/>
    <w:rsid w:val="008C6166"/>
    <w:rsid w:val="008C6171"/>
    <w:rsid w:val="008C6199"/>
    <w:rsid w:val="008C67E5"/>
    <w:rsid w:val="008C6884"/>
    <w:rsid w:val="008C68C6"/>
    <w:rsid w:val="008C699D"/>
    <w:rsid w:val="008C6B72"/>
    <w:rsid w:val="008C6E6B"/>
    <w:rsid w:val="008C71F2"/>
    <w:rsid w:val="008C720A"/>
    <w:rsid w:val="008C7AA1"/>
    <w:rsid w:val="008C7AB0"/>
    <w:rsid w:val="008D07EC"/>
    <w:rsid w:val="008D0926"/>
    <w:rsid w:val="008D0EAB"/>
    <w:rsid w:val="008D0EF0"/>
    <w:rsid w:val="008D0FCC"/>
    <w:rsid w:val="008D100B"/>
    <w:rsid w:val="008D1206"/>
    <w:rsid w:val="008D123A"/>
    <w:rsid w:val="008D13FA"/>
    <w:rsid w:val="008D14BE"/>
    <w:rsid w:val="008D14CD"/>
    <w:rsid w:val="008D15B8"/>
    <w:rsid w:val="008D1642"/>
    <w:rsid w:val="008D167B"/>
    <w:rsid w:val="008D1C06"/>
    <w:rsid w:val="008D1D67"/>
    <w:rsid w:val="008D1EAF"/>
    <w:rsid w:val="008D1F20"/>
    <w:rsid w:val="008D1F87"/>
    <w:rsid w:val="008D2064"/>
    <w:rsid w:val="008D2253"/>
    <w:rsid w:val="008D22DE"/>
    <w:rsid w:val="008D22E2"/>
    <w:rsid w:val="008D2399"/>
    <w:rsid w:val="008D262C"/>
    <w:rsid w:val="008D28E1"/>
    <w:rsid w:val="008D2928"/>
    <w:rsid w:val="008D297F"/>
    <w:rsid w:val="008D2A20"/>
    <w:rsid w:val="008D2A2A"/>
    <w:rsid w:val="008D2BD8"/>
    <w:rsid w:val="008D2BFC"/>
    <w:rsid w:val="008D2CD6"/>
    <w:rsid w:val="008D2DFE"/>
    <w:rsid w:val="008D2F81"/>
    <w:rsid w:val="008D3206"/>
    <w:rsid w:val="008D32FE"/>
    <w:rsid w:val="008D3777"/>
    <w:rsid w:val="008D380D"/>
    <w:rsid w:val="008D39C9"/>
    <w:rsid w:val="008D3A3F"/>
    <w:rsid w:val="008D3A9D"/>
    <w:rsid w:val="008D3F6F"/>
    <w:rsid w:val="008D4140"/>
    <w:rsid w:val="008D44A3"/>
    <w:rsid w:val="008D459B"/>
    <w:rsid w:val="008D4702"/>
    <w:rsid w:val="008D4A2F"/>
    <w:rsid w:val="008D4B57"/>
    <w:rsid w:val="008D4B9C"/>
    <w:rsid w:val="008D4DDC"/>
    <w:rsid w:val="008D4ED4"/>
    <w:rsid w:val="008D4F0F"/>
    <w:rsid w:val="008D503A"/>
    <w:rsid w:val="008D505B"/>
    <w:rsid w:val="008D5171"/>
    <w:rsid w:val="008D51CC"/>
    <w:rsid w:val="008D569B"/>
    <w:rsid w:val="008D5788"/>
    <w:rsid w:val="008D593F"/>
    <w:rsid w:val="008D59D9"/>
    <w:rsid w:val="008D59F1"/>
    <w:rsid w:val="008D5A11"/>
    <w:rsid w:val="008D5AC4"/>
    <w:rsid w:val="008D61D1"/>
    <w:rsid w:val="008D6231"/>
    <w:rsid w:val="008D62CA"/>
    <w:rsid w:val="008D652C"/>
    <w:rsid w:val="008D66CA"/>
    <w:rsid w:val="008D672A"/>
    <w:rsid w:val="008D68DB"/>
    <w:rsid w:val="008D6CA0"/>
    <w:rsid w:val="008D6E62"/>
    <w:rsid w:val="008D6E93"/>
    <w:rsid w:val="008D6F1C"/>
    <w:rsid w:val="008D7295"/>
    <w:rsid w:val="008D7379"/>
    <w:rsid w:val="008D7386"/>
    <w:rsid w:val="008D7558"/>
    <w:rsid w:val="008D756C"/>
    <w:rsid w:val="008D758F"/>
    <w:rsid w:val="008D766F"/>
    <w:rsid w:val="008D7D49"/>
    <w:rsid w:val="008D7EA0"/>
    <w:rsid w:val="008D7EBC"/>
    <w:rsid w:val="008D7FBE"/>
    <w:rsid w:val="008E04E2"/>
    <w:rsid w:val="008E0A58"/>
    <w:rsid w:val="008E0D28"/>
    <w:rsid w:val="008E0D7A"/>
    <w:rsid w:val="008E0E9C"/>
    <w:rsid w:val="008E0EB5"/>
    <w:rsid w:val="008E16E2"/>
    <w:rsid w:val="008E1784"/>
    <w:rsid w:val="008E21E8"/>
    <w:rsid w:val="008E21F7"/>
    <w:rsid w:val="008E2307"/>
    <w:rsid w:val="008E24F6"/>
    <w:rsid w:val="008E2681"/>
    <w:rsid w:val="008E2A4B"/>
    <w:rsid w:val="008E2BF1"/>
    <w:rsid w:val="008E2E1A"/>
    <w:rsid w:val="008E309A"/>
    <w:rsid w:val="008E342F"/>
    <w:rsid w:val="008E370A"/>
    <w:rsid w:val="008E3F8D"/>
    <w:rsid w:val="008E43C6"/>
    <w:rsid w:val="008E45FD"/>
    <w:rsid w:val="008E4609"/>
    <w:rsid w:val="008E4891"/>
    <w:rsid w:val="008E4AED"/>
    <w:rsid w:val="008E4CC7"/>
    <w:rsid w:val="008E5208"/>
    <w:rsid w:val="008E5584"/>
    <w:rsid w:val="008E573F"/>
    <w:rsid w:val="008E5C59"/>
    <w:rsid w:val="008E5C70"/>
    <w:rsid w:val="008E5D84"/>
    <w:rsid w:val="008E6078"/>
    <w:rsid w:val="008E63BD"/>
    <w:rsid w:val="008E66D3"/>
    <w:rsid w:val="008E6711"/>
    <w:rsid w:val="008E6A47"/>
    <w:rsid w:val="008E6B33"/>
    <w:rsid w:val="008E6EDF"/>
    <w:rsid w:val="008E73CB"/>
    <w:rsid w:val="008E748D"/>
    <w:rsid w:val="008E752B"/>
    <w:rsid w:val="008F08EA"/>
    <w:rsid w:val="008F0BD2"/>
    <w:rsid w:val="008F0D0D"/>
    <w:rsid w:val="008F13CA"/>
    <w:rsid w:val="008F1810"/>
    <w:rsid w:val="008F1928"/>
    <w:rsid w:val="008F196A"/>
    <w:rsid w:val="008F1AFC"/>
    <w:rsid w:val="008F20C1"/>
    <w:rsid w:val="008F20EB"/>
    <w:rsid w:val="008F2239"/>
    <w:rsid w:val="008F26D1"/>
    <w:rsid w:val="008F2D1F"/>
    <w:rsid w:val="008F2E1A"/>
    <w:rsid w:val="008F30D4"/>
    <w:rsid w:val="008F33FB"/>
    <w:rsid w:val="008F3574"/>
    <w:rsid w:val="008F3615"/>
    <w:rsid w:val="008F3A00"/>
    <w:rsid w:val="008F3BE3"/>
    <w:rsid w:val="008F3C76"/>
    <w:rsid w:val="008F408C"/>
    <w:rsid w:val="008F40C3"/>
    <w:rsid w:val="008F40CA"/>
    <w:rsid w:val="008F4790"/>
    <w:rsid w:val="008F4867"/>
    <w:rsid w:val="008F4CD7"/>
    <w:rsid w:val="008F4FC9"/>
    <w:rsid w:val="008F53E7"/>
    <w:rsid w:val="008F55B6"/>
    <w:rsid w:val="008F56C7"/>
    <w:rsid w:val="008F5AD9"/>
    <w:rsid w:val="008F5C4F"/>
    <w:rsid w:val="008F5D5E"/>
    <w:rsid w:val="008F5EC0"/>
    <w:rsid w:val="008F6157"/>
    <w:rsid w:val="008F61F5"/>
    <w:rsid w:val="008F62E6"/>
    <w:rsid w:val="008F66C8"/>
    <w:rsid w:val="008F6CCA"/>
    <w:rsid w:val="008F742C"/>
    <w:rsid w:val="008F74E3"/>
    <w:rsid w:val="008F7573"/>
    <w:rsid w:val="008F75A5"/>
    <w:rsid w:val="0090015D"/>
    <w:rsid w:val="00900C13"/>
    <w:rsid w:val="00900C52"/>
    <w:rsid w:val="00900EE0"/>
    <w:rsid w:val="00900F75"/>
    <w:rsid w:val="00901278"/>
    <w:rsid w:val="00901306"/>
    <w:rsid w:val="0090145E"/>
    <w:rsid w:val="00901641"/>
    <w:rsid w:val="00901931"/>
    <w:rsid w:val="00901D0C"/>
    <w:rsid w:val="00902016"/>
    <w:rsid w:val="009021B4"/>
    <w:rsid w:val="0090227F"/>
    <w:rsid w:val="00902324"/>
    <w:rsid w:val="009025AC"/>
    <w:rsid w:val="00902826"/>
    <w:rsid w:val="00902B4F"/>
    <w:rsid w:val="00902B66"/>
    <w:rsid w:val="00902C5B"/>
    <w:rsid w:val="00902DB5"/>
    <w:rsid w:val="00902E9A"/>
    <w:rsid w:val="00902EBC"/>
    <w:rsid w:val="00902F12"/>
    <w:rsid w:val="009030F1"/>
    <w:rsid w:val="009033DF"/>
    <w:rsid w:val="00903403"/>
    <w:rsid w:val="00903CC8"/>
    <w:rsid w:val="00903D79"/>
    <w:rsid w:val="00903DA1"/>
    <w:rsid w:val="009041A9"/>
    <w:rsid w:val="0090421F"/>
    <w:rsid w:val="00904486"/>
    <w:rsid w:val="009045E0"/>
    <w:rsid w:val="00904C33"/>
    <w:rsid w:val="00904D2E"/>
    <w:rsid w:val="00904D31"/>
    <w:rsid w:val="00904DB0"/>
    <w:rsid w:val="00904EA6"/>
    <w:rsid w:val="00905190"/>
    <w:rsid w:val="009051DE"/>
    <w:rsid w:val="009054B6"/>
    <w:rsid w:val="00905685"/>
    <w:rsid w:val="00905800"/>
    <w:rsid w:val="00905B46"/>
    <w:rsid w:val="00905D5C"/>
    <w:rsid w:val="0090603F"/>
    <w:rsid w:val="00906244"/>
    <w:rsid w:val="00906493"/>
    <w:rsid w:val="00906716"/>
    <w:rsid w:val="00906733"/>
    <w:rsid w:val="00906800"/>
    <w:rsid w:val="00906918"/>
    <w:rsid w:val="0090691A"/>
    <w:rsid w:val="00906A86"/>
    <w:rsid w:val="00906D13"/>
    <w:rsid w:val="00906E0F"/>
    <w:rsid w:val="0090718B"/>
    <w:rsid w:val="0090724C"/>
    <w:rsid w:val="00907438"/>
    <w:rsid w:val="00907873"/>
    <w:rsid w:val="009079CC"/>
    <w:rsid w:val="00907A40"/>
    <w:rsid w:val="00907C29"/>
    <w:rsid w:val="00907E9B"/>
    <w:rsid w:val="00907FB0"/>
    <w:rsid w:val="009101DA"/>
    <w:rsid w:val="0091028A"/>
    <w:rsid w:val="009104A7"/>
    <w:rsid w:val="00910566"/>
    <w:rsid w:val="00910594"/>
    <w:rsid w:val="00910A1C"/>
    <w:rsid w:val="00910A85"/>
    <w:rsid w:val="00910BF1"/>
    <w:rsid w:val="00910C40"/>
    <w:rsid w:val="00911047"/>
    <w:rsid w:val="0091146B"/>
    <w:rsid w:val="00911CAE"/>
    <w:rsid w:val="00911E7E"/>
    <w:rsid w:val="009121DF"/>
    <w:rsid w:val="00912418"/>
    <w:rsid w:val="0091250E"/>
    <w:rsid w:val="009128CA"/>
    <w:rsid w:val="00912BA0"/>
    <w:rsid w:val="00912BF8"/>
    <w:rsid w:val="00912D65"/>
    <w:rsid w:val="00912FA3"/>
    <w:rsid w:val="009131C9"/>
    <w:rsid w:val="009132A2"/>
    <w:rsid w:val="009132EA"/>
    <w:rsid w:val="0091342F"/>
    <w:rsid w:val="009135E9"/>
    <w:rsid w:val="00913833"/>
    <w:rsid w:val="0091390D"/>
    <w:rsid w:val="00913951"/>
    <w:rsid w:val="009139B8"/>
    <w:rsid w:val="00913AA9"/>
    <w:rsid w:val="009140DD"/>
    <w:rsid w:val="009141F6"/>
    <w:rsid w:val="00914322"/>
    <w:rsid w:val="00914356"/>
    <w:rsid w:val="00914489"/>
    <w:rsid w:val="00914552"/>
    <w:rsid w:val="009147DD"/>
    <w:rsid w:val="00914815"/>
    <w:rsid w:val="00914890"/>
    <w:rsid w:val="00914BA9"/>
    <w:rsid w:val="00914CA1"/>
    <w:rsid w:val="00914FD4"/>
    <w:rsid w:val="00915265"/>
    <w:rsid w:val="0091535F"/>
    <w:rsid w:val="00915476"/>
    <w:rsid w:val="00915C70"/>
    <w:rsid w:val="00915DAF"/>
    <w:rsid w:val="00916226"/>
    <w:rsid w:val="0091625B"/>
    <w:rsid w:val="0091664D"/>
    <w:rsid w:val="009166F4"/>
    <w:rsid w:val="009167AD"/>
    <w:rsid w:val="00916816"/>
    <w:rsid w:val="00916824"/>
    <w:rsid w:val="00916AE3"/>
    <w:rsid w:val="00916B15"/>
    <w:rsid w:val="00916F0E"/>
    <w:rsid w:val="00916FCB"/>
    <w:rsid w:val="0091733C"/>
    <w:rsid w:val="00917488"/>
    <w:rsid w:val="00917528"/>
    <w:rsid w:val="00917621"/>
    <w:rsid w:val="009177D9"/>
    <w:rsid w:val="009178AE"/>
    <w:rsid w:val="00917982"/>
    <w:rsid w:val="00917BA8"/>
    <w:rsid w:val="00917C16"/>
    <w:rsid w:val="00917C7C"/>
    <w:rsid w:val="00917D83"/>
    <w:rsid w:val="00917E58"/>
    <w:rsid w:val="00917E63"/>
    <w:rsid w:val="00917EA1"/>
    <w:rsid w:val="00920331"/>
    <w:rsid w:val="009209B6"/>
    <w:rsid w:val="00920D4A"/>
    <w:rsid w:val="00920D51"/>
    <w:rsid w:val="00921052"/>
    <w:rsid w:val="00921191"/>
    <w:rsid w:val="009213DF"/>
    <w:rsid w:val="009213F8"/>
    <w:rsid w:val="009216F5"/>
    <w:rsid w:val="009217D4"/>
    <w:rsid w:val="00921859"/>
    <w:rsid w:val="0092193B"/>
    <w:rsid w:val="00921ECA"/>
    <w:rsid w:val="0092204A"/>
    <w:rsid w:val="00922776"/>
    <w:rsid w:val="009227B9"/>
    <w:rsid w:val="009228C1"/>
    <w:rsid w:val="00922C32"/>
    <w:rsid w:val="00922F16"/>
    <w:rsid w:val="00922F25"/>
    <w:rsid w:val="009234E4"/>
    <w:rsid w:val="009235CC"/>
    <w:rsid w:val="00923631"/>
    <w:rsid w:val="009236F3"/>
    <w:rsid w:val="00923A6E"/>
    <w:rsid w:val="00923BB3"/>
    <w:rsid w:val="00923DB6"/>
    <w:rsid w:val="00923F01"/>
    <w:rsid w:val="0092417F"/>
    <w:rsid w:val="0092425F"/>
    <w:rsid w:val="009242AF"/>
    <w:rsid w:val="009243C8"/>
    <w:rsid w:val="00924720"/>
    <w:rsid w:val="009248D2"/>
    <w:rsid w:val="009248D9"/>
    <w:rsid w:val="00924B6C"/>
    <w:rsid w:val="00924C6B"/>
    <w:rsid w:val="00924DD7"/>
    <w:rsid w:val="009250D1"/>
    <w:rsid w:val="00925267"/>
    <w:rsid w:val="0092542C"/>
    <w:rsid w:val="009254AC"/>
    <w:rsid w:val="009257E5"/>
    <w:rsid w:val="00925D3F"/>
    <w:rsid w:val="00925D59"/>
    <w:rsid w:val="00925E0D"/>
    <w:rsid w:val="00925FE2"/>
    <w:rsid w:val="009262DA"/>
    <w:rsid w:val="009264F8"/>
    <w:rsid w:val="00926602"/>
    <w:rsid w:val="00926732"/>
    <w:rsid w:val="009269C3"/>
    <w:rsid w:val="009269F4"/>
    <w:rsid w:val="00926CFC"/>
    <w:rsid w:val="009273EC"/>
    <w:rsid w:val="0092747E"/>
    <w:rsid w:val="009279F4"/>
    <w:rsid w:val="00927BDF"/>
    <w:rsid w:val="00927DB6"/>
    <w:rsid w:val="00927FD6"/>
    <w:rsid w:val="009300B0"/>
    <w:rsid w:val="0093037A"/>
    <w:rsid w:val="0093073D"/>
    <w:rsid w:val="00930876"/>
    <w:rsid w:val="00930966"/>
    <w:rsid w:val="00930982"/>
    <w:rsid w:val="00930DBD"/>
    <w:rsid w:val="009310CA"/>
    <w:rsid w:val="009311B9"/>
    <w:rsid w:val="00931263"/>
    <w:rsid w:val="009313A2"/>
    <w:rsid w:val="009313D4"/>
    <w:rsid w:val="0093147E"/>
    <w:rsid w:val="00931512"/>
    <w:rsid w:val="00931665"/>
    <w:rsid w:val="009316BD"/>
    <w:rsid w:val="0093185D"/>
    <w:rsid w:val="009318DD"/>
    <w:rsid w:val="0093190D"/>
    <w:rsid w:val="00932042"/>
    <w:rsid w:val="0093214E"/>
    <w:rsid w:val="009322BA"/>
    <w:rsid w:val="00932416"/>
    <w:rsid w:val="009326FE"/>
    <w:rsid w:val="009327AA"/>
    <w:rsid w:val="00932803"/>
    <w:rsid w:val="00932BBC"/>
    <w:rsid w:val="00932BD2"/>
    <w:rsid w:val="00932FC3"/>
    <w:rsid w:val="009330C0"/>
    <w:rsid w:val="00933125"/>
    <w:rsid w:val="00933311"/>
    <w:rsid w:val="00933A30"/>
    <w:rsid w:val="00933C6E"/>
    <w:rsid w:val="0093404F"/>
    <w:rsid w:val="00934204"/>
    <w:rsid w:val="009343B9"/>
    <w:rsid w:val="0093449E"/>
    <w:rsid w:val="009345CF"/>
    <w:rsid w:val="00934956"/>
    <w:rsid w:val="00934A94"/>
    <w:rsid w:val="00934CAA"/>
    <w:rsid w:val="00934EBA"/>
    <w:rsid w:val="00934EC0"/>
    <w:rsid w:val="009354F6"/>
    <w:rsid w:val="0093550A"/>
    <w:rsid w:val="00935625"/>
    <w:rsid w:val="0093575B"/>
    <w:rsid w:val="009359B6"/>
    <w:rsid w:val="00935A0A"/>
    <w:rsid w:val="00935E0A"/>
    <w:rsid w:val="00935E57"/>
    <w:rsid w:val="00935F7E"/>
    <w:rsid w:val="00936073"/>
    <w:rsid w:val="009362F4"/>
    <w:rsid w:val="0093678B"/>
    <w:rsid w:val="00936AA1"/>
    <w:rsid w:val="00936B06"/>
    <w:rsid w:val="009373F1"/>
    <w:rsid w:val="00937584"/>
    <w:rsid w:val="009377E8"/>
    <w:rsid w:val="0093780D"/>
    <w:rsid w:val="00937933"/>
    <w:rsid w:val="00937A8C"/>
    <w:rsid w:val="00937F2B"/>
    <w:rsid w:val="00940188"/>
    <w:rsid w:val="0094021C"/>
    <w:rsid w:val="0094056C"/>
    <w:rsid w:val="009408FF"/>
    <w:rsid w:val="00940A7F"/>
    <w:rsid w:val="00940C6A"/>
    <w:rsid w:val="00941216"/>
    <w:rsid w:val="00941310"/>
    <w:rsid w:val="009415BF"/>
    <w:rsid w:val="00941777"/>
    <w:rsid w:val="00941EC0"/>
    <w:rsid w:val="00942554"/>
    <w:rsid w:val="009426D6"/>
    <w:rsid w:val="009427AC"/>
    <w:rsid w:val="00942A89"/>
    <w:rsid w:val="00942AF9"/>
    <w:rsid w:val="00942DE7"/>
    <w:rsid w:val="00943516"/>
    <w:rsid w:val="0094357D"/>
    <w:rsid w:val="009435D4"/>
    <w:rsid w:val="00943C22"/>
    <w:rsid w:val="00943C8E"/>
    <w:rsid w:val="00943CD5"/>
    <w:rsid w:val="00943DE9"/>
    <w:rsid w:val="00943E73"/>
    <w:rsid w:val="00944129"/>
    <w:rsid w:val="0094422E"/>
    <w:rsid w:val="0094435F"/>
    <w:rsid w:val="009444E1"/>
    <w:rsid w:val="009446C2"/>
    <w:rsid w:val="00944766"/>
    <w:rsid w:val="00944AE8"/>
    <w:rsid w:val="00945031"/>
    <w:rsid w:val="0094516A"/>
    <w:rsid w:val="009451F6"/>
    <w:rsid w:val="0094526A"/>
    <w:rsid w:val="009452EC"/>
    <w:rsid w:val="009454EA"/>
    <w:rsid w:val="00945520"/>
    <w:rsid w:val="00945702"/>
    <w:rsid w:val="009458C8"/>
    <w:rsid w:val="00945CD6"/>
    <w:rsid w:val="0094639E"/>
    <w:rsid w:val="00946769"/>
    <w:rsid w:val="00946AE3"/>
    <w:rsid w:val="00946CCF"/>
    <w:rsid w:val="00946D5C"/>
    <w:rsid w:val="00946E39"/>
    <w:rsid w:val="00947087"/>
    <w:rsid w:val="0094712C"/>
    <w:rsid w:val="009473CC"/>
    <w:rsid w:val="0094745F"/>
    <w:rsid w:val="0094749B"/>
    <w:rsid w:val="009476FE"/>
    <w:rsid w:val="00947B36"/>
    <w:rsid w:val="00947D6F"/>
    <w:rsid w:val="00947FC0"/>
    <w:rsid w:val="009503E6"/>
    <w:rsid w:val="009504C7"/>
    <w:rsid w:val="0095053A"/>
    <w:rsid w:val="009506E3"/>
    <w:rsid w:val="009506EA"/>
    <w:rsid w:val="00950C1B"/>
    <w:rsid w:val="00950D7A"/>
    <w:rsid w:val="00951092"/>
    <w:rsid w:val="0095120B"/>
    <w:rsid w:val="00951350"/>
    <w:rsid w:val="009513AD"/>
    <w:rsid w:val="0095175D"/>
    <w:rsid w:val="00951CEB"/>
    <w:rsid w:val="00951D7A"/>
    <w:rsid w:val="00951E87"/>
    <w:rsid w:val="00952495"/>
    <w:rsid w:val="00952887"/>
    <w:rsid w:val="00952A01"/>
    <w:rsid w:val="00952BAD"/>
    <w:rsid w:val="00952DBC"/>
    <w:rsid w:val="00952DD0"/>
    <w:rsid w:val="00952EA8"/>
    <w:rsid w:val="00953044"/>
    <w:rsid w:val="009531DF"/>
    <w:rsid w:val="0095336B"/>
    <w:rsid w:val="009535A9"/>
    <w:rsid w:val="00953691"/>
    <w:rsid w:val="00953782"/>
    <w:rsid w:val="009537A5"/>
    <w:rsid w:val="00953982"/>
    <w:rsid w:val="009539EC"/>
    <w:rsid w:val="00953A33"/>
    <w:rsid w:val="00953C9F"/>
    <w:rsid w:val="00954467"/>
    <w:rsid w:val="00954484"/>
    <w:rsid w:val="009544DC"/>
    <w:rsid w:val="00954584"/>
    <w:rsid w:val="00954758"/>
    <w:rsid w:val="0095475F"/>
    <w:rsid w:val="00954806"/>
    <w:rsid w:val="00954961"/>
    <w:rsid w:val="00954974"/>
    <w:rsid w:val="00954A77"/>
    <w:rsid w:val="00954AE6"/>
    <w:rsid w:val="00954C6F"/>
    <w:rsid w:val="00954EAE"/>
    <w:rsid w:val="0095525E"/>
    <w:rsid w:val="009553F4"/>
    <w:rsid w:val="00955719"/>
    <w:rsid w:val="0095576B"/>
    <w:rsid w:val="009557D9"/>
    <w:rsid w:val="00955908"/>
    <w:rsid w:val="00955D8F"/>
    <w:rsid w:val="00955DB8"/>
    <w:rsid w:val="00955DE0"/>
    <w:rsid w:val="009560C7"/>
    <w:rsid w:val="009561BF"/>
    <w:rsid w:val="00956239"/>
    <w:rsid w:val="00956394"/>
    <w:rsid w:val="00956753"/>
    <w:rsid w:val="009568BA"/>
    <w:rsid w:val="009568E4"/>
    <w:rsid w:val="009568F2"/>
    <w:rsid w:val="00956BE0"/>
    <w:rsid w:val="00956C3E"/>
    <w:rsid w:val="00956DD7"/>
    <w:rsid w:val="00956E2E"/>
    <w:rsid w:val="00956EC9"/>
    <w:rsid w:val="00956F82"/>
    <w:rsid w:val="00957671"/>
    <w:rsid w:val="00960272"/>
    <w:rsid w:val="00960316"/>
    <w:rsid w:val="009603D2"/>
    <w:rsid w:val="00960A62"/>
    <w:rsid w:val="00960B56"/>
    <w:rsid w:val="00960C32"/>
    <w:rsid w:val="00960CD2"/>
    <w:rsid w:val="00960DC1"/>
    <w:rsid w:val="00960DC8"/>
    <w:rsid w:val="00960FE4"/>
    <w:rsid w:val="0096106B"/>
    <w:rsid w:val="00961120"/>
    <w:rsid w:val="0096125E"/>
    <w:rsid w:val="0096144F"/>
    <w:rsid w:val="00961561"/>
    <w:rsid w:val="009616E8"/>
    <w:rsid w:val="00961879"/>
    <w:rsid w:val="00961B74"/>
    <w:rsid w:val="00961BAF"/>
    <w:rsid w:val="00961FA7"/>
    <w:rsid w:val="00962175"/>
    <w:rsid w:val="009621BA"/>
    <w:rsid w:val="00962413"/>
    <w:rsid w:val="00962615"/>
    <w:rsid w:val="00962B2A"/>
    <w:rsid w:val="00962C0A"/>
    <w:rsid w:val="00962D47"/>
    <w:rsid w:val="00962F1F"/>
    <w:rsid w:val="00963349"/>
    <w:rsid w:val="00963522"/>
    <w:rsid w:val="009637A9"/>
    <w:rsid w:val="00963A6D"/>
    <w:rsid w:val="00963C10"/>
    <w:rsid w:val="00964031"/>
    <w:rsid w:val="009641E8"/>
    <w:rsid w:val="009643A2"/>
    <w:rsid w:val="0096459F"/>
    <w:rsid w:val="009646EF"/>
    <w:rsid w:val="00964C9C"/>
    <w:rsid w:val="00964D77"/>
    <w:rsid w:val="00964DA8"/>
    <w:rsid w:val="00964FC7"/>
    <w:rsid w:val="009650FC"/>
    <w:rsid w:val="009651DE"/>
    <w:rsid w:val="0096528B"/>
    <w:rsid w:val="009655FF"/>
    <w:rsid w:val="00965C55"/>
    <w:rsid w:val="00965C7D"/>
    <w:rsid w:val="00965E42"/>
    <w:rsid w:val="00965EEA"/>
    <w:rsid w:val="0096617E"/>
    <w:rsid w:val="0096633B"/>
    <w:rsid w:val="0096646B"/>
    <w:rsid w:val="009665EF"/>
    <w:rsid w:val="009665F6"/>
    <w:rsid w:val="0096670E"/>
    <w:rsid w:val="009667EB"/>
    <w:rsid w:val="00966908"/>
    <w:rsid w:val="0096691F"/>
    <w:rsid w:val="00966B6A"/>
    <w:rsid w:val="00966BBE"/>
    <w:rsid w:val="00966D74"/>
    <w:rsid w:val="00966DD4"/>
    <w:rsid w:val="00966EE9"/>
    <w:rsid w:val="0096707E"/>
    <w:rsid w:val="0096726F"/>
    <w:rsid w:val="009673B1"/>
    <w:rsid w:val="0096756B"/>
    <w:rsid w:val="009677C5"/>
    <w:rsid w:val="00967B07"/>
    <w:rsid w:val="00967DDC"/>
    <w:rsid w:val="00967ECE"/>
    <w:rsid w:val="00967F04"/>
    <w:rsid w:val="009700B3"/>
    <w:rsid w:val="009701CC"/>
    <w:rsid w:val="00970283"/>
    <w:rsid w:val="009708B7"/>
    <w:rsid w:val="00971498"/>
    <w:rsid w:val="0097169F"/>
    <w:rsid w:val="00971833"/>
    <w:rsid w:val="00971989"/>
    <w:rsid w:val="00971B15"/>
    <w:rsid w:val="00971F8B"/>
    <w:rsid w:val="00971FE5"/>
    <w:rsid w:val="009721E7"/>
    <w:rsid w:val="00972766"/>
    <w:rsid w:val="00972805"/>
    <w:rsid w:val="00972833"/>
    <w:rsid w:val="009729F4"/>
    <w:rsid w:val="00972D0E"/>
    <w:rsid w:val="00972D24"/>
    <w:rsid w:val="00972D50"/>
    <w:rsid w:val="0097318E"/>
    <w:rsid w:val="009731D2"/>
    <w:rsid w:val="00973534"/>
    <w:rsid w:val="00973568"/>
    <w:rsid w:val="009738AB"/>
    <w:rsid w:val="00973928"/>
    <w:rsid w:val="00973B77"/>
    <w:rsid w:val="00973BB3"/>
    <w:rsid w:val="00973BE9"/>
    <w:rsid w:val="00973EBA"/>
    <w:rsid w:val="00974001"/>
    <w:rsid w:val="009742DE"/>
    <w:rsid w:val="009743E4"/>
    <w:rsid w:val="00974419"/>
    <w:rsid w:val="00974486"/>
    <w:rsid w:val="0097460B"/>
    <w:rsid w:val="009748B0"/>
    <w:rsid w:val="009748F8"/>
    <w:rsid w:val="00974907"/>
    <w:rsid w:val="00974B79"/>
    <w:rsid w:val="00974C2C"/>
    <w:rsid w:val="00974C9C"/>
    <w:rsid w:val="00974D05"/>
    <w:rsid w:val="00974F79"/>
    <w:rsid w:val="0097511B"/>
    <w:rsid w:val="0097512B"/>
    <w:rsid w:val="00975242"/>
    <w:rsid w:val="0097557D"/>
    <w:rsid w:val="00975790"/>
    <w:rsid w:val="00975C6B"/>
    <w:rsid w:val="00975D3B"/>
    <w:rsid w:val="00975FF3"/>
    <w:rsid w:val="00976167"/>
    <w:rsid w:val="009762E0"/>
    <w:rsid w:val="0097631C"/>
    <w:rsid w:val="00976389"/>
    <w:rsid w:val="0097641F"/>
    <w:rsid w:val="009770A3"/>
    <w:rsid w:val="00977122"/>
    <w:rsid w:val="00977250"/>
    <w:rsid w:val="0097728D"/>
    <w:rsid w:val="009773B9"/>
    <w:rsid w:val="009775D0"/>
    <w:rsid w:val="00977705"/>
    <w:rsid w:val="00977A20"/>
    <w:rsid w:val="00977BE2"/>
    <w:rsid w:val="00977C78"/>
    <w:rsid w:val="00977D2F"/>
    <w:rsid w:val="00977E2B"/>
    <w:rsid w:val="00977E4F"/>
    <w:rsid w:val="00977E58"/>
    <w:rsid w:val="00977ED8"/>
    <w:rsid w:val="00977FDE"/>
    <w:rsid w:val="00980011"/>
    <w:rsid w:val="009800DE"/>
    <w:rsid w:val="00980449"/>
    <w:rsid w:val="009806BE"/>
    <w:rsid w:val="00980A31"/>
    <w:rsid w:val="00980A84"/>
    <w:rsid w:val="00980E1D"/>
    <w:rsid w:val="00980F4F"/>
    <w:rsid w:val="0098108B"/>
    <w:rsid w:val="0098110A"/>
    <w:rsid w:val="009812A9"/>
    <w:rsid w:val="00981420"/>
    <w:rsid w:val="009815AB"/>
    <w:rsid w:val="0098170F"/>
    <w:rsid w:val="009817C5"/>
    <w:rsid w:val="009818DE"/>
    <w:rsid w:val="0098190C"/>
    <w:rsid w:val="00981B8D"/>
    <w:rsid w:val="00981BF0"/>
    <w:rsid w:val="00981E58"/>
    <w:rsid w:val="00982190"/>
    <w:rsid w:val="00982233"/>
    <w:rsid w:val="00982605"/>
    <w:rsid w:val="00982636"/>
    <w:rsid w:val="0098269E"/>
    <w:rsid w:val="0098274E"/>
    <w:rsid w:val="00982E48"/>
    <w:rsid w:val="009830E3"/>
    <w:rsid w:val="009832B7"/>
    <w:rsid w:val="00983349"/>
    <w:rsid w:val="00983555"/>
    <w:rsid w:val="009835CF"/>
    <w:rsid w:val="009835DD"/>
    <w:rsid w:val="0098362E"/>
    <w:rsid w:val="00983932"/>
    <w:rsid w:val="009839E6"/>
    <w:rsid w:val="00983B03"/>
    <w:rsid w:val="00983B16"/>
    <w:rsid w:val="00983DF6"/>
    <w:rsid w:val="00983EF0"/>
    <w:rsid w:val="00983F3E"/>
    <w:rsid w:val="0098434F"/>
    <w:rsid w:val="00984B70"/>
    <w:rsid w:val="00984B7E"/>
    <w:rsid w:val="00984BF8"/>
    <w:rsid w:val="00984E09"/>
    <w:rsid w:val="00984F74"/>
    <w:rsid w:val="00984FE3"/>
    <w:rsid w:val="0098525B"/>
    <w:rsid w:val="00985275"/>
    <w:rsid w:val="00985379"/>
    <w:rsid w:val="009855DF"/>
    <w:rsid w:val="009856AB"/>
    <w:rsid w:val="009859D3"/>
    <w:rsid w:val="00985BE2"/>
    <w:rsid w:val="00985C1E"/>
    <w:rsid w:val="00985C94"/>
    <w:rsid w:val="00985F16"/>
    <w:rsid w:val="00985F9C"/>
    <w:rsid w:val="0098657E"/>
    <w:rsid w:val="00986632"/>
    <w:rsid w:val="00986C30"/>
    <w:rsid w:val="00986CE9"/>
    <w:rsid w:val="00986EA5"/>
    <w:rsid w:val="0098713A"/>
    <w:rsid w:val="00987235"/>
    <w:rsid w:val="009872C7"/>
    <w:rsid w:val="00987403"/>
    <w:rsid w:val="00987447"/>
    <w:rsid w:val="0098754A"/>
    <w:rsid w:val="009875CE"/>
    <w:rsid w:val="00987A47"/>
    <w:rsid w:val="00987A8B"/>
    <w:rsid w:val="00987BCF"/>
    <w:rsid w:val="00987C28"/>
    <w:rsid w:val="00987D5D"/>
    <w:rsid w:val="00987D67"/>
    <w:rsid w:val="00987FB9"/>
    <w:rsid w:val="009900C7"/>
    <w:rsid w:val="009901C7"/>
    <w:rsid w:val="00990219"/>
    <w:rsid w:val="0099039D"/>
    <w:rsid w:val="009903B3"/>
    <w:rsid w:val="0099055A"/>
    <w:rsid w:val="0099088B"/>
    <w:rsid w:val="00990B23"/>
    <w:rsid w:val="00990B2D"/>
    <w:rsid w:val="0099104F"/>
    <w:rsid w:val="0099108B"/>
    <w:rsid w:val="00991279"/>
    <w:rsid w:val="009914E7"/>
    <w:rsid w:val="00991968"/>
    <w:rsid w:val="00991A7A"/>
    <w:rsid w:val="00991B82"/>
    <w:rsid w:val="00991D0D"/>
    <w:rsid w:val="00991D16"/>
    <w:rsid w:val="00991F3F"/>
    <w:rsid w:val="00992353"/>
    <w:rsid w:val="00992491"/>
    <w:rsid w:val="00992563"/>
    <w:rsid w:val="00992786"/>
    <w:rsid w:val="00992961"/>
    <w:rsid w:val="00993051"/>
    <w:rsid w:val="009930B5"/>
    <w:rsid w:val="00993152"/>
    <w:rsid w:val="00993171"/>
    <w:rsid w:val="009931B6"/>
    <w:rsid w:val="0099325A"/>
    <w:rsid w:val="00993278"/>
    <w:rsid w:val="00993591"/>
    <w:rsid w:val="0099360C"/>
    <w:rsid w:val="0099367F"/>
    <w:rsid w:val="009936A4"/>
    <w:rsid w:val="00993BB6"/>
    <w:rsid w:val="00993DC6"/>
    <w:rsid w:val="00993F27"/>
    <w:rsid w:val="0099424A"/>
    <w:rsid w:val="009942FD"/>
    <w:rsid w:val="0099435A"/>
    <w:rsid w:val="00994442"/>
    <w:rsid w:val="009944B5"/>
    <w:rsid w:val="0099483B"/>
    <w:rsid w:val="00994A12"/>
    <w:rsid w:val="00994AF7"/>
    <w:rsid w:val="00994BB6"/>
    <w:rsid w:val="00994DF3"/>
    <w:rsid w:val="009950D5"/>
    <w:rsid w:val="00995155"/>
    <w:rsid w:val="00995231"/>
    <w:rsid w:val="00995608"/>
    <w:rsid w:val="00995734"/>
    <w:rsid w:val="009959C8"/>
    <w:rsid w:val="00995E0D"/>
    <w:rsid w:val="00996A86"/>
    <w:rsid w:val="00996C53"/>
    <w:rsid w:val="00996E68"/>
    <w:rsid w:val="00996E87"/>
    <w:rsid w:val="00997110"/>
    <w:rsid w:val="00997303"/>
    <w:rsid w:val="0099739C"/>
    <w:rsid w:val="009976F5"/>
    <w:rsid w:val="00997A7E"/>
    <w:rsid w:val="00997B05"/>
    <w:rsid w:val="00997B57"/>
    <w:rsid w:val="00997CE2"/>
    <w:rsid w:val="00997D35"/>
    <w:rsid w:val="009A015E"/>
    <w:rsid w:val="009A01E0"/>
    <w:rsid w:val="009A0573"/>
    <w:rsid w:val="009A0581"/>
    <w:rsid w:val="009A05DB"/>
    <w:rsid w:val="009A0668"/>
    <w:rsid w:val="009A07D8"/>
    <w:rsid w:val="009A0B0D"/>
    <w:rsid w:val="009A0D70"/>
    <w:rsid w:val="009A0E09"/>
    <w:rsid w:val="009A0F1D"/>
    <w:rsid w:val="009A1459"/>
    <w:rsid w:val="009A16B6"/>
    <w:rsid w:val="009A1745"/>
    <w:rsid w:val="009A1768"/>
    <w:rsid w:val="009A1799"/>
    <w:rsid w:val="009A182E"/>
    <w:rsid w:val="009A1C9C"/>
    <w:rsid w:val="009A27DC"/>
    <w:rsid w:val="009A2871"/>
    <w:rsid w:val="009A2A06"/>
    <w:rsid w:val="009A2BD7"/>
    <w:rsid w:val="009A2DD0"/>
    <w:rsid w:val="009A3026"/>
    <w:rsid w:val="009A3303"/>
    <w:rsid w:val="009A33CA"/>
    <w:rsid w:val="009A42F5"/>
    <w:rsid w:val="009A4949"/>
    <w:rsid w:val="009A4A83"/>
    <w:rsid w:val="009A4D61"/>
    <w:rsid w:val="009A4DDD"/>
    <w:rsid w:val="009A4F21"/>
    <w:rsid w:val="009A50CB"/>
    <w:rsid w:val="009A5410"/>
    <w:rsid w:val="009A5475"/>
    <w:rsid w:val="009A5A33"/>
    <w:rsid w:val="009A5B94"/>
    <w:rsid w:val="009A604B"/>
    <w:rsid w:val="009A6150"/>
    <w:rsid w:val="009A617C"/>
    <w:rsid w:val="009A6B36"/>
    <w:rsid w:val="009A6F3C"/>
    <w:rsid w:val="009A7247"/>
    <w:rsid w:val="009A742D"/>
    <w:rsid w:val="009A7432"/>
    <w:rsid w:val="009A76B9"/>
    <w:rsid w:val="009A7743"/>
    <w:rsid w:val="009A797A"/>
    <w:rsid w:val="009A7C62"/>
    <w:rsid w:val="009A7CBF"/>
    <w:rsid w:val="009A7DA7"/>
    <w:rsid w:val="009A7DEF"/>
    <w:rsid w:val="009A7E97"/>
    <w:rsid w:val="009A7FEF"/>
    <w:rsid w:val="009B0810"/>
    <w:rsid w:val="009B0ADE"/>
    <w:rsid w:val="009B1422"/>
    <w:rsid w:val="009B1482"/>
    <w:rsid w:val="009B19BE"/>
    <w:rsid w:val="009B1C77"/>
    <w:rsid w:val="009B1CD3"/>
    <w:rsid w:val="009B1DBE"/>
    <w:rsid w:val="009B222A"/>
    <w:rsid w:val="009B2421"/>
    <w:rsid w:val="009B2480"/>
    <w:rsid w:val="009B2670"/>
    <w:rsid w:val="009B2758"/>
    <w:rsid w:val="009B28E6"/>
    <w:rsid w:val="009B2CFC"/>
    <w:rsid w:val="009B2E3C"/>
    <w:rsid w:val="009B323C"/>
    <w:rsid w:val="009B3285"/>
    <w:rsid w:val="009B33E1"/>
    <w:rsid w:val="009B368C"/>
    <w:rsid w:val="009B3934"/>
    <w:rsid w:val="009B394B"/>
    <w:rsid w:val="009B3A5E"/>
    <w:rsid w:val="009B4081"/>
    <w:rsid w:val="009B40E1"/>
    <w:rsid w:val="009B4126"/>
    <w:rsid w:val="009B416F"/>
    <w:rsid w:val="009B41E6"/>
    <w:rsid w:val="009B4630"/>
    <w:rsid w:val="009B467D"/>
    <w:rsid w:val="009B4867"/>
    <w:rsid w:val="009B48AB"/>
    <w:rsid w:val="009B4B75"/>
    <w:rsid w:val="009B4BE4"/>
    <w:rsid w:val="009B4CAE"/>
    <w:rsid w:val="009B4D28"/>
    <w:rsid w:val="009B4EB7"/>
    <w:rsid w:val="009B5073"/>
    <w:rsid w:val="009B5122"/>
    <w:rsid w:val="009B58CD"/>
    <w:rsid w:val="009B591F"/>
    <w:rsid w:val="009B664B"/>
    <w:rsid w:val="009B68D6"/>
    <w:rsid w:val="009B6F3B"/>
    <w:rsid w:val="009B7005"/>
    <w:rsid w:val="009B7110"/>
    <w:rsid w:val="009B71CE"/>
    <w:rsid w:val="009B7AC1"/>
    <w:rsid w:val="009B7C41"/>
    <w:rsid w:val="009B7C9C"/>
    <w:rsid w:val="009B7D4F"/>
    <w:rsid w:val="009B7D53"/>
    <w:rsid w:val="009B7EFE"/>
    <w:rsid w:val="009B7FEA"/>
    <w:rsid w:val="009C02E4"/>
    <w:rsid w:val="009C0397"/>
    <w:rsid w:val="009C0409"/>
    <w:rsid w:val="009C05A8"/>
    <w:rsid w:val="009C0645"/>
    <w:rsid w:val="009C06BF"/>
    <w:rsid w:val="009C0A58"/>
    <w:rsid w:val="009C1002"/>
    <w:rsid w:val="009C1392"/>
    <w:rsid w:val="009C146D"/>
    <w:rsid w:val="009C155F"/>
    <w:rsid w:val="009C183B"/>
    <w:rsid w:val="009C19BB"/>
    <w:rsid w:val="009C1B17"/>
    <w:rsid w:val="009C20CE"/>
    <w:rsid w:val="009C217A"/>
    <w:rsid w:val="009C2B2A"/>
    <w:rsid w:val="009C2BBC"/>
    <w:rsid w:val="009C2E0B"/>
    <w:rsid w:val="009C2EC0"/>
    <w:rsid w:val="009C3472"/>
    <w:rsid w:val="009C3869"/>
    <w:rsid w:val="009C40A3"/>
    <w:rsid w:val="009C4281"/>
    <w:rsid w:val="009C42A5"/>
    <w:rsid w:val="009C42F7"/>
    <w:rsid w:val="009C44F6"/>
    <w:rsid w:val="009C4807"/>
    <w:rsid w:val="009C4A08"/>
    <w:rsid w:val="009C4AB7"/>
    <w:rsid w:val="009C4BCA"/>
    <w:rsid w:val="009C4C27"/>
    <w:rsid w:val="009C4E62"/>
    <w:rsid w:val="009C50A6"/>
    <w:rsid w:val="009C5283"/>
    <w:rsid w:val="009C53FC"/>
    <w:rsid w:val="009C58E9"/>
    <w:rsid w:val="009C5AC4"/>
    <w:rsid w:val="009C5D19"/>
    <w:rsid w:val="009C5ED8"/>
    <w:rsid w:val="009C5FCC"/>
    <w:rsid w:val="009C6424"/>
    <w:rsid w:val="009C654B"/>
    <w:rsid w:val="009C6554"/>
    <w:rsid w:val="009C65E8"/>
    <w:rsid w:val="009C6652"/>
    <w:rsid w:val="009C6925"/>
    <w:rsid w:val="009C69B1"/>
    <w:rsid w:val="009C6E44"/>
    <w:rsid w:val="009C6EB0"/>
    <w:rsid w:val="009C71C2"/>
    <w:rsid w:val="009C741C"/>
    <w:rsid w:val="009C7879"/>
    <w:rsid w:val="009C7911"/>
    <w:rsid w:val="009C7A7C"/>
    <w:rsid w:val="009C7ABF"/>
    <w:rsid w:val="009C7CDC"/>
    <w:rsid w:val="009D022B"/>
    <w:rsid w:val="009D0564"/>
    <w:rsid w:val="009D0634"/>
    <w:rsid w:val="009D0646"/>
    <w:rsid w:val="009D0A83"/>
    <w:rsid w:val="009D0CB4"/>
    <w:rsid w:val="009D14BF"/>
    <w:rsid w:val="009D150D"/>
    <w:rsid w:val="009D1671"/>
    <w:rsid w:val="009D19EE"/>
    <w:rsid w:val="009D1CD2"/>
    <w:rsid w:val="009D1F1F"/>
    <w:rsid w:val="009D20A5"/>
    <w:rsid w:val="009D238E"/>
    <w:rsid w:val="009D263D"/>
    <w:rsid w:val="009D277F"/>
    <w:rsid w:val="009D2C52"/>
    <w:rsid w:val="009D2E44"/>
    <w:rsid w:val="009D2E98"/>
    <w:rsid w:val="009D2F27"/>
    <w:rsid w:val="009D3545"/>
    <w:rsid w:val="009D3551"/>
    <w:rsid w:val="009D38D9"/>
    <w:rsid w:val="009D3BF7"/>
    <w:rsid w:val="009D3CC1"/>
    <w:rsid w:val="009D3D8F"/>
    <w:rsid w:val="009D3F90"/>
    <w:rsid w:val="009D400E"/>
    <w:rsid w:val="009D4388"/>
    <w:rsid w:val="009D4635"/>
    <w:rsid w:val="009D46FF"/>
    <w:rsid w:val="009D4802"/>
    <w:rsid w:val="009D4844"/>
    <w:rsid w:val="009D48D4"/>
    <w:rsid w:val="009D4AC4"/>
    <w:rsid w:val="009D4CE9"/>
    <w:rsid w:val="009D4E9E"/>
    <w:rsid w:val="009D4F7C"/>
    <w:rsid w:val="009D515B"/>
    <w:rsid w:val="009D56E7"/>
    <w:rsid w:val="009D5784"/>
    <w:rsid w:val="009D5949"/>
    <w:rsid w:val="009D5DC6"/>
    <w:rsid w:val="009D5EFF"/>
    <w:rsid w:val="009D5FA1"/>
    <w:rsid w:val="009D605D"/>
    <w:rsid w:val="009D6156"/>
    <w:rsid w:val="009D635B"/>
    <w:rsid w:val="009D68D2"/>
    <w:rsid w:val="009D6A79"/>
    <w:rsid w:val="009D6C0F"/>
    <w:rsid w:val="009D6C4C"/>
    <w:rsid w:val="009D6E83"/>
    <w:rsid w:val="009D718E"/>
    <w:rsid w:val="009D7248"/>
    <w:rsid w:val="009D7549"/>
    <w:rsid w:val="009D76D0"/>
    <w:rsid w:val="009D7799"/>
    <w:rsid w:val="009D7B07"/>
    <w:rsid w:val="009D7C03"/>
    <w:rsid w:val="009D7C5E"/>
    <w:rsid w:val="009D7CDD"/>
    <w:rsid w:val="009D7E9C"/>
    <w:rsid w:val="009E000C"/>
    <w:rsid w:val="009E0077"/>
    <w:rsid w:val="009E008F"/>
    <w:rsid w:val="009E031F"/>
    <w:rsid w:val="009E0419"/>
    <w:rsid w:val="009E04C2"/>
    <w:rsid w:val="009E051A"/>
    <w:rsid w:val="009E0AA1"/>
    <w:rsid w:val="009E0CB6"/>
    <w:rsid w:val="009E0DD7"/>
    <w:rsid w:val="009E12E0"/>
    <w:rsid w:val="009E14A3"/>
    <w:rsid w:val="009E153E"/>
    <w:rsid w:val="009E15EA"/>
    <w:rsid w:val="009E165F"/>
    <w:rsid w:val="009E18C1"/>
    <w:rsid w:val="009E1998"/>
    <w:rsid w:val="009E20EA"/>
    <w:rsid w:val="009E2137"/>
    <w:rsid w:val="009E2436"/>
    <w:rsid w:val="009E25A0"/>
    <w:rsid w:val="009E29AF"/>
    <w:rsid w:val="009E2A7F"/>
    <w:rsid w:val="009E2C25"/>
    <w:rsid w:val="009E2C73"/>
    <w:rsid w:val="009E2CB7"/>
    <w:rsid w:val="009E2E64"/>
    <w:rsid w:val="009E3056"/>
    <w:rsid w:val="009E30AD"/>
    <w:rsid w:val="009E33C4"/>
    <w:rsid w:val="009E352A"/>
    <w:rsid w:val="009E3647"/>
    <w:rsid w:val="009E3906"/>
    <w:rsid w:val="009E3A50"/>
    <w:rsid w:val="009E3AA6"/>
    <w:rsid w:val="009E3D27"/>
    <w:rsid w:val="009E3DB9"/>
    <w:rsid w:val="009E4162"/>
    <w:rsid w:val="009E4378"/>
    <w:rsid w:val="009E441A"/>
    <w:rsid w:val="009E4A26"/>
    <w:rsid w:val="009E4AC6"/>
    <w:rsid w:val="009E4C99"/>
    <w:rsid w:val="009E5013"/>
    <w:rsid w:val="009E51FA"/>
    <w:rsid w:val="009E5417"/>
    <w:rsid w:val="009E54F2"/>
    <w:rsid w:val="009E56C2"/>
    <w:rsid w:val="009E5928"/>
    <w:rsid w:val="009E5A54"/>
    <w:rsid w:val="009E5BC6"/>
    <w:rsid w:val="009E5E5E"/>
    <w:rsid w:val="009E5FF3"/>
    <w:rsid w:val="009E61B5"/>
    <w:rsid w:val="009E68BA"/>
    <w:rsid w:val="009E6900"/>
    <w:rsid w:val="009E6C5D"/>
    <w:rsid w:val="009E6EED"/>
    <w:rsid w:val="009E6FF8"/>
    <w:rsid w:val="009E70B1"/>
    <w:rsid w:val="009E70CD"/>
    <w:rsid w:val="009E73C8"/>
    <w:rsid w:val="009E7734"/>
    <w:rsid w:val="009E773A"/>
    <w:rsid w:val="009E7953"/>
    <w:rsid w:val="009E7C56"/>
    <w:rsid w:val="009F0154"/>
    <w:rsid w:val="009F0168"/>
    <w:rsid w:val="009F01E3"/>
    <w:rsid w:val="009F02B8"/>
    <w:rsid w:val="009F0302"/>
    <w:rsid w:val="009F045D"/>
    <w:rsid w:val="009F0529"/>
    <w:rsid w:val="009F07A2"/>
    <w:rsid w:val="009F07E7"/>
    <w:rsid w:val="009F0C79"/>
    <w:rsid w:val="009F0CCD"/>
    <w:rsid w:val="009F0D96"/>
    <w:rsid w:val="009F0DA7"/>
    <w:rsid w:val="009F1092"/>
    <w:rsid w:val="009F18A2"/>
    <w:rsid w:val="009F192F"/>
    <w:rsid w:val="009F19E3"/>
    <w:rsid w:val="009F1B63"/>
    <w:rsid w:val="009F1DBF"/>
    <w:rsid w:val="009F1E71"/>
    <w:rsid w:val="009F1F22"/>
    <w:rsid w:val="009F1F8A"/>
    <w:rsid w:val="009F2A07"/>
    <w:rsid w:val="009F2A13"/>
    <w:rsid w:val="009F2A59"/>
    <w:rsid w:val="009F313D"/>
    <w:rsid w:val="009F36AD"/>
    <w:rsid w:val="009F3897"/>
    <w:rsid w:val="009F396D"/>
    <w:rsid w:val="009F3980"/>
    <w:rsid w:val="009F3A7F"/>
    <w:rsid w:val="009F3C46"/>
    <w:rsid w:val="009F400A"/>
    <w:rsid w:val="009F43A1"/>
    <w:rsid w:val="009F4706"/>
    <w:rsid w:val="009F48EA"/>
    <w:rsid w:val="009F49A2"/>
    <w:rsid w:val="009F49BB"/>
    <w:rsid w:val="009F4A79"/>
    <w:rsid w:val="009F4E3B"/>
    <w:rsid w:val="009F50C3"/>
    <w:rsid w:val="009F51B6"/>
    <w:rsid w:val="009F51E8"/>
    <w:rsid w:val="009F5712"/>
    <w:rsid w:val="009F5AE9"/>
    <w:rsid w:val="009F5C93"/>
    <w:rsid w:val="009F5E2D"/>
    <w:rsid w:val="009F5E72"/>
    <w:rsid w:val="009F5FB0"/>
    <w:rsid w:val="009F6128"/>
    <w:rsid w:val="009F62AB"/>
    <w:rsid w:val="009F6314"/>
    <w:rsid w:val="009F642F"/>
    <w:rsid w:val="009F6D40"/>
    <w:rsid w:val="009F6EDD"/>
    <w:rsid w:val="009F7126"/>
    <w:rsid w:val="009F7524"/>
    <w:rsid w:val="009F78A0"/>
    <w:rsid w:val="009F796E"/>
    <w:rsid w:val="009F7CC3"/>
    <w:rsid w:val="009F7D04"/>
    <w:rsid w:val="009F7D0F"/>
    <w:rsid w:val="009F7D71"/>
    <w:rsid w:val="009F7E84"/>
    <w:rsid w:val="009F7FC8"/>
    <w:rsid w:val="00A0006A"/>
    <w:rsid w:val="00A0014D"/>
    <w:rsid w:val="00A0028A"/>
    <w:rsid w:val="00A00307"/>
    <w:rsid w:val="00A00399"/>
    <w:rsid w:val="00A003F4"/>
    <w:rsid w:val="00A0082C"/>
    <w:rsid w:val="00A00FE3"/>
    <w:rsid w:val="00A0124E"/>
    <w:rsid w:val="00A0170E"/>
    <w:rsid w:val="00A01756"/>
    <w:rsid w:val="00A01860"/>
    <w:rsid w:val="00A01943"/>
    <w:rsid w:val="00A019DE"/>
    <w:rsid w:val="00A01D15"/>
    <w:rsid w:val="00A01F4A"/>
    <w:rsid w:val="00A0225D"/>
    <w:rsid w:val="00A026F2"/>
    <w:rsid w:val="00A02731"/>
    <w:rsid w:val="00A02770"/>
    <w:rsid w:val="00A027FD"/>
    <w:rsid w:val="00A02889"/>
    <w:rsid w:val="00A0293B"/>
    <w:rsid w:val="00A02B16"/>
    <w:rsid w:val="00A02CCA"/>
    <w:rsid w:val="00A02D6E"/>
    <w:rsid w:val="00A02EE1"/>
    <w:rsid w:val="00A0356B"/>
    <w:rsid w:val="00A03655"/>
    <w:rsid w:val="00A03977"/>
    <w:rsid w:val="00A03E44"/>
    <w:rsid w:val="00A040D6"/>
    <w:rsid w:val="00A0426E"/>
    <w:rsid w:val="00A04A35"/>
    <w:rsid w:val="00A04F4D"/>
    <w:rsid w:val="00A051C2"/>
    <w:rsid w:val="00A055E8"/>
    <w:rsid w:val="00A05A10"/>
    <w:rsid w:val="00A05AAF"/>
    <w:rsid w:val="00A05AE4"/>
    <w:rsid w:val="00A05EF2"/>
    <w:rsid w:val="00A060D1"/>
    <w:rsid w:val="00A061F3"/>
    <w:rsid w:val="00A062E6"/>
    <w:rsid w:val="00A06385"/>
    <w:rsid w:val="00A063BD"/>
    <w:rsid w:val="00A06618"/>
    <w:rsid w:val="00A06840"/>
    <w:rsid w:val="00A0689D"/>
    <w:rsid w:val="00A069BD"/>
    <w:rsid w:val="00A06B1C"/>
    <w:rsid w:val="00A06B50"/>
    <w:rsid w:val="00A06E10"/>
    <w:rsid w:val="00A06F1D"/>
    <w:rsid w:val="00A0735B"/>
    <w:rsid w:val="00A078B3"/>
    <w:rsid w:val="00A07CCF"/>
    <w:rsid w:val="00A07D19"/>
    <w:rsid w:val="00A1003D"/>
    <w:rsid w:val="00A10478"/>
    <w:rsid w:val="00A10B0B"/>
    <w:rsid w:val="00A10EA7"/>
    <w:rsid w:val="00A10FE3"/>
    <w:rsid w:val="00A112E0"/>
    <w:rsid w:val="00A11610"/>
    <w:rsid w:val="00A118EA"/>
    <w:rsid w:val="00A11CAC"/>
    <w:rsid w:val="00A11CF6"/>
    <w:rsid w:val="00A11D14"/>
    <w:rsid w:val="00A11DE3"/>
    <w:rsid w:val="00A11DF1"/>
    <w:rsid w:val="00A122C8"/>
    <w:rsid w:val="00A12360"/>
    <w:rsid w:val="00A12479"/>
    <w:rsid w:val="00A125B7"/>
    <w:rsid w:val="00A12639"/>
    <w:rsid w:val="00A126E9"/>
    <w:rsid w:val="00A1272F"/>
    <w:rsid w:val="00A12A0F"/>
    <w:rsid w:val="00A12CA4"/>
    <w:rsid w:val="00A12D05"/>
    <w:rsid w:val="00A12DE6"/>
    <w:rsid w:val="00A12EC8"/>
    <w:rsid w:val="00A13202"/>
    <w:rsid w:val="00A132D0"/>
    <w:rsid w:val="00A1337E"/>
    <w:rsid w:val="00A137DF"/>
    <w:rsid w:val="00A13AFA"/>
    <w:rsid w:val="00A13BC4"/>
    <w:rsid w:val="00A13ECB"/>
    <w:rsid w:val="00A13F56"/>
    <w:rsid w:val="00A13FF0"/>
    <w:rsid w:val="00A14068"/>
    <w:rsid w:val="00A14249"/>
    <w:rsid w:val="00A142F5"/>
    <w:rsid w:val="00A145F4"/>
    <w:rsid w:val="00A149EF"/>
    <w:rsid w:val="00A14AFB"/>
    <w:rsid w:val="00A1541B"/>
    <w:rsid w:val="00A15422"/>
    <w:rsid w:val="00A1576C"/>
    <w:rsid w:val="00A157F6"/>
    <w:rsid w:val="00A15853"/>
    <w:rsid w:val="00A15B46"/>
    <w:rsid w:val="00A15CEA"/>
    <w:rsid w:val="00A1629B"/>
    <w:rsid w:val="00A16714"/>
    <w:rsid w:val="00A16CC4"/>
    <w:rsid w:val="00A16D05"/>
    <w:rsid w:val="00A16F04"/>
    <w:rsid w:val="00A17237"/>
    <w:rsid w:val="00A1742F"/>
    <w:rsid w:val="00A1748D"/>
    <w:rsid w:val="00A174E5"/>
    <w:rsid w:val="00A17580"/>
    <w:rsid w:val="00A1785F"/>
    <w:rsid w:val="00A179EA"/>
    <w:rsid w:val="00A179F5"/>
    <w:rsid w:val="00A17B47"/>
    <w:rsid w:val="00A17DAC"/>
    <w:rsid w:val="00A20363"/>
    <w:rsid w:val="00A20759"/>
    <w:rsid w:val="00A2086A"/>
    <w:rsid w:val="00A2093C"/>
    <w:rsid w:val="00A20CE6"/>
    <w:rsid w:val="00A20E4C"/>
    <w:rsid w:val="00A21323"/>
    <w:rsid w:val="00A2138F"/>
    <w:rsid w:val="00A213E0"/>
    <w:rsid w:val="00A2140D"/>
    <w:rsid w:val="00A217DB"/>
    <w:rsid w:val="00A218C5"/>
    <w:rsid w:val="00A21B83"/>
    <w:rsid w:val="00A21DA1"/>
    <w:rsid w:val="00A226EC"/>
    <w:rsid w:val="00A22857"/>
    <w:rsid w:val="00A228FE"/>
    <w:rsid w:val="00A229D0"/>
    <w:rsid w:val="00A22CD4"/>
    <w:rsid w:val="00A22E02"/>
    <w:rsid w:val="00A23066"/>
    <w:rsid w:val="00A23086"/>
    <w:rsid w:val="00A230CC"/>
    <w:rsid w:val="00A23658"/>
    <w:rsid w:val="00A23673"/>
    <w:rsid w:val="00A2374E"/>
    <w:rsid w:val="00A2399F"/>
    <w:rsid w:val="00A239AA"/>
    <w:rsid w:val="00A23AF0"/>
    <w:rsid w:val="00A23BF8"/>
    <w:rsid w:val="00A23C13"/>
    <w:rsid w:val="00A23C7D"/>
    <w:rsid w:val="00A23E6F"/>
    <w:rsid w:val="00A23FA9"/>
    <w:rsid w:val="00A23FE6"/>
    <w:rsid w:val="00A244D5"/>
    <w:rsid w:val="00A247E5"/>
    <w:rsid w:val="00A24A18"/>
    <w:rsid w:val="00A24D42"/>
    <w:rsid w:val="00A24DE6"/>
    <w:rsid w:val="00A25063"/>
    <w:rsid w:val="00A252BA"/>
    <w:rsid w:val="00A252D6"/>
    <w:rsid w:val="00A2542A"/>
    <w:rsid w:val="00A254B9"/>
    <w:rsid w:val="00A254CD"/>
    <w:rsid w:val="00A254F8"/>
    <w:rsid w:val="00A255EB"/>
    <w:rsid w:val="00A25C31"/>
    <w:rsid w:val="00A25D35"/>
    <w:rsid w:val="00A26145"/>
    <w:rsid w:val="00A26289"/>
    <w:rsid w:val="00A26358"/>
    <w:rsid w:val="00A2699D"/>
    <w:rsid w:val="00A26ECD"/>
    <w:rsid w:val="00A26EF4"/>
    <w:rsid w:val="00A26FA5"/>
    <w:rsid w:val="00A2721C"/>
    <w:rsid w:val="00A2729D"/>
    <w:rsid w:val="00A27489"/>
    <w:rsid w:val="00A2782C"/>
    <w:rsid w:val="00A27969"/>
    <w:rsid w:val="00A27973"/>
    <w:rsid w:val="00A27A18"/>
    <w:rsid w:val="00A27BC3"/>
    <w:rsid w:val="00A27BFB"/>
    <w:rsid w:val="00A3027A"/>
    <w:rsid w:val="00A302CE"/>
    <w:rsid w:val="00A30314"/>
    <w:rsid w:val="00A30737"/>
    <w:rsid w:val="00A30861"/>
    <w:rsid w:val="00A3097D"/>
    <w:rsid w:val="00A309A6"/>
    <w:rsid w:val="00A30DF0"/>
    <w:rsid w:val="00A31137"/>
    <w:rsid w:val="00A314F7"/>
    <w:rsid w:val="00A3161C"/>
    <w:rsid w:val="00A317F3"/>
    <w:rsid w:val="00A31826"/>
    <w:rsid w:val="00A3183D"/>
    <w:rsid w:val="00A318CB"/>
    <w:rsid w:val="00A319A8"/>
    <w:rsid w:val="00A31A73"/>
    <w:rsid w:val="00A327DF"/>
    <w:rsid w:val="00A3280E"/>
    <w:rsid w:val="00A32821"/>
    <w:rsid w:val="00A32D59"/>
    <w:rsid w:val="00A32E40"/>
    <w:rsid w:val="00A32E46"/>
    <w:rsid w:val="00A331E4"/>
    <w:rsid w:val="00A33208"/>
    <w:rsid w:val="00A332F3"/>
    <w:rsid w:val="00A33642"/>
    <w:rsid w:val="00A33B63"/>
    <w:rsid w:val="00A33C0A"/>
    <w:rsid w:val="00A33C34"/>
    <w:rsid w:val="00A33F7E"/>
    <w:rsid w:val="00A34290"/>
    <w:rsid w:val="00A342CE"/>
    <w:rsid w:val="00A34343"/>
    <w:rsid w:val="00A3438C"/>
    <w:rsid w:val="00A3448B"/>
    <w:rsid w:val="00A344FD"/>
    <w:rsid w:val="00A34905"/>
    <w:rsid w:val="00A34947"/>
    <w:rsid w:val="00A34954"/>
    <w:rsid w:val="00A34CE2"/>
    <w:rsid w:val="00A3505E"/>
    <w:rsid w:val="00A351A7"/>
    <w:rsid w:val="00A35238"/>
    <w:rsid w:val="00A35ABD"/>
    <w:rsid w:val="00A35CC9"/>
    <w:rsid w:val="00A35CD7"/>
    <w:rsid w:val="00A360FF"/>
    <w:rsid w:val="00A3617B"/>
    <w:rsid w:val="00A362C1"/>
    <w:rsid w:val="00A362D3"/>
    <w:rsid w:val="00A3642C"/>
    <w:rsid w:val="00A36738"/>
    <w:rsid w:val="00A36845"/>
    <w:rsid w:val="00A36955"/>
    <w:rsid w:val="00A369CC"/>
    <w:rsid w:val="00A36C6D"/>
    <w:rsid w:val="00A3701B"/>
    <w:rsid w:val="00A371AD"/>
    <w:rsid w:val="00A37296"/>
    <w:rsid w:val="00A374CC"/>
    <w:rsid w:val="00A3751E"/>
    <w:rsid w:val="00A375B5"/>
    <w:rsid w:val="00A375C0"/>
    <w:rsid w:val="00A375C8"/>
    <w:rsid w:val="00A37651"/>
    <w:rsid w:val="00A37814"/>
    <w:rsid w:val="00A379D3"/>
    <w:rsid w:val="00A37B3F"/>
    <w:rsid w:val="00A37DCF"/>
    <w:rsid w:val="00A4003E"/>
    <w:rsid w:val="00A400E0"/>
    <w:rsid w:val="00A40615"/>
    <w:rsid w:val="00A408E7"/>
    <w:rsid w:val="00A40A1B"/>
    <w:rsid w:val="00A4100D"/>
    <w:rsid w:val="00A41163"/>
    <w:rsid w:val="00A412E3"/>
    <w:rsid w:val="00A4140E"/>
    <w:rsid w:val="00A41453"/>
    <w:rsid w:val="00A41489"/>
    <w:rsid w:val="00A4152D"/>
    <w:rsid w:val="00A416B6"/>
    <w:rsid w:val="00A4173F"/>
    <w:rsid w:val="00A41819"/>
    <w:rsid w:val="00A41866"/>
    <w:rsid w:val="00A41A38"/>
    <w:rsid w:val="00A41A65"/>
    <w:rsid w:val="00A41AC1"/>
    <w:rsid w:val="00A41B92"/>
    <w:rsid w:val="00A41DDC"/>
    <w:rsid w:val="00A41F58"/>
    <w:rsid w:val="00A4210D"/>
    <w:rsid w:val="00A425BB"/>
    <w:rsid w:val="00A425C6"/>
    <w:rsid w:val="00A429F4"/>
    <w:rsid w:val="00A42ECE"/>
    <w:rsid w:val="00A43011"/>
    <w:rsid w:val="00A43255"/>
    <w:rsid w:val="00A435C4"/>
    <w:rsid w:val="00A4370F"/>
    <w:rsid w:val="00A43938"/>
    <w:rsid w:val="00A439CE"/>
    <w:rsid w:val="00A43AFC"/>
    <w:rsid w:val="00A43B84"/>
    <w:rsid w:val="00A43C73"/>
    <w:rsid w:val="00A43D18"/>
    <w:rsid w:val="00A43E9D"/>
    <w:rsid w:val="00A44004"/>
    <w:rsid w:val="00A4403A"/>
    <w:rsid w:val="00A443F6"/>
    <w:rsid w:val="00A445B9"/>
    <w:rsid w:val="00A44875"/>
    <w:rsid w:val="00A44B16"/>
    <w:rsid w:val="00A44BA6"/>
    <w:rsid w:val="00A45C50"/>
    <w:rsid w:val="00A45C6E"/>
    <w:rsid w:val="00A46151"/>
    <w:rsid w:val="00A4617C"/>
    <w:rsid w:val="00A46399"/>
    <w:rsid w:val="00A463F5"/>
    <w:rsid w:val="00A46414"/>
    <w:rsid w:val="00A46421"/>
    <w:rsid w:val="00A468BA"/>
    <w:rsid w:val="00A469D8"/>
    <w:rsid w:val="00A46BB7"/>
    <w:rsid w:val="00A46F40"/>
    <w:rsid w:val="00A471A2"/>
    <w:rsid w:val="00A47391"/>
    <w:rsid w:val="00A47771"/>
    <w:rsid w:val="00A47825"/>
    <w:rsid w:val="00A47864"/>
    <w:rsid w:val="00A47891"/>
    <w:rsid w:val="00A479A3"/>
    <w:rsid w:val="00A479EE"/>
    <w:rsid w:val="00A47A01"/>
    <w:rsid w:val="00A47B13"/>
    <w:rsid w:val="00A47ED0"/>
    <w:rsid w:val="00A50148"/>
    <w:rsid w:val="00A5028C"/>
    <w:rsid w:val="00A502BA"/>
    <w:rsid w:val="00A50AF3"/>
    <w:rsid w:val="00A50D0B"/>
    <w:rsid w:val="00A511FE"/>
    <w:rsid w:val="00A51279"/>
    <w:rsid w:val="00A51494"/>
    <w:rsid w:val="00A514CE"/>
    <w:rsid w:val="00A51588"/>
    <w:rsid w:val="00A519FB"/>
    <w:rsid w:val="00A51D40"/>
    <w:rsid w:val="00A51DED"/>
    <w:rsid w:val="00A51E5A"/>
    <w:rsid w:val="00A520B1"/>
    <w:rsid w:val="00A52228"/>
    <w:rsid w:val="00A522DA"/>
    <w:rsid w:val="00A522EE"/>
    <w:rsid w:val="00A52766"/>
    <w:rsid w:val="00A52993"/>
    <w:rsid w:val="00A52B08"/>
    <w:rsid w:val="00A52C39"/>
    <w:rsid w:val="00A52F00"/>
    <w:rsid w:val="00A5325A"/>
    <w:rsid w:val="00A532F0"/>
    <w:rsid w:val="00A53376"/>
    <w:rsid w:val="00A53412"/>
    <w:rsid w:val="00A5341C"/>
    <w:rsid w:val="00A53737"/>
    <w:rsid w:val="00A53CBA"/>
    <w:rsid w:val="00A53E71"/>
    <w:rsid w:val="00A53E91"/>
    <w:rsid w:val="00A53F30"/>
    <w:rsid w:val="00A53FF9"/>
    <w:rsid w:val="00A541E4"/>
    <w:rsid w:val="00A54267"/>
    <w:rsid w:val="00A542C3"/>
    <w:rsid w:val="00A542F7"/>
    <w:rsid w:val="00A543E0"/>
    <w:rsid w:val="00A545AB"/>
    <w:rsid w:val="00A54785"/>
    <w:rsid w:val="00A549EC"/>
    <w:rsid w:val="00A54A55"/>
    <w:rsid w:val="00A54D02"/>
    <w:rsid w:val="00A54DE5"/>
    <w:rsid w:val="00A54FA1"/>
    <w:rsid w:val="00A552A7"/>
    <w:rsid w:val="00A553CD"/>
    <w:rsid w:val="00A553D1"/>
    <w:rsid w:val="00A553E5"/>
    <w:rsid w:val="00A55A13"/>
    <w:rsid w:val="00A55A2E"/>
    <w:rsid w:val="00A55D93"/>
    <w:rsid w:val="00A563E1"/>
    <w:rsid w:val="00A564F1"/>
    <w:rsid w:val="00A5670D"/>
    <w:rsid w:val="00A5690B"/>
    <w:rsid w:val="00A5691E"/>
    <w:rsid w:val="00A56AB3"/>
    <w:rsid w:val="00A56C3B"/>
    <w:rsid w:val="00A56E9B"/>
    <w:rsid w:val="00A56EA6"/>
    <w:rsid w:val="00A56FCD"/>
    <w:rsid w:val="00A57080"/>
    <w:rsid w:val="00A570ED"/>
    <w:rsid w:val="00A57479"/>
    <w:rsid w:val="00A574FA"/>
    <w:rsid w:val="00A57506"/>
    <w:rsid w:val="00A601C5"/>
    <w:rsid w:val="00A60263"/>
    <w:rsid w:val="00A60406"/>
    <w:rsid w:val="00A60749"/>
    <w:rsid w:val="00A60B60"/>
    <w:rsid w:val="00A60BB8"/>
    <w:rsid w:val="00A60F17"/>
    <w:rsid w:val="00A6115D"/>
    <w:rsid w:val="00A61517"/>
    <w:rsid w:val="00A6160C"/>
    <w:rsid w:val="00A617A6"/>
    <w:rsid w:val="00A618A7"/>
    <w:rsid w:val="00A61CCC"/>
    <w:rsid w:val="00A61E5D"/>
    <w:rsid w:val="00A61F00"/>
    <w:rsid w:val="00A61FF4"/>
    <w:rsid w:val="00A61FF7"/>
    <w:rsid w:val="00A6202C"/>
    <w:rsid w:val="00A62051"/>
    <w:rsid w:val="00A62089"/>
    <w:rsid w:val="00A620A7"/>
    <w:rsid w:val="00A621F6"/>
    <w:rsid w:val="00A62227"/>
    <w:rsid w:val="00A622CE"/>
    <w:rsid w:val="00A62339"/>
    <w:rsid w:val="00A62487"/>
    <w:rsid w:val="00A6252A"/>
    <w:rsid w:val="00A626EC"/>
    <w:rsid w:val="00A6277F"/>
    <w:rsid w:val="00A628BB"/>
    <w:rsid w:val="00A62A3E"/>
    <w:rsid w:val="00A62A4B"/>
    <w:rsid w:val="00A62E6C"/>
    <w:rsid w:val="00A62FA2"/>
    <w:rsid w:val="00A631DE"/>
    <w:rsid w:val="00A63386"/>
    <w:rsid w:val="00A63813"/>
    <w:rsid w:val="00A638E0"/>
    <w:rsid w:val="00A638E1"/>
    <w:rsid w:val="00A63945"/>
    <w:rsid w:val="00A641DE"/>
    <w:rsid w:val="00A64418"/>
    <w:rsid w:val="00A64995"/>
    <w:rsid w:val="00A64AAF"/>
    <w:rsid w:val="00A64C83"/>
    <w:rsid w:val="00A64F76"/>
    <w:rsid w:val="00A65010"/>
    <w:rsid w:val="00A6512E"/>
    <w:rsid w:val="00A652C8"/>
    <w:rsid w:val="00A655EC"/>
    <w:rsid w:val="00A65779"/>
    <w:rsid w:val="00A65944"/>
    <w:rsid w:val="00A65A3D"/>
    <w:rsid w:val="00A65B55"/>
    <w:rsid w:val="00A65F48"/>
    <w:rsid w:val="00A6600D"/>
    <w:rsid w:val="00A66035"/>
    <w:rsid w:val="00A66441"/>
    <w:rsid w:val="00A664FD"/>
    <w:rsid w:val="00A66502"/>
    <w:rsid w:val="00A66570"/>
    <w:rsid w:val="00A66604"/>
    <w:rsid w:val="00A66761"/>
    <w:rsid w:val="00A66958"/>
    <w:rsid w:val="00A66C6E"/>
    <w:rsid w:val="00A66F8D"/>
    <w:rsid w:val="00A67722"/>
    <w:rsid w:val="00A677CC"/>
    <w:rsid w:val="00A679BF"/>
    <w:rsid w:val="00A67E65"/>
    <w:rsid w:val="00A67F84"/>
    <w:rsid w:val="00A703DD"/>
    <w:rsid w:val="00A70797"/>
    <w:rsid w:val="00A708C5"/>
    <w:rsid w:val="00A70BB3"/>
    <w:rsid w:val="00A70BDB"/>
    <w:rsid w:val="00A70BF9"/>
    <w:rsid w:val="00A70FDC"/>
    <w:rsid w:val="00A71068"/>
    <w:rsid w:val="00A71120"/>
    <w:rsid w:val="00A71187"/>
    <w:rsid w:val="00A711E0"/>
    <w:rsid w:val="00A712D0"/>
    <w:rsid w:val="00A712F3"/>
    <w:rsid w:val="00A7154D"/>
    <w:rsid w:val="00A7178C"/>
    <w:rsid w:val="00A717F0"/>
    <w:rsid w:val="00A718A2"/>
    <w:rsid w:val="00A718C3"/>
    <w:rsid w:val="00A71A36"/>
    <w:rsid w:val="00A71B25"/>
    <w:rsid w:val="00A71D06"/>
    <w:rsid w:val="00A71E20"/>
    <w:rsid w:val="00A71F9C"/>
    <w:rsid w:val="00A721F2"/>
    <w:rsid w:val="00A72330"/>
    <w:rsid w:val="00A7286B"/>
    <w:rsid w:val="00A72B38"/>
    <w:rsid w:val="00A72C30"/>
    <w:rsid w:val="00A72D17"/>
    <w:rsid w:val="00A73009"/>
    <w:rsid w:val="00A73128"/>
    <w:rsid w:val="00A7316D"/>
    <w:rsid w:val="00A7327D"/>
    <w:rsid w:val="00A73337"/>
    <w:rsid w:val="00A73384"/>
    <w:rsid w:val="00A73386"/>
    <w:rsid w:val="00A73576"/>
    <w:rsid w:val="00A735AD"/>
    <w:rsid w:val="00A73830"/>
    <w:rsid w:val="00A739CB"/>
    <w:rsid w:val="00A73A42"/>
    <w:rsid w:val="00A73CB3"/>
    <w:rsid w:val="00A745B1"/>
    <w:rsid w:val="00A74703"/>
    <w:rsid w:val="00A74812"/>
    <w:rsid w:val="00A74B2B"/>
    <w:rsid w:val="00A74D3F"/>
    <w:rsid w:val="00A751E0"/>
    <w:rsid w:val="00A75223"/>
    <w:rsid w:val="00A7525E"/>
    <w:rsid w:val="00A75538"/>
    <w:rsid w:val="00A75555"/>
    <w:rsid w:val="00A75DFA"/>
    <w:rsid w:val="00A76047"/>
    <w:rsid w:val="00A7612C"/>
    <w:rsid w:val="00A76209"/>
    <w:rsid w:val="00A768FA"/>
    <w:rsid w:val="00A769F2"/>
    <w:rsid w:val="00A76B1E"/>
    <w:rsid w:val="00A76BAB"/>
    <w:rsid w:val="00A76CB7"/>
    <w:rsid w:val="00A76DCC"/>
    <w:rsid w:val="00A76DCE"/>
    <w:rsid w:val="00A77054"/>
    <w:rsid w:val="00A770DC"/>
    <w:rsid w:val="00A773B7"/>
    <w:rsid w:val="00A77612"/>
    <w:rsid w:val="00A776B5"/>
    <w:rsid w:val="00A77933"/>
    <w:rsid w:val="00A8005F"/>
    <w:rsid w:val="00A800D0"/>
    <w:rsid w:val="00A80435"/>
    <w:rsid w:val="00A80722"/>
    <w:rsid w:val="00A809F1"/>
    <w:rsid w:val="00A80AAE"/>
    <w:rsid w:val="00A80BEC"/>
    <w:rsid w:val="00A80E29"/>
    <w:rsid w:val="00A81470"/>
    <w:rsid w:val="00A81477"/>
    <w:rsid w:val="00A81621"/>
    <w:rsid w:val="00A8165E"/>
    <w:rsid w:val="00A818AD"/>
    <w:rsid w:val="00A81905"/>
    <w:rsid w:val="00A819A2"/>
    <w:rsid w:val="00A81A4C"/>
    <w:rsid w:val="00A81BD8"/>
    <w:rsid w:val="00A82220"/>
    <w:rsid w:val="00A822DC"/>
    <w:rsid w:val="00A82432"/>
    <w:rsid w:val="00A83560"/>
    <w:rsid w:val="00A8367E"/>
    <w:rsid w:val="00A8390B"/>
    <w:rsid w:val="00A83E59"/>
    <w:rsid w:val="00A840D1"/>
    <w:rsid w:val="00A84204"/>
    <w:rsid w:val="00A84426"/>
    <w:rsid w:val="00A84552"/>
    <w:rsid w:val="00A847B4"/>
    <w:rsid w:val="00A8495E"/>
    <w:rsid w:val="00A84B4D"/>
    <w:rsid w:val="00A84DA0"/>
    <w:rsid w:val="00A84E1A"/>
    <w:rsid w:val="00A84F93"/>
    <w:rsid w:val="00A850E9"/>
    <w:rsid w:val="00A8531E"/>
    <w:rsid w:val="00A85371"/>
    <w:rsid w:val="00A853F4"/>
    <w:rsid w:val="00A85458"/>
    <w:rsid w:val="00A857B8"/>
    <w:rsid w:val="00A85862"/>
    <w:rsid w:val="00A858B0"/>
    <w:rsid w:val="00A85B55"/>
    <w:rsid w:val="00A85DA6"/>
    <w:rsid w:val="00A86171"/>
    <w:rsid w:val="00A8617D"/>
    <w:rsid w:val="00A86414"/>
    <w:rsid w:val="00A864BD"/>
    <w:rsid w:val="00A8676D"/>
    <w:rsid w:val="00A86871"/>
    <w:rsid w:val="00A86875"/>
    <w:rsid w:val="00A86AB0"/>
    <w:rsid w:val="00A86BA5"/>
    <w:rsid w:val="00A86C0E"/>
    <w:rsid w:val="00A86D16"/>
    <w:rsid w:val="00A86D58"/>
    <w:rsid w:val="00A86EE4"/>
    <w:rsid w:val="00A86F28"/>
    <w:rsid w:val="00A86F9B"/>
    <w:rsid w:val="00A87066"/>
    <w:rsid w:val="00A870D4"/>
    <w:rsid w:val="00A870EB"/>
    <w:rsid w:val="00A871A4"/>
    <w:rsid w:val="00A8722B"/>
    <w:rsid w:val="00A8747D"/>
    <w:rsid w:val="00A876A2"/>
    <w:rsid w:val="00A8778C"/>
    <w:rsid w:val="00A87876"/>
    <w:rsid w:val="00A87B71"/>
    <w:rsid w:val="00A87D23"/>
    <w:rsid w:val="00A903A3"/>
    <w:rsid w:val="00A904A7"/>
    <w:rsid w:val="00A904AE"/>
    <w:rsid w:val="00A9052A"/>
    <w:rsid w:val="00A9076C"/>
    <w:rsid w:val="00A90850"/>
    <w:rsid w:val="00A908E4"/>
    <w:rsid w:val="00A909C7"/>
    <w:rsid w:val="00A90C64"/>
    <w:rsid w:val="00A90D00"/>
    <w:rsid w:val="00A90D67"/>
    <w:rsid w:val="00A91084"/>
    <w:rsid w:val="00A911AB"/>
    <w:rsid w:val="00A91533"/>
    <w:rsid w:val="00A9154C"/>
    <w:rsid w:val="00A91841"/>
    <w:rsid w:val="00A91A84"/>
    <w:rsid w:val="00A91CFB"/>
    <w:rsid w:val="00A91E2C"/>
    <w:rsid w:val="00A91F44"/>
    <w:rsid w:val="00A9228B"/>
    <w:rsid w:val="00A925FA"/>
    <w:rsid w:val="00A92F72"/>
    <w:rsid w:val="00A92FC6"/>
    <w:rsid w:val="00A93111"/>
    <w:rsid w:val="00A931EB"/>
    <w:rsid w:val="00A931F4"/>
    <w:rsid w:val="00A93732"/>
    <w:rsid w:val="00A93739"/>
    <w:rsid w:val="00A93B94"/>
    <w:rsid w:val="00A93BF2"/>
    <w:rsid w:val="00A94230"/>
    <w:rsid w:val="00A9430A"/>
    <w:rsid w:val="00A9437E"/>
    <w:rsid w:val="00A9469A"/>
    <w:rsid w:val="00A947EC"/>
    <w:rsid w:val="00A94922"/>
    <w:rsid w:val="00A94D21"/>
    <w:rsid w:val="00A9507C"/>
    <w:rsid w:val="00A951DD"/>
    <w:rsid w:val="00A953A8"/>
    <w:rsid w:val="00A957E7"/>
    <w:rsid w:val="00A95D3B"/>
    <w:rsid w:val="00A95F7C"/>
    <w:rsid w:val="00A9615E"/>
    <w:rsid w:val="00A961A6"/>
    <w:rsid w:val="00A962D3"/>
    <w:rsid w:val="00A964D5"/>
    <w:rsid w:val="00A96570"/>
    <w:rsid w:val="00A96975"/>
    <w:rsid w:val="00A969EC"/>
    <w:rsid w:val="00A96B65"/>
    <w:rsid w:val="00A97497"/>
    <w:rsid w:val="00A9791B"/>
    <w:rsid w:val="00A97BE5"/>
    <w:rsid w:val="00A97C04"/>
    <w:rsid w:val="00A97DAE"/>
    <w:rsid w:val="00A97DF3"/>
    <w:rsid w:val="00A97EC0"/>
    <w:rsid w:val="00AA01D9"/>
    <w:rsid w:val="00AA028A"/>
    <w:rsid w:val="00AA0416"/>
    <w:rsid w:val="00AA0522"/>
    <w:rsid w:val="00AA072B"/>
    <w:rsid w:val="00AA082C"/>
    <w:rsid w:val="00AA092B"/>
    <w:rsid w:val="00AA096B"/>
    <w:rsid w:val="00AA09C0"/>
    <w:rsid w:val="00AA0B00"/>
    <w:rsid w:val="00AA0BA5"/>
    <w:rsid w:val="00AA0DA8"/>
    <w:rsid w:val="00AA0DFA"/>
    <w:rsid w:val="00AA0E81"/>
    <w:rsid w:val="00AA10E3"/>
    <w:rsid w:val="00AA1127"/>
    <w:rsid w:val="00AA12E5"/>
    <w:rsid w:val="00AA1421"/>
    <w:rsid w:val="00AA14C1"/>
    <w:rsid w:val="00AA1833"/>
    <w:rsid w:val="00AA193F"/>
    <w:rsid w:val="00AA1EE5"/>
    <w:rsid w:val="00AA1FAF"/>
    <w:rsid w:val="00AA21D9"/>
    <w:rsid w:val="00AA238B"/>
    <w:rsid w:val="00AA278B"/>
    <w:rsid w:val="00AA2983"/>
    <w:rsid w:val="00AA2B26"/>
    <w:rsid w:val="00AA30A5"/>
    <w:rsid w:val="00AA3380"/>
    <w:rsid w:val="00AA3897"/>
    <w:rsid w:val="00AA3A37"/>
    <w:rsid w:val="00AA3AA2"/>
    <w:rsid w:val="00AA3C57"/>
    <w:rsid w:val="00AA3FC3"/>
    <w:rsid w:val="00AA40D4"/>
    <w:rsid w:val="00AA4172"/>
    <w:rsid w:val="00AA45F9"/>
    <w:rsid w:val="00AA4817"/>
    <w:rsid w:val="00AA4E27"/>
    <w:rsid w:val="00AA4FA6"/>
    <w:rsid w:val="00AA50CE"/>
    <w:rsid w:val="00AA51A9"/>
    <w:rsid w:val="00AA5526"/>
    <w:rsid w:val="00AA556E"/>
    <w:rsid w:val="00AA5635"/>
    <w:rsid w:val="00AA566B"/>
    <w:rsid w:val="00AA5705"/>
    <w:rsid w:val="00AA5CCD"/>
    <w:rsid w:val="00AA5EBE"/>
    <w:rsid w:val="00AA5F40"/>
    <w:rsid w:val="00AA5FE3"/>
    <w:rsid w:val="00AA683D"/>
    <w:rsid w:val="00AA6AA4"/>
    <w:rsid w:val="00AA6EB7"/>
    <w:rsid w:val="00AA7189"/>
    <w:rsid w:val="00AA72A3"/>
    <w:rsid w:val="00AA753F"/>
    <w:rsid w:val="00AA787D"/>
    <w:rsid w:val="00AA7A82"/>
    <w:rsid w:val="00AA7EAD"/>
    <w:rsid w:val="00AA7F75"/>
    <w:rsid w:val="00AA7F8D"/>
    <w:rsid w:val="00AB098A"/>
    <w:rsid w:val="00AB0AEE"/>
    <w:rsid w:val="00AB0AF0"/>
    <w:rsid w:val="00AB0C37"/>
    <w:rsid w:val="00AB124A"/>
    <w:rsid w:val="00AB1250"/>
    <w:rsid w:val="00AB1285"/>
    <w:rsid w:val="00AB12AE"/>
    <w:rsid w:val="00AB1347"/>
    <w:rsid w:val="00AB146C"/>
    <w:rsid w:val="00AB193B"/>
    <w:rsid w:val="00AB1AB2"/>
    <w:rsid w:val="00AB1BBB"/>
    <w:rsid w:val="00AB1BBF"/>
    <w:rsid w:val="00AB1C13"/>
    <w:rsid w:val="00AB1C87"/>
    <w:rsid w:val="00AB1CA3"/>
    <w:rsid w:val="00AB1EB9"/>
    <w:rsid w:val="00AB1F49"/>
    <w:rsid w:val="00AB21EA"/>
    <w:rsid w:val="00AB21F0"/>
    <w:rsid w:val="00AB22E5"/>
    <w:rsid w:val="00AB2617"/>
    <w:rsid w:val="00AB2733"/>
    <w:rsid w:val="00AB2740"/>
    <w:rsid w:val="00AB2A08"/>
    <w:rsid w:val="00AB2CBB"/>
    <w:rsid w:val="00AB3527"/>
    <w:rsid w:val="00AB3801"/>
    <w:rsid w:val="00AB38EF"/>
    <w:rsid w:val="00AB39EB"/>
    <w:rsid w:val="00AB3D18"/>
    <w:rsid w:val="00AB43C4"/>
    <w:rsid w:val="00AB44C2"/>
    <w:rsid w:val="00AB46A8"/>
    <w:rsid w:val="00AB4789"/>
    <w:rsid w:val="00AB4B8B"/>
    <w:rsid w:val="00AB4E74"/>
    <w:rsid w:val="00AB5072"/>
    <w:rsid w:val="00AB53AC"/>
    <w:rsid w:val="00AB5885"/>
    <w:rsid w:val="00AB60D2"/>
    <w:rsid w:val="00AB62EB"/>
    <w:rsid w:val="00AB631F"/>
    <w:rsid w:val="00AB63CA"/>
    <w:rsid w:val="00AB651F"/>
    <w:rsid w:val="00AB6675"/>
    <w:rsid w:val="00AB6850"/>
    <w:rsid w:val="00AB6973"/>
    <w:rsid w:val="00AB6B85"/>
    <w:rsid w:val="00AB6E54"/>
    <w:rsid w:val="00AB71A5"/>
    <w:rsid w:val="00AB720A"/>
    <w:rsid w:val="00AB7241"/>
    <w:rsid w:val="00AB7318"/>
    <w:rsid w:val="00AB76CD"/>
    <w:rsid w:val="00AB7C48"/>
    <w:rsid w:val="00AB7F23"/>
    <w:rsid w:val="00AC029A"/>
    <w:rsid w:val="00AC0670"/>
    <w:rsid w:val="00AC0702"/>
    <w:rsid w:val="00AC0BAC"/>
    <w:rsid w:val="00AC0BB0"/>
    <w:rsid w:val="00AC0BCA"/>
    <w:rsid w:val="00AC0E78"/>
    <w:rsid w:val="00AC1065"/>
    <w:rsid w:val="00AC1145"/>
    <w:rsid w:val="00AC11DE"/>
    <w:rsid w:val="00AC1540"/>
    <w:rsid w:val="00AC158D"/>
    <w:rsid w:val="00AC15E3"/>
    <w:rsid w:val="00AC17A6"/>
    <w:rsid w:val="00AC1BAA"/>
    <w:rsid w:val="00AC1DD1"/>
    <w:rsid w:val="00AC1E1E"/>
    <w:rsid w:val="00AC232E"/>
    <w:rsid w:val="00AC238D"/>
    <w:rsid w:val="00AC2826"/>
    <w:rsid w:val="00AC2BF7"/>
    <w:rsid w:val="00AC2C68"/>
    <w:rsid w:val="00AC311D"/>
    <w:rsid w:val="00AC364D"/>
    <w:rsid w:val="00AC37E5"/>
    <w:rsid w:val="00AC386E"/>
    <w:rsid w:val="00AC38B3"/>
    <w:rsid w:val="00AC391F"/>
    <w:rsid w:val="00AC3978"/>
    <w:rsid w:val="00AC39EF"/>
    <w:rsid w:val="00AC3A8A"/>
    <w:rsid w:val="00AC3E5A"/>
    <w:rsid w:val="00AC3E9A"/>
    <w:rsid w:val="00AC418F"/>
    <w:rsid w:val="00AC4210"/>
    <w:rsid w:val="00AC43ED"/>
    <w:rsid w:val="00AC4564"/>
    <w:rsid w:val="00AC46D2"/>
    <w:rsid w:val="00AC473D"/>
    <w:rsid w:val="00AC47C1"/>
    <w:rsid w:val="00AC4B15"/>
    <w:rsid w:val="00AC4B4B"/>
    <w:rsid w:val="00AC4BC8"/>
    <w:rsid w:val="00AC4D15"/>
    <w:rsid w:val="00AC5067"/>
    <w:rsid w:val="00AC512C"/>
    <w:rsid w:val="00AC53FB"/>
    <w:rsid w:val="00AC543A"/>
    <w:rsid w:val="00AC55DC"/>
    <w:rsid w:val="00AC5C5E"/>
    <w:rsid w:val="00AC5C8E"/>
    <w:rsid w:val="00AC5F6B"/>
    <w:rsid w:val="00AC60DC"/>
    <w:rsid w:val="00AC6268"/>
    <w:rsid w:val="00AC6358"/>
    <w:rsid w:val="00AC66C0"/>
    <w:rsid w:val="00AC67A9"/>
    <w:rsid w:val="00AC6A5F"/>
    <w:rsid w:val="00AC6D6C"/>
    <w:rsid w:val="00AC6E5B"/>
    <w:rsid w:val="00AC6F1F"/>
    <w:rsid w:val="00AC6F60"/>
    <w:rsid w:val="00AC6FE7"/>
    <w:rsid w:val="00AC747D"/>
    <w:rsid w:val="00AC748C"/>
    <w:rsid w:val="00AC7565"/>
    <w:rsid w:val="00AC759F"/>
    <w:rsid w:val="00AC75F5"/>
    <w:rsid w:val="00AC7786"/>
    <w:rsid w:val="00AC7960"/>
    <w:rsid w:val="00AC7A6D"/>
    <w:rsid w:val="00AC7F49"/>
    <w:rsid w:val="00AD0130"/>
    <w:rsid w:val="00AD016F"/>
    <w:rsid w:val="00AD04F9"/>
    <w:rsid w:val="00AD0547"/>
    <w:rsid w:val="00AD05CD"/>
    <w:rsid w:val="00AD060B"/>
    <w:rsid w:val="00AD077E"/>
    <w:rsid w:val="00AD0853"/>
    <w:rsid w:val="00AD0977"/>
    <w:rsid w:val="00AD0CAA"/>
    <w:rsid w:val="00AD0D49"/>
    <w:rsid w:val="00AD11BB"/>
    <w:rsid w:val="00AD11CF"/>
    <w:rsid w:val="00AD11EE"/>
    <w:rsid w:val="00AD1242"/>
    <w:rsid w:val="00AD143A"/>
    <w:rsid w:val="00AD1732"/>
    <w:rsid w:val="00AD179B"/>
    <w:rsid w:val="00AD18D1"/>
    <w:rsid w:val="00AD1991"/>
    <w:rsid w:val="00AD1BF3"/>
    <w:rsid w:val="00AD1E21"/>
    <w:rsid w:val="00AD1FC7"/>
    <w:rsid w:val="00AD20B9"/>
    <w:rsid w:val="00AD2149"/>
    <w:rsid w:val="00AD2335"/>
    <w:rsid w:val="00AD23AB"/>
    <w:rsid w:val="00AD240F"/>
    <w:rsid w:val="00AD296F"/>
    <w:rsid w:val="00AD2E45"/>
    <w:rsid w:val="00AD2EFA"/>
    <w:rsid w:val="00AD2FBE"/>
    <w:rsid w:val="00AD369B"/>
    <w:rsid w:val="00AD394F"/>
    <w:rsid w:val="00AD3C69"/>
    <w:rsid w:val="00AD3CE6"/>
    <w:rsid w:val="00AD3F43"/>
    <w:rsid w:val="00AD40E5"/>
    <w:rsid w:val="00AD412C"/>
    <w:rsid w:val="00AD4161"/>
    <w:rsid w:val="00AD4293"/>
    <w:rsid w:val="00AD4486"/>
    <w:rsid w:val="00AD44A8"/>
    <w:rsid w:val="00AD4699"/>
    <w:rsid w:val="00AD46D6"/>
    <w:rsid w:val="00AD471C"/>
    <w:rsid w:val="00AD4791"/>
    <w:rsid w:val="00AD486F"/>
    <w:rsid w:val="00AD4940"/>
    <w:rsid w:val="00AD4B4F"/>
    <w:rsid w:val="00AD4CC9"/>
    <w:rsid w:val="00AD51C3"/>
    <w:rsid w:val="00AD54C7"/>
    <w:rsid w:val="00AD5591"/>
    <w:rsid w:val="00AD5E19"/>
    <w:rsid w:val="00AD5E4A"/>
    <w:rsid w:val="00AD5F15"/>
    <w:rsid w:val="00AD5FD6"/>
    <w:rsid w:val="00AD63F5"/>
    <w:rsid w:val="00AD646F"/>
    <w:rsid w:val="00AD659B"/>
    <w:rsid w:val="00AD6748"/>
    <w:rsid w:val="00AD695C"/>
    <w:rsid w:val="00AD6ADC"/>
    <w:rsid w:val="00AD6D1B"/>
    <w:rsid w:val="00AD71E0"/>
    <w:rsid w:val="00AD7399"/>
    <w:rsid w:val="00AD751F"/>
    <w:rsid w:val="00AD775F"/>
    <w:rsid w:val="00AD7A2E"/>
    <w:rsid w:val="00AD7A50"/>
    <w:rsid w:val="00AD7A95"/>
    <w:rsid w:val="00AE0335"/>
    <w:rsid w:val="00AE0418"/>
    <w:rsid w:val="00AE0588"/>
    <w:rsid w:val="00AE0C45"/>
    <w:rsid w:val="00AE0E21"/>
    <w:rsid w:val="00AE0E59"/>
    <w:rsid w:val="00AE0EFF"/>
    <w:rsid w:val="00AE0F61"/>
    <w:rsid w:val="00AE0F83"/>
    <w:rsid w:val="00AE1142"/>
    <w:rsid w:val="00AE1393"/>
    <w:rsid w:val="00AE14FD"/>
    <w:rsid w:val="00AE1B7D"/>
    <w:rsid w:val="00AE1E31"/>
    <w:rsid w:val="00AE1E4F"/>
    <w:rsid w:val="00AE1F89"/>
    <w:rsid w:val="00AE1FEA"/>
    <w:rsid w:val="00AE2056"/>
    <w:rsid w:val="00AE2522"/>
    <w:rsid w:val="00AE27D9"/>
    <w:rsid w:val="00AE2821"/>
    <w:rsid w:val="00AE285D"/>
    <w:rsid w:val="00AE2A93"/>
    <w:rsid w:val="00AE2D8D"/>
    <w:rsid w:val="00AE2E8B"/>
    <w:rsid w:val="00AE314E"/>
    <w:rsid w:val="00AE314F"/>
    <w:rsid w:val="00AE326C"/>
    <w:rsid w:val="00AE32EB"/>
    <w:rsid w:val="00AE3347"/>
    <w:rsid w:val="00AE38DB"/>
    <w:rsid w:val="00AE3B57"/>
    <w:rsid w:val="00AE3D22"/>
    <w:rsid w:val="00AE4676"/>
    <w:rsid w:val="00AE4AEE"/>
    <w:rsid w:val="00AE4CCE"/>
    <w:rsid w:val="00AE4D8D"/>
    <w:rsid w:val="00AE4EA9"/>
    <w:rsid w:val="00AE50DA"/>
    <w:rsid w:val="00AE57EA"/>
    <w:rsid w:val="00AE585E"/>
    <w:rsid w:val="00AE5CB0"/>
    <w:rsid w:val="00AE5E89"/>
    <w:rsid w:val="00AE5F62"/>
    <w:rsid w:val="00AE604B"/>
    <w:rsid w:val="00AE60E0"/>
    <w:rsid w:val="00AE6124"/>
    <w:rsid w:val="00AE6410"/>
    <w:rsid w:val="00AE693F"/>
    <w:rsid w:val="00AE6AC0"/>
    <w:rsid w:val="00AE6B98"/>
    <w:rsid w:val="00AE6DEC"/>
    <w:rsid w:val="00AE6FE5"/>
    <w:rsid w:val="00AE6FFA"/>
    <w:rsid w:val="00AE7079"/>
    <w:rsid w:val="00AE751D"/>
    <w:rsid w:val="00AE7529"/>
    <w:rsid w:val="00AE78A0"/>
    <w:rsid w:val="00AE7ACE"/>
    <w:rsid w:val="00AE7B77"/>
    <w:rsid w:val="00AE7D99"/>
    <w:rsid w:val="00AE7FF2"/>
    <w:rsid w:val="00AF04EB"/>
    <w:rsid w:val="00AF059C"/>
    <w:rsid w:val="00AF0689"/>
    <w:rsid w:val="00AF0ABC"/>
    <w:rsid w:val="00AF0B03"/>
    <w:rsid w:val="00AF1374"/>
    <w:rsid w:val="00AF146A"/>
    <w:rsid w:val="00AF14E0"/>
    <w:rsid w:val="00AF16AE"/>
    <w:rsid w:val="00AF1768"/>
    <w:rsid w:val="00AF1972"/>
    <w:rsid w:val="00AF1A46"/>
    <w:rsid w:val="00AF1F15"/>
    <w:rsid w:val="00AF2342"/>
    <w:rsid w:val="00AF27D9"/>
    <w:rsid w:val="00AF280B"/>
    <w:rsid w:val="00AF297A"/>
    <w:rsid w:val="00AF2AAE"/>
    <w:rsid w:val="00AF2AB5"/>
    <w:rsid w:val="00AF2FC3"/>
    <w:rsid w:val="00AF3024"/>
    <w:rsid w:val="00AF33CA"/>
    <w:rsid w:val="00AF378C"/>
    <w:rsid w:val="00AF3848"/>
    <w:rsid w:val="00AF39BB"/>
    <w:rsid w:val="00AF3F39"/>
    <w:rsid w:val="00AF4128"/>
    <w:rsid w:val="00AF414A"/>
    <w:rsid w:val="00AF43D0"/>
    <w:rsid w:val="00AF4593"/>
    <w:rsid w:val="00AF4603"/>
    <w:rsid w:val="00AF4C80"/>
    <w:rsid w:val="00AF4C8D"/>
    <w:rsid w:val="00AF4CC5"/>
    <w:rsid w:val="00AF4DEE"/>
    <w:rsid w:val="00AF530D"/>
    <w:rsid w:val="00AF535F"/>
    <w:rsid w:val="00AF5BD6"/>
    <w:rsid w:val="00AF5F74"/>
    <w:rsid w:val="00AF6830"/>
    <w:rsid w:val="00AF6A36"/>
    <w:rsid w:val="00AF6A73"/>
    <w:rsid w:val="00AF6D18"/>
    <w:rsid w:val="00AF6DBB"/>
    <w:rsid w:val="00AF6E5D"/>
    <w:rsid w:val="00AF709B"/>
    <w:rsid w:val="00AF70AA"/>
    <w:rsid w:val="00AF7387"/>
    <w:rsid w:val="00AF7468"/>
    <w:rsid w:val="00AF74EF"/>
    <w:rsid w:val="00AF7737"/>
    <w:rsid w:val="00AF776D"/>
    <w:rsid w:val="00AF78C7"/>
    <w:rsid w:val="00AF7B89"/>
    <w:rsid w:val="00AF7DC6"/>
    <w:rsid w:val="00AF7F8D"/>
    <w:rsid w:val="00B000D4"/>
    <w:rsid w:val="00B001D4"/>
    <w:rsid w:val="00B00241"/>
    <w:rsid w:val="00B006A3"/>
    <w:rsid w:val="00B0076A"/>
    <w:rsid w:val="00B00808"/>
    <w:rsid w:val="00B0091F"/>
    <w:rsid w:val="00B00A19"/>
    <w:rsid w:val="00B00AE9"/>
    <w:rsid w:val="00B00D05"/>
    <w:rsid w:val="00B00D23"/>
    <w:rsid w:val="00B01535"/>
    <w:rsid w:val="00B0158D"/>
    <w:rsid w:val="00B016F4"/>
    <w:rsid w:val="00B0188B"/>
    <w:rsid w:val="00B018F8"/>
    <w:rsid w:val="00B0191B"/>
    <w:rsid w:val="00B01B70"/>
    <w:rsid w:val="00B01D93"/>
    <w:rsid w:val="00B01D9E"/>
    <w:rsid w:val="00B01E49"/>
    <w:rsid w:val="00B02513"/>
    <w:rsid w:val="00B0265D"/>
    <w:rsid w:val="00B02732"/>
    <w:rsid w:val="00B02A46"/>
    <w:rsid w:val="00B02B76"/>
    <w:rsid w:val="00B02E8C"/>
    <w:rsid w:val="00B02FC0"/>
    <w:rsid w:val="00B02FFC"/>
    <w:rsid w:val="00B032C6"/>
    <w:rsid w:val="00B033E8"/>
    <w:rsid w:val="00B034AC"/>
    <w:rsid w:val="00B036EF"/>
    <w:rsid w:val="00B0389A"/>
    <w:rsid w:val="00B03A62"/>
    <w:rsid w:val="00B03AB9"/>
    <w:rsid w:val="00B03B5F"/>
    <w:rsid w:val="00B046C3"/>
    <w:rsid w:val="00B04D3E"/>
    <w:rsid w:val="00B0506D"/>
    <w:rsid w:val="00B05124"/>
    <w:rsid w:val="00B05456"/>
    <w:rsid w:val="00B05772"/>
    <w:rsid w:val="00B057FD"/>
    <w:rsid w:val="00B05838"/>
    <w:rsid w:val="00B058AF"/>
    <w:rsid w:val="00B05B20"/>
    <w:rsid w:val="00B05BE2"/>
    <w:rsid w:val="00B05C7C"/>
    <w:rsid w:val="00B05D63"/>
    <w:rsid w:val="00B05FBC"/>
    <w:rsid w:val="00B05FF6"/>
    <w:rsid w:val="00B06218"/>
    <w:rsid w:val="00B062FD"/>
    <w:rsid w:val="00B06394"/>
    <w:rsid w:val="00B065D3"/>
    <w:rsid w:val="00B0676C"/>
    <w:rsid w:val="00B0687D"/>
    <w:rsid w:val="00B069F6"/>
    <w:rsid w:val="00B06A85"/>
    <w:rsid w:val="00B06B0E"/>
    <w:rsid w:val="00B06CB2"/>
    <w:rsid w:val="00B07275"/>
    <w:rsid w:val="00B075D5"/>
    <w:rsid w:val="00B075E9"/>
    <w:rsid w:val="00B079CE"/>
    <w:rsid w:val="00B07AD1"/>
    <w:rsid w:val="00B07AD2"/>
    <w:rsid w:val="00B07C0A"/>
    <w:rsid w:val="00B07C92"/>
    <w:rsid w:val="00B07D9D"/>
    <w:rsid w:val="00B07EF6"/>
    <w:rsid w:val="00B10079"/>
    <w:rsid w:val="00B10564"/>
    <w:rsid w:val="00B10664"/>
    <w:rsid w:val="00B107E8"/>
    <w:rsid w:val="00B1083D"/>
    <w:rsid w:val="00B10858"/>
    <w:rsid w:val="00B10892"/>
    <w:rsid w:val="00B10BE0"/>
    <w:rsid w:val="00B11025"/>
    <w:rsid w:val="00B11541"/>
    <w:rsid w:val="00B11600"/>
    <w:rsid w:val="00B11608"/>
    <w:rsid w:val="00B11CDB"/>
    <w:rsid w:val="00B12416"/>
    <w:rsid w:val="00B12547"/>
    <w:rsid w:val="00B12987"/>
    <w:rsid w:val="00B12CB9"/>
    <w:rsid w:val="00B12CEB"/>
    <w:rsid w:val="00B12D8A"/>
    <w:rsid w:val="00B12F52"/>
    <w:rsid w:val="00B13154"/>
    <w:rsid w:val="00B134D4"/>
    <w:rsid w:val="00B135A7"/>
    <w:rsid w:val="00B13A3D"/>
    <w:rsid w:val="00B13B51"/>
    <w:rsid w:val="00B13CE2"/>
    <w:rsid w:val="00B13D45"/>
    <w:rsid w:val="00B13D5A"/>
    <w:rsid w:val="00B13DB9"/>
    <w:rsid w:val="00B13F05"/>
    <w:rsid w:val="00B1403F"/>
    <w:rsid w:val="00B140ED"/>
    <w:rsid w:val="00B14164"/>
    <w:rsid w:val="00B1431E"/>
    <w:rsid w:val="00B14358"/>
    <w:rsid w:val="00B1466E"/>
    <w:rsid w:val="00B14726"/>
    <w:rsid w:val="00B14739"/>
    <w:rsid w:val="00B14793"/>
    <w:rsid w:val="00B1490F"/>
    <w:rsid w:val="00B14C6F"/>
    <w:rsid w:val="00B14D46"/>
    <w:rsid w:val="00B15028"/>
    <w:rsid w:val="00B1521E"/>
    <w:rsid w:val="00B1573A"/>
    <w:rsid w:val="00B158DE"/>
    <w:rsid w:val="00B159F1"/>
    <w:rsid w:val="00B15DB5"/>
    <w:rsid w:val="00B15DE5"/>
    <w:rsid w:val="00B160E8"/>
    <w:rsid w:val="00B16136"/>
    <w:rsid w:val="00B16339"/>
    <w:rsid w:val="00B16541"/>
    <w:rsid w:val="00B16600"/>
    <w:rsid w:val="00B16D27"/>
    <w:rsid w:val="00B16D91"/>
    <w:rsid w:val="00B16E8E"/>
    <w:rsid w:val="00B16ECF"/>
    <w:rsid w:val="00B171D1"/>
    <w:rsid w:val="00B1725E"/>
    <w:rsid w:val="00B1730E"/>
    <w:rsid w:val="00B173DD"/>
    <w:rsid w:val="00B1757C"/>
    <w:rsid w:val="00B175D8"/>
    <w:rsid w:val="00B17949"/>
    <w:rsid w:val="00B17CE0"/>
    <w:rsid w:val="00B2071B"/>
    <w:rsid w:val="00B2092B"/>
    <w:rsid w:val="00B209A5"/>
    <w:rsid w:val="00B20BD5"/>
    <w:rsid w:val="00B212BB"/>
    <w:rsid w:val="00B214F0"/>
    <w:rsid w:val="00B21532"/>
    <w:rsid w:val="00B2159B"/>
    <w:rsid w:val="00B21B9F"/>
    <w:rsid w:val="00B21C2A"/>
    <w:rsid w:val="00B21DAF"/>
    <w:rsid w:val="00B21F70"/>
    <w:rsid w:val="00B22281"/>
    <w:rsid w:val="00B22704"/>
    <w:rsid w:val="00B22CAC"/>
    <w:rsid w:val="00B232CC"/>
    <w:rsid w:val="00B23315"/>
    <w:rsid w:val="00B2336F"/>
    <w:rsid w:val="00B23526"/>
    <w:rsid w:val="00B23660"/>
    <w:rsid w:val="00B236DB"/>
    <w:rsid w:val="00B238EA"/>
    <w:rsid w:val="00B239B5"/>
    <w:rsid w:val="00B23A97"/>
    <w:rsid w:val="00B23AA8"/>
    <w:rsid w:val="00B23BA1"/>
    <w:rsid w:val="00B242E4"/>
    <w:rsid w:val="00B248D2"/>
    <w:rsid w:val="00B24AA0"/>
    <w:rsid w:val="00B2524C"/>
    <w:rsid w:val="00B25315"/>
    <w:rsid w:val="00B25352"/>
    <w:rsid w:val="00B2558F"/>
    <w:rsid w:val="00B2583A"/>
    <w:rsid w:val="00B25962"/>
    <w:rsid w:val="00B25A8D"/>
    <w:rsid w:val="00B25B4A"/>
    <w:rsid w:val="00B25C0F"/>
    <w:rsid w:val="00B25C2C"/>
    <w:rsid w:val="00B25C65"/>
    <w:rsid w:val="00B25C82"/>
    <w:rsid w:val="00B25D40"/>
    <w:rsid w:val="00B266B0"/>
    <w:rsid w:val="00B26743"/>
    <w:rsid w:val="00B26A7E"/>
    <w:rsid w:val="00B26B2B"/>
    <w:rsid w:val="00B26DEC"/>
    <w:rsid w:val="00B27628"/>
    <w:rsid w:val="00B27902"/>
    <w:rsid w:val="00B27BBC"/>
    <w:rsid w:val="00B27C5D"/>
    <w:rsid w:val="00B27CFF"/>
    <w:rsid w:val="00B27D49"/>
    <w:rsid w:val="00B27D74"/>
    <w:rsid w:val="00B27F5A"/>
    <w:rsid w:val="00B27F75"/>
    <w:rsid w:val="00B27FA3"/>
    <w:rsid w:val="00B300E8"/>
    <w:rsid w:val="00B301C7"/>
    <w:rsid w:val="00B303CE"/>
    <w:rsid w:val="00B303EC"/>
    <w:rsid w:val="00B3073C"/>
    <w:rsid w:val="00B30993"/>
    <w:rsid w:val="00B309EF"/>
    <w:rsid w:val="00B30A36"/>
    <w:rsid w:val="00B30A49"/>
    <w:rsid w:val="00B30AA0"/>
    <w:rsid w:val="00B310D9"/>
    <w:rsid w:val="00B311A4"/>
    <w:rsid w:val="00B3174F"/>
    <w:rsid w:val="00B31896"/>
    <w:rsid w:val="00B319A0"/>
    <w:rsid w:val="00B31DC9"/>
    <w:rsid w:val="00B321FA"/>
    <w:rsid w:val="00B3234C"/>
    <w:rsid w:val="00B32BA1"/>
    <w:rsid w:val="00B33103"/>
    <w:rsid w:val="00B332D9"/>
    <w:rsid w:val="00B335E7"/>
    <w:rsid w:val="00B33633"/>
    <w:rsid w:val="00B338AC"/>
    <w:rsid w:val="00B33C5E"/>
    <w:rsid w:val="00B33EDA"/>
    <w:rsid w:val="00B3411A"/>
    <w:rsid w:val="00B341A9"/>
    <w:rsid w:val="00B343B7"/>
    <w:rsid w:val="00B3446F"/>
    <w:rsid w:val="00B34668"/>
    <w:rsid w:val="00B34ADC"/>
    <w:rsid w:val="00B34B67"/>
    <w:rsid w:val="00B34BED"/>
    <w:rsid w:val="00B34C9D"/>
    <w:rsid w:val="00B35076"/>
    <w:rsid w:val="00B350ED"/>
    <w:rsid w:val="00B3524C"/>
    <w:rsid w:val="00B3528F"/>
    <w:rsid w:val="00B35381"/>
    <w:rsid w:val="00B3579D"/>
    <w:rsid w:val="00B35E7D"/>
    <w:rsid w:val="00B3600A"/>
    <w:rsid w:val="00B360A3"/>
    <w:rsid w:val="00B3611E"/>
    <w:rsid w:val="00B361B9"/>
    <w:rsid w:val="00B361BD"/>
    <w:rsid w:val="00B36210"/>
    <w:rsid w:val="00B36242"/>
    <w:rsid w:val="00B36542"/>
    <w:rsid w:val="00B3664A"/>
    <w:rsid w:val="00B367E9"/>
    <w:rsid w:val="00B36985"/>
    <w:rsid w:val="00B369AB"/>
    <w:rsid w:val="00B36F18"/>
    <w:rsid w:val="00B37270"/>
    <w:rsid w:val="00B37299"/>
    <w:rsid w:val="00B3747B"/>
    <w:rsid w:val="00B3772A"/>
    <w:rsid w:val="00B377A7"/>
    <w:rsid w:val="00B37DA8"/>
    <w:rsid w:val="00B37E3A"/>
    <w:rsid w:val="00B40305"/>
    <w:rsid w:val="00B4046A"/>
    <w:rsid w:val="00B406D9"/>
    <w:rsid w:val="00B40ABB"/>
    <w:rsid w:val="00B40F66"/>
    <w:rsid w:val="00B41017"/>
    <w:rsid w:val="00B41142"/>
    <w:rsid w:val="00B411C7"/>
    <w:rsid w:val="00B411FA"/>
    <w:rsid w:val="00B413CC"/>
    <w:rsid w:val="00B41449"/>
    <w:rsid w:val="00B41941"/>
    <w:rsid w:val="00B41A0A"/>
    <w:rsid w:val="00B41E10"/>
    <w:rsid w:val="00B41E3F"/>
    <w:rsid w:val="00B41EB7"/>
    <w:rsid w:val="00B41EC5"/>
    <w:rsid w:val="00B41F25"/>
    <w:rsid w:val="00B41F88"/>
    <w:rsid w:val="00B421D2"/>
    <w:rsid w:val="00B421F9"/>
    <w:rsid w:val="00B4221F"/>
    <w:rsid w:val="00B424C0"/>
    <w:rsid w:val="00B4265F"/>
    <w:rsid w:val="00B42C57"/>
    <w:rsid w:val="00B430C8"/>
    <w:rsid w:val="00B43168"/>
    <w:rsid w:val="00B43180"/>
    <w:rsid w:val="00B433B8"/>
    <w:rsid w:val="00B4361A"/>
    <w:rsid w:val="00B4386F"/>
    <w:rsid w:val="00B439A9"/>
    <w:rsid w:val="00B43D9F"/>
    <w:rsid w:val="00B43DDE"/>
    <w:rsid w:val="00B43E1D"/>
    <w:rsid w:val="00B43E46"/>
    <w:rsid w:val="00B43E94"/>
    <w:rsid w:val="00B43F2B"/>
    <w:rsid w:val="00B446FC"/>
    <w:rsid w:val="00B44731"/>
    <w:rsid w:val="00B4479E"/>
    <w:rsid w:val="00B44859"/>
    <w:rsid w:val="00B44866"/>
    <w:rsid w:val="00B44899"/>
    <w:rsid w:val="00B44D65"/>
    <w:rsid w:val="00B44E8E"/>
    <w:rsid w:val="00B44F6B"/>
    <w:rsid w:val="00B45050"/>
    <w:rsid w:val="00B451C7"/>
    <w:rsid w:val="00B455C9"/>
    <w:rsid w:val="00B456F7"/>
    <w:rsid w:val="00B4591C"/>
    <w:rsid w:val="00B4599D"/>
    <w:rsid w:val="00B459A3"/>
    <w:rsid w:val="00B45E27"/>
    <w:rsid w:val="00B4612C"/>
    <w:rsid w:val="00B46176"/>
    <w:rsid w:val="00B465E3"/>
    <w:rsid w:val="00B4672D"/>
    <w:rsid w:val="00B46755"/>
    <w:rsid w:val="00B46A2D"/>
    <w:rsid w:val="00B46A4A"/>
    <w:rsid w:val="00B46D10"/>
    <w:rsid w:val="00B46E0C"/>
    <w:rsid w:val="00B46EF9"/>
    <w:rsid w:val="00B4739B"/>
    <w:rsid w:val="00B474EE"/>
    <w:rsid w:val="00B475B7"/>
    <w:rsid w:val="00B4769E"/>
    <w:rsid w:val="00B47C18"/>
    <w:rsid w:val="00B47EA7"/>
    <w:rsid w:val="00B50067"/>
    <w:rsid w:val="00B50298"/>
    <w:rsid w:val="00B50301"/>
    <w:rsid w:val="00B50352"/>
    <w:rsid w:val="00B5042C"/>
    <w:rsid w:val="00B50470"/>
    <w:rsid w:val="00B505E7"/>
    <w:rsid w:val="00B5076E"/>
    <w:rsid w:val="00B508A5"/>
    <w:rsid w:val="00B508FE"/>
    <w:rsid w:val="00B50E62"/>
    <w:rsid w:val="00B51078"/>
    <w:rsid w:val="00B5134A"/>
    <w:rsid w:val="00B513C5"/>
    <w:rsid w:val="00B51427"/>
    <w:rsid w:val="00B5145C"/>
    <w:rsid w:val="00B51645"/>
    <w:rsid w:val="00B51840"/>
    <w:rsid w:val="00B5194C"/>
    <w:rsid w:val="00B51C64"/>
    <w:rsid w:val="00B52259"/>
    <w:rsid w:val="00B525BA"/>
    <w:rsid w:val="00B52638"/>
    <w:rsid w:val="00B5264D"/>
    <w:rsid w:val="00B52998"/>
    <w:rsid w:val="00B52B97"/>
    <w:rsid w:val="00B52E29"/>
    <w:rsid w:val="00B52F3C"/>
    <w:rsid w:val="00B5300E"/>
    <w:rsid w:val="00B53021"/>
    <w:rsid w:val="00B53104"/>
    <w:rsid w:val="00B5319B"/>
    <w:rsid w:val="00B53372"/>
    <w:rsid w:val="00B533C7"/>
    <w:rsid w:val="00B53681"/>
    <w:rsid w:val="00B539C5"/>
    <w:rsid w:val="00B53B81"/>
    <w:rsid w:val="00B53D8F"/>
    <w:rsid w:val="00B53F30"/>
    <w:rsid w:val="00B53FAB"/>
    <w:rsid w:val="00B54097"/>
    <w:rsid w:val="00B543F2"/>
    <w:rsid w:val="00B54480"/>
    <w:rsid w:val="00B54494"/>
    <w:rsid w:val="00B5477A"/>
    <w:rsid w:val="00B548F3"/>
    <w:rsid w:val="00B54A08"/>
    <w:rsid w:val="00B54C2F"/>
    <w:rsid w:val="00B54CFB"/>
    <w:rsid w:val="00B54D2F"/>
    <w:rsid w:val="00B54E58"/>
    <w:rsid w:val="00B54EAA"/>
    <w:rsid w:val="00B54ED5"/>
    <w:rsid w:val="00B552AA"/>
    <w:rsid w:val="00B55327"/>
    <w:rsid w:val="00B5555A"/>
    <w:rsid w:val="00B555E1"/>
    <w:rsid w:val="00B555F3"/>
    <w:rsid w:val="00B5560A"/>
    <w:rsid w:val="00B55931"/>
    <w:rsid w:val="00B55D33"/>
    <w:rsid w:val="00B55D98"/>
    <w:rsid w:val="00B561CC"/>
    <w:rsid w:val="00B56340"/>
    <w:rsid w:val="00B566E5"/>
    <w:rsid w:val="00B567C3"/>
    <w:rsid w:val="00B56D67"/>
    <w:rsid w:val="00B56EDC"/>
    <w:rsid w:val="00B5716E"/>
    <w:rsid w:val="00B57421"/>
    <w:rsid w:val="00B5792E"/>
    <w:rsid w:val="00B57A6E"/>
    <w:rsid w:val="00B57B1D"/>
    <w:rsid w:val="00B60034"/>
    <w:rsid w:val="00B602DE"/>
    <w:rsid w:val="00B60304"/>
    <w:rsid w:val="00B604B0"/>
    <w:rsid w:val="00B60651"/>
    <w:rsid w:val="00B60751"/>
    <w:rsid w:val="00B60980"/>
    <w:rsid w:val="00B60A92"/>
    <w:rsid w:val="00B60D86"/>
    <w:rsid w:val="00B612A1"/>
    <w:rsid w:val="00B61369"/>
    <w:rsid w:val="00B61944"/>
    <w:rsid w:val="00B619C6"/>
    <w:rsid w:val="00B61AC9"/>
    <w:rsid w:val="00B6256C"/>
    <w:rsid w:val="00B627FA"/>
    <w:rsid w:val="00B629A9"/>
    <w:rsid w:val="00B62A06"/>
    <w:rsid w:val="00B62AB7"/>
    <w:rsid w:val="00B62D6C"/>
    <w:rsid w:val="00B62E38"/>
    <w:rsid w:val="00B63403"/>
    <w:rsid w:val="00B63741"/>
    <w:rsid w:val="00B63796"/>
    <w:rsid w:val="00B6383F"/>
    <w:rsid w:val="00B63987"/>
    <w:rsid w:val="00B63D53"/>
    <w:rsid w:val="00B63DC7"/>
    <w:rsid w:val="00B63E93"/>
    <w:rsid w:val="00B64687"/>
    <w:rsid w:val="00B647D7"/>
    <w:rsid w:val="00B649B3"/>
    <w:rsid w:val="00B64F47"/>
    <w:rsid w:val="00B65687"/>
    <w:rsid w:val="00B656F8"/>
    <w:rsid w:val="00B659DF"/>
    <w:rsid w:val="00B65C51"/>
    <w:rsid w:val="00B65D2A"/>
    <w:rsid w:val="00B66575"/>
    <w:rsid w:val="00B6659F"/>
    <w:rsid w:val="00B6671B"/>
    <w:rsid w:val="00B66817"/>
    <w:rsid w:val="00B66847"/>
    <w:rsid w:val="00B66989"/>
    <w:rsid w:val="00B66A3A"/>
    <w:rsid w:val="00B66B12"/>
    <w:rsid w:val="00B66B55"/>
    <w:rsid w:val="00B66B90"/>
    <w:rsid w:val="00B66CF6"/>
    <w:rsid w:val="00B66D96"/>
    <w:rsid w:val="00B66FC5"/>
    <w:rsid w:val="00B671F6"/>
    <w:rsid w:val="00B6723F"/>
    <w:rsid w:val="00B674DB"/>
    <w:rsid w:val="00B675FC"/>
    <w:rsid w:val="00B67898"/>
    <w:rsid w:val="00B67A48"/>
    <w:rsid w:val="00B67E1C"/>
    <w:rsid w:val="00B7008E"/>
    <w:rsid w:val="00B70230"/>
    <w:rsid w:val="00B703E0"/>
    <w:rsid w:val="00B70452"/>
    <w:rsid w:val="00B707C7"/>
    <w:rsid w:val="00B707E5"/>
    <w:rsid w:val="00B70966"/>
    <w:rsid w:val="00B709C1"/>
    <w:rsid w:val="00B71056"/>
    <w:rsid w:val="00B710D9"/>
    <w:rsid w:val="00B71379"/>
    <w:rsid w:val="00B71543"/>
    <w:rsid w:val="00B71567"/>
    <w:rsid w:val="00B71720"/>
    <w:rsid w:val="00B71791"/>
    <w:rsid w:val="00B71C23"/>
    <w:rsid w:val="00B71CF6"/>
    <w:rsid w:val="00B71E0D"/>
    <w:rsid w:val="00B72658"/>
    <w:rsid w:val="00B7298E"/>
    <w:rsid w:val="00B72CCD"/>
    <w:rsid w:val="00B732F5"/>
    <w:rsid w:val="00B738C9"/>
    <w:rsid w:val="00B739F0"/>
    <w:rsid w:val="00B73A36"/>
    <w:rsid w:val="00B73C34"/>
    <w:rsid w:val="00B73DB2"/>
    <w:rsid w:val="00B745EA"/>
    <w:rsid w:val="00B747F3"/>
    <w:rsid w:val="00B74840"/>
    <w:rsid w:val="00B7485B"/>
    <w:rsid w:val="00B749F1"/>
    <w:rsid w:val="00B74C17"/>
    <w:rsid w:val="00B74D47"/>
    <w:rsid w:val="00B75720"/>
    <w:rsid w:val="00B75945"/>
    <w:rsid w:val="00B75978"/>
    <w:rsid w:val="00B759A5"/>
    <w:rsid w:val="00B75A27"/>
    <w:rsid w:val="00B75AF5"/>
    <w:rsid w:val="00B75BBD"/>
    <w:rsid w:val="00B75BE4"/>
    <w:rsid w:val="00B76159"/>
    <w:rsid w:val="00B765F8"/>
    <w:rsid w:val="00B76AC7"/>
    <w:rsid w:val="00B76AC8"/>
    <w:rsid w:val="00B76FF2"/>
    <w:rsid w:val="00B77085"/>
    <w:rsid w:val="00B770EA"/>
    <w:rsid w:val="00B77106"/>
    <w:rsid w:val="00B77197"/>
    <w:rsid w:val="00B773E2"/>
    <w:rsid w:val="00B77577"/>
    <w:rsid w:val="00B77899"/>
    <w:rsid w:val="00B778A8"/>
    <w:rsid w:val="00B779F7"/>
    <w:rsid w:val="00B77A70"/>
    <w:rsid w:val="00B77BA6"/>
    <w:rsid w:val="00B77C61"/>
    <w:rsid w:val="00B77CC4"/>
    <w:rsid w:val="00B77CC5"/>
    <w:rsid w:val="00B77D8C"/>
    <w:rsid w:val="00B77DB8"/>
    <w:rsid w:val="00B77E36"/>
    <w:rsid w:val="00B8019E"/>
    <w:rsid w:val="00B80553"/>
    <w:rsid w:val="00B807B3"/>
    <w:rsid w:val="00B808C7"/>
    <w:rsid w:val="00B80904"/>
    <w:rsid w:val="00B80A1D"/>
    <w:rsid w:val="00B80B0A"/>
    <w:rsid w:val="00B80C3B"/>
    <w:rsid w:val="00B80CA3"/>
    <w:rsid w:val="00B80CD2"/>
    <w:rsid w:val="00B80F6C"/>
    <w:rsid w:val="00B81190"/>
    <w:rsid w:val="00B81346"/>
    <w:rsid w:val="00B815A8"/>
    <w:rsid w:val="00B816B8"/>
    <w:rsid w:val="00B81816"/>
    <w:rsid w:val="00B8187C"/>
    <w:rsid w:val="00B81920"/>
    <w:rsid w:val="00B81969"/>
    <w:rsid w:val="00B81AA4"/>
    <w:rsid w:val="00B81B2D"/>
    <w:rsid w:val="00B81C9B"/>
    <w:rsid w:val="00B81CE1"/>
    <w:rsid w:val="00B81DD8"/>
    <w:rsid w:val="00B81E02"/>
    <w:rsid w:val="00B8238C"/>
    <w:rsid w:val="00B824EA"/>
    <w:rsid w:val="00B82637"/>
    <w:rsid w:val="00B82943"/>
    <w:rsid w:val="00B82AD2"/>
    <w:rsid w:val="00B82D46"/>
    <w:rsid w:val="00B82FAE"/>
    <w:rsid w:val="00B8308D"/>
    <w:rsid w:val="00B831F6"/>
    <w:rsid w:val="00B835ED"/>
    <w:rsid w:val="00B83934"/>
    <w:rsid w:val="00B83C1B"/>
    <w:rsid w:val="00B83D36"/>
    <w:rsid w:val="00B83DC2"/>
    <w:rsid w:val="00B8414F"/>
    <w:rsid w:val="00B841E4"/>
    <w:rsid w:val="00B84207"/>
    <w:rsid w:val="00B84411"/>
    <w:rsid w:val="00B8448F"/>
    <w:rsid w:val="00B84668"/>
    <w:rsid w:val="00B84905"/>
    <w:rsid w:val="00B84915"/>
    <w:rsid w:val="00B84B06"/>
    <w:rsid w:val="00B84C00"/>
    <w:rsid w:val="00B85244"/>
    <w:rsid w:val="00B85394"/>
    <w:rsid w:val="00B85487"/>
    <w:rsid w:val="00B85503"/>
    <w:rsid w:val="00B858E9"/>
    <w:rsid w:val="00B85946"/>
    <w:rsid w:val="00B85A6B"/>
    <w:rsid w:val="00B85C92"/>
    <w:rsid w:val="00B86024"/>
    <w:rsid w:val="00B86071"/>
    <w:rsid w:val="00B8608C"/>
    <w:rsid w:val="00B86101"/>
    <w:rsid w:val="00B86288"/>
    <w:rsid w:val="00B867BC"/>
    <w:rsid w:val="00B867CB"/>
    <w:rsid w:val="00B868DA"/>
    <w:rsid w:val="00B8696B"/>
    <w:rsid w:val="00B86A56"/>
    <w:rsid w:val="00B86B61"/>
    <w:rsid w:val="00B86C1F"/>
    <w:rsid w:val="00B86C7E"/>
    <w:rsid w:val="00B86D4C"/>
    <w:rsid w:val="00B8705D"/>
    <w:rsid w:val="00B87254"/>
    <w:rsid w:val="00B8739A"/>
    <w:rsid w:val="00B87509"/>
    <w:rsid w:val="00B8764E"/>
    <w:rsid w:val="00B87708"/>
    <w:rsid w:val="00B87C47"/>
    <w:rsid w:val="00B90191"/>
    <w:rsid w:val="00B902A8"/>
    <w:rsid w:val="00B90455"/>
    <w:rsid w:val="00B904A3"/>
    <w:rsid w:val="00B9051F"/>
    <w:rsid w:val="00B9054B"/>
    <w:rsid w:val="00B907E3"/>
    <w:rsid w:val="00B9089D"/>
    <w:rsid w:val="00B9094F"/>
    <w:rsid w:val="00B90CF3"/>
    <w:rsid w:val="00B90CF6"/>
    <w:rsid w:val="00B90FC7"/>
    <w:rsid w:val="00B91098"/>
    <w:rsid w:val="00B918B1"/>
    <w:rsid w:val="00B9190F"/>
    <w:rsid w:val="00B91A23"/>
    <w:rsid w:val="00B91AA1"/>
    <w:rsid w:val="00B91CBE"/>
    <w:rsid w:val="00B91DDE"/>
    <w:rsid w:val="00B9220C"/>
    <w:rsid w:val="00B92306"/>
    <w:rsid w:val="00B924B6"/>
    <w:rsid w:val="00B92773"/>
    <w:rsid w:val="00B928B6"/>
    <w:rsid w:val="00B929B8"/>
    <w:rsid w:val="00B92B57"/>
    <w:rsid w:val="00B92F36"/>
    <w:rsid w:val="00B93254"/>
    <w:rsid w:val="00B9339E"/>
    <w:rsid w:val="00B93769"/>
    <w:rsid w:val="00B9396E"/>
    <w:rsid w:val="00B93B4C"/>
    <w:rsid w:val="00B93B9C"/>
    <w:rsid w:val="00B93C54"/>
    <w:rsid w:val="00B93DB0"/>
    <w:rsid w:val="00B9407D"/>
    <w:rsid w:val="00B94684"/>
    <w:rsid w:val="00B94736"/>
    <w:rsid w:val="00B947D3"/>
    <w:rsid w:val="00B94942"/>
    <w:rsid w:val="00B94BFE"/>
    <w:rsid w:val="00B94C45"/>
    <w:rsid w:val="00B94C9A"/>
    <w:rsid w:val="00B94EF0"/>
    <w:rsid w:val="00B94FFE"/>
    <w:rsid w:val="00B9514C"/>
    <w:rsid w:val="00B951AA"/>
    <w:rsid w:val="00B9534F"/>
    <w:rsid w:val="00B953C6"/>
    <w:rsid w:val="00B95460"/>
    <w:rsid w:val="00B955DB"/>
    <w:rsid w:val="00B95675"/>
    <w:rsid w:val="00B956C9"/>
    <w:rsid w:val="00B95C88"/>
    <w:rsid w:val="00B96104"/>
    <w:rsid w:val="00B9624C"/>
    <w:rsid w:val="00B966C8"/>
    <w:rsid w:val="00B967FA"/>
    <w:rsid w:val="00B969B1"/>
    <w:rsid w:val="00B96B81"/>
    <w:rsid w:val="00B96C4F"/>
    <w:rsid w:val="00B96CCA"/>
    <w:rsid w:val="00B96EFF"/>
    <w:rsid w:val="00B96FD2"/>
    <w:rsid w:val="00B977BC"/>
    <w:rsid w:val="00B978F9"/>
    <w:rsid w:val="00B97ABA"/>
    <w:rsid w:val="00B97F9F"/>
    <w:rsid w:val="00B97FAF"/>
    <w:rsid w:val="00BA00FF"/>
    <w:rsid w:val="00BA041A"/>
    <w:rsid w:val="00BA0C4D"/>
    <w:rsid w:val="00BA0D44"/>
    <w:rsid w:val="00BA0D83"/>
    <w:rsid w:val="00BA1346"/>
    <w:rsid w:val="00BA19CA"/>
    <w:rsid w:val="00BA19FF"/>
    <w:rsid w:val="00BA1A8D"/>
    <w:rsid w:val="00BA1DF8"/>
    <w:rsid w:val="00BA21C5"/>
    <w:rsid w:val="00BA22A5"/>
    <w:rsid w:val="00BA2305"/>
    <w:rsid w:val="00BA2587"/>
    <w:rsid w:val="00BA25C3"/>
    <w:rsid w:val="00BA2698"/>
    <w:rsid w:val="00BA2A38"/>
    <w:rsid w:val="00BA2CC9"/>
    <w:rsid w:val="00BA2CCC"/>
    <w:rsid w:val="00BA2E87"/>
    <w:rsid w:val="00BA3109"/>
    <w:rsid w:val="00BA31FA"/>
    <w:rsid w:val="00BA3423"/>
    <w:rsid w:val="00BA36C1"/>
    <w:rsid w:val="00BA3746"/>
    <w:rsid w:val="00BA37CD"/>
    <w:rsid w:val="00BA3942"/>
    <w:rsid w:val="00BA3A7D"/>
    <w:rsid w:val="00BA3E0F"/>
    <w:rsid w:val="00BA3F1F"/>
    <w:rsid w:val="00BA4035"/>
    <w:rsid w:val="00BA4779"/>
    <w:rsid w:val="00BA4A74"/>
    <w:rsid w:val="00BA4B18"/>
    <w:rsid w:val="00BA4B75"/>
    <w:rsid w:val="00BA4F0D"/>
    <w:rsid w:val="00BA4F36"/>
    <w:rsid w:val="00BA528A"/>
    <w:rsid w:val="00BA55A2"/>
    <w:rsid w:val="00BA569C"/>
    <w:rsid w:val="00BA5916"/>
    <w:rsid w:val="00BA5A96"/>
    <w:rsid w:val="00BA5C9A"/>
    <w:rsid w:val="00BA613A"/>
    <w:rsid w:val="00BA623B"/>
    <w:rsid w:val="00BA643D"/>
    <w:rsid w:val="00BA6471"/>
    <w:rsid w:val="00BA6891"/>
    <w:rsid w:val="00BA6CC4"/>
    <w:rsid w:val="00BA6D33"/>
    <w:rsid w:val="00BA7103"/>
    <w:rsid w:val="00BA71F8"/>
    <w:rsid w:val="00BA7528"/>
    <w:rsid w:val="00BA7709"/>
    <w:rsid w:val="00BA77AD"/>
    <w:rsid w:val="00BA7833"/>
    <w:rsid w:val="00BA7A69"/>
    <w:rsid w:val="00BA7B24"/>
    <w:rsid w:val="00BA7BC2"/>
    <w:rsid w:val="00BA7DCD"/>
    <w:rsid w:val="00BA7E18"/>
    <w:rsid w:val="00BA7EF6"/>
    <w:rsid w:val="00BB0036"/>
    <w:rsid w:val="00BB0293"/>
    <w:rsid w:val="00BB0347"/>
    <w:rsid w:val="00BB0571"/>
    <w:rsid w:val="00BB0794"/>
    <w:rsid w:val="00BB07A8"/>
    <w:rsid w:val="00BB094C"/>
    <w:rsid w:val="00BB0A3D"/>
    <w:rsid w:val="00BB0B75"/>
    <w:rsid w:val="00BB0BA2"/>
    <w:rsid w:val="00BB0D34"/>
    <w:rsid w:val="00BB0DDB"/>
    <w:rsid w:val="00BB10EB"/>
    <w:rsid w:val="00BB10FD"/>
    <w:rsid w:val="00BB132B"/>
    <w:rsid w:val="00BB155D"/>
    <w:rsid w:val="00BB19A3"/>
    <w:rsid w:val="00BB1A0F"/>
    <w:rsid w:val="00BB1A9A"/>
    <w:rsid w:val="00BB1C94"/>
    <w:rsid w:val="00BB1CF8"/>
    <w:rsid w:val="00BB1D72"/>
    <w:rsid w:val="00BB1ED2"/>
    <w:rsid w:val="00BB1F04"/>
    <w:rsid w:val="00BB245E"/>
    <w:rsid w:val="00BB2539"/>
    <w:rsid w:val="00BB2820"/>
    <w:rsid w:val="00BB286A"/>
    <w:rsid w:val="00BB2886"/>
    <w:rsid w:val="00BB2D31"/>
    <w:rsid w:val="00BB2DFB"/>
    <w:rsid w:val="00BB3051"/>
    <w:rsid w:val="00BB30F8"/>
    <w:rsid w:val="00BB3103"/>
    <w:rsid w:val="00BB3142"/>
    <w:rsid w:val="00BB343E"/>
    <w:rsid w:val="00BB3719"/>
    <w:rsid w:val="00BB3A00"/>
    <w:rsid w:val="00BB3AD8"/>
    <w:rsid w:val="00BB3E7C"/>
    <w:rsid w:val="00BB3FD0"/>
    <w:rsid w:val="00BB40DD"/>
    <w:rsid w:val="00BB412A"/>
    <w:rsid w:val="00BB41F7"/>
    <w:rsid w:val="00BB43FE"/>
    <w:rsid w:val="00BB45BB"/>
    <w:rsid w:val="00BB47BA"/>
    <w:rsid w:val="00BB495B"/>
    <w:rsid w:val="00BB4D09"/>
    <w:rsid w:val="00BB4F75"/>
    <w:rsid w:val="00BB54F8"/>
    <w:rsid w:val="00BB54FE"/>
    <w:rsid w:val="00BB5555"/>
    <w:rsid w:val="00BB5681"/>
    <w:rsid w:val="00BB569A"/>
    <w:rsid w:val="00BB572D"/>
    <w:rsid w:val="00BB58E8"/>
    <w:rsid w:val="00BB5BD4"/>
    <w:rsid w:val="00BB5DF2"/>
    <w:rsid w:val="00BB5E38"/>
    <w:rsid w:val="00BB5EA5"/>
    <w:rsid w:val="00BB6264"/>
    <w:rsid w:val="00BB628B"/>
    <w:rsid w:val="00BB696D"/>
    <w:rsid w:val="00BB6B17"/>
    <w:rsid w:val="00BB6CB6"/>
    <w:rsid w:val="00BB6FEE"/>
    <w:rsid w:val="00BB72E2"/>
    <w:rsid w:val="00BB72FF"/>
    <w:rsid w:val="00BB7365"/>
    <w:rsid w:val="00BB764C"/>
    <w:rsid w:val="00BB76CC"/>
    <w:rsid w:val="00BB772E"/>
    <w:rsid w:val="00BB7A50"/>
    <w:rsid w:val="00BB7A72"/>
    <w:rsid w:val="00BB7BC3"/>
    <w:rsid w:val="00BC02F5"/>
    <w:rsid w:val="00BC04FB"/>
    <w:rsid w:val="00BC055B"/>
    <w:rsid w:val="00BC06B6"/>
    <w:rsid w:val="00BC0713"/>
    <w:rsid w:val="00BC074A"/>
    <w:rsid w:val="00BC0C92"/>
    <w:rsid w:val="00BC0F86"/>
    <w:rsid w:val="00BC0F9A"/>
    <w:rsid w:val="00BC1435"/>
    <w:rsid w:val="00BC1467"/>
    <w:rsid w:val="00BC1618"/>
    <w:rsid w:val="00BC172D"/>
    <w:rsid w:val="00BC1A12"/>
    <w:rsid w:val="00BC1B33"/>
    <w:rsid w:val="00BC1DB1"/>
    <w:rsid w:val="00BC1F65"/>
    <w:rsid w:val="00BC28E8"/>
    <w:rsid w:val="00BC333F"/>
    <w:rsid w:val="00BC34E7"/>
    <w:rsid w:val="00BC3512"/>
    <w:rsid w:val="00BC37AC"/>
    <w:rsid w:val="00BC459B"/>
    <w:rsid w:val="00BC473D"/>
    <w:rsid w:val="00BC474F"/>
    <w:rsid w:val="00BC4C72"/>
    <w:rsid w:val="00BC5912"/>
    <w:rsid w:val="00BC599D"/>
    <w:rsid w:val="00BC5AAF"/>
    <w:rsid w:val="00BC5B85"/>
    <w:rsid w:val="00BC5C30"/>
    <w:rsid w:val="00BC5D2B"/>
    <w:rsid w:val="00BC5D64"/>
    <w:rsid w:val="00BC5DBD"/>
    <w:rsid w:val="00BC6069"/>
    <w:rsid w:val="00BC6813"/>
    <w:rsid w:val="00BC6CE3"/>
    <w:rsid w:val="00BC6F7A"/>
    <w:rsid w:val="00BC72A5"/>
    <w:rsid w:val="00BC72FA"/>
    <w:rsid w:val="00BC743F"/>
    <w:rsid w:val="00BC75CE"/>
    <w:rsid w:val="00BC76C2"/>
    <w:rsid w:val="00BC7752"/>
    <w:rsid w:val="00BC790F"/>
    <w:rsid w:val="00BC796D"/>
    <w:rsid w:val="00BC7DB4"/>
    <w:rsid w:val="00BD01B7"/>
    <w:rsid w:val="00BD01E2"/>
    <w:rsid w:val="00BD025D"/>
    <w:rsid w:val="00BD04C7"/>
    <w:rsid w:val="00BD04D3"/>
    <w:rsid w:val="00BD083B"/>
    <w:rsid w:val="00BD086A"/>
    <w:rsid w:val="00BD0A90"/>
    <w:rsid w:val="00BD0D60"/>
    <w:rsid w:val="00BD0F34"/>
    <w:rsid w:val="00BD1095"/>
    <w:rsid w:val="00BD10AC"/>
    <w:rsid w:val="00BD11DF"/>
    <w:rsid w:val="00BD1528"/>
    <w:rsid w:val="00BD1A4E"/>
    <w:rsid w:val="00BD1CBF"/>
    <w:rsid w:val="00BD1DB5"/>
    <w:rsid w:val="00BD1E30"/>
    <w:rsid w:val="00BD236B"/>
    <w:rsid w:val="00BD23B2"/>
    <w:rsid w:val="00BD253F"/>
    <w:rsid w:val="00BD27FD"/>
    <w:rsid w:val="00BD29CF"/>
    <w:rsid w:val="00BD2B7E"/>
    <w:rsid w:val="00BD2C01"/>
    <w:rsid w:val="00BD2D60"/>
    <w:rsid w:val="00BD31E3"/>
    <w:rsid w:val="00BD3301"/>
    <w:rsid w:val="00BD3705"/>
    <w:rsid w:val="00BD380B"/>
    <w:rsid w:val="00BD3AC7"/>
    <w:rsid w:val="00BD3C88"/>
    <w:rsid w:val="00BD4083"/>
    <w:rsid w:val="00BD4457"/>
    <w:rsid w:val="00BD4B18"/>
    <w:rsid w:val="00BD4CA5"/>
    <w:rsid w:val="00BD4D63"/>
    <w:rsid w:val="00BD5376"/>
    <w:rsid w:val="00BD53AC"/>
    <w:rsid w:val="00BD5442"/>
    <w:rsid w:val="00BD56D1"/>
    <w:rsid w:val="00BD5765"/>
    <w:rsid w:val="00BD57B6"/>
    <w:rsid w:val="00BD57CF"/>
    <w:rsid w:val="00BD5940"/>
    <w:rsid w:val="00BD5A58"/>
    <w:rsid w:val="00BD5C86"/>
    <w:rsid w:val="00BD5D02"/>
    <w:rsid w:val="00BD5D9A"/>
    <w:rsid w:val="00BD60D6"/>
    <w:rsid w:val="00BD6149"/>
    <w:rsid w:val="00BD62F6"/>
    <w:rsid w:val="00BD656F"/>
    <w:rsid w:val="00BD65C4"/>
    <w:rsid w:val="00BD663D"/>
    <w:rsid w:val="00BD667E"/>
    <w:rsid w:val="00BD66B9"/>
    <w:rsid w:val="00BD67FE"/>
    <w:rsid w:val="00BD6A97"/>
    <w:rsid w:val="00BD6FD1"/>
    <w:rsid w:val="00BD70DD"/>
    <w:rsid w:val="00BD7251"/>
    <w:rsid w:val="00BD736E"/>
    <w:rsid w:val="00BD7417"/>
    <w:rsid w:val="00BD761E"/>
    <w:rsid w:val="00BD78A5"/>
    <w:rsid w:val="00BD78BB"/>
    <w:rsid w:val="00BD7BA3"/>
    <w:rsid w:val="00BD7CD5"/>
    <w:rsid w:val="00BD7F09"/>
    <w:rsid w:val="00BE024D"/>
    <w:rsid w:val="00BE0491"/>
    <w:rsid w:val="00BE06C8"/>
    <w:rsid w:val="00BE1074"/>
    <w:rsid w:val="00BE1215"/>
    <w:rsid w:val="00BE1233"/>
    <w:rsid w:val="00BE142F"/>
    <w:rsid w:val="00BE1504"/>
    <w:rsid w:val="00BE15B7"/>
    <w:rsid w:val="00BE1B10"/>
    <w:rsid w:val="00BE1BF4"/>
    <w:rsid w:val="00BE1D53"/>
    <w:rsid w:val="00BE2900"/>
    <w:rsid w:val="00BE2A42"/>
    <w:rsid w:val="00BE2A67"/>
    <w:rsid w:val="00BE2B4A"/>
    <w:rsid w:val="00BE2C93"/>
    <w:rsid w:val="00BE2E6B"/>
    <w:rsid w:val="00BE2F6B"/>
    <w:rsid w:val="00BE2F96"/>
    <w:rsid w:val="00BE302A"/>
    <w:rsid w:val="00BE4286"/>
    <w:rsid w:val="00BE4310"/>
    <w:rsid w:val="00BE4554"/>
    <w:rsid w:val="00BE49D6"/>
    <w:rsid w:val="00BE4ACE"/>
    <w:rsid w:val="00BE4B15"/>
    <w:rsid w:val="00BE4B34"/>
    <w:rsid w:val="00BE4C70"/>
    <w:rsid w:val="00BE518A"/>
    <w:rsid w:val="00BE5467"/>
    <w:rsid w:val="00BE54D4"/>
    <w:rsid w:val="00BE5B49"/>
    <w:rsid w:val="00BE5CD0"/>
    <w:rsid w:val="00BE5F8A"/>
    <w:rsid w:val="00BE6242"/>
    <w:rsid w:val="00BE650E"/>
    <w:rsid w:val="00BE6910"/>
    <w:rsid w:val="00BE69A0"/>
    <w:rsid w:val="00BE6B32"/>
    <w:rsid w:val="00BE6DC5"/>
    <w:rsid w:val="00BE7B1E"/>
    <w:rsid w:val="00BE7D04"/>
    <w:rsid w:val="00BF0105"/>
    <w:rsid w:val="00BF0A83"/>
    <w:rsid w:val="00BF0EB2"/>
    <w:rsid w:val="00BF10D6"/>
    <w:rsid w:val="00BF127D"/>
    <w:rsid w:val="00BF1782"/>
    <w:rsid w:val="00BF1AA8"/>
    <w:rsid w:val="00BF1B54"/>
    <w:rsid w:val="00BF1B60"/>
    <w:rsid w:val="00BF1C74"/>
    <w:rsid w:val="00BF1C87"/>
    <w:rsid w:val="00BF1D13"/>
    <w:rsid w:val="00BF21C2"/>
    <w:rsid w:val="00BF247E"/>
    <w:rsid w:val="00BF249E"/>
    <w:rsid w:val="00BF26A4"/>
    <w:rsid w:val="00BF285A"/>
    <w:rsid w:val="00BF2A5A"/>
    <w:rsid w:val="00BF2B6B"/>
    <w:rsid w:val="00BF2B92"/>
    <w:rsid w:val="00BF2C94"/>
    <w:rsid w:val="00BF2E00"/>
    <w:rsid w:val="00BF30F7"/>
    <w:rsid w:val="00BF3CCB"/>
    <w:rsid w:val="00BF3E4D"/>
    <w:rsid w:val="00BF4035"/>
    <w:rsid w:val="00BF428C"/>
    <w:rsid w:val="00BF43E1"/>
    <w:rsid w:val="00BF43E8"/>
    <w:rsid w:val="00BF44A3"/>
    <w:rsid w:val="00BF45FA"/>
    <w:rsid w:val="00BF483D"/>
    <w:rsid w:val="00BF4A4D"/>
    <w:rsid w:val="00BF4AD8"/>
    <w:rsid w:val="00BF4D4D"/>
    <w:rsid w:val="00BF544F"/>
    <w:rsid w:val="00BF5658"/>
    <w:rsid w:val="00BF58FD"/>
    <w:rsid w:val="00BF60D9"/>
    <w:rsid w:val="00BF6100"/>
    <w:rsid w:val="00BF628B"/>
    <w:rsid w:val="00BF634A"/>
    <w:rsid w:val="00BF6403"/>
    <w:rsid w:val="00BF6510"/>
    <w:rsid w:val="00BF651D"/>
    <w:rsid w:val="00BF65B7"/>
    <w:rsid w:val="00BF66AD"/>
    <w:rsid w:val="00BF679C"/>
    <w:rsid w:val="00BF6800"/>
    <w:rsid w:val="00BF6CD8"/>
    <w:rsid w:val="00BF6DDC"/>
    <w:rsid w:val="00BF75ED"/>
    <w:rsid w:val="00BF7608"/>
    <w:rsid w:val="00BF7800"/>
    <w:rsid w:val="00BF79D8"/>
    <w:rsid w:val="00BF7A9A"/>
    <w:rsid w:val="00BF7AEF"/>
    <w:rsid w:val="00BF7C2C"/>
    <w:rsid w:val="00BF7F5E"/>
    <w:rsid w:val="00C0014B"/>
    <w:rsid w:val="00C001EA"/>
    <w:rsid w:val="00C002FC"/>
    <w:rsid w:val="00C0039B"/>
    <w:rsid w:val="00C004E0"/>
    <w:rsid w:val="00C00D14"/>
    <w:rsid w:val="00C00E02"/>
    <w:rsid w:val="00C00F56"/>
    <w:rsid w:val="00C00FF4"/>
    <w:rsid w:val="00C01746"/>
    <w:rsid w:val="00C01B66"/>
    <w:rsid w:val="00C01C89"/>
    <w:rsid w:val="00C022A6"/>
    <w:rsid w:val="00C02658"/>
    <w:rsid w:val="00C02859"/>
    <w:rsid w:val="00C028CE"/>
    <w:rsid w:val="00C02A71"/>
    <w:rsid w:val="00C02DE5"/>
    <w:rsid w:val="00C02FF5"/>
    <w:rsid w:val="00C03589"/>
    <w:rsid w:val="00C035C7"/>
    <w:rsid w:val="00C0389A"/>
    <w:rsid w:val="00C038C8"/>
    <w:rsid w:val="00C03BBF"/>
    <w:rsid w:val="00C044FB"/>
    <w:rsid w:val="00C04774"/>
    <w:rsid w:val="00C04A69"/>
    <w:rsid w:val="00C04B04"/>
    <w:rsid w:val="00C04E9F"/>
    <w:rsid w:val="00C04FB8"/>
    <w:rsid w:val="00C059F1"/>
    <w:rsid w:val="00C05B51"/>
    <w:rsid w:val="00C05C44"/>
    <w:rsid w:val="00C05E17"/>
    <w:rsid w:val="00C06005"/>
    <w:rsid w:val="00C060BE"/>
    <w:rsid w:val="00C062FC"/>
    <w:rsid w:val="00C06546"/>
    <w:rsid w:val="00C06833"/>
    <w:rsid w:val="00C0689D"/>
    <w:rsid w:val="00C06989"/>
    <w:rsid w:val="00C06DF7"/>
    <w:rsid w:val="00C07333"/>
    <w:rsid w:val="00C073B8"/>
    <w:rsid w:val="00C075DB"/>
    <w:rsid w:val="00C075E5"/>
    <w:rsid w:val="00C07776"/>
    <w:rsid w:val="00C07947"/>
    <w:rsid w:val="00C07995"/>
    <w:rsid w:val="00C07DEC"/>
    <w:rsid w:val="00C07FA6"/>
    <w:rsid w:val="00C1048F"/>
    <w:rsid w:val="00C10959"/>
    <w:rsid w:val="00C109CF"/>
    <w:rsid w:val="00C10AD3"/>
    <w:rsid w:val="00C114B1"/>
    <w:rsid w:val="00C114BC"/>
    <w:rsid w:val="00C115DB"/>
    <w:rsid w:val="00C11B4B"/>
    <w:rsid w:val="00C11B7F"/>
    <w:rsid w:val="00C11C49"/>
    <w:rsid w:val="00C11E62"/>
    <w:rsid w:val="00C11FB0"/>
    <w:rsid w:val="00C1225A"/>
    <w:rsid w:val="00C124D6"/>
    <w:rsid w:val="00C125C9"/>
    <w:rsid w:val="00C126D2"/>
    <w:rsid w:val="00C12DD3"/>
    <w:rsid w:val="00C12FE9"/>
    <w:rsid w:val="00C13044"/>
    <w:rsid w:val="00C133AD"/>
    <w:rsid w:val="00C13764"/>
    <w:rsid w:val="00C1389F"/>
    <w:rsid w:val="00C13A42"/>
    <w:rsid w:val="00C13C93"/>
    <w:rsid w:val="00C13D1F"/>
    <w:rsid w:val="00C13EE8"/>
    <w:rsid w:val="00C141CD"/>
    <w:rsid w:val="00C1424A"/>
    <w:rsid w:val="00C142DB"/>
    <w:rsid w:val="00C14326"/>
    <w:rsid w:val="00C1455A"/>
    <w:rsid w:val="00C146D8"/>
    <w:rsid w:val="00C14986"/>
    <w:rsid w:val="00C149EB"/>
    <w:rsid w:val="00C14C44"/>
    <w:rsid w:val="00C14D84"/>
    <w:rsid w:val="00C15161"/>
    <w:rsid w:val="00C15213"/>
    <w:rsid w:val="00C15853"/>
    <w:rsid w:val="00C15F27"/>
    <w:rsid w:val="00C164F4"/>
    <w:rsid w:val="00C16B80"/>
    <w:rsid w:val="00C16BF8"/>
    <w:rsid w:val="00C16F68"/>
    <w:rsid w:val="00C17020"/>
    <w:rsid w:val="00C17101"/>
    <w:rsid w:val="00C17486"/>
    <w:rsid w:val="00C174D8"/>
    <w:rsid w:val="00C178CA"/>
    <w:rsid w:val="00C17D4B"/>
    <w:rsid w:val="00C17E93"/>
    <w:rsid w:val="00C203E7"/>
    <w:rsid w:val="00C204F0"/>
    <w:rsid w:val="00C20501"/>
    <w:rsid w:val="00C20892"/>
    <w:rsid w:val="00C208B3"/>
    <w:rsid w:val="00C20F98"/>
    <w:rsid w:val="00C211AB"/>
    <w:rsid w:val="00C21496"/>
    <w:rsid w:val="00C214C6"/>
    <w:rsid w:val="00C21C73"/>
    <w:rsid w:val="00C21D65"/>
    <w:rsid w:val="00C220AE"/>
    <w:rsid w:val="00C22193"/>
    <w:rsid w:val="00C22211"/>
    <w:rsid w:val="00C22229"/>
    <w:rsid w:val="00C224FD"/>
    <w:rsid w:val="00C22526"/>
    <w:rsid w:val="00C22699"/>
    <w:rsid w:val="00C226E1"/>
    <w:rsid w:val="00C22751"/>
    <w:rsid w:val="00C229CB"/>
    <w:rsid w:val="00C22B93"/>
    <w:rsid w:val="00C22C15"/>
    <w:rsid w:val="00C22D08"/>
    <w:rsid w:val="00C233B1"/>
    <w:rsid w:val="00C23444"/>
    <w:rsid w:val="00C236A9"/>
    <w:rsid w:val="00C236ED"/>
    <w:rsid w:val="00C2381A"/>
    <w:rsid w:val="00C23B7B"/>
    <w:rsid w:val="00C23C90"/>
    <w:rsid w:val="00C23D06"/>
    <w:rsid w:val="00C23D13"/>
    <w:rsid w:val="00C242B0"/>
    <w:rsid w:val="00C24482"/>
    <w:rsid w:val="00C24C3C"/>
    <w:rsid w:val="00C24CF7"/>
    <w:rsid w:val="00C24F46"/>
    <w:rsid w:val="00C250A3"/>
    <w:rsid w:val="00C25263"/>
    <w:rsid w:val="00C256D1"/>
    <w:rsid w:val="00C25867"/>
    <w:rsid w:val="00C25A13"/>
    <w:rsid w:val="00C25E44"/>
    <w:rsid w:val="00C262A8"/>
    <w:rsid w:val="00C262C9"/>
    <w:rsid w:val="00C2632D"/>
    <w:rsid w:val="00C266CA"/>
    <w:rsid w:val="00C2687F"/>
    <w:rsid w:val="00C26E5F"/>
    <w:rsid w:val="00C2716C"/>
    <w:rsid w:val="00C272D1"/>
    <w:rsid w:val="00C27646"/>
    <w:rsid w:val="00C277B2"/>
    <w:rsid w:val="00C277E7"/>
    <w:rsid w:val="00C27834"/>
    <w:rsid w:val="00C278F3"/>
    <w:rsid w:val="00C27B9E"/>
    <w:rsid w:val="00C27CBC"/>
    <w:rsid w:val="00C27F3C"/>
    <w:rsid w:val="00C30141"/>
    <w:rsid w:val="00C301D9"/>
    <w:rsid w:val="00C3051F"/>
    <w:rsid w:val="00C30602"/>
    <w:rsid w:val="00C30810"/>
    <w:rsid w:val="00C3084E"/>
    <w:rsid w:val="00C30BF0"/>
    <w:rsid w:val="00C30BF6"/>
    <w:rsid w:val="00C30E40"/>
    <w:rsid w:val="00C30F89"/>
    <w:rsid w:val="00C31391"/>
    <w:rsid w:val="00C3152F"/>
    <w:rsid w:val="00C3184E"/>
    <w:rsid w:val="00C31D5E"/>
    <w:rsid w:val="00C31E15"/>
    <w:rsid w:val="00C31EDF"/>
    <w:rsid w:val="00C31F67"/>
    <w:rsid w:val="00C32066"/>
    <w:rsid w:val="00C3261F"/>
    <w:rsid w:val="00C326FB"/>
    <w:rsid w:val="00C32735"/>
    <w:rsid w:val="00C327A4"/>
    <w:rsid w:val="00C32860"/>
    <w:rsid w:val="00C328B6"/>
    <w:rsid w:val="00C329C6"/>
    <w:rsid w:val="00C329D5"/>
    <w:rsid w:val="00C32B26"/>
    <w:rsid w:val="00C32B8D"/>
    <w:rsid w:val="00C32C86"/>
    <w:rsid w:val="00C32D13"/>
    <w:rsid w:val="00C32F74"/>
    <w:rsid w:val="00C33031"/>
    <w:rsid w:val="00C3305D"/>
    <w:rsid w:val="00C337F1"/>
    <w:rsid w:val="00C339D1"/>
    <w:rsid w:val="00C33C17"/>
    <w:rsid w:val="00C33CA4"/>
    <w:rsid w:val="00C33DBF"/>
    <w:rsid w:val="00C33EE3"/>
    <w:rsid w:val="00C33F94"/>
    <w:rsid w:val="00C34405"/>
    <w:rsid w:val="00C34473"/>
    <w:rsid w:val="00C344F9"/>
    <w:rsid w:val="00C3458D"/>
    <w:rsid w:val="00C3484D"/>
    <w:rsid w:val="00C34D19"/>
    <w:rsid w:val="00C34EF6"/>
    <w:rsid w:val="00C35121"/>
    <w:rsid w:val="00C35560"/>
    <w:rsid w:val="00C35639"/>
    <w:rsid w:val="00C358FE"/>
    <w:rsid w:val="00C35BF3"/>
    <w:rsid w:val="00C35E56"/>
    <w:rsid w:val="00C35F32"/>
    <w:rsid w:val="00C3612C"/>
    <w:rsid w:val="00C3636D"/>
    <w:rsid w:val="00C36565"/>
    <w:rsid w:val="00C36642"/>
    <w:rsid w:val="00C36646"/>
    <w:rsid w:val="00C36776"/>
    <w:rsid w:val="00C36B0A"/>
    <w:rsid w:val="00C36D5E"/>
    <w:rsid w:val="00C36DB9"/>
    <w:rsid w:val="00C36FED"/>
    <w:rsid w:val="00C37020"/>
    <w:rsid w:val="00C375E8"/>
    <w:rsid w:val="00C376CB"/>
    <w:rsid w:val="00C37C75"/>
    <w:rsid w:val="00C37FC0"/>
    <w:rsid w:val="00C4019A"/>
    <w:rsid w:val="00C401DA"/>
    <w:rsid w:val="00C405F2"/>
    <w:rsid w:val="00C40807"/>
    <w:rsid w:val="00C4081B"/>
    <w:rsid w:val="00C40876"/>
    <w:rsid w:val="00C40A04"/>
    <w:rsid w:val="00C40B86"/>
    <w:rsid w:val="00C41126"/>
    <w:rsid w:val="00C412D1"/>
    <w:rsid w:val="00C414D0"/>
    <w:rsid w:val="00C418B0"/>
    <w:rsid w:val="00C4194F"/>
    <w:rsid w:val="00C4195C"/>
    <w:rsid w:val="00C41A32"/>
    <w:rsid w:val="00C41BEA"/>
    <w:rsid w:val="00C41EC5"/>
    <w:rsid w:val="00C42070"/>
    <w:rsid w:val="00C420E7"/>
    <w:rsid w:val="00C4213B"/>
    <w:rsid w:val="00C42263"/>
    <w:rsid w:val="00C4227F"/>
    <w:rsid w:val="00C426DA"/>
    <w:rsid w:val="00C42704"/>
    <w:rsid w:val="00C427E8"/>
    <w:rsid w:val="00C428AD"/>
    <w:rsid w:val="00C42E5B"/>
    <w:rsid w:val="00C42EBD"/>
    <w:rsid w:val="00C431EB"/>
    <w:rsid w:val="00C43508"/>
    <w:rsid w:val="00C436A7"/>
    <w:rsid w:val="00C4370D"/>
    <w:rsid w:val="00C43716"/>
    <w:rsid w:val="00C43878"/>
    <w:rsid w:val="00C439EE"/>
    <w:rsid w:val="00C43A5E"/>
    <w:rsid w:val="00C43B08"/>
    <w:rsid w:val="00C43C56"/>
    <w:rsid w:val="00C44032"/>
    <w:rsid w:val="00C440DE"/>
    <w:rsid w:val="00C4436C"/>
    <w:rsid w:val="00C443E2"/>
    <w:rsid w:val="00C44512"/>
    <w:rsid w:val="00C44671"/>
    <w:rsid w:val="00C44910"/>
    <w:rsid w:val="00C449E3"/>
    <w:rsid w:val="00C45074"/>
    <w:rsid w:val="00C450B0"/>
    <w:rsid w:val="00C45329"/>
    <w:rsid w:val="00C4583C"/>
    <w:rsid w:val="00C458B3"/>
    <w:rsid w:val="00C45E0E"/>
    <w:rsid w:val="00C4639D"/>
    <w:rsid w:val="00C4661A"/>
    <w:rsid w:val="00C4687B"/>
    <w:rsid w:val="00C4689A"/>
    <w:rsid w:val="00C46B7F"/>
    <w:rsid w:val="00C46DA8"/>
    <w:rsid w:val="00C46EA2"/>
    <w:rsid w:val="00C46F99"/>
    <w:rsid w:val="00C47394"/>
    <w:rsid w:val="00C473E6"/>
    <w:rsid w:val="00C50088"/>
    <w:rsid w:val="00C50136"/>
    <w:rsid w:val="00C50D3F"/>
    <w:rsid w:val="00C50E40"/>
    <w:rsid w:val="00C50E41"/>
    <w:rsid w:val="00C5107F"/>
    <w:rsid w:val="00C510E4"/>
    <w:rsid w:val="00C516C0"/>
    <w:rsid w:val="00C516DD"/>
    <w:rsid w:val="00C51704"/>
    <w:rsid w:val="00C5198E"/>
    <w:rsid w:val="00C51C12"/>
    <w:rsid w:val="00C51C41"/>
    <w:rsid w:val="00C51C8F"/>
    <w:rsid w:val="00C51E26"/>
    <w:rsid w:val="00C51E59"/>
    <w:rsid w:val="00C520E0"/>
    <w:rsid w:val="00C52296"/>
    <w:rsid w:val="00C5259C"/>
    <w:rsid w:val="00C52963"/>
    <w:rsid w:val="00C52972"/>
    <w:rsid w:val="00C52A0E"/>
    <w:rsid w:val="00C52A4B"/>
    <w:rsid w:val="00C52AB0"/>
    <w:rsid w:val="00C52D02"/>
    <w:rsid w:val="00C52D6A"/>
    <w:rsid w:val="00C52DB2"/>
    <w:rsid w:val="00C53277"/>
    <w:rsid w:val="00C532B6"/>
    <w:rsid w:val="00C5336F"/>
    <w:rsid w:val="00C53603"/>
    <w:rsid w:val="00C53C9C"/>
    <w:rsid w:val="00C53CE3"/>
    <w:rsid w:val="00C53DDA"/>
    <w:rsid w:val="00C53EAE"/>
    <w:rsid w:val="00C53F88"/>
    <w:rsid w:val="00C54912"/>
    <w:rsid w:val="00C549C4"/>
    <w:rsid w:val="00C54D12"/>
    <w:rsid w:val="00C54E5F"/>
    <w:rsid w:val="00C5572B"/>
    <w:rsid w:val="00C559BF"/>
    <w:rsid w:val="00C55B16"/>
    <w:rsid w:val="00C55EB2"/>
    <w:rsid w:val="00C55EE8"/>
    <w:rsid w:val="00C55EF8"/>
    <w:rsid w:val="00C55F3E"/>
    <w:rsid w:val="00C563C6"/>
    <w:rsid w:val="00C56561"/>
    <w:rsid w:val="00C56690"/>
    <w:rsid w:val="00C568A4"/>
    <w:rsid w:val="00C56CDA"/>
    <w:rsid w:val="00C56CEF"/>
    <w:rsid w:val="00C56DDA"/>
    <w:rsid w:val="00C570A0"/>
    <w:rsid w:val="00C570DF"/>
    <w:rsid w:val="00C57413"/>
    <w:rsid w:val="00C57613"/>
    <w:rsid w:val="00C57631"/>
    <w:rsid w:val="00C576A9"/>
    <w:rsid w:val="00C57875"/>
    <w:rsid w:val="00C578C6"/>
    <w:rsid w:val="00C57DF5"/>
    <w:rsid w:val="00C57FB6"/>
    <w:rsid w:val="00C60160"/>
    <w:rsid w:val="00C6055B"/>
    <w:rsid w:val="00C60715"/>
    <w:rsid w:val="00C6088A"/>
    <w:rsid w:val="00C608D7"/>
    <w:rsid w:val="00C609BC"/>
    <w:rsid w:val="00C60B1A"/>
    <w:rsid w:val="00C60C9F"/>
    <w:rsid w:val="00C60CA4"/>
    <w:rsid w:val="00C60DA6"/>
    <w:rsid w:val="00C60E7F"/>
    <w:rsid w:val="00C6102C"/>
    <w:rsid w:val="00C612EA"/>
    <w:rsid w:val="00C617A8"/>
    <w:rsid w:val="00C61827"/>
    <w:rsid w:val="00C61905"/>
    <w:rsid w:val="00C61A5C"/>
    <w:rsid w:val="00C61B13"/>
    <w:rsid w:val="00C61F57"/>
    <w:rsid w:val="00C61F88"/>
    <w:rsid w:val="00C624BA"/>
    <w:rsid w:val="00C625EE"/>
    <w:rsid w:val="00C62793"/>
    <w:rsid w:val="00C62831"/>
    <w:rsid w:val="00C62A75"/>
    <w:rsid w:val="00C62F4B"/>
    <w:rsid w:val="00C63095"/>
    <w:rsid w:val="00C630FC"/>
    <w:rsid w:val="00C631E8"/>
    <w:rsid w:val="00C631EB"/>
    <w:rsid w:val="00C631F3"/>
    <w:rsid w:val="00C63872"/>
    <w:rsid w:val="00C63AE6"/>
    <w:rsid w:val="00C63B5A"/>
    <w:rsid w:val="00C63CAE"/>
    <w:rsid w:val="00C63D04"/>
    <w:rsid w:val="00C63DF8"/>
    <w:rsid w:val="00C641E5"/>
    <w:rsid w:val="00C6433A"/>
    <w:rsid w:val="00C6498C"/>
    <w:rsid w:val="00C64A7D"/>
    <w:rsid w:val="00C64A8E"/>
    <w:rsid w:val="00C64AF0"/>
    <w:rsid w:val="00C64C39"/>
    <w:rsid w:val="00C6509B"/>
    <w:rsid w:val="00C651C3"/>
    <w:rsid w:val="00C65308"/>
    <w:rsid w:val="00C65606"/>
    <w:rsid w:val="00C65665"/>
    <w:rsid w:val="00C656C7"/>
    <w:rsid w:val="00C65726"/>
    <w:rsid w:val="00C6580D"/>
    <w:rsid w:val="00C65814"/>
    <w:rsid w:val="00C65D33"/>
    <w:rsid w:val="00C65D64"/>
    <w:rsid w:val="00C65E93"/>
    <w:rsid w:val="00C65F31"/>
    <w:rsid w:val="00C6671E"/>
    <w:rsid w:val="00C6682A"/>
    <w:rsid w:val="00C6693E"/>
    <w:rsid w:val="00C66BF3"/>
    <w:rsid w:val="00C66E6B"/>
    <w:rsid w:val="00C670BE"/>
    <w:rsid w:val="00C671DB"/>
    <w:rsid w:val="00C673B3"/>
    <w:rsid w:val="00C6773A"/>
    <w:rsid w:val="00C67B57"/>
    <w:rsid w:val="00C67C23"/>
    <w:rsid w:val="00C67C48"/>
    <w:rsid w:val="00C67F8C"/>
    <w:rsid w:val="00C70027"/>
    <w:rsid w:val="00C7049D"/>
    <w:rsid w:val="00C704AF"/>
    <w:rsid w:val="00C7068C"/>
    <w:rsid w:val="00C70A82"/>
    <w:rsid w:val="00C71416"/>
    <w:rsid w:val="00C71559"/>
    <w:rsid w:val="00C71774"/>
    <w:rsid w:val="00C71BA4"/>
    <w:rsid w:val="00C71F96"/>
    <w:rsid w:val="00C72269"/>
    <w:rsid w:val="00C72286"/>
    <w:rsid w:val="00C722CC"/>
    <w:rsid w:val="00C72C66"/>
    <w:rsid w:val="00C72F91"/>
    <w:rsid w:val="00C7314D"/>
    <w:rsid w:val="00C73666"/>
    <w:rsid w:val="00C738E9"/>
    <w:rsid w:val="00C73B98"/>
    <w:rsid w:val="00C73CAF"/>
    <w:rsid w:val="00C73E67"/>
    <w:rsid w:val="00C74021"/>
    <w:rsid w:val="00C7448A"/>
    <w:rsid w:val="00C745B5"/>
    <w:rsid w:val="00C74677"/>
    <w:rsid w:val="00C7479D"/>
    <w:rsid w:val="00C74D98"/>
    <w:rsid w:val="00C74DAD"/>
    <w:rsid w:val="00C74E21"/>
    <w:rsid w:val="00C74E97"/>
    <w:rsid w:val="00C75353"/>
    <w:rsid w:val="00C757FC"/>
    <w:rsid w:val="00C75829"/>
    <w:rsid w:val="00C75860"/>
    <w:rsid w:val="00C75CE4"/>
    <w:rsid w:val="00C75F49"/>
    <w:rsid w:val="00C75FE1"/>
    <w:rsid w:val="00C764F2"/>
    <w:rsid w:val="00C76567"/>
    <w:rsid w:val="00C76633"/>
    <w:rsid w:val="00C766B8"/>
    <w:rsid w:val="00C76711"/>
    <w:rsid w:val="00C7697E"/>
    <w:rsid w:val="00C7711F"/>
    <w:rsid w:val="00C772D0"/>
    <w:rsid w:val="00C7771E"/>
    <w:rsid w:val="00C7779D"/>
    <w:rsid w:val="00C77A6F"/>
    <w:rsid w:val="00C77F51"/>
    <w:rsid w:val="00C80210"/>
    <w:rsid w:val="00C80622"/>
    <w:rsid w:val="00C8069B"/>
    <w:rsid w:val="00C808EF"/>
    <w:rsid w:val="00C80A7B"/>
    <w:rsid w:val="00C814BC"/>
    <w:rsid w:val="00C81507"/>
    <w:rsid w:val="00C818FE"/>
    <w:rsid w:val="00C81DC3"/>
    <w:rsid w:val="00C81EA3"/>
    <w:rsid w:val="00C8205B"/>
    <w:rsid w:val="00C82335"/>
    <w:rsid w:val="00C8249D"/>
    <w:rsid w:val="00C825D4"/>
    <w:rsid w:val="00C82621"/>
    <w:rsid w:val="00C82905"/>
    <w:rsid w:val="00C82EB2"/>
    <w:rsid w:val="00C82F8A"/>
    <w:rsid w:val="00C8302D"/>
    <w:rsid w:val="00C83063"/>
    <w:rsid w:val="00C8308B"/>
    <w:rsid w:val="00C83447"/>
    <w:rsid w:val="00C83668"/>
    <w:rsid w:val="00C8373A"/>
    <w:rsid w:val="00C83751"/>
    <w:rsid w:val="00C837D3"/>
    <w:rsid w:val="00C83BE0"/>
    <w:rsid w:val="00C83F21"/>
    <w:rsid w:val="00C83F85"/>
    <w:rsid w:val="00C8427F"/>
    <w:rsid w:val="00C8437F"/>
    <w:rsid w:val="00C8459D"/>
    <w:rsid w:val="00C84670"/>
    <w:rsid w:val="00C8468A"/>
    <w:rsid w:val="00C84BB2"/>
    <w:rsid w:val="00C84BB8"/>
    <w:rsid w:val="00C84BC8"/>
    <w:rsid w:val="00C84BD6"/>
    <w:rsid w:val="00C84CFF"/>
    <w:rsid w:val="00C84D53"/>
    <w:rsid w:val="00C84DBB"/>
    <w:rsid w:val="00C85235"/>
    <w:rsid w:val="00C853CF"/>
    <w:rsid w:val="00C8550E"/>
    <w:rsid w:val="00C85608"/>
    <w:rsid w:val="00C8598C"/>
    <w:rsid w:val="00C85BA1"/>
    <w:rsid w:val="00C8620A"/>
    <w:rsid w:val="00C86507"/>
    <w:rsid w:val="00C8651A"/>
    <w:rsid w:val="00C86602"/>
    <w:rsid w:val="00C86782"/>
    <w:rsid w:val="00C86C68"/>
    <w:rsid w:val="00C86CEA"/>
    <w:rsid w:val="00C87121"/>
    <w:rsid w:val="00C87131"/>
    <w:rsid w:val="00C8759A"/>
    <w:rsid w:val="00C87866"/>
    <w:rsid w:val="00C878A7"/>
    <w:rsid w:val="00C879B5"/>
    <w:rsid w:val="00C87E70"/>
    <w:rsid w:val="00C87F27"/>
    <w:rsid w:val="00C87FF8"/>
    <w:rsid w:val="00C903C7"/>
    <w:rsid w:val="00C905FC"/>
    <w:rsid w:val="00C90704"/>
    <w:rsid w:val="00C907B2"/>
    <w:rsid w:val="00C909A0"/>
    <w:rsid w:val="00C90ACD"/>
    <w:rsid w:val="00C90C33"/>
    <w:rsid w:val="00C91164"/>
    <w:rsid w:val="00C911D0"/>
    <w:rsid w:val="00C9151F"/>
    <w:rsid w:val="00C91873"/>
    <w:rsid w:val="00C919F3"/>
    <w:rsid w:val="00C91AC4"/>
    <w:rsid w:val="00C91AC7"/>
    <w:rsid w:val="00C91C5D"/>
    <w:rsid w:val="00C91CF6"/>
    <w:rsid w:val="00C91DB2"/>
    <w:rsid w:val="00C91EE7"/>
    <w:rsid w:val="00C91FD7"/>
    <w:rsid w:val="00C920E3"/>
    <w:rsid w:val="00C92417"/>
    <w:rsid w:val="00C92494"/>
    <w:rsid w:val="00C92840"/>
    <w:rsid w:val="00C92C98"/>
    <w:rsid w:val="00C93138"/>
    <w:rsid w:val="00C93188"/>
    <w:rsid w:val="00C934DA"/>
    <w:rsid w:val="00C93B66"/>
    <w:rsid w:val="00C93E08"/>
    <w:rsid w:val="00C94177"/>
    <w:rsid w:val="00C94242"/>
    <w:rsid w:val="00C9441D"/>
    <w:rsid w:val="00C9443C"/>
    <w:rsid w:val="00C9449C"/>
    <w:rsid w:val="00C94640"/>
    <w:rsid w:val="00C94685"/>
    <w:rsid w:val="00C94703"/>
    <w:rsid w:val="00C94869"/>
    <w:rsid w:val="00C94946"/>
    <w:rsid w:val="00C94AB3"/>
    <w:rsid w:val="00C94D84"/>
    <w:rsid w:val="00C94FB6"/>
    <w:rsid w:val="00C9512A"/>
    <w:rsid w:val="00C9529A"/>
    <w:rsid w:val="00C95549"/>
    <w:rsid w:val="00C955B7"/>
    <w:rsid w:val="00C958A2"/>
    <w:rsid w:val="00C958CB"/>
    <w:rsid w:val="00C95CD8"/>
    <w:rsid w:val="00C95EE0"/>
    <w:rsid w:val="00C96027"/>
    <w:rsid w:val="00C9628B"/>
    <w:rsid w:val="00C96363"/>
    <w:rsid w:val="00C96777"/>
    <w:rsid w:val="00C967EF"/>
    <w:rsid w:val="00C96C2F"/>
    <w:rsid w:val="00C96D63"/>
    <w:rsid w:val="00C96F11"/>
    <w:rsid w:val="00C97243"/>
    <w:rsid w:val="00C973D2"/>
    <w:rsid w:val="00C975A8"/>
    <w:rsid w:val="00C97898"/>
    <w:rsid w:val="00CA015C"/>
    <w:rsid w:val="00CA03B1"/>
    <w:rsid w:val="00CA03F7"/>
    <w:rsid w:val="00CA0459"/>
    <w:rsid w:val="00CA04FC"/>
    <w:rsid w:val="00CA054F"/>
    <w:rsid w:val="00CA0735"/>
    <w:rsid w:val="00CA0D32"/>
    <w:rsid w:val="00CA111F"/>
    <w:rsid w:val="00CA1156"/>
    <w:rsid w:val="00CA1205"/>
    <w:rsid w:val="00CA1259"/>
    <w:rsid w:val="00CA12CE"/>
    <w:rsid w:val="00CA1891"/>
    <w:rsid w:val="00CA1986"/>
    <w:rsid w:val="00CA1AED"/>
    <w:rsid w:val="00CA1B42"/>
    <w:rsid w:val="00CA1BEE"/>
    <w:rsid w:val="00CA1CB3"/>
    <w:rsid w:val="00CA2215"/>
    <w:rsid w:val="00CA23F3"/>
    <w:rsid w:val="00CA2911"/>
    <w:rsid w:val="00CA29DB"/>
    <w:rsid w:val="00CA2B74"/>
    <w:rsid w:val="00CA2CEF"/>
    <w:rsid w:val="00CA3111"/>
    <w:rsid w:val="00CA36B1"/>
    <w:rsid w:val="00CA3F98"/>
    <w:rsid w:val="00CA4191"/>
    <w:rsid w:val="00CA41F4"/>
    <w:rsid w:val="00CA42DC"/>
    <w:rsid w:val="00CA4663"/>
    <w:rsid w:val="00CA47B7"/>
    <w:rsid w:val="00CA47E3"/>
    <w:rsid w:val="00CA490D"/>
    <w:rsid w:val="00CA4C73"/>
    <w:rsid w:val="00CA5218"/>
    <w:rsid w:val="00CA52C0"/>
    <w:rsid w:val="00CA5358"/>
    <w:rsid w:val="00CA545A"/>
    <w:rsid w:val="00CA552D"/>
    <w:rsid w:val="00CA5AA0"/>
    <w:rsid w:val="00CA5F55"/>
    <w:rsid w:val="00CA6062"/>
    <w:rsid w:val="00CA6215"/>
    <w:rsid w:val="00CA6385"/>
    <w:rsid w:val="00CA6700"/>
    <w:rsid w:val="00CA6748"/>
    <w:rsid w:val="00CA674C"/>
    <w:rsid w:val="00CA6C9D"/>
    <w:rsid w:val="00CA6CEA"/>
    <w:rsid w:val="00CA6DFC"/>
    <w:rsid w:val="00CA6E04"/>
    <w:rsid w:val="00CA6E27"/>
    <w:rsid w:val="00CA7150"/>
    <w:rsid w:val="00CA74C0"/>
    <w:rsid w:val="00CA75D2"/>
    <w:rsid w:val="00CA76C9"/>
    <w:rsid w:val="00CA76D9"/>
    <w:rsid w:val="00CA77EC"/>
    <w:rsid w:val="00CA7B60"/>
    <w:rsid w:val="00CA7CBA"/>
    <w:rsid w:val="00CA7DDF"/>
    <w:rsid w:val="00CA7E74"/>
    <w:rsid w:val="00CA7FB8"/>
    <w:rsid w:val="00CB011E"/>
    <w:rsid w:val="00CB0145"/>
    <w:rsid w:val="00CB05D4"/>
    <w:rsid w:val="00CB070A"/>
    <w:rsid w:val="00CB0A5E"/>
    <w:rsid w:val="00CB0ED3"/>
    <w:rsid w:val="00CB1457"/>
    <w:rsid w:val="00CB149C"/>
    <w:rsid w:val="00CB152C"/>
    <w:rsid w:val="00CB172B"/>
    <w:rsid w:val="00CB1813"/>
    <w:rsid w:val="00CB19F4"/>
    <w:rsid w:val="00CB1A2E"/>
    <w:rsid w:val="00CB1A3D"/>
    <w:rsid w:val="00CB1C26"/>
    <w:rsid w:val="00CB1F10"/>
    <w:rsid w:val="00CB1F6B"/>
    <w:rsid w:val="00CB1F85"/>
    <w:rsid w:val="00CB1FBA"/>
    <w:rsid w:val="00CB2076"/>
    <w:rsid w:val="00CB2241"/>
    <w:rsid w:val="00CB230C"/>
    <w:rsid w:val="00CB2389"/>
    <w:rsid w:val="00CB23C5"/>
    <w:rsid w:val="00CB25B8"/>
    <w:rsid w:val="00CB2618"/>
    <w:rsid w:val="00CB264C"/>
    <w:rsid w:val="00CB2714"/>
    <w:rsid w:val="00CB278B"/>
    <w:rsid w:val="00CB2807"/>
    <w:rsid w:val="00CB300C"/>
    <w:rsid w:val="00CB30F9"/>
    <w:rsid w:val="00CB313A"/>
    <w:rsid w:val="00CB343A"/>
    <w:rsid w:val="00CB38B1"/>
    <w:rsid w:val="00CB3AB0"/>
    <w:rsid w:val="00CB4383"/>
    <w:rsid w:val="00CB43FD"/>
    <w:rsid w:val="00CB4507"/>
    <w:rsid w:val="00CB459F"/>
    <w:rsid w:val="00CB4919"/>
    <w:rsid w:val="00CB495D"/>
    <w:rsid w:val="00CB4A55"/>
    <w:rsid w:val="00CB4BA7"/>
    <w:rsid w:val="00CB4CA9"/>
    <w:rsid w:val="00CB4E1F"/>
    <w:rsid w:val="00CB52B0"/>
    <w:rsid w:val="00CB5872"/>
    <w:rsid w:val="00CB5CD8"/>
    <w:rsid w:val="00CB5ED9"/>
    <w:rsid w:val="00CB5FB7"/>
    <w:rsid w:val="00CB601B"/>
    <w:rsid w:val="00CB6170"/>
    <w:rsid w:val="00CB6201"/>
    <w:rsid w:val="00CB6257"/>
    <w:rsid w:val="00CB63A7"/>
    <w:rsid w:val="00CB6469"/>
    <w:rsid w:val="00CB689C"/>
    <w:rsid w:val="00CB69FE"/>
    <w:rsid w:val="00CB6A65"/>
    <w:rsid w:val="00CB6AC9"/>
    <w:rsid w:val="00CB6C36"/>
    <w:rsid w:val="00CB6F97"/>
    <w:rsid w:val="00CB706A"/>
    <w:rsid w:val="00CB72C5"/>
    <w:rsid w:val="00CB7E2B"/>
    <w:rsid w:val="00CB7E7D"/>
    <w:rsid w:val="00CC01AB"/>
    <w:rsid w:val="00CC028C"/>
    <w:rsid w:val="00CC0383"/>
    <w:rsid w:val="00CC038F"/>
    <w:rsid w:val="00CC04BD"/>
    <w:rsid w:val="00CC0536"/>
    <w:rsid w:val="00CC05D6"/>
    <w:rsid w:val="00CC0687"/>
    <w:rsid w:val="00CC06C5"/>
    <w:rsid w:val="00CC06CC"/>
    <w:rsid w:val="00CC06FC"/>
    <w:rsid w:val="00CC0A5D"/>
    <w:rsid w:val="00CC1030"/>
    <w:rsid w:val="00CC13FC"/>
    <w:rsid w:val="00CC1971"/>
    <w:rsid w:val="00CC1A2C"/>
    <w:rsid w:val="00CC1B3F"/>
    <w:rsid w:val="00CC1D1B"/>
    <w:rsid w:val="00CC2388"/>
    <w:rsid w:val="00CC259E"/>
    <w:rsid w:val="00CC25CF"/>
    <w:rsid w:val="00CC27D7"/>
    <w:rsid w:val="00CC2A67"/>
    <w:rsid w:val="00CC2FF6"/>
    <w:rsid w:val="00CC30C1"/>
    <w:rsid w:val="00CC31B0"/>
    <w:rsid w:val="00CC31EC"/>
    <w:rsid w:val="00CC3377"/>
    <w:rsid w:val="00CC3745"/>
    <w:rsid w:val="00CC374A"/>
    <w:rsid w:val="00CC37A9"/>
    <w:rsid w:val="00CC3B3F"/>
    <w:rsid w:val="00CC3EF1"/>
    <w:rsid w:val="00CC3FCF"/>
    <w:rsid w:val="00CC40B1"/>
    <w:rsid w:val="00CC416A"/>
    <w:rsid w:val="00CC41F0"/>
    <w:rsid w:val="00CC431F"/>
    <w:rsid w:val="00CC441A"/>
    <w:rsid w:val="00CC4420"/>
    <w:rsid w:val="00CC4D59"/>
    <w:rsid w:val="00CC4D8F"/>
    <w:rsid w:val="00CC4F16"/>
    <w:rsid w:val="00CC53AC"/>
    <w:rsid w:val="00CC56BF"/>
    <w:rsid w:val="00CC5708"/>
    <w:rsid w:val="00CC57E6"/>
    <w:rsid w:val="00CC58B6"/>
    <w:rsid w:val="00CC5ACA"/>
    <w:rsid w:val="00CC5B4B"/>
    <w:rsid w:val="00CC5C96"/>
    <w:rsid w:val="00CC5E57"/>
    <w:rsid w:val="00CC5F72"/>
    <w:rsid w:val="00CC61E0"/>
    <w:rsid w:val="00CC627C"/>
    <w:rsid w:val="00CC632E"/>
    <w:rsid w:val="00CC6358"/>
    <w:rsid w:val="00CC6369"/>
    <w:rsid w:val="00CC63B5"/>
    <w:rsid w:val="00CC6417"/>
    <w:rsid w:val="00CC650B"/>
    <w:rsid w:val="00CC6B10"/>
    <w:rsid w:val="00CC6EA9"/>
    <w:rsid w:val="00CC72C8"/>
    <w:rsid w:val="00CC756C"/>
    <w:rsid w:val="00CC7623"/>
    <w:rsid w:val="00CC78B3"/>
    <w:rsid w:val="00CC7AB0"/>
    <w:rsid w:val="00CC7E42"/>
    <w:rsid w:val="00CC7F2D"/>
    <w:rsid w:val="00CD0097"/>
    <w:rsid w:val="00CD0329"/>
    <w:rsid w:val="00CD0392"/>
    <w:rsid w:val="00CD03E6"/>
    <w:rsid w:val="00CD04A9"/>
    <w:rsid w:val="00CD08C6"/>
    <w:rsid w:val="00CD09DA"/>
    <w:rsid w:val="00CD0F21"/>
    <w:rsid w:val="00CD122B"/>
    <w:rsid w:val="00CD1271"/>
    <w:rsid w:val="00CD127F"/>
    <w:rsid w:val="00CD14EA"/>
    <w:rsid w:val="00CD1780"/>
    <w:rsid w:val="00CD1F7F"/>
    <w:rsid w:val="00CD21AD"/>
    <w:rsid w:val="00CD231D"/>
    <w:rsid w:val="00CD23D6"/>
    <w:rsid w:val="00CD2551"/>
    <w:rsid w:val="00CD2936"/>
    <w:rsid w:val="00CD2BEA"/>
    <w:rsid w:val="00CD2BF6"/>
    <w:rsid w:val="00CD325B"/>
    <w:rsid w:val="00CD3344"/>
    <w:rsid w:val="00CD34E5"/>
    <w:rsid w:val="00CD3AD9"/>
    <w:rsid w:val="00CD3B0A"/>
    <w:rsid w:val="00CD4179"/>
    <w:rsid w:val="00CD4382"/>
    <w:rsid w:val="00CD4421"/>
    <w:rsid w:val="00CD4C6F"/>
    <w:rsid w:val="00CD4DDF"/>
    <w:rsid w:val="00CD4EDD"/>
    <w:rsid w:val="00CD4F44"/>
    <w:rsid w:val="00CD4FAD"/>
    <w:rsid w:val="00CD51F9"/>
    <w:rsid w:val="00CD52CB"/>
    <w:rsid w:val="00CD54B2"/>
    <w:rsid w:val="00CD55E0"/>
    <w:rsid w:val="00CD5629"/>
    <w:rsid w:val="00CD5F45"/>
    <w:rsid w:val="00CD60A3"/>
    <w:rsid w:val="00CD6661"/>
    <w:rsid w:val="00CD6878"/>
    <w:rsid w:val="00CD6C4F"/>
    <w:rsid w:val="00CD6C7F"/>
    <w:rsid w:val="00CD6D13"/>
    <w:rsid w:val="00CD6D4E"/>
    <w:rsid w:val="00CD7213"/>
    <w:rsid w:val="00CD7234"/>
    <w:rsid w:val="00CD73D7"/>
    <w:rsid w:val="00CD7445"/>
    <w:rsid w:val="00CD74FD"/>
    <w:rsid w:val="00CD762C"/>
    <w:rsid w:val="00CD7848"/>
    <w:rsid w:val="00CD79AB"/>
    <w:rsid w:val="00CD7B5A"/>
    <w:rsid w:val="00CD7B88"/>
    <w:rsid w:val="00CD7D0F"/>
    <w:rsid w:val="00CE015E"/>
    <w:rsid w:val="00CE047F"/>
    <w:rsid w:val="00CE0581"/>
    <w:rsid w:val="00CE09CC"/>
    <w:rsid w:val="00CE0BF2"/>
    <w:rsid w:val="00CE0E2A"/>
    <w:rsid w:val="00CE103B"/>
    <w:rsid w:val="00CE10BA"/>
    <w:rsid w:val="00CE156A"/>
    <w:rsid w:val="00CE15C4"/>
    <w:rsid w:val="00CE1706"/>
    <w:rsid w:val="00CE18C6"/>
    <w:rsid w:val="00CE1B37"/>
    <w:rsid w:val="00CE1C5A"/>
    <w:rsid w:val="00CE1D11"/>
    <w:rsid w:val="00CE1FA0"/>
    <w:rsid w:val="00CE2A88"/>
    <w:rsid w:val="00CE2C2E"/>
    <w:rsid w:val="00CE2D86"/>
    <w:rsid w:val="00CE306F"/>
    <w:rsid w:val="00CE31D7"/>
    <w:rsid w:val="00CE3272"/>
    <w:rsid w:val="00CE3598"/>
    <w:rsid w:val="00CE363E"/>
    <w:rsid w:val="00CE385E"/>
    <w:rsid w:val="00CE3CC6"/>
    <w:rsid w:val="00CE40CD"/>
    <w:rsid w:val="00CE423A"/>
    <w:rsid w:val="00CE43CA"/>
    <w:rsid w:val="00CE46E3"/>
    <w:rsid w:val="00CE49A3"/>
    <w:rsid w:val="00CE4BA2"/>
    <w:rsid w:val="00CE4D47"/>
    <w:rsid w:val="00CE4FC9"/>
    <w:rsid w:val="00CE4FDA"/>
    <w:rsid w:val="00CE5107"/>
    <w:rsid w:val="00CE5108"/>
    <w:rsid w:val="00CE543D"/>
    <w:rsid w:val="00CE54E5"/>
    <w:rsid w:val="00CE5572"/>
    <w:rsid w:val="00CE5817"/>
    <w:rsid w:val="00CE5F07"/>
    <w:rsid w:val="00CE5FED"/>
    <w:rsid w:val="00CE611F"/>
    <w:rsid w:val="00CE6153"/>
    <w:rsid w:val="00CE61A7"/>
    <w:rsid w:val="00CE6321"/>
    <w:rsid w:val="00CE654D"/>
    <w:rsid w:val="00CE6A51"/>
    <w:rsid w:val="00CE6DEE"/>
    <w:rsid w:val="00CE716C"/>
    <w:rsid w:val="00CE72AE"/>
    <w:rsid w:val="00CE7366"/>
    <w:rsid w:val="00CE73D4"/>
    <w:rsid w:val="00CE7484"/>
    <w:rsid w:val="00CE7A01"/>
    <w:rsid w:val="00CE7A25"/>
    <w:rsid w:val="00CE7A2B"/>
    <w:rsid w:val="00CE7A92"/>
    <w:rsid w:val="00CE7CC4"/>
    <w:rsid w:val="00CE7F26"/>
    <w:rsid w:val="00CE7F79"/>
    <w:rsid w:val="00CF0070"/>
    <w:rsid w:val="00CF01B7"/>
    <w:rsid w:val="00CF02D0"/>
    <w:rsid w:val="00CF03A7"/>
    <w:rsid w:val="00CF04B7"/>
    <w:rsid w:val="00CF0743"/>
    <w:rsid w:val="00CF0AA4"/>
    <w:rsid w:val="00CF0B10"/>
    <w:rsid w:val="00CF0CDA"/>
    <w:rsid w:val="00CF0D43"/>
    <w:rsid w:val="00CF10E2"/>
    <w:rsid w:val="00CF12EA"/>
    <w:rsid w:val="00CF15A6"/>
    <w:rsid w:val="00CF19A0"/>
    <w:rsid w:val="00CF1F37"/>
    <w:rsid w:val="00CF1F73"/>
    <w:rsid w:val="00CF1F91"/>
    <w:rsid w:val="00CF21B0"/>
    <w:rsid w:val="00CF246A"/>
    <w:rsid w:val="00CF24FA"/>
    <w:rsid w:val="00CF2667"/>
    <w:rsid w:val="00CF284A"/>
    <w:rsid w:val="00CF28D5"/>
    <w:rsid w:val="00CF293F"/>
    <w:rsid w:val="00CF2967"/>
    <w:rsid w:val="00CF2D9E"/>
    <w:rsid w:val="00CF2E93"/>
    <w:rsid w:val="00CF2FF2"/>
    <w:rsid w:val="00CF3451"/>
    <w:rsid w:val="00CF34BF"/>
    <w:rsid w:val="00CF3891"/>
    <w:rsid w:val="00CF3B90"/>
    <w:rsid w:val="00CF3C91"/>
    <w:rsid w:val="00CF41B8"/>
    <w:rsid w:val="00CF43B6"/>
    <w:rsid w:val="00CF4409"/>
    <w:rsid w:val="00CF45EA"/>
    <w:rsid w:val="00CF47A6"/>
    <w:rsid w:val="00CF4806"/>
    <w:rsid w:val="00CF4816"/>
    <w:rsid w:val="00CF48E8"/>
    <w:rsid w:val="00CF48EB"/>
    <w:rsid w:val="00CF498E"/>
    <w:rsid w:val="00CF49A3"/>
    <w:rsid w:val="00CF4DF0"/>
    <w:rsid w:val="00CF4E47"/>
    <w:rsid w:val="00CF51A1"/>
    <w:rsid w:val="00CF51E9"/>
    <w:rsid w:val="00CF52D8"/>
    <w:rsid w:val="00CF5776"/>
    <w:rsid w:val="00CF57E1"/>
    <w:rsid w:val="00CF5827"/>
    <w:rsid w:val="00CF5861"/>
    <w:rsid w:val="00CF5A1B"/>
    <w:rsid w:val="00CF6151"/>
    <w:rsid w:val="00CF6410"/>
    <w:rsid w:val="00CF648A"/>
    <w:rsid w:val="00CF672F"/>
    <w:rsid w:val="00CF6B81"/>
    <w:rsid w:val="00CF6BBC"/>
    <w:rsid w:val="00CF6CA1"/>
    <w:rsid w:val="00CF71D8"/>
    <w:rsid w:val="00CF72AF"/>
    <w:rsid w:val="00CF72DC"/>
    <w:rsid w:val="00CF73D3"/>
    <w:rsid w:val="00CF76EF"/>
    <w:rsid w:val="00CF771A"/>
    <w:rsid w:val="00D000EA"/>
    <w:rsid w:val="00D0020D"/>
    <w:rsid w:val="00D005E6"/>
    <w:rsid w:val="00D00696"/>
    <w:rsid w:val="00D00AF8"/>
    <w:rsid w:val="00D00C1D"/>
    <w:rsid w:val="00D01026"/>
    <w:rsid w:val="00D01220"/>
    <w:rsid w:val="00D012C0"/>
    <w:rsid w:val="00D01341"/>
    <w:rsid w:val="00D01456"/>
    <w:rsid w:val="00D019AA"/>
    <w:rsid w:val="00D01C61"/>
    <w:rsid w:val="00D01EBD"/>
    <w:rsid w:val="00D01F24"/>
    <w:rsid w:val="00D02009"/>
    <w:rsid w:val="00D0210F"/>
    <w:rsid w:val="00D0230D"/>
    <w:rsid w:val="00D02388"/>
    <w:rsid w:val="00D027D2"/>
    <w:rsid w:val="00D02EC3"/>
    <w:rsid w:val="00D02FF4"/>
    <w:rsid w:val="00D03267"/>
    <w:rsid w:val="00D03A07"/>
    <w:rsid w:val="00D03A6A"/>
    <w:rsid w:val="00D03CE9"/>
    <w:rsid w:val="00D03E9A"/>
    <w:rsid w:val="00D03F1A"/>
    <w:rsid w:val="00D03F6F"/>
    <w:rsid w:val="00D03FEF"/>
    <w:rsid w:val="00D0409E"/>
    <w:rsid w:val="00D04542"/>
    <w:rsid w:val="00D04595"/>
    <w:rsid w:val="00D0469D"/>
    <w:rsid w:val="00D04815"/>
    <w:rsid w:val="00D048F2"/>
    <w:rsid w:val="00D04C4D"/>
    <w:rsid w:val="00D04CEA"/>
    <w:rsid w:val="00D04D0C"/>
    <w:rsid w:val="00D04DF3"/>
    <w:rsid w:val="00D05105"/>
    <w:rsid w:val="00D052CA"/>
    <w:rsid w:val="00D057A9"/>
    <w:rsid w:val="00D05CEB"/>
    <w:rsid w:val="00D05D75"/>
    <w:rsid w:val="00D05F0B"/>
    <w:rsid w:val="00D05F27"/>
    <w:rsid w:val="00D0616A"/>
    <w:rsid w:val="00D0627F"/>
    <w:rsid w:val="00D06879"/>
    <w:rsid w:val="00D06894"/>
    <w:rsid w:val="00D06964"/>
    <w:rsid w:val="00D0698F"/>
    <w:rsid w:val="00D06A82"/>
    <w:rsid w:val="00D06D94"/>
    <w:rsid w:val="00D06F51"/>
    <w:rsid w:val="00D073B4"/>
    <w:rsid w:val="00D07471"/>
    <w:rsid w:val="00D075CC"/>
    <w:rsid w:val="00D0788D"/>
    <w:rsid w:val="00D078AA"/>
    <w:rsid w:val="00D078F8"/>
    <w:rsid w:val="00D07AA6"/>
    <w:rsid w:val="00D07C1E"/>
    <w:rsid w:val="00D07CE0"/>
    <w:rsid w:val="00D07DDB"/>
    <w:rsid w:val="00D07EDB"/>
    <w:rsid w:val="00D1005C"/>
    <w:rsid w:val="00D10194"/>
    <w:rsid w:val="00D101CF"/>
    <w:rsid w:val="00D104C8"/>
    <w:rsid w:val="00D1069B"/>
    <w:rsid w:val="00D106BA"/>
    <w:rsid w:val="00D10C01"/>
    <w:rsid w:val="00D10D5E"/>
    <w:rsid w:val="00D1105D"/>
    <w:rsid w:val="00D115A3"/>
    <w:rsid w:val="00D117DA"/>
    <w:rsid w:val="00D11A3D"/>
    <w:rsid w:val="00D11E23"/>
    <w:rsid w:val="00D11F78"/>
    <w:rsid w:val="00D1203C"/>
    <w:rsid w:val="00D1230F"/>
    <w:rsid w:val="00D12424"/>
    <w:rsid w:val="00D125EB"/>
    <w:rsid w:val="00D127A3"/>
    <w:rsid w:val="00D12B99"/>
    <w:rsid w:val="00D12C6D"/>
    <w:rsid w:val="00D12DC1"/>
    <w:rsid w:val="00D12F30"/>
    <w:rsid w:val="00D131F0"/>
    <w:rsid w:val="00D134A2"/>
    <w:rsid w:val="00D13E1E"/>
    <w:rsid w:val="00D13E80"/>
    <w:rsid w:val="00D13FC8"/>
    <w:rsid w:val="00D14417"/>
    <w:rsid w:val="00D14B01"/>
    <w:rsid w:val="00D14C89"/>
    <w:rsid w:val="00D151A1"/>
    <w:rsid w:val="00D1527D"/>
    <w:rsid w:val="00D156CD"/>
    <w:rsid w:val="00D1572B"/>
    <w:rsid w:val="00D15999"/>
    <w:rsid w:val="00D15F7B"/>
    <w:rsid w:val="00D15FA3"/>
    <w:rsid w:val="00D160BF"/>
    <w:rsid w:val="00D16469"/>
    <w:rsid w:val="00D16868"/>
    <w:rsid w:val="00D168F1"/>
    <w:rsid w:val="00D16B1B"/>
    <w:rsid w:val="00D16D0F"/>
    <w:rsid w:val="00D16D4B"/>
    <w:rsid w:val="00D16EEB"/>
    <w:rsid w:val="00D16F39"/>
    <w:rsid w:val="00D172C3"/>
    <w:rsid w:val="00D1730B"/>
    <w:rsid w:val="00D17367"/>
    <w:rsid w:val="00D17501"/>
    <w:rsid w:val="00D1772C"/>
    <w:rsid w:val="00D17835"/>
    <w:rsid w:val="00D17E3C"/>
    <w:rsid w:val="00D17F18"/>
    <w:rsid w:val="00D17F47"/>
    <w:rsid w:val="00D200FF"/>
    <w:rsid w:val="00D20427"/>
    <w:rsid w:val="00D2044A"/>
    <w:rsid w:val="00D20452"/>
    <w:rsid w:val="00D2069A"/>
    <w:rsid w:val="00D21091"/>
    <w:rsid w:val="00D211AA"/>
    <w:rsid w:val="00D214D4"/>
    <w:rsid w:val="00D217B2"/>
    <w:rsid w:val="00D21809"/>
    <w:rsid w:val="00D21BC7"/>
    <w:rsid w:val="00D21C37"/>
    <w:rsid w:val="00D21CF6"/>
    <w:rsid w:val="00D22171"/>
    <w:rsid w:val="00D225F7"/>
    <w:rsid w:val="00D22954"/>
    <w:rsid w:val="00D22EAA"/>
    <w:rsid w:val="00D22FAD"/>
    <w:rsid w:val="00D23352"/>
    <w:rsid w:val="00D2347C"/>
    <w:rsid w:val="00D23639"/>
    <w:rsid w:val="00D23661"/>
    <w:rsid w:val="00D23849"/>
    <w:rsid w:val="00D23AE6"/>
    <w:rsid w:val="00D23FBB"/>
    <w:rsid w:val="00D24B56"/>
    <w:rsid w:val="00D24D4D"/>
    <w:rsid w:val="00D2531E"/>
    <w:rsid w:val="00D254CC"/>
    <w:rsid w:val="00D2556A"/>
    <w:rsid w:val="00D256CD"/>
    <w:rsid w:val="00D25E13"/>
    <w:rsid w:val="00D2624C"/>
    <w:rsid w:val="00D262F8"/>
    <w:rsid w:val="00D2637E"/>
    <w:rsid w:val="00D26653"/>
    <w:rsid w:val="00D26768"/>
    <w:rsid w:val="00D26A07"/>
    <w:rsid w:val="00D26A61"/>
    <w:rsid w:val="00D26C6B"/>
    <w:rsid w:val="00D26DD2"/>
    <w:rsid w:val="00D27159"/>
    <w:rsid w:val="00D272DF"/>
    <w:rsid w:val="00D273B0"/>
    <w:rsid w:val="00D274B0"/>
    <w:rsid w:val="00D27867"/>
    <w:rsid w:val="00D27916"/>
    <w:rsid w:val="00D27B5B"/>
    <w:rsid w:val="00D27CAC"/>
    <w:rsid w:val="00D27CF0"/>
    <w:rsid w:val="00D27DEB"/>
    <w:rsid w:val="00D27E51"/>
    <w:rsid w:val="00D3001E"/>
    <w:rsid w:val="00D303A7"/>
    <w:rsid w:val="00D303CB"/>
    <w:rsid w:val="00D303D1"/>
    <w:rsid w:val="00D3043D"/>
    <w:rsid w:val="00D3093E"/>
    <w:rsid w:val="00D309C1"/>
    <w:rsid w:val="00D30B66"/>
    <w:rsid w:val="00D30C14"/>
    <w:rsid w:val="00D30D38"/>
    <w:rsid w:val="00D310CB"/>
    <w:rsid w:val="00D31175"/>
    <w:rsid w:val="00D3118B"/>
    <w:rsid w:val="00D31293"/>
    <w:rsid w:val="00D313C6"/>
    <w:rsid w:val="00D314F0"/>
    <w:rsid w:val="00D3150F"/>
    <w:rsid w:val="00D315EF"/>
    <w:rsid w:val="00D317EE"/>
    <w:rsid w:val="00D31C4E"/>
    <w:rsid w:val="00D32119"/>
    <w:rsid w:val="00D325EA"/>
    <w:rsid w:val="00D326E1"/>
    <w:rsid w:val="00D329EA"/>
    <w:rsid w:val="00D32AF4"/>
    <w:rsid w:val="00D32BF6"/>
    <w:rsid w:val="00D32BFC"/>
    <w:rsid w:val="00D32CC9"/>
    <w:rsid w:val="00D33198"/>
    <w:rsid w:val="00D331F1"/>
    <w:rsid w:val="00D3332E"/>
    <w:rsid w:val="00D33493"/>
    <w:rsid w:val="00D33ABD"/>
    <w:rsid w:val="00D33DE8"/>
    <w:rsid w:val="00D340DA"/>
    <w:rsid w:val="00D34248"/>
    <w:rsid w:val="00D34481"/>
    <w:rsid w:val="00D344E7"/>
    <w:rsid w:val="00D34803"/>
    <w:rsid w:val="00D34BB2"/>
    <w:rsid w:val="00D34C2C"/>
    <w:rsid w:val="00D34F61"/>
    <w:rsid w:val="00D35303"/>
    <w:rsid w:val="00D353A7"/>
    <w:rsid w:val="00D353C9"/>
    <w:rsid w:val="00D357DD"/>
    <w:rsid w:val="00D358E9"/>
    <w:rsid w:val="00D35906"/>
    <w:rsid w:val="00D35924"/>
    <w:rsid w:val="00D35A07"/>
    <w:rsid w:val="00D35DFD"/>
    <w:rsid w:val="00D3607F"/>
    <w:rsid w:val="00D368F4"/>
    <w:rsid w:val="00D36A3D"/>
    <w:rsid w:val="00D36AA9"/>
    <w:rsid w:val="00D36AF6"/>
    <w:rsid w:val="00D36B6C"/>
    <w:rsid w:val="00D36E4D"/>
    <w:rsid w:val="00D36E6A"/>
    <w:rsid w:val="00D37332"/>
    <w:rsid w:val="00D373E5"/>
    <w:rsid w:val="00D377B5"/>
    <w:rsid w:val="00D37C2D"/>
    <w:rsid w:val="00D37D57"/>
    <w:rsid w:val="00D37F8D"/>
    <w:rsid w:val="00D40101"/>
    <w:rsid w:val="00D4015F"/>
    <w:rsid w:val="00D4031C"/>
    <w:rsid w:val="00D40350"/>
    <w:rsid w:val="00D406B2"/>
    <w:rsid w:val="00D40841"/>
    <w:rsid w:val="00D40A1B"/>
    <w:rsid w:val="00D40B2D"/>
    <w:rsid w:val="00D40F96"/>
    <w:rsid w:val="00D41197"/>
    <w:rsid w:val="00D41211"/>
    <w:rsid w:val="00D415CA"/>
    <w:rsid w:val="00D41630"/>
    <w:rsid w:val="00D4179F"/>
    <w:rsid w:val="00D41A59"/>
    <w:rsid w:val="00D41A77"/>
    <w:rsid w:val="00D41C4A"/>
    <w:rsid w:val="00D41FA0"/>
    <w:rsid w:val="00D4218C"/>
    <w:rsid w:val="00D421B7"/>
    <w:rsid w:val="00D4228C"/>
    <w:rsid w:val="00D42329"/>
    <w:rsid w:val="00D423B7"/>
    <w:rsid w:val="00D4283D"/>
    <w:rsid w:val="00D42B4E"/>
    <w:rsid w:val="00D42B50"/>
    <w:rsid w:val="00D42BA0"/>
    <w:rsid w:val="00D42FDD"/>
    <w:rsid w:val="00D4382A"/>
    <w:rsid w:val="00D4385C"/>
    <w:rsid w:val="00D43B39"/>
    <w:rsid w:val="00D43C1A"/>
    <w:rsid w:val="00D43D13"/>
    <w:rsid w:val="00D43D2B"/>
    <w:rsid w:val="00D43E61"/>
    <w:rsid w:val="00D4422B"/>
    <w:rsid w:val="00D442B1"/>
    <w:rsid w:val="00D44305"/>
    <w:rsid w:val="00D44711"/>
    <w:rsid w:val="00D447FB"/>
    <w:rsid w:val="00D4497F"/>
    <w:rsid w:val="00D44CEE"/>
    <w:rsid w:val="00D44D45"/>
    <w:rsid w:val="00D45087"/>
    <w:rsid w:val="00D45135"/>
    <w:rsid w:val="00D4553A"/>
    <w:rsid w:val="00D4559F"/>
    <w:rsid w:val="00D455F3"/>
    <w:rsid w:val="00D458FD"/>
    <w:rsid w:val="00D46055"/>
    <w:rsid w:val="00D463E6"/>
    <w:rsid w:val="00D46753"/>
    <w:rsid w:val="00D467EA"/>
    <w:rsid w:val="00D468D9"/>
    <w:rsid w:val="00D4699B"/>
    <w:rsid w:val="00D46A8A"/>
    <w:rsid w:val="00D46AD6"/>
    <w:rsid w:val="00D46BD8"/>
    <w:rsid w:val="00D4728E"/>
    <w:rsid w:val="00D472FD"/>
    <w:rsid w:val="00D477BF"/>
    <w:rsid w:val="00D47B52"/>
    <w:rsid w:val="00D50047"/>
    <w:rsid w:val="00D5008B"/>
    <w:rsid w:val="00D500EE"/>
    <w:rsid w:val="00D500F9"/>
    <w:rsid w:val="00D50294"/>
    <w:rsid w:val="00D5034F"/>
    <w:rsid w:val="00D50503"/>
    <w:rsid w:val="00D505F2"/>
    <w:rsid w:val="00D506C4"/>
    <w:rsid w:val="00D507CD"/>
    <w:rsid w:val="00D50874"/>
    <w:rsid w:val="00D50951"/>
    <w:rsid w:val="00D50AF2"/>
    <w:rsid w:val="00D50B3D"/>
    <w:rsid w:val="00D50C65"/>
    <w:rsid w:val="00D50E0E"/>
    <w:rsid w:val="00D50F3E"/>
    <w:rsid w:val="00D50F4F"/>
    <w:rsid w:val="00D51298"/>
    <w:rsid w:val="00D512D6"/>
    <w:rsid w:val="00D51A88"/>
    <w:rsid w:val="00D51C65"/>
    <w:rsid w:val="00D51D09"/>
    <w:rsid w:val="00D52220"/>
    <w:rsid w:val="00D5244A"/>
    <w:rsid w:val="00D525CF"/>
    <w:rsid w:val="00D52657"/>
    <w:rsid w:val="00D527CD"/>
    <w:rsid w:val="00D52E36"/>
    <w:rsid w:val="00D52E5B"/>
    <w:rsid w:val="00D531EF"/>
    <w:rsid w:val="00D534A6"/>
    <w:rsid w:val="00D5371C"/>
    <w:rsid w:val="00D53E63"/>
    <w:rsid w:val="00D53EC1"/>
    <w:rsid w:val="00D54044"/>
    <w:rsid w:val="00D5406F"/>
    <w:rsid w:val="00D541A9"/>
    <w:rsid w:val="00D543E9"/>
    <w:rsid w:val="00D5454A"/>
    <w:rsid w:val="00D54721"/>
    <w:rsid w:val="00D5490F"/>
    <w:rsid w:val="00D54F0D"/>
    <w:rsid w:val="00D54F24"/>
    <w:rsid w:val="00D54F5A"/>
    <w:rsid w:val="00D553E7"/>
    <w:rsid w:val="00D55B40"/>
    <w:rsid w:val="00D55C99"/>
    <w:rsid w:val="00D55E8E"/>
    <w:rsid w:val="00D55F2D"/>
    <w:rsid w:val="00D55F54"/>
    <w:rsid w:val="00D56359"/>
    <w:rsid w:val="00D5639F"/>
    <w:rsid w:val="00D563E8"/>
    <w:rsid w:val="00D56440"/>
    <w:rsid w:val="00D56477"/>
    <w:rsid w:val="00D56826"/>
    <w:rsid w:val="00D569C4"/>
    <w:rsid w:val="00D56D95"/>
    <w:rsid w:val="00D570D8"/>
    <w:rsid w:val="00D571CF"/>
    <w:rsid w:val="00D57358"/>
    <w:rsid w:val="00D573F2"/>
    <w:rsid w:val="00D57612"/>
    <w:rsid w:val="00D5775F"/>
    <w:rsid w:val="00D5787C"/>
    <w:rsid w:val="00D57B29"/>
    <w:rsid w:val="00D57DF3"/>
    <w:rsid w:val="00D57F0D"/>
    <w:rsid w:val="00D57F17"/>
    <w:rsid w:val="00D601C0"/>
    <w:rsid w:val="00D602E8"/>
    <w:rsid w:val="00D604EC"/>
    <w:rsid w:val="00D605C7"/>
    <w:rsid w:val="00D606A8"/>
    <w:rsid w:val="00D606EA"/>
    <w:rsid w:val="00D60BA0"/>
    <w:rsid w:val="00D60C6C"/>
    <w:rsid w:val="00D60DD6"/>
    <w:rsid w:val="00D60E35"/>
    <w:rsid w:val="00D60F55"/>
    <w:rsid w:val="00D61196"/>
    <w:rsid w:val="00D618D8"/>
    <w:rsid w:val="00D619B5"/>
    <w:rsid w:val="00D61C60"/>
    <w:rsid w:val="00D61E16"/>
    <w:rsid w:val="00D61EF9"/>
    <w:rsid w:val="00D62218"/>
    <w:rsid w:val="00D626FB"/>
    <w:rsid w:val="00D62A64"/>
    <w:rsid w:val="00D62AA1"/>
    <w:rsid w:val="00D62B1B"/>
    <w:rsid w:val="00D62B7D"/>
    <w:rsid w:val="00D62B93"/>
    <w:rsid w:val="00D62C47"/>
    <w:rsid w:val="00D62EA7"/>
    <w:rsid w:val="00D62EAA"/>
    <w:rsid w:val="00D6311C"/>
    <w:rsid w:val="00D632AB"/>
    <w:rsid w:val="00D6338D"/>
    <w:rsid w:val="00D6342B"/>
    <w:rsid w:val="00D636A2"/>
    <w:rsid w:val="00D636F0"/>
    <w:rsid w:val="00D639C4"/>
    <w:rsid w:val="00D63A85"/>
    <w:rsid w:val="00D63F29"/>
    <w:rsid w:val="00D6404C"/>
    <w:rsid w:val="00D642ED"/>
    <w:rsid w:val="00D64562"/>
    <w:rsid w:val="00D645DE"/>
    <w:rsid w:val="00D64758"/>
    <w:rsid w:val="00D6491B"/>
    <w:rsid w:val="00D64B7C"/>
    <w:rsid w:val="00D64D05"/>
    <w:rsid w:val="00D64DF2"/>
    <w:rsid w:val="00D64E56"/>
    <w:rsid w:val="00D6522C"/>
    <w:rsid w:val="00D652E6"/>
    <w:rsid w:val="00D6534B"/>
    <w:rsid w:val="00D65A40"/>
    <w:rsid w:val="00D65A57"/>
    <w:rsid w:val="00D65D59"/>
    <w:rsid w:val="00D65E4E"/>
    <w:rsid w:val="00D65EF9"/>
    <w:rsid w:val="00D65F34"/>
    <w:rsid w:val="00D660BE"/>
    <w:rsid w:val="00D661AA"/>
    <w:rsid w:val="00D66915"/>
    <w:rsid w:val="00D66D93"/>
    <w:rsid w:val="00D66ED2"/>
    <w:rsid w:val="00D66F56"/>
    <w:rsid w:val="00D6705D"/>
    <w:rsid w:val="00D67278"/>
    <w:rsid w:val="00D6739C"/>
    <w:rsid w:val="00D673E4"/>
    <w:rsid w:val="00D675B3"/>
    <w:rsid w:val="00D6775E"/>
    <w:rsid w:val="00D677C5"/>
    <w:rsid w:val="00D677C9"/>
    <w:rsid w:val="00D67ED9"/>
    <w:rsid w:val="00D67F2D"/>
    <w:rsid w:val="00D700B4"/>
    <w:rsid w:val="00D70286"/>
    <w:rsid w:val="00D70338"/>
    <w:rsid w:val="00D703EB"/>
    <w:rsid w:val="00D70617"/>
    <w:rsid w:val="00D70738"/>
    <w:rsid w:val="00D70751"/>
    <w:rsid w:val="00D70792"/>
    <w:rsid w:val="00D70BA2"/>
    <w:rsid w:val="00D70E3C"/>
    <w:rsid w:val="00D70E8A"/>
    <w:rsid w:val="00D70ED1"/>
    <w:rsid w:val="00D71065"/>
    <w:rsid w:val="00D71351"/>
    <w:rsid w:val="00D7138B"/>
    <w:rsid w:val="00D717FB"/>
    <w:rsid w:val="00D71956"/>
    <w:rsid w:val="00D71A11"/>
    <w:rsid w:val="00D71A23"/>
    <w:rsid w:val="00D71A94"/>
    <w:rsid w:val="00D71B62"/>
    <w:rsid w:val="00D71FDC"/>
    <w:rsid w:val="00D722A1"/>
    <w:rsid w:val="00D72442"/>
    <w:rsid w:val="00D7276F"/>
    <w:rsid w:val="00D72DEC"/>
    <w:rsid w:val="00D7332A"/>
    <w:rsid w:val="00D733FD"/>
    <w:rsid w:val="00D735EF"/>
    <w:rsid w:val="00D7372E"/>
    <w:rsid w:val="00D73815"/>
    <w:rsid w:val="00D73968"/>
    <w:rsid w:val="00D739EE"/>
    <w:rsid w:val="00D73AF9"/>
    <w:rsid w:val="00D73EDD"/>
    <w:rsid w:val="00D74050"/>
    <w:rsid w:val="00D74181"/>
    <w:rsid w:val="00D7426E"/>
    <w:rsid w:val="00D74282"/>
    <w:rsid w:val="00D74383"/>
    <w:rsid w:val="00D7468D"/>
    <w:rsid w:val="00D749DC"/>
    <w:rsid w:val="00D749E5"/>
    <w:rsid w:val="00D74A10"/>
    <w:rsid w:val="00D74A7A"/>
    <w:rsid w:val="00D74A7D"/>
    <w:rsid w:val="00D74AF9"/>
    <w:rsid w:val="00D74AFD"/>
    <w:rsid w:val="00D74E59"/>
    <w:rsid w:val="00D74F32"/>
    <w:rsid w:val="00D751BC"/>
    <w:rsid w:val="00D753A7"/>
    <w:rsid w:val="00D755AA"/>
    <w:rsid w:val="00D7577A"/>
    <w:rsid w:val="00D76463"/>
    <w:rsid w:val="00D7647A"/>
    <w:rsid w:val="00D764F3"/>
    <w:rsid w:val="00D76A10"/>
    <w:rsid w:val="00D76A1C"/>
    <w:rsid w:val="00D76BAD"/>
    <w:rsid w:val="00D76D0B"/>
    <w:rsid w:val="00D7700F"/>
    <w:rsid w:val="00D77140"/>
    <w:rsid w:val="00D7726A"/>
    <w:rsid w:val="00D773D8"/>
    <w:rsid w:val="00D773E9"/>
    <w:rsid w:val="00D7760C"/>
    <w:rsid w:val="00D77A89"/>
    <w:rsid w:val="00D77D9F"/>
    <w:rsid w:val="00D801CA"/>
    <w:rsid w:val="00D802AD"/>
    <w:rsid w:val="00D8051B"/>
    <w:rsid w:val="00D806BC"/>
    <w:rsid w:val="00D80962"/>
    <w:rsid w:val="00D80A4B"/>
    <w:rsid w:val="00D80A6A"/>
    <w:rsid w:val="00D80A9C"/>
    <w:rsid w:val="00D80ADC"/>
    <w:rsid w:val="00D80B03"/>
    <w:rsid w:val="00D80C70"/>
    <w:rsid w:val="00D80CB6"/>
    <w:rsid w:val="00D80CDF"/>
    <w:rsid w:val="00D80E2D"/>
    <w:rsid w:val="00D80F8C"/>
    <w:rsid w:val="00D8102E"/>
    <w:rsid w:val="00D815A9"/>
    <w:rsid w:val="00D81670"/>
    <w:rsid w:val="00D8178D"/>
    <w:rsid w:val="00D81B98"/>
    <w:rsid w:val="00D81D85"/>
    <w:rsid w:val="00D81E1E"/>
    <w:rsid w:val="00D81E72"/>
    <w:rsid w:val="00D8206D"/>
    <w:rsid w:val="00D8228E"/>
    <w:rsid w:val="00D823EC"/>
    <w:rsid w:val="00D826DE"/>
    <w:rsid w:val="00D82A8D"/>
    <w:rsid w:val="00D82B5E"/>
    <w:rsid w:val="00D83071"/>
    <w:rsid w:val="00D831EE"/>
    <w:rsid w:val="00D83266"/>
    <w:rsid w:val="00D83290"/>
    <w:rsid w:val="00D83580"/>
    <w:rsid w:val="00D83672"/>
    <w:rsid w:val="00D83833"/>
    <w:rsid w:val="00D83EA7"/>
    <w:rsid w:val="00D83EB2"/>
    <w:rsid w:val="00D83F3C"/>
    <w:rsid w:val="00D8412F"/>
    <w:rsid w:val="00D8436E"/>
    <w:rsid w:val="00D84372"/>
    <w:rsid w:val="00D8439D"/>
    <w:rsid w:val="00D844E4"/>
    <w:rsid w:val="00D84611"/>
    <w:rsid w:val="00D852FD"/>
    <w:rsid w:val="00D85668"/>
    <w:rsid w:val="00D85A1F"/>
    <w:rsid w:val="00D85A55"/>
    <w:rsid w:val="00D85BE3"/>
    <w:rsid w:val="00D85C21"/>
    <w:rsid w:val="00D85D0D"/>
    <w:rsid w:val="00D85E95"/>
    <w:rsid w:val="00D860DD"/>
    <w:rsid w:val="00D86536"/>
    <w:rsid w:val="00D865DA"/>
    <w:rsid w:val="00D8666B"/>
    <w:rsid w:val="00D86A5B"/>
    <w:rsid w:val="00D86AC9"/>
    <w:rsid w:val="00D86D6E"/>
    <w:rsid w:val="00D86D72"/>
    <w:rsid w:val="00D86DB0"/>
    <w:rsid w:val="00D870C0"/>
    <w:rsid w:val="00D87734"/>
    <w:rsid w:val="00D87973"/>
    <w:rsid w:val="00D879D1"/>
    <w:rsid w:val="00D87B60"/>
    <w:rsid w:val="00D87E6B"/>
    <w:rsid w:val="00D87EB0"/>
    <w:rsid w:val="00D87F98"/>
    <w:rsid w:val="00D9000B"/>
    <w:rsid w:val="00D90020"/>
    <w:rsid w:val="00D902BA"/>
    <w:rsid w:val="00D90367"/>
    <w:rsid w:val="00D90B83"/>
    <w:rsid w:val="00D90D64"/>
    <w:rsid w:val="00D91018"/>
    <w:rsid w:val="00D916D2"/>
    <w:rsid w:val="00D91AE4"/>
    <w:rsid w:val="00D91C28"/>
    <w:rsid w:val="00D91D5D"/>
    <w:rsid w:val="00D91D9C"/>
    <w:rsid w:val="00D91E65"/>
    <w:rsid w:val="00D91EA9"/>
    <w:rsid w:val="00D9220E"/>
    <w:rsid w:val="00D92218"/>
    <w:rsid w:val="00D9258E"/>
    <w:rsid w:val="00D926E9"/>
    <w:rsid w:val="00D92A67"/>
    <w:rsid w:val="00D92D2E"/>
    <w:rsid w:val="00D93456"/>
    <w:rsid w:val="00D93490"/>
    <w:rsid w:val="00D93620"/>
    <w:rsid w:val="00D9369D"/>
    <w:rsid w:val="00D93ABA"/>
    <w:rsid w:val="00D93B3A"/>
    <w:rsid w:val="00D93D33"/>
    <w:rsid w:val="00D93EF2"/>
    <w:rsid w:val="00D94071"/>
    <w:rsid w:val="00D94268"/>
    <w:rsid w:val="00D9474B"/>
    <w:rsid w:val="00D94781"/>
    <w:rsid w:val="00D94796"/>
    <w:rsid w:val="00D9480F"/>
    <w:rsid w:val="00D94C56"/>
    <w:rsid w:val="00D94D32"/>
    <w:rsid w:val="00D94EED"/>
    <w:rsid w:val="00D94F42"/>
    <w:rsid w:val="00D95019"/>
    <w:rsid w:val="00D955D7"/>
    <w:rsid w:val="00D9579D"/>
    <w:rsid w:val="00D9597D"/>
    <w:rsid w:val="00D95B26"/>
    <w:rsid w:val="00D960B1"/>
    <w:rsid w:val="00D96547"/>
    <w:rsid w:val="00D966FE"/>
    <w:rsid w:val="00D96B0A"/>
    <w:rsid w:val="00D96C3A"/>
    <w:rsid w:val="00D96D61"/>
    <w:rsid w:val="00D96EC8"/>
    <w:rsid w:val="00D971FE"/>
    <w:rsid w:val="00D972BA"/>
    <w:rsid w:val="00D97358"/>
    <w:rsid w:val="00D9793A"/>
    <w:rsid w:val="00D979F7"/>
    <w:rsid w:val="00D97F19"/>
    <w:rsid w:val="00DA01BD"/>
    <w:rsid w:val="00DA02DF"/>
    <w:rsid w:val="00DA0839"/>
    <w:rsid w:val="00DA09AE"/>
    <w:rsid w:val="00DA0AA9"/>
    <w:rsid w:val="00DA0AB6"/>
    <w:rsid w:val="00DA0E9B"/>
    <w:rsid w:val="00DA0F44"/>
    <w:rsid w:val="00DA1001"/>
    <w:rsid w:val="00DA1017"/>
    <w:rsid w:val="00DA16AE"/>
    <w:rsid w:val="00DA1B2A"/>
    <w:rsid w:val="00DA1DAF"/>
    <w:rsid w:val="00DA200E"/>
    <w:rsid w:val="00DA2010"/>
    <w:rsid w:val="00DA2035"/>
    <w:rsid w:val="00DA2090"/>
    <w:rsid w:val="00DA2129"/>
    <w:rsid w:val="00DA21A8"/>
    <w:rsid w:val="00DA21F8"/>
    <w:rsid w:val="00DA2584"/>
    <w:rsid w:val="00DA25AB"/>
    <w:rsid w:val="00DA261D"/>
    <w:rsid w:val="00DA298C"/>
    <w:rsid w:val="00DA29B9"/>
    <w:rsid w:val="00DA2C82"/>
    <w:rsid w:val="00DA2F87"/>
    <w:rsid w:val="00DA3295"/>
    <w:rsid w:val="00DA3679"/>
    <w:rsid w:val="00DA36F3"/>
    <w:rsid w:val="00DA37D4"/>
    <w:rsid w:val="00DA3859"/>
    <w:rsid w:val="00DA3948"/>
    <w:rsid w:val="00DA397C"/>
    <w:rsid w:val="00DA3CD2"/>
    <w:rsid w:val="00DA3E44"/>
    <w:rsid w:val="00DA41E8"/>
    <w:rsid w:val="00DA4316"/>
    <w:rsid w:val="00DA43CF"/>
    <w:rsid w:val="00DA46AD"/>
    <w:rsid w:val="00DA4768"/>
    <w:rsid w:val="00DA49A8"/>
    <w:rsid w:val="00DA4C66"/>
    <w:rsid w:val="00DA4D6C"/>
    <w:rsid w:val="00DA4DBF"/>
    <w:rsid w:val="00DA4DC3"/>
    <w:rsid w:val="00DA4DE9"/>
    <w:rsid w:val="00DA54A0"/>
    <w:rsid w:val="00DA571D"/>
    <w:rsid w:val="00DA5792"/>
    <w:rsid w:val="00DA59C8"/>
    <w:rsid w:val="00DA5A52"/>
    <w:rsid w:val="00DA5A95"/>
    <w:rsid w:val="00DA5AB2"/>
    <w:rsid w:val="00DA5AF6"/>
    <w:rsid w:val="00DA5B0D"/>
    <w:rsid w:val="00DA5F10"/>
    <w:rsid w:val="00DA5F13"/>
    <w:rsid w:val="00DA5FBE"/>
    <w:rsid w:val="00DA61C5"/>
    <w:rsid w:val="00DA6694"/>
    <w:rsid w:val="00DA6847"/>
    <w:rsid w:val="00DA6D98"/>
    <w:rsid w:val="00DA6DB0"/>
    <w:rsid w:val="00DA71F7"/>
    <w:rsid w:val="00DA7A8B"/>
    <w:rsid w:val="00DA7AE0"/>
    <w:rsid w:val="00DA7B3E"/>
    <w:rsid w:val="00DB06E3"/>
    <w:rsid w:val="00DB0892"/>
    <w:rsid w:val="00DB09D7"/>
    <w:rsid w:val="00DB0BC6"/>
    <w:rsid w:val="00DB0D85"/>
    <w:rsid w:val="00DB0EAF"/>
    <w:rsid w:val="00DB12DA"/>
    <w:rsid w:val="00DB134C"/>
    <w:rsid w:val="00DB13A1"/>
    <w:rsid w:val="00DB144B"/>
    <w:rsid w:val="00DB1569"/>
    <w:rsid w:val="00DB17C6"/>
    <w:rsid w:val="00DB1CB5"/>
    <w:rsid w:val="00DB1DF2"/>
    <w:rsid w:val="00DB1DF8"/>
    <w:rsid w:val="00DB205B"/>
    <w:rsid w:val="00DB2283"/>
    <w:rsid w:val="00DB279A"/>
    <w:rsid w:val="00DB2ADE"/>
    <w:rsid w:val="00DB2E19"/>
    <w:rsid w:val="00DB2EE5"/>
    <w:rsid w:val="00DB33E4"/>
    <w:rsid w:val="00DB3409"/>
    <w:rsid w:val="00DB3555"/>
    <w:rsid w:val="00DB399C"/>
    <w:rsid w:val="00DB3B42"/>
    <w:rsid w:val="00DB3CAC"/>
    <w:rsid w:val="00DB3DE8"/>
    <w:rsid w:val="00DB3FD8"/>
    <w:rsid w:val="00DB401C"/>
    <w:rsid w:val="00DB4234"/>
    <w:rsid w:val="00DB434C"/>
    <w:rsid w:val="00DB44DF"/>
    <w:rsid w:val="00DB49A4"/>
    <w:rsid w:val="00DB4A57"/>
    <w:rsid w:val="00DB4D97"/>
    <w:rsid w:val="00DB4EF9"/>
    <w:rsid w:val="00DB5238"/>
    <w:rsid w:val="00DB54A8"/>
    <w:rsid w:val="00DB55D1"/>
    <w:rsid w:val="00DB5747"/>
    <w:rsid w:val="00DB582B"/>
    <w:rsid w:val="00DB59A2"/>
    <w:rsid w:val="00DB5A62"/>
    <w:rsid w:val="00DB5B9A"/>
    <w:rsid w:val="00DB62BE"/>
    <w:rsid w:val="00DB638D"/>
    <w:rsid w:val="00DB6407"/>
    <w:rsid w:val="00DB64E9"/>
    <w:rsid w:val="00DB652D"/>
    <w:rsid w:val="00DB66BE"/>
    <w:rsid w:val="00DB6797"/>
    <w:rsid w:val="00DB69FD"/>
    <w:rsid w:val="00DB6AE9"/>
    <w:rsid w:val="00DB6F16"/>
    <w:rsid w:val="00DB70E9"/>
    <w:rsid w:val="00DB7327"/>
    <w:rsid w:val="00DB793A"/>
    <w:rsid w:val="00DB7943"/>
    <w:rsid w:val="00DB79EF"/>
    <w:rsid w:val="00DB7A63"/>
    <w:rsid w:val="00DB7AC1"/>
    <w:rsid w:val="00DB7BB3"/>
    <w:rsid w:val="00DB7CD9"/>
    <w:rsid w:val="00DB7CFF"/>
    <w:rsid w:val="00DB7E2F"/>
    <w:rsid w:val="00DC05E4"/>
    <w:rsid w:val="00DC0BDD"/>
    <w:rsid w:val="00DC0D9C"/>
    <w:rsid w:val="00DC1004"/>
    <w:rsid w:val="00DC106A"/>
    <w:rsid w:val="00DC110E"/>
    <w:rsid w:val="00DC132C"/>
    <w:rsid w:val="00DC1379"/>
    <w:rsid w:val="00DC13EC"/>
    <w:rsid w:val="00DC154B"/>
    <w:rsid w:val="00DC15D8"/>
    <w:rsid w:val="00DC18B0"/>
    <w:rsid w:val="00DC1968"/>
    <w:rsid w:val="00DC1AAA"/>
    <w:rsid w:val="00DC1BD3"/>
    <w:rsid w:val="00DC21B1"/>
    <w:rsid w:val="00DC2351"/>
    <w:rsid w:val="00DC2377"/>
    <w:rsid w:val="00DC2541"/>
    <w:rsid w:val="00DC29EC"/>
    <w:rsid w:val="00DC2B9F"/>
    <w:rsid w:val="00DC2E33"/>
    <w:rsid w:val="00DC3454"/>
    <w:rsid w:val="00DC35E2"/>
    <w:rsid w:val="00DC367A"/>
    <w:rsid w:val="00DC377D"/>
    <w:rsid w:val="00DC3872"/>
    <w:rsid w:val="00DC388B"/>
    <w:rsid w:val="00DC38AF"/>
    <w:rsid w:val="00DC3E1A"/>
    <w:rsid w:val="00DC434F"/>
    <w:rsid w:val="00DC497C"/>
    <w:rsid w:val="00DC4C41"/>
    <w:rsid w:val="00DC4C50"/>
    <w:rsid w:val="00DC4D7F"/>
    <w:rsid w:val="00DC4EB3"/>
    <w:rsid w:val="00DC4F32"/>
    <w:rsid w:val="00DC4F67"/>
    <w:rsid w:val="00DC5039"/>
    <w:rsid w:val="00DC51CD"/>
    <w:rsid w:val="00DC5280"/>
    <w:rsid w:val="00DC5454"/>
    <w:rsid w:val="00DC54FD"/>
    <w:rsid w:val="00DC5964"/>
    <w:rsid w:val="00DC59CB"/>
    <w:rsid w:val="00DC5A8F"/>
    <w:rsid w:val="00DC5C80"/>
    <w:rsid w:val="00DC5C9B"/>
    <w:rsid w:val="00DC64DE"/>
    <w:rsid w:val="00DC64DF"/>
    <w:rsid w:val="00DC6507"/>
    <w:rsid w:val="00DC6974"/>
    <w:rsid w:val="00DC6A4D"/>
    <w:rsid w:val="00DC6CD7"/>
    <w:rsid w:val="00DC6E70"/>
    <w:rsid w:val="00DC6F06"/>
    <w:rsid w:val="00DC7095"/>
    <w:rsid w:val="00DC719B"/>
    <w:rsid w:val="00DC71FA"/>
    <w:rsid w:val="00DC799D"/>
    <w:rsid w:val="00DC7A92"/>
    <w:rsid w:val="00DC7CFA"/>
    <w:rsid w:val="00DC7E59"/>
    <w:rsid w:val="00DC7E68"/>
    <w:rsid w:val="00DD009D"/>
    <w:rsid w:val="00DD02E9"/>
    <w:rsid w:val="00DD068E"/>
    <w:rsid w:val="00DD0832"/>
    <w:rsid w:val="00DD09D8"/>
    <w:rsid w:val="00DD0AEC"/>
    <w:rsid w:val="00DD0C53"/>
    <w:rsid w:val="00DD0C68"/>
    <w:rsid w:val="00DD0CA7"/>
    <w:rsid w:val="00DD0DC1"/>
    <w:rsid w:val="00DD0E19"/>
    <w:rsid w:val="00DD0E31"/>
    <w:rsid w:val="00DD1044"/>
    <w:rsid w:val="00DD12CA"/>
    <w:rsid w:val="00DD13E2"/>
    <w:rsid w:val="00DD144F"/>
    <w:rsid w:val="00DD1497"/>
    <w:rsid w:val="00DD17C9"/>
    <w:rsid w:val="00DD187D"/>
    <w:rsid w:val="00DD194D"/>
    <w:rsid w:val="00DD1961"/>
    <w:rsid w:val="00DD1A7E"/>
    <w:rsid w:val="00DD1D4E"/>
    <w:rsid w:val="00DD1D8B"/>
    <w:rsid w:val="00DD1E8A"/>
    <w:rsid w:val="00DD1FFE"/>
    <w:rsid w:val="00DD2012"/>
    <w:rsid w:val="00DD2504"/>
    <w:rsid w:val="00DD2611"/>
    <w:rsid w:val="00DD263A"/>
    <w:rsid w:val="00DD2F27"/>
    <w:rsid w:val="00DD2FB3"/>
    <w:rsid w:val="00DD303E"/>
    <w:rsid w:val="00DD3149"/>
    <w:rsid w:val="00DD3332"/>
    <w:rsid w:val="00DD33EF"/>
    <w:rsid w:val="00DD345D"/>
    <w:rsid w:val="00DD35D9"/>
    <w:rsid w:val="00DD3835"/>
    <w:rsid w:val="00DD39E3"/>
    <w:rsid w:val="00DD3CA1"/>
    <w:rsid w:val="00DD3F7A"/>
    <w:rsid w:val="00DD40A8"/>
    <w:rsid w:val="00DD41C2"/>
    <w:rsid w:val="00DD4308"/>
    <w:rsid w:val="00DD43AD"/>
    <w:rsid w:val="00DD45D3"/>
    <w:rsid w:val="00DD466D"/>
    <w:rsid w:val="00DD47E5"/>
    <w:rsid w:val="00DD4951"/>
    <w:rsid w:val="00DD49F3"/>
    <w:rsid w:val="00DD4D96"/>
    <w:rsid w:val="00DD4F57"/>
    <w:rsid w:val="00DD509D"/>
    <w:rsid w:val="00DD512D"/>
    <w:rsid w:val="00DD53CB"/>
    <w:rsid w:val="00DD5587"/>
    <w:rsid w:val="00DD5C71"/>
    <w:rsid w:val="00DD5CDC"/>
    <w:rsid w:val="00DD6364"/>
    <w:rsid w:val="00DD666A"/>
    <w:rsid w:val="00DD683C"/>
    <w:rsid w:val="00DD692C"/>
    <w:rsid w:val="00DD69E7"/>
    <w:rsid w:val="00DD6B95"/>
    <w:rsid w:val="00DD6D08"/>
    <w:rsid w:val="00DD6ECE"/>
    <w:rsid w:val="00DD6EE4"/>
    <w:rsid w:val="00DD70FA"/>
    <w:rsid w:val="00DD71AF"/>
    <w:rsid w:val="00DD72E8"/>
    <w:rsid w:val="00DD7612"/>
    <w:rsid w:val="00DD7CAE"/>
    <w:rsid w:val="00DE00ED"/>
    <w:rsid w:val="00DE028E"/>
    <w:rsid w:val="00DE0814"/>
    <w:rsid w:val="00DE0B2E"/>
    <w:rsid w:val="00DE0B46"/>
    <w:rsid w:val="00DE0C62"/>
    <w:rsid w:val="00DE0D1F"/>
    <w:rsid w:val="00DE0E3C"/>
    <w:rsid w:val="00DE0E9A"/>
    <w:rsid w:val="00DE0EB9"/>
    <w:rsid w:val="00DE0F3C"/>
    <w:rsid w:val="00DE10A9"/>
    <w:rsid w:val="00DE15E5"/>
    <w:rsid w:val="00DE15FF"/>
    <w:rsid w:val="00DE1BA9"/>
    <w:rsid w:val="00DE1D33"/>
    <w:rsid w:val="00DE23A3"/>
    <w:rsid w:val="00DE25BC"/>
    <w:rsid w:val="00DE25EA"/>
    <w:rsid w:val="00DE2640"/>
    <w:rsid w:val="00DE268B"/>
    <w:rsid w:val="00DE2A56"/>
    <w:rsid w:val="00DE2C12"/>
    <w:rsid w:val="00DE2E34"/>
    <w:rsid w:val="00DE3482"/>
    <w:rsid w:val="00DE37E1"/>
    <w:rsid w:val="00DE3984"/>
    <w:rsid w:val="00DE41EF"/>
    <w:rsid w:val="00DE41F8"/>
    <w:rsid w:val="00DE4347"/>
    <w:rsid w:val="00DE45B7"/>
    <w:rsid w:val="00DE482D"/>
    <w:rsid w:val="00DE492A"/>
    <w:rsid w:val="00DE4B91"/>
    <w:rsid w:val="00DE4CC9"/>
    <w:rsid w:val="00DE4F55"/>
    <w:rsid w:val="00DE5248"/>
    <w:rsid w:val="00DE551F"/>
    <w:rsid w:val="00DE5A95"/>
    <w:rsid w:val="00DE5DB3"/>
    <w:rsid w:val="00DE5FF1"/>
    <w:rsid w:val="00DE61FA"/>
    <w:rsid w:val="00DE6BBB"/>
    <w:rsid w:val="00DE6E90"/>
    <w:rsid w:val="00DE6F64"/>
    <w:rsid w:val="00DE6FC6"/>
    <w:rsid w:val="00DE72D5"/>
    <w:rsid w:val="00DE7354"/>
    <w:rsid w:val="00DE7701"/>
    <w:rsid w:val="00DE783A"/>
    <w:rsid w:val="00DE7AE2"/>
    <w:rsid w:val="00DE7C1E"/>
    <w:rsid w:val="00DE7E45"/>
    <w:rsid w:val="00DE7E6F"/>
    <w:rsid w:val="00DF01FD"/>
    <w:rsid w:val="00DF02EC"/>
    <w:rsid w:val="00DF0534"/>
    <w:rsid w:val="00DF0751"/>
    <w:rsid w:val="00DF07B9"/>
    <w:rsid w:val="00DF09A5"/>
    <w:rsid w:val="00DF0A73"/>
    <w:rsid w:val="00DF0B75"/>
    <w:rsid w:val="00DF0CA3"/>
    <w:rsid w:val="00DF0DB7"/>
    <w:rsid w:val="00DF0DC6"/>
    <w:rsid w:val="00DF0FE7"/>
    <w:rsid w:val="00DF100B"/>
    <w:rsid w:val="00DF1039"/>
    <w:rsid w:val="00DF118D"/>
    <w:rsid w:val="00DF1224"/>
    <w:rsid w:val="00DF14FB"/>
    <w:rsid w:val="00DF17F8"/>
    <w:rsid w:val="00DF1967"/>
    <w:rsid w:val="00DF19C1"/>
    <w:rsid w:val="00DF1A11"/>
    <w:rsid w:val="00DF1B9E"/>
    <w:rsid w:val="00DF1BA6"/>
    <w:rsid w:val="00DF1EBB"/>
    <w:rsid w:val="00DF2651"/>
    <w:rsid w:val="00DF273D"/>
    <w:rsid w:val="00DF282B"/>
    <w:rsid w:val="00DF29E3"/>
    <w:rsid w:val="00DF2CEF"/>
    <w:rsid w:val="00DF308E"/>
    <w:rsid w:val="00DF345C"/>
    <w:rsid w:val="00DF3761"/>
    <w:rsid w:val="00DF3B4A"/>
    <w:rsid w:val="00DF3CE3"/>
    <w:rsid w:val="00DF3D00"/>
    <w:rsid w:val="00DF3DF7"/>
    <w:rsid w:val="00DF3F47"/>
    <w:rsid w:val="00DF4252"/>
    <w:rsid w:val="00DF437D"/>
    <w:rsid w:val="00DF4A89"/>
    <w:rsid w:val="00DF4B0E"/>
    <w:rsid w:val="00DF4E83"/>
    <w:rsid w:val="00DF4EC3"/>
    <w:rsid w:val="00DF4F5C"/>
    <w:rsid w:val="00DF4F6C"/>
    <w:rsid w:val="00DF5095"/>
    <w:rsid w:val="00DF5330"/>
    <w:rsid w:val="00DF5A5B"/>
    <w:rsid w:val="00DF644E"/>
    <w:rsid w:val="00DF6589"/>
    <w:rsid w:val="00DF6F2D"/>
    <w:rsid w:val="00DF6FC8"/>
    <w:rsid w:val="00DF7257"/>
    <w:rsid w:val="00DF7289"/>
    <w:rsid w:val="00DF73DD"/>
    <w:rsid w:val="00DF7598"/>
    <w:rsid w:val="00DF7760"/>
    <w:rsid w:val="00DF78DC"/>
    <w:rsid w:val="00DF79C1"/>
    <w:rsid w:val="00DF7AA8"/>
    <w:rsid w:val="00DF7CB6"/>
    <w:rsid w:val="00DF7CCA"/>
    <w:rsid w:val="00DF7F5E"/>
    <w:rsid w:val="00E000DE"/>
    <w:rsid w:val="00E001A5"/>
    <w:rsid w:val="00E0049D"/>
    <w:rsid w:val="00E006DC"/>
    <w:rsid w:val="00E009E1"/>
    <w:rsid w:val="00E00A93"/>
    <w:rsid w:val="00E00AEC"/>
    <w:rsid w:val="00E00B23"/>
    <w:rsid w:val="00E00C63"/>
    <w:rsid w:val="00E00C76"/>
    <w:rsid w:val="00E00D81"/>
    <w:rsid w:val="00E013F7"/>
    <w:rsid w:val="00E0143A"/>
    <w:rsid w:val="00E01543"/>
    <w:rsid w:val="00E01654"/>
    <w:rsid w:val="00E01BB4"/>
    <w:rsid w:val="00E01C0B"/>
    <w:rsid w:val="00E01D03"/>
    <w:rsid w:val="00E01FC8"/>
    <w:rsid w:val="00E02509"/>
    <w:rsid w:val="00E02525"/>
    <w:rsid w:val="00E0260D"/>
    <w:rsid w:val="00E02D02"/>
    <w:rsid w:val="00E0356A"/>
    <w:rsid w:val="00E038C1"/>
    <w:rsid w:val="00E03B8F"/>
    <w:rsid w:val="00E03CB3"/>
    <w:rsid w:val="00E041F1"/>
    <w:rsid w:val="00E04265"/>
    <w:rsid w:val="00E04490"/>
    <w:rsid w:val="00E045CA"/>
    <w:rsid w:val="00E04618"/>
    <w:rsid w:val="00E049F8"/>
    <w:rsid w:val="00E04AC2"/>
    <w:rsid w:val="00E05638"/>
    <w:rsid w:val="00E056AB"/>
    <w:rsid w:val="00E05B22"/>
    <w:rsid w:val="00E05E51"/>
    <w:rsid w:val="00E05EB7"/>
    <w:rsid w:val="00E0645B"/>
    <w:rsid w:val="00E06886"/>
    <w:rsid w:val="00E06B0C"/>
    <w:rsid w:val="00E06C4B"/>
    <w:rsid w:val="00E06C6A"/>
    <w:rsid w:val="00E07051"/>
    <w:rsid w:val="00E07381"/>
    <w:rsid w:val="00E073FC"/>
    <w:rsid w:val="00E0783C"/>
    <w:rsid w:val="00E078FA"/>
    <w:rsid w:val="00E07AC0"/>
    <w:rsid w:val="00E07D22"/>
    <w:rsid w:val="00E07E43"/>
    <w:rsid w:val="00E07E9C"/>
    <w:rsid w:val="00E10144"/>
    <w:rsid w:val="00E106A5"/>
    <w:rsid w:val="00E106F8"/>
    <w:rsid w:val="00E1094B"/>
    <w:rsid w:val="00E10A46"/>
    <w:rsid w:val="00E10A6E"/>
    <w:rsid w:val="00E10BE5"/>
    <w:rsid w:val="00E10E1D"/>
    <w:rsid w:val="00E10EDD"/>
    <w:rsid w:val="00E10F6C"/>
    <w:rsid w:val="00E1107D"/>
    <w:rsid w:val="00E1123B"/>
    <w:rsid w:val="00E112C9"/>
    <w:rsid w:val="00E11548"/>
    <w:rsid w:val="00E1178B"/>
    <w:rsid w:val="00E11A7C"/>
    <w:rsid w:val="00E11E50"/>
    <w:rsid w:val="00E12025"/>
    <w:rsid w:val="00E1203E"/>
    <w:rsid w:val="00E120E9"/>
    <w:rsid w:val="00E12541"/>
    <w:rsid w:val="00E12917"/>
    <w:rsid w:val="00E1295A"/>
    <w:rsid w:val="00E129A4"/>
    <w:rsid w:val="00E12A29"/>
    <w:rsid w:val="00E12A56"/>
    <w:rsid w:val="00E12B45"/>
    <w:rsid w:val="00E12F54"/>
    <w:rsid w:val="00E1312B"/>
    <w:rsid w:val="00E131D9"/>
    <w:rsid w:val="00E1333D"/>
    <w:rsid w:val="00E13570"/>
    <w:rsid w:val="00E135CA"/>
    <w:rsid w:val="00E13703"/>
    <w:rsid w:val="00E13891"/>
    <w:rsid w:val="00E138BC"/>
    <w:rsid w:val="00E13925"/>
    <w:rsid w:val="00E13A60"/>
    <w:rsid w:val="00E13BB2"/>
    <w:rsid w:val="00E13E43"/>
    <w:rsid w:val="00E13F5E"/>
    <w:rsid w:val="00E1414B"/>
    <w:rsid w:val="00E14182"/>
    <w:rsid w:val="00E144DD"/>
    <w:rsid w:val="00E145BC"/>
    <w:rsid w:val="00E149FA"/>
    <w:rsid w:val="00E14A6C"/>
    <w:rsid w:val="00E14CF2"/>
    <w:rsid w:val="00E14EAC"/>
    <w:rsid w:val="00E14EC0"/>
    <w:rsid w:val="00E14EF6"/>
    <w:rsid w:val="00E151CB"/>
    <w:rsid w:val="00E151CE"/>
    <w:rsid w:val="00E151E9"/>
    <w:rsid w:val="00E15202"/>
    <w:rsid w:val="00E15338"/>
    <w:rsid w:val="00E155D3"/>
    <w:rsid w:val="00E1575B"/>
    <w:rsid w:val="00E158B3"/>
    <w:rsid w:val="00E158F5"/>
    <w:rsid w:val="00E15E14"/>
    <w:rsid w:val="00E15F0A"/>
    <w:rsid w:val="00E163BD"/>
    <w:rsid w:val="00E166FB"/>
    <w:rsid w:val="00E16B75"/>
    <w:rsid w:val="00E16D4C"/>
    <w:rsid w:val="00E16FF5"/>
    <w:rsid w:val="00E17334"/>
    <w:rsid w:val="00E17399"/>
    <w:rsid w:val="00E17686"/>
    <w:rsid w:val="00E176B5"/>
    <w:rsid w:val="00E1776D"/>
    <w:rsid w:val="00E17873"/>
    <w:rsid w:val="00E200A7"/>
    <w:rsid w:val="00E200E8"/>
    <w:rsid w:val="00E2018D"/>
    <w:rsid w:val="00E20218"/>
    <w:rsid w:val="00E202D5"/>
    <w:rsid w:val="00E20314"/>
    <w:rsid w:val="00E20435"/>
    <w:rsid w:val="00E205C9"/>
    <w:rsid w:val="00E205D7"/>
    <w:rsid w:val="00E20FBE"/>
    <w:rsid w:val="00E21196"/>
    <w:rsid w:val="00E213C3"/>
    <w:rsid w:val="00E213E6"/>
    <w:rsid w:val="00E21E94"/>
    <w:rsid w:val="00E221FB"/>
    <w:rsid w:val="00E222F2"/>
    <w:rsid w:val="00E222F7"/>
    <w:rsid w:val="00E2236F"/>
    <w:rsid w:val="00E22524"/>
    <w:rsid w:val="00E2252C"/>
    <w:rsid w:val="00E22750"/>
    <w:rsid w:val="00E227CE"/>
    <w:rsid w:val="00E22A41"/>
    <w:rsid w:val="00E22C7E"/>
    <w:rsid w:val="00E233C0"/>
    <w:rsid w:val="00E23EF1"/>
    <w:rsid w:val="00E242B0"/>
    <w:rsid w:val="00E24784"/>
    <w:rsid w:val="00E248EF"/>
    <w:rsid w:val="00E24D34"/>
    <w:rsid w:val="00E251DB"/>
    <w:rsid w:val="00E25534"/>
    <w:rsid w:val="00E2580C"/>
    <w:rsid w:val="00E25A8A"/>
    <w:rsid w:val="00E25BF1"/>
    <w:rsid w:val="00E25D17"/>
    <w:rsid w:val="00E25D5C"/>
    <w:rsid w:val="00E25E18"/>
    <w:rsid w:val="00E267EA"/>
    <w:rsid w:val="00E26AB3"/>
    <w:rsid w:val="00E26DEE"/>
    <w:rsid w:val="00E26FD1"/>
    <w:rsid w:val="00E2702A"/>
    <w:rsid w:val="00E273DD"/>
    <w:rsid w:val="00E2784B"/>
    <w:rsid w:val="00E27896"/>
    <w:rsid w:val="00E279B2"/>
    <w:rsid w:val="00E27C15"/>
    <w:rsid w:val="00E27D4C"/>
    <w:rsid w:val="00E27ECA"/>
    <w:rsid w:val="00E302AF"/>
    <w:rsid w:val="00E3043A"/>
    <w:rsid w:val="00E30451"/>
    <w:rsid w:val="00E3061D"/>
    <w:rsid w:val="00E30676"/>
    <w:rsid w:val="00E3081C"/>
    <w:rsid w:val="00E3122E"/>
    <w:rsid w:val="00E31421"/>
    <w:rsid w:val="00E3162A"/>
    <w:rsid w:val="00E31A76"/>
    <w:rsid w:val="00E31C30"/>
    <w:rsid w:val="00E31D96"/>
    <w:rsid w:val="00E31E91"/>
    <w:rsid w:val="00E32014"/>
    <w:rsid w:val="00E321A6"/>
    <w:rsid w:val="00E3240D"/>
    <w:rsid w:val="00E327CF"/>
    <w:rsid w:val="00E328A3"/>
    <w:rsid w:val="00E32A26"/>
    <w:rsid w:val="00E32C6B"/>
    <w:rsid w:val="00E33050"/>
    <w:rsid w:val="00E331E1"/>
    <w:rsid w:val="00E336CB"/>
    <w:rsid w:val="00E3376C"/>
    <w:rsid w:val="00E33A6B"/>
    <w:rsid w:val="00E33B11"/>
    <w:rsid w:val="00E33C3E"/>
    <w:rsid w:val="00E33D9D"/>
    <w:rsid w:val="00E33EFC"/>
    <w:rsid w:val="00E33F6F"/>
    <w:rsid w:val="00E33FC4"/>
    <w:rsid w:val="00E34037"/>
    <w:rsid w:val="00E34115"/>
    <w:rsid w:val="00E3447C"/>
    <w:rsid w:val="00E344B9"/>
    <w:rsid w:val="00E34514"/>
    <w:rsid w:val="00E34633"/>
    <w:rsid w:val="00E347F3"/>
    <w:rsid w:val="00E34814"/>
    <w:rsid w:val="00E35048"/>
    <w:rsid w:val="00E35205"/>
    <w:rsid w:val="00E35472"/>
    <w:rsid w:val="00E35482"/>
    <w:rsid w:val="00E3579B"/>
    <w:rsid w:val="00E35893"/>
    <w:rsid w:val="00E35E52"/>
    <w:rsid w:val="00E35EE8"/>
    <w:rsid w:val="00E36090"/>
    <w:rsid w:val="00E36276"/>
    <w:rsid w:val="00E36302"/>
    <w:rsid w:val="00E36A92"/>
    <w:rsid w:val="00E36BA6"/>
    <w:rsid w:val="00E36BF9"/>
    <w:rsid w:val="00E36E91"/>
    <w:rsid w:val="00E372CE"/>
    <w:rsid w:val="00E37333"/>
    <w:rsid w:val="00E373A0"/>
    <w:rsid w:val="00E375E5"/>
    <w:rsid w:val="00E37732"/>
    <w:rsid w:val="00E37765"/>
    <w:rsid w:val="00E37B19"/>
    <w:rsid w:val="00E37B7C"/>
    <w:rsid w:val="00E37BA8"/>
    <w:rsid w:val="00E37DDF"/>
    <w:rsid w:val="00E37EBB"/>
    <w:rsid w:val="00E37F2F"/>
    <w:rsid w:val="00E4045C"/>
    <w:rsid w:val="00E40460"/>
    <w:rsid w:val="00E4046E"/>
    <w:rsid w:val="00E4088B"/>
    <w:rsid w:val="00E40AD5"/>
    <w:rsid w:val="00E40B3E"/>
    <w:rsid w:val="00E40C1C"/>
    <w:rsid w:val="00E40D48"/>
    <w:rsid w:val="00E40E05"/>
    <w:rsid w:val="00E40FC7"/>
    <w:rsid w:val="00E41096"/>
    <w:rsid w:val="00E41155"/>
    <w:rsid w:val="00E4121F"/>
    <w:rsid w:val="00E4157B"/>
    <w:rsid w:val="00E41A14"/>
    <w:rsid w:val="00E41AF0"/>
    <w:rsid w:val="00E41CD8"/>
    <w:rsid w:val="00E41E8C"/>
    <w:rsid w:val="00E41F30"/>
    <w:rsid w:val="00E4209C"/>
    <w:rsid w:val="00E4238E"/>
    <w:rsid w:val="00E42659"/>
    <w:rsid w:val="00E4270B"/>
    <w:rsid w:val="00E427A9"/>
    <w:rsid w:val="00E42BC3"/>
    <w:rsid w:val="00E42C03"/>
    <w:rsid w:val="00E42C52"/>
    <w:rsid w:val="00E42D43"/>
    <w:rsid w:val="00E42F16"/>
    <w:rsid w:val="00E42FA4"/>
    <w:rsid w:val="00E430FE"/>
    <w:rsid w:val="00E43124"/>
    <w:rsid w:val="00E431F8"/>
    <w:rsid w:val="00E43220"/>
    <w:rsid w:val="00E43254"/>
    <w:rsid w:val="00E43297"/>
    <w:rsid w:val="00E435AC"/>
    <w:rsid w:val="00E43C6E"/>
    <w:rsid w:val="00E43DED"/>
    <w:rsid w:val="00E440D2"/>
    <w:rsid w:val="00E4438E"/>
    <w:rsid w:val="00E4475A"/>
    <w:rsid w:val="00E44B0F"/>
    <w:rsid w:val="00E44B67"/>
    <w:rsid w:val="00E44B92"/>
    <w:rsid w:val="00E451E5"/>
    <w:rsid w:val="00E45335"/>
    <w:rsid w:val="00E45690"/>
    <w:rsid w:val="00E45731"/>
    <w:rsid w:val="00E458C8"/>
    <w:rsid w:val="00E4599E"/>
    <w:rsid w:val="00E45BD8"/>
    <w:rsid w:val="00E45C44"/>
    <w:rsid w:val="00E45E6C"/>
    <w:rsid w:val="00E46058"/>
    <w:rsid w:val="00E46265"/>
    <w:rsid w:val="00E46616"/>
    <w:rsid w:val="00E46897"/>
    <w:rsid w:val="00E4691D"/>
    <w:rsid w:val="00E46A85"/>
    <w:rsid w:val="00E46FCA"/>
    <w:rsid w:val="00E46FEF"/>
    <w:rsid w:val="00E471B8"/>
    <w:rsid w:val="00E474E8"/>
    <w:rsid w:val="00E4760E"/>
    <w:rsid w:val="00E4779E"/>
    <w:rsid w:val="00E47941"/>
    <w:rsid w:val="00E47BED"/>
    <w:rsid w:val="00E47C30"/>
    <w:rsid w:val="00E47DEA"/>
    <w:rsid w:val="00E47E18"/>
    <w:rsid w:val="00E47F16"/>
    <w:rsid w:val="00E50385"/>
    <w:rsid w:val="00E503AA"/>
    <w:rsid w:val="00E5056A"/>
    <w:rsid w:val="00E5064E"/>
    <w:rsid w:val="00E507E8"/>
    <w:rsid w:val="00E508C1"/>
    <w:rsid w:val="00E508D8"/>
    <w:rsid w:val="00E50ACF"/>
    <w:rsid w:val="00E50B4B"/>
    <w:rsid w:val="00E50D52"/>
    <w:rsid w:val="00E50E51"/>
    <w:rsid w:val="00E51090"/>
    <w:rsid w:val="00E51117"/>
    <w:rsid w:val="00E512B2"/>
    <w:rsid w:val="00E515C4"/>
    <w:rsid w:val="00E51601"/>
    <w:rsid w:val="00E51992"/>
    <w:rsid w:val="00E51B35"/>
    <w:rsid w:val="00E51B46"/>
    <w:rsid w:val="00E51DE1"/>
    <w:rsid w:val="00E52013"/>
    <w:rsid w:val="00E5221B"/>
    <w:rsid w:val="00E524DD"/>
    <w:rsid w:val="00E52806"/>
    <w:rsid w:val="00E528B1"/>
    <w:rsid w:val="00E53045"/>
    <w:rsid w:val="00E53164"/>
    <w:rsid w:val="00E532C3"/>
    <w:rsid w:val="00E5342D"/>
    <w:rsid w:val="00E53464"/>
    <w:rsid w:val="00E53467"/>
    <w:rsid w:val="00E535EA"/>
    <w:rsid w:val="00E53676"/>
    <w:rsid w:val="00E536CF"/>
    <w:rsid w:val="00E5390B"/>
    <w:rsid w:val="00E5392C"/>
    <w:rsid w:val="00E53935"/>
    <w:rsid w:val="00E5394A"/>
    <w:rsid w:val="00E53968"/>
    <w:rsid w:val="00E53BD7"/>
    <w:rsid w:val="00E53E95"/>
    <w:rsid w:val="00E54373"/>
    <w:rsid w:val="00E543CB"/>
    <w:rsid w:val="00E54406"/>
    <w:rsid w:val="00E5444F"/>
    <w:rsid w:val="00E545A9"/>
    <w:rsid w:val="00E54615"/>
    <w:rsid w:val="00E54798"/>
    <w:rsid w:val="00E54CC0"/>
    <w:rsid w:val="00E54D85"/>
    <w:rsid w:val="00E54D92"/>
    <w:rsid w:val="00E54D98"/>
    <w:rsid w:val="00E5535B"/>
    <w:rsid w:val="00E553DB"/>
    <w:rsid w:val="00E5552C"/>
    <w:rsid w:val="00E5589F"/>
    <w:rsid w:val="00E55A15"/>
    <w:rsid w:val="00E55B8A"/>
    <w:rsid w:val="00E55D84"/>
    <w:rsid w:val="00E56117"/>
    <w:rsid w:val="00E56196"/>
    <w:rsid w:val="00E56199"/>
    <w:rsid w:val="00E56281"/>
    <w:rsid w:val="00E5664B"/>
    <w:rsid w:val="00E56962"/>
    <w:rsid w:val="00E569B6"/>
    <w:rsid w:val="00E56D98"/>
    <w:rsid w:val="00E5707A"/>
    <w:rsid w:val="00E5732F"/>
    <w:rsid w:val="00E57583"/>
    <w:rsid w:val="00E5783F"/>
    <w:rsid w:val="00E5795D"/>
    <w:rsid w:val="00E57983"/>
    <w:rsid w:val="00E579E7"/>
    <w:rsid w:val="00E57A29"/>
    <w:rsid w:val="00E57BB9"/>
    <w:rsid w:val="00E57CAF"/>
    <w:rsid w:val="00E57CFF"/>
    <w:rsid w:val="00E57D94"/>
    <w:rsid w:val="00E57E2B"/>
    <w:rsid w:val="00E57EC9"/>
    <w:rsid w:val="00E57F09"/>
    <w:rsid w:val="00E6021F"/>
    <w:rsid w:val="00E60233"/>
    <w:rsid w:val="00E60B9C"/>
    <w:rsid w:val="00E60F5B"/>
    <w:rsid w:val="00E611AA"/>
    <w:rsid w:val="00E612B8"/>
    <w:rsid w:val="00E613C2"/>
    <w:rsid w:val="00E614C0"/>
    <w:rsid w:val="00E61610"/>
    <w:rsid w:val="00E618E8"/>
    <w:rsid w:val="00E61C64"/>
    <w:rsid w:val="00E61C7A"/>
    <w:rsid w:val="00E61C9E"/>
    <w:rsid w:val="00E61D87"/>
    <w:rsid w:val="00E623FA"/>
    <w:rsid w:val="00E624EA"/>
    <w:rsid w:val="00E62751"/>
    <w:rsid w:val="00E6285C"/>
    <w:rsid w:val="00E62A4E"/>
    <w:rsid w:val="00E6305E"/>
    <w:rsid w:val="00E6332C"/>
    <w:rsid w:val="00E63B21"/>
    <w:rsid w:val="00E63D67"/>
    <w:rsid w:val="00E63D95"/>
    <w:rsid w:val="00E63DF4"/>
    <w:rsid w:val="00E640A6"/>
    <w:rsid w:val="00E6429A"/>
    <w:rsid w:val="00E642DD"/>
    <w:rsid w:val="00E64356"/>
    <w:rsid w:val="00E64845"/>
    <w:rsid w:val="00E64A3B"/>
    <w:rsid w:val="00E652E5"/>
    <w:rsid w:val="00E657F0"/>
    <w:rsid w:val="00E65B59"/>
    <w:rsid w:val="00E65B90"/>
    <w:rsid w:val="00E65D13"/>
    <w:rsid w:val="00E65DB0"/>
    <w:rsid w:val="00E662CD"/>
    <w:rsid w:val="00E6659E"/>
    <w:rsid w:val="00E665B8"/>
    <w:rsid w:val="00E66619"/>
    <w:rsid w:val="00E66839"/>
    <w:rsid w:val="00E668F4"/>
    <w:rsid w:val="00E66917"/>
    <w:rsid w:val="00E66A9D"/>
    <w:rsid w:val="00E66ACC"/>
    <w:rsid w:val="00E66C48"/>
    <w:rsid w:val="00E66C4E"/>
    <w:rsid w:val="00E66EFA"/>
    <w:rsid w:val="00E66F43"/>
    <w:rsid w:val="00E6746C"/>
    <w:rsid w:val="00E675E6"/>
    <w:rsid w:val="00E6762D"/>
    <w:rsid w:val="00E67ABD"/>
    <w:rsid w:val="00E70508"/>
    <w:rsid w:val="00E705D2"/>
    <w:rsid w:val="00E705ED"/>
    <w:rsid w:val="00E7080B"/>
    <w:rsid w:val="00E708C6"/>
    <w:rsid w:val="00E70901"/>
    <w:rsid w:val="00E70966"/>
    <w:rsid w:val="00E70ABF"/>
    <w:rsid w:val="00E70F5E"/>
    <w:rsid w:val="00E71312"/>
    <w:rsid w:val="00E7146E"/>
    <w:rsid w:val="00E71665"/>
    <w:rsid w:val="00E717B1"/>
    <w:rsid w:val="00E71BBF"/>
    <w:rsid w:val="00E71CDD"/>
    <w:rsid w:val="00E71DB2"/>
    <w:rsid w:val="00E71DDD"/>
    <w:rsid w:val="00E71F6D"/>
    <w:rsid w:val="00E71F8F"/>
    <w:rsid w:val="00E71FB5"/>
    <w:rsid w:val="00E7210E"/>
    <w:rsid w:val="00E72117"/>
    <w:rsid w:val="00E723EB"/>
    <w:rsid w:val="00E72430"/>
    <w:rsid w:val="00E72756"/>
    <w:rsid w:val="00E72792"/>
    <w:rsid w:val="00E7284D"/>
    <w:rsid w:val="00E728A3"/>
    <w:rsid w:val="00E729E4"/>
    <w:rsid w:val="00E72EA3"/>
    <w:rsid w:val="00E72EA4"/>
    <w:rsid w:val="00E731B3"/>
    <w:rsid w:val="00E734F5"/>
    <w:rsid w:val="00E737FD"/>
    <w:rsid w:val="00E738E3"/>
    <w:rsid w:val="00E73A35"/>
    <w:rsid w:val="00E73D17"/>
    <w:rsid w:val="00E73E00"/>
    <w:rsid w:val="00E73FC0"/>
    <w:rsid w:val="00E74165"/>
    <w:rsid w:val="00E7425F"/>
    <w:rsid w:val="00E744C6"/>
    <w:rsid w:val="00E7454B"/>
    <w:rsid w:val="00E74689"/>
    <w:rsid w:val="00E74ACC"/>
    <w:rsid w:val="00E74BA6"/>
    <w:rsid w:val="00E74DD1"/>
    <w:rsid w:val="00E7514F"/>
    <w:rsid w:val="00E751BB"/>
    <w:rsid w:val="00E755C8"/>
    <w:rsid w:val="00E75733"/>
    <w:rsid w:val="00E7594C"/>
    <w:rsid w:val="00E75956"/>
    <w:rsid w:val="00E759C5"/>
    <w:rsid w:val="00E75A49"/>
    <w:rsid w:val="00E75C17"/>
    <w:rsid w:val="00E75CD3"/>
    <w:rsid w:val="00E75F3B"/>
    <w:rsid w:val="00E7606F"/>
    <w:rsid w:val="00E76338"/>
    <w:rsid w:val="00E76414"/>
    <w:rsid w:val="00E764A0"/>
    <w:rsid w:val="00E766B6"/>
    <w:rsid w:val="00E766F5"/>
    <w:rsid w:val="00E76893"/>
    <w:rsid w:val="00E768BF"/>
    <w:rsid w:val="00E768E4"/>
    <w:rsid w:val="00E76F44"/>
    <w:rsid w:val="00E770F3"/>
    <w:rsid w:val="00E7793A"/>
    <w:rsid w:val="00E779D1"/>
    <w:rsid w:val="00E77A70"/>
    <w:rsid w:val="00E77C48"/>
    <w:rsid w:val="00E77C68"/>
    <w:rsid w:val="00E77C6F"/>
    <w:rsid w:val="00E77CA6"/>
    <w:rsid w:val="00E77E91"/>
    <w:rsid w:val="00E77FF1"/>
    <w:rsid w:val="00E80179"/>
    <w:rsid w:val="00E8026F"/>
    <w:rsid w:val="00E802F8"/>
    <w:rsid w:val="00E80483"/>
    <w:rsid w:val="00E80ACE"/>
    <w:rsid w:val="00E80ED2"/>
    <w:rsid w:val="00E810BC"/>
    <w:rsid w:val="00E814A0"/>
    <w:rsid w:val="00E815C8"/>
    <w:rsid w:val="00E815CE"/>
    <w:rsid w:val="00E81706"/>
    <w:rsid w:val="00E817C6"/>
    <w:rsid w:val="00E81BA9"/>
    <w:rsid w:val="00E81D78"/>
    <w:rsid w:val="00E81F86"/>
    <w:rsid w:val="00E82260"/>
    <w:rsid w:val="00E82360"/>
    <w:rsid w:val="00E8275E"/>
    <w:rsid w:val="00E8276C"/>
    <w:rsid w:val="00E82A73"/>
    <w:rsid w:val="00E82D57"/>
    <w:rsid w:val="00E82DC7"/>
    <w:rsid w:val="00E82F1E"/>
    <w:rsid w:val="00E83030"/>
    <w:rsid w:val="00E83745"/>
    <w:rsid w:val="00E83835"/>
    <w:rsid w:val="00E83A13"/>
    <w:rsid w:val="00E84049"/>
    <w:rsid w:val="00E84148"/>
    <w:rsid w:val="00E84217"/>
    <w:rsid w:val="00E84234"/>
    <w:rsid w:val="00E8443D"/>
    <w:rsid w:val="00E848C8"/>
    <w:rsid w:val="00E84972"/>
    <w:rsid w:val="00E84B46"/>
    <w:rsid w:val="00E84F64"/>
    <w:rsid w:val="00E85360"/>
    <w:rsid w:val="00E854D6"/>
    <w:rsid w:val="00E85732"/>
    <w:rsid w:val="00E857EE"/>
    <w:rsid w:val="00E8598F"/>
    <w:rsid w:val="00E85CBB"/>
    <w:rsid w:val="00E85D31"/>
    <w:rsid w:val="00E8651B"/>
    <w:rsid w:val="00E869A1"/>
    <w:rsid w:val="00E869EF"/>
    <w:rsid w:val="00E86F63"/>
    <w:rsid w:val="00E86F9A"/>
    <w:rsid w:val="00E87047"/>
    <w:rsid w:val="00E87125"/>
    <w:rsid w:val="00E8743D"/>
    <w:rsid w:val="00E87957"/>
    <w:rsid w:val="00E87E70"/>
    <w:rsid w:val="00E9031A"/>
    <w:rsid w:val="00E904F0"/>
    <w:rsid w:val="00E905E5"/>
    <w:rsid w:val="00E9073E"/>
    <w:rsid w:val="00E90D16"/>
    <w:rsid w:val="00E91096"/>
    <w:rsid w:val="00E9113C"/>
    <w:rsid w:val="00E91276"/>
    <w:rsid w:val="00E91596"/>
    <w:rsid w:val="00E91746"/>
    <w:rsid w:val="00E91923"/>
    <w:rsid w:val="00E91A7D"/>
    <w:rsid w:val="00E91AD4"/>
    <w:rsid w:val="00E91CFE"/>
    <w:rsid w:val="00E92200"/>
    <w:rsid w:val="00E92B25"/>
    <w:rsid w:val="00E93958"/>
    <w:rsid w:val="00E94021"/>
    <w:rsid w:val="00E9422B"/>
    <w:rsid w:val="00E942B8"/>
    <w:rsid w:val="00E94599"/>
    <w:rsid w:val="00E94704"/>
    <w:rsid w:val="00E948D7"/>
    <w:rsid w:val="00E94A9D"/>
    <w:rsid w:val="00E94D49"/>
    <w:rsid w:val="00E94D89"/>
    <w:rsid w:val="00E952AC"/>
    <w:rsid w:val="00E954B2"/>
    <w:rsid w:val="00E95805"/>
    <w:rsid w:val="00E958E7"/>
    <w:rsid w:val="00E95B7D"/>
    <w:rsid w:val="00E96057"/>
    <w:rsid w:val="00E9626A"/>
    <w:rsid w:val="00E962F7"/>
    <w:rsid w:val="00E96432"/>
    <w:rsid w:val="00E9643B"/>
    <w:rsid w:val="00E96729"/>
    <w:rsid w:val="00E969ED"/>
    <w:rsid w:val="00E96A61"/>
    <w:rsid w:val="00E96B0C"/>
    <w:rsid w:val="00E96B62"/>
    <w:rsid w:val="00E96D19"/>
    <w:rsid w:val="00E96DB7"/>
    <w:rsid w:val="00E96E5C"/>
    <w:rsid w:val="00E96F46"/>
    <w:rsid w:val="00E97162"/>
    <w:rsid w:val="00E9716F"/>
    <w:rsid w:val="00E971B5"/>
    <w:rsid w:val="00E97270"/>
    <w:rsid w:val="00E975EC"/>
    <w:rsid w:val="00E9765B"/>
    <w:rsid w:val="00E979C6"/>
    <w:rsid w:val="00E97CE8"/>
    <w:rsid w:val="00E97D4E"/>
    <w:rsid w:val="00E97D83"/>
    <w:rsid w:val="00E97E73"/>
    <w:rsid w:val="00E97FAA"/>
    <w:rsid w:val="00EA001C"/>
    <w:rsid w:val="00EA011F"/>
    <w:rsid w:val="00EA0203"/>
    <w:rsid w:val="00EA07D4"/>
    <w:rsid w:val="00EA07E3"/>
    <w:rsid w:val="00EA08A3"/>
    <w:rsid w:val="00EA0929"/>
    <w:rsid w:val="00EA0D7E"/>
    <w:rsid w:val="00EA0EC9"/>
    <w:rsid w:val="00EA118B"/>
    <w:rsid w:val="00EA1282"/>
    <w:rsid w:val="00EA12A4"/>
    <w:rsid w:val="00EA1434"/>
    <w:rsid w:val="00EA1696"/>
    <w:rsid w:val="00EA183F"/>
    <w:rsid w:val="00EA1B98"/>
    <w:rsid w:val="00EA1D0B"/>
    <w:rsid w:val="00EA1F3D"/>
    <w:rsid w:val="00EA2045"/>
    <w:rsid w:val="00EA2193"/>
    <w:rsid w:val="00EA23DA"/>
    <w:rsid w:val="00EA262E"/>
    <w:rsid w:val="00EA2A90"/>
    <w:rsid w:val="00EA2B4B"/>
    <w:rsid w:val="00EA2CBC"/>
    <w:rsid w:val="00EA2D94"/>
    <w:rsid w:val="00EA2DF9"/>
    <w:rsid w:val="00EA32BF"/>
    <w:rsid w:val="00EA3319"/>
    <w:rsid w:val="00EA339F"/>
    <w:rsid w:val="00EA372B"/>
    <w:rsid w:val="00EA3914"/>
    <w:rsid w:val="00EA3AE5"/>
    <w:rsid w:val="00EA3B49"/>
    <w:rsid w:val="00EA3CF2"/>
    <w:rsid w:val="00EA3E25"/>
    <w:rsid w:val="00EA3FBB"/>
    <w:rsid w:val="00EA4122"/>
    <w:rsid w:val="00EA43B5"/>
    <w:rsid w:val="00EA4460"/>
    <w:rsid w:val="00EA476E"/>
    <w:rsid w:val="00EA4962"/>
    <w:rsid w:val="00EA499C"/>
    <w:rsid w:val="00EA4B07"/>
    <w:rsid w:val="00EA4B28"/>
    <w:rsid w:val="00EA53D3"/>
    <w:rsid w:val="00EA5BAA"/>
    <w:rsid w:val="00EA5C98"/>
    <w:rsid w:val="00EA5D4D"/>
    <w:rsid w:val="00EA5D8F"/>
    <w:rsid w:val="00EA5DEE"/>
    <w:rsid w:val="00EA5EE0"/>
    <w:rsid w:val="00EA5F4E"/>
    <w:rsid w:val="00EA5F7B"/>
    <w:rsid w:val="00EA638C"/>
    <w:rsid w:val="00EA63B6"/>
    <w:rsid w:val="00EA63E8"/>
    <w:rsid w:val="00EA646D"/>
    <w:rsid w:val="00EA64B8"/>
    <w:rsid w:val="00EA65C0"/>
    <w:rsid w:val="00EA667C"/>
    <w:rsid w:val="00EA669E"/>
    <w:rsid w:val="00EA67A9"/>
    <w:rsid w:val="00EA6BAB"/>
    <w:rsid w:val="00EA6DE1"/>
    <w:rsid w:val="00EA6E2B"/>
    <w:rsid w:val="00EA70EF"/>
    <w:rsid w:val="00EA720D"/>
    <w:rsid w:val="00EA76C8"/>
    <w:rsid w:val="00EA7815"/>
    <w:rsid w:val="00EA7B19"/>
    <w:rsid w:val="00EA7D0F"/>
    <w:rsid w:val="00EB00B7"/>
    <w:rsid w:val="00EB02C4"/>
    <w:rsid w:val="00EB06EE"/>
    <w:rsid w:val="00EB0A16"/>
    <w:rsid w:val="00EB0C58"/>
    <w:rsid w:val="00EB0EFE"/>
    <w:rsid w:val="00EB0F15"/>
    <w:rsid w:val="00EB13BE"/>
    <w:rsid w:val="00EB171D"/>
    <w:rsid w:val="00EB177F"/>
    <w:rsid w:val="00EB1842"/>
    <w:rsid w:val="00EB187C"/>
    <w:rsid w:val="00EB2166"/>
    <w:rsid w:val="00EB22AA"/>
    <w:rsid w:val="00EB2379"/>
    <w:rsid w:val="00EB237C"/>
    <w:rsid w:val="00EB23E2"/>
    <w:rsid w:val="00EB2652"/>
    <w:rsid w:val="00EB28E9"/>
    <w:rsid w:val="00EB29D1"/>
    <w:rsid w:val="00EB2B2E"/>
    <w:rsid w:val="00EB2D09"/>
    <w:rsid w:val="00EB2DA4"/>
    <w:rsid w:val="00EB2F4D"/>
    <w:rsid w:val="00EB2F64"/>
    <w:rsid w:val="00EB31B2"/>
    <w:rsid w:val="00EB343B"/>
    <w:rsid w:val="00EB351A"/>
    <w:rsid w:val="00EB3704"/>
    <w:rsid w:val="00EB3753"/>
    <w:rsid w:val="00EB3C3F"/>
    <w:rsid w:val="00EB3CAE"/>
    <w:rsid w:val="00EB3F65"/>
    <w:rsid w:val="00EB4196"/>
    <w:rsid w:val="00EB428A"/>
    <w:rsid w:val="00EB431B"/>
    <w:rsid w:val="00EB446A"/>
    <w:rsid w:val="00EB4828"/>
    <w:rsid w:val="00EB4882"/>
    <w:rsid w:val="00EB4AA5"/>
    <w:rsid w:val="00EB4C7A"/>
    <w:rsid w:val="00EB4ECD"/>
    <w:rsid w:val="00EB50C5"/>
    <w:rsid w:val="00EB5111"/>
    <w:rsid w:val="00EB5A6F"/>
    <w:rsid w:val="00EB5ECD"/>
    <w:rsid w:val="00EB5EE7"/>
    <w:rsid w:val="00EB64DD"/>
    <w:rsid w:val="00EB659B"/>
    <w:rsid w:val="00EB68CF"/>
    <w:rsid w:val="00EB6AB0"/>
    <w:rsid w:val="00EB6BFC"/>
    <w:rsid w:val="00EB730D"/>
    <w:rsid w:val="00EB75A2"/>
    <w:rsid w:val="00EB75ED"/>
    <w:rsid w:val="00EB776D"/>
    <w:rsid w:val="00EB77F5"/>
    <w:rsid w:val="00EB7992"/>
    <w:rsid w:val="00EB79D2"/>
    <w:rsid w:val="00EC023E"/>
    <w:rsid w:val="00EC0E2F"/>
    <w:rsid w:val="00EC0ED1"/>
    <w:rsid w:val="00EC108C"/>
    <w:rsid w:val="00EC124C"/>
    <w:rsid w:val="00EC12C4"/>
    <w:rsid w:val="00EC1479"/>
    <w:rsid w:val="00EC15E7"/>
    <w:rsid w:val="00EC1687"/>
    <w:rsid w:val="00EC1770"/>
    <w:rsid w:val="00EC1A08"/>
    <w:rsid w:val="00EC1C23"/>
    <w:rsid w:val="00EC1CA8"/>
    <w:rsid w:val="00EC203C"/>
    <w:rsid w:val="00EC2202"/>
    <w:rsid w:val="00EC2329"/>
    <w:rsid w:val="00EC232A"/>
    <w:rsid w:val="00EC25A4"/>
    <w:rsid w:val="00EC2791"/>
    <w:rsid w:val="00EC27AF"/>
    <w:rsid w:val="00EC27F6"/>
    <w:rsid w:val="00EC2955"/>
    <w:rsid w:val="00EC2A76"/>
    <w:rsid w:val="00EC2B9B"/>
    <w:rsid w:val="00EC2BF6"/>
    <w:rsid w:val="00EC2C08"/>
    <w:rsid w:val="00EC2C44"/>
    <w:rsid w:val="00EC30A1"/>
    <w:rsid w:val="00EC32C8"/>
    <w:rsid w:val="00EC34F4"/>
    <w:rsid w:val="00EC354D"/>
    <w:rsid w:val="00EC3965"/>
    <w:rsid w:val="00EC3A9F"/>
    <w:rsid w:val="00EC3C5C"/>
    <w:rsid w:val="00EC4362"/>
    <w:rsid w:val="00EC438D"/>
    <w:rsid w:val="00EC4433"/>
    <w:rsid w:val="00EC4582"/>
    <w:rsid w:val="00EC4633"/>
    <w:rsid w:val="00EC4A69"/>
    <w:rsid w:val="00EC4CF9"/>
    <w:rsid w:val="00EC5076"/>
    <w:rsid w:val="00EC5167"/>
    <w:rsid w:val="00EC51D6"/>
    <w:rsid w:val="00EC5328"/>
    <w:rsid w:val="00EC5525"/>
    <w:rsid w:val="00EC5826"/>
    <w:rsid w:val="00EC5981"/>
    <w:rsid w:val="00EC5A10"/>
    <w:rsid w:val="00EC5C49"/>
    <w:rsid w:val="00EC5F88"/>
    <w:rsid w:val="00EC5FE1"/>
    <w:rsid w:val="00EC6230"/>
    <w:rsid w:val="00EC655E"/>
    <w:rsid w:val="00EC68D7"/>
    <w:rsid w:val="00EC6A1D"/>
    <w:rsid w:val="00EC6A8D"/>
    <w:rsid w:val="00EC6B0D"/>
    <w:rsid w:val="00EC7317"/>
    <w:rsid w:val="00EC7334"/>
    <w:rsid w:val="00EC736A"/>
    <w:rsid w:val="00EC74D4"/>
    <w:rsid w:val="00EC7619"/>
    <w:rsid w:val="00EC767B"/>
    <w:rsid w:val="00EC799F"/>
    <w:rsid w:val="00EC7A09"/>
    <w:rsid w:val="00EC7AA8"/>
    <w:rsid w:val="00EC7CE3"/>
    <w:rsid w:val="00EC7E45"/>
    <w:rsid w:val="00EC7EEA"/>
    <w:rsid w:val="00ED013C"/>
    <w:rsid w:val="00ED0251"/>
    <w:rsid w:val="00ED0580"/>
    <w:rsid w:val="00ED0771"/>
    <w:rsid w:val="00ED07E1"/>
    <w:rsid w:val="00ED093F"/>
    <w:rsid w:val="00ED0C10"/>
    <w:rsid w:val="00ED0F3B"/>
    <w:rsid w:val="00ED141B"/>
    <w:rsid w:val="00ED1441"/>
    <w:rsid w:val="00ED15B5"/>
    <w:rsid w:val="00ED16B7"/>
    <w:rsid w:val="00ED17A3"/>
    <w:rsid w:val="00ED1A7D"/>
    <w:rsid w:val="00ED1BD9"/>
    <w:rsid w:val="00ED1E4D"/>
    <w:rsid w:val="00ED1F36"/>
    <w:rsid w:val="00ED205C"/>
    <w:rsid w:val="00ED22D6"/>
    <w:rsid w:val="00ED27EF"/>
    <w:rsid w:val="00ED28EE"/>
    <w:rsid w:val="00ED294D"/>
    <w:rsid w:val="00ED29E2"/>
    <w:rsid w:val="00ED2A14"/>
    <w:rsid w:val="00ED2AB7"/>
    <w:rsid w:val="00ED2C3A"/>
    <w:rsid w:val="00ED2CAE"/>
    <w:rsid w:val="00ED2DFE"/>
    <w:rsid w:val="00ED2E3C"/>
    <w:rsid w:val="00ED2EE0"/>
    <w:rsid w:val="00ED2FA7"/>
    <w:rsid w:val="00ED34B0"/>
    <w:rsid w:val="00ED34DC"/>
    <w:rsid w:val="00ED35BD"/>
    <w:rsid w:val="00ED375D"/>
    <w:rsid w:val="00ED3789"/>
    <w:rsid w:val="00ED3AF4"/>
    <w:rsid w:val="00ED4388"/>
    <w:rsid w:val="00ED4A03"/>
    <w:rsid w:val="00ED4C4E"/>
    <w:rsid w:val="00ED4C7D"/>
    <w:rsid w:val="00ED4CD7"/>
    <w:rsid w:val="00ED52B4"/>
    <w:rsid w:val="00ED541B"/>
    <w:rsid w:val="00ED568D"/>
    <w:rsid w:val="00ED57FB"/>
    <w:rsid w:val="00ED5944"/>
    <w:rsid w:val="00ED5CC4"/>
    <w:rsid w:val="00ED606C"/>
    <w:rsid w:val="00ED645E"/>
    <w:rsid w:val="00ED6577"/>
    <w:rsid w:val="00ED68F4"/>
    <w:rsid w:val="00ED707F"/>
    <w:rsid w:val="00ED7090"/>
    <w:rsid w:val="00ED7138"/>
    <w:rsid w:val="00ED74B5"/>
    <w:rsid w:val="00ED751A"/>
    <w:rsid w:val="00ED76E0"/>
    <w:rsid w:val="00ED7D0E"/>
    <w:rsid w:val="00ED7DF1"/>
    <w:rsid w:val="00ED7EF2"/>
    <w:rsid w:val="00EE0079"/>
    <w:rsid w:val="00EE00CC"/>
    <w:rsid w:val="00EE023E"/>
    <w:rsid w:val="00EE0277"/>
    <w:rsid w:val="00EE040D"/>
    <w:rsid w:val="00EE064C"/>
    <w:rsid w:val="00EE0654"/>
    <w:rsid w:val="00EE06A0"/>
    <w:rsid w:val="00EE06EE"/>
    <w:rsid w:val="00EE0959"/>
    <w:rsid w:val="00EE0D77"/>
    <w:rsid w:val="00EE0FE0"/>
    <w:rsid w:val="00EE1277"/>
    <w:rsid w:val="00EE13C8"/>
    <w:rsid w:val="00EE17A3"/>
    <w:rsid w:val="00EE18A0"/>
    <w:rsid w:val="00EE1929"/>
    <w:rsid w:val="00EE19A2"/>
    <w:rsid w:val="00EE1A22"/>
    <w:rsid w:val="00EE1B68"/>
    <w:rsid w:val="00EE1E1D"/>
    <w:rsid w:val="00EE1F16"/>
    <w:rsid w:val="00EE1F32"/>
    <w:rsid w:val="00EE1F6B"/>
    <w:rsid w:val="00EE2452"/>
    <w:rsid w:val="00EE2510"/>
    <w:rsid w:val="00EE2608"/>
    <w:rsid w:val="00EE267D"/>
    <w:rsid w:val="00EE26CE"/>
    <w:rsid w:val="00EE27BD"/>
    <w:rsid w:val="00EE2B6D"/>
    <w:rsid w:val="00EE2B73"/>
    <w:rsid w:val="00EE2E0E"/>
    <w:rsid w:val="00EE307B"/>
    <w:rsid w:val="00EE32D7"/>
    <w:rsid w:val="00EE331E"/>
    <w:rsid w:val="00EE3630"/>
    <w:rsid w:val="00EE39A8"/>
    <w:rsid w:val="00EE3A32"/>
    <w:rsid w:val="00EE3BB0"/>
    <w:rsid w:val="00EE3BD2"/>
    <w:rsid w:val="00EE3FE1"/>
    <w:rsid w:val="00EE427D"/>
    <w:rsid w:val="00EE4AC6"/>
    <w:rsid w:val="00EE4B90"/>
    <w:rsid w:val="00EE4DE4"/>
    <w:rsid w:val="00EE4E83"/>
    <w:rsid w:val="00EE540B"/>
    <w:rsid w:val="00EE54CA"/>
    <w:rsid w:val="00EE54EC"/>
    <w:rsid w:val="00EE5752"/>
    <w:rsid w:val="00EE5781"/>
    <w:rsid w:val="00EE581E"/>
    <w:rsid w:val="00EE5939"/>
    <w:rsid w:val="00EE5AFB"/>
    <w:rsid w:val="00EE5CA6"/>
    <w:rsid w:val="00EE5CE4"/>
    <w:rsid w:val="00EE5D61"/>
    <w:rsid w:val="00EE5F3E"/>
    <w:rsid w:val="00EE618E"/>
    <w:rsid w:val="00EE6387"/>
    <w:rsid w:val="00EE63E5"/>
    <w:rsid w:val="00EE6882"/>
    <w:rsid w:val="00EE689F"/>
    <w:rsid w:val="00EE68B0"/>
    <w:rsid w:val="00EE690B"/>
    <w:rsid w:val="00EE699E"/>
    <w:rsid w:val="00EE6EB6"/>
    <w:rsid w:val="00EE6F24"/>
    <w:rsid w:val="00EE7161"/>
    <w:rsid w:val="00EE7251"/>
    <w:rsid w:val="00EE7449"/>
    <w:rsid w:val="00EE750F"/>
    <w:rsid w:val="00EE7510"/>
    <w:rsid w:val="00EE7A8E"/>
    <w:rsid w:val="00EE7CC1"/>
    <w:rsid w:val="00EF000D"/>
    <w:rsid w:val="00EF0253"/>
    <w:rsid w:val="00EF0C96"/>
    <w:rsid w:val="00EF11DD"/>
    <w:rsid w:val="00EF140F"/>
    <w:rsid w:val="00EF154E"/>
    <w:rsid w:val="00EF1877"/>
    <w:rsid w:val="00EF1AD4"/>
    <w:rsid w:val="00EF1B92"/>
    <w:rsid w:val="00EF1DB3"/>
    <w:rsid w:val="00EF1E9E"/>
    <w:rsid w:val="00EF1F56"/>
    <w:rsid w:val="00EF2135"/>
    <w:rsid w:val="00EF2172"/>
    <w:rsid w:val="00EF238B"/>
    <w:rsid w:val="00EF24B3"/>
    <w:rsid w:val="00EF2534"/>
    <w:rsid w:val="00EF282E"/>
    <w:rsid w:val="00EF2932"/>
    <w:rsid w:val="00EF2AAB"/>
    <w:rsid w:val="00EF2C20"/>
    <w:rsid w:val="00EF2C40"/>
    <w:rsid w:val="00EF2F64"/>
    <w:rsid w:val="00EF2F6D"/>
    <w:rsid w:val="00EF30E9"/>
    <w:rsid w:val="00EF30EC"/>
    <w:rsid w:val="00EF3138"/>
    <w:rsid w:val="00EF31D3"/>
    <w:rsid w:val="00EF326D"/>
    <w:rsid w:val="00EF3365"/>
    <w:rsid w:val="00EF35B8"/>
    <w:rsid w:val="00EF36FB"/>
    <w:rsid w:val="00EF3772"/>
    <w:rsid w:val="00EF38E6"/>
    <w:rsid w:val="00EF3B68"/>
    <w:rsid w:val="00EF3CA5"/>
    <w:rsid w:val="00EF3DBD"/>
    <w:rsid w:val="00EF4126"/>
    <w:rsid w:val="00EF435B"/>
    <w:rsid w:val="00EF45B0"/>
    <w:rsid w:val="00EF4950"/>
    <w:rsid w:val="00EF4B8B"/>
    <w:rsid w:val="00EF4C94"/>
    <w:rsid w:val="00EF4CF9"/>
    <w:rsid w:val="00EF54AF"/>
    <w:rsid w:val="00EF5507"/>
    <w:rsid w:val="00EF5D8B"/>
    <w:rsid w:val="00EF5F52"/>
    <w:rsid w:val="00EF603E"/>
    <w:rsid w:val="00EF60C9"/>
    <w:rsid w:val="00EF62A4"/>
    <w:rsid w:val="00EF635F"/>
    <w:rsid w:val="00EF6C10"/>
    <w:rsid w:val="00EF6F33"/>
    <w:rsid w:val="00EF70C8"/>
    <w:rsid w:val="00EF71BF"/>
    <w:rsid w:val="00EF71D8"/>
    <w:rsid w:val="00EF767B"/>
    <w:rsid w:val="00EF77A9"/>
    <w:rsid w:val="00EF793F"/>
    <w:rsid w:val="00EF7E6A"/>
    <w:rsid w:val="00EF7F0A"/>
    <w:rsid w:val="00EF7FEF"/>
    <w:rsid w:val="00F00383"/>
    <w:rsid w:val="00F0043D"/>
    <w:rsid w:val="00F00806"/>
    <w:rsid w:val="00F00971"/>
    <w:rsid w:val="00F00B6A"/>
    <w:rsid w:val="00F01380"/>
    <w:rsid w:val="00F01513"/>
    <w:rsid w:val="00F015DE"/>
    <w:rsid w:val="00F01657"/>
    <w:rsid w:val="00F018A8"/>
    <w:rsid w:val="00F01CFE"/>
    <w:rsid w:val="00F020CC"/>
    <w:rsid w:val="00F020E2"/>
    <w:rsid w:val="00F021F1"/>
    <w:rsid w:val="00F022EF"/>
    <w:rsid w:val="00F0246D"/>
    <w:rsid w:val="00F02847"/>
    <w:rsid w:val="00F02A71"/>
    <w:rsid w:val="00F02C40"/>
    <w:rsid w:val="00F02CB6"/>
    <w:rsid w:val="00F02CFD"/>
    <w:rsid w:val="00F02D75"/>
    <w:rsid w:val="00F02F4F"/>
    <w:rsid w:val="00F03169"/>
    <w:rsid w:val="00F0316A"/>
    <w:rsid w:val="00F0336E"/>
    <w:rsid w:val="00F03509"/>
    <w:rsid w:val="00F038D1"/>
    <w:rsid w:val="00F039B8"/>
    <w:rsid w:val="00F03B9A"/>
    <w:rsid w:val="00F03DE6"/>
    <w:rsid w:val="00F03F03"/>
    <w:rsid w:val="00F040C4"/>
    <w:rsid w:val="00F0466A"/>
    <w:rsid w:val="00F0483F"/>
    <w:rsid w:val="00F05029"/>
    <w:rsid w:val="00F056AB"/>
    <w:rsid w:val="00F056FD"/>
    <w:rsid w:val="00F05B31"/>
    <w:rsid w:val="00F05F53"/>
    <w:rsid w:val="00F060E7"/>
    <w:rsid w:val="00F063B8"/>
    <w:rsid w:val="00F06562"/>
    <w:rsid w:val="00F06E08"/>
    <w:rsid w:val="00F06F68"/>
    <w:rsid w:val="00F06FB3"/>
    <w:rsid w:val="00F0714D"/>
    <w:rsid w:val="00F071F1"/>
    <w:rsid w:val="00F07351"/>
    <w:rsid w:val="00F0741D"/>
    <w:rsid w:val="00F0795B"/>
    <w:rsid w:val="00F07B57"/>
    <w:rsid w:val="00F07D83"/>
    <w:rsid w:val="00F07E5E"/>
    <w:rsid w:val="00F07EC1"/>
    <w:rsid w:val="00F10026"/>
    <w:rsid w:val="00F10266"/>
    <w:rsid w:val="00F103C6"/>
    <w:rsid w:val="00F105AE"/>
    <w:rsid w:val="00F1081D"/>
    <w:rsid w:val="00F10B0A"/>
    <w:rsid w:val="00F10B65"/>
    <w:rsid w:val="00F10C21"/>
    <w:rsid w:val="00F11009"/>
    <w:rsid w:val="00F110DD"/>
    <w:rsid w:val="00F11247"/>
    <w:rsid w:val="00F1132E"/>
    <w:rsid w:val="00F113EC"/>
    <w:rsid w:val="00F11511"/>
    <w:rsid w:val="00F11596"/>
    <w:rsid w:val="00F11659"/>
    <w:rsid w:val="00F11A6D"/>
    <w:rsid w:val="00F11B99"/>
    <w:rsid w:val="00F11D2E"/>
    <w:rsid w:val="00F11F24"/>
    <w:rsid w:val="00F1212E"/>
    <w:rsid w:val="00F122B1"/>
    <w:rsid w:val="00F127A1"/>
    <w:rsid w:val="00F1282A"/>
    <w:rsid w:val="00F12933"/>
    <w:rsid w:val="00F12992"/>
    <w:rsid w:val="00F12F16"/>
    <w:rsid w:val="00F12F2A"/>
    <w:rsid w:val="00F132CE"/>
    <w:rsid w:val="00F1356F"/>
    <w:rsid w:val="00F135D9"/>
    <w:rsid w:val="00F13AB4"/>
    <w:rsid w:val="00F13B0F"/>
    <w:rsid w:val="00F13B6E"/>
    <w:rsid w:val="00F13FDE"/>
    <w:rsid w:val="00F1418A"/>
    <w:rsid w:val="00F14222"/>
    <w:rsid w:val="00F14232"/>
    <w:rsid w:val="00F1441A"/>
    <w:rsid w:val="00F1481D"/>
    <w:rsid w:val="00F1499E"/>
    <w:rsid w:val="00F149FB"/>
    <w:rsid w:val="00F14B19"/>
    <w:rsid w:val="00F14D30"/>
    <w:rsid w:val="00F14DD7"/>
    <w:rsid w:val="00F1516A"/>
    <w:rsid w:val="00F1537E"/>
    <w:rsid w:val="00F15AAC"/>
    <w:rsid w:val="00F15AE8"/>
    <w:rsid w:val="00F15C45"/>
    <w:rsid w:val="00F15D90"/>
    <w:rsid w:val="00F15E66"/>
    <w:rsid w:val="00F1626F"/>
    <w:rsid w:val="00F162C1"/>
    <w:rsid w:val="00F16407"/>
    <w:rsid w:val="00F164B9"/>
    <w:rsid w:val="00F1680A"/>
    <w:rsid w:val="00F16941"/>
    <w:rsid w:val="00F1697D"/>
    <w:rsid w:val="00F16C3D"/>
    <w:rsid w:val="00F16CCE"/>
    <w:rsid w:val="00F173F0"/>
    <w:rsid w:val="00F17B4C"/>
    <w:rsid w:val="00F17B5D"/>
    <w:rsid w:val="00F17BC8"/>
    <w:rsid w:val="00F17D6C"/>
    <w:rsid w:val="00F17DCD"/>
    <w:rsid w:val="00F17E74"/>
    <w:rsid w:val="00F17FA7"/>
    <w:rsid w:val="00F204B9"/>
    <w:rsid w:val="00F20C84"/>
    <w:rsid w:val="00F2134E"/>
    <w:rsid w:val="00F213A5"/>
    <w:rsid w:val="00F2177D"/>
    <w:rsid w:val="00F218D4"/>
    <w:rsid w:val="00F21C71"/>
    <w:rsid w:val="00F21F8F"/>
    <w:rsid w:val="00F222FD"/>
    <w:rsid w:val="00F2289A"/>
    <w:rsid w:val="00F228C4"/>
    <w:rsid w:val="00F22B43"/>
    <w:rsid w:val="00F22C24"/>
    <w:rsid w:val="00F22C95"/>
    <w:rsid w:val="00F22D9B"/>
    <w:rsid w:val="00F22E6A"/>
    <w:rsid w:val="00F22EF4"/>
    <w:rsid w:val="00F23122"/>
    <w:rsid w:val="00F231E1"/>
    <w:rsid w:val="00F2330C"/>
    <w:rsid w:val="00F2363C"/>
    <w:rsid w:val="00F23B58"/>
    <w:rsid w:val="00F23F27"/>
    <w:rsid w:val="00F24862"/>
    <w:rsid w:val="00F24AD8"/>
    <w:rsid w:val="00F24AEC"/>
    <w:rsid w:val="00F24AF7"/>
    <w:rsid w:val="00F24C93"/>
    <w:rsid w:val="00F24D7D"/>
    <w:rsid w:val="00F2519D"/>
    <w:rsid w:val="00F253CA"/>
    <w:rsid w:val="00F255A9"/>
    <w:rsid w:val="00F25751"/>
    <w:rsid w:val="00F258F4"/>
    <w:rsid w:val="00F25B67"/>
    <w:rsid w:val="00F25C53"/>
    <w:rsid w:val="00F26126"/>
    <w:rsid w:val="00F26378"/>
    <w:rsid w:val="00F2650B"/>
    <w:rsid w:val="00F268F9"/>
    <w:rsid w:val="00F26AD6"/>
    <w:rsid w:val="00F26B1E"/>
    <w:rsid w:val="00F26B64"/>
    <w:rsid w:val="00F27684"/>
    <w:rsid w:val="00F27727"/>
    <w:rsid w:val="00F277C2"/>
    <w:rsid w:val="00F279FB"/>
    <w:rsid w:val="00F27C55"/>
    <w:rsid w:val="00F27EFF"/>
    <w:rsid w:val="00F27FF7"/>
    <w:rsid w:val="00F301D3"/>
    <w:rsid w:val="00F301F8"/>
    <w:rsid w:val="00F3027C"/>
    <w:rsid w:val="00F30478"/>
    <w:rsid w:val="00F304E6"/>
    <w:rsid w:val="00F30861"/>
    <w:rsid w:val="00F30945"/>
    <w:rsid w:val="00F3098F"/>
    <w:rsid w:val="00F30CA6"/>
    <w:rsid w:val="00F30CC3"/>
    <w:rsid w:val="00F30D07"/>
    <w:rsid w:val="00F31149"/>
    <w:rsid w:val="00F3116F"/>
    <w:rsid w:val="00F31246"/>
    <w:rsid w:val="00F312A0"/>
    <w:rsid w:val="00F3137A"/>
    <w:rsid w:val="00F31555"/>
    <w:rsid w:val="00F3161B"/>
    <w:rsid w:val="00F31628"/>
    <w:rsid w:val="00F316DD"/>
    <w:rsid w:val="00F3193C"/>
    <w:rsid w:val="00F31959"/>
    <w:rsid w:val="00F31BD1"/>
    <w:rsid w:val="00F32037"/>
    <w:rsid w:val="00F326AA"/>
    <w:rsid w:val="00F327F4"/>
    <w:rsid w:val="00F3281F"/>
    <w:rsid w:val="00F3292D"/>
    <w:rsid w:val="00F32D28"/>
    <w:rsid w:val="00F32DD1"/>
    <w:rsid w:val="00F32F0F"/>
    <w:rsid w:val="00F33372"/>
    <w:rsid w:val="00F33599"/>
    <w:rsid w:val="00F335B6"/>
    <w:rsid w:val="00F33A73"/>
    <w:rsid w:val="00F33BFD"/>
    <w:rsid w:val="00F33E4F"/>
    <w:rsid w:val="00F341E3"/>
    <w:rsid w:val="00F34247"/>
    <w:rsid w:val="00F3454B"/>
    <w:rsid w:val="00F34629"/>
    <w:rsid w:val="00F34DFF"/>
    <w:rsid w:val="00F34E4D"/>
    <w:rsid w:val="00F3516D"/>
    <w:rsid w:val="00F35928"/>
    <w:rsid w:val="00F359AD"/>
    <w:rsid w:val="00F35CFB"/>
    <w:rsid w:val="00F3634D"/>
    <w:rsid w:val="00F3682F"/>
    <w:rsid w:val="00F36B76"/>
    <w:rsid w:val="00F37104"/>
    <w:rsid w:val="00F371C3"/>
    <w:rsid w:val="00F371DA"/>
    <w:rsid w:val="00F37293"/>
    <w:rsid w:val="00F372A2"/>
    <w:rsid w:val="00F377E6"/>
    <w:rsid w:val="00F37CA9"/>
    <w:rsid w:val="00F37CB9"/>
    <w:rsid w:val="00F37CEA"/>
    <w:rsid w:val="00F37D60"/>
    <w:rsid w:val="00F37E98"/>
    <w:rsid w:val="00F37E9B"/>
    <w:rsid w:val="00F37FCC"/>
    <w:rsid w:val="00F37FF5"/>
    <w:rsid w:val="00F40159"/>
    <w:rsid w:val="00F401C8"/>
    <w:rsid w:val="00F405AE"/>
    <w:rsid w:val="00F405F3"/>
    <w:rsid w:val="00F40647"/>
    <w:rsid w:val="00F406A3"/>
    <w:rsid w:val="00F407AF"/>
    <w:rsid w:val="00F40840"/>
    <w:rsid w:val="00F40869"/>
    <w:rsid w:val="00F40AA0"/>
    <w:rsid w:val="00F40AAB"/>
    <w:rsid w:val="00F40E46"/>
    <w:rsid w:val="00F40EAD"/>
    <w:rsid w:val="00F40F56"/>
    <w:rsid w:val="00F40FC9"/>
    <w:rsid w:val="00F41045"/>
    <w:rsid w:val="00F41117"/>
    <w:rsid w:val="00F41212"/>
    <w:rsid w:val="00F41268"/>
    <w:rsid w:val="00F414C5"/>
    <w:rsid w:val="00F4171F"/>
    <w:rsid w:val="00F4175B"/>
    <w:rsid w:val="00F417D9"/>
    <w:rsid w:val="00F419D5"/>
    <w:rsid w:val="00F41C84"/>
    <w:rsid w:val="00F4205C"/>
    <w:rsid w:val="00F421E5"/>
    <w:rsid w:val="00F422CE"/>
    <w:rsid w:val="00F4239D"/>
    <w:rsid w:val="00F4258B"/>
    <w:rsid w:val="00F42692"/>
    <w:rsid w:val="00F4298E"/>
    <w:rsid w:val="00F42B27"/>
    <w:rsid w:val="00F432B9"/>
    <w:rsid w:val="00F4332F"/>
    <w:rsid w:val="00F434AD"/>
    <w:rsid w:val="00F43547"/>
    <w:rsid w:val="00F43702"/>
    <w:rsid w:val="00F43B3D"/>
    <w:rsid w:val="00F43FBA"/>
    <w:rsid w:val="00F4428E"/>
    <w:rsid w:val="00F442FE"/>
    <w:rsid w:val="00F44598"/>
    <w:rsid w:val="00F44D5A"/>
    <w:rsid w:val="00F44FFF"/>
    <w:rsid w:val="00F45488"/>
    <w:rsid w:val="00F45986"/>
    <w:rsid w:val="00F45A0E"/>
    <w:rsid w:val="00F45E67"/>
    <w:rsid w:val="00F45EB6"/>
    <w:rsid w:val="00F46055"/>
    <w:rsid w:val="00F46B27"/>
    <w:rsid w:val="00F470A5"/>
    <w:rsid w:val="00F4770E"/>
    <w:rsid w:val="00F4794B"/>
    <w:rsid w:val="00F47A01"/>
    <w:rsid w:val="00F47B1D"/>
    <w:rsid w:val="00F47CA1"/>
    <w:rsid w:val="00F47D92"/>
    <w:rsid w:val="00F47EAD"/>
    <w:rsid w:val="00F47FDE"/>
    <w:rsid w:val="00F50102"/>
    <w:rsid w:val="00F5051F"/>
    <w:rsid w:val="00F505AC"/>
    <w:rsid w:val="00F5060C"/>
    <w:rsid w:val="00F50683"/>
    <w:rsid w:val="00F5069F"/>
    <w:rsid w:val="00F5087D"/>
    <w:rsid w:val="00F5097A"/>
    <w:rsid w:val="00F50BF2"/>
    <w:rsid w:val="00F51395"/>
    <w:rsid w:val="00F51657"/>
    <w:rsid w:val="00F51890"/>
    <w:rsid w:val="00F51A37"/>
    <w:rsid w:val="00F51ECF"/>
    <w:rsid w:val="00F51F76"/>
    <w:rsid w:val="00F520F3"/>
    <w:rsid w:val="00F522B1"/>
    <w:rsid w:val="00F52356"/>
    <w:rsid w:val="00F52387"/>
    <w:rsid w:val="00F52578"/>
    <w:rsid w:val="00F525A4"/>
    <w:rsid w:val="00F52A5F"/>
    <w:rsid w:val="00F52A78"/>
    <w:rsid w:val="00F52CDD"/>
    <w:rsid w:val="00F52F80"/>
    <w:rsid w:val="00F5310F"/>
    <w:rsid w:val="00F5321E"/>
    <w:rsid w:val="00F5323F"/>
    <w:rsid w:val="00F53444"/>
    <w:rsid w:val="00F5364B"/>
    <w:rsid w:val="00F53986"/>
    <w:rsid w:val="00F53C7F"/>
    <w:rsid w:val="00F54178"/>
    <w:rsid w:val="00F54C61"/>
    <w:rsid w:val="00F55033"/>
    <w:rsid w:val="00F558E9"/>
    <w:rsid w:val="00F559A3"/>
    <w:rsid w:val="00F55C31"/>
    <w:rsid w:val="00F55CE7"/>
    <w:rsid w:val="00F56072"/>
    <w:rsid w:val="00F56116"/>
    <w:rsid w:val="00F5636A"/>
    <w:rsid w:val="00F5639C"/>
    <w:rsid w:val="00F563DF"/>
    <w:rsid w:val="00F567C7"/>
    <w:rsid w:val="00F568CA"/>
    <w:rsid w:val="00F569C2"/>
    <w:rsid w:val="00F56C1F"/>
    <w:rsid w:val="00F56E53"/>
    <w:rsid w:val="00F57174"/>
    <w:rsid w:val="00F571CB"/>
    <w:rsid w:val="00F5731B"/>
    <w:rsid w:val="00F57446"/>
    <w:rsid w:val="00F575C4"/>
    <w:rsid w:val="00F57AE5"/>
    <w:rsid w:val="00F57D3A"/>
    <w:rsid w:val="00F60248"/>
    <w:rsid w:val="00F60342"/>
    <w:rsid w:val="00F605E4"/>
    <w:rsid w:val="00F60A5E"/>
    <w:rsid w:val="00F60CB0"/>
    <w:rsid w:val="00F60E24"/>
    <w:rsid w:val="00F61188"/>
    <w:rsid w:val="00F61323"/>
    <w:rsid w:val="00F61418"/>
    <w:rsid w:val="00F61428"/>
    <w:rsid w:val="00F61732"/>
    <w:rsid w:val="00F61837"/>
    <w:rsid w:val="00F61983"/>
    <w:rsid w:val="00F61B92"/>
    <w:rsid w:val="00F6231E"/>
    <w:rsid w:val="00F62339"/>
    <w:rsid w:val="00F62971"/>
    <w:rsid w:val="00F62B12"/>
    <w:rsid w:val="00F63302"/>
    <w:rsid w:val="00F633F7"/>
    <w:rsid w:val="00F6361C"/>
    <w:rsid w:val="00F6375F"/>
    <w:rsid w:val="00F63A88"/>
    <w:rsid w:val="00F63C53"/>
    <w:rsid w:val="00F63D00"/>
    <w:rsid w:val="00F63D7A"/>
    <w:rsid w:val="00F64030"/>
    <w:rsid w:val="00F64B5F"/>
    <w:rsid w:val="00F64D4E"/>
    <w:rsid w:val="00F64EBA"/>
    <w:rsid w:val="00F650C0"/>
    <w:rsid w:val="00F651F9"/>
    <w:rsid w:val="00F65486"/>
    <w:rsid w:val="00F65B74"/>
    <w:rsid w:val="00F65C3B"/>
    <w:rsid w:val="00F65C8D"/>
    <w:rsid w:val="00F65D49"/>
    <w:rsid w:val="00F664E5"/>
    <w:rsid w:val="00F6667D"/>
    <w:rsid w:val="00F668A3"/>
    <w:rsid w:val="00F668F5"/>
    <w:rsid w:val="00F66BC1"/>
    <w:rsid w:val="00F66C9C"/>
    <w:rsid w:val="00F66ECB"/>
    <w:rsid w:val="00F66FF0"/>
    <w:rsid w:val="00F66FF6"/>
    <w:rsid w:val="00F672E2"/>
    <w:rsid w:val="00F673BA"/>
    <w:rsid w:val="00F67524"/>
    <w:rsid w:val="00F6774D"/>
    <w:rsid w:val="00F67754"/>
    <w:rsid w:val="00F67AEA"/>
    <w:rsid w:val="00F67E56"/>
    <w:rsid w:val="00F67F6E"/>
    <w:rsid w:val="00F7019B"/>
    <w:rsid w:val="00F701B8"/>
    <w:rsid w:val="00F702E7"/>
    <w:rsid w:val="00F704A0"/>
    <w:rsid w:val="00F7052D"/>
    <w:rsid w:val="00F709A0"/>
    <w:rsid w:val="00F70A11"/>
    <w:rsid w:val="00F70CE2"/>
    <w:rsid w:val="00F70D16"/>
    <w:rsid w:val="00F70F93"/>
    <w:rsid w:val="00F71178"/>
    <w:rsid w:val="00F71309"/>
    <w:rsid w:val="00F7148D"/>
    <w:rsid w:val="00F71965"/>
    <w:rsid w:val="00F71C7E"/>
    <w:rsid w:val="00F71D14"/>
    <w:rsid w:val="00F71E49"/>
    <w:rsid w:val="00F71EE9"/>
    <w:rsid w:val="00F720D8"/>
    <w:rsid w:val="00F7252E"/>
    <w:rsid w:val="00F7288E"/>
    <w:rsid w:val="00F72A24"/>
    <w:rsid w:val="00F72A60"/>
    <w:rsid w:val="00F72B3E"/>
    <w:rsid w:val="00F72B5E"/>
    <w:rsid w:val="00F7336F"/>
    <w:rsid w:val="00F7372B"/>
    <w:rsid w:val="00F737E9"/>
    <w:rsid w:val="00F7382F"/>
    <w:rsid w:val="00F739E7"/>
    <w:rsid w:val="00F73A3F"/>
    <w:rsid w:val="00F73D89"/>
    <w:rsid w:val="00F73F83"/>
    <w:rsid w:val="00F74172"/>
    <w:rsid w:val="00F742E3"/>
    <w:rsid w:val="00F74302"/>
    <w:rsid w:val="00F74402"/>
    <w:rsid w:val="00F747DF"/>
    <w:rsid w:val="00F74945"/>
    <w:rsid w:val="00F74E1D"/>
    <w:rsid w:val="00F74F87"/>
    <w:rsid w:val="00F753BA"/>
    <w:rsid w:val="00F754F7"/>
    <w:rsid w:val="00F758ED"/>
    <w:rsid w:val="00F75BFB"/>
    <w:rsid w:val="00F75D5C"/>
    <w:rsid w:val="00F7608C"/>
    <w:rsid w:val="00F763D7"/>
    <w:rsid w:val="00F76701"/>
    <w:rsid w:val="00F76893"/>
    <w:rsid w:val="00F76952"/>
    <w:rsid w:val="00F76B63"/>
    <w:rsid w:val="00F76B99"/>
    <w:rsid w:val="00F76C2D"/>
    <w:rsid w:val="00F76D66"/>
    <w:rsid w:val="00F77057"/>
    <w:rsid w:val="00F7712A"/>
    <w:rsid w:val="00F77340"/>
    <w:rsid w:val="00F77487"/>
    <w:rsid w:val="00F775CD"/>
    <w:rsid w:val="00F77B2E"/>
    <w:rsid w:val="00F77BCC"/>
    <w:rsid w:val="00F77F8B"/>
    <w:rsid w:val="00F80376"/>
    <w:rsid w:val="00F8064C"/>
    <w:rsid w:val="00F80772"/>
    <w:rsid w:val="00F8084C"/>
    <w:rsid w:val="00F812B5"/>
    <w:rsid w:val="00F815EB"/>
    <w:rsid w:val="00F816AC"/>
    <w:rsid w:val="00F816DA"/>
    <w:rsid w:val="00F816E8"/>
    <w:rsid w:val="00F818A9"/>
    <w:rsid w:val="00F8195F"/>
    <w:rsid w:val="00F81B15"/>
    <w:rsid w:val="00F820CE"/>
    <w:rsid w:val="00F82142"/>
    <w:rsid w:val="00F82282"/>
    <w:rsid w:val="00F822A1"/>
    <w:rsid w:val="00F82841"/>
    <w:rsid w:val="00F828A5"/>
    <w:rsid w:val="00F829B1"/>
    <w:rsid w:val="00F82A70"/>
    <w:rsid w:val="00F82C7E"/>
    <w:rsid w:val="00F82F12"/>
    <w:rsid w:val="00F82FF1"/>
    <w:rsid w:val="00F830BF"/>
    <w:rsid w:val="00F83160"/>
    <w:rsid w:val="00F8357C"/>
    <w:rsid w:val="00F83A95"/>
    <w:rsid w:val="00F83CD8"/>
    <w:rsid w:val="00F83D7F"/>
    <w:rsid w:val="00F840DC"/>
    <w:rsid w:val="00F841F3"/>
    <w:rsid w:val="00F841FD"/>
    <w:rsid w:val="00F84365"/>
    <w:rsid w:val="00F84377"/>
    <w:rsid w:val="00F84410"/>
    <w:rsid w:val="00F8445B"/>
    <w:rsid w:val="00F844F2"/>
    <w:rsid w:val="00F8452A"/>
    <w:rsid w:val="00F8461D"/>
    <w:rsid w:val="00F8466D"/>
    <w:rsid w:val="00F84E45"/>
    <w:rsid w:val="00F85007"/>
    <w:rsid w:val="00F850F6"/>
    <w:rsid w:val="00F851F0"/>
    <w:rsid w:val="00F853AF"/>
    <w:rsid w:val="00F8543D"/>
    <w:rsid w:val="00F855CC"/>
    <w:rsid w:val="00F859EC"/>
    <w:rsid w:val="00F85A69"/>
    <w:rsid w:val="00F85DF5"/>
    <w:rsid w:val="00F85EA4"/>
    <w:rsid w:val="00F85F91"/>
    <w:rsid w:val="00F860B6"/>
    <w:rsid w:val="00F860DB"/>
    <w:rsid w:val="00F861D0"/>
    <w:rsid w:val="00F8630D"/>
    <w:rsid w:val="00F864AB"/>
    <w:rsid w:val="00F86558"/>
    <w:rsid w:val="00F8696F"/>
    <w:rsid w:val="00F86CA6"/>
    <w:rsid w:val="00F86E8E"/>
    <w:rsid w:val="00F87006"/>
    <w:rsid w:val="00F87163"/>
    <w:rsid w:val="00F876FA"/>
    <w:rsid w:val="00F87827"/>
    <w:rsid w:val="00F87A65"/>
    <w:rsid w:val="00F87B62"/>
    <w:rsid w:val="00F87CA5"/>
    <w:rsid w:val="00F87DBD"/>
    <w:rsid w:val="00F87F93"/>
    <w:rsid w:val="00F90185"/>
    <w:rsid w:val="00F90223"/>
    <w:rsid w:val="00F90322"/>
    <w:rsid w:val="00F90364"/>
    <w:rsid w:val="00F903D9"/>
    <w:rsid w:val="00F9056B"/>
    <w:rsid w:val="00F906C6"/>
    <w:rsid w:val="00F908A0"/>
    <w:rsid w:val="00F9099F"/>
    <w:rsid w:val="00F90A76"/>
    <w:rsid w:val="00F90C0C"/>
    <w:rsid w:val="00F90CB6"/>
    <w:rsid w:val="00F90D16"/>
    <w:rsid w:val="00F90F8E"/>
    <w:rsid w:val="00F91111"/>
    <w:rsid w:val="00F9150A"/>
    <w:rsid w:val="00F919D6"/>
    <w:rsid w:val="00F91B4C"/>
    <w:rsid w:val="00F91BBF"/>
    <w:rsid w:val="00F91CFC"/>
    <w:rsid w:val="00F91ECC"/>
    <w:rsid w:val="00F91ED0"/>
    <w:rsid w:val="00F91F05"/>
    <w:rsid w:val="00F91FAA"/>
    <w:rsid w:val="00F91FE3"/>
    <w:rsid w:val="00F9222F"/>
    <w:rsid w:val="00F928B9"/>
    <w:rsid w:val="00F928DE"/>
    <w:rsid w:val="00F928E2"/>
    <w:rsid w:val="00F92AF5"/>
    <w:rsid w:val="00F92C43"/>
    <w:rsid w:val="00F935A0"/>
    <w:rsid w:val="00F93D83"/>
    <w:rsid w:val="00F93F43"/>
    <w:rsid w:val="00F93FD9"/>
    <w:rsid w:val="00F940B7"/>
    <w:rsid w:val="00F94244"/>
    <w:rsid w:val="00F944EF"/>
    <w:rsid w:val="00F945C1"/>
    <w:rsid w:val="00F94615"/>
    <w:rsid w:val="00F9494C"/>
    <w:rsid w:val="00F94A65"/>
    <w:rsid w:val="00F94A82"/>
    <w:rsid w:val="00F94BEA"/>
    <w:rsid w:val="00F94C5A"/>
    <w:rsid w:val="00F94C70"/>
    <w:rsid w:val="00F9510A"/>
    <w:rsid w:val="00F9567F"/>
    <w:rsid w:val="00F95935"/>
    <w:rsid w:val="00F95A70"/>
    <w:rsid w:val="00F95B99"/>
    <w:rsid w:val="00F961DD"/>
    <w:rsid w:val="00F9645E"/>
    <w:rsid w:val="00F96510"/>
    <w:rsid w:val="00F96A25"/>
    <w:rsid w:val="00F96B4E"/>
    <w:rsid w:val="00F96C13"/>
    <w:rsid w:val="00F96D72"/>
    <w:rsid w:val="00F96F14"/>
    <w:rsid w:val="00F96F4E"/>
    <w:rsid w:val="00F97215"/>
    <w:rsid w:val="00F973F1"/>
    <w:rsid w:val="00F97588"/>
    <w:rsid w:val="00F975AD"/>
    <w:rsid w:val="00F979BA"/>
    <w:rsid w:val="00F97E8B"/>
    <w:rsid w:val="00F97FB6"/>
    <w:rsid w:val="00FA0265"/>
    <w:rsid w:val="00FA0B58"/>
    <w:rsid w:val="00FA0D1E"/>
    <w:rsid w:val="00FA109F"/>
    <w:rsid w:val="00FA13E1"/>
    <w:rsid w:val="00FA1597"/>
    <w:rsid w:val="00FA181D"/>
    <w:rsid w:val="00FA188A"/>
    <w:rsid w:val="00FA18BE"/>
    <w:rsid w:val="00FA1BB7"/>
    <w:rsid w:val="00FA1BE9"/>
    <w:rsid w:val="00FA1FB8"/>
    <w:rsid w:val="00FA1FDD"/>
    <w:rsid w:val="00FA20FD"/>
    <w:rsid w:val="00FA213D"/>
    <w:rsid w:val="00FA21B5"/>
    <w:rsid w:val="00FA2537"/>
    <w:rsid w:val="00FA2717"/>
    <w:rsid w:val="00FA28B0"/>
    <w:rsid w:val="00FA2BFD"/>
    <w:rsid w:val="00FA3140"/>
    <w:rsid w:val="00FA33B4"/>
    <w:rsid w:val="00FA3404"/>
    <w:rsid w:val="00FA34D4"/>
    <w:rsid w:val="00FA34DD"/>
    <w:rsid w:val="00FA3A2C"/>
    <w:rsid w:val="00FA3ABC"/>
    <w:rsid w:val="00FA3B53"/>
    <w:rsid w:val="00FA3C5C"/>
    <w:rsid w:val="00FA3FAD"/>
    <w:rsid w:val="00FA4516"/>
    <w:rsid w:val="00FA453F"/>
    <w:rsid w:val="00FA4623"/>
    <w:rsid w:val="00FA46A2"/>
    <w:rsid w:val="00FA4A16"/>
    <w:rsid w:val="00FA4B3F"/>
    <w:rsid w:val="00FA4E84"/>
    <w:rsid w:val="00FA4FFC"/>
    <w:rsid w:val="00FA5016"/>
    <w:rsid w:val="00FA50C0"/>
    <w:rsid w:val="00FA522A"/>
    <w:rsid w:val="00FA5386"/>
    <w:rsid w:val="00FA547F"/>
    <w:rsid w:val="00FA5540"/>
    <w:rsid w:val="00FA574B"/>
    <w:rsid w:val="00FA58F9"/>
    <w:rsid w:val="00FA5A13"/>
    <w:rsid w:val="00FA5C01"/>
    <w:rsid w:val="00FA5D29"/>
    <w:rsid w:val="00FA5FD2"/>
    <w:rsid w:val="00FA600A"/>
    <w:rsid w:val="00FA643D"/>
    <w:rsid w:val="00FA664E"/>
    <w:rsid w:val="00FA675D"/>
    <w:rsid w:val="00FA67D1"/>
    <w:rsid w:val="00FA67D7"/>
    <w:rsid w:val="00FA6919"/>
    <w:rsid w:val="00FA6E9F"/>
    <w:rsid w:val="00FA6EB1"/>
    <w:rsid w:val="00FA7062"/>
    <w:rsid w:val="00FA706C"/>
    <w:rsid w:val="00FA7087"/>
    <w:rsid w:val="00FA713E"/>
    <w:rsid w:val="00FA732F"/>
    <w:rsid w:val="00FA747C"/>
    <w:rsid w:val="00FA74D8"/>
    <w:rsid w:val="00FA7702"/>
    <w:rsid w:val="00FA7827"/>
    <w:rsid w:val="00FA782C"/>
    <w:rsid w:val="00FA7AA1"/>
    <w:rsid w:val="00FA7FC7"/>
    <w:rsid w:val="00FB01E0"/>
    <w:rsid w:val="00FB0286"/>
    <w:rsid w:val="00FB02EF"/>
    <w:rsid w:val="00FB0542"/>
    <w:rsid w:val="00FB0719"/>
    <w:rsid w:val="00FB08B5"/>
    <w:rsid w:val="00FB08E5"/>
    <w:rsid w:val="00FB09AE"/>
    <w:rsid w:val="00FB0B1D"/>
    <w:rsid w:val="00FB0BA3"/>
    <w:rsid w:val="00FB0BFD"/>
    <w:rsid w:val="00FB0C00"/>
    <w:rsid w:val="00FB0D66"/>
    <w:rsid w:val="00FB1287"/>
    <w:rsid w:val="00FB175E"/>
    <w:rsid w:val="00FB181A"/>
    <w:rsid w:val="00FB1AFB"/>
    <w:rsid w:val="00FB1BD0"/>
    <w:rsid w:val="00FB1D2B"/>
    <w:rsid w:val="00FB1DBE"/>
    <w:rsid w:val="00FB1DC3"/>
    <w:rsid w:val="00FB1EC3"/>
    <w:rsid w:val="00FB2016"/>
    <w:rsid w:val="00FB2195"/>
    <w:rsid w:val="00FB21FB"/>
    <w:rsid w:val="00FB255C"/>
    <w:rsid w:val="00FB26AF"/>
    <w:rsid w:val="00FB2796"/>
    <w:rsid w:val="00FB30C1"/>
    <w:rsid w:val="00FB3151"/>
    <w:rsid w:val="00FB330F"/>
    <w:rsid w:val="00FB3319"/>
    <w:rsid w:val="00FB3677"/>
    <w:rsid w:val="00FB38F1"/>
    <w:rsid w:val="00FB3A2E"/>
    <w:rsid w:val="00FB3B82"/>
    <w:rsid w:val="00FB3BD9"/>
    <w:rsid w:val="00FB4135"/>
    <w:rsid w:val="00FB41EA"/>
    <w:rsid w:val="00FB4322"/>
    <w:rsid w:val="00FB44F5"/>
    <w:rsid w:val="00FB46C3"/>
    <w:rsid w:val="00FB47EB"/>
    <w:rsid w:val="00FB483E"/>
    <w:rsid w:val="00FB49F2"/>
    <w:rsid w:val="00FB4A26"/>
    <w:rsid w:val="00FB4D30"/>
    <w:rsid w:val="00FB510F"/>
    <w:rsid w:val="00FB5187"/>
    <w:rsid w:val="00FB5231"/>
    <w:rsid w:val="00FB52B5"/>
    <w:rsid w:val="00FB5398"/>
    <w:rsid w:val="00FB53EB"/>
    <w:rsid w:val="00FB5522"/>
    <w:rsid w:val="00FB55A9"/>
    <w:rsid w:val="00FB5A51"/>
    <w:rsid w:val="00FB5A72"/>
    <w:rsid w:val="00FB5A84"/>
    <w:rsid w:val="00FB621E"/>
    <w:rsid w:val="00FB69A5"/>
    <w:rsid w:val="00FB6D15"/>
    <w:rsid w:val="00FB6E83"/>
    <w:rsid w:val="00FB6F25"/>
    <w:rsid w:val="00FB6FCE"/>
    <w:rsid w:val="00FB7091"/>
    <w:rsid w:val="00FB7097"/>
    <w:rsid w:val="00FB7191"/>
    <w:rsid w:val="00FB767D"/>
    <w:rsid w:val="00FB77BA"/>
    <w:rsid w:val="00FB7887"/>
    <w:rsid w:val="00FB7A87"/>
    <w:rsid w:val="00FB7B5A"/>
    <w:rsid w:val="00FB7C1F"/>
    <w:rsid w:val="00FB7FF0"/>
    <w:rsid w:val="00FC0123"/>
    <w:rsid w:val="00FC0283"/>
    <w:rsid w:val="00FC02C1"/>
    <w:rsid w:val="00FC05D5"/>
    <w:rsid w:val="00FC0661"/>
    <w:rsid w:val="00FC10D2"/>
    <w:rsid w:val="00FC157C"/>
    <w:rsid w:val="00FC1D2C"/>
    <w:rsid w:val="00FC21E1"/>
    <w:rsid w:val="00FC2460"/>
    <w:rsid w:val="00FC24DD"/>
    <w:rsid w:val="00FC25F2"/>
    <w:rsid w:val="00FC2685"/>
    <w:rsid w:val="00FC2D01"/>
    <w:rsid w:val="00FC2D26"/>
    <w:rsid w:val="00FC2F38"/>
    <w:rsid w:val="00FC2F4E"/>
    <w:rsid w:val="00FC30A6"/>
    <w:rsid w:val="00FC365C"/>
    <w:rsid w:val="00FC3785"/>
    <w:rsid w:val="00FC382A"/>
    <w:rsid w:val="00FC398B"/>
    <w:rsid w:val="00FC3C3A"/>
    <w:rsid w:val="00FC3C3B"/>
    <w:rsid w:val="00FC3CC1"/>
    <w:rsid w:val="00FC3E60"/>
    <w:rsid w:val="00FC4366"/>
    <w:rsid w:val="00FC44AD"/>
    <w:rsid w:val="00FC45DA"/>
    <w:rsid w:val="00FC46A2"/>
    <w:rsid w:val="00FC496B"/>
    <w:rsid w:val="00FC4A79"/>
    <w:rsid w:val="00FC4C6D"/>
    <w:rsid w:val="00FC4CD2"/>
    <w:rsid w:val="00FC4E53"/>
    <w:rsid w:val="00FC5268"/>
    <w:rsid w:val="00FC535F"/>
    <w:rsid w:val="00FC56C5"/>
    <w:rsid w:val="00FC588A"/>
    <w:rsid w:val="00FC5955"/>
    <w:rsid w:val="00FC5A75"/>
    <w:rsid w:val="00FC5C9C"/>
    <w:rsid w:val="00FC616C"/>
    <w:rsid w:val="00FC62A0"/>
    <w:rsid w:val="00FC6655"/>
    <w:rsid w:val="00FC66A3"/>
    <w:rsid w:val="00FC66FF"/>
    <w:rsid w:val="00FC6733"/>
    <w:rsid w:val="00FC68F1"/>
    <w:rsid w:val="00FC6CDF"/>
    <w:rsid w:val="00FC6D75"/>
    <w:rsid w:val="00FC6EA8"/>
    <w:rsid w:val="00FC6F8B"/>
    <w:rsid w:val="00FC6FB1"/>
    <w:rsid w:val="00FC7321"/>
    <w:rsid w:val="00FC7513"/>
    <w:rsid w:val="00FC7648"/>
    <w:rsid w:val="00FC77D2"/>
    <w:rsid w:val="00FC7820"/>
    <w:rsid w:val="00FC79F7"/>
    <w:rsid w:val="00FC7AF0"/>
    <w:rsid w:val="00FC7DBF"/>
    <w:rsid w:val="00FC7E92"/>
    <w:rsid w:val="00FC7EF7"/>
    <w:rsid w:val="00FC7FE6"/>
    <w:rsid w:val="00FC7FEA"/>
    <w:rsid w:val="00FD032E"/>
    <w:rsid w:val="00FD0420"/>
    <w:rsid w:val="00FD0523"/>
    <w:rsid w:val="00FD0813"/>
    <w:rsid w:val="00FD09A5"/>
    <w:rsid w:val="00FD0B9E"/>
    <w:rsid w:val="00FD0BDE"/>
    <w:rsid w:val="00FD0C7E"/>
    <w:rsid w:val="00FD0C9C"/>
    <w:rsid w:val="00FD11B7"/>
    <w:rsid w:val="00FD167B"/>
    <w:rsid w:val="00FD17F7"/>
    <w:rsid w:val="00FD1843"/>
    <w:rsid w:val="00FD1938"/>
    <w:rsid w:val="00FD19CA"/>
    <w:rsid w:val="00FD1DAB"/>
    <w:rsid w:val="00FD1EC8"/>
    <w:rsid w:val="00FD1FB1"/>
    <w:rsid w:val="00FD21BA"/>
    <w:rsid w:val="00FD25A5"/>
    <w:rsid w:val="00FD2673"/>
    <w:rsid w:val="00FD2EDB"/>
    <w:rsid w:val="00FD30CD"/>
    <w:rsid w:val="00FD3532"/>
    <w:rsid w:val="00FD388A"/>
    <w:rsid w:val="00FD3A3E"/>
    <w:rsid w:val="00FD3DF4"/>
    <w:rsid w:val="00FD3E06"/>
    <w:rsid w:val="00FD465B"/>
    <w:rsid w:val="00FD4ADB"/>
    <w:rsid w:val="00FD4B7B"/>
    <w:rsid w:val="00FD4C5A"/>
    <w:rsid w:val="00FD4DEE"/>
    <w:rsid w:val="00FD4E41"/>
    <w:rsid w:val="00FD4EB3"/>
    <w:rsid w:val="00FD4F49"/>
    <w:rsid w:val="00FD5753"/>
    <w:rsid w:val="00FD5B8B"/>
    <w:rsid w:val="00FD5C2A"/>
    <w:rsid w:val="00FD5C56"/>
    <w:rsid w:val="00FD5C79"/>
    <w:rsid w:val="00FD5C9E"/>
    <w:rsid w:val="00FD5EA1"/>
    <w:rsid w:val="00FD5F06"/>
    <w:rsid w:val="00FD5F23"/>
    <w:rsid w:val="00FD5FC4"/>
    <w:rsid w:val="00FD630A"/>
    <w:rsid w:val="00FD6397"/>
    <w:rsid w:val="00FD6460"/>
    <w:rsid w:val="00FD65FD"/>
    <w:rsid w:val="00FD67C5"/>
    <w:rsid w:val="00FD6B28"/>
    <w:rsid w:val="00FD6CC6"/>
    <w:rsid w:val="00FD7299"/>
    <w:rsid w:val="00FD75C7"/>
    <w:rsid w:val="00FD7633"/>
    <w:rsid w:val="00FD764A"/>
    <w:rsid w:val="00FD7DB6"/>
    <w:rsid w:val="00FD7FF0"/>
    <w:rsid w:val="00FE00C4"/>
    <w:rsid w:val="00FE0120"/>
    <w:rsid w:val="00FE021C"/>
    <w:rsid w:val="00FE0588"/>
    <w:rsid w:val="00FE05FD"/>
    <w:rsid w:val="00FE0920"/>
    <w:rsid w:val="00FE09E5"/>
    <w:rsid w:val="00FE0B7E"/>
    <w:rsid w:val="00FE0E4D"/>
    <w:rsid w:val="00FE0E63"/>
    <w:rsid w:val="00FE0FF6"/>
    <w:rsid w:val="00FE1260"/>
    <w:rsid w:val="00FE150A"/>
    <w:rsid w:val="00FE16C5"/>
    <w:rsid w:val="00FE186E"/>
    <w:rsid w:val="00FE19A5"/>
    <w:rsid w:val="00FE1A1C"/>
    <w:rsid w:val="00FE1C16"/>
    <w:rsid w:val="00FE1E51"/>
    <w:rsid w:val="00FE1F1B"/>
    <w:rsid w:val="00FE2265"/>
    <w:rsid w:val="00FE2306"/>
    <w:rsid w:val="00FE26E2"/>
    <w:rsid w:val="00FE26FB"/>
    <w:rsid w:val="00FE2828"/>
    <w:rsid w:val="00FE2A2E"/>
    <w:rsid w:val="00FE2D0B"/>
    <w:rsid w:val="00FE2E07"/>
    <w:rsid w:val="00FE3315"/>
    <w:rsid w:val="00FE33D5"/>
    <w:rsid w:val="00FE37E5"/>
    <w:rsid w:val="00FE38B4"/>
    <w:rsid w:val="00FE3A24"/>
    <w:rsid w:val="00FE3B13"/>
    <w:rsid w:val="00FE3E88"/>
    <w:rsid w:val="00FE44F5"/>
    <w:rsid w:val="00FE4600"/>
    <w:rsid w:val="00FE46B2"/>
    <w:rsid w:val="00FE4824"/>
    <w:rsid w:val="00FE4BE1"/>
    <w:rsid w:val="00FE4E41"/>
    <w:rsid w:val="00FE4E68"/>
    <w:rsid w:val="00FE4F93"/>
    <w:rsid w:val="00FE5176"/>
    <w:rsid w:val="00FE5423"/>
    <w:rsid w:val="00FE54E9"/>
    <w:rsid w:val="00FE5651"/>
    <w:rsid w:val="00FE5789"/>
    <w:rsid w:val="00FE597F"/>
    <w:rsid w:val="00FE59F4"/>
    <w:rsid w:val="00FE5D2A"/>
    <w:rsid w:val="00FE5F78"/>
    <w:rsid w:val="00FE6011"/>
    <w:rsid w:val="00FE631F"/>
    <w:rsid w:val="00FE679C"/>
    <w:rsid w:val="00FE69DA"/>
    <w:rsid w:val="00FE6A82"/>
    <w:rsid w:val="00FE6D53"/>
    <w:rsid w:val="00FE71F2"/>
    <w:rsid w:val="00FE74CD"/>
    <w:rsid w:val="00FE7612"/>
    <w:rsid w:val="00FE762F"/>
    <w:rsid w:val="00FE7BA9"/>
    <w:rsid w:val="00FE7E7A"/>
    <w:rsid w:val="00FE7EBF"/>
    <w:rsid w:val="00FF02C3"/>
    <w:rsid w:val="00FF03F4"/>
    <w:rsid w:val="00FF049F"/>
    <w:rsid w:val="00FF1176"/>
    <w:rsid w:val="00FF136E"/>
    <w:rsid w:val="00FF149D"/>
    <w:rsid w:val="00FF153D"/>
    <w:rsid w:val="00FF1AB0"/>
    <w:rsid w:val="00FF1B40"/>
    <w:rsid w:val="00FF1EFC"/>
    <w:rsid w:val="00FF2281"/>
    <w:rsid w:val="00FF2347"/>
    <w:rsid w:val="00FF247B"/>
    <w:rsid w:val="00FF2A12"/>
    <w:rsid w:val="00FF2ADC"/>
    <w:rsid w:val="00FF32A7"/>
    <w:rsid w:val="00FF32E2"/>
    <w:rsid w:val="00FF332B"/>
    <w:rsid w:val="00FF34FD"/>
    <w:rsid w:val="00FF36DE"/>
    <w:rsid w:val="00FF3CB9"/>
    <w:rsid w:val="00FF3E89"/>
    <w:rsid w:val="00FF4217"/>
    <w:rsid w:val="00FF454F"/>
    <w:rsid w:val="00FF4604"/>
    <w:rsid w:val="00FF47C1"/>
    <w:rsid w:val="00FF4DCF"/>
    <w:rsid w:val="00FF4EF5"/>
    <w:rsid w:val="00FF4F7D"/>
    <w:rsid w:val="00FF4F8C"/>
    <w:rsid w:val="00FF5256"/>
    <w:rsid w:val="00FF53F9"/>
    <w:rsid w:val="00FF5455"/>
    <w:rsid w:val="00FF5549"/>
    <w:rsid w:val="00FF5922"/>
    <w:rsid w:val="00FF5948"/>
    <w:rsid w:val="00FF599B"/>
    <w:rsid w:val="00FF5D1C"/>
    <w:rsid w:val="00FF5DFA"/>
    <w:rsid w:val="00FF626B"/>
    <w:rsid w:val="00FF6271"/>
    <w:rsid w:val="00FF66FE"/>
    <w:rsid w:val="00FF689C"/>
    <w:rsid w:val="00FF6C24"/>
    <w:rsid w:val="00FF71C4"/>
    <w:rsid w:val="00FF71D5"/>
    <w:rsid w:val="00FF73BA"/>
    <w:rsid w:val="00FF7521"/>
    <w:rsid w:val="00FF7887"/>
    <w:rsid w:val="00FF7BA2"/>
    <w:rsid w:val="00FF7BD5"/>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359598"/>
  <w15:docId w15:val="{C19FF232-B610-4191-87DD-3A168CB8F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sz w:val="22"/>
        <w:szCs w:val="22"/>
        <w:lang w:val="en-GB"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47B"/>
  </w:style>
  <w:style w:type="paragraph" w:styleId="Heading1">
    <w:name w:val="heading 1"/>
    <w:basedOn w:val="Normal"/>
    <w:next w:val="Normal"/>
    <w:link w:val="Heading1Char"/>
    <w:uiPriority w:val="9"/>
    <w:qFormat/>
    <w:rsid w:val="00A4403A"/>
    <w:pPr>
      <w:keepNext/>
      <w:keepLines/>
      <w:spacing w:before="240" w:after="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A4403A"/>
    <w:pPr>
      <w:keepNext/>
      <w:keepLines/>
      <w:spacing w:before="40" w:after="0"/>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D505F2"/>
    <w:pPr>
      <w:keepNext/>
      <w:keepLines/>
      <w:spacing w:before="40" w:after="0"/>
      <w:outlineLvl w:val="2"/>
    </w:pPr>
    <w:rPr>
      <w:rFonts w:eastAsiaTheme="majorEastAsia" w:cstheme="majorBidi"/>
      <w:color w:val="000000" w:themeColor="text1"/>
      <w:sz w:val="24"/>
      <w:szCs w:val="24"/>
      <w:u w:val="single"/>
    </w:rPr>
  </w:style>
  <w:style w:type="paragraph" w:styleId="Heading4">
    <w:name w:val="heading 4"/>
    <w:basedOn w:val="Normal"/>
    <w:next w:val="Normal"/>
    <w:link w:val="Heading4Char"/>
    <w:uiPriority w:val="9"/>
    <w:unhideWhenUsed/>
    <w:qFormat/>
    <w:rsid w:val="00D505F2"/>
    <w:pPr>
      <w:keepNext/>
      <w:keepLines/>
      <w:spacing w:before="40" w:after="0"/>
      <w:outlineLvl w:val="3"/>
    </w:pPr>
    <w:rPr>
      <w:rFonts w:eastAsiaTheme="majorEastAsia" w:cstheme="majorBidi"/>
      <w:b/>
      <w:i/>
      <w:iCs/>
      <w:color w:val="000000" w:themeColor="text1"/>
    </w:rPr>
  </w:style>
  <w:style w:type="paragraph" w:styleId="Heading5">
    <w:name w:val="heading 5"/>
    <w:basedOn w:val="Normal"/>
    <w:next w:val="Normal"/>
    <w:link w:val="Heading5Char"/>
    <w:autoRedefine/>
    <w:uiPriority w:val="9"/>
    <w:unhideWhenUsed/>
    <w:qFormat/>
    <w:rsid w:val="00D62B1B"/>
    <w:pPr>
      <w:keepNext/>
      <w:keepLines/>
      <w:spacing w:before="40" w:after="0"/>
      <w:outlineLvl w:val="4"/>
    </w:pPr>
    <w:rPr>
      <w:rFonts w:eastAsiaTheme="majorEastAsia" w:cstheme="majorBidi"/>
      <w:b/>
      <w:color w:val="000000" w:themeColor="text1"/>
    </w:rPr>
  </w:style>
  <w:style w:type="paragraph" w:styleId="Heading6">
    <w:name w:val="heading 6"/>
    <w:basedOn w:val="Normal"/>
    <w:next w:val="Normal"/>
    <w:link w:val="Heading6Char"/>
    <w:autoRedefine/>
    <w:uiPriority w:val="9"/>
    <w:semiHidden/>
    <w:unhideWhenUsed/>
    <w:qFormat/>
    <w:rsid w:val="00D505F2"/>
    <w:pPr>
      <w:keepNext/>
      <w:keepLines/>
      <w:spacing w:before="40" w:after="0"/>
      <w:outlineLvl w:val="5"/>
    </w:pPr>
    <w:rPr>
      <w:rFonts w:eastAsiaTheme="majorEastAsia" w:cstheme="majorBidi"/>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403A"/>
    <w:rPr>
      <w:rFonts w:eastAsiaTheme="majorEastAsia" w:cstheme="majorBidi"/>
      <w:b/>
      <w:color w:val="000000" w:themeColor="text1"/>
      <w:sz w:val="32"/>
      <w:szCs w:val="32"/>
    </w:rPr>
  </w:style>
  <w:style w:type="character" w:customStyle="1" w:styleId="Heading2Char">
    <w:name w:val="Heading 2 Char"/>
    <w:basedOn w:val="DefaultParagraphFont"/>
    <w:link w:val="Heading2"/>
    <w:uiPriority w:val="9"/>
    <w:rsid w:val="00A4403A"/>
    <w:rPr>
      <w:rFonts w:eastAsiaTheme="majorEastAsia" w:cstheme="majorBidi"/>
      <w:b/>
      <w:color w:val="000000" w:themeColor="text1"/>
      <w:sz w:val="26"/>
      <w:szCs w:val="26"/>
    </w:rPr>
  </w:style>
  <w:style w:type="character" w:customStyle="1" w:styleId="Heading3Char">
    <w:name w:val="Heading 3 Char"/>
    <w:basedOn w:val="DefaultParagraphFont"/>
    <w:link w:val="Heading3"/>
    <w:uiPriority w:val="9"/>
    <w:rsid w:val="00D505F2"/>
    <w:rPr>
      <w:rFonts w:eastAsiaTheme="majorEastAsia" w:cstheme="majorBidi"/>
      <w:color w:val="000000" w:themeColor="text1"/>
      <w:sz w:val="24"/>
      <w:szCs w:val="24"/>
      <w:u w:val="single"/>
    </w:rPr>
  </w:style>
  <w:style w:type="character" w:customStyle="1" w:styleId="Heading4Char">
    <w:name w:val="Heading 4 Char"/>
    <w:basedOn w:val="DefaultParagraphFont"/>
    <w:link w:val="Heading4"/>
    <w:uiPriority w:val="9"/>
    <w:rsid w:val="00D505F2"/>
    <w:rPr>
      <w:rFonts w:eastAsiaTheme="majorEastAsia" w:cstheme="majorBidi"/>
      <w:b/>
      <w:i/>
      <w:iCs/>
      <w:color w:val="000000" w:themeColor="text1"/>
    </w:rPr>
  </w:style>
  <w:style w:type="character" w:customStyle="1" w:styleId="Heading5Char">
    <w:name w:val="Heading 5 Char"/>
    <w:basedOn w:val="DefaultParagraphFont"/>
    <w:link w:val="Heading5"/>
    <w:uiPriority w:val="9"/>
    <w:rsid w:val="00D62B1B"/>
    <w:rPr>
      <w:rFonts w:eastAsiaTheme="majorEastAsia" w:cstheme="majorBidi"/>
      <w:b/>
      <w:color w:val="000000" w:themeColor="text1"/>
    </w:rPr>
  </w:style>
  <w:style w:type="character" w:customStyle="1" w:styleId="Heading6Char">
    <w:name w:val="Heading 6 Char"/>
    <w:basedOn w:val="DefaultParagraphFont"/>
    <w:link w:val="Heading6"/>
    <w:uiPriority w:val="9"/>
    <w:semiHidden/>
    <w:rsid w:val="00D505F2"/>
    <w:rPr>
      <w:rFonts w:eastAsiaTheme="majorEastAsia" w:cstheme="majorBidi"/>
      <w:i/>
      <w:color w:val="000000" w:themeColor="text1"/>
    </w:rPr>
  </w:style>
  <w:style w:type="paragraph" w:styleId="Quote">
    <w:name w:val="Quote"/>
    <w:basedOn w:val="Normal"/>
    <w:next w:val="Normal"/>
    <w:link w:val="QuoteChar"/>
    <w:uiPriority w:val="29"/>
    <w:qFormat/>
    <w:rsid w:val="00C01B66"/>
    <w:pPr>
      <w:spacing w:before="200"/>
      <w:ind w:left="864" w:right="864"/>
    </w:pPr>
    <w:rPr>
      <w:iCs/>
      <w:color w:val="000000" w:themeColor="text1"/>
    </w:rPr>
  </w:style>
  <w:style w:type="character" w:customStyle="1" w:styleId="QuoteChar">
    <w:name w:val="Quote Char"/>
    <w:basedOn w:val="DefaultParagraphFont"/>
    <w:link w:val="Quote"/>
    <w:uiPriority w:val="29"/>
    <w:rsid w:val="00C01B66"/>
    <w:rPr>
      <w:iCs/>
      <w:color w:val="000000" w:themeColor="text1"/>
    </w:rPr>
  </w:style>
  <w:style w:type="paragraph" w:styleId="BalloonText">
    <w:name w:val="Balloon Text"/>
    <w:basedOn w:val="Normal"/>
    <w:link w:val="BalloonTextChar"/>
    <w:uiPriority w:val="99"/>
    <w:semiHidden/>
    <w:unhideWhenUsed/>
    <w:rsid w:val="00BB24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45E"/>
    <w:rPr>
      <w:rFonts w:ascii="Segoe UI" w:hAnsi="Segoe UI" w:cs="Segoe UI"/>
      <w:sz w:val="18"/>
      <w:szCs w:val="18"/>
    </w:rPr>
  </w:style>
  <w:style w:type="paragraph" w:styleId="Header">
    <w:name w:val="header"/>
    <w:basedOn w:val="Normal"/>
    <w:link w:val="HeaderChar"/>
    <w:uiPriority w:val="99"/>
    <w:unhideWhenUsed/>
    <w:rsid w:val="00BB24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45E"/>
  </w:style>
  <w:style w:type="paragraph" w:styleId="Footer">
    <w:name w:val="footer"/>
    <w:basedOn w:val="Normal"/>
    <w:link w:val="FooterChar"/>
    <w:uiPriority w:val="99"/>
    <w:unhideWhenUsed/>
    <w:rsid w:val="00BB24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45E"/>
  </w:style>
  <w:style w:type="paragraph" w:styleId="Title">
    <w:name w:val="Title"/>
    <w:basedOn w:val="Normal"/>
    <w:next w:val="Normal"/>
    <w:link w:val="TitleChar"/>
    <w:uiPriority w:val="10"/>
    <w:qFormat/>
    <w:rsid w:val="0036247B"/>
    <w:pPr>
      <w:spacing w:after="0" w:line="276" w:lineRule="auto"/>
      <w:contextualSpacing/>
      <w:jc w:val="left"/>
    </w:pPr>
    <w:rPr>
      <w:rFonts w:eastAsiaTheme="majorEastAsia" w:cs="Times New Roman"/>
      <w:spacing w:val="-10"/>
      <w:kern w:val="28"/>
      <w:sz w:val="56"/>
      <w:szCs w:val="56"/>
      <w:lang w:val="en-US"/>
    </w:rPr>
  </w:style>
  <w:style w:type="character" w:customStyle="1" w:styleId="TitleChar">
    <w:name w:val="Title Char"/>
    <w:basedOn w:val="DefaultParagraphFont"/>
    <w:link w:val="Title"/>
    <w:uiPriority w:val="10"/>
    <w:rsid w:val="0036247B"/>
    <w:rPr>
      <w:rFonts w:eastAsiaTheme="majorEastAsia" w:cs="Times New Roman"/>
      <w:spacing w:val="-10"/>
      <w:kern w:val="28"/>
      <w:sz w:val="56"/>
      <w:szCs w:val="56"/>
      <w:lang w:val="en-US"/>
    </w:rPr>
  </w:style>
  <w:style w:type="character" w:customStyle="1" w:styleId="text">
    <w:name w:val="text"/>
    <w:basedOn w:val="DefaultParagraphFont"/>
    <w:rsid w:val="00420370"/>
  </w:style>
  <w:style w:type="character" w:customStyle="1" w:styleId="indent-1-breaks">
    <w:name w:val="indent-1-breaks"/>
    <w:basedOn w:val="DefaultParagraphFont"/>
    <w:rsid w:val="00420370"/>
  </w:style>
  <w:style w:type="table" w:styleId="TableGrid">
    <w:name w:val="Table Grid"/>
    <w:basedOn w:val="TableNormal"/>
    <w:uiPriority w:val="39"/>
    <w:rsid w:val="00DD18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002D0"/>
    <w:pPr>
      <w:ind w:left="720"/>
      <w:contextualSpacing/>
    </w:pPr>
  </w:style>
  <w:style w:type="character" w:customStyle="1" w:styleId="ListParagraphChar">
    <w:name w:val="List Paragraph Char"/>
    <w:basedOn w:val="DefaultParagraphFont"/>
    <w:link w:val="ListParagraph"/>
    <w:uiPriority w:val="34"/>
    <w:rsid w:val="001002D0"/>
  </w:style>
  <w:style w:type="character" w:styleId="CommentReference">
    <w:name w:val="annotation reference"/>
    <w:basedOn w:val="DefaultParagraphFont"/>
    <w:uiPriority w:val="99"/>
    <w:semiHidden/>
    <w:unhideWhenUsed/>
    <w:rsid w:val="00373C68"/>
    <w:rPr>
      <w:sz w:val="16"/>
      <w:szCs w:val="16"/>
    </w:rPr>
  </w:style>
  <w:style w:type="paragraph" w:styleId="CommentText">
    <w:name w:val="annotation text"/>
    <w:basedOn w:val="Normal"/>
    <w:link w:val="CommentTextChar"/>
    <w:uiPriority w:val="99"/>
    <w:unhideWhenUsed/>
    <w:rsid w:val="00373C68"/>
    <w:pPr>
      <w:spacing w:line="240" w:lineRule="auto"/>
    </w:pPr>
    <w:rPr>
      <w:sz w:val="20"/>
      <w:szCs w:val="20"/>
    </w:rPr>
  </w:style>
  <w:style w:type="character" w:customStyle="1" w:styleId="CommentTextChar">
    <w:name w:val="Comment Text Char"/>
    <w:basedOn w:val="DefaultParagraphFont"/>
    <w:link w:val="CommentText"/>
    <w:uiPriority w:val="99"/>
    <w:rsid w:val="00373C68"/>
    <w:rPr>
      <w:sz w:val="20"/>
      <w:szCs w:val="20"/>
    </w:rPr>
  </w:style>
  <w:style w:type="paragraph" w:styleId="CommentSubject">
    <w:name w:val="annotation subject"/>
    <w:basedOn w:val="CommentText"/>
    <w:next w:val="CommentText"/>
    <w:link w:val="CommentSubjectChar"/>
    <w:uiPriority w:val="99"/>
    <w:semiHidden/>
    <w:unhideWhenUsed/>
    <w:rsid w:val="00373C68"/>
    <w:rPr>
      <w:b/>
      <w:bCs/>
    </w:rPr>
  </w:style>
  <w:style w:type="character" w:customStyle="1" w:styleId="CommentSubjectChar">
    <w:name w:val="Comment Subject Char"/>
    <w:basedOn w:val="CommentTextChar"/>
    <w:link w:val="CommentSubject"/>
    <w:uiPriority w:val="99"/>
    <w:semiHidden/>
    <w:rsid w:val="00373C68"/>
    <w:rPr>
      <w:b/>
      <w:bCs/>
      <w:sz w:val="20"/>
      <w:szCs w:val="20"/>
    </w:rPr>
  </w:style>
  <w:style w:type="character" w:styleId="PlaceholderText">
    <w:name w:val="Placeholder Text"/>
    <w:basedOn w:val="DefaultParagraphFont"/>
    <w:uiPriority w:val="99"/>
    <w:semiHidden/>
    <w:rsid w:val="006B419D"/>
    <w:rPr>
      <w:color w:val="808080"/>
    </w:rPr>
  </w:style>
  <w:style w:type="paragraph" w:styleId="FootnoteText">
    <w:name w:val="footnote text"/>
    <w:basedOn w:val="Normal"/>
    <w:link w:val="FootnoteTextChar"/>
    <w:uiPriority w:val="99"/>
    <w:semiHidden/>
    <w:unhideWhenUsed/>
    <w:rsid w:val="007311F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311FC"/>
    <w:rPr>
      <w:sz w:val="20"/>
      <w:szCs w:val="20"/>
    </w:rPr>
  </w:style>
  <w:style w:type="character" w:styleId="FootnoteReference">
    <w:name w:val="footnote reference"/>
    <w:basedOn w:val="DefaultParagraphFont"/>
    <w:uiPriority w:val="99"/>
    <w:semiHidden/>
    <w:unhideWhenUsed/>
    <w:rsid w:val="007311FC"/>
    <w:rPr>
      <w:vertAlign w:val="superscript"/>
    </w:rPr>
  </w:style>
  <w:style w:type="paragraph" w:styleId="TOCHeading">
    <w:name w:val="TOC Heading"/>
    <w:basedOn w:val="Heading1"/>
    <w:next w:val="Normal"/>
    <w:uiPriority w:val="39"/>
    <w:unhideWhenUsed/>
    <w:qFormat/>
    <w:rsid w:val="00D6338D"/>
    <w:pPr>
      <w:jc w:val="left"/>
      <w:outlineLvl w:val="9"/>
    </w:pPr>
    <w:rPr>
      <w:rFonts w:asciiTheme="majorHAnsi" w:hAnsiTheme="majorHAnsi"/>
      <w:b w:val="0"/>
      <w:color w:val="2F5496" w:themeColor="accent1" w:themeShade="BF"/>
      <w:lang w:val="en-US" w:eastAsia="en-US"/>
    </w:rPr>
  </w:style>
  <w:style w:type="paragraph" w:styleId="TOC1">
    <w:name w:val="toc 1"/>
    <w:basedOn w:val="Normal"/>
    <w:next w:val="Normal"/>
    <w:autoRedefine/>
    <w:uiPriority w:val="39"/>
    <w:unhideWhenUsed/>
    <w:rsid w:val="00B96EFF"/>
    <w:pPr>
      <w:tabs>
        <w:tab w:val="right" w:leader="dot" w:pos="9016"/>
      </w:tabs>
      <w:spacing w:after="100"/>
    </w:pPr>
  </w:style>
  <w:style w:type="paragraph" w:styleId="TOC2">
    <w:name w:val="toc 2"/>
    <w:basedOn w:val="Normal"/>
    <w:next w:val="Normal"/>
    <w:autoRedefine/>
    <w:uiPriority w:val="39"/>
    <w:unhideWhenUsed/>
    <w:rsid w:val="00D6338D"/>
    <w:pPr>
      <w:spacing w:after="100"/>
      <w:ind w:left="220"/>
    </w:pPr>
  </w:style>
  <w:style w:type="paragraph" w:styleId="TOC3">
    <w:name w:val="toc 3"/>
    <w:basedOn w:val="Normal"/>
    <w:next w:val="Normal"/>
    <w:autoRedefine/>
    <w:uiPriority w:val="39"/>
    <w:unhideWhenUsed/>
    <w:rsid w:val="00D6338D"/>
    <w:pPr>
      <w:spacing w:after="100"/>
      <w:ind w:left="440"/>
    </w:pPr>
  </w:style>
  <w:style w:type="character" w:styleId="Hyperlink">
    <w:name w:val="Hyperlink"/>
    <w:basedOn w:val="DefaultParagraphFont"/>
    <w:uiPriority w:val="99"/>
    <w:unhideWhenUsed/>
    <w:rsid w:val="00D6338D"/>
    <w:rPr>
      <w:color w:val="0563C1" w:themeColor="hyperlink"/>
      <w:u w:val="single"/>
    </w:rPr>
  </w:style>
  <w:style w:type="character" w:customStyle="1" w:styleId="DateChar">
    <w:name w:val="Date Char"/>
    <w:basedOn w:val="DefaultParagraphFont"/>
    <w:link w:val="Date"/>
    <w:uiPriority w:val="99"/>
    <w:semiHidden/>
    <w:rsid w:val="00C344F9"/>
  </w:style>
  <w:style w:type="paragraph" w:styleId="Date">
    <w:name w:val="Date"/>
    <w:basedOn w:val="Normal"/>
    <w:next w:val="Normal"/>
    <w:link w:val="DateChar"/>
    <w:uiPriority w:val="99"/>
    <w:semiHidden/>
    <w:unhideWhenUsed/>
    <w:rsid w:val="00C344F9"/>
  </w:style>
  <w:style w:type="paragraph" w:customStyle="1" w:styleId="EndNoteBibliography">
    <w:name w:val="EndNote Bibliography"/>
    <w:basedOn w:val="Normal"/>
    <w:link w:val="EndNoteBibliographyChar"/>
    <w:rsid w:val="00193D11"/>
    <w:pPr>
      <w:spacing w:line="240" w:lineRule="auto"/>
    </w:pPr>
    <w:rPr>
      <w:rFonts w:cs="Times New Roman"/>
      <w:noProof/>
    </w:rPr>
  </w:style>
  <w:style w:type="character" w:customStyle="1" w:styleId="EndNoteBibliographyChar">
    <w:name w:val="EndNote Bibliography Char"/>
    <w:basedOn w:val="DefaultParagraphFont"/>
    <w:link w:val="EndNoteBibliography"/>
    <w:rsid w:val="00C344F9"/>
    <w:rPr>
      <w:rFonts w:cs="Times New Roman"/>
      <w:noProof/>
    </w:rPr>
  </w:style>
  <w:style w:type="paragraph" w:styleId="Subtitle">
    <w:name w:val="Subtitle"/>
    <w:basedOn w:val="Normal"/>
    <w:next w:val="Normal"/>
    <w:link w:val="SubtitleChar"/>
    <w:uiPriority w:val="11"/>
    <w:qFormat/>
    <w:rsid w:val="00C344F9"/>
    <w:pPr>
      <w:numPr>
        <w:ilvl w:val="1"/>
      </w:numPr>
    </w:pPr>
    <w:rPr>
      <w:rFonts w:asciiTheme="minorHAnsi" w:hAnsiTheme="minorHAnsi"/>
      <w:color w:val="5A5A5A" w:themeColor="text1" w:themeTint="A5"/>
      <w:spacing w:val="15"/>
    </w:rPr>
  </w:style>
  <w:style w:type="character" w:customStyle="1" w:styleId="SubtitleChar">
    <w:name w:val="Subtitle Char"/>
    <w:basedOn w:val="DefaultParagraphFont"/>
    <w:link w:val="Subtitle"/>
    <w:uiPriority w:val="11"/>
    <w:rsid w:val="00C344F9"/>
    <w:rPr>
      <w:rFonts w:asciiTheme="minorHAnsi" w:hAnsiTheme="minorHAnsi"/>
      <w:color w:val="5A5A5A" w:themeColor="text1" w:themeTint="A5"/>
      <w:spacing w:val="15"/>
    </w:rPr>
  </w:style>
  <w:style w:type="paragraph" w:customStyle="1" w:styleId="EndNoteBibliographyTitle">
    <w:name w:val="EndNote Bibliography Title"/>
    <w:basedOn w:val="Normal"/>
    <w:link w:val="EndNoteBibliographyTitleChar"/>
    <w:rsid w:val="00193D11"/>
    <w:pPr>
      <w:spacing w:after="0"/>
      <w:jc w:val="center"/>
    </w:pPr>
    <w:rPr>
      <w:rFonts w:cs="Times New Roman"/>
      <w:noProof/>
    </w:rPr>
  </w:style>
  <w:style w:type="character" w:customStyle="1" w:styleId="EndNoteBibliographyTitleChar">
    <w:name w:val="EndNote Bibliography Title Char"/>
    <w:basedOn w:val="ListParagraphChar"/>
    <w:link w:val="EndNoteBibliographyTitle"/>
    <w:rsid w:val="00193D11"/>
    <w:rPr>
      <w:rFonts w:cs="Times New Roman"/>
      <w:noProof/>
    </w:rPr>
  </w:style>
  <w:style w:type="character" w:customStyle="1" w:styleId="UnresolvedMention1">
    <w:name w:val="Unresolved Mention1"/>
    <w:basedOn w:val="DefaultParagraphFont"/>
    <w:uiPriority w:val="99"/>
    <w:semiHidden/>
    <w:unhideWhenUsed/>
    <w:rsid w:val="00193D11"/>
    <w:rPr>
      <w:color w:val="605E5C"/>
      <w:shd w:val="clear" w:color="auto" w:fill="E1DFDD"/>
    </w:rPr>
  </w:style>
  <w:style w:type="paragraph" w:styleId="TOC4">
    <w:name w:val="toc 4"/>
    <w:basedOn w:val="Normal"/>
    <w:next w:val="Normal"/>
    <w:autoRedefine/>
    <w:uiPriority w:val="39"/>
    <w:unhideWhenUsed/>
    <w:rsid w:val="002565FD"/>
    <w:pPr>
      <w:spacing w:after="100"/>
      <w:ind w:left="660"/>
      <w:jc w:val="left"/>
    </w:pPr>
    <w:rPr>
      <w:rFonts w:asciiTheme="minorHAnsi" w:hAnsiTheme="minorHAnsi"/>
    </w:rPr>
  </w:style>
  <w:style w:type="paragraph" w:styleId="TOC5">
    <w:name w:val="toc 5"/>
    <w:basedOn w:val="Normal"/>
    <w:next w:val="Normal"/>
    <w:autoRedefine/>
    <w:uiPriority w:val="39"/>
    <w:unhideWhenUsed/>
    <w:rsid w:val="002565FD"/>
    <w:pPr>
      <w:spacing w:after="100"/>
      <w:ind w:left="880"/>
      <w:jc w:val="left"/>
    </w:pPr>
    <w:rPr>
      <w:rFonts w:asciiTheme="minorHAnsi" w:hAnsiTheme="minorHAnsi"/>
    </w:rPr>
  </w:style>
  <w:style w:type="paragraph" w:styleId="TOC6">
    <w:name w:val="toc 6"/>
    <w:basedOn w:val="Normal"/>
    <w:next w:val="Normal"/>
    <w:autoRedefine/>
    <w:uiPriority w:val="39"/>
    <w:unhideWhenUsed/>
    <w:rsid w:val="002565FD"/>
    <w:pPr>
      <w:spacing w:after="100"/>
      <w:ind w:left="1100"/>
      <w:jc w:val="left"/>
    </w:pPr>
    <w:rPr>
      <w:rFonts w:asciiTheme="minorHAnsi" w:hAnsiTheme="minorHAnsi"/>
    </w:rPr>
  </w:style>
  <w:style w:type="paragraph" w:styleId="TOC7">
    <w:name w:val="toc 7"/>
    <w:basedOn w:val="Normal"/>
    <w:next w:val="Normal"/>
    <w:autoRedefine/>
    <w:uiPriority w:val="39"/>
    <w:unhideWhenUsed/>
    <w:rsid w:val="002565FD"/>
    <w:pPr>
      <w:spacing w:after="100"/>
      <w:ind w:left="1320"/>
      <w:jc w:val="left"/>
    </w:pPr>
    <w:rPr>
      <w:rFonts w:asciiTheme="minorHAnsi" w:hAnsiTheme="minorHAnsi"/>
    </w:rPr>
  </w:style>
  <w:style w:type="paragraph" w:styleId="TOC8">
    <w:name w:val="toc 8"/>
    <w:basedOn w:val="Normal"/>
    <w:next w:val="Normal"/>
    <w:autoRedefine/>
    <w:uiPriority w:val="39"/>
    <w:unhideWhenUsed/>
    <w:rsid w:val="002565FD"/>
    <w:pPr>
      <w:spacing w:after="100"/>
      <w:ind w:left="1540"/>
      <w:jc w:val="left"/>
    </w:pPr>
    <w:rPr>
      <w:rFonts w:asciiTheme="minorHAnsi" w:hAnsiTheme="minorHAnsi"/>
    </w:rPr>
  </w:style>
  <w:style w:type="paragraph" w:styleId="TOC9">
    <w:name w:val="toc 9"/>
    <w:basedOn w:val="Normal"/>
    <w:next w:val="Normal"/>
    <w:autoRedefine/>
    <w:uiPriority w:val="39"/>
    <w:unhideWhenUsed/>
    <w:rsid w:val="002565FD"/>
    <w:pPr>
      <w:spacing w:after="100"/>
      <w:ind w:left="1760"/>
      <w:jc w:val="left"/>
    </w:pPr>
    <w:rPr>
      <w:rFonts w:asciiTheme="minorHAnsi" w:hAnsiTheme="minorHAnsi"/>
    </w:rPr>
  </w:style>
  <w:style w:type="paragraph" w:styleId="Revision">
    <w:name w:val="Revision"/>
    <w:hidden/>
    <w:uiPriority w:val="99"/>
    <w:semiHidden/>
    <w:rsid w:val="00083AE7"/>
    <w:pPr>
      <w:spacing w:after="0" w:line="240" w:lineRule="auto"/>
      <w:jc w:val="left"/>
    </w:pPr>
  </w:style>
  <w:style w:type="character" w:styleId="UnresolvedMention">
    <w:name w:val="Unresolved Mention"/>
    <w:basedOn w:val="DefaultParagraphFont"/>
    <w:uiPriority w:val="99"/>
    <w:semiHidden/>
    <w:unhideWhenUsed/>
    <w:rsid w:val="00330E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27">
      <w:bodyDiv w:val="1"/>
      <w:marLeft w:val="0"/>
      <w:marRight w:val="0"/>
      <w:marTop w:val="0"/>
      <w:marBottom w:val="0"/>
      <w:divBdr>
        <w:top w:val="none" w:sz="0" w:space="0" w:color="auto"/>
        <w:left w:val="none" w:sz="0" w:space="0" w:color="auto"/>
        <w:bottom w:val="none" w:sz="0" w:space="0" w:color="auto"/>
        <w:right w:val="none" w:sz="0" w:space="0" w:color="auto"/>
      </w:divBdr>
    </w:div>
    <w:div w:id="2900639">
      <w:bodyDiv w:val="1"/>
      <w:marLeft w:val="0"/>
      <w:marRight w:val="0"/>
      <w:marTop w:val="0"/>
      <w:marBottom w:val="0"/>
      <w:divBdr>
        <w:top w:val="none" w:sz="0" w:space="0" w:color="auto"/>
        <w:left w:val="none" w:sz="0" w:space="0" w:color="auto"/>
        <w:bottom w:val="none" w:sz="0" w:space="0" w:color="auto"/>
        <w:right w:val="none" w:sz="0" w:space="0" w:color="auto"/>
      </w:divBdr>
    </w:div>
    <w:div w:id="3410616">
      <w:bodyDiv w:val="1"/>
      <w:marLeft w:val="0"/>
      <w:marRight w:val="0"/>
      <w:marTop w:val="0"/>
      <w:marBottom w:val="0"/>
      <w:divBdr>
        <w:top w:val="none" w:sz="0" w:space="0" w:color="auto"/>
        <w:left w:val="none" w:sz="0" w:space="0" w:color="auto"/>
        <w:bottom w:val="none" w:sz="0" w:space="0" w:color="auto"/>
        <w:right w:val="none" w:sz="0" w:space="0" w:color="auto"/>
      </w:divBdr>
    </w:div>
    <w:div w:id="3480341">
      <w:bodyDiv w:val="1"/>
      <w:marLeft w:val="0"/>
      <w:marRight w:val="0"/>
      <w:marTop w:val="0"/>
      <w:marBottom w:val="0"/>
      <w:divBdr>
        <w:top w:val="none" w:sz="0" w:space="0" w:color="auto"/>
        <w:left w:val="none" w:sz="0" w:space="0" w:color="auto"/>
        <w:bottom w:val="none" w:sz="0" w:space="0" w:color="auto"/>
        <w:right w:val="none" w:sz="0" w:space="0" w:color="auto"/>
      </w:divBdr>
    </w:div>
    <w:div w:id="5181649">
      <w:bodyDiv w:val="1"/>
      <w:marLeft w:val="0"/>
      <w:marRight w:val="0"/>
      <w:marTop w:val="0"/>
      <w:marBottom w:val="0"/>
      <w:divBdr>
        <w:top w:val="none" w:sz="0" w:space="0" w:color="auto"/>
        <w:left w:val="none" w:sz="0" w:space="0" w:color="auto"/>
        <w:bottom w:val="none" w:sz="0" w:space="0" w:color="auto"/>
        <w:right w:val="none" w:sz="0" w:space="0" w:color="auto"/>
      </w:divBdr>
    </w:div>
    <w:div w:id="5327800">
      <w:bodyDiv w:val="1"/>
      <w:marLeft w:val="0"/>
      <w:marRight w:val="0"/>
      <w:marTop w:val="0"/>
      <w:marBottom w:val="0"/>
      <w:divBdr>
        <w:top w:val="none" w:sz="0" w:space="0" w:color="auto"/>
        <w:left w:val="none" w:sz="0" w:space="0" w:color="auto"/>
        <w:bottom w:val="none" w:sz="0" w:space="0" w:color="auto"/>
        <w:right w:val="none" w:sz="0" w:space="0" w:color="auto"/>
      </w:divBdr>
    </w:div>
    <w:div w:id="8456827">
      <w:bodyDiv w:val="1"/>
      <w:marLeft w:val="0"/>
      <w:marRight w:val="0"/>
      <w:marTop w:val="0"/>
      <w:marBottom w:val="0"/>
      <w:divBdr>
        <w:top w:val="none" w:sz="0" w:space="0" w:color="auto"/>
        <w:left w:val="none" w:sz="0" w:space="0" w:color="auto"/>
        <w:bottom w:val="none" w:sz="0" w:space="0" w:color="auto"/>
        <w:right w:val="none" w:sz="0" w:space="0" w:color="auto"/>
      </w:divBdr>
    </w:div>
    <w:div w:id="8601758">
      <w:bodyDiv w:val="1"/>
      <w:marLeft w:val="0"/>
      <w:marRight w:val="0"/>
      <w:marTop w:val="0"/>
      <w:marBottom w:val="0"/>
      <w:divBdr>
        <w:top w:val="none" w:sz="0" w:space="0" w:color="auto"/>
        <w:left w:val="none" w:sz="0" w:space="0" w:color="auto"/>
        <w:bottom w:val="none" w:sz="0" w:space="0" w:color="auto"/>
        <w:right w:val="none" w:sz="0" w:space="0" w:color="auto"/>
      </w:divBdr>
    </w:div>
    <w:div w:id="10954801">
      <w:bodyDiv w:val="1"/>
      <w:marLeft w:val="0"/>
      <w:marRight w:val="0"/>
      <w:marTop w:val="0"/>
      <w:marBottom w:val="0"/>
      <w:divBdr>
        <w:top w:val="none" w:sz="0" w:space="0" w:color="auto"/>
        <w:left w:val="none" w:sz="0" w:space="0" w:color="auto"/>
        <w:bottom w:val="none" w:sz="0" w:space="0" w:color="auto"/>
        <w:right w:val="none" w:sz="0" w:space="0" w:color="auto"/>
      </w:divBdr>
    </w:div>
    <w:div w:id="11228597">
      <w:bodyDiv w:val="1"/>
      <w:marLeft w:val="0"/>
      <w:marRight w:val="0"/>
      <w:marTop w:val="0"/>
      <w:marBottom w:val="0"/>
      <w:divBdr>
        <w:top w:val="none" w:sz="0" w:space="0" w:color="auto"/>
        <w:left w:val="none" w:sz="0" w:space="0" w:color="auto"/>
        <w:bottom w:val="none" w:sz="0" w:space="0" w:color="auto"/>
        <w:right w:val="none" w:sz="0" w:space="0" w:color="auto"/>
      </w:divBdr>
    </w:div>
    <w:div w:id="12193498">
      <w:bodyDiv w:val="1"/>
      <w:marLeft w:val="0"/>
      <w:marRight w:val="0"/>
      <w:marTop w:val="0"/>
      <w:marBottom w:val="0"/>
      <w:divBdr>
        <w:top w:val="none" w:sz="0" w:space="0" w:color="auto"/>
        <w:left w:val="none" w:sz="0" w:space="0" w:color="auto"/>
        <w:bottom w:val="none" w:sz="0" w:space="0" w:color="auto"/>
        <w:right w:val="none" w:sz="0" w:space="0" w:color="auto"/>
      </w:divBdr>
    </w:div>
    <w:div w:id="13001802">
      <w:bodyDiv w:val="1"/>
      <w:marLeft w:val="0"/>
      <w:marRight w:val="0"/>
      <w:marTop w:val="0"/>
      <w:marBottom w:val="0"/>
      <w:divBdr>
        <w:top w:val="none" w:sz="0" w:space="0" w:color="auto"/>
        <w:left w:val="none" w:sz="0" w:space="0" w:color="auto"/>
        <w:bottom w:val="none" w:sz="0" w:space="0" w:color="auto"/>
        <w:right w:val="none" w:sz="0" w:space="0" w:color="auto"/>
      </w:divBdr>
    </w:div>
    <w:div w:id="13580310">
      <w:bodyDiv w:val="1"/>
      <w:marLeft w:val="0"/>
      <w:marRight w:val="0"/>
      <w:marTop w:val="0"/>
      <w:marBottom w:val="0"/>
      <w:divBdr>
        <w:top w:val="none" w:sz="0" w:space="0" w:color="auto"/>
        <w:left w:val="none" w:sz="0" w:space="0" w:color="auto"/>
        <w:bottom w:val="none" w:sz="0" w:space="0" w:color="auto"/>
        <w:right w:val="none" w:sz="0" w:space="0" w:color="auto"/>
      </w:divBdr>
    </w:div>
    <w:div w:id="13773198">
      <w:bodyDiv w:val="1"/>
      <w:marLeft w:val="0"/>
      <w:marRight w:val="0"/>
      <w:marTop w:val="0"/>
      <w:marBottom w:val="0"/>
      <w:divBdr>
        <w:top w:val="none" w:sz="0" w:space="0" w:color="auto"/>
        <w:left w:val="none" w:sz="0" w:space="0" w:color="auto"/>
        <w:bottom w:val="none" w:sz="0" w:space="0" w:color="auto"/>
        <w:right w:val="none" w:sz="0" w:space="0" w:color="auto"/>
      </w:divBdr>
    </w:div>
    <w:div w:id="13961881">
      <w:bodyDiv w:val="1"/>
      <w:marLeft w:val="0"/>
      <w:marRight w:val="0"/>
      <w:marTop w:val="0"/>
      <w:marBottom w:val="0"/>
      <w:divBdr>
        <w:top w:val="none" w:sz="0" w:space="0" w:color="auto"/>
        <w:left w:val="none" w:sz="0" w:space="0" w:color="auto"/>
        <w:bottom w:val="none" w:sz="0" w:space="0" w:color="auto"/>
        <w:right w:val="none" w:sz="0" w:space="0" w:color="auto"/>
      </w:divBdr>
    </w:div>
    <w:div w:id="15431495">
      <w:bodyDiv w:val="1"/>
      <w:marLeft w:val="0"/>
      <w:marRight w:val="0"/>
      <w:marTop w:val="0"/>
      <w:marBottom w:val="0"/>
      <w:divBdr>
        <w:top w:val="none" w:sz="0" w:space="0" w:color="auto"/>
        <w:left w:val="none" w:sz="0" w:space="0" w:color="auto"/>
        <w:bottom w:val="none" w:sz="0" w:space="0" w:color="auto"/>
        <w:right w:val="none" w:sz="0" w:space="0" w:color="auto"/>
      </w:divBdr>
    </w:div>
    <w:div w:id="16585604">
      <w:bodyDiv w:val="1"/>
      <w:marLeft w:val="0"/>
      <w:marRight w:val="0"/>
      <w:marTop w:val="0"/>
      <w:marBottom w:val="0"/>
      <w:divBdr>
        <w:top w:val="none" w:sz="0" w:space="0" w:color="auto"/>
        <w:left w:val="none" w:sz="0" w:space="0" w:color="auto"/>
        <w:bottom w:val="none" w:sz="0" w:space="0" w:color="auto"/>
        <w:right w:val="none" w:sz="0" w:space="0" w:color="auto"/>
      </w:divBdr>
    </w:div>
    <w:div w:id="16661563">
      <w:bodyDiv w:val="1"/>
      <w:marLeft w:val="0"/>
      <w:marRight w:val="0"/>
      <w:marTop w:val="0"/>
      <w:marBottom w:val="0"/>
      <w:divBdr>
        <w:top w:val="none" w:sz="0" w:space="0" w:color="auto"/>
        <w:left w:val="none" w:sz="0" w:space="0" w:color="auto"/>
        <w:bottom w:val="none" w:sz="0" w:space="0" w:color="auto"/>
        <w:right w:val="none" w:sz="0" w:space="0" w:color="auto"/>
      </w:divBdr>
    </w:div>
    <w:div w:id="16858276">
      <w:bodyDiv w:val="1"/>
      <w:marLeft w:val="0"/>
      <w:marRight w:val="0"/>
      <w:marTop w:val="0"/>
      <w:marBottom w:val="0"/>
      <w:divBdr>
        <w:top w:val="none" w:sz="0" w:space="0" w:color="auto"/>
        <w:left w:val="none" w:sz="0" w:space="0" w:color="auto"/>
        <w:bottom w:val="none" w:sz="0" w:space="0" w:color="auto"/>
        <w:right w:val="none" w:sz="0" w:space="0" w:color="auto"/>
      </w:divBdr>
    </w:div>
    <w:div w:id="16929548">
      <w:bodyDiv w:val="1"/>
      <w:marLeft w:val="0"/>
      <w:marRight w:val="0"/>
      <w:marTop w:val="0"/>
      <w:marBottom w:val="0"/>
      <w:divBdr>
        <w:top w:val="none" w:sz="0" w:space="0" w:color="auto"/>
        <w:left w:val="none" w:sz="0" w:space="0" w:color="auto"/>
        <w:bottom w:val="none" w:sz="0" w:space="0" w:color="auto"/>
        <w:right w:val="none" w:sz="0" w:space="0" w:color="auto"/>
      </w:divBdr>
    </w:div>
    <w:div w:id="17051480">
      <w:bodyDiv w:val="1"/>
      <w:marLeft w:val="0"/>
      <w:marRight w:val="0"/>
      <w:marTop w:val="0"/>
      <w:marBottom w:val="0"/>
      <w:divBdr>
        <w:top w:val="none" w:sz="0" w:space="0" w:color="auto"/>
        <w:left w:val="none" w:sz="0" w:space="0" w:color="auto"/>
        <w:bottom w:val="none" w:sz="0" w:space="0" w:color="auto"/>
        <w:right w:val="none" w:sz="0" w:space="0" w:color="auto"/>
      </w:divBdr>
    </w:div>
    <w:div w:id="17397392">
      <w:bodyDiv w:val="1"/>
      <w:marLeft w:val="0"/>
      <w:marRight w:val="0"/>
      <w:marTop w:val="0"/>
      <w:marBottom w:val="0"/>
      <w:divBdr>
        <w:top w:val="none" w:sz="0" w:space="0" w:color="auto"/>
        <w:left w:val="none" w:sz="0" w:space="0" w:color="auto"/>
        <w:bottom w:val="none" w:sz="0" w:space="0" w:color="auto"/>
        <w:right w:val="none" w:sz="0" w:space="0" w:color="auto"/>
      </w:divBdr>
    </w:div>
    <w:div w:id="19012834">
      <w:bodyDiv w:val="1"/>
      <w:marLeft w:val="0"/>
      <w:marRight w:val="0"/>
      <w:marTop w:val="0"/>
      <w:marBottom w:val="0"/>
      <w:divBdr>
        <w:top w:val="none" w:sz="0" w:space="0" w:color="auto"/>
        <w:left w:val="none" w:sz="0" w:space="0" w:color="auto"/>
        <w:bottom w:val="none" w:sz="0" w:space="0" w:color="auto"/>
        <w:right w:val="none" w:sz="0" w:space="0" w:color="auto"/>
      </w:divBdr>
    </w:div>
    <w:div w:id="19402217">
      <w:bodyDiv w:val="1"/>
      <w:marLeft w:val="0"/>
      <w:marRight w:val="0"/>
      <w:marTop w:val="0"/>
      <w:marBottom w:val="0"/>
      <w:divBdr>
        <w:top w:val="none" w:sz="0" w:space="0" w:color="auto"/>
        <w:left w:val="none" w:sz="0" w:space="0" w:color="auto"/>
        <w:bottom w:val="none" w:sz="0" w:space="0" w:color="auto"/>
        <w:right w:val="none" w:sz="0" w:space="0" w:color="auto"/>
      </w:divBdr>
    </w:div>
    <w:div w:id="19860991">
      <w:bodyDiv w:val="1"/>
      <w:marLeft w:val="0"/>
      <w:marRight w:val="0"/>
      <w:marTop w:val="0"/>
      <w:marBottom w:val="0"/>
      <w:divBdr>
        <w:top w:val="none" w:sz="0" w:space="0" w:color="auto"/>
        <w:left w:val="none" w:sz="0" w:space="0" w:color="auto"/>
        <w:bottom w:val="none" w:sz="0" w:space="0" w:color="auto"/>
        <w:right w:val="none" w:sz="0" w:space="0" w:color="auto"/>
      </w:divBdr>
    </w:div>
    <w:div w:id="19863863">
      <w:bodyDiv w:val="1"/>
      <w:marLeft w:val="0"/>
      <w:marRight w:val="0"/>
      <w:marTop w:val="0"/>
      <w:marBottom w:val="0"/>
      <w:divBdr>
        <w:top w:val="none" w:sz="0" w:space="0" w:color="auto"/>
        <w:left w:val="none" w:sz="0" w:space="0" w:color="auto"/>
        <w:bottom w:val="none" w:sz="0" w:space="0" w:color="auto"/>
        <w:right w:val="none" w:sz="0" w:space="0" w:color="auto"/>
      </w:divBdr>
    </w:div>
    <w:div w:id="23949373">
      <w:bodyDiv w:val="1"/>
      <w:marLeft w:val="0"/>
      <w:marRight w:val="0"/>
      <w:marTop w:val="0"/>
      <w:marBottom w:val="0"/>
      <w:divBdr>
        <w:top w:val="none" w:sz="0" w:space="0" w:color="auto"/>
        <w:left w:val="none" w:sz="0" w:space="0" w:color="auto"/>
        <w:bottom w:val="none" w:sz="0" w:space="0" w:color="auto"/>
        <w:right w:val="none" w:sz="0" w:space="0" w:color="auto"/>
      </w:divBdr>
    </w:div>
    <w:div w:id="24452635">
      <w:bodyDiv w:val="1"/>
      <w:marLeft w:val="0"/>
      <w:marRight w:val="0"/>
      <w:marTop w:val="0"/>
      <w:marBottom w:val="0"/>
      <w:divBdr>
        <w:top w:val="none" w:sz="0" w:space="0" w:color="auto"/>
        <w:left w:val="none" w:sz="0" w:space="0" w:color="auto"/>
        <w:bottom w:val="none" w:sz="0" w:space="0" w:color="auto"/>
        <w:right w:val="none" w:sz="0" w:space="0" w:color="auto"/>
      </w:divBdr>
    </w:div>
    <w:div w:id="24528365">
      <w:bodyDiv w:val="1"/>
      <w:marLeft w:val="0"/>
      <w:marRight w:val="0"/>
      <w:marTop w:val="0"/>
      <w:marBottom w:val="0"/>
      <w:divBdr>
        <w:top w:val="none" w:sz="0" w:space="0" w:color="auto"/>
        <w:left w:val="none" w:sz="0" w:space="0" w:color="auto"/>
        <w:bottom w:val="none" w:sz="0" w:space="0" w:color="auto"/>
        <w:right w:val="none" w:sz="0" w:space="0" w:color="auto"/>
      </w:divBdr>
    </w:div>
    <w:div w:id="25837950">
      <w:bodyDiv w:val="1"/>
      <w:marLeft w:val="0"/>
      <w:marRight w:val="0"/>
      <w:marTop w:val="0"/>
      <w:marBottom w:val="0"/>
      <w:divBdr>
        <w:top w:val="none" w:sz="0" w:space="0" w:color="auto"/>
        <w:left w:val="none" w:sz="0" w:space="0" w:color="auto"/>
        <w:bottom w:val="none" w:sz="0" w:space="0" w:color="auto"/>
        <w:right w:val="none" w:sz="0" w:space="0" w:color="auto"/>
      </w:divBdr>
    </w:div>
    <w:div w:id="27534604">
      <w:bodyDiv w:val="1"/>
      <w:marLeft w:val="0"/>
      <w:marRight w:val="0"/>
      <w:marTop w:val="0"/>
      <w:marBottom w:val="0"/>
      <w:divBdr>
        <w:top w:val="none" w:sz="0" w:space="0" w:color="auto"/>
        <w:left w:val="none" w:sz="0" w:space="0" w:color="auto"/>
        <w:bottom w:val="none" w:sz="0" w:space="0" w:color="auto"/>
        <w:right w:val="none" w:sz="0" w:space="0" w:color="auto"/>
      </w:divBdr>
    </w:div>
    <w:div w:id="28075307">
      <w:bodyDiv w:val="1"/>
      <w:marLeft w:val="0"/>
      <w:marRight w:val="0"/>
      <w:marTop w:val="0"/>
      <w:marBottom w:val="0"/>
      <w:divBdr>
        <w:top w:val="none" w:sz="0" w:space="0" w:color="auto"/>
        <w:left w:val="none" w:sz="0" w:space="0" w:color="auto"/>
        <w:bottom w:val="none" w:sz="0" w:space="0" w:color="auto"/>
        <w:right w:val="none" w:sz="0" w:space="0" w:color="auto"/>
      </w:divBdr>
    </w:div>
    <w:div w:id="28259063">
      <w:bodyDiv w:val="1"/>
      <w:marLeft w:val="0"/>
      <w:marRight w:val="0"/>
      <w:marTop w:val="0"/>
      <w:marBottom w:val="0"/>
      <w:divBdr>
        <w:top w:val="none" w:sz="0" w:space="0" w:color="auto"/>
        <w:left w:val="none" w:sz="0" w:space="0" w:color="auto"/>
        <w:bottom w:val="none" w:sz="0" w:space="0" w:color="auto"/>
        <w:right w:val="none" w:sz="0" w:space="0" w:color="auto"/>
      </w:divBdr>
    </w:div>
    <w:div w:id="30880557">
      <w:bodyDiv w:val="1"/>
      <w:marLeft w:val="0"/>
      <w:marRight w:val="0"/>
      <w:marTop w:val="0"/>
      <w:marBottom w:val="0"/>
      <w:divBdr>
        <w:top w:val="none" w:sz="0" w:space="0" w:color="auto"/>
        <w:left w:val="none" w:sz="0" w:space="0" w:color="auto"/>
        <w:bottom w:val="none" w:sz="0" w:space="0" w:color="auto"/>
        <w:right w:val="none" w:sz="0" w:space="0" w:color="auto"/>
      </w:divBdr>
    </w:div>
    <w:div w:id="31424366">
      <w:bodyDiv w:val="1"/>
      <w:marLeft w:val="0"/>
      <w:marRight w:val="0"/>
      <w:marTop w:val="0"/>
      <w:marBottom w:val="0"/>
      <w:divBdr>
        <w:top w:val="none" w:sz="0" w:space="0" w:color="auto"/>
        <w:left w:val="none" w:sz="0" w:space="0" w:color="auto"/>
        <w:bottom w:val="none" w:sz="0" w:space="0" w:color="auto"/>
        <w:right w:val="none" w:sz="0" w:space="0" w:color="auto"/>
      </w:divBdr>
    </w:div>
    <w:div w:id="32732114">
      <w:bodyDiv w:val="1"/>
      <w:marLeft w:val="0"/>
      <w:marRight w:val="0"/>
      <w:marTop w:val="0"/>
      <w:marBottom w:val="0"/>
      <w:divBdr>
        <w:top w:val="none" w:sz="0" w:space="0" w:color="auto"/>
        <w:left w:val="none" w:sz="0" w:space="0" w:color="auto"/>
        <w:bottom w:val="none" w:sz="0" w:space="0" w:color="auto"/>
        <w:right w:val="none" w:sz="0" w:space="0" w:color="auto"/>
      </w:divBdr>
    </w:div>
    <w:div w:id="32929113">
      <w:bodyDiv w:val="1"/>
      <w:marLeft w:val="0"/>
      <w:marRight w:val="0"/>
      <w:marTop w:val="0"/>
      <w:marBottom w:val="0"/>
      <w:divBdr>
        <w:top w:val="none" w:sz="0" w:space="0" w:color="auto"/>
        <w:left w:val="none" w:sz="0" w:space="0" w:color="auto"/>
        <w:bottom w:val="none" w:sz="0" w:space="0" w:color="auto"/>
        <w:right w:val="none" w:sz="0" w:space="0" w:color="auto"/>
      </w:divBdr>
    </w:div>
    <w:div w:id="36778914">
      <w:bodyDiv w:val="1"/>
      <w:marLeft w:val="0"/>
      <w:marRight w:val="0"/>
      <w:marTop w:val="0"/>
      <w:marBottom w:val="0"/>
      <w:divBdr>
        <w:top w:val="none" w:sz="0" w:space="0" w:color="auto"/>
        <w:left w:val="none" w:sz="0" w:space="0" w:color="auto"/>
        <w:bottom w:val="none" w:sz="0" w:space="0" w:color="auto"/>
        <w:right w:val="none" w:sz="0" w:space="0" w:color="auto"/>
      </w:divBdr>
    </w:div>
    <w:div w:id="36903476">
      <w:bodyDiv w:val="1"/>
      <w:marLeft w:val="0"/>
      <w:marRight w:val="0"/>
      <w:marTop w:val="0"/>
      <w:marBottom w:val="0"/>
      <w:divBdr>
        <w:top w:val="none" w:sz="0" w:space="0" w:color="auto"/>
        <w:left w:val="none" w:sz="0" w:space="0" w:color="auto"/>
        <w:bottom w:val="none" w:sz="0" w:space="0" w:color="auto"/>
        <w:right w:val="none" w:sz="0" w:space="0" w:color="auto"/>
      </w:divBdr>
    </w:div>
    <w:div w:id="37898360">
      <w:bodyDiv w:val="1"/>
      <w:marLeft w:val="0"/>
      <w:marRight w:val="0"/>
      <w:marTop w:val="0"/>
      <w:marBottom w:val="0"/>
      <w:divBdr>
        <w:top w:val="none" w:sz="0" w:space="0" w:color="auto"/>
        <w:left w:val="none" w:sz="0" w:space="0" w:color="auto"/>
        <w:bottom w:val="none" w:sz="0" w:space="0" w:color="auto"/>
        <w:right w:val="none" w:sz="0" w:space="0" w:color="auto"/>
      </w:divBdr>
    </w:div>
    <w:div w:id="38631648">
      <w:bodyDiv w:val="1"/>
      <w:marLeft w:val="0"/>
      <w:marRight w:val="0"/>
      <w:marTop w:val="0"/>
      <w:marBottom w:val="0"/>
      <w:divBdr>
        <w:top w:val="none" w:sz="0" w:space="0" w:color="auto"/>
        <w:left w:val="none" w:sz="0" w:space="0" w:color="auto"/>
        <w:bottom w:val="none" w:sz="0" w:space="0" w:color="auto"/>
        <w:right w:val="none" w:sz="0" w:space="0" w:color="auto"/>
      </w:divBdr>
    </w:div>
    <w:div w:id="39401140">
      <w:bodyDiv w:val="1"/>
      <w:marLeft w:val="0"/>
      <w:marRight w:val="0"/>
      <w:marTop w:val="0"/>
      <w:marBottom w:val="0"/>
      <w:divBdr>
        <w:top w:val="none" w:sz="0" w:space="0" w:color="auto"/>
        <w:left w:val="none" w:sz="0" w:space="0" w:color="auto"/>
        <w:bottom w:val="none" w:sz="0" w:space="0" w:color="auto"/>
        <w:right w:val="none" w:sz="0" w:space="0" w:color="auto"/>
      </w:divBdr>
    </w:div>
    <w:div w:id="43139195">
      <w:bodyDiv w:val="1"/>
      <w:marLeft w:val="0"/>
      <w:marRight w:val="0"/>
      <w:marTop w:val="0"/>
      <w:marBottom w:val="0"/>
      <w:divBdr>
        <w:top w:val="none" w:sz="0" w:space="0" w:color="auto"/>
        <w:left w:val="none" w:sz="0" w:space="0" w:color="auto"/>
        <w:bottom w:val="none" w:sz="0" w:space="0" w:color="auto"/>
        <w:right w:val="none" w:sz="0" w:space="0" w:color="auto"/>
      </w:divBdr>
    </w:div>
    <w:div w:id="43217015">
      <w:bodyDiv w:val="1"/>
      <w:marLeft w:val="0"/>
      <w:marRight w:val="0"/>
      <w:marTop w:val="0"/>
      <w:marBottom w:val="0"/>
      <w:divBdr>
        <w:top w:val="none" w:sz="0" w:space="0" w:color="auto"/>
        <w:left w:val="none" w:sz="0" w:space="0" w:color="auto"/>
        <w:bottom w:val="none" w:sz="0" w:space="0" w:color="auto"/>
        <w:right w:val="none" w:sz="0" w:space="0" w:color="auto"/>
      </w:divBdr>
    </w:div>
    <w:div w:id="44262947">
      <w:bodyDiv w:val="1"/>
      <w:marLeft w:val="0"/>
      <w:marRight w:val="0"/>
      <w:marTop w:val="0"/>
      <w:marBottom w:val="0"/>
      <w:divBdr>
        <w:top w:val="none" w:sz="0" w:space="0" w:color="auto"/>
        <w:left w:val="none" w:sz="0" w:space="0" w:color="auto"/>
        <w:bottom w:val="none" w:sz="0" w:space="0" w:color="auto"/>
        <w:right w:val="none" w:sz="0" w:space="0" w:color="auto"/>
      </w:divBdr>
    </w:div>
    <w:div w:id="44377061">
      <w:bodyDiv w:val="1"/>
      <w:marLeft w:val="0"/>
      <w:marRight w:val="0"/>
      <w:marTop w:val="0"/>
      <w:marBottom w:val="0"/>
      <w:divBdr>
        <w:top w:val="none" w:sz="0" w:space="0" w:color="auto"/>
        <w:left w:val="none" w:sz="0" w:space="0" w:color="auto"/>
        <w:bottom w:val="none" w:sz="0" w:space="0" w:color="auto"/>
        <w:right w:val="none" w:sz="0" w:space="0" w:color="auto"/>
      </w:divBdr>
    </w:div>
    <w:div w:id="45224944">
      <w:bodyDiv w:val="1"/>
      <w:marLeft w:val="0"/>
      <w:marRight w:val="0"/>
      <w:marTop w:val="0"/>
      <w:marBottom w:val="0"/>
      <w:divBdr>
        <w:top w:val="none" w:sz="0" w:space="0" w:color="auto"/>
        <w:left w:val="none" w:sz="0" w:space="0" w:color="auto"/>
        <w:bottom w:val="none" w:sz="0" w:space="0" w:color="auto"/>
        <w:right w:val="none" w:sz="0" w:space="0" w:color="auto"/>
      </w:divBdr>
    </w:div>
    <w:div w:id="46345768">
      <w:bodyDiv w:val="1"/>
      <w:marLeft w:val="0"/>
      <w:marRight w:val="0"/>
      <w:marTop w:val="0"/>
      <w:marBottom w:val="0"/>
      <w:divBdr>
        <w:top w:val="none" w:sz="0" w:space="0" w:color="auto"/>
        <w:left w:val="none" w:sz="0" w:space="0" w:color="auto"/>
        <w:bottom w:val="none" w:sz="0" w:space="0" w:color="auto"/>
        <w:right w:val="none" w:sz="0" w:space="0" w:color="auto"/>
      </w:divBdr>
    </w:div>
    <w:div w:id="46537227">
      <w:bodyDiv w:val="1"/>
      <w:marLeft w:val="0"/>
      <w:marRight w:val="0"/>
      <w:marTop w:val="0"/>
      <w:marBottom w:val="0"/>
      <w:divBdr>
        <w:top w:val="none" w:sz="0" w:space="0" w:color="auto"/>
        <w:left w:val="none" w:sz="0" w:space="0" w:color="auto"/>
        <w:bottom w:val="none" w:sz="0" w:space="0" w:color="auto"/>
        <w:right w:val="none" w:sz="0" w:space="0" w:color="auto"/>
      </w:divBdr>
    </w:div>
    <w:div w:id="46615303">
      <w:bodyDiv w:val="1"/>
      <w:marLeft w:val="0"/>
      <w:marRight w:val="0"/>
      <w:marTop w:val="0"/>
      <w:marBottom w:val="0"/>
      <w:divBdr>
        <w:top w:val="none" w:sz="0" w:space="0" w:color="auto"/>
        <w:left w:val="none" w:sz="0" w:space="0" w:color="auto"/>
        <w:bottom w:val="none" w:sz="0" w:space="0" w:color="auto"/>
        <w:right w:val="none" w:sz="0" w:space="0" w:color="auto"/>
      </w:divBdr>
    </w:div>
    <w:div w:id="47190786">
      <w:bodyDiv w:val="1"/>
      <w:marLeft w:val="0"/>
      <w:marRight w:val="0"/>
      <w:marTop w:val="0"/>
      <w:marBottom w:val="0"/>
      <w:divBdr>
        <w:top w:val="none" w:sz="0" w:space="0" w:color="auto"/>
        <w:left w:val="none" w:sz="0" w:space="0" w:color="auto"/>
        <w:bottom w:val="none" w:sz="0" w:space="0" w:color="auto"/>
        <w:right w:val="none" w:sz="0" w:space="0" w:color="auto"/>
      </w:divBdr>
    </w:div>
    <w:div w:id="47729017">
      <w:bodyDiv w:val="1"/>
      <w:marLeft w:val="0"/>
      <w:marRight w:val="0"/>
      <w:marTop w:val="0"/>
      <w:marBottom w:val="0"/>
      <w:divBdr>
        <w:top w:val="none" w:sz="0" w:space="0" w:color="auto"/>
        <w:left w:val="none" w:sz="0" w:space="0" w:color="auto"/>
        <w:bottom w:val="none" w:sz="0" w:space="0" w:color="auto"/>
        <w:right w:val="none" w:sz="0" w:space="0" w:color="auto"/>
      </w:divBdr>
    </w:div>
    <w:div w:id="48112669">
      <w:bodyDiv w:val="1"/>
      <w:marLeft w:val="0"/>
      <w:marRight w:val="0"/>
      <w:marTop w:val="0"/>
      <w:marBottom w:val="0"/>
      <w:divBdr>
        <w:top w:val="none" w:sz="0" w:space="0" w:color="auto"/>
        <w:left w:val="none" w:sz="0" w:space="0" w:color="auto"/>
        <w:bottom w:val="none" w:sz="0" w:space="0" w:color="auto"/>
        <w:right w:val="none" w:sz="0" w:space="0" w:color="auto"/>
      </w:divBdr>
    </w:div>
    <w:div w:id="50008187">
      <w:bodyDiv w:val="1"/>
      <w:marLeft w:val="0"/>
      <w:marRight w:val="0"/>
      <w:marTop w:val="0"/>
      <w:marBottom w:val="0"/>
      <w:divBdr>
        <w:top w:val="none" w:sz="0" w:space="0" w:color="auto"/>
        <w:left w:val="none" w:sz="0" w:space="0" w:color="auto"/>
        <w:bottom w:val="none" w:sz="0" w:space="0" w:color="auto"/>
        <w:right w:val="none" w:sz="0" w:space="0" w:color="auto"/>
      </w:divBdr>
    </w:div>
    <w:div w:id="50616100">
      <w:bodyDiv w:val="1"/>
      <w:marLeft w:val="0"/>
      <w:marRight w:val="0"/>
      <w:marTop w:val="0"/>
      <w:marBottom w:val="0"/>
      <w:divBdr>
        <w:top w:val="none" w:sz="0" w:space="0" w:color="auto"/>
        <w:left w:val="none" w:sz="0" w:space="0" w:color="auto"/>
        <w:bottom w:val="none" w:sz="0" w:space="0" w:color="auto"/>
        <w:right w:val="none" w:sz="0" w:space="0" w:color="auto"/>
      </w:divBdr>
    </w:div>
    <w:div w:id="52850384">
      <w:bodyDiv w:val="1"/>
      <w:marLeft w:val="0"/>
      <w:marRight w:val="0"/>
      <w:marTop w:val="0"/>
      <w:marBottom w:val="0"/>
      <w:divBdr>
        <w:top w:val="none" w:sz="0" w:space="0" w:color="auto"/>
        <w:left w:val="none" w:sz="0" w:space="0" w:color="auto"/>
        <w:bottom w:val="none" w:sz="0" w:space="0" w:color="auto"/>
        <w:right w:val="none" w:sz="0" w:space="0" w:color="auto"/>
      </w:divBdr>
    </w:div>
    <w:div w:id="53551875">
      <w:bodyDiv w:val="1"/>
      <w:marLeft w:val="0"/>
      <w:marRight w:val="0"/>
      <w:marTop w:val="0"/>
      <w:marBottom w:val="0"/>
      <w:divBdr>
        <w:top w:val="none" w:sz="0" w:space="0" w:color="auto"/>
        <w:left w:val="none" w:sz="0" w:space="0" w:color="auto"/>
        <w:bottom w:val="none" w:sz="0" w:space="0" w:color="auto"/>
        <w:right w:val="none" w:sz="0" w:space="0" w:color="auto"/>
      </w:divBdr>
    </w:div>
    <w:div w:id="54856489">
      <w:bodyDiv w:val="1"/>
      <w:marLeft w:val="0"/>
      <w:marRight w:val="0"/>
      <w:marTop w:val="0"/>
      <w:marBottom w:val="0"/>
      <w:divBdr>
        <w:top w:val="none" w:sz="0" w:space="0" w:color="auto"/>
        <w:left w:val="none" w:sz="0" w:space="0" w:color="auto"/>
        <w:bottom w:val="none" w:sz="0" w:space="0" w:color="auto"/>
        <w:right w:val="none" w:sz="0" w:space="0" w:color="auto"/>
      </w:divBdr>
    </w:div>
    <w:div w:id="56439135">
      <w:bodyDiv w:val="1"/>
      <w:marLeft w:val="0"/>
      <w:marRight w:val="0"/>
      <w:marTop w:val="0"/>
      <w:marBottom w:val="0"/>
      <w:divBdr>
        <w:top w:val="none" w:sz="0" w:space="0" w:color="auto"/>
        <w:left w:val="none" w:sz="0" w:space="0" w:color="auto"/>
        <w:bottom w:val="none" w:sz="0" w:space="0" w:color="auto"/>
        <w:right w:val="none" w:sz="0" w:space="0" w:color="auto"/>
      </w:divBdr>
    </w:div>
    <w:div w:id="59061213">
      <w:bodyDiv w:val="1"/>
      <w:marLeft w:val="0"/>
      <w:marRight w:val="0"/>
      <w:marTop w:val="0"/>
      <w:marBottom w:val="0"/>
      <w:divBdr>
        <w:top w:val="none" w:sz="0" w:space="0" w:color="auto"/>
        <w:left w:val="none" w:sz="0" w:space="0" w:color="auto"/>
        <w:bottom w:val="none" w:sz="0" w:space="0" w:color="auto"/>
        <w:right w:val="none" w:sz="0" w:space="0" w:color="auto"/>
      </w:divBdr>
    </w:div>
    <w:div w:id="61561577">
      <w:bodyDiv w:val="1"/>
      <w:marLeft w:val="0"/>
      <w:marRight w:val="0"/>
      <w:marTop w:val="0"/>
      <w:marBottom w:val="0"/>
      <w:divBdr>
        <w:top w:val="none" w:sz="0" w:space="0" w:color="auto"/>
        <w:left w:val="none" w:sz="0" w:space="0" w:color="auto"/>
        <w:bottom w:val="none" w:sz="0" w:space="0" w:color="auto"/>
        <w:right w:val="none" w:sz="0" w:space="0" w:color="auto"/>
      </w:divBdr>
    </w:div>
    <w:div w:id="63575132">
      <w:bodyDiv w:val="1"/>
      <w:marLeft w:val="0"/>
      <w:marRight w:val="0"/>
      <w:marTop w:val="0"/>
      <w:marBottom w:val="0"/>
      <w:divBdr>
        <w:top w:val="none" w:sz="0" w:space="0" w:color="auto"/>
        <w:left w:val="none" w:sz="0" w:space="0" w:color="auto"/>
        <w:bottom w:val="none" w:sz="0" w:space="0" w:color="auto"/>
        <w:right w:val="none" w:sz="0" w:space="0" w:color="auto"/>
      </w:divBdr>
    </w:div>
    <w:div w:id="65423487">
      <w:bodyDiv w:val="1"/>
      <w:marLeft w:val="0"/>
      <w:marRight w:val="0"/>
      <w:marTop w:val="0"/>
      <w:marBottom w:val="0"/>
      <w:divBdr>
        <w:top w:val="none" w:sz="0" w:space="0" w:color="auto"/>
        <w:left w:val="none" w:sz="0" w:space="0" w:color="auto"/>
        <w:bottom w:val="none" w:sz="0" w:space="0" w:color="auto"/>
        <w:right w:val="none" w:sz="0" w:space="0" w:color="auto"/>
      </w:divBdr>
    </w:div>
    <w:div w:id="65957879">
      <w:bodyDiv w:val="1"/>
      <w:marLeft w:val="0"/>
      <w:marRight w:val="0"/>
      <w:marTop w:val="0"/>
      <w:marBottom w:val="0"/>
      <w:divBdr>
        <w:top w:val="none" w:sz="0" w:space="0" w:color="auto"/>
        <w:left w:val="none" w:sz="0" w:space="0" w:color="auto"/>
        <w:bottom w:val="none" w:sz="0" w:space="0" w:color="auto"/>
        <w:right w:val="none" w:sz="0" w:space="0" w:color="auto"/>
      </w:divBdr>
    </w:div>
    <w:div w:id="66731872">
      <w:bodyDiv w:val="1"/>
      <w:marLeft w:val="0"/>
      <w:marRight w:val="0"/>
      <w:marTop w:val="0"/>
      <w:marBottom w:val="0"/>
      <w:divBdr>
        <w:top w:val="none" w:sz="0" w:space="0" w:color="auto"/>
        <w:left w:val="none" w:sz="0" w:space="0" w:color="auto"/>
        <w:bottom w:val="none" w:sz="0" w:space="0" w:color="auto"/>
        <w:right w:val="none" w:sz="0" w:space="0" w:color="auto"/>
      </w:divBdr>
    </w:div>
    <w:div w:id="67193366">
      <w:bodyDiv w:val="1"/>
      <w:marLeft w:val="0"/>
      <w:marRight w:val="0"/>
      <w:marTop w:val="0"/>
      <w:marBottom w:val="0"/>
      <w:divBdr>
        <w:top w:val="none" w:sz="0" w:space="0" w:color="auto"/>
        <w:left w:val="none" w:sz="0" w:space="0" w:color="auto"/>
        <w:bottom w:val="none" w:sz="0" w:space="0" w:color="auto"/>
        <w:right w:val="none" w:sz="0" w:space="0" w:color="auto"/>
      </w:divBdr>
    </w:div>
    <w:div w:id="68312069">
      <w:bodyDiv w:val="1"/>
      <w:marLeft w:val="0"/>
      <w:marRight w:val="0"/>
      <w:marTop w:val="0"/>
      <w:marBottom w:val="0"/>
      <w:divBdr>
        <w:top w:val="none" w:sz="0" w:space="0" w:color="auto"/>
        <w:left w:val="none" w:sz="0" w:space="0" w:color="auto"/>
        <w:bottom w:val="none" w:sz="0" w:space="0" w:color="auto"/>
        <w:right w:val="none" w:sz="0" w:space="0" w:color="auto"/>
      </w:divBdr>
    </w:div>
    <w:div w:id="69616592">
      <w:bodyDiv w:val="1"/>
      <w:marLeft w:val="0"/>
      <w:marRight w:val="0"/>
      <w:marTop w:val="0"/>
      <w:marBottom w:val="0"/>
      <w:divBdr>
        <w:top w:val="none" w:sz="0" w:space="0" w:color="auto"/>
        <w:left w:val="none" w:sz="0" w:space="0" w:color="auto"/>
        <w:bottom w:val="none" w:sz="0" w:space="0" w:color="auto"/>
        <w:right w:val="none" w:sz="0" w:space="0" w:color="auto"/>
      </w:divBdr>
    </w:div>
    <w:div w:id="70591480">
      <w:bodyDiv w:val="1"/>
      <w:marLeft w:val="0"/>
      <w:marRight w:val="0"/>
      <w:marTop w:val="0"/>
      <w:marBottom w:val="0"/>
      <w:divBdr>
        <w:top w:val="none" w:sz="0" w:space="0" w:color="auto"/>
        <w:left w:val="none" w:sz="0" w:space="0" w:color="auto"/>
        <w:bottom w:val="none" w:sz="0" w:space="0" w:color="auto"/>
        <w:right w:val="none" w:sz="0" w:space="0" w:color="auto"/>
      </w:divBdr>
    </w:div>
    <w:div w:id="72900981">
      <w:bodyDiv w:val="1"/>
      <w:marLeft w:val="0"/>
      <w:marRight w:val="0"/>
      <w:marTop w:val="0"/>
      <w:marBottom w:val="0"/>
      <w:divBdr>
        <w:top w:val="none" w:sz="0" w:space="0" w:color="auto"/>
        <w:left w:val="none" w:sz="0" w:space="0" w:color="auto"/>
        <w:bottom w:val="none" w:sz="0" w:space="0" w:color="auto"/>
        <w:right w:val="none" w:sz="0" w:space="0" w:color="auto"/>
      </w:divBdr>
    </w:div>
    <w:div w:id="73405752">
      <w:bodyDiv w:val="1"/>
      <w:marLeft w:val="0"/>
      <w:marRight w:val="0"/>
      <w:marTop w:val="0"/>
      <w:marBottom w:val="0"/>
      <w:divBdr>
        <w:top w:val="none" w:sz="0" w:space="0" w:color="auto"/>
        <w:left w:val="none" w:sz="0" w:space="0" w:color="auto"/>
        <w:bottom w:val="none" w:sz="0" w:space="0" w:color="auto"/>
        <w:right w:val="none" w:sz="0" w:space="0" w:color="auto"/>
      </w:divBdr>
    </w:div>
    <w:div w:id="74282127">
      <w:bodyDiv w:val="1"/>
      <w:marLeft w:val="0"/>
      <w:marRight w:val="0"/>
      <w:marTop w:val="0"/>
      <w:marBottom w:val="0"/>
      <w:divBdr>
        <w:top w:val="none" w:sz="0" w:space="0" w:color="auto"/>
        <w:left w:val="none" w:sz="0" w:space="0" w:color="auto"/>
        <w:bottom w:val="none" w:sz="0" w:space="0" w:color="auto"/>
        <w:right w:val="none" w:sz="0" w:space="0" w:color="auto"/>
      </w:divBdr>
    </w:div>
    <w:div w:id="74742978">
      <w:bodyDiv w:val="1"/>
      <w:marLeft w:val="0"/>
      <w:marRight w:val="0"/>
      <w:marTop w:val="0"/>
      <w:marBottom w:val="0"/>
      <w:divBdr>
        <w:top w:val="none" w:sz="0" w:space="0" w:color="auto"/>
        <w:left w:val="none" w:sz="0" w:space="0" w:color="auto"/>
        <w:bottom w:val="none" w:sz="0" w:space="0" w:color="auto"/>
        <w:right w:val="none" w:sz="0" w:space="0" w:color="auto"/>
      </w:divBdr>
    </w:div>
    <w:div w:id="75903593">
      <w:bodyDiv w:val="1"/>
      <w:marLeft w:val="0"/>
      <w:marRight w:val="0"/>
      <w:marTop w:val="0"/>
      <w:marBottom w:val="0"/>
      <w:divBdr>
        <w:top w:val="none" w:sz="0" w:space="0" w:color="auto"/>
        <w:left w:val="none" w:sz="0" w:space="0" w:color="auto"/>
        <w:bottom w:val="none" w:sz="0" w:space="0" w:color="auto"/>
        <w:right w:val="none" w:sz="0" w:space="0" w:color="auto"/>
      </w:divBdr>
    </w:div>
    <w:div w:id="77678474">
      <w:bodyDiv w:val="1"/>
      <w:marLeft w:val="0"/>
      <w:marRight w:val="0"/>
      <w:marTop w:val="0"/>
      <w:marBottom w:val="0"/>
      <w:divBdr>
        <w:top w:val="none" w:sz="0" w:space="0" w:color="auto"/>
        <w:left w:val="none" w:sz="0" w:space="0" w:color="auto"/>
        <w:bottom w:val="none" w:sz="0" w:space="0" w:color="auto"/>
        <w:right w:val="none" w:sz="0" w:space="0" w:color="auto"/>
      </w:divBdr>
    </w:div>
    <w:div w:id="78449677">
      <w:bodyDiv w:val="1"/>
      <w:marLeft w:val="0"/>
      <w:marRight w:val="0"/>
      <w:marTop w:val="0"/>
      <w:marBottom w:val="0"/>
      <w:divBdr>
        <w:top w:val="none" w:sz="0" w:space="0" w:color="auto"/>
        <w:left w:val="none" w:sz="0" w:space="0" w:color="auto"/>
        <w:bottom w:val="none" w:sz="0" w:space="0" w:color="auto"/>
        <w:right w:val="none" w:sz="0" w:space="0" w:color="auto"/>
      </w:divBdr>
    </w:div>
    <w:div w:id="78522826">
      <w:bodyDiv w:val="1"/>
      <w:marLeft w:val="0"/>
      <w:marRight w:val="0"/>
      <w:marTop w:val="0"/>
      <w:marBottom w:val="0"/>
      <w:divBdr>
        <w:top w:val="none" w:sz="0" w:space="0" w:color="auto"/>
        <w:left w:val="none" w:sz="0" w:space="0" w:color="auto"/>
        <w:bottom w:val="none" w:sz="0" w:space="0" w:color="auto"/>
        <w:right w:val="none" w:sz="0" w:space="0" w:color="auto"/>
      </w:divBdr>
    </w:div>
    <w:div w:id="79718381">
      <w:bodyDiv w:val="1"/>
      <w:marLeft w:val="0"/>
      <w:marRight w:val="0"/>
      <w:marTop w:val="0"/>
      <w:marBottom w:val="0"/>
      <w:divBdr>
        <w:top w:val="none" w:sz="0" w:space="0" w:color="auto"/>
        <w:left w:val="none" w:sz="0" w:space="0" w:color="auto"/>
        <w:bottom w:val="none" w:sz="0" w:space="0" w:color="auto"/>
        <w:right w:val="none" w:sz="0" w:space="0" w:color="auto"/>
      </w:divBdr>
    </w:div>
    <w:div w:id="80874617">
      <w:bodyDiv w:val="1"/>
      <w:marLeft w:val="0"/>
      <w:marRight w:val="0"/>
      <w:marTop w:val="0"/>
      <w:marBottom w:val="0"/>
      <w:divBdr>
        <w:top w:val="none" w:sz="0" w:space="0" w:color="auto"/>
        <w:left w:val="none" w:sz="0" w:space="0" w:color="auto"/>
        <w:bottom w:val="none" w:sz="0" w:space="0" w:color="auto"/>
        <w:right w:val="none" w:sz="0" w:space="0" w:color="auto"/>
      </w:divBdr>
    </w:div>
    <w:div w:id="81537796">
      <w:bodyDiv w:val="1"/>
      <w:marLeft w:val="0"/>
      <w:marRight w:val="0"/>
      <w:marTop w:val="0"/>
      <w:marBottom w:val="0"/>
      <w:divBdr>
        <w:top w:val="none" w:sz="0" w:space="0" w:color="auto"/>
        <w:left w:val="none" w:sz="0" w:space="0" w:color="auto"/>
        <w:bottom w:val="none" w:sz="0" w:space="0" w:color="auto"/>
        <w:right w:val="none" w:sz="0" w:space="0" w:color="auto"/>
      </w:divBdr>
    </w:div>
    <w:div w:id="81994982">
      <w:bodyDiv w:val="1"/>
      <w:marLeft w:val="0"/>
      <w:marRight w:val="0"/>
      <w:marTop w:val="0"/>
      <w:marBottom w:val="0"/>
      <w:divBdr>
        <w:top w:val="none" w:sz="0" w:space="0" w:color="auto"/>
        <w:left w:val="none" w:sz="0" w:space="0" w:color="auto"/>
        <w:bottom w:val="none" w:sz="0" w:space="0" w:color="auto"/>
        <w:right w:val="none" w:sz="0" w:space="0" w:color="auto"/>
      </w:divBdr>
    </w:div>
    <w:div w:id="82454737">
      <w:bodyDiv w:val="1"/>
      <w:marLeft w:val="0"/>
      <w:marRight w:val="0"/>
      <w:marTop w:val="0"/>
      <w:marBottom w:val="0"/>
      <w:divBdr>
        <w:top w:val="none" w:sz="0" w:space="0" w:color="auto"/>
        <w:left w:val="none" w:sz="0" w:space="0" w:color="auto"/>
        <w:bottom w:val="none" w:sz="0" w:space="0" w:color="auto"/>
        <w:right w:val="none" w:sz="0" w:space="0" w:color="auto"/>
      </w:divBdr>
    </w:div>
    <w:div w:id="83259187">
      <w:bodyDiv w:val="1"/>
      <w:marLeft w:val="0"/>
      <w:marRight w:val="0"/>
      <w:marTop w:val="0"/>
      <w:marBottom w:val="0"/>
      <w:divBdr>
        <w:top w:val="none" w:sz="0" w:space="0" w:color="auto"/>
        <w:left w:val="none" w:sz="0" w:space="0" w:color="auto"/>
        <w:bottom w:val="none" w:sz="0" w:space="0" w:color="auto"/>
        <w:right w:val="none" w:sz="0" w:space="0" w:color="auto"/>
      </w:divBdr>
    </w:div>
    <w:div w:id="83499270">
      <w:bodyDiv w:val="1"/>
      <w:marLeft w:val="0"/>
      <w:marRight w:val="0"/>
      <w:marTop w:val="0"/>
      <w:marBottom w:val="0"/>
      <w:divBdr>
        <w:top w:val="none" w:sz="0" w:space="0" w:color="auto"/>
        <w:left w:val="none" w:sz="0" w:space="0" w:color="auto"/>
        <w:bottom w:val="none" w:sz="0" w:space="0" w:color="auto"/>
        <w:right w:val="none" w:sz="0" w:space="0" w:color="auto"/>
      </w:divBdr>
    </w:div>
    <w:div w:id="87388851">
      <w:bodyDiv w:val="1"/>
      <w:marLeft w:val="0"/>
      <w:marRight w:val="0"/>
      <w:marTop w:val="0"/>
      <w:marBottom w:val="0"/>
      <w:divBdr>
        <w:top w:val="none" w:sz="0" w:space="0" w:color="auto"/>
        <w:left w:val="none" w:sz="0" w:space="0" w:color="auto"/>
        <w:bottom w:val="none" w:sz="0" w:space="0" w:color="auto"/>
        <w:right w:val="none" w:sz="0" w:space="0" w:color="auto"/>
      </w:divBdr>
    </w:div>
    <w:div w:id="88238906">
      <w:bodyDiv w:val="1"/>
      <w:marLeft w:val="0"/>
      <w:marRight w:val="0"/>
      <w:marTop w:val="0"/>
      <w:marBottom w:val="0"/>
      <w:divBdr>
        <w:top w:val="none" w:sz="0" w:space="0" w:color="auto"/>
        <w:left w:val="none" w:sz="0" w:space="0" w:color="auto"/>
        <w:bottom w:val="none" w:sz="0" w:space="0" w:color="auto"/>
        <w:right w:val="none" w:sz="0" w:space="0" w:color="auto"/>
      </w:divBdr>
    </w:div>
    <w:div w:id="90203729">
      <w:bodyDiv w:val="1"/>
      <w:marLeft w:val="0"/>
      <w:marRight w:val="0"/>
      <w:marTop w:val="0"/>
      <w:marBottom w:val="0"/>
      <w:divBdr>
        <w:top w:val="none" w:sz="0" w:space="0" w:color="auto"/>
        <w:left w:val="none" w:sz="0" w:space="0" w:color="auto"/>
        <w:bottom w:val="none" w:sz="0" w:space="0" w:color="auto"/>
        <w:right w:val="none" w:sz="0" w:space="0" w:color="auto"/>
      </w:divBdr>
    </w:div>
    <w:div w:id="91710048">
      <w:bodyDiv w:val="1"/>
      <w:marLeft w:val="0"/>
      <w:marRight w:val="0"/>
      <w:marTop w:val="0"/>
      <w:marBottom w:val="0"/>
      <w:divBdr>
        <w:top w:val="none" w:sz="0" w:space="0" w:color="auto"/>
        <w:left w:val="none" w:sz="0" w:space="0" w:color="auto"/>
        <w:bottom w:val="none" w:sz="0" w:space="0" w:color="auto"/>
        <w:right w:val="none" w:sz="0" w:space="0" w:color="auto"/>
      </w:divBdr>
    </w:div>
    <w:div w:id="93014689">
      <w:bodyDiv w:val="1"/>
      <w:marLeft w:val="0"/>
      <w:marRight w:val="0"/>
      <w:marTop w:val="0"/>
      <w:marBottom w:val="0"/>
      <w:divBdr>
        <w:top w:val="none" w:sz="0" w:space="0" w:color="auto"/>
        <w:left w:val="none" w:sz="0" w:space="0" w:color="auto"/>
        <w:bottom w:val="none" w:sz="0" w:space="0" w:color="auto"/>
        <w:right w:val="none" w:sz="0" w:space="0" w:color="auto"/>
      </w:divBdr>
    </w:div>
    <w:div w:id="98256097">
      <w:bodyDiv w:val="1"/>
      <w:marLeft w:val="0"/>
      <w:marRight w:val="0"/>
      <w:marTop w:val="0"/>
      <w:marBottom w:val="0"/>
      <w:divBdr>
        <w:top w:val="none" w:sz="0" w:space="0" w:color="auto"/>
        <w:left w:val="none" w:sz="0" w:space="0" w:color="auto"/>
        <w:bottom w:val="none" w:sz="0" w:space="0" w:color="auto"/>
        <w:right w:val="none" w:sz="0" w:space="0" w:color="auto"/>
      </w:divBdr>
    </w:div>
    <w:div w:id="98720940">
      <w:bodyDiv w:val="1"/>
      <w:marLeft w:val="0"/>
      <w:marRight w:val="0"/>
      <w:marTop w:val="0"/>
      <w:marBottom w:val="0"/>
      <w:divBdr>
        <w:top w:val="none" w:sz="0" w:space="0" w:color="auto"/>
        <w:left w:val="none" w:sz="0" w:space="0" w:color="auto"/>
        <w:bottom w:val="none" w:sz="0" w:space="0" w:color="auto"/>
        <w:right w:val="none" w:sz="0" w:space="0" w:color="auto"/>
      </w:divBdr>
    </w:div>
    <w:div w:id="98792307">
      <w:bodyDiv w:val="1"/>
      <w:marLeft w:val="0"/>
      <w:marRight w:val="0"/>
      <w:marTop w:val="0"/>
      <w:marBottom w:val="0"/>
      <w:divBdr>
        <w:top w:val="none" w:sz="0" w:space="0" w:color="auto"/>
        <w:left w:val="none" w:sz="0" w:space="0" w:color="auto"/>
        <w:bottom w:val="none" w:sz="0" w:space="0" w:color="auto"/>
        <w:right w:val="none" w:sz="0" w:space="0" w:color="auto"/>
      </w:divBdr>
    </w:div>
    <w:div w:id="99033170">
      <w:bodyDiv w:val="1"/>
      <w:marLeft w:val="0"/>
      <w:marRight w:val="0"/>
      <w:marTop w:val="0"/>
      <w:marBottom w:val="0"/>
      <w:divBdr>
        <w:top w:val="none" w:sz="0" w:space="0" w:color="auto"/>
        <w:left w:val="none" w:sz="0" w:space="0" w:color="auto"/>
        <w:bottom w:val="none" w:sz="0" w:space="0" w:color="auto"/>
        <w:right w:val="none" w:sz="0" w:space="0" w:color="auto"/>
      </w:divBdr>
    </w:div>
    <w:div w:id="99183110">
      <w:bodyDiv w:val="1"/>
      <w:marLeft w:val="0"/>
      <w:marRight w:val="0"/>
      <w:marTop w:val="0"/>
      <w:marBottom w:val="0"/>
      <w:divBdr>
        <w:top w:val="none" w:sz="0" w:space="0" w:color="auto"/>
        <w:left w:val="none" w:sz="0" w:space="0" w:color="auto"/>
        <w:bottom w:val="none" w:sz="0" w:space="0" w:color="auto"/>
        <w:right w:val="none" w:sz="0" w:space="0" w:color="auto"/>
      </w:divBdr>
    </w:div>
    <w:div w:id="100338741">
      <w:bodyDiv w:val="1"/>
      <w:marLeft w:val="0"/>
      <w:marRight w:val="0"/>
      <w:marTop w:val="0"/>
      <w:marBottom w:val="0"/>
      <w:divBdr>
        <w:top w:val="none" w:sz="0" w:space="0" w:color="auto"/>
        <w:left w:val="none" w:sz="0" w:space="0" w:color="auto"/>
        <w:bottom w:val="none" w:sz="0" w:space="0" w:color="auto"/>
        <w:right w:val="none" w:sz="0" w:space="0" w:color="auto"/>
      </w:divBdr>
    </w:div>
    <w:div w:id="100616393">
      <w:bodyDiv w:val="1"/>
      <w:marLeft w:val="0"/>
      <w:marRight w:val="0"/>
      <w:marTop w:val="0"/>
      <w:marBottom w:val="0"/>
      <w:divBdr>
        <w:top w:val="none" w:sz="0" w:space="0" w:color="auto"/>
        <w:left w:val="none" w:sz="0" w:space="0" w:color="auto"/>
        <w:bottom w:val="none" w:sz="0" w:space="0" w:color="auto"/>
        <w:right w:val="none" w:sz="0" w:space="0" w:color="auto"/>
      </w:divBdr>
    </w:div>
    <w:div w:id="101385128">
      <w:bodyDiv w:val="1"/>
      <w:marLeft w:val="0"/>
      <w:marRight w:val="0"/>
      <w:marTop w:val="0"/>
      <w:marBottom w:val="0"/>
      <w:divBdr>
        <w:top w:val="none" w:sz="0" w:space="0" w:color="auto"/>
        <w:left w:val="none" w:sz="0" w:space="0" w:color="auto"/>
        <w:bottom w:val="none" w:sz="0" w:space="0" w:color="auto"/>
        <w:right w:val="none" w:sz="0" w:space="0" w:color="auto"/>
      </w:divBdr>
    </w:div>
    <w:div w:id="101460747">
      <w:bodyDiv w:val="1"/>
      <w:marLeft w:val="0"/>
      <w:marRight w:val="0"/>
      <w:marTop w:val="0"/>
      <w:marBottom w:val="0"/>
      <w:divBdr>
        <w:top w:val="none" w:sz="0" w:space="0" w:color="auto"/>
        <w:left w:val="none" w:sz="0" w:space="0" w:color="auto"/>
        <w:bottom w:val="none" w:sz="0" w:space="0" w:color="auto"/>
        <w:right w:val="none" w:sz="0" w:space="0" w:color="auto"/>
      </w:divBdr>
    </w:div>
    <w:div w:id="102461572">
      <w:bodyDiv w:val="1"/>
      <w:marLeft w:val="0"/>
      <w:marRight w:val="0"/>
      <w:marTop w:val="0"/>
      <w:marBottom w:val="0"/>
      <w:divBdr>
        <w:top w:val="none" w:sz="0" w:space="0" w:color="auto"/>
        <w:left w:val="none" w:sz="0" w:space="0" w:color="auto"/>
        <w:bottom w:val="none" w:sz="0" w:space="0" w:color="auto"/>
        <w:right w:val="none" w:sz="0" w:space="0" w:color="auto"/>
      </w:divBdr>
    </w:div>
    <w:div w:id="103574093">
      <w:bodyDiv w:val="1"/>
      <w:marLeft w:val="0"/>
      <w:marRight w:val="0"/>
      <w:marTop w:val="0"/>
      <w:marBottom w:val="0"/>
      <w:divBdr>
        <w:top w:val="none" w:sz="0" w:space="0" w:color="auto"/>
        <w:left w:val="none" w:sz="0" w:space="0" w:color="auto"/>
        <w:bottom w:val="none" w:sz="0" w:space="0" w:color="auto"/>
        <w:right w:val="none" w:sz="0" w:space="0" w:color="auto"/>
      </w:divBdr>
    </w:div>
    <w:div w:id="106318363">
      <w:bodyDiv w:val="1"/>
      <w:marLeft w:val="0"/>
      <w:marRight w:val="0"/>
      <w:marTop w:val="0"/>
      <w:marBottom w:val="0"/>
      <w:divBdr>
        <w:top w:val="none" w:sz="0" w:space="0" w:color="auto"/>
        <w:left w:val="none" w:sz="0" w:space="0" w:color="auto"/>
        <w:bottom w:val="none" w:sz="0" w:space="0" w:color="auto"/>
        <w:right w:val="none" w:sz="0" w:space="0" w:color="auto"/>
      </w:divBdr>
    </w:div>
    <w:div w:id="107698666">
      <w:bodyDiv w:val="1"/>
      <w:marLeft w:val="0"/>
      <w:marRight w:val="0"/>
      <w:marTop w:val="0"/>
      <w:marBottom w:val="0"/>
      <w:divBdr>
        <w:top w:val="none" w:sz="0" w:space="0" w:color="auto"/>
        <w:left w:val="none" w:sz="0" w:space="0" w:color="auto"/>
        <w:bottom w:val="none" w:sz="0" w:space="0" w:color="auto"/>
        <w:right w:val="none" w:sz="0" w:space="0" w:color="auto"/>
      </w:divBdr>
    </w:div>
    <w:div w:id="108162928">
      <w:bodyDiv w:val="1"/>
      <w:marLeft w:val="0"/>
      <w:marRight w:val="0"/>
      <w:marTop w:val="0"/>
      <w:marBottom w:val="0"/>
      <w:divBdr>
        <w:top w:val="none" w:sz="0" w:space="0" w:color="auto"/>
        <w:left w:val="none" w:sz="0" w:space="0" w:color="auto"/>
        <w:bottom w:val="none" w:sz="0" w:space="0" w:color="auto"/>
        <w:right w:val="none" w:sz="0" w:space="0" w:color="auto"/>
      </w:divBdr>
    </w:div>
    <w:div w:id="108935902">
      <w:bodyDiv w:val="1"/>
      <w:marLeft w:val="0"/>
      <w:marRight w:val="0"/>
      <w:marTop w:val="0"/>
      <w:marBottom w:val="0"/>
      <w:divBdr>
        <w:top w:val="none" w:sz="0" w:space="0" w:color="auto"/>
        <w:left w:val="none" w:sz="0" w:space="0" w:color="auto"/>
        <w:bottom w:val="none" w:sz="0" w:space="0" w:color="auto"/>
        <w:right w:val="none" w:sz="0" w:space="0" w:color="auto"/>
      </w:divBdr>
    </w:div>
    <w:div w:id="109512772">
      <w:bodyDiv w:val="1"/>
      <w:marLeft w:val="0"/>
      <w:marRight w:val="0"/>
      <w:marTop w:val="0"/>
      <w:marBottom w:val="0"/>
      <w:divBdr>
        <w:top w:val="none" w:sz="0" w:space="0" w:color="auto"/>
        <w:left w:val="none" w:sz="0" w:space="0" w:color="auto"/>
        <w:bottom w:val="none" w:sz="0" w:space="0" w:color="auto"/>
        <w:right w:val="none" w:sz="0" w:space="0" w:color="auto"/>
      </w:divBdr>
    </w:div>
    <w:div w:id="112940712">
      <w:bodyDiv w:val="1"/>
      <w:marLeft w:val="0"/>
      <w:marRight w:val="0"/>
      <w:marTop w:val="0"/>
      <w:marBottom w:val="0"/>
      <w:divBdr>
        <w:top w:val="none" w:sz="0" w:space="0" w:color="auto"/>
        <w:left w:val="none" w:sz="0" w:space="0" w:color="auto"/>
        <w:bottom w:val="none" w:sz="0" w:space="0" w:color="auto"/>
        <w:right w:val="none" w:sz="0" w:space="0" w:color="auto"/>
      </w:divBdr>
    </w:div>
    <w:div w:id="112942358">
      <w:bodyDiv w:val="1"/>
      <w:marLeft w:val="0"/>
      <w:marRight w:val="0"/>
      <w:marTop w:val="0"/>
      <w:marBottom w:val="0"/>
      <w:divBdr>
        <w:top w:val="none" w:sz="0" w:space="0" w:color="auto"/>
        <w:left w:val="none" w:sz="0" w:space="0" w:color="auto"/>
        <w:bottom w:val="none" w:sz="0" w:space="0" w:color="auto"/>
        <w:right w:val="none" w:sz="0" w:space="0" w:color="auto"/>
      </w:divBdr>
    </w:div>
    <w:div w:id="114059755">
      <w:bodyDiv w:val="1"/>
      <w:marLeft w:val="0"/>
      <w:marRight w:val="0"/>
      <w:marTop w:val="0"/>
      <w:marBottom w:val="0"/>
      <w:divBdr>
        <w:top w:val="none" w:sz="0" w:space="0" w:color="auto"/>
        <w:left w:val="none" w:sz="0" w:space="0" w:color="auto"/>
        <w:bottom w:val="none" w:sz="0" w:space="0" w:color="auto"/>
        <w:right w:val="none" w:sz="0" w:space="0" w:color="auto"/>
      </w:divBdr>
    </w:div>
    <w:div w:id="114105871">
      <w:bodyDiv w:val="1"/>
      <w:marLeft w:val="0"/>
      <w:marRight w:val="0"/>
      <w:marTop w:val="0"/>
      <w:marBottom w:val="0"/>
      <w:divBdr>
        <w:top w:val="none" w:sz="0" w:space="0" w:color="auto"/>
        <w:left w:val="none" w:sz="0" w:space="0" w:color="auto"/>
        <w:bottom w:val="none" w:sz="0" w:space="0" w:color="auto"/>
        <w:right w:val="none" w:sz="0" w:space="0" w:color="auto"/>
      </w:divBdr>
    </w:div>
    <w:div w:id="115025945">
      <w:bodyDiv w:val="1"/>
      <w:marLeft w:val="0"/>
      <w:marRight w:val="0"/>
      <w:marTop w:val="0"/>
      <w:marBottom w:val="0"/>
      <w:divBdr>
        <w:top w:val="none" w:sz="0" w:space="0" w:color="auto"/>
        <w:left w:val="none" w:sz="0" w:space="0" w:color="auto"/>
        <w:bottom w:val="none" w:sz="0" w:space="0" w:color="auto"/>
        <w:right w:val="none" w:sz="0" w:space="0" w:color="auto"/>
      </w:divBdr>
    </w:div>
    <w:div w:id="119038226">
      <w:bodyDiv w:val="1"/>
      <w:marLeft w:val="0"/>
      <w:marRight w:val="0"/>
      <w:marTop w:val="0"/>
      <w:marBottom w:val="0"/>
      <w:divBdr>
        <w:top w:val="none" w:sz="0" w:space="0" w:color="auto"/>
        <w:left w:val="none" w:sz="0" w:space="0" w:color="auto"/>
        <w:bottom w:val="none" w:sz="0" w:space="0" w:color="auto"/>
        <w:right w:val="none" w:sz="0" w:space="0" w:color="auto"/>
      </w:divBdr>
    </w:div>
    <w:div w:id="126751163">
      <w:bodyDiv w:val="1"/>
      <w:marLeft w:val="0"/>
      <w:marRight w:val="0"/>
      <w:marTop w:val="0"/>
      <w:marBottom w:val="0"/>
      <w:divBdr>
        <w:top w:val="none" w:sz="0" w:space="0" w:color="auto"/>
        <w:left w:val="none" w:sz="0" w:space="0" w:color="auto"/>
        <w:bottom w:val="none" w:sz="0" w:space="0" w:color="auto"/>
        <w:right w:val="none" w:sz="0" w:space="0" w:color="auto"/>
      </w:divBdr>
    </w:div>
    <w:div w:id="127625784">
      <w:bodyDiv w:val="1"/>
      <w:marLeft w:val="0"/>
      <w:marRight w:val="0"/>
      <w:marTop w:val="0"/>
      <w:marBottom w:val="0"/>
      <w:divBdr>
        <w:top w:val="none" w:sz="0" w:space="0" w:color="auto"/>
        <w:left w:val="none" w:sz="0" w:space="0" w:color="auto"/>
        <w:bottom w:val="none" w:sz="0" w:space="0" w:color="auto"/>
        <w:right w:val="none" w:sz="0" w:space="0" w:color="auto"/>
      </w:divBdr>
    </w:div>
    <w:div w:id="129523876">
      <w:bodyDiv w:val="1"/>
      <w:marLeft w:val="0"/>
      <w:marRight w:val="0"/>
      <w:marTop w:val="0"/>
      <w:marBottom w:val="0"/>
      <w:divBdr>
        <w:top w:val="none" w:sz="0" w:space="0" w:color="auto"/>
        <w:left w:val="none" w:sz="0" w:space="0" w:color="auto"/>
        <w:bottom w:val="none" w:sz="0" w:space="0" w:color="auto"/>
        <w:right w:val="none" w:sz="0" w:space="0" w:color="auto"/>
      </w:divBdr>
    </w:div>
    <w:div w:id="130641196">
      <w:bodyDiv w:val="1"/>
      <w:marLeft w:val="0"/>
      <w:marRight w:val="0"/>
      <w:marTop w:val="0"/>
      <w:marBottom w:val="0"/>
      <w:divBdr>
        <w:top w:val="none" w:sz="0" w:space="0" w:color="auto"/>
        <w:left w:val="none" w:sz="0" w:space="0" w:color="auto"/>
        <w:bottom w:val="none" w:sz="0" w:space="0" w:color="auto"/>
        <w:right w:val="none" w:sz="0" w:space="0" w:color="auto"/>
      </w:divBdr>
    </w:div>
    <w:div w:id="134298899">
      <w:bodyDiv w:val="1"/>
      <w:marLeft w:val="0"/>
      <w:marRight w:val="0"/>
      <w:marTop w:val="0"/>
      <w:marBottom w:val="0"/>
      <w:divBdr>
        <w:top w:val="none" w:sz="0" w:space="0" w:color="auto"/>
        <w:left w:val="none" w:sz="0" w:space="0" w:color="auto"/>
        <w:bottom w:val="none" w:sz="0" w:space="0" w:color="auto"/>
        <w:right w:val="none" w:sz="0" w:space="0" w:color="auto"/>
      </w:divBdr>
    </w:div>
    <w:div w:id="134489227">
      <w:bodyDiv w:val="1"/>
      <w:marLeft w:val="0"/>
      <w:marRight w:val="0"/>
      <w:marTop w:val="0"/>
      <w:marBottom w:val="0"/>
      <w:divBdr>
        <w:top w:val="none" w:sz="0" w:space="0" w:color="auto"/>
        <w:left w:val="none" w:sz="0" w:space="0" w:color="auto"/>
        <w:bottom w:val="none" w:sz="0" w:space="0" w:color="auto"/>
        <w:right w:val="none" w:sz="0" w:space="0" w:color="auto"/>
      </w:divBdr>
    </w:div>
    <w:div w:id="136344506">
      <w:bodyDiv w:val="1"/>
      <w:marLeft w:val="0"/>
      <w:marRight w:val="0"/>
      <w:marTop w:val="0"/>
      <w:marBottom w:val="0"/>
      <w:divBdr>
        <w:top w:val="none" w:sz="0" w:space="0" w:color="auto"/>
        <w:left w:val="none" w:sz="0" w:space="0" w:color="auto"/>
        <w:bottom w:val="none" w:sz="0" w:space="0" w:color="auto"/>
        <w:right w:val="none" w:sz="0" w:space="0" w:color="auto"/>
      </w:divBdr>
    </w:div>
    <w:div w:id="137379999">
      <w:bodyDiv w:val="1"/>
      <w:marLeft w:val="0"/>
      <w:marRight w:val="0"/>
      <w:marTop w:val="0"/>
      <w:marBottom w:val="0"/>
      <w:divBdr>
        <w:top w:val="none" w:sz="0" w:space="0" w:color="auto"/>
        <w:left w:val="none" w:sz="0" w:space="0" w:color="auto"/>
        <w:bottom w:val="none" w:sz="0" w:space="0" w:color="auto"/>
        <w:right w:val="none" w:sz="0" w:space="0" w:color="auto"/>
      </w:divBdr>
    </w:div>
    <w:div w:id="138113035">
      <w:bodyDiv w:val="1"/>
      <w:marLeft w:val="0"/>
      <w:marRight w:val="0"/>
      <w:marTop w:val="0"/>
      <w:marBottom w:val="0"/>
      <w:divBdr>
        <w:top w:val="none" w:sz="0" w:space="0" w:color="auto"/>
        <w:left w:val="none" w:sz="0" w:space="0" w:color="auto"/>
        <w:bottom w:val="none" w:sz="0" w:space="0" w:color="auto"/>
        <w:right w:val="none" w:sz="0" w:space="0" w:color="auto"/>
      </w:divBdr>
    </w:div>
    <w:div w:id="138423024">
      <w:bodyDiv w:val="1"/>
      <w:marLeft w:val="0"/>
      <w:marRight w:val="0"/>
      <w:marTop w:val="0"/>
      <w:marBottom w:val="0"/>
      <w:divBdr>
        <w:top w:val="none" w:sz="0" w:space="0" w:color="auto"/>
        <w:left w:val="none" w:sz="0" w:space="0" w:color="auto"/>
        <w:bottom w:val="none" w:sz="0" w:space="0" w:color="auto"/>
        <w:right w:val="none" w:sz="0" w:space="0" w:color="auto"/>
      </w:divBdr>
    </w:div>
    <w:div w:id="139227838">
      <w:bodyDiv w:val="1"/>
      <w:marLeft w:val="0"/>
      <w:marRight w:val="0"/>
      <w:marTop w:val="0"/>
      <w:marBottom w:val="0"/>
      <w:divBdr>
        <w:top w:val="none" w:sz="0" w:space="0" w:color="auto"/>
        <w:left w:val="none" w:sz="0" w:space="0" w:color="auto"/>
        <w:bottom w:val="none" w:sz="0" w:space="0" w:color="auto"/>
        <w:right w:val="none" w:sz="0" w:space="0" w:color="auto"/>
      </w:divBdr>
    </w:div>
    <w:div w:id="142549835">
      <w:bodyDiv w:val="1"/>
      <w:marLeft w:val="0"/>
      <w:marRight w:val="0"/>
      <w:marTop w:val="0"/>
      <w:marBottom w:val="0"/>
      <w:divBdr>
        <w:top w:val="none" w:sz="0" w:space="0" w:color="auto"/>
        <w:left w:val="none" w:sz="0" w:space="0" w:color="auto"/>
        <w:bottom w:val="none" w:sz="0" w:space="0" w:color="auto"/>
        <w:right w:val="none" w:sz="0" w:space="0" w:color="auto"/>
      </w:divBdr>
    </w:div>
    <w:div w:id="143787574">
      <w:bodyDiv w:val="1"/>
      <w:marLeft w:val="0"/>
      <w:marRight w:val="0"/>
      <w:marTop w:val="0"/>
      <w:marBottom w:val="0"/>
      <w:divBdr>
        <w:top w:val="none" w:sz="0" w:space="0" w:color="auto"/>
        <w:left w:val="none" w:sz="0" w:space="0" w:color="auto"/>
        <w:bottom w:val="none" w:sz="0" w:space="0" w:color="auto"/>
        <w:right w:val="none" w:sz="0" w:space="0" w:color="auto"/>
      </w:divBdr>
    </w:div>
    <w:div w:id="143814268">
      <w:bodyDiv w:val="1"/>
      <w:marLeft w:val="0"/>
      <w:marRight w:val="0"/>
      <w:marTop w:val="0"/>
      <w:marBottom w:val="0"/>
      <w:divBdr>
        <w:top w:val="none" w:sz="0" w:space="0" w:color="auto"/>
        <w:left w:val="none" w:sz="0" w:space="0" w:color="auto"/>
        <w:bottom w:val="none" w:sz="0" w:space="0" w:color="auto"/>
        <w:right w:val="none" w:sz="0" w:space="0" w:color="auto"/>
      </w:divBdr>
    </w:div>
    <w:div w:id="151025824">
      <w:bodyDiv w:val="1"/>
      <w:marLeft w:val="0"/>
      <w:marRight w:val="0"/>
      <w:marTop w:val="0"/>
      <w:marBottom w:val="0"/>
      <w:divBdr>
        <w:top w:val="none" w:sz="0" w:space="0" w:color="auto"/>
        <w:left w:val="none" w:sz="0" w:space="0" w:color="auto"/>
        <w:bottom w:val="none" w:sz="0" w:space="0" w:color="auto"/>
        <w:right w:val="none" w:sz="0" w:space="0" w:color="auto"/>
      </w:divBdr>
    </w:div>
    <w:div w:id="152257898">
      <w:bodyDiv w:val="1"/>
      <w:marLeft w:val="0"/>
      <w:marRight w:val="0"/>
      <w:marTop w:val="0"/>
      <w:marBottom w:val="0"/>
      <w:divBdr>
        <w:top w:val="none" w:sz="0" w:space="0" w:color="auto"/>
        <w:left w:val="none" w:sz="0" w:space="0" w:color="auto"/>
        <w:bottom w:val="none" w:sz="0" w:space="0" w:color="auto"/>
        <w:right w:val="none" w:sz="0" w:space="0" w:color="auto"/>
      </w:divBdr>
    </w:div>
    <w:div w:id="153305779">
      <w:bodyDiv w:val="1"/>
      <w:marLeft w:val="0"/>
      <w:marRight w:val="0"/>
      <w:marTop w:val="0"/>
      <w:marBottom w:val="0"/>
      <w:divBdr>
        <w:top w:val="none" w:sz="0" w:space="0" w:color="auto"/>
        <w:left w:val="none" w:sz="0" w:space="0" w:color="auto"/>
        <w:bottom w:val="none" w:sz="0" w:space="0" w:color="auto"/>
        <w:right w:val="none" w:sz="0" w:space="0" w:color="auto"/>
      </w:divBdr>
    </w:div>
    <w:div w:id="156191662">
      <w:bodyDiv w:val="1"/>
      <w:marLeft w:val="0"/>
      <w:marRight w:val="0"/>
      <w:marTop w:val="0"/>
      <w:marBottom w:val="0"/>
      <w:divBdr>
        <w:top w:val="none" w:sz="0" w:space="0" w:color="auto"/>
        <w:left w:val="none" w:sz="0" w:space="0" w:color="auto"/>
        <w:bottom w:val="none" w:sz="0" w:space="0" w:color="auto"/>
        <w:right w:val="none" w:sz="0" w:space="0" w:color="auto"/>
      </w:divBdr>
    </w:div>
    <w:div w:id="156195390">
      <w:bodyDiv w:val="1"/>
      <w:marLeft w:val="0"/>
      <w:marRight w:val="0"/>
      <w:marTop w:val="0"/>
      <w:marBottom w:val="0"/>
      <w:divBdr>
        <w:top w:val="none" w:sz="0" w:space="0" w:color="auto"/>
        <w:left w:val="none" w:sz="0" w:space="0" w:color="auto"/>
        <w:bottom w:val="none" w:sz="0" w:space="0" w:color="auto"/>
        <w:right w:val="none" w:sz="0" w:space="0" w:color="auto"/>
      </w:divBdr>
    </w:div>
    <w:div w:id="156383166">
      <w:bodyDiv w:val="1"/>
      <w:marLeft w:val="0"/>
      <w:marRight w:val="0"/>
      <w:marTop w:val="0"/>
      <w:marBottom w:val="0"/>
      <w:divBdr>
        <w:top w:val="none" w:sz="0" w:space="0" w:color="auto"/>
        <w:left w:val="none" w:sz="0" w:space="0" w:color="auto"/>
        <w:bottom w:val="none" w:sz="0" w:space="0" w:color="auto"/>
        <w:right w:val="none" w:sz="0" w:space="0" w:color="auto"/>
      </w:divBdr>
    </w:div>
    <w:div w:id="157695818">
      <w:bodyDiv w:val="1"/>
      <w:marLeft w:val="0"/>
      <w:marRight w:val="0"/>
      <w:marTop w:val="0"/>
      <w:marBottom w:val="0"/>
      <w:divBdr>
        <w:top w:val="none" w:sz="0" w:space="0" w:color="auto"/>
        <w:left w:val="none" w:sz="0" w:space="0" w:color="auto"/>
        <w:bottom w:val="none" w:sz="0" w:space="0" w:color="auto"/>
        <w:right w:val="none" w:sz="0" w:space="0" w:color="auto"/>
      </w:divBdr>
    </w:div>
    <w:div w:id="158235852">
      <w:bodyDiv w:val="1"/>
      <w:marLeft w:val="0"/>
      <w:marRight w:val="0"/>
      <w:marTop w:val="0"/>
      <w:marBottom w:val="0"/>
      <w:divBdr>
        <w:top w:val="none" w:sz="0" w:space="0" w:color="auto"/>
        <w:left w:val="none" w:sz="0" w:space="0" w:color="auto"/>
        <w:bottom w:val="none" w:sz="0" w:space="0" w:color="auto"/>
        <w:right w:val="none" w:sz="0" w:space="0" w:color="auto"/>
      </w:divBdr>
    </w:div>
    <w:div w:id="158812664">
      <w:bodyDiv w:val="1"/>
      <w:marLeft w:val="0"/>
      <w:marRight w:val="0"/>
      <w:marTop w:val="0"/>
      <w:marBottom w:val="0"/>
      <w:divBdr>
        <w:top w:val="none" w:sz="0" w:space="0" w:color="auto"/>
        <w:left w:val="none" w:sz="0" w:space="0" w:color="auto"/>
        <w:bottom w:val="none" w:sz="0" w:space="0" w:color="auto"/>
        <w:right w:val="none" w:sz="0" w:space="0" w:color="auto"/>
      </w:divBdr>
    </w:div>
    <w:div w:id="158886337">
      <w:bodyDiv w:val="1"/>
      <w:marLeft w:val="0"/>
      <w:marRight w:val="0"/>
      <w:marTop w:val="0"/>
      <w:marBottom w:val="0"/>
      <w:divBdr>
        <w:top w:val="none" w:sz="0" w:space="0" w:color="auto"/>
        <w:left w:val="none" w:sz="0" w:space="0" w:color="auto"/>
        <w:bottom w:val="none" w:sz="0" w:space="0" w:color="auto"/>
        <w:right w:val="none" w:sz="0" w:space="0" w:color="auto"/>
      </w:divBdr>
    </w:div>
    <w:div w:id="158889079">
      <w:bodyDiv w:val="1"/>
      <w:marLeft w:val="0"/>
      <w:marRight w:val="0"/>
      <w:marTop w:val="0"/>
      <w:marBottom w:val="0"/>
      <w:divBdr>
        <w:top w:val="none" w:sz="0" w:space="0" w:color="auto"/>
        <w:left w:val="none" w:sz="0" w:space="0" w:color="auto"/>
        <w:bottom w:val="none" w:sz="0" w:space="0" w:color="auto"/>
        <w:right w:val="none" w:sz="0" w:space="0" w:color="auto"/>
      </w:divBdr>
    </w:div>
    <w:div w:id="159077188">
      <w:bodyDiv w:val="1"/>
      <w:marLeft w:val="0"/>
      <w:marRight w:val="0"/>
      <w:marTop w:val="0"/>
      <w:marBottom w:val="0"/>
      <w:divBdr>
        <w:top w:val="none" w:sz="0" w:space="0" w:color="auto"/>
        <w:left w:val="none" w:sz="0" w:space="0" w:color="auto"/>
        <w:bottom w:val="none" w:sz="0" w:space="0" w:color="auto"/>
        <w:right w:val="none" w:sz="0" w:space="0" w:color="auto"/>
      </w:divBdr>
    </w:div>
    <w:div w:id="160899530">
      <w:bodyDiv w:val="1"/>
      <w:marLeft w:val="0"/>
      <w:marRight w:val="0"/>
      <w:marTop w:val="0"/>
      <w:marBottom w:val="0"/>
      <w:divBdr>
        <w:top w:val="none" w:sz="0" w:space="0" w:color="auto"/>
        <w:left w:val="none" w:sz="0" w:space="0" w:color="auto"/>
        <w:bottom w:val="none" w:sz="0" w:space="0" w:color="auto"/>
        <w:right w:val="none" w:sz="0" w:space="0" w:color="auto"/>
      </w:divBdr>
    </w:div>
    <w:div w:id="161119546">
      <w:bodyDiv w:val="1"/>
      <w:marLeft w:val="0"/>
      <w:marRight w:val="0"/>
      <w:marTop w:val="0"/>
      <w:marBottom w:val="0"/>
      <w:divBdr>
        <w:top w:val="none" w:sz="0" w:space="0" w:color="auto"/>
        <w:left w:val="none" w:sz="0" w:space="0" w:color="auto"/>
        <w:bottom w:val="none" w:sz="0" w:space="0" w:color="auto"/>
        <w:right w:val="none" w:sz="0" w:space="0" w:color="auto"/>
      </w:divBdr>
    </w:div>
    <w:div w:id="161746289">
      <w:bodyDiv w:val="1"/>
      <w:marLeft w:val="0"/>
      <w:marRight w:val="0"/>
      <w:marTop w:val="0"/>
      <w:marBottom w:val="0"/>
      <w:divBdr>
        <w:top w:val="none" w:sz="0" w:space="0" w:color="auto"/>
        <w:left w:val="none" w:sz="0" w:space="0" w:color="auto"/>
        <w:bottom w:val="none" w:sz="0" w:space="0" w:color="auto"/>
        <w:right w:val="none" w:sz="0" w:space="0" w:color="auto"/>
      </w:divBdr>
    </w:div>
    <w:div w:id="162017237">
      <w:bodyDiv w:val="1"/>
      <w:marLeft w:val="0"/>
      <w:marRight w:val="0"/>
      <w:marTop w:val="0"/>
      <w:marBottom w:val="0"/>
      <w:divBdr>
        <w:top w:val="none" w:sz="0" w:space="0" w:color="auto"/>
        <w:left w:val="none" w:sz="0" w:space="0" w:color="auto"/>
        <w:bottom w:val="none" w:sz="0" w:space="0" w:color="auto"/>
        <w:right w:val="none" w:sz="0" w:space="0" w:color="auto"/>
      </w:divBdr>
    </w:div>
    <w:div w:id="162093881">
      <w:bodyDiv w:val="1"/>
      <w:marLeft w:val="0"/>
      <w:marRight w:val="0"/>
      <w:marTop w:val="0"/>
      <w:marBottom w:val="0"/>
      <w:divBdr>
        <w:top w:val="none" w:sz="0" w:space="0" w:color="auto"/>
        <w:left w:val="none" w:sz="0" w:space="0" w:color="auto"/>
        <w:bottom w:val="none" w:sz="0" w:space="0" w:color="auto"/>
        <w:right w:val="none" w:sz="0" w:space="0" w:color="auto"/>
      </w:divBdr>
    </w:div>
    <w:div w:id="163016379">
      <w:bodyDiv w:val="1"/>
      <w:marLeft w:val="0"/>
      <w:marRight w:val="0"/>
      <w:marTop w:val="0"/>
      <w:marBottom w:val="0"/>
      <w:divBdr>
        <w:top w:val="none" w:sz="0" w:space="0" w:color="auto"/>
        <w:left w:val="none" w:sz="0" w:space="0" w:color="auto"/>
        <w:bottom w:val="none" w:sz="0" w:space="0" w:color="auto"/>
        <w:right w:val="none" w:sz="0" w:space="0" w:color="auto"/>
      </w:divBdr>
    </w:div>
    <w:div w:id="164634955">
      <w:bodyDiv w:val="1"/>
      <w:marLeft w:val="0"/>
      <w:marRight w:val="0"/>
      <w:marTop w:val="0"/>
      <w:marBottom w:val="0"/>
      <w:divBdr>
        <w:top w:val="none" w:sz="0" w:space="0" w:color="auto"/>
        <w:left w:val="none" w:sz="0" w:space="0" w:color="auto"/>
        <w:bottom w:val="none" w:sz="0" w:space="0" w:color="auto"/>
        <w:right w:val="none" w:sz="0" w:space="0" w:color="auto"/>
      </w:divBdr>
    </w:div>
    <w:div w:id="165365492">
      <w:bodyDiv w:val="1"/>
      <w:marLeft w:val="0"/>
      <w:marRight w:val="0"/>
      <w:marTop w:val="0"/>
      <w:marBottom w:val="0"/>
      <w:divBdr>
        <w:top w:val="none" w:sz="0" w:space="0" w:color="auto"/>
        <w:left w:val="none" w:sz="0" w:space="0" w:color="auto"/>
        <w:bottom w:val="none" w:sz="0" w:space="0" w:color="auto"/>
        <w:right w:val="none" w:sz="0" w:space="0" w:color="auto"/>
      </w:divBdr>
    </w:div>
    <w:div w:id="167134864">
      <w:bodyDiv w:val="1"/>
      <w:marLeft w:val="0"/>
      <w:marRight w:val="0"/>
      <w:marTop w:val="0"/>
      <w:marBottom w:val="0"/>
      <w:divBdr>
        <w:top w:val="none" w:sz="0" w:space="0" w:color="auto"/>
        <w:left w:val="none" w:sz="0" w:space="0" w:color="auto"/>
        <w:bottom w:val="none" w:sz="0" w:space="0" w:color="auto"/>
        <w:right w:val="none" w:sz="0" w:space="0" w:color="auto"/>
      </w:divBdr>
    </w:div>
    <w:div w:id="169563725">
      <w:bodyDiv w:val="1"/>
      <w:marLeft w:val="0"/>
      <w:marRight w:val="0"/>
      <w:marTop w:val="0"/>
      <w:marBottom w:val="0"/>
      <w:divBdr>
        <w:top w:val="none" w:sz="0" w:space="0" w:color="auto"/>
        <w:left w:val="none" w:sz="0" w:space="0" w:color="auto"/>
        <w:bottom w:val="none" w:sz="0" w:space="0" w:color="auto"/>
        <w:right w:val="none" w:sz="0" w:space="0" w:color="auto"/>
      </w:divBdr>
    </w:div>
    <w:div w:id="169569243">
      <w:bodyDiv w:val="1"/>
      <w:marLeft w:val="0"/>
      <w:marRight w:val="0"/>
      <w:marTop w:val="0"/>
      <w:marBottom w:val="0"/>
      <w:divBdr>
        <w:top w:val="none" w:sz="0" w:space="0" w:color="auto"/>
        <w:left w:val="none" w:sz="0" w:space="0" w:color="auto"/>
        <w:bottom w:val="none" w:sz="0" w:space="0" w:color="auto"/>
        <w:right w:val="none" w:sz="0" w:space="0" w:color="auto"/>
      </w:divBdr>
    </w:div>
    <w:div w:id="170919858">
      <w:bodyDiv w:val="1"/>
      <w:marLeft w:val="0"/>
      <w:marRight w:val="0"/>
      <w:marTop w:val="0"/>
      <w:marBottom w:val="0"/>
      <w:divBdr>
        <w:top w:val="none" w:sz="0" w:space="0" w:color="auto"/>
        <w:left w:val="none" w:sz="0" w:space="0" w:color="auto"/>
        <w:bottom w:val="none" w:sz="0" w:space="0" w:color="auto"/>
        <w:right w:val="none" w:sz="0" w:space="0" w:color="auto"/>
      </w:divBdr>
    </w:div>
    <w:div w:id="170949190">
      <w:bodyDiv w:val="1"/>
      <w:marLeft w:val="0"/>
      <w:marRight w:val="0"/>
      <w:marTop w:val="0"/>
      <w:marBottom w:val="0"/>
      <w:divBdr>
        <w:top w:val="none" w:sz="0" w:space="0" w:color="auto"/>
        <w:left w:val="none" w:sz="0" w:space="0" w:color="auto"/>
        <w:bottom w:val="none" w:sz="0" w:space="0" w:color="auto"/>
        <w:right w:val="none" w:sz="0" w:space="0" w:color="auto"/>
      </w:divBdr>
    </w:div>
    <w:div w:id="171066603">
      <w:bodyDiv w:val="1"/>
      <w:marLeft w:val="0"/>
      <w:marRight w:val="0"/>
      <w:marTop w:val="0"/>
      <w:marBottom w:val="0"/>
      <w:divBdr>
        <w:top w:val="none" w:sz="0" w:space="0" w:color="auto"/>
        <w:left w:val="none" w:sz="0" w:space="0" w:color="auto"/>
        <w:bottom w:val="none" w:sz="0" w:space="0" w:color="auto"/>
        <w:right w:val="none" w:sz="0" w:space="0" w:color="auto"/>
      </w:divBdr>
    </w:div>
    <w:div w:id="174927516">
      <w:bodyDiv w:val="1"/>
      <w:marLeft w:val="0"/>
      <w:marRight w:val="0"/>
      <w:marTop w:val="0"/>
      <w:marBottom w:val="0"/>
      <w:divBdr>
        <w:top w:val="none" w:sz="0" w:space="0" w:color="auto"/>
        <w:left w:val="none" w:sz="0" w:space="0" w:color="auto"/>
        <w:bottom w:val="none" w:sz="0" w:space="0" w:color="auto"/>
        <w:right w:val="none" w:sz="0" w:space="0" w:color="auto"/>
      </w:divBdr>
    </w:div>
    <w:div w:id="175117893">
      <w:bodyDiv w:val="1"/>
      <w:marLeft w:val="0"/>
      <w:marRight w:val="0"/>
      <w:marTop w:val="0"/>
      <w:marBottom w:val="0"/>
      <w:divBdr>
        <w:top w:val="none" w:sz="0" w:space="0" w:color="auto"/>
        <w:left w:val="none" w:sz="0" w:space="0" w:color="auto"/>
        <w:bottom w:val="none" w:sz="0" w:space="0" w:color="auto"/>
        <w:right w:val="none" w:sz="0" w:space="0" w:color="auto"/>
      </w:divBdr>
    </w:div>
    <w:div w:id="175655889">
      <w:bodyDiv w:val="1"/>
      <w:marLeft w:val="0"/>
      <w:marRight w:val="0"/>
      <w:marTop w:val="0"/>
      <w:marBottom w:val="0"/>
      <w:divBdr>
        <w:top w:val="none" w:sz="0" w:space="0" w:color="auto"/>
        <w:left w:val="none" w:sz="0" w:space="0" w:color="auto"/>
        <w:bottom w:val="none" w:sz="0" w:space="0" w:color="auto"/>
        <w:right w:val="none" w:sz="0" w:space="0" w:color="auto"/>
      </w:divBdr>
    </w:div>
    <w:div w:id="175846411">
      <w:bodyDiv w:val="1"/>
      <w:marLeft w:val="0"/>
      <w:marRight w:val="0"/>
      <w:marTop w:val="0"/>
      <w:marBottom w:val="0"/>
      <w:divBdr>
        <w:top w:val="none" w:sz="0" w:space="0" w:color="auto"/>
        <w:left w:val="none" w:sz="0" w:space="0" w:color="auto"/>
        <w:bottom w:val="none" w:sz="0" w:space="0" w:color="auto"/>
        <w:right w:val="none" w:sz="0" w:space="0" w:color="auto"/>
      </w:divBdr>
    </w:div>
    <w:div w:id="178199838">
      <w:bodyDiv w:val="1"/>
      <w:marLeft w:val="0"/>
      <w:marRight w:val="0"/>
      <w:marTop w:val="0"/>
      <w:marBottom w:val="0"/>
      <w:divBdr>
        <w:top w:val="none" w:sz="0" w:space="0" w:color="auto"/>
        <w:left w:val="none" w:sz="0" w:space="0" w:color="auto"/>
        <w:bottom w:val="none" w:sz="0" w:space="0" w:color="auto"/>
        <w:right w:val="none" w:sz="0" w:space="0" w:color="auto"/>
      </w:divBdr>
    </w:div>
    <w:div w:id="178857065">
      <w:bodyDiv w:val="1"/>
      <w:marLeft w:val="0"/>
      <w:marRight w:val="0"/>
      <w:marTop w:val="0"/>
      <w:marBottom w:val="0"/>
      <w:divBdr>
        <w:top w:val="none" w:sz="0" w:space="0" w:color="auto"/>
        <w:left w:val="none" w:sz="0" w:space="0" w:color="auto"/>
        <w:bottom w:val="none" w:sz="0" w:space="0" w:color="auto"/>
        <w:right w:val="none" w:sz="0" w:space="0" w:color="auto"/>
      </w:divBdr>
    </w:div>
    <w:div w:id="179469367">
      <w:bodyDiv w:val="1"/>
      <w:marLeft w:val="0"/>
      <w:marRight w:val="0"/>
      <w:marTop w:val="0"/>
      <w:marBottom w:val="0"/>
      <w:divBdr>
        <w:top w:val="none" w:sz="0" w:space="0" w:color="auto"/>
        <w:left w:val="none" w:sz="0" w:space="0" w:color="auto"/>
        <w:bottom w:val="none" w:sz="0" w:space="0" w:color="auto"/>
        <w:right w:val="none" w:sz="0" w:space="0" w:color="auto"/>
      </w:divBdr>
    </w:div>
    <w:div w:id="182673085">
      <w:bodyDiv w:val="1"/>
      <w:marLeft w:val="0"/>
      <w:marRight w:val="0"/>
      <w:marTop w:val="0"/>
      <w:marBottom w:val="0"/>
      <w:divBdr>
        <w:top w:val="none" w:sz="0" w:space="0" w:color="auto"/>
        <w:left w:val="none" w:sz="0" w:space="0" w:color="auto"/>
        <w:bottom w:val="none" w:sz="0" w:space="0" w:color="auto"/>
        <w:right w:val="none" w:sz="0" w:space="0" w:color="auto"/>
      </w:divBdr>
    </w:div>
    <w:div w:id="182864954">
      <w:bodyDiv w:val="1"/>
      <w:marLeft w:val="0"/>
      <w:marRight w:val="0"/>
      <w:marTop w:val="0"/>
      <w:marBottom w:val="0"/>
      <w:divBdr>
        <w:top w:val="none" w:sz="0" w:space="0" w:color="auto"/>
        <w:left w:val="none" w:sz="0" w:space="0" w:color="auto"/>
        <w:bottom w:val="none" w:sz="0" w:space="0" w:color="auto"/>
        <w:right w:val="none" w:sz="0" w:space="0" w:color="auto"/>
      </w:divBdr>
    </w:div>
    <w:div w:id="183248617">
      <w:bodyDiv w:val="1"/>
      <w:marLeft w:val="0"/>
      <w:marRight w:val="0"/>
      <w:marTop w:val="0"/>
      <w:marBottom w:val="0"/>
      <w:divBdr>
        <w:top w:val="none" w:sz="0" w:space="0" w:color="auto"/>
        <w:left w:val="none" w:sz="0" w:space="0" w:color="auto"/>
        <w:bottom w:val="none" w:sz="0" w:space="0" w:color="auto"/>
        <w:right w:val="none" w:sz="0" w:space="0" w:color="auto"/>
      </w:divBdr>
    </w:div>
    <w:div w:id="184557828">
      <w:bodyDiv w:val="1"/>
      <w:marLeft w:val="0"/>
      <w:marRight w:val="0"/>
      <w:marTop w:val="0"/>
      <w:marBottom w:val="0"/>
      <w:divBdr>
        <w:top w:val="none" w:sz="0" w:space="0" w:color="auto"/>
        <w:left w:val="none" w:sz="0" w:space="0" w:color="auto"/>
        <w:bottom w:val="none" w:sz="0" w:space="0" w:color="auto"/>
        <w:right w:val="none" w:sz="0" w:space="0" w:color="auto"/>
      </w:divBdr>
    </w:div>
    <w:div w:id="187644973">
      <w:bodyDiv w:val="1"/>
      <w:marLeft w:val="0"/>
      <w:marRight w:val="0"/>
      <w:marTop w:val="0"/>
      <w:marBottom w:val="0"/>
      <w:divBdr>
        <w:top w:val="none" w:sz="0" w:space="0" w:color="auto"/>
        <w:left w:val="none" w:sz="0" w:space="0" w:color="auto"/>
        <w:bottom w:val="none" w:sz="0" w:space="0" w:color="auto"/>
        <w:right w:val="none" w:sz="0" w:space="0" w:color="auto"/>
      </w:divBdr>
    </w:div>
    <w:div w:id="189531119">
      <w:bodyDiv w:val="1"/>
      <w:marLeft w:val="0"/>
      <w:marRight w:val="0"/>
      <w:marTop w:val="0"/>
      <w:marBottom w:val="0"/>
      <w:divBdr>
        <w:top w:val="none" w:sz="0" w:space="0" w:color="auto"/>
        <w:left w:val="none" w:sz="0" w:space="0" w:color="auto"/>
        <w:bottom w:val="none" w:sz="0" w:space="0" w:color="auto"/>
        <w:right w:val="none" w:sz="0" w:space="0" w:color="auto"/>
      </w:divBdr>
    </w:div>
    <w:div w:id="192233333">
      <w:bodyDiv w:val="1"/>
      <w:marLeft w:val="0"/>
      <w:marRight w:val="0"/>
      <w:marTop w:val="0"/>
      <w:marBottom w:val="0"/>
      <w:divBdr>
        <w:top w:val="none" w:sz="0" w:space="0" w:color="auto"/>
        <w:left w:val="none" w:sz="0" w:space="0" w:color="auto"/>
        <w:bottom w:val="none" w:sz="0" w:space="0" w:color="auto"/>
        <w:right w:val="none" w:sz="0" w:space="0" w:color="auto"/>
      </w:divBdr>
    </w:div>
    <w:div w:id="198520393">
      <w:bodyDiv w:val="1"/>
      <w:marLeft w:val="0"/>
      <w:marRight w:val="0"/>
      <w:marTop w:val="0"/>
      <w:marBottom w:val="0"/>
      <w:divBdr>
        <w:top w:val="none" w:sz="0" w:space="0" w:color="auto"/>
        <w:left w:val="none" w:sz="0" w:space="0" w:color="auto"/>
        <w:bottom w:val="none" w:sz="0" w:space="0" w:color="auto"/>
        <w:right w:val="none" w:sz="0" w:space="0" w:color="auto"/>
      </w:divBdr>
    </w:div>
    <w:div w:id="199317990">
      <w:bodyDiv w:val="1"/>
      <w:marLeft w:val="0"/>
      <w:marRight w:val="0"/>
      <w:marTop w:val="0"/>
      <w:marBottom w:val="0"/>
      <w:divBdr>
        <w:top w:val="none" w:sz="0" w:space="0" w:color="auto"/>
        <w:left w:val="none" w:sz="0" w:space="0" w:color="auto"/>
        <w:bottom w:val="none" w:sz="0" w:space="0" w:color="auto"/>
        <w:right w:val="none" w:sz="0" w:space="0" w:color="auto"/>
      </w:divBdr>
    </w:div>
    <w:div w:id="199361207">
      <w:bodyDiv w:val="1"/>
      <w:marLeft w:val="0"/>
      <w:marRight w:val="0"/>
      <w:marTop w:val="0"/>
      <w:marBottom w:val="0"/>
      <w:divBdr>
        <w:top w:val="none" w:sz="0" w:space="0" w:color="auto"/>
        <w:left w:val="none" w:sz="0" w:space="0" w:color="auto"/>
        <w:bottom w:val="none" w:sz="0" w:space="0" w:color="auto"/>
        <w:right w:val="none" w:sz="0" w:space="0" w:color="auto"/>
      </w:divBdr>
    </w:div>
    <w:div w:id="200288930">
      <w:bodyDiv w:val="1"/>
      <w:marLeft w:val="0"/>
      <w:marRight w:val="0"/>
      <w:marTop w:val="0"/>
      <w:marBottom w:val="0"/>
      <w:divBdr>
        <w:top w:val="none" w:sz="0" w:space="0" w:color="auto"/>
        <w:left w:val="none" w:sz="0" w:space="0" w:color="auto"/>
        <w:bottom w:val="none" w:sz="0" w:space="0" w:color="auto"/>
        <w:right w:val="none" w:sz="0" w:space="0" w:color="auto"/>
      </w:divBdr>
    </w:div>
    <w:div w:id="205024482">
      <w:bodyDiv w:val="1"/>
      <w:marLeft w:val="0"/>
      <w:marRight w:val="0"/>
      <w:marTop w:val="0"/>
      <w:marBottom w:val="0"/>
      <w:divBdr>
        <w:top w:val="none" w:sz="0" w:space="0" w:color="auto"/>
        <w:left w:val="none" w:sz="0" w:space="0" w:color="auto"/>
        <w:bottom w:val="none" w:sz="0" w:space="0" w:color="auto"/>
        <w:right w:val="none" w:sz="0" w:space="0" w:color="auto"/>
      </w:divBdr>
    </w:div>
    <w:div w:id="210382722">
      <w:bodyDiv w:val="1"/>
      <w:marLeft w:val="0"/>
      <w:marRight w:val="0"/>
      <w:marTop w:val="0"/>
      <w:marBottom w:val="0"/>
      <w:divBdr>
        <w:top w:val="none" w:sz="0" w:space="0" w:color="auto"/>
        <w:left w:val="none" w:sz="0" w:space="0" w:color="auto"/>
        <w:bottom w:val="none" w:sz="0" w:space="0" w:color="auto"/>
        <w:right w:val="none" w:sz="0" w:space="0" w:color="auto"/>
      </w:divBdr>
    </w:div>
    <w:div w:id="210920480">
      <w:bodyDiv w:val="1"/>
      <w:marLeft w:val="0"/>
      <w:marRight w:val="0"/>
      <w:marTop w:val="0"/>
      <w:marBottom w:val="0"/>
      <w:divBdr>
        <w:top w:val="none" w:sz="0" w:space="0" w:color="auto"/>
        <w:left w:val="none" w:sz="0" w:space="0" w:color="auto"/>
        <w:bottom w:val="none" w:sz="0" w:space="0" w:color="auto"/>
        <w:right w:val="none" w:sz="0" w:space="0" w:color="auto"/>
      </w:divBdr>
    </w:div>
    <w:div w:id="213395164">
      <w:bodyDiv w:val="1"/>
      <w:marLeft w:val="0"/>
      <w:marRight w:val="0"/>
      <w:marTop w:val="0"/>
      <w:marBottom w:val="0"/>
      <w:divBdr>
        <w:top w:val="none" w:sz="0" w:space="0" w:color="auto"/>
        <w:left w:val="none" w:sz="0" w:space="0" w:color="auto"/>
        <w:bottom w:val="none" w:sz="0" w:space="0" w:color="auto"/>
        <w:right w:val="none" w:sz="0" w:space="0" w:color="auto"/>
      </w:divBdr>
    </w:div>
    <w:div w:id="214900385">
      <w:bodyDiv w:val="1"/>
      <w:marLeft w:val="0"/>
      <w:marRight w:val="0"/>
      <w:marTop w:val="0"/>
      <w:marBottom w:val="0"/>
      <w:divBdr>
        <w:top w:val="none" w:sz="0" w:space="0" w:color="auto"/>
        <w:left w:val="none" w:sz="0" w:space="0" w:color="auto"/>
        <w:bottom w:val="none" w:sz="0" w:space="0" w:color="auto"/>
        <w:right w:val="none" w:sz="0" w:space="0" w:color="auto"/>
      </w:divBdr>
    </w:div>
    <w:div w:id="217402178">
      <w:bodyDiv w:val="1"/>
      <w:marLeft w:val="0"/>
      <w:marRight w:val="0"/>
      <w:marTop w:val="0"/>
      <w:marBottom w:val="0"/>
      <w:divBdr>
        <w:top w:val="none" w:sz="0" w:space="0" w:color="auto"/>
        <w:left w:val="none" w:sz="0" w:space="0" w:color="auto"/>
        <w:bottom w:val="none" w:sz="0" w:space="0" w:color="auto"/>
        <w:right w:val="none" w:sz="0" w:space="0" w:color="auto"/>
      </w:divBdr>
    </w:div>
    <w:div w:id="217478531">
      <w:bodyDiv w:val="1"/>
      <w:marLeft w:val="0"/>
      <w:marRight w:val="0"/>
      <w:marTop w:val="0"/>
      <w:marBottom w:val="0"/>
      <w:divBdr>
        <w:top w:val="none" w:sz="0" w:space="0" w:color="auto"/>
        <w:left w:val="none" w:sz="0" w:space="0" w:color="auto"/>
        <w:bottom w:val="none" w:sz="0" w:space="0" w:color="auto"/>
        <w:right w:val="none" w:sz="0" w:space="0" w:color="auto"/>
      </w:divBdr>
    </w:div>
    <w:div w:id="217741011">
      <w:bodyDiv w:val="1"/>
      <w:marLeft w:val="0"/>
      <w:marRight w:val="0"/>
      <w:marTop w:val="0"/>
      <w:marBottom w:val="0"/>
      <w:divBdr>
        <w:top w:val="none" w:sz="0" w:space="0" w:color="auto"/>
        <w:left w:val="none" w:sz="0" w:space="0" w:color="auto"/>
        <w:bottom w:val="none" w:sz="0" w:space="0" w:color="auto"/>
        <w:right w:val="none" w:sz="0" w:space="0" w:color="auto"/>
      </w:divBdr>
    </w:div>
    <w:div w:id="217791216">
      <w:bodyDiv w:val="1"/>
      <w:marLeft w:val="0"/>
      <w:marRight w:val="0"/>
      <w:marTop w:val="0"/>
      <w:marBottom w:val="0"/>
      <w:divBdr>
        <w:top w:val="none" w:sz="0" w:space="0" w:color="auto"/>
        <w:left w:val="none" w:sz="0" w:space="0" w:color="auto"/>
        <w:bottom w:val="none" w:sz="0" w:space="0" w:color="auto"/>
        <w:right w:val="none" w:sz="0" w:space="0" w:color="auto"/>
      </w:divBdr>
    </w:div>
    <w:div w:id="218788324">
      <w:bodyDiv w:val="1"/>
      <w:marLeft w:val="0"/>
      <w:marRight w:val="0"/>
      <w:marTop w:val="0"/>
      <w:marBottom w:val="0"/>
      <w:divBdr>
        <w:top w:val="none" w:sz="0" w:space="0" w:color="auto"/>
        <w:left w:val="none" w:sz="0" w:space="0" w:color="auto"/>
        <w:bottom w:val="none" w:sz="0" w:space="0" w:color="auto"/>
        <w:right w:val="none" w:sz="0" w:space="0" w:color="auto"/>
      </w:divBdr>
    </w:div>
    <w:div w:id="219512461">
      <w:bodyDiv w:val="1"/>
      <w:marLeft w:val="0"/>
      <w:marRight w:val="0"/>
      <w:marTop w:val="0"/>
      <w:marBottom w:val="0"/>
      <w:divBdr>
        <w:top w:val="none" w:sz="0" w:space="0" w:color="auto"/>
        <w:left w:val="none" w:sz="0" w:space="0" w:color="auto"/>
        <w:bottom w:val="none" w:sz="0" w:space="0" w:color="auto"/>
        <w:right w:val="none" w:sz="0" w:space="0" w:color="auto"/>
      </w:divBdr>
    </w:div>
    <w:div w:id="220601494">
      <w:bodyDiv w:val="1"/>
      <w:marLeft w:val="0"/>
      <w:marRight w:val="0"/>
      <w:marTop w:val="0"/>
      <w:marBottom w:val="0"/>
      <w:divBdr>
        <w:top w:val="none" w:sz="0" w:space="0" w:color="auto"/>
        <w:left w:val="none" w:sz="0" w:space="0" w:color="auto"/>
        <w:bottom w:val="none" w:sz="0" w:space="0" w:color="auto"/>
        <w:right w:val="none" w:sz="0" w:space="0" w:color="auto"/>
      </w:divBdr>
    </w:div>
    <w:div w:id="221212143">
      <w:bodyDiv w:val="1"/>
      <w:marLeft w:val="0"/>
      <w:marRight w:val="0"/>
      <w:marTop w:val="0"/>
      <w:marBottom w:val="0"/>
      <w:divBdr>
        <w:top w:val="none" w:sz="0" w:space="0" w:color="auto"/>
        <w:left w:val="none" w:sz="0" w:space="0" w:color="auto"/>
        <w:bottom w:val="none" w:sz="0" w:space="0" w:color="auto"/>
        <w:right w:val="none" w:sz="0" w:space="0" w:color="auto"/>
      </w:divBdr>
    </w:div>
    <w:div w:id="223031672">
      <w:bodyDiv w:val="1"/>
      <w:marLeft w:val="0"/>
      <w:marRight w:val="0"/>
      <w:marTop w:val="0"/>
      <w:marBottom w:val="0"/>
      <w:divBdr>
        <w:top w:val="none" w:sz="0" w:space="0" w:color="auto"/>
        <w:left w:val="none" w:sz="0" w:space="0" w:color="auto"/>
        <w:bottom w:val="none" w:sz="0" w:space="0" w:color="auto"/>
        <w:right w:val="none" w:sz="0" w:space="0" w:color="auto"/>
      </w:divBdr>
    </w:div>
    <w:div w:id="224074314">
      <w:bodyDiv w:val="1"/>
      <w:marLeft w:val="0"/>
      <w:marRight w:val="0"/>
      <w:marTop w:val="0"/>
      <w:marBottom w:val="0"/>
      <w:divBdr>
        <w:top w:val="none" w:sz="0" w:space="0" w:color="auto"/>
        <w:left w:val="none" w:sz="0" w:space="0" w:color="auto"/>
        <w:bottom w:val="none" w:sz="0" w:space="0" w:color="auto"/>
        <w:right w:val="none" w:sz="0" w:space="0" w:color="auto"/>
      </w:divBdr>
    </w:div>
    <w:div w:id="224920903">
      <w:bodyDiv w:val="1"/>
      <w:marLeft w:val="0"/>
      <w:marRight w:val="0"/>
      <w:marTop w:val="0"/>
      <w:marBottom w:val="0"/>
      <w:divBdr>
        <w:top w:val="none" w:sz="0" w:space="0" w:color="auto"/>
        <w:left w:val="none" w:sz="0" w:space="0" w:color="auto"/>
        <w:bottom w:val="none" w:sz="0" w:space="0" w:color="auto"/>
        <w:right w:val="none" w:sz="0" w:space="0" w:color="auto"/>
      </w:divBdr>
    </w:div>
    <w:div w:id="226035998">
      <w:bodyDiv w:val="1"/>
      <w:marLeft w:val="0"/>
      <w:marRight w:val="0"/>
      <w:marTop w:val="0"/>
      <w:marBottom w:val="0"/>
      <w:divBdr>
        <w:top w:val="none" w:sz="0" w:space="0" w:color="auto"/>
        <w:left w:val="none" w:sz="0" w:space="0" w:color="auto"/>
        <w:bottom w:val="none" w:sz="0" w:space="0" w:color="auto"/>
        <w:right w:val="none" w:sz="0" w:space="0" w:color="auto"/>
      </w:divBdr>
    </w:div>
    <w:div w:id="226107669">
      <w:bodyDiv w:val="1"/>
      <w:marLeft w:val="0"/>
      <w:marRight w:val="0"/>
      <w:marTop w:val="0"/>
      <w:marBottom w:val="0"/>
      <w:divBdr>
        <w:top w:val="none" w:sz="0" w:space="0" w:color="auto"/>
        <w:left w:val="none" w:sz="0" w:space="0" w:color="auto"/>
        <w:bottom w:val="none" w:sz="0" w:space="0" w:color="auto"/>
        <w:right w:val="none" w:sz="0" w:space="0" w:color="auto"/>
      </w:divBdr>
    </w:div>
    <w:div w:id="226886919">
      <w:bodyDiv w:val="1"/>
      <w:marLeft w:val="0"/>
      <w:marRight w:val="0"/>
      <w:marTop w:val="0"/>
      <w:marBottom w:val="0"/>
      <w:divBdr>
        <w:top w:val="none" w:sz="0" w:space="0" w:color="auto"/>
        <w:left w:val="none" w:sz="0" w:space="0" w:color="auto"/>
        <w:bottom w:val="none" w:sz="0" w:space="0" w:color="auto"/>
        <w:right w:val="none" w:sz="0" w:space="0" w:color="auto"/>
      </w:divBdr>
    </w:div>
    <w:div w:id="226890087">
      <w:bodyDiv w:val="1"/>
      <w:marLeft w:val="0"/>
      <w:marRight w:val="0"/>
      <w:marTop w:val="0"/>
      <w:marBottom w:val="0"/>
      <w:divBdr>
        <w:top w:val="none" w:sz="0" w:space="0" w:color="auto"/>
        <w:left w:val="none" w:sz="0" w:space="0" w:color="auto"/>
        <w:bottom w:val="none" w:sz="0" w:space="0" w:color="auto"/>
        <w:right w:val="none" w:sz="0" w:space="0" w:color="auto"/>
      </w:divBdr>
    </w:div>
    <w:div w:id="231426318">
      <w:bodyDiv w:val="1"/>
      <w:marLeft w:val="0"/>
      <w:marRight w:val="0"/>
      <w:marTop w:val="0"/>
      <w:marBottom w:val="0"/>
      <w:divBdr>
        <w:top w:val="none" w:sz="0" w:space="0" w:color="auto"/>
        <w:left w:val="none" w:sz="0" w:space="0" w:color="auto"/>
        <w:bottom w:val="none" w:sz="0" w:space="0" w:color="auto"/>
        <w:right w:val="none" w:sz="0" w:space="0" w:color="auto"/>
      </w:divBdr>
    </w:div>
    <w:div w:id="233320109">
      <w:bodyDiv w:val="1"/>
      <w:marLeft w:val="0"/>
      <w:marRight w:val="0"/>
      <w:marTop w:val="0"/>
      <w:marBottom w:val="0"/>
      <w:divBdr>
        <w:top w:val="none" w:sz="0" w:space="0" w:color="auto"/>
        <w:left w:val="none" w:sz="0" w:space="0" w:color="auto"/>
        <w:bottom w:val="none" w:sz="0" w:space="0" w:color="auto"/>
        <w:right w:val="none" w:sz="0" w:space="0" w:color="auto"/>
      </w:divBdr>
    </w:div>
    <w:div w:id="233470982">
      <w:bodyDiv w:val="1"/>
      <w:marLeft w:val="0"/>
      <w:marRight w:val="0"/>
      <w:marTop w:val="0"/>
      <w:marBottom w:val="0"/>
      <w:divBdr>
        <w:top w:val="none" w:sz="0" w:space="0" w:color="auto"/>
        <w:left w:val="none" w:sz="0" w:space="0" w:color="auto"/>
        <w:bottom w:val="none" w:sz="0" w:space="0" w:color="auto"/>
        <w:right w:val="none" w:sz="0" w:space="0" w:color="auto"/>
      </w:divBdr>
    </w:div>
    <w:div w:id="234978974">
      <w:bodyDiv w:val="1"/>
      <w:marLeft w:val="0"/>
      <w:marRight w:val="0"/>
      <w:marTop w:val="0"/>
      <w:marBottom w:val="0"/>
      <w:divBdr>
        <w:top w:val="none" w:sz="0" w:space="0" w:color="auto"/>
        <w:left w:val="none" w:sz="0" w:space="0" w:color="auto"/>
        <w:bottom w:val="none" w:sz="0" w:space="0" w:color="auto"/>
        <w:right w:val="none" w:sz="0" w:space="0" w:color="auto"/>
      </w:divBdr>
    </w:div>
    <w:div w:id="236404878">
      <w:bodyDiv w:val="1"/>
      <w:marLeft w:val="0"/>
      <w:marRight w:val="0"/>
      <w:marTop w:val="0"/>
      <w:marBottom w:val="0"/>
      <w:divBdr>
        <w:top w:val="none" w:sz="0" w:space="0" w:color="auto"/>
        <w:left w:val="none" w:sz="0" w:space="0" w:color="auto"/>
        <w:bottom w:val="none" w:sz="0" w:space="0" w:color="auto"/>
        <w:right w:val="none" w:sz="0" w:space="0" w:color="auto"/>
      </w:divBdr>
    </w:div>
    <w:div w:id="236941651">
      <w:bodyDiv w:val="1"/>
      <w:marLeft w:val="0"/>
      <w:marRight w:val="0"/>
      <w:marTop w:val="0"/>
      <w:marBottom w:val="0"/>
      <w:divBdr>
        <w:top w:val="none" w:sz="0" w:space="0" w:color="auto"/>
        <w:left w:val="none" w:sz="0" w:space="0" w:color="auto"/>
        <w:bottom w:val="none" w:sz="0" w:space="0" w:color="auto"/>
        <w:right w:val="none" w:sz="0" w:space="0" w:color="auto"/>
      </w:divBdr>
    </w:div>
    <w:div w:id="239297688">
      <w:bodyDiv w:val="1"/>
      <w:marLeft w:val="0"/>
      <w:marRight w:val="0"/>
      <w:marTop w:val="0"/>
      <w:marBottom w:val="0"/>
      <w:divBdr>
        <w:top w:val="none" w:sz="0" w:space="0" w:color="auto"/>
        <w:left w:val="none" w:sz="0" w:space="0" w:color="auto"/>
        <w:bottom w:val="none" w:sz="0" w:space="0" w:color="auto"/>
        <w:right w:val="none" w:sz="0" w:space="0" w:color="auto"/>
      </w:divBdr>
    </w:div>
    <w:div w:id="240406792">
      <w:bodyDiv w:val="1"/>
      <w:marLeft w:val="0"/>
      <w:marRight w:val="0"/>
      <w:marTop w:val="0"/>
      <w:marBottom w:val="0"/>
      <w:divBdr>
        <w:top w:val="none" w:sz="0" w:space="0" w:color="auto"/>
        <w:left w:val="none" w:sz="0" w:space="0" w:color="auto"/>
        <w:bottom w:val="none" w:sz="0" w:space="0" w:color="auto"/>
        <w:right w:val="none" w:sz="0" w:space="0" w:color="auto"/>
      </w:divBdr>
    </w:div>
    <w:div w:id="240723174">
      <w:bodyDiv w:val="1"/>
      <w:marLeft w:val="0"/>
      <w:marRight w:val="0"/>
      <w:marTop w:val="0"/>
      <w:marBottom w:val="0"/>
      <w:divBdr>
        <w:top w:val="none" w:sz="0" w:space="0" w:color="auto"/>
        <w:left w:val="none" w:sz="0" w:space="0" w:color="auto"/>
        <w:bottom w:val="none" w:sz="0" w:space="0" w:color="auto"/>
        <w:right w:val="none" w:sz="0" w:space="0" w:color="auto"/>
      </w:divBdr>
    </w:div>
    <w:div w:id="241112345">
      <w:bodyDiv w:val="1"/>
      <w:marLeft w:val="0"/>
      <w:marRight w:val="0"/>
      <w:marTop w:val="0"/>
      <w:marBottom w:val="0"/>
      <w:divBdr>
        <w:top w:val="none" w:sz="0" w:space="0" w:color="auto"/>
        <w:left w:val="none" w:sz="0" w:space="0" w:color="auto"/>
        <w:bottom w:val="none" w:sz="0" w:space="0" w:color="auto"/>
        <w:right w:val="none" w:sz="0" w:space="0" w:color="auto"/>
      </w:divBdr>
    </w:div>
    <w:div w:id="246885631">
      <w:bodyDiv w:val="1"/>
      <w:marLeft w:val="0"/>
      <w:marRight w:val="0"/>
      <w:marTop w:val="0"/>
      <w:marBottom w:val="0"/>
      <w:divBdr>
        <w:top w:val="none" w:sz="0" w:space="0" w:color="auto"/>
        <w:left w:val="none" w:sz="0" w:space="0" w:color="auto"/>
        <w:bottom w:val="none" w:sz="0" w:space="0" w:color="auto"/>
        <w:right w:val="none" w:sz="0" w:space="0" w:color="auto"/>
      </w:divBdr>
    </w:div>
    <w:div w:id="250551686">
      <w:bodyDiv w:val="1"/>
      <w:marLeft w:val="0"/>
      <w:marRight w:val="0"/>
      <w:marTop w:val="0"/>
      <w:marBottom w:val="0"/>
      <w:divBdr>
        <w:top w:val="none" w:sz="0" w:space="0" w:color="auto"/>
        <w:left w:val="none" w:sz="0" w:space="0" w:color="auto"/>
        <w:bottom w:val="none" w:sz="0" w:space="0" w:color="auto"/>
        <w:right w:val="none" w:sz="0" w:space="0" w:color="auto"/>
      </w:divBdr>
    </w:div>
    <w:div w:id="251284905">
      <w:bodyDiv w:val="1"/>
      <w:marLeft w:val="0"/>
      <w:marRight w:val="0"/>
      <w:marTop w:val="0"/>
      <w:marBottom w:val="0"/>
      <w:divBdr>
        <w:top w:val="none" w:sz="0" w:space="0" w:color="auto"/>
        <w:left w:val="none" w:sz="0" w:space="0" w:color="auto"/>
        <w:bottom w:val="none" w:sz="0" w:space="0" w:color="auto"/>
        <w:right w:val="none" w:sz="0" w:space="0" w:color="auto"/>
      </w:divBdr>
    </w:div>
    <w:div w:id="253897736">
      <w:bodyDiv w:val="1"/>
      <w:marLeft w:val="0"/>
      <w:marRight w:val="0"/>
      <w:marTop w:val="0"/>
      <w:marBottom w:val="0"/>
      <w:divBdr>
        <w:top w:val="none" w:sz="0" w:space="0" w:color="auto"/>
        <w:left w:val="none" w:sz="0" w:space="0" w:color="auto"/>
        <w:bottom w:val="none" w:sz="0" w:space="0" w:color="auto"/>
        <w:right w:val="none" w:sz="0" w:space="0" w:color="auto"/>
      </w:divBdr>
    </w:div>
    <w:div w:id="254100032">
      <w:bodyDiv w:val="1"/>
      <w:marLeft w:val="0"/>
      <w:marRight w:val="0"/>
      <w:marTop w:val="0"/>
      <w:marBottom w:val="0"/>
      <w:divBdr>
        <w:top w:val="none" w:sz="0" w:space="0" w:color="auto"/>
        <w:left w:val="none" w:sz="0" w:space="0" w:color="auto"/>
        <w:bottom w:val="none" w:sz="0" w:space="0" w:color="auto"/>
        <w:right w:val="none" w:sz="0" w:space="0" w:color="auto"/>
      </w:divBdr>
    </w:div>
    <w:div w:id="255331039">
      <w:bodyDiv w:val="1"/>
      <w:marLeft w:val="0"/>
      <w:marRight w:val="0"/>
      <w:marTop w:val="0"/>
      <w:marBottom w:val="0"/>
      <w:divBdr>
        <w:top w:val="none" w:sz="0" w:space="0" w:color="auto"/>
        <w:left w:val="none" w:sz="0" w:space="0" w:color="auto"/>
        <w:bottom w:val="none" w:sz="0" w:space="0" w:color="auto"/>
        <w:right w:val="none" w:sz="0" w:space="0" w:color="auto"/>
      </w:divBdr>
    </w:div>
    <w:div w:id="255528508">
      <w:bodyDiv w:val="1"/>
      <w:marLeft w:val="0"/>
      <w:marRight w:val="0"/>
      <w:marTop w:val="0"/>
      <w:marBottom w:val="0"/>
      <w:divBdr>
        <w:top w:val="none" w:sz="0" w:space="0" w:color="auto"/>
        <w:left w:val="none" w:sz="0" w:space="0" w:color="auto"/>
        <w:bottom w:val="none" w:sz="0" w:space="0" w:color="auto"/>
        <w:right w:val="none" w:sz="0" w:space="0" w:color="auto"/>
      </w:divBdr>
    </w:div>
    <w:div w:id="257713418">
      <w:bodyDiv w:val="1"/>
      <w:marLeft w:val="0"/>
      <w:marRight w:val="0"/>
      <w:marTop w:val="0"/>
      <w:marBottom w:val="0"/>
      <w:divBdr>
        <w:top w:val="none" w:sz="0" w:space="0" w:color="auto"/>
        <w:left w:val="none" w:sz="0" w:space="0" w:color="auto"/>
        <w:bottom w:val="none" w:sz="0" w:space="0" w:color="auto"/>
        <w:right w:val="none" w:sz="0" w:space="0" w:color="auto"/>
      </w:divBdr>
    </w:div>
    <w:div w:id="259417708">
      <w:bodyDiv w:val="1"/>
      <w:marLeft w:val="0"/>
      <w:marRight w:val="0"/>
      <w:marTop w:val="0"/>
      <w:marBottom w:val="0"/>
      <w:divBdr>
        <w:top w:val="none" w:sz="0" w:space="0" w:color="auto"/>
        <w:left w:val="none" w:sz="0" w:space="0" w:color="auto"/>
        <w:bottom w:val="none" w:sz="0" w:space="0" w:color="auto"/>
        <w:right w:val="none" w:sz="0" w:space="0" w:color="auto"/>
      </w:divBdr>
    </w:div>
    <w:div w:id="260572103">
      <w:bodyDiv w:val="1"/>
      <w:marLeft w:val="0"/>
      <w:marRight w:val="0"/>
      <w:marTop w:val="0"/>
      <w:marBottom w:val="0"/>
      <w:divBdr>
        <w:top w:val="none" w:sz="0" w:space="0" w:color="auto"/>
        <w:left w:val="none" w:sz="0" w:space="0" w:color="auto"/>
        <w:bottom w:val="none" w:sz="0" w:space="0" w:color="auto"/>
        <w:right w:val="none" w:sz="0" w:space="0" w:color="auto"/>
      </w:divBdr>
    </w:div>
    <w:div w:id="262037293">
      <w:bodyDiv w:val="1"/>
      <w:marLeft w:val="0"/>
      <w:marRight w:val="0"/>
      <w:marTop w:val="0"/>
      <w:marBottom w:val="0"/>
      <w:divBdr>
        <w:top w:val="none" w:sz="0" w:space="0" w:color="auto"/>
        <w:left w:val="none" w:sz="0" w:space="0" w:color="auto"/>
        <w:bottom w:val="none" w:sz="0" w:space="0" w:color="auto"/>
        <w:right w:val="none" w:sz="0" w:space="0" w:color="auto"/>
      </w:divBdr>
    </w:div>
    <w:div w:id="265308256">
      <w:bodyDiv w:val="1"/>
      <w:marLeft w:val="0"/>
      <w:marRight w:val="0"/>
      <w:marTop w:val="0"/>
      <w:marBottom w:val="0"/>
      <w:divBdr>
        <w:top w:val="none" w:sz="0" w:space="0" w:color="auto"/>
        <w:left w:val="none" w:sz="0" w:space="0" w:color="auto"/>
        <w:bottom w:val="none" w:sz="0" w:space="0" w:color="auto"/>
        <w:right w:val="none" w:sz="0" w:space="0" w:color="auto"/>
      </w:divBdr>
    </w:div>
    <w:div w:id="265382441">
      <w:bodyDiv w:val="1"/>
      <w:marLeft w:val="0"/>
      <w:marRight w:val="0"/>
      <w:marTop w:val="0"/>
      <w:marBottom w:val="0"/>
      <w:divBdr>
        <w:top w:val="none" w:sz="0" w:space="0" w:color="auto"/>
        <w:left w:val="none" w:sz="0" w:space="0" w:color="auto"/>
        <w:bottom w:val="none" w:sz="0" w:space="0" w:color="auto"/>
        <w:right w:val="none" w:sz="0" w:space="0" w:color="auto"/>
      </w:divBdr>
    </w:div>
    <w:div w:id="266351052">
      <w:bodyDiv w:val="1"/>
      <w:marLeft w:val="0"/>
      <w:marRight w:val="0"/>
      <w:marTop w:val="0"/>
      <w:marBottom w:val="0"/>
      <w:divBdr>
        <w:top w:val="none" w:sz="0" w:space="0" w:color="auto"/>
        <w:left w:val="none" w:sz="0" w:space="0" w:color="auto"/>
        <w:bottom w:val="none" w:sz="0" w:space="0" w:color="auto"/>
        <w:right w:val="none" w:sz="0" w:space="0" w:color="auto"/>
      </w:divBdr>
    </w:div>
    <w:div w:id="267540709">
      <w:bodyDiv w:val="1"/>
      <w:marLeft w:val="0"/>
      <w:marRight w:val="0"/>
      <w:marTop w:val="0"/>
      <w:marBottom w:val="0"/>
      <w:divBdr>
        <w:top w:val="none" w:sz="0" w:space="0" w:color="auto"/>
        <w:left w:val="none" w:sz="0" w:space="0" w:color="auto"/>
        <w:bottom w:val="none" w:sz="0" w:space="0" w:color="auto"/>
        <w:right w:val="none" w:sz="0" w:space="0" w:color="auto"/>
      </w:divBdr>
    </w:div>
    <w:div w:id="267853821">
      <w:bodyDiv w:val="1"/>
      <w:marLeft w:val="0"/>
      <w:marRight w:val="0"/>
      <w:marTop w:val="0"/>
      <w:marBottom w:val="0"/>
      <w:divBdr>
        <w:top w:val="none" w:sz="0" w:space="0" w:color="auto"/>
        <w:left w:val="none" w:sz="0" w:space="0" w:color="auto"/>
        <w:bottom w:val="none" w:sz="0" w:space="0" w:color="auto"/>
        <w:right w:val="none" w:sz="0" w:space="0" w:color="auto"/>
      </w:divBdr>
    </w:div>
    <w:div w:id="270092192">
      <w:bodyDiv w:val="1"/>
      <w:marLeft w:val="0"/>
      <w:marRight w:val="0"/>
      <w:marTop w:val="0"/>
      <w:marBottom w:val="0"/>
      <w:divBdr>
        <w:top w:val="none" w:sz="0" w:space="0" w:color="auto"/>
        <w:left w:val="none" w:sz="0" w:space="0" w:color="auto"/>
        <w:bottom w:val="none" w:sz="0" w:space="0" w:color="auto"/>
        <w:right w:val="none" w:sz="0" w:space="0" w:color="auto"/>
      </w:divBdr>
    </w:div>
    <w:div w:id="272904471">
      <w:bodyDiv w:val="1"/>
      <w:marLeft w:val="0"/>
      <w:marRight w:val="0"/>
      <w:marTop w:val="0"/>
      <w:marBottom w:val="0"/>
      <w:divBdr>
        <w:top w:val="none" w:sz="0" w:space="0" w:color="auto"/>
        <w:left w:val="none" w:sz="0" w:space="0" w:color="auto"/>
        <w:bottom w:val="none" w:sz="0" w:space="0" w:color="auto"/>
        <w:right w:val="none" w:sz="0" w:space="0" w:color="auto"/>
      </w:divBdr>
    </w:div>
    <w:div w:id="273052612">
      <w:bodyDiv w:val="1"/>
      <w:marLeft w:val="0"/>
      <w:marRight w:val="0"/>
      <w:marTop w:val="0"/>
      <w:marBottom w:val="0"/>
      <w:divBdr>
        <w:top w:val="none" w:sz="0" w:space="0" w:color="auto"/>
        <w:left w:val="none" w:sz="0" w:space="0" w:color="auto"/>
        <w:bottom w:val="none" w:sz="0" w:space="0" w:color="auto"/>
        <w:right w:val="none" w:sz="0" w:space="0" w:color="auto"/>
      </w:divBdr>
    </w:div>
    <w:div w:id="274168808">
      <w:bodyDiv w:val="1"/>
      <w:marLeft w:val="0"/>
      <w:marRight w:val="0"/>
      <w:marTop w:val="0"/>
      <w:marBottom w:val="0"/>
      <w:divBdr>
        <w:top w:val="none" w:sz="0" w:space="0" w:color="auto"/>
        <w:left w:val="none" w:sz="0" w:space="0" w:color="auto"/>
        <w:bottom w:val="none" w:sz="0" w:space="0" w:color="auto"/>
        <w:right w:val="none" w:sz="0" w:space="0" w:color="auto"/>
      </w:divBdr>
    </w:div>
    <w:div w:id="275524509">
      <w:bodyDiv w:val="1"/>
      <w:marLeft w:val="0"/>
      <w:marRight w:val="0"/>
      <w:marTop w:val="0"/>
      <w:marBottom w:val="0"/>
      <w:divBdr>
        <w:top w:val="none" w:sz="0" w:space="0" w:color="auto"/>
        <w:left w:val="none" w:sz="0" w:space="0" w:color="auto"/>
        <w:bottom w:val="none" w:sz="0" w:space="0" w:color="auto"/>
        <w:right w:val="none" w:sz="0" w:space="0" w:color="auto"/>
      </w:divBdr>
    </w:div>
    <w:div w:id="276372680">
      <w:bodyDiv w:val="1"/>
      <w:marLeft w:val="0"/>
      <w:marRight w:val="0"/>
      <w:marTop w:val="0"/>
      <w:marBottom w:val="0"/>
      <w:divBdr>
        <w:top w:val="none" w:sz="0" w:space="0" w:color="auto"/>
        <w:left w:val="none" w:sz="0" w:space="0" w:color="auto"/>
        <w:bottom w:val="none" w:sz="0" w:space="0" w:color="auto"/>
        <w:right w:val="none" w:sz="0" w:space="0" w:color="auto"/>
      </w:divBdr>
    </w:div>
    <w:div w:id="278799166">
      <w:bodyDiv w:val="1"/>
      <w:marLeft w:val="0"/>
      <w:marRight w:val="0"/>
      <w:marTop w:val="0"/>
      <w:marBottom w:val="0"/>
      <w:divBdr>
        <w:top w:val="none" w:sz="0" w:space="0" w:color="auto"/>
        <w:left w:val="none" w:sz="0" w:space="0" w:color="auto"/>
        <w:bottom w:val="none" w:sz="0" w:space="0" w:color="auto"/>
        <w:right w:val="none" w:sz="0" w:space="0" w:color="auto"/>
      </w:divBdr>
    </w:div>
    <w:div w:id="278806552">
      <w:bodyDiv w:val="1"/>
      <w:marLeft w:val="0"/>
      <w:marRight w:val="0"/>
      <w:marTop w:val="0"/>
      <w:marBottom w:val="0"/>
      <w:divBdr>
        <w:top w:val="none" w:sz="0" w:space="0" w:color="auto"/>
        <w:left w:val="none" w:sz="0" w:space="0" w:color="auto"/>
        <w:bottom w:val="none" w:sz="0" w:space="0" w:color="auto"/>
        <w:right w:val="none" w:sz="0" w:space="0" w:color="auto"/>
      </w:divBdr>
    </w:div>
    <w:div w:id="280918040">
      <w:bodyDiv w:val="1"/>
      <w:marLeft w:val="0"/>
      <w:marRight w:val="0"/>
      <w:marTop w:val="0"/>
      <w:marBottom w:val="0"/>
      <w:divBdr>
        <w:top w:val="none" w:sz="0" w:space="0" w:color="auto"/>
        <w:left w:val="none" w:sz="0" w:space="0" w:color="auto"/>
        <w:bottom w:val="none" w:sz="0" w:space="0" w:color="auto"/>
        <w:right w:val="none" w:sz="0" w:space="0" w:color="auto"/>
      </w:divBdr>
    </w:div>
    <w:div w:id="281227619">
      <w:bodyDiv w:val="1"/>
      <w:marLeft w:val="0"/>
      <w:marRight w:val="0"/>
      <w:marTop w:val="0"/>
      <w:marBottom w:val="0"/>
      <w:divBdr>
        <w:top w:val="none" w:sz="0" w:space="0" w:color="auto"/>
        <w:left w:val="none" w:sz="0" w:space="0" w:color="auto"/>
        <w:bottom w:val="none" w:sz="0" w:space="0" w:color="auto"/>
        <w:right w:val="none" w:sz="0" w:space="0" w:color="auto"/>
      </w:divBdr>
    </w:div>
    <w:div w:id="282224819">
      <w:bodyDiv w:val="1"/>
      <w:marLeft w:val="0"/>
      <w:marRight w:val="0"/>
      <w:marTop w:val="0"/>
      <w:marBottom w:val="0"/>
      <w:divBdr>
        <w:top w:val="none" w:sz="0" w:space="0" w:color="auto"/>
        <w:left w:val="none" w:sz="0" w:space="0" w:color="auto"/>
        <w:bottom w:val="none" w:sz="0" w:space="0" w:color="auto"/>
        <w:right w:val="none" w:sz="0" w:space="0" w:color="auto"/>
      </w:divBdr>
    </w:div>
    <w:div w:id="282881021">
      <w:bodyDiv w:val="1"/>
      <w:marLeft w:val="0"/>
      <w:marRight w:val="0"/>
      <w:marTop w:val="0"/>
      <w:marBottom w:val="0"/>
      <w:divBdr>
        <w:top w:val="none" w:sz="0" w:space="0" w:color="auto"/>
        <w:left w:val="none" w:sz="0" w:space="0" w:color="auto"/>
        <w:bottom w:val="none" w:sz="0" w:space="0" w:color="auto"/>
        <w:right w:val="none" w:sz="0" w:space="0" w:color="auto"/>
      </w:divBdr>
    </w:div>
    <w:div w:id="283081756">
      <w:bodyDiv w:val="1"/>
      <w:marLeft w:val="0"/>
      <w:marRight w:val="0"/>
      <w:marTop w:val="0"/>
      <w:marBottom w:val="0"/>
      <w:divBdr>
        <w:top w:val="none" w:sz="0" w:space="0" w:color="auto"/>
        <w:left w:val="none" w:sz="0" w:space="0" w:color="auto"/>
        <w:bottom w:val="none" w:sz="0" w:space="0" w:color="auto"/>
        <w:right w:val="none" w:sz="0" w:space="0" w:color="auto"/>
      </w:divBdr>
    </w:div>
    <w:div w:id="283583671">
      <w:bodyDiv w:val="1"/>
      <w:marLeft w:val="0"/>
      <w:marRight w:val="0"/>
      <w:marTop w:val="0"/>
      <w:marBottom w:val="0"/>
      <w:divBdr>
        <w:top w:val="none" w:sz="0" w:space="0" w:color="auto"/>
        <w:left w:val="none" w:sz="0" w:space="0" w:color="auto"/>
        <w:bottom w:val="none" w:sz="0" w:space="0" w:color="auto"/>
        <w:right w:val="none" w:sz="0" w:space="0" w:color="auto"/>
      </w:divBdr>
    </w:div>
    <w:div w:id="285308620">
      <w:bodyDiv w:val="1"/>
      <w:marLeft w:val="0"/>
      <w:marRight w:val="0"/>
      <w:marTop w:val="0"/>
      <w:marBottom w:val="0"/>
      <w:divBdr>
        <w:top w:val="none" w:sz="0" w:space="0" w:color="auto"/>
        <w:left w:val="none" w:sz="0" w:space="0" w:color="auto"/>
        <w:bottom w:val="none" w:sz="0" w:space="0" w:color="auto"/>
        <w:right w:val="none" w:sz="0" w:space="0" w:color="auto"/>
      </w:divBdr>
    </w:div>
    <w:div w:id="287667914">
      <w:bodyDiv w:val="1"/>
      <w:marLeft w:val="0"/>
      <w:marRight w:val="0"/>
      <w:marTop w:val="0"/>
      <w:marBottom w:val="0"/>
      <w:divBdr>
        <w:top w:val="none" w:sz="0" w:space="0" w:color="auto"/>
        <w:left w:val="none" w:sz="0" w:space="0" w:color="auto"/>
        <w:bottom w:val="none" w:sz="0" w:space="0" w:color="auto"/>
        <w:right w:val="none" w:sz="0" w:space="0" w:color="auto"/>
      </w:divBdr>
    </w:div>
    <w:div w:id="288173383">
      <w:bodyDiv w:val="1"/>
      <w:marLeft w:val="0"/>
      <w:marRight w:val="0"/>
      <w:marTop w:val="0"/>
      <w:marBottom w:val="0"/>
      <w:divBdr>
        <w:top w:val="none" w:sz="0" w:space="0" w:color="auto"/>
        <w:left w:val="none" w:sz="0" w:space="0" w:color="auto"/>
        <w:bottom w:val="none" w:sz="0" w:space="0" w:color="auto"/>
        <w:right w:val="none" w:sz="0" w:space="0" w:color="auto"/>
      </w:divBdr>
    </w:div>
    <w:div w:id="288359466">
      <w:bodyDiv w:val="1"/>
      <w:marLeft w:val="0"/>
      <w:marRight w:val="0"/>
      <w:marTop w:val="0"/>
      <w:marBottom w:val="0"/>
      <w:divBdr>
        <w:top w:val="none" w:sz="0" w:space="0" w:color="auto"/>
        <w:left w:val="none" w:sz="0" w:space="0" w:color="auto"/>
        <w:bottom w:val="none" w:sz="0" w:space="0" w:color="auto"/>
        <w:right w:val="none" w:sz="0" w:space="0" w:color="auto"/>
      </w:divBdr>
    </w:div>
    <w:div w:id="288509466">
      <w:bodyDiv w:val="1"/>
      <w:marLeft w:val="0"/>
      <w:marRight w:val="0"/>
      <w:marTop w:val="0"/>
      <w:marBottom w:val="0"/>
      <w:divBdr>
        <w:top w:val="none" w:sz="0" w:space="0" w:color="auto"/>
        <w:left w:val="none" w:sz="0" w:space="0" w:color="auto"/>
        <w:bottom w:val="none" w:sz="0" w:space="0" w:color="auto"/>
        <w:right w:val="none" w:sz="0" w:space="0" w:color="auto"/>
      </w:divBdr>
    </w:div>
    <w:div w:id="288896489">
      <w:bodyDiv w:val="1"/>
      <w:marLeft w:val="0"/>
      <w:marRight w:val="0"/>
      <w:marTop w:val="0"/>
      <w:marBottom w:val="0"/>
      <w:divBdr>
        <w:top w:val="none" w:sz="0" w:space="0" w:color="auto"/>
        <w:left w:val="none" w:sz="0" w:space="0" w:color="auto"/>
        <w:bottom w:val="none" w:sz="0" w:space="0" w:color="auto"/>
        <w:right w:val="none" w:sz="0" w:space="0" w:color="auto"/>
      </w:divBdr>
    </w:div>
    <w:div w:id="289558520">
      <w:bodyDiv w:val="1"/>
      <w:marLeft w:val="0"/>
      <w:marRight w:val="0"/>
      <w:marTop w:val="0"/>
      <w:marBottom w:val="0"/>
      <w:divBdr>
        <w:top w:val="none" w:sz="0" w:space="0" w:color="auto"/>
        <w:left w:val="none" w:sz="0" w:space="0" w:color="auto"/>
        <w:bottom w:val="none" w:sz="0" w:space="0" w:color="auto"/>
        <w:right w:val="none" w:sz="0" w:space="0" w:color="auto"/>
      </w:divBdr>
    </w:div>
    <w:div w:id="289819621">
      <w:bodyDiv w:val="1"/>
      <w:marLeft w:val="0"/>
      <w:marRight w:val="0"/>
      <w:marTop w:val="0"/>
      <w:marBottom w:val="0"/>
      <w:divBdr>
        <w:top w:val="none" w:sz="0" w:space="0" w:color="auto"/>
        <w:left w:val="none" w:sz="0" w:space="0" w:color="auto"/>
        <w:bottom w:val="none" w:sz="0" w:space="0" w:color="auto"/>
        <w:right w:val="none" w:sz="0" w:space="0" w:color="auto"/>
      </w:divBdr>
    </w:div>
    <w:div w:id="290981332">
      <w:bodyDiv w:val="1"/>
      <w:marLeft w:val="0"/>
      <w:marRight w:val="0"/>
      <w:marTop w:val="0"/>
      <w:marBottom w:val="0"/>
      <w:divBdr>
        <w:top w:val="none" w:sz="0" w:space="0" w:color="auto"/>
        <w:left w:val="none" w:sz="0" w:space="0" w:color="auto"/>
        <w:bottom w:val="none" w:sz="0" w:space="0" w:color="auto"/>
        <w:right w:val="none" w:sz="0" w:space="0" w:color="auto"/>
      </w:divBdr>
    </w:div>
    <w:div w:id="294797021">
      <w:bodyDiv w:val="1"/>
      <w:marLeft w:val="0"/>
      <w:marRight w:val="0"/>
      <w:marTop w:val="0"/>
      <w:marBottom w:val="0"/>
      <w:divBdr>
        <w:top w:val="none" w:sz="0" w:space="0" w:color="auto"/>
        <w:left w:val="none" w:sz="0" w:space="0" w:color="auto"/>
        <w:bottom w:val="none" w:sz="0" w:space="0" w:color="auto"/>
        <w:right w:val="none" w:sz="0" w:space="0" w:color="auto"/>
      </w:divBdr>
    </w:div>
    <w:div w:id="296224107">
      <w:bodyDiv w:val="1"/>
      <w:marLeft w:val="0"/>
      <w:marRight w:val="0"/>
      <w:marTop w:val="0"/>
      <w:marBottom w:val="0"/>
      <w:divBdr>
        <w:top w:val="none" w:sz="0" w:space="0" w:color="auto"/>
        <w:left w:val="none" w:sz="0" w:space="0" w:color="auto"/>
        <w:bottom w:val="none" w:sz="0" w:space="0" w:color="auto"/>
        <w:right w:val="none" w:sz="0" w:space="0" w:color="auto"/>
      </w:divBdr>
    </w:div>
    <w:div w:id="296301600">
      <w:bodyDiv w:val="1"/>
      <w:marLeft w:val="0"/>
      <w:marRight w:val="0"/>
      <w:marTop w:val="0"/>
      <w:marBottom w:val="0"/>
      <w:divBdr>
        <w:top w:val="none" w:sz="0" w:space="0" w:color="auto"/>
        <w:left w:val="none" w:sz="0" w:space="0" w:color="auto"/>
        <w:bottom w:val="none" w:sz="0" w:space="0" w:color="auto"/>
        <w:right w:val="none" w:sz="0" w:space="0" w:color="auto"/>
      </w:divBdr>
    </w:div>
    <w:div w:id="296570366">
      <w:bodyDiv w:val="1"/>
      <w:marLeft w:val="0"/>
      <w:marRight w:val="0"/>
      <w:marTop w:val="0"/>
      <w:marBottom w:val="0"/>
      <w:divBdr>
        <w:top w:val="none" w:sz="0" w:space="0" w:color="auto"/>
        <w:left w:val="none" w:sz="0" w:space="0" w:color="auto"/>
        <w:bottom w:val="none" w:sz="0" w:space="0" w:color="auto"/>
        <w:right w:val="none" w:sz="0" w:space="0" w:color="auto"/>
      </w:divBdr>
    </w:div>
    <w:div w:id="298415852">
      <w:bodyDiv w:val="1"/>
      <w:marLeft w:val="0"/>
      <w:marRight w:val="0"/>
      <w:marTop w:val="0"/>
      <w:marBottom w:val="0"/>
      <w:divBdr>
        <w:top w:val="none" w:sz="0" w:space="0" w:color="auto"/>
        <w:left w:val="none" w:sz="0" w:space="0" w:color="auto"/>
        <w:bottom w:val="none" w:sz="0" w:space="0" w:color="auto"/>
        <w:right w:val="none" w:sz="0" w:space="0" w:color="auto"/>
      </w:divBdr>
    </w:div>
    <w:div w:id="300616607">
      <w:bodyDiv w:val="1"/>
      <w:marLeft w:val="0"/>
      <w:marRight w:val="0"/>
      <w:marTop w:val="0"/>
      <w:marBottom w:val="0"/>
      <w:divBdr>
        <w:top w:val="none" w:sz="0" w:space="0" w:color="auto"/>
        <w:left w:val="none" w:sz="0" w:space="0" w:color="auto"/>
        <w:bottom w:val="none" w:sz="0" w:space="0" w:color="auto"/>
        <w:right w:val="none" w:sz="0" w:space="0" w:color="auto"/>
      </w:divBdr>
    </w:div>
    <w:div w:id="301807951">
      <w:bodyDiv w:val="1"/>
      <w:marLeft w:val="0"/>
      <w:marRight w:val="0"/>
      <w:marTop w:val="0"/>
      <w:marBottom w:val="0"/>
      <w:divBdr>
        <w:top w:val="none" w:sz="0" w:space="0" w:color="auto"/>
        <w:left w:val="none" w:sz="0" w:space="0" w:color="auto"/>
        <w:bottom w:val="none" w:sz="0" w:space="0" w:color="auto"/>
        <w:right w:val="none" w:sz="0" w:space="0" w:color="auto"/>
      </w:divBdr>
    </w:div>
    <w:div w:id="302346135">
      <w:bodyDiv w:val="1"/>
      <w:marLeft w:val="0"/>
      <w:marRight w:val="0"/>
      <w:marTop w:val="0"/>
      <w:marBottom w:val="0"/>
      <w:divBdr>
        <w:top w:val="none" w:sz="0" w:space="0" w:color="auto"/>
        <w:left w:val="none" w:sz="0" w:space="0" w:color="auto"/>
        <w:bottom w:val="none" w:sz="0" w:space="0" w:color="auto"/>
        <w:right w:val="none" w:sz="0" w:space="0" w:color="auto"/>
      </w:divBdr>
    </w:div>
    <w:div w:id="303434322">
      <w:bodyDiv w:val="1"/>
      <w:marLeft w:val="0"/>
      <w:marRight w:val="0"/>
      <w:marTop w:val="0"/>
      <w:marBottom w:val="0"/>
      <w:divBdr>
        <w:top w:val="none" w:sz="0" w:space="0" w:color="auto"/>
        <w:left w:val="none" w:sz="0" w:space="0" w:color="auto"/>
        <w:bottom w:val="none" w:sz="0" w:space="0" w:color="auto"/>
        <w:right w:val="none" w:sz="0" w:space="0" w:color="auto"/>
      </w:divBdr>
    </w:div>
    <w:div w:id="303462189">
      <w:bodyDiv w:val="1"/>
      <w:marLeft w:val="0"/>
      <w:marRight w:val="0"/>
      <w:marTop w:val="0"/>
      <w:marBottom w:val="0"/>
      <w:divBdr>
        <w:top w:val="none" w:sz="0" w:space="0" w:color="auto"/>
        <w:left w:val="none" w:sz="0" w:space="0" w:color="auto"/>
        <w:bottom w:val="none" w:sz="0" w:space="0" w:color="auto"/>
        <w:right w:val="none" w:sz="0" w:space="0" w:color="auto"/>
      </w:divBdr>
    </w:div>
    <w:div w:id="304362478">
      <w:bodyDiv w:val="1"/>
      <w:marLeft w:val="0"/>
      <w:marRight w:val="0"/>
      <w:marTop w:val="0"/>
      <w:marBottom w:val="0"/>
      <w:divBdr>
        <w:top w:val="none" w:sz="0" w:space="0" w:color="auto"/>
        <w:left w:val="none" w:sz="0" w:space="0" w:color="auto"/>
        <w:bottom w:val="none" w:sz="0" w:space="0" w:color="auto"/>
        <w:right w:val="none" w:sz="0" w:space="0" w:color="auto"/>
      </w:divBdr>
    </w:div>
    <w:div w:id="306057302">
      <w:bodyDiv w:val="1"/>
      <w:marLeft w:val="0"/>
      <w:marRight w:val="0"/>
      <w:marTop w:val="0"/>
      <w:marBottom w:val="0"/>
      <w:divBdr>
        <w:top w:val="none" w:sz="0" w:space="0" w:color="auto"/>
        <w:left w:val="none" w:sz="0" w:space="0" w:color="auto"/>
        <w:bottom w:val="none" w:sz="0" w:space="0" w:color="auto"/>
        <w:right w:val="none" w:sz="0" w:space="0" w:color="auto"/>
      </w:divBdr>
    </w:div>
    <w:div w:id="306669366">
      <w:bodyDiv w:val="1"/>
      <w:marLeft w:val="0"/>
      <w:marRight w:val="0"/>
      <w:marTop w:val="0"/>
      <w:marBottom w:val="0"/>
      <w:divBdr>
        <w:top w:val="none" w:sz="0" w:space="0" w:color="auto"/>
        <w:left w:val="none" w:sz="0" w:space="0" w:color="auto"/>
        <w:bottom w:val="none" w:sz="0" w:space="0" w:color="auto"/>
        <w:right w:val="none" w:sz="0" w:space="0" w:color="auto"/>
      </w:divBdr>
    </w:div>
    <w:div w:id="306672651">
      <w:bodyDiv w:val="1"/>
      <w:marLeft w:val="0"/>
      <w:marRight w:val="0"/>
      <w:marTop w:val="0"/>
      <w:marBottom w:val="0"/>
      <w:divBdr>
        <w:top w:val="none" w:sz="0" w:space="0" w:color="auto"/>
        <w:left w:val="none" w:sz="0" w:space="0" w:color="auto"/>
        <w:bottom w:val="none" w:sz="0" w:space="0" w:color="auto"/>
        <w:right w:val="none" w:sz="0" w:space="0" w:color="auto"/>
      </w:divBdr>
    </w:div>
    <w:div w:id="307125287">
      <w:bodyDiv w:val="1"/>
      <w:marLeft w:val="0"/>
      <w:marRight w:val="0"/>
      <w:marTop w:val="0"/>
      <w:marBottom w:val="0"/>
      <w:divBdr>
        <w:top w:val="none" w:sz="0" w:space="0" w:color="auto"/>
        <w:left w:val="none" w:sz="0" w:space="0" w:color="auto"/>
        <w:bottom w:val="none" w:sz="0" w:space="0" w:color="auto"/>
        <w:right w:val="none" w:sz="0" w:space="0" w:color="auto"/>
      </w:divBdr>
    </w:div>
    <w:div w:id="307515281">
      <w:bodyDiv w:val="1"/>
      <w:marLeft w:val="0"/>
      <w:marRight w:val="0"/>
      <w:marTop w:val="0"/>
      <w:marBottom w:val="0"/>
      <w:divBdr>
        <w:top w:val="none" w:sz="0" w:space="0" w:color="auto"/>
        <w:left w:val="none" w:sz="0" w:space="0" w:color="auto"/>
        <w:bottom w:val="none" w:sz="0" w:space="0" w:color="auto"/>
        <w:right w:val="none" w:sz="0" w:space="0" w:color="auto"/>
      </w:divBdr>
    </w:div>
    <w:div w:id="307983037">
      <w:bodyDiv w:val="1"/>
      <w:marLeft w:val="0"/>
      <w:marRight w:val="0"/>
      <w:marTop w:val="0"/>
      <w:marBottom w:val="0"/>
      <w:divBdr>
        <w:top w:val="none" w:sz="0" w:space="0" w:color="auto"/>
        <w:left w:val="none" w:sz="0" w:space="0" w:color="auto"/>
        <w:bottom w:val="none" w:sz="0" w:space="0" w:color="auto"/>
        <w:right w:val="none" w:sz="0" w:space="0" w:color="auto"/>
      </w:divBdr>
    </w:div>
    <w:div w:id="308485115">
      <w:bodyDiv w:val="1"/>
      <w:marLeft w:val="0"/>
      <w:marRight w:val="0"/>
      <w:marTop w:val="0"/>
      <w:marBottom w:val="0"/>
      <w:divBdr>
        <w:top w:val="none" w:sz="0" w:space="0" w:color="auto"/>
        <w:left w:val="none" w:sz="0" w:space="0" w:color="auto"/>
        <w:bottom w:val="none" w:sz="0" w:space="0" w:color="auto"/>
        <w:right w:val="none" w:sz="0" w:space="0" w:color="auto"/>
      </w:divBdr>
    </w:div>
    <w:div w:id="312300856">
      <w:bodyDiv w:val="1"/>
      <w:marLeft w:val="0"/>
      <w:marRight w:val="0"/>
      <w:marTop w:val="0"/>
      <w:marBottom w:val="0"/>
      <w:divBdr>
        <w:top w:val="none" w:sz="0" w:space="0" w:color="auto"/>
        <w:left w:val="none" w:sz="0" w:space="0" w:color="auto"/>
        <w:bottom w:val="none" w:sz="0" w:space="0" w:color="auto"/>
        <w:right w:val="none" w:sz="0" w:space="0" w:color="auto"/>
      </w:divBdr>
    </w:div>
    <w:div w:id="314529582">
      <w:bodyDiv w:val="1"/>
      <w:marLeft w:val="0"/>
      <w:marRight w:val="0"/>
      <w:marTop w:val="0"/>
      <w:marBottom w:val="0"/>
      <w:divBdr>
        <w:top w:val="none" w:sz="0" w:space="0" w:color="auto"/>
        <w:left w:val="none" w:sz="0" w:space="0" w:color="auto"/>
        <w:bottom w:val="none" w:sz="0" w:space="0" w:color="auto"/>
        <w:right w:val="none" w:sz="0" w:space="0" w:color="auto"/>
      </w:divBdr>
    </w:div>
    <w:div w:id="315380946">
      <w:bodyDiv w:val="1"/>
      <w:marLeft w:val="0"/>
      <w:marRight w:val="0"/>
      <w:marTop w:val="0"/>
      <w:marBottom w:val="0"/>
      <w:divBdr>
        <w:top w:val="none" w:sz="0" w:space="0" w:color="auto"/>
        <w:left w:val="none" w:sz="0" w:space="0" w:color="auto"/>
        <w:bottom w:val="none" w:sz="0" w:space="0" w:color="auto"/>
        <w:right w:val="none" w:sz="0" w:space="0" w:color="auto"/>
      </w:divBdr>
    </w:div>
    <w:div w:id="316614458">
      <w:bodyDiv w:val="1"/>
      <w:marLeft w:val="0"/>
      <w:marRight w:val="0"/>
      <w:marTop w:val="0"/>
      <w:marBottom w:val="0"/>
      <w:divBdr>
        <w:top w:val="none" w:sz="0" w:space="0" w:color="auto"/>
        <w:left w:val="none" w:sz="0" w:space="0" w:color="auto"/>
        <w:bottom w:val="none" w:sz="0" w:space="0" w:color="auto"/>
        <w:right w:val="none" w:sz="0" w:space="0" w:color="auto"/>
      </w:divBdr>
    </w:div>
    <w:div w:id="316619600">
      <w:bodyDiv w:val="1"/>
      <w:marLeft w:val="0"/>
      <w:marRight w:val="0"/>
      <w:marTop w:val="0"/>
      <w:marBottom w:val="0"/>
      <w:divBdr>
        <w:top w:val="none" w:sz="0" w:space="0" w:color="auto"/>
        <w:left w:val="none" w:sz="0" w:space="0" w:color="auto"/>
        <w:bottom w:val="none" w:sz="0" w:space="0" w:color="auto"/>
        <w:right w:val="none" w:sz="0" w:space="0" w:color="auto"/>
      </w:divBdr>
    </w:div>
    <w:div w:id="317269223">
      <w:bodyDiv w:val="1"/>
      <w:marLeft w:val="0"/>
      <w:marRight w:val="0"/>
      <w:marTop w:val="0"/>
      <w:marBottom w:val="0"/>
      <w:divBdr>
        <w:top w:val="none" w:sz="0" w:space="0" w:color="auto"/>
        <w:left w:val="none" w:sz="0" w:space="0" w:color="auto"/>
        <w:bottom w:val="none" w:sz="0" w:space="0" w:color="auto"/>
        <w:right w:val="none" w:sz="0" w:space="0" w:color="auto"/>
      </w:divBdr>
    </w:div>
    <w:div w:id="318732385">
      <w:bodyDiv w:val="1"/>
      <w:marLeft w:val="0"/>
      <w:marRight w:val="0"/>
      <w:marTop w:val="0"/>
      <w:marBottom w:val="0"/>
      <w:divBdr>
        <w:top w:val="none" w:sz="0" w:space="0" w:color="auto"/>
        <w:left w:val="none" w:sz="0" w:space="0" w:color="auto"/>
        <w:bottom w:val="none" w:sz="0" w:space="0" w:color="auto"/>
        <w:right w:val="none" w:sz="0" w:space="0" w:color="auto"/>
      </w:divBdr>
    </w:div>
    <w:div w:id="319620744">
      <w:bodyDiv w:val="1"/>
      <w:marLeft w:val="0"/>
      <w:marRight w:val="0"/>
      <w:marTop w:val="0"/>
      <w:marBottom w:val="0"/>
      <w:divBdr>
        <w:top w:val="none" w:sz="0" w:space="0" w:color="auto"/>
        <w:left w:val="none" w:sz="0" w:space="0" w:color="auto"/>
        <w:bottom w:val="none" w:sz="0" w:space="0" w:color="auto"/>
        <w:right w:val="none" w:sz="0" w:space="0" w:color="auto"/>
      </w:divBdr>
    </w:div>
    <w:div w:id="321466341">
      <w:bodyDiv w:val="1"/>
      <w:marLeft w:val="0"/>
      <w:marRight w:val="0"/>
      <w:marTop w:val="0"/>
      <w:marBottom w:val="0"/>
      <w:divBdr>
        <w:top w:val="none" w:sz="0" w:space="0" w:color="auto"/>
        <w:left w:val="none" w:sz="0" w:space="0" w:color="auto"/>
        <w:bottom w:val="none" w:sz="0" w:space="0" w:color="auto"/>
        <w:right w:val="none" w:sz="0" w:space="0" w:color="auto"/>
      </w:divBdr>
    </w:div>
    <w:div w:id="322395805">
      <w:bodyDiv w:val="1"/>
      <w:marLeft w:val="0"/>
      <w:marRight w:val="0"/>
      <w:marTop w:val="0"/>
      <w:marBottom w:val="0"/>
      <w:divBdr>
        <w:top w:val="none" w:sz="0" w:space="0" w:color="auto"/>
        <w:left w:val="none" w:sz="0" w:space="0" w:color="auto"/>
        <w:bottom w:val="none" w:sz="0" w:space="0" w:color="auto"/>
        <w:right w:val="none" w:sz="0" w:space="0" w:color="auto"/>
      </w:divBdr>
    </w:div>
    <w:div w:id="326137175">
      <w:bodyDiv w:val="1"/>
      <w:marLeft w:val="0"/>
      <w:marRight w:val="0"/>
      <w:marTop w:val="0"/>
      <w:marBottom w:val="0"/>
      <w:divBdr>
        <w:top w:val="none" w:sz="0" w:space="0" w:color="auto"/>
        <w:left w:val="none" w:sz="0" w:space="0" w:color="auto"/>
        <w:bottom w:val="none" w:sz="0" w:space="0" w:color="auto"/>
        <w:right w:val="none" w:sz="0" w:space="0" w:color="auto"/>
      </w:divBdr>
    </w:div>
    <w:div w:id="327253378">
      <w:bodyDiv w:val="1"/>
      <w:marLeft w:val="0"/>
      <w:marRight w:val="0"/>
      <w:marTop w:val="0"/>
      <w:marBottom w:val="0"/>
      <w:divBdr>
        <w:top w:val="none" w:sz="0" w:space="0" w:color="auto"/>
        <w:left w:val="none" w:sz="0" w:space="0" w:color="auto"/>
        <w:bottom w:val="none" w:sz="0" w:space="0" w:color="auto"/>
        <w:right w:val="none" w:sz="0" w:space="0" w:color="auto"/>
      </w:divBdr>
    </w:div>
    <w:div w:id="328337085">
      <w:bodyDiv w:val="1"/>
      <w:marLeft w:val="0"/>
      <w:marRight w:val="0"/>
      <w:marTop w:val="0"/>
      <w:marBottom w:val="0"/>
      <w:divBdr>
        <w:top w:val="none" w:sz="0" w:space="0" w:color="auto"/>
        <w:left w:val="none" w:sz="0" w:space="0" w:color="auto"/>
        <w:bottom w:val="none" w:sz="0" w:space="0" w:color="auto"/>
        <w:right w:val="none" w:sz="0" w:space="0" w:color="auto"/>
      </w:divBdr>
    </w:div>
    <w:div w:id="329605072">
      <w:bodyDiv w:val="1"/>
      <w:marLeft w:val="0"/>
      <w:marRight w:val="0"/>
      <w:marTop w:val="0"/>
      <w:marBottom w:val="0"/>
      <w:divBdr>
        <w:top w:val="none" w:sz="0" w:space="0" w:color="auto"/>
        <w:left w:val="none" w:sz="0" w:space="0" w:color="auto"/>
        <w:bottom w:val="none" w:sz="0" w:space="0" w:color="auto"/>
        <w:right w:val="none" w:sz="0" w:space="0" w:color="auto"/>
      </w:divBdr>
    </w:div>
    <w:div w:id="329797905">
      <w:bodyDiv w:val="1"/>
      <w:marLeft w:val="0"/>
      <w:marRight w:val="0"/>
      <w:marTop w:val="0"/>
      <w:marBottom w:val="0"/>
      <w:divBdr>
        <w:top w:val="none" w:sz="0" w:space="0" w:color="auto"/>
        <w:left w:val="none" w:sz="0" w:space="0" w:color="auto"/>
        <w:bottom w:val="none" w:sz="0" w:space="0" w:color="auto"/>
        <w:right w:val="none" w:sz="0" w:space="0" w:color="auto"/>
      </w:divBdr>
    </w:div>
    <w:div w:id="335618926">
      <w:bodyDiv w:val="1"/>
      <w:marLeft w:val="0"/>
      <w:marRight w:val="0"/>
      <w:marTop w:val="0"/>
      <w:marBottom w:val="0"/>
      <w:divBdr>
        <w:top w:val="none" w:sz="0" w:space="0" w:color="auto"/>
        <w:left w:val="none" w:sz="0" w:space="0" w:color="auto"/>
        <w:bottom w:val="none" w:sz="0" w:space="0" w:color="auto"/>
        <w:right w:val="none" w:sz="0" w:space="0" w:color="auto"/>
      </w:divBdr>
    </w:div>
    <w:div w:id="337847437">
      <w:bodyDiv w:val="1"/>
      <w:marLeft w:val="0"/>
      <w:marRight w:val="0"/>
      <w:marTop w:val="0"/>
      <w:marBottom w:val="0"/>
      <w:divBdr>
        <w:top w:val="none" w:sz="0" w:space="0" w:color="auto"/>
        <w:left w:val="none" w:sz="0" w:space="0" w:color="auto"/>
        <w:bottom w:val="none" w:sz="0" w:space="0" w:color="auto"/>
        <w:right w:val="none" w:sz="0" w:space="0" w:color="auto"/>
      </w:divBdr>
    </w:div>
    <w:div w:id="338312167">
      <w:bodyDiv w:val="1"/>
      <w:marLeft w:val="0"/>
      <w:marRight w:val="0"/>
      <w:marTop w:val="0"/>
      <w:marBottom w:val="0"/>
      <w:divBdr>
        <w:top w:val="none" w:sz="0" w:space="0" w:color="auto"/>
        <w:left w:val="none" w:sz="0" w:space="0" w:color="auto"/>
        <w:bottom w:val="none" w:sz="0" w:space="0" w:color="auto"/>
        <w:right w:val="none" w:sz="0" w:space="0" w:color="auto"/>
      </w:divBdr>
    </w:div>
    <w:div w:id="338314058">
      <w:bodyDiv w:val="1"/>
      <w:marLeft w:val="0"/>
      <w:marRight w:val="0"/>
      <w:marTop w:val="0"/>
      <w:marBottom w:val="0"/>
      <w:divBdr>
        <w:top w:val="none" w:sz="0" w:space="0" w:color="auto"/>
        <w:left w:val="none" w:sz="0" w:space="0" w:color="auto"/>
        <w:bottom w:val="none" w:sz="0" w:space="0" w:color="auto"/>
        <w:right w:val="none" w:sz="0" w:space="0" w:color="auto"/>
      </w:divBdr>
    </w:div>
    <w:div w:id="338893611">
      <w:bodyDiv w:val="1"/>
      <w:marLeft w:val="0"/>
      <w:marRight w:val="0"/>
      <w:marTop w:val="0"/>
      <w:marBottom w:val="0"/>
      <w:divBdr>
        <w:top w:val="none" w:sz="0" w:space="0" w:color="auto"/>
        <w:left w:val="none" w:sz="0" w:space="0" w:color="auto"/>
        <w:bottom w:val="none" w:sz="0" w:space="0" w:color="auto"/>
        <w:right w:val="none" w:sz="0" w:space="0" w:color="auto"/>
      </w:divBdr>
    </w:div>
    <w:div w:id="341052338">
      <w:bodyDiv w:val="1"/>
      <w:marLeft w:val="0"/>
      <w:marRight w:val="0"/>
      <w:marTop w:val="0"/>
      <w:marBottom w:val="0"/>
      <w:divBdr>
        <w:top w:val="none" w:sz="0" w:space="0" w:color="auto"/>
        <w:left w:val="none" w:sz="0" w:space="0" w:color="auto"/>
        <w:bottom w:val="none" w:sz="0" w:space="0" w:color="auto"/>
        <w:right w:val="none" w:sz="0" w:space="0" w:color="auto"/>
      </w:divBdr>
    </w:div>
    <w:div w:id="342514375">
      <w:bodyDiv w:val="1"/>
      <w:marLeft w:val="0"/>
      <w:marRight w:val="0"/>
      <w:marTop w:val="0"/>
      <w:marBottom w:val="0"/>
      <w:divBdr>
        <w:top w:val="none" w:sz="0" w:space="0" w:color="auto"/>
        <w:left w:val="none" w:sz="0" w:space="0" w:color="auto"/>
        <w:bottom w:val="none" w:sz="0" w:space="0" w:color="auto"/>
        <w:right w:val="none" w:sz="0" w:space="0" w:color="auto"/>
      </w:divBdr>
    </w:div>
    <w:div w:id="344792200">
      <w:bodyDiv w:val="1"/>
      <w:marLeft w:val="0"/>
      <w:marRight w:val="0"/>
      <w:marTop w:val="0"/>
      <w:marBottom w:val="0"/>
      <w:divBdr>
        <w:top w:val="none" w:sz="0" w:space="0" w:color="auto"/>
        <w:left w:val="none" w:sz="0" w:space="0" w:color="auto"/>
        <w:bottom w:val="none" w:sz="0" w:space="0" w:color="auto"/>
        <w:right w:val="none" w:sz="0" w:space="0" w:color="auto"/>
      </w:divBdr>
    </w:div>
    <w:div w:id="345592716">
      <w:bodyDiv w:val="1"/>
      <w:marLeft w:val="0"/>
      <w:marRight w:val="0"/>
      <w:marTop w:val="0"/>
      <w:marBottom w:val="0"/>
      <w:divBdr>
        <w:top w:val="none" w:sz="0" w:space="0" w:color="auto"/>
        <w:left w:val="none" w:sz="0" w:space="0" w:color="auto"/>
        <w:bottom w:val="none" w:sz="0" w:space="0" w:color="auto"/>
        <w:right w:val="none" w:sz="0" w:space="0" w:color="auto"/>
      </w:divBdr>
    </w:div>
    <w:div w:id="348534377">
      <w:bodyDiv w:val="1"/>
      <w:marLeft w:val="0"/>
      <w:marRight w:val="0"/>
      <w:marTop w:val="0"/>
      <w:marBottom w:val="0"/>
      <w:divBdr>
        <w:top w:val="none" w:sz="0" w:space="0" w:color="auto"/>
        <w:left w:val="none" w:sz="0" w:space="0" w:color="auto"/>
        <w:bottom w:val="none" w:sz="0" w:space="0" w:color="auto"/>
        <w:right w:val="none" w:sz="0" w:space="0" w:color="auto"/>
      </w:divBdr>
    </w:div>
    <w:div w:id="353117986">
      <w:bodyDiv w:val="1"/>
      <w:marLeft w:val="0"/>
      <w:marRight w:val="0"/>
      <w:marTop w:val="0"/>
      <w:marBottom w:val="0"/>
      <w:divBdr>
        <w:top w:val="none" w:sz="0" w:space="0" w:color="auto"/>
        <w:left w:val="none" w:sz="0" w:space="0" w:color="auto"/>
        <w:bottom w:val="none" w:sz="0" w:space="0" w:color="auto"/>
        <w:right w:val="none" w:sz="0" w:space="0" w:color="auto"/>
      </w:divBdr>
    </w:div>
    <w:div w:id="355623126">
      <w:bodyDiv w:val="1"/>
      <w:marLeft w:val="0"/>
      <w:marRight w:val="0"/>
      <w:marTop w:val="0"/>
      <w:marBottom w:val="0"/>
      <w:divBdr>
        <w:top w:val="none" w:sz="0" w:space="0" w:color="auto"/>
        <w:left w:val="none" w:sz="0" w:space="0" w:color="auto"/>
        <w:bottom w:val="none" w:sz="0" w:space="0" w:color="auto"/>
        <w:right w:val="none" w:sz="0" w:space="0" w:color="auto"/>
      </w:divBdr>
    </w:div>
    <w:div w:id="356591034">
      <w:bodyDiv w:val="1"/>
      <w:marLeft w:val="0"/>
      <w:marRight w:val="0"/>
      <w:marTop w:val="0"/>
      <w:marBottom w:val="0"/>
      <w:divBdr>
        <w:top w:val="none" w:sz="0" w:space="0" w:color="auto"/>
        <w:left w:val="none" w:sz="0" w:space="0" w:color="auto"/>
        <w:bottom w:val="none" w:sz="0" w:space="0" w:color="auto"/>
        <w:right w:val="none" w:sz="0" w:space="0" w:color="auto"/>
      </w:divBdr>
    </w:div>
    <w:div w:id="358623103">
      <w:bodyDiv w:val="1"/>
      <w:marLeft w:val="0"/>
      <w:marRight w:val="0"/>
      <w:marTop w:val="0"/>
      <w:marBottom w:val="0"/>
      <w:divBdr>
        <w:top w:val="none" w:sz="0" w:space="0" w:color="auto"/>
        <w:left w:val="none" w:sz="0" w:space="0" w:color="auto"/>
        <w:bottom w:val="none" w:sz="0" w:space="0" w:color="auto"/>
        <w:right w:val="none" w:sz="0" w:space="0" w:color="auto"/>
      </w:divBdr>
    </w:div>
    <w:div w:id="359626480">
      <w:bodyDiv w:val="1"/>
      <w:marLeft w:val="0"/>
      <w:marRight w:val="0"/>
      <w:marTop w:val="0"/>
      <w:marBottom w:val="0"/>
      <w:divBdr>
        <w:top w:val="none" w:sz="0" w:space="0" w:color="auto"/>
        <w:left w:val="none" w:sz="0" w:space="0" w:color="auto"/>
        <w:bottom w:val="none" w:sz="0" w:space="0" w:color="auto"/>
        <w:right w:val="none" w:sz="0" w:space="0" w:color="auto"/>
      </w:divBdr>
    </w:div>
    <w:div w:id="361706203">
      <w:bodyDiv w:val="1"/>
      <w:marLeft w:val="0"/>
      <w:marRight w:val="0"/>
      <w:marTop w:val="0"/>
      <w:marBottom w:val="0"/>
      <w:divBdr>
        <w:top w:val="none" w:sz="0" w:space="0" w:color="auto"/>
        <w:left w:val="none" w:sz="0" w:space="0" w:color="auto"/>
        <w:bottom w:val="none" w:sz="0" w:space="0" w:color="auto"/>
        <w:right w:val="none" w:sz="0" w:space="0" w:color="auto"/>
      </w:divBdr>
    </w:div>
    <w:div w:id="361828842">
      <w:bodyDiv w:val="1"/>
      <w:marLeft w:val="0"/>
      <w:marRight w:val="0"/>
      <w:marTop w:val="0"/>
      <w:marBottom w:val="0"/>
      <w:divBdr>
        <w:top w:val="none" w:sz="0" w:space="0" w:color="auto"/>
        <w:left w:val="none" w:sz="0" w:space="0" w:color="auto"/>
        <w:bottom w:val="none" w:sz="0" w:space="0" w:color="auto"/>
        <w:right w:val="none" w:sz="0" w:space="0" w:color="auto"/>
      </w:divBdr>
    </w:div>
    <w:div w:id="364789114">
      <w:bodyDiv w:val="1"/>
      <w:marLeft w:val="0"/>
      <w:marRight w:val="0"/>
      <w:marTop w:val="0"/>
      <w:marBottom w:val="0"/>
      <w:divBdr>
        <w:top w:val="none" w:sz="0" w:space="0" w:color="auto"/>
        <w:left w:val="none" w:sz="0" w:space="0" w:color="auto"/>
        <w:bottom w:val="none" w:sz="0" w:space="0" w:color="auto"/>
        <w:right w:val="none" w:sz="0" w:space="0" w:color="auto"/>
      </w:divBdr>
    </w:div>
    <w:div w:id="369110719">
      <w:bodyDiv w:val="1"/>
      <w:marLeft w:val="0"/>
      <w:marRight w:val="0"/>
      <w:marTop w:val="0"/>
      <w:marBottom w:val="0"/>
      <w:divBdr>
        <w:top w:val="none" w:sz="0" w:space="0" w:color="auto"/>
        <w:left w:val="none" w:sz="0" w:space="0" w:color="auto"/>
        <w:bottom w:val="none" w:sz="0" w:space="0" w:color="auto"/>
        <w:right w:val="none" w:sz="0" w:space="0" w:color="auto"/>
      </w:divBdr>
    </w:div>
    <w:div w:id="369309757">
      <w:bodyDiv w:val="1"/>
      <w:marLeft w:val="0"/>
      <w:marRight w:val="0"/>
      <w:marTop w:val="0"/>
      <w:marBottom w:val="0"/>
      <w:divBdr>
        <w:top w:val="none" w:sz="0" w:space="0" w:color="auto"/>
        <w:left w:val="none" w:sz="0" w:space="0" w:color="auto"/>
        <w:bottom w:val="none" w:sz="0" w:space="0" w:color="auto"/>
        <w:right w:val="none" w:sz="0" w:space="0" w:color="auto"/>
      </w:divBdr>
    </w:div>
    <w:div w:id="369690845">
      <w:bodyDiv w:val="1"/>
      <w:marLeft w:val="0"/>
      <w:marRight w:val="0"/>
      <w:marTop w:val="0"/>
      <w:marBottom w:val="0"/>
      <w:divBdr>
        <w:top w:val="none" w:sz="0" w:space="0" w:color="auto"/>
        <w:left w:val="none" w:sz="0" w:space="0" w:color="auto"/>
        <w:bottom w:val="none" w:sz="0" w:space="0" w:color="auto"/>
        <w:right w:val="none" w:sz="0" w:space="0" w:color="auto"/>
      </w:divBdr>
    </w:div>
    <w:div w:id="370963240">
      <w:bodyDiv w:val="1"/>
      <w:marLeft w:val="0"/>
      <w:marRight w:val="0"/>
      <w:marTop w:val="0"/>
      <w:marBottom w:val="0"/>
      <w:divBdr>
        <w:top w:val="none" w:sz="0" w:space="0" w:color="auto"/>
        <w:left w:val="none" w:sz="0" w:space="0" w:color="auto"/>
        <w:bottom w:val="none" w:sz="0" w:space="0" w:color="auto"/>
        <w:right w:val="none" w:sz="0" w:space="0" w:color="auto"/>
      </w:divBdr>
    </w:div>
    <w:div w:id="373391200">
      <w:bodyDiv w:val="1"/>
      <w:marLeft w:val="0"/>
      <w:marRight w:val="0"/>
      <w:marTop w:val="0"/>
      <w:marBottom w:val="0"/>
      <w:divBdr>
        <w:top w:val="none" w:sz="0" w:space="0" w:color="auto"/>
        <w:left w:val="none" w:sz="0" w:space="0" w:color="auto"/>
        <w:bottom w:val="none" w:sz="0" w:space="0" w:color="auto"/>
        <w:right w:val="none" w:sz="0" w:space="0" w:color="auto"/>
      </w:divBdr>
    </w:div>
    <w:div w:id="373504365">
      <w:bodyDiv w:val="1"/>
      <w:marLeft w:val="0"/>
      <w:marRight w:val="0"/>
      <w:marTop w:val="0"/>
      <w:marBottom w:val="0"/>
      <w:divBdr>
        <w:top w:val="none" w:sz="0" w:space="0" w:color="auto"/>
        <w:left w:val="none" w:sz="0" w:space="0" w:color="auto"/>
        <w:bottom w:val="none" w:sz="0" w:space="0" w:color="auto"/>
        <w:right w:val="none" w:sz="0" w:space="0" w:color="auto"/>
      </w:divBdr>
    </w:div>
    <w:div w:id="374891361">
      <w:bodyDiv w:val="1"/>
      <w:marLeft w:val="0"/>
      <w:marRight w:val="0"/>
      <w:marTop w:val="0"/>
      <w:marBottom w:val="0"/>
      <w:divBdr>
        <w:top w:val="none" w:sz="0" w:space="0" w:color="auto"/>
        <w:left w:val="none" w:sz="0" w:space="0" w:color="auto"/>
        <w:bottom w:val="none" w:sz="0" w:space="0" w:color="auto"/>
        <w:right w:val="none" w:sz="0" w:space="0" w:color="auto"/>
      </w:divBdr>
    </w:div>
    <w:div w:id="375088014">
      <w:bodyDiv w:val="1"/>
      <w:marLeft w:val="0"/>
      <w:marRight w:val="0"/>
      <w:marTop w:val="0"/>
      <w:marBottom w:val="0"/>
      <w:divBdr>
        <w:top w:val="none" w:sz="0" w:space="0" w:color="auto"/>
        <w:left w:val="none" w:sz="0" w:space="0" w:color="auto"/>
        <w:bottom w:val="none" w:sz="0" w:space="0" w:color="auto"/>
        <w:right w:val="none" w:sz="0" w:space="0" w:color="auto"/>
      </w:divBdr>
    </w:div>
    <w:div w:id="375128200">
      <w:bodyDiv w:val="1"/>
      <w:marLeft w:val="0"/>
      <w:marRight w:val="0"/>
      <w:marTop w:val="0"/>
      <w:marBottom w:val="0"/>
      <w:divBdr>
        <w:top w:val="none" w:sz="0" w:space="0" w:color="auto"/>
        <w:left w:val="none" w:sz="0" w:space="0" w:color="auto"/>
        <w:bottom w:val="none" w:sz="0" w:space="0" w:color="auto"/>
        <w:right w:val="none" w:sz="0" w:space="0" w:color="auto"/>
      </w:divBdr>
    </w:div>
    <w:div w:id="375202387">
      <w:bodyDiv w:val="1"/>
      <w:marLeft w:val="0"/>
      <w:marRight w:val="0"/>
      <w:marTop w:val="0"/>
      <w:marBottom w:val="0"/>
      <w:divBdr>
        <w:top w:val="none" w:sz="0" w:space="0" w:color="auto"/>
        <w:left w:val="none" w:sz="0" w:space="0" w:color="auto"/>
        <w:bottom w:val="none" w:sz="0" w:space="0" w:color="auto"/>
        <w:right w:val="none" w:sz="0" w:space="0" w:color="auto"/>
      </w:divBdr>
    </w:div>
    <w:div w:id="375475859">
      <w:bodyDiv w:val="1"/>
      <w:marLeft w:val="0"/>
      <w:marRight w:val="0"/>
      <w:marTop w:val="0"/>
      <w:marBottom w:val="0"/>
      <w:divBdr>
        <w:top w:val="none" w:sz="0" w:space="0" w:color="auto"/>
        <w:left w:val="none" w:sz="0" w:space="0" w:color="auto"/>
        <w:bottom w:val="none" w:sz="0" w:space="0" w:color="auto"/>
        <w:right w:val="none" w:sz="0" w:space="0" w:color="auto"/>
      </w:divBdr>
    </w:div>
    <w:div w:id="376197075">
      <w:bodyDiv w:val="1"/>
      <w:marLeft w:val="0"/>
      <w:marRight w:val="0"/>
      <w:marTop w:val="0"/>
      <w:marBottom w:val="0"/>
      <w:divBdr>
        <w:top w:val="none" w:sz="0" w:space="0" w:color="auto"/>
        <w:left w:val="none" w:sz="0" w:space="0" w:color="auto"/>
        <w:bottom w:val="none" w:sz="0" w:space="0" w:color="auto"/>
        <w:right w:val="none" w:sz="0" w:space="0" w:color="auto"/>
      </w:divBdr>
    </w:div>
    <w:div w:id="377583945">
      <w:bodyDiv w:val="1"/>
      <w:marLeft w:val="0"/>
      <w:marRight w:val="0"/>
      <w:marTop w:val="0"/>
      <w:marBottom w:val="0"/>
      <w:divBdr>
        <w:top w:val="none" w:sz="0" w:space="0" w:color="auto"/>
        <w:left w:val="none" w:sz="0" w:space="0" w:color="auto"/>
        <w:bottom w:val="none" w:sz="0" w:space="0" w:color="auto"/>
        <w:right w:val="none" w:sz="0" w:space="0" w:color="auto"/>
      </w:divBdr>
    </w:div>
    <w:div w:id="381053970">
      <w:bodyDiv w:val="1"/>
      <w:marLeft w:val="0"/>
      <w:marRight w:val="0"/>
      <w:marTop w:val="0"/>
      <w:marBottom w:val="0"/>
      <w:divBdr>
        <w:top w:val="none" w:sz="0" w:space="0" w:color="auto"/>
        <w:left w:val="none" w:sz="0" w:space="0" w:color="auto"/>
        <w:bottom w:val="none" w:sz="0" w:space="0" w:color="auto"/>
        <w:right w:val="none" w:sz="0" w:space="0" w:color="auto"/>
      </w:divBdr>
    </w:div>
    <w:div w:id="382563380">
      <w:bodyDiv w:val="1"/>
      <w:marLeft w:val="0"/>
      <w:marRight w:val="0"/>
      <w:marTop w:val="0"/>
      <w:marBottom w:val="0"/>
      <w:divBdr>
        <w:top w:val="none" w:sz="0" w:space="0" w:color="auto"/>
        <w:left w:val="none" w:sz="0" w:space="0" w:color="auto"/>
        <w:bottom w:val="none" w:sz="0" w:space="0" w:color="auto"/>
        <w:right w:val="none" w:sz="0" w:space="0" w:color="auto"/>
      </w:divBdr>
    </w:div>
    <w:div w:id="383022810">
      <w:bodyDiv w:val="1"/>
      <w:marLeft w:val="0"/>
      <w:marRight w:val="0"/>
      <w:marTop w:val="0"/>
      <w:marBottom w:val="0"/>
      <w:divBdr>
        <w:top w:val="none" w:sz="0" w:space="0" w:color="auto"/>
        <w:left w:val="none" w:sz="0" w:space="0" w:color="auto"/>
        <w:bottom w:val="none" w:sz="0" w:space="0" w:color="auto"/>
        <w:right w:val="none" w:sz="0" w:space="0" w:color="auto"/>
      </w:divBdr>
    </w:div>
    <w:div w:id="383916762">
      <w:bodyDiv w:val="1"/>
      <w:marLeft w:val="0"/>
      <w:marRight w:val="0"/>
      <w:marTop w:val="0"/>
      <w:marBottom w:val="0"/>
      <w:divBdr>
        <w:top w:val="none" w:sz="0" w:space="0" w:color="auto"/>
        <w:left w:val="none" w:sz="0" w:space="0" w:color="auto"/>
        <w:bottom w:val="none" w:sz="0" w:space="0" w:color="auto"/>
        <w:right w:val="none" w:sz="0" w:space="0" w:color="auto"/>
      </w:divBdr>
    </w:div>
    <w:div w:id="384254510">
      <w:bodyDiv w:val="1"/>
      <w:marLeft w:val="0"/>
      <w:marRight w:val="0"/>
      <w:marTop w:val="0"/>
      <w:marBottom w:val="0"/>
      <w:divBdr>
        <w:top w:val="none" w:sz="0" w:space="0" w:color="auto"/>
        <w:left w:val="none" w:sz="0" w:space="0" w:color="auto"/>
        <w:bottom w:val="none" w:sz="0" w:space="0" w:color="auto"/>
        <w:right w:val="none" w:sz="0" w:space="0" w:color="auto"/>
      </w:divBdr>
    </w:div>
    <w:div w:id="384377437">
      <w:bodyDiv w:val="1"/>
      <w:marLeft w:val="0"/>
      <w:marRight w:val="0"/>
      <w:marTop w:val="0"/>
      <w:marBottom w:val="0"/>
      <w:divBdr>
        <w:top w:val="none" w:sz="0" w:space="0" w:color="auto"/>
        <w:left w:val="none" w:sz="0" w:space="0" w:color="auto"/>
        <w:bottom w:val="none" w:sz="0" w:space="0" w:color="auto"/>
        <w:right w:val="none" w:sz="0" w:space="0" w:color="auto"/>
      </w:divBdr>
    </w:div>
    <w:div w:id="385108647">
      <w:bodyDiv w:val="1"/>
      <w:marLeft w:val="0"/>
      <w:marRight w:val="0"/>
      <w:marTop w:val="0"/>
      <w:marBottom w:val="0"/>
      <w:divBdr>
        <w:top w:val="none" w:sz="0" w:space="0" w:color="auto"/>
        <w:left w:val="none" w:sz="0" w:space="0" w:color="auto"/>
        <w:bottom w:val="none" w:sz="0" w:space="0" w:color="auto"/>
        <w:right w:val="none" w:sz="0" w:space="0" w:color="auto"/>
      </w:divBdr>
    </w:div>
    <w:div w:id="385640278">
      <w:bodyDiv w:val="1"/>
      <w:marLeft w:val="0"/>
      <w:marRight w:val="0"/>
      <w:marTop w:val="0"/>
      <w:marBottom w:val="0"/>
      <w:divBdr>
        <w:top w:val="none" w:sz="0" w:space="0" w:color="auto"/>
        <w:left w:val="none" w:sz="0" w:space="0" w:color="auto"/>
        <w:bottom w:val="none" w:sz="0" w:space="0" w:color="auto"/>
        <w:right w:val="none" w:sz="0" w:space="0" w:color="auto"/>
      </w:divBdr>
    </w:div>
    <w:div w:id="385758942">
      <w:bodyDiv w:val="1"/>
      <w:marLeft w:val="0"/>
      <w:marRight w:val="0"/>
      <w:marTop w:val="0"/>
      <w:marBottom w:val="0"/>
      <w:divBdr>
        <w:top w:val="none" w:sz="0" w:space="0" w:color="auto"/>
        <w:left w:val="none" w:sz="0" w:space="0" w:color="auto"/>
        <w:bottom w:val="none" w:sz="0" w:space="0" w:color="auto"/>
        <w:right w:val="none" w:sz="0" w:space="0" w:color="auto"/>
      </w:divBdr>
    </w:div>
    <w:div w:id="388116188">
      <w:bodyDiv w:val="1"/>
      <w:marLeft w:val="0"/>
      <w:marRight w:val="0"/>
      <w:marTop w:val="0"/>
      <w:marBottom w:val="0"/>
      <w:divBdr>
        <w:top w:val="none" w:sz="0" w:space="0" w:color="auto"/>
        <w:left w:val="none" w:sz="0" w:space="0" w:color="auto"/>
        <w:bottom w:val="none" w:sz="0" w:space="0" w:color="auto"/>
        <w:right w:val="none" w:sz="0" w:space="0" w:color="auto"/>
      </w:divBdr>
    </w:div>
    <w:div w:id="389619881">
      <w:bodyDiv w:val="1"/>
      <w:marLeft w:val="0"/>
      <w:marRight w:val="0"/>
      <w:marTop w:val="0"/>
      <w:marBottom w:val="0"/>
      <w:divBdr>
        <w:top w:val="none" w:sz="0" w:space="0" w:color="auto"/>
        <w:left w:val="none" w:sz="0" w:space="0" w:color="auto"/>
        <w:bottom w:val="none" w:sz="0" w:space="0" w:color="auto"/>
        <w:right w:val="none" w:sz="0" w:space="0" w:color="auto"/>
      </w:divBdr>
    </w:div>
    <w:div w:id="391780289">
      <w:bodyDiv w:val="1"/>
      <w:marLeft w:val="0"/>
      <w:marRight w:val="0"/>
      <w:marTop w:val="0"/>
      <w:marBottom w:val="0"/>
      <w:divBdr>
        <w:top w:val="none" w:sz="0" w:space="0" w:color="auto"/>
        <w:left w:val="none" w:sz="0" w:space="0" w:color="auto"/>
        <w:bottom w:val="none" w:sz="0" w:space="0" w:color="auto"/>
        <w:right w:val="none" w:sz="0" w:space="0" w:color="auto"/>
      </w:divBdr>
    </w:div>
    <w:div w:id="395054177">
      <w:bodyDiv w:val="1"/>
      <w:marLeft w:val="0"/>
      <w:marRight w:val="0"/>
      <w:marTop w:val="0"/>
      <w:marBottom w:val="0"/>
      <w:divBdr>
        <w:top w:val="none" w:sz="0" w:space="0" w:color="auto"/>
        <w:left w:val="none" w:sz="0" w:space="0" w:color="auto"/>
        <w:bottom w:val="none" w:sz="0" w:space="0" w:color="auto"/>
        <w:right w:val="none" w:sz="0" w:space="0" w:color="auto"/>
      </w:divBdr>
    </w:div>
    <w:div w:id="397172343">
      <w:bodyDiv w:val="1"/>
      <w:marLeft w:val="0"/>
      <w:marRight w:val="0"/>
      <w:marTop w:val="0"/>
      <w:marBottom w:val="0"/>
      <w:divBdr>
        <w:top w:val="none" w:sz="0" w:space="0" w:color="auto"/>
        <w:left w:val="none" w:sz="0" w:space="0" w:color="auto"/>
        <w:bottom w:val="none" w:sz="0" w:space="0" w:color="auto"/>
        <w:right w:val="none" w:sz="0" w:space="0" w:color="auto"/>
      </w:divBdr>
    </w:div>
    <w:div w:id="397636539">
      <w:bodyDiv w:val="1"/>
      <w:marLeft w:val="0"/>
      <w:marRight w:val="0"/>
      <w:marTop w:val="0"/>
      <w:marBottom w:val="0"/>
      <w:divBdr>
        <w:top w:val="none" w:sz="0" w:space="0" w:color="auto"/>
        <w:left w:val="none" w:sz="0" w:space="0" w:color="auto"/>
        <w:bottom w:val="none" w:sz="0" w:space="0" w:color="auto"/>
        <w:right w:val="none" w:sz="0" w:space="0" w:color="auto"/>
      </w:divBdr>
    </w:div>
    <w:div w:id="399403612">
      <w:bodyDiv w:val="1"/>
      <w:marLeft w:val="0"/>
      <w:marRight w:val="0"/>
      <w:marTop w:val="0"/>
      <w:marBottom w:val="0"/>
      <w:divBdr>
        <w:top w:val="none" w:sz="0" w:space="0" w:color="auto"/>
        <w:left w:val="none" w:sz="0" w:space="0" w:color="auto"/>
        <w:bottom w:val="none" w:sz="0" w:space="0" w:color="auto"/>
        <w:right w:val="none" w:sz="0" w:space="0" w:color="auto"/>
      </w:divBdr>
    </w:div>
    <w:div w:id="399718013">
      <w:bodyDiv w:val="1"/>
      <w:marLeft w:val="0"/>
      <w:marRight w:val="0"/>
      <w:marTop w:val="0"/>
      <w:marBottom w:val="0"/>
      <w:divBdr>
        <w:top w:val="none" w:sz="0" w:space="0" w:color="auto"/>
        <w:left w:val="none" w:sz="0" w:space="0" w:color="auto"/>
        <w:bottom w:val="none" w:sz="0" w:space="0" w:color="auto"/>
        <w:right w:val="none" w:sz="0" w:space="0" w:color="auto"/>
      </w:divBdr>
    </w:div>
    <w:div w:id="400517926">
      <w:bodyDiv w:val="1"/>
      <w:marLeft w:val="0"/>
      <w:marRight w:val="0"/>
      <w:marTop w:val="0"/>
      <w:marBottom w:val="0"/>
      <w:divBdr>
        <w:top w:val="none" w:sz="0" w:space="0" w:color="auto"/>
        <w:left w:val="none" w:sz="0" w:space="0" w:color="auto"/>
        <w:bottom w:val="none" w:sz="0" w:space="0" w:color="auto"/>
        <w:right w:val="none" w:sz="0" w:space="0" w:color="auto"/>
      </w:divBdr>
    </w:div>
    <w:div w:id="400912329">
      <w:bodyDiv w:val="1"/>
      <w:marLeft w:val="0"/>
      <w:marRight w:val="0"/>
      <w:marTop w:val="0"/>
      <w:marBottom w:val="0"/>
      <w:divBdr>
        <w:top w:val="none" w:sz="0" w:space="0" w:color="auto"/>
        <w:left w:val="none" w:sz="0" w:space="0" w:color="auto"/>
        <w:bottom w:val="none" w:sz="0" w:space="0" w:color="auto"/>
        <w:right w:val="none" w:sz="0" w:space="0" w:color="auto"/>
      </w:divBdr>
    </w:div>
    <w:div w:id="401023524">
      <w:bodyDiv w:val="1"/>
      <w:marLeft w:val="0"/>
      <w:marRight w:val="0"/>
      <w:marTop w:val="0"/>
      <w:marBottom w:val="0"/>
      <w:divBdr>
        <w:top w:val="none" w:sz="0" w:space="0" w:color="auto"/>
        <w:left w:val="none" w:sz="0" w:space="0" w:color="auto"/>
        <w:bottom w:val="none" w:sz="0" w:space="0" w:color="auto"/>
        <w:right w:val="none" w:sz="0" w:space="0" w:color="auto"/>
      </w:divBdr>
    </w:div>
    <w:div w:id="401293782">
      <w:bodyDiv w:val="1"/>
      <w:marLeft w:val="0"/>
      <w:marRight w:val="0"/>
      <w:marTop w:val="0"/>
      <w:marBottom w:val="0"/>
      <w:divBdr>
        <w:top w:val="none" w:sz="0" w:space="0" w:color="auto"/>
        <w:left w:val="none" w:sz="0" w:space="0" w:color="auto"/>
        <w:bottom w:val="none" w:sz="0" w:space="0" w:color="auto"/>
        <w:right w:val="none" w:sz="0" w:space="0" w:color="auto"/>
      </w:divBdr>
    </w:div>
    <w:div w:id="401804237">
      <w:bodyDiv w:val="1"/>
      <w:marLeft w:val="0"/>
      <w:marRight w:val="0"/>
      <w:marTop w:val="0"/>
      <w:marBottom w:val="0"/>
      <w:divBdr>
        <w:top w:val="none" w:sz="0" w:space="0" w:color="auto"/>
        <w:left w:val="none" w:sz="0" w:space="0" w:color="auto"/>
        <w:bottom w:val="none" w:sz="0" w:space="0" w:color="auto"/>
        <w:right w:val="none" w:sz="0" w:space="0" w:color="auto"/>
      </w:divBdr>
    </w:div>
    <w:div w:id="402218680">
      <w:bodyDiv w:val="1"/>
      <w:marLeft w:val="0"/>
      <w:marRight w:val="0"/>
      <w:marTop w:val="0"/>
      <w:marBottom w:val="0"/>
      <w:divBdr>
        <w:top w:val="none" w:sz="0" w:space="0" w:color="auto"/>
        <w:left w:val="none" w:sz="0" w:space="0" w:color="auto"/>
        <w:bottom w:val="none" w:sz="0" w:space="0" w:color="auto"/>
        <w:right w:val="none" w:sz="0" w:space="0" w:color="auto"/>
      </w:divBdr>
    </w:div>
    <w:div w:id="402724752">
      <w:bodyDiv w:val="1"/>
      <w:marLeft w:val="0"/>
      <w:marRight w:val="0"/>
      <w:marTop w:val="0"/>
      <w:marBottom w:val="0"/>
      <w:divBdr>
        <w:top w:val="none" w:sz="0" w:space="0" w:color="auto"/>
        <w:left w:val="none" w:sz="0" w:space="0" w:color="auto"/>
        <w:bottom w:val="none" w:sz="0" w:space="0" w:color="auto"/>
        <w:right w:val="none" w:sz="0" w:space="0" w:color="auto"/>
      </w:divBdr>
    </w:div>
    <w:div w:id="404104773">
      <w:bodyDiv w:val="1"/>
      <w:marLeft w:val="0"/>
      <w:marRight w:val="0"/>
      <w:marTop w:val="0"/>
      <w:marBottom w:val="0"/>
      <w:divBdr>
        <w:top w:val="none" w:sz="0" w:space="0" w:color="auto"/>
        <w:left w:val="none" w:sz="0" w:space="0" w:color="auto"/>
        <w:bottom w:val="none" w:sz="0" w:space="0" w:color="auto"/>
        <w:right w:val="none" w:sz="0" w:space="0" w:color="auto"/>
      </w:divBdr>
    </w:div>
    <w:div w:id="404449348">
      <w:bodyDiv w:val="1"/>
      <w:marLeft w:val="0"/>
      <w:marRight w:val="0"/>
      <w:marTop w:val="0"/>
      <w:marBottom w:val="0"/>
      <w:divBdr>
        <w:top w:val="none" w:sz="0" w:space="0" w:color="auto"/>
        <w:left w:val="none" w:sz="0" w:space="0" w:color="auto"/>
        <w:bottom w:val="none" w:sz="0" w:space="0" w:color="auto"/>
        <w:right w:val="none" w:sz="0" w:space="0" w:color="auto"/>
      </w:divBdr>
    </w:div>
    <w:div w:id="404767352">
      <w:bodyDiv w:val="1"/>
      <w:marLeft w:val="0"/>
      <w:marRight w:val="0"/>
      <w:marTop w:val="0"/>
      <w:marBottom w:val="0"/>
      <w:divBdr>
        <w:top w:val="none" w:sz="0" w:space="0" w:color="auto"/>
        <w:left w:val="none" w:sz="0" w:space="0" w:color="auto"/>
        <w:bottom w:val="none" w:sz="0" w:space="0" w:color="auto"/>
        <w:right w:val="none" w:sz="0" w:space="0" w:color="auto"/>
      </w:divBdr>
    </w:div>
    <w:div w:id="405806590">
      <w:bodyDiv w:val="1"/>
      <w:marLeft w:val="0"/>
      <w:marRight w:val="0"/>
      <w:marTop w:val="0"/>
      <w:marBottom w:val="0"/>
      <w:divBdr>
        <w:top w:val="none" w:sz="0" w:space="0" w:color="auto"/>
        <w:left w:val="none" w:sz="0" w:space="0" w:color="auto"/>
        <w:bottom w:val="none" w:sz="0" w:space="0" w:color="auto"/>
        <w:right w:val="none" w:sz="0" w:space="0" w:color="auto"/>
      </w:divBdr>
    </w:div>
    <w:div w:id="405958535">
      <w:bodyDiv w:val="1"/>
      <w:marLeft w:val="0"/>
      <w:marRight w:val="0"/>
      <w:marTop w:val="0"/>
      <w:marBottom w:val="0"/>
      <w:divBdr>
        <w:top w:val="none" w:sz="0" w:space="0" w:color="auto"/>
        <w:left w:val="none" w:sz="0" w:space="0" w:color="auto"/>
        <w:bottom w:val="none" w:sz="0" w:space="0" w:color="auto"/>
        <w:right w:val="none" w:sz="0" w:space="0" w:color="auto"/>
      </w:divBdr>
    </w:div>
    <w:div w:id="406541184">
      <w:bodyDiv w:val="1"/>
      <w:marLeft w:val="0"/>
      <w:marRight w:val="0"/>
      <w:marTop w:val="0"/>
      <w:marBottom w:val="0"/>
      <w:divBdr>
        <w:top w:val="none" w:sz="0" w:space="0" w:color="auto"/>
        <w:left w:val="none" w:sz="0" w:space="0" w:color="auto"/>
        <w:bottom w:val="none" w:sz="0" w:space="0" w:color="auto"/>
        <w:right w:val="none" w:sz="0" w:space="0" w:color="auto"/>
      </w:divBdr>
    </w:div>
    <w:div w:id="407003361">
      <w:bodyDiv w:val="1"/>
      <w:marLeft w:val="0"/>
      <w:marRight w:val="0"/>
      <w:marTop w:val="0"/>
      <w:marBottom w:val="0"/>
      <w:divBdr>
        <w:top w:val="none" w:sz="0" w:space="0" w:color="auto"/>
        <w:left w:val="none" w:sz="0" w:space="0" w:color="auto"/>
        <w:bottom w:val="none" w:sz="0" w:space="0" w:color="auto"/>
        <w:right w:val="none" w:sz="0" w:space="0" w:color="auto"/>
      </w:divBdr>
    </w:div>
    <w:div w:id="408622456">
      <w:bodyDiv w:val="1"/>
      <w:marLeft w:val="0"/>
      <w:marRight w:val="0"/>
      <w:marTop w:val="0"/>
      <w:marBottom w:val="0"/>
      <w:divBdr>
        <w:top w:val="none" w:sz="0" w:space="0" w:color="auto"/>
        <w:left w:val="none" w:sz="0" w:space="0" w:color="auto"/>
        <w:bottom w:val="none" w:sz="0" w:space="0" w:color="auto"/>
        <w:right w:val="none" w:sz="0" w:space="0" w:color="auto"/>
      </w:divBdr>
    </w:div>
    <w:div w:id="410082663">
      <w:bodyDiv w:val="1"/>
      <w:marLeft w:val="0"/>
      <w:marRight w:val="0"/>
      <w:marTop w:val="0"/>
      <w:marBottom w:val="0"/>
      <w:divBdr>
        <w:top w:val="none" w:sz="0" w:space="0" w:color="auto"/>
        <w:left w:val="none" w:sz="0" w:space="0" w:color="auto"/>
        <w:bottom w:val="none" w:sz="0" w:space="0" w:color="auto"/>
        <w:right w:val="none" w:sz="0" w:space="0" w:color="auto"/>
      </w:divBdr>
    </w:div>
    <w:div w:id="410128012">
      <w:bodyDiv w:val="1"/>
      <w:marLeft w:val="0"/>
      <w:marRight w:val="0"/>
      <w:marTop w:val="0"/>
      <w:marBottom w:val="0"/>
      <w:divBdr>
        <w:top w:val="none" w:sz="0" w:space="0" w:color="auto"/>
        <w:left w:val="none" w:sz="0" w:space="0" w:color="auto"/>
        <w:bottom w:val="none" w:sz="0" w:space="0" w:color="auto"/>
        <w:right w:val="none" w:sz="0" w:space="0" w:color="auto"/>
      </w:divBdr>
    </w:div>
    <w:div w:id="419370808">
      <w:bodyDiv w:val="1"/>
      <w:marLeft w:val="0"/>
      <w:marRight w:val="0"/>
      <w:marTop w:val="0"/>
      <w:marBottom w:val="0"/>
      <w:divBdr>
        <w:top w:val="none" w:sz="0" w:space="0" w:color="auto"/>
        <w:left w:val="none" w:sz="0" w:space="0" w:color="auto"/>
        <w:bottom w:val="none" w:sz="0" w:space="0" w:color="auto"/>
        <w:right w:val="none" w:sz="0" w:space="0" w:color="auto"/>
      </w:divBdr>
    </w:div>
    <w:div w:id="422798951">
      <w:bodyDiv w:val="1"/>
      <w:marLeft w:val="0"/>
      <w:marRight w:val="0"/>
      <w:marTop w:val="0"/>
      <w:marBottom w:val="0"/>
      <w:divBdr>
        <w:top w:val="none" w:sz="0" w:space="0" w:color="auto"/>
        <w:left w:val="none" w:sz="0" w:space="0" w:color="auto"/>
        <w:bottom w:val="none" w:sz="0" w:space="0" w:color="auto"/>
        <w:right w:val="none" w:sz="0" w:space="0" w:color="auto"/>
      </w:divBdr>
    </w:div>
    <w:div w:id="424225135">
      <w:bodyDiv w:val="1"/>
      <w:marLeft w:val="0"/>
      <w:marRight w:val="0"/>
      <w:marTop w:val="0"/>
      <w:marBottom w:val="0"/>
      <w:divBdr>
        <w:top w:val="none" w:sz="0" w:space="0" w:color="auto"/>
        <w:left w:val="none" w:sz="0" w:space="0" w:color="auto"/>
        <w:bottom w:val="none" w:sz="0" w:space="0" w:color="auto"/>
        <w:right w:val="none" w:sz="0" w:space="0" w:color="auto"/>
      </w:divBdr>
    </w:div>
    <w:div w:id="426388311">
      <w:bodyDiv w:val="1"/>
      <w:marLeft w:val="0"/>
      <w:marRight w:val="0"/>
      <w:marTop w:val="0"/>
      <w:marBottom w:val="0"/>
      <w:divBdr>
        <w:top w:val="none" w:sz="0" w:space="0" w:color="auto"/>
        <w:left w:val="none" w:sz="0" w:space="0" w:color="auto"/>
        <w:bottom w:val="none" w:sz="0" w:space="0" w:color="auto"/>
        <w:right w:val="none" w:sz="0" w:space="0" w:color="auto"/>
      </w:divBdr>
    </w:div>
    <w:div w:id="426927542">
      <w:bodyDiv w:val="1"/>
      <w:marLeft w:val="0"/>
      <w:marRight w:val="0"/>
      <w:marTop w:val="0"/>
      <w:marBottom w:val="0"/>
      <w:divBdr>
        <w:top w:val="none" w:sz="0" w:space="0" w:color="auto"/>
        <w:left w:val="none" w:sz="0" w:space="0" w:color="auto"/>
        <w:bottom w:val="none" w:sz="0" w:space="0" w:color="auto"/>
        <w:right w:val="none" w:sz="0" w:space="0" w:color="auto"/>
      </w:divBdr>
    </w:div>
    <w:div w:id="427894621">
      <w:bodyDiv w:val="1"/>
      <w:marLeft w:val="0"/>
      <w:marRight w:val="0"/>
      <w:marTop w:val="0"/>
      <w:marBottom w:val="0"/>
      <w:divBdr>
        <w:top w:val="none" w:sz="0" w:space="0" w:color="auto"/>
        <w:left w:val="none" w:sz="0" w:space="0" w:color="auto"/>
        <w:bottom w:val="none" w:sz="0" w:space="0" w:color="auto"/>
        <w:right w:val="none" w:sz="0" w:space="0" w:color="auto"/>
      </w:divBdr>
    </w:div>
    <w:div w:id="428934619">
      <w:bodyDiv w:val="1"/>
      <w:marLeft w:val="0"/>
      <w:marRight w:val="0"/>
      <w:marTop w:val="0"/>
      <w:marBottom w:val="0"/>
      <w:divBdr>
        <w:top w:val="none" w:sz="0" w:space="0" w:color="auto"/>
        <w:left w:val="none" w:sz="0" w:space="0" w:color="auto"/>
        <w:bottom w:val="none" w:sz="0" w:space="0" w:color="auto"/>
        <w:right w:val="none" w:sz="0" w:space="0" w:color="auto"/>
      </w:divBdr>
    </w:div>
    <w:div w:id="430779870">
      <w:bodyDiv w:val="1"/>
      <w:marLeft w:val="0"/>
      <w:marRight w:val="0"/>
      <w:marTop w:val="0"/>
      <w:marBottom w:val="0"/>
      <w:divBdr>
        <w:top w:val="none" w:sz="0" w:space="0" w:color="auto"/>
        <w:left w:val="none" w:sz="0" w:space="0" w:color="auto"/>
        <w:bottom w:val="none" w:sz="0" w:space="0" w:color="auto"/>
        <w:right w:val="none" w:sz="0" w:space="0" w:color="auto"/>
      </w:divBdr>
    </w:div>
    <w:div w:id="432433646">
      <w:bodyDiv w:val="1"/>
      <w:marLeft w:val="0"/>
      <w:marRight w:val="0"/>
      <w:marTop w:val="0"/>
      <w:marBottom w:val="0"/>
      <w:divBdr>
        <w:top w:val="none" w:sz="0" w:space="0" w:color="auto"/>
        <w:left w:val="none" w:sz="0" w:space="0" w:color="auto"/>
        <w:bottom w:val="none" w:sz="0" w:space="0" w:color="auto"/>
        <w:right w:val="none" w:sz="0" w:space="0" w:color="auto"/>
      </w:divBdr>
    </w:div>
    <w:div w:id="433020843">
      <w:bodyDiv w:val="1"/>
      <w:marLeft w:val="0"/>
      <w:marRight w:val="0"/>
      <w:marTop w:val="0"/>
      <w:marBottom w:val="0"/>
      <w:divBdr>
        <w:top w:val="none" w:sz="0" w:space="0" w:color="auto"/>
        <w:left w:val="none" w:sz="0" w:space="0" w:color="auto"/>
        <w:bottom w:val="none" w:sz="0" w:space="0" w:color="auto"/>
        <w:right w:val="none" w:sz="0" w:space="0" w:color="auto"/>
      </w:divBdr>
    </w:div>
    <w:div w:id="433206951">
      <w:bodyDiv w:val="1"/>
      <w:marLeft w:val="0"/>
      <w:marRight w:val="0"/>
      <w:marTop w:val="0"/>
      <w:marBottom w:val="0"/>
      <w:divBdr>
        <w:top w:val="none" w:sz="0" w:space="0" w:color="auto"/>
        <w:left w:val="none" w:sz="0" w:space="0" w:color="auto"/>
        <w:bottom w:val="none" w:sz="0" w:space="0" w:color="auto"/>
        <w:right w:val="none" w:sz="0" w:space="0" w:color="auto"/>
      </w:divBdr>
    </w:div>
    <w:div w:id="435442996">
      <w:bodyDiv w:val="1"/>
      <w:marLeft w:val="0"/>
      <w:marRight w:val="0"/>
      <w:marTop w:val="0"/>
      <w:marBottom w:val="0"/>
      <w:divBdr>
        <w:top w:val="none" w:sz="0" w:space="0" w:color="auto"/>
        <w:left w:val="none" w:sz="0" w:space="0" w:color="auto"/>
        <w:bottom w:val="none" w:sz="0" w:space="0" w:color="auto"/>
        <w:right w:val="none" w:sz="0" w:space="0" w:color="auto"/>
      </w:divBdr>
    </w:div>
    <w:div w:id="435946810">
      <w:bodyDiv w:val="1"/>
      <w:marLeft w:val="0"/>
      <w:marRight w:val="0"/>
      <w:marTop w:val="0"/>
      <w:marBottom w:val="0"/>
      <w:divBdr>
        <w:top w:val="none" w:sz="0" w:space="0" w:color="auto"/>
        <w:left w:val="none" w:sz="0" w:space="0" w:color="auto"/>
        <w:bottom w:val="none" w:sz="0" w:space="0" w:color="auto"/>
        <w:right w:val="none" w:sz="0" w:space="0" w:color="auto"/>
      </w:divBdr>
    </w:div>
    <w:div w:id="438721720">
      <w:bodyDiv w:val="1"/>
      <w:marLeft w:val="0"/>
      <w:marRight w:val="0"/>
      <w:marTop w:val="0"/>
      <w:marBottom w:val="0"/>
      <w:divBdr>
        <w:top w:val="none" w:sz="0" w:space="0" w:color="auto"/>
        <w:left w:val="none" w:sz="0" w:space="0" w:color="auto"/>
        <w:bottom w:val="none" w:sz="0" w:space="0" w:color="auto"/>
        <w:right w:val="none" w:sz="0" w:space="0" w:color="auto"/>
      </w:divBdr>
    </w:div>
    <w:div w:id="443310488">
      <w:bodyDiv w:val="1"/>
      <w:marLeft w:val="0"/>
      <w:marRight w:val="0"/>
      <w:marTop w:val="0"/>
      <w:marBottom w:val="0"/>
      <w:divBdr>
        <w:top w:val="none" w:sz="0" w:space="0" w:color="auto"/>
        <w:left w:val="none" w:sz="0" w:space="0" w:color="auto"/>
        <w:bottom w:val="none" w:sz="0" w:space="0" w:color="auto"/>
        <w:right w:val="none" w:sz="0" w:space="0" w:color="auto"/>
      </w:divBdr>
    </w:div>
    <w:div w:id="443841466">
      <w:bodyDiv w:val="1"/>
      <w:marLeft w:val="0"/>
      <w:marRight w:val="0"/>
      <w:marTop w:val="0"/>
      <w:marBottom w:val="0"/>
      <w:divBdr>
        <w:top w:val="none" w:sz="0" w:space="0" w:color="auto"/>
        <w:left w:val="none" w:sz="0" w:space="0" w:color="auto"/>
        <w:bottom w:val="none" w:sz="0" w:space="0" w:color="auto"/>
        <w:right w:val="none" w:sz="0" w:space="0" w:color="auto"/>
      </w:divBdr>
    </w:div>
    <w:div w:id="444084592">
      <w:bodyDiv w:val="1"/>
      <w:marLeft w:val="0"/>
      <w:marRight w:val="0"/>
      <w:marTop w:val="0"/>
      <w:marBottom w:val="0"/>
      <w:divBdr>
        <w:top w:val="none" w:sz="0" w:space="0" w:color="auto"/>
        <w:left w:val="none" w:sz="0" w:space="0" w:color="auto"/>
        <w:bottom w:val="none" w:sz="0" w:space="0" w:color="auto"/>
        <w:right w:val="none" w:sz="0" w:space="0" w:color="auto"/>
      </w:divBdr>
    </w:div>
    <w:div w:id="445537605">
      <w:bodyDiv w:val="1"/>
      <w:marLeft w:val="0"/>
      <w:marRight w:val="0"/>
      <w:marTop w:val="0"/>
      <w:marBottom w:val="0"/>
      <w:divBdr>
        <w:top w:val="none" w:sz="0" w:space="0" w:color="auto"/>
        <w:left w:val="none" w:sz="0" w:space="0" w:color="auto"/>
        <w:bottom w:val="none" w:sz="0" w:space="0" w:color="auto"/>
        <w:right w:val="none" w:sz="0" w:space="0" w:color="auto"/>
      </w:divBdr>
    </w:div>
    <w:div w:id="446001065">
      <w:bodyDiv w:val="1"/>
      <w:marLeft w:val="0"/>
      <w:marRight w:val="0"/>
      <w:marTop w:val="0"/>
      <w:marBottom w:val="0"/>
      <w:divBdr>
        <w:top w:val="none" w:sz="0" w:space="0" w:color="auto"/>
        <w:left w:val="none" w:sz="0" w:space="0" w:color="auto"/>
        <w:bottom w:val="none" w:sz="0" w:space="0" w:color="auto"/>
        <w:right w:val="none" w:sz="0" w:space="0" w:color="auto"/>
      </w:divBdr>
    </w:div>
    <w:div w:id="447433580">
      <w:bodyDiv w:val="1"/>
      <w:marLeft w:val="0"/>
      <w:marRight w:val="0"/>
      <w:marTop w:val="0"/>
      <w:marBottom w:val="0"/>
      <w:divBdr>
        <w:top w:val="none" w:sz="0" w:space="0" w:color="auto"/>
        <w:left w:val="none" w:sz="0" w:space="0" w:color="auto"/>
        <w:bottom w:val="none" w:sz="0" w:space="0" w:color="auto"/>
        <w:right w:val="none" w:sz="0" w:space="0" w:color="auto"/>
      </w:divBdr>
    </w:div>
    <w:div w:id="447509935">
      <w:bodyDiv w:val="1"/>
      <w:marLeft w:val="0"/>
      <w:marRight w:val="0"/>
      <w:marTop w:val="0"/>
      <w:marBottom w:val="0"/>
      <w:divBdr>
        <w:top w:val="none" w:sz="0" w:space="0" w:color="auto"/>
        <w:left w:val="none" w:sz="0" w:space="0" w:color="auto"/>
        <w:bottom w:val="none" w:sz="0" w:space="0" w:color="auto"/>
        <w:right w:val="none" w:sz="0" w:space="0" w:color="auto"/>
      </w:divBdr>
    </w:div>
    <w:div w:id="449278261">
      <w:bodyDiv w:val="1"/>
      <w:marLeft w:val="0"/>
      <w:marRight w:val="0"/>
      <w:marTop w:val="0"/>
      <w:marBottom w:val="0"/>
      <w:divBdr>
        <w:top w:val="none" w:sz="0" w:space="0" w:color="auto"/>
        <w:left w:val="none" w:sz="0" w:space="0" w:color="auto"/>
        <w:bottom w:val="none" w:sz="0" w:space="0" w:color="auto"/>
        <w:right w:val="none" w:sz="0" w:space="0" w:color="auto"/>
      </w:divBdr>
    </w:div>
    <w:div w:id="449402072">
      <w:bodyDiv w:val="1"/>
      <w:marLeft w:val="0"/>
      <w:marRight w:val="0"/>
      <w:marTop w:val="0"/>
      <w:marBottom w:val="0"/>
      <w:divBdr>
        <w:top w:val="none" w:sz="0" w:space="0" w:color="auto"/>
        <w:left w:val="none" w:sz="0" w:space="0" w:color="auto"/>
        <w:bottom w:val="none" w:sz="0" w:space="0" w:color="auto"/>
        <w:right w:val="none" w:sz="0" w:space="0" w:color="auto"/>
      </w:divBdr>
    </w:div>
    <w:div w:id="450638405">
      <w:bodyDiv w:val="1"/>
      <w:marLeft w:val="0"/>
      <w:marRight w:val="0"/>
      <w:marTop w:val="0"/>
      <w:marBottom w:val="0"/>
      <w:divBdr>
        <w:top w:val="none" w:sz="0" w:space="0" w:color="auto"/>
        <w:left w:val="none" w:sz="0" w:space="0" w:color="auto"/>
        <w:bottom w:val="none" w:sz="0" w:space="0" w:color="auto"/>
        <w:right w:val="none" w:sz="0" w:space="0" w:color="auto"/>
      </w:divBdr>
    </w:div>
    <w:div w:id="457843520">
      <w:bodyDiv w:val="1"/>
      <w:marLeft w:val="0"/>
      <w:marRight w:val="0"/>
      <w:marTop w:val="0"/>
      <w:marBottom w:val="0"/>
      <w:divBdr>
        <w:top w:val="none" w:sz="0" w:space="0" w:color="auto"/>
        <w:left w:val="none" w:sz="0" w:space="0" w:color="auto"/>
        <w:bottom w:val="none" w:sz="0" w:space="0" w:color="auto"/>
        <w:right w:val="none" w:sz="0" w:space="0" w:color="auto"/>
      </w:divBdr>
    </w:div>
    <w:div w:id="459953598">
      <w:bodyDiv w:val="1"/>
      <w:marLeft w:val="0"/>
      <w:marRight w:val="0"/>
      <w:marTop w:val="0"/>
      <w:marBottom w:val="0"/>
      <w:divBdr>
        <w:top w:val="none" w:sz="0" w:space="0" w:color="auto"/>
        <w:left w:val="none" w:sz="0" w:space="0" w:color="auto"/>
        <w:bottom w:val="none" w:sz="0" w:space="0" w:color="auto"/>
        <w:right w:val="none" w:sz="0" w:space="0" w:color="auto"/>
      </w:divBdr>
    </w:div>
    <w:div w:id="460617169">
      <w:bodyDiv w:val="1"/>
      <w:marLeft w:val="0"/>
      <w:marRight w:val="0"/>
      <w:marTop w:val="0"/>
      <w:marBottom w:val="0"/>
      <w:divBdr>
        <w:top w:val="none" w:sz="0" w:space="0" w:color="auto"/>
        <w:left w:val="none" w:sz="0" w:space="0" w:color="auto"/>
        <w:bottom w:val="none" w:sz="0" w:space="0" w:color="auto"/>
        <w:right w:val="none" w:sz="0" w:space="0" w:color="auto"/>
      </w:divBdr>
    </w:div>
    <w:div w:id="461270995">
      <w:bodyDiv w:val="1"/>
      <w:marLeft w:val="0"/>
      <w:marRight w:val="0"/>
      <w:marTop w:val="0"/>
      <w:marBottom w:val="0"/>
      <w:divBdr>
        <w:top w:val="none" w:sz="0" w:space="0" w:color="auto"/>
        <w:left w:val="none" w:sz="0" w:space="0" w:color="auto"/>
        <w:bottom w:val="none" w:sz="0" w:space="0" w:color="auto"/>
        <w:right w:val="none" w:sz="0" w:space="0" w:color="auto"/>
      </w:divBdr>
    </w:div>
    <w:div w:id="461461750">
      <w:bodyDiv w:val="1"/>
      <w:marLeft w:val="0"/>
      <w:marRight w:val="0"/>
      <w:marTop w:val="0"/>
      <w:marBottom w:val="0"/>
      <w:divBdr>
        <w:top w:val="none" w:sz="0" w:space="0" w:color="auto"/>
        <w:left w:val="none" w:sz="0" w:space="0" w:color="auto"/>
        <w:bottom w:val="none" w:sz="0" w:space="0" w:color="auto"/>
        <w:right w:val="none" w:sz="0" w:space="0" w:color="auto"/>
      </w:divBdr>
    </w:div>
    <w:div w:id="461576930">
      <w:bodyDiv w:val="1"/>
      <w:marLeft w:val="0"/>
      <w:marRight w:val="0"/>
      <w:marTop w:val="0"/>
      <w:marBottom w:val="0"/>
      <w:divBdr>
        <w:top w:val="none" w:sz="0" w:space="0" w:color="auto"/>
        <w:left w:val="none" w:sz="0" w:space="0" w:color="auto"/>
        <w:bottom w:val="none" w:sz="0" w:space="0" w:color="auto"/>
        <w:right w:val="none" w:sz="0" w:space="0" w:color="auto"/>
      </w:divBdr>
    </w:div>
    <w:div w:id="464659430">
      <w:bodyDiv w:val="1"/>
      <w:marLeft w:val="0"/>
      <w:marRight w:val="0"/>
      <w:marTop w:val="0"/>
      <w:marBottom w:val="0"/>
      <w:divBdr>
        <w:top w:val="none" w:sz="0" w:space="0" w:color="auto"/>
        <w:left w:val="none" w:sz="0" w:space="0" w:color="auto"/>
        <w:bottom w:val="none" w:sz="0" w:space="0" w:color="auto"/>
        <w:right w:val="none" w:sz="0" w:space="0" w:color="auto"/>
      </w:divBdr>
    </w:div>
    <w:div w:id="465590212">
      <w:bodyDiv w:val="1"/>
      <w:marLeft w:val="0"/>
      <w:marRight w:val="0"/>
      <w:marTop w:val="0"/>
      <w:marBottom w:val="0"/>
      <w:divBdr>
        <w:top w:val="none" w:sz="0" w:space="0" w:color="auto"/>
        <w:left w:val="none" w:sz="0" w:space="0" w:color="auto"/>
        <w:bottom w:val="none" w:sz="0" w:space="0" w:color="auto"/>
        <w:right w:val="none" w:sz="0" w:space="0" w:color="auto"/>
      </w:divBdr>
    </w:div>
    <w:div w:id="466168910">
      <w:bodyDiv w:val="1"/>
      <w:marLeft w:val="0"/>
      <w:marRight w:val="0"/>
      <w:marTop w:val="0"/>
      <w:marBottom w:val="0"/>
      <w:divBdr>
        <w:top w:val="none" w:sz="0" w:space="0" w:color="auto"/>
        <w:left w:val="none" w:sz="0" w:space="0" w:color="auto"/>
        <w:bottom w:val="none" w:sz="0" w:space="0" w:color="auto"/>
        <w:right w:val="none" w:sz="0" w:space="0" w:color="auto"/>
      </w:divBdr>
    </w:div>
    <w:div w:id="467821605">
      <w:bodyDiv w:val="1"/>
      <w:marLeft w:val="0"/>
      <w:marRight w:val="0"/>
      <w:marTop w:val="0"/>
      <w:marBottom w:val="0"/>
      <w:divBdr>
        <w:top w:val="none" w:sz="0" w:space="0" w:color="auto"/>
        <w:left w:val="none" w:sz="0" w:space="0" w:color="auto"/>
        <w:bottom w:val="none" w:sz="0" w:space="0" w:color="auto"/>
        <w:right w:val="none" w:sz="0" w:space="0" w:color="auto"/>
      </w:divBdr>
    </w:div>
    <w:div w:id="470294537">
      <w:bodyDiv w:val="1"/>
      <w:marLeft w:val="0"/>
      <w:marRight w:val="0"/>
      <w:marTop w:val="0"/>
      <w:marBottom w:val="0"/>
      <w:divBdr>
        <w:top w:val="none" w:sz="0" w:space="0" w:color="auto"/>
        <w:left w:val="none" w:sz="0" w:space="0" w:color="auto"/>
        <w:bottom w:val="none" w:sz="0" w:space="0" w:color="auto"/>
        <w:right w:val="none" w:sz="0" w:space="0" w:color="auto"/>
      </w:divBdr>
    </w:div>
    <w:div w:id="470559563">
      <w:bodyDiv w:val="1"/>
      <w:marLeft w:val="0"/>
      <w:marRight w:val="0"/>
      <w:marTop w:val="0"/>
      <w:marBottom w:val="0"/>
      <w:divBdr>
        <w:top w:val="none" w:sz="0" w:space="0" w:color="auto"/>
        <w:left w:val="none" w:sz="0" w:space="0" w:color="auto"/>
        <w:bottom w:val="none" w:sz="0" w:space="0" w:color="auto"/>
        <w:right w:val="none" w:sz="0" w:space="0" w:color="auto"/>
      </w:divBdr>
    </w:div>
    <w:div w:id="471875747">
      <w:bodyDiv w:val="1"/>
      <w:marLeft w:val="0"/>
      <w:marRight w:val="0"/>
      <w:marTop w:val="0"/>
      <w:marBottom w:val="0"/>
      <w:divBdr>
        <w:top w:val="none" w:sz="0" w:space="0" w:color="auto"/>
        <w:left w:val="none" w:sz="0" w:space="0" w:color="auto"/>
        <w:bottom w:val="none" w:sz="0" w:space="0" w:color="auto"/>
        <w:right w:val="none" w:sz="0" w:space="0" w:color="auto"/>
      </w:divBdr>
    </w:div>
    <w:div w:id="472604485">
      <w:bodyDiv w:val="1"/>
      <w:marLeft w:val="0"/>
      <w:marRight w:val="0"/>
      <w:marTop w:val="0"/>
      <w:marBottom w:val="0"/>
      <w:divBdr>
        <w:top w:val="none" w:sz="0" w:space="0" w:color="auto"/>
        <w:left w:val="none" w:sz="0" w:space="0" w:color="auto"/>
        <w:bottom w:val="none" w:sz="0" w:space="0" w:color="auto"/>
        <w:right w:val="none" w:sz="0" w:space="0" w:color="auto"/>
      </w:divBdr>
    </w:div>
    <w:div w:id="472799819">
      <w:bodyDiv w:val="1"/>
      <w:marLeft w:val="0"/>
      <w:marRight w:val="0"/>
      <w:marTop w:val="0"/>
      <w:marBottom w:val="0"/>
      <w:divBdr>
        <w:top w:val="none" w:sz="0" w:space="0" w:color="auto"/>
        <w:left w:val="none" w:sz="0" w:space="0" w:color="auto"/>
        <w:bottom w:val="none" w:sz="0" w:space="0" w:color="auto"/>
        <w:right w:val="none" w:sz="0" w:space="0" w:color="auto"/>
      </w:divBdr>
    </w:div>
    <w:div w:id="473765571">
      <w:bodyDiv w:val="1"/>
      <w:marLeft w:val="0"/>
      <w:marRight w:val="0"/>
      <w:marTop w:val="0"/>
      <w:marBottom w:val="0"/>
      <w:divBdr>
        <w:top w:val="none" w:sz="0" w:space="0" w:color="auto"/>
        <w:left w:val="none" w:sz="0" w:space="0" w:color="auto"/>
        <w:bottom w:val="none" w:sz="0" w:space="0" w:color="auto"/>
        <w:right w:val="none" w:sz="0" w:space="0" w:color="auto"/>
      </w:divBdr>
    </w:div>
    <w:div w:id="473958472">
      <w:bodyDiv w:val="1"/>
      <w:marLeft w:val="0"/>
      <w:marRight w:val="0"/>
      <w:marTop w:val="0"/>
      <w:marBottom w:val="0"/>
      <w:divBdr>
        <w:top w:val="none" w:sz="0" w:space="0" w:color="auto"/>
        <w:left w:val="none" w:sz="0" w:space="0" w:color="auto"/>
        <w:bottom w:val="none" w:sz="0" w:space="0" w:color="auto"/>
        <w:right w:val="none" w:sz="0" w:space="0" w:color="auto"/>
      </w:divBdr>
    </w:div>
    <w:div w:id="475073618">
      <w:bodyDiv w:val="1"/>
      <w:marLeft w:val="0"/>
      <w:marRight w:val="0"/>
      <w:marTop w:val="0"/>
      <w:marBottom w:val="0"/>
      <w:divBdr>
        <w:top w:val="none" w:sz="0" w:space="0" w:color="auto"/>
        <w:left w:val="none" w:sz="0" w:space="0" w:color="auto"/>
        <w:bottom w:val="none" w:sz="0" w:space="0" w:color="auto"/>
        <w:right w:val="none" w:sz="0" w:space="0" w:color="auto"/>
      </w:divBdr>
    </w:div>
    <w:div w:id="476650408">
      <w:bodyDiv w:val="1"/>
      <w:marLeft w:val="0"/>
      <w:marRight w:val="0"/>
      <w:marTop w:val="0"/>
      <w:marBottom w:val="0"/>
      <w:divBdr>
        <w:top w:val="none" w:sz="0" w:space="0" w:color="auto"/>
        <w:left w:val="none" w:sz="0" w:space="0" w:color="auto"/>
        <w:bottom w:val="none" w:sz="0" w:space="0" w:color="auto"/>
        <w:right w:val="none" w:sz="0" w:space="0" w:color="auto"/>
      </w:divBdr>
    </w:div>
    <w:div w:id="476655288">
      <w:bodyDiv w:val="1"/>
      <w:marLeft w:val="0"/>
      <w:marRight w:val="0"/>
      <w:marTop w:val="0"/>
      <w:marBottom w:val="0"/>
      <w:divBdr>
        <w:top w:val="none" w:sz="0" w:space="0" w:color="auto"/>
        <w:left w:val="none" w:sz="0" w:space="0" w:color="auto"/>
        <w:bottom w:val="none" w:sz="0" w:space="0" w:color="auto"/>
        <w:right w:val="none" w:sz="0" w:space="0" w:color="auto"/>
      </w:divBdr>
    </w:div>
    <w:div w:id="476845523">
      <w:bodyDiv w:val="1"/>
      <w:marLeft w:val="0"/>
      <w:marRight w:val="0"/>
      <w:marTop w:val="0"/>
      <w:marBottom w:val="0"/>
      <w:divBdr>
        <w:top w:val="none" w:sz="0" w:space="0" w:color="auto"/>
        <w:left w:val="none" w:sz="0" w:space="0" w:color="auto"/>
        <w:bottom w:val="none" w:sz="0" w:space="0" w:color="auto"/>
        <w:right w:val="none" w:sz="0" w:space="0" w:color="auto"/>
      </w:divBdr>
    </w:div>
    <w:div w:id="477114605">
      <w:bodyDiv w:val="1"/>
      <w:marLeft w:val="0"/>
      <w:marRight w:val="0"/>
      <w:marTop w:val="0"/>
      <w:marBottom w:val="0"/>
      <w:divBdr>
        <w:top w:val="none" w:sz="0" w:space="0" w:color="auto"/>
        <w:left w:val="none" w:sz="0" w:space="0" w:color="auto"/>
        <w:bottom w:val="none" w:sz="0" w:space="0" w:color="auto"/>
        <w:right w:val="none" w:sz="0" w:space="0" w:color="auto"/>
      </w:divBdr>
    </w:div>
    <w:div w:id="478497489">
      <w:bodyDiv w:val="1"/>
      <w:marLeft w:val="0"/>
      <w:marRight w:val="0"/>
      <w:marTop w:val="0"/>
      <w:marBottom w:val="0"/>
      <w:divBdr>
        <w:top w:val="none" w:sz="0" w:space="0" w:color="auto"/>
        <w:left w:val="none" w:sz="0" w:space="0" w:color="auto"/>
        <w:bottom w:val="none" w:sz="0" w:space="0" w:color="auto"/>
        <w:right w:val="none" w:sz="0" w:space="0" w:color="auto"/>
      </w:divBdr>
    </w:div>
    <w:div w:id="479268812">
      <w:bodyDiv w:val="1"/>
      <w:marLeft w:val="0"/>
      <w:marRight w:val="0"/>
      <w:marTop w:val="0"/>
      <w:marBottom w:val="0"/>
      <w:divBdr>
        <w:top w:val="none" w:sz="0" w:space="0" w:color="auto"/>
        <w:left w:val="none" w:sz="0" w:space="0" w:color="auto"/>
        <w:bottom w:val="none" w:sz="0" w:space="0" w:color="auto"/>
        <w:right w:val="none" w:sz="0" w:space="0" w:color="auto"/>
      </w:divBdr>
    </w:div>
    <w:div w:id="479855215">
      <w:bodyDiv w:val="1"/>
      <w:marLeft w:val="0"/>
      <w:marRight w:val="0"/>
      <w:marTop w:val="0"/>
      <w:marBottom w:val="0"/>
      <w:divBdr>
        <w:top w:val="none" w:sz="0" w:space="0" w:color="auto"/>
        <w:left w:val="none" w:sz="0" w:space="0" w:color="auto"/>
        <w:bottom w:val="none" w:sz="0" w:space="0" w:color="auto"/>
        <w:right w:val="none" w:sz="0" w:space="0" w:color="auto"/>
      </w:divBdr>
    </w:div>
    <w:div w:id="480584993">
      <w:bodyDiv w:val="1"/>
      <w:marLeft w:val="0"/>
      <w:marRight w:val="0"/>
      <w:marTop w:val="0"/>
      <w:marBottom w:val="0"/>
      <w:divBdr>
        <w:top w:val="none" w:sz="0" w:space="0" w:color="auto"/>
        <w:left w:val="none" w:sz="0" w:space="0" w:color="auto"/>
        <w:bottom w:val="none" w:sz="0" w:space="0" w:color="auto"/>
        <w:right w:val="none" w:sz="0" w:space="0" w:color="auto"/>
      </w:divBdr>
    </w:div>
    <w:div w:id="483358086">
      <w:bodyDiv w:val="1"/>
      <w:marLeft w:val="0"/>
      <w:marRight w:val="0"/>
      <w:marTop w:val="0"/>
      <w:marBottom w:val="0"/>
      <w:divBdr>
        <w:top w:val="none" w:sz="0" w:space="0" w:color="auto"/>
        <w:left w:val="none" w:sz="0" w:space="0" w:color="auto"/>
        <w:bottom w:val="none" w:sz="0" w:space="0" w:color="auto"/>
        <w:right w:val="none" w:sz="0" w:space="0" w:color="auto"/>
      </w:divBdr>
    </w:div>
    <w:div w:id="483811956">
      <w:bodyDiv w:val="1"/>
      <w:marLeft w:val="0"/>
      <w:marRight w:val="0"/>
      <w:marTop w:val="0"/>
      <w:marBottom w:val="0"/>
      <w:divBdr>
        <w:top w:val="none" w:sz="0" w:space="0" w:color="auto"/>
        <w:left w:val="none" w:sz="0" w:space="0" w:color="auto"/>
        <w:bottom w:val="none" w:sz="0" w:space="0" w:color="auto"/>
        <w:right w:val="none" w:sz="0" w:space="0" w:color="auto"/>
      </w:divBdr>
    </w:div>
    <w:div w:id="483936654">
      <w:bodyDiv w:val="1"/>
      <w:marLeft w:val="0"/>
      <w:marRight w:val="0"/>
      <w:marTop w:val="0"/>
      <w:marBottom w:val="0"/>
      <w:divBdr>
        <w:top w:val="none" w:sz="0" w:space="0" w:color="auto"/>
        <w:left w:val="none" w:sz="0" w:space="0" w:color="auto"/>
        <w:bottom w:val="none" w:sz="0" w:space="0" w:color="auto"/>
        <w:right w:val="none" w:sz="0" w:space="0" w:color="auto"/>
      </w:divBdr>
    </w:div>
    <w:div w:id="487863957">
      <w:bodyDiv w:val="1"/>
      <w:marLeft w:val="0"/>
      <w:marRight w:val="0"/>
      <w:marTop w:val="0"/>
      <w:marBottom w:val="0"/>
      <w:divBdr>
        <w:top w:val="none" w:sz="0" w:space="0" w:color="auto"/>
        <w:left w:val="none" w:sz="0" w:space="0" w:color="auto"/>
        <w:bottom w:val="none" w:sz="0" w:space="0" w:color="auto"/>
        <w:right w:val="none" w:sz="0" w:space="0" w:color="auto"/>
      </w:divBdr>
    </w:div>
    <w:div w:id="491870055">
      <w:bodyDiv w:val="1"/>
      <w:marLeft w:val="0"/>
      <w:marRight w:val="0"/>
      <w:marTop w:val="0"/>
      <w:marBottom w:val="0"/>
      <w:divBdr>
        <w:top w:val="none" w:sz="0" w:space="0" w:color="auto"/>
        <w:left w:val="none" w:sz="0" w:space="0" w:color="auto"/>
        <w:bottom w:val="none" w:sz="0" w:space="0" w:color="auto"/>
        <w:right w:val="none" w:sz="0" w:space="0" w:color="auto"/>
      </w:divBdr>
    </w:div>
    <w:div w:id="492068119">
      <w:bodyDiv w:val="1"/>
      <w:marLeft w:val="0"/>
      <w:marRight w:val="0"/>
      <w:marTop w:val="0"/>
      <w:marBottom w:val="0"/>
      <w:divBdr>
        <w:top w:val="none" w:sz="0" w:space="0" w:color="auto"/>
        <w:left w:val="none" w:sz="0" w:space="0" w:color="auto"/>
        <w:bottom w:val="none" w:sz="0" w:space="0" w:color="auto"/>
        <w:right w:val="none" w:sz="0" w:space="0" w:color="auto"/>
      </w:divBdr>
    </w:div>
    <w:div w:id="496772399">
      <w:bodyDiv w:val="1"/>
      <w:marLeft w:val="0"/>
      <w:marRight w:val="0"/>
      <w:marTop w:val="0"/>
      <w:marBottom w:val="0"/>
      <w:divBdr>
        <w:top w:val="none" w:sz="0" w:space="0" w:color="auto"/>
        <w:left w:val="none" w:sz="0" w:space="0" w:color="auto"/>
        <w:bottom w:val="none" w:sz="0" w:space="0" w:color="auto"/>
        <w:right w:val="none" w:sz="0" w:space="0" w:color="auto"/>
      </w:divBdr>
    </w:div>
    <w:div w:id="497114202">
      <w:bodyDiv w:val="1"/>
      <w:marLeft w:val="0"/>
      <w:marRight w:val="0"/>
      <w:marTop w:val="0"/>
      <w:marBottom w:val="0"/>
      <w:divBdr>
        <w:top w:val="none" w:sz="0" w:space="0" w:color="auto"/>
        <w:left w:val="none" w:sz="0" w:space="0" w:color="auto"/>
        <w:bottom w:val="none" w:sz="0" w:space="0" w:color="auto"/>
        <w:right w:val="none" w:sz="0" w:space="0" w:color="auto"/>
      </w:divBdr>
    </w:div>
    <w:div w:id="498614824">
      <w:bodyDiv w:val="1"/>
      <w:marLeft w:val="0"/>
      <w:marRight w:val="0"/>
      <w:marTop w:val="0"/>
      <w:marBottom w:val="0"/>
      <w:divBdr>
        <w:top w:val="none" w:sz="0" w:space="0" w:color="auto"/>
        <w:left w:val="none" w:sz="0" w:space="0" w:color="auto"/>
        <w:bottom w:val="none" w:sz="0" w:space="0" w:color="auto"/>
        <w:right w:val="none" w:sz="0" w:space="0" w:color="auto"/>
      </w:divBdr>
    </w:div>
    <w:div w:id="504630434">
      <w:bodyDiv w:val="1"/>
      <w:marLeft w:val="0"/>
      <w:marRight w:val="0"/>
      <w:marTop w:val="0"/>
      <w:marBottom w:val="0"/>
      <w:divBdr>
        <w:top w:val="none" w:sz="0" w:space="0" w:color="auto"/>
        <w:left w:val="none" w:sz="0" w:space="0" w:color="auto"/>
        <w:bottom w:val="none" w:sz="0" w:space="0" w:color="auto"/>
        <w:right w:val="none" w:sz="0" w:space="0" w:color="auto"/>
      </w:divBdr>
    </w:div>
    <w:div w:id="505021226">
      <w:bodyDiv w:val="1"/>
      <w:marLeft w:val="0"/>
      <w:marRight w:val="0"/>
      <w:marTop w:val="0"/>
      <w:marBottom w:val="0"/>
      <w:divBdr>
        <w:top w:val="none" w:sz="0" w:space="0" w:color="auto"/>
        <w:left w:val="none" w:sz="0" w:space="0" w:color="auto"/>
        <w:bottom w:val="none" w:sz="0" w:space="0" w:color="auto"/>
        <w:right w:val="none" w:sz="0" w:space="0" w:color="auto"/>
      </w:divBdr>
    </w:div>
    <w:div w:id="507642320">
      <w:bodyDiv w:val="1"/>
      <w:marLeft w:val="0"/>
      <w:marRight w:val="0"/>
      <w:marTop w:val="0"/>
      <w:marBottom w:val="0"/>
      <w:divBdr>
        <w:top w:val="none" w:sz="0" w:space="0" w:color="auto"/>
        <w:left w:val="none" w:sz="0" w:space="0" w:color="auto"/>
        <w:bottom w:val="none" w:sz="0" w:space="0" w:color="auto"/>
        <w:right w:val="none" w:sz="0" w:space="0" w:color="auto"/>
      </w:divBdr>
    </w:div>
    <w:div w:id="511601728">
      <w:bodyDiv w:val="1"/>
      <w:marLeft w:val="0"/>
      <w:marRight w:val="0"/>
      <w:marTop w:val="0"/>
      <w:marBottom w:val="0"/>
      <w:divBdr>
        <w:top w:val="none" w:sz="0" w:space="0" w:color="auto"/>
        <w:left w:val="none" w:sz="0" w:space="0" w:color="auto"/>
        <w:bottom w:val="none" w:sz="0" w:space="0" w:color="auto"/>
        <w:right w:val="none" w:sz="0" w:space="0" w:color="auto"/>
      </w:divBdr>
    </w:div>
    <w:div w:id="512375461">
      <w:bodyDiv w:val="1"/>
      <w:marLeft w:val="0"/>
      <w:marRight w:val="0"/>
      <w:marTop w:val="0"/>
      <w:marBottom w:val="0"/>
      <w:divBdr>
        <w:top w:val="none" w:sz="0" w:space="0" w:color="auto"/>
        <w:left w:val="none" w:sz="0" w:space="0" w:color="auto"/>
        <w:bottom w:val="none" w:sz="0" w:space="0" w:color="auto"/>
        <w:right w:val="none" w:sz="0" w:space="0" w:color="auto"/>
      </w:divBdr>
    </w:div>
    <w:div w:id="512887019">
      <w:bodyDiv w:val="1"/>
      <w:marLeft w:val="0"/>
      <w:marRight w:val="0"/>
      <w:marTop w:val="0"/>
      <w:marBottom w:val="0"/>
      <w:divBdr>
        <w:top w:val="none" w:sz="0" w:space="0" w:color="auto"/>
        <w:left w:val="none" w:sz="0" w:space="0" w:color="auto"/>
        <w:bottom w:val="none" w:sz="0" w:space="0" w:color="auto"/>
        <w:right w:val="none" w:sz="0" w:space="0" w:color="auto"/>
      </w:divBdr>
    </w:div>
    <w:div w:id="513114103">
      <w:bodyDiv w:val="1"/>
      <w:marLeft w:val="0"/>
      <w:marRight w:val="0"/>
      <w:marTop w:val="0"/>
      <w:marBottom w:val="0"/>
      <w:divBdr>
        <w:top w:val="none" w:sz="0" w:space="0" w:color="auto"/>
        <w:left w:val="none" w:sz="0" w:space="0" w:color="auto"/>
        <w:bottom w:val="none" w:sz="0" w:space="0" w:color="auto"/>
        <w:right w:val="none" w:sz="0" w:space="0" w:color="auto"/>
      </w:divBdr>
    </w:div>
    <w:div w:id="514075986">
      <w:bodyDiv w:val="1"/>
      <w:marLeft w:val="0"/>
      <w:marRight w:val="0"/>
      <w:marTop w:val="0"/>
      <w:marBottom w:val="0"/>
      <w:divBdr>
        <w:top w:val="none" w:sz="0" w:space="0" w:color="auto"/>
        <w:left w:val="none" w:sz="0" w:space="0" w:color="auto"/>
        <w:bottom w:val="none" w:sz="0" w:space="0" w:color="auto"/>
        <w:right w:val="none" w:sz="0" w:space="0" w:color="auto"/>
      </w:divBdr>
    </w:div>
    <w:div w:id="515771665">
      <w:bodyDiv w:val="1"/>
      <w:marLeft w:val="0"/>
      <w:marRight w:val="0"/>
      <w:marTop w:val="0"/>
      <w:marBottom w:val="0"/>
      <w:divBdr>
        <w:top w:val="none" w:sz="0" w:space="0" w:color="auto"/>
        <w:left w:val="none" w:sz="0" w:space="0" w:color="auto"/>
        <w:bottom w:val="none" w:sz="0" w:space="0" w:color="auto"/>
        <w:right w:val="none" w:sz="0" w:space="0" w:color="auto"/>
      </w:divBdr>
    </w:div>
    <w:div w:id="518398360">
      <w:bodyDiv w:val="1"/>
      <w:marLeft w:val="0"/>
      <w:marRight w:val="0"/>
      <w:marTop w:val="0"/>
      <w:marBottom w:val="0"/>
      <w:divBdr>
        <w:top w:val="none" w:sz="0" w:space="0" w:color="auto"/>
        <w:left w:val="none" w:sz="0" w:space="0" w:color="auto"/>
        <w:bottom w:val="none" w:sz="0" w:space="0" w:color="auto"/>
        <w:right w:val="none" w:sz="0" w:space="0" w:color="auto"/>
      </w:divBdr>
    </w:div>
    <w:div w:id="520626735">
      <w:bodyDiv w:val="1"/>
      <w:marLeft w:val="0"/>
      <w:marRight w:val="0"/>
      <w:marTop w:val="0"/>
      <w:marBottom w:val="0"/>
      <w:divBdr>
        <w:top w:val="none" w:sz="0" w:space="0" w:color="auto"/>
        <w:left w:val="none" w:sz="0" w:space="0" w:color="auto"/>
        <w:bottom w:val="none" w:sz="0" w:space="0" w:color="auto"/>
        <w:right w:val="none" w:sz="0" w:space="0" w:color="auto"/>
      </w:divBdr>
    </w:div>
    <w:div w:id="522135563">
      <w:bodyDiv w:val="1"/>
      <w:marLeft w:val="0"/>
      <w:marRight w:val="0"/>
      <w:marTop w:val="0"/>
      <w:marBottom w:val="0"/>
      <w:divBdr>
        <w:top w:val="none" w:sz="0" w:space="0" w:color="auto"/>
        <w:left w:val="none" w:sz="0" w:space="0" w:color="auto"/>
        <w:bottom w:val="none" w:sz="0" w:space="0" w:color="auto"/>
        <w:right w:val="none" w:sz="0" w:space="0" w:color="auto"/>
      </w:divBdr>
    </w:div>
    <w:div w:id="522283100">
      <w:bodyDiv w:val="1"/>
      <w:marLeft w:val="0"/>
      <w:marRight w:val="0"/>
      <w:marTop w:val="0"/>
      <w:marBottom w:val="0"/>
      <w:divBdr>
        <w:top w:val="none" w:sz="0" w:space="0" w:color="auto"/>
        <w:left w:val="none" w:sz="0" w:space="0" w:color="auto"/>
        <w:bottom w:val="none" w:sz="0" w:space="0" w:color="auto"/>
        <w:right w:val="none" w:sz="0" w:space="0" w:color="auto"/>
      </w:divBdr>
    </w:div>
    <w:div w:id="522523857">
      <w:bodyDiv w:val="1"/>
      <w:marLeft w:val="0"/>
      <w:marRight w:val="0"/>
      <w:marTop w:val="0"/>
      <w:marBottom w:val="0"/>
      <w:divBdr>
        <w:top w:val="none" w:sz="0" w:space="0" w:color="auto"/>
        <w:left w:val="none" w:sz="0" w:space="0" w:color="auto"/>
        <w:bottom w:val="none" w:sz="0" w:space="0" w:color="auto"/>
        <w:right w:val="none" w:sz="0" w:space="0" w:color="auto"/>
      </w:divBdr>
    </w:div>
    <w:div w:id="523515720">
      <w:bodyDiv w:val="1"/>
      <w:marLeft w:val="0"/>
      <w:marRight w:val="0"/>
      <w:marTop w:val="0"/>
      <w:marBottom w:val="0"/>
      <w:divBdr>
        <w:top w:val="none" w:sz="0" w:space="0" w:color="auto"/>
        <w:left w:val="none" w:sz="0" w:space="0" w:color="auto"/>
        <w:bottom w:val="none" w:sz="0" w:space="0" w:color="auto"/>
        <w:right w:val="none" w:sz="0" w:space="0" w:color="auto"/>
      </w:divBdr>
    </w:div>
    <w:div w:id="525099784">
      <w:bodyDiv w:val="1"/>
      <w:marLeft w:val="0"/>
      <w:marRight w:val="0"/>
      <w:marTop w:val="0"/>
      <w:marBottom w:val="0"/>
      <w:divBdr>
        <w:top w:val="none" w:sz="0" w:space="0" w:color="auto"/>
        <w:left w:val="none" w:sz="0" w:space="0" w:color="auto"/>
        <w:bottom w:val="none" w:sz="0" w:space="0" w:color="auto"/>
        <w:right w:val="none" w:sz="0" w:space="0" w:color="auto"/>
      </w:divBdr>
    </w:div>
    <w:div w:id="525947788">
      <w:bodyDiv w:val="1"/>
      <w:marLeft w:val="0"/>
      <w:marRight w:val="0"/>
      <w:marTop w:val="0"/>
      <w:marBottom w:val="0"/>
      <w:divBdr>
        <w:top w:val="none" w:sz="0" w:space="0" w:color="auto"/>
        <w:left w:val="none" w:sz="0" w:space="0" w:color="auto"/>
        <w:bottom w:val="none" w:sz="0" w:space="0" w:color="auto"/>
        <w:right w:val="none" w:sz="0" w:space="0" w:color="auto"/>
      </w:divBdr>
    </w:div>
    <w:div w:id="527060498">
      <w:bodyDiv w:val="1"/>
      <w:marLeft w:val="0"/>
      <w:marRight w:val="0"/>
      <w:marTop w:val="0"/>
      <w:marBottom w:val="0"/>
      <w:divBdr>
        <w:top w:val="none" w:sz="0" w:space="0" w:color="auto"/>
        <w:left w:val="none" w:sz="0" w:space="0" w:color="auto"/>
        <w:bottom w:val="none" w:sz="0" w:space="0" w:color="auto"/>
        <w:right w:val="none" w:sz="0" w:space="0" w:color="auto"/>
      </w:divBdr>
    </w:div>
    <w:div w:id="529607665">
      <w:bodyDiv w:val="1"/>
      <w:marLeft w:val="0"/>
      <w:marRight w:val="0"/>
      <w:marTop w:val="0"/>
      <w:marBottom w:val="0"/>
      <w:divBdr>
        <w:top w:val="none" w:sz="0" w:space="0" w:color="auto"/>
        <w:left w:val="none" w:sz="0" w:space="0" w:color="auto"/>
        <w:bottom w:val="none" w:sz="0" w:space="0" w:color="auto"/>
        <w:right w:val="none" w:sz="0" w:space="0" w:color="auto"/>
      </w:divBdr>
    </w:div>
    <w:div w:id="529883178">
      <w:bodyDiv w:val="1"/>
      <w:marLeft w:val="0"/>
      <w:marRight w:val="0"/>
      <w:marTop w:val="0"/>
      <w:marBottom w:val="0"/>
      <w:divBdr>
        <w:top w:val="none" w:sz="0" w:space="0" w:color="auto"/>
        <w:left w:val="none" w:sz="0" w:space="0" w:color="auto"/>
        <w:bottom w:val="none" w:sz="0" w:space="0" w:color="auto"/>
        <w:right w:val="none" w:sz="0" w:space="0" w:color="auto"/>
      </w:divBdr>
    </w:div>
    <w:div w:id="531696001">
      <w:bodyDiv w:val="1"/>
      <w:marLeft w:val="0"/>
      <w:marRight w:val="0"/>
      <w:marTop w:val="0"/>
      <w:marBottom w:val="0"/>
      <w:divBdr>
        <w:top w:val="none" w:sz="0" w:space="0" w:color="auto"/>
        <w:left w:val="none" w:sz="0" w:space="0" w:color="auto"/>
        <w:bottom w:val="none" w:sz="0" w:space="0" w:color="auto"/>
        <w:right w:val="none" w:sz="0" w:space="0" w:color="auto"/>
      </w:divBdr>
    </w:div>
    <w:div w:id="532499987">
      <w:bodyDiv w:val="1"/>
      <w:marLeft w:val="0"/>
      <w:marRight w:val="0"/>
      <w:marTop w:val="0"/>
      <w:marBottom w:val="0"/>
      <w:divBdr>
        <w:top w:val="none" w:sz="0" w:space="0" w:color="auto"/>
        <w:left w:val="none" w:sz="0" w:space="0" w:color="auto"/>
        <w:bottom w:val="none" w:sz="0" w:space="0" w:color="auto"/>
        <w:right w:val="none" w:sz="0" w:space="0" w:color="auto"/>
      </w:divBdr>
    </w:div>
    <w:div w:id="533269807">
      <w:bodyDiv w:val="1"/>
      <w:marLeft w:val="0"/>
      <w:marRight w:val="0"/>
      <w:marTop w:val="0"/>
      <w:marBottom w:val="0"/>
      <w:divBdr>
        <w:top w:val="none" w:sz="0" w:space="0" w:color="auto"/>
        <w:left w:val="none" w:sz="0" w:space="0" w:color="auto"/>
        <w:bottom w:val="none" w:sz="0" w:space="0" w:color="auto"/>
        <w:right w:val="none" w:sz="0" w:space="0" w:color="auto"/>
      </w:divBdr>
    </w:div>
    <w:div w:id="533352962">
      <w:bodyDiv w:val="1"/>
      <w:marLeft w:val="0"/>
      <w:marRight w:val="0"/>
      <w:marTop w:val="0"/>
      <w:marBottom w:val="0"/>
      <w:divBdr>
        <w:top w:val="none" w:sz="0" w:space="0" w:color="auto"/>
        <w:left w:val="none" w:sz="0" w:space="0" w:color="auto"/>
        <w:bottom w:val="none" w:sz="0" w:space="0" w:color="auto"/>
        <w:right w:val="none" w:sz="0" w:space="0" w:color="auto"/>
      </w:divBdr>
    </w:div>
    <w:div w:id="533418945">
      <w:bodyDiv w:val="1"/>
      <w:marLeft w:val="0"/>
      <w:marRight w:val="0"/>
      <w:marTop w:val="0"/>
      <w:marBottom w:val="0"/>
      <w:divBdr>
        <w:top w:val="none" w:sz="0" w:space="0" w:color="auto"/>
        <w:left w:val="none" w:sz="0" w:space="0" w:color="auto"/>
        <w:bottom w:val="none" w:sz="0" w:space="0" w:color="auto"/>
        <w:right w:val="none" w:sz="0" w:space="0" w:color="auto"/>
      </w:divBdr>
    </w:div>
    <w:div w:id="533427239">
      <w:bodyDiv w:val="1"/>
      <w:marLeft w:val="0"/>
      <w:marRight w:val="0"/>
      <w:marTop w:val="0"/>
      <w:marBottom w:val="0"/>
      <w:divBdr>
        <w:top w:val="none" w:sz="0" w:space="0" w:color="auto"/>
        <w:left w:val="none" w:sz="0" w:space="0" w:color="auto"/>
        <w:bottom w:val="none" w:sz="0" w:space="0" w:color="auto"/>
        <w:right w:val="none" w:sz="0" w:space="0" w:color="auto"/>
      </w:divBdr>
    </w:div>
    <w:div w:id="534198357">
      <w:bodyDiv w:val="1"/>
      <w:marLeft w:val="0"/>
      <w:marRight w:val="0"/>
      <w:marTop w:val="0"/>
      <w:marBottom w:val="0"/>
      <w:divBdr>
        <w:top w:val="none" w:sz="0" w:space="0" w:color="auto"/>
        <w:left w:val="none" w:sz="0" w:space="0" w:color="auto"/>
        <w:bottom w:val="none" w:sz="0" w:space="0" w:color="auto"/>
        <w:right w:val="none" w:sz="0" w:space="0" w:color="auto"/>
      </w:divBdr>
    </w:div>
    <w:div w:id="534856647">
      <w:bodyDiv w:val="1"/>
      <w:marLeft w:val="0"/>
      <w:marRight w:val="0"/>
      <w:marTop w:val="0"/>
      <w:marBottom w:val="0"/>
      <w:divBdr>
        <w:top w:val="none" w:sz="0" w:space="0" w:color="auto"/>
        <w:left w:val="none" w:sz="0" w:space="0" w:color="auto"/>
        <w:bottom w:val="none" w:sz="0" w:space="0" w:color="auto"/>
        <w:right w:val="none" w:sz="0" w:space="0" w:color="auto"/>
      </w:divBdr>
    </w:div>
    <w:div w:id="536747292">
      <w:bodyDiv w:val="1"/>
      <w:marLeft w:val="0"/>
      <w:marRight w:val="0"/>
      <w:marTop w:val="0"/>
      <w:marBottom w:val="0"/>
      <w:divBdr>
        <w:top w:val="none" w:sz="0" w:space="0" w:color="auto"/>
        <w:left w:val="none" w:sz="0" w:space="0" w:color="auto"/>
        <w:bottom w:val="none" w:sz="0" w:space="0" w:color="auto"/>
        <w:right w:val="none" w:sz="0" w:space="0" w:color="auto"/>
      </w:divBdr>
    </w:div>
    <w:div w:id="537592319">
      <w:bodyDiv w:val="1"/>
      <w:marLeft w:val="0"/>
      <w:marRight w:val="0"/>
      <w:marTop w:val="0"/>
      <w:marBottom w:val="0"/>
      <w:divBdr>
        <w:top w:val="none" w:sz="0" w:space="0" w:color="auto"/>
        <w:left w:val="none" w:sz="0" w:space="0" w:color="auto"/>
        <w:bottom w:val="none" w:sz="0" w:space="0" w:color="auto"/>
        <w:right w:val="none" w:sz="0" w:space="0" w:color="auto"/>
      </w:divBdr>
    </w:div>
    <w:div w:id="538588965">
      <w:bodyDiv w:val="1"/>
      <w:marLeft w:val="0"/>
      <w:marRight w:val="0"/>
      <w:marTop w:val="0"/>
      <w:marBottom w:val="0"/>
      <w:divBdr>
        <w:top w:val="none" w:sz="0" w:space="0" w:color="auto"/>
        <w:left w:val="none" w:sz="0" w:space="0" w:color="auto"/>
        <w:bottom w:val="none" w:sz="0" w:space="0" w:color="auto"/>
        <w:right w:val="none" w:sz="0" w:space="0" w:color="auto"/>
      </w:divBdr>
    </w:div>
    <w:div w:id="539434368">
      <w:bodyDiv w:val="1"/>
      <w:marLeft w:val="0"/>
      <w:marRight w:val="0"/>
      <w:marTop w:val="0"/>
      <w:marBottom w:val="0"/>
      <w:divBdr>
        <w:top w:val="none" w:sz="0" w:space="0" w:color="auto"/>
        <w:left w:val="none" w:sz="0" w:space="0" w:color="auto"/>
        <w:bottom w:val="none" w:sz="0" w:space="0" w:color="auto"/>
        <w:right w:val="none" w:sz="0" w:space="0" w:color="auto"/>
      </w:divBdr>
    </w:div>
    <w:div w:id="542060252">
      <w:bodyDiv w:val="1"/>
      <w:marLeft w:val="0"/>
      <w:marRight w:val="0"/>
      <w:marTop w:val="0"/>
      <w:marBottom w:val="0"/>
      <w:divBdr>
        <w:top w:val="none" w:sz="0" w:space="0" w:color="auto"/>
        <w:left w:val="none" w:sz="0" w:space="0" w:color="auto"/>
        <w:bottom w:val="none" w:sz="0" w:space="0" w:color="auto"/>
        <w:right w:val="none" w:sz="0" w:space="0" w:color="auto"/>
      </w:divBdr>
    </w:div>
    <w:div w:id="542445177">
      <w:bodyDiv w:val="1"/>
      <w:marLeft w:val="0"/>
      <w:marRight w:val="0"/>
      <w:marTop w:val="0"/>
      <w:marBottom w:val="0"/>
      <w:divBdr>
        <w:top w:val="none" w:sz="0" w:space="0" w:color="auto"/>
        <w:left w:val="none" w:sz="0" w:space="0" w:color="auto"/>
        <w:bottom w:val="none" w:sz="0" w:space="0" w:color="auto"/>
        <w:right w:val="none" w:sz="0" w:space="0" w:color="auto"/>
      </w:divBdr>
    </w:div>
    <w:div w:id="545871604">
      <w:bodyDiv w:val="1"/>
      <w:marLeft w:val="0"/>
      <w:marRight w:val="0"/>
      <w:marTop w:val="0"/>
      <w:marBottom w:val="0"/>
      <w:divBdr>
        <w:top w:val="none" w:sz="0" w:space="0" w:color="auto"/>
        <w:left w:val="none" w:sz="0" w:space="0" w:color="auto"/>
        <w:bottom w:val="none" w:sz="0" w:space="0" w:color="auto"/>
        <w:right w:val="none" w:sz="0" w:space="0" w:color="auto"/>
      </w:divBdr>
    </w:div>
    <w:div w:id="546911203">
      <w:bodyDiv w:val="1"/>
      <w:marLeft w:val="0"/>
      <w:marRight w:val="0"/>
      <w:marTop w:val="0"/>
      <w:marBottom w:val="0"/>
      <w:divBdr>
        <w:top w:val="none" w:sz="0" w:space="0" w:color="auto"/>
        <w:left w:val="none" w:sz="0" w:space="0" w:color="auto"/>
        <w:bottom w:val="none" w:sz="0" w:space="0" w:color="auto"/>
        <w:right w:val="none" w:sz="0" w:space="0" w:color="auto"/>
      </w:divBdr>
    </w:div>
    <w:div w:id="547690843">
      <w:bodyDiv w:val="1"/>
      <w:marLeft w:val="0"/>
      <w:marRight w:val="0"/>
      <w:marTop w:val="0"/>
      <w:marBottom w:val="0"/>
      <w:divBdr>
        <w:top w:val="none" w:sz="0" w:space="0" w:color="auto"/>
        <w:left w:val="none" w:sz="0" w:space="0" w:color="auto"/>
        <w:bottom w:val="none" w:sz="0" w:space="0" w:color="auto"/>
        <w:right w:val="none" w:sz="0" w:space="0" w:color="auto"/>
      </w:divBdr>
    </w:div>
    <w:div w:id="547691561">
      <w:bodyDiv w:val="1"/>
      <w:marLeft w:val="0"/>
      <w:marRight w:val="0"/>
      <w:marTop w:val="0"/>
      <w:marBottom w:val="0"/>
      <w:divBdr>
        <w:top w:val="none" w:sz="0" w:space="0" w:color="auto"/>
        <w:left w:val="none" w:sz="0" w:space="0" w:color="auto"/>
        <w:bottom w:val="none" w:sz="0" w:space="0" w:color="auto"/>
        <w:right w:val="none" w:sz="0" w:space="0" w:color="auto"/>
      </w:divBdr>
    </w:div>
    <w:div w:id="548222178">
      <w:bodyDiv w:val="1"/>
      <w:marLeft w:val="0"/>
      <w:marRight w:val="0"/>
      <w:marTop w:val="0"/>
      <w:marBottom w:val="0"/>
      <w:divBdr>
        <w:top w:val="none" w:sz="0" w:space="0" w:color="auto"/>
        <w:left w:val="none" w:sz="0" w:space="0" w:color="auto"/>
        <w:bottom w:val="none" w:sz="0" w:space="0" w:color="auto"/>
        <w:right w:val="none" w:sz="0" w:space="0" w:color="auto"/>
      </w:divBdr>
    </w:div>
    <w:div w:id="555551676">
      <w:bodyDiv w:val="1"/>
      <w:marLeft w:val="0"/>
      <w:marRight w:val="0"/>
      <w:marTop w:val="0"/>
      <w:marBottom w:val="0"/>
      <w:divBdr>
        <w:top w:val="none" w:sz="0" w:space="0" w:color="auto"/>
        <w:left w:val="none" w:sz="0" w:space="0" w:color="auto"/>
        <w:bottom w:val="none" w:sz="0" w:space="0" w:color="auto"/>
        <w:right w:val="none" w:sz="0" w:space="0" w:color="auto"/>
      </w:divBdr>
    </w:div>
    <w:div w:id="559482172">
      <w:bodyDiv w:val="1"/>
      <w:marLeft w:val="0"/>
      <w:marRight w:val="0"/>
      <w:marTop w:val="0"/>
      <w:marBottom w:val="0"/>
      <w:divBdr>
        <w:top w:val="none" w:sz="0" w:space="0" w:color="auto"/>
        <w:left w:val="none" w:sz="0" w:space="0" w:color="auto"/>
        <w:bottom w:val="none" w:sz="0" w:space="0" w:color="auto"/>
        <w:right w:val="none" w:sz="0" w:space="0" w:color="auto"/>
      </w:divBdr>
    </w:div>
    <w:div w:id="559828736">
      <w:bodyDiv w:val="1"/>
      <w:marLeft w:val="0"/>
      <w:marRight w:val="0"/>
      <w:marTop w:val="0"/>
      <w:marBottom w:val="0"/>
      <w:divBdr>
        <w:top w:val="none" w:sz="0" w:space="0" w:color="auto"/>
        <w:left w:val="none" w:sz="0" w:space="0" w:color="auto"/>
        <w:bottom w:val="none" w:sz="0" w:space="0" w:color="auto"/>
        <w:right w:val="none" w:sz="0" w:space="0" w:color="auto"/>
      </w:divBdr>
    </w:div>
    <w:div w:id="561185429">
      <w:bodyDiv w:val="1"/>
      <w:marLeft w:val="0"/>
      <w:marRight w:val="0"/>
      <w:marTop w:val="0"/>
      <w:marBottom w:val="0"/>
      <w:divBdr>
        <w:top w:val="none" w:sz="0" w:space="0" w:color="auto"/>
        <w:left w:val="none" w:sz="0" w:space="0" w:color="auto"/>
        <w:bottom w:val="none" w:sz="0" w:space="0" w:color="auto"/>
        <w:right w:val="none" w:sz="0" w:space="0" w:color="auto"/>
      </w:divBdr>
    </w:div>
    <w:div w:id="565802965">
      <w:bodyDiv w:val="1"/>
      <w:marLeft w:val="0"/>
      <w:marRight w:val="0"/>
      <w:marTop w:val="0"/>
      <w:marBottom w:val="0"/>
      <w:divBdr>
        <w:top w:val="none" w:sz="0" w:space="0" w:color="auto"/>
        <w:left w:val="none" w:sz="0" w:space="0" w:color="auto"/>
        <w:bottom w:val="none" w:sz="0" w:space="0" w:color="auto"/>
        <w:right w:val="none" w:sz="0" w:space="0" w:color="auto"/>
      </w:divBdr>
    </w:div>
    <w:div w:id="567307483">
      <w:bodyDiv w:val="1"/>
      <w:marLeft w:val="0"/>
      <w:marRight w:val="0"/>
      <w:marTop w:val="0"/>
      <w:marBottom w:val="0"/>
      <w:divBdr>
        <w:top w:val="none" w:sz="0" w:space="0" w:color="auto"/>
        <w:left w:val="none" w:sz="0" w:space="0" w:color="auto"/>
        <w:bottom w:val="none" w:sz="0" w:space="0" w:color="auto"/>
        <w:right w:val="none" w:sz="0" w:space="0" w:color="auto"/>
      </w:divBdr>
    </w:div>
    <w:div w:id="568613373">
      <w:bodyDiv w:val="1"/>
      <w:marLeft w:val="0"/>
      <w:marRight w:val="0"/>
      <w:marTop w:val="0"/>
      <w:marBottom w:val="0"/>
      <w:divBdr>
        <w:top w:val="none" w:sz="0" w:space="0" w:color="auto"/>
        <w:left w:val="none" w:sz="0" w:space="0" w:color="auto"/>
        <w:bottom w:val="none" w:sz="0" w:space="0" w:color="auto"/>
        <w:right w:val="none" w:sz="0" w:space="0" w:color="auto"/>
      </w:divBdr>
    </w:div>
    <w:div w:id="568659362">
      <w:bodyDiv w:val="1"/>
      <w:marLeft w:val="0"/>
      <w:marRight w:val="0"/>
      <w:marTop w:val="0"/>
      <w:marBottom w:val="0"/>
      <w:divBdr>
        <w:top w:val="none" w:sz="0" w:space="0" w:color="auto"/>
        <w:left w:val="none" w:sz="0" w:space="0" w:color="auto"/>
        <w:bottom w:val="none" w:sz="0" w:space="0" w:color="auto"/>
        <w:right w:val="none" w:sz="0" w:space="0" w:color="auto"/>
      </w:divBdr>
    </w:div>
    <w:div w:id="570164584">
      <w:bodyDiv w:val="1"/>
      <w:marLeft w:val="0"/>
      <w:marRight w:val="0"/>
      <w:marTop w:val="0"/>
      <w:marBottom w:val="0"/>
      <w:divBdr>
        <w:top w:val="none" w:sz="0" w:space="0" w:color="auto"/>
        <w:left w:val="none" w:sz="0" w:space="0" w:color="auto"/>
        <w:bottom w:val="none" w:sz="0" w:space="0" w:color="auto"/>
        <w:right w:val="none" w:sz="0" w:space="0" w:color="auto"/>
      </w:divBdr>
    </w:div>
    <w:div w:id="576213872">
      <w:bodyDiv w:val="1"/>
      <w:marLeft w:val="0"/>
      <w:marRight w:val="0"/>
      <w:marTop w:val="0"/>
      <w:marBottom w:val="0"/>
      <w:divBdr>
        <w:top w:val="none" w:sz="0" w:space="0" w:color="auto"/>
        <w:left w:val="none" w:sz="0" w:space="0" w:color="auto"/>
        <w:bottom w:val="none" w:sz="0" w:space="0" w:color="auto"/>
        <w:right w:val="none" w:sz="0" w:space="0" w:color="auto"/>
      </w:divBdr>
    </w:div>
    <w:div w:id="577057590">
      <w:bodyDiv w:val="1"/>
      <w:marLeft w:val="0"/>
      <w:marRight w:val="0"/>
      <w:marTop w:val="0"/>
      <w:marBottom w:val="0"/>
      <w:divBdr>
        <w:top w:val="none" w:sz="0" w:space="0" w:color="auto"/>
        <w:left w:val="none" w:sz="0" w:space="0" w:color="auto"/>
        <w:bottom w:val="none" w:sz="0" w:space="0" w:color="auto"/>
        <w:right w:val="none" w:sz="0" w:space="0" w:color="auto"/>
      </w:divBdr>
    </w:div>
    <w:div w:id="578102635">
      <w:bodyDiv w:val="1"/>
      <w:marLeft w:val="0"/>
      <w:marRight w:val="0"/>
      <w:marTop w:val="0"/>
      <w:marBottom w:val="0"/>
      <w:divBdr>
        <w:top w:val="none" w:sz="0" w:space="0" w:color="auto"/>
        <w:left w:val="none" w:sz="0" w:space="0" w:color="auto"/>
        <w:bottom w:val="none" w:sz="0" w:space="0" w:color="auto"/>
        <w:right w:val="none" w:sz="0" w:space="0" w:color="auto"/>
      </w:divBdr>
    </w:div>
    <w:div w:id="578295217">
      <w:bodyDiv w:val="1"/>
      <w:marLeft w:val="0"/>
      <w:marRight w:val="0"/>
      <w:marTop w:val="0"/>
      <w:marBottom w:val="0"/>
      <w:divBdr>
        <w:top w:val="none" w:sz="0" w:space="0" w:color="auto"/>
        <w:left w:val="none" w:sz="0" w:space="0" w:color="auto"/>
        <w:bottom w:val="none" w:sz="0" w:space="0" w:color="auto"/>
        <w:right w:val="none" w:sz="0" w:space="0" w:color="auto"/>
      </w:divBdr>
    </w:div>
    <w:div w:id="578709751">
      <w:bodyDiv w:val="1"/>
      <w:marLeft w:val="0"/>
      <w:marRight w:val="0"/>
      <w:marTop w:val="0"/>
      <w:marBottom w:val="0"/>
      <w:divBdr>
        <w:top w:val="none" w:sz="0" w:space="0" w:color="auto"/>
        <w:left w:val="none" w:sz="0" w:space="0" w:color="auto"/>
        <w:bottom w:val="none" w:sz="0" w:space="0" w:color="auto"/>
        <w:right w:val="none" w:sz="0" w:space="0" w:color="auto"/>
      </w:divBdr>
    </w:div>
    <w:div w:id="581643561">
      <w:bodyDiv w:val="1"/>
      <w:marLeft w:val="0"/>
      <w:marRight w:val="0"/>
      <w:marTop w:val="0"/>
      <w:marBottom w:val="0"/>
      <w:divBdr>
        <w:top w:val="none" w:sz="0" w:space="0" w:color="auto"/>
        <w:left w:val="none" w:sz="0" w:space="0" w:color="auto"/>
        <w:bottom w:val="none" w:sz="0" w:space="0" w:color="auto"/>
        <w:right w:val="none" w:sz="0" w:space="0" w:color="auto"/>
      </w:divBdr>
    </w:div>
    <w:div w:id="582181944">
      <w:bodyDiv w:val="1"/>
      <w:marLeft w:val="0"/>
      <w:marRight w:val="0"/>
      <w:marTop w:val="0"/>
      <w:marBottom w:val="0"/>
      <w:divBdr>
        <w:top w:val="none" w:sz="0" w:space="0" w:color="auto"/>
        <w:left w:val="none" w:sz="0" w:space="0" w:color="auto"/>
        <w:bottom w:val="none" w:sz="0" w:space="0" w:color="auto"/>
        <w:right w:val="none" w:sz="0" w:space="0" w:color="auto"/>
      </w:divBdr>
    </w:div>
    <w:div w:id="582229376">
      <w:bodyDiv w:val="1"/>
      <w:marLeft w:val="0"/>
      <w:marRight w:val="0"/>
      <w:marTop w:val="0"/>
      <w:marBottom w:val="0"/>
      <w:divBdr>
        <w:top w:val="none" w:sz="0" w:space="0" w:color="auto"/>
        <w:left w:val="none" w:sz="0" w:space="0" w:color="auto"/>
        <w:bottom w:val="none" w:sz="0" w:space="0" w:color="auto"/>
        <w:right w:val="none" w:sz="0" w:space="0" w:color="auto"/>
      </w:divBdr>
    </w:div>
    <w:div w:id="582909320">
      <w:bodyDiv w:val="1"/>
      <w:marLeft w:val="0"/>
      <w:marRight w:val="0"/>
      <w:marTop w:val="0"/>
      <w:marBottom w:val="0"/>
      <w:divBdr>
        <w:top w:val="none" w:sz="0" w:space="0" w:color="auto"/>
        <w:left w:val="none" w:sz="0" w:space="0" w:color="auto"/>
        <w:bottom w:val="none" w:sz="0" w:space="0" w:color="auto"/>
        <w:right w:val="none" w:sz="0" w:space="0" w:color="auto"/>
      </w:divBdr>
    </w:div>
    <w:div w:id="583875538">
      <w:bodyDiv w:val="1"/>
      <w:marLeft w:val="0"/>
      <w:marRight w:val="0"/>
      <w:marTop w:val="0"/>
      <w:marBottom w:val="0"/>
      <w:divBdr>
        <w:top w:val="none" w:sz="0" w:space="0" w:color="auto"/>
        <w:left w:val="none" w:sz="0" w:space="0" w:color="auto"/>
        <w:bottom w:val="none" w:sz="0" w:space="0" w:color="auto"/>
        <w:right w:val="none" w:sz="0" w:space="0" w:color="auto"/>
      </w:divBdr>
    </w:div>
    <w:div w:id="588778202">
      <w:bodyDiv w:val="1"/>
      <w:marLeft w:val="0"/>
      <w:marRight w:val="0"/>
      <w:marTop w:val="0"/>
      <w:marBottom w:val="0"/>
      <w:divBdr>
        <w:top w:val="none" w:sz="0" w:space="0" w:color="auto"/>
        <w:left w:val="none" w:sz="0" w:space="0" w:color="auto"/>
        <w:bottom w:val="none" w:sz="0" w:space="0" w:color="auto"/>
        <w:right w:val="none" w:sz="0" w:space="0" w:color="auto"/>
      </w:divBdr>
    </w:div>
    <w:div w:id="591621687">
      <w:bodyDiv w:val="1"/>
      <w:marLeft w:val="0"/>
      <w:marRight w:val="0"/>
      <w:marTop w:val="0"/>
      <w:marBottom w:val="0"/>
      <w:divBdr>
        <w:top w:val="none" w:sz="0" w:space="0" w:color="auto"/>
        <w:left w:val="none" w:sz="0" w:space="0" w:color="auto"/>
        <w:bottom w:val="none" w:sz="0" w:space="0" w:color="auto"/>
        <w:right w:val="none" w:sz="0" w:space="0" w:color="auto"/>
      </w:divBdr>
    </w:div>
    <w:div w:id="593366522">
      <w:bodyDiv w:val="1"/>
      <w:marLeft w:val="0"/>
      <w:marRight w:val="0"/>
      <w:marTop w:val="0"/>
      <w:marBottom w:val="0"/>
      <w:divBdr>
        <w:top w:val="none" w:sz="0" w:space="0" w:color="auto"/>
        <w:left w:val="none" w:sz="0" w:space="0" w:color="auto"/>
        <w:bottom w:val="none" w:sz="0" w:space="0" w:color="auto"/>
        <w:right w:val="none" w:sz="0" w:space="0" w:color="auto"/>
      </w:divBdr>
    </w:div>
    <w:div w:id="594024180">
      <w:bodyDiv w:val="1"/>
      <w:marLeft w:val="0"/>
      <w:marRight w:val="0"/>
      <w:marTop w:val="0"/>
      <w:marBottom w:val="0"/>
      <w:divBdr>
        <w:top w:val="none" w:sz="0" w:space="0" w:color="auto"/>
        <w:left w:val="none" w:sz="0" w:space="0" w:color="auto"/>
        <w:bottom w:val="none" w:sz="0" w:space="0" w:color="auto"/>
        <w:right w:val="none" w:sz="0" w:space="0" w:color="auto"/>
      </w:divBdr>
    </w:div>
    <w:div w:id="595406801">
      <w:bodyDiv w:val="1"/>
      <w:marLeft w:val="0"/>
      <w:marRight w:val="0"/>
      <w:marTop w:val="0"/>
      <w:marBottom w:val="0"/>
      <w:divBdr>
        <w:top w:val="none" w:sz="0" w:space="0" w:color="auto"/>
        <w:left w:val="none" w:sz="0" w:space="0" w:color="auto"/>
        <w:bottom w:val="none" w:sz="0" w:space="0" w:color="auto"/>
        <w:right w:val="none" w:sz="0" w:space="0" w:color="auto"/>
      </w:divBdr>
    </w:div>
    <w:div w:id="596257147">
      <w:bodyDiv w:val="1"/>
      <w:marLeft w:val="0"/>
      <w:marRight w:val="0"/>
      <w:marTop w:val="0"/>
      <w:marBottom w:val="0"/>
      <w:divBdr>
        <w:top w:val="none" w:sz="0" w:space="0" w:color="auto"/>
        <w:left w:val="none" w:sz="0" w:space="0" w:color="auto"/>
        <w:bottom w:val="none" w:sz="0" w:space="0" w:color="auto"/>
        <w:right w:val="none" w:sz="0" w:space="0" w:color="auto"/>
      </w:divBdr>
    </w:div>
    <w:div w:id="599341294">
      <w:bodyDiv w:val="1"/>
      <w:marLeft w:val="0"/>
      <w:marRight w:val="0"/>
      <w:marTop w:val="0"/>
      <w:marBottom w:val="0"/>
      <w:divBdr>
        <w:top w:val="none" w:sz="0" w:space="0" w:color="auto"/>
        <w:left w:val="none" w:sz="0" w:space="0" w:color="auto"/>
        <w:bottom w:val="none" w:sz="0" w:space="0" w:color="auto"/>
        <w:right w:val="none" w:sz="0" w:space="0" w:color="auto"/>
      </w:divBdr>
    </w:div>
    <w:div w:id="601181057">
      <w:bodyDiv w:val="1"/>
      <w:marLeft w:val="0"/>
      <w:marRight w:val="0"/>
      <w:marTop w:val="0"/>
      <w:marBottom w:val="0"/>
      <w:divBdr>
        <w:top w:val="none" w:sz="0" w:space="0" w:color="auto"/>
        <w:left w:val="none" w:sz="0" w:space="0" w:color="auto"/>
        <w:bottom w:val="none" w:sz="0" w:space="0" w:color="auto"/>
        <w:right w:val="none" w:sz="0" w:space="0" w:color="auto"/>
      </w:divBdr>
    </w:div>
    <w:div w:id="601307468">
      <w:bodyDiv w:val="1"/>
      <w:marLeft w:val="0"/>
      <w:marRight w:val="0"/>
      <w:marTop w:val="0"/>
      <w:marBottom w:val="0"/>
      <w:divBdr>
        <w:top w:val="none" w:sz="0" w:space="0" w:color="auto"/>
        <w:left w:val="none" w:sz="0" w:space="0" w:color="auto"/>
        <w:bottom w:val="none" w:sz="0" w:space="0" w:color="auto"/>
        <w:right w:val="none" w:sz="0" w:space="0" w:color="auto"/>
      </w:divBdr>
    </w:div>
    <w:div w:id="605115566">
      <w:bodyDiv w:val="1"/>
      <w:marLeft w:val="0"/>
      <w:marRight w:val="0"/>
      <w:marTop w:val="0"/>
      <w:marBottom w:val="0"/>
      <w:divBdr>
        <w:top w:val="none" w:sz="0" w:space="0" w:color="auto"/>
        <w:left w:val="none" w:sz="0" w:space="0" w:color="auto"/>
        <w:bottom w:val="none" w:sz="0" w:space="0" w:color="auto"/>
        <w:right w:val="none" w:sz="0" w:space="0" w:color="auto"/>
      </w:divBdr>
    </w:div>
    <w:div w:id="605504968">
      <w:bodyDiv w:val="1"/>
      <w:marLeft w:val="0"/>
      <w:marRight w:val="0"/>
      <w:marTop w:val="0"/>
      <w:marBottom w:val="0"/>
      <w:divBdr>
        <w:top w:val="none" w:sz="0" w:space="0" w:color="auto"/>
        <w:left w:val="none" w:sz="0" w:space="0" w:color="auto"/>
        <w:bottom w:val="none" w:sz="0" w:space="0" w:color="auto"/>
        <w:right w:val="none" w:sz="0" w:space="0" w:color="auto"/>
      </w:divBdr>
    </w:div>
    <w:div w:id="607934726">
      <w:bodyDiv w:val="1"/>
      <w:marLeft w:val="0"/>
      <w:marRight w:val="0"/>
      <w:marTop w:val="0"/>
      <w:marBottom w:val="0"/>
      <w:divBdr>
        <w:top w:val="none" w:sz="0" w:space="0" w:color="auto"/>
        <w:left w:val="none" w:sz="0" w:space="0" w:color="auto"/>
        <w:bottom w:val="none" w:sz="0" w:space="0" w:color="auto"/>
        <w:right w:val="none" w:sz="0" w:space="0" w:color="auto"/>
      </w:divBdr>
    </w:div>
    <w:div w:id="609363061">
      <w:bodyDiv w:val="1"/>
      <w:marLeft w:val="0"/>
      <w:marRight w:val="0"/>
      <w:marTop w:val="0"/>
      <w:marBottom w:val="0"/>
      <w:divBdr>
        <w:top w:val="none" w:sz="0" w:space="0" w:color="auto"/>
        <w:left w:val="none" w:sz="0" w:space="0" w:color="auto"/>
        <w:bottom w:val="none" w:sz="0" w:space="0" w:color="auto"/>
        <w:right w:val="none" w:sz="0" w:space="0" w:color="auto"/>
      </w:divBdr>
    </w:div>
    <w:div w:id="609896289">
      <w:bodyDiv w:val="1"/>
      <w:marLeft w:val="0"/>
      <w:marRight w:val="0"/>
      <w:marTop w:val="0"/>
      <w:marBottom w:val="0"/>
      <w:divBdr>
        <w:top w:val="none" w:sz="0" w:space="0" w:color="auto"/>
        <w:left w:val="none" w:sz="0" w:space="0" w:color="auto"/>
        <w:bottom w:val="none" w:sz="0" w:space="0" w:color="auto"/>
        <w:right w:val="none" w:sz="0" w:space="0" w:color="auto"/>
      </w:divBdr>
    </w:div>
    <w:div w:id="613748939">
      <w:bodyDiv w:val="1"/>
      <w:marLeft w:val="0"/>
      <w:marRight w:val="0"/>
      <w:marTop w:val="0"/>
      <w:marBottom w:val="0"/>
      <w:divBdr>
        <w:top w:val="none" w:sz="0" w:space="0" w:color="auto"/>
        <w:left w:val="none" w:sz="0" w:space="0" w:color="auto"/>
        <w:bottom w:val="none" w:sz="0" w:space="0" w:color="auto"/>
        <w:right w:val="none" w:sz="0" w:space="0" w:color="auto"/>
      </w:divBdr>
    </w:div>
    <w:div w:id="614561079">
      <w:bodyDiv w:val="1"/>
      <w:marLeft w:val="0"/>
      <w:marRight w:val="0"/>
      <w:marTop w:val="0"/>
      <w:marBottom w:val="0"/>
      <w:divBdr>
        <w:top w:val="none" w:sz="0" w:space="0" w:color="auto"/>
        <w:left w:val="none" w:sz="0" w:space="0" w:color="auto"/>
        <w:bottom w:val="none" w:sz="0" w:space="0" w:color="auto"/>
        <w:right w:val="none" w:sz="0" w:space="0" w:color="auto"/>
      </w:divBdr>
    </w:div>
    <w:div w:id="615405309">
      <w:bodyDiv w:val="1"/>
      <w:marLeft w:val="0"/>
      <w:marRight w:val="0"/>
      <w:marTop w:val="0"/>
      <w:marBottom w:val="0"/>
      <w:divBdr>
        <w:top w:val="none" w:sz="0" w:space="0" w:color="auto"/>
        <w:left w:val="none" w:sz="0" w:space="0" w:color="auto"/>
        <w:bottom w:val="none" w:sz="0" w:space="0" w:color="auto"/>
        <w:right w:val="none" w:sz="0" w:space="0" w:color="auto"/>
      </w:divBdr>
    </w:div>
    <w:div w:id="615986669">
      <w:bodyDiv w:val="1"/>
      <w:marLeft w:val="0"/>
      <w:marRight w:val="0"/>
      <w:marTop w:val="0"/>
      <w:marBottom w:val="0"/>
      <w:divBdr>
        <w:top w:val="none" w:sz="0" w:space="0" w:color="auto"/>
        <w:left w:val="none" w:sz="0" w:space="0" w:color="auto"/>
        <w:bottom w:val="none" w:sz="0" w:space="0" w:color="auto"/>
        <w:right w:val="none" w:sz="0" w:space="0" w:color="auto"/>
      </w:divBdr>
    </w:div>
    <w:div w:id="617681249">
      <w:bodyDiv w:val="1"/>
      <w:marLeft w:val="0"/>
      <w:marRight w:val="0"/>
      <w:marTop w:val="0"/>
      <w:marBottom w:val="0"/>
      <w:divBdr>
        <w:top w:val="none" w:sz="0" w:space="0" w:color="auto"/>
        <w:left w:val="none" w:sz="0" w:space="0" w:color="auto"/>
        <w:bottom w:val="none" w:sz="0" w:space="0" w:color="auto"/>
        <w:right w:val="none" w:sz="0" w:space="0" w:color="auto"/>
      </w:divBdr>
    </w:div>
    <w:div w:id="618680170">
      <w:bodyDiv w:val="1"/>
      <w:marLeft w:val="0"/>
      <w:marRight w:val="0"/>
      <w:marTop w:val="0"/>
      <w:marBottom w:val="0"/>
      <w:divBdr>
        <w:top w:val="none" w:sz="0" w:space="0" w:color="auto"/>
        <w:left w:val="none" w:sz="0" w:space="0" w:color="auto"/>
        <w:bottom w:val="none" w:sz="0" w:space="0" w:color="auto"/>
        <w:right w:val="none" w:sz="0" w:space="0" w:color="auto"/>
      </w:divBdr>
    </w:div>
    <w:div w:id="618950528">
      <w:bodyDiv w:val="1"/>
      <w:marLeft w:val="0"/>
      <w:marRight w:val="0"/>
      <w:marTop w:val="0"/>
      <w:marBottom w:val="0"/>
      <w:divBdr>
        <w:top w:val="none" w:sz="0" w:space="0" w:color="auto"/>
        <w:left w:val="none" w:sz="0" w:space="0" w:color="auto"/>
        <w:bottom w:val="none" w:sz="0" w:space="0" w:color="auto"/>
        <w:right w:val="none" w:sz="0" w:space="0" w:color="auto"/>
      </w:divBdr>
    </w:div>
    <w:div w:id="619535233">
      <w:bodyDiv w:val="1"/>
      <w:marLeft w:val="0"/>
      <w:marRight w:val="0"/>
      <w:marTop w:val="0"/>
      <w:marBottom w:val="0"/>
      <w:divBdr>
        <w:top w:val="none" w:sz="0" w:space="0" w:color="auto"/>
        <w:left w:val="none" w:sz="0" w:space="0" w:color="auto"/>
        <w:bottom w:val="none" w:sz="0" w:space="0" w:color="auto"/>
        <w:right w:val="none" w:sz="0" w:space="0" w:color="auto"/>
      </w:divBdr>
    </w:div>
    <w:div w:id="620039846">
      <w:bodyDiv w:val="1"/>
      <w:marLeft w:val="0"/>
      <w:marRight w:val="0"/>
      <w:marTop w:val="0"/>
      <w:marBottom w:val="0"/>
      <w:divBdr>
        <w:top w:val="none" w:sz="0" w:space="0" w:color="auto"/>
        <w:left w:val="none" w:sz="0" w:space="0" w:color="auto"/>
        <w:bottom w:val="none" w:sz="0" w:space="0" w:color="auto"/>
        <w:right w:val="none" w:sz="0" w:space="0" w:color="auto"/>
      </w:divBdr>
    </w:div>
    <w:div w:id="620067341">
      <w:bodyDiv w:val="1"/>
      <w:marLeft w:val="0"/>
      <w:marRight w:val="0"/>
      <w:marTop w:val="0"/>
      <w:marBottom w:val="0"/>
      <w:divBdr>
        <w:top w:val="none" w:sz="0" w:space="0" w:color="auto"/>
        <w:left w:val="none" w:sz="0" w:space="0" w:color="auto"/>
        <w:bottom w:val="none" w:sz="0" w:space="0" w:color="auto"/>
        <w:right w:val="none" w:sz="0" w:space="0" w:color="auto"/>
      </w:divBdr>
    </w:div>
    <w:div w:id="620914237">
      <w:bodyDiv w:val="1"/>
      <w:marLeft w:val="0"/>
      <w:marRight w:val="0"/>
      <w:marTop w:val="0"/>
      <w:marBottom w:val="0"/>
      <w:divBdr>
        <w:top w:val="none" w:sz="0" w:space="0" w:color="auto"/>
        <w:left w:val="none" w:sz="0" w:space="0" w:color="auto"/>
        <w:bottom w:val="none" w:sz="0" w:space="0" w:color="auto"/>
        <w:right w:val="none" w:sz="0" w:space="0" w:color="auto"/>
      </w:divBdr>
    </w:div>
    <w:div w:id="622619140">
      <w:bodyDiv w:val="1"/>
      <w:marLeft w:val="0"/>
      <w:marRight w:val="0"/>
      <w:marTop w:val="0"/>
      <w:marBottom w:val="0"/>
      <w:divBdr>
        <w:top w:val="none" w:sz="0" w:space="0" w:color="auto"/>
        <w:left w:val="none" w:sz="0" w:space="0" w:color="auto"/>
        <w:bottom w:val="none" w:sz="0" w:space="0" w:color="auto"/>
        <w:right w:val="none" w:sz="0" w:space="0" w:color="auto"/>
      </w:divBdr>
    </w:div>
    <w:div w:id="623081235">
      <w:bodyDiv w:val="1"/>
      <w:marLeft w:val="0"/>
      <w:marRight w:val="0"/>
      <w:marTop w:val="0"/>
      <w:marBottom w:val="0"/>
      <w:divBdr>
        <w:top w:val="none" w:sz="0" w:space="0" w:color="auto"/>
        <w:left w:val="none" w:sz="0" w:space="0" w:color="auto"/>
        <w:bottom w:val="none" w:sz="0" w:space="0" w:color="auto"/>
        <w:right w:val="none" w:sz="0" w:space="0" w:color="auto"/>
      </w:divBdr>
    </w:div>
    <w:div w:id="623343856">
      <w:bodyDiv w:val="1"/>
      <w:marLeft w:val="0"/>
      <w:marRight w:val="0"/>
      <w:marTop w:val="0"/>
      <w:marBottom w:val="0"/>
      <w:divBdr>
        <w:top w:val="none" w:sz="0" w:space="0" w:color="auto"/>
        <w:left w:val="none" w:sz="0" w:space="0" w:color="auto"/>
        <w:bottom w:val="none" w:sz="0" w:space="0" w:color="auto"/>
        <w:right w:val="none" w:sz="0" w:space="0" w:color="auto"/>
      </w:divBdr>
    </w:div>
    <w:div w:id="623734986">
      <w:bodyDiv w:val="1"/>
      <w:marLeft w:val="0"/>
      <w:marRight w:val="0"/>
      <w:marTop w:val="0"/>
      <w:marBottom w:val="0"/>
      <w:divBdr>
        <w:top w:val="none" w:sz="0" w:space="0" w:color="auto"/>
        <w:left w:val="none" w:sz="0" w:space="0" w:color="auto"/>
        <w:bottom w:val="none" w:sz="0" w:space="0" w:color="auto"/>
        <w:right w:val="none" w:sz="0" w:space="0" w:color="auto"/>
      </w:divBdr>
    </w:div>
    <w:div w:id="624047856">
      <w:bodyDiv w:val="1"/>
      <w:marLeft w:val="0"/>
      <w:marRight w:val="0"/>
      <w:marTop w:val="0"/>
      <w:marBottom w:val="0"/>
      <w:divBdr>
        <w:top w:val="none" w:sz="0" w:space="0" w:color="auto"/>
        <w:left w:val="none" w:sz="0" w:space="0" w:color="auto"/>
        <w:bottom w:val="none" w:sz="0" w:space="0" w:color="auto"/>
        <w:right w:val="none" w:sz="0" w:space="0" w:color="auto"/>
      </w:divBdr>
    </w:div>
    <w:div w:id="624628756">
      <w:bodyDiv w:val="1"/>
      <w:marLeft w:val="0"/>
      <w:marRight w:val="0"/>
      <w:marTop w:val="0"/>
      <w:marBottom w:val="0"/>
      <w:divBdr>
        <w:top w:val="none" w:sz="0" w:space="0" w:color="auto"/>
        <w:left w:val="none" w:sz="0" w:space="0" w:color="auto"/>
        <w:bottom w:val="none" w:sz="0" w:space="0" w:color="auto"/>
        <w:right w:val="none" w:sz="0" w:space="0" w:color="auto"/>
      </w:divBdr>
    </w:div>
    <w:div w:id="624851810">
      <w:bodyDiv w:val="1"/>
      <w:marLeft w:val="0"/>
      <w:marRight w:val="0"/>
      <w:marTop w:val="0"/>
      <w:marBottom w:val="0"/>
      <w:divBdr>
        <w:top w:val="none" w:sz="0" w:space="0" w:color="auto"/>
        <w:left w:val="none" w:sz="0" w:space="0" w:color="auto"/>
        <w:bottom w:val="none" w:sz="0" w:space="0" w:color="auto"/>
        <w:right w:val="none" w:sz="0" w:space="0" w:color="auto"/>
      </w:divBdr>
    </w:div>
    <w:div w:id="626082366">
      <w:bodyDiv w:val="1"/>
      <w:marLeft w:val="0"/>
      <w:marRight w:val="0"/>
      <w:marTop w:val="0"/>
      <w:marBottom w:val="0"/>
      <w:divBdr>
        <w:top w:val="none" w:sz="0" w:space="0" w:color="auto"/>
        <w:left w:val="none" w:sz="0" w:space="0" w:color="auto"/>
        <w:bottom w:val="none" w:sz="0" w:space="0" w:color="auto"/>
        <w:right w:val="none" w:sz="0" w:space="0" w:color="auto"/>
      </w:divBdr>
    </w:div>
    <w:div w:id="628509823">
      <w:bodyDiv w:val="1"/>
      <w:marLeft w:val="0"/>
      <w:marRight w:val="0"/>
      <w:marTop w:val="0"/>
      <w:marBottom w:val="0"/>
      <w:divBdr>
        <w:top w:val="none" w:sz="0" w:space="0" w:color="auto"/>
        <w:left w:val="none" w:sz="0" w:space="0" w:color="auto"/>
        <w:bottom w:val="none" w:sz="0" w:space="0" w:color="auto"/>
        <w:right w:val="none" w:sz="0" w:space="0" w:color="auto"/>
      </w:divBdr>
    </w:div>
    <w:div w:id="629091244">
      <w:bodyDiv w:val="1"/>
      <w:marLeft w:val="0"/>
      <w:marRight w:val="0"/>
      <w:marTop w:val="0"/>
      <w:marBottom w:val="0"/>
      <w:divBdr>
        <w:top w:val="none" w:sz="0" w:space="0" w:color="auto"/>
        <w:left w:val="none" w:sz="0" w:space="0" w:color="auto"/>
        <w:bottom w:val="none" w:sz="0" w:space="0" w:color="auto"/>
        <w:right w:val="none" w:sz="0" w:space="0" w:color="auto"/>
      </w:divBdr>
    </w:div>
    <w:div w:id="631714639">
      <w:bodyDiv w:val="1"/>
      <w:marLeft w:val="0"/>
      <w:marRight w:val="0"/>
      <w:marTop w:val="0"/>
      <w:marBottom w:val="0"/>
      <w:divBdr>
        <w:top w:val="none" w:sz="0" w:space="0" w:color="auto"/>
        <w:left w:val="none" w:sz="0" w:space="0" w:color="auto"/>
        <w:bottom w:val="none" w:sz="0" w:space="0" w:color="auto"/>
        <w:right w:val="none" w:sz="0" w:space="0" w:color="auto"/>
      </w:divBdr>
    </w:div>
    <w:div w:id="631984106">
      <w:bodyDiv w:val="1"/>
      <w:marLeft w:val="0"/>
      <w:marRight w:val="0"/>
      <w:marTop w:val="0"/>
      <w:marBottom w:val="0"/>
      <w:divBdr>
        <w:top w:val="none" w:sz="0" w:space="0" w:color="auto"/>
        <w:left w:val="none" w:sz="0" w:space="0" w:color="auto"/>
        <w:bottom w:val="none" w:sz="0" w:space="0" w:color="auto"/>
        <w:right w:val="none" w:sz="0" w:space="0" w:color="auto"/>
      </w:divBdr>
    </w:div>
    <w:div w:id="634532521">
      <w:bodyDiv w:val="1"/>
      <w:marLeft w:val="0"/>
      <w:marRight w:val="0"/>
      <w:marTop w:val="0"/>
      <w:marBottom w:val="0"/>
      <w:divBdr>
        <w:top w:val="none" w:sz="0" w:space="0" w:color="auto"/>
        <w:left w:val="none" w:sz="0" w:space="0" w:color="auto"/>
        <w:bottom w:val="none" w:sz="0" w:space="0" w:color="auto"/>
        <w:right w:val="none" w:sz="0" w:space="0" w:color="auto"/>
      </w:divBdr>
    </w:div>
    <w:div w:id="635457053">
      <w:bodyDiv w:val="1"/>
      <w:marLeft w:val="0"/>
      <w:marRight w:val="0"/>
      <w:marTop w:val="0"/>
      <w:marBottom w:val="0"/>
      <w:divBdr>
        <w:top w:val="none" w:sz="0" w:space="0" w:color="auto"/>
        <w:left w:val="none" w:sz="0" w:space="0" w:color="auto"/>
        <w:bottom w:val="none" w:sz="0" w:space="0" w:color="auto"/>
        <w:right w:val="none" w:sz="0" w:space="0" w:color="auto"/>
      </w:divBdr>
    </w:div>
    <w:div w:id="639773475">
      <w:bodyDiv w:val="1"/>
      <w:marLeft w:val="0"/>
      <w:marRight w:val="0"/>
      <w:marTop w:val="0"/>
      <w:marBottom w:val="0"/>
      <w:divBdr>
        <w:top w:val="none" w:sz="0" w:space="0" w:color="auto"/>
        <w:left w:val="none" w:sz="0" w:space="0" w:color="auto"/>
        <w:bottom w:val="none" w:sz="0" w:space="0" w:color="auto"/>
        <w:right w:val="none" w:sz="0" w:space="0" w:color="auto"/>
      </w:divBdr>
    </w:div>
    <w:div w:id="641232203">
      <w:bodyDiv w:val="1"/>
      <w:marLeft w:val="0"/>
      <w:marRight w:val="0"/>
      <w:marTop w:val="0"/>
      <w:marBottom w:val="0"/>
      <w:divBdr>
        <w:top w:val="none" w:sz="0" w:space="0" w:color="auto"/>
        <w:left w:val="none" w:sz="0" w:space="0" w:color="auto"/>
        <w:bottom w:val="none" w:sz="0" w:space="0" w:color="auto"/>
        <w:right w:val="none" w:sz="0" w:space="0" w:color="auto"/>
      </w:divBdr>
    </w:div>
    <w:div w:id="643000777">
      <w:bodyDiv w:val="1"/>
      <w:marLeft w:val="0"/>
      <w:marRight w:val="0"/>
      <w:marTop w:val="0"/>
      <w:marBottom w:val="0"/>
      <w:divBdr>
        <w:top w:val="none" w:sz="0" w:space="0" w:color="auto"/>
        <w:left w:val="none" w:sz="0" w:space="0" w:color="auto"/>
        <w:bottom w:val="none" w:sz="0" w:space="0" w:color="auto"/>
        <w:right w:val="none" w:sz="0" w:space="0" w:color="auto"/>
      </w:divBdr>
    </w:div>
    <w:div w:id="648096335">
      <w:bodyDiv w:val="1"/>
      <w:marLeft w:val="0"/>
      <w:marRight w:val="0"/>
      <w:marTop w:val="0"/>
      <w:marBottom w:val="0"/>
      <w:divBdr>
        <w:top w:val="none" w:sz="0" w:space="0" w:color="auto"/>
        <w:left w:val="none" w:sz="0" w:space="0" w:color="auto"/>
        <w:bottom w:val="none" w:sz="0" w:space="0" w:color="auto"/>
        <w:right w:val="none" w:sz="0" w:space="0" w:color="auto"/>
      </w:divBdr>
    </w:div>
    <w:div w:id="648480653">
      <w:bodyDiv w:val="1"/>
      <w:marLeft w:val="0"/>
      <w:marRight w:val="0"/>
      <w:marTop w:val="0"/>
      <w:marBottom w:val="0"/>
      <w:divBdr>
        <w:top w:val="none" w:sz="0" w:space="0" w:color="auto"/>
        <w:left w:val="none" w:sz="0" w:space="0" w:color="auto"/>
        <w:bottom w:val="none" w:sz="0" w:space="0" w:color="auto"/>
        <w:right w:val="none" w:sz="0" w:space="0" w:color="auto"/>
      </w:divBdr>
    </w:div>
    <w:div w:id="649989732">
      <w:bodyDiv w:val="1"/>
      <w:marLeft w:val="0"/>
      <w:marRight w:val="0"/>
      <w:marTop w:val="0"/>
      <w:marBottom w:val="0"/>
      <w:divBdr>
        <w:top w:val="none" w:sz="0" w:space="0" w:color="auto"/>
        <w:left w:val="none" w:sz="0" w:space="0" w:color="auto"/>
        <w:bottom w:val="none" w:sz="0" w:space="0" w:color="auto"/>
        <w:right w:val="none" w:sz="0" w:space="0" w:color="auto"/>
      </w:divBdr>
    </w:div>
    <w:div w:id="650326488">
      <w:bodyDiv w:val="1"/>
      <w:marLeft w:val="0"/>
      <w:marRight w:val="0"/>
      <w:marTop w:val="0"/>
      <w:marBottom w:val="0"/>
      <w:divBdr>
        <w:top w:val="none" w:sz="0" w:space="0" w:color="auto"/>
        <w:left w:val="none" w:sz="0" w:space="0" w:color="auto"/>
        <w:bottom w:val="none" w:sz="0" w:space="0" w:color="auto"/>
        <w:right w:val="none" w:sz="0" w:space="0" w:color="auto"/>
      </w:divBdr>
    </w:div>
    <w:div w:id="651062602">
      <w:bodyDiv w:val="1"/>
      <w:marLeft w:val="0"/>
      <w:marRight w:val="0"/>
      <w:marTop w:val="0"/>
      <w:marBottom w:val="0"/>
      <w:divBdr>
        <w:top w:val="none" w:sz="0" w:space="0" w:color="auto"/>
        <w:left w:val="none" w:sz="0" w:space="0" w:color="auto"/>
        <w:bottom w:val="none" w:sz="0" w:space="0" w:color="auto"/>
        <w:right w:val="none" w:sz="0" w:space="0" w:color="auto"/>
      </w:divBdr>
    </w:div>
    <w:div w:id="654189710">
      <w:bodyDiv w:val="1"/>
      <w:marLeft w:val="0"/>
      <w:marRight w:val="0"/>
      <w:marTop w:val="0"/>
      <w:marBottom w:val="0"/>
      <w:divBdr>
        <w:top w:val="none" w:sz="0" w:space="0" w:color="auto"/>
        <w:left w:val="none" w:sz="0" w:space="0" w:color="auto"/>
        <w:bottom w:val="none" w:sz="0" w:space="0" w:color="auto"/>
        <w:right w:val="none" w:sz="0" w:space="0" w:color="auto"/>
      </w:divBdr>
    </w:div>
    <w:div w:id="655383047">
      <w:bodyDiv w:val="1"/>
      <w:marLeft w:val="0"/>
      <w:marRight w:val="0"/>
      <w:marTop w:val="0"/>
      <w:marBottom w:val="0"/>
      <w:divBdr>
        <w:top w:val="none" w:sz="0" w:space="0" w:color="auto"/>
        <w:left w:val="none" w:sz="0" w:space="0" w:color="auto"/>
        <w:bottom w:val="none" w:sz="0" w:space="0" w:color="auto"/>
        <w:right w:val="none" w:sz="0" w:space="0" w:color="auto"/>
      </w:divBdr>
    </w:div>
    <w:div w:id="656108959">
      <w:bodyDiv w:val="1"/>
      <w:marLeft w:val="0"/>
      <w:marRight w:val="0"/>
      <w:marTop w:val="0"/>
      <w:marBottom w:val="0"/>
      <w:divBdr>
        <w:top w:val="none" w:sz="0" w:space="0" w:color="auto"/>
        <w:left w:val="none" w:sz="0" w:space="0" w:color="auto"/>
        <w:bottom w:val="none" w:sz="0" w:space="0" w:color="auto"/>
        <w:right w:val="none" w:sz="0" w:space="0" w:color="auto"/>
      </w:divBdr>
    </w:div>
    <w:div w:id="656418583">
      <w:bodyDiv w:val="1"/>
      <w:marLeft w:val="0"/>
      <w:marRight w:val="0"/>
      <w:marTop w:val="0"/>
      <w:marBottom w:val="0"/>
      <w:divBdr>
        <w:top w:val="none" w:sz="0" w:space="0" w:color="auto"/>
        <w:left w:val="none" w:sz="0" w:space="0" w:color="auto"/>
        <w:bottom w:val="none" w:sz="0" w:space="0" w:color="auto"/>
        <w:right w:val="none" w:sz="0" w:space="0" w:color="auto"/>
      </w:divBdr>
    </w:div>
    <w:div w:id="659234941">
      <w:bodyDiv w:val="1"/>
      <w:marLeft w:val="0"/>
      <w:marRight w:val="0"/>
      <w:marTop w:val="0"/>
      <w:marBottom w:val="0"/>
      <w:divBdr>
        <w:top w:val="none" w:sz="0" w:space="0" w:color="auto"/>
        <w:left w:val="none" w:sz="0" w:space="0" w:color="auto"/>
        <w:bottom w:val="none" w:sz="0" w:space="0" w:color="auto"/>
        <w:right w:val="none" w:sz="0" w:space="0" w:color="auto"/>
      </w:divBdr>
    </w:div>
    <w:div w:id="659425050">
      <w:bodyDiv w:val="1"/>
      <w:marLeft w:val="0"/>
      <w:marRight w:val="0"/>
      <w:marTop w:val="0"/>
      <w:marBottom w:val="0"/>
      <w:divBdr>
        <w:top w:val="none" w:sz="0" w:space="0" w:color="auto"/>
        <w:left w:val="none" w:sz="0" w:space="0" w:color="auto"/>
        <w:bottom w:val="none" w:sz="0" w:space="0" w:color="auto"/>
        <w:right w:val="none" w:sz="0" w:space="0" w:color="auto"/>
      </w:divBdr>
    </w:div>
    <w:div w:id="660888118">
      <w:bodyDiv w:val="1"/>
      <w:marLeft w:val="0"/>
      <w:marRight w:val="0"/>
      <w:marTop w:val="0"/>
      <w:marBottom w:val="0"/>
      <w:divBdr>
        <w:top w:val="none" w:sz="0" w:space="0" w:color="auto"/>
        <w:left w:val="none" w:sz="0" w:space="0" w:color="auto"/>
        <w:bottom w:val="none" w:sz="0" w:space="0" w:color="auto"/>
        <w:right w:val="none" w:sz="0" w:space="0" w:color="auto"/>
      </w:divBdr>
    </w:div>
    <w:div w:id="661350555">
      <w:bodyDiv w:val="1"/>
      <w:marLeft w:val="0"/>
      <w:marRight w:val="0"/>
      <w:marTop w:val="0"/>
      <w:marBottom w:val="0"/>
      <w:divBdr>
        <w:top w:val="none" w:sz="0" w:space="0" w:color="auto"/>
        <w:left w:val="none" w:sz="0" w:space="0" w:color="auto"/>
        <w:bottom w:val="none" w:sz="0" w:space="0" w:color="auto"/>
        <w:right w:val="none" w:sz="0" w:space="0" w:color="auto"/>
      </w:divBdr>
    </w:div>
    <w:div w:id="662470385">
      <w:bodyDiv w:val="1"/>
      <w:marLeft w:val="0"/>
      <w:marRight w:val="0"/>
      <w:marTop w:val="0"/>
      <w:marBottom w:val="0"/>
      <w:divBdr>
        <w:top w:val="none" w:sz="0" w:space="0" w:color="auto"/>
        <w:left w:val="none" w:sz="0" w:space="0" w:color="auto"/>
        <w:bottom w:val="none" w:sz="0" w:space="0" w:color="auto"/>
        <w:right w:val="none" w:sz="0" w:space="0" w:color="auto"/>
      </w:divBdr>
    </w:div>
    <w:div w:id="666716501">
      <w:bodyDiv w:val="1"/>
      <w:marLeft w:val="0"/>
      <w:marRight w:val="0"/>
      <w:marTop w:val="0"/>
      <w:marBottom w:val="0"/>
      <w:divBdr>
        <w:top w:val="none" w:sz="0" w:space="0" w:color="auto"/>
        <w:left w:val="none" w:sz="0" w:space="0" w:color="auto"/>
        <w:bottom w:val="none" w:sz="0" w:space="0" w:color="auto"/>
        <w:right w:val="none" w:sz="0" w:space="0" w:color="auto"/>
      </w:divBdr>
    </w:div>
    <w:div w:id="670138015">
      <w:bodyDiv w:val="1"/>
      <w:marLeft w:val="0"/>
      <w:marRight w:val="0"/>
      <w:marTop w:val="0"/>
      <w:marBottom w:val="0"/>
      <w:divBdr>
        <w:top w:val="none" w:sz="0" w:space="0" w:color="auto"/>
        <w:left w:val="none" w:sz="0" w:space="0" w:color="auto"/>
        <w:bottom w:val="none" w:sz="0" w:space="0" w:color="auto"/>
        <w:right w:val="none" w:sz="0" w:space="0" w:color="auto"/>
      </w:divBdr>
    </w:div>
    <w:div w:id="670910318">
      <w:bodyDiv w:val="1"/>
      <w:marLeft w:val="0"/>
      <w:marRight w:val="0"/>
      <w:marTop w:val="0"/>
      <w:marBottom w:val="0"/>
      <w:divBdr>
        <w:top w:val="none" w:sz="0" w:space="0" w:color="auto"/>
        <w:left w:val="none" w:sz="0" w:space="0" w:color="auto"/>
        <w:bottom w:val="none" w:sz="0" w:space="0" w:color="auto"/>
        <w:right w:val="none" w:sz="0" w:space="0" w:color="auto"/>
      </w:divBdr>
    </w:div>
    <w:div w:id="671035082">
      <w:bodyDiv w:val="1"/>
      <w:marLeft w:val="0"/>
      <w:marRight w:val="0"/>
      <w:marTop w:val="0"/>
      <w:marBottom w:val="0"/>
      <w:divBdr>
        <w:top w:val="none" w:sz="0" w:space="0" w:color="auto"/>
        <w:left w:val="none" w:sz="0" w:space="0" w:color="auto"/>
        <w:bottom w:val="none" w:sz="0" w:space="0" w:color="auto"/>
        <w:right w:val="none" w:sz="0" w:space="0" w:color="auto"/>
      </w:divBdr>
    </w:div>
    <w:div w:id="674066116">
      <w:bodyDiv w:val="1"/>
      <w:marLeft w:val="0"/>
      <w:marRight w:val="0"/>
      <w:marTop w:val="0"/>
      <w:marBottom w:val="0"/>
      <w:divBdr>
        <w:top w:val="none" w:sz="0" w:space="0" w:color="auto"/>
        <w:left w:val="none" w:sz="0" w:space="0" w:color="auto"/>
        <w:bottom w:val="none" w:sz="0" w:space="0" w:color="auto"/>
        <w:right w:val="none" w:sz="0" w:space="0" w:color="auto"/>
      </w:divBdr>
    </w:div>
    <w:div w:id="676663707">
      <w:bodyDiv w:val="1"/>
      <w:marLeft w:val="0"/>
      <w:marRight w:val="0"/>
      <w:marTop w:val="0"/>
      <w:marBottom w:val="0"/>
      <w:divBdr>
        <w:top w:val="none" w:sz="0" w:space="0" w:color="auto"/>
        <w:left w:val="none" w:sz="0" w:space="0" w:color="auto"/>
        <w:bottom w:val="none" w:sz="0" w:space="0" w:color="auto"/>
        <w:right w:val="none" w:sz="0" w:space="0" w:color="auto"/>
      </w:divBdr>
    </w:div>
    <w:div w:id="677386340">
      <w:bodyDiv w:val="1"/>
      <w:marLeft w:val="0"/>
      <w:marRight w:val="0"/>
      <w:marTop w:val="0"/>
      <w:marBottom w:val="0"/>
      <w:divBdr>
        <w:top w:val="none" w:sz="0" w:space="0" w:color="auto"/>
        <w:left w:val="none" w:sz="0" w:space="0" w:color="auto"/>
        <w:bottom w:val="none" w:sz="0" w:space="0" w:color="auto"/>
        <w:right w:val="none" w:sz="0" w:space="0" w:color="auto"/>
      </w:divBdr>
    </w:div>
    <w:div w:id="680398230">
      <w:bodyDiv w:val="1"/>
      <w:marLeft w:val="0"/>
      <w:marRight w:val="0"/>
      <w:marTop w:val="0"/>
      <w:marBottom w:val="0"/>
      <w:divBdr>
        <w:top w:val="none" w:sz="0" w:space="0" w:color="auto"/>
        <w:left w:val="none" w:sz="0" w:space="0" w:color="auto"/>
        <w:bottom w:val="none" w:sz="0" w:space="0" w:color="auto"/>
        <w:right w:val="none" w:sz="0" w:space="0" w:color="auto"/>
      </w:divBdr>
    </w:div>
    <w:div w:id="681050448">
      <w:bodyDiv w:val="1"/>
      <w:marLeft w:val="0"/>
      <w:marRight w:val="0"/>
      <w:marTop w:val="0"/>
      <w:marBottom w:val="0"/>
      <w:divBdr>
        <w:top w:val="none" w:sz="0" w:space="0" w:color="auto"/>
        <w:left w:val="none" w:sz="0" w:space="0" w:color="auto"/>
        <w:bottom w:val="none" w:sz="0" w:space="0" w:color="auto"/>
        <w:right w:val="none" w:sz="0" w:space="0" w:color="auto"/>
      </w:divBdr>
    </w:div>
    <w:div w:id="681977224">
      <w:bodyDiv w:val="1"/>
      <w:marLeft w:val="0"/>
      <w:marRight w:val="0"/>
      <w:marTop w:val="0"/>
      <w:marBottom w:val="0"/>
      <w:divBdr>
        <w:top w:val="none" w:sz="0" w:space="0" w:color="auto"/>
        <w:left w:val="none" w:sz="0" w:space="0" w:color="auto"/>
        <w:bottom w:val="none" w:sz="0" w:space="0" w:color="auto"/>
        <w:right w:val="none" w:sz="0" w:space="0" w:color="auto"/>
      </w:divBdr>
    </w:div>
    <w:div w:id="686098524">
      <w:bodyDiv w:val="1"/>
      <w:marLeft w:val="0"/>
      <w:marRight w:val="0"/>
      <w:marTop w:val="0"/>
      <w:marBottom w:val="0"/>
      <w:divBdr>
        <w:top w:val="none" w:sz="0" w:space="0" w:color="auto"/>
        <w:left w:val="none" w:sz="0" w:space="0" w:color="auto"/>
        <w:bottom w:val="none" w:sz="0" w:space="0" w:color="auto"/>
        <w:right w:val="none" w:sz="0" w:space="0" w:color="auto"/>
      </w:divBdr>
    </w:div>
    <w:div w:id="686949408">
      <w:bodyDiv w:val="1"/>
      <w:marLeft w:val="0"/>
      <w:marRight w:val="0"/>
      <w:marTop w:val="0"/>
      <w:marBottom w:val="0"/>
      <w:divBdr>
        <w:top w:val="none" w:sz="0" w:space="0" w:color="auto"/>
        <w:left w:val="none" w:sz="0" w:space="0" w:color="auto"/>
        <w:bottom w:val="none" w:sz="0" w:space="0" w:color="auto"/>
        <w:right w:val="none" w:sz="0" w:space="0" w:color="auto"/>
      </w:divBdr>
    </w:div>
    <w:div w:id="687752802">
      <w:bodyDiv w:val="1"/>
      <w:marLeft w:val="0"/>
      <w:marRight w:val="0"/>
      <w:marTop w:val="0"/>
      <w:marBottom w:val="0"/>
      <w:divBdr>
        <w:top w:val="none" w:sz="0" w:space="0" w:color="auto"/>
        <w:left w:val="none" w:sz="0" w:space="0" w:color="auto"/>
        <w:bottom w:val="none" w:sz="0" w:space="0" w:color="auto"/>
        <w:right w:val="none" w:sz="0" w:space="0" w:color="auto"/>
      </w:divBdr>
    </w:div>
    <w:div w:id="687754400">
      <w:bodyDiv w:val="1"/>
      <w:marLeft w:val="0"/>
      <w:marRight w:val="0"/>
      <w:marTop w:val="0"/>
      <w:marBottom w:val="0"/>
      <w:divBdr>
        <w:top w:val="none" w:sz="0" w:space="0" w:color="auto"/>
        <w:left w:val="none" w:sz="0" w:space="0" w:color="auto"/>
        <w:bottom w:val="none" w:sz="0" w:space="0" w:color="auto"/>
        <w:right w:val="none" w:sz="0" w:space="0" w:color="auto"/>
      </w:divBdr>
    </w:div>
    <w:div w:id="689333095">
      <w:bodyDiv w:val="1"/>
      <w:marLeft w:val="0"/>
      <w:marRight w:val="0"/>
      <w:marTop w:val="0"/>
      <w:marBottom w:val="0"/>
      <w:divBdr>
        <w:top w:val="none" w:sz="0" w:space="0" w:color="auto"/>
        <w:left w:val="none" w:sz="0" w:space="0" w:color="auto"/>
        <w:bottom w:val="none" w:sz="0" w:space="0" w:color="auto"/>
        <w:right w:val="none" w:sz="0" w:space="0" w:color="auto"/>
      </w:divBdr>
    </w:div>
    <w:div w:id="690303305">
      <w:bodyDiv w:val="1"/>
      <w:marLeft w:val="0"/>
      <w:marRight w:val="0"/>
      <w:marTop w:val="0"/>
      <w:marBottom w:val="0"/>
      <w:divBdr>
        <w:top w:val="none" w:sz="0" w:space="0" w:color="auto"/>
        <w:left w:val="none" w:sz="0" w:space="0" w:color="auto"/>
        <w:bottom w:val="none" w:sz="0" w:space="0" w:color="auto"/>
        <w:right w:val="none" w:sz="0" w:space="0" w:color="auto"/>
      </w:divBdr>
    </w:div>
    <w:div w:id="690838684">
      <w:bodyDiv w:val="1"/>
      <w:marLeft w:val="0"/>
      <w:marRight w:val="0"/>
      <w:marTop w:val="0"/>
      <w:marBottom w:val="0"/>
      <w:divBdr>
        <w:top w:val="none" w:sz="0" w:space="0" w:color="auto"/>
        <w:left w:val="none" w:sz="0" w:space="0" w:color="auto"/>
        <w:bottom w:val="none" w:sz="0" w:space="0" w:color="auto"/>
        <w:right w:val="none" w:sz="0" w:space="0" w:color="auto"/>
      </w:divBdr>
    </w:div>
    <w:div w:id="691296862">
      <w:bodyDiv w:val="1"/>
      <w:marLeft w:val="0"/>
      <w:marRight w:val="0"/>
      <w:marTop w:val="0"/>
      <w:marBottom w:val="0"/>
      <w:divBdr>
        <w:top w:val="none" w:sz="0" w:space="0" w:color="auto"/>
        <w:left w:val="none" w:sz="0" w:space="0" w:color="auto"/>
        <w:bottom w:val="none" w:sz="0" w:space="0" w:color="auto"/>
        <w:right w:val="none" w:sz="0" w:space="0" w:color="auto"/>
      </w:divBdr>
    </w:div>
    <w:div w:id="691876407">
      <w:bodyDiv w:val="1"/>
      <w:marLeft w:val="0"/>
      <w:marRight w:val="0"/>
      <w:marTop w:val="0"/>
      <w:marBottom w:val="0"/>
      <w:divBdr>
        <w:top w:val="none" w:sz="0" w:space="0" w:color="auto"/>
        <w:left w:val="none" w:sz="0" w:space="0" w:color="auto"/>
        <w:bottom w:val="none" w:sz="0" w:space="0" w:color="auto"/>
        <w:right w:val="none" w:sz="0" w:space="0" w:color="auto"/>
      </w:divBdr>
    </w:div>
    <w:div w:id="692848500">
      <w:bodyDiv w:val="1"/>
      <w:marLeft w:val="0"/>
      <w:marRight w:val="0"/>
      <w:marTop w:val="0"/>
      <w:marBottom w:val="0"/>
      <w:divBdr>
        <w:top w:val="none" w:sz="0" w:space="0" w:color="auto"/>
        <w:left w:val="none" w:sz="0" w:space="0" w:color="auto"/>
        <w:bottom w:val="none" w:sz="0" w:space="0" w:color="auto"/>
        <w:right w:val="none" w:sz="0" w:space="0" w:color="auto"/>
      </w:divBdr>
    </w:div>
    <w:div w:id="693575335">
      <w:bodyDiv w:val="1"/>
      <w:marLeft w:val="0"/>
      <w:marRight w:val="0"/>
      <w:marTop w:val="0"/>
      <w:marBottom w:val="0"/>
      <w:divBdr>
        <w:top w:val="none" w:sz="0" w:space="0" w:color="auto"/>
        <w:left w:val="none" w:sz="0" w:space="0" w:color="auto"/>
        <w:bottom w:val="none" w:sz="0" w:space="0" w:color="auto"/>
        <w:right w:val="none" w:sz="0" w:space="0" w:color="auto"/>
      </w:divBdr>
    </w:div>
    <w:div w:id="694111607">
      <w:bodyDiv w:val="1"/>
      <w:marLeft w:val="0"/>
      <w:marRight w:val="0"/>
      <w:marTop w:val="0"/>
      <w:marBottom w:val="0"/>
      <w:divBdr>
        <w:top w:val="none" w:sz="0" w:space="0" w:color="auto"/>
        <w:left w:val="none" w:sz="0" w:space="0" w:color="auto"/>
        <w:bottom w:val="none" w:sz="0" w:space="0" w:color="auto"/>
        <w:right w:val="none" w:sz="0" w:space="0" w:color="auto"/>
      </w:divBdr>
    </w:div>
    <w:div w:id="695350444">
      <w:bodyDiv w:val="1"/>
      <w:marLeft w:val="0"/>
      <w:marRight w:val="0"/>
      <w:marTop w:val="0"/>
      <w:marBottom w:val="0"/>
      <w:divBdr>
        <w:top w:val="none" w:sz="0" w:space="0" w:color="auto"/>
        <w:left w:val="none" w:sz="0" w:space="0" w:color="auto"/>
        <w:bottom w:val="none" w:sz="0" w:space="0" w:color="auto"/>
        <w:right w:val="none" w:sz="0" w:space="0" w:color="auto"/>
      </w:divBdr>
    </w:div>
    <w:div w:id="695350823">
      <w:bodyDiv w:val="1"/>
      <w:marLeft w:val="0"/>
      <w:marRight w:val="0"/>
      <w:marTop w:val="0"/>
      <w:marBottom w:val="0"/>
      <w:divBdr>
        <w:top w:val="none" w:sz="0" w:space="0" w:color="auto"/>
        <w:left w:val="none" w:sz="0" w:space="0" w:color="auto"/>
        <w:bottom w:val="none" w:sz="0" w:space="0" w:color="auto"/>
        <w:right w:val="none" w:sz="0" w:space="0" w:color="auto"/>
      </w:divBdr>
    </w:div>
    <w:div w:id="698746618">
      <w:bodyDiv w:val="1"/>
      <w:marLeft w:val="0"/>
      <w:marRight w:val="0"/>
      <w:marTop w:val="0"/>
      <w:marBottom w:val="0"/>
      <w:divBdr>
        <w:top w:val="none" w:sz="0" w:space="0" w:color="auto"/>
        <w:left w:val="none" w:sz="0" w:space="0" w:color="auto"/>
        <w:bottom w:val="none" w:sz="0" w:space="0" w:color="auto"/>
        <w:right w:val="none" w:sz="0" w:space="0" w:color="auto"/>
      </w:divBdr>
    </w:div>
    <w:div w:id="699211711">
      <w:bodyDiv w:val="1"/>
      <w:marLeft w:val="0"/>
      <w:marRight w:val="0"/>
      <w:marTop w:val="0"/>
      <w:marBottom w:val="0"/>
      <w:divBdr>
        <w:top w:val="none" w:sz="0" w:space="0" w:color="auto"/>
        <w:left w:val="none" w:sz="0" w:space="0" w:color="auto"/>
        <w:bottom w:val="none" w:sz="0" w:space="0" w:color="auto"/>
        <w:right w:val="none" w:sz="0" w:space="0" w:color="auto"/>
      </w:divBdr>
    </w:div>
    <w:div w:id="700324825">
      <w:bodyDiv w:val="1"/>
      <w:marLeft w:val="0"/>
      <w:marRight w:val="0"/>
      <w:marTop w:val="0"/>
      <w:marBottom w:val="0"/>
      <w:divBdr>
        <w:top w:val="none" w:sz="0" w:space="0" w:color="auto"/>
        <w:left w:val="none" w:sz="0" w:space="0" w:color="auto"/>
        <w:bottom w:val="none" w:sz="0" w:space="0" w:color="auto"/>
        <w:right w:val="none" w:sz="0" w:space="0" w:color="auto"/>
      </w:divBdr>
    </w:div>
    <w:div w:id="700591775">
      <w:bodyDiv w:val="1"/>
      <w:marLeft w:val="0"/>
      <w:marRight w:val="0"/>
      <w:marTop w:val="0"/>
      <w:marBottom w:val="0"/>
      <w:divBdr>
        <w:top w:val="none" w:sz="0" w:space="0" w:color="auto"/>
        <w:left w:val="none" w:sz="0" w:space="0" w:color="auto"/>
        <w:bottom w:val="none" w:sz="0" w:space="0" w:color="auto"/>
        <w:right w:val="none" w:sz="0" w:space="0" w:color="auto"/>
      </w:divBdr>
    </w:div>
    <w:div w:id="702709300">
      <w:bodyDiv w:val="1"/>
      <w:marLeft w:val="0"/>
      <w:marRight w:val="0"/>
      <w:marTop w:val="0"/>
      <w:marBottom w:val="0"/>
      <w:divBdr>
        <w:top w:val="none" w:sz="0" w:space="0" w:color="auto"/>
        <w:left w:val="none" w:sz="0" w:space="0" w:color="auto"/>
        <w:bottom w:val="none" w:sz="0" w:space="0" w:color="auto"/>
        <w:right w:val="none" w:sz="0" w:space="0" w:color="auto"/>
      </w:divBdr>
    </w:div>
    <w:div w:id="704449227">
      <w:bodyDiv w:val="1"/>
      <w:marLeft w:val="0"/>
      <w:marRight w:val="0"/>
      <w:marTop w:val="0"/>
      <w:marBottom w:val="0"/>
      <w:divBdr>
        <w:top w:val="none" w:sz="0" w:space="0" w:color="auto"/>
        <w:left w:val="none" w:sz="0" w:space="0" w:color="auto"/>
        <w:bottom w:val="none" w:sz="0" w:space="0" w:color="auto"/>
        <w:right w:val="none" w:sz="0" w:space="0" w:color="auto"/>
      </w:divBdr>
    </w:div>
    <w:div w:id="706682959">
      <w:bodyDiv w:val="1"/>
      <w:marLeft w:val="0"/>
      <w:marRight w:val="0"/>
      <w:marTop w:val="0"/>
      <w:marBottom w:val="0"/>
      <w:divBdr>
        <w:top w:val="none" w:sz="0" w:space="0" w:color="auto"/>
        <w:left w:val="none" w:sz="0" w:space="0" w:color="auto"/>
        <w:bottom w:val="none" w:sz="0" w:space="0" w:color="auto"/>
        <w:right w:val="none" w:sz="0" w:space="0" w:color="auto"/>
      </w:divBdr>
    </w:div>
    <w:div w:id="709036015">
      <w:bodyDiv w:val="1"/>
      <w:marLeft w:val="0"/>
      <w:marRight w:val="0"/>
      <w:marTop w:val="0"/>
      <w:marBottom w:val="0"/>
      <w:divBdr>
        <w:top w:val="none" w:sz="0" w:space="0" w:color="auto"/>
        <w:left w:val="none" w:sz="0" w:space="0" w:color="auto"/>
        <w:bottom w:val="none" w:sz="0" w:space="0" w:color="auto"/>
        <w:right w:val="none" w:sz="0" w:space="0" w:color="auto"/>
      </w:divBdr>
    </w:div>
    <w:div w:id="710348900">
      <w:bodyDiv w:val="1"/>
      <w:marLeft w:val="0"/>
      <w:marRight w:val="0"/>
      <w:marTop w:val="0"/>
      <w:marBottom w:val="0"/>
      <w:divBdr>
        <w:top w:val="none" w:sz="0" w:space="0" w:color="auto"/>
        <w:left w:val="none" w:sz="0" w:space="0" w:color="auto"/>
        <w:bottom w:val="none" w:sz="0" w:space="0" w:color="auto"/>
        <w:right w:val="none" w:sz="0" w:space="0" w:color="auto"/>
      </w:divBdr>
    </w:div>
    <w:div w:id="710349970">
      <w:bodyDiv w:val="1"/>
      <w:marLeft w:val="0"/>
      <w:marRight w:val="0"/>
      <w:marTop w:val="0"/>
      <w:marBottom w:val="0"/>
      <w:divBdr>
        <w:top w:val="none" w:sz="0" w:space="0" w:color="auto"/>
        <w:left w:val="none" w:sz="0" w:space="0" w:color="auto"/>
        <w:bottom w:val="none" w:sz="0" w:space="0" w:color="auto"/>
        <w:right w:val="none" w:sz="0" w:space="0" w:color="auto"/>
      </w:divBdr>
    </w:div>
    <w:div w:id="710374894">
      <w:bodyDiv w:val="1"/>
      <w:marLeft w:val="0"/>
      <w:marRight w:val="0"/>
      <w:marTop w:val="0"/>
      <w:marBottom w:val="0"/>
      <w:divBdr>
        <w:top w:val="none" w:sz="0" w:space="0" w:color="auto"/>
        <w:left w:val="none" w:sz="0" w:space="0" w:color="auto"/>
        <w:bottom w:val="none" w:sz="0" w:space="0" w:color="auto"/>
        <w:right w:val="none" w:sz="0" w:space="0" w:color="auto"/>
      </w:divBdr>
    </w:div>
    <w:div w:id="714933118">
      <w:bodyDiv w:val="1"/>
      <w:marLeft w:val="0"/>
      <w:marRight w:val="0"/>
      <w:marTop w:val="0"/>
      <w:marBottom w:val="0"/>
      <w:divBdr>
        <w:top w:val="none" w:sz="0" w:space="0" w:color="auto"/>
        <w:left w:val="none" w:sz="0" w:space="0" w:color="auto"/>
        <w:bottom w:val="none" w:sz="0" w:space="0" w:color="auto"/>
        <w:right w:val="none" w:sz="0" w:space="0" w:color="auto"/>
      </w:divBdr>
    </w:div>
    <w:div w:id="717633630">
      <w:bodyDiv w:val="1"/>
      <w:marLeft w:val="0"/>
      <w:marRight w:val="0"/>
      <w:marTop w:val="0"/>
      <w:marBottom w:val="0"/>
      <w:divBdr>
        <w:top w:val="none" w:sz="0" w:space="0" w:color="auto"/>
        <w:left w:val="none" w:sz="0" w:space="0" w:color="auto"/>
        <w:bottom w:val="none" w:sz="0" w:space="0" w:color="auto"/>
        <w:right w:val="none" w:sz="0" w:space="0" w:color="auto"/>
      </w:divBdr>
    </w:div>
    <w:div w:id="720321446">
      <w:bodyDiv w:val="1"/>
      <w:marLeft w:val="0"/>
      <w:marRight w:val="0"/>
      <w:marTop w:val="0"/>
      <w:marBottom w:val="0"/>
      <w:divBdr>
        <w:top w:val="none" w:sz="0" w:space="0" w:color="auto"/>
        <w:left w:val="none" w:sz="0" w:space="0" w:color="auto"/>
        <w:bottom w:val="none" w:sz="0" w:space="0" w:color="auto"/>
        <w:right w:val="none" w:sz="0" w:space="0" w:color="auto"/>
      </w:divBdr>
    </w:div>
    <w:div w:id="720786163">
      <w:bodyDiv w:val="1"/>
      <w:marLeft w:val="0"/>
      <w:marRight w:val="0"/>
      <w:marTop w:val="0"/>
      <w:marBottom w:val="0"/>
      <w:divBdr>
        <w:top w:val="none" w:sz="0" w:space="0" w:color="auto"/>
        <w:left w:val="none" w:sz="0" w:space="0" w:color="auto"/>
        <w:bottom w:val="none" w:sz="0" w:space="0" w:color="auto"/>
        <w:right w:val="none" w:sz="0" w:space="0" w:color="auto"/>
      </w:divBdr>
    </w:div>
    <w:div w:id="722750322">
      <w:bodyDiv w:val="1"/>
      <w:marLeft w:val="0"/>
      <w:marRight w:val="0"/>
      <w:marTop w:val="0"/>
      <w:marBottom w:val="0"/>
      <w:divBdr>
        <w:top w:val="none" w:sz="0" w:space="0" w:color="auto"/>
        <w:left w:val="none" w:sz="0" w:space="0" w:color="auto"/>
        <w:bottom w:val="none" w:sz="0" w:space="0" w:color="auto"/>
        <w:right w:val="none" w:sz="0" w:space="0" w:color="auto"/>
      </w:divBdr>
    </w:div>
    <w:div w:id="723405473">
      <w:bodyDiv w:val="1"/>
      <w:marLeft w:val="0"/>
      <w:marRight w:val="0"/>
      <w:marTop w:val="0"/>
      <w:marBottom w:val="0"/>
      <w:divBdr>
        <w:top w:val="none" w:sz="0" w:space="0" w:color="auto"/>
        <w:left w:val="none" w:sz="0" w:space="0" w:color="auto"/>
        <w:bottom w:val="none" w:sz="0" w:space="0" w:color="auto"/>
        <w:right w:val="none" w:sz="0" w:space="0" w:color="auto"/>
      </w:divBdr>
    </w:div>
    <w:div w:id="724570916">
      <w:bodyDiv w:val="1"/>
      <w:marLeft w:val="0"/>
      <w:marRight w:val="0"/>
      <w:marTop w:val="0"/>
      <w:marBottom w:val="0"/>
      <w:divBdr>
        <w:top w:val="none" w:sz="0" w:space="0" w:color="auto"/>
        <w:left w:val="none" w:sz="0" w:space="0" w:color="auto"/>
        <w:bottom w:val="none" w:sz="0" w:space="0" w:color="auto"/>
        <w:right w:val="none" w:sz="0" w:space="0" w:color="auto"/>
      </w:divBdr>
    </w:div>
    <w:div w:id="724987823">
      <w:bodyDiv w:val="1"/>
      <w:marLeft w:val="0"/>
      <w:marRight w:val="0"/>
      <w:marTop w:val="0"/>
      <w:marBottom w:val="0"/>
      <w:divBdr>
        <w:top w:val="none" w:sz="0" w:space="0" w:color="auto"/>
        <w:left w:val="none" w:sz="0" w:space="0" w:color="auto"/>
        <w:bottom w:val="none" w:sz="0" w:space="0" w:color="auto"/>
        <w:right w:val="none" w:sz="0" w:space="0" w:color="auto"/>
      </w:divBdr>
    </w:div>
    <w:div w:id="725376523">
      <w:bodyDiv w:val="1"/>
      <w:marLeft w:val="0"/>
      <w:marRight w:val="0"/>
      <w:marTop w:val="0"/>
      <w:marBottom w:val="0"/>
      <w:divBdr>
        <w:top w:val="none" w:sz="0" w:space="0" w:color="auto"/>
        <w:left w:val="none" w:sz="0" w:space="0" w:color="auto"/>
        <w:bottom w:val="none" w:sz="0" w:space="0" w:color="auto"/>
        <w:right w:val="none" w:sz="0" w:space="0" w:color="auto"/>
      </w:divBdr>
    </w:div>
    <w:div w:id="726804271">
      <w:bodyDiv w:val="1"/>
      <w:marLeft w:val="0"/>
      <w:marRight w:val="0"/>
      <w:marTop w:val="0"/>
      <w:marBottom w:val="0"/>
      <w:divBdr>
        <w:top w:val="none" w:sz="0" w:space="0" w:color="auto"/>
        <w:left w:val="none" w:sz="0" w:space="0" w:color="auto"/>
        <w:bottom w:val="none" w:sz="0" w:space="0" w:color="auto"/>
        <w:right w:val="none" w:sz="0" w:space="0" w:color="auto"/>
      </w:divBdr>
    </w:div>
    <w:div w:id="727148353">
      <w:bodyDiv w:val="1"/>
      <w:marLeft w:val="0"/>
      <w:marRight w:val="0"/>
      <w:marTop w:val="0"/>
      <w:marBottom w:val="0"/>
      <w:divBdr>
        <w:top w:val="none" w:sz="0" w:space="0" w:color="auto"/>
        <w:left w:val="none" w:sz="0" w:space="0" w:color="auto"/>
        <w:bottom w:val="none" w:sz="0" w:space="0" w:color="auto"/>
        <w:right w:val="none" w:sz="0" w:space="0" w:color="auto"/>
      </w:divBdr>
    </w:div>
    <w:div w:id="728000225">
      <w:bodyDiv w:val="1"/>
      <w:marLeft w:val="0"/>
      <w:marRight w:val="0"/>
      <w:marTop w:val="0"/>
      <w:marBottom w:val="0"/>
      <w:divBdr>
        <w:top w:val="none" w:sz="0" w:space="0" w:color="auto"/>
        <w:left w:val="none" w:sz="0" w:space="0" w:color="auto"/>
        <w:bottom w:val="none" w:sz="0" w:space="0" w:color="auto"/>
        <w:right w:val="none" w:sz="0" w:space="0" w:color="auto"/>
      </w:divBdr>
    </w:div>
    <w:div w:id="729109205">
      <w:bodyDiv w:val="1"/>
      <w:marLeft w:val="0"/>
      <w:marRight w:val="0"/>
      <w:marTop w:val="0"/>
      <w:marBottom w:val="0"/>
      <w:divBdr>
        <w:top w:val="none" w:sz="0" w:space="0" w:color="auto"/>
        <w:left w:val="none" w:sz="0" w:space="0" w:color="auto"/>
        <w:bottom w:val="none" w:sz="0" w:space="0" w:color="auto"/>
        <w:right w:val="none" w:sz="0" w:space="0" w:color="auto"/>
      </w:divBdr>
    </w:div>
    <w:div w:id="729159860">
      <w:bodyDiv w:val="1"/>
      <w:marLeft w:val="0"/>
      <w:marRight w:val="0"/>
      <w:marTop w:val="0"/>
      <w:marBottom w:val="0"/>
      <w:divBdr>
        <w:top w:val="none" w:sz="0" w:space="0" w:color="auto"/>
        <w:left w:val="none" w:sz="0" w:space="0" w:color="auto"/>
        <w:bottom w:val="none" w:sz="0" w:space="0" w:color="auto"/>
        <w:right w:val="none" w:sz="0" w:space="0" w:color="auto"/>
      </w:divBdr>
    </w:div>
    <w:div w:id="733819142">
      <w:bodyDiv w:val="1"/>
      <w:marLeft w:val="0"/>
      <w:marRight w:val="0"/>
      <w:marTop w:val="0"/>
      <w:marBottom w:val="0"/>
      <w:divBdr>
        <w:top w:val="none" w:sz="0" w:space="0" w:color="auto"/>
        <w:left w:val="none" w:sz="0" w:space="0" w:color="auto"/>
        <w:bottom w:val="none" w:sz="0" w:space="0" w:color="auto"/>
        <w:right w:val="none" w:sz="0" w:space="0" w:color="auto"/>
      </w:divBdr>
    </w:div>
    <w:div w:id="734204821">
      <w:bodyDiv w:val="1"/>
      <w:marLeft w:val="0"/>
      <w:marRight w:val="0"/>
      <w:marTop w:val="0"/>
      <w:marBottom w:val="0"/>
      <w:divBdr>
        <w:top w:val="none" w:sz="0" w:space="0" w:color="auto"/>
        <w:left w:val="none" w:sz="0" w:space="0" w:color="auto"/>
        <w:bottom w:val="none" w:sz="0" w:space="0" w:color="auto"/>
        <w:right w:val="none" w:sz="0" w:space="0" w:color="auto"/>
      </w:divBdr>
    </w:div>
    <w:div w:id="735708143">
      <w:bodyDiv w:val="1"/>
      <w:marLeft w:val="0"/>
      <w:marRight w:val="0"/>
      <w:marTop w:val="0"/>
      <w:marBottom w:val="0"/>
      <w:divBdr>
        <w:top w:val="none" w:sz="0" w:space="0" w:color="auto"/>
        <w:left w:val="none" w:sz="0" w:space="0" w:color="auto"/>
        <w:bottom w:val="none" w:sz="0" w:space="0" w:color="auto"/>
        <w:right w:val="none" w:sz="0" w:space="0" w:color="auto"/>
      </w:divBdr>
    </w:div>
    <w:div w:id="739132404">
      <w:bodyDiv w:val="1"/>
      <w:marLeft w:val="0"/>
      <w:marRight w:val="0"/>
      <w:marTop w:val="0"/>
      <w:marBottom w:val="0"/>
      <w:divBdr>
        <w:top w:val="none" w:sz="0" w:space="0" w:color="auto"/>
        <w:left w:val="none" w:sz="0" w:space="0" w:color="auto"/>
        <w:bottom w:val="none" w:sz="0" w:space="0" w:color="auto"/>
        <w:right w:val="none" w:sz="0" w:space="0" w:color="auto"/>
      </w:divBdr>
    </w:div>
    <w:div w:id="742291489">
      <w:bodyDiv w:val="1"/>
      <w:marLeft w:val="0"/>
      <w:marRight w:val="0"/>
      <w:marTop w:val="0"/>
      <w:marBottom w:val="0"/>
      <w:divBdr>
        <w:top w:val="none" w:sz="0" w:space="0" w:color="auto"/>
        <w:left w:val="none" w:sz="0" w:space="0" w:color="auto"/>
        <w:bottom w:val="none" w:sz="0" w:space="0" w:color="auto"/>
        <w:right w:val="none" w:sz="0" w:space="0" w:color="auto"/>
      </w:divBdr>
    </w:div>
    <w:div w:id="742411463">
      <w:bodyDiv w:val="1"/>
      <w:marLeft w:val="0"/>
      <w:marRight w:val="0"/>
      <w:marTop w:val="0"/>
      <w:marBottom w:val="0"/>
      <w:divBdr>
        <w:top w:val="none" w:sz="0" w:space="0" w:color="auto"/>
        <w:left w:val="none" w:sz="0" w:space="0" w:color="auto"/>
        <w:bottom w:val="none" w:sz="0" w:space="0" w:color="auto"/>
        <w:right w:val="none" w:sz="0" w:space="0" w:color="auto"/>
      </w:divBdr>
    </w:div>
    <w:div w:id="742990219">
      <w:bodyDiv w:val="1"/>
      <w:marLeft w:val="0"/>
      <w:marRight w:val="0"/>
      <w:marTop w:val="0"/>
      <w:marBottom w:val="0"/>
      <w:divBdr>
        <w:top w:val="none" w:sz="0" w:space="0" w:color="auto"/>
        <w:left w:val="none" w:sz="0" w:space="0" w:color="auto"/>
        <w:bottom w:val="none" w:sz="0" w:space="0" w:color="auto"/>
        <w:right w:val="none" w:sz="0" w:space="0" w:color="auto"/>
      </w:divBdr>
    </w:div>
    <w:div w:id="743572958">
      <w:bodyDiv w:val="1"/>
      <w:marLeft w:val="0"/>
      <w:marRight w:val="0"/>
      <w:marTop w:val="0"/>
      <w:marBottom w:val="0"/>
      <w:divBdr>
        <w:top w:val="none" w:sz="0" w:space="0" w:color="auto"/>
        <w:left w:val="none" w:sz="0" w:space="0" w:color="auto"/>
        <w:bottom w:val="none" w:sz="0" w:space="0" w:color="auto"/>
        <w:right w:val="none" w:sz="0" w:space="0" w:color="auto"/>
      </w:divBdr>
    </w:div>
    <w:div w:id="744180141">
      <w:bodyDiv w:val="1"/>
      <w:marLeft w:val="0"/>
      <w:marRight w:val="0"/>
      <w:marTop w:val="0"/>
      <w:marBottom w:val="0"/>
      <w:divBdr>
        <w:top w:val="none" w:sz="0" w:space="0" w:color="auto"/>
        <w:left w:val="none" w:sz="0" w:space="0" w:color="auto"/>
        <w:bottom w:val="none" w:sz="0" w:space="0" w:color="auto"/>
        <w:right w:val="none" w:sz="0" w:space="0" w:color="auto"/>
      </w:divBdr>
    </w:div>
    <w:div w:id="747195143">
      <w:bodyDiv w:val="1"/>
      <w:marLeft w:val="0"/>
      <w:marRight w:val="0"/>
      <w:marTop w:val="0"/>
      <w:marBottom w:val="0"/>
      <w:divBdr>
        <w:top w:val="none" w:sz="0" w:space="0" w:color="auto"/>
        <w:left w:val="none" w:sz="0" w:space="0" w:color="auto"/>
        <w:bottom w:val="none" w:sz="0" w:space="0" w:color="auto"/>
        <w:right w:val="none" w:sz="0" w:space="0" w:color="auto"/>
      </w:divBdr>
    </w:div>
    <w:div w:id="748189153">
      <w:bodyDiv w:val="1"/>
      <w:marLeft w:val="0"/>
      <w:marRight w:val="0"/>
      <w:marTop w:val="0"/>
      <w:marBottom w:val="0"/>
      <w:divBdr>
        <w:top w:val="none" w:sz="0" w:space="0" w:color="auto"/>
        <w:left w:val="none" w:sz="0" w:space="0" w:color="auto"/>
        <w:bottom w:val="none" w:sz="0" w:space="0" w:color="auto"/>
        <w:right w:val="none" w:sz="0" w:space="0" w:color="auto"/>
      </w:divBdr>
    </w:div>
    <w:div w:id="748189866">
      <w:bodyDiv w:val="1"/>
      <w:marLeft w:val="0"/>
      <w:marRight w:val="0"/>
      <w:marTop w:val="0"/>
      <w:marBottom w:val="0"/>
      <w:divBdr>
        <w:top w:val="none" w:sz="0" w:space="0" w:color="auto"/>
        <w:left w:val="none" w:sz="0" w:space="0" w:color="auto"/>
        <w:bottom w:val="none" w:sz="0" w:space="0" w:color="auto"/>
        <w:right w:val="none" w:sz="0" w:space="0" w:color="auto"/>
      </w:divBdr>
    </w:div>
    <w:div w:id="749037832">
      <w:bodyDiv w:val="1"/>
      <w:marLeft w:val="0"/>
      <w:marRight w:val="0"/>
      <w:marTop w:val="0"/>
      <w:marBottom w:val="0"/>
      <w:divBdr>
        <w:top w:val="none" w:sz="0" w:space="0" w:color="auto"/>
        <w:left w:val="none" w:sz="0" w:space="0" w:color="auto"/>
        <w:bottom w:val="none" w:sz="0" w:space="0" w:color="auto"/>
        <w:right w:val="none" w:sz="0" w:space="0" w:color="auto"/>
      </w:divBdr>
    </w:div>
    <w:div w:id="749084894">
      <w:bodyDiv w:val="1"/>
      <w:marLeft w:val="0"/>
      <w:marRight w:val="0"/>
      <w:marTop w:val="0"/>
      <w:marBottom w:val="0"/>
      <w:divBdr>
        <w:top w:val="none" w:sz="0" w:space="0" w:color="auto"/>
        <w:left w:val="none" w:sz="0" w:space="0" w:color="auto"/>
        <w:bottom w:val="none" w:sz="0" w:space="0" w:color="auto"/>
        <w:right w:val="none" w:sz="0" w:space="0" w:color="auto"/>
      </w:divBdr>
    </w:div>
    <w:div w:id="750468361">
      <w:bodyDiv w:val="1"/>
      <w:marLeft w:val="0"/>
      <w:marRight w:val="0"/>
      <w:marTop w:val="0"/>
      <w:marBottom w:val="0"/>
      <w:divBdr>
        <w:top w:val="none" w:sz="0" w:space="0" w:color="auto"/>
        <w:left w:val="none" w:sz="0" w:space="0" w:color="auto"/>
        <w:bottom w:val="none" w:sz="0" w:space="0" w:color="auto"/>
        <w:right w:val="none" w:sz="0" w:space="0" w:color="auto"/>
      </w:divBdr>
    </w:div>
    <w:div w:id="751633134">
      <w:bodyDiv w:val="1"/>
      <w:marLeft w:val="0"/>
      <w:marRight w:val="0"/>
      <w:marTop w:val="0"/>
      <w:marBottom w:val="0"/>
      <w:divBdr>
        <w:top w:val="none" w:sz="0" w:space="0" w:color="auto"/>
        <w:left w:val="none" w:sz="0" w:space="0" w:color="auto"/>
        <w:bottom w:val="none" w:sz="0" w:space="0" w:color="auto"/>
        <w:right w:val="none" w:sz="0" w:space="0" w:color="auto"/>
      </w:divBdr>
    </w:div>
    <w:div w:id="751855356">
      <w:bodyDiv w:val="1"/>
      <w:marLeft w:val="0"/>
      <w:marRight w:val="0"/>
      <w:marTop w:val="0"/>
      <w:marBottom w:val="0"/>
      <w:divBdr>
        <w:top w:val="none" w:sz="0" w:space="0" w:color="auto"/>
        <w:left w:val="none" w:sz="0" w:space="0" w:color="auto"/>
        <w:bottom w:val="none" w:sz="0" w:space="0" w:color="auto"/>
        <w:right w:val="none" w:sz="0" w:space="0" w:color="auto"/>
      </w:divBdr>
    </w:div>
    <w:div w:id="751972831">
      <w:bodyDiv w:val="1"/>
      <w:marLeft w:val="0"/>
      <w:marRight w:val="0"/>
      <w:marTop w:val="0"/>
      <w:marBottom w:val="0"/>
      <w:divBdr>
        <w:top w:val="none" w:sz="0" w:space="0" w:color="auto"/>
        <w:left w:val="none" w:sz="0" w:space="0" w:color="auto"/>
        <w:bottom w:val="none" w:sz="0" w:space="0" w:color="auto"/>
        <w:right w:val="none" w:sz="0" w:space="0" w:color="auto"/>
      </w:divBdr>
    </w:div>
    <w:div w:id="752899601">
      <w:bodyDiv w:val="1"/>
      <w:marLeft w:val="0"/>
      <w:marRight w:val="0"/>
      <w:marTop w:val="0"/>
      <w:marBottom w:val="0"/>
      <w:divBdr>
        <w:top w:val="none" w:sz="0" w:space="0" w:color="auto"/>
        <w:left w:val="none" w:sz="0" w:space="0" w:color="auto"/>
        <w:bottom w:val="none" w:sz="0" w:space="0" w:color="auto"/>
        <w:right w:val="none" w:sz="0" w:space="0" w:color="auto"/>
      </w:divBdr>
    </w:div>
    <w:div w:id="753085591">
      <w:bodyDiv w:val="1"/>
      <w:marLeft w:val="0"/>
      <w:marRight w:val="0"/>
      <w:marTop w:val="0"/>
      <w:marBottom w:val="0"/>
      <w:divBdr>
        <w:top w:val="none" w:sz="0" w:space="0" w:color="auto"/>
        <w:left w:val="none" w:sz="0" w:space="0" w:color="auto"/>
        <w:bottom w:val="none" w:sz="0" w:space="0" w:color="auto"/>
        <w:right w:val="none" w:sz="0" w:space="0" w:color="auto"/>
      </w:divBdr>
    </w:div>
    <w:div w:id="754984286">
      <w:bodyDiv w:val="1"/>
      <w:marLeft w:val="0"/>
      <w:marRight w:val="0"/>
      <w:marTop w:val="0"/>
      <w:marBottom w:val="0"/>
      <w:divBdr>
        <w:top w:val="none" w:sz="0" w:space="0" w:color="auto"/>
        <w:left w:val="none" w:sz="0" w:space="0" w:color="auto"/>
        <w:bottom w:val="none" w:sz="0" w:space="0" w:color="auto"/>
        <w:right w:val="none" w:sz="0" w:space="0" w:color="auto"/>
      </w:divBdr>
    </w:div>
    <w:div w:id="758137279">
      <w:bodyDiv w:val="1"/>
      <w:marLeft w:val="0"/>
      <w:marRight w:val="0"/>
      <w:marTop w:val="0"/>
      <w:marBottom w:val="0"/>
      <w:divBdr>
        <w:top w:val="none" w:sz="0" w:space="0" w:color="auto"/>
        <w:left w:val="none" w:sz="0" w:space="0" w:color="auto"/>
        <w:bottom w:val="none" w:sz="0" w:space="0" w:color="auto"/>
        <w:right w:val="none" w:sz="0" w:space="0" w:color="auto"/>
      </w:divBdr>
    </w:div>
    <w:div w:id="758983098">
      <w:bodyDiv w:val="1"/>
      <w:marLeft w:val="0"/>
      <w:marRight w:val="0"/>
      <w:marTop w:val="0"/>
      <w:marBottom w:val="0"/>
      <w:divBdr>
        <w:top w:val="none" w:sz="0" w:space="0" w:color="auto"/>
        <w:left w:val="none" w:sz="0" w:space="0" w:color="auto"/>
        <w:bottom w:val="none" w:sz="0" w:space="0" w:color="auto"/>
        <w:right w:val="none" w:sz="0" w:space="0" w:color="auto"/>
      </w:divBdr>
    </w:div>
    <w:div w:id="759566098">
      <w:bodyDiv w:val="1"/>
      <w:marLeft w:val="0"/>
      <w:marRight w:val="0"/>
      <w:marTop w:val="0"/>
      <w:marBottom w:val="0"/>
      <w:divBdr>
        <w:top w:val="none" w:sz="0" w:space="0" w:color="auto"/>
        <w:left w:val="none" w:sz="0" w:space="0" w:color="auto"/>
        <w:bottom w:val="none" w:sz="0" w:space="0" w:color="auto"/>
        <w:right w:val="none" w:sz="0" w:space="0" w:color="auto"/>
      </w:divBdr>
    </w:div>
    <w:div w:id="760108058">
      <w:bodyDiv w:val="1"/>
      <w:marLeft w:val="0"/>
      <w:marRight w:val="0"/>
      <w:marTop w:val="0"/>
      <w:marBottom w:val="0"/>
      <w:divBdr>
        <w:top w:val="none" w:sz="0" w:space="0" w:color="auto"/>
        <w:left w:val="none" w:sz="0" w:space="0" w:color="auto"/>
        <w:bottom w:val="none" w:sz="0" w:space="0" w:color="auto"/>
        <w:right w:val="none" w:sz="0" w:space="0" w:color="auto"/>
      </w:divBdr>
    </w:div>
    <w:div w:id="760377092">
      <w:bodyDiv w:val="1"/>
      <w:marLeft w:val="0"/>
      <w:marRight w:val="0"/>
      <w:marTop w:val="0"/>
      <w:marBottom w:val="0"/>
      <w:divBdr>
        <w:top w:val="none" w:sz="0" w:space="0" w:color="auto"/>
        <w:left w:val="none" w:sz="0" w:space="0" w:color="auto"/>
        <w:bottom w:val="none" w:sz="0" w:space="0" w:color="auto"/>
        <w:right w:val="none" w:sz="0" w:space="0" w:color="auto"/>
      </w:divBdr>
    </w:div>
    <w:div w:id="760686899">
      <w:bodyDiv w:val="1"/>
      <w:marLeft w:val="0"/>
      <w:marRight w:val="0"/>
      <w:marTop w:val="0"/>
      <w:marBottom w:val="0"/>
      <w:divBdr>
        <w:top w:val="none" w:sz="0" w:space="0" w:color="auto"/>
        <w:left w:val="none" w:sz="0" w:space="0" w:color="auto"/>
        <w:bottom w:val="none" w:sz="0" w:space="0" w:color="auto"/>
        <w:right w:val="none" w:sz="0" w:space="0" w:color="auto"/>
      </w:divBdr>
    </w:div>
    <w:div w:id="762262033">
      <w:bodyDiv w:val="1"/>
      <w:marLeft w:val="0"/>
      <w:marRight w:val="0"/>
      <w:marTop w:val="0"/>
      <w:marBottom w:val="0"/>
      <w:divBdr>
        <w:top w:val="none" w:sz="0" w:space="0" w:color="auto"/>
        <w:left w:val="none" w:sz="0" w:space="0" w:color="auto"/>
        <w:bottom w:val="none" w:sz="0" w:space="0" w:color="auto"/>
        <w:right w:val="none" w:sz="0" w:space="0" w:color="auto"/>
      </w:divBdr>
    </w:div>
    <w:div w:id="764620548">
      <w:bodyDiv w:val="1"/>
      <w:marLeft w:val="0"/>
      <w:marRight w:val="0"/>
      <w:marTop w:val="0"/>
      <w:marBottom w:val="0"/>
      <w:divBdr>
        <w:top w:val="none" w:sz="0" w:space="0" w:color="auto"/>
        <w:left w:val="none" w:sz="0" w:space="0" w:color="auto"/>
        <w:bottom w:val="none" w:sz="0" w:space="0" w:color="auto"/>
        <w:right w:val="none" w:sz="0" w:space="0" w:color="auto"/>
      </w:divBdr>
    </w:div>
    <w:div w:id="764888836">
      <w:bodyDiv w:val="1"/>
      <w:marLeft w:val="0"/>
      <w:marRight w:val="0"/>
      <w:marTop w:val="0"/>
      <w:marBottom w:val="0"/>
      <w:divBdr>
        <w:top w:val="none" w:sz="0" w:space="0" w:color="auto"/>
        <w:left w:val="none" w:sz="0" w:space="0" w:color="auto"/>
        <w:bottom w:val="none" w:sz="0" w:space="0" w:color="auto"/>
        <w:right w:val="none" w:sz="0" w:space="0" w:color="auto"/>
      </w:divBdr>
    </w:div>
    <w:div w:id="766971562">
      <w:bodyDiv w:val="1"/>
      <w:marLeft w:val="0"/>
      <w:marRight w:val="0"/>
      <w:marTop w:val="0"/>
      <w:marBottom w:val="0"/>
      <w:divBdr>
        <w:top w:val="none" w:sz="0" w:space="0" w:color="auto"/>
        <w:left w:val="none" w:sz="0" w:space="0" w:color="auto"/>
        <w:bottom w:val="none" w:sz="0" w:space="0" w:color="auto"/>
        <w:right w:val="none" w:sz="0" w:space="0" w:color="auto"/>
      </w:divBdr>
    </w:div>
    <w:div w:id="766997384">
      <w:bodyDiv w:val="1"/>
      <w:marLeft w:val="0"/>
      <w:marRight w:val="0"/>
      <w:marTop w:val="0"/>
      <w:marBottom w:val="0"/>
      <w:divBdr>
        <w:top w:val="none" w:sz="0" w:space="0" w:color="auto"/>
        <w:left w:val="none" w:sz="0" w:space="0" w:color="auto"/>
        <w:bottom w:val="none" w:sz="0" w:space="0" w:color="auto"/>
        <w:right w:val="none" w:sz="0" w:space="0" w:color="auto"/>
      </w:divBdr>
    </w:div>
    <w:div w:id="767845508">
      <w:bodyDiv w:val="1"/>
      <w:marLeft w:val="0"/>
      <w:marRight w:val="0"/>
      <w:marTop w:val="0"/>
      <w:marBottom w:val="0"/>
      <w:divBdr>
        <w:top w:val="none" w:sz="0" w:space="0" w:color="auto"/>
        <w:left w:val="none" w:sz="0" w:space="0" w:color="auto"/>
        <w:bottom w:val="none" w:sz="0" w:space="0" w:color="auto"/>
        <w:right w:val="none" w:sz="0" w:space="0" w:color="auto"/>
      </w:divBdr>
    </w:div>
    <w:div w:id="769472661">
      <w:bodyDiv w:val="1"/>
      <w:marLeft w:val="0"/>
      <w:marRight w:val="0"/>
      <w:marTop w:val="0"/>
      <w:marBottom w:val="0"/>
      <w:divBdr>
        <w:top w:val="none" w:sz="0" w:space="0" w:color="auto"/>
        <w:left w:val="none" w:sz="0" w:space="0" w:color="auto"/>
        <w:bottom w:val="none" w:sz="0" w:space="0" w:color="auto"/>
        <w:right w:val="none" w:sz="0" w:space="0" w:color="auto"/>
      </w:divBdr>
    </w:div>
    <w:div w:id="770131140">
      <w:bodyDiv w:val="1"/>
      <w:marLeft w:val="0"/>
      <w:marRight w:val="0"/>
      <w:marTop w:val="0"/>
      <w:marBottom w:val="0"/>
      <w:divBdr>
        <w:top w:val="none" w:sz="0" w:space="0" w:color="auto"/>
        <w:left w:val="none" w:sz="0" w:space="0" w:color="auto"/>
        <w:bottom w:val="none" w:sz="0" w:space="0" w:color="auto"/>
        <w:right w:val="none" w:sz="0" w:space="0" w:color="auto"/>
      </w:divBdr>
    </w:div>
    <w:div w:id="771365891">
      <w:bodyDiv w:val="1"/>
      <w:marLeft w:val="0"/>
      <w:marRight w:val="0"/>
      <w:marTop w:val="0"/>
      <w:marBottom w:val="0"/>
      <w:divBdr>
        <w:top w:val="none" w:sz="0" w:space="0" w:color="auto"/>
        <w:left w:val="none" w:sz="0" w:space="0" w:color="auto"/>
        <w:bottom w:val="none" w:sz="0" w:space="0" w:color="auto"/>
        <w:right w:val="none" w:sz="0" w:space="0" w:color="auto"/>
      </w:divBdr>
    </w:div>
    <w:div w:id="773012136">
      <w:bodyDiv w:val="1"/>
      <w:marLeft w:val="0"/>
      <w:marRight w:val="0"/>
      <w:marTop w:val="0"/>
      <w:marBottom w:val="0"/>
      <w:divBdr>
        <w:top w:val="none" w:sz="0" w:space="0" w:color="auto"/>
        <w:left w:val="none" w:sz="0" w:space="0" w:color="auto"/>
        <w:bottom w:val="none" w:sz="0" w:space="0" w:color="auto"/>
        <w:right w:val="none" w:sz="0" w:space="0" w:color="auto"/>
      </w:divBdr>
    </w:div>
    <w:div w:id="774177975">
      <w:bodyDiv w:val="1"/>
      <w:marLeft w:val="0"/>
      <w:marRight w:val="0"/>
      <w:marTop w:val="0"/>
      <w:marBottom w:val="0"/>
      <w:divBdr>
        <w:top w:val="none" w:sz="0" w:space="0" w:color="auto"/>
        <w:left w:val="none" w:sz="0" w:space="0" w:color="auto"/>
        <w:bottom w:val="none" w:sz="0" w:space="0" w:color="auto"/>
        <w:right w:val="none" w:sz="0" w:space="0" w:color="auto"/>
      </w:divBdr>
    </w:div>
    <w:div w:id="774400892">
      <w:bodyDiv w:val="1"/>
      <w:marLeft w:val="0"/>
      <w:marRight w:val="0"/>
      <w:marTop w:val="0"/>
      <w:marBottom w:val="0"/>
      <w:divBdr>
        <w:top w:val="none" w:sz="0" w:space="0" w:color="auto"/>
        <w:left w:val="none" w:sz="0" w:space="0" w:color="auto"/>
        <w:bottom w:val="none" w:sz="0" w:space="0" w:color="auto"/>
        <w:right w:val="none" w:sz="0" w:space="0" w:color="auto"/>
      </w:divBdr>
    </w:div>
    <w:div w:id="775442274">
      <w:bodyDiv w:val="1"/>
      <w:marLeft w:val="0"/>
      <w:marRight w:val="0"/>
      <w:marTop w:val="0"/>
      <w:marBottom w:val="0"/>
      <w:divBdr>
        <w:top w:val="none" w:sz="0" w:space="0" w:color="auto"/>
        <w:left w:val="none" w:sz="0" w:space="0" w:color="auto"/>
        <w:bottom w:val="none" w:sz="0" w:space="0" w:color="auto"/>
        <w:right w:val="none" w:sz="0" w:space="0" w:color="auto"/>
      </w:divBdr>
    </w:div>
    <w:div w:id="775827087">
      <w:bodyDiv w:val="1"/>
      <w:marLeft w:val="0"/>
      <w:marRight w:val="0"/>
      <w:marTop w:val="0"/>
      <w:marBottom w:val="0"/>
      <w:divBdr>
        <w:top w:val="none" w:sz="0" w:space="0" w:color="auto"/>
        <w:left w:val="none" w:sz="0" w:space="0" w:color="auto"/>
        <w:bottom w:val="none" w:sz="0" w:space="0" w:color="auto"/>
        <w:right w:val="none" w:sz="0" w:space="0" w:color="auto"/>
      </w:divBdr>
    </w:div>
    <w:div w:id="776632314">
      <w:bodyDiv w:val="1"/>
      <w:marLeft w:val="0"/>
      <w:marRight w:val="0"/>
      <w:marTop w:val="0"/>
      <w:marBottom w:val="0"/>
      <w:divBdr>
        <w:top w:val="none" w:sz="0" w:space="0" w:color="auto"/>
        <w:left w:val="none" w:sz="0" w:space="0" w:color="auto"/>
        <w:bottom w:val="none" w:sz="0" w:space="0" w:color="auto"/>
        <w:right w:val="none" w:sz="0" w:space="0" w:color="auto"/>
      </w:divBdr>
    </w:div>
    <w:div w:id="778183698">
      <w:bodyDiv w:val="1"/>
      <w:marLeft w:val="0"/>
      <w:marRight w:val="0"/>
      <w:marTop w:val="0"/>
      <w:marBottom w:val="0"/>
      <w:divBdr>
        <w:top w:val="none" w:sz="0" w:space="0" w:color="auto"/>
        <w:left w:val="none" w:sz="0" w:space="0" w:color="auto"/>
        <w:bottom w:val="none" w:sz="0" w:space="0" w:color="auto"/>
        <w:right w:val="none" w:sz="0" w:space="0" w:color="auto"/>
      </w:divBdr>
    </w:div>
    <w:div w:id="778642047">
      <w:bodyDiv w:val="1"/>
      <w:marLeft w:val="0"/>
      <w:marRight w:val="0"/>
      <w:marTop w:val="0"/>
      <w:marBottom w:val="0"/>
      <w:divBdr>
        <w:top w:val="none" w:sz="0" w:space="0" w:color="auto"/>
        <w:left w:val="none" w:sz="0" w:space="0" w:color="auto"/>
        <w:bottom w:val="none" w:sz="0" w:space="0" w:color="auto"/>
        <w:right w:val="none" w:sz="0" w:space="0" w:color="auto"/>
      </w:divBdr>
    </w:div>
    <w:div w:id="778649916">
      <w:bodyDiv w:val="1"/>
      <w:marLeft w:val="0"/>
      <w:marRight w:val="0"/>
      <w:marTop w:val="0"/>
      <w:marBottom w:val="0"/>
      <w:divBdr>
        <w:top w:val="none" w:sz="0" w:space="0" w:color="auto"/>
        <w:left w:val="none" w:sz="0" w:space="0" w:color="auto"/>
        <w:bottom w:val="none" w:sz="0" w:space="0" w:color="auto"/>
        <w:right w:val="none" w:sz="0" w:space="0" w:color="auto"/>
      </w:divBdr>
    </w:div>
    <w:div w:id="779423016">
      <w:bodyDiv w:val="1"/>
      <w:marLeft w:val="0"/>
      <w:marRight w:val="0"/>
      <w:marTop w:val="0"/>
      <w:marBottom w:val="0"/>
      <w:divBdr>
        <w:top w:val="none" w:sz="0" w:space="0" w:color="auto"/>
        <w:left w:val="none" w:sz="0" w:space="0" w:color="auto"/>
        <w:bottom w:val="none" w:sz="0" w:space="0" w:color="auto"/>
        <w:right w:val="none" w:sz="0" w:space="0" w:color="auto"/>
      </w:divBdr>
    </w:div>
    <w:div w:id="780606105">
      <w:bodyDiv w:val="1"/>
      <w:marLeft w:val="0"/>
      <w:marRight w:val="0"/>
      <w:marTop w:val="0"/>
      <w:marBottom w:val="0"/>
      <w:divBdr>
        <w:top w:val="none" w:sz="0" w:space="0" w:color="auto"/>
        <w:left w:val="none" w:sz="0" w:space="0" w:color="auto"/>
        <w:bottom w:val="none" w:sz="0" w:space="0" w:color="auto"/>
        <w:right w:val="none" w:sz="0" w:space="0" w:color="auto"/>
      </w:divBdr>
    </w:div>
    <w:div w:id="780804679">
      <w:bodyDiv w:val="1"/>
      <w:marLeft w:val="0"/>
      <w:marRight w:val="0"/>
      <w:marTop w:val="0"/>
      <w:marBottom w:val="0"/>
      <w:divBdr>
        <w:top w:val="none" w:sz="0" w:space="0" w:color="auto"/>
        <w:left w:val="none" w:sz="0" w:space="0" w:color="auto"/>
        <w:bottom w:val="none" w:sz="0" w:space="0" w:color="auto"/>
        <w:right w:val="none" w:sz="0" w:space="0" w:color="auto"/>
      </w:divBdr>
    </w:div>
    <w:div w:id="783766196">
      <w:bodyDiv w:val="1"/>
      <w:marLeft w:val="0"/>
      <w:marRight w:val="0"/>
      <w:marTop w:val="0"/>
      <w:marBottom w:val="0"/>
      <w:divBdr>
        <w:top w:val="none" w:sz="0" w:space="0" w:color="auto"/>
        <w:left w:val="none" w:sz="0" w:space="0" w:color="auto"/>
        <w:bottom w:val="none" w:sz="0" w:space="0" w:color="auto"/>
        <w:right w:val="none" w:sz="0" w:space="0" w:color="auto"/>
      </w:divBdr>
    </w:div>
    <w:div w:id="785202119">
      <w:bodyDiv w:val="1"/>
      <w:marLeft w:val="0"/>
      <w:marRight w:val="0"/>
      <w:marTop w:val="0"/>
      <w:marBottom w:val="0"/>
      <w:divBdr>
        <w:top w:val="none" w:sz="0" w:space="0" w:color="auto"/>
        <w:left w:val="none" w:sz="0" w:space="0" w:color="auto"/>
        <w:bottom w:val="none" w:sz="0" w:space="0" w:color="auto"/>
        <w:right w:val="none" w:sz="0" w:space="0" w:color="auto"/>
      </w:divBdr>
    </w:div>
    <w:div w:id="785348507">
      <w:bodyDiv w:val="1"/>
      <w:marLeft w:val="0"/>
      <w:marRight w:val="0"/>
      <w:marTop w:val="0"/>
      <w:marBottom w:val="0"/>
      <w:divBdr>
        <w:top w:val="none" w:sz="0" w:space="0" w:color="auto"/>
        <w:left w:val="none" w:sz="0" w:space="0" w:color="auto"/>
        <w:bottom w:val="none" w:sz="0" w:space="0" w:color="auto"/>
        <w:right w:val="none" w:sz="0" w:space="0" w:color="auto"/>
      </w:divBdr>
    </w:div>
    <w:div w:id="788276572">
      <w:bodyDiv w:val="1"/>
      <w:marLeft w:val="0"/>
      <w:marRight w:val="0"/>
      <w:marTop w:val="0"/>
      <w:marBottom w:val="0"/>
      <w:divBdr>
        <w:top w:val="none" w:sz="0" w:space="0" w:color="auto"/>
        <w:left w:val="none" w:sz="0" w:space="0" w:color="auto"/>
        <w:bottom w:val="none" w:sz="0" w:space="0" w:color="auto"/>
        <w:right w:val="none" w:sz="0" w:space="0" w:color="auto"/>
      </w:divBdr>
    </w:div>
    <w:div w:id="788626163">
      <w:bodyDiv w:val="1"/>
      <w:marLeft w:val="0"/>
      <w:marRight w:val="0"/>
      <w:marTop w:val="0"/>
      <w:marBottom w:val="0"/>
      <w:divBdr>
        <w:top w:val="none" w:sz="0" w:space="0" w:color="auto"/>
        <w:left w:val="none" w:sz="0" w:space="0" w:color="auto"/>
        <w:bottom w:val="none" w:sz="0" w:space="0" w:color="auto"/>
        <w:right w:val="none" w:sz="0" w:space="0" w:color="auto"/>
      </w:divBdr>
    </w:div>
    <w:div w:id="789208323">
      <w:bodyDiv w:val="1"/>
      <w:marLeft w:val="0"/>
      <w:marRight w:val="0"/>
      <w:marTop w:val="0"/>
      <w:marBottom w:val="0"/>
      <w:divBdr>
        <w:top w:val="none" w:sz="0" w:space="0" w:color="auto"/>
        <w:left w:val="none" w:sz="0" w:space="0" w:color="auto"/>
        <w:bottom w:val="none" w:sz="0" w:space="0" w:color="auto"/>
        <w:right w:val="none" w:sz="0" w:space="0" w:color="auto"/>
      </w:divBdr>
    </w:div>
    <w:div w:id="789400014">
      <w:bodyDiv w:val="1"/>
      <w:marLeft w:val="0"/>
      <w:marRight w:val="0"/>
      <w:marTop w:val="0"/>
      <w:marBottom w:val="0"/>
      <w:divBdr>
        <w:top w:val="none" w:sz="0" w:space="0" w:color="auto"/>
        <w:left w:val="none" w:sz="0" w:space="0" w:color="auto"/>
        <w:bottom w:val="none" w:sz="0" w:space="0" w:color="auto"/>
        <w:right w:val="none" w:sz="0" w:space="0" w:color="auto"/>
      </w:divBdr>
    </w:div>
    <w:div w:id="789662869">
      <w:bodyDiv w:val="1"/>
      <w:marLeft w:val="0"/>
      <w:marRight w:val="0"/>
      <w:marTop w:val="0"/>
      <w:marBottom w:val="0"/>
      <w:divBdr>
        <w:top w:val="none" w:sz="0" w:space="0" w:color="auto"/>
        <w:left w:val="none" w:sz="0" w:space="0" w:color="auto"/>
        <w:bottom w:val="none" w:sz="0" w:space="0" w:color="auto"/>
        <w:right w:val="none" w:sz="0" w:space="0" w:color="auto"/>
      </w:divBdr>
    </w:div>
    <w:div w:id="790249718">
      <w:bodyDiv w:val="1"/>
      <w:marLeft w:val="0"/>
      <w:marRight w:val="0"/>
      <w:marTop w:val="0"/>
      <w:marBottom w:val="0"/>
      <w:divBdr>
        <w:top w:val="none" w:sz="0" w:space="0" w:color="auto"/>
        <w:left w:val="none" w:sz="0" w:space="0" w:color="auto"/>
        <w:bottom w:val="none" w:sz="0" w:space="0" w:color="auto"/>
        <w:right w:val="none" w:sz="0" w:space="0" w:color="auto"/>
      </w:divBdr>
    </w:div>
    <w:div w:id="791899764">
      <w:bodyDiv w:val="1"/>
      <w:marLeft w:val="0"/>
      <w:marRight w:val="0"/>
      <w:marTop w:val="0"/>
      <w:marBottom w:val="0"/>
      <w:divBdr>
        <w:top w:val="none" w:sz="0" w:space="0" w:color="auto"/>
        <w:left w:val="none" w:sz="0" w:space="0" w:color="auto"/>
        <w:bottom w:val="none" w:sz="0" w:space="0" w:color="auto"/>
        <w:right w:val="none" w:sz="0" w:space="0" w:color="auto"/>
      </w:divBdr>
    </w:div>
    <w:div w:id="793519773">
      <w:bodyDiv w:val="1"/>
      <w:marLeft w:val="0"/>
      <w:marRight w:val="0"/>
      <w:marTop w:val="0"/>
      <w:marBottom w:val="0"/>
      <w:divBdr>
        <w:top w:val="none" w:sz="0" w:space="0" w:color="auto"/>
        <w:left w:val="none" w:sz="0" w:space="0" w:color="auto"/>
        <w:bottom w:val="none" w:sz="0" w:space="0" w:color="auto"/>
        <w:right w:val="none" w:sz="0" w:space="0" w:color="auto"/>
      </w:divBdr>
    </w:div>
    <w:div w:id="794180101">
      <w:bodyDiv w:val="1"/>
      <w:marLeft w:val="0"/>
      <w:marRight w:val="0"/>
      <w:marTop w:val="0"/>
      <w:marBottom w:val="0"/>
      <w:divBdr>
        <w:top w:val="none" w:sz="0" w:space="0" w:color="auto"/>
        <w:left w:val="none" w:sz="0" w:space="0" w:color="auto"/>
        <w:bottom w:val="none" w:sz="0" w:space="0" w:color="auto"/>
        <w:right w:val="none" w:sz="0" w:space="0" w:color="auto"/>
      </w:divBdr>
    </w:div>
    <w:div w:id="796073234">
      <w:bodyDiv w:val="1"/>
      <w:marLeft w:val="0"/>
      <w:marRight w:val="0"/>
      <w:marTop w:val="0"/>
      <w:marBottom w:val="0"/>
      <w:divBdr>
        <w:top w:val="none" w:sz="0" w:space="0" w:color="auto"/>
        <w:left w:val="none" w:sz="0" w:space="0" w:color="auto"/>
        <w:bottom w:val="none" w:sz="0" w:space="0" w:color="auto"/>
        <w:right w:val="none" w:sz="0" w:space="0" w:color="auto"/>
      </w:divBdr>
    </w:div>
    <w:div w:id="796795871">
      <w:bodyDiv w:val="1"/>
      <w:marLeft w:val="0"/>
      <w:marRight w:val="0"/>
      <w:marTop w:val="0"/>
      <w:marBottom w:val="0"/>
      <w:divBdr>
        <w:top w:val="none" w:sz="0" w:space="0" w:color="auto"/>
        <w:left w:val="none" w:sz="0" w:space="0" w:color="auto"/>
        <w:bottom w:val="none" w:sz="0" w:space="0" w:color="auto"/>
        <w:right w:val="none" w:sz="0" w:space="0" w:color="auto"/>
      </w:divBdr>
    </w:div>
    <w:div w:id="796798981">
      <w:bodyDiv w:val="1"/>
      <w:marLeft w:val="0"/>
      <w:marRight w:val="0"/>
      <w:marTop w:val="0"/>
      <w:marBottom w:val="0"/>
      <w:divBdr>
        <w:top w:val="none" w:sz="0" w:space="0" w:color="auto"/>
        <w:left w:val="none" w:sz="0" w:space="0" w:color="auto"/>
        <w:bottom w:val="none" w:sz="0" w:space="0" w:color="auto"/>
        <w:right w:val="none" w:sz="0" w:space="0" w:color="auto"/>
      </w:divBdr>
    </w:div>
    <w:div w:id="799104261">
      <w:bodyDiv w:val="1"/>
      <w:marLeft w:val="0"/>
      <w:marRight w:val="0"/>
      <w:marTop w:val="0"/>
      <w:marBottom w:val="0"/>
      <w:divBdr>
        <w:top w:val="none" w:sz="0" w:space="0" w:color="auto"/>
        <w:left w:val="none" w:sz="0" w:space="0" w:color="auto"/>
        <w:bottom w:val="none" w:sz="0" w:space="0" w:color="auto"/>
        <w:right w:val="none" w:sz="0" w:space="0" w:color="auto"/>
      </w:divBdr>
    </w:div>
    <w:div w:id="799109908">
      <w:bodyDiv w:val="1"/>
      <w:marLeft w:val="0"/>
      <w:marRight w:val="0"/>
      <w:marTop w:val="0"/>
      <w:marBottom w:val="0"/>
      <w:divBdr>
        <w:top w:val="none" w:sz="0" w:space="0" w:color="auto"/>
        <w:left w:val="none" w:sz="0" w:space="0" w:color="auto"/>
        <w:bottom w:val="none" w:sz="0" w:space="0" w:color="auto"/>
        <w:right w:val="none" w:sz="0" w:space="0" w:color="auto"/>
      </w:divBdr>
    </w:div>
    <w:div w:id="799306064">
      <w:bodyDiv w:val="1"/>
      <w:marLeft w:val="0"/>
      <w:marRight w:val="0"/>
      <w:marTop w:val="0"/>
      <w:marBottom w:val="0"/>
      <w:divBdr>
        <w:top w:val="none" w:sz="0" w:space="0" w:color="auto"/>
        <w:left w:val="none" w:sz="0" w:space="0" w:color="auto"/>
        <w:bottom w:val="none" w:sz="0" w:space="0" w:color="auto"/>
        <w:right w:val="none" w:sz="0" w:space="0" w:color="auto"/>
      </w:divBdr>
    </w:div>
    <w:div w:id="800535533">
      <w:bodyDiv w:val="1"/>
      <w:marLeft w:val="0"/>
      <w:marRight w:val="0"/>
      <w:marTop w:val="0"/>
      <w:marBottom w:val="0"/>
      <w:divBdr>
        <w:top w:val="none" w:sz="0" w:space="0" w:color="auto"/>
        <w:left w:val="none" w:sz="0" w:space="0" w:color="auto"/>
        <w:bottom w:val="none" w:sz="0" w:space="0" w:color="auto"/>
        <w:right w:val="none" w:sz="0" w:space="0" w:color="auto"/>
      </w:divBdr>
    </w:div>
    <w:div w:id="802040563">
      <w:bodyDiv w:val="1"/>
      <w:marLeft w:val="0"/>
      <w:marRight w:val="0"/>
      <w:marTop w:val="0"/>
      <w:marBottom w:val="0"/>
      <w:divBdr>
        <w:top w:val="none" w:sz="0" w:space="0" w:color="auto"/>
        <w:left w:val="none" w:sz="0" w:space="0" w:color="auto"/>
        <w:bottom w:val="none" w:sz="0" w:space="0" w:color="auto"/>
        <w:right w:val="none" w:sz="0" w:space="0" w:color="auto"/>
      </w:divBdr>
    </w:div>
    <w:div w:id="803280020">
      <w:bodyDiv w:val="1"/>
      <w:marLeft w:val="0"/>
      <w:marRight w:val="0"/>
      <w:marTop w:val="0"/>
      <w:marBottom w:val="0"/>
      <w:divBdr>
        <w:top w:val="none" w:sz="0" w:space="0" w:color="auto"/>
        <w:left w:val="none" w:sz="0" w:space="0" w:color="auto"/>
        <w:bottom w:val="none" w:sz="0" w:space="0" w:color="auto"/>
        <w:right w:val="none" w:sz="0" w:space="0" w:color="auto"/>
      </w:divBdr>
    </w:div>
    <w:div w:id="803623357">
      <w:bodyDiv w:val="1"/>
      <w:marLeft w:val="0"/>
      <w:marRight w:val="0"/>
      <w:marTop w:val="0"/>
      <w:marBottom w:val="0"/>
      <w:divBdr>
        <w:top w:val="none" w:sz="0" w:space="0" w:color="auto"/>
        <w:left w:val="none" w:sz="0" w:space="0" w:color="auto"/>
        <w:bottom w:val="none" w:sz="0" w:space="0" w:color="auto"/>
        <w:right w:val="none" w:sz="0" w:space="0" w:color="auto"/>
      </w:divBdr>
    </w:div>
    <w:div w:id="804737927">
      <w:bodyDiv w:val="1"/>
      <w:marLeft w:val="0"/>
      <w:marRight w:val="0"/>
      <w:marTop w:val="0"/>
      <w:marBottom w:val="0"/>
      <w:divBdr>
        <w:top w:val="none" w:sz="0" w:space="0" w:color="auto"/>
        <w:left w:val="none" w:sz="0" w:space="0" w:color="auto"/>
        <w:bottom w:val="none" w:sz="0" w:space="0" w:color="auto"/>
        <w:right w:val="none" w:sz="0" w:space="0" w:color="auto"/>
      </w:divBdr>
    </w:div>
    <w:div w:id="805004274">
      <w:bodyDiv w:val="1"/>
      <w:marLeft w:val="0"/>
      <w:marRight w:val="0"/>
      <w:marTop w:val="0"/>
      <w:marBottom w:val="0"/>
      <w:divBdr>
        <w:top w:val="none" w:sz="0" w:space="0" w:color="auto"/>
        <w:left w:val="none" w:sz="0" w:space="0" w:color="auto"/>
        <w:bottom w:val="none" w:sz="0" w:space="0" w:color="auto"/>
        <w:right w:val="none" w:sz="0" w:space="0" w:color="auto"/>
      </w:divBdr>
    </w:div>
    <w:div w:id="807669060">
      <w:bodyDiv w:val="1"/>
      <w:marLeft w:val="0"/>
      <w:marRight w:val="0"/>
      <w:marTop w:val="0"/>
      <w:marBottom w:val="0"/>
      <w:divBdr>
        <w:top w:val="none" w:sz="0" w:space="0" w:color="auto"/>
        <w:left w:val="none" w:sz="0" w:space="0" w:color="auto"/>
        <w:bottom w:val="none" w:sz="0" w:space="0" w:color="auto"/>
        <w:right w:val="none" w:sz="0" w:space="0" w:color="auto"/>
      </w:divBdr>
    </w:div>
    <w:div w:id="808593800">
      <w:bodyDiv w:val="1"/>
      <w:marLeft w:val="0"/>
      <w:marRight w:val="0"/>
      <w:marTop w:val="0"/>
      <w:marBottom w:val="0"/>
      <w:divBdr>
        <w:top w:val="none" w:sz="0" w:space="0" w:color="auto"/>
        <w:left w:val="none" w:sz="0" w:space="0" w:color="auto"/>
        <w:bottom w:val="none" w:sz="0" w:space="0" w:color="auto"/>
        <w:right w:val="none" w:sz="0" w:space="0" w:color="auto"/>
      </w:divBdr>
    </w:div>
    <w:div w:id="809136361">
      <w:bodyDiv w:val="1"/>
      <w:marLeft w:val="0"/>
      <w:marRight w:val="0"/>
      <w:marTop w:val="0"/>
      <w:marBottom w:val="0"/>
      <w:divBdr>
        <w:top w:val="none" w:sz="0" w:space="0" w:color="auto"/>
        <w:left w:val="none" w:sz="0" w:space="0" w:color="auto"/>
        <w:bottom w:val="none" w:sz="0" w:space="0" w:color="auto"/>
        <w:right w:val="none" w:sz="0" w:space="0" w:color="auto"/>
      </w:divBdr>
    </w:div>
    <w:div w:id="809328396">
      <w:bodyDiv w:val="1"/>
      <w:marLeft w:val="0"/>
      <w:marRight w:val="0"/>
      <w:marTop w:val="0"/>
      <w:marBottom w:val="0"/>
      <w:divBdr>
        <w:top w:val="none" w:sz="0" w:space="0" w:color="auto"/>
        <w:left w:val="none" w:sz="0" w:space="0" w:color="auto"/>
        <w:bottom w:val="none" w:sz="0" w:space="0" w:color="auto"/>
        <w:right w:val="none" w:sz="0" w:space="0" w:color="auto"/>
      </w:divBdr>
    </w:div>
    <w:div w:id="810246003">
      <w:bodyDiv w:val="1"/>
      <w:marLeft w:val="0"/>
      <w:marRight w:val="0"/>
      <w:marTop w:val="0"/>
      <w:marBottom w:val="0"/>
      <w:divBdr>
        <w:top w:val="none" w:sz="0" w:space="0" w:color="auto"/>
        <w:left w:val="none" w:sz="0" w:space="0" w:color="auto"/>
        <w:bottom w:val="none" w:sz="0" w:space="0" w:color="auto"/>
        <w:right w:val="none" w:sz="0" w:space="0" w:color="auto"/>
      </w:divBdr>
    </w:div>
    <w:div w:id="810291277">
      <w:bodyDiv w:val="1"/>
      <w:marLeft w:val="0"/>
      <w:marRight w:val="0"/>
      <w:marTop w:val="0"/>
      <w:marBottom w:val="0"/>
      <w:divBdr>
        <w:top w:val="none" w:sz="0" w:space="0" w:color="auto"/>
        <w:left w:val="none" w:sz="0" w:space="0" w:color="auto"/>
        <w:bottom w:val="none" w:sz="0" w:space="0" w:color="auto"/>
        <w:right w:val="none" w:sz="0" w:space="0" w:color="auto"/>
      </w:divBdr>
    </w:div>
    <w:div w:id="812410536">
      <w:bodyDiv w:val="1"/>
      <w:marLeft w:val="0"/>
      <w:marRight w:val="0"/>
      <w:marTop w:val="0"/>
      <w:marBottom w:val="0"/>
      <w:divBdr>
        <w:top w:val="none" w:sz="0" w:space="0" w:color="auto"/>
        <w:left w:val="none" w:sz="0" w:space="0" w:color="auto"/>
        <w:bottom w:val="none" w:sz="0" w:space="0" w:color="auto"/>
        <w:right w:val="none" w:sz="0" w:space="0" w:color="auto"/>
      </w:divBdr>
    </w:div>
    <w:div w:id="815027350">
      <w:bodyDiv w:val="1"/>
      <w:marLeft w:val="0"/>
      <w:marRight w:val="0"/>
      <w:marTop w:val="0"/>
      <w:marBottom w:val="0"/>
      <w:divBdr>
        <w:top w:val="none" w:sz="0" w:space="0" w:color="auto"/>
        <w:left w:val="none" w:sz="0" w:space="0" w:color="auto"/>
        <w:bottom w:val="none" w:sz="0" w:space="0" w:color="auto"/>
        <w:right w:val="none" w:sz="0" w:space="0" w:color="auto"/>
      </w:divBdr>
    </w:div>
    <w:div w:id="815299330">
      <w:bodyDiv w:val="1"/>
      <w:marLeft w:val="0"/>
      <w:marRight w:val="0"/>
      <w:marTop w:val="0"/>
      <w:marBottom w:val="0"/>
      <w:divBdr>
        <w:top w:val="none" w:sz="0" w:space="0" w:color="auto"/>
        <w:left w:val="none" w:sz="0" w:space="0" w:color="auto"/>
        <w:bottom w:val="none" w:sz="0" w:space="0" w:color="auto"/>
        <w:right w:val="none" w:sz="0" w:space="0" w:color="auto"/>
      </w:divBdr>
    </w:div>
    <w:div w:id="815344865">
      <w:bodyDiv w:val="1"/>
      <w:marLeft w:val="0"/>
      <w:marRight w:val="0"/>
      <w:marTop w:val="0"/>
      <w:marBottom w:val="0"/>
      <w:divBdr>
        <w:top w:val="none" w:sz="0" w:space="0" w:color="auto"/>
        <w:left w:val="none" w:sz="0" w:space="0" w:color="auto"/>
        <w:bottom w:val="none" w:sz="0" w:space="0" w:color="auto"/>
        <w:right w:val="none" w:sz="0" w:space="0" w:color="auto"/>
      </w:divBdr>
    </w:div>
    <w:div w:id="815534631">
      <w:bodyDiv w:val="1"/>
      <w:marLeft w:val="0"/>
      <w:marRight w:val="0"/>
      <w:marTop w:val="0"/>
      <w:marBottom w:val="0"/>
      <w:divBdr>
        <w:top w:val="none" w:sz="0" w:space="0" w:color="auto"/>
        <w:left w:val="none" w:sz="0" w:space="0" w:color="auto"/>
        <w:bottom w:val="none" w:sz="0" w:space="0" w:color="auto"/>
        <w:right w:val="none" w:sz="0" w:space="0" w:color="auto"/>
      </w:divBdr>
    </w:div>
    <w:div w:id="815607918">
      <w:bodyDiv w:val="1"/>
      <w:marLeft w:val="0"/>
      <w:marRight w:val="0"/>
      <w:marTop w:val="0"/>
      <w:marBottom w:val="0"/>
      <w:divBdr>
        <w:top w:val="none" w:sz="0" w:space="0" w:color="auto"/>
        <w:left w:val="none" w:sz="0" w:space="0" w:color="auto"/>
        <w:bottom w:val="none" w:sz="0" w:space="0" w:color="auto"/>
        <w:right w:val="none" w:sz="0" w:space="0" w:color="auto"/>
      </w:divBdr>
    </w:div>
    <w:div w:id="815874570">
      <w:bodyDiv w:val="1"/>
      <w:marLeft w:val="0"/>
      <w:marRight w:val="0"/>
      <w:marTop w:val="0"/>
      <w:marBottom w:val="0"/>
      <w:divBdr>
        <w:top w:val="none" w:sz="0" w:space="0" w:color="auto"/>
        <w:left w:val="none" w:sz="0" w:space="0" w:color="auto"/>
        <w:bottom w:val="none" w:sz="0" w:space="0" w:color="auto"/>
        <w:right w:val="none" w:sz="0" w:space="0" w:color="auto"/>
      </w:divBdr>
    </w:div>
    <w:div w:id="817841507">
      <w:bodyDiv w:val="1"/>
      <w:marLeft w:val="0"/>
      <w:marRight w:val="0"/>
      <w:marTop w:val="0"/>
      <w:marBottom w:val="0"/>
      <w:divBdr>
        <w:top w:val="none" w:sz="0" w:space="0" w:color="auto"/>
        <w:left w:val="none" w:sz="0" w:space="0" w:color="auto"/>
        <w:bottom w:val="none" w:sz="0" w:space="0" w:color="auto"/>
        <w:right w:val="none" w:sz="0" w:space="0" w:color="auto"/>
      </w:divBdr>
    </w:div>
    <w:div w:id="818575802">
      <w:bodyDiv w:val="1"/>
      <w:marLeft w:val="0"/>
      <w:marRight w:val="0"/>
      <w:marTop w:val="0"/>
      <w:marBottom w:val="0"/>
      <w:divBdr>
        <w:top w:val="none" w:sz="0" w:space="0" w:color="auto"/>
        <w:left w:val="none" w:sz="0" w:space="0" w:color="auto"/>
        <w:bottom w:val="none" w:sz="0" w:space="0" w:color="auto"/>
        <w:right w:val="none" w:sz="0" w:space="0" w:color="auto"/>
      </w:divBdr>
    </w:div>
    <w:div w:id="818883398">
      <w:bodyDiv w:val="1"/>
      <w:marLeft w:val="0"/>
      <w:marRight w:val="0"/>
      <w:marTop w:val="0"/>
      <w:marBottom w:val="0"/>
      <w:divBdr>
        <w:top w:val="none" w:sz="0" w:space="0" w:color="auto"/>
        <w:left w:val="none" w:sz="0" w:space="0" w:color="auto"/>
        <w:bottom w:val="none" w:sz="0" w:space="0" w:color="auto"/>
        <w:right w:val="none" w:sz="0" w:space="0" w:color="auto"/>
      </w:divBdr>
    </w:div>
    <w:div w:id="821197109">
      <w:bodyDiv w:val="1"/>
      <w:marLeft w:val="0"/>
      <w:marRight w:val="0"/>
      <w:marTop w:val="0"/>
      <w:marBottom w:val="0"/>
      <w:divBdr>
        <w:top w:val="none" w:sz="0" w:space="0" w:color="auto"/>
        <w:left w:val="none" w:sz="0" w:space="0" w:color="auto"/>
        <w:bottom w:val="none" w:sz="0" w:space="0" w:color="auto"/>
        <w:right w:val="none" w:sz="0" w:space="0" w:color="auto"/>
      </w:divBdr>
    </w:div>
    <w:div w:id="823812646">
      <w:bodyDiv w:val="1"/>
      <w:marLeft w:val="0"/>
      <w:marRight w:val="0"/>
      <w:marTop w:val="0"/>
      <w:marBottom w:val="0"/>
      <w:divBdr>
        <w:top w:val="none" w:sz="0" w:space="0" w:color="auto"/>
        <w:left w:val="none" w:sz="0" w:space="0" w:color="auto"/>
        <w:bottom w:val="none" w:sz="0" w:space="0" w:color="auto"/>
        <w:right w:val="none" w:sz="0" w:space="0" w:color="auto"/>
      </w:divBdr>
    </w:div>
    <w:div w:id="825125455">
      <w:bodyDiv w:val="1"/>
      <w:marLeft w:val="0"/>
      <w:marRight w:val="0"/>
      <w:marTop w:val="0"/>
      <w:marBottom w:val="0"/>
      <w:divBdr>
        <w:top w:val="none" w:sz="0" w:space="0" w:color="auto"/>
        <w:left w:val="none" w:sz="0" w:space="0" w:color="auto"/>
        <w:bottom w:val="none" w:sz="0" w:space="0" w:color="auto"/>
        <w:right w:val="none" w:sz="0" w:space="0" w:color="auto"/>
      </w:divBdr>
    </w:div>
    <w:div w:id="825172014">
      <w:bodyDiv w:val="1"/>
      <w:marLeft w:val="0"/>
      <w:marRight w:val="0"/>
      <w:marTop w:val="0"/>
      <w:marBottom w:val="0"/>
      <w:divBdr>
        <w:top w:val="none" w:sz="0" w:space="0" w:color="auto"/>
        <w:left w:val="none" w:sz="0" w:space="0" w:color="auto"/>
        <w:bottom w:val="none" w:sz="0" w:space="0" w:color="auto"/>
        <w:right w:val="none" w:sz="0" w:space="0" w:color="auto"/>
      </w:divBdr>
    </w:div>
    <w:div w:id="826097612">
      <w:bodyDiv w:val="1"/>
      <w:marLeft w:val="0"/>
      <w:marRight w:val="0"/>
      <w:marTop w:val="0"/>
      <w:marBottom w:val="0"/>
      <w:divBdr>
        <w:top w:val="none" w:sz="0" w:space="0" w:color="auto"/>
        <w:left w:val="none" w:sz="0" w:space="0" w:color="auto"/>
        <w:bottom w:val="none" w:sz="0" w:space="0" w:color="auto"/>
        <w:right w:val="none" w:sz="0" w:space="0" w:color="auto"/>
      </w:divBdr>
    </w:div>
    <w:div w:id="826290787">
      <w:bodyDiv w:val="1"/>
      <w:marLeft w:val="0"/>
      <w:marRight w:val="0"/>
      <w:marTop w:val="0"/>
      <w:marBottom w:val="0"/>
      <w:divBdr>
        <w:top w:val="none" w:sz="0" w:space="0" w:color="auto"/>
        <w:left w:val="none" w:sz="0" w:space="0" w:color="auto"/>
        <w:bottom w:val="none" w:sz="0" w:space="0" w:color="auto"/>
        <w:right w:val="none" w:sz="0" w:space="0" w:color="auto"/>
      </w:divBdr>
    </w:div>
    <w:div w:id="827205954">
      <w:bodyDiv w:val="1"/>
      <w:marLeft w:val="0"/>
      <w:marRight w:val="0"/>
      <w:marTop w:val="0"/>
      <w:marBottom w:val="0"/>
      <w:divBdr>
        <w:top w:val="none" w:sz="0" w:space="0" w:color="auto"/>
        <w:left w:val="none" w:sz="0" w:space="0" w:color="auto"/>
        <w:bottom w:val="none" w:sz="0" w:space="0" w:color="auto"/>
        <w:right w:val="none" w:sz="0" w:space="0" w:color="auto"/>
      </w:divBdr>
    </w:div>
    <w:div w:id="829057986">
      <w:bodyDiv w:val="1"/>
      <w:marLeft w:val="0"/>
      <w:marRight w:val="0"/>
      <w:marTop w:val="0"/>
      <w:marBottom w:val="0"/>
      <w:divBdr>
        <w:top w:val="none" w:sz="0" w:space="0" w:color="auto"/>
        <w:left w:val="none" w:sz="0" w:space="0" w:color="auto"/>
        <w:bottom w:val="none" w:sz="0" w:space="0" w:color="auto"/>
        <w:right w:val="none" w:sz="0" w:space="0" w:color="auto"/>
      </w:divBdr>
    </w:div>
    <w:div w:id="830482239">
      <w:bodyDiv w:val="1"/>
      <w:marLeft w:val="0"/>
      <w:marRight w:val="0"/>
      <w:marTop w:val="0"/>
      <w:marBottom w:val="0"/>
      <w:divBdr>
        <w:top w:val="none" w:sz="0" w:space="0" w:color="auto"/>
        <w:left w:val="none" w:sz="0" w:space="0" w:color="auto"/>
        <w:bottom w:val="none" w:sz="0" w:space="0" w:color="auto"/>
        <w:right w:val="none" w:sz="0" w:space="0" w:color="auto"/>
      </w:divBdr>
    </w:div>
    <w:div w:id="830676886">
      <w:bodyDiv w:val="1"/>
      <w:marLeft w:val="0"/>
      <w:marRight w:val="0"/>
      <w:marTop w:val="0"/>
      <w:marBottom w:val="0"/>
      <w:divBdr>
        <w:top w:val="none" w:sz="0" w:space="0" w:color="auto"/>
        <w:left w:val="none" w:sz="0" w:space="0" w:color="auto"/>
        <w:bottom w:val="none" w:sz="0" w:space="0" w:color="auto"/>
        <w:right w:val="none" w:sz="0" w:space="0" w:color="auto"/>
      </w:divBdr>
    </w:div>
    <w:div w:id="831875933">
      <w:bodyDiv w:val="1"/>
      <w:marLeft w:val="0"/>
      <w:marRight w:val="0"/>
      <w:marTop w:val="0"/>
      <w:marBottom w:val="0"/>
      <w:divBdr>
        <w:top w:val="none" w:sz="0" w:space="0" w:color="auto"/>
        <w:left w:val="none" w:sz="0" w:space="0" w:color="auto"/>
        <w:bottom w:val="none" w:sz="0" w:space="0" w:color="auto"/>
        <w:right w:val="none" w:sz="0" w:space="0" w:color="auto"/>
      </w:divBdr>
    </w:div>
    <w:div w:id="833178671">
      <w:bodyDiv w:val="1"/>
      <w:marLeft w:val="0"/>
      <w:marRight w:val="0"/>
      <w:marTop w:val="0"/>
      <w:marBottom w:val="0"/>
      <w:divBdr>
        <w:top w:val="none" w:sz="0" w:space="0" w:color="auto"/>
        <w:left w:val="none" w:sz="0" w:space="0" w:color="auto"/>
        <w:bottom w:val="none" w:sz="0" w:space="0" w:color="auto"/>
        <w:right w:val="none" w:sz="0" w:space="0" w:color="auto"/>
      </w:divBdr>
    </w:div>
    <w:div w:id="833883754">
      <w:bodyDiv w:val="1"/>
      <w:marLeft w:val="0"/>
      <w:marRight w:val="0"/>
      <w:marTop w:val="0"/>
      <w:marBottom w:val="0"/>
      <w:divBdr>
        <w:top w:val="none" w:sz="0" w:space="0" w:color="auto"/>
        <w:left w:val="none" w:sz="0" w:space="0" w:color="auto"/>
        <w:bottom w:val="none" w:sz="0" w:space="0" w:color="auto"/>
        <w:right w:val="none" w:sz="0" w:space="0" w:color="auto"/>
      </w:divBdr>
    </w:div>
    <w:div w:id="835800564">
      <w:bodyDiv w:val="1"/>
      <w:marLeft w:val="0"/>
      <w:marRight w:val="0"/>
      <w:marTop w:val="0"/>
      <w:marBottom w:val="0"/>
      <w:divBdr>
        <w:top w:val="none" w:sz="0" w:space="0" w:color="auto"/>
        <w:left w:val="none" w:sz="0" w:space="0" w:color="auto"/>
        <w:bottom w:val="none" w:sz="0" w:space="0" w:color="auto"/>
        <w:right w:val="none" w:sz="0" w:space="0" w:color="auto"/>
      </w:divBdr>
    </w:div>
    <w:div w:id="835847432">
      <w:bodyDiv w:val="1"/>
      <w:marLeft w:val="0"/>
      <w:marRight w:val="0"/>
      <w:marTop w:val="0"/>
      <w:marBottom w:val="0"/>
      <w:divBdr>
        <w:top w:val="none" w:sz="0" w:space="0" w:color="auto"/>
        <w:left w:val="none" w:sz="0" w:space="0" w:color="auto"/>
        <w:bottom w:val="none" w:sz="0" w:space="0" w:color="auto"/>
        <w:right w:val="none" w:sz="0" w:space="0" w:color="auto"/>
      </w:divBdr>
    </w:div>
    <w:div w:id="836699072">
      <w:bodyDiv w:val="1"/>
      <w:marLeft w:val="0"/>
      <w:marRight w:val="0"/>
      <w:marTop w:val="0"/>
      <w:marBottom w:val="0"/>
      <w:divBdr>
        <w:top w:val="none" w:sz="0" w:space="0" w:color="auto"/>
        <w:left w:val="none" w:sz="0" w:space="0" w:color="auto"/>
        <w:bottom w:val="none" w:sz="0" w:space="0" w:color="auto"/>
        <w:right w:val="none" w:sz="0" w:space="0" w:color="auto"/>
      </w:divBdr>
    </w:div>
    <w:div w:id="836848252">
      <w:bodyDiv w:val="1"/>
      <w:marLeft w:val="0"/>
      <w:marRight w:val="0"/>
      <w:marTop w:val="0"/>
      <w:marBottom w:val="0"/>
      <w:divBdr>
        <w:top w:val="none" w:sz="0" w:space="0" w:color="auto"/>
        <w:left w:val="none" w:sz="0" w:space="0" w:color="auto"/>
        <w:bottom w:val="none" w:sz="0" w:space="0" w:color="auto"/>
        <w:right w:val="none" w:sz="0" w:space="0" w:color="auto"/>
      </w:divBdr>
    </w:div>
    <w:div w:id="838615537">
      <w:bodyDiv w:val="1"/>
      <w:marLeft w:val="0"/>
      <w:marRight w:val="0"/>
      <w:marTop w:val="0"/>
      <w:marBottom w:val="0"/>
      <w:divBdr>
        <w:top w:val="none" w:sz="0" w:space="0" w:color="auto"/>
        <w:left w:val="none" w:sz="0" w:space="0" w:color="auto"/>
        <w:bottom w:val="none" w:sz="0" w:space="0" w:color="auto"/>
        <w:right w:val="none" w:sz="0" w:space="0" w:color="auto"/>
      </w:divBdr>
    </w:div>
    <w:div w:id="838809212">
      <w:bodyDiv w:val="1"/>
      <w:marLeft w:val="0"/>
      <w:marRight w:val="0"/>
      <w:marTop w:val="0"/>
      <w:marBottom w:val="0"/>
      <w:divBdr>
        <w:top w:val="none" w:sz="0" w:space="0" w:color="auto"/>
        <w:left w:val="none" w:sz="0" w:space="0" w:color="auto"/>
        <w:bottom w:val="none" w:sz="0" w:space="0" w:color="auto"/>
        <w:right w:val="none" w:sz="0" w:space="0" w:color="auto"/>
      </w:divBdr>
    </w:div>
    <w:div w:id="839740689">
      <w:bodyDiv w:val="1"/>
      <w:marLeft w:val="0"/>
      <w:marRight w:val="0"/>
      <w:marTop w:val="0"/>
      <w:marBottom w:val="0"/>
      <w:divBdr>
        <w:top w:val="none" w:sz="0" w:space="0" w:color="auto"/>
        <w:left w:val="none" w:sz="0" w:space="0" w:color="auto"/>
        <w:bottom w:val="none" w:sz="0" w:space="0" w:color="auto"/>
        <w:right w:val="none" w:sz="0" w:space="0" w:color="auto"/>
      </w:divBdr>
    </w:div>
    <w:div w:id="842665354">
      <w:bodyDiv w:val="1"/>
      <w:marLeft w:val="0"/>
      <w:marRight w:val="0"/>
      <w:marTop w:val="0"/>
      <w:marBottom w:val="0"/>
      <w:divBdr>
        <w:top w:val="none" w:sz="0" w:space="0" w:color="auto"/>
        <w:left w:val="none" w:sz="0" w:space="0" w:color="auto"/>
        <w:bottom w:val="none" w:sz="0" w:space="0" w:color="auto"/>
        <w:right w:val="none" w:sz="0" w:space="0" w:color="auto"/>
      </w:divBdr>
    </w:div>
    <w:div w:id="843786341">
      <w:bodyDiv w:val="1"/>
      <w:marLeft w:val="0"/>
      <w:marRight w:val="0"/>
      <w:marTop w:val="0"/>
      <w:marBottom w:val="0"/>
      <w:divBdr>
        <w:top w:val="none" w:sz="0" w:space="0" w:color="auto"/>
        <w:left w:val="none" w:sz="0" w:space="0" w:color="auto"/>
        <w:bottom w:val="none" w:sz="0" w:space="0" w:color="auto"/>
        <w:right w:val="none" w:sz="0" w:space="0" w:color="auto"/>
      </w:divBdr>
    </w:div>
    <w:div w:id="845904721">
      <w:bodyDiv w:val="1"/>
      <w:marLeft w:val="0"/>
      <w:marRight w:val="0"/>
      <w:marTop w:val="0"/>
      <w:marBottom w:val="0"/>
      <w:divBdr>
        <w:top w:val="none" w:sz="0" w:space="0" w:color="auto"/>
        <w:left w:val="none" w:sz="0" w:space="0" w:color="auto"/>
        <w:bottom w:val="none" w:sz="0" w:space="0" w:color="auto"/>
        <w:right w:val="none" w:sz="0" w:space="0" w:color="auto"/>
      </w:divBdr>
    </w:div>
    <w:div w:id="846287186">
      <w:bodyDiv w:val="1"/>
      <w:marLeft w:val="0"/>
      <w:marRight w:val="0"/>
      <w:marTop w:val="0"/>
      <w:marBottom w:val="0"/>
      <w:divBdr>
        <w:top w:val="none" w:sz="0" w:space="0" w:color="auto"/>
        <w:left w:val="none" w:sz="0" w:space="0" w:color="auto"/>
        <w:bottom w:val="none" w:sz="0" w:space="0" w:color="auto"/>
        <w:right w:val="none" w:sz="0" w:space="0" w:color="auto"/>
      </w:divBdr>
    </w:div>
    <w:div w:id="846673028">
      <w:bodyDiv w:val="1"/>
      <w:marLeft w:val="0"/>
      <w:marRight w:val="0"/>
      <w:marTop w:val="0"/>
      <w:marBottom w:val="0"/>
      <w:divBdr>
        <w:top w:val="none" w:sz="0" w:space="0" w:color="auto"/>
        <w:left w:val="none" w:sz="0" w:space="0" w:color="auto"/>
        <w:bottom w:val="none" w:sz="0" w:space="0" w:color="auto"/>
        <w:right w:val="none" w:sz="0" w:space="0" w:color="auto"/>
      </w:divBdr>
    </w:div>
    <w:div w:id="846939093">
      <w:bodyDiv w:val="1"/>
      <w:marLeft w:val="0"/>
      <w:marRight w:val="0"/>
      <w:marTop w:val="0"/>
      <w:marBottom w:val="0"/>
      <w:divBdr>
        <w:top w:val="none" w:sz="0" w:space="0" w:color="auto"/>
        <w:left w:val="none" w:sz="0" w:space="0" w:color="auto"/>
        <w:bottom w:val="none" w:sz="0" w:space="0" w:color="auto"/>
        <w:right w:val="none" w:sz="0" w:space="0" w:color="auto"/>
      </w:divBdr>
    </w:div>
    <w:div w:id="847794096">
      <w:bodyDiv w:val="1"/>
      <w:marLeft w:val="0"/>
      <w:marRight w:val="0"/>
      <w:marTop w:val="0"/>
      <w:marBottom w:val="0"/>
      <w:divBdr>
        <w:top w:val="none" w:sz="0" w:space="0" w:color="auto"/>
        <w:left w:val="none" w:sz="0" w:space="0" w:color="auto"/>
        <w:bottom w:val="none" w:sz="0" w:space="0" w:color="auto"/>
        <w:right w:val="none" w:sz="0" w:space="0" w:color="auto"/>
      </w:divBdr>
    </w:div>
    <w:div w:id="847984142">
      <w:bodyDiv w:val="1"/>
      <w:marLeft w:val="0"/>
      <w:marRight w:val="0"/>
      <w:marTop w:val="0"/>
      <w:marBottom w:val="0"/>
      <w:divBdr>
        <w:top w:val="none" w:sz="0" w:space="0" w:color="auto"/>
        <w:left w:val="none" w:sz="0" w:space="0" w:color="auto"/>
        <w:bottom w:val="none" w:sz="0" w:space="0" w:color="auto"/>
        <w:right w:val="none" w:sz="0" w:space="0" w:color="auto"/>
      </w:divBdr>
    </w:div>
    <w:div w:id="848258133">
      <w:bodyDiv w:val="1"/>
      <w:marLeft w:val="0"/>
      <w:marRight w:val="0"/>
      <w:marTop w:val="0"/>
      <w:marBottom w:val="0"/>
      <w:divBdr>
        <w:top w:val="none" w:sz="0" w:space="0" w:color="auto"/>
        <w:left w:val="none" w:sz="0" w:space="0" w:color="auto"/>
        <w:bottom w:val="none" w:sz="0" w:space="0" w:color="auto"/>
        <w:right w:val="none" w:sz="0" w:space="0" w:color="auto"/>
      </w:divBdr>
    </w:div>
    <w:div w:id="849102508">
      <w:bodyDiv w:val="1"/>
      <w:marLeft w:val="0"/>
      <w:marRight w:val="0"/>
      <w:marTop w:val="0"/>
      <w:marBottom w:val="0"/>
      <w:divBdr>
        <w:top w:val="none" w:sz="0" w:space="0" w:color="auto"/>
        <w:left w:val="none" w:sz="0" w:space="0" w:color="auto"/>
        <w:bottom w:val="none" w:sz="0" w:space="0" w:color="auto"/>
        <w:right w:val="none" w:sz="0" w:space="0" w:color="auto"/>
      </w:divBdr>
    </w:div>
    <w:div w:id="849950797">
      <w:bodyDiv w:val="1"/>
      <w:marLeft w:val="0"/>
      <w:marRight w:val="0"/>
      <w:marTop w:val="0"/>
      <w:marBottom w:val="0"/>
      <w:divBdr>
        <w:top w:val="none" w:sz="0" w:space="0" w:color="auto"/>
        <w:left w:val="none" w:sz="0" w:space="0" w:color="auto"/>
        <w:bottom w:val="none" w:sz="0" w:space="0" w:color="auto"/>
        <w:right w:val="none" w:sz="0" w:space="0" w:color="auto"/>
      </w:divBdr>
    </w:div>
    <w:div w:id="850070045">
      <w:bodyDiv w:val="1"/>
      <w:marLeft w:val="0"/>
      <w:marRight w:val="0"/>
      <w:marTop w:val="0"/>
      <w:marBottom w:val="0"/>
      <w:divBdr>
        <w:top w:val="none" w:sz="0" w:space="0" w:color="auto"/>
        <w:left w:val="none" w:sz="0" w:space="0" w:color="auto"/>
        <w:bottom w:val="none" w:sz="0" w:space="0" w:color="auto"/>
        <w:right w:val="none" w:sz="0" w:space="0" w:color="auto"/>
      </w:divBdr>
    </w:div>
    <w:div w:id="850528931">
      <w:bodyDiv w:val="1"/>
      <w:marLeft w:val="0"/>
      <w:marRight w:val="0"/>
      <w:marTop w:val="0"/>
      <w:marBottom w:val="0"/>
      <w:divBdr>
        <w:top w:val="none" w:sz="0" w:space="0" w:color="auto"/>
        <w:left w:val="none" w:sz="0" w:space="0" w:color="auto"/>
        <w:bottom w:val="none" w:sz="0" w:space="0" w:color="auto"/>
        <w:right w:val="none" w:sz="0" w:space="0" w:color="auto"/>
      </w:divBdr>
    </w:div>
    <w:div w:id="851409238">
      <w:bodyDiv w:val="1"/>
      <w:marLeft w:val="0"/>
      <w:marRight w:val="0"/>
      <w:marTop w:val="0"/>
      <w:marBottom w:val="0"/>
      <w:divBdr>
        <w:top w:val="none" w:sz="0" w:space="0" w:color="auto"/>
        <w:left w:val="none" w:sz="0" w:space="0" w:color="auto"/>
        <w:bottom w:val="none" w:sz="0" w:space="0" w:color="auto"/>
        <w:right w:val="none" w:sz="0" w:space="0" w:color="auto"/>
      </w:divBdr>
    </w:div>
    <w:div w:id="852299972">
      <w:bodyDiv w:val="1"/>
      <w:marLeft w:val="0"/>
      <w:marRight w:val="0"/>
      <w:marTop w:val="0"/>
      <w:marBottom w:val="0"/>
      <w:divBdr>
        <w:top w:val="none" w:sz="0" w:space="0" w:color="auto"/>
        <w:left w:val="none" w:sz="0" w:space="0" w:color="auto"/>
        <w:bottom w:val="none" w:sz="0" w:space="0" w:color="auto"/>
        <w:right w:val="none" w:sz="0" w:space="0" w:color="auto"/>
      </w:divBdr>
    </w:div>
    <w:div w:id="854535464">
      <w:bodyDiv w:val="1"/>
      <w:marLeft w:val="0"/>
      <w:marRight w:val="0"/>
      <w:marTop w:val="0"/>
      <w:marBottom w:val="0"/>
      <w:divBdr>
        <w:top w:val="none" w:sz="0" w:space="0" w:color="auto"/>
        <w:left w:val="none" w:sz="0" w:space="0" w:color="auto"/>
        <w:bottom w:val="none" w:sz="0" w:space="0" w:color="auto"/>
        <w:right w:val="none" w:sz="0" w:space="0" w:color="auto"/>
      </w:divBdr>
    </w:div>
    <w:div w:id="856238061">
      <w:bodyDiv w:val="1"/>
      <w:marLeft w:val="0"/>
      <w:marRight w:val="0"/>
      <w:marTop w:val="0"/>
      <w:marBottom w:val="0"/>
      <w:divBdr>
        <w:top w:val="none" w:sz="0" w:space="0" w:color="auto"/>
        <w:left w:val="none" w:sz="0" w:space="0" w:color="auto"/>
        <w:bottom w:val="none" w:sz="0" w:space="0" w:color="auto"/>
        <w:right w:val="none" w:sz="0" w:space="0" w:color="auto"/>
      </w:divBdr>
    </w:div>
    <w:div w:id="856843531">
      <w:bodyDiv w:val="1"/>
      <w:marLeft w:val="0"/>
      <w:marRight w:val="0"/>
      <w:marTop w:val="0"/>
      <w:marBottom w:val="0"/>
      <w:divBdr>
        <w:top w:val="none" w:sz="0" w:space="0" w:color="auto"/>
        <w:left w:val="none" w:sz="0" w:space="0" w:color="auto"/>
        <w:bottom w:val="none" w:sz="0" w:space="0" w:color="auto"/>
        <w:right w:val="none" w:sz="0" w:space="0" w:color="auto"/>
      </w:divBdr>
    </w:div>
    <w:div w:id="858352152">
      <w:bodyDiv w:val="1"/>
      <w:marLeft w:val="0"/>
      <w:marRight w:val="0"/>
      <w:marTop w:val="0"/>
      <w:marBottom w:val="0"/>
      <w:divBdr>
        <w:top w:val="none" w:sz="0" w:space="0" w:color="auto"/>
        <w:left w:val="none" w:sz="0" w:space="0" w:color="auto"/>
        <w:bottom w:val="none" w:sz="0" w:space="0" w:color="auto"/>
        <w:right w:val="none" w:sz="0" w:space="0" w:color="auto"/>
      </w:divBdr>
    </w:div>
    <w:div w:id="859782676">
      <w:bodyDiv w:val="1"/>
      <w:marLeft w:val="0"/>
      <w:marRight w:val="0"/>
      <w:marTop w:val="0"/>
      <w:marBottom w:val="0"/>
      <w:divBdr>
        <w:top w:val="none" w:sz="0" w:space="0" w:color="auto"/>
        <w:left w:val="none" w:sz="0" w:space="0" w:color="auto"/>
        <w:bottom w:val="none" w:sz="0" w:space="0" w:color="auto"/>
        <w:right w:val="none" w:sz="0" w:space="0" w:color="auto"/>
      </w:divBdr>
    </w:div>
    <w:div w:id="860164158">
      <w:bodyDiv w:val="1"/>
      <w:marLeft w:val="0"/>
      <w:marRight w:val="0"/>
      <w:marTop w:val="0"/>
      <w:marBottom w:val="0"/>
      <w:divBdr>
        <w:top w:val="none" w:sz="0" w:space="0" w:color="auto"/>
        <w:left w:val="none" w:sz="0" w:space="0" w:color="auto"/>
        <w:bottom w:val="none" w:sz="0" w:space="0" w:color="auto"/>
        <w:right w:val="none" w:sz="0" w:space="0" w:color="auto"/>
      </w:divBdr>
    </w:div>
    <w:div w:id="860171394">
      <w:bodyDiv w:val="1"/>
      <w:marLeft w:val="0"/>
      <w:marRight w:val="0"/>
      <w:marTop w:val="0"/>
      <w:marBottom w:val="0"/>
      <w:divBdr>
        <w:top w:val="none" w:sz="0" w:space="0" w:color="auto"/>
        <w:left w:val="none" w:sz="0" w:space="0" w:color="auto"/>
        <w:bottom w:val="none" w:sz="0" w:space="0" w:color="auto"/>
        <w:right w:val="none" w:sz="0" w:space="0" w:color="auto"/>
      </w:divBdr>
    </w:div>
    <w:div w:id="860823267">
      <w:bodyDiv w:val="1"/>
      <w:marLeft w:val="0"/>
      <w:marRight w:val="0"/>
      <w:marTop w:val="0"/>
      <w:marBottom w:val="0"/>
      <w:divBdr>
        <w:top w:val="none" w:sz="0" w:space="0" w:color="auto"/>
        <w:left w:val="none" w:sz="0" w:space="0" w:color="auto"/>
        <w:bottom w:val="none" w:sz="0" w:space="0" w:color="auto"/>
        <w:right w:val="none" w:sz="0" w:space="0" w:color="auto"/>
      </w:divBdr>
    </w:div>
    <w:div w:id="861818593">
      <w:bodyDiv w:val="1"/>
      <w:marLeft w:val="0"/>
      <w:marRight w:val="0"/>
      <w:marTop w:val="0"/>
      <w:marBottom w:val="0"/>
      <w:divBdr>
        <w:top w:val="none" w:sz="0" w:space="0" w:color="auto"/>
        <w:left w:val="none" w:sz="0" w:space="0" w:color="auto"/>
        <w:bottom w:val="none" w:sz="0" w:space="0" w:color="auto"/>
        <w:right w:val="none" w:sz="0" w:space="0" w:color="auto"/>
      </w:divBdr>
    </w:div>
    <w:div w:id="863325782">
      <w:bodyDiv w:val="1"/>
      <w:marLeft w:val="0"/>
      <w:marRight w:val="0"/>
      <w:marTop w:val="0"/>
      <w:marBottom w:val="0"/>
      <w:divBdr>
        <w:top w:val="none" w:sz="0" w:space="0" w:color="auto"/>
        <w:left w:val="none" w:sz="0" w:space="0" w:color="auto"/>
        <w:bottom w:val="none" w:sz="0" w:space="0" w:color="auto"/>
        <w:right w:val="none" w:sz="0" w:space="0" w:color="auto"/>
      </w:divBdr>
    </w:div>
    <w:div w:id="863595030">
      <w:bodyDiv w:val="1"/>
      <w:marLeft w:val="0"/>
      <w:marRight w:val="0"/>
      <w:marTop w:val="0"/>
      <w:marBottom w:val="0"/>
      <w:divBdr>
        <w:top w:val="none" w:sz="0" w:space="0" w:color="auto"/>
        <w:left w:val="none" w:sz="0" w:space="0" w:color="auto"/>
        <w:bottom w:val="none" w:sz="0" w:space="0" w:color="auto"/>
        <w:right w:val="none" w:sz="0" w:space="0" w:color="auto"/>
      </w:divBdr>
    </w:div>
    <w:div w:id="863834456">
      <w:bodyDiv w:val="1"/>
      <w:marLeft w:val="0"/>
      <w:marRight w:val="0"/>
      <w:marTop w:val="0"/>
      <w:marBottom w:val="0"/>
      <w:divBdr>
        <w:top w:val="none" w:sz="0" w:space="0" w:color="auto"/>
        <w:left w:val="none" w:sz="0" w:space="0" w:color="auto"/>
        <w:bottom w:val="none" w:sz="0" w:space="0" w:color="auto"/>
        <w:right w:val="none" w:sz="0" w:space="0" w:color="auto"/>
      </w:divBdr>
    </w:div>
    <w:div w:id="866867185">
      <w:bodyDiv w:val="1"/>
      <w:marLeft w:val="0"/>
      <w:marRight w:val="0"/>
      <w:marTop w:val="0"/>
      <w:marBottom w:val="0"/>
      <w:divBdr>
        <w:top w:val="none" w:sz="0" w:space="0" w:color="auto"/>
        <w:left w:val="none" w:sz="0" w:space="0" w:color="auto"/>
        <w:bottom w:val="none" w:sz="0" w:space="0" w:color="auto"/>
        <w:right w:val="none" w:sz="0" w:space="0" w:color="auto"/>
      </w:divBdr>
    </w:div>
    <w:div w:id="867723769">
      <w:bodyDiv w:val="1"/>
      <w:marLeft w:val="0"/>
      <w:marRight w:val="0"/>
      <w:marTop w:val="0"/>
      <w:marBottom w:val="0"/>
      <w:divBdr>
        <w:top w:val="none" w:sz="0" w:space="0" w:color="auto"/>
        <w:left w:val="none" w:sz="0" w:space="0" w:color="auto"/>
        <w:bottom w:val="none" w:sz="0" w:space="0" w:color="auto"/>
        <w:right w:val="none" w:sz="0" w:space="0" w:color="auto"/>
      </w:divBdr>
    </w:div>
    <w:div w:id="868301452">
      <w:bodyDiv w:val="1"/>
      <w:marLeft w:val="0"/>
      <w:marRight w:val="0"/>
      <w:marTop w:val="0"/>
      <w:marBottom w:val="0"/>
      <w:divBdr>
        <w:top w:val="none" w:sz="0" w:space="0" w:color="auto"/>
        <w:left w:val="none" w:sz="0" w:space="0" w:color="auto"/>
        <w:bottom w:val="none" w:sz="0" w:space="0" w:color="auto"/>
        <w:right w:val="none" w:sz="0" w:space="0" w:color="auto"/>
      </w:divBdr>
    </w:div>
    <w:div w:id="870649607">
      <w:bodyDiv w:val="1"/>
      <w:marLeft w:val="0"/>
      <w:marRight w:val="0"/>
      <w:marTop w:val="0"/>
      <w:marBottom w:val="0"/>
      <w:divBdr>
        <w:top w:val="none" w:sz="0" w:space="0" w:color="auto"/>
        <w:left w:val="none" w:sz="0" w:space="0" w:color="auto"/>
        <w:bottom w:val="none" w:sz="0" w:space="0" w:color="auto"/>
        <w:right w:val="none" w:sz="0" w:space="0" w:color="auto"/>
      </w:divBdr>
    </w:div>
    <w:div w:id="872693993">
      <w:bodyDiv w:val="1"/>
      <w:marLeft w:val="0"/>
      <w:marRight w:val="0"/>
      <w:marTop w:val="0"/>
      <w:marBottom w:val="0"/>
      <w:divBdr>
        <w:top w:val="none" w:sz="0" w:space="0" w:color="auto"/>
        <w:left w:val="none" w:sz="0" w:space="0" w:color="auto"/>
        <w:bottom w:val="none" w:sz="0" w:space="0" w:color="auto"/>
        <w:right w:val="none" w:sz="0" w:space="0" w:color="auto"/>
      </w:divBdr>
    </w:div>
    <w:div w:id="872885492">
      <w:bodyDiv w:val="1"/>
      <w:marLeft w:val="0"/>
      <w:marRight w:val="0"/>
      <w:marTop w:val="0"/>
      <w:marBottom w:val="0"/>
      <w:divBdr>
        <w:top w:val="none" w:sz="0" w:space="0" w:color="auto"/>
        <w:left w:val="none" w:sz="0" w:space="0" w:color="auto"/>
        <w:bottom w:val="none" w:sz="0" w:space="0" w:color="auto"/>
        <w:right w:val="none" w:sz="0" w:space="0" w:color="auto"/>
      </w:divBdr>
    </w:div>
    <w:div w:id="873536903">
      <w:bodyDiv w:val="1"/>
      <w:marLeft w:val="0"/>
      <w:marRight w:val="0"/>
      <w:marTop w:val="0"/>
      <w:marBottom w:val="0"/>
      <w:divBdr>
        <w:top w:val="none" w:sz="0" w:space="0" w:color="auto"/>
        <w:left w:val="none" w:sz="0" w:space="0" w:color="auto"/>
        <w:bottom w:val="none" w:sz="0" w:space="0" w:color="auto"/>
        <w:right w:val="none" w:sz="0" w:space="0" w:color="auto"/>
      </w:divBdr>
    </w:div>
    <w:div w:id="875003864">
      <w:bodyDiv w:val="1"/>
      <w:marLeft w:val="0"/>
      <w:marRight w:val="0"/>
      <w:marTop w:val="0"/>
      <w:marBottom w:val="0"/>
      <w:divBdr>
        <w:top w:val="none" w:sz="0" w:space="0" w:color="auto"/>
        <w:left w:val="none" w:sz="0" w:space="0" w:color="auto"/>
        <w:bottom w:val="none" w:sz="0" w:space="0" w:color="auto"/>
        <w:right w:val="none" w:sz="0" w:space="0" w:color="auto"/>
      </w:divBdr>
    </w:div>
    <w:div w:id="876817771">
      <w:bodyDiv w:val="1"/>
      <w:marLeft w:val="0"/>
      <w:marRight w:val="0"/>
      <w:marTop w:val="0"/>
      <w:marBottom w:val="0"/>
      <w:divBdr>
        <w:top w:val="none" w:sz="0" w:space="0" w:color="auto"/>
        <w:left w:val="none" w:sz="0" w:space="0" w:color="auto"/>
        <w:bottom w:val="none" w:sz="0" w:space="0" w:color="auto"/>
        <w:right w:val="none" w:sz="0" w:space="0" w:color="auto"/>
      </w:divBdr>
    </w:div>
    <w:div w:id="877548835">
      <w:bodyDiv w:val="1"/>
      <w:marLeft w:val="0"/>
      <w:marRight w:val="0"/>
      <w:marTop w:val="0"/>
      <w:marBottom w:val="0"/>
      <w:divBdr>
        <w:top w:val="none" w:sz="0" w:space="0" w:color="auto"/>
        <w:left w:val="none" w:sz="0" w:space="0" w:color="auto"/>
        <w:bottom w:val="none" w:sz="0" w:space="0" w:color="auto"/>
        <w:right w:val="none" w:sz="0" w:space="0" w:color="auto"/>
      </w:divBdr>
    </w:div>
    <w:div w:id="880288549">
      <w:bodyDiv w:val="1"/>
      <w:marLeft w:val="0"/>
      <w:marRight w:val="0"/>
      <w:marTop w:val="0"/>
      <w:marBottom w:val="0"/>
      <w:divBdr>
        <w:top w:val="none" w:sz="0" w:space="0" w:color="auto"/>
        <w:left w:val="none" w:sz="0" w:space="0" w:color="auto"/>
        <w:bottom w:val="none" w:sz="0" w:space="0" w:color="auto"/>
        <w:right w:val="none" w:sz="0" w:space="0" w:color="auto"/>
      </w:divBdr>
    </w:div>
    <w:div w:id="881984894">
      <w:bodyDiv w:val="1"/>
      <w:marLeft w:val="0"/>
      <w:marRight w:val="0"/>
      <w:marTop w:val="0"/>
      <w:marBottom w:val="0"/>
      <w:divBdr>
        <w:top w:val="none" w:sz="0" w:space="0" w:color="auto"/>
        <w:left w:val="none" w:sz="0" w:space="0" w:color="auto"/>
        <w:bottom w:val="none" w:sz="0" w:space="0" w:color="auto"/>
        <w:right w:val="none" w:sz="0" w:space="0" w:color="auto"/>
      </w:divBdr>
    </w:div>
    <w:div w:id="882907079">
      <w:bodyDiv w:val="1"/>
      <w:marLeft w:val="0"/>
      <w:marRight w:val="0"/>
      <w:marTop w:val="0"/>
      <w:marBottom w:val="0"/>
      <w:divBdr>
        <w:top w:val="none" w:sz="0" w:space="0" w:color="auto"/>
        <w:left w:val="none" w:sz="0" w:space="0" w:color="auto"/>
        <w:bottom w:val="none" w:sz="0" w:space="0" w:color="auto"/>
        <w:right w:val="none" w:sz="0" w:space="0" w:color="auto"/>
      </w:divBdr>
    </w:div>
    <w:div w:id="883716735">
      <w:bodyDiv w:val="1"/>
      <w:marLeft w:val="0"/>
      <w:marRight w:val="0"/>
      <w:marTop w:val="0"/>
      <w:marBottom w:val="0"/>
      <w:divBdr>
        <w:top w:val="none" w:sz="0" w:space="0" w:color="auto"/>
        <w:left w:val="none" w:sz="0" w:space="0" w:color="auto"/>
        <w:bottom w:val="none" w:sz="0" w:space="0" w:color="auto"/>
        <w:right w:val="none" w:sz="0" w:space="0" w:color="auto"/>
      </w:divBdr>
    </w:div>
    <w:div w:id="884371516">
      <w:bodyDiv w:val="1"/>
      <w:marLeft w:val="0"/>
      <w:marRight w:val="0"/>
      <w:marTop w:val="0"/>
      <w:marBottom w:val="0"/>
      <w:divBdr>
        <w:top w:val="none" w:sz="0" w:space="0" w:color="auto"/>
        <w:left w:val="none" w:sz="0" w:space="0" w:color="auto"/>
        <w:bottom w:val="none" w:sz="0" w:space="0" w:color="auto"/>
        <w:right w:val="none" w:sz="0" w:space="0" w:color="auto"/>
      </w:divBdr>
    </w:div>
    <w:div w:id="885600042">
      <w:bodyDiv w:val="1"/>
      <w:marLeft w:val="0"/>
      <w:marRight w:val="0"/>
      <w:marTop w:val="0"/>
      <w:marBottom w:val="0"/>
      <w:divBdr>
        <w:top w:val="none" w:sz="0" w:space="0" w:color="auto"/>
        <w:left w:val="none" w:sz="0" w:space="0" w:color="auto"/>
        <w:bottom w:val="none" w:sz="0" w:space="0" w:color="auto"/>
        <w:right w:val="none" w:sz="0" w:space="0" w:color="auto"/>
      </w:divBdr>
    </w:div>
    <w:div w:id="888953561">
      <w:bodyDiv w:val="1"/>
      <w:marLeft w:val="0"/>
      <w:marRight w:val="0"/>
      <w:marTop w:val="0"/>
      <w:marBottom w:val="0"/>
      <w:divBdr>
        <w:top w:val="none" w:sz="0" w:space="0" w:color="auto"/>
        <w:left w:val="none" w:sz="0" w:space="0" w:color="auto"/>
        <w:bottom w:val="none" w:sz="0" w:space="0" w:color="auto"/>
        <w:right w:val="none" w:sz="0" w:space="0" w:color="auto"/>
      </w:divBdr>
    </w:div>
    <w:div w:id="892472804">
      <w:bodyDiv w:val="1"/>
      <w:marLeft w:val="0"/>
      <w:marRight w:val="0"/>
      <w:marTop w:val="0"/>
      <w:marBottom w:val="0"/>
      <w:divBdr>
        <w:top w:val="none" w:sz="0" w:space="0" w:color="auto"/>
        <w:left w:val="none" w:sz="0" w:space="0" w:color="auto"/>
        <w:bottom w:val="none" w:sz="0" w:space="0" w:color="auto"/>
        <w:right w:val="none" w:sz="0" w:space="0" w:color="auto"/>
      </w:divBdr>
    </w:div>
    <w:div w:id="893272498">
      <w:bodyDiv w:val="1"/>
      <w:marLeft w:val="0"/>
      <w:marRight w:val="0"/>
      <w:marTop w:val="0"/>
      <w:marBottom w:val="0"/>
      <w:divBdr>
        <w:top w:val="none" w:sz="0" w:space="0" w:color="auto"/>
        <w:left w:val="none" w:sz="0" w:space="0" w:color="auto"/>
        <w:bottom w:val="none" w:sz="0" w:space="0" w:color="auto"/>
        <w:right w:val="none" w:sz="0" w:space="0" w:color="auto"/>
      </w:divBdr>
    </w:div>
    <w:div w:id="893349842">
      <w:bodyDiv w:val="1"/>
      <w:marLeft w:val="0"/>
      <w:marRight w:val="0"/>
      <w:marTop w:val="0"/>
      <w:marBottom w:val="0"/>
      <w:divBdr>
        <w:top w:val="none" w:sz="0" w:space="0" w:color="auto"/>
        <w:left w:val="none" w:sz="0" w:space="0" w:color="auto"/>
        <w:bottom w:val="none" w:sz="0" w:space="0" w:color="auto"/>
        <w:right w:val="none" w:sz="0" w:space="0" w:color="auto"/>
      </w:divBdr>
    </w:div>
    <w:div w:id="894704269">
      <w:bodyDiv w:val="1"/>
      <w:marLeft w:val="0"/>
      <w:marRight w:val="0"/>
      <w:marTop w:val="0"/>
      <w:marBottom w:val="0"/>
      <w:divBdr>
        <w:top w:val="none" w:sz="0" w:space="0" w:color="auto"/>
        <w:left w:val="none" w:sz="0" w:space="0" w:color="auto"/>
        <w:bottom w:val="none" w:sz="0" w:space="0" w:color="auto"/>
        <w:right w:val="none" w:sz="0" w:space="0" w:color="auto"/>
      </w:divBdr>
    </w:div>
    <w:div w:id="894779235">
      <w:bodyDiv w:val="1"/>
      <w:marLeft w:val="0"/>
      <w:marRight w:val="0"/>
      <w:marTop w:val="0"/>
      <w:marBottom w:val="0"/>
      <w:divBdr>
        <w:top w:val="none" w:sz="0" w:space="0" w:color="auto"/>
        <w:left w:val="none" w:sz="0" w:space="0" w:color="auto"/>
        <w:bottom w:val="none" w:sz="0" w:space="0" w:color="auto"/>
        <w:right w:val="none" w:sz="0" w:space="0" w:color="auto"/>
      </w:divBdr>
    </w:div>
    <w:div w:id="895358216">
      <w:bodyDiv w:val="1"/>
      <w:marLeft w:val="0"/>
      <w:marRight w:val="0"/>
      <w:marTop w:val="0"/>
      <w:marBottom w:val="0"/>
      <w:divBdr>
        <w:top w:val="none" w:sz="0" w:space="0" w:color="auto"/>
        <w:left w:val="none" w:sz="0" w:space="0" w:color="auto"/>
        <w:bottom w:val="none" w:sz="0" w:space="0" w:color="auto"/>
        <w:right w:val="none" w:sz="0" w:space="0" w:color="auto"/>
      </w:divBdr>
    </w:div>
    <w:div w:id="896084511">
      <w:bodyDiv w:val="1"/>
      <w:marLeft w:val="0"/>
      <w:marRight w:val="0"/>
      <w:marTop w:val="0"/>
      <w:marBottom w:val="0"/>
      <w:divBdr>
        <w:top w:val="none" w:sz="0" w:space="0" w:color="auto"/>
        <w:left w:val="none" w:sz="0" w:space="0" w:color="auto"/>
        <w:bottom w:val="none" w:sz="0" w:space="0" w:color="auto"/>
        <w:right w:val="none" w:sz="0" w:space="0" w:color="auto"/>
      </w:divBdr>
    </w:div>
    <w:div w:id="896553632">
      <w:bodyDiv w:val="1"/>
      <w:marLeft w:val="0"/>
      <w:marRight w:val="0"/>
      <w:marTop w:val="0"/>
      <w:marBottom w:val="0"/>
      <w:divBdr>
        <w:top w:val="none" w:sz="0" w:space="0" w:color="auto"/>
        <w:left w:val="none" w:sz="0" w:space="0" w:color="auto"/>
        <w:bottom w:val="none" w:sz="0" w:space="0" w:color="auto"/>
        <w:right w:val="none" w:sz="0" w:space="0" w:color="auto"/>
      </w:divBdr>
    </w:div>
    <w:div w:id="897017722">
      <w:bodyDiv w:val="1"/>
      <w:marLeft w:val="0"/>
      <w:marRight w:val="0"/>
      <w:marTop w:val="0"/>
      <w:marBottom w:val="0"/>
      <w:divBdr>
        <w:top w:val="none" w:sz="0" w:space="0" w:color="auto"/>
        <w:left w:val="none" w:sz="0" w:space="0" w:color="auto"/>
        <w:bottom w:val="none" w:sz="0" w:space="0" w:color="auto"/>
        <w:right w:val="none" w:sz="0" w:space="0" w:color="auto"/>
      </w:divBdr>
    </w:div>
    <w:div w:id="897319746">
      <w:bodyDiv w:val="1"/>
      <w:marLeft w:val="0"/>
      <w:marRight w:val="0"/>
      <w:marTop w:val="0"/>
      <w:marBottom w:val="0"/>
      <w:divBdr>
        <w:top w:val="none" w:sz="0" w:space="0" w:color="auto"/>
        <w:left w:val="none" w:sz="0" w:space="0" w:color="auto"/>
        <w:bottom w:val="none" w:sz="0" w:space="0" w:color="auto"/>
        <w:right w:val="none" w:sz="0" w:space="0" w:color="auto"/>
      </w:divBdr>
    </w:div>
    <w:div w:id="899636970">
      <w:bodyDiv w:val="1"/>
      <w:marLeft w:val="0"/>
      <w:marRight w:val="0"/>
      <w:marTop w:val="0"/>
      <w:marBottom w:val="0"/>
      <w:divBdr>
        <w:top w:val="none" w:sz="0" w:space="0" w:color="auto"/>
        <w:left w:val="none" w:sz="0" w:space="0" w:color="auto"/>
        <w:bottom w:val="none" w:sz="0" w:space="0" w:color="auto"/>
        <w:right w:val="none" w:sz="0" w:space="0" w:color="auto"/>
      </w:divBdr>
    </w:div>
    <w:div w:id="900363453">
      <w:bodyDiv w:val="1"/>
      <w:marLeft w:val="0"/>
      <w:marRight w:val="0"/>
      <w:marTop w:val="0"/>
      <w:marBottom w:val="0"/>
      <w:divBdr>
        <w:top w:val="none" w:sz="0" w:space="0" w:color="auto"/>
        <w:left w:val="none" w:sz="0" w:space="0" w:color="auto"/>
        <w:bottom w:val="none" w:sz="0" w:space="0" w:color="auto"/>
        <w:right w:val="none" w:sz="0" w:space="0" w:color="auto"/>
      </w:divBdr>
    </w:div>
    <w:div w:id="901406247">
      <w:bodyDiv w:val="1"/>
      <w:marLeft w:val="0"/>
      <w:marRight w:val="0"/>
      <w:marTop w:val="0"/>
      <w:marBottom w:val="0"/>
      <w:divBdr>
        <w:top w:val="none" w:sz="0" w:space="0" w:color="auto"/>
        <w:left w:val="none" w:sz="0" w:space="0" w:color="auto"/>
        <w:bottom w:val="none" w:sz="0" w:space="0" w:color="auto"/>
        <w:right w:val="none" w:sz="0" w:space="0" w:color="auto"/>
      </w:divBdr>
    </w:div>
    <w:div w:id="901450942">
      <w:bodyDiv w:val="1"/>
      <w:marLeft w:val="0"/>
      <w:marRight w:val="0"/>
      <w:marTop w:val="0"/>
      <w:marBottom w:val="0"/>
      <w:divBdr>
        <w:top w:val="none" w:sz="0" w:space="0" w:color="auto"/>
        <w:left w:val="none" w:sz="0" w:space="0" w:color="auto"/>
        <w:bottom w:val="none" w:sz="0" w:space="0" w:color="auto"/>
        <w:right w:val="none" w:sz="0" w:space="0" w:color="auto"/>
      </w:divBdr>
    </w:div>
    <w:div w:id="901981614">
      <w:bodyDiv w:val="1"/>
      <w:marLeft w:val="0"/>
      <w:marRight w:val="0"/>
      <w:marTop w:val="0"/>
      <w:marBottom w:val="0"/>
      <w:divBdr>
        <w:top w:val="none" w:sz="0" w:space="0" w:color="auto"/>
        <w:left w:val="none" w:sz="0" w:space="0" w:color="auto"/>
        <w:bottom w:val="none" w:sz="0" w:space="0" w:color="auto"/>
        <w:right w:val="none" w:sz="0" w:space="0" w:color="auto"/>
      </w:divBdr>
    </w:div>
    <w:div w:id="905384693">
      <w:bodyDiv w:val="1"/>
      <w:marLeft w:val="0"/>
      <w:marRight w:val="0"/>
      <w:marTop w:val="0"/>
      <w:marBottom w:val="0"/>
      <w:divBdr>
        <w:top w:val="none" w:sz="0" w:space="0" w:color="auto"/>
        <w:left w:val="none" w:sz="0" w:space="0" w:color="auto"/>
        <w:bottom w:val="none" w:sz="0" w:space="0" w:color="auto"/>
        <w:right w:val="none" w:sz="0" w:space="0" w:color="auto"/>
      </w:divBdr>
    </w:div>
    <w:div w:id="905531767">
      <w:bodyDiv w:val="1"/>
      <w:marLeft w:val="0"/>
      <w:marRight w:val="0"/>
      <w:marTop w:val="0"/>
      <w:marBottom w:val="0"/>
      <w:divBdr>
        <w:top w:val="none" w:sz="0" w:space="0" w:color="auto"/>
        <w:left w:val="none" w:sz="0" w:space="0" w:color="auto"/>
        <w:bottom w:val="none" w:sz="0" w:space="0" w:color="auto"/>
        <w:right w:val="none" w:sz="0" w:space="0" w:color="auto"/>
      </w:divBdr>
    </w:div>
    <w:div w:id="907232557">
      <w:bodyDiv w:val="1"/>
      <w:marLeft w:val="0"/>
      <w:marRight w:val="0"/>
      <w:marTop w:val="0"/>
      <w:marBottom w:val="0"/>
      <w:divBdr>
        <w:top w:val="none" w:sz="0" w:space="0" w:color="auto"/>
        <w:left w:val="none" w:sz="0" w:space="0" w:color="auto"/>
        <w:bottom w:val="none" w:sz="0" w:space="0" w:color="auto"/>
        <w:right w:val="none" w:sz="0" w:space="0" w:color="auto"/>
      </w:divBdr>
    </w:div>
    <w:div w:id="913857398">
      <w:bodyDiv w:val="1"/>
      <w:marLeft w:val="0"/>
      <w:marRight w:val="0"/>
      <w:marTop w:val="0"/>
      <w:marBottom w:val="0"/>
      <w:divBdr>
        <w:top w:val="none" w:sz="0" w:space="0" w:color="auto"/>
        <w:left w:val="none" w:sz="0" w:space="0" w:color="auto"/>
        <w:bottom w:val="none" w:sz="0" w:space="0" w:color="auto"/>
        <w:right w:val="none" w:sz="0" w:space="0" w:color="auto"/>
      </w:divBdr>
    </w:div>
    <w:div w:id="914970121">
      <w:bodyDiv w:val="1"/>
      <w:marLeft w:val="0"/>
      <w:marRight w:val="0"/>
      <w:marTop w:val="0"/>
      <w:marBottom w:val="0"/>
      <w:divBdr>
        <w:top w:val="none" w:sz="0" w:space="0" w:color="auto"/>
        <w:left w:val="none" w:sz="0" w:space="0" w:color="auto"/>
        <w:bottom w:val="none" w:sz="0" w:space="0" w:color="auto"/>
        <w:right w:val="none" w:sz="0" w:space="0" w:color="auto"/>
      </w:divBdr>
    </w:div>
    <w:div w:id="915700018">
      <w:bodyDiv w:val="1"/>
      <w:marLeft w:val="0"/>
      <w:marRight w:val="0"/>
      <w:marTop w:val="0"/>
      <w:marBottom w:val="0"/>
      <w:divBdr>
        <w:top w:val="none" w:sz="0" w:space="0" w:color="auto"/>
        <w:left w:val="none" w:sz="0" w:space="0" w:color="auto"/>
        <w:bottom w:val="none" w:sz="0" w:space="0" w:color="auto"/>
        <w:right w:val="none" w:sz="0" w:space="0" w:color="auto"/>
      </w:divBdr>
    </w:div>
    <w:div w:id="917712584">
      <w:bodyDiv w:val="1"/>
      <w:marLeft w:val="0"/>
      <w:marRight w:val="0"/>
      <w:marTop w:val="0"/>
      <w:marBottom w:val="0"/>
      <w:divBdr>
        <w:top w:val="none" w:sz="0" w:space="0" w:color="auto"/>
        <w:left w:val="none" w:sz="0" w:space="0" w:color="auto"/>
        <w:bottom w:val="none" w:sz="0" w:space="0" w:color="auto"/>
        <w:right w:val="none" w:sz="0" w:space="0" w:color="auto"/>
      </w:divBdr>
    </w:div>
    <w:div w:id="921717764">
      <w:bodyDiv w:val="1"/>
      <w:marLeft w:val="0"/>
      <w:marRight w:val="0"/>
      <w:marTop w:val="0"/>
      <w:marBottom w:val="0"/>
      <w:divBdr>
        <w:top w:val="none" w:sz="0" w:space="0" w:color="auto"/>
        <w:left w:val="none" w:sz="0" w:space="0" w:color="auto"/>
        <w:bottom w:val="none" w:sz="0" w:space="0" w:color="auto"/>
        <w:right w:val="none" w:sz="0" w:space="0" w:color="auto"/>
      </w:divBdr>
    </w:div>
    <w:div w:id="925118652">
      <w:bodyDiv w:val="1"/>
      <w:marLeft w:val="0"/>
      <w:marRight w:val="0"/>
      <w:marTop w:val="0"/>
      <w:marBottom w:val="0"/>
      <w:divBdr>
        <w:top w:val="none" w:sz="0" w:space="0" w:color="auto"/>
        <w:left w:val="none" w:sz="0" w:space="0" w:color="auto"/>
        <w:bottom w:val="none" w:sz="0" w:space="0" w:color="auto"/>
        <w:right w:val="none" w:sz="0" w:space="0" w:color="auto"/>
      </w:divBdr>
    </w:div>
    <w:div w:id="926117331">
      <w:bodyDiv w:val="1"/>
      <w:marLeft w:val="0"/>
      <w:marRight w:val="0"/>
      <w:marTop w:val="0"/>
      <w:marBottom w:val="0"/>
      <w:divBdr>
        <w:top w:val="none" w:sz="0" w:space="0" w:color="auto"/>
        <w:left w:val="none" w:sz="0" w:space="0" w:color="auto"/>
        <w:bottom w:val="none" w:sz="0" w:space="0" w:color="auto"/>
        <w:right w:val="none" w:sz="0" w:space="0" w:color="auto"/>
      </w:divBdr>
    </w:div>
    <w:div w:id="926234925">
      <w:bodyDiv w:val="1"/>
      <w:marLeft w:val="0"/>
      <w:marRight w:val="0"/>
      <w:marTop w:val="0"/>
      <w:marBottom w:val="0"/>
      <w:divBdr>
        <w:top w:val="none" w:sz="0" w:space="0" w:color="auto"/>
        <w:left w:val="none" w:sz="0" w:space="0" w:color="auto"/>
        <w:bottom w:val="none" w:sz="0" w:space="0" w:color="auto"/>
        <w:right w:val="none" w:sz="0" w:space="0" w:color="auto"/>
      </w:divBdr>
    </w:div>
    <w:div w:id="927233426">
      <w:bodyDiv w:val="1"/>
      <w:marLeft w:val="0"/>
      <w:marRight w:val="0"/>
      <w:marTop w:val="0"/>
      <w:marBottom w:val="0"/>
      <w:divBdr>
        <w:top w:val="none" w:sz="0" w:space="0" w:color="auto"/>
        <w:left w:val="none" w:sz="0" w:space="0" w:color="auto"/>
        <w:bottom w:val="none" w:sz="0" w:space="0" w:color="auto"/>
        <w:right w:val="none" w:sz="0" w:space="0" w:color="auto"/>
      </w:divBdr>
    </w:div>
    <w:div w:id="930746126">
      <w:bodyDiv w:val="1"/>
      <w:marLeft w:val="0"/>
      <w:marRight w:val="0"/>
      <w:marTop w:val="0"/>
      <w:marBottom w:val="0"/>
      <w:divBdr>
        <w:top w:val="none" w:sz="0" w:space="0" w:color="auto"/>
        <w:left w:val="none" w:sz="0" w:space="0" w:color="auto"/>
        <w:bottom w:val="none" w:sz="0" w:space="0" w:color="auto"/>
        <w:right w:val="none" w:sz="0" w:space="0" w:color="auto"/>
      </w:divBdr>
    </w:div>
    <w:div w:id="931282615">
      <w:bodyDiv w:val="1"/>
      <w:marLeft w:val="0"/>
      <w:marRight w:val="0"/>
      <w:marTop w:val="0"/>
      <w:marBottom w:val="0"/>
      <w:divBdr>
        <w:top w:val="none" w:sz="0" w:space="0" w:color="auto"/>
        <w:left w:val="none" w:sz="0" w:space="0" w:color="auto"/>
        <w:bottom w:val="none" w:sz="0" w:space="0" w:color="auto"/>
        <w:right w:val="none" w:sz="0" w:space="0" w:color="auto"/>
      </w:divBdr>
    </w:div>
    <w:div w:id="932014667">
      <w:bodyDiv w:val="1"/>
      <w:marLeft w:val="0"/>
      <w:marRight w:val="0"/>
      <w:marTop w:val="0"/>
      <w:marBottom w:val="0"/>
      <w:divBdr>
        <w:top w:val="none" w:sz="0" w:space="0" w:color="auto"/>
        <w:left w:val="none" w:sz="0" w:space="0" w:color="auto"/>
        <w:bottom w:val="none" w:sz="0" w:space="0" w:color="auto"/>
        <w:right w:val="none" w:sz="0" w:space="0" w:color="auto"/>
      </w:divBdr>
    </w:div>
    <w:div w:id="933244988">
      <w:bodyDiv w:val="1"/>
      <w:marLeft w:val="0"/>
      <w:marRight w:val="0"/>
      <w:marTop w:val="0"/>
      <w:marBottom w:val="0"/>
      <w:divBdr>
        <w:top w:val="none" w:sz="0" w:space="0" w:color="auto"/>
        <w:left w:val="none" w:sz="0" w:space="0" w:color="auto"/>
        <w:bottom w:val="none" w:sz="0" w:space="0" w:color="auto"/>
        <w:right w:val="none" w:sz="0" w:space="0" w:color="auto"/>
      </w:divBdr>
    </w:div>
    <w:div w:id="934747494">
      <w:bodyDiv w:val="1"/>
      <w:marLeft w:val="0"/>
      <w:marRight w:val="0"/>
      <w:marTop w:val="0"/>
      <w:marBottom w:val="0"/>
      <w:divBdr>
        <w:top w:val="none" w:sz="0" w:space="0" w:color="auto"/>
        <w:left w:val="none" w:sz="0" w:space="0" w:color="auto"/>
        <w:bottom w:val="none" w:sz="0" w:space="0" w:color="auto"/>
        <w:right w:val="none" w:sz="0" w:space="0" w:color="auto"/>
      </w:divBdr>
    </w:div>
    <w:div w:id="936209660">
      <w:bodyDiv w:val="1"/>
      <w:marLeft w:val="0"/>
      <w:marRight w:val="0"/>
      <w:marTop w:val="0"/>
      <w:marBottom w:val="0"/>
      <w:divBdr>
        <w:top w:val="none" w:sz="0" w:space="0" w:color="auto"/>
        <w:left w:val="none" w:sz="0" w:space="0" w:color="auto"/>
        <w:bottom w:val="none" w:sz="0" w:space="0" w:color="auto"/>
        <w:right w:val="none" w:sz="0" w:space="0" w:color="auto"/>
      </w:divBdr>
    </w:div>
    <w:div w:id="936981008">
      <w:bodyDiv w:val="1"/>
      <w:marLeft w:val="0"/>
      <w:marRight w:val="0"/>
      <w:marTop w:val="0"/>
      <w:marBottom w:val="0"/>
      <w:divBdr>
        <w:top w:val="none" w:sz="0" w:space="0" w:color="auto"/>
        <w:left w:val="none" w:sz="0" w:space="0" w:color="auto"/>
        <w:bottom w:val="none" w:sz="0" w:space="0" w:color="auto"/>
        <w:right w:val="none" w:sz="0" w:space="0" w:color="auto"/>
      </w:divBdr>
    </w:div>
    <w:div w:id="937636456">
      <w:bodyDiv w:val="1"/>
      <w:marLeft w:val="0"/>
      <w:marRight w:val="0"/>
      <w:marTop w:val="0"/>
      <w:marBottom w:val="0"/>
      <w:divBdr>
        <w:top w:val="none" w:sz="0" w:space="0" w:color="auto"/>
        <w:left w:val="none" w:sz="0" w:space="0" w:color="auto"/>
        <w:bottom w:val="none" w:sz="0" w:space="0" w:color="auto"/>
        <w:right w:val="none" w:sz="0" w:space="0" w:color="auto"/>
      </w:divBdr>
    </w:div>
    <w:div w:id="938873473">
      <w:bodyDiv w:val="1"/>
      <w:marLeft w:val="0"/>
      <w:marRight w:val="0"/>
      <w:marTop w:val="0"/>
      <w:marBottom w:val="0"/>
      <w:divBdr>
        <w:top w:val="none" w:sz="0" w:space="0" w:color="auto"/>
        <w:left w:val="none" w:sz="0" w:space="0" w:color="auto"/>
        <w:bottom w:val="none" w:sz="0" w:space="0" w:color="auto"/>
        <w:right w:val="none" w:sz="0" w:space="0" w:color="auto"/>
      </w:divBdr>
    </w:div>
    <w:div w:id="941571251">
      <w:bodyDiv w:val="1"/>
      <w:marLeft w:val="0"/>
      <w:marRight w:val="0"/>
      <w:marTop w:val="0"/>
      <w:marBottom w:val="0"/>
      <w:divBdr>
        <w:top w:val="none" w:sz="0" w:space="0" w:color="auto"/>
        <w:left w:val="none" w:sz="0" w:space="0" w:color="auto"/>
        <w:bottom w:val="none" w:sz="0" w:space="0" w:color="auto"/>
        <w:right w:val="none" w:sz="0" w:space="0" w:color="auto"/>
      </w:divBdr>
    </w:div>
    <w:div w:id="942303510">
      <w:bodyDiv w:val="1"/>
      <w:marLeft w:val="0"/>
      <w:marRight w:val="0"/>
      <w:marTop w:val="0"/>
      <w:marBottom w:val="0"/>
      <w:divBdr>
        <w:top w:val="none" w:sz="0" w:space="0" w:color="auto"/>
        <w:left w:val="none" w:sz="0" w:space="0" w:color="auto"/>
        <w:bottom w:val="none" w:sz="0" w:space="0" w:color="auto"/>
        <w:right w:val="none" w:sz="0" w:space="0" w:color="auto"/>
      </w:divBdr>
    </w:div>
    <w:div w:id="942608433">
      <w:bodyDiv w:val="1"/>
      <w:marLeft w:val="0"/>
      <w:marRight w:val="0"/>
      <w:marTop w:val="0"/>
      <w:marBottom w:val="0"/>
      <w:divBdr>
        <w:top w:val="none" w:sz="0" w:space="0" w:color="auto"/>
        <w:left w:val="none" w:sz="0" w:space="0" w:color="auto"/>
        <w:bottom w:val="none" w:sz="0" w:space="0" w:color="auto"/>
        <w:right w:val="none" w:sz="0" w:space="0" w:color="auto"/>
      </w:divBdr>
    </w:div>
    <w:div w:id="942953415">
      <w:bodyDiv w:val="1"/>
      <w:marLeft w:val="0"/>
      <w:marRight w:val="0"/>
      <w:marTop w:val="0"/>
      <w:marBottom w:val="0"/>
      <w:divBdr>
        <w:top w:val="none" w:sz="0" w:space="0" w:color="auto"/>
        <w:left w:val="none" w:sz="0" w:space="0" w:color="auto"/>
        <w:bottom w:val="none" w:sz="0" w:space="0" w:color="auto"/>
        <w:right w:val="none" w:sz="0" w:space="0" w:color="auto"/>
      </w:divBdr>
    </w:div>
    <w:div w:id="945816856">
      <w:bodyDiv w:val="1"/>
      <w:marLeft w:val="0"/>
      <w:marRight w:val="0"/>
      <w:marTop w:val="0"/>
      <w:marBottom w:val="0"/>
      <w:divBdr>
        <w:top w:val="none" w:sz="0" w:space="0" w:color="auto"/>
        <w:left w:val="none" w:sz="0" w:space="0" w:color="auto"/>
        <w:bottom w:val="none" w:sz="0" w:space="0" w:color="auto"/>
        <w:right w:val="none" w:sz="0" w:space="0" w:color="auto"/>
      </w:divBdr>
    </w:div>
    <w:div w:id="945844701">
      <w:bodyDiv w:val="1"/>
      <w:marLeft w:val="0"/>
      <w:marRight w:val="0"/>
      <w:marTop w:val="0"/>
      <w:marBottom w:val="0"/>
      <w:divBdr>
        <w:top w:val="none" w:sz="0" w:space="0" w:color="auto"/>
        <w:left w:val="none" w:sz="0" w:space="0" w:color="auto"/>
        <w:bottom w:val="none" w:sz="0" w:space="0" w:color="auto"/>
        <w:right w:val="none" w:sz="0" w:space="0" w:color="auto"/>
      </w:divBdr>
    </w:div>
    <w:div w:id="945886143">
      <w:bodyDiv w:val="1"/>
      <w:marLeft w:val="0"/>
      <w:marRight w:val="0"/>
      <w:marTop w:val="0"/>
      <w:marBottom w:val="0"/>
      <w:divBdr>
        <w:top w:val="none" w:sz="0" w:space="0" w:color="auto"/>
        <w:left w:val="none" w:sz="0" w:space="0" w:color="auto"/>
        <w:bottom w:val="none" w:sz="0" w:space="0" w:color="auto"/>
        <w:right w:val="none" w:sz="0" w:space="0" w:color="auto"/>
      </w:divBdr>
    </w:div>
    <w:div w:id="946353454">
      <w:bodyDiv w:val="1"/>
      <w:marLeft w:val="0"/>
      <w:marRight w:val="0"/>
      <w:marTop w:val="0"/>
      <w:marBottom w:val="0"/>
      <w:divBdr>
        <w:top w:val="none" w:sz="0" w:space="0" w:color="auto"/>
        <w:left w:val="none" w:sz="0" w:space="0" w:color="auto"/>
        <w:bottom w:val="none" w:sz="0" w:space="0" w:color="auto"/>
        <w:right w:val="none" w:sz="0" w:space="0" w:color="auto"/>
      </w:divBdr>
    </w:div>
    <w:div w:id="948004231">
      <w:bodyDiv w:val="1"/>
      <w:marLeft w:val="0"/>
      <w:marRight w:val="0"/>
      <w:marTop w:val="0"/>
      <w:marBottom w:val="0"/>
      <w:divBdr>
        <w:top w:val="none" w:sz="0" w:space="0" w:color="auto"/>
        <w:left w:val="none" w:sz="0" w:space="0" w:color="auto"/>
        <w:bottom w:val="none" w:sz="0" w:space="0" w:color="auto"/>
        <w:right w:val="none" w:sz="0" w:space="0" w:color="auto"/>
      </w:divBdr>
    </w:div>
    <w:div w:id="949505091">
      <w:bodyDiv w:val="1"/>
      <w:marLeft w:val="0"/>
      <w:marRight w:val="0"/>
      <w:marTop w:val="0"/>
      <w:marBottom w:val="0"/>
      <w:divBdr>
        <w:top w:val="none" w:sz="0" w:space="0" w:color="auto"/>
        <w:left w:val="none" w:sz="0" w:space="0" w:color="auto"/>
        <w:bottom w:val="none" w:sz="0" w:space="0" w:color="auto"/>
        <w:right w:val="none" w:sz="0" w:space="0" w:color="auto"/>
      </w:divBdr>
    </w:div>
    <w:div w:id="950210626">
      <w:bodyDiv w:val="1"/>
      <w:marLeft w:val="0"/>
      <w:marRight w:val="0"/>
      <w:marTop w:val="0"/>
      <w:marBottom w:val="0"/>
      <w:divBdr>
        <w:top w:val="none" w:sz="0" w:space="0" w:color="auto"/>
        <w:left w:val="none" w:sz="0" w:space="0" w:color="auto"/>
        <w:bottom w:val="none" w:sz="0" w:space="0" w:color="auto"/>
        <w:right w:val="none" w:sz="0" w:space="0" w:color="auto"/>
      </w:divBdr>
    </w:div>
    <w:div w:id="950742192">
      <w:bodyDiv w:val="1"/>
      <w:marLeft w:val="0"/>
      <w:marRight w:val="0"/>
      <w:marTop w:val="0"/>
      <w:marBottom w:val="0"/>
      <w:divBdr>
        <w:top w:val="none" w:sz="0" w:space="0" w:color="auto"/>
        <w:left w:val="none" w:sz="0" w:space="0" w:color="auto"/>
        <w:bottom w:val="none" w:sz="0" w:space="0" w:color="auto"/>
        <w:right w:val="none" w:sz="0" w:space="0" w:color="auto"/>
      </w:divBdr>
    </w:div>
    <w:div w:id="951087161">
      <w:bodyDiv w:val="1"/>
      <w:marLeft w:val="0"/>
      <w:marRight w:val="0"/>
      <w:marTop w:val="0"/>
      <w:marBottom w:val="0"/>
      <w:divBdr>
        <w:top w:val="none" w:sz="0" w:space="0" w:color="auto"/>
        <w:left w:val="none" w:sz="0" w:space="0" w:color="auto"/>
        <w:bottom w:val="none" w:sz="0" w:space="0" w:color="auto"/>
        <w:right w:val="none" w:sz="0" w:space="0" w:color="auto"/>
      </w:divBdr>
    </w:div>
    <w:div w:id="955253194">
      <w:bodyDiv w:val="1"/>
      <w:marLeft w:val="0"/>
      <w:marRight w:val="0"/>
      <w:marTop w:val="0"/>
      <w:marBottom w:val="0"/>
      <w:divBdr>
        <w:top w:val="none" w:sz="0" w:space="0" w:color="auto"/>
        <w:left w:val="none" w:sz="0" w:space="0" w:color="auto"/>
        <w:bottom w:val="none" w:sz="0" w:space="0" w:color="auto"/>
        <w:right w:val="none" w:sz="0" w:space="0" w:color="auto"/>
      </w:divBdr>
    </w:div>
    <w:div w:id="958922835">
      <w:bodyDiv w:val="1"/>
      <w:marLeft w:val="0"/>
      <w:marRight w:val="0"/>
      <w:marTop w:val="0"/>
      <w:marBottom w:val="0"/>
      <w:divBdr>
        <w:top w:val="none" w:sz="0" w:space="0" w:color="auto"/>
        <w:left w:val="none" w:sz="0" w:space="0" w:color="auto"/>
        <w:bottom w:val="none" w:sz="0" w:space="0" w:color="auto"/>
        <w:right w:val="none" w:sz="0" w:space="0" w:color="auto"/>
      </w:divBdr>
    </w:div>
    <w:div w:id="960496090">
      <w:bodyDiv w:val="1"/>
      <w:marLeft w:val="0"/>
      <w:marRight w:val="0"/>
      <w:marTop w:val="0"/>
      <w:marBottom w:val="0"/>
      <w:divBdr>
        <w:top w:val="none" w:sz="0" w:space="0" w:color="auto"/>
        <w:left w:val="none" w:sz="0" w:space="0" w:color="auto"/>
        <w:bottom w:val="none" w:sz="0" w:space="0" w:color="auto"/>
        <w:right w:val="none" w:sz="0" w:space="0" w:color="auto"/>
      </w:divBdr>
    </w:div>
    <w:div w:id="960693409">
      <w:bodyDiv w:val="1"/>
      <w:marLeft w:val="0"/>
      <w:marRight w:val="0"/>
      <w:marTop w:val="0"/>
      <w:marBottom w:val="0"/>
      <w:divBdr>
        <w:top w:val="none" w:sz="0" w:space="0" w:color="auto"/>
        <w:left w:val="none" w:sz="0" w:space="0" w:color="auto"/>
        <w:bottom w:val="none" w:sz="0" w:space="0" w:color="auto"/>
        <w:right w:val="none" w:sz="0" w:space="0" w:color="auto"/>
      </w:divBdr>
    </w:div>
    <w:div w:id="961031866">
      <w:bodyDiv w:val="1"/>
      <w:marLeft w:val="0"/>
      <w:marRight w:val="0"/>
      <w:marTop w:val="0"/>
      <w:marBottom w:val="0"/>
      <w:divBdr>
        <w:top w:val="none" w:sz="0" w:space="0" w:color="auto"/>
        <w:left w:val="none" w:sz="0" w:space="0" w:color="auto"/>
        <w:bottom w:val="none" w:sz="0" w:space="0" w:color="auto"/>
        <w:right w:val="none" w:sz="0" w:space="0" w:color="auto"/>
      </w:divBdr>
    </w:div>
    <w:div w:id="962078059">
      <w:bodyDiv w:val="1"/>
      <w:marLeft w:val="0"/>
      <w:marRight w:val="0"/>
      <w:marTop w:val="0"/>
      <w:marBottom w:val="0"/>
      <w:divBdr>
        <w:top w:val="none" w:sz="0" w:space="0" w:color="auto"/>
        <w:left w:val="none" w:sz="0" w:space="0" w:color="auto"/>
        <w:bottom w:val="none" w:sz="0" w:space="0" w:color="auto"/>
        <w:right w:val="none" w:sz="0" w:space="0" w:color="auto"/>
      </w:divBdr>
    </w:div>
    <w:div w:id="962614872">
      <w:bodyDiv w:val="1"/>
      <w:marLeft w:val="0"/>
      <w:marRight w:val="0"/>
      <w:marTop w:val="0"/>
      <w:marBottom w:val="0"/>
      <w:divBdr>
        <w:top w:val="none" w:sz="0" w:space="0" w:color="auto"/>
        <w:left w:val="none" w:sz="0" w:space="0" w:color="auto"/>
        <w:bottom w:val="none" w:sz="0" w:space="0" w:color="auto"/>
        <w:right w:val="none" w:sz="0" w:space="0" w:color="auto"/>
      </w:divBdr>
    </w:div>
    <w:div w:id="963466814">
      <w:bodyDiv w:val="1"/>
      <w:marLeft w:val="0"/>
      <w:marRight w:val="0"/>
      <w:marTop w:val="0"/>
      <w:marBottom w:val="0"/>
      <w:divBdr>
        <w:top w:val="none" w:sz="0" w:space="0" w:color="auto"/>
        <w:left w:val="none" w:sz="0" w:space="0" w:color="auto"/>
        <w:bottom w:val="none" w:sz="0" w:space="0" w:color="auto"/>
        <w:right w:val="none" w:sz="0" w:space="0" w:color="auto"/>
      </w:divBdr>
    </w:div>
    <w:div w:id="963585197">
      <w:bodyDiv w:val="1"/>
      <w:marLeft w:val="0"/>
      <w:marRight w:val="0"/>
      <w:marTop w:val="0"/>
      <w:marBottom w:val="0"/>
      <w:divBdr>
        <w:top w:val="none" w:sz="0" w:space="0" w:color="auto"/>
        <w:left w:val="none" w:sz="0" w:space="0" w:color="auto"/>
        <w:bottom w:val="none" w:sz="0" w:space="0" w:color="auto"/>
        <w:right w:val="none" w:sz="0" w:space="0" w:color="auto"/>
      </w:divBdr>
    </w:div>
    <w:div w:id="965038505">
      <w:bodyDiv w:val="1"/>
      <w:marLeft w:val="0"/>
      <w:marRight w:val="0"/>
      <w:marTop w:val="0"/>
      <w:marBottom w:val="0"/>
      <w:divBdr>
        <w:top w:val="none" w:sz="0" w:space="0" w:color="auto"/>
        <w:left w:val="none" w:sz="0" w:space="0" w:color="auto"/>
        <w:bottom w:val="none" w:sz="0" w:space="0" w:color="auto"/>
        <w:right w:val="none" w:sz="0" w:space="0" w:color="auto"/>
      </w:divBdr>
    </w:div>
    <w:div w:id="968585640">
      <w:bodyDiv w:val="1"/>
      <w:marLeft w:val="0"/>
      <w:marRight w:val="0"/>
      <w:marTop w:val="0"/>
      <w:marBottom w:val="0"/>
      <w:divBdr>
        <w:top w:val="none" w:sz="0" w:space="0" w:color="auto"/>
        <w:left w:val="none" w:sz="0" w:space="0" w:color="auto"/>
        <w:bottom w:val="none" w:sz="0" w:space="0" w:color="auto"/>
        <w:right w:val="none" w:sz="0" w:space="0" w:color="auto"/>
      </w:divBdr>
    </w:div>
    <w:div w:id="970092197">
      <w:bodyDiv w:val="1"/>
      <w:marLeft w:val="0"/>
      <w:marRight w:val="0"/>
      <w:marTop w:val="0"/>
      <w:marBottom w:val="0"/>
      <w:divBdr>
        <w:top w:val="none" w:sz="0" w:space="0" w:color="auto"/>
        <w:left w:val="none" w:sz="0" w:space="0" w:color="auto"/>
        <w:bottom w:val="none" w:sz="0" w:space="0" w:color="auto"/>
        <w:right w:val="none" w:sz="0" w:space="0" w:color="auto"/>
      </w:divBdr>
    </w:div>
    <w:div w:id="970669423">
      <w:bodyDiv w:val="1"/>
      <w:marLeft w:val="0"/>
      <w:marRight w:val="0"/>
      <w:marTop w:val="0"/>
      <w:marBottom w:val="0"/>
      <w:divBdr>
        <w:top w:val="none" w:sz="0" w:space="0" w:color="auto"/>
        <w:left w:val="none" w:sz="0" w:space="0" w:color="auto"/>
        <w:bottom w:val="none" w:sz="0" w:space="0" w:color="auto"/>
        <w:right w:val="none" w:sz="0" w:space="0" w:color="auto"/>
      </w:divBdr>
    </w:div>
    <w:div w:id="970941249">
      <w:bodyDiv w:val="1"/>
      <w:marLeft w:val="0"/>
      <w:marRight w:val="0"/>
      <w:marTop w:val="0"/>
      <w:marBottom w:val="0"/>
      <w:divBdr>
        <w:top w:val="none" w:sz="0" w:space="0" w:color="auto"/>
        <w:left w:val="none" w:sz="0" w:space="0" w:color="auto"/>
        <w:bottom w:val="none" w:sz="0" w:space="0" w:color="auto"/>
        <w:right w:val="none" w:sz="0" w:space="0" w:color="auto"/>
      </w:divBdr>
    </w:div>
    <w:div w:id="972100269">
      <w:bodyDiv w:val="1"/>
      <w:marLeft w:val="0"/>
      <w:marRight w:val="0"/>
      <w:marTop w:val="0"/>
      <w:marBottom w:val="0"/>
      <w:divBdr>
        <w:top w:val="none" w:sz="0" w:space="0" w:color="auto"/>
        <w:left w:val="none" w:sz="0" w:space="0" w:color="auto"/>
        <w:bottom w:val="none" w:sz="0" w:space="0" w:color="auto"/>
        <w:right w:val="none" w:sz="0" w:space="0" w:color="auto"/>
      </w:divBdr>
    </w:div>
    <w:div w:id="972952335">
      <w:bodyDiv w:val="1"/>
      <w:marLeft w:val="0"/>
      <w:marRight w:val="0"/>
      <w:marTop w:val="0"/>
      <w:marBottom w:val="0"/>
      <w:divBdr>
        <w:top w:val="none" w:sz="0" w:space="0" w:color="auto"/>
        <w:left w:val="none" w:sz="0" w:space="0" w:color="auto"/>
        <w:bottom w:val="none" w:sz="0" w:space="0" w:color="auto"/>
        <w:right w:val="none" w:sz="0" w:space="0" w:color="auto"/>
      </w:divBdr>
    </w:div>
    <w:div w:id="973412520">
      <w:bodyDiv w:val="1"/>
      <w:marLeft w:val="0"/>
      <w:marRight w:val="0"/>
      <w:marTop w:val="0"/>
      <w:marBottom w:val="0"/>
      <w:divBdr>
        <w:top w:val="none" w:sz="0" w:space="0" w:color="auto"/>
        <w:left w:val="none" w:sz="0" w:space="0" w:color="auto"/>
        <w:bottom w:val="none" w:sz="0" w:space="0" w:color="auto"/>
        <w:right w:val="none" w:sz="0" w:space="0" w:color="auto"/>
      </w:divBdr>
    </w:div>
    <w:div w:id="977760874">
      <w:bodyDiv w:val="1"/>
      <w:marLeft w:val="0"/>
      <w:marRight w:val="0"/>
      <w:marTop w:val="0"/>
      <w:marBottom w:val="0"/>
      <w:divBdr>
        <w:top w:val="none" w:sz="0" w:space="0" w:color="auto"/>
        <w:left w:val="none" w:sz="0" w:space="0" w:color="auto"/>
        <w:bottom w:val="none" w:sz="0" w:space="0" w:color="auto"/>
        <w:right w:val="none" w:sz="0" w:space="0" w:color="auto"/>
      </w:divBdr>
    </w:div>
    <w:div w:id="978680933">
      <w:bodyDiv w:val="1"/>
      <w:marLeft w:val="0"/>
      <w:marRight w:val="0"/>
      <w:marTop w:val="0"/>
      <w:marBottom w:val="0"/>
      <w:divBdr>
        <w:top w:val="none" w:sz="0" w:space="0" w:color="auto"/>
        <w:left w:val="none" w:sz="0" w:space="0" w:color="auto"/>
        <w:bottom w:val="none" w:sz="0" w:space="0" w:color="auto"/>
        <w:right w:val="none" w:sz="0" w:space="0" w:color="auto"/>
      </w:divBdr>
    </w:div>
    <w:div w:id="978802378">
      <w:bodyDiv w:val="1"/>
      <w:marLeft w:val="0"/>
      <w:marRight w:val="0"/>
      <w:marTop w:val="0"/>
      <w:marBottom w:val="0"/>
      <w:divBdr>
        <w:top w:val="none" w:sz="0" w:space="0" w:color="auto"/>
        <w:left w:val="none" w:sz="0" w:space="0" w:color="auto"/>
        <w:bottom w:val="none" w:sz="0" w:space="0" w:color="auto"/>
        <w:right w:val="none" w:sz="0" w:space="0" w:color="auto"/>
      </w:divBdr>
    </w:div>
    <w:div w:id="979379310">
      <w:bodyDiv w:val="1"/>
      <w:marLeft w:val="0"/>
      <w:marRight w:val="0"/>
      <w:marTop w:val="0"/>
      <w:marBottom w:val="0"/>
      <w:divBdr>
        <w:top w:val="none" w:sz="0" w:space="0" w:color="auto"/>
        <w:left w:val="none" w:sz="0" w:space="0" w:color="auto"/>
        <w:bottom w:val="none" w:sz="0" w:space="0" w:color="auto"/>
        <w:right w:val="none" w:sz="0" w:space="0" w:color="auto"/>
      </w:divBdr>
    </w:div>
    <w:div w:id="981737405">
      <w:bodyDiv w:val="1"/>
      <w:marLeft w:val="0"/>
      <w:marRight w:val="0"/>
      <w:marTop w:val="0"/>
      <w:marBottom w:val="0"/>
      <w:divBdr>
        <w:top w:val="none" w:sz="0" w:space="0" w:color="auto"/>
        <w:left w:val="none" w:sz="0" w:space="0" w:color="auto"/>
        <w:bottom w:val="none" w:sz="0" w:space="0" w:color="auto"/>
        <w:right w:val="none" w:sz="0" w:space="0" w:color="auto"/>
      </w:divBdr>
    </w:div>
    <w:div w:id="982857131">
      <w:bodyDiv w:val="1"/>
      <w:marLeft w:val="0"/>
      <w:marRight w:val="0"/>
      <w:marTop w:val="0"/>
      <w:marBottom w:val="0"/>
      <w:divBdr>
        <w:top w:val="none" w:sz="0" w:space="0" w:color="auto"/>
        <w:left w:val="none" w:sz="0" w:space="0" w:color="auto"/>
        <w:bottom w:val="none" w:sz="0" w:space="0" w:color="auto"/>
        <w:right w:val="none" w:sz="0" w:space="0" w:color="auto"/>
      </w:divBdr>
    </w:div>
    <w:div w:id="983121194">
      <w:bodyDiv w:val="1"/>
      <w:marLeft w:val="0"/>
      <w:marRight w:val="0"/>
      <w:marTop w:val="0"/>
      <w:marBottom w:val="0"/>
      <w:divBdr>
        <w:top w:val="none" w:sz="0" w:space="0" w:color="auto"/>
        <w:left w:val="none" w:sz="0" w:space="0" w:color="auto"/>
        <w:bottom w:val="none" w:sz="0" w:space="0" w:color="auto"/>
        <w:right w:val="none" w:sz="0" w:space="0" w:color="auto"/>
      </w:divBdr>
    </w:div>
    <w:div w:id="984896336">
      <w:bodyDiv w:val="1"/>
      <w:marLeft w:val="0"/>
      <w:marRight w:val="0"/>
      <w:marTop w:val="0"/>
      <w:marBottom w:val="0"/>
      <w:divBdr>
        <w:top w:val="none" w:sz="0" w:space="0" w:color="auto"/>
        <w:left w:val="none" w:sz="0" w:space="0" w:color="auto"/>
        <w:bottom w:val="none" w:sz="0" w:space="0" w:color="auto"/>
        <w:right w:val="none" w:sz="0" w:space="0" w:color="auto"/>
      </w:divBdr>
    </w:div>
    <w:div w:id="984941205">
      <w:bodyDiv w:val="1"/>
      <w:marLeft w:val="0"/>
      <w:marRight w:val="0"/>
      <w:marTop w:val="0"/>
      <w:marBottom w:val="0"/>
      <w:divBdr>
        <w:top w:val="none" w:sz="0" w:space="0" w:color="auto"/>
        <w:left w:val="none" w:sz="0" w:space="0" w:color="auto"/>
        <w:bottom w:val="none" w:sz="0" w:space="0" w:color="auto"/>
        <w:right w:val="none" w:sz="0" w:space="0" w:color="auto"/>
      </w:divBdr>
    </w:div>
    <w:div w:id="989023768">
      <w:bodyDiv w:val="1"/>
      <w:marLeft w:val="0"/>
      <w:marRight w:val="0"/>
      <w:marTop w:val="0"/>
      <w:marBottom w:val="0"/>
      <w:divBdr>
        <w:top w:val="none" w:sz="0" w:space="0" w:color="auto"/>
        <w:left w:val="none" w:sz="0" w:space="0" w:color="auto"/>
        <w:bottom w:val="none" w:sz="0" w:space="0" w:color="auto"/>
        <w:right w:val="none" w:sz="0" w:space="0" w:color="auto"/>
      </w:divBdr>
    </w:div>
    <w:div w:id="991252600">
      <w:bodyDiv w:val="1"/>
      <w:marLeft w:val="0"/>
      <w:marRight w:val="0"/>
      <w:marTop w:val="0"/>
      <w:marBottom w:val="0"/>
      <w:divBdr>
        <w:top w:val="none" w:sz="0" w:space="0" w:color="auto"/>
        <w:left w:val="none" w:sz="0" w:space="0" w:color="auto"/>
        <w:bottom w:val="none" w:sz="0" w:space="0" w:color="auto"/>
        <w:right w:val="none" w:sz="0" w:space="0" w:color="auto"/>
      </w:divBdr>
    </w:div>
    <w:div w:id="992105442">
      <w:bodyDiv w:val="1"/>
      <w:marLeft w:val="0"/>
      <w:marRight w:val="0"/>
      <w:marTop w:val="0"/>
      <w:marBottom w:val="0"/>
      <w:divBdr>
        <w:top w:val="none" w:sz="0" w:space="0" w:color="auto"/>
        <w:left w:val="none" w:sz="0" w:space="0" w:color="auto"/>
        <w:bottom w:val="none" w:sz="0" w:space="0" w:color="auto"/>
        <w:right w:val="none" w:sz="0" w:space="0" w:color="auto"/>
      </w:divBdr>
    </w:div>
    <w:div w:id="995451458">
      <w:bodyDiv w:val="1"/>
      <w:marLeft w:val="0"/>
      <w:marRight w:val="0"/>
      <w:marTop w:val="0"/>
      <w:marBottom w:val="0"/>
      <w:divBdr>
        <w:top w:val="none" w:sz="0" w:space="0" w:color="auto"/>
        <w:left w:val="none" w:sz="0" w:space="0" w:color="auto"/>
        <w:bottom w:val="none" w:sz="0" w:space="0" w:color="auto"/>
        <w:right w:val="none" w:sz="0" w:space="0" w:color="auto"/>
      </w:divBdr>
    </w:div>
    <w:div w:id="995498502">
      <w:bodyDiv w:val="1"/>
      <w:marLeft w:val="0"/>
      <w:marRight w:val="0"/>
      <w:marTop w:val="0"/>
      <w:marBottom w:val="0"/>
      <w:divBdr>
        <w:top w:val="none" w:sz="0" w:space="0" w:color="auto"/>
        <w:left w:val="none" w:sz="0" w:space="0" w:color="auto"/>
        <w:bottom w:val="none" w:sz="0" w:space="0" w:color="auto"/>
        <w:right w:val="none" w:sz="0" w:space="0" w:color="auto"/>
      </w:divBdr>
    </w:div>
    <w:div w:id="997005191">
      <w:bodyDiv w:val="1"/>
      <w:marLeft w:val="0"/>
      <w:marRight w:val="0"/>
      <w:marTop w:val="0"/>
      <w:marBottom w:val="0"/>
      <w:divBdr>
        <w:top w:val="none" w:sz="0" w:space="0" w:color="auto"/>
        <w:left w:val="none" w:sz="0" w:space="0" w:color="auto"/>
        <w:bottom w:val="none" w:sz="0" w:space="0" w:color="auto"/>
        <w:right w:val="none" w:sz="0" w:space="0" w:color="auto"/>
      </w:divBdr>
    </w:div>
    <w:div w:id="998195993">
      <w:bodyDiv w:val="1"/>
      <w:marLeft w:val="0"/>
      <w:marRight w:val="0"/>
      <w:marTop w:val="0"/>
      <w:marBottom w:val="0"/>
      <w:divBdr>
        <w:top w:val="none" w:sz="0" w:space="0" w:color="auto"/>
        <w:left w:val="none" w:sz="0" w:space="0" w:color="auto"/>
        <w:bottom w:val="none" w:sz="0" w:space="0" w:color="auto"/>
        <w:right w:val="none" w:sz="0" w:space="0" w:color="auto"/>
      </w:divBdr>
    </w:div>
    <w:div w:id="999842894">
      <w:bodyDiv w:val="1"/>
      <w:marLeft w:val="0"/>
      <w:marRight w:val="0"/>
      <w:marTop w:val="0"/>
      <w:marBottom w:val="0"/>
      <w:divBdr>
        <w:top w:val="none" w:sz="0" w:space="0" w:color="auto"/>
        <w:left w:val="none" w:sz="0" w:space="0" w:color="auto"/>
        <w:bottom w:val="none" w:sz="0" w:space="0" w:color="auto"/>
        <w:right w:val="none" w:sz="0" w:space="0" w:color="auto"/>
      </w:divBdr>
    </w:div>
    <w:div w:id="1000892558">
      <w:bodyDiv w:val="1"/>
      <w:marLeft w:val="0"/>
      <w:marRight w:val="0"/>
      <w:marTop w:val="0"/>
      <w:marBottom w:val="0"/>
      <w:divBdr>
        <w:top w:val="none" w:sz="0" w:space="0" w:color="auto"/>
        <w:left w:val="none" w:sz="0" w:space="0" w:color="auto"/>
        <w:bottom w:val="none" w:sz="0" w:space="0" w:color="auto"/>
        <w:right w:val="none" w:sz="0" w:space="0" w:color="auto"/>
      </w:divBdr>
    </w:div>
    <w:div w:id="1005481074">
      <w:bodyDiv w:val="1"/>
      <w:marLeft w:val="0"/>
      <w:marRight w:val="0"/>
      <w:marTop w:val="0"/>
      <w:marBottom w:val="0"/>
      <w:divBdr>
        <w:top w:val="none" w:sz="0" w:space="0" w:color="auto"/>
        <w:left w:val="none" w:sz="0" w:space="0" w:color="auto"/>
        <w:bottom w:val="none" w:sz="0" w:space="0" w:color="auto"/>
        <w:right w:val="none" w:sz="0" w:space="0" w:color="auto"/>
      </w:divBdr>
    </w:div>
    <w:div w:id="1006052863">
      <w:bodyDiv w:val="1"/>
      <w:marLeft w:val="0"/>
      <w:marRight w:val="0"/>
      <w:marTop w:val="0"/>
      <w:marBottom w:val="0"/>
      <w:divBdr>
        <w:top w:val="none" w:sz="0" w:space="0" w:color="auto"/>
        <w:left w:val="none" w:sz="0" w:space="0" w:color="auto"/>
        <w:bottom w:val="none" w:sz="0" w:space="0" w:color="auto"/>
        <w:right w:val="none" w:sz="0" w:space="0" w:color="auto"/>
      </w:divBdr>
    </w:div>
    <w:div w:id="1006252180">
      <w:bodyDiv w:val="1"/>
      <w:marLeft w:val="0"/>
      <w:marRight w:val="0"/>
      <w:marTop w:val="0"/>
      <w:marBottom w:val="0"/>
      <w:divBdr>
        <w:top w:val="none" w:sz="0" w:space="0" w:color="auto"/>
        <w:left w:val="none" w:sz="0" w:space="0" w:color="auto"/>
        <w:bottom w:val="none" w:sz="0" w:space="0" w:color="auto"/>
        <w:right w:val="none" w:sz="0" w:space="0" w:color="auto"/>
      </w:divBdr>
    </w:div>
    <w:div w:id="1006521437">
      <w:bodyDiv w:val="1"/>
      <w:marLeft w:val="0"/>
      <w:marRight w:val="0"/>
      <w:marTop w:val="0"/>
      <w:marBottom w:val="0"/>
      <w:divBdr>
        <w:top w:val="none" w:sz="0" w:space="0" w:color="auto"/>
        <w:left w:val="none" w:sz="0" w:space="0" w:color="auto"/>
        <w:bottom w:val="none" w:sz="0" w:space="0" w:color="auto"/>
        <w:right w:val="none" w:sz="0" w:space="0" w:color="auto"/>
      </w:divBdr>
    </w:div>
    <w:div w:id="1007170033">
      <w:bodyDiv w:val="1"/>
      <w:marLeft w:val="0"/>
      <w:marRight w:val="0"/>
      <w:marTop w:val="0"/>
      <w:marBottom w:val="0"/>
      <w:divBdr>
        <w:top w:val="none" w:sz="0" w:space="0" w:color="auto"/>
        <w:left w:val="none" w:sz="0" w:space="0" w:color="auto"/>
        <w:bottom w:val="none" w:sz="0" w:space="0" w:color="auto"/>
        <w:right w:val="none" w:sz="0" w:space="0" w:color="auto"/>
      </w:divBdr>
    </w:div>
    <w:div w:id="1008100177">
      <w:bodyDiv w:val="1"/>
      <w:marLeft w:val="0"/>
      <w:marRight w:val="0"/>
      <w:marTop w:val="0"/>
      <w:marBottom w:val="0"/>
      <w:divBdr>
        <w:top w:val="none" w:sz="0" w:space="0" w:color="auto"/>
        <w:left w:val="none" w:sz="0" w:space="0" w:color="auto"/>
        <w:bottom w:val="none" w:sz="0" w:space="0" w:color="auto"/>
        <w:right w:val="none" w:sz="0" w:space="0" w:color="auto"/>
      </w:divBdr>
    </w:div>
    <w:div w:id="1009408985">
      <w:bodyDiv w:val="1"/>
      <w:marLeft w:val="0"/>
      <w:marRight w:val="0"/>
      <w:marTop w:val="0"/>
      <w:marBottom w:val="0"/>
      <w:divBdr>
        <w:top w:val="none" w:sz="0" w:space="0" w:color="auto"/>
        <w:left w:val="none" w:sz="0" w:space="0" w:color="auto"/>
        <w:bottom w:val="none" w:sz="0" w:space="0" w:color="auto"/>
        <w:right w:val="none" w:sz="0" w:space="0" w:color="auto"/>
      </w:divBdr>
    </w:div>
    <w:div w:id="1010375792">
      <w:bodyDiv w:val="1"/>
      <w:marLeft w:val="0"/>
      <w:marRight w:val="0"/>
      <w:marTop w:val="0"/>
      <w:marBottom w:val="0"/>
      <w:divBdr>
        <w:top w:val="none" w:sz="0" w:space="0" w:color="auto"/>
        <w:left w:val="none" w:sz="0" w:space="0" w:color="auto"/>
        <w:bottom w:val="none" w:sz="0" w:space="0" w:color="auto"/>
        <w:right w:val="none" w:sz="0" w:space="0" w:color="auto"/>
      </w:divBdr>
    </w:div>
    <w:div w:id="1012299054">
      <w:bodyDiv w:val="1"/>
      <w:marLeft w:val="0"/>
      <w:marRight w:val="0"/>
      <w:marTop w:val="0"/>
      <w:marBottom w:val="0"/>
      <w:divBdr>
        <w:top w:val="none" w:sz="0" w:space="0" w:color="auto"/>
        <w:left w:val="none" w:sz="0" w:space="0" w:color="auto"/>
        <w:bottom w:val="none" w:sz="0" w:space="0" w:color="auto"/>
        <w:right w:val="none" w:sz="0" w:space="0" w:color="auto"/>
      </w:divBdr>
    </w:div>
    <w:div w:id="1012489886">
      <w:bodyDiv w:val="1"/>
      <w:marLeft w:val="0"/>
      <w:marRight w:val="0"/>
      <w:marTop w:val="0"/>
      <w:marBottom w:val="0"/>
      <w:divBdr>
        <w:top w:val="none" w:sz="0" w:space="0" w:color="auto"/>
        <w:left w:val="none" w:sz="0" w:space="0" w:color="auto"/>
        <w:bottom w:val="none" w:sz="0" w:space="0" w:color="auto"/>
        <w:right w:val="none" w:sz="0" w:space="0" w:color="auto"/>
      </w:divBdr>
    </w:div>
    <w:div w:id="1015037615">
      <w:bodyDiv w:val="1"/>
      <w:marLeft w:val="0"/>
      <w:marRight w:val="0"/>
      <w:marTop w:val="0"/>
      <w:marBottom w:val="0"/>
      <w:divBdr>
        <w:top w:val="none" w:sz="0" w:space="0" w:color="auto"/>
        <w:left w:val="none" w:sz="0" w:space="0" w:color="auto"/>
        <w:bottom w:val="none" w:sz="0" w:space="0" w:color="auto"/>
        <w:right w:val="none" w:sz="0" w:space="0" w:color="auto"/>
      </w:divBdr>
    </w:div>
    <w:div w:id="1016661474">
      <w:bodyDiv w:val="1"/>
      <w:marLeft w:val="0"/>
      <w:marRight w:val="0"/>
      <w:marTop w:val="0"/>
      <w:marBottom w:val="0"/>
      <w:divBdr>
        <w:top w:val="none" w:sz="0" w:space="0" w:color="auto"/>
        <w:left w:val="none" w:sz="0" w:space="0" w:color="auto"/>
        <w:bottom w:val="none" w:sz="0" w:space="0" w:color="auto"/>
        <w:right w:val="none" w:sz="0" w:space="0" w:color="auto"/>
      </w:divBdr>
    </w:div>
    <w:div w:id="1016691611">
      <w:bodyDiv w:val="1"/>
      <w:marLeft w:val="0"/>
      <w:marRight w:val="0"/>
      <w:marTop w:val="0"/>
      <w:marBottom w:val="0"/>
      <w:divBdr>
        <w:top w:val="none" w:sz="0" w:space="0" w:color="auto"/>
        <w:left w:val="none" w:sz="0" w:space="0" w:color="auto"/>
        <w:bottom w:val="none" w:sz="0" w:space="0" w:color="auto"/>
        <w:right w:val="none" w:sz="0" w:space="0" w:color="auto"/>
      </w:divBdr>
    </w:div>
    <w:div w:id="1018773889">
      <w:bodyDiv w:val="1"/>
      <w:marLeft w:val="0"/>
      <w:marRight w:val="0"/>
      <w:marTop w:val="0"/>
      <w:marBottom w:val="0"/>
      <w:divBdr>
        <w:top w:val="none" w:sz="0" w:space="0" w:color="auto"/>
        <w:left w:val="none" w:sz="0" w:space="0" w:color="auto"/>
        <w:bottom w:val="none" w:sz="0" w:space="0" w:color="auto"/>
        <w:right w:val="none" w:sz="0" w:space="0" w:color="auto"/>
      </w:divBdr>
    </w:div>
    <w:div w:id="1019627766">
      <w:bodyDiv w:val="1"/>
      <w:marLeft w:val="0"/>
      <w:marRight w:val="0"/>
      <w:marTop w:val="0"/>
      <w:marBottom w:val="0"/>
      <w:divBdr>
        <w:top w:val="none" w:sz="0" w:space="0" w:color="auto"/>
        <w:left w:val="none" w:sz="0" w:space="0" w:color="auto"/>
        <w:bottom w:val="none" w:sz="0" w:space="0" w:color="auto"/>
        <w:right w:val="none" w:sz="0" w:space="0" w:color="auto"/>
      </w:divBdr>
    </w:div>
    <w:div w:id="1020819401">
      <w:bodyDiv w:val="1"/>
      <w:marLeft w:val="0"/>
      <w:marRight w:val="0"/>
      <w:marTop w:val="0"/>
      <w:marBottom w:val="0"/>
      <w:divBdr>
        <w:top w:val="none" w:sz="0" w:space="0" w:color="auto"/>
        <w:left w:val="none" w:sz="0" w:space="0" w:color="auto"/>
        <w:bottom w:val="none" w:sz="0" w:space="0" w:color="auto"/>
        <w:right w:val="none" w:sz="0" w:space="0" w:color="auto"/>
      </w:divBdr>
    </w:div>
    <w:div w:id="1021198326">
      <w:bodyDiv w:val="1"/>
      <w:marLeft w:val="0"/>
      <w:marRight w:val="0"/>
      <w:marTop w:val="0"/>
      <w:marBottom w:val="0"/>
      <w:divBdr>
        <w:top w:val="none" w:sz="0" w:space="0" w:color="auto"/>
        <w:left w:val="none" w:sz="0" w:space="0" w:color="auto"/>
        <w:bottom w:val="none" w:sz="0" w:space="0" w:color="auto"/>
        <w:right w:val="none" w:sz="0" w:space="0" w:color="auto"/>
      </w:divBdr>
    </w:div>
    <w:div w:id="1021590303">
      <w:bodyDiv w:val="1"/>
      <w:marLeft w:val="0"/>
      <w:marRight w:val="0"/>
      <w:marTop w:val="0"/>
      <w:marBottom w:val="0"/>
      <w:divBdr>
        <w:top w:val="none" w:sz="0" w:space="0" w:color="auto"/>
        <w:left w:val="none" w:sz="0" w:space="0" w:color="auto"/>
        <w:bottom w:val="none" w:sz="0" w:space="0" w:color="auto"/>
        <w:right w:val="none" w:sz="0" w:space="0" w:color="auto"/>
      </w:divBdr>
    </w:div>
    <w:div w:id="1022051672">
      <w:bodyDiv w:val="1"/>
      <w:marLeft w:val="0"/>
      <w:marRight w:val="0"/>
      <w:marTop w:val="0"/>
      <w:marBottom w:val="0"/>
      <w:divBdr>
        <w:top w:val="none" w:sz="0" w:space="0" w:color="auto"/>
        <w:left w:val="none" w:sz="0" w:space="0" w:color="auto"/>
        <w:bottom w:val="none" w:sz="0" w:space="0" w:color="auto"/>
        <w:right w:val="none" w:sz="0" w:space="0" w:color="auto"/>
      </w:divBdr>
    </w:div>
    <w:div w:id="1024018457">
      <w:bodyDiv w:val="1"/>
      <w:marLeft w:val="0"/>
      <w:marRight w:val="0"/>
      <w:marTop w:val="0"/>
      <w:marBottom w:val="0"/>
      <w:divBdr>
        <w:top w:val="none" w:sz="0" w:space="0" w:color="auto"/>
        <w:left w:val="none" w:sz="0" w:space="0" w:color="auto"/>
        <w:bottom w:val="none" w:sz="0" w:space="0" w:color="auto"/>
        <w:right w:val="none" w:sz="0" w:space="0" w:color="auto"/>
      </w:divBdr>
    </w:div>
    <w:div w:id="1026366278">
      <w:bodyDiv w:val="1"/>
      <w:marLeft w:val="0"/>
      <w:marRight w:val="0"/>
      <w:marTop w:val="0"/>
      <w:marBottom w:val="0"/>
      <w:divBdr>
        <w:top w:val="none" w:sz="0" w:space="0" w:color="auto"/>
        <w:left w:val="none" w:sz="0" w:space="0" w:color="auto"/>
        <w:bottom w:val="none" w:sz="0" w:space="0" w:color="auto"/>
        <w:right w:val="none" w:sz="0" w:space="0" w:color="auto"/>
      </w:divBdr>
    </w:div>
    <w:div w:id="1027676399">
      <w:bodyDiv w:val="1"/>
      <w:marLeft w:val="0"/>
      <w:marRight w:val="0"/>
      <w:marTop w:val="0"/>
      <w:marBottom w:val="0"/>
      <w:divBdr>
        <w:top w:val="none" w:sz="0" w:space="0" w:color="auto"/>
        <w:left w:val="none" w:sz="0" w:space="0" w:color="auto"/>
        <w:bottom w:val="none" w:sz="0" w:space="0" w:color="auto"/>
        <w:right w:val="none" w:sz="0" w:space="0" w:color="auto"/>
      </w:divBdr>
    </w:div>
    <w:div w:id="1027758538">
      <w:bodyDiv w:val="1"/>
      <w:marLeft w:val="0"/>
      <w:marRight w:val="0"/>
      <w:marTop w:val="0"/>
      <w:marBottom w:val="0"/>
      <w:divBdr>
        <w:top w:val="none" w:sz="0" w:space="0" w:color="auto"/>
        <w:left w:val="none" w:sz="0" w:space="0" w:color="auto"/>
        <w:bottom w:val="none" w:sz="0" w:space="0" w:color="auto"/>
        <w:right w:val="none" w:sz="0" w:space="0" w:color="auto"/>
      </w:divBdr>
    </w:div>
    <w:div w:id="1028067695">
      <w:bodyDiv w:val="1"/>
      <w:marLeft w:val="0"/>
      <w:marRight w:val="0"/>
      <w:marTop w:val="0"/>
      <w:marBottom w:val="0"/>
      <w:divBdr>
        <w:top w:val="none" w:sz="0" w:space="0" w:color="auto"/>
        <w:left w:val="none" w:sz="0" w:space="0" w:color="auto"/>
        <w:bottom w:val="none" w:sz="0" w:space="0" w:color="auto"/>
        <w:right w:val="none" w:sz="0" w:space="0" w:color="auto"/>
      </w:divBdr>
    </w:div>
    <w:div w:id="1028137243">
      <w:bodyDiv w:val="1"/>
      <w:marLeft w:val="0"/>
      <w:marRight w:val="0"/>
      <w:marTop w:val="0"/>
      <w:marBottom w:val="0"/>
      <w:divBdr>
        <w:top w:val="none" w:sz="0" w:space="0" w:color="auto"/>
        <w:left w:val="none" w:sz="0" w:space="0" w:color="auto"/>
        <w:bottom w:val="none" w:sz="0" w:space="0" w:color="auto"/>
        <w:right w:val="none" w:sz="0" w:space="0" w:color="auto"/>
      </w:divBdr>
    </w:div>
    <w:div w:id="1029182383">
      <w:bodyDiv w:val="1"/>
      <w:marLeft w:val="0"/>
      <w:marRight w:val="0"/>
      <w:marTop w:val="0"/>
      <w:marBottom w:val="0"/>
      <w:divBdr>
        <w:top w:val="none" w:sz="0" w:space="0" w:color="auto"/>
        <w:left w:val="none" w:sz="0" w:space="0" w:color="auto"/>
        <w:bottom w:val="none" w:sz="0" w:space="0" w:color="auto"/>
        <w:right w:val="none" w:sz="0" w:space="0" w:color="auto"/>
      </w:divBdr>
    </w:div>
    <w:div w:id="1030186501">
      <w:bodyDiv w:val="1"/>
      <w:marLeft w:val="0"/>
      <w:marRight w:val="0"/>
      <w:marTop w:val="0"/>
      <w:marBottom w:val="0"/>
      <w:divBdr>
        <w:top w:val="none" w:sz="0" w:space="0" w:color="auto"/>
        <w:left w:val="none" w:sz="0" w:space="0" w:color="auto"/>
        <w:bottom w:val="none" w:sz="0" w:space="0" w:color="auto"/>
        <w:right w:val="none" w:sz="0" w:space="0" w:color="auto"/>
      </w:divBdr>
    </w:div>
    <w:div w:id="1030688851">
      <w:bodyDiv w:val="1"/>
      <w:marLeft w:val="0"/>
      <w:marRight w:val="0"/>
      <w:marTop w:val="0"/>
      <w:marBottom w:val="0"/>
      <w:divBdr>
        <w:top w:val="none" w:sz="0" w:space="0" w:color="auto"/>
        <w:left w:val="none" w:sz="0" w:space="0" w:color="auto"/>
        <w:bottom w:val="none" w:sz="0" w:space="0" w:color="auto"/>
        <w:right w:val="none" w:sz="0" w:space="0" w:color="auto"/>
      </w:divBdr>
    </w:div>
    <w:div w:id="1030841045">
      <w:bodyDiv w:val="1"/>
      <w:marLeft w:val="0"/>
      <w:marRight w:val="0"/>
      <w:marTop w:val="0"/>
      <w:marBottom w:val="0"/>
      <w:divBdr>
        <w:top w:val="none" w:sz="0" w:space="0" w:color="auto"/>
        <w:left w:val="none" w:sz="0" w:space="0" w:color="auto"/>
        <w:bottom w:val="none" w:sz="0" w:space="0" w:color="auto"/>
        <w:right w:val="none" w:sz="0" w:space="0" w:color="auto"/>
      </w:divBdr>
    </w:div>
    <w:div w:id="1032997762">
      <w:bodyDiv w:val="1"/>
      <w:marLeft w:val="0"/>
      <w:marRight w:val="0"/>
      <w:marTop w:val="0"/>
      <w:marBottom w:val="0"/>
      <w:divBdr>
        <w:top w:val="none" w:sz="0" w:space="0" w:color="auto"/>
        <w:left w:val="none" w:sz="0" w:space="0" w:color="auto"/>
        <w:bottom w:val="none" w:sz="0" w:space="0" w:color="auto"/>
        <w:right w:val="none" w:sz="0" w:space="0" w:color="auto"/>
      </w:divBdr>
    </w:div>
    <w:div w:id="1034161251">
      <w:bodyDiv w:val="1"/>
      <w:marLeft w:val="0"/>
      <w:marRight w:val="0"/>
      <w:marTop w:val="0"/>
      <w:marBottom w:val="0"/>
      <w:divBdr>
        <w:top w:val="none" w:sz="0" w:space="0" w:color="auto"/>
        <w:left w:val="none" w:sz="0" w:space="0" w:color="auto"/>
        <w:bottom w:val="none" w:sz="0" w:space="0" w:color="auto"/>
        <w:right w:val="none" w:sz="0" w:space="0" w:color="auto"/>
      </w:divBdr>
    </w:div>
    <w:div w:id="1035420893">
      <w:bodyDiv w:val="1"/>
      <w:marLeft w:val="0"/>
      <w:marRight w:val="0"/>
      <w:marTop w:val="0"/>
      <w:marBottom w:val="0"/>
      <w:divBdr>
        <w:top w:val="none" w:sz="0" w:space="0" w:color="auto"/>
        <w:left w:val="none" w:sz="0" w:space="0" w:color="auto"/>
        <w:bottom w:val="none" w:sz="0" w:space="0" w:color="auto"/>
        <w:right w:val="none" w:sz="0" w:space="0" w:color="auto"/>
      </w:divBdr>
    </w:div>
    <w:div w:id="1038361038">
      <w:bodyDiv w:val="1"/>
      <w:marLeft w:val="0"/>
      <w:marRight w:val="0"/>
      <w:marTop w:val="0"/>
      <w:marBottom w:val="0"/>
      <w:divBdr>
        <w:top w:val="none" w:sz="0" w:space="0" w:color="auto"/>
        <w:left w:val="none" w:sz="0" w:space="0" w:color="auto"/>
        <w:bottom w:val="none" w:sz="0" w:space="0" w:color="auto"/>
        <w:right w:val="none" w:sz="0" w:space="0" w:color="auto"/>
      </w:divBdr>
    </w:div>
    <w:div w:id="1039668433">
      <w:bodyDiv w:val="1"/>
      <w:marLeft w:val="0"/>
      <w:marRight w:val="0"/>
      <w:marTop w:val="0"/>
      <w:marBottom w:val="0"/>
      <w:divBdr>
        <w:top w:val="none" w:sz="0" w:space="0" w:color="auto"/>
        <w:left w:val="none" w:sz="0" w:space="0" w:color="auto"/>
        <w:bottom w:val="none" w:sz="0" w:space="0" w:color="auto"/>
        <w:right w:val="none" w:sz="0" w:space="0" w:color="auto"/>
      </w:divBdr>
    </w:div>
    <w:div w:id="1040740299">
      <w:bodyDiv w:val="1"/>
      <w:marLeft w:val="0"/>
      <w:marRight w:val="0"/>
      <w:marTop w:val="0"/>
      <w:marBottom w:val="0"/>
      <w:divBdr>
        <w:top w:val="none" w:sz="0" w:space="0" w:color="auto"/>
        <w:left w:val="none" w:sz="0" w:space="0" w:color="auto"/>
        <w:bottom w:val="none" w:sz="0" w:space="0" w:color="auto"/>
        <w:right w:val="none" w:sz="0" w:space="0" w:color="auto"/>
      </w:divBdr>
    </w:div>
    <w:div w:id="1041369283">
      <w:bodyDiv w:val="1"/>
      <w:marLeft w:val="0"/>
      <w:marRight w:val="0"/>
      <w:marTop w:val="0"/>
      <w:marBottom w:val="0"/>
      <w:divBdr>
        <w:top w:val="none" w:sz="0" w:space="0" w:color="auto"/>
        <w:left w:val="none" w:sz="0" w:space="0" w:color="auto"/>
        <w:bottom w:val="none" w:sz="0" w:space="0" w:color="auto"/>
        <w:right w:val="none" w:sz="0" w:space="0" w:color="auto"/>
      </w:divBdr>
    </w:div>
    <w:div w:id="1041438395">
      <w:bodyDiv w:val="1"/>
      <w:marLeft w:val="0"/>
      <w:marRight w:val="0"/>
      <w:marTop w:val="0"/>
      <w:marBottom w:val="0"/>
      <w:divBdr>
        <w:top w:val="none" w:sz="0" w:space="0" w:color="auto"/>
        <w:left w:val="none" w:sz="0" w:space="0" w:color="auto"/>
        <w:bottom w:val="none" w:sz="0" w:space="0" w:color="auto"/>
        <w:right w:val="none" w:sz="0" w:space="0" w:color="auto"/>
      </w:divBdr>
    </w:div>
    <w:div w:id="1042940546">
      <w:bodyDiv w:val="1"/>
      <w:marLeft w:val="0"/>
      <w:marRight w:val="0"/>
      <w:marTop w:val="0"/>
      <w:marBottom w:val="0"/>
      <w:divBdr>
        <w:top w:val="none" w:sz="0" w:space="0" w:color="auto"/>
        <w:left w:val="none" w:sz="0" w:space="0" w:color="auto"/>
        <w:bottom w:val="none" w:sz="0" w:space="0" w:color="auto"/>
        <w:right w:val="none" w:sz="0" w:space="0" w:color="auto"/>
      </w:divBdr>
    </w:div>
    <w:div w:id="1043599920">
      <w:bodyDiv w:val="1"/>
      <w:marLeft w:val="0"/>
      <w:marRight w:val="0"/>
      <w:marTop w:val="0"/>
      <w:marBottom w:val="0"/>
      <w:divBdr>
        <w:top w:val="none" w:sz="0" w:space="0" w:color="auto"/>
        <w:left w:val="none" w:sz="0" w:space="0" w:color="auto"/>
        <w:bottom w:val="none" w:sz="0" w:space="0" w:color="auto"/>
        <w:right w:val="none" w:sz="0" w:space="0" w:color="auto"/>
      </w:divBdr>
    </w:div>
    <w:div w:id="1044990048">
      <w:bodyDiv w:val="1"/>
      <w:marLeft w:val="0"/>
      <w:marRight w:val="0"/>
      <w:marTop w:val="0"/>
      <w:marBottom w:val="0"/>
      <w:divBdr>
        <w:top w:val="none" w:sz="0" w:space="0" w:color="auto"/>
        <w:left w:val="none" w:sz="0" w:space="0" w:color="auto"/>
        <w:bottom w:val="none" w:sz="0" w:space="0" w:color="auto"/>
        <w:right w:val="none" w:sz="0" w:space="0" w:color="auto"/>
      </w:divBdr>
    </w:div>
    <w:div w:id="1047100933">
      <w:bodyDiv w:val="1"/>
      <w:marLeft w:val="0"/>
      <w:marRight w:val="0"/>
      <w:marTop w:val="0"/>
      <w:marBottom w:val="0"/>
      <w:divBdr>
        <w:top w:val="none" w:sz="0" w:space="0" w:color="auto"/>
        <w:left w:val="none" w:sz="0" w:space="0" w:color="auto"/>
        <w:bottom w:val="none" w:sz="0" w:space="0" w:color="auto"/>
        <w:right w:val="none" w:sz="0" w:space="0" w:color="auto"/>
      </w:divBdr>
    </w:div>
    <w:div w:id="1049381957">
      <w:bodyDiv w:val="1"/>
      <w:marLeft w:val="0"/>
      <w:marRight w:val="0"/>
      <w:marTop w:val="0"/>
      <w:marBottom w:val="0"/>
      <w:divBdr>
        <w:top w:val="none" w:sz="0" w:space="0" w:color="auto"/>
        <w:left w:val="none" w:sz="0" w:space="0" w:color="auto"/>
        <w:bottom w:val="none" w:sz="0" w:space="0" w:color="auto"/>
        <w:right w:val="none" w:sz="0" w:space="0" w:color="auto"/>
      </w:divBdr>
    </w:div>
    <w:div w:id="1049570086">
      <w:bodyDiv w:val="1"/>
      <w:marLeft w:val="0"/>
      <w:marRight w:val="0"/>
      <w:marTop w:val="0"/>
      <w:marBottom w:val="0"/>
      <w:divBdr>
        <w:top w:val="none" w:sz="0" w:space="0" w:color="auto"/>
        <w:left w:val="none" w:sz="0" w:space="0" w:color="auto"/>
        <w:bottom w:val="none" w:sz="0" w:space="0" w:color="auto"/>
        <w:right w:val="none" w:sz="0" w:space="0" w:color="auto"/>
      </w:divBdr>
    </w:div>
    <w:div w:id="1050811181">
      <w:bodyDiv w:val="1"/>
      <w:marLeft w:val="0"/>
      <w:marRight w:val="0"/>
      <w:marTop w:val="0"/>
      <w:marBottom w:val="0"/>
      <w:divBdr>
        <w:top w:val="none" w:sz="0" w:space="0" w:color="auto"/>
        <w:left w:val="none" w:sz="0" w:space="0" w:color="auto"/>
        <w:bottom w:val="none" w:sz="0" w:space="0" w:color="auto"/>
        <w:right w:val="none" w:sz="0" w:space="0" w:color="auto"/>
      </w:divBdr>
    </w:div>
    <w:div w:id="1051074791">
      <w:bodyDiv w:val="1"/>
      <w:marLeft w:val="0"/>
      <w:marRight w:val="0"/>
      <w:marTop w:val="0"/>
      <w:marBottom w:val="0"/>
      <w:divBdr>
        <w:top w:val="none" w:sz="0" w:space="0" w:color="auto"/>
        <w:left w:val="none" w:sz="0" w:space="0" w:color="auto"/>
        <w:bottom w:val="none" w:sz="0" w:space="0" w:color="auto"/>
        <w:right w:val="none" w:sz="0" w:space="0" w:color="auto"/>
      </w:divBdr>
    </w:div>
    <w:div w:id="1053506410">
      <w:bodyDiv w:val="1"/>
      <w:marLeft w:val="0"/>
      <w:marRight w:val="0"/>
      <w:marTop w:val="0"/>
      <w:marBottom w:val="0"/>
      <w:divBdr>
        <w:top w:val="none" w:sz="0" w:space="0" w:color="auto"/>
        <w:left w:val="none" w:sz="0" w:space="0" w:color="auto"/>
        <w:bottom w:val="none" w:sz="0" w:space="0" w:color="auto"/>
        <w:right w:val="none" w:sz="0" w:space="0" w:color="auto"/>
      </w:divBdr>
    </w:div>
    <w:div w:id="1054305388">
      <w:bodyDiv w:val="1"/>
      <w:marLeft w:val="0"/>
      <w:marRight w:val="0"/>
      <w:marTop w:val="0"/>
      <w:marBottom w:val="0"/>
      <w:divBdr>
        <w:top w:val="none" w:sz="0" w:space="0" w:color="auto"/>
        <w:left w:val="none" w:sz="0" w:space="0" w:color="auto"/>
        <w:bottom w:val="none" w:sz="0" w:space="0" w:color="auto"/>
        <w:right w:val="none" w:sz="0" w:space="0" w:color="auto"/>
      </w:divBdr>
    </w:div>
    <w:div w:id="1054545471">
      <w:bodyDiv w:val="1"/>
      <w:marLeft w:val="0"/>
      <w:marRight w:val="0"/>
      <w:marTop w:val="0"/>
      <w:marBottom w:val="0"/>
      <w:divBdr>
        <w:top w:val="none" w:sz="0" w:space="0" w:color="auto"/>
        <w:left w:val="none" w:sz="0" w:space="0" w:color="auto"/>
        <w:bottom w:val="none" w:sz="0" w:space="0" w:color="auto"/>
        <w:right w:val="none" w:sz="0" w:space="0" w:color="auto"/>
      </w:divBdr>
    </w:div>
    <w:div w:id="1055079999">
      <w:bodyDiv w:val="1"/>
      <w:marLeft w:val="0"/>
      <w:marRight w:val="0"/>
      <w:marTop w:val="0"/>
      <w:marBottom w:val="0"/>
      <w:divBdr>
        <w:top w:val="none" w:sz="0" w:space="0" w:color="auto"/>
        <w:left w:val="none" w:sz="0" w:space="0" w:color="auto"/>
        <w:bottom w:val="none" w:sz="0" w:space="0" w:color="auto"/>
        <w:right w:val="none" w:sz="0" w:space="0" w:color="auto"/>
      </w:divBdr>
    </w:div>
    <w:div w:id="1055198858">
      <w:bodyDiv w:val="1"/>
      <w:marLeft w:val="0"/>
      <w:marRight w:val="0"/>
      <w:marTop w:val="0"/>
      <w:marBottom w:val="0"/>
      <w:divBdr>
        <w:top w:val="none" w:sz="0" w:space="0" w:color="auto"/>
        <w:left w:val="none" w:sz="0" w:space="0" w:color="auto"/>
        <w:bottom w:val="none" w:sz="0" w:space="0" w:color="auto"/>
        <w:right w:val="none" w:sz="0" w:space="0" w:color="auto"/>
      </w:divBdr>
    </w:div>
    <w:div w:id="1057511721">
      <w:bodyDiv w:val="1"/>
      <w:marLeft w:val="0"/>
      <w:marRight w:val="0"/>
      <w:marTop w:val="0"/>
      <w:marBottom w:val="0"/>
      <w:divBdr>
        <w:top w:val="none" w:sz="0" w:space="0" w:color="auto"/>
        <w:left w:val="none" w:sz="0" w:space="0" w:color="auto"/>
        <w:bottom w:val="none" w:sz="0" w:space="0" w:color="auto"/>
        <w:right w:val="none" w:sz="0" w:space="0" w:color="auto"/>
      </w:divBdr>
    </w:div>
    <w:div w:id="1058625588">
      <w:bodyDiv w:val="1"/>
      <w:marLeft w:val="0"/>
      <w:marRight w:val="0"/>
      <w:marTop w:val="0"/>
      <w:marBottom w:val="0"/>
      <w:divBdr>
        <w:top w:val="none" w:sz="0" w:space="0" w:color="auto"/>
        <w:left w:val="none" w:sz="0" w:space="0" w:color="auto"/>
        <w:bottom w:val="none" w:sz="0" w:space="0" w:color="auto"/>
        <w:right w:val="none" w:sz="0" w:space="0" w:color="auto"/>
      </w:divBdr>
    </w:div>
    <w:div w:id="1058626607">
      <w:bodyDiv w:val="1"/>
      <w:marLeft w:val="0"/>
      <w:marRight w:val="0"/>
      <w:marTop w:val="0"/>
      <w:marBottom w:val="0"/>
      <w:divBdr>
        <w:top w:val="none" w:sz="0" w:space="0" w:color="auto"/>
        <w:left w:val="none" w:sz="0" w:space="0" w:color="auto"/>
        <w:bottom w:val="none" w:sz="0" w:space="0" w:color="auto"/>
        <w:right w:val="none" w:sz="0" w:space="0" w:color="auto"/>
      </w:divBdr>
    </w:div>
    <w:div w:id="1059671535">
      <w:bodyDiv w:val="1"/>
      <w:marLeft w:val="0"/>
      <w:marRight w:val="0"/>
      <w:marTop w:val="0"/>
      <w:marBottom w:val="0"/>
      <w:divBdr>
        <w:top w:val="none" w:sz="0" w:space="0" w:color="auto"/>
        <w:left w:val="none" w:sz="0" w:space="0" w:color="auto"/>
        <w:bottom w:val="none" w:sz="0" w:space="0" w:color="auto"/>
        <w:right w:val="none" w:sz="0" w:space="0" w:color="auto"/>
      </w:divBdr>
    </w:div>
    <w:div w:id="1059742592">
      <w:bodyDiv w:val="1"/>
      <w:marLeft w:val="0"/>
      <w:marRight w:val="0"/>
      <w:marTop w:val="0"/>
      <w:marBottom w:val="0"/>
      <w:divBdr>
        <w:top w:val="none" w:sz="0" w:space="0" w:color="auto"/>
        <w:left w:val="none" w:sz="0" w:space="0" w:color="auto"/>
        <w:bottom w:val="none" w:sz="0" w:space="0" w:color="auto"/>
        <w:right w:val="none" w:sz="0" w:space="0" w:color="auto"/>
      </w:divBdr>
    </w:div>
    <w:div w:id="1061095990">
      <w:bodyDiv w:val="1"/>
      <w:marLeft w:val="0"/>
      <w:marRight w:val="0"/>
      <w:marTop w:val="0"/>
      <w:marBottom w:val="0"/>
      <w:divBdr>
        <w:top w:val="none" w:sz="0" w:space="0" w:color="auto"/>
        <w:left w:val="none" w:sz="0" w:space="0" w:color="auto"/>
        <w:bottom w:val="none" w:sz="0" w:space="0" w:color="auto"/>
        <w:right w:val="none" w:sz="0" w:space="0" w:color="auto"/>
      </w:divBdr>
    </w:div>
    <w:div w:id="1062604709">
      <w:bodyDiv w:val="1"/>
      <w:marLeft w:val="0"/>
      <w:marRight w:val="0"/>
      <w:marTop w:val="0"/>
      <w:marBottom w:val="0"/>
      <w:divBdr>
        <w:top w:val="none" w:sz="0" w:space="0" w:color="auto"/>
        <w:left w:val="none" w:sz="0" w:space="0" w:color="auto"/>
        <w:bottom w:val="none" w:sz="0" w:space="0" w:color="auto"/>
        <w:right w:val="none" w:sz="0" w:space="0" w:color="auto"/>
      </w:divBdr>
    </w:div>
    <w:div w:id="1064066378">
      <w:bodyDiv w:val="1"/>
      <w:marLeft w:val="0"/>
      <w:marRight w:val="0"/>
      <w:marTop w:val="0"/>
      <w:marBottom w:val="0"/>
      <w:divBdr>
        <w:top w:val="none" w:sz="0" w:space="0" w:color="auto"/>
        <w:left w:val="none" w:sz="0" w:space="0" w:color="auto"/>
        <w:bottom w:val="none" w:sz="0" w:space="0" w:color="auto"/>
        <w:right w:val="none" w:sz="0" w:space="0" w:color="auto"/>
      </w:divBdr>
    </w:div>
    <w:div w:id="1064331949">
      <w:bodyDiv w:val="1"/>
      <w:marLeft w:val="0"/>
      <w:marRight w:val="0"/>
      <w:marTop w:val="0"/>
      <w:marBottom w:val="0"/>
      <w:divBdr>
        <w:top w:val="none" w:sz="0" w:space="0" w:color="auto"/>
        <w:left w:val="none" w:sz="0" w:space="0" w:color="auto"/>
        <w:bottom w:val="none" w:sz="0" w:space="0" w:color="auto"/>
        <w:right w:val="none" w:sz="0" w:space="0" w:color="auto"/>
      </w:divBdr>
    </w:div>
    <w:div w:id="1064913588">
      <w:bodyDiv w:val="1"/>
      <w:marLeft w:val="0"/>
      <w:marRight w:val="0"/>
      <w:marTop w:val="0"/>
      <w:marBottom w:val="0"/>
      <w:divBdr>
        <w:top w:val="none" w:sz="0" w:space="0" w:color="auto"/>
        <w:left w:val="none" w:sz="0" w:space="0" w:color="auto"/>
        <w:bottom w:val="none" w:sz="0" w:space="0" w:color="auto"/>
        <w:right w:val="none" w:sz="0" w:space="0" w:color="auto"/>
      </w:divBdr>
    </w:div>
    <w:div w:id="1065444890">
      <w:bodyDiv w:val="1"/>
      <w:marLeft w:val="0"/>
      <w:marRight w:val="0"/>
      <w:marTop w:val="0"/>
      <w:marBottom w:val="0"/>
      <w:divBdr>
        <w:top w:val="none" w:sz="0" w:space="0" w:color="auto"/>
        <w:left w:val="none" w:sz="0" w:space="0" w:color="auto"/>
        <w:bottom w:val="none" w:sz="0" w:space="0" w:color="auto"/>
        <w:right w:val="none" w:sz="0" w:space="0" w:color="auto"/>
      </w:divBdr>
    </w:div>
    <w:div w:id="1067797535">
      <w:bodyDiv w:val="1"/>
      <w:marLeft w:val="0"/>
      <w:marRight w:val="0"/>
      <w:marTop w:val="0"/>
      <w:marBottom w:val="0"/>
      <w:divBdr>
        <w:top w:val="none" w:sz="0" w:space="0" w:color="auto"/>
        <w:left w:val="none" w:sz="0" w:space="0" w:color="auto"/>
        <w:bottom w:val="none" w:sz="0" w:space="0" w:color="auto"/>
        <w:right w:val="none" w:sz="0" w:space="0" w:color="auto"/>
      </w:divBdr>
    </w:div>
    <w:div w:id="1067800518">
      <w:bodyDiv w:val="1"/>
      <w:marLeft w:val="0"/>
      <w:marRight w:val="0"/>
      <w:marTop w:val="0"/>
      <w:marBottom w:val="0"/>
      <w:divBdr>
        <w:top w:val="none" w:sz="0" w:space="0" w:color="auto"/>
        <w:left w:val="none" w:sz="0" w:space="0" w:color="auto"/>
        <w:bottom w:val="none" w:sz="0" w:space="0" w:color="auto"/>
        <w:right w:val="none" w:sz="0" w:space="0" w:color="auto"/>
      </w:divBdr>
    </w:div>
    <w:div w:id="1067805112">
      <w:bodyDiv w:val="1"/>
      <w:marLeft w:val="0"/>
      <w:marRight w:val="0"/>
      <w:marTop w:val="0"/>
      <w:marBottom w:val="0"/>
      <w:divBdr>
        <w:top w:val="none" w:sz="0" w:space="0" w:color="auto"/>
        <w:left w:val="none" w:sz="0" w:space="0" w:color="auto"/>
        <w:bottom w:val="none" w:sz="0" w:space="0" w:color="auto"/>
        <w:right w:val="none" w:sz="0" w:space="0" w:color="auto"/>
      </w:divBdr>
    </w:div>
    <w:div w:id="1068765484">
      <w:bodyDiv w:val="1"/>
      <w:marLeft w:val="0"/>
      <w:marRight w:val="0"/>
      <w:marTop w:val="0"/>
      <w:marBottom w:val="0"/>
      <w:divBdr>
        <w:top w:val="none" w:sz="0" w:space="0" w:color="auto"/>
        <w:left w:val="none" w:sz="0" w:space="0" w:color="auto"/>
        <w:bottom w:val="none" w:sz="0" w:space="0" w:color="auto"/>
        <w:right w:val="none" w:sz="0" w:space="0" w:color="auto"/>
      </w:divBdr>
    </w:div>
    <w:div w:id="1069226815">
      <w:bodyDiv w:val="1"/>
      <w:marLeft w:val="0"/>
      <w:marRight w:val="0"/>
      <w:marTop w:val="0"/>
      <w:marBottom w:val="0"/>
      <w:divBdr>
        <w:top w:val="none" w:sz="0" w:space="0" w:color="auto"/>
        <w:left w:val="none" w:sz="0" w:space="0" w:color="auto"/>
        <w:bottom w:val="none" w:sz="0" w:space="0" w:color="auto"/>
        <w:right w:val="none" w:sz="0" w:space="0" w:color="auto"/>
      </w:divBdr>
    </w:div>
    <w:div w:id="1070468538">
      <w:bodyDiv w:val="1"/>
      <w:marLeft w:val="0"/>
      <w:marRight w:val="0"/>
      <w:marTop w:val="0"/>
      <w:marBottom w:val="0"/>
      <w:divBdr>
        <w:top w:val="none" w:sz="0" w:space="0" w:color="auto"/>
        <w:left w:val="none" w:sz="0" w:space="0" w:color="auto"/>
        <w:bottom w:val="none" w:sz="0" w:space="0" w:color="auto"/>
        <w:right w:val="none" w:sz="0" w:space="0" w:color="auto"/>
      </w:divBdr>
    </w:div>
    <w:div w:id="1071149277">
      <w:bodyDiv w:val="1"/>
      <w:marLeft w:val="0"/>
      <w:marRight w:val="0"/>
      <w:marTop w:val="0"/>
      <w:marBottom w:val="0"/>
      <w:divBdr>
        <w:top w:val="none" w:sz="0" w:space="0" w:color="auto"/>
        <w:left w:val="none" w:sz="0" w:space="0" w:color="auto"/>
        <w:bottom w:val="none" w:sz="0" w:space="0" w:color="auto"/>
        <w:right w:val="none" w:sz="0" w:space="0" w:color="auto"/>
      </w:divBdr>
    </w:div>
    <w:div w:id="1071386416">
      <w:bodyDiv w:val="1"/>
      <w:marLeft w:val="0"/>
      <w:marRight w:val="0"/>
      <w:marTop w:val="0"/>
      <w:marBottom w:val="0"/>
      <w:divBdr>
        <w:top w:val="none" w:sz="0" w:space="0" w:color="auto"/>
        <w:left w:val="none" w:sz="0" w:space="0" w:color="auto"/>
        <w:bottom w:val="none" w:sz="0" w:space="0" w:color="auto"/>
        <w:right w:val="none" w:sz="0" w:space="0" w:color="auto"/>
      </w:divBdr>
    </w:div>
    <w:div w:id="1072775562">
      <w:bodyDiv w:val="1"/>
      <w:marLeft w:val="0"/>
      <w:marRight w:val="0"/>
      <w:marTop w:val="0"/>
      <w:marBottom w:val="0"/>
      <w:divBdr>
        <w:top w:val="none" w:sz="0" w:space="0" w:color="auto"/>
        <w:left w:val="none" w:sz="0" w:space="0" w:color="auto"/>
        <w:bottom w:val="none" w:sz="0" w:space="0" w:color="auto"/>
        <w:right w:val="none" w:sz="0" w:space="0" w:color="auto"/>
      </w:divBdr>
    </w:div>
    <w:div w:id="1073047043">
      <w:bodyDiv w:val="1"/>
      <w:marLeft w:val="0"/>
      <w:marRight w:val="0"/>
      <w:marTop w:val="0"/>
      <w:marBottom w:val="0"/>
      <w:divBdr>
        <w:top w:val="none" w:sz="0" w:space="0" w:color="auto"/>
        <w:left w:val="none" w:sz="0" w:space="0" w:color="auto"/>
        <w:bottom w:val="none" w:sz="0" w:space="0" w:color="auto"/>
        <w:right w:val="none" w:sz="0" w:space="0" w:color="auto"/>
      </w:divBdr>
    </w:div>
    <w:div w:id="1075857963">
      <w:bodyDiv w:val="1"/>
      <w:marLeft w:val="0"/>
      <w:marRight w:val="0"/>
      <w:marTop w:val="0"/>
      <w:marBottom w:val="0"/>
      <w:divBdr>
        <w:top w:val="none" w:sz="0" w:space="0" w:color="auto"/>
        <w:left w:val="none" w:sz="0" w:space="0" w:color="auto"/>
        <w:bottom w:val="none" w:sz="0" w:space="0" w:color="auto"/>
        <w:right w:val="none" w:sz="0" w:space="0" w:color="auto"/>
      </w:divBdr>
    </w:div>
    <w:div w:id="1076047488">
      <w:bodyDiv w:val="1"/>
      <w:marLeft w:val="0"/>
      <w:marRight w:val="0"/>
      <w:marTop w:val="0"/>
      <w:marBottom w:val="0"/>
      <w:divBdr>
        <w:top w:val="none" w:sz="0" w:space="0" w:color="auto"/>
        <w:left w:val="none" w:sz="0" w:space="0" w:color="auto"/>
        <w:bottom w:val="none" w:sz="0" w:space="0" w:color="auto"/>
        <w:right w:val="none" w:sz="0" w:space="0" w:color="auto"/>
      </w:divBdr>
    </w:div>
    <w:div w:id="1078214652">
      <w:bodyDiv w:val="1"/>
      <w:marLeft w:val="0"/>
      <w:marRight w:val="0"/>
      <w:marTop w:val="0"/>
      <w:marBottom w:val="0"/>
      <w:divBdr>
        <w:top w:val="none" w:sz="0" w:space="0" w:color="auto"/>
        <w:left w:val="none" w:sz="0" w:space="0" w:color="auto"/>
        <w:bottom w:val="none" w:sz="0" w:space="0" w:color="auto"/>
        <w:right w:val="none" w:sz="0" w:space="0" w:color="auto"/>
      </w:divBdr>
    </w:div>
    <w:div w:id="1078483529">
      <w:bodyDiv w:val="1"/>
      <w:marLeft w:val="0"/>
      <w:marRight w:val="0"/>
      <w:marTop w:val="0"/>
      <w:marBottom w:val="0"/>
      <w:divBdr>
        <w:top w:val="none" w:sz="0" w:space="0" w:color="auto"/>
        <w:left w:val="none" w:sz="0" w:space="0" w:color="auto"/>
        <w:bottom w:val="none" w:sz="0" w:space="0" w:color="auto"/>
        <w:right w:val="none" w:sz="0" w:space="0" w:color="auto"/>
      </w:divBdr>
    </w:div>
    <w:div w:id="1079325049">
      <w:bodyDiv w:val="1"/>
      <w:marLeft w:val="0"/>
      <w:marRight w:val="0"/>
      <w:marTop w:val="0"/>
      <w:marBottom w:val="0"/>
      <w:divBdr>
        <w:top w:val="none" w:sz="0" w:space="0" w:color="auto"/>
        <w:left w:val="none" w:sz="0" w:space="0" w:color="auto"/>
        <w:bottom w:val="none" w:sz="0" w:space="0" w:color="auto"/>
        <w:right w:val="none" w:sz="0" w:space="0" w:color="auto"/>
      </w:divBdr>
    </w:div>
    <w:div w:id="1083840935">
      <w:bodyDiv w:val="1"/>
      <w:marLeft w:val="0"/>
      <w:marRight w:val="0"/>
      <w:marTop w:val="0"/>
      <w:marBottom w:val="0"/>
      <w:divBdr>
        <w:top w:val="none" w:sz="0" w:space="0" w:color="auto"/>
        <w:left w:val="none" w:sz="0" w:space="0" w:color="auto"/>
        <w:bottom w:val="none" w:sz="0" w:space="0" w:color="auto"/>
        <w:right w:val="none" w:sz="0" w:space="0" w:color="auto"/>
      </w:divBdr>
    </w:div>
    <w:div w:id="1084037688">
      <w:bodyDiv w:val="1"/>
      <w:marLeft w:val="0"/>
      <w:marRight w:val="0"/>
      <w:marTop w:val="0"/>
      <w:marBottom w:val="0"/>
      <w:divBdr>
        <w:top w:val="none" w:sz="0" w:space="0" w:color="auto"/>
        <w:left w:val="none" w:sz="0" w:space="0" w:color="auto"/>
        <w:bottom w:val="none" w:sz="0" w:space="0" w:color="auto"/>
        <w:right w:val="none" w:sz="0" w:space="0" w:color="auto"/>
      </w:divBdr>
    </w:div>
    <w:div w:id="1087193094">
      <w:bodyDiv w:val="1"/>
      <w:marLeft w:val="0"/>
      <w:marRight w:val="0"/>
      <w:marTop w:val="0"/>
      <w:marBottom w:val="0"/>
      <w:divBdr>
        <w:top w:val="none" w:sz="0" w:space="0" w:color="auto"/>
        <w:left w:val="none" w:sz="0" w:space="0" w:color="auto"/>
        <w:bottom w:val="none" w:sz="0" w:space="0" w:color="auto"/>
        <w:right w:val="none" w:sz="0" w:space="0" w:color="auto"/>
      </w:divBdr>
    </w:div>
    <w:div w:id="1087581183">
      <w:bodyDiv w:val="1"/>
      <w:marLeft w:val="0"/>
      <w:marRight w:val="0"/>
      <w:marTop w:val="0"/>
      <w:marBottom w:val="0"/>
      <w:divBdr>
        <w:top w:val="none" w:sz="0" w:space="0" w:color="auto"/>
        <w:left w:val="none" w:sz="0" w:space="0" w:color="auto"/>
        <w:bottom w:val="none" w:sz="0" w:space="0" w:color="auto"/>
        <w:right w:val="none" w:sz="0" w:space="0" w:color="auto"/>
      </w:divBdr>
    </w:div>
    <w:div w:id="1087767008">
      <w:bodyDiv w:val="1"/>
      <w:marLeft w:val="0"/>
      <w:marRight w:val="0"/>
      <w:marTop w:val="0"/>
      <w:marBottom w:val="0"/>
      <w:divBdr>
        <w:top w:val="none" w:sz="0" w:space="0" w:color="auto"/>
        <w:left w:val="none" w:sz="0" w:space="0" w:color="auto"/>
        <w:bottom w:val="none" w:sz="0" w:space="0" w:color="auto"/>
        <w:right w:val="none" w:sz="0" w:space="0" w:color="auto"/>
      </w:divBdr>
    </w:div>
    <w:div w:id="1089230344">
      <w:bodyDiv w:val="1"/>
      <w:marLeft w:val="0"/>
      <w:marRight w:val="0"/>
      <w:marTop w:val="0"/>
      <w:marBottom w:val="0"/>
      <w:divBdr>
        <w:top w:val="none" w:sz="0" w:space="0" w:color="auto"/>
        <w:left w:val="none" w:sz="0" w:space="0" w:color="auto"/>
        <w:bottom w:val="none" w:sz="0" w:space="0" w:color="auto"/>
        <w:right w:val="none" w:sz="0" w:space="0" w:color="auto"/>
      </w:divBdr>
    </w:div>
    <w:div w:id="1089811047">
      <w:bodyDiv w:val="1"/>
      <w:marLeft w:val="0"/>
      <w:marRight w:val="0"/>
      <w:marTop w:val="0"/>
      <w:marBottom w:val="0"/>
      <w:divBdr>
        <w:top w:val="none" w:sz="0" w:space="0" w:color="auto"/>
        <w:left w:val="none" w:sz="0" w:space="0" w:color="auto"/>
        <w:bottom w:val="none" w:sz="0" w:space="0" w:color="auto"/>
        <w:right w:val="none" w:sz="0" w:space="0" w:color="auto"/>
      </w:divBdr>
    </w:div>
    <w:div w:id="1090545279">
      <w:bodyDiv w:val="1"/>
      <w:marLeft w:val="0"/>
      <w:marRight w:val="0"/>
      <w:marTop w:val="0"/>
      <w:marBottom w:val="0"/>
      <w:divBdr>
        <w:top w:val="none" w:sz="0" w:space="0" w:color="auto"/>
        <w:left w:val="none" w:sz="0" w:space="0" w:color="auto"/>
        <w:bottom w:val="none" w:sz="0" w:space="0" w:color="auto"/>
        <w:right w:val="none" w:sz="0" w:space="0" w:color="auto"/>
      </w:divBdr>
    </w:div>
    <w:div w:id="1091661326">
      <w:bodyDiv w:val="1"/>
      <w:marLeft w:val="0"/>
      <w:marRight w:val="0"/>
      <w:marTop w:val="0"/>
      <w:marBottom w:val="0"/>
      <w:divBdr>
        <w:top w:val="none" w:sz="0" w:space="0" w:color="auto"/>
        <w:left w:val="none" w:sz="0" w:space="0" w:color="auto"/>
        <w:bottom w:val="none" w:sz="0" w:space="0" w:color="auto"/>
        <w:right w:val="none" w:sz="0" w:space="0" w:color="auto"/>
      </w:divBdr>
    </w:div>
    <w:div w:id="1093549613">
      <w:bodyDiv w:val="1"/>
      <w:marLeft w:val="0"/>
      <w:marRight w:val="0"/>
      <w:marTop w:val="0"/>
      <w:marBottom w:val="0"/>
      <w:divBdr>
        <w:top w:val="none" w:sz="0" w:space="0" w:color="auto"/>
        <w:left w:val="none" w:sz="0" w:space="0" w:color="auto"/>
        <w:bottom w:val="none" w:sz="0" w:space="0" w:color="auto"/>
        <w:right w:val="none" w:sz="0" w:space="0" w:color="auto"/>
      </w:divBdr>
    </w:div>
    <w:div w:id="1094404412">
      <w:bodyDiv w:val="1"/>
      <w:marLeft w:val="0"/>
      <w:marRight w:val="0"/>
      <w:marTop w:val="0"/>
      <w:marBottom w:val="0"/>
      <w:divBdr>
        <w:top w:val="none" w:sz="0" w:space="0" w:color="auto"/>
        <w:left w:val="none" w:sz="0" w:space="0" w:color="auto"/>
        <w:bottom w:val="none" w:sz="0" w:space="0" w:color="auto"/>
        <w:right w:val="none" w:sz="0" w:space="0" w:color="auto"/>
      </w:divBdr>
    </w:div>
    <w:div w:id="1094471840">
      <w:bodyDiv w:val="1"/>
      <w:marLeft w:val="0"/>
      <w:marRight w:val="0"/>
      <w:marTop w:val="0"/>
      <w:marBottom w:val="0"/>
      <w:divBdr>
        <w:top w:val="none" w:sz="0" w:space="0" w:color="auto"/>
        <w:left w:val="none" w:sz="0" w:space="0" w:color="auto"/>
        <w:bottom w:val="none" w:sz="0" w:space="0" w:color="auto"/>
        <w:right w:val="none" w:sz="0" w:space="0" w:color="auto"/>
      </w:divBdr>
    </w:div>
    <w:div w:id="1095515032">
      <w:bodyDiv w:val="1"/>
      <w:marLeft w:val="0"/>
      <w:marRight w:val="0"/>
      <w:marTop w:val="0"/>
      <w:marBottom w:val="0"/>
      <w:divBdr>
        <w:top w:val="none" w:sz="0" w:space="0" w:color="auto"/>
        <w:left w:val="none" w:sz="0" w:space="0" w:color="auto"/>
        <w:bottom w:val="none" w:sz="0" w:space="0" w:color="auto"/>
        <w:right w:val="none" w:sz="0" w:space="0" w:color="auto"/>
      </w:divBdr>
    </w:div>
    <w:div w:id="1096052427">
      <w:bodyDiv w:val="1"/>
      <w:marLeft w:val="0"/>
      <w:marRight w:val="0"/>
      <w:marTop w:val="0"/>
      <w:marBottom w:val="0"/>
      <w:divBdr>
        <w:top w:val="none" w:sz="0" w:space="0" w:color="auto"/>
        <w:left w:val="none" w:sz="0" w:space="0" w:color="auto"/>
        <w:bottom w:val="none" w:sz="0" w:space="0" w:color="auto"/>
        <w:right w:val="none" w:sz="0" w:space="0" w:color="auto"/>
      </w:divBdr>
    </w:div>
    <w:div w:id="1097166595">
      <w:bodyDiv w:val="1"/>
      <w:marLeft w:val="0"/>
      <w:marRight w:val="0"/>
      <w:marTop w:val="0"/>
      <w:marBottom w:val="0"/>
      <w:divBdr>
        <w:top w:val="none" w:sz="0" w:space="0" w:color="auto"/>
        <w:left w:val="none" w:sz="0" w:space="0" w:color="auto"/>
        <w:bottom w:val="none" w:sz="0" w:space="0" w:color="auto"/>
        <w:right w:val="none" w:sz="0" w:space="0" w:color="auto"/>
      </w:divBdr>
    </w:div>
    <w:div w:id="1097556384">
      <w:bodyDiv w:val="1"/>
      <w:marLeft w:val="0"/>
      <w:marRight w:val="0"/>
      <w:marTop w:val="0"/>
      <w:marBottom w:val="0"/>
      <w:divBdr>
        <w:top w:val="none" w:sz="0" w:space="0" w:color="auto"/>
        <w:left w:val="none" w:sz="0" w:space="0" w:color="auto"/>
        <w:bottom w:val="none" w:sz="0" w:space="0" w:color="auto"/>
        <w:right w:val="none" w:sz="0" w:space="0" w:color="auto"/>
      </w:divBdr>
    </w:div>
    <w:div w:id="1097678887">
      <w:bodyDiv w:val="1"/>
      <w:marLeft w:val="0"/>
      <w:marRight w:val="0"/>
      <w:marTop w:val="0"/>
      <w:marBottom w:val="0"/>
      <w:divBdr>
        <w:top w:val="none" w:sz="0" w:space="0" w:color="auto"/>
        <w:left w:val="none" w:sz="0" w:space="0" w:color="auto"/>
        <w:bottom w:val="none" w:sz="0" w:space="0" w:color="auto"/>
        <w:right w:val="none" w:sz="0" w:space="0" w:color="auto"/>
      </w:divBdr>
    </w:div>
    <w:div w:id="1098140178">
      <w:bodyDiv w:val="1"/>
      <w:marLeft w:val="0"/>
      <w:marRight w:val="0"/>
      <w:marTop w:val="0"/>
      <w:marBottom w:val="0"/>
      <w:divBdr>
        <w:top w:val="none" w:sz="0" w:space="0" w:color="auto"/>
        <w:left w:val="none" w:sz="0" w:space="0" w:color="auto"/>
        <w:bottom w:val="none" w:sz="0" w:space="0" w:color="auto"/>
        <w:right w:val="none" w:sz="0" w:space="0" w:color="auto"/>
      </w:divBdr>
    </w:div>
    <w:div w:id="1099911243">
      <w:bodyDiv w:val="1"/>
      <w:marLeft w:val="0"/>
      <w:marRight w:val="0"/>
      <w:marTop w:val="0"/>
      <w:marBottom w:val="0"/>
      <w:divBdr>
        <w:top w:val="none" w:sz="0" w:space="0" w:color="auto"/>
        <w:left w:val="none" w:sz="0" w:space="0" w:color="auto"/>
        <w:bottom w:val="none" w:sz="0" w:space="0" w:color="auto"/>
        <w:right w:val="none" w:sz="0" w:space="0" w:color="auto"/>
      </w:divBdr>
    </w:div>
    <w:div w:id="1101685728">
      <w:bodyDiv w:val="1"/>
      <w:marLeft w:val="0"/>
      <w:marRight w:val="0"/>
      <w:marTop w:val="0"/>
      <w:marBottom w:val="0"/>
      <w:divBdr>
        <w:top w:val="none" w:sz="0" w:space="0" w:color="auto"/>
        <w:left w:val="none" w:sz="0" w:space="0" w:color="auto"/>
        <w:bottom w:val="none" w:sz="0" w:space="0" w:color="auto"/>
        <w:right w:val="none" w:sz="0" w:space="0" w:color="auto"/>
      </w:divBdr>
    </w:div>
    <w:div w:id="1101758116">
      <w:bodyDiv w:val="1"/>
      <w:marLeft w:val="0"/>
      <w:marRight w:val="0"/>
      <w:marTop w:val="0"/>
      <w:marBottom w:val="0"/>
      <w:divBdr>
        <w:top w:val="none" w:sz="0" w:space="0" w:color="auto"/>
        <w:left w:val="none" w:sz="0" w:space="0" w:color="auto"/>
        <w:bottom w:val="none" w:sz="0" w:space="0" w:color="auto"/>
        <w:right w:val="none" w:sz="0" w:space="0" w:color="auto"/>
      </w:divBdr>
    </w:div>
    <w:div w:id="1102720516">
      <w:bodyDiv w:val="1"/>
      <w:marLeft w:val="0"/>
      <w:marRight w:val="0"/>
      <w:marTop w:val="0"/>
      <w:marBottom w:val="0"/>
      <w:divBdr>
        <w:top w:val="none" w:sz="0" w:space="0" w:color="auto"/>
        <w:left w:val="none" w:sz="0" w:space="0" w:color="auto"/>
        <w:bottom w:val="none" w:sz="0" w:space="0" w:color="auto"/>
        <w:right w:val="none" w:sz="0" w:space="0" w:color="auto"/>
      </w:divBdr>
    </w:div>
    <w:div w:id="1103375148">
      <w:bodyDiv w:val="1"/>
      <w:marLeft w:val="0"/>
      <w:marRight w:val="0"/>
      <w:marTop w:val="0"/>
      <w:marBottom w:val="0"/>
      <w:divBdr>
        <w:top w:val="none" w:sz="0" w:space="0" w:color="auto"/>
        <w:left w:val="none" w:sz="0" w:space="0" w:color="auto"/>
        <w:bottom w:val="none" w:sz="0" w:space="0" w:color="auto"/>
        <w:right w:val="none" w:sz="0" w:space="0" w:color="auto"/>
      </w:divBdr>
    </w:div>
    <w:div w:id="1104762849">
      <w:bodyDiv w:val="1"/>
      <w:marLeft w:val="0"/>
      <w:marRight w:val="0"/>
      <w:marTop w:val="0"/>
      <w:marBottom w:val="0"/>
      <w:divBdr>
        <w:top w:val="none" w:sz="0" w:space="0" w:color="auto"/>
        <w:left w:val="none" w:sz="0" w:space="0" w:color="auto"/>
        <w:bottom w:val="none" w:sz="0" w:space="0" w:color="auto"/>
        <w:right w:val="none" w:sz="0" w:space="0" w:color="auto"/>
      </w:divBdr>
    </w:div>
    <w:div w:id="1105616701">
      <w:bodyDiv w:val="1"/>
      <w:marLeft w:val="0"/>
      <w:marRight w:val="0"/>
      <w:marTop w:val="0"/>
      <w:marBottom w:val="0"/>
      <w:divBdr>
        <w:top w:val="none" w:sz="0" w:space="0" w:color="auto"/>
        <w:left w:val="none" w:sz="0" w:space="0" w:color="auto"/>
        <w:bottom w:val="none" w:sz="0" w:space="0" w:color="auto"/>
        <w:right w:val="none" w:sz="0" w:space="0" w:color="auto"/>
      </w:divBdr>
    </w:div>
    <w:div w:id="1105617423">
      <w:bodyDiv w:val="1"/>
      <w:marLeft w:val="0"/>
      <w:marRight w:val="0"/>
      <w:marTop w:val="0"/>
      <w:marBottom w:val="0"/>
      <w:divBdr>
        <w:top w:val="none" w:sz="0" w:space="0" w:color="auto"/>
        <w:left w:val="none" w:sz="0" w:space="0" w:color="auto"/>
        <w:bottom w:val="none" w:sz="0" w:space="0" w:color="auto"/>
        <w:right w:val="none" w:sz="0" w:space="0" w:color="auto"/>
      </w:divBdr>
    </w:div>
    <w:div w:id="1106077792">
      <w:bodyDiv w:val="1"/>
      <w:marLeft w:val="0"/>
      <w:marRight w:val="0"/>
      <w:marTop w:val="0"/>
      <w:marBottom w:val="0"/>
      <w:divBdr>
        <w:top w:val="none" w:sz="0" w:space="0" w:color="auto"/>
        <w:left w:val="none" w:sz="0" w:space="0" w:color="auto"/>
        <w:bottom w:val="none" w:sz="0" w:space="0" w:color="auto"/>
        <w:right w:val="none" w:sz="0" w:space="0" w:color="auto"/>
      </w:divBdr>
    </w:div>
    <w:div w:id="1106651597">
      <w:bodyDiv w:val="1"/>
      <w:marLeft w:val="0"/>
      <w:marRight w:val="0"/>
      <w:marTop w:val="0"/>
      <w:marBottom w:val="0"/>
      <w:divBdr>
        <w:top w:val="none" w:sz="0" w:space="0" w:color="auto"/>
        <w:left w:val="none" w:sz="0" w:space="0" w:color="auto"/>
        <w:bottom w:val="none" w:sz="0" w:space="0" w:color="auto"/>
        <w:right w:val="none" w:sz="0" w:space="0" w:color="auto"/>
      </w:divBdr>
    </w:div>
    <w:div w:id="1108768367">
      <w:bodyDiv w:val="1"/>
      <w:marLeft w:val="0"/>
      <w:marRight w:val="0"/>
      <w:marTop w:val="0"/>
      <w:marBottom w:val="0"/>
      <w:divBdr>
        <w:top w:val="none" w:sz="0" w:space="0" w:color="auto"/>
        <w:left w:val="none" w:sz="0" w:space="0" w:color="auto"/>
        <w:bottom w:val="none" w:sz="0" w:space="0" w:color="auto"/>
        <w:right w:val="none" w:sz="0" w:space="0" w:color="auto"/>
      </w:divBdr>
    </w:div>
    <w:div w:id="1110318993">
      <w:bodyDiv w:val="1"/>
      <w:marLeft w:val="0"/>
      <w:marRight w:val="0"/>
      <w:marTop w:val="0"/>
      <w:marBottom w:val="0"/>
      <w:divBdr>
        <w:top w:val="none" w:sz="0" w:space="0" w:color="auto"/>
        <w:left w:val="none" w:sz="0" w:space="0" w:color="auto"/>
        <w:bottom w:val="none" w:sz="0" w:space="0" w:color="auto"/>
        <w:right w:val="none" w:sz="0" w:space="0" w:color="auto"/>
      </w:divBdr>
    </w:div>
    <w:div w:id="1110662888">
      <w:bodyDiv w:val="1"/>
      <w:marLeft w:val="0"/>
      <w:marRight w:val="0"/>
      <w:marTop w:val="0"/>
      <w:marBottom w:val="0"/>
      <w:divBdr>
        <w:top w:val="none" w:sz="0" w:space="0" w:color="auto"/>
        <w:left w:val="none" w:sz="0" w:space="0" w:color="auto"/>
        <w:bottom w:val="none" w:sz="0" w:space="0" w:color="auto"/>
        <w:right w:val="none" w:sz="0" w:space="0" w:color="auto"/>
      </w:divBdr>
    </w:div>
    <w:div w:id="1111634181">
      <w:bodyDiv w:val="1"/>
      <w:marLeft w:val="0"/>
      <w:marRight w:val="0"/>
      <w:marTop w:val="0"/>
      <w:marBottom w:val="0"/>
      <w:divBdr>
        <w:top w:val="none" w:sz="0" w:space="0" w:color="auto"/>
        <w:left w:val="none" w:sz="0" w:space="0" w:color="auto"/>
        <w:bottom w:val="none" w:sz="0" w:space="0" w:color="auto"/>
        <w:right w:val="none" w:sz="0" w:space="0" w:color="auto"/>
      </w:divBdr>
    </w:div>
    <w:div w:id="1115174417">
      <w:bodyDiv w:val="1"/>
      <w:marLeft w:val="0"/>
      <w:marRight w:val="0"/>
      <w:marTop w:val="0"/>
      <w:marBottom w:val="0"/>
      <w:divBdr>
        <w:top w:val="none" w:sz="0" w:space="0" w:color="auto"/>
        <w:left w:val="none" w:sz="0" w:space="0" w:color="auto"/>
        <w:bottom w:val="none" w:sz="0" w:space="0" w:color="auto"/>
        <w:right w:val="none" w:sz="0" w:space="0" w:color="auto"/>
      </w:divBdr>
    </w:div>
    <w:div w:id="1116950813">
      <w:bodyDiv w:val="1"/>
      <w:marLeft w:val="0"/>
      <w:marRight w:val="0"/>
      <w:marTop w:val="0"/>
      <w:marBottom w:val="0"/>
      <w:divBdr>
        <w:top w:val="none" w:sz="0" w:space="0" w:color="auto"/>
        <w:left w:val="none" w:sz="0" w:space="0" w:color="auto"/>
        <w:bottom w:val="none" w:sz="0" w:space="0" w:color="auto"/>
        <w:right w:val="none" w:sz="0" w:space="0" w:color="auto"/>
      </w:divBdr>
    </w:div>
    <w:div w:id="1118111078">
      <w:bodyDiv w:val="1"/>
      <w:marLeft w:val="0"/>
      <w:marRight w:val="0"/>
      <w:marTop w:val="0"/>
      <w:marBottom w:val="0"/>
      <w:divBdr>
        <w:top w:val="none" w:sz="0" w:space="0" w:color="auto"/>
        <w:left w:val="none" w:sz="0" w:space="0" w:color="auto"/>
        <w:bottom w:val="none" w:sz="0" w:space="0" w:color="auto"/>
        <w:right w:val="none" w:sz="0" w:space="0" w:color="auto"/>
      </w:divBdr>
    </w:div>
    <w:div w:id="1119224346">
      <w:bodyDiv w:val="1"/>
      <w:marLeft w:val="0"/>
      <w:marRight w:val="0"/>
      <w:marTop w:val="0"/>
      <w:marBottom w:val="0"/>
      <w:divBdr>
        <w:top w:val="none" w:sz="0" w:space="0" w:color="auto"/>
        <w:left w:val="none" w:sz="0" w:space="0" w:color="auto"/>
        <w:bottom w:val="none" w:sz="0" w:space="0" w:color="auto"/>
        <w:right w:val="none" w:sz="0" w:space="0" w:color="auto"/>
      </w:divBdr>
    </w:div>
    <w:div w:id="1119757018">
      <w:bodyDiv w:val="1"/>
      <w:marLeft w:val="0"/>
      <w:marRight w:val="0"/>
      <w:marTop w:val="0"/>
      <w:marBottom w:val="0"/>
      <w:divBdr>
        <w:top w:val="none" w:sz="0" w:space="0" w:color="auto"/>
        <w:left w:val="none" w:sz="0" w:space="0" w:color="auto"/>
        <w:bottom w:val="none" w:sz="0" w:space="0" w:color="auto"/>
        <w:right w:val="none" w:sz="0" w:space="0" w:color="auto"/>
      </w:divBdr>
    </w:div>
    <w:div w:id="1119766117">
      <w:bodyDiv w:val="1"/>
      <w:marLeft w:val="0"/>
      <w:marRight w:val="0"/>
      <w:marTop w:val="0"/>
      <w:marBottom w:val="0"/>
      <w:divBdr>
        <w:top w:val="none" w:sz="0" w:space="0" w:color="auto"/>
        <w:left w:val="none" w:sz="0" w:space="0" w:color="auto"/>
        <w:bottom w:val="none" w:sz="0" w:space="0" w:color="auto"/>
        <w:right w:val="none" w:sz="0" w:space="0" w:color="auto"/>
      </w:divBdr>
    </w:div>
    <w:div w:id="1120147305">
      <w:bodyDiv w:val="1"/>
      <w:marLeft w:val="0"/>
      <w:marRight w:val="0"/>
      <w:marTop w:val="0"/>
      <w:marBottom w:val="0"/>
      <w:divBdr>
        <w:top w:val="none" w:sz="0" w:space="0" w:color="auto"/>
        <w:left w:val="none" w:sz="0" w:space="0" w:color="auto"/>
        <w:bottom w:val="none" w:sz="0" w:space="0" w:color="auto"/>
        <w:right w:val="none" w:sz="0" w:space="0" w:color="auto"/>
      </w:divBdr>
    </w:div>
    <w:div w:id="1120883856">
      <w:bodyDiv w:val="1"/>
      <w:marLeft w:val="0"/>
      <w:marRight w:val="0"/>
      <w:marTop w:val="0"/>
      <w:marBottom w:val="0"/>
      <w:divBdr>
        <w:top w:val="none" w:sz="0" w:space="0" w:color="auto"/>
        <w:left w:val="none" w:sz="0" w:space="0" w:color="auto"/>
        <w:bottom w:val="none" w:sz="0" w:space="0" w:color="auto"/>
        <w:right w:val="none" w:sz="0" w:space="0" w:color="auto"/>
      </w:divBdr>
    </w:div>
    <w:div w:id="1121194706">
      <w:bodyDiv w:val="1"/>
      <w:marLeft w:val="0"/>
      <w:marRight w:val="0"/>
      <w:marTop w:val="0"/>
      <w:marBottom w:val="0"/>
      <w:divBdr>
        <w:top w:val="none" w:sz="0" w:space="0" w:color="auto"/>
        <w:left w:val="none" w:sz="0" w:space="0" w:color="auto"/>
        <w:bottom w:val="none" w:sz="0" w:space="0" w:color="auto"/>
        <w:right w:val="none" w:sz="0" w:space="0" w:color="auto"/>
      </w:divBdr>
    </w:div>
    <w:div w:id="1121336131">
      <w:bodyDiv w:val="1"/>
      <w:marLeft w:val="0"/>
      <w:marRight w:val="0"/>
      <w:marTop w:val="0"/>
      <w:marBottom w:val="0"/>
      <w:divBdr>
        <w:top w:val="none" w:sz="0" w:space="0" w:color="auto"/>
        <w:left w:val="none" w:sz="0" w:space="0" w:color="auto"/>
        <w:bottom w:val="none" w:sz="0" w:space="0" w:color="auto"/>
        <w:right w:val="none" w:sz="0" w:space="0" w:color="auto"/>
      </w:divBdr>
    </w:div>
    <w:div w:id="1122268246">
      <w:bodyDiv w:val="1"/>
      <w:marLeft w:val="0"/>
      <w:marRight w:val="0"/>
      <w:marTop w:val="0"/>
      <w:marBottom w:val="0"/>
      <w:divBdr>
        <w:top w:val="none" w:sz="0" w:space="0" w:color="auto"/>
        <w:left w:val="none" w:sz="0" w:space="0" w:color="auto"/>
        <w:bottom w:val="none" w:sz="0" w:space="0" w:color="auto"/>
        <w:right w:val="none" w:sz="0" w:space="0" w:color="auto"/>
      </w:divBdr>
    </w:div>
    <w:div w:id="1126193042">
      <w:bodyDiv w:val="1"/>
      <w:marLeft w:val="0"/>
      <w:marRight w:val="0"/>
      <w:marTop w:val="0"/>
      <w:marBottom w:val="0"/>
      <w:divBdr>
        <w:top w:val="none" w:sz="0" w:space="0" w:color="auto"/>
        <w:left w:val="none" w:sz="0" w:space="0" w:color="auto"/>
        <w:bottom w:val="none" w:sz="0" w:space="0" w:color="auto"/>
        <w:right w:val="none" w:sz="0" w:space="0" w:color="auto"/>
      </w:divBdr>
    </w:div>
    <w:div w:id="1126316960">
      <w:bodyDiv w:val="1"/>
      <w:marLeft w:val="0"/>
      <w:marRight w:val="0"/>
      <w:marTop w:val="0"/>
      <w:marBottom w:val="0"/>
      <w:divBdr>
        <w:top w:val="none" w:sz="0" w:space="0" w:color="auto"/>
        <w:left w:val="none" w:sz="0" w:space="0" w:color="auto"/>
        <w:bottom w:val="none" w:sz="0" w:space="0" w:color="auto"/>
        <w:right w:val="none" w:sz="0" w:space="0" w:color="auto"/>
      </w:divBdr>
    </w:div>
    <w:div w:id="1126854802">
      <w:bodyDiv w:val="1"/>
      <w:marLeft w:val="0"/>
      <w:marRight w:val="0"/>
      <w:marTop w:val="0"/>
      <w:marBottom w:val="0"/>
      <w:divBdr>
        <w:top w:val="none" w:sz="0" w:space="0" w:color="auto"/>
        <w:left w:val="none" w:sz="0" w:space="0" w:color="auto"/>
        <w:bottom w:val="none" w:sz="0" w:space="0" w:color="auto"/>
        <w:right w:val="none" w:sz="0" w:space="0" w:color="auto"/>
      </w:divBdr>
    </w:div>
    <w:div w:id="1127161136">
      <w:bodyDiv w:val="1"/>
      <w:marLeft w:val="0"/>
      <w:marRight w:val="0"/>
      <w:marTop w:val="0"/>
      <w:marBottom w:val="0"/>
      <w:divBdr>
        <w:top w:val="none" w:sz="0" w:space="0" w:color="auto"/>
        <w:left w:val="none" w:sz="0" w:space="0" w:color="auto"/>
        <w:bottom w:val="none" w:sz="0" w:space="0" w:color="auto"/>
        <w:right w:val="none" w:sz="0" w:space="0" w:color="auto"/>
      </w:divBdr>
    </w:div>
    <w:div w:id="1131166188">
      <w:bodyDiv w:val="1"/>
      <w:marLeft w:val="0"/>
      <w:marRight w:val="0"/>
      <w:marTop w:val="0"/>
      <w:marBottom w:val="0"/>
      <w:divBdr>
        <w:top w:val="none" w:sz="0" w:space="0" w:color="auto"/>
        <w:left w:val="none" w:sz="0" w:space="0" w:color="auto"/>
        <w:bottom w:val="none" w:sz="0" w:space="0" w:color="auto"/>
        <w:right w:val="none" w:sz="0" w:space="0" w:color="auto"/>
      </w:divBdr>
    </w:div>
    <w:div w:id="1131556992">
      <w:bodyDiv w:val="1"/>
      <w:marLeft w:val="0"/>
      <w:marRight w:val="0"/>
      <w:marTop w:val="0"/>
      <w:marBottom w:val="0"/>
      <w:divBdr>
        <w:top w:val="none" w:sz="0" w:space="0" w:color="auto"/>
        <w:left w:val="none" w:sz="0" w:space="0" w:color="auto"/>
        <w:bottom w:val="none" w:sz="0" w:space="0" w:color="auto"/>
        <w:right w:val="none" w:sz="0" w:space="0" w:color="auto"/>
      </w:divBdr>
    </w:div>
    <w:div w:id="1132795686">
      <w:bodyDiv w:val="1"/>
      <w:marLeft w:val="0"/>
      <w:marRight w:val="0"/>
      <w:marTop w:val="0"/>
      <w:marBottom w:val="0"/>
      <w:divBdr>
        <w:top w:val="none" w:sz="0" w:space="0" w:color="auto"/>
        <w:left w:val="none" w:sz="0" w:space="0" w:color="auto"/>
        <w:bottom w:val="none" w:sz="0" w:space="0" w:color="auto"/>
        <w:right w:val="none" w:sz="0" w:space="0" w:color="auto"/>
      </w:divBdr>
    </w:div>
    <w:div w:id="1133863828">
      <w:bodyDiv w:val="1"/>
      <w:marLeft w:val="0"/>
      <w:marRight w:val="0"/>
      <w:marTop w:val="0"/>
      <w:marBottom w:val="0"/>
      <w:divBdr>
        <w:top w:val="none" w:sz="0" w:space="0" w:color="auto"/>
        <w:left w:val="none" w:sz="0" w:space="0" w:color="auto"/>
        <w:bottom w:val="none" w:sz="0" w:space="0" w:color="auto"/>
        <w:right w:val="none" w:sz="0" w:space="0" w:color="auto"/>
      </w:divBdr>
    </w:div>
    <w:div w:id="1133983108">
      <w:bodyDiv w:val="1"/>
      <w:marLeft w:val="0"/>
      <w:marRight w:val="0"/>
      <w:marTop w:val="0"/>
      <w:marBottom w:val="0"/>
      <w:divBdr>
        <w:top w:val="none" w:sz="0" w:space="0" w:color="auto"/>
        <w:left w:val="none" w:sz="0" w:space="0" w:color="auto"/>
        <w:bottom w:val="none" w:sz="0" w:space="0" w:color="auto"/>
        <w:right w:val="none" w:sz="0" w:space="0" w:color="auto"/>
      </w:divBdr>
    </w:div>
    <w:div w:id="1134521487">
      <w:bodyDiv w:val="1"/>
      <w:marLeft w:val="0"/>
      <w:marRight w:val="0"/>
      <w:marTop w:val="0"/>
      <w:marBottom w:val="0"/>
      <w:divBdr>
        <w:top w:val="none" w:sz="0" w:space="0" w:color="auto"/>
        <w:left w:val="none" w:sz="0" w:space="0" w:color="auto"/>
        <w:bottom w:val="none" w:sz="0" w:space="0" w:color="auto"/>
        <w:right w:val="none" w:sz="0" w:space="0" w:color="auto"/>
      </w:divBdr>
    </w:div>
    <w:div w:id="1136338932">
      <w:bodyDiv w:val="1"/>
      <w:marLeft w:val="0"/>
      <w:marRight w:val="0"/>
      <w:marTop w:val="0"/>
      <w:marBottom w:val="0"/>
      <w:divBdr>
        <w:top w:val="none" w:sz="0" w:space="0" w:color="auto"/>
        <w:left w:val="none" w:sz="0" w:space="0" w:color="auto"/>
        <w:bottom w:val="none" w:sz="0" w:space="0" w:color="auto"/>
        <w:right w:val="none" w:sz="0" w:space="0" w:color="auto"/>
      </w:divBdr>
    </w:div>
    <w:div w:id="1136726113">
      <w:bodyDiv w:val="1"/>
      <w:marLeft w:val="0"/>
      <w:marRight w:val="0"/>
      <w:marTop w:val="0"/>
      <w:marBottom w:val="0"/>
      <w:divBdr>
        <w:top w:val="none" w:sz="0" w:space="0" w:color="auto"/>
        <w:left w:val="none" w:sz="0" w:space="0" w:color="auto"/>
        <w:bottom w:val="none" w:sz="0" w:space="0" w:color="auto"/>
        <w:right w:val="none" w:sz="0" w:space="0" w:color="auto"/>
      </w:divBdr>
    </w:div>
    <w:div w:id="1136946752">
      <w:bodyDiv w:val="1"/>
      <w:marLeft w:val="0"/>
      <w:marRight w:val="0"/>
      <w:marTop w:val="0"/>
      <w:marBottom w:val="0"/>
      <w:divBdr>
        <w:top w:val="none" w:sz="0" w:space="0" w:color="auto"/>
        <w:left w:val="none" w:sz="0" w:space="0" w:color="auto"/>
        <w:bottom w:val="none" w:sz="0" w:space="0" w:color="auto"/>
        <w:right w:val="none" w:sz="0" w:space="0" w:color="auto"/>
      </w:divBdr>
    </w:div>
    <w:div w:id="1137912556">
      <w:bodyDiv w:val="1"/>
      <w:marLeft w:val="0"/>
      <w:marRight w:val="0"/>
      <w:marTop w:val="0"/>
      <w:marBottom w:val="0"/>
      <w:divBdr>
        <w:top w:val="none" w:sz="0" w:space="0" w:color="auto"/>
        <w:left w:val="none" w:sz="0" w:space="0" w:color="auto"/>
        <w:bottom w:val="none" w:sz="0" w:space="0" w:color="auto"/>
        <w:right w:val="none" w:sz="0" w:space="0" w:color="auto"/>
      </w:divBdr>
    </w:div>
    <w:div w:id="1137990757">
      <w:bodyDiv w:val="1"/>
      <w:marLeft w:val="0"/>
      <w:marRight w:val="0"/>
      <w:marTop w:val="0"/>
      <w:marBottom w:val="0"/>
      <w:divBdr>
        <w:top w:val="none" w:sz="0" w:space="0" w:color="auto"/>
        <w:left w:val="none" w:sz="0" w:space="0" w:color="auto"/>
        <w:bottom w:val="none" w:sz="0" w:space="0" w:color="auto"/>
        <w:right w:val="none" w:sz="0" w:space="0" w:color="auto"/>
      </w:divBdr>
    </w:div>
    <w:div w:id="1138380314">
      <w:bodyDiv w:val="1"/>
      <w:marLeft w:val="0"/>
      <w:marRight w:val="0"/>
      <w:marTop w:val="0"/>
      <w:marBottom w:val="0"/>
      <w:divBdr>
        <w:top w:val="none" w:sz="0" w:space="0" w:color="auto"/>
        <w:left w:val="none" w:sz="0" w:space="0" w:color="auto"/>
        <w:bottom w:val="none" w:sz="0" w:space="0" w:color="auto"/>
        <w:right w:val="none" w:sz="0" w:space="0" w:color="auto"/>
      </w:divBdr>
    </w:div>
    <w:div w:id="1144202501">
      <w:bodyDiv w:val="1"/>
      <w:marLeft w:val="0"/>
      <w:marRight w:val="0"/>
      <w:marTop w:val="0"/>
      <w:marBottom w:val="0"/>
      <w:divBdr>
        <w:top w:val="none" w:sz="0" w:space="0" w:color="auto"/>
        <w:left w:val="none" w:sz="0" w:space="0" w:color="auto"/>
        <w:bottom w:val="none" w:sz="0" w:space="0" w:color="auto"/>
        <w:right w:val="none" w:sz="0" w:space="0" w:color="auto"/>
      </w:divBdr>
    </w:div>
    <w:div w:id="1145392637">
      <w:bodyDiv w:val="1"/>
      <w:marLeft w:val="0"/>
      <w:marRight w:val="0"/>
      <w:marTop w:val="0"/>
      <w:marBottom w:val="0"/>
      <w:divBdr>
        <w:top w:val="none" w:sz="0" w:space="0" w:color="auto"/>
        <w:left w:val="none" w:sz="0" w:space="0" w:color="auto"/>
        <w:bottom w:val="none" w:sz="0" w:space="0" w:color="auto"/>
        <w:right w:val="none" w:sz="0" w:space="0" w:color="auto"/>
      </w:divBdr>
    </w:div>
    <w:div w:id="1146120602">
      <w:bodyDiv w:val="1"/>
      <w:marLeft w:val="0"/>
      <w:marRight w:val="0"/>
      <w:marTop w:val="0"/>
      <w:marBottom w:val="0"/>
      <w:divBdr>
        <w:top w:val="none" w:sz="0" w:space="0" w:color="auto"/>
        <w:left w:val="none" w:sz="0" w:space="0" w:color="auto"/>
        <w:bottom w:val="none" w:sz="0" w:space="0" w:color="auto"/>
        <w:right w:val="none" w:sz="0" w:space="0" w:color="auto"/>
      </w:divBdr>
    </w:div>
    <w:div w:id="1151478623">
      <w:bodyDiv w:val="1"/>
      <w:marLeft w:val="0"/>
      <w:marRight w:val="0"/>
      <w:marTop w:val="0"/>
      <w:marBottom w:val="0"/>
      <w:divBdr>
        <w:top w:val="none" w:sz="0" w:space="0" w:color="auto"/>
        <w:left w:val="none" w:sz="0" w:space="0" w:color="auto"/>
        <w:bottom w:val="none" w:sz="0" w:space="0" w:color="auto"/>
        <w:right w:val="none" w:sz="0" w:space="0" w:color="auto"/>
      </w:divBdr>
    </w:div>
    <w:div w:id="1152451766">
      <w:bodyDiv w:val="1"/>
      <w:marLeft w:val="0"/>
      <w:marRight w:val="0"/>
      <w:marTop w:val="0"/>
      <w:marBottom w:val="0"/>
      <w:divBdr>
        <w:top w:val="none" w:sz="0" w:space="0" w:color="auto"/>
        <w:left w:val="none" w:sz="0" w:space="0" w:color="auto"/>
        <w:bottom w:val="none" w:sz="0" w:space="0" w:color="auto"/>
        <w:right w:val="none" w:sz="0" w:space="0" w:color="auto"/>
      </w:divBdr>
    </w:div>
    <w:div w:id="1152672212">
      <w:bodyDiv w:val="1"/>
      <w:marLeft w:val="0"/>
      <w:marRight w:val="0"/>
      <w:marTop w:val="0"/>
      <w:marBottom w:val="0"/>
      <w:divBdr>
        <w:top w:val="none" w:sz="0" w:space="0" w:color="auto"/>
        <w:left w:val="none" w:sz="0" w:space="0" w:color="auto"/>
        <w:bottom w:val="none" w:sz="0" w:space="0" w:color="auto"/>
        <w:right w:val="none" w:sz="0" w:space="0" w:color="auto"/>
      </w:divBdr>
    </w:div>
    <w:div w:id="1153913462">
      <w:bodyDiv w:val="1"/>
      <w:marLeft w:val="0"/>
      <w:marRight w:val="0"/>
      <w:marTop w:val="0"/>
      <w:marBottom w:val="0"/>
      <w:divBdr>
        <w:top w:val="none" w:sz="0" w:space="0" w:color="auto"/>
        <w:left w:val="none" w:sz="0" w:space="0" w:color="auto"/>
        <w:bottom w:val="none" w:sz="0" w:space="0" w:color="auto"/>
        <w:right w:val="none" w:sz="0" w:space="0" w:color="auto"/>
      </w:divBdr>
    </w:div>
    <w:div w:id="1155728948">
      <w:bodyDiv w:val="1"/>
      <w:marLeft w:val="0"/>
      <w:marRight w:val="0"/>
      <w:marTop w:val="0"/>
      <w:marBottom w:val="0"/>
      <w:divBdr>
        <w:top w:val="none" w:sz="0" w:space="0" w:color="auto"/>
        <w:left w:val="none" w:sz="0" w:space="0" w:color="auto"/>
        <w:bottom w:val="none" w:sz="0" w:space="0" w:color="auto"/>
        <w:right w:val="none" w:sz="0" w:space="0" w:color="auto"/>
      </w:divBdr>
    </w:div>
    <w:div w:id="1158379226">
      <w:bodyDiv w:val="1"/>
      <w:marLeft w:val="0"/>
      <w:marRight w:val="0"/>
      <w:marTop w:val="0"/>
      <w:marBottom w:val="0"/>
      <w:divBdr>
        <w:top w:val="none" w:sz="0" w:space="0" w:color="auto"/>
        <w:left w:val="none" w:sz="0" w:space="0" w:color="auto"/>
        <w:bottom w:val="none" w:sz="0" w:space="0" w:color="auto"/>
        <w:right w:val="none" w:sz="0" w:space="0" w:color="auto"/>
      </w:divBdr>
    </w:div>
    <w:div w:id="1160777107">
      <w:bodyDiv w:val="1"/>
      <w:marLeft w:val="0"/>
      <w:marRight w:val="0"/>
      <w:marTop w:val="0"/>
      <w:marBottom w:val="0"/>
      <w:divBdr>
        <w:top w:val="none" w:sz="0" w:space="0" w:color="auto"/>
        <w:left w:val="none" w:sz="0" w:space="0" w:color="auto"/>
        <w:bottom w:val="none" w:sz="0" w:space="0" w:color="auto"/>
        <w:right w:val="none" w:sz="0" w:space="0" w:color="auto"/>
      </w:divBdr>
    </w:div>
    <w:div w:id="1160930179">
      <w:bodyDiv w:val="1"/>
      <w:marLeft w:val="0"/>
      <w:marRight w:val="0"/>
      <w:marTop w:val="0"/>
      <w:marBottom w:val="0"/>
      <w:divBdr>
        <w:top w:val="none" w:sz="0" w:space="0" w:color="auto"/>
        <w:left w:val="none" w:sz="0" w:space="0" w:color="auto"/>
        <w:bottom w:val="none" w:sz="0" w:space="0" w:color="auto"/>
        <w:right w:val="none" w:sz="0" w:space="0" w:color="auto"/>
      </w:divBdr>
    </w:div>
    <w:div w:id="1161192897">
      <w:bodyDiv w:val="1"/>
      <w:marLeft w:val="0"/>
      <w:marRight w:val="0"/>
      <w:marTop w:val="0"/>
      <w:marBottom w:val="0"/>
      <w:divBdr>
        <w:top w:val="none" w:sz="0" w:space="0" w:color="auto"/>
        <w:left w:val="none" w:sz="0" w:space="0" w:color="auto"/>
        <w:bottom w:val="none" w:sz="0" w:space="0" w:color="auto"/>
        <w:right w:val="none" w:sz="0" w:space="0" w:color="auto"/>
      </w:divBdr>
    </w:div>
    <w:div w:id="1162351452">
      <w:bodyDiv w:val="1"/>
      <w:marLeft w:val="0"/>
      <w:marRight w:val="0"/>
      <w:marTop w:val="0"/>
      <w:marBottom w:val="0"/>
      <w:divBdr>
        <w:top w:val="none" w:sz="0" w:space="0" w:color="auto"/>
        <w:left w:val="none" w:sz="0" w:space="0" w:color="auto"/>
        <w:bottom w:val="none" w:sz="0" w:space="0" w:color="auto"/>
        <w:right w:val="none" w:sz="0" w:space="0" w:color="auto"/>
      </w:divBdr>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
    <w:div w:id="1164515273">
      <w:bodyDiv w:val="1"/>
      <w:marLeft w:val="0"/>
      <w:marRight w:val="0"/>
      <w:marTop w:val="0"/>
      <w:marBottom w:val="0"/>
      <w:divBdr>
        <w:top w:val="none" w:sz="0" w:space="0" w:color="auto"/>
        <w:left w:val="none" w:sz="0" w:space="0" w:color="auto"/>
        <w:bottom w:val="none" w:sz="0" w:space="0" w:color="auto"/>
        <w:right w:val="none" w:sz="0" w:space="0" w:color="auto"/>
      </w:divBdr>
    </w:div>
    <w:div w:id="1166244375">
      <w:bodyDiv w:val="1"/>
      <w:marLeft w:val="0"/>
      <w:marRight w:val="0"/>
      <w:marTop w:val="0"/>
      <w:marBottom w:val="0"/>
      <w:divBdr>
        <w:top w:val="none" w:sz="0" w:space="0" w:color="auto"/>
        <w:left w:val="none" w:sz="0" w:space="0" w:color="auto"/>
        <w:bottom w:val="none" w:sz="0" w:space="0" w:color="auto"/>
        <w:right w:val="none" w:sz="0" w:space="0" w:color="auto"/>
      </w:divBdr>
    </w:div>
    <w:div w:id="1168399447">
      <w:bodyDiv w:val="1"/>
      <w:marLeft w:val="0"/>
      <w:marRight w:val="0"/>
      <w:marTop w:val="0"/>
      <w:marBottom w:val="0"/>
      <w:divBdr>
        <w:top w:val="none" w:sz="0" w:space="0" w:color="auto"/>
        <w:left w:val="none" w:sz="0" w:space="0" w:color="auto"/>
        <w:bottom w:val="none" w:sz="0" w:space="0" w:color="auto"/>
        <w:right w:val="none" w:sz="0" w:space="0" w:color="auto"/>
      </w:divBdr>
    </w:div>
    <w:div w:id="1170487860">
      <w:bodyDiv w:val="1"/>
      <w:marLeft w:val="0"/>
      <w:marRight w:val="0"/>
      <w:marTop w:val="0"/>
      <w:marBottom w:val="0"/>
      <w:divBdr>
        <w:top w:val="none" w:sz="0" w:space="0" w:color="auto"/>
        <w:left w:val="none" w:sz="0" w:space="0" w:color="auto"/>
        <w:bottom w:val="none" w:sz="0" w:space="0" w:color="auto"/>
        <w:right w:val="none" w:sz="0" w:space="0" w:color="auto"/>
      </w:divBdr>
    </w:div>
    <w:div w:id="1170947175">
      <w:bodyDiv w:val="1"/>
      <w:marLeft w:val="0"/>
      <w:marRight w:val="0"/>
      <w:marTop w:val="0"/>
      <w:marBottom w:val="0"/>
      <w:divBdr>
        <w:top w:val="none" w:sz="0" w:space="0" w:color="auto"/>
        <w:left w:val="none" w:sz="0" w:space="0" w:color="auto"/>
        <w:bottom w:val="none" w:sz="0" w:space="0" w:color="auto"/>
        <w:right w:val="none" w:sz="0" w:space="0" w:color="auto"/>
      </w:divBdr>
    </w:div>
    <w:div w:id="1171019377">
      <w:bodyDiv w:val="1"/>
      <w:marLeft w:val="0"/>
      <w:marRight w:val="0"/>
      <w:marTop w:val="0"/>
      <w:marBottom w:val="0"/>
      <w:divBdr>
        <w:top w:val="none" w:sz="0" w:space="0" w:color="auto"/>
        <w:left w:val="none" w:sz="0" w:space="0" w:color="auto"/>
        <w:bottom w:val="none" w:sz="0" w:space="0" w:color="auto"/>
        <w:right w:val="none" w:sz="0" w:space="0" w:color="auto"/>
      </w:divBdr>
    </w:div>
    <w:div w:id="1171484424">
      <w:bodyDiv w:val="1"/>
      <w:marLeft w:val="0"/>
      <w:marRight w:val="0"/>
      <w:marTop w:val="0"/>
      <w:marBottom w:val="0"/>
      <w:divBdr>
        <w:top w:val="none" w:sz="0" w:space="0" w:color="auto"/>
        <w:left w:val="none" w:sz="0" w:space="0" w:color="auto"/>
        <w:bottom w:val="none" w:sz="0" w:space="0" w:color="auto"/>
        <w:right w:val="none" w:sz="0" w:space="0" w:color="auto"/>
      </w:divBdr>
    </w:div>
    <w:div w:id="1172137156">
      <w:bodyDiv w:val="1"/>
      <w:marLeft w:val="0"/>
      <w:marRight w:val="0"/>
      <w:marTop w:val="0"/>
      <w:marBottom w:val="0"/>
      <w:divBdr>
        <w:top w:val="none" w:sz="0" w:space="0" w:color="auto"/>
        <w:left w:val="none" w:sz="0" w:space="0" w:color="auto"/>
        <w:bottom w:val="none" w:sz="0" w:space="0" w:color="auto"/>
        <w:right w:val="none" w:sz="0" w:space="0" w:color="auto"/>
      </w:divBdr>
    </w:div>
    <w:div w:id="1172183485">
      <w:bodyDiv w:val="1"/>
      <w:marLeft w:val="0"/>
      <w:marRight w:val="0"/>
      <w:marTop w:val="0"/>
      <w:marBottom w:val="0"/>
      <w:divBdr>
        <w:top w:val="none" w:sz="0" w:space="0" w:color="auto"/>
        <w:left w:val="none" w:sz="0" w:space="0" w:color="auto"/>
        <w:bottom w:val="none" w:sz="0" w:space="0" w:color="auto"/>
        <w:right w:val="none" w:sz="0" w:space="0" w:color="auto"/>
      </w:divBdr>
    </w:div>
    <w:div w:id="1172185508">
      <w:bodyDiv w:val="1"/>
      <w:marLeft w:val="0"/>
      <w:marRight w:val="0"/>
      <w:marTop w:val="0"/>
      <w:marBottom w:val="0"/>
      <w:divBdr>
        <w:top w:val="none" w:sz="0" w:space="0" w:color="auto"/>
        <w:left w:val="none" w:sz="0" w:space="0" w:color="auto"/>
        <w:bottom w:val="none" w:sz="0" w:space="0" w:color="auto"/>
        <w:right w:val="none" w:sz="0" w:space="0" w:color="auto"/>
      </w:divBdr>
    </w:div>
    <w:div w:id="1173105771">
      <w:bodyDiv w:val="1"/>
      <w:marLeft w:val="0"/>
      <w:marRight w:val="0"/>
      <w:marTop w:val="0"/>
      <w:marBottom w:val="0"/>
      <w:divBdr>
        <w:top w:val="none" w:sz="0" w:space="0" w:color="auto"/>
        <w:left w:val="none" w:sz="0" w:space="0" w:color="auto"/>
        <w:bottom w:val="none" w:sz="0" w:space="0" w:color="auto"/>
        <w:right w:val="none" w:sz="0" w:space="0" w:color="auto"/>
      </w:divBdr>
    </w:div>
    <w:div w:id="1174302158">
      <w:bodyDiv w:val="1"/>
      <w:marLeft w:val="0"/>
      <w:marRight w:val="0"/>
      <w:marTop w:val="0"/>
      <w:marBottom w:val="0"/>
      <w:divBdr>
        <w:top w:val="none" w:sz="0" w:space="0" w:color="auto"/>
        <w:left w:val="none" w:sz="0" w:space="0" w:color="auto"/>
        <w:bottom w:val="none" w:sz="0" w:space="0" w:color="auto"/>
        <w:right w:val="none" w:sz="0" w:space="0" w:color="auto"/>
      </w:divBdr>
    </w:div>
    <w:div w:id="1174762436">
      <w:bodyDiv w:val="1"/>
      <w:marLeft w:val="0"/>
      <w:marRight w:val="0"/>
      <w:marTop w:val="0"/>
      <w:marBottom w:val="0"/>
      <w:divBdr>
        <w:top w:val="none" w:sz="0" w:space="0" w:color="auto"/>
        <w:left w:val="none" w:sz="0" w:space="0" w:color="auto"/>
        <w:bottom w:val="none" w:sz="0" w:space="0" w:color="auto"/>
        <w:right w:val="none" w:sz="0" w:space="0" w:color="auto"/>
      </w:divBdr>
    </w:div>
    <w:div w:id="1177580649">
      <w:bodyDiv w:val="1"/>
      <w:marLeft w:val="0"/>
      <w:marRight w:val="0"/>
      <w:marTop w:val="0"/>
      <w:marBottom w:val="0"/>
      <w:divBdr>
        <w:top w:val="none" w:sz="0" w:space="0" w:color="auto"/>
        <w:left w:val="none" w:sz="0" w:space="0" w:color="auto"/>
        <w:bottom w:val="none" w:sz="0" w:space="0" w:color="auto"/>
        <w:right w:val="none" w:sz="0" w:space="0" w:color="auto"/>
      </w:divBdr>
    </w:div>
    <w:div w:id="1179277161">
      <w:bodyDiv w:val="1"/>
      <w:marLeft w:val="0"/>
      <w:marRight w:val="0"/>
      <w:marTop w:val="0"/>
      <w:marBottom w:val="0"/>
      <w:divBdr>
        <w:top w:val="none" w:sz="0" w:space="0" w:color="auto"/>
        <w:left w:val="none" w:sz="0" w:space="0" w:color="auto"/>
        <w:bottom w:val="none" w:sz="0" w:space="0" w:color="auto"/>
        <w:right w:val="none" w:sz="0" w:space="0" w:color="auto"/>
      </w:divBdr>
    </w:div>
    <w:div w:id="1179348932">
      <w:bodyDiv w:val="1"/>
      <w:marLeft w:val="0"/>
      <w:marRight w:val="0"/>
      <w:marTop w:val="0"/>
      <w:marBottom w:val="0"/>
      <w:divBdr>
        <w:top w:val="none" w:sz="0" w:space="0" w:color="auto"/>
        <w:left w:val="none" w:sz="0" w:space="0" w:color="auto"/>
        <w:bottom w:val="none" w:sz="0" w:space="0" w:color="auto"/>
        <w:right w:val="none" w:sz="0" w:space="0" w:color="auto"/>
      </w:divBdr>
    </w:div>
    <w:div w:id="1179586853">
      <w:bodyDiv w:val="1"/>
      <w:marLeft w:val="0"/>
      <w:marRight w:val="0"/>
      <w:marTop w:val="0"/>
      <w:marBottom w:val="0"/>
      <w:divBdr>
        <w:top w:val="none" w:sz="0" w:space="0" w:color="auto"/>
        <w:left w:val="none" w:sz="0" w:space="0" w:color="auto"/>
        <w:bottom w:val="none" w:sz="0" w:space="0" w:color="auto"/>
        <w:right w:val="none" w:sz="0" w:space="0" w:color="auto"/>
      </w:divBdr>
    </w:div>
    <w:div w:id="1180315314">
      <w:bodyDiv w:val="1"/>
      <w:marLeft w:val="0"/>
      <w:marRight w:val="0"/>
      <w:marTop w:val="0"/>
      <w:marBottom w:val="0"/>
      <w:divBdr>
        <w:top w:val="none" w:sz="0" w:space="0" w:color="auto"/>
        <w:left w:val="none" w:sz="0" w:space="0" w:color="auto"/>
        <w:bottom w:val="none" w:sz="0" w:space="0" w:color="auto"/>
        <w:right w:val="none" w:sz="0" w:space="0" w:color="auto"/>
      </w:divBdr>
    </w:div>
    <w:div w:id="1180893760">
      <w:bodyDiv w:val="1"/>
      <w:marLeft w:val="0"/>
      <w:marRight w:val="0"/>
      <w:marTop w:val="0"/>
      <w:marBottom w:val="0"/>
      <w:divBdr>
        <w:top w:val="none" w:sz="0" w:space="0" w:color="auto"/>
        <w:left w:val="none" w:sz="0" w:space="0" w:color="auto"/>
        <w:bottom w:val="none" w:sz="0" w:space="0" w:color="auto"/>
        <w:right w:val="none" w:sz="0" w:space="0" w:color="auto"/>
      </w:divBdr>
    </w:div>
    <w:div w:id="1182284019">
      <w:bodyDiv w:val="1"/>
      <w:marLeft w:val="0"/>
      <w:marRight w:val="0"/>
      <w:marTop w:val="0"/>
      <w:marBottom w:val="0"/>
      <w:divBdr>
        <w:top w:val="none" w:sz="0" w:space="0" w:color="auto"/>
        <w:left w:val="none" w:sz="0" w:space="0" w:color="auto"/>
        <w:bottom w:val="none" w:sz="0" w:space="0" w:color="auto"/>
        <w:right w:val="none" w:sz="0" w:space="0" w:color="auto"/>
      </w:divBdr>
    </w:div>
    <w:div w:id="1182476018">
      <w:bodyDiv w:val="1"/>
      <w:marLeft w:val="0"/>
      <w:marRight w:val="0"/>
      <w:marTop w:val="0"/>
      <w:marBottom w:val="0"/>
      <w:divBdr>
        <w:top w:val="none" w:sz="0" w:space="0" w:color="auto"/>
        <w:left w:val="none" w:sz="0" w:space="0" w:color="auto"/>
        <w:bottom w:val="none" w:sz="0" w:space="0" w:color="auto"/>
        <w:right w:val="none" w:sz="0" w:space="0" w:color="auto"/>
      </w:divBdr>
    </w:div>
    <w:div w:id="1187057482">
      <w:bodyDiv w:val="1"/>
      <w:marLeft w:val="0"/>
      <w:marRight w:val="0"/>
      <w:marTop w:val="0"/>
      <w:marBottom w:val="0"/>
      <w:divBdr>
        <w:top w:val="none" w:sz="0" w:space="0" w:color="auto"/>
        <w:left w:val="none" w:sz="0" w:space="0" w:color="auto"/>
        <w:bottom w:val="none" w:sz="0" w:space="0" w:color="auto"/>
        <w:right w:val="none" w:sz="0" w:space="0" w:color="auto"/>
      </w:divBdr>
    </w:div>
    <w:div w:id="1187937656">
      <w:bodyDiv w:val="1"/>
      <w:marLeft w:val="0"/>
      <w:marRight w:val="0"/>
      <w:marTop w:val="0"/>
      <w:marBottom w:val="0"/>
      <w:divBdr>
        <w:top w:val="none" w:sz="0" w:space="0" w:color="auto"/>
        <w:left w:val="none" w:sz="0" w:space="0" w:color="auto"/>
        <w:bottom w:val="none" w:sz="0" w:space="0" w:color="auto"/>
        <w:right w:val="none" w:sz="0" w:space="0" w:color="auto"/>
      </w:divBdr>
    </w:div>
    <w:div w:id="1190728365">
      <w:bodyDiv w:val="1"/>
      <w:marLeft w:val="0"/>
      <w:marRight w:val="0"/>
      <w:marTop w:val="0"/>
      <w:marBottom w:val="0"/>
      <w:divBdr>
        <w:top w:val="none" w:sz="0" w:space="0" w:color="auto"/>
        <w:left w:val="none" w:sz="0" w:space="0" w:color="auto"/>
        <w:bottom w:val="none" w:sz="0" w:space="0" w:color="auto"/>
        <w:right w:val="none" w:sz="0" w:space="0" w:color="auto"/>
      </w:divBdr>
    </w:div>
    <w:div w:id="1190874866">
      <w:bodyDiv w:val="1"/>
      <w:marLeft w:val="0"/>
      <w:marRight w:val="0"/>
      <w:marTop w:val="0"/>
      <w:marBottom w:val="0"/>
      <w:divBdr>
        <w:top w:val="none" w:sz="0" w:space="0" w:color="auto"/>
        <w:left w:val="none" w:sz="0" w:space="0" w:color="auto"/>
        <w:bottom w:val="none" w:sz="0" w:space="0" w:color="auto"/>
        <w:right w:val="none" w:sz="0" w:space="0" w:color="auto"/>
      </w:divBdr>
    </w:div>
    <w:div w:id="1190950286">
      <w:bodyDiv w:val="1"/>
      <w:marLeft w:val="0"/>
      <w:marRight w:val="0"/>
      <w:marTop w:val="0"/>
      <w:marBottom w:val="0"/>
      <w:divBdr>
        <w:top w:val="none" w:sz="0" w:space="0" w:color="auto"/>
        <w:left w:val="none" w:sz="0" w:space="0" w:color="auto"/>
        <w:bottom w:val="none" w:sz="0" w:space="0" w:color="auto"/>
        <w:right w:val="none" w:sz="0" w:space="0" w:color="auto"/>
      </w:divBdr>
    </w:div>
    <w:div w:id="1190990402">
      <w:bodyDiv w:val="1"/>
      <w:marLeft w:val="0"/>
      <w:marRight w:val="0"/>
      <w:marTop w:val="0"/>
      <w:marBottom w:val="0"/>
      <w:divBdr>
        <w:top w:val="none" w:sz="0" w:space="0" w:color="auto"/>
        <w:left w:val="none" w:sz="0" w:space="0" w:color="auto"/>
        <w:bottom w:val="none" w:sz="0" w:space="0" w:color="auto"/>
        <w:right w:val="none" w:sz="0" w:space="0" w:color="auto"/>
      </w:divBdr>
    </w:div>
    <w:div w:id="1192299133">
      <w:bodyDiv w:val="1"/>
      <w:marLeft w:val="0"/>
      <w:marRight w:val="0"/>
      <w:marTop w:val="0"/>
      <w:marBottom w:val="0"/>
      <w:divBdr>
        <w:top w:val="none" w:sz="0" w:space="0" w:color="auto"/>
        <w:left w:val="none" w:sz="0" w:space="0" w:color="auto"/>
        <w:bottom w:val="none" w:sz="0" w:space="0" w:color="auto"/>
        <w:right w:val="none" w:sz="0" w:space="0" w:color="auto"/>
      </w:divBdr>
    </w:div>
    <w:div w:id="1192381581">
      <w:bodyDiv w:val="1"/>
      <w:marLeft w:val="0"/>
      <w:marRight w:val="0"/>
      <w:marTop w:val="0"/>
      <w:marBottom w:val="0"/>
      <w:divBdr>
        <w:top w:val="none" w:sz="0" w:space="0" w:color="auto"/>
        <w:left w:val="none" w:sz="0" w:space="0" w:color="auto"/>
        <w:bottom w:val="none" w:sz="0" w:space="0" w:color="auto"/>
        <w:right w:val="none" w:sz="0" w:space="0" w:color="auto"/>
      </w:divBdr>
    </w:div>
    <w:div w:id="1194346599">
      <w:bodyDiv w:val="1"/>
      <w:marLeft w:val="0"/>
      <w:marRight w:val="0"/>
      <w:marTop w:val="0"/>
      <w:marBottom w:val="0"/>
      <w:divBdr>
        <w:top w:val="none" w:sz="0" w:space="0" w:color="auto"/>
        <w:left w:val="none" w:sz="0" w:space="0" w:color="auto"/>
        <w:bottom w:val="none" w:sz="0" w:space="0" w:color="auto"/>
        <w:right w:val="none" w:sz="0" w:space="0" w:color="auto"/>
      </w:divBdr>
    </w:div>
    <w:div w:id="1196776157">
      <w:bodyDiv w:val="1"/>
      <w:marLeft w:val="0"/>
      <w:marRight w:val="0"/>
      <w:marTop w:val="0"/>
      <w:marBottom w:val="0"/>
      <w:divBdr>
        <w:top w:val="none" w:sz="0" w:space="0" w:color="auto"/>
        <w:left w:val="none" w:sz="0" w:space="0" w:color="auto"/>
        <w:bottom w:val="none" w:sz="0" w:space="0" w:color="auto"/>
        <w:right w:val="none" w:sz="0" w:space="0" w:color="auto"/>
      </w:divBdr>
    </w:div>
    <w:div w:id="1199929560">
      <w:bodyDiv w:val="1"/>
      <w:marLeft w:val="0"/>
      <w:marRight w:val="0"/>
      <w:marTop w:val="0"/>
      <w:marBottom w:val="0"/>
      <w:divBdr>
        <w:top w:val="none" w:sz="0" w:space="0" w:color="auto"/>
        <w:left w:val="none" w:sz="0" w:space="0" w:color="auto"/>
        <w:bottom w:val="none" w:sz="0" w:space="0" w:color="auto"/>
        <w:right w:val="none" w:sz="0" w:space="0" w:color="auto"/>
      </w:divBdr>
    </w:div>
    <w:div w:id="1200436033">
      <w:bodyDiv w:val="1"/>
      <w:marLeft w:val="0"/>
      <w:marRight w:val="0"/>
      <w:marTop w:val="0"/>
      <w:marBottom w:val="0"/>
      <w:divBdr>
        <w:top w:val="none" w:sz="0" w:space="0" w:color="auto"/>
        <w:left w:val="none" w:sz="0" w:space="0" w:color="auto"/>
        <w:bottom w:val="none" w:sz="0" w:space="0" w:color="auto"/>
        <w:right w:val="none" w:sz="0" w:space="0" w:color="auto"/>
      </w:divBdr>
    </w:div>
    <w:div w:id="1201819085">
      <w:bodyDiv w:val="1"/>
      <w:marLeft w:val="0"/>
      <w:marRight w:val="0"/>
      <w:marTop w:val="0"/>
      <w:marBottom w:val="0"/>
      <w:divBdr>
        <w:top w:val="none" w:sz="0" w:space="0" w:color="auto"/>
        <w:left w:val="none" w:sz="0" w:space="0" w:color="auto"/>
        <w:bottom w:val="none" w:sz="0" w:space="0" w:color="auto"/>
        <w:right w:val="none" w:sz="0" w:space="0" w:color="auto"/>
      </w:divBdr>
    </w:div>
    <w:div w:id="1202473691">
      <w:bodyDiv w:val="1"/>
      <w:marLeft w:val="0"/>
      <w:marRight w:val="0"/>
      <w:marTop w:val="0"/>
      <w:marBottom w:val="0"/>
      <w:divBdr>
        <w:top w:val="none" w:sz="0" w:space="0" w:color="auto"/>
        <w:left w:val="none" w:sz="0" w:space="0" w:color="auto"/>
        <w:bottom w:val="none" w:sz="0" w:space="0" w:color="auto"/>
        <w:right w:val="none" w:sz="0" w:space="0" w:color="auto"/>
      </w:divBdr>
    </w:div>
    <w:div w:id="1202520933">
      <w:bodyDiv w:val="1"/>
      <w:marLeft w:val="0"/>
      <w:marRight w:val="0"/>
      <w:marTop w:val="0"/>
      <w:marBottom w:val="0"/>
      <w:divBdr>
        <w:top w:val="none" w:sz="0" w:space="0" w:color="auto"/>
        <w:left w:val="none" w:sz="0" w:space="0" w:color="auto"/>
        <w:bottom w:val="none" w:sz="0" w:space="0" w:color="auto"/>
        <w:right w:val="none" w:sz="0" w:space="0" w:color="auto"/>
      </w:divBdr>
    </w:div>
    <w:div w:id="1203053542">
      <w:bodyDiv w:val="1"/>
      <w:marLeft w:val="0"/>
      <w:marRight w:val="0"/>
      <w:marTop w:val="0"/>
      <w:marBottom w:val="0"/>
      <w:divBdr>
        <w:top w:val="none" w:sz="0" w:space="0" w:color="auto"/>
        <w:left w:val="none" w:sz="0" w:space="0" w:color="auto"/>
        <w:bottom w:val="none" w:sz="0" w:space="0" w:color="auto"/>
        <w:right w:val="none" w:sz="0" w:space="0" w:color="auto"/>
      </w:divBdr>
    </w:div>
    <w:div w:id="1204102496">
      <w:bodyDiv w:val="1"/>
      <w:marLeft w:val="0"/>
      <w:marRight w:val="0"/>
      <w:marTop w:val="0"/>
      <w:marBottom w:val="0"/>
      <w:divBdr>
        <w:top w:val="none" w:sz="0" w:space="0" w:color="auto"/>
        <w:left w:val="none" w:sz="0" w:space="0" w:color="auto"/>
        <w:bottom w:val="none" w:sz="0" w:space="0" w:color="auto"/>
        <w:right w:val="none" w:sz="0" w:space="0" w:color="auto"/>
      </w:divBdr>
    </w:div>
    <w:div w:id="1205632932">
      <w:bodyDiv w:val="1"/>
      <w:marLeft w:val="0"/>
      <w:marRight w:val="0"/>
      <w:marTop w:val="0"/>
      <w:marBottom w:val="0"/>
      <w:divBdr>
        <w:top w:val="none" w:sz="0" w:space="0" w:color="auto"/>
        <w:left w:val="none" w:sz="0" w:space="0" w:color="auto"/>
        <w:bottom w:val="none" w:sz="0" w:space="0" w:color="auto"/>
        <w:right w:val="none" w:sz="0" w:space="0" w:color="auto"/>
      </w:divBdr>
    </w:div>
    <w:div w:id="1208295316">
      <w:bodyDiv w:val="1"/>
      <w:marLeft w:val="0"/>
      <w:marRight w:val="0"/>
      <w:marTop w:val="0"/>
      <w:marBottom w:val="0"/>
      <w:divBdr>
        <w:top w:val="none" w:sz="0" w:space="0" w:color="auto"/>
        <w:left w:val="none" w:sz="0" w:space="0" w:color="auto"/>
        <w:bottom w:val="none" w:sz="0" w:space="0" w:color="auto"/>
        <w:right w:val="none" w:sz="0" w:space="0" w:color="auto"/>
      </w:divBdr>
    </w:div>
    <w:div w:id="1208446172">
      <w:bodyDiv w:val="1"/>
      <w:marLeft w:val="0"/>
      <w:marRight w:val="0"/>
      <w:marTop w:val="0"/>
      <w:marBottom w:val="0"/>
      <w:divBdr>
        <w:top w:val="none" w:sz="0" w:space="0" w:color="auto"/>
        <w:left w:val="none" w:sz="0" w:space="0" w:color="auto"/>
        <w:bottom w:val="none" w:sz="0" w:space="0" w:color="auto"/>
        <w:right w:val="none" w:sz="0" w:space="0" w:color="auto"/>
      </w:divBdr>
    </w:div>
    <w:div w:id="1211724056">
      <w:bodyDiv w:val="1"/>
      <w:marLeft w:val="0"/>
      <w:marRight w:val="0"/>
      <w:marTop w:val="0"/>
      <w:marBottom w:val="0"/>
      <w:divBdr>
        <w:top w:val="none" w:sz="0" w:space="0" w:color="auto"/>
        <w:left w:val="none" w:sz="0" w:space="0" w:color="auto"/>
        <w:bottom w:val="none" w:sz="0" w:space="0" w:color="auto"/>
        <w:right w:val="none" w:sz="0" w:space="0" w:color="auto"/>
      </w:divBdr>
    </w:div>
    <w:div w:id="1213077262">
      <w:bodyDiv w:val="1"/>
      <w:marLeft w:val="0"/>
      <w:marRight w:val="0"/>
      <w:marTop w:val="0"/>
      <w:marBottom w:val="0"/>
      <w:divBdr>
        <w:top w:val="none" w:sz="0" w:space="0" w:color="auto"/>
        <w:left w:val="none" w:sz="0" w:space="0" w:color="auto"/>
        <w:bottom w:val="none" w:sz="0" w:space="0" w:color="auto"/>
        <w:right w:val="none" w:sz="0" w:space="0" w:color="auto"/>
      </w:divBdr>
    </w:div>
    <w:div w:id="1213887585">
      <w:bodyDiv w:val="1"/>
      <w:marLeft w:val="0"/>
      <w:marRight w:val="0"/>
      <w:marTop w:val="0"/>
      <w:marBottom w:val="0"/>
      <w:divBdr>
        <w:top w:val="none" w:sz="0" w:space="0" w:color="auto"/>
        <w:left w:val="none" w:sz="0" w:space="0" w:color="auto"/>
        <w:bottom w:val="none" w:sz="0" w:space="0" w:color="auto"/>
        <w:right w:val="none" w:sz="0" w:space="0" w:color="auto"/>
      </w:divBdr>
    </w:div>
    <w:div w:id="1214734632">
      <w:bodyDiv w:val="1"/>
      <w:marLeft w:val="0"/>
      <w:marRight w:val="0"/>
      <w:marTop w:val="0"/>
      <w:marBottom w:val="0"/>
      <w:divBdr>
        <w:top w:val="none" w:sz="0" w:space="0" w:color="auto"/>
        <w:left w:val="none" w:sz="0" w:space="0" w:color="auto"/>
        <w:bottom w:val="none" w:sz="0" w:space="0" w:color="auto"/>
        <w:right w:val="none" w:sz="0" w:space="0" w:color="auto"/>
      </w:divBdr>
    </w:div>
    <w:div w:id="1216547188">
      <w:bodyDiv w:val="1"/>
      <w:marLeft w:val="0"/>
      <w:marRight w:val="0"/>
      <w:marTop w:val="0"/>
      <w:marBottom w:val="0"/>
      <w:divBdr>
        <w:top w:val="none" w:sz="0" w:space="0" w:color="auto"/>
        <w:left w:val="none" w:sz="0" w:space="0" w:color="auto"/>
        <w:bottom w:val="none" w:sz="0" w:space="0" w:color="auto"/>
        <w:right w:val="none" w:sz="0" w:space="0" w:color="auto"/>
      </w:divBdr>
    </w:div>
    <w:div w:id="1217426914">
      <w:bodyDiv w:val="1"/>
      <w:marLeft w:val="0"/>
      <w:marRight w:val="0"/>
      <w:marTop w:val="0"/>
      <w:marBottom w:val="0"/>
      <w:divBdr>
        <w:top w:val="none" w:sz="0" w:space="0" w:color="auto"/>
        <w:left w:val="none" w:sz="0" w:space="0" w:color="auto"/>
        <w:bottom w:val="none" w:sz="0" w:space="0" w:color="auto"/>
        <w:right w:val="none" w:sz="0" w:space="0" w:color="auto"/>
      </w:divBdr>
    </w:div>
    <w:div w:id="1217550478">
      <w:bodyDiv w:val="1"/>
      <w:marLeft w:val="0"/>
      <w:marRight w:val="0"/>
      <w:marTop w:val="0"/>
      <w:marBottom w:val="0"/>
      <w:divBdr>
        <w:top w:val="none" w:sz="0" w:space="0" w:color="auto"/>
        <w:left w:val="none" w:sz="0" w:space="0" w:color="auto"/>
        <w:bottom w:val="none" w:sz="0" w:space="0" w:color="auto"/>
        <w:right w:val="none" w:sz="0" w:space="0" w:color="auto"/>
      </w:divBdr>
    </w:div>
    <w:div w:id="1220290591">
      <w:bodyDiv w:val="1"/>
      <w:marLeft w:val="0"/>
      <w:marRight w:val="0"/>
      <w:marTop w:val="0"/>
      <w:marBottom w:val="0"/>
      <w:divBdr>
        <w:top w:val="none" w:sz="0" w:space="0" w:color="auto"/>
        <w:left w:val="none" w:sz="0" w:space="0" w:color="auto"/>
        <w:bottom w:val="none" w:sz="0" w:space="0" w:color="auto"/>
        <w:right w:val="none" w:sz="0" w:space="0" w:color="auto"/>
      </w:divBdr>
    </w:div>
    <w:div w:id="1221667826">
      <w:bodyDiv w:val="1"/>
      <w:marLeft w:val="0"/>
      <w:marRight w:val="0"/>
      <w:marTop w:val="0"/>
      <w:marBottom w:val="0"/>
      <w:divBdr>
        <w:top w:val="none" w:sz="0" w:space="0" w:color="auto"/>
        <w:left w:val="none" w:sz="0" w:space="0" w:color="auto"/>
        <w:bottom w:val="none" w:sz="0" w:space="0" w:color="auto"/>
        <w:right w:val="none" w:sz="0" w:space="0" w:color="auto"/>
      </w:divBdr>
    </w:div>
    <w:div w:id="1221751864">
      <w:bodyDiv w:val="1"/>
      <w:marLeft w:val="0"/>
      <w:marRight w:val="0"/>
      <w:marTop w:val="0"/>
      <w:marBottom w:val="0"/>
      <w:divBdr>
        <w:top w:val="none" w:sz="0" w:space="0" w:color="auto"/>
        <w:left w:val="none" w:sz="0" w:space="0" w:color="auto"/>
        <w:bottom w:val="none" w:sz="0" w:space="0" w:color="auto"/>
        <w:right w:val="none" w:sz="0" w:space="0" w:color="auto"/>
      </w:divBdr>
    </w:div>
    <w:div w:id="1223753862">
      <w:bodyDiv w:val="1"/>
      <w:marLeft w:val="0"/>
      <w:marRight w:val="0"/>
      <w:marTop w:val="0"/>
      <w:marBottom w:val="0"/>
      <w:divBdr>
        <w:top w:val="none" w:sz="0" w:space="0" w:color="auto"/>
        <w:left w:val="none" w:sz="0" w:space="0" w:color="auto"/>
        <w:bottom w:val="none" w:sz="0" w:space="0" w:color="auto"/>
        <w:right w:val="none" w:sz="0" w:space="0" w:color="auto"/>
      </w:divBdr>
    </w:div>
    <w:div w:id="1224412818">
      <w:bodyDiv w:val="1"/>
      <w:marLeft w:val="0"/>
      <w:marRight w:val="0"/>
      <w:marTop w:val="0"/>
      <w:marBottom w:val="0"/>
      <w:divBdr>
        <w:top w:val="none" w:sz="0" w:space="0" w:color="auto"/>
        <w:left w:val="none" w:sz="0" w:space="0" w:color="auto"/>
        <w:bottom w:val="none" w:sz="0" w:space="0" w:color="auto"/>
        <w:right w:val="none" w:sz="0" w:space="0" w:color="auto"/>
      </w:divBdr>
    </w:div>
    <w:div w:id="1226718205">
      <w:bodyDiv w:val="1"/>
      <w:marLeft w:val="0"/>
      <w:marRight w:val="0"/>
      <w:marTop w:val="0"/>
      <w:marBottom w:val="0"/>
      <w:divBdr>
        <w:top w:val="none" w:sz="0" w:space="0" w:color="auto"/>
        <w:left w:val="none" w:sz="0" w:space="0" w:color="auto"/>
        <w:bottom w:val="none" w:sz="0" w:space="0" w:color="auto"/>
        <w:right w:val="none" w:sz="0" w:space="0" w:color="auto"/>
      </w:divBdr>
    </w:div>
    <w:div w:id="1226725222">
      <w:bodyDiv w:val="1"/>
      <w:marLeft w:val="0"/>
      <w:marRight w:val="0"/>
      <w:marTop w:val="0"/>
      <w:marBottom w:val="0"/>
      <w:divBdr>
        <w:top w:val="none" w:sz="0" w:space="0" w:color="auto"/>
        <w:left w:val="none" w:sz="0" w:space="0" w:color="auto"/>
        <w:bottom w:val="none" w:sz="0" w:space="0" w:color="auto"/>
        <w:right w:val="none" w:sz="0" w:space="0" w:color="auto"/>
      </w:divBdr>
    </w:div>
    <w:div w:id="1226910219">
      <w:bodyDiv w:val="1"/>
      <w:marLeft w:val="0"/>
      <w:marRight w:val="0"/>
      <w:marTop w:val="0"/>
      <w:marBottom w:val="0"/>
      <w:divBdr>
        <w:top w:val="none" w:sz="0" w:space="0" w:color="auto"/>
        <w:left w:val="none" w:sz="0" w:space="0" w:color="auto"/>
        <w:bottom w:val="none" w:sz="0" w:space="0" w:color="auto"/>
        <w:right w:val="none" w:sz="0" w:space="0" w:color="auto"/>
      </w:divBdr>
    </w:div>
    <w:div w:id="1227107575">
      <w:bodyDiv w:val="1"/>
      <w:marLeft w:val="0"/>
      <w:marRight w:val="0"/>
      <w:marTop w:val="0"/>
      <w:marBottom w:val="0"/>
      <w:divBdr>
        <w:top w:val="none" w:sz="0" w:space="0" w:color="auto"/>
        <w:left w:val="none" w:sz="0" w:space="0" w:color="auto"/>
        <w:bottom w:val="none" w:sz="0" w:space="0" w:color="auto"/>
        <w:right w:val="none" w:sz="0" w:space="0" w:color="auto"/>
      </w:divBdr>
    </w:div>
    <w:div w:id="1228103255">
      <w:bodyDiv w:val="1"/>
      <w:marLeft w:val="0"/>
      <w:marRight w:val="0"/>
      <w:marTop w:val="0"/>
      <w:marBottom w:val="0"/>
      <w:divBdr>
        <w:top w:val="none" w:sz="0" w:space="0" w:color="auto"/>
        <w:left w:val="none" w:sz="0" w:space="0" w:color="auto"/>
        <w:bottom w:val="none" w:sz="0" w:space="0" w:color="auto"/>
        <w:right w:val="none" w:sz="0" w:space="0" w:color="auto"/>
      </w:divBdr>
    </w:div>
    <w:div w:id="1228879319">
      <w:bodyDiv w:val="1"/>
      <w:marLeft w:val="0"/>
      <w:marRight w:val="0"/>
      <w:marTop w:val="0"/>
      <w:marBottom w:val="0"/>
      <w:divBdr>
        <w:top w:val="none" w:sz="0" w:space="0" w:color="auto"/>
        <w:left w:val="none" w:sz="0" w:space="0" w:color="auto"/>
        <w:bottom w:val="none" w:sz="0" w:space="0" w:color="auto"/>
        <w:right w:val="none" w:sz="0" w:space="0" w:color="auto"/>
      </w:divBdr>
    </w:div>
    <w:div w:id="1229194726">
      <w:bodyDiv w:val="1"/>
      <w:marLeft w:val="0"/>
      <w:marRight w:val="0"/>
      <w:marTop w:val="0"/>
      <w:marBottom w:val="0"/>
      <w:divBdr>
        <w:top w:val="none" w:sz="0" w:space="0" w:color="auto"/>
        <w:left w:val="none" w:sz="0" w:space="0" w:color="auto"/>
        <w:bottom w:val="none" w:sz="0" w:space="0" w:color="auto"/>
        <w:right w:val="none" w:sz="0" w:space="0" w:color="auto"/>
      </w:divBdr>
    </w:div>
    <w:div w:id="1229800373">
      <w:bodyDiv w:val="1"/>
      <w:marLeft w:val="0"/>
      <w:marRight w:val="0"/>
      <w:marTop w:val="0"/>
      <w:marBottom w:val="0"/>
      <w:divBdr>
        <w:top w:val="none" w:sz="0" w:space="0" w:color="auto"/>
        <w:left w:val="none" w:sz="0" w:space="0" w:color="auto"/>
        <w:bottom w:val="none" w:sz="0" w:space="0" w:color="auto"/>
        <w:right w:val="none" w:sz="0" w:space="0" w:color="auto"/>
      </w:divBdr>
    </w:div>
    <w:div w:id="1230841619">
      <w:bodyDiv w:val="1"/>
      <w:marLeft w:val="0"/>
      <w:marRight w:val="0"/>
      <w:marTop w:val="0"/>
      <w:marBottom w:val="0"/>
      <w:divBdr>
        <w:top w:val="none" w:sz="0" w:space="0" w:color="auto"/>
        <w:left w:val="none" w:sz="0" w:space="0" w:color="auto"/>
        <w:bottom w:val="none" w:sz="0" w:space="0" w:color="auto"/>
        <w:right w:val="none" w:sz="0" w:space="0" w:color="auto"/>
      </w:divBdr>
    </w:div>
    <w:div w:id="1232079935">
      <w:bodyDiv w:val="1"/>
      <w:marLeft w:val="0"/>
      <w:marRight w:val="0"/>
      <w:marTop w:val="0"/>
      <w:marBottom w:val="0"/>
      <w:divBdr>
        <w:top w:val="none" w:sz="0" w:space="0" w:color="auto"/>
        <w:left w:val="none" w:sz="0" w:space="0" w:color="auto"/>
        <w:bottom w:val="none" w:sz="0" w:space="0" w:color="auto"/>
        <w:right w:val="none" w:sz="0" w:space="0" w:color="auto"/>
      </w:divBdr>
    </w:div>
    <w:div w:id="1232421551">
      <w:bodyDiv w:val="1"/>
      <w:marLeft w:val="0"/>
      <w:marRight w:val="0"/>
      <w:marTop w:val="0"/>
      <w:marBottom w:val="0"/>
      <w:divBdr>
        <w:top w:val="none" w:sz="0" w:space="0" w:color="auto"/>
        <w:left w:val="none" w:sz="0" w:space="0" w:color="auto"/>
        <w:bottom w:val="none" w:sz="0" w:space="0" w:color="auto"/>
        <w:right w:val="none" w:sz="0" w:space="0" w:color="auto"/>
      </w:divBdr>
    </w:div>
    <w:div w:id="1232498865">
      <w:bodyDiv w:val="1"/>
      <w:marLeft w:val="0"/>
      <w:marRight w:val="0"/>
      <w:marTop w:val="0"/>
      <w:marBottom w:val="0"/>
      <w:divBdr>
        <w:top w:val="none" w:sz="0" w:space="0" w:color="auto"/>
        <w:left w:val="none" w:sz="0" w:space="0" w:color="auto"/>
        <w:bottom w:val="none" w:sz="0" w:space="0" w:color="auto"/>
        <w:right w:val="none" w:sz="0" w:space="0" w:color="auto"/>
      </w:divBdr>
    </w:div>
    <w:div w:id="1233079707">
      <w:bodyDiv w:val="1"/>
      <w:marLeft w:val="0"/>
      <w:marRight w:val="0"/>
      <w:marTop w:val="0"/>
      <w:marBottom w:val="0"/>
      <w:divBdr>
        <w:top w:val="none" w:sz="0" w:space="0" w:color="auto"/>
        <w:left w:val="none" w:sz="0" w:space="0" w:color="auto"/>
        <w:bottom w:val="none" w:sz="0" w:space="0" w:color="auto"/>
        <w:right w:val="none" w:sz="0" w:space="0" w:color="auto"/>
      </w:divBdr>
    </w:div>
    <w:div w:id="1234117689">
      <w:bodyDiv w:val="1"/>
      <w:marLeft w:val="0"/>
      <w:marRight w:val="0"/>
      <w:marTop w:val="0"/>
      <w:marBottom w:val="0"/>
      <w:divBdr>
        <w:top w:val="none" w:sz="0" w:space="0" w:color="auto"/>
        <w:left w:val="none" w:sz="0" w:space="0" w:color="auto"/>
        <w:bottom w:val="none" w:sz="0" w:space="0" w:color="auto"/>
        <w:right w:val="none" w:sz="0" w:space="0" w:color="auto"/>
      </w:divBdr>
    </w:div>
    <w:div w:id="1236011823">
      <w:bodyDiv w:val="1"/>
      <w:marLeft w:val="0"/>
      <w:marRight w:val="0"/>
      <w:marTop w:val="0"/>
      <w:marBottom w:val="0"/>
      <w:divBdr>
        <w:top w:val="none" w:sz="0" w:space="0" w:color="auto"/>
        <w:left w:val="none" w:sz="0" w:space="0" w:color="auto"/>
        <w:bottom w:val="none" w:sz="0" w:space="0" w:color="auto"/>
        <w:right w:val="none" w:sz="0" w:space="0" w:color="auto"/>
      </w:divBdr>
    </w:div>
    <w:div w:id="1236092176">
      <w:bodyDiv w:val="1"/>
      <w:marLeft w:val="0"/>
      <w:marRight w:val="0"/>
      <w:marTop w:val="0"/>
      <w:marBottom w:val="0"/>
      <w:divBdr>
        <w:top w:val="none" w:sz="0" w:space="0" w:color="auto"/>
        <w:left w:val="none" w:sz="0" w:space="0" w:color="auto"/>
        <w:bottom w:val="none" w:sz="0" w:space="0" w:color="auto"/>
        <w:right w:val="none" w:sz="0" w:space="0" w:color="auto"/>
      </w:divBdr>
    </w:div>
    <w:div w:id="1236206445">
      <w:bodyDiv w:val="1"/>
      <w:marLeft w:val="0"/>
      <w:marRight w:val="0"/>
      <w:marTop w:val="0"/>
      <w:marBottom w:val="0"/>
      <w:divBdr>
        <w:top w:val="none" w:sz="0" w:space="0" w:color="auto"/>
        <w:left w:val="none" w:sz="0" w:space="0" w:color="auto"/>
        <w:bottom w:val="none" w:sz="0" w:space="0" w:color="auto"/>
        <w:right w:val="none" w:sz="0" w:space="0" w:color="auto"/>
      </w:divBdr>
    </w:div>
    <w:div w:id="1238516732">
      <w:bodyDiv w:val="1"/>
      <w:marLeft w:val="0"/>
      <w:marRight w:val="0"/>
      <w:marTop w:val="0"/>
      <w:marBottom w:val="0"/>
      <w:divBdr>
        <w:top w:val="none" w:sz="0" w:space="0" w:color="auto"/>
        <w:left w:val="none" w:sz="0" w:space="0" w:color="auto"/>
        <w:bottom w:val="none" w:sz="0" w:space="0" w:color="auto"/>
        <w:right w:val="none" w:sz="0" w:space="0" w:color="auto"/>
      </w:divBdr>
    </w:div>
    <w:div w:id="1242108318">
      <w:bodyDiv w:val="1"/>
      <w:marLeft w:val="0"/>
      <w:marRight w:val="0"/>
      <w:marTop w:val="0"/>
      <w:marBottom w:val="0"/>
      <w:divBdr>
        <w:top w:val="none" w:sz="0" w:space="0" w:color="auto"/>
        <w:left w:val="none" w:sz="0" w:space="0" w:color="auto"/>
        <w:bottom w:val="none" w:sz="0" w:space="0" w:color="auto"/>
        <w:right w:val="none" w:sz="0" w:space="0" w:color="auto"/>
      </w:divBdr>
    </w:div>
    <w:div w:id="1243174429">
      <w:bodyDiv w:val="1"/>
      <w:marLeft w:val="0"/>
      <w:marRight w:val="0"/>
      <w:marTop w:val="0"/>
      <w:marBottom w:val="0"/>
      <w:divBdr>
        <w:top w:val="none" w:sz="0" w:space="0" w:color="auto"/>
        <w:left w:val="none" w:sz="0" w:space="0" w:color="auto"/>
        <w:bottom w:val="none" w:sz="0" w:space="0" w:color="auto"/>
        <w:right w:val="none" w:sz="0" w:space="0" w:color="auto"/>
      </w:divBdr>
    </w:div>
    <w:div w:id="1243444469">
      <w:bodyDiv w:val="1"/>
      <w:marLeft w:val="0"/>
      <w:marRight w:val="0"/>
      <w:marTop w:val="0"/>
      <w:marBottom w:val="0"/>
      <w:divBdr>
        <w:top w:val="none" w:sz="0" w:space="0" w:color="auto"/>
        <w:left w:val="none" w:sz="0" w:space="0" w:color="auto"/>
        <w:bottom w:val="none" w:sz="0" w:space="0" w:color="auto"/>
        <w:right w:val="none" w:sz="0" w:space="0" w:color="auto"/>
      </w:divBdr>
    </w:div>
    <w:div w:id="1244340172">
      <w:bodyDiv w:val="1"/>
      <w:marLeft w:val="0"/>
      <w:marRight w:val="0"/>
      <w:marTop w:val="0"/>
      <w:marBottom w:val="0"/>
      <w:divBdr>
        <w:top w:val="none" w:sz="0" w:space="0" w:color="auto"/>
        <w:left w:val="none" w:sz="0" w:space="0" w:color="auto"/>
        <w:bottom w:val="none" w:sz="0" w:space="0" w:color="auto"/>
        <w:right w:val="none" w:sz="0" w:space="0" w:color="auto"/>
      </w:divBdr>
    </w:div>
    <w:div w:id="1246919980">
      <w:bodyDiv w:val="1"/>
      <w:marLeft w:val="0"/>
      <w:marRight w:val="0"/>
      <w:marTop w:val="0"/>
      <w:marBottom w:val="0"/>
      <w:divBdr>
        <w:top w:val="none" w:sz="0" w:space="0" w:color="auto"/>
        <w:left w:val="none" w:sz="0" w:space="0" w:color="auto"/>
        <w:bottom w:val="none" w:sz="0" w:space="0" w:color="auto"/>
        <w:right w:val="none" w:sz="0" w:space="0" w:color="auto"/>
      </w:divBdr>
    </w:div>
    <w:div w:id="1248808465">
      <w:bodyDiv w:val="1"/>
      <w:marLeft w:val="0"/>
      <w:marRight w:val="0"/>
      <w:marTop w:val="0"/>
      <w:marBottom w:val="0"/>
      <w:divBdr>
        <w:top w:val="none" w:sz="0" w:space="0" w:color="auto"/>
        <w:left w:val="none" w:sz="0" w:space="0" w:color="auto"/>
        <w:bottom w:val="none" w:sz="0" w:space="0" w:color="auto"/>
        <w:right w:val="none" w:sz="0" w:space="0" w:color="auto"/>
      </w:divBdr>
    </w:div>
    <w:div w:id="1250574934">
      <w:bodyDiv w:val="1"/>
      <w:marLeft w:val="0"/>
      <w:marRight w:val="0"/>
      <w:marTop w:val="0"/>
      <w:marBottom w:val="0"/>
      <w:divBdr>
        <w:top w:val="none" w:sz="0" w:space="0" w:color="auto"/>
        <w:left w:val="none" w:sz="0" w:space="0" w:color="auto"/>
        <w:bottom w:val="none" w:sz="0" w:space="0" w:color="auto"/>
        <w:right w:val="none" w:sz="0" w:space="0" w:color="auto"/>
      </w:divBdr>
    </w:div>
    <w:div w:id="1250848474">
      <w:bodyDiv w:val="1"/>
      <w:marLeft w:val="0"/>
      <w:marRight w:val="0"/>
      <w:marTop w:val="0"/>
      <w:marBottom w:val="0"/>
      <w:divBdr>
        <w:top w:val="none" w:sz="0" w:space="0" w:color="auto"/>
        <w:left w:val="none" w:sz="0" w:space="0" w:color="auto"/>
        <w:bottom w:val="none" w:sz="0" w:space="0" w:color="auto"/>
        <w:right w:val="none" w:sz="0" w:space="0" w:color="auto"/>
      </w:divBdr>
    </w:div>
    <w:div w:id="1256280911">
      <w:bodyDiv w:val="1"/>
      <w:marLeft w:val="0"/>
      <w:marRight w:val="0"/>
      <w:marTop w:val="0"/>
      <w:marBottom w:val="0"/>
      <w:divBdr>
        <w:top w:val="none" w:sz="0" w:space="0" w:color="auto"/>
        <w:left w:val="none" w:sz="0" w:space="0" w:color="auto"/>
        <w:bottom w:val="none" w:sz="0" w:space="0" w:color="auto"/>
        <w:right w:val="none" w:sz="0" w:space="0" w:color="auto"/>
      </w:divBdr>
    </w:div>
    <w:div w:id="1257058699">
      <w:bodyDiv w:val="1"/>
      <w:marLeft w:val="0"/>
      <w:marRight w:val="0"/>
      <w:marTop w:val="0"/>
      <w:marBottom w:val="0"/>
      <w:divBdr>
        <w:top w:val="none" w:sz="0" w:space="0" w:color="auto"/>
        <w:left w:val="none" w:sz="0" w:space="0" w:color="auto"/>
        <w:bottom w:val="none" w:sz="0" w:space="0" w:color="auto"/>
        <w:right w:val="none" w:sz="0" w:space="0" w:color="auto"/>
      </w:divBdr>
    </w:div>
    <w:div w:id="1258175393">
      <w:bodyDiv w:val="1"/>
      <w:marLeft w:val="0"/>
      <w:marRight w:val="0"/>
      <w:marTop w:val="0"/>
      <w:marBottom w:val="0"/>
      <w:divBdr>
        <w:top w:val="none" w:sz="0" w:space="0" w:color="auto"/>
        <w:left w:val="none" w:sz="0" w:space="0" w:color="auto"/>
        <w:bottom w:val="none" w:sz="0" w:space="0" w:color="auto"/>
        <w:right w:val="none" w:sz="0" w:space="0" w:color="auto"/>
      </w:divBdr>
    </w:div>
    <w:div w:id="1259682571">
      <w:bodyDiv w:val="1"/>
      <w:marLeft w:val="0"/>
      <w:marRight w:val="0"/>
      <w:marTop w:val="0"/>
      <w:marBottom w:val="0"/>
      <w:divBdr>
        <w:top w:val="none" w:sz="0" w:space="0" w:color="auto"/>
        <w:left w:val="none" w:sz="0" w:space="0" w:color="auto"/>
        <w:bottom w:val="none" w:sz="0" w:space="0" w:color="auto"/>
        <w:right w:val="none" w:sz="0" w:space="0" w:color="auto"/>
      </w:divBdr>
    </w:div>
    <w:div w:id="1262373573">
      <w:bodyDiv w:val="1"/>
      <w:marLeft w:val="0"/>
      <w:marRight w:val="0"/>
      <w:marTop w:val="0"/>
      <w:marBottom w:val="0"/>
      <w:divBdr>
        <w:top w:val="none" w:sz="0" w:space="0" w:color="auto"/>
        <w:left w:val="none" w:sz="0" w:space="0" w:color="auto"/>
        <w:bottom w:val="none" w:sz="0" w:space="0" w:color="auto"/>
        <w:right w:val="none" w:sz="0" w:space="0" w:color="auto"/>
      </w:divBdr>
    </w:div>
    <w:div w:id="1264994838">
      <w:bodyDiv w:val="1"/>
      <w:marLeft w:val="0"/>
      <w:marRight w:val="0"/>
      <w:marTop w:val="0"/>
      <w:marBottom w:val="0"/>
      <w:divBdr>
        <w:top w:val="none" w:sz="0" w:space="0" w:color="auto"/>
        <w:left w:val="none" w:sz="0" w:space="0" w:color="auto"/>
        <w:bottom w:val="none" w:sz="0" w:space="0" w:color="auto"/>
        <w:right w:val="none" w:sz="0" w:space="0" w:color="auto"/>
      </w:divBdr>
    </w:div>
    <w:div w:id="1268195188">
      <w:bodyDiv w:val="1"/>
      <w:marLeft w:val="0"/>
      <w:marRight w:val="0"/>
      <w:marTop w:val="0"/>
      <w:marBottom w:val="0"/>
      <w:divBdr>
        <w:top w:val="none" w:sz="0" w:space="0" w:color="auto"/>
        <w:left w:val="none" w:sz="0" w:space="0" w:color="auto"/>
        <w:bottom w:val="none" w:sz="0" w:space="0" w:color="auto"/>
        <w:right w:val="none" w:sz="0" w:space="0" w:color="auto"/>
      </w:divBdr>
    </w:div>
    <w:div w:id="1268393483">
      <w:bodyDiv w:val="1"/>
      <w:marLeft w:val="0"/>
      <w:marRight w:val="0"/>
      <w:marTop w:val="0"/>
      <w:marBottom w:val="0"/>
      <w:divBdr>
        <w:top w:val="none" w:sz="0" w:space="0" w:color="auto"/>
        <w:left w:val="none" w:sz="0" w:space="0" w:color="auto"/>
        <w:bottom w:val="none" w:sz="0" w:space="0" w:color="auto"/>
        <w:right w:val="none" w:sz="0" w:space="0" w:color="auto"/>
      </w:divBdr>
    </w:div>
    <w:div w:id="1270700675">
      <w:bodyDiv w:val="1"/>
      <w:marLeft w:val="0"/>
      <w:marRight w:val="0"/>
      <w:marTop w:val="0"/>
      <w:marBottom w:val="0"/>
      <w:divBdr>
        <w:top w:val="none" w:sz="0" w:space="0" w:color="auto"/>
        <w:left w:val="none" w:sz="0" w:space="0" w:color="auto"/>
        <w:bottom w:val="none" w:sz="0" w:space="0" w:color="auto"/>
        <w:right w:val="none" w:sz="0" w:space="0" w:color="auto"/>
      </w:divBdr>
    </w:div>
    <w:div w:id="1271357749">
      <w:bodyDiv w:val="1"/>
      <w:marLeft w:val="0"/>
      <w:marRight w:val="0"/>
      <w:marTop w:val="0"/>
      <w:marBottom w:val="0"/>
      <w:divBdr>
        <w:top w:val="none" w:sz="0" w:space="0" w:color="auto"/>
        <w:left w:val="none" w:sz="0" w:space="0" w:color="auto"/>
        <w:bottom w:val="none" w:sz="0" w:space="0" w:color="auto"/>
        <w:right w:val="none" w:sz="0" w:space="0" w:color="auto"/>
      </w:divBdr>
    </w:div>
    <w:div w:id="1271552483">
      <w:bodyDiv w:val="1"/>
      <w:marLeft w:val="0"/>
      <w:marRight w:val="0"/>
      <w:marTop w:val="0"/>
      <w:marBottom w:val="0"/>
      <w:divBdr>
        <w:top w:val="none" w:sz="0" w:space="0" w:color="auto"/>
        <w:left w:val="none" w:sz="0" w:space="0" w:color="auto"/>
        <w:bottom w:val="none" w:sz="0" w:space="0" w:color="auto"/>
        <w:right w:val="none" w:sz="0" w:space="0" w:color="auto"/>
      </w:divBdr>
    </w:div>
    <w:div w:id="1272317167">
      <w:bodyDiv w:val="1"/>
      <w:marLeft w:val="0"/>
      <w:marRight w:val="0"/>
      <w:marTop w:val="0"/>
      <w:marBottom w:val="0"/>
      <w:divBdr>
        <w:top w:val="none" w:sz="0" w:space="0" w:color="auto"/>
        <w:left w:val="none" w:sz="0" w:space="0" w:color="auto"/>
        <w:bottom w:val="none" w:sz="0" w:space="0" w:color="auto"/>
        <w:right w:val="none" w:sz="0" w:space="0" w:color="auto"/>
      </w:divBdr>
    </w:div>
    <w:div w:id="1273365923">
      <w:bodyDiv w:val="1"/>
      <w:marLeft w:val="0"/>
      <w:marRight w:val="0"/>
      <w:marTop w:val="0"/>
      <w:marBottom w:val="0"/>
      <w:divBdr>
        <w:top w:val="none" w:sz="0" w:space="0" w:color="auto"/>
        <w:left w:val="none" w:sz="0" w:space="0" w:color="auto"/>
        <w:bottom w:val="none" w:sz="0" w:space="0" w:color="auto"/>
        <w:right w:val="none" w:sz="0" w:space="0" w:color="auto"/>
      </w:divBdr>
    </w:div>
    <w:div w:id="1275600199">
      <w:bodyDiv w:val="1"/>
      <w:marLeft w:val="0"/>
      <w:marRight w:val="0"/>
      <w:marTop w:val="0"/>
      <w:marBottom w:val="0"/>
      <w:divBdr>
        <w:top w:val="none" w:sz="0" w:space="0" w:color="auto"/>
        <w:left w:val="none" w:sz="0" w:space="0" w:color="auto"/>
        <w:bottom w:val="none" w:sz="0" w:space="0" w:color="auto"/>
        <w:right w:val="none" w:sz="0" w:space="0" w:color="auto"/>
      </w:divBdr>
    </w:div>
    <w:div w:id="1277367059">
      <w:bodyDiv w:val="1"/>
      <w:marLeft w:val="0"/>
      <w:marRight w:val="0"/>
      <w:marTop w:val="0"/>
      <w:marBottom w:val="0"/>
      <w:divBdr>
        <w:top w:val="none" w:sz="0" w:space="0" w:color="auto"/>
        <w:left w:val="none" w:sz="0" w:space="0" w:color="auto"/>
        <w:bottom w:val="none" w:sz="0" w:space="0" w:color="auto"/>
        <w:right w:val="none" w:sz="0" w:space="0" w:color="auto"/>
      </w:divBdr>
    </w:div>
    <w:div w:id="1277755706">
      <w:bodyDiv w:val="1"/>
      <w:marLeft w:val="0"/>
      <w:marRight w:val="0"/>
      <w:marTop w:val="0"/>
      <w:marBottom w:val="0"/>
      <w:divBdr>
        <w:top w:val="none" w:sz="0" w:space="0" w:color="auto"/>
        <w:left w:val="none" w:sz="0" w:space="0" w:color="auto"/>
        <w:bottom w:val="none" w:sz="0" w:space="0" w:color="auto"/>
        <w:right w:val="none" w:sz="0" w:space="0" w:color="auto"/>
      </w:divBdr>
    </w:div>
    <w:div w:id="1278830977">
      <w:bodyDiv w:val="1"/>
      <w:marLeft w:val="0"/>
      <w:marRight w:val="0"/>
      <w:marTop w:val="0"/>
      <w:marBottom w:val="0"/>
      <w:divBdr>
        <w:top w:val="none" w:sz="0" w:space="0" w:color="auto"/>
        <w:left w:val="none" w:sz="0" w:space="0" w:color="auto"/>
        <w:bottom w:val="none" w:sz="0" w:space="0" w:color="auto"/>
        <w:right w:val="none" w:sz="0" w:space="0" w:color="auto"/>
      </w:divBdr>
    </w:div>
    <w:div w:id="1279486850">
      <w:bodyDiv w:val="1"/>
      <w:marLeft w:val="0"/>
      <w:marRight w:val="0"/>
      <w:marTop w:val="0"/>
      <w:marBottom w:val="0"/>
      <w:divBdr>
        <w:top w:val="none" w:sz="0" w:space="0" w:color="auto"/>
        <w:left w:val="none" w:sz="0" w:space="0" w:color="auto"/>
        <w:bottom w:val="none" w:sz="0" w:space="0" w:color="auto"/>
        <w:right w:val="none" w:sz="0" w:space="0" w:color="auto"/>
      </w:divBdr>
    </w:div>
    <w:div w:id="1279604358">
      <w:bodyDiv w:val="1"/>
      <w:marLeft w:val="0"/>
      <w:marRight w:val="0"/>
      <w:marTop w:val="0"/>
      <w:marBottom w:val="0"/>
      <w:divBdr>
        <w:top w:val="none" w:sz="0" w:space="0" w:color="auto"/>
        <w:left w:val="none" w:sz="0" w:space="0" w:color="auto"/>
        <w:bottom w:val="none" w:sz="0" w:space="0" w:color="auto"/>
        <w:right w:val="none" w:sz="0" w:space="0" w:color="auto"/>
      </w:divBdr>
    </w:div>
    <w:div w:id="1280332126">
      <w:bodyDiv w:val="1"/>
      <w:marLeft w:val="0"/>
      <w:marRight w:val="0"/>
      <w:marTop w:val="0"/>
      <w:marBottom w:val="0"/>
      <w:divBdr>
        <w:top w:val="none" w:sz="0" w:space="0" w:color="auto"/>
        <w:left w:val="none" w:sz="0" w:space="0" w:color="auto"/>
        <w:bottom w:val="none" w:sz="0" w:space="0" w:color="auto"/>
        <w:right w:val="none" w:sz="0" w:space="0" w:color="auto"/>
      </w:divBdr>
    </w:div>
    <w:div w:id="1280339947">
      <w:bodyDiv w:val="1"/>
      <w:marLeft w:val="0"/>
      <w:marRight w:val="0"/>
      <w:marTop w:val="0"/>
      <w:marBottom w:val="0"/>
      <w:divBdr>
        <w:top w:val="none" w:sz="0" w:space="0" w:color="auto"/>
        <w:left w:val="none" w:sz="0" w:space="0" w:color="auto"/>
        <w:bottom w:val="none" w:sz="0" w:space="0" w:color="auto"/>
        <w:right w:val="none" w:sz="0" w:space="0" w:color="auto"/>
      </w:divBdr>
    </w:div>
    <w:div w:id="1281456541">
      <w:bodyDiv w:val="1"/>
      <w:marLeft w:val="0"/>
      <w:marRight w:val="0"/>
      <w:marTop w:val="0"/>
      <w:marBottom w:val="0"/>
      <w:divBdr>
        <w:top w:val="none" w:sz="0" w:space="0" w:color="auto"/>
        <w:left w:val="none" w:sz="0" w:space="0" w:color="auto"/>
        <w:bottom w:val="none" w:sz="0" w:space="0" w:color="auto"/>
        <w:right w:val="none" w:sz="0" w:space="0" w:color="auto"/>
      </w:divBdr>
    </w:div>
    <w:div w:id="1281496387">
      <w:bodyDiv w:val="1"/>
      <w:marLeft w:val="0"/>
      <w:marRight w:val="0"/>
      <w:marTop w:val="0"/>
      <w:marBottom w:val="0"/>
      <w:divBdr>
        <w:top w:val="none" w:sz="0" w:space="0" w:color="auto"/>
        <w:left w:val="none" w:sz="0" w:space="0" w:color="auto"/>
        <w:bottom w:val="none" w:sz="0" w:space="0" w:color="auto"/>
        <w:right w:val="none" w:sz="0" w:space="0" w:color="auto"/>
      </w:divBdr>
    </w:div>
    <w:div w:id="1282343335">
      <w:bodyDiv w:val="1"/>
      <w:marLeft w:val="0"/>
      <w:marRight w:val="0"/>
      <w:marTop w:val="0"/>
      <w:marBottom w:val="0"/>
      <w:divBdr>
        <w:top w:val="none" w:sz="0" w:space="0" w:color="auto"/>
        <w:left w:val="none" w:sz="0" w:space="0" w:color="auto"/>
        <w:bottom w:val="none" w:sz="0" w:space="0" w:color="auto"/>
        <w:right w:val="none" w:sz="0" w:space="0" w:color="auto"/>
      </w:divBdr>
    </w:div>
    <w:div w:id="1282612718">
      <w:bodyDiv w:val="1"/>
      <w:marLeft w:val="0"/>
      <w:marRight w:val="0"/>
      <w:marTop w:val="0"/>
      <w:marBottom w:val="0"/>
      <w:divBdr>
        <w:top w:val="none" w:sz="0" w:space="0" w:color="auto"/>
        <w:left w:val="none" w:sz="0" w:space="0" w:color="auto"/>
        <w:bottom w:val="none" w:sz="0" w:space="0" w:color="auto"/>
        <w:right w:val="none" w:sz="0" w:space="0" w:color="auto"/>
      </w:divBdr>
    </w:div>
    <w:div w:id="1284194304">
      <w:bodyDiv w:val="1"/>
      <w:marLeft w:val="0"/>
      <w:marRight w:val="0"/>
      <w:marTop w:val="0"/>
      <w:marBottom w:val="0"/>
      <w:divBdr>
        <w:top w:val="none" w:sz="0" w:space="0" w:color="auto"/>
        <w:left w:val="none" w:sz="0" w:space="0" w:color="auto"/>
        <w:bottom w:val="none" w:sz="0" w:space="0" w:color="auto"/>
        <w:right w:val="none" w:sz="0" w:space="0" w:color="auto"/>
      </w:divBdr>
    </w:div>
    <w:div w:id="1290474737">
      <w:bodyDiv w:val="1"/>
      <w:marLeft w:val="0"/>
      <w:marRight w:val="0"/>
      <w:marTop w:val="0"/>
      <w:marBottom w:val="0"/>
      <w:divBdr>
        <w:top w:val="none" w:sz="0" w:space="0" w:color="auto"/>
        <w:left w:val="none" w:sz="0" w:space="0" w:color="auto"/>
        <w:bottom w:val="none" w:sz="0" w:space="0" w:color="auto"/>
        <w:right w:val="none" w:sz="0" w:space="0" w:color="auto"/>
      </w:divBdr>
    </w:div>
    <w:div w:id="1291326895">
      <w:bodyDiv w:val="1"/>
      <w:marLeft w:val="0"/>
      <w:marRight w:val="0"/>
      <w:marTop w:val="0"/>
      <w:marBottom w:val="0"/>
      <w:divBdr>
        <w:top w:val="none" w:sz="0" w:space="0" w:color="auto"/>
        <w:left w:val="none" w:sz="0" w:space="0" w:color="auto"/>
        <w:bottom w:val="none" w:sz="0" w:space="0" w:color="auto"/>
        <w:right w:val="none" w:sz="0" w:space="0" w:color="auto"/>
      </w:divBdr>
    </w:div>
    <w:div w:id="1292856057">
      <w:bodyDiv w:val="1"/>
      <w:marLeft w:val="0"/>
      <w:marRight w:val="0"/>
      <w:marTop w:val="0"/>
      <w:marBottom w:val="0"/>
      <w:divBdr>
        <w:top w:val="none" w:sz="0" w:space="0" w:color="auto"/>
        <w:left w:val="none" w:sz="0" w:space="0" w:color="auto"/>
        <w:bottom w:val="none" w:sz="0" w:space="0" w:color="auto"/>
        <w:right w:val="none" w:sz="0" w:space="0" w:color="auto"/>
      </w:divBdr>
    </w:div>
    <w:div w:id="1292860278">
      <w:bodyDiv w:val="1"/>
      <w:marLeft w:val="0"/>
      <w:marRight w:val="0"/>
      <w:marTop w:val="0"/>
      <w:marBottom w:val="0"/>
      <w:divBdr>
        <w:top w:val="none" w:sz="0" w:space="0" w:color="auto"/>
        <w:left w:val="none" w:sz="0" w:space="0" w:color="auto"/>
        <w:bottom w:val="none" w:sz="0" w:space="0" w:color="auto"/>
        <w:right w:val="none" w:sz="0" w:space="0" w:color="auto"/>
      </w:divBdr>
    </w:div>
    <w:div w:id="1296372583">
      <w:bodyDiv w:val="1"/>
      <w:marLeft w:val="0"/>
      <w:marRight w:val="0"/>
      <w:marTop w:val="0"/>
      <w:marBottom w:val="0"/>
      <w:divBdr>
        <w:top w:val="none" w:sz="0" w:space="0" w:color="auto"/>
        <w:left w:val="none" w:sz="0" w:space="0" w:color="auto"/>
        <w:bottom w:val="none" w:sz="0" w:space="0" w:color="auto"/>
        <w:right w:val="none" w:sz="0" w:space="0" w:color="auto"/>
      </w:divBdr>
    </w:div>
    <w:div w:id="1296839656">
      <w:bodyDiv w:val="1"/>
      <w:marLeft w:val="0"/>
      <w:marRight w:val="0"/>
      <w:marTop w:val="0"/>
      <w:marBottom w:val="0"/>
      <w:divBdr>
        <w:top w:val="none" w:sz="0" w:space="0" w:color="auto"/>
        <w:left w:val="none" w:sz="0" w:space="0" w:color="auto"/>
        <w:bottom w:val="none" w:sz="0" w:space="0" w:color="auto"/>
        <w:right w:val="none" w:sz="0" w:space="0" w:color="auto"/>
      </w:divBdr>
    </w:div>
    <w:div w:id="1297298196">
      <w:bodyDiv w:val="1"/>
      <w:marLeft w:val="0"/>
      <w:marRight w:val="0"/>
      <w:marTop w:val="0"/>
      <w:marBottom w:val="0"/>
      <w:divBdr>
        <w:top w:val="none" w:sz="0" w:space="0" w:color="auto"/>
        <w:left w:val="none" w:sz="0" w:space="0" w:color="auto"/>
        <w:bottom w:val="none" w:sz="0" w:space="0" w:color="auto"/>
        <w:right w:val="none" w:sz="0" w:space="0" w:color="auto"/>
      </w:divBdr>
    </w:div>
    <w:div w:id="1297834600">
      <w:bodyDiv w:val="1"/>
      <w:marLeft w:val="0"/>
      <w:marRight w:val="0"/>
      <w:marTop w:val="0"/>
      <w:marBottom w:val="0"/>
      <w:divBdr>
        <w:top w:val="none" w:sz="0" w:space="0" w:color="auto"/>
        <w:left w:val="none" w:sz="0" w:space="0" w:color="auto"/>
        <w:bottom w:val="none" w:sz="0" w:space="0" w:color="auto"/>
        <w:right w:val="none" w:sz="0" w:space="0" w:color="auto"/>
      </w:divBdr>
    </w:div>
    <w:div w:id="1299458378">
      <w:bodyDiv w:val="1"/>
      <w:marLeft w:val="0"/>
      <w:marRight w:val="0"/>
      <w:marTop w:val="0"/>
      <w:marBottom w:val="0"/>
      <w:divBdr>
        <w:top w:val="none" w:sz="0" w:space="0" w:color="auto"/>
        <w:left w:val="none" w:sz="0" w:space="0" w:color="auto"/>
        <w:bottom w:val="none" w:sz="0" w:space="0" w:color="auto"/>
        <w:right w:val="none" w:sz="0" w:space="0" w:color="auto"/>
      </w:divBdr>
    </w:div>
    <w:div w:id="1303077386">
      <w:bodyDiv w:val="1"/>
      <w:marLeft w:val="0"/>
      <w:marRight w:val="0"/>
      <w:marTop w:val="0"/>
      <w:marBottom w:val="0"/>
      <w:divBdr>
        <w:top w:val="none" w:sz="0" w:space="0" w:color="auto"/>
        <w:left w:val="none" w:sz="0" w:space="0" w:color="auto"/>
        <w:bottom w:val="none" w:sz="0" w:space="0" w:color="auto"/>
        <w:right w:val="none" w:sz="0" w:space="0" w:color="auto"/>
      </w:divBdr>
    </w:div>
    <w:div w:id="1305890864">
      <w:bodyDiv w:val="1"/>
      <w:marLeft w:val="0"/>
      <w:marRight w:val="0"/>
      <w:marTop w:val="0"/>
      <w:marBottom w:val="0"/>
      <w:divBdr>
        <w:top w:val="none" w:sz="0" w:space="0" w:color="auto"/>
        <w:left w:val="none" w:sz="0" w:space="0" w:color="auto"/>
        <w:bottom w:val="none" w:sz="0" w:space="0" w:color="auto"/>
        <w:right w:val="none" w:sz="0" w:space="0" w:color="auto"/>
      </w:divBdr>
    </w:div>
    <w:div w:id="1307055504">
      <w:bodyDiv w:val="1"/>
      <w:marLeft w:val="0"/>
      <w:marRight w:val="0"/>
      <w:marTop w:val="0"/>
      <w:marBottom w:val="0"/>
      <w:divBdr>
        <w:top w:val="none" w:sz="0" w:space="0" w:color="auto"/>
        <w:left w:val="none" w:sz="0" w:space="0" w:color="auto"/>
        <w:bottom w:val="none" w:sz="0" w:space="0" w:color="auto"/>
        <w:right w:val="none" w:sz="0" w:space="0" w:color="auto"/>
      </w:divBdr>
    </w:div>
    <w:div w:id="1309943566">
      <w:bodyDiv w:val="1"/>
      <w:marLeft w:val="0"/>
      <w:marRight w:val="0"/>
      <w:marTop w:val="0"/>
      <w:marBottom w:val="0"/>
      <w:divBdr>
        <w:top w:val="none" w:sz="0" w:space="0" w:color="auto"/>
        <w:left w:val="none" w:sz="0" w:space="0" w:color="auto"/>
        <w:bottom w:val="none" w:sz="0" w:space="0" w:color="auto"/>
        <w:right w:val="none" w:sz="0" w:space="0" w:color="auto"/>
      </w:divBdr>
    </w:div>
    <w:div w:id="1310016371">
      <w:bodyDiv w:val="1"/>
      <w:marLeft w:val="0"/>
      <w:marRight w:val="0"/>
      <w:marTop w:val="0"/>
      <w:marBottom w:val="0"/>
      <w:divBdr>
        <w:top w:val="none" w:sz="0" w:space="0" w:color="auto"/>
        <w:left w:val="none" w:sz="0" w:space="0" w:color="auto"/>
        <w:bottom w:val="none" w:sz="0" w:space="0" w:color="auto"/>
        <w:right w:val="none" w:sz="0" w:space="0" w:color="auto"/>
      </w:divBdr>
    </w:div>
    <w:div w:id="1310327565">
      <w:bodyDiv w:val="1"/>
      <w:marLeft w:val="0"/>
      <w:marRight w:val="0"/>
      <w:marTop w:val="0"/>
      <w:marBottom w:val="0"/>
      <w:divBdr>
        <w:top w:val="none" w:sz="0" w:space="0" w:color="auto"/>
        <w:left w:val="none" w:sz="0" w:space="0" w:color="auto"/>
        <w:bottom w:val="none" w:sz="0" w:space="0" w:color="auto"/>
        <w:right w:val="none" w:sz="0" w:space="0" w:color="auto"/>
      </w:divBdr>
    </w:div>
    <w:div w:id="1310355653">
      <w:bodyDiv w:val="1"/>
      <w:marLeft w:val="0"/>
      <w:marRight w:val="0"/>
      <w:marTop w:val="0"/>
      <w:marBottom w:val="0"/>
      <w:divBdr>
        <w:top w:val="none" w:sz="0" w:space="0" w:color="auto"/>
        <w:left w:val="none" w:sz="0" w:space="0" w:color="auto"/>
        <w:bottom w:val="none" w:sz="0" w:space="0" w:color="auto"/>
        <w:right w:val="none" w:sz="0" w:space="0" w:color="auto"/>
      </w:divBdr>
    </w:div>
    <w:div w:id="1313094868">
      <w:bodyDiv w:val="1"/>
      <w:marLeft w:val="0"/>
      <w:marRight w:val="0"/>
      <w:marTop w:val="0"/>
      <w:marBottom w:val="0"/>
      <w:divBdr>
        <w:top w:val="none" w:sz="0" w:space="0" w:color="auto"/>
        <w:left w:val="none" w:sz="0" w:space="0" w:color="auto"/>
        <w:bottom w:val="none" w:sz="0" w:space="0" w:color="auto"/>
        <w:right w:val="none" w:sz="0" w:space="0" w:color="auto"/>
      </w:divBdr>
    </w:div>
    <w:div w:id="1313365718">
      <w:bodyDiv w:val="1"/>
      <w:marLeft w:val="0"/>
      <w:marRight w:val="0"/>
      <w:marTop w:val="0"/>
      <w:marBottom w:val="0"/>
      <w:divBdr>
        <w:top w:val="none" w:sz="0" w:space="0" w:color="auto"/>
        <w:left w:val="none" w:sz="0" w:space="0" w:color="auto"/>
        <w:bottom w:val="none" w:sz="0" w:space="0" w:color="auto"/>
        <w:right w:val="none" w:sz="0" w:space="0" w:color="auto"/>
      </w:divBdr>
    </w:div>
    <w:div w:id="1316032588">
      <w:bodyDiv w:val="1"/>
      <w:marLeft w:val="0"/>
      <w:marRight w:val="0"/>
      <w:marTop w:val="0"/>
      <w:marBottom w:val="0"/>
      <w:divBdr>
        <w:top w:val="none" w:sz="0" w:space="0" w:color="auto"/>
        <w:left w:val="none" w:sz="0" w:space="0" w:color="auto"/>
        <w:bottom w:val="none" w:sz="0" w:space="0" w:color="auto"/>
        <w:right w:val="none" w:sz="0" w:space="0" w:color="auto"/>
      </w:divBdr>
    </w:div>
    <w:div w:id="1317956776">
      <w:bodyDiv w:val="1"/>
      <w:marLeft w:val="0"/>
      <w:marRight w:val="0"/>
      <w:marTop w:val="0"/>
      <w:marBottom w:val="0"/>
      <w:divBdr>
        <w:top w:val="none" w:sz="0" w:space="0" w:color="auto"/>
        <w:left w:val="none" w:sz="0" w:space="0" w:color="auto"/>
        <w:bottom w:val="none" w:sz="0" w:space="0" w:color="auto"/>
        <w:right w:val="none" w:sz="0" w:space="0" w:color="auto"/>
      </w:divBdr>
    </w:div>
    <w:div w:id="1318075497">
      <w:bodyDiv w:val="1"/>
      <w:marLeft w:val="0"/>
      <w:marRight w:val="0"/>
      <w:marTop w:val="0"/>
      <w:marBottom w:val="0"/>
      <w:divBdr>
        <w:top w:val="none" w:sz="0" w:space="0" w:color="auto"/>
        <w:left w:val="none" w:sz="0" w:space="0" w:color="auto"/>
        <w:bottom w:val="none" w:sz="0" w:space="0" w:color="auto"/>
        <w:right w:val="none" w:sz="0" w:space="0" w:color="auto"/>
      </w:divBdr>
    </w:div>
    <w:div w:id="1320573333">
      <w:bodyDiv w:val="1"/>
      <w:marLeft w:val="0"/>
      <w:marRight w:val="0"/>
      <w:marTop w:val="0"/>
      <w:marBottom w:val="0"/>
      <w:divBdr>
        <w:top w:val="none" w:sz="0" w:space="0" w:color="auto"/>
        <w:left w:val="none" w:sz="0" w:space="0" w:color="auto"/>
        <w:bottom w:val="none" w:sz="0" w:space="0" w:color="auto"/>
        <w:right w:val="none" w:sz="0" w:space="0" w:color="auto"/>
      </w:divBdr>
    </w:div>
    <w:div w:id="1322389052">
      <w:bodyDiv w:val="1"/>
      <w:marLeft w:val="0"/>
      <w:marRight w:val="0"/>
      <w:marTop w:val="0"/>
      <w:marBottom w:val="0"/>
      <w:divBdr>
        <w:top w:val="none" w:sz="0" w:space="0" w:color="auto"/>
        <w:left w:val="none" w:sz="0" w:space="0" w:color="auto"/>
        <w:bottom w:val="none" w:sz="0" w:space="0" w:color="auto"/>
        <w:right w:val="none" w:sz="0" w:space="0" w:color="auto"/>
      </w:divBdr>
    </w:div>
    <w:div w:id="1322587166">
      <w:bodyDiv w:val="1"/>
      <w:marLeft w:val="0"/>
      <w:marRight w:val="0"/>
      <w:marTop w:val="0"/>
      <w:marBottom w:val="0"/>
      <w:divBdr>
        <w:top w:val="none" w:sz="0" w:space="0" w:color="auto"/>
        <w:left w:val="none" w:sz="0" w:space="0" w:color="auto"/>
        <w:bottom w:val="none" w:sz="0" w:space="0" w:color="auto"/>
        <w:right w:val="none" w:sz="0" w:space="0" w:color="auto"/>
      </w:divBdr>
    </w:div>
    <w:div w:id="1324625856">
      <w:bodyDiv w:val="1"/>
      <w:marLeft w:val="0"/>
      <w:marRight w:val="0"/>
      <w:marTop w:val="0"/>
      <w:marBottom w:val="0"/>
      <w:divBdr>
        <w:top w:val="none" w:sz="0" w:space="0" w:color="auto"/>
        <w:left w:val="none" w:sz="0" w:space="0" w:color="auto"/>
        <w:bottom w:val="none" w:sz="0" w:space="0" w:color="auto"/>
        <w:right w:val="none" w:sz="0" w:space="0" w:color="auto"/>
      </w:divBdr>
    </w:div>
    <w:div w:id="1325859902">
      <w:bodyDiv w:val="1"/>
      <w:marLeft w:val="0"/>
      <w:marRight w:val="0"/>
      <w:marTop w:val="0"/>
      <w:marBottom w:val="0"/>
      <w:divBdr>
        <w:top w:val="none" w:sz="0" w:space="0" w:color="auto"/>
        <w:left w:val="none" w:sz="0" w:space="0" w:color="auto"/>
        <w:bottom w:val="none" w:sz="0" w:space="0" w:color="auto"/>
        <w:right w:val="none" w:sz="0" w:space="0" w:color="auto"/>
      </w:divBdr>
    </w:div>
    <w:div w:id="1327051196">
      <w:bodyDiv w:val="1"/>
      <w:marLeft w:val="0"/>
      <w:marRight w:val="0"/>
      <w:marTop w:val="0"/>
      <w:marBottom w:val="0"/>
      <w:divBdr>
        <w:top w:val="none" w:sz="0" w:space="0" w:color="auto"/>
        <w:left w:val="none" w:sz="0" w:space="0" w:color="auto"/>
        <w:bottom w:val="none" w:sz="0" w:space="0" w:color="auto"/>
        <w:right w:val="none" w:sz="0" w:space="0" w:color="auto"/>
      </w:divBdr>
    </w:div>
    <w:div w:id="1328094489">
      <w:bodyDiv w:val="1"/>
      <w:marLeft w:val="0"/>
      <w:marRight w:val="0"/>
      <w:marTop w:val="0"/>
      <w:marBottom w:val="0"/>
      <w:divBdr>
        <w:top w:val="none" w:sz="0" w:space="0" w:color="auto"/>
        <w:left w:val="none" w:sz="0" w:space="0" w:color="auto"/>
        <w:bottom w:val="none" w:sz="0" w:space="0" w:color="auto"/>
        <w:right w:val="none" w:sz="0" w:space="0" w:color="auto"/>
      </w:divBdr>
    </w:div>
    <w:div w:id="1328247007">
      <w:bodyDiv w:val="1"/>
      <w:marLeft w:val="0"/>
      <w:marRight w:val="0"/>
      <w:marTop w:val="0"/>
      <w:marBottom w:val="0"/>
      <w:divBdr>
        <w:top w:val="none" w:sz="0" w:space="0" w:color="auto"/>
        <w:left w:val="none" w:sz="0" w:space="0" w:color="auto"/>
        <w:bottom w:val="none" w:sz="0" w:space="0" w:color="auto"/>
        <w:right w:val="none" w:sz="0" w:space="0" w:color="auto"/>
      </w:divBdr>
    </w:div>
    <w:div w:id="1329673295">
      <w:bodyDiv w:val="1"/>
      <w:marLeft w:val="0"/>
      <w:marRight w:val="0"/>
      <w:marTop w:val="0"/>
      <w:marBottom w:val="0"/>
      <w:divBdr>
        <w:top w:val="none" w:sz="0" w:space="0" w:color="auto"/>
        <w:left w:val="none" w:sz="0" w:space="0" w:color="auto"/>
        <w:bottom w:val="none" w:sz="0" w:space="0" w:color="auto"/>
        <w:right w:val="none" w:sz="0" w:space="0" w:color="auto"/>
      </w:divBdr>
    </w:div>
    <w:div w:id="1331103061">
      <w:bodyDiv w:val="1"/>
      <w:marLeft w:val="0"/>
      <w:marRight w:val="0"/>
      <w:marTop w:val="0"/>
      <w:marBottom w:val="0"/>
      <w:divBdr>
        <w:top w:val="none" w:sz="0" w:space="0" w:color="auto"/>
        <w:left w:val="none" w:sz="0" w:space="0" w:color="auto"/>
        <w:bottom w:val="none" w:sz="0" w:space="0" w:color="auto"/>
        <w:right w:val="none" w:sz="0" w:space="0" w:color="auto"/>
      </w:divBdr>
    </w:div>
    <w:div w:id="1331442779">
      <w:bodyDiv w:val="1"/>
      <w:marLeft w:val="0"/>
      <w:marRight w:val="0"/>
      <w:marTop w:val="0"/>
      <w:marBottom w:val="0"/>
      <w:divBdr>
        <w:top w:val="none" w:sz="0" w:space="0" w:color="auto"/>
        <w:left w:val="none" w:sz="0" w:space="0" w:color="auto"/>
        <w:bottom w:val="none" w:sz="0" w:space="0" w:color="auto"/>
        <w:right w:val="none" w:sz="0" w:space="0" w:color="auto"/>
      </w:divBdr>
    </w:div>
    <w:div w:id="1331637320">
      <w:bodyDiv w:val="1"/>
      <w:marLeft w:val="0"/>
      <w:marRight w:val="0"/>
      <w:marTop w:val="0"/>
      <w:marBottom w:val="0"/>
      <w:divBdr>
        <w:top w:val="none" w:sz="0" w:space="0" w:color="auto"/>
        <w:left w:val="none" w:sz="0" w:space="0" w:color="auto"/>
        <w:bottom w:val="none" w:sz="0" w:space="0" w:color="auto"/>
        <w:right w:val="none" w:sz="0" w:space="0" w:color="auto"/>
      </w:divBdr>
    </w:div>
    <w:div w:id="1332296020">
      <w:bodyDiv w:val="1"/>
      <w:marLeft w:val="0"/>
      <w:marRight w:val="0"/>
      <w:marTop w:val="0"/>
      <w:marBottom w:val="0"/>
      <w:divBdr>
        <w:top w:val="none" w:sz="0" w:space="0" w:color="auto"/>
        <w:left w:val="none" w:sz="0" w:space="0" w:color="auto"/>
        <w:bottom w:val="none" w:sz="0" w:space="0" w:color="auto"/>
        <w:right w:val="none" w:sz="0" w:space="0" w:color="auto"/>
      </w:divBdr>
    </w:div>
    <w:div w:id="1332872658">
      <w:bodyDiv w:val="1"/>
      <w:marLeft w:val="0"/>
      <w:marRight w:val="0"/>
      <w:marTop w:val="0"/>
      <w:marBottom w:val="0"/>
      <w:divBdr>
        <w:top w:val="none" w:sz="0" w:space="0" w:color="auto"/>
        <w:left w:val="none" w:sz="0" w:space="0" w:color="auto"/>
        <w:bottom w:val="none" w:sz="0" w:space="0" w:color="auto"/>
        <w:right w:val="none" w:sz="0" w:space="0" w:color="auto"/>
      </w:divBdr>
    </w:div>
    <w:div w:id="1336424051">
      <w:bodyDiv w:val="1"/>
      <w:marLeft w:val="0"/>
      <w:marRight w:val="0"/>
      <w:marTop w:val="0"/>
      <w:marBottom w:val="0"/>
      <w:divBdr>
        <w:top w:val="none" w:sz="0" w:space="0" w:color="auto"/>
        <w:left w:val="none" w:sz="0" w:space="0" w:color="auto"/>
        <w:bottom w:val="none" w:sz="0" w:space="0" w:color="auto"/>
        <w:right w:val="none" w:sz="0" w:space="0" w:color="auto"/>
      </w:divBdr>
    </w:div>
    <w:div w:id="1337535279">
      <w:bodyDiv w:val="1"/>
      <w:marLeft w:val="0"/>
      <w:marRight w:val="0"/>
      <w:marTop w:val="0"/>
      <w:marBottom w:val="0"/>
      <w:divBdr>
        <w:top w:val="none" w:sz="0" w:space="0" w:color="auto"/>
        <w:left w:val="none" w:sz="0" w:space="0" w:color="auto"/>
        <w:bottom w:val="none" w:sz="0" w:space="0" w:color="auto"/>
        <w:right w:val="none" w:sz="0" w:space="0" w:color="auto"/>
      </w:divBdr>
    </w:div>
    <w:div w:id="1338187999">
      <w:bodyDiv w:val="1"/>
      <w:marLeft w:val="0"/>
      <w:marRight w:val="0"/>
      <w:marTop w:val="0"/>
      <w:marBottom w:val="0"/>
      <w:divBdr>
        <w:top w:val="none" w:sz="0" w:space="0" w:color="auto"/>
        <w:left w:val="none" w:sz="0" w:space="0" w:color="auto"/>
        <w:bottom w:val="none" w:sz="0" w:space="0" w:color="auto"/>
        <w:right w:val="none" w:sz="0" w:space="0" w:color="auto"/>
      </w:divBdr>
    </w:div>
    <w:div w:id="1338315077">
      <w:bodyDiv w:val="1"/>
      <w:marLeft w:val="0"/>
      <w:marRight w:val="0"/>
      <w:marTop w:val="0"/>
      <w:marBottom w:val="0"/>
      <w:divBdr>
        <w:top w:val="none" w:sz="0" w:space="0" w:color="auto"/>
        <w:left w:val="none" w:sz="0" w:space="0" w:color="auto"/>
        <w:bottom w:val="none" w:sz="0" w:space="0" w:color="auto"/>
        <w:right w:val="none" w:sz="0" w:space="0" w:color="auto"/>
      </w:divBdr>
    </w:div>
    <w:div w:id="1341663997">
      <w:bodyDiv w:val="1"/>
      <w:marLeft w:val="0"/>
      <w:marRight w:val="0"/>
      <w:marTop w:val="0"/>
      <w:marBottom w:val="0"/>
      <w:divBdr>
        <w:top w:val="none" w:sz="0" w:space="0" w:color="auto"/>
        <w:left w:val="none" w:sz="0" w:space="0" w:color="auto"/>
        <w:bottom w:val="none" w:sz="0" w:space="0" w:color="auto"/>
        <w:right w:val="none" w:sz="0" w:space="0" w:color="auto"/>
      </w:divBdr>
    </w:div>
    <w:div w:id="1342970620">
      <w:bodyDiv w:val="1"/>
      <w:marLeft w:val="0"/>
      <w:marRight w:val="0"/>
      <w:marTop w:val="0"/>
      <w:marBottom w:val="0"/>
      <w:divBdr>
        <w:top w:val="none" w:sz="0" w:space="0" w:color="auto"/>
        <w:left w:val="none" w:sz="0" w:space="0" w:color="auto"/>
        <w:bottom w:val="none" w:sz="0" w:space="0" w:color="auto"/>
        <w:right w:val="none" w:sz="0" w:space="0" w:color="auto"/>
      </w:divBdr>
    </w:div>
    <w:div w:id="1343509596">
      <w:bodyDiv w:val="1"/>
      <w:marLeft w:val="0"/>
      <w:marRight w:val="0"/>
      <w:marTop w:val="0"/>
      <w:marBottom w:val="0"/>
      <w:divBdr>
        <w:top w:val="none" w:sz="0" w:space="0" w:color="auto"/>
        <w:left w:val="none" w:sz="0" w:space="0" w:color="auto"/>
        <w:bottom w:val="none" w:sz="0" w:space="0" w:color="auto"/>
        <w:right w:val="none" w:sz="0" w:space="0" w:color="auto"/>
      </w:divBdr>
    </w:div>
    <w:div w:id="1343582493">
      <w:bodyDiv w:val="1"/>
      <w:marLeft w:val="0"/>
      <w:marRight w:val="0"/>
      <w:marTop w:val="0"/>
      <w:marBottom w:val="0"/>
      <w:divBdr>
        <w:top w:val="none" w:sz="0" w:space="0" w:color="auto"/>
        <w:left w:val="none" w:sz="0" w:space="0" w:color="auto"/>
        <w:bottom w:val="none" w:sz="0" w:space="0" w:color="auto"/>
        <w:right w:val="none" w:sz="0" w:space="0" w:color="auto"/>
      </w:divBdr>
    </w:div>
    <w:div w:id="1345789602">
      <w:bodyDiv w:val="1"/>
      <w:marLeft w:val="0"/>
      <w:marRight w:val="0"/>
      <w:marTop w:val="0"/>
      <w:marBottom w:val="0"/>
      <w:divBdr>
        <w:top w:val="none" w:sz="0" w:space="0" w:color="auto"/>
        <w:left w:val="none" w:sz="0" w:space="0" w:color="auto"/>
        <w:bottom w:val="none" w:sz="0" w:space="0" w:color="auto"/>
        <w:right w:val="none" w:sz="0" w:space="0" w:color="auto"/>
      </w:divBdr>
    </w:div>
    <w:div w:id="1346592733">
      <w:bodyDiv w:val="1"/>
      <w:marLeft w:val="0"/>
      <w:marRight w:val="0"/>
      <w:marTop w:val="0"/>
      <w:marBottom w:val="0"/>
      <w:divBdr>
        <w:top w:val="none" w:sz="0" w:space="0" w:color="auto"/>
        <w:left w:val="none" w:sz="0" w:space="0" w:color="auto"/>
        <w:bottom w:val="none" w:sz="0" w:space="0" w:color="auto"/>
        <w:right w:val="none" w:sz="0" w:space="0" w:color="auto"/>
      </w:divBdr>
    </w:div>
    <w:div w:id="1347052500">
      <w:bodyDiv w:val="1"/>
      <w:marLeft w:val="0"/>
      <w:marRight w:val="0"/>
      <w:marTop w:val="0"/>
      <w:marBottom w:val="0"/>
      <w:divBdr>
        <w:top w:val="none" w:sz="0" w:space="0" w:color="auto"/>
        <w:left w:val="none" w:sz="0" w:space="0" w:color="auto"/>
        <w:bottom w:val="none" w:sz="0" w:space="0" w:color="auto"/>
        <w:right w:val="none" w:sz="0" w:space="0" w:color="auto"/>
      </w:divBdr>
    </w:div>
    <w:div w:id="1347830042">
      <w:bodyDiv w:val="1"/>
      <w:marLeft w:val="0"/>
      <w:marRight w:val="0"/>
      <w:marTop w:val="0"/>
      <w:marBottom w:val="0"/>
      <w:divBdr>
        <w:top w:val="none" w:sz="0" w:space="0" w:color="auto"/>
        <w:left w:val="none" w:sz="0" w:space="0" w:color="auto"/>
        <w:bottom w:val="none" w:sz="0" w:space="0" w:color="auto"/>
        <w:right w:val="none" w:sz="0" w:space="0" w:color="auto"/>
      </w:divBdr>
    </w:div>
    <w:div w:id="1348605604">
      <w:bodyDiv w:val="1"/>
      <w:marLeft w:val="0"/>
      <w:marRight w:val="0"/>
      <w:marTop w:val="0"/>
      <w:marBottom w:val="0"/>
      <w:divBdr>
        <w:top w:val="none" w:sz="0" w:space="0" w:color="auto"/>
        <w:left w:val="none" w:sz="0" w:space="0" w:color="auto"/>
        <w:bottom w:val="none" w:sz="0" w:space="0" w:color="auto"/>
        <w:right w:val="none" w:sz="0" w:space="0" w:color="auto"/>
      </w:divBdr>
    </w:div>
    <w:div w:id="1350334190">
      <w:bodyDiv w:val="1"/>
      <w:marLeft w:val="0"/>
      <w:marRight w:val="0"/>
      <w:marTop w:val="0"/>
      <w:marBottom w:val="0"/>
      <w:divBdr>
        <w:top w:val="none" w:sz="0" w:space="0" w:color="auto"/>
        <w:left w:val="none" w:sz="0" w:space="0" w:color="auto"/>
        <w:bottom w:val="none" w:sz="0" w:space="0" w:color="auto"/>
        <w:right w:val="none" w:sz="0" w:space="0" w:color="auto"/>
      </w:divBdr>
    </w:div>
    <w:div w:id="1350793281">
      <w:bodyDiv w:val="1"/>
      <w:marLeft w:val="0"/>
      <w:marRight w:val="0"/>
      <w:marTop w:val="0"/>
      <w:marBottom w:val="0"/>
      <w:divBdr>
        <w:top w:val="none" w:sz="0" w:space="0" w:color="auto"/>
        <w:left w:val="none" w:sz="0" w:space="0" w:color="auto"/>
        <w:bottom w:val="none" w:sz="0" w:space="0" w:color="auto"/>
        <w:right w:val="none" w:sz="0" w:space="0" w:color="auto"/>
      </w:divBdr>
    </w:div>
    <w:div w:id="1351028736">
      <w:bodyDiv w:val="1"/>
      <w:marLeft w:val="0"/>
      <w:marRight w:val="0"/>
      <w:marTop w:val="0"/>
      <w:marBottom w:val="0"/>
      <w:divBdr>
        <w:top w:val="none" w:sz="0" w:space="0" w:color="auto"/>
        <w:left w:val="none" w:sz="0" w:space="0" w:color="auto"/>
        <w:bottom w:val="none" w:sz="0" w:space="0" w:color="auto"/>
        <w:right w:val="none" w:sz="0" w:space="0" w:color="auto"/>
      </w:divBdr>
    </w:div>
    <w:div w:id="1352613159">
      <w:bodyDiv w:val="1"/>
      <w:marLeft w:val="0"/>
      <w:marRight w:val="0"/>
      <w:marTop w:val="0"/>
      <w:marBottom w:val="0"/>
      <w:divBdr>
        <w:top w:val="none" w:sz="0" w:space="0" w:color="auto"/>
        <w:left w:val="none" w:sz="0" w:space="0" w:color="auto"/>
        <w:bottom w:val="none" w:sz="0" w:space="0" w:color="auto"/>
        <w:right w:val="none" w:sz="0" w:space="0" w:color="auto"/>
      </w:divBdr>
    </w:div>
    <w:div w:id="1354454494">
      <w:bodyDiv w:val="1"/>
      <w:marLeft w:val="0"/>
      <w:marRight w:val="0"/>
      <w:marTop w:val="0"/>
      <w:marBottom w:val="0"/>
      <w:divBdr>
        <w:top w:val="none" w:sz="0" w:space="0" w:color="auto"/>
        <w:left w:val="none" w:sz="0" w:space="0" w:color="auto"/>
        <w:bottom w:val="none" w:sz="0" w:space="0" w:color="auto"/>
        <w:right w:val="none" w:sz="0" w:space="0" w:color="auto"/>
      </w:divBdr>
    </w:div>
    <w:div w:id="1355111907">
      <w:bodyDiv w:val="1"/>
      <w:marLeft w:val="0"/>
      <w:marRight w:val="0"/>
      <w:marTop w:val="0"/>
      <w:marBottom w:val="0"/>
      <w:divBdr>
        <w:top w:val="none" w:sz="0" w:space="0" w:color="auto"/>
        <w:left w:val="none" w:sz="0" w:space="0" w:color="auto"/>
        <w:bottom w:val="none" w:sz="0" w:space="0" w:color="auto"/>
        <w:right w:val="none" w:sz="0" w:space="0" w:color="auto"/>
      </w:divBdr>
    </w:div>
    <w:div w:id="1355692856">
      <w:bodyDiv w:val="1"/>
      <w:marLeft w:val="0"/>
      <w:marRight w:val="0"/>
      <w:marTop w:val="0"/>
      <w:marBottom w:val="0"/>
      <w:divBdr>
        <w:top w:val="none" w:sz="0" w:space="0" w:color="auto"/>
        <w:left w:val="none" w:sz="0" w:space="0" w:color="auto"/>
        <w:bottom w:val="none" w:sz="0" w:space="0" w:color="auto"/>
        <w:right w:val="none" w:sz="0" w:space="0" w:color="auto"/>
      </w:divBdr>
    </w:div>
    <w:div w:id="1356151611">
      <w:bodyDiv w:val="1"/>
      <w:marLeft w:val="0"/>
      <w:marRight w:val="0"/>
      <w:marTop w:val="0"/>
      <w:marBottom w:val="0"/>
      <w:divBdr>
        <w:top w:val="none" w:sz="0" w:space="0" w:color="auto"/>
        <w:left w:val="none" w:sz="0" w:space="0" w:color="auto"/>
        <w:bottom w:val="none" w:sz="0" w:space="0" w:color="auto"/>
        <w:right w:val="none" w:sz="0" w:space="0" w:color="auto"/>
      </w:divBdr>
    </w:div>
    <w:div w:id="1356691214">
      <w:bodyDiv w:val="1"/>
      <w:marLeft w:val="0"/>
      <w:marRight w:val="0"/>
      <w:marTop w:val="0"/>
      <w:marBottom w:val="0"/>
      <w:divBdr>
        <w:top w:val="none" w:sz="0" w:space="0" w:color="auto"/>
        <w:left w:val="none" w:sz="0" w:space="0" w:color="auto"/>
        <w:bottom w:val="none" w:sz="0" w:space="0" w:color="auto"/>
        <w:right w:val="none" w:sz="0" w:space="0" w:color="auto"/>
      </w:divBdr>
    </w:div>
    <w:div w:id="1357728722">
      <w:bodyDiv w:val="1"/>
      <w:marLeft w:val="0"/>
      <w:marRight w:val="0"/>
      <w:marTop w:val="0"/>
      <w:marBottom w:val="0"/>
      <w:divBdr>
        <w:top w:val="none" w:sz="0" w:space="0" w:color="auto"/>
        <w:left w:val="none" w:sz="0" w:space="0" w:color="auto"/>
        <w:bottom w:val="none" w:sz="0" w:space="0" w:color="auto"/>
        <w:right w:val="none" w:sz="0" w:space="0" w:color="auto"/>
      </w:divBdr>
    </w:div>
    <w:div w:id="1359428386">
      <w:bodyDiv w:val="1"/>
      <w:marLeft w:val="0"/>
      <w:marRight w:val="0"/>
      <w:marTop w:val="0"/>
      <w:marBottom w:val="0"/>
      <w:divBdr>
        <w:top w:val="none" w:sz="0" w:space="0" w:color="auto"/>
        <w:left w:val="none" w:sz="0" w:space="0" w:color="auto"/>
        <w:bottom w:val="none" w:sz="0" w:space="0" w:color="auto"/>
        <w:right w:val="none" w:sz="0" w:space="0" w:color="auto"/>
      </w:divBdr>
    </w:div>
    <w:div w:id="1359500579">
      <w:bodyDiv w:val="1"/>
      <w:marLeft w:val="0"/>
      <w:marRight w:val="0"/>
      <w:marTop w:val="0"/>
      <w:marBottom w:val="0"/>
      <w:divBdr>
        <w:top w:val="none" w:sz="0" w:space="0" w:color="auto"/>
        <w:left w:val="none" w:sz="0" w:space="0" w:color="auto"/>
        <w:bottom w:val="none" w:sz="0" w:space="0" w:color="auto"/>
        <w:right w:val="none" w:sz="0" w:space="0" w:color="auto"/>
      </w:divBdr>
    </w:div>
    <w:div w:id="1359548069">
      <w:bodyDiv w:val="1"/>
      <w:marLeft w:val="0"/>
      <w:marRight w:val="0"/>
      <w:marTop w:val="0"/>
      <w:marBottom w:val="0"/>
      <w:divBdr>
        <w:top w:val="none" w:sz="0" w:space="0" w:color="auto"/>
        <w:left w:val="none" w:sz="0" w:space="0" w:color="auto"/>
        <w:bottom w:val="none" w:sz="0" w:space="0" w:color="auto"/>
        <w:right w:val="none" w:sz="0" w:space="0" w:color="auto"/>
      </w:divBdr>
    </w:div>
    <w:div w:id="1359969984">
      <w:bodyDiv w:val="1"/>
      <w:marLeft w:val="0"/>
      <w:marRight w:val="0"/>
      <w:marTop w:val="0"/>
      <w:marBottom w:val="0"/>
      <w:divBdr>
        <w:top w:val="none" w:sz="0" w:space="0" w:color="auto"/>
        <w:left w:val="none" w:sz="0" w:space="0" w:color="auto"/>
        <w:bottom w:val="none" w:sz="0" w:space="0" w:color="auto"/>
        <w:right w:val="none" w:sz="0" w:space="0" w:color="auto"/>
      </w:divBdr>
    </w:div>
    <w:div w:id="1360012968">
      <w:bodyDiv w:val="1"/>
      <w:marLeft w:val="0"/>
      <w:marRight w:val="0"/>
      <w:marTop w:val="0"/>
      <w:marBottom w:val="0"/>
      <w:divBdr>
        <w:top w:val="none" w:sz="0" w:space="0" w:color="auto"/>
        <w:left w:val="none" w:sz="0" w:space="0" w:color="auto"/>
        <w:bottom w:val="none" w:sz="0" w:space="0" w:color="auto"/>
        <w:right w:val="none" w:sz="0" w:space="0" w:color="auto"/>
      </w:divBdr>
    </w:div>
    <w:div w:id="1362508120">
      <w:bodyDiv w:val="1"/>
      <w:marLeft w:val="0"/>
      <w:marRight w:val="0"/>
      <w:marTop w:val="0"/>
      <w:marBottom w:val="0"/>
      <w:divBdr>
        <w:top w:val="none" w:sz="0" w:space="0" w:color="auto"/>
        <w:left w:val="none" w:sz="0" w:space="0" w:color="auto"/>
        <w:bottom w:val="none" w:sz="0" w:space="0" w:color="auto"/>
        <w:right w:val="none" w:sz="0" w:space="0" w:color="auto"/>
      </w:divBdr>
    </w:div>
    <w:div w:id="1363167019">
      <w:bodyDiv w:val="1"/>
      <w:marLeft w:val="0"/>
      <w:marRight w:val="0"/>
      <w:marTop w:val="0"/>
      <w:marBottom w:val="0"/>
      <w:divBdr>
        <w:top w:val="none" w:sz="0" w:space="0" w:color="auto"/>
        <w:left w:val="none" w:sz="0" w:space="0" w:color="auto"/>
        <w:bottom w:val="none" w:sz="0" w:space="0" w:color="auto"/>
        <w:right w:val="none" w:sz="0" w:space="0" w:color="auto"/>
      </w:divBdr>
    </w:div>
    <w:div w:id="1365399882">
      <w:bodyDiv w:val="1"/>
      <w:marLeft w:val="0"/>
      <w:marRight w:val="0"/>
      <w:marTop w:val="0"/>
      <w:marBottom w:val="0"/>
      <w:divBdr>
        <w:top w:val="none" w:sz="0" w:space="0" w:color="auto"/>
        <w:left w:val="none" w:sz="0" w:space="0" w:color="auto"/>
        <w:bottom w:val="none" w:sz="0" w:space="0" w:color="auto"/>
        <w:right w:val="none" w:sz="0" w:space="0" w:color="auto"/>
      </w:divBdr>
    </w:div>
    <w:div w:id="1367027307">
      <w:bodyDiv w:val="1"/>
      <w:marLeft w:val="0"/>
      <w:marRight w:val="0"/>
      <w:marTop w:val="0"/>
      <w:marBottom w:val="0"/>
      <w:divBdr>
        <w:top w:val="none" w:sz="0" w:space="0" w:color="auto"/>
        <w:left w:val="none" w:sz="0" w:space="0" w:color="auto"/>
        <w:bottom w:val="none" w:sz="0" w:space="0" w:color="auto"/>
        <w:right w:val="none" w:sz="0" w:space="0" w:color="auto"/>
      </w:divBdr>
    </w:div>
    <w:div w:id="1367100654">
      <w:bodyDiv w:val="1"/>
      <w:marLeft w:val="0"/>
      <w:marRight w:val="0"/>
      <w:marTop w:val="0"/>
      <w:marBottom w:val="0"/>
      <w:divBdr>
        <w:top w:val="none" w:sz="0" w:space="0" w:color="auto"/>
        <w:left w:val="none" w:sz="0" w:space="0" w:color="auto"/>
        <w:bottom w:val="none" w:sz="0" w:space="0" w:color="auto"/>
        <w:right w:val="none" w:sz="0" w:space="0" w:color="auto"/>
      </w:divBdr>
    </w:div>
    <w:div w:id="1369060642">
      <w:bodyDiv w:val="1"/>
      <w:marLeft w:val="0"/>
      <w:marRight w:val="0"/>
      <w:marTop w:val="0"/>
      <w:marBottom w:val="0"/>
      <w:divBdr>
        <w:top w:val="none" w:sz="0" w:space="0" w:color="auto"/>
        <w:left w:val="none" w:sz="0" w:space="0" w:color="auto"/>
        <w:bottom w:val="none" w:sz="0" w:space="0" w:color="auto"/>
        <w:right w:val="none" w:sz="0" w:space="0" w:color="auto"/>
      </w:divBdr>
    </w:div>
    <w:div w:id="1373001294">
      <w:bodyDiv w:val="1"/>
      <w:marLeft w:val="0"/>
      <w:marRight w:val="0"/>
      <w:marTop w:val="0"/>
      <w:marBottom w:val="0"/>
      <w:divBdr>
        <w:top w:val="none" w:sz="0" w:space="0" w:color="auto"/>
        <w:left w:val="none" w:sz="0" w:space="0" w:color="auto"/>
        <w:bottom w:val="none" w:sz="0" w:space="0" w:color="auto"/>
        <w:right w:val="none" w:sz="0" w:space="0" w:color="auto"/>
      </w:divBdr>
    </w:div>
    <w:div w:id="1373386698">
      <w:bodyDiv w:val="1"/>
      <w:marLeft w:val="0"/>
      <w:marRight w:val="0"/>
      <w:marTop w:val="0"/>
      <w:marBottom w:val="0"/>
      <w:divBdr>
        <w:top w:val="none" w:sz="0" w:space="0" w:color="auto"/>
        <w:left w:val="none" w:sz="0" w:space="0" w:color="auto"/>
        <w:bottom w:val="none" w:sz="0" w:space="0" w:color="auto"/>
        <w:right w:val="none" w:sz="0" w:space="0" w:color="auto"/>
      </w:divBdr>
    </w:div>
    <w:div w:id="1373916433">
      <w:bodyDiv w:val="1"/>
      <w:marLeft w:val="0"/>
      <w:marRight w:val="0"/>
      <w:marTop w:val="0"/>
      <w:marBottom w:val="0"/>
      <w:divBdr>
        <w:top w:val="none" w:sz="0" w:space="0" w:color="auto"/>
        <w:left w:val="none" w:sz="0" w:space="0" w:color="auto"/>
        <w:bottom w:val="none" w:sz="0" w:space="0" w:color="auto"/>
        <w:right w:val="none" w:sz="0" w:space="0" w:color="auto"/>
      </w:divBdr>
    </w:div>
    <w:div w:id="1376586713">
      <w:bodyDiv w:val="1"/>
      <w:marLeft w:val="0"/>
      <w:marRight w:val="0"/>
      <w:marTop w:val="0"/>
      <w:marBottom w:val="0"/>
      <w:divBdr>
        <w:top w:val="none" w:sz="0" w:space="0" w:color="auto"/>
        <w:left w:val="none" w:sz="0" w:space="0" w:color="auto"/>
        <w:bottom w:val="none" w:sz="0" w:space="0" w:color="auto"/>
        <w:right w:val="none" w:sz="0" w:space="0" w:color="auto"/>
      </w:divBdr>
    </w:div>
    <w:div w:id="1379084345">
      <w:bodyDiv w:val="1"/>
      <w:marLeft w:val="0"/>
      <w:marRight w:val="0"/>
      <w:marTop w:val="0"/>
      <w:marBottom w:val="0"/>
      <w:divBdr>
        <w:top w:val="none" w:sz="0" w:space="0" w:color="auto"/>
        <w:left w:val="none" w:sz="0" w:space="0" w:color="auto"/>
        <w:bottom w:val="none" w:sz="0" w:space="0" w:color="auto"/>
        <w:right w:val="none" w:sz="0" w:space="0" w:color="auto"/>
      </w:divBdr>
    </w:div>
    <w:div w:id="1382443453">
      <w:bodyDiv w:val="1"/>
      <w:marLeft w:val="0"/>
      <w:marRight w:val="0"/>
      <w:marTop w:val="0"/>
      <w:marBottom w:val="0"/>
      <w:divBdr>
        <w:top w:val="none" w:sz="0" w:space="0" w:color="auto"/>
        <w:left w:val="none" w:sz="0" w:space="0" w:color="auto"/>
        <w:bottom w:val="none" w:sz="0" w:space="0" w:color="auto"/>
        <w:right w:val="none" w:sz="0" w:space="0" w:color="auto"/>
      </w:divBdr>
    </w:div>
    <w:div w:id="1383561116">
      <w:bodyDiv w:val="1"/>
      <w:marLeft w:val="0"/>
      <w:marRight w:val="0"/>
      <w:marTop w:val="0"/>
      <w:marBottom w:val="0"/>
      <w:divBdr>
        <w:top w:val="none" w:sz="0" w:space="0" w:color="auto"/>
        <w:left w:val="none" w:sz="0" w:space="0" w:color="auto"/>
        <w:bottom w:val="none" w:sz="0" w:space="0" w:color="auto"/>
        <w:right w:val="none" w:sz="0" w:space="0" w:color="auto"/>
      </w:divBdr>
    </w:div>
    <w:div w:id="1384448575">
      <w:bodyDiv w:val="1"/>
      <w:marLeft w:val="0"/>
      <w:marRight w:val="0"/>
      <w:marTop w:val="0"/>
      <w:marBottom w:val="0"/>
      <w:divBdr>
        <w:top w:val="none" w:sz="0" w:space="0" w:color="auto"/>
        <w:left w:val="none" w:sz="0" w:space="0" w:color="auto"/>
        <w:bottom w:val="none" w:sz="0" w:space="0" w:color="auto"/>
        <w:right w:val="none" w:sz="0" w:space="0" w:color="auto"/>
      </w:divBdr>
    </w:div>
    <w:div w:id="1385330601">
      <w:bodyDiv w:val="1"/>
      <w:marLeft w:val="0"/>
      <w:marRight w:val="0"/>
      <w:marTop w:val="0"/>
      <w:marBottom w:val="0"/>
      <w:divBdr>
        <w:top w:val="none" w:sz="0" w:space="0" w:color="auto"/>
        <w:left w:val="none" w:sz="0" w:space="0" w:color="auto"/>
        <w:bottom w:val="none" w:sz="0" w:space="0" w:color="auto"/>
        <w:right w:val="none" w:sz="0" w:space="0" w:color="auto"/>
      </w:divBdr>
    </w:div>
    <w:div w:id="1385331797">
      <w:bodyDiv w:val="1"/>
      <w:marLeft w:val="0"/>
      <w:marRight w:val="0"/>
      <w:marTop w:val="0"/>
      <w:marBottom w:val="0"/>
      <w:divBdr>
        <w:top w:val="none" w:sz="0" w:space="0" w:color="auto"/>
        <w:left w:val="none" w:sz="0" w:space="0" w:color="auto"/>
        <w:bottom w:val="none" w:sz="0" w:space="0" w:color="auto"/>
        <w:right w:val="none" w:sz="0" w:space="0" w:color="auto"/>
      </w:divBdr>
    </w:div>
    <w:div w:id="1385451213">
      <w:bodyDiv w:val="1"/>
      <w:marLeft w:val="0"/>
      <w:marRight w:val="0"/>
      <w:marTop w:val="0"/>
      <w:marBottom w:val="0"/>
      <w:divBdr>
        <w:top w:val="none" w:sz="0" w:space="0" w:color="auto"/>
        <w:left w:val="none" w:sz="0" w:space="0" w:color="auto"/>
        <w:bottom w:val="none" w:sz="0" w:space="0" w:color="auto"/>
        <w:right w:val="none" w:sz="0" w:space="0" w:color="auto"/>
      </w:divBdr>
    </w:div>
    <w:div w:id="1386178213">
      <w:bodyDiv w:val="1"/>
      <w:marLeft w:val="0"/>
      <w:marRight w:val="0"/>
      <w:marTop w:val="0"/>
      <w:marBottom w:val="0"/>
      <w:divBdr>
        <w:top w:val="none" w:sz="0" w:space="0" w:color="auto"/>
        <w:left w:val="none" w:sz="0" w:space="0" w:color="auto"/>
        <w:bottom w:val="none" w:sz="0" w:space="0" w:color="auto"/>
        <w:right w:val="none" w:sz="0" w:space="0" w:color="auto"/>
      </w:divBdr>
    </w:div>
    <w:div w:id="1386686605">
      <w:bodyDiv w:val="1"/>
      <w:marLeft w:val="0"/>
      <w:marRight w:val="0"/>
      <w:marTop w:val="0"/>
      <w:marBottom w:val="0"/>
      <w:divBdr>
        <w:top w:val="none" w:sz="0" w:space="0" w:color="auto"/>
        <w:left w:val="none" w:sz="0" w:space="0" w:color="auto"/>
        <w:bottom w:val="none" w:sz="0" w:space="0" w:color="auto"/>
        <w:right w:val="none" w:sz="0" w:space="0" w:color="auto"/>
      </w:divBdr>
    </w:div>
    <w:div w:id="1387486989">
      <w:bodyDiv w:val="1"/>
      <w:marLeft w:val="0"/>
      <w:marRight w:val="0"/>
      <w:marTop w:val="0"/>
      <w:marBottom w:val="0"/>
      <w:divBdr>
        <w:top w:val="none" w:sz="0" w:space="0" w:color="auto"/>
        <w:left w:val="none" w:sz="0" w:space="0" w:color="auto"/>
        <w:bottom w:val="none" w:sz="0" w:space="0" w:color="auto"/>
        <w:right w:val="none" w:sz="0" w:space="0" w:color="auto"/>
      </w:divBdr>
    </w:div>
    <w:div w:id="1389916017">
      <w:bodyDiv w:val="1"/>
      <w:marLeft w:val="0"/>
      <w:marRight w:val="0"/>
      <w:marTop w:val="0"/>
      <w:marBottom w:val="0"/>
      <w:divBdr>
        <w:top w:val="none" w:sz="0" w:space="0" w:color="auto"/>
        <w:left w:val="none" w:sz="0" w:space="0" w:color="auto"/>
        <w:bottom w:val="none" w:sz="0" w:space="0" w:color="auto"/>
        <w:right w:val="none" w:sz="0" w:space="0" w:color="auto"/>
      </w:divBdr>
    </w:div>
    <w:div w:id="1391002601">
      <w:bodyDiv w:val="1"/>
      <w:marLeft w:val="0"/>
      <w:marRight w:val="0"/>
      <w:marTop w:val="0"/>
      <w:marBottom w:val="0"/>
      <w:divBdr>
        <w:top w:val="none" w:sz="0" w:space="0" w:color="auto"/>
        <w:left w:val="none" w:sz="0" w:space="0" w:color="auto"/>
        <w:bottom w:val="none" w:sz="0" w:space="0" w:color="auto"/>
        <w:right w:val="none" w:sz="0" w:space="0" w:color="auto"/>
      </w:divBdr>
    </w:div>
    <w:div w:id="1391004931">
      <w:bodyDiv w:val="1"/>
      <w:marLeft w:val="0"/>
      <w:marRight w:val="0"/>
      <w:marTop w:val="0"/>
      <w:marBottom w:val="0"/>
      <w:divBdr>
        <w:top w:val="none" w:sz="0" w:space="0" w:color="auto"/>
        <w:left w:val="none" w:sz="0" w:space="0" w:color="auto"/>
        <w:bottom w:val="none" w:sz="0" w:space="0" w:color="auto"/>
        <w:right w:val="none" w:sz="0" w:space="0" w:color="auto"/>
      </w:divBdr>
    </w:div>
    <w:div w:id="1393039888">
      <w:bodyDiv w:val="1"/>
      <w:marLeft w:val="0"/>
      <w:marRight w:val="0"/>
      <w:marTop w:val="0"/>
      <w:marBottom w:val="0"/>
      <w:divBdr>
        <w:top w:val="none" w:sz="0" w:space="0" w:color="auto"/>
        <w:left w:val="none" w:sz="0" w:space="0" w:color="auto"/>
        <w:bottom w:val="none" w:sz="0" w:space="0" w:color="auto"/>
        <w:right w:val="none" w:sz="0" w:space="0" w:color="auto"/>
      </w:divBdr>
    </w:div>
    <w:div w:id="1394086644">
      <w:bodyDiv w:val="1"/>
      <w:marLeft w:val="0"/>
      <w:marRight w:val="0"/>
      <w:marTop w:val="0"/>
      <w:marBottom w:val="0"/>
      <w:divBdr>
        <w:top w:val="none" w:sz="0" w:space="0" w:color="auto"/>
        <w:left w:val="none" w:sz="0" w:space="0" w:color="auto"/>
        <w:bottom w:val="none" w:sz="0" w:space="0" w:color="auto"/>
        <w:right w:val="none" w:sz="0" w:space="0" w:color="auto"/>
      </w:divBdr>
    </w:div>
    <w:div w:id="1395012369">
      <w:bodyDiv w:val="1"/>
      <w:marLeft w:val="0"/>
      <w:marRight w:val="0"/>
      <w:marTop w:val="0"/>
      <w:marBottom w:val="0"/>
      <w:divBdr>
        <w:top w:val="none" w:sz="0" w:space="0" w:color="auto"/>
        <w:left w:val="none" w:sz="0" w:space="0" w:color="auto"/>
        <w:bottom w:val="none" w:sz="0" w:space="0" w:color="auto"/>
        <w:right w:val="none" w:sz="0" w:space="0" w:color="auto"/>
      </w:divBdr>
    </w:div>
    <w:div w:id="1395351089">
      <w:bodyDiv w:val="1"/>
      <w:marLeft w:val="0"/>
      <w:marRight w:val="0"/>
      <w:marTop w:val="0"/>
      <w:marBottom w:val="0"/>
      <w:divBdr>
        <w:top w:val="none" w:sz="0" w:space="0" w:color="auto"/>
        <w:left w:val="none" w:sz="0" w:space="0" w:color="auto"/>
        <w:bottom w:val="none" w:sz="0" w:space="0" w:color="auto"/>
        <w:right w:val="none" w:sz="0" w:space="0" w:color="auto"/>
      </w:divBdr>
    </w:div>
    <w:div w:id="1396128925">
      <w:bodyDiv w:val="1"/>
      <w:marLeft w:val="0"/>
      <w:marRight w:val="0"/>
      <w:marTop w:val="0"/>
      <w:marBottom w:val="0"/>
      <w:divBdr>
        <w:top w:val="none" w:sz="0" w:space="0" w:color="auto"/>
        <w:left w:val="none" w:sz="0" w:space="0" w:color="auto"/>
        <w:bottom w:val="none" w:sz="0" w:space="0" w:color="auto"/>
        <w:right w:val="none" w:sz="0" w:space="0" w:color="auto"/>
      </w:divBdr>
    </w:div>
    <w:div w:id="1396320828">
      <w:bodyDiv w:val="1"/>
      <w:marLeft w:val="0"/>
      <w:marRight w:val="0"/>
      <w:marTop w:val="0"/>
      <w:marBottom w:val="0"/>
      <w:divBdr>
        <w:top w:val="none" w:sz="0" w:space="0" w:color="auto"/>
        <w:left w:val="none" w:sz="0" w:space="0" w:color="auto"/>
        <w:bottom w:val="none" w:sz="0" w:space="0" w:color="auto"/>
        <w:right w:val="none" w:sz="0" w:space="0" w:color="auto"/>
      </w:divBdr>
    </w:div>
    <w:div w:id="1397363317">
      <w:bodyDiv w:val="1"/>
      <w:marLeft w:val="0"/>
      <w:marRight w:val="0"/>
      <w:marTop w:val="0"/>
      <w:marBottom w:val="0"/>
      <w:divBdr>
        <w:top w:val="none" w:sz="0" w:space="0" w:color="auto"/>
        <w:left w:val="none" w:sz="0" w:space="0" w:color="auto"/>
        <w:bottom w:val="none" w:sz="0" w:space="0" w:color="auto"/>
        <w:right w:val="none" w:sz="0" w:space="0" w:color="auto"/>
      </w:divBdr>
    </w:div>
    <w:div w:id="1397557713">
      <w:bodyDiv w:val="1"/>
      <w:marLeft w:val="0"/>
      <w:marRight w:val="0"/>
      <w:marTop w:val="0"/>
      <w:marBottom w:val="0"/>
      <w:divBdr>
        <w:top w:val="none" w:sz="0" w:space="0" w:color="auto"/>
        <w:left w:val="none" w:sz="0" w:space="0" w:color="auto"/>
        <w:bottom w:val="none" w:sz="0" w:space="0" w:color="auto"/>
        <w:right w:val="none" w:sz="0" w:space="0" w:color="auto"/>
      </w:divBdr>
    </w:div>
    <w:div w:id="1398747002">
      <w:bodyDiv w:val="1"/>
      <w:marLeft w:val="0"/>
      <w:marRight w:val="0"/>
      <w:marTop w:val="0"/>
      <w:marBottom w:val="0"/>
      <w:divBdr>
        <w:top w:val="none" w:sz="0" w:space="0" w:color="auto"/>
        <w:left w:val="none" w:sz="0" w:space="0" w:color="auto"/>
        <w:bottom w:val="none" w:sz="0" w:space="0" w:color="auto"/>
        <w:right w:val="none" w:sz="0" w:space="0" w:color="auto"/>
      </w:divBdr>
    </w:div>
    <w:div w:id="1400127822">
      <w:bodyDiv w:val="1"/>
      <w:marLeft w:val="0"/>
      <w:marRight w:val="0"/>
      <w:marTop w:val="0"/>
      <w:marBottom w:val="0"/>
      <w:divBdr>
        <w:top w:val="none" w:sz="0" w:space="0" w:color="auto"/>
        <w:left w:val="none" w:sz="0" w:space="0" w:color="auto"/>
        <w:bottom w:val="none" w:sz="0" w:space="0" w:color="auto"/>
        <w:right w:val="none" w:sz="0" w:space="0" w:color="auto"/>
      </w:divBdr>
    </w:div>
    <w:div w:id="1405687032">
      <w:bodyDiv w:val="1"/>
      <w:marLeft w:val="0"/>
      <w:marRight w:val="0"/>
      <w:marTop w:val="0"/>
      <w:marBottom w:val="0"/>
      <w:divBdr>
        <w:top w:val="none" w:sz="0" w:space="0" w:color="auto"/>
        <w:left w:val="none" w:sz="0" w:space="0" w:color="auto"/>
        <w:bottom w:val="none" w:sz="0" w:space="0" w:color="auto"/>
        <w:right w:val="none" w:sz="0" w:space="0" w:color="auto"/>
      </w:divBdr>
    </w:div>
    <w:div w:id="1406491104">
      <w:bodyDiv w:val="1"/>
      <w:marLeft w:val="0"/>
      <w:marRight w:val="0"/>
      <w:marTop w:val="0"/>
      <w:marBottom w:val="0"/>
      <w:divBdr>
        <w:top w:val="none" w:sz="0" w:space="0" w:color="auto"/>
        <w:left w:val="none" w:sz="0" w:space="0" w:color="auto"/>
        <w:bottom w:val="none" w:sz="0" w:space="0" w:color="auto"/>
        <w:right w:val="none" w:sz="0" w:space="0" w:color="auto"/>
      </w:divBdr>
    </w:div>
    <w:div w:id="1409765337">
      <w:bodyDiv w:val="1"/>
      <w:marLeft w:val="0"/>
      <w:marRight w:val="0"/>
      <w:marTop w:val="0"/>
      <w:marBottom w:val="0"/>
      <w:divBdr>
        <w:top w:val="none" w:sz="0" w:space="0" w:color="auto"/>
        <w:left w:val="none" w:sz="0" w:space="0" w:color="auto"/>
        <w:bottom w:val="none" w:sz="0" w:space="0" w:color="auto"/>
        <w:right w:val="none" w:sz="0" w:space="0" w:color="auto"/>
      </w:divBdr>
    </w:div>
    <w:div w:id="1409768542">
      <w:bodyDiv w:val="1"/>
      <w:marLeft w:val="0"/>
      <w:marRight w:val="0"/>
      <w:marTop w:val="0"/>
      <w:marBottom w:val="0"/>
      <w:divBdr>
        <w:top w:val="none" w:sz="0" w:space="0" w:color="auto"/>
        <w:left w:val="none" w:sz="0" w:space="0" w:color="auto"/>
        <w:bottom w:val="none" w:sz="0" w:space="0" w:color="auto"/>
        <w:right w:val="none" w:sz="0" w:space="0" w:color="auto"/>
      </w:divBdr>
    </w:div>
    <w:div w:id="1410467391">
      <w:bodyDiv w:val="1"/>
      <w:marLeft w:val="0"/>
      <w:marRight w:val="0"/>
      <w:marTop w:val="0"/>
      <w:marBottom w:val="0"/>
      <w:divBdr>
        <w:top w:val="none" w:sz="0" w:space="0" w:color="auto"/>
        <w:left w:val="none" w:sz="0" w:space="0" w:color="auto"/>
        <w:bottom w:val="none" w:sz="0" w:space="0" w:color="auto"/>
        <w:right w:val="none" w:sz="0" w:space="0" w:color="auto"/>
      </w:divBdr>
    </w:div>
    <w:div w:id="1411149449">
      <w:bodyDiv w:val="1"/>
      <w:marLeft w:val="0"/>
      <w:marRight w:val="0"/>
      <w:marTop w:val="0"/>
      <w:marBottom w:val="0"/>
      <w:divBdr>
        <w:top w:val="none" w:sz="0" w:space="0" w:color="auto"/>
        <w:left w:val="none" w:sz="0" w:space="0" w:color="auto"/>
        <w:bottom w:val="none" w:sz="0" w:space="0" w:color="auto"/>
        <w:right w:val="none" w:sz="0" w:space="0" w:color="auto"/>
      </w:divBdr>
    </w:div>
    <w:div w:id="1413157935">
      <w:bodyDiv w:val="1"/>
      <w:marLeft w:val="0"/>
      <w:marRight w:val="0"/>
      <w:marTop w:val="0"/>
      <w:marBottom w:val="0"/>
      <w:divBdr>
        <w:top w:val="none" w:sz="0" w:space="0" w:color="auto"/>
        <w:left w:val="none" w:sz="0" w:space="0" w:color="auto"/>
        <w:bottom w:val="none" w:sz="0" w:space="0" w:color="auto"/>
        <w:right w:val="none" w:sz="0" w:space="0" w:color="auto"/>
      </w:divBdr>
    </w:div>
    <w:div w:id="1414159758">
      <w:bodyDiv w:val="1"/>
      <w:marLeft w:val="0"/>
      <w:marRight w:val="0"/>
      <w:marTop w:val="0"/>
      <w:marBottom w:val="0"/>
      <w:divBdr>
        <w:top w:val="none" w:sz="0" w:space="0" w:color="auto"/>
        <w:left w:val="none" w:sz="0" w:space="0" w:color="auto"/>
        <w:bottom w:val="none" w:sz="0" w:space="0" w:color="auto"/>
        <w:right w:val="none" w:sz="0" w:space="0" w:color="auto"/>
      </w:divBdr>
    </w:div>
    <w:div w:id="1414401523">
      <w:bodyDiv w:val="1"/>
      <w:marLeft w:val="0"/>
      <w:marRight w:val="0"/>
      <w:marTop w:val="0"/>
      <w:marBottom w:val="0"/>
      <w:divBdr>
        <w:top w:val="none" w:sz="0" w:space="0" w:color="auto"/>
        <w:left w:val="none" w:sz="0" w:space="0" w:color="auto"/>
        <w:bottom w:val="none" w:sz="0" w:space="0" w:color="auto"/>
        <w:right w:val="none" w:sz="0" w:space="0" w:color="auto"/>
      </w:divBdr>
    </w:div>
    <w:div w:id="1415013227">
      <w:bodyDiv w:val="1"/>
      <w:marLeft w:val="0"/>
      <w:marRight w:val="0"/>
      <w:marTop w:val="0"/>
      <w:marBottom w:val="0"/>
      <w:divBdr>
        <w:top w:val="none" w:sz="0" w:space="0" w:color="auto"/>
        <w:left w:val="none" w:sz="0" w:space="0" w:color="auto"/>
        <w:bottom w:val="none" w:sz="0" w:space="0" w:color="auto"/>
        <w:right w:val="none" w:sz="0" w:space="0" w:color="auto"/>
      </w:divBdr>
    </w:div>
    <w:div w:id="1419667051">
      <w:bodyDiv w:val="1"/>
      <w:marLeft w:val="0"/>
      <w:marRight w:val="0"/>
      <w:marTop w:val="0"/>
      <w:marBottom w:val="0"/>
      <w:divBdr>
        <w:top w:val="none" w:sz="0" w:space="0" w:color="auto"/>
        <w:left w:val="none" w:sz="0" w:space="0" w:color="auto"/>
        <w:bottom w:val="none" w:sz="0" w:space="0" w:color="auto"/>
        <w:right w:val="none" w:sz="0" w:space="0" w:color="auto"/>
      </w:divBdr>
    </w:div>
    <w:div w:id="1421024304">
      <w:bodyDiv w:val="1"/>
      <w:marLeft w:val="0"/>
      <w:marRight w:val="0"/>
      <w:marTop w:val="0"/>
      <w:marBottom w:val="0"/>
      <w:divBdr>
        <w:top w:val="none" w:sz="0" w:space="0" w:color="auto"/>
        <w:left w:val="none" w:sz="0" w:space="0" w:color="auto"/>
        <w:bottom w:val="none" w:sz="0" w:space="0" w:color="auto"/>
        <w:right w:val="none" w:sz="0" w:space="0" w:color="auto"/>
      </w:divBdr>
    </w:div>
    <w:div w:id="1421953571">
      <w:bodyDiv w:val="1"/>
      <w:marLeft w:val="0"/>
      <w:marRight w:val="0"/>
      <w:marTop w:val="0"/>
      <w:marBottom w:val="0"/>
      <w:divBdr>
        <w:top w:val="none" w:sz="0" w:space="0" w:color="auto"/>
        <w:left w:val="none" w:sz="0" w:space="0" w:color="auto"/>
        <w:bottom w:val="none" w:sz="0" w:space="0" w:color="auto"/>
        <w:right w:val="none" w:sz="0" w:space="0" w:color="auto"/>
      </w:divBdr>
    </w:div>
    <w:div w:id="1423643412">
      <w:bodyDiv w:val="1"/>
      <w:marLeft w:val="0"/>
      <w:marRight w:val="0"/>
      <w:marTop w:val="0"/>
      <w:marBottom w:val="0"/>
      <w:divBdr>
        <w:top w:val="none" w:sz="0" w:space="0" w:color="auto"/>
        <w:left w:val="none" w:sz="0" w:space="0" w:color="auto"/>
        <w:bottom w:val="none" w:sz="0" w:space="0" w:color="auto"/>
        <w:right w:val="none" w:sz="0" w:space="0" w:color="auto"/>
      </w:divBdr>
    </w:div>
    <w:div w:id="1424103617">
      <w:bodyDiv w:val="1"/>
      <w:marLeft w:val="0"/>
      <w:marRight w:val="0"/>
      <w:marTop w:val="0"/>
      <w:marBottom w:val="0"/>
      <w:divBdr>
        <w:top w:val="none" w:sz="0" w:space="0" w:color="auto"/>
        <w:left w:val="none" w:sz="0" w:space="0" w:color="auto"/>
        <w:bottom w:val="none" w:sz="0" w:space="0" w:color="auto"/>
        <w:right w:val="none" w:sz="0" w:space="0" w:color="auto"/>
      </w:divBdr>
    </w:div>
    <w:div w:id="1426532333">
      <w:bodyDiv w:val="1"/>
      <w:marLeft w:val="0"/>
      <w:marRight w:val="0"/>
      <w:marTop w:val="0"/>
      <w:marBottom w:val="0"/>
      <w:divBdr>
        <w:top w:val="none" w:sz="0" w:space="0" w:color="auto"/>
        <w:left w:val="none" w:sz="0" w:space="0" w:color="auto"/>
        <w:bottom w:val="none" w:sz="0" w:space="0" w:color="auto"/>
        <w:right w:val="none" w:sz="0" w:space="0" w:color="auto"/>
      </w:divBdr>
    </w:div>
    <w:div w:id="1428966509">
      <w:bodyDiv w:val="1"/>
      <w:marLeft w:val="0"/>
      <w:marRight w:val="0"/>
      <w:marTop w:val="0"/>
      <w:marBottom w:val="0"/>
      <w:divBdr>
        <w:top w:val="none" w:sz="0" w:space="0" w:color="auto"/>
        <w:left w:val="none" w:sz="0" w:space="0" w:color="auto"/>
        <w:bottom w:val="none" w:sz="0" w:space="0" w:color="auto"/>
        <w:right w:val="none" w:sz="0" w:space="0" w:color="auto"/>
      </w:divBdr>
    </w:div>
    <w:div w:id="1429932311">
      <w:bodyDiv w:val="1"/>
      <w:marLeft w:val="0"/>
      <w:marRight w:val="0"/>
      <w:marTop w:val="0"/>
      <w:marBottom w:val="0"/>
      <w:divBdr>
        <w:top w:val="none" w:sz="0" w:space="0" w:color="auto"/>
        <w:left w:val="none" w:sz="0" w:space="0" w:color="auto"/>
        <w:bottom w:val="none" w:sz="0" w:space="0" w:color="auto"/>
        <w:right w:val="none" w:sz="0" w:space="0" w:color="auto"/>
      </w:divBdr>
    </w:div>
    <w:div w:id="1430078109">
      <w:bodyDiv w:val="1"/>
      <w:marLeft w:val="0"/>
      <w:marRight w:val="0"/>
      <w:marTop w:val="0"/>
      <w:marBottom w:val="0"/>
      <w:divBdr>
        <w:top w:val="none" w:sz="0" w:space="0" w:color="auto"/>
        <w:left w:val="none" w:sz="0" w:space="0" w:color="auto"/>
        <w:bottom w:val="none" w:sz="0" w:space="0" w:color="auto"/>
        <w:right w:val="none" w:sz="0" w:space="0" w:color="auto"/>
      </w:divBdr>
    </w:div>
    <w:div w:id="1430927771">
      <w:bodyDiv w:val="1"/>
      <w:marLeft w:val="0"/>
      <w:marRight w:val="0"/>
      <w:marTop w:val="0"/>
      <w:marBottom w:val="0"/>
      <w:divBdr>
        <w:top w:val="none" w:sz="0" w:space="0" w:color="auto"/>
        <w:left w:val="none" w:sz="0" w:space="0" w:color="auto"/>
        <w:bottom w:val="none" w:sz="0" w:space="0" w:color="auto"/>
        <w:right w:val="none" w:sz="0" w:space="0" w:color="auto"/>
      </w:divBdr>
    </w:div>
    <w:div w:id="1431702078">
      <w:bodyDiv w:val="1"/>
      <w:marLeft w:val="0"/>
      <w:marRight w:val="0"/>
      <w:marTop w:val="0"/>
      <w:marBottom w:val="0"/>
      <w:divBdr>
        <w:top w:val="none" w:sz="0" w:space="0" w:color="auto"/>
        <w:left w:val="none" w:sz="0" w:space="0" w:color="auto"/>
        <w:bottom w:val="none" w:sz="0" w:space="0" w:color="auto"/>
        <w:right w:val="none" w:sz="0" w:space="0" w:color="auto"/>
      </w:divBdr>
    </w:div>
    <w:div w:id="1432583022">
      <w:bodyDiv w:val="1"/>
      <w:marLeft w:val="0"/>
      <w:marRight w:val="0"/>
      <w:marTop w:val="0"/>
      <w:marBottom w:val="0"/>
      <w:divBdr>
        <w:top w:val="none" w:sz="0" w:space="0" w:color="auto"/>
        <w:left w:val="none" w:sz="0" w:space="0" w:color="auto"/>
        <w:bottom w:val="none" w:sz="0" w:space="0" w:color="auto"/>
        <w:right w:val="none" w:sz="0" w:space="0" w:color="auto"/>
      </w:divBdr>
    </w:div>
    <w:div w:id="1434982060">
      <w:bodyDiv w:val="1"/>
      <w:marLeft w:val="0"/>
      <w:marRight w:val="0"/>
      <w:marTop w:val="0"/>
      <w:marBottom w:val="0"/>
      <w:divBdr>
        <w:top w:val="none" w:sz="0" w:space="0" w:color="auto"/>
        <w:left w:val="none" w:sz="0" w:space="0" w:color="auto"/>
        <w:bottom w:val="none" w:sz="0" w:space="0" w:color="auto"/>
        <w:right w:val="none" w:sz="0" w:space="0" w:color="auto"/>
      </w:divBdr>
    </w:div>
    <w:div w:id="1436512613">
      <w:bodyDiv w:val="1"/>
      <w:marLeft w:val="0"/>
      <w:marRight w:val="0"/>
      <w:marTop w:val="0"/>
      <w:marBottom w:val="0"/>
      <w:divBdr>
        <w:top w:val="none" w:sz="0" w:space="0" w:color="auto"/>
        <w:left w:val="none" w:sz="0" w:space="0" w:color="auto"/>
        <w:bottom w:val="none" w:sz="0" w:space="0" w:color="auto"/>
        <w:right w:val="none" w:sz="0" w:space="0" w:color="auto"/>
      </w:divBdr>
    </w:div>
    <w:div w:id="1436943641">
      <w:bodyDiv w:val="1"/>
      <w:marLeft w:val="0"/>
      <w:marRight w:val="0"/>
      <w:marTop w:val="0"/>
      <w:marBottom w:val="0"/>
      <w:divBdr>
        <w:top w:val="none" w:sz="0" w:space="0" w:color="auto"/>
        <w:left w:val="none" w:sz="0" w:space="0" w:color="auto"/>
        <w:bottom w:val="none" w:sz="0" w:space="0" w:color="auto"/>
        <w:right w:val="none" w:sz="0" w:space="0" w:color="auto"/>
      </w:divBdr>
    </w:div>
    <w:div w:id="1437019296">
      <w:bodyDiv w:val="1"/>
      <w:marLeft w:val="0"/>
      <w:marRight w:val="0"/>
      <w:marTop w:val="0"/>
      <w:marBottom w:val="0"/>
      <w:divBdr>
        <w:top w:val="none" w:sz="0" w:space="0" w:color="auto"/>
        <w:left w:val="none" w:sz="0" w:space="0" w:color="auto"/>
        <w:bottom w:val="none" w:sz="0" w:space="0" w:color="auto"/>
        <w:right w:val="none" w:sz="0" w:space="0" w:color="auto"/>
      </w:divBdr>
    </w:div>
    <w:div w:id="1438015683">
      <w:bodyDiv w:val="1"/>
      <w:marLeft w:val="0"/>
      <w:marRight w:val="0"/>
      <w:marTop w:val="0"/>
      <w:marBottom w:val="0"/>
      <w:divBdr>
        <w:top w:val="none" w:sz="0" w:space="0" w:color="auto"/>
        <w:left w:val="none" w:sz="0" w:space="0" w:color="auto"/>
        <w:bottom w:val="none" w:sz="0" w:space="0" w:color="auto"/>
        <w:right w:val="none" w:sz="0" w:space="0" w:color="auto"/>
      </w:divBdr>
    </w:div>
    <w:div w:id="1440876880">
      <w:bodyDiv w:val="1"/>
      <w:marLeft w:val="0"/>
      <w:marRight w:val="0"/>
      <w:marTop w:val="0"/>
      <w:marBottom w:val="0"/>
      <w:divBdr>
        <w:top w:val="none" w:sz="0" w:space="0" w:color="auto"/>
        <w:left w:val="none" w:sz="0" w:space="0" w:color="auto"/>
        <w:bottom w:val="none" w:sz="0" w:space="0" w:color="auto"/>
        <w:right w:val="none" w:sz="0" w:space="0" w:color="auto"/>
      </w:divBdr>
    </w:div>
    <w:div w:id="1443263445">
      <w:bodyDiv w:val="1"/>
      <w:marLeft w:val="0"/>
      <w:marRight w:val="0"/>
      <w:marTop w:val="0"/>
      <w:marBottom w:val="0"/>
      <w:divBdr>
        <w:top w:val="none" w:sz="0" w:space="0" w:color="auto"/>
        <w:left w:val="none" w:sz="0" w:space="0" w:color="auto"/>
        <w:bottom w:val="none" w:sz="0" w:space="0" w:color="auto"/>
        <w:right w:val="none" w:sz="0" w:space="0" w:color="auto"/>
      </w:divBdr>
    </w:div>
    <w:div w:id="1443914319">
      <w:bodyDiv w:val="1"/>
      <w:marLeft w:val="0"/>
      <w:marRight w:val="0"/>
      <w:marTop w:val="0"/>
      <w:marBottom w:val="0"/>
      <w:divBdr>
        <w:top w:val="none" w:sz="0" w:space="0" w:color="auto"/>
        <w:left w:val="none" w:sz="0" w:space="0" w:color="auto"/>
        <w:bottom w:val="none" w:sz="0" w:space="0" w:color="auto"/>
        <w:right w:val="none" w:sz="0" w:space="0" w:color="auto"/>
      </w:divBdr>
    </w:div>
    <w:div w:id="1448349970">
      <w:bodyDiv w:val="1"/>
      <w:marLeft w:val="0"/>
      <w:marRight w:val="0"/>
      <w:marTop w:val="0"/>
      <w:marBottom w:val="0"/>
      <w:divBdr>
        <w:top w:val="none" w:sz="0" w:space="0" w:color="auto"/>
        <w:left w:val="none" w:sz="0" w:space="0" w:color="auto"/>
        <w:bottom w:val="none" w:sz="0" w:space="0" w:color="auto"/>
        <w:right w:val="none" w:sz="0" w:space="0" w:color="auto"/>
      </w:divBdr>
    </w:div>
    <w:div w:id="1448894378">
      <w:bodyDiv w:val="1"/>
      <w:marLeft w:val="0"/>
      <w:marRight w:val="0"/>
      <w:marTop w:val="0"/>
      <w:marBottom w:val="0"/>
      <w:divBdr>
        <w:top w:val="none" w:sz="0" w:space="0" w:color="auto"/>
        <w:left w:val="none" w:sz="0" w:space="0" w:color="auto"/>
        <w:bottom w:val="none" w:sz="0" w:space="0" w:color="auto"/>
        <w:right w:val="none" w:sz="0" w:space="0" w:color="auto"/>
      </w:divBdr>
    </w:div>
    <w:div w:id="1449355070">
      <w:bodyDiv w:val="1"/>
      <w:marLeft w:val="0"/>
      <w:marRight w:val="0"/>
      <w:marTop w:val="0"/>
      <w:marBottom w:val="0"/>
      <w:divBdr>
        <w:top w:val="none" w:sz="0" w:space="0" w:color="auto"/>
        <w:left w:val="none" w:sz="0" w:space="0" w:color="auto"/>
        <w:bottom w:val="none" w:sz="0" w:space="0" w:color="auto"/>
        <w:right w:val="none" w:sz="0" w:space="0" w:color="auto"/>
      </w:divBdr>
    </w:div>
    <w:div w:id="1453331099">
      <w:bodyDiv w:val="1"/>
      <w:marLeft w:val="0"/>
      <w:marRight w:val="0"/>
      <w:marTop w:val="0"/>
      <w:marBottom w:val="0"/>
      <w:divBdr>
        <w:top w:val="none" w:sz="0" w:space="0" w:color="auto"/>
        <w:left w:val="none" w:sz="0" w:space="0" w:color="auto"/>
        <w:bottom w:val="none" w:sz="0" w:space="0" w:color="auto"/>
        <w:right w:val="none" w:sz="0" w:space="0" w:color="auto"/>
      </w:divBdr>
    </w:div>
    <w:div w:id="1458062215">
      <w:bodyDiv w:val="1"/>
      <w:marLeft w:val="0"/>
      <w:marRight w:val="0"/>
      <w:marTop w:val="0"/>
      <w:marBottom w:val="0"/>
      <w:divBdr>
        <w:top w:val="none" w:sz="0" w:space="0" w:color="auto"/>
        <w:left w:val="none" w:sz="0" w:space="0" w:color="auto"/>
        <w:bottom w:val="none" w:sz="0" w:space="0" w:color="auto"/>
        <w:right w:val="none" w:sz="0" w:space="0" w:color="auto"/>
      </w:divBdr>
    </w:div>
    <w:div w:id="1458066674">
      <w:bodyDiv w:val="1"/>
      <w:marLeft w:val="0"/>
      <w:marRight w:val="0"/>
      <w:marTop w:val="0"/>
      <w:marBottom w:val="0"/>
      <w:divBdr>
        <w:top w:val="none" w:sz="0" w:space="0" w:color="auto"/>
        <w:left w:val="none" w:sz="0" w:space="0" w:color="auto"/>
        <w:bottom w:val="none" w:sz="0" w:space="0" w:color="auto"/>
        <w:right w:val="none" w:sz="0" w:space="0" w:color="auto"/>
      </w:divBdr>
    </w:div>
    <w:div w:id="1458521219">
      <w:bodyDiv w:val="1"/>
      <w:marLeft w:val="0"/>
      <w:marRight w:val="0"/>
      <w:marTop w:val="0"/>
      <w:marBottom w:val="0"/>
      <w:divBdr>
        <w:top w:val="none" w:sz="0" w:space="0" w:color="auto"/>
        <w:left w:val="none" w:sz="0" w:space="0" w:color="auto"/>
        <w:bottom w:val="none" w:sz="0" w:space="0" w:color="auto"/>
        <w:right w:val="none" w:sz="0" w:space="0" w:color="auto"/>
      </w:divBdr>
    </w:div>
    <w:div w:id="1459253661">
      <w:bodyDiv w:val="1"/>
      <w:marLeft w:val="0"/>
      <w:marRight w:val="0"/>
      <w:marTop w:val="0"/>
      <w:marBottom w:val="0"/>
      <w:divBdr>
        <w:top w:val="none" w:sz="0" w:space="0" w:color="auto"/>
        <w:left w:val="none" w:sz="0" w:space="0" w:color="auto"/>
        <w:bottom w:val="none" w:sz="0" w:space="0" w:color="auto"/>
        <w:right w:val="none" w:sz="0" w:space="0" w:color="auto"/>
      </w:divBdr>
    </w:div>
    <w:div w:id="1459759924">
      <w:bodyDiv w:val="1"/>
      <w:marLeft w:val="0"/>
      <w:marRight w:val="0"/>
      <w:marTop w:val="0"/>
      <w:marBottom w:val="0"/>
      <w:divBdr>
        <w:top w:val="none" w:sz="0" w:space="0" w:color="auto"/>
        <w:left w:val="none" w:sz="0" w:space="0" w:color="auto"/>
        <w:bottom w:val="none" w:sz="0" w:space="0" w:color="auto"/>
        <w:right w:val="none" w:sz="0" w:space="0" w:color="auto"/>
      </w:divBdr>
    </w:div>
    <w:div w:id="1460296329">
      <w:bodyDiv w:val="1"/>
      <w:marLeft w:val="0"/>
      <w:marRight w:val="0"/>
      <w:marTop w:val="0"/>
      <w:marBottom w:val="0"/>
      <w:divBdr>
        <w:top w:val="none" w:sz="0" w:space="0" w:color="auto"/>
        <w:left w:val="none" w:sz="0" w:space="0" w:color="auto"/>
        <w:bottom w:val="none" w:sz="0" w:space="0" w:color="auto"/>
        <w:right w:val="none" w:sz="0" w:space="0" w:color="auto"/>
      </w:divBdr>
    </w:div>
    <w:div w:id="1460799906">
      <w:bodyDiv w:val="1"/>
      <w:marLeft w:val="0"/>
      <w:marRight w:val="0"/>
      <w:marTop w:val="0"/>
      <w:marBottom w:val="0"/>
      <w:divBdr>
        <w:top w:val="none" w:sz="0" w:space="0" w:color="auto"/>
        <w:left w:val="none" w:sz="0" w:space="0" w:color="auto"/>
        <w:bottom w:val="none" w:sz="0" w:space="0" w:color="auto"/>
        <w:right w:val="none" w:sz="0" w:space="0" w:color="auto"/>
      </w:divBdr>
    </w:div>
    <w:div w:id="1463690587">
      <w:bodyDiv w:val="1"/>
      <w:marLeft w:val="0"/>
      <w:marRight w:val="0"/>
      <w:marTop w:val="0"/>
      <w:marBottom w:val="0"/>
      <w:divBdr>
        <w:top w:val="none" w:sz="0" w:space="0" w:color="auto"/>
        <w:left w:val="none" w:sz="0" w:space="0" w:color="auto"/>
        <w:bottom w:val="none" w:sz="0" w:space="0" w:color="auto"/>
        <w:right w:val="none" w:sz="0" w:space="0" w:color="auto"/>
      </w:divBdr>
    </w:div>
    <w:div w:id="1463959012">
      <w:bodyDiv w:val="1"/>
      <w:marLeft w:val="0"/>
      <w:marRight w:val="0"/>
      <w:marTop w:val="0"/>
      <w:marBottom w:val="0"/>
      <w:divBdr>
        <w:top w:val="none" w:sz="0" w:space="0" w:color="auto"/>
        <w:left w:val="none" w:sz="0" w:space="0" w:color="auto"/>
        <w:bottom w:val="none" w:sz="0" w:space="0" w:color="auto"/>
        <w:right w:val="none" w:sz="0" w:space="0" w:color="auto"/>
      </w:divBdr>
    </w:div>
    <w:div w:id="1464036108">
      <w:bodyDiv w:val="1"/>
      <w:marLeft w:val="0"/>
      <w:marRight w:val="0"/>
      <w:marTop w:val="0"/>
      <w:marBottom w:val="0"/>
      <w:divBdr>
        <w:top w:val="none" w:sz="0" w:space="0" w:color="auto"/>
        <w:left w:val="none" w:sz="0" w:space="0" w:color="auto"/>
        <w:bottom w:val="none" w:sz="0" w:space="0" w:color="auto"/>
        <w:right w:val="none" w:sz="0" w:space="0" w:color="auto"/>
      </w:divBdr>
    </w:div>
    <w:div w:id="1464468240">
      <w:bodyDiv w:val="1"/>
      <w:marLeft w:val="0"/>
      <w:marRight w:val="0"/>
      <w:marTop w:val="0"/>
      <w:marBottom w:val="0"/>
      <w:divBdr>
        <w:top w:val="none" w:sz="0" w:space="0" w:color="auto"/>
        <w:left w:val="none" w:sz="0" w:space="0" w:color="auto"/>
        <w:bottom w:val="none" w:sz="0" w:space="0" w:color="auto"/>
        <w:right w:val="none" w:sz="0" w:space="0" w:color="auto"/>
      </w:divBdr>
    </w:div>
    <w:div w:id="1467433211">
      <w:bodyDiv w:val="1"/>
      <w:marLeft w:val="0"/>
      <w:marRight w:val="0"/>
      <w:marTop w:val="0"/>
      <w:marBottom w:val="0"/>
      <w:divBdr>
        <w:top w:val="none" w:sz="0" w:space="0" w:color="auto"/>
        <w:left w:val="none" w:sz="0" w:space="0" w:color="auto"/>
        <w:bottom w:val="none" w:sz="0" w:space="0" w:color="auto"/>
        <w:right w:val="none" w:sz="0" w:space="0" w:color="auto"/>
      </w:divBdr>
    </w:div>
    <w:div w:id="1470975492">
      <w:bodyDiv w:val="1"/>
      <w:marLeft w:val="0"/>
      <w:marRight w:val="0"/>
      <w:marTop w:val="0"/>
      <w:marBottom w:val="0"/>
      <w:divBdr>
        <w:top w:val="none" w:sz="0" w:space="0" w:color="auto"/>
        <w:left w:val="none" w:sz="0" w:space="0" w:color="auto"/>
        <w:bottom w:val="none" w:sz="0" w:space="0" w:color="auto"/>
        <w:right w:val="none" w:sz="0" w:space="0" w:color="auto"/>
      </w:divBdr>
    </w:div>
    <w:div w:id="1471165598">
      <w:bodyDiv w:val="1"/>
      <w:marLeft w:val="0"/>
      <w:marRight w:val="0"/>
      <w:marTop w:val="0"/>
      <w:marBottom w:val="0"/>
      <w:divBdr>
        <w:top w:val="none" w:sz="0" w:space="0" w:color="auto"/>
        <w:left w:val="none" w:sz="0" w:space="0" w:color="auto"/>
        <w:bottom w:val="none" w:sz="0" w:space="0" w:color="auto"/>
        <w:right w:val="none" w:sz="0" w:space="0" w:color="auto"/>
      </w:divBdr>
    </w:div>
    <w:div w:id="1472333608">
      <w:bodyDiv w:val="1"/>
      <w:marLeft w:val="0"/>
      <w:marRight w:val="0"/>
      <w:marTop w:val="0"/>
      <w:marBottom w:val="0"/>
      <w:divBdr>
        <w:top w:val="none" w:sz="0" w:space="0" w:color="auto"/>
        <w:left w:val="none" w:sz="0" w:space="0" w:color="auto"/>
        <w:bottom w:val="none" w:sz="0" w:space="0" w:color="auto"/>
        <w:right w:val="none" w:sz="0" w:space="0" w:color="auto"/>
      </w:divBdr>
    </w:div>
    <w:div w:id="1474250401">
      <w:bodyDiv w:val="1"/>
      <w:marLeft w:val="0"/>
      <w:marRight w:val="0"/>
      <w:marTop w:val="0"/>
      <w:marBottom w:val="0"/>
      <w:divBdr>
        <w:top w:val="none" w:sz="0" w:space="0" w:color="auto"/>
        <w:left w:val="none" w:sz="0" w:space="0" w:color="auto"/>
        <w:bottom w:val="none" w:sz="0" w:space="0" w:color="auto"/>
        <w:right w:val="none" w:sz="0" w:space="0" w:color="auto"/>
      </w:divBdr>
    </w:div>
    <w:div w:id="1474637543">
      <w:bodyDiv w:val="1"/>
      <w:marLeft w:val="0"/>
      <w:marRight w:val="0"/>
      <w:marTop w:val="0"/>
      <w:marBottom w:val="0"/>
      <w:divBdr>
        <w:top w:val="none" w:sz="0" w:space="0" w:color="auto"/>
        <w:left w:val="none" w:sz="0" w:space="0" w:color="auto"/>
        <w:bottom w:val="none" w:sz="0" w:space="0" w:color="auto"/>
        <w:right w:val="none" w:sz="0" w:space="0" w:color="auto"/>
      </w:divBdr>
    </w:div>
    <w:div w:id="1474642203">
      <w:bodyDiv w:val="1"/>
      <w:marLeft w:val="0"/>
      <w:marRight w:val="0"/>
      <w:marTop w:val="0"/>
      <w:marBottom w:val="0"/>
      <w:divBdr>
        <w:top w:val="none" w:sz="0" w:space="0" w:color="auto"/>
        <w:left w:val="none" w:sz="0" w:space="0" w:color="auto"/>
        <w:bottom w:val="none" w:sz="0" w:space="0" w:color="auto"/>
        <w:right w:val="none" w:sz="0" w:space="0" w:color="auto"/>
      </w:divBdr>
    </w:div>
    <w:div w:id="1474980765">
      <w:bodyDiv w:val="1"/>
      <w:marLeft w:val="0"/>
      <w:marRight w:val="0"/>
      <w:marTop w:val="0"/>
      <w:marBottom w:val="0"/>
      <w:divBdr>
        <w:top w:val="none" w:sz="0" w:space="0" w:color="auto"/>
        <w:left w:val="none" w:sz="0" w:space="0" w:color="auto"/>
        <w:bottom w:val="none" w:sz="0" w:space="0" w:color="auto"/>
        <w:right w:val="none" w:sz="0" w:space="0" w:color="auto"/>
      </w:divBdr>
    </w:div>
    <w:div w:id="1475367433">
      <w:bodyDiv w:val="1"/>
      <w:marLeft w:val="0"/>
      <w:marRight w:val="0"/>
      <w:marTop w:val="0"/>
      <w:marBottom w:val="0"/>
      <w:divBdr>
        <w:top w:val="none" w:sz="0" w:space="0" w:color="auto"/>
        <w:left w:val="none" w:sz="0" w:space="0" w:color="auto"/>
        <w:bottom w:val="none" w:sz="0" w:space="0" w:color="auto"/>
        <w:right w:val="none" w:sz="0" w:space="0" w:color="auto"/>
      </w:divBdr>
    </w:div>
    <w:div w:id="1476485302">
      <w:bodyDiv w:val="1"/>
      <w:marLeft w:val="0"/>
      <w:marRight w:val="0"/>
      <w:marTop w:val="0"/>
      <w:marBottom w:val="0"/>
      <w:divBdr>
        <w:top w:val="none" w:sz="0" w:space="0" w:color="auto"/>
        <w:left w:val="none" w:sz="0" w:space="0" w:color="auto"/>
        <w:bottom w:val="none" w:sz="0" w:space="0" w:color="auto"/>
        <w:right w:val="none" w:sz="0" w:space="0" w:color="auto"/>
      </w:divBdr>
    </w:div>
    <w:div w:id="1478690805">
      <w:bodyDiv w:val="1"/>
      <w:marLeft w:val="0"/>
      <w:marRight w:val="0"/>
      <w:marTop w:val="0"/>
      <w:marBottom w:val="0"/>
      <w:divBdr>
        <w:top w:val="none" w:sz="0" w:space="0" w:color="auto"/>
        <w:left w:val="none" w:sz="0" w:space="0" w:color="auto"/>
        <w:bottom w:val="none" w:sz="0" w:space="0" w:color="auto"/>
        <w:right w:val="none" w:sz="0" w:space="0" w:color="auto"/>
      </w:divBdr>
    </w:div>
    <w:div w:id="1479029104">
      <w:bodyDiv w:val="1"/>
      <w:marLeft w:val="0"/>
      <w:marRight w:val="0"/>
      <w:marTop w:val="0"/>
      <w:marBottom w:val="0"/>
      <w:divBdr>
        <w:top w:val="none" w:sz="0" w:space="0" w:color="auto"/>
        <w:left w:val="none" w:sz="0" w:space="0" w:color="auto"/>
        <w:bottom w:val="none" w:sz="0" w:space="0" w:color="auto"/>
        <w:right w:val="none" w:sz="0" w:space="0" w:color="auto"/>
      </w:divBdr>
    </w:div>
    <w:div w:id="1481725064">
      <w:bodyDiv w:val="1"/>
      <w:marLeft w:val="0"/>
      <w:marRight w:val="0"/>
      <w:marTop w:val="0"/>
      <w:marBottom w:val="0"/>
      <w:divBdr>
        <w:top w:val="none" w:sz="0" w:space="0" w:color="auto"/>
        <w:left w:val="none" w:sz="0" w:space="0" w:color="auto"/>
        <w:bottom w:val="none" w:sz="0" w:space="0" w:color="auto"/>
        <w:right w:val="none" w:sz="0" w:space="0" w:color="auto"/>
      </w:divBdr>
    </w:div>
    <w:div w:id="1484009959">
      <w:bodyDiv w:val="1"/>
      <w:marLeft w:val="0"/>
      <w:marRight w:val="0"/>
      <w:marTop w:val="0"/>
      <w:marBottom w:val="0"/>
      <w:divBdr>
        <w:top w:val="none" w:sz="0" w:space="0" w:color="auto"/>
        <w:left w:val="none" w:sz="0" w:space="0" w:color="auto"/>
        <w:bottom w:val="none" w:sz="0" w:space="0" w:color="auto"/>
        <w:right w:val="none" w:sz="0" w:space="0" w:color="auto"/>
      </w:divBdr>
    </w:div>
    <w:div w:id="1484546370">
      <w:bodyDiv w:val="1"/>
      <w:marLeft w:val="0"/>
      <w:marRight w:val="0"/>
      <w:marTop w:val="0"/>
      <w:marBottom w:val="0"/>
      <w:divBdr>
        <w:top w:val="none" w:sz="0" w:space="0" w:color="auto"/>
        <w:left w:val="none" w:sz="0" w:space="0" w:color="auto"/>
        <w:bottom w:val="none" w:sz="0" w:space="0" w:color="auto"/>
        <w:right w:val="none" w:sz="0" w:space="0" w:color="auto"/>
      </w:divBdr>
    </w:div>
    <w:div w:id="1489057837">
      <w:bodyDiv w:val="1"/>
      <w:marLeft w:val="0"/>
      <w:marRight w:val="0"/>
      <w:marTop w:val="0"/>
      <w:marBottom w:val="0"/>
      <w:divBdr>
        <w:top w:val="none" w:sz="0" w:space="0" w:color="auto"/>
        <w:left w:val="none" w:sz="0" w:space="0" w:color="auto"/>
        <w:bottom w:val="none" w:sz="0" w:space="0" w:color="auto"/>
        <w:right w:val="none" w:sz="0" w:space="0" w:color="auto"/>
      </w:divBdr>
    </w:div>
    <w:div w:id="1490251834">
      <w:bodyDiv w:val="1"/>
      <w:marLeft w:val="0"/>
      <w:marRight w:val="0"/>
      <w:marTop w:val="0"/>
      <w:marBottom w:val="0"/>
      <w:divBdr>
        <w:top w:val="none" w:sz="0" w:space="0" w:color="auto"/>
        <w:left w:val="none" w:sz="0" w:space="0" w:color="auto"/>
        <w:bottom w:val="none" w:sz="0" w:space="0" w:color="auto"/>
        <w:right w:val="none" w:sz="0" w:space="0" w:color="auto"/>
      </w:divBdr>
    </w:div>
    <w:div w:id="1490362970">
      <w:bodyDiv w:val="1"/>
      <w:marLeft w:val="0"/>
      <w:marRight w:val="0"/>
      <w:marTop w:val="0"/>
      <w:marBottom w:val="0"/>
      <w:divBdr>
        <w:top w:val="none" w:sz="0" w:space="0" w:color="auto"/>
        <w:left w:val="none" w:sz="0" w:space="0" w:color="auto"/>
        <w:bottom w:val="none" w:sz="0" w:space="0" w:color="auto"/>
        <w:right w:val="none" w:sz="0" w:space="0" w:color="auto"/>
      </w:divBdr>
    </w:div>
    <w:div w:id="1490632490">
      <w:bodyDiv w:val="1"/>
      <w:marLeft w:val="0"/>
      <w:marRight w:val="0"/>
      <w:marTop w:val="0"/>
      <w:marBottom w:val="0"/>
      <w:divBdr>
        <w:top w:val="none" w:sz="0" w:space="0" w:color="auto"/>
        <w:left w:val="none" w:sz="0" w:space="0" w:color="auto"/>
        <w:bottom w:val="none" w:sz="0" w:space="0" w:color="auto"/>
        <w:right w:val="none" w:sz="0" w:space="0" w:color="auto"/>
      </w:divBdr>
    </w:div>
    <w:div w:id="1493915005">
      <w:bodyDiv w:val="1"/>
      <w:marLeft w:val="0"/>
      <w:marRight w:val="0"/>
      <w:marTop w:val="0"/>
      <w:marBottom w:val="0"/>
      <w:divBdr>
        <w:top w:val="none" w:sz="0" w:space="0" w:color="auto"/>
        <w:left w:val="none" w:sz="0" w:space="0" w:color="auto"/>
        <w:bottom w:val="none" w:sz="0" w:space="0" w:color="auto"/>
        <w:right w:val="none" w:sz="0" w:space="0" w:color="auto"/>
      </w:divBdr>
    </w:div>
    <w:div w:id="1496148469">
      <w:bodyDiv w:val="1"/>
      <w:marLeft w:val="0"/>
      <w:marRight w:val="0"/>
      <w:marTop w:val="0"/>
      <w:marBottom w:val="0"/>
      <w:divBdr>
        <w:top w:val="none" w:sz="0" w:space="0" w:color="auto"/>
        <w:left w:val="none" w:sz="0" w:space="0" w:color="auto"/>
        <w:bottom w:val="none" w:sz="0" w:space="0" w:color="auto"/>
        <w:right w:val="none" w:sz="0" w:space="0" w:color="auto"/>
      </w:divBdr>
    </w:div>
    <w:div w:id="1498618365">
      <w:bodyDiv w:val="1"/>
      <w:marLeft w:val="0"/>
      <w:marRight w:val="0"/>
      <w:marTop w:val="0"/>
      <w:marBottom w:val="0"/>
      <w:divBdr>
        <w:top w:val="none" w:sz="0" w:space="0" w:color="auto"/>
        <w:left w:val="none" w:sz="0" w:space="0" w:color="auto"/>
        <w:bottom w:val="none" w:sz="0" w:space="0" w:color="auto"/>
        <w:right w:val="none" w:sz="0" w:space="0" w:color="auto"/>
      </w:divBdr>
    </w:div>
    <w:div w:id="1500194237">
      <w:bodyDiv w:val="1"/>
      <w:marLeft w:val="0"/>
      <w:marRight w:val="0"/>
      <w:marTop w:val="0"/>
      <w:marBottom w:val="0"/>
      <w:divBdr>
        <w:top w:val="none" w:sz="0" w:space="0" w:color="auto"/>
        <w:left w:val="none" w:sz="0" w:space="0" w:color="auto"/>
        <w:bottom w:val="none" w:sz="0" w:space="0" w:color="auto"/>
        <w:right w:val="none" w:sz="0" w:space="0" w:color="auto"/>
      </w:divBdr>
    </w:div>
    <w:div w:id="1503204429">
      <w:bodyDiv w:val="1"/>
      <w:marLeft w:val="0"/>
      <w:marRight w:val="0"/>
      <w:marTop w:val="0"/>
      <w:marBottom w:val="0"/>
      <w:divBdr>
        <w:top w:val="none" w:sz="0" w:space="0" w:color="auto"/>
        <w:left w:val="none" w:sz="0" w:space="0" w:color="auto"/>
        <w:bottom w:val="none" w:sz="0" w:space="0" w:color="auto"/>
        <w:right w:val="none" w:sz="0" w:space="0" w:color="auto"/>
      </w:divBdr>
    </w:div>
    <w:div w:id="1503230958">
      <w:bodyDiv w:val="1"/>
      <w:marLeft w:val="0"/>
      <w:marRight w:val="0"/>
      <w:marTop w:val="0"/>
      <w:marBottom w:val="0"/>
      <w:divBdr>
        <w:top w:val="none" w:sz="0" w:space="0" w:color="auto"/>
        <w:left w:val="none" w:sz="0" w:space="0" w:color="auto"/>
        <w:bottom w:val="none" w:sz="0" w:space="0" w:color="auto"/>
        <w:right w:val="none" w:sz="0" w:space="0" w:color="auto"/>
      </w:divBdr>
    </w:div>
    <w:div w:id="1503664615">
      <w:bodyDiv w:val="1"/>
      <w:marLeft w:val="0"/>
      <w:marRight w:val="0"/>
      <w:marTop w:val="0"/>
      <w:marBottom w:val="0"/>
      <w:divBdr>
        <w:top w:val="none" w:sz="0" w:space="0" w:color="auto"/>
        <w:left w:val="none" w:sz="0" w:space="0" w:color="auto"/>
        <w:bottom w:val="none" w:sz="0" w:space="0" w:color="auto"/>
        <w:right w:val="none" w:sz="0" w:space="0" w:color="auto"/>
      </w:divBdr>
    </w:div>
    <w:div w:id="1507137042">
      <w:bodyDiv w:val="1"/>
      <w:marLeft w:val="0"/>
      <w:marRight w:val="0"/>
      <w:marTop w:val="0"/>
      <w:marBottom w:val="0"/>
      <w:divBdr>
        <w:top w:val="none" w:sz="0" w:space="0" w:color="auto"/>
        <w:left w:val="none" w:sz="0" w:space="0" w:color="auto"/>
        <w:bottom w:val="none" w:sz="0" w:space="0" w:color="auto"/>
        <w:right w:val="none" w:sz="0" w:space="0" w:color="auto"/>
      </w:divBdr>
    </w:div>
    <w:div w:id="1507355463">
      <w:bodyDiv w:val="1"/>
      <w:marLeft w:val="0"/>
      <w:marRight w:val="0"/>
      <w:marTop w:val="0"/>
      <w:marBottom w:val="0"/>
      <w:divBdr>
        <w:top w:val="none" w:sz="0" w:space="0" w:color="auto"/>
        <w:left w:val="none" w:sz="0" w:space="0" w:color="auto"/>
        <w:bottom w:val="none" w:sz="0" w:space="0" w:color="auto"/>
        <w:right w:val="none" w:sz="0" w:space="0" w:color="auto"/>
      </w:divBdr>
    </w:div>
    <w:div w:id="1508904520">
      <w:bodyDiv w:val="1"/>
      <w:marLeft w:val="0"/>
      <w:marRight w:val="0"/>
      <w:marTop w:val="0"/>
      <w:marBottom w:val="0"/>
      <w:divBdr>
        <w:top w:val="none" w:sz="0" w:space="0" w:color="auto"/>
        <w:left w:val="none" w:sz="0" w:space="0" w:color="auto"/>
        <w:bottom w:val="none" w:sz="0" w:space="0" w:color="auto"/>
        <w:right w:val="none" w:sz="0" w:space="0" w:color="auto"/>
      </w:divBdr>
    </w:div>
    <w:div w:id="1509446267">
      <w:bodyDiv w:val="1"/>
      <w:marLeft w:val="0"/>
      <w:marRight w:val="0"/>
      <w:marTop w:val="0"/>
      <w:marBottom w:val="0"/>
      <w:divBdr>
        <w:top w:val="none" w:sz="0" w:space="0" w:color="auto"/>
        <w:left w:val="none" w:sz="0" w:space="0" w:color="auto"/>
        <w:bottom w:val="none" w:sz="0" w:space="0" w:color="auto"/>
        <w:right w:val="none" w:sz="0" w:space="0" w:color="auto"/>
      </w:divBdr>
    </w:div>
    <w:div w:id="1509558997">
      <w:bodyDiv w:val="1"/>
      <w:marLeft w:val="0"/>
      <w:marRight w:val="0"/>
      <w:marTop w:val="0"/>
      <w:marBottom w:val="0"/>
      <w:divBdr>
        <w:top w:val="none" w:sz="0" w:space="0" w:color="auto"/>
        <w:left w:val="none" w:sz="0" w:space="0" w:color="auto"/>
        <w:bottom w:val="none" w:sz="0" w:space="0" w:color="auto"/>
        <w:right w:val="none" w:sz="0" w:space="0" w:color="auto"/>
      </w:divBdr>
    </w:div>
    <w:div w:id="1510217613">
      <w:bodyDiv w:val="1"/>
      <w:marLeft w:val="0"/>
      <w:marRight w:val="0"/>
      <w:marTop w:val="0"/>
      <w:marBottom w:val="0"/>
      <w:divBdr>
        <w:top w:val="none" w:sz="0" w:space="0" w:color="auto"/>
        <w:left w:val="none" w:sz="0" w:space="0" w:color="auto"/>
        <w:bottom w:val="none" w:sz="0" w:space="0" w:color="auto"/>
        <w:right w:val="none" w:sz="0" w:space="0" w:color="auto"/>
      </w:divBdr>
    </w:div>
    <w:div w:id="1511674103">
      <w:bodyDiv w:val="1"/>
      <w:marLeft w:val="0"/>
      <w:marRight w:val="0"/>
      <w:marTop w:val="0"/>
      <w:marBottom w:val="0"/>
      <w:divBdr>
        <w:top w:val="none" w:sz="0" w:space="0" w:color="auto"/>
        <w:left w:val="none" w:sz="0" w:space="0" w:color="auto"/>
        <w:bottom w:val="none" w:sz="0" w:space="0" w:color="auto"/>
        <w:right w:val="none" w:sz="0" w:space="0" w:color="auto"/>
      </w:divBdr>
    </w:div>
    <w:div w:id="1511994282">
      <w:bodyDiv w:val="1"/>
      <w:marLeft w:val="0"/>
      <w:marRight w:val="0"/>
      <w:marTop w:val="0"/>
      <w:marBottom w:val="0"/>
      <w:divBdr>
        <w:top w:val="none" w:sz="0" w:space="0" w:color="auto"/>
        <w:left w:val="none" w:sz="0" w:space="0" w:color="auto"/>
        <w:bottom w:val="none" w:sz="0" w:space="0" w:color="auto"/>
        <w:right w:val="none" w:sz="0" w:space="0" w:color="auto"/>
      </w:divBdr>
    </w:div>
    <w:div w:id="1512376090">
      <w:bodyDiv w:val="1"/>
      <w:marLeft w:val="0"/>
      <w:marRight w:val="0"/>
      <w:marTop w:val="0"/>
      <w:marBottom w:val="0"/>
      <w:divBdr>
        <w:top w:val="none" w:sz="0" w:space="0" w:color="auto"/>
        <w:left w:val="none" w:sz="0" w:space="0" w:color="auto"/>
        <w:bottom w:val="none" w:sz="0" w:space="0" w:color="auto"/>
        <w:right w:val="none" w:sz="0" w:space="0" w:color="auto"/>
      </w:divBdr>
    </w:div>
    <w:div w:id="1512525271">
      <w:bodyDiv w:val="1"/>
      <w:marLeft w:val="0"/>
      <w:marRight w:val="0"/>
      <w:marTop w:val="0"/>
      <w:marBottom w:val="0"/>
      <w:divBdr>
        <w:top w:val="none" w:sz="0" w:space="0" w:color="auto"/>
        <w:left w:val="none" w:sz="0" w:space="0" w:color="auto"/>
        <w:bottom w:val="none" w:sz="0" w:space="0" w:color="auto"/>
        <w:right w:val="none" w:sz="0" w:space="0" w:color="auto"/>
      </w:divBdr>
    </w:div>
    <w:div w:id="1514101545">
      <w:bodyDiv w:val="1"/>
      <w:marLeft w:val="0"/>
      <w:marRight w:val="0"/>
      <w:marTop w:val="0"/>
      <w:marBottom w:val="0"/>
      <w:divBdr>
        <w:top w:val="none" w:sz="0" w:space="0" w:color="auto"/>
        <w:left w:val="none" w:sz="0" w:space="0" w:color="auto"/>
        <w:bottom w:val="none" w:sz="0" w:space="0" w:color="auto"/>
        <w:right w:val="none" w:sz="0" w:space="0" w:color="auto"/>
      </w:divBdr>
    </w:div>
    <w:div w:id="1515267107">
      <w:bodyDiv w:val="1"/>
      <w:marLeft w:val="0"/>
      <w:marRight w:val="0"/>
      <w:marTop w:val="0"/>
      <w:marBottom w:val="0"/>
      <w:divBdr>
        <w:top w:val="none" w:sz="0" w:space="0" w:color="auto"/>
        <w:left w:val="none" w:sz="0" w:space="0" w:color="auto"/>
        <w:bottom w:val="none" w:sz="0" w:space="0" w:color="auto"/>
        <w:right w:val="none" w:sz="0" w:space="0" w:color="auto"/>
      </w:divBdr>
    </w:div>
    <w:div w:id="1515613788">
      <w:bodyDiv w:val="1"/>
      <w:marLeft w:val="0"/>
      <w:marRight w:val="0"/>
      <w:marTop w:val="0"/>
      <w:marBottom w:val="0"/>
      <w:divBdr>
        <w:top w:val="none" w:sz="0" w:space="0" w:color="auto"/>
        <w:left w:val="none" w:sz="0" w:space="0" w:color="auto"/>
        <w:bottom w:val="none" w:sz="0" w:space="0" w:color="auto"/>
        <w:right w:val="none" w:sz="0" w:space="0" w:color="auto"/>
      </w:divBdr>
    </w:div>
    <w:div w:id="1515730868">
      <w:bodyDiv w:val="1"/>
      <w:marLeft w:val="0"/>
      <w:marRight w:val="0"/>
      <w:marTop w:val="0"/>
      <w:marBottom w:val="0"/>
      <w:divBdr>
        <w:top w:val="none" w:sz="0" w:space="0" w:color="auto"/>
        <w:left w:val="none" w:sz="0" w:space="0" w:color="auto"/>
        <w:bottom w:val="none" w:sz="0" w:space="0" w:color="auto"/>
        <w:right w:val="none" w:sz="0" w:space="0" w:color="auto"/>
      </w:divBdr>
    </w:div>
    <w:div w:id="1516847829">
      <w:bodyDiv w:val="1"/>
      <w:marLeft w:val="0"/>
      <w:marRight w:val="0"/>
      <w:marTop w:val="0"/>
      <w:marBottom w:val="0"/>
      <w:divBdr>
        <w:top w:val="none" w:sz="0" w:space="0" w:color="auto"/>
        <w:left w:val="none" w:sz="0" w:space="0" w:color="auto"/>
        <w:bottom w:val="none" w:sz="0" w:space="0" w:color="auto"/>
        <w:right w:val="none" w:sz="0" w:space="0" w:color="auto"/>
      </w:divBdr>
    </w:div>
    <w:div w:id="1517694914">
      <w:bodyDiv w:val="1"/>
      <w:marLeft w:val="0"/>
      <w:marRight w:val="0"/>
      <w:marTop w:val="0"/>
      <w:marBottom w:val="0"/>
      <w:divBdr>
        <w:top w:val="none" w:sz="0" w:space="0" w:color="auto"/>
        <w:left w:val="none" w:sz="0" w:space="0" w:color="auto"/>
        <w:bottom w:val="none" w:sz="0" w:space="0" w:color="auto"/>
        <w:right w:val="none" w:sz="0" w:space="0" w:color="auto"/>
      </w:divBdr>
    </w:div>
    <w:div w:id="1520241653">
      <w:bodyDiv w:val="1"/>
      <w:marLeft w:val="0"/>
      <w:marRight w:val="0"/>
      <w:marTop w:val="0"/>
      <w:marBottom w:val="0"/>
      <w:divBdr>
        <w:top w:val="none" w:sz="0" w:space="0" w:color="auto"/>
        <w:left w:val="none" w:sz="0" w:space="0" w:color="auto"/>
        <w:bottom w:val="none" w:sz="0" w:space="0" w:color="auto"/>
        <w:right w:val="none" w:sz="0" w:space="0" w:color="auto"/>
      </w:divBdr>
    </w:div>
    <w:div w:id="1520660158">
      <w:bodyDiv w:val="1"/>
      <w:marLeft w:val="0"/>
      <w:marRight w:val="0"/>
      <w:marTop w:val="0"/>
      <w:marBottom w:val="0"/>
      <w:divBdr>
        <w:top w:val="none" w:sz="0" w:space="0" w:color="auto"/>
        <w:left w:val="none" w:sz="0" w:space="0" w:color="auto"/>
        <w:bottom w:val="none" w:sz="0" w:space="0" w:color="auto"/>
        <w:right w:val="none" w:sz="0" w:space="0" w:color="auto"/>
      </w:divBdr>
    </w:div>
    <w:div w:id="1521049907">
      <w:bodyDiv w:val="1"/>
      <w:marLeft w:val="0"/>
      <w:marRight w:val="0"/>
      <w:marTop w:val="0"/>
      <w:marBottom w:val="0"/>
      <w:divBdr>
        <w:top w:val="none" w:sz="0" w:space="0" w:color="auto"/>
        <w:left w:val="none" w:sz="0" w:space="0" w:color="auto"/>
        <w:bottom w:val="none" w:sz="0" w:space="0" w:color="auto"/>
        <w:right w:val="none" w:sz="0" w:space="0" w:color="auto"/>
      </w:divBdr>
    </w:div>
    <w:div w:id="1522358354">
      <w:bodyDiv w:val="1"/>
      <w:marLeft w:val="0"/>
      <w:marRight w:val="0"/>
      <w:marTop w:val="0"/>
      <w:marBottom w:val="0"/>
      <w:divBdr>
        <w:top w:val="none" w:sz="0" w:space="0" w:color="auto"/>
        <w:left w:val="none" w:sz="0" w:space="0" w:color="auto"/>
        <w:bottom w:val="none" w:sz="0" w:space="0" w:color="auto"/>
        <w:right w:val="none" w:sz="0" w:space="0" w:color="auto"/>
      </w:divBdr>
    </w:div>
    <w:div w:id="1522746349">
      <w:bodyDiv w:val="1"/>
      <w:marLeft w:val="0"/>
      <w:marRight w:val="0"/>
      <w:marTop w:val="0"/>
      <w:marBottom w:val="0"/>
      <w:divBdr>
        <w:top w:val="none" w:sz="0" w:space="0" w:color="auto"/>
        <w:left w:val="none" w:sz="0" w:space="0" w:color="auto"/>
        <w:bottom w:val="none" w:sz="0" w:space="0" w:color="auto"/>
        <w:right w:val="none" w:sz="0" w:space="0" w:color="auto"/>
      </w:divBdr>
    </w:div>
    <w:div w:id="1524050795">
      <w:bodyDiv w:val="1"/>
      <w:marLeft w:val="0"/>
      <w:marRight w:val="0"/>
      <w:marTop w:val="0"/>
      <w:marBottom w:val="0"/>
      <w:divBdr>
        <w:top w:val="none" w:sz="0" w:space="0" w:color="auto"/>
        <w:left w:val="none" w:sz="0" w:space="0" w:color="auto"/>
        <w:bottom w:val="none" w:sz="0" w:space="0" w:color="auto"/>
        <w:right w:val="none" w:sz="0" w:space="0" w:color="auto"/>
      </w:divBdr>
    </w:div>
    <w:div w:id="1524518016">
      <w:bodyDiv w:val="1"/>
      <w:marLeft w:val="0"/>
      <w:marRight w:val="0"/>
      <w:marTop w:val="0"/>
      <w:marBottom w:val="0"/>
      <w:divBdr>
        <w:top w:val="none" w:sz="0" w:space="0" w:color="auto"/>
        <w:left w:val="none" w:sz="0" w:space="0" w:color="auto"/>
        <w:bottom w:val="none" w:sz="0" w:space="0" w:color="auto"/>
        <w:right w:val="none" w:sz="0" w:space="0" w:color="auto"/>
      </w:divBdr>
    </w:div>
    <w:div w:id="1526091135">
      <w:bodyDiv w:val="1"/>
      <w:marLeft w:val="0"/>
      <w:marRight w:val="0"/>
      <w:marTop w:val="0"/>
      <w:marBottom w:val="0"/>
      <w:divBdr>
        <w:top w:val="none" w:sz="0" w:space="0" w:color="auto"/>
        <w:left w:val="none" w:sz="0" w:space="0" w:color="auto"/>
        <w:bottom w:val="none" w:sz="0" w:space="0" w:color="auto"/>
        <w:right w:val="none" w:sz="0" w:space="0" w:color="auto"/>
      </w:divBdr>
    </w:div>
    <w:div w:id="1526939403">
      <w:bodyDiv w:val="1"/>
      <w:marLeft w:val="0"/>
      <w:marRight w:val="0"/>
      <w:marTop w:val="0"/>
      <w:marBottom w:val="0"/>
      <w:divBdr>
        <w:top w:val="none" w:sz="0" w:space="0" w:color="auto"/>
        <w:left w:val="none" w:sz="0" w:space="0" w:color="auto"/>
        <w:bottom w:val="none" w:sz="0" w:space="0" w:color="auto"/>
        <w:right w:val="none" w:sz="0" w:space="0" w:color="auto"/>
      </w:divBdr>
    </w:div>
    <w:div w:id="1527329426">
      <w:bodyDiv w:val="1"/>
      <w:marLeft w:val="0"/>
      <w:marRight w:val="0"/>
      <w:marTop w:val="0"/>
      <w:marBottom w:val="0"/>
      <w:divBdr>
        <w:top w:val="none" w:sz="0" w:space="0" w:color="auto"/>
        <w:left w:val="none" w:sz="0" w:space="0" w:color="auto"/>
        <w:bottom w:val="none" w:sz="0" w:space="0" w:color="auto"/>
        <w:right w:val="none" w:sz="0" w:space="0" w:color="auto"/>
      </w:divBdr>
    </w:div>
    <w:div w:id="1528981235">
      <w:bodyDiv w:val="1"/>
      <w:marLeft w:val="0"/>
      <w:marRight w:val="0"/>
      <w:marTop w:val="0"/>
      <w:marBottom w:val="0"/>
      <w:divBdr>
        <w:top w:val="none" w:sz="0" w:space="0" w:color="auto"/>
        <w:left w:val="none" w:sz="0" w:space="0" w:color="auto"/>
        <w:bottom w:val="none" w:sz="0" w:space="0" w:color="auto"/>
        <w:right w:val="none" w:sz="0" w:space="0" w:color="auto"/>
      </w:divBdr>
    </w:div>
    <w:div w:id="1532448915">
      <w:bodyDiv w:val="1"/>
      <w:marLeft w:val="0"/>
      <w:marRight w:val="0"/>
      <w:marTop w:val="0"/>
      <w:marBottom w:val="0"/>
      <w:divBdr>
        <w:top w:val="none" w:sz="0" w:space="0" w:color="auto"/>
        <w:left w:val="none" w:sz="0" w:space="0" w:color="auto"/>
        <w:bottom w:val="none" w:sz="0" w:space="0" w:color="auto"/>
        <w:right w:val="none" w:sz="0" w:space="0" w:color="auto"/>
      </w:divBdr>
    </w:div>
    <w:div w:id="1533224570">
      <w:bodyDiv w:val="1"/>
      <w:marLeft w:val="0"/>
      <w:marRight w:val="0"/>
      <w:marTop w:val="0"/>
      <w:marBottom w:val="0"/>
      <w:divBdr>
        <w:top w:val="none" w:sz="0" w:space="0" w:color="auto"/>
        <w:left w:val="none" w:sz="0" w:space="0" w:color="auto"/>
        <w:bottom w:val="none" w:sz="0" w:space="0" w:color="auto"/>
        <w:right w:val="none" w:sz="0" w:space="0" w:color="auto"/>
      </w:divBdr>
    </w:div>
    <w:div w:id="1533878788">
      <w:bodyDiv w:val="1"/>
      <w:marLeft w:val="0"/>
      <w:marRight w:val="0"/>
      <w:marTop w:val="0"/>
      <w:marBottom w:val="0"/>
      <w:divBdr>
        <w:top w:val="none" w:sz="0" w:space="0" w:color="auto"/>
        <w:left w:val="none" w:sz="0" w:space="0" w:color="auto"/>
        <w:bottom w:val="none" w:sz="0" w:space="0" w:color="auto"/>
        <w:right w:val="none" w:sz="0" w:space="0" w:color="auto"/>
      </w:divBdr>
    </w:div>
    <w:div w:id="1535654733">
      <w:bodyDiv w:val="1"/>
      <w:marLeft w:val="0"/>
      <w:marRight w:val="0"/>
      <w:marTop w:val="0"/>
      <w:marBottom w:val="0"/>
      <w:divBdr>
        <w:top w:val="none" w:sz="0" w:space="0" w:color="auto"/>
        <w:left w:val="none" w:sz="0" w:space="0" w:color="auto"/>
        <w:bottom w:val="none" w:sz="0" w:space="0" w:color="auto"/>
        <w:right w:val="none" w:sz="0" w:space="0" w:color="auto"/>
      </w:divBdr>
    </w:div>
    <w:div w:id="1536040562">
      <w:bodyDiv w:val="1"/>
      <w:marLeft w:val="0"/>
      <w:marRight w:val="0"/>
      <w:marTop w:val="0"/>
      <w:marBottom w:val="0"/>
      <w:divBdr>
        <w:top w:val="none" w:sz="0" w:space="0" w:color="auto"/>
        <w:left w:val="none" w:sz="0" w:space="0" w:color="auto"/>
        <w:bottom w:val="none" w:sz="0" w:space="0" w:color="auto"/>
        <w:right w:val="none" w:sz="0" w:space="0" w:color="auto"/>
      </w:divBdr>
    </w:div>
    <w:div w:id="1536886364">
      <w:bodyDiv w:val="1"/>
      <w:marLeft w:val="0"/>
      <w:marRight w:val="0"/>
      <w:marTop w:val="0"/>
      <w:marBottom w:val="0"/>
      <w:divBdr>
        <w:top w:val="none" w:sz="0" w:space="0" w:color="auto"/>
        <w:left w:val="none" w:sz="0" w:space="0" w:color="auto"/>
        <w:bottom w:val="none" w:sz="0" w:space="0" w:color="auto"/>
        <w:right w:val="none" w:sz="0" w:space="0" w:color="auto"/>
      </w:divBdr>
    </w:div>
    <w:div w:id="1536892388">
      <w:bodyDiv w:val="1"/>
      <w:marLeft w:val="0"/>
      <w:marRight w:val="0"/>
      <w:marTop w:val="0"/>
      <w:marBottom w:val="0"/>
      <w:divBdr>
        <w:top w:val="none" w:sz="0" w:space="0" w:color="auto"/>
        <w:left w:val="none" w:sz="0" w:space="0" w:color="auto"/>
        <w:bottom w:val="none" w:sz="0" w:space="0" w:color="auto"/>
        <w:right w:val="none" w:sz="0" w:space="0" w:color="auto"/>
      </w:divBdr>
    </w:div>
    <w:div w:id="1538394717">
      <w:bodyDiv w:val="1"/>
      <w:marLeft w:val="0"/>
      <w:marRight w:val="0"/>
      <w:marTop w:val="0"/>
      <w:marBottom w:val="0"/>
      <w:divBdr>
        <w:top w:val="none" w:sz="0" w:space="0" w:color="auto"/>
        <w:left w:val="none" w:sz="0" w:space="0" w:color="auto"/>
        <w:bottom w:val="none" w:sz="0" w:space="0" w:color="auto"/>
        <w:right w:val="none" w:sz="0" w:space="0" w:color="auto"/>
      </w:divBdr>
    </w:div>
    <w:div w:id="1540388053">
      <w:bodyDiv w:val="1"/>
      <w:marLeft w:val="0"/>
      <w:marRight w:val="0"/>
      <w:marTop w:val="0"/>
      <w:marBottom w:val="0"/>
      <w:divBdr>
        <w:top w:val="none" w:sz="0" w:space="0" w:color="auto"/>
        <w:left w:val="none" w:sz="0" w:space="0" w:color="auto"/>
        <w:bottom w:val="none" w:sz="0" w:space="0" w:color="auto"/>
        <w:right w:val="none" w:sz="0" w:space="0" w:color="auto"/>
      </w:divBdr>
    </w:div>
    <w:div w:id="1541891283">
      <w:bodyDiv w:val="1"/>
      <w:marLeft w:val="0"/>
      <w:marRight w:val="0"/>
      <w:marTop w:val="0"/>
      <w:marBottom w:val="0"/>
      <w:divBdr>
        <w:top w:val="none" w:sz="0" w:space="0" w:color="auto"/>
        <w:left w:val="none" w:sz="0" w:space="0" w:color="auto"/>
        <w:bottom w:val="none" w:sz="0" w:space="0" w:color="auto"/>
        <w:right w:val="none" w:sz="0" w:space="0" w:color="auto"/>
      </w:divBdr>
    </w:div>
    <w:div w:id="1542942309">
      <w:bodyDiv w:val="1"/>
      <w:marLeft w:val="0"/>
      <w:marRight w:val="0"/>
      <w:marTop w:val="0"/>
      <w:marBottom w:val="0"/>
      <w:divBdr>
        <w:top w:val="none" w:sz="0" w:space="0" w:color="auto"/>
        <w:left w:val="none" w:sz="0" w:space="0" w:color="auto"/>
        <w:bottom w:val="none" w:sz="0" w:space="0" w:color="auto"/>
        <w:right w:val="none" w:sz="0" w:space="0" w:color="auto"/>
      </w:divBdr>
    </w:div>
    <w:div w:id="1543403483">
      <w:bodyDiv w:val="1"/>
      <w:marLeft w:val="0"/>
      <w:marRight w:val="0"/>
      <w:marTop w:val="0"/>
      <w:marBottom w:val="0"/>
      <w:divBdr>
        <w:top w:val="none" w:sz="0" w:space="0" w:color="auto"/>
        <w:left w:val="none" w:sz="0" w:space="0" w:color="auto"/>
        <w:bottom w:val="none" w:sz="0" w:space="0" w:color="auto"/>
        <w:right w:val="none" w:sz="0" w:space="0" w:color="auto"/>
      </w:divBdr>
    </w:div>
    <w:div w:id="1545365342">
      <w:bodyDiv w:val="1"/>
      <w:marLeft w:val="0"/>
      <w:marRight w:val="0"/>
      <w:marTop w:val="0"/>
      <w:marBottom w:val="0"/>
      <w:divBdr>
        <w:top w:val="none" w:sz="0" w:space="0" w:color="auto"/>
        <w:left w:val="none" w:sz="0" w:space="0" w:color="auto"/>
        <w:bottom w:val="none" w:sz="0" w:space="0" w:color="auto"/>
        <w:right w:val="none" w:sz="0" w:space="0" w:color="auto"/>
      </w:divBdr>
    </w:div>
    <w:div w:id="1546717523">
      <w:bodyDiv w:val="1"/>
      <w:marLeft w:val="0"/>
      <w:marRight w:val="0"/>
      <w:marTop w:val="0"/>
      <w:marBottom w:val="0"/>
      <w:divBdr>
        <w:top w:val="none" w:sz="0" w:space="0" w:color="auto"/>
        <w:left w:val="none" w:sz="0" w:space="0" w:color="auto"/>
        <w:bottom w:val="none" w:sz="0" w:space="0" w:color="auto"/>
        <w:right w:val="none" w:sz="0" w:space="0" w:color="auto"/>
      </w:divBdr>
    </w:div>
    <w:div w:id="1547330382">
      <w:bodyDiv w:val="1"/>
      <w:marLeft w:val="0"/>
      <w:marRight w:val="0"/>
      <w:marTop w:val="0"/>
      <w:marBottom w:val="0"/>
      <w:divBdr>
        <w:top w:val="none" w:sz="0" w:space="0" w:color="auto"/>
        <w:left w:val="none" w:sz="0" w:space="0" w:color="auto"/>
        <w:bottom w:val="none" w:sz="0" w:space="0" w:color="auto"/>
        <w:right w:val="none" w:sz="0" w:space="0" w:color="auto"/>
      </w:divBdr>
    </w:div>
    <w:div w:id="1547833844">
      <w:bodyDiv w:val="1"/>
      <w:marLeft w:val="0"/>
      <w:marRight w:val="0"/>
      <w:marTop w:val="0"/>
      <w:marBottom w:val="0"/>
      <w:divBdr>
        <w:top w:val="none" w:sz="0" w:space="0" w:color="auto"/>
        <w:left w:val="none" w:sz="0" w:space="0" w:color="auto"/>
        <w:bottom w:val="none" w:sz="0" w:space="0" w:color="auto"/>
        <w:right w:val="none" w:sz="0" w:space="0" w:color="auto"/>
      </w:divBdr>
    </w:div>
    <w:div w:id="1548570275">
      <w:bodyDiv w:val="1"/>
      <w:marLeft w:val="0"/>
      <w:marRight w:val="0"/>
      <w:marTop w:val="0"/>
      <w:marBottom w:val="0"/>
      <w:divBdr>
        <w:top w:val="none" w:sz="0" w:space="0" w:color="auto"/>
        <w:left w:val="none" w:sz="0" w:space="0" w:color="auto"/>
        <w:bottom w:val="none" w:sz="0" w:space="0" w:color="auto"/>
        <w:right w:val="none" w:sz="0" w:space="0" w:color="auto"/>
      </w:divBdr>
    </w:div>
    <w:div w:id="1549564264">
      <w:bodyDiv w:val="1"/>
      <w:marLeft w:val="0"/>
      <w:marRight w:val="0"/>
      <w:marTop w:val="0"/>
      <w:marBottom w:val="0"/>
      <w:divBdr>
        <w:top w:val="none" w:sz="0" w:space="0" w:color="auto"/>
        <w:left w:val="none" w:sz="0" w:space="0" w:color="auto"/>
        <w:bottom w:val="none" w:sz="0" w:space="0" w:color="auto"/>
        <w:right w:val="none" w:sz="0" w:space="0" w:color="auto"/>
      </w:divBdr>
    </w:div>
    <w:div w:id="1550800930">
      <w:bodyDiv w:val="1"/>
      <w:marLeft w:val="0"/>
      <w:marRight w:val="0"/>
      <w:marTop w:val="0"/>
      <w:marBottom w:val="0"/>
      <w:divBdr>
        <w:top w:val="none" w:sz="0" w:space="0" w:color="auto"/>
        <w:left w:val="none" w:sz="0" w:space="0" w:color="auto"/>
        <w:bottom w:val="none" w:sz="0" w:space="0" w:color="auto"/>
        <w:right w:val="none" w:sz="0" w:space="0" w:color="auto"/>
      </w:divBdr>
    </w:div>
    <w:div w:id="1552232804">
      <w:bodyDiv w:val="1"/>
      <w:marLeft w:val="0"/>
      <w:marRight w:val="0"/>
      <w:marTop w:val="0"/>
      <w:marBottom w:val="0"/>
      <w:divBdr>
        <w:top w:val="none" w:sz="0" w:space="0" w:color="auto"/>
        <w:left w:val="none" w:sz="0" w:space="0" w:color="auto"/>
        <w:bottom w:val="none" w:sz="0" w:space="0" w:color="auto"/>
        <w:right w:val="none" w:sz="0" w:space="0" w:color="auto"/>
      </w:divBdr>
    </w:div>
    <w:div w:id="1554972773">
      <w:bodyDiv w:val="1"/>
      <w:marLeft w:val="0"/>
      <w:marRight w:val="0"/>
      <w:marTop w:val="0"/>
      <w:marBottom w:val="0"/>
      <w:divBdr>
        <w:top w:val="none" w:sz="0" w:space="0" w:color="auto"/>
        <w:left w:val="none" w:sz="0" w:space="0" w:color="auto"/>
        <w:bottom w:val="none" w:sz="0" w:space="0" w:color="auto"/>
        <w:right w:val="none" w:sz="0" w:space="0" w:color="auto"/>
      </w:divBdr>
    </w:div>
    <w:div w:id="1556234180">
      <w:bodyDiv w:val="1"/>
      <w:marLeft w:val="0"/>
      <w:marRight w:val="0"/>
      <w:marTop w:val="0"/>
      <w:marBottom w:val="0"/>
      <w:divBdr>
        <w:top w:val="none" w:sz="0" w:space="0" w:color="auto"/>
        <w:left w:val="none" w:sz="0" w:space="0" w:color="auto"/>
        <w:bottom w:val="none" w:sz="0" w:space="0" w:color="auto"/>
        <w:right w:val="none" w:sz="0" w:space="0" w:color="auto"/>
      </w:divBdr>
    </w:div>
    <w:div w:id="1556620137">
      <w:bodyDiv w:val="1"/>
      <w:marLeft w:val="0"/>
      <w:marRight w:val="0"/>
      <w:marTop w:val="0"/>
      <w:marBottom w:val="0"/>
      <w:divBdr>
        <w:top w:val="none" w:sz="0" w:space="0" w:color="auto"/>
        <w:left w:val="none" w:sz="0" w:space="0" w:color="auto"/>
        <w:bottom w:val="none" w:sz="0" w:space="0" w:color="auto"/>
        <w:right w:val="none" w:sz="0" w:space="0" w:color="auto"/>
      </w:divBdr>
    </w:div>
    <w:div w:id="1556812280">
      <w:bodyDiv w:val="1"/>
      <w:marLeft w:val="0"/>
      <w:marRight w:val="0"/>
      <w:marTop w:val="0"/>
      <w:marBottom w:val="0"/>
      <w:divBdr>
        <w:top w:val="none" w:sz="0" w:space="0" w:color="auto"/>
        <w:left w:val="none" w:sz="0" w:space="0" w:color="auto"/>
        <w:bottom w:val="none" w:sz="0" w:space="0" w:color="auto"/>
        <w:right w:val="none" w:sz="0" w:space="0" w:color="auto"/>
      </w:divBdr>
    </w:div>
    <w:div w:id="1557205811">
      <w:bodyDiv w:val="1"/>
      <w:marLeft w:val="0"/>
      <w:marRight w:val="0"/>
      <w:marTop w:val="0"/>
      <w:marBottom w:val="0"/>
      <w:divBdr>
        <w:top w:val="none" w:sz="0" w:space="0" w:color="auto"/>
        <w:left w:val="none" w:sz="0" w:space="0" w:color="auto"/>
        <w:bottom w:val="none" w:sz="0" w:space="0" w:color="auto"/>
        <w:right w:val="none" w:sz="0" w:space="0" w:color="auto"/>
      </w:divBdr>
    </w:div>
    <w:div w:id="1557737241">
      <w:bodyDiv w:val="1"/>
      <w:marLeft w:val="0"/>
      <w:marRight w:val="0"/>
      <w:marTop w:val="0"/>
      <w:marBottom w:val="0"/>
      <w:divBdr>
        <w:top w:val="none" w:sz="0" w:space="0" w:color="auto"/>
        <w:left w:val="none" w:sz="0" w:space="0" w:color="auto"/>
        <w:bottom w:val="none" w:sz="0" w:space="0" w:color="auto"/>
        <w:right w:val="none" w:sz="0" w:space="0" w:color="auto"/>
      </w:divBdr>
    </w:div>
    <w:div w:id="1558083581">
      <w:bodyDiv w:val="1"/>
      <w:marLeft w:val="0"/>
      <w:marRight w:val="0"/>
      <w:marTop w:val="0"/>
      <w:marBottom w:val="0"/>
      <w:divBdr>
        <w:top w:val="none" w:sz="0" w:space="0" w:color="auto"/>
        <w:left w:val="none" w:sz="0" w:space="0" w:color="auto"/>
        <w:bottom w:val="none" w:sz="0" w:space="0" w:color="auto"/>
        <w:right w:val="none" w:sz="0" w:space="0" w:color="auto"/>
      </w:divBdr>
    </w:div>
    <w:div w:id="1558475178">
      <w:bodyDiv w:val="1"/>
      <w:marLeft w:val="0"/>
      <w:marRight w:val="0"/>
      <w:marTop w:val="0"/>
      <w:marBottom w:val="0"/>
      <w:divBdr>
        <w:top w:val="none" w:sz="0" w:space="0" w:color="auto"/>
        <w:left w:val="none" w:sz="0" w:space="0" w:color="auto"/>
        <w:bottom w:val="none" w:sz="0" w:space="0" w:color="auto"/>
        <w:right w:val="none" w:sz="0" w:space="0" w:color="auto"/>
      </w:divBdr>
    </w:div>
    <w:div w:id="1559121705">
      <w:bodyDiv w:val="1"/>
      <w:marLeft w:val="0"/>
      <w:marRight w:val="0"/>
      <w:marTop w:val="0"/>
      <w:marBottom w:val="0"/>
      <w:divBdr>
        <w:top w:val="none" w:sz="0" w:space="0" w:color="auto"/>
        <w:left w:val="none" w:sz="0" w:space="0" w:color="auto"/>
        <w:bottom w:val="none" w:sz="0" w:space="0" w:color="auto"/>
        <w:right w:val="none" w:sz="0" w:space="0" w:color="auto"/>
      </w:divBdr>
    </w:div>
    <w:div w:id="1562129952">
      <w:bodyDiv w:val="1"/>
      <w:marLeft w:val="0"/>
      <w:marRight w:val="0"/>
      <w:marTop w:val="0"/>
      <w:marBottom w:val="0"/>
      <w:divBdr>
        <w:top w:val="none" w:sz="0" w:space="0" w:color="auto"/>
        <w:left w:val="none" w:sz="0" w:space="0" w:color="auto"/>
        <w:bottom w:val="none" w:sz="0" w:space="0" w:color="auto"/>
        <w:right w:val="none" w:sz="0" w:space="0" w:color="auto"/>
      </w:divBdr>
    </w:div>
    <w:div w:id="1563910162">
      <w:bodyDiv w:val="1"/>
      <w:marLeft w:val="0"/>
      <w:marRight w:val="0"/>
      <w:marTop w:val="0"/>
      <w:marBottom w:val="0"/>
      <w:divBdr>
        <w:top w:val="none" w:sz="0" w:space="0" w:color="auto"/>
        <w:left w:val="none" w:sz="0" w:space="0" w:color="auto"/>
        <w:bottom w:val="none" w:sz="0" w:space="0" w:color="auto"/>
        <w:right w:val="none" w:sz="0" w:space="0" w:color="auto"/>
      </w:divBdr>
    </w:div>
    <w:div w:id="1569028834">
      <w:bodyDiv w:val="1"/>
      <w:marLeft w:val="0"/>
      <w:marRight w:val="0"/>
      <w:marTop w:val="0"/>
      <w:marBottom w:val="0"/>
      <w:divBdr>
        <w:top w:val="none" w:sz="0" w:space="0" w:color="auto"/>
        <w:left w:val="none" w:sz="0" w:space="0" w:color="auto"/>
        <w:bottom w:val="none" w:sz="0" w:space="0" w:color="auto"/>
        <w:right w:val="none" w:sz="0" w:space="0" w:color="auto"/>
      </w:divBdr>
    </w:div>
    <w:div w:id="1571109827">
      <w:bodyDiv w:val="1"/>
      <w:marLeft w:val="0"/>
      <w:marRight w:val="0"/>
      <w:marTop w:val="0"/>
      <w:marBottom w:val="0"/>
      <w:divBdr>
        <w:top w:val="none" w:sz="0" w:space="0" w:color="auto"/>
        <w:left w:val="none" w:sz="0" w:space="0" w:color="auto"/>
        <w:bottom w:val="none" w:sz="0" w:space="0" w:color="auto"/>
        <w:right w:val="none" w:sz="0" w:space="0" w:color="auto"/>
      </w:divBdr>
    </w:div>
    <w:div w:id="1572040727">
      <w:bodyDiv w:val="1"/>
      <w:marLeft w:val="0"/>
      <w:marRight w:val="0"/>
      <w:marTop w:val="0"/>
      <w:marBottom w:val="0"/>
      <w:divBdr>
        <w:top w:val="none" w:sz="0" w:space="0" w:color="auto"/>
        <w:left w:val="none" w:sz="0" w:space="0" w:color="auto"/>
        <w:bottom w:val="none" w:sz="0" w:space="0" w:color="auto"/>
        <w:right w:val="none" w:sz="0" w:space="0" w:color="auto"/>
      </w:divBdr>
    </w:div>
    <w:div w:id="1578200831">
      <w:bodyDiv w:val="1"/>
      <w:marLeft w:val="0"/>
      <w:marRight w:val="0"/>
      <w:marTop w:val="0"/>
      <w:marBottom w:val="0"/>
      <w:divBdr>
        <w:top w:val="none" w:sz="0" w:space="0" w:color="auto"/>
        <w:left w:val="none" w:sz="0" w:space="0" w:color="auto"/>
        <w:bottom w:val="none" w:sz="0" w:space="0" w:color="auto"/>
        <w:right w:val="none" w:sz="0" w:space="0" w:color="auto"/>
      </w:divBdr>
    </w:div>
    <w:div w:id="1578978770">
      <w:bodyDiv w:val="1"/>
      <w:marLeft w:val="0"/>
      <w:marRight w:val="0"/>
      <w:marTop w:val="0"/>
      <w:marBottom w:val="0"/>
      <w:divBdr>
        <w:top w:val="none" w:sz="0" w:space="0" w:color="auto"/>
        <w:left w:val="none" w:sz="0" w:space="0" w:color="auto"/>
        <w:bottom w:val="none" w:sz="0" w:space="0" w:color="auto"/>
        <w:right w:val="none" w:sz="0" w:space="0" w:color="auto"/>
      </w:divBdr>
    </w:div>
    <w:div w:id="1579360196">
      <w:bodyDiv w:val="1"/>
      <w:marLeft w:val="0"/>
      <w:marRight w:val="0"/>
      <w:marTop w:val="0"/>
      <w:marBottom w:val="0"/>
      <w:divBdr>
        <w:top w:val="none" w:sz="0" w:space="0" w:color="auto"/>
        <w:left w:val="none" w:sz="0" w:space="0" w:color="auto"/>
        <w:bottom w:val="none" w:sz="0" w:space="0" w:color="auto"/>
        <w:right w:val="none" w:sz="0" w:space="0" w:color="auto"/>
      </w:divBdr>
    </w:div>
    <w:div w:id="1581985019">
      <w:bodyDiv w:val="1"/>
      <w:marLeft w:val="0"/>
      <w:marRight w:val="0"/>
      <w:marTop w:val="0"/>
      <w:marBottom w:val="0"/>
      <w:divBdr>
        <w:top w:val="none" w:sz="0" w:space="0" w:color="auto"/>
        <w:left w:val="none" w:sz="0" w:space="0" w:color="auto"/>
        <w:bottom w:val="none" w:sz="0" w:space="0" w:color="auto"/>
        <w:right w:val="none" w:sz="0" w:space="0" w:color="auto"/>
      </w:divBdr>
    </w:div>
    <w:div w:id="1583298467">
      <w:bodyDiv w:val="1"/>
      <w:marLeft w:val="0"/>
      <w:marRight w:val="0"/>
      <w:marTop w:val="0"/>
      <w:marBottom w:val="0"/>
      <w:divBdr>
        <w:top w:val="none" w:sz="0" w:space="0" w:color="auto"/>
        <w:left w:val="none" w:sz="0" w:space="0" w:color="auto"/>
        <w:bottom w:val="none" w:sz="0" w:space="0" w:color="auto"/>
        <w:right w:val="none" w:sz="0" w:space="0" w:color="auto"/>
      </w:divBdr>
    </w:div>
    <w:div w:id="1583366438">
      <w:bodyDiv w:val="1"/>
      <w:marLeft w:val="0"/>
      <w:marRight w:val="0"/>
      <w:marTop w:val="0"/>
      <w:marBottom w:val="0"/>
      <w:divBdr>
        <w:top w:val="none" w:sz="0" w:space="0" w:color="auto"/>
        <w:left w:val="none" w:sz="0" w:space="0" w:color="auto"/>
        <w:bottom w:val="none" w:sz="0" w:space="0" w:color="auto"/>
        <w:right w:val="none" w:sz="0" w:space="0" w:color="auto"/>
      </w:divBdr>
    </w:div>
    <w:div w:id="1584949853">
      <w:bodyDiv w:val="1"/>
      <w:marLeft w:val="0"/>
      <w:marRight w:val="0"/>
      <w:marTop w:val="0"/>
      <w:marBottom w:val="0"/>
      <w:divBdr>
        <w:top w:val="none" w:sz="0" w:space="0" w:color="auto"/>
        <w:left w:val="none" w:sz="0" w:space="0" w:color="auto"/>
        <w:bottom w:val="none" w:sz="0" w:space="0" w:color="auto"/>
        <w:right w:val="none" w:sz="0" w:space="0" w:color="auto"/>
      </w:divBdr>
    </w:div>
    <w:div w:id="1587882366">
      <w:bodyDiv w:val="1"/>
      <w:marLeft w:val="0"/>
      <w:marRight w:val="0"/>
      <w:marTop w:val="0"/>
      <w:marBottom w:val="0"/>
      <w:divBdr>
        <w:top w:val="none" w:sz="0" w:space="0" w:color="auto"/>
        <w:left w:val="none" w:sz="0" w:space="0" w:color="auto"/>
        <w:bottom w:val="none" w:sz="0" w:space="0" w:color="auto"/>
        <w:right w:val="none" w:sz="0" w:space="0" w:color="auto"/>
      </w:divBdr>
    </w:div>
    <w:div w:id="1588879096">
      <w:bodyDiv w:val="1"/>
      <w:marLeft w:val="0"/>
      <w:marRight w:val="0"/>
      <w:marTop w:val="0"/>
      <w:marBottom w:val="0"/>
      <w:divBdr>
        <w:top w:val="none" w:sz="0" w:space="0" w:color="auto"/>
        <w:left w:val="none" w:sz="0" w:space="0" w:color="auto"/>
        <w:bottom w:val="none" w:sz="0" w:space="0" w:color="auto"/>
        <w:right w:val="none" w:sz="0" w:space="0" w:color="auto"/>
      </w:divBdr>
    </w:div>
    <w:div w:id="1590121964">
      <w:bodyDiv w:val="1"/>
      <w:marLeft w:val="0"/>
      <w:marRight w:val="0"/>
      <w:marTop w:val="0"/>
      <w:marBottom w:val="0"/>
      <w:divBdr>
        <w:top w:val="none" w:sz="0" w:space="0" w:color="auto"/>
        <w:left w:val="none" w:sz="0" w:space="0" w:color="auto"/>
        <w:bottom w:val="none" w:sz="0" w:space="0" w:color="auto"/>
        <w:right w:val="none" w:sz="0" w:space="0" w:color="auto"/>
      </w:divBdr>
    </w:div>
    <w:div w:id="1592397775">
      <w:bodyDiv w:val="1"/>
      <w:marLeft w:val="0"/>
      <w:marRight w:val="0"/>
      <w:marTop w:val="0"/>
      <w:marBottom w:val="0"/>
      <w:divBdr>
        <w:top w:val="none" w:sz="0" w:space="0" w:color="auto"/>
        <w:left w:val="none" w:sz="0" w:space="0" w:color="auto"/>
        <w:bottom w:val="none" w:sz="0" w:space="0" w:color="auto"/>
        <w:right w:val="none" w:sz="0" w:space="0" w:color="auto"/>
      </w:divBdr>
    </w:div>
    <w:div w:id="1593509610">
      <w:bodyDiv w:val="1"/>
      <w:marLeft w:val="0"/>
      <w:marRight w:val="0"/>
      <w:marTop w:val="0"/>
      <w:marBottom w:val="0"/>
      <w:divBdr>
        <w:top w:val="none" w:sz="0" w:space="0" w:color="auto"/>
        <w:left w:val="none" w:sz="0" w:space="0" w:color="auto"/>
        <w:bottom w:val="none" w:sz="0" w:space="0" w:color="auto"/>
        <w:right w:val="none" w:sz="0" w:space="0" w:color="auto"/>
      </w:divBdr>
    </w:div>
    <w:div w:id="1594319886">
      <w:bodyDiv w:val="1"/>
      <w:marLeft w:val="0"/>
      <w:marRight w:val="0"/>
      <w:marTop w:val="0"/>
      <w:marBottom w:val="0"/>
      <w:divBdr>
        <w:top w:val="none" w:sz="0" w:space="0" w:color="auto"/>
        <w:left w:val="none" w:sz="0" w:space="0" w:color="auto"/>
        <w:bottom w:val="none" w:sz="0" w:space="0" w:color="auto"/>
        <w:right w:val="none" w:sz="0" w:space="0" w:color="auto"/>
      </w:divBdr>
    </w:div>
    <w:div w:id="1595237923">
      <w:bodyDiv w:val="1"/>
      <w:marLeft w:val="0"/>
      <w:marRight w:val="0"/>
      <w:marTop w:val="0"/>
      <w:marBottom w:val="0"/>
      <w:divBdr>
        <w:top w:val="none" w:sz="0" w:space="0" w:color="auto"/>
        <w:left w:val="none" w:sz="0" w:space="0" w:color="auto"/>
        <w:bottom w:val="none" w:sz="0" w:space="0" w:color="auto"/>
        <w:right w:val="none" w:sz="0" w:space="0" w:color="auto"/>
      </w:divBdr>
    </w:div>
    <w:div w:id="1596550275">
      <w:bodyDiv w:val="1"/>
      <w:marLeft w:val="0"/>
      <w:marRight w:val="0"/>
      <w:marTop w:val="0"/>
      <w:marBottom w:val="0"/>
      <w:divBdr>
        <w:top w:val="none" w:sz="0" w:space="0" w:color="auto"/>
        <w:left w:val="none" w:sz="0" w:space="0" w:color="auto"/>
        <w:bottom w:val="none" w:sz="0" w:space="0" w:color="auto"/>
        <w:right w:val="none" w:sz="0" w:space="0" w:color="auto"/>
      </w:divBdr>
    </w:div>
    <w:div w:id="1596666070">
      <w:bodyDiv w:val="1"/>
      <w:marLeft w:val="0"/>
      <w:marRight w:val="0"/>
      <w:marTop w:val="0"/>
      <w:marBottom w:val="0"/>
      <w:divBdr>
        <w:top w:val="none" w:sz="0" w:space="0" w:color="auto"/>
        <w:left w:val="none" w:sz="0" w:space="0" w:color="auto"/>
        <w:bottom w:val="none" w:sz="0" w:space="0" w:color="auto"/>
        <w:right w:val="none" w:sz="0" w:space="0" w:color="auto"/>
      </w:divBdr>
    </w:div>
    <w:div w:id="1597520868">
      <w:bodyDiv w:val="1"/>
      <w:marLeft w:val="0"/>
      <w:marRight w:val="0"/>
      <w:marTop w:val="0"/>
      <w:marBottom w:val="0"/>
      <w:divBdr>
        <w:top w:val="none" w:sz="0" w:space="0" w:color="auto"/>
        <w:left w:val="none" w:sz="0" w:space="0" w:color="auto"/>
        <w:bottom w:val="none" w:sz="0" w:space="0" w:color="auto"/>
        <w:right w:val="none" w:sz="0" w:space="0" w:color="auto"/>
      </w:divBdr>
    </w:div>
    <w:div w:id="1599483867">
      <w:bodyDiv w:val="1"/>
      <w:marLeft w:val="0"/>
      <w:marRight w:val="0"/>
      <w:marTop w:val="0"/>
      <w:marBottom w:val="0"/>
      <w:divBdr>
        <w:top w:val="none" w:sz="0" w:space="0" w:color="auto"/>
        <w:left w:val="none" w:sz="0" w:space="0" w:color="auto"/>
        <w:bottom w:val="none" w:sz="0" w:space="0" w:color="auto"/>
        <w:right w:val="none" w:sz="0" w:space="0" w:color="auto"/>
      </w:divBdr>
    </w:div>
    <w:div w:id="1600793349">
      <w:bodyDiv w:val="1"/>
      <w:marLeft w:val="0"/>
      <w:marRight w:val="0"/>
      <w:marTop w:val="0"/>
      <w:marBottom w:val="0"/>
      <w:divBdr>
        <w:top w:val="none" w:sz="0" w:space="0" w:color="auto"/>
        <w:left w:val="none" w:sz="0" w:space="0" w:color="auto"/>
        <w:bottom w:val="none" w:sz="0" w:space="0" w:color="auto"/>
        <w:right w:val="none" w:sz="0" w:space="0" w:color="auto"/>
      </w:divBdr>
    </w:div>
    <w:div w:id="1601908115">
      <w:bodyDiv w:val="1"/>
      <w:marLeft w:val="0"/>
      <w:marRight w:val="0"/>
      <w:marTop w:val="0"/>
      <w:marBottom w:val="0"/>
      <w:divBdr>
        <w:top w:val="none" w:sz="0" w:space="0" w:color="auto"/>
        <w:left w:val="none" w:sz="0" w:space="0" w:color="auto"/>
        <w:bottom w:val="none" w:sz="0" w:space="0" w:color="auto"/>
        <w:right w:val="none" w:sz="0" w:space="0" w:color="auto"/>
      </w:divBdr>
    </w:div>
    <w:div w:id="1602451262">
      <w:bodyDiv w:val="1"/>
      <w:marLeft w:val="0"/>
      <w:marRight w:val="0"/>
      <w:marTop w:val="0"/>
      <w:marBottom w:val="0"/>
      <w:divBdr>
        <w:top w:val="none" w:sz="0" w:space="0" w:color="auto"/>
        <w:left w:val="none" w:sz="0" w:space="0" w:color="auto"/>
        <w:bottom w:val="none" w:sz="0" w:space="0" w:color="auto"/>
        <w:right w:val="none" w:sz="0" w:space="0" w:color="auto"/>
      </w:divBdr>
    </w:div>
    <w:div w:id="1602489901">
      <w:bodyDiv w:val="1"/>
      <w:marLeft w:val="0"/>
      <w:marRight w:val="0"/>
      <w:marTop w:val="0"/>
      <w:marBottom w:val="0"/>
      <w:divBdr>
        <w:top w:val="none" w:sz="0" w:space="0" w:color="auto"/>
        <w:left w:val="none" w:sz="0" w:space="0" w:color="auto"/>
        <w:bottom w:val="none" w:sz="0" w:space="0" w:color="auto"/>
        <w:right w:val="none" w:sz="0" w:space="0" w:color="auto"/>
      </w:divBdr>
    </w:div>
    <w:div w:id="1602907762">
      <w:bodyDiv w:val="1"/>
      <w:marLeft w:val="0"/>
      <w:marRight w:val="0"/>
      <w:marTop w:val="0"/>
      <w:marBottom w:val="0"/>
      <w:divBdr>
        <w:top w:val="none" w:sz="0" w:space="0" w:color="auto"/>
        <w:left w:val="none" w:sz="0" w:space="0" w:color="auto"/>
        <w:bottom w:val="none" w:sz="0" w:space="0" w:color="auto"/>
        <w:right w:val="none" w:sz="0" w:space="0" w:color="auto"/>
      </w:divBdr>
    </w:div>
    <w:div w:id="1603486990">
      <w:bodyDiv w:val="1"/>
      <w:marLeft w:val="0"/>
      <w:marRight w:val="0"/>
      <w:marTop w:val="0"/>
      <w:marBottom w:val="0"/>
      <w:divBdr>
        <w:top w:val="none" w:sz="0" w:space="0" w:color="auto"/>
        <w:left w:val="none" w:sz="0" w:space="0" w:color="auto"/>
        <w:bottom w:val="none" w:sz="0" w:space="0" w:color="auto"/>
        <w:right w:val="none" w:sz="0" w:space="0" w:color="auto"/>
      </w:divBdr>
    </w:div>
    <w:div w:id="1604067749">
      <w:bodyDiv w:val="1"/>
      <w:marLeft w:val="0"/>
      <w:marRight w:val="0"/>
      <w:marTop w:val="0"/>
      <w:marBottom w:val="0"/>
      <w:divBdr>
        <w:top w:val="none" w:sz="0" w:space="0" w:color="auto"/>
        <w:left w:val="none" w:sz="0" w:space="0" w:color="auto"/>
        <w:bottom w:val="none" w:sz="0" w:space="0" w:color="auto"/>
        <w:right w:val="none" w:sz="0" w:space="0" w:color="auto"/>
      </w:divBdr>
    </w:div>
    <w:div w:id="1604073820">
      <w:bodyDiv w:val="1"/>
      <w:marLeft w:val="0"/>
      <w:marRight w:val="0"/>
      <w:marTop w:val="0"/>
      <w:marBottom w:val="0"/>
      <w:divBdr>
        <w:top w:val="none" w:sz="0" w:space="0" w:color="auto"/>
        <w:left w:val="none" w:sz="0" w:space="0" w:color="auto"/>
        <w:bottom w:val="none" w:sz="0" w:space="0" w:color="auto"/>
        <w:right w:val="none" w:sz="0" w:space="0" w:color="auto"/>
      </w:divBdr>
    </w:div>
    <w:div w:id="1605648528">
      <w:bodyDiv w:val="1"/>
      <w:marLeft w:val="0"/>
      <w:marRight w:val="0"/>
      <w:marTop w:val="0"/>
      <w:marBottom w:val="0"/>
      <w:divBdr>
        <w:top w:val="none" w:sz="0" w:space="0" w:color="auto"/>
        <w:left w:val="none" w:sz="0" w:space="0" w:color="auto"/>
        <w:bottom w:val="none" w:sz="0" w:space="0" w:color="auto"/>
        <w:right w:val="none" w:sz="0" w:space="0" w:color="auto"/>
      </w:divBdr>
    </w:div>
    <w:div w:id="1605960300">
      <w:bodyDiv w:val="1"/>
      <w:marLeft w:val="0"/>
      <w:marRight w:val="0"/>
      <w:marTop w:val="0"/>
      <w:marBottom w:val="0"/>
      <w:divBdr>
        <w:top w:val="none" w:sz="0" w:space="0" w:color="auto"/>
        <w:left w:val="none" w:sz="0" w:space="0" w:color="auto"/>
        <w:bottom w:val="none" w:sz="0" w:space="0" w:color="auto"/>
        <w:right w:val="none" w:sz="0" w:space="0" w:color="auto"/>
      </w:divBdr>
    </w:div>
    <w:div w:id="1607076199">
      <w:bodyDiv w:val="1"/>
      <w:marLeft w:val="0"/>
      <w:marRight w:val="0"/>
      <w:marTop w:val="0"/>
      <w:marBottom w:val="0"/>
      <w:divBdr>
        <w:top w:val="none" w:sz="0" w:space="0" w:color="auto"/>
        <w:left w:val="none" w:sz="0" w:space="0" w:color="auto"/>
        <w:bottom w:val="none" w:sz="0" w:space="0" w:color="auto"/>
        <w:right w:val="none" w:sz="0" w:space="0" w:color="auto"/>
      </w:divBdr>
    </w:div>
    <w:div w:id="1608611912">
      <w:bodyDiv w:val="1"/>
      <w:marLeft w:val="0"/>
      <w:marRight w:val="0"/>
      <w:marTop w:val="0"/>
      <w:marBottom w:val="0"/>
      <w:divBdr>
        <w:top w:val="none" w:sz="0" w:space="0" w:color="auto"/>
        <w:left w:val="none" w:sz="0" w:space="0" w:color="auto"/>
        <w:bottom w:val="none" w:sz="0" w:space="0" w:color="auto"/>
        <w:right w:val="none" w:sz="0" w:space="0" w:color="auto"/>
      </w:divBdr>
    </w:div>
    <w:div w:id="1612471291">
      <w:bodyDiv w:val="1"/>
      <w:marLeft w:val="0"/>
      <w:marRight w:val="0"/>
      <w:marTop w:val="0"/>
      <w:marBottom w:val="0"/>
      <w:divBdr>
        <w:top w:val="none" w:sz="0" w:space="0" w:color="auto"/>
        <w:left w:val="none" w:sz="0" w:space="0" w:color="auto"/>
        <w:bottom w:val="none" w:sz="0" w:space="0" w:color="auto"/>
        <w:right w:val="none" w:sz="0" w:space="0" w:color="auto"/>
      </w:divBdr>
    </w:div>
    <w:div w:id="1613979987">
      <w:bodyDiv w:val="1"/>
      <w:marLeft w:val="0"/>
      <w:marRight w:val="0"/>
      <w:marTop w:val="0"/>
      <w:marBottom w:val="0"/>
      <w:divBdr>
        <w:top w:val="none" w:sz="0" w:space="0" w:color="auto"/>
        <w:left w:val="none" w:sz="0" w:space="0" w:color="auto"/>
        <w:bottom w:val="none" w:sz="0" w:space="0" w:color="auto"/>
        <w:right w:val="none" w:sz="0" w:space="0" w:color="auto"/>
      </w:divBdr>
    </w:div>
    <w:div w:id="1615594619">
      <w:bodyDiv w:val="1"/>
      <w:marLeft w:val="0"/>
      <w:marRight w:val="0"/>
      <w:marTop w:val="0"/>
      <w:marBottom w:val="0"/>
      <w:divBdr>
        <w:top w:val="none" w:sz="0" w:space="0" w:color="auto"/>
        <w:left w:val="none" w:sz="0" w:space="0" w:color="auto"/>
        <w:bottom w:val="none" w:sz="0" w:space="0" w:color="auto"/>
        <w:right w:val="none" w:sz="0" w:space="0" w:color="auto"/>
      </w:divBdr>
    </w:div>
    <w:div w:id="1616591668">
      <w:bodyDiv w:val="1"/>
      <w:marLeft w:val="0"/>
      <w:marRight w:val="0"/>
      <w:marTop w:val="0"/>
      <w:marBottom w:val="0"/>
      <w:divBdr>
        <w:top w:val="none" w:sz="0" w:space="0" w:color="auto"/>
        <w:left w:val="none" w:sz="0" w:space="0" w:color="auto"/>
        <w:bottom w:val="none" w:sz="0" w:space="0" w:color="auto"/>
        <w:right w:val="none" w:sz="0" w:space="0" w:color="auto"/>
      </w:divBdr>
    </w:div>
    <w:div w:id="1617567186">
      <w:bodyDiv w:val="1"/>
      <w:marLeft w:val="0"/>
      <w:marRight w:val="0"/>
      <w:marTop w:val="0"/>
      <w:marBottom w:val="0"/>
      <w:divBdr>
        <w:top w:val="none" w:sz="0" w:space="0" w:color="auto"/>
        <w:left w:val="none" w:sz="0" w:space="0" w:color="auto"/>
        <w:bottom w:val="none" w:sz="0" w:space="0" w:color="auto"/>
        <w:right w:val="none" w:sz="0" w:space="0" w:color="auto"/>
      </w:divBdr>
    </w:div>
    <w:div w:id="1618564808">
      <w:bodyDiv w:val="1"/>
      <w:marLeft w:val="0"/>
      <w:marRight w:val="0"/>
      <w:marTop w:val="0"/>
      <w:marBottom w:val="0"/>
      <w:divBdr>
        <w:top w:val="none" w:sz="0" w:space="0" w:color="auto"/>
        <w:left w:val="none" w:sz="0" w:space="0" w:color="auto"/>
        <w:bottom w:val="none" w:sz="0" w:space="0" w:color="auto"/>
        <w:right w:val="none" w:sz="0" w:space="0" w:color="auto"/>
      </w:divBdr>
    </w:div>
    <w:div w:id="1618835535">
      <w:bodyDiv w:val="1"/>
      <w:marLeft w:val="0"/>
      <w:marRight w:val="0"/>
      <w:marTop w:val="0"/>
      <w:marBottom w:val="0"/>
      <w:divBdr>
        <w:top w:val="none" w:sz="0" w:space="0" w:color="auto"/>
        <w:left w:val="none" w:sz="0" w:space="0" w:color="auto"/>
        <w:bottom w:val="none" w:sz="0" w:space="0" w:color="auto"/>
        <w:right w:val="none" w:sz="0" w:space="0" w:color="auto"/>
      </w:divBdr>
    </w:div>
    <w:div w:id="1621261187">
      <w:bodyDiv w:val="1"/>
      <w:marLeft w:val="0"/>
      <w:marRight w:val="0"/>
      <w:marTop w:val="0"/>
      <w:marBottom w:val="0"/>
      <w:divBdr>
        <w:top w:val="none" w:sz="0" w:space="0" w:color="auto"/>
        <w:left w:val="none" w:sz="0" w:space="0" w:color="auto"/>
        <w:bottom w:val="none" w:sz="0" w:space="0" w:color="auto"/>
        <w:right w:val="none" w:sz="0" w:space="0" w:color="auto"/>
      </w:divBdr>
    </w:div>
    <w:div w:id="1621568240">
      <w:bodyDiv w:val="1"/>
      <w:marLeft w:val="0"/>
      <w:marRight w:val="0"/>
      <w:marTop w:val="0"/>
      <w:marBottom w:val="0"/>
      <w:divBdr>
        <w:top w:val="none" w:sz="0" w:space="0" w:color="auto"/>
        <w:left w:val="none" w:sz="0" w:space="0" w:color="auto"/>
        <w:bottom w:val="none" w:sz="0" w:space="0" w:color="auto"/>
        <w:right w:val="none" w:sz="0" w:space="0" w:color="auto"/>
      </w:divBdr>
    </w:div>
    <w:div w:id="1627394515">
      <w:bodyDiv w:val="1"/>
      <w:marLeft w:val="0"/>
      <w:marRight w:val="0"/>
      <w:marTop w:val="0"/>
      <w:marBottom w:val="0"/>
      <w:divBdr>
        <w:top w:val="none" w:sz="0" w:space="0" w:color="auto"/>
        <w:left w:val="none" w:sz="0" w:space="0" w:color="auto"/>
        <w:bottom w:val="none" w:sz="0" w:space="0" w:color="auto"/>
        <w:right w:val="none" w:sz="0" w:space="0" w:color="auto"/>
      </w:divBdr>
    </w:div>
    <w:div w:id="1631201353">
      <w:bodyDiv w:val="1"/>
      <w:marLeft w:val="0"/>
      <w:marRight w:val="0"/>
      <w:marTop w:val="0"/>
      <w:marBottom w:val="0"/>
      <w:divBdr>
        <w:top w:val="none" w:sz="0" w:space="0" w:color="auto"/>
        <w:left w:val="none" w:sz="0" w:space="0" w:color="auto"/>
        <w:bottom w:val="none" w:sz="0" w:space="0" w:color="auto"/>
        <w:right w:val="none" w:sz="0" w:space="0" w:color="auto"/>
      </w:divBdr>
    </w:div>
    <w:div w:id="1632712906">
      <w:bodyDiv w:val="1"/>
      <w:marLeft w:val="0"/>
      <w:marRight w:val="0"/>
      <w:marTop w:val="0"/>
      <w:marBottom w:val="0"/>
      <w:divBdr>
        <w:top w:val="none" w:sz="0" w:space="0" w:color="auto"/>
        <w:left w:val="none" w:sz="0" w:space="0" w:color="auto"/>
        <w:bottom w:val="none" w:sz="0" w:space="0" w:color="auto"/>
        <w:right w:val="none" w:sz="0" w:space="0" w:color="auto"/>
      </w:divBdr>
    </w:div>
    <w:div w:id="1634140399">
      <w:bodyDiv w:val="1"/>
      <w:marLeft w:val="0"/>
      <w:marRight w:val="0"/>
      <w:marTop w:val="0"/>
      <w:marBottom w:val="0"/>
      <w:divBdr>
        <w:top w:val="none" w:sz="0" w:space="0" w:color="auto"/>
        <w:left w:val="none" w:sz="0" w:space="0" w:color="auto"/>
        <w:bottom w:val="none" w:sz="0" w:space="0" w:color="auto"/>
        <w:right w:val="none" w:sz="0" w:space="0" w:color="auto"/>
      </w:divBdr>
    </w:div>
    <w:div w:id="1634753459">
      <w:bodyDiv w:val="1"/>
      <w:marLeft w:val="0"/>
      <w:marRight w:val="0"/>
      <w:marTop w:val="0"/>
      <w:marBottom w:val="0"/>
      <w:divBdr>
        <w:top w:val="none" w:sz="0" w:space="0" w:color="auto"/>
        <w:left w:val="none" w:sz="0" w:space="0" w:color="auto"/>
        <w:bottom w:val="none" w:sz="0" w:space="0" w:color="auto"/>
        <w:right w:val="none" w:sz="0" w:space="0" w:color="auto"/>
      </w:divBdr>
    </w:div>
    <w:div w:id="1635406297">
      <w:bodyDiv w:val="1"/>
      <w:marLeft w:val="0"/>
      <w:marRight w:val="0"/>
      <w:marTop w:val="0"/>
      <w:marBottom w:val="0"/>
      <w:divBdr>
        <w:top w:val="none" w:sz="0" w:space="0" w:color="auto"/>
        <w:left w:val="none" w:sz="0" w:space="0" w:color="auto"/>
        <w:bottom w:val="none" w:sz="0" w:space="0" w:color="auto"/>
        <w:right w:val="none" w:sz="0" w:space="0" w:color="auto"/>
      </w:divBdr>
    </w:div>
    <w:div w:id="1635745679">
      <w:bodyDiv w:val="1"/>
      <w:marLeft w:val="0"/>
      <w:marRight w:val="0"/>
      <w:marTop w:val="0"/>
      <w:marBottom w:val="0"/>
      <w:divBdr>
        <w:top w:val="none" w:sz="0" w:space="0" w:color="auto"/>
        <w:left w:val="none" w:sz="0" w:space="0" w:color="auto"/>
        <w:bottom w:val="none" w:sz="0" w:space="0" w:color="auto"/>
        <w:right w:val="none" w:sz="0" w:space="0" w:color="auto"/>
      </w:divBdr>
    </w:div>
    <w:div w:id="1636334666">
      <w:bodyDiv w:val="1"/>
      <w:marLeft w:val="0"/>
      <w:marRight w:val="0"/>
      <w:marTop w:val="0"/>
      <w:marBottom w:val="0"/>
      <w:divBdr>
        <w:top w:val="none" w:sz="0" w:space="0" w:color="auto"/>
        <w:left w:val="none" w:sz="0" w:space="0" w:color="auto"/>
        <w:bottom w:val="none" w:sz="0" w:space="0" w:color="auto"/>
        <w:right w:val="none" w:sz="0" w:space="0" w:color="auto"/>
      </w:divBdr>
    </w:div>
    <w:div w:id="1638417553">
      <w:bodyDiv w:val="1"/>
      <w:marLeft w:val="0"/>
      <w:marRight w:val="0"/>
      <w:marTop w:val="0"/>
      <w:marBottom w:val="0"/>
      <w:divBdr>
        <w:top w:val="none" w:sz="0" w:space="0" w:color="auto"/>
        <w:left w:val="none" w:sz="0" w:space="0" w:color="auto"/>
        <w:bottom w:val="none" w:sz="0" w:space="0" w:color="auto"/>
        <w:right w:val="none" w:sz="0" w:space="0" w:color="auto"/>
      </w:divBdr>
    </w:div>
    <w:div w:id="1640063435">
      <w:bodyDiv w:val="1"/>
      <w:marLeft w:val="0"/>
      <w:marRight w:val="0"/>
      <w:marTop w:val="0"/>
      <w:marBottom w:val="0"/>
      <w:divBdr>
        <w:top w:val="none" w:sz="0" w:space="0" w:color="auto"/>
        <w:left w:val="none" w:sz="0" w:space="0" w:color="auto"/>
        <w:bottom w:val="none" w:sz="0" w:space="0" w:color="auto"/>
        <w:right w:val="none" w:sz="0" w:space="0" w:color="auto"/>
      </w:divBdr>
    </w:div>
    <w:div w:id="1641224868">
      <w:bodyDiv w:val="1"/>
      <w:marLeft w:val="0"/>
      <w:marRight w:val="0"/>
      <w:marTop w:val="0"/>
      <w:marBottom w:val="0"/>
      <w:divBdr>
        <w:top w:val="none" w:sz="0" w:space="0" w:color="auto"/>
        <w:left w:val="none" w:sz="0" w:space="0" w:color="auto"/>
        <w:bottom w:val="none" w:sz="0" w:space="0" w:color="auto"/>
        <w:right w:val="none" w:sz="0" w:space="0" w:color="auto"/>
      </w:divBdr>
    </w:div>
    <w:div w:id="1641687067">
      <w:bodyDiv w:val="1"/>
      <w:marLeft w:val="0"/>
      <w:marRight w:val="0"/>
      <w:marTop w:val="0"/>
      <w:marBottom w:val="0"/>
      <w:divBdr>
        <w:top w:val="none" w:sz="0" w:space="0" w:color="auto"/>
        <w:left w:val="none" w:sz="0" w:space="0" w:color="auto"/>
        <w:bottom w:val="none" w:sz="0" w:space="0" w:color="auto"/>
        <w:right w:val="none" w:sz="0" w:space="0" w:color="auto"/>
      </w:divBdr>
    </w:div>
    <w:div w:id="1641887755">
      <w:bodyDiv w:val="1"/>
      <w:marLeft w:val="0"/>
      <w:marRight w:val="0"/>
      <w:marTop w:val="0"/>
      <w:marBottom w:val="0"/>
      <w:divBdr>
        <w:top w:val="none" w:sz="0" w:space="0" w:color="auto"/>
        <w:left w:val="none" w:sz="0" w:space="0" w:color="auto"/>
        <w:bottom w:val="none" w:sz="0" w:space="0" w:color="auto"/>
        <w:right w:val="none" w:sz="0" w:space="0" w:color="auto"/>
      </w:divBdr>
    </w:div>
    <w:div w:id="1642343901">
      <w:bodyDiv w:val="1"/>
      <w:marLeft w:val="0"/>
      <w:marRight w:val="0"/>
      <w:marTop w:val="0"/>
      <w:marBottom w:val="0"/>
      <w:divBdr>
        <w:top w:val="none" w:sz="0" w:space="0" w:color="auto"/>
        <w:left w:val="none" w:sz="0" w:space="0" w:color="auto"/>
        <w:bottom w:val="none" w:sz="0" w:space="0" w:color="auto"/>
        <w:right w:val="none" w:sz="0" w:space="0" w:color="auto"/>
      </w:divBdr>
    </w:div>
    <w:div w:id="1643726528">
      <w:bodyDiv w:val="1"/>
      <w:marLeft w:val="0"/>
      <w:marRight w:val="0"/>
      <w:marTop w:val="0"/>
      <w:marBottom w:val="0"/>
      <w:divBdr>
        <w:top w:val="none" w:sz="0" w:space="0" w:color="auto"/>
        <w:left w:val="none" w:sz="0" w:space="0" w:color="auto"/>
        <w:bottom w:val="none" w:sz="0" w:space="0" w:color="auto"/>
        <w:right w:val="none" w:sz="0" w:space="0" w:color="auto"/>
      </w:divBdr>
    </w:div>
    <w:div w:id="1644576029">
      <w:bodyDiv w:val="1"/>
      <w:marLeft w:val="0"/>
      <w:marRight w:val="0"/>
      <w:marTop w:val="0"/>
      <w:marBottom w:val="0"/>
      <w:divBdr>
        <w:top w:val="none" w:sz="0" w:space="0" w:color="auto"/>
        <w:left w:val="none" w:sz="0" w:space="0" w:color="auto"/>
        <w:bottom w:val="none" w:sz="0" w:space="0" w:color="auto"/>
        <w:right w:val="none" w:sz="0" w:space="0" w:color="auto"/>
      </w:divBdr>
    </w:div>
    <w:div w:id="1645156430">
      <w:bodyDiv w:val="1"/>
      <w:marLeft w:val="0"/>
      <w:marRight w:val="0"/>
      <w:marTop w:val="0"/>
      <w:marBottom w:val="0"/>
      <w:divBdr>
        <w:top w:val="none" w:sz="0" w:space="0" w:color="auto"/>
        <w:left w:val="none" w:sz="0" w:space="0" w:color="auto"/>
        <w:bottom w:val="none" w:sz="0" w:space="0" w:color="auto"/>
        <w:right w:val="none" w:sz="0" w:space="0" w:color="auto"/>
      </w:divBdr>
    </w:div>
    <w:div w:id="1647009201">
      <w:bodyDiv w:val="1"/>
      <w:marLeft w:val="0"/>
      <w:marRight w:val="0"/>
      <w:marTop w:val="0"/>
      <w:marBottom w:val="0"/>
      <w:divBdr>
        <w:top w:val="none" w:sz="0" w:space="0" w:color="auto"/>
        <w:left w:val="none" w:sz="0" w:space="0" w:color="auto"/>
        <w:bottom w:val="none" w:sz="0" w:space="0" w:color="auto"/>
        <w:right w:val="none" w:sz="0" w:space="0" w:color="auto"/>
      </w:divBdr>
    </w:div>
    <w:div w:id="1647121731">
      <w:bodyDiv w:val="1"/>
      <w:marLeft w:val="0"/>
      <w:marRight w:val="0"/>
      <w:marTop w:val="0"/>
      <w:marBottom w:val="0"/>
      <w:divBdr>
        <w:top w:val="none" w:sz="0" w:space="0" w:color="auto"/>
        <w:left w:val="none" w:sz="0" w:space="0" w:color="auto"/>
        <w:bottom w:val="none" w:sz="0" w:space="0" w:color="auto"/>
        <w:right w:val="none" w:sz="0" w:space="0" w:color="auto"/>
      </w:divBdr>
    </w:div>
    <w:div w:id="1648700654">
      <w:bodyDiv w:val="1"/>
      <w:marLeft w:val="0"/>
      <w:marRight w:val="0"/>
      <w:marTop w:val="0"/>
      <w:marBottom w:val="0"/>
      <w:divBdr>
        <w:top w:val="none" w:sz="0" w:space="0" w:color="auto"/>
        <w:left w:val="none" w:sz="0" w:space="0" w:color="auto"/>
        <w:bottom w:val="none" w:sz="0" w:space="0" w:color="auto"/>
        <w:right w:val="none" w:sz="0" w:space="0" w:color="auto"/>
      </w:divBdr>
    </w:div>
    <w:div w:id="1650359363">
      <w:bodyDiv w:val="1"/>
      <w:marLeft w:val="0"/>
      <w:marRight w:val="0"/>
      <w:marTop w:val="0"/>
      <w:marBottom w:val="0"/>
      <w:divBdr>
        <w:top w:val="none" w:sz="0" w:space="0" w:color="auto"/>
        <w:left w:val="none" w:sz="0" w:space="0" w:color="auto"/>
        <w:bottom w:val="none" w:sz="0" w:space="0" w:color="auto"/>
        <w:right w:val="none" w:sz="0" w:space="0" w:color="auto"/>
      </w:divBdr>
    </w:div>
    <w:div w:id="1652556053">
      <w:bodyDiv w:val="1"/>
      <w:marLeft w:val="0"/>
      <w:marRight w:val="0"/>
      <w:marTop w:val="0"/>
      <w:marBottom w:val="0"/>
      <w:divBdr>
        <w:top w:val="none" w:sz="0" w:space="0" w:color="auto"/>
        <w:left w:val="none" w:sz="0" w:space="0" w:color="auto"/>
        <w:bottom w:val="none" w:sz="0" w:space="0" w:color="auto"/>
        <w:right w:val="none" w:sz="0" w:space="0" w:color="auto"/>
      </w:divBdr>
    </w:div>
    <w:div w:id="1652640047">
      <w:bodyDiv w:val="1"/>
      <w:marLeft w:val="0"/>
      <w:marRight w:val="0"/>
      <w:marTop w:val="0"/>
      <w:marBottom w:val="0"/>
      <w:divBdr>
        <w:top w:val="none" w:sz="0" w:space="0" w:color="auto"/>
        <w:left w:val="none" w:sz="0" w:space="0" w:color="auto"/>
        <w:bottom w:val="none" w:sz="0" w:space="0" w:color="auto"/>
        <w:right w:val="none" w:sz="0" w:space="0" w:color="auto"/>
      </w:divBdr>
    </w:div>
    <w:div w:id="1652754399">
      <w:bodyDiv w:val="1"/>
      <w:marLeft w:val="0"/>
      <w:marRight w:val="0"/>
      <w:marTop w:val="0"/>
      <w:marBottom w:val="0"/>
      <w:divBdr>
        <w:top w:val="none" w:sz="0" w:space="0" w:color="auto"/>
        <w:left w:val="none" w:sz="0" w:space="0" w:color="auto"/>
        <w:bottom w:val="none" w:sz="0" w:space="0" w:color="auto"/>
        <w:right w:val="none" w:sz="0" w:space="0" w:color="auto"/>
      </w:divBdr>
    </w:div>
    <w:div w:id="1653832537">
      <w:bodyDiv w:val="1"/>
      <w:marLeft w:val="0"/>
      <w:marRight w:val="0"/>
      <w:marTop w:val="0"/>
      <w:marBottom w:val="0"/>
      <w:divBdr>
        <w:top w:val="none" w:sz="0" w:space="0" w:color="auto"/>
        <w:left w:val="none" w:sz="0" w:space="0" w:color="auto"/>
        <w:bottom w:val="none" w:sz="0" w:space="0" w:color="auto"/>
        <w:right w:val="none" w:sz="0" w:space="0" w:color="auto"/>
      </w:divBdr>
    </w:div>
    <w:div w:id="1654988637">
      <w:bodyDiv w:val="1"/>
      <w:marLeft w:val="0"/>
      <w:marRight w:val="0"/>
      <w:marTop w:val="0"/>
      <w:marBottom w:val="0"/>
      <w:divBdr>
        <w:top w:val="none" w:sz="0" w:space="0" w:color="auto"/>
        <w:left w:val="none" w:sz="0" w:space="0" w:color="auto"/>
        <w:bottom w:val="none" w:sz="0" w:space="0" w:color="auto"/>
        <w:right w:val="none" w:sz="0" w:space="0" w:color="auto"/>
      </w:divBdr>
    </w:div>
    <w:div w:id="1655986774">
      <w:bodyDiv w:val="1"/>
      <w:marLeft w:val="0"/>
      <w:marRight w:val="0"/>
      <w:marTop w:val="0"/>
      <w:marBottom w:val="0"/>
      <w:divBdr>
        <w:top w:val="none" w:sz="0" w:space="0" w:color="auto"/>
        <w:left w:val="none" w:sz="0" w:space="0" w:color="auto"/>
        <w:bottom w:val="none" w:sz="0" w:space="0" w:color="auto"/>
        <w:right w:val="none" w:sz="0" w:space="0" w:color="auto"/>
      </w:divBdr>
    </w:div>
    <w:div w:id="1656301362">
      <w:bodyDiv w:val="1"/>
      <w:marLeft w:val="0"/>
      <w:marRight w:val="0"/>
      <w:marTop w:val="0"/>
      <w:marBottom w:val="0"/>
      <w:divBdr>
        <w:top w:val="none" w:sz="0" w:space="0" w:color="auto"/>
        <w:left w:val="none" w:sz="0" w:space="0" w:color="auto"/>
        <w:bottom w:val="none" w:sz="0" w:space="0" w:color="auto"/>
        <w:right w:val="none" w:sz="0" w:space="0" w:color="auto"/>
      </w:divBdr>
    </w:div>
    <w:div w:id="1658146250">
      <w:bodyDiv w:val="1"/>
      <w:marLeft w:val="0"/>
      <w:marRight w:val="0"/>
      <w:marTop w:val="0"/>
      <w:marBottom w:val="0"/>
      <w:divBdr>
        <w:top w:val="none" w:sz="0" w:space="0" w:color="auto"/>
        <w:left w:val="none" w:sz="0" w:space="0" w:color="auto"/>
        <w:bottom w:val="none" w:sz="0" w:space="0" w:color="auto"/>
        <w:right w:val="none" w:sz="0" w:space="0" w:color="auto"/>
      </w:divBdr>
    </w:div>
    <w:div w:id="1660382679">
      <w:bodyDiv w:val="1"/>
      <w:marLeft w:val="0"/>
      <w:marRight w:val="0"/>
      <w:marTop w:val="0"/>
      <w:marBottom w:val="0"/>
      <w:divBdr>
        <w:top w:val="none" w:sz="0" w:space="0" w:color="auto"/>
        <w:left w:val="none" w:sz="0" w:space="0" w:color="auto"/>
        <w:bottom w:val="none" w:sz="0" w:space="0" w:color="auto"/>
        <w:right w:val="none" w:sz="0" w:space="0" w:color="auto"/>
      </w:divBdr>
    </w:div>
    <w:div w:id="1660696486">
      <w:bodyDiv w:val="1"/>
      <w:marLeft w:val="0"/>
      <w:marRight w:val="0"/>
      <w:marTop w:val="0"/>
      <w:marBottom w:val="0"/>
      <w:divBdr>
        <w:top w:val="none" w:sz="0" w:space="0" w:color="auto"/>
        <w:left w:val="none" w:sz="0" w:space="0" w:color="auto"/>
        <w:bottom w:val="none" w:sz="0" w:space="0" w:color="auto"/>
        <w:right w:val="none" w:sz="0" w:space="0" w:color="auto"/>
      </w:divBdr>
    </w:div>
    <w:div w:id="1662074090">
      <w:bodyDiv w:val="1"/>
      <w:marLeft w:val="0"/>
      <w:marRight w:val="0"/>
      <w:marTop w:val="0"/>
      <w:marBottom w:val="0"/>
      <w:divBdr>
        <w:top w:val="none" w:sz="0" w:space="0" w:color="auto"/>
        <w:left w:val="none" w:sz="0" w:space="0" w:color="auto"/>
        <w:bottom w:val="none" w:sz="0" w:space="0" w:color="auto"/>
        <w:right w:val="none" w:sz="0" w:space="0" w:color="auto"/>
      </w:divBdr>
    </w:div>
    <w:div w:id="1662734425">
      <w:bodyDiv w:val="1"/>
      <w:marLeft w:val="0"/>
      <w:marRight w:val="0"/>
      <w:marTop w:val="0"/>
      <w:marBottom w:val="0"/>
      <w:divBdr>
        <w:top w:val="none" w:sz="0" w:space="0" w:color="auto"/>
        <w:left w:val="none" w:sz="0" w:space="0" w:color="auto"/>
        <w:bottom w:val="none" w:sz="0" w:space="0" w:color="auto"/>
        <w:right w:val="none" w:sz="0" w:space="0" w:color="auto"/>
      </w:divBdr>
    </w:div>
    <w:div w:id="1662927515">
      <w:bodyDiv w:val="1"/>
      <w:marLeft w:val="0"/>
      <w:marRight w:val="0"/>
      <w:marTop w:val="0"/>
      <w:marBottom w:val="0"/>
      <w:divBdr>
        <w:top w:val="none" w:sz="0" w:space="0" w:color="auto"/>
        <w:left w:val="none" w:sz="0" w:space="0" w:color="auto"/>
        <w:bottom w:val="none" w:sz="0" w:space="0" w:color="auto"/>
        <w:right w:val="none" w:sz="0" w:space="0" w:color="auto"/>
      </w:divBdr>
    </w:div>
    <w:div w:id="1663196325">
      <w:bodyDiv w:val="1"/>
      <w:marLeft w:val="0"/>
      <w:marRight w:val="0"/>
      <w:marTop w:val="0"/>
      <w:marBottom w:val="0"/>
      <w:divBdr>
        <w:top w:val="none" w:sz="0" w:space="0" w:color="auto"/>
        <w:left w:val="none" w:sz="0" w:space="0" w:color="auto"/>
        <w:bottom w:val="none" w:sz="0" w:space="0" w:color="auto"/>
        <w:right w:val="none" w:sz="0" w:space="0" w:color="auto"/>
      </w:divBdr>
    </w:div>
    <w:div w:id="1664777075">
      <w:bodyDiv w:val="1"/>
      <w:marLeft w:val="0"/>
      <w:marRight w:val="0"/>
      <w:marTop w:val="0"/>
      <w:marBottom w:val="0"/>
      <w:divBdr>
        <w:top w:val="none" w:sz="0" w:space="0" w:color="auto"/>
        <w:left w:val="none" w:sz="0" w:space="0" w:color="auto"/>
        <w:bottom w:val="none" w:sz="0" w:space="0" w:color="auto"/>
        <w:right w:val="none" w:sz="0" w:space="0" w:color="auto"/>
      </w:divBdr>
    </w:div>
    <w:div w:id="1667630723">
      <w:bodyDiv w:val="1"/>
      <w:marLeft w:val="0"/>
      <w:marRight w:val="0"/>
      <w:marTop w:val="0"/>
      <w:marBottom w:val="0"/>
      <w:divBdr>
        <w:top w:val="none" w:sz="0" w:space="0" w:color="auto"/>
        <w:left w:val="none" w:sz="0" w:space="0" w:color="auto"/>
        <w:bottom w:val="none" w:sz="0" w:space="0" w:color="auto"/>
        <w:right w:val="none" w:sz="0" w:space="0" w:color="auto"/>
      </w:divBdr>
    </w:div>
    <w:div w:id="1668050116">
      <w:bodyDiv w:val="1"/>
      <w:marLeft w:val="0"/>
      <w:marRight w:val="0"/>
      <w:marTop w:val="0"/>
      <w:marBottom w:val="0"/>
      <w:divBdr>
        <w:top w:val="none" w:sz="0" w:space="0" w:color="auto"/>
        <w:left w:val="none" w:sz="0" w:space="0" w:color="auto"/>
        <w:bottom w:val="none" w:sz="0" w:space="0" w:color="auto"/>
        <w:right w:val="none" w:sz="0" w:space="0" w:color="auto"/>
      </w:divBdr>
    </w:div>
    <w:div w:id="1668635760">
      <w:bodyDiv w:val="1"/>
      <w:marLeft w:val="0"/>
      <w:marRight w:val="0"/>
      <w:marTop w:val="0"/>
      <w:marBottom w:val="0"/>
      <w:divBdr>
        <w:top w:val="none" w:sz="0" w:space="0" w:color="auto"/>
        <w:left w:val="none" w:sz="0" w:space="0" w:color="auto"/>
        <w:bottom w:val="none" w:sz="0" w:space="0" w:color="auto"/>
        <w:right w:val="none" w:sz="0" w:space="0" w:color="auto"/>
      </w:divBdr>
    </w:div>
    <w:div w:id="1670792549">
      <w:bodyDiv w:val="1"/>
      <w:marLeft w:val="0"/>
      <w:marRight w:val="0"/>
      <w:marTop w:val="0"/>
      <w:marBottom w:val="0"/>
      <w:divBdr>
        <w:top w:val="none" w:sz="0" w:space="0" w:color="auto"/>
        <w:left w:val="none" w:sz="0" w:space="0" w:color="auto"/>
        <w:bottom w:val="none" w:sz="0" w:space="0" w:color="auto"/>
        <w:right w:val="none" w:sz="0" w:space="0" w:color="auto"/>
      </w:divBdr>
    </w:div>
    <w:div w:id="1670868623">
      <w:bodyDiv w:val="1"/>
      <w:marLeft w:val="0"/>
      <w:marRight w:val="0"/>
      <w:marTop w:val="0"/>
      <w:marBottom w:val="0"/>
      <w:divBdr>
        <w:top w:val="none" w:sz="0" w:space="0" w:color="auto"/>
        <w:left w:val="none" w:sz="0" w:space="0" w:color="auto"/>
        <w:bottom w:val="none" w:sz="0" w:space="0" w:color="auto"/>
        <w:right w:val="none" w:sz="0" w:space="0" w:color="auto"/>
      </w:divBdr>
    </w:div>
    <w:div w:id="1671326495">
      <w:bodyDiv w:val="1"/>
      <w:marLeft w:val="0"/>
      <w:marRight w:val="0"/>
      <w:marTop w:val="0"/>
      <w:marBottom w:val="0"/>
      <w:divBdr>
        <w:top w:val="none" w:sz="0" w:space="0" w:color="auto"/>
        <w:left w:val="none" w:sz="0" w:space="0" w:color="auto"/>
        <w:bottom w:val="none" w:sz="0" w:space="0" w:color="auto"/>
        <w:right w:val="none" w:sz="0" w:space="0" w:color="auto"/>
      </w:divBdr>
    </w:div>
    <w:div w:id="1672565696">
      <w:bodyDiv w:val="1"/>
      <w:marLeft w:val="0"/>
      <w:marRight w:val="0"/>
      <w:marTop w:val="0"/>
      <w:marBottom w:val="0"/>
      <w:divBdr>
        <w:top w:val="none" w:sz="0" w:space="0" w:color="auto"/>
        <w:left w:val="none" w:sz="0" w:space="0" w:color="auto"/>
        <w:bottom w:val="none" w:sz="0" w:space="0" w:color="auto"/>
        <w:right w:val="none" w:sz="0" w:space="0" w:color="auto"/>
      </w:divBdr>
    </w:div>
    <w:div w:id="1674379393">
      <w:bodyDiv w:val="1"/>
      <w:marLeft w:val="0"/>
      <w:marRight w:val="0"/>
      <w:marTop w:val="0"/>
      <w:marBottom w:val="0"/>
      <w:divBdr>
        <w:top w:val="none" w:sz="0" w:space="0" w:color="auto"/>
        <w:left w:val="none" w:sz="0" w:space="0" w:color="auto"/>
        <w:bottom w:val="none" w:sz="0" w:space="0" w:color="auto"/>
        <w:right w:val="none" w:sz="0" w:space="0" w:color="auto"/>
      </w:divBdr>
    </w:div>
    <w:div w:id="1676035340">
      <w:bodyDiv w:val="1"/>
      <w:marLeft w:val="0"/>
      <w:marRight w:val="0"/>
      <w:marTop w:val="0"/>
      <w:marBottom w:val="0"/>
      <w:divBdr>
        <w:top w:val="none" w:sz="0" w:space="0" w:color="auto"/>
        <w:left w:val="none" w:sz="0" w:space="0" w:color="auto"/>
        <w:bottom w:val="none" w:sz="0" w:space="0" w:color="auto"/>
        <w:right w:val="none" w:sz="0" w:space="0" w:color="auto"/>
      </w:divBdr>
    </w:div>
    <w:div w:id="1677997913">
      <w:bodyDiv w:val="1"/>
      <w:marLeft w:val="0"/>
      <w:marRight w:val="0"/>
      <w:marTop w:val="0"/>
      <w:marBottom w:val="0"/>
      <w:divBdr>
        <w:top w:val="none" w:sz="0" w:space="0" w:color="auto"/>
        <w:left w:val="none" w:sz="0" w:space="0" w:color="auto"/>
        <w:bottom w:val="none" w:sz="0" w:space="0" w:color="auto"/>
        <w:right w:val="none" w:sz="0" w:space="0" w:color="auto"/>
      </w:divBdr>
    </w:div>
    <w:div w:id="1678775921">
      <w:bodyDiv w:val="1"/>
      <w:marLeft w:val="0"/>
      <w:marRight w:val="0"/>
      <w:marTop w:val="0"/>
      <w:marBottom w:val="0"/>
      <w:divBdr>
        <w:top w:val="none" w:sz="0" w:space="0" w:color="auto"/>
        <w:left w:val="none" w:sz="0" w:space="0" w:color="auto"/>
        <w:bottom w:val="none" w:sz="0" w:space="0" w:color="auto"/>
        <w:right w:val="none" w:sz="0" w:space="0" w:color="auto"/>
      </w:divBdr>
    </w:div>
    <w:div w:id="1682315889">
      <w:bodyDiv w:val="1"/>
      <w:marLeft w:val="0"/>
      <w:marRight w:val="0"/>
      <w:marTop w:val="0"/>
      <w:marBottom w:val="0"/>
      <w:divBdr>
        <w:top w:val="none" w:sz="0" w:space="0" w:color="auto"/>
        <w:left w:val="none" w:sz="0" w:space="0" w:color="auto"/>
        <w:bottom w:val="none" w:sz="0" w:space="0" w:color="auto"/>
        <w:right w:val="none" w:sz="0" w:space="0" w:color="auto"/>
      </w:divBdr>
    </w:div>
    <w:div w:id="1683430469">
      <w:bodyDiv w:val="1"/>
      <w:marLeft w:val="0"/>
      <w:marRight w:val="0"/>
      <w:marTop w:val="0"/>
      <w:marBottom w:val="0"/>
      <w:divBdr>
        <w:top w:val="none" w:sz="0" w:space="0" w:color="auto"/>
        <w:left w:val="none" w:sz="0" w:space="0" w:color="auto"/>
        <w:bottom w:val="none" w:sz="0" w:space="0" w:color="auto"/>
        <w:right w:val="none" w:sz="0" w:space="0" w:color="auto"/>
      </w:divBdr>
    </w:div>
    <w:div w:id="1684018441">
      <w:bodyDiv w:val="1"/>
      <w:marLeft w:val="0"/>
      <w:marRight w:val="0"/>
      <w:marTop w:val="0"/>
      <w:marBottom w:val="0"/>
      <w:divBdr>
        <w:top w:val="none" w:sz="0" w:space="0" w:color="auto"/>
        <w:left w:val="none" w:sz="0" w:space="0" w:color="auto"/>
        <w:bottom w:val="none" w:sz="0" w:space="0" w:color="auto"/>
        <w:right w:val="none" w:sz="0" w:space="0" w:color="auto"/>
      </w:divBdr>
    </w:div>
    <w:div w:id="1685739778">
      <w:bodyDiv w:val="1"/>
      <w:marLeft w:val="0"/>
      <w:marRight w:val="0"/>
      <w:marTop w:val="0"/>
      <w:marBottom w:val="0"/>
      <w:divBdr>
        <w:top w:val="none" w:sz="0" w:space="0" w:color="auto"/>
        <w:left w:val="none" w:sz="0" w:space="0" w:color="auto"/>
        <w:bottom w:val="none" w:sz="0" w:space="0" w:color="auto"/>
        <w:right w:val="none" w:sz="0" w:space="0" w:color="auto"/>
      </w:divBdr>
    </w:div>
    <w:div w:id="1687825765">
      <w:bodyDiv w:val="1"/>
      <w:marLeft w:val="0"/>
      <w:marRight w:val="0"/>
      <w:marTop w:val="0"/>
      <w:marBottom w:val="0"/>
      <w:divBdr>
        <w:top w:val="none" w:sz="0" w:space="0" w:color="auto"/>
        <w:left w:val="none" w:sz="0" w:space="0" w:color="auto"/>
        <w:bottom w:val="none" w:sz="0" w:space="0" w:color="auto"/>
        <w:right w:val="none" w:sz="0" w:space="0" w:color="auto"/>
      </w:divBdr>
    </w:div>
    <w:div w:id="1687903199">
      <w:bodyDiv w:val="1"/>
      <w:marLeft w:val="0"/>
      <w:marRight w:val="0"/>
      <w:marTop w:val="0"/>
      <w:marBottom w:val="0"/>
      <w:divBdr>
        <w:top w:val="none" w:sz="0" w:space="0" w:color="auto"/>
        <w:left w:val="none" w:sz="0" w:space="0" w:color="auto"/>
        <w:bottom w:val="none" w:sz="0" w:space="0" w:color="auto"/>
        <w:right w:val="none" w:sz="0" w:space="0" w:color="auto"/>
      </w:divBdr>
    </w:div>
    <w:div w:id="1688408368">
      <w:bodyDiv w:val="1"/>
      <w:marLeft w:val="0"/>
      <w:marRight w:val="0"/>
      <w:marTop w:val="0"/>
      <w:marBottom w:val="0"/>
      <w:divBdr>
        <w:top w:val="none" w:sz="0" w:space="0" w:color="auto"/>
        <w:left w:val="none" w:sz="0" w:space="0" w:color="auto"/>
        <w:bottom w:val="none" w:sz="0" w:space="0" w:color="auto"/>
        <w:right w:val="none" w:sz="0" w:space="0" w:color="auto"/>
      </w:divBdr>
    </w:div>
    <w:div w:id="1689791627">
      <w:bodyDiv w:val="1"/>
      <w:marLeft w:val="0"/>
      <w:marRight w:val="0"/>
      <w:marTop w:val="0"/>
      <w:marBottom w:val="0"/>
      <w:divBdr>
        <w:top w:val="none" w:sz="0" w:space="0" w:color="auto"/>
        <w:left w:val="none" w:sz="0" w:space="0" w:color="auto"/>
        <w:bottom w:val="none" w:sz="0" w:space="0" w:color="auto"/>
        <w:right w:val="none" w:sz="0" w:space="0" w:color="auto"/>
      </w:divBdr>
    </w:div>
    <w:div w:id="1690596176">
      <w:bodyDiv w:val="1"/>
      <w:marLeft w:val="0"/>
      <w:marRight w:val="0"/>
      <w:marTop w:val="0"/>
      <w:marBottom w:val="0"/>
      <w:divBdr>
        <w:top w:val="none" w:sz="0" w:space="0" w:color="auto"/>
        <w:left w:val="none" w:sz="0" w:space="0" w:color="auto"/>
        <w:bottom w:val="none" w:sz="0" w:space="0" w:color="auto"/>
        <w:right w:val="none" w:sz="0" w:space="0" w:color="auto"/>
      </w:divBdr>
    </w:div>
    <w:div w:id="1691684403">
      <w:bodyDiv w:val="1"/>
      <w:marLeft w:val="0"/>
      <w:marRight w:val="0"/>
      <w:marTop w:val="0"/>
      <w:marBottom w:val="0"/>
      <w:divBdr>
        <w:top w:val="none" w:sz="0" w:space="0" w:color="auto"/>
        <w:left w:val="none" w:sz="0" w:space="0" w:color="auto"/>
        <w:bottom w:val="none" w:sz="0" w:space="0" w:color="auto"/>
        <w:right w:val="none" w:sz="0" w:space="0" w:color="auto"/>
      </w:divBdr>
    </w:div>
    <w:div w:id="1693334990">
      <w:bodyDiv w:val="1"/>
      <w:marLeft w:val="0"/>
      <w:marRight w:val="0"/>
      <w:marTop w:val="0"/>
      <w:marBottom w:val="0"/>
      <w:divBdr>
        <w:top w:val="none" w:sz="0" w:space="0" w:color="auto"/>
        <w:left w:val="none" w:sz="0" w:space="0" w:color="auto"/>
        <w:bottom w:val="none" w:sz="0" w:space="0" w:color="auto"/>
        <w:right w:val="none" w:sz="0" w:space="0" w:color="auto"/>
      </w:divBdr>
    </w:div>
    <w:div w:id="1694066673">
      <w:bodyDiv w:val="1"/>
      <w:marLeft w:val="0"/>
      <w:marRight w:val="0"/>
      <w:marTop w:val="0"/>
      <w:marBottom w:val="0"/>
      <w:divBdr>
        <w:top w:val="none" w:sz="0" w:space="0" w:color="auto"/>
        <w:left w:val="none" w:sz="0" w:space="0" w:color="auto"/>
        <w:bottom w:val="none" w:sz="0" w:space="0" w:color="auto"/>
        <w:right w:val="none" w:sz="0" w:space="0" w:color="auto"/>
      </w:divBdr>
    </w:div>
    <w:div w:id="1695617515">
      <w:bodyDiv w:val="1"/>
      <w:marLeft w:val="0"/>
      <w:marRight w:val="0"/>
      <w:marTop w:val="0"/>
      <w:marBottom w:val="0"/>
      <w:divBdr>
        <w:top w:val="none" w:sz="0" w:space="0" w:color="auto"/>
        <w:left w:val="none" w:sz="0" w:space="0" w:color="auto"/>
        <w:bottom w:val="none" w:sz="0" w:space="0" w:color="auto"/>
        <w:right w:val="none" w:sz="0" w:space="0" w:color="auto"/>
      </w:divBdr>
    </w:div>
    <w:div w:id="1698238777">
      <w:bodyDiv w:val="1"/>
      <w:marLeft w:val="0"/>
      <w:marRight w:val="0"/>
      <w:marTop w:val="0"/>
      <w:marBottom w:val="0"/>
      <w:divBdr>
        <w:top w:val="none" w:sz="0" w:space="0" w:color="auto"/>
        <w:left w:val="none" w:sz="0" w:space="0" w:color="auto"/>
        <w:bottom w:val="none" w:sz="0" w:space="0" w:color="auto"/>
        <w:right w:val="none" w:sz="0" w:space="0" w:color="auto"/>
      </w:divBdr>
    </w:div>
    <w:div w:id="1700399113">
      <w:bodyDiv w:val="1"/>
      <w:marLeft w:val="0"/>
      <w:marRight w:val="0"/>
      <w:marTop w:val="0"/>
      <w:marBottom w:val="0"/>
      <w:divBdr>
        <w:top w:val="none" w:sz="0" w:space="0" w:color="auto"/>
        <w:left w:val="none" w:sz="0" w:space="0" w:color="auto"/>
        <w:bottom w:val="none" w:sz="0" w:space="0" w:color="auto"/>
        <w:right w:val="none" w:sz="0" w:space="0" w:color="auto"/>
      </w:divBdr>
    </w:div>
    <w:div w:id="1700661412">
      <w:bodyDiv w:val="1"/>
      <w:marLeft w:val="0"/>
      <w:marRight w:val="0"/>
      <w:marTop w:val="0"/>
      <w:marBottom w:val="0"/>
      <w:divBdr>
        <w:top w:val="none" w:sz="0" w:space="0" w:color="auto"/>
        <w:left w:val="none" w:sz="0" w:space="0" w:color="auto"/>
        <w:bottom w:val="none" w:sz="0" w:space="0" w:color="auto"/>
        <w:right w:val="none" w:sz="0" w:space="0" w:color="auto"/>
      </w:divBdr>
    </w:div>
    <w:div w:id="1703244311">
      <w:bodyDiv w:val="1"/>
      <w:marLeft w:val="0"/>
      <w:marRight w:val="0"/>
      <w:marTop w:val="0"/>
      <w:marBottom w:val="0"/>
      <w:divBdr>
        <w:top w:val="none" w:sz="0" w:space="0" w:color="auto"/>
        <w:left w:val="none" w:sz="0" w:space="0" w:color="auto"/>
        <w:bottom w:val="none" w:sz="0" w:space="0" w:color="auto"/>
        <w:right w:val="none" w:sz="0" w:space="0" w:color="auto"/>
      </w:divBdr>
    </w:div>
    <w:div w:id="1705329046">
      <w:bodyDiv w:val="1"/>
      <w:marLeft w:val="0"/>
      <w:marRight w:val="0"/>
      <w:marTop w:val="0"/>
      <w:marBottom w:val="0"/>
      <w:divBdr>
        <w:top w:val="none" w:sz="0" w:space="0" w:color="auto"/>
        <w:left w:val="none" w:sz="0" w:space="0" w:color="auto"/>
        <w:bottom w:val="none" w:sz="0" w:space="0" w:color="auto"/>
        <w:right w:val="none" w:sz="0" w:space="0" w:color="auto"/>
      </w:divBdr>
    </w:div>
    <w:div w:id="1705906742">
      <w:bodyDiv w:val="1"/>
      <w:marLeft w:val="0"/>
      <w:marRight w:val="0"/>
      <w:marTop w:val="0"/>
      <w:marBottom w:val="0"/>
      <w:divBdr>
        <w:top w:val="none" w:sz="0" w:space="0" w:color="auto"/>
        <w:left w:val="none" w:sz="0" w:space="0" w:color="auto"/>
        <w:bottom w:val="none" w:sz="0" w:space="0" w:color="auto"/>
        <w:right w:val="none" w:sz="0" w:space="0" w:color="auto"/>
      </w:divBdr>
    </w:div>
    <w:div w:id="1706170259">
      <w:bodyDiv w:val="1"/>
      <w:marLeft w:val="0"/>
      <w:marRight w:val="0"/>
      <w:marTop w:val="0"/>
      <w:marBottom w:val="0"/>
      <w:divBdr>
        <w:top w:val="none" w:sz="0" w:space="0" w:color="auto"/>
        <w:left w:val="none" w:sz="0" w:space="0" w:color="auto"/>
        <w:bottom w:val="none" w:sz="0" w:space="0" w:color="auto"/>
        <w:right w:val="none" w:sz="0" w:space="0" w:color="auto"/>
      </w:divBdr>
    </w:div>
    <w:div w:id="1706178481">
      <w:bodyDiv w:val="1"/>
      <w:marLeft w:val="0"/>
      <w:marRight w:val="0"/>
      <w:marTop w:val="0"/>
      <w:marBottom w:val="0"/>
      <w:divBdr>
        <w:top w:val="none" w:sz="0" w:space="0" w:color="auto"/>
        <w:left w:val="none" w:sz="0" w:space="0" w:color="auto"/>
        <w:bottom w:val="none" w:sz="0" w:space="0" w:color="auto"/>
        <w:right w:val="none" w:sz="0" w:space="0" w:color="auto"/>
      </w:divBdr>
    </w:div>
    <w:div w:id="1708528644">
      <w:bodyDiv w:val="1"/>
      <w:marLeft w:val="0"/>
      <w:marRight w:val="0"/>
      <w:marTop w:val="0"/>
      <w:marBottom w:val="0"/>
      <w:divBdr>
        <w:top w:val="none" w:sz="0" w:space="0" w:color="auto"/>
        <w:left w:val="none" w:sz="0" w:space="0" w:color="auto"/>
        <w:bottom w:val="none" w:sz="0" w:space="0" w:color="auto"/>
        <w:right w:val="none" w:sz="0" w:space="0" w:color="auto"/>
      </w:divBdr>
    </w:div>
    <w:div w:id="1709909376">
      <w:bodyDiv w:val="1"/>
      <w:marLeft w:val="0"/>
      <w:marRight w:val="0"/>
      <w:marTop w:val="0"/>
      <w:marBottom w:val="0"/>
      <w:divBdr>
        <w:top w:val="none" w:sz="0" w:space="0" w:color="auto"/>
        <w:left w:val="none" w:sz="0" w:space="0" w:color="auto"/>
        <w:bottom w:val="none" w:sz="0" w:space="0" w:color="auto"/>
        <w:right w:val="none" w:sz="0" w:space="0" w:color="auto"/>
      </w:divBdr>
    </w:div>
    <w:div w:id="1710564544">
      <w:bodyDiv w:val="1"/>
      <w:marLeft w:val="0"/>
      <w:marRight w:val="0"/>
      <w:marTop w:val="0"/>
      <w:marBottom w:val="0"/>
      <w:divBdr>
        <w:top w:val="none" w:sz="0" w:space="0" w:color="auto"/>
        <w:left w:val="none" w:sz="0" w:space="0" w:color="auto"/>
        <w:bottom w:val="none" w:sz="0" w:space="0" w:color="auto"/>
        <w:right w:val="none" w:sz="0" w:space="0" w:color="auto"/>
      </w:divBdr>
    </w:div>
    <w:div w:id="1711958557">
      <w:bodyDiv w:val="1"/>
      <w:marLeft w:val="0"/>
      <w:marRight w:val="0"/>
      <w:marTop w:val="0"/>
      <w:marBottom w:val="0"/>
      <w:divBdr>
        <w:top w:val="none" w:sz="0" w:space="0" w:color="auto"/>
        <w:left w:val="none" w:sz="0" w:space="0" w:color="auto"/>
        <w:bottom w:val="none" w:sz="0" w:space="0" w:color="auto"/>
        <w:right w:val="none" w:sz="0" w:space="0" w:color="auto"/>
      </w:divBdr>
    </w:div>
    <w:div w:id="1712224237">
      <w:bodyDiv w:val="1"/>
      <w:marLeft w:val="0"/>
      <w:marRight w:val="0"/>
      <w:marTop w:val="0"/>
      <w:marBottom w:val="0"/>
      <w:divBdr>
        <w:top w:val="none" w:sz="0" w:space="0" w:color="auto"/>
        <w:left w:val="none" w:sz="0" w:space="0" w:color="auto"/>
        <w:bottom w:val="none" w:sz="0" w:space="0" w:color="auto"/>
        <w:right w:val="none" w:sz="0" w:space="0" w:color="auto"/>
      </w:divBdr>
    </w:div>
    <w:div w:id="1714117582">
      <w:bodyDiv w:val="1"/>
      <w:marLeft w:val="0"/>
      <w:marRight w:val="0"/>
      <w:marTop w:val="0"/>
      <w:marBottom w:val="0"/>
      <w:divBdr>
        <w:top w:val="none" w:sz="0" w:space="0" w:color="auto"/>
        <w:left w:val="none" w:sz="0" w:space="0" w:color="auto"/>
        <w:bottom w:val="none" w:sz="0" w:space="0" w:color="auto"/>
        <w:right w:val="none" w:sz="0" w:space="0" w:color="auto"/>
      </w:divBdr>
    </w:div>
    <w:div w:id="1716810632">
      <w:bodyDiv w:val="1"/>
      <w:marLeft w:val="0"/>
      <w:marRight w:val="0"/>
      <w:marTop w:val="0"/>
      <w:marBottom w:val="0"/>
      <w:divBdr>
        <w:top w:val="none" w:sz="0" w:space="0" w:color="auto"/>
        <w:left w:val="none" w:sz="0" w:space="0" w:color="auto"/>
        <w:bottom w:val="none" w:sz="0" w:space="0" w:color="auto"/>
        <w:right w:val="none" w:sz="0" w:space="0" w:color="auto"/>
      </w:divBdr>
    </w:div>
    <w:div w:id="1717391154">
      <w:bodyDiv w:val="1"/>
      <w:marLeft w:val="0"/>
      <w:marRight w:val="0"/>
      <w:marTop w:val="0"/>
      <w:marBottom w:val="0"/>
      <w:divBdr>
        <w:top w:val="none" w:sz="0" w:space="0" w:color="auto"/>
        <w:left w:val="none" w:sz="0" w:space="0" w:color="auto"/>
        <w:bottom w:val="none" w:sz="0" w:space="0" w:color="auto"/>
        <w:right w:val="none" w:sz="0" w:space="0" w:color="auto"/>
      </w:divBdr>
    </w:div>
    <w:div w:id="1719360047">
      <w:bodyDiv w:val="1"/>
      <w:marLeft w:val="0"/>
      <w:marRight w:val="0"/>
      <w:marTop w:val="0"/>
      <w:marBottom w:val="0"/>
      <w:divBdr>
        <w:top w:val="none" w:sz="0" w:space="0" w:color="auto"/>
        <w:left w:val="none" w:sz="0" w:space="0" w:color="auto"/>
        <w:bottom w:val="none" w:sz="0" w:space="0" w:color="auto"/>
        <w:right w:val="none" w:sz="0" w:space="0" w:color="auto"/>
      </w:divBdr>
    </w:div>
    <w:div w:id="1721393372">
      <w:bodyDiv w:val="1"/>
      <w:marLeft w:val="0"/>
      <w:marRight w:val="0"/>
      <w:marTop w:val="0"/>
      <w:marBottom w:val="0"/>
      <w:divBdr>
        <w:top w:val="none" w:sz="0" w:space="0" w:color="auto"/>
        <w:left w:val="none" w:sz="0" w:space="0" w:color="auto"/>
        <w:bottom w:val="none" w:sz="0" w:space="0" w:color="auto"/>
        <w:right w:val="none" w:sz="0" w:space="0" w:color="auto"/>
      </w:divBdr>
    </w:div>
    <w:div w:id="1721444124">
      <w:bodyDiv w:val="1"/>
      <w:marLeft w:val="0"/>
      <w:marRight w:val="0"/>
      <w:marTop w:val="0"/>
      <w:marBottom w:val="0"/>
      <w:divBdr>
        <w:top w:val="none" w:sz="0" w:space="0" w:color="auto"/>
        <w:left w:val="none" w:sz="0" w:space="0" w:color="auto"/>
        <w:bottom w:val="none" w:sz="0" w:space="0" w:color="auto"/>
        <w:right w:val="none" w:sz="0" w:space="0" w:color="auto"/>
      </w:divBdr>
    </w:div>
    <w:div w:id="1724713937">
      <w:bodyDiv w:val="1"/>
      <w:marLeft w:val="0"/>
      <w:marRight w:val="0"/>
      <w:marTop w:val="0"/>
      <w:marBottom w:val="0"/>
      <w:divBdr>
        <w:top w:val="none" w:sz="0" w:space="0" w:color="auto"/>
        <w:left w:val="none" w:sz="0" w:space="0" w:color="auto"/>
        <w:bottom w:val="none" w:sz="0" w:space="0" w:color="auto"/>
        <w:right w:val="none" w:sz="0" w:space="0" w:color="auto"/>
      </w:divBdr>
    </w:div>
    <w:div w:id="1724716153">
      <w:bodyDiv w:val="1"/>
      <w:marLeft w:val="0"/>
      <w:marRight w:val="0"/>
      <w:marTop w:val="0"/>
      <w:marBottom w:val="0"/>
      <w:divBdr>
        <w:top w:val="none" w:sz="0" w:space="0" w:color="auto"/>
        <w:left w:val="none" w:sz="0" w:space="0" w:color="auto"/>
        <w:bottom w:val="none" w:sz="0" w:space="0" w:color="auto"/>
        <w:right w:val="none" w:sz="0" w:space="0" w:color="auto"/>
      </w:divBdr>
    </w:div>
    <w:div w:id="1725062355">
      <w:bodyDiv w:val="1"/>
      <w:marLeft w:val="0"/>
      <w:marRight w:val="0"/>
      <w:marTop w:val="0"/>
      <w:marBottom w:val="0"/>
      <w:divBdr>
        <w:top w:val="none" w:sz="0" w:space="0" w:color="auto"/>
        <w:left w:val="none" w:sz="0" w:space="0" w:color="auto"/>
        <w:bottom w:val="none" w:sz="0" w:space="0" w:color="auto"/>
        <w:right w:val="none" w:sz="0" w:space="0" w:color="auto"/>
      </w:divBdr>
    </w:div>
    <w:div w:id="1731151732">
      <w:bodyDiv w:val="1"/>
      <w:marLeft w:val="0"/>
      <w:marRight w:val="0"/>
      <w:marTop w:val="0"/>
      <w:marBottom w:val="0"/>
      <w:divBdr>
        <w:top w:val="none" w:sz="0" w:space="0" w:color="auto"/>
        <w:left w:val="none" w:sz="0" w:space="0" w:color="auto"/>
        <w:bottom w:val="none" w:sz="0" w:space="0" w:color="auto"/>
        <w:right w:val="none" w:sz="0" w:space="0" w:color="auto"/>
      </w:divBdr>
    </w:div>
    <w:div w:id="1731223513">
      <w:bodyDiv w:val="1"/>
      <w:marLeft w:val="0"/>
      <w:marRight w:val="0"/>
      <w:marTop w:val="0"/>
      <w:marBottom w:val="0"/>
      <w:divBdr>
        <w:top w:val="none" w:sz="0" w:space="0" w:color="auto"/>
        <w:left w:val="none" w:sz="0" w:space="0" w:color="auto"/>
        <w:bottom w:val="none" w:sz="0" w:space="0" w:color="auto"/>
        <w:right w:val="none" w:sz="0" w:space="0" w:color="auto"/>
      </w:divBdr>
    </w:div>
    <w:div w:id="1733195708">
      <w:bodyDiv w:val="1"/>
      <w:marLeft w:val="0"/>
      <w:marRight w:val="0"/>
      <w:marTop w:val="0"/>
      <w:marBottom w:val="0"/>
      <w:divBdr>
        <w:top w:val="none" w:sz="0" w:space="0" w:color="auto"/>
        <w:left w:val="none" w:sz="0" w:space="0" w:color="auto"/>
        <w:bottom w:val="none" w:sz="0" w:space="0" w:color="auto"/>
        <w:right w:val="none" w:sz="0" w:space="0" w:color="auto"/>
      </w:divBdr>
    </w:div>
    <w:div w:id="1735591213">
      <w:bodyDiv w:val="1"/>
      <w:marLeft w:val="0"/>
      <w:marRight w:val="0"/>
      <w:marTop w:val="0"/>
      <w:marBottom w:val="0"/>
      <w:divBdr>
        <w:top w:val="none" w:sz="0" w:space="0" w:color="auto"/>
        <w:left w:val="none" w:sz="0" w:space="0" w:color="auto"/>
        <w:bottom w:val="none" w:sz="0" w:space="0" w:color="auto"/>
        <w:right w:val="none" w:sz="0" w:space="0" w:color="auto"/>
      </w:divBdr>
    </w:div>
    <w:div w:id="1736318108">
      <w:bodyDiv w:val="1"/>
      <w:marLeft w:val="0"/>
      <w:marRight w:val="0"/>
      <w:marTop w:val="0"/>
      <w:marBottom w:val="0"/>
      <w:divBdr>
        <w:top w:val="none" w:sz="0" w:space="0" w:color="auto"/>
        <w:left w:val="none" w:sz="0" w:space="0" w:color="auto"/>
        <w:bottom w:val="none" w:sz="0" w:space="0" w:color="auto"/>
        <w:right w:val="none" w:sz="0" w:space="0" w:color="auto"/>
      </w:divBdr>
    </w:div>
    <w:div w:id="1737513641">
      <w:bodyDiv w:val="1"/>
      <w:marLeft w:val="0"/>
      <w:marRight w:val="0"/>
      <w:marTop w:val="0"/>
      <w:marBottom w:val="0"/>
      <w:divBdr>
        <w:top w:val="none" w:sz="0" w:space="0" w:color="auto"/>
        <w:left w:val="none" w:sz="0" w:space="0" w:color="auto"/>
        <w:bottom w:val="none" w:sz="0" w:space="0" w:color="auto"/>
        <w:right w:val="none" w:sz="0" w:space="0" w:color="auto"/>
      </w:divBdr>
    </w:div>
    <w:div w:id="1740126880">
      <w:bodyDiv w:val="1"/>
      <w:marLeft w:val="0"/>
      <w:marRight w:val="0"/>
      <w:marTop w:val="0"/>
      <w:marBottom w:val="0"/>
      <w:divBdr>
        <w:top w:val="none" w:sz="0" w:space="0" w:color="auto"/>
        <w:left w:val="none" w:sz="0" w:space="0" w:color="auto"/>
        <w:bottom w:val="none" w:sz="0" w:space="0" w:color="auto"/>
        <w:right w:val="none" w:sz="0" w:space="0" w:color="auto"/>
      </w:divBdr>
    </w:div>
    <w:div w:id="1741056717">
      <w:bodyDiv w:val="1"/>
      <w:marLeft w:val="0"/>
      <w:marRight w:val="0"/>
      <w:marTop w:val="0"/>
      <w:marBottom w:val="0"/>
      <w:divBdr>
        <w:top w:val="none" w:sz="0" w:space="0" w:color="auto"/>
        <w:left w:val="none" w:sz="0" w:space="0" w:color="auto"/>
        <w:bottom w:val="none" w:sz="0" w:space="0" w:color="auto"/>
        <w:right w:val="none" w:sz="0" w:space="0" w:color="auto"/>
      </w:divBdr>
    </w:div>
    <w:div w:id="1742407082">
      <w:bodyDiv w:val="1"/>
      <w:marLeft w:val="0"/>
      <w:marRight w:val="0"/>
      <w:marTop w:val="0"/>
      <w:marBottom w:val="0"/>
      <w:divBdr>
        <w:top w:val="none" w:sz="0" w:space="0" w:color="auto"/>
        <w:left w:val="none" w:sz="0" w:space="0" w:color="auto"/>
        <w:bottom w:val="none" w:sz="0" w:space="0" w:color="auto"/>
        <w:right w:val="none" w:sz="0" w:space="0" w:color="auto"/>
      </w:divBdr>
    </w:div>
    <w:div w:id="1743025726">
      <w:bodyDiv w:val="1"/>
      <w:marLeft w:val="0"/>
      <w:marRight w:val="0"/>
      <w:marTop w:val="0"/>
      <w:marBottom w:val="0"/>
      <w:divBdr>
        <w:top w:val="none" w:sz="0" w:space="0" w:color="auto"/>
        <w:left w:val="none" w:sz="0" w:space="0" w:color="auto"/>
        <w:bottom w:val="none" w:sz="0" w:space="0" w:color="auto"/>
        <w:right w:val="none" w:sz="0" w:space="0" w:color="auto"/>
      </w:divBdr>
    </w:div>
    <w:div w:id="1743403690">
      <w:bodyDiv w:val="1"/>
      <w:marLeft w:val="0"/>
      <w:marRight w:val="0"/>
      <w:marTop w:val="0"/>
      <w:marBottom w:val="0"/>
      <w:divBdr>
        <w:top w:val="none" w:sz="0" w:space="0" w:color="auto"/>
        <w:left w:val="none" w:sz="0" w:space="0" w:color="auto"/>
        <w:bottom w:val="none" w:sz="0" w:space="0" w:color="auto"/>
        <w:right w:val="none" w:sz="0" w:space="0" w:color="auto"/>
      </w:divBdr>
    </w:div>
    <w:div w:id="1747193037">
      <w:bodyDiv w:val="1"/>
      <w:marLeft w:val="0"/>
      <w:marRight w:val="0"/>
      <w:marTop w:val="0"/>
      <w:marBottom w:val="0"/>
      <w:divBdr>
        <w:top w:val="none" w:sz="0" w:space="0" w:color="auto"/>
        <w:left w:val="none" w:sz="0" w:space="0" w:color="auto"/>
        <w:bottom w:val="none" w:sz="0" w:space="0" w:color="auto"/>
        <w:right w:val="none" w:sz="0" w:space="0" w:color="auto"/>
      </w:divBdr>
    </w:div>
    <w:div w:id="1751734864">
      <w:bodyDiv w:val="1"/>
      <w:marLeft w:val="0"/>
      <w:marRight w:val="0"/>
      <w:marTop w:val="0"/>
      <w:marBottom w:val="0"/>
      <w:divBdr>
        <w:top w:val="none" w:sz="0" w:space="0" w:color="auto"/>
        <w:left w:val="none" w:sz="0" w:space="0" w:color="auto"/>
        <w:bottom w:val="none" w:sz="0" w:space="0" w:color="auto"/>
        <w:right w:val="none" w:sz="0" w:space="0" w:color="auto"/>
      </w:divBdr>
    </w:div>
    <w:div w:id="1751847608">
      <w:bodyDiv w:val="1"/>
      <w:marLeft w:val="0"/>
      <w:marRight w:val="0"/>
      <w:marTop w:val="0"/>
      <w:marBottom w:val="0"/>
      <w:divBdr>
        <w:top w:val="none" w:sz="0" w:space="0" w:color="auto"/>
        <w:left w:val="none" w:sz="0" w:space="0" w:color="auto"/>
        <w:bottom w:val="none" w:sz="0" w:space="0" w:color="auto"/>
        <w:right w:val="none" w:sz="0" w:space="0" w:color="auto"/>
      </w:divBdr>
    </w:div>
    <w:div w:id="1752116287">
      <w:bodyDiv w:val="1"/>
      <w:marLeft w:val="0"/>
      <w:marRight w:val="0"/>
      <w:marTop w:val="0"/>
      <w:marBottom w:val="0"/>
      <w:divBdr>
        <w:top w:val="none" w:sz="0" w:space="0" w:color="auto"/>
        <w:left w:val="none" w:sz="0" w:space="0" w:color="auto"/>
        <w:bottom w:val="none" w:sz="0" w:space="0" w:color="auto"/>
        <w:right w:val="none" w:sz="0" w:space="0" w:color="auto"/>
      </w:divBdr>
    </w:div>
    <w:div w:id="1754467073">
      <w:bodyDiv w:val="1"/>
      <w:marLeft w:val="0"/>
      <w:marRight w:val="0"/>
      <w:marTop w:val="0"/>
      <w:marBottom w:val="0"/>
      <w:divBdr>
        <w:top w:val="none" w:sz="0" w:space="0" w:color="auto"/>
        <w:left w:val="none" w:sz="0" w:space="0" w:color="auto"/>
        <w:bottom w:val="none" w:sz="0" w:space="0" w:color="auto"/>
        <w:right w:val="none" w:sz="0" w:space="0" w:color="auto"/>
      </w:divBdr>
    </w:div>
    <w:div w:id="1757508323">
      <w:bodyDiv w:val="1"/>
      <w:marLeft w:val="0"/>
      <w:marRight w:val="0"/>
      <w:marTop w:val="0"/>
      <w:marBottom w:val="0"/>
      <w:divBdr>
        <w:top w:val="none" w:sz="0" w:space="0" w:color="auto"/>
        <w:left w:val="none" w:sz="0" w:space="0" w:color="auto"/>
        <w:bottom w:val="none" w:sz="0" w:space="0" w:color="auto"/>
        <w:right w:val="none" w:sz="0" w:space="0" w:color="auto"/>
      </w:divBdr>
    </w:div>
    <w:div w:id="1757902964">
      <w:bodyDiv w:val="1"/>
      <w:marLeft w:val="0"/>
      <w:marRight w:val="0"/>
      <w:marTop w:val="0"/>
      <w:marBottom w:val="0"/>
      <w:divBdr>
        <w:top w:val="none" w:sz="0" w:space="0" w:color="auto"/>
        <w:left w:val="none" w:sz="0" w:space="0" w:color="auto"/>
        <w:bottom w:val="none" w:sz="0" w:space="0" w:color="auto"/>
        <w:right w:val="none" w:sz="0" w:space="0" w:color="auto"/>
      </w:divBdr>
    </w:div>
    <w:div w:id="1758088534">
      <w:bodyDiv w:val="1"/>
      <w:marLeft w:val="0"/>
      <w:marRight w:val="0"/>
      <w:marTop w:val="0"/>
      <w:marBottom w:val="0"/>
      <w:divBdr>
        <w:top w:val="none" w:sz="0" w:space="0" w:color="auto"/>
        <w:left w:val="none" w:sz="0" w:space="0" w:color="auto"/>
        <w:bottom w:val="none" w:sz="0" w:space="0" w:color="auto"/>
        <w:right w:val="none" w:sz="0" w:space="0" w:color="auto"/>
      </w:divBdr>
    </w:div>
    <w:div w:id="1758207440">
      <w:bodyDiv w:val="1"/>
      <w:marLeft w:val="0"/>
      <w:marRight w:val="0"/>
      <w:marTop w:val="0"/>
      <w:marBottom w:val="0"/>
      <w:divBdr>
        <w:top w:val="none" w:sz="0" w:space="0" w:color="auto"/>
        <w:left w:val="none" w:sz="0" w:space="0" w:color="auto"/>
        <w:bottom w:val="none" w:sz="0" w:space="0" w:color="auto"/>
        <w:right w:val="none" w:sz="0" w:space="0" w:color="auto"/>
      </w:divBdr>
    </w:div>
    <w:div w:id="1758747354">
      <w:bodyDiv w:val="1"/>
      <w:marLeft w:val="0"/>
      <w:marRight w:val="0"/>
      <w:marTop w:val="0"/>
      <w:marBottom w:val="0"/>
      <w:divBdr>
        <w:top w:val="none" w:sz="0" w:space="0" w:color="auto"/>
        <w:left w:val="none" w:sz="0" w:space="0" w:color="auto"/>
        <w:bottom w:val="none" w:sz="0" w:space="0" w:color="auto"/>
        <w:right w:val="none" w:sz="0" w:space="0" w:color="auto"/>
      </w:divBdr>
    </w:div>
    <w:div w:id="1758818631">
      <w:bodyDiv w:val="1"/>
      <w:marLeft w:val="0"/>
      <w:marRight w:val="0"/>
      <w:marTop w:val="0"/>
      <w:marBottom w:val="0"/>
      <w:divBdr>
        <w:top w:val="none" w:sz="0" w:space="0" w:color="auto"/>
        <w:left w:val="none" w:sz="0" w:space="0" w:color="auto"/>
        <w:bottom w:val="none" w:sz="0" w:space="0" w:color="auto"/>
        <w:right w:val="none" w:sz="0" w:space="0" w:color="auto"/>
      </w:divBdr>
    </w:div>
    <w:div w:id="1759867699">
      <w:bodyDiv w:val="1"/>
      <w:marLeft w:val="0"/>
      <w:marRight w:val="0"/>
      <w:marTop w:val="0"/>
      <w:marBottom w:val="0"/>
      <w:divBdr>
        <w:top w:val="none" w:sz="0" w:space="0" w:color="auto"/>
        <w:left w:val="none" w:sz="0" w:space="0" w:color="auto"/>
        <w:bottom w:val="none" w:sz="0" w:space="0" w:color="auto"/>
        <w:right w:val="none" w:sz="0" w:space="0" w:color="auto"/>
      </w:divBdr>
    </w:div>
    <w:div w:id="1761023902">
      <w:bodyDiv w:val="1"/>
      <w:marLeft w:val="0"/>
      <w:marRight w:val="0"/>
      <w:marTop w:val="0"/>
      <w:marBottom w:val="0"/>
      <w:divBdr>
        <w:top w:val="none" w:sz="0" w:space="0" w:color="auto"/>
        <w:left w:val="none" w:sz="0" w:space="0" w:color="auto"/>
        <w:bottom w:val="none" w:sz="0" w:space="0" w:color="auto"/>
        <w:right w:val="none" w:sz="0" w:space="0" w:color="auto"/>
      </w:divBdr>
    </w:div>
    <w:div w:id="1761439089">
      <w:bodyDiv w:val="1"/>
      <w:marLeft w:val="0"/>
      <w:marRight w:val="0"/>
      <w:marTop w:val="0"/>
      <w:marBottom w:val="0"/>
      <w:divBdr>
        <w:top w:val="none" w:sz="0" w:space="0" w:color="auto"/>
        <w:left w:val="none" w:sz="0" w:space="0" w:color="auto"/>
        <w:bottom w:val="none" w:sz="0" w:space="0" w:color="auto"/>
        <w:right w:val="none" w:sz="0" w:space="0" w:color="auto"/>
      </w:divBdr>
    </w:div>
    <w:div w:id="1761829532">
      <w:bodyDiv w:val="1"/>
      <w:marLeft w:val="0"/>
      <w:marRight w:val="0"/>
      <w:marTop w:val="0"/>
      <w:marBottom w:val="0"/>
      <w:divBdr>
        <w:top w:val="none" w:sz="0" w:space="0" w:color="auto"/>
        <w:left w:val="none" w:sz="0" w:space="0" w:color="auto"/>
        <w:bottom w:val="none" w:sz="0" w:space="0" w:color="auto"/>
        <w:right w:val="none" w:sz="0" w:space="0" w:color="auto"/>
      </w:divBdr>
    </w:div>
    <w:div w:id="1761943627">
      <w:bodyDiv w:val="1"/>
      <w:marLeft w:val="0"/>
      <w:marRight w:val="0"/>
      <w:marTop w:val="0"/>
      <w:marBottom w:val="0"/>
      <w:divBdr>
        <w:top w:val="none" w:sz="0" w:space="0" w:color="auto"/>
        <w:left w:val="none" w:sz="0" w:space="0" w:color="auto"/>
        <w:bottom w:val="none" w:sz="0" w:space="0" w:color="auto"/>
        <w:right w:val="none" w:sz="0" w:space="0" w:color="auto"/>
      </w:divBdr>
    </w:div>
    <w:div w:id="1762094938">
      <w:bodyDiv w:val="1"/>
      <w:marLeft w:val="0"/>
      <w:marRight w:val="0"/>
      <w:marTop w:val="0"/>
      <w:marBottom w:val="0"/>
      <w:divBdr>
        <w:top w:val="none" w:sz="0" w:space="0" w:color="auto"/>
        <w:left w:val="none" w:sz="0" w:space="0" w:color="auto"/>
        <w:bottom w:val="none" w:sz="0" w:space="0" w:color="auto"/>
        <w:right w:val="none" w:sz="0" w:space="0" w:color="auto"/>
      </w:divBdr>
    </w:div>
    <w:div w:id="1763719972">
      <w:bodyDiv w:val="1"/>
      <w:marLeft w:val="0"/>
      <w:marRight w:val="0"/>
      <w:marTop w:val="0"/>
      <w:marBottom w:val="0"/>
      <w:divBdr>
        <w:top w:val="none" w:sz="0" w:space="0" w:color="auto"/>
        <w:left w:val="none" w:sz="0" w:space="0" w:color="auto"/>
        <w:bottom w:val="none" w:sz="0" w:space="0" w:color="auto"/>
        <w:right w:val="none" w:sz="0" w:space="0" w:color="auto"/>
      </w:divBdr>
    </w:div>
    <w:div w:id="1764454801">
      <w:bodyDiv w:val="1"/>
      <w:marLeft w:val="0"/>
      <w:marRight w:val="0"/>
      <w:marTop w:val="0"/>
      <w:marBottom w:val="0"/>
      <w:divBdr>
        <w:top w:val="none" w:sz="0" w:space="0" w:color="auto"/>
        <w:left w:val="none" w:sz="0" w:space="0" w:color="auto"/>
        <w:bottom w:val="none" w:sz="0" w:space="0" w:color="auto"/>
        <w:right w:val="none" w:sz="0" w:space="0" w:color="auto"/>
      </w:divBdr>
    </w:div>
    <w:div w:id="1765032900">
      <w:bodyDiv w:val="1"/>
      <w:marLeft w:val="0"/>
      <w:marRight w:val="0"/>
      <w:marTop w:val="0"/>
      <w:marBottom w:val="0"/>
      <w:divBdr>
        <w:top w:val="none" w:sz="0" w:space="0" w:color="auto"/>
        <w:left w:val="none" w:sz="0" w:space="0" w:color="auto"/>
        <w:bottom w:val="none" w:sz="0" w:space="0" w:color="auto"/>
        <w:right w:val="none" w:sz="0" w:space="0" w:color="auto"/>
      </w:divBdr>
    </w:div>
    <w:div w:id="1766996032">
      <w:bodyDiv w:val="1"/>
      <w:marLeft w:val="0"/>
      <w:marRight w:val="0"/>
      <w:marTop w:val="0"/>
      <w:marBottom w:val="0"/>
      <w:divBdr>
        <w:top w:val="none" w:sz="0" w:space="0" w:color="auto"/>
        <w:left w:val="none" w:sz="0" w:space="0" w:color="auto"/>
        <w:bottom w:val="none" w:sz="0" w:space="0" w:color="auto"/>
        <w:right w:val="none" w:sz="0" w:space="0" w:color="auto"/>
      </w:divBdr>
    </w:div>
    <w:div w:id="1767381214">
      <w:bodyDiv w:val="1"/>
      <w:marLeft w:val="0"/>
      <w:marRight w:val="0"/>
      <w:marTop w:val="0"/>
      <w:marBottom w:val="0"/>
      <w:divBdr>
        <w:top w:val="none" w:sz="0" w:space="0" w:color="auto"/>
        <w:left w:val="none" w:sz="0" w:space="0" w:color="auto"/>
        <w:bottom w:val="none" w:sz="0" w:space="0" w:color="auto"/>
        <w:right w:val="none" w:sz="0" w:space="0" w:color="auto"/>
      </w:divBdr>
    </w:div>
    <w:div w:id="1767967237">
      <w:bodyDiv w:val="1"/>
      <w:marLeft w:val="0"/>
      <w:marRight w:val="0"/>
      <w:marTop w:val="0"/>
      <w:marBottom w:val="0"/>
      <w:divBdr>
        <w:top w:val="none" w:sz="0" w:space="0" w:color="auto"/>
        <w:left w:val="none" w:sz="0" w:space="0" w:color="auto"/>
        <w:bottom w:val="none" w:sz="0" w:space="0" w:color="auto"/>
        <w:right w:val="none" w:sz="0" w:space="0" w:color="auto"/>
      </w:divBdr>
    </w:div>
    <w:div w:id="1768848974">
      <w:bodyDiv w:val="1"/>
      <w:marLeft w:val="0"/>
      <w:marRight w:val="0"/>
      <w:marTop w:val="0"/>
      <w:marBottom w:val="0"/>
      <w:divBdr>
        <w:top w:val="none" w:sz="0" w:space="0" w:color="auto"/>
        <w:left w:val="none" w:sz="0" w:space="0" w:color="auto"/>
        <w:bottom w:val="none" w:sz="0" w:space="0" w:color="auto"/>
        <w:right w:val="none" w:sz="0" w:space="0" w:color="auto"/>
      </w:divBdr>
    </w:div>
    <w:div w:id="1769690081">
      <w:bodyDiv w:val="1"/>
      <w:marLeft w:val="0"/>
      <w:marRight w:val="0"/>
      <w:marTop w:val="0"/>
      <w:marBottom w:val="0"/>
      <w:divBdr>
        <w:top w:val="none" w:sz="0" w:space="0" w:color="auto"/>
        <w:left w:val="none" w:sz="0" w:space="0" w:color="auto"/>
        <w:bottom w:val="none" w:sz="0" w:space="0" w:color="auto"/>
        <w:right w:val="none" w:sz="0" w:space="0" w:color="auto"/>
      </w:divBdr>
    </w:div>
    <w:div w:id="1770084368">
      <w:bodyDiv w:val="1"/>
      <w:marLeft w:val="0"/>
      <w:marRight w:val="0"/>
      <w:marTop w:val="0"/>
      <w:marBottom w:val="0"/>
      <w:divBdr>
        <w:top w:val="none" w:sz="0" w:space="0" w:color="auto"/>
        <w:left w:val="none" w:sz="0" w:space="0" w:color="auto"/>
        <w:bottom w:val="none" w:sz="0" w:space="0" w:color="auto"/>
        <w:right w:val="none" w:sz="0" w:space="0" w:color="auto"/>
      </w:divBdr>
    </w:div>
    <w:div w:id="1771312492">
      <w:bodyDiv w:val="1"/>
      <w:marLeft w:val="0"/>
      <w:marRight w:val="0"/>
      <w:marTop w:val="0"/>
      <w:marBottom w:val="0"/>
      <w:divBdr>
        <w:top w:val="none" w:sz="0" w:space="0" w:color="auto"/>
        <w:left w:val="none" w:sz="0" w:space="0" w:color="auto"/>
        <w:bottom w:val="none" w:sz="0" w:space="0" w:color="auto"/>
        <w:right w:val="none" w:sz="0" w:space="0" w:color="auto"/>
      </w:divBdr>
    </w:div>
    <w:div w:id="1772503611">
      <w:bodyDiv w:val="1"/>
      <w:marLeft w:val="0"/>
      <w:marRight w:val="0"/>
      <w:marTop w:val="0"/>
      <w:marBottom w:val="0"/>
      <w:divBdr>
        <w:top w:val="none" w:sz="0" w:space="0" w:color="auto"/>
        <w:left w:val="none" w:sz="0" w:space="0" w:color="auto"/>
        <w:bottom w:val="none" w:sz="0" w:space="0" w:color="auto"/>
        <w:right w:val="none" w:sz="0" w:space="0" w:color="auto"/>
      </w:divBdr>
    </w:div>
    <w:div w:id="1775251360">
      <w:bodyDiv w:val="1"/>
      <w:marLeft w:val="0"/>
      <w:marRight w:val="0"/>
      <w:marTop w:val="0"/>
      <w:marBottom w:val="0"/>
      <w:divBdr>
        <w:top w:val="none" w:sz="0" w:space="0" w:color="auto"/>
        <w:left w:val="none" w:sz="0" w:space="0" w:color="auto"/>
        <w:bottom w:val="none" w:sz="0" w:space="0" w:color="auto"/>
        <w:right w:val="none" w:sz="0" w:space="0" w:color="auto"/>
      </w:divBdr>
    </w:div>
    <w:div w:id="1779831679">
      <w:bodyDiv w:val="1"/>
      <w:marLeft w:val="0"/>
      <w:marRight w:val="0"/>
      <w:marTop w:val="0"/>
      <w:marBottom w:val="0"/>
      <w:divBdr>
        <w:top w:val="none" w:sz="0" w:space="0" w:color="auto"/>
        <w:left w:val="none" w:sz="0" w:space="0" w:color="auto"/>
        <w:bottom w:val="none" w:sz="0" w:space="0" w:color="auto"/>
        <w:right w:val="none" w:sz="0" w:space="0" w:color="auto"/>
      </w:divBdr>
    </w:div>
    <w:div w:id="1779832689">
      <w:bodyDiv w:val="1"/>
      <w:marLeft w:val="0"/>
      <w:marRight w:val="0"/>
      <w:marTop w:val="0"/>
      <w:marBottom w:val="0"/>
      <w:divBdr>
        <w:top w:val="none" w:sz="0" w:space="0" w:color="auto"/>
        <w:left w:val="none" w:sz="0" w:space="0" w:color="auto"/>
        <w:bottom w:val="none" w:sz="0" w:space="0" w:color="auto"/>
        <w:right w:val="none" w:sz="0" w:space="0" w:color="auto"/>
      </w:divBdr>
    </w:div>
    <w:div w:id="1780877220">
      <w:bodyDiv w:val="1"/>
      <w:marLeft w:val="0"/>
      <w:marRight w:val="0"/>
      <w:marTop w:val="0"/>
      <w:marBottom w:val="0"/>
      <w:divBdr>
        <w:top w:val="none" w:sz="0" w:space="0" w:color="auto"/>
        <w:left w:val="none" w:sz="0" w:space="0" w:color="auto"/>
        <w:bottom w:val="none" w:sz="0" w:space="0" w:color="auto"/>
        <w:right w:val="none" w:sz="0" w:space="0" w:color="auto"/>
      </w:divBdr>
    </w:div>
    <w:div w:id="1781949809">
      <w:bodyDiv w:val="1"/>
      <w:marLeft w:val="0"/>
      <w:marRight w:val="0"/>
      <w:marTop w:val="0"/>
      <w:marBottom w:val="0"/>
      <w:divBdr>
        <w:top w:val="none" w:sz="0" w:space="0" w:color="auto"/>
        <w:left w:val="none" w:sz="0" w:space="0" w:color="auto"/>
        <w:bottom w:val="none" w:sz="0" w:space="0" w:color="auto"/>
        <w:right w:val="none" w:sz="0" w:space="0" w:color="auto"/>
      </w:divBdr>
    </w:div>
    <w:div w:id="1783452641">
      <w:bodyDiv w:val="1"/>
      <w:marLeft w:val="0"/>
      <w:marRight w:val="0"/>
      <w:marTop w:val="0"/>
      <w:marBottom w:val="0"/>
      <w:divBdr>
        <w:top w:val="none" w:sz="0" w:space="0" w:color="auto"/>
        <w:left w:val="none" w:sz="0" w:space="0" w:color="auto"/>
        <w:bottom w:val="none" w:sz="0" w:space="0" w:color="auto"/>
        <w:right w:val="none" w:sz="0" w:space="0" w:color="auto"/>
      </w:divBdr>
    </w:div>
    <w:div w:id="1783458706">
      <w:bodyDiv w:val="1"/>
      <w:marLeft w:val="0"/>
      <w:marRight w:val="0"/>
      <w:marTop w:val="0"/>
      <w:marBottom w:val="0"/>
      <w:divBdr>
        <w:top w:val="none" w:sz="0" w:space="0" w:color="auto"/>
        <w:left w:val="none" w:sz="0" w:space="0" w:color="auto"/>
        <w:bottom w:val="none" w:sz="0" w:space="0" w:color="auto"/>
        <w:right w:val="none" w:sz="0" w:space="0" w:color="auto"/>
      </w:divBdr>
    </w:div>
    <w:div w:id="1787120355">
      <w:bodyDiv w:val="1"/>
      <w:marLeft w:val="0"/>
      <w:marRight w:val="0"/>
      <w:marTop w:val="0"/>
      <w:marBottom w:val="0"/>
      <w:divBdr>
        <w:top w:val="none" w:sz="0" w:space="0" w:color="auto"/>
        <w:left w:val="none" w:sz="0" w:space="0" w:color="auto"/>
        <w:bottom w:val="none" w:sz="0" w:space="0" w:color="auto"/>
        <w:right w:val="none" w:sz="0" w:space="0" w:color="auto"/>
      </w:divBdr>
    </w:div>
    <w:div w:id="1787574805">
      <w:bodyDiv w:val="1"/>
      <w:marLeft w:val="0"/>
      <w:marRight w:val="0"/>
      <w:marTop w:val="0"/>
      <w:marBottom w:val="0"/>
      <w:divBdr>
        <w:top w:val="none" w:sz="0" w:space="0" w:color="auto"/>
        <w:left w:val="none" w:sz="0" w:space="0" w:color="auto"/>
        <w:bottom w:val="none" w:sz="0" w:space="0" w:color="auto"/>
        <w:right w:val="none" w:sz="0" w:space="0" w:color="auto"/>
      </w:divBdr>
    </w:div>
    <w:div w:id="1788890116">
      <w:bodyDiv w:val="1"/>
      <w:marLeft w:val="0"/>
      <w:marRight w:val="0"/>
      <w:marTop w:val="0"/>
      <w:marBottom w:val="0"/>
      <w:divBdr>
        <w:top w:val="none" w:sz="0" w:space="0" w:color="auto"/>
        <w:left w:val="none" w:sz="0" w:space="0" w:color="auto"/>
        <w:bottom w:val="none" w:sz="0" w:space="0" w:color="auto"/>
        <w:right w:val="none" w:sz="0" w:space="0" w:color="auto"/>
      </w:divBdr>
    </w:div>
    <w:div w:id="1789082755">
      <w:bodyDiv w:val="1"/>
      <w:marLeft w:val="0"/>
      <w:marRight w:val="0"/>
      <w:marTop w:val="0"/>
      <w:marBottom w:val="0"/>
      <w:divBdr>
        <w:top w:val="none" w:sz="0" w:space="0" w:color="auto"/>
        <w:left w:val="none" w:sz="0" w:space="0" w:color="auto"/>
        <w:bottom w:val="none" w:sz="0" w:space="0" w:color="auto"/>
        <w:right w:val="none" w:sz="0" w:space="0" w:color="auto"/>
      </w:divBdr>
    </w:div>
    <w:div w:id="1789275570">
      <w:bodyDiv w:val="1"/>
      <w:marLeft w:val="0"/>
      <w:marRight w:val="0"/>
      <w:marTop w:val="0"/>
      <w:marBottom w:val="0"/>
      <w:divBdr>
        <w:top w:val="none" w:sz="0" w:space="0" w:color="auto"/>
        <w:left w:val="none" w:sz="0" w:space="0" w:color="auto"/>
        <w:bottom w:val="none" w:sz="0" w:space="0" w:color="auto"/>
        <w:right w:val="none" w:sz="0" w:space="0" w:color="auto"/>
      </w:divBdr>
    </w:div>
    <w:div w:id="1790780631">
      <w:bodyDiv w:val="1"/>
      <w:marLeft w:val="0"/>
      <w:marRight w:val="0"/>
      <w:marTop w:val="0"/>
      <w:marBottom w:val="0"/>
      <w:divBdr>
        <w:top w:val="none" w:sz="0" w:space="0" w:color="auto"/>
        <w:left w:val="none" w:sz="0" w:space="0" w:color="auto"/>
        <w:bottom w:val="none" w:sz="0" w:space="0" w:color="auto"/>
        <w:right w:val="none" w:sz="0" w:space="0" w:color="auto"/>
      </w:divBdr>
    </w:div>
    <w:div w:id="1795054189">
      <w:bodyDiv w:val="1"/>
      <w:marLeft w:val="0"/>
      <w:marRight w:val="0"/>
      <w:marTop w:val="0"/>
      <w:marBottom w:val="0"/>
      <w:divBdr>
        <w:top w:val="none" w:sz="0" w:space="0" w:color="auto"/>
        <w:left w:val="none" w:sz="0" w:space="0" w:color="auto"/>
        <w:bottom w:val="none" w:sz="0" w:space="0" w:color="auto"/>
        <w:right w:val="none" w:sz="0" w:space="0" w:color="auto"/>
      </w:divBdr>
    </w:div>
    <w:div w:id="1798911970">
      <w:bodyDiv w:val="1"/>
      <w:marLeft w:val="0"/>
      <w:marRight w:val="0"/>
      <w:marTop w:val="0"/>
      <w:marBottom w:val="0"/>
      <w:divBdr>
        <w:top w:val="none" w:sz="0" w:space="0" w:color="auto"/>
        <w:left w:val="none" w:sz="0" w:space="0" w:color="auto"/>
        <w:bottom w:val="none" w:sz="0" w:space="0" w:color="auto"/>
        <w:right w:val="none" w:sz="0" w:space="0" w:color="auto"/>
      </w:divBdr>
    </w:div>
    <w:div w:id="1800801806">
      <w:bodyDiv w:val="1"/>
      <w:marLeft w:val="0"/>
      <w:marRight w:val="0"/>
      <w:marTop w:val="0"/>
      <w:marBottom w:val="0"/>
      <w:divBdr>
        <w:top w:val="none" w:sz="0" w:space="0" w:color="auto"/>
        <w:left w:val="none" w:sz="0" w:space="0" w:color="auto"/>
        <w:bottom w:val="none" w:sz="0" w:space="0" w:color="auto"/>
        <w:right w:val="none" w:sz="0" w:space="0" w:color="auto"/>
      </w:divBdr>
    </w:div>
    <w:div w:id="1800957124">
      <w:bodyDiv w:val="1"/>
      <w:marLeft w:val="0"/>
      <w:marRight w:val="0"/>
      <w:marTop w:val="0"/>
      <w:marBottom w:val="0"/>
      <w:divBdr>
        <w:top w:val="none" w:sz="0" w:space="0" w:color="auto"/>
        <w:left w:val="none" w:sz="0" w:space="0" w:color="auto"/>
        <w:bottom w:val="none" w:sz="0" w:space="0" w:color="auto"/>
        <w:right w:val="none" w:sz="0" w:space="0" w:color="auto"/>
      </w:divBdr>
    </w:div>
    <w:div w:id="1802265276">
      <w:bodyDiv w:val="1"/>
      <w:marLeft w:val="0"/>
      <w:marRight w:val="0"/>
      <w:marTop w:val="0"/>
      <w:marBottom w:val="0"/>
      <w:divBdr>
        <w:top w:val="none" w:sz="0" w:space="0" w:color="auto"/>
        <w:left w:val="none" w:sz="0" w:space="0" w:color="auto"/>
        <w:bottom w:val="none" w:sz="0" w:space="0" w:color="auto"/>
        <w:right w:val="none" w:sz="0" w:space="0" w:color="auto"/>
      </w:divBdr>
    </w:div>
    <w:div w:id="1804273014">
      <w:bodyDiv w:val="1"/>
      <w:marLeft w:val="0"/>
      <w:marRight w:val="0"/>
      <w:marTop w:val="0"/>
      <w:marBottom w:val="0"/>
      <w:divBdr>
        <w:top w:val="none" w:sz="0" w:space="0" w:color="auto"/>
        <w:left w:val="none" w:sz="0" w:space="0" w:color="auto"/>
        <w:bottom w:val="none" w:sz="0" w:space="0" w:color="auto"/>
        <w:right w:val="none" w:sz="0" w:space="0" w:color="auto"/>
      </w:divBdr>
    </w:div>
    <w:div w:id="1805196412">
      <w:bodyDiv w:val="1"/>
      <w:marLeft w:val="0"/>
      <w:marRight w:val="0"/>
      <w:marTop w:val="0"/>
      <w:marBottom w:val="0"/>
      <w:divBdr>
        <w:top w:val="none" w:sz="0" w:space="0" w:color="auto"/>
        <w:left w:val="none" w:sz="0" w:space="0" w:color="auto"/>
        <w:bottom w:val="none" w:sz="0" w:space="0" w:color="auto"/>
        <w:right w:val="none" w:sz="0" w:space="0" w:color="auto"/>
      </w:divBdr>
    </w:div>
    <w:div w:id="1805779151">
      <w:bodyDiv w:val="1"/>
      <w:marLeft w:val="0"/>
      <w:marRight w:val="0"/>
      <w:marTop w:val="0"/>
      <w:marBottom w:val="0"/>
      <w:divBdr>
        <w:top w:val="none" w:sz="0" w:space="0" w:color="auto"/>
        <w:left w:val="none" w:sz="0" w:space="0" w:color="auto"/>
        <w:bottom w:val="none" w:sz="0" w:space="0" w:color="auto"/>
        <w:right w:val="none" w:sz="0" w:space="0" w:color="auto"/>
      </w:divBdr>
    </w:div>
    <w:div w:id="1805846512">
      <w:bodyDiv w:val="1"/>
      <w:marLeft w:val="0"/>
      <w:marRight w:val="0"/>
      <w:marTop w:val="0"/>
      <w:marBottom w:val="0"/>
      <w:divBdr>
        <w:top w:val="none" w:sz="0" w:space="0" w:color="auto"/>
        <w:left w:val="none" w:sz="0" w:space="0" w:color="auto"/>
        <w:bottom w:val="none" w:sz="0" w:space="0" w:color="auto"/>
        <w:right w:val="none" w:sz="0" w:space="0" w:color="auto"/>
      </w:divBdr>
    </w:div>
    <w:div w:id="1811940362">
      <w:bodyDiv w:val="1"/>
      <w:marLeft w:val="0"/>
      <w:marRight w:val="0"/>
      <w:marTop w:val="0"/>
      <w:marBottom w:val="0"/>
      <w:divBdr>
        <w:top w:val="none" w:sz="0" w:space="0" w:color="auto"/>
        <w:left w:val="none" w:sz="0" w:space="0" w:color="auto"/>
        <w:bottom w:val="none" w:sz="0" w:space="0" w:color="auto"/>
        <w:right w:val="none" w:sz="0" w:space="0" w:color="auto"/>
      </w:divBdr>
    </w:div>
    <w:div w:id="1812288702">
      <w:bodyDiv w:val="1"/>
      <w:marLeft w:val="0"/>
      <w:marRight w:val="0"/>
      <w:marTop w:val="0"/>
      <w:marBottom w:val="0"/>
      <w:divBdr>
        <w:top w:val="none" w:sz="0" w:space="0" w:color="auto"/>
        <w:left w:val="none" w:sz="0" w:space="0" w:color="auto"/>
        <w:bottom w:val="none" w:sz="0" w:space="0" w:color="auto"/>
        <w:right w:val="none" w:sz="0" w:space="0" w:color="auto"/>
      </w:divBdr>
    </w:div>
    <w:div w:id="1812358821">
      <w:bodyDiv w:val="1"/>
      <w:marLeft w:val="0"/>
      <w:marRight w:val="0"/>
      <w:marTop w:val="0"/>
      <w:marBottom w:val="0"/>
      <w:divBdr>
        <w:top w:val="none" w:sz="0" w:space="0" w:color="auto"/>
        <w:left w:val="none" w:sz="0" w:space="0" w:color="auto"/>
        <w:bottom w:val="none" w:sz="0" w:space="0" w:color="auto"/>
        <w:right w:val="none" w:sz="0" w:space="0" w:color="auto"/>
      </w:divBdr>
    </w:div>
    <w:div w:id="1813793307">
      <w:bodyDiv w:val="1"/>
      <w:marLeft w:val="0"/>
      <w:marRight w:val="0"/>
      <w:marTop w:val="0"/>
      <w:marBottom w:val="0"/>
      <w:divBdr>
        <w:top w:val="none" w:sz="0" w:space="0" w:color="auto"/>
        <w:left w:val="none" w:sz="0" w:space="0" w:color="auto"/>
        <w:bottom w:val="none" w:sz="0" w:space="0" w:color="auto"/>
        <w:right w:val="none" w:sz="0" w:space="0" w:color="auto"/>
      </w:divBdr>
    </w:div>
    <w:div w:id="1815172079">
      <w:bodyDiv w:val="1"/>
      <w:marLeft w:val="0"/>
      <w:marRight w:val="0"/>
      <w:marTop w:val="0"/>
      <w:marBottom w:val="0"/>
      <w:divBdr>
        <w:top w:val="none" w:sz="0" w:space="0" w:color="auto"/>
        <w:left w:val="none" w:sz="0" w:space="0" w:color="auto"/>
        <w:bottom w:val="none" w:sz="0" w:space="0" w:color="auto"/>
        <w:right w:val="none" w:sz="0" w:space="0" w:color="auto"/>
      </w:divBdr>
    </w:div>
    <w:div w:id="1815757132">
      <w:bodyDiv w:val="1"/>
      <w:marLeft w:val="0"/>
      <w:marRight w:val="0"/>
      <w:marTop w:val="0"/>
      <w:marBottom w:val="0"/>
      <w:divBdr>
        <w:top w:val="none" w:sz="0" w:space="0" w:color="auto"/>
        <w:left w:val="none" w:sz="0" w:space="0" w:color="auto"/>
        <w:bottom w:val="none" w:sz="0" w:space="0" w:color="auto"/>
        <w:right w:val="none" w:sz="0" w:space="0" w:color="auto"/>
      </w:divBdr>
    </w:div>
    <w:div w:id="1815874900">
      <w:bodyDiv w:val="1"/>
      <w:marLeft w:val="0"/>
      <w:marRight w:val="0"/>
      <w:marTop w:val="0"/>
      <w:marBottom w:val="0"/>
      <w:divBdr>
        <w:top w:val="none" w:sz="0" w:space="0" w:color="auto"/>
        <w:left w:val="none" w:sz="0" w:space="0" w:color="auto"/>
        <w:bottom w:val="none" w:sz="0" w:space="0" w:color="auto"/>
        <w:right w:val="none" w:sz="0" w:space="0" w:color="auto"/>
      </w:divBdr>
    </w:div>
    <w:div w:id="1816339260">
      <w:bodyDiv w:val="1"/>
      <w:marLeft w:val="0"/>
      <w:marRight w:val="0"/>
      <w:marTop w:val="0"/>
      <w:marBottom w:val="0"/>
      <w:divBdr>
        <w:top w:val="none" w:sz="0" w:space="0" w:color="auto"/>
        <w:left w:val="none" w:sz="0" w:space="0" w:color="auto"/>
        <w:bottom w:val="none" w:sz="0" w:space="0" w:color="auto"/>
        <w:right w:val="none" w:sz="0" w:space="0" w:color="auto"/>
      </w:divBdr>
    </w:div>
    <w:div w:id="1816874718">
      <w:bodyDiv w:val="1"/>
      <w:marLeft w:val="0"/>
      <w:marRight w:val="0"/>
      <w:marTop w:val="0"/>
      <w:marBottom w:val="0"/>
      <w:divBdr>
        <w:top w:val="none" w:sz="0" w:space="0" w:color="auto"/>
        <w:left w:val="none" w:sz="0" w:space="0" w:color="auto"/>
        <w:bottom w:val="none" w:sz="0" w:space="0" w:color="auto"/>
        <w:right w:val="none" w:sz="0" w:space="0" w:color="auto"/>
      </w:divBdr>
    </w:div>
    <w:div w:id="1818690950">
      <w:bodyDiv w:val="1"/>
      <w:marLeft w:val="0"/>
      <w:marRight w:val="0"/>
      <w:marTop w:val="0"/>
      <w:marBottom w:val="0"/>
      <w:divBdr>
        <w:top w:val="none" w:sz="0" w:space="0" w:color="auto"/>
        <w:left w:val="none" w:sz="0" w:space="0" w:color="auto"/>
        <w:bottom w:val="none" w:sz="0" w:space="0" w:color="auto"/>
        <w:right w:val="none" w:sz="0" w:space="0" w:color="auto"/>
      </w:divBdr>
    </w:div>
    <w:div w:id="1819607068">
      <w:bodyDiv w:val="1"/>
      <w:marLeft w:val="0"/>
      <w:marRight w:val="0"/>
      <w:marTop w:val="0"/>
      <w:marBottom w:val="0"/>
      <w:divBdr>
        <w:top w:val="none" w:sz="0" w:space="0" w:color="auto"/>
        <w:left w:val="none" w:sz="0" w:space="0" w:color="auto"/>
        <w:bottom w:val="none" w:sz="0" w:space="0" w:color="auto"/>
        <w:right w:val="none" w:sz="0" w:space="0" w:color="auto"/>
      </w:divBdr>
    </w:div>
    <w:div w:id="1821654915">
      <w:bodyDiv w:val="1"/>
      <w:marLeft w:val="0"/>
      <w:marRight w:val="0"/>
      <w:marTop w:val="0"/>
      <w:marBottom w:val="0"/>
      <w:divBdr>
        <w:top w:val="none" w:sz="0" w:space="0" w:color="auto"/>
        <w:left w:val="none" w:sz="0" w:space="0" w:color="auto"/>
        <w:bottom w:val="none" w:sz="0" w:space="0" w:color="auto"/>
        <w:right w:val="none" w:sz="0" w:space="0" w:color="auto"/>
      </w:divBdr>
    </w:div>
    <w:div w:id="1824469386">
      <w:bodyDiv w:val="1"/>
      <w:marLeft w:val="0"/>
      <w:marRight w:val="0"/>
      <w:marTop w:val="0"/>
      <w:marBottom w:val="0"/>
      <w:divBdr>
        <w:top w:val="none" w:sz="0" w:space="0" w:color="auto"/>
        <w:left w:val="none" w:sz="0" w:space="0" w:color="auto"/>
        <w:bottom w:val="none" w:sz="0" w:space="0" w:color="auto"/>
        <w:right w:val="none" w:sz="0" w:space="0" w:color="auto"/>
      </w:divBdr>
    </w:div>
    <w:div w:id="1828014657">
      <w:bodyDiv w:val="1"/>
      <w:marLeft w:val="0"/>
      <w:marRight w:val="0"/>
      <w:marTop w:val="0"/>
      <w:marBottom w:val="0"/>
      <w:divBdr>
        <w:top w:val="none" w:sz="0" w:space="0" w:color="auto"/>
        <w:left w:val="none" w:sz="0" w:space="0" w:color="auto"/>
        <w:bottom w:val="none" w:sz="0" w:space="0" w:color="auto"/>
        <w:right w:val="none" w:sz="0" w:space="0" w:color="auto"/>
      </w:divBdr>
    </w:div>
    <w:div w:id="1828551712">
      <w:bodyDiv w:val="1"/>
      <w:marLeft w:val="0"/>
      <w:marRight w:val="0"/>
      <w:marTop w:val="0"/>
      <w:marBottom w:val="0"/>
      <w:divBdr>
        <w:top w:val="none" w:sz="0" w:space="0" w:color="auto"/>
        <w:left w:val="none" w:sz="0" w:space="0" w:color="auto"/>
        <w:bottom w:val="none" w:sz="0" w:space="0" w:color="auto"/>
        <w:right w:val="none" w:sz="0" w:space="0" w:color="auto"/>
      </w:divBdr>
    </w:div>
    <w:div w:id="1828862534">
      <w:bodyDiv w:val="1"/>
      <w:marLeft w:val="0"/>
      <w:marRight w:val="0"/>
      <w:marTop w:val="0"/>
      <w:marBottom w:val="0"/>
      <w:divBdr>
        <w:top w:val="none" w:sz="0" w:space="0" w:color="auto"/>
        <w:left w:val="none" w:sz="0" w:space="0" w:color="auto"/>
        <w:bottom w:val="none" w:sz="0" w:space="0" w:color="auto"/>
        <w:right w:val="none" w:sz="0" w:space="0" w:color="auto"/>
      </w:divBdr>
    </w:div>
    <w:div w:id="1829326918">
      <w:bodyDiv w:val="1"/>
      <w:marLeft w:val="0"/>
      <w:marRight w:val="0"/>
      <w:marTop w:val="0"/>
      <w:marBottom w:val="0"/>
      <w:divBdr>
        <w:top w:val="none" w:sz="0" w:space="0" w:color="auto"/>
        <w:left w:val="none" w:sz="0" w:space="0" w:color="auto"/>
        <w:bottom w:val="none" w:sz="0" w:space="0" w:color="auto"/>
        <w:right w:val="none" w:sz="0" w:space="0" w:color="auto"/>
      </w:divBdr>
    </w:div>
    <w:div w:id="1830635409">
      <w:bodyDiv w:val="1"/>
      <w:marLeft w:val="0"/>
      <w:marRight w:val="0"/>
      <w:marTop w:val="0"/>
      <w:marBottom w:val="0"/>
      <w:divBdr>
        <w:top w:val="none" w:sz="0" w:space="0" w:color="auto"/>
        <w:left w:val="none" w:sz="0" w:space="0" w:color="auto"/>
        <w:bottom w:val="none" w:sz="0" w:space="0" w:color="auto"/>
        <w:right w:val="none" w:sz="0" w:space="0" w:color="auto"/>
      </w:divBdr>
    </w:div>
    <w:div w:id="1832404277">
      <w:bodyDiv w:val="1"/>
      <w:marLeft w:val="0"/>
      <w:marRight w:val="0"/>
      <w:marTop w:val="0"/>
      <w:marBottom w:val="0"/>
      <w:divBdr>
        <w:top w:val="none" w:sz="0" w:space="0" w:color="auto"/>
        <w:left w:val="none" w:sz="0" w:space="0" w:color="auto"/>
        <w:bottom w:val="none" w:sz="0" w:space="0" w:color="auto"/>
        <w:right w:val="none" w:sz="0" w:space="0" w:color="auto"/>
      </w:divBdr>
    </w:div>
    <w:div w:id="1834224965">
      <w:bodyDiv w:val="1"/>
      <w:marLeft w:val="0"/>
      <w:marRight w:val="0"/>
      <w:marTop w:val="0"/>
      <w:marBottom w:val="0"/>
      <w:divBdr>
        <w:top w:val="none" w:sz="0" w:space="0" w:color="auto"/>
        <w:left w:val="none" w:sz="0" w:space="0" w:color="auto"/>
        <w:bottom w:val="none" w:sz="0" w:space="0" w:color="auto"/>
        <w:right w:val="none" w:sz="0" w:space="0" w:color="auto"/>
      </w:divBdr>
    </w:div>
    <w:div w:id="1835801134">
      <w:bodyDiv w:val="1"/>
      <w:marLeft w:val="0"/>
      <w:marRight w:val="0"/>
      <w:marTop w:val="0"/>
      <w:marBottom w:val="0"/>
      <w:divBdr>
        <w:top w:val="none" w:sz="0" w:space="0" w:color="auto"/>
        <w:left w:val="none" w:sz="0" w:space="0" w:color="auto"/>
        <w:bottom w:val="none" w:sz="0" w:space="0" w:color="auto"/>
        <w:right w:val="none" w:sz="0" w:space="0" w:color="auto"/>
      </w:divBdr>
    </w:div>
    <w:div w:id="1836720379">
      <w:bodyDiv w:val="1"/>
      <w:marLeft w:val="0"/>
      <w:marRight w:val="0"/>
      <w:marTop w:val="0"/>
      <w:marBottom w:val="0"/>
      <w:divBdr>
        <w:top w:val="none" w:sz="0" w:space="0" w:color="auto"/>
        <w:left w:val="none" w:sz="0" w:space="0" w:color="auto"/>
        <w:bottom w:val="none" w:sz="0" w:space="0" w:color="auto"/>
        <w:right w:val="none" w:sz="0" w:space="0" w:color="auto"/>
      </w:divBdr>
    </w:div>
    <w:div w:id="1838960927">
      <w:bodyDiv w:val="1"/>
      <w:marLeft w:val="0"/>
      <w:marRight w:val="0"/>
      <w:marTop w:val="0"/>
      <w:marBottom w:val="0"/>
      <w:divBdr>
        <w:top w:val="none" w:sz="0" w:space="0" w:color="auto"/>
        <w:left w:val="none" w:sz="0" w:space="0" w:color="auto"/>
        <w:bottom w:val="none" w:sz="0" w:space="0" w:color="auto"/>
        <w:right w:val="none" w:sz="0" w:space="0" w:color="auto"/>
      </w:divBdr>
    </w:div>
    <w:div w:id="1840342924">
      <w:bodyDiv w:val="1"/>
      <w:marLeft w:val="0"/>
      <w:marRight w:val="0"/>
      <w:marTop w:val="0"/>
      <w:marBottom w:val="0"/>
      <w:divBdr>
        <w:top w:val="none" w:sz="0" w:space="0" w:color="auto"/>
        <w:left w:val="none" w:sz="0" w:space="0" w:color="auto"/>
        <w:bottom w:val="none" w:sz="0" w:space="0" w:color="auto"/>
        <w:right w:val="none" w:sz="0" w:space="0" w:color="auto"/>
      </w:divBdr>
    </w:div>
    <w:div w:id="1843010347">
      <w:bodyDiv w:val="1"/>
      <w:marLeft w:val="0"/>
      <w:marRight w:val="0"/>
      <w:marTop w:val="0"/>
      <w:marBottom w:val="0"/>
      <w:divBdr>
        <w:top w:val="none" w:sz="0" w:space="0" w:color="auto"/>
        <w:left w:val="none" w:sz="0" w:space="0" w:color="auto"/>
        <w:bottom w:val="none" w:sz="0" w:space="0" w:color="auto"/>
        <w:right w:val="none" w:sz="0" w:space="0" w:color="auto"/>
      </w:divBdr>
    </w:div>
    <w:div w:id="1844052970">
      <w:bodyDiv w:val="1"/>
      <w:marLeft w:val="0"/>
      <w:marRight w:val="0"/>
      <w:marTop w:val="0"/>
      <w:marBottom w:val="0"/>
      <w:divBdr>
        <w:top w:val="none" w:sz="0" w:space="0" w:color="auto"/>
        <w:left w:val="none" w:sz="0" w:space="0" w:color="auto"/>
        <w:bottom w:val="none" w:sz="0" w:space="0" w:color="auto"/>
        <w:right w:val="none" w:sz="0" w:space="0" w:color="auto"/>
      </w:divBdr>
    </w:div>
    <w:div w:id="1846094372">
      <w:bodyDiv w:val="1"/>
      <w:marLeft w:val="0"/>
      <w:marRight w:val="0"/>
      <w:marTop w:val="0"/>
      <w:marBottom w:val="0"/>
      <w:divBdr>
        <w:top w:val="none" w:sz="0" w:space="0" w:color="auto"/>
        <w:left w:val="none" w:sz="0" w:space="0" w:color="auto"/>
        <w:bottom w:val="none" w:sz="0" w:space="0" w:color="auto"/>
        <w:right w:val="none" w:sz="0" w:space="0" w:color="auto"/>
      </w:divBdr>
    </w:div>
    <w:div w:id="1846699363">
      <w:bodyDiv w:val="1"/>
      <w:marLeft w:val="0"/>
      <w:marRight w:val="0"/>
      <w:marTop w:val="0"/>
      <w:marBottom w:val="0"/>
      <w:divBdr>
        <w:top w:val="none" w:sz="0" w:space="0" w:color="auto"/>
        <w:left w:val="none" w:sz="0" w:space="0" w:color="auto"/>
        <w:bottom w:val="none" w:sz="0" w:space="0" w:color="auto"/>
        <w:right w:val="none" w:sz="0" w:space="0" w:color="auto"/>
      </w:divBdr>
    </w:div>
    <w:div w:id="1846899941">
      <w:bodyDiv w:val="1"/>
      <w:marLeft w:val="0"/>
      <w:marRight w:val="0"/>
      <w:marTop w:val="0"/>
      <w:marBottom w:val="0"/>
      <w:divBdr>
        <w:top w:val="none" w:sz="0" w:space="0" w:color="auto"/>
        <w:left w:val="none" w:sz="0" w:space="0" w:color="auto"/>
        <w:bottom w:val="none" w:sz="0" w:space="0" w:color="auto"/>
        <w:right w:val="none" w:sz="0" w:space="0" w:color="auto"/>
      </w:divBdr>
    </w:div>
    <w:div w:id="1847788871">
      <w:bodyDiv w:val="1"/>
      <w:marLeft w:val="0"/>
      <w:marRight w:val="0"/>
      <w:marTop w:val="0"/>
      <w:marBottom w:val="0"/>
      <w:divBdr>
        <w:top w:val="none" w:sz="0" w:space="0" w:color="auto"/>
        <w:left w:val="none" w:sz="0" w:space="0" w:color="auto"/>
        <w:bottom w:val="none" w:sz="0" w:space="0" w:color="auto"/>
        <w:right w:val="none" w:sz="0" w:space="0" w:color="auto"/>
      </w:divBdr>
    </w:div>
    <w:div w:id="1847866179">
      <w:bodyDiv w:val="1"/>
      <w:marLeft w:val="0"/>
      <w:marRight w:val="0"/>
      <w:marTop w:val="0"/>
      <w:marBottom w:val="0"/>
      <w:divBdr>
        <w:top w:val="none" w:sz="0" w:space="0" w:color="auto"/>
        <w:left w:val="none" w:sz="0" w:space="0" w:color="auto"/>
        <w:bottom w:val="none" w:sz="0" w:space="0" w:color="auto"/>
        <w:right w:val="none" w:sz="0" w:space="0" w:color="auto"/>
      </w:divBdr>
    </w:div>
    <w:div w:id="1847940875">
      <w:bodyDiv w:val="1"/>
      <w:marLeft w:val="0"/>
      <w:marRight w:val="0"/>
      <w:marTop w:val="0"/>
      <w:marBottom w:val="0"/>
      <w:divBdr>
        <w:top w:val="none" w:sz="0" w:space="0" w:color="auto"/>
        <w:left w:val="none" w:sz="0" w:space="0" w:color="auto"/>
        <w:bottom w:val="none" w:sz="0" w:space="0" w:color="auto"/>
        <w:right w:val="none" w:sz="0" w:space="0" w:color="auto"/>
      </w:divBdr>
    </w:div>
    <w:div w:id="1850825883">
      <w:bodyDiv w:val="1"/>
      <w:marLeft w:val="0"/>
      <w:marRight w:val="0"/>
      <w:marTop w:val="0"/>
      <w:marBottom w:val="0"/>
      <w:divBdr>
        <w:top w:val="none" w:sz="0" w:space="0" w:color="auto"/>
        <w:left w:val="none" w:sz="0" w:space="0" w:color="auto"/>
        <w:bottom w:val="none" w:sz="0" w:space="0" w:color="auto"/>
        <w:right w:val="none" w:sz="0" w:space="0" w:color="auto"/>
      </w:divBdr>
    </w:div>
    <w:div w:id="1852719891">
      <w:bodyDiv w:val="1"/>
      <w:marLeft w:val="0"/>
      <w:marRight w:val="0"/>
      <w:marTop w:val="0"/>
      <w:marBottom w:val="0"/>
      <w:divBdr>
        <w:top w:val="none" w:sz="0" w:space="0" w:color="auto"/>
        <w:left w:val="none" w:sz="0" w:space="0" w:color="auto"/>
        <w:bottom w:val="none" w:sz="0" w:space="0" w:color="auto"/>
        <w:right w:val="none" w:sz="0" w:space="0" w:color="auto"/>
      </w:divBdr>
    </w:div>
    <w:div w:id="1857227696">
      <w:bodyDiv w:val="1"/>
      <w:marLeft w:val="0"/>
      <w:marRight w:val="0"/>
      <w:marTop w:val="0"/>
      <w:marBottom w:val="0"/>
      <w:divBdr>
        <w:top w:val="none" w:sz="0" w:space="0" w:color="auto"/>
        <w:left w:val="none" w:sz="0" w:space="0" w:color="auto"/>
        <w:bottom w:val="none" w:sz="0" w:space="0" w:color="auto"/>
        <w:right w:val="none" w:sz="0" w:space="0" w:color="auto"/>
      </w:divBdr>
    </w:div>
    <w:div w:id="1858497938">
      <w:bodyDiv w:val="1"/>
      <w:marLeft w:val="0"/>
      <w:marRight w:val="0"/>
      <w:marTop w:val="0"/>
      <w:marBottom w:val="0"/>
      <w:divBdr>
        <w:top w:val="none" w:sz="0" w:space="0" w:color="auto"/>
        <w:left w:val="none" w:sz="0" w:space="0" w:color="auto"/>
        <w:bottom w:val="none" w:sz="0" w:space="0" w:color="auto"/>
        <w:right w:val="none" w:sz="0" w:space="0" w:color="auto"/>
      </w:divBdr>
    </w:div>
    <w:div w:id="1858806364">
      <w:bodyDiv w:val="1"/>
      <w:marLeft w:val="0"/>
      <w:marRight w:val="0"/>
      <w:marTop w:val="0"/>
      <w:marBottom w:val="0"/>
      <w:divBdr>
        <w:top w:val="none" w:sz="0" w:space="0" w:color="auto"/>
        <w:left w:val="none" w:sz="0" w:space="0" w:color="auto"/>
        <w:bottom w:val="none" w:sz="0" w:space="0" w:color="auto"/>
        <w:right w:val="none" w:sz="0" w:space="0" w:color="auto"/>
      </w:divBdr>
    </w:div>
    <w:div w:id="1863854958">
      <w:bodyDiv w:val="1"/>
      <w:marLeft w:val="0"/>
      <w:marRight w:val="0"/>
      <w:marTop w:val="0"/>
      <w:marBottom w:val="0"/>
      <w:divBdr>
        <w:top w:val="none" w:sz="0" w:space="0" w:color="auto"/>
        <w:left w:val="none" w:sz="0" w:space="0" w:color="auto"/>
        <w:bottom w:val="none" w:sz="0" w:space="0" w:color="auto"/>
        <w:right w:val="none" w:sz="0" w:space="0" w:color="auto"/>
      </w:divBdr>
    </w:div>
    <w:div w:id="1868251709">
      <w:bodyDiv w:val="1"/>
      <w:marLeft w:val="0"/>
      <w:marRight w:val="0"/>
      <w:marTop w:val="0"/>
      <w:marBottom w:val="0"/>
      <w:divBdr>
        <w:top w:val="none" w:sz="0" w:space="0" w:color="auto"/>
        <w:left w:val="none" w:sz="0" w:space="0" w:color="auto"/>
        <w:bottom w:val="none" w:sz="0" w:space="0" w:color="auto"/>
        <w:right w:val="none" w:sz="0" w:space="0" w:color="auto"/>
      </w:divBdr>
    </w:div>
    <w:div w:id="1868643366">
      <w:bodyDiv w:val="1"/>
      <w:marLeft w:val="0"/>
      <w:marRight w:val="0"/>
      <w:marTop w:val="0"/>
      <w:marBottom w:val="0"/>
      <w:divBdr>
        <w:top w:val="none" w:sz="0" w:space="0" w:color="auto"/>
        <w:left w:val="none" w:sz="0" w:space="0" w:color="auto"/>
        <w:bottom w:val="none" w:sz="0" w:space="0" w:color="auto"/>
        <w:right w:val="none" w:sz="0" w:space="0" w:color="auto"/>
      </w:divBdr>
    </w:div>
    <w:div w:id="1868982618">
      <w:bodyDiv w:val="1"/>
      <w:marLeft w:val="0"/>
      <w:marRight w:val="0"/>
      <w:marTop w:val="0"/>
      <w:marBottom w:val="0"/>
      <w:divBdr>
        <w:top w:val="none" w:sz="0" w:space="0" w:color="auto"/>
        <w:left w:val="none" w:sz="0" w:space="0" w:color="auto"/>
        <w:bottom w:val="none" w:sz="0" w:space="0" w:color="auto"/>
        <w:right w:val="none" w:sz="0" w:space="0" w:color="auto"/>
      </w:divBdr>
    </w:div>
    <w:div w:id="1869173829">
      <w:bodyDiv w:val="1"/>
      <w:marLeft w:val="0"/>
      <w:marRight w:val="0"/>
      <w:marTop w:val="0"/>
      <w:marBottom w:val="0"/>
      <w:divBdr>
        <w:top w:val="none" w:sz="0" w:space="0" w:color="auto"/>
        <w:left w:val="none" w:sz="0" w:space="0" w:color="auto"/>
        <w:bottom w:val="none" w:sz="0" w:space="0" w:color="auto"/>
        <w:right w:val="none" w:sz="0" w:space="0" w:color="auto"/>
      </w:divBdr>
    </w:div>
    <w:div w:id="1869634191">
      <w:bodyDiv w:val="1"/>
      <w:marLeft w:val="0"/>
      <w:marRight w:val="0"/>
      <w:marTop w:val="0"/>
      <w:marBottom w:val="0"/>
      <w:divBdr>
        <w:top w:val="none" w:sz="0" w:space="0" w:color="auto"/>
        <w:left w:val="none" w:sz="0" w:space="0" w:color="auto"/>
        <w:bottom w:val="none" w:sz="0" w:space="0" w:color="auto"/>
        <w:right w:val="none" w:sz="0" w:space="0" w:color="auto"/>
      </w:divBdr>
    </w:div>
    <w:div w:id="1871261089">
      <w:bodyDiv w:val="1"/>
      <w:marLeft w:val="0"/>
      <w:marRight w:val="0"/>
      <w:marTop w:val="0"/>
      <w:marBottom w:val="0"/>
      <w:divBdr>
        <w:top w:val="none" w:sz="0" w:space="0" w:color="auto"/>
        <w:left w:val="none" w:sz="0" w:space="0" w:color="auto"/>
        <w:bottom w:val="none" w:sz="0" w:space="0" w:color="auto"/>
        <w:right w:val="none" w:sz="0" w:space="0" w:color="auto"/>
      </w:divBdr>
    </w:div>
    <w:div w:id="1872573200">
      <w:bodyDiv w:val="1"/>
      <w:marLeft w:val="0"/>
      <w:marRight w:val="0"/>
      <w:marTop w:val="0"/>
      <w:marBottom w:val="0"/>
      <w:divBdr>
        <w:top w:val="none" w:sz="0" w:space="0" w:color="auto"/>
        <w:left w:val="none" w:sz="0" w:space="0" w:color="auto"/>
        <w:bottom w:val="none" w:sz="0" w:space="0" w:color="auto"/>
        <w:right w:val="none" w:sz="0" w:space="0" w:color="auto"/>
      </w:divBdr>
    </w:div>
    <w:div w:id="1873227540">
      <w:bodyDiv w:val="1"/>
      <w:marLeft w:val="0"/>
      <w:marRight w:val="0"/>
      <w:marTop w:val="0"/>
      <w:marBottom w:val="0"/>
      <w:divBdr>
        <w:top w:val="none" w:sz="0" w:space="0" w:color="auto"/>
        <w:left w:val="none" w:sz="0" w:space="0" w:color="auto"/>
        <w:bottom w:val="none" w:sz="0" w:space="0" w:color="auto"/>
        <w:right w:val="none" w:sz="0" w:space="0" w:color="auto"/>
      </w:divBdr>
    </w:div>
    <w:div w:id="1873378160">
      <w:bodyDiv w:val="1"/>
      <w:marLeft w:val="0"/>
      <w:marRight w:val="0"/>
      <w:marTop w:val="0"/>
      <w:marBottom w:val="0"/>
      <w:divBdr>
        <w:top w:val="none" w:sz="0" w:space="0" w:color="auto"/>
        <w:left w:val="none" w:sz="0" w:space="0" w:color="auto"/>
        <w:bottom w:val="none" w:sz="0" w:space="0" w:color="auto"/>
        <w:right w:val="none" w:sz="0" w:space="0" w:color="auto"/>
      </w:divBdr>
    </w:div>
    <w:div w:id="1873414715">
      <w:bodyDiv w:val="1"/>
      <w:marLeft w:val="0"/>
      <w:marRight w:val="0"/>
      <w:marTop w:val="0"/>
      <w:marBottom w:val="0"/>
      <w:divBdr>
        <w:top w:val="none" w:sz="0" w:space="0" w:color="auto"/>
        <w:left w:val="none" w:sz="0" w:space="0" w:color="auto"/>
        <w:bottom w:val="none" w:sz="0" w:space="0" w:color="auto"/>
        <w:right w:val="none" w:sz="0" w:space="0" w:color="auto"/>
      </w:divBdr>
    </w:div>
    <w:div w:id="1873422963">
      <w:bodyDiv w:val="1"/>
      <w:marLeft w:val="0"/>
      <w:marRight w:val="0"/>
      <w:marTop w:val="0"/>
      <w:marBottom w:val="0"/>
      <w:divBdr>
        <w:top w:val="none" w:sz="0" w:space="0" w:color="auto"/>
        <w:left w:val="none" w:sz="0" w:space="0" w:color="auto"/>
        <w:bottom w:val="none" w:sz="0" w:space="0" w:color="auto"/>
        <w:right w:val="none" w:sz="0" w:space="0" w:color="auto"/>
      </w:divBdr>
    </w:div>
    <w:div w:id="1875533570">
      <w:bodyDiv w:val="1"/>
      <w:marLeft w:val="0"/>
      <w:marRight w:val="0"/>
      <w:marTop w:val="0"/>
      <w:marBottom w:val="0"/>
      <w:divBdr>
        <w:top w:val="none" w:sz="0" w:space="0" w:color="auto"/>
        <w:left w:val="none" w:sz="0" w:space="0" w:color="auto"/>
        <w:bottom w:val="none" w:sz="0" w:space="0" w:color="auto"/>
        <w:right w:val="none" w:sz="0" w:space="0" w:color="auto"/>
      </w:divBdr>
    </w:div>
    <w:div w:id="1876851050">
      <w:bodyDiv w:val="1"/>
      <w:marLeft w:val="0"/>
      <w:marRight w:val="0"/>
      <w:marTop w:val="0"/>
      <w:marBottom w:val="0"/>
      <w:divBdr>
        <w:top w:val="none" w:sz="0" w:space="0" w:color="auto"/>
        <w:left w:val="none" w:sz="0" w:space="0" w:color="auto"/>
        <w:bottom w:val="none" w:sz="0" w:space="0" w:color="auto"/>
        <w:right w:val="none" w:sz="0" w:space="0" w:color="auto"/>
      </w:divBdr>
    </w:div>
    <w:div w:id="1877816769">
      <w:bodyDiv w:val="1"/>
      <w:marLeft w:val="0"/>
      <w:marRight w:val="0"/>
      <w:marTop w:val="0"/>
      <w:marBottom w:val="0"/>
      <w:divBdr>
        <w:top w:val="none" w:sz="0" w:space="0" w:color="auto"/>
        <w:left w:val="none" w:sz="0" w:space="0" w:color="auto"/>
        <w:bottom w:val="none" w:sz="0" w:space="0" w:color="auto"/>
        <w:right w:val="none" w:sz="0" w:space="0" w:color="auto"/>
      </w:divBdr>
    </w:div>
    <w:div w:id="1879705221">
      <w:bodyDiv w:val="1"/>
      <w:marLeft w:val="0"/>
      <w:marRight w:val="0"/>
      <w:marTop w:val="0"/>
      <w:marBottom w:val="0"/>
      <w:divBdr>
        <w:top w:val="none" w:sz="0" w:space="0" w:color="auto"/>
        <w:left w:val="none" w:sz="0" w:space="0" w:color="auto"/>
        <w:bottom w:val="none" w:sz="0" w:space="0" w:color="auto"/>
        <w:right w:val="none" w:sz="0" w:space="0" w:color="auto"/>
      </w:divBdr>
    </w:div>
    <w:div w:id="1881160945">
      <w:bodyDiv w:val="1"/>
      <w:marLeft w:val="0"/>
      <w:marRight w:val="0"/>
      <w:marTop w:val="0"/>
      <w:marBottom w:val="0"/>
      <w:divBdr>
        <w:top w:val="none" w:sz="0" w:space="0" w:color="auto"/>
        <w:left w:val="none" w:sz="0" w:space="0" w:color="auto"/>
        <w:bottom w:val="none" w:sz="0" w:space="0" w:color="auto"/>
        <w:right w:val="none" w:sz="0" w:space="0" w:color="auto"/>
      </w:divBdr>
    </w:div>
    <w:div w:id="1884251537">
      <w:bodyDiv w:val="1"/>
      <w:marLeft w:val="0"/>
      <w:marRight w:val="0"/>
      <w:marTop w:val="0"/>
      <w:marBottom w:val="0"/>
      <w:divBdr>
        <w:top w:val="none" w:sz="0" w:space="0" w:color="auto"/>
        <w:left w:val="none" w:sz="0" w:space="0" w:color="auto"/>
        <w:bottom w:val="none" w:sz="0" w:space="0" w:color="auto"/>
        <w:right w:val="none" w:sz="0" w:space="0" w:color="auto"/>
      </w:divBdr>
    </w:div>
    <w:div w:id="1884437061">
      <w:bodyDiv w:val="1"/>
      <w:marLeft w:val="0"/>
      <w:marRight w:val="0"/>
      <w:marTop w:val="0"/>
      <w:marBottom w:val="0"/>
      <w:divBdr>
        <w:top w:val="none" w:sz="0" w:space="0" w:color="auto"/>
        <w:left w:val="none" w:sz="0" w:space="0" w:color="auto"/>
        <w:bottom w:val="none" w:sz="0" w:space="0" w:color="auto"/>
        <w:right w:val="none" w:sz="0" w:space="0" w:color="auto"/>
      </w:divBdr>
    </w:div>
    <w:div w:id="1884440601">
      <w:bodyDiv w:val="1"/>
      <w:marLeft w:val="0"/>
      <w:marRight w:val="0"/>
      <w:marTop w:val="0"/>
      <w:marBottom w:val="0"/>
      <w:divBdr>
        <w:top w:val="none" w:sz="0" w:space="0" w:color="auto"/>
        <w:left w:val="none" w:sz="0" w:space="0" w:color="auto"/>
        <w:bottom w:val="none" w:sz="0" w:space="0" w:color="auto"/>
        <w:right w:val="none" w:sz="0" w:space="0" w:color="auto"/>
      </w:divBdr>
    </w:div>
    <w:div w:id="1884713265">
      <w:bodyDiv w:val="1"/>
      <w:marLeft w:val="0"/>
      <w:marRight w:val="0"/>
      <w:marTop w:val="0"/>
      <w:marBottom w:val="0"/>
      <w:divBdr>
        <w:top w:val="none" w:sz="0" w:space="0" w:color="auto"/>
        <w:left w:val="none" w:sz="0" w:space="0" w:color="auto"/>
        <w:bottom w:val="none" w:sz="0" w:space="0" w:color="auto"/>
        <w:right w:val="none" w:sz="0" w:space="0" w:color="auto"/>
      </w:divBdr>
    </w:div>
    <w:div w:id="1885827044">
      <w:bodyDiv w:val="1"/>
      <w:marLeft w:val="0"/>
      <w:marRight w:val="0"/>
      <w:marTop w:val="0"/>
      <w:marBottom w:val="0"/>
      <w:divBdr>
        <w:top w:val="none" w:sz="0" w:space="0" w:color="auto"/>
        <w:left w:val="none" w:sz="0" w:space="0" w:color="auto"/>
        <w:bottom w:val="none" w:sz="0" w:space="0" w:color="auto"/>
        <w:right w:val="none" w:sz="0" w:space="0" w:color="auto"/>
      </w:divBdr>
    </w:div>
    <w:div w:id="1887061134">
      <w:bodyDiv w:val="1"/>
      <w:marLeft w:val="0"/>
      <w:marRight w:val="0"/>
      <w:marTop w:val="0"/>
      <w:marBottom w:val="0"/>
      <w:divBdr>
        <w:top w:val="none" w:sz="0" w:space="0" w:color="auto"/>
        <w:left w:val="none" w:sz="0" w:space="0" w:color="auto"/>
        <w:bottom w:val="none" w:sz="0" w:space="0" w:color="auto"/>
        <w:right w:val="none" w:sz="0" w:space="0" w:color="auto"/>
      </w:divBdr>
    </w:div>
    <w:div w:id="1887327495">
      <w:bodyDiv w:val="1"/>
      <w:marLeft w:val="0"/>
      <w:marRight w:val="0"/>
      <w:marTop w:val="0"/>
      <w:marBottom w:val="0"/>
      <w:divBdr>
        <w:top w:val="none" w:sz="0" w:space="0" w:color="auto"/>
        <w:left w:val="none" w:sz="0" w:space="0" w:color="auto"/>
        <w:bottom w:val="none" w:sz="0" w:space="0" w:color="auto"/>
        <w:right w:val="none" w:sz="0" w:space="0" w:color="auto"/>
      </w:divBdr>
    </w:div>
    <w:div w:id="1889144508">
      <w:bodyDiv w:val="1"/>
      <w:marLeft w:val="0"/>
      <w:marRight w:val="0"/>
      <w:marTop w:val="0"/>
      <w:marBottom w:val="0"/>
      <w:divBdr>
        <w:top w:val="none" w:sz="0" w:space="0" w:color="auto"/>
        <w:left w:val="none" w:sz="0" w:space="0" w:color="auto"/>
        <w:bottom w:val="none" w:sz="0" w:space="0" w:color="auto"/>
        <w:right w:val="none" w:sz="0" w:space="0" w:color="auto"/>
      </w:divBdr>
    </w:div>
    <w:div w:id="1889954220">
      <w:bodyDiv w:val="1"/>
      <w:marLeft w:val="0"/>
      <w:marRight w:val="0"/>
      <w:marTop w:val="0"/>
      <w:marBottom w:val="0"/>
      <w:divBdr>
        <w:top w:val="none" w:sz="0" w:space="0" w:color="auto"/>
        <w:left w:val="none" w:sz="0" w:space="0" w:color="auto"/>
        <w:bottom w:val="none" w:sz="0" w:space="0" w:color="auto"/>
        <w:right w:val="none" w:sz="0" w:space="0" w:color="auto"/>
      </w:divBdr>
    </w:div>
    <w:div w:id="1890261851">
      <w:bodyDiv w:val="1"/>
      <w:marLeft w:val="0"/>
      <w:marRight w:val="0"/>
      <w:marTop w:val="0"/>
      <w:marBottom w:val="0"/>
      <w:divBdr>
        <w:top w:val="none" w:sz="0" w:space="0" w:color="auto"/>
        <w:left w:val="none" w:sz="0" w:space="0" w:color="auto"/>
        <w:bottom w:val="none" w:sz="0" w:space="0" w:color="auto"/>
        <w:right w:val="none" w:sz="0" w:space="0" w:color="auto"/>
      </w:divBdr>
    </w:div>
    <w:div w:id="1890452603">
      <w:bodyDiv w:val="1"/>
      <w:marLeft w:val="0"/>
      <w:marRight w:val="0"/>
      <w:marTop w:val="0"/>
      <w:marBottom w:val="0"/>
      <w:divBdr>
        <w:top w:val="none" w:sz="0" w:space="0" w:color="auto"/>
        <w:left w:val="none" w:sz="0" w:space="0" w:color="auto"/>
        <w:bottom w:val="none" w:sz="0" w:space="0" w:color="auto"/>
        <w:right w:val="none" w:sz="0" w:space="0" w:color="auto"/>
      </w:divBdr>
    </w:div>
    <w:div w:id="1890846874">
      <w:bodyDiv w:val="1"/>
      <w:marLeft w:val="0"/>
      <w:marRight w:val="0"/>
      <w:marTop w:val="0"/>
      <w:marBottom w:val="0"/>
      <w:divBdr>
        <w:top w:val="none" w:sz="0" w:space="0" w:color="auto"/>
        <w:left w:val="none" w:sz="0" w:space="0" w:color="auto"/>
        <w:bottom w:val="none" w:sz="0" w:space="0" w:color="auto"/>
        <w:right w:val="none" w:sz="0" w:space="0" w:color="auto"/>
      </w:divBdr>
    </w:div>
    <w:div w:id="1890989880">
      <w:bodyDiv w:val="1"/>
      <w:marLeft w:val="0"/>
      <w:marRight w:val="0"/>
      <w:marTop w:val="0"/>
      <w:marBottom w:val="0"/>
      <w:divBdr>
        <w:top w:val="none" w:sz="0" w:space="0" w:color="auto"/>
        <w:left w:val="none" w:sz="0" w:space="0" w:color="auto"/>
        <w:bottom w:val="none" w:sz="0" w:space="0" w:color="auto"/>
        <w:right w:val="none" w:sz="0" w:space="0" w:color="auto"/>
      </w:divBdr>
    </w:div>
    <w:div w:id="1891332923">
      <w:bodyDiv w:val="1"/>
      <w:marLeft w:val="0"/>
      <w:marRight w:val="0"/>
      <w:marTop w:val="0"/>
      <w:marBottom w:val="0"/>
      <w:divBdr>
        <w:top w:val="none" w:sz="0" w:space="0" w:color="auto"/>
        <w:left w:val="none" w:sz="0" w:space="0" w:color="auto"/>
        <w:bottom w:val="none" w:sz="0" w:space="0" w:color="auto"/>
        <w:right w:val="none" w:sz="0" w:space="0" w:color="auto"/>
      </w:divBdr>
    </w:div>
    <w:div w:id="1895502238">
      <w:bodyDiv w:val="1"/>
      <w:marLeft w:val="0"/>
      <w:marRight w:val="0"/>
      <w:marTop w:val="0"/>
      <w:marBottom w:val="0"/>
      <w:divBdr>
        <w:top w:val="none" w:sz="0" w:space="0" w:color="auto"/>
        <w:left w:val="none" w:sz="0" w:space="0" w:color="auto"/>
        <w:bottom w:val="none" w:sz="0" w:space="0" w:color="auto"/>
        <w:right w:val="none" w:sz="0" w:space="0" w:color="auto"/>
      </w:divBdr>
    </w:div>
    <w:div w:id="1896234483">
      <w:bodyDiv w:val="1"/>
      <w:marLeft w:val="0"/>
      <w:marRight w:val="0"/>
      <w:marTop w:val="0"/>
      <w:marBottom w:val="0"/>
      <w:divBdr>
        <w:top w:val="none" w:sz="0" w:space="0" w:color="auto"/>
        <w:left w:val="none" w:sz="0" w:space="0" w:color="auto"/>
        <w:bottom w:val="none" w:sz="0" w:space="0" w:color="auto"/>
        <w:right w:val="none" w:sz="0" w:space="0" w:color="auto"/>
      </w:divBdr>
    </w:div>
    <w:div w:id="1897744561">
      <w:bodyDiv w:val="1"/>
      <w:marLeft w:val="0"/>
      <w:marRight w:val="0"/>
      <w:marTop w:val="0"/>
      <w:marBottom w:val="0"/>
      <w:divBdr>
        <w:top w:val="none" w:sz="0" w:space="0" w:color="auto"/>
        <w:left w:val="none" w:sz="0" w:space="0" w:color="auto"/>
        <w:bottom w:val="none" w:sz="0" w:space="0" w:color="auto"/>
        <w:right w:val="none" w:sz="0" w:space="0" w:color="auto"/>
      </w:divBdr>
    </w:div>
    <w:div w:id="1897861037">
      <w:bodyDiv w:val="1"/>
      <w:marLeft w:val="0"/>
      <w:marRight w:val="0"/>
      <w:marTop w:val="0"/>
      <w:marBottom w:val="0"/>
      <w:divBdr>
        <w:top w:val="none" w:sz="0" w:space="0" w:color="auto"/>
        <w:left w:val="none" w:sz="0" w:space="0" w:color="auto"/>
        <w:bottom w:val="none" w:sz="0" w:space="0" w:color="auto"/>
        <w:right w:val="none" w:sz="0" w:space="0" w:color="auto"/>
      </w:divBdr>
    </w:div>
    <w:div w:id="1899823183">
      <w:bodyDiv w:val="1"/>
      <w:marLeft w:val="0"/>
      <w:marRight w:val="0"/>
      <w:marTop w:val="0"/>
      <w:marBottom w:val="0"/>
      <w:divBdr>
        <w:top w:val="none" w:sz="0" w:space="0" w:color="auto"/>
        <w:left w:val="none" w:sz="0" w:space="0" w:color="auto"/>
        <w:bottom w:val="none" w:sz="0" w:space="0" w:color="auto"/>
        <w:right w:val="none" w:sz="0" w:space="0" w:color="auto"/>
      </w:divBdr>
    </w:div>
    <w:div w:id="1903054170">
      <w:bodyDiv w:val="1"/>
      <w:marLeft w:val="0"/>
      <w:marRight w:val="0"/>
      <w:marTop w:val="0"/>
      <w:marBottom w:val="0"/>
      <w:divBdr>
        <w:top w:val="none" w:sz="0" w:space="0" w:color="auto"/>
        <w:left w:val="none" w:sz="0" w:space="0" w:color="auto"/>
        <w:bottom w:val="none" w:sz="0" w:space="0" w:color="auto"/>
        <w:right w:val="none" w:sz="0" w:space="0" w:color="auto"/>
      </w:divBdr>
    </w:div>
    <w:div w:id="1903980399">
      <w:bodyDiv w:val="1"/>
      <w:marLeft w:val="0"/>
      <w:marRight w:val="0"/>
      <w:marTop w:val="0"/>
      <w:marBottom w:val="0"/>
      <w:divBdr>
        <w:top w:val="none" w:sz="0" w:space="0" w:color="auto"/>
        <w:left w:val="none" w:sz="0" w:space="0" w:color="auto"/>
        <w:bottom w:val="none" w:sz="0" w:space="0" w:color="auto"/>
        <w:right w:val="none" w:sz="0" w:space="0" w:color="auto"/>
      </w:divBdr>
    </w:div>
    <w:div w:id="1904177828">
      <w:bodyDiv w:val="1"/>
      <w:marLeft w:val="0"/>
      <w:marRight w:val="0"/>
      <w:marTop w:val="0"/>
      <w:marBottom w:val="0"/>
      <w:divBdr>
        <w:top w:val="none" w:sz="0" w:space="0" w:color="auto"/>
        <w:left w:val="none" w:sz="0" w:space="0" w:color="auto"/>
        <w:bottom w:val="none" w:sz="0" w:space="0" w:color="auto"/>
        <w:right w:val="none" w:sz="0" w:space="0" w:color="auto"/>
      </w:divBdr>
    </w:div>
    <w:div w:id="1904901908">
      <w:bodyDiv w:val="1"/>
      <w:marLeft w:val="0"/>
      <w:marRight w:val="0"/>
      <w:marTop w:val="0"/>
      <w:marBottom w:val="0"/>
      <w:divBdr>
        <w:top w:val="none" w:sz="0" w:space="0" w:color="auto"/>
        <w:left w:val="none" w:sz="0" w:space="0" w:color="auto"/>
        <w:bottom w:val="none" w:sz="0" w:space="0" w:color="auto"/>
        <w:right w:val="none" w:sz="0" w:space="0" w:color="auto"/>
      </w:divBdr>
    </w:div>
    <w:div w:id="1906718112">
      <w:bodyDiv w:val="1"/>
      <w:marLeft w:val="0"/>
      <w:marRight w:val="0"/>
      <w:marTop w:val="0"/>
      <w:marBottom w:val="0"/>
      <w:divBdr>
        <w:top w:val="none" w:sz="0" w:space="0" w:color="auto"/>
        <w:left w:val="none" w:sz="0" w:space="0" w:color="auto"/>
        <w:bottom w:val="none" w:sz="0" w:space="0" w:color="auto"/>
        <w:right w:val="none" w:sz="0" w:space="0" w:color="auto"/>
      </w:divBdr>
    </w:div>
    <w:div w:id="1907062016">
      <w:bodyDiv w:val="1"/>
      <w:marLeft w:val="0"/>
      <w:marRight w:val="0"/>
      <w:marTop w:val="0"/>
      <w:marBottom w:val="0"/>
      <w:divBdr>
        <w:top w:val="none" w:sz="0" w:space="0" w:color="auto"/>
        <w:left w:val="none" w:sz="0" w:space="0" w:color="auto"/>
        <w:bottom w:val="none" w:sz="0" w:space="0" w:color="auto"/>
        <w:right w:val="none" w:sz="0" w:space="0" w:color="auto"/>
      </w:divBdr>
    </w:div>
    <w:div w:id="1907571998">
      <w:bodyDiv w:val="1"/>
      <w:marLeft w:val="0"/>
      <w:marRight w:val="0"/>
      <w:marTop w:val="0"/>
      <w:marBottom w:val="0"/>
      <w:divBdr>
        <w:top w:val="none" w:sz="0" w:space="0" w:color="auto"/>
        <w:left w:val="none" w:sz="0" w:space="0" w:color="auto"/>
        <w:bottom w:val="none" w:sz="0" w:space="0" w:color="auto"/>
        <w:right w:val="none" w:sz="0" w:space="0" w:color="auto"/>
      </w:divBdr>
    </w:div>
    <w:div w:id="1909150568">
      <w:bodyDiv w:val="1"/>
      <w:marLeft w:val="0"/>
      <w:marRight w:val="0"/>
      <w:marTop w:val="0"/>
      <w:marBottom w:val="0"/>
      <w:divBdr>
        <w:top w:val="none" w:sz="0" w:space="0" w:color="auto"/>
        <w:left w:val="none" w:sz="0" w:space="0" w:color="auto"/>
        <w:bottom w:val="none" w:sz="0" w:space="0" w:color="auto"/>
        <w:right w:val="none" w:sz="0" w:space="0" w:color="auto"/>
      </w:divBdr>
    </w:div>
    <w:div w:id="1909805072">
      <w:bodyDiv w:val="1"/>
      <w:marLeft w:val="0"/>
      <w:marRight w:val="0"/>
      <w:marTop w:val="0"/>
      <w:marBottom w:val="0"/>
      <w:divBdr>
        <w:top w:val="none" w:sz="0" w:space="0" w:color="auto"/>
        <w:left w:val="none" w:sz="0" w:space="0" w:color="auto"/>
        <w:bottom w:val="none" w:sz="0" w:space="0" w:color="auto"/>
        <w:right w:val="none" w:sz="0" w:space="0" w:color="auto"/>
      </w:divBdr>
    </w:div>
    <w:div w:id="1911496384">
      <w:bodyDiv w:val="1"/>
      <w:marLeft w:val="0"/>
      <w:marRight w:val="0"/>
      <w:marTop w:val="0"/>
      <w:marBottom w:val="0"/>
      <w:divBdr>
        <w:top w:val="none" w:sz="0" w:space="0" w:color="auto"/>
        <w:left w:val="none" w:sz="0" w:space="0" w:color="auto"/>
        <w:bottom w:val="none" w:sz="0" w:space="0" w:color="auto"/>
        <w:right w:val="none" w:sz="0" w:space="0" w:color="auto"/>
      </w:divBdr>
    </w:div>
    <w:div w:id="1913075849">
      <w:bodyDiv w:val="1"/>
      <w:marLeft w:val="0"/>
      <w:marRight w:val="0"/>
      <w:marTop w:val="0"/>
      <w:marBottom w:val="0"/>
      <w:divBdr>
        <w:top w:val="none" w:sz="0" w:space="0" w:color="auto"/>
        <w:left w:val="none" w:sz="0" w:space="0" w:color="auto"/>
        <w:bottom w:val="none" w:sz="0" w:space="0" w:color="auto"/>
        <w:right w:val="none" w:sz="0" w:space="0" w:color="auto"/>
      </w:divBdr>
    </w:div>
    <w:div w:id="1916544757">
      <w:bodyDiv w:val="1"/>
      <w:marLeft w:val="0"/>
      <w:marRight w:val="0"/>
      <w:marTop w:val="0"/>
      <w:marBottom w:val="0"/>
      <w:divBdr>
        <w:top w:val="none" w:sz="0" w:space="0" w:color="auto"/>
        <w:left w:val="none" w:sz="0" w:space="0" w:color="auto"/>
        <w:bottom w:val="none" w:sz="0" w:space="0" w:color="auto"/>
        <w:right w:val="none" w:sz="0" w:space="0" w:color="auto"/>
      </w:divBdr>
    </w:div>
    <w:div w:id="1918007524">
      <w:bodyDiv w:val="1"/>
      <w:marLeft w:val="0"/>
      <w:marRight w:val="0"/>
      <w:marTop w:val="0"/>
      <w:marBottom w:val="0"/>
      <w:divBdr>
        <w:top w:val="none" w:sz="0" w:space="0" w:color="auto"/>
        <w:left w:val="none" w:sz="0" w:space="0" w:color="auto"/>
        <w:bottom w:val="none" w:sz="0" w:space="0" w:color="auto"/>
        <w:right w:val="none" w:sz="0" w:space="0" w:color="auto"/>
      </w:divBdr>
    </w:div>
    <w:div w:id="1920402628">
      <w:bodyDiv w:val="1"/>
      <w:marLeft w:val="0"/>
      <w:marRight w:val="0"/>
      <w:marTop w:val="0"/>
      <w:marBottom w:val="0"/>
      <w:divBdr>
        <w:top w:val="none" w:sz="0" w:space="0" w:color="auto"/>
        <w:left w:val="none" w:sz="0" w:space="0" w:color="auto"/>
        <w:bottom w:val="none" w:sz="0" w:space="0" w:color="auto"/>
        <w:right w:val="none" w:sz="0" w:space="0" w:color="auto"/>
      </w:divBdr>
    </w:div>
    <w:div w:id="1921137483">
      <w:bodyDiv w:val="1"/>
      <w:marLeft w:val="0"/>
      <w:marRight w:val="0"/>
      <w:marTop w:val="0"/>
      <w:marBottom w:val="0"/>
      <w:divBdr>
        <w:top w:val="none" w:sz="0" w:space="0" w:color="auto"/>
        <w:left w:val="none" w:sz="0" w:space="0" w:color="auto"/>
        <w:bottom w:val="none" w:sz="0" w:space="0" w:color="auto"/>
        <w:right w:val="none" w:sz="0" w:space="0" w:color="auto"/>
      </w:divBdr>
    </w:div>
    <w:div w:id="1921596819">
      <w:bodyDiv w:val="1"/>
      <w:marLeft w:val="0"/>
      <w:marRight w:val="0"/>
      <w:marTop w:val="0"/>
      <w:marBottom w:val="0"/>
      <w:divBdr>
        <w:top w:val="none" w:sz="0" w:space="0" w:color="auto"/>
        <w:left w:val="none" w:sz="0" w:space="0" w:color="auto"/>
        <w:bottom w:val="none" w:sz="0" w:space="0" w:color="auto"/>
        <w:right w:val="none" w:sz="0" w:space="0" w:color="auto"/>
      </w:divBdr>
    </w:div>
    <w:div w:id="1922327238">
      <w:bodyDiv w:val="1"/>
      <w:marLeft w:val="0"/>
      <w:marRight w:val="0"/>
      <w:marTop w:val="0"/>
      <w:marBottom w:val="0"/>
      <w:divBdr>
        <w:top w:val="none" w:sz="0" w:space="0" w:color="auto"/>
        <w:left w:val="none" w:sz="0" w:space="0" w:color="auto"/>
        <w:bottom w:val="none" w:sz="0" w:space="0" w:color="auto"/>
        <w:right w:val="none" w:sz="0" w:space="0" w:color="auto"/>
      </w:divBdr>
    </w:div>
    <w:div w:id="1922985948">
      <w:bodyDiv w:val="1"/>
      <w:marLeft w:val="0"/>
      <w:marRight w:val="0"/>
      <w:marTop w:val="0"/>
      <w:marBottom w:val="0"/>
      <w:divBdr>
        <w:top w:val="none" w:sz="0" w:space="0" w:color="auto"/>
        <w:left w:val="none" w:sz="0" w:space="0" w:color="auto"/>
        <w:bottom w:val="none" w:sz="0" w:space="0" w:color="auto"/>
        <w:right w:val="none" w:sz="0" w:space="0" w:color="auto"/>
      </w:divBdr>
    </w:div>
    <w:div w:id="1923296266">
      <w:bodyDiv w:val="1"/>
      <w:marLeft w:val="0"/>
      <w:marRight w:val="0"/>
      <w:marTop w:val="0"/>
      <w:marBottom w:val="0"/>
      <w:divBdr>
        <w:top w:val="none" w:sz="0" w:space="0" w:color="auto"/>
        <w:left w:val="none" w:sz="0" w:space="0" w:color="auto"/>
        <w:bottom w:val="none" w:sz="0" w:space="0" w:color="auto"/>
        <w:right w:val="none" w:sz="0" w:space="0" w:color="auto"/>
      </w:divBdr>
    </w:div>
    <w:div w:id="1924291559">
      <w:bodyDiv w:val="1"/>
      <w:marLeft w:val="0"/>
      <w:marRight w:val="0"/>
      <w:marTop w:val="0"/>
      <w:marBottom w:val="0"/>
      <w:divBdr>
        <w:top w:val="none" w:sz="0" w:space="0" w:color="auto"/>
        <w:left w:val="none" w:sz="0" w:space="0" w:color="auto"/>
        <w:bottom w:val="none" w:sz="0" w:space="0" w:color="auto"/>
        <w:right w:val="none" w:sz="0" w:space="0" w:color="auto"/>
      </w:divBdr>
    </w:div>
    <w:div w:id="1925142046">
      <w:bodyDiv w:val="1"/>
      <w:marLeft w:val="0"/>
      <w:marRight w:val="0"/>
      <w:marTop w:val="0"/>
      <w:marBottom w:val="0"/>
      <w:divBdr>
        <w:top w:val="none" w:sz="0" w:space="0" w:color="auto"/>
        <w:left w:val="none" w:sz="0" w:space="0" w:color="auto"/>
        <w:bottom w:val="none" w:sz="0" w:space="0" w:color="auto"/>
        <w:right w:val="none" w:sz="0" w:space="0" w:color="auto"/>
      </w:divBdr>
    </w:div>
    <w:div w:id="1925257088">
      <w:bodyDiv w:val="1"/>
      <w:marLeft w:val="0"/>
      <w:marRight w:val="0"/>
      <w:marTop w:val="0"/>
      <w:marBottom w:val="0"/>
      <w:divBdr>
        <w:top w:val="none" w:sz="0" w:space="0" w:color="auto"/>
        <w:left w:val="none" w:sz="0" w:space="0" w:color="auto"/>
        <w:bottom w:val="none" w:sz="0" w:space="0" w:color="auto"/>
        <w:right w:val="none" w:sz="0" w:space="0" w:color="auto"/>
      </w:divBdr>
    </w:div>
    <w:div w:id="1926062069">
      <w:bodyDiv w:val="1"/>
      <w:marLeft w:val="0"/>
      <w:marRight w:val="0"/>
      <w:marTop w:val="0"/>
      <w:marBottom w:val="0"/>
      <w:divBdr>
        <w:top w:val="none" w:sz="0" w:space="0" w:color="auto"/>
        <w:left w:val="none" w:sz="0" w:space="0" w:color="auto"/>
        <w:bottom w:val="none" w:sz="0" w:space="0" w:color="auto"/>
        <w:right w:val="none" w:sz="0" w:space="0" w:color="auto"/>
      </w:divBdr>
    </w:div>
    <w:div w:id="1926644623">
      <w:bodyDiv w:val="1"/>
      <w:marLeft w:val="0"/>
      <w:marRight w:val="0"/>
      <w:marTop w:val="0"/>
      <w:marBottom w:val="0"/>
      <w:divBdr>
        <w:top w:val="none" w:sz="0" w:space="0" w:color="auto"/>
        <w:left w:val="none" w:sz="0" w:space="0" w:color="auto"/>
        <w:bottom w:val="none" w:sz="0" w:space="0" w:color="auto"/>
        <w:right w:val="none" w:sz="0" w:space="0" w:color="auto"/>
      </w:divBdr>
    </w:div>
    <w:div w:id="1929579835">
      <w:bodyDiv w:val="1"/>
      <w:marLeft w:val="0"/>
      <w:marRight w:val="0"/>
      <w:marTop w:val="0"/>
      <w:marBottom w:val="0"/>
      <w:divBdr>
        <w:top w:val="none" w:sz="0" w:space="0" w:color="auto"/>
        <w:left w:val="none" w:sz="0" w:space="0" w:color="auto"/>
        <w:bottom w:val="none" w:sz="0" w:space="0" w:color="auto"/>
        <w:right w:val="none" w:sz="0" w:space="0" w:color="auto"/>
      </w:divBdr>
    </w:div>
    <w:div w:id="1930700878">
      <w:bodyDiv w:val="1"/>
      <w:marLeft w:val="0"/>
      <w:marRight w:val="0"/>
      <w:marTop w:val="0"/>
      <w:marBottom w:val="0"/>
      <w:divBdr>
        <w:top w:val="none" w:sz="0" w:space="0" w:color="auto"/>
        <w:left w:val="none" w:sz="0" w:space="0" w:color="auto"/>
        <w:bottom w:val="none" w:sz="0" w:space="0" w:color="auto"/>
        <w:right w:val="none" w:sz="0" w:space="0" w:color="auto"/>
      </w:divBdr>
    </w:div>
    <w:div w:id="1930843975">
      <w:bodyDiv w:val="1"/>
      <w:marLeft w:val="0"/>
      <w:marRight w:val="0"/>
      <w:marTop w:val="0"/>
      <w:marBottom w:val="0"/>
      <w:divBdr>
        <w:top w:val="none" w:sz="0" w:space="0" w:color="auto"/>
        <w:left w:val="none" w:sz="0" w:space="0" w:color="auto"/>
        <w:bottom w:val="none" w:sz="0" w:space="0" w:color="auto"/>
        <w:right w:val="none" w:sz="0" w:space="0" w:color="auto"/>
      </w:divBdr>
    </w:div>
    <w:div w:id="1933272328">
      <w:bodyDiv w:val="1"/>
      <w:marLeft w:val="0"/>
      <w:marRight w:val="0"/>
      <w:marTop w:val="0"/>
      <w:marBottom w:val="0"/>
      <w:divBdr>
        <w:top w:val="none" w:sz="0" w:space="0" w:color="auto"/>
        <w:left w:val="none" w:sz="0" w:space="0" w:color="auto"/>
        <w:bottom w:val="none" w:sz="0" w:space="0" w:color="auto"/>
        <w:right w:val="none" w:sz="0" w:space="0" w:color="auto"/>
      </w:divBdr>
    </w:div>
    <w:div w:id="1934048702">
      <w:bodyDiv w:val="1"/>
      <w:marLeft w:val="0"/>
      <w:marRight w:val="0"/>
      <w:marTop w:val="0"/>
      <w:marBottom w:val="0"/>
      <w:divBdr>
        <w:top w:val="none" w:sz="0" w:space="0" w:color="auto"/>
        <w:left w:val="none" w:sz="0" w:space="0" w:color="auto"/>
        <w:bottom w:val="none" w:sz="0" w:space="0" w:color="auto"/>
        <w:right w:val="none" w:sz="0" w:space="0" w:color="auto"/>
      </w:divBdr>
    </w:div>
    <w:div w:id="1935090990">
      <w:bodyDiv w:val="1"/>
      <w:marLeft w:val="0"/>
      <w:marRight w:val="0"/>
      <w:marTop w:val="0"/>
      <w:marBottom w:val="0"/>
      <w:divBdr>
        <w:top w:val="none" w:sz="0" w:space="0" w:color="auto"/>
        <w:left w:val="none" w:sz="0" w:space="0" w:color="auto"/>
        <w:bottom w:val="none" w:sz="0" w:space="0" w:color="auto"/>
        <w:right w:val="none" w:sz="0" w:space="0" w:color="auto"/>
      </w:divBdr>
    </w:div>
    <w:div w:id="1942058336">
      <w:bodyDiv w:val="1"/>
      <w:marLeft w:val="0"/>
      <w:marRight w:val="0"/>
      <w:marTop w:val="0"/>
      <w:marBottom w:val="0"/>
      <w:divBdr>
        <w:top w:val="none" w:sz="0" w:space="0" w:color="auto"/>
        <w:left w:val="none" w:sz="0" w:space="0" w:color="auto"/>
        <w:bottom w:val="none" w:sz="0" w:space="0" w:color="auto"/>
        <w:right w:val="none" w:sz="0" w:space="0" w:color="auto"/>
      </w:divBdr>
    </w:div>
    <w:div w:id="1942297863">
      <w:bodyDiv w:val="1"/>
      <w:marLeft w:val="0"/>
      <w:marRight w:val="0"/>
      <w:marTop w:val="0"/>
      <w:marBottom w:val="0"/>
      <w:divBdr>
        <w:top w:val="none" w:sz="0" w:space="0" w:color="auto"/>
        <w:left w:val="none" w:sz="0" w:space="0" w:color="auto"/>
        <w:bottom w:val="none" w:sz="0" w:space="0" w:color="auto"/>
        <w:right w:val="none" w:sz="0" w:space="0" w:color="auto"/>
      </w:divBdr>
    </w:div>
    <w:div w:id="1942451997">
      <w:bodyDiv w:val="1"/>
      <w:marLeft w:val="0"/>
      <w:marRight w:val="0"/>
      <w:marTop w:val="0"/>
      <w:marBottom w:val="0"/>
      <w:divBdr>
        <w:top w:val="none" w:sz="0" w:space="0" w:color="auto"/>
        <w:left w:val="none" w:sz="0" w:space="0" w:color="auto"/>
        <w:bottom w:val="none" w:sz="0" w:space="0" w:color="auto"/>
        <w:right w:val="none" w:sz="0" w:space="0" w:color="auto"/>
      </w:divBdr>
    </w:div>
    <w:div w:id="1944679382">
      <w:bodyDiv w:val="1"/>
      <w:marLeft w:val="0"/>
      <w:marRight w:val="0"/>
      <w:marTop w:val="0"/>
      <w:marBottom w:val="0"/>
      <w:divBdr>
        <w:top w:val="none" w:sz="0" w:space="0" w:color="auto"/>
        <w:left w:val="none" w:sz="0" w:space="0" w:color="auto"/>
        <w:bottom w:val="none" w:sz="0" w:space="0" w:color="auto"/>
        <w:right w:val="none" w:sz="0" w:space="0" w:color="auto"/>
      </w:divBdr>
    </w:div>
    <w:div w:id="1944920200">
      <w:bodyDiv w:val="1"/>
      <w:marLeft w:val="0"/>
      <w:marRight w:val="0"/>
      <w:marTop w:val="0"/>
      <w:marBottom w:val="0"/>
      <w:divBdr>
        <w:top w:val="none" w:sz="0" w:space="0" w:color="auto"/>
        <w:left w:val="none" w:sz="0" w:space="0" w:color="auto"/>
        <w:bottom w:val="none" w:sz="0" w:space="0" w:color="auto"/>
        <w:right w:val="none" w:sz="0" w:space="0" w:color="auto"/>
      </w:divBdr>
    </w:div>
    <w:div w:id="1945503683">
      <w:bodyDiv w:val="1"/>
      <w:marLeft w:val="0"/>
      <w:marRight w:val="0"/>
      <w:marTop w:val="0"/>
      <w:marBottom w:val="0"/>
      <w:divBdr>
        <w:top w:val="none" w:sz="0" w:space="0" w:color="auto"/>
        <w:left w:val="none" w:sz="0" w:space="0" w:color="auto"/>
        <w:bottom w:val="none" w:sz="0" w:space="0" w:color="auto"/>
        <w:right w:val="none" w:sz="0" w:space="0" w:color="auto"/>
      </w:divBdr>
    </w:div>
    <w:div w:id="1946885984">
      <w:bodyDiv w:val="1"/>
      <w:marLeft w:val="0"/>
      <w:marRight w:val="0"/>
      <w:marTop w:val="0"/>
      <w:marBottom w:val="0"/>
      <w:divBdr>
        <w:top w:val="none" w:sz="0" w:space="0" w:color="auto"/>
        <w:left w:val="none" w:sz="0" w:space="0" w:color="auto"/>
        <w:bottom w:val="none" w:sz="0" w:space="0" w:color="auto"/>
        <w:right w:val="none" w:sz="0" w:space="0" w:color="auto"/>
      </w:divBdr>
    </w:div>
    <w:div w:id="1947302219">
      <w:bodyDiv w:val="1"/>
      <w:marLeft w:val="0"/>
      <w:marRight w:val="0"/>
      <w:marTop w:val="0"/>
      <w:marBottom w:val="0"/>
      <w:divBdr>
        <w:top w:val="none" w:sz="0" w:space="0" w:color="auto"/>
        <w:left w:val="none" w:sz="0" w:space="0" w:color="auto"/>
        <w:bottom w:val="none" w:sz="0" w:space="0" w:color="auto"/>
        <w:right w:val="none" w:sz="0" w:space="0" w:color="auto"/>
      </w:divBdr>
    </w:div>
    <w:div w:id="1950817630">
      <w:bodyDiv w:val="1"/>
      <w:marLeft w:val="0"/>
      <w:marRight w:val="0"/>
      <w:marTop w:val="0"/>
      <w:marBottom w:val="0"/>
      <w:divBdr>
        <w:top w:val="none" w:sz="0" w:space="0" w:color="auto"/>
        <w:left w:val="none" w:sz="0" w:space="0" w:color="auto"/>
        <w:bottom w:val="none" w:sz="0" w:space="0" w:color="auto"/>
        <w:right w:val="none" w:sz="0" w:space="0" w:color="auto"/>
      </w:divBdr>
    </w:div>
    <w:div w:id="1950895758">
      <w:bodyDiv w:val="1"/>
      <w:marLeft w:val="0"/>
      <w:marRight w:val="0"/>
      <w:marTop w:val="0"/>
      <w:marBottom w:val="0"/>
      <w:divBdr>
        <w:top w:val="none" w:sz="0" w:space="0" w:color="auto"/>
        <w:left w:val="none" w:sz="0" w:space="0" w:color="auto"/>
        <w:bottom w:val="none" w:sz="0" w:space="0" w:color="auto"/>
        <w:right w:val="none" w:sz="0" w:space="0" w:color="auto"/>
      </w:divBdr>
    </w:div>
    <w:div w:id="1951431178">
      <w:bodyDiv w:val="1"/>
      <w:marLeft w:val="0"/>
      <w:marRight w:val="0"/>
      <w:marTop w:val="0"/>
      <w:marBottom w:val="0"/>
      <w:divBdr>
        <w:top w:val="none" w:sz="0" w:space="0" w:color="auto"/>
        <w:left w:val="none" w:sz="0" w:space="0" w:color="auto"/>
        <w:bottom w:val="none" w:sz="0" w:space="0" w:color="auto"/>
        <w:right w:val="none" w:sz="0" w:space="0" w:color="auto"/>
      </w:divBdr>
    </w:div>
    <w:div w:id="1953587570">
      <w:bodyDiv w:val="1"/>
      <w:marLeft w:val="0"/>
      <w:marRight w:val="0"/>
      <w:marTop w:val="0"/>
      <w:marBottom w:val="0"/>
      <w:divBdr>
        <w:top w:val="none" w:sz="0" w:space="0" w:color="auto"/>
        <w:left w:val="none" w:sz="0" w:space="0" w:color="auto"/>
        <w:bottom w:val="none" w:sz="0" w:space="0" w:color="auto"/>
        <w:right w:val="none" w:sz="0" w:space="0" w:color="auto"/>
      </w:divBdr>
    </w:div>
    <w:div w:id="1955552101">
      <w:bodyDiv w:val="1"/>
      <w:marLeft w:val="0"/>
      <w:marRight w:val="0"/>
      <w:marTop w:val="0"/>
      <w:marBottom w:val="0"/>
      <w:divBdr>
        <w:top w:val="none" w:sz="0" w:space="0" w:color="auto"/>
        <w:left w:val="none" w:sz="0" w:space="0" w:color="auto"/>
        <w:bottom w:val="none" w:sz="0" w:space="0" w:color="auto"/>
        <w:right w:val="none" w:sz="0" w:space="0" w:color="auto"/>
      </w:divBdr>
    </w:div>
    <w:div w:id="1957246622">
      <w:bodyDiv w:val="1"/>
      <w:marLeft w:val="0"/>
      <w:marRight w:val="0"/>
      <w:marTop w:val="0"/>
      <w:marBottom w:val="0"/>
      <w:divBdr>
        <w:top w:val="none" w:sz="0" w:space="0" w:color="auto"/>
        <w:left w:val="none" w:sz="0" w:space="0" w:color="auto"/>
        <w:bottom w:val="none" w:sz="0" w:space="0" w:color="auto"/>
        <w:right w:val="none" w:sz="0" w:space="0" w:color="auto"/>
      </w:divBdr>
    </w:div>
    <w:div w:id="1957368970">
      <w:bodyDiv w:val="1"/>
      <w:marLeft w:val="0"/>
      <w:marRight w:val="0"/>
      <w:marTop w:val="0"/>
      <w:marBottom w:val="0"/>
      <w:divBdr>
        <w:top w:val="none" w:sz="0" w:space="0" w:color="auto"/>
        <w:left w:val="none" w:sz="0" w:space="0" w:color="auto"/>
        <w:bottom w:val="none" w:sz="0" w:space="0" w:color="auto"/>
        <w:right w:val="none" w:sz="0" w:space="0" w:color="auto"/>
      </w:divBdr>
    </w:div>
    <w:div w:id="1957709336">
      <w:bodyDiv w:val="1"/>
      <w:marLeft w:val="0"/>
      <w:marRight w:val="0"/>
      <w:marTop w:val="0"/>
      <w:marBottom w:val="0"/>
      <w:divBdr>
        <w:top w:val="none" w:sz="0" w:space="0" w:color="auto"/>
        <w:left w:val="none" w:sz="0" w:space="0" w:color="auto"/>
        <w:bottom w:val="none" w:sz="0" w:space="0" w:color="auto"/>
        <w:right w:val="none" w:sz="0" w:space="0" w:color="auto"/>
      </w:divBdr>
    </w:div>
    <w:div w:id="1958874445">
      <w:bodyDiv w:val="1"/>
      <w:marLeft w:val="0"/>
      <w:marRight w:val="0"/>
      <w:marTop w:val="0"/>
      <w:marBottom w:val="0"/>
      <w:divBdr>
        <w:top w:val="none" w:sz="0" w:space="0" w:color="auto"/>
        <w:left w:val="none" w:sz="0" w:space="0" w:color="auto"/>
        <w:bottom w:val="none" w:sz="0" w:space="0" w:color="auto"/>
        <w:right w:val="none" w:sz="0" w:space="0" w:color="auto"/>
      </w:divBdr>
    </w:div>
    <w:div w:id="1959674947">
      <w:bodyDiv w:val="1"/>
      <w:marLeft w:val="0"/>
      <w:marRight w:val="0"/>
      <w:marTop w:val="0"/>
      <w:marBottom w:val="0"/>
      <w:divBdr>
        <w:top w:val="none" w:sz="0" w:space="0" w:color="auto"/>
        <w:left w:val="none" w:sz="0" w:space="0" w:color="auto"/>
        <w:bottom w:val="none" w:sz="0" w:space="0" w:color="auto"/>
        <w:right w:val="none" w:sz="0" w:space="0" w:color="auto"/>
      </w:divBdr>
    </w:div>
    <w:div w:id="1961454460">
      <w:bodyDiv w:val="1"/>
      <w:marLeft w:val="0"/>
      <w:marRight w:val="0"/>
      <w:marTop w:val="0"/>
      <w:marBottom w:val="0"/>
      <w:divBdr>
        <w:top w:val="none" w:sz="0" w:space="0" w:color="auto"/>
        <w:left w:val="none" w:sz="0" w:space="0" w:color="auto"/>
        <w:bottom w:val="none" w:sz="0" w:space="0" w:color="auto"/>
        <w:right w:val="none" w:sz="0" w:space="0" w:color="auto"/>
      </w:divBdr>
    </w:div>
    <w:div w:id="1964579471">
      <w:bodyDiv w:val="1"/>
      <w:marLeft w:val="0"/>
      <w:marRight w:val="0"/>
      <w:marTop w:val="0"/>
      <w:marBottom w:val="0"/>
      <w:divBdr>
        <w:top w:val="none" w:sz="0" w:space="0" w:color="auto"/>
        <w:left w:val="none" w:sz="0" w:space="0" w:color="auto"/>
        <w:bottom w:val="none" w:sz="0" w:space="0" w:color="auto"/>
        <w:right w:val="none" w:sz="0" w:space="0" w:color="auto"/>
      </w:divBdr>
    </w:div>
    <w:div w:id="1965766551">
      <w:bodyDiv w:val="1"/>
      <w:marLeft w:val="0"/>
      <w:marRight w:val="0"/>
      <w:marTop w:val="0"/>
      <w:marBottom w:val="0"/>
      <w:divBdr>
        <w:top w:val="none" w:sz="0" w:space="0" w:color="auto"/>
        <w:left w:val="none" w:sz="0" w:space="0" w:color="auto"/>
        <w:bottom w:val="none" w:sz="0" w:space="0" w:color="auto"/>
        <w:right w:val="none" w:sz="0" w:space="0" w:color="auto"/>
      </w:divBdr>
    </w:div>
    <w:div w:id="1967730941">
      <w:bodyDiv w:val="1"/>
      <w:marLeft w:val="0"/>
      <w:marRight w:val="0"/>
      <w:marTop w:val="0"/>
      <w:marBottom w:val="0"/>
      <w:divBdr>
        <w:top w:val="none" w:sz="0" w:space="0" w:color="auto"/>
        <w:left w:val="none" w:sz="0" w:space="0" w:color="auto"/>
        <w:bottom w:val="none" w:sz="0" w:space="0" w:color="auto"/>
        <w:right w:val="none" w:sz="0" w:space="0" w:color="auto"/>
      </w:divBdr>
    </w:div>
    <w:div w:id="1969167289">
      <w:bodyDiv w:val="1"/>
      <w:marLeft w:val="0"/>
      <w:marRight w:val="0"/>
      <w:marTop w:val="0"/>
      <w:marBottom w:val="0"/>
      <w:divBdr>
        <w:top w:val="none" w:sz="0" w:space="0" w:color="auto"/>
        <w:left w:val="none" w:sz="0" w:space="0" w:color="auto"/>
        <w:bottom w:val="none" w:sz="0" w:space="0" w:color="auto"/>
        <w:right w:val="none" w:sz="0" w:space="0" w:color="auto"/>
      </w:divBdr>
    </w:div>
    <w:div w:id="1969585492">
      <w:bodyDiv w:val="1"/>
      <w:marLeft w:val="0"/>
      <w:marRight w:val="0"/>
      <w:marTop w:val="0"/>
      <w:marBottom w:val="0"/>
      <w:divBdr>
        <w:top w:val="none" w:sz="0" w:space="0" w:color="auto"/>
        <w:left w:val="none" w:sz="0" w:space="0" w:color="auto"/>
        <w:bottom w:val="none" w:sz="0" w:space="0" w:color="auto"/>
        <w:right w:val="none" w:sz="0" w:space="0" w:color="auto"/>
      </w:divBdr>
    </w:div>
    <w:div w:id="1969774802">
      <w:bodyDiv w:val="1"/>
      <w:marLeft w:val="0"/>
      <w:marRight w:val="0"/>
      <w:marTop w:val="0"/>
      <w:marBottom w:val="0"/>
      <w:divBdr>
        <w:top w:val="none" w:sz="0" w:space="0" w:color="auto"/>
        <w:left w:val="none" w:sz="0" w:space="0" w:color="auto"/>
        <w:bottom w:val="none" w:sz="0" w:space="0" w:color="auto"/>
        <w:right w:val="none" w:sz="0" w:space="0" w:color="auto"/>
      </w:divBdr>
    </w:div>
    <w:div w:id="1971982126">
      <w:bodyDiv w:val="1"/>
      <w:marLeft w:val="0"/>
      <w:marRight w:val="0"/>
      <w:marTop w:val="0"/>
      <w:marBottom w:val="0"/>
      <w:divBdr>
        <w:top w:val="none" w:sz="0" w:space="0" w:color="auto"/>
        <w:left w:val="none" w:sz="0" w:space="0" w:color="auto"/>
        <w:bottom w:val="none" w:sz="0" w:space="0" w:color="auto"/>
        <w:right w:val="none" w:sz="0" w:space="0" w:color="auto"/>
      </w:divBdr>
    </w:div>
    <w:div w:id="1972052860">
      <w:bodyDiv w:val="1"/>
      <w:marLeft w:val="0"/>
      <w:marRight w:val="0"/>
      <w:marTop w:val="0"/>
      <w:marBottom w:val="0"/>
      <w:divBdr>
        <w:top w:val="none" w:sz="0" w:space="0" w:color="auto"/>
        <w:left w:val="none" w:sz="0" w:space="0" w:color="auto"/>
        <w:bottom w:val="none" w:sz="0" w:space="0" w:color="auto"/>
        <w:right w:val="none" w:sz="0" w:space="0" w:color="auto"/>
      </w:divBdr>
    </w:div>
    <w:div w:id="1972861875">
      <w:bodyDiv w:val="1"/>
      <w:marLeft w:val="0"/>
      <w:marRight w:val="0"/>
      <w:marTop w:val="0"/>
      <w:marBottom w:val="0"/>
      <w:divBdr>
        <w:top w:val="none" w:sz="0" w:space="0" w:color="auto"/>
        <w:left w:val="none" w:sz="0" w:space="0" w:color="auto"/>
        <w:bottom w:val="none" w:sz="0" w:space="0" w:color="auto"/>
        <w:right w:val="none" w:sz="0" w:space="0" w:color="auto"/>
      </w:divBdr>
    </w:div>
    <w:div w:id="1974363025">
      <w:bodyDiv w:val="1"/>
      <w:marLeft w:val="0"/>
      <w:marRight w:val="0"/>
      <w:marTop w:val="0"/>
      <w:marBottom w:val="0"/>
      <w:divBdr>
        <w:top w:val="none" w:sz="0" w:space="0" w:color="auto"/>
        <w:left w:val="none" w:sz="0" w:space="0" w:color="auto"/>
        <w:bottom w:val="none" w:sz="0" w:space="0" w:color="auto"/>
        <w:right w:val="none" w:sz="0" w:space="0" w:color="auto"/>
      </w:divBdr>
    </w:div>
    <w:div w:id="1974367103">
      <w:bodyDiv w:val="1"/>
      <w:marLeft w:val="0"/>
      <w:marRight w:val="0"/>
      <w:marTop w:val="0"/>
      <w:marBottom w:val="0"/>
      <w:divBdr>
        <w:top w:val="none" w:sz="0" w:space="0" w:color="auto"/>
        <w:left w:val="none" w:sz="0" w:space="0" w:color="auto"/>
        <w:bottom w:val="none" w:sz="0" w:space="0" w:color="auto"/>
        <w:right w:val="none" w:sz="0" w:space="0" w:color="auto"/>
      </w:divBdr>
    </w:div>
    <w:div w:id="1974367190">
      <w:bodyDiv w:val="1"/>
      <w:marLeft w:val="0"/>
      <w:marRight w:val="0"/>
      <w:marTop w:val="0"/>
      <w:marBottom w:val="0"/>
      <w:divBdr>
        <w:top w:val="none" w:sz="0" w:space="0" w:color="auto"/>
        <w:left w:val="none" w:sz="0" w:space="0" w:color="auto"/>
        <w:bottom w:val="none" w:sz="0" w:space="0" w:color="auto"/>
        <w:right w:val="none" w:sz="0" w:space="0" w:color="auto"/>
      </w:divBdr>
    </w:div>
    <w:div w:id="1974940313">
      <w:bodyDiv w:val="1"/>
      <w:marLeft w:val="0"/>
      <w:marRight w:val="0"/>
      <w:marTop w:val="0"/>
      <w:marBottom w:val="0"/>
      <w:divBdr>
        <w:top w:val="none" w:sz="0" w:space="0" w:color="auto"/>
        <w:left w:val="none" w:sz="0" w:space="0" w:color="auto"/>
        <w:bottom w:val="none" w:sz="0" w:space="0" w:color="auto"/>
        <w:right w:val="none" w:sz="0" w:space="0" w:color="auto"/>
      </w:divBdr>
    </w:div>
    <w:div w:id="1976523612">
      <w:bodyDiv w:val="1"/>
      <w:marLeft w:val="0"/>
      <w:marRight w:val="0"/>
      <w:marTop w:val="0"/>
      <w:marBottom w:val="0"/>
      <w:divBdr>
        <w:top w:val="none" w:sz="0" w:space="0" w:color="auto"/>
        <w:left w:val="none" w:sz="0" w:space="0" w:color="auto"/>
        <w:bottom w:val="none" w:sz="0" w:space="0" w:color="auto"/>
        <w:right w:val="none" w:sz="0" w:space="0" w:color="auto"/>
      </w:divBdr>
    </w:div>
    <w:div w:id="1978802325">
      <w:bodyDiv w:val="1"/>
      <w:marLeft w:val="0"/>
      <w:marRight w:val="0"/>
      <w:marTop w:val="0"/>
      <w:marBottom w:val="0"/>
      <w:divBdr>
        <w:top w:val="none" w:sz="0" w:space="0" w:color="auto"/>
        <w:left w:val="none" w:sz="0" w:space="0" w:color="auto"/>
        <w:bottom w:val="none" w:sz="0" w:space="0" w:color="auto"/>
        <w:right w:val="none" w:sz="0" w:space="0" w:color="auto"/>
      </w:divBdr>
    </w:div>
    <w:div w:id="1980301532">
      <w:bodyDiv w:val="1"/>
      <w:marLeft w:val="0"/>
      <w:marRight w:val="0"/>
      <w:marTop w:val="0"/>
      <w:marBottom w:val="0"/>
      <w:divBdr>
        <w:top w:val="none" w:sz="0" w:space="0" w:color="auto"/>
        <w:left w:val="none" w:sz="0" w:space="0" w:color="auto"/>
        <w:bottom w:val="none" w:sz="0" w:space="0" w:color="auto"/>
        <w:right w:val="none" w:sz="0" w:space="0" w:color="auto"/>
      </w:divBdr>
    </w:div>
    <w:div w:id="1984191764">
      <w:bodyDiv w:val="1"/>
      <w:marLeft w:val="0"/>
      <w:marRight w:val="0"/>
      <w:marTop w:val="0"/>
      <w:marBottom w:val="0"/>
      <w:divBdr>
        <w:top w:val="none" w:sz="0" w:space="0" w:color="auto"/>
        <w:left w:val="none" w:sz="0" w:space="0" w:color="auto"/>
        <w:bottom w:val="none" w:sz="0" w:space="0" w:color="auto"/>
        <w:right w:val="none" w:sz="0" w:space="0" w:color="auto"/>
      </w:divBdr>
    </w:div>
    <w:div w:id="1985893042">
      <w:bodyDiv w:val="1"/>
      <w:marLeft w:val="0"/>
      <w:marRight w:val="0"/>
      <w:marTop w:val="0"/>
      <w:marBottom w:val="0"/>
      <w:divBdr>
        <w:top w:val="none" w:sz="0" w:space="0" w:color="auto"/>
        <w:left w:val="none" w:sz="0" w:space="0" w:color="auto"/>
        <w:bottom w:val="none" w:sz="0" w:space="0" w:color="auto"/>
        <w:right w:val="none" w:sz="0" w:space="0" w:color="auto"/>
      </w:divBdr>
    </w:div>
    <w:div w:id="1988977060">
      <w:bodyDiv w:val="1"/>
      <w:marLeft w:val="0"/>
      <w:marRight w:val="0"/>
      <w:marTop w:val="0"/>
      <w:marBottom w:val="0"/>
      <w:divBdr>
        <w:top w:val="none" w:sz="0" w:space="0" w:color="auto"/>
        <w:left w:val="none" w:sz="0" w:space="0" w:color="auto"/>
        <w:bottom w:val="none" w:sz="0" w:space="0" w:color="auto"/>
        <w:right w:val="none" w:sz="0" w:space="0" w:color="auto"/>
      </w:divBdr>
    </w:div>
    <w:div w:id="1989507666">
      <w:bodyDiv w:val="1"/>
      <w:marLeft w:val="0"/>
      <w:marRight w:val="0"/>
      <w:marTop w:val="0"/>
      <w:marBottom w:val="0"/>
      <w:divBdr>
        <w:top w:val="none" w:sz="0" w:space="0" w:color="auto"/>
        <w:left w:val="none" w:sz="0" w:space="0" w:color="auto"/>
        <w:bottom w:val="none" w:sz="0" w:space="0" w:color="auto"/>
        <w:right w:val="none" w:sz="0" w:space="0" w:color="auto"/>
      </w:divBdr>
    </w:div>
    <w:div w:id="1990282447">
      <w:bodyDiv w:val="1"/>
      <w:marLeft w:val="0"/>
      <w:marRight w:val="0"/>
      <w:marTop w:val="0"/>
      <w:marBottom w:val="0"/>
      <w:divBdr>
        <w:top w:val="none" w:sz="0" w:space="0" w:color="auto"/>
        <w:left w:val="none" w:sz="0" w:space="0" w:color="auto"/>
        <w:bottom w:val="none" w:sz="0" w:space="0" w:color="auto"/>
        <w:right w:val="none" w:sz="0" w:space="0" w:color="auto"/>
      </w:divBdr>
    </w:div>
    <w:div w:id="1991862511">
      <w:bodyDiv w:val="1"/>
      <w:marLeft w:val="0"/>
      <w:marRight w:val="0"/>
      <w:marTop w:val="0"/>
      <w:marBottom w:val="0"/>
      <w:divBdr>
        <w:top w:val="none" w:sz="0" w:space="0" w:color="auto"/>
        <w:left w:val="none" w:sz="0" w:space="0" w:color="auto"/>
        <w:bottom w:val="none" w:sz="0" w:space="0" w:color="auto"/>
        <w:right w:val="none" w:sz="0" w:space="0" w:color="auto"/>
      </w:divBdr>
    </w:div>
    <w:div w:id="1992250106">
      <w:bodyDiv w:val="1"/>
      <w:marLeft w:val="0"/>
      <w:marRight w:val="0"/>
      <w:marTop w:val="0"/>
      <w:marBottom w:val="0"/>
      <w:divBdr>
        <w:top w:val="none" w:sz="0" w:space="0" w:color="auto"/>
        <w:left w:val="none" w:sz="0" w:space="0" w:color="auto"/>
        <w:bottom w:val="none" w:sz="0" w:space="0" w:color="auto"/>
        <w:right w:val="none" w:sz="0" w:space="0" w:color="auto"/>
      </w:divBdr>
    </w:div>
    <w:div w:id="1992326441">
      <w:bodyDiv w:val="1"/>
      <w:marLeft w:val="0"/>
      <w:marRight w:val="0"/>
      <w:marTop w:val="0"/>
      <w:marBottom w:val="0"/>
      <w:divBdr>
        <w:top w:val="none" w:sz="0" w:space="0" w:color="auto"/>
        <w:left w:val="none" w:sz="0" w:space="0" w:color="auto"/>
        <w:bottom w:val="none" w:sz="0" w:space="0" w:color="auto"/>
        <w:right w:val="none" w:sz="0" w:space="0" w:color="auto"/>
      </w:divBdr>
    </w:div>
    <w:div w:id="1992715789">
      <w:bodyDiv w:val="1"/>
      <w:marLeft w:val="0"/>
      <w:marRight w:val="0"/>
      <w:marTop w:val="0"/>
      <w:marBottom w:val="0"/>
      <w:divBdr>
        <w:top w:val="none" w:sz="0" w:space="0" w:color="auto"/>
        <w:left w:val="none" w:sz="0" w:space="0" w:color="auto"/>
        <w:bottom w:val="none" w:sz="0" w:space="0" w:color="auto"/>
        <w:right w:val="none" w:sz="0" w:space="0" w:color="auto"/>
      </w:divBdr>
    </w:div>
    <w:div w:id="1993874572">
      <w:bodyDiv w:val="1"/>
      <w:marLeft w:val="0"/>
      <w:marRight w:val="0"/>
      <w:marTop w:val="0"/>
      <w:marBottom w:val="0"/>
      <w:divBdr>
        <w:top w:val="none" w:sz="0" w:space="0" w:color="auto"/>
        <w:left w:val="none" w:sz="0" w:space="0" w:color="auto"/>
        <w:bottom w:val="none" w:sz="0" w:space="0" w:color="auto"/>
        <w:right w:val="none" w:sz="0" w:space="0" w:color="auto"/>
      </w:divBdr>
    </w:div>
    <w:div w:id="1995139021">
      <w:bodyDiv w:val="1"/>
      <w:marLeft w:val="0"/>
      <w:marRight w:val="0"/>
      <w:marTop w:val="0"/>
      <w:marBottom w:val="0"/>
      <w:divBdr>
        <w:top w:val="none" w:sz="0" w:space="0" w:color="auto"/>
        <w:left w:val="none" w:sz="0" w:space="0" w:color="auto"/>
        <w:bottom w:val="none" w:sz="0" w:space="0" w:color="auto"/>
        <w:right w:val="none" w:sz="0" w:space="0" w:color="auto"/>
      </w:divBdr>
    </w:div>
    <w:div w:id="1995446262">
      <w:bodyDiv w:val="1"/>
      <w:marLeft w:val="0"/>
      <w:marRight w:val="0"/>
      <w:marTop w:val="0"/>
      <w:marBottom w:val="0"/>
      <w:divBdr>
        <w:top w:val="none" w:sz="0" w:space="0" w:color="auto"/>
        <w:left w:val="none" w:sz="0" w:space="0" w:color="auto"/>
        <w:bottom w:val="none" w:sz="0" w:space="0" w:color="auto"/>
        <w:right w:val="none" w:sz="0" w:space="0" w:color="auto"/>
      </w:divBdr>
    </w:div>
    <w:div w:id="1996957721">
      <w:bodyDiv w:val="1"/>
      <w:marLeft w:val="0"/>
      <w:marRight w:val="0"/>
      <w:marTop w:val="0"/>
      <w:marBottom w:val="0"/>
      <w:divBdr>
        <w:top w:val="none" w:sz="0" w:space="0" w:color="auto"/>
        <w:left w:val="none" w:sz="0" w:space="0" w:color="auto"/>
        <w:bottom w:val="none" w:sz="0" w:space="0" w:color="auto"/>
        <w:right w:val="none" w:sz="0" w:space="0" w:color="auto"/>
      </w:divBdr>
    </w:div>
    <w:div w:id="1997881129">
      <w:bodyDiv w:val="1"/>
      <w:marLeft w:val="0"/>
      <w:marRight w:val="0"/>
      <w:marTop w:val="0"/>
      <w:marBottom w:val="0"/>
      <w:divBdr>
        <w:top w:val="none" w:sz="0" w:space="0" w:color="auto"/>
        <w:left w:val="none" w:sz="0" w:space="0" w:color="auto"/>
        <w:bottom w:val="none" w:sz="0" w:space="0" w:color="auto"/>
        <w:right w:val="none" w:sz="0" w:space="0" w:color="auto"/>
      </w:divBdr>
    </w:div>
    <w:div w:id="1998025659">
      <w:bodyDiv w:val="1"/>
      <w:marLeft w:val="0"/>
      <w:marRight w:val="0"/>
      <w:marTop w:val="0"/>
      <w:marBottom w:val="0"/>
      <w:divBdr>
        <w:top w:val="none" w:sz="0" w:space="0" w:color="auto"/>
        <w:left w:val="none" w:sz="0" w:space="0" w:color="auto"/>
        <w:bottom w:val="none" w:sz="0" w:space="0" w:color="auto"/>
        <w:right w:val="none" w:sz="0" w:space="0" w:color="auto"/>
      </w:divBdr>
    </w:div>
    <w:div w:id="1998072284">
      <w:bodyDiv w:val="1"/>
      <w:marLeft w:val="0"/>
      <w:marRight w:val="0"/>
      <w:marTop w:val="0"/>
      <w:marBottom w:val="0"/>
      <w:divBdr>
        <w:top w:val="none" w:sz="0" w:space="0" w:color="auto"/>
        <w:left w:val="none" w:sz="0" w:space="0" w:color="auto"/>
        <w:bottom w:val="none" w:sz="0" w:space="0" w:color="auto"/>
        <w:right w:val="none" w:sz="0" w:space="0" w:color="auto"/>
      </w:divBdr>
    </w:div>
    <w:div w:id="1998652719">
      <w:bodyDiv w:val="1"/>
      <w:marLeft w:val="0"/>
      <w:marRight w:val="0"/>
      <w:marTop w:val="0"/>
      <w:marBottom w:val="0"/>
      <w:divBdr>
        <w:top w:val="none" w:sz="0" w:space="0" w:color="auto"/>
        <w:left w:val="none" w:sz="0" w:space="0" w:color="auto"/>
        <w:bottom w:val="none" w:sz="0" w:space="0" w:color="auto"/>
        <w:right w:val="none" w:sz="0" w:space="0" w:color="auto"/>
      </w:divBdr>
    </w:div>
    <w:div w:id="1999651144">
      <w:bodyDiv w:val="1"/>
      <w:marLeft w:val="0"/>
      <w:marRight w:val="0"/>
      <w:marTop w:val="0"/>
      <w:marBottom w:val="0"/>
      <w:divBdr>
        <w:top w:val="none" w:sz="0" w:space="0" w:color="auto"/>
        <w:left w:val="none" w:sz="0" w:space="0" w:color="auto"/>
        <w:bottom w:val="none" w:sz="0" w:space="0" w:color="auto"/>
        <w:right w:val="none" w:sz="0" w:space="0" w:color="auto"/>
      </w:divBdr>
    </w:div>
    <w:div w:id="2000235092">
      <w:bodyDiv w:val="1"/>
      <w:marLeft w:val="0"/>
      <w:marRight w:val="0"/>
      <w:marTop w:val="0"/>
      <w:marBottom w:val="0"/>
      <w:divBdr>
        <w:top w:val="none" w:sz="0" w:space="0" w:color="auto"/>
        <w:left w:val="none" w:sz="0" w:space="0" w:color="auto"/>
        <w:bottom w:val="none" w:sz="0" w:space="0" w:color="auto"/>
        <w:right w:val="none" w:sz="0" w:space="0" w:color="auto"/>
      </w:divBdr>
    </w:div>
    <w:div w:id="2001496848">
      <w:bodyDiv w:val="1"/>
      <w:marLeft w:val="0"/>
      <w:marRight w:val="0"/>
      <w:marTop w:val="0"/>
      <w:marBottom w:val="0"/>
      <w:divBdr>
        <w:top w:val="none" w:sz="0" w:space="0" w:color="auto"/>
        <w:left w:val="none" w:sz="0" w:space="0" w:color="auto"/>
        <w:bottom w:val="none" w:sz="0" w:space="0" w:color="auto"/>
        <w:right w:val="none" w:sz="0" w:space="0" w:color="auto"/>
      </w:divBdr>
    </w:div>
    <w:div w:id="2002806299">
      <w:bodyDiv w:val="1"/>
      <w:marLeft w:val="0"/>
      <w:marRight w:val="0"/>
      <w:marTop w:val="0"/>
      <w:marBottom w:val="0"/>
      <w:divBdr>
        <w:top w:val="none" w:sz="0" w:space="0" w:color="auto"/>
        <w:left w:val="none" w:sz="0" w:space="0" w:color="auto"/>
        <w:bottom w:val="none" w:sz="0" w:space="0" w:color="auto"/>
        <w:right w:val="none" w:sz="0" w:space="0" w:color="auto"/>
      </w:divBdr>
    </w:div>
    <w:div w:id="2002931556">
      <w:bodyDiv w:val="1"/>
      <w:marLeft w:val="0"/>
      <w:marRight w:val="0"/>
      <w:marTop w:val="0"/>
      <w:marBottom w:val="0"/>
      <w:divBdr>
        <w:top w:val="none" w:sz="0" w:space="0" w:color="auto"/>
        <w:left w:val="none" w:sz="0" w:space="0" w:color="auto"/>
        <w:bottom w:val="none" w:sz="0" w:space="0" w:color="auto"/>
        <w:right w:val="none" w:sz="0" w:space="0" w:color="auto"/>
      </w:divBdr>
    </w:div>
    <w:div w:id="2003657460">
      <w:bodyDiv w:val="1"/>
      <w:marLeft w:val="0"/>
      <w:marRight w:val="0"/>
      <w:marTop w:val="0"/>
      <w:marBottom w:val="0"/>
      <w:divBdr>
        <w:top w:val="none" w:sz="0" w:space="0" w:color="auto"/>
        <w:left w:val="none" w:sz="0" w:space="0" w:color="auto"/>
        <w:bottom w:val="none" w:sz="0" w:space="0" w:color="auto"/>
        <w:right w:val="none" w:sz="0" w:space="0" w:color="auto"/>
      </w:divBdr>
    </w:div>
    <w:div w:id="2004697411">
      <w:bodyDiv w:val="1"/>
      <w:marLeft w:val="0"/>
      <w:marRight w:val="0"/>
      <w:marTop w:val="0"/>
      <w:marBottom w:val="0"/>
      <w:divBdr>
        <w:top w:val="none" w:sz="0" w:space="0" w:color="auto"/>
        <w:left w:val="none" w:sz="0" w:space="0" w:color="auto"/>
        <w:bottom w:val="none" w:sz="0" w:space="0" w:color="auto"/>
        <w:right w:val="none" w:sz="0" w:space="0" w:color="auto"/>
      </w:divBdr>
    </w:div>
    <w:div w:id="2005350695">
      <w:bodyDiv w:val="1"/>
      <w:marLeft w:val="0"/>
      <w:marRight w:val="0"/>
      <w:marTop w:val="0"/>
      <w:marBottom w:val="0"/>
      <w:divBdr>
        <w:top w:val="none" w:sz="0" w:space="0" w:color="auto"/>
        <w:left w:val="none" w:sz="0" w:space="0" w:color="auto"/>
        <w:bottom w:val="none" w:sz="0" w:space="0" w:color="auto"/>
        <w:right w:val="none" w:sz="0" w:space="0" w:color="auto"/>
      </w:divBdr>
    </w:div>
    <w:div w:id="2005888370">
      <w:bodyDiv w:val="1"/>
      <w:marLeft w:val="0"/>
      <w:marRight w:val="0"/>
      <w:marTop w:val="0"/>
      <w:marBottom w:val="0"/>
      <w:divBdr>
        <w:top w:val="none" w:sz="0" w:space="0" w:color="auto"/>
        <w:left w:val="none" w:sz="0" w:space="0" w:color="auto"/>
        <w:bottom w:val="none" w:sz="0" w:space="0" w:color="auto"/>
        <w:right w:val="none" w:sz="0" w:space="0" w:color="auto"/>
      </w:divBdr>
    </w:div>
    <w:div w:id="2006391825">
      <w:bodyDiv w:val="1"/>
      <w:marLeft w:val="0"/>
      <w:marRight w:val="0"/>
      <w:marTop w:val="0"/>
      <w:marBottom w:val="0"/>
      <w:divBdr>
        <w:top w:val="none" w:sz="0" w:space="0" w:color="auto"/>
        <w:left w:val="none" w:sz="0" w:space="0" w:color="auto"/>
        <w:bottom w:val="none" w:sz="0" w:space="0" w:color="auto"/>
        <w:right w:val="none" w:sz="0" w:space="0" w:color="auto"/>
      </w:divBdr>
    </w:div>
    <w:div w:id="2007122123">
      <w:bodyDiv w:val="1"/>
      <w:marLeft w:val="0"/>
      <w:marRight w:val="0"/>
      <w:marTop w:val="0"/>
      <w:marBottom w:val="0"/>
      <w:divBdr>
        <w:top w:val="none" w:sz="0" w:space="0" w:color="auto"/>
        <w:left w:val="none" w:sz="0" w:space="0" w:color="auto"/>
        <w:bottom w:val="none" w:sz="0" w:space="0" w:color="auto"/>
        <w:right w:val="none" w:sz="0" w:space="0" w:color="auto"/>
      </w:divBdr>
    </w:div>
    <w:div w:id="2008709870">
      <w:bodyDiv w:val="1"/>
      <w:marLeft w:val="0"/>
      <w:marRight w:val="0"/>
      <w:marTop w:val="0"/>
      <w:marBottom w:val="0"/>
      <w:divBdr>
        <w:top w:val="none" w:sz="0" w:space="0" w:color="auto"/>
        <w:left w:val="none" w:sz="0" w:space="0" w:color="auto"/>
        <w:bottom w:val="none" w:sz="0" w:space="0" w:color="auto"/>
        <w:right w:val="none" w:sz="0" w:space="0" w:color="auto"/>
      </w:divBdr>
    </w:div>
    <w:div w:id="2008748609">
      <w:bodyDiv w:val="1"/>
      <w:marLeft w:val="0"/>
      <w:marRight w:val="0"/>
      <w:marTop w:val="0"/>
      <w:marBottom w:val="0"/>
      <w:divBdr>
        <w:top w:val="none" w:sz="0" w:space="0" w:color="auto"/>
        <w:left w:val="none" w:sz="0" w:space="0" w:color="auto"/>
        <w:bottom w:val="none" w:sz="0" w:space="0" w:color="auto"/>
        <w:right w:val="none" w:sz="0" w:space="0" w:color="auto"/>
      </w:divBdr>
    </w:div>
    <w:div w:id="2011639975">
      <w:bodyDiv w:val="1"/>
      <w:marLeft w:val="0"/>
      <w:marRight w:val="0"/>
      <w:marTop w:val="0"/>
      <w:marBottom w:val="0"/>
      <w:divBdr>
        <w:top w:val="none" w:sz="0" w:space="0" w:color="auto"/>
        <w:left w:val="none" w:sz="0" w:space="0" w:color="auto"/>
        <w:bottom w:val="none" w:sz="0" w:space="0" w:color="auto"/>
        <w:right w:val="none" w:sz="0" w:space="0" w:color="auto"/>
      </w:divBdr>
    </w:div>
    <w:div w:id="2012289252">
      <w:bodyDiv w:val="1"/>
      <w:marLeft w:val="0"/>
      <w:marRight w:val="0"/>
      <w:marTop w:val="0"/>
      <w:marBottom w:val="0"/>
      <w:divBdr>
        <w:top w:val="none" w:sz="0" w:space="0" w:color="auto"/>
        <w:left w:val="none" w:sz="0" w:space="0" w:color="auto"/>
        <w:bottom w:val="none" w:sz="0" w:space="0" w:color="auto"/>
        <w:right w:val="none" w:sz="0" w:space="0" w:color="auto"/>
      </w:divBdr>
    </w:div>
    <w:div w:id="2012949290">
      <w:bodyDiv w:val="1"/>
      <w:marLeft w:val="0"/>
      <w:marRight w:val="0"/>
      <w:marTop w:val="0"/>
      <w:marBottom w:val="0"/>
      <w:divBdr>
        <w:top w:val="none" w:sz="0" w:space="0" w:color="auto"/>
        <w:left w:val="none" w:sz="0" w:space="0" w:color="auto"/>
        <w:bottom w:val="none" w:sz="0" w:space="0" w:color="auto"/>
        <w:right w:val="none" w:sz="0" w:space="0" w:color="auto"/>
      </w:divBdr>
    </w:div>
    <w:div w:id="2013486414">
      <w:bodyDiv w:val="1"/>
      <w:marLeft w:val="0"/>
      <w:marRight w:val="0"/>
      <w:marTop w:val="0"/>
      <w:marBottom w:val="0"/>
      <w:divBdr>
        <w:top w:val="none" w:sz="0" w:space="0" w:color="auto"/>
        <w:left w:val="none" w:sz="0" w:space="0" w:color="auto"/>
        <w:bottom w:val="none" w:sz="0" w:space="0" w:color="auto"/>
        <w:right w:val="none" w:sz="0" w:space="0" w:color="auto"/>
      </w:divBdr>
    </w:div>
    <w:div w:id="2013753001">
      <w:bodyDiv w:val="1"/>
      <w:marLeft w:val="0"/>
      <w:marRight w:val="0"/>
      <w:marTop w:val="0"/>
      <w:marBottom w:val="0"/>
      <w:divBdr>
        <w:top w:val="none" w:sz="0" w:space="0" w:color="auto"/>
        <w:left w:val="none" w:sz="0" w:space="0" w:color="auto"/>
        <w:bottom w:val="none" w:sz="0" w:space="0" w:color="auto"/>
        <w:right w:val="none" w:sz="0" w:space="0" w:color="auto"/>
      </w:divBdr>
    </w:div>
    <w:div w:id="2014137248">
      <w:bodyDiv w:val="1"/>
      <w:marLeft w:val="0"/>
      <w:marRight w:val="0"/>
      <w:marTop w:val="0"/>
      <w:marBottom w:val="0"/>
      <w:divBdr>
        <w:top w:val="none" w:sz="0" w:space="0" w:color="auto"/>
        <w:left w:val="none" w:sz="0" w:space="0" w:color="auto"/>
        <w:bottom w:val="none" w:sz="0" w:space="0" w:color="auto"/>
        <w:right w:val="none" w:sz="0" w:space="0" w:color="auto"/>
      </w:divBdr>
    </w:div>
    <w:div w:id="2014336336">
      <w:bodyDiv w:val="1"/>
      <w:marLeft w:val="0"/>
      <w:marRight w:val="0"/>
      <w:marTop w:val="0"/>
      <w:marBottom w:val="0"/>
      <w:divBdr>
        <w:top w:val="none" w:sz="0" w:space="0" w:color="auto"/>
        <w:left w:val="none" w:sz="0" w:space="0" w:color="auto"/>
        <w:bottom w:val="none" w:sz="0" w:space="0" w:color="auto"/>
        <w:right w:val="none" w:sz="0" w:space="0" w:color="auto"/>
      </w:divBdr>
    </w:div>
    <w:div w:id="2014645143">
      <w:bodyDiv w:val="1"/>
      <w:marLeft w:val="0"/>
      <w:marRight w:val="0"/>
      <w:marTop w:val="0"/>
      <w:marBottom w:val="0"/>
      <w:divBdr>
        <w:top w:val="none" w:sz="0" w:space="0" w:color="auto"/>
        <w:left w:val="none" w:sz="0" w:space="0" w:color="auto"/>
        <w:bottom w:val="none" w:sz="0" w:space="0" w:color="auto"/>
        <w:right w:val="none" w:sz="0" w:space="0" w:color="auto"/>
      </w:divBdr>
    </w:div>
    <w:div w:id="2015304322">
      <w:bodyDiv w:val="1"/>
      <w:marLeft w:val="0"/>
      <w:marRight w:val="0"/>
      <w:marTop w:val="0"/>
      <w:marBottom w:val="0"/>
      <w:divBdr>
        <w:top w:val="none" w:sz="0" w:space="0" w:color="auto"/>
        <w:left w:val="none" w:sz="0" w:space="0" w:color="auto"/>
        <w:bottom w:val="none" w:sz="0" w:space="0" w:color="auto"/>
        <w:right w:val="none" w:sz="0" w:space="0" w:color="auto"/>
      </w:divBdr>
    </w:div>
    <w:div w:id="2016572793">
      <w:bodyDiv w:val="1"/>
      <w:marLeft w:val="0"/>
      <w:marRight w:val="0"/>
      <w:marTop w:val="0"/>
      <w:marBottom w:val="0"/>
      <w:divBdr>
        <w:top w:val="none" w:sz="0" w:space="0" w:color="auto"/>
        <w:left w:val="none" w:sz="0" w:space="0" w:color="auto"/>
        <w:bottom w:val="none" w:sz="0" w:space="0" w:color="auto"/>
        <w:right w:val="none" w:sz="0" w:space="0" w:color="auto"/>
      </w:divBdr>
    </w:div>
    <w:div w:id="2016574327">
      <w:bodyDiv w:val="1"/>
      <w:marLeft w:val="0"/>
      <w:marRight w:val="0"/>
      <w:marTop w:val="0"/>
      <w:marBottom w:val="0"/>
      <w:divBdr>
        <w:top w:val="none" w:sz="0" w:space="0" w:color="auto"/>
        <w:left w:val="none" w:sz="0" w:space="0" w:color="auto"/>
        <w:bottom w:val="none" w:sz="0" w:space="0" w:color="auto"/>
        <w:right w:val="none" w:sz="0" w:space="0" w:color="auto"/>
      </w:divBdr>
    </w:div>
    <w:div w:id="2017414101">
      <w:bodyDiv w:val="1"/>
      <w:marLeft w:val="0"/>
      <w:marRight w:val="0"/>
      <w:marTop w:val="0"/>
      <w:marBottom w:val="0"/>
      <w:divBdr>
        <w:top w:val="none" w:sz="0" w:space="0" w:color="auto"/>
        <w:left w:val="none" w:sz="0" w:space="0" w:color="auto"/>
        <w:bottom w:val="none" w:sz="0" w:space="0" w:color="auto"/>
        <w:right w:val="none" w:sz="0" w:space="0" w:color="auto"/>
      </w:divBdr>
    </w:div>
    <w:div w:id="2020964446">
      <w:bodyDiv w:val="1"/>
      <w:marLeft w:val="0"/>
      <w:marRight w:val="0"/>
      <w:marTop w:val="0"/>
      <w:marBottom w:val="0"/>
      <w:divBdr>
        <w:top w:val="none" w:sz="0" w:space="0" w:color="auto"/>
        <w:left w:val="none" w:sz="0" w:space="0" w:color="auto"/>
        <w:bottom w:val="none" w:sz="0" w:space="0" w:color="auto"/>
        <w:right w:val="none" w:sz="0" w:space="0" w:color="auto"/>
      </w:divBdr>
    </w:div>
    <w:div w:id="2021396654">
      <w:bodyDiv w:val="1"/>
      <w:marLeft w:val="0"/>
      <w:marRight w:val="0"/>
      <w:marTop w:val="0"/>
      <w:marBottom w:val="0"/>
      <w:divBdr>
        <w:top w:val="none" w:sz="0" w:space="0" w:color="auto"/>
        <w:left w:val="none" w:sz="0" w:space="0" w:color="auto"/>
        <w:bottom w:val="none" w:sz="0" w:space="0" w:color="auto"/>
        <w:right w:val="none" w:sz="0" w:space="0" w:color="auto"/>
      </w:divBdr>
    </w:div>
    <w:div w:id="2024891911">
      <w:bodyDiv w:val="1"/>
      <w:marLeft w:val="0"/>
      <w:marRight w:val="0"/>
      <w:marTop w:val="0"/>
      <w:marBottom w:val="0"/>
      <w:divBdr>
        <w:top w:val="none" w:sz="0" w:space="0" w:color="auto"/>
        <w:left w:val="none" w:sz="0" w:space="0" w:color="auto"/>
        <w:bottom w:val="none" w:sz="0" w:space="0" w:color="auto"/>
        <w:right w:val="none" w:sz="0" w:space="0" w:color="auto"/>
      </w:divBdr>
    </w:div>
    <w:div w:id="2026055102">
      <w:bodyDiv w:val="1"/>
      <w:marLeft w:val="0"/>
      <w:marRight w:val="0"/>
      <w:marTop w:val="0"/>
      <w:marBottom w:val="0"/>
      <w:divBdr>
        <w:top w:val="none" w:sz="0" w:space="0" w:color="auto"/>
        <w:left w:val="none" w:sz="0" w:space="0" w:color="auto"/>
        <w:bottom w:val="none" w:sz="0" w:space="0" w:color="auto"/>
        <w:right w:val="none" w:sz="0" w:space="0" w:color="auto"/>
      </w:divBdr>
    </w:div>
    <w:div w:id="2027638297">
      <w:bodyDiv w:val="1"/>
      <w:marLeft w:val="0"/>
      <w:marRight w:val="0"/>
      <w:marTop w:val="0"/>
      <w:marBottom w:val="0"/>
      <w:divBdr>
        <w:top w:val="none" w:sz="0" w:space="0" w:color="auto"/>
        <w:left w:val="none" w:sz="0" w:space="0" w:color="auto"/>
        <w:bottom w:val="none" w:sz="0" w:space="0" w:color="auto"/>
        <w:right w:val="none" w:sz="0" w:space="0" w:color="auto"/>
      </w:divBdr>
    </w:div>
    <w:div w:id="2028364176">
      <w:bodyDiv w:val="1"/>
      <w:marLeft w:val="0"/>
      <w:marRight w:val="0"/>
      <w:marTop w:val="0"/>
      <w:marBottom w:val="0"/>
      <w:divBdr>
        <w:top w:val="none" w:sz="0" w:space="0" w:color="auto"/>
        <w:left w:val="none" w:sz="0" w:space="0" w:color="auto"/>
        <w:bottom w:val="none" w:sz="0" w:space="0" w:color="auto"/>
        <w:right w:val="none" w:sz="0" w:space="0" w:color="auto"/>
      </w:divBdr>
    </w:div>
    <w:div w:id="2029135212">
      <w:bodyDiv w:val="1"/>
      <w:marLeft w:val="0"/>
      <w:marRight w:val="0"/>
      <w:marTop w:val="0"/>
      <w:marBottom w:val="0"/>
      <w:divBdr>
        <w:top w:val="none" w:sz="0" w:space="0" w:color="auto"/>
        <w:left w:val="none" w:sz="0" w:space="0" w:color="auto"/>
        <w:bottom w:val="none" w:sz="0" w:space="0" w:color="auto"/>
        <w:right w:val="none" w:sz="0" w:space="0" w:color="auto"/>
      </w:divBdr>
    </w:div>
    <w:div w:id="2029674562">
      <w:bodyDiv w:val="1"/>
      <w:marLeft w:val="0"/>
      <w:marRight w:val="0"/>
      <w:marTop w:val="0"/>
      <w:marBottom w:val="0"/>
      <w:divBdr>
        <w:top w:val="none" w:sz="0" w:space="0" w:color="auto"/>
        <w:left w:val="none" w:sz="0" w:space="0" w:color="auto"/>
        <w:bottom w:val="none" w:sz="0" w:space="0" w:color="auto"/>
        <w:right w:val="none" w:sz="0" w:space="0" w:color="auto"/>
      </w:divBdr>
    </w:div>
    <w:div w:id="2030175098">
      <w:bodyDiv w:val="1"/>
      <w:marLeft w:val="0"/>
      <w:marRight w:val="0"/>
      <w:marTop w:val="0"/>
      <w:marBottom w:val="0"/>
      <w:divBdr>
        <w:top w:val="none" w:sz="0" w:space="0" w:color="auto"/>
        <w:left w:val="none" w:sz="0" w:space="0" w:color="auto"/>
        <w:bottom w:val="none" w:sz="0" w:space="0" w:color="auto"/>
        <w:right w:val="none" w:sz="0" w:space="0" w:color="auto"/>
      </w:divBdr>
    </w:div>
    <w:div w:id="2030452585">
      <w:bodyDiv w:val="1"/>
      <w:marLeft w:val="0"/>
      <w:marRight w:val="0"/>
      <w:marTop w:val="0"/>
      <w:marBottom w:val="0"/>
      <w:divBdr>
        <w:top w:val="none" w:sz="0" w:space="0" w:color="auto"/>
        <w:left w:val="none" w:sz="0" w:space="0" w:color="auto"/>
        <w:bottom w:val="none" w:sz="0" w:space="0" w:color="auto"/>
        <w:right w:val="none" w:sz="0" w:space="0" w:color="auto"/>
      </w:divBdr>
    </w:div>
    <w:div w:id="2031255093">
      <w:bodyDiv w:val="1"/>
      <w:marLeft w:val="0"/>
      <w:marRight w:val="0"/>
      <w:marTop w:val="0"/>
      <w:marBottom w:val="0"/>
      <w:divBdr>
        <w:top w:val="none" w:sz="0" w:space="0" w:color="auto"/>
        <w:left w:val="none" w:sz="0" w:space="0" w:color="auto"/>
        <w:bottom w:val="none" w:sz="0" w:space="0" w:color="auto"/>
        <w:right w:val="none" w:sz="0" w:space="0" w:color="auto"/>
      </w:divBdr>
    </w:div>
    <w:div w:id="2031908607">
      <w:bodyDiv w:val="1"/>
      <w:marLeft w:val="0"/>
      <w:marRight w:val="0"/>
      <w:marTop w:val="0"/>
      <w:marBottom w:val="0"/>
      <w:divBdr>
        <w:top w:val="none" w:sz="0" w:space="0" w:color="auto"/>
        <w:left w:val="none" w:sz="0" w:space="0" w:color="auto"/>
        <w:bottom w:val="none" w:sz="0" w:space="0" w:color="auto"/>
        <w:right w:val="none" w:sz="0" w:space="0" w:color="auto"/>
      </w:divBdr>
    </w:div>
    <w:div w:id="2032298540">
      <w:bodyDiv w:val="1"/>
      <w:marLeft w:val="0"/>
      <w:marRight w:val="0"/>
      <w:marTop w:val="0"/>
      <w:marBottom w:val="0"/>
      <w:divBdr>
        <w:top w:val="none" w:sz="0" w:space="0" w:color="auto"/>
        <w:left w:val="none" w:sz="0" w:space="0" w:color="auto"/>
        <w:bottom w:val="none" w:sz="0" w:space="0" w:color="auto"/>
        <w:right w:val="none" w:sz="0" w:space="0" w:color="auto"/>
      </w:divBdr>
    </w:div>
    <w:div w:id="2032802761">
      <w:bodyDiv w:val="1"/>
      <w:marLeft w:val="0"/>
      <w:marRight w:val="0"/>
      <w:marTop w:val="0"/>
      <w:marBottom w:val="0"/>
      <w:divBdr>
        <w:top w:val="none" w:sz="0" w:space="0" w:color="auto"/>
        <w:left w:val="none" w:sz="0" w:space="0" w:color="auto"/>
        <w:bottom w:val="none" w:sz="0" w:space="0" w:color="auto"/>
        <w:right w:val="none" w:sz="0" w:space="0" w:color="auto"/>
      </w:divBdr>
    </w:div>
    <w:div w:id="2033800174">
      <w:bodyDiv w:val="1"/>
      <w:marLeft w:val="0"/>
      <w:marRight w:val="0"/>
      <w:marTop w:val="0"/>
      <w:marBottom w:val="0"/>
      <w:divBdr>
        <w:top w:val="none" w:sz="0" w:space="0" w:color="auto"/>
        <w:left w:val="none" w:sz="0" w:space="0" w:color="auto"/>
        <w:bottom w:val="none" w:sz="0" w:space="0" w:color="auto"/>
        <w:right w:val="none" w:sz="0" w:space="0" w:color="auto"/>
      </w:divBdr>
    </w:div>
    <w:div w:id="2034262581">
      <w:bodyDiv w:val="1"/>
      <w:marLeft w:val="0"/>
      <w:marRight w:val="0"/>
      <w:marTop w:val="0"/>
      <w:marBottom w:val="0"/>
      <w:divBdr>
        <w:top w:val="none" w:sz="0" w:space="0" w:color="auto"/>
        <w:left w:val="none" w:sz="0" w:space="0" w:color="auto"/>
        <w:bottom w:val="none" w:sz="0" w:space="0" w:color="auto"/>
        <w:right w:val="none" w:sz="0" w:space="0" w:color="auto"/>
      </w:divBdr>
    </w:div>
    <w:div w:id="2034454083">
      <w:bodyDiv w:val="1"/>
      <w:marLeft w:val="0"/>
      <w:marRight w:val="0"/>
      <w:marTop w:val="0"/>
      <w:marBottom w:val="0"/>
      <w:divBdr>
        <w:top w:val="none" w:sz="0" w:space="0" w:color="auto"/>
        <w:left w:val="none" w:sz="0" w:space="0" w:color="auto"/>
        <w:bottom w:val="none" w:sz="0" w:space="0" w:color="auto"/>
        <w:right w:val="none" w:sz="0" w:space="0" w:color="auto"/>
      </w:divBdr>
    </w:div>
    <w:div w:id="2034527411">
      <w:bodyDiv w:val="1"/>
      <w:marLeft w:val="0"/>
      <w:marRight w:val="0"/>
      <w:marTop w:val="0"/>
      <w:marBottom w:val="0"/>
      <w:divBdr>
        <w:top w:val="none" w:sz="0" w:space="0" w:color="auto"/>
        <w:left w:val="none" w:sz="0" w:space="0" w:color="auto"/>
        <w:bottom w:val="none" w:sz="0" w:space="0" w:color="auto"/>
        <w:right w:val="none" w:sz="0" w:space="0" w:color="auto"/>
      </w:divBdr>
    </w:div>
    <w:div w:id="2035879651">
      <w:bodyDiv w:val="1"/>
      <w:marLeft w:val="0"/>
      <w:marRight w:val="0"/>
      <w:marTop w:val="0"/>
      <w:marBottom w:val="0"/>
      <w:divBdr>
        <w:top w:val="none" w:sz="0" w:space="0" w:color="auto"/>
        <w:left w:val="none" w:sz="0" w:space="0" w:color="auto"/>
        <w:bottom w:val="none" w:sz="0" w:space="0" w:color="auto"/>
        <w:right w:val="none" w:sz="0" w:space="0" w:color="auto"/>
      </w:divBdr>
    </w:div>
    <w:div w:id="2036730153">
      <w:bodyDiv w:val="1"/>
      <w:marLeft w:val="0"/>
      <w:marRight w:val="0"/>
      <w:marTop w:val="0"/>
      <w:marBottom w:val="0"/>
      <w:divBdr>
        <w:top w:val="none" w:sz="0" w:space="0" w:color="auto"/>
        <w:left w:val="none" w:sz="0" w:space="0" w:color="auto"/>
        <w:bottom w:val="none" w:sz="0" w:space="0" w:color="auto"/>
        <w:right w:val="none" w:sz="0" w:space="0" w:color="auto"/>
      </w:divBdr>
    </w:div>
    <w:div w:id="2036736421">
      <w:bodyDiv w:val="1"/>
      <w:marLeft w:val="0"/>
      <w:marRight w:val="0"/>
      <w:marTop w:val="0"/>
      <w:marBottom w:val="0"/>
      <w:divBdr>
        <w:top w:val="none" w:sz="0" w:space="0" w:color="auto"/>
        <w:left w:val="none" w:sz="0" w:space="0" w:color="auto"/>
        <w:bottom w:val="none" w:sz="0" w:space="0" w:color="auto"/>
        <w:right w:val="none" w:sz="0" w:space="0" w:color="auto"/>
      </w:divBdr>
    </w:div>
    <w:div w:id="2038579665">
      <w:bodyDiv w:val="1"/>
      <w:marLeft w:val="0"/>
      <w:marRight w:val="0"/>
      <w:marTop w:val="0"/>
      <w:marBottom w:val="0"/>
      <w:divBdr>
        <w:top w:val="none" w:sz="0" w:space="0" w:color="auto"/>
        <w:left w:val="none" w:sz="0" w:space="0" w:color="auto"/>
        <w:bottom w:val="none" w:sz="0" w:space="0" w:color="auto"/>
        <w:right w:val="none" w:sz="0" w:space="0" w:color="auto"/>
      </w:divBdr>
    </w:div>
    <w:div w:id="2040155293">
      <w:bodyDiv w:val="1"/>
      <w:marLeft w:val="0"/>
      <w:marRight w:val="0"/>
      <w:marTop w:val="0"/>
      <w:marBottom w:val="0"/>
      <w:divBdr>
        <w:top w:val="none" w:sz="0" w:space="0" w:color="auto"/>
        <w:left w:val="none" w:sz="0" w:space="0" w:color="auto"/>
        <w:bottom w:val="none" w:sz="0" w:space="0" w:color="auto"/>
        <w:right w:val="none" w:sz="0" w:space="0" w:color="auto"/>
      </w:divBdr>
    </w:div>
    <w:div w:id="2041199208">
      <w:bodyDiv w:val="1"/>
      <w:marLeft w:val="0"/>
      <w:marRight w:val="0"/>
      <w:marTop w:val="0"/>
      <w:marBottom w:val="0"/>
      <w:divBdr>
        <w:top w:val="none" w:sz="0" w:space="0" w:color="auto"/>
        <w:left w:val="none" w:sz="0" w:space="0" w:color="auto"/>
        <w:bottom w:val="none" w:sz="0" w:space="0" w:color="auto"/>
        <w:right w:val="none" w:sz="0" w:space="0" w:color="auto"/>
      </w:divBdr>
    </w:div>
    <w:div w:id="2043169902">
      <w:bodyDiv w:val="1"/>
      <w:marLeft w:val="0"/>
      <w:marRight w:val="0"/>
      <w:marTop w:val="0"/>
      <w:marBottom w:val="0"/>
      <w:divBdr>
        <w:top w:val="none" w:sz="0" w:space="0" w:color="auto"/>
        <w:left w:val="none" w:sz="0" w:space="0" w:color="auto"/>
        <w:bottom w:val="none" w:sz="0" w:space="0" w:color="auto"/>
        <w:right w:val="none" w:sz="0" w:space="0" w:color="auto"/>
      </w:divBdr>
    </w:div>
    <w:div w:id="2044936267">
      <w:bodyDiv w:val="1"/>
      <w:marLeft w:val="0"/>
      <w:marRight w:val="0"/>
      <w:marTop w:val="0"/>
      <w:marBottom w:val="0"/>
      <w:divBdr>
        <w:top w:val="none" w:sz="0" w:space="0" w:color="auto"/>
        <w:left w:val="none" w:sz="0" w:space="0" w:color="auto"/>
        <w:bottom w:val="none" w:sz="0" w:space="0" w:color="auto"/>
        <w:right w:val="none" w:sz="0" w:space="0" w:color="auto"/>
      </w:divBdr>
    </w:div>
    <w:div w:id="2044938264">
      <w:bodyDiv w:val="1"/>
      <w:marLeft w:val="0"/>
      <w:marRight w:val="0"/>
      <w:marTop w:val="0"/>
      <w:marBottom w:val="0"/>
      <w:divBdr>
        <w:top w:val="none" w:sz="0" w:space="0" w:color="auto"/>
        <w:left w:val="none" w:sz="0" w:space="0" w:color="auto"/>
        <w:bottom w:val="none" w:sz="0" w:space="0" w:color="auto"/>
        <w:right w:val="none" w:sz="0" w:space="0" w:color="auto"/>
      </w:divBdr>
    </w:div>
    <w:div w:id="2045784497">
      <w:bodyDiv w:val="1"/>
      <w:marLeft w:val="0"/>
      <w:marRight w:val="0"/>
      <w:marTop w:val="0"/>
      <w:marBottom w:val="0"/>
      <w:divBdr>
        <w:top w:val="none" w:sz="0" w:space="0" w:color="auto"/>
        <w:left w:val="none" w:sz="0" w:space="0" w:color="auto"/>
        <w:bottom w:val="none" w:sz="0" w:space="0" w:color="auto"/>
        <w:right w:val="none" w:sz="0" w:space="0" w:color="auto"/>
      </w:divBdr>
    </w:div>
    <w:div w:id="2050840814">
      <w:bodyDiv w:val="1"/>
      <w:marLeft w:val="0"/>
      <w:marRight w:val="0"/>
      <w:marTop w:val="0"/>
      <w:marBottom w:val="0"/>
      <w:divBdr>
        <w:top w:val="none" w:sz="0" w:space="0" w:color="auto"/>
        <w:left w:val="none" w:sz="0" w:space="0" w:color="auto"/>
        <w:bottom w:val="none" w:sz="0" w:space="0" w:color="auto"/>
        <w:right w:val="none" w:sz="0" w:space="0" w:color="auto"/>
      </w:divBdr>
    </w:div>
    <w:div w:id="2051493477">
      <w:bodyDiv w:val="1"/>
      <w:marLeft w:val="0"/>
      <w:marRight w:val="0"/>
      <w:marTop w:val="0"/>
      <w:marBottom w:val="0"/>
      <w:divBdr>
        <w:top w:val="none" w:sz="0" w:space="0" w:color="auto"/>
        <w:left w:val="none" w:sz="0" w:space="0" w:color="auto"/>
        <w:bottom w:val="none" w:sz="0" w:space="0" w:color="auto"/>
        <w:right w:val="none" w:sz="0" w:space="0" w:color="auto"/>
      </w:divBdr>
    </w:div>
    <w:div w:id="2052609170">
      <w:bodyDiv w:val="1"/>
      <w:marLeft w:val="0"/>
      <w:marRight w:val="0"/>
      <w:marTop w:val="0"/>
      <w:marBottom w:val="0"/>
      <w:divBdr>
        <w:top w:val="none" w:sz="0" w:space="0" w:color="auto"/>
        <w:left w:val="none" w:sz="0" w:space="0" w:color="auto"/>
        <w:bottom w:val="none" w:sz="0" w:space="0" w:color="auto"/>
        <w:right w:val="none" w:sz="0" w:space="0" w:color="auto"/>
      </w:divBdr>
    </w:div>
    <w:div w:id="2052922755">
      <w:bodyDiv w:val="1"/>
      <w:marLeft w:val="0"/>
      <w:marRight w:val="0"/>
      <w:marTop w:val="0"/>
      <w:marBottom w:val="0"/>
      <w:divBdr>
        <w:top w:val="none" w:sz="0" w:space="0" w:color="auto"/>
        <w:left w:val="none" w:sz="0" w:space="0" w:color="auto"/>
        <w:bottom w:val="none" w:sz="0" w:space="0" w:color="auto"/>
        <w:right w:val="none" w:sz="0" w:space="0" w:color="auto"/>
      </w:divBdr>
    </w:div>
    <w:div w:id="2054040518">
      <w:bodyDiv w:val="1"/>
      <w:marLeft w:val="0"/>
      <w:marRight w:val="0"/>
      <w:marTop w:val="0"/>
      <w:marBottom w:val="0"/>
      <w:divBdr>
        <w:top w:val="none" w:sz="0" w:space="0" w:color="auto"/>
        <w:left w:val="none" w:sz="0" w:space="0" w:color="auto"/>
        <w:bottom w:val="none" w:sz="0" w:space="0" w:color="auto"/>
        <w:right w:val="none" w:sz="0" w:space="0" w:color="auto"/>
      </w:divBdr>
    </w:div>
    <w:div w:id="2054382830">
      <w:bodyDiv w:val="1"/>
      <w:marLeft w:val="0"/>
      <w:marRight w:val="0"/>
      <w:marTop w:val="0"/>
      <w:marBottom w:val="0"/>
      <w:divBdr>
        <w:top w:val="none" w:sz="0" w:space="0" w:color="auto"/>
        <w:left w:val="none" w:sz="0" w:space="0" w:color="auto"/>
        <w:bottom w:val="none" w:sz="0" w:space="0" w:color="auto"/>
        <w:right w:val="none" w:sz="0" w:space="0" w:color="auto"/>
      </w:divBdr>
    </w:div>
    <w:div w:id="2054645664">
      <w:bodyDiv w:val="1"/>
      <w:marLeft w:val="0"/>
      <w:marRight w:val="0"/>
      <w:marTop w:val="0"/>
      <w:marBottom w:val="0"/>
      <w:divBdr>
        <w:top w:val="none" w:sz="0" w:space="0" w:color="auto"/>
        <w:left w:val="none" w:sz="0" w:space="0" w:color="auto"/>
        <w:bottom w:val="none" w:sz="0" w:space="0" w:color="auto"/>
        <w:right w:val="none" w:sz="0" w:space="0" w:color="auto"/>
      </w:divBdr>
    </w:div>
    <w:div w:id="2055421413">
      <w:bodyDiv w:val="1"/>
      <w:marLeft w:val="0"/>
      <w:marRight w:val="0"/>
      <w:marTop w:val="0"/>
      <w:marBottom w:val="0"/>
      <w:divBdr>
        <w:top w:val="none" w:sz="0" w:space="0" w:color="auto"/>
        <w:left w:val="none" w:sz="0" w:space="0" w:color="auto"/>
        <w:bottom w:val="none" w:sz="0" w:space="0" w:color="auto"/>
        <w:right w:val="none" w:sz="0" w:space="0" w:color="auto"/>
      </w:divBdr>
    </w:div>
    <w:div w:id="2056812541">
      <w:bodyDiv w:val="1"/>
      <w:marLeft w:val="0"/>
      <w:marRight w:val="0"/>
      <w:marTop w:val="0"/>
      <w:marBottom w:val="0"/>
      <w:divBdr>
        <w:top w:val="none" w:sz="0" w:space="0" w:color="auto"/>
        <w:left w:val="none" w:sz="0" w:space="0" w:color="auto"/>
        <w:bottom w:val="none" w:sz="0" w:space="0" w:color="auto"/>
        <w:right w:val="none" w:sz="0" w:space="0" w:color="auto"/>
      </w:divBdr>
    </w:div>
    <w:div w:id="2057316437">
      <w:bodyDiv w:val="1"/>
      <w:marLeft w:val="0"/>
      <w:marRight w:val="0"/>
      <w:marTop w:val="0"/>
      <w:marBottom w:val="0"/>
      <w:divBdr>
        <w:top w:val="none" w:sz="0" w:space="0" w:color="auto"/>
        <w:left w:val="none" w:sz="0" w:space="0" w:color="auto"/>
        <w:bottom w:val="none" w:sz="0" w:space="0" w:color="auto"/>
        <w:right w:val="none" w:sz="0" w:space="0" w:color="auto"/>
      </w:divBdr>
    </w:div>
    <w:div w:id="2060549496">
      <w:bodyDiv w:val="1"/>
      <w:marLeft w:val="0"/>
      <w:marRight w:val="0"/>
      <w:marTop w:val="0"/>
      <w:marBottom w:val="0"/>
      <w:divBdr>
        <w:top w:val="none" w:sz="0" w:space="0" w:color="auto"/>
        <w:left w:val="none" w:sz="0" w:space="0" w:color="auto"/>
        <w:bottom w:val="none" w:sz="0" w:space="0" w:color="auto"/>
        <w:right w:val="none" w:sz="0" w:space="0" w:color="auto"/>
      </w:divBdr>
    </w:div>
    <w:div w:id="2060595094">
      <w:bodyDiv w:val="1"/>
      <w:marLeft w:val="0"/>
      <w:marRight w:val="0"/>
      <w:marTop w:val="0"/>
      <w:marBottom w:val="0"/>
      <w:divBdr>
        <w:top w:val="none" w:sz="0" w:space="0" w:color="auto"/>
        <w:left w:val="none" w:sz="0" w:space="0" w:color="auto"/>
        <w:bottom w:val="none" w:sz="0" w:space="0" w:color="auto"/>
        <w:right w:val="none" w:sz="0" w:space="0" w:color="auto"/>
      </w:divBdr>
    </w:div>
    <w:div w:id="2061443459">
      <w:bodyDiv w:val="1"/>
      <w:marLeft w:val="0"/>
      <w:marRight w:val="0"/>
      <w:marTop w:val="0"/>
      <w:marBottom w:val="0"/>
      <w:divBdr>
        <w:top w:val="none" w:sz="0" w:space="0" w:color="auto"/>
        <w:left w:val="none" w:sz="0" w:space="0" w:color="auto"/>
        <w:bottom w:val="none" w:sz="0" w:space="0" w:color="auto"/>
        <w:right w:val="none" w:sz="0" w:space="0" w:color="auto"/>
      </w:divBdr>
    </w:div>
    <w:div w:id="2063211798">
      <w:bodyDiv w:val="1"/>
      <w:marLeft w:val="0"/>
      <w:marRight w:val="0"/>
      <w:marTop w:val="0"/>
      <w:marBottom w:val="0"/>
      <w:divBdr>
        <w:top w:val="none" w:sz="0" w:space="0" w:color="auto"/>
        <w:left w:val="none" w:sz="0" w:space="0" w:color="auto"/>
        <w:bottom w:val="none" w:sz="0" w:space="0" w:color="auto"/>
        <w:right w:val="none" w:sz="0" w:space="0" w:color="auto"/>
      </w:divBdr>
    </w:div>
    <w:div w:id="2065251161">
      <w:bodyDiv w:val="1"/>
      <w:marLeft w:val="0"/>
      <w:marRight w:val="0"/>
      <w:marTop w:val="0"/>
      <w:marBottom w:val="0"/>
      <w:divBdr>
        <w:top w:val="none" w:sz="0" w:space="0" w:color="auto"/>
        <w:left w:val="none" w:sz="0" w:space="0" w:color="auto"/>
        <w:bottom w:val="none" w:sz="0" w:space="0" w:color="auto"/>
        <w:right w:val="none" w:sz="0" w:space="0" w:color="auto"/>
      </w:divBdr>
    </w:div>
    <w:div w:id="2065448301">
      <w:bodyDiv w:val="1"/>
      <w:marLeft w:val="0"/>
      <w:marRight w:val="0"/>
      <w:marTop w:val="0"/>
      <w:marBottom w:val="0"/>
      <w:divBdr>
        <w:top w:val="none" w:sz="0" w:space="0" w:color="auto"/>
        <w:left w:val="none" w:sz="0" w:space="0" w:color="auto"/>
        <w:bottom w:val="none" w:sz="0" w:space="0" w:color="auto"/>
        <w:right w:val="none" w:sz="0" w:space="0" w:color="auto"/>
      </w:divBdr>
    </w:div>
    <w:div w:id="2067145859">
      <w:bodyDiv w:val="1"/>
      <w:marLeft w:val="0"/>
      <w:marRight w:val="0"/>
      <w:marTop w:val="0"/>
      <w:marBottom w:val="0"/>
      <w:divBdr>
        <w:top w:val="none" w:sz="0" w:space="0" w:color="auto"/>
        <w:left w:val="none" w:sz="0" w:space="0" w:color="auto"/>
        <w:bottom w:val="none" w:sz="0" w:space="0" w:color="auto"/>
        <w:right w:val="none" w:sz="0" w:space="0" w:color="auto"/>
      </w:divBdr>
    </w:div>
    <w:div w:id="2068607179">
      <w:bodyDiv w:val="1"/>
      <w:marLeft w:val="0"/>
      <w:marRight w:val="0"/>
      <w:marTop w:val="0"/>
      <w:marBottom w:val="0"/>
      <w:divBdr>
        <w:top w:val="none" w:sz="0" w:space="0" w:color="auto"/>
        <w:left w:val="none" w:sz="0" w:space="0" w:color="auto"/>
        <w:bottom w:val="none" w:sz="0" w:space="0" w:color="auto"/>
        <w:right w:val="none" w:sz="0" w:space="0" w:color="auto"/>
      </w:divBdr>
    </w:div>
    <w:div w:id="2069381922">
      <w:bodyDiv w:val="1"/>
      <w:marLeft w:val="0"/>
      <w:marRight w:val="0"/>
      <w:marTop w:val="0"/>
      <w:marBottom w:val="0"/>
      <w:divBdr>
        <w:top w:val="none" w:sz="0" w:space="0" w:color="auto"/>
        <w:left w:val="none" w:sz="0" w:space="0" w:color="auto"/>
        <w:bottom w:val="none" w:sz="0" w:space="0" w:color="auto"/>
        <w:right w:val="none" w:sz="0" w:space="0" w:color="auto"/>
      </w:divBdr>
    </w:div>
    <w:div w:id="2072119045">
      <w:bodyDiv w:val="1"/>
      <w:marLeft w:val="0"/>
      <w:marRight w:val="0"/>
      <w:marTop w:val="0"/>
      <w:marBottom w:val="0"/>
      <w:divBdr>
        <w:top w:val="none" w:sz="0" w:space="0" w:color="auto"/>
        <w:left w:val="none" w:sz="0" w:space="0" w:color="auto"/>
        <w:bottom w:val="none" w:sz="0" w:space="0" w:color="auto"/>
        <w:right w:val="none" w:sz="0" w:space="0" w:color="auto"/>
      </w:divBdr>
    </w:div>
    <w:div w:id="2072386986">
      <w:bodyDiv w:val="1"/>
      <w:marLeft w:val="0"/>
      <w:marRight w:val="0"/>
      <w:marTop w:val="0"/>
      <w:marBottom w:val="0"/>
      <w:divBdr>
        <w:top w:val="none" w:sz="0" w:space="0" w:color="auto"/>
        <w:left w:val="none" w:sz="0" w:space="0" w:color="auto"/>
        <w:bottom w:val="none" w:sz="0" w:space="0" w:color="auto"/>
        <w:right w:val="none" w:sz="0" w:space="0" w:color="auto"/>
      </w:divBdr>
    </w:div>
    <w:div w:id="2072576832">
      <w:bodyDiv w:val="1"/>
      <w:marLeft w:val="0"/>
      <w:marRight w:val="0"/>
      <w:marTop w:val="0"/>
      <w:marBottom w:val="0"/>
      <w:divBdr>
        <w:top w:val="none" w:sz="0" w:space="0" w:color="auto"/>
        <w:left w:val="none" w:sz="0" w:space="0" w:color="auto"/>
        <w:bottom w:val="none" w:sz="0" w:space="0" w:color="auto"/>
        <w:right w:val="none" w:sz="0" w:space="0" w:color="auto"/>
      </w:divBdr>
    </w:div>
    <w:div w:id="2075228498">
      <w:bodyDiv w:val="1"/>
      <w:marLeft w:val="0"/>
      <w:marRight w:val="0"/>
      <w:marTop w:val="0"/>
      <w:marBottom w:val="0"/>
      <w:divBdr>
        <w:top w:val="none" w:sz="0" w:space="0" w:color="auto"/>
        <w:left w:val="none" w:sz="0" w:space="0" w:color="auto"/>
        <w:bottom w:val="none" w:sz="0" w:space="0" w:color="auto"/>
        <w:right w:val="none" w:sz="0" w:space="0" w:color="auto"/>
      </w:divBdr>
    </w:div>
    <w:div w:id="2075813561">
      <w:bodyDiv w:val="1"/>
      <w:marLeft w:val="0"/>
      <w:marRight w:val="0"/>
      <w:marTop w:val="0"/>
      <w:marBottom w:val="0"/>
      <w:divBdr>
        <w:top w:val="none" w:sz="0" w:space="0" w:color="auto"/>
        <w:left w:val="none" w:sz="0" w:space="0" w:color="auto"/>
        <w:bottom w:val="none" w:sz="0" w:space="0" w:color="auto"/>
        <w:right w:val="none" w:sz="0" w:space="0" w:color="auto"/>
      </w:divBdr>
    </w:div>
    <w:div w:id="2076004935">
      <w:bodyDiv w:val="1"/>
      <w:marLeft w:val="0"/>
      <w:marRight w:val="0"/>
      <w:marTop w:val="0"/>
      <w:marBottom w:val="0"/>
      <w:divBdr>
        <w:top w:val="none" w:sz="0" w:space="0" w:color="auto"/>
        <w:left w:val="none" w:sz="0" w:space="0" w:color="auto"/>
        <w:bottom w:val="none" w:sz="0" w:space="0" w:color="auto"/>
        <w:right w:val="none" w:sz="0" w:space="0" w:color="auto"/>
      </w:divBdr>
    </w:div>
    <w:div w:id="2076201850">
      <w:bodyDiv w:val="1"/>
      <w:marLeft w:val="0"/>
      <w:marRight w:val="0"/>
      <w:marTop w:val="0"/>
      <w:marBottom w:val="0"/>
      <w:divBdr>
        <w:top w:val="none" w:sz="0" w:space="0" w:color="auto"/>
        <w:left w:val="none" w:sz="0" w:space="0" w:color="auto"/>
        <w:bottom w:val="none" w:sz="0" w:space="0" w:color="auto"/>
        <w:right w:val="none" w:sz="0" w:space="0" w:color="auto"/>
      </w:divBdr>
    </w:div>
    <w:div w:id="2076472086">
      <w:bodyDiv w:val="1"/>
      <w:marLeft w:val="0"/>
      <w:marRight w:val="0"/>
      <w:marTop w:val="0"/>
      <w:marBottom w:val="0"/>
      <w:divBdr>
        <w:top w:val="none" w:sz="0" w:space="0" w:color="auto"/>
        <w:left w:val="none" w:sz="0" w:space="0" w:color="auto"/>
        <w:bottom w:val="none" w:sz="0" w:space="0" w:color="auto"/>
        <w:right w:val="none" w:sz="0" w:space="0" w:color="auto"/>
      </w:divBdr>
    </w:div>
    <w:div w:id="2078085493">
      <w:bodyDiv w:val="1"/>
      <w:marLeft w:val="0"/>
      <w:marRight w:val="0"/>
      <w:marTop w:val="0"/>
      <w:marBottom w:val="0"/>
      <w:divBdr>
        <w:top w:val="none" w:sz="0" w:space="0" w:color="auto"/>
        <w:left w:val="none" w:sz="0" w:space="0" w:color="auto"/>
        <w:bottom w:val="none" w:sz="0" w:space="0" w:color="auto"/>
        <w:right w:val="none" w:sz="0" w:space="0" w:color="auto"/>
      </w:divBdr>
    </w:div>
    <w:div w:id="2078546537">
      <w:bodyDiv w:val="1"/>
      <w:marLeft w:val="0"/>
      <w:marRight w:val="0"/>
      <w:marTop w:val="0"/>
      <w:marBottom w:val="0"/>
      <w:divBdr>
        <w:top w:val="none" w:sz="0" w:space="0" w:color="auto"/>
        <w:left w:val="none" w:sz="0" w:space="0" w:color="auto"/>
        <w:bottom w:val="none" w:sz="0" w:space="0" w:color="auto"/>
        <w:right w:val="none" w:sz="0" w:space="0" w:color="auto"/>
      </w:divBdr>
    </w:div>
    <w:div w:id="2078897136">
      <w:bodyDiv w:val="1"/>
      <w:marLeft w:val="0"/>
      <w:marRight w:val="0"/>
      <w:marTop w:val="0"/>
      <w:marBottom w:val="0"/>
      <w:divBdr>
        <w:top w:val="none" w:sz="0" w:space="0" w:color="auto"/>
        <w:left w:val="none" w:sz="0" w:space="0" w:color="auto"/>
        <w:bottom w:val="none" w:sz="0" w:space="0" w:color="auto"/>
        <w:right w:val="none" w:sz="0" w:space="0" w:color="auto"/>
      </w:divBdr>
    </w:div>
    <w:div w:id="2079588445">
      <w:bodyDiv w:val="1"/>
      <w:marLeft w:val="0"/>
      <w:marRight w:val="0"/>
      <w:marTop w:val="0"/>
      <w:marBottom w:val="0"/>
      <w:divBdr>
        <w:top w:val="none" w:sz="0" w:space="0" w:color="auto"/>
        <w:left w:val="none" w:sz="0" w:space="0" w:color="auto"/>
        <w:bottom w:val="none" w:sz="0" w:space="0" w:color="auto"/>
        <w:right w:val="none" w:sz="0" w:space="0" w:color="auto"/>
      </w:divBdr>
    </w:div>
    <w:div w:id="2083024467">
      <w:bodyDiv w:val="1"/>
      <w:marLeft w:val="0"/>
      <w:marRight w:val="0"/>
      <w:marTop w:val="0"/>
      <w:marBottom w:val="0"/>
      <w:divBdr>
        <w:top w:val="none" w:sz="0" w:space="0" w:color="auto"/>
        <w:left w:val="none" w:sz="0" w:space="0" w:color="auto"/>
        <w:bottom w:val="none" w:sz="0" w:space="0" w:color="auto"/>
        <w:right w:val="none" w:sz="0" w:space="0" w:color="auto"/>
      </w:divBdr>
    </w:div>
    <w:div w:id="2088764009">
      <w:bodyDiv w:val="1"/>
      <w:marLeft w:val="0"/>
      <w:marRight w:val="0"/>
      <w:marTop w:val="0"/>
      <w:marBottom w:val="0"/>
      <w:divBdr>
        <w:top w:val="none" w:sz="0" w:space="0" w:color="auto"/>
        <w:left w:val="none" w:sz="0" w:space="0" w:color="auto"/>
        <w:bottom w:val="none" w:sz="0" w:space="0" w:color="auto"/>
        <w:right w:val="none" w:sz="0" w:space="0" w:color="auto"/>
      </w:divBdr>
    </w:div>
    <w:div w:id="2091459668">
      <w:bodyDiv w:val="1"/>
      <w:marLeft w:val="0"/>
      <w:marRight w:val="0"/>
      <w:marTop w:val="0"/>
      <w:marBottom w:val="0"/>
      <w:divBdr>
        <w:top w:val="none" w:sz="0" w:space="0" w:color="auto"/>
        <w:left w:val="none" w:sz="0" w:space="0" w:color="auto"/>
        <w:bottom w:val="none" w:sz="0" w:space="0" w:color="auto"/>
        <w:right w:val="none" w:sz="0" w:space="0" w:color="auto"/>
      </w:divBdr>
    </w:div>
    <w:div w:id="2094665125">
      <w:bodyDiv w:val="1"/>
      <w:marLeft w:val="0"/>
      <w:marRight w:val="0"/>
      <w:marTop w:val="0"/>
      <w:marBottom w:val="0"/>
      <w:divBdr>
        <w:top w:val="none" w:sz="0" w:space="0" w:color="auto"/>
        <w:left w:val="none" w:sz="0" w:space="0" w:color="auto"/>
        <w:bottom w:val="none" w:sz="0" w:space="0" w:color="auto"/>
        <w:right w:val="none" w:sz="0" w:space="0" w:color="auto"/>
      </w:divBdr>
    </w:div>
    <w:div w:id="2095777574">
      <w:bodyDiv w:val="1"/>
      <w:marLeft w:val="0"/>
      <w:marRight w:val="0"/>
      <w:marTop w:val="0"/>
      <w:marBottom w:val="0"/>
      <w:divBdr>
        <w:top w:val="none" w:sz="0" w:space="0" w:color="auto"/>
        <w:left w:val="none" w:sz="0" w:space="0" w:color="auto"/>
        <w:bottom w:val="none" w:sz="0" w:space="0" w:color="auto"/>
        <w:right w:val="none" w:sz="0" w:space="0" w:color="auto"/>
      </w:divBdr>
    </w:div>
    <w:div w:id="2101753473">
      <w:bodyDiv w:val="1"/>
      <w:marLeft w:val="0"/>
      <w:marRight w:val="0"/>
      <w:marTop w:val="0"/>
      <w:marBottom w:val="0"/>
      <w:divBdr>
        <w:top w:val="none" w:sz="0" w:space="0" w:color="auto"/>
        <w:left w:val="none" w:sz="0" w:space="0" w:color="auto"/>
        <w:bottom w:val="none" w:sz="0" w:space="0" w:color="auto"/>
        <w:right w:val="none" w:sz="0" w:space="0" w:color="auto"/>
      </w:divBdr>
    </w:div>
    <w:div w:id="2102600917">
      <w:bodyDiv w:val="1"/>
      <w:marLeft w:val="0"/>
      <w:marRight w:val="0"/>
      <w:marTop w:val="0"/>
      <w:marBottom w:val="0"/>
      <w:divBdr>
        <w:top w:val="none" w:sz="0" w:space="0" w:color="auto"/>
        <w:left w:val="none" w:sz="0" w:space="0" w:color="auto"/>
        <w:bottom w:val="none" w:sz="0" w:space="0" w:color="auto"/>
        <w:right w:val="none" w:sz="0" w:space="0" w:color="auto"/>
      </w:divBdr>
    </w:div>
    <w:div w:id="2104572843">
      <w:bodyDiv w:val="1"/>
      <w:marLeft w:val="0"/>
      <w:marRight w:val="0"/>
      <w:marTop w:val="0"/>
      <w:marBottom w:val="0"/>
      <w:divBdr>
        <w:top w:val="none" w:sz="0" w:space="0" w:color="auto"/>
        <w:left w:val="none" w:sz="0" w:space="0" w:color="auto"/>
        <w:bottom w:val="none" w:sz="0" w:space="0" w:color="auto"/>
        <w:right w:val="none" w:sz="0" w:space="0" w:color="auto"/>
      </w:divBdr>
    </w:div>
    <w:div w:id="2105492630">
      <w:bodyDiv w:val="1"/>
      <w:marLeft w:val="0"/>
      <w:marRight w:val="0"/>
      <w:marTop w:val="0"/>
      <w:marBottom w:val="0"/>
      <w:divBdr>
        <w:top w:val="none" w:sz="0" w:space="0" w:color="auto"/>
        <w:left w:val="none" w:sz="0" w:space="0" w:color="auto"/>
        <w:bottom w:val="none" w:sz="0" w:space="0" w:color="auto"/>
        <w:right w:val="none" w:sz="0" w:space="0" w:color="auto"/>
      </w:divBdr>
    </w:div>
    <w:div w:id="2106070703">
      <w:bodyDiv w:val="1"/>
      <w:marLeft w:val="0"/>
      <w:marRight w:val="0"/>
      <w:marTop w:val="0"/>
      <w:marBottom w:val="0"/>
      <w:divBdr>
        <w:top w:val="none" w:sz="0" w:space="0" w:color="auto"/>
        <w:left w:val="none" w:sz="0" w:space="0" w:color="auto"/>
        <w:bottom w:val="none" w:sz="0" w:space="0" w:color="auto"/>
        <w:right w:val="none" w:sz="0" w:space="0" w:color="auto"/>
      </w:divBdr>
    </w:div>
    <w:div w:id="2108960959">
      <w:bodyDiv w:val="1"/>
      <w:marLeft w:val="0"/>
      <w:marRight w:val="0"/>
      <w:marTop w:val="0"/>
      <w:marBottom w:val="0"/>
      <w:divBdr>
        <w:top w:val="none" w:sz="0" w:space="0" w:color="auto"/>
        <w:left w:val="none" w:sz="0" w:space="0" w:color="auto"/>
        <w:bottom w:val="none" w:sz="0" w:space="0" w:color="auto"/>
        <w:right w:val="none" w:sz="0" w:space="0" w:color="auto"/>
      </w:divBdr>
    </w:div>
    <w:div w:id="2112432274">
      <w:bodyDiv w:val="1"/>
      <w:marLeft w:val="0"/>
      <w:marRight w:val="0"/>
      <w:marTop w:val="0"/>
      <w:marBottom w:val="0"/>
      <w:divBdr>
        <w:top w:val="none" w:sz="0" w:space="0" w:color="auto"/>
        <w:left w:val="none" w:sz="0" w:space="0" w:color="auto"/>
        <w:bottom w:val="none" w:sz="0" w:space="0" w:color="auto"/>
        <w:right w:val="none" w:sz="0" w:space="0" w:color="auto"/>
      </w:divBdr>
    </w:div>
    <w:div w:id="2112625095">
      <w:bodyDiv w:val="1"/>
      <w:marLeft w:val="0"/>
      <w:marRight w:val="0"/>
      <w:marTop w:val="0"/>
      <w:marBottom w:val="0"/>
      <w:divBdr>
        <w:top w:val="none" w:sz="0" w:space="0" w:color="auto"/>
        <w:left w:val="none" w:sz="0" w:space="0" w:color="auto"/>
        <w:bottom w:val="none" w:sz="0" w:space="0" w:color="auto"/>
        <w:right w:val="none" w:sz="0" w:space="0" w:color="auto"/>
      </w:divBdr>
    </w:div>
    <w:div w:id="2112968680">
      <w:bodyDiv w:val="1"/>
      <w:marLeft w:val="0"/>
      <w:marRight w:val="0"/>
      <w:marTop w:val="0"/>
      <w:marBottom w:val="0"/>
      <w:divBdr>
        <w:top w:val="none" w:sz="0" w:space="0" w:color="auto"/>
        <w:left w:val="none" w:sz="0" w:space="0" w:color="auto"/>
        <w:bottom w:val="none" w:sz="0" w:space="0" w:color="auto"/>
        <w:right w:val="none" w:sz="0" w:space="0" w:color="auto"/>
      </w:divBdr>
    </w:div>
    <w:div w:id="2113934697">
      <w:bodyDiv w:val="1"/>
      <w:marLeft w:val="0"/>
      <w:marRight w:val="0"/>
      <w:marTop w:val="0"/>
      <w:marBottom w:val="0"/>
      <w:divBdr>
        <w:top w:val="none" w:sz="0" w:space="0" w:color="auto"/>
        <w:left w:val="none" w:sz="0" w:space="0" w:color="auto"/>
        <w:bottom w:val="none" w:sz="0" w:space="0" w:color="auto"/>
        <w:right w:val="none" w:sz="0" w:space="0" w:color="auto"/>
      </w:divBdr>
    </w:div>
    <w:div w:id="2114089969">
      <w:bodyDiv w:val="1"/>
      <w:marLeft w:val="0"/>
      <w:marRight w:val="0"/>
      <w:marTop w:val="0"/>
      <w:marBottom w:val="0"/>
      <w:divBdr>
        <w:top w:val="none" w:sz="0" w:space="0" w:color="auto"/>
        <w:left w:val="none" w:sz="0" w:space="0" w:color="auto"/>
        <w:bottom w:val="none" w:sz="0" w:space="0" w:color="auto"/>
        <w:right w:val="none" w:sz="0" w:space="0" w:color="auto"/>
      </w:divBdr>
    </w:div>
    <w:div w:id="2115127879">
      <w:bodyDiv w:val="1"/>
      <w:marLeft w:val="0"/>
      <w:marRight w:val="0"/>
      <w:marTop w:val="0"/>
      <w:marBottom w:val="0"/>
      <w:divBdr>
        <w:top w:val="none" w:sz="0" w:space="0" w:color="auto"/>
        <w:left w:val="none" w:sz="0" w:space="0" w:color="auto"/>
        <w:bottom w:val="none" w:sz="0" w:space="0" w:color="auto"/>
        <w:right w:val="none" w:sz="0" w:space="0" w:color="auto"/>
      </w:divBdr>
    </w:div>
    <w:div w:id="2117750207">
      <w:bodyDiv w:val="1"/>
      <w:marLeft w:val="0"/>
      <w:marRight w:val="0"/>
      <w:marTop w:val="0"/>
      <w:marBottom w:val="0"/>
      <w:divBdr>
        <w:top w:val="none" w:sz="0" w:space="0" w:color="auto"/>
        <w:left w:val="none" w:sz="0" w:space="0" w:color="auto"/>
        <w:bottom w:val="none" w:sz="0" w:space="0" w:color="auto"/>
        <w:right w:val="none" w:sz="0" w:space="0" w:color="auto"/>
      </w:divBdr>
    </w:div>
    <w:div w:id="2119134205">
      <w:bodyDiv w:val="1"/>
      <w:marLeft w:val="0"/>
      <w:marRight w:val="0"/>
      <w:marTop w:val="0"/>
      <w:marBottom w:val="0"/>
      <w:divBdr>
        <w:top w:val="none" w:sz="0" w:space="0" w:color="auto"/>
        <w:left w:val="none" w:sz="0" w:space="0" w:color="auto"/>
        <w:bottom w:val="none" w:sz="0" w:space="0" w:color="auto"/>
        <w:right w:val="none" w:sz="0" w:space="0" w:color="auto"/>
      </w:divBdr>
    </w:div>
    <w:div w:id="2120174621">
      <w:bodyDiv w:val="1"/>
      <w:marLeft w:val="0"/>
      <w:marRight w:val="0"/>
      <w:marTop w:val="0"/>
      <w:marBottom w:val="0"/>
      <w:divBdr>
        <w:top w:val="none" w:sz="0" w:space="0" w:color="auto"/>
        <w:left w:val="none" w:sz="0" w:space="0" w:color="auto"/>
        <w:bottom w:val="none" w:sz="0" w:space="0" w:color="auto"/>
        <w:right w:val="none" w:sz="0" w:space="0" w:color="auto"/>
      </w:divBdr>
    </w:div>
    <w:div w:id="2120559828">
      <w:bodyDiv w:val="1"/>
      <w:marLeft w:val="0"/>
      <w:marRight w:val="0"/>
      <w:marTop w:val="0"/>
      <w:marBottom w:val="0"/>
      <w:divBdr>
        <w:top w:val="none" w:sz="0" w:space="0" w:color="auto"/>
        <w:left w:val="none" w:sz="0" w:space="0" w:color="auto"/>
        <w:bottom w:val="none" w:sz="0" w:space="0" w:color="auto"/>
        <w:right w:val="none" w:sz="0" w:space="0" w:color="auto"/>
      </w:divBdr>
    </w:div>
    <w:div w:id="2120641571">
      <w:bodyDiv w:val="1"/>
      <w:marLeft w:val="0"/>
      <w:marRight w:val="0"/>
      <w:marTop w:val="0"/>
      <w:marBottom w:val="0"/>
      <w:divBdr>
        <w:top w:val="none" w:sz="0" w:space="0" w:color="auto"/>
        <w:left w:val="none" w:sz="0" w:space="0" w:color="auto"/>
        <w:bottom w:val="none" w:sz="0" w:space="0" w:color="auto"/>
        <w:right w:val="none" w:sz="0" w:space="0" w:color="auto"/>
      </w:divBdr>
    </w:div>
    <w:div w:id="2122414125">
      <w:bodyDiv w:val="1"/>
      <w:marLeft w:val="0"/>
      <w:marRight w:val="0"/>
      <w:marTop w:val="0"/>
      <w:marBottom w:val="0"/>
      <w:divBdr>
        <w:top w:val="none" w:sz="0" w:space="0" w:color="auto"/>
        <w:left w:val="none" w:sz="0" w:space="0" w:color="auto"/>
        <w:bottom w:val="none" w:sz="0" w:space="0" w:color="auto"/>
        <w:right w:val="none" w:sz="0" w:space="0" w:color="auto"/>
      </w:divBdr>
    </w:div>
    <w:div w:id="2126120070">
      <w:bodyDiv w:val="1"/>
      <w:marLeft w:val="0"/>
      <w:marRight w:val="0"/>
      <w:marTop w:val="0"/>
      <w:marBottom w:val="0"/>
      <w:divBdr>
        <w:top w:val="none" w:sz="0" w:space="0" w:color="auto"/>
        <w:left w:val="none" w:sz="0" w:space="0" w:color="auto"/>
        <w:bottom w:val="none" w:sz="0" w:space="0" w:color="auto"/>
        <w:right w:val="none" w:sz="0" w:space="0" w:color="auto"/>
      </w:divBdr>
    </w:div>
    <w:div w:id="2127772237">
      <w:bodyDiv w:val="1"/>
      <w:marLeft w:val="0"/>
      <w:marRight w:val="0"/>
      <w:marTop w:val="0"/>
      <w:marBottom w:val="0"/>
      <w:divBdr>
        <w:top w:val="none" w:sz="0" w:space="0" w:color="auto"/>
        <w:left w:val="none" w:sz="0" w:space="0" w:color="auto"/>
        <w:bottom w:val="none" w:sz="0" w:space="0" w:color="auto"/>
        <w:right w:val="none" w:sz="0" w:space="0" w:color="auto"/>
      </w:divBdr>
    </w:div>
    <w:div w:id="2128229399">
      <w:bodyDiv w:val="1"/>
      <w:marLeft w:val="0"/>
      <w:marRight w:val="0"/>
      <w:marTop w:val="0"/>
      <w:marBottom w:val="0"/>
      <w:divBdr>
        <w:top w:val="none" w:sz="0" w:space="0" w:color="auto"/>
        <w:left w:val="none" w:sz="0" w:space="0" w:color="auto"/>
        <w:bottom w:val="none" w:sz="0" w:space="0" w:color="auto"/>
        <w:right w:val="none" w:sz="0" w:space="0" w:color="auto"/>
      </w:divBdr>
    </w:div>
    <w:div w:id="2128348949">
      <w:bodyDiv w:val="1"/>
      <w:marLeft w:val="0"/>
      <w:marRight w:val="0"/>
      <w:marTop w:val="0"/>
      <w:marBottom w:val="0"/>
      <w:divBdr>
        <w:top w:val="none" w:sz="0" w:space="0" w:color="auto"/>
        <w:left w:val="none" w:sz="0" w:space="0" w:color="auto"/>
        <w:bottom w:val="none" w:sz="0" w:space="0" w:color="auto"/>
        <w:right w:val="none" w:sz="0" w:space="0" w:color="auto"/>
      </w:divBdr>
    </w:div>
    <w:div w:id="2128616481">
      <w:bodyDiv w:val="1"/>
      <w:marLeft w:val="0"/>
      <w:marRight w:val="0"/>
      <w:marTop w:val="0"/>
      <w:marBottom w:val="0"/>
      <w:divBdr>
        <w:top w:val="none" w:sz="0" w:space="0" w:color="auto"/>
        <w:left w:val="none" w:sz="0" w:space="0" w:color="auto"/>
        <w:bottom w:val="none" w:sz="0" w:space="0" w:color="auto"/>
        <w:right w:val="none" w:sz="0" w:space="0" w:color="auto"/>
      </w:divBdr>
    </w:div>
    <w:div w:id="2130928429">
      <w:bodyDiv w:val="1"/>
      <w:marLeft w:val="0"/>
      <w:marRight w:val="0"/>
      <w:marTop w:val="0"/>
      <w:marBottom w:val="0"/>
      <w:divBdr>
        <w:top w:val="none" w:sz="0" w:space="0" w:color="auto"/>
        <w:left w:val="none" w:sz="0" w:space="0" w:color="auto"/>
        <w:bottom w:val="none" w:sz="0" w:space="0" w:color="auto"/>
        <w:right w:val="none" w:sz="0" w:space="0" w:color="auto"/>
      </w:divBdr>
    </w:div>
    <w:div w:id="2130933187">
      <w:bodyDiv w:val="1"/>
      <w:marLeft w:val="0"/>
      <w:marRight w:val="0"/>
      <w:marTop w:val="0"/>
      <w:marBottom w:val="0"/>
      <w:divBdr>
        <w:top w:val="none" w:sz="0" w:space="0" w:color="auto"/>
        <w:left w:val="none" w:sz="0" w:space="0" w:color="auto"/>
        <w:bottom w:val="none" w:sz="0" w:space="0" w:color="auto"/>
        <w:right w:val="none" w:sz="0" w:space="0" w:color="auto"/>
      </w:divBdr>
    </w:div>
    <w:div w:id="2132240213">
      <w:bodyDiv w:val="1"/>
      <w:marLeft w:val="0"/>
      <w:marRight w:val="0"/>
      <w:marTop w:val="0"/>
      <w:marBottom w:val="0"/>
      <w:divBdr>
        <w:top w:val="none" w:sz="0" w:space="0" w:color="auto"/>
        <w:left w:val="none" w:sz="0" w:space="0" w:color="auto"/>
        <w:bottom w:val="none" w:sz="0" w:space="0" w:color="auto"/>
        <w:right w:val="none" w:sz="0" w:space="0" w:color="auto"/>
      </w:divBdr>
    </w:div>
    <w:div w:id="2132282050">
      <w:bodyDiv w:val="1"/>
      <w:marLeft w:val="0"/>
      <w:marRight w:val="0"/>
      <w:marTop w:val="0"/>
      <w:marBottom w:val="0"/>
      <w:divBdr>
        <w:top w:val="none" w:sz="0" w:space="0" w:color="auto"/>
        <w:left w:val="none" w:sz="0" w:space="0" w:color="auto"/>
        <w:bottom w:val="none" w:sz="0" w:space="0" w:color="auto"/>
        <w:right w:val="none" w:sz="0" w:space="0" w:color="auto"/>
      </w:divBdr>
    </w:div>
    <w:div w:id="2134202575">
      <w:bodyDiv w:val="1"/>
      <w:marLeft w:val="0"/>
      <w:marRight w:val="0"/>
      <w:marTop w:val="0"/>
      <w:marBottom w:val="0"/>
      <w:divBdr>
        <w:top w:val="none" w:sz="0" w:space="0" w:color="auto"/>
        <w:left w:val="none" w:sz="0" w:space="0" w:color="auto"/>
        <w:bottom w:val="none" w:sz="0" w:space="0" w:color="auto"/>
        <w:right w:val="none" w:sz="0" w:space="0" w:color="auto"/>
      </w:divBdr>
    </w:div>
    <w:div w:id="2136169536">
      <w:bodyDiv w:val="1"/>
      <w:marLeft w:val="0"/>
      <w:marRight w:val="0"/>
      <w:marTop w:val="0"/>
      <w:marBottom w:val="0"/>
      <w:divBdr>
        <w:top w:val="none" w:sz="0" w:space="0" w:color="auto"/>
        <w:left w:val="none" w:sz="0" w:space="0" w:color="auto"/>
        <w:bottom w:val="none" w:sz="0" w:space="0" w:color="auto"/>
        <w:right w:val="none" w:sz="0" w:space="0" w:color="auto"/>
      </w:divBdr>
    </w:div>
    <w:div w:id="2136482329">
      <w:bodyDiv w:val="1"/>
      <w:marLeft w:val="0"/>
      <w:marRight w:val="0"/>
      <w:marTop w:val="0"/>
      <w:marBottom w:val="0"/>
      <w:divBdr>
        <w:top w:val="none" w:sz="0" w:space="0" w:color="auto"/>
        <w:left w:val="none" w:sz="0" w:space="0" w:color="auto"/>
        <w:bottom w:val="none" w:sz="0" w:space="0" w:color="auto"/>
        <w:right w:val="none" w:sz="0" w:space="0" w:color="auto"/>
      </w:divBdr>
    </w:div>
    <w:div w:id="2136751597">
      <w:bodyDiv w:val="1"/>
      <w:marLeft w:val="0"/>
      <w:marRight w:val="0"/>
      <w:marTop w:val="0"/>
      <w:marBottom w:val="0"/>
      <w:divBdr>
        <w:top w:val="none" w:sz="0" w:space="0" w:color="auto"/>
        <w:left w:val="none" w:sz="0" w:space="0" w:color="auto"/>
        <w:bottom w:val="none" w:sz="0" w:space="0" w:color="auto"/>
        <w:right w:val="none" w:sz="0" w:space="0" w:color="auto"/>
      </w:divBdr>
    </w:div>
    <w:div w:id="2137214385">
      <w:bodyDiv w:val="1"/>
      <w:marLeft w:val="0"/>
      <w:marRight w:val="0"/>
      <w:marTop w:val="0"/>
      <w:marBottom w:val="0"/>
      <w:divBdr>
        <w:top w:val="none" w:sz="0" w:space="0" w:color="auto"/>
        <w:left w:val="none" w:sz="0" w:space="0" w:color="auto"/>
        <w:bottom w:val="none" w:sz="0" w:space="0" w:color="auto"/>
        <w:right w:val="none" w:sz="0" w:space="0" w:color="auto"/>
      </w:divBdr>
    </w:div>
    <w:div w:id="2139493099">
      <w:bodyDiv w:val="1"/>
      <w:marLeft w:val="0"/>
      <w:marRight w:val="0"/>
      <w:marTop w:val="0"/>
      <w:marBottom w:val="0"/>
      <w:divBdr>
        <w:top w:val="none" w:sz="0" w:space="0" w:color="auto"/>
        <w:left w:val="none" w:sz="0" w:space="0" w:color="auto"/>
        <w:bottom w:val="none" w:sz="0" w:space="0" w:color="auto"/>
        <w:right w:val="none" w:sz="0" w:space="0" w:color="auto"/>
      </w:divBdr>
    </w:div>
    <w:div w:id="2141066608">
      <w:bodyDiv w:val="1"/>
      <w:marLeft w:val="0"/>
      <w:marRight w:val="0"/>
      <w:marTop w:val="0"/>
      <w:marBottom w:val="0"/>
      <w:divBdr>
        <w:top w:val="none" w:sz="0" w:space="0" w:color="auto"/>
        <w:left w:val="none" w:sz="0" w:space="0" w:color="auto"/>
        <w:bottom w:val="none" w:sz="0" w:space="0" w:color="auto"/>
        <w:right w:val="none" w:sz="0" w:space="0" w:color="auto"/>
      </w:divBdr>
    </w:div>
    <w:div w:id="2141218319">
      <w:bodyDiv w:val="1"/>
      <w:marLeft w:val="0"/>
      <w:marRight w:val="0"/>
      <w:marTop w:val="0"/>
      <w:marBottom w:val="0"/>
      <w:divBdr>
        <w:top w:val="none" w:sz="0" w:space="0" w:color="auto"/>
        <w:left w:val="none" w:sz="0" w:space="0" w:color="auto"/>
        <w:bottom w:val="none" w:sz="0" w:space="0" w:color="auto"/>
        <w:right w:val="none" w:sz="0" w:space="0" w:color="auto"/>
      </w:divBdr>
    </w:div>
    <w:div w:id="2143959747">
      <w:bodyDiv w:val="1"/>
      <w:marLeft w:val="0"/>
      <w:marRight w:val="0"/>
      <w:marTop w:val="0"/>
      <w:marBottom w:val="0"/>
      <w:divBdr>
        <w:top w:val="none" w:sz="0" w:space="0" w:color="auto"/>
        <w:left w:val="none" w:sz="0" w:space="0" w:color="auto"/>
        <w:bottom w:val="none" w:sz="0" w:space="0" w:color="auto"/>
        <w:right w:val="none" w:sz="0" w:space="0" w:color="auto"/>
      </w:divBdr>
    </w:div>
    <w:div w:id="21461936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2.xml"/><Relationship Id="rId42" Type="http://schemas.openxmlformats.org/officeDocument/2006/relationships/hyperlink" Target="http://www.integrate-hta.eu/downloads/" TargetMode="External"/><Relationship Id="rId47" Type="http://schemas.openxmlformats.org/officeDocument/2006/relationships/hyperlink" Target="https://dx.doi.org/10.1111/j.1753-6405.2009.00382.x" TargetMode="External"/><Relationship Id="rId63" Type="http://schemas.openxmlformats.org/officeDocument/2006/relationships/hyperlink" Target="https://dx.doi.org/10.1007/s40266-015-0251-3" TargetMode="External"/><Relationship Id="rId68" Type="http://schemas.openxmlformats.org/officeDocument/2006/relationships/hyperlink" Target="https://dx.doi.org/10.1071/NB10051" TargetMode="External"/><Relationship Id="rId84" Type="http://schemas.openxmlformats.org/officeDocument/2006/relationships/hyperlink" Target="https://www.nice.org.uk/guidance/ng32" TargetMode="External"/><Relationship Id="rId89" Type="http://schemas.openxmlformats.org/officeDocument/2006/relationships/hyperlink" Target="https://dx.doi.org/10.1002/mds.26420" TargetMode="External"/><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hyperlink" Target="http://dx.doi.org/10.1016/j.jad.2020.12.026" TargetMode="External"/><Relationship Id="rId37" Type="http://schemas.openxmlformats.org/officeDocument/2006/relationships/hyperlink" Target="https://wwwenglandnhsuk/ourwork/part-rel/transformation-fund/bcf-plan/" TargetMode="External"/><Relationship Id="rId53" Type="http://schemas.openxmlformats.org/officeDocument/2006/relationships/hyperlink" Target="http://dx.doi.org/10.1007/s11606-020-05700-w" TargetMode="External"/><Relationship Id="rId58" Type="http://schemas.openxmlformats.org/officeDocument/2006/relationships/hyperlink" Target="https://data.worldbank.org/indicator/FP.CPI.TOTL.ZG" TargetMode="External"/><Relationship Id="rId74" Type="http://schemas.openxmlformats.org/officeDocument/2006/relationships/hyperlink" Target="https://www.healthcareers.nhs.uk/explore-roles/nursing/roles-nursing/district-nurse" TargetMode="External"/><Relationship Id="rId79" Type="http://schemas.openxmlformats.org/officeDocument/2006/relationships/hyperlink" Target="https://www.gov.uk/guidance/social-impact-bonds" TargetMode="External"/><Relationship Id="rId5" Type="http://schemas.openxmlformats.org/officeDocument/2006/relationships/webSettings" Target="webSettings.xml"/><Relationship Id="rId90" Type="http://schemas.openxmlformats.org/officeDocument/2006/relationships/hyperlink" Target="http://dx.doi.org/10.1080/09638288.2018.1510993" TargetMode="External"/><Relationship Id="rId95" Type="http://schemas.openxmlformats.org/officeDocument/2006/relationships/theme" Target="theme/theme1.xml"/><Relationship Id="rId22" Type="http://schemas.openxmlformats.org/officeDocument/2006/relationships/chart" Target="charts/chart3.xml"/><Relationship Id="rId27" Type="http://schemas.openxmlformats.org/officeDocument/2006/relationships/chart" Target="charts/chart8.xml"/><Relationship Id="rId43" Type="http://schemas.openxmlformats.org/officeDocument/2006/relationships/hyperlink" Target="http://www.integrate-hta.eu/downloads/" TargetMode="External"/><Relationship Id="rId48" Type="http://schemas.openxmlformats.org/officeDocument/2006/relationships/hyperlink" Target="https://dx.doi.org/10.1136/injuryprev-2016-041999" TargetMode="External"/><Relationship Id="rId64" Type="http://schemas.openxmlformats.org/officeDocument/2006/relationships/hyperlink" Target="http://dx.doi.org/10.1093/gerona/glaa180" TargetMode="External"/><Relationship Id="rId69" Type="http://schemas.openxmlformats.org/officeDocument/2006/relationships/hyperlink" Target="https://dx.doi.org/10.1136/injuryprev-2016-042309" TargetMode="External"/><Relationship Id="rId8" Type="http://schemas.openxmlformats.org/officeDocument/2006/relationships/image" Target="media/image1.png"/><Relationship Id="rId51" Type="http://schemas.openxmlformats.org/officeDocument/2006/relationships/hyperlink" Target="https://www.gov.uk/government/publications/the-nhs-constitution-for-england/the-nhs-constitution-for-england" TargetMode="External"/><Relationship Id="rId72" Type="http://schemas.openxmlformats.org/officeDocument/2006/relationships/hyperlink" Target="https://www.ons.gov.uk/employmentandlabourmarket/peopleinwork/employmentandemployeetypes/bulletins/averageweeklyearningsingreatbritain/july2020" TargetMode="External"/><Relationship Id="rId80" Type="http://schemas.openxmlformats.org/officeDocument/2006/relationships/hyperlink" Target="http://dx.doi.org/10.1155/2019/2719290" TargetMode="External"/><Relationship Id="rId85" Type="http://schemas.openxmlformats.org/officeDocument/2006/relationships/hyperlink" Target="https://dx.doi.org/10.3310/hta23590" TargetMode="External"/><Relationship Id="rId93" Type="http://schemas.openxmlformats.org/officeDocument/2006/relationships/hyperlink" Target="http://dx.doi.org/10.1080/01634372.2018.1555566"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chart" Target="charts/chart6.xml"/><Relationship Id="rId33" Type="http://schemas.openxmlformats.org/officeDocument/2006/relationships/hyperlink" Target="https://dx.doi.org/10.1302/0301-620X.102B12.BJJ-2019-1537.R3" TargetMode="External"/><Relationship Id="rId38" Type="http://schemas.openxmlformats.org/officeDocument/2006/relationships/hyperlink" Target="https://dx.doi.org/10.1186/1478-7547-6-11" TargetMode="External"/><Relationship Id="rId46" Type="http://schemas.openxmlformats.org/officeDocument/2006/relationships/hyperlink" Target="http://dx.doi.org/10.1186/s40621-015-0058-z" TargetMode="External"/><Relationship Id="rId59" Type="http://schemas.openxmlformats.org/officeDocument/2006/relationships/hyperlink" Target="https://data.oecd.org/conversion/purchasing-power-parities-ppp.htm" TargetMode="External"/><Relationship Id="rId67" Type="http://schemas.openxmlformats.org/officeDocument/2006/relationships/hyperlink" Target="https://dx.doi.org/10.1016/j.archger.2019.104007" TargetMode="External"/><Relationship Id="rId20" Type="http://schemas.openxmlformats.org/officeDocument/2006/relationships/chart" Target="charts/chart1.xml"/><Relationship Id="rId41" Type="http://schemas.openxmlformats.org/officeDocument/2006/relationships/hyperlink" Target="http://dx.doi.org/10.1093/qjmed/hcz203" TargetMode="External"/><Relationship Id="rId54" Type="http://schemas.openxmlformats.org/officeDocument/2006/relationships/hyperlink" Target="https://dx.doi.org/10.1186/s12877-017-0599-9" TargetMode="External"/><Relationship Id="rId62" Type="http://schemas.openxmlformats.org/officeDocument/2006/relationships/hyperlink" Target="http://dx.doi.org/10.1136/bmjopen-2018-021832" TargetMode="External"/><Relationship Id="rId70" Type="http://schemas.openxmlformats.org/officeDocument/2006/relationships/hyperlink" Target="http://dx.doi.org/10.1002/hpm.2591" TargetMode="External"/><Relationship Id="rId75" Type="http://schemas.openxmlformats.org/officeDocument/2006/relationships/hyperlink" Target="https://www.ageuk.org.uk/information-advice/care/paying-for-care/local-care-costs/" TargetMode="External"/><Relationship Id="rId83" Type="http://schemas.openxmlformats.org/officeDocument/2006/relationships/hyperlink" Target="https://dx.doi.org/10.1186/s12874-019-0869-7" TargetMode="External"/><Relationship Id="rId88" Type="http://schemas.openxmlformats.org/officeDocument/2006/relationships/hyperlink" Target="https://cks.nice.org.uk/topics/osteoporosis-prevention-of-fragility-fractures/" TargetMode="External"/><Relationship Id="rId91" Type="http://schemas.openxmlformats.org/officeDocument/2006/relationships/hyperlink" Target="https://dx.doi.org/10.1123/japa.2018-016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hyperlink" Target="https://www.ageuk.org.uk/information-advice/work-learning/retirement/retirement-age/" TargetMode="External"/><Relationship Id="rId49" Type="http://schemas.openxmlformats.org/officeDocument/2006/relationships/hyperlink" Target="https://dx.doi.org/10.1093/ageing/afy219" TargetMode="External"/><Relationship Id="rId57" Type="http://schemas.openxmlformats.org/officeDocument/2006/relationships/hyperlink" Target="https://doi.org/10.1186/s12962-022-00367-y" TargetMode="External"/><Relationship Id="rId10" Type="http://schemas.openxmlformats.org/officeDocument/2006/relationships/image" Target="media/image2.png"/><Relationship Id="rId31" Type="http://schemas.openxmlformats.org/officeDocument/2006/relationships/hyperlink" Target="https://dx.doi.org/10.1186/s12877-020-01802-6" TargetMode="External"/><Relationship Id="rId44" Type="http://schemas.openxmlformats.org/officeDocument/2006/relationships/hyperlink" Target="https://dx.doi.org/10.3310/hta22280" TargetMode="External"/><Relationship Id="rId52" Type="http://schemas.openxmlformats.org/officeDocument/2006/relationships/hyperlink" Target="http://dx.doi.org/10.1111/opn.12310" TargetMode="External"/><Relationship Id="rId60" Type="http://schemas.openxmlformats.org/officeDocument/2006/relationships/hyperlink" Target="https://dx.doi.org/10.1016/j.cger.2010.07.005" TargetMode="External"/><Relationship Id="rId65" Type="http://schemas.openxmlformats.org/officeDocument/2006/relationships/hyperlink" Target="https://dx.doi.org/10.1136/ip.2009.025452" TargetMode="External"/><Relationship Id="rId73" Type="http://schemas.openxmlformats.org/officeDocument/2006/relationships/hyperlink" Target="https://www.gov.uk/government/news/national-living-wage-extended-to-younger-workers" TargetMode="External"/><Relationship Id="rId78" Type="http://schemas.openxmlformats.org/officeDocument/2006/relationships/hyperlink" Target="https://commonslibrary.parliament.uk/research-briefings/sn07096/" TargetMode="External"/><Relationship Id="rId81" Type="http://schemas.openxmlformats.org/officeDocument/2006/relationships/hyperlink" Target="http://dx.doi.org/10.1002/hpja.413" TargetMode="External"/><Relationship Id="rId86" Type="http://schemas.openxmlformats.org/officeDocument/2006/relationships/hyperlink" Target="http://dx.doi.org/10.1071/AH19254"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hyperlink" Target="https://www.nice.org.uk/guidance/indevelopment/gid-ng102282022" TargetMode="External"/><Relationship Id="rId34" Type="http://schemas.openxmlformats.org/officeDocument/2006/relationships/hyperlink" Target="https://dx.doi.org/10.1371/journal.pone.0159365" TargetMode="External"/><Relationship Id="rId50" Type="http://schemas.openxmlformats.org/officeDocument/2006/relationships/hyperlink" Target="http://dx.doi.org/10.2147/CIA.S256416" TargetMode="External"/><Relationship Id="rId55" Type="http://schemas.openxmlformats.org/officeDocument/2006/relationships/hyperlink" Target="https://dx.doi.org/10.1016/j.jamda.2015.01.075" TargetMode="External"/><Relationship Id="rId76" Type="http://schemas.openxmlformats.org/officeDocument/2006/relationships/hyperlink" Target="http://vizhub.healthdata.org/gbd-compare" TargetMode="External"/><Relationship Id="rId7" Type="http://schemas.openxmlformats.org/officeDocument/2006/relationships/endnotes" Target="endnotes.xml"/><Relationship Id="rId71" Type="http://schemas.openxmlformats.org/officeDocument/2006/relationships/hyperlink" Target="https://dx.doi.org/10.1111/jgs.12213" TargetMode="External"/><Relationship Id="rId92" Type="http://schemas.openxmlformats.org/officeDocument/2006/relationships/hyperlink" Target="http://dx.doi.org/10.1136/annrheumdis-2020-216931" TargetMode="External"/><Relationship Id="rId2" Type="http://schemas.openxmlformats.org/officeDocument/2006/relationships/numbering" Target="numbering.xml"/><Relationship Id="rId29" Type="http://schemas.openxmlformats.org/officeDocument/2006/relationships/chart" Target="charts/chart10.xml"/><Relationship Id="rId24" Type="http://schemas.openxmlformats.org/officeDocument/2006/relationships/chart" Target="charts/chart5.xml"/><Relationship Id="rId40" Type="http://schemas.openxmlformats.org/officeDocument/2006/relationships/hyperlink" Target="https://dx.doi.org/10.3310/hta18490" TargetMode="External"/><Relationship Id="rId45" Type="http://schemas.openxmlformats.org/officeDocument/2006/relationships/hyperlink" Target="https://dx.doi.org/10.3310/hta21240" TargetMode="External"/><Relationship Id="rId66" Type="http://schemas.openxmlformats.org/officeDocument/2006/relationships/hyperlink" Target="https://dx.doi.org/10.1136/bmjopen-2015-007910" TargetMode="External"/><Relationship Id="rId87" Type="http://schemas.openxmlformats.org/officeDocument/2006/relationships/hyperlink" Target="https://dx.doi.org/10.1007/s00198-018-4800-6" TargetMode="External"/><Relationship Id="rId61" Type="http://schemas.openxmlformats.org/officeDocument/2006/relationships/hyperlink" Target="https://dx.doi.org/10.1007/s10198-015-0673-1" TargetMode="External"/><Relationship Id="rId82" Type="http://schemas.openxmlformats.org/officeDocument/2006/relationships/hyperlink" Target="http://dx.doi.org/10.1017/S0714980820000112" TargetMode="External"/><Relationship Id="rId19" Type="http://schemas.openxmlformats.org/officeDocument/2006/relationships/header" Target="header1.xml"/><Relationship Id="rId14" Type="http://schemas.openxmlformats.org/officeDocument/2006/relationships/footer" Target="footer2.xml"/><Relationship Id="rId30" Type="http://schemas.openxmlformats.org/officeDocument/2006/relationships/chart" Target="charts/chart11.xml"/><Relationship Id="rId35" Type="http://schemas.openxmlformats.org/officeDocument/2006/relationships/hyperlink" Target="https://dx.doi.org/10.1377/hlthaff.2014.1172" TargetMode="External"/><Relationship Id="rId56" Type="http://schemas.openxmlformats.org/officeDocument/2006/relationships/hyperlink" Target="https://dx.doi.org/10.2147/CIA.S254764" TargetMode="External"/><Relationship Id="rId77" Type="http://schemas.openxmlformats.org/officeDocument/2006/relationships/hyperlink" Target="https://www.ons.gov.uk/peoplepopulationandcommunity/birthsdeathsandmarriages/lifeexpectancies/bulletins/nationallifetablesunitedkingdom/2017to2019"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oono\OneDrive\Documents\CROSS\4.%20Service%20I\1.%20Sheffield%20PhD\2.%20Working%20Paper%202019\2.%20Model%20Development\Model%20implementation%20data(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joono\Documents\CROSS\4.%20Service%20I%20&amp;%20II\1.%20Sheffield%20PhD\2.%20Working%20Paper%202019\2.%20Model%20Development\Results%20calculation(11).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oono\Documents\CROSS\4.%20Service%20I%20&amp;%20II\1.%20Sheffield%20PhD\2.%20Working%20Paper%202019\2.%20Model%20Development\Results%20calculation(8).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oono\OneDrive\Documents\CROSS\4.%20Service%20I\1.%20Sheffield%20PhD\2.%20Working%20Paper%202019\0.%20Overall%20Manuscript\Results%20calculation(12)%20Revisio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Male Fit</c:v>
          </c:tx>
          <c:spPr>
            <a:ln w="28575" cap="rnd">
              <a:solidFill>
                <a:srgbClr val="00B0F0"/>
              </a:solidFill>
              <a:round/>
            </a:ln>
            <a:effectLst/>
          </c:spPr>
          <c:marker>
            <c:symbol val="none"/>
          </c:marker>
          <c:cat>
            <c:strRef>
              <c:f>'Simul8(1)'!$HB$4:$HB$34</c:f>
              <c:strCache>
                <c:ptCount val="31"/>
                <c:pt idx="0">
                  <c:v>60</c:v>
                </c:pt>
                <c:pt idx="1">
                  <c:v>61</c:v>
                </c:pt>
                <c:pt idx="2">
                  <c:v>62</c:v>
                </c:pt>
                <c:pt idx="3">
                  <c:v>63</c:v>
                </c:pt>
                <c:pt idx="4">
                  <c:v>64</c:v>
                </c:pt>
                <c:pt idx="5">
                  <c:v>65</c:v>
                </c:pt>
                <c:pt idx="6">
                  <c:v>66</c:v>
                </c:pt>
                <c:pt idx="7">
                  <c:v>67</c:v>
                </c:pt>
                <c:pt idx="8">
                  <c:v>68</c:v>
                </c:pt>
                <c:pt idx="9">
                  <c:v>69</c:v>
                </c:pt>
                <c:pt idx="10">
                  <c:v>70</c:v>
                </c:pt>
                <c:pt idx="11">
                  <c:v>71</c:v>
                </c:pt>
                <c:pt idx="12">
                  <c:v>72</c:v>
                </c:pt>
                <c:pt idx="13">
                  <c:v>73</c:v>
                </c:pt>
                <c:pt idx="14">
                  <c:v>74</c:v>
                </c:pt>
                <c:pt idx="15">
                  <c:v>75</c:v>
                </c:pt>
                <c:pt idx="16">
                  <c:v>76</c:v>
                </c:pt>
                <c:pt idx="17">
                  <c:v>77</c:v>
                </c:pt>
                <c:pt idx="18">
                  <c:v>78</c:v>
                </c:pt>
                <c:pt idx="19">
                  <c:v>79</c:v>
                </c:pt>
                <c:pt idx="20">
                  <c:v>80</c:v>
                </c:pt>
                <c:pt idx="21">
                  <c:v>81</c:v>
                </c:pt>
                <c:pt idx="22">
                  <c:v>82</c:v>
                </c:pt>
                <c:pt idx="23">
                  <c:v>83</c:v>
                </c:pt>
                <c:pt idx="24">
                  <c:v>84</c:v>
                </c:pt>
                <c:pt idx="25">
                  <c:v>85</c:v>
                </c:pt>
                <c:pt idx="26">
                  <c:v>86</c:v>
                </c:pt>
                <c:pt idx="27">
                  <c:v>87</c:v>
                </c:pt>
                <c:pt idx="28">
                  <c:v>88</c:v>
                </c:pt>
                <c:pt idx="29">
                  <c:v>89</c:v>
                </c:pt>
                <c:pt idx="30">
                  <c:v>90+</c:v>
                </c:pt>
              </c:strCache>
            </c:strRef>
          </c:cat>
          <c:val>
            <c:numRef>
              <c:f>'Simul8(1)'!$HC$4:$HC$34</c:f>
              <c:numCache>
                <c:formatCode>General</c:formatCode>
                <c:ptCount val="31"/>
                <c:pt idx="0">
                  <c:v>5.8174439990498509E-3</c:v>
                </c:pt>
                <c:pt idx="1">
                  <c:v>6.373759062105723E-3</c:v>
                </c:pt>
                <c:pt idx="2">
                  <c:v>6.420409925975196E-3</c:v>
                </c:pt>
                <c:pt idx="3">
                  <c:v>7.1301615474550087E-3</c:v>
                </c:pt>
                <c:pt idx="4">
                  <c:v>7.6563948208567953E-3</c:v>
                </c:pt>
                <c:pt idx="5">
                  <c:v>8.2042863066265261E-3</c:v>
                </c:pt>
                <c:pt idx="6">
                  <c:v>9.5594022654203817E-3</c:v>
                </c:pt>
                <c:pt idx="7">
                  <c:v>9.9930325715295535E-3</c:v>
                </c:pt>
                <c:pt idx="8">
                  <c:v>1.079570029862951E-2</c:v>
                </c:pt>
                <c:pt idx="9">
                  <c:v>1.0652988584426131E-2</c:v>
                </c:pt>
                <c:pt idx="10">
                  <c:v>1.1887888879463022E-2</c:v>
                </c:pt>
                <c:pt idx="11">
                  <c:v>1.3338442123140722E-2</c:v>
                </c:pt>
                <c:pt idx="12">
                  <c:v>1.3837773533498699E-2</c:v>
                </c:pt>
                <c:pt idx="13">
                  <c:v>1.5416033911065566E-2</c:v>
                </c:pt>
                <c:pt idx="14">
                  <c:v>1.7482841490178973E-2</c:v>
                </c:pt>
                <c:pt idx="15">
                  <c:v>1.8994975439754952E-2</c:v>
                </c:pt>
                <c:pt idx="16">
                  <c:v>2.116260652987606E-2</c:v>
                </c:pt>
                <c:pt idx="17">
                  <c:v>2.1222182432031424E-2</c:v>
                </c:pt>
                <c:pt idx="18">
                  <c:v>2.375970167665142E-2</c:v>
                </c:pt>
                <c:pt idx="19">
                  <c:v>2.5614999920327505E-2</c:v>
                </c:pt>
                <c:pt idx="20">
                  <c:v>2.59143044878439E-2</c:v>
                </c:pt>
                <c:pt idx="21">
                  <c:v>3.0827548131520204E-2</c:v>
                </c:pt>
                <c:pt idx="22">
                  <c:v>3.104539491387602E-2</c:v>
                </c:pt>
                <c:pt idx="23">
                  <c:v>3.6015930958060417E-2</c:v>
                </c:pt>
                <c:pt idx="24">
                  <c:v>4.0301880461106838E-2</c:v>
                </c:pt>
                <c:pt idx="25">
                  <c:v>4.1766926973478544E-2</c:v>
                </c:pt>
                <c:pt idx="26">
                  <c:v>4.798286170750897E-2</c:v>
                </c:pt>
                <c:pt idx="27">
                  <c:v>5.0560744670330796E-2</c:v>
                </c:pt>
                <c:pt idx="28">
                  <c:v>5.3942386337647703E-2</c:v>
                </c:pt>
                <c:pt idx="29">
                  <c:v>5.531887937235986E-2</c:v>
                </c:pt>
                <c:pt idx="30">
                  <c:v>7.7598728024466546E-2</c:v>
                </c:pt>
              </c:numCache>
            </c:numRef>
          </c:val>
          <c:smooth val="0"/>
          <c:extLst>
            <c:ext xmlns:c16="http://schemas.microsoft.com/office/drawing/2014/chart" uri="{C3380CC4-5D6E-409C-BE32-E72D297353CC}">
              <c16:uniqueId val="{00000000-D63B-472E-BAEE-0269E6447175}"/>
            </c:ext>
          </c:extLst>
        </c:ser>
        <c:ser>
          <c:idx val="1"/>
          <c:order val="1"/>
          <c:tx>
            <c:v>Male Mild Frailty</c:v>
          </c:tx>
          <c:spPr>
            <a:ln w="28575" cap="rnd">
              <a:solidFill>
                <a:srgbClr val="92D050"/>
              </a:solidFill>
              <a:round/>
            </a:ln>
            <a:effectLst/>
          </c:spPr>
          <c:marker>
            <c:symbol val="none"/>
          </c:marker>
          <c:val>
            <c:numRef>
              <c:f>'Simul8(1)'!$HD$4:$HD$34</c:f>
              <c:numCache>
                <c:formatCode>General</c:formatCode>
                <c:ptCount val="31"/>
                <c:pt idx="0">
                  <c:v>1.1169492478175712E-2</c:v>
                </c:pt>
                <c:pt idx="1">
                  <c:v>1.2237617399242989E-2</c:v>
                </c:pt>
                <c:pt idx="2">
                  <c:v>1.2327187057872377E-2</c:v>
                </c:pt>
                <c:pt idx="3">
                  <c:v>1.3689910171113616E-2</c:v>
                </c:pt>
                <c:pt idx="4">
                  <c:v>1.4700278056045048E-2</c:v>
                </c:pt>
                <c:pt idx="5">
                  <c:v>1.5752229708722927E-2</c:v>
                </c:pt>
                <c:pt idx="6">
                  <c:v>1.8354052349607131E-2</c:v>
                </c:pt>
                <c:pt idx="7">
                  <c:v>1.9186622537336741E-2</c:v>
                </c:pt>
                <c:pt idx="8">
                  <c:v>2.0727744573368661E-2</c:v>
                </c:pt>
                <c:pt idx="9">
                  <c:v>2.0453738082098175E-2</c:v>
                </c:pt>
                <c:pt idx="10">
                  <c:v>2.2824746648569001E-2</c:v>
                </c:pt>
                <c:pt idx="11">
                  <c:v>2.5609808876430187E-2</c:v>
                </c:pt>
                <c:pt idx="12">
                  <c:v>2.6568525184317501E-2</c:v>
                </c:pt>
                <c:pt idx="13">
                  <c:v>2.9598785109245889E-2</c:v>
                </c:pt>
                <c:pt idx="14">
                  <c:v>3.3567055661143624E-2</c:v>
                </c:pt>
                <c:pt idx="15">
                  <c:v>3.6470352844329507E-2</c:v>
                </c:pt>
                <c:pt idx="16">
                  <c:v>4.0632204537362035E-2</c:v>
                </c:pt>
                <c:pt idx="17">
                  <c:v>4.0746590269500331E-2</c:v>
                </c:pt>
                <c:pt idx="18">
                  <c:v>4.5618627219170732E-2</c:v>
                </c:pt>
                <c:pt idx="19">
                  <c:v>4.9180799847028805E-2</c:v>
                </c:pt>
                <c:pt idx="20">
                  <c:v>4.9755464616660285E-2</c:v>
                </c:pt>
                <c:pt idx="21">
                  <c:v>5.9188892412518797E-2</c:v>
                </c:pt>
                <c:pt idx="22">
                  <c:v>5.9607158234641959E-2</c:v>
                </c:pt>
                <c:pt idx="23">
                  <c:v>6.9150587439476011E-2</c:v>
                </c:pt>
                <c:pt idx="24">
                  <c:v>7.7379610485325143E-2</c:v>
                </c:pt>
                <c:pt idx="25">
                  <c:v>8.0192499789078789E-2</c:v>
                </c:pt>
                <c:pt idx="26">
                  <c:v>9.2127094478417215E-2</c:v>
                </c:pt>
                <c:pt idx="27">
                  <c:v>9.7076629767035114E-2</c:v>
                </c:pt>
                <c:pt idx="28">
                  <c:v>0.10356938176828358</c:v>
                </c:pt>
                <c:pt idx="29">
                  <c:v>0.10621224839493093</c:v>
                </c:pt>
                <c:pt idx="30">
                  <c:v>0.14898955780697576</c:v>
                </c:pt>
              </c:numCache>
            </c:numRef>
          </c:val>
          <c:smooth val="0"/>
          <c:extLst>
            <c:ext xmlns:c16="http://schemas.microsoft.com/office/drawing/2014/chart" uri="{C3380CC4-5D6E-409C-BE32-E72D297353CC}">
              <c16:uniqueId val="{00000001-D63B-472E-BAEE-0269E6447175}"/>
            </c:ext>
          </c:extLst>
        </c:ser>
        <c:ser>
          <c:idx val="2"/>
          <c:order val="2"/>
          <c:tx>
            <c:v>Male Moderate Frailty</c:v>
          </c:tx>
          <c:spPr>
            <a:ln w="28575" cap="rnd">
              <a:solidFill>
                <a:srgbClr val="FFC000"/>
              </a:solidFill>
              <a:round/>
            </a:ln>
            <a:effectLst/>
          </c:spPr>
          <c:marker>
            <c:symbol val="none"/>
          </c:marker>
          <c:val>
            <c:numRef>
              <c:f>'Simul8(1)'!$HE$4:$HE$34</c:f>
              <c:numCache>
                <c:formatCode>General</c:formatCode>
                <c:ptCount val="31"/>
                <c:pt idx="0">
                  <c:v>1.8034076397054538E-2</c:v>
                </c:pt>
                <c:pt idx="1">
                  <c:v>1.975865309252774E-2</c:v>
                </c:pt>
                <c:pt idx="2">
                  <c:v>1.9903270770523108E-2</c:v>
                </c:pt>
                <c:pt idx="3">
                  <c:v>2.2103500797110529E-2</c:v>
                </c:pt>
                <c:pt idx="4">
                  <c:v>2.3734823944656067E-2</c:v>
                </c:pt>
                <c:pt idx="5">
                  <c:v>2.5433287550542232E-2</c:v>
                </c:pt>
                <c:pt idx="6">
                  <c:v>2.9634147022803186E-2</c:v>
                </c:pt>
                <c:pt idx="7">
                  <c:v>3.0978400971741617E-2</c:v>
                </c:pt>
                <c:pt idx="8">
                  <c:v>3.3466670925751479E-2</c:v>
                </c:pt>
                <c:pt idx="9">
                  <c:v>3.3024264611721005E-2</c:v>
                </c:pt>
                <c:pt idx="10">
                  <c:v>3.685245552633537E-2</c:v>
                </c:pt>
                <c:pt idx="11">
                  <c:v>4.134917058173624E-2</c:v>
                </c:pt>
                <c:pt idx="12">
                  <c:v>4.289709795384597E-2</c:v>
                </c:pt>
                <c:pt idx="13">
                  <c:v>4.7789705124303257E-2</c:v>
                </c:pt>
                <c:pt idx="14">
                  <c:v>5.4196808619554816E-2</c:v>
                </c:pt>
                <c:pt idx="15">
                  <c:v>5.8884423863240359E-2</c:v>
                </c:pt>
                <c:pt idx="16">
                  <c:v>6.5604080242615798E-2</c:v>
                </c:pt>
                <c:pt idx="17">
                  <c:v>6.5788765539297425E-2</c:v>
                </c:pt>
                <c:pt idx="18">
                  <c:v>7.3655075197619407E-2</c:v>
                </c:pt>
                <c:pt idx="19">
                  <c:v>7.9406499753015281E-2</c:v>
                </c:pt>
                <c:pt idx="20">
                  <c:v>8.03343439123161E-2</c:v>
                </c:pt>
                <c:pt idx="21">
                  <c:v>9.5565399207712648E-2</c:v>
                </c:pt>
                <c:pt idx="22">
                  <c:v>9.6240724233015662E-2</c:v>
                </c:pt>
                <c:pt idx="23">
                  <c:v>0.1116493859699873</c:v>
                </c:pt>
                <c:pt idx="24">
                  <c:v>0.12493582942943121</c:v>
                </c:pt>
                <c:pt idx="25">
                  <c:v>0.12947747361778347</c:v>
                </c:pt>
                <c:pt idx="26">
                  <c:v>0.14874687129327782</c:v>
                </c:pt>
                <c:pt idx="27">
                  <c:v>0.15673830847802545</c:v>
                </c:pt>
                <c:pt idx="28">
                  <c:v>0.1672213976467079</c:v>
                </c:pt>
                <c:pt idx="29">
                  <c:v>0.17148852605431555</c:v>
                </c:pt>
                <c:pt idx="30">
                  <c:v>0.2405560568758463</c:v>
                </c:pt>
              </c:numCache>
            </c:numRef>
          </c:val>
          <c:smooth val="0"/>
          <c:extLst>
            <c:ext xmlns:c16="http://schemas.microsoft.com/office/drawing/2014/chart" uri="{C3380CC4-5D6E-409C-BE32-E72D297353CC}">
              <c16:uniqueId val="{00000002-D63B-472E-BAEE-0269E6447175}"/>
            </c:ext>
          </c:extLst>
        </c:ser>
        <c:ser>
          <c:idx val="3"/>
          <c:order val="3"/>
          <c:tx>
            <c:v>Male Severe Frailty</c:v>
          </c:tx>
          <c:spPr>
            <a:ln w="28575" cap="rnd">
              <a:solidFill>
                <a:srgbClr val="FF0000"/>
              </a:solidFill>
              <a:round/>
            </a:ln>
            <a:effectLst/>
          </c:spPr>
          <c:marker>
            <c:symbol val="none"/>
          </c:marker>
          <c:val>
            <c:numRef>
              <c:f>'Simul8(1)'!$HF$4:$HF$34</c:f>
              <c:numCache>
                <c:formatCode>General</c:formatCode>
                <c:ptCount val="31"/>
                <c:pt idx="0">
                  <c:v>2.6294846875705321E-2</c:v>
                </c:pt>
                <c:pt idx="1">
                  <c:v>2.8809390960717867E-2</c:v>
                </c:pt>
                <c:pt idx="2">
                  <c:v>2.9020252865407884E-2</c:v>
                </c:pt>
                <c:pt idx="3">
                  <c:v>3.2228330194496634E-2</c:v>
                </c:pt>
                <c:pt idx="4">
                  <c:v>3.4606904590272713E-2</c:v>
                </c:pt>
                <c:pt idx="5">
                  <c:v>3.7083374105951895E-2</c:v>
                </c:pt>
                <c:pt idx="6">
                  <c:v>4.3208498239700126E-2</c:v>
                </c:pt>
                <c:pt idx="7">
                  <c:v>4.516850722331358E-2</c:v>
                </c:pt>
                <c:pt idx="8">
                  <c:v>4.8796565349805379E-2</c:v>
                </c:pt>
                <c:pt idx="9">
                  <c:v>4.8151508401606105E-2</c:v>
                </c:pt>
                <c:pt idx="10">
                  <c:v>5.3733257735172853E-2</c:v>
                </c:pt>
                <c:pt idx="11">
                  <c:v>6.028975839659606E-2</c:v>
                </c:pt>
                <c:pt idx="12">
                  <c:v>6.2546736371414113E-2</c:v>
                </c:pt>
                <c:pt idx="13">
                  <c:v>6.9680473278016353E-2</c:v>
                </c:pt>
                <c:pt idx="14">
                  <c:v>7.9022443535608958E-2</c:v>
                </c:pt>
                <c:pt idx="15">
                  <c:v>8.5857288987692376E-2</c:v>
                </c:pt>
                <c:pt idx="16">
                  <c:v>9.5654981515039789E-2</c:v>
                </c:pt>
                <c:pt idx="17">
                  <c:v>9.5924264592782027E-2</c:v>
                </c:pt>
                <c:pt idx="18">
                  <c:v>0.10739385157846441</c:v>
                </c:pt>
                <c:pt idx="19">
                  <c:v>0.11577979963988032</c:v>
                </c:pt>
                <c:pt idx="20">
                  <c:v>0.11713265628505443</c:v>
                </c:pt>
                <c:pt idx="21">
                  <c:v>0.1393405175544713</c:v>
                </c:pt>
                <c:pt idx="22">
                  <c:v>0.14032518501071958</c:v>
                </c:pt>
                <c:pt idx="23">
                  <c:v>0.16279200793043308</c:v>
                </c:pt>
                <c:pt idx="24">
                  <c:v>0.18216449968420292</c:v>
                </c:pt>
                <c:pt idx="25">
                  <c:v>0.188786509920123</c:v>
                </c:pt>
                <c:pt idx="26">
                  <c:v>0.21688253491794054</c:v>
                </c:pt>
                <c:pt idx="27">
                  <c:v>0.22853456590989515</c:v>
                </c:pt>
                <c:pt idx="28">
                  <c:v>0.24381958624616759</c:v>
                </c:pt>
                <c:pt idx="29">
                  <c:v>0.2500413347630665</c:v>
                </c:pt>
                <c:pt idx="30">
                  <c:v>0.35074625067058873</c:v>
                </c:pt>
              </c:numCache>
            </c:numRef>
          </c:val>
          <c:smooth val="0"/>
          <c:extLst>
            <c:ext xmlns:c16="http://schemas.microsoft.com/office/drawing/2014/chart" uri="{C3380CC4-5D6E-409C-BE32-E72D297353CC}">
              <c16:uniqueId val="{00000003-D63B-472E-BAEE-0269E6447175}"/>
            </c:ext>
          </c:extLst>
        </c:ser>
        <c:ser>
          <c:idx val="4"/>
          <c:order val="4"/>
          <c:tx>
            <c:v>Female Fit</c:v>
          </c:tx>
          <c:spPr>
            <a:ln w="28575" cap="rnd">
              <a:solidFill>
                <a:srgbClr val="00B0F0"/>
              </a:solidFill>
              <a:prstDash val="dash"/>
              <a:round/>
            </a:ln>
            <a:effectLst/>
          </c:spPr>
          <c:marker>
            <c:symbol val="none"/>
          </c:marker>
          <c:val>
            <c:numRef>
              <c:f>'Simul8(1)'!$HG$4:$HG$34</c:f>
              <c:numCache>
                <c:formatCode>General</c:formatCode>
                <c:ptCount val="31"/>
                <c:pt idx="0">
                  <c:v>3.8274040706871349E-3</c:v>
                </c:pt>
                <c:pt idx="1">
                  <c:v>4.1271213794778086E-3</c:v>
                </c:pt>
                <c:pt idx="2">
                  <c:v>4.4141263744380899E-3</c:v>
                </c:pt>
                <c:pt idx="3">
                  <c:v>4.6905860770493392E-3</c:v>
                </c:pt>
                <c:pt idx="4">
                  <c:v>4.9111928791513429E-3</c:v>
                </c:pt>
                <c:pt idx="5">
                  <c:v>5.3024179799316682E-3</c:v>
                </c:pt>
                <c:pt idx="6">
                  <c:v>5.7250254632792048E-3</c:v>
                </c:pt>
                <c:pt idx="7">
                  <c:v>6.1764460010136895E-3</c:v>
                </c:pt>
                <c:pt idx="8">
                  <c:v>6.6181858316961871E-3</c:v>
                </c:pt>
                <c:pt idx="9">
                  <c:v>7.1577147445938093E-3</c:v>
                </c:pt>
                <c:pt idx="10">
                  <c:v>7.3082287430560854E-3</c:v>
                </c:pt>
                <c:pt idx="11">
                  <c:v>7.8838026078870919E-3</c:v>
                </c:pt>
                <c:pt idx="12">
                  <c:v>9.0425450381412739E-3</c:v>
                </c:pt>
                <c:pt idx="13">
                  <c:v>1.0053726951410115E-2</c:v>
                </c:pt>
                <c:pt idx="14">
                  <c:v>9.9498565776877726E-3</c:v>
                </c:pt>
                <c:pt idx="15">
                  <c:v>1.1452298093452273E-2</c:v>
                </c:pt>
                <c:pt idx="16">
                  <c:v>1.1999779834037039E-2</c:v>
                </c:pt>
                <c:pt idx="17">
                  <c:v>1.3320512952279397E-2</c:v>
                </c:pt>
                <c:pt idx="18">
                  <c:v>1.4149055632353271E-2</c:v>
                </c:pt>
                <c:pt idx="19">
                  <c:v>1.4795617580545622E-2</c:v>
                </c:pt>
                <c:pt idx="20">
                  <c:v>1.6202006746329371E-2</c:v>
                </c:pt>
                <c:pt idx="21">
                  <c:v>1.8310446167949843E-2</c:v>
                </c:pt>
                <c:pt idx="22">
                  <c:v>1.8678221606328784E-2</c:v>
                </c:pt>
                <c:pt idx="23">
                  <c:v>2.2762019831373222E-2</c:v>
                </c:pt>
                <c:pt idx="24">
                  <c:v>2.3127757098935112E-2</c:v>
                </c:pt>
                <c:pt idx="25">
                  <c:v>2.7048464479485477E-2</c:v>
                </c:pt>
                <c:pt idx="26">
                  <c:v>2.9420005340825249E-2</c:v>
                </c:pt>
                <c:pt idx="27">
                  <c:v>3.3486254798050973E-2</c:v>
                </c:pt>
                <c:pt idx="28">
                  <c:v>3.7932154894781099E-2</c:v>
                </c:pt>
                <c:pt idx="29">
                  <c:v>3.9450132877816832E-2</c:v>
                </c:pt>
                <c:pt idx="30">
                  <c:v>5.2440931219108804E-2</c:v>
                </c:pt>
              </c:numCache>
            </c:numRef>
          </c:val>
          <c:smooth val="0"/>
          <c:extLst>
            <c:ext xmlns:c16="http://schemas.microsoft.com/office/drawing/2014/chart" uri="{C3380CC4-5D6E-409C-BE32-E72D297353CC}">
              <c16:uniqueId val="{00000004-D63B-472E-BAEE-0269E6447175}"/>
            </c:ext>
          </c:extLst>
        </c:ser>
        <c:ser>
          <c:idx val="5"/>
          <c:order val="5"/>
          <c:tx>
            <c:v>Female Mild Frailty</c:v>
          </c:tx>
          <c:spPr>
            <a:ln w="28575" cap="rnd">
              <a:solidFill>
                <a:srgbClr val="92D050"/>
              </a:solidFill>
              <a:prstDash val="dash"/>
              <a:round/>
            </a:ln>
            <a:effectLst/>
          </c:spPr>
          <c:marker>
            <c:symbol val="none"/>
          </c:marker>
          <c:val>
            <c:numRef>
              <c:f>'Simul8(1)'!$HH$4:$HH$34</c:f>
              <c:numCache>
                <c:formatCode>General</c:formatCode>
                <c:ptCount val="31"/>
                <c:pt idx="0">
                  <c:v>7.3486158157192987E-3</c:v>
                </c:pt>
                <c:pt idx="1">
                  <c:v>7.9240730485973937E-3</c:v>
                </c:pt>
                <c:pt idx="2">
                  <c:v>8.4751226389211311E-3</c:v>
                </c:pt>
                <c:pt idx="3">
                  <c:v>9.0059252679347314E-3</c:v>
                </c:pt>
                <c:pt idx="4">
                  <c:v>9.4294903279705782E-3</c:v>
                </c:pt>
                <c:pt idx="5">
                  <c:v>1.0180642521468804E-2</c:v>
                </c:pt>
                <c:pt idx="6">
                  <c:v>1.0992048889496071E-2</c:v>
                </c:pt>
                <c:pt idx="7">
                  <c:v>1.1858776321946284E-2</c:v>
                </c:pt>
                <c:pt idx="8">
                  <c:v>1.2706916796856678E-2</c:v>
                </c:pt>
                <c:pt idx="9">
                  <c:v>1.3742812309620113E-2</c:v>
                </c:pt>
                <c:pt idx="10">
                  <c:v>1.4031799186667684E-2</c:v>
                </c:pt>
                <c:pt idx="11">
                  <c:v>1.5136901007143218E-2</c:v>
                </c:pt>
                <c:pt idx="12">
                  <c:v>1.7361686473231247E-2</c:v>
                </c:pt>
                <c:pt idx="13">
                  <c:v>1.9303155746707421E-2</c:v>
                </c:pt>
                <c:pt idx="14">
                  <c:v>1.9103724629160525E-2</c:v>
                </c:pt>
                <c:pt idx="15">
                  <c:v>2.1988412339428363E-2</c:v>
                </c:pt>
                <c:pt idx="16">
                  <c:v>2.3039577281351115E-2</c:v>
                </c:pt>
                <c:pt idx="17">
                  <c:v>2.5575384868376443E-2</c:v>
                </c:pt>
                <c:pt idx="18">
                  <c:v>2.7166186814118282E-2</c:v>
                </c:pt>
                <c:pt idx="19">
                  <c:v>2.8407585754647597E-2</c:v>
                </c:pt>
                <c:pt idx="20">
                  <c:v>3.1107852952952392E-2</c:v>
                </c:pt>
                <c:pt idx="21">
                  <c:v>3.5156056642463698E-2</c:v>
                </c:pt>
                <c:pt idx="22">
                  <c:v>3.5862185484151266E-2</c:v>
                </c:pt>
                <c:pt idx="23">
                  <c:v>4.3703078076236579E-2</c:v>
                </c:pt>
                <c:pt idx="24">
                  <c:v>4.4405293629955413E-2</c:v>
                </c:pt>
                <c:pt idx="25">
                  <c:v>5.1933051800612112E-2</c:v>
                </c:pt>
                <c:pt idx="26">
                  <c:v>5.648641025438448E-2</c:v>
                </c:pt>
                <c:pt idx="27">
                  <c:v>6.4293609212257866E-2</c:v>
                </c:pt>
                <c:pt idx="28">
                  <c:v>7.282973739797971E-2</c:v>
                </c:pt>
                <c:pt idx="29">
                  <c:v>7.5744255125408319E-2</c:v>
                </c:pt>
                <c:pt idx="30">
                  <c:v>0.10068658794068891</c:v>
                </c:pt>
              </c:numCache>
            </c:numRef>
          </c:val>
          <c:smooth val="0"/>
          <c:extLst>
            <c:ext xmlns:c16="http://schemas.microsoft.com/office/drawing/2014/chart" uri="{C3380CC4-5D6E-409C-BE32-E72D297353CC}">
              <c16:uniqueId val="{00000005-D63B-472E-BAEE-0269E6447175}"/>
            </c:ext>
          </c:extLst>
        </c:ser>
        <c:ser>
          <c:idx val="6"/>
          <c:order val="6"/>
          <c:tx>
            <c:v>Female Moderate Frailty</c:v>
          </c:tx>
          <c:spPr>
            <a:ln w="28575" cap="rnd">
              <a:solidFill>
                <a:srgbClr val="FFC000"/>
              </a:solidFill>
              <a:prstDash val="dash"/>
              <a:round/>
            </a:ln>
            <a:effectLst/>
          </c:spPr>
          <c:marker>
            <c:symbol val="none"/>
          </c:marker>
          <c:val>
            <c:numRef>
              <c:f>'Simul8(1)'!$HI$4:$HI$34</c:f>
              <c:numCache>
                <c:formatCode>General</c:formatCode>
                <c:ptCount val="31"/>
                <c:pt idx="0">
                  <c:v>1.1864952619130118E-2</c:v>
                </c:pt>
                <c:pt idx="1">
                  <c:v>1.2794076276381208E-2</c:v>
                </c:pt>
                <c:pt idx="2">
                  <c:v>1.3683791760758079E-2</c:v>
                </c:pt>
                <c:pt idx="3">
                  <c:v>1.4540816838852952E-2</c:v>
                </c:pt>
                <c:pt idx="4">
                  <c:v>1.5224697925369164E-2</c:v>
                </c:pt>
                <c:pt idx="5">
                  <c:v>1.6437495737788174E-2</c:v>
                </c:pt>
                <c:pt idx="6">
                  <c:v>1.7747578936165534E-2</c:v>
                </c:pt>
                <c:pt idx="7">
                  <c:v>1.9146982603142439E-2</c:v>
                </c:pt>
                <c:pt idx="8">
                  <c:v>2.0516376078258177E-2</c:v>
                </c:pt>
                <c:pt idx="9">
                  <c:v>2.218891570824081E-2</c:v>
                </c:pt>
                <c:pt idx="10">
                  <c:v>2.2655509103473866E-2</c:v>
                </c:pt>
                <c:pt idx="11">
                  <c:v>2.4439788084449986E-2</c:v>
                </c:pt>
                <c:pt idx="12">
                  <c:v>2.8031889618237951E-2</c:v>
                </c:pt>
                <c:pt idx="13">
                  <c:v>3.1166553549371361E-2</c:v>
                </c:pt>
                <c:pt idx="14">
                  <c:v>3.0844555390832099E-2</c:v>
                </c:pt>
                <c:pt idx="15">
                  <c:v>3.5502124089702047E-2</c:v>
                </c:pt>
                <c:pt idx="16">
                  <c:v>3.7199317485514825E-2</c:v>
                </c:pt>
                <c:pt idx="17">
                  <c:v>4.1293590152066136E-2</c:v>
                </c:pt>
                <c:pt idx="18">
                  <c:v>4.3862072460295144E-2</c:v>
                </c:pt>
                <c:pt idx="19">
                  <c:v>4.5866414499691435E-2</c:v>
                </c:pt>
                <c:pt idx="20">
                  <c:v>5.0226220913621049E-2</c:v>
                </c:pt>
                <c:pt idx="21">
                  <c:v>5.6762383120644522E-2</c:v>
                </c:pt>
                <c:pt idx="22">
                  <c:v>5.7902486979619229E-2</c:v>
                </c:pt>
                <c:pt idx="23">
                  <c:v>7.0562261477256985E-2</c:v>
                </c:pt>
                <c:pt idx="24">
                  <c:v>7.1696047006698849E-2</c:v>
                </c:pt>
                <c:pt idx="25">
                  <c:v>8.3850239886404984E-2</c:v>
                </c:pt>
                <c:pt idx="26">
                  <c:v>9.1202016556558269E-2</c:v>
                </c:pt>
                <c:pt idx="27">
                  <c:v>0.10380738987395802</c:v>
                </c:pt>
                <c:pt idx="28">
                  <c:v>0.1175896801738214</c:v>
                </c:pt>
                <c:pt idx="29">
                  <c:v>0.12229541192123219</c:v>
                </c:pt>
                <c:pt idx="30">
                  <c:v>0.16256688677923728</c:v>
                </c:pt>
              </c:numCache>
            </c:numRef>
          </c:val>
          <c:smooth val="0"/>
          <c:extLst>
            <c:ext xmlns:c16="http://schemas.microsoft.com/office/drawing/2014/chart" uri="{C3380CC4-5D6E-409C-BE32-E72D297353CC}">
              <c16:uniqueId val="{00000006-D63B-472E-BAEE-0269E6447175}"/>
            </c:ext>
          </c:extLst>
        </c:ser>
        <c:ser>
          <c:idx val="7"/>
          <c:order val="7"/>
          <c:tx>
            <c:v>Female Severe Frailty</c:v>
          </c:tx>
          <c:spPr>
            <a:ln w="28575" cap="rnd">
              <a:solidFill>
                <a:srgbClr val="FF0000"/>
              </a:solidFill>
              <a:prstDash val="dash"/>
              <a:round/>
            </a:ln>
            <a:effectLst/>
          </c:spPr>
          <c:marker>
            <c:symbol val="none"/>
          </c:marker>
          <c:val>
            <c:numRef>
              <c:f>'Simul8(1)'!$HJ$4:$HJ$34</c:f>
              <c:numCache>
                <c:formatCode>General</c:formatCode>
                <c:ptCount val="31"/>
                <c:pt idx="0">
                  <c:v>1.7299866399505849E-2</c:v>
                </c:pt>
                <c:pt idx="1">
                  <c:v>1.8654588635239694E-2</c:v>
                </c:pt>
                <c:pt idx="2">
                  <c:v>1.9951851212460164E-2</c:v>
                </c:pt>
                <c:pt idx="3">
                  <c:v>2.1201449068263011E-2</c:v>
                </c:pt>
                <c:pt idx="4">
                  <c:v>2.219859181376407E-2</c:v>
                </c:pt>
                <c:pt idx="5">
                  <c:v>2.3966929269291139E-2</c:v>
                </c:pt>
                <c:pt idx="6">
                  <c:v>2.5877115094022001E-2</c:v>
                </c:pt>
                <c:pt idx="7">
                  <c:v>2.7917535924581873E-2</c:v>
                </c:pt>
                <c:pt idx="8">
                  <c:v>2.9914199959266762E-2</c:v>
                </c:pt>
                <c:pt idx="9">
                  <c:v>3.2352870645564011E-2</c:v>
                </c:pt>
                <c:pt idx="10">
                  <c:v>3.30331939186135E-2</c:v>
                </c:pt>
                <c:pt idx="11">
                  <c:v>3.5634787787649655E-2</c:v>
                </c:pt>
                <c:pt idx="12">
                  <c:v>4.0872303572398558E-2</c:v>
                </c:pt>
                <c:pt idx="13">
                  <c:v>4.5442845820373709E-2</c:v>
                </c:pt>
                <c:pt idx="14">
                  <c:v>4.4973351731148727E-2</c:v>
                </c:pt>
                <c:pt idx="15">
                  <c:v>5.176438738240427E-2</c:v>
                </c:pt>
                <c:pt idx="16">
                  <c:v>5.4239004849847415E-2</c:v>
                </c:pt>
                <c:pt idx="17">
                  <c:v>6.0208718544302875E-2</c:v>
                </c:pt>
                <c:pt idx="18">
                  <c:v>6.3953731458236782E-2</c:v>
                </c:pt>
                <c:pt idx="19">
                  <c:v>6.6876191464066204E-2</c:v>
                </c:pt>
                <c:pt idx="20">
                  <c:v>7.3233070493408756E-2</c:v>
                </c:pt>
                <c:pt idx="21">
                  <c:v>8.2763216679133278E-2</c:v>
                </c:pt>
                <c:pt idx="22">
                  <c:v>8.4425561660606094E-2</c:v>
                </c:pt>
                <c:pt idx="23">
                  <c:v>0.10288432963780694</c:v>
                </c:pt>
                <c:pt idx="24">
                  <c:v>0.1045374620871867</c:v>
                </c:pt>
                <c:pt idx="25">
                  <c:v>0.12225905944727435</c:v>
                </c:pt>
                <c:pt idx="26">
                  <c:v>0.13297842414053013</c:v>
                </c:pt>
                <c:pt idx="27">
                  <c:v>0.15135787168719039</c:v>
                </c:pt>
                <c:pt idx="28">
                  <c:v>0.17145334012441055</c:v>
                </c:pt>
                <c:pt idx="29">
                  <c:v>0.17831460060773208</c:v>
                </c:pt>
                <c:pt idx="30">
                  <c:v>0.23703300911037176</c:v>
                </c:pt>
              </c:numCache>
            </c:numRef>
          </c:val>
          <c:smooth val="0"/>
          <c:extLst>
            <c:ext xmlns:c16="http://schemas.microsoft.com/office/drawing/2014/chart" uri="{C3380CC4-5D6E-409C-BE32-E72D297353CC}">
              <c16:uniqueId val="{00000007-D63B-472E-BAEE-0269E6447175}"/>
            </c:ext>
          </c:extLst>
        </c:ser>
        <c:dLbls>
          <c:showLegendKey val="0"/>
          <c:showVal val="0"/>
          <c:showCatName val="0"/>
          <c:showSerName val="0"/>
          <c:showPercent val="0"/>
          <c:showBubbleSize val="0"/>
        </c:dLbls>
        <c:smooth val="0"/>
        <c:axId val="348717359"/>
        <c:axId val="348713615"/>
      </c:lineChart>
      <c:catAx>
        <c:axId val="34871735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8713615"/>
        <c:crosses val="autoZero"/>
        <c:auto val="1"/>
        <c:lblAlgn val="ctr"/>
        <c:lblOffset val="100"/>
        <c:noMultiLvlLbl val="0"/>
      </c:catAx>
      <c:valAx>
        <c:axId val="3487136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Annual other-cause</a:t>
                </a:r>
                <a:r>
                  <a:rPr lang="en-GB" baseline="0">
                    <a:latin typeface="Times New Roman" panose="02020603050405020304" pitchFamily="18" charset="0"/>
                    <a:cs typeface="Times New Roman" panose="02020603050405020304" pitchFamily="18" charset="0"/>
                  </a:rPr>
                  <a:t> mortality rate (0-1)</a:t>
                </a:r>
                <a:endParaRPr lang="en-GB">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871735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1st SES quartile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manualLayout>
                  <c:x val="-1.5625000000000001E-3"/>
                  <c:y val="6.79569691477135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B2-46CE-B189-84D0787EBC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Reactive pathway only</c:v>
                </c:pt>
                <c:pt idx="1">
                  <c:v>Proactive pathway only</c:v>
                </c:pt>
                <c:pt idx="2">
                  <c:v>Self-referred pathway only</c:v>
                </c:pt>
              </c:strCache>
            </c:strRef>
          </c:cat>
          <c:val>
            <c:numRef>
              <c:f>Sheet1!$B$2:$B$4</c:f>
              <c:numCache>
                <c:formatCode>0.0000</c:formatCode>
                <c:ptCount val="3"/>
                <c:pt idx="0">
                  <c:v>4.2499064574560343E-3</c:v>
                </c:pt>
                <c:pt idx="1">
                  <c:v>7.7848661125633333E-3</c:v>
                </c:pt>
                <c:pt idx="2">
                  <c:v>2.2328555525358222E-2</c:v>
                </c:pt>
              </c:numCache>
            </c:numRef>
          </c:val>
          <c:extLst>
            <c:ext xmlns:c16="http://schemas.microsoft.com/office/drawing/2014/chart" uri="{C3380CC4-5D6E-409C-BE32-E72D297353CC}">
              <c16:uniqueId val="{00000001-70B2-46CE-B189-84D0787EBC95}"/>
            </c:ext>
          </c:extLst>
        </c:ser>
        <c:ser>
          <c:idx val="1"/>
          <c:order val="1"/>
          <c:tx>
            <c:strRef>
              <c:f>Sheet1!$C$1</c:f>
              <c:strCache>
                <c:ptCount val="1"/>
                <c:pt idx="0">
                  <c:v>2nd SES quartile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layout>
                <c:manualLayout>
                  <c:x val="1.562499999999971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B2-46CE-B189-84D0787EBC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Reactive pathway only</c:v>
                </c:pt>
                <c:pt idx="1">
                  <c:v>Proactive pathway only</c:v>
                </c:pt>
                <c:pt idx="2">
                  <c:v>Self-referred pathway only</c:v>
                </c:pt>
              </c:strCache>
            </c:strRef>
          </c:cat>
          <c:val>
            <c:numRef>
              <c:f>Sheet1!$C$2:$C$4</c:f>
              <c:numCache>
                <c:formatCode>0.0000</c:formatCode>
                <c:ptCount val="3"/>
                <c:pt idx="0">
                  <c:v>9.8036349799725461E-3</c:v>
                </c:pt>
                <c:pt idx="1">
                  <c:v>1.0002037448567473E-2</c:v>
                </c:pt>
                <c:pt idx="2">
                  <c:v>2.3467049634679726E-2</c:v>
                </c:pt>
              </c:numCache>
            </c:numRef>
          </c:val>
          <c:extLst>
            <c:ext xmlns:c16="http://schemas.microsoft.com/office/drawing/2014/chart" uri="{C3380CC4-5D6E-409C-BE32-E72D297353CC}">
              <c16:uniqueId val="{00000003-70B2-46CE-B189-84D0787EBC95}"/>
            </c:ext>
          </c:extLst>
        </c:ser>
        <c:ser>
          <c:idx val="2"/>
          <c:order val="2"/>
          <c:tx>
            <c:strRef>
              <c:f>Sheet1!$D$1</c:f>
              <c:strCache>
                <c:ptCount val="1"/>
                <c:pt idx="0">
                  <c:v>3rd SES quartile</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layout>
                <c:manualLayout>
                  <c:x val="1.3066364710172362E-3"/>
                  <c:y val="-2.26532878378959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B2-46CE-B189-84D0787EBC95}"/>
                </c:ext>
              </c:extLst>
            </c:dLbl>
            <c:dLbl>
              <c:idx val="2"/>
              <c:layout>
                <c:manualLayout>
                  <c:x val="-1.1458200967217994E-16"/>
                  <c:y val="2.26523230492372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B2-46CE-B189-84D0787EBC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Reactive pathway only</c:v>
                </c:pt>
                <c:pt idx="1">
                  <c:v>Proactive pathway only</c:v>
                </c:pt>
                <c:pt idx="2">
                  <c:v>Self-referred pathway only</c:v>
                </c:pt>
              </c:strCache>
            </c:strRef>
          </c:cat>
          <c:val>
            <c:numRef>
              <c:f>Sheet1!$D$2:$D$4</c:f>
              <c:numCache>
                <c:formatCode>0.0000</c:formatCode>
                <c:ptCount val="3"/>
                <c:pt idx="0">
                  <c:v>8.2037290615652025E-3</c:v>
                </c:pt>
                <c:pt idx="1">
                  <c:v>8.9091857975152327E-3</c:v>
                </c:pt>
                <c:pt idx="2">
                  <c:v>2.1415833242712776E-2</c:v>
                </c:pt>
              </c:numCache>
            </c:numRef>
          </c:val>
          <c:extLst>
            <c:ext xmlns:c16="http://schemas.microsoft.com/office/drawing/2014/chart" uri="{C3380CC4-5D6E-409C-BE32-E72D297353CC}">
              <c16:uniqueId val="{00000006-70B2-46CE-B189-84D0787EBC95}"/>
            </c:ext>
          </c:extLst>
        </c:ser>
        <c:ser>
          <c:idx val="3"/>
          <c:order val="3"/>
          <c:tx>
            <c:strRef>
              <c:f>Sheet1!$E$1</c:f>
              <c:strCache>
                <c:ptCount val="1"/>
                <c:pt idx="0">
                  <c:v>4th SES quartile</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dLbl>
              <c:idx val="0"/>
              <c:layout>
                <c:manualLayout>
                  <c:x val="5.0850473958869479E-3"/>
                  <c:y val="-2.26532878378959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0B2-46CE-B189-84D0787EBC95}"/>
                </c:ext>
              </c:extLst>
            </c:dLbl>
            <c:dLbl>
              <c:idx val="2"/>
              <c:layout>
                <c:manualLayout>
                  <c:x val="1.329492576999778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0B2-46CE-B189-84D0787EBC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Reactive pathway only</c:v>
                </c:pt>
                <c:pt idx="1">
                  <c:v>Proactive pathway only</c:v>
                </c:pt>
                <c:pt idx="2">
                  <c:v>Self-referred pathway only</c:v>
                </c:pt>
              </c:strCache>
            </c:strRef>
          </c:cat>
          <c:val>
            <c:numRef>
              <c:f>Sheet1!$E$2:$E$4</c:f>
              <c:numCache>
                <c:formatCode>0.0000</c:formatCode>
                <c:ptCount val="3"/>
                <c:pt idx="0">
                  <c:v>6.4885419389915872E-3</c:v>
                </c:pt>
                <c:pt idx="1">
                  <c:v>1.1534469738808274E-2</c:v>
                </c:pt>
                <c:pt idx="2">
                  <c:v>2.1266235958322822E-2</c:v>
                </c:pt>
              </c:numCache>
            </c:numRef>
          </c:val>
          <c:extLst>
            <c:ext xmlns:c16="http://schemas.microsoft.com/office/drawing/2014/chart" uri="{C3380CC4-5D6E-409C-BE32-E72D297353CC}">
              <c16:uniqueId val="{00000008-70B2-46CE-B189-84D0787EBC95}"/>
            </c:ext>
          </c:extLst>
        </c:ser>
        <c:dLbls>
          <c:showLegendKey val="0"/>
          <c:showVal val="0"/>
          <c:showCatName val="0"/>
          <c:showSerName val="0"/>
          <c:showPercent val="0"/>
          <c:showBubbleSize val="0"/>
        </c:dLbls>
        <c:gapWidth val="164"/>
        <c:overlap val="-22"/>
        <c:axId val="1327097695"/>
        <c:axId val="1351591103"/>
      </c:barChart>
      <c:catAx>
        <c:axId val="132709769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1591103"/>
        <c:crosses val="autoZero"/>
        <c:auto val="1"/>
        <c:lblAlgn val="ctr"/>
        <c:lblOffset val="100"/>
        <c:noMultiLvlLbl val="0"/>
      </c:catAx>
      <c:valAx>
        <c:axId val="1351591103"/>
        <c:scaling>
          <c:orientation val="minMax"/>
          <c:max val="2.8000000000000004E-2"/>
          <c:min val="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sz="1000" b="0" dirty="0">
                    <a:latin typeface="Times New Roman" panose="02020603050405020304" pitchFamily="18" charset="0"/>
                    <a:cs typeface="Times New Roman" panose="02020603050405020304" pitchFamily="18" charset="0"/>
                  </a:rPr>
                  <a:t>Societal per-capita INHBs at £30,000 per QALY gained threshold (QALY)</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270976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diamond"/>
            <c:size val="6"/>
            <c:spPr>
              <a:solidFill>
                <a:schemeClr val="lt1"/>
              </a:solidFill>
              <a:ln w="15875">
                <a:solidFill>
                  <a:schemeClr val="accent1"/>
                </a:solidFill>
                <a:round/>
              </a:ln>
              <a:effectLst/>
            </c:spPr>
          </c:marker>
          <c:dPt>
            <c:idx val="0"/>
            <c:marker>
              <c:symbol val="diamond"/>
              <c:size val="6"/>
              <c:spPr>
                <a:solidFill>
                  <a:schemeClr val="accent2"/>
                </a:solidFill>
                <a:ln w="15875">
                  <a:solidFill>
                    <a:schemeClr val="accent1"/>
                  </a:solidFill>
                  <a:round/>
                </a:ln>
                <a:effectLst/>
              </c:spPr>
            </c:marker>
            <c:bubble3D val="0"/>
            <c:extLst>
              <c:ext xmlns:c16="http://schemas.microsoft.com/office/drawing/2014/chart" uri="{C3380CC4-5D6E-409C-BE32-E72D297353CC}">
                <c16:uniqueId val="{00000000-BD7F-4308-AD65-31C5527491FB}"/>
              </c:ext>
            </c:extLst>
          </c:dPt>
          <c:dPt>
            <c:idx val="1"/>
            <c:marker>
              <c:symbol val="diamond"/>
              <c:size val="6"/>
              <c:spPr>
                <a:solidFill>
                  <a:schemeClr val="accent2"/>
                </a:solidFill>
                <a:ln w="15875">
                  <a:solidFill>
                    <a:schemeClr val="accent1"/>
                  </a:solidFill>
                  <a:round/>
                </a:ln>
                <a:effectLst/>
              </c:spPr>
            </c:marker>
            <c:bubble3D val="0"/>
            <c:extLst>
              <c:ext xmlns:c16="http://schemas.microsoft.com/office/drawing/2014/chart" uri="{C3380CC4-5D6E-409C-BE32-E72D297353CC}">
                <c16:uniqueId val="{00000001-BD7F-4308-AD65-31C5527491FB}"/>
              </c:ext>
            </c:extLst>
          </c:dPt>
          <c:dPt>
            <c:idx val="2"/>
            <c:marker>
              <c:symbol val="diamond"/>
              <c:size val="6"/>
              <c:spPr>
                <a:solidFill>
                  <a:schemeClr val="accent2"/>
                </a:solidFill>
                <a:ln w="15875">
                  <a:solidFill>
                    <a:schemeClr val="accent1"/>
                  </a:solidFill>
                  <a:round/>
                </a:ln>
                <a:effectLst/>
              </c:spPr>
            </c:marker>
            <c:bubble3D val="0"/>
            <c:extLst>
              <c:ext xmlns:c16="http://schemas.microsoft.com/office/drawing/2014/chart" uri="{C3380CC4-5D6E-409C-BE32-E72D297353CC}">
                <c16:uniqueId val="{00000002-BD7F-4308-AD65-31C5527491FB}"/>
              </c:ext>
            </c:extLst>
          </c:dPt>
          <c:dPt>
            <c:idx val="3"/>
            <c:marker>
              <c:symbol val="diamond"/>
              <c:size val="6"/>
              <c:spPr>
                <a:noFill/>
                <a:ln w="15875">
                  <a:solidFill>
                    <a:schemeClr val="accent1"/>
                  </a:solidFill>
                  <a:round/>
                </a:ln>
                <a:effectLst/>
              </c:spPr>
            </c:marker>
            <c:bubble3D val="0"/>
            <c:extLst>
              <c:ext xmlns:c16="http://schemas.microsoft.com/office/drawing/2014/chart" uri="{C3380CC4-5D6E-409C-BE32-E72D297353CC}">
                <c16:uniqueId val="{00000003-BD7F-4308-AD65-31C5527491FB}"/>
              </c:ext>
            </c:extLst>
          </c:dPt>
          <c:dPt>
            <c:idx val="5"/>
            <c:marker>
              <c:symbol val="diamond"/>
              <c:size val="6"/>
              <c:spPr>
                <a:solidFill>
                  <a:schemeClr val="accent2"/>
                </a:solidFill>
                <a:ln w="15875">
                  <a:solidFill>
                    <a:schemeClr val="accent1"/>
                  </a:solidFill>
                  <a:round/>
                </a:ln>
                <a:effectLst/>
              </c:spPr>
            </c:marker>
            <c:bubble3D val="0"/>
            <c:extLst>
              <c:ext xmlns:c16="http://schemas.microsoft.com/office/drawing/2014/chart" uri="{C3380CC4-5D6E-409C-BE32-E72D297353CC}">
                <c16:uniqueId val="{00000005-BD7F-4308-AD65-31C5527491FB}"/>
              </c:ext>
            </c:extLst>
          </c:dPt>
          <c:dPt>
            <c:idx val="18"/>
            <c:marker>
              <c:symbol val="diamond"/>
              <c:size val="6"/>
              <c:spPr>
                <a:solidFill>
                  <a:schemeClr val="accent2"/>
                </a:solidFill>
                <a:ln w="15875">
                  <a:solidFill>
                    <a:schemeClr val="accent1"/>
                  </a:solidFill>
                  <a:round/>
                </a:ln>
                <a:effectLst/>
              </c:spPr>
            </c:marker>
            <c:bubble3D val="0"/>
            <c:extLst>
              <c:ext xmlns:c16="http://schemas.microsoft.com/office/drawing/2014/chart" uri="{C3380CC4-5D6E-409C-BE32-E72D297353CC}">
                <c16:uniqueId val="{00000012-BD7F-4308-AD65-31C5527491FB}"/>
              </c:ext>
            </c:extLst>
          </c:dPt>
          <c:dPt>
            <c:idx val="21"/>
            <c:marker>
              <c:symbol val="diamond"/>
              <c:size val="6"/>
              <c:spPr>
                <a:solidFill>
                  <a:schemeClr val="accent2"/>
                </a:solidFill>
                <a:ln w="15875">
                  <a:solidFill>
                    <a:schemeClr val="accent1"/>
                  </a:solidFill>
                  <a:round/>
                </a:ln>
                <a:effectLst/>
              </c:spPr>
            </c:marker>
            <c:bubble3D val="0"/>
            <c:extLst>
              <c:ext xmlns:c16="http://schemas.microsoft.com/office/drawing/2014/chart" uri="{C3380CC4-5D6E-409C-BE32-E72D297353CC}">
                <c16:uniqueId val="{00000015-BD7F-4308-AD65-31C5527491FB}"/>
              </c:ext>
            </c:extLst>
          </c:dPt>
          <c:dLbls>
            <c:dLbl>
              <c:idx val="0"/>
              <c:layout>
                <c:manualLayout>
                  <c:x val="-5.9523809523809521E-3"/>
                  <c:y val="1.939393692592865E-2"/>
                </c:manualLayout>
              </c:layout>
              <c:tx>
                <c:rich>
                  <a:bodyPr/>
                  <a:lstStyle/>
                  <a:p>
                    <a:fld id="{AB909504-D26E-4C45-B86E-DE91E7E47CC1}"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BD7F-4308-AD65-31C5527491FB}"/>
                </c:ext>
              </c:extLst>
            </c:dLbl>
            <c:dLbl>
              <c:idx val="1"/>
              <c:layout>
                <c:manualLayout>
                  <c:x val="-6.8648227081519533E-2"/>
                  <c:y val="-5.9775263789045054E-2"/>
                </c:manualLayout>
              </c:layout>
              <c:tx>
                <c:rich>
                  <a:bodyPr/>
                  <a:lstStyle/>
                  <a:p>
                    <a:fld id="{EBE01C42-3A68-4E69-84FA-DD6425B0C8AB}"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BD7F-4308-AD65-31C5527491FB}"/>
                </c:ext>
              </c:extLst>
            </c:dLbl>
            <c:dLbl>
              <c:idx val="2"/>
              <c:layout>
                <c:manualLayout>
                  <c:x val="-5.9523809523809885E-3"/>
                  <c:y val="-5.1717165135809734E-2"/>
                </c:manualLayout>
              </c:layout>
              <c:tx>
                <c:rich>
                  <a:bodyPr/>
                  <a:lstStyle/>
                  <a:p>
                    <a:fld id="{00ECFCA8-9780-452C-A29C-92457FC699E2}"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BD7F-4308-AD65-31C5527491FB}"/>
                </c:ext>
              </c:extLst>
            </c:dLbl>
            <c:dLbl>
              <c:idx val="3"/>
              <c:layout>
                <c:manualLayout>
                  <c:x val="-4.7619047619047616E-2"/>
                  <c:y val="5.1717165135809616E-2"/>
                </c:manualLayout>
              </c:layout>
              <c:tx>
                <c:rich>
                  <a:bodyPr/>
                  <a:lstStyle/>
                  <a:p>
                    <a:fld id="{B25DCB71-B9E2-4DFA-990A-1C1CEC83F714}"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BD7F-4308-AD65-31C5527491FB}"/>
                </c:ext>
              </c:extLst>
            </c:dLbl>
            <c:dLbl>
              <c:idx val="4"/>
              <c:layout>
                <c:manualLayout>
                  <c:x val="-7.7338781577629634E-2"/>
                  <c:y val="7.9660167378352482E-4"/>
                </c:manualLayout>
              </c:layout>
              <c:tx>
                <c:rich>
                  <a:bodyPr/>
                  <a:lstStyle/>
                  <a:p>
                    <a:fld id="{F9ED7C1A-DC75-48EF-86BB-EDEF4F58D5E0}"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BD7F-4308-AD65-31C5527491FB}"/>
                </c:ext>
              </c:extLst>
            </c:dLbl>
            <c:dLbl>
              <c:idx val="5"/>
              <c:layout>
                <c:manualLayout>
                  <c:x val="-3.968253968253968E-3"/>
                  <c:y val="3.87878738518573E-2"/>
                </c:manualLayout>
              </c:layout>
              <c:tx>
                <c:rich>
                  <a:bodyPr/>
                  <a:lstStyle/>
                  <a:p>
                    <a:fld id="{AB4C864A-B41C-42F5-9B0C-75E42917A823}"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BD7F-4308-AD65-31C5527491FB}"/>
                </c:ext>
              </c:extLst>
            </c:dLbl>
            <c:dLbl>
              <c:idx val="6"/>
              <c:layout>
                <c:manualLayout>
                  <c:x val="-7.275048233154282E-17"/>
                  <c:y val="1.9393936925928532E-2"/>
                </c:manualLayout>
              </c:layout>
              <c:tx>
                <c:rich>
                  <a:bodyPr/>
                  <a:lstStyle/>
                  <a:p>
                    <a:fld id="{548A2B40-E6CB-4BE0-9AB0-133F1CC63F82}"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BD7F-4308-AD65-31C5527491FB}"/>
                </c:ext>
              </c:extLst>
            </c:dLbl>
            <c:dLbl>
              <c:idx val="7"/>
              <c:layout>
                <c:manualLayout>
                  <c:x val="-9.9206349206349201E-2"/>
                  <c:y val="2.2626259746916639E-2"/>
                </c:manualLayout>
              </c:layout>
              <c:tx>
                <c:rich>
                  <a:bodyPr/>
                  <a:lstStyle/>
                  <a:p>
                    <a:fld id="{FA43278A-5981-47A8-9B16-6B8D5B983F1E}"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BD7F-4308-AD65-31C5527491FB}"/>
                </c:ext>
              </c:extLst>
            </c:dLbl>
            <c:dLbl>
              <c:idx val="8"/>
              <c:layout>
                <c:manualLayout>
                  <c:x val="0.11706349206349206"/>
                  <c:y val="1.6161614104940422E-2"/>
                </c:manualLayout>
              </c:layout>
              <c:tx>
                <c:rich>
                  <a:bodyPr/>
                  <a:lstStyle/>
                  <a:p>
                    <a:fld id="{E537C846-962C-4579-A516-D8CEDA18F2B8}"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BD7F-4308-AD65-31C5527491FB}"/>
                </c:ext>
              </c:extLst>
            </c:dLbl>
            <c:dLbl>
              <c:idx val="9"/>
              <c:layout>
                <c:manualLayout>
                  <c:x val="0"/>
                  <c:y val="-3.87878738518573E-2"/>
                </c:manualLayout>
              </c:layout>
              <c:tx>
                <c:rich>
                  <a:bodyPr/>
                  <a:lstStyle/>
                  <a:p>
                    <a:fld id="{81027885-DFE2-4A15-999B-4D172D6223E2}"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BD7F-4308-AD65-31C5527491FB}"/>
                </c:ext>
              </c:extLst>
            </c:dLbl>
            <c:dLbl>
              <c:idx val="10"/>
              <c:layout>
                <c:manualLayout>
                  <c:x val="-6.7460317460317457E-2"/>
                  <c:y val="6.1414133598774061E-2"/>
                </c:manualLayout>
              </c:layout>
              <c:tx>
                <c:rich>
                  <a:bodyPr/>
                  <a:lstStyle/>
                  <a:p>
                    <a:fld id="{DCC42027-7003-49EE-A42C-DB87B4D9A611}"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BD7F-4308-AD65-31C5527491FB}"/>
                </c:ext>
              </c:extLst>
            </c:dLbl>
            <c:dLbl>
              <c:idx val="11"/>
              <c:layout>
                <c:manualLayout>
                  <c:x val="5.9523809523809521E-3"/>
                  <c:y val="-1.939393692592865E-2"/>
                </c:manualLayout>
              </c:layout>
              <c:tx>
                <c:rich>
                  <a:bodyPr/>
                  <a:lstStyle/>
                  <a:p>
                    <a:fld id="{0390CC76-5C97-4354-B6D1-E5500750E4C8}"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BD7F-4308-AD65-31C5527491FB}"/>
                </c:ext>
              </c:extLst>
            </c:dLbl>
            <c:dLbl>
              <c:idx val="12"/>
              <c:layout>
                <c:manualLayout>
                  <c:x val="3.968253968253968E-2"/>
                  <c:y val="-1.9393936925928768E-2"/>
                </c:manualLayout>
              </c:layout>
              <c:tx>
                <c:rich>
                  <a:bodyPr/>
                  <a:lstStyle/>
                  <a:p>
                    <a:fld id="{A8B3390F-BF3A-4EFC-AE40-DB2DEC33062D}"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BD7F-4308-AD65-31C5527491FB}"/>
                </c:ext>
              </c:extLst>
            </c:dLbl>
            <c:dLbl>
              <c:idx val="13"/>
              <c:layout>
                <c:manualLayout>
                  <c:x val="-0.1051587301587302"/>
                  <c:y val="9.6969684629643251E-3"/>
                </c:manualLayout>
              </c:layout>
              <c:tx>
                <c:rich>
                  <a:bodyPr/>
                  <a:lstStyle/>
                  <a:p>
                    <a:fld id="{47EEFB0E-8206-4A1A-8CC1-054D73E68ABD}"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BD7F-4308-AD65-31C5527491FB}"/>
                </c:ext>
              </c:extLst>
            </c:dLbl>
            <c:dLbl>
              <c:idx val="14"/>
              <c:layout>
                <c:manualLayout>
                  <c:x val="-6.9444444444444448E-2"/>
                  <c:y val="-6.7878779240750392E-2"/>
                </c:manualLayout>
              </c:layout>
              <c:tx>
                <c:rich>
                  <a:bodyPr/>
                  <a:lstStyle/>
                  <a:p>
                    <a:fld id="{87186BEB-E956-4CE5-B1AE-A389EA8DFAD9}"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BD7F-4308-AD65-31C5527491FB}"/>
                </c:ext>
              </c:extLst>
            </c:dLbl>
            <c:dLbl>
              <c:idx val="15"/>
              <c:tx>
                <c:rich>
                  <a:bodyPr/>
                  <a:lstStyle/>
                  <a:p>
                    <a:fld id="{D060C6C6-D6BF-4275-AE1B-696E08C62945}"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BD7F-4308-AD65-31C5527491FB}"/>
                </c:ext>
              </c:extLst>
            </c:dLbl>
            <c:dLbl>
              <c:idx val="16"/>
              <c:layout>
                <c:manualLayout>
                  <c:x val="-7.275048233154282E-17"/>
                  <c:y val="1.9393936925928532E-2"/>
                </c:manualLayout>
              </c:layout>
              <c:tx>
                <c:rich>
                  <a:bodyPr/>
                  <a:lstStyle/>
                  <a:p>
                    <a:fld id="{C557D73A-59A5-486C-9CBE-3DE3C009CEA3}"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BD7F-4308-AD65-31C5527491FB}"/>
                </c:ext>
              </c:extLst>
            </c:dLbl>
            <c:dLbl>
              <c:idx val="17"/>
              <c:layout>
                <c:manualLayout>
                  <c:x val="-8.730158730158738E-2"/>
                  <c:y val="-6.1414133598774116E-2"/>
                </c:manualLayout>
              </c:layout>
              <c:tx>
                <c:rich>
                  <a:bodyPr/>
                  <a:lstStyle/>
                  <a:p>
                    <a:fld id="{F5D3FE30-9DC9-48A8-BB6E-2C38B85938C8}"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BD7F-4308-AD65-31C5527491FB}"/>
                </c:ext>
              </c:extLst>
            </c:dLbl>
            <c:dLbl>
              <c:idx val="18"/>
              <c:tx>
                <c:rich>
                  <a:bodyPr/>
                  <a:lstStyle/>
                  <a:p>
                    <a:fld id="{5F2CCF9C-84F6-4C9A-B28A-86D10C914D7D}"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BD7F-4308-AD65-31C5527491FB}"/>
                </c:ext>
              </c:extLst>
            </c:dLbl>
            <c:dLbl>
              <c:idx val="19"/>
              <c:layout>
                <c:manualLayout>
                  <c:x val="-7.275048233154282E-17"/>
                  <c:y val="3.8787873851857273E-2"/>
                </c:manualLayout>
              </c:layout>
              <c:tx>
                <c:rich>
                  <a:bodyPr/>
                  <a:lstStyle/>
                  <a:p>
                    <a:fld id="{1F0A1EF2-EC0D-4C5D-A293-CF0B112A2DF9}"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BD7F-4308-AD65-31C5527491FB}"/>
                </c:ext>
              </c:extLst>
            </c:dLbl>
            <c:dLbl>
              <c:idx val="20"/>
              <c:layout>
                <c:manualLayout>
                  <c:x val="-7.7380952380952453E-2"/>
                  <c:y val="-6.1414133598774061E-2"/>
                </c:manualLayout>
              </c:layout>
              <c:tx>
                <c:rich>
                  <a:bodyPr/>
                  <a:lstStyle/>
                  <a:p>
                    <a:fld id="{5E1FE66E-3825-4C6D-B5E5-A08644F38B20}"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BD7F-4308-AD65-31C5527491FB}"/>
                </c:ext>
              </c:extLst>
            </c:dLbl>
            <c:dLbl>
              <c:idx val="21"/>
              <c:tx>
                <c:rich>
                  <a:bodyPr/>
                  <a:lstStyle/>
                  <a:p>
                    <a:fld id="{ABA266C4-34D5-4ED2-A6C4-7D448FAE3DAE}" type="CELLRANGE">
                      <a:rPr lang="en-GB"/>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BD7F-4308-AD65-31C5527491FB}"/>
                </c:ext>
              </c:extLst>
            </c:dLbl>
            <c:dLbl>
              <c:idx val="22"/>
              <c:layout>
                <c:manualLayout>
                  <c:x val="-0.11210309648793894"/>
                  <c:y val="-5.656577662409587E-2"/>
                </c:manualLayout>
              </c:layout>
              <c:tx>
                <c:rich>
                  <a:bodyPr/>
                  <a:lstStyle/>
                  <a:p>
                    <a:fld id="{CD4D5C8A-8D5F-40C0-A16D-305746EEBBB5}" type="CELLRANGE">
                      <a:rPr lang="en-US"/>
                      <a:pPr/>
                      <a:t>[CELLRANGE]</a:t>
                    </a:fld>
                    <a:endParaRPr lang="en-GB"/>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BD7F-4308-AD65-31C5527491F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dk1">
                          <a:lumMod val="35000"/>
                          <a:lumOff val="65000"/>
                        </a:schemeClr>
                      </a:solidFill>
                      <a:round/>
                    </a:ln>
                    <a:effectLst/>
                  </c:spPr>
                </c15:leaderLines>
              </c:ext>
            </c:extLst>
          </c:dLbls>
          <c:xVal>
            <c:numRef>
              <c:f>Comparison!$J$4:$J$26</c:f>
              <c:numCache>
                <c:formatCode>0</c:formatCode>
                <c:ptCount val="23"/>
                <c:pt idx="0">
                  <c:v>1409.73</c:v>
                </c:pt>
                <c:pt idx="1">
                  <c:v>2823.04</c:v>
                </c:pt>
                <c:pt idx="2">
                  <c:v>3187.94</c:v>
                </c:pt>
                <c:pt idx="3">
                  <c:v>10136.9</c:v>
                </c:pt>
                <c:pt idx="4">
                  <c:v>6317.8857189999999</c:v>
                </c:pt>
                <c:pt idx="5">
                  <c:v>12787.5808</c:v>
                </c:pt>
                <c:pt idx="6">
                  <c:v>10054.59</c:v>
                </c:pt>
                <c:pt idx="7">
                  <c:v>9714.32</c:v>
                </c:pt>
                <c:pt idx="8">
                  <c:v>10723.22</c:v>
                </c:pt>
                <c:pt idx="9">
                  <c:v>9597.7900000000009</c:v>
                </c:pt>
                <c:pt idx="10">
                  <c:v>10100.709999999999</c:v>
                </c:pt>
                <c:pt idx="11">
                  <c:v>6477.26</c:v>
                </c:pt>
                <c:pt idx="12">
                  <c:v>12364.14</c:v>
                </c:pt>
                <c:pt idx="13">
                  <c:v>6723.87</c:v>
                </c:pt>
                <c:pt idx="14">
                  <c:v>10102.07</c:v>
                </c:pt>
                <c:pt idx="15">
                  <c:v>6722.45</c:v>
                </c:pt>
                <c:pt idx="16">
                  <c:v>12703.39</c:v>
                </c:pt>
                <c:pt idx="17">
                  <c:v>15016.48</c:v>
                </c:pt>
                <c:pt idx="18">
                  <c:v>20914.23</c:v>
                </c:pt>
                <c:pt idx="19">
                  <c:v>11271.19801</c:v>
                </c:pt>
                <c:pt idx="20">
                  <c:v>13509.73</c:v>
                </c:pt>
                <c:pt idx="21">
                  <c:v>20949.387030000002</c:v>
                </c:pt>
                <c:pt idx="22">
                  <c:v>18723.55</c:v>
                </c:pt>
              </c:numCache>
            </c:numRef>
          </c:xVal>
          <c:yVal>
            <c:numRef>
              <c:f>Comparison!$K$4:$K$26</c:f>
              <c:numCache>
                <c:formatCode>"£"#,##0</c:formatCode>
                <c:ptCount val="23"/>
                <c:pt idx="0">
                  <c:v>2384662.7460869774</c:v>
                </c:pt>
                <c:pt idx="1">
                  <c:v>5468709.1682755947</c:v>
                </c:pt>
                <c:pt idx="2">
                  <c:v>6725947.8718199432</c:v>
                </c:pt>
                <c:pt idx="3">
                  <c:v>48844061.913474262</c:v>
                </c:pt>
                <c:pt idx="4">
                  <c:v>52059167.673530832</c:v>
                </c:pt>
                <c:pt idx="5">
                  <c:v>54599917.430601984</c:v>
                </c:pt>
                <c:pt idx="6">
                  <c:v>75539518.258807361</c:v>
                </c:pt>
                <c:pt idx="7">
                  <c:v>77410272.123533875</c:v>
                </c:pt>
                <c:pt idx="8">
                  <c:v>78454739.357041329</c:v>
                </c:pt>
                <c:pt idx="9">
                  <c:v>78868110.091476828</c:v>
                </c:pt>
                <c:pt idx="10">
                  <c:v>79608804.869333655</c:v>
                </c:pt>
                <c:pt idx="11">
                  <c:v>80326977.769334048</c:v>
                </c:pt>
                <c:pt idx="12">
                  <c:v>81305258.751040071</c:v>
                </c:pt>
                <c:pt idx="13">
                  <c:v>83406605.6640701</c:v>
                </c:pt>
                <c:pt idx="14">
                  <c:v>100677455.75511283</c:v>
                </c:pt>
                <c:pt idx="15">
                  <c:v>107003621.60617575</c:v>
                </c:pt>
                <c:pt idx="16">
                  <c:v>124271326.05812043</c:v>
                </c:pt>
                <c:pt idx="17">
                  <c:v>130019256.09195539</c:v>
                </c:pt>
                <c:pt idx="18">
                  <c:v>222747128.35511374</c:v>
                </c:pt>
                <c:pt idx="19">
                  <c:v>232429282.75092876</c:v>
                </c:pt>
                <c:pt idx="20">
                  <c:v>236483262.44891012</c:v>
                </c:pt>
                <c:pt idx="21">
                  <c:v>269772989.73129296</c:v>
                </c:pt>
                <c:pt idx="22">
                  <c:v>272423328.17173862</c:v>
                </c:pt>
              </c:numCache>
            </c:numRef>
          </c:yVal>
          <c:smooth val="0"/>
          <c:extLst>
            <c:ext xmlns:c15="http://schemas.microsoft.com/office/drawing/2012/chart" uri="{02D57815-91ED-43cb-92C2-25804820EDAC}">
              <c15:datalabelsRange>
                <c15:f>Comparison!$H$4:$H$26</c15:f>
                <c15:dlblRangeCache>
                  <c:ptCount val="23"/>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15:dlblRangeCache>
              </c15:datalabelsRange>
            </c:ext>
            <c:ext xmlns:c16="http://schemas.microsoft.com/office/drawing/2014/chart" uri="{C3380CC4-5D6E-409C-BE32-E72D297353CC}">
              <c16:uniqueId val="{00000017-BD7F-4308-AD65-31C5527491FB}"/>
            </c:ext>
          </c:extLst>
        </c:ser>
        <c:dLbls>
          <c:showLegendKey val="0"/>
          <c:showVal val="1"/>
          <c:showCatName val="0"/>
          <c:showSerName val="0"/>
          <c:showPercent val="0"/>
          <c:showBubbleSize val="0"/>
        </c:dLbls>
        <c:axId val="458808720"/>
        <c:axId val="458809136"/>
      </c:scatterChart>
      <c:valAx>
        <c:axId val="45880872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Incremental societal</a:t>
                </a:r>
                <a:r>
                  <a:rPr lang="en-GB" baseline="0">
                    <a:latin typeface="Times New Roman" panose="02020603050405020304" pitchFamily="18" charset="0"/>
                    <a:cs typeface="Times New Roman" panose="02020603050405020304" pitchFamily="18" charset="0"/>
                  </a:rPr>
                  <a:t> QALY vs. UC</a:t>
                </a:r>
                <a:endParaRPr lang="en-GB">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8809136"/>
        <c:crosses val="autoZero"/>
        <c:crossBetween val="midCat"/>
      </c:valAx>
      <c:valAx>
        <c:axId val="45880913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Incremental public sector all-cause cost vs. UC</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quot;£&quot;#,##0"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58808720"/>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Usual care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Any fall (-6.4%)</c:v>
                </c:pt>
                <c:pt idx="1">
                  <c:v>Recurrent falls                (-18.3%)</c:v>
                </c:pt>
                <c:pt idx="2">
                  <c:v>MA fall (-11.4%)</c:v>
                </c:pt>
                <c:pt idx="3">
                  <c:v>Hospitalised fall                (-14.7%)</c:v>
                </c:pt>
              </c:strCache>
            </c:strRef>
          </c:cat>
          <c:val>
            <c:numRef>
              <c:f>Sheet1!$B$2:$B$5</c:f>
              <c:numCache>
                <c:formatCode>0</c:formatCode>
                <c:ptCount val="4"/>
                <c:pt idx="0">
                  <c:v>1853697.5</c:v>
                </c:pt>
                <c:pt idx="1">
                  <c:v>998439</c:v>
                </c:pt>
                <c:pt idx="2">
                  <c:v>248197</c:v>
                </c:pt>
                <c:pt idx="3">
                  <c:v>100451.6</c:v>
                </c:pt>
              </c:numCache>
            </c:numRef>
          </c:val>
          <c:extLst>
            <c:ext xmlns:c16="http://schemas.microsoft.com/office/drawing/2014/chart" uri="{C3380CC4-5D6E-409C-BE32-E72D297353CC}">
              <c16:uniqueId val="{00000000-9811-44D3-B44B-0A9D6F428A9E}"/>
            </c:ext>
          </c:extLst>
        </c:ser>
        <c:ser>
          <c:idx val="1"/>
          <c:order val="1"/>
          <c:tx>
            <c:strRef>
              <c:f>Sheet1!$C$1</c:f>
              <c:strCache>
                <c:ptCount val="1"/>
                <c:pt idx="0">
                  <c:v>Recommended care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Any fall (-6.4%)</c:v>
                </c:pt>
                <c:pt idx="1">
                  <c:v>Recurrent falls                (-18.3%)</c:v>
                </c:pt>
                <c:pt idx="2">
                  <c:v>MA fall (-11.4%)</c:v>
                </c:pt>
                <c:pt idx="3">
                  <c:v>Hospitalised fall                (-14.7%)</c:v>
                </c:pt>
              </c:strCache>
            </c:strRef>
          </c:cat>
          <c:val>
            <c:numRef>
              <c:f>Sheet1!$C$2:$C$5</c:f>
              <c:numCache>
                <c:formatCode>0</c:formatCode>
                <c:ptCount val="4"/>
                <c:pt idx="0">
                  <c:v>1735324.4</c:v>
                </c:pt>
                <c:pt idx="1">
                  <c:v>815900.85</c:v>
                </c:pt>
                <c:pt idx="2">
                  <c:v>219831.8</c:v>
                </c:pt>
                <c:pt idx="3">
                  <c:v>85719.25</c:v>
                </c:pt>
              </c:numCache>
            </c:numRef>
          </c:val>
          <c:extLst>
            <c:ext xmlns:c16="http://schemas.microsoft.com/office/drawing/2014/chart" uri="{C3380CC4-5D6E-409C-BE32-E72D297353CC}">
              <c16:uniqueId val="{00000001-9811-44D3-B44B-0A9D6F428A9E}"/>
            </c:ext>
          </c:extLst>
        </c:ser>
        <c:dLbls>
          <c:showLegendKey val="0"/>
          <c:showVal val="0"/>
          <c:showCatName val="0"/>
          <c:showSerName val="0"/>
          <c:showPercent val="0"/>
          <c:showBubbleSize val="0"/>
        </c:dLbls>
        <c:gapWidth val="164"/>
        <c:overlap val="-22"/>
        <c:axId val="1094589072"/>
        <c:axId val="1094610288"/>
      </c:barChart>
      <c:catAx>
        <c:axId val="109458907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94610288"/>
        <c:crosses val="autoZero"/>
        <c:auto val="1"/>
        <c:lblAlgn val="ctr"/>
        <c:lblOffset val="100"/>
        <c:noMultiLvlLbl val="0"/>
      </c:catAx>
      <c:valAx>
        <c:axId val="109461028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945890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Probabilistic runs</c:v>
          </c:tx>
          <c:spPr>
            <a:ln w="25400" cap="rnd">
              <a:noFill/>
              <a:round/>
            </a:ln>
            <a:effectLst/>
          </c:spPr>
          <c:marker>
            <c:symbol val="diamond"/>
            <c:size val="6"/>
            <c:spPr>
              <a:solidFill>
                <a:schemeClr val="lt1"/>
              </a:solidFill>
              <a:ln w="15875">
                <a:solidFill>
                  <a:schemeClr val="accent1"/>
                </a:solidFill>
                <a:round/>
              </a:ln>
              <a:effectLst/>
            </c:spPr>
          </c:marker>
          <c:dPt>
            <c:idx val="0"/>
            <c:marker>
              <c:symbol val="diamond"/>
              <c:size val="6"/>
              <c:spPr>
                <a:solidFill>
                  <a:schemeClr val="lt1"/>
                </a:solidFill>
                <a:ln w="15875">
                  <a:solidFill>
                    <a:schemeClr val="accent1"/>
                  </a:solidFill>
                  <a:round/>
                </a:ln>
                <a:effectLst/>
              </c:spPr>
            </c:marker>
            <c:bubble3D val="0"/>
            <c:extLst>
              <c:ext xmlns:c16="http://schemas.microsoft.com/office/drawing/2014/chart" uri="{C3380CC4-5D6E-409C-BE32-E72D297353CC}">
                <c16:uniqueId val="{00000000-9340-46DE-9CBF-BED23026A90D}"/>
              </c:ext>
            </c:extLst>
          </c:dPt>
          <c:xVal>
            <c:numRef>
              <c:f>PSA!$AJ$11:$AJ$1006</c:f>
              <c:numCache>
                <c:formatCode>0.00</c:formatCode>
                <c:ptCount val="996"/>
                <c:pt idx="0">
                  <c:v>21030.778559319737</c:v>
                </c:pt>
                <c:pt idx="1">
                  <c:v>22166.98434750341</c:v>
                </c:pt>
                <c:pt idx="2">
                  <c:v>18321.555567513227</c:v>
                </c:pt>
                <c:pt idx="3">
                  <c:v>23709.210792759801</c:v>
                </c:pt>
                <c:pt idx="4">
                  <c:v>14761.239399478392</c:v>
                </c:pt>
                <c:pt idx="5">
                  <c:v>24050.731127719922</c:v>
                </c:pt>
                <c:pt idx="6">
                  <c:v>22881.123481321789</c:v>
                </c:pt>
                <c:pt idx="7">
                  <c:v>21933.824345739904</c:v>
                </c:pt>
                <c:pt idx="8">
                  <c:v>17734.56481390012</c:v>
                </c:pt>
                <c:pt idx="9">
                  <c:v>12730.599958690054</c:v>
                </c:pt>
                <c:pt idx="10">
                  <c:v>16054.074826308148</c:v>
                </c:pt>
                <c:pt idx="11">
                  <c:v>17586.264825105107</c:v>
                </c:pt>
                <c:pt idx="12">
                  <c:v>19179.983324401757</c:v>
                </c:pt>
                <c:pt idx="13">
                  <c:v>21724.615987024939</c:v>
                </c:pt>
                <c:pt idx="14">
                  <c:v>22128.552896703222</c:v>
                </c:pt>
                <c:pt idx="15">
                  <c:v>17155.84187323667</c:v>
                </c:pt>
                <c:pt idx="16">
                  <c:v>16888.142258549826</c:v>
                </c:pt>
                <c:pt idx="17">
                  <c:v>18959.772435591542</c:v>
                </c:pt>
                <c:pt idx="18">
                  <c:v>21844.248000168343</c:v>
                </c:pt>
                <c:pt idx="19">
                  <c:v>14940.781529685008</c:v>
                </c:pt>
                <c:pt idx="20">
                  <c:v>16800.891458866641</c:v>
                </c:pt>
                <c:pt idx="21">
                  <c:v>17865.919243701548</c:v>
                </c:pt>
                <c:pt idx="22">
                  <c:v>20793.306612408487</c:v>
                </c:pt>
                <c:pt idx="23">
                  <c:v>16914.554707954841</c:v>
                </c:pt>
                <c:pt idx="24">
                  <c:v>16965.259349788361</c:v>
                </c:pt>
                <c:pt idx="25">
                  <c:v>17473.605989508171</c:v>
                </c:pt>
                <c:pt idx="26">
                  <c:v>16720.700571515124</c:v>
                </c:pt>
                <c:pt idx="27">
                  <c:v>18106.923274506691</c:v>
                </c:pt>
                <c:pt idx="28">
                  <c:v>20473.676532163459</c:v>
                </c:pt>
                <c:pt idx="29">
                  <c:v>18645.206776575124</c:v>
                </c:pt>
                <c:pt idx="30">
                  <c:v>21119.178646524877</c:v>
                </c:pt>
                <c:pt idx="31">
                  <c:v>19376.733801731556</c:v>
                </c:pt>
                <c:pt idx="32">
                  <c:v>16201.995481298467</c:v>
                </c:pt>
                <c:pt idx="33">
                  <c:v>15875.136331658356</c:v>
                </c:pt>
                <c:pt idx="34">
                  <c:v>20277.50838445668</c:v>
                </c:pt>
                <c:pt idx="35">
                  <c:v>15160.134368304716</c:v>
                </c:pt>
                <c:pt idx="36">
                  <c:v>18777.679179661958</c:v>
                </c:pt>
                <c:pt idx="37">
                  <c:v>17495.72497384997</c:v>
                </c:pt>
                <c:pt idx="38">
                  <c:v>24472.106770259878</c:v>
                </c:pt>
                <c:pt idx="39">
                  <c:v>20215.162692366521</c:v>
                </c:pt>
                <c:pt idx="40">
                  <c:v>18069.622255088281</c:v>
                </c:pt>
                <c:pt idx="41">
                  <c:v>22425.464409423355</c:v>
                </c:pt>
                <c:pt idx="42">
                  <c:v>22498.39888399855</c:v>
                </c:pt>
                <c:pt idx="43">
                  <c:v>22157.632295013445</c:v>
                </c:pt>
                <c:pt idx="44">
                  <c:v>19003.031253224999</c:v>
                </c:pt>
                <c:pt idx="45">
                  <c:v>22689.420709118116</c:v>
                </c:pt>
                <c:pt idx="46">
                  <c:v>21373.238860124984</c:v>
                </c:pt>
                <c:pt idx="47">
                  <c:v>15811.445506900198</c:v>
                </c:pt>
                <c:pt idx="48">
                  <c:v>22940.880266894957</c:v>
                </c:pt>
                <c:pt idx="49">
                  <c:v>17991.217184273166</c:v>
                </c:pt>
                <c:pt idx="50">
                  <c:v>15734.026507161701</c:v>
                </c:pt>
                <c:pt idx="51">
                  <c:v>14481.581587826533</c:v>
                </c:pt>
                <c:pt idx="52">
                  <c:v>14585.951329896823</c:v>
                </c:pt>
                <c:pt idx="53">
                  <c:v>19948.418828408216</c:v>
                </c:pt>
                <c:pt idx="54">
                  <c:v>19600.91876616166</c:v>
                </c:pt>
                <c:pt idx="55">
                  <c:v>25917.843871795176</c:v>
                </c:pt>
                <c:pt idx="56">
                  <c:v>18694.371437425016</c:v>
                </c:pt>
                <c:pt idx="57">
                  <c:v>19425.112291171696</c:v>
                </c:pt>
                <c:pt idx="58">
                  <c:v>20706.811841879826</c:v>
                </c:pt>
                <c:pt idx="59">
                  <c:v>29966.257212386539</c:v>
                </c:pt>
                <c:pt idx="60">
                  <c:v>20379.13882121841</c:v>
                </c:pt>
                <c:pt idx="61">
                  <c:v>24690.81685905156</c:v>
                </c:pt>
                <c:pt idx="62">
                  <c:v>21229.41586378502</c:v>
                </c:pt>
                <c:pt idx="63">
                  <c:v>18631.247504703457</c:v>
                </c:pt>
                <c:pt idx="64">
                  <c:v>17049.865201326647</c:v>
                </c:pt>
                <c:pt idx="65">
                  <c:v>17573.306531823069</c:v>
                </c:pt>
                <c:pt idx="66">
                  <c:v>18900.896207788668</c:v>
                </c:pt>
                <c:pt idx="67">
                  <c:v>20022.393856998347</c:v>
                </c:pt>
                <c:pt idx="68">
                  <c:v>20842.864955388312</c:v>
                </c:pt>
                <c:pt idx="69">
                  <c:v>24065.594739109903</c:v>
                </c:pt>
                <c:pt idx="70">
                  <c:v>18186.208378906897</c:v>
                </c:pt>
                <c:pt idx="71">
                  <c:v>20631.248916238546</c:v>
                </c:pt>
                <c:pt idx="72">
                  <c:v>21405.470988998197</c:v>
                </c:pt>
                <c:pt idx="73">
                  <c:v>20508.802785868444</c:v>
                </c:pt>
                <c:pt idx="74">
                  <c:v>18727.915007208187</c:v>
                </c:pt>
                <c:pt idx="75">
                  <c:v>12994.022281509982</c:v>
                </c:pt>
                <c:pt idx="76">
                  <c:v>16775.089608086495</c:v>
                </c:pt>
                <c:pt idx="77">
                  <c:v>21449.404526108316</c:v>
                </c:pt>
                <c:pt idx="78">
                  <c:v>23276.592193414926</c:v>
                </c:pt>
                <c:pt idx="79">
                  <c:v>15622.335830953343</c:v>
                </c:pt>
                <c:pt idx="80">
                  <c:v>15422.96247642002</c:v>
                </c:pt>
                <c:pt idx="81">
                  <c:v>15441.899430478465</c:v>
                </c:pt>
                <c:pt idx="82">
                  <c:v>22613.906797363335</c:v>
                </c:pt>
                <c:pt idx="83">
                  <c:v>20429.047114374825</c:v>
                </c:pt>
                <c:pt idx="84">
                  <c:v>19408.524012751979</c:v>
                </c:pt>
                <c:pt idx="85">
                  <c:v>19553.439650496683</c:v>
                </c:pt>
                <c:pt idx="86">
                  <c:v>19158.125904008491</c:v>
                </c:pt>
                <c:pt idx="87">
                  <c:v>19591.261969626965</c:v>
                </c:pt>
                <c:pt idx="88">
                  <c:v>16670.287203355158</c:v>
                </c:pt>
                <c:pt idx="89">
                  <c:v>20258.188105131798</c:v>
                </c:pt>
                <c:pt idx="90">
                  <c:v>20174.197008954845</c:v>
                </c:pt>
                <c:pt idx="91">
                  <c:v>20207.49027408483</c:v>
                </c:pt>
                <c:pt idx="92">
                  <c:v>16113.561658113156</c:v>
                </c:pt>
                <c:pt idx="93">
                  <c:v>21949.411360815324</c:v>
                </c:pt>
                <c:pt idx="94">
                  <c:v>27073.161612898421</c:v>
                </c:pt>
                <c:pt idx="95">
                  <c:v>19472.018628451769</c:v>
                </c:pt>
                <c:pt idx="96">
                  <c:v>19817.544401066822</c:v>
                </c:pt>
                <c:pt idx="97">
                  <c:v>16426.492341338417</c:v>
                </c:pt>
                <c:pt idx="98">
                  <c:v>19856.604324310178</c:v>
                </c:pt>
                <c:pt idx="99">
                  <c:v>17501.350272568507</c:v>
                </c:pt>
                <c:pt idx="100">
                  <c:v>18365.189168033452</c:v>
                </c:pt>
                <c:pt idx="101">
                  <c:v>17852.581028749715</c:v>
                </c:pt>
                <c:pt idx="102">
                  <c:v>17664.124803515118</c:v>
                </c:pt>
                <c:pt idx="103">
                  <c:v>19076.607471893331</c:v>
                </c:pt>
                <c:pt idx="104">
                  <c:v>17642.119454273288</c:v>
                </c:pt>
                <c:pt idx="105">
                  <c:v>18667.466411727</c:v>
                </c:pt>
                <c:pt idx="106">
                  <c:v>16808.402492913454</c:v>
                </c:pt>
                <c:pt idx="107">
                  <c:v>18997.942712646709</c:v>
                </c:pt>
                <c:pt idx="108">
                  <c:v>15121.390054949921</c:v>
                </c:pt>
                <c:pt idx="109">
                  <c:v>17755.414429856726</c:v>
                </c:pt>
                <c:pt idx="110">
                  <c:v>17040.243401005049</c:v>
                </c:pt>
                <c:pt idx="111">
                  <c:v>24795.765396845003</c:v>
                </c:pt>
                <c:pt idx="112">
                  <c:v>19462.199854063438</c:v>
                </c:pt>
                <c:pt idx="113">
                  <c:v>22855.048327496934</c:v>
                </c:pt>
                <c:pt idx="114">
                  <c:v>20737.910247640168</c:v>
                </c:pt>
                <c:pt idx="115">
                  <c:v>23530.600803231689</c:v>
                </c:pt>
                <c:pt idx="116">
                  <c:v>30012.691176709952</c:v>
                </c:pt>
                <c:pt idx="117">
                  <c:v>16353.300702449746</c:v>
                </c:pt>
                <c:pt idx="118">
                  <c:v>26929.685872533573</c:v>
                </c:pt>
                <c:pt idx="119">
                  <c:v>18172.039331236945</c:v>
                </c:pt>
                <c:pt idx="120">
                  <c:v>24580.538696820109</c:v>
                </c:pt>
                <c:pt idx="121">
                  <c:v>19966.112964818141</c:v>
                </c:pt>
                <c:pt idx="122">
                  <c:v>17860.95296014315</c:v>
                </c:pt>
                <c:pt idx="123">
                  <c:v>16155.085962838542</c:v>
                </c:pt>
                <c:pt idx="124">
                  <c:v>24642.52849266832</c:v>
                </c:pt>
                <c:pt idx="125">
                  <c:v>21344.22557501329</c:v>
                </c:pt>
                <c:pt idx="126">
                  <c:v>22157.396398821867</c:v>
                </c:pt>
                <c:pt idx="127">
                  <c:v>17192.501250416757</c:v>
                </c:pt>
                <c:pt idx="128">
                  <c:v>13995.221427138134</c:v>
                </c:pt>
                <c:pt idx="129">
                  <c:v>17359.371542151795</c:v>
                </c:pt>
                <c:pt idx="130">
                  <c:v>24465.593234166845</c:v>
                </c:pt>
                <c:pt idx="131">
                  <c:v>22445.907343218219</c:v>
                </c:pt>
                <c:pt idx="132">
                  <c:v>20453.010292393177</c:v>
                </c:pt>
                <c:pt idx="133">
                  <c:v>20254.622271486456</c:v>
                </c:pt>
                <c:pt idx="134">
                  <c:v>15539.510616406598</c:v>
                </c:pt>
                <c:pt idx="135">
                  <c:v>19237.198697091782</c:v>
                </c:pt>
                <c:pt idx="136">
                  <c:v>18939.091925825101</c:v>
                </c:pt>
                <c:pt idx="137">
                  <c:v>21607.204429118185</c:v>
                </c:pt>
                <c:pt idx="138">
                  <c:v>18272.424923235027</c:v>
                </c:pt>
                <c:pt idx="139">
                  <c:v>16723.268706131494</c:v>
                </c:pt>
                <c:pt idx="140">
                  <c:v>16727.250663374743</c:v>
                </c:pt>
                <c:pt idx="141">
                  <c:v>24889.855648908313</c:v>
                </c:pt>
                <c:pt idx="142">
                  <c:v>23421.67412406185</c:v>
                </c:pt>
                <c:pt idx="143">
                  <c:v>18656.553995348371</c:v>
                </c:pt>
                <c:pt idx="144">
                  <c:v>14428.939457684948</c:v>
                </c:pt>
                <c:pt idx="145">
                  <c:v>18464.957150631642</c:v>
                </c:pt>
                <c:pt idx="146">
                  <c:v>15153.594513723554</c:v>
                </c:pt>
                <c:pt idx="147">
                  <c:v>25565.974935218263</c:v>
                </c:pt>
                <c:pt idx="148">
                  <c:v>15694.075059749719</c:v>
                </c:pt>
                <c:pt idx="149">
                  <c:v>16661.226619851583</c:v>
                </c:pt>
                <c:pt idx="150">
                  <c:v>17795.987992373441</c:v>
                </c:pt>
                <c:pt idx="151">
                  <c:v>23993.636776830226</c:v>
                </c:pt>
                <c:pt idx="152">
                  <c:v>19094.160778836751</c:v>
                </c:pt>
                <c:pt idx="153">
                  <c:v>17899.879418846911</c:v>
                </c:pt>
                <c:pt idx="154">
                  <c:v>16180.034075678303</c:v>
                </c:pt>
                <c:pt idx="155">
                  <c:v>19156.224083161873</c:v>
                </c:pt>
                <c:pt idx="156">
                  <c:v>18647.240525098099</c:v>
                </c:pt>
                <c:pt idx="157">
                  <c:v>19282.028015959801</c:v>
                </c:pt>
                <c:pt idx="158">
                  <c:v>20405.036627995018</c:v>
                </c:pt>
                <c:pt idx="159">
                  <c:v>17475.119157850058</c:v>
                </c:pt>
                <c:pt idx="160">
                  <c:v>21982.615047411491</c:v>
                </c:pt>
                <c:pt idx="161">
                  <c:v>19588.387487776548</c:v>
                </c:pt>
                <c:pt idx="162">
                  <c:v>18391.656620054939</c:v>
                </c:pt>
                <c:pt idx="163">
                  <c:v>26545.983553268332</c:v>
                </c:pt>
                <c:pt idx="164">
                  <c:v>22799.512608581721</c:v>
                </c:pt>
                <c:pt idx="165">
                  <c:v>15676.229373821634</c:v>
                </c:pt>
                <c:pt idx="166">
                  <c:v>19507.223193275262</c:v>
                </c:pt>
                <c:pt idx="167">
                  <c:v>19764.873631936738</c:v>
                </c:pt>
                <c:pt idx="168">
                  <c:v>19881.292856233515</c:v>
                </c:pt>
                <c:pt idx="169">
                  <c:v>25278.18589751529</c:v>
                </c:pt>
                <c:pt idx="170">
                  <c:v>23055.76883131672</c:v>
                </c:pt>
                <c:pt idx="171">
                  <c:v>17369.024084510253</c:v>
                </c:pt>
                <c:pt idx="172">
                  <c:v>26634.86832190834</c:v>
                </c:pt>
                <c:pt idx="173">
                  <c:v>15317.306149754626</c:v>
                </c:pt>
                <c:pt idx="174">
                  <c:v>19994.480961441557</c:v>
                </c:pt>
                <c:pt idx="175">
                  <c:v>16863.487891798723</c:v>
                </c:pt>
                <c:pt idx="176">
                  <c:v>19284.845632143257</c:v>
                </c:pt>
                <c:pt idx="177">
                  <c:v>23492.58471948978</c:v>
                </c:pt>
                <c:pt idx="178">
                  <c:v>27043.172706191617</c:v>
                </c:pt>
                <c:pt idx="179">
                  <c:v>20737.055894880064</c:v>
                </c:pt>
                <c:pt idx="180">
                  <c:v>29754.332364713518</c:v>
                </c:pt>
                <c:pt idx="181">
                  <c:v>20713.373879851621</c:v>
                </c:pt>
                <c:pt idx="182">
                  <c:v>19265.693964878159</c:v>
                </c:pt>
                <c:pt idx="183">
                  <c:v>16388.009141536466</c:v>
                </c:pt>
                <c:pt idx="184">
                  <c:v>23628.545015135158</c:v>
                </c:pt>
                <c:pt idx="185">
                  <c:v>18762.904377406714</c:v>
                </c:pt>
                <c:pt idx="186">
                  <c:v>17283.260598658384</c:v>
                </c:pt>
                <c:pt idx="187">
                  <c:v>20976.629593148435</c:v>
                </c:pt>
                <c:pt idx="188">
                  <c:v>17374.039270406567</c:v>
                </c:pt>
                <c:pt idx="189">
                  <c:v>19020.020456676873</c:v>
                </c:pt>
                <c:pt idx="190">
                  <c:v>24442.466310314707</c:v>
                </c:pt>
                <c:pt idx="191">
                  <c:v>25575.849756049873</c:v>
                </c:pt>
                <c:pt idx="192">
                  <c:v>23797.907260056745</c:v>
                </c:pt>
                <c:pt idx="193">
                  <c:v>21371.307713010097</c:v>
                </c:pt>
                <c:pt idx="194">
                  <c:v>19099.489807964896</c:v>
                </c:pt>
                <c:pt idx="195">
                  <c:v>20455.155323884857</c:v>
                </c:pt>
                <c:pt idx="196">
                  <c:v>17745.962105856554</c:v>
                </c:pt>
                <c:pt idx="197">
                  <c:v>20951.661335104738</c:v>
                </c:pt>
                <c:pt idx="198">
                  <c:v>19031.92180050844</c:v>
                </c:pt>
                <c:pt idx="199">
                  <c:v>24761.470232026477</c:v>
                </c:pt>
                <c:pt idx="200">
                  <c:v>19816.365342141664</c:v>
                </c:pt>
                <c:pt idx="201">
                  <c:v>20967.240388361599</c:v>
                </c:pt>
                <c:pt idx="202">
                  <c:v>21584.906898034907</c:v>
                </c:pt>
                <c:pt idx="203">
                  <c:v>20182.708491699817</c:v>
                </c:pt>
                <c:pt idx="204">
                  <c:v>20165.439559926421</c:v>
                </c:pt>
                <c:pt idx="205">
                  <c:v>18894.926526239917</c:v>
                </c:pt>
                <c:pt idx="206">
                  <c:v>23370.658867335118</c:v>
                </c:pt>
                <c:pt idx="207">
                  <c:v>19939.792977689925</c:v>
                </c:pt>
                <c:pt idx="208">
                  <c:v>25364.995464738557</c:v>
                </c:pt>
                <c:pt idx="209">
                  <c:v>15159.661828656735</c:v>
                </c:pt>
                <c:pt idx="210">
                  <c:v>23688.11502719159</c:v>
                </c:pt>
                <c:pt idx="211">
                  <c:v>20542.753984915016</c:v>
                </c:pt>
                <c:pt idx="212">
                  <c:v>17497.072455661651</c:v>
                </c:pt>
                <c:pt idx="213">
                  <c:v>22337.093395075142</c:v>
                </c:pt>
                <c:pt idx="214">
                  <c:v>15326.478321128179</c:v>
                </c:pt>
                <c:pt idx="215">
                  <c:v>12257.278834178322</c:v>
                </c:pt>
                <c:pt idx="216">
                  <c:v>18929.21062127173</c:v>
                </c:pt>
                <c:pt idx="217">
                  <c:v>21689.570498186582</c:v>
                </c:pt>
                <c:pt idx="218">
                  <c:v>25133.56524970835</c:v>
                </c:pt>
                <c:pt idx="219">
                  <c:v>20564.28796656803</c:v>
                </c:pt>
                <c:pt idx="220">
                  <c:v>22334.219597430201</c:v>
                </c:pt>
                <c:pt idx="221">
                  <c:v>22620.616059126547</c:v>
                </c:pt>
                <c:pt idx="222">
                  <c:v>18612.384999171773</c:v>
                </c:pt>
                <c:pt idx="223">
                  <c:v>17328.412192875156</c:v>
                </c:pt>
                <c:pt idx="224">
                  <c:v>18502.506116363635</c:v>
                </c:pt>
                <c:pt idx="225">
                  <c:v>19336.265106513125</c:v>
                </c:pt>
                <c:pt idx="226">
                  <c:v>18543.137439758277</c:v>
                </c:pt>
                <c:pt idx="227">
                  <c:v>19002.118454505238</c:v>
                </c:pt>
                <c:pt idx="228">
                  <c:v>18918.273083739979</c:v>
                </c:pt>
                <c:pt idx="229">
                  <c:v>21197.858690831661</c:v>
                </c:pt>
                <c:pt idx="230">
                  <c:v>17031.752551811685</c:v>
                </c:pt>
                <c:pt idx="231">
                  <c:v>22585.167067300114</c:v>
                </c:pt>
                <c:pt idx="232">
                  <c:v>21945.714945491469</c:v>
                </c:pt>
                <c:pt idx="233">
                  <c:v>18480.26587691333</c:v>
                </c:pt>
                <c:pt idx="234">
                  <c:v>20763.351084420068</c:v>
                </c:pt>
                <c:pt idx="235">
                  <c:v>20811.458621200138</c:v>
                </c:pt>
                <c:pt idx="236">
                  <c:v>10633.800680908756</c:v>
                </c:pt>
                <c:pt idx="237">
                  <c:v>24980.613188953292</c:v>
                </c:pt>
                <c:pt idx="238">
                  <c:v>17821.215364956741</c:v>
                </c:pt>
                <c:pt idx="239">
                  <c:v>16177.935814808205</c:v>
                </c:pt>
                <c:pt idx="240">
                  <c:v>13111.497752775009</c:v>
                </c:pt>
                <c:pt idx="241">
                  <c:v>17571.157026966819</c:v>
                </c:pt>
                <c:pt idx="242">
                  <c:v>16518.333105658461</c:v>
                </c:pt>
                <c:pt idx="243">
                  <c:v>12735.616678066652</c:v>
                </c:pt>
                <c:pt idx="244">
                  <c:v>20612.510730986589</c:v>
                </c:pt>
                <c:pt idx="245">
                  <c:v>17955.887988374936</c:v>
                </c:pt>
                <c:pt idx="246">
                  <c:v>17417.744602698163</c:v>
                </c:pt>
                <c:pt idx="247">
                  <c:v>17799.445227060285</c:v>
                </c:pt>
                <c:pt idx="248">
                  <c:v>20059.606817405147</c:v>
                </c:pt>
                <c:pt idx="249">
                  <c:v>24302.841262383463</c:v>
                </c:pt>
                <c:pt idx="250">
                  <c:v>23094.180205698416</c:v>
                </c:pt>
                <c:pt idx="251">
                  <c:v>22248.48998676156</c:v>
                </c:pt>
                <c:pt idx="252">
                  <c:v>18829.001665171836</c:v>
                </c:pt>
                <c:pt idx="253">
                  <c:v>31545.174790146513</c:v>
                </c:pt>
                <c:pt idx="254">
                  <c:v>21792.334590881521</c:v>
                </c:pt>
                <c:pt idx="255">
                  <c:v>17444.28184823192</c:v>
                </c:pt>
                <c:pt idx="256">
                  <c:v>23908.05876798807</c:v>
                </c:pt>
                <c:pt idx="257">
                  <c:v>18942.971693383341</c:v>
                </c:pt>
                <c:pt idx="258">
                  <c:v>20766.334819715066</c:v>
                </c:pt>
                <c:pt idx="259">
                  <c:v>15245.495659760134</c:v>
                </c:pt>
                <c:pt idx="260">
                  <c:v>21175.281172295021</c:v>
                </c:pt>
                <c:pt idx="261">
                  <c:v>20182.940226651954</c:v>
                </c:pt>
                <c:pt idx="262">
                  <c:v>25603.973092448501</c:v>
                </c:pt>
                <c:pt idx="263">
                  <c:v>20106.282798755001</c:v>
                </c:pt>
                <c:pt idx="264">
                  <c:v>16195.09990910333</c:v>
                </c:pt>
                <c:pt idx="265">
                  <c:v>22026.263784241706</c:v>
                </c:pt>
                <c:pt idx="266">
                  <c:v>20953.441341785208</c:v>
                </c:pt>
                <c:pt idx="267">
                  <c:v>19479.060627719806</c:v>
                </c:pt>
                <c:pt idx="268">
                  <c:v>27844.372481238257</c:v>
                </c:pt>
                <c:pt idx="269">
                  <c:v>17228.493812838286</c:v>
                </c:pt>
                <c:pt idx="270">
                  <c:v>14654.689762036847</c:v>
                </c:pt>
                <c:pt idx="271">
                  <c:v>22943.488846698274</c:v>
                </c:pt>
                <c:pt idx="272">
                  <c:v>22619.638086586718</c:v>
                </c:pt>
                <c:pt idx="273">
                  <c:v>15374.041505536634</c:v>
                </c:pt>
                <c:pt idx="274">
                  <c:v>23135.694393536673</c:v>
                </c:pt>
                <c:pt idx="275">
                  <c:v>19957.508148793589</c:v>
                </c:pt>
                <c:pt idx="276">
                  <c:v>16946.854565455084</c:v>
                </c:pt>
                <c:pt idx="277">
                  <c:v>15563.836542210427</c:v>
                </c:pt>
                <c:pt idx="278">
                  <c:v>23464.130698021396</c:v>
                </c:pt>
                <c:pt idx="279">
                  <c:v>21756.164450243195</c:v>
                </c:pt>
                <c:pt idx="280">
                  <c:v>17311.645493191616</c:v>
                </c:pt>
                <c:pt idx="281">
                  <c:v>25268.625096608273</c:v>
                </c:pt>
                <c:pt idx="282">
                  <c:v>19145.110845096708</c:v>
                </c:pt>
                <c:pt idx="283">
                  <c:v>25788.693830708096</c:v>
                </c:pt>
                <c:pt idx="284">
                  <c:v>18946.8037298667</c:v>
                </c:pt>
                <c:pt idx="285">
                  <c:v>21953.332988493217</c:v>
                </c:pt>
                <c:pt idx="286">
                  <c:v>17977.519137886582</c:v>
                </c:pt>
                <c:pt idx="287">
                  <c:v>18280.519268138301</c:v>
                </c:pt>
                <c:pt idx="288">
                  <c:v>15492.165190816579</c:v>
                </c:pt>
                <c:pt idx="289">
                  <c:v>24694.413233318279</c:v>
                </c:pt>
                <c:pt idx="290">
                  <c:v>19010.843540333495</c:v>
                </c:pt>
                <c:pt idx="291">
                  <c:v>18960.285190705294</c:v>
                </c:pt>
                <c:pt idx="292">
                  <c:v>18176.087832093053</c:v>
                </c:pt>
                <c:pt idx="293">
                  <c:v>20274.338171260137</c:v>
                </c:pt>
                <c:pt idx="294">
                  <c:v>17915.391060048391</c:v>
                </c:pt>
                <c:pt idx="295">
                  <c:v>23821.455254918485</c:v>
                </c:pt>
                <c:pt idx="296">
                  <c:v>18115.550939999866</c:v>
                </c:pt>
                <c:pt idx="297">
                  <c:v>21513.360726654872</c:v>
                </c:pt>
                <c:pt idx="298">
                  <c:v>21072.680061596693</c:v>
                </c:pt>
                <c:pt idx="299">
                  <c:v>16635.844617433351</c:v>
                </c:pt>
                <c:pt idx="300">
                  <c:v>18994.162605123071</c:v>
                </c:pt>
                <c:pt idx="301">
                  <c:v>21920.244925776722</c:v>
                </c:pt>
                <c:pt idx="302">
                  <c:v>18578.153175613548</c:v>
                </c:pt>
                <c:pt idx="303">
                  <c:v>20758.276094024968</c:v>
                </c:pt>
                <c:pt idx="304">
                  <c:v>18004.690372101562</c:v>
                </c:pt>
                <c:pt idx="305">
                  <c:v>16983.519870574994</c:v>
                </c:pt>
                <c:pt idx="306">
                  <c:v>22051.873266724953</c:v>
                </c:pt>
                <c:pt idx="307">
                  <c:v>20428.220073330012</c:v>
                </c:pt>
                <c:pt idx="308">
                  <c:v>27679.642881060237</c:v>
                </c:pt>
                <c:pt idx="309">
                  <c:v>18721.630238043464</c:v>
                </c:pt>
                <c:pt idx="310">
                  <c:v>10292.973388091723</c:v>
                </c:pt>
                <c:pt idx="311">
                  <c:v>22657.741054691793</c:v>
                </c:pt>
                <c:pt idx="312">
                  <c:v>25524.989082203043</c:v>
                </c:pt>
                <c:pt idx="313">
                  <c:v>20653.191541968223</c:v>
                </c:pt>
                <c:pt idx="314">
                  <c:v>15558.890125096796</c:v>
                </c:pt>
                <c:pt idx="315">
                  <c:v>26656.863509170063</c:v>
                </c:pt>
                <c:pt idx="316">
                  <c:v>18818.730618606602</c:v>
                </c:pt>
                <c:pt idx="317">
                  <c:v>16372.912050901772</c:v>
                </c:pt>
                <c:pt idx="318">
                  <c:v>15681.49276526989</c:v>
                </c:pt>
                <c:pt idx="319">
                  <c:v>23173.149994033178</c:v>
                </c:pt>
                <c:pt idx="320">
                  <c:v>24083.628068843311</c:v>
                </c:pt>
                <c:pt idx="321">
                  <c:v>24849.291939713446</c:v>
                </c:pt>
                <c:pt idx="322">
                  <c:v>14285.421940693541</c:v>
                </c:pt>
                <c:pt idx="323">
                  <c:v>17559.97396979012</c:v>
                </c:pt>
                <c:pt idx="324">
                  <c:v>20518.99642957688</c:v>
                </c:pt>
                <c:pt idx="325">
                  <c:v>17778.084665568429</c:v>
                </c:pt>
                <c:pt idx="326">
                  <c:v>16723.976496436411</c:v>
                </c:pt>
                <c:pt idx="327">
                  <c:v>18130.85260038355</c:v>
                </c:pt>
                <c:pt idx="328">
                  <c:v>13809.212532115083</c:v>
                </c:pt>
                <c:pt idx="329">
                  <c:v>15662.09701257686</c:v>
                </c:pt>
                <c:pt idx="330">
                  <c:v>17815.054710035085</c:v>
                </c:pt>
                <c:pt idx="331">
                  <c:v>22998.610984328192</c:v>
                </c:pt>
                <c:pt idx="332">
                  <c:v>21920.874335516852</c:v>
                </c:pt>
                <c:pt idx="333">
                  <c:v>17917.695645066706</c:v>
                </c:pt>
                <c:pt idx="334">
                  <c:v>14953.826783336863</c:v>
                </c:pt>
                <c:pt idx="335">
                  <c:v>18580.744506173622</c:v>
                </c:pt>
                <c:pt idx="336">
                  <c:v>15495.788976018479</c:v>
                </c:pt>
                <c:pt idx="337">
                  <c:v>26116.949720094948</c:v>
                </c:pt>
                <c:pt idx="338">
                  <c:v>23687.144294723061</c:v>
                </c:pt>
                <c:pt idx="339">
                  <c:v>22864.710007178383</c:v>
                </c:pt>
                <c:pt idx="340">
                  <c:v>18527.59785759353</c:v>
                </c:pt>
                <c:pt idx="341">
                  <c:v>19135.579113996821</c:v>
                </c:pt>
                <c:pt idx="342">
                  <c:v>13914.70951009823</c:v>
                </c:pt>
                <c:pt idx="343">
                  <c:v>17515.915520976796</c:v>
                </c:pt>
                <c:pt idx="344">
                  <c:v>16518.619482093429</c:v>
                </c:pt>
                <c:pt idx="345">
                  <c:v>24527.777266761834</c:v>
                </c:pt>
                <c:pt idx="346">
                  <c:v>17648.07189036156</c:v>
                </c:pt>
                <c:pt idx="347">
                  <c:v>22260.649335611648</c:v>
                </c:pt>
                <c:pt idx="348">
                  <c:v>21653.48630024153</c:v>
                </c:pt>
                <c:pt idx="349">
                  <c:v>20746.503592723464</c:v>
                </c:pt>
                <c:pt idx="350">
                  <c:v>15020.723380524985</c:v>
                </c:pt>
                <c:pt idx="351">
                  <c:v>20497.544872528426</c:v>
                </c:pt>
                <c:pt idx="352">
                  <c:v>13281.41682902994</c:v>
                </c:pt>
                <c:pt idx="353">
                  <c:v>23922.354908621652</c:v>
                </c:pt>
                <c:pt idx="354">
                  <c:v>18729.19639451363</c:v>
                </c:pt>
                <c:pt idx="355">
                  <c:v>21214.223057961532</c:v>
                </c:pt>
                <c:pt idx="356">
                  <c:v>19595.235881944966</c:v>
                </c:pt>
                <c:pt idx="357">
                  <c:v>20340.231210291757</c:v>
                </c:pt>
                <c:pt idx="358">
                  <c:v>14740.447350226652</c:v>
                </c:pt>
                <c:pt idx="359">
                  <c:v>24127.242731794988</c:v>
                </c:pt>
                <c:pt idx="360">
                  <c:v>18418.405624591422</c:v>
                </c:pt>
                <c:pt idx="361">
                  <c:v>18009.082517671683</c:v>
                </c:pt>
                <c:pt idx="362">
                  <c:v>18566.714027750088</c:v>
                </c:pt>
                <c:pt idx="363">
                  <c:v>18739.203821386873</c:v>
                </c:pt>
                <c:pt idx="364">
                  <c:v>19632.492196788568</c:v>
                </c:pt>
                <c:pt idx="365">
                  <c:v>22768.925675588118</c:v>
                </c:pt>
                <c:pt idx="366">
                  <c:v>20169.023470556735</c:v>
                </c:pt>
                <c:pt idx="367">
                  <c:v>21417.184636689937</c:v>
                </c:pt>
                <c:pt idx="368">
                  <c:v>17694.046067048475</c:v>
                </c:pt>
                <c:pt idx="369">
                  <c:v>18836.892150055151</c:v>
                </c:pt>
                <c:pt idx="370">
                  <c:v>24043.93136123335</c:v>
                </c:pt>
                <c:pt idx="371">
                  <c:v>19990.026409848175</c:v>
                </c:pt>
                <c:pt idx="372">
                  <c:v>22038.129326888233</c:v>
                </c:pt>
                <c:pt idx="373">
                  <c:v>23114.644576531457</c:v>
                </c:pt>
                <c:pt idx="374">
                  <c:v>21713.433706420052</c:v>
                </c:pt>
                <c:pt idx="375">
                  <c:v>22340.767885664893</c:v>
                </c:pt>
                <c:pt idx="376">
                  <c:v>19050.839512393453</c:v>
                </c:pt>
                <c:pt idx="377">
                  <c:v>21275.601110903332</c:v>
                </c:pt>
                <c:pt idx="378">
                  <c:v>17731.681142208283</c:v>
                </c:pt>
                <c:pt idx="379">
                  <c:v>22741.10333523163</c:v>
                </c:pt>
                <c:pt idx="380">
                  <c:v>17872.978616843237</c:v>
                </c:pt>
                <c:pt idx="381">
                  <c:v>16424.543661136489</c:v>
                </c:pt>
                <c:pt idx="382">
                  <c:v>23744.24313275814</c:v>
                </c:pt>
                <c:pt idx="383">
                  <c:v>21149.348526246802</c:v>
                </c:pt>
                <c:pt idx="384">
                  <c:v>20814.485515473429</c:v>
                </c:pt>
                <c:pt idx="385">
                  <c:v>22492.367529928262</c:v>
                </c:pt>
                <c:pt idx="386">
                  <c:v>27378.547840914704</c:v>
                </c:pt>
                <c:pt idx="387">
                  <c:v>16538.794923833175</c:v>
                </c:pt>
                <c:pt idx="388">
                  <c:v>15155.522399681429</c:v>
                </c:pt>
                <c:pt idx="389">
                  <c:v>21738.79425068323</c:v>
                </c:pt>
                <c:pt idx="390">
                  <c:v>18955.074027353381</c:v>
                </c:pt>
                <c:pt idx="391">
                  <c:v>20832.55289149324</c:v>
                </c:pt>
                <c:pt idx="392">
                  <c:v>20457.167486376868</c:v>
                </c:pt>
                <c:pt idx="393">
                  <c:v>20144.612089399991</c:v>
                </c:pt>
                <c:pt idx="394">
                  <c:v>23286.577271779974</c:v>
                </c:pt>
                <c:pt idx="395">
                  <c:v>17834.827909683256</c:v>
                </c:pt>
                <c:pt idx="396">
                  <c:v>21945.376416731695</c:v>
                </c:pt>
                <c:pt idx="397">
                  <c:v>17251.068170081555</c:v>
                </c:pt>
                <c:pt idx="398">
                  <c:v>20928.537473323377</c:v>
                </c:pt>
                <c:pt idx="399">
                  <c:v>24527.112882641755</c:v>
                </c:pt>
                <c:pt idx="400">
                  <c:v>24143.500810505022</c:v>
                </c:pt>
                <c:pt idx="401">
                  <c:v>22378.858313194913</c:v>
                </c:pt>
                <c:pt idx="402">
                  <c:v>19757.093292326768</c:v>
                </c:pt>
                <c:pt idx="403">
                  <c:v>20419.700596970073</c:v>
                </c:pt>
                <c:pt idx="404">
                  <c:v>16221.558281851256</c:v>
                </c:pt>
                <c:pt idx="405">
                  <c:v>19904.653828156559</c:v>
                </c:pt>
                <c:pt idx="406">
                  <c:v>22366.491479493314</c:v>
                </c:pt>
                <c:pt idx="407">
                  <c:v>16403.060876693351</c:v>
                </c:pt>
                <c:pt idx="408">
                  <c:v>23673.654768745058</c:v>
                </c:pt>
                <c:pt idx="409">
                  <c:v>16496.957581746919</c:v>
                </c:pt>
                <c:pt idx="410">
                  <c:v>22013.524631809603</c:v>
                </c:pt>
                <c:pt idx="411">
                  <c:v>16356.606535215107</c:v>
                </c:pt>
                <c:pt idx="412">
                  <c:v>22478.597000813483</c:v>
                </c:pt>
                <c:pt idx="413">
                  <c:v>21014.516470499977</c:v>
                </c:pt>
                <c:pt idx="414">
                  <c:v>17185.609254401865</c:v>
                </c:pt>
                <c:pt idx="415">
                  <c:v>16704.075244329801</c:v>
                </c:pt>
                <c:pt idx="416">
                  <c:v>25038.883370369906</c:v>
                </c:pt>
                <c:pt idx="417">
                  <c:v>15095.948939781994</c:v>
                </c:pt>
                <c:pt idx="418">
                  <c:v>15776.156392699788</c:v>
                </c:pt>
                <c:pt idx="419">
                  <c:v>21500.937967051781</c:v>
                </c:pt>
                <c:pt idx="420">
                  <c:v>12894.505237381311</c:v>
                </c:pt>
                <c:pt idx="421">
                  <c:v>20862.467842599959</c:v>
                </c:pt>
                <c:pt idx="422">
                  <c:v>12891.147610473226</c:v>
                </c:pt>
                <c:pt idx="423">
                  <c:v>20054.356579436811</c:v>
                </c:pt>
                <c:pt idx="424">
                  <c:v>16930.902897097018</c:v>
                </c:pt>
                <c:pt idx="425">
                  <c:v>22007.719803296633</c:v>
                </c:pt>
                <c:pt idx="426">
                  <c:v>15309.517833011731</c:v>
                </c:pt>
                <c:pt idx="427">
                  <c:v>27669.786787641504</c:v>
                </c:pt>
                <c:pt idx="428">
                  <c:v>20101.434782233326</c:v>
                </c:pt>
                <c:pt idx="429">
                  <c:v>17081.849056933301</c:v>
                </c:pt>
                <c:pt idx="430">
                  <c:v>18050.116338114942</c:v>
                </c:pt>
                <c:pt idx="431">
                  <c:v>17755.195445280104</c:v>
                </c:pt>
                <c:pt idx="432">
                  <c:v>29422.521666506647</c:v>
                </c:pt>
                <c:pt idx="433">
                  <c:v>18376.333282371623</c:v>
                </c:pt>
                <c:pt idx="434">
                  <c:v>17164.042039163</c:v>
                </c:pt>
                <c:pt idx="435">
                  <c:v>26836.654232238347</c:v>
                </c:pt>
                <c:pt idx="436">
                  <c:v>21769.160985933362</c:v>
                </c:pt>
                <c:pt idx="437">
                  <c:v>20502.986177728435</c:v>
                </c:pt>
                <c:pt idx="438">
                  <c:v>18151.869124411711</c:v>
                </c:pt>
                <c:pt idx="439">
                  <c:v>18342.137232316676</c:v>
                </c:pt>
                <c:pt idx="440">
                  <c:v>20594.163381088245</c:v>
                </c:pt>
                <c:pt idx="441">
                  <c:v>19644.307783834996</c:v>
                </c:pt>
                <c:pt idx="442">
                  <c:v>16904.2860424299</c:v>
                </c:pt>
                <c:pt idx="443">
                  <c:v>21841.176572226661</c:v>
                </c:pt>
                <c:pt idx="444">
                  <c:v>23296.269527099856</c:v>
                </c:pt>
                <c:pt idx="445">
                  <c:v>20887.490705086573</c:v>
                </c:pt>
                <c:pt idx="446">
                  <c:v>19421.50803761142</c:v>
                </c:pt>
                <c:pt idx="447">
                  <c:v>18847.513710041512</c:v>
                </c:pt>
                <c:pt idx="448">
                  <c:v>17664.327065438381</c:v>
                </c:pt>
                <c:pt idx="449">
                  <c:v>18199.574450675114</c:v>
                </c:pt>
                <c:pt idx="450">
                  <c:v>18430.080911995126</c:v>
                </c:pt>
                <c:pt idx="451">
                  <c:v>18402.20322406846</c:v>
                </c:pt>
                <c:pt idx="452">
                  <c:v>17840.877763963552</c:v>
                </c:pt>
                <c:pt idx="453">
                  <c:v>17605.264918884695</c:v>
                </c:pt>
                <c:pt idx="454">
                  <c:v>22075.678426220053</c:v>
                </c:pt>
                <c:pt idx="455">
                  <c:v>23203.674444384968</c:v>
                </c:pt>
                <c:pt idx="456">
                  <c:v>21449.743318444824</c:v>
                </c:pt>
                <c:pt idx="457">
                  <c:v>19539.55679096331</c:v>
                </c:pt>
                <c:pt idx="458">
                  <c:v>19269.876081756862</c:v>
                </c:pt>
                <c:pt idx="459">
                  <c:v>22552.119029946844</c:v>
                </c:pt>
                <c:pt idx="460">
                  <c:v>22973.869388899901</c:v>
                </c:pt>
                <c:pt idx="461">
                  <c:v>20612.988238379912</c:v>
                </c:pt>
                <c:pt idx="462">
                  <c:v>17096.821301636701</c:v>
                </c:pt>
                <c:pt idx="463">
                  <c:v>23251.161441296495</c:v>
                </c:pt>
                <c:pt idx="464">
                  <c:v>20629.148000976696</c:v>
                </c:pt>
                <c:pt idx="465">
                  <c:v>24362.042178173397</c:v>
                </c:pt>
                <c:pt idx="466">
                  <c:v>13491.150526736661</c:v>
                </c:pt>
                <c:pt idx="467">
                  <c:v>15311.456877183542</c:v>
                </c:pt>
                <c:pt idx="468">
                  <c:v>23258.653700109906</c:v>
                </c:pt>
                <c:pt idx="469">
                  <c:v>21740.804901030089</c:v>
                </c:pt>
                <c:pt idx="470">
                  <c:v>15831.574134164995</c:v>
                </c:pt>
                <c:pt idx="471">
                  <c:v>15292.828995715005</c:v>
                </c:pt>
                <c:pt idx="472">
                  <c:v>16331.140006393318</c:v>
                </c:pt>
                <c:pt idx="473">
                  <c:v>16874.879951366773</c:v>
                </c:pt>
                <c:pt idx="474">
                  <c:v>18498.665014754934</c:v>
                </c:pt>
                <c:pt idx="475">
                  <c:v>19010.552748157897</c:v>
                </c:pt>
                <c:pt idx="476">
                  <c:v>20784.537270923698</c:v>
                </c:pt>
                <c:pt idx="477">
                  <c:v>21619.286769584989</c:v>
                </c:pt>
                <c:pt idx="478">
                  <c:v>20476.33419860683</c:v>
                </c:pt>
                <c:pt idx="479">
                  <c:v>22521.086937009721</c:v>
                </c:pt>
                <c:pt idx="480">
                  <c:v>17809.847146178257</c:v>
                </c:pt>
                <c:pt idx="481">
                  <c:v>21406.71135777999</c:v>
                </c:pt>
                <c:pt idx="482">
                  <c:v>17098.609799773785</c:v>
                </c:pt>
                <c:pt idx="483">
                  <c:v>18310.261996348298</c:v>
                </c:pt>
                <c:pt idx="484">
                  <c:v>16141.721626261653</c:v>
                </c:pt>
                <c:pt idx="485">
                  <c:v>17615.104438053444</c:v>
                </c:pt>
                <c:pt idx="486">
                  <c:v>18923.636864187123</c:v>
                </c:pt>
                <c:pt idx="487">
                  <c:v>22113.812878165212</c:v>
                </c:pt>
                <c:pt idx="488">
                  <c:v>20484.302790958427</c:v>
                </c:pt>
                <c:pt idx="489">
                  <c:v>22498.648705139905</c:v>
                </c:pt>
                <c:pt idx="490">
                  <c:v>21576.132146010164</c:v>
                </c:pt>
                <c:pt idx="491">
                  <c:v>21336.306148351836</c:v>
                </c:pt>
                <c:pt idx="492">
                  <c:v>23175.468749146828</c:v>
                </c:pt>
                <c:pt idx="493">
                  <c:v>22710.110324895024</c:v>
                </c:pt>
                <c:pt idx="494">
                  <c:v>19985.174377619966</c:v>
                </c:pt>
                <c:pt idx="495">
                  <c:v>21772.90551356654</c:v>
                </c:pt>
                <c:pt idx="496">
                  <c:v>18983.949837581462</c:v>
                </c:pt>
                <c:pt idx="497">
                  <c:v>21869.238150519945</c:v>
                </c:pt>
                <c:pt idx="498">
                  <c:v>17062.258470398017</c:v>
                </c:pt>
                <c:pt idx="499">
                  <c:v>23760.689003428335</c:v>
                </c:pt>
                <c:pt idx="500">
                  <c:v>23660.859144813221</c:v>
                </c:pt>
                <c:pt idx="501">
                  <c:v>20166.474589149893</c:v>
                </c:pt>
                <c:pt idx="502">
                  <c:v>21001.009010793659</c:v>
                </c:pt>
                <c:pt idx="503">
                  <c:v>16263.703138396504</c:v>
                </c:pt>
                <c:pt idx="504">
                  <c:v>21567.295538808336</c:v>
                </c:pt>
                <c:pt idx="505">
                  <c:v>23702.771304901522</c:v>
                </c:pt>
                <c:pt idx="506">
                  <c:v>21380.143814075069</c:v>
                </c:pt>
                <c:pt idx="507">
                  <c:v>18528.963446145124</c:v>
                </c:pt>
                <c:pt idx="508">
                  <c:v>18722.100323865059</c:v>
                </c:pt>
                <c:pt idx="509">
                  <c:v>22192.048470114984</c:v>
                </c:pt>
                <c:pt idx="510">
                  <c:v>23068.594068831582</c:v>
                </c:pt>
                <c:pt idx="511">
                  <c:v>23695.174074938444</c:v>
                </c:pt>
                <c:pt idx="512">
                  <c:v>19064.795436481909</c:v>
                </c:pt>
                <c:pt idx="513">
                  <c:v>21640.639072546826</c:v>
                </c:pt>
                <c:pt idx="514">
                  <c:v>22986.142114094724</c:v>
                </c:pt>
                <c:pt idx="515">
                  <c:v>18714.993094863501</c:v>
                </c:pt>
                <c:pt idx="516">
                  <c:v>18381.572156563128</c:v>
                </c:pt>
                <c:pt idx="517">
                  <c:v>16289.410691011504</c:v>
                </c:pt>
                <c:pt idx="518">
                  <c:v>18381.977043880182</c:v>
                </c:pt>
                <c:pt idx="519">
                  <c:v>16625.959258746665</c:v>
                </c:pt>
                <c:pt idx="520">
                  <c:v>18855.513047499975</c:v>
                </c:pt>
                <c:pt idx="521">
                  <c:v>15360.05970378346</c:v>
                </c:pt>
                <c:pt idx="522">
                  <c:v>18261.038837440316</c:v>
                </c:pt>
                <c:pt idx="523">
                  <c:v>20247.054617516456</c:v>
                </c:pt>
                <c:pt idx="524">
                  <c:v>18632.511058709799</c:v>
                </c:pt>
                <c:pt idx="525">
                  <c:v>22457.000205418175</c:v>
                </c:pt>
                <c:pt idx="526">
                  <c:v>17722.281154203349</c:v>
                </c:pt>
                <c:pt idx="527">
                  <c:v>24828.753584729639</c:v>
                </c:pt>
                <c:pt idx="528">
                  <c:v>17269.67482041155</c:v>
                </c:pt>
                <c:pt idx="529">
                  <c:v>17102.775367204937</c:v>
                </c:pt>
                <c:pt idx="530">
                  <c:v>20925.174056726726</c:v>
                </c:pt>
                <c:pt idx="531">
                  <c:v>16563.227672707955</c:v>
                </c:pt>
                <c:pt idx="532">
                  <c:v>17323.855347721688</c:v>
                </c:pt>
                <c:pt idx="533">
                  <c:v>21683.936567713259</c:v>
                </c:pt>
                <c:pt idx="534">
                  <c:v>15774.338682823562</c:v>
                </c:pt>
                <c:pt idx="535">
                  <c:v>20837.159483446758</c:v>
                </c:pt>
                <c:pt idx="536">
                  <c:v>23681.615977616682</c:v>
                </c:pt>
                <c:pt idx="537">
                  <c:v>16968.599035508243</c:v>
                </c:pt>
                <c:pt idx="538">
                  <c:v>17154.541172021505</c:v>
                </c:pt>
                <c:pt idx="539">
                  <c:v>18818.392633071577</c:v>
                </c:pt>
                <c:pt idx="540">
                  <c:v>18486.836914211621</c:v>
                </c:pt>
                <c:pt idx="541">
                  <c:v>18296.709475159918</c:v>
                </c:pt>
                <c:pt idx="542">
                  <c:v>18242.072233260013</c:v>
                </c:pt>
                <c:pt idx="543">
                  <c:v>21371.923356946591</c:v>
                </c:pt>
                <c:pt idx="544">
                  <c:v>19377.69053289861</c:v>
                </c:pt>
                <c:pt idx="545">
                  <c:v>17854.000852656372</c:v>
                </c:pt>
                <c:pt idx="546">
                  <c:v>24682.765514263207</c:v>
                </c:pt>
                <c:pt idx="547">
                  <c:v>19069.690019776514</c:v>
                </c:pt>
                <c:pt idx="548">
                  <c:v>17785.300063979787</c:v>
                </c:pt>
                <c:pt idx="549">
                  <c:v>22544.520035206282</c:v>
                </c:pt>
                <c:pt idx="550">
                  <c:v>16202.510734050165</c:v>
                </c:pt>
                <c:pt idx="551">
                  <c:v>29063.90712993015</c:v>
                </c:pt>
                <c:pt idx="552">
                  <c:v>18218.273623869885</c:v>
                </c:pt>
                <c:pt idx="553">
                  <c:v>17967.082457944958</c:v>
                </c:pt>
                <c:pt idx="554">
                  <c:v>17691.403210996708</c:v>
                </c:pt>
                <c:pt idx="555">
                  <c:v>22443.418901973368</c:v>
                </c:pt>
                <c:pt idx="556">
                  <c:v>25036.628017530253</c:v>
                </c:pt>
                <c:pt idx="557">
                  <c:v>19545.661662853377</c:v>
                </c:pt>
                <c:pt idx="558">
                  <c:v>21045.066985511599</c:v>
                </c:pt>
                <c:pt idx="559">
                  <c:v>20604.237831276569</c:v>
                </c:pt>
                <c:pt idx="560">
                  <c:v>20924.366721605056</c:v>
                </c:pt>
                <c:pt idx="561">
                  <c:v>19320.251222509851</c:v>
                </c:pt>
                <c:pt idx="562">
                  <c:v>18500.232518708173</c:v>
                </c:pt>
                <c:pt idx="563">
                  <c:v>21945.359440441847</c:v>
                </c:pt>
                <c:pt idx="564">
                  <c:v>23259.653946363396</c:v>
                </c:pt>
                <c:pt idx="565">
                  <c:v>21319.836860484902</c:v>
                </c:pt>
                <c:pt idx="566">
                  <c:v>15295.723487088051</c:v>
                </c:pt>
                <c:pt idx="567">
                  <c:v>15411.391570270047</c:v>
                </c:pt>
                <c:pt idx="568">
                  <c:v>17572.794424483396</c:v>
                </c:pt>
                <c:pt idx="569">
                  <c:v>19046.722271538114</c:v>
                </c:pt>
                <c:pt idx="570">
                  <c:v>22843.033104850027</c:v>
                </c:pt>
                <c:pt idx="571">
                  <c:v>24270.060465434937</c:v>
                </c:pt>
                <c:pt idx="572">
                  <c:v>18258.612415098265</c:v>
                </c:pt>
                <c:pt idx="573">
                  <c:v>22495.202798653365</c:v>
                </c:pt>
                <c:pt idx="574">
                  <c:v>17002.481233121671</c:v>
                </c:pt>
                <c:pt idx="575">
                  <c:v>19366.058343641511</c:v>
                </c:pt>
                <c:pt idx="576">
                  <c:v>19494.978090534973</c:v>
                </c:pt>
                <c:pt idx="577">
                  <c:v>22967.543837311776</c:v>
                </c:pt>
                <c:pt idx="578">
                  <c:v>16384.595801659692</c:v>
                </c:pt>
                <c:pt idx="579">
                  <c:v>24185.113307451709</c:v>
                </c:pt>
                <c:pt idx="580">
                  <c:v>20383.565915771571</c:v>
                </c:pt>
                <c:pt idx="581">
                  <c:v>18785.931877289797</c:v>
                </c:pt>
                <c:pt idx="582">
                  <c:v>20604.325057514965</c:v>
                </c:pt>
                <c:pt idx="583">
                  <c:v>21593.220779713578</c:v>
                </c:pt>
                <c:pt idx="584">
                  <c:v>17014.056309616673</c:v>
                </c:pt>
                <c:pt idx="585">
                  <c:v>18466.409820093337</c:v>
                </c:pt>
                <c:pt idx="586">
                  <c:v>21200.194763701507</c:v>
                </c:pt>
                <c:pt idx="587">
                  <c:v>21023.159789019977</c:v>
                </c:pt>
                <c:pt idx="588">
                  <c:v>18065.809827034973</c:v>
                </c:pt>
                <c:pt idx="589">
                  <c:v>21139.737830285005</c:v>
                </c:pt>
                <c:pt idx="590">
                  <c:v>16186.695412756439</c:v>
                </c:pt>
                <c:pt idx="591">
                  <c:v>21185.558334398102</c:v>
                </c:pt>
                <c:pt idx="592">
                  <c:v>21178.311870459958</c:v>
                </c:pt>
                <c:pt idx="593">
                  <c:v>24911.124703263664</c:v>
                </c:pt>
                <c:pt idx="594">
                  <c:v>16536.63421221478</c:v>
                </c:pt>
                <c:pt idx="595">
                  <c:v>20463.046914378345</c:v>
                </c:pt>
                <c:pt idx="596">
                  <c:v>21975.004498698603</c:v>
                </c:pt>
                <c:pt idx="597">
                  <c:v>21682.351109311741</c:v>
                </c:pt>
                <c:pt idx="598">
                  <c:v>21345.063304774874</c:v>
                </c:pt>
                <c:pt idx="599">
                  <c:v>21080.575861933597</c:v>
                </c:pt>
                <c:pt idx="600">
                  <c:v>24048.831083258563</c:v>
                </c:pt>
                <c:pt idx="601">
                  <c:v>17339.557657636553</c:v>
                </c:pt>
                <c:pt idx="602">
                  <c:v>22472.130982643426</c:v>
                </c:pt>
                <c:pt idx="603">
                  <c:v>22348.474559138314</c:v>
                </c:pt>
                <c:pt idx="604">
                  <c:v>20277.111795400077</c:v>
                </c:pt>
                <c:pt idx="605">
                  <c:v>22546.133267384659</c:v>
                </c:pt>
                <c:pt idx="606">
                  <c:v>25847.888461783372</c:v>
                </c:pt>
                <c:pt idx="607">
                  <c:v>21507.835066397984</c:v>
                </c:pt>
                <c:pt idx="608">
                  <c:v>18078.954095403307</c:v>
                </c:pt>
                <c:pt idx="609">
                  <c:v>21099.816527244817</c:v>
                </c:pt>
                <c:pt idx="610">
                  <c:v>24124.42659473504</c:v>
                </c:pt>
                <c:pt idx="611">
                  <c:v>18188.81130986975</c:v>
                </c:pt>
                <c:pt idx="612">
                  <c:v>15286.997287589782</c:v>
                </c:pt>
                <c:pt idx="613">
                  <c:v>21931.371412886794</c:v>
                </c:pt>
                <c:pt idx="614">
                  <c:v>13253.504297564967</c:v>
                </c:pt>
                <c:pt idx="615">
                  <c:v>27559.03692703299</c:v>
                </c:pt>
                <c:pt idx="616">
                  <c:v>16941.798885065102</c:v>
                </c:pt>
                <c:pt idx="617">
                  <c:v>22430.197147006646</c:v>
                </c:pt>
                <c:pt idx="618">
                  <c:v>14117.7016645065</c:v>
                </c:pt>
                <c:pt idx="619">
                  <c:v>22792.888171075374</c:v>
                </c:pt>
                <c:pt idx="620">
                  <c:v>22458.862139311765</c:v>
                </c:pt>
                <c:pt idx="621">
                  <c:v>20831.157251888355</c:v>
                </c:pt>
                <c:pt idx="622">
                  <c:v>22572.845048266601</c:v>
                </c:pt>
                <c:pt idx="623">
                  <c:v>20981.478706768361</c:v>
                </c:pt>
                <c:pt idx="624">
                  <c:v>20121.242348591681</c:v>
                </c:pt>
                <c:pt idx="625">
                  <c:v>20183.053619115006</c:v>
                </c:pt>
                <c:pt idx="626">
                  <c:v>20601.631286158208</c:v>
                </c:pt>
                <c:pt idx="627">
                  <c:v>26478.617123591674</c:v>
                </c:pt>
                <c:pt idx="628">
                  <c:v>22500.959306343375</c:v>
                </c:pt>
                <c:pt idx="629">
                  <c:v>17644.835159653252</c:v>
                </c:pt>
                <c:pt idx="630">
                  <c:v>28446.786150073196</c:v>
                </c:pt>
                <c:pt idx="631">
                  <c:v>22015.368059051696</c:v>
                </c:pt>
                <c:pt idx="632">
                  <c:v>16376.99787320167</c:v>
                </c:pt>
                <c:pt idx="633">
                  <c:v>20848.556569078366</c:v>
                </c:pt>
                <c:pt idx="634">
                  <c:v>19085.890027558373</c:v>
                </c:pt>
                <c:pt idx="635">
                  <c:v>16038.949816513496</c:v>
                </c:pt>
                <c:pt idx="636">
                  <c:v>20125.300397576659</c:v>
                </c:pt>
                <c:pt idx="637">
                  <c:v>24706.27396235818</c:v>
                </c:pt>
                <c:pt idx="638">
                  <c:v>22070.653473495066</c:v>
                </c:pt>
                <c:pt idx="639">
                  <c:v>18228.275833229738</c:v>
                </c:pt>
                <c:pt idx="640">
                  <c:v>18887.52728481176</c:v>
                </c:pt>
                <c:pt idx="641">
                  <c:v>21957.773622458666</c:v>
                </c:pt>
                <c:pt idx="642">
                  <c:v>19036.695857901708</c:v>
                </c:pt>
                <c:pt idx="643">
                  <c:v>18282.441512455098</c:v>
                </c:pt>
                <c:pt idx="644">
                  <c:v>18356.427590810184</c:v>
                </c:pt>
                <c:pt idx="645">
                  <c:v>18127.030531781686</c:v>
                </c:pt>
                <c:pt idx="646">
                  <c:v>23482.814805473186</c:v>
                </c:pt>
                <c:pt idx="647">
                  <c:v>18353.588513326777</c:v>
                </c:pt>
                <c:pt idx="648">
                  <c:v>19292.890381273523</c:v>
                </c:pt>
                <c:pt idx="649">
                  <c:v>16897.518466748119</c:v>
                </c:pt>
                <c:pt idx="650">
                  <c:v>19432.729834329952</c:v>
                </c:pt>
                <c:pt idx="651">
                  <c:v>25118.393691191515</c:v>
                </c:pt>
                <c:pt idx="652">
                  <c:v>16972.775078057981</c:v>
                </c:pt>
                <c:pt idx="653">
                  <c:v>17455.026860729977</c:v>
                </c:pt>
                <c:pt idx="654">
                  <c:v>21976.730048436704</c:v>
                </c:pt>
                <c:pt idx="655">
                  <c:v>17092.338648924971</c:v>
                </c:pt>
                <c:pt idx="656">
                  <c:v>27095.418886098327</c:v>
                </c:pt>
                <c:pt idx="657">
                  <c:v>20650.234090991569</c:v>
                </c:pt>
                <c:pt idx="658">
                  <c:v>23532.088473654934</c:v>
                </c:pt>
                <c:pt idx="659">
                  <c:v>15344.892369579924</c:v>
                </c:pt>
                <c:pt idx="660">
                  <c:v>19644.441252373072</c:v>
                </c:pt>
                <c:pt idx="661">
                  <c:v>18720.223605855248</c:v>
                </c:pt>
                <c:pt idx="662">
                  <c:v>20014.287643110027</c:v>
                </c:pt>
                <c:pt idx="663">
                  <c:v>14184.534909581293</c:v>
                </c:pt>
                <c:pt idx="664">
                  <c:v>21765.327837361547</c:v>
                </c:pt>
                <c:pt idx="665">
                  <c:v>22892.381563347983</c:v>
                </c:pt>
                <c:pt idx="666">
                  <c:v>19414.368680974643</c:v>
                </c:pt>
                <c:pt idx="667">
                  <c:v>17466.508749458313</c:v>
                </c:pt>
                <c:pt idx="668">
                  <c:v>18586.693184428168</c:v>
                </c:pt>
                <c:pt idx="669">
                  <c:v>16643.429596804999</c:v>
                </c:pt>
                <c:pt idx="670">
                  <c:v>13065.353572066562</c:v>
                </c:pt>
                <c:pt idx="671">
                  <c:v>17615.885245305006</c:v>
                </c:pt>
                <c:pt idx="672">
                  <c:v>21041.371154303095</c:v>
                </c:pt>
                <c:pt idx="673">
                  <c:v>17062.946477643502</c:v>
                </c:pt>
                <c:pt idx="674">
                  <c:v>17333.207679573359</c:v>
                </c:pt>
                <c:pt idx="675">
                  <c:v>19018.877136081614</c:v>
                </c:pt>
                <c:pt idx="676">
                  <c:v>20445.077622748529</c:v>
                </c:pt>
                <c:pt idx="677">
                  <c:v>17962.76142501508</c:v>
                </c:pt>
                <c:pt idx="678">
                  <c:v>17711.296028078377</c:v>
                </c:pt>
                <c:pt idx="679">
                  <c:v>21574.581062371391</c:v>
                </c:pt>
                <c:pt idx="680">
                  <c:v>24867.040391665021</c:v>
                </c:pt>
                <c:pt idx="681">
                  <c:v>26215.807798653499</c:v>
                </c:pt>
                <c:pt idx="682">
                  <c:v>25018.613986823264</c:v>
                </c:pt>
                <c:pt idx="683">
                  <c:v>23965.764297820169</c:v>
                </c:pt>
                <c:pt idx="684">
                  <c:v>18960.749648614881</c:v>
                </c:pt>
                <c:pt idx="685">
                  <c:v>20888.479252993755</c:v>
                </c:pt>
                <c:pt idx="686">
                  <c:v>19964.341662271465</c:v>
                </c:pt>
                <c:pt idx="687">
                  <c:v>22754.647755336642</c:v>
                </c:pt>
                <c:pt idx="688">
                  <c:v>16970.527869783273</c:v>
                </c:pt>
                <c:pt idx="689">
                  <c:v>14114.586516131771</c:v>
                </c:pt>
                <c:pt idx="690">
                  <c:v>21204.409100153222</c:v>
                </c:pt>
                <c:pt idx="691">
                  <c:v>15932.344815216711</c:v>
                </c:pt>
                <c:pt idx="692">
                  <c:v>17842.873328380138</c:v>
                </c:pt>
                <c:pt idx="693">
                  <c:v>24634.400439218098</c:v>
                </c:pt>
                <c:pt idx="694">
                  <c:v>25161.323951838331</c:v>
                </c:pt>
                <c:pt idx="695">
                  <c:v>20498.084123493427</c:v>
                </c:pt>
                <c:pt idx="696">
                  <c:v>19753.481371813399</c:v>
                </c:pt>
                <c:pt idx="697">
                  <c:v>22853.153082994955</c:v>
                </c:pt>
                <c:pt idx="698">
                  <c:v>25416.787070481776</c:v>
                </c:pt>
                <c:pt idx="699">
                  <c:v>23759.927818556771</c:v>
                </c:pt>
                <c:pt idx="700">
                  <c:v>17109.992117501515</c:v>
                </c:pt>
                <c:pt idx="701">
                  <c:v>15616.360262854918</c:v>
                </c:pt>
                <c:pt idx="702">
                  <c:v>18702.916077981772</c:v>
                </c:pt>
                <c:pt idx="703">
                  <c:v>17746.450660765149</c:v>
                </c:pt>
                <c:pt idx="704">
                  <c:v>24166.618957396615</c:v>
                </c:pt>
                <c:pt idx="705">
                  <c:v>18616.325085561908</c:v>
                </c:pt>
                <c:pt idx="706">
                  <c:v>16850.856846311566</c:v>
                </c:pt>
                <c:pt idx="707">
                  <c:v>19803.85284072323</c:v>
                </c:pt>
                <c:pt idx="708">
                  <c:v>21361.070723114743</c:v>
                </c:pt>
                <c:pt idx="709">
                  <c:v>18341.438485849947</c:v>
                </c:pt>
                <c:pt idx="710">
                  <c:v>23112.953849429974</c:v>
                </c:pt>
                <c:pt idx="711">
                  <c:v>12468.970455166451</c:v>
                </c:pt>
                <c:pt idx="712">
                  <c:v>22354.148830403417</c:v>
                </c:pt>
                <c:pt idx="713">
                  <c:v>24765.602423078377</c:v>
                </c:pt>
                <c:pt idx="714">
                  <c:v>21267.847444120103</c:v>
                </c:pt>
                <c:pt idx="715">
                  <c:v>20121.387188390159</c:v>
                </c:pt>
                <c:pt idx="716">
                  <c:v>23493.702736201496</c:v>
                </c:pt>
                <c:pt idx="717">
                  <c:v>17335.665650535189</c:v>
                </c:pt>
                <c:pt idx="718">
                  <c:v>20923.224839563489</c:v>
                </c:pt>
                <c:pt idx="719">
                  <c:v>22559.839358281726</c:v>
                </c:pt>
                <c:pt idx="720">
                  <c:v>18686.012500933153</c:v>
                </c:pt>
                <c:pt idx="721">
                  <c:v>15700.988505601721</c:v>
                </c:pt>
                <c:pt idx="722">
                  <c:v>24030.188484988292</c:v>
                </c:pt>
                <c:pt idx="723">
                  <c:v>17277.382723796607</c:v>
                </c:pt>
                <c:pt idx="724">
                  <c:v>20153.886934965216</c:v>
                </c:pt>
                <c:pt idx="725">
                  <c:v>18972.714094294959</c:v>
                </c:pt>
                <c:pt idx="726">
                  <c:v>20800.353726166657</c:v>
                </c:pt>
                <c:pt idx="727">
                  <c:v>25993.781779958405</c:v>
                </c:pt>
                <c:pt idx="728">
                  <c:v>20672.184092266798</c:v>
                </c:pt>
                <c:pt idx="729">
                  <c:v>19798.181751776752</c:v>
                </c:pt>
                <c:pt idx="730">
                  <c:v>22125.782506551386</c:v>
                </c:pt>
                <c:pt idx="731">
                  <c:v>26925.113623986697</c:v>
                </c:pt>
                <c:pt idx="732">
                  <c:v>19072.690764943094</c:v>
                </c:pt>
                <c:pt idx="733">
                  <c:v>20373.697902875087</c:v>
                </c:pt>
                <c:pt idx="734">
                  <c:v>16501.232420421515</c:v>
                </c:pt>
                <c:pt idx="735">
                  <c:v>15029.311732483373</c:v>
                </c:pt>
                <c:pt idx="736">
                  <c:v>20598.374397501728</c:v>
                </c:pt>
                <c:pt idx="737">
                  <c:v>17256.430028266706</c:v>
                </c:pt>
                <c:pt idx="738">
                  <c:v>17441.422799065029</c:v>
                </c:pt>
                <c:pt idx="739">
                  <c:v>17890.829553491298</c:v>
                </c:pt>
                <c:pt idx="740">
                  <c:v>14670.245391673248</c:v>
                </c:pt>
                <c:pt idx="741">
                  <c:v>22417.927083071652</c:v>
                </c:pt>
                <c:pt idx="742">
                  <c:v>15815.393448245322</c:v>
                </c:pt>
                <c:pt idx="743">
                  <c:v>19112.643556130173</c:v>
                </c:pt>
                <c:pt idx="744">
                  <c:v>23681.080093520111</c:v>
                </c:pt>
                <c:pt idx="745">
                  <c:v>17140.980498254718</c:v>
                </c:pt>
                <c:pt idx="746">
                  <c:v>26185.29665328193</c:v>
                </c:pt>
                <c:pt idx="747">
                  <c:v>20880.910611160143</c:v>
                </c:pt>
                <c:pt idx="748">
                  <c:v>21166.391041608309</c:v>
                </c:pt>
                <c:pt idx="749">
                  <c:v>22985.761350101595</c:v>
                </c:pt>
                <c:pt idx="750">
                  <c:v>22094.970042760073</c:v>
                </c:pt>
                <c:pt idx="751">
                  <c:v>18338.538538556502</c:v>
                </c:pt>
                <c:pt idx="752">
                  <c:v>19487.995891978415</c:v>
                </c:pt>
                <c:pt idx="753">
                  <c:v>21495.095633795037</c:v>
                </c:pt>
                <c:pt idx="754">
                  <c:v>18338.787183009954</c:v>
                </c:pt>
                <c:pt idx="755">
                  <c:v>15193.867068453259</c:v>
                </c:pt>
                <c:pt idx="756">
                  <c:v>20321.638283218537</c:v>
                </c:pt>
                <c:pt idx="757">
                  <c:v>25552.159445548292</c:v>
                </c:pt>
                <c:pt idx="758">
                  <c:v>15021.224906528063</c:v>
                </c:pt>
                <c:pt idx="759">
                  <c:v>20197.1422549749</c:v>
                </c:pt>
                <c:pt idx="760">
                  <c:v>18466.598235021709</c:v>
                </c:pt>
                <c:pt idx="761">
                  <c:v>22518.209638313434</c:v>
                </c:pt>
                <c:pt idx="762">
                  <c:v>26619.00799077507</c:v>
                </c:pt>
                <c:pt idx="763">
                  <c:v>21237.529422971871</c:v>
                </c:pt>
                <c:pt idx="764">
                  <c:v>24823.584692766515</c:v>
                </c:pt>
                <c:pt idx="765">
                  <c:v>19277.821450198124</c:v>
                </c:pt>
                <c:pt idx="766">
                  <c:v>14615.019024128398</c:v>
                </c:pt>
                <c:pt idx="767">
                  <c:v>20857.708353101632</c:v>
                </c:pt>
                <c:pt idx="768">
                  <c:v>17676.371620294944</c:v>
                </c:pt>
                <c:pt idx="769">
                  <c:v>16650.048941016659</c:v>
                </c:pt>
                <c:pt idx="770">
                  <c:v>21657.856315066652</c:v>
                </c:pt>
                <c:pt idx="771">
                  <c:v>22595.819296490125</c:v>
                </c:pt>
                <c:pt idx="772">
                  <c:v>27176.55411894311</c:v>
                </c:pt>
                <c:pt idx="773">
                  <c:v>19540.916716421794</c:v>
                </c:pt>
                <c:pt idx="774">
                  <c:v>14452.305844085227</c:v>
                </c:pt>
                <c:pt idx="775">
                  <c:v>23659.632441279526</c:v>
                </c:pt>
                <c:pt idx="776">
                  <c:v>25476.406041786842</c:v>
                </c:pt>
                <c:pt idx="777">
                  <c:v>20437.598530093128</c:v>
                </c:pt>
                <c:pt idx="778">
                  <c:v>23940.560959221781</c:v>
                </c:pt>
                <c:pt idx="779">
                  <c:v>17776.698424203223</c:v>
                </c:pt>
                <c:pt idx="780">
                  <c:v>18249.051705265047</c:v>
                </c:pt>
                <c:pt idx="781">
                  <c:v>24302.069502331644</c:v>
                </c:pt>
                <c:pt idx="782">
                  <c:v>21107.020496181482</c:v>
                </c:pt>
                <c:pt idx="783">
                  <c:v>17997.526354304951</c:v>
                </c:pt>
                <c:pt idx="784">
                  <c:v>31998.900881996724</c:v>
                </c:pt>
                <c:pt idx="785">
                  <c:v>18693.641158349936</c:v>
                </c:pt>
                <c:pt idx="786">
                  <c:v>20145.680141338296</c:v>
                </c:pt>
                <c:pt idx="787">
                  <c:v>23260.634583743547</c:v>
                </c:pt>
                <c:pt idx="788">
                  <c:v>18405.069117571791</c:v>
                </c:pt>
                <c:pt idx="789">
                  <c:v>17557.586700118263</c:v>
                </c:pt>
                <c:pt idx="790">
                  <c:v>25673.669650930202</c:v>
                </c:pt>
                <c:pt idx="791">
                  <c:v>24803.870023740084</c:v>
                </c:pt>
                <c:pt idx="792">
                  <c:v>18035.542200576769</c:v>
                </c:pt>
                <c:pt idx="793">
                  <c:v>21198.172966853374</c:v>
                </c:pt>
                <c:pt idx="794">
                  <c:v>21525.983177515056</c:v>
                </c:pt>
                <c:pt idx="795">
                  <c:v>23834.718238963498</c:v>
                </c:pt>
                <c:pt idx="796">
                  <c:v>23184.749558806798</c:v>
                </c:pt>
                <c:pt idx="797">
                  <c:v>17746.273278882014</c:v>
                </c:pt>
                <c:pt idx="798">
                  <c:v>21215.505351786582</c:v>
                </c:pt>
                <c:pt idx="799">
                  <c:v>16225.830313340031</c:v>
                </c:pt>
                <c:pt idx="800">
                  <c:v>21678.411729354957</c:v>
                </c:pt>
                <c:pt idx="801">
                  <c:v>22820.243416468358</c:v>
                </c:pt>
                <c:pt idx="802">
                  <c:v>18119.259494938251</c:v>
                </c:pt>
                <c:pt idx="803">
                  <c:v>21409.627089189817</c:v>
                </c:pt>
                <c:pt idx="804">
                  <c:v>16559.919231541346</c:v>
                </c:pt>
                <c:pt idx="805">
                  <c:v>13905.681284353444</c:v>
                </c:pt>
                <c:pt idx="806">
                  <c:v>23034.433467553506</c:v>
                </c:pt>
                <c:pt idx="807">
                  <c:v>23488.864316678355</c:v>
                </c:pt>
                <c:pt idx="808">
                  <c:v>18793.637079404911</c:v>
                </c:pt>
                <c:pt idx="809">
                  <c:v>20166.278625354735</c:v>
                </c:pt>
                <c:pt idx="810">
                  <c:v>16603.485158999909</c:v>
                </c:pt>
                <c:pt idx="811">
                  <c:v>16951.401794139758</c:v>
                </c:pt>
                <c:pt idx="812">
                  <c:v>17657.404632549915</c:v>
                </c:pt>
                <c:pt idx="813">
                  <c:v>19047.494284259858</c:v>
                </c:pt>
                <c:pt idx="814">
                  <c:v>15774.968420513243</c:v>
                </c:pt>
                <c:pt idx="815">
                  <c:v>25211.907191419945</c:v>
                </c:pt>
                <c:pt idx="816">
                  <c:v>21681.061794036501</c:v>
                </c:pt>
                <c:pt idx="817">
                  <c:v>22826.932496586422</c:v>
                </c:pt>
                <c:pt idx="818">
                  <c:v>17718.858782583113</c:v>
                </c:pt>
                <c:pt idx="819">
                  <c:v>20916.284419884894</c:v>
                </c:pt>
                <c:pt idx="820">
                  <c:v>18024.230100043409</c:v>
                </c:pt>
                <c:pt idx="821">
                  <c:v>18972.964804789946</c:v>
                </c:pt>
                <c:pt idx="822">
                  <c:v>15577.739241358127</c:v>
                </c:pt>
                <c:pt idx="823">
                  <c:v>22616.342738175037</c:v>
                </c:pt>
                <c:pt idx="824">
                  <c:v>21044.752801223021</c:v>
                </c:pt>
                <c:pt idx="825">
                  <c:v>29764.117647030045</c:v>
                </c:pt>
                <c:pt idx="826">
                  <c:v>19126.679444558416</c:v>
                </c:pt>
                <c:pt idx="827">
                  <c:v>20023.542293706716</c:v>
                </c:pt>
                <c:pt idx="828">
                  <c:v>15417.79701786009</c:v>
                </c:pt>
                <c:pt idx="829">
                  <c:v>18386.300240271659</c:v>
                </c:pt>
                <c:pt idx="830">
                  <c:v>25822.874579046482</c:v>
                </c:pt>
                <c:pt idx="831">
                  <c:v>25861.655637956945</c:v>
                </c:pt>
                <c:pt idx="832">
                  <c:v>22566.797448956746</c:v>
                </c:pt>
                <c:pt idx="833">
                  <c:v>16056.768735313455</c:v>
                </c:pt>
                <c:pt idx="834">
                  <c:v>20899.16553721988</c:v>
                </c:pt>
                <c:pt idx="835">
                  <c:v>19403.005240475082</c:v>
                </c:pt>
                <c:pt idx="836">
                  <c:v>12042.441600394963</c:v>
                </c:pt>
                <c:pt idx="837">
                  <c:v>34885.461197075012</c:v>
                </c:pt>
                <c:pt idx="838">
                  <c:v>15131.494132735081</c:v>
                </c:pt>
                <c:pt idx="839">
                  <c:v>22797.296554970169</c:v>
                </c:pt>
                <c:pt idx="840">
                  <c:v>19729.242171853737</c:v>
                </c:pt>
                <c:pt idx="841">
                  <c:v>21555.799549736705</c:v>
                </c:pt>
                <c:pt idx="842">
                  <c:v>19993.098055978204</c:v>
                </c:pt>
                <c:pt idx="843">
                  <c:v>23065.424978048261</c:v>
                </c:pt>
                <c:pt idx="844">
                  <c:v>19969.640096106665</c:v>
                </c:pt>
                <c:pt idx="845">
                  <c:v>21483.305862270176</c:v>
                </c:pt>
                <c:pt idx="846">
                  <c:v>17807.187895919738</c:v>
                </c:pt>
                <c:pt idx="847">
                  <c:v>20853.682204078363</c:v>
                </c:pt>
                <c:pt idx="848">
                  <c:v>19438.554275176721</c:v>
                </c:pt>
                <c:pt idx="849">
                  <c:v>24981.291069775205</c:v>
                </c:pt>
                <c:pt idx="850">
                  <c:v>19717.680152081757</c:v>
                </c:pt>
                <c:pt idx="851">
                  <c:v>20823.522739344924</c:v>
                </c:pt>
                <c:pt idx="852">
                  <c:v>22570.322139075179</c:v>
                </c:pt>
                <c:pt idx="853">
                  <c:v>19902.20158774019</c:v>
                </c:pt>
                <c:pt idx="854">
                  <c:v>15410.498327973179</c:v>
                </c:pt>
                <c:pt idx="855">
                  <c:v>24978.254986971544</c:v>
                </c:pt>
                <c:pt idx="856">
                  <c:v>15094.977743109966</c:v>
                </c:pt>
                <c:pt idx="857">
                  <c:v>20776.546942203542</c:v>
                </c:pt>
                <c:pt idx="858">
                  <c:v>20665.093197935024</c:v>
                </c:pt>
                <c:pt idx="859">
                  <c:v>21444.701699343161</c:v>
                </c:pt>
                <c:pt idx="860">
                  <c:v>22414.743514435067</c:v>
                </c:pt>
                <c:pt idx="861">
                  <c:v>19459.034789605157</c:v>
                </c:pt>
                <c:pt idx="862">
                  <c:v>18998.470600158318</c:v>
                </c:pt>
                <c:pt idx="863">
                  <c:v>18235.397346364916</c:v>
                </c:pt>
                <c:pt idx="864">
                  <c:v>18131.754436546693</c:v>
                </c:pt>
                <c:pt idx="865">
                  <c:v>19768.333344651688</c:v>
                </c:pt>
                <c:pt idx="866">
                  <c:v>27350.620012531363</c:v>
                </c:pt>
                <c:pt idx="867">
                  <c:v>20587.407740374871</c:v>
                </c:pt>
                <c:pt idx="868">
                  <c:v>25818.331067496762</c:v>
                </c:pt>
                <c:pt idx="869">
                  <c:v>17018.901580623249</c:v>
                </c:pt>
                <c:pt idx="870">
                  <c:v>18245.595133668547</c:v>
                </c:pt>
                <c:pt idx="871">
                  <c:v>22840.076920336538</c:v>
                </c:pt>
                <c:pt idx="872">
                  <c:v>20447.016638850091</c:v>
                </c:pt>
                <c:pt idx="873">
                  <c:v>19298.500970921617</c:v>
                </c:pt>
                <c:pt idx="874">
                  <c:v>20207.975619723293</c:v>
                </c:pt>
                <c:pt idx="875">
                  <c:v>18701.559149605062</c:v>
                </c:pt>
                <c:pt idx="876">
                  <c:v>21317.750268628395</c:v>
                </c:pt>
                <c:pt idx="877">
                  <c:v>20319.570620418166</c:v>
                </c:pt>
                <c:pt idx="878">
                  <c:v>15637.287054128446</c:v>
                </c:pt>
                <c:pt idx="879">
                  <c:v>16300.128861018307</c:v>
                </c:pt>
                <c:pt idx="880">
                  <c:v>27651.201040131702</c:v>
                </c:pt>
                <c:pt idx="881">
                  <c:v>22226.246210114983</c:v>
                </c:pt>
                <c:pt idx="882">
                  <c:v>18659.889065089854</c:v>
                </c:pt>
                <c:pt idx="883">
                  <c:v>22518.529001913299</c:v>
                </c:pt>
                <c:pt idx="884">
                  <c:v>22628.535737864993</c:v>
                </c:pt>
                <c:pt idx="885">
                  <c:v>21113.907786993503</c:v>
                </c:pt>
                <c:pt idx="886">
                  <c:v>22021.095477748193</c:v>
                </c:pt>
                <c:pt idx="887">
                  <c:v>17829.647418374818</c:v>
                </c:pt>
                <c:pt idx="888">
                  <c:v>18000.007029478493</c:v>
                </c:pt>
                <c:pt idx="889">
                  <c:v>25854.498690731798</c:v>
                </c:pt>
                <c:pt idx="890">
                  <c:v>15780.717298673384</c:v>
                </c:pt>
                <c:pt idx="891">
                  <c:v>19045.853270400024</c:v>
                </c:pt>
                <c:pt idx="892">
                  <c:v>21112.471604751827</c:v>
                </c:pt>
                <c:pt idx="893">
                  <c:v>25166.539882879682</c:v>
                </c:pt>
                <c:pt idx="894">
                  <c:v>24251.88637248856</c:v>
                </c:pt>
                <c:pt idx="895">
                  <c:v>16229.206007133373</c:v>
                </c:pt>
                <c:pt idx="896">
                  <c:v>19665.968658717924</c:v>
                </c:pt>
                <c:pt idx="897">
                  <c:v>17349.19005142658</c:v>
                </c:pt>
                <c:pt idx="898">
                  <c:v>16180.25115526011</c:v>
                </c:pt>
                <c:pt idx="899">
                  <c:v>18111.256167116622</c:v>
                </c:pt>
                <c:pt idx="900">
                  <c:v>18760.479378878397</c:v>
                </c:pt>
                <c:pt idx="901">
                  <c:v>20255.957891781542</c:v>
                </c:pt>
                <c:pt idx="902">
                  <c:v>15935.648215053576</c:v>
                </c:pt>
                <c:pt idx="903">
                  <c:v>20095.968776243568</c:v>
                </c:pt>
                <c:pt idx="904">
                  <c:v>20899.07209251514</c:v>
                </c:pt>
                <c:pt idx="905">
                  <c:v>20982.788315166432</c:v>
                </c:pt>
                <c:pt idx="906">
                  <c:v>19451.704467633215</c:v>
                </c:pt>
                <c:pt idx="907">
                  <c:v>21163.870466491517</c:v>
                </c:pt>
                <c:pt idx="908">
                  <c:v>19970.117553169919</c:v>
                </c:pt>
                <c:pt idx="909">
                  <c:v>17067.467366764973</c:v>
                </c:pt>
                <c:pt idx="910">
                  <c:v>15699.930424019945</c:v>
                </c:pt>
                <c:pt idx="911">
                  <c:v>17641.302739242081</c:v>
                </c:pt>
                <c:pt idx="912">
                  <c:v>26367.440550828342</c:v>
                </c:pt>
                <c:pt idx="913">
                  <c:v>23755.978746010111</c:v>
                </c:pt>
                <c:pt idx="914">
                  <c:v>19790.184477853465</c:v>
                </c:pt>
                <c:pt idx="915">
                  <c:v>19836.939113833232</c:v>
                </c:pt>
                <c:pt idx="916">
                  <c:v>18701.528771501395</c:v>
                </c:pt>
                <c:pt idx="917">
                  <c:v>21866.646248831501</c:v>
                </c:pt>
                <c:pt idx="918">
                  <c:v>22214.488702728071</c:v>
                </c:pt>
                <c:pt idx="919">
                  <c:v>24314.184775545134</c:v>
                </c:pt>
                <c:pt idx="920">
                  <c:v>17101.715125413342</c:v>
                </c:pt>
                <c:pt idx="921">
                  <c:v>20955.734837470038</c:v>
                </c:pt>
                <c:pt idx="922">
                  <c:v>19237.02977801696</c:v>
                </c:pt>
                <c:pt idx="923">
                  <c:v>16338.413375928367</c:v>
                </c:pt>
                <c:pt idx="924">
                  <c:v>18421.731262919948</c:v>
                </c:pt>
                <c:pt idx="925">
                  <c:v>20331.705194095255</c:v>
                </c:pt>
                <c:pt idx="926">
                  <c:v>17133.558943546504</c:v>
                </c:pt>
                <c:pt idx="927">
                  <c:v>25959.493202196732</c:v>
                </c:pt>
                <c:pt idx="928">
                  <c:v>18121.866341323344</c:v>
                </c:pt>
                <c:pt idx="929">
                  <c:v>14989.240623975249</c:v>
                </c:pt>
                <c:pt idx="930">
                  <c:v>18124.958249896561</c:v>
                </c:pt>
                <c:pt idx="931">
                  <c:v>15346.479803406955</c:v>
                </c:pt>
                <c:pt idx="932">
                  <c:v>20134.617594101761</c:v>
                </c:pt>
                <c:pt idx="933">
                  <c:v>24647.747464910117</c:v>
                </c:pt>
                <c:pt idx="934">
                  <c:v>15014.898655795198</c:v>
                </c:pt>
                <c:pt idx="935">
                  <c:v>15213.266758586655</c:v>
                </c:pt>
                <c:pt idx="936">
                  <c:v>21922.044193109905</c:v>
                </c:pt>
                <c:pt idx="937">
                  <c:v>16924.980214154759</c:v>
                </c:pt>
                <c:pt idx="938">
                  <c:v>19760.131201418364</c:v>
                </c:pt>
                <c:pt idx="939">
                  <c:v>17060.723185101742</c:v>
                </c:pt>
                <c:pt idx="940">
                  <c:v>20149.653595073483</c:v>
                </c:pt>
                <c:pt idx="941">
                  <c:v>23623.864916669994</c:v>
                </c:pt>
                <c:pt idx="942">
                  <c:v>27588.449065455159</c:v>
                </c:pt>
                <c:pt idx="943">
                  <c:v>16985.652278178481</c:v>
                </c:pt>
                <c:pt idx="944">
                  <c:v>22908.132585456817</c:v>
                </c:pt>
                <c:pt idx="945">
                  <c:v>15158.827349164796</c:v>
                </c:pt>
                <c:pt idx="946">
                  <c:v>20888.440520054868</c:v>
                </c:pt>
                <c:pt idx="947">
                  <c:v>21040.330507900188</c:v>
                </c:pt>
                <c:pt idx="948">
                  <c:v>21548.49778033192</c:v>
                </c:pt>
                <c:pt idx="949">
                  <c:v>21609.080959686504</c:v>
                </c:pt>
                <c:pt idx="950">
                  <c:v>19363.778032551669</c:v>
                </c:pt>
                <c:pt idx="951">
                  <c:v>18084.710326085093</c:v>
                </c:pt>
                <c:pt idx="952">
                  <c:v>24288.149226126705</c:v>
                </c:pt>
                <c:pt idx="953">
                  <c:v>15988.536406869687</c:v>
                </c:pt>
                <c:pt idx="954">
                  <c:v>20181.052867516915</c:v>
                </c:pt>
                <c:pt idx="955">
                  <c:v>24508.747698385112</c:v>
                </c:pt>
                <c:pt idx="956">
                  <c:v>18507.329370085092</c:v>
                </c:pt>
                <c:pt idx="957">
                  <c:v>22903.793444705294</c:v>
                </c:pt>
                <c:pt idx="958">
                  <c:v>21346.803317254889</c:v>
                </c:pt>
                <c:pt idx="959">
                  <c:v>23782.96883339492</c:v>
                </c:pt>
                <c:pt idx="960">
                  <c:v>17479.259183550112</c:v>
                </c:pt>
                <c:pt idx="961">
                  <c:v>20265.869757734887</c:v>
                </c:pt>
                <c:pt idx="962">
                  <c:v>19431.115606881602</c:v>
                </c:pt>
                <c:pt idx="963">
                  <c:v>22930.487899981588</c:v>
                </c:pt>
                <c:pt idx="964">
                  <c:v>14991.378001883379</c:v>
                </c:pt>
                <c:pt idx="965">
                  <c:v>23161.495184278432</c:v>
                </c:pt>
                <c:pt idx="966">
                  <c:v>18684.445825960032</c:v>
                </c:pt>
                <c:pt idx="967">
                  <c:v>20728.511461140035</c:v>
                </c:pt>
                <c:pt idx="968">
                  <c:v>20166.105948643446</c:v>
                </c:pt>
                <c:pt idx="969">
                  <c:v>22283.149134413314</c:v>
                </c:pt>
                <c:pt idx="970">
                  <c:v>18076.557400678219</c:v>
                </c:pt>
                <c:pt idx="971">
                  <c:v>14274.890327958323</c:v>
                </c:pt>
                <c:pt idx="972">
                  <c:v>18936.73757452178</c:v>
                </c:pt>
                <c:pt idx="973">
                  <c:v>15716.449542478345</c:v>
                </c:pt>
                <c:pt idx="974">
                  <c:v>19814.614003388524</c:v>
                </c:pt>
                <c:pt idx="975">
                  <c:v>21719.133554385367</c:v>
                </c:pt>
                <c:pt idx="976">
                  <c:v>23096.515724296645</c:v>
                </c:pt>
                <c:pt idx="977">
                  <c:v>18384.498659713339</c:v>
                </c:pt>
                <c:pt idx="978">
                  <c:v>18523.603469823425</c:v>
                </c:pt>
                <c:pt idx="979">
                  <c:v>18698.132595280033</c:v>
                </c:pt>
                <c:pt idx="980">
                  <c:v>25509.204168656477</c:v>
                </c:pt>
                <c:pt idx="981">
                  <c:v>26162.869059389956</c:v>
                </c:pt>
                <c:pt idx="982">
                  <c:v>20053.240182123322</c:v>
                </c:pt>
                <c:pt idx="983">
                  <c:v>28023.922714098342</c:v>
                </c:pt>
                <c:pt idx="984">
                  <c:v>17124.221129093472</c:v>
                </c:pt>
                <c:pt idx="985">
                  <c:v>24846.638742894553</c:v>
                </c:pt>
                <c:pt idx="986">
                  <c:v>21195.610194801833</c:v>
                </c:pt>
                <c:pt idx="987">
                  <c:v>19445.167170419947</c:v>
                </c:pt>
                <c:pt idx="988">
                  <c:v>17547.87093766177</c:v>
                </c:pt>
                <c:pt idx="989">
                  <c:v>22386.84216640329</c:v>
                </c:pt>
                <c:pt idx="990">
                  <c:v>16550.664449689961</c:v>
                </c:pt>
                <c:pt idx="991">
                  <c:v>22560.717857701304</c:v>
                </c:pt>
                <c:pt idx="992">
                  <c:v>20980.685729179771</c:v>
                </c:pt>
                <c:pt idx="993">
                  <c:v>17787.208173619907</c:v>
                </c:pt>
                <c:pt idx="994">
                  <c:v>19040.541891906505</c:v>
                </c:pt>
                <c:pt idx="995">
                  <c:v>23030.894870906763</c:v>
                </c:pt>
              </c:numCache>
            </c:numRef>
          </c:xVal>
          <c:yVal>
            <c:numRef>
              <c:f>PSA!$T$11:$T$1006</c:f>
              <c:numCache>
                <c:formatCode>0.00E+00</c:formatCode>
                <c:ptCount val="996"/>
                <c:pt idx="0">
                  <c:v>269192158.84000003</c:v>
                </c:pt>
                <c:pt idx="1">
                  <c:v>320426108.76944822</c:v>
                </c:pt>
                <c:pt idx="2">
                  <c:v>252658961.40879059</c:v>
                </c:pt>
                <c:pt idx="3">
                  <c:v>286508332.2049914</c:v>
                </c:pt>
                <c:pt idx="4">
                  <c:v>357416821.89384186</c:v>
                </c:pt>
                <c:pt idx="5">
                  <c:v>256471277.32932943</c:v>
                </c:pt>
                <c:pt idx="6">
                  <c:v>283876535.4451344</c:v>
                </c:pt>
                <c:pt idx="7">
                  <c:v>235270506.08750945</c:v>
                </c:pt>
                <c:pt idx="8">
                  <c:v>268807163.78469557</c:v>
                </c:pt>
                <c:pt idx="9">
                  <c:v>303771979.08103114</c:v>
                </c:pt>
                <c:pt idx="10">
                  <c:v>222638179.50280887</c:v>
                </c:pt>
                <c:pt idx="11">
                  <c:v>317526549.91727477</c:v>
                </c:pt>
                <c:pt idx="12">
                  <c:v>228558225.22617179</c:v>
                </c:pt>
                <c:pt idx="13">
                  <c:v>285847595.20108157</c:v>
                </c:pt>
                <c:pt idx="14">
                  <c:v>258865620.50842977</c:v>
                </c:pt>
                <c:pt idx="15">
                  <c:v>366052863.07778668</c:v>
                </c:pt>
                <c:pt idx="16">
                  <c:v>242178229.48765862</c:v>
                </c:pt>
                <c:pt idx="17">
                  <c:v>295173847.99252403</c:v>
                </c:pt>
                <c:pt idx="18">
                  <c:v>249016784.44629359</c:v>
                </c:pt>
                <c:pt idx="19">
                  <c:v>276744430.92615002</c:v>
                </c:pt>
                <c:pt idx="20">
                  <c:v>360301372.88709664</c:v>
                </c:pt>
                <c:pt idx="21">
                  <c:v>369204485.44081032</c:v>
                </c:pt>
                <c:pt idx="22">
                  <c:v>316480466.3443594</c:v>
                </c:pt>
                <c:pt idx="23">
                  <c:v>253607119.7420066</c:v>
                </c:pt>
                <c:pt idx="24">
                  <c:v>294685676.14521015</c:v>
                </c:pt>
                <c:pt idx="25">
                  <c:v>382788491.75221616</c:v>
                </c:pt>
                <c:pt idx="26">
                  <c:v>280557248.1730004</c:v>
                </c:pt>
                <c:pt idx="27">
                  <c:v>252568821.66600877</c:v>
                </c:pt>
                <c:pt idx="28">
                  <c:v>213182904.13409144</c:v>
                </c:pt>
                <c:pt idx="29">
                  <c:v>316555377.00001985</c:v>
                </c:pt>
                <c:pt idx="30">
                  <c:v>280783602.82468545</c:v>
                </c:pt>
                <c:pt idx="31">
                  <c:v>267343883.15209442</c:v>
                </c:pt>
                <c:pt idx="32">
                  <c:v>292316051.18019456</c:v>
                </c:pt>
                <c:pt idx="33">
                  <c:v>317375024.1421147</c:v>
                </c:pt>
                <c:pt idx="34">
                  <c:v>228961516.15668827</c:v>
                </c:pt>
                <c:pt idx="35">
                  <c:v>295065233.69917613</c:v>
                </c:pt>
                <c:pt idx="36">
                  <c:v>287281589.84144813</c:v>
                </c:pt>
                <c:pt idx="37">
                  <c:v>264024185.24678099</c:v>
                </c:pt>
                <c:pt idx="38">
                  <c:v>233597786.01096117</c:v>
                </c:pt>
                <c:pt idx="39">
                  <c:v>339781976.79779512</c:v>
                </c:pt>
                <c:pt idx="40">
                  <c:v>221683790.59181803</c:v>
                </c:pt>
                <c:pt idx="41">
                  <c:v>318300396.85312444</c:v>
                </c:pt>
                <c:pt idx="42">
                  <c:v>239814682.21649009</c:v>
                </c:pt>
                <c:pt idx="43">
                  <c:v>207948220.15121281</c:v>
                </c:pt>
                <c:pt idx="44">
                  <c:v>360269109.40192854</c:v>
                </c:pt>
                <c:pt idx="45">
                  <c:v>251560126.51603758</c:v>
                </c:pt>
                <c:pt idx="46">
                  <c:v>246678906.52980238</c:v>
                </c:pt>
                <c:pt idx="47">
                  <c:v>331458616.63306266</c:v>
                </c:pt>
                <c:pt idx="48">
                  <c:v>242283156.40315932</c:v>
                </c:pt>
                <c:pt idx="49">
                  <c:v>217698202.63521963</c:v>
                </c:pt>
                <c:pt idx="50">
                  <c:v>263740164.3129468</c:v>
                </c:pt>
                <c:pt idx="51">
                  <c:v>259335205.37165064</c:v>
                </c:pt>
                <c:pt idx="52">
                  <c:v>291127872.46788293</c:v>
                </c:pt>
                <c:pt idx="53">
                  <c:v>283907457.93975461</c:v>
                </c:pt>
                <c:pt idx="54">
                  <c:v>316042210.65718311</c:v>
                </c:pt>
                <c:pt idx="55">
                  <c:v>270757849.06964487</c:v>
                </c:pt>
                <c:pt idx="56">
                  <c:v>187893464.62123621</c:v>
                </c:pt>
                <c:pt idx="57">
                  <c:v>233265644.32365668</c:v>
                </c:pt>
                <c:pt idx="58">
                  <c:v>235172641.95753574</c:v>
                </c:pt>
                <c:pt idx="59">
                  <c:v>324994814.37575495</c:v>
                </c:pt>
                <c:pt idx="60">
                  <c:v>288028984.9750855</c:v>
                </c:pt>
                <c:pt idx="61">
                  <c:v>302929335.49553001</c:v>
                </c:pt>
                <c:pt idx="62">
                  <c:v>223978929.07345533</c:v>
                </c:pt>
                <c:pt idx="63">
                  <c:v>330607601.45147085</c:v>
                </c:pt>
                <c:pt idx="64">
                  <c:v>291819854.80826002</c:v>
                </c:pt>
                <c:pt idx="65">
                  <c:v>298422800.97916728</c:v>
                </c:pt>
                <c:pt idx="66">
                  <c:v>383750857.71895957</c:v>
                </c:pt>
                <c:pt idx="67">
                  <c:v>213584643.46540797</c:v>
                </c:pt>
                <c:pt idx="68">
                  <c:v>245073151.24870241</c:v>
                </c:pt>
                <c:pt idx="69">
                  <c:v>323246951.31043202</c:v>
                </c:pt>
                <c:pt idx="70">
                  <c:v>290952291.44782025</c:v>
                </c:pt>
                <c:pt idx="71">
                  <c:v>217726571.25007409</c:v>
                </c:pt>
                <c:pt idx="72">
                  <c:v>234962699.63105065</c:v>
                </c:pt>
                <c:pt idx="73">
                  <c:v>229357633.30816066</c:v>
                </c:pt>
                <c:pt idx="74">
                  <c:v>347872120.96570557</c:v>
                </c:pt>
                <c:pt idx="75">
                  <c:v>270949797.52432102</c:v>
                </c:pt>
                <c:pt idx="76">
                  <c:v>452362022.07368755</c:v>
                </c:pt>
                <c:pt idx="77">
                  <c:v>367730692.03726691</c:v>
                </c:pt>
                <c:pt idx="78">
                  <c:v>301291843.4587518</c:v>
                </c:pt>
                <c:pt idx="79">
                  <c:v>270217506.56525683</c:v>
                </c:pt>
                <c:pt idx="80">
                  <c:v>330914663.63830453</c:v>
                </c:pt>
                <c:pt idx="81">
                  <c:v>342478463.82696408</c:v>
                </c:pt>
                <c:pt idx="82">
                  <c:v>274479050.18597627</c:v>
                </c:pt>
                <c:pt idx="83">
                  <c:v>389788554.52002478</c:v>
                </c:pt>
                <c:pt idx="84">
                  <c:v>266481849.89704263</c:v>
                </c:pt>
                <c:pt idx="85">
                  <c:v>243980833.06882477</c:v>
                </c:pt>
                <c:pt idx="86">
                  <c:v>203363467.27937764</c:v>
                </c:pt>
                <c:pt idx="87">
                  <c:v>218777571.86503339</c:v>
                </c:pt>
                <c:pt idx="88">
                  <c:v>234912899.24777174</c:v>
                </c:pt>
                <c:pt idx="89">
                  <c:v>273339658.5313763</c:v>
                </c:pt>
                <c:pt idx="90">
                  <c:v>250956278.60188091</c:v>
                </c:pt>
                <c:pt idx="91">
                  <c:v>268899973.51373595</c:v>
                </c:pt>
                <c:pt idx="92">
                  <c:v>273146125.90488136</c:v>
                </c:pt>
                <c:pt idx="93">
                  <c:v>290608576.23935103</c:v>
                </c:pt>
                <c:pt idx="94">
                  <c:v>217236940.90758002</c:v>
                </c:pt>
                <c:pt idx="95">
                  <c:v>239585672.6238389</c:v>
                </c:pt>
                <c:pt idx="96">
                  <c:v>259866550.61180526</c:v>
                </c:pt>
                <c:pt idx="97">
                  <c:v>229319190.40629017</c:v>
                </c:pt>
                <c:pt idx="98">
                  <c:v>163833266.7595433</c:v>
                </c:pt>
                <c:pt idx="99">
                  <c:v>306232633.67222178</c:v>
                </c:pt>
                <c:pt idx="100">
                  <c:v>279616729.24650347</c:v>
                </c:pt>
                <c:pt idx="101">
                  <c:v>339597210.73610425</c:v>
                </c:pt>
                <c:pt idx="102">
                  <c:v>260080547.85864866</c:v>
                </c:pt>
                <c:pt idx="103">
                  <c:v>257619462.63891757</c:v>
                </c:pt>
                <c:pt idx="104">
                  <c:v>287065706.41763508</c:v>
                </c:pt>
                <c:pt idx="105">
                  <c:v>261040220.01925355</c:v>
                </c:pt>
                <c:pt idx="106">
                  <c:v>226370499.55881751</c:v>
                </c:pt>
                <c:pt idx="107">
                  <c:v>313808163.32652479</c:v>
                </c:pt>
                <c:pt idx="108">
                  <c:v>299775190.67143923</c:v>
                </c:pt>
                <c:pt idx="109">
                  <c:v>270124006.48631221</c:v>
                </c:pt>
                <c:pt idx="110">
                  <c:v>264700652.60583425</c:v>
                </c:pt>
                <c:pt idx="111">
                  <c:v>187359833.54876804</c:v>
                </c:pt>
                <c:pt idx="112">
                  <c:v>234602483.20789665</c:v>
                </c:pt>
                <c:pt idx="113">
                  <c:v>278342686.54320306</c:v>
                </c:pt>
                <c:pt idx="114">
                  <c:v>295884711.33177769</c:v>
                </c:pt>
                <c:pt idx="115">
                  <c:v>287324286.87973434</c:v>
                </c:pt>
                <c:pt idx="116">
                  <c:v>213725283.40560067</c:v>
                </c:pt>
                <c:pt idx="117">
                  <c:v>325176558.45280081</c:v>
                </c:pt>
                <c:pt idx="118">
                  <c:v>291291880.55132341</c:v>
                </c:pt>
                <c:pt idx="119">
                  <c:v>329096577.30777597</c:v>
                </c:pt>
                <c:pt idx="120">
                  <c:v>156070764.10342157</c:v>
                </c:pt>
                <c:pt idx="121">
                  <c:v>295525136.96108794</c:v>
                </c:pt>
                <c:pt idx="122">
                  <c:v>298053370.02971327</c:v>
                </c:pt>
                <c:pt idx="123">
                  <c:v>272188103.54299843</c:v>
                </c:pt>
                <c:pt idx="124">
                  <c:v>241411233.12795401</c:v>
                </c:pt>
                <c:pt idx="125">
                  <c:v>285704322.58233768</c:v>
                </c:pt>
                <c:pt idx="126">
                  <c:v>264375280.72809768</c:v>
                </c:pt>
                <c:pt idx="127">
                  <c:v>299689961.71628392</c:v>
                </c:pt>
                <c:pt idx="128">
                  <c:v>298318861.63794959</c:v>
                </c:pt>
                <c:pt idx="129">
                  <c:v>337622042.38150978</c:v>
                </c:pt>
                <c:pt idx="130">
                  <c:v>265547534.61909628</c:v>
                </c:pt>
                <c:pt idx="131">
                  <c:v>321359740.92039549</c:v>
                </c:pt>
                <c:pt idx="132">
                  <c:v>269362726.84394449</c:v>
                </c:pt>
                <c:pt idx="133">
                  <c:v>304377884.07063234</c:v>
                </c:pt>
                <c:pt idx="134">
                  <c:v>304035214.97707731</c:v>
                </c:pt>
                <c:pt idx="135">
                  <c:v>257194487.37860203</c:v>
                </c:pt>
                <c:pt idx="136">
                  <c:v>250530581.98946083</c:v>
                </c:pt>
                <c:pt idx="137">
                  <c:v>219067730.58210641</c:v>
                </c:pt>
                <c:pt idx="138">
                  <c:v>275438424.07693732</c:v>
                </c:pt>
                <c:pt idx="139">
                  <c:v>316976802.7890389</c:v>
                </c:pt>
                <c:pt idx="140">
                  <c:v>316052027.82000709</c:v>
                </c:pt>
                <c:pt idx="141">
                  <c:v>206993077.27554953</c:v>
                </c:pt>
                <c:pt idx="142">
                  <c:v>245109303.77924371</c:v>
                </c:pt>
                <c:pt idx="143">
                  <c:v>318181694.48904359</c:v>
                </c:pt>
                <c:pt idx="144">
                  <c:v>364774403.60968029</c:v>
                </c:pt>
                <c:pt idx="145">
                  <c:v>191418946.51922023</c:v>
                </c:pt>
                <c:pt idx="146">
                  <c:v>326459747.44152647</c:v>
                </c:pt>
                <c:pt idx="147">
                  <c:v>285030042.17655802</c:v>
                </c:pt>
                <c:pt idx="148">
                  <c:v>375443977.98603857</c:v>
                </c:pt>
                <c:pt idx="149">
                  <c:v>199606908.16238195</c:v>
                </c:pt>
                <c:pt idx="150">
                  <c:v>249911403.70257026</c:v>
                </c:pt>
                <c:pt idx="151">
                  <c:v>298692582.19315469</c:v>
                </c:pt>
                <c:pt idx="152">
                  <c:v>272877086.16513658</c:v>
                </c:pt>
                <c:pt idx="153">
                  <c:v>269228902.04867721</c:v>
                </c:pt>
                <c:pt idx="154">
                  <c:v>296140928.04619181</c:v>
                </c:pt>
                <c:pt idx="155">
                  <c:v>300428738.87404597</c:v>
                </c:pt>
                <c:pt idx="156">
                  <c:v>286543568.76575077</c:v>
                </c:pt>
                <c:pt idx="157">
                  <c:v>294777175.87942338</c:v>
                </c:pt>
                <c:pt idx="158">
                  <c:v>249812424.21252972</c:v>
                </c:pt>
                <c:pt idx="159">
                  <c:v>240104798.60772967</c:v>
                </c:pt>
                <c:pt idx="160">
                  <c:v>295955440.44837636</c:v>
                </c:pt>
                <c:pt idx="161">
                  <c:v>270197682.13571495</c:v>
                </c:pt>
                <c:pt idx="162">
                  <c:v>295311965.01372772</c:v>
                </c:pt>
                <c:pt idx="163">
                  <c:v>291148876.6082958</c:v>
                </c:pt>
                <c:pt idx="164">
                  <c:v>227865362.46270299</c:v>
                </c:pt>
                <c:pt idx="165">
                  <c:v>269580762.69402313</c:v>
                </c:pt>
                <c:pt idx="166">
                  <c:v>257837744.49696493</c:v>
                </c:pt>
                <c:pt idx="167">
                  <c:v>304915767.08761585</c:v>
                </c:pt>
                <c:pt idx="168">
                  <c:v>207693470.00186127</c:v>
                </c:pt>
                <c:pt idx="169">
                  <c:v>331074867.90282965</c:v>
                </c:pt>
                <c:pt idx="170">
                  <c:v>203864124.10409319</c:v>
                </c:pt>
                <c:pt idx="171">
                  <c:v>267737404.30918813</c:v>
                </c:pt>
                <c:pt idx="172">
                  <c:v>192626874.28534973</c:v>
                </c:pt>
                <c:pt idx="173">
                  <c:v>329497839.0482958</c:v>
                </c:pt>
                <c:pt idx="174">
                  <c:v>253946722.7552247</c:v>
                </c:pt>
                <c:pt idx="175">
                  <c:v>319214330.94890183</c:v>
                </c:pt>
                <c:pt idx="176">
                  <c:v>301184114.75171238</c:v>
                </c:pt>
                <c:pt idx="177">
                  <c:v>199826440.25325799</c:v>
                </c:pt>
                <c:pt idx="178">
                  <c:v>213129716.37499613</c:v>
                </c:pt>
                <c:pt idx="179">
                  <c:v>334071693.109721</c:v>
                </c:pt>
                <c:pt idx="180">
                  <c:v>265286638.73174834</c:v>
                </c:pt>
                <c:pt idx="181">
                  <c:v>284437784.58666462</c:v>
                </c:pt>
                <c:pt idx="182">
                  <c:v>242140246.48340189</c:v>
                </c:pt>
                <c:pt idx="183">
                  <c:v>371902815.24500632</c:v>
                </c:pt>
                <c:pt idx="184">
                  <c:v>269823457.20735836</c:v>
                </c:pt>
                <c:pt idx="185">
                  <c:v>221646370.15534228</c:v>
                </c:pt>
                <c:pt idx="186">
                  <c:v>286067596.58652276</c:v>
                </c:pt>
                <c:pt idx="187">
                  <c:v>229701744.56726944</c:v>
                </c:pt>
                <c:pt idx="188">
                  <c:v>228077310.56628269</c:v>
                </c:pt>
                <c:pt idx="189">
                  <c:v>331315099.61746019</c:v>
                </c:pt>
                <c:pt idx="190">
                  <c:v>290439039.71590525</c:v>
                </c:pt>
                <c:pt idx="191">
                  <c:v>278836870.86838704</c:v>
                </c:pt>
                <c:pt idx="192">
                  <c:v>344001700.11364889</c:v>
                </c:pt>
                <c:pt idx="193">
                  <c:v>360041111.42072117</c:v>
                </c:pt>
                <c:pt idx="194">
                  <c:v>229670115.50085127</c:v>
                </c:pt>
                <c:pt idx="195">
                  <c:v>227847208.6082837</c:v>
                </c:pt>
                <c:pt idx="196">
                  <c:v>283390276.44257778</c:v>
                </c:pt>
                <c:pt idx="197">
                  <c:v>364197475.44436467</c:v>
                </c:pt>
                <c:pt idx="198">
                  <c:v>296449182.96247894</c:v>
                </c:pt>
                <c:pt idx="199">
                  <c:v>252523928.45741284</c:v>
                </c:pt>
                <c:pt idx="200">
                  <c:v>265800844.17349619</c:v>
                </c:pt>
                <c:pt idx="201">
                  <c:v>185252578.19585073</c:v>
                </c:pt>
                <c:pt idx="202">
                  <c:v>284184315.2076031</c:v>
                </c:pt>
                <c:pt idx="203">
                  <c:v>290581041.51714534</c:v>
                </c:pt>
                <c:pt idx="204">
                  <c:v>263518405.16144168</c:v>
                </c:pt>
                <c:pt idx="205">
                  <c:v>269274862.04415631</c:v>
                </c:pt>
                <c:pt idx="206">
                  <c:v>281751760.60700262</c:v>
                </c:pt>
                <c:pt idx="207">
                  <c:v>289975425.77452403</c:v>
                </c:pt>
                <c:pt idx="208">
                  <c:v>287678644.08419466</c:v>
                </c:pt>
                <c:pt idx="209">
                  <c:v>301431923.96403837</c:v>
                </c:pt>
                <c:pt idx="210">
                  <c:v>186989400.35856378</c:v>
                </c:pt>
                <c:pt idx="211">
                  <c:v>263350096.49204588</c:v>
                </c:pt>
                <c:pt idx="212">
                  <c:v>340447578.66277283</c:v>
                </c:pt>
                <c:pt idx="213">
                  <c:v>241690827.98268396</c:v>
                </c:pt>
                <c:pt idx="214">
                  <c:v>327126795.33463383</c:v>
                </c:pt>
                <c:pt idx="215">
                  <c:v>194919734.64426911</c:v>
                </c:pt>
                <c:pt idx="216">
                  <c:v>105845564.5720287</c:v>
                </c:pt>
                <c:pt idx="217">
                  <c:v>209300179.82067263</c:v>
                </c:pt>
                <c:pt idx="218">
                  <c:v>272537583.34595948</c:v>
                </c:pt>
                <c:pt idx="219">
                  <c:v>328492120.40152752</c:v>
                </c:pt>
                <c:pt idx="220">
                  <c:v>322611093.74923444</c:v>
                </c:pt>
                <c:pt idx="221">
                  <c:v>191198766.70608997</c:v>
                </c:pt>
                <c:pt idx="222">
                  <c:v>328139263.68846941</c:v>
                </c:pt>
                <c:pt idx="223">
                  <c:v>320667057.90031707</c:v>
                </c:pt>
                <c:pt idx="224">
                  <c:v>299409133.71705693</c:v>
                </c:pt>
                <c:pt idx="225">
                  <c:v>256525949.61794174</c:v>
                </c:pt>
                <c:pt idx="226">
                  <c:v>280484145.16913599</c:v>
                </c:pt>
                <c:pt idx="227">
                  <c:v>263217515.96540844</c:v>
                </c:pt>
                <c:pt idx="228">
                  <c:v>213095554.96677458</c:v>
                </c:pt>
                <c:pt idx="229">
                  <c:v>345952957.23753327</c:v>
                </c:pt>
                <c:pt idx="230">
                  <c:v>264348674.70274562</c:v>
                </c:pt>
                <c:pt idx="231">
                  <c:v>295605252.32539964</c:v>
                </c:pt>
                <c:pt idx="232">
                  <c:v>332321756.62546635</c:v>
                </c:pt>
                <c:pt idx="233">
                  <c:v>301713519.82967383</c:v>
                </c:pt>
                <c:pt idx="234">
                  <c:v>325276257.08440703</c:v>
                </c:pt>
                <c:pt idx="235">
                  <c:v>264278611.99557704</c:v>
                </c:pt>
                <c:pt idx="236">
                  <c:v>244770123.15815824</c:v>
                </c:pt>
                <c:pt idx="237">
                  <c:v>178141023.26236373</c:v>
                </c:pt>
                <c:pt idx="238">
                  <c:v>383237892.25343686</c:v>
                </c:pt>
                <c:pt idx="239">
                  <c:v>281789904.53706777</c:v>
                </c:pt>
                <c:pt idx="240">
                  <c:v>239600979.24655426</c:v>
                </c:pt>
                <c:pt idx="241">
                  <c:v>257271946.15989006</c:v>
                </c:pt>
                <c:pt idx="242">
                  <c:v>211860259.30008799</c:v>
                </c:pt>
                <c:pt idx="243">
                  <c:v>276668843.36374766</c:v>
                </c:pt>
                <c:pt idx="244">
                  <c:v>152123797.13087738</c:v>
                </c:pt>
                <c:pt idx="245">
                  <c:v>265623691.43576956</c:v>
                </c:pt>
                <c:pt idx="246">
                  <c:v>354770600.33522385</c:v>
                </c:pt>
                <c:pt idx="247">
                  <c:v>276008155.6697498</c:v>
                </c:pt>
                <c:pt idx="248">
                  <c:v>272947834.58849704</c:v>
                </c:pt>
                <c:pt idx="249">
                  <c:v>211009933.08592188</c:v>
                </c:pt>
                <c:pt idx="250">
                  <c:v>269608175.2953136</c:v>
                </c:pt>
                <c:pt idx="251">
                  <c:v>288737515.66665584</c:v>
                </c:pt>
                <c:pt idx="252">
                  <c:v>179029058.88932091</c:v>
                </c:pt>
                <c:pt idx="253">
                  <c:v>305220266.09898442</c:v>
                </c:pt>
                <c:pt idx="254">
                  <c:v>283168855.9544158</c:v>
                </c:pt>
                <c:pt idx="255">
                  <c:v>307353402.71690965</c:v>
                </c:pt>
                <c:pt idx="256">
                  <c:v>213702203.58827245</c:v>
                </c:pt>
                <c:pt idx="257">
                  <c:v>374064674.5557462</c:v>
                </c:pt>
                <c:pt idx="258">
                  <c:v>268316973.07102823</c:v>
                </c:pt>
                <c:pt idx="259">
                  <c:v>318205620.46002859</c:v>
                </c:pt>
                <c:pt idx="260">
                  <c:v>266009066.37084359</c:v>
                </c:pt>
                <c:pt idx="261">
                  <c:v>225981884.05019474</c:v>
                </c:pt>
                <c:pt idx="262">
                  <c:v>250128443.78835416</c:v>
                </c:pt>
                <c:pt idx="263">
                  <c:v>354376598.01341873</c:v>
                </c:pt>
                <c:pt idx="264">
                  <c:v>381087783.07375956</c:v>
                </c:pt>
                <c:pt idx="265">
                  <c:v>322541174.56469458</c:v>
                </c:pt>
                <c:pt idx="266">
                  <c:v>201548576.86551964</c:v>
                </c:pt>
                <c:pt idx="267">
                  <c:v>214597606.83353418</c:v>
                </c:pt>
                <c:pt idx="268">
                  <c:v>272298371.25759685</c:v>
                </c:pt>
                <c:pt idx="269">
                  <c:v>263425509.02300394</c:v>
                </c:pt>
                <c:pt idx="270">
                  <c:v>286131890.34107012</c:v>
                </c:pt>
                <c:pt idx="271">
                  <c:v>212949327.85253072</c:v>
                </c:pt>
                <c:pt idx="272">
                  <c:v>231770513.25113547</c:v>
                </c:pt>
                <c:pt idx="273">
                  <c:v>207420648.24546057</c:v>
                </c:pt>
                <c:pt idx="274">
                  <c:v>295403327.27402353</c:v>
                </c:pt>
                <c:pt idx="275">
                  <c:v>274361379.64781564</c:v>
                </c:pt>
                <c:pt idx="276">
                  <c:v>216927136.08558476</c:v>
                </c:pt>
                <c:pt idx="277">
                  <c:v>365144537.90361071</c:v>
                </c:pt>
                <c:pt idx="278">
                  <c:v>350255894.9571197</c:v>
                </c:pt>
                <c:pt idx="279">
                  <c:v>330135089.90144312</c:v>
                </c:pt>
                <c:pt idx="280">
                  <c:v>291728551.00363886</c:v>
                </c:pt>
                <c:pt idx="281">
                  <c:v>236550664.35521698</c:v>
                </c:pt>
                <c:pt idx="282">
                  <c:v>362521856.14297771</c:v>
                </c:pt>
                <c:pt idx="283">
                  <c:v>242707368.25949031</c:v>
                </c:pt>
                <c:pt idx="284">
                  <c:v>240402949.26116222</c:v>
                </c:pt>
                <c:pt idx="285">
                  <c:v>295883147.5910852</c:v>
                </c:pt>
                <c:pt idx="286">
                  <c:v>232920284.66918957</c:v>
                </c:pt>
                <c:pt idx="287">
                  <c:v>304401839.93084407</c:v>
                </c:pt>
                <c:pt idx="288">
                  <c:v>210283381.61211503</c:v>
                </c:pt>
                <c:pt idx="289">
                  <c:v>290563616.87894034</c:v>
                </c:pt>
                <c:pt idx="290">
                  <c:v>208862966.9165678</c:v>
                </c:pt>
                <c:pt idx="291">
                  <c:v>304835195.93057656</c:v>
                </c:pt>
                <c:pt idx="292">
                  <c:v>178863353.74798566</c:v>
                </c:pt>
                <c:pt idx="293">
                  <c:v>266202446.0422858</c:v>
                </c:pt>
                <c:pt idx="294">
                  <c:v>283908524.85032445</c:v>
                </c:pt>
                <c:pt idx="295">
                  <c:v>211636392.17289275</c:v>
                </c:pt>
                <c:pt idx="296">
                  <c:v>247573878.2956472</c:v>
                </c:pt>
                <c:pt idx="297">
                  <c:v>288469838.93633288</c:v>
                </c:pt>
                <c:pt idx="298">
                  <c:v>252667262.36313772</c:v>
                </c:pt>
                <c:pt idx="299">
                  <c:v>314819340.77653581</c:v>
                </c:pt>
                <c:pt idx="300">
                  <c:v>248087019.53912967</c:v>
                </c:pt>
                <c:pt idx="301">
                  <c:v>202748678.71907353</c:v>
                </c:pt>
                <c:pt idx="302">
                  <c:v>187904941.13936716</c:v>
                </c:pt>
                <c:pt idx="303">
                  <c:v>261016644.41106713</c:v>
                </c:pt>
                <c:pt idx="304">
                  <c:v>257349731.14572787</c:v>
                </c:pt>
                <c:pt idx="305">
                  <c:v>205296654.18006492</c:v>
                </c:pt>
                <c:pt idx="306">
                  <c:v>305154882.4878028</c:v>
                </c:pt>
                <c:pt idx="307">
                  <c:v>226190346.83887184</c:v>
                </c:pt>
                <c:pt idx="308">
                  <c:v>305952016.74263185</c:v>
                </c:pt>
                <c:pt idx="309">
                  <c:v>285945441.54149884</c:v>
                </c:pt>
                <c:pt idx="310">
                  <c:v>198531367.05446407</c:v>
                </c:pt>
                <c:pt idx="311">
                  <c:v>319309215.93875027</c:v>
                </c:pt>
                <c:pt idx="312">
                  <c:v>281828555.08222377</c:v>
                </c:pt>
                <c:pt idx="313">
                  <c:v>230521171.81118357</c:v>
                </c:pt>
                <c:pt idx="314">
                  <c:v>307967583.02274978</c:v>
                </c:pt>
                <c:pt idx="315">
                  <c:v>250605226.57828486</c:v>
                </c:pt>
                <c:pt idx="316">
                  <c:v>272919506.4400391</c:v>
                </c:pt>
                <c:pt idx="317">
                  <c:v>235825908.90365696</c:v>
                </c:pt>
                <c:pt idx="318">
                  <c:v>297886072.15848315</c:v>
                </c:pt>
                <c:pt idx="319">
                  <c:v>281682018.57736486</c:v>
                </c:pt>
                <c:pt idx="320">
                  <c:v>295897891.71437854</c:v>
                </c:pt>
                <c:pt idx="321">
                  <c:v>279182772.89118844</c:v>
                </c:pt>
                <c:pt idx="322">
                  <c:v>317890092.22429484</c:v>
                </c:pt>
                <c:pt idx="323">
                  <c:v>235736916.50439942</c:v>
                </c:pt>
                <c:pt idx="324">
                  <c:v>267023301.74051815</c:v>
                </c:pt>
                <c:pt idx="325">
                  <c:v>252012761.04843944</c:v>
                </c:pt>
                <c:pt idx="326">
                  <c:v>253764641.77567613</c:v>
                </c:pt>
                <c:pt idx="327">
                  <c:v>259937114.08458877</c:v>
                </c:pt>
                <c:pt idx="328">
                  <c:v>225232657.6857298</c:v>
                </c:pt>
                <c:pt idx="329">
                  <c:v>271264624.40623474</c:v>
                </c:pt>
                <c:pt idx="330">
                  <c:v>246025434.46554822</c:v>
                </c:pt>
                <c:pt idx="331">
                  <c:v>246990389.21245986</c:v>
                </c:pt>
                <c:pt idx="332">
                  <c:v>284568286.02238369</c:v>
                </c:pt>
                <c:pt idx="333">
                  <c:v>286358331.27734888</c:v>
                </c:pt>
                <c:pt idx="334">
                  <c:v>312907320.05105031</c:v>
                </c:pt>
                <c:pt idx="335">
                  <c:v>272583558.9426738</c:v>
                </c:pt>
                <c:pt idx="336">
                  <c:v>292316159.38343614</c:v>
                </c:pt>
                <c:pt idx="337">
                  <c:v>225007699.57657397</c:v>
                </c:pt>
                <c:pt idx="338">
                  <c:v>272421774.53300643</c:v>
                </c:pt>
                <c:pt idx="339">
                  <c:v>301598895.99949712</c:v>
                </c:pt>
                <c:pt idx="340">
                  <c:v>282773959.88860202</c:v>
                </c:pt>
                <c:pt idx="341">
                  <c:v>306094992.59391683</c:v>
                </c:pt>
                <c:pt idx="342">
                  <c:v>290160272.59784156</c:v>
                </c:pt>
                <c:pt idx="343">
                  <c:v>331368459.02614486</c:v>
                </c:pt>
                <c:pt idx="344">
                  <c:v>310685359.7065376</c:v>
                </c:pt>
                <c:pt idx="345">
                  <c:v>246062228.22364438</c:v>
                </c:pt>
                <c:pt idx="346">
                  <c:v>217097184.63834375</c:v>
                </c:pt>
                <c:pt idx="347">
                  <c:v>314790876.88153911</c:v>
                </c:pt>
                <c:pt idx="348">
                  <c:v>268455785.43648219</c:v>
                </c:pt>
                <c:pt idx="349">
                  <c:v>310711460.85959566</c:v>
                </c:pt>
                <c:pt idx="350">
                  <c:v>291570346.09814048</c:v>
                </c:pt>
                <c:pt idx="351">
                  <c:v>239378543.92115855</c:v>
                </c:pt>
                <c:pt idx="352">
                  <c:v>223246674.22745961</c:v>
                </c:pt>
                <c:pt idx="353">
                  <c:v>276017011.45370853</c:v>
                </c:pt>
                <c:pt idx="354">
                  <c:v>324743289.53218782</c:v>
                </c:pt>
                <c:pt idx="355">
                  <c:v>311927928.03508413</c:v>
                </c:pt>
                <c:pt idx="356">
                  <c:v>269215801.50241315</c:v>
                </c:pt>
                <c:pt idx="357">
                  <c:v>300363249.42890185</c:v>
                </c:pt>
                <c:pt idx="358">
                  <c:v>346625823.15400141</c:v>
                </c:pt>
                <c:pt idx="359">
                  <c:v>207072378.01744026</c:v>
                </c:pt>
                <c:pt idx="360">
                  <c:v>158402247.06545103</c:v>
                </c:pt>
                <c:pt idx="361">
                  <c:v>199027980.53649771</c:v>
                </c:pt>
                <c:pt idx="362">
                  <c:v>255669325.76026976</c:v>
                </c:pt>
                <c:pt idx="363">
                  <c:v>310128830.82940507</c:v>
                </c:pt>
                <c:pt idx="364">
                  <c:v>263439075.6023519</c:v>
                </c:pt>
                <c:pt idx="365">
                  <c:v>220251290.60153955</c:v>
                </c:pt>
                <c:pt idx="366">
                  <c:v>315138980.11598063</c:v>
                </c:pt>
                <c:pt idx="367">
                  <c:v>282195444.17062032</c:v>
                </c:pt>
                <c:pt idx="368">
                  <c:v>273755382.37300336</c:v>
                </c:pt>
                <c:pt idx="369">
                  <c:v>283155257.45607919</c:v>
                </c:pt>
                <c:pt idx="370">
                  <c:v>210901984.47844011</c:v>
                </c:pt>
                <c:pt idx="371">
                  <c:v>379323994.02231151</c:v>
                </c:pt>
                <c:pt idx="372">
                  <c:v>243366121.88593119</c:v>
                </c:pt>
                <c:pt idx="373">
                  <c:v>249331566.1224829</c:v>
                </c:pt>
                <c:pt idx="374">
                  <c:v>255694667.19465816</c:v>
                </c:pt>
                <c:pt idx="375">
                  <c:v>312040276.22441268</c:v>
                </c:pt>
                <c:pt idx="376">
                  <c:v>179073497.74989074</c:v>
                </c:pt>
                <c:pt idx="377">
                  <c:v>180731796.4042505</c:v>
                </c:pt>
                <c:pt idx="378">
                  <c:v>315819117.89658225</c:v>
                </c:pt>
                <c:pt idx="379">
                  <c:v>200325397.49877602</c:v>
                </c:pt>
                <c:pt idx="380">
                  <c:v>268079296.80659819</c:v>
                </c:pt>
                <c:pt idx="381">
                  <c:v>311202244.07477903</c:v>
                </c:pt>
                <c:pt idx="382">
                  <c:v>222439262.45925182</c:v>
                </c:pt>
                <c:pt idx="383">
                  <c:v>243364741.43868315</c:v>
                </c:pt>
                <c:pt idx="384">
                  <c:v>279118660.29262048</c:v>
                </c:pt>
                <c:pt idx="385">
                  <c:v>274246668.89403671</c:v>
                </c:pt>
                <c:pt idx="386">
                  <c:v>262819993.77774495</c:v>
                </c:pt>
                <c:pt idx="387">
                  <c:v>261367205.92615062</c:v>
                </c:pt>
                <c:pt idx="388">
                  <c:v>339957479.49362248</c:v>
                </c:pt>
                <c:pt idx="389">
                  <c:v>329310373.66221321</c:v>
                </c:pt>
                <c:pt idx="390">
                  <c:v>212442696.03060412</c:v>
                </c:pt>
                <c:pt idx="391">
                  <c:v>383796752.53632498</c:v>
                </c:pt>
                <c:pt idx="392">
                  <c:v>317175325.35680985</c:v>
                </c:pt>
                <c:pt idx="393">
                  <c:v>230182131.34489024</c:v>
                </c:pt>
                <c:pt idx="394">
                  <c:v>273501962.9480933</c:v>
                </c:pt>
                <c:pt idx="395">
                  <c:v>321720118.20638597</c:v>
                </c:pt>
                <c:pt idx="396">
                  <c:v>223748128.13293463</c:v>
                </c:pt>
                <c:pt idx="397">
                  <c:v>220232173.61592066</c:v>
                </c:pt>
                <c:pt idx="398">
                  <c:v>353861171.61951089</c:v>
                </c:pt>
                <c:pt idx="399">
                  <c:v>247421855.49188572</c:v>
                </c:pt>
                <c:pt idx="400">
                  <c:v>299063632.22084892</c:v>
                </c:pt>
                <c:pt idx="401">
                  <c:v>308189979.86909854</c:v>
                </c:pt>
                <c:pt idx="402">
                  <c:v>397898498.36644399</c:v>
                </c:pt>
                <c:pt idx="403">
                  <c:v>314409567.60497147</c:v>
                </c:pt>
                <c:pt idx="404">
                  <c:v>305940218.58422744</c:v>
                </c:pt>
                <c:pt idx="405">
                  <c:v>348830310.44117892</c:v>
                </c:pt>
                <c:pt idx="406">
                  <c:v>332626669.17391682</c:v>
                </c:pt>
                <c:pt idx="407">
                  <c:v>215420193.03061044</c:v>
                </c:pt>
                <c:pt idx="408">
                  <c:v>238544453.79557246</c:v>
                </c:pt>
                <c:pt idx="409">
                  <c:v>282564271.13414872</c:v>
                </c:pt>
                <c:pt idx="410">
                  <c:v>330844065.63415027</c:v>
                </c:pt>
                <c:pt idx="411">
                  <c:v>214445189.84779984</c:v>
                </c:pt>
                <c:pt idx="412">
                  <c:v>305774575.52788365</c:v>
                </c:pt>
                <c:pt idx="413">
                  <c:v>255767180.89111161</c:v>
                </c:pt>
                <c:pt idx="414">
                  <c:v>295646451.43563312</c:v>
                </c:pt>
                <c:pt idx="415">
                  <c:v>273433617.28463483</c:v>
                </c:pt>
                <c:pt idx="416">
                  <c:v>254117060.05557668</c:v>
                </c:pt>
                <c:pt idx="417">
                  <c:v>278570338.13045621</c:v>
                </c:pt>
                <c:pt idx="418">
                  <c:v>213655304.72917688</c:v>
                </c:pt>
                <c:pt idx="419">
                  <c:v>187023753.34664613</c:v>
                </c:pt>
                <c:pt idx="420">
                  <c:v>216807933.34034729</c:v>
                </c:pt>
                <c:pt idx="421">
                  <c:v>271277564.82220989</c:v>
                </c:pt>
                <c:pt idx="422">
                  <c:v>201658905.45448941</c:v>
                </c:pt>
                <c:pt idx="423">
                  <c:v>276825907.32324886</c:v>
                </c:pt>
                <c:pt idx="424">
                  <c:v>250141773.59479499</c:v>
                </c:pt>
                <c:pt idx="425">
                  <c:v>256918892.83861929</c:v>
                </c:pt>
                <c:pt idx="426">
                  <c:v>254447819.4528228</c:v>
                </c:pt>
                <c:pt idx="427">
                  <c:v>181140194.74054885</c:v>
                </c:pt>
                <c:pt idx="428">
                  <c:v>274789176.76463223</c:v>
                </c:pt>
                <c:pt idx="429">
                  <c:v>156673405.39592797</c:v>
                </c:pt>
                <c:pt idx="430">
                  <c:v>214055224.39289939</c:v>
                </c:pt>
                <c:pt idx="431">
                  <c:v>247732247.38820982</c:v>
                </c:pt>
                <c:pt idx="432">
                  <c:v>286299176.9881835</c:v>
                </c:pt>
                <c:pt idx="433">
                  <c:v>298098560.25075066</c:v>
                </c:pt>
                <c:pt idx="434">
                  <c:v>322391435.06979632</c:v>
                </c:pt>
                <c:pt idx="435">
                  <c:v>198488321.77571845</c:v>
                </c:pt>
                <c:pt idx="436">
                  <c:v>262875829.56485856</c:v>
                </c:pt>
                <c:pt idx="437">
                  <c:v>256030951.53872401</c:v>
                </c:pt>
                <c:pt idx="438">
                  <c:v>236668273.65520173</c:v>
                </c:pt>
                <c:pt idx="439">
                  <c:v>244656464.95887899</c:v>
                </c:pt>
                <c:pt idx="440">
                  <c:v>356768678.06595278</c:v>
                </c:pt>
                <c:pt idx="441">
                  <c:v>323541490.26042593</c:v>
                </c:pt>
                <c:pt idx="442">
                  <c:v>248018943.78229487</c:v>
                </c:pt>
                <c:pt idx="443">
                  <c:v>185391342.73907816</c:v>
                </c:pt>
                <c:pt idx="444">
                  <c:v>236551313.43620408</c:v>
                </c:pt>
                <c:pt idx="445">
                  <c:v>251079969.27725321</c:v>
                </c:pt>
                <c:pt idx="446">
                  <c:v>199433919.70252258</c:v>
                </c:pt>
                <c:pt idx="447">
                  <c:v>337746551.04675317</c:v>
                </c:pt>
                <c:pt idx="448">
                  <c:v>307364540.8307566</c:v>
                </c:pt>
                <c:pt idx="449">
                  <c:v>225752691.42303658</c:v>
                </c:pt>
                <c:pt idx="450">
                  <c:v>244155384.92150873</c:v>
                </c:pt>
                <c:pt idx="451">
                  <c:v>195260222.01230276</c:v>
                </c:pt>
                <c:pt idx="452">
                  <c:v>236586900.06089258</c:v>
                </c:pt>
                <c:pt idx="453">
                  <c:v>238537219.96437198</c:v>
                </c:pt>
                <c:pt idx="454">
                  <c:v>286594603.02168334</c:v>
                </c:pt>
                <c:pt idx="455">
                  <c:v>265876848.65361053</c:v>
                </c:pt>
                <c:pt idx="456">
                  <c:v>289220354.76112044</c:v>
                </c:pt>
                <c:pt idx="457">
                  <c:v>160145684.7167154</c:v>
                </c:pt>
                <c:pt idx="458">
                  <c:v>261969252.88151526</c:v>
                </c:pt>
                <c:pt idx="459">
                  <c:v>192164244.89238656</c:v>
                </c:pt>
                <c:pt idx="460">
                  <c:v>256323325.16679418</c:v>
                </c:pt>
                <c:pt idx="461">
                  <c:v>301078825.38372397</c:v>
                </c:pt>
                <c:pt idx="462">
                  <c:v>358521219.64006501</c:v>
                </c:pt>
                <c:pt idx="463">
                  <c:v>324714332.0376364</c:v>
                </c:pt>
                <c:pt idx="464">
                  <c:v>297155228.96572679</c:v>
                </c:pt>
                <c:pt idx="465">
                  <c:v>311737149.70871568</c:v>
                </c:pt>
                <c:pt idx="466">
                  <c:v>322380017.94492352</c:v>
                </c:pt>
                <c:pt idx="467">
                  <c:v>377198233.13697511</c:v>
                </c:pt>
                <c:pt idx="468">
                  <c:v>280351834.80115473</c:v>
                </c:pt>
                <c:pt idx="469">
                  <c:v>294591872.88398403</c:v>
                </c:pt>
                <c:pt idx="470">
                  <c:v>308207829.0100385</c:v>
                </c:pt>
                <c:pt idx="471">
                  <c:v>284991031.68790501</c:v>
                </c:pt>
                <c:pt idx="472">
                  <c:v>242505382.69797939</c:v>
                </c:pt>
                <c:pt idx="473">
                  <c:v>414196328.0866518</c:v>
                </c:pt>
                <c:pt idx="474">
                  <c:v>292243701.33027339</c:v>
                </c:pt>
                <c:pt idx="475">
                  <c:v>256450577.30014682</c:v>
                </c:pt>
                <c:pt idx="476">
                  <c:v>239313442.74098456</c:v>
                </c:pt>
                <c:pt idx="477">
                  <c:v>266924066.56069607</c:v>
                </c:pt>
                <c:pt idx="478">
                  <c:v>253345222.67449564</c:v>
                </c:pt>
                <c:pt idx="479">
                  <c:v>248586526.64388502</c:v>
                </c:pt>
                <c:pt idx="480">
                  <c:v>312600238.90330112</c:v>
                </c:pt>
                <c:pt idx="481">
                  <c:v>289235329.85178715</c:v>
                </c:pt>
                <c:pt idx="482">
                  <c:v>302310931.80016994</c:v>
                </c:pt>
                <c:pt idx="483">
                  <c:v>252852291.18597662</c:v>
                </c:pt>
                <c:pt idx="484">
                  <c:v>304954617.35996902</c:v>
                </c:pt>
                <c:pt idx="485">
                  <c:v>291497578.99687231</c:v>
                </c:pt>
                <c:pt idx="486">
                  <c:v>232334145.12399489</c:v>
                </c:pt>
                <c:pt idx="487">
                  <c:v>345180086.47814512</c:v>
                </c:pt>
                <c:pt idx="488">
                  <c:v>229132912.75409454</c:v>
                </c:pt>
                <c:pt idx="489">
                  <c:v>198074109.71875119</c:v>
                </c:pt>
                <c:pt idx="490">
                  <c:v>412251311.02320802</c:v>
                </c:pt>
                <c:pt idx="491">
                  <c:v>353855247.33999139</c:v>
                </c:pt>
                <c:pt idx="492">
                  <c:v>263631084.38703144</c:v>
                </c:pt>
                <c:pt idx="493">
                  <c:v>293675299.06040281</c:v>
                </c:pt>
                <c:pt idx="494">
                  <c:v>280929855.23211974</c:v>
                </c:pt>
                <c:pt idx="495">
                  <c:v>250410904.37192118</c:v>
                </c:pt>
                <c:pt idx="496">
                  <c:v>284509250.2709651</c:v>
                </c:pt>
                <c:pt idx="497">
                  <c:v>304191746.94057715</c:v>
                </c:pt>
                <c:pt idx="498">
                  <c:v>359131562.51403856</c:v>
                </c:pt>
                <c:pt idx="499">
                  <c:v>256517974.11603421</c:v>
                </c:pt>
                <c:pt idx="500">
                  <c:v>325855209.81095523</c:v>
                </c:pt>
                <c:pt idx="501">
                  <c:v>230457893.23363066</c:v>
                </c:pt>
                <c:pt idx="502">
                  <c:v>289941140.53835142</c:v>
                </c:pt>
                <c:pt idx="503">
                  <c:v>246123884.3343575</c:v>
                </c:pt>
                <c:pt idx="504">
                  <c:v>305297268.94290268</c:v>
                </c:pt>
                <c:pt idx="505">
                  <c:v>173648140.92052066</c:v>
                </c:pt>
                <c:pt idx="506">
                  <c:v>263700011.1936546</c:v>
                </c:pt>
                <c:pt idx="507">
                  <c:v>168610340.55774426</c:v>
                </c:pt>
                <c:pt idx="508">
                  <c:v>222897748.54817164</c:v>
                </c:pt>
                <c:pt idx="509">
                  <c:v>288948711.13927817</c:v>
                </c:pt>
                <c:pt idx="510">
                  <c:v>278985071.89357781</c:v>
                </c:pt>
                <c:pt idx="511">
                  <c:v>328678689.0826872</c:v>
                </c:pt>
                <c:pt idx="512">
                  <c:v>246276098.96200198</c:v>
                </c:pt>
                <c:pt idx="513">
                  <c:v>274698915.47334188</c:v>
                </c:pt>
                <c:pt idx="514">
                  <c:v>224411020.55174196</c:v>
                </c:pt>
                <c:pt idx="515">
                  <c:v>220571656.55856258</c:v>
                </c:pt>
                <c:pt idx="516">
                  <c:v>261922470.95129257</c:v>
                </c:pt>
                <c:pt idx="517">
                  <c:v>300456117.9962858</c:v>
                </c:pt>
                <c:pt idx="518">
                  <c:v>280302706.33911812</c:v>
                </c:pt>
                <c:pt idx="519">
                  <c:v>257901713.9957388</c:v>
                </c:pt>
                <c:pt idx="520">
                  <c:v>276092006.15378368</c:v>
                </c:pt>
                <c:pt idx="521">
                  <c:v>336206379.38188446</c:v>
                </c:pt>
                <c:pt idx="522">
                  <c:v>287202235.7755537</c:v>
                </c:pt>
                <c:pt idx="523">
                  <c:v>172730283.41940784</c:v>
                </c:pt>
                <c:pt idx="524">
                  <c:v>290619781.89731163</c:v>
                </c:pt>
                <c:pt idx="525">
                  <c:v>279759490.56622529</c:v>
                </c:pt>
                <c:pt idx="526">
                  <c:v>304908992.02913487</c:v>
                </c:pt>
                <c:pt idx="527">
                  <c:v>268297917.46068245</c:v>
                </c:pt>
                <c:pt idx="528">
                  <c:v>296919615.97892362</c:v>
                </c:pt>
                <c:pt idx="529">
                  <c:v>341552687.48775995</c:v>
                </c:pt>
                <c:pt idx="530">
                  <c:v>182416081.43065578</c:v>
                </c:pt>
                <c:pt idx="531">
                  <c:v>375387771.5126555</c:v>
                </c:pt>
                <c:pt idx="532">
                  <c:v>304289603.34261894</c:v>
                </c:pt>
                <c:pt idx="533">
                  <c:v>178216978.71280736</c:v>
                </c:pt>
                <c:pt idx="534">
                  <c:v>306753607.61992282</c:v>
                </c:pt>
                <c:pt idx="535">
                  <c:v>280021285.72903717</c:v>
                </c:pt>
                <c:pt idx="536">
                  <c:v>276873681.81828868</c:v>
                </c:pt>
                <c:pt idx="537">
                  <c:v>282882617.93437976</c:v>
                </c:pt>
                <c:pt idx="538">
                  <c:v>285992424.00107908</c:v>
                </c:pt>
                <c:pt idx="539">
                  <c:v>324352397.23653966</c:v>
                </c:pt>
                <c:pt idx="540">
                  <c:v>298668223.82474679</c:v>
                </c:pt>
                <c:pt idx="541">
                  <c:v>215113323.19860107</c:v>
                </c:pt>
                <c:pt idx="542">
                  <c:v>320216232.85151029</c:v>
                </c:pt>
                <c:pt idx="543">
                  <c:v>299014280.45223689</c:v>
                </c:pt>
                <c:pt idx="544">
                  <c:v>284633383.71467489</c:v>
                </c:pt>
                <c:pt idx="545">
                  <c:v>334917498.43695676</c:v>
                </c:pt>
                <c:pt idx="546">
                  <c:v>223051852.75180507</c:v>
                </c:pt>
                <c:pt idx="547">
                  <c:v>218521192.18322116</c:v>
                </c:pt>
                <c:pt idx="548">
                  <c:v>255287449.7357533</c:v>
                </c:pt>
                <c:pt idx="549">
                  <c:v>295313344.19261867</c:v>
                </c:pt>
                <c:pt idx="550">
                  <c:v>249673698.14979959</c:v>
                </c:pt>
                <c:pt idx="551">
                  <c:v>319299592.45279032</c:v>
                </c:pt>
                <c:pt idx="552">
                  <c:v>293385572.85502368</c:v>
                </c:pt>
                <c:pt idx="553">
                  <c:v>231570753.85570151</c:v>
                </c:pt>
                <c:pt idx="554">
                  <c:v>242120930.48950166</c:v>
                </c:pt>
                <c:pt idx="555">
                  <c:v>337414544.19545603</c:v>
                </c:pt>
                <c:pt idx="556">
                  <c:v>287260666.76365042</c:v>
                </c:pt>
                <c:pt idx="557">
                  <c:v>210813550.30950975</c:v>
                </c:pt>
                <c:pt idx="558">
                  <c:v>255972557.59071577</c:v>
                </c:pt>
                <c:pt idx="559">
                  <c:v>238214295.78727496</c:v>
                </c:pt>
                <c:pt idx="560">
                  <c:v>256128231.38267046</c:v>
                </c:pt>
                <c:pt idx="561">
                  <c:v>262731969.43937987</c:v>
                </c:pt>
                <c:pt idx="562">
                  <c:v>232456084.19759279</c:v>
                </c:pt>
                <c:pt idx="563">
                  <c:v>291687994.8233577</c:v>
                </c:pt>
                <c:pt idx="564">
                  <c:v>275873226.08207035</c:v>
                </c:pt>
                <c:pt idx="565">
                  <c:v>157050186.96795356</c:v>
                </c:pt>
                <c:pt idx="566">
                  <c:v>248658195.94482982</c:v>
                </c:pt>
                <c:pt idx="567">
                  <c:v>298448342.29429591</c:v>
                </c:pt>
                <c:pt idx="568">
                  <c:v>272757763.97824329</c:v>
                </c:pt>
                <c:pt idx="569">
                  <c:v>227728428.25721979</c:v>
                </c:pt>
                <c:pt idx="570">
                  <c:v>203308880.87507111</c:v>
                </c:pt>
                <c:pt idx="571">
                  <c:v>319544196.62218547</c:v>
                </c:pt>
                <c:pt idx="572">
                  <c:v>330426040.08849311</c:v>
                </c:pt>
                <c:pt idx="573">
                  <c:v>176373102.58687532</c:v>
                </c:pt>
                <c:pt idx="574">
                  <c:v>265907987.44509757</c:v>
                </c:pt>
                <c:pt idx="575">
                  <c:v>221271872.2882297</c:v>
                </c:pt>
                <c:pt idx="576">
                  <c:v>292797068.3236388</c:v>
                </c:pt>
                <c:pt idx="577">
                  <c:v>217188294.83326823</c:v>
                </c:pt>
                <c:pt idx="578">
                  <c:v>297324649.78432703</c:v>
                </c:pt>
                <c:pt idx="579">
                  <c:v>362223372.38825113</c:v>
                </c:pt>
                <c:pt idx="580">
                  <c:v>285879616.86368024</c:v>
                </c:pt>
                <c:pt idx="581">
                  <c:v>314425217.29583716</c:v>
                </c:pt>
                <c:pt idx="582">
                  <c:v>205378328.9332214</c:v>
                </c:pt>
                <c:pt idx="583">
                  <c:v>298300214.47161537</c:v>
                </c:pt>
                <c:pt idx="584">
                  <c:v>184608768.3299073</c:v>
                </c:pt>
                <c:pt idx="585">
                  <c:v>291140709.98492068</c:v>
                </c:pt>
                <c:pt idx="586">
                  <c:v>294468016.34586823</c:v>
                </c:pt>
                <c:pt idx="587">
                  <c:v>265858038.29728997</c:v>
                </c:pt>
                <c:pt idx="588">
                  <c:v>278116040.22523981</c:v>
                </c:pt>
                <c:pt idx="589">
                  <c:v>266259463.98800343</c:v>
                </c:pt>
                <c:pt idx="590">
                  <c:v>388963290.9482578</c:v>
                </c:pt>
                <c:pt idx="591">
                  <c:v>282850464.87860793</c:v>
                </c:pt>
                <c:pt idx="592">
                  <c:v>298431525.23110723</c:v>
                </c:pt>
                <c:pt idx="593">
                  <c:v>186696150.96263123</c:v>
                </c:pt>
                <c:pt idx="594">
                  <c:v>311195894.20032746</c:v>
                </c:pt>
                <c:pt idx="595">
                  <c:v>315278272.50624192</c:v>
                </c:pt>
                <c:pt idx="596">
                  <c:v>257861156.98220539</c:v>
                </c:pt>
                <c:pt idx="597">
                  <c:v>215955529.55556375</c:v>
                </c:pt>
                <c:pt idx="598">
                  <c:v>307987108.38622051</c:v>
                </c:pt>
                <c:pt idx="599">
                  <c:v>178845882.07175577</c:v>
                </c:pt>
                <c:pt idx="600">
                  <c:v>224645602.38007283</c:v>
                </c:pt>
                <c:pt idx="601">
                  <c:v>349140568.30971354</c:v>
                </c:pt>
                <c:pt idx="602">
                  <c:v>282161126.58764946</c:v>
                </c:pt>
                <c:pt idx="603">
                  <c:v>280945750.86898434</c:v>
                </c:pt>
                <c:pt idx="604">
                  <c:v>367017254.30835813</c:v>
                </c:pt>
                <c:pt idx="605">
                  <c:v>283820195.41206783</c:v>
                </c:pt>
                <c:pt idx="606">
                  <c:v>289305885.69482481</c:v>
                </c:pt>
                <c:pt idx="607">
                  <c:v>306277816.05267185</c:v>
                </c:pt>
                <c:pt idx="608">
                  <c:v>253062072.30649126</c:v>
                </c:pt>
                <c:pt idx="609">
                  <c:v>276930079.32176119</c:v>
                </c:pt>
                <c:pt idx="610">
                  <c:v>222290458.17823803</c:v>
                </c:pt>
                <c:pt idx="611">
                  <c:v>265347742.88402116</c:v>
                </c:pt>
                <c:pt idx="612">
                  <c:v>259802050.16641903</c:v>
                </c:pt>
                <c:pt idx="613">
                  <c:v>321261549.49428254</c:v>
                </c:pt>
                <c:pt idx="614">
                  <c:v>185940257.13841671</c:v>
                </c:pt>
                <c:pt idx="615">
                  <c:v>239123493.85638404</c:v>
                </c:pt>
                <c:pt idx="616">
                  <c:v>256647881.41943789</c:v>
                </c:pt>
                <c:pt idx="617">
                  <c:v>240640586.25586796</c:v>
                </c:pt>
                <c:pt idx="618">
                  <c:v>305026925.56871849</c:v>
                </c:pt>
                <c:pt idx="619">
                  <c:v>291109660.0448826</c:v>
                </c:pt>
                <c:pt idx="620">
                  <c:v>337179879.23403811</c:v>
                </c:pt>
                <c:pt idx="621">
                  <c:v>325752662.47766632</c:v>
                </c:pt>
                <c:pt idx="622">
                  <c:v>253277221.0222671</c:v>
                </c:pt>
                <c:pt idx="623">
                  <c:v>320365204.59280193</c:v>
                </c:pt>
                <c:pt idx="624">
                  <c:v>341470756.05529767</c:v>
                </c:pt>
                <c:pt idx="625">
                  <c:v>304711534.24253094</c:v>
                </c:pt>
                <c:pt idx="626">
                  <c:v>283220494.16400909</c:v>
                </c:pt>
                <c:pt idx="627">
                  <c:v>279105248.96451563</c:v>
                </c:pt>
                <c:pt idx="628">
                  <c:v>294639283.78740144</c:v>
                </c:pt>
                <c:pt idx="629">
                  <c:v>258398846.57147408</c:v>
                </c:pt>
                <c:pt idx="630">
                  <c:v>215895134.0023436</c:v>
                </c:pt>
                <c:pt idx="631">
                  <c:v>305183727.64668483</c:v>
                </c:pt>
                <c:pt idx="632">
                  <c:v>234783137.33402044</c:v>
                </c:pt>
                <c:pt idx="633">
                  <c:v>259506178.74940562</c:v>
                </c:pt>
                <c:pt idx="634">
                  <c:v>206978227.26825023</c:v>
                </c:pt>
                <c:pt idx="635">
                  <c:v>319100265.63230652</c:v>
                </c:pt>
                <c:pt idx="636">
                  <c:v>259076117.78522968</c:v>
                </c:pt>
                <c:pt idx="637">
                  <c:v>289223826.13887978</c:v>
                </c:pt>
                <c:pt idx="638">
                  <c:v>219842615.4112525</c:v>
                </c:pt>
                <c:pt idx="639">
                  <c:v>241885380.46269381</c:v>
                </c:pt>
                <c:pt idx="640">
                  <c:v>307600957.89572531</c:v>
                </c:pt>
                <c:pt idx="641">
                  <c:v>319112688.78295195</c:v>
                </c:pt>
                <c:pt idx="642">
                  <c:v>289113614.75055969</c:v>
                </c:pt>
                <c:pt idx="643">
                  <c:v>211622997.15769553</c:v>
                </c:pt>
                <c:pt idx="644">
                  <c:v>343782831.05928022</c:v>
                </c:pt>
                <c:pt idx="645">
                  <c:v>318758695.54568028</c:v>
                </c:pt>
                <c:pt idx="646">
                  <c:v>265777993.02959406</c:v>
                </c:pt>
                <c:pt idx="647">
                  <c:v>316302538.70656562</c:v>
                </c:pt>
                <c:pt idx="648">
                  <c:v>273542010.33978683</c:v>
                </c:pt>
                <c:pt idx="649">
                  <c:v>268611289.33348334</c:v>
                </c:pt>
                <c:pt idx="650">
                  <c:v>235369240.86644137</c:v>
                </c:pt>
                <c:pt idx="651">
                  <c:v>360712050.21984935</c:v>
                </c:pt>
                <c:pt idx="652">
                  <c:v>352653754.95560956</c:v>
                </c:pt>
                <c:pt idx="653">
                  <c:v>283040503.11698532</c:v>
                </c:pt>
                <c:pt idx="654">
                  <c:v>174716040.10426569</c:v>
                </c:pt>
                <c:pt idx="655">
                  <c:v>231564192.58269423</c:v>
                </c:pt>
                <c:pt idx="656">
                  <c:v>243076043.20141429</c:v>
                </c:pt>
                <c:pt idx="657">
                  <c:v>243724093.08948261</c:v>
                </c:pt>
                <c:pt idx="658">
                  <c:v>302127919.63332021</c:v>
                </c:pt>
                <c:pt idx="659">
                  <c:v>178569060.79077238</c:v>
                </c:pt>
                <c:pt idx="660">
                  <c:v>282268186.6636011</c:v>
                </c:pt>
                <c:pt idx="661">
                  <c:v>284770006.6682092</c:v>
                </c:pt>
                <c:pt idx="662">
                  <c:v>288751547.37375718</c:v>
                </c:pt>
                <c:pt idx="663">
                  <c:v>290826756.18191355</c:v>
                </c:pt>
                <c:pt idx="664">
                  <c:v>261406603.40027732</c:v>
                </c:pt>
                <c:pt idx="665">
                  <c:v>311571013.65839165</c:v>
                </c:pt>
                <c:pt idx="666">
                  <c:v>317348325.3431648</c:v>
                </c:pt>
                <c:pt idx="667">
                  <c:v>216512865.74471468</c:v>
                </c:pt>
                <c:pt idx="668">
                  <c:v>260944990.30348068</c:v>
                </c:pt>
                <c:pt idx="669">
                  <c:v>347281834.92227405</c:v>
                </c:pt>
                <c:pt idx="670">
                  <c:v>310385292.53658354</c:v>
                </c:pt>
                <c:pt idx="671">
                  <c:v>222138121.73087609</c:v>
                </c:pt>
                <c:pt idx="672">
                  <c:v>251379388.60837972</c:v>
                </c:pt>
                <c:pt idx="673">
                  <c:v>274118252.59388554</c:v>
                </c:pt>
                <c:pt idx="674">
                  <c:v>274997401.37171596</c:v>
                </c:pt>
                <c:pt idx="675">
                  <c:v>323375983.11248875</c:v>
                </c:pt>
                <c:pt idx="676">
                  <c:v>211788609.61868906</c:v>
                </c:pt>
                <c:pt idx="677">
                  <c:v>241637246.93122816</c:v>
                </c:pt>
                <c:pt idx="678">
                  <c:v>224049557.59085846</c:v>
                </c:pt>
                <c:pt idx="679">
                  <c:v>238793220.65488094</c:v>
                </c:pt>
                <c:pt idx="680">
                  <c:v>246303991.8763324</c:v>
                </c:pt>
                <c:pt idx="681">
                  <c:v>243325989.1867348</c:v>
                </c:pt>
                <c:pt idx="682">
                  <c:v>338038088.40643728</c:v>
                </c:pt>
                <c:pt idx="683">
                  <c:v>259359285.54307771</c:v>
                </c:pt>
                <c:pt idx="684">
                  <c:v>251389793.92404902</c:v>
                </c:pt>
                <c:pt idx="685">
                  <c:v>264364625.28957546</c:v>
                </c:pt>
                <c:pt idx="686">
                  <c:v>245743588.91270065</c:v>
                </c:pt>
                <c:pt idx="687">
                  <c:v>305470129.46514422</c:v>
                </c:pt>
                <c:pt idx="688">
                  <c:v>248579336.06683397</c:v>
                </c:pt>
                <c:pt idx="689">
                  <c:v>382358292.74242139</c:v>
                </c:pt>
                <c:pt idx="690">
                  <c:v>220937816.76865697</c:v>
                </c:pt>
                <c:pt idx="691">
                  <c:v>270063721.8361913</c:v>
                </c:pt>
                <c:pt idx="692">
                  <c:v>265234045.15812016</c:v>
                </c:pt>
                <c:pt idx="693">
                  <c:v>318376160.43881488</c:v>
                </c:pt>
                <c:pt idx="694">
                  <c:v>220895960.39489824</c:v>
                </c:pt>
                <c:pt idx="695">
                  <c:v>268171650.69940054</c:v>
                </c:pt>
                <c:pt idx="696">
                  <c:v>274161822.28795481</c:v>
                </c:pt>
                <c:pt idx="697">
                  <c:v>287857557.52547437</c:v>
                </c:pt>
                <c:pt idx="698">
                  <c:v>267066203.61641842</c:v>
                </c:pt>
                <c:pt idx="699">
                  <c:v>312807631.85636914</c:v>
                </c:pt>
                <c:pt idx="700">
                  <c:v>272218262.47213542</c:v>
                </c:pt>
                <c:pt idx="701">
                  <c:v>309963897.13487697</c:v>
                </c:pt>
                <c:pt idx="702">
                  <c:v>287922925.86439341</c:v>
                </c:pt>
                <c:pt idx="703">
                  <c:v>228953768.74790502</c:v>
                </c:pt>
                <c:pt idx="704">
                  <c:v>293869682.15605408</c:v>
                </c:pt>
                <c:pt idx="705">
                  <c:v>211883455.84602642</c:v>
                </c:pt>
                <c:pt idx="706">
                  <c:v>320613854.93004447</c:v>
                </c:pt>
                <c:pt idx="707">
                  <c:v>234217480.73583341</c:v>
                </c:pt>
                <c:pt idx="708">
                  <c:v>250874468.50057495</c:v>
                </c:pt>
                <c:pt idx="709">
                  <c:v>248742550.83926821</c:v>
                </c:pt>
                <c:pt idx="710">
                  <c:v>206096851.36280936</c:v>
                </c:pt>
                <c:pt idx="711">
                  <c:v>206335257.33337426</c:v>
                </c:pt>
                <c:pt idx="712">
                  <c:v>275488959.59593499</c:v>
                </c:pt>
                <c:pt idx="713">
                  <c:v>315813176.90294498</c:v>
                </c:pt>
                <c:pt idx="714">
                  <c:v>277397350.05973321</c:v>
                </c:pt>
                <c:pt idx="715">
                  <c:v>291643346.45924884</c:v>
                </c:pt>
                <c:pt idx="716">
                  <c:v>233726459.27436513</c:v>
                </c:pt>
                <c:pt idx="717">
                  <c:v>248451045.5263598</c:v>
                </c:pt>
                <c:pt idx="718">
                  <c:v>223558034.23525882</c:v>
                </c:pt>
                <c:pt idx="719">
                  <c:v>249001830.88779652</c:v>
                </c:pt>
                <c:pt idx="720">
                  <c:v>285196824.5997017</c:v>
                </c:pt>
                <c:pt idx="721">
                  <c:v>347217927.44374949</c:v>
                </c:pt>
                <c:pt idx="722">
                  <c:v>356280130.16244256</c:v>
                </c:pt>
                <c:pt idx="723">
                  <c:v>325087979.61275154</c:v>
                </c:pt>
                <c:pt idx="724">
                  <c:v>308205979.88983828</c:v>
                </c:pt>
                <c:pt idx="725">
                  <c:v>335789830.64247376</c:v>
                </c:pt>
                <c:pt idx="726">
                  <c:v>280636583.66917938</c:v>
                </c:pt>
                <c:pt idx="727">
                  <c:v>227979914.86479342</c:v>
                </c:pt>
                <c:pt idx="728">
                  <c:v>213446462.6669423</c:v>
                </c:pt>
                <c:pt idx="729">
                  <c:v>273929130.96642154</c:v>
                </c:pt>
                <c:pt idx="730">
                  <c:v>284895119.30373967</c:v>
                </c:pt>
                <c:pt idx="731">
                  <c:v>212994634.66162759</c:v>
                </c:pt>
                <c:pt idx="732">
                  <c:v>320748527.82294303</c:v>
                </c:pt>
                <c:pt idx="733">
                  <c:v>266740144.977741</c:v>
                </c:pt>
                <c:pt idx="734">
                  <c:v>345277580.81108433</c:v>
                </c:pt>
                <c:pt idx="735">
                  <c:v>359398987.43454832</c:v>
                </c:pt>
                <c:pt idx="736">
                  <c:v>233396858.67785382</c:v>
                </c:pt>
                <c:pt idx="737">
                  <c:v>297573729.94090903</c:v>
                </c:pt>
                <c:pt idx="738">
                  <c:v>291768558.84944189</c:v>
                </c:pt>
                <c:pt idx="739">
                  <c:v>245112252.89628869</c:v>
                </c:pt>
                <c:pt idx="740">
                  <c:v>291619560.45472181</c:v>
                </c:pt>
                <c:pt idx="741">
                  <c:v>207215264.67191023</c:v>
                </c:pt>
                <c:pt idx="742">
                  <c:v>332856437.62983119</c:v>
                </c:pt>
                <c:pt idx="743">
                  <c:v>291051232.63755095</c:v>
                </c:pt>
                <c:pt idx="744">
                  <c:v>241657791.22771686</c:v>
                </c:pt>
                <c:pt idx="745">
                  <c:v>316476104.14011538</c:v>
                </c:pt>
                <c:pt idx="746">
                  <c:v>296086141.81467187</c:v>
                </c:pt>
                <c:pt idx="747">
                  <c:v>315509392.96828508</c:v>
                </c:pt>
                <c:pt idx="748">
                  <c:v>361328187.25378555</c:v>
                </c:pt>
                <c:pt idx="749">
                  <c:v>313975836.57754481</c:v>
                </c:pt>
                <c:pt idx="750">
                  <c:v>315951979.35423893</c:v>
                </c:pt>
                <c:pt idx="751">
                  <c:v>241896098.69947577</c:v>
                </c:pt>
                <c:pt idx="752">
                  <c:v>287620967.10393083</c:v>
                </c:pt>
                <c:pt idx="753">
                  <c:v>292808468.64858449</c:v>
                </c:pt>
                <c:pt idx="754">
                  <c:v>300181322.74192524</c:v>
                </c:pt>
                <c:pt idx="755">
                  <c:v>311565303.12221086</c:v>
                </c:pt>
                <c:pt idx="756">
                  <c:v>341880312.0663498</c:v>
                </c:pt>
                <c:pt idx="757">
                  <c:v>292011871.91100961</c:v>
                </c:pt>
                <c:pt idx="758">
                  <c:v>341334961.75184143</c:v>
                </c:pt>
                <c:pt idx="759">
                  <c:v>233037357.00020701</c:v>
                </c:pt>
                <c:pt idx="760">
                  <c:v>276957502.7867232</c:v>
                </c:pt>
                <c:pt idx="761">
                  <c:v>199831165.44018245</c:v>
                </c:pt>
                <c:pt idx="762">
                  <c:v>289368471.29536545</c:v>
                </c:pt>
                <c:pt idx="763">
                  <c:v>242180360.49022192</c:v>
                </c:pt>
                <c:pt idx="764">
                  <c:v>323820540.40237617</c:v>
                </c:pt>
                <c:pt idx="765">
                  <c:v>315157286.90747941</c:v>
                </c:pt>
                <c:pt idx="766">
                  <c:v>353709335.89611632</c:v>
                </c:pt>
                <c:pt idx="767">
                  <c:v>243590434.7801097</c:v>
                </c:pt>
                <c:pt idx="768">
                  <c:v>335232694.42689878</c:v>
                </c:pt>
                <c:pt idx="769">
                  <c:v>368018721.62514794</c:v>
                </c:pt>
                <c:pt idx="770">
                  <c:v>250883242.13242173</c:v>
                </c:pt>
                <c:pt idx="771">
                  <c:v>258795163.90502256</c:v>
                </c:pt>
                <c:pt idx="772">
                  <c:v>391584898.8659007</c:v>
                </c:pt>
                <c:pt idx="773">
                  <c:v>360137876.99098039</c:v>
                </c:pt>
                <c:pt idx="774">
                  <c:v>133262798.98174608</c:v>
                </c:pt>
                <c:pt idx="775">
                  <c:v>218844224.87501895</c:v>
                </c:pt>
                <c:pt idx="776">
                  <c:v>236705939.70635194</c:v>
                </c:pt>
                <c:pt idx="777">
                  <c:v>227861797.05766284</c:v>
                </c:pt>
                <c:pt idx="778">
                  <c:v>182533143.19982326</c:v>
                </c:pt>
                <c:pt idx="779">
                  <c:v>292882297.15273821</c:v>
                </c:pt>
                <c:pt idx="780">
                  <c:v>169211855.40018386</c:v>
                </c:pt>
                <c:pt idx="781">
                  <c:v>345481053.73756105</c:v>
                </c:pt>
                <c:pt idx="782">
                  <c:v>308816499.8915025</c:v>
                </c:pt>
                <c:pt idx="783">
                  <c:v>326205567.19022375</c:v>
                </c:pt>
                <c:pt idx="784">
                  <c:v>163968407.67756361</c:v>
                </c:pt>
                <c:pt idx="785">
                  <c:v>260888346.4373312</c:v>
                </c:pt>
                <c:pt idx="786">
                  <c:v>313808459.56413329</c:v>
                </c:pt>
                <c:pt idx="787">
                  <c:v>183231661.99984193</c:v>
                </c:pt>
                <c:pt idx="788">
                  <c:v>288941835.8632732</c:v>
                </c:pt>
                <c:pt idx="789">
                  <c:v>310931180.11100352</c:v>
                </c:pt>
                <c:pt idx="790">
                  <c:v>235496165.35821158</c:v>
                </c:pt>
                <c:pt idx="791">
                  <c:v>247691716.94778526</c:v>
                </c:pt>
                <c:pt idx="792">
                  <c:v>259434249.65262479</c:v>
                </c:pt>
                <c:pt idx="793">
                  <c:v>290442451.75309557</c:v>
                </c:pt>
                <c:pt idx="794">
                  <c:v>285982549.58804113</c:v>
                </c:pt>
                <c:pt idx="795">
                  <c:v>229267839.8665992</c:v>
                </c:pt>
                <c:pt idx="796">
                  <c:v>266915530.14047337</c:v>
                </c:pt>
                <c:pt idx="797">
                  <c:v>328761784.10806173</c:v>
                </c:pt>
                <c:pt idx="798">
                  <c:v>257478864.80251646</c:v>
                </c:pt>
                <c:pt idx="799">
                  <c:v>306405481.80903137</c:v>
                </c:pt>
                <c:pt idx="800">
                  <c:v>211580873.10292894</c:v>
                </c:pt>
                <c:pt idx="801">
                  <c:v>264545941.29893655</c:v>
                </c:pt>
                <c:pt idx="802">
                  <c:v>354472135.87819284</c:v>
                </c:pt>
                <c:pt idx="803">
                  <c:v>334472716.01425749</c:v>
                </c:pt>
                <c:pt idx="804">
                  <c:v>133828459.44875985</c:v>
                </c:pt>
                <c:pt idx="805">
                  <c:v>262342743.61300343</c:v>
                </c:pt>
                <c:pt idx="806">
                  <c:v>244952589.75496572</c:v>
                </c:pt>
                <c:pt idx="807">
                  <c:v>241467066.7086404</c:v>
                </c:pt>
                <c:pt idx="808">
                  <c:v>264378243.35037917</c:v>
                </c:pt>
                <c:pt idx="809">
                  <c:v>225980021.83466929</c:v>
                </c:pt>
                <c:pt idx="810">
                  <c:v>378941570.90810049</c:v>
                </c:pt>
                <c:pt idx="811">
                  <c:v>188539551.49377573</c:v>
                </c:pt>
                <c:pt idx="812">
                  <c:v>316586248.50874299</c:v>
                </c:pt>
                <c:pt idx="813">
                  <c:v>229863733.32261384</c:v>
                </c:pt>
                <c:pt idx="814">
                  <c:v>223035277.63144612</c:v>
                </c:pt>
                <c:pt idx="815">
                  <c:v>284483977.80492902</c:v>
                </c:pt>
                <c:pt idx="816">
                  <c:v>297077267.78636897</c:v>
                </c:pt>
                <c:pt idx="817">
                  <c:v>273798423.63364446</c:v>
                </c:pt>
                <c:pt idx="818">
                  <c:v>242724386.95416826</c:v>
                </c:pt>
                <c:pt idx="819">
                  <c:v>336218118.05041635</c:v>
                </c:pt>
                <c:pt idx="820">
                  <c:v>255789597.92200118</c:v>
                </c:pt>
                <c:pt idx="821">
                  <c:v>358960803.66166514</c:v>
                </c:pt>
                <c:pt idx="822">
                  <c:v>256875311.83820069</c:v>
                </c:pt>
                <c:pt idx="823">
                  <c:v>303718854.7121864</c:v>
                </c:pt>
                <c:pt idx="824">
                  <c:v>285339797.7574929</c:v>
                </c:pt>
                <c:pt idx="825">
                  <c:v>179602756.7337656</c:v>
                </c:pt>
                <c:pt idx="826">
                  <c:v>279552463.75720119</c:v>
                </c:pt>
                <c:pt idx="827">
                  <c:v>279790136.24516141</c:v>
                </c:pt>
                <c:pt idx="828">
                  <c:v>276446982.60362118</c:v>
                </c:pt>
                <c:pt idx="829">
                  <c:v>171560862.99326295</c:v>
                </c:pt>
                <c:pt idx="830">
                  <c:v>276388621.19096786</c:v>
                </c:pt>
                <c:pt idx="831">
                  <c:v>260039273.10556805</c:v>
                </c:pt>
                <c:pt idx="832">
                  <c:v>245230724.35555047</c:v>
                </c:pt>
                <c:pt idx="833">
                  <c:v>273173892.78951299</c:v>
                </c:pt>
                <c:pt idx="834">
                  <c:v>368482766.07484245</c:v>
                </c:pt>
                <c:pt idx="835">
                  <c:v>238048123.99931681</c:v>
                </c:pt>
                <c:pt idx="836">
                  <c:v>248618844.25437784</c:v>
                </c:pt>
                <c:pt idx="837">
                  <c:v>179410559.66799629</c:v>
                </c:pt>
                <c:pt idx="838">
                  <c:v>315340370.59050274</c:v>
                </c:pt>
                <c:pt idx="839">
                  <c:v>306260417.9286558</c:v>
                </c:pt>
                <c:pt idx="840">
                  <c:v>282200607.15891302</c:v>
                </c:pt>
                <c:pt idx="841">
                  <c:v>263514058.65733302</c:v>
                </c:pt>
                <c:pt idx="842">
                  <c:v>361115201.2180239</c:v>
                </c:pt>
                <c:pt idx="843">
                  <c:v>291033116.91330522</c:v>
                </c:pt>
                <c:pt idx="844">
                  <c:v>305937158.55285591</c:v>
                </c:pt>
                <c:pt idx="845">
                  <c:v>319380131.35903013</c:v>
                </c:pt>
                <c:pt idx="846">
                  <c:v>114605262.26448417</c:v>
                </c:pt>
                <c:pt idx="847">
                  <c:v>229121202.91226804</c:v>
                </c:pt>
                <c:pt idx="848">
                  <c:v>291031593.93068385</c:v>
                </c:pt>
                <c:pt idx="849">
                  <c:v>157342108.3835597</c:v>
                </c:pt>
                <c:pt idx="850">
                  <c:v>256863482.83316922</c:v>
                </c:pt>
                <c:pt idx="851">
                  <c:v>237302508.18509614</c:v>
                </c:pt>
                <c:pt idx="852">
                  <c:v>211066853.40623301</c:v>
                </c:pt>
                <c:pt idx="853">
                  <c:v>248827644.42851031</c:v>
                </c:pt>
                <c:pt idx="854">
                  <c:v>314378407.00404686</c:v>
                </c:pt>
                <c:pt idx="855">
                  <c:v>209533206.40429497</c:v>
                </c:pt>
                <c:pt idx="856">
                  <c:v>316652622.06096619</c:v>
                </c:pt>
                <c:pt idx="857">
                  <c:v>346143175.57517952</c:v>
                </c:pt>
                <c:pt idx="858">
                  <c:v>277228692.39203691</c:v>
                </c:pt>
                <c:pt idx="859">
                  <c:v>200531321.77488875</c:v>
                </c:pt>
                <c:pt idx="860">
                  <c:v>319627512.77161002</c:v>
                </c:pt>
                <c:pt idx="861">
                  <c:v>272161835.83035225</c:v>
                </c:pt>
                <c:pt idx="862">
                  <c:v>271883944.25488454</c:v>
                </c:pt>
                <c:pt idx="863">
                  <c:v>254532636.52975643</c:v>
                </c:pt>
                <c:pt idx="864">
                  <c:v>219607405.55392605</c:v>
                </c:pt>
                <c:pt idx="865">
                  <c:v>224670882.94933587</c:v>
                </c:pt>
                <c:pt idx="866">
                  <c:v>301201548.85548544</c:v>
                </c:pt>
                <c:pt idx="867">
                  <c:v>325281174.26264203</c:v>
                </c:pt>
                <c:pt idx="868">
                  <c:v>223916134.98486364</c:v>
                </c:pt>
                <c:pt idx="869">
                  <c:v>273923205.658804</c:v>
                </c:pt>
                <c:pt idx="870">
                  <c:v>334874624.97251803</c:v>
                </c:pt>
                <c:pt idx="871">
                  <c:v>231512689.37722671</c:v>
                </c:pt>
                <c:pt idx="872">
                  <c:v>242145067.43049544</c:v>
                </c:pt>
                <c:pt idx="873">
                  <c:v>372155382.53956151</c:v>
                </c:pt>
                <c:pt idx="874">
                  <c:v>289592240.78697097</c:v>
                </c:pt>
                <c:pt idx="875">
                  <c:v>393132876.98275071</c:v>
                </c:pt>
                <c:pt idx="876">
                  <c:v>267456376.18921816</c:v>
                </c:pt>
                <c:pt idx="877">
                  <c:v>282095794.70702767</c:v>
                </c:pt>
                <c:pt idx="878">
                  <c:v>223894241.50845063</c:v>
                </c:pt>
                <c:pt idx="879">
                  <c:v>211124511.61448979</c:v>
                </c:pt>
                <c:pt idx="880">
                  <c:v>223966591.15946513</c:v>
                </c:pt>
                <c:pt idx="881">
                  <c:v>253783887.33803177</c:v>
                </c:pt>
                <c:pt idx="882">
                  <c:v>237285559.74792647</c:v>
                </c:pt>
                <c:pt idx="883">
                  <c:v>349372606.17054212</c:v>
                </c:pt>
                <c:pt idx="884">
                  <c:v>278728209.11987489</c:v>
                </c:pt>
                <c:pt idx="885">
                  <c:v>284134360.82501084</c:v>
                </c:pt>
                <c:pt idx="886">
                  <c:v>387583972.23181933</c:v>
                </c:pt>
                <c:pt idx="887">
                  <c:v>273397278.15614909</c:v>
                </c:pt>
                <c:pt idx="888">
                  <c:v>303078033.22874022</c:v>
                </c:pt>
                <c:pt idx="889">
                  <c:v>222836728.28180784</c:v>
                </c:pt>
                <c:pt idx="890">
                  <c:v>250457186.01467824</c:v>
                </c:pt>
                <c:pt idx="891">
                  <c:v>309212546.78807425</c:v>
                </c:pt>
                <c:pt idx="892">
                  <c:v>248661383.95611191</c:v>
                </c:pt>
                <c:pt idx="893">
                  <c:v>262492770.64668059</c:v>
                </c:pt>
                <c:pt idx="894">
                  <c:v>275812995.98051697</c:v>
                </c:pt>
                <c:pt idx="895">
                  <c:v>320586660.05575114</c:v>
                </c:pt>
                <c:pt idx="896">
                  <c:v>257394136.66412705</c:v>
                </c:pt>
                <c:pt idx="897">
                  <c:v>289715920.45191836</c:v>
                </c:pt>
                <c:pt idx="898">
                  <c:v>237500559.2647267</c:v>
                </c:pt>
                <c:pt idx="899">
                  <c:v>323137387.83704048</c:v>
                </c:pt>
                <c:pt idx="900">
                  <c:v>234094323.73714352</c:v>
                </c:pt>
                <c:pt idx="901">
                  <c:v>256029325.08157492</c:v>
                </c:pt>
                <c:pt idx="902">
                  <c:v>271075036.89587307</c:v>
                </c:pt>
                <c:pt idx="903">
                  <c:v>277706044.62189502</c:v>
                </c:pt>
                <c:pt idx="904">
                  <c:v>262015778.59627151</c:v>
                </c:pt>
                <c:pt idx="905">
                  <c:v>250730271.81796873</c:v>
                </c:pt>
                <c:pt idx="906">
                  <c:v>251496378.34287065</c:v>
                </c:pt>
                <c:pt idx="907">
                  <c:v>271526991.32121962</c:v>
                </c:pt>
                <c:pt idx="908">
                  <c:v>272504269.12748355</c:v>
                </c:pt>
                <c:pt idx="909">
                  <c:v>289380256.96821165</c:v>
                </c:pt>
                <c:pt idx="910">
                  <c:v>235456407.76126832</c:v>
                </c:pt>
                <c:pt idx="911">
                  <c:v>295840899.85875583</c:v>
                </c:pt>
                <c:pt idx="912">
                  <c:v>192992182.66611379</c:v>
                </c:pt>
                <c:pt idx="913">
                  <c:v>297957772.22134048</c:v>
                </c:pt>
                <c:pt idx="914">
                  <c:v>306572030.75504148</c:v>
                </c:pt>
                <c:pt idx="915">
                  <c:v>311448781.43709677</c:v>
                </c:pt>
                <c:pt idx="916">
                  <c:v>330589420.12387747</c:v>
                </c:pt>
                <c:pt idx="917">
                  <c:v>287916879.21544385</c:v>
                </c:pt>
                <c:pt idx="918">
                  <c:v>330036032.48441768</c:v>
                </c:pt>
                <c:pt idx="919">
                  <c:v>327963291.94425905</c:v>
                </c:pt>
                <c:pt idx="920">
                  <c:v>274962188.66295201</c:v>
                </c:pt>
                <c:pt idx="921">
                  <c:v>318082625.56982708</c:v>
                </c:pt>
                <c:pt idx="922">
                  <c:v>325393249.28676194</c:v>
                </c:pt>
                <c:pt idx="923">
                  <c:v>328455684.87005442</c:v>
                </c:pt>
                <c:pt idx="924">
                  <c:v>353321460.16410637</c:v>
                </c:pt>
                <c:pt idx="925">
                  <c:v>254904515.22132754</c:v>
                </c:pt>
                <c:pt idx="926">
                  <c:v>280008745.55931032</c:v>
                </c:pt>
                <c:pt idx="927">
                  <c:v>236789691.02723676</c:v>
                </c:pt>
                <c:pt idx="928">
                  <c:v>264498173.87818009</c:v>
                </c:pt>
                <c:pt idx="929">
                  <c:v>337180903.56336069</c:v>
                </c:pt>
                <c:pt idx="930">
                  <c:v>229607037.85158938</c:v>
                </c:pt>
                <c:pt idx="931">
                  <c:v>272684023.47611201</c:v>
                </c:pt>
                <c:pt idx="932">
                  <c:v>239605155.65908217</c:v>
                </c:pt>
                <c:pt idx="933">
                  <c:v>318135732.09001708</c:v>
                </c:pt>
                <c:pt idx="934">
                  <c:v>343824345.69663584</c:v>
                </c:pt>
                <c:pt idx="935">
                  <c:v>272281790.84815818</c:v>
                </c:pt>
                <c:pt idx="936">
                  <c:v>305521199.52553511</c:v>
                </c:pt>
                <c:pt idx="937">
                  <c:v>384602891.51849061</c:v>
                </c:pt>
                <c:pt idx="938">
                  <c:v>355318477.06031358</c:v>
                </c:pt>
                <c:pt idx="939">
                  <c:v>237483088.57421005</c:v>
                </c:pt>
                <c:pt idx="940">
                  <c:v>319382803.38234669</c:v>
                </c:pt>
                <c:pt idx="941">
                  <c:v>320892467.9695121</c:v>
                </c:pt>
                <c:pt idx="942">
                  <c:v>248758682.66642475</c:v>
                </c:pt>
                <c:pt idx="943">
                  <c:v>233842997.21169627</c:v>
                </c:pt>
                <c:pt idx="944">
                  <c:v>247930908.69903278</c:v>
                </c:pt>
                <c:pt idx="945">
                  <c:v>281001680.80869412</c:v>
                </c:pt>
                <c:pt idx="946">
                  <c:v>188992775.12169778</c:v>
                </c:pt>
                <c:pt idx="947">
                  <c:v>306380244.35942918</c:v>
                </c:pt>
                <c:pt idx="948">
                  <c:v>226351880.2547369</c:v>
                </c:pt>
                <c:pt idx="949">
                  <c:v>240368519.32786196</c:v>
                </c:pt>
                <c:pt idx="950">
                  <c:v>250903999.47650909</c:v>
                </c:pt>
                <c:pt idx="951">
                  <c:v>307588644.5421477</c:v>
                </c:pt>
                <c:pt idx="952">
                  <c:v>249594843.78449601</c:v>
                </c:pt>
                <c:pt idx="953">
                  <c:v>280340877.44735664</c:v>
                </c:pt>
                <c:pt idx="954">
                  <c:v>357037741.91384882</c:v>
                </c:pt>
                <c:pt idx="955">
                  <c:v>218853346.77024096</c:v>
                </c:pt>
                <c:pt idx="956">
                  <c:v>266724943.24860865</c:v>
                </c:pt>
                <c:pt idx="957">
                  <c:v>279737689.32721752</c:v>
                </c:pt>
                <c:pt idx="958">
                  <c:v>317729425.61012614</c:v>
                </c:pt>
                <c:pt idx="959">
                  <c:v>250745065.28942829</c:v>
                </c:pt>
                <c:pt idx="960">
                  <c:v>245160155.05590433</c:v>
                </c:pt>
                <c:pt idx="961">
                  <c:v>252040307.51085407</c:v>
                </c:pt>
                <c:pt idx="962">
                  <c:v>291486211.02470517</c:v>
                </c:pt>
                <c:pt idx="963">
                  <c:v>269916651.39331955</c:v>
                </c:pt>
                <c:pt idx="964">
                  <c:v>321037643.8094328</c:v>
                </c:pt>
                <c:pt idx="965">
                  <c:v>173099435.36023515</c:v>
                </c:pt>
                <c:pt idx="966">
                  <c:v>275635694.43569928</c:v>
                </c:pt>
                <c:pt idx="967">
                  <c:v>250854827.32869738</c:v>
                </c:pt>
                <c:pt idx="968">
                  <c:v>227389196.1074065</c:v>
                </c:pt>
                <c:pt idx="969">
                  <c:v>189785294.47207302</c:v>
                </c:pt>
                <c:pt idx="970">
                  <c:v>278697145.17448986</c:v>
                </c:pt>
                <c:pt idx="971">
                  <c:v>221431998.19908506</c:v>
                </c:pt>
                <c:pt idx="972">
                  <c:v>284102316.03159249</c:v>
                </c:pt>
                <c:pt idx="973">
                  <c:v>245885000.45084715</c:v>
                </c:pt>
                <c:pt idx="974">
                  <c:v>199611764.21005189</c:v>
                </c:pt>
                <c:pt idx="975">
                  <c:v>241433284.24552882</c:v>
                </c:pt>
                <c:pt idx="976">
                  <c:v>343614149.92657375</c:v>
                </c:pt>
                <c:pt idx="977">
                  <c:v>274766854.52865678</c:v>
                </c:pt>
                <c:pt idx="978">
                  <c:v>299401355.71603322</c:v>
                </c:pt>
                <c:pt idx="979">
                  <c:v>352033942.66765964</c:v>
                </c:pt>
                <c:pt idx="980">
                  <c:v>201460376.0289886</c:v>
                </c:pt>
                <c:pt idx="981">
                  <c:v>184172763.46158808</c:v>
                </c:pt>
                <c:pt idx="982">
                  <c:v>264871247.36883885</c:v>
                </c:pt>
                <c:pt idx="983">
                  <c:v>240846779.31775504</c:v>
                </c:pt>
                <c:pt idx="984">
                  <c:v>297567027.41825026</c:v>
                </c:pt>
                <c:pt idx="985">
                  <c:v>329439800.91361046</c:v>
                </c:pt>
                <c:pt idx="986">
                  <c:v>260374035.18236136</c:v>
                </c:pt>
                <c:pt idx="987">
                  <c:v>356596075.58299589</c:v>
                </c:pt>
                <c:pt idx="988">
                  <c:v>292985399.57006031</c:v>
                </c:pt>
                <c:pt idx="989">
                  <c:v>263272196.37830335</c:v>
                </c:pt>
                <c:pt idx="990">
                  <c:v>224374303.15683484</c:v>
                </c:pt>
                <c:pt idx="991">
                  <c:v>180422569.8106938</c:v>
                </c:pt>
                <c:pt idx="992">
                  <c:v>216009313.51770002</c:v>
                </c:pt>
                <c:pt idx="993">
                  <c:v>263580996.4775598</c:v>
                </c:pt>
                <c:pt idx="994">
                  <c:v>188361842.90738535</c:v>
                </c:pt>
                <c:pt idx="995">
                  <c:v>241275678.50134134</c:v>
                </c:pt>
              </c:numCache>
            </c:numRef>
          </c:yVal>
          <c:smooth val="0"/>
          <c:extLst>
            <c:ext xmlns:c16="http://schemas.microsoft.com/office/drawing/2014/chart" uri="{C3380CC4-5D6E-409C-BE32-E72D297353CC}">
              <c16:uniqueId val="{00000001-9340-46DE-9CBF-BED23026A90D}"/>
            </c:ext>
          </c:extLst>
        </c:ser>
        <c:ser>
          <c:idx val="1"/>
          <c:order val="1"/>
          <c:tx>
            <c:v>Deterministic base seed run</c:v>
          </c:tx>
          <c:spPr>
            <a:ln w="25400" cap="rnd">
              <a:noFill/>
              <a:round/>
            </a:ln>
            <a:effectLst/>
          </c:spPr>
          <c:marker>
            <c:symbol val="square"/>
            <c:size val="6"/>
            <c:spPr>
              <a:solidFill>
                <a:schemeClr val="lt1"/>
              </a:solidFill>
              <a:ln w="15875">
                <a:solidFill>
                  <a:schemeClr val="accent2"/>
                </a:solidFill>
                <a:round/>
              </a:ln>
              <a:effectLst/>
            </c:spPr>
          </c:marker>
          <c:xVal>
            <c:numRef>
              <c:f>PSA!$AJ$11</c:f>
              <c:numCache>
                <c:formatCode>0.00</c:formatCode>
                <c:ptCount val="1"/>
                <c:pt idx="0">
                  <c:v>21030.778559319737</c:v>
                </c:pt>
              </c:numCache>
            </c:numRef>
          </c:xVal>
          <c:yVal>
            <c:numRef>
              <c:f>PSA!$T$11</c:f>
              <c:numCache>
                <c:formatCode>0.00E+00</c:formatCode>
                <c:ptCount val="1"/>
                <c:pt idx="0">
                  <c:v>269192158.84000003</c:v>
                </c:pt>
              </c:numCache>
            </c:numRef>
          </c:yVal>
          <c:smooth val="0"/>
          <c:extLst>
            <c:ext xmlns:c16="http://schemas.microsoft.com/office/drawing/2014/chart" uri="{C3380CC4-5D6E-409C-BE32-E72D297353CC}">
              <c16:uniqueId val="{00000002-9340-46DE-9CBF-BED23026A90D}"/>
            </c:ext>
          </c:extLst>
        </c:ser>
        <c:dLbls>
          <c:showLegendKey val="0"/>
          <c:showVal val="0"/>
          <c:showCatName val="0"/>
          <c:showSerName val="0"/>
          <c:showPercent val="0"/>
          <c:showBubbleSize val="0"/>
        </c:dLbls>
        <c:axId val="1812869536"/>
        <c:axId val="1812871616"/>
      </c:scatterChart>
      <c:valAx>
        <c:axId val="181286953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Incremental societal QALY</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12871616"/>
        <c:crosses val="autoZero"/>
        <c:crossBetween val="midCat"/>
      </c:valAx>
      <c:valAx>
        <c:axId val="181287161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Incremental public sector all-cause cost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E+00" sourceLinked="0"/>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12869536"/>
        <c:crosses val="autoZero"/>
        <c:crossBetween val="midCat"/>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RC</c:v>
          </c:tx>
          <c:spPr>
            <a:ln w="25400" cap="rnd">
              <a:noFill/>
              <a:round/>
            </a:ln>
            <a:effectLst/>
          </c:spPr>
          <c:marker>
            <c:symbol val="diamond"/>
            <c:size val="6"/>
            <c:spPr>
              <a:solidFill>
                <a:schemeClr val="lt1"/>
              </a:solidFill>
              <a:ln w="15875">
                <a:solidFill>
                  <a:schemeClr val="accent1"/>
                </a:solidFill>
                <a:round/>
              </a:ln>
              <a:effectLst/>
            </c:spPr>
          </c:marker>
          <c:xVal>
            <c:numRef>
              <c:f>PSA!$A$24:$A$124</c:f>
              <c:numCache>
                <c:formatCode>General</c:formatCode>
                <c:ptCount val="101"/>
                <c:pt idx="0">
                  <c:v>0</c:v>
                </c:pt>
                <c:pt idx="1">
                  <c:v>500</c:v>
                </c:pt>
                <c:pt idx="2">
                  <c:v>1000</c:v>
                </c:pt>
                <c:pt idx="3">
                  <c:v>1500</c:v>
                </c:pt>
                <c:pt idx="4">
                  <c:v>2000</c:v>
                </c:pt>
                <c:pt idx="5">
                  <c:v>2700</c:v>
                </c:pt>
                <c:pt idx="6">
                  <c:v>3200</c:v>
                </c:pt>
                <c:pt idx="7">
                  <c:v>3700</c:v>
                </c:pt>
                <c:pt idx="8">
                  <c:v>4200</c:v>
                </c:pt>
                <c:pt idx="9">
                  <c:v>4700</c:v>
                </c:pt>
                <c:pt idx="10">
                  <c:v>5200</c:v>
                </c:pt>
                <c:pt idx="11">
                  <c:v>5700</c:v>
                </c:pt>
                <c:pt idx="12">
                  <c:v>6200</c:v>
                </c:pt>
                <c:pt idx="13">
                  <c:v>6700</c:v>
                </c:pt>
                <c:pt idx="14">
                  <c:v>7200</c:v>
                </c:pt>
                <c:pt idx="15">
                  <c:v>7700</c:v>
                </c:pt>
                <c:pt idx="16">
                  <c:v>8200</c:v>
                </c:pt>
                <c:pt idx="17">
                  <c:v>8700</c:v>
                </c:pt>
                <c:pt idx="18">
                  <c:v>9200</c:v>
                </c:pt>
                <c:pt idx="19">
                  <c:v>9700</c:v>
                </c:pt>
                <c:pt idx="20">
                  <c:v>10200</c:v>
                </c:pt>
                <c:pt idx="21">
                  <c:v>10700</c:v>
                </c:pt>
                <c:pt idx="22">
                  <c:v>11200</c:v>
                </c:pt>
                <c:pt idx="23">
                  <c:v>11700</c:v>
                </c:pt>
                <c:pt idx="24">
                  <c:v>12200</c:v>
                </c:pt>
                <c:pt idx="25">
                  <c:v>12700</c:v>
                </c:pt>
                <c:pt idx="26">
                  <c:v>13200</c:v>
                </c:pt>
                <c:pt idx="27">
                  <c:v>13700</c:v>
                </c:pt>
                <c:pt idx="28">
                  <c:v>14200</c:v>
                </c:pt>
                <c:pt idx="29">
                  <c:v>14700</c:v>
                </c:pt>
                <c:pt idx="30">
                  <c:v>15200</c:v>
                </c:pt>
                <c:pt idx="31">
                  <c:v>15700</c:v>
                </c:pt>
                <c:pt idx="32">
                  <c:v>16200</c:v>
                </c:pt>
                <c:pt idx="33">
                  <c:v>16700</c:v>
                </c:pt>
                <c:pt idx="34">
                  <c:v>17200</c:v>
                </c:pt>
                <c:pt idx="35">
                  <c:v>17700</c:v>
                </c:pt>
                <c:pt idx="36">
                  <c:v>18200</c:v>
                </c:pt>
                <c:pt idx="37">
                  <c:v>18700</c:v>
                </c:pt>
                <c:pt idx="38">
                  <c:v>19200</c:v>
                </c:pt>
                <c:pt idx="39">
                  <c:v>19700</c:v>
                </c:pt>
                <c:pt idx="40">
                  <c:v>20200</c:v>
                </c:pt>
                <c:pt idx="41">
                  <c:v>20700</c:v>
                </c:pt>
                <c:pt idx="42">
                  <c:v>21200</c:v>
                </c:pt>
                <c:pt idx="43">
                  <c:v>21700</c:v>
                </c:pt>
                <c:pt idx="44">
                  <c:v>22200</c:v>
                </c:pt>
                <c:pt idx="45">
                  <c:v>22700</c:v>
                </c:pt>
                <c:pt idx="46">
                  <c:v>23200</c:v>
                </c:pt>
                <c:pt idx="47">
                  <c:v>23700</c:v>
                </c:pt>
                <c:pt idx="48">
                  <c:v>24200</c:v>
                </c:pt>
                <c:pt idx="49">
                  <c:v>24700</c:v>
                </c:pt>
                <c:pt idx="50">
                  <c:v>25200</c:v>
                </c:pt>
                <c:pt idx="51">
                  <c:v>25700</c:v>
                </c:pt>
                <c:pt idx="52">
                  <c:v>26200</c:v>
                </c:pt>
                <c:pt idx="53">
                  <c:v>26700</c:v>
                </c:pt>
                <c:pt idx="54">
                  <c:v>27200</c:v>
                </c:pt>
                <c:pt idx="55">
                  <c:v>27700</c:v>
                </c:pt>
                <c:pt idx="56">
                  <c:v>28200</c:v>
                </c:pt>
                <c:pt idx="57">
                  <c:v>28700</c:v>
                </c:pt>
                <c:pt idx="58">
                  <c:v>29200</c:v>
                </c:pt>
                <c:pt idx="59">
                  <c:v>29700</c:v>
                </c:pt>
                <c:pt idx="60">
                  <c:v>30200</c:v>
                </c:pt>
                <c:pt idx="61">
                  <c:v>30700</c:v>
                </c:pt>
                <c:pt idx="62">
                  <c:v>31200</c:v>
                </c:pt>
                <c:pt idx="63">
                  <c:v>31700</c:v>
                </c:pt>
                <c:pt idx="64">
                  <c:v>32200</c:v>
                </c:pt>
                <c:pt idx="65">
                  <c:v>32700</c:v>
                </c:pt>
                <c:pt idx="66">
                  <c:v>33200</c:v>
                </c:pt>
                <c:pt idx="67">
                  <c:v>33700</c:v>
                </c:pt>
                <c:pt idx="68">
                  <c:v>34200</c:v>
                </c:pt>
                <c:pt idx="69">
                  <c:v>34700</c:v>
                </c:pt>
                <c:pt idx="70">
                  <c:v>35200</c:v>
                </c:pt>
                <c:pt idx="71">
                  <c:v>35700</c:v>
                </c:pt>
                <c:pt idx="72">
                  <c:v>36200</c:v>
                </c:pt>
                <c:pt idx="73">
                  <c:v>36700</c:v>
                </c:pt>
                <c:pt idx="74">
                  <c:v>37200</c:v>
                </c:pt>
                <c:pt idx="75">
                  <c:v>37700</c:v>
                </c:pt>
                <c:pt idx="76">
                  <c:v>38200</c:v>
                </c:pt>
                <c:pt idx="77">
                  <c:v>38700</c:v>
                </c:pt>
                <c:pt idx="78">
                  <c:v>39000</c:v>
                </c:pt>
                <c:pt idx="79">
                  <c:v>39500</c:v>
                </c:pt>
                <c:pt idx="80">
                  <c:v>40000</c:v>
                </c:pt>
                <c:pt idx="81">
                  <c:v>40500</c:v>
                </c:pt>
                <c:pt idx="82">
                  <c:v>41000</c:v>
                </c:pt>
                <c:pt idx="83">
                  <c:v>41500</c:v>
                </c:pt>
                <c:pt idx="84">
                  <c:v>42000</c:v>
                </c:pt>
                <c:pt idx="85">
                  <c:v>42500</c:v>
                </c:pt>
                <c:pt idx="86">
                  <c:v>43000</c:v>
                </c:pt>
                <c:pt idx="87">
                  <c:v>43500</c:v>
                </c:pt>
                <c:pt idx="88">
                  <c:v>44000</c:v>
                </c:pt>
                <c:pt idx="89">
                  <c:v>44500</c:v>
                </c:pt>
                <c:pt idx="90">
                  <c:v>45000</c:v>
                </c:pt>
                <c:pt idx="91">
                  <c:v>45500</c:v>
                </c:pt>
                <c:pt idx="92">
                  <c:v>46000</c:v>
                </c:pt>
                <c:pt idx="93">
                  <c:v>46500</c:v>
                </c:pt>
                <c:pt idx="94">
                  <c:v>47000</c:v>
                </c:pt>
                <c:pt idx="95">
                  <c:v>47500</c:v>
                </c:pt>
                <c:pt idx="96">
                  <c:v>48000</c:v>
                </c:pt>
                <c:pt idx="97">
                  <c:v>48500</c:v>
                </c:pt>
                <c:pt idx="98">
                  <c:v>49000</c:v>
                </c:pt>
                <c:pt idx="99">
                  <c:v>49500</c:v>
                </c:pt>
                <c:pt idx="100">
                  <c:v>50000</c:v>
                </c:pt>
              </c:numCache>
            </c:numRef>
          </c:xVal>
          <c:yVal>
            <c:numRef>
              <c:f>PSA!$B$24:$B$124</c:f>
              <c:numCache>
                <c:formatCode>General</c:formatCode>
                <c:ptCount val="101"/>
                <c:pt idx="0">
                  <c:v>0</c:v>
                </c:pt>
                <c:pt idx="1">
                  <c:v>0</c:v>
                </c:pt>
                <c:pt idx="2">
                  <c:v>0</c:v>
                </c:pt>
                <c:pt idx="3">
                  <c:v>0</c:v>
                </c:pt>
                <c:pt idx="4">
                  <c:v>0</c:v>
                </c:pt>
                <c:pt idx="5">
                  <c:v>0</c:v>
                </c:pt>
                <c:pt idx="6">
                  <c:v>0</c:v>
                </c:pt>
                <c:pt idx="7">
                  <c:v>0</c:v>
                </c:pt>
                <c:pt idx="8">
                  <c:v>0</c:v>
                </c:pt>
                <c:pt idx="9">
                  <c:v>0</c:v>
                </c:pt>
                <c:pt idx="10">
                  <c:v>2.008032128514056E-3</c:v>
                </c:pt>
                <c:pt idx="11">
                  <c:v>3.0120481927710845E-3</c:v>
                </c:pt>
                <c:pt idx="12">
                  <c:v>4.0160642570281121E-3</c:v>
                </c:pt>
                <c:pt idx="13">
                  <c:v>8.0321285140562242E-3</c:v>
                </c:pt>
                <c:pt idx="14">
                  <c:v>1.104417670682731E-2</c:v>
                </c:pt>
                <c:pt idx="15">
                  <c:v>2.2088353413654619E-2</c:v>
                </c:pt>
                <c:pt idx="16">
                  <c:v>3.4136546184738957E-2</c:v>
                </c:pt>
                <c:pt idx="17">
                  <c:v>5.5220883534136546E-2</c:v>
                </c:pt>
                <c:pt idx="18">
                  <c:v>7.8313253012048195E-2</c:v>
                </c:pt>
                <c:pt idx="19">
                  <c:v>0.10642570281124498</c:v>
                </c:pt>
                <c:pt idx="20">
                  <c:v>0.13453815261044177</c:v>
                </c:pt>
                <c:pt idx="21">
                  <c:v>0.1646586345381526</c:v>
                </c:pt>
                <c:pt idx="22">
                  <c:v>0.21485943775100402</c:v>
                </c:pt>
                <c:pt idx="23">
                  <c:v>0.2640562248995984</c:v>
                </c:pt>
                <c:pt idx="24">
                  <c:v>0.31726907630522089</c:v>
                </c:pt>
                <c:pt idx="25">
                  <c:v>0.37349397590361444</c:v>
                </c:pt>
                <c:pt idx="26">
                  <c:v>0.43574297188755018</c:v>
                </c:pt>
                <c:pt idx="27">
                  <c:v>0.5</c:v>
                </c:pt>
                <c:pt idx="28">
                  <c:v>0.56425702811244982</c:v>
                </c:pt>
                <c:pt idx="29">
                  <c:v>0.61746987951807231</c:v>
                </c:pt>
                <c:pt idx="30">
                  <c:v>0.66767068273092367</c:v>
                </c:pt>
                <c:pt idx="31">
                  <c:v>0.71787148594377514</c:v>
                </c:pt>
                <c:pt idx="32">
                  <c:v>0.74799196787148592</c:v>
                </c:pt>
                <c:pt idx="33">
                  <c:v>0.77911646586345384</c:v>
                </c:pt>
                <c:pt idx="34">
                  <c:v>0.81325301204819278</c:v>
                </c:pt>
                <c:pt idx="35">
                  <c:v>0.84538152610441764</c:v>
                </c:pt>
                <c:pt idx="36">
                  <c:v>0.86546184738955823</c:v>
                </c:pt>
                <c:pt idx="37">
                  <c:v>0.88052208835341361</c:v>
                </c:pt>
                <c:pt idx="38">
                  <c:v>0.90963855421686746</c:v>
                </c:pt>
                <c:pt idx="39">
                  <c:v>0.92168674698795183</c:v>
                </c:pt>
                <c:pt idx="40">
                  <c:v>0.93674698795180722</c:v>
                </c:pt>
                <c:pt idx="41">
                  <c:v>0.94377510040160639</c:v>
                </c:pt>
                <c:pt idx="42">
                  <c:v>0.95783132530120485</c:v>
                </c:pt>
                <c:pt idx="43">
                  <c:v>0.96787148594377514</c:v>
                </c:pt>
                <c:pt idx="44">
                  <c:v>0.97389558232931728</c:v>
                </c:pt>
                <c:pt idx="45">
                  <c:v>0.97891566265060237</c:v>
                </c:pt>
                <c:pt idx="46">
                  <c:v>0.98393574297188757</c:v>
                </c:pt>
                <c:pt idx="47">
                  <c:v>0.98694779116465858</c:v>
                </c:pt>
                <c:pt idx="48">
                  <c:v>0.99297188755020083</c:v>
                </c:pt>
                <c:pt idx="49">
                  <c:v>0.99698795180722888</c:v>
                </c:pt>
                <c:pt idx="50">
                  <c:v>0.99698795180722888</c:v>
                </c:pt>
                <c:pt idx="51">
                  <c:v>0.99799196787148592</c:v>
                </c:pt>
                <c:pt idx="52">
                  <c:v>0.99799196787148592</c:v>
                </c:pt>
                <c:pt idx="53">
                  <c:v>0.99799196787148592</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numCache>
            </c:numRef>
          </c:yVal>
          <c:smooth val="0"/>
          <c:extLst>
            <c:ext xmlns:c16="http://schemas.microsoft.com/office/drawing/2014/chart" uri="{C3380CC4-5D6E-409C-BE32-E72D297353CC}">
              <c16:uniqueId val="{00000000-D8C3-4441-93DF-C8CD6DC4FF4C}"/>
            </c:ext>
          </c:extLst>
        </c:ser>
        <c:ser>
          <c:idx val="1"/>
          <c:order val="1"/>
          <c:tx>
            <c:v>UC</c:v>
          </c:tx>
          <c:spPr>
            <a:ln w="25400" cap="rnd">
              <a:noFill/>
              <a:round/>
            </a:ln>
            <a:effectLst/>
          </c:spPr>
          <c:marker>
            <c:symbol val="square"/>
            <c:size val="6"/>
            <c:spPr>
              <a:solidFill>
                <a:schemeClr val="lt1"/>
              </a:solidFill>
              <a:ln w="15875">
                <a:solidFill>
                  <a:schemeClr val="accent2"/>
                </a:solidFill>
                <a:round/>
              </a:ln>
              <a:effectLst/>
            </c:spPr>
          </c:marker>
          <c:xVal>
            <c:numRef>
              <c:f>PSA!$A$24:$A$124</c:f>
              <c:numCache>
                <c:formatCode>General</c:formatCode>
                <c:ptCount val="101"/>
                <c:pt idx="0">
                  <c:v>0</c:v>
                </c:pt>
                <c:pt idx="1">
                  <c:v>500</c:v>
                </c:pt>
                <c:pt idx="2">
                  <c:v>1000</c:v>
                </c:pt>
                <c:pt idx="3">
                  <c:v>1500</c:v>
                </c:pt>
                <c:pt idx="4">
                  <c:v>2000</c:v>
                </c:pt>
                <c:pt idx="5">
                  <c:v>2700</c:v>
                </c:pt>
                <c:pt idx="6">
                  <c:v>3200</c:v>
                </c:pt>
                <c:pt idx="7">
                  <c:v>3700</c:v>
                </c:pt>
                <c:pt idx="8">
                  <c:v>4200</c:v>
                </c:pt>
                <c:pt idx="9">
                  <c:v>4700</c:v>
                </c:pt>
                <c:pt idx="10">
                  <c:v>5200</c:v>
                </c:pt>
                <c:pt idx="11">
                  <c:v>5700</c:v>
                </c:pt>
                <c:pt idx="12">
                  <c:v>6200</c:v>
                </c:pt>
                <c:pt idx="13">
                  <c:v>6700</c:v>
                </c:pt>
                <c:pt idx="14">
                  <c:v>7200</c:v>
                </c:pt>
                <c:pt idx="15">
                  <c:v>7700</c:v>
                </c:pt>
                <c:pt idx="16">
                  <c:v>8200</c:v>
                </c:pt>
                <c:pt idx="17">
                  <c:v>8700</c:v>
                </c:pt>
                <c:pt idx="18">
                  <c:v>9200</c:v>
                </c:pt>
                <c:pt idx="19">
                  <c:v>9700</c:v>
                </c:pt>
                <c:pt idx="20">
                  <c:v>10200</c:v>
                </c:pt>
                <c:pt idx="21">
                  <c:v>10700</c:v>
                </c:pt>
                <c:pt idx="22">
                  <c:v>11200</c:v>
                </c:pt>
                <c:pt idx="23">
                  <c:v>11700</c:v>
                </c:pt>
                <c:pt idx="24">
                  <c:v>12200</c:v>
                </c:pt>
                <c:pt idx="25">
                  <c:v>12700</c:v>
                </c:pt>
                <c:pt idx="26">
                  <c:v>13200</c:v>
                </c:pt>
                <c:pt idx="27">
                  <c:v>13700</c:v>
                </c:pt>
                <c:pt idx="28">
                  <c:v>14200</c:v>
                </c:pt>
                <c:pt idx="29">
                  <c:v>14700</c:v>
                </c:pt>
                <c:pt idx="30">
                  <c:v>15200</c:v>
                </c:pt>
                <c:pt idx="31">
                  <c:v>15700</c:v>
                </c:pt>
                <c:pt idx="32">
                  <c:v>16200</c:v>
                </c:pt>
                <c:pt idx="33">
                  <c:v>16700</c:v>
                </c:pt>
                <c:pt idx="34">
                  <c:v>17200</c:v>
                </c:pt>
                <c:pt idx="35">
                  <c:v>17700</c:v>
                </c:pt>
                <c:pt idx="36">
                  <c:v>18200</c:v>
                </c:pt>
                <c:pt idx="37">
                  <c:v>18700</c:v>
                </c:pt>
                <c:pt idx="38">
                  <c:v>19200</c:v>
                </c:pt>
                <c:pt idx="39">
                  <c:v>19700</c:v>
                </c:pt>
                <c:pt idx="40">
                  <c:v>20200</c:v>
                </c:pt>
                <c:pt idx="41">
                  <c:v>20700</c:v>
                </c:pt>
                <c:pt idx="42">
                  <c:v>21200</c:v>
                </c:pt>
                <c:pt idx="43">
                  <c:v>21700</c:v>
                </c:pt>
                <c:pt idx="44">
                  <c:v>22200</c:v>
                </c:pt>
                <c:pt idx="45">
                  <c:v>22700</c:v>
                </c:pt>
                <c:pt idx="46">
                  <c:v>23200</c:v>
                </c:pt>
                <c:pt idx="47">
                  <c:v>23700</c:v>
                </c:pt>
                <c:pt idx="48">
                  <c:v>24200</c:v>
                </c:pt>
                <c:pt idx="49">
                  <c:v>24700</c:v>
                </c:pt>
                <c:pt idx="50">
                  <c:v>25200</c:v>
                </c:pt>
                <c:pt idx="51">
                  <c:v>25700</c:v>
                </c:pt>
                <c:pt idx="52">
                  <c:v>26200</c:v>
                </c:pt>
                <c:pt idx="53">
                  <c:v>26700</c:v>
                </c:pt>
                <c:pt idx="54">
                  <c:v>27200</c:v>
                </c:pt>
                <c:pt idx="55">
                  <c:v>27700</c:v>
                </c:pt>
                <c:pt idx="56">
                  <c:v>28200</c:v>
                </c:pt>
                <c:pt idx="57">
                  <c:v>28700</c:v>
                </c:pt>
                <c:pt idx="58">
                  <c:v>29200</c:v>
                </c:pt>
                <c:pt idx="59">
                  <c:v>29700</c:v>
                </c:pt>
                <c:pt idx="60">
                  <c:v>30200</c:v>
                </c:pt>
                <c:pt idx="61">
                  <c:v>30700</c:v>
                </c:pt>
                <c:pt idx="62">
                  <c:v>31200</c:v>
                </c:pt>
                <c:pt idx="63">
                  <c:v>31700</c:v>
                </c:pt>
                <c:pt idx="64">
                  <c:v>32200</c:v>
                </c:pt>
                <c:pt idx="65">
                  <c:v>32700</c:v>
                </c:pt>
                <c:pt idx="66">
                  <c:v>33200</c:v>
                </c:pt>
                <c:pt idx="67">
                  <c:v>33700</c:v>
                </c:pt>
                <c:pt idx="68">
                  <c:v>34200</c:v>
                </c:pt>
                <c:pt idx="69">
                  <c:v>34700</c:v>
                </c:pt>
                <c:pt idx="70">
                  <c:v>35200</c:v>
                </c:pt>
                <c:pt idx="71">
                  <c:v>35700</c:v>
                </c:pt>
                <c:pt idx="72">
                  <c:v>36200</c:v>
                </c:pt>
                <c:pt idx="73">
                  <c:v>36700</c:v>
                </c:pt>
                <c:pt idx="74">
                  <c:v>37200</c:v>
                </c:pt>
                <c:pt idx="75">
                  <c:v>37700</c:v>
                </c:pt>
                <c:pt idx="76">
                  <c:v>38200</c:v>
                </c:pt>
                <c:pt idx="77">
                  <c:v>38700</c:v>
                </c:pt>
                <c:pt idx="78">
                  <c:v>39000</c:v>
                </c:pt>
                <c:pt idx="79">
                  <c:v>39500</c:v>
                </c:pt>
                <c:pt idx="80">
                  <c:v>40000</c:v>
                </c:pt>
                <c:pt idx="81">
                  <c:v>40500</c:v>
                </c:pt>
                <c:pt idx="82">
                  <c:v>41000</c:v>
                </c:pt>
                <c:pt idx="83">
                  <c:v>41500</c:v>
                </c:pt>
                <c:pt idx="84">
                  <c:v>42000</c:v>
                </c:pt>
                <c:pt idx="85">
                  <c:v>42500</c:v>
                </c:pt>
                <c:pt idx="86">
                  <c:v>43000</c:v>
                </c:pt>
                <c:pt idx="87">
                  <c:v>43500</c:v>
                </c:pt>
                <c:pt idx="88">
                  <c:v>44000</c:v>
                </c:pt>
                <c:pt idx="89">
                  <c:v>44500</c:v>
                </c:pt>
                <c:pt idx="90">
                  <c:v>45000</c:v>
                </c:pt>
                <c:pt idx="91">
                  <c:v>45500</c:v>
                </c:pt>
                <c:pt idx="92">
                  <c:v>46000</c:v>
                </c:pt>
                <c:pt idx="93">
                  <c:v>46500</c:v>
                </c:pt>
                <c:pt idx="94">
                  <c:v>47000</c:v>
                </c:pt>
                <c:pt idx="95">
                  <c:v>47500</c:v>
                </c:pt>
                <c:pt idx="96">
                  <c:v>48000</c:v>
                </c:pt>
                <c:pt idx="97">
                  <c:v>48500</c:v>
                </c:pt>
                <c:pt idx="98">
                  <c:v>49000</c:v>
                </c:pt>
                <c:pt idx="99">
                  <c:v>49500</c:v>
                </c:pt>
                <c:pt idx="100">
                  <c:v>50000</c:v>
                </c:pt>
              </c:numCache>
            </c:numRef>
          </c:xVal>
          <c:yVal>
            <c:numRef>
              <c:f>PSA!$B$235:$B$335</c:f>
              <c:numCache>
                <c:formatCode>General</c:formatCode>
                <c:ptCount val="101"/>
                <c:pt idx="0">
                  <c:v>1</c:v>
                </c:pt>
                <c:pt idx="1">
                  <c:v>1</c:v>
                </c:pt>
                <c:pt idx="2">
                  <c:v>1</c:v>
                </c:pt>
                <c:pt idx="3">
                  <c:v>1</c:v>
                </c:pt>
                <c:pt idx="4">
                  <c:v>1</c:v>
                </c:pt>
                <c:pt idx="5">
                  <c:v>1</c:v>
                </c:pt>
                <c:pt idx="6">
                  <c:v>1</c:v>
                </c:pt>
                <c:pt idx="7">
                  <c:v>1</c:v>
                </c:pt>
                <c:pt idx="8">
                  <c:v>1</c:v>
                </c:pt>
                <c:pt idx="9">
                  <c:v>1</c:v>
                </c:pt>
                <c:pt idx="10">
                  <c:v>0.99799196787148592</c:v>
                </c:pt>
                <c:pt idx="11">
                  <c:v>0.99698795180722888</c:v>
                </c:pt>
                <c:pt idx="12">
                  <c:v>0.99598393574297184</c:v>
                </c:pt>
                <c:pt idx="13">
                  <c:v>0.99196787148594379</c:v>
                </c:pt>
                <c:pt idx="14">
                  <c:v>0.98895582329317266</c:v>
                </c:pt>
                <c:pt idx="15">
                  <c:v>0.97791164658634533</c:v>
                </c:pt>
                <c:pt idx="16">
                  <c:v>0.96586345381526106</c:v>
                </c:pt>
                <c:pt idx="17">
                  <c:v>0.94477911646586343</c:v>
                </c:pt>
                <c:pt idx="18">
                  <c:v>0.92168674698795183</c:v>
                </c:pt>
                <c:pt idx="19">
                  <c:v>0.89357429718875503</c:v>
                </c:pt>
                <c:pt idx="20">
                  <c:v>0.86546184738955823</c:v>
                </c:pt>
                <c:pt idx="21">
                  <c:v>0.83534136546184734</c:v>
                </c:pt>
                <c:pt idx="22">
                  <c:v>0.78514056224899598</c:v>
                </c:pt>
                <c:pt idx="23">
                  <c:v>0.73594377510040165</c:v>
                </c:pt>
                <c:pt idx="24">
                  <c:v>0.68273092369477917</c:v>
                </c:pt>
                <c:pt idx="25">
                  <c:v>0.62650602409638556</c:v>
                </c:pt>
                <c:pt idx="26">
                  <c:v>0.56425702811244982</c:v>
                </c:pt>
                <c:pt idx="27">
                  <c:v>0.5</c:v>
                </c:pt>
                <c:pt idx="28">
                  <c:v>0.43574297188755018</c:v>
                </c:pt>
                <c:pt idx="29">
                  <c:v>0.38253012048192769</c:v>
                </c:pt>
                <c:pt idx="30">
                  <c:v>0.33232931726907633</c:v>
                </c:pt>
                <c:pt idx="31">
                  <c:v>0.28212851405622486</c:v>
                </c:pt>
                <c:pt idx="32">
                  <c:v>0.25200803212851408</c:v>
                </c:pt>
                <c:pt idx="33">
                  <c:v>0.22088353413654616</c:v>
                </c:pt>
                <c:pt idx="34">
                  <c:v>0.18674698795180722</c:v>
                </c:pt>
                <c:pt idx="35">
                  <c:v>0.15461847389558236</c:v>
                </c:pt>
                <c:pt idx="36">
                  <c:v>0.13453815261044177</c:v>
                </c:pt>
                <c:pt idx="37">
                  <c:v>0.11947791164658639</c:v>
                </c:pt>
                <c:pt idx="38">
                  <c:v>9.0361445783132543E-2</c:v>
                </c:pt>
                <c:pt idx="39">
                  <c:v>7.8313253012048167E-2</c:v>
                </c:pt>
                <c:pt idx="40">
                  <c:v>6.325301204819278E-2</c:v>
                </c:pt>
                <c:pt idx="41">
                  <c:v>5.6224899598393607E-2</c:v>
                </c:pt>
                <c:pt idx="42">
                  <c:v>4.216867469879515E-2</c:v>
                </c:pt>
                <c:pt idx="43">
                  <c:v>3.2128514056224855E-2</c:v>
                </c:pt>
                <c:pt idx="44">
                  <c:v>2.6104417670682722E-2</c:v>
                </c:pt>
                <c:pt idx="45">
                  <c:v>2.108433734939763E-2</c:v>
                </c:pt>
                <c:pt idx="46">
                  <c:v>1.6064257028112428E-2</c:v>
                </c:pt>
                <c:pt idx="47">
                  <c:v>1.3052208835341417E-2</c:v>
                </c:pt>
                <c:pt idx="48">
                  <c:v>7.0281124497991732E-3</c:v>
                </c:pt>
                <c:pt idx="49">
                  <c:v>3.0120481927711218E-3</c:v>
                </c:pt>
                <c:pt idx="50">
                  <c:v>3.0120481927711218E-3</c:v>
                </c:pt>
                <c:pt idx="51">
                  <c:v>2.0080321285140812E-3</c:v>
                </c:pt>
                <c:pt idx="52">
                  <c:v>2.0080321285140812E-3</c:v>
                </c:pt>
                <c:pt idx="53">
                  <c:v>2.0080321285140812E-3</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numCache>
            </c:numRef>
          </c:yVal>
          <c:smooth val="0"/>
          <c:extLst>
            <c:ext xmlns:c16="http://schemas.microsoft.com/office/drawing/2014/chart" uri="{C3380CC4-5D6E-409C-BE32-E72D297353CC}">
              <c16:uniqueId val="{00000001-D8C3-4441-93DF-C8CD6DC4FF4C}"/>
            </c:ext>
          </c:extLst>
        </c:ser>
        <c:dLbls>
          <c:showLegendKey val="0"/>
          <c:showVal val="0"/>
          <c:showCatName val="0"/>
          <c:showSerName val="0"/>
          <c:showPercent val="0"/>
          <c:showBubbleSize val="0"/>
        </c:dLbls>
        <c:axId val="643158783"/>
        <c:axId val="643151711"/>
      </c:scatterChart>
      <c:valAx>
        <c:axId val="643158783"/>
        <c:scaling>
          <c:orientation val="minMax"/>
          <c:max val="50000"/>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GB">
                    <a:latin typeface="Times New Roman" panose="02020603050405020304" pitchFamily="18" charset="0"/>
                    <a:cs typeface="Times New Roman" panose="02020603050405020304" pitchFamily="18" charset="0"/>
                  </a:rPr>
                  <a:t>Cost-effectiveness threshold (£ per QALY gained)</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3151711"/>
        <c:crosses val="autoZero"/>
        <c:crossBetween val="midCat"/>
      </c:valAx>
      <c:valAx>
        <c:axId val="643151711"/>
        <c:scaling>
          <c:orientation val="minMax"/>
          <c:max val="1"/>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latin typeface="Times New Roman" panose="02020603050405020304" pitchFamily="18" charset="0"/>
                    <a:cs typeface="Times New Roman" panose="02020603050405020304" pitchFamily="18" charset="0"/>
                  </a:rPr>
                  <a:t>Probability of RC being the cost-effective strategy (RC vs. UC)</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43158783"/>
        <c:crosses val="autoZero"/>
        <c:crossBetween val="midCat"/>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1st SES quartile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manualLayout>
                  <c:x val="-1.5625000000000001E-3"/>
                  <c:y val="2.26523230492381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65-45D4-8C5E-8133122965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Societal INHB</c:v>
                </c:pt>
                <c:pt idx="1">
                  <c:v>Public sector INHB</c:v>
                </c:pt>
                <c:pt idx="2">
                  <c:v>Incremental QALY</c:v>
                </c:pt>
              </c:strCache>
            </c:strRef>
          </c:cat>
          <c:val>
            <c:numRef>
              <c:f>Sheet1!$B$2:$B$4</c:f>
              <c:numCache>
                <c:formatCode>0.0000</c:formatCode>
                <c:ptCount val="3"/>
                <c:pt idx="0">
                  <c:v>3.2681968622217263E-2</c:v>
                </c:pt>
                <c:pt idx="1">
                  <c:v>2.6915044282875916E-2</c:v>
                </c:pt>
                <c:pt idx="2">
                  <c:v>5.1299491988034449E-2</c:v>
                </c:pt>
              </c:numCache>
            </c:numRef>
          </c:val>
          <c:extLst>
            <c:ext xmlns:c16="http://schemas.microsoft.com/office/drawing/2014/chart" uri="{C3380CC4-5D6E-409C-BE32-E72D297353CC}">
              <c16:uniqueId val="{00000001-6865-45D4-8C5E-813312296529}"/>
            </c:ext>
          </c:extLst>
        </c:ser>
        <c:ser>
          <c:idx val="1"/>
          <c:order val="1"/>
          <c:tx>
            <c:strRef>
              <c:f>Sheet1!$C$1</c:f>
              <c:strCache>
                <c:ptCount val="1"/>
                <c:pt idx="0">
                  <c:v>2nd SES quartile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Societal INHB</c:v>
                </c:pt>
                <c:pt idx="1">
                  <c:v>Public sector INHB</c:v>
                </c:pt>
                <c:pt idx="2">
                  <c:v>Incremental QALY</c:v>
                </c:pt>
              </c:strCache>
            </c:strRef>
          </c:cat>
          <c:val>
            <c:numRef>
              <c:f>Sheet1!$C$2:$C$4</c:f>
              <c:numCache>
                <c:formatCode>0.0000</c:formatCode>
                <c:ptCount val="3"/>
                <c:pt idx="0">
                  <c:v>2.6060100353663785E-2</c:v>
                </c:pt>
                <c:pt idx="1">
                  <c:v>2.3833285709179947E-2</c:v>
                </c:pt>
                <c:pt idx="2">
                  <c:v>4.805115576033088E-2</c:v>
                </c:pt>
              </c:numCache>
            </c:numRef>
          </c:val>
          <c:extLst>
            <c:ext xmlns:c16="http://schemas.microsoft.com/office/drawing/2014/chart" uri="{C3380CC4-5D6E-409C-BE32-E72D297353CC}">
              <c16:uniqueId val="{00000002-6865-45D4-8C5E-813312296529}"/>
            </c:ext>
          </c:extLst>
        </c:ser>
        <c:ser>
          <c:idx val="2"/>
          <c:order val="2"/>
          <c:tx>
            <c:strRef>
              <c:f>Sheet1!$D$1</c:f>
              <c:strCache>
                <c:ptCount val="1"/>
                <c:pt idx="0">
                  <c:v>3rd SES quartile</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layout>
                <c:manualLayout>
                  <c:x val="-1.1079104808331446E-2"/>
                  <c:y val="-3.212335367812399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65-45D4-8C5E-813312296529}"/>
                </c:ext>
              </c:extLst>
            </c:dLbl>
            <c:dLbl>
              <c:idx val="2"/>
              <c:layout>
                <c:manualLayout>
                  <c:x val="-1.1458200967217994E-16"/>
                  <c:y val="2.26523230492372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65-45D4-8C5E-8133122965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Societal INHB</c:v>
                </c:pt>
                <c:pt idx="1">
                  <c:v>Public sector INHB</c:v>
                </c:pt>
                <c:pt idx="2">
                  <c:v>Incremental QALY</c:v>
                </c:pt>
              </c:strCache>
            </c:strRef>
          </c:cat>
          <c:val>
            <c:numRef>
              <c:f>Sheet1!$D$2:$D$4</c:f>
              <c:numCache>
                <c:formatCode>0.0000</c:formatCode>
                <c:ptCount val="3"/>
                <c:pt idx="0">
                  <c:v>3.135125777830429E-2</c:v>
                </c:pt>
                <c:pt idx="1">
                  <c:v>2.779778739319053E-2</c:v>
                </c:pt>
                <c:pt idx="2">
                  <c:v>5.0506084099702073E-2</c:v>
                </c:pt>
              </c:numCache>
            </c:numRef>
          </c:val>
          <c:extLst>
            <c:ext xmlns:c16="http://schemas.microsoft.com/office/drawing/2014/chart" uri="{C3380CC4-5D6E-409C-BE32-E72D297353CC}">
              <c16:uniqueId val="{00000005-6865-45D4-8C5E-813312296529}"/>
            </c:ext>
          </c:extLst>
        </c:ser>
        <c:ser>
          <c:idx val="3"/>
          <c:order val="3"/>
          <c:tx>
            <c:strRef>
              <c:f>Sheet1!$E$1</c:f>
              <c:strCache>
                <c:ptCount val="1"/>
                <c:pt idx="0">
                  <c:v>4th SES quartile</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dLbl>
              <c:idx val="0"/>
              <c:layout>
                <c:manualLayout>
                  <c:x val="1.562499999999942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865-45D4-8C5E-8133122965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Societal INHB</c:v>
                </c:pt>
                <c:pt idx="1">
                  <c:v>Public sector INHB</c:v>
                </c:pt>
                <c:pt idx="2">
                  <c:v>Incremental QALY</c:v>
                </c:pt>
              </c:strCache>
            </c:strRef>
          </c:cat>
          <c:val>
            <c:numRef>
              <c:f>Sheet1!$E$2:$E$4</c:f>
              <c:numCache>
                <c:formatCode>0.0000</c:formatCode>
                <c:ptCount val="3"/>
                <c:pt idx="0">
                  <c:v>3.268155946974579E-2</c:v>
                </c:pt>
                <c:pt idx="1">
                  <c:v>3.2169511747755584E-2</c:v>
                </c:pt>
                <c:pt idx="2">
                  <c:v>5.348861647248021E-2</c:v>
                </c:pt>
              </c:numCache>
            </c:numRef>
          </c:val>
          <c:extLst>
            <c:ext xmlns:c16="http://schemas.microsoft.com/office/drawing/2014/chart" uri="{C3380CC4-5D6E-409C-BE32-E72D297353CC}">
              <c16:uniqueId val="{00000007-6865-45D4-8C5E-813312296529}"/>
            </c:ext>
          </c:extLst>
        </c:ser>
        <c:dLbls>
          <c:showLegendKey val="0"/>
          <c:showVal val="0"/>
          <c:showCatName val="0"/>
          <c:showSerName val="0"/>
          <c:showPercent val="0"/>
          <c:showBubbleSize val="0"/>
        </c:dLbls>
        <c:gapWidth val="164"/>
        <c:overlap val="-22"/>
        <c:axId val="1327097695"/>
        <c:axId val="1351591103"/>
      </c:barChart>
      <c:catAx>
        <c:axId val="132709769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1591103"/>
        <c:crosses val="autoZero"/>
        <c:auto val="1"/>
        <c:lblAlgn val="ctr"/>
        <c:lblOffset val="100"/>
        <c:noMultiLvlLbl val="0"/>
      </c:catAx>
      <c:valAx>
        <c:axId val="1351591103"/>
        <c:scaling>
          <c:orientation val="minMax"/>
          <c:max val="6.0000000000000012E-2"/>
          <c:min val="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sz="1000" b="0" dirty="0">
                    <a:latin typeface="Times New Roman" panose="02020603050405020304" pitchFamily="18" charset="0"/>
                    <a:cs typeface="Times New Roman" panose="02020603050405020304" pitchFamily="18" charset="0"/>
                  </a:rPr>
                  <a:t>Incremental health gain per capita relative to usual care (QALY)</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00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270976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Fit</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manualLayout>
                  <c:x val="-1.5625000000000001E-3"/>
                  <c:y val="2.26523230492381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C9-4569-9484-67E7DD1D73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Societal INHB</c:v>
                </c:pt>
                <c:pt idx="1">
                  <c:v>Public sector INHB</c:v>
                </c:pt>
                <c:pt idx="2">
                  <c:v>Incremental QALY</c:v>
                </c:pt>
              </c:strCache>
            </c:strRef>
          </c:cat>
          <c:val>
            <c:numRef>
              <c:f>Sheet1!$B$2:$B$4</c:f>
              <c:numCache>
                <c:formatCode>0.0000</c:formatCode>
                <c:ptCount val="3"/>
                <c:pt idx="0">
                  <c:v>2.4777443374099851E-2</c:v>
                </c:pt>
                <c:pt idx="1">
                  <c:v>2.0417080783628975E-2</c:v>
                </c:pt>
                <c:pt idx="2">
                  <c:v>4.4801847431325259E-2</c:v>
                </c:pt>
              </c:numCache>
            </c:numRef>
          </c:val>
          <c:extLst>
            <c:ext xmlns:c16="http://schemas.microsoft.com/office/drawing/2014/chart" uri="{C3380CC4-5D6E-409C-BE32-E72D297353CC}">
              <c16:uniqueId val="{00000001-2EC9-4569-9484-67E7DD1D7300}"/>
            </c:ext>
          </c:extLst>
        </c:ser>
        <c:ser>
          <c:idx val="1"/>
          <c:order val="1"/>
          <c:tx>
            <c:strRef>
              <c:f>Sheet1!$C$1</c:f>
              <c:strCache>
                <c:ptCount val="1"/>
                <c:pt idx="0">
                  <c:v>Mild frailty</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Sheet1!$A$2:$A$4</c:f>
              <c:strCache>
                <c:ptCount val="3"/>
                <c:pt idx="0">
                  <c:v>Societal INHB</c:v>
                </c:pt>
                <c:pt idx="1">
                  <c:v>Public sector INHB</c:v>
                </c:pt>
                <c:pt idx="2">
                  <c:v>Incremental QALY</c:v>
                </c:pt>
              </c:strCache>
            </c:strRef>
          </c:cat>
          <c:val>
            <c:numRef>
              <c:f>Sheet1!$C$2:$C$4</c:f>
              <c:numCache>
                <c:formatCode>0.0000</c:formatCode>
                <c:ptCount val="3"/>
                <c:pt idx="0">
                  <c:v>4.0545842094235271E-2</c:v>
                </c:pt>
                <c:pt idx="1">
                  <c:v>3.7120749278249224E-2</c:v>
                </c:pt>
                <c:pt idx="2">
                  <c:v>6.1535768688559936E-2</c:v>
                </c:pt>
              </c:numCache>
            </c:numRef>
          </c:val>
          <c:extLst>
            <c:ext xmlns:c16="http://schemas.microsoft.com/office/drawing/2014/chart" uri="{C3380CC4-5D6E-409C-BE32-E72D297353CC}">
              <c16:uniqueId val="{00000002-2EC9-4569-9484-67E7DD1D7300}"/>
            </c:ext>
          </c:extLst>
        </c:ser>
        <c:ser>
          <c:idx val="2"/>
          <c:order val="2"/>
          <c:tx>
            <c:strRef>
              <c:f>Sheet1!$D$1</c:f>
              <c:strCache>
                <c:ptCount val="1"/>
                <c:pt idx="0">
                  <c:v>Moderate frailty</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layout>
                <c:manualLayout>
                  <c:x val="0"/>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C9-4569-9484-67E7DD1D7300}"/>
                </c:ext>
              </c:extLst>
            </c:dLbl>
            <c:dLbl>
              <c:idx val="2"/>
              <c:layout>
                <c:manualLayout>
                  <c:x val="8.8632838466651889E-3"/>
                  <c:y val="2.26532878378959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C9-4569-9484-67E7DD1D73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Societal INHB</c:v>
                </c:pt>
                <c:pt idx="1">
                  <c:v>Public sector INHB</c:v>
                </c:pt>
                <c:pt idx="2">
                  <c:v>Incremental QALY</c:v>
                </c:pt>
              </c:strCache>
            </c:strRef>
          </c:cat>
          <c:val>
            <c:numRef>
              <c:f>Sheet1!$D$2:$D$4</c:f>
              <c:numCache>
                <c:formatCode>0.0000</c:formatCode>
                <c:ptCount val="3"/>
                <c:pt idx="0">
                  <c:v>4.457367184445616E-2</c:v>
                </c:pt>
                <c:pt idx="1">
                  <c:v>4.4530768089081227E-2</c:v>
                </c:pt>
                <c:pt idx="2">
                  <c:v>6.3684800897364099E-2</c:v>
                </c:pt>
              </c:numCache>
            </c:numRef>
          </c:val>
          <c:extLst>
            <c:ext xmlns:c16="http://schemas.microsoft.com/office/drawing/2014/chart" uri="{C3380CC4-5D6E-409C-BE32-E72D297353CC}">
              <c16:uniqueId val="{00000005-2EC9-4569-9484-67E7DD1D7300}"/>
            </c:ext>
          </c:extLst>
        </c:ser>
        <c:ser>
          <c:idx val="3"/>
          <c:order val="3"/>
          <c:tx>
            <c:strRef>
              <c:f>Sheet1!$E$1</c:f>
              <c:strCache>
                <c:ptCount val="1"/>
                <c:pt idx="0">
                  <c:v>Severe frailty</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dLbl>
              <c:idx val="0"/>
              <c:layout>
                <c:manualLayout>
                  <c:x val="1.562499999999942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EC9-4569-9484-67E7DD1D73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Societal INHB</c:v>
                </c:pt>
                <c:pt idx="1">
                  <c:v>Public sector INHB</c:v>
                </c:pt>
                <c:pt idx="2">
                  <c:v>Incremental QALY</c:v>
                </c:pt>
              </c:strCache>
            </c:strRef>
          </c:cat>
          <c:val>
            <c:numRef>
              <c:f>Sheet1!$E$2:$E$4</c:f>
              <c:numCache>
                <c:formatCode>0.0000</c:formatCode>
                <c:ptCount val="3"/>
                <c:pt idx="0">
                  <c:v>1.9223953489617352E-2</c:v>
                </c:pt>
                <c:pt idx="1">
                  <c:v>2.6438047950547109E-2</c:v>
                </c:pt>
                <c:pt idx="2">
                  <c:v>4.555637982195835E-2</c:v>
                </c:pt>
              </c:numCache>
            </c:numRef>
          </c:val>
          <c:extLst>
            <c:ext xmlns:c16="http://schemas.microsoft.com/office/drawing/2014/chart" uri="{C3380CC4-5D6E-409C-BE32-E72D297353CC}">
              <c16:uniqueId val="{00000007-2EC9-4569-9484-67E7DD1D7300}"/>
            </c:ext>
          </c:extLst>
        </c:ser>
        <c:dLbls>
          <c:showLegendKey val="0"/>
          <c:showVal val="0"/>
          <c:showCatName val="0"/>
          <c:showSerName val="0"/>
          <c:showPercent val="0"/>
          <c:showBubbleSize val="0"/>
        </c:dLbls>
        <c:gapWidth val="164"/>
        <c:overlap val="-22"/>
        <c:axId val="1327097695"/>
        <c:axId val="1351591103"/>
      </c:barChart>
      <c:catAx>
        <c:axId val="132709769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1591103"/>
        <c:crosses val="autoZero"/>
        <c:auto val="1"/>
        <c:lblAlgn val="ctr"/>
        <c:lblOffset val="100"/>
        <c:noMultiLvlLbl val="0"/>
      </c:catAx>
      <c:valAx>
        <c:axId val="1351591103"/>
        <c:scaling>
          <c:orientation val="minMax"/>
          <c:max val="8.0000000000000016E-2"/>
          <c:min val="0"/>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sz="1000" b="0" dirty="0">
                    <a:latin typeface="Times New Roman" panose="02020603050405020304" pitchFamily="18" charset="0"/>
                    <a:cs typeface="Times New Roman" panose="02020603050405020304" pitchFamily="18" charset="0"/>
                  </a:rPr>
                  <a:t>Incremental health gain per capita relative to usual care (QALY)</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270976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Societal ICER (all-cause care costs)</c:v>
                </c:pt>
              </c:strCache>
            </c:strRef>
          </c:tx>
          <c:spPr>
            <a:ln w="44450" cap="rnd">
              <a:solidFill>
                <a:schemeClr val="tx1"/>
              </a:solidFill>
              <a:prstDash val="sysDot"/>
              <a:round/>
            </a:ln>
            <a:effectLst/>
          </c:spPr>
          <c:marker>
            <c:symbol val="circle"/>
            <c:size val="5"/>
            <c:spPr>
              <a:solidFill>
                <a:schemeClr val="tx1"/>
              </a:solidFill>
              <a:ln w="9525">
                <a:solidFill>
                  <a:schemeClr val="tx1"/>
                </a:solid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CD-45D7-9768-4D93058E78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5 years</c:v>
                </c:pt>
                <c:pt idx="1">
                  <c:v>10 years</c:v>
                </c:pt>
                <c:pt idx="2">
                  <c:v>15 years</c:v>
                </c:pt>
                <c:pt idx="3">
                  <c:v>20 years</c:v>
                </c:pt>
                <c:pt idx="4">
                  <c:v>30 years</c:v>
                </c:pt>
                <c:pt idx="5">
                  <c:v>40 years</c:v>
                </c:pt>
              </c:strCache>
            </c:strRef>
          </c:cat>
          <c:val>
            <c:numRef>
              <c:f>Sheet1!$B$2:$B$7</c:f>
              <c:numCache>
                <c:formatCode>0</c:formatCode>
                <c:ptCount val="6"/>
                <c:pt idx="0" formatCode="General">
                  <c:v>68077</c:v>
                </c:pt>
                <c:pt idx="1">
                  <c:v>28271.620767346289</c:v>
                </c:pt>
                <c:pt idx="2">
                  <c:v>19674.103329963673</c:v>
                </c:pt>
                <c:pt idx="3" formatCode="General">
                  <c:v>16185</c:v>
                </c:pt>
                <c:pt idx="4" formatCode="General">
                  <c:v>13661</c:v>
                </c:pt>
                <c:pt idx="5" formatCode="General">
                  <c:v>12877</c:v>
                </c:pt>
              </c:numCache>
            </c:numRef>
          </c:val>
          <c:smooth val="0"/>
          <c:extLst>
            <c:ext xmlns:c16="http://schemas.microsoft.com/office/drawing/2014/chart" uri="{C3380CC4-5D6E-409C-BE32-E72D297353CC}">
              <c16:uniqueId val="{00000001-7DCD-45D7-9768-4D93058E7891}"/>
            </c:ext>
          </c:extLst>
        </c:ser>
        <c:ser>
          <c:idx val="1"/>
          <c:order val="1"/>
          <c:tx>
            <c:strRef>
              <c:f>Sheet1!$C$1</c:f>
              <c:strCache>
                <c:ptCount val="1"/>
                <c:pt idx="0">
                  <c:v>Public sector ICER (all-cause care costs)</c:v>
                </c:pt>
              </c:strCache>
            </c:strRef>
          </c:tx>
          <c:spPr>
            <a:ln w="34925" cap="rnd">
              <a:solidFill>
                <a:schemeClr val="tx1"/>
              </a:solidFill>
              <a:prstDash val="dash"/>
              <a:round/>
            </a:ln>
            <a:effectLst/>
          </c:spPr>
          <c:marker>
            <c:symbol val="circle"/>
            <c:size val="5"/>
            <c:spPr>
              <a:solidFill>
                <a:schemeClr val="tx1"/>
              </a:solidFill>
              <a:ln w="9525">
                <a:solidFill>
                  <a:schemeClr val="tx1"/>
                </a:solidFill>
              </a:ln>
              <a:effectLst/>
            </c:spPr>
          </c:marker>
          <c:dLbls>
            <c:dLbl>
              <c:idx val="1"/>
              <c:layout>
                <c:manualLayout>
                  <c:x val="-6.9726870078740729E-3"/>
                  <c:y val="-4.19121529335535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CD-45D7-9768-4D93058E78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5 years</c:v>
                </c:pt>
                <c:pt idx="1">
                  <c:v>10 years</c:v>
                </c:pt>
                <c:pt idx="2">
                  <c:v>15 years</c:v>
                </c:pt>
                <c:pt idx="3">
                  <c:v>20 years</c:v>
                </c:pt>
                <c:pt idx="4">
                  <c:v>30 years</c:v>
                </c:pt>
                <c:pt idx="5">
                  <c:v>40 years</c:v>
                </c:pt>
              </c:strCache>
            </c:strRef>
          </c:cat>
          <c:val>
            <c:numRef>
              <c:f>Sheet1!$C$2:$C$7</c:f>
              <c:numCache>
                <c:formatCode>0</c:formatCode>
                <c:ptCount val="6"/>
                <c:pt idx="0" formatCode="General">
                  <c:v>51746</c:v>
                </c:pt>
                <c:pt idx="1">
                  <c:v>28150.907098412477</c:v>
                </c:pt>
                <c:pt idx="2">
                  <c:v>20558.205155861659</c:v>
                </c:pt>
                <c:pt idx="3" formatCode="General">
                  <c:v>17258</c:v>
                </c:pt>
                <c:pt idx="4" formatCode="General">
                  <c:v>14674</c:v>
                </c:pt>
                <c:pt idx="5" formatCode="General">
                  <c:v>13785</c:v>
                </c:pt>
              </c:numCache>
            </c:numRef>
          </c:val>
          <c:smooth val="0"/>
          <c:extLst>
            <c:ext xmlns:c16="http://schemas.microsoft.com/office/drawing/2014/chart" uri="{C3380CC4-5D6E-409C-BE32-E72D297353CC}">
              <c16:uniqueId val="{00000003-7DCD-45D7-9768-4D93058E7891}"/>
            </c:ext>
          </c:extLst>
        </c:ser>
        <c:dLbls>
          <c:showLegendKey val="0"/>
          <c:showVal val="0"/>
          <c:showCatName val="0"/>
          <c:showSerName val="0"/>
          <c:showPercent val="0"/>
          <c:showBubbleSize val="0"/>
        </c:dLbls>
        <c:marker val="1"/>
        <c:smooth val="0"/>
        <c:axId val="836878111"/>
        <c:axId val="836880191"/>
      </c:lineChart>
      <c:catAx>
        <c:axId val="83687811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000" dirty="0">
                    <a:latin typeface="Times New Roman" panose="02020603050405020304" pitchFamily="18" charset="0"/>
                    <a:cs typeface="Times New Roman" panose="02020603050405020304" pitchFamily="18" charset="0"/>
                  </a:rPr>
                  <a:t>Analysis time horizon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36880191"/>
        <c:crosses val="autoZero"/>
        <c:auto val="1"/>
        <c:lblAlgn val="ctr"/>
        <c:lblOffset val="100"/>
        <c:noMultiLvlLbl val="0"/>
      </c:catAx>
      <c:valAx>
        <c:axId val="836880191"/>
        <c:scaling>
          <c:orientation val="minMax"/>
          <c:max val="75000"/>
          <c:min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dirty="0">
                    <a:latin typeface="Times New Roman" panose="02020603050405020304" pitchFamily="18" charset="0"/>
                    <a:cs typeface="Times New Roman" panose="02020603050405020304" pitchFamily="18" charset="0"/>
                  </a:rPr>
                  <a:t>ICER by perspective</a:t>
                </a:r>
                <a:r>
                  <a:rPr lang="en-GB" sz="1000" baseline="0" dirty="0">
                    <a:latin typeface="Times New Roman" panose="02020603050405020304" pitchFamily="18" charset="0"/>
                    <a:cs typeface="Times New Roman" panose="02020603050405020304" pitchFamily="18" charset="0"/>
                  </a:rPr>
                  <a:t> (£ per QALY gained)</a:t>
                </a:r>
                <a:endParaRPr lang="en-GB" sz="1000" dirty="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368781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Incremental mean INHB, no inequality aversion</c:v>
                </c:pt>
              </c:strCache>
            </c:strRef>
          </c:tx>
          <c:spPr>
            <a:ln w="44450" cap="rnd">
              <a:solidFill>
                <a:schemeClr val="tx1"/>
              </a:solidFill>
              <a:prstDash val="sysDot"/>
              <a:round/>
            </a:ln>
            <a:effectLst/>
          </c:spPr>
          <c:marker>
            <c:symbol val="circle"/>
            <c:size val="5"/>
            <c:spPr>
              <a:solidFill>
                <a:schemeClr val="tx1"/>
              </a:solidFill>
              <a:ln w="9525">
                <a:solidFill>
                  <a:schemeClr val="tx1"/>
                </a:solidFill>
              </a:ln>
              <a:effectLst/>
            </c:spPr>
          </c:marker>
          <c:dLbls>
            <c:dLbl>
              <c:idx val="1"/>
              <c:layout>
                <c:manualLayout>
                  <c:x val="-2.1050299135829825E-2"/>
                  <c:y val="3.5233505068971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2E2-4121-AC13-D29200FCAA6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5 years</c:v>
                </c:pt>
                <c:pt idx="1">
                  <c:v>10 years</c:v>
                </c:pt>
                <c:pt idx="2">
                  <c:v>15 years</c:v>
                </c:pt>
                <c:pt idx="3">
                  <c:v>20 years</c:v>
                </c:pt>
                <c:pt idx="4">
                  <c:v>30 years</c:v>
                </c:pt>
                <c:pt idx="5">
                  <c:v>40 years</c:v>
                </c:pt>
              </c:strCache>
            </c:strRef>
          </c:cat>
          <c:val>
            <c:numRef>
              <c:f>Sheet1!$B$2:$B$7</c:f>
              <c:numCache>
                <c:formatCode>0.0000</c:formatCode>
                <c:ptCount val="6"/>
                <c:pt idx="0">
                  <c:v>-7.7100357968760136E-3</c:v>
                </c:pt>
                <c:pt idx="1">
                  <c:v>1.5931020744566204E-3</c:v>
                </c:pt>
                <c:pt idx="2">
                  <c:v>1.1921655360111139E-2</c:v>
                </c:pt>
                <c:pt idx="3">
                  <c:v>2.0131573781038803E-2</c:v>
                </c:pt>
                <c:pt idx="4">
                  <c:v>2.9000000000000001E-2</c:v>
                </c:pt>
                <c:pt idx="5">
                  <c:v>3.0693721555983267E-2</c:v>
                </c:pt>
              </c:numCache>
            </c:numRef>
          </c:val>
          <c:smooth val="0"/>
          <c:extLst>
            <c:ext xmlns:c16="http://schemas.microsoft.com/office/drawing/2014/chart" uri="{C3380CC4-5D6E-409C-BE32-E72D297353CC}">
              <c16:uniqueId val="{00000000-D2E2-4121-AC13-D29200FCAA6B}"/>
            </c:ext>
          </c:extLst>
        </c:ser>
        <c:ser>
          <c:idx val="1"/>
          <c:order val="1"/>
          <c:tx>
            <c:strRef>
              <c:f>Sheet1!$C$1</c:f>
              <c:strCache>
                <c:ptCount val="1"/>
                <c:pt idx="0">
                  <c:v>Incremental EDE INHB, Atkinson ε=30</c:v>
                </c:pt>
              </c:strCache>
            </c:strRef>
          </c:tx>
          <c:spPr>
            <a:ln w="34925" cap="rnd">
              <a:solidFill>
                <a:srgbClr val="FF0000"/>
              </a:solidFill>
              <a:prstDash val="dash"/>
              <a:round/>
            </a:ln>
            <a:effectLst/>
          </c:spPr>
          <c:marker>
            <c:symbol val="triangle"/>
            <c:size val="8"/>
            <c:spPr>
              <a:solidFill>
                <a:schemeClr val="tx1"/>
              </a:solidFill>
              <a:ln w="9525">
                <a:solidFill>
                  <a:schemeClr val="tx1"/>
                </a:solidFill>
              </a:ln>
              <a:effectLst/>
            </c:spPr>
          </c:marker>
          <c:dLbls>
            <c:dLbl>
              <c:idx val="0"/>
              <c:layout>
                <c:manualLayout>
                  <c:x val="-8.7069376132991136E-2"/>
                  <c:y val="-3.4475809353812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E2-4121-AC13-D29200FCAA6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5 years</c:v>
                </c:pt>
                <c:pt idx="1">
                  <c:v>10 years</c:v>
                </c:pt>
                <c:pt idx="2">
                  <c:v>15 years</c:v>
                </c:pt>
                <c:pt idx="3">
                  <c:v>20 years</c:v>
                </c:pt>
                <c:pt idx="4">
                  <c:v>30 years</c:v>
                </c:pt>
                <c:pt idx="5">
                  <c:v>40 years</c:v>
                </c:pt>
              </c:strCache>
            </c:strRef>
          </c:cat>
          <c:val>
            <c:numRef>
              <c:f>Sheet1!$C$2:$C$7</c:f>
              <c:numCache>
                <c:formatCode>0.0000</c:formatCode>
                <c:ptCount val="6"/>
                <c:pt idx="0">
                  <c:v>-7.5565494848430781E-3</c:v>
                </c:pt>
                <c:pt idx="1">
                  <c:v>4.7833048926277932E-3</c:v>
                </c:pt>
                <c:pt idx="2">
                  <c:v>1.5395132642420872E-2</c:v>
                </c:pt>
                <c:pt idx="3">
                  <c:v>2.2984250557753771E-2</c:v>
                </c:pt>
                <c:pt idx="4">
                  <c:v>3.2599999999999997E-2</c:v>
                </c:pt>
                <c:pt idx="5">
                  <c:v>3.4281323883379677E-2</c:v>
                </c:pt>
              </c:numCache>
            </c:numRef>
          </c:val>
          <c:smooth val="0"/>
          <c:extLst>
            <c:ext xmlns:c16="http://schemas.microsoft.com/office/drawing/2014/chart" uri="{C3380CC4-5D6E-409C-BE32-E72D297353CC}">
              <c16:uniqueId val="{00000002-D2E2-4121-AC13-D29200FCAA6B}"/>
            </c:ext>
          </c:extLst>
        </c:ser>
        <c:ser>
          <c:idx val="2"/>
          <c:order val="2"/>
          <c:tx>
            <c:strRef>
              <c:f>Sheet1!$D$1</c:f>
              <c:strCache>
                <c:ptCount val="1"/>
                <c:pt idx="0">
                  <c:v>Incremental EDE INHB, Kolm α=0.5</c:v>
                </c:pt>
              </c:strCache>
            </c:strRef>
          </c:tx>
          <c:spPr>
            <a:ln w="28575" cap="rnd">
              <a:solidFill>
                <a:srgbClr val="00B0F0"/>
              </a:solidFill>
              <a:prstDash val="sysDot"/>
              <a:round/>
            </a:ln>
            <a:effectLst/>
          </c:spPr>
          <c:marker>
            <c:symbol val="x"/>
            <c:size val="8"/>
            <c:spPr>
              <a:solidFill>
                <a:schemeClr val="tx1"/>
              </a:solidFill>
              <a:ln w="9525">
                <a:solidFill>
                  <a:schemeClr val="tx1"/>
                </a:solidFill>
              </a:ln>
              <a:effectLst/>
            </c:spPr>
          </c:marker>
          <c:dLbls>
            <c:dLbl>
              <c:idx val="4"/>
              <c:layout>
                <c:manualLayout>
                  <c:x val="0"/>
                  <c:y val="-2.10937487024022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E2-4121-AC13-D29200FCAA6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5 years</c:v>
                </c:pt>
                <c:pt idx="1">
                  <c:v>10 years</c:v>
                </c:pt>
                <c:pt idx="2">
                  <c:v>15 years</c:v>
                </c:pt>
                <c:pt idx="3">
                  <c:v>20 years</c:v>
                </c:pt>
                <c:pt idx="4">
                  <c:v>30 years</c:v>
                </c:pt>
                <c:pt idx="5">
                  <c:v>40 years</c:v>
                </c:pt>
              </c:strCache>
            </c:strRef>
          </c:cat>
          <c:val>
            <c:numRef>
              <c:f>Sheet1!$D$2:$D$7</c:f>
              <c:numCache>
                <c:formatCode>0.0000</c:formatCode>
                <c:ptCount val="6"/>
                <c:pt idx="0">
                  <c:v>-7.701812687253895E-3</c:v>
                </c:pt>
                <c:pt idx="1">
                  <c:v>1.9884808023893363E-3</c:v>
                </c:pt>
                <c:pt idx="2">
                  <c:v>1.2364148401030839E-2</c:v>
                </c:pt>
                <c:pt idx="3">
                  <c:v>2.0424463944328508E-2</c:v>
                </c:pt>
                <c:pt idx="4">
                  <c:v>2.9399999999999999E-2</c:v>
                </c:pt>
                <c:pt idx="5">
                  <c:v>3.1065435605047043E-2</c:v>
                </c:pt>
              </c:numCache>
            </c:numRef>
          </c:val>
          <c:smooth val="0"/>
          <c:extLst>
            <c:ext xmlns:c16="http://schemas.microsoft.com/office/drawing/2014/chart" uri="{C3380CC4-5D6E-409C-BE32-E72D297353CC}">
              <c16:uniqueId val="{00000004-D2E2-4121-AC13-D29200FCAA6B}"/>
            </c:ext>
          </c:extLst>
        </c:ser>
        <c:dLbls>
          <c:showLegendKey val="0"/>
          <c:showVal val="0"/>
          <c:showCatName val="0"/>
          <c:showSerName val="0"/>
          <c:showPercent val="0"/>
          <c:showBubbleSize val="0"/>
        </c:dLbls>
        <c:marker val="1"/>
        <c:smooth val="0"/>
        <c:axId val="836878111"/>
        <c:axId val="836880191"/>
      </c:lineChart>
      <c:catAx>
        <c:axId val="836878111"/>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900" dirty="0">
                    <a:latin typeface="Times New Roman" panose="02020603050405020304" pitchFamily="18" charset="0"/>
                    <a:cs typeface="Times New Roman" panose="02020603050405020304" pitchFamily="18" charset="0"/>
                  </a:rPr>
                  <a:t>Analysis time horizon</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36880191"/>
        <c:crosses val="autoZero"/>
        <c:auto val="1"/>
        <c:lblAlgn val="ctr"/>
        <c:lblOffset val="100"/>
        <c:noMultiLvlLbl val="0"/>
      </c:catAx>
      <c:valAx>
        <c:axId val="8368801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000" b="0" i="0" baseline="0" dirty="0">
                    <a:effectLst/>
                    <a:latin typeface="Times New Roman" panose="02020603050405020304" pitchFamily="18" charset="0"/>
                    <a:cs typeface="Times New Roman" panose="02020603050405020304" pitchFamily="18" charset="0"/>
                  </a:rPr>
                  <a:t>Equally distributed equivalent societal per-capita INHB (QALY)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368781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1st SES quartile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manualLayout>
                  <c:x val="0"/>
                  <c:y val="-9.06092921969529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6B-426D-9998-42D3AE92F9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Base case analysis</c:v>
                </c:pt>
                <c:pt idx="1">
                  <c:v>Falls-frailty feedback removal scenario</c:v>
                </c:pt>
              </c:strCache>
            </c:strRef>
          </c:cat>
          <c:val>
            <c:numRef>
              <c:f>Sheet1!$B$2:$B$3</c:f>
              <c:numCache>
                <c:formatCode>0.0000</c:formatCode>
                <c:ptCount val="2"/>
                <c:pt idx="0">
                  <c:v>3.2681968622217263E-2</c:v>
                </c:pt>
                <c:pt idx="1">
                  <c:v>-1.0331977688618149E-2</c:v>
                </c:pt>
              </c:numCache>
            </c:numRef>
          </c:val>
          <c:extLst>
            <c:ext xmlns:c16="http://schemas.microsoft.com/office/drawing/2014/chart" uri="{C3380CC4-5D6E-409C-BE32-E72D297353CC}">
              <c16:uniqueId val="{00000001-CB6B-426D-9998-42D3AE92F937}"/>
            </c:ext>
          </c:extLst>
        </c:ser>
        <c:ser>
          <c:idx val="1"/>
          <c:order val="1"/>
          <c:tx>
            <c:strRef>
              <c:f>Sheet1!$C$1</c:f>
              <c:strCache>
                <c:ptCount val="1"/>
                <c:pt idx="0">
                  <c:v>2nd SES quartile</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Sheet1!$A$2:$A$3</c:f>
              <c:strCache>
                <c:ptCount val="2"/>
                <c:pt idx="0">
                  <c:v>Base case analysis</c:v>
                </c:pt>
                <c:pt idx="1">
                  <c:v>Falls-frailty feedback removal scenario</c:v>
                </c:pt>
              </c:strCache>
            </c:strRef>
          </c:cat>
          <c:val>
            <c:numRef>
              <c:f>Sheet1!$C$2:$C$3</c:f>
              <c:numCache>
                <c:formatCode>0.0000</c:formatCode>
                <c:ptCount val="2"/>
                <c:pt idx="0">
                  <c:v>2.6060100353663785E-2</c:v>
                </c:pt>
                <c:pt idx="1">
                  <c:v>-1.1758249747904896E-2</c:v>
                </c:pt>
              </c:numCache>
            </c:numRef>
          </c:val>
          <c:extLst>
            <c:ext xmlns:c16="http://schemas.microsoft.com/office/drawing/2014/chart" uri="{C3380CC4-5D6E-409C-BE32-E72D297353CC}">
              <c16:uniqueId val="{00000002-CB6B-426D-9998-42D3AE92F937}"/>
            </c:ext>
          </c:extLst>
        </c:ser>
        <c:ser>
          <c:idx val="2"/>
          <c:order val="2"/>
          <c:tx>
            <c:strRef>
              <c:f>Sheet1!$D$1</c:f>
              <c:strCache>
                <c:ptCount val="1"/>
                <c:pt idx="0">
                  <c:v>3rd SES quartile</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layout>
                <c:manualLayout>
                  <c:x val="-5.729100483608997E-17"/>
                  <c:y val="-6.795696914771436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B6B-426D-9998-42D3AE92F937}"/>
                </c:ext>
              </c:extLst>
            </c:dLbl>
            <c:dLbl>
              <c:idx val="2"/>
              <c:layout>
                <c:manualLayout>
                  <c:x val="-1.1458200967217994E-16"/>
                  <c:y val="2.265232304923729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B6B-426D-9998-42D3AE92F9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Base case analysis</c:v>
                </c:pt>
                <c:pt idx="1">
                  <c:v>Falls-frailty feedback removal scenario</c:v>
                </c:pt>
              </c:strCache>
            </c:strRef>
          </c:cat>
          <c:val>
            <c:numRef>
              <c:f>Sheet1!$D$2:$D$3</c:f>
              <c:numCache>
                <c:formatCode>0.0000</c:formatCode>
                <c:ptCount val="2"/>
                <c:pt idx="0">
                  <c:v>3.135125777830429E-2</c:v>
                </c:pt>
                <c:pt idx="1">
                  <c:v>-1.3177605897225459E-2</c:v>
                </c:pt>
              </c:numCache>
            </c:numRef>
          </c:val>
          <c:extLst>
            <c:ext xmlns:c16="http://schemas.microsoft.com/office/drawing/2014/chart" uri="{C3380CC4-5D6E-409C-BE32-E72D297353CC}">
              <c16:uniqueId val="{00000005-CB6B-426D-9998-42D3AE92F937}"/>
            </c:ext>
          </c:extLst>
        </c:ser>
        <c:ser>
          <c:idx val="3"/>
          <c:order val="3"/>
          <c:tx>
            <c:strRef>
              <c:f>Sheet1!$E$1</c:f>
              <c:strCache>
                <c:ptCount val="1"/>
                <c:pt idx="0">
                  <c:v>4th SES quartile</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dLbl>
              <c:idx val="0"/>
              <c:layout>
                <c:manualLayout>
                  <c:x val="-3.1250000000000002E-3"/>
                  <c:y val="-2.26523230492382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B6B-426D-9998-42D3AE92F9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Base case analysis</c:v>
                </c:pt>
                <c:pt idx="1">
                  <c:v>Falls-frailty feedback removal scenario</c:v>
                </c:pt>
              </c:strCache>
            </c:strRef>
          </c:cat>
          <c:val>
            <c:numRef>
              <c:f>Sheet1!$E$2:$E$3</c:f>
              <c:numCache>
                <c:formatCode>0.0000</c:formatCode>
                <c:ptCount val="2"/>
                <c:pt idx="0">
                  <c:v>3.268155946974579E-2</c:v>
                </c:pt>
                <c:pt idx="1">
                  <c:v>-1.4339968627282495E-2</c:v>
                </c:pt>
              </c:numCache>
            </c:numRef>
          </c:val>
          <c:extLst>
            <c:ext xmlns:c16="http://schemas.microsoft.com/office/drawing/2014/chart" uri="{C3380CC4-5D6E-409C-BE32-E72D297353CC}">
              <c16:uniqueId val="{00000007-CB6B-426D-9998-42D3AE92F937}"/>
            </c:ext>
          </c:extLst>
        </c:ser>
        <c:dLbls>
          <c:showLegendKey val="0"/>
          <c:showVal val="0"/>
          <c:showCatName val="0"/>
          <c:showSerName val="0"/>
          <c:showPercent val="0"/>
          <c:showBubbleSize val="0"/>
        </c:dLbls>
        <c:gapWidth val="164"/>
        <c:overlap val="-22"/>
        <c:axId val="1327097695"/>
        <c:axId val="1351591103"/>
      </c:barChart>
      <c:catAx>
        <c:axId val="132709769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51591103"/>
        <c:crosses val="autoZero"/>
        <c:auto val="1"/>
        <c:lblAlgn val="ctr"/>
        <c:lblOffset val="100"/>
        <c:noMultiLvlLbl val="0"/>
      </c:catAx>
      <c:valAx>
        <c:axId val="1351591103"/>
        <c:scaling>
          <c:orientation val="minMax"/>
          <c:max val="4.5000000000000012E-2"/>
          <c:min val="-1.8000000000000002E-2"/>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sz="1000" b="0" dirty="0">
                    <a:latin typeface="Times New Roman" panose="02020603050405020304" pitchFamily="18" charset="0"/>
                    <a:cs typeface="Times New Roman" panose="02020603050405020304" pitchFamily="18" charset="0"/>
                  </a:rPr>
                  <a:t>Societal per-capita INHB</a:t>
                </a:r>
                <a:r>
                  <a:rPr lang="en-GB" sz="1000" b="0" baseline="0" dirty="0">
                    <a:latin typeface="Times New Roman" panose="02020603050405020304" pitchFamily="18" charset="0"/>
                    <a:cs typeface="Times New Roman" panose="02020603050405020304" pitchFamily="18" charset="0"/>
                  </a:rPr>
                  <a:t> </a:t>
                </a:r>
                <a:r>
                  <a:rPr lang="en-GB" sz="1000" b="0" dirty="0">
                    <a:latin typeface="Times New Roman" panose="02020603050405020304" pitchFamily="18" charset="0"/>
                    <a:cs typeface="Times New Roman" panose="02020603050405020304" pitchFamily="18" charset="0"/>
                  </a:rPr>
                  <a:t>at</a:t>
                </a:r>
                <a:r>
                  <a:rPr lang="en-GB" sz="1000" b="0" baseline="0" dirty="0">
                    <a:latin typeface="Times New Roman" panose="02020603050405020304" pitchFamily="18" charset="0"/>
                    <a:cs typeface="Times New Roman" panose="02020603050405020304" pitchFamily="18" charset="0"/>
                  </a:rPr>
                  <a:t> £30,000 per QALY gained threshold</a:t>
                </a:r>
                <a:r>
                  <a:rPr lang="en-GB" sz="1000" b="0" dirty="0">
                    <a:latin typeface="Times New Roman" panose="02020603050405020304" pitchFamily="18" charset="0"/>
                    <a:cs typeface="Times New Roman" panose="02020603050405020304" pitchFamily="18" charset="0"/>
                  </a:rPr>
                  <a:t> (QALY)</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270976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1197"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22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1197"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22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1197"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22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1197"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22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1197"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22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0.14167</cdr:x>
      <cdr:y>0.05168</cdr:y>
    </cdr:from>
    <cdr:to>
      <cdr:x>0.64709</cdr:x>
      <cdr:y>0.7158</cdr:y>
    </cdr:to>
    <cdr:grpSp>
      <cdr:nvGrpSpPr>
        <cdr:cNvPr id="10" name="Group 9"/>
        <cdr:cNvGrpSpPr/>
      </cdr:nvGrpSpPr>
      <cdr:grpSpPr>
        <a:xfrm xmlns:a="http://schemas.openxmlformats.org/drawingml/2006/main">
          <a:off x="811987" y="146304"/>
          <a:ext cx="2896819" cy="1880007"/>
          <a:chOff x="811987" y="146304"/>
          <a:chExt cx="2896819" cy="1880007"/>
        </a:xfrm>
      </cdr:grpSpPr>
      <cdr:cxnSp macro="">
        <cdr:nvCxnSpPr>
          <cdr:cNvPr id="3" name="Straight Connector 2">
            <a:extLst xmlns:a="http://schemas.openxmlformats.org/drawingml/2006/main">
              <a:ext uri="{FF2B5EF4-FFF2-40B4-BE49-F238E27FC236}">
                <a16:creationId xmlns:a16="http://schemas.microsoft.com/office/drawing/2014/main" id="{7CE392BE-D9A4-49E2-9410-8A47F864361F}"/>
              </a:ext>
            </a:extLst>
          </cdr:cNvPr>
          <cdr:cNvCxnSpPr/>
        </cdr:nvCxnSpPr>
        <cdr:spPr>
          <a:xfrm xmlns:a="http://schemas.openxmlformats.org/drawingml/2006/main" flipV="1">
            <a:off x="819302" y="146304"/>
            <a:ext cx="1916583" cy="1872693"/>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6" name="Straight Connector 5">
            <a:extLst xmlns:a="http://schemas.openxmlformats.org/drawingml/2006/main">
              <a:ext uri="{FF2B5EF4-FFF2-40B4-BE49-F238E27FC236}">
                <a16:creationId xmlns:a16="http://schemas.microsoft.com/office/drawing/2014/main" id="{98607779-0DE2-428E-A276-57E232D38048}"/>
              </a:ext>
            </a:extLst>
          </cdr:cNvPr>
          <cdr:cNvCxnSpPr/>
        </cdr:nvCxnSpPr>
        <cdr:spPr>
          <a:xfrm xmlns:a="http://schemas.openxmlformats.org/drawingml/2006/main" flipV="1">
            <a:off x="811987" y="146304"/>
            <a:ext cx="2896819" cy="1880007"/>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E88AE-FF74-4005-BFAD-461F2BD9B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135</Pages>
  <Words>313667</Words>
  <Characters>1787907</Characters>
  <Application>Microsoft Office Word</Application>
  <DocSecurity>0</DocSecurity>
  <Lines>14899</Lines>
  <Paragraphs>4194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Joon Kwon</dc:creator>
  <cp:keywords/>
  <dc:description/>
  <cp:lastModifiedBy>Joon Kwon</cp:lastModifiedBy>
  <cp:revision>3</cp:revision>
  <dcterms:created xsi:type="dcterms:W3CDTF">2022-09-22T11:07:00Z</dcterms:created>
  <dcterms:modified xsi:type="dcterms:W3CDTF">2022-09-22T11:11:00Z</dcterms:modified>
</cp:coreProperties>
</file>